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38C8E" w14:textId="77777777" w:rsidR="00000000" w:rsidRDefault="00405D16">
      <w:pPr>
        <w:divId w:val="689530772"/>
        <w:rPr>
          <w:rFonts w:eastAsia="Times New Roman"/>
          <w:vanish/>
        </w:rPr>
      </w:pPr>
      <w:r>
        <w:rPr>
          <w:rFonts w:eastAsia="Times New Roman"/>
          <w:vanish/>
        </w:rPr>
        <w:t>false2021Q3000092762812/313.80.02500009276282021-01-012021-09-300000927628us-gaap:CommonStockMember2021-01-012021-09-300000927628us-gaap:SeriesGPreferredStockMember2021-01-012021-09-300000927628</w:t>
      </w:r>
      <w:r>
        <w:rPr>
          <w:rFonts w:eastAsia="Times New Roman"/>
          <w:vanish/>
        </w:rPr>
        <w:t>us-gaap:SeriesHPreferredStockMember2021-01-012021-09-300000927628cof:SeriesIPreferredStockMember2021-01-012021-09-300000927628cof:SeriesJPreferredStockMember2021-01-012021-09-300000927628cof:SeriesKPreferredStockMember2021-01-012021-09-300000927628cof:Seri</w:t>
      </w:r>
      <w:r>
        <w:rPr>
          <w:rFonts w:eastAsia="Times New Roman"/>
          <w:vanish/>
        </w:rPr>
        <w:t>esLPreferredStockMember2021-01-012021-09-300000927628cof:SeriesNPreferredStockMember2021-01-012021-09-300000927628cof:SeniorNotesDue2024Member2021-01-012021-09-300000927628cof:SeniorNotesDue2029Member2021-01-012021-09-30xbrli:shares00009276282021-10-29iso4</w:t>
      </w:r>
      <w:r>
        <w:rPr>
          <w:rFonts w:eastAsia="Times New Roman"/>
          <w:vanish/>
        </w:rPr>
        <w:t>217:USD00009276282021-07-012021-09-3000009276282020-07-012020-09-3000009276282020-01-012020-09-30iso4217:USDxbrli:shares00009276282021-09-3000009276282020-12-310000927628srt:ParentCompanyMember2021-09-300000927628srt:ParentCompanyMember2020-12-310000927628</w:t>
      </w:r>
      <w:r>
        <w:rPr>
          <w:rFonts w:eastAsia="Times New Roman"/>
          <w:vanish/>
        </w:rPr>
        <w:t>us-gaap:VariableInterestEntityPrimaryBeneficiaryMember2021-09-300000927628us-gaap:VariableInterestEntityPrimaryBeneficiaryMember2020-12-310000927628us-gaap:PreferredStockMember2020-12-310000927628us-gaap:CommonStockMember2020-12-310000927628us-gaap:Additio</w:t>
      </w:r>
      <w:r>
        <w:rPr>
          <w:rFonts w:eastAsia="Times New Roman"/>
          <w:vanish/>
        </w:rPr>
        <w:t>nalPaidInCapitalMember2020-12-310000927628us-gaap:RetainedEarningsMember2020-12-310000927628us-gaap:AccumulatedOtherComprehensiveIncomeMember2020-12-310000927628us-gaap:TreasuryStockMember2020-12-310000927628us-gaap:RetainedEarningsMember2021-01-012021-03-</w:t>
      </w:r>
      <w:r>
        <w:rPr>
          <w:rFonts w:eastAsia="Times New Roman"/>
          <w:vanish/>
        </w:rPr>
        <w:t>310000927628us-gaap:AccumulatedOtherComprehensiveIncomeMember2021-01-012021-03-3100009276282021-01-012021-03-310000927628us-gaap:CommonStockMember2021-01-012021-03-310000927628us-gaap:AdditionalPaidInCapitalMember2021-01-012021-03-310000927628us-gaap:Treas</w:t>
      </w:r>
      <w:r>
        <w:rPr>
          <w:rFonts w:eastAsia="Times New Roman"/>
          <w:vanish/>
        </w:rPr>
        <w:t>uryStockMember2021-01-012021-03-310000927628us-gaap:PreferredStockMember2021-03-310000927628us-gaap:CommonStockMember2021-03-310000927628us-gaap:AdditionalPaidInCapitalMember2021-03-310000927628us-gaap:RetainedEarningsMember2021-03-310000927628us-gaap:Accu</w:t>
      </w:r>
      <w:r>
        <w:rPr>
          <w:rFonts w:eastAsia="Times New Roman"/>
          <w:vanish/>
        </w:rPr>
        <w:t>mulatedOtherComprehensiveIncomeMember2021-03-310000927628us-gaap:TreasuryStockMember2021-03-3100009276282021-03-310000927628us-gaap:RetainedEarningsMember2021-04-012021-06-300000927628us-gaap:AccumulatedOtherComprehensiveIncomeMember2021-04-012021-06-30000</w:t>
      </w:r>
      <w:r>
        <w:rPr>
          <w:rFonts w:eastAsia="Times New Roman"/>
          <w:vanish/>
        </w:rPr>
        <w:t>09276282021-04-012021-06-300000927628us-gaap:CommonStockMember2021-04-012021-06-300000927628us-gaap:AdditionalPaidInCapitalMember2021-04-012021-06-300000927628us-gaap:TreasuryStockMember2021-04-012021-06-300000927628us-gaap:PreferredStockMember2021-04-0120</w:t>
      </w:r>
      <w:r>
        <w:rPr>
          <w:rFonts w:eastAsia="Times New Roman"/>
          <w:vanish/>
        </w:rPr>
        <w:t>21-06-300000927628us-gaap:PreferredStockMember2021-06-300000927628us-gaap:CommonStockMember2021-06-300000927628us-gaap:AdditionalPaidInCapitalMember2021-06-300000927628us-gaap:RetainedEarningsMember2021-06-300000927628us-gaap:AccumulatedOtherComprehensiveI</w:t>
      </w:r>
      <w:r>
        <w:rPr>
          <w:rFonts w:eastAsia="Times New Roman"/>
          <w:vanish/>
        </w:rPr>
        <w:t>ncomeMember2021-06-300000927628us-gaap:TreasuryStockMember2021-06-3000009276282021-06-300000927628us-gaap:RetainedEarningsMember2021-07-012021-09-300000927628us-gaap:AccumulatedOtherComprehensiveIncomeMember2021-07-012021-09-300000927628us-gaap:CommonStock</w:t>
      </w:r>
      <w:r>
        <w:rPr>
          <w:rFonts w:eastAsia="Times New Roman"/>
          <w:vanish/>
        </w:rPr>
        <w:t>Member2021-07-012021-09-300000927628us-gaap:AdditionalPaidInCapitalMember2021-07-012021-09-300000927628us-gaap:TreasuryStockMember2021-07-012021-09-300000927628us-gaap:PreferredStockMember2021-07-012021-09-300000927628us-gaap:PreferredStockMember2021-01-01</w:t>
      </w:r>
      <w:r>
        <w:rPr>
          <w:rFonts w:eastAsia="Times New Roman"/>
          <w:vanish/>
        </w:rPr>
        <w:t>2021-09-300000927628us-gaap:AdditionalPaidInCapitalMember2021-01-012021-09-300000927628us-gaap:RetainedEarningsMember2021-01-012021-09-300000927628us-gaap:PreferredStockMember2021-09-300000927628us-gaap:CommonStockMember2021-09-300000927628us-gaap:Addition</w:t>
      </w:r>
      <w:r>
        <w:rPr>
          <w:rFonts w:eastAsia="Times New Roman"/>
          <w:vanish/>
        </w:rPr>
        <w:t>alPaidInCapitalMember2021-09-300000927628us-gaap:RetainedEarningsMember2021-09-300000927628us-gaap:AccumulatedOtherComprehensiveIncomeMember2021-09-300000927628us-gaap:TreasuryStockMember2021-09-300000927628us-gaap:PreferredStockMember2019-12-310000927628u</w:t>
      </w:r>
      <w:r>
        <w:rPr>
          <w:rFonts w:eastAsia="Times New Roman"/>
          <w:vanish/>
        </w:rPr>
        <w:t>s-gaap:CommonStockMember2019-12-310000927628us-gaap:AdditionalPaidInCapitalMember2019-12-310000927628us-gaap:RetainedEarningsMember2019-12-310000927628us-gaap:AccumulatedOtherComprehensiveIncomeMember2019-12-310000927628us-gaap:TreasuryStockMember2019-12-3</w:t>
      </w:r>
      <w:r>
        <w:rPr>
          <w:rFonts w:eastAsia="Times New Roman"/>
          <w:vanish/>
        </w:rPr>
        <w:t>100009276282019-12-310000927628srt:CumulativeEffectPeriodOfAdoptionAdjustmentMemberus-gaap:RetainedEarningsMember2019-12-310000927628us-gaap:AccumulatedOtherComprehensiveIncomeMembersrt:CumulativeEffectPeriodOfAdoptionAdjustmentMember2019-12-310000927628sr</w:t>
      </w:r>
      <w:r>
        <w:rPr>
          <w:rFonts w:eastAsia="Times New Roman"/>
          <w:vanish/>
        </w:rPr>
        <w:t>t:CumulativeEffectPeriodOfAdoptionAdjustmentMember2019-12-310000927628us-gaap:RetainedEarningsMember2020-01-012020-03-310000927628us-gaap:AccumulatedOtherComprehensiveIncomeMember2020-01-012020-03-3100009276282020-01-012020-03-310000927628us-gaap:CommonSto</w:t>
      </w:r>
      <w:r>
        <w:rPr>
          <w:rFonts w:eastAsia="Times New Roman"/>
          <w:vanish/>
        </w:rPr>
        <w:t>ckMember2020-01-012020-03-310000927628us-gaap:AdditionalPaidInCapitalMember2020-01-012020-03-310000927628us-gaap:TreasuryStockMember2020-01-012020-03-310000927628us-gaap:PreferredStockMember2020-01-012020-03-310000927628us-gaap:PreferredStockMember2020-03-</w:t>
      </w:r>
      <w:r>
        <w:rPr>
          <w:rFonts w:eastAsia="Times New Roman"/>
          <w:vanish/>
        </w:rPr>
        <w:t>310000927628us-gaap:CommonStockMember2020-03-310000927628us-gaap:AdditionalPaidInCapitalMember2020-03-310000927628us-gaap:RetainedEarningsMember2020-03-310000927628us-gaap:AccumulatedOtherComprehensiveIncomeMember2020-03-310000927628us-gaap:TreasuryStockMe</w:t>
      </w:r>
      <w:r>
        <w:rPr>
          <w:rFonts w:eastAsia="Times New Roman"/>
          <w:vanish/>
        </w:rPr>
        <w:t>mber2020-03-3100009276282020-03-310000927628us-gaap:RetainedEarningsMember2020-04-012020-06-300000927628us-gaap:AccumulatedOtherComprehensiveIncomeMember2020-04-012020-06-3000009276282020-04-012020-06-300000927628us-gaap:CommonStockMember2020-04-012020-06-</w:t>
      </w:r>
      <w:r>
        <w:rPr>
          <w:rFonts w:eastAsia="Times New Roman"/>
          <w:vanish/>
        </w:rPr>
        <w:t>300000927628us-gaap:AdditionalPaidInCapitalMember2020-04-012020-06-300000927628us-gaap:TreasuryStockMember2020-04-012020-06-300000927628us-gaap:PreferredStockMember2020-06-300000927628us-gaap:CommonStockMember2020-06-300000927628us-gaap:AdditionalPaidInCap</w:t>
      </w:r>
      <w:r>
        <w:rPr>
          <w:rFonts w:eastAsia="Times New Roman"/>
          <w:vanish/>
        </w:rPr>
        <w:t>italMember2020-06-300000927628us-gaap:RetainedEarningsMember2020-06-300000927628us-gaap:AccumulatedOtherComprehensiveIncomeMember2020-06-300000927628us-gaap:TreasuryStockMember2020-06-3000009276282020-06-300000927628us-gaap:RetainedEarningsMember2020-07-01</w:t>
      </w:r>
      <w:r>
        <w:rPr>
          <w:rFonts w:eastAsia="Times New Roman"/>
          <w:vanish/>
        </w:rPr>
        <w:t>2020-09-300000927628us-gaap:AccumulatedOtherComprehensiveIncomeMember2020-07-012020-09-300000927628us-gaap:CommonStockMember2020-07-012020-09-300000927628us-gaap:AdditionalPaidInCapitalMember2020-07-012020-09-300000927628us-gaap:TreasuryStockMember2020-07-</w:t>
      </w:r>
      <w:r>
        <w:rPr>
          <w:rFonts w:eastAsia="Times New Roman"/>
          <w:vanish/>
        </w:rPr>
        <w:t>012020-09-300000927628us-gaap:PreferredStockMember2020-07-012020-09-300000927628us-gaap:PreferredStockMember2020-09-300000927628us-gaap:CommonStockMember2020-09-300000927628us-gaap:AdditionalPaidInCapitalMember2020-09-300000927628us-gaap:RetainedEarningsMe</w:t>
      </w:r>
      <w:r>
        <w:rPr>
          <w:rFonts w:eastAsia="Times New Roman"/>
          <w:vanish/>
        </w:rPr>
        <w:t>mber2020-09-300000927628us-gaap:AccumulatedOtherComprehensiveIncomeMember2020-09-300000927628us-gaap:TreasuryStockMember2020-09-3000009276282020-09-30cof:segmentxbrli:pure0000927628us-gaap:USTreasuryAndGovernmentMemberus-gaap:GovernmentContractsConcentrati</w:t>
      </w:r>
      <w:r>
        <w:rPr>
          <w:rFonts w:eastAsia="Times New Roman"/>
          <w:vanish/>
        </w:rPr>
        <w:t>onRiskMemberus-gaap:AvailableforsaleSecuritiesMember2021-09-302021-09-300000927628us-gaap:USTreasuryAndGovernmentMemberus-gaap:GovernmentContractsConcentrationRiskMemberus-gaap:AvailableforsaleSecuritiesMember2020-12-312020-12-3100009276282020-01-012020-12</w:t>
      </w:r>
      <w:r>
        <w:rPr>
          <w:rFonts w:eastAsia="Times New Roman"/>
          <w:vanish/>
        </w:rPr>
        <w:t>-310000927628us-gaap:USTreasurySecuritiesMember2021-09-300000927628cof:ResidentialMortgageBackedSecuritiesAgencyMember2021-09-300000927628cof:ResidentialMortgageBackedSecuritiesNonagencyMember2021-09-300000927628us-gaap:ResidentialMortgageBackedSecuritiesM</w:t>
      </w:r>
      <w:r>
        <w:rPr>
          <w:rFonts w:eastAsia="Times New Roman"/>
          <w:vanish/>
        </w:rPr>
        <w:t>ember2021-09-300000927628cof:CommercialMortgageBackedSecuritiesAgencyMember2021-09-300000927628us-gaap:OtherDebtSecuritiesMember2021-09-300000927628us-gaap:USTreasurySecuritiesMember2020-12-310000927628cof:ResidentialMortgageBackedSecuritiesAgencyMember202</w:t>
      </w:r>
      <w:r>
        <w:rPr>
          <w:rFonts w:eastAsia="Times New Roman"/>
          <w:vanish/>
        </w:rPr>
        <w:t>0-12-310000927628cof:ResidentialMortgageBackedSecuritiesNonagencyMember2020-12-310000927628us-gaap:ResidentialMortgageBackedSecuritiesMember2020-12-310000927628cof:CommercialMortgageBackedSecuritiesAgencyMember2020-12-310000927628us-gaap:OtherDebtSecuritie</w:t>
      </w:r>
      <w:r>
        <w:rPr>
          <w:rFonts w:eastAsia="Times New Roman"/>
          <w:vanish/>
        </w:rPr>
        <w:t>sMember2020-12-310000927628us-gaap:AssetBackedSecuritiesMember2021-09-300000927628us-gaap:AssetBackedSecuritiesMember2020-12-31cof:security0000927628us-gaap:ResidentialMortgageBackedSecuritiesMember2021-01-012021-09-300000927628cof:CommercialMortgageBacked</w:t>
      </w:r>
      <w:r>
        <w:rPr>
          <w:rFonts w:eastAsia="Times New Roman"/>
          <w:vanish/>
        </w:rPr>
        <w:t>SecuritiesAgencyMember2021-01-012021-09-300000927628us-gaap:GeographicDistributionDomesticMembercof:CreditCardPortfolioSegmentMember2021-09-300000927628us-gaap:FinancingReceivables30To59DaysPastDueMemberus-gaap:GeographicDistributionDomesticMembercof:Credi</w:t>
      </w:r>
      <w:r>
        <w:rPr>
          <w:rFonts w:eastAsia="Times New Roman"/>
          <w:vanish/>
        </w:rPr>
        <w:t>tCardPortfolioSegmentMember2021-09-300000927628us-gaap:FinancingReceivables60To89DaysPastDueMemberus-gaap:GeographicDistributionDomesticMembercof:CreditCardPortfolioSegmentMember2021-09-300000927628us-gaap:GeographicDistributionDomesticMembercof:CreditCard</w:t>
      </w:r>
      <w:r>
        <w:rPr>
          <w:rFonts w:eastAsia="Times New Roman"/>
          <w:vanish/>
        </w:rPr>
        <w:t>PortfolioSegmentMemberus-gaap:FinancingReceivablesEqualToGreaterThan90DaysPastDueMember2021-09-300000927628us-gaap:FinancialAssetPastDueMemberus-gaap:GeographicDistributionDomesticMembercof:CreditCardPortfolioSegmentMember2021-09-300000927628cof:CreditCard</w:t>
      </w:r>
      <w:r>
        <w:rPr>
          <w:rFonts w:eastAsia="Times New Roman"/>
          <w:vanish/>
        </w:rPr>
        <w:t>PortfolioSegmentMemberus-gaap:GeographicDistributionForeignMember2021-09-300000927628us-gaap:FinancingReceivables30To59DaysPastDueMembercof:CreditCardPortfolioSegmentMemberus-gaap:GeographicDistributionForeignMember2021-09-300000927628us-gaap:FinancingRece</w:t>
      </w:r>
      <w:r>
        <w:rPr>
          <w:rFonts w:eastAsia="Times New Roman"/>
          <w:vanish/>
        </w:rPr>
        <w:t>ivables60To89DaysPastDueMembercof:CreditCardPortfolioSegmentMemberus-gaap:GeographicDistributionForeignMember2021-09-300000927628cof:CreditCardPortfolioSegmentMemberus-gaap:GeographicDistributionForeignMemberus-gaap:FinancingReceivablesEqualToGreaterThan90</w:t>
      </w:r>
      <w:r>
        <w:rPr>
          <w:rFonts w:eastAsia="Times New Roman"/>
          <w:vanish/>
        </w:rPr>
        <w:t>DaysPastDueMember2021-09-300000927628us-gaap:FinancialAssetPastDueMembercof:CreditCardPortfolioSegmentMemberus-gaap:GeographicDistributionForeignMember2021-09-300000927628cof:CreditCardPortfolioSegmentMember2021-09-300000927628us-gaap:FinancingReceivables3</w:t>
      </w:r>
      <w:r>
        <w:rPr>
          <w:rFonts w:eastAsia="Times New Roman"/>
          <w:vanish/>
        </w:rPr>
        <w:t>0To59DaysPastDueMembercof:CreditCardPortfolioSegmentMember2021-09-300000927628us-gaap:FinancingReceivables60To89DaysPastDueMembercof:CreditCardPortfolioSegmentMember2021-09-300000927628cof:CreditCardPortfolioSegmentMemberus-gaap:FinancingReceivablesEqualTo</w:t>
      </w:r>
      <w:r>
        <w:rPr>
          <w:rFonts w:eastAsia="Times New Roman"/>
          <w:vanish/>
        </w:rPr>
        <w:t>GreaterThan90DaysPastDueMember2021-09-300000927628us-gaap:FinancialAssetPastDueMembercof:CreditCardPortfolioSegmentMember2021-09-300000927628us-gaap:ConsumerPortfolioSegmentMemberus-gaap:AutomobileLoanMember2021-09-300000927628us-gaap:FinancingReceivables3</w:t>
      </w:r>
      <w:r>
        <w:rPr>
          <w:rFonts w:eastAsia="Times New Roman"/>
          <w:vanish/>
        </w:rPr>
        <w:t>0To59DaysPastDueMemberus-gaap:ConsumerPortfolioSegmentMemberus-gaap:AutomobileLoanMember2021-09-300000927628us-gaap:ConsumerPortfolioSegmentMemberus-gaap:FinancingReceivables60To89DaysPastDueMemberus-gaap:AutomobileLoanMember2021-09-300000927628us-gaap:Con</w:t>
      </w:r>
      <w:r>
        <w:rPr>
          <w:rFonts w:eastAsia="Times New Roman"/>
          <w:vanish/>
        </w:rPr>
        <w:t>sumerPortfolioSegmentMemberus-gaap:AutomobileLoanMemberus-gaap:FinancingReceivablesEqualToGreaterThan90DaysPastDueMember2021-09-300000927628us-gaap:ConsumerPortfolioSegmentMemberus-gaap:FinancialAssetPastDueMemberus-gaap:AutomobileLoanMember2021-09-3000009</w:t>
      </w:r>
      <w:r>
        <w:rPr>
          <w:rFonts w:eastAsia="Times New Roman"/>
          <w:vanish/>
        </w:rPr>
        <w:t>27628us-gaap:ConsumerPortfolioSegmentMembercof:RetailBankingMember2021-09-300000927628us-gaap:FinancingReceivables30To59DaysPastDueMemberus-gaap:ConsumerPortfolioSegmentMembercof:RetailBankingMember2021-09-300000927628us-gaap:ConsumerPortfolioSegmentMember</w:t>
      </w:r>
      <w:r>
        <w:rPr>
          <w:rFonts w:eastAsia="Times New Roman"/>
          <w:vanish/>
        </w:rPr>
        <w:t>us-gaap:FinancingReceivables60To89DaysPastDueMembercof:RetailBankingMember2021-09-300000927628us-gaap:ConsumerPortfolioSegmentMembercof:RetailBankingMemberus-gaap:FinancingReceivablesEqualToGreaterThan90DaysPastDueMember2021-09-300000927628us-gaap:Consumer</w:t>
      </w:r>
      <w:r>
        <w:rPr>
          <w:rFonts w:eastAsia="Times New Roman"/>
          <w:vanish/>
        </w:rPr>
        <w:t>PortfolioSegmentMemberus-gaap:FinancialAssetPastDueMembercof:RetailBankingMember2021-09-300000927628us-gaap:ConsumerPortfolioSegmentMember2021-09-300000927628us-gaap:FinancingReceivables30To59DaysPastDueMemberus-gaap:ConsumerPortfolioSegmentMember2021-09-3</w:t>
      </w:r>
      <w:r>
        <w:rPr>
          <w:rFonts w:eastAsia="Times New Roman"/>
          <w:vanish/>
        </w:rPr>
        <w:t>00000927628us-gaap:ConsumerPortfolioSegmentMemberus-gaap:FinancingReceivables60To89DaysPastDueMember2021-09-300000927628us-gaap:ConsumerPortfolioSegmentMemberus-gaap:FinancingReceivablesEqualToGreaterThan90DaysPastDueMember2021-09-300000927628us-gaap:Consu</w:t>
      </w:r>
      <w:r>
        <w:rPr>
          <w:rFonts w:eastAsia="Times New Roman"/>
          <w:vanish/>
        </w:rPr>
        <w:t>merPortfolioSegmentMemberus-gaap:FinancialAssetPastDueMember2021-09-300000927628us-gaap:CommercialPortfolioSegmentMembercof:CommercialAndMultifamilyRealEstateMember2021-09-300000927628us-gaap:FinancingReceivables30To59DaysPastDueMemberus-gaap:CommercialPor</w:t>
      </w:r>
      <w:r>
        <w:rPr>
          <w:rFonts w:eastAsia="Times New Roman"/>
          <w:vanish/>
        </w:rPr>
        <w:t>tfolioSegmentMembercof:CommercialAndMultifamilyRealEstateMember2021-09-300000927628us-gaap:FinancingReceivables60To89DaysPastDueMemberus-gaap:CommercialPortfolioSegmentMembercof:CommercialAndMultifamilyRealEstateMember2021-09-300000927628us-gaap:Commercial</w:t>
      </w:r>
      <w:r>
        <w:rPr>
          <w:rFonts w:eastAsia="Times New Roman"/>
          <w:vanish/>
        </w:rPr>
        <w:t>PortfolioSegmentMemberus-gaap:FinancingReceivablesEqualToGreaterThan90DaysPastDueMembercof:CommercialAndMultifamilyRealEstateMember2021-09-300000927628us-gaap:FinancialAssetPastDueMemberus-gaap:CommercialPortfolioSegmentMembercof:CommercialAndMultifamilyRe</w:t>
      </w:r>
      <w:r>
        <w:rPr>
          <w:rFonts w:eastAsia="Times New Roman"/>
          <w:vanish/>
        </w:rPr>
        <w:t>alEstateMember2021-09-300000927628cof:CommercialAndIndustrialMemberus-gaap:CommercialPortfolioSegmentMember2021-09-300000927628us-gaap:FinancingReceivables30To59DaysPastDueMembercof:CommercialAndIndustrialMemberus-gaap:CommercialPortfolioSegmentMember2021-</w:t>
      </w:r>
      <w:r>
        <w:rPr>
          <w:rFonts w:eastAsia="Times New Roman"/>
          <w:vanish/>
        </w:rPr>
        <w:t>09-300000927628cof:CommercialAndIndustrialMemberus-gaap:FinancingReceivables60To89DaysPastDueMemberus-gaap:CommercialPortfolioSegmentMember2021-09-300000927628cof:CommercialAndIndustrialMemberus-gaap:CommercialPortfolioSegmentMemberus-gaap:FinancingReceiva</w:t>
      </w:r>
      <w:r>
        <w:rPr>
          <w:rFonts w:eastAsia="Times New Roman"/>
          <w:vanish/>
        </w:rPr>
        <w:t>blesEqualToGreaterThan90DaysPastDueMember2021-09-300000927628cof:CommercialAndIndustrialMemberus-gaap:FinancialAssetPastDueMemberus-gaap:CommercialPortfolioSegmentMember2021-09-300000927628us-gaap:CommercialPortfolioSegmentMember2021-09-300000927628us-gaap</w:t>
      </w:r>
      <w:r>
        <w:rPr>
          <w:rFonts w:eastAsia="Times New Roman"/>
          <w:vanish/>
        </w:rPr>
        <w:t>:FinancingReceivables30To59DaysPastDueMemberus-gaap:CommercialPortfolioSegmentMember2021-09-300000927628us-gaap:FinancingReceivables60To89DaysPastDueMemberus-gaap:CommercialPortfolioSegmentMember2021-09-300000927628us-gaap:CommercialPortfolioSegmentMemberu</w:t>
      </w:r>
      <w:r>
        <w:rPr>
          <w:rFonts w:eastAsia="Times New Roman"/>
          <w:vanish/>
        </w:rPr>
        <w:t>s-gaap:FinancingReceivablesEqualToGreaterThan90DaysPastDueMember2021-09-300000927628us-gaap:FinancialAssetPastDueMemberus-gaap:CommercialPortfolioSegmentMember2021-09-300000927628us-gaap:FinancingReceivables30To59DaysPastDueMember2021-09-300000927628us-gaa</w:t>
      </w:r>
      <w:r>
        <w:rPr>
          <w:rFonts w:eastAsia="Times New Roman"/>
          <w:vanish/>
        </w:rPr>
        <w:t>p:FinancingReceivables60To89DaysPastDueMember2021-09-300000927628us-gaap:FinancingReceivablesEqualToGreaterThan90DaysPastDueMember2021-09-300000927628us-gaap:FinancialAssetPastDueMember2021-09-300000927628us-gaap:GeographicDistributionDomesticMembercof:Cre</w:t>
      </w:r>
      <w:r>
        <w:rPr>
          <w:rFonts w:eastAsia="Times New Roman"/>
          <w:vanish/>
        </w:rPr>
        <w:t>ditCardPortfolioSegmentMember2020-12-310000927628us-gaap:FinancingReceivables30To59DaysPastDueMemberus-gaap:GeographicDistributionDomesticMembercof:CreditCardPortfolioSegmentMember2020-12-310000927628us-gaap:FinancingReceivables60To89DaysPastDueMemberus-ga</w:t>
      </w:r>
      <w:r>
        <w:rPr>
          <w:rFonts w:eastAsia="Times New Roman"/>
          <w:vanish/>
        </w:rPr>
        <w:t>ap:GeographicDistributionDomesticMembercof:CreditCardPortfolioSegmentMember2020-12-310000927628us-gaap:GeographicDistributionDomesticMembercof:CreditCardPortfolioSegmentMemberus-gaap:FinancingReceivablesEqualToGreaterThan90DaysPastDueMember2020-12-31000092</w:t>
      </w:r>
      <w:r>
        <w:rPr>
          <w:rFonts w:eastAsia="Times New Roman"/>
          <w:vanish/>
        </w:rPr>
        <w:t>7628us-gaap:FinancialAssetPastDueMemberus-gaap:GeographicDistributionDomesticMembercof:CreditCardPortfolioSegmentMember2020-12-310000927628cof:CreditCardPortfolioSegmentMemberus-gaap:GeographicDistributionForeignMember2020-12-310000927628us-gaap:FinancingR</w:t>
      </w:r>
      <w:r>
        <w:rPr>
          <w:rFonts w:eastAsia="Times New Roman"/>
          <w:vanish/>
        </w:rPr>
        <w:t>eceivables30To59DaysPastDueMembercof:CreditCardPortfolioSegmentMemberus-gaap:GeographicDistributionForeignMember2020-12-310000927628us-gaap:FinancingReceivables60To89DaysPastDueMembercof:CreditCardPortfolioSegmentMemberus-gaap:GeographicDistributionForeign</w:t>
      </w:r>
      <w:r>
        <w:rPr>
          <w:rFonts w:eastAsia="Times New Roman"/>
          <w:vanish/>
        </w:rPr>
        <w:t>Member2020-12-310000927628cof:CreditCardPortfolioSegmentMemberus-gaap:GeographicDistributionForeignMemberus-gaap:FinancingReceivablesEqualToGreaterThan90DaysPastDueMember2020-12-310000927628us-gaap:FinancialAssetPastDueMembercof:CreditCardPortfolioSegmentM</w:t>
      </w:r>
      <w:r>
        <w:rPr>
          <w:rFonts w:eastAsia="Times New Roman"/>
          <w:vanish/>
        </w:rPr>
        <w:t>emberus-gaap:GeographicDistributionForeignMember2020-12-310000927628cof:CreditCardPortfolioSegmentMember2020-12-310000927628us-gaap:FinancingReceivables30To59DaysPastDueMembercof:CreditCardPortfolioSegmentMember2020-12-310000927628us-gaap:FinancingReceivab</w:t>
      </w:r>
      <w:r>
        <w:rPr>
          <w:rFonts w:eastAsia="Times New Roman"/>
          <w:vanish/>
        </w:rPr>
        <w:t>les60To89DaysPastDueMembercof:CreditCardPortfolioSegmentMember2020-12-310000927628cof:CreditCardPortfolioSegmentMemberus-gaap:FinancingReceivablesEqualToGreaterThan90DaysPastDueMember2020-12-310000927628us-gaap:FinancialAssetPastDueMembercof:CreditCardPort</w:t>
      </w:r>
      <w:r>
        <w:rPr>
          <w:rFonts w:eastAsia="Times New Roman"/>
          <w:vanish/>
        </w:rPr>
        <w:t>folioSegmentMember2020-12-310000927628us-gaap:ConsumerPortfolioSegmentMemberus-gaap:AutomobileLoanMember2020-12-310000927628us-gaap:FinancingReceivables30To59DaysPastDueMemberus-gaap:ConsumerPortfolioSegmentMemberus-gaap:AutomobileLoanMember2020-12-3100009</w:t>
      </w:r>
      <w:r>
        <w:rPr>
          <w:rFonts w:eastAsia="Times New Roman"/>
          <w:vanish/>
        </w:rPr>
        <w:t>27628us-gaap:ConsumerPortfolioSegmentMemberus-gaap:FinancingReceivables60To89DaysPastDueMemberus-gaap:AutomobileLoanMember2020-12-310000927628us-gaap:ConsumerPortfolioSegmentMemberus-gaap:AutomobileLoanMemberus-gaap:FinancingReceivablesEqualToGreaterThan90</w:t>
      </w:r>
      <w:r>
        <w:rPr>
          <w:rFonts w:eastAsia="Times New Roman"/>
          <w:vanish/>
        </w:rPr>
        <w:t>DaysPastDueMember2020-12-310000927628us-gaap:ConsumerPortfolioSegmentMemberus-gaap:FinancialAssetPastDueMemberus-gaap:AutomobileLoanMember2020-12-310000927628us-gaap:ConsumerPortfolioSegmentMembercof:RetailBankingMember2020-12-310000927628us-gaap:Financing</w:t>
      </w:r>
      <w:r>
        <w:rPr>
          <w:rFonts w:eastAsia="Times New Roman"/>
          <w:vanish/>
        </w:rPr>
        <w:t>Receivables30To59DaysPastDueMemberus-gaap:ConsumerPortfolioSegmentMembercof:RetailBankingMember2020-12-310000927628us-gaap:ConsumerPortfolioSegmentMemberus-gaap:FinancingReceivables60To89DaysPastDueMembercof:RetailBankingMember2020-12-310000927628us-gaap:C</w:t>
      </w:r>
      <w:r>
        <w:rPr>
          <w:rFonts w:eastAsia="Times New Roman"/>
          <w:vanish/>
        </w:rPr>
        <w:t>onsumerPortfolioSegmentMembercof:RetailBankingMemberus-gaap:FinancingReceivablesEqualToGreaterThan90DaysPastDueMember2020-12-310000927628us-gaap:ConsumerPortfolioSegmentMemberus-gaap:FinancialAssetPastDueMembercof:RetailBankingMember2020-12-310000927628us-</w:t>
      </w:r>
      <w:r>
        <w:rPr>
          <w:rFonts w:eastAsia="Times New Roman"/>
          <w:vanish/>
        </w:rPr>
        <w:t>gaap:ConsumerPortfolioSegmentMember2020-12-310000927628us-gaap:FinancingReceivables30To59DaysPastDueMemberus-gaap:ConsumerPortfolioSegmentMember2020-12-310000927628us-gaap:ConsumerPortfolioSegmentMemberus-gaap:FinancingReceivables60To89DaysPastDueMember202</w:t>
      </w:r>
      <w:r>
        <w:rPr>
          <w:rFonts w:eastAsia="Times New Roman"/>
          <w:vanish/>
        </w:rPr>
        <w:t>0-12-310000927628us-gaap:ConsumerPortfolioSegmentMemberus-gaap:FinancingReceivablesEqualToGreaterThan90DaysPastDueMember2020-12-310000927628us-gaap:ConsumerPortfolioSegmentMemberus-gaap:FinancialAssetPastDueMember2020-12-310000927628us-gaap:CommercialPortf</w:t>
      </w:r>
      <w:r>
        <w:rPr>
          <w:rFonts w:eastAsia="Times New Roman"/>
          <w:vanish/>
        </w:rPr>
        <w:t>olioSegmentMembercof:CommercialAndMultifamilyRealEstateMember2020-12-310000927628us-gaap:FinancingReceivables30To59DaysPastDueMemberus-gaap:CommercialPortfolioSegmentMembercof:CommercialAndMultifamilyRealEstateMember2020-12-310000927628us-gaap:FinancingRec</w:t>
      </w:r>
      <w:r>
        <w:rPr>
          <w:rFonts w:eastAsia="Times New Roman"/>
          <w:vanish/>
        </w:rPr>
        <w:t>eivables60To89DaysPastDueMemberus-gaap:CommercialPortfolioSegmentMembercof:CommercialAndMultifamilyRealEstateMember2020-12-310000927628us-gaap:CommercialPortfolioSegmentMemberus-gaap:FinancingReceivablesEqualToGreaterThan90DaysPastDueMembercof:CommercialAn</w:t>
      </w:r>
      <w:r>
        <w:rPr>
          <w:rFonts w:eastAsia="Times New Roman"/>
          <w:vanish/>
        </w:rPr>
        <w:t>dMultifamilyRealEstateMember2020-12-310000927628us-gaap:FinancialAssetPastDueMemberus-gaap:CommercialPortfolioSegmentMembercof:CommercialAndMultifamilyRealEstateMember2020-12-310000927628cof:CommercialAndIndustrialMemberus-gaap:CommercialPortfolioSegmentMe</w:t>
      </w:r>
      <w:r>
        <w:rPr>
          <w:rFonts w:eastAsia="Times New Roman"/>
          <w:vanish/>
        </w:rPr>
        <w:t>mber2020-12-310000927628us-gaap:FinancingReceivables30To59DaysPastDueMembercof:CommercialAndIndustrialMemberus-gaap:CommercialPortfolioSegmentMember2020-12-310000927628cof:CommercialAndIndustrialMemberus-gaap:FinancingReceivables60To89DaysPastDueMemberus-g</w:t>
      </w:r>
      <w:r>
        <w:rPr>
          <w:rFonts w:eastAsia="Times New Roman"/>
          <w:vanish/>
        </w:rPr>
        <w:t>aap:CommercialPortfolioSegmentMember2020-12-310000927628cof:CommercialAndIndustrialMemberus-gaap:CommercialPortfolioSegmentMemberus-gaap:FinancingReceivablesEqualToGreaterThan90DaysPastDueMember2020-12-310000927628cof:CommercialAndIndustrialMemberus-gaap:F</w:t>
      </w:r>
      <w:r>
        <w:rPr>
          <w:rFonts w:eastAsia="Times New Roman"/>
          <w:vanish/>
        </w:rPr>
        <w:t>inancialAssetPastDueMemberus-gaap:CommercialPortfolioSegmentMember2020-12-310000927628us-gaap:CommercialPortfolioSegmentMember2020-12-310000927628us-gaap:FinancingReceivables30To59DaysPastDueMemberus-gaap:CommercialPortfolioSegmentMember2020-12-31000092762</w:t>
      </w:r>
      <w:r>
        <w:rPr>
          <w:rFonts w:eastAsia="Times New Roman"/>
          <w:vanish/>
        </w:rPr>
        <w:t>8us-gaap:FinancingReceivables60To89DaysPastDueMemberus-gaap:CommercialPortfolioSegmentMember2020-12-310000927628us-gaap:CommercialPortfolioSegmentMemberus-gaap:FinancingReceivablesEqualToGreaterThan90DaysPastDueMember2020-12-310000927628us-gaap:FinancialAs</w:t>
      </w:r>
      <w:r>
        <w:rPr>
          <w:rFonts w:eastAsia="Times New Roman"/>
          <w:vanish/>
        </w:rPr>
        <w:t>setPastDueMemberus-gaap:CommercialPortfolioSegmentMember2020-12-310000927628us-gaap:FinancingReceivables30To59DaysPastDueMember2020-12-310000927628us-gaap:FinancingReceivables60To89DaysPastDueMember2020-12-310000927628us-gaap:FinancingReceivablesEqualToGre</w:t>
      </w:r>
      <w:r>
        <w:rPr>
          <w:rFonts w:eastAsia="Times New Roman"/>
          <w:vanish/>
        </w:rPr>
        <w:t>aterThan90DaysPastDueMember2020-12-310000927628us-gaap:FinancialAssetPastDueMember2020-12-310000927628cof:CreditCardPortfolioSegmentMember2021-01-012021-09-300000927628cof:FinancialAssetCurrentAndLessThan30DaysPastDueMemberus-gaap:GeographicDistributionDom</w:t>
      </w:r>
      <w:r>
        <w:rPr>
          <w:rFonts w:eastAsia="Times New Roman"/>
          <w:vanish/>
        </w:rPr>
        <w:t>esticMembercof:CreditCardPortfolioSegmentMember2021-09-300000927628cof:FinancialAssetCurrentAndLessThan30DaysPastDueMemberus-gaap:GeographicDistributionDomesticMembercof:CreditCardPortfolioSegmentMember2020-12-310000927628cof:FinancialAssetCurrentAndLessTh</w:t>
      </w:r>
      <w:r>
        <w:rPr>
          <w:rFonts w:eastAsia="Times New Roman"/>
          <w:vanish/>
        </w:rPr>
        <w:t>an30DaysPastDueMembercof:CreditCardPortfolioSegmentMemberus-gaap:GeographicDistributionForeignMember2021-09-300000927628cof:FinancialAssetCurrentAndLessThan30DaysPastDueMembercof:CreditCardPortfolioSegmentMemberus-gaap:GeographicDistributionForeignMember20</w:t>
      </w:r>
      <w:r>
        <w:rPr>
          <w:rFonts w:eastAsia="Times New Roman"/>
          <w:vanish/>
        </w:rPr>
        <w:t>20-12-310000927628us-gaap:ConsumerPortfolioSegmentMember2021-01-012021-09-300000927628us-gaap:ConsumerPortfolioSegmentMemberus-gaap:AutomobileLoanMembercof:FICOScoreGreaterThan660Member2021-09-300000927628cof:FICOScore621To660Memberus-gaap:ConsumerPortfoli</w:t>
      </w:r>
      <w:r>
        <w:rPr>
          <w:rFonts w:eastAsia="Times New Roman"/>
          <w:vanish/>
        </w:rPr>
        <w:t>oSegmentMemberus-gaap:AutomobileLoanMember2021-09-300000927628us-gaap:ConsumerPortfolioSegmentMembercof:FICOScoreLessThan620Memberus-gaap:AutomobileLoanMember2021-09-300000927628us-gaap:ConsumerPortfolioSegmentMembercof:FinancialAssetCurrentAndLessThan30Da</w:t>
      </w:r>
      <w:r>
        <w:rPr>
          <w:rFonts w:eastAsia="Times New Roman"/>
          <w:vanish/>
        </w:rPr>
        <w:t>ysPastDueMembercof:RetailBankingMember2021-09-300000927628us-gaap:ConsumerPortfolioSegmentMemberus-gaap:AutomobileLoanMembercof:FICOScoreGreaterThan660Member2020-12-310000927628cof:FICOScore621To660Memberus-gaap:ConsumerPortfolioSegmentMemberus-gaap:Automo</w:t>
      </w:r>
      <w:r>
        <w:rPr>
          <w:rFonts w:eastAsia="Times New Roman"/>
          <w:vanish/>
        </w:rPr>
        <w:t>bileLoanMember2020-12-310000927628us-gaap:ConsumerPortfolioSegmentMembercof:FICOScoreLessThan620Memberus-gaap:AutomobileLoanMember2020-12-310000927628us-gaap:ConsumerPortfolioSegmentMembercof:FinancialAssetCurrentAndLessThan30DaysPastDueMembercof:RetailBan</w:t>
      </w:r>
      <w:r>
        <w:rPr>
          <w:rFonts w:eastAsia="Times New Roman"/>
          <w:vanish/>
        </w:rPr>
        <w:t>kingMember2020-12-310000927628us-gaap:CommercialPortfolioSegmentMember2021-01-012021-09-300000927628us-gaap:PassMemberus-gaap:CommercialPortfolioSegmentMembercof:CommercialAndMultifamilyRealEstateMember2021-09-300000927628us-gaap:PerformingFinancingReceiva</w:t>
      </w:r>
      <w:r>
        <w:rPr>
          <w:rFonts w:eastAsia="Times New Roman"/>
          <w:vanish/>
        </w:rPr>
        <w:t>bleMemberus-gaap:CriticizedMemberus-gaap:CommercialPortfolioSegmentMembercof:CommercialAndMultifamilyRealEstateMember2021-09-300000927628us-gaap:CriticizedMemberus-gaap:NonperformingFinancingReceivableMemberus-gaap:CommercialPortfolioSegmentMembercof:Comme</w:t>
      </w:r>
      <w:r>
        <w:rPr>
          <w:rFonts w:eastAsia="Times New Roman"/>
          <w:vanish/>
        </w:rPr>
        <w:t>rcialAndMultifamilyRealEstateMember2021-09-300000927628cof:CommercialAndIndustrialMemberus-gaap:PassMemberus-gaap:CommercialPortfolioSegmentMember2021-09-300000927628cof:CommercialAndIndustrialMemberus-gaap:PerformingFinancingReceivableMemberus-gaap:Critic</w:t>
      </w:r>
      <w:r>
        <w:rPr>
          <w:rFonts w:eastAsia="Times New Roman"/>
          <w:vanish/>
        </w:rPr>
        <w:t>izedMemberus-gaap:CommercialPortfolioSegmentMember2021-09-300000927628cof:CommercialAndIndustrialMemberus-gaap:CriticizedMemberus-gaap:NonperformingFinancingReceivableMemberus-gaap:CommercialPortfolioSegmentMember2021-09-300000927628us-gaap:PassMemberus-ga</w:t>
      </w:r>
      <w:r>
        <w:rPr>
          <w:rFonts w:eastAsia="Times New Roman"/>
          <w:vanish/>
        </w:rPr>
        <w:t>ap:CommercialPortfolioSegmentMembercof:CommercialAndMultifamilyRealEstateMember2020-12-310000927628us-gaap:PerformingFinancingReceivableMemberus-gaap:CriticizedMemberus-gaap:CommercialPortfolioSegmentMembercof:CommercialAndMultifamilyRealEstateMember2020-1</w:t>
      </w:r>
      <w:r>
        <w:rPr>
          <w:rFonts w:eastAsia="Times New Roman"/>
          <w:vanish/>
        </w:rPr>
        <w:t>2-310000927628us-gaap:CriticizedMemberus-gaap:NonperformingFinancingReceivableMemberus-gaap:CommercialPortfolioSegmentMembercof:CommercialAndMultifamilyRealEstateMember2020-12-310000927628cof:CommercialAndIndustrialMemberus-gaap:PassMemberus-gaap:Commercia</w:t>
      </w:r>
      <w:r>
        <w:rPr>
          <w:rFonts w:eastAsia="Times New Roman"/>
          <w:vanish/>
        </w:rPr>
        <w:t>lPortfolioSegmentMember2020-12-310000927628cof:CommercialAndIndustrialMemberus-gaap:PerformingFinancingReceivableMemberus-gaap:CriticizedMemberus-gaap:CommercialPortfolioSegmentMember2020-12-310000927628cof:CommercialAndIndustrialMemberus-gaap:CriticizedMe</w:t>
      </w:r>
      <w:r>
        <w:rPr>
          <w:rFonts w:eastAsia="Times New Roman"/>
          <w:vanish/>
        </w:rPr>
        <w:t>mberus-gaap:NonperformingFinancingReceivableMemberus-gaap:CommercialPortfolioSegmentMember2020-12-310000927628us-gaap:PerformingFinancingReceivableMembercof:CreditCardandConsumerPortfoliosMember2021-09-300000927628us-gaap:PerformingFinancingReceivableMembe</w:t>
      </w:r>
      <w:r>
        <w:rPr>
          <w:rFonts w:eastAsia="Times New Roman"/>
          <w:vanish/>
        </w:rPr>
        <w:t>rcof:CreditCardandConsumerPortfoliosMember2020-12-310000927628us-gaap:PerformingFinancingReceivableMemberus-gaap:CommercialPortfolioSegmentMember2021-09-300000927628us-gaap:PerformingFinancingReceivableMemberus-gaap:CommercialPortfolioSegmentMember2020-12-</w:t>
      </w:r>
      <w:r>
        <w:rPr>
          <w:rFonts w:eastAsia="Times New Roman"/>
          <w:vanish/>
        </w:rPr>
        <w:t>310000927628us-gaap:GeographicDistributionDomesticMembercof:CreditCardPortfolioSegmentMember2021-07-012021-09-300000927628us-gaap:GeographicDistributionDomesticMembercof:CreditCardPortfolioSegmentMemberus-gaap:ContractualInterestRateReductionMember2021-07-</w:t>
      </w:r>
      <w:r>
        <w:rPr>
          <w:rFonts w:eastAsia="Times New Roman"/>
          <w:vanish/>
        </w:rPr>
        <w:t>012021-09-300000927628us-gaap:ExtendedMaturityMemberus-gaap:GeographicDistributionDomesticMembercof:CreditCardPortfolioSegmentMember2021-07-012021-09-300000927628cof:CreditCardPortfolioSegmentMemberus-gaap:GeographicDistributionForeignMember2021-07-012021-</w:t>
      </w:r>
      <w:r>
        <w:rPr>
          <w:rFonts w:eastAsia="Times New Roman"/>
          <w:vanish/>
        </w:rPr>
        <w:t>09-300000927628cof:CreditCardPortfolioSegmentMemberus-gaap:ContractualInterestRateReductionMemberus-gaap:GeographicDistributionForeignMember2021-07-012021-09-300000927628us-gaap:ExtendedMaturityMembercof:CreditCardPortfolioSegmentMemberus-gaap:GeographicDi</w:t>
      </w:r>
      <w:r>
        <w:rPr>
          <w:rFonts w:eastAsia="Times New Roman"/>
          <w:vanish/>
        </w:rPr>
        <w:t>stributionForeignMember2021-07-012021-09-300000927628cof:CreditCardPortfolioSegmentMember2021-07-012021-09-300000927628cof:CreditCardPortfolioSegmentMemberus-gaap:ContractualInterestRateReductionMember2021-07-012021-09-300000927628us-gaap:ExtendedMaturityM</w:t>
      </w:r>
      <w:r>
        <w:rPr>
          <w:rFonts w:eastAsia="Times New Roman"/>
          <w:vanish/>
        </w:rPr>
        <w:t>embercof:CreditCardPortfolioSegmentMember2021-07-012021-09-300000927628us-gaap:ConsumerPortfolioSegmentMemberus-gaap:AutomobileLoanMember2021-07-012021-09-300000927628us-gaap:ConsumerPortfolioSegmentMemberus-gaap:AutomobileLoanMemberus-gaap:ContractualInte</w:t>
      </w:r>
      <w:r>
        <w:rPr>
          <w:rFonts w:eastAsia="Times New Roman"/>
          <w:vanish/>
        </w:rPr>
        <w:t>restRateReductionMember2021-07-012021-09-300000927628us-gaap:ConsumerPortfolioSegmentMemberus-gaap:ExtendedMaturityMemberus-gaap:AutomobileLoanMember2021-07-012021-09-300000927628us-gaap:ConsumerPortfolioSegmentMember2021-07-012021-09-300000927628us-gaap:C</w:t>
      </w:r>
      <w:r>
        <w:rPr>
          <w:rFonts w:eastAsia="Times New Roman"/>
          <w:vanish/>
        </w:rPr>
        <w:t>onsumerPortfolioSegmentMemberus-gaap:ContractualInterestRateReductionMember2021-07-012021-09-300000927628us-gaap:ConsumerPortfolioSegmentMemberus-gaap:ExtendedMaturityMember2021-07-012021-09-300000927628us-gaap:CommercialPortfolioSegmentMembercof:Commercia</w:t>
      </w:r>
      <w:r>
        <w:rPr>
          <w:rFonts w:eastAsia="Times New Roman"/>
          <w:vanish/>
        </w:rPr>
        <w:t>lAndMultifamilyRealEstateMember2021-07-012021-09-300000927628us-gaap:ContractualInterestRateReductionMemberus-gaap:CommercialPortfolioSegmentMembercof:CommercialAndMultifamilyRealEstateMember2021-07-012021-09-300000927628us-gaap:ExtendedMaturityMemberus-ga</w:t>
      </w:r>
      <w:r>
        <w:rPr>
          <w:rFonts w:eastAsia="Times New Roman"/>
          <w:vanish/>
        </w:rPr>
        <w:t>ap:CommercialPortfolioSegmentMembercof:CommercialAndMultifamilyRealEstateMember2021-07-012021-09-300000927628cof:CommercialAndIndustrialMemberus-gaap:CommercialPortfolioSegmentMember2021-07-012021-09-300000927628cof:CommercialAndIndustrialMemberus-gaap:Con</w:t>
      </w:r>
      <w:r>
        <w:rPr>
          <w:rFonts w:eastAsia="Times New Roman"/>
          <w:vanish/>
        </w:rPr>
        <w:t>tractualInterestRateReductionMemberus-gaap:CommercialPortfolioSegmentMember2021-07-012021-09-300000927628cof:CommercialAndIndustrialMemberus-gaap:ExtendedMaturityMemberus-gaap:CommercialPortfolioSegmentMember2021-07-012021-09-300000927628us-gaap:Commercial</w:t>
      </w:r>
      <w:r>
        <w:rPr>
          <w:rFonts w:eastAsia="Times New Roman"/>
          <w:vanish/>
        </w:rPr>
        <w:t>PortfolioSegmentMember2021-07-012021-09-300000927628us-gaap:ContractualInterestRateReductionMemberus-gaap:CommercialPortfolioSegmentMember2021-07-012021-09-300000927628us-gaap:ExtendedMaturityMemberus-gaap:CommercialPortfolioSegmentMember2021-07-012021-09-</w:t>
      </w:r>
      <w:r>
        <w:rPr>
          <w:rFonts w:eastAsia="Times New Roman"/>
          <w:vanish/>
        </w:rPr>
        <w:t>300000927628us-gaap:ContractualInterestRateReductionMember2021-07-012021-09-300000927628us-gaap:ExtendedMaturityMember2021-07-012021-09-300000927628us-gaap:GeographicDistributionDomesticMembercof:CreditCardPortfolioSegmentMember2021-01-012021-09-3000009276</w:t>
      </w:r>
      <w:r>
        <w:rPr>
          <w:rFonts w:eastAsia="Times New Roman"/>
          <w:vanish/>
        </w:rPr>
        <w:t>28us-gaap:GeographicDistributionDomesticMembercof:CreditCardPortfolioSegmentMemberus-gaap:ContractualInterestRateReductionMember2021-01-012021-09-300000927628us-gaap:ExtendedMaturityMemberus-gaap:GeographicDistributionDomesticMembercof:CreditCardPortfolioS</w:t>
      </w:r>
      <w:r>
        <w:rPr>
          <w:rFonts w:eastAsia="Times New Roman"/>
          <w:vanish/>
        </w:rPr>
        <w:t>egmentMember2021-01-012021-09-300000927628us-gaap:GeographicDistributionDomesticMembercof:CreditCardPortfolioSegmentMemberus-gaap:PrincipalForgivenessMember2021-01-012021-09-300000927628cof:CreditCardPortfolioSegmentMemberus-gaap:GeographicDistributionFore</w:t>
      </w:r>
      <w:r>
        <w:rPr>
          <w:rFonts w:eastAsia="Times New Roman"/>
          <w:vanish/>
        </w:rPr>
        <w:t>ignMember2021-01-012021-09-300000927628cof:CreditCardPortfolioSegmentMemberus-gaap:ContractualInterestRateReductionMemberus-gaap:GeographicDistributionForeignMember2021-01-012021-09-300000927628us-gaap:ExtendedMaturityMembercof:CreditCardPortfolioSegmentMe</w:t>
      </w:r>
      <w:r>
        <w:rPr>
          <w:rFonts w:eastAsia="Times New Roman"/>
          <w:vanish/>
        </w:rPr>
        <w:t>mberus-gaap:GeographicDistributionForeignMember2021-01-012021-09-300000927628cof:CreditCardPortfolioSegmentMemberus-gaap:PrincipalForgivenessMemberus-gaap:GeographicDistributionForeignMember2021-01-012021-09-300000927628cof:CreditCardPortfolioSegmentMember</w:t>
      </w:r>
      <w:r>
        <w:rPr>
          <w:rFonts w:eastAsia="Times New Roman"/>
          <w:vanish/>
        </w:rPr>
        <w:t>us-gaap:ContractualInterestRateReductionMember2021-01-012021-09-300000927628us-gaap:ExtendedMaturityMembercof:CreditCardPortfolioSegmentMember2021-01-012021-09-300000927628cof:CreditCardPortfolioSegmentMemberus-gaap:PrincipalForgivenessMember2021-01-012021</w:t>
      </w:r>
      <w:r>
        <w:rPr>
          <w:rFonts w:eastAsia="Times New Roman"/>
          <w:vanish/>
        </w:rPr>
        <w:t>-09-300000927628us-gaap:ConsumerPortfolioSegmentMemberus-gaap:AutomobileLoanMember2021-01-012021-09-300000927628us-gaap:ConsumerPortfolioSegmentMemberus-gaap:AutomobileLoanMemberus-gaap:ContractualInterestRateReductionMember2021-01-012021-09-300000927628us</w:t>
      </w:r>
      <w:r>
        <w:rPr>
          <w:rFonts w:eastAsia="Times New Roman"/>
          <w:vanish/>
        </w:rPr>
        <w:t>-gaap:ConsumerPortfolioSegmentMemberus-gaap:ExtendedMaturityMemberus-gaap:AutomobileLoanMember2021-01-012021-09-300000927628us-gaap:ConsumerPortfolioSegmentMemberus-gaap:AutomobileLoanMemberus-gaap:PrincipalForgivenessMember2021-01-012021-09-300000927628us</w:t>
      </w:r>
      <w:r>
        <w:rPr>
          <w:rFonts w:eastAsia="Times New Roman"/>
          <w:vanish/>
        </w:rPr>
        <w:t>-gaap:ConsumerPortfolioSegmentMembercof:RetailBankingMember2021-01-012021-09-300000927628us-gaap:ConsumerPortfolioSegmentMembercof:RetailBankingMemberus-gaap:ContractualInterestRateReductionMember2021-01-012021-09-300000927628us-gaap:ConsumerPortfolioSegme</w:t>
      </w:r>
      <w:r>
        <w:rPr>
          <w:rFonts w:eastAsia="Times New Roman"/>
          <w:vanish/>
        </w:rPr>
        <w:t>ntMemberus-gaap:ExtendedMaturityMembercof:RetailBankingMember2021-01-012021-09-300000927628us-gaap:ConsumerPortfolioSegmentMembercof:RetailBankingMemberus-gaap:PrincipalForgivenessMember2021-01-012021-09-300000927628us-gaap:ConsumerPortfolioSegmentMemberus</w:t>
      </w:r>
      <w:r>
        <w:rPr>
          <w:rFonts w:eastAsia="Times New Roman"/>
          <w:vanish/>
        </w:rPr>
        <w:t>-gaap:ContractualInterestRateReductionMember2021-01-012021-09-300000927628us-gaap:ConsumerPortfolioSegmentMemberus-gaap:ExtendedMaturityMember2021-01-012021-09-300000927628us-gaap:ConsumerPortfolioSegmentMemberus-gaap:PrincipalForgivenessMember2021-01-0120</w:t>
      </w:r>
      <w:r>
        <w:rPr>
          <w:rFonts w:eastAsia="Times New Roman"/>
          <w:vanish/>
        </w:rPr>
        <w:t>21-09-300000927628us-gaap:CommercialPortfolioSegmentMembercof:CommercialAndMultifamilyRealEstateMember2021-01-012021-09-300000927628us-gaap:ContractualInterestRateReductionMemberus-gaap:CommercialPortfolioSegmentMembercof:CommercialAndMultifamilyRealEstate</w:t>
      </w:r>
      <w:r>
        <w:rPr>
          <w:rFonts w:eastAsia="Times New Roman"/>
          <w:vanish/>
        </w:rPr>
        <w:t>Member2021-01-012021-09-300000927628us-gaap:ExtendedMaturityMemberus-gaap:CommercialPortfolioSegmentMembercof:CommercialAndMultifamilyRealEstateMember2021-01-012021-09-300000927628us-gaap:PrincipalForgivenessMemberus-gaap:CommercialPortfolioSegmentMemberco</w:t>
      </w:r>
      <w:r>
        <w:rPr>
          <w:rFonts w:eastAsia="Times New Roman"/>
          <w:vanish/>
        </w:rPr>
        <w:t>f:CommercialAndMultifamilyRealEstateMember2021-01-012021-09-300000927628cof:CommercialAndIndustrialMemberus-gaap:CommercialPortfolioSegmentMember2021-01-012021-09-300000927628cof:CommercialAndIndustrialMemberus-gaap:ContractualInterestRateReductionMemberus</w:t>
      </w:r>
      <w:r>
        <w:rPr>
          <w:rFonts w:eastAsia="Times New Roman"/>
          <w:vanish/>
        </w:rPr>
        <w:t>-gaap:CommercialPortfolioSegmentMember2021-01-012021-09-300000927628cof:CommercialAndIndustrialMemberus-gaap:ExtendedMaturityMemberus-gaap:CommercialPortfolioSegmentMember2021-01-012021-09-300000927628cof:CommercialAndIndustrialMemberus-gaap:PrincipalForgi</w:t>
      </w:r>
      <w:r>
        <w:rPr>
          <w:rFonts w:eastAsia="Times New Roman"/>
          <w:vanish/>
        </w:rPr>
        <w:t>venessMemberus-gaap:CommercialPortfolioSegmentMember2021-01-012021-09-300000927628us-gaap:ContractualInterestRateReductionMemberus-gaap:CommercialPortfolioSegmentMember2021-01-012021-09-300000927628us-gaap:ExtendedMaturityMemberus-gaap:CommercialPortfolioS</w:t>
      </w:r>
      <w:r>
        <w:rPr>
          <w:rFonts w:eastAsia="Times New Roman"/>
          <w:vanish/>
        </w:rPr>
        <w:t>egmentMember2021-01-012021-09-300000927628us-gaap:PrincipalForgivenessMemberus-gaap:CommercialPortfolioSegmentMember2021-01-012021-09-300000927628us-gaap:ContractualInterestRateReductionMember2021-01-012021-09-300000927628us-gaap:ExtendedMaturityMember2021</w:t>
      </w:r>
      <w:r>
        <w:rPr>
          <w:rFonts w:eastAsia="Times New Roman"/>
          <w:vanish/>
        </w:rPr>
        <w:t>-01-012021-09-300000927628us-gaap:PrincipalForgivenessMember2021-01-012021-09-300000927628us-gaap:GeographicDistributionDomesticMembercof:CreditCardPortfolioSegmentMember2020-07-012020-09-300000927628us-gaap:GeographicDistributionDomesticMembercof:CreditCa</w:t>
      </w:r>
      <w:r>
        <w:rPr>
          <w:rFonts w:eastAsia="Times New Roman"/>
          <w:vanish/>
        </w:rPr>
        <w:t>rdPortfolioSegmentMemberus-gaap:ContractualInterestRateReductionMember2020-07-012020-09-300000927628us-gaap:ExtendedMaturityMemberus-gaap:GeographicDistributionDomesticMembercof:CreditCardPortfolioSegmentMember2020-07-012020-09-300000927628us-gaap:Geograph</w:t>
      </w:r>
      <w:r>
        <w:rPr>
          <w:rFonts w:eastAsia="Times New Roman"/>
          <w:vanish/>
        </w:rPr>
        <w:t>icDistributionDomesticMembercof:CreditCardPortfolioSegmentMemberus-gaap:PrincipalForgivenessMember2020-07-012020-09-300000927628cof:CreditCardPortfolioSegmentMemberus-gaap:GeographicDistributionForeignMember2020-07-012020-09-300000927628cof:CreditCardPortf</w:t>
      </w:r>
      <w:r>
        <w:rPr>
          <w:rFonts w:eastAsia="Times New Roman"/>
          <w:vanish/>
        </w:rPr>
        <w:t>olioSegmentMemberus-gaap:ContractualInterestRateReductionMemberus-gaap:GeographicDistributionForeignMember2020-07-012020-09-300000927628us-gaap:ExtendedMaturityMembercof:CreditCardPortfolioSegmentMemberus-gaap:GeographicDistributionForeignMember2020-07-012</w:t>
      </w:r>
      <w:r>
        <w:rPr>
          <w:rFonts w:eastAsia="Times New Roman"/>
          <w:vanish/>
        </w:rPr>
        <w:t>020-09-300000927628cof:CreditCardPortfolioSegmentMemberus-gaap:PrincipalForgivenessMemberus-gaap:GeographicDistributionForeignMember2020-07-012020-09-300000927628cof:CreditCardPortfolioSegmentMember2020-07-012020-09-300000927628cof:CreditCardPortfolioSegme</w:t>
      </w:r>
      <w:r>
        <w:rPr>
          <w:rFonts w:eastAsia="Times New Roman"/>
          <w:vanish/>
        </w:rPr>
        <w:t>ntMemberus-gaap:ContractualInterestRateReductionMember2020-07-012020-09-300000927628us-gaap:ExtendedMaturityMembercof:CreditCardPortfolioSegmentMember2020-07-012020-09-300000927628cof:CreditCardPortfolioSegmentMemberus-gaap:PrincipalForgivenessMember2020-0</w:t>
      </w:r>
      <w:r>
        <w:rPr>
          <w:rFonts w:eastAsia="Times New Roman"/>
          <w:vanish/>
        </w:rPr>
        <w:t>7-012020-09-300000927628us-gaap:ConsumerPortfolioSegmentMemberus-gaap:AutomobileLoanMember2020-07-012020-09-300000927628us-gaap:ConsumerPortfolioSegmentMemberus-gaap:AutomobileLoanMemberus-gaap:ContractualInterestRateReductionMember2020-07-012020-09-300000</w:t>
      </w:r>
      <w:r>
        <w:rPr>
          <w:rFonts w:eastAsia="Times New Roman"/>
          <w:vanish/>
        </w:rPr>
        <w:t>927628us-gaap:ConsumerPortfolioSegmentMemberus-gaap:ExtendedMaturityMemberus-gaap:AutomobileLoanMember2020-07-012020-09-300000927628us-gaap:ConsumerPortfolioSegmentMemberus-gaap:AutomobileLoanMemberus-gaap:PrincipalForgivenessMember2020-07-012020-09-300000</w:t>
      </w:r>
      <w:r>
        <w:rPr>
          <w:rFonts w:eastAsia="Times New Roman"/>
          <w:vanish/>
        </w:rPr>
        <w:t>927628us-gaap:ConsumerPortfolioSegmentMembercof:RetailBankingMember2020-07-012020-09-300000927628us-gaap:ConsumerPortfolioSegmentMembercof:RetailBankingMemberus-gaap:ContractualInterestRateReductionMember2020-07-012020-09-300000927628us-gaap:ConsumerPortfo</w:t>
      </w:r>
      <w:r>
        <w:rPr>
          <w:rFonts w:eastAsia="Times New Roman"/>
          <w:vanish/>
        </w:rPr>
        <w:t>lioSegmentMemberus-gaap:ExtendedMaturityMembercof:RetailBankingMember2020-07-012020-09-300000927628us-gaap:ConsumerPortfolioSegmentMembercof:RetailBankingMemberus-gaap:PrincipalForgivenessMember2020-07-012020-09-300000927628us-gaap:ConsumerPortfolioSegment</w:t>
      </w:r>
      <w:r>
        <w:rPr>
          <w:rFonts w:eastAsia="Times New Roman"/>
          <w:vanish/>
        </w:rPr>
        <w:t>Member2020-07-012020-09-300000927628us-gaap:ConsumerPortfolioSegmentMemberus-gaap:ContractualInterestRateReductionMember2020-07-012020-09-300000927628us-gaap:ConsumerPortfolioSegmentMemberus-gaap:ExtendedMaturityMember2020-07-012020-09-300000927628us-gaap:</w:t>
      </w:r>
      <w:r>
        <w:rPr>
          <w:rFonts w:eastAsia="Times New Roman"/>
          <w:vanish/>
        </w:rPr>
        <w:t>ConsumerPortfolioSegmentMemberus-gaap:PrincipalForgivenessMember2020-07-012020-09-300000927628us-gaap:CommercialPortfolioSegmentMembercof:CommercialAndMultifamilyRealEstateMember2020-07-012020-09-300000927628us-gaap:ContractualInterestRateReductionMemberus</w:t>
      </w:r>
      <w:r>
        <w:rPr>
          <w:rFonts w:eastAsia="Times New Roman"/>
          <w:vanish/>
        </w:rPr>
        <w:t>-gaap:CommercialPortfolioSegmentMembercof:CommercialAndMultifamilyRealEstateMember2020-07-012020-09-300000927628us-gaap:ExtendedMaturityMemberus-gaap:CommercialPortfolioSegmentMembercof:CommercialAndMultifamilyRealEstateMember2020-07-012020-09-300000927628</w:t>
      </w:r>
      <w:r>
        <w:rPr>
          <w:rFonts w:eastAsia="Times New Roman"/>
          <w:vanish/>
        </w:rPr>
        <w:t>us-gaap:PrincipalForgivenessMemberus-gaap:CommercialPortfolioSegmentMembercof:CommercialAndMultifamilyRealEstateMember2020-07-012020-09-300000927628cof:CommercialAndIndustrialMemberus-gaap:CommercialPortfolioSegmentMember2020-07-012020-09-300000927628cof:C</w:t>
      </w:r>
      <w:r>
        <w:rPr>
          <w:rFonts w:eastAsia="Times New Roman"/>
          <w:vanish/>
        </w:rPr>
        <w:t>ommercialAndIndustrialMemberus-gaap:ContractualInterestRateReductionMemberus-gaap:CommercialPortfolioSegmentMember2020-07-012020-09-300000927628cof:CommercialAndIndustrialMemberus-gaap:ExtendedMaturityMemberus-gaap:CommercialPortfolioSegmentMember2020-07-0</w:t>
      </w:r>
      <w:r>
        <w:rPr>
          <w:rFonts w:eastAsia="Times New Roman"/>
          <w:vanish/>
        </w:rPr>
        <w:t>12020-09-300000927628cof:CommercialAndIndustrialMemberus-gaap:PrincipalForgivenessMemberus-gaap:CommercialPortfolioSegmentMember2020-07-012020-09-300000927628us-gaap:CommercialPortfolioSegmentMember2020-07-012020-09-300000927628us-gaap:ContractualInterestR</w:t>
      </w:r>
      <w:r>
        <w:rPr>
          <w:rFonts w:eastAsia="Times New Roman"/>
          <w:vanish/>
        </w:rPr>
        <w:t>ateReductionMemberus-gaap:CommercialPortfolioSegmentMember2020-07-012020-09-300000927628us-gaap:ExtendedMaturityMemberus-gaap:CommercialPortfolioSegmentMember2020-07-012020-09-300000927628us-gaap:PrincipalForgivenessMemberus-gaap:CommercialPortfolioSegment</w:t>
      </w:r>
      <w:r>
        <w:rPr>
          <w:rFonts w:eastAsia="Times New Roman"/>
          <w:vanish/>
        </w:rPr>
        <w:t>Member2020-07-012020-09-300000927628us-gaap:ContractualInterestRateReductionMember2020-07-012020-09-300000927628us-gaap:ExtendedMaturityMember2020-07-012020-09-300000927628us-gaap:PrincipalForgivenessMember2020-07-012020-09-300000927628us-gaap:GeographicDi</w:t>
      </w:r>
      <w:r>
        <w:rPr>
          <w:rFonts w:eastAsia="Times New Roman"/>
          <w:vanish/>
        </w:rPr>
        <w:t>stributionDomesticMembercof:CreditCardPortfolioSegmentMember2020-01-012020-09-300000927628us-gaap:GeographicDistributionDomesticMembercof:CreditCardPortfolioSegmentMemberus-gaap:ContractualInterestRateReductionMember2020-01-012020-09-300000927628us-gaap:Ex</w:t>
      </w:r>
      <w:r>
        <w:rPr>
          <w:rFonts w:eastAsia="Times New Roman"/>
          <w:vanish/>
        </w:rPr>
        <w:t>tendedMaturityMemberus-gaap:GeographicDistributionDomesticMembercof:CreditCardPortfolioSegmentMember2020-01-012020-09-300000927628us-gaap:GeographicDistributionDomesticMembercof:CreditCardPortfolioSegmentMemberus-gaap:PrincipalForgivenessMember2020-01-0120</w:t>
      </w:r>
      <w:r>
        <w:rPr>
          <w:rFonts w:eastAsia="Times New Roman"/>
          <w:vanish/>
        </w:rPr>
        <w:t>20-09-300000927628cof:CreditCardPortfolioSegmentMemberus-gaap:GeographicDistributionForeignMember2020-01-012020-09-300000927628cof:CreditCardPortfolioSegmentMemberus-gaap:ContractualInterestRateReductionMemberus-gaap:GeographicDistributionForeignMember2020</w:t>
      </w:r>
      <w:r>
        <w:rPr>
          <w:rFonts w:eastAsia="Times New Roman"/>
          <w:vanish/>
        </w:rPr>
        <w:t>-01-012020-09-300000927628us-gaap:ExtendedMaturityMembercof:CreditCardPortfolioSegmentMemberus-gaap:GeographicDistributionForeignMember2020-01-012020-09-300000927628cof:CreditCardPortfolioSegmentMemberus-gaap:PrincipalForgivenessMemberus-gaap:GeographicDis</w:t>
      </w:r>
      <w:r>
        <w:rPr>
          <w:rFonts w:eastAsia="Times New Roman"/>
          <w:vanish/>
        </w:rPr>
        <w:t>tributionForeignMember2020-01-012020-09-300000927628cof:CreditCardPortfolioSegmentMember2020-01-012020-09-300000927628cof:CreditCardPortfolioSegmentMemberus-gaap:ContractualInterestRateReductionMember2020-01-012020-09-300000927628us-gaap:ExtendedMaturityMe</w:t>
      </w:r>
      <w:r>
        <w:rPr>
          <w:rFonts w:eastAsia="Times New Roman"/>
          <w:vanish/>
        </w:rPr>
        <w:t>mbercof:CreditCardPortfolioSegmentMember2020-01-012020-09-300000927628cof:CreditCardPortfolioSegmentMemberus-gaap:PrincipalForgivenessMember2020-01-012020-09-300000927628us-gaap:ConsumerPortfolioSegmentMemberus-gaap:AutomobileLoanMember2020-01-012020-09-30</w:t>
      </w:r>
      <w:r>
        <w:rPr>
          <w:rFonts w:eastAsia="Times New Roman"/>
          <w:vanish/>
        </w:rPr>
        <w:t>0000927628us-gaap:ConsumerPortfolioSegmentMemberus-gaap:AutomobileLoanMemberus-gaap:ContractualInterestRateReductionMember2020-01-012020-09-300000927628us-gaap:ConsumerPortfolioSegmentMemberus-gaap:ExtendedMaturityMemberus-gaap:AutomobileLoanMember2020-01-</w:t>
      </w:r>
      <w:r>
        <w:rPr>
          <w:rFonts w:eastAsia="Times New Roman"/>
          <w:vanish/>
        </w:rPr>
        <w:t>012020-09-300000927628us-gaap:ConsumerPortfolioSegmentMemberus-gaap:AutomobileLoanMemberus-gaap:PrincipalForgivenessMember2020-01-012020-09-300000927628us-gaap:ConsumerPortfolioSegmentMembercof:RetailBankingMember2020-01-012020-09-300000927628us-gaap:Consu</w:t>
      </w:r>
      <w:r>
        <w:rPr>
          <w:rFonts w:eastAsia="Times New Roman"/>
          <w:vanish/>
        </w:rPr>
        <w:t>merPortfolioSegmentMembercof:RetailBankingMemberus-gaap:ContractualInterestRateReductionMember2020-01-012020-09-300000927628us-gaap:ConsumerPortfolioSegmentMemberus-gaap:ExtendedMaturityMembercof:RetailBankingMember2020-01-012020-09-300000927628us-gaap:Con</w:t>
      </w:r>
      <w:r>
        <w:rPr>
          <w:rFonts w:eastAsia="Times New Roman"/>
          <w:vanish/>
        </w:rPr>
        <w:t>sumerPortfolioSegmentMembercof:RetailBankingMemberus-gaap:PrincipalForgivenessMember2020-01-012020-09-300000927628us-gaap:ConsumerPortfolioSegmentMember2020-01-012020-09-300000927628us-gaap:ConsumerPortfolioSegmentMemberus-gaap:ContractualInterestRateReduc</w:t>
      </w:r>
      <w:r>
        <w:rPr>
          <w:rFonts w:eastAsia="Times New Roman"/>
          <w:vanish/>
        </w:rPr>
        <w:t>tionMember2020-01-012020-09-300000927628us-gaap:ConsumerPortfolioSegmentMemberus-gaap:ExtendedMaturityMember2020-01-012020-09-300000927628us-gaap:ConsumerPortfolioSegmentMemberus-gaap:PrincipalForgivenessMember2020-01-012020-09-300000927628us-gaap:Commerci</w:t>
      </w:r>
      <w:r>
        <w:rPr>
          <w:rFonts w:eastAsia="Times New Roman"/>
          <w:vanish/>
        </w:rPr>
        <w:t>alPortfolioSegmentMembercof:CommercialAndMultifamilyRealEstateMember2020-01-012020-09-300000927628us-gaap:ContractualInterestRateReductionMemberus-gaap:CommercialPortfolioSegmentMembercof:CommercialAndMultifamilyRealEstateMember2020-01-012020-09-3000009276</w:t>
      </w:r>
      <w:r>
        <w:rPr>
          <w:rFonts w:eastAsia="Times New Roman"/>
          <w:vanish/>
        </w:rPr>
        <w:t>28us-gaap:ExtendedMaturityMemberus-gaap:CommercialPortfolioSegmentMembercof:CommercialAndMultifamilyRealEstateMember2020-01-012020-09-300000927628us-gaap:PrincipalForgivenessMemberus-gaap:CommercialPortfolioSegmentMembercof:CommercialAndMultifamilyRealEsta</w:t>
      </w:r>
      <w:r>
        <w:rPr>
          <w:rFonts w:eastAsia="Times New Roman"/>
          <w:vanish/>
        </w:rPr>
        <w:t>teMember2020-01-012020-09-300000927628cof:CommercialAndIndustrialMemberus-gaap:CommercialPortfolioSegmentMember2020-01-012020-09-300000927628cof:CommercialAndIndustrialMemberus-gaap:ContractualInterestRateReductionMemberus-gaap:CommercialPortfolioSegmentMe</w:t>
      </w:r>
      <w:r>
        <w:rPr>
          <w:rFonts w:eastAsia="Times New Roman"/>
          <w:vanish/>
        </w:rPr>
        <w:t>mber2020-01-012020-09-300000927628cof:CommercialAndIndustrialMemberus-gaap:ExtendedMaturityMemberus-gaap:CommercialPortfolioSegmentMember2020-01-012020-09-300000927628cof:CommercialAndIndustrialMemberus-gaap:PrincipalForgivenessMemberus-gaap:CommercialPort</w:t>
      </w:r>
      <w:r>
        <w:rPr>
          <w:rFonts w:eastAsia="Times New Roman"/>
          <w:vanish/>
        </w:rPr>
        <w:t>folioSegmentMember2020-01-012020-09-300000927628us-gaap:CommercialPortfolioSegmentMember2020-01-012020-09-300000927628us-gaap:ContractualInterestRateReductionMemberus-gaap:CommercialPortfolioSegmentMember2020-01-012020-09-300000927628us-gaap:ExtendedMaturi</w:t>
      </w:r>
      <w:r>
        <w:rPr>
          <w:rFonts w:eastAsia="Times New Roman"/>
          <w:vanish/>
        </w:rPr>
        <w:t>tyMemberus-gaap:CommercialPortfolioSegmentMember2020-01-012020-09-300000927628us-gaap:PrincipalForgivenessMemberus-gaap:CommercialPortfolioSegmentMember2020-01-012020-09-300000927628us-gaap:ContractualInterestRateReductionMember2020-01-012020-09-3000009276</w:t>
      </w:r>
      <w:r>
        <w:rPr>
          <w:rFonts w:eastAsia="Times New Roman"/>
          <w:vanish/>
        </w:rPr>
        <w:t>28us-gaap:ExtendedMaturityMember2020-01-012020-09-300000927628us-gaap:PrincipalForgivenessMember2020-01-012020-09-30cof:contract0000927628us-gaap:ConsumerPortfolioSegmentMembercof:RetailBankingMember2021-07-012021-09-300000927628cof:FederalHomeLoanbanksMem</w:t>
      </w:r>
      <w:r>
        <w:rPr>
          <w:rFonts w:eastAsia="Times New Roman"/>
          <w:vanish/>
        </w:rPr>
        <w:t>ber2021-09-300000927628cof:FederalHomeLoanbanksMember2020-12-310000927628cof:FederalReserveDiscountWindowMember2021-09-300000927628cof:FederalReserveDiscountWindowMember2020-12-310000927628cof:DomesticCreditCardAndCommercialBankingPortfoliosMemberus-gaap:G</w:t>
      </w:r>
      <w:r>
        <w:rPr>
          <w:rFonts w:eastAsia="Times New Roman"/>
          <w:vanish/>
        </w:rPr>
        <w:t>eographicDistributionDomesticMember2021-07-012021-09-300000927628cof:DomesticCreditCardAndCommercialBankingPortfoliosMemberus-gaap:GeographicDistributionDomesticMember2021-01-012021-09-300000927628cof:DomesticCreditCardAndCommercialBankingPortfoliosMemberu</w:t>
      </w:r>
      <w:r>
        <w:rPr>
          <w:rFonts w:eastAsia="Times New Roman"/>
          <w:vanish/>
        </w:rPr>
        <w:t>s-gaap:GeographicDistributionDomesticMember2020-07-012020-09-300000927628cof:DomesticCreditCardAndCommercialBankingPortfoliosMemberus-gaap:GeographicDistributionDomesticMember2020-01-012020-09-300000927628us-gaap:AllowanceForLoanAndLeaseLossesMember2021-01</w:t>
      </w:r>
      <w:r>
        <w:rPr>
          <w:rFonts w:eastAsia="Times New Roman"/>
          <w:vanish/>
        </w:rPr>
        <w:t>-012021-09-300000927628us-gaap:AllowanceForLoanAndLeaseLossesMember2021-09-300000927628cof:CreditCardPortfolioSegmentMemberus-gaap:AllowanceForLoanAndLeaseLossesMember2021-06-300000927628us-gaap:ConsumerPortfolioSegmentMemberus-gaap:AllowanceForLoanAndLeas</w:t>
      </w:r>
      <w:r>
        <w:rPr>
          <w:rFonts w:eastAsia="Times New Roman"/>
          <w:vanish/>
        </w:rPr>
        <w:t>eLossesMember2021-06-300000927628us-gaap:AllowanceForLoanAndLeaseLossesMemberus-gaap:CommercialPortfolioSegmentMember2021-06-300000927628us-gaap:AllowanceForLoanAndLeaseLossesMember2021-06-300000927628cof:CreditCardPortfolioSegmentMemberus-gaap:AllowanceFo</w:t>
      </w:r>
      <w:r>
        <w:rPr>
          <w:rFonts w:eastAsia="Times New Roman"/>
          <w:vanish/>
        </w:rPr>
        <w:t>rLoanAndLeaseLossesMember2021-07-012021-09-300000927628us-gaap:ConsumerPortfolioSegmentMemberus-gaap:AllowanceForLoanAndLeaseLossesMember2021-07-012021-09-300000927628us-gaap:AllowanceForLoanAndLeaseLossesMemberus-gaap:CommercialPortfolioSegmentMember2021-</w:t>
      </w:r>
      <w:r>
        <w:rPr>
          <w:rFonts w:eastAsia="Times New Roman"/>
          <w:vanish/>
        </w:rPr>
        <w:t>07-012021-09-300000927628us-gaap:AllowanceForLoanAndLeaseLossesMember2021-07-012021-09-300000927628cof:CreditCardPortfolioSegmentMemberus-gaap:AllowanceForLoanAndLeaseLossesMember2021-09-300000927628us-gaap:ConsumerPortfolioSegmentMemberus-gaap:AllowanceFo</w:t>
      </w:r>
      <w:r>
        <w:rPr>
          <w:rFonts w:eastAsia="Times New Roman"/>
          <w:vanish/>
        </w:rPr>
        <w:t>rLoanAndLeaseLossesMember2021-09-300000927628us-gaap:AllowanceForLoanAndLeaseLossesMemberus-gaap:CommercialPortfolioSegmentMember2021-09-300000927628cof:CreditCardPortfolioSegmentMemberus-gaap:UnfundedLoanCommitmentMember2021-06-300000927628us-gaap:Consume</w:t>
      </w:r>
      <w:r>
        <w:rPr>
          <w:rFonts w:eastAsia="Times New Roman"/>
          <w:vanish/>
        </w:rPr>
        <w:t>rPortfolioSegmentMemberus-gaap:UnfundedLoanCommitmentMember2021-06-300000927628us-gaap:CommercialPortfolioSegmentMemberus-gaap:UnfundedLoanCommitmentMember2021-06-300000927628us-gaap:UnfundedLoanCommitmentMember2021-06-300000927628cof:CreditCardPortfolioSe</w:t>
      </w:r>
      <w:r>
        <w:rPr>
          <w:rFonts w:eastAsia="Times New Roman"/>
          <w:vanish/>
        </w:rPr>
        <w:t>gmentMemberus-gaap:UnfundedLoanCommitmentMember2021-07-012021-09-300000927628us-gaap:ConsumerPortfolioSegmentMemberus-gaap:UnfundedLoanCommitmentMember2021-07-012021-09-300000927628us-gaap:CommercialPortfolioSegmentMemberus-gaap:UnfundedLoanCommitmentMembe</w:t>
      </w:r>
      <w:r>
        <w:rPr>
          <w:rFonts w:eastAsia="Times New Roman"/>
          <w:vanish/>
        </w:rPr>
        <w:t>r2021-07-012021-09-300000927628us-gaap:UnfundedLoanCommitmentMember2021-07-012021-09-300000927628cof:CreditCardPortfolioSegmentMemberus-gaap:UnfundedLoanCommitmentMember2021-09-300000927628us-gaap:ConsumerPortfolioSegmentMemberus-gaap:UnfundedLoanCommitmen</w:t>
      </w:r>
      <w:r>
        <w:rPr>
          <w:rFonts w:eastAsia="Times New Roman"/>
          <w:vanish/>
        </w:rPr>
        <w:t>tMember2021-09-300000927628us-gaap:CommercialPortfolioSegmentMemberus-gaap:UnfundedLoanCommitmentMember2021-09-300000927628us-gaap:UnfundedLoanCommitmentMember2021-09-300000927628cof:CombinedAllowanceAndUnfundedReserveMembercof:CreditCardPortfolioSegmentMe</w:t>
      </w:r>
      <w:r>
        <w:rPr>
          <w:rFonts w:eastAsia="Times New Roman"/>
          <w:vanish/>
        </w:rPr>
        <w:t>mber2021-09-300000927628cof:CombinedAllowanceAndUnfundedReserveMemberus-gaap:ConsumerPortfolioSegmentMember2021-09-300000927628cof:CombinedAllowanceAndUnfundedReserveMemberus-gaap:CommercialPortfolioSegmentMember2021-09-300000927628cof:CombinedAllowanceAnd</w:t>
      </w:r>
      <w:r>
        <w:rPr>
          <w:rFonts w:eastAsia="Times New Roman"/>
          <w:vanish/>
        </w:rPr>
        <w:t>UnfundedReserveMember2021-09-300000927628cof:CreditCardPortfolioSegmentMemberus-gaap:AllowanceForLoanAndLeaseLossesMember2020-12-310000927628us-gaap:ConsumerPortfolioSegmentMemberus-gaap:AllowanceForLoanAndLeaseLossesMember2020-12-310000927628us-gaap:Allow</w:t>
      </w:r>
      <w:r>
        <w:rPr>
          <w:rFonts w:eastAsia="Times New Roman"/>
          <w:vanish/>
        </w:rPr>
        <w:t>anceForLoanAndLeaseLossesMemberus-gaap:CommercialPortfolioSegmentMember2020-12-310000927628us-gaap:AllowanceForLoanAndLeaseLossesMember2020-12-310000927628cof:CreditCardPortfolioSegmentMemberus-gaap:AllowanceForLoanAndLeaseLossesMember2021-01-012021-09-300</w:t>
      </w:r>
      <w:r>
        <w:rPr>
          <w:rFonts w:eastAsia="Times New Roman"/>
          <w:vanish/>
        </w:rPr>
        <w:t>000927628us-gaap:ConsumerPortfolioSegmentMemberus-gaap:AllowanceForLoanAndLeaseLossesMember2021-01-012021-09-300000927628us-gaap:AllowanceForLoanAndLeaseLossesMemberus-gaap:CommercialPortfolioSegmentMember2021-01-012021-09-300000927628cof:CreditCardPortfol</w:t>
      </w:r>
      <w:r>
        <w:rPr>
          <w:rFonts w:eastAsia="Times New Roman"/>
          <w:vanish/>
        </w:rPr>
        <w:t>ioSegmentMemberus-gaap:UnfundedLoanCommitmentMember2020-12-310000927628us-gaap:ConsumerPortfolioSegmentMemberus-gaap:UnfundedLoanCommitmentMember2020-12-310000927628us-gaap:CommercialPortfolioSegmentMemberus-gaap:UnfundedLoanCommitmentMember2020-12-3100009</w:t>
      </w:r>
      <w:r>
        <w:rPr>
          <w:rFonts w:eastAsia="Times New Roman"/>
          <w:vanish/>
        </w:rPr>
        <w:t>27628us-gaap:UnfundedLoanCommitmentMember2020-12-310000927628cof:CreditCardPortfolioSegmentMemberus-gaap:UnfundedLoanCommitmentMember2021-01-012021-09-300000927628us-gaap:ConsumerPortfolioSegmentMemberus-gaap:UnfundedLoanCommitmentMember2021-01-012021-09-3</w:t>
      </w:r>
      <w:r>
        <w:rPr>
          <w:rFonts w:eastAsia="Times New Roman"/>
          <w:vanish/>
        </w:rPr>
        <w:t>00000927628us-gaap:CommercialPortfolioSegmentMemberus-gaap:UnfundedLoanCommitmentMember2021-01-012021-09-300000927628us-gaap:UnfundedLoanCommitmentMember2021-01-012021-09-300000927628cof:CreditCardPortfolioSegmentMemberus-gaap:AllowanceForLoanAndLeaseLosse</w:t>
      </w:r>
      <w:r>
        <w:rPr>
          <w:rFonts w:eastAsia="Times New Roman"/>
          <w:vanish/>
        </w:rPr>
        <w:t>sMember2020-06-300000927628us-gaap:ConsumerPortfolioSegmentMemberus-gaap:AllowanceForLoanAndLeaseLossesMember2020-06-300000927628us-gaap:AllowanceForLoanAndLeaseLossesMemberus-gaap:CommercialPortfolioSegmentMember2020-06-300000927628us-gaap:AllowanceForLoa</w:t>
      </w:r>
      <w:r>
        <w:rPr>
          <w:rFonts w:eastAsia="Times New Roman"/>
          <w:vanish/>
        </w:rPr>
        <w:t>nAndLeaseLossesMember2020-06-300000927628cof:CreditCardPortfolioSegmentMemberus-gaap:AllowanceForLoanAndLeaseLossesMember2020-07-012020-09-300000927628us-gaap:ConsumerPortfolioSegmentMemberus-gaap:AllowanceForLoanAndLeaseLossesMember2020-07-012020-09-30000</w:t>
      </w:r>
      <w:r>
        <w:rPr>
          <w:rFonts w:eastAsia="Times New Roman"/>
          <w:vanish/>
        </w:rPr>
        <w:t>0927628us-gaap:AllowanceForLoanAndLeaseLossesMemberus-gaap:CommercialPortfolioSegmentMember2020-07-012020-09-300000927628us-gaap:AllowanceForLoanAndLeaseLossesMember2020-07-012020-09-300000927628cof:CreditCardPortfolioSegmentMemberus-gaap:AllowanceForLoanA</w:t>
      </w:r>
      <w:r>
        <w:rPr>
          <w:rFonts w:eastAsia="Times New Roman"/>
          <w:vanish/>
        </w:rPr>
        <w:t>ndLeaseLossesMember2020-09-300000927628us-gaap:ConsumerPortfolioSegmentMemberus-gaap:AllowanceForLoanAndLeaseLossesMember2020-09-300000927628us-gaap:AllowanceForLoanAndLeaseLossesMemberus-gaap:CommercialPortfolioSegmentMember2020-09-300000927628us-gaap:All</w:t>
      </w:r>
      <w:r>
        <w:rPr>
          <w:rFonts w:eastAsia="Times New Roman"/>
          <w:vanish/>
        </w:rPr>
        <w:t>owanceForLoanAndLeaseLossesMember2020-09-300000927628cof:CreditCardPortfolioSegmentMemberus-gaap:UnfundedLoanCommitmentMember2020-06-300000927628us-gaap:ConsumerPortfolioSegmentMemberus-gaap:UnfundedLoanCommitmentMember2020-06-300000927628us-gaap:Commercia</w:t>
      </w:r>
      <w:r>
        <w:rPr>
          <w:rFonts w:eastAsia="Times New Roman"/>
          <w:vanish/>
        </w:rPr>
        <w:t>lPortfolioSegmentMemberus-gaap:UnfundedLoanCommitmentMember2020-06-300000927628us-gaap:UnfundedLoanCommitmentMember2020-06-300000927628cof:CreditCardPortfolioSegmentMemberus-gaap:UnfundedLoanCommitmentMember2020-07-012020-09-300000927628us-gaap:ConsumerPor</w:t>
      </w:r>
      <w:r>
        <w:rPr>
          <w:rFonts w:eastAsia="Times New Roman"/>
          <w:vanish/>
        </w:rPr>
        <w:t>tfolioSegmentMemberus-gaap:UnfundedLoanCommitmentMember2020-07-012020-09-300000927628us-gaap:CommercialPortfolioSegmentMemberus-gaap:UnfundedLoanCommitmentMember2020-07-012020-09-300000927628us-gaap:UnfundedLoanCommitmentMember2020-07-012020-09-30000092762</w:t>
      </w:r>
      <w:r>
        <w:rPr>
          <w:rFonts w:eastAsia="Times New Roman"/>
          <w:vanish/>
        </w:rPr>
        <w:t>8cof:CreditCardPortfolioSegmentMemberus-gaap:UnfundedLoanCommitmentMember2020-09-300000927628us-gaap:ConsumerPortfolioSegmentMemberus-gaap:UnfundedLoanCommitmentMember2020-09-300000927628us-gaap:CommercialPortfolioSegmentMemberus-gaap:UnfundedLoanCommitmen</w:t>
      </w:r>
      <w:r>
        <w:rPr>
          <w:rFonts w:eastAsia="Times New Roman"/>
          <w:vanish/>
        </w:rPr>
        <w:t>tMember2020-09-300000927628us-gaap:UnfundedLoanCommitmentMember2020-09-300000927628cof:CombinedAllowanceAndUnfundedReserveMembercof:CreditCardPortfolioSegmentMember2020-09-300000927628cof:CombinedAllowanceAndUnfundedReserveMemberus-gaap:ConsumerPortfolioSe</w:t>
      </w:r>
      <w:r>
        <w:rPr>
          <w:rFonts w:eastAsia="Times New Roman"/>
          <w:vanish/>
        </w:rPr>
        <w:t>gmentMember2020-09-300000927628cof:CombinedAllowanceAndUnfundedReserveMemberus-gaap:CommercialPortfolioSegmentMember2020-09-300000927628cof:CombinedAllowanceAndUnfundedReserveMember2020-09-300000927628cof:CreditCardPortfolioSegmentMemberus-gaap:AllowanceFo</w:t>
      </w:r>
      <w:r>
        <w:rPr>
          <w:rFonts w:eastAsia="Times New Roman"/>
          <w:vanish/>
        </w:rPr>
        <w:t>rLoanAndLeaseLossesMember2019-12-310000927628us-gaap:ConsumerPortfolioSegmentMemberus-gaap:AllowanceForLoanAndLeaseLossesMember2019-12-310000927628us-gaap:AllowanceForLoanAndLeaseLossesMemberus-gaap:CommercialPortfolioSegmentMember2019-12-310000927628us-ga</w:t>
      </w:r>
      <w:r>
        <w:rPr>
          <w:rFonts w:eastAsia="Times New Roman"/>
          <w:vanish/>
        </w:rPr>
        <w:t>ap:AllowanceForLoanAndLeaseLossesMember2019-12-310000927628srt:CumulativeEffectPeriodOfAdoptionAdjustmentMembercof:CreditCardPortfolioSegmentMemberus-gaap:AllowanceForLoanAndLeaseLossesMember2019-12-310000927628us-gaap:ConsumerPortfolioSegmentMembersrt:Cum</w:t>
      </w:r>
      <w:r>
        <w:rPr>
          <w:rFonts w:eastAsia="Times New Roman"/>
          <w:vanish/>
        </w:rPr>
        <w:t>ulativeEffectPeriodOfAdoptionAdjustmentMemberus-gaap:AllowanceForLoanAndLeaseLossesMember2019-12-310000927628srt:CumulativeEffectPeriodOfAdoptionAdjustmentMemberus-gaap:AllowanceForLoanAndLeaseLossesMemberus-gaap:CommercialPortfolioSegmentMember2019-12-310</w:t>
      </w:r>
      <w:r>
        <w:rPr>
          <w:rFonts w:eastAsia="Times New Roman"/>
          <w:vanish/>
        </w:rPr>
        <w:t>000927628srt:CumulativeEffectPeriodOfAdoptionAdjustmentMemberus-gaap:AllowanceForLoanAndLeaseLossesMember2019-12-310000927628us-gaap:ReclassificationOtherMembercof:CreditCardPortfolioSegmentMemberus-gaap:AllowanceForLoanAndLeaseLossesMember2019-12-31000092</w:t>
      </w:r>
      <w:r>
        <w:rPr>
          <w:rFonts w:eastAsia="Times New Roman"/>
          <w:vanish/>
        </w:rPr>
        <w:t>7628us-gaap:ConsumerPortfolioSegmentMemberus-gaap:ReclassificationOtherMemberus-gaap:AllowanceForLoanAndLeaseLossesMember2019-12-310000927628us-gaap:ReclassificationOtherMemberus-gaap:AllowanceForLoanAndLeaseLossesMemberus-gaap:CommercialPortfolioSegmentMe</w:t>
      </w:r>
      <w:r>
        <w:rPr>
          <w:rFonts w:eastAsia="Times New Roman"/>
          <w:vanish/>
        </w:rPr>
        <w:t>mber2019-12-310000927628us-gaap:ReclassificationOtherMemberus-gaap:AllowanceForLoanAndLeaseLossesMember2019-12-310000927628cof:CreditCardPortfolioSegmentMemberus-gaap:AllowanceForLoanAndLeaseLossesMembersrt:CumulativeEffectPeriodOfAdoptionAdjustedBalanceMe</w:t>
      </w:r>
      <w:r>
        <w:rPr>
          <w:rFonts w:eastAsia="Times New Roman"/>
          <w:vanish/>
        </w:rPr>
        <w:t>mber2019-12-310000927628us-gaap:ConsumerPortfolioSegmentMemberus-gaap:AllowanceForLoanAndLeaseLossesMembersrt:CumulativeEffectPeriodOfAdoptionAdjustedBalanceMember2019-12-310000927628us-gaap:AllowanceForLoanAndLeaseLossesMemberus-gaap:CommercialPortfolioSe</w:t>
      </w:r>
      <w:r>
        <w:rPr>
          <w:rFonts w:eastAsia="Times New Roman"/>
          <w:vanish/>
        </w:rPr>
        <w:t>gmentMembersrt:CumulativeEffectPeriodOfAdoptionAdjustedBalanceMember2019-12-310000927628us-gaap:AllowanceForLoanAndLeaseLossesMembersrt:CumulativeEffectPeriodOfAdoptionAdjustedBalanceMember2019-12-310000927628cof:CreditCardPortfolioSegmentMemberus-gaap:All</w:t>
      </w:r>
      <w:r>
        <w:rPr>
          <w:rFonts w:eastAsia="Times New Roman"/>
          <w:vanish/>
        </w:rPr>
        <w:t>owanceForLoanAndLeaseLossesMember2020-01-012020-09-300000927628us-gaap:ConsumerPortfolioSegmentMemberus-gaap:AllowanceForLoanAndLeaseLossesMember2020-01-012020-09-300000927628us-gaap:AllowanceForLoanAndLeaseLossesMemberus-gaap:CommercialPortfolioSegmentMem</w:t>
      </w:r>
      <w:r>
        <w:rPr>
          <w:rFonts w:eastAsia="Times New Roman"/>
          <w:vanish/>
        </w:rPr>
        <w:t>ber2020-01-012020-09-300000927628us-gaap:AllowanceForLoanAndLeaseLossesMember2020-01-012020-09-300000927628cof:CreditCardPortfolioSegmentMemberus-gaap:UnfundedLoanCommitmentMember2019-12-310000927628us-gaap:ConsumerPortfolioSegmentMemberus-gaap:UnfundedLoa</w:t>
      </w:r>
      <w:r>
        <w:rPr>
          <w:rFonts w:eastAsia="Times New Roman"/>
          <w:vanish/>
        </w:rPr>
        <w:t>nCommitmentMember2019-12-310000927628us-gaap:CommercialPortfolioSegmentMemberus-gaap:UnfundedLoanCommitmentMember2019-12-310000927628us-gaap:UnfundedLoanCommitmentMember2019-12-310000927628srt:CumulativeEffectPeriodOfAdoptionAdjustmentMembercof:CreditCardP</w:t>
      </w:r>
      <w:r>
        <w:rPr>
          <w:rFonts w:eastAsia="Times New Roman"/>
          <w:vanish/>
        </w:rPr>
        <w:t>ortfolioSegmentMemberus-gaap:UnfundedLoanCommitmentMember2019-12-310000927628us-gaap:ConsumerPortfolioSegmentMembersrt:CumulativeEffectPeriodOfAdoptionAdjustmentMemberus-gaap:UnfundedLoanCommitmentMember2019-12-310000927628srt:CumulativeEffectPeriodOfAdopt</w:t>
      </w:r>
      <w:r>
        <w:rPr>
          <w:rFonts w:eastAsia="Times New Roman"/>
          <w:vanish/>
        </w:rPr>
        <w:t>ionAdjustmentMemberus-gaap:CommercialPortfolioSegmentMemberus-gaap:UnfundedLoanCommitmentMember2019-12-310000927628srt:CumulativeEffectPeriodOfAdoptionAdjustmentMemberus-gaap:UnfundedLoanCommitmentMember2019-12-310000927628cof:CreditCardPortfolioSegmentMem</w:t>
      </w:r>
      <w:r>
        <w:rPr>
          <w:rFonts w:eastAsia="Times New Roman"/>
          <w:vanish/>
        </w:rPr>
        <w:t>berus-gaap:UnfundedLoanCommitmentMembersrt:CumulativeEffectPeriodOfAdoptionAdjustedBalanceMember2019-12-310000927628us-gaap:ConsumerPortfolioSegmentMemberus-gaap:UnfundedLoanCommitmentMembersrt:CumulativeEffectPeriodOfAdoptionAdjustedBalanceMember2019-12-3</w:t>
      </w:r>
      <w:r>
        <w:rPr>
          <w:rFonts w:eastAsia="Times New Roman"/>
          <w:vanish/>
        </w:rPr>
        <w:t>10000927628us-gaap:CommercialPortfolioSegmentMemberus-gaap:UnfundedLoanCommitmentMembersrt:CumulativeEffectPeriodOfAdoptionAdjustedBalanceMember2019-12-310000927628us-gaap:UnfundedLoanCommitmentMembersrt:CumulativeEffectPeriodOfAdoptionAdjustedBalanceMembe</w:t>
      </w:r>
      <w:r>
        <w:rPr>
          <w:rFonts w:eastAsia="Times New Roman"/>
          <w:vanish/>
        </w:rPr>
        <w:t>r2019-12-310000927628cof:CreditCardPortfolioSegmentMemberus-gaap:UnfundedLoanCommitmentMember2020-01-012020-09-300000927628us-gaap:ConsumerPortfolioSegmentMemberus-gaap:UnfundedLoanCommitmentMember2020-01-012020-09-300000927628us-gaap:CommercialPortfolioSe</w:t>
      </w:r>
      <w:r>
        <w:rPr>
          <w:rFonts w:eastAsia="Times New Roman"/>
          <w:vanish/>
        </w:rPr>
        <w:t>gmentMemberus-gaap:UnfundedLoanCommitmentMember2020-01-012020-09-300000927628us-gaap:UnfundedLoanCommitmentMember2020-01-012020-09-300000927628cof:LossSharingAgreementMember2021-06-300000927628cof:LossSharingAgreementMember2020-06-300000927628cof:LossShari</w:t>
      </w:r>
      <w:r>
        <w:rPr>
          <w:rFonts w:eastAsia="Times New Roman"/>
          <w:vanish/>
        </w:rPr>
        <w:t>ngAgreementMember2021-07-012021-09-300000927628cof:LossSharingAgreementMember2020-07-012020-09-300000927628cof:LossSharingAgreementMember2021-09-300000927628cof:LossSharingAgreementMember2020-09-300000927628cof:LossSharingAgreementMember2020-12-31000092762</w:t>
      </w:r>
      <w:r>
        <w:rPr>
          <w:rFonts w:eastAsia="Times New Roman"/>
          <w:vanish/>
        </w:rPr>
        <w:t>8cof:LossSharingAgreementMember2019-12-310000927628cof:LossSharingAgreementMember2021-01-012021-09-300000927628cof:LossSharingAgreementMember2020-01-012020-09-300000927628us-gaap:CreditCardReceivablesMemberus-gaap:VariableInterestEntityPrimaryBeneficiaryMe</w:t>
      </w:r>
      <w:r>
        <w:rPr>
          <w:rFonts w:eastAsia="Times New Roman"/>
          <w:vanish/>
        </w:rPr>
        <w:t>mber2021-09-300000927628us-gaap:VariableInterestEntityNotPrimaryBeneficiaryMemberus-gaap:CreditCardReceivablesMember2021-09-300000927628us-gaap:CreditCardReceivablesMember2021-09-300000927628us-gaap:CollateralizedAutoLoansMemberus-gaap:VariableInterestEnti</w:t>
      </w:r>
      <w:r>
        <w:rPr>
          <w:rFonts w:eastAsia="Times New Roman"/>
          <w:vanish/>
        </w:rPr>
        <w:t>tyPrimaryBeneficiaryMember2021-09-300000927628us-gaap:VariableInterestEntityNotPrimaryBeneficiaryMemberus-gaap:CollateralizedAutoLoansMember2021-09-300000927628us-gaap:CollateralizedAutoLoansMember2021-09-300000927628cof:SecuritizationRelatedVariableIntere</w:t>
      </w:r>
      <w:r>
        <w:rPr>
          <w:rFonts w:eastAsia="Times New Roman"/>
          <w:vanish/>
        </w:rPr>
        <w:t>stEntitiesMemberus-gaap:VariableInterestEntityPrimaryBeneficiaryMember2021-09-300000927628cof:SecuritizationRelatedVariableInterestEntitiesMemberus-gaap:VariableInterestEntityNotPrimaryBeneficiaryMember2021-09-300000927628cof:SecuritizationRelatedVariableI</w:t>
      </w:r>
      <w:r>
        <w:rPr>
          <w:rFonts w:eastAsia="Times New Roman"/>
          <w:vanish/>
        </w:rPr>
        <w:t>nterestEntitiesMember2021-09-300000927628cof:AffordableHousingEntitiesMemberus-gaap:VariableInterestEntityPrimaryBeneficiaryMember2021-09-300000927628cof:AffordableHousingEntitiesMemberus-gaap:VariableInterestEntityNotPrimaryBeneficiaryMember2021-09-300000</w:t>
      </w:r>
      <w:r>
        <w:rPr>
          <w:rFonts w:eastAsia="Times New Roman"/>
          <w:vanish/>
        </w:rPr>
        <w:t>927628cof:AffordableHousingEntitiesMember2021-09-300000927628cof:InvestmentCompaniesProvidingCapitaltoLowIncomeandRuralCommunitiesMemberus-gaap:VariableInterestEntityPrimaryBeneficiaryMember2021-09-300000927628us-gaap:VariableInterestEntityNotPrimaryBenefi</w:t>
      </w:r>
      <w:r>
        <w:rPr>
          <w:rFonts w:eastAsia="Times New Roman"/>
          <w:vanish/>
        </w:rPr>
        <w:t>ciaryMembercof:InvestmentCompaniesProvidingCapitaltoLowIncomeandRuralCommunitiesMember2021-09-300000927628cof:InvestmentCompaniesProvidingCapitaltoLowIncomeandRuralCommunitiesMember2021-09-300000927628us-gaap:OtherInvestmentsMemberus-gaap:VariableInterestE</w:t>
      </w:r>
      <w:r>
        <w:rPr>
          <w:rFonts w:eastAsia="Times New Roman"/>
          <w:vanish/>
        </w:rPr>
        <w:t>ntityPrimaryBeneficiaryMember2021-09-300000927628us-gaap:OtherInvestmentsMemberus-gaap:VariableInterestEntityNotPrimaryBeneficiaryMember2021-09-300000927628us-gaap:OtherInvestmentsMember2021-09-300000927628us-gaap:VariableInterestEntityPrimaryBeneficiaryMe</w:t>
      </w:r>
      <w:r>
        <w:rPr>
          <w:rFonts w:eastAsia="Times New Roman"/>
          <w:vanish/>
        </w:rPr>
        <w:t>mbercof:NonsecuritizationRelatedVariableInterestEntitiesMember2021-09-300000927628us-gaap:VariableInterestEntityNotPrimaryBeneficiaryMembercof:NonsecuritizationRelatedVariableInterestEntitiesMember2021-09-300000927628cof:NonsecuritizationRelatedVariableInt</w:t>
      </w:r>
      <w:r>
        <w:rPr>
          <w:rFonts w:eastAsia="Times New Roman"/>
          <w:vanish/>
        </w:rPr>
        <w:t>erestEntitiesMember2021-09-300000927628us-gaap:VariableInterestEntityNotPrimaryBeneficiaryMember2021-09-300000927628us-gaap:CreditCardReceivablesMemberus-gaap:VariableInterestEntityPrimaryBeneficiaryMember2020-12-310000927628us-gaap:VariableInterestEntityN</w:t>
      </w:r>
      <w:r>
        <w:rPr>
          <w:rFonts w:eastAsia="Times New Roman"/>
          <w:vanish/>
        </w:rPr>
        <w:t>otPrimaryBeneficiaryMemberus-gaap:CreditCardReceivablesMember2020-12-310000927628us-gaap:CreditCardReceivablesMember2020-12-310000927628us-gaap:CollateralizedAutoLoansMemberus-gaap:VariableInterestEntityPrimaryBeneficiaryMember2020-12-310000927628us-gaap:V</w:t>
      </w:r>
      <w:r>
        <w:rPr>
          <w:rFonts w:eastAsia="Times New Roman"/>
          <w:vanish/>
        </w:rPr>
        <w:t>ariableInterestEntityNotPrimaryBeneficiaryMemberus-gaap:CollateralizedAutoLoansMember2020-12-310000927628us-gaap:CollateralizedAutoLoansMember2020-12-310000927628cof:SecuritizationRelatedVariableInterestEntitiesMemberus-gaap:VariableInterestEntityPrimaryBe</w:t>
      </w:r>
      <w:r>
        <w:rPr>
          <w:rFonts w:eastAsia="Times New Roman"/>
          <w:vanish/>
        </w:rPr>
        <w:t>neficiaryMember2020-12-310000927628cof:SecuritizationRelatedVariableInterestEntitiesMemberus-gaap:VariableInterestEntityNotPrimaryBeneficiaryMember2020-12-310000927628cof:SecuritizationRelatedVariableInterestEntitiesMember2020-12-310000927628cof:Affordable</w:t>
      </w:r>
      <w:r>
        <w:rPr>
          <w:rFonts w:eastAsia="Times New Roman"/>
          <w:vanish/>
        </w:rPr>
        <w:t>HousingEntitiesMemberus-gaap:VariableInterestEntityPrimaryBeneficiaryMember2020-12-310000927628cof:AffordableHousingEntitiesMemberus-gaap:VariableInterestEntityNotPrimaryBeneficiaryMember2020-12-310000927628cof:AffordableHousingEntitiesMember2020-12-310000</w:t>
      </w:r>
      <w:r>
        <w:rPr>
          <w:rFonts w:eastAsia="Times New Roman"/>
          <w:vanish/>
        </w:rPr>
        <w:t>927628cof:InvestmentCompaniesProvidingCapitaltoLowIncomeandRuralCommunitiesMemberus-gaap:VariableInterestEntityPrimaryBeneficiaryMember2020-12-310000927628us-gaap:VariableInterestEntityNotPrimaryBeneficiaryMembercof:InvestmentCompaniesProvidingCapitaltoLow</w:t>
      </w:r>
      <w:r>
        <w:rPr>
          <w:rFonts w:eastAsia="Times New Roman"/>
          <w:vanish/>
        </w:rPr>
        <w:t>IncomeandRuralCommunitiesMember2020-12-310000927628cof:InvestmentCompaniesProvidingCapitaltoLowIncomeandRuralCommunitiesMember2020-12-310000927628us-gaap:OtherInvestmentsMemberus-gaap:VariableInterestEntityPrimaryBeneficiaryMember2020-12-310000927628us-gaa</w:t>
      </w:r>
      <w:r>
        <w:rPr>
          <w:rFonts w:eastAsia="Times New Roman"/>
          <w:vanish/>
        </w:rPr>
        <w:t>p:OtherInvestmentsMemberus-gaap:VariableInterestEntityNotPrimaryBeneficiaryMember2020-12-310000927628us-gaap:OtherInvestmentsMember2020-12-310000927628us-gaap:VariableInterestEntityPrimaryBeneficiaryMembercof:NonsecuritizationRelatedVariableInterestEntitie</w:t>
      </w:r>
      <w:r>
        <w:rPr>
          <w:rFonts w:eastAsia="Times New Roman"/>
          <w:vanish/>
        </w:rPr>
        <w:t>sMember2020-12-310000927628us-gaap:VariableInterestEntityNotPrimaryBeneficiaryMembercof:NonsecuritizationRelatedVariableInterestEntitiesMember2020-12-310000927628cof:NonsecuritizationRelatedVariableInterestEntitiesMember2020-12-310000927628us-gaap:Variable</w:t>
      </w:r>
      <w:r>
        <w:rPr>
          <w:rFonts w:eastAsia="Times New Roman"/>
          <w:vanish/>
        </w:rPr>
        <w:t>InterestEntityNotPrimaryBeneficiaryMember2020-12-310000927628us-gaap:CustomerRelationshipsMember2021-09-300000927628us-gaap:OtherIntangibleAssetsMember2021-09-300000927628us-gaap:CustomerRelationshipsMember2020-12-310000927628us-gaap:OtherIntangibleAssetsM</w:t>
      </w:r>
      <w:r>
        <w:rPr>
          <w:rFonts w:eastAsia="Times New Roman"/>
          <w:vanish/>
        </w:rPr>
        <w:t>ember2020-12-310000927628cof:CreditCardSegmentMember2020-12-310000927628cof:ConsumerBankingSegmentMember2020-12-310000927628cof:CommercialBankingSegmentMember2020-12-310000927628cof:CreditCardSegmentMember2021-01-012021-09-300000927628cof:ConsumerBankingSe</w:t>
      </w:r>
      <w:r>
        <w:rPr>
          <w:rFonts w:eastAsia="Times New Roman"/>
          <w:vanish/>
        </w:rPr>
        <w:t>gmentMember2021-01-012021-09-300000927628cof:CommercialBankingSegmentMember2021-01-012021-09-300000927628cof:CreditCardSegmentMember2021-09-300000927628cof:ConsumerBankingSegmentMember2021-09-300000927628cof:CommercialBankingSegmentMember2021-09-3000009276</w:t>
      </w:r>
      <w:r>
        <w:rPr>
          <w:rFonts w:eastAsia="Times New Roman"/>
          <w:vanish/>
        </w:rPr>
        <w:t>28us-gaap:FederalFundsPurchasedAndSecuritiesSoldUnderAgreementsToRepurchaseMember2021-09-300000927628us-gaap:FederalFundsPurchasedAndSecuritiesSoldUnderAgreementsToRepurchaseMember2020-12-310000927628us-gaap:SecuredDebtMembersrt:MinimumMember2021-09-300000</w:t>
      </w:r>
      <w:r>
        <w:rPr>
          <w:rFonts w:eastAsia="Times New Roman"/>
          <w:vanish/>
        </w:rPr>
        <w:t>927628us-gaap:SecuredDebtMembersrt:MaximumMember2021-09-300000927628us-gaap:SecuredDebtMember2021-09-300000927628us-gaap:SecuredDebtMember2020-12-310000927628us-gaap:SeniorNotesMembersrt:MinimumMembercof:FixedUnsecuredSeniorDebtMember2021-09-300000927628us</w:t>
      </w:r>
      <w:r>
        <w:rPr>
          <w:rFonts w:eastAsia="Times New Roman"/>
          <w:vanish/>
        </w:rPr>
        <w:t>-gaap:SeniorNotesMembercof:FixedUnsecuredSeniorDebtMembersrt:MaximumMember2021-09-300000927628us-gaap:SeniorNotesMembercof:FixedUnsecuredSeniorDebtMember2021-09-300000927628us-gaap:SeniorNotesMembercof:FixedUnsecuredSeniorDebtMember2020-12-310000927628us-g</w:t>
      </w:r>
      <w:r>
        <w:rPr>
          <w:rFonts w:eastAsia="Times New Roman"/>
          <w:vanish/>
        </w:rPr>
        <w:t>aap:SeniorNotesMembercof:FloatingUnsecuredSeniorDebtMembersrt:MinimumMember2021-09-300000927628us-gaap:SeniorNotesMembercof:FloatingUnsecuredSeniorDebtMembersrt:MaximumMember2021-09-300000927628us-gaap:SeniorNotesMembercof:FloatingUnsecuredSeniorDebtMember</w:t>
      </w:r>
      <w:r>
        <w:rPr>
          <w:rFonts w:eastAsia="Times New Roman"/>
          <w:vanish/>
        </w:rPr>
        <w:t>2021-09-300000927628us-gaap:SeniorNotesMembercof:FloatingUnsecuredSeniorDebtMember2020-12-310000927628us-gaap:SeniorNotesMembercof:UnsecuredSeniorDebtMember2021-09-300000927628us-gaap:SeniorNotesMembercof:UnsecuredSeniorDebtMember2020-12-310000927628us-gaa</w:t>
      </w:r>
      <w:r>
        <w:rPr>
          <w:rFonts w:eastAsia="Times New Roman"/>
          <w:vanish/>
        </w:rPr>
        <w:t>p:SubordinatedDebtMembercof:FixedUnsecuredSubordinatedDebtMembersrt:MinimumMember2021-09-300000927628us-gaap:SubordinatedDebtMembercof:FixedUnsecuredSubordinatedDebtMembersrt:MaximumMember2021-09-300000927628us-gaap:SubordinatedDebtMembercof:FixedUnsecured</w:t>
      </w:r>
      <w:r>
        <w:rPr>
          <w:rFonts w:eastAsia="Times New Roman"/>
          <w:vanish/>
        </w:rPr>
        <w:t>SubordinatedDebtMember2021-09-300000927628us-gaap:SubordinatedDebtMembercof:FixedUnsecuredSubordinatedDebtMember2020-12-310000927628cof:SeniorAndSubordinatedNotesMember2021-09-300000927628cof:SeniorAndSubordinatedNotesMember2020-12-310000927628us-gaap:Capi</w:t>
      </w:r>
      <w:r>
        <w:rPr>
          <w:rFonts w:eastAsia="Times New Roman"/>
          <w:vanish/>
        </w:rPr>
        <w:t>talLeaseObligationsMembersrt:MinimumMember2021-09-300000927628us-gaap:CapitalLeaseObligationsMembersrt:MaximumMember2021-09-300000927628us-gaap:CapitalLeaseObligationsMember2021-09-300000927628us-gaap:CapitalLeaseObligationsMember2020-12-310000927628cof:FH</w:t>
      </w:r>
      <w:r>
        <w:rPr>
          <w:rFonts w:eastAsia="Times New Roman"/>
          <w:vanish/>
        </w:rPr>
        <w:t>LBAdvanceCapitalLeaseObligationandGPMHMember2021-09-300000927628cof:FHLBAdvanceCapitalLeaseObligationandGPMHMember2020-12-310000927628currency:EUR2021-09-300000927628currency:EUR2020-12-310000927628us-gaap:DesignatedAsHedgingInstrumentMemberus-gaap:Interes</w:t>
      </w:r>
      <w:r>
        <w:rPr>
          <w:rFonts w:eastAsia="Times New Roman"/>
          <w:vanish/>
        </w:rPr>
        <w:t>tRateContractMemberus-gaap:FairValueHedgingMember2021-09-300000927628us-gaap:DesignatedAsHedgingInstrumentMemberus-gaap:InterestRateContractMemberus-gaap:FairValueHedgingMember2020-12-310000927628us-gaap:CashFlowHedgingMemberus-gaap:DesignatedAsHedgingInst</w:t>
      </w:r>
      <w:r>
        <w:rPr>
          <w:rFonts w:eastAsia="Times New Roman"/>
          <w:vanish/>
        </w:rPr>
        <w:t>rumentMemberus-gaap:InterestRateContractMember2021-09-300000927628us-gaap:CashFlowHedgingMemberus-gaap:DesignatedAsHedgingInstrumentMemberus-gaap:InterestRateContractMember2020-12-310000927628us-gaap:DesignatedAsHedgingInstrumentMemberus-gaap:InterestRateC</w:t>
      </w:r>
      <w:r>
        <w:rPr>
          <w:rFonts w:eastAsia="Times New Roman"/>
          <w:vanish/>
        </w:rPr>
        <w:t>ontractMember2021-09-300000927628us-gaap:DesignatedAsHedgingInstrumentMemberus-gaap:InterestRateContractMember2020-12-310000927628us-gaap:DesignatedAsHedgingInstrumentMemberus-gaap:ForeignExchangeContractMemberus-gaap:FairValueHedgingMember2021-09-30000092</w:t>
      </w:r>
      <w:r>
        <w:rPr>
          <w:rFonts w:eastAsia="Times New Roman"/>
          <w:vanish/>
        </w:rPr>
        <w:t>7628us-gaap:DesignatedAsHedgingInstrumentMemberus-gaap:ForeignExchangeContractMemberus-gaap:FairValueHedgingMember2020-12-310000927628us-gaap:CashFlowHedgingMemberus-gaap:DesignatedAsHedgingInstrumentMemberus-gaap:ForeignExchangeContractMember2021-09-30000</w:t>
      </w:r>
      <w:r>
        <w:rPr>
          <w:rFonts w:eastAsia="Times New Roman"/>
          <w:vanish/>
        </w:rPr>
        <w:t>0927628us-gaap:CashFlowHedgingMemberus-gaap:DesignatedAsHedgingInstrumentMemberus-gaap:ForeignExchangeContractMember2020-12-310000927628us-gaap:DesignatedAsHedgingInstrumentMemberus-gaap:NetInvestmentHedgingMemberus-gaap:ForeignExchangeContractMember2021-0</w:t>
      </w:r>
      <w:r>
        <w:rPr>
          <w:rFonts w:eastAsia="Times New Roman"/>
          <w:vanish/>
        </w:rPr>
        <w:t>9-300000927628us-gaap:DesignatedAsHedgingInstrumentMemberus-gaap:NetInvestmentHedgingMemberus-gaap:ForeignExchangeContractMember2020-12-310000927628us-gaap:DesignatedAsHedgingInstrumentMemberus-gaap:ForeignExchangeContractMember2021-09-300000927628us-gaap:</w:t>
      </w:r>
      <w:r>
        <w:rPr>
          <w:rFonts w:eastAsia="Times New Roman"/>
          <w:vanish/>
        </w:rPr>
        <w:t>DesignatedAsHedgingInstrumentMemberus-gaap:ForeignExchangeContractMember2020-12-310000927628us-gaap:DesignatedAsHedgingInstrumentMember2021-09-300000927628us-gaap:DesignatedAsHedgingInstrumentMember2020-12-310000927628cof:CustomerAccommodationMemberus-gaap</w:t>
      </w:r>
      <w:r>
        <w:rPr>
          <w:rFonts w:eastAsia="Times New Roman"/>
          <w:vanish/>
        </w:rPr>
        <w:t>:InterestRateContractMemberus-gaap:NondesignatedMember2021-09-300000927628cof:CustomerAccommodationMemberus-gaap:InterestRateContractMemberus-gaap:NondesignatedMember2020-12-310000927628cof:CustomerAccommodationMemberus-gaap:NondesignatedMemberus-gaap:Comm</w:t>
      </w:r>
      <w:r>
        <w:rPr>
          <w:rFonts w:eastAsia="Times New Roman"/>
          <w:vanish/>
        </w:rPr>
        <w:t>odityContractMember2021-09-300000927628cof:CustomerAccommodationMemberus-gaap:NondesignatedMemberus-gaap:CommodityContractMember2020-12-310000927628cof:CustomerAccommodationMemberus-gaap:NondesignatedMemberus-gaap:ForeignExchangeContractMember2021-09-30000</w:t>
      </w:r>
      <w:r>
        <w:rPr>
          <w:rFonts w:eastAsia="Times New Roman"/>
          <w:vanish/>
        </w:rPr>
        <w:t>0927628cof:CustomerAccommodationMemberus-gaap:NondesignatedMemberus-gaap:ForeignExchangeContractMember2020-12-310000927628cof:CustomerAccommodationMemberus-gaap:NondesignatedMember2021-09-300000927628cof:CustomerAccommodationMemberus-gaap:NondesignatedMemb</w:t>
      </w:r>
      <w:r>
        <w:rPr>
          <w:rFonts w:eastAsia="Times New Roman"/>
          <w:vanish/>
        </w:rPr>
        <w:t>er2020-12-310000927628cof:OtherInterestRateExposuresMemberus-gaap:InterestRateContractMemberus-gaap:NondesignatedMember2021-09-300000927628cof:OtherInterestRateExposuresMemberus-gaap:InterestRateContractMemberus-gaap:NondesignatedMember2020-12-310000927628</w:t>
      </w:r>
      <w:r>
        <w:rPr>
          <w:rFonts w:eastAsia="Times New Roman"/>
          <w:vanish/>
        </w:rPr>
        <w:t>us-gaap:NondesignatedMemberus-gaap:OtherContractMember2021-09-300000927628us-gaap:NondesignatedMemberus-gaap:OtherContractMember2020-12-310000927628us-gaap:NondesignatedMember2021-09-300000927628us-gaap:NondesignatedMember2020-12-310000927628us-gaap:Availa</w:t>
      </w:r>
      <w:r>
        <w:rPr>
          <w:rFonts w:eastAsia="Times New Roman"/>
          <w:vanish/>
        </w:rPr>
        <w:t>bleforsaleSecuritiesMember2021-09-300000927628us-gaap:AvailableforsaleSecuritiesMember2020-12-310000927628us-gaap:InterestBearingDepositsMember2021-09-300000927628us-gaap:InterestBearingDepositsMember2020-12-310000927628cof:SecuritizedDebtObligationsMember</w:t>
      </w:r>
      <w:r>
        <w:rPr>
          <w:rFonts w:eastAsia="Times New Roman"/>
          <w:vanish/>
        </w:rPr>
        <w:t>2021-09-300000927628cof:SecuritizedDebtObligationsMember2020-12-310000927628cof:SeniorAndSubordinatedNotesMember2021-09-300000927628cof:SeniorAndSubordinatedNotesMember2020-12-310000927628cof:InterestincomeInvestmentsecuritiesMemberus-gaap:InterestRateCont</w:t>
      </w:r>
      <w:r>
        <w:rPr>
          <w:rFonts w:eastAsia="Times New Roman"/>
          <w:vanish/>
        </w:rPr>
        <w:t>ractMemberus-gaap:FairValueHedgingMember2021-07-012021-09-300000927628us-gaap:InterestRateContractMembercof:InterestincomeLoansMemberus-gaap:FairValueHedgingMember2021-07-012021-09-300000927628cof:InterestincomeOtherMemberus-gaap:InterestRateContractMember</w:t>
      </w:r>
      <w:r>
        <w:rPr>
          <w:rFonts w:eastAsia="Times New Roman"/>
          <w:vanish/>
        </w:rPr>
        <w:t>us-gaap:FairValueHedgingMember2021-07-012021-09-300000927628us-gaap:InterestRateContractMembercof:InterestexpenseDepositsMemberus-gaap:FairValueHedgingMember2021-07-012021-09-300000927628us-gaap:InterestRateContractMembercof:InterestexpenseSecuritizedDebtO</w:t>
      </w:r>
      <w:r>
        <w:rPr>
          <w:rFonts w:eastAsia="Times New Roman"/>
          <w:vanish/>
        </w:rPr>
        <w:t>bligationMemberus-gaap:FairValueHedgingMember2021-07-012021-09-300000927628cof:InterestexpenseSeniorandSubordinatedDebtMemberus-gaap:InterestRateContractMemberus-gaap:FairValueHedgingMember2021-07-012021-09-300000927628us-gaap:InterestRateContractMemberus-</w:t>
      </w:r>
      <w:r>
        <w:rPr>
          <w:rFonts w:eastAsia="Times New Roman"/>
          <w:vanish/>
        </w:rPr>
        <w:t>gaap:FairValueHedgingMembercof:NonInterestIncomeOtherMember2021-07-012021-09-300000927628cof:InterestincomeInvestmentsecuritiesMemberus-gaap:FairValueHedgingMember2021-07-012021-09-300000927628cof:InterestincomeLoansMemberus-gaap:FairValueHedgingMember2021</w:t>
      </w:r>
      <w:r>
        <w:rPr>
          <w:rFonts w:eastAsia="Times New Roman"/>
          <w:vanish/>
        </w:rPr>
        <w:t>-07-012021-09-300000927628cof:InterestincomeOtherMemberus-gaap:FairValueHedgingMember2021-07-012021-09-300000927628cof:InterestexpenseDepositsMemberus-gaap:FairValueHedgingMember2021-07-012021-09-300000927628cof:InterestexpenseSecuritizedDebtObligationMemb</w:t>
      </w:r>
      <w:r>
        <w:rPr>
          <w:rFonts w:eastAsia="Times New Roman"/>
          <w:vanish/>
        </w:rPr>
        <w:t>erus-gaap:FairValueHedgingMember2021-07-012021-09-300000927628cof:InterestexpenseSeniorandSubordinatedDebtMemberus-gaap:FairValueHedgingMember2021-07-012021-09-300000927628us-gaap:FairValueHedgingMembercof:NonInterestIncomeOtherMember2021-07-012021-09-3000</w:t>
      </w:r>
      <w:r>
        <w:rPr>
          <w:rFonts w:eastAsia="Times New Roman"/>
          <w:vanish/>
        </w:rPr>
        <w:t>00927628cof:InterestincomeInvestmentsecuritiesMemberus-gaap:CashFlowHedgingMemberus-gaap:InterestRateContractMember2021-07-012021-09-300000927628us-gaap:CashFlowHedgingMemberus-gaap:InterestRateContractMembercof:InterestincomeLoansMember2021-07-012021-09-3</w:t>
      </w:r>
      <w:r>
        <w:rPr>
          <w:rFonts w:eastAsia="Times New Roman"/>
          <w:vanish/>
        </w:rPr>
        <w:t>00000927628cof:InterestincomeOtherMemberus-gaap:CashFlowHedgingMemberus-gaap:InterestRateContractMember2021-07-012021-09-300000927628us-gaap:CashFlowHedgingMemberus-gaap:InterestRateContractMembercof:InterestexpenseDepositsMember2021-07-012021-09-300000927</w:t>
      </w:r>
      <w:r>
        <w:rPr>
          <w:rFonts w:eastAsia="Times New Roman"/>
          <w:vanish/>
        </w:rPr>
        <w:t>628us-gaap:CashFlowHedgingMemberus-gaap:InterestRateContractMembercof:InterestexpenseSecuritizedDebtObligationMember2021-07-012021-09-300000927628us-gaap:CashFlowHedgingMembercof:InterestexpenseSeniorandSubordinatedDebtMemberus-gaap:InterestRateContractMem</w:t>
      </w:r>
      <w:r>
        <w:rPr>
          <w:rFonts w:eastAsia="Times New Roman"/>
          <w:vanish/>
        </w:rPr>
        <w:t>ber2021-07-012021-09-300000927628us-gaap:CashFlowHedgingMemberus-gaap:InterestRateContractMembercof:NonInterestIncomeOtherMember2021-07-012021-09-300000927628cof:InterestincomeInvestmentsecuritiesMemberus-gaap:CashFlowHedgingMemberus-gaap:ForeignExchangeCo</w:t>
      </w:r>
      <w:r>
        <w:rPr>
          <w:rFonts w:eastAsia="Times New Roman"/>
          <w:vanish/>
        </w:rPr>
        <w:t>ntractMember2021-07-012021-09-300000927628us-gaap:CashFlowHedgingMembercof:InterestincomeLoansMemberus-gaap:ForeignExchangeContractMember2021-07-012021-09-300000927628cof:InterestincomeOtherMemberus-gaap:CashFlowHedgingMemberus-gaap:ForeignExchangeContract</w:t>
      </w:r>
      <w:r>
        <w:rPr>
          <w:rFonts w:eastAsia="Times New Roman"/>
          <w:vanish/>
        </w:rPr>
        <w:t>Member2021-07-012021-09-300000927628us-gaap:CashFlowHedgingMembercof:InterestexpenseDepositsMemberus-gaap:ForeignExchangeContractMember2021-07-012021-09-300000927628us-gaap:CashFlowHedgingMembercof:InterestexpenseSecuritizedDebtObligationMemberus-gaap:Fore</w:t>
      </w:r>
      <w:r>
        <w:rPr>
          <w:rFonts w:eastAsia="Times New Roman"/>
          <w:vanish/>
        </w:rPr>
        <w:t>ignExchangeContractMember2021-07-012021-09-300000927628us-gaap:CashFlowHedgingMembercof:InterestexpenseSeniorandSubordinatedDebtMemberus-gaap:ForeignExchangeContractMember2021-07-012021-09-300000927628us-gaap:CashFlowHedgingMemberus-gaap:ForeignExchangeCon</w:t>
      </w:r>
      <w:r>
        <w:rPr>
          <w:rFonts w:eastAsia="Times New Roman"/>
          <w:vanish/>
        </w:rPr>
        <w:t>tractMembercof:NonInterestIncomeOtherMember2021-07-012021-09-300000927628cof:InterestincomeInvestmentsecuritiesMemberus-gaap:CashFlowHedgingMember2021-07-012021-09-300000927628us-gaap:CashFlowHedgingMembercof:InterestincomeLoansMember2021-07-012021-09-3000</w:t>
      </w:r>
      <w:r>
        <w:rPr>
          <w:rFonts w:eastAsia="Times New Roman"/>
          <w:vanish/>
        </w:rPr>
        <w:t>00927628cof:InterestincomeOtherMemberus-gaap:CashFlowHedgingMember2021-07-012021-09-300000927628us-gaap:CashFlowHedgingMembercof:InterestexpenseDepositsMember2021-07-012021-09-300000927628us-gaap:CashFlowHedgingMembercof:InterestexpenseSecuritizedDebtOblig</w:t>
      </w:r>
      <w:r>
        <w:rPr>
          <w:rFonts w:eastAsia="Times New Roman"/>
          <w:vanish/>
        </w:rPr>
        <w:t>ationMember2021-07-012021-09-300000927628us-gaap:CashFlowHedgingMembercof:InterestexpenseSeniorandSubordinatedDebtMember2021-07-012021-09-300000927628us-gaap:CashFlowHedgingMembercof:NonInterestIncomeOtherMember2021-07-012021-09-300000927628cof:Interestinc</w:t>
      </w:r>
      <w:r>
        <w:rPr>
          <w:rFonts w:eastAsia="Times New Roman"/>
          <w:vanish/>
        </w:rPr>
        <w:t>omeInvestmentsecuritiesMemberus-gaap:InterestRateContractMemberus-gaap:FairValueHedgingMember2021-01-012021-09-300000927628us-gaap:InterestRateContractMembercof:InterestincomeLoansMemberus-gaap:FairValueHedgingMember2021-01-012021-09-300000927628cof:Intere</w:t>
      </w:r>
      <w:r>
        <w:rPr>
          <w:rFonts w:eastAsia="Times New Roman"/>
          <w:vanish/>
        </w:rPr>
        <w:t>stincomeOtherMemberus-gaap:InterestRateContractMemberus-gaap:FairValueHedgingMember2021-01-012021-09-300000927628us-gaap:InterestRateContractMembercof:InterestexpenseDepositsMemberus-gaap:FairValueHedgingMember2021-01-012021-09-300000927628us-gaap:Interest</w:t>
      </w:r>
      <w:r>
        <w:rPr>
          <w:rFonts w:eastAsia="Times New Roman"/>
          <w:vanish/>
        </w:rPr>
        <w:t>RateContractMembercof:InterestexpenseSecuritizedDebtObligationMemberus-gaap:FairValueHedgingMember2021-01-012021-09-300000927628cof:InterestexpenseSeniorandSubordinatedDebtMemberus-gaap:InterestRateContractMemberus-gaap:FairValueHedgingMember2021-01-012021</w:t>
      </w:r>
      <w:r>
        <w:rPr>
          <w:rFonts w:eastAsia="Times New Roman"/>
          <w:vanish/>
        </w:rPr>
        <w:t>-09-300000927628us-gaap:InterestRateContractMemberus-gaap:FairValueHedgingMembercof:NonInterestIncomeOtherMember2021-01-012021-09-300000927628cof:InterestincomeInvestmentsecuritiesMemberus-gaap:FairValueHedgingMember2021-01-012021-09-300000927628cof:Intere</w:t>
      </w:r>
      <w:r>
        <w:rPr>
          <w:rFonts w:eastAsia="Times New Roman"/>
          <w:vanish/>
        </w:rPr>
        <w:t>stincomeLoansMemberus-gaap:FairValueHedgingMember2021-01-012021-09-300000927628cof:InterestincomeOtherMemberus-gaap:FairValueHedgingMember2021-01-012021-09-300000927628cof:InterestexpenseDepositsMemberus-gaap:FairValueHedgingMember2021-01-012021-09-3000009</w:t>
      </w:r>
      <w:r>
        <w:rPr>
          <w:rFonts w:eastAsia="Times New Roman"/>
          <w:vanish/>
        </w:rPr>
        <w:t>27628cof:InterestexpenseSecuritizedDebtObligationMemberus-gaap:FairValueHedgingMember2021-01-012021-09-300000927628cof:InterestexpenseSeniorandSubordinatedDebtMemberus-gaap:FairValueHedgingMember2021-01-012021-09-300000927628us-gaap:FairValueHedgingMemberc</w:t>
      </w:r>
      <w:r>
        <w:rPr>
          <w:rFonts w:eastAsia="Times New Roman"/>
          <w:vanish/>
        </w:rPr>
        <w:t>of:NonInterestIncomeOtherMember2021-01-012021-09-300000927628cof:InterestincomeInvestmentsecuritiesMemberus-gaap:CashFlowHedgingMemberus-gaap:InterestRateContractMember2021-01-012021-09-300000927628us-gaap:CashFlowHedgingMemberus-gaap:InterestRateContractM</w:t>
      </w:r>
      <w:r>
        <w:rPr>
          <w:rFonts w:eastAsia="Times New Roman"/>
          <w:vanish/>
        </w:rPr>
        <w:t>embercof:InterestincomeLoansMember2021-01-012021-09-300000927628cof:InterestincomeOtherMemberus-gaap:CashFlowHedgingMemberus-gaap:InterestRateContractMember2021-01-012021-09-300000927628us-gaap:CashFlowHedgingMemberus-gaap:InterestRateContractMembercof:Int</w:t>
      </w:r>
      <w:r>
        <w:rPr>
          <w:rFonts w:eastAsia="Times New Roman"/>
          <w:vanish/>
        </w:rPr>
        <w:t>erestexpenseDepositsMember2021-01-012021-09-300000927628us-gaap:CashFlowHedgingMemberus-gaap:InterestRateContractMembercof:InterestexpenseSecuritizedDebtObligationMember2021-01-012021-09-300000927628us-gaap:CashFlowHedgingMembercof:InterestexpenseSeniorand</w:t>
      </w:r>
      <w:r>
        <w:rPr>
          <w:rFonts w:eastAsia="Times New Roman"/>
          <w:vanish/>
        </w:rPr>
        <w:t>SubordinatedDebtMemberus-gaap:InterestRateContractMember2021-01-012021-09-300000927628us-gaap:CashFlowHedgingMemberus-gaap:InterestRateContractMembercof:NonInterestIncomeOtherMember2021-01-012021-09-300000927628cof:InterestincomeInvestmentsecuritiesMemberu</w:t>
      </w:r>
      <w:r>
        <w:rPr>
          <w:rFonts w:eastAsia="Times New Roman"/>
          <w:vanish/>
        </w:rPr>
        <w:t>s-gaap:CashFlowHedgingMemberus-gaap:ForeignExchangeContractMember2021-01-012021-09-300000927628us-gaap:CashFlowHedgingMembercof:InterestincomeLoansMemberus-gaap:ForeignExchangeContractMember2021-01-012021-09-300000927628cof:InterestincomeOtherMemberus-gaap</w:t>
      </w:r>
      <w:r>
        <w:rPr>
          <w:rFonts w:eastAsia="Times New Roman"/>
          <w:vanish/>
        </w:rPr>
        <w:t>:CashFlowHedgingMemberus-gaap:ForeignExchangeContractMember2021-01-012021-09-300000927628us-gaap:CashFlowHedgingMembercof:InterestexpenseDepositsMemberus-gaap:ForeignExchangeContractMember2021-01-012021-09-300000927628us-gaap:CashFlowHedgingMembercof:Inter</w:t>
      </w:r>
      <w:r>
        <w:rPr>
          <w:rFonts w:eastAsia="Times New Roman"/>
          <w:vanish/>
        </w:rPr>
        <w:t>estexpenseSecuritizedDebtObligationMemberus-gaap:ForeignExchangeContractMember2021-01-012021-09-300000927628us-gaap:CashFlowHedgingMembercof:InterestexpenseSeniorandSubordinatedDebtMemberus-gaap:ForeignExchangeContractMember2021-01-012021-09-300000927628us</w:t>
      </w:r>
      <w:r>
        <w:rPr>
          <w:rFonts w:eastAsia="Times New Roman"/>
          <w:vanish/>
        </w:rPr>
        <w:t>-gaap:CashFlowHedgingMemberus-gaap:ForeignExchangeContractMembercof:NonInterestIncomeOtherMember2021-01-012021-09-300000927628cof:InterestincomeInvestmentsecuritiesMemberus-gaap:CashFlowHedgingMember2021-01-012021-09-300000927628us-gaap:CashFlowHedgingMemb</w:t>
      </w:r>
      <w:r>
        <w:rPr>
          <w:rFonts w:eastAsia="Times New Roman"/>
          <w:vanish/>
        </w:rPr>
        <w:t>ercof:InterestincomeLoansMember2021-01-012021-09-300000927628cof:InterestincomeOtherMemberus-gaap:CashFlowHedgingMember2021-01-012021-09-300000927628us-gaap:CashFlowHedgingMembercof:InterestexpenseDepositsMember2021-01-012021-09-300000927628us-gaap:CashFlo</w:t>
      </w:r>
      <w:r>
        <w:rPr>
          <w:rFonts w:eastAsia="Times New Roman"/>
          <w:vanish/>
        </w:rPr>
        <w:t>wHedgingMembercof:InterestexpenseSecuritizedDebtObligationMember2021-01-012021-09-300000927628us-gaap:CashFlowHedgingMembercof:InterestexpenseSeniorandSubordinatedDebtMember2021-01-012021-09-300000927628us-gaap:CashFlowHedgingMembercof:NonInterestIncomeOth</w:t>
      </w:r>
      <w:r>
        <w:rPr>
          <w:rFonts w:eastAsia="Times New Roman"/>
          <w:vanish/>
        </w:rPr>
        <w:t>erMember2021-01-012021-09-300000927628cof:InterestincomeInvestmentsecuritiesMemberus-gaap:InterestRateContractMemberus-gaap:FairValueHedgingMember2020-07-012020-09-300000927628us-gaap:InterestRateContractMembercof:InterestincomeLoansMemberus-gaap:FairValue</w:t>
      </w:r>
      <w:r>
        <w:rPr>
          <w:rFonts w:eastAsia="Times New Roman"/>
          <w:vanish/>
        </w:rPr>
        <w:t>HedgingMember2020-07-012020-09-300000927628cof:InterestincomeOtherMemberus-gaap:InterestRateContractMemberus-gaap:FairValueHedgingMember2020-07-012020-09-300000927628us-gaap:InterestRateContractMembercof:InterestexpenseDepositsMemberus-gaap:FairValueHedgin</w:t>
      </w:r>
      <w:r>
        <w:rPr>
          <w:rFonts w:eastAsia="Times New Roman"/>
          <w:vanish/>
        </w:rPr>
        <w:t>gMember2020-07-012020-09-300000927628us-gaap:InterestRateContractMembercof:InterestexpenseSecuritizedDebtObligationMemberus-gaap:FairValueHedgingMember2020-07-012020-09-300000927628cof:InterestexpenseSeniorandSubordinatedDebtMemberus-gaap:InterestRateContr</w:t>
      </w:r>
      <w:r>
        <w:rPr>
          <w:rFonts w:eastAsia="Times New Roman"/>
          <w:vanish/>
        </w:rPr>
        <w:t>actMemberus-gaap:FairValueHedgingMember2020-07-012020-09-300000927628us-gaap:InterestRateContractMemberus-gaap:FairValueHedgingMembercof:NonInterestIncomeOtherMember2020-07-012020-09-300000927628cof:InterestincomeInvestmentsecuritiesMemberus-gaap:FairValue</w:t>
      </w:r>
      <w:r>
        <w:rPr>
          <w:rFonts w:eastAsia="Times New Roman"/>
          <w:vanish/>
        </w:rPr>
        <w:t>HedgingMember2020-07-012020-09-300000927628cof:InterestincomeLoansMemberus-gaap:FairValueHedgingMember2020-07-012020-09-300000927628cof:InterestincomeOtherMemberus-gaap:FairValueHedgingMember2020-07-012020-09-300000927628cof:InterestexpenseDepositsMemberus</w:t>
      </w:r>
      <w:r>
        <w:rPr>
          <w:rFonts w:eastAsia="Times New Roman"/>
          <w:vanish/>
        </w:rPr>
        <w:t>-gaap:FairValueHedgingMember2020-07-012020-09-300000927628cof:InterestexpenseSecuritizedDebtObligationMemberus-gaap:FairValueHedgingMember2020-07-012020-09-300000927628cof:InterestexpenseSeniorandSubordinatedDebtMemberus-gaap:FairValueHedgingMember2020-07-</w:t>
      </w:r>
      <w:r>
        <w:rPr>
          <w:rFonts w:eastAsia="Times New Roman"/>
          <w:vanish/>
        </w:rPr>
        <w:t>012020-09-300000927628us-gaap:FairValueHedgingMembercof:NonInterestIncomeOtherMember2020-07-012020-09-300000927628cof:InterestincomeInvestmentsecuritiesMemberus-gaap:CashFlowHedgingMemberus-gaap:InterestRateContractMember2020-07-012020-09-300000927628us-ga</w:t>
      </w:r>
      <w:r>
        <w:rPr>
          <w:rFonts w:eastAsia="Times New Roman"/>
          <w:vanish/>
        </w:rPr>
        <w:t>ap:CashFlowHedgingMemberus-gaap:InterestRateContractMembercof:InterestincomeLoansMember2020-07-012020-09-300000927628cof:InterestincomeOtherMemberus-gaap:CashFlowHedgingMemberus-gaap:InterestRateContractMember2020-07-012020-09-300000927628us-gaap:CashFlowH</w:t>
      </w:r>
      <w:r>
        <w:rPr>
          <w:rFonts w:eastAsia="Times New Roman"/>
          <w:vanish/>
        </w:rPr>
        <w:t>edgingMemberus-gaap:InterestRateContractMembercof:InterestexpenseDepositsMember2020-07-012020-09-300000927628us-gaap:CashFlowHedgingMemberus-gaap:InterestRateContractMembercof:InterestexpenseSecuritizedDebtObligationMember2020-07-012020-09-300000927628us-g</w:t>
      </w:r>
      <w:r>
        <w:rPr>
          <w:rFonts w:eastAsia="Times New Roman"/>
          <w:vanish/>
        </w:rPr>
        <w:t>aap:CashFlowHedgingMembercof:InterestexpenseSeniorandSubordinatedDebtMemberus-gaap:InterestRateContractMember2020-07-012020-09-300000927628us-gaap:CashFlowHedgingMemberus-gaap:InterestRateContractMembercof:NonInterestIncomeOtherMember2020-07-012020-09-3000</w:t>
      </w:r>
      <w:r>
        <w:rPr>
          <w:rFonts w:eastAsia="Times New Roman"/>
          <w:vanish/>
        </w:rPr>
        <w:t>00927628cof:InterestincomeInvestmentsecuritiesMemberus-gaap:CashFlowHedgingMemberus-gaap:ForeignExchangeContractMember2020-07-012020-09-300000927628us-gaap:CashFlowHedgingMembercof:InterestincomeLoansMemberus-gaap:ForeignExchangeContractMember2020-07-01202</w:t>
      </w:r>
      <w:r>
        <w:rPr>
          <w:rFonts w:eastAsia="Times New Roman"/>
          <w:vanish/>
        </w:rPr>
        <w:t>0-09-300000927628cof:InterestincomeOtherMemberus-gaap:CashFlowHedgingMemberus-gaap:ForeignExchangeContractMember2020-07-012020-09-300000927628us-gaap:CashFlowHedgingMembercof:InterestexpenseDepositsMemberus-gaap:ForeignExchangeContractMember2020-07-012020-</w:t>
      </w:r>
      <w:r>
        <w:rPr>
          <w:rFonts w:eastAsia="Times New Roman"/>
          <w:vanish/>
        </w:rPr>
        <w:t>09-300000927628us-gaap:CashFlowHedgingMembercof:InterestexpenseSecuritizedDebtObligationMemberus-gaap:ForeignExchangeContractMember2020-07-012020-09-300000927628us-gaap:CashFlowHedgingMembercof:InterestexpenseSeniorandSubordinatedDebtMemberus-gaap:ForeignE</w:t>
      </w:r>
      <w:r>
        <w:rPr>
          <w:rFonts w:eastAsia="Times New Roman"/>
          <w:vanish/>
        </w:rPr>
        <w:t>xchangeContractMember2020-07-012020-09-300000927628us-gaap:CashFlowHedgingMemberus-gaap:ForeignExchangeContractMembercof:NonInterestIncomeOtherMember2020-07-012020-09-300000927628cof:InterestincomeInvestmentsecuritiesMemberus-gaap:CashFlowHedgingMember2020</w:t>
      </w:r>
      <w:r>
        <w:rPr>
          <w:rFonts w:eastAsia="Times New Roman"/>
          <w:vanish/>
        </w:rPr>
        <w:t>-07-012020-09-300000927628us-gaap:CashFlowHedgingMembercof:InterestincomeLoansMember2020-07-012020-09-300000927628cof:InterestincomeOtherMemberus-gaap:CashFlowHedgingMember2020-07-012020-09-300000927628us-gaap:CashFlowHedgingMembercof:InterestexpenseDeposi</w:t>
      </w:r>
      <w:r>
        <w:rPr>
          <w:rFonts w:eastAsia="Times New Roman"/>
          <w:vanish/>
        </w:rPr>
        <w:t>tsMember2020-07-012020-09-300000927628us-gaap:CashFlowHedgingMembercof:InterestexpenseSecuritizedDebtObligationMember2020-07-012020-09-300000927628us-gaap:CashFlowHedgingMembercof:InterestexpenseSeniorandSubordinatedDebtMember2020-07-012020-09-300000927628</w:t>
      </w:r>
      <w:r>
        <w:rPr>
          <w:rFonts w:eastAsia="Times New Roman"/>
          <w:vanish/>
        </w:rPr>
        <w:t>us-gaap:CashFlowHedgingMembercof:NonInterestIncomeOtherMember2020-07-012020-09-300000927628cof:InterestincomeInvestmentsecuritiesMemberus-gaap:InterestRateContractMemberus-gaap:FairValueHedgingMember2020-01-012020-09-300000927628us-gaap:InterestRateContrac</w:t>
      </w:r>
      <w:r>
        <w:rPr>
          <w:rFonts w:eastAsia="Times New Roman"/>
          <w:vanish/>
        </w:rPr>
        <w:t>tMembercof:InterestincomeLoansMemberus-gaap:FairValueHedgingMember2020-01-012020-09-300000927628cof:InterestincomeOtherMemberus-gaap:InterestRateContractMemberus-gaap:FairValueHedgingMember2020-01-012020-09-300000927628us-gaap:InterestRateContractMembercof</w:t>
      </w:r>
      <w:r>
        <w:rPr>
          <w:rFonts w:eastAsia="Times New Roman"/>
          <w:vanish/>
        </w:rPr>
        <w:t>:InterestexpenseDepositsMemberus-gaap:FairValueHedgingMember2020-01-012020-09-300000927628us-gaap:InterestRateContractMembercof:InterestexpenseSecuritizedDebtObligationMemberus-gaap:FairValueHedgingMember2020-01-012020-09-300000927628cof:InterestexpenseSen</w:t>
      </w:r>
      <w:r>
        <w:rPr>
          <w:rFonts w:eastAsia="Times New Roman"/>
          <w:vanish/>
        </w:rPr>
        <w:t>iorandSubordinatedDebtMemberus-gaap:InterestRateContractMemberus-gaap:FairValueHedgingMember2020-01-012020-09-300000927628us-gaap:InterestRateContractMemberus-gaap:FairValueHedgingMembercof:NonInterestIncomeOtherMember2020-01-012020-09-300000927628cof:Inte</w:t>
      </w:r>
      <w:r>
        <w:rPr>
          <w:rFonts w:eastAsia="Times New Roman"/>
          <w:vanish/>
        </w:rPr>
        <w:t>restincomeInvestmentsecuritiesMemberus-gaap:FairValueHedgingMember2020-01-012020-09-300000927628cof:InterestincomeLoansMemberus-gaap:FairValueHedgingMember2020-01-012020-09-300000927628cof:InterestincomeOtherMemberus-gaap:FairValueHedgingMember2020-01-0120</w:t>
      </w:r>
      <w:r>
        <w:rPr>
          <w:rFonts w:eastAsia="Times New Roman"/>
          <w:vanish/>
        </w:rPr>
        <w:t>20-09-300000927628cof:InterestexpenseDepositsMemberus-gaap:FairValueHedgingMember2020-01-012020-09-300000927628cof:InterestexpenseSecuritizedDebtObligationMemberus-gaap:FairValueHedgingMember2020-01-012020-09-300000927628cof:InterestexpenseSeniorandSubordi</w:t>
      </w:r>
      <w:r>
        <w:rPr>
          <w:rFonts w:eastAsia="Times New Roman"/>
          <w:vanish/>
        </w:rPr>
        <w:t>natedDebtMemberus-gaap:FairValueHedgingMember2020-01-012020-09-300000927628us-gaap:FairValueHedgingMembercof:NonInterestIncomeOtherMember2020-01-012020-09-300000927628cof:InterestincomeInvestmentsecuritiesMemberus-gaap:CashFlowHedgingMemberus-gaap:Interest</w:t>
      </w:r>
      <w:r>
        <w:rPr>
          <w:rFonts w:eastAsia="Times New Roman"/>
          <w:vanish/>
        </w:rPr>
        <w:t>RateContractMember2020-01-012020-09-300000927628us-gaap:CashFlowHedgingMemberus-gaap:InterestRateContractMembercof:InterestincomeLoansMember2020-01-012020-09-300000927628cof:InterestincomeOtherMemberus-gaap:CashFlowHedgingMemberus-gaap:InterestRateContract</w:t>
      </w:r>
      <w:r>
        <w:rPr>
          <w:rFonts w:eastAsia="Times New Roman"/>
          <w:vanish/>
        </w:rPr>
        <w:t>Member2020-01-012020-09-300000927628us-gaap:CashFlowHedgingMemberus-gaap:InterestRateContractMembercof:InterestexpenseDepositsMember2020-01-012020-09-300000927628us-gaap:CashFlowHedgingMemberus-gaap:InterestRateContractMembercof:InterestexpenseSecuritizedD</w:t>
      </w:r>
      <w:r>
        <w:rPr>
          <w:rFonts w:eastAsia="Times New Roman"/>
          <w:vanish/>
        </w:rPr>
        <w:t>ebtObligationMember2020-01-012020-09-300000927628us-gaap:CashFlowHedgingMembercof:InterestexpenseSeniorandSubordinatedDebtMemberus-gaap:InterestRateContractMember2020-01-012020-09-300000927628us-gaap:CashFlowHedgingMemberus-gaap:InterestRateContractMemberc</w:t>
      </w:r>
      <w:r>
        <w:rPr>
          <w:rFonts w:eastAsia="Times New Roman"/>
          <w:vanish/>
        </w:rPr>
        <w:t>of:NonInterestIncomeOtherMember2020-01-012020-09-300000927628cof:InterestincomeInvestmentsecuritiesMemberus-gaap:CashFlowHedgingMemberus-gaap:ForeignExchangeContractMember2020-01-012020-09-300000927628us-gaap:CashFlowHedgingMembercof:InterestincomeLoansMem</w:t>
      </w:r>
      <w:r>
        <w:rPr>
          <w:rFonts w:eastAsia="Times New Roman"/>
          <w:vanish/>
        </w:rPr>
        <w:t>berus-gaap:ForeignExchangeContractMember2020-01-012020-09-300000927628cof:InterestincomeOtherMemberus-gaap:CashFlowHedgingMemberus-gaap:ForeignExchangeContractMember2020-01-012020-09-300000927628us-gaap:CashFlowHedgingMembercof:InterestexpenseDepositsMembe</w:t>
      </w:r>
      <w:r>
        <w:rPr>
          <w:rFonts w:eastAsia="Times New Roman"/>
          <w:vanish/>
        </w:rPr>
        <w:t>rus-gaap:ForeignExchangeContractMember2020-01-012020-09-300000927628us-gaap:CashFlowHedgingMembercof:InterestexpenseSecuritizedDebtObligationMemberus-gaap:ForeignExchangeContractMember2020-01-012020-09-300000927628us-gaap:CashFlowHedgingMembercof:Intereste</w:t>
      </w:r>
      <w:r>
        <w:rPr>
          <w:rFonts w:eastAsia="Times New Roman"/>
          <w:vanish/>
        </w:rPr>
        <w:t>xpenseSeniorandSubordinatedDebtMemberus-gaap:ForeignExchangeContractMember2020-01-012020-09-300000927628us-gaap:CashFlowHedgingMemberus-gaap:ForeignExchangeContractMembercof:NonInterestIncomeOtherMember2020-01-012020-09-300000927628cof:InterestincomeInvest</w:t>
      </w:r>
      <w:r>
        <w:rPr>
          <w:rFonts w:eastAsia="Times New Roman"/>
          <w:vanish/>
        </w:rPr>
        <w:t>mentsecuritiesMemberus-gaap:CashFlowHedgingMember2020-01-012020-09-300000927628us-gaap:CashFlowHedgingMembercof:InterestincomeLoansMember2020-01-012020-09-300000927628cof:InterestincomeOtherMemberus-gaap:CashFlowHedgingMember2020-01-012020-09-300000927628u</w:t>
      </w:r>
      <w:r>
        <w:rPr>
          <w:rFonts w:eastAsia="Times New Roman"/>
          <w:vanish/>
        </w:rPr>
        <w:t>s-gaap:CashFlowHedgingMembercof:InterestexpenseDepositsMember2020-01-012020-09-300000927628us-gaap:CashFlowHedgingMembercof:InterestexpenseSecuritizedDebtObligationMember2020-01-012020-09-300000927628us-gaap:CashFlowHedgingMembercof:InterestexpenseSenioran</w:t>
      </w:r>
      <w:r>
        <w:rPr>
          <w:rFonts w:eastAsia="Times New Roman"/>
          <w:vanish/>
        </w:rPr>
        <w:t>dSubordinatedDebtMember2020-01-012020-09-300000927628us-gaap:CashFlowHedgingMembercof:NonInterestIncomeOtherMember2020-01-012020-09-300000927628cof:NonInterestIncomeOtherMember2021-07-012021-09-300000927628cof:NonInterestIncomeOtherMember2021-01-012021-09-</w:t>
      </w:r>
      <w:r>
        <w:rPr>
          <w:rFonts w:eastAsia="Times New Roman"/>
          <w:vanish/>
        </w:rPr>
        <w:t>300000927628cof:NonInterestIncomeOtherMember2020-07-012020-09-300000927628cof:NonInterestIncomeOtherMember2020-01-012020-09-300000927628cof:OtherNonInterestIncomeMembercof:CustomerAccommodationMemberus-gaap:InterestRateContractMember2021-07-012021-09-30000</w:t>
      </w:r>
      <w:r>
        <w:rPr>
          <w:rFonts w:eastAsia="Times New Roman"/>
          <w:vanish/>
        </w:rPr>
        <w:t>0927628cof:OtherNonInterestIncomeMembercof:CustomerAccommodationMemberus-gaap:InterestRateContractMember2020-07-012020-09-300000927628cof:OtherNonInterestIncomeMembercof:CustomerAccommodationMemberus-gaap:InterestRateContractMember2021-01-012021-09-3000009</w:t>
      </w:r>
      <w:r>
        <w:rPr>
          <w:rFonts w:eastAsia="Times New Roman"/>
          <w:vanish/>
        </w:rPr>
        <w:t>27628cof:OtherNonInterestIncomeMembercof:CustomerAccommodationMemberus-gaap:InterestRateContractMember2020-01-012020-09-300000927628cof:OtherNonInterestIncomeMembercof:CustomerAccommodationMemberus-gaap:CommodityContractMember2021-07-012021-09-300000927628</w:t>
      </w:r>
      <w:r>
        <w:rPr>
          <w:rFonts w:eastAsia="Times New Roman"/>
          <w:vanish/>
        </w:rPr>
        <w:t>cof:OtherNonInterestIncomeMembercof:CustomerAccommodationMemberus-gaap:CommodityContractMember2020-07-012020-09-300000927628cof:OtherNonInterestIncomeMembercof:CustomerAccommodationMemberus-gaap:CommodityContractMember2021-01-012021-09-300000927628cof:Othe</w:t>
      </w:r>
      <w:r>
        <w:rPr>
          <w:rFonts w:eastAsia="Times New Roman"/>
          <w:vanish/>
        </w:rPr>
        <w:t>rNonInterestIncomeMembercof:CustomerAccommodationMemberus-gaap:CommodityContractMember2020-01-012020-09-300000927628cof:OtherNonInterestIncomeMembercof:CustomerAccommodationMemberus-gaap:ForeignExchangeContractMember2021-07-012021-09-300000927628cof:OtherN</w:t>
      </w:r>
      <w:r>
        <w:rPr>
          <w:rFonts w:eastAsia="Times New Roman"/>
          <w:vanish/>
        </w:rPr>
        <w:t>onInterestIncomeMembercof:CustomerAccommodationMemberus-gaap:ForeignExchangeContractMember2020-07-012020-09-300000927628cof:OtherNonInterestIncomeMembercof:CustomerAccommodationMemberus-gaap:ForeignExchangeContractMember2021-01-012021-09-300000927628cof:Ot</w:t>
      </w:r>
      <w:r>
        <w:rPr>
          <w:rFonts w:eastAsia="Times New Roman"/>
          <w:vanish/>
        </w:rPr>
        <w:t>herNonInterestIncomeMembercof:CustomerAccommodationMemberus-gaap:ForeignExchangeContractMember2020-01-012020-09-300000927628cof:OtherNonInterestIncomeMemberus-gaap:InterestRateContractMember2021-07-012021-09-300000927628cof:OtherNonInterestIncomeMemberus-g</w:t>
      </w:r>
      <w:r>
        <w:rPr>
          <w:rFonts w:eastAsia="Times New Roman"/>
          <w:vanish/>
        </w:rPr>
        <w:t>aap:InterestRateContractMember2020-07-012020-09-300000927628cof:OtherNonInterestIncomeMemberus-gaap:InterestRateContractMember2021-01-012021-09-300000927628cof:OtherNonInterestIncomeMemberus-gaap:InterestRateContractMember2020-01-012020-09-300000927628cof:</w:t>
      </w:r>
      <w:r>
        <w:rPr>
          <w:rFonts w:eastAsia="Times New Roman"/>
          <w:vanish/>
        </w:rPr>
        <w:t>OtherNonInterestIncomeMembercof:OtherInterestRateExposuresMemberus-gaap:InterestRateContractMember2021-07-012021-09-300000927628cof:OtherNonInterestIncomeMembercof:OtherInterestRateExposuresMemberus-gaap:InterestRateContractMember2020-07-012020-09-30000092</w:t>
      </w:r>
      <w:r>
        <w:rPr>
          <w:rFonts w:eastAsia="Times New Roman"/>
          <w:vanish/>
        </w:rPr>
        <w:t>7628cof:OtherNonInterestIncomeMembercof:OtherInterestRateExposuresMemberus-gaap:InterestRateContractMember2021-01-012021-09-300000927628cof:OtherNonInterestIncomeMembercof:OtherInterestRateExposuresMemberus-gaap:InterestRateContractMember2020-01-012020-09-</w:t>
      </w:r>
      <w:r>
        <w:rPr>
          <w:rFonts w:eastAsia="Times New Roman"/>
          <w:vanish/>
        </w:rPr>
        <w:t>300000927628cof:OtherNonInterestIncomeMemberus-gaap:OtherContractMember2021-07-012021-09-300000927628cof:OtherNonInterestIncomeMemberus-gaap:OtherContractMember2020-07-012020-09-300000927628cof:OtherNonInterestIncomeMemberus-gaap:OtherContractMember2021-01</w:t>
      </w:r>
      <w:r>
        <w:rPr>
          <w:rFonts w:eastAsia="Times New Roman"/>
          <w:vanish/>
        </w:rPr>
        <w:t>-012021-09-300000927628cof:OtherNonInterestIncomeMemberus-gaap:OtherContractMember2020-01-012020-09-300000927628cof:OtherNonInterestIncomeMember2021-07-012021-09-300000927628cof:OtherNonInterestIncomeMember2020-07-012020-09-300000927628cof:OtherNonInterest</w:t>
      </w:r>
      <w:r>
        <w:rPr>
          <w:rFonts w:eastAsia="Times New Roman"/>
          <w:vanish/>
        </w:rPr>
        <w:t>IncomeMember2021-01-012021-09-300000927628cof:OtherNonInterestIncomeMember2020-01-012020-09-300000927628cof:OtherNonInterestIncomeMembercof:CustomerAccommodationMembercof:FXSpotTransactionsDomain2021-07-012021-09-300000927628cof:OtherNonInterestIncomeMembe</w:t>
      </w:r>
      <w:r>
        <w:rPr>
          <w:rFonts w:eastAsia="Times New Roman"/>
          <w:vanish/>
        </w:rPr>
        <w:t>rcof:CustomerAccommodationMembercof:FXSpotTransactionsDomain2021-01-012021-09-300000927628us-gaap:SeriesEPreferredStockMember2021-01-012021-09-300000927628us-gaap:SeriesEPreferredStockMember2021-09-300000927628us-gaap:SeriesEPreferredStockMember2020-12-310</w:t>
      </w:r>
      <w:r>
        <w:rPr>
          <w:rFonts w:eastAsia="Times New Roman"/>
          <w:vanish/>
        </w:rPr>
        <w:t>000927628us-gaap:SeriesGPreferredStockMember2021-09-300000927628us-gaap:SeriesGPreferredStockMember2020-12-310000927628us-gaap:SeriesHPreferredStockMember2021-09-300000927628us-gaap:SeriesHPreferredStockMember2020-12-310000927628cof:SeriesIPreferredStockMe</w:t>
      </w:r>
      <w:r>
        <w:rPr>
          <w:rFonts w:eastAsia="Times New Roman"/>
          <w:vanish/>
        </w:rPr>
        <w:t>mber2021-09-300000927628cof:SeriesIPreferredStockMember2020-12-310000927628cof:SeriesJPreferredStockMember2021-09-300000927628cof:SeriesJPreferredStockMember2020-12-310000927628cof:SeriesKPreferredStockMember2021-09-300000927628cof:SeriesKPreferredStockMem</w:t>
      </w:r>
      <w:r>
        <w:rPr>
          <w:rFonts w:eastAsia="Times New Roman"/>
          <w:vanish/>
        </w:rPr>
        <w:t>ber2020-12-310000927628cof:SeriesLPreferredStockMember2021-09-300000927628cof:SeriesLPreferredStockMember2020-12-310000927628cof:SeriesMPreferredStockMember2021-01-012021-09-300000927628cof:SeriesMPreferredStockMember2021-09-300000927628cof:SeriesMPreferre</w:t>
      </w:r>
      <w:r>
        <w:rPr>
          <w:rFonts w:eastAsia="Times New Roman"/>
          <w:vanish/>
        </w:rPr>
        <w:t>dStockMember2020-12-310000927628cof:SeriesNPreferredStockMember2021-09-300000927628cof:SeriesNPreferredStockMember2020-12-310000927628us-gaap:AccumulatedNetUnrealizedInvestmentGainLossMember2021-06-300000927628us-gaap:AccumulatedNetGainLossFromDesignatedOr</w:t>
      </w:r>
      <w:r>
        <w:rPr>
          <w:rFonts w:eastAsia="Times New Roman"/>
          <w:vanish/>
        </w:rPr>
        <w:t>QualifyingCashFlowHedgesMember2021-06-300000927628us-gaap:AccumulatedTranslationAdjustmentMember2021-06-300000927628cof:AccumulatedOtherComprehensiveIncomeLossOtherComponentMember2021-06-300000927628us-gaap:AccumulatedNetUnrealizedInvestmentGainLossMember2</w:t>
      </w:r>
      <w:r>
        <w:rPr>
          <w:rFonts w:eastAsia="Times New Roman"/>
          <w:vanish/>
        </w:rPr>
        <w:t>021-07-012021-09-300000927628us-gaap:AccumulatedNetGainLossFromDesignatedOrQualifyingCashFlowHedgesMember2021-07-012021-09-300000927628us-gaap:AccumulatedTranslationAdjustmentMember2021-07-012021-09-300000927628cof:AccumulatedOtherComprehensiveIncomeLossOt</w:t>
      </w:r>
      <w:r>
        <w:rPr>
          <w:rFonts w:eastAsia="Times New Roman"/>
          <w:vanish/>
        </w:rPr>
        <w:t>herComponentMember2021-07-012021-09-300000927628us-gaap:AccumulatedNetUnrealizedInvestmentGainLossMember2021-09-300000927628us-gaap:AccumulatedNetGainLossFromDesignatedOrQualifyingCashFlowHedgesMember2021-09-300000927628us-gaap:AccumulatedTranslationAdjust</w:t>
      </w:r>
      <w:r>
        <w:rPr>
          <w:rFonts w:eastAsia="Times New Roman"/>
          <w:vanish/>
        </w:rPr>
        <w:t>mentMember2021-09-300000927628cof:AccumulatedOtherComprehensiveIncomeLossOtherComponentMember2021-09-300000927628us-gaap:AccumulatedNetUnrealizedInvestmentGainLossMember2020-12-310000927628us-gaap:AccumulatedNetGainLossFromDesignatedOrQualifyingCashFlowHed</w:t>
      </w:r>
      <w:r>
        <w:rPr>
          <w:rFonts w:eastAsia="Times New Roman"/>
          <w:vanish/>
        </w:rPr>
        <w:t>gesMember2020-12-310000927628us-gaap:AccumulatedTranslationAdjustmentMember2020-12-310000927628cof:AccumulatedOtherComprehensiveIncomeLossOtherComponentMember2020-12-310000927628us-gaap:AccumulatedNetUnrealizedInvestmentGainLossMember2021-01-012021-09-3000</w:t>
      </w:r>
      <w:r>
        <w:rPr>
          <w:rFonts w:eastAsia="Times New Roman"/>
          <w:vanish/>
        </w:rPr>
        <w:t>00927628us-gaap:AccumulatedNetGainLossFromDesignatedOrQualifyingCashFlowHedgesMember2021-01-012021-09-300000927628us-gaap:AccumulatedTranslationAdjustmentMember2021-01-012021-09-300000927628cof:AccumulatedOtherComprehensiveIncomeLossOtherComponentMember202</w:t>
      </w:r>
      <w:r>
        <w:rPr>
          <w:rFonts w:eastAsia="Times New Roman"/>
          <w:vanish/>
        </w:rPr>
        <w:t>1-01-012021-09-300000927628us-gaap:AccumulatedOtherComprehensiveIncomeMember2021-01-012021-09-300000927628us-gaap:AccumulatedNetUnrealizedInvestmentGainLossMember2020-06-300000927628us-gaap:AccumulatedNetGainLossFromDesignatedOrQualifyingCashFlowHedgesMemb</w:t>
      </w:r>
      <w:r>
        <w:rPr>
          <w:rFonts w:eastAsia="Times New Roman"/>
          <w:vanish/>
        </w:rPr>
        <w:t>er2020-06-300000927628us-gaap:AccumulatedTranslationAdjustmentMember2020-06-300000927628cof:AccumulatedOtherComprehensiveIncomeLossOtherComponentMember2020-06-300000927628us-gaap:AccumulatedNetUnrealizedInvestmentGainLossMember2020-07-012020-09-30000092762</w:t>
      </w:r>
      <w:r>
        <w:rPr>
          <w:rFonts w:eastAsia="Times New Roman"/>
          <w:vanish/>
        </w:rPr>
        <w:t>8us-gaap:AccumulatedNetGainLossFromDesignatedOrQualifyingCashFlowHedgesMember2020-07-012020-09-300000927628us-gaap:AccumulatedTranslationAdjustmentMember2020-07-012020-09-300000927628cof:AccumulatedOtherComprehensiveIncomeLossOtherComponentMember2020-07-01</w:t>
      </w:r>
      <w:r>
        <w:rPr>
          <w:rFonts w:eastAsia="Times New Roman"/>
          <w:vanish/>
        </w:rPr>
        <w:t>2020-09-300000927628us-gaap:AccumulatedNetUnrealizedInvestmentGainLossMember2020-09-300000927628us-gaap:AccumulatedNetGainLossFromDesignatedOrQualifyingCashFlowHedgesMember2020-09-300000927628us-gaap:AccumulatedTranslationAdjustmentMember2020-09-3000009276</w:t>
      </w:r>
      <w:r>
        <w:rPr>
          <w:rFonts w:eastAsia="Times New Roman"/>
          <w:vanish/>
        </w:rPr>
        <w:t>28cof:AccumulatedOtherComprehensiveIncomeLossOtherComponentMember2020-09-300000927628us-gaap:AccumulatedNetUnrealizedInvestmentGainLossMember2019-12-310000927628us-gaap:AccumulatedNetGainLossFromDesignatedOrQualifyingCashFlowHedgesMember2019-12-31000092762</w:t>
      </w:r>
      <w:r>
        <w:rPr>
          <w:rFonts w:eastAsia="Times New Roman"/>
          <w:vanish/>
        </w:rPr>
        <w:t>8us-gaap:AccumulatedTranslationAdjustmentMember2019-12-310000927628cof:AccumulatedOtherComprehensiveIncomeLossOtherComponentMember2019-12-310000927628srt:CumulativeEffectPeriodOfAdoptionAdjustmentMemberus-gaap:AccumulatedNetUnrealizedInvestmentGainLossMemb</w:t>
      </w:r>
      <w:r>
        <w:rPr>
          <w:rFonts w:eastAsia="Times New Roman"/>
          <w:vanish/>
        </w:rPr>
        <w:t>er2019-12-310000927628srt:CumulativeEffectPeriodOfAdoptionAdjustmentMemberus-gaap:AccumulatedNetGainLossFromDesignatedOrQualifyingCashFlowHedgesMember2019-12-310000927628srt:CumulativeEffectPeriodOfAdoptionAdjustmentMemberus-gaap:AccumulatedTranslationAdju</w:t>
      </w:r>
      <w:r>
        <w:rPr>
          <w:rFonts w:eastAsia="Times New Roman"/>
          <w:vanish/>
        </w:rPr>
        <w:t>stmentMember2019-12-310000927628srt:CumulativeEffectPeriodOfAdoptionAdjustmentMembercof:AccumulatedOtherComprehensiveIncomeLossOtherComponentMember2019-12-310000927628us-gaap:AccumulatedNetUnrealizedInvestmentGainLossMember2020-01-012020-09-300000927628us-</w:t>
      </w:r>
      <w:r>
        <w:rPr>
          <w:rFonts w:eastAsia="Times New Roman"/>
          <w:vanish/>
        </w:rPr>
        <w:t>gaap:AccumulatedNetGainLossFromDesignatedOrQualifyingCashFlowHedgesMember2020-01-012020-09-300000927628us-gaap:AccumulatedTranslationAdjustmentMember2020-01-012020-09-300000927628cof:AccumulatedOtherComprehensiveIncomeLossOtherComponentMember2020-01-012020</w:t>
      </w:r>
      <w:r>
        <w:rPr>
          <w:rFonts w:eastAsia="Times New Roman"/>
          <w:vanish/>
        </w:rPr>
        <w:t>-09-300000927628us-gaap:AccumulatedOtherComprehensiveIncomeMember2020-01-012020-09-300000927628us-gaap:NetInvestmentHedgingMember2021-07-012021-09-300000927628us-gaap:NetInvestmentHedgingMember2021-01-012021-09-300000927628us-gaap:NetInvestmentHedgingMembe</w:t>
      </w:r>
      <w:r>
        <w:rPr>
          <w:rFonts w:eastAsia="Times New Roman"/>
          <w:vanish/>
        </w:rPr>
        <w:t>r2020-07-012020-09-300000927628us-gaap:NetInvestmentHedgingMember2020-01-012020-09-300000927628us-gaap:AccumulatedNetUnrealizedInvestmentGainLossMemberus-gaap:ReclassificationOutOfAccumulatedOtherComprehensiveIncomeMember2021-07-012021-09-300000927628us-ga</w:t>
      </w:r>
      <w:r>
        <w:rPr>
          <w:rFonts w:eastAsia="Times New Roman"/>
          <w:vanish/>
        </w:rPr>
        <w:t>ap:AccumulatedNetUnrealizedInvestmentGainLossMemberus-gaap:ReclassificationOutOfAccumulatedOtherComprehensiveIncomeMember2020-07-012020-09-300000927628us-gaap:AccumulatedNetUnrealizedInvestmentGainLossMemberus-gaap:ReclassificationOutOfAccumulatedOtherComp</w:t>
      </w:r>
      <w:r>
        <w:rPr>
          <w:rFonts w:eastAsia="Times New Roman"/>
          <w:vanish/>
        </w:rPr>
        <w:t>rehensiveIncomeMember2021-01-012021-09-300000927628us-gaap:AccumulatedNetUnrealizedInvestmentGainLossMemberus-gaap:ReclassificationOutOfAccumulatedOtherComprehensiveIncomeMember2020-01-012020-09-300000927628us-gaap:InterestRateContractMemberus-gaap:Accumul</w:t>
      </w:r>
      <w:r>
        <w:rPr>
          <w:rFonts w:eastAsia="Times New Roman"/>
          <w:vanish/>
        </w:rPr>
        <w:t>atedNetGainLossFromDesignatedOrQualifyingCashFlowHedgesMemberus-gaap:ReclassificationOutOfAccumulatedOtherComprehensiveIncomeMember2021-07-012021-09-300000927628us-gaap:InterestRateContractMemberus-gaap:AccumulatedNetGainLossFromDesignatedOrQualifyingCashF</w:t>
      </w:r>
      <w:r>
        <w:rPr>
          <w:rFonts w:eastAsia="Times New Roman"/>
          <w:vanish/>
        </w:rPr>
        <w:t>lowHedgesMemberus-gaap:ReclassificationOutOfAccumulatedOtherComprehensiveIncomeMember2020-07-012020-09-300000927628us-gaap:InterestRateContractMemberus-gaap:AccumulatedNetGainLossFromDesignatedOrQualifyingCashFlowHedgesMemberus-gaap:ReclassificationOutOfAc</w:t>
      </w:r>
      <w:r>
        <w:rPr>
          <w:rFonts w:eastAsia="Times New Roman"/>
          <w:vanish/>
        </w:rPr>
        <w:t>cumulatedOtherComprehensiveIncomeMember2021-01-012021-09-300000927628us-gaap:InterestRateContractMemberus-gaap:AccumulatedNetGainLossFromDesignatedOrQualifyingCashFlowHedgesMemberus-gaap:ReclassificationOutOfAccumulatedOtherComprehensiveIncomeMember2020-01</w:t>
      </w:r>
      <w:r>
        <w:rPr>
          <w:rFonts w:eastAsia="Times New Roman"/>
          <w:vanish/>
        </w:rPr>
        <w:t>-012020-09-300000927628us-gaap:AccumulatedNetGainLossFromDesignatedOrQualifyingCashFlowHedgesMemberus-gaap:ReclassificationOutOfAccumulatedOtherComprehensiveIncomeMemberus-gaap:ForeignExchangeContractMember2021-07-012021-09-300000927628us-gaap:AccumulatedN</w:t>
      </w:r>
      <w:r>
        <w:rPr>
          <w:rFonts w:eastAsia="Times New Roman"/>
          <w:vanish/>
        </w:rPr>
        <w:t>etGainLossFromDesignatedOrQualifyingCashFlowHedgesMemberus-gaap:ReclassificationOutOfAccumulatedOtherComprehensiveIncomeMemberus-gaap:ForeignExchangeContractMember2020-07-012020-09-300000927628us-gaap:AccumulatedNetGainLossFromDesignatedOrQualifyingCashFlo</w:t>
      </w:r>
      <w:r>
        <w:rPr>
          <w:rFonts w:eastAsia="Times New Roman"/>
          <w:vanish/>
        </w:rPr>
        <w:t>wHedgesMemberus-gaap:ReclassificationOutOfAccumulatedOtherComprehensiveIncomeMemberus-gaap:ForeignExchangeContractMember2021-01-012021-09-300000927628us-gaap:AccumulatedNetGainLossFromDesignatedOrQualifyingCashFlowHedgesMemberus-gaap:ReclassificationOutOfA</w:t>
      </w:r>
      <w:r>
        <w:rPr>
          <w:rFonts w:eastAsia="Times New Roman"/>
          <w:vanish/>
        </w:rPr>
        <w:t>ccumulatedOtherComprehensiveIncomeMemberus-gaap:ForeignExchangeContractMember2020-01-012020-09-300000927628cof:AccumulatedOtherComprehensiveIncomeLossOtherComponentMemberus-gaap:ReclassificationOutOfAccumulatedOtherComprehensiveIncomeMember2021-07-012021-0</w:t>
      </w:r>
      <w:r>
        <w:rPr>
          <w:rFonts w:eastAsia="Times New Roman"/>
          <w:vanish/>
        </w:rPr>
        <w:t>9-300000927628cof:AccumulatedOtherComprehensiveIncomeLossOtherComponentMemberus-gaap:ReclassificationOutOfAccumulatedOtherComprehensiveIncomeMember2020-07-012020-09-300000927628cof:AccumulatedOtherComprehensiveIncomeLossOtherComponentMemberus-gaap:Reclassi</w:t>
      </w:r>
      <w:r>
        <w:rPr>
          <w:rFonts w:eastAsia="Times New Roman"/>
          <w:vanish/>
        </w:rPr>
        <w:t>ficationOutOfAccumulatedOtherComprehensiveIncomeMember2021-01-012021-09-300000927628cof:AccumulatedOtherComprehensiveIncomeLossOtherComponentMemberus-gaap:ReclassificationOutOfAccumulatedOtherComprehensiveIncomeMember2020-01-012020-09-300000927628us-gaap:R</w:t>
      </w:r>
      <w:r>
        <w:rPr>
          <w:rFonts w:eastAsia="Times New Roman"/>
          <w:vanish/>
        </w:rPr>
        <w:t>eclassificationOutOfAccumulatedOtherComprehensiveIncomeMember2021-07-012021-09-300000927628us-gaap:ReclassificationOutOfAccumulatedOtherComprehensiveIncomeMember2020-07-012020-09-300000927628us-gaap:ReclassificationOutOfAccumulatedOtherComprehensiveIncomeM</w:t>
      </w:r>
      <w:r>
        <w:rPr>
          <w:rFonts w:eastAsia="Times New Roman"/>
          <w:vanish/>
        </w:rPr>
        <w:t>ember2021-01-012021-09-300000927628us-gaap:ReclassificationOutOfAccumulatedOtherComprehensiveIncomeMember2020-01-012020-09-300000927628us-gaap:StockCompensationPlanMember2021-01-012021-09-300000927628us-gaap:EmployeeStockOptionMember2020-07-012020-09-30000</w:t>
      </w:r>
      <w:r>
        <w:rPr>
          <w:rFonts w:eastAsia="Times New Roman"/>
          <w:vanish/>
        </w:rPr>
        <w:t>0927628us-gaap:StockCompensationPlanMember2020-01-012020-09-300000927628us-gaap:EmployeeStockOptionMember2020-01-012020-09-300000927628us-gaap:FairValueMeasurementsRecurringMemberus-gaap:USTreasurySecuritiesMemberus-gaap:FairValueInputsLevel1Member2021-09-</w:t>
      </w:r>
      <w:r>
        <w:rPr>
          <w:rFonts w:eastAsia="Times New Roman"/>
          <w:vanish/>
        </w:rPr>
        <w:t>300000927628us-gaap:FairValueMeasurementsRecurringMemberus-gaap:USTreasurySecuritiesMemberus-gaap:FairValueInputsLevel2Member2021-09-300000927628us-gaap:FairValueMeasurementsRecurringMemberus-gaap:USTreasurySecuritiesMemberus-gaap:FairValueInputsLevel3Memb</w:t>
      </w:r>
      <w:r>
        <w:rPr>
          <w:rFonts w:eastAsia="Times New Roman"/>
          <w:vanish/>
        </w:rPr>
        <w:t>er2021-09-300000927628us-gaap:FairValueMeasurementsRecurringMemberus-gaap:USTreasurySecuritiesMember2021-09-300000927628us-gaap:FairValueMeasurementsRecurringMemberus-gaap:FairValueInputsLevel1Memberus-gaap:ResidentialMortgageBackedSecuritiesMember2021-09-</w:t>
      </w:r>
      <w:r>
        <w:rPr>
          <w:rFonts w:eastAsia="Times New Roman"/>
          <w:vanish/>
        </w:rPr>
        <w:t>300000927628us-gaap:FairValueMeasurementsRecurringMemberus-gaap:FairValueInputsLevel2Memberus-gaap:ResidentialMortgageBackedSecuritiesMember2021-09-300000927628us-gaap:FairValueMeasurementsRecurringMemberus-gaap:FairValueInputsLevel3Memberus-gaap:Residenti</w:t>
      </w:r>
      <w:r>
        <w:rPr>
          <w:rFonts w:eastAsia="Times New Roman"/>
          <w:vanish/>
        </w:rPr>
        <w:t>alMortgageBackedSecuritiesMember2021-09-300000927628us-gaap:FairValueMeasurementsRecurringMemberus-gaap:ResidentialMortgageBackedSecuritiesMember2021-09-300000927628us-gaap:FairValueMeasurementsRecurringMemberus-gaap:FairValueInputsLevel1Memberus-gaap:Comm</w:t>
      </w:r>
      <w:r>
        <w:rPr>
          <w:rFonts w:eastAsia="Times New Roman"/>
          <w:vanish/>
        </w:rPr>
        <w:t>ercialMortgageBackedSecuritiesMember2021-09-300000927628us-gaap:FairValueMeasurementsRecurringMemberus-gaap:CommercialMortgageBackedSecuritiesMemberus-gaap:FairValueInputsLevel2Member2021-09-300000927628us-gaap:FairValueMeasurementsRecurringMemberus-gaap:C</w:t>
      </w:r>
      <w:r>
        <w:rPr>
          <w:rFonts w:eastAsia="Times New Roman"/>
          <w:vanish/>
        </w:rPr>
        <w:t>ommercialMortgageBackedSecuritiesMemberus-gaap:FairValueInputsLevel3Member2021-09-300000927628us-gaap:FairValueMeasurementsRecurringMemberus-gaap:CommercialMortgageBackedSecuritiesMember2021-09-300000927628us-gaap:FairValueMeasurementsRecurringMemberus-gaa</w:t>
      </w:r>
      <w:r>
        <w:rPr>
          <w:rFonts w:eastAsia="Times New Roman"/>
          <w:vanish/>
        </w:rPr>
        <w:t>p:FairValueInputsLevel1Memberus-gaap:OtherDebtSecuritiesMember2021-09-300000927628us-gaap:FairValueMeasurementsRecurringMemberus-gaap:FairValueInputsLevel2Memberus-gaap:OtherDebtSecuritiesMember2021-09-300000927628us-gaap:FairValueMeasurementsRecurringMemb</w:t>
      </w:r>
      <w:r>
        <w:rPr>
          <w:rFonts w:eastAsia="Times New Roman"/>
          <w:vanish/>
        </w:rPr>
        <w:t>erus-gaap:FairValueInputsLevel3Memberus-gaap:OtherDebtSecuritiesMember2021-09-300000927628us-gaap:FairValueMeasurementsRecurringMemberus-gaap:OtherDebtSecuritiesMember2021-09-300000927628us-gaap:FairValueMeasurementsRecurringMemberus-gaap:FairValueInputsLe</w:t>
      </w:r>
      <w:r>
        <w:rPr>
          <w:rFonts w:eastAsia="Times New Roman"/>
          <w:vanish/>
        </w:rPr>
        <w:t>vel1Member2021-09-300000927628us-gaap:FairValueMeasurementsRecurringMemberus-gaap:FairValueInputsLevel2Member2021-09-300000927628us-gaap:FairValueMeasurementsRecurringMemberus-gaap:FairValueInputsLevel3Member2021-09-300000927628us-gaap:FairValueMeasurement</w:t>
      </w:r>
      <w:r>
        <w:rPr>
          <w:rFonts w:eastAsia="Times New Roman"/>
          <w:vanish/>
        </w:rPr>
        <w:t>sRecurringMember2021-09-300000927628us-gaap:FairValueMeasurementsRecurringMemberus-gaap:USTreasurySecuritiesMemberus-gaap:FairValueInputsLevel1Member2020-12-310000927628us-gaap:FairValueMeasurementsRecurringMemberus-gaap:USTreasurySecuritiesMemberus-gaap:F</w:t>
      </w:r>
      <w:r>
        <w:rPr>
          <w:rFonts w:eastAsia="Times New Roman"/>
          <w:vanish/>
        </w:rPr>
        <w:t>airValueInputsLevel2Member2020-12-310000927628us-gaap:FairValueMeasurementsRecurringMemberus-gaap:USTreasurySecuritiesMemberus-gaap:FairValueInputsLevel3Member2020-12-310000927628us-gaap:FairValueMeasurementsRecurringMemberus-gaap:USTreasurySecuritiesMembe</w:t>
      </w:r>
      <w:r>
        <w:rPr>
          <w:rFonts w:eastAsia="Times New Roman"/>
          <w:vanish/>
        </w:rPr>
        <w:t>r2020-12-310000927628us-gaap:FairValueMeasurementsRecurringMemberus-gaap:FairValueInputsLevel1Memberus-gaap:ResidentialMortgageBackedSecuritiesMember2020-12-310000927628us-gaap:FairValueMeasurementsRecurringMemberus-gaap:FairValueInputsLevel2Memberus-gaap:</w:t>
      </w:r>
      <w:r>
        <w:rPr>
          <w:rFonts w:eastAsia="Times New Roman"/>
          <w:vanish/>
        </w:rPr>
        <w:t>ResidentialMortgageBackedSecuritiesMember2020-12-310000927628us-gaap:FairValueMeasurementsRecurringMemberus-gaap:FairValueInputsLevel3Memberus-gaap:ResidentialMortgageBackedSecuritiesMember2020-12-310000927628us-gaap:FairValueMeasurementsRecurringMemberus-</w:t>
      </w:r>
      <w:r>
        <w:rPr>
          <w:rFonts w:eastAsia="Times New Roman"/>
          <w:vanish/>
        </w:rPr>
        <w:t>gaap:ResidentialMortgageBackedSecuritiesMember2020-12-310000927628us-gaap:FairValueMeasurementsRecurringMemberus-gaap:FairValueInputsLevel1Memberus-gaap:CommercialMortgageBackedSecuritiesMember2020-12-310000927628us-gaap:FairValueMeasurementsRecurringMembe</w:t>
      </w:r>
      <w:r>
        <w:rPr>
          <w:rFonts w:eastAsia="Times New Roman"/>
          <w:vanish/>
        </w:rPr>
        <w:t>rus-gaap:CommercialMortgageBackedSecuritiesMemberus-gaap:FairValueInputsLevel2Member2020-12-310000927628us-gaap:FairValueMeasurementsRecurringMemberus-gaap:CommercialMortgageBackedSecuritiesMemberus-gaap:FairValueInputsLevel3Member2020-12-310000927628us-ga</w:t>
      </w:r>
      <w:r>
        <w:rPr>
          <w:rFonts w:eastAsia="Times New Roman"/>
          <w:vanish/>
        </w:rPr>
        <w:t>ap:FairValueMeasurementsRecurringMemberus-gaap:CommercialMortgageBackedSecuritiesMember2020-12-310000927628us-gaap:FairValueMeasurementsRecurringMemberus-gaap:FairValueInputsLevel1Memberus-gaap:OtherDebtSecuritiesMember2020-12-310000927628us-gaap:FairValue</w:t>
      </w:r>
      <w:r>
        <w:rPr>
          <w:rFonts w:eastAsia="Times New Roman"/>
          <w:vanish/>
        </w:rPr>
        <w:t>MeasurementsRecurringMemberus-gaap:FairValueInputsLevel2Memberus-gaap:OtherDebtSecuritiesMember2020-12-310000927628us-gaap:FairValueMeasurementsRecurringMemberus-gaap:FairValueInputsLevel3Memberus-gaap:OtherDebtSecuritiesMember2020-12-310000927628us-gaap:F</w:t>
      </w:r>
      <w:r>
        <w:rPr>
          <w:rFonts w:eastAsia="Times New Roman"/>
          <w:vanish/>
        </w:rPr>
        <w:t>airValueMeasurementsRecurringMemberus-gaap:OtherDebtSecuritiesMember2020-12-310000927628us-gaap:FairValueMeasurementsRecurringMemberus-gaap:FairValueInputsLevel1Member2020-12-310000927628us-gaap:FairValueMeasurementsRecurringMemberus-gaap:FairValueInputsLe</w:t>
      </w:r>
      <w:r>
        <w:rPr>
          <w:rFonts w:eastAsia="Times New Roman"/>
          <w:vanish/>
        </w:rPr>
        <w:t>vel2Member2020-12-310000927628us-gaap:FairValueMeasurementsRecurringMemberus-gaap:FairValueInputsLevel3Member2020-12-310000927628us-gaap:FairValueMeasurementsRecurringMember2020-12-310000927628us-gaap:FairValueMeasurementsRecurringMembercof:FairValueInputs</w:t>
      </w:r>
      <w:r>
        <w:rPr>
          <w:rFonts w:eastAsia="Times New Roman"/>
          <w:vanish/>
        </w:rPr>
        <w:t>Level1AndLevel2Member2021-09-300000927628us-gaap:FairValueMeasurementsRecurringMembercof:FairValueInputsLevel1AndLevel2Member2020-12-310000927628us-gaap:FairValueMeasurementsRecurringMembercof:FairValueInputsLevel1AndLevel2Member2021-01-012021-09-300000927</w:t>
      </w:r>
      <w:r>
        <w:rPr>
          <w:rFonts w:eastAsia="Times New Roman"/>
          <w:vanish/>
        </w:rPr>
        <w:t>628us-gaap:FairValueMeasurementsRecurringMembercof:FairValueInputsLevel1AndLevel2Member2020-01-012020-12-310000927628us-gaap:FairValueMeasurementsRecurringMemberus-gaap:FairValueInputsLevel3Memberus-gaap:ResidentialMortgageBackedSecuritiesMember2021-06-300</w:t>
      </w:r>
      <w:r>
        <w:rPr>
          <w:rFonts w:eastAsia="Times New Roman"/>
          <w:vanish/>
        </w:rPr>
        <w:t>000927628us-gaap:FairValueMeasurementsRecurringMemberus-gaap:FairValueInputsLevel3Memberus-gaap:ResidentialMortgageBackedSecuritiesMember2021-07-012021-09-300000927628us-gaap:FairValueMeasurementsRecurringMemberus-gaap:CommercialMortgageBackedSecuritiesMem</w:t>
      </w:r>
      <w:r>
        <w:rPr>
          <w:rFonts w:eastAsia="Times New Roman"/>
          <w:vanish/>
        </w:rPr>
        <w:t>berus-gaap:FairValueInputsLevel3Member2021-06-300000927628us-gaap:FairValueMeasurementsRecurringMemberus-gaap:CommercialMortgageBackedSecuritiesMemberus-gaap:FairValueInputsLevel3Member2021-07-012021-09-300000927628us-gaap:FairValueMeasurementsRecurringMem</w:t>
      </w:r>
      <w:r>
        <w:rPr>
          <w:rFonts w:eastAsia="Times New Roman"/>
          <w:vanish/>
        </w:rPr>
        <w:t>berus-gaap:FairValueInputsLevel3Memberus-gaap:AvailableforsaleSecuritiesMember2021-06-300000927628us-gaap:FairValueMeasurementsRecurringMemberus-gaap:FairValueInputsLevel3Memberus-gaap:AvailableforsaleSecuritiesMember2021-07-012021-09-300000927628us-gaap:F</w:t>
      </w:r>
      <w:r>
        <w:rPr>
          <w:rFonts w:eastAsia="Times New Roman"/>
          <w:vanish/>
        </w:rPr>
        <w:t>airValueMeasurementsRecurringMemberus-gaap:FairValueInputsLevel3Memberus-gaap:AvailableforsaleSecuritiesMember2021-09-300000927628us-gaap:FairValueMeasurementsRecurringMemberus-gaap:FairValueInputsLevel3Memberus-gaap:RetainedInterestMember2021-06-300000927</w:t>
      </w:r>
      <w:r>
        <w:rPr>
          <w:rFonts w:eastAsia="Times New Roman"/>
          <w:vanish/>
        </w:rPr>
        <w:t>628us-gaap:FairValueMeasurementsRecurringMemberus-gaap:FairValueInputsLevel3Memberus-gaap:RetainedInterestMember2021-07-012021-09-300000927628us-gaap:FairValueMeasurementsRecurringMemberus-gaap:FairValueInputsLevel3Memberus-gaap:RetainedInterestMember2021-</w:t>
      </w:r>
      <w:r>
        <w:rPr>
          <w:rFonts w:eastAsia="Times New Roman"/>
          <w:vanish/>
        </w:rPr>
        <w:t>09-300000927628us-gaap:FairValueMeasurementsRecurringMemberus-gaap:FairValueInputsLevel3Member2021-06-300000927628us-gaap:FairValueMeasurementsRecurringMemberus-gaap:FairValueInputsLevel3Member2021-07-012021-09-300000927628us-gaap:FairValueMeasurementsRecu</w:t>
      </w:r>
      <w:r>
        <w:rPr>
          <w:rFonts w:eastAsia="Times New Roman"/>
          <w:vanish/>
        </w:rPr>
        <w:t>rringMembercof:NetDerivativeAssetsLiabilitiesMemberus-gaap:FairValueInputsLevel3Member2021-07-012021-09-300000927628us-gaap:FairValueMeasurementsRecurringMemberus-gaap:FairValueInputsLevel3Memberus-gaap:ResidentialMortgageBackedSecuritiesMember2021-01-0120</w:t>
      </w:r>
      <w:r>
        <w:rPr>
          <w:rFonts w:eastAsia="Times New Roman"/>
          <w:vanish/>
        </w:rPr>
        <w:t>21-09-300000927628us-gaap:FairValueMeasurementsRecurringMemberus-gaap:CommercialMortgageBackedSecuritiesMemberus-gaap:FairValueInputsLevel3Member2021-01-012021-09-300000927628us-gaap:FairValueMeasurementsRecurringMemberus-gaap:FairValueInputsLevel3Memberus</w:t>
      </w:r>
      <w:r>
        <w:rPr>
          <w:rFonts w:eastAsia="Times New Roman"/>
          <w:vanish/>
        </w:rPr>
        <w:t>-gaap:AvailableforsaleSecuritiesMember2020-12-310000927628us-gaap:FairValueMeasurementsRecurringMemberus-gaap:FairValueInputsLevel3Memberus-gaap:AvailableforsaleSecuritiesMember2021-01-012021-09-300000927628us-gaap:FairValueMeasurementsRecurringMemberus-ga</w:t>
      </w:r>
      <w:r>
        <w:rPr>
          <w:rFonts w:eastAsia="Times New Roman"/>
          <w:vanish/>
        </w:rPr>
        <w:t>ap:FairValueInputsLevel3Memberus-gaap:RetainedInterestMember2020-12-310000927628us-gaap:FairValueMeasurementsRecurringMemberus-gaap:FairValueInputsLevel3Memberus-gaap:RetainedInterestMember2021-01-012021-09-300000927628us-gaap:FairValueMeasurementsRecurrin</w:t>
      </w:r>
      <w:r>
        <w:rPr>
          <w:rFonts w:eastAsia="Times New Roman"/>
          <w:vanish/>
        </w:rPr>
        <w:t>gMemberus-gaap:FairValueInputsLevel3Member2021-01-012021-09-300000927628us-gaap:FairValueMeasurementsRecurringMembercof:NetDerivativeAssetsLiabilitiesMemberus-gaap:FairValueInputsLevel3Member2021-01-012021-09-300000927628us-gaap:FairValueMeasurementsRecurr</w:t>
      </w:r>
      <w:r>
        <w:rPr>
          <w:rFonts w:eastAsia="Times New Roman"/>
          <w:vanish/>
        </w:rPr>
        <w:t>ingMemberus-gaap:FairValueInputsLevel3Memberus-gaap:ResidentialMortgageBackedSecuritiesMember2020-06-300000927628us-gaap:FairValueMeasurementsRecurringMemberus-gaap:FairValueInputsLevel3Memberus-gaap:ResidentialMortgageBackedSecuritiesMember2020-07-012020-</w:t>
      </w:r>
      <w:r>
        <w:rPr>
          <w:rFonts w:eastAsia="Times New Roman"/>
          <w:vanish/>
        </w:rPr>
        <w:t>09-300000927628us-gaap:FairValueMeasurementsRecurringMemberus-gaap:FairValueInputsLevel3Memberus-gaap:ResidentialMortgageBackedSecuritiesMember2020-09-300000927628us-gaap:FairValueMeasurementsRecurringMemberus-gaap:CommercialMortgageBackedSecuritiesMemberu</w:t>
      </w:r>
      <w:r>
        <w:rPr>
          <w:rFonts w:eastAsia="Times New Roman"/>
          <w:vanish/>
        </w:rPr>
        <w:t>s-gaap:FairValueInputsLevel3Member2020-06-300000927628us-gaap:FairValueMeasurementsRecurringMemberus-gaap:CommercialMortgageBackedSecuritiesMemberus-gaap:FairValueInputsLevel3Member2020-07-012020-09-300000927628us-gaap:FairValueMeasurementsRecurringMemberu</w:t>
      </w:r>
      <w:r>
        <w:rPr>
          <w:rFonts w:eastAsia="Times New Roman"/>
          <w:vanish/>
        </w:rPr>
        <w:t>s-gaap:CommercialMortgageBackedSecuritiesMemberus-gaap:FairValueInputsLevel3Member2020-09-300000927628us-gaap:FairValueMeasurementsRecurringMemberus-gaap:FairValueInputsLevel3Memberus-gaap:AvailableforsaleSecuritiesMember2020-06-300000927628us-gaap:FairVal</w:t>
      </w:r>
      <w:r>
        <w:rPr>
          <w:rFonts w:eastAsia="Times New Roman"/>
          <w:vanish/>
        </w:rPr>
        <w:t>ueMeasurementsRecurringMemberus-gaap:FairValueInputsLevel3Memberus-gaap:AvailableforsaleSecuritiesMember2020-07-012020-09-300000927628us-gaap:FairValueMeasurementsRecurringMemberus-gaap:FairValueInputsLevel3Memberus-gaap:AvailableforsaleSecuritiesMember202</w:t>
      </w:r>
      <w:r>
        <w:rPr>
          <w:rFonts w:eastAsia="Times New Roman"/>
          <w:vanish/>
        </w:rPr>
        <w:t>0-09-300000927628us-gaap:FairValueMeasurementsRecurringMemberus-gaap:FairValueInputsLevel3Memberus-gaap:RetainedInterestMember2020-06-300000927628us-gaap:FairValueMeasurementsRecurringMemberus-gaap:FairValueInputsLevel3Memberus-gaap:RetainedInterestMember2</w:t>
      </w:r>
      <w:r>
        <w:rPr>
          <w:rFonts w:eastAsia="Times New Roman"/>
          <w:vanish/>
        </w:rPr>
        <w:t>020-07-012020-09-300000927628us-gaap:FairValueMeasurementsRecurringMemberus-gaap:FairValueInputsLevel3Memberus-gaap:RetainedInterestMember2020-09-300000927628us-gaap:FairValueMeasurementsRecurringMemberus-gaap:FairValueInputsLevel3Member2020-06-30000092762</w:t>
      </w:r>
      <w:r>
        <w:rPr>
          <w:rFonts w:eastAsia="Times New Roman"/>
          <w:vanish/>
        </w:rPr>
        <w:t>8us-gaap:FairValueMeasurementsRecurringMemberus-gaap:FairValueInputsLevel3Member2020-07-012020-09-300000927628us-gaap:FairValueMeasurementsRecurringMemberus-gaap:FairValueInputsLevel3Member2020-09-300000927628us-gaap:FairValueMeasurementsRecurringMembercof</w:t>
      </w:r>
      <w:r>
        <w:rPr>
          <w:rFonts w:eastAsia="Times New Roman"/>
          <w:vanish/>
        </w:rPr>
        <w:t>:NetDerivativeAssetsLiabilitiesMemberus-gaap:FairValueInputsLevel3Member2020-07-012020-09-300000927628us-gaap:FairValueMeasurementsRecurringMemberus-gaap:FairValueInputsLevel3Memberus-gaap:ResidentialMortgageBackedSecuritiesMember2019-12-310000927628us-gaa</w:t>
      </w:r>
      <w:r>
        <w:rPr>
          <w:rFonts w:eastAsia="Times New Roman"/>
          <w:vanish/>
        </w:rPr>
        <w:t>p:FairValueMeasurementsRecurringMemberus-gaap:FairValueInputsLevel3Memberus-gaap:ResidentialMortgageBackedSecuritiesMember2020-01-012020-09-300000927628us-gaap:FairValueMeasurementsRecurringMemberus-gaap:CommercialMortgageBackedSecuritiesMemberus-gaap:Fair</w:t>
      </w:r>
      <w:r>
        <w:rPr>
          <w:rFonts w:eastAsia="Times New Roman"/>
          <w:vanish/>
        </w:rPr>
        <w:t>ValueInputsLevel3Member2019-12-310000927628us-gaap:FairValueMeasurementsRecurringMemberus-gaap:CommercialMortgageBackedSecuritiesMemberus-gaap:FairValueInputsLevel3Member2020-01-012020-09-300000927628us-gaap:FairValueMeasurementsRecurringMemberus-gaap:Fair</w:t>
      </w:r>
      <w:r>
        <w:rPr>
          <w:rFonts w:eastAsia="Times New Roman"/>
          <w:vanish/>
        </w:rPr>
        <w:t>ValueInputsLevel3Memberus-gaap:AvailableforsaleSecuritiesMember2019-12-310000927628us-gaap:FairValueMeasurementsRecurringMemberus-gaap:FairValueInputsLevel3Memberus-gaap:AvailableforsaleSecuritiesMember2020-01-012020-09-300000927628us-gaap:FairValueMeasure</w:t>
      </w:r>
      <w:r>
        <w:rPr>
          <w:rFonts w:eastAsia="Times New Roman"/>
          <w:vanish/>
        </w:rPr>
        <w:t>mentsRecurringMemberus-gaap:FairValueInputsLevel3Memberus-gaap:RetainedInterestMember2019-12-310000927628us-gaap:FairValueMeasurementsRecurringMemberus-gaap:FairValueInputsLevel3Memberus-gaap:RetainedInterestMember2020-01-012020-09-300000927628us-gaap:Fair</w:t>
      </w:r>
      <w:r>
        <w:rPr>
          <w:rFonts w:eastAsia="Times New Roman"/>
          <w:vanish/>
        </w:rPr>
        <w:t>ValueMeasurementsRecurringMemberus-gaap:FairValueInputsLevel3Member2019-12-310000927628us-gaap:FairValueMeasurementsRecurringMemberus-gaap:FairValueInputsLevel3Member2020-01-012020-09-300000927628us-gaap:FairValueMeasurementsRecurringMembercof:NetDerivativ</w:t>
      </w:r>
      <w:r>
        <w:rPr>
          <w:rFonts w:eastAsia="Times New Roman"/>
          <w:vanish/>
        </w:rPr>
        <w:t>eAssetsLiabilitiesMemberus-gaap:FairValueInputsLevel3Member2020-01-012020-09-3000009276282020-01-010000927628us-gaap:FairValueMeasurementsRecurringMemberus-gaap:FairValueInputsLevel3Membercof:MeasurementInputYieldMembersrt:MinimumMemberus-gaap:ResidentialM</w:t>
      </w:r>
      <w:r>
        <w:rPr>
          <w:rFonts w:eastAsia="Times New Roman"/>
          <w:vanish/>
        </w:rPr>
        <w:t>ortgageBackedSecuritiesMemberus-gaap:ValuationTechniqueDiscountedCashFlowMember2021-09-300000927628us-gaap:FairValueMeasurementsRecurringMemberus-gaap:FairValueInputsLevel3Membercof:MeasurementInputYieldMemberus-gaap:ResidentialMortgageBackedSecuritiesMemb</w:t>
      </w:r>
      <w:r>
        <w:rPr>
          <w:rFonts w:eastAsia="Times New Roman"/>
          <w:vanish/>
        </w:rPr>
        <w:t>erus-gaap:ValuationTechniqueDiscountedCashFlowMembersrt:MaximumMember2021-09-300000927628us-gaap:FairValueMeasurementsRecurringMemberus-gaap:FairValueInputsLevel3Memberus-gaap:MeasurementInputConstantPrepaymentRateMembersrt:MinimumMemberus-gaap:Residential</w:t>
      </w:r>
      <w:r>
        <w:rPr>
          <w:rFonts w:eastAsia="Times New Roman"/>
          <w:vanish/>
        </w:rPr>
        <w:t>MortgageBackedSecuritiesMemberus-gaap:ValuationTechniqueDiscountedCashFlowMember2021-09-300000927628us-gaap:FairValueMeasurementsRecurringMemberus-gaap:FairValueInputsLevel3Memberus-gaap:MeasurementInputConstantPrepaymentRateMemberus-gaap:ResidentialMortga</w:t>
      </w:r>
      <w:r>
        <w:rPr>
          <w:rFonts w:eastAsia="Times New Roman"/>
          <w:vanish/>
        </w:rPr>
        <w:t>geBackedSecuritiesMemberus-gaap:ValuationTechniqueDiscountedCashFlowMembersrt:MaximumMember2021-09-300000927628us-gaap:FairValueMeasurementsRecurringMemberus-gaap:FairValueInputsLevel3Memberus-gaap:MeasurementInputDefaultRateMembersrt:MinimumMemberus-gaap:</w:t>
      </w:r>
      <w:r>
        <w:rPr>
          <w:rFonts w:eastAsia="Times New Roman"/>
          <w:vanish/>
        </w:rPr>
        <w:t>ResidentialMortgageBackedSecuritiesMemberus-gaap:ValuationTechniqueDiscountedCashFlowMember2021-09-300000927628us-gaap:FairValueMeasurementsRecurringMemberus-gaap:FairValueInputsLevel3Memberus-gaap:MeasurementInputDefaultRateMemberus-gaap:ResidentialMortga</w:t>
      </w:r>
      <w:r>
        <w:rPr>
          <w:rFonts w:eastAsia="Times New Roman"/>
          <w:vanish/>
        </w:rPr>
        <w:t>geBackedSecuritiesMemberus-gaap:ValuationTechniqueDiscountedCashFlowMembersrt:MaximumMember2021-09-300000927628us-gaap:FairValueMeasurementsRecurringMemberus-gaap:FairValueInputsLevel3Memberus-gaap:MeasurementInputLossSeverityMembersrt:MinimumMemberus-gaap</w:t>
      </w:r>
      <w:r>
        <w:rPr>
          <w:rFonts w:eastAsia="Times New Roman"/>
          <w:vanish/>
        </w:rPr>
        <w:t>:ResidentialMortgageBackedSecuritiesMemberus-gaap:ValuationTechniqueDiscountedCashFlowMember2021-09-300000927628us-gaap:FairValueMeasurementsRecurringMemberus-gaap:FairValueInputsLevel3Memberus-gaap:MeasurementInputLossSeverityMemberus-gaap:ResidentialMort</w:t>
      </w:r>
      <w:r>
        <w:rPr>
          <w:rFonts w:eastAsia="Times New Roman"/>
          <w:vanish/>
        </w:rPr>
        <w:t>gageBackedSecuritiesMemberus-gaap:ValuationTechniqueDiscountedCashFlowMembersrt:MaximumMember2021-09-300000927628us-gaap:FairValueMeasurementsRecurringMemberus-gaap:FairValueInputsLevel3Membercof:MeasurementInputYieldMemberus-gaap:ResidentialMortgageBacked</w:t>
      </w:r>
      <w:r>
        <w:rPr>
          <w:rFonts w:eastAsia="Times New Roman"/>
          <w:vanish/>
        </w:rPr>
        <w:t>SecuritiesMemberus-gaap:ValuationTechniqueDiscountedCashFlowMembersrt:WeightedAverageMember2021-09-300000927628us-gaap:FairValueMeasurementsRecurringMemberus-gaap:FairValueInputsLevel3Memberus-gaap:MeasurementInputConstantPrepaymentRateMemberus-gaap:Reside</w:t>
      </w:r>
      <w:r>
        <w:rPr>
          <w:rFonts w:eastAsia="Times New Roman"/>
          <w:vanish/>
        </w:rPr>
        <w:t>ntialMortgageBackedSecuritiesMemberus-gaap:ValuationTechniqueDiscountedCashFlowMembersrt:WeightedAverageMember2021-09-300000927628us-gaap:FairValueMeasurementsRecurringMemberus-gaap:FairValueInputsLevel3Memberus-gaap:MeasurementInputDefaultRateMemberus-gaa</w:t>
      </w:r>
      <w:r>
        <w:rPr>
          <w:rFonts w:eastAsia="Times New Roman"/>
          <w:vanish/>
        </w:rPr>
        <w:t>p:ResidentialMortgageBackedSecuritiesMemberus-gaap:ValuationTechniqueDiscountedCashFlowMembersrt:WeightedAverageMember2021-09-300000927628us-gaap:FairValueMeasurementsRecurringMemberus-gaap:FairValueInputsLevel3Memberus-gaap:MeasurementInputLossSeverityMem</w:t>
      </w:r>
      <w:r>
        <w:rPr>
          <w:rFonts w:eastAsia="Times New Roman"/>
          <w:vanish/>
        </w:rPr>
        <w:t>berus-gaap:ResidentialMortgageBackedSecuritiesMemberus-gaap:ValuationTechniqueDiscountedCashFlowMembersrt:WeightedAverageMember2021-09-300000927628us-gaap:FairValueMeasurementsRecurringMemberus-gaap:CommercialMortgageBackedSecuritiesMemberus-gaap:FairValue</w:t>
      </w:r>
      <w:r>
        <w:rPr>
          <w:rFonts w:eastAsia="Times New Roman"/>
          <w:vanish/>
        </w:rPr>
        <w:t>InputsLevel3Membercof:MeasurementInputYieldMembersrt:MinimumMemberus-gaap:ValuationTechniqueDiscountedCashFlowMember2021-09-300000927628us-gaap:FairValueMeasurementsRecurringMemberus-gaap:CommercialMortgageBackedSecuritiesMemberus-gaap:FairValueInputsLevel</w:t>
      </w:r>
      <w:r>
        <w:rPr>
          <w:rFonts w:eastAsia="Times New Roman"/>
          <w:vanish/>
        </w:rPr>
        <w:t>3Membercof:MeasurementInputYieldMemberus-gaap:ValuationTechniqueDiscountedCashFlowMembersrt:MaximumMember2021-09-300000927628us-gaap:FairValueMeasurementsRecurringMemberus-gaap:CommercialMortgageBackedSecuritiesMemberus-gaap:FairValueInputsLevel3Membercof:</w:t>
      </w:r>
      <w:r>
        <w:rPr>
          <w:rFonts w:eastAsia="Times New Roman"/>
          <w:vanish/>
        </w:rPr>
        <w:t>MeasurementInputYieldMemberus-gaap:ValuationTechniqueDiscountedCashFlowMembersrt:WeightedAverageMember2021-09-300000927628us-gaap:FairValueMeasurementsRecurringMemberus-gaap:FairValueInputsLevel3Membercof:MeasurementInputLifeofReceivablesMembersrt:MinimumM</w:t>
      </w:r>
      <w:r>
        <w:rPr>
          <w:rFonts w:eastAsia="Times New Roman"/>
          <w:vanish/>
        </w:rPr>
        <w:t>emberus-gaap:ValuationTechniqueDiscountedCashFlowMember2021-01-012021-09-300000927628us-gaap:FairValueMeasurementsRecurringMemberus-gaap:FairValueInputsLevel3Membercof:MeasurementInputLifeofReceivablesMemberus-gaap:ValuationTechniqueDiscountedCashFlowMembe</w:t>
      </w:r>
      <w:r>
        <w:rPr>
          <w:rFonts w:eastAsia="Times New Roman"/>
          <w:vanish/>
        </w:rPr>
        <w:t>rsrt:MaximumMember2021-01-012021-09-300000927628us-gaap:FairValueMeasurementsRecurringMemberus-gaap:FairValueInputsLevel3Memberus-gaap:MeasurementInputConstantPrepaymentRateMembersrt:MinimumMemberus-gaap:ValuationTechniqueDiscountedCashFlowMember2021-09-30</w:t>
      </w:r>
      <w:r>
        <w:rPr>
          <w:rFonts w:eastAsia="Times New Roman"/>
          <w:vanish/>
        </w:rPr>
        <w:t>0000927628us-gaap:FairValueMeasurementsRecurringMemberus-gaap:FairValueInputsLevel3Memberus-gaap:MeasurementInputConstantPrepaymentRateMemberus-gaap:ValuationTechniqueDiscountedCashFlowMembersrt:MaximumMember2021-09-300000927628us-gaap:FairValueMeasurement</w:t>
      </w:r>
      <w:r>
        <w:rPr>
          <w:rFonts w:eastAsia="Times New Roman"/>
          <w:vanish/>
        </w:rPr>
        <w:t>sRecurringMemberus-gaap:FairValueInputsLevel3Membersrt:MinimumMemberus-gaap:ValuationTechniqueDiscountedCashFlowMemberus-gaap:MeasurementInputDiscountRateMember2021-09-300000927628us-gaap:FairValueMeasurementsRecurringMemberus-gaap:FairValueInputsLevel3Mem</w:t>
      </w:r>
      <w:r>
        <w:rPr>
          <w:rFonts w:eastAsia="Times New Roman"/>
          <w:vanish/>
        </w:rPr>
        <w:t>berus-gaap:ValuationTechniqueDiscountedCashFlowMemberus-gaap:MeasurementInputDiscountRateMembersrt:MaximumMember2021-09-300000927628us-gaap:FairValueMeasurementsRecurringMemberus-gaap:FairValueInputsLevel3Memberus-gaap:MeasurementInputDefaultRateMembersrt:</w:t>
      </w:r>
      <w:r>
        <w:rPr>
          <w:rFonts w:eastAsia="Times New Roman"/>
          <w:vanish/>
        </w:rPr>
        <w:t>MinimumMemberus-gaap:ValuationTechniqueDiscountedCashFlowMember2021-09-300000927628us-gaap:FairValueMeasurementsRecurringMemberus-gaap:FairValueInputsLevel3Memberus-gaap:MeasurementInputDefaultRateMemberus-gaap:ValuationTechniqueDiscountedCashFlowMembersrt</w:t>
      </w:r>
      <w:r>
        <w:rPr>
          <w:rFonts w:eastAsia="Times New Roman"/>
          <w:vanish/>
        </w:rPr>
        <w:t>:MaximumMember2021-09-300000927628us-gaap:FairValueMeasurementsRecurringMemberus-gaap:FairValueInputsLevel3Memberus-gaap:MeasurementInputLossSeverityMembersrt:MinimumMemberus-gaap:ValuationTechniqueDiscountedCashFlowMember2021-09-300000927628us-gaap:FairVa</w:t>
      </w:r>
      <w:r>
        <w:rPr>
          <w:rFonts w:eastAsia="Times New Roman"/>
          <w:vanish/>
        </w:rPr>
        <w:t>lueMeasurementsRecurringMemberus-gaap:FairValueInputsLevel3Memberus-gaap:MeasurementInputLossSeverityMemberus-gaap:ValuationTechniqueDiscountedCashFlowMembersrt:MaximumMember2021-09-300000927628us-gaap:FairValueMeasurementsRecurringMemberus-gaap:FairValueI</w:t>
      </w:r>
      <w:r>
        <w:rPr>
          <w:rFonts w:eastAsia="Times New Roman"/>
          <w:vanish/>
        </w:rPr>
        <w:t>nputsLevel3Membercof:MeasurementInputSwapRatesMembersrt:MinimumMemberus-gaap:ValuationTechniqueDiscountedCashFlowMember2021-09-300000927628us-gaap:FairValueMeasurementsRecurringMemberus-gaap:FairValueInputsLevel3Membercof:MeasurementInputSwapRatesMemberus-</w:t>
      </w:r>
      <w:r>
        <w:rPr>
          <w:rFonts w:eastAsia="Times New Roman"/>
          <w:vanish/>
        </w:rPr>
        <w:t>gaap:ValuationTechniqueDiscountedCashFlowMembersrt:MaximumMember2021-09-300000927628us-gaap:FairValueMeasurementsRecurringMemberus-gaap:FairValueInputsLevel3Membercof:MeasurementInputSwapRatesMemberus-gaap:ValuationTechniqueDiscountedCashFlowMembersrt:Weig</w:t>
      </w:r>
      <w:r>
        <w:rPr>
          <w:rFonts w:eastAsia="Times New Roman"/>
          <w:vanish/>
        </w:rPr>
        <w:t>htedAverageMember2021-09-300000927628us-gaap:FairValueMeasurementsRecurringMemberus-gaap:FairValueInputsLevel3Membercof:MeasurementInputYieldMembersrt:MinimumMemberus-gaap:ResidentialMortgageBackedSecuritiesMemberus-gaap:ValuationTechniqueDiscountedCashFlo</w:t>
      </w:r>
      <w:r>
        <w:rPr>
          <w:rFonts w:eastAsia="Times New Roman"/>
          <w:vanish/>
        </w:rPr>
        <w:t>wMember2020-12-310000927628us-gaap:FairValueMeasurementsRecurringMemberus-gaap:FairValueInputsLevel3Membercof:MeasurementInputYieldMemberus-gaap:ResidentialMortgageBackedSecuritiesMemberus-gaap:ValuationTechniqueDiscountedCashFlowMembersrt:MaximumMember202</w:t>
      </w:r>
      <w:r>
        <w:rPr>
          <w:rFonts w:eastAsia="Times New Roman"/>
          <w:vanish/>
        </w:rPr>
        <w:t>0-12-310000927628us-gaap:FairValueMeasurementsRecurringMemberus-gaap:FairValueInputsLevel3Memberus-gaap:MeasurementInputConstantPrepaymentRateMembersrt:MinimumMemberus-gaap:ResidentialMortgageBackedSecuritiesMemberus-gaap:ValuationTechniqueDiscountedCashFl</w:t>
      </w:r>
      <w:r>
        <w:rPr>
          <w:rFonts w:eastAsia="Times New Roman"/>
          <w:vanish/>
        </w:rPr>
        <w:t>owMember2020-12-310000927628us-gaap:FairValueMeasurementsRecurringMemberus-gaap:FairValueInputsLevel3Memberus-gaap:MeasurementInputConstantPrepaymentRateMemberus-gaap:ResidentialMortgageBackedSecuritiesMemberus-gaap:ValuationTechniqueDiscountedCashFlowMemb</w:t>
      </w:r>
      <w:r>
        <w:rPr>
          <w:rFonts w:eastAsia="Times New Roman"/>
          <w:vanish/>
        </w:rPr>
        <w:t>ersrt:MaximumMember2020-12-310000927628us-gaap:FairValueMeasurementsRecurringMemberus-gaap:FairValueInputsLevel3Memberus-gaap:MeasurementInputDefaultRateMembersrt:MinimumMemberus-gaap:ResidentialMortgageBackedSecuritiesMemberus-gaap:ValuationTechniqueDisco</w:t>
      </w:r>
      <w:r>
        <w:rPr>
          <w:rFonts w:eastAsia="Times New Roman"/>
          <w:vanish/>
        </w:rPr>
        <w:t>untedCashFlowMember2020-12-310000927628us-gaap:FairValueMeasurementsRecurringMemberus-gaap:FairValueInputsLevel3Memberus-gaap:MeasurementInputDefaultRateMemberus-gaap:ResidentialMortgageBackedSecuritiesMemberus-gaap:ValuationTechniqueDiscountedCashFlowMemb</w:t>
      </w:r>
      <w:r>
        <w:rPr>
          <w:rFonts w:eastAsia="Times New Roman"/>
          <w:vanish/>
        </w:rPr>
        <w:t>ersrt:MaximumMember2020-12-310000927628us-gaap:FairValueMeasurementsRecurringMemberus-gaap:FairValueInputsLevel3Memberus-gaap:MeasurementInputLossSeverityMembersrt:MinimumMemberus-gaap:ResidentialMortgageBackedSecuritiesMemberus-gaap:ValuationTechniqueDisc</w:t>
      </w:r>
      <w:r>
        <w:rPr>
          <w:rFonts w:eastAsia="Times New Roman"/>
          <w:vanish/>
        </w:rPr>
        <w:t>ountedCashFlowMember2020-12-310000927628us-gaap:FairValueMeasurementsRecurringMemberus-gaap:FairValueInputsLevel3Memberus-gaap:MeasurementInputLossSeverityMemberus-gaap:ResidentialMortgageBackedSecuritiesMemberus-gaap:ValuationTechniqueDiscountedCashFlowMe</w:t>
      </w:r>
      <w:r>
        <w:rPr>
          <w:rFonts w:eastAsia="Times New Roman"/>
          <w:vanish/>
        </w:rPr>
        <w:t>mbersrt:MaximumMember2020-12-310000927628us-gaap:FairValueMeasurementsRecurringMemberus-gaap:FairValueInputsLevel3Membercof:MeasurementInputYieldMemberus-gaap:ResidentialMortgageBackedSecuritiesMemberus-gaap:ValuationTechniqueDiscountedCashFlowMembersrt:We</w:t>
      </w:r>
      <w:r>
        <w:rPr>
          <w:rFonts w:eastAsia="Times New Roman"/>
          <w:vanish/>
        </w:rPr>
        <w:t>ightedAverageMember2020-12-310000927628us-gaap:FairValueMeasurementsRecurringMemberus-gaap:FairValueInputsLevel3Memberus-gaap:MeasurementInputConstantPrepaymentRateMemberus-gaap:ResidentialMortgageBackedSecuritiesMemberus-gaap:ValuationTechniqueDiscountedC</w:t>
      </w:r>
      <w:r>
        <w:rPr>
          <w:rFonts w:eastAsia="Times New Roman"/>
          <w:vanish/>
        </w:rPr>
        <w:t>ashFlowMembersrt:WeightedAverageMember2020-12-310000927628us-gaap:FairValueMeasurementsRecurringMemberus-gaap:FairValueInputsLevel3Memberus-gaap:MeasurementInputDefaultRateMemberus-gaap:ResidentialMortgageBackedSecuritiesMemberus-gaap:ValuationTechniqueDis</w:t>
      </w:r>
      <w:r>
        <w:rPr>
          <w:rFonts w:eastAsia="Times New Roman"/>
          <w:vanish/>
        </w:rPr>
        <w:t>countedCashFlowMembersrt:WeightedAverageMember2020-12-310000927628us-gaap:FairValueMeasurementsRecurringMemberus-gaap:FairValueInputsLevel3Memberus-gaap:MeasurementInputLossSeverityMemberus-gaap:ResidentialMortgageBackedSecuritiesMemberus-gaap:ValuationTec</w:t>
      </w:r>
      <w:r>
        <w:rPr>
          <w:rFonts w:eastAsia="Times New Roman"/>
          <w:vanish/>
        </w:rPr>
        <w:t>hniqueDiscountedCashFlowMembersrt:WeightedAverageMember2020-12-310000927628us-gaap:FairValueMeasurementsRecurringMemberus-gaap:CommercialMortgageBackedSecuritiesMemberus-gaap:FairValueInputsLevel3Membercof:MeasurementInputYieldMembersrt:MinimumMemberus-gaa</w:t>
      </w:r>
      <w:r>
        <w:rPr>
          <w:rFonts w:eastAsia="Times New Roman"/>
          <w:vanish/>
        </w:rPr>
        <w:t>p:ValuationTechniqueDiscountedCashFlowMember2020-12-310000927628us-gaap:FairValueMeasurementsRecurringMemberus-gaap:CommercialMortgageBackedSecuritiesMemberus-gaap:FairValueInputsLevel3Membercof:MeasurementInputYieldMemberus-gaap:ValuationTechniqueDiscount</w:t>
      </w:r>
      <w:r>
        <w:rPr>
          <w:rFonts w:eastAsia="Times New Roman"/>
          <w:vanish/>
        </w:rPr>
        <w:t>edCashFlowMembersrt:MaximumMember2020-12-310000927628us-gaap:FairValueMeasurementsRecurringMemberus-gaap:CommercialMortgageBackedSecuritiesMemberus-gaap:FairValueInputsLevel3Membercof:MeasurementInputYieldMemberus-gaap:ValuationTechniqueDiscountedCashFlowM</w:t>
      </w:r>
      <w:r>
        <w:rPr>
          <w:rFonts w:eastAsia="Times New Roman"/>
          <w:vanish/>
        </w:rPr>
        <w:t>embersrt:WeightedAverageMember2020-12-310000927628us-gaap:FairValueMeasurementsRecurringMemberus-gaap:FairValueInputsLevel3Membercof:MeasurementInputLifeofReceivablesMembersrt:MinimumMemberus-gaap:ValuationTechniqueDiscountedCashFlowMember2020-01-012020-12</w:t>
      </w:r>
      <w:r>
        <w:rPr>
          <w:rFonts w:eastAsia="Times New Roman"/>
          <w:vanish/>
        </w:rPr>
        <w:t>-310000927628us-gaap:FairValueMeasurementsRecurringMemberus-gaap:FairValueInputsLevel3Membercof:MeasurementInputLifeofReceivablesMemberus-gaap:ValuationTechniqueDiscountedCashFlowMembersrt:MaximumMember2020-01-012020-12-310000927628us-gaap:FairValueMeasure</w:t>
      </w:r>
      <w:r>
        <w:rPr>
          <w:rFonts w:eastAsia="Times New Roman"/>
          <w:vanish/>
        </w:rPr>
        <w:t>mentsRecurringMemberus-gaap:FairValueInputsLevel3Memberus-gaap:MeasurementInputConstantPrepaymentRateMembersrt:MinimumMemberus-gaap:ValuationTechniqueDiscountedCashFlowMember2020-12-310000927628us-gaap:FairValueMeasurementsRecurringMemberus-gaap:FairValueI</w:t>
      </w:r>
      <w:r>
        <w:rPr>
          <w:rFonts w:eastAsia="Times New Roman"/>
          <w:vanish/>
        </w:rPr>
        <w:t>nputsLevel3Memberus-gaap:MeasurementInputConstantPrepaymentRateMemberus-gaap:ValuationTechniqueDiscountedCashFlowMembersrt:MaximumMember2020-12-310000927628us-gaap:FairValueMeasurementsRecurringMemberus-gaap:FairValueInputsLevel3Membersrt:MinimumMemberus-g</w:t>
      </w:r>
      <w:r>
        <w:rPr>
          <w:rFonts w:eastAsia="Times New Roman"/>
          <w:vanish/>
        </w:rPr>
        <w:t>aap:ValuationTechniqueDiscountedCashFlowMemberus-gaap:MeasurementInputDiscountRateMember2020-12-310000927628us-gaap:FairValueMeasurementsRecurringMemberus-gaap:FairValueInputsLevel3Memberus-gaap:ValuationTechniqueDiscountedCashFlowMemberus-gaap:Measurement</w:t>
      </w:r>
      <w:r>
        <w:rPr>
          <w:rFonts w:eastAsia="Times New Roman"/>
          <w:vanish/>
        </w:rPr>
        <w:t>InputDiscountRateMembersrt:MaximumMember2020-12-310000927628us-gaap:FairValueMeasurementsRecurringMemberus-gaap:FairValueInputsLevel3Memberus-gaap:MeasurementInputDefaultRateMembersrt:MinimumMemberus-gaap:ValuationTechniqueDiscountedCashFlowMember2020-12-3</w:t>
      </w:r>
      <w:r>
        <w:rPr>
          <w:rFonts w:eastAsia="Times New Roman"/>
          <w:vanish/>
        </w:rPr>
        <w:t>10000927628us-gaap:FairValueMeasurementsRecurringMemberus-gaap:FairValueInputsLevel3Memberus-gaap:MeasurementInputDefaultRateMemberus-gaap:ValuationTechniqueDiscountedCashFlowMembersrt:MaximumMember2020-12-310000927628us-gaap:FairValueMeasurementsRecurring</w:t>
      </w:r>
      <w:r>
        <w:rPr>
          <w:rFonts w:eastAsia="Times New Roman"/>
          <w:vanish/>
        </w:rPr>
        <w:t>Memberus-gaap:FairValueInputsLevel3Memberus-gaap:MeasurementInputLossSeverityMembersrt:MinimumMemberus-gaap:ValuationTechniqueDiscountedCashFlowMember2020-12-310000927628us-gaap:FairValueMeasurementsRecurringMemberus-gaap:FairValueInputsLevel3Memberus-gaap</w:t>
      </w:r>
      <w:r>
        <w:rPr>
          <w:rFonts w:eastAsia="Times New Roman"/>
          <w:vanish/>
        </w:rPr>
        <w:t>:MeasurementInputLossSeverityMemberus-gaap:ValuationTechniqueDiscountedCashFlowMembersrt:MaximumMember2020-12-310000927628us-gaap:FairValueMeasurementsRecurringMemberus-gaap:FairValueInputsLevel3Membercof:MeasurementInputSwapRatesMemberus-gaap:ValuationTec</w:t>
      </w:r>
      <w:r>
        <w:rPr>
          <w:rFonts w:eastAsia="Times New Roman"/>
          <w:vanish/>
        </w:rPr>
        <w:t>hniqueDiscountedCashFlowMembersrt:MaximumMember2020-12-310000927628us-gaap:FairValueMeasurementsRecurringMemberus-gaap:FairValueInputsLevel3Membercof:MeasurementInputSwapRatesMembersrt:MinimumMemberus-gaap:ValuationTechniqueDiscountedCashFlowMember2020-12-</w:t>
      </w:r>
      <w:r>
        <w:rPr>
          <w:rFonts w:eastAsia="Times New Roman"/>
          <w:vanish/>
        </w:rPr>
        <w:t>310000927628us-gaap:FairValueMeasurementsRecurringMemberus-gaap:FairValueInputsLevel3Membercof:MeasurementInputSwapRatesMemberus-gaap:ValuationTechniqueDiscountedCashFlowMembersrt:WeightedAverageMember2020-12-310000927628us-gaap:FairValueInputsLevel2Member</w:t>
      </w:r>
      <w:r>
        <w:rPr>
          <w:rFonts w:eastAsia="Times New Roman"/>
          <w:vanish/>
        </w:rPr>
        <w:t>us-gaap:FairValueMeasurementsNonrecurringMember2021-09-300000927628us-gaap:FairValueInputsLevel3Memberus-gaap:FairValueMeasurementsNonrecurringMember2021-09-300000927628us-gaap:FairValueMeasurementsNonrecurringMember2021-09-300000927628us-gaap:FairValueInp</w:t>
      </w:r>
      <w:r>
        <w:rPr>
          <w:rFonts w:eastAsia="Times New Roman"/>
          <w:vanish/>
        </w:rPr>
        <w:t>utsLevel2Memberus-gaap:FairValueMeasurementsNonrecurringMember2020-12-310000927628us-gaap:FairValueInputsLevel3Memberus-gaap:FairValueMeasurementsNonrecurringMember2020-12-310000927628us-gaap:FairValueMeasurementsNonrecurringMember2020-12-310000927628us-ga</w:t>
      </w:r>
      <w:r>
        <w:rPr>
          <w:rFonts w:eastAsia="Times New Roman"/>
          <w:vanish/>
        </w:rPr>
        <w:t>ap:FairValueInputsLevel3Membercof:AppraisalValueMembersrt:MinimumMembercof:NonRecoverableRateMember2021-09-300000927628us-gaap:FairValueInputsLevel3Membercof:AppraisalValueMembercof:NonRecoverableRateMembersrt:MaximumMember2021-09-300000927628us-gaap:FairV</w:t>
      </w:r>
      <w:r>
        <w:rPr>
          <w:rFonts w:eastAsia="Times New Roman"/>
          <w:vanish/>
        </w:rPr>
        <w:t>alueInputsLevel3Membercof:AppraisalValueMembercof:NonRecoverableRateMembersrt:WeightedAverageMember2021-09-300000927628us-gaap:FairValueInputsLevel3Membercof:AppraisalValueMembersrt:MinimumMembercof:NonRecoverableRateMember2020-12-310000927628us-gaap:FairV</w:t>
      </w:r>
      <w:r>
        <w:rPr>
          <w:rFonts w:eastAsia="Times New Roman"/>
          <w:vanish/>
        </w:rPr>
        <w:t>alueInputsLevel3Membercof:AppraisalValueMembercof:NonRecoverableRateMembersrt:MaximumMember2020-12-310000927628us-gaap:FairValueInputsLevel3Membercof:AppraisalValueMembercof:NonRecoverableRateMembersrt:WeightedAverageMember2020-12-310000927628us-gaap:FairV</w:t>
      </w:r>
      <w:r>
        <w:rPr>
          <w:rFonts w:eastAsia="Times New Roman"/>
          <w:vanish/>
        </w:rPr>
        <w:t>alueMeasurementsNonrecurringMember2021-01-012021-09-300000927628us-gaap:FairValueMeasurementsNonrecurringMember2020-01-012020-09-300000927628us-gaap:CarryingReportedAmountFairValueDisclosureMember2021-09-300000927628us-gaap:EstimateOfFairValueFairValueDisc</w:t>
      </w:r>
      <w:r>
        <w:rPr>
          <w:rFonts w:eastAsia="Times New Roman"/>
          <w:vanish/>
        </w:rPr>
        <w:t>losureMember2021-09-300000927628us-gaap:FairValueInputsLevel1Member2021-09-300000927628us-gaap:FairValueInputsLevel2Member2021-09-300000927628us-gaap:FairValueInputsLevel3Member2021-09-300000927628us-gaap:CarryingReportedAmountFairValueDisclosureMember2020</w:t>
      </w:r>
      <w:r>
        <w:rPr>
          <w:rFonts w:eastAsia="Times New Roman"/>
          <w:vanish/>
        </w:rPr>
        <w:t>-12-310000927628us-gaap:EstimateOfFairValueFairValueDisclosureMember2020-12-310000927628us-gaap:FairValueInputsLevel1Member2020-12-310000927628us-gaap:FairValueInputsLevel2Member2020-12-310000927628us-gaap:FairValueInputsLevel3Member2020-12-310000927628us-</w:t>
      </w:r>
      <w:r>
        <w:rPr>
          <w:rFonts w:eastAsia="Times New Roman"/>
          <w:vanish/>
        </w:rPr>
        <w:t>gaap:OperatingSegmentsMembercof:CreditCardSegmentMember2021-07-012021-09-300000927628us-gaap:OperatingSegmentsMembercof:ConsumerBankingSegmentMember2021-07-012021-09-300000927628cof:CommercialBankingSegmentMemberus-gaap:OperatingSegmentsMember2021-07-01202</w:t>
      </w:r>
      <w:r>
        <w:rPr>
          <w:rFonts w:eastAsia="Times New Roman"/>
          <w:vanish/>
        </w:rPr>
        <w:t>1-09-300000927628us-gaap:CorporateNonSegmentMember2021-07-012021-09-300000927628us-gaap:OperatingSegmentsMembercof:CreditCardSegmentMember2021-09-300000927628us-gaap:OperatingSegmentsMembercof:ConsumerBankingSegmentMember2021-09-300000927628cof:CommercialB</w:t>
      </w:r>
      <w:r>
        <w:rPr>
          <w:rFonts w:eastAsia="Times New Roman"/>
          <w:vanish/>
        </w:rPr>
        <w:t>ankingSegmentMemberus-gaap:OperatingSegmentsMember2021-09-300000927628us-gaap:CorporateNonSegmentMember2021-09-300000927628us-gaap:OperatingSegmentsMembercof:CreditCardSegmentMember2021-01-012021-09-300000927628us-gaap:OperatingSegmentsMembercof:ConsumerBa</w:t>
      </w:r>
      <w:r>
        <w:rPr>
          <w:rFonts w:eastAsia="Times New Roman"/>
          <w:vanish/>
        </w:rPr>
        <w:t>nkingSegmentMember2021-01-012021-09-300000927628cof:CommercialBankingSegmentMemberus-gaap:OperatingSegmentsMember2021-01-012021-09-300000927628us-gaap:CorporateNonSegmentMember2021-01-012021-09-300000927628us-gaap:OperatingSegmentsMembercof:CreditCardSegme</w:t>
      </w:r>
      <w:r>
        <w:rPr>
          <w:rFonts w:eastAsia="Times New Roman"/>
          <w:vanish/>
        </w:rPr>
        <w:t>ntMember2020-07-012020-09-300000927628us-gaap:OperatingSegmentsMembercof:ConsumerBankingSegmentMember2020-07-012020-09-300000927628cof:CommercialBankingSegmentMemberus-gaap:OperatingSegmentsMember2020-07-012020-09-300000927628us-gaap:CorporateNonSegmentMem</w:t>
      </w:r>
      <w:r>
        <w:rPr>
          <w:rFonts w:eastAsia="Times New Roman"/>
          <w:vanish/>
        </w:rPr>
        <w:t>ber2020-07-012020-09-300000927628us-gaap:OperatingSegmentsMembercof:CreditCardSegmentMember2020-09-300000927628us-gaap:OperatingSegmentsMembercof:ConsumerBankingSegmentMember2020-09-300000927628cof:CommercialBankingSegmentMemberus-gaap:OperatingSegmentsMem</w:t>
      </w:r>
      <w:r>
        <w:rPr>
          <w:rFonts w:eastAsia="Times New Roman"/>
          <w:vanish/>
        </w:rPr>
        <w:t>ber2020-09-300000927628us-gaap:CorporateNonSegmentMember2020-09-300000927628us-gaap:OperatingSegmentsMembercof:CreditCardSegmentMember2020-01-012020-09-300000927628us-gaap:OperatingSegmentsMembercof:ConsumerBankingSegmentMember2020-01-012020-09-30000092762</w:t>
      </w:r>
      <w:r>
        <w:rPr>
          <w:rFonts w:eastAsia="Times New Roman"/>
          <w:vanish/>
        </w:rPr>
        <w:t>8cof:CommercialBankingSegmentMemberus-gaap:OperatingSegmentsMember2020-01-012020-09-300000927628us-gaap:CorporateNonSegmentMember2020-01-012020-09-300000927628cof:InterchangeFeesContractsMemberus-gaap:OperatingSegmentsMembercof:CreditCardSegmentMember2021-</w:t>
      </w:r>
      <w:r>
        <w:rPr>
          <w:rFonts w:eastAsia="Times New Roman"/>
          <w:vanish/>
        </w:rPr>
        <w:t>07-012021-09-300000927628cof:InterchangeFeesContractsMemberus-gaap:OperatingSegmentsMembercof:ConsumerBankingSegmentMember2021-07-012021-09-300000927628cof:CommercialBankingSegmentMembercof:InterchangeFeesContractsMemberus-gaap:OperatingSegmentsMember2021-</w:t>
      </w:r>
      <w:r>
        <w:rPr>
          <w:rFonts w:eastAsia="Times New Roman"/>
          <w:vanish/>
        </w:rPr>
        <w:t>07-012021-09-300000927628us-gaap:CorporateNonSegmentMembercof:InterchangeFeesContractsMember2021-07-012021-09-300000927628cof:InterchangeFeesContractsMember2021-07-012021-09-300000927628cof:ServiceChargesAndOtherCustomerFeesContractsMemberus-gaap:Operating</w:t>
      </w:r>
      <w:r>
        <w:rPr>
          <w:rFonts w:eastAsia="Times New Roman"/>
          <w:vanish/>
        </w:rPr>
        <w:t>SegmentsMembercof:CreditCardSegmentMember2021-07-012021-09-300000927628cof:ServiceChargesAndOtherCustomerFeesContractsMemberus-gaap:OperatingSegmentsMembercof:ConsumerBankingSegmentMember2021-07-012021-09-300000927628cof:CommercialBankingSegmentMembercof:S</w:t>
      </w:r>
      <w:r>
        <w:rPr>
          <w:rFonts w:eastAsia="Times New Roman"/>
          <w:vanish/>
        </w:rPr>
        <w:t>erviceChargesAndOtherCustomerFeesContractsMemberus-gaap:OperatingSegmentsMember2021-07-012021-09-300000927628us-gaap:CorporateNonSegmentMembercof:ServiceChargesAndOtherCustomerFeesContractsMember2021-07-012021-09-300000927628cof:ServiceChargesAndOtherCusto</w:t>
      </w:r>
      <w:r>
        <w:rPr>
          <w:rFonts w:eastAsia="Times New Roman"/>
          <w:vanish/>
        </w:rPr>
        <w:t>merFeesContractsMember2021-07-012021-09-300000927628cof:OtherContractRevenueMemberus-gaap:OperatingSegmentsMembercof:CreditCardSegmentMember2021-07-012021-09-300000927628cof:OtherContractRevenueMemberus-gaap:OperatingSegmentsMembercof:ConsumerBankingSegmen</w:t>
      </w:r>
      <w:r>
        <w:rPr>
          <w:rFonts w:eastAsia="Times New Roman"/>
          <w:vanish/>
        </w:rPr>
        <w:t>tMember2021-07-012021-09-300000927628cof:OtherContractRevenueMembercof:CommercialBankingSegmentMemberus-gaap:OperatingSegmentsMember2021-07-012021-09-300000927628us-gaap:CorporateNonSegmentMembercof:OtherContractRevenueMember2021-07-012021-09-300000927628c</w:t>
      </w:r>
      <w:r>
        <w:rPr>
          <w:rFonts w:eastAsia="Times New Roman"/>
          <w:vanish/>
        </w:rPr>
        <w:t>of:OtherContractRevenueMember2021-07-012021-09-300000927628cof:InterchangeFeesContractsMemberus-gaap:OperatingSegmentsMembercof:CreditCardSegmentMember2021-01-012021-09-300000927628cof:InterchangeFeesContractsMemberus-gaap:OperatingSegmentsMembercof:Consum</w:t>
      </w:r>
      <w:r>
        <w:rPr>
          <w:rFonts w:eastAsia="Times New Roman"/>
          <w:vanish/>
        </w:rPr>
        <w:t>erBankingSegmentMember2021-01-012021-09-300000927628cof:CommercialBankingSegmentMembercof:InterchangeFeesContractsMemberus-gaap:OperatingSegmentsMember2021-01-012021-09-300000927628us-gaap:CorporateNonSegmentMembercof:InterchangeFeesContractsMember2021-01-</w:t>
      </w:r>
      <w:r>
        <w:rPr>
          <w:rFonts w:eastAsia="Times New Roman"/>
          <w:vanish/>
        </w:rPr>
        <w:t>012021-09-300000927628cof:InterchangeFeesContractsMember2021-01-012021-09-300000927628cof:ServiceChargesAndOtherCustomerFeesContractsMemberus-gaap:OperatingSegmentsMembercof:CreditCardSegmentMember2021-01-012021-09-300000927628cof:ServiceChargesAndOtherCus</w:t>
      </w:r>
      <w:r>
        <w:rPr>
          <w:rFonts w:eastAsia="Times New Roman"/>
          <w:vanish/>
        </w:rPr>
        <w:t>tomerFeesContractsMemberus-gaap:OperatingSegmentsMembercof:ConsumerBankingSegmentMember2021-01-012021-09-300000927628cof:CommercialBankingSegmentMembercof:ServiceChargesAndOtherCustomerFeesContractsMemberus-gaap:OperatingSegmentsMember2021-01-012021-09-300</w:t>
      </w:r>
      <w:r>
        <w:rPr>
          <w:rFonts w:eastAsia="Times New Roman"/>
          <w:vanish/>
        </w:rPr>
        <w:t>000927628us-gaap:CorporateNonSegmentMembercof:ServiceChargesAndOtherCustomerFeesContractsMember2021-01-012021-09-300000927628cof:ServiceChargesAndOtherCustomerFeesContractsMember2021-01-012021-09-300000927628cof:OtherContractRevenueMemberus-gaap:OperatingS</w:t>
      </w:r>
      <w:r>
        <w:rPr>
          <w:rFonts w:eastAsia="Times New Roman"/>
          <w:vanish/>
        </w:rPr>
        <w:t>egmentsMembercof:CreditCardSegmentMember2021-01-012021-09-300000927628cof:OtherContractRevenueMemberus-gaap:OperatingSegmentsMembercof:ConsumerBankingSegmentMember2021-01-012021-09-300000927628cof:OtherContractRevenueMembercof:CommercialBankingSegmentMembe</w:t>
      </w:r>
      <w:r>
        <w:rPr>
          <w:rFonts w:eastAsia="Times New Roman"/>
          <w:vanish/>
        </w:rPr>
        <w:t>rus-gaap:OperatingSegmentsMember2021-01-012021-09-300000927628us-gaap:CorporateNonSegmentMembercof:OtherContractRevenueMember2021-01-012021-09-300000927628cof:OtherContractRevenueMember2021-01-012021-09-300000927628cof:InterchangeFeesContractsMemberus-gaap</w:t>
      </w:r>
      <w:r>
        <w:rPr>
          <w:rFonts w:eastAsia="Times New Roman"/>
          <w:vanish/>
        </w:rPr>
        <w:t>:OperatingSegmentsMembercof:CreditCardSegmentMember2020-07-012020-09-300000927628cof:InterchangeFeesContractsMemberus-gaap:OperatingSegmentsMembercof:ConsumerBankingSegmentMember2020-07-012020-09-300000927628cof:CommercialBankingSegmentMembercof:Interchang</w:t>
      </w:r>
      <w:r>
        <w:rPr>
          <w:rFonts w:eastAsia="Times New Roman"/>
          <w:vanish/>
        </w:rPr>
        <w:t>eFeesContractsMemberus-gaap:OperatingSegmentsMember2020-07-012020-09-300000927628us-gaap:CorporateNonSegmentMembercof:InterchangeFeesContractsMember2020-07-012020-09-300000927628cof:InterchangeFeesContractsMember2020-07-012020-09-300000927628cof:ServiceCha</w:t>
      </w:r>
      <w:r>
        <w:rPr>
          <w:rFonts w:eastAsia="Times New Roman"/>
          <w:vanish/>
        </w:rPr>
        <w:t>rgesAndOtherCustomerFeesContractsMemberus-gaap:OperatingSegmentsMembercof:CreditCardSegmentMember2020-07-012020-09-300000927628cof:ServiceChargesAndOtherCustomerFeesContractsMemberus-gaap:OperatingSegmentsMembercof:ConsumerBankingSegmentMember2020-07-01202</w:t>
      </w:r>
      <w:r>
        <w:rPr>
          <w:rFonts w:eastAsia="Times New Roman"/>
          <w:vanish/>
        </w:rPr>
        <w:t>0-09-300000927628cof:CommercialBankingSegmentMembercof:ServiceChargesAndOtherCustomerFeesContractsMemberus-gaap:OperatingSegmentsMember2020-07-012020-09-300000927628us-gaap:CorporateNonSegmentMembercof:ServiceChargesAndOtherCustomerFeesContractsMember2020-</w:t>
      </w:r>
      <w:r>
        <w:rPr>
          <w:rFonts w:eastAsia="Times New Roman"/>
          <w:vanish/>
        </w:rPr>
        <w:t>07-012020-09-300000927628cof:ServiceChargesAndOtherCustomerFeesContractsMember2020-07-012020-09-300000927628cof:OtherContractRevenueMemberus-gaap:OperatingSegmentsMembercof:CreditCardSegmentMember2020-07-012020-09-300000927628cof:OtherContractRevenueMember</w:t>
      </w:r>
      <w:r>
        <w:rPr>
          <w:rFonts w:eastAsia="Times New Roman"/>
          <w:vanish/>
        </w:rPr>
        <w:t>us-gaap:OperatingSegmentsMembercof:ConsumerBankingSegmentMember2020-07-012020-09-300000927628cof:OtherContractRevenueMembercof:CommercialBankingSegmentMemberus-gaap:OperatingSegmentsMember2020-07-012020-09-300000927628us-gaap:CorporateNonSegmentMembercof:O</w:t>
      </w:r>
      <w:r>
        <w:rPr>
          <w:rFonts w:eastAsia="Times New Roman"/>
          <w:vanish/>
        </w:rPr>
        <w:t>therContractRevenueMember2020-07-012020-09-300000927628cof:OtherContractRevenueMember2020-07-012020-09-300000927628cof:InterchangeFeesContractsMemberus-gaap:OperatingSegmentsMembercof:CreditCardSegmentMember2020-01-012020-09-300000927628cof:InterchangeFees</w:t>
      </w:r>
      <w:r>
        <w:rPr>
          <w:rFonts w:eastAsia="Times New Roman"/>
          <w:vanish/>
        </w:rPr>
        <w:t>ContractsMemberus-gaap:OperatingSegmentsMembercof:ConsumerBankingSegmentMember2020-01-012020-09-300000927628cof:CommercialBankingSegmentMembercof:InterchangeFeesContractsMemberus-gaap:OperatingSegmentsMember2020-01-012020-09-300000927628us-gaap:CorporateNo</w:t>
      </w:r>
      <w:r>
        <w:rPr>
          <w:rFonts w:eastAsia="Times New Roman"/>
          <w:vanish/>
        </w:rPr>
        <w:t>nSegmentMembercof:InterchangeFeesContractsMember2020-01-012020-09-300000927628cof:InterchangeFeesContractsMember2020-01-012020-09-300000927628cof:ServiceChargesAndOtherCustomerFeesContractsMemberus-gaap:OperatingSegmentsMembercof:CreditCardSegmentMember202</w:t>
      </w:r>
      <w:r>
        <w:rPr>
          <w:rFonts w:eastAsia="Times New Roman"/>
          <w:vanish/>
        </w:rPr>
        <w:t>0-01-012020-09-300000927628cof:ServiceChargesAndOtherCustomerFeesContractsMemberus-gaap:OperatingSegmentsMembercof:ConsumerBankingSegmentMember2020-01-012020-09-300000927628cof:CommercialBankingSegmentMembercof:ServiceChargesAndOtherCustomerFeesContractsMe</w:t>
      </w:r>
      <w:r>
        <w:rPr>
          <w:rFonts w:eastAsia="Times New Roman"/>
          <w:vanish/>
        </w:rPr>
        <w:t>mberus-gaap:OperatingSegmentsMember2020-01-012020-09-300000927628us-gaap:CorporateNonSegmentMembercof:ServiceChargesAndOtherCustomerFeesContractsMember2020-01-012020-09-300000927628cof:ServiceChargesAndOtherCustomerFeesContractsMember2020-01-012020-09-3000</w:t>
      </w:r>
      <w:r>
        <w:rPr>
          <w:rFonts w:eastAsia="Times New Roman"/>
          <w:vanish/>
        </w:rPr>
        <w:t>00927628cof:OtherContractRevenueMemberus-gaap:OperatingSegmentsMembercof:CreditCardSegmentMember2020-01-012020-09-300000927628cof:OtherContractRevenueMemberus-gaap:OperatingSegmentsMembercof:ConsumerBankingSegmentMember2020-01-012020-09-300000927628cof:Oth</w:t>
      </w:r>
      <w:r>
        <w:rPr>
          <w:rFonts w:eastAsia="Times New Roman"/>
          <w:vanish/>
        </w:rPr>
        <w:t>erContractRevenueMembercof:CommercialBankingSegmentMemberus-gaap:OperatingSegmentsMember2020-01-012020-09-300000927628us-gaap:CorporateNonSegmentMembercof:OtherContractRevenueMember2020-01-012020-09-300000927628cof:OtherContractRevenueMember2020-01-012020-</w:t>
      </w:r>
      <w:r>
        <w:rPr>
          <w:rFonts w:eastAsia="Times New Roman"/>
          <w:vanish/>
        </w:rPr>
        <w:t>09-300000927628cof:OtherPortfolioSegmentsExcludingCreditCardMember2021-09-300000927628cof:OtherPortfolioSegmentsExcludingCreditCardMember2020-12-310000927628us-gaap:LetterOfCreditMember2021-09-300000927628us-gaap:LetterOfCreditMember2020-12-310000927628cof</w:t>
      </w:r>
      <w:r>
        <w:rPr>
          <w:rFonts w:eastAsia="Times New Roman"/>
          <w:vanish/>
        </w:rPr>
        <w:t>:LossSharingAgreementMember2021-09-300000927628cof:LossSharingAgreementMember2020-12-310000927628cof:InterchangeLitigationMemberus-gaap:PendingLitigationMember2021-01-012021-09-30cof:claim0000927628cof:CybersecurityIncidentMember2021-09-300000927628country</w:t>
      </w:r>
      <w:r>
        <w:rPr>
          <w:rFonts w:eastAsia="Times New Roman"/>
          <w:vanish/>
        </w:rPr>
        <w:t>:UScof:CybersecurityIncidentMember2021-09-300000927628stpr:CAcof:CybersecurityIncidentMember2021-09-300000927628country:CAcof:CybersecurityIncidentMember2021-09-30</w:t>
      </w:r>
    </w:p>
    <w:p w14:paraId="5EB41BD8" w14:textId="77777777" w:rsidR="00000000" w:rsidRDefault="00405D16">
      <w:pPr>
        <w:jc w:val="both"/>
        <w:divId w:val="1229225597"/>
        <w:rPr>
          <w:rFonts w:eastAsia="Times New Roman"/>
        </w:rPr>
      </w:pPr>
    </w:p>
    <w:tbl>
      <w:tblPr>
        <w:tblW w:w="4973" w:type="pct"/>
        <w:jc w:val="center"/>
        <w:tblCellMar>
          <w:top w:w="15" w:type="dxa"/>
          <w:left w:w="15" w:type="dxa"/>
          <w:bottom w:w="15" w:type="dxa"/>
          <w:right w:w="15" w:type="dxa"/>
        </w:tblCellMar>
        <w:tblLook w:val="04A0" w:firstRow="1" w:lastRow="0" w:firstColumn="1" w:lastColumn="0" w:noHBand="0" w:noVBand="1"/>
      </w:tblPr>
      <w:tblGrid>
        <w:gridCol w:w="69"/>
        <w:gridCol w:w="1547"/>
        <w:gridCol w:w="36"/>
        <w:gridCol w:w="69"/>
        <w:gridCol w:w="1547"/>
        <w:gridCol w:w="36"/>
        <w:gridCol w:w="69"/>
        <w:gridCol w:w="1547"/>
        <w:gridCol w:w="36"/>
        <w:gridCol w:w="69"/>
        <w:gridCol w:w="1547"/>
        <w:gridCol w:w="36"/>
        <w:gridCol w:w="69"/>
        <w:gridCol w:w="1548"/>
        <w:gridCol w:w="36"/>
      </w:tblGrid>
      <w:tr w:rsidR="00000000" w14:paraId="4ED2D49A" w14:textId="77777777">
        <w:trPr>
          <w:jc w:val="center"/>
        </w:trPr>
        <w:tc>
          <w:tcPr>
            <w:tcW w:w="50" w:type="pct"/>
            <w:vAlign w:val="center"/>
            <w:hideMark/>
          </w:tcPr>
          <w:p w14:paraId="3E9D1BD7" w14:textId="77777777" w:rsidR="00000000" w:rsidRDefault="00405D16">
            <w:pPr>
              <w:jc w:val="both"/>
              <w:rPr>
                <w:rFonts w:eastAsia="Times New Roman"/>
              </w:rPr>
            </w:pPr>
          </w:p>
        </w:tc>
        <w:tc>
          <w:tcPr>
            <w:tcW w:w="945" w:type="pct"/>
            <w:vAlign w:val="center"/>
            <w:hideMark/>
          </w:tcPr>
          <w:p w14:paraId="2C41CFF0" w14:textId="77777777" w:rsidR="00000000" w:rsidRDefault="00405D16">
            <w:pPr>
              <w:spacing w:after="100"/>
              <w:rPr>
                <w:rFonts w:eastAsia="Times New Roman"/>
                <w:sz w:val="20"/>
                <w:szCs w:val="20"/>
              </w:rPr>
            </w:pPr>
          </w:p>
        </w:tc>
        <w:tc>
          <w:tcPr>
            <w:tcW w:w="5" w:type="pct"/>
            <w:vAlign w:val="center"/>
            <w:hideMark/>
          </w:tcPr>
          <w:p w14:paraId="73D2F2F1" w14:textId="77777777" w:rsidR="00000000" w:rsidRDefault="00405D16">
            <w:pPr>
              <w:spacing w:after="100"/>
              <w:rPr>
                <w:rFonts w:eastAsia="Times New Roman"/>
                <w:sz w:val="20"/>
                <w:szCs w:val="20"/>
              </w:rPr>
            </w:pPr>
          </w:p>
        </w:tc>
        <w:tc>
          <w:tcPr>
            <w:tcW w:w="50" w:type="pct"/>
            <w:vAlign w:val="center"/>
            <w:hideMark/>
          </w:tcPr>
          <w:p w14:paraId="7EBEEFB3" w14:textId="77777777" w:rsidR="00000000" w:rsidRDefault="00405D16">
            <w:pPr>
              <w:spacing w:after="100"/>
              <w:rPr>
                <w:rFonts w:eastAsia="Times New Roman"/>
                <w:sz w:val="20"/>
                <w:szCs w:val="20"/>
              </w:rPr>
            </w:pPr>
          </w:p>
        </w:tc>
        <w:tc>
          <w:tcPr>
            <w:tcW w:w="945" w:type="pct"/>
            <w:vAlign w:val="center"/>
            <w:hideMark/>
          </w:tcPr>
          <w:p w14:paraId="7DFE9272" w14:textId="77777777" w:rsidR="00000000" w:rsidRDefault="00405D16">
            <w:pPr>
              <w:spacing w:after="100"/>
              <w:rPr>
                <w:rFonts w:eastAsia="Times New Roman"/>
                <w:sz w:val="20"/>
                <w:szCs w:val="20"/>
              </w:rPr>
            </w:pPr>
          </w:p>
        </w:tc>
        <w:tc>
          <w:tcPr>
            <w:tcW w:w="5" w:type="pct"/>
            <w:vAlign w:val="center"/>
            <w:hideMark/>
          </w:tcPr>
          <w:p w14:paraId="2A451953" w14:textId="77777777" w:rsidR="00000000" w:rsidRDefault="00405D16">
            <w:pPr>
              <w:spacing w:after="100"/>
              <w:rPr>
                <w:rFonts w:eastAsia="Times New Roman"/>
                <w:sz w:val="20"/>
                <w:szCs w:val="20"/>
              </w:rPr>
            </w:pPr>
          </w:p>
        </w:tc>
        <w:tc>
          <w:tcPr>
            <w:tcW w:w="50" w:type="pct"/>
            <w:vAlign w:val="center"/>
            <w:hideMark/>
          </w:tcPr>
          <w:p w14:paraId="37E94D02" w14:textId="77777777" w:rsidR="00000000" w:rsidRDefault="00405D16">
            <w:pPr>
              <w:spacing w:after="100"/>
              <w:rPr>
                <w:rFonts w:eastAsia="Times New Roman"/>
                <w:sz w:val="20"/>
                <w:szCs w:val="20"/>
              </w:rPr>
            </w:pPr>
          </w:p>
        </w:tc>
        <w:tc>
          <w:tcPr>
            <w:tcW w:w="945" w:type="pct"/>
            <w:vAlign w:val="center"/>
            <w:hideMark/>
          </w:tcPr>
          <w:p w14:paraId="0C3C26FD" w14:textId="77777777" w:rsidR="00000000" w:rsidRDefault="00405D16">
            <w:pPr>
              <w:spacing w:after="100"/>
              <w:rPr>
                <w:rFonts w:eastAsia="Times New Roman"/>
                <w:sz w:val="20"/>
                <w:szCs w:val="20"/>
              </w:rPr>
            </w:pPr>
          </w:p>
        </w:tc>
        <w:tc>
          <w:tcPr>
            <w:tcW w:w="5" w:type="pct"/>
            <w:vAlign w:val="center"/>
            <w:hideMark/>
          </w:tcPr>
          <w:p w14:paraId="7AB0628B" w14:textId="77777777" w:rsidR="00000000" w:rsidRDefault="00405D16">
            <w:pPr>
              <w:spacing w:after="100"/>
              <w:rPr>
                <w:rFonts w:eastAsia="Times New Roman"/>
                <w:sz w:val="20"/>
                <w:szCs w:val="20"/>
              </w:rPr>
            </w:pPr>
          </w:p>
        </w:tc>
        <w:tc>
          <w:tcPr>
            <w:tcW w:w="50" w:type="pct"/>
            <w:vAlign w:val="center"/>
            <w:hideMark/>
          </w:tcPr>
          <w:p w14:paraId="5BC155E5" w14:textId="77777777" w:rsidR="00000000" w:rsidRDefault="00405D16">
            <w:pPr>
              <w:spacing w:after="100"/>
              <w:rPr>
                <w:rFonts w:eastAsia="Times New Roman"/>
                <w:sz w:val="20"/>
                <w:szCs w:val="20"/>
              </w:rPr>
            </w:pPr>
          </w:p>
        </w:tc>
        <w:tc>
          <w:tcPr>
            <w:tcW w:w="945" w:type="pct"/>
            <w:vAlign w:val="center"/>
            <w:hideMark/>
          </w:tcPr>
          <w:p w14:paraId="23092582" w14:textId="77777777" w:rsidR="00000000" w:rsidRDefault="00405D16">
            <w:pPr>
              <w:spacing w:after="100"/>
              <w:rPr>
                <w:rFonts w:eastAsia="Times New Roman"/>
                <w:sz w:val="20"/>
                <w:szCs w:val="20"/>
              </w:rPr>
            </w:pPr>
          </w:p>
        </w:tc>
        <w:tc>
          <w:tcPr>
            <w:tcW w:w="5" w:type="pct"/>
            <w:vAlign w:val="center"/>
            <w:hideMark/>
          </w:tcPr>
          <w:p w14:paraId="30F0B49C" w14:textId="77777777" w:rsidR="00000000" w:rsidRDefault="00405D16">
            <w:pPr>
              <w:spacing w:after="100"/>
              <w:rPr>
                <w:rFonts w:eastAsia="Times New Roman"/>
                <w:sz w:val="20"/>
                <w:szCs w:val="20"/>
              </w:rPr>
            </w:pPr>
          </w:p>
        </w:tc>
        <w:tc>
          <w:tcPr>
            <w:tcW w:w="50" w:type="pct"/>
            <w:vAlign w:val="center"/>
            <w:hideMark/>
          </w:tcPr>
          <w:p w14:paraId="1D4D89FC" w14:textId="77777777" w:rsidR="00000000" w:rsidRDefault="00405D16">
            <w:pPr>
              <w:spacing w:after="100"/>
              <w:rPr>
                <w:rFonts w:eastAsia="Times New Roman"/>
                <w:sz w:val="20"/>
                <w:szCs w:val="20"/>
              </w:rPr>
            </w:pPr>
          </w:p>
        </w:tc>
        <w:tc>
          <w:tcPr>
            <w:tcW w:w="945" w:type="pct"/>
            <w:vAlign w:val="center"/>
            <w:hideMark/>
          </w:tcPr>
          <w:p w14:paraId="42B33CB2" w14:textId="77777777" w:rsidR="00000000" w:rsidRDefault="00405D16">
            <w:pPr>
              <w:spacing w:after="100"/>
              <w:rPr>
                <w:rFonts w:eastAsia="Times New Roman"/>
                <w:sz w:val="20"/>
                <w:szCs w:val="20"/>
              </w:rPr>
            </w:pPr>
          </w:p>
        </w:tc>
        <w:tc>
          <w:tcPr>
            <w:tcW w:w="5" w:type="pct"/>
            <w:vAlign w:val="center"/>
            <w:hideMark/>
          </w:tcPr>
          <w:p w14:paraId="712C62AF" w14:textId="77777777" w:rsidR="00000000" w:rsidRDefault="00405D16">
            <w:pPr>
              <w:spacing w:after="100"/>
              <w:rPr>
                <w:rFonts w:eastAsia="Times New Roman"/>
                <w:sz w:val="20"/>
                <w:szCs w:val="20"/>
              </w:rPr>
            </w:pPr>
          </w:p>
        </w:tc>
      </w:tr>
      <w:tr w:rsidR="00000000" w14:paraId="013C0BAA" w14:textId="77777777">
        <w:trPr>
          <w:trHeight w:val="60"/>
          <w:jc w:val="center"/>
        </w:trPr>
        <w:tc>
          <w:tcPr>
            <w:tcW w:w="0" w:type="auto"/>
            <w:gridSpan w:val="15"/>
            <w:tcBorders>
              <w:top w:val="single" w:sz="18" w:space="0" w:color="000000"/>
            </w:tcBorders>
            <w:tcMar>
              <w:top w:w="0" w:type="dxa"/>
              <w:left w:w="20" w:type="dxa"/>
              <w:bottom w:w="0" w:type="dxa"/>
              <w:right w:w="20" w:type="dxa"/>
            </w:tcMar>
            <w:vAlign w:val="center"/>
            <w:hideMark/>
          </w:tcPr>
          <w:p w14:paraId="0932E9B2" w14:textId="77777777" w:rsidR="00000000" w:rsidRDefault="00405D16">
            <w:pPr>
              <w:spacing w:after="100"/>
              <w:rPr>
                <w:rFonts w:eastAsia="Times New Roman"/>
                <w:sz w:val="20"/>
                <w:szCs w:val="20"/>
              </w:rPr>
            </w:pPr>
          </w:p>
        </w:tc>
      </w:tr>
    </w:tbl>
    <w:p w14:paraId="77981C7F" w14:textId="77777777" w:rsidR="00000000" w:rsidRDefault="00405D16">
      <w:pPr>
        <w:jc w:val="center"/>
        <w:divId w:val="1980569622"/>
        <w:rPr>
          <w:rFonts w:eastAsia="Times New Roman"/>
        </w:rPr>
      </w:pPr>
      <w:r>
        <w:rPr>
          <w:rFonts w:eastAsia="Times New Roman"/>
          <w:b/>
          <w:bCs/>
          <w:color w:val="000000"/>
          <w:sz w:val="22"/>
          <w:szCs w:val="22"/>
        </w:rPr>
        <w:t>UNITED STATES</w:t>
      </w:r>
    </w:p>
    <w:p w14:paraId="218A26A1" w14:textId="77777777" w:rsidR="00000000" w:rsidRDefault="00405D16">
      <w:pPr>
        <w:jc w:val="center"/>
        <w:rPr>
          <w:rFonts w:eastAsia="Times New Roman"/>
        </w:rPr>
      </w:pPr>
      <w:r>
        <w:rPr>
          <w:rFonts w:eastAsia="Times New Roman"/>
          <w:b/>
          <w:bCs/>
          <w:color w:val="000000"/>
          <w:sz w:val="22"/>
          <w:szCs w:val="22"/>
        </w:rPr>
        <w:t>SECURITIES AND EXCHANGE COMMISSION</w:t>
      </w:r>
    </w:p>
    <w:p w14:paraId="4BF8C27C" w14:textId="77777777" w:rsidR="00000000" w:rsidRDefault="00405D16">
      <w:pPr>
        <w:jc w:val="center"/>
        <w:rPr>
          <w:rFonts w:eastAsia="Times New Roman"/>
        </w:rPr>
      </w:pPr>
      <w:r>
        <w:rPr>
          <w:rFonts w:eastAsia="Times New Roman"/>
          <w:b/>
          <w:bCs/>
          <w:color w:val="000000"/>
          <w:sz w:val="18"/>
          <w:szCs w:val="18"/>
        </w:rPr>
        <w:t>Washington, D.C. 20549</w:t>
      </w:r>
    </w:p>
    <w:p w14:paraId="2149DA47" w14:textId="77777777" w:rsidR="00000000" w:rsidRDefault="00405D16">
      <w:pPr>
        <w:jc w:val="center"/>
        <w:rPr>
          <w:rFonts w:eastAsia="Times New Roman"/>
        </w:rPr>
      </w:pPr>
      <w:r>
        <w:rPr>
          <w:rFonts w:eastAsia="Times New Roman"/>
          <w:color w:val="000000"/>
          <w:sz w:val="12"/>
          <w:szCs w:val="12"/>
        </w:rPr>
        <w:t>____________________________________</w:t>
      </w:r>
    </w:p>
    <w:p w14:paraId="2947975B" w14:textId="77777777" w:rsidR="00000000" w:rsidRDefault="00405D16">
      <w:pPr>
        <w:jc w:val="center"/>
        <w:divId w:val="346056748"/>
        <w:rPr>
          <w:rFonts w:eastAsia="Times New Roman"/>
        </w:rPr>
      </w:pPr>
      <w:r>
        <w:rPr>
          <w:rFonts w:eastAsia="Times New Roman"/>
          <w:b/>
          <w:bCs/>
          <w:color w:val="000000"/>
          <w:sz w:val="28"/>
          <w:szCs w:val="28"/>
        </w:rPr>
        <w:t xml:space="preserve">FORM 10-Q </w:t>
      </w:r>
    </w:p>
    <w:p w14:paraId="3A86556D" w14:textId="77777777" w:rsidR="00000000" w:rsidRDefault="00405D16">
      <w:pPr>
        <w:jc w:val="center"/>
        <w:rPr>
          <w:rFonts w:eastAsia="Times New Roman"/>
        </w:rPr>
      </w:pPr>
      <w:r>
        <w:rPr>
          <w:rFonts w:eastAsia="Times New Roman"/>
          <w:color w:val="000000"/>
          <w:sz w:val="12"/>
          <w:szCs w:val="12"/>
        </w:rPr>
        <w:t>____________________________________</w:t>
      </w:r>
    </w:p>
    <w:tbl>
      <w:tblPr>
        <w:tblW w:w="4462" w:type="pct"/>
        <w:jc w:val="center"/>
        <w:tblCellMar>
          <w:top w:w="15" w:type="dxa"/>
          <w:left w:w="15" w:type="dxa"/>
          <w:bottom w:w="15" w:type="dxa"/>
          <w:right w:w="15" w:type="dxa"/>
        </w:tblCellMar>
        <w:tblLook w:val="04A0" w:firstRow="1" w:lastRow="0" w:firstColumn="1" w:lastColumn="0" w:noHBand="0" w:noVBand="1"/>
      </w:tblPr>
      <w:tblGrid>
        <w:gridCol w:w="59"/>
        <w:gridCol w:w="272"/>
        <w:gridCol w:w="36"/>
        <w:gridCol w:w="60"/>
        <w:gridCol w:w="6949"/>
        <w:gridCol w:w="36"/>
      </w:tblGrid>
      <w:tr w:rsidR="00000000" w14:paraId="381012D0" w14:textId="77777777">
        <w:trPr>
          <w:jc w:val="center"/>
        </w:trPr>
        <w:tc>
          <w:tcPr>
            <w:tcW w:w="50" w:type="pct"/>
            <w:vAlign w:val="center"/>
            <w:hideMark/>
          </w:tcPr>
          <w:p w14:paraId="4E88087E" w14:textId="77777777" w:rsidR="00000000" w:rsidRDefault="00405D16">
            <w:pPr>
              <w:jc w:val="center"/>
              <w:rPr>
                <w:rFonts w:eastAsia="Times New Roman"/>
              </w:rPr>
            </w:pPr>
          </w:p>
        </w:tc>
        <w:tc>
          <w:tcPr>
            <w:tcW w:w="193" w:type="pct"/>
            <w:vAlign w:val="center"/>
            <w:hideMark/>
          </w:tcPr>
          <w:p w14:paraId="53BAB811" w14:textId="77777777" w:rsidR="00000000" w:rsidRDefault="00405D16">
            <w:pPr>
              <w:spacing w:after="100"/>
              <w:rPr>
                <w:rFonts w:eastAsia="Times New Roman"/>
                <w:sz w:val="20"/>
                <w:szCs w:val="20"/>
              </w:rPr>
            </w:pPr>
          </w:p>
        </w:tc>
        <w:tc>
          <w:tcPr>
            <w:tcW w:w="5" w:type="pct"/>
            <w:vAlign w:val="center"/>
            <w:hideMark/>
          </w:tcPr>
          <w:p w14:paraId="3D344C67" w14:textId="77777777" w:rsidR="00000000" w:rsidRDefault="00405D16">
            <w:pPr>
              <w:spacing w:after="100"/>
              <w:rPr>
                <w:rFonts w:eastAsia="Times New Roman"/>
                <w:sz w:val="20"/>
                <w:szCs w:val="20"/>
              </w:rPr>
            </w:pPr>
          </w:p>
        </w:tc>
        <w:tc>
          <w:tcPr>
            <w:tcW w:w="50" w:type="pct"/>
            <w:vAlign w:val="center"/>
            <w:hideMark/>
          </w:tcPr>
          <w:p w14:paraId="1A63D84C" w14:textId="77777777" w:rsidR="00000000" w:rsidRDefault="00405D16">
            <w:pPr>
              <w:spacing w:after="100"/>
              <w:rPr>
                <w:rFonts w:eastAsia="Times New Roman"/>
                <w:sz w:val="20"/>
                <w:szCs w:val="20"/>
              </w:rPr>
            </w:pPr>
          </w:p>
        </w:tc>
        <w:tc>
          <w:tcPr>
            <w:tcW w:w="4696" w:type="pct"/>
            <w:vAlign w:val="center"/>
            <w:hideMark/>
          </w:tcPr>
          <w:p w14:paraId="036D9D07" w14:textId="77777777" w:rsidR="00000000" w:rsidRDefault="00405D16">
            <w:pPr>
              <w:spacing w:after="100"/>
              <w:rPr>
                <w:rFonts w:eastAsia="Times New Roman"/>
                <w:sz w:val="20"/>
                <w:szCs w:val="20"/>
              </w:rPr>
            </w:pPr>
          </w:p>
        </w:tc>
        <w:tc>
          <w:tcPr>
            <w:tcW w:w="5" w:type="pct"/>
            <w:vAlign w:val="center"/>
            <w:hideMark/>
          </w:tcPr>
          <w:p w14:paraId="1F2DB89D" w14:textId="77777777" w:rsidR="00000000" w:rsidRDefault="00405D16">
            <w:pPr>
              <w:spacing w:after="100"/>
              <w:rPr>
                <w:rFonts w:eastAsia="Times New Roman"/>
                <w:sz w:val="20"/>
                <w:szCs w:val="20"/>
              </w:rPr>
            </w:pPr>
          </w:p>
        </w:tc>
      </w:tr>
      <w:tr w:rsidR="00000000" w14:paraId="701E30F8" w14:textId="77777777">
        <w:trPr>
          <w:jc w:val="center"/>
        </w:trPr>
        <w:tc>
          <w:tcPr>
            <w:tcW w:w="0" w:type="auto"/>
            <w:gridSpan w:val="3"/>
            <w:tcMar>
              <w:top w:w="30" w:type="dxa"/>
              <w:left w:w="20" w:type="dxa"/>
              <w:bottom w:w="30" w:type="dxa"/>
              <w:right w:w="20" w:type="dxa"/>
            </w:tcMar>
            <w:vAlign w:val="bottom"/>
            <w:hideMark/>
          </w:tcPr>
          <w:p w14:paraId="5BAE7CBE" w14:textId="77777777" w:rsidR="00000000" w:rsidRDefault="00405D16">
            <w:pPr>
              <w:spacing w:after="100"/>
              <w:jc w:val="center"/>
              <w:rPr>
                <w:rFonts w:eastAsia="Times New Roman"/>
              </w:rPr>
            </w:pPr>
            <w:r>
              <w:rPr>
                <w:rFonts w:ascii="Segoe UI Symbol" w:eastAsia="Times New Roman" w:hAnsi="Segoe UI Symbol" w:cs="Segoe UI Symbol"/>
                <w:color w:val="000000"/>
                <w:sz w:val="17"/>
                <w:szCs w:val="17"/>
              </w:rPr>
              <w:t>☒</w:t>
            </w:r>
          </w:p>
        </w:tc>
        <w:tc>
          <w:tcPr>
            <w:tcW w:w="0" w:type="auto"/>
            <w:gridSpan w:val="3"/>
            <w:tcMar>
              <w:top w:w="30" w:type="dxa"/>
              <w:left w:w="20" w:type="dxa"/>
              <w:bottom w:w="30" w:type="dxa"/>
              <w:right w:w="20" w:type="dxa"/>
            </w:tcMar>
            <w:vAlign w:val="bottom"/>
            <w:hideMark/>
          </w:tcPr>
          <w:p w14:paraId="4FF4744B" w14:textId="77777777" w:rsidR="00000000" w:rsidRDefault="00405D16">
            <w:pPr>
              <w:spacing w:after="100"/>
              <w:jc w:val="center"/>
              <w:rPr>
                <w:rFonts w:eastAsia="Times New Roman"/>
              </w:rPr>
            </w:pPr>
            <w:r>
              <w:rPr>
                <w:rFonts w:eastAsia="Times New Roman"/>
                <w:b/>
                <w:bCs/>
                <w:color w:val="000000"/>
                <w:sz w:val="17"/>
                <w:szCs w:val="17"/>
              </w:rPr>
              <w:t xml:space="preserve">QUARTERLY </w:t>
            </w:r>
            <w:r>
              <w:rPr>
                <w:rFonts w:eastAsia="Times New Roman"/>
                <w:b/>
                <w:bCs/>
                <w:color w:val="000000"/>
                <w:sz w:val="17"/>
                <w:szCs w:val="17"/>
              </w:rPr>
              <w:t>REPORT PURSUANT TO SECTION 13 OR 15(d) OF THE SECURITIES EXCHANGE ACT OF 1934</w:t>
            </w:r>
          </w:p>
        </w:tc>
      </w:tr>
    </w:tbl>
    <w:p w14:paraId="51497E1F" w14:textId="77777777" w:rsidR="00000000" w:rsidRDefault="00405D16">
      <w:pPr>
        <w:jc w:val="center"/>
        <w:divId w:val="609163629"/>
        <w:rPr>
          <w:rFonts w:eastAsia="Times New Roman"/>
        </w:rPr>
      </w:pPr>
      <w:r>
        <w:rPr>
          <w:rFonts w:eastAsia="Times New Roman"/>
          <w:b/>
          <w:bCs/>
          <w:color w:val="000000"/>
          <w:sz w:val="18"/>
          <w:szCs w:val="18"/>
        </w:rPr>
        <w:t xml:space="preserve">For the quarterly period ended September 30, 2021 </w:t>
      </w:r>
    </w:p>
    <w:p w14:paraId="0B7857FC" w14:textId="77777777" w:rsidR="00000000" w:rsidRDefault="00405D16">
      <w:pPr>
        <w:jc w:val="center"/>
        <w:divId w:val="1827475544"/>
        <w:rPr>
          <w:rFonts w:eastAsia="Times New Roman"/>
        </w:rPr>
      </w:pPr>
      <w:r>
        <w:rPr>
          <w:rFonts w:eastAsia="Times New Roman"/>
          <w:b/>
          <w:bCs/>
          <w:color w:val="000000"/>
          <w:sz w:val="15"/>
          <w:szCs w:val="15"/>
        </w:rPr>
        <w:t>OR</w:t>
      </w:r>
    </w:p>
    <w:tbl>
      <w:tblPr>
        <w:tblW w:w="4462" w:type="pct"/>
        <w:jc w:val="center"/>
        <w:tblCellMar>
          <w:top w:w="15" w:type="dxa"/>
          <w:left w:w="15" w:type="dxa"/>
          <w:bottom w:w="15" w:type="dxa"/>
          <w:right w:w="15" w:type="dxa"/>
        </w:tblCellMar>
        <w:tblLook w:val="04A0" w:firstRow="1" w:lastRow="0" w:firstColumn="1" w:lastColumn="0" w:noHBand="0" w:noVBand="1"/>
      </w:tblPr>
      <w:tblGrid>
        <w:gridCol w:w="59"/>
        <w:gridCol w:w="272"/>
        <w:gridCol w:w="36"/>
        <w:gridCol w:w="60"/>
        <w:gridCol w:w="6949"/>
        <w:gridCol w:w="36"/>
      </w:tblGrid>
      <w:tr w:rsidR="00000000" w14:paraId="70D5810C" w14:textId="77777777">
        <w:trPr>
          <w:jc w:val="center"/>
        </w:trPr>
        <w:tc>
          <w:tcPr>
            <w:tcW w:w="50" w:type="pct"/>
            <w:vAlign w:val="center"/>
            <w:hideMark/>
          </w:tcPr>
          <w:p w14:paraId="22D42787" w14:textId="77777777" w:rsidR="00000000" w:rsidRDefault="00405D16">
            <w:pPr>
              <w:jc w:val="center"/>
              <w:rPr>
                <w:rFonts w:eastAsia="Times New Roman"/>
              </w:rPr>
            </w:pPr>
          </w:p>
        </w:tc>
        <w:tc>
          <w:tcPr>
            <w:tcW w:w="193" w:type="pct"/>
            <w:vAlign w:val="center"/>
            <w:hideMark/>
          </w:tcPr>
          <w:p w14:paraId="3FFD3CBC" w14:textId="77777777" w:rsidR="00000000" w:rsidRDefault="00405D16">
            <w:pPr>
              <w:spacing w:after="100"/>
              <w:rPr>
                <w:rFonts w:eastAsia="Times New Roman"/>
                <w:sz w:val="20"/>
                <w:szCs w:val="20"/>
              </w:rPr>
            </w:pPr>
          </w:p>
        </w:tc>
        <w:tc>
          <w:tcPr>
            <w:tcW w:w="5" w:type="pct"/>
            <w:vAlign w:val="center"/>
            <w:hideMark/>
          </w:tcPr>
          <w:p w14:paraId="710FD834" w14:textId="77777777" w:rsidR="00000000" w:rsidRDefault="00405D16">
            <w:pPr>
              <w:spacing w:after="100"/>
              <w:rPr>
                <w:rFonts w:eastAsia="Times New Roman"/>
                <w:sz w:val="20"/>
                <w:szCs w:val="20"/>
              </w:rPr>
            </w:pPr>
          </w:p>
        </w:tc>
        <w:tc>
          <w:tcPr>
            <w:tcW w:w="50" w:type="pct"/>
            <w:vAlign w:val="center"/>
            <w:hideMark/>
          </w:tcPr>
          <w:p w14:paraId="07E62FEA" w14:textId="77777777" w:rsidR="00000000" w:rsidRDefault="00405D16">
            <w:pPr>
              <w:spacing w:after="100"/>
              <w:rPr>
                <w:rFonts w:eastAsia="Times New Roman"/>
                <w:sz w:val="20"/>
                <w:szCs w:val="20"/>
              </w:rPr>
            </w:pPr>
          </w:p>
        </w:tc>
        <w:tc>
          <w:tcPr>
            <w:tcW w:w="4696" w:type="pct"/>
            <w:vAlign w:val="center"/>
            <w:hideMark/>
          </w:tcPr>
          <w:p w14:paraId="24C8E293" w14:textId="77777777" w:rsidR="00000000" w:rsidRDefault="00405D16">
            <w:pPr>
              <w:spacing w:after="100"/>
              <w:rPr>
                <w:rFonts w:eastAsia="Times New Roman"/>
                <w:sz w:val="20"/>
                <w:szCs w:val="20"/>
              </w:rPr>
            </w:pPr>
          </w:p>
        </w:tc>
        <w:tc>
          <w:tcPr>
            <w:tcW w:w="5" w:type="pct"/>
            <w:vAlign w:val="center"/>
            <w:hideMark/>
          </w:tcPr>
          <w:p w14:paraId="49A8EE94" w14:textId="77777777" w:rsidR="00000000" w:rsidRDefault="00405D16">
            <w:pPr>
              <w:spacing w:after="100"/>
              <w:rPr>
                <w:rFonts w:eastAsia="Times New Roman"/>
                <w:sz w:val="20"/>
                <w:szCs w:val="20"/>
              </w:rPr>
            </w:pPr>
          </w:p>
        </w:tc>
      </w:tr>
      <w:tr w:rsidR="00000000" w14:paraId="36F130F5" w14:textId="77777777">
        <w:trPr>
          <w:jc w:val="center"/>
        </w:trPr>
        <w:tc>
          <w:tcPr>
            <w:tcW w:w="0" w:type="auto"/>
            <w:gridSpan w:val="3"/>
            <w:tcMar>
              <w:top w:w="30" w:type="dxa"/>
              <w:left w:w="20" w:type="dxa"/>
              <w:bottom w:w="30" w:type="dxa"/>
              <w:right w:w="20" w:type="dxa"/>
            </w:tcMar>
            <w:vAlign w:val="bottom"/>
            <w:hideMark/>
          </w:tcPr>
          <w:p w14:paraId="49C4AF08" w14:textId="77777777" w:rsidR="00000000" w:rsidRDefault="00405D16">
            <w:pPr>
              <w:spacing w:after="100"/>
              <w:jc w:val="center"/>
              <w:rPr>
                <w:rFonts w:eastAsia="Times New Roman"/>
              </w:rPr>
            </w:pPr>
            <w:r>
              <w:rPr>
                <w:rFonts w:ascii="Segoe UI Symbol" w:eastAsia="Times New Roman" w:hAnsi="Segoe UI Symbol" w:cs="Segoe UI Symbol"/>
                <w:color w:val="000000"/>
                <w:sz w:val="17"/>
                <w:szCs w:val="17"/>
              </w:rPr>
              <w:t>☐</w:t>
            </w:r>
          </w:p>
        </w:tc>
        <w:tc>
          <w:tcPr>
            <w:tcW w:w="0" w:type="auto"/>
            <w:gridSpan w:val="3"/>
            <w:tcMar>
              <w:top w:w="30" w:type="dxa"/>
              <w:left w:w="20" w:type="dxa"/>
              <w:bottom w:w="30" w:type="dxa"/>
              <w:right w:w="20" w:type="dxa"/>
            </w:tcMar>
            <w:vAlign w:val="bottom"/>
            <w:hideMark/>
          </w:tcPr>
          <w:p w14:paraId="197BA18C" w14:textId="77777777" w:rsidR="00000000" w:rsidRDefault="00405D16">
            <w:pPr>
              <w:spacing w:after="100"/>
              <w:jc w:val="center"/>
              <w:rPr>
                <w:rFonts w:eastAsia="Times New Roman"/>
              </w:rPr>
            </w:pPr>
            <w:r>
              <w:rPr>
                <w:rFonts w:eastAsia="Times New Roman"/>
                <w:b/>
                <w:bCs/>
                <w:color w:val="000000"/>
                <w:sz w:val="17"/>
                <w:szCs w:val="17"/>
              </w:rPr>
              <w:t>TRANSITION REPORT PURSUANT TO SECTION 13 OR 15(d) OF THE SECURITIES EXCHANGE ACT OF 1934</w:t>
            </w:r>
          </w:p>
        </w:tc>
      </w:tr>
    </w:tbl>
    <w:p w14:paraId="5DEFEA37" w14:textId="77777777" w:rsidR="00000000" w:rsidRDefault="00405D16">
      <w:pPr>
        <w:jc w:val="center"/>
        <w:rPr>
          <w:rFonts w:eastAsia="Times New Roman"/>
        </w:rPr>
      </w:pPr>
      <w:r>
        <w:rPr>
          <w:rFonts w:eastAsia="Times New Roman"/>
          <w:b/>
          <w:bCs/>
          <w:color w:val="000000"/>
          <w:sz w:val="18"/>
          <w:szCs w:val="18"/>
        </w:rPr>
        <w:t xml:space="preserve">For the transition period from </w:t>
      </w:r>
      <w:r>
        <w:rPr>
          <w:rFonts w:eastAsia="Times New Roman"/>
          <w:b/>
          <w:bCs/>
          <w:color w:val="000000"/>
          <w:sz w:val="18"/>
          <w:szCs w:val="18"/>
          <w:u w:val="single"/>
        </w:rPr>
        <w:t>            </w:t>
      </w:r>
      <w:r>
        <w:rPr>
          <w:rFonts w:eastAsia="Times New Roman"/>
          <w:b/>
          <w:bCs/>
          <w:color w:val="000000"/>
          <w:sz w:val="18"/>
          <w:szCs w:val="18"/>
        </w:rPr>
        <w:t xml:space="preserve"> to </w:t>
      </w:r>
      <w:r>
        <w:rPr>
          <w:rFonts w:eastAsia="Times New Roman"/>
          <w:b/>
          <w:bCs/>
          <w:color w:val="000000"/>
          <w:sz w:val="18"/>
          <w:szCs w:val="18"/>
          <w:u w:val="single"/>
        </w:rPr>
        <w:t>            </w:t>
      </w:r>
    </w:p>
    <w:p w14:paraId="57F91732" w14:textId="77777777" w:rsidR="00000000" w:rsidRDefault="00405D16">
      <w:pPr>
        <w:jc w:val="center"/>
        <w:divId w:val="1003237724"/>
        <w:rPr>
          <w:rFonts w:eastAsia="Times New Roman"/>
        </w:rPr>
      </w:pPr>
      <w:r>
        <w:rPr>
          <w:rFonts w:eastAsia="Times New Roman"/>
          <w:b/>
          <w:bCs/>
          <w:color w:val="000000"/>
          <w:sz w:val="18"/>
          <w:szCs w:val="18"/>
        </w:rPr>
        <w:t xml:space="preserve">Commission File No. 001-13300 </w:t>
      </w:r>
    </w:p>
    <w:p w14:paraId="09FBC37E" w14:textId="77777777" w:rsidR="00000000" w:rsidRDefault="00405D16">
      <w:pPr>
        <w:jc w:val="center"/>
        <w:rPr>
          <w:rFonts w:eastAsia="Times New Roman"/>
        </w:rPr>
      </w:pPr>
      <w:r>
        <w:rPr>
          <w:rFonts w:eastAsia="Times New Roman"/>
          <w:color w:val="000000"/>
          <w:sz w:val="12"/>
          <w:szCs w:val="12"/>
        </w:rPr>
        <w:t>____________________________________</w:t>
      </w:r>
    </w:p>
    <w:p w14:paraId="1A876296" w14:textId="77777777" w:rsidR="00000000" w:rsidRDefault="00405D16">
      <w:pPr>
        <w:jc w:val="center"/>
        <w:divId w:val="608196802"/>
        <w:rPr>
          <w:rFonts w:eastAsia="Times New Roman"/>
        </w:rPr>
      </w:pPr>
      <w:r>
        <w:rPr>
          <w:rFonts w:eastAsia="Times New Roman"/>
          <w:b/>
          <w:bCs/>
          <w:color w:val="000000"/>
          <w:sz w:val="32"/>
          <w:szCs w:val="32"/>
        </w:rPr>
        <w:t>CAPITAL ONE FINANCIAL CORP</w:t>
      </w:r>
      <w:r>
        <w:rPr>
          <w:rFonts w:eastAsia="Times New Roman"/>
          <w:b/>
          <w:bCs/>
          <w:color w:val="000000"/>
          <w:sz w:val="32"/>
          <w:szCs w:val="32"/>
        </w:rPr>
        <w:t>ORATION</w:t>
      </w:r>
    </w:p>
    <w:p w14:paraId="56DDD59B" w14:textId="77777777" w:rsidR="00000000" w:rsidRDefault="00405D16">
      <w:pPr>
        <w:jc w:val="center"/>
        <w:divId w:val="727149290"/>
        <w:rPr>
          <w:rFonts w:eastAsia="Times New Roman"/>
        </w:rPr>
      </w:pPr>
      <w:r>
        <w:rPr>
          <w:rFonts w:eastAsia="Times New Roman"/>
          <w:b/>
          <w:bCs/>
          <w:color w:val="000000"/>
          <w:sz w:val="16"/>
          <w:szCs w:val="16"/>
        </w:rPr>
        <w:t>(Exact name of registrant as specified in its charter)</w:t>
      </w:r>
      <w:r>
        <w:rPr>
          <w:rFonts w:eastAsia="Times New Roman"/>
          <w:color w:val="000000"/>
          <w:sz w:val="16"/>
          <w:szCs w:val="16"/>
        </w:rPr>
        <w:t> </w:t>
      </w:r>
    </w:p>
    <w:p w14:paraId="17586F3B" w14:textId="77777777" w:rsidR="00000000" w:rsidRDefault="00405D16">
      <w:pPr>
        <w:jc w:val="center"/>
        <w:rPr>
          <w:rFonts w:eastAsia="Times New Roman"/>
        </w:rPr>
      </w:pPr>
      <w:r>
        <w:rPr>
          <w:rFonts w:eastAsia="Times New Roman"/>
          <w:color w:val="000000"/>
          <w:sz w:val="12"/>
          <w:szCs w:val="12"/>
        </w:rPr>
        <w:t>____________________________________</w:t>
      </w:r>
    </w:p>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2361"/>
        <w:gridCol w:w="39"/>
        <w:gridCol w:w="69"/>
        <w:gridCol w:w="2361"/>
        <w:gridCol w:w="37"/>
        <w:gridCol w:w="69"/>
        <w:gridCol w:w="173"/>
        <w:gridCol w:w="36"/>
        <w:gridCol w:w="69"/>
        <w:gridCol w:w="2975"/>
        <w:gridCol w:w="36"/>
      </w:tblGrid>
      <w:tr w:rsidR="00000000" w14:paraId="67CB9211" w14:textId="77777777">
        <w:trPr>
          <w:divId w:val="1005521274"/>
          <w:jc w:val="center"/>
        </w:trPr>
        <w:tc>
          <w:tcPr>
            <w:tcW w:w="50" w:type="pct"/>
            <w:vAlign w:val="center"/>
            <w:hideMark/>
          </w:tcPr>
          <w:p w14:paraId="36AFEEB2" w14:textId="77777777" w:rsidR="00000000" w:rsidRDefault="00405D16">
            <w:pPr>
              <w:jc w:val="center"/>
              <w:rPr>
                <w:rFonts w:eastAsia="Times New Roman"/>
              </w:rPr>
            </w:pPr>
          </w:p>
        </w:tc>
        <w:tc>
          <w:tcPr>
            <w:tcW w:w="1432" w:type="pct"/>
            <w:vAlign w:val="center"/>
            <w:hideMark/>
          </w:tcPr>
          <w:p w14:paraId="1664E85A" w14:textId="77777777" w:rsidR="00000000" w:rsidRDefault="00405D16">
            <w:pPr>
              <w:spacing w:after="100"/>
              <w:rPr>
                <w:rFonts w:eastAsia="Times New Roman"/>
                <w:sz w:val="20"/>
                <w:szCs w:val="20"/>
              </w:rPr>
            </w:pPr>
          </w:p>
        </w:tc>
        <w:tc>
          <w:tcPr>
            <w:tcW w:w="5" w:type="pct"/>
            <w:vAlign w:val="center"/>
            <w:hideMark/>
          </w:tcPr>
          <w:p w14:paraId="38327553" w14:textId="77777777" w:rsidR="00000000" w:rsidRDefault="00405D16">
            <w:pPr>
              <w:spacing w:after="100"/>
              <w:rPr>
                <w:rFonts w:eastAsia="Times New Roman"/>
                <w:sz w:val="20"/>
                <w:szCs w:val="20"/>
              </w:rPr>
            </w:pPr>
          </w:p>
        </w:tc>
        <w:tc>
          <w:tcPr>
            <w:tcW w:w="50" w:type="pct"/>
            <w:vAlign w:val="center"/>
            <w:hideMark/>
          </w:tcPr>
          <w:p w14:paraId="02CBC693" w14:textId="77777777" w:rsidR="00000000" w:rsidRDefault="00405D16">
            <w:pPr>
              <w:spacing w:after="100"/>
              <w:rPr>
                <w:rFonts w:eastAsia="Times New Roman"/>
                <w:sz w:val="20"/>
                <w:szCs w:val="20"/>
              </w:rPr>
            </w:pPr>
          </w:p>
        </w:tc>
        <w:tc>
          <w:tcPr>
            <w:tcW w:w="1432" w:type="pct"/>
            <w:vAlign w:val="center"/>
            <w:hideMark/>
          </w:tcPr>
          <w:p w14:paraId="5E8DAB93" w14:textId="77777777" w:rsidR="00000000" w:rsidRDefault="00405D16">
            <w:pPr>
              <w:spacing w:after="100"/>
              <w:rPr>
                <w:rFonts w:eastAsia="Times New Roman"/>
                <w:sz w:val="20"/>
                <w:szCs w:val="20"/>
              </w:rPr>
            </w:pPr>
          </w:p>
        </w:tc>
        <w:tc>
          <w:tcPr>
            <w:tcW w:w="5" w:type="pct"/>
            <w:vAlign w:val="center"/>
            <w:hideMark/>
          </w:tcPr>
          <w:p w14:paraId="7BFC0CC1" w14:textId="77777777" w:rsidR="00000000" w:rsidRDefault="00405D16">
            <w:pPr>
              <w:spacing w:after="100"/>
              <w:rPr>
                <w:rFonts w:eastAsia="Times New Roman"/>
                <w:sz w:val="20"/>
                <w:szCs w:val="20"/>
              </w:rPr>
            </w:pPr>
          </w:p>
        </w:tc>
        <w:tc>
          <w:tcPr>
            <w:tcW w:w="50" w:type="pct"/>
            <w:vAlign w:val="center"/>
            <w:hideMark/>
          </w:tcPr>
          <w:p w14:paraId="0F823D9B" w14:textId="77777777" w:rsidR="00000000" w:rsidRDefault="00405D16">
            <w:pPr>
              <w:spacing w:after="100"/>
              <w:rPr>
                <w:rFonts w:eastAsia="Times New Roman"/>
                <w:sz w:val="20"/>
                <w:szCs w:val="20"/>
              </w:rPr>
            </w:pPr>
          </w:p>
        </w:tc>
        <w:tc>
          <w:tcPr>
            <w:tcW w:w="113" w:type="pct"/>
            <w:vAlign w:val="center"/>
            <w:hideMark/>
          </w:tcPr>
          <w:p w14:paraId="12820F98" w14:textId="77777777" w:rsidR="00000000" w:rsidRDefault="00405D16">
            <w:pPr>
              <w:spacing w:after="100"/>
              <w:rPr>
                <w:rFonts w:eastAsia="Times New Roman"/>
                <w:sz w:val="20"/>
                <w:szCs w:val="20"/>
              </w:rPr>
            </w:pPr>
          </w:p>
        </w:tc>
        <w:tc>
          <w:tcPr>
            <w:tcW w:w="5" w:type="pct"/>
            <w:vAlign w:val="center"/>
            <w:hideMark/>
          </w:tcPr>
          <w:p w14:paraId="229CFB1C" w14:textId="77777777" w:rsidR="00000000" w:rsidRDefault="00405D16">
            <w:pPr>
              <w:spacing w:after="100"/>
              <w:rPr>
                <w:rFonts w:eastAsia="Times New Roman"/>
                <w:sz w:val="20"/>
                <w:szCs w:val="20"/>
              </w:rPr>
            </w:pPr>
          </w:p>
        </w:tc>
        <w:tc>
          <w:tcPr>
            <w:tcW w:w="50" w:type="pct"/>
            <w:vAlign w:val="center"/>
            <w:hideMark/>
          </w:tcPr>
          <w:p w14:paraId="7B5A202F" w14:textId="77777777" w:rsidR="00000000" w:rsidRDefault="00405D16">
            <w:pPr>
              <w:spacing w:after="100"/>
              <w:rPr>
                <w:rFonts w:eastAsia="Times New Roman"/>
                <w:sz w:val="20"/>
                <w:szCs w:val="20"/>
              </w:rPr>
            </w:pPr>
          </w:p>
        </w:tc>
        <w:tc>
          <w:tcPr>
            <w:tcW w:w="1802" w:type="pct"/>
            <w:vAlign w:val="center"/>
            <w:hideMark/>
          </w:tcPr>
          <w:p w14:paraId="4B91A20F" w14:textId="77777777" w:rsidR="00000000" w:rsidRDefault="00405D16">
            <w:pPr>
              <w:spacing w:after="100"/>
              <w:rPr>
                <w:rFonts w:eastAsia="Times New Roman"/>
                <w:sz w:val="20"/>
                <w:szCs w:val="20"/>
              </w:rPr>
            </w:pPr>
          </w:p>
        </w:tc>
        <w:tc>
          <w:tcPr>
            <w:tcW w:w="5" w:type="pct"/>
            <w:vAlign w:val="center"/>
            <w:hideMark/>
          </w:tcPr>
          <w:p w14:paraId="2D030460" w14:textId="77777777" w:rsidR="00000000" w:rsidRDefault="00405D16">
            <w:pPr>
              <w:spacing w:after="100"/>
              <w:rPr>
                <w:rFonts w:eastAsia="Times New Roman"/>
                <w:sz w:val="20"/>
                <w:szCs w:val="20"/>
              </w:rPr>
            </w:pPr>
          </w:p>
        </w:tc>
      </w:tr>
      <w:tr w:rsidR="00000000" w14:paraId="55211F41" w14:textId="77777777">
        <w:trPr>
          <w:divId w:val="1005521274"/>
          <w:jc w:val="center"/>
        </w:trPr>
        <w:tc>
          <w:tcPr>
            <w:tcW w:w="0" w:type="auto"/>
            <w:gridSpan w:val="6"/>
            <w:tcMar>
              <w:top w:w="30" w:type="dxa"/>
              <w:left w:w="20" w:type="dxa"/>
              <w:bottom w:w="30" w:type="dxa"/>
              <w:right w:w="20" w:type="dxa"/>
            </w:tcMar>
            <w:hideMark/>
          </w:tcPr>
          <w:p w14:paraId="07AF830D" w14:textId="77777777" w:rsidR="00000000" w:rsidRDefault="00405D16">
            <w:pPr>
              <w:spacing w:after="100"/>
              <w:jc w:val="center"/>
              <w:rPr>
                <w:rFonts w:eastAsia="Times New Roman"/>
              </w:rPr>
            </w:pPr>
            <w:r>
              <w:rPr>
                <w:rFonts w:eastAsia="Times New Roman"/>
                <w:b/>
                <w:bCs/>
                <w:color w:val="000000"/>
                <w:sz w:val="16"/>
                <w:szCs w:val="16"/>
              </w:rPr>
              <w:t>Delaware</w:t>
            </w:r>
          </w:p>
        </w:tc>
        <w:tc>
          <w:tcPr>
            <w:tcW w:w="0" w:type="auto"/>
            <w:gridSpan w:val="3"/>
            <w:tcMar>
              <w:top w:w="30" w:type="dxa"/>
              <w:left w:w="20" w:type="dxa"/>
              <w:bottom w:w="30" w:type="dxa"/>
              <w:right w:w="20" w:type="dxa"/>
            </w:tcMar>
            <w:vAlign w:val="bottom"/>
            <w:hideMark/>
          </w:tcPr>
          <w:p w14:paraId="73433A46"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751F843D" w14:textId="77777777" w:rsidR="00000000" w:rsidRDefault="00405D16">
            <w:pPr>
              <w:spacing w:after="100"/>
              <w:jc w:val="center"/>
              <w:rPr>
                <w:rFonts w:eastAsia="Times New Roman"/>
              </w:rPr>
            </w:pPr>
            <w:r>
              <w:rPr>
                <w:rFonts w:eastAsia="Times New Roman"/>
                <w:b/>
                <w:bCs/>
                <w:color w:val="000000"/>
                <w:sz w:val="16"/>
                <w:szCs w:val="16"/>
              </w:rPr>
              <w:t>54-1719854</w:t>
            </w:r>
          </w:p>
        </w:tc>
      </w:tr>
      <w:tr w:rsidR="00000000" w14:paraId="48661384" w14:textId="77777777">
        <w:trPr>
          <w:divId w:val="1005521274"/>
          <w:jc w:val="center"/>
        </w:trPr>
        <w:tc>
          <w:tcPr>
            <w:tcW w:w="0" w:type="auto"/>
            <w:gridSpan w:val="6"/>
            <w:tcMar>
              <w:top w:w="30" w:type="dxa"/>
              <w:left w:w="20" w:type="dxa"/>
              <w:bottom w:w="30" w:type="dxa"/>
              <w:right w:w="20" w:type="dxa"/>
            </w:tcMar>
            <w:vAlign w:val="bottom"/>
            <w:hideMark/>
          </w:tcPr>
          <w:p w14:paraId="72B8EDA2" w14:textId="77777777" w:rsidR="00000000" w:rsidRDefault="00405D16">
            <w:pPr>
              <w:spacing w:after="100"/>
              <w:jc w:val="center"/>
              <w:rPr>
                <w:rFonts w:eastAsia="Times New Roman"/>
              </w:rPr>
            </w:pPr>
            <w:r>
              <w:rPr>
                <w:rFonts w:eastAsia="Times New Roman"/>
                <w:b/>
                <w:bCs/>
                <w:color w:val="000000"/>
                <w:sz w:val="16"/>
                <w:szCs w:val="16"/>
              </w:rPr>
              <w:t>(State or other jurisdiction of incorporation or organization)</w:t>
            </w:r>
          </w:p>
        </w:tc>
        <w:tc>
          <w:tcPr>
            <w:tcW w:w="0" w:type="auto"/>
            <w:gridSpan w:val="3"/>
            <w:tcMar>
              <w:top w:w="30" w:type="dxa"/>
              <w:left w:w="20" w:type="dxa"/>
              <w:bottom w:w="30" w:type="dxa"/>
              <w:right w:w="20" w:type="dxa"/>
            </w:tcMar>
            <w:vAlign w:val="bottom"/>
            <w:hideMark/>
          </w:tcPr>
          <w:p w14:paraId="3B8144B5"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69359A1C" w14:textId="77777777" w:rsidR="00000000" w:rsidRDefault="00405D16">
            <w:pPr>
              <w:spacing w:after="100"/>
              <w:jc w:val="center"/>
              <w:rPr>
                <w:rFonts w:eastAsia="Times New Roman"/>
              </w:rPr>
            </w:pPr>
            <w:r>
              <w:rPr>
                <w:rFonts w:eastAsia="Times New Roman"/>
                <w:b/>
                <w:bCs/>
                <w:color w:val="000000"/>
                <w:sz w:val="16"/>
                <w:szCs w:val="16"/>
              </w:rPr>
              <w:t>(I.R.S. Employer Identification No.)</w:t>
            </w:r>
          </w:p>
        </w:tc>
      </w:tr>
      <w:tr w:rsidR="00000000" w14:paraId="3CFD570D" w14:textId="77777777">
        <w:trPr>
          <w:divId w:val="1005521274"/>
          <w:jc w:val="center"/>
        </w:trPr>
        <w:tc>
          <w:tcPr>
            <w:tcW w:w="0" w:type="auto"/>
            <w:gridSpan w:val="6"/>
            <w:tcMar>
              <w:top w:w="30" w:type="dxa"/>
              <w:left w:w="20" w:type="dxa"/>
              <w:bottom w:w="30" w:type="dxa"/>
              <w:right w:w="20" w:type="dxa"/>
            </w:tcMar>
            <w:vAlign w:val="bottom"/>
            <w:hideMark/>
          </w:tcPr>
          <w:p w14:paraId="0F0785A6" w14:textId="77777777" w:rsidR="00000000" w:rsidRDefault="00405D16">
            <w:pPr>
              <w:spacing w:after="100"/>
              <w:jc w:val="center"/>
              <w:rPr>
                <w:rFonts w:eastAsia="Times New Roman"/>
              </w:rPr>
            </w:pPr>
            <w:r>
              <w:rPr>
                <w:rFonts w:eastAsia="Times New Roman"/>
                <w:b/>
                <w:bCs/>
                <w:color w:val="000000"/>
                <w:sz w:val="16"/>
                <w:szCs w:val="16"/>
              </w:rPr>
              <w:t>1680 Capital One Drive,</w:t>
            </w:r>
          </w:p>
        </w:tc>
        <w:tc>
          <w:tcPr>
            <w:tcW w:w="0" w:type="auto"/>
            <w:gridSpan w:val="3"/>
            <w:tcMar>
              <w:top w:w="0" w:type="dxa"/>
              <w:left w:w="20" w:type="dxa"/>
              <w:bottom w:w="0" w:type="dxa"/>
              <w:right w:w="20" w:type="dxa"/>
            </w:tcMar>
            <w:vAlign w:val="center"/>
            <w:hideMark/>
          </w:tcPr>
          <w:p w14:paraId="2E9EEADA" w14:textId="77777777" w:rsidR="00000000" w:rsidRDefault="00405D1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1A473DB" w14:textId="77777777" w:rsidR="00000000" w:rsidRDefault="00405D16">
            <w:pPr>
              <w:spacing w:after="100"/>
              <w:rPr>
                <w:rFonts w:eastAsia="Times New Roman"/>
                <w:sz w:val="20"/>
                <w:szCs w:val="20"/>
              </w:rPr>
            </w:pPr>
          </w:p>
        </w:tc>
      </w:tr>
      <w:tr w:rsidR="00000000" w14:paraId="618B4074" w14:textId="77777777">
        <w:trPr>
          <w:divId w:val="1005521274"/>
          <w:jc w:val="center"/>
        </w:trPr>
        <w:tc>
          <w:tcPr>
            <w:tcW w:w="0" w:type="auto"/>
            <w:gridSpan w:val="3"/>
            <w:tcMar>
              <w:top w:w="30" w:type="dxa"/>
              <w:left w:w="20" w:type="dxa"/>
              <w:bottom w:w="30" w:type="dxa"/>
              <w:right w:w="20" w:type="dxa"/>
            </w:tcMar>
            <w:vAlign w:val="bottom"/>
            <w:hideMark/>
          </w:tcPr>
          <w:p w14:paraId="5E0153EE" w14:textId="77777777" w:rsidR="00000000" w:rsidRDefault="00405D16">
            <w:pPr>
              <w:spacing w:after="100"/>
              <w:jc w:val="right"/>
              <w:rPr>
                <w:rFonts w:eastAsia="Times New Roman"/>
              </w:rPr>
            </w:pPr>
            <w:r>
              <w:rPr>
                <w:rFonts w:eastAsia="Times New Roman"/>
                <w:b/>
                <w:bCs/>
                <w:color w:val="000000"/>
                <w:sz w:val="16"/>
                <w:szCs w:val="16"/>
              </w:rPr>
              <w:t>McLean,</w:t>
            </w:r>
          </w:p>
        </w:tc>
        <w:tc>
          <w:tcPr>
            <w:tcW w:w="0" w:type="auto"/>
            <w:gridSpan w:val="3"/>
            <w:tcMar>
              <w:top w:w="30" w:type="dxa"/>
              <w:left w:w="20" w:type="dxa"/>
              <w:bottom w:w="30" w:type="dxa"/>
              <w:right w:w="20" w:type="dxa"/>
            </w:tcMar>
            <w:vAlign w:val="bottom"/>
            <w:hideMark/>
          </w:tcPr>
          <w:p w14:paraId="73FDB2DD" w14:textId="77777777" w:rsidR="00000000" w:rsidRDefault="00405D16">
            <w:pPr>
              <w:spacing w:after="100"/>
              <w:rPr>
                <w:rFonts w:eastAsia="Times New Roman"/>
              </w:rPr>
            </w:pPr>
            <w:r>
              <w:rPr>
                <w:rFonts w:eastAsia="Times New Roman"/>
                <w:b/>
                <w:bCs/>
                <w:color w:val="000000"/>
                <w:sz w:val="16"/>
                <w:szCs w:val="16"/>
              </w:rPr>
              <w:t>Virginia</w:t>
            </w:r>
          </w:p>
        </w:tc>
        <w:tc>
          <w:tcPr>
            <w:tcW w:w="0" w:type="auto"/>
            <w:gridSpan w:val="3"/>
            <w:tcMar>
              <w:top w:w="30" w:type="dxa"/>
              <w:left w:w="20" w:type="dxa"/>
              <w:bottom w:w="30" w:type="dxa"/>
              <w:right w:w="20" w:type="dxa"/>
            </w:tcMar>
            <w:vAlign w:val="bottom"/>
            <w:hideMark/>
          </w:tcPr>
          <w:p w14:paraId="66C3CD95"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00B2AC5E" w14:textId="77777777" w:rsidR="00000000" w:rsidRDefault="00405D16">
            <w:pPr>
              <w:spacing w:after="100"/>
              <w:jc w:val="center"/>
              <w:rPr>
                <w:rFonts w:eastAsia="Times New Roman"/>
              </w:rPr>
            </w:pPr>
            <w:r>
              <w:rPr>
                <w:rFonts w:eastAsia="Times New Roman"/>
                <w:b/>
                <w:bCs/>
                <w:color w:val="000000"/>
                <w:sz w:val="16"/>
                <w:szCs w:val="16"/>
              </w:rPr>
              <w:t>22102</w:t>
            </w:r>
          </w:p>
        </w:tc>
      </w:tr>
      <w:tr w:rsidR="00000000" w14:paraId="6EC6C322" w14:textId="77777777">
        <w:trPr>
          <w:divId w:val="1005521274"/>
          <w:jc w:val="center"/>
        </w:trPr>
        <w:tc>
          <w:tcPr>
            <w:tcW w:w="0" w:type="auto"/>
            <w:gridSpan w:val="6"/>
            <w:tcMar>
              <w:top w:w="30" w:type="dxa"/>
              <w:left w:w="20" w:type="dxa"/>
              <w:bottom w:w="30" w:type="dxa"/>
              <w:right w:w="20" w:type="dxa"/>
            </w:tcMar>
            <w:hideMark/>
          </w:tcPr>
          <w:p w14:paraId="363485B9" w14:textId="77777777" w:rsidR="00000000" w:rsidRDefault="00405D16">
            <w:pPr>
              <w:spacing w:after="100"/>
              <w:jc w:val="center"/>
              <w:rPr>
                <w:rFonts w:eastAsia="Times New Roman"/>
              </w:rPr>
            </w:pPr>
            <w:r>
              <w:rPr>
                <w:rFonts w:eastAsia="Times New Roman"/>
                <w:b/>
                <w:bCs/>
                <w:color w:val="000000"/>
                <w:sz w:val="16"/>
                <w:szCs w:val="16"/>
              </w:rPr>
              <w:t>(Address of principal executive offices)</w:t>
            </w:r>
          </w:p>
        </w:tc>
        <w:tc>
          <w:tcPr>
            <w:tcW w:w="0" w:type="auto"/>
            <w:gridSpan w:val="3"/>
            <w:tcMar>
              <w:top w:w="30" w:type="dxa"/>
              <w:left w:w="20" w:type="dxa"/>
              <w:bottom w:w="30" w:type="dxa"/>
              <w:right w:w="20" w:type="dxa"/>
            </w:tcMar>
            <w:vAlign w:val="bottom"/>
            <w:hideMark/>
          </w:tcPr>
          <w:p w14:paraId="17FAD883"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0D50C5F3" w14:textId="77777777" w:rsidR="00000000" w:rsidRDefault="00405D16">
            <w:pPr>
              <w:spacing w:after="100"/>
              <w:jc w:val="center"/>
              <w:rPr>
                <w:rFonts w:eastAsia="Times New Roman"/>
              </w:rPr>
            </w:pPr>
            <w:r>
              <w:rPr>
                <w:rFonts w:eastAsia="Times New Roman"/>
                <w:b/>
                <w:bCs/>
                <w:color w:val="000000"/>
                <w:sz w:val="16"/>
                <w:szCs w:val="16"/>
              </w:rPr>
              <w:t>(Zip Code)</w:t>
            </w:r>
          </w:p>
        </w:tc>
      </w:tr>
    </w:tbl>
    <w:p w14:paraId="5A38D09B" w14:textId="77777777" w:rsidR="00000000" w:rsidRDefault="00405D16">
      <w:pPr>
        <w:jc w:val="center"/>
        <w:rPr>
          <w:rFonts w:eastAsia="Times New Roman"/>
        </w:rPr>
      </w:pPr>
      <w:r>
        <w:rPr>
          <w:rFonts w:eastAsia="Times New Roman"/>
          <w:b/>
          <w:bCs/>
          <w:color w:val="000000"/>
          <w:sz w:val="16"/>
          <w:szCs w:val="16"/>
        </w:rPr>
        <w:t>Registrant’s telephone number, including area code: (703) 720-1000</w:t>
      </w:r>
    </w:p>
    <w:p w14:paraId="50A7C1D2" w14:textId="77777777" w:rsidR="00000000" w:rsidRDefault="00405D16">
      <w:pPr>
        <w:jc w:val="center"/>
        <w:rPr>
          <w:rFonts w:eastAsia="Times New Roman"/>
        </w:rPr>
      </w:pPr>
      <w:r>
        <w:rPr>
          <w:rFonts w:eastAsia="Times New Roman"/>
          <w:b/>
          <w:bCs/>
          <w:color w:val="000000"/>
          <w:sz w:val="16"/>
          <w:szCs w:val="16"/>
        </w:rPr>
        <w:t>(Not Applicable)</w:t>
      </w:r>
    </w:p>
    <w:p w14:paraId="4EC36443" w14:textId="77777777" w:rsidR="00000000" w:rsidRDefault="00405D16">
      <w:pPr>
        <w:jc w:val="center"/>
        <w:rPr>
          <w:rFonts w:eastAsia="Times New Roman"/>
        </w:rPr>
      </w:pPr>
      <w:r>
        <w:rPr>
          <w:rFonts w:eastAsia="Times New Roman"/>
          <w:b/>
          <w:bCs/>
          <w:color w:val="000000"/>
          <w:sz w:val="16"/>
          <w:szCs w:val="16"/>
        </w:rPr>
        <w:t>(Former name, former address and former fiscal year, if changed since last report)</w:t>
      </w:r>
    </w:p>
    <w:p w14:paraId="38EA496A" w14:textId="77777777" w:rsidR="00000000" w:rsidRDefault="00405D16">
      <w:pPr>
        <w:jc w:val="center"/>
        <w:rPr>
          <w:rFonts w:eastAsia="Times New Roman"/>
        </w:rPr>
      </w:pPr>
      <w:r>
        <w:rPr>
          <w:rFonts w:eastAsia="Times New Roman"/>
          <w:color w:val="000000"/>
          <w:sz w:val="12"/>
          <w:szCs w:val="12"/>
        </w:rPr>
        <w:t>____________________________________</w:t>
      </w:r>
    </w:p>
    <w:p w14:paraId="0F0F30A4" w14:textId="77777777" w:rsidR="00000000" w:rsidRDefault="00405D16">
      <w:pPr>
        <w:jc w:val="center"/>
        <w:divId w:val="320617399"/>
        <w:rPr>
          <w:rFonts w:eastAsia="Times New Roman"/>
        </w:rPr>
      </w:pPr>
      <w:r>
        <w:rPr>
          <w:rFonts w:eastAsia="Times New Roman"/>
          <w:b/>
          <w:bCs/>
          <w:color w:val="000000"/>
          <w:sz w:val="16"/>
          <w:szCs w:val="16"/>
        </w:rPr>
        <w:t>Securities registered pursuant to Section 12(b) of the Act:</w:t>
      </w:r>
    </w:p>
    <w:tbl>
      <w:tblPr>
        <w:tblW w:w="4993" w:type="pct"/>
        <w:jc w:val="center"/>
        <w:tblCellMar>
          <w:top w:w="15" w:type="dxa"/>
          <w:left w:w="15" w:type="dxa"/>
          <w:bottom w:w="15" w:type="dxa"/>
          <w:right w:w="15" w:type="dxa"/>
        </w:tblCellMar>
        <w:tblLook w:val="04A0" w:firstRow="1" w:lastRow="0" w:firstColumn="1" w:lastColumn="0" w:noHBand="0" w:noVBand="1"/>
      </w:tblPr>
      <w:tblGrid>
        <w:gridCol w:w="50"/>
        <w:gridCol w:w="5201"/>
        <w:gridCol w:w="38"/>
        <w:gridCol w:w="89"/>
        <w:gridCol w:w="628"/>
        <w:gridCol w:w="36"/>
        <w:gridCol w:w="50"/>
        <w:gridCol w:w="2166"/>
        <w:gridCol w:w="36"/>
      </w:tblGrid>
      <w:tr w:rsidR="00000000" w14:paraId="54F7329E" w14:textId="77777777">
        <w:trPr>
          <w:jc w:val="center"/>
        </w:trPr>
        <w:tc>
          <w:tcPr>
            <w:tcW w:w="50" w:type="pct"/>
            <w:vAlign w:val="center"/>
            <w:hideMark/>
          </w:tcPr>
          <w:p w14:paraId="54C9C1D8" w14:textId="77777777" w:rsidR="00000000" w:rsidRDefault="00405D16">
            <w:pPr>
              <w:jc w:val="center"/>
              <w:rPr>
                <w:rFonts w:eastAsia="Times New Roman"/>
              </w:rPr>
            </w:pPr>
          </w:p>
        </w:tc>
        <w:tc>
          <w:tcPr>
            <w:tcW w:w="3154" w:type="pct"/>
            <w:vAlign w:val="center"/>
            <w:hideMark/>
          </w:tcPr>
          <w:p w14:paraId="5B1E5322" w14:textId="77777777" w:rsidR="00000000" w:rsidRDefault="00405D16">
            <w:pPr>
              <w:spacing w:after="100"/>
              <w:rPr>
                <w:rFonts w:eastAsia="Times New Roman"/>
                <w:sz w:val="20"/>
                <w:szCs w:val="20"/>
              </w:rPr>
            </w:pPr>
          </w:p>
        </w:tc>
        <w:tc>
          <w:tcPr>
            <w:tcW w:w="5" w:type="pct"/>
            <w:vAlign w:val="center"/>
            <w:hideMark/>
          </w:tcPr>
          <w:p w14:paraId="35682D1F" w14:textId="77777777" w:rsidR="00000000" w:rsidRDefault="00405D16">
            <w:pPr>
              <w:spacing w:after="100"/>
              <w:rPr>
                <w:rFonts w:eastAsia="Times New Roman"/>
                <w:sz w:val="20"/>
                <w:szCs w:val="20"/>
              </w:rPr>
            </w:pPr>
          </w:p>
        </w:tc>
        <w:tc>
          <w:tcPr>
            <w:tcW w:w="50" w:type="pct"/>
            <w:vAlign w:val="center"/>
            <w:hideMark/>
          </w:tcPr>
          <w:p w14:paraId="7897DC12" w14:textId="77777777" w:rsidR="00000000" w:rsidRDefault="00405D16">
            <w:pPr>
              <w:spacing w:after="100"/>
              <w:rPr>
                <w:rFonts w:eastAsia="Times New Roman"/>
                <w:sz w:val="20"/>
                <w:szCs w:val="20"/>
              </w:rPr>
            </w:pPr>
          </w:p>
        </w:tc>
        <w:tc>
          <w:tcPr>
            <w:tcW w:w="355" w:type="pct"/>
            <w:vAlign w:val="center"/>
            <w:hideMark/>
          </w:tcPr>
          <w:p w14:paraId="74E28843" w14:textId="77777777" w:rsidR="00000000" w:rsidRDefault="00405D16">
            <w:pPr>
              <w:spacing w:after="100"/>
              <w:rPr>
                <w:rFonts w:eastAsia="Times New Roman"/>
                <w:sz w:val="20"/>
                <w:szCs w:val="20"/>
              </w:rPr>
            </w:pPr>
          </w:p>
        </w:tc>
        <w:tc>
          <w:tcPr>
            <w:tcW w:w="5" w:type="pct"/>
            <w:vAlign w:val="center"/>
            <w:hideMark/>
          </w:tcPr>
          <w:p w14:paraId="31925792" w14:textId="77777777" w:rsidR="00000000" w:rsidRDefault="00405D16">
            <w:pPr>
              <w:spacing w:after="100"/>
              <w:rPr>
                <w:rFonts w:eastAsia="Times New Roman"/>
                <w:sz w:val="20"/>
                <w:szCs w:val="20"/>
              </w:rPr>
            </w:pPr>
          </w:p>
        </w:tc>
        <w:tc>
          <w:tcPr>
            <w:tcW w:w="50" w:type="pct"/>
            <w:vAlign w:val="center"/>
            <w:hideMark/>
          </w:tcPr>
          <w:p w14:paraId="56363ECD" w14:textId="77777777" w:rsidR="00000000" w:rsidRDefault="00405D16">
            <w:pPr>
              <w:spacing w:after="100"/>
              <w:rPr>
                <w:rFonts w:eastAsia="Times New Roman"/>
                <w:sz w:val="20"/>
                <w:szCs w:val="20"/>
              </w:rPr>
            </w:pPr>
          </w:p>
        </w:tc>
        <w:tc>
          <w:tcPr>
            <w:tcW w:w="1324" w:type="pct"/>
            <w:vAlign w:val="center"/>
            <w:hideMark/>
          </w:tcPr>
          <w:p w14:paraId="7A14123D" w14:textId="77777777" w:rsidR="00000000" w:rsidRDefault="00405D16">
            <w:pPr>
              <w:spacing w:after="100"/>
              <w:rPr>
                <w:rFonts w:eastAsia="Times New Roman"/>
                <w:sz w:val="20"/>
                <w:szCs w:val="20"/>
              </w:rPr>
            </w:pPr>
          </w:p>
        </w:tc>
        <w:tc>
          <w:tcPr>
            <w:tcW w:w="5" w:type="pct"/>
            <w:vAlign w:val="center"/>
            <w:hideMark/>
          </w:tcPr>
          <w:p w14:paraId="6F0CB135" w14:textId="77777777" w:rsidR="00000000" w:rsidRDefault="00405D16">
            <w:pPr>
              <w:spacing w:after="100"/>
              <w:rPr>
                <w:rFonts w:eastAsia="Times New Roman"/>
                <w:sz w:val="20"/>
                <w:szCs w:val="20"/>
              </w:rPr>
            </w:pPr>
          </w:p>
        </w:tc>
      </w:tr>
      <w:tr w:rsidR="00000000" w14:paraId="6576C31E" w14:textId="77777777">
        <w:trPr>
          <w:jc w:val="center"/>
        </w:trPr>
        <w:tc>
          <w:tcPr>
            <w:tcW w:w="0" w:type="auto"/>
            <w:gridSpan w:val="3"/>
            <w:tcMar>
              <w:top w:w="30" w:type="dxa"/>
              <w:left w:w="20" w:type="dxa"/>
              <w:bottom w:w="30" w:type="dxa"/>
              <w:right w:w="20" w:type="dxa"/>
            </w:tcMar>
            <w:vAlign w:val="bottom"/>
            <w:hideMark/>
          </w:tcPr>
          <w:p w14:paraId="2A5DB4B0" w14:textId="77777777" w:rsidR="00000000" w:rsidRDefault="00405D16">
            <w:pPr>
              <w:spacing w:after="100"/>
              <w:jc w:val="center"/>
              <w:rPr>
                <w:rFonts w:eastAsia="Times New Roman"/>
              </w:rPr>
            </w:pPr>
            <w:r>
              <w:rPr>
                <w:rFonts w:eastAsia="Times New Roman"/>
                <w:b/>
                <w:bCs/>
                <w:color w:val="000000"/>
                <w:sz w:val="16"/>
                <w:szCs w:val="16"/>
              </w:rPr>
              <w:t>Title of Each Class</w:t>
            </w:r>
          </w:p>
        </w:tc>
        <w:tc>
          <w:tcPr>
            <w:tcW w:w="0" w:type="auto"/>
            <w:gridSpan w:val="3"/>
            <w:tcMar>
              <w:top w:w="30" w:type="dxa"/>
              <w:left w:w="20" w:type="dxa"/>
              <w:bottom w:w="30" w:type="dxa"/>
              <w:right w:w="20" w:type="dxa"/>
            </w:tcMar>
            <w:vAlign w:val="bottom"/>
            <w:hideMark/>
          </w:tcPr>
          <w:p w14:paraId="67E97CE2" w14:textId="77777777" w:rsidR="00000000" w:rsidRDefault="00405D16">
            <w:pPr>
              <w:spacing w:after="100"/>
              <w:jc w:val="center"/>
              <w:rPr>
                <w:rFonts w:eastAsia="Times New Roman"/>
              </w:rPr>
            </w:pPr>
            <w:r>
              <w:rPr>
                <w:rFonts w:eastAsia="Times New Roman"/>
                <w:b/>
                <w:bCs/>
                <w:color w:val="000000"/>
                <w:sz w:val="16"/>
                <w:szCs w:val="16"/>
              </w:rPr>
              <w:t>Trading Symbol(s)</w:t>
            </w:r>
          </w:p>
        </w:tc>
        <w:tc>
          <w:tcPr>
            <w:tcW w:w="0" w:type="auto"/>
            <w:gridSpan w:val="3"/>
            <w:tcMar>
              <w:top w:w="30" w:type="dxa"/>
              <w:left w:w="20" w:type="dxa"/>
              <w:bottom w:w="30" w:type="dxa"/>
              <w:right w:w="20" w:type="dxa"/>
            </w:tcMar>
            <w:vAlign w:val="bottom"/>
            <w:hideMark/>
          </w:tcPr>
          <w:p w14:paraId="0368C5BE" w14:textId="77777777" w:rsidR="00000000" w:rsidRDefault="00405D16">
            <w:pPr>
              <w:spacing w:after="100"/>
              <w:jc w:val="center"/>
              <w:rPr>
                <w:rFonts w:eastAsia="Times New Roman"/>
              </w:rPr>
            </w:pPr>
            <w:r>
              <w:rPr>
                <w:rFonts w:eastAsia="Times New Roman"/>
                <w:b/>
                <w:bCs/>
                <w:color w:val="000000"/>
                <w:sz w:val="16"/>
                <w:szCs w:val="16"/>
              </w:rPr>
              <w:t>Name of Each Exchange on Which Registered</w:t>
            </w:r>
          </w:p>
        </w:tc>
      </w:tr>
      <w:tr w:rsidR="00000000" w14:paraId="1DA29CE0" w14:textId="77777777">
        <w:trPr>
          <w:jc w:val="center"/>
        </w:trPr>
        <w:tc>
          <w:tcPr>
            <w:tcW w:w="0" w:type="auto"/>
            <w:gridSpan w:val="3"/>
            <w:tcMar>
              <w:top w:w="30" w:type="dxa"/>
              <w:left w:w="20" w:type="dxa"/>
              <w:bottom w:w="30" w:type="dxa"/>
              <w:right w:w="20" w:type="dxa"/>
            </w:tcMar>
            <w:hideMark/>
          </w:tcPr>
          <w:p w14:paraId="18283F7A" w14:textId="77777777" w:rsidR="00000000" w:rsidRDefault="00405D16">
            <w:pPr>
              <w:spacing w:after="100"/>
              <w:jc w:val="center"/>
              <w:rPr>
                <w:rFonts w:eastAsia="Times New Roman"/>
              </w:rPr>
            </w:pPr>
            <w:r>
              <w:rPr>
                <w:rFonts w:eastAsia="Times New Roman"/>
                <w:color w:val="000000"/>
                <w:sz w:val="16"/>
                <w:szCs w:val="16"/>
              </w:rPr>
              <w:t>Common Stock (par value $.01 per share)</w:t>
            </w:r>
          </w:p>
        </w:tc>
        <w:tc>
          <w:tcPr>
            <w:tcW w:w="0" w:type="auto"/>
            <w:gridSpan w:val="3"/>
            <w:tcMar>
              <w:top w:w="30" w:type="dxa"/>
              <w:left w:w="20" w:type="dxa"/>
              <w:bottom w:w="30" w:type="dxa"/>
              <w:right w:w="20" w:type="dxa"/>
            </w:tcMar>
            <w:hideMark/>
          </w:tcPr>
          <w:p w14:paraId="5B17DC2C" w14:textId="77777777" w:rsidR="00000000" w:rsidRDefault="00405D16">
            <w:pPr>
              <w:spacing w:after="100"/>
              <w:jc w:val="center"/>
              <w:rPr>
                <w:rFonts w:eastAsia="Times New Roman"/>
              </w:rPr>
            </w:pPr>
            <w:r>
              <w:rPr>
                <w:rFonts w:eastAsia="Times New Roman"/>
                <w:color w:val="000000"/>
                <w:sz w:val="16"/>
                <w:szCs w:val="16"/>
              </w:rPr>
              <w:t>COF</w:t>
            </w:r>
          </w:p>
        </w:tc>
        <w:tc>
          <w:tcPr>
            <w:tcW w:w="0" w:type="auto"/>
            <w:gridSpan w:val="3"/>
            <w:tcMar>
              <w:top w:w="30" w:type="dxa"/>
              <w:left w:w="20" w:type="dxa"/>
              <w:bottom w:w="30" w:type="dxa"/>
              <w:right w:w="20" w:type="dxa"/>
            </w:tcMar>
            <w:hideMark/>
          </w:tcPr>
          <w:p w14:paraId="3D666E4F" w14:textId="77777777" w:rsidR="00000000" w:rsidRDefault="00405D16">
            <w:pPr>
              <w:spacing w:after="100"/>
              <w:jc w:val="center"/>
              <w:divId w:val="2145150288"/>
              <w:rPr>
                <w:rFonts w:eastAsia="Times New Roman"/>
              </w:rPr>
            </w:pPr>
            <w:r>
              <w:rPr>
                <w:rFonts w:eastAsia="Times New Roman"/>
                <w:color w:val="000000"/>
                <w:sz w:val="16"/>
                <w:szCs w:val="16"/>
              </w:rPr>
              <w:t>New York Stock Exchange</w:t>
            </w:r>
          </w:p>
        </w:tc>
      </w:tr>
      <w:tr w:rsidR="00000000" w14:paraId="72535BC3" w14:textId="77777777">
        <w:trPr>
          <w:jc w:val="center"/>
        </w:trPr>
        <w:tc>
          <w:tcPr>
            <w:tcW w:w="0" w:type="auto"/>
            <w:gridSpan w:val="3"/>
            <w:tcMar>
              <w:top w:w="30" w:type="dxa"/>
              <w:left w:w="20" w:type="dxa"/>
              <w:bottom w:w="30" w:type="dxa"/>
              <w:right w:w="20" w:type="dxa"/>
            </w:tcMar>
            <w:hideMark/>
          </w:tcPr>
          <w:p w14:paraId="0268FE7E" w14:textId="77777777" w:rsidR="00000000" w:rsidRDefault="00405D16">
            <w:pPr>
              <w:spacing w:after="100"/>
              <w:jc w:val="center"/>
              <w:rPr>
                <w:rFonts w:eastAsia="Times New Roman"/>
              </w:rPr>
            </w:pPr>
            <w:r>
              <w:rPr>
                <w:rFonts w:eastAsia="Times New Roman"/>
                <w:color w:val="000000"/>
                <w:sz w:val="16"/>
                <w:szCs w:val="16"/>
              </w:rPr>
              <w:t>Depositary Shares, Each Representing a 1/40th Interest in a Share of Fixed Rate Non-Cumulative Perpetual Preferred Stock, Series G</w:t>
            </w:r>
          </w:p>
        </w:tc>
        <w:tc>
          <w:tcPr>
            <w:tcW w:w="0" w:type="auto"/>
            <w:gridSpan w:val="3"/>
            <w:tcMar>
              <w:top w:w="30" w:type="dxa"/>
              <w:left w:w="20" w:type="dxa"/>
              <w:bottom w:w="30" w:type="dxa"/>
              <w:right w:w="20" w:type="dxa"/>
            </w:tcMar>
            <w:hideMark/>
          </w:tcPr>
          <w:p w14:paraId="10F7D555" w14:textId="77777777" w:rsidR="00000000" w:rsidRDefault="00405D16">
            <w:pPr>
              <w:spacing w:after="100"/>
              <w:jc w:val="center"/>
              <w:rPr>
                <w:rFonts w:eastAsia="Times New Roman"/>
              </w:rPr>
            </w:pPr>
            <w:r>
              <w:rPr>
                <w:rFonts w:eastAsia="Times New Roman"/>
                <w:color w:val="000000"/>
                <w:sz w:val="16"/>
                <w:szCs w:val="16"/>
              </w:rPr>
              <w:t>COF PRG</w:t>
            </w:r>
          </w:p>
        </w:tc>
        <w:tc>
          <w:tcPr>
            <w:tcW w:w="0" w:type="auto"/>
            <w:gridSpan w:val="3"/>
            <w:tcMar>
              <w:top w:w="30" w:type="dxa"/>
              <w:left w:w="20" w:type="dxa"/>
              <w:bottom w:w="30" w:type="dxa"/>
              <w:right w:w="20" w:type="dxa"/>
            </w:tcMar>
            <w:hideMark/>
          </w:tcPr>
          <w:p w14:paraId="0EBFE225" w14:textId="77777777" w:rsidR="00000000" w:rsidRDefault="00405D16">
            <w:pPr>
              <w:spacing w:after="100"/>
              <w:jc w:val="center"/>
              <w:divId w:val="1182352317"/>
              <w:rPr>
                <w:rFonts w:eastAsia="Times New Roman"/>
              </w:rPr>
            </w:pPr>
            <w:r>
              <w:rPr>
                <w:rFonts w:eastAsia="Times New Roman"/>
                <w:color w:val="000000"/>
                <w:sz w:val="16"/>
                <w:szCs w:val="16"/>
              </w:rPr>
              <w:t>New York Stock Exchange</w:t>
            </w:r>
          </w:p>
        </w:tc>
      </w:tr>
      <w:tr w:rsidR="00000000" w14:paraId="15E682A8" w14:textId="77777777">
        <w:trPr>
          <w:jc w:val="center"/>
        </w:trPr>
        <w:tc>
          <w:tcPr>
            <w:tcW w:w="0" w:type="auto"/>
            <w:gridSpan w:val="3"/>
            <w:tcMar>
              <w:top w:w="30" w:type="dxa"/>
              <w:left w:w="20" w:type="dxa"/>
              <w:bottom w:w="30" w:type="dxa"/>
              <w:right w:w="20" w:type="dxa"/>
            </w:tcMar>
            <w:hideMark/>
          </w:tcPr>
          <w:p w14:paraId="02F43C22" w14:textId="77777777" w:rsidR="00000000" w:rsidRDefault="00405D16">
            <w:pPr>
              <w:spacing w:after="100"/>
              <w:jc w:val="center"/>
              <w:rPr>
                <w:rFonts w:eastAsia="Times New Roman"/>
              </w:rPr>
            </w:pPr>
            <w:r>
              <w:rPr>
                <w:rFonts w:eastAsia="Times New Roman"/>
                <w:color w:val="000000"/>
                <w:sz w:val="16"/>
                <w:szCs w:val="16"/>
              </w:rPr>
              <w:t>Depositary Shares, Each Representing a 1/40th Interest in a Share of Fixed Rate Non-Cu</w:t>
            </w:r>
            <w:r>
              <w:rPr>
                <w:rFonts w:eastAsia="Times New Roman"/>
                <w:color w:val="000000"/>
                <w:sz w:val="16"/>
                <w:szCs w:val="16"/>
              </w:rPr>
              <w:t>mulative Perpetual Preferred Stock, Series H</w:t>
            </w:r>
          </w:p>
        </w:tc>
        <w:tc>
          <w:tcPr>
            <w:tcW w:w="0" w:type="auto"/>
            <w:gridSpan w:val="3"/>
            <w:tcMar>
              <w:top w:w="30" w:type="dxa"/>
              <w:left w:w="20" w:type="dxa"/>
              <w:bottom w:w="30" w:type="dxa"/>
              <w:right w:w="20" w:type="dxa"/>
            </w:tcMar>
            <w:hideMark/>
          </w:tcPr>
          <w:p w14:paraId="6EB3943A" w14:textId="77777777" w:rsidR="00000000" w:rsidRDefault="00405D16">
            <w:pPr>
              <w:spacing w:after="100"/>
              <w:jc w:val="center"/>
              <w:rPr>
                <w:rFonts w:eastAsia="Times New Roman"/>
              </w:rPr>
            </w:pPr>
            <w:r>
              <w:rPr>
                <w:rFonts w:eastAsia="Times New Roman"/>
                <w:color w:val="000000"/>
                <w:sz w:val="16"/>
                <w:szCs w:val="16"/>
              </w:rPr>
              <w:t>COF PRH</w:t>
            </w:r>
          </w:p>
        </w:tc>
        <w:tc>
          <w:tcPr>
            <w:tcW w:w="0" w:type="auto"/>
            <w:gridSpan w:val="3"/>
            <w:tcMar>
              <w:top w:w="30" w:type="dxa"/>
              <w:left w:w="20" w:type="dxa"/>
              <w:bottom w:w="30" w:type="dxa"/>
              <w:right w:w="20" w:type="dxa"/>
            </w:tcMar>
            <w:hideMark/>
          </w:tcPr>
          <w:p w14:paraId="7A4A77E5" w14:textId="77777777" w:rsidR="00000000" w:rsidRDefault="00405D16">
            <w:pPr>
              <w:spacing w:after="100"/>
              <w:jc w:val="center"/>
              <w:divId w:val="1167592714"/>
              <w:rPr>
                <w:rFonts w:eastAsia="Times New Roman"/>
              </w:rPr>
            </w:pPr>
            <w:r>
              <w:rPr>
                <w:rFonts w:eastAsia="Times New Roman"/>
                <w:color w:val="000000"/>
                <w:sz w:val="16"/>
                <w:szCs w:val="16"/>
              </w:rPr>
              <w:t>New York Stock Exchange</w:t>
            </w:r>
          </w:p>
        </w:tc>
      </w:tr>
      <w:tr w:rsidR="00000000" w14:paraId="20C88277" w14:textId="77777777">
        <w:trPr>
          <w:jc w:val="center"/>
        </w:trPr>
        <w:tc>
          <w:tcPr>
            <w:tcW w:w="0" w:type="auto"/>
            <w:gridSpan w:val="3"/>
            <w:tcMar>
              <w:top w:w="30" w:type="dxa"/>
              <w:left w:w="20" w:type="dxa"/>
              <w:bottom w:w="30" w:type="dxa"/>
              <w:right w:w="20" w:type="dxa"/>
            </w:tcMar>
            <w:hideMark/>
          </w:tcPr>
          <w:p w14:paraId="472F2140" w14:textId="77777777" w:rsidR="00000000" w:rsidRDefault="00405D16">
            <w:pPr>
              <w:spacing w:after="100"/>
              <w:jc w:val="center"/>
              <w:rPr>
                <w:rFonts w:eastAsia="Times New Roman"/>
              </w:rPr>
            </w:pPr>
            <w:r>
              <w:rPr>
                <w:rFonts w:eastAsia="Times New Roman"/>
                <w:color w:val="000000"/>
                <w:sz w:val="16"/>
                <w:szCs w:val="16"/>
              </w:rPr>
              <w:t>Depositary Shares, Each Representing a 1/40th Interest in a Share of Fixed Rate Non-Cumulative Perpetual Preferred Stock, Series I</w:t>
            </w:r>
          </w:p>
        </w:tc>
        <w:tc>
          <w:tcPr>
            <w:tcW w:w="0" w:type="auto"/>
            <w:gridSpan w:val="3"/>
            <w:tcMar>
              <w:top w:w="30" w:type="dxa"/>
              <w:left w:w="20" w:type="dxa"/>
              <w:bottom w:w="30" w:type="dxa"/>
              <w:right w:w="20" w:type="dxa"/>
            </w:tcMar>
            <w:hideMark/>
          </w:tcPr>
          <w:p w14:paraId="761B7342" w14:textId="77777777" w:rsidR="00000000" w:rsidRDefault="00405D16">
            <w:pPr>
              <w:spacing w:after="100"/>
              <w:jc w:val="center"/>
              <w:rPr>
                <w:rFonts w:eastAsia="Times New Roman"/>
              </w:rPr>
            </w:pPr>
            <w:r>
              <w:rPr>
                <w:rFonts w:eastAsia="Times New Roman"/>
                <w:color w:val="000000"/>
                <w:sz w:val="16"/>
                <w:szCs w:val="16"/>
              </w:rPr>
              <w:t>COF PRI</w:t>
            </w:r>
          </w:p>
        </w:tc>
        <w:tc>
          <w:tcPr>
            <w:tcW w:w="0" w:type="auto"/>
            <w:gridSpan w:val="3"/>
            <w:tcMar>
              <w:top w:w="30" w:type="dxa"/>
              <w:left w:w="20" w:type="dxa"/>
              <w:bottom w:w="30" w:type="dxa"/>
              <w:right w:w="20" w:type="dxa"/>
            </w:tcMar>
            <w:hideMark/>
          </w:tcPr>
          <w:p w14:paraId="1621911B" w14:textId="77777777" w:rsidR="00000000" w:rsidRDefault="00405D16">
            <w:pPr>
              <w:spacing w:after="100"/>
              <w:jc w:val="center"/>
              <w:divId w:val="1325746579"/>
              <w:rPr>
                <w:rFonts w:eastAsia="Times New Roman"/>
              </w:rPr>
            </w:pPr>
            <w:r>
              <w:rPr>
                <w:rFonts w:eastAsia="Times New Roman"/>
                <w:color w:val="000000"/>
                <w:sz w:val="16"/>
                <w:szCs w:val="16"/>
              </w:rPr>
              <w:t>New York Stock Exchange</w:t>
            </w:r>
          </w:p>
        </w:tc>
      </w:tr>
      <w:tr w:rsidR="00000000" w14:paraId="371F1A85" w14:textId="77777777">
        <w:trPr>
          <w:jc w:val="center"/>
        </w:trPr>
        <w:tc>
          <w:tcPr>
            <w:tcW w:w="0" w:type="auto"/>
            <w:gridSpan w:val="3"/>
            <w:tcMar>
              <w:top w:w="30" w:type="dxa"/>
              <w:left w:w="20" w:type="dxa"/>
              <w:bottom w:w="30" w:type="dxa"/>
              <w:right w:w="20" w:type="dxa"/>
            </w:tcMar>
            <w:hideMark/>
          </w:tcPr>
          <w:p w14:paraId="4741D7E9" w14:textId="77777777" w:rsidR="00000000" w:rsidRDefault="00405D16">
            <w:pPr>
              <w:spacing w:after="100"/>
              <w:jc w:val="center"/>
              <w:rPr>
                <w:rFonts w:eastAsia="Times New Roman"/>
              </w:rPr>
            </w:pPr>
            <w:r>
              <w:rPr>
                <w:rFonts w:eastAsia="Times New Roman"/>
                <w:color w:val="000000"/>
                <w:sz w:val="16"/>
                <w:szCs w:val="16"/>
              </w:rPr>
              <w:t>Depositary Shares, Each Representing a 1/40th Interest in a Share of Fixed Rate Non-Cumulative Perpetual Preferred Stock, Series J</w:t>
            </w:r>
          </w:p>
        </w:tc>
        <w:tc>
          <w:tcPr>
            <w:tcW w:w="0" w:type="auto"/>
            <w:gridSpan w:val="3"/>
            <w:tcMar>
              <w:top w:w="30" w:type="dxa"/>
              <w:left w:w="20" w:type="dxa"/>
              <w:bottom w:w="30" w:type="dxa"/>
              <w:right w:w="20" w:type="dxa"/>
            </w:tcMar>
            <w:hideMark/>
          </w:tcPr>
          <w:p w14:paraId="4404E6D4" w14:textId="77777777" w:rsidR="00000000" w:rsidRDefault="00405D16">
            <w:pPr>
              <w:spacing w:after="100"/>
              <w:jc w:val="center"/>
              <w:rPr>
                <w:rFonts w:eastAsia="Times New Roman"/>
              </w:rPr>
            </w:pPr>
            <w:r>
              <w:rPr>
                <w:rFonts w:eastAsia="Times New Roman"/>
                <w:color w:val="000000"/>
                <w:sz w:val="16"/>
                <w:szCs w:val="16"/>
              </w:rPr>
              <w:t>COF PRJ</w:t>
            </w:r>
          </w:p>
        </w:tc>
        <w:tc>
          <w:tcPr>
            <w:tcW w:w="0" w:type="auto"/>
            <w:gridSpan w:val="3"/>
            <w:tcMar>
              <w:top w:w="30" w:type="dxa"/>
              <w:left w:w="20" w:type="dxa"/>
              <w:bottom w:w="30" w:type="dxa"/>
              <w:right w:w="20" w:type="dxa"/>
            </w:tcMar>
            <w:hideMark/>
          </w:tcPr>
          <w:p w14:paraId="0B181D0C" w14:textId="77777777" w:rsidR="00000000" w:rsidRDefault="00405D16">
            <w:pPr>
              <w:spacing w:after="100"/>
              <w:jc w:val="center"/>
              <w:divId w:val="671565700"/>
              <w:rPr>
                <w:rFonts w:eastAsia="Times New Roman"/>
              </w:rPr>
            </w:pPr>
            <w:r>
              <w:rPr>
                <w:rFonts w:eastAsia="Times New Roman"/>
                <w:color w:val="000000"/>
                <w:sz w:val="16"/>
                <w:szCs w:val="16"/>
              </w:rPr>
              <w:t>New York Stock Exchange</w:t>
            </w:r>
          </w:p>
        </w:tc>
      </w:tr>
      <w:tr w:rsidR="00000000" w14:paraId="4F3F2A7E" w14:textId="77777777">
        <w:trPr>
          <w:jc w:val="center"/>
        </w:trPr>
        <w:tc>
          <w:tcPr>
            <w:tcW w:w="0" w:type="auto"/>
            <w:gridSpan w:val="3"/>
            <w:tcMar>
              <w:top w:w="30" w:type="dxa"/>
              <w:left w:w="20" w:type="dxa"/>
              <w:bottom w:w="30" w:type="dxa"/>
              <w:right w:w="20" w:type="dxa"/>
            </w:tcMar>
            <w:hideMark/>
          </w:tcPr>
          <w:p w14:paraId="3F492CE5" w14:textId="77777777" w:rsidR="00000000" w:rsidRDefault="00405D16">
            <w:pPr>
              <w:spacing w:after="100"/>
              <w:jc w:val="center"/>
              <w:rPr>
                <w:rFonts w:eastAsia="Times New Roman"/>
              </w:rPr>
            </w:pPr>
            <w:r>
              <w:rPr>
                <w:rFonts w:eastAsia="Times New Roman"/>
                <w:color w:val="000000"/>
                <w:sz w:val="16"/>
                <w:szCs w:val="16"/>
              </w:rPr>
              <w:t>Depositary Shares, Each Representing a 1/40th Interest in a</w:t>
            </w:r>
            <w:r>
              <w:rPr>
                <w:rFonts w:eastAsia="Times New Roman"/>
                <w:color w:val="000000"/>
                <w:sz w:val="16"/>
                <w:szCs w:val="16"/>
              </w:rPr>
              <w:t xml:space="preserve"> Share of Fixed Rate Non-Cumulative Perpetual Preferred Stock, Series K</w:t>
            </w:r>
          </w:p>
        </w:tc>
        <w:tc>
          <w:tcPr>
            <w:tcW w:w="0" w:type="auto"/>
            <w:gridSpan w:val="3"/>
            <w:tcMar>
              <w:top w:w="30" w:type="dxa"/>
              <w:left w:w="20" w:type="dxa"/>
              <w:bottom w:w="30" w:type="dxa"/>
              <w:right w:w="20" w:type="dxa"/>
            </w:tcMar>
            <w:hideMark/>
          </w:tcPr>
          <w:p w14:paraId="754C1917" w14:textId="77777777" w:rsidR="00000000" w:rsidRDefault="00405D16">
            <w:pPr>
              <w:spacing w:after="100"/>
              <w:jc w:val="center"/>
              <w:rPr>
                <w:rFonts w:eastAsia="Times New Roman"/>
              </w:rPr>
            </w:pPr>
            <w:r>
              <w:rPr>
                <w:rFonts w:eastAsia="Times New Roman"/>
                <w:color w:val="000000"/>
                <w:sz w:val="16"/>
                <w:szCs w:val="16"/>
              </w:rPr>
              <w:t>COF PRK</w:t>
            </w:r>
          </w:p>
        </w:tc>
        <w:tc>
          <w:tcPr>
            <w:tcW w:w="0" w:type="auto"/>
            <w:gridSpan w:val="3"/>
            <w:tcMar>
              <w:top w:w="30" w:type="dxa"/>
              <w:left w:w="20" w:type="dxa"/>
              <w:bottom w:w="30" w:type="dxa"/>
              <w:right w:w="20" w:type="dxa"/>
            </w:tcMar>
            <w:hideMark/>
          </w:tcPr>
          <w:p w14:paraId="036B87A3" w14:textId="77777777" w:rsidR="00000000" w:rsidRDefault="00405D16">
            <w:pPr>
              <w:spacing w:after="100"/>
              <w:jc w:val="center"/>
              <w:divId w:val="652948980"/>
              <w:rPr>
                <w:rFonts w:eastAsia="Times New Roman"/>
              </w:rPr>
            </w:pPr>
            <w:r>
              <w:rPr>
                <w:rFonts w:eastAsia="Times New Roman"/>
                <w:color w:val="000000"/>
                <w:sz w:val="16"/>
                <w:szCs w:val="16"/>
              </w:rPr>
              <w:t>New York Stock Exchange</w:t>
            </w:r>
          </w:p>
        </w:tc>
      </w:tr>
      <w:tr w:rsidR="00000000" w14:paraId="3A0DBB4C" w14:textId="77777777">
        <w:trPr>
          <w:jc w:val="center"/>
        </w:trPr>
        <w:tc>
          <w:tcPr>
            <w:tcW w:w="0" w:type="auto"/>
            <w:gridSpan w:val="3"/>
            <w:tcMar>
              <w:top w:w="30" w:type="dxa"/>
              <w:left w:w="20" w:type="dxa"/>
              <w:bottom w:w="30" w:type="dxa"/>
              <w:right w:w="20" w:type="dxa"/>
            </w:tcMar>
            <w:hideMark/>
          </w:tcPr>
          <w:p w14:paraId="454DF90B" w14:textId="77777777" w:rsidR="00000000" w:rsidRDefault="00405D16">
            <w:pPr>
              <w:spacing w:after="100"/>
              <w:jc w:val="center"/>
              <w:rPr>
                <w:rFonts w:eastAsia="Times New Roman"/>
              </w:rPr>
            </w:pPr>
            <w:r>
              <w:rPr>
                <w:rFonts w:eastAsia="Times New Roman"/>
                <w:color w:val="000000"/>
                <w:sz w:val="16"/>
                <w:szCs w:val="16"/>
              </w:rPr>
              <w:t>Depositary Shares, Each Representing a 1/40th Interest in a Share of Fixed Rate Non-Cumulative Perpetual Preferred Stock, Series L</w:t>
            </w:r>
          </w:p>
        </w:tc>
        <w:tc>
          <w:tcPr>
            <w:tcW w:w="0" w:type="auto"/>
            <w:gridSpan w:val="3"/>
            <w:tcMar>
              <w:top w:w="30" w:type="dxa"/>
              <w:left w:w="20" w:type="dxa"/>
              <w:bottom w:w="30" w:type="dxa"/>
              <w:right w:w="20" w:type="dxa"/>
            </w:tcMar>
            <w:hideMark/>
          </w:tcPr>
          <w:p w14:paraId="5B57E998" w14:textId="77777777" w:rsidR="00000000" w:rsidRDefault="00405D16">
            <w:pPr>
              <w:spacing w:after="100"/>
              <w:jc w:val="center"/>
              <w:rPr>
                <w:rFonts w:eastAsia="Times New Roman"/>
              </w:rPr>
            </w:pPr>
            <w:r>
              <w:rPr>
                <w:rFonts w:eastAsia="Times New Roman"/>
                <w:color w:val="000000"/>
                <w:sz w:val="16"/>
                <w:szCs w:val="16"/>
              </w:rPr>
              <w:t>COF PRL</w:t>
            </w:r>
          </w:p>
        </w:tc>
        <w:tc>
          <w:tcPr>
            <w:tcW w:w="0" w:type="auto"/>
            <w:gridSpan w:val="3"/>
            <w:tcMar>
              <w:top w:w="30" w:type="dxa"/>
              <w:left w:w="20" w:type="dxa"/>
              <w:bottom w:w="30" w:type="dxa"/>
              <w:right w:w="20" w:type="dxa"/>
            </w:tcMar>
            <w:hideMark/>
          </w:tcPr>
          <w:p w14:paraId="56A95AD0" w14:textId="77777777" w:rsidR="00000000" w:rsidRDefault="00405D16">
            <w:pPr>
              <w:spacing w:after="100"/>
              <w:jc w:val="center"/>
              <w:divId w:val="2048486728"/>
              <w:rPr>
                <w:rFonts w:eastAsia="Times New Roman"/>
              </w:rPr>
            </w:pPr>
            <w:r>
              <w:rPr>
                <w:rFonts w:eastAsia="Times New Roman"/>
                <w:color w:val="000000"/>
                <w:sz w:val="16"/>
                <w:szCs w:val="16"/>
              </w:rPr>
              <w:t>New York Stock Exchange</w:t>
            </w:r>
          </w:p>
        </w:tc>
      </w:tr>
      <w:tr w:rsidR="00000000" w14:paraId="2B5D39FA" w14:textId="77777777">
        <w:trPr>
          <w:jc w:val="center"/>
        </w:trPr>
        <w:tc>
          <w:tcPr>
            <w:tcW w:w="0" w:type="auto"/>
            <w:gridSpan w:val="3"/>
            <w:tcMar>
              <w:top w:w="30" w:type="dxa"/>
              <w:left w:w="20" w:type="dxa"/>
              <w:bottom w:w="30" w:type="dxa"/>
              <w:right w:w="20" w:type="dxa"/>
            </w:tcMar>
            <w:hideMark/>
          </w:tcPr>
          <w:p w14:paraId="3BD7355E" w14:textId="77777777" w:rsidR="00000000" w:rsidRDefault="00405D16">
            <w:pPr>
              <w:spacing w:after="100"/>
              <w:jc w:val="center"/>
              <w:rPr>
                <w:rFonts w:eastAsia="Times New Roman"/>
              </w:rPr>
            </w:pPr>
            <w:r>
              <w:rPr>
                <w:rFonts w:eastAsia="Times New Roman"/>
                <w:color w:val="000000"/>
                <w:sz w:val="16"/>
                <w:szCs w:val="16"/>
              </w:rPr>
              <w:t>Depositary Shares, Each Representing a 1/40th Interest in a Share of Fixed Rate Non-Cu</w:t>
            </w:r>
            <w:r>
              <w:rPr>
                <w:rFonts w:eastAsia="Times New Roman"/>
                <w:color w:val="000000"/>
                <w:sz w:val="16"/>
                <w:szCs w:val="16"/>
              </w:rPr>
              <w:t>mulative Perpetual Preferred Stock, Series N</w:t>
            </w:r>
          </w:p>
        </w:tc>
        <w:tc>
          <w:tcPr>
            <w:tcW w:w="0" w:type="auto"/>
            <w:gridSpan w:val="3"/>
            <w:tcMar>
              <w:top w:w="30" w:type="dxa"/>
              <w:left w:w="20" w:type="dxa"/>
              <w:bottom w:w="30" w:type="dxa"/>
              <w:right w:w="20" w:type="dxa"/>
            </w:tcMar>
            <w:hideMark/>
          </w:tcPr>
          <w:p w14:paraId="4A271A0F" w14:textId="77777777" w:rsidR="00000000" w:rsidRDefault="00405D16">
            <w:pPr>
              <w:spacing w:after="100"/>
              <w:jc w:val="center"/>
              <w:rPr>
                <w:rFonts w:eastAsia="Times New Roman"/>
              </w:rPr>
            </w:pPr>
            <w:r>
              <w:rPr>
                <w:rFonts w:eastAsia="Times New Roman"/>
                <w:color w:val="000000"/>
                <w:sz w:val="16"/>
                <w:szCs w:val="16"/>
              </w:rPr>
              <w:t>COF PRN</w:t>
            </w:r>
          </w:p>
        </w:tc>
        <w:tc>
          <w:tcPr>
            <w:tcW w:w="0" w:type="auto"/>
            <w:gridSpan w:val="3"/>
            <w:tcMar>
              <w:top w:w="30" w:type="dxa"/>
              <w:left w:w="20" w:type="dxa"/>
              <w:bottom w:w="30" w:type="dxa"/>
              <w:right w:w="20" w:type="dxa"/>
            </w:tcMar>
            <w:hideMark/>
          </w:tcPr>
          <w:p w14:paraId="591F9328" w14:textId="77777777" w:rsidR="00000000" w:rsidRDefault="00405D16">
            <w:pPr>
              <w:spacing w:after="100"/>
              <w:jc w:val="center"/>
              <w:divId w:val="334038061"/>
              <w:rPr>
                <w:rFonts w:eastAsia="Times New Roman"/>
              </w:rPr>
            </w:pPr>
            <w:r>
              <w:rPr>
                <w:rFonts w:eastAsia="Times New Roman"/>
                <w:color w:val="000000"/>
                <w:sz w:val="16"/>
                <w:szCs w:val="16"/>
              </w:rPr>
              <w:t>New York Stock Exchange</w:t>
            </w:r>
          </w:p>
        </w:tc>
      </w:tr>
      <w:tr w:rsidR="00000000" w14:paraId="3217B1B1" w14:textId="77777777">
        <w:trPr>
          <w:jc w:val="center"/>
        </w:trPr>
        <w:tc>
          <w:tcPr>
            <w:tcW w:w="0" w:type="auto"/>
            <w:gridSpan w:val="3"/>
            <w:tcMar>
              <w:top w:w="30" w:type="dxa"/>
              <w:left w:w="20" w:type="dxa"/>
              <w:bottom w:w="30" w:type="dxa"/>
              <w:right w:w="20" w:type="dxa"/>
            </w:tcMar>
            <w:hideMark/>
          </w:tcPr>
          <w:p w14:paraId="3285FA7F" w14:textId="77777777" w:rsidR="00000000" w:rsidRDefault="00405D16">
            <w:pPr>
              <w:spacing w:after="100"/>
              <w:jc w:val="center"/>
              <w:rPr>
                <w:rFonts w:eastAsia="Times New Roman"/>
              </w:rPr>
            </w:pPr>
            <w:r>
              <w:rPr>
                <w:rFonts w:eastAsia="Times New Roman"/>
                <w:color w:val="000000"/>
                <w:sz w:val="16"/>
                <w:szCs w:val="16"/>
              </w:rPr>
              <w:t>0.800% Senior Notes Due 2024</w:t>
            </w:r>
          </w:p>
        </w:tc>
        <w:tc>
          <w:tcPr>
            <w:tcW w:w="0" w:type="auto"/>
            <w:gridSpan w:val="3"/>
            <w:tcMar>
              <w:top w:w="30" w:type="dxa"/>
              <w:left w:w="20" w:type="dxa"/>
              <w:bottom w:w="30" w:type="dxa"/>
              <w:right w:w="20" w:type="dxa"/>
            </w:tcMar>
            <w:hideMark/>
          </w:tcPr>
          <w:p w14:paraId="58E7A956" w14:textId="77777777" w:rsidR="00000000" w:rsidRDefault="00405D16">
            <w:pPr>
              <w:spacing w:after="100"/>
              <w:jc w:val="center"/>
              <w:rPr>
                <w:rFonts w:eastAsia="Times New Roman"/>
              </w:rPr>
            </w:pPr>
            <w:r>
              <w:rPr>
                <w:rFonts w:eastAsia="Times New Roman"/>
                <w:color w:val="000000"/>
                <w:sz w:val="16"/>
                <w:szCs w:val="16"/>
              </w:rPr>
              <w:t>COF24</w:t>
            </w:r>
          </w:p>
        </w:tc>
        <w:tc>
          <w:tcPr>
            <w:tcW w:w="0" w:type="auto"/>
            <w:gridSpan w:val="3"/>
            <w:tcMar>
              <w:top w:w="30" w:type="dxa"/>
              <w:left w:w="20" w:type="dxa"/>
              <w:bottom w:w="30" w:type="dxa"/>
              <w:right w:w="20" w:type="dxa"/>
            </w:tcMar>
            <w:hideMark/>
          </w:tcPr>
          <w:p w14:paraId="4A5821DB" w14:textId="77777777" w:rsidR="00000000" w:rsidRDefault="00405D16">
            <w:pPr>
              <w:spacing w:after="100"/>
              <w:jc w:val="center"/>
              <w:divId w:val="1251354803"/>
              <w:rPr>
                <w:rFonts w:eastAsia="Times New Roman"/>
              </w:rPr>
            </w:pPr>
            <w:r>
              <w:rPr>
                <w:rFonts w:eastAsia="Times New Roman"/>
                <w:color w:val="000000"/>
                <w:sz w:val="16"/>
                <w:szCs w:val="16"/>
              </w:rPr>
              <w:t>New York Stock Exchange</w:t>
            </w:r>
          </w:p>
        </w:tc>
      </w:tr>
      <w:tr w:rsidR="00000000" w14:paraId="100E25BB" w14:textId="77777777">
        <w:trPr>
          <w:jc w:val="center"/>
        </w:trPr>
        <w:tc>
          <w:tcPr>
            <w:tcW w:w="0" w:type="auto"/>
            <w:gridSpan w:val="3"/>
            <w:tcMar>
              <w:top w:w="30" w:type="dxa"/>
              <w:left w:w="20" w:type="dxa"/>
              <w:bottom w:w="30" w:type="dxa"/>
              <w:right w:w="20" w:type="dxa"/>
            </w:tcMar>
            <w:hideMark/>
          </w:tcPr>
          <w:p w14:paraId="520892B0" w14:textId="77777777" w:rsidR="00000000" w:rsidRDefault="00405D16">
            <w:pPr>
              <w:spacing w:after="100"/>
              <w:jc w:val="center"/>
              <w:rPr>
                <w:rFonts w:eastAsia="Times New Roman"/>
              </w:rPr>
            </w:pPr>
            <w:r>
              <w:rPr>
                <w:rFonts w:eastAsia="Times New Roman"/>
                <w:color w:val="000000"/>
                <w:sz w:val="16"/>
                <w:szCs w:val="16"/>
              </w:rPr>
              <w:t>1.650% Senior Notes Due 2029</w:t>
            </w:r>
          </w:p>
        </w:tc>
        <w:tc>
          <w:tcPr>
            <w:tcW w:w="0" w:type="auto"/>
            <w:gridSpan w:val="3"/>
            <w:tcMar>
              <w:top w:w="30" w:type="dxa"/>
              <w:left w:w="20" w:type="dxa"/>
              <w:bottom w:w="30" w:type="dxa"/>
              <w:right w:w="20" w:type="dxa"/>
            </w:tcMar>
            <w:hideMark/>
          </w:tcPr>
          <w:p w14:paraId="2DF05D67" w14:textId="77777777" w:rsidR="00000000" w:rsidRDefault="00405D16">
            <w:pPr>
              <w:spacing w:after="100"/>
              <w:jc w:val="center"/>
              <w:rPr>
                <w:rFonts w:eastAsia="Times New Roman"/>
              </w:rPr>
            </w:pPr>
            <w:r>
              <w:rPr>
                <w:rFonts w:eastAsia="Times New Roman"/>
                <w:color w:val="000000"/>
                <w:sz w:val="16"/>
                <w:szCs w:val="16"/>
              </w:rPr>
              <w:t>COF29</w:t>
            </w:r>
          </w:p>
        </w:tc>
        <w:tc>
          <w:tcPr>
            <w:tcW w:w="0" w:type="auto"/>
            <w:gridSpan w:val="3"/>
            <w:tcMar>
              <w:top w:w="30" w:type="dxa"/>
              <w:left w:w="20" w:type="dxa"/>
              <w:bottom w:w="30" w:type="dxa"/>
              <w:right w:w="20" w:type="dxa"/>
            </w:tcMar>
            <w:hideMark/>
          </w:tcPr>
          <w:p w14:paraId="793C0EBB" w14:textId="77777777" w:rsidR="00000000" w:rsidRDefault="00405D16">
            <w:pPr>
              <w:spacing w:after="100"/>
              <w:jc w:val="center"/>
              <w:divId w:val="2137289891"/>
              <w:rPr>
                <w:rFonts w:eastAsia="Times New Roman"/>
              </w:rPr>
            </w:pPr>
            <w:r>
              <w:rPr>
                <w:rFonts w:eastAsia="Times New Roman"/>
                <w:color w:val="000000"/>
                <w:sz w:val="16"/>
                <w:szCs w:val="16"/>
              </w:rPr>
              <w:t>New York Stock Exchange</w:t>
            </w:r>
          </w:p>
        </w:tc>
      </w:tr>
      <w:tr w:rsidR="00000000" w14:paraId="1AC35BB5" w14:textId="77777777">
        <w:trPr>
          <w:jc w:val="center"/>
        </w:trPr>
        <w:tc>
          <w:tcPr>
            <w:tcW w:w="0" w:type="auto"/>
            <w:gridSpan w:val="3"/>
            <w:vAlign w:val="center"/>
            <w:hideMark/>
          </w:tcPr>
          <w:p w14:paraId="09CA2BE9" w14:textId="77777777" w:rsidR="00000000" w:rsidRDefault="00405D16">
            <w:pPr>
              <w:spacing w:after="100"/>
              <w:jc w:val="center"/>
              <w:rPr>
                <w:rFonts w:eastAsia="Times New Roman"/>
              </w:rPr>
            </w:pPr>
          </w:p>
        </w:tc>
        <w:tc>
          <w:tcPr>
            <w:tcW w:w="0" w:type="auto"/>
            <w:gridSpan w:val="3"/>
            <w:vAlign w:val="center"/>
            <w:hideMark/>
          </w:tcPr>
          <w:p w14:paraId="2C034D3B" w14:textId="77777777" w:rsidR="00000000" w:rsidRDefault="00405D16">
            <w:pPr>
              <w:spacing w:after="100"/>
              <w:rPr>
                <w:rFonts w:eastAsia="Times New Roman"/>
                <w:sz w:val="20"/>
                <w:szCs w:val="20"/>
              </w:rPr>
            </w:pPr>
          </w:p>
        </w:tc>
        <w:tc>
          <w:tcPr>
            <w:tcW w:w="0" w:type="auto"/>
            <w:gridSpan w:val="3"/>
            <w:vAlign w:val="center"/>
            <w:hideMark/>
          </w:tcPr>
          <w:p w14:paraId="15B6A422" w14:textId="77777777" w:rsidR="00000000" w:rsidRDefault="00405D16">
            <w:pPr>
              <w:spacing w:after="100"/>
              <w:rPr>
                <w:rFonts w:eastAsia="Times New Roman"/>
                <w:sz w:val="20"/>
                <w:szCs w:val="20"/>
              </w:rPr>
            </w:pPr>
          </w:p>
        </w:tc>
      </w:tr>
    </w:tbl>
    <w:p w14:paraId="53A200CD" w14:textId="77777777" w:rsidR="00000000" w:rsidRDefault="00405D16">
      <w:pPr>
        <w:jc w:val="both"/>
        <w:divId w:val="1211267819"/>
        <w:rPr>
          <w:rFonts w:eastAsia="Times New Roman"/>
        </w:rPr>
      </w:pPr>
      <w:r>
        <w:rPr>
          <w:rFonts w:eastAsia="Times New Roman"/>
          <w:color w:val="000000"/>
          <w:sz w:val="16"/>
          <w:szCs w:val="16"/>
        </w:rPr>
        <w:lastRenderedPageBreak/>
        <w:t>Indicate by check mark whether the registrant (1) has filed all reports required to be filed by Section 13 or 15(d) of the Securities Exchange Act of 1934 during the preceding 12 months (or for such shorter period that the registrant was required to file s</w:t>
      </w:r>
      <w:r>
        <w:rPr>
          <w:rFonts w:eastAsia="Times New Roman"/>
          <w:color w:val="000000"/>
          <w:sz w:val="16"/>
          <w:szCs w:val="16"/>
        </w:rPr>
        <w:t>uch reports), and (2) has been subject to such filing requirements for the past 90 days. Yes </w:t>
      </w:r>
      <w:r>
        <w:rPr>
          <w:rFonts w:ascii="Segoe UI Symbol" w:eastAsia="Times New Roman" w:hAnsi="Segoe UI Symbol" w:cs="Segoe UI Symbol"/>
          <w:color w:val="000000"/>
          <w:sz w:val="16"/>
          <w:szCs w:val="16"/>
        </w:rPr>
        <w:t>☒</w:t>
      </w:r>
      <w:r>
        <w:rPr>
          <w:rFonts w:eastAsia="Times New Roman"/>
          <w:color w:val="000000"/>
          <w:sz w:val="16"/>
          <w:szCs w:val="16"/>
        </w:rPr>
        <w:t xml:space="preserve">  No </w:t>
      </w:r>
      <w:r>
        <w:rPr>
          <w:rFonts w:ascii="Segoe UI Symbol" w:eastAsia="Times New Roman" w:hAnsi="Segoe UI Symbol" w:cs="Segoe UI Symbol"/>
          <w:color w:val="000000"/>
          <w:sz w:val="16"/>
          <w:szCs w:val="16"/>
        </w:rPr>
        <w:t>☐</w:t>
      </w:r>
    </w:p>
    <w:p w14:paraId="09058E58" w14:textId="77777777" w:rsidR="00000000" w:rsidRDefault="00405D16">
      <w:pPr>
        <w:jc w:val="both"/>
        <w:divId w:val="1075978737"/>
        <w:rPr>
          <w:rFonts w:eastAsia="Times New Roman"/>
        </w:rPr>
      </w:pPr>
      <w:r>
        <w:rPr>
          <w:rFonts w:eastAsia="Times New Roman"/>
          <w:color w:val="000000"/>
          <w:sz w:val="16"/>
          <w:szCs w:val="16"/>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eastAsia="Times New Roman"/>
          <w:color w:val="000000"/>
          <w:sz w:val="16"/>
          <w:szCs w:val="16"/>
        </w:rPr>
        <w:t>t the registrant was required to submit such files). Yes </w:t>
      </w:r>
      <w:r>
        <w:rPr>
          <w:rFonts w:ascii="Segoe UI Symbol" w:eastAsia="Times New Roman" w:hAnsi="Segoe UI Symbol" w:cs="Segoe UI Symbol"/>
          <w:color w:val="000000"/>
          <w:sz w:val="16"/>
          <w:szCs w:val="16"/>
        </w:rPr>
        <w:t>☒</w:t>
      </w:r>
      <w:r>
        <w:rPr>
          <w:rFonts w:eastAsia="Times New Roman"/>
          <w:color w:val="000000"/>
          <w:sz w:val="16"/>
          <w:szCs w:val="16"/>
        </w:rPr>
        <w:t xml:space="preserve"> No </w:t>
      </w:r>
      <w:r>
        <w:rPr>
          <w:rFonts w:ascii="Segoe UI Symbol" w:eastAsia="Times New Roman" w:hAnsi="Segoe UI Symbol" w:cs="Segoe UI Symbol"/>
          <w:color w:val="000000"/>
          <w:sz w:val="16"/>
          <w:szCs w:val="16"/>
        </w:rPr>
        <w:t>☐</w:t>
      </w:r>
    </w:p>
    <w:p w14:paraId="35327F97" w14:textId="77777777" w:rsidR="00000000" w:rsidRDefault="00405D16">
      <w:pPr>
        <w:jc w:val="both"/>
        <w:divId w:val="1017193929"/>
        <w:rPr>
          <w:rFonts w:eastAsia="Times New Roman"/>
        </w:rPr>
      </w:pPr>
      <w:r>
        <w:rPr>
          <w:rFonts w:eastAsia="Times New Roman"/>
          <w:color w:val="000000"/>
          <w:sz w:val="15"/>
          <w:szCs w:val="15"/>
        </w:rPr>
        <w:t>Indicate by check mark whether the registrant is a large accelerated filer, an accelerated filer, a non-accelerated filer, a smaller reporting company, or an emerging growth company. See the d</w:t>
      </w:r>
      <w:r>
        <w:rPr>
          <w:rFonts w:eastAsia="Times New Roman"/>
          <w:color w:val="000000"/>
          <w:sz w:val="15"/>
          <w:szCs w:val="15"/>
        </w:rPr>
        <w:t>efinitions of “large accelerated filer,”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45"/>
        <w:gridCol w:w="1703"/>
        <w:gridCol w:w="36"/>
        <w:gridCol w:w="36"/>
        <w:gridCol w:w="156"/>
        <w:gridCol w:w="36"/>
        <w:gridCol w:w="45"/>
        <w:gridCol w:w="3756"/>
        <w:gridCol w:w="36"/>
        <w:gridCol w:w="37"/>
        <w:gridCol w:w="136"/>
        <w:gridCol w:w="36"/>
        <w:gridCol w:w="87"/>
        <w:gridCol w:w="1696"/>
        <w:gridCol w:w="36"/>
        <w:gridCol w:w="36"/>
        <w:gridCol w:w="136"/>
        <w:gridCol w:w="36"/>
        <w:gridCol w:w="56"/>
        <w:gridCol w:w="129"/>
        <w:gridCol w:w="36"/>
      </w:tblGrid>
      <w:tr w:rsidR="00000000" w14:paraId="288ABE17" w14:textId="77777777">
        <w:tc>
          <w:tcPr>
            <w:tcW w:w="50" w:type="pct"/>
            <w:vAlign w:val="center"/>
            <w:hideMark/>
          </w:tcPr>
          <w:p w14:paraId="6D55917B" w14:textId="77777777" w:rsidR="00000000" w:rsidRDefault="00405D16">
            <w:pPr>
              <w:jc w:val="both"/>
              <w:rPr>
                <w:rFonts w:eastAsia="Times New Roman"/>
              </w:rPr>
            </w:pPr>
          </w:p>
        </w:tc>
        <w:tc>
          <w:tcPr>
            <w:tcW w:w="1047" w:type="pct"/>
            <w:vAlign w:val="center"/>
            <w:hideMark/>
          </w:tcPr>
          <w:p w14:paraId="06BAFC6B" w14:textId="77777777" w:rsidR="00000000" w:rsidRDefault="00405D16">
            <w:pPr>
              <w:spacing w:after="100"/>
              <w:rPr>
                <w:rFonts w:eastAsia="Times New Roman"/>
                <w:sz w:val="20"/>
                <w:szCs w:val="20"/>
              </w:rPr>
            </w:pPr>
          </w:p>
        </w:tc>
        <w:tc>
          <w:tcPr>
            <w:tcW w:w="5" w:type="pct"/>
            <w:vAlign w:val="center"/>
            <w:hideMark/>
          </w:tcPr>
          <w:p w14:paraId="4E725B87" w14:textId="77777777" w:rsidR="00000000" w:rsidRDefault="00405D16">
            <w:pPr>
              <w:spacing w:after="100"/>
              <w:rPr>
                <w:rFonts w:eastAsia="Times New Roman"/>
                <w:sz w:val="20"/>
                <w:szCs w:val="20"/>
              </w:rPr>
            </w:pPr>
          </w:p>
        </w:tc>
        <w:tc>
          <w:tcPr>
            <w:tcW w:w="5" w:type="pct"/>
            <w:vAlign w:val="center"/>
            <w:hideMark/>
          </w:tcPr>
          <w:p w14:paraId="142E2EE6" w14:textId="77777777" w:rsidR="00000000" w:rsidRDefault="00405D16">
            <w:pPr>
              <w:spacing w:after="100"/>
              <w:rPr>
                <w:rFonts w:eastAsia="Times New Roman"/>
                <w:sz w:val="20"/>
                <w:szCs w:val="20"/>
              </w:rPr>
            </w:pPr>
          </w:p>
        </w:tc>
        <w:tc>
          <w:tcPr>
            <w:tcW w:w="117" w:type="pct"/>
            <w:vAlign w:val="center"/>
            <w:hideMark/>
          </w:tcPr>
          <w:p w14:paraId="4AC9F3C3" w14:textId="77777777" w:rsidR="00000000" w:rsidRDefault="00405D16">
            <w:pPr>
              <w:spacing w:after="100"/>
              <w:rPr>
                <w:rFonts w:eastAsia="Times New Roman"/>
                <w:sz w:val="20"/>
                <w:szCs w:val="20"/>
              </w:rPr>
            </w:pPr>
          </w:p>
        </w:tc>
        <w:tc>
          <w:tcPr>
            <w:tcW w:w="5" w:type="pct"/>
            <w:vAlign w:val="center"/>
            <w:hideMark/>
          </w:tcPr>
          <w:p w14:paraId="4099613F" w14:textId="77777777" w:rsidR="00000000" w:rsidRDefault="00405D16">
            <w:pPr>
              <w:spacing w:after="100"/>
              <w:rPr>
                <w:rFonts w:eastAsia="Times New Roman"/>
                <w:sz w:val="20"/>
                <w:szCs w:val="20"/>
              </w:rPr>
            </w:pPr>
          </w:p>
        </w:tc>
        <w:tc>
          <w:tcPr>
            <w:tcW w:w="50" w:type="pct"/>
            <w:vAlign w:val="center"/>
            <w:hideMark/>
          </w:tcPr>
          <w:p w14:paraId="57348CD2" w14:textId="77777777" w:rsidR="00000000" w:rsidRDefault="00405D16">
            <w:pPr>
              <w:spacing w:after="100"/>
              <w:rPr>
                <w:rFonts w:eastAsia="Times New Roman"/>
                <w:sz w:val="20"/>
                <w:szCs w:val="20"/>
              </w:rPr>
            </w:pPr>
          </w:p>
        </w:tc>
        <w:tc>
          <w:tcPr>
            <w:tcW w:w="2283" w:type="pct"/>
            <w:vAlign w:val="center"/>
            <w:hideMark/>
          </w:tcPr>
          <w:p w14:paraId="160B3373" w14:textId="77777777" w:rsidR="00000000" w:rsidRDefault="00405D16">
            <w:pPr>
              <w:spacing w:after="100"/>
              <w:rPr>
                <w:rFonts w:eastAsia="Times New Roman"/>
                <w:sz w:val="20"/>
                <w:szCs w:val="20"/>
              </w:rPr>
            </w:pPr>
          </w:p>
        </w:tc>
        <w:tc>
          <w:tcPr>
            <w:tcW w:w="5" w:type="pct"/>
            <w:vAlign w:val="center"/>
            <w:hideMark/>
          </w:tcPr>
          <w:p w14:paraId="46C1907A" w14:textId="77777777" w:rsidR="00000000" w:rsidRDefault="00405D16">
            <w:pPr>
              <w:spacing w:after="100"/>
              <w:rPr>
                <w:rFonts w:eastAsia="Times New Roman"/>
                <w:sz w:val="20"/>
                <w:szCs w:val="20"/>
              </w:rPr>
            </w:pPr>
          </w:p>
        </w:tc>
        <w:tc>
          <w:tcPr>
            <w:tcW w:w="5" w:type="pct"/>
            <w:vAlign w:val="center"/>
            <w:hideMark/>
          </w:tcPr>
          <w:p w14:paraId="0AD08006" w14:textId="77777777" w:rsidR="00000000" w:rsidRDefault="00405D16">
            <w:pPr>
              <w:spacing w:after="100"/>
              <w:rPr>
                <w:rFonts w:eastAsia="Times New Roman"/>
                <w:sz w:val="20"/>
                <w:szCs w:val="20"/>
              </w:rPr>
            </w:pPr>
          </w:p>
        </w:tc>
        <w:tc>
          <w:tcPr>
            <w:tcW w:w="104" w:type="pct"/>
            <w:vAlign w:val="center"/>
            <w:hideMark/>
          </w:tcPr>
          <w:p w14:paraId="7BCC28A3" w14:textId="77777777" w:rsidR="00000000" w:rsidRDefault="00405D16">
            <w:pPr>
              <w:spacing w:after="100"/>
              <w:rPr>
                <w:rFonts w:eastAsia="Times New Roman"/>
                <w:sz w:val="20"/>
                <w:szCs w:val="20"/>
              </w:rPr>
            </w:pPr>
          </w:p>
        </w:tc>
        <w:tc>
          <w:tcPr>
            <w:tcW w:w="5" w:type="pct"/>
            <w:vAlign w:val="center"/>
            <w:hideMark/>
          </w:tcPr>
          <w:p w14:paraId="623FF9D6" w14:textId="77777777" w:rsidR="00000000" w:rsidRDefault="00405D16">
            <w:pPr>
              <w:spacing w:after="100"/>
              <w:rPr>
                <w:rFonts w:eastAsia="Times New Roman"/>
                <w:sz w:val="20"/>
                <w:szCs w:val="20"/>
              </w:rPr>
            </w:pPr>
          </w:p>
        </w:tc>
        <w:tc>
          <w:tcPr>
            <w:tcW w:w="50" w:type="pct"/>
            <w:vAlign w:val="center"/>
            <w:hideMark/>
          </w:tcPr>
          <w:p w14:paraId="4B607410" w14:textId="77777777" w:rsidR="00000000" w:rsidRDefault="00405D16">
            <w:pPr>
              <w:spacing w:after="100"/>
              <w:rPr>
                <w:rFonts w:eastAsia="Times New Roman"/>
                <w:sz w:val="20"/>
                <w:szCs w:val="20"/>
              </w:rPr>
            </w:pPr>
          </w:p>
        </w:tc>
        <w:tc>
          <w:tcPr>
            <w:tcW w:w="986" w:type="pct"/>
            <w:vAlign w:val="center"/>
            <w:hideMark/>
          </w:tcPr>
          <w:p w14:paraId="4E51642D" w14:textId="77777777" w:rsidR="00000000" w:rsidRDefault="00405D16">
            <w:pPr>
              <w:spacing w:after="100"/>
              <w:rPr>
                <w:rFonts w:eastAsia="Times New Roman"/>
                <w:sz w:val="20"/>
                <w:szCs w:val="20"/>
              </w:rPr>
            </w:pPr>
          </w:p>
        </w:tc>
        <w:tc>
          <w:tcPr>
            <w:tcW w:w="5" w:type="pct"/>
            <w:vAlign w:val="center"/>
            <w:hideMark/>
          </w:tcPr>
          <w:p w14:paraId="237CEE70" w14:textId="77777777" w:rsidR="00000000" w:rsidRDefault="00405D16">
            <w:pPr>
              <w:spacing w:after="100"/>
              <w:rPr>
                <w:rFonts w:eastAsia="Times New Roman"/>
                <w:sz w:val="20"/>
                <w:szCs w:val="20"/>
              </w:rPr>
            </w:pPr>
          </w:p>
        </w:tc>
        <w:tc>
          <w:tcPr>
            <w:tcW w:w="5" w:type="pct"/>
            <w:vAlign w:val="center"/>
            <w:hideMark/>
          </w:tcPr>
          <w:p w14:paraId="0AD3FB3C" w14:textId="77777777" w:rsidR="00000000" w:rsidRDefault="00405D16">
            <w:pPr>
              <w:spacing w:after="100"/>
              <w:rPr>
                <w:rFonts w:eastAsia="Times New Roman"/>
                <w:sz w:val="20"/>
                <w:szCs w:val="20"/>
              </w:rPr>
            </w:pPr>
          </w:p>
        </w:tc>
        <w:tc>
          <w:tcPr>
            <w:tcW w:w="104" w:type="pct"/>
            <w:vAlign w:val="center"/>
            <w:hideMark/>
          </w:tcPr>
          <w:p w14:paraId="0159D749" w14:textId="77777777" w:rsidR="00000000" w:rsidRDefault="00405D16">
            <w:pPr>
              <w:spacing w:after="100"/>
              <w:rPr>
                <w:rFonts w:eastAsia="Times New Roman"/>
                <w:sz w:val="20"/>
                <w:szCs w:val="20"/>
              </w:rPr>
            </w:pPr>
          </w:p>
        </w:tc>
        <w:tc>
          <w:tcPr>
            <w:tcW w:w="5" w:type="pct"/>
            <w:vAlign w:val="center"/>
            <w:hideMark/>
          </w:tcPr>
          <w:p w14:paraId="6EA4BE9E" w14:textId="77777777" w:rsidR="00000000" w:rsidRDefault="00405D16">
            <w:pPr>
              <w:spacing w:after="100"/>
              <w:rPr>
                <w:rFonts w:eastAsia="Times New Roman"/>
                <w:sz w:val="20"/>
                <w:szCs w:val="20"/>
              </w:rPr>
            </w:pPr>
          </w:p>
        </w:tc>
        <w:tc>
          <w:tcPr>
            <w:tcW w:w="50" w:type="pct"/>
            <w:vAlign w:val="center"/>
            <w:hideMark/>
          </w:tcPr>
          <w:p w14:paraId="4131AEF5" w14:textId="77777777" w:rsidR="00000000" w:rsidRDefault="00405D16">
            <w:pPr>
              <w:spacing w:after="100"/>
              <w:rPr>
                <w:rFonts w:eastAsia="Times New Roman"/>
                <w:sz w:val="20"/>
                <w:szCs w:val="20"/>
              </w:rPr>
            </w:pPr>
          </w:p>
        </w:tc>
        <w:tc>
          <w:tcPr>
            <w:tcW w:w="106" w:type="pct"/>
            <w:vAlign w:val="center"/>
            <w:hideMark/>
          </w:tcPr>
          <w:p w14:paraId="2A11C040" w14:textId="77777777" w:rsidR="00000000" w:rsidRDefault="00405D16">
            <w:pPr>
              <w:spacing w:after="100"/>
              <w:rPr>
                <w:rFonts w:eastAsia="Times New Roman"/>
                <w:sz w:val="20"/>
                <w:szCs w:val="20"/>
              </w:rPr>
            </w:pPr>
          </w:p>
        </w:tc>
        <w:tc>
          <w:tcPr>
            <w:tcW w:w="5" w:type="pct"/>
            <w:vAlign w:val="center"/>
            <w:hideMark/>
          </w:tcPr>
          <w:p w14:paraId="06092986" w14:textId="77777777" w:rsidR="00000000" w:rsidRDefault="00405D16">
            <w:pPr>
              <w:spacing w:after="100"/>
              <w:rPr>
                <w:rFonts w:eastAsia="Times New Roman"/>
                <w:sz w:val="20"/>
                <w:szCs w:val="20"/>
              </w:rPr>
            </w:pPr>
          </w:p>
        </w:tc>
      </w:tr>
      <w:tr w:rsidR="00000000" w14:paraId="4B4AEBF1" w14:textId="77777777">
        <w:tc>
          <w:tcPr>
            <w:tcW w:w="0" w:type="auto"/>
            <w:gridSpan w:val="3"/>
            <w:tcMar>
              <w:top w:w="30" w:type="dxa"/>
              <w:left w:w="20" w:type="dxa"/>
              <w:bottom w:w="30" w:type="dxa"/>
              <w:right w:w="20" w:type="dxa"/>
            </w:tcMar>
            <w:vAlign w:val="bottom"/>
            <w:hideMark/>
          </w:tcPr>
          <w:p w14:paraId="6DAB4BF9" w14:textId="77777777" w:rsidR="00000000" w:rsidRDefault="00405D16">
            <w:pPr>
              <w:spacing w:after="100"/>
              <w:rPr>
                <w:rFonts w:eastAsia="Times New Roman"/>
              </w:rPr>
            </w:pPr>
            <w:r>
              <w:rPr>
                <w:rFonts w:eastAsia="Times New Roman"/>
                <w:color w:val="000000"/>
                <w:sz w:val="16"/>
                <w:szCs w:val="16"/>
              </w:rPr>
              <w:t>Large accelerated filer</w:t>
            </w:r>
          </w:p>
        </w:tc>
        <w:tc>
          <w:tcPr>
            <w:tcW w:w="0" w:type="auto"/>
            <w:gridSpan w:val="3"/>
            <w:tcMar>
              <w:top w:w="30" w:type="dxa"/>
              <w:left w:w="20" w:type="dxa"/>
              <w:bottom w:w="30" w:type="dxa"/>
              <w:right w:w="20" w:type="dxa"/>
            </w:tcMar>
            <w:vAlign w:val="bottom"/>
            <w:hideMark/>
          </w:tcPr>
          <w:p w14:paraId="5F8E8491"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7980AB47" w14:textId="77777777" w:rsidR="00000000" w:rsidRDefault="00405D16">
            <w:pPr>
              <w:spacing w:after="100"/>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14:paraId="5837C59E"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6EA51DEE" w14:textId="77777777" w:rsidR="00000000" w:rsidRDefault="00405D16">
            <w:pPr>
              <w:spacing w:after="100"/>
              <w:rPr>
                <w:rFonts w:eastAsia="Times New Roman"/>
              </w:rPr>
            </w:pPr>
            <w:r>
              <w:rPr>
                <w:rFonts w:eastAsia="Times New Roman"/>
                <w:color w:val="000000"/>
                <w:sz w:val="16"/>
                <w:szCs w:val="16"/>
              </w:rPr>
              <w:t>Accelerated filer</w:t>
            </w:r>
          </w:p>
        </w:tc>
        <w:tc>
          <w:tcPr>
            <w:tcW w:w="0" w:type="auto"/>
            <w:gridSpan w:val="3"/>
            <w:tcMar>
              <w:top w:w="30" w:type="dxa"/>
              <w:left w:w="20" w:type="dxa"/>
              <w:bottom w:w="30" w:type="dxa"/>
              <w:right w:w="20" w:type="dxa"/>
            </w:tcMar>
            <w:vAlign w:val="bottom"/>
            <w:hideMark/>
          </w:tcPr>
          <w:p w14:paraId="4F7A2401"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1BC40D9C" w14:textId="77777777" w:rsidR="00000000" w:rsidRDefault="00405D16">
            <w:pPr>
              <w:spacing w:after="100"/>
              <w:divId w:val="601298410"/>
              <w:rPr>
                <w:rFonts w:eastAsia="Times New Roman"/>
              </w:rPr>
            </w:pPr>
            <w:r>
              <w:rPr>
                <w:rFonts w:ascii="Segoe UI Symbol" w:eastAsia="Times New Roman" w:hAnsi="Segoe UI Symbol" w:cs="Segoe UI Symbol"/>
                <w:color w:val="000000"/>
                <w:sz w:val="16"/>
                <w:szCs w:val="16"/>
              </w:rPr>
              <w:t>☐</w:t>
            </w:r>
          </w:p>
        </w:tc>
      </w:tr>
      <w:tr w:rsidR="00000000" w14:paraId="6E88C83A" w14:textId="77777777">
        <w:tc>
          <w:tcPr>
            <w:tcW w:w="0" w:type="auto"/>
            <w:gridSpan w:val="3"/>
            <w:tcMar>
              <w:top w:w="30" w:type="dxa"/>
              <w:left w:w="20" w:type="dxa"/>
              <w:bottom w:w="30" w:type="dxa"/>
              <w:right w:w="20" w:type="dxa"/>
            </w:tcMar>
            <w:vAlign w:val="bottom"/>
            <w:hideMark/>
          </w:tcPr>
          <w:p w14:paraId="144A6754" w14:textId="77777777" w:rsidR="00000000" w:rsidRDefault="00405D16">
            <w:pPr>
              <w:spacing w:after="100"/>
              <w:rPr>
                <w:rFonts w:eastAsia="Times New Roman"/>
              </w:rPr>
            </w:pPr>
            <w:r>
              <w:rPr>
                <w:rFonts w:eastAsia="Times New Roman"/>
                <w:color w:val="000000"/>
                <w:sz w:val="16"/>
                <w:szCs w:val="16"/>
              </w:rPr>
              <w:t>Non-accelerated filer</w:t>
            </w:r>
          </w:p>
        </w:tc>
        <w:tc>
          <w:tcPr>
            <w:tcW w:w="0" w:type="auto"/>
            <w:gridSpan w:val="3"/>
            <w:tcMar>
              <w:top w:w="30" w:type="dxa"/>
              <w:left w:w="20" w:type="dxa"/>
              <w:bottom w:w="30" w:type="dxa"/>
              <w:right w:w="20" w:type="dxa"/>
            </w:tcMar>
            <w:vAlign w:val="bottom"/>
            <w:hideMark/>
          </w:tcPr>
          <w:p w14:paraId="056AAEC7"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68BFB0AD" w14:textId="77777777" w:rsidR="00000000" w:rsidRDefault="00405D16">
            <w:pPr>
              <w:spacing w:after="100"/>
              <w:divId w:val="827019292"/>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14:paraId="1CE9D962"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524533BB" w14:textId="77777777" w:rsidR="00000000" w:rsidRDefault="00405D16">
            <w:pPr>
              <w:spacing w:after="100"/>
              <w:rPr>
                <w:rFonts w:eastAsia="Times New Roman"/>
              </w:rPr>
            </w:pPr>
            <w:r>
              <w:rPr>
                <w:rFonts w:eastAsia="Times New Roman"/>
                <w:color w:val="000000"/>
                <w:sz w:val="16"/>
                <w:szCs w:val="16"/>
              </w:rPr>
              <w:t>Smaller reporting company</w:t>
            </w:r>
          </w:p>
        </w:tc>
        <w:tc>
          <w:tcPr>
            <w:tcW w:w="0" w:type="auto"/>
            <w:gridSpan w:val="3"/>
            <w:tcMar>
              <w:top w:w="0" w:type="dxa"/>
              <w:left w:w="20" w:type="dxa"/>
              <w:bottom w:w="0" w:type="dxa"/>
              <w:right w:w="20" w:type="dxa"/>
            </w:tcMar>
            <w:vAlign w:val="center"/>
            <w:hideMark/>
          </w:tcPr>
          <w:p w14:paraId="43DE7070" w14:textId="77777777" w:rsidR="00000000" w:rsidRDefault="00405D16">
            <w:pPr>
              <w:spacing w:after="100"/>
              <w:rPr>
                <w:rFonts w:eastAsia="Times New Roman"/>
              </w:rPr>
            </w:pPr>
          </w:p>
        </w:tc>
        <w:tc>
          <w:tcPr>
            <w:tcW w:w="0" w:type="auto"/>
            <w:gridSpan w:val="3"/>
            <w:tcMar>
              <w:top w:w="30" w:type="dxa"/>
              <w:left w:w="20" w:type="dxa"/>
              <w:bottom w:w="30" w:type="dxa"/>
              <w:right w:w="20" w:type="dxa"/>
            </w:tcMar>
            <w:vAlign w:val="bottom"/>
            <w:hideMark/>
          </w:tcPr>
          <w:p w14:paraId="478C5AEB" w14:textId="77777777" w:rsidR="00000000" w:rsidRDefault="00405D16">
            <w:pPr>
              <w:spacing w:after="100"/>
              <w:divId w:val="1683899348"/>
              <w:rPr>
                <w:rFonts w:eastAsia="Times New Roman"/>
              </w:rPr>
            </w:pPr>
            <w:r>
              <w:rPr>
                <w:rFonts w:ascii="Segoe UI Symbol" w:eastAsia="Times New Roman" w:hAnsi="Segoe UI Symbol" w:cs="Segoe UI Symbol"/>
                <w:color w:val="000000"/>
                <w:sz w:val="16"/>
                <w:szCs w:val="16"/>
              </w:rPr>
              <w:t>☐</w:t>
            </w:r>
          </w:p>
        </w:tc>
      </w:tr>
      <w:tr w:rsidR="00000000" w14:paraId="19F0DDDE" w14:textId="77777777">
        <w:tc>
          <w:tcPr>
            <w:tcW w:w="0" w:type="auto"/>
            <w:gridSpan w:val="3"/>
            <w:tcMar>
              <w:top w:w="0" w:type="dxa"/>
              <w:left w:w="20" w:type="dxa"/>
              <w:bottom w:w="0" w:type="dxa"/>
              <w:right w:w="20" w:type="dxa"/>
            </w:tcMar>
            <w:vAlign w:val="center"/>
            <w:hideMark/>
          </w:tcPr>
          <w:p w14:paraId="107657A1" w14:textId="77777777" w:rsidR="00000000" w:rsidRDefault="00405D16">
            <w:pPr>
              <w:spacing w:after="100"/>
              <w:rPr>
                <w:rFonts w:eastAsia="Times New Roman"/>
              </w:rPr>
            </w:pPr>
          </w:p>
        </w:tc>
        <w:tc>
          <w:tcPr>
            <w:tcW w:w="0" w:type="auto"/>
            <w:gridSpan w:val="3"/>
            <w:tcMar>
              <w:top w:w="0" w:type="dxa"/>
              <w:left w:w="20" w:type="dxa"/>
              <w:bottom w:w="0" w:type="dxa"/>
              <w:right w:w="20" w:type="dxa"/>
            </w:tcMar>
            <w:vAlign w:val="center"/>
            <w:hideMark/>
          </w:tcPr>
          <w:p w14:paraId="270C6706"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1D9191D"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0A52F66"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C1828EE" w14:textId="77777777" w:rsidR="00000000" w:rsidRDefault="00405D16">
            <w:pPr>
              <w:spacing w:after="100"/>
              <w:rPr>
                <w:rFonts w:eastAsia="Times New Roman"/>
              </w:rPr>
            </w:pPr>
            <w:r>
              <w:rPr>
                <w:rFonts w:eastAsia="Times New Roman"/>
                <w:color w:val="000000"/>
                <w:sz w:val="16"/>
                <w:szCs w:val="16"/>
              </w:rPr>
              <w:t>Emerging growth company</w:t>
            </w:r>
          </w:p>
        </w:tc>
        <w:tc>
          <w:tcPr>
            <w:tcW w:w="0" w:type="auto"/>
            <w:gridSpan w:val="3"/>
            <w:tcMar>
              <w:top w:w="0" w:type="dxa"/>
              <w:left w:w="20" w:type="dxa"/>
              <w:bottom w:w="0" w:type="dxa"/>
              <w:right w:w="20" w:type="dxa"/>
            </w:tcMar>
            <w:vAlign w:val="center"/>
            <w:hideMark/>
          </w:tcPr>
          <w:p w14:paraId="45E71A3D" w14:textId="77777777" w:rsidR="00000000" w:rsidRDefault="00405D16">
            <w:pPr>
              <w:spacing w:after="100"/>
              <w:rPr>
                <w:rFonts w:eastAsia="Times New Roman"/>
              </w:rPr>
            </w:pPr>
          </w:p>
        </w:tc>
        <w:tc>
          <w:tcPr>
            <w:tcW w:w="0" w:type="auto"/>
            <w:gridSpan w:val="3"/>
            <w:tcMar>
              <w:top w:w="30" w:type="dxa"/>
              <w:left w:w="20" w:type="dxa"/>
              <w:bottom w:w="30" w:type="dxa"/>
              <w:right w:w="20" w:type="dxa"/>
            </w:tcMar>
            <w:vAlign w:val="bottom"/>
            <w:hideMark/>
          </w:tcPr>
          <w:p w14:paraId="4DE65FAA" w14:textId="77777777" w:rsidR="00000000" w:rsidRDefault="00405D16">
            <w:pPr>
              <w:spacing w:after="100"/>
              <w:divId w:val="811023428"/>
              <w:rPr>
                <w:rFonts w:eastAsia="Times New Roman"/>
              </w:rPr>
            </w:pPr>
            <w:r>
              <w:rPr>
                <w:rFonts w:ascii="Segoe UI Symbol" w:eastAsia="Times New Roman" w:hAnsi="Segoe UI Symbol" w:cs="Segoe UI Symbol"/>
                <w:color w:val="000000"/>
                <w:sz w:val="16"/>
                <w:szCs w:val="16"/>
              </w:rPr>
              <w:t>☐</w:t>
            </w:r>
          </w:p>
        </w:tc>
      </w:tr>
    </w:tbl>
    <w:p w14:paraId="487C50B6" w14:textId="77777777" w:rsidR="00000000" w:rsidRDefault="00405D16">
      <w:pPr>
        <w:jc w:val="both"/>
        <w:divId w:val="1761372551"/>
        <w:rPr>
          <w:rFonts w:eastAsia="Times New Roman"/>
        </w:rPr>
      </w:pPr>
      <w:r>
        <w:rPr>
          <w:rFonts w:eastAsia="Times New Roman"/>
          <w:color w:val="000000"/>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6"/>
          <w:szCs w:val="16"/>
        </w:rPr>
        <w:t>☐</w:t>
      </w:r>
    </w:p>
    <w:p w14:paraId="64311F65" w14:textId="77777777" w:rsidR="00000000" w:rsidRDefault="00405D16">
      <w:pPr>
        <w:jc w:val="both"/>
        <w:divId w:val="76172022"/>
        <w:rPr>
          <w:rFonts w:eastAsia="Times New Roman"/>
        </w:rPr>
      </w:pPr>
      <w:r>
        <w:rPr>
          <w:rFonts w:eastAsia="Times New Roman"/>
          <w:color w:val="000000"/>
          <w:sz w:val="16"/>
          <w:szCs w:val="16"/>
        </w:rPr>
        <w:t>Ind</w:t>
      </w:r>
      <w:r>
        <w:rPr>
          <w:rFonts w:eastAsia="Times New Roman"/>
          <w:color w:val="000000"/>
          <w:sz w:val="16"/>
          <w:szCs w:val="16"/>
        </w:rPr>
        <w:t xml:space="preserve">icate by check mark whether the registrant is a shell company (as defined in Rule 12b-2 of the Exchange Act). Yes </w:t>
      </w:r>
      <w:r>
        <w:rPr>
          <w:rFonts w:ascii="Segoe UI Symbol" w:eastAsia="Times New Roman" w:hAnsi="Segoe UI Symbol" w:cs="Segoe UI Symbol"/>
          <w:color w:val="000000"/>
          <w:sz w:val="16"/>
          <w:szCs w:val="16"/>
        </w:rPr>
        <w:t>☐</w:t>
      </w:r>
      <w:r>
        <w:rPr>
          <w:rFonts w:eastAsia="Times New Roman"/>
          <w:color w:val="000000"/>
          <w:sz w:val="16"/>
          <w:szCs w:val="16"/>
        </w:rPr>
        <w:t xml:space="preserve"> No </w:t>
      </w:r>
      <w:r>
        <w:rPr>
          <w:rFonts w:ascii="Segoe UI Symbol" w:eastAsia="Times New Roman" w:hAnsi="Segoe UI Symbol" w:cs="Segoe UI Symbol"/>
          <w:color w:val="000000"/>
          <w:sz w:val="16"/>
          <w:szCs w:val="16"/>
        </w:rPr>
        <w:t>☒</w:t>
      </w:r>
    </w:p>
    <w:p w14:paraId="4B8E5842" w14:textId="77777777" w:rsidR="00000000" w:rsidRDefault="00405D16">
      <w:pPr>
        <w:jc w:val="both"/>
        <w:divId w:val="1540315405"/>
        <w:rPr>
          <w:rFonts w:eastAsia="Times New Roman"/>
        </w:rPr>
      </w:pPr>
      <w:r>
        <w:rPr>
          <w:rFonts w:eastAsia="Times New Roman"/>
          <w:color w:val="000000"/>
          <w:sz w:val="16"/>
          <w:szCs w:val="16"/>
        </w:rPr>
        <w:t>As of October 29, 2021, there were 425,622,058 shares of the registrant’s Common Stock outstanding.</w:t>
      </w:r>
    </w:p>
    <w:tbl>
      <w:tblPr>
        <w:tblW w:w="4973" w:type="pct"/>
        <w:jc w:val="center"/>
        <w:tblCellMar>
          <w:top w:w="15" w:type="dxa"/>
          <w:left w:w="15" w:type="dxa"/>
          <w:bottom w:w="15" w:type="dxa"/>
          <w:right w:w="15" w:type="dxa"/>
        </w:tblCellMar>
        <w:tblLook w:val="04A0" w:firstRow="1" w:lastRow="0" w:firstColumn="1" w:lastColumn="0" w:noHBand="0" w:noVBand="1"/>
      </w:tblPr>
      <w:tblGrid>
        <w:gridCol w:w="69"/>
        <w:gridCol w:w="1547"/>
        <w:gridCol w:w="36"/>
        <w:gridCol w:w="69"/>
        <w:gridCol w:w="1547"/>
        <w:gridCol w:w="36"/>
        <w:gridCol w:w="69"/>
        <w:gridCol w:w="1547"/>
        <w:gridCol w:w="36"/>
        <w:gridCol w:w="69"/>
        <w:gridCol w:w="1547"/>
        <w:gridCol w:w="36"/>
        <w:gridCol w:w="69"/>
        <w:gridCol w:w="1548"/>
        <w:gridCol w:w="36"/>
      </w:tblGrid>
      <w:tr w:rsidR="00000000" w14:paraId="05D31B74" w14:textId="77777777">
        <w:trPr>
          <w:jc w:val="center"/>
        </w:trPr>
        <w:tc>
          <w:tcPr>
            <w:tcW w:w="50" w:type="pct"/>
            <w:vAlign w:val="center"/>
            <w:hideMark/>
          </w:tcPr>
          <w:p w14:paraId="2EDCAB67" w14:textId="77777777" w:rsidR="00000000" w:rsidRDefault="00405D16">
            <w:pPr>
              <w:jc w:val="both"/>
              <w:rPr>
                <w:rFonts w:eastAsia="Times New Roman"/>
              </w:rPr>
            </w:pPr>
          </w:p>
        </w:tc>
        <w:tc>
          <w:tcPr>
            <w:tcW w:w="945" w:type="pct"/>
            <w:vAlign w:val="center"/>
            <w:hideMark/>
          </w:tcPr>
          <w:p w14:paraId="62A85692" w14:textId="77777777" w:rsidR="00000000" w:rsidRDefault="00405D16">
            <w:pPr>
              <w:spacing w:after="100"/>
              <w:rPr>
                <w:rFonts w:eastAsia="Times New Roman"/>
                <w:sz w:val="20"/>
                <w:szCs w:val="20"/>
              </w:rPr>
            </w:pPr>
          </w:p>
        </w:tc>
        <w:tc>
          <w:tcPr>
            <w:tcW w:w="5" w:type="pct"/>
            <w:vAlign w:val="center"/>
            <w:hideMark/>
          </w:tcPr>
          <w:p w14:paraId="6F0E1C2B" w14:textId="77777777" w:rsidR="00000000" w:rsidRDefault="00405D16">
            <w:pPr>
              <w:spacing w:after="100"/>
              <w:rPr>
                <w:rFonts w:eastAsia="Times New Roman"/>
                <w:sz w:val="20"/>
                <w:szCs w:val="20"/>
              </w:rPr>
            </w:pPr>
          </w:p>
        </w:tc>
        <w:tc>
          <w:tcPr>
            <w:tcW w:w="50" w:type="pct"/>
            <w:vAlign w:val="center"/>
            <w:hideMark/>
          </w:tcPr>
          <w:p w14:paraId="0B5B8480" w14:textId="77777777" w:rsidR="00000000" w:rsidRDefault="00405D16">
            <w:pPr>
              <w:spacing w:after="100"/>
              <w:rPr>
                <w:rFonts w:eastAsia="Times New Roman"/>
                <w:sz w:val="20"/>
                <w:szCs w:val="20"/>
              </w:rPr>
            </w:pPr>
          </w:p>
        </w:tc>
        <w:tc>
          <w:tcPr>
            <w:tcW w:w="945" w:type="pct"/>
            <w:vAlign w:val="center"/>
            <w:hideMark/>
          </w:tcPr>
          <w:p w14:paraId="50F6E51C" w14:textId="77777777" w:rsidR="00000000" w:rsidRDefault="00405D16">
            <w:pPr>
              <w:spacing w:after="100"/>
              <w:rPr>
                <w:rFonts w:eastAsia="Times New Roman"/>
                <w:sz w:val="20"/>
                <w:szCs w:val="20"/>
              </w:rPr>
            </w:pPr>
          </w:p>
        </w:tc>
        <w:tc>
          <w:tcPr>
            <w:tcW w:w="5" w:type="pct"/>
            <w:vAlign w:val="center"/>
            <w:hideMark/>
          </w:tcPr>
          <w:p w14:paraId="2AC04F5F" w14:textId="77777777" w:rsidR="00000000" w:rsidRDefault="00405D16">
            <w:pPr>
              <w:spacing w:after="100"/>
              <w:rPr>
                <w:rFonts w:eastAsia="Times New Roman"/>
                <w:sz w:val="20"/>
                <w:szCs w:val="20"/>
              </w:rPr>
            </w:pPr>
          </w:p>
        </w:tc>
        <w:tc>
          <w:tcPr>
            <w:tcW w:w="50" w:type="pct"/>
            <w:vAlign w:val="center"/>
            <w:hideMark/>
          </w:tcPr>
          <w:p w14:paraId="2EB1AE14" w14:textId="77777777" w:rsidR="00000000" w:rsidRDefault="00405D16">
            <w:pPr>
              <w:spacing w:after="100"/>
              <w:rPr>
                <w:rFonts w:eastAsia="Times New Roman"/>
                <w:sz w:val="20"/>
                <w:szCs w:val="20"/>
              </w:rPr>
            </w:pPr>
          </w:p>
        </w:tc>
        <w:tc>
          <w:tcPr>
            <w:tcW w:w="945" w:type="pct"/>
            <w:vAlign w:val="center"/>
            <w:hideMark/>
          </w:tcPr>
          <w:p w14:paraId="71700270" w14:textId="77777777" w:rsidR="00000000" w:rsidRDefault="00405D16">
            <w:pPr>
              <w:spacing w:after="100"/>
              <w:rPr>
                <w:rFonts w:eastAsia="Times New Roman"/>
                <w:sz w:val="20"/>
                <w:szCs w:val="20"/>
              </w:rPr>
            </w:pPr>
          </w:p>
        </w:tc>
        <w:tc>
          <w:tcPr>
            <w:tcW w:w="5" w:type="pct"/>
            <w:vAlign w:val="center"/>
            <w:hideMark/>
          </w:tcPr>
          <w:p w14:paraId="711A8655" w14:textId="77777777" w:rsidR="00000000" w:rsidRDefault="00405D16">
            <w:pPr>
              <w:spacing w:after="100"/>
              <w:rPr>
                <w:rFonts w:eastAsia="Times New Roman"/>
                <w:sz w:val="20"/>
                <w:szCs w:val="20"/>
              </w:rPr>
            </w:pPr>
          </w:p>
        </w:tc>
        <w:tc>
          <w:tcPr>
            <w:tcW w:w="50" w:type="pct"/>
            <w:vAlign w:val="center"/>
            <w:hideMark/>
          </w:tcPr>
          <w:p w14:paraId="21A070A1" w14:textId="77777777" w:rsidR="00000000" w:rsidRDefault="00405D16">
            <w:pPr>
              <w:spacing w:after="100"/>
              <w:rPr>
                <w:rFonts w:eastAsia="Times New Roman"/>
                <w:sz w:val="20"/>
                <w:szCs w:val="20"/>
              </w:rPr>
            </w:pPr>
          </w:p>
        </w:tc>
        <w:tc>
          <w:tcPr>
            <w:tcW w:w="945" w:type="pct"/>
            <w:vAlign w:val="center"/>
            <w:hideMark/>
          </w:tcPr>
          <w:p w14:paraId="230D8CCF" w14:textId="77777777" w:rsidR="00000000" w:rsidRDefault="00405D16">
            <w:pPr>
              <w:spacing w:after="100"/>
              <w:rPr>
                <w:rFonts w:eastAsia="Times New Roman"/>
                <w:sz w:val="20"/>
                <w:szCs w:val="20"/>
              </w:rPr>
            </w:pPr>
          </w:p>
        </w:tc>
        <w:tc>
          <w:tcPr>
            <w:tcW w:w="5" w:type="pct"/>
            <w:vAlign w:val="center"/>
            <w:hideMark/>
          </w:tcPr>
          <w:p w14:paraId="59DF9D24" w14:textId="77777777" w:rsidR="00000000" w:rsidRDefault="00405D16">
            <w:pPr>
              <w:spacing w:after="100"/>
              <w:rPr>
                <w:rFonts w:eastAsia="Times New Roman"/>
                <w:sz w:val="20"/>
                <w:szCs w:val="20"/>
              </w:rPr>
            </w:pPr>
          </w:p>
        </w:tc>
        <w:tc>
          <w:tcPr>
            <w:tcW w:w="50" w:type="pct"/>
            <w:vAlign w:val="center"/>
            <w:hideMark/>
          </w:tcPr>
          <w:p w14:paraId="729C53E7" w14:textId="77777777" w:rsidR="00000000" w:rsidRDefault="00405D16">
            <w:pPr>
              <w:spacing w:after="100"/>
              <w:rPr>
                <w:rFonts w:eastAsia="Times New Roman"/>
                <w:sz w:val="20"/>
                <w:szCs w:val="20"/>
              </w:rPr>
            </w:pPr>
          </w:p>
        </w:tc>
        <w:tc>
          <w:tcPr>
            <w:tcW w:w="945" w:type="pct"/>
            <w:vAlign w:val="center"/>
            <w:hideMark/>
          </w:tcPr>
          <w:p w14:paraId="724BBF59" w14:textId="77777777" w:rsidR="00000000" w:rsidRDefault="00405D16">
            <w:pPr>
              <w:spacing w:after="100"/>
              <w:rPr>
                <w:rFonts w:eastAsia="Times New Roman"/>
                <w:sz w:val="20"/>
                <w:szCs w:val="20"/>
              </w:rPr>
            </w:pPr>
          </w:p>
        </w:tc>
        <w:tc>
          <w:tcPr>
            <w:tcW w:w="5" w:type="pct"/>
            <w:vAlign w:val="center"/>
            <w:hideMark/>
          </w:tcPr>
          <w:p w14:paraId="5EF8B20A" w14:textId="77777777" w:rsidR="00000000" w:rsidRDefault="00405D16">
            <w:pPr>
              <w:spacing w:after="100"/>
              <w:rPr>
                <w:rFonts w:eastAsia="Times New Roman"/>
                <w:sz w:val="20"/>
                <w:szCs w:val="20"/>
              </w:rPr>
            </w:pPr>
          </w:p>
        </w:tc>
      </w:tr>
      <w:tr w:rsidR="00000000" w14:paraId="7E5DF8E3" w14:textId="77777777">
        <w:trPr>
          <w:trHeight w:val="60"/>
          <w:jc w:val="center"/>
        </w:trPr>
        <w:tc>
          <w:tcPr>
            <w:tcW w:w="0" w:type="auto"/>
            <w:gridSpan w:val="15"/>
            <w:tcBorders>
              <w:top w:val="single" w:sz="18" w:space="0" w:color="000000"/>
            </w:tcBorders>
            <w:tcMar>
              <w:top w:w="0" w:type="dxa"/>
              <w:left w:w="20" w:type="dxa"/>
              <w:bottom w:w="0" w:type="dxa"/>
              <w:right w:w="20" w:type="dxa"/>
            </w:tcMar>
            <w:vAlign w:val="center"/>
            <w:hideMark/>
          </w:tcPr>
          <w:p w14:paraId="0ED0E13F" w14:textId="77777777" w:rsidR="00000000" w:rsidRDefault="00405D16">
            <w:pPr>
              <w:spacing w:after="100"/>
              <w:rPr>
                <w:rFonts w:eastAsia="Times New Roman"/>
                <w:sz w:val="20"/>
                <w:szCs w:val="20"/>
              </w:rPr>
            </w:pPr>
          </w:p>
        </w:tc>
      </w:tr>
    </w:tbl>
    <w:p w14:paraId="762215D8" w14:textId="77777777" w:rsidR="00000000" w:rsidRDefault="00405D16">
      <w:pPr>
        <w:jc w:val="both"/>
        <w:divId w:val="623734279"/>
        <w:rPr>
          <w:rFonts w:eastAsia="Times New Roman"/>
        </w:rPr>
      </w:pPr>
    </w:p>
    <w:p w14:paraId="14AD0991" w14:textId="77777777" w:rsidR="00000000" w:rsidRDefault="00405D16">
      <w:pPr>
        <w:rPr>
          <w:rFonts w:eastAsia="Times New Roman"/>
        </w:rPr>
      </w:pPr>
      <w:r>
        <w:rPr>
          <w:rFonts w:eastAsia="Times New Roman"/>
        </w:rPr>
        <w:pict w14:anchorId="257CC72E">
          <v:rect id="_x0000_i1025" style="width:0;height:1.5pt" o:hralign="center" o:hrstd="t" o:hr="t" fillcolor="#a0a0a0" stroked="f"/>
        </w:pict>
      </w:r>
    </w:p>
    <w:p w14:paraId="4D54AA29" w14:textId="77777777" w:rsidR="00000000" w:rsidRDefault="00405D16">
      <w:pPr>
        <w:jc w:val="both"/>
        <w:divId w:val="1249852644"/>
        <w:rPr>
          <w:rFonts w:eastAsia="Times New Roman"/>
        </w:rPr>
      </w:pPr>
    </w:p>
    <w:p w14:paraId="4410C05C" w14:textId="77777777" w:rsidR="00000000" w:rsidRDefault="00405D16">
      <w:pPr>
        <w:jc w:val="center"/>
        <w:divId w:val="971905142"/>
        <w:rPr>
          <w:rFonts w:eastAsia="Times New Roman"/>
        </w:rPr>
      </w:pPr>
      <w:r>
        <w:rPr>
          <w:rFonts w:eastAsia="Times New Roman"/>
          <w:b/>
          <w:bCs/>
          <w:color w:val="000000"/>
          <w:sz w:val="20"/>
          <w:szCs w:val="20"/>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75"/>
        <w:gridCol w:w="568"/>
        <w:gridCol w:w="37"/>
        <w:gridCol w:w="69"/>
        <w:gridCol w:w="6842"/>
        <w:gridCol w:w="36"/>
        <w:gridCol w:w="69"/>
        <w:gridCol w:w="574"/>
        <w:gridCol w:w="36"/>
      </w:tblGrid>
      <w:tr w:rsidR="00000000" w14:paraId="6DF83A13" w14:textId="77777777">
        <w:trPr>
          <w:divId w:val="9841312"/>
        </w:trPr>
        <w:tc>
          <w:tcPr>
            <w:tcW w:w="50" w:type="pct"/>
            <w:vAlign w:val="center"/>
            <w:hideMark/>
          </w:tcPr>
          <w:p w14:paraId="51B05E9D" w14:textId="77777777" w:rsidR="00000000" w:rsidRDefault="00405D16">
            <w:pPr>
              <w:jc w:val="center"/>
              <w:rPr>
                <w:rFonts w:eastAsia="Times New Roman"/>
              </w:rPr>
            </w:pPr>
          </w:p>
        </w:tc>
        <w:tc>
          <w:tcPr>
            <w:tcW w:w="354" w:type="pct"/>
            <w:vAlign w:val="center"/>
            <w:hideMark/>
          </w:tcPr>
          <w:p w14:paraId="762A9B07" w14:textId="77777777" w:rsidR="00000000" w:rsidRDefault="00405D16">
            <w:pPr>
              <w:spacing w:after="100"/>
              <w:rPr>
                <w:rFonts w:eastAsia="Times New Roman"/>
                <w:sz w:val="20"/>
                <w:szCs w:val="20"/>
              </w:rPr>
            </w:pPr>
          </w:p>
        </w:tc>
        <w:tc>
          <w:tcPr>
            <w:tcW w:w="5" w:type="pct"/>
            <w:vAlign w:val="center"/>
            <w:hideMark/>
          </w:tcPr>
          <w:p w14:paraId="5B8A4E42" w14:textId="77777777" w:rsidR="00000000" w:rsidRDefault="00405D16">
            <w:pPr>
              <w:spacing w:after="100"/>
              <w:rPr>
                <w:rFonts w:eastAsia="Times New Roman"/>
                <w:sz w:val="20"/>
                <w:szCs w:val="20"/>
              </w:rPr>
            </w:pPr>
          </w:p>
        </w:tc>
        <w:tc>
          <w:tcPr>
            <w:tcW w:w="50" w:type="pct"/>
            <w:vAlign w:val="center"/>
            <w:hideMark/>
          </w:tcPr>
          <w:p w14:paraId="63E91769" w14:textId="77777777" w:rsidR="00000000" w:rsidRDefault="00405D16">
            <w:pPr>
              <w:spacing w:after="100"/>
              <w:rPr>
                <w:rFonts w:eastAsia="Times New Roman"/>
                <w:sz w:val="20"/>
                <w:szCs w:val="20"/>
              </w:rPr>
            </w:pPr>
          </w:p>
        </w:tc>
        <w:tc>
          <w:tcPr>
            <w:tcW w:w="4126" w:type="pct"/>
            <w:vAlign w:val="center"/>
            <w:hideMark/>
          </w:tcPr>
          <w:p w14:paraId="00340465" w14:textId="77777777" w:rsidR="00000000" w:rsidRDefault="00405D16">
            <w:pPr>
              <w:spacing w:after="100"/>
              <w:rPr>
                <w:rFonts w:eastAsia="Times New Roman"/>
                <w:sz w:val="20"/>
                <w:szCs w:val="20"/>
              </w:rPr>
            </w:pPr>
          </w:p>
        </w:tc>
        <w:tc>
          <w:tcPr>
            <w:tcW w:w="5" w:type="pct"/>
            <w:vAlign w:val="center"/>
            <w:hideMark/>
          </w:tcPr>
          <w:p w14:paraId="669943B9" w14:textId="77777777" w:rsidR="00000000" w:rsidRDefault="00405D16">
            <w:pPr>
              <w:spacing w:after="100"/>
              <w:rPr>
                <w:rFonts w:eastAsia="Times New Roman"/>
                <w:sz w:val="20"/>
                <w:szCs w:val="20"/>
              </w:rPr>
            </w:pPr>
          </w:p>
        </w:tc>
        <w:tc>
          <w:tcPr>
            <w:tcW w:w="50" w:type="pct"/>
            <w:vAlign w:val="center"/>
            <w:hideMark/>
          </w:tcPr>
          <w:p w14:paraId="20C7F06B" w14:textId="77777777" w:rsidR="00000000" w:rsidRDefault="00405D16">
            <w:pPr>
              <w:spacing w:after="100"/>
              <w:rPr>
                <w:rFonts w:eastAsia="Times New Roman"/>
                <w:sz w:val="20"/>
                <w:szCs w:val="20"/>
              </w:rPr>
            </w:pPr>
          </w:p>
        </w:tc>
        <w:tc>
          <w:tcPr>
            <w:tcW w:w="354" w:type="pct"/>
            <w:vAlign w:val="center"/>
            <w:hideMark/>
          </w:tcPr>
          <w:p w14:paraId="315F036D" w14:textId="77777777" w:rsidR="00000000" w:rsidRDefault="00405D16">
            <w:pPr>
              <w:spacing w:after="100"/>
              <w:rPr>
                <w:rFonts w:eastAsia="Times New Roman"/>
                <w:sz w:val="20"/>
                <w:szCs w:val="20"/>
              </w:rPr>
            </w:pPr>
          </w:p>
        </w:tc>
        <w:tc>
          <w:tcPr>
            <w:tcW w:w="5" w:type="pct"/>
            <w:vAlign w:val="center"/>
            <w:hideMark/>
          </w:tcPr>
          <w:p w14:paraId="25133C2C" w14:textId="77777777" w:rsidR="00000000" w:rsidRDefault="00405D16">
            <w:pPr>
              <w:spacing w:after="100"/>
              <w:rPr>
                <w:rFonts w:eastAsia="Times New Roman"/>
                <w:sz w:val="20"/>
                <w:szCs w:val="20"/>
              </w:rPr>
            </w:pPr>
          </w:p>
        </w:tc>
      </w:tr>
      <w:tr w:rsidR="00000000" w14:paraId="69549C82" w14:textId="77777777">
        <w:trPr>
          <w:divId w:val="9841312"/>
        </w:trPr>
        <w:tc>
          <w:tcPr>
            <w:tcW w:w="0" w:type="auto"/>
            <w:gridSpan w:val="3"/>
            <w:tcMar>
              <w:top w:w="0" w:type="dxa"/>
              <w:left w:w="20" w:type="dxa"/>
              <w:bottom w:w="0" w:type="dxa"/>
              <w:right w:w="20" w:type="dxa"/>
            </w:tcMar>
            <w:vAlign w:val="center"/>
            <w:hideMark/>
          </w:tcPr>
          <w:p w14:paraId="66D8DFCA"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90E3003"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0549E96" w14:textId="77777777" w:rsidR="00000000" w:rsidRDefault="00405D16">
            <w:pPr>
              <w:spacing w:after="100"/>
              <w:jc w:val="center"/>
              <w:rPr>
                <w:rFonts w:eastAsia="Times New Roman"/>
              </w:rPr>
            </w:pPr>
            <w:r>
              <w:rPr>
                <w:rFonts w:eastAsia="Times New Roman"/>
                <w:b/>
                <w:bCs/>
                <w:color w:val="000000"/>
                <w:sz w:val="20"/>
                <w:szCs w:val="20"/>
              </w:rPr>
              <w:t>Page</w:t>
            </w:r>
          </w:p>
        </w:tc>
      </w:tr>
      <w:tr w:rsidR="00000000" w14:paraId="05D196A3" w14:textId="77777777">
        <w:trPr>
          <w:divId w:val="9841312"/>
        </w:trPr>
        <w:tc>
          <w:tcPr>
            <w:tcW w:w="0" w:type="auto"/>
            <w:gridSpan w:val="6"/>
            <w:tcMar>
              <w:top w:w="30" w:type="dxa"/>
              <w:left w:w="20" w:type="dxa"/>
              <w:bottom w:w="30" w:type="dxa"/>
              <w:right w:w="20" w:type="dxa"/>
            </w:tcMar>
            <w:vAlign w:val="bottom"/>
            <w:hideMark/>
          </w:tcPr>
          <w:p w14:paraId="6E051405" w14:textId="77777777" w:rsidR="00000000" w:rsidRDefault="00405D16">
            <w:pPr>
              <w:spacing w:after="100"/>
              <w:divId w:val="1847597063"/>
              <w:rPr>
                <w:rFonts w:eastAsia="Times New Roman"/>
              </w:rPr>
            </w:pPr>
            <w:hyperlink w:anchor="idd54a04a485440b4ab4e56094c14d612_67" w:history="1">
              <w:r>
                <w:rPr>
                  <w:rStyle w:val="a3"/>
                  <w:rFonts w:eastAsia="Times New Roman"/>
                  <w:b/>
                  <w:bCs/>
                  <w:color w:val="000000"/>
                  <w:sz w:val="20"/>
                  <w:szCs w:val="20"/>
                  <w:u w:val="none"/>
                </w:rPr>
                <w:t>PART I—FINANCIAL INFORMATION</w:t>
              </w:r>
            </w:hyperlink>
          </w:p>
        </w:tc>
        <w:tc>
          <w:tcPr>
            <w:tcW w:w="0" w:type="auto"/>
            <w:gridSpan w:val="3"/>
            <w:tcMar>
              <w:top w:w="30" w:type="dxa"/>
              <w:left w:w="20" w:type="dxa"/>
              <w:bottom w:w="30" w:type="dxa"/>
              <w:right w:w="20" w:type="dxa"/>
            </w:tcMar>
            <w:vAlign w:val="bottom"/>
            <w:hideMark/>
          </w:tcPr>
          <w:p w14:paraId="53DDFA21" w14:textId="77777777" w:rsidR="00000000" w:rsidRDefault="00405D16">
            <w:pPr>
              <w:spacing w:after="100"/>
              <w:jc w:val="center"/>
              <w:rPr>
                <w:rFonts w:eastAsia="Times New Roman"/>
              </w:rPr>
            </w:pPr>
            <w:hyperlink w:anchor="idd54a04a485440b4ab4e56094c14d612_67" w:history="1">
              <w:r>
                <w:rPr>
                  <w:rStyle w:val="a3"/>
                  <w:rFonts w:eastAsia="Times New Roman"/>
                  <w:b/>
                  <w:bCs/>
                  <w:color w:val="000000"/>
                  <w:sz w:val="20"/>
                  <w:szCs w:val="20"/>
                  <w:u w:val="none"/>
                </w:rPr>
                <w:t>4</w:t>
              </w:r>
            </w:hyperlink>
          </w:p>
        </w:tc>
      </w:tr>
      <w:tr w:rsidR="00000000" w14:paraId="3F25B15A" w14:textId="77777777">
        <w:trPr>
          <w:divId w:val="9841312"/>
        </w:trPr>
        <w:tc>
          <w:tcPr>
            <w:tcW w:w="0" w:type="auto"/>
            <w:gridSpan w:val="3"/>
            <w:vAlign w:val="center"/>
            <w:hideMark/>
          </w:tcPr>
          <w:p w14:paraId="548CAC1A" w14:textId="77777777" w:rsidR="00000000" w:rsidRDefault="00405D16">
            <w:pPr>
              <w:spacing w:after="100"/>
              <w:jc w:val="center"/>
              <w:rPr>
                <w:rFonts w:eastAsia="Times New Roman"/>
              </w:rPr>
            </w:pPr>
          </w:p>
        </w:tc>
        <w:tc>
          <w:tcPr>
            <w:tcW w:w="0" w:type="auto"/>
            <w:gridSpan w:val="3"/>
            <w:vAlign w:val="center"/>
            <w:hideMark/>
          </w:tcPr>
          <w:p w14:paraId="33B346D3" w14:textId="77777777" w:rsidR="00000000" w:rsidRDefault="00405D16">
            <w:pPr>
              <w:spacing w:after="100"/>
              <w:rPr>
                <w:rFonts w:eastAsia="Times New Roman"/>
                <w:sz w:val="20"/>
                <w:szCs w:val="20"/>
              </w:rPr>
            </w:pPr>
          </w:p>
        </w:tc>
        <w:tc>
          <w:tcPr>
            <w:tcW w:w="0" w:type="auto"/>
            <w:gridSpan w:val="3"/>
            <w:vAlign w:val="center"/>
            <w:hideMark/>
          </w:tcPr>
          <w:p w14:paraId="7FB0DD46" w14:textId="77777777" w:rsidR="00000000" w:rsidRDefault="00405D16">
            <w:pPr>
              <w:spacing w:after="100"/>
              <w:rPr>
                <w:rFonts w:eastAsia="Times New Roman"/>
                <w:sz w:val="20"/>
                <w:szCs w:val="20"/>
              </w:rPr>
            </w:pPr>
          </w:p>
        </w:tc>
      </w:tr>
      <w:tr w:rsidR="00000000" w14:paraId="5F340A5D" w14:textId="77777777">
        <w:trPr>
          <w:divId w:val="9841312"/>
        </w:trPr>
        <w:tc>
          <w:tcPr>
            <w:tcW w:w="0" w:type="auto"/>
            <w:gridSpan w:val="3"/>
            <w:vAlign w:val="center"/>
            <w:hideMark/>
          </w:tcPr>
          <w:p w14:paraId="2411AB54" w14:textId="77777777" w:rsidR="00000000" w:rsidRDefault="00405D16">
            <w:pPr>
              <w:spacing w:after="100"/>
              <w:rPr>
                <w:rFonts w:eastAsia="Times New Roman"/>
                <w:sz w:val="20"/>
                <w:szCs w:val="20"/>
              </w:rPr>
            </w:pPr>
          </w:p>
        </w:tc>
        <w:tc>
          <w:tcPr>
            <w:tcW w:w="0" w:type="auto"/>
            <w:gridSpan w:val="3"/>
            <w:vAlign w:val="center"/>
            <w:hideMark/>
          </w:tcPr>
          <w:p w14:paraId="54E682FE" w14:textId="77777777" w:rsidR="00000000" w:rsidRDefault="00405D16">
            <w:pPr>
              <w:spacing w:after="100"/>
              <w:rPr>
                <w:rFonts w:eastAsia="Times New Roman"/>
                <w:sz w:val="20"/>
                <w:szCs w:val="20"/>
              </w:rPr>
            </w:pPr>
          </w:p>
        </w:tc>
        <w:tc>
          <w:tcPr>
            <w:tcW w:w="0" w:type="auto"/>
            <w:gridSpan w:val="3"/>
            <w:vAlign w:val="center"/>
            <w:hideMark/>
          </w:tcPr>
          <w:p w14:paraId="2A3C1D12" w14:textId="77777777" w:rsidR="00000000" w:rsidRDefault="00405D16">
            <w:pPr>
              <w:spacing w:after="100"/>
              <w:rPr>
                <w:rFonts w:eastAsia="Times New Roman"/>
                <w:sz w:val="20"/>
                <w:szCs w:val="20"/>
              </w:rPr>
            </w:pPr>
          </w:p>
        </w:tc>
      </w:tr>
      <w:tr w:rsidR="00000000" w14:paraId="74B81EA5" w14:textId="77777777">
        <w:trPr>
          <w:divId w:val="9841312"/>
        </w:trPr>
        <w:tc>
          <w:tcPr>
            <w:tcW w:w="0" w:type="auto"/>
            <w:gridSpan w:val="3"/>
            <w:vAlign w:val="center"/>
            <w:hideMark/>
          </w:tcPr>
          <w:p w14:paraId="6A7E6EEB" w14:textId="77777777" w:rsidR="00000000" w:rsidRDefault="00405D16">
            <w:pPr>
              <w:spacing w:after="100"/>
              <w:rPr>
                <w:rFonts w:eastAsia="Times New Roman"/>
                <w:sz w:val="20"/>
                <w:szCs w:val="20"/>
              </w:rPr>
            </w:pPr>
          </w:p>
        </w:tc>
        <w:tc>
          <w:tcPr>
            <w:tcW w:w="0" w:type="auto"/>
            <w:gridSpan w:val="3"/>
            <w:vAlign w:val="center"/>
            <w:hideMark/>
          </w:tcPr>
          <w:p w14:paraId="0F72251C" w14:textId="77777777" w:rsidR="00000000" w:rsidRDefault="00405D16">
            <w:pPr>
              <w:spacing w:after="100"/>
              <w:rPr>
                <w:rFonts w:eastAsia="Times New Roman"/>
                <w:sz w:val="20"/>
                <w:szCs w:val="20"/>
              </w:rPr>
            </w:pPr>
          </w:p>
        </w:tc>
        <w:tc>
          <w:tcPr>
            <w:tcW w:w="0" w:type="auto"/>
            <w:gridSpan w:val="3"/>
            <w:vAlign w:val="center"/>
            <w:hideMark/>
          </w:tcPr>
          <w:p w14:paraId="290660B1" w14:textId="77777777" w:rsidR="00000000" w:rsidRDefault="00405D16">
            <w:pPr>
              <w:spacing w:after="100"/>
              <w:rPr>
                <w:rFonts w:eastAsia="Times New Roman"/>
                <w:sz w:val="20"/>
                <w:szCs w:val="20"/>
              </w:rPr>
            </w:pPr>
          </w:p>
        </w:tc>
      </w:tr>
      <w:tr w:rsidR="00000000" w14:paraId="5E7D8409" w14:textId="77777777">
        <w:trPr>
          <w:divId w:val="9841312"/>
        </w:trPr>
        <w:tc>
          <w:tcPr>
            <w:tcW w:w="0" w:type="auto"/>
            <w:gridSpan w:val="3"/>
            <w:vAlign w:val="center"/>
            <w:hideMark/>
          </w:tcPr>
          <w:p w14:paraId="567C908F" w14:textId="77777777" w:rsidR="00000000" w:rsidRDefault="00405D16">
            <w:pPr>
              <w:spacing w:after="100"/>
              <w:rPr>
                <w:rFonts w:eastAsia="Times New Roman"/>
                <w:sz w:val="20"/>
                <w:szCs w:val="20"/>
              </w:rPr>
            </w:pPr>
          </w:p>
        </w:tc>
        <w:tc>
          <w:tcPr>
            <w:tcW w:w="0" w:type="auto"/>
            <w:gridSpan w:val="3"/>
            <w:vAlign w:val="center"/>
            <w:hideMark/>
          </w:tcPr>
          <w:p w14:paraId="03C29818" w14:textId="77777777" w:rsidR="00000000" w:rsidRDefault="00405D16">
            <w:pPr>
              <w:spacing w:after="100"/>
              <w:rPr>
                <w:rFonts w:eastAsia="Times New Roman"/>
                <w:sz w:val="20"/>
                <w:szCs w:val="20"/>
              </w:rPr>
            </w:pPr>
          </w:p>
        </w:tc>
        <w:tc>
          <w:tcPr>
            <w:tcW w:w="0" w:type="auto"/>
            <w:gridSpan w:val="3"/>
            <w:vAlign w:val="center"/>
            <w:hideMark/>
          </w:tcPr>
          <w:p w14:paraId="5B517189" w14:textId="77777777" w:rsidR="00000000" w:rsidRDefault="00405D16">
            <w:pPr>
              <w:spacing w:after="100"/>
              <w:rPr>
                <w:rFonts w:eastAsia="Times New Roman"/>
                <w:sz w:val="20"/>
                <w:szCs w:val="20"/>
              </w:rPr>
            </w:pPr>
          </w:p>
        </w:tc>
      </w:tr>
      <w:tr w:rsidR="00000000" w14:paraId="656CFB97" w14:textId="77777777">
        <w:trPr>
          <w:divId w:val="9841312"/>
        </w:trPr>
        <w:tc>
          <w:tcPr>
            <w:tcW w:w="0" w:type="auto"/>
            <w:gridSpan w:val="3"/>
            <w:vAlign w:val="center"/>
            <w:hideMark/>
          </w:tcPr>
          <w:p w14:paraId="103F435C" w14:textId="77777777" w:rsidR="00000000" w:rsidRDefault="00405D16">
            <w:pPr>
              <w:spacing w:after="100"/>
              <w:rPr>
                <w:rFonts w:eastAsia="Times New Roman"/>
                <w:sz w:val="20"/>
                <w:szCs w:val="20"/>
              </w:rPr>
            </w:pPr>
          </w:p>
        </w:tc>
        <w:tc>
          <w:tcPr>
            <w:tcW w:w="0" w:type="auto"/>
            <w:gridSpan w:val="3"/>
            <w:vAlign w:val="center"/>
            <w:hideMark/>
          </w:tcPr>
          <w:p w14:paraId="6607DE16" w14:textId="77777777" w:rsidR="00000000" w:rsidRDefault="00405D16">
            <w:pPr>
              <w:spacing w:after="100"/>
              <w:rPr>
                <w:rFonts w:eastAsia="Times New Roman"/>
                <w:sz w:val="20"/>
                <w:szCs w:val="20"/>
              </w:rPr>
            </w:pPr>
          </w:p>
        </w:tc>
        <w:tc>
          <w:tcPr>
            <w:tcW w:w="0" w:type="auto"/>
            <w:gridSpan w:val="3"/>
            <w:vAlign w:val="center"/>
            <w:hideMark/>
          </w:tcPr>
          <w:p w14:paraId="56DFDEA3" w14:textId="77777777" w:rsidR="00000000" w:rsidRDefault="00405D16">
            <w:pPr>
              <w:spacing w:after="100"/>
              <w:rPr>
                <w:rFonts w:eastAsia="Times New Roman"/>
                <w:sz w:val="20"/>
                <w:szCs w:val="20"/>
              </w:rPr>
            </w:pPr>
          </w:p>
        </w:tc>
      </w:tr>
      <w:tr w:rsidR="00000000" w14:paraId="4045AEB7" w14:textId="77777777">
        <w:trPr>
          <w:divId w:val="9841312"/>
        </w:trPr>
        <w:tc>
          <w:tcPr>
            <w:tcW w:w="0" w:type="auto"/>
            <w:gridSpan w:val="3"/>
            <w:vAlign w:val="center"/>
            <w:hideMark/>
          </w:tcPr>
          <w:p w14:paraId="20FCAAAC" w14:textId="77777777" w:rsidR="00000000" w:rsidRDefault="00405D16">
            <w:pPr>
              <w:spacing w:after="100"/>
              <w:rPr>
                <w:rFonts w:eastAsia="Times New Roman"/>
                <w:sz w:val="20"/>
                <w:szCs w:val="20"/>
              </w:rPr>
            </w:pPr>
          </w:p>
        </w:tc>
        <w:tc>
          <w:tcPr>
            <w:tcW w:w="0" w:type="auto"/>
            <w:gridSpan w:val="3"/>
            <w:vAlign w:val="center"/>
            <w:hideMark/>
          </w:tcPr>
          <w:p w14:paraId="182C41A8" w14:textId="77777777" w:rsidR="00000000" w:rsidRDefault="00405D16">
            <w:pPr>
              <w:spacing w:after="100"/>
              <w:rPr>
                <w:rFonts w:eastAsia="Times New Roman"/>
                <w:sz w:val="20"/>
                <w:szCs w:val="20"/>
              </w:rPr>
            </w:pPr>
          </w:p>
        </w:tc>
        <w:tc>
          <w:tcPr>
            <w:tcW w:w="0" w:type="auto"/>
            <w:gridSpan w:val="3"/>
            <w:vAlign w:val="center"/>
            <w:hideMark/>
          </w:tcPr>
          <w:p w14:paraId="74DF9435" w14:textId="77777777" w:rsidR="00000000" w:rsidRDefault="00405D16">
            <w:pPr>
              <w:spacing w:after="100"/>
              <w:rPr>
                <w:rFonts w:eastAsia="Times New Roman"/>
                <w:sz w:val="20"/>
                <w:szCs w:val="20"/>
              </w:rPr>
            </w:pPr>
          </w:p>
        </w:tc>
      </w:tr>
      <w:tr w:rsidR="00000000" w14:paraId="35201F36" w14:textId="77777777">
        <w:trPr>
          <w:divId w:val="9841312"/>
        </w:trPr>
        <w:tc>
          <w:tcPr>
            <w:tcW w:w="0" w:type="auto"/>
            <w:gridSpan w:val="3"/>
            <w:vAlign w:val="center"/>
            <w:hideMark/>
          </w:tcPr>
          <w:p w14:paraId="4C4C66E4" w14:textId="77777777" w:rsidR="00000000" w:rsidRDefault="00405D16">
            <w:pPr>
              <w:spacing w:after="100"/>
              <w:rPr>
                <w:rFonts w:eastAsia="Times New Roman"/>
                <w:sz w:val="20"/>
                <w:szCs w:val="20"/>
              </w:rPr>
            </w:pPr>
          </w:p>
        </w:tc>
        <w:tc>
          <w:tcPr>
            <w:tcW w:w="0" w:type="auto"/>
            <w:gridSpan w:val="3"/>
            <w:vAlign w:val="center"/>
            <w:hideMark/>
          </w:tcPr>
          <w:p w14:paraId="2A140C73" w14:textId="77777777" w:rsidR="00000000" w:rsidRDefault="00405D16">
            <w:pPr>
              <w:spacing w:after="100"/>
              <w:rPr>
                <w:rFonts w:eastAsia="Times New Roman"/>
                <w:sz w:val="20"/>
                <w:szCs w:val="20"/>
              </w:rPr>
            </w:pPr>
          </w:p>
        </w:tc>
        <w:tc>
          <w:tcPr>
            <w:tcW w:w="0" w:type="auto"/>
            <w:gridSpan w:val="3"/>
            <w:vAlign w:val="center"/>
            <w:hideMark/>
          </w:tcPr>
          <w:p w14:paraId="5E2E6687" w14:textId="77777777" w:rsidR="00000000" w:rsidRDefault="00405D16">
            <w:pPr>
              <w:spacing w:after="100"/>
              <w:rPr>
                <w:rFonts w:eastAsia="Times New Roman"/>
                <w:sz w:val="20"/>
                <w:szCs w:val="20"/>
              </w:rPr>
            </w:pPr>
          </w:p>
        </w:tc>
      </w:tr>
      <w:tr w:rsidR="00000000" w14:paraId="26107E20" w14:textId="77777777">
        <w:trPr>
          <w:divId w:val="9841312"/>
        </w:trPr>
        <w:tc>
          <w:tcPr>
            <w:tcW w:w="0" w:type="auto"/>
            <w:gridSpan w:val="3"/>
            <w:vAlign w:val="center"/>
            <w:hideMark/>
          </w:tcPr>
          <w:p w14:paraId="2C5A301D" w14:textId="77777777" w:rsidR="00000000" w:rsidRDefault="00405D16">
            <w:pPr>
              <w:spacing w:after="100"/>
              <w:rPr>
                <w:rFonts w:eastAsia="Times New Roman"/>
                <w:sz w:val="20"/>
                <w:szCs w:val="20"/>
              </w:rPr>
            </w:pPr>
          </w:p>
        </w:tc>
        <w:tc>
          <w:tcPr>
            <w:tcW w:w="0" w:type="auto"/>
            <w:gridSpan w:val="3"/>
            <w:vAlign w:val="center"/>
            <w:hideMark/>
          </w:tcPr>
          <w:p w14:paraId="1AF485AE" w14:textId="77777777" w:rsidR="00000000" w:rsidRDefault="00405D16">
            <w:pPr>
              <w:spacing w:after="100"/>
              <w:rPr>
                <w:rFonts w:eastAsia="Times New Roman"/>
                <w:sz w:val="20"/>
                <w:szCs w:val="20"/>
              </w:rPr>
            </w:pPr>
          </w:p>
        </w:tc>
        <w:tc>
          <w:tcPr>
            <w:tcW w:w="0" w:type="auto"/>
            <w:gridSpan w:val="3"/>
            <w:vAlign w:val="center"/>
            <w:hideMark/>
          </w:tcPr>
          <w:p w14:paraId="31B92014" w14:textId="77777777" w:rsidR="00000000" w:rsidRDefault="00405D16">
            <w:pPr>
              <w:spacing w:after="100"/>
              <w:rPr>
                <w:rFonts w:eastAsia="Times New Roman"/>
                <w:sz w:val="20"/>
                <w:szCs w:val="20"/>
              </w:rPr>
            </w:pPr>
          </w:p>
        </w:tc>
      </w:tr>
      <w:tr w:rsidR="00000000" w14:paraId="49796877" w14:textId="77777777">
        <w:trPr>
          <w:divId w:val="9841312"/>
        </w:trPr>
        <w:tc>
          <w:tcPr>
            <w:tcW w:w="0" w:type="auto"/>
            <w:gridSpan w:val="3"/>
            <w:vAlign w:val="center"/>
            <w:hideMark/>
          </w:tcPr>
          <w:p w14:paraId="61C369D0" w14:textId="77777777" w:rsidR="00000000" w:rsidRDefault="00405D16">
            <w:pPr>
              <w:spacing w:after="100"/>
              <w:rPr>
                <w:rFonts w:eastAsia="Times New Roman"/>
                <w:sz w:val="20"/>
                <w:szCs w:val="20"/>
              </w:rPr>
            </w:pPr>
          </w:p>
        </w:tc>
        <w:tc>
          <w:tcPr>
            <w:tcW w:w="0" w:type="auto"/>
            <w:gridSpan w:val="3"/>
            <w:vAlign w:val="center"/>
            <w:hideMark/>
          </w:tcPr>
          <w:p w14:paraId="20BF48C0" w14:textId="77777777" w:rsidR="00000000" w:rsidRDefault="00405D16">
            <w:pPr>
              <w:spacing w:after="100"/>
              <w:rPr>
                <w:rFonts w:eastAsia="Times New Roman"/>
                <w:sz w:val="20"/>
                <w:szCs w:val="20"/>
              </w:rPr>
            </w:pPr>
          </w:p>
        </w:tc>
        <w:tc>
          <w:tcPr>
            <w:tcW w:w="0" w:type="auto"/>
            <w:gridSpan w:val="3"/>
            <w:vAlign w:val="center"/>
            <w:hideMark/>
          </w:tcPr>
          <w:p w14:paraId="6556AEB6" w14:textId="77777777" w:rsidR="00000000" w:rsidRDefault="00405D16">
            <w:pPr>
              <w:spacing w:after="100"/>
              <w:rPr>
                <w:rFonts w:eastAsia="Times New Roman"/>
                <w:sz w:val="20"/>
                <w:szCs w:val="20"/>
              </w:rPr>
            </w:pPr>
          </w:p>
        </w:tc>
      </w:tr>
      <w:tr w:rsidR="00000000" w14:paraId="0448DAF0" w14:textId="77777777">
        <w:trPr>
          <w:divId w:val="9841312"/>
        </w:trPr>
        <w:tc>
          <w:tcPr>
            <w:tcW w:w="0" w:type="auto"/>
            <w:gridSpan w:val="3"/>
            <w:vAlign w:val="center"/>
            <w:hideMark/>
          </w:tcPr>
          <w:p w14:paraId="51A969BB" w14:textId="77777777" w:rsidR="00000000" w:rsidRDefault="00405D16">
            <w:pPr>
              <w:spacing w:after="100"/>
              <w:rPr>
                <w:rFonts w:eastAsia="Times New Roman"/>
                <w:sz w:val="20"/>
                <w:szCs w:val="20"/>
              </w:rPr>
            </w:pPr>
          </w:p>
        </w:tc>
        <w:tc>
          <w:tcPr>
            <w:tcW w:w="0" w:type="auto"/>
            <w:gridSpan w:val="3"/>
            <w:vAlign w:val="center"/>
            <w:hideMark/>
          </w:tcPr>
          <w:p w14:paraId="6B4A163B" w14:textId="77777777" w:rsidR="00000000" w:rsidRDefault="00405D16">
            <w:pPr>
              <w:spacing w:after="100"/>
              <w:rPr>
                <w:rFonts w:eastAsia="Times New Roman"/>
                <w:sz w:val="20"/>
                <w:szCs w:val="20"/>
              </w:rPr>
            </w:pPr>
          </w:p>
        </w:tc>
        <w:tc>
          <w:tcPr>
            <w:tcW w:w="0" w:type="auto"/>
            <w:gridSpan w:val="3"/>
            <w:vAlign w:val="center"/>
            <w:hideMark/>
          </w:tcPr>
          <w:p w14:paraId="1443B379" w14:textId="77777777" w:rsidR="00000000" w:rsidRDefault="00405D16">
            <w:pPr>
              <w:spacing w:after="100"/>
              <w:rPr>
                <w:rFonts w:eastAsia="Times New Roman"/>
                <w:sz w:val="20"/>
                <w:szCs w:val="20"/>
              </w:rPr>
            </w:pPr>
          </w:p>
        </w:tc>
      </w:tr>
      <w:tr w:rsidR="00000000" w14:paraId="1952FAD1" w14:textId="77777777">
        <w:trPr>
          <w:divId w:val="9841312"/>
        </w:trPr>
        <w:tc>
          <w:tcPr>
            <w:tcW w:w="0" w:type="auto"/>
            <w:gridSpan w:val="3"/>
            <w:vAlign w:val="center"/>
            <w:hideMark/>
          </w:tcPr>
          <w:p w14:paraId="7A03E294" w14:textId="77777777" w:rsidR="00000000" w:rsidRDefault="00405D16">
            <w:pPr>
              <w:spacing w:after="100"/>
              <w:rPr>
                <w:rFonts w:eastAsia="Times New Roman"/>
                <w:sz w:val="20"/>
                <w:szCs w:val="20"/>
              </w:rPr>
            </w:pPr>
          </w:p>
        </w:tc>
        <w:tc>
          <w:tcPr>
            <w:tcW w:w="0" w:type="auto"/>
            <w:gridSpan w:val="3"/>
            <w:vAlign w:val="center"/>
            <w:hideMark/>
          </w:tcPr>
          <w:p w14:paraId="02184D38" w14:textId="77777777" w:rsidR="00000000" w:rsidRDefault="00405D16">
            <w:pPr>
              <w:spacing w:after="100"/>
              <w:rPr>
                <w:rFonts w:eastAsia="Times New Roman"/>
                <w:sz w:val="20"/>
                <w:szCs w:val="20"/>
              </w:rPr>
            </w:pPr>
          </w:p>
        </w:tc>
        <w:tc>
          <w:tcPr>
            <w:tcW w:w="0" w:type="auto"/>
            <w:gridSpan w:val="3"/>
            <w:vAlign w:val="center"/>
            <w:hideMark/>
          </w:tcPr>
          <w:p w14:paraId="7956FDC9" w14:textId="77777777" w:rsidR="00000000" w:rsidRDefault="00405D16">
            <w:pPr>
              <w:spacing w:after="100"/>
              <w:rPr>
                <w:rFonts w:eastAsia="Times New Roman"/>
                <w:sz w:val="20"/>
                <w:szCs w:val="20"/>
              </w:rPr>
            </w:pPr>
          </w:p>
        </w:tc>
      </w:tr>
      <w:tr w:rsidR="00000000" w14:paraId="0666DBA3" w14:textId="77777777">
        <w:trPr>
          <w:divId w:val="9841312"/>
        </w:trPr>
        <w:tc>
          <w:tcPr>
            <w:tcW w:w="0" w:type="auto"/>
            <w:gridSpan w:val="3"/>
            <w:vAlign w:val="center"/>
            <w:hideMark/>
          </w:tcPr>
          <w:p w14:paraId="1F6CD29C" w14:textId="77777777" w:rsidR="00000000" w:rsidRDefault="00405D16">
            <w:pPr>
              <w:spacing w:after="100"/>
              <w:rPr>
                <w:rFonts w:eastAsia="Times New Roman"/>
                <w:sz w:val="20"/>
                <w:szCs w:val="20"/>
              </w:rPr>
            </w:pPr>
          </w:p>
        </w:tc>
        <w:tc>
          <w:tcPr>
            <w:tcW w:w="0" w:type="auto"/>
            <w:gridSpan w:val="3"/>
            <w:vAlign w:val="center"/>
            <w:hideMark/>
          </w:tcPr>
          <w:p w14:paraId="2CD8645E" w14:textId="77777777" w:rsidR="00000000" w:rsidRDefault="00405D16">
            <w:pPr>
              <w:spacing w:after="100"/>
              <w:rPr>
                <w:rFonts w:eastAsia="Times New Roman"/>
                <w:sz w:val="20"/>
                <w:szCs w:val="20"/>
              </w:rPr>
            </w:pPr>
          </w:p>
        </w:tc>
        <w:tc>
          <w:tcPr>
            <w:tcW w:w="0" w:type="auto"/>
            <w:gridSpan w:val="3"/>
            <w:vAlign w:val="center"/>
            <w:hideMark/>
          </w:tcPr>
          <w:p w14:paraId="048F3EBF" w14:textId="77777777" w:rsidR="00000000" w:rsidRDefault="00405D16">
            <w:pPr>
              <w:spacing w:after="100"/>
              <w:rPr>
                <w:rFonts w:eastAsia="Times New Roman"/>
                <w:sz w:val="20"/>
                <w:szCs w:val="20"/>
              </w:rPr>
            </w:pPr>
          </w:p>
        </w:tc>
      </w:tr>
      <w:tr w:rsidR="00000000" w14:paraId="72EB66C6" w14:textId="77777777">
        <w:trPr>
          <w:divId w:val="9841312"/>
        </w:trPr>
        <w:tc>
          <w:tcPr>
            <w:tcW w:w="0" w:type="auto"/>
            <w:gridSpan w:val="3"/>
            <w:vAlign w:val="center"/>
            <w:hideMark/>
          </w:tcPr>
          <w:p w14:paraId="3304C32C" w14:textId="77777777" w:rsidR="00000000" w:rsidRDefault="00405D16">
            <w:pPr>
              <w:spacing w:after="100"/>
              <w:rPr>
                <w:rFonts w:eastAsia="Times New Roman"/>
                <w:sz w:val="20"/>
                <w:szCs w:val="20"/>
              </w:rPr>
            </w:pPr>
          </w:p>
        </w:tc>
        <w:tc>
          <w:tcPr>
            <w:tcW w:w="0" w:type="auto"/>
            <w:gridSpan w:val="3"/>
            <w:vAlign w:val="center"/>
            <w:hideMark/>
          </w:tcPr>
          <w:p w14:paraId="58C04959" w14:textId="77777777" w:rsidR="00000000" w:rsidRDefault="00405D16">
            <w:pPr>
              <w:spacing w:after="100"/>
              <w:rPr>
                <w:rFonts w:eastAsia="Times New Roman"/>
                <w:sz w:val="20"/>
                <w:szCs w:val="20"/>
              </w:rPr>
            </w:pPr>
          </w:p>
        </w:tc>
        <w:tc>
          <w:tcPr>
            <w:tcW w:w="0" w:type="auto"/>
            <w:gridSpan w:val="3"/>
            <w:vAlign w:val="center"/>
            <w:hideMark/>
          </w:tcPr>
          <w:p w14:paraId="63CAB76B" w14:textId="77777777" w:rsidR="00000000" w:rsidRDefault="00405D16">
            <w:pPr>
              <w:spacing w:after="100"/>
              <w:rPr>
                <w:rFonts w:eastAsia="Times New Roman"/>
                <w:sz w:val="20"/>
                <w:szCs w:val="20"/>
              </w:rPr>
            </w:pPr>
          </w:p>
        </w:tc>
      </w:tr>
      <w:tr w:rsidR="00000000" w14:paraId="573C3FF9" w14:textId="77777777">
        <w:trPr>
          <w:divId w:val="9841312"/>
        </w:trPr>
        <w:tc>
          <w:tcPr>
            <w:tcW w:w="0" w:type="auto"/>
            <w:gridSpan w:val="3"/>
            <w:tcMar>
              <w:top w:w="30" w:type="dxa"/>
              <w:left w:w="20" w:type="dxa"/>
              <w:bottom w:w="30" w:type="dxa"/>
              <w:right w:w="20" w:type="dxa"/>
            </w:tcMar>
            <w:vAlign w:val="center"/>
            <w:hideMark/>
          </w:tcPr>
          <w:p w14:paraId="4BD2B124" w14:textId="77777777" w:rsidR="00000000" w:rsidRDefault="00405D16">
            <w:pPr>
              <w:spacing w:after="100"/>
              <w:divId w:val="1240748010"/>
              <w:rPr>
                <w:rFonts w:eastAsia="Times New Roman"/>
              </w:rPr>
            </w:pPr>
            <w:hyperlink w:anchor="idd54a04a485440b4ab4e56094c14d612_328" w:history="1">
              <w:r>
                <w:rPr>
                  <w:rStyle w:val="a3"/>
                  <w:rFonts w:eastAsia="Times New Roman"/>
                  <w:color w:val="000000"/>
                  <w:sz w:val="20"/>
                  <w:szCs w:val="20"/>
                  <w:u w:val="none"/>
                </w:rPr>
                <w:t>Item 1.</w:t>
              </w:r>
            </w:hyperlink>
          </w:p>
        </w:tc>
        <w:tc>
          <w:tcPr>
            <w:tcW w:w="0" w:type="auto"/>
            <w:gridSpan w:val="3"/>
            <w:tcMar>
              <w:top w:w="30" w:type="dxa"/>
              <w:left w:w="20" w:type="dxa"/>
              <w:bottom w:w="30" w:type="dxa"/>
              <w:right w:w="20" w:type="dxa"/>
            </w:tcMar>
            <w:vAlign w:val="bottom"/>
            <w:hideMark/>
          </w:tcPr>
          <w:p w14:paraId="6CE28B9D" w14:textId="77777777" w:rsidR="00000000" w:rsidRDefault="00405D16">
            <w:pPr>
              <w:spacing w:after="100"/>
              <w:divId w:val="1415977827"/>
              <w:rPr>
                <w:rFonts w:eastAsia="Times New Roman"/>
              </w:rPr>
            </w:pPr>
            <w:hyperlink w:anchor="idd54a04a485440b4ab4e56094c14d612_328" w:history="1">
              <w:r>
                <w:rPr>
                  <w:rStyle w:val="a3"/>
                  <w:rFonts w:eastAsia="Times New Roman"/>
                  <w:color w:val="000000"/>
                  <w:sz w:val="20"/>
                  <w:szCs w:val="20"/>
                  <w:u w:val="none"/>
                </w:rPr>
                <w:t>Financial Statements and Notes</w:t>
              </w:r>
            </w:hyperlink>
          </w:p>
        </w:tc>
        <w:tc>
          <w:tcPr>
            <w:tcW w:w="0" w:type="auto"/>
            <w:gridSpan w:val="3"/>
            <w:tcMar>
              <w:top w:w="30" w:type="dxa"/>
              <w:left w:w="20" w:type="dxa"/>
              <w:bottom w:w="30" w:type="dxa"/>
              <w:right w:w="20" w:type="dxa"/>
            </w:tcMar>
            <w:vAlign w:val="bottom"/>
            <w:hideMark/>
          </w:tcPr>
          <w:p w14:paraId="4A13088F" w14:textId="77777777" w:rsidR="00000000" w:rsidRDefault="00405D16">
            <w:pPr>
              <w:spacing w:after="100"/>
              <w:jc w:val="center"/>
              <w:rPr>
                <w:rFonts w:eastAsia="Times New Roman"/>
              </w:rPr>
            </w:pPr>
            <w:hyperlink w:anchor="idd54a04a485440b4ab4e56094c14d612_328" w:history="1">
              <w:r>
                <w:rPr>
                  <w:rStyle w:val="a3"/>
                  <w:rFonts w:eastAsia="Times New Roman"/>
                  <w:color w:val="000000"/>
                  <w:sz w:val="20"/>
                  <w:szCs w:val="20"/>
                  <w:u w:val="none"/>
                </w:rPr>
                <w:t>68</w:t>
              </w:r>
            </w:hyperlink>
          </w:p>
        </w:tc>
      </w:tr>
      <w:tr w:rsidR="00000000" w14:paraId="75A75050" w14:textId="77777777">
        <w:trPr>
          <w:divId w:val="9841312"/>
        </w:trPr>
        <w:tc>
          <w:tcPr>
            <w:tcW w:w="0" w:type="auto"/>
            <w:gridSpan w:val="3"/>
            <w:tcMar>
              <w:top w:w="0" w:type="dxa"/>
              <w:left w:w="20" w:type="dxa"/>
              <w:bottom w:w="0" w:type="dxa"/>
              <w:right w:w="20" w:type="dxa"/>
            </w:tcMar>
            <w:vAlign w:val="center"/>
            <w:hideMark/>
          </w:tcPr>
          <w:p w14:paraId="3D6F0E1F"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87D8CDB" w14:textId="77777777" w:rsidR="00000000" w:rsidRDefault="00405D16">
            <w:pPr>
              <w:spacing w:after="100"/>
              <w:divId w:val="943268619"/>
              <w:rPr>
                <w:rFonts w:eastAsia="Times New Roman"/>
              </w:rPr>
            </w:pPr>
            <w:hyperlink w:anchor="idd54a04a485440b4ab4e56094c14d612_343" w:history="1">
              <w:r>
                <w:rPr>
                  <w:rStyle w:val="a3"/>
                  <w:rFonts w:eastAsia="Times New Roman"/>
                  <w:color w:val="000000"/>
                  <w:sz w:val="20"/>
                  <w:szCs w:val="20"/>
                  <w:u w:val="none"/>
                </w:rPr>
                <w:t>Consolidated Statements of Income</w:t>
              </w:r>
            </w:hyperlink>
          </w:p>
        </w:tc>
        <w:tc>
          <w:tcPr>
            <w:tcW w:w="0" w:type="auto"/>
            <w:gridSpan w:val="3"/>
            <w:tcMar>
              <w:top w:w="30" w:type="dxa"/>
              <w:left w:w="20" w:type="dxa"/>
              <w:bottom w:w="30" w:type="dxa"/>
              <w:right w:w="20" w:type="dxa"/>
            </w:tcMar>
            <w:vAlign w:val="bottom"/>
            <w:hideMark/>
          </w:tcPr>
          <w:p w14:paraId="3391A658" w14:textId="77777777" w:rsidR="00000000" w:rsidRDefault="00405D16">
            <w:pPr>
              <w:spacing w:after="100"/>
              <w:jc w:val="center"/>
              <w:rPr>
                <w:rFonts w:eastAsia="Times New Roman"/>
              </w:rPr>
            </w:pPr>
            <w:hyperlink w:anchor="idd54a04a485440b4ab4e56094c14d612_343" w:history="1">
              <w:r>
                <w:rPr>
                  <w:rStyle w:val="a3"/>
                  <w:rFonts w:eastAsia="Times New Roman"/>
                  <w:color w:val="000000"/>
                  <w:sz w:val="20"/>
                  <w:szCs w:val="20"/>
                  <w:u w:val="none"/>
                </w:rPr>
                <w:t>69</w:t>
              </w:r>
            </w:hyperlink>
          </w:p>
        </w:tc>
      </w:tr>
      <w:tr w:rsidR="00000000" w14:paraId="115FFA94" w14:textId="77777777">
        <w:trPr>
          <w:divId w:val="9841312"/>
        </w:trPr>
        <w:tc>
          <w:tcPr>
            <w:tcW w:w="0" w:type="auto"/>
            <w:gridSpan w:val="3"/>
            <w:tcMar>
              <w:top w:w="0" w:type="dxa"/>
              <w:left w:w="20" w:type="dxa"/>
              <w:bottom w:w="0" w:type="dxa"/>
              <w:right w:w="20" w:type="dxa"/>
            </w:tcMar>
            <w:vAlign w:val="center"/>
            <w:hideMark/>
          </w:tcPr>
          <w:p w14:paraId="2EC0FECE"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CFBF47C" w14:textId="77777777" w:rsidR="00000000" w:rsidRDefault="00405D16">
            <w:pPr>
              <w:spacing w:after="100"/>
              <w:divId w:val="1561012682"/>
              <w:rPr>
                <w:rFonts w:eastAsia="Times New Roman"/>
              </w:rPr>
            </w:pPr>
            <w:hyperlink w:anchor="idd54a04a485440b4ab4e56094c14d612_346" w:history="1">
              <w:r>
                <w:rPr>
                  <w:rStyle w:val="a3"/>
                  <w:rFonts w:eastAsia="Times New Roman"/>
                  <w:color w:val="000000"/>
                  <w:sz w:val="20"/>
                  <w:szCs w:val="20"/>
                  <w:u w:val="none"/>
                </w:rPr>
                <w:t>Consolidated Statements of Comp</w:t>
              </w:r>
              <w:r>
                <w:rPr>
                  <w:rStyle w:val="a3"/>
                  <w:rFonts w:eastAsia="Times New Roman"/>
                  <w:color w:val="000000"/>
                  <w:sz w:val="20"/>
                  <w:szCs w:val="20"/>
                  <w:u w:val="none"/>
                </w:rPr>
                <w:t>rehensive Income</w:t>
              </w:r>
            </w:hyperlink>
          </w:p>
        </w:tc>
        <w:tc>
          <w:tcPr>
            <w:tcW w:w="0" w:type="auto"/>
            <w:gridSpan w:val="3"/>
            <w:tcMar>
              <w:top w:w="30" w:type="dxa"/>
              <w:left w:w="20" w:type="dxa"/>
              <w:bottom w:w="30" w:type="dxa"/>
              <w:right w:w="20" w:type="dxa"/>
            </w:tcMar>
            <w:vAlign w:val="bottom"/>
            <w:hideMark/>
          </w:tcPr>
          <w:p w14:paraId="28DF161C" w14:textId="77777777" w:rsidR="00000000" w:rsidRDefault="00405D16">
            <w:pPr>
              <w:spacing w:after="100"/>
              <w:jc w:val="center"/>
              <w:rPr>
                <w:rFonts w:eastAsia="Times New Roman"/>
              </w:rPr>
            </w:pPr>
            <w:hyperlink w:anchor="idd54a04a485440b4ab4e56094c14d612_346" w:history="1">
              <w:r>
                <w:rPr>
                  <w:rStyle w:val="a3"/>
                  <w:rFonts w:eastAsia="Times New Roman"/>
                  <w:color w:val="000000"/>
                  <w:sz w:val="20"/>
                  <w:szCs w:val="20"/>
                  <w:u w:val="none"/>
                </w:rPr>
                <w:t>70</w:t>
              </w:r>
            </w:hyperlink>
          </w:p>
        </w:tc>
      </w:tr>
      <w:tr w:rsidR="00000000" w14:paraId="28366223" w14:textId="77777777">
        <w:trPr>
          <w:divId w:val="9841312"/>
        </w:trPr>
        <w:tc>
          <w:tcPr>
            <w:tcW w:w="0" w:type="auto"/>
            <w:gridSpan w:val="3"/>
            <w:tcMar>
              <w:top w:w="0" w:type="dxa"/>
              <w:left w:w="20" w:type="dxa"/>
              <w:bottom w:w="0" w:type="dxa"/>
              <w:right w:w="20" w:type="dxa"/>
            </w:tcMar>
            <w:vAlign w:val="center"/>
            <w:hideMark/>
          </w:tcPr>
          <w:p w14:paraId="2A1CC168"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C346AC1" w14:textId="77777777" w:rsidR="00000000" w:rsidRDefault="00405D16">
            <w:pPr>
              <w:spacing w:after="100"/>
              <w:divId w:val="997806667"/>
              <w:rPr>
                <w:rFonts w:eastAsia="Times New Roman"/>
              </w:rPr>
            </w:pPr>
            <w:hyperlink w:anchor="idd54a04a485440b4ab4e56094c14d612_349" w:history="1">
              <w:r>
                <w:rPr>
                  <w:rStyle w:val="a3"/>
                  <w:rFonts w:eastAsia="Times New Roman"/>
                  <w:color w:val="000000"/>
                  <w:sz w:val="20"/>
                  <w:szCs w:val="20"/>
                  <w:u w:val="none"/>
                </w:rPr>
                <w:t>Consolidated Balance Sheets</w:t>
              </w:r>
            </w:hyperlink>
          </w:p>
        </w:tc>
        <w:tc>
          <w:tcPr>
            <w:tcW w:w="0" w:type="auto"/>
            <w:gridSpan w:val="3"/>
            <w:tcMar>
              <w:top w:w="30" w:type="dxa"/>
              <w:left w:w="20" w:type="dxa"/>
              <w:bottom w:w="30" w:type="dxa"/>
              <w:right w:w="20" w:type="dxa"/>
            </w:tcMar>
            <w:vAlign w:val="bottom"/>
            <w:hideMark/>
          </w:tcPr>
          <w:p w14:paraId="71F03BE3" w14:textId="77777777" w:rsidR="00000000" w:rsidRDefault="00405D16">
            <w:pPr>
              <w:spacing w:after="100"/>
              <w:jc w:val="center"/>
              <w:rPr>
                <w:rFonts w:eastAsia="Times New Roman"/>
              </w:rPr>
            </w:pPr>
            <w:hyperlink w:anchor="idd54a04a485440b4ab4e56094c14d612_349" w:history="1">
              <w:r>
                <w:rPr>
                  <w:rStyle w:val="a3"/>
                  <w:rFonts w:eastAsia="Times New Roman"/>
                  <w:color w:val="000000"/>
                  <w:sz w:val="20"/>
                  <w:szCs w:val="20"/>
                  <w:u w:val="none"/>
                </w:rPr>
                <w:t>71</w:t>
              </w:r>
            </w:hyperlink>
          </w:p>
        </w:tc>
      </w:tr>
      <w:tr w:rsidR="00000000" w14:paraId="2479FE3D" w14:textId="77777777">
        <w:trPr>
          <w:divId w:val="9841312"/>
        </w:trPr>
        <w:tc>
          <w:tcPr>
            <w:tcW w:w="0" w:type="auto"/>
            <w:gridSpan w:val="3"/>
            <w:tcMar>
              <w:top w:w="0" w:type="dxa"/>
              <w:left w:w="20" w:type="dxa"/>
              <w:bottom w:w="0" w:type="dxa"/>
              <w:right w:w="20" w:type="dxa"/>
            </w:tcMar>
            <w:vAlign w:val="center"/>
            <w:hideMark/>
          </w:tcPr>
          <w:p w14:paraId="495F9721"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335B297" w14:textId="77777777" w:rsidR="00000000" w:rsidRDefault="00405D16">
            <w:pPr>
              <w:spacing w:after="100"/>
              <w:divId w:val="368457880"/>
              <w:rPr>
                <w:rFonts w:eastAsia="Times New Roman"/>
              </w:rPr>
            </w:pPr>
            <w:hyperlink w:anchor="idd54a04a485440b4ab4e56094c14d612_352" w:history="1">
              <w:r>
                <w:rPr>
                  <w:rStyle w:val="a3"/>
                  <w:rFonts w:eastAsia="Times New Roman"/>
                  <w:color w:val="000000"/>
                  <w:sz w:val="20"/>
                  <w:szCs w:val="20"/>
                  <w:u w:val="none"/>
                </w:rPr>
                <w:t>Consolidated Statements of Changes in Stockholders’ Equity</w:t>
              </w:r>
            </w:hyperlink>
          </w:p>
        </w:tc>
        <w:tc>
          <w:tcPr>
            <w:tcW w:w="0" w:type="auto"/>
            <w:gridSpan w:val="3"/>
            <w:tcMar>
              <w:top w:w="30" w:type="dxa"/>
              <w:left w:w="20" w:type="dxa"/>
              <w:bottom w:w="30" w:type="dxa"/>
              <w:right w:w="20" w:type="dxa"/>
            </w:tcMar>
            <w:vAlign w:val="bottom"/>
            <w:hideMark/>
          </w:tcPr>
          <w:p w14:paraId="6E113061" w14:textId="77777777" w:rsidR="00000000" w:rsidRDefault="00405D16">
            <w:pPr>
              <w:spacing w:after="100"/>
              <w:jc w:val="center"/>
              <w:rPr>
                <w:rFonts w:eastAsia="Times New Roman"/>
              </w:rPr>
            </w:pPr>
            <w:hyperlink w:anchor="idd54a04a485440b4ab4e56094c14d612_352" w:history="1">
              <w:r>
                <w:rPr>
                  <w:rStyle w:val="a3"/>
                  <w:rFonts w:eastAsia="Times New Roman"/>
                  <w:color w:val="000000"/>
                  <w:sz w:val="20"/>
                  <w:szCs w:val="20"/>
                  <w:u w:val="none"/>
                </w:rPr>
                <w:t>72</w:t>
              </w:r>
            </w:hyperlink>
          </w:p>
        </w:tc>
      </w:tr>
      <w:tr w:rsidR="00000000" w14:paraId="256D5283" w14:textId="77777777">
        <w:trPr>
          <w:divId w:val="9841312"/>
        </w:trPr>
        <w:tc>
          <w:tcPr>
            <w:tcW w:w="0" w:type="auto"/>
            <w:gridSpan w:val="3"/>
            <w:tcMar>
              <w:top w:w="0" w:type="dxa"/>
              <w:left w:w="20" w:type="dxa"/>
              <w:bottom w:w="0" w:type="dxa"/>
              <w:right w:w="20" w:type="dxa"/>
            </w:tcMar>
            <w:vAlign w:val="center"/>
            <w:hideMark/>
          </w:tcPr>
          <w:p w14:paraId="771B2D85"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8AE2C78" w14:textId="77777777" w:rsidR="00000000" w:rsidRDefault="00405D16">
            <w:pPr>
              <w:spacing w:after="100"/>
              <w:divId w:val="1076321195"/>
              <w:rPr>
                <w:rFonts w:eastAsia="Times New Roman"/>
              </w:rPr>
            </w:pPr>
            <w:hyperlink w:anchor="idd54a04a485440b4ab4e56094c14d612_355" w:history="1">
              <w:r>
                <w:rPr>
                  <w:rStyle w:val="a3"/>
                  <w:rFonts w:eastAsia="Times New Roman"/>
                  <w:color w:val="000000"/>
                  <w:sz w:val="20"/>
                  <w:szCs w:val="20"/>
                  <w:u w:val="none"/>
                </w:rPr>
                <w:t>Consolidated Statements of Cash Flows</w:t>
              </w:r>
            </w:hyperlink>
          </w:p>
        </w:tc>
        <w:tc>
          <w:tcPr>
            <w:tcW w:w="0" w:type="auto"/>
            <w:gridSpan w:val="3"/>
            <w:tcMar>
              <w:top w:w="30" w:type="dxa"/>
              <w:left w:w="20" w:type="dxa"/>
              <w:bottom w:w="30" w:type="dxa"/>
              <w:right w:w="20" w:type="dxa"/>
            </w:tcMar>
            <w:vAlign w:val="bottom"/>
            <w:hideMark/>
          </w:tcPr>
          <w:p w14:paraId="7CECD9D2" w14:textId="77777777" w:rsidR="00000000" w:rsidRDefault="00405D16">
            <w:pPr>
              <w:spacing w:after="100"/>
              <w:jc w:val="center"/>
              <w:rPr>
                <w:rFonts w:eastAsia="Times New Roman"/>
              </w:rPr>
            </w:pPr>
            <w:hyperlink w:anchor="idd54a04a485440b4ab4e56094c14d612_355" w:history="1">
              <w:r>
                <w:rPr>
                  <w:rStyle w:val="a3"/>
                  <w:rFonts w:eastAsia="Times New Roman"/>
                  <w:color w:val="000000"/>
                  <w:sz w:val="20"/>
                  <w:szCs w:val="20"/>
                  <w:u w:val="none"/>
                </w:rPr>
                <w:t>74</w:t>
              </w:r>
            </w:hyperlink>
          </w:p>
        </w:tc>
      </w:tr>
      <w:tr w:rsidR="00000000" w14:paraId="2A350270" w14:textId="77777777">
        <w:trPr>
          <w:divId w:val="9841312"/>
        </w:trPr>
        <w:tc>
          <w:tcPr>
            <w:tcW w:w="0" w:type="auto"/>
            <w:gridSpan w:val="3"/>
            <w:tcMar>
              <w:top w:w="0" w:type="dxa"/>
              <w:left w:w="20" w:type="dxa"/>
              <w:bottom w:w="0" w:type="dxa"/>
              <w:right w:w="20" w:type="dxa"/>
            </w:tcMar>
            <w:vAlign w:val="center"/>
            <w:hideMark/>
          </w:tcPr>
          <w:p w14:paraId="6E0343EE"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E51E139" w14:textId="77777777" w:rsidR="00000000" w:rsidRDefault="00405D16">
            <w:pPr>
              <w:spacing w:after="100"/>
              <w:divId w:val="1530139456"/>
              <w:rPr>
                <w:rFonts w:eastAsia="Times New Roman"/>
              </w:rPr>
            </w:pPr>
            <w:hyperlink w:anchor="idd54a04a485440b4ab4e56094c14d612_361" w:history="1">
              <w:r>
                <w:rPr>
                  <w:rStyle w:val="a3"/>
                  <w:rFonts w:eastAsia="Times New Roman"/>
                  <w:color w:val="000000"/>
                  <w:sz w:val="20"/>
                  <w:szCs w:val="20"/>
                  <w:u w:val="none"/>
                </w:rPr>
                <w:t>Notes to Consolidated Financial Statements</w:t>
              </w:r>
            </w:hyperlink>
          </w:p>
        </w:tc>
        <w:tc>
          <w:tcPr>
            <w:tcW w:w="0" w:type="auto"/>
            <w:gridSpan w:val="3"/>
            <w:tcMar>
              <w:top w:w="30" w:type="dxa"/>
              <w:left w:w="20" w:type="dxa"/>
              <w:bottom w:w="30" w:type="dxa"/>
              <w:right w:w="20" w:type="dxa"/>
            </w:tcMar>
            <w:vAlign w:val="bottom"/>
            <w:hideMark/>
          </w:tcPr>
          <w:p w14:paraId="763A0093" w14:textId="77777777" w:rsidR="00000000" w:rsidRDefault="00405D16">
            <w:pPr>
              <w:spacing w:after="100"/>
              <w:jc w:val="center"/>
              <w:rPr>
                <w:rFonts w:eastAsia="Times New Roman"/>
              </w:rPr>
            </w:pPr>
            <w:hyperlink w:anchor="idd54a04a485440b4ab4e56094c14d612_361" w:history="1">
              <w:r>
                <w:rPr>
                  <w:rStyle w:val="a3"/>
                  <w:rFonts w:eastAsia="Times New Roman"/>
                  <w:color w:val="000000"/>
                  <w:sz w:val="20"/>
                  <w:szCs w:val="20"/>
                  <w:u w:val="none"/>
                </w:rPr>
                <w:t>76</w:t>
              </w:r>
            </w:hyperlink>
          </w:p>
        </w:tc>
      </w:tr>
      <w:tr w:rsidR="00000000" w14:paraId="71CD752F" w14:textId="77777777">
        <w:trPr>
          <w:divId w:val="9841312"/>
        </w:trPr>
        <w:tc>
          <w:tcPr>
            <w:tcW w:w="0" w:type="auto"/>
            <w:gridSpan w:val="3"/>
            <w:tcMar>
              <w:top w:w="0" w:type="dxa"/>
              <w:left w:w="20" w:type="dxa"/>
              <w:bottom w:w="0" w:type="dxa"/>
              <w:right w:w="20" w:type="dxa"/>
            </w:tcMar>
            <w:vAlign w:val="center"/>
            <w:hideMark/>
          </w:tcPr>
          <w:p w14:paraId="4EAB400E"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AC529DC" w14:textId="77777777" w:rsidR="00000000" w:rsidRDefault="00405D16">
            <w:pPr>
              <w:spacing w:after="100"/>
              <w:divId w:val="205487639"/>
              <w:rPr>
                <w:rFonts w:eastAsia="Times New Roman"/>
              </w:rPr>
            </w:pPr>
            <w:hyperlink w:anchor="idd54a04a485440b4ab4e56094c14d612_361" w:history="1">
              <w:r>
                <w:rPr>
                  <w:rStyle w:val="a3"/>
                  <w:rFonts w:eastAsia="Times New Roman"/>
                  <w:color w:val="000000"/>
                  <w:sz w:val="20"/>
                  <w:szCs w:val="20"/>
                  <w:u w:val="none"/>
                </w:rPr>
                <w:t>Note 1—Summary of Sign</w:t>
              </w:r>
              <w:r>
                <w:rPr>
                  <w:rStyle w:val="a3"/>
                  <w:rFonts w:eastAsia="Times New Roman"/>
                  <w:color w:val="000000"/>
                  <w:sz w:val="20"/>
                  <w:szCs w:val="20"/>
                  <w:u w:val="none"/>
                </w:rPr>
                <w:t>ificant Accounting Policies</w:t>
              </w:r>
            </w:hyperlink>
          </w:p>
        </w:tc>
        <w:tc>
          <w:tcPr>
            <w:tcW w:w="0" w:type="auto"/>
            <w:gridSpan w:val="3"/>
            <w:tcMar>
              <w:top w:w="30" w:type="dxa"/>
              <w:left w:w="20" w:type="dxa"/>
              <w:bottom w:w="30" w:type="dxa"/>
              <w:right w:w="20" w:type="dxa"/>
            </w:tcMar>
            <w:vAlign w:val="bottom"/>
            <w:hideMark/>
          </w:tcPr>
          <w:p w14:paraId="18E3AF6C" w14:textId="77777777" w:rsidR="00000000" w:rsidRDefault="00405D16">
            <w:pPr>
              <w:spacing w:after="100"/>
              <w:jc w:val="center"/>
              <w:rPr>
                <w:rFonts w:eastAsia="Times New Roman"/>
              </w:rPr>
            </w:pPr>
            <w:hyperlink w:anchor="idd54a04a485440b4ab4e56094c14d612_361" w:history="1">
              <w:r>
                <w:rPr>
                  <w:rStyle w:val="a3"/>
                  <w:rFonts w:eastAsia="Times New Roman"/>
                  <w:color w:val="000000"/>
                  <w:sz w:val="20"/>
                  <w:szCs w:val="20"/>
                  <w:u w:val="none"/>
                </w:rPr>
                <w:t>76</w:t>
              </w:r>
            </w:hyperlink>
          </w:p>
        </w:tc>
      </w:tr>
      <w:tr w:rsidR="00000000" w14:paraId="15110877" w14:textId="77777777">
        <w:trPr>
          <w:divId w:val="9841312"/>
        </w:trPr>
        <w:tc>
          <w:tcPr>
            <w:tcW w:w="0" w:type="auto"/>
            <w:gridSpan w:val="3"/>
            <w:vAlign w:val="center"/>
            <w:hideMark/>
          </w:tcPr>
          <w:p w14:paraId="721579B1" w14:textId="77777777" w:rsidR="00000000" w:rsidRDefault="00405D16">
            <w:pPr>
              <w:spacing w:after="100"/>
              <w:jc w:val="center"/>
              <w:rPr>
                <w:rFonts w:eastAsia="Times New Roman"/>
              </w:rPr>
            </w:pPr>
          </w:p>
        </w:tc>
        <w:tc>
          <w:tcPr>
            <w:tcW w:w="0" w:type="auto"/>
            <w:gridSpan w:val="3"/>
            <w:vAlign w:val="center"/>
            <w:hideMark/>
          </w:tcPr>
          <w:p w14:paraId="3CEA719D" w14:textId="77777777" w:rsidR="00000000" w:rsidRDefault="00405D16">
            <w:pPr>
              <w:spacing w:after="100"/>
              <w:rPr>
                <w:rFonts w:eastAsia="Times New Roman"/>
                <w:sz w:val="20"/>
                <w:szCs w:val="20"/>
              </w:rPr>
            </w:pPr>
          </w:p>
        </w:tc>
        <w:tc>
          <w:tcPr>
            <w:tcW w:w="0" w:type="auto"/>
            <w:gridSpan w:val="3"/>
            <w:vAlign w:val="center"/>
            <w:hideMark/>
          </w:tcPr>
          <w:p w14:paraId="091566AF" w14:textId="77777777" w:rsidR="00000000" w:rsidRDefault="00405D16">
            <w:pPr>
              <w:spacing w:after="100"/>
              <w:rPr>
                <w:rFonts w:eastAsia="Times New Roman"/>
                <w:sz w:val="20"/>
                <w:szCs w:val="20"/>
              </w:rPr>
            </w:pPr>
          </w:p>
        </w:tc>
      </w:tr>
      <w:tr w:rsidR="00000000" w14:paraId="6ACA165C" w14:textId="77777777">
        <w:trPr>
          <w:divId w:val="9841312"/>
        </w:trPr>
        <w:tc>
          <w:tcPr>
            <w:tcW w:w="0" w:type="auto"/>
            <w:gridSpan w:val="3"/>
            <w:tcMar>
              <w:top w:w="0" w:type="dxa"/>
              <w:left w:w="20" w:type="dxa"/>
              <w:bottom w:w="0" w:type="dxa"/>
              <w:right w:w="20" w:type="dxa"/>
            </w:tcMar>
            <w:vAlign w:val="center"/>
            <w:hideMark/>
          </w:tcPr>
          <w:p w14:paraId="497E7C3F"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4714D83" w14:textId="77777777" w:rsidR="00000000" w:rsidRDefault="00405D16">
            <w:pPr>
              <w:spacing w:after="100"/>
              <w:divId w:val="1651902469"/>
              <w:rPr>
                <w:rFonts w:eastAsia="Times New Roman"/>
              </w:rPr>
            </w:pPr>
            <w:hyperlink w:anchor="idd54a04a485440b4ab4e56094c14d612_364" w:history="1">
              <w:r>
                <w:rPr>
                  <w:rStyle w:val="a3"/>
                  <w:rFonts w:eastAsia="Times New Roman"/>
                  <w:color w:val="000000"/>
                  <w:sz w:val="20"/>
                  <w:szCs w:val="20"/>
                  <w:u w:val="none"/>
                </w:rPr>
                <w:t>Note 2—Investment Securities</w:t>
              </w:r>
            </w:hyperlink>
          </w:p>
        </w:tc>
        <w:tc>
          <w:tcPr>
            <w:tcW w:w="0" w:type="auto"/>
            <w:gridSpan w:val="3"/>
            <w:tcMar>
              <w:top w:w="30" w:type="dxa"/>
              <w:left w:w="20" w:type="dxa"/>
              <w:bottom w:w="30" w:type="dxa"/>
              <w:right w:w="20" w:type="dxa"/>
            </w:tcMar>
            <w:vAlign w:val="bottom"/>
            <w:hideMark/>
          </w:tcPr>
          <w:p w14:paraId="59B75F26" w14:textId="77777777" w:rsidR="00000000" w:rsidRDefault="00405D16">
            <w:pPr>
              <w:spacing w:after="100"/>
              <w:jc w:val="center"/>
              <w:rPr>
                <w:rFonts w:eastAsia="Times New Roman"/>
              </w:rPr>
            </w:pPr>
            <w:hyperlink w:anchor="idd54a04a485440b4ab4e56094c14d612_364" w:history="1">
              <w:r>
                <w:rPr>
                  <w:rStyle w:val="a3"/>
                  <w:rFonts w:eastAsia="Times New Roman"/>
                  <w:color w:val="000000"/>
                  <w:sz w:val="20"/>
                  <w:szCs w:val="20"/>
                  <w:u w:val="none"/>
                </w:rPr>
                <w:t>78</w:t>
              </w:r>
            </w:hyperlink>
          </w:p>
        </w:tc>
      </w:tr>
      <w:tr w:rsidR="00000000" w14:paraId="534BB74D" w14:textId="77777777">
        <w:trPr>
          <w:divId w:val="9841312"/>
        </w:trPr>
        <w:tc>
          <w:tcPr>
            <w:tcW w:w="0" w:type="auto"/>
            <w:gridSpan w:val="3"/>
            <w:tcMar>
              <w:top w:w="0" w:type="dxa"/>
              <w:left w:w="20" w:type="dxa"/>
              <w:bottom w:w="0" w:type="dxa"/>
              <w:right w:w="20" w:type="dxa"/>
            </w:tcMar>
            <w:vAlign w:val="center"/>
            <w:hideMark/>
          </w:tcPr>
          <w:p w14:paraId="65C8B44A"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FB9783C" w14:textId="77777777" w:rsidR="00000000" w:rsidRDefault="00405D16">
            <w:pPr>
              <w:spacing w:after="100"/>
              <w:divId w:val="641083176"/>
              <w:rPr>
                <w:rFonts w:eastAsia="Times New Roman"/>
              </w:rPr>
            </w:pPr>
            <w:hyperlink w:anchor="idd54a04a485440b4ab4e56094c14d612_367" w:history="1">
              <w:r>
                <w:rPr>
                  <w:rStyle w:val="a3"/>
                  <w:rFonts w:eastAsia="Times New Roman"/>
                  <w:color w:val="000000"/>
                  <w:sz w:val="20"/>
                  <w:szCs w:val="20"/>
                  <w:u w:val="none"/>
                </w:rPr>
                <w:t>Note 3—Loans</w:t>
              </w:r>
            </w:hyperlink>
          </w:p>
        </w:tc>
        <w:tc>
          <w:tcPr>
            <w:tcW w:w="0" w:type="auto"/>
            <w:gridSpan w:val="3"/>
            <w:tcMar>
              <w:top w:w="30" w:type="dxa"/>
              <w:left w:w="20" w:type="dxa"/>
              <w:bottom w:w="30" w:type="dxa"/>
              <w:right w:w="20" w:type="dxa"/>
            </w:tcMar>
            <w:vAlign w:val="bottom"/>
            <w:hideMark/>
          </w:tcPr>
          <w:p w14:paraId="69469194" w14:textId="77777777" w:rsidR="00000000" w:rsidRDefault="00405D16">
            <w:pPr>
              <w:spacing w:after="100"/>
              <w:jc w:val="center"/>
              <w:rPr>
                <w:rFonts w:eastAsia="Times New Roman"/>
              </w:rPr>
            </w:pPr>
            <w:hyperlink w:anchor="idd54a04a485440b4ab4e56094c14d612_367" w:history="1">
              <w:r>
                <w:rPr>
                  <w:rStyle w:val="a3"/>
                  <w:rFonts w:eastAsia="Times New Roman"/>
                  <w:color w:val="000000"/>
                  <w:sz w:val="20"/>
                  <w:szCs w:val="20"/>
                  <w:u w:val="none"/>
                </w:rPr>
                <w:t>81</w:t>
              </w:r>
            </w:hyperlink>
          </w:p>
        </w:tc>
      </w:tr>
      <w:tr w:rsidR="00000000" w14:paraId="6E4B6786" w14:textId="77777777">
        <w:trPr>
          <w:divId w:val="9841312"/>
        </w:trPr>
        <w:tc>
          <w:tcPr>
            <w:tcW w:w="0" w:type="auto"/>
            <w:gridSpan w:val="3"/>
            <w:tcMar>
              <w:top w:w="0" w:type="dxa"/>
              <w:left w:w="20" w:type="dxa"/>
              <w:bottom w:w="0" w:type="dxa"/>
              <w:right w:w="20" w:type="dxa"/>
            </w:tcMar>
            <w:vAlign w:val="center"/>
            <w:hideMark/>
          </w:tcPr>
          <w:p w14:paraId="1AC3EB54"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927ADA2" w14:textId="77777777" w:rsidR="00000000" w:rsidRDefault="00405D16">
            <w:pPr>
              <w:spacing w:after="100"/>
              <w:divId w:val="1252196765"/>
              <w:rPr>
                <w:rFonts w:eastAsia="Times New Roman"/>
              </w:rPr>
            </w:pPr>
            <w:hyperlink w:anchor="idd54a04a485440b4ab4e56094c14d612_391" w:history="1">
              <w:r>
                <w:rPr>
                  <w:rStyle w:val="a3"/>
                  <w:rFonts w:eastAsia="Times New Roman"/>
                  <w:color w:val="000000"/>
                  <w:sz w:val="20"/>
                  <w:szCs w:val="20"/>
                  <w:u w:val="none"/>
                </w:rPr>
                <w:t>Note 4—Allowance for Credit Losses and Reserve for Unfunded Lending Commitments</w:t>
              </w:r>
            </w:hyperlink>
          </w:p>
        </w:tc>
        <w:tc>
          <w:tcPr>
            <w:tcW w:w="0" w:type="auto"/>
            <w:gridSpan w:val="3"/>
            <w:tcMar>
              <w:top w:w="30" w:type="dxa"/>
              <w:left w:w="20" w:type="dxa"/>
              <w:bottom w:w="30" w:type="dxa"/>
              <w:right w:w="20" w:type="dxa"/>
            </w:tcMar>
            <w:vAlign w:val="bottom"/>
            <w:hideMark/>
          </w:tcPr>
          <w:p w14:paraId="323D21EE" w14:textId="77777777" w:rsidR="00000000" w:rsidRDefault="00405D16">
            <w:pPr>
              <w:spacing w:after="100"/>
              <w:jc w:val="center"/>
              <w:rPr>
                <w:rFonts w:eastAsia="Times New Roman"/>
              </w:rPr>
            </w:pPr>
            <w:hyperlink w:anchor="idd54a04a485440b4ab4e56094c14d612_391" w:history="1">
              <w:r>
                <w:rPr>
                  <w:rStyle w:val="a3"/>
                  <w:rFonts w:eastAsia="Times New Roman"/>
                  <w:color w:val="000000"/>
                  <w:sz w:val="20"/>
                  <w:szCs w:val="20"/>
                  <w:u w:val="none"/>
                </w:rPr>
                <w:t>92</w:t>
              </w:r>
            </w:hyperlink>
          </w:p>
        </w:tc>
      </w:tr>
      <w:tr w:rsidR="00000000" w14:paraId="098A4690" w14:textId="77777777">
        <w:trPr>
          <w:divId w:val="9841312"/>
        </w:trPr>
        <w:tc>
          <w:tcPr>
            <w:tcW w:w="0" w:type="auto"/>
            <w:gridSpan w:val="3"/>
            <w:tcMar>
              <w:top w:w="0" w:type="dxa"/>
              <w:left w:w="20" w:type="dxa"/>
              <w:bottom w:w="0" w:type="dxa"/>
              <w:right w:w="20" w:type="dxa"/>
            </w:tcMar>
            <w:vAlign w:val="center"/>
            <w:hideMark/>
          </w:tcPr>
          <w:p w14:paraId="5DCF6522"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867A117" w14:textId="77777777" w:rsidR="00000000" w:rsidRDefault="00405D16">
            <w:pPr>
              <w:spacing w:after="100"/>
              <w:divId w:val="1742562047"/>
              <w:rPr>
                <w:rFonts w:eastAsia="Times New Roman"/>
              </w:rPr>
            </w:pPr>
            <w:hyperlink w:anchor="idd54a04a485440b4ab4e56094c14d612_394" w:history="1">
              <w:r>
                <w:rPr>
                  <w:rStyle w:val="a3"/>
                  <w:rFonts w:eastAsia="Times New Roman"/>
                  <w:color w:val="000000"/>
                  <w:sz w:val="20"/>
                  <w:szCs w:val="20"/>
                  <w:u w:val="none"/>
                </w:rPr>
                <w:t>Note 5—Variable Interest Entities and Securitizations</w:t>
              </w:r>
            </w:hyperlink>
          </w:p>
        </w:tc>
        <w:tc>
          <w:tcPr>
            <w:tcW w:w="0" w:type="auto"/>
            <w:gridSpan w:val="3"/>
            <w:tcMar>
              <w:top w:w="30" w:type="dxa"/>
              <w:left w:w="20" w:type="dxa"/>
              <w:bottom w:w="30" w:type="dxa"/>
              <w:right w:w="20" w:type="dxa"/>
            </w:tcMar>
            <w:vAlign w:val="bottom"/>
            <w:hideMark/>
          </w:tcPr>
          <w:p w14:paraId="3A9BE418" w14:textId="77777777" w:rsidR="00000000" w:rsidRDefault="00405D16">
            <w:pPr>
              <w:spacing w:after="100"/>
              <w:jc w:val="center"/>
              <w:rPr>
                <w:rFonts w:eastAsia="Times New Roman"/>
              </w:rPr>
            </w:pPr>
            <w:hyperlink w:anchor="idd54a04a485440b4ab4e56094c14d612_394" w:history="1">
              <w:r>
                <w:rPr>
                  <w:rStyle w:val="a3"/>
                  <w:rFonts w:eastAsia="Times New Roman"/>
                  <w:color w:val="000000"/>
                  <w:sz w:val="20"/>
                  <w:szCs w:val="20"/>
                  <w:u w:val="none"/>
                </w:rPr>
                <w:t>96</w:t>
              </w:r>
            </w:hyperlink>
          </w:p>
        </w:tc>
      </w:tr>
      <w:tr w:rsidR="00000000" w14:paraId="0DFB7273" w14:textId="77777777">
        <w:trPr>
          <w:divId w:val="9841312"/>
        </w:trPr>
        <w:tc>
          <w:tcPr>
            <w:tcW w:w="0" w:type="auto"/>
            <w:gridSpan w:val="3"/>
            <w:tcMar>
              <w:top w:w="0" w:type="dxa"/>
              <w:left w:w="20" w:type="dxa"/>
              <w:bottom w:w="0" w:type="dxa"/>
              <w:right w:w="20" w:type="dxa"/>
            </w:tcMar>
            <w:vAlign w:val="center"/>
            <w:hideMark/>
          </w:tcPr>
          <w:p w14:paraId="18C1ADA0"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92E8626" w14:textId="77777777" w:rsidR="00000000" w:rsidRDefault="00405D16">
            <w:pPr>
              <w:spacing w:after="100"/>
              <w:divId w:val="116684308"/>
              <w:rPr>
                <w:rFonts w:eastAsia="Times New Roman"/>
              </w:rPr>
            </w:pPr>
            <w:hyperlink w:anchor="idd54a04a485440b4ab4e56094c14d612_397" w:history="1">
              <w:r>
                <w:rPr>
                  <w:rStyle w:val="a3"/>
                  <w:rFonts w:eastAsia="Times New Roman"/>
                  <w:color w:val="000000"/>
                  <w:sz w:val="20"/>
                  <w:szCs w:val="20"/>
                  <w:u w:val="none"/>
                </w:rPr>
                <w:t>Note 6—</w:t>
              </w:r>
              <w:r>
                <w:rPr>
                  <w:rStyle w:val="a3"/>
                  <w:rFonts w:eastAsia="Times New Roman"/>
                  <w:color w:val="000000"/>
                  <w:sz w:val="20"/>
                  <w:szCs w:val="20"/>
                  <w:u w:val="none"/>
                </w:rPr>
                <w:t>Goodwill and Intangible Assets</w:t>
              </w:r>
            </w:hyperlink>
          </w:p>
        </w:tc>
        <w:tc>
          <w:tcPr>
            <w:tcW w:w="0" w:type="auto"/>
            <w:gridSpan w:val="3"/>
            <w:tcMar>
              <w:top w:w="30" w:type="dxa"/>
              <w:left w:w="20" w:type="dxa"/>
              <w:bottom w:w="30" w:type="dxa"/>
              <w:right w:w="20" w:type="dxa"/>
            </w:tcMar>
            <w:vAlign w:val="bottom"/>
            <w:hideMark/>
          </w:tcPr>
          <w:p w14:paraId="68DD5464" w14:textId="77777777" w:rsidR="00000000" w:rsidRDefault="00405D16">
            <w:pPr>
              <w:spacing w:after="100"/>
              <w:jc w:val="center"/>
              <w:rPr>
                <w:rFonts w:eastAsia="Times New Roman"/>
              </w:rPr>
            </w:pPr>
            <w:hyperlink w:anchor="idd54a04a485440b4ab4e56094c14d612_397" w:history="1">
              <w:r>
                <w:rPr>
                  <w:rStyle w:val="a3"/>
                  <w:rFonts w:eastAsia="Times New Roman"/>
                  <w:color w:val="000000"/>
                  <w:sz w:val="20"/>
                  <w:szCs w:val="20"/>
                  <w:u w:val="none"/>
                </w:rPr>
                <w:t>100</w:t>
              </w:r>
            </w:hyperlink>
          </w:p>
        </w:tc>
      </w:tr>
      <w:tr w:rsidR="00000000" w14:paraId="7240E35C" w14:textId="77777777">
        <w:trPr>
          <w:divId w:val="9841312"/>
        </w:trPr>
        <w:tc>
          <w:tcPr>
            <w:tcW w:w="0" w:type="auto"/>
            <w:gridSpan w:val="3"/>
            <w:tcMar>
              <w:top w:w="0" w:type="dxa"/>
              <w:left w:w="20" w:type="dxa"/>
              <w:bottom w:w="0" w:type="dxa"/>
              <w:right w:w="20" w:type="dxa"/>
            </w:tcMar>
            <w:vAlign w:val="center"/>
            <w:hideMark/>
          </w:tcPr>
          <w:p w14:paraId="02624B65"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FF31C37" w14:textId="77777777" w:rsidR="00000000" w:rsidRDefault="00405D16">
            <w:pPr>
              <w:spacing w:after="100"/>
              <w:divId w:val="121073149"/>
              <w:rPr>
                <w:rFonts w:eastAsia="Times New Roman"/>
              </w:rPr>
            </w:pPr>
            <w:hyperlink w:anchor="idd54a04a485440b4ab4e56094c14d612_403" w:history="1">
              <w:r>
                <w:rPr>
                  <w:rStyle w:val="a3"/>
                  <w:rFonts w:eastAsia="Times New Roman"/>
                  <w:color w:val="000000"/>
                  <w:sz w:val="20"/>
                  <w:szCs w:val="20"/>
                  <w:u w:val="none"/>
                </w:rPr>
                <w:t>Note 7—Deposits and Borrowings</w:t>
              </w:r>
            </w:hyperlink>
          </w:p>
        </w:tc>
        <w:tc>
          <w:tcPr>
            <w:tcW w:w="0" w:type="auto"/>
            <w:gridSpan w:val="3"/>
            <w:tcMar>
              <w:top w:w="30" w:type="dxa"/>
              <w:left w:w="20" w:type="dxa"/>
              <w:bottom w:w="30" w:type="dxa"/>
              <w:right w:w="20" w:type="dxa"/>
            </w:tcMar>
            <w:vAlign w:val="bottom"/>
            <w:hideMark/>
          </w:tcPr>
          <w:p w14:paraId="7C8E1823" w14:textId="77777777" w:rsidR="00000000" w:rsidRDefault="00405D16">
            <w:pPr>
              <w:spacing w:after="100"/>
              <w:jc w:val="center"/>
              <w:rPr>
                <w:rFonts w:eastAsia="Times New Roman"/>
              </w:rPr>
            </w:pPr>
            <w:hyperlink w:anchor="idd54a04a485440b4ab4e56094c14d612_403" w:history="1">
              <w:r>
                <w:rPr>
                  <w:rStyle w:val="a3"/>
                  <w:rFonts w:eastAsia="Times New Roman"/>
                  <w:color w:val="000000"/>
                  <w:sz w:val="20"/>
                  <w:szCs w:val="20"/>
                  <w:u w:val="none"/>
                </w:rPr>
                <w:t>101</w:t>
              </w:r>
            </w:hyperlink>
          </w:p>
        </w:tc>
      </w:tr>
      <w:tr w:rsidR="00000000" w14:paraId="1879E88B" w14:textId="77777777">
        <w:trPr>
          <w:divId w:val="9841312"/>
        </w:trPr>
        <w:tc>
          <w:tcPr>
            <w:tcW w:w="0" w:type="auto"/>
            <w:gridSpan w:val="3"/>
            <w:tcMar>
              <w:top w:w="0" w:type="dxa"/>
              <w:left w:w="20" w:type="dxa"/>
              <w:bottom w:w="0" w:type="dxa"/>
              <w:right w:w="20" w:type="dxa"/>
            </w:tcMar>
            <w:vAlign w:val="center"/>
            <w:hideMark/>
          </w:tcPr>
          <w:p w14:paraId="3E5F28F3"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3B2B4BD" w14:textId="77777777" w:rsidR="00000000" w:rsidRDefault="00405D16">
            <w:pPr>
              <w:spacing w:after="100"/>
              <w:divId w:val="804470364"/>
              <w:rPr>
                <w:rFonts w:eastAsia="Times New Roman"/>
              </w:rPr>
            </w:pPr>
            <w:hyperlink w:anchor="idd54a04a485440b4ab4e56094c14d612_406" w:history="1">
              <w:r>
                <w:rPr>
                  <w:rStyle w:val="a3"/>
                  <w:rFonts w:eastAsia="Times New Roman"/>
                  <w:color w:val="000000"/>
                  <w:sz w:val="20"/>
                  <w:szCs w:val="20"/>
                  <w:u w:val="none"/>
                </w:rPr>
                <w:t>Note 8—Derivative Instruments and Hedging Activities</w:t>
              </w:r>
            </w:hyperlink>
          </w:p>
        </w:tc>
        <w:tc>
          <w:tcPr>
            <w:tcW w:w="0" w:type="auto"/>
            <w:gridSpan w:val="3"/>
            <w:tcMar>
              <w:top w:w="30" w:type="dxa"/>
              <w:left w:w="20" w:type="dxa"/>
              <w:bottom w:w="30" w:type="dxa"/>
              <w:right w:w="20" w:type="dxa"/>
            </w:tcMar>
            <w:vAlign w:val="bottom"/>
            <w:hideMark/>
          </w:tcPr>
          <w:p w14:paraId="59CC94EB" w14:textId="77777777" w:rsidR="00000000" w:rsidRDefault="00405D16">
            <w:pPr>
              <w:spacing w:after="100"/>
              <w:jc w:val="center"/>
              <w:rPr>
                <w:rFonts w:eastAsia="Times New Roman"/>
              </w:rPr>
            </w:pPr>
            <w:hyperlink w:anchor="idd54a04a485440b4ab4e56094c14d612_406" w:history="1">
              <w:r>
                <w:rPr>
                  <w:rStyle w:val="a3"/>
                  <w:rFonts w:eastAsia="Times New Roman"/>
                  <w:color w:val="000000"/>
                  <w:sz w:val="20"/>
                  <w:szCs w:val="20"/>
                  <w:u w:val="none"/>
                </w:rPr>
                <w:t>102</w:t>
              </w:r>
            </w:hyperlink>
          </w:p>
        </w:tc>
      </w:tr>
      <w:tr w:rsidR="00000000" w14:paraId="206D26FD" w14:textId="77777777">
        <w:trPr>
          <w:divId w:val="9841312"/>
        </w:trPr>
        <w:tc>
          <w:tcPr>
            <w:tcW w:w="0" w:type="auto"/>
            <w:gridSpan w:val="3"/>
            <w:tcMar>
              <w:top w:w="0" w:type="dxa"/>
              <w:left w:w="20" w:type="dxa"/>
              <w:bottom w:w="0" w:type="dxa"/>
              <w:right w:w="20" w:type="dxa"/>
            </w:tcMar>
            <w:vAlign w:val="center"/>
            <w:hideMark/>
          </w:tcPr>
          <w:p w14:paraId="17DAE8ED"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4268A10" w14:textId="77777777" w:rsidR="00000000" w:rsidRDefault="00405D16">
            <w:pPr>
              <w:spacing w:after="100"/>
              <w:divId w:val="1830250443"/>
              <w:rPr>
                <w:rFonts w:eastAsia="Times New Roman"/>
              </w:rPr>
            </w:pPr>
            <w:hyperlink w:anchor="idd54a04a485440b4ab4e56094c14d612_409" w:history="1">
              <w:r>
                <w:rPr>
                  <w:rStyle w:val="a3"/>
                  <w:rFonts w:eastAsia="Times New Roman"/>
                  <w:color w:val="000000"/>
                  <w:sz w:val="20"/>
                  <w:szCs w:val="20"/>
                  <w:u w:val="none"/>
                </w:rPr>
                <w:t>Note 9—Stockholders’ Equity</w:t>
              </w:r>
            </w:hyperlink>
          </w:p>
        </w:tc>
        <w:tc>
          <w:tcPr>
            <w:tcW w:w="0" w:type="auto"/>
            <w:gridSpan w:val="3"/>
            <w:tcMar>
              <w:top w:w="30" w:type="dxa"/>
              <w:left w:w="20" w:type="dxa"/>
              <w:bottom w:w="30" w:type="dxa"/>
              <w:right w:w="20" w:type="dxa"/>
            </w:tcMar>
            <w:vAlign w:val="bottom"/>
            <w:hideMark/>
          </w:tcPr>
          <w:p w14:paraId="158B69F9" w14:textId="77777777" w:rsidR="00000000" w:rsidRDefault="00405D16">
            <w:pPr>
              <w:spacing w:after="100"/>
              <w:jc w:val="center"/>
              <w:rPr>
                <w:rFonts w:eastAsia="Times New Roman"/>
              </w:rPr>
            </w:pPr>
            <w:hyperlink w:anchor="idd54a04a485440b4ab4e56094c14d612_409" w:history="1">
              <w:r>
                <w:rPr>
                  <w:rStyle w:val="a3"/>
                  <w:rFonts w:eastAsia="Times New Roman"/>
                  <w:color w:val="000000"/>
                  <w:sz w:val="20"/>
                  <w:szCs w:val="20"/>
                  <w:u w:val="none"/>
                </w:rPr>
                <w:t>112</w:t>
              </w:r>
            </w:hyperlink>
          </w:p>
        </w:tc>
      </w:tr>
      <w:tr w:rsidR="00000000" w14:paraId="55F50339" w14:textId="77777777">
        <w:trPr>
          <w:divId w:val="9841312"/>
        </w:trPr>
        <w:tc>
          <w:tcPr>
            <w:tcW w:w="0" w:type="auto"/>
            <w:gridSpan w:val="3"/>
            <w:tcMar>
              <w:top w:w="0" w:type="dxa"/>
              <w:left w:w="20" w:type="dxa"/>
              <w:bottom w:w="0" w:type="dxa"/>
              <w:right w:w="20" w:type="dxa"/>
            </w:tcMar>
            <w:vAlign w:val="center"/>
            <w:hideMark/>
          </w:tcPr>
          <w:p w14:paraId="167D6DDD"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4EC625E" w14:textId="77777777" w:rsidR="00000000" w:rsidRDefault="00405D16">
            <w:pPr>
              <w:spacing w:after="100"/>
              <w:divId w:val="5718609"/>
              <w:rPr>
                <w:rFonts w:eastAsia="Times New Roman"/>
              </w:rPr>
            </w:pPr>
            <w:hyperlink w:anchor="idd54a04a485440b4ab4e56094c14d612_418" w:history="1">
              <w:r>
                <w:rPr>
                  <w:rStyle w:val="a3"/>
                  <w:rFonts w:eastAsia="Times New Roman"/>
                  <w:color w:val="000000"/>
                  <w:sz w:val="20"/>
                  <w:szCs w:val="20"/>
                  <w:u w:val="none"/>
                </w:rPr>
                <w:t>Note 10—Earnings Per Common Share</w:t>
              </w:r>
            </w:hyperlink>
          </w:p>
        </w:tc>
        <w:tc>
          <w:tcPr>
            <w:tcW w:w="0" w:type="auto"/>
            <w:gridSpan w:val="3"/>
            <w:tcMar>
              <w:top w:w="30" w:type="dxa"/>
              <w:left w:w="20" w:type="dxa"/>
              <w:bottom w:w="30" w:type="dxa"/>
              <w:right w:w="20" w:type="dxa"/>
            </w:tcMar>
            <w:vAlign w:val="bottom"/>
            <w:hideMark/>
          </w:tcPr>
          <w:p w14:paraId="5B869AFF" w14:textId="77777777" w:rsidR="00000000" w:rsidRDefault="00405D16">
            <w:pPr>
              <w:spacing w:after="100"/>
              <w:jc w:val="center"/>
              <w:rPr>
                <w:rFonts w:eastAsia="Times New Roman"/>
              </w:rPr>
            </w:pPr>
            <w:hyperlink w:anchor="idd54a04a485440b4ab4e56094c14d612_418" w:history="1">
              <w:r>
                <w:rPr>
                  <w:rStyle w:val="a3"/>
                  <w:rFonts w:eastAsia="Times New Roman"/>
                  <w:color w:val="000000"/>
                  <w:sz w:val="20"/>
                  <w:szCs w:val="20"/>
                  <w:u w:val="none"/>
                </w:rPr>
                <w:t>116</w:t>
              </w:r>
            </w:hyperlink>
          </w:p>
        </w:tc>
      </w:tr>
      <w:tr w:rsidR="00000000" w14:paraId="1FE2D3FE" w14:textId="77777777">
        <w:trPr>
          <w:divId w:val="9841312"/>
        </w:trPr>
        <w:tc>
          <w:tcPr>
            <w:tcW w:w="0" w:type="auto"/>
            <w:gridSpan w:val="3"/>
            <w:tcMar>
              <w:top w:w="0" w:type="dxa"/>
              <w:left w:w="20" w:type="dxa"/>
              <w:bottom w:w="0" w:type="dxa"/>
              <w:right w:w="20" w:type="dxa"/>
            </w:tcMar>
            <w:vAlign w:val="center"/>
            <w:hideMark/>
          </w:tcPr>
          <w:p w14:paraId="338992B3"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FCDB392" w14:textId="77777777" w:rsidR="00000000" w:rsidRDefault="00405D16">
            <w:pPr>
              <w:spacing w:after="100"/>
              <w:divId w:val="1042635892"/>
              <w:rPr>
                <w:rFonts w:eastAsia="Times New Roman"/>
              </w:rPr>
            </w:pPr>
            <w:hyperlink w:anchor="idd54a04a485440b4ab4e56094c14d612_430" w:history="1">
              <w:r>
                <w:rPr>
                  <w:rStyle w:val="a3"/>
                  <w:rFonts w:eastAsia="Times New Roman"/>
                  <w:color w:val="000000"/>
                  <w:sz w:val="20"/>
                  <w:szCs w:val="20"/>
                  <w:u w:val="none"/>
                </w:rPr>
                <w:t>Note 11—Fair Value Measurement</w:t>
              </w:r>
            </w:hyperlink>
          </w:p>
        </w:tc>
        <w:tc>
          <w:tcPr>
            <w:tcW w:w="0" w:type="auto"/>
            <w:gridSpan w:val="3"/>
            <w:tcMar>
              <w:top w:w="30" w:type="dxa"/>
              <w:left w:w="20" w:type="dxa"/>
              <w:bottom w:w="30" w:type="dxa"/>
              <w:right w:w="20" w:type="dxa"/>
            </w:tcMar>
            <w:vAlign w:val="bottom"/>
            <w:hideMark/>
          </w:tcPr>
          <w:p w14:paraId="516EBA03" w14:textId="77777777" w:rsidR="00000000" w:rsidRDefault="00405D16">
            <w:pPr>
              <w:spacing w:after="100"/>
              <w:jc w:val="center"/>
              <w:rPr>
                <w:rFonts w:eastAsia="Times New Roman"/>
              </w:rPr>
            </w:pPr>
            <w:hyperlink w:anchor="idd54a04a485440b4ab4e56094c14d612_430" w:history="1">
              <w:r>
                <w:rPr>
                  <w:rStyle w:val="a3"/>
                  <w:rFonts w:eastAsia="Times New Roman"/>
                  <w:color w:val="000000"/>
                  <w:sz w:val="20"/>
                  <w:szCs w:val="20"/>
                  <w:u w:val="none"/>
                </w:rPr>
                <w:t>117</w:t>
              </w:r>
            </w:hyperlink>
          </w:p>
        </w:tc>
      </w:tr>
      <w:tr w:rsidR="00000000" w14:paraId="4D433D47" w14:textId="77777777">
        <w:trPr>
          <w:divId w:val="9841312"/>
        </w:trPr>
        <w:tc>
          <w:tcPr>
            <w:tcW w:w="0" w:type="auto"/>
            <w:gridSpan w:val="3"/>
            <w:tcMar>
              <w:top w:w="0" w:type="dxa"/>
              <w:left w:w="20" w:type="dxa"/>
              <w:bottom w:w="0" w:type="dxa"/>
              <w:right w:w="20" w:type="dxa"/>
            </w:tcMar>
            <w:vAlign w:val="center"/>
            <w:hideMark/>
          </w:tcPr>
          <w:p w14:paraId="5BEB7503"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2F4E7B4" w14:textId="77777777" w:rsidR="00000000" w:rsidRDefault="00405D16">
            <w:pPr>
              <w:spacing w:after="100"/>
              <w:divId w:val="2145737186"/>
              <w:rPr>
                <w:rFonts w:eastAsia="Times New Roman"/>
              </w:rPr>
            </w:pPr>
            <w:hyperlink w:anchor="idd54a04a485440b4ab4e56094c14d612_433" w:history="1">
              <w:r>
                <w:rPr>
                  <w:rStyle w:val="a3"/>
                  <w:rFonts w:eastAsia="Times New Roman"/>
                  <w:color w:val="000000"/>
                  <w:sz w:val="20"/>
                  <w:szCs w:val="20"/>
                  <w:u w:val="none"/>
                </w:rPr>
                <w:t>Note 12—Business Segments and Revenue from Contracts with Customers</w:t>
              </w:r>
            </w:hyperlink>
          </w:p>
        </w:tc>
        <w:tc>
          <w:tcPr>
            <w:tcW w:w="0" w:type="auto"/>
            <w:gridSpan w:val="3"/>
            <w:tcMar>
              <w:top w:w="30" w:type="dxa"/>
              <w:left w:w="20" w:type="dxa"/>
              <w:bottom w:w="30" w:type="dxa"/>
              <w:right w:w="20" w:type="dxa"/>
            </w:tcMar>
            <w:vAlign w:val="bottom"/>
            <w:hideMark/>
          </w:tcPr>
          <w:p w14:paraId="3869C8A5" w14:textId="77777777" w:rsidR="00000000" w:rsidRDefault="00405D16">
            <w:pPr>
              <w:spacing w:after="100"/>
              <w:jc w:val="center"/>
              <w:rPr>
                <w:rFonts w:eastAsia="Times New Roman"/>
              </w:rPr>
            </w:pPr>
            <w:hyperlink w:anchor="idd54a04a485440b4ab4e56094c14d612_433" w:history="1">
              <w:r>
                <w:rPr>
                  <w:rStyle w:val="a3"/>
                  <w:rFonts w:eastAsia="Times New Roman"/>
                  <w:color w:val="000000"/>
                  <w:sz w:val="20"/>
                  <w:szCs w:val="20"/>
                  <w:u w:val="none"/>
                </w:rPr>
                <w:t>125</w:t>
              </w:r>
            </w:hyperlink>
          </w:p>
        </w:tc>
      </w:tr>
      <w:tr w:rsidR="00000000" w14:paraId="62D6685B" w14:textId="77777777">
        <w:trPr>
          <w:divId w:val="9841312"/>
        </w:trPr>
        <w:tc>
          <w:tcPr>
            <w:tcW w:w="0" w:type="auto"/>
            <w:gridSpan w:val="3"/>
            <w:tcMar>
              <w:top w:w="0" w:type="dxa"/>
              <w:left w:w="20" w:type="dxa"/>
              <w:bottom w:w="0" w:type="dxa"/>
              <w:right w:w="20" w:type="dxa"/>
            </w:tcMar>
            <w:vAlign w:val="center"/>
            <w:hideMark/>
          </w:tcPr>
          <w:p w14:paraId="2792B6BE"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2796AB8" w14:textId="77777777" w:rsidR="00000000" w:rsidRDefault="00405D16">
            <w:pPr>
              <w:spacing w:after="100"/>
              <w:divId w:val="1323969945"/>
              <w:rPr>
                <w:rFonts w:eastAsia="Times New Roman"/>
              </w:rPr>
            </w:pPr>
            <w:hyperlink w:anchor="idd54a04a485440b4ab4e56094c14d612_436" w:history="1">
              <w:r>
                <w:rPr>
                  <w:rStyle w:val="a3"/>
                  <w:rFonts w:eastAsia="Times New Roman"/>
                  <w:color w:val="000000"/>
                  <w:sz w:val="20"/>
                  <w:szCs w:val="20"/>
                  <w:u w:val="none"/>
                </w:rPr>
                <w:t>Note 13—Commitments, Contingencies, Guarantees and Others</w:t>
              </w:r>
            </w:hyperlink>
          </w:p>
        </w:tc>
        <w:tc>
          <w:tcPr>
            <w:tcW w:w="0" w:type="auto"/>
            <w:gridSpan w:val="3"/>
            <w:tcMar>
              <w:top w:w="30" w:type="dxa"/>
              <w:left w:w="20" w:type="dxa"/>
              <w:bottom w:w="30" w:type="dxa"/>
              <w:right w:w="20" w:type="dxa"/>
            </w:tcMar>
            <w:vAlign w:val="bottom"/>
            <w:hideMark/>
          </w:tcPr>
          <w:p w14:paraId="46FFEA90" w14:textId="77777777" w:rsidR="00000000" w:rsidRDefault="00405D16">
            <w:pPr>
              <w:spacing w:after="100"/>
              <w:jc w:val="center"/>
              <w:rPr>
                <w:rFonts w:eastAsia="Times New Roman"/>
              </w:rPr>
            </w:pPr>
            <w:hyperlink w:anchor="idd54a04a485440b4ab4e56094c14d612_436" w:history="1">
              <w:r>
                <w:rPr>
                  <w:rStyle w:val="a3"/>
                  <w:rFonts w:eastAsia="Times New Roman"/>
                  <w:color w:val="000000"/>
                  <w:sz w:val="20"/>
                  <w:szCs w:val="20"/>
                  <w:u w:val="none"/>
                </w:rPr>
                <w:t>129</w:t>
              </w:r>
            </w:hyperlink>
          </w:p>
        </w:tc>
      </w:tr>
      <w:tr w:rsidR="00000000" w14:paraId="278E112A" w14:textId="77777777">
        <w:trPr>
          <w:divId w:val="9841312"/>
        </w:trPr>
        <w:tc>
          <w:tcPr>
            <w:tcW w:w="0" w:type="auto"/>
            <w:gridSpan w:val="3"/>
            <w:vAlign w:val="center"/>
            <w:hideMark/>
          </w:tcPr>
          <w:p w14:paraId="566E674A" w14:textId="77777777" w:rsidR="00000000" w:rsidRDefault="00405D16">
            <w:pPr>
              <w:spacing w:after="100"/>
              <w:jc w:val="center"/>
              <w:rPr>
                <w:rFonts w:eastAsia="Times New Roman"/>
              </w:rPr>
            </w:pPr>
          </w:p>
        </w:tc>
        <w:tc>
          <w:tcPr>
            <w:tcW w:w="0" w:type="auto"/>
            <w:gridSpan w:val="3"/>
            <w:vAlign w:val="center"/>
            <w:hideMark/>
          </w:tcPr>
          <w:p w14:paraId="647D61DD" w14:textId="77777777" w:rsidR="00000000" w:rsidRDefault="00405D16">
            <w:pPr>
              <w:spacing w:after="100"/>
              <w:rPr>
                <w:rFonts w:eastAsia="Times New Roman"/>
                <w:sz w:val="20"/>
                <w:szCs w:val="20"/>
              </w:rPr>
            </w:pPr>
          </w:p>
        </w:tc>
        <w:tc>
          <w:tcPr>
            <w:tcW w:w="0" w:type="auto"/>
            <w:gridSpan w:val="3"/>
            <w:vAlign w:val="center"/>
            <w:hideMark/>
          </w:tcPr>
          <w:p w14:paraId="39204F46" w14:textId="77777777" w:rsidR="00000000" w:rsidRDefault="00405D16">
            <w:pPr>
              <w:spacing w:after="100"/>
              <w:rPr>
                <w:rFonts w:eastAsia="Times New Roman"/>
                <w:sz w:val="20"/>
                <w:szCs w:val="20"/>
              </w:rPr>
            </w:pPr>
          </w:p>
        </w:tc>
      </w:tr>
      <w:tr w:rsidR="00000000" w14:paraId="5659D9FA" w14:textId="77777777">
        <w:trPr>
          <w:divId w:val="9841312"/>
          <w:trHeight w:val="280"/>
        </w:trPr>
        <w:tc>
          <w:tcPr>
            <w:tcW w:w="0" w:type="auto"/>
            <w:gridSpan w:val="3"/>
            <w:tcMar>
              <w:top w:w="0" w:type="dxa"/>
              <w:left w:w="20" w:type="dxa"/>
              <w:bottom w:w="0" w:type="dxa"/>
              <w:right w:w="20" w:type="dxa"/>
            </w:tcMar>
            <w:vAlign w:val="center"/>
            <w:hideMark/>
          </w:tcPr>
          <w:p w14:paraId="10353ED8"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5B89BFD"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6452999" w14:textId="77777777" w:rsidR="00000000" w:rsidRDefault="00405D16">
            <w:pPr>
              <w:spacing w:after="100"/>
              <w:rPr>
                <w:rFonts w:eastAsia="Times New Roman"/>
                <w:sz w:val="20"/>
                <w:szCs w:val="20"/>
              </w:rPr>
            </w:pPr>
          </w:p>
        </w:tc>
      </w:tr>
      <w:tr w:rsidR="00000000" w14:paraId="22BDA980" w14:textId="77777777">
        <w:trPr>
          <w:divId w:val="9841312"/>
        </w:trPr>
        <w:tc>
          <w:tcPr>
            <w:tcW w:w="0" w:type="auto"/>
            <w:gridSpan w:val="3"/>
            <w:vAlign w:val="center"/>
            <w:hideMark/>
          </w:tcPr>
          <w:p w14:paraId="500C2E5A" w14:textId="77777777" w:rsidR="00000000" w:rsidRDefault="00405D16">
            <w:pPr>
              <w:spacing w:after="100"/>
              <w:rPr>
                <w:rFonts w:eastAsia="Times New Roman"/>
                <w:sz w:val="20"/>
                <w:szCs w:val="20"/>
              </w:rPr>
            </w:pPr>
          </w:p>
        </w:tc>
        <w:tc>
          <w:tcPr>
            <w:tcW w:w="0" w:type="auto"/>
            <w:gridSpan w:val="3"/>
            <w:vAlign w:val="center"/>
            <w:hideMark/>
          </w:tcPr>
          <w:p w14:paraId="7E5B0710" w14:textId="77777777" w:rsidR="00000000" w:rsidRDefault="00405D16">
            <w:pPr>
              <w:spacing w:after="100"/>
              <w:rPr>
                <w:rFonts w:eastAsia="Times New Roman"/>
                <w:sz w:val="20"/>
                <w:szCs w:val="20"/>
              </w:rPr>
            </w:pPr>
          </w:p>
        </w:tc>
        <w:tc>
          <w:tcPr>
            <w:tcW w:w="0" w:type="auto"/>
            <w:vAlign w:val="center"/>
            <w:hideMark/>
          </w:tcPr>
          <w:p w14:paraId="052ADEE3" w14:textId="77777777" w:rsidR="00000000" w:rsidRDefault="00405D16">
            <w:pPr>
              <w:spacing w:after="100"/>
              <w:rPr>
                <w:rFonts w:eastAsia="Times New Roman"/>
                <w:sz w:val="20"/>
                <w:szCs w:val="20"/>
              </w:rPr>
            </w:pPr>
          </w:p>
        </w:tc>
        <w:tc>
          <w:tcPr>
            <w:tcW w:w="0" w:type="auto"/>
            <w:vAlign w:val="center"/>
            <w:hideMark/>
          </w:tcPr>
          <w:p w14:paraId="58B5577F" w14:textId="77777777" w:rsidR="00000000" w:rsidRDefault="00405D16">
            <w:pPr>
              <w:spacing w:after="100"/>
              <w:rPr>
                <w:rFonts w:eastAsia="Times New Roman"/>
                <w:sz w:val="20"/>
                <w:szCs w:val="20"/>
              </w:rPr>
            </w:pPr>
          </w:p>
        </w:tc>
        <w:tc>
          <w:tcPr>
            <w:tcW w:w="0" w:type="auto"/>
            <w:vAlign w:val="center"/>
            <w:hideMark/>
          </w:tcPr>
          <w:p w14:paraId="3FEA8358" w14:textId="77777777" w:rsidR="00000000" w:rsidRDefault="00405D16">
            <w:pPr>
              <w:spacing w:after="100"/>
              <w:rPr>
                <w:rFonts w:eastAsia="Times New Roman"/>
                <w:sz w:val="20"/>
                <w:szCs w:val="20"/>
              </w:rPr>
            </w:pPr>
          </w:p>
        </w:tc>
      </w:tr>
      <w:tr w:rsidR="00000000" w14:paraId="33197780" w14:textId="77777777">
        <w:trPr>
          <w:divId w:val="9841312"/>
        </w:trPr>
        <w:tc>
          <w:tcPr>
            <w:tcW w:w="0" w:type="auto"/>
            <w:gridSpan w:val="3"/>
            <w:vAlign w:val="center"/>
            <w:hideMark/>
          </w:tcPr>
          <w:p w14:paraId="611C67DE" w14:textId="77777777" w:rsidR="00000000" w:rsidRDefault="00405D16">
            <w:pPr>
              <w:spacing w:after="100"/>
              <w:rPr>
                <w:rFonts w:eastAsia="Times New Roman"/>
                <w:sz w:val="20"/>
                <w:szCs w:val="20"/>
              </w:rPr>
            </w:pPr>
          </w:p>
        </w:tc>
        <w:tc>
          <w:tcPr>
            <w:tcW w:w="0" w:type="auto"/>
            <w:gridSpan w:val="3"/>
            <w:vAlign w:val="center"/>
            <w:hideMark/>
          </w:tcPr>
          <w:p w14:paraId="19C99DB9" w14:textId="77777777" w:rsidR="00000000" w:rsidRDefault="00405D16">
            <w:pPr>
              <w:spacing w:after="100"/>
              <w:rPr>
                <w:rFonts w:eastAsia="Times New Roman"/>
                <w:sz w:val="20"/>
                <w:szCs w:val="20"/>
              </w:rPr>
            </w:pPr>
          </w:p>
        </w:tc>
        <w:tc>
          <w:tcPr>
            <w:tcW w:w="0" w:type="auto"/>
            <w:gridSpan w:val="3"/>
            <w:vAlign w:val="center"/>
            <w:hideMark/>
          </w:tcPr>
          <w:p w14:paraId="66B46F29" w14:textId="77777777" w:rsidR="00000000" w:rsidRDefault="00405D16">
            <w:pPr>
              <w:spacing w:after="100"/>
              <w:rPr>
                <w:rFonts w:eastAsia="Times New Roman"/>
                <w:sz w:val="20"/>
                <w:szCs w:val="20"/>
              </w:rPr>
            </w:pPr>
          </w:p>
        </w:tc>
      </w:tr>
      <w:tr w:rsidR="00000000" w14:paraId="4A0D8F07" w14:textId="77777777">
        <w:trPr>
          <w:divId w:val="9841312"/>
        </w:trPr>
        <w:tc>
          <w:tcPr>
            <w:tcW w:w="0" w:type="auto"/>
            <w:gridSpan w:val="3"/>
            <w:vAlign w:val="center"/>
            <w:hideMark/>
          </w:tcPr>
          <w:p w14:paraId="730A29C9" w14:textId="77777777" w:rsidR="00000000" w:rsidRDefault="00405D16">
            <w:pPr>
              <w:spacing w:after="100"/>
              <w:rPr>
                <w:rFonts w:eastAsia="Times New Roman"/>
                <w:sz w:val="20"/>
                <w:szCs w:val="20"/>
              </w:rPr>
            </w:pPr>
          </w:p>
        </w:tc>
        <w:tc>
          <w:tcPr>
            <w:tcW w:w="0" w:type="auto"/>
            <w:gridSpan w:val="3"/>
            <w:vAlign w:val="center"/>
            <w:hideMark/>
          </w:tcPr>
          <w:p w14:paraId="67F1FE60" w14:textId="77777777" w:rsidR="00000000" w:rsidRDefault="00405D16">
            <w:pPr>
              <w:spacing w:after="100"/>
              <w:rPr>
                <w:rFonts w:eastAsia="Times New Roman"/>
                <w:sz w:val="20"/>
                <w:szCs w:val="20"/>
              </w:rPr>
            </w:pPr>
          </w:p>
        </w:tc>
        <w:tc>
          <w:tcPr>
            <w:tcW w:w="0" w:type="auto"/>
            <w:gridSpan w:val="3"/>
            <w:vAlign w:val="center"/>
            <w:hideMark/>
          </w:tcPr>
          <w:p w14:paraId="49B89A8A" w14:textId="77777777" w:rsidR="00000000" w:rsidRDefault="00405D16">
            <w:pPr>
              <w:spacing w:after="100"/>
              <w:rPr>
                <w:rFonts w:eastAsia="Times New Roman"/>
                <w:sz w:val="20"/>
                <w:szCs w:val="20"/>
              </w:rPr>
            </w:pPr>
          </w:p>
        </w:tc>
      </w:tr>
      <w:tr w:rsidR="00000000" w14:paraId="5B9478AB" w14:textId="77777777">
        <w:trPr>
          <w:divId w:val="9841312"/>
        </w:trPr>
        <w:tc>
          <w:tcPr>
            <w:tcW w:w="0" w:type="auto"/>
            <w:gridSpan w:val="3"/>
            <w:tcMar>
              <w:top w:w="30" w:type="dxa"/>
              <w:left w:w="20" w:type="dxa"/>
              <w:bottom w:w="30" w:type="dxa"/>
              <w:right w:w="20" w:type="dxa"/>
            </w:tcMar>
            <w:vAlign w:val="center"/>
            <w:hideMark/>
          </w:tcPr>
          <w:p w14:paraId="0534D2CB" w14:textId="77777777" w:rsidR="00000000" w:rsidRDefault="00405D16">
            <w:pPr>
              <w:spacing w:after="100"/>
              <w:divId w:val="1692606346"/>
              <w:rPr>
                <w:rFonts w:eastAsia="Times New Roman"/>
              </w:rPr>
            </w:pPr>
            <w:hyperlink w:anchor="idd54a04a485440b4ab4e56094c14d612_79" w:history="1">
              <w:r>
                <w:rPr>
                  <w:rStyle w:val="a3"/>
                  <w:rFonts w:eastAsia="Times New Roman"/>
                  <w:color w:val="000000"/>
                  <w:sz w:val="20"/>
                  <w:szCs w:val="20"/>
                  <w:u w:val="none"/>
                </w:rPr>
                <w:t>Item 2.</w:t>
              </w:r>
            </w:hyperlink>
          </w:p>
        </w:tc>
        <w:tc>
          <w:tcPr>
            <w:tcW w:w="0" w:type="auto"/>
            <w:gridSpan w:val="3"/>
            <w:tcMar>
              <w:top w:w="30" w:type="dxa"/>
              <w:left w:w="20" w:type="dxa"/>
              <w:bottom w:w="30" w:type="dxa"/>
              <w:right w:w="20" w:type="dxa"/>
            </w:tcMar>
            <w:vAlign w:val="bottom"/>
            <w:hideMark/>
          </w:tcPr>
          <w:p w14:paraId="568761A7" w14:textId="77777777" w:rsidR="00000000" w:rsidRDefault="00405D16">
            <w:pPr>
              <w:spacing w:after="100"/>
              <w:divId w:val="2112509141"/>
              <w:rPr>
                <w:rFonts w:eastAsia="Times New Roman"/>
              </w:rPr>
            </w:pPr>
            <w:hyperlink w:anchor="idd54a04a485440b4ab4e56094c14d612_79" w:history="1">
              <w:r>
                <w:rPr>
                  <w:rStyle w:val="a3"/>
                  <w:rFonts w:eastAsia="Times New Roman"/>
                  <w:color w:val="000000"/>
                  <w:sz w:val="20"/>
                  <w:szCs w:val="20"/>
                  <w:u w:val="none"/>
                </w:rPr>
                <w:t>Management’s Discussion and Analysis of Financial Condition and Results of Operations (“MD&amp;A”)</w:t>
              </w:r>
            </w:hyperlink>
          </w:p>
        </w:tc>
        <w:tc>
          <w:tcPr>
            <w:tcW w:w="0" w:type="auto"/>
            <w:gridSpan w:val="3"/>
            <w:tcMar>
              <w:top w:w="30" w:type="dxa"/>
              <w:left w:w="20" w:type="dxa"/>
              <w:bottom w:w="30" w:type="dxa"/>
              <w:right w:w="20" w:type="dxa"/>
            </w:tcMar>
            <w:vAlign w:val="bottom"/>
            <w:hideMark/>
          </w:tcPr>
          <w:p w14:paraId="22BA2E71" w14:textId="77777777" w:rsidR="00000000" w:rsidRDefault="00405D16">
            <w:pPr>
              <w:spacing w:after="100"/>
              <w:jc w:val="center"/>
              <w:rPr>
                <w:rFonts w:eastAsia="Times New Roman"/>
              </w:rPr>
            </w:pPr>
            <w:hyperlink w:anchor="idd54a04a485440b4ab4e56094c14d612_79" w:history="1">
              <w:r>
                <w:rPr>
                  <w:rStyle w:val="a3"/>
                  <w:rFonts w:eastAsia="Times New Roman"/>
                  <w:color w:val="000000"/>
                  <w:sz w:val="20"/>
                  <w:szCs w:val="20"/>
                  <w:u w:val="none"/>
                </w:rPr>
                <w:t>4</w:t>
              </w:r>
            </w:hyperlink>
          </w:p>
        </w:tc>
      </w:tr>
      <w:tr w:rsidR="00000000" w14:paraId="2BF7CF37" w14:textId="77777777">
        <w:trPr>
          <w:divId w:val="9841312"/>
        </w:trPr>
        <w:tc>
          <w:tcPr>
            <w:tcW w:w="0" w:type="auto"/>
            <w:gridSpan w:val="3"/>
            <w:tcMar>
              <w:top w:w="0" w:type="dxa"/>
              <w:left w:w="20" w:type="dxa"/>
              <w:bottom w:w="0" w:type="dxa"/>
              <w:right w:w="20" w:type="dxa"/>
            </w:tcMar>
            <w:vAlign w:val="center"/>
            <w:hideMark/>
          </w:tcPr>
          <w:p w14:paraId="69E62D3B"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E622CF7" w14:textId="77777777" w:rsidR="00000000" w:rsidRDefault="00405D16">
            <w:pPr>
              <w:spacing w:after="100"/>
              <w:divId w:val="370959041"/>
              <w:rPr>
                <w:rFonts w:eastAsia="Times New Roman"/>
              </w:rPr>
            </w:pPr>
            <w:hyperlink w:anchor="idd54a04a485440b4ab4e56094c14d612_82" w:history="1">
              <w:r>
                <w:rPr>
                  <w:rStyle w:val="a3"/>
                  <w:rFonts w:eastAsia="Times New Roman"/>
                  <w:color w:val="000000"/>
                  <w:sz w:val="20"/>
                  <w:szCs w:val="20"/>
                  <w:u w:val="none"/>
                </w:rPr>
                <w:t>Introduction</w:t>
              </w:r>
            </w:hyperlink>
          </w:p>
        </w:tc>
        <w:tc>
          <w:tcPr>
            <w:tcW w:w="0" w:type="auto"/>
            <w:gridSpan w:val="3"/>
            <w:tcMar>
              <w:top w:w="30" w:type="dxa"/>
              <w:left w:w="20" w:type="dxa"/>
              <w:bottom w:w="30" w:type="dxa"/>
              <w:right w:w="20" w:type="dxa"/>
            </w:tcMar>
            <w:vAlign w:val="bottom"/>
            <w:hideMark/>
          </w:tcPr>
          <w:p w14:paraId="5763D539" w14:textId="77777777" w:rsidR="00000000" w:rsidRDefault="00405D16">
            <w:pPr>
              <w:spacing w:after="100"/>
              <w:jc w:val="center"/>
              <w:rPr>
                <w:rFonts w:eastAsia="Times New Roman"/>
              </w:rPr>
            </w:pPr>
            <w:hyperlink w:anchor="idd54a04a485440b4ab4e56094c14d612_82" w:history="1">
              <w:r>
                <w:rPr>
                  <w:rStyle w:val="a3"/>
                  <w:rFonts w:eastAsia="Times New Roman"/>
                  <w:color w:val="000000"/>
                  <w:sz w:val="20"/>
                  <w:szCs w:val="20"/>
                  <w:u w:val="none"/>
                </w:rPr>
                <w:t>4</w:t>
              </w:r>
            </w:hyperlink>
          </w:p>
        </w:tc>
      </w:tr>
      <w:tr w:rsidR="00000000" w14:paraId="24A470AC" w14:textId="77777777">
        <w:trPr>
          <w:divId w:val="9841312"/>
        </w:trPr>
        <w:tc>
          <w:tcPr>
            <w:tcW w:w="0" w:type="auto"/>
            <w:gridSpan w:val="3"/>
            <w:tcMar>
              <w:top w:w="0" w:type="dxa"/>
              <w:left w:w="20" w:type="dxa"/>
              <w:bottom w:w="0" w:type="dxa"/>
              <w:right w:w="20" w:type="dxa"/>
            </w:tcMar>
            <w:vAlign w:val="center"/>
            <w:hideMark/>
          </w:tcPr>
          <w:p w14:paraId="5CD52CD9"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9265FB0" w14:textId="77777777" w:rsidR="00000000" w:rsidRDefault="00405D16">
            <w:pPr>
              <w:spacing w:after="100"/>
              <w:divId w:val="445782469"/>
              <w:rPr>
                <w:rFonts w:eastAsia="Times New Roman"/>
              </w:rPr>
            </w:pPr>
            <w:hyperlink w:anchor="idd54a04a485440b4ab4e56094c14d612_91" w:history="1">
              <w:r>
                <w:rPr>
                  <w:rStyle w:val="a3"/>
                  <w:rFonts w:eastAsia="Times New Roman"/>
                  <w:color w:val="000000"/>
                  <w:sz w:val="20"/>
                  <w:szCs w:val="20"/>
                  <w:u w:val="none"/>
                </w:rPr>
                <w:t>Selected Financial Data</w:t>
              </w:r>
            </w:hyperlink>
          </w:p>
        </w:tc>
        <w:tc>
          <w:tcPr>
            <w:tcW w:w="0" w:type="auto"/>
            <w:gridSpan w:val="3"/>
            <w:tcMar>
              <w:top w:w="30" w:type="dxa"/>
              <w:left w:w="20" w:type="dxa"/>
              <w:bottom w:w="30" w:type="dxa"/>
              <w:right w:w="20" w:type="dxa"/>
            </w:tcMar>
            <w:vAlign w:val="bottom"/>
            <w:hideMark/>
          </w:tcPr>
          <w:p w14:paraId="5031E17E" w14:textId="77777777" w:rsidR="00000000" w:rsidRDefault="00405D16">
            <w:pPr>
              <w:spacing w:after="100"/>
              <w:jc w:val="center"/>
              <w:rPr>
                <w:rFonts w:eastAsia="Times New Roman"/>
              </w:rPr>
            </w:pPr>
            <w:hyperlink w:anchor="idd54a04a485440b4ab4e56094c14d612_91" w:history="1">
              <w:r>
                <w:rPr>
                  <w:rStyle w:val="a3"/>
                  <w:rFonts w:eastAsia="Times New Roman"/>
                  <w:color w:val="000000"/>
                  <w:sz w:val="20"/>
                  <w:szCs w:val="20"/>
                  <w:u w:val="none"/>
                </w:rPr>
                <w:t>6</w:t>
              </w:r>
            </w:hyperlink>
          </w:p>
        </w:tc>
      </w:tr>
      <w:tr w:rsidR="00000000" w14:paraId="12A8C4EA" w14:textId="77777777">
        <w:trPr>
          <w:divId w:val="9841312"/>
        </w:trPr>
        <w:tc>
          <w:tcPr>
            <w:tcW w:w="0" w:type="auto"/>
            <w:gridSpan w:val="3"/>
            <w:tcMar>
              <w:top w:w="0" w:type="dxa"/>
              <w:left w:w="20" w:type="dxa"/>
              <w:bottom w:w="0" w:type="dxa"/>
              <w:right w:w="20" w:type="dxa"/>
            </w:tcMar>
            <w:vAlign w:val="center"/>
            <w:hideMark/>
          </w:tcPr>
          <w:p w14:paraId="53833E6A"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CFE50BB" w14:textId="77777777" w:rsidR="00000000" w:rsidRDefault="00405D16">
            <w:pPr>
              <w:spacing w:after="100"/>
              <w:divId w:val="820853269"/>
              <w:rPr>
                <w:rFonts w:eastAsia="Times New Roman"/>
              </w:rPr>
            </w:pPr>
            <w:hyperlink w:anchor="idd54a04a485440b4ab4e56094c14d612_97" w:history="1">
              <w:r>
                <w:rPr>
                  <w:rStyle w:val="a3"/>
                  <w:rFonts w:eastAsia="Times New Roman"/>
                  <w:color w:val="000000"/>
                  <w:sz w:val="20"/>
                  <w:szCs w:val="20"/>
                  <w:u w:val="none"/>
                </w:rPr>
                <w:t>Executive Summary and Business Outlook</w:t>
              </w:r>
            </w:hyperlink>
          </w:p>
        </w:tc>
        <w:tc>
          <w:tcPr>
            <w:tcW w:w="0" w:type="auto"/>
            <w:gridSpan w:val="3"/>
            <w:tcMar>
              <w:top w:w="30" w:type="dxa"/>
              <w:left w:w="20" w:type="dxa"/>
              <w:bottom w:w="30" w:type="dxa"/>
              <w:right w:w="20" w:type="dxa"/>
            </w:tcMar>
            <w:vAlign w:val="bottom"/>
            <w:hideMark/>
          </w:tcPr>
          <w:p w14:paraId="736C092C" w14:textId="77777777" w:rsidR="00000000" w:rsidRDefault="00405D16">
            <w:pPr>
              <w:spacing w:after="100"/>
              <w:jc w:val="center"/>
              <w:rPr>
                <w:rFonts w:eastAsia="Times New Roman"/>
              </w:rPr>
            </w:pPr>
            <w:hyperlink w:anchor="idd54a04a485440b4ab4e56094c14d612_97" w:history="1">
              <w:r>
                <w:rPr>
                  <w:rStyle w:val="a3"/>
                  <w:rFonts w:eastAsia="Times New Roman"/>
                  <w:color w:val="000000"/>
                  <w:sz w:val="20"/>
                  <w:szCs w:val="20"/>
                  <w:u w:val="none"/>
                </w:rPr>
                <w:t>9</w:t>
              </w:r>
            </w:hyperlink>
          </w:p>
        </w:tc>
      </w:tr>
      <w:tr w:rsidR="00000000" w14:paraId="2AF0AF47" w14:textId="77777777">
        <w:trPr>
          <w:divId w:val="9841312"/>
        </w:trPr>
        <w:tc>
          <w:tcPr>
            <w:tcW w:w="0" w:type="auto"/>
            <w:gridSpan w:val="3"/>
            <w:tcMar>
              <w:top w:w="0" w:type="dxa"/>
              <w:left w:w="20" w:type="dxa"/>
              <w:bottom w:w="0" w:type="dxa"/>
              <w:right w:w="20" w:type="dxa"/>
            </w:tcMar>
            <w:vAlign w:val="center"/>
            <w:hideMark/>
          </w:tcPr>
          <w:p w14:paraId="6F96F615"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D6B82DC" w14:textId="77777777" w:rsidR="00000000" w:rsidRDefault="00405D16">
            <w:pPr>
              <w:spacing w:after="100"/>
              <w:divId w:val="1452477566"/>
              <w:rPr>
                <w:rFonts w:eastAsia="Times New Roman"/>
              </w:rPr>
            </w:pPr>
            <w:hyperlink w:anchor="idd54a04a485440b4ab4e56094c14d612_106" w:history="1">
              <w:r>
                <w:rPr>
                  <w:rStyle w:val="a3"/>
                  <w:rFonts w:eastAsia="Times New Roman"/>
                  <w:color w:val="000000"/>
                  <w:sz w:val="20"/>
                  <w:szCs w:val="20"/>
                  <w:u w:val="none"/>
                </w:rPr>
                <w:t>Consolidated Results of Operations</w:t>
              </w:r>
            </w:hyperlink>
          </w:p>
        </w:tc>
        <w:tc>
          <w:tcPr>
            <w:tcW w:w="0" w:type="auto"/>
            <w:gridSpan w:val="3"/>
            <w:tcMar>
              <w:top w:w="30" w:type="dxa"/>
              <w:left w:w="20" w:type="dxa"/>
              <w:bottom w:w="30" w:type="dxa"/>
              <w:right w:w="20" w:type="dxa"/>
            </w:tcMar>
            <w:vAlign w:val="bottom"/>
            <w:hideMark/>
          </w:tcPr>
          <w:p w14:paraId="7087F5E1" w14:textId="77777777" w:rsidR="00000000" w:rsidRDefault="00405D16">
            <w:pPr>
              <w:spacing w:after="100"/>
              <w:jc w:val="center"/>
              <w:rPr>
                <w:rFonts w:eastAsia="Times New Roman"/>
              </w:rPr>
            </w:pPr>
            <w:hyperlink w:anchor="idd54a04a485440b4ab4e56094c14d612_106" w:history="1">
              <w:r>
                <w:rPr>
                  <w:rStyle w:val="a3"/>
                  <w:rFonts w:eastAsia="Times New Roman"/>
                  <w:color w:val="000000"/>
                  <w:sz w:val="20"/>
                  <w:szCs w:val="20"/>
                  <w:u w:val="none"/>
                </w:rPr>
                <w:t>11</w:t>
              </w:r>
            </w:hyperlink>
          </w:p>
        </w:tc>
      </w:tr>
      <w:tr w:rsidR="00000000" w14:paraId="67761BFF" w14:textId="77777777">
        <w:trPr>
          <w:divId w:val="9841312"/>
        </w:trPr>
        <w:tc>
          <w:tcPr>
            <w:tcW w:w="0" w:type="auto"/>
            <w:gridSpan w:val="3"/>
            <w:tcMar>
              <w:top w:w="0" w:type="dxa"/>
              <w:left w:w="20" w:type="dxa"/>
              <w:bottom w:w="0" w:type="dxa"/>
              <w:right w:w="20" w:type="dxa"/>
            </w:tcMar>
            <w:vAlign w:val="center"/>
            <w:hideMark/>
          </w:tcPr>
          <w:p w14:paraId="6E80F80E"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4B912F1" w14:textId="77777777" w:rsidR="00000000" w:rsidRDefault="00405D16">
            <w:pPr>
              <w:spacing w:after="100"/>
              <w:divId w:val="1531457019"/>
              <w:rPr>
                <w:rFonts w:eastAsia="Times New Roman"/>
              </w:rPr>
            </w:pPr>
            <w:hyperlink w:anchor="idd54a04a485440b4ab4e56094c14d612_130" w:history="1">
              <w:r>
                <w:rPr>
                  <w:rStyle w:val="a3"/>
                  <w:rFonts w:eastAsia="Times New Roman"/>
                  <w:color w:val="000000"/>
                  <w:sz w:val="20"/>
                  <w:szCs w:val="20"/>
                  <w:u w:val="none"/>
                </w:rPr>
                <w:t>Consolidated Balance Sheets Analysis</w:t>
              </w:r>
            </w:hyperlink>
          </w:p>
        </w:tc>
        <w:tc>
          <w:tcPr>
            <w:tcW w:w="0" w:type="auto"/>
            <w:gridSpan w:val="3"/>
            <w:tcMar>
              <w:top w:w="30" w:type="dxa"/>
              <w:left w:w="20" w:type="dxa"/>
              <w:bottom w:w="30" w:type="dxa"/>
              <w:right w:w="20" w:type="dxa"/>
            </w:tcMar>
            <w:vAlign w:val="bottom"/>
            <w:hideMark/>
          </w:tcPr>
          <w:p w14:paraId="2B188A15" w14:textId="77777777" w:rsidR="00000000" w:rsidRDefault="00405D16">
            <w:pPr>
              <w:spacing w:after="100"/>
              <w:jc w:val="center"/>
              <w:rPr>
                <w:rFonts w:eastAsia="Times New Roman"/>
              </w:rPr>
            </w:pPr>
            <w:hyperlink w:anchor="idd54a04a485440b4ab4e56094c14d612_130" w:history="1">
              <w:r>
                <w:rPr>
                  <w:rStyle w:val="a3"/>
                  <w:rFonts w:eastAsia="Times New Roman"/>
                  <w:color w:val="000000"/>
                  <w:sz w:val="20"/>
                  <w:szCs w:val="20"/>
                  <w:u w:val="none"/>
                </w:rPr>
                <w:t>17</w:t>
              </w:r>
            </w:hyperlink>
          </w:p>
        </w:tc>
      </w:tr>
      <w:tr w:rsidR="00000000" w14:paraId="665F7FBA" w14:textId="77777777">
        <w:trPr>
          <w:divId w:val="9841312"/>
        </w:trPr>
        <w:tc>
          <w:tcPr>
            <w:tcW w:w="0" w:type="auto"/>
            <w:gridSpan w:val="3"/>
            <w:tcMar>
              <w:top w:w="0" w:type="dxa"/>
              <w:left w:w="20" w:type="dxa"/>
              <w:bottom w:w="0" w:type="dxa"/>
              <w:right w:w="20" w:type="dxa"/>
            </w:tcMar>
            <w:vAlign w:val="center"/>
            <w:hideMark/>
          </w:tcPr>
          <w:p w14:paraId="391CF3B5"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6BE3A13" w14:textId="77777777" w:rsidR="00000000" w:rsidRDefault="00405D16">
            <w:pPr>
              <w:spacing w:after="100"/>
              <w:divId w:val="2026327289"/>
              <w:rPr>
                <w:rFonts w:eastAsia="Times New Roman"/>
              </w:rPr>
            </w:pPr>
            <w:hyperlink w:anchor="idd54a04a485440b4ab4e56094c14d612_148" w:history="1">
              <w:r>
                <w:rPr>
                  <w:rStyle w:val="a3"/>
                  <w:rFonts w:eastAsia="Times New Roman"/>
                  <w:color w:val="000000"/>
                  <w:sz w:val="20"/>
                  <w:szCs w:val="20"/>
                  <w:u w:val="none"/>
                </w:rPr>
                <w:t>Off-Balance Sheet Arrangements</w:t>
              </w:r>
            </w:hyperlink>
          </w:p>
        </w:tc>
        <w:tc>
          <w:tcPr>
            <w:tcW w:w="0" w:type="auto"/>
            <w:gridSpan w:val="3"/>
            <w:tcMar>
              <w:top w:w="30" w:type="dxa"/>
              <w:left w:w="20" w:type="dxa"/>
              <w:bottom w:w="30" w:type="dxa"/>
              <w:right w:w="20" w:type="dxa"/>
            </w:tcMar>
            <w:vAlign w:val="bottom"/>
            <w:hideMark/>
          </w:tcPr>
          <w:p w14:paraId="6AC6C424" w14:textId="77777777" w:rsidR="00000000" w:rsidRDefault="00405D16">
            <w:pPr>
              <w:spacing w:after="100"/>
              <w:jc w:val="center"/>
              <w:rPr>
                <w:rFonts w:eastAsia="Times New Roman"/>
              </w:rPr>
            </w:pPr>
            <w:hyperlink w:anchor="idd54a04a485440b4ab4e56094c14d612_148" w:history="1">
              <w:r>
                <w:rPr>
                  <w:rStyle w:val="a3"/>
                  <w:rFonts w:eastAsia="Times New Roman"/>
                  <w:color w:val="000000"/>
                  <w:sz w:val="20"/>
                  <w:szCs w:val="20"/>
                  <w:u w:val="none"/>
                </w:rPr>
                <w:t>19</w:t>
              </w:r>
            </w:hyperlink>
          </w:p>
        </w:tc>
      </w:tr>
      <w:tr w:rsidR="00000000" w14:paraId="6A6BE9CC" w14:textId="77777777">
        <w:trPr>
          <w:divId w:val="9841312"/>
        </w:trPr>
        <w:tc>
          <w:tcPr>
            <w:tcW w:w="0" w:type="auto"/>
            <w:gridSpan w:val="3"/>
            <w:tcMar>
              <w:top w:w="0" w:type="dxa"/>
              <w:left w:w="20" w:type="dxa"/>
              <w:bottom w:w="0" w:type="dxa"/>
              <w:right w:w="20" w:type="dxa"/>
            </w:tcMar>
            <w:vAlign w:val="center"/>
            <w:hideMark/>
          </w:tcPr>
          <w:p w14:paraId="78B3FD13"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C00C16F" w14:textId="77777777" w:rsidR="00000000" w:rsidRDefault="00405D16">
            <w:pPr>
              <w:spacing w:after="100"/>
              <w:divId w:val="510099228"/>
              <w:rPr>
                <w:rFonts w:eastAsia="Times New Roman"/>
              </w:rPr>
            </w:pPr>
            <w:hyperlink w:anchor="idd54a04a485440b4ab4e56094c14d612_151" w:history="1">
              <w:r>
                <w:rPr>
                  <w:rStyle w:val="a3"/>
                  <w:rFonts w:eastAsia="Times New Roman"/>
                  <w:color w:val="000000"/>
                  <w:sz w:val="20"/>
                  <w:szCs w:val="20"/>
                  <w:u w:val="none"/>
                </w:rPr>
                <w:t>Business Segment Financial Performance</w:t>
              </w:r>
            </w:hyperlink>
          </w:p>
        </w:tc>
        <w:tc>
          <w:tcPr>
            <w:tcW w:w="0" w:type="auto"/>
            <w:gridSpan w:val="3"/>
            <w:tcMar>
              <w:top w:w="30" w:type="dxa"/>
              <w:left w:w="20" w:type="dxa"/>
              <w:bottom w:w="30" w:type="dxa"/>
              <w:right w:w="20" w:type="dxa"/>
            </w:tcMar>
            <w:vAlign w:val="bottom"/>
            <w:hideMark/>
          </w:tcPr>
          <w:p w14:paraId="340978CC" w14:textId="77777777" w:rsidR="00000000" w:rsidRDefault="00405D16">
            <w:pPr>
              <w:spacing w:after="100"/>
              <w:jc w:val="center"/>
              <w:rPr>
                <w:rFonts w:eastAsia="Times New Roman"/>
              </w:rPr>
            </w:pPr>
            <w:hyperlink w:anchor="idd54a04a485440b4ab4e56094c14d612_151" w:history="1">
              <w:r>
                <w:rPr>
                  <w:rStyle w:val="a3"/>
                  <w:rFonts w:eastAsia="Times New Roman"/>
                  <w:color w:val="000000"/>
                  <w:sz w:val="20"/>
                  <w:szCs w:val="20"/>
                  <w:u w:val="none"/>
                </w:rPr>
                <w:t>19</w:t>
              </w:r>
            </w:hyperlink>
          </w:p>
        </w:tc>
      </w:tr>
      <w:tr w:rsidR="00000000" w14:paraId="2EB4B162" w14:textId="77777777">
        <w:trPr>
          <w:divId w:val="9841312"/>
        </w:trPr>
        <w:tc>
          <w:tcPr>
            <w:tcW w:w="0" w:type="auto"/>
            <w:gridSpan w:val="3"/>
            <w:tcMar>
              <w:top w:w="0" w:type="dxa"/>
              <w:left w:w="20" w:type="dxa"/>
              <w:bottom w:w="0" w:type="dxa"/>
              <w:right w:w="20" w:type="dxa"/>
            </w:tcMar>
            <w:vAlign w:val="center"/>
            <w:hideMark/>
          </w:tcPr>
          <w:p w14:paraId="48F52015"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EDCB1D2" w14:textId="77777777" w:rsidR="00000000" w:rsidRDefault="00405D16">
            <w:pPr>
              <w:spacing w:after="100"/>
              <w:divId w:val="2137327630"/>
              <w:rPr>
                <w:rFonts w:eastAsia="Times New Roman"/>
              </w:rPr>
            </w:pPr>
            <w:hyperlink w:anchor="idd54a04a485440b4ab4e56094c14d612_172" w:history="1">
              <w:r>
                <w:rPr>
                  <w:rStyle w:val="a3"/>
                  <w:rFonts w:eastAsia="Times New Roman"/>
                  <w:color w:val="000000"/>
                  <w:sz w:val="20"/>
                  <w:szCs w:val="20"/>
                  <w:u w:val="none"/>
                </w:rPr>
                <w:t>Critical Accounting Policies and Estimates</w:t>
              </w:r>
            </w:hyperlink>
          </w:p>
        </w:tc>
        <w:tc>
          <w:tcPr>
            <w:tcW w:w="0" w:type="auto"/>
            <w:gridSpan w:val="3"/>
            <w:tcMar>
              <w:top w:w="30" w:type="dxa"/>
              <w:left w:w="20" w:type="dxa"/>
              <w:bottom w:w="30" w:type="dxa"/>
              <w:right w:w="20" w:type="dxa"/>
            </w:tcMar>
            <w:vAlign w:val="bottom"/>
            <w:hideMark/>
          </w:tcPr>
          <w:p w14:paraId="739ED094" w14:textId="77777777" w:rsidR="00000000" w:rsidRDefault="00405D16">
            <w:pPr>
              <w:spacing w:after="100"/>
              <w:jc w:val="center"/>
              <w:rPr>
                <w:rFonts w:eastAsia="Times New Roman"/>
              </w:rPr>
            </w:pPr>
            <w:hyperlink w:anchor="idd54a04a485440b4ab4e56094c14d612_172" w:history="1">
              <w:r>
                <w:rPr>
                  <w:rStyle w:val="a3"/>
                  <w:rFonts w:eastAsia="Times New Roman"/>
                  <w:color w:val="000000"/>
                  <w:sz w:val="20"/>
                  <w:szCs w:val="20"/>
                  <w:u w:val="none"/>
                </w:rPr>
                <w:t>29</w:t>
              </w:r>
            </w:hyperlink>
          </w:p>
        </w:tc>
      </w:tr>
      <w:tr w:rsidR="00000000" w14:paraId="1F112861" w14:textId="77777777">
        <w:trPr>
          <w:divId w:val="9841312"/>
        </w:trPr>
        <w:tc>
          <w:tcPr>
            <w:tcW w:w="0" w:type="auto"/>
            <w:gridSpan w:val="3"/>
            <w:tcMar>
              <w:top w:w="0" w:type="dxa"/>
              <w:left w:w="20" w:type="dxa"/>
              <w:bottom w:w="0" w:type="dxa"/>
              <w:right w:w="20" w:type="dxa"/>
            </w:tcMar>
            <w:vAlign w:val="center"/>
            <w:hideMark/>
          </w:tcPr>
          <w:p w14:paraId="6505BA91"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7D32ED5" w14:textId="77777777" w:rsidR="00000000" w:rsidRDefault="00405D16">
            <w:pPr>
              <w:spacing w:after="100"/>
              <w:divId w:val="40054538"/>
              <w:rPr>
                <w:rFonts w:eastAsia="Times New Roman"/>
              </w:rPr>
            </w:pPr>
            <w:hyperlink w:anchor="idd54a04a485440b4ab4e56094c14d612_178" w:history="1">
              <w:r>
                <w:rPr>
                  <w:rStyle w:val="a3"/>
                  <w:rFonts w:eastAsia="Times New Roman"/>
                  <w:color w:val="000000"/>
                  <w:sz w:val="20"/>
                  <w:szCs w:val="20"/>
                  <w:u w:val="none"/>
                </w:rPr>
                <w:t>Accounting Changes and Developments</w:t>
              </w:r>
            </w:hyperlink>
          </w:p>
        </w:tc>
        <w:tc>
          <w:tcPr>
            <w:tcW w:w="0" w:type="auto"/>
            <w:gridSpan w:val="3"/>
            <w:tcMar>
              <w:top w:w="30" w:type="dxa"/>
              <w:left w:w="20" w:type="dxa"/>
              <w:bottom w:w="30" w:type="dxa"/>
              <w:right w:w="20" w:type="dxa"/>
            </w:tcMar>
            <w:vAlign w:val="bottom"/>
            <w:hideMark/>
          </w:tcPr>
          <w:p w14:paraId="6BB87944" w14:textId="77777777" w:rsidR="00000000" w:rsidRDefault="00405D16">
            <w:pPr>
              <w:spacing w:after="100"/>
              <w:jc w:val="center"/>
              <w:rPr>
                <w:rFonts w:eastAsia="Times New Roman"/>
              </w:rPr>
            </w:pPr>
            <w:hyperlink w:anchor="idd54a04a485440b4ab4e56094c14d612_178" w:history="1">
              <w:r>
                <w:rPr>
                  <w:rStyle w:val="a3"/>
                  <w:rFonts w:eastAsia="Times New Roman"/>
                  <w:color w:val="000000"/>
                  <w:sz w:val="20"/>
                  <w:szCs w:val="20"/>
                  <w:u w:val="none"/>
                </w:rPr>
                <w:t>30</w:t>
              </w:r>
            </w:hyperlink>
          </w:p>
        </w:tc>
      </w:tr>
      <w:tr w:rsidR="00000000" w14:paraId="2F561C06" w14:textId="77777777">
        <w:trPr>
          <w:divId w:val="9841312"/>
        </w:trPr>
        <w:tc>
          <w:tcPr>
            <w:tcW w:w="0" w:type="auto"/>
            <w:gridSpan w:val="3"/>
            <w:tcMar>
              <w:top w:w="0" w:type="dxa"/>
              <w:left w:w="20" w:type="dxa"/>
              <w:bottom w:w="0" w:type="dxa"/>
              <w:right w:w="20" w:type="dxa"/>
            </w:tcMar>
            <w:vAlign w:val="center"/>
            <w:hideMark/>
          </w:tcPr>
          <w:p w14:paraId="7046E2AF"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A733E6B" w14:textId="77777777" w:rsidR="00000000" w:rsidRDefault="00405D16">
            <w:pPr>
              <w:spacing w:after="100"/>
              <w:divId w:val="407965781"/>
              <w:rPr>
                <w:rFonts w:eastAsia="Times New Roman"/>
              </w:rPr>
            </w:pPr>
            <w:hyperlink w:anchor="idd54a04a485440b4ab4e56094c14d612_181" w:history="1">
              <w:r>
                <w:rPr>
                  <w:rStyle w:val="a3"/>
                  <w:rFonts w:eastAsia="Times New Roman"/>
                  <w:color w:val="000000"/>
                  <w:sz w:val="20"/>
                  <w:szCs w:val="20"/>
                  <w:u w:val="none"/>
                </w:rPr>
                <w:t>Capital Management</w:t>
              </w:r>
            </w:hyperlink>
          </w:p>
        </w:tc>
        <w:tc>
          <w:tcPr>
            <w:tcW w:w="0" w:type="auto"/>
            <w:gridSpan w:val="3"/>
            <w:tcMar>
              <w:top w:w="30" w:type="dxa"/>
              <w:left w:w="20" w:type="dxa"/>
              <w:bottom w:w="30" w:type="dxa"/>
              <w:right w:w="20" w:type="dxa"/>
            </w:tcMar>
            <w:vAlign w:val="bottom"/>
            <w:hideMark/>
          </w:tcPr>
          <w:p w14:paraId="622E8FF9" w14:textId="77777777" w:rsidR="00000000" w:rsidRDefault="00405D16">
            <w:pPr>
              <w:spacing w:after="100"/>
              <w:jc w:val="center"/>
              <w:rPr>
                <w:rFonts w:eastAsia="Times New Roman"/>
              </w:rPr>
            </w:pPr>
            <w:hyperlink w:anchor="idd54a04a485440b4ab4e56094c14d612_181" w:history="1">
              <w:r>
                <w:rPr>
                  <w:rStyle w:val="a3"/>
                  <w:rFonts w:eastAsia="Times New Roman"/>
                  <w:color w:val="000000"/>
                  <w:sz w:val="20"/>
                  <w:szCs w:val="20"/>
                  <w:u w:val="none"/>
                </w:rPr>
                <w:t>30</w:t>
              </w:r>
            </w:hyperlink>
          </w:p>
        </w:tc>
      </w:tr>
      <w:tr w:rsidR="00000000" w14:paraId="6A3D8078" w14:textId="77777777">
        <w:trPr>
          <w:divId w:val="9841312"/>
        </w:trPr>
        <w:tc>
          <w:tcPr>
            <w:tcW w:w="0" w:type="auto"/>
            <w:gridSpan w:val="3"/>
            <w:tcMar>
              <w:top w:w="0" w:type="dxa"/>
              <w:left w:w="20" w:type="dxa"/>
              <w:bottom w:w="0" w:type="dxa"/>
              <w:right w:w="20" w:type="dxa"/>
            </w:tcMar>
            <w:vAlign w:val="center"/>
            <w:hideMark/>
          </w:tcPr>
          <w:p w14:paraId="157DE07C"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919A168" w14:textId="77777777" w:rsidR="00000000" w:rsidRDefault="00405D16">
            <w:pPr>
              <w:spacing w:after="100"/>
              <w:divId w:val="498621360"/>
              <w:rPr>
                <w:rFonts w:eastAsia="Times New Roman"/>
              </w:rPr>
            </w:pPr>
            <w:hyperlink w:anchor="idd54a04a485440b4ab4e56094c14d612_202" w:history="1">
              <w:r>
                <w:rPr>
                  <w:rStyle w:val="a3"/>
                  <w:rFonts w:eastAsia="Times New Roman"/>
                  <w:color w:val="000000"/>
                  <w:sz w:val="20"/>
                  <w:szCs w:val="20"/>
                  <w:u w:val="none"/>
                </w:rPr>
                <w:t>Risk Management</w:t>
              </w:r>
            </w:hyperlink>
          </w:p>
        </w:tc>
        <w:tc>
          <w:tcPr>
            <w:tcW w:w="0" w:type="auto"/>
            <w:gridSpan w:val="3"/>
            <w:tcMar>
              <w:top w:w="30" w:type="dxa"/>
              <w:left w:w="20" w:type="dxa"/>
              <w:bottom w:w="30" w:type="dxa"/>
              <w:right w:w="20" w:type="dxa"/>
            </w:tcMar>
            <w:vAlign w:val="bottom"/>
            <w:hideMark/>
          </w:tcPr>
          <w:p w14:paraId="0751DAA4" w14:textId="77777777" w:rsidR="00000000" w:rsidRDefault="00405D16">
            <w:pPr>
              <w:spacing w:after="100"/>
              <w:jc w:val="center"/>
              <w:rPr>
                <w:rFonts w:eastAsia="Times New Roman"/>
              </w:rPr>
            </w:pPr>
            <w:hyperlink w:anchor="idd54a04a485440b4ab4e56094c14d612_202" w:history="1">
              <w:r>
                <w:rPr>
                  <w:rStyle w:val="a3"/>
                  <w:rFonts w:eastAsia="Times New Roman"/>
                  <w:color w:val="000000"/>
                  <w:sz w:val="20"/>
                  <w:szCs w:val="20"/>
                  <w:u w:val="none"/>
                </w:rPr>
                <w:t>37</w:t>
              </w:r>
            </w:hyperlink>
          </w:p>
        </w:tc>
      </w:tr>
      <w:tr w:rsidR="00000000" w14:paraId="212C0EA9" w14:textId="77777777">
        <w:trPr>
          <w:divId w:val="9841312"/>
        </w:trPr>
        <w:tc>
          <w:tcPr>
            <w:tcW w:w="0" w:type="auto"/>
            <w:gridSpan w:val="3"/>
            <w:tcMar>
              <w:top w:w="0" w:type="dxa"/>
              <w:left w:w="20" w:type="dxa"/>
              <w:bottom w:w="0" w:type="dxa"/>
              <w:right w:w="20" w:type="dxa"/>
            </w:tcMar>
            <w:vAlign w:val="center"/>
            <w:hideMark/>
          </w:tcPr>
          <w:p w14:paraId="547672F4"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F24E20A" w14:textId="77777777" w:rsidR="00000000" w:rsidRDefault="00405D16">
            <w:pPr>
              <w:spacing w:after="100"/>
              <w:divId w:val="543561101"/>
              <w:rPr>
                <w:rFonts w:eastAsia="Times New Roman"/>
              </w:rPr>
            </w:pPr>
            <w:hyperlink w:anchor="idd54a04a485440b4ab4e56094c14d612_205" w:history="1">
              <w:r>
                <w:rPr>
                  <w:rStyle w:val="a3"/>
                  <w:rFonts w:eastAsia="Times New Roman"/>
                  <w:color w:val="000000"/>
                  <w:sz w:val="20"/>
                  <w:szCs w:val="20"/>
                  <w:u w:val="none"/>
                </w:rPr>
                <w:t>Credit Risk Profile</w:t>
              </w:r>
            </w:hyperlink>
          </w:p>
        </w:tc>
        <w:tc>
          <w:tcPr>
            <w:tcW w:w="0" w:type="auto"/>
            <w:gridSpan w:val="3"/>
            <w:tcMar>
              <w:top w:w="30" w:type="dxa"/>
              <w:left w:w="20" w:type="dxa"/>
              <w:bottom w:w="30" w:type="dxa"/>
              <w:right w:w="20" w:type="dxa"/>
            </w:tcMar>
            <w:vAlign w:val="bottom"/>
            <w:hideMark/>
          </w:tcPr>
          <w:p w14:paraId="25008CF3" w14:textId="77777777" w:rsidR="00000000" w:rsidRDefault="00405D16">
            <w:pPr>
              <w:spacing w:after="100"/>
              <w:jc w:val="center"/>
              <w:rPr>
                <w:rFonts w:eastAsia="Times New Roman"/>
              </w:rPr>
            </w:pPr>
            <w:hyperlink w:anchor="idd54a04a485440b4ab4e56094c14d612_205" w:history="1">
              <w:r>
                <w:rPr>
                  <w:rStyle w:val="a3"/>
                  <w:rFonts w:eastAsia="Times New Roman"/>
                  <w:color w:val="000000"/>
                  <w:sz w:val="20"/>
                  <w:szCs w:val="20"/>
                  <w:u w:val="none"/>
                </w:rPr>
                <w:t>38</w:t>
              </w:r>
            </w:hyperlink>
          </w:p>
        </w:tc>
      </w:tr>
      <w:tr w:rsidR="00000000" w14:paraId="50A29437" w14:textId="77777777">
        <w:trPr>
          <w:divId w:val="9841312"/>
        </w:trPr>
        <w:tc>
          <w:tcPr>
            <w:tcW w:w="0" w:type="auto"/>
            <w:gridSpan w:val="3"/>
            <w:tcMar>
              <w:top w:w="0" w:type="dxa"/>
              <w:left w:w="20" w:type="dxa"/>
              <w:bottom w:w="0" w:type="dxa"/>
              <w:right w:w="20" w:type="dxa"/>
            </w:tcMar>
            <w:vAlign w:val="center"/>
            <w:hideMark/>
          </w:tcPr>
          <w:p w14:paraId="323B2EB4"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37B89E8" w14:textId="77777777" w:rsidR="00000000" w:rsidRDefault="00405D16">
            <w:pPr>
              <w:spacing w:after="100"/>
              <w:divId w:val="1190219710"/>
              <w:rPr>
                <w:rFonts w:eastAsia="Times New Roman"/>
              </w:rPr>
            </w:pPr>
            <w:hyperlink w:anchor="idd54a04a485440b4ab4e56094c14d612_256" w:history="1">
              <w:r>
                <w:rPr>
                  <w:rStyle w:val="a3"/>
                  <w:rFonts w:eastAsia="Times New Roman"/>
                  <w:color w:val="000000"/>
                  <w:sz w:val="20"/>
                  <w:szCs w:val="20"/>
                  <w:u w:val="none"/>
                </w:rPr>
                <w:t>Liquidity Risk Profile</w:t>
              </w:r>
            </w:hyperlink>
          </w:p>
        </w:tc>
        <w:tc>
          <w:tcPr>
            <w:tcW w:w="0" w:type="auto"/>
            <w:gridSpan w:val="3"/>
            <w:tcMar>
              <w:top w:w="30" w:type="dxa"/>
              <w:left w:w="20" w:type="dxa"/>
              <w:bottom w:w="30" w:type="dxa"/>
              <w:right w:w="20" w:type="dxa"/>
            </w:tcMar>
            <w:vAlign w:val="bottom"/>
            <w:hideMark/>
          </w:tcPr>
          <w:p w14:paraId="55664CF1" w14:textId="77777777" w:rsidR="00000000" w:rsidRDefault="00405D16">
            <w:pPr>
              <w:spacing w:after="100"/>
              <w:jc w:val="center"/>
              <w:rPr>
                <w:rFonts w:eastAsia="Times New Roman"/>
              </w:rPr>
            </w:pPr>
            <w:hyperlink w:anchor="idd54a04a485440b4ab4e56094c14d612_256" w:history="1">
              <w:r>
                <w:rPr>
                  <w:rStyle w:val="a3"/>
                  <w:rFonts w:eastAsia="Times New Roman"/>
                  <w:color w:val="000000"/>
                  <w:sz w:val="20"/>
                  <w:szCs w:val="20"/>
                  <w:u w:val="none"/>
                </w:rPr>
                <w:t>52</w:t>
              </w:r>
            </w:hyperlink>
          </w:p>
        </w:tc>
      </w:tr>
      <w:tr w:rsidR="00000000" w14:paraId="25C52066" w14:textId="77777777">
        <w:trPr>
          <w:divId w:val="9841312"/>
        </w:trPr>
        <w:tc>
          <w:tcPr>
            <w:tcW w:w="0" w:type="auto"/>
            <w:gridSpan w:val="3"/>
            <w:tcMar>
              <w:top w:w="0" w:type="dxa"/>
              <w:left w:w="20" w:type="dxa"/>
              <w:bottom w:w="0" w:type="dxa"/>
              <w:right w:w="20" w:type="dxa"/>
            </w:tcMar>
            <w:vAlign w:val="center"/>
            <w:hideMark/>
          </w:tcPr>
          <w:p w14:paraId="081CD395"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4EDA730" w14:textId="77777777" w:rsidR="00000000" w:rsidRDefault="00405D16">
            <w:pPr>
              <w:spacing w:after="100"/>
              <w:divId w:val="968583765"/>
              <w:rPr>
                <w:rFonts w:eastAsia="Times New Roman"/>
              </w:rPr>
            </w:pPr>
            <w:hyperlink w:anchor="idd54a04a485440b4ab4e56094c14d612_286" w:history="1">
              <w:r>
                <w:rPr>
                  <w:rStyle w:val="a3"/>
                  <w:rFonts w:eastAsia="Times New Roman"/>
                  <w:color w:val="000000"/>
                  <w:sz w:val="20"/>
                  <w:szCs w:val="20"/>
                  <w:u w:val="none"/>
                </w:rPr>
                <w:t>Market Risk Profile</w:t>
              </w:r>
            </w:hyperlink>
          </w:p>
        </w:tc>
        <w:tc>
          <w:tcPr>
            <w:tcW w:w="0" w:type="auto"/>
            <w:gridSpan w:val="3"/>
            <w:tcMar>
              <w:top w:w="30" w:type="dxa"/>
              <w:left w:w="20" w:type="dxa"/>
              <w:bottom w:w="30" w:type="dxa"/>
              <w:right w:w="20" w:type="dxa"/>
            </w:tcMar>
            <w:vAlign w:val="bottom"/>
            <w:hideMark/>
          </w:tcPr>
          <w:p w14:paraId="3C33AEC9" w14:textId="77777777" w:rsidR="00000000" w:rsidRDefault="00405D16">
            <w:pPr>
              <w:spacing w:after="100"/>
              <w:jc w:val="center"/>
              <w:rPr>
                <w:rFonts w:eastAsia="Times New Roman"/>
              </w:rPr>
            </w:pPr>
            <w:hyperlink w:anchor="idd54a04a485440b4ab4e56094c14d612_286" w:history="1">
              <w:r>
                <w:rPr>
                  <w:rStyle w:val="a3"/>
                  <w:rFonts w:eastAsia="Times New Roman"/>
                  <w:color w:val="000000"/>
                  <w:sz w:val="20"/>
                  <w:szCs w:val="20"/>
                  <w:u w:val="none"/>
                </w:rPr>
                <w:t>55</w:t>
              </w:r>
            </w:hyperlink>
          </w:p>
        </w:tc>
      </w:tr>
      <w:tr w:rsidR="00000000" w14:paraId="3667B618" w14:textId="77777777">
        <w:trPr>
          <w:divId w:val="9841312"/>
        </w:trPr>
        <w:tc>
          <w:tcPr>
            <w:tcW w:w="0" w:type="auto"/>
            <w:gridSpan w:val="3"/>
            <w:tcMar>
              <w:top w:w="0" w:type="dxa"/>
              <w:left w:w="20" w:type="dxa"/>
              <w:bottom w:w="0" w:type="dxa"/>
              <w:right w:w="20" w:type="dxa"/>
            </w:tcMar>
            <w:vAlign w:val="center"/>
            <w:hideMark/>
          </w:tcPr>
          <w:p w14:paraId="1678B88E"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04CEEB6" w14:textId="77777777" w:rsidR="00000000" w:rsidRDefault="00405D16">
            <w:pPr>
              <w:spacing w:after="100"/>
              <w:divId w:val="2037927467"/>
              <w:rPr>
                <w:rFonts w:eastAsia="Times New Roman"/>
              </w:rPr>
            </w:pPr>
            <w:hyperlink w:anchor="idd54a04a485440b4ab4e56094c14d612_295" w:history="1">
              <w:r>
                <w:rPr>
                  <w:rStyle w:val="a3"/>
                  <w:rFonts w:eastAsia="Times New Roman"/>
                  <w:color w:val="000000"/>
                  <w:sz w:val="20"/>
                  <w:szCs w:val="20"/>
                  <w:u w:val="none"/>
                </w:rPr>
                <w:t>Supervision and Regulation</w:t>
              </w:r>
            </w:hyperlink>
            <w:r>
              <w:rPr>
                <w:rFonts w:eastAsia="Times New Roman"/>
                <w:color w:val="000000"/>
                <w:sz w:val="20"/>
                <w:szCs w:val="20"/>
              </w:rPr>
              <w:t xml:space="preserve"> </w:t>
            </w:r>
          </w:p>
        </w:tc>
        <w:tc>
          <w:tcPr>
            <w:tcW w:w="0" w:type="auto"/>
            <w:gridSpan w:val="3"/>
            <w:tcMar>
              <w:top w:w="30" w:type="dxa"/>
              <w:left w:w="20" w:type="dxa"/>
              <w:bottom w:w="30" w:type="dxa"/>
              <w:right w:w="20" w:type="dxa"/>
            </w:tcMar>
            <w:vAlign w:val="bottom"/>
            <w:hideMark/>
          </w:tcPr>
          <w:p w14:paraId="126E8EC4" w14:textId="77777777" w:rsidR="00000000" w:rsidRDefault="00405D16">
            <w:pPr>
              <w:spacing w:after="100"/>
              <w:jc w:val="center"/>
              <w:rPr>
                <w:rFonts w:eastAsia="Times New Roman"/>
              </w:rPr>
            </w:pPr>
            <w:hyperlink w:anchor="idd54a04a485440b4ab4e56094c14d612_295" w:history="1">
              <w:r>
                <w:rPr>
                  <w:rStyle w:val="a3"/>
                  <w:rFonts w:eastAsia="Times New Roman"/>
                  <w:color w:val="000000"/>
                  <w:sz w:val="20"/>
                  <w:szCs w:val="20"/>
                  <w:u w:val="none"/>
                </w:rPr>
                <w:t>59</w:t>
              </w:r>
            </w:hyperlink>
          </w:p>
        </w:tc>
      </w:tr>
      <w:tr w:rsidR="00000000" w14:paraId="1F099DE1" w14:textId="77777777">
        <w:trPr>
          <w:divId w:val="9841312"/>
        </w:trPr>
        <w:tc>
          <w:tcPr>
            <w:tcW w:w="0" w:type="auto"/>
            <w:gridSpan w:val="3"/>
            <w:tcMar>
              <w:top w:w="0" w:type="dxa"/>
              <w:left w:w="20" w:type="dxa"/>
              <w:bottom w:w="0" w:type="dxa"/>
              <w:right w:w="20" w:type="dxa"/>
            </w:tcMar>
            <w:vAlign w:val="center"/>
            <w:hideMark/>
          </w:tcPr>
          <w:p w14:paraId="43C175BC"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FCE7DEB" w14:textId="77777777" w:rsidR="00000000" w:rsidRDefault="00405D16">
            <w:pPr>
              <w:spacing w:after="100"/>
              <w:divId w:val="1532303005"/>
              <w:rPr>
                <w:rFonts w:eastAsia="Times New Roman"/>
              </w:rPr>
            </w:pPr>
            <w:hyperlink w:anchor="idd54a04a485440b4ab4e56094c14d612_298" w:history="1">
              <w:r>
                <w:rPr>
                  <w:rStyle w:val="a3"/>
                  <w:rFonts w:eastAsia="Times New Roman"/>
                  <w:color w:val="000000"/>
                  <w:sz w:val="20"/>
                  <w:szCs w:val="20"/>
                  <w:u w:val="none"/>
                </w:rPr>
                <w:t>Forward-Looking Statements</w:t>
              </w:r>
            </w:hyperlink>
            <w:r>
              <w:rPr>
                <w:rFonts w:eastAsia="Times New Roman"/>
                <w:color w:val="000000"/>
                <w:sz w:val="20"/>
                <w:szCs w:val="20"/>
              </w:rPr>
              <w:t xml:space="preserve"> </w:t>
            </w:r>
          </w:p>
        </w:tc>
        <w:tc>
          <w:tcPr>
            <w:tcW w:w="0" w:type="auto"/>
            <w:gridSpan w:val="3"/>
            <w:tcMar>
              <w:top w:w="30" w:type="dxa"/>
              <w:left w:w="20" w:type="dxa"/>
              <w:bottom w:w="30" w:type="dxa"/>
              <w:right w:w="20" w:type="dxa"/>
            </w:tcMar>
            <w:vAlign w:val="bottom"/>
            <w:hideMark/>
          </w:tcPr>
          <w:p w14:paraId="5FC18B4B" w14:textId="77777777" w:rsidR="00000000" w:rsidRDefault="00405D16">
            <w:pPr>
              <w:spacing w:after="100"/>
              <w:jc w:val="center"/>
              <w:rPr>
                <w:rFonts w:eastAsia="Times New Roman"/>
              </w:rPr>
            </w:pPr>
            <w:hyperlink w:anchor="idd54a04a485440b4ab4e56094c14d612_298" w:history="1">
              <w:r>
                <w:rPr>
                  <w:rStyle w:val="a3"/>
                  <w:rFonts w:eastAsia="Times New Roman"/>
                  <w:color w:val="000000"/>
                  <w:sz w:val="20"/>
                  <w:szCs w:val="20"/>
                  <w:u w:val="none"/>
                </w:rPr>
                <w:t>59</w:t>
              </w:r>
            </w:hyperlink>
          </w:p>
        </w:tc>
      </w:tr>
      <w:tr w:rsidR="00000000" w14:paraId="61A22F08" w14:textId="77777777">
        <w:trPr>
          <w:divId w:val="9841312"/>
        </w:trPr>
        <w:tc>
          <w:tcPr>
            <w:tcW w:w="0" w:type="auto"/>
            <w:gridSpan w:val="3"/>
            <w:tcMar>
              <w:top w:w="0" w:type="dxa"/>
              <w:left w:w="20" w:type="dxa"/>
              <w:bottom w:w="0" w:type="dxa"/>
              <w:right w:w="20" w:type="dxa"/>
            </w:tcMar>
            <w:vAlign w:val="center"/>
            <w:hideMark/>
          </w:tcPr>
          <w:p w14:paraId="4EFA8E37"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D2EA6C6" w14:textId="77777777" w:rsidR="00000000" w:rsidRDefault="00405D16">
            <w:pPr>
              <w:spacing w:after="100"/>
              <w:divId w:val="610891625"/>
              <w:rPr>
                <w:rFonts w:eastAsia="Times New Roman"/>
              </w:rPr>
            </w:pPr>
            <w:hyperlink w:anchor="idd54a04a485440b4ab4e56094c14d612_301" w:history="1">
              <w:r>
                <w:rPr>
                  <w:rStyle w:val="a3"/>
                  <w:rFonts w:eastAsia="Times New Roman"/>
                  <w:color w:val="000000"/>
                  <w:sz w:val="20"/>
                  <w:szCs w:val="20"/>
                  <w:u w:val="none"/>
                </w:rPr>
                <w:t>Supplemental Table</w:t>
              </w:r>
            </w:hyperlink>
          </w:p>
        </w:tc>
        <w:tc>
          <w:tcPr>
            <w:tcW w:w="0" w:type="auto"/>
            <w:gridSpan w:val="3"/>
            <w:tcMar>
              <w:top w:w="30" w:type="dxa"/>
              <w:left w:w="20" w:type="dxa"/>
              <w:bottom w:w="30" w:type="dxa"/>
              <w:right w:w="20" w:type="dxa"/>
            </w:tcMar>
            <w:vAlign w:val="bottom"/>
            <w:hideMark/>
          </w:tcPr>
          <w:p w14:paraId="01C0EF1F" w14:textId="77777777" w:rsidR="00000000" w:rsidRDefault="00405D16">
            <w:pPr>
              <w:spacing w:after="100"/>
              <w:jc w:val="center"/>
              <w:rPr>
                <w:rFonts w:eastAsia="Times New Roman"/>
              </w:rPr>
            </w:pPr>
            <w:hyperlink w:anchor="idd54a04a485440b4ab4e56094c14d612_301" w:history="1">
              <w:r>
                <w:rPr>
                  <w:rStyle w:val="a3"/>
                  <w:rFonts w:eastAsia="Times New Roman"/>
                  <w:color w:val="000000"/>
                  <w:sz w:val="20"/>
                  <w:szCs w:val="20"/>
                  <w:u w:val="none"/>
                </w:rPr>
                <w:t>61</w:t>
              </w:r>
            </w:hyperlink>
          </w:p>
        </w:tc>
      </w:tr>
      <w:tr w:rsidR="00000000" w14:paraId="05890FBF" w14:textId="77777777">
        <w:trPr>
          <w:divId w:val="9841312"/>
        </w:trPr>
        <w:tc>
          <w:tcPr>
            <w:tcW w:w="0" w:type="auto"/>
            <w:gridSpan w:val="3"/>
            <w:tcMar>
              <w:top w:w="0" w:type="dxa"/>
              <w:left w:w="20" w:type="dxa"/>
              <w:bottom w:w="0" w:type="dxa"/>
              <w:right w:w="20" w:type="dxa"/>
            </w:tcMar>
            <w:vAlign w:val="center"/>
            <w:hideMark/>
          </w:tcPr>
          <w:p w14:paraId="25F33DA5"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F90B775" w14:textId="77777777" w:rsidR="00000000" w:rsidRDefault="00405D16">
            <w:pPr>
              <w:spacing w:after="100"/>
              <w:divId w:val="714818938"/>
              <w:rPr>
                <w:rFonts w:eastAsia="Times New Roman"/>
              </w:rPr>
            </w:pPr>
            <w:hyperlink w:anchor="idd54a04a485440b4ab4e56094c14d612_325" w:history="1">
              <w:r>
                <w:rPr>
                  <w:rStyle w:val="a3"/>
                  <w:rFonts w:eastAsia="Times New Roman"/>
                  <w:color w:val="000000"/>
                  <w:sz w:val="20"/>
                  <w:szCs w:val="20"/>
                  <w:u w:val="none"/>
                </w:rPr>
                <w:t>Glossary and Acronyms</w:t>
              </w:r>
            </w:hyperlink>
            <w:r>
              <w:rPr>
                <w:rFonts w:eastAsia="Times New Roman"/>
                <w:color w:val="000000"/>
                <w:sz w:val="20"/>
                <w:szCs w:val="20"/>
              </w:rPr>
              <w:t xml:space="preserve"> </w:t>
            </w:r>
          </w:p>
        </w:tc>
        <w:tc>
          <w:tcPr>
            <w:tcW w:w="0" w:type="auto"/>
            <w:gridSpan w:val="3"/>
            <w:tcMar>
              <w:top w:w="30" w:type="dxa"/>
              <w:left w:w="20" w:type="dxa"/>
              <w:bottom w:w="30" w:type="dxa"/>
              <w:right w:w="20" w:type="dxa"/>
            </w:tcMar>
            <w:vAlign w:val="bottom"/>
            <w:hideMark/>
          </w:tcPr>
          <w:p w14:paraId="6DDAFF82" w14:textId="77777777" w:rsidR="00000000" w:rsidRDefault="00405D16">
            <w:pPr>
              <w:spacing w:after="100"/>
              <w:jc w:val="center"/>
              <w:rPr>
                <w:rFonts w:eastAsia="Times New Roman"/>
              </w:rPr>
            </w:pPr>
            <w:hyperlink w:anchor="idd54a04a485440b4ab4e56094c14d612_325" w:history="1">
              <w:r>
                <w:rPr>
                  <w:rStyle w:val="a3"/>
                  <w:rFonts w:eastAsia="Times New Roman"/>
                  <w:color w:val="000000"/>
                  <w:sz w:val="20"/>
                  <w:szCs w:val="20"/>
                  <w:u w:val="none"/>
                </w:rPr>
                <w:t>62</w:t>
              </w:r>
            </w:hyperlink>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33BE3113" w14:textId="77777777">
        <w:trPr>
          <w:jc w:val="center"/>
        </w:trPr>
        <w:tc>
          <w:tcPr>
            <w:tcW w:w="50" w:type="pct"/>
            <w:vAlign w:val="center"/>
            <w:hideMark/>
          </w:tcPr>
          <w:p w14:paraId="762DCD0D" w14:textId="77777777" w:rsidR="00000000" w:rsidRDefault="00405D16">
            <w:pPr>
              <w:jc w:val="both"/>
              <w:rPr>
                <w:rFonts w:eastAsia="Times New Roman"/>
              </w:rPr>
            </w:pPr>
          </w:p>
        </w:tc>
        <w:tc>
          <w:tcPr>
            <w:tcW w:w="1606" w:type="pct"/>
            <w:vAlign w:val="center"/>
            <w:hideMark/>
          </w:tcPr>
          <w:p w14:paraId="5620748A" w14:textId="77777777" w:rsidR="00000000" w:rsidRDefault="00405D16">
            <w:pPr>
              <w:spacing w:after="100"/>
              <w:rPr>
                <w:rFonts w:eastAsia="Times New Roman"/>
                <w:sz w:val="20"/>
                <w:szCs w:val="20"/>
              </w:rPr>
            </w:pPr>
          </w:p>
        </w:tc>
        <w:tc>
          <w:tcPr>
            <w:tcW w:w="5" w:type="pct"/>
            <w:vAlign w:val="center"/>
            <w:hideMark/>
          </w:tcPr>
          <w:p w14:paraId="3623C60C" w14:textId="77777777" w:rsidR="00000000" w:rsidRDefault="00405D16">
            <w:pPr>
              <w:spacing w:after="100"/>
              <w:rPr>
                <w:rFonts w:eastAsia="Times New Roman"/>
                <w:sz w:val="20"/>
                <w:szCs w:val="20"/>
              </w:rPr>
            </w:pPr>
          </w:p>
        </w:tc>
        <w:tc>
          <w:tcPr>
            <w:tcW w:w="50" w:type="pct"/>
            <w:vAlign w:val="center"/>
            <w:hideMark/>
          </w:tcPr>
          <w:p w14:paraId="15719420" w14:textId="77777777" w:rsidR="00000000" w:rsidRDefault="00405D16">
            <w:pPr>
              <w:spacing w:after="100"/>
              <w:rPr>
                <w:rFonts w:eastAsia="Times New Roman"/>
                <w:sz w:val="20"/>
                <w:szCs w:val="20"/>
              </w:rPr>
            </w:pPr>
          </w:p>
        </w:tc>
        <w:tc>
          <w:tcPr>
            <w:tcW w:w="1614" w:type="pct"/>
            <w:vAlign w:val="center"/>
            <w:hideMark/>
          </w:tcPr>
          <w:p w14:paraId="414C5A54" w14:textId="77777777" w:rsidR="00000000" w:rsidRDefault="00405D16">
            <w:pPr>
              <w:spacing w:after="100"/>
              <w:rPr>
                <w:rFonts w:eastAsia="Times New Roman"/>
                <w:sz w:val="20"/>
                <w:szCs w:val="20"/>
              </w:rPr>
            </w:pPr>
          </w:p>
        </w:tc>
        <w:tc>
          <w:tcPr>
            <w:tcW w:w="5" w:type="pct"/>
            <w:vAlign w:val="center"/>
            <w:hideMark/>
          </w:tcPr>
          <w:p w14:paraId="29322607" w14:textId="77777777" w:rsidR="00000000" w:rsidRDefault="00405D16">
            <w:pPr>
              <w:spacing w:after="100"/>
              <w:rPr>
                <w:rFonts w:eastAsia="Times New Roman"/>
                <w:sz w:val="20"/>
                <w:szCs w:val="20"/>
              </w:rPr>
            </w:pPr>
          </w:p>
        </w:tc>
        <w:tc>
          <w:tcPr>
            <w:tcW w:w="50" w:type="pct"/>
            <w:vAlign w:val="center"/>
            <w:hideMark/>
          </w:tcPr>
          <w:p w14:paraId="03E9A866" w14:textId="77777777" w:rsidR="00000000" w:rsidRDefault="00405D16">
            <w:pPr>
              <w:spacing w:after="100"/>
              <w:rPr>
                <w:rFonts w:eastAsia="Times New Roman"/>
                <w:sz w:val="20"/>
                <w:szCs w:val="20"/>
              </w:rPr>
            </w:pPr>
          </w:p>
        </w:tc>
        <w:tc>
          <w:tcPr>
            <w:tcW w:w="1614" w:type="pct"/>
            <w:vAlign w:val="center"/>
            <w:hideMark/>
          </w:tcPr>
          <w:p w14:paraId="35EDF9F7" w14:textId="77777777" w:rsidR="00000000" w:rsidRDefault="00405D16">
            <w:pPr>
              <w:spacing w:after="100"/>
              <w:rPr>
                <w:rFonts w:eastAsia="Times New Roman"/>
                <w:sz w:val="20"/>
                <w:szCs w:val="20"/>
              </w:rPr>
            </w:pPr>
          </w:p>
        </w:tc>
        <w:tc>
          <w:tcPr>
            <w:tcW w:w="5" w:type="pct"/>
            <w:vAlign w:val="center"/>
            <w:hideMark/>
          </w:tcPr>
          <w:p w14:paraId="059B5951" w14:textId="77777777" w:rsidR="00000000" w:rsidRDefault="00405D16">
            <w:pPr>
              <w:spacing w:after="100"/>
              <w:rPr>
                <w:rFonts w:eastAsia="Times New Roman"/>
                <w:sz w:val="20"/>
                <w:szCs w:val="20"/>
              </w:rPr>
            </w:pPr>
          </w:p>
        </w:tc>
      </w:tr>
      <w:tr w:rsidR="00000000" w14:paraId="59E21AB3" w14:textId="77777777">
        <w:trPr>
          <w:trHeight w:val="300"/>
          <w:jc w:val="center"/>
        </w:trPr>
        <w:tc>
          <w:tcPr>
            <w:tcW w:w="0" w:type="auto"/>
            <w:gridSpan w:val="9"/>
            <w:tcMar>
              <w:top w:w="0" w:type="dxa"/>
              <w:left w:w="20" w:type="dxa"/>
              <w:bottom w:w="0" w:type="dxa"/>
              <w:right w:w="20" w:type="dxa"/>
            </w:tcMar>
            <w:vAlign w:val="center"/>
            <w:hideMark/>
          </w:tcPr>
          <w:p w14:paraId="226D65AB" w14:textId="77777777" w:rsidR="00000000" w:rsidRDefault="00405D16">
            <w:pPr>
              <w:spacing w:after="100"/>
              <w:rPr>
                <w:rFonts w:eastAsia="Times New Roman"/>
                <w:sz w:val="20"/>
                <w:szCs w:val="20"/>
              </w:rPr>
            </w:pPr>
          </w:p>
        </w:tc>
      </w:tr>
      <w:tr w:rsidR="00000000" w14:paraId="4CABCC76" w14:textId="77777777">
        <w:trPr>
          <w:jc w:val="center"/>
        </w:trPr>
        <w:tc>
          <w:tcPr>
            <w:tcW w:w="0" w:type="auto"/>
            <w:gridSpan w:val="3"/>
            <w:tcMar>
              <w:top w:w="0" w:type="dxa"/>
              <w:left w:w="20" w:type="dxa"/>
              <w:bottom w:w="0" w:type="dxa"/>
              <w:right w:w="20" w:type="dxa"/>
            </w:tcMar>
            <w:vAlign w:val="center"/>
            <w:hideMark/>
          </w:tcPr>
          <w:p w14:paraId="52272D1A"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3FA23C0" w14:textId="77777777" w:rsidR="00000000" w:rsidRDefault="00405D16">
            <w:pPr>
              <w:spacing w:after="100"/>
              <w:jc w:val="center"/>
              <w:rPr>
                <w:rFonts w:eastAsia="Times New Roman"/>
              </w:rPr>
            </w:pPr>
            <w:r>
              <w:rPr>
                <w:rFonts w:eastAsia="Times New Roman"/>
                <w:color w:val="000000"/>
                <w:sz w:val="16"/>
                <w:szCs w:val="16"/>
              </w:rPr>
              <w:t>1</w:t>
            </w:r>
          </w:p>
        </w:tc>
        <w:tc>
          <w:tcPr>
            <w:tcW w:w="0" w:type="auto"/>
            <w:gridSpan w:val="3"/>
            <w:tcMar>
              <w:top w:w="30" w:type="dxa"/>
              <w:left w:w="20" w:type="dxa"/>
              <w:bottom w:w="30" w:type="dxa"/>
              <w:right w:w="20" w:type="dxa"/>
            </w:tcMar>
            <w:vAlign w:val="bottom"/>
            <w:hideMark/>
          </w:tcPr>
          <w:p w14:paraId="6E3A4667"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75CFAC32" w14:textId="77777777" w:rsidR="00000000" w:rsidRDefault="00405D16">
      <w:pPr>
        <w:rPr>
          <w:rFonts w:eastAsia="Times New Roman"/>
        </w:rPr>
      </w:pPr>
      <w:r>
        <w:rPr>
          <w:rFonts w:eastAsia="Times New Roman"/>
        </w:rPr>
        <w:pict w14:anchorId="3EF207FB">
          <v:rect id="_x0000_i1026" style="width:0;height:1.5pt" o:hralign="center" o:hrstd="t" o:hr="t" fillcolor="#a0a0a0" stroked="f"/>
        </w:pict>
      </w:r>
    </w:p>
    <w:p w14:paraId="3B0DF87E" w14:textId="77777777" w:rsidR="00000000" w:rsidRDefault="00405D16">
      <w:pPr>
        <w:jc w:val="both"/>
        <w:divId w:val="77856863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74"/>
        <w:gridCol w:w="569"/>
        <w:gridCol w:w="37"/>
        <w:gridCol w:w="69"/>
        <w:gridCol w:w="6842"/>
        <w:gridCol w:w="36"/>
        <w:gridCol w:w="69"/>
        <w:gridCol w:w="574"/>
        <w:gridCol w:w="36"/>
      </w:tblGrid>
      <w:tr w:rsidR="00000000" w14:paraId="278A1D44" w14:textId="77777777">
        <w:trPr>
          <w:divId w:val="1143229174"/>
        </w:trPr>
        <w:tc>
          <w:tcPr>
            <w:tcW w:w="50" w:type="pct"/>
            <w:vAlign w:val="center"/>
            <w:hideMark/>
          </w:tcPr>
          <w:p w14:paraId="2202DD35" w14:textId="77777777" w:rsidR="00000000" w:rsidRDefault="00405D16">
            <w:pPr>
              <w:jc w:val="both"/>
              <w:rPr>
                <w:rFonts w:eastAsia="Times New Roman"/>
              </w:rPr>
            </w:pPr>
          </w:p>
        </w:tc>
        <w:tc>
          <w:tcPr>
            <w:tcW w:w="354" w:type="pct"/>
            <w:vAlign w:val="center"/>
            <w:hideMark/>
          </w:tcPr>
          <w:p w14:paraId="62ECEF27" w14:textId="77777777" w:rsidR="00000000" w:rsidRDefault="00405D16">
            <w:pPr>
              <w:spacing w:after="100"/>
              <w:rPr>
                <w:rFonts w:eastAsia="Times New Roman"/>
                <w:sz w:val="20"/>
                <w:szCs w:val="20"/>
              </w:rPr>
            </w:pPr>
          </w:p>
        </w:tc>
        <w:tc>
          <w:tcPr>
            <w:tcW w:w="5" w:type="pct"/>
            <w:vAlign w:val="center"/>
            <w:hideMark/>
          </w:tcPr>
          <w:p w14:paraId="369F8E26" w14:textId="77777777" w:rsidR="00000000" w:rsidRDefault="00405D16">
            <w:pPr>
              <w:spacing w:after="100"/>
              <w:rPr>
                <w:rFonts w:eastAsia="Times New Roman"/>
                <w:sz w:val="20"/>
                <w:szCs w:val="20"/>
              </w:rPr>
            </w:pPr>
          </w:p>
        </w:tc>
        <w:tc>
          <w:tcPr>
            <w:tcW w:w="50" w:type="pct"/>
            <w:vAlign w:val="center"/>
            <w:hideMark/>
          </w:tcPr>
          <w:p w14:paraId="221D1F9F" w14:textId="77777777" w:rsidR="00000000" w:rsidRDefault="00405D16">
            <w:pPr>
              <w:spacing w:after="100"/>
              <w:rPr>
                <w:rFonts w:eastAsia="Times New Roman"/>
                <w:sz w:val="20"/>
                <w:szCs w:val="20"/>
              </w:rPr>
            </w:pPr>
          </w:p>
        </w:tc>
        <w:tc>
          <w:tcPr>
            <w:tcW w:w="4126" w:type="pct"/>
            <w:vAlign w:val="center"/>
            <w:hideMark/>
          </w:tcPr>
          <w:p w14:paraId="5252EC1B" w14:textId="77777777" w:rsidR="00000000" w:rsidRDefault="00405D16">
            <w:pPr>
              <w:spacing w:after="100"/>
              <w:rPr>
                <w:rFonts w:eastAsia="Times New Roman"/>
                <w:sz w:val="20"/>
                <w:szCs w:val="20"/>
              </w:rPr>
            </w:pPr>
          </w:p>
        </w:tc>
        <w:tc>
          <w:tcPr>
            <w:tcW w:w="5" w:type="pct"/>
            <w:vAlign w:val="center"/>
            <w:hideMark/>
          </w:tcPr>
          <w:p w14:paraId="52389D60" w14:textId="77777777" w:rsidR="00000000" w:rsidRDefault="00405D16">
            <w:pPr>
              <w:spacing w:after="100"/>
              <w:rPr>
                <w:rFonts w:eastAsia="Times New Roman"/>
                <w:sz w:val="20"/>
                <w:szCs w:val="20"/>
              </w:rPr>
            </w:pPr>
          </w:p>
        </w:tc>
        <w:tc>
          <w:tcPr>
            <w:tcW w:w="50" w:type="pct"/>
            <w:vAlign w:val="center"/>
            <w:hideMark/>
          </w:tcPr>
          <w:p w14:paraId="60FA5659" w14:textId="77777777" w:rsidR="00000000" w:rsidRDefault="00405D16">
            <w:pPr>
              <w:spacing w:after="100"/>
              <w:rPr>
                <w:rFonts w:eastAsia="Times New Roman"/>
                <w:sz w:val="20"/>
                <w:szCs w:val="20"/>
              </w:rPr>
            </w:pPr>
          </w:p>
        </w:tc>
        <w:tc>
          <w:tcPr>
            <w:tcW w:w="354" w:type="pct"/>
            <w:vAlign w:val="center"/>
            <w:hideMark/>
          </w:tcPr>
          <w:p w14:paraId="7ECF7270" w14:textId="77777777" w:rsidR="00000000" w:rsidRDefault="00405D16">
            <w:pPr>
              <w:spacing w:after="100"/>
              <w:rPr>
                <w:rFonts w:eastAsia="Times New Roman"/>
                <w:sz w:val="20"/>
                <w:szCs w:val="20"/>
              </w:rPr>
            </w:pPr>
          </w:p>
        </w:tc>
        <w:tc>
          <w:tcPr>
            <w:tcW w:w="5" w:type="pct"/>
            <w:vAlign w:val="center"/>
            <w:hideMark/>
          </w:tcPr>
          <w:p w14:paraId="77663848" w14:textId="77777777" w:rsidR="00000000" w:rsidRDefault="00405D16">
            <w:pPr>
              <w:spacing w:after="100"/>
              <w:rPr>
                <w:rFonts w:eastAsia="Times New Roman"/>
                <w:sz w:val="20"/>
                <w:szCs w:val="20"/>
              </w:rPr>
            </w:pPr>
          </w:p>
        </w:tc>
      </w:tr>
      <w:tr w:rsidR="00000000" w14:paraId="56063AA9" w14:textId="77777777">
        <w:trPr>
          <w:divId w:val="1143229174"/>
        </w:trPr>
        <w:tc>
          <w:tcPr>
            <w:tcW w:w="0" w:type="auto"/>
            <w:gridSpan w:val="3"/>
            <w:tcMar>
              <w:top w:w="30" w:type="dxa"/>
              <w:left w:w="20" w:type="dxa"/>
              <w:bottom w:w="30" w:type="dxa"/>
              <w:right w:w="20" w:type="dxa"/>
            </w:tcMar>
            <w:vAlign w:val="center"/>
            <w:hideMark/>
          </w:tcPr>
          <w:p w14:paraId="78917DF6" w14:textId="77777777" w:rsidR="00000000" w:rsidRDefault="00405D16">
            <w:pPr>
              <w:spacing w:after="100"/>
              <w:divId w:val="1898930408"/>
              <w:rPr>
                <w:rFonts w:eastAsia="Times New Roman"/>
              </w:rPr>
            </w:pPr>
            <w:hyperlink w:anchor="idd54a04a485440b4ab4e56094c14d612_457" w:history="1">
              <w:r>
                <w:rPr>
                  <w:rStyle w:val="a3"/>
                  <w:rFonts w:eastAsia="Times New Roman"/>
                  <w:color w:val="000000"/>
                  <w:sz w:val="20"/>
                  <w:szCs w:val="20"/>
                  <w:u w:val="none"/>
                </w:rPr>
                <w:t>Item 3.</w:t>
              </w:r>
            </w:hyperlink>
          </w:p>
        </w:tc>
        <w:tc>
          <w:tcPr>
            <w:tcW w:w="0" w:type="auto"/>
            <w:gridSpan w:val="3"/>
            <w:tcMar>
              <w:top w:w="30" w:type="dxa"/>
              <w:left w:w="20" w:type="dxa"/>
              <w:bottom w:w="30" w:type="dxa"/>
              <w:right w:w="20" w:type="dxa"/>
            </w:tcMar>
            <w:vAlign w:val="bottom"/>
            <w:hideMark/>
          </w:tcPr>
          <w:p w14:paraId="009A326B" w14:textId="77777777" w:rsidR="00000000" w:rsidRDefault="00405D16">
            <w:pPr>
              <w:spacing w:after="100"/>
              <w:divId w:val="1268661496"/>
              <w:rPr>
                <w:rFonts w:eastAsia="Times New Roman"/>
              </w:rPr>
            </w:pPr>
            <w:hyperlink w:anchor="idd54a04a485440b4ab4e56094c14d612_457" w:history="1">
              <w:r>
                <w:rPr>
                  <w:rStyle w:val="a3"/>
                  <w:rFonts w:eastAsia="Times New Roman"/>
                  <w:color w:val="000000"/>
                  <w:sz w:val="20"/>
                  <w:szCs w:val="20"/>
                  <w:u w:val="none"/>
                </w:rPr>
                <w:t>Quantitative and Qualitative Disclosures about Market Risk</w:t>
              </w:r>
            </w:hyperlink>
          </w:p>
        </w:tc>
        <w:tc>
          <w:tcPr>
            <w:tcW w:w="0" w:type="auto"/>
            <w:gridSpan w:val="3"/>
            <w:tcMar>
              <w:top w:w="30" w:type="dxa"/>
              <w:left w:w="20" w:type="dxa"/>
              <w:bottom w:w="30" w:type="dxa"/>
              <w:right w:w="20" w:type="dxa"/>
            </w:tcMar>
            <w:vAlign w:val="bottom"/>
            <w:hideMark/>
          </w:tcPr>
          <w:p w14:paraId="368CE3A6" w14:textId="77777777" w:rsidR="00000000" w:rsidRDefault="00405D16">
            <w:pPr>
              <w:spacing w:after="100"/>
              <w:jc w:val="center"/>
              <w:rPr>
                <w:rFonts w:eastAsia="Times New Roman"/>
              </w:rPr>
            </w:pPr>
            <w:hyperlink w:anchor="idd54a04a485440b4ab4e56094c14d612_457" w:history="1">
              <w:r>
                <w:rPr>
                  <w:rStyle w:val="a3"/>
                  <w:rFonts w:eastAsia="Times New Roman"/>
                  <w:color w:val="000000"/>
                  <w:sz w:val="20"/>
                  <w:szCs w:val="20"/>
                  <w:u w:val="none"/>
                </w:rPr>
                <w:t>132</w:t>
              </w:r>
            </w:hyperlink>
          </w:p>
        </w:tc>
      </w:tr>
      <w:tr w:rsidR="00000000" w14:paraId="4AAF17CA" w14:textId="77777777">
        <w:trPr>
          <w:divId w:val="1143229174"/>
        </w:trPr>
        <w:tc>
          <w:tcPr>
            <w:tcW w:w="0" w:type="auto"/>
            <w:gridSpan w:val="3"/>
            <w:vAlign w:val="center"/>
            <w:hideMark/>
          </w:tcPr>
          <w:p w14:paraId="48054527" w14:textId="77777777" w:rsidR="00000000" w:rsidRDefault="00405D16">
            <w:pPr>
              <w:spacing w:after="100"/>
              <w:jc w:val="center"/>
              <w:rPr>
                <w:rFonts w:eastAsia="Times New Roman"/>
              </w:rPr>
            </w:pPr>
          </w:p>
        </w:tc>
        <w:tc>
          <w:tcPr>
            <w:tcW w:w="0" w:type="auto"/>
            <w:gridSpan w:val="3"/>
            <w:vAlign w:val="center"/>
            <w:hideMark/>
          </w:tcPr>
          <w:p w14:paraId="0D3AC841" w14:textId="77777777" w:rsidR="00000000" w:rsidRDefault="00405D16">
            <w:pPr>
              <w:spacing w:after="100"/>
              <w:rPr>
                <w:rFonts w:eastAsia="Times New Roman"/>
                <w:sz w:val="20"/>
                <w:szCs w:val="20"/>
              </w:rPr>
            </w:pPr>
          </w:p>
        </w:tc>
        <w:tc>
          <w:tcPr>
            <w:tcW w:w="0" w:type="auto"/>
            <w:gridSpan w:val="3"/>
            <w:vAlign w:val="center"/>
            <w:hideMark/>
          </w:tcPr>
          <w:p w14:paraId="23212C59" w14:textId="77777777" w:rsidR="00000000" w:rsidRDefault="00405D16">
            <w:pPr>
              <w:spacing w:after="100"/>
              <w:rPr>
                <w:rFonts w:eastAsia="Times New Roman"/>
                <w:sz w:val="20"/>
                <w:szCs w:val="20"/>
              </w:rPr>
            </w:pPr>
          </w:p>
        </w:tc>
      </w:tr>
      <w:tr w:rsidR="00000000" w14:paraId="44B83E41" w14:textId="77777777">
        <w:trPr>
          <w:divId w:val="1143229174"/>
        </w:trPr>
        <w:tc>
          <w:tcPr>
            <w:tcW w:w="0" w:type="auto"/>
            <w:gridSpan w:val="3"/>
            <w:vAlign w:val="center"/>
            <w:hideMark/>
          </w:tcPr>
          <w:p w14:paraId="3A3088D5" w14:textId="77777777" w:rsidR="00000000" w:rsidRDefault="00405D16">
            <w:pPr>
              <w:spacing w:after="100"/>
              <w:rPr>
                <w:rFonts w:eastAsia="Times New Roman"/>
                <w:sz w:val="20"/>
                <w:szCs w:val="20"/>
              </w:rPr>
            </w:pPr>
          </w:p>
        </w:tc>
        <w:tc>
          <w:tcPr>
            <w:tcW w:w="0" w:type="auto"/>
            <w:gridSpan w:val="3"/>
            <w:vAlign w:val="center"/>
            <w:hideMark/>
          </w:tcPr>
          <w:p w14:paraId="72FE3528" w14:textId="77777777" w:rsidR="00000000" w:rsidRDefault="00405D16">
            <w:pPr>
              <w:spacing w:after="100"/>
              <w:rPr>
                <w:rFonts w:eastAsia="Times New Roman"/>
                <w:sz w:val="20"/>
                <w:szCs w:val="20"/>
              </w:rPr>
            </w:pPr>
          </w:p>
        </w:tc>
        <w:tc>
          <w:tcPr>
            <w:tcW w:w="0" w:type="auto"/>
            <w:gridSpan w:val="3"/>
            <w:vAlign w:val="center"/>
            <w:hideMark/>
          </w:tcPr>
          <w:p w14:paraId="1D4A414F" w14:textId="77777777" w:rsidR="00000000" w:rsidRDefault="00405D16">
            <w:pPr>
              <w:spacing w:after="100"/>
              <w:rPr>
                <w:rFonts w:eastAsia="Times New Roman"/>
                <w:sz w:val="20"/>
                <w:szCs w:val="20"/>
              </w:rPr>
            </w:pPr>
          </w:p>
        </w:tc>
      </w:tr>
      <w:tr w:rsidR="00000000" w14:paraId="001562F6" w14:textId="77777777">
        <w:trPr>
          <w:divId w:val="1143229174"/>
        </w:trPr>
        <w:tc>
          <w:tcPr>
            <w:tcW w:w="0" w:type="auto"/>
            <w:gridSpan w:val="3"/>
            <w:vAlign w:val="center"/>
            <w:hideMark/>
          </w:tcPr>
          <w:p w14:paraId="6B39132F" w14:textId="77777777" w:rsidR="00000000" w:rsidRDefault="00405D16">
            <w:pPr>
              <w:spacing w:after="100"/>
              <w:rPr>
                <w:rFonts w:eastAsia="Times New Roman"/>
                <w:sz w:val="20"/>
                <w:szCs w:val="20"/>
              </w:rPr>
            </w:pPr>
          </w:p>
        </w:tc>
        <w:tc>
          <w:tcPr>
            <w:tcW w:w="0" w:type="auto"/>
            <w:gridSpan w:val="3"/>
            <w:vAlign w:val="center"/>
            <w:hideMark/>
          </w:tcPr>
          <w:p w14:paraId="07A1EE89" w14:textId="77777777" w:rsidR="00000000" w:rsidRDefault="00405D16">
            <w:pPr>
              <w:spacing w:after="100"/>
              <w:rPr>
                <w:rFonts w:eastAsia="Times New Roman"/>
                <w:sz w:val="20"/>
                <w:szCs w:val="20"/>
              </w:rPr>
            </w:pPr>
          </w:p>
        </w:tc>
        <w:tc>
          <w:tcPr>
            <w:tcW w:w="0" w:type="auto"/>
            <w:gridSpan w:val="3"/>
            <w:vAlign w:val="center"/>
            <w:hideMark/>
          </w:tcPr>
          <w:p w14:paraId="6A48A601" w14:textId="77777777" w:rsidR="00000000" w:rsidRDefault="00405D16">
            <w:pPr>
              <w:spacing w:after="100"/>
              <w:rPr>
                <w:rFonts w:eastAsia="Times New Roman"/>
                <w:sz w:val="20"/>
                <w:szCs w:val="20"/>
              </w:rPr>
            </w:pPr>
          </w:p>
        </w:tc>
      </w:tr>
      <w:tr w:rsidR="00000000" w14:paraId="32C444D4" w14:textId="77777777">
        <w:trPr>
          <w:divId w:val="1143229174"/>
        </w:trPr>
        <w:tc>
          <w:tcPr>
            <w:tcW w:w="0" w:type="auto"/>
            <w:gridSpan w:val="3"/>
            <w:vAlign w:val="center"/>
            <w:hideMark/>
          </w:tcPr>
          <w:p w14:paraId="4F822EBD" w14:textId="77777777" w:rsidR="00000000" w:rsidRDefault="00405D16">
            <w:pPr>
              <w:spacing w:after="100"/>
              <w:rPr>
                <w:rFonts w:eastAsia="Times New Roman"/>
                <w:sz w:val="20"/>
                <w:szCs w:val="20"/>
              </w:rPr>
            </w:pPr>
          </w:p>
        </w:tc>
        <w:tc>
          <w:tcPr>
            <w:tcW w:w="0" w:type="auto"/>
            <w:gridSpan w:val="3"/>
            <w:vAlign w:val="center"/>
            <w:hideMark/>
          </w:tcPr>
          <w:p w14:paraId="5047EB6B" w14:textId="77777777" w:rsidR="00000000" w:rsidRDefault="00405D16">
            <w:pPr>
              <w:spacing w:after="100"/>
              <w:rPr>
                <w:rFonts w:eastAsia="Times New Roman"/>
                <w:sz w:val="20"/>
                <w:szCs w:val="20"/>
              </w:rPr>
            </w:pPr>
          </w:p>
        </w:tc>
        <w:tc>
          <w:tcPr>
            <w:tcW w:w="0" w:type="auto"/>
            <w:gridSpan w:val="3"/>
            <w:vAlign w:val="center"/>
            <w:hideMark/>
          </w:tcPr>
          <w:p w14:paraId="721F386B" w14:textId="77777777" w:rsidR="00000000" w:rsidRDefault="00405D16">
            <w:pPr>
              <w:spacing w:after="100"/>
              <w:rPr>
                <w:rFonts w:eastAsia="Times New Roman"/>
                <w:sz w:val="20"/>
                <w:szCs w:val="20"/>
              </w:rPr>
            </w:pPr>
          </w:p>
        </w:tc>
      </w:tr>
      <w:tr w:rsidR="00000000" w14:paraId="4D51AA81" w14:textId="77777777">
        <w:trPr>
          <w:divId w:val="1143229174"/>
        </w:trPr>
        <w:tc>
          <w:tcPr>
            <w:tcW w:w="0" w:type="auto"/>
            <w:gridSpan w:val="3"/>
            <w:vAlign w:val="center"/>
            <w:hideMark/>
          </w:tcPr>
          <w:p w14:paraId="2E91387B" w14:textId="77777777" w:rsidR="00000000" w:rsidRDefault="00405D16">
            <w:pPr>
              <w:spacing w:after="100"/>
              <w:rPr>
                <w:rFonts w:eastAsia="Times New Roman"/>
                <w:sz w:val="20"/>
                <w:szCs w:val="20"/>
              </w:rPr>
            </w:pPr>
          </w:p>
        </w:tc>
        <w:tc>
          <w:tcPr>
            <w:tcW w:w="0" w:type="auto"/>
            <w:gridSpan w:val="3"/>
            <w:vAlign w:val="center"/>
            <w:hideMark/>
          </w:tcPr>
          <w:p w14:paraId="14309AC2" w14:textId="77777777" w:rsidR="00000000" w:rsidRDefault="00405D16">
            <w:pPr>
              <w:spacing w:after="100"/>
              <w:rPr>
                <w:rFonts w:eastAsia="Times New Roman"/>
                <w:sz w:val="20"/>
                <w:szCs w:val="20"/>
              </w:rPr>
            </w:pPr>
          </w:p>
        </w:tc>
        <w:tc>
          <w:tcPr>
            <w:tcW w:w="0" w:type="auto"/>
            <w:gridSpan w:val="3"/>
            <w:vAlign w:val="center"/>
            <w:hideMark/>
          </w:tcPr>
          <w:p w14:paraId="27ADB050" w14:textId="77777777" w:rsidR="00000000" w:rsidRDefault="00405D16">
            <w:pPr>
              <w:spacing w:after="100"/>
              <w:rPr>
                <w:rFonts w:eastAsia="Times New Roman"/>
                <w:sz w:val="20"/>
                <w:szCs w:val="20"/>
              </w:rPr>
            </w:pPr>
          </w:p>
        </w:tc>
      </w:tr>
      <w:tr w:rsidR="00000000" w14:paraId="4F5FC970" w14:textId="77777777">
        <w:trPr>
          <w:divId w:val="1143229174"/>
        </w:trPr>
        <w:tc>
          <w:tcPr>
            <w:tcW w:w="0" w:type="auto"/>
            <w:gridSpan w:val="3"/>
            <w:vAlign w:val="center"/>
            <w:hideMark/>
          </w:tcPr>
          <w:p w14:paraId="5106EE9B" w14:textId="77777777" w:rsidR="00000000" w:rsidRDefault="00405D16">
            <w:pPr>
              <w:spacing w:after="100"/>
              <w:rPr>
                <w:rFonts w:eastAsia="Times New Roman"/>
                <w:sz w:val="20"/>
                <w:szCs w:val="20"/>
              </w:rPr>
            </w:pPr>
          </w:p>
        </w:tc>
        <w:tc>
          <w:tcPr>
            <w:tcW w:w="0" w:type="auto"/>
            <w:gridSpan w:val="3"/>
            <w:vAlign w:val="center"/>
            <w:hideMark/>
          </w:tcPr>
          <w:p w14:paraId="11FC7EB0" w14:textId="77777777" w:rsidR="00000000" w:rsidRDefault="00405D16">
            <w:pPr>
              <w:spacing w:after="100"/>
              <w:rPr>
                <w:rFonts w:eastAsia="Times New Roman"/>
                <w:sz w:val="20"/>
                <w:szCs w:val="20"/>
              </w:rPr>
            </w:pPr>
          </w:p>
        </w:tc>
        <w:tc>
          <w:tcPr>
            <w:tcW w:w="0" w:type="auto"/>
            <w:gridSpan w:val="3"/>
            <w:vAlign w:val="center"/>
            <w:hideMark/>
          </w:tcPr>
          <w:p w14:paraId="1E94D944" w14:textId="77777777" w:rsidR="00000000" w:rsidRDefault="00405D16">
            <w:pPr>
              <w:spacing w:after="100"/>
              <w:rPr>
                <w:rFonts w:eastAsia="Times New Roman"/>
                <w:sz w:val="20"/>
                <w:szCs w:val="20"/>
              </w:rPr>
            </w:pPr>
          </w:p>
        </w:tc>
      </w:tr>
      <w:tr w:rsidR="00000000" w14:paraId="1C128E54" w14:textId="77777777">
        <w:trPr>
          <w:divId w:val="1143229174"/>
        </w:trPr>
        <w:tc>
          <w:tcPr>
            <w:tcW w:w="0" w:type="auto"/>
            <w:gridSpan w:val="3"/>
            <w:vAlign w:val="center"/>
            <w:hideMark/>
          </w:tcPr>
          <w:p w14:paraId="28BFAF52" w14:textId="77777777" w:rsidR="00000000" w:rsidRDefault="00405D16">
            <w:pPr>
              <w:spacing w:after="100"/>
              <w:rPr>
                <w:rFonts w:eastAsia="Times New Roman"/>
                <w:sz w:val="20"/>
                <w:szCs w:val="20"/>
              </w:rPr>
            </w:pPr>
          </w:p>
        </w:tc>
        <w:tc>
          <w:tcPr>
            <w:tcW w:w="0" w:type="auto"/>
            <w:gridSpan w:val="3"/>
            <w:vAlign w:val="center"/>
            <w:hideMark/>
          </w:tcPr>
          <w:p w14:paraId="5CB5AA43" w14:textId="77777777" w:rsidR="00000000" w:rsidRDefault="00405D16">
            <w:pPr>
              <w:spacing w:after="100"/>
              <w:rPr>
                <w:rFonts w:eastAsia="Times New Roman"/>
                <w:sz w:val="20"/>
                <w:szCs w:val="20"/>
              </w:rPr>
            </w:pPr>
          </w:p>
        </w:tc>
        <w:tc>
          <w:tcPr>
            <w:tcW w:w="0" w:type="auto"/>
            <w:gridSpan w:val="3"/>
            <w:vAlign w:val="center"/>
            <w:hideMark/>
          </w:tcPr>
          <w:p w14:paraId="4051C580" w14:textId="77777777" w:rsidR="00000000" w:rsidRDefault="00405D16">
            <w:pPr>
              <w:spacing w:after="100"/>
              <w:rPr>
                <w:rFonts w:eastAsia="Times New Roman"/>
                <w:sz w:val="20"/>
                <w:szCs w:val="20"/>
              </w:rPr>
            </w:pPr>
          </w:p>
        </w:tc>
      </w:tr>
      <w:tr w:rsidR="00000000" w14:paraId="3739D47C" w14:textId="77777777">
        <w:trPr>
          <w:divId w:val="1143229174"/>
        </w:trPr>
        <w:tc>
          <w:tcPr>
            <w:tcW w:w="0" w:type="auto"/>
            <w:gridSpan w:val="3"/>
            <w:vAlign w:val="center"/>
            <w:hideMark/>
          </w:tcPr>
          <w:p w14:paraId="0EEAE34B" w14:textId="77777777" w:rsidR="00000000" w:rsidRDefault="00405D16">
            <w:pPr>
              <w:spacing w:after="100"/>
              <w:rPr>
                <w:rFonts w:eastAsia="Times New Roman"/>
                <w:sz w:val="20"/>
                <w:szCs w:val="20"/>
              </w:rPr>
            </w:pPr>
          </w:p>
        </w:tc>
        <w:tc>
          <w:tcPr>
            <w:tcW w:w="0" w:type="auto"/>
            <w:gridSpan w:val="3"/>
            <w:vAlign w:val="center"/>
            <w:hideMark/>
          </w:tcPr>
          <w:p w14:paraId="641E5F41" w14:textId="77777777" w:rsidR="00000000" w:rsidRDefault="00405D16">
            <w:pPr>
              <w:spacing w:after="100"/>
              <w:rPr>
                <w:rFonts w:eastAsia="Times New Roman"/>
                <w:sz w:val="20"/>
                <w:szCs w:val="20"/>
              </w:rPr>
            </w:pPr>
          </w:p>
        </w:tc>
        <w:tc>
          <w:tcPr>
            <w:tcW w:w="0" w:type="auto"/>
            <w:gridSpan w:val="3"/>
            <w:vAlign w:val="center"/>
            <w:hideMark/>
          </w:tcPr>
          <w:p w14:paraId="7C39247D" w14:textId="77777777" w:rsidR="00000000" w:rsidRDefault="00405D16">
            <w:pPr>
              <w:spacing w:after="100"/>
              <w:rPr>
                <w:rFonts w:eastAsia="Times New Roman"/>
                <w:sz w:val="20"/>
                <w:szCs w:val="20"/>
              </w:rPr>
            </w:pPr>
          </w:p>
        </w:tc>
      </w:tr>
      <w:tr w:rsidR="00000000" w14:paraId="2205A7DC" w14:textId="77777777">
        <w:trPr>
          <w:divId w:val="1143229174"/>
        </w:trPr>
        <w:tc>
          <w:tcPr>
            <w:tcW w:w="0" w:type="auto"/>
            <w:gridSpan w:val="3"/>
            <w:vAlign w:val="center"/>
            <w:hideMark/>
          </w:tcPr>
          <w:p w14:paraId="4099634D" w14:textId="77777777" w:rsidR="00000000" w:rsidRDefault="00405D16">
            <w:pPr>
              <w:spacing w:after="100"/>
              <w:rPr>
                <w:rFonts w:eastAsia="Times New Roman"/>
                <w:sz w:val="20"/>
                <w:szCs w:val="20"/>
              </w:rPr>
            </w:pPr>
          </w:p>
        </w:tc>
        <w:tc>
          <w:tcPr>
            <w:tcW w:w="0" w:type="auto"/>
            <w:gridSpan w:val="3"/>
            <w:vAlign w:val="center"/>
            <w:hideMark/>
          </w:tcPr>
          <w:p w14:paraId="57835B09" w14:textId="77777777" w:rsidR="00000000" w:rsidRDefault="00405D16">
            <w:pPr>
              <w:spacing w:after="100"/>
              <w:rPr>
                <w:rFonts w:eastAsia="Times New Roman"/>
                <w:sz w:val="20"/>
                <w:szCs w:val="20"/>
              </w:rPr>
            </w:pPr>
          </w:p>
        </w:tc>
        <w:tc>
          <w:tcPr>
            <w:tcW w:w="0" w:type="auto"/>
            <w:gridSpan w:val="3"/>
            <w:vAlign w:val="center"/>
            <w:hideMark/>
          </w:tcPr>
          <w:p w14:paraId="65484ED8" w14:textId="77777777" w:rsidR="00000000" w:rsidRDefault="00405D16">
            <w:pPr>
              <w:spacing w:after="100"/>
              <w:rPr>
                <w:rFonts w:eastAsia="Times New Roman"/>
                <w:sz w:val="20"/>
                <w:szCs w:val="20"/>
              </w:rPr>
            </w:pPr>
          </w:p>
        </w:tc>
      </w:tr>
      <w:tr w:rsidR="00000000" w14:paraId="50BE2705" w14:textId="77777777">
        <w:trPr>
          <w:divId w:val="1143229174"/>
        </w:trPr>
        <w:tc>
          <w:tcPr>
            <w:tcW w:w="0" w:type="auto"/>
            <w:gridSpan w:val="3"/>
            <w:vAlign w:val="center"/>
            <w:hideMark/>
          </w:tcPr>
          <w:p w14:paraId="4E057245" w14:textId="77777777" w:rsidR="00000000" w:rsidRDefault="00405D16">
            <w:pPr>
              <w:spacing w:after="100"/>
              <w:rPr>
                <w:rFonts w:eastAsia="Times New Roman"/>
                <w:sz w:val="20"/>
                <w:szCs w:val="20"/>
              </w:rPr>
            </w:pPr>
          </w:p>
        </w:tc>
        <w:tc>
          <w:tcPr>
            <w:tcW w:w="0" w:type="auto"/>
            <w:gridSpan w:val="3"/>
            <w:vAlign w:val="center"/>
            <w:hideMark/>
          </w:tcPr>
          <w:p w14:paraId="41FDA89E" w14:textId="77777777" w:rsidR="00000000" w:rsidRDefault="00405D16">
            <w:pPr>
              <w:spacing w:after="100"/>
              <w:rPr>
                <w:rFonts w:eastAsia="Times New Roman"/>
                <w:sz w:val="20"/>
                <w:szCs w:val="20"/>
              </w:rPr>
            </w:pPr>
          </w:p>
        </w:tc>
        <w:tc>
          <w:tcPr>
            <w:tcW w:w="0" w:type="auto"/>
            <w:gridSpan w:val="3"/>
            <w:vAlign w:val="center"/>
            <w:hideMark/>
          </w:tcPr>
          <w:p w14:paraId="3B3A9049" w14:textId="77777777" w:rsidR="00000000" w:rsidRDefault="00405D16">
            <w:pPr>
              <w:spacing w:after="100"/>
              <w:rPr>
                <w:rFonts w:eastAsia="Times New Roman"/>
                <w:sz w:val="20"/>
                <w:szCs w:val="20"/>
              </w:rPr>
            </w:pPr>
          </w:p>
        </w:tc>
      </w:tr>
      <w:tr w:rsidR="00000000" w14:paraId="01D1052C" w14:textId="77777777">
        <w:trPr>
          <w:divId w:val="1143229174"/>
        </w:trPr>
        <w:tc>
          <w:tcPr>
            <w:tcW w:w="0" w:type="auto"/>
            <w:gridSpan w:val="3"/>
            <w:vAlign w:val="center"/>
            <w:hideMark/>
          </w:tcPr>
          <w:p w14:paraId="29EBD73D" w14:textId="77777777" w:rsidR="00000000" w:rsidRDefault="00405D16">
            <w:pPr>
              <w:spacing w:after="100"/>
              <w:rPr>
                <w:rFonts w:eastAsia="Times New Roman"/>
                <w:sz w:val="20"/>
                <w:szCs w:val="20"/>
              </w:rPr>
            </w:pPr>
          </w:p>
        </w:tc>
        <w:tc>
          <w:tcPr>
            <w:tcW w:w="0" w:type="auto"/>
            <w:gridSpan w:val="3"/>
            <w:vAlign w:val="center"/>
            <w:hideMark/>
          </w:tcPr>
          <w:p w14:paraId="57AD12A1" w14:textId="77777777" w:rsidR="00000000" w:rsidRDefault="00405D16">
            <w:pPr>
              <w:spacing w:after="100"/>
              <w:rPr>
                <w:rFonts w:eastAsia="Times New Roman"/>
                <w:sz w:val="20"/>
                <w:szCs w:val="20"/>
              </w:rPr>
            </w:pPr>
          </w:p>
        </w:tc>
        <w:tc>
          <w:tcPr>
            <w:tcW w:w="0" w:type="auto"/>
            <w:gridSpan w:val="3"/>
            <w:vAlign w:val="center"/>
            <w:hideMark/>
          </w:tcPr>
          <w:p w14:paraId="25B091AB" w14:textId="77777777" w:rsidR="00000000" w:rsidRDefault="00405D16">
            <w:pPr>
              <w:spacing w:after="100"/>
              <w:rPr>
                <w:rFonts w:eastAsia="Times New Roman"/>
                <w:sz w:val="20"/>
                <w:szCs w:val="20"/>
              </w:rPr>
            </w:pPr>
          </w:p>
        </w:tc>
      </w:tr>
      <w:tr w:rsidR="00000000" w14:paraId="0299246B" w14:textId="77777777">
        <w:trPr>
          <w:divId w:val="1143229174"/>
        </w:trPr>
        <w:tc>
          <w:tcPr>
            <w:tcW w:w="0" w:type="auto"/>
            <w:gridSpan w:val="3"/>
            <w:vAlign w:val="center"/>
            <w:hideMark/>
          </w:tcPr>
          <w:p w14:paraId="4AC0175D" w14:textId="77777777" w:rsidR="00000000" w:rsidRDefault="00405D16">
            <w:pPr>
              <w:spacing w:after="100"/>
              <w:rPr>
                <w:rFonts w:eastAsia="Times New Roman"/>
                <w:sz w:val="20"/>
                <w:szCs w:val="20"/>
              </w:rPr>
            </w:pPr>
          </w:p>
        </w:tc>
        <w:tc>
          <w:tcPr>
            <w:tcW w:w="0" w:type="auto"/>
            <w:gridSpan w:val="3"/>
            <w:vAlign w:val="center"/>
            <w:hideMark/>
          </w:tcPr>
          <w:p w14:paraId="464D3556" w14:textId="77777777" w:rsidR="00000000" w:rsidRDefault="00405D16">
            <w:pPr>
              <w:spacing w:after="100"/>
              <w:rPr>
                <w:rFonts w:eastAsia="Times New Roman"/>
                <w:sz w:val="20"/>
                <w:szCs w:val="20"/>
              </w:rPr>
            </w:pPr>
          </w:p>
        </w:tc>
        <w:tc>
          <w:tcPr>
            <w:tcW w:w="0" w:type="auto"/>
            <w:gridSpan w:val="3"/>
            <w:vAlign w:val="center"/>
            <w:hideMark/>
          </w:tcPr>
          <w:p w14:paraId="1B03F9F6" w14:textId="77777777" w:rsidR="00000000" w:rsidRDefault="00405D16">
            <w:pPr>
              <w:spacing w:after="100"/>
              <w:rPr>
                <w:rFonts w:eastAsia="Times New Roman"/>
                <w:sz w:val="20"/>
                <w:szCs w:val="20"/>
              </w:rPr>
            </w:pPr>
          </w:p>
        </w:tc>
      </w:tr>
      <w:tr w:rsidR="00000000" w14:paraId="4B65B2E3" w14:textId="77777777">
        <w:trPr>
          <w:divId w:val="1143229174"/>
        </w:trPr>
        <w:tc>
          <w:tcPr>
            <w:tcW w:w="0" w:type="auto"/>
            <w:gridSpan w:val="3"/>
            <w:vAlign w:val="center"/>
            <w:hideMark/>
          </w:tcPr>
          <w:p w14:paraId="4816CC60" w14:textId="77777777" w:rsidR="00000000" w:rsidRDefault="00405D16">
            <w:pPr>
              <w:spacing w:after="100"/>
              <w:rPr>
                <w:rFonts w:eastAsia="Times New Roman"/>
                <w:sz w:val="20"/>
                <w:szCs w:val="20"/>
              </w:rPr>
            </w:pPr>
          </w:p>
        </w:tc>
        <w:tc>
          <w:tcPr>
            <w:tcW w:w="0" w:type="auto"/>
            <w:gridSpan w:val="3"/>
            <w:vAlign w:val="center"/>
            <w:hideMark/>
          </w:tcPr>
          <w:p w14:paraId="2DAB5EDD" w14:textId="77777777" w:rsidR="00000000" w:rsidRDefault="00405D16">
            <w:pPr>
              <w:spacing w:after="100"/>
              <w:rPr>
                <w:rFonts w:eastAsia="Times New Roman"/>
                <w:sz w:val="20"/>
                <w:szCs w:val="20"/>
              </w:rPr>
            </w:pPr>
          </w:p>
        </w:tc>
        <w:tc>
          <w:tcPr>
            <w:tcW w:w="0" w:type="auto"/>
            <w:gridSpan w:val="3"/>
            <w:vAlign w:val="center"/>
            <w:hideMark/>
          </w:tcPr>
          <w:p w14:paraId="2263028D" w14:textId="77777777" w:rsidR="00000000" w:rsidRDefault="00405D16">
            <w:pPr>
              <w:spacing w:after="100"/>
              <w:rPr>
                <w:rFonts w:eastAsia="Times New Roman"/>
                <w:sz w:val="20"/>
                <w:szCs w:val="20"/>
              </w:rPr>
            </w:pPr>
          </w:p>
        </w:tc>
      </w:tr>
      <w:tr w:rsidR="00000000" w14:paraId="03FE2B10" w14:textId="77777777">
        <w:trPr>
          <w:divId w:val="1143229174"/>
        </w:trPr>
        <w:tc>
          <w:tcPr>
            <w:tcW w:w="0" w:type="auto"/>
            <w:gridSpan w:val="3"/>
            <w:vAlign w:val="center"/>
            <w:hideMark/>
          </w:tcPr>
          <w:p w14:paraId="178C9C3D" w14:textId="77777777" w:rsidR="00000000" w:rsidRDefault="00405D16">
            <w:pPr>
              <w:spacing w:after="100"/>
              <w:rPr>
                <w:rFonts w:eastAsia="Times New Roman"/>
                <w:sz w:val="20"/>
                <w:szCs w:val="20"/>
              </w:rPr>
            </w:pPr>
          </w:p>
        </w:tc>
        <w:tc>
          <w:tcPr>
            <w:tcW w:w="0" w:type="auto"/>
            <w:gridSpan w:val="3"/>
            <w:vAlign w:val="center"/>
            <w:hideMark/>
          </w:tcPr>
          <w:p w14:paraId="0852879C" w14:textId="77777777" w:rsidR="00000000" w:rsidRDefault="00405D16">
            <w:pPr>
              <w:spacing w:after="100"/>
              <w:rPr>
                <w:rFonts w:eastAsia="Times New Roman"/>
                <w:sz w:val="20"/>
                <w:szCs w:val="20"/>
              </w:rPr>
            </w:pPr>
          </w:p>
        </w:tc>
        <w:tc>
          <w:tcPr>
            <w:tcW w:w="0" w:type="auto"/>
            <w:gridSpan w:val="3"/>
            <w:vAlign w:val="center"/>
            <w:hideMark/>
          </w:tcPr>
          <w:p w14:paraId="61292F08" w14:textId="77777777" w:rsidR="00000000" w:rsidRDefault="00405D16">
            <w:pPr>
              <w:spacing w:after="100"/>
              <w:rPr>
                <w:rFonts w:eastAsia="Times New Roman"/>
                <w:sz w:val="20"/>
                <w:szCs w:val="20"/>
              </w:rPr>
            </w:pPr>
          </w:p>
        </w:tc>
      </w:tr>
      <w:tr w:rsidR="00000000" w14:paraId="49D11B59" w14:textId="77777777">
        <w:trPr>
          <w:divId w:val="1143229174"/>
        </w:trPr>
        <w:tc>
          <w:tcPr>
            <w:tcW w:w="0" w:type="auto"/>
            <w:gridSpan w:val="3"/>
            <w:vAlign w:val="center"/>
            <w:hideMark/>
          </w:tcPr>
          <w:p w14:paraId="48C6C088" w14:textId="77777777" w:rsidR="00000000" w:rsidRDefault="00405D16">
            <w:pPr>
              <w:spacing w:after="100"/>
              <w:rPr>
                <w:rFonts w:eastAsia="Times New Roman"/>
                <w:sz w:val="20"/>
                <w:szCs w:val="20"/>
              </w:rPr>
            </w:pPr>
          </w:p>
        </w:tc>
        <w:tc>
          <w:tcPr>
            <w:tcW w:w="0" w:type="auto"/>
            <w:gridSpan w:val="3"/>
            <w:vAlign w:val="center"/>
            <w:hideMark/>
          </w:tcPr>
          <w:p w14:paraId="0BD4F255" w14:textId="77777777" w:rsidR="00000000" w:rsidRDefault="00405D16">
            <w:pPr>
              <w:spacing w:after="100"/>
              <w:rPr>
                <w:rFonts w:eastAsia="Times New Roman"/>
                <w:sz w:val="20"/>
                <w:szCs w:val="20"/>
              </w:rPr>
            </w:pPr>
          </w:p>
        </w:tc>
        <w:tc>
          <w:tcPr>
            <w:tcW w:w="0" w:type="auto"/>
            <w:gridSpan w:val="3"/>
            <w:vAlign w:val="center"/>
            <w:hideMark/>
          </w:tcPr>
          <w:p w14:paraId="036160F4" w14:textId="77777777" w:rsidR="00000000" w:rsidRDefault="00405D16">
            <w:pPr>
              <w:spacing w:after="100"/>
              <w:rPr>
                <w:rFonts w:eastAsia="Times New Roman"/>
                <w:sz w:val="20"/>
                <w:szCs w:val="20"/>
              </w:rPr>
            </w:pPr>
          </w:p>
        </w:tc>
      </w:tr>
      <w:tr w:rsidR="00000000" w14:paraId="64D86F04" w14:textId="77777777">
        <w:trPr>
          <w:divId w:val="1143229174"/>
        </w:trPr>
        <w:tc>
          <w:tcPr>
            <w:tcW w:w="0" w:type="auto"/>
            <w:gridSpan w:val="3"/>
            <w:vAlign w:val="center"/>
            <w:hideMark/>
          </w:tcPr>
          <w:p w14:paraId="761313B3" w14:textId="77777777" w:rsidR="00000000" w:rsidRDefault="00405D16">
            <w:pPr>
              <w:spacing w:after="100"/>
              <w:rPr>
                <w:rFonts w:eastAsia="Times New Roman"/>
                <w:sz w:val="20"/>
                <w:szCs w:val="20"/>
              </w:rPr>
            </w:pPr>
          </w:p>
        </w:tc>
        <w:tc>
          <w:tcPr>
            <w:tcW w:w="0" w:type="auto"/>
            <w:gridSpan w:val="3"/>
            <w:vAlign w:val="center"/>
            <w:hideMark/>
          </w:tcPr>
          <w:p w14:paraId="54E7A938" w14:textId="77777777" w:rsidR="00000000" w:rsidRDefault="00405D16">
            <w:pPr>
              <w:spacing w:after="100"/>
              <w:rPr>
                <w:rFonts w:eastAsia="Times New Roman"/>
                <w:sz w:val="20"/>
                <w:szCs w:val="20"/>
              </w:rPr>
            </w:pPr>
          </w:p>
        </w:tc>
        <w:tc>
          <w:tcPr>
            <w:tcW w:w="0" w:type="auto"/>
            <w:gridSpan w:val="3"/>
            <w:vAlign w:val="center"/>
            <w:hideMark/>
          </w:tcPr>
          <w:p w14:paraId="5653B876" w14:textId="77777777" w:rsidR="00000000" w:rsidRDefault="00405D16">
            <w:pPr>
              <w:spacing w:after="100"/>
              <w:rPr>
                <w:rFonts w:eastAsia="Times New Roman"/>
                <w:sz w:val="20"/>
                <w:szCs w:val="20"/>
              </w:rPr>
            </w:pPr>
          </w:p>
        </w:tc>
      </w:tr>
      <w:tr w:rsidR="00000000" w14:paraId="5F04C4F2" w14:textId="77777777">
        <w:trPr>
          <w:divId w:val="1143229174"/>
        </w:trPr>
        <w:tc>
          <w:tcPr>
            <w:tcW w:w="0" w:type="auto"/>
            <w:gridSpan w:val="3"/>
            <w:vAlign w:val="center"/>
            <w:hideMark/>
          </w:tcPr>
          <w:p w14:paraId="5E27D8B9" w14:textId="77777777" w:rsidR="00000000" w:rsidRDefault="00405D16">
            <w:pPr>
              <w:spacing w:after="100"/>
              <w:rPr>
                <w:rFonts w:eastAsia="Times New Roman"/>
                <w:sz w:val="20"/>
                <w:szCs w:val="20"/>
              </w:rPr>
            </w:pPr>
          </w:p>
        </w:tc>
        <w:tc>
          <w:tcPr>
            <w:tcW w:w="0" w:type="auto"/>
            <w:gridSpan w:val="3"/>
            <w:vAlign w:val="center"/>
            <w:hideMark/>
          </w:tcPr>
          <w:p w14:paraId="39B21D1B" w14:textId="77777777" w:rsidR="00000000" w:rsidRDefault="00405D16">
            <w:pPr>
              <w:spacing w:after="100"/>
              <w:rPr>
                <w:rFonts w:eastAsia="Times New Roman"/>
                <w:sz w:val="20"/>
                <w:szCs w:val="20"/>
              </w:rPr>
            </w:pPr>
          </w:p>
        </w:tc>
        <w:tc>
          <w:tcPr>
            <w:tcW w:w="0" w:type="auto"/>
            <w:gridSpan w:val="3"/>
            <w:vAlign w:val="center"/>
            <w:hideMark/>
          </w:tcPr>
          <w:p w14:paraId="01135DDE" w14:textId="77777777" w:rsidR="00000000" w:rsidRDefault="00405D16">
            <w:pPr>
              <w:spacing w:after="100"/>
              <w:rPr>
                <w:rFonts w:eastAsia="Times New Roman"/>
                <w:sz w:val="20"/>
                <w:szCs w:val="20"/>
              </w:rPr>
            </w:pPr>
          </w:p>
        </w:tc>
      </w:tr>
      <w:tr w:rsidR="00000000" w14:paraId="0B0A0AEB" w14:textId="77777777">
        <w:trPr>
          <w:divId w:val="1143229174"/>
        </w:trPr>
        <w:tc>
          <w:tcPr>
            <w:tcW w:w="0" w:type="auto"/>
            <w:gridSpan w:val="3"/>
            <w:vAlign w:val="center"/>
            <w:hideMark/>
          </w:tcPr>
          <w:p w14:paraId="550453B4" w14:textId="77777777" w:rsidR="00000000" w:rsidRDefault="00405D16">
            <w:pPr>
              <w:spacing w:after="100"/>
              <w:rPr>
                <w:rFonts w:eastAsia="Times New Roman"/>
                <w:sz w:val="20"/>
                <w:szCs w:val="20"/>
              </w:rPr>
            </w:pPr>
          </w:p>
        </w:tc>
        <w:tc>
          <w:tcPr>
            <w:tcW w:w="0" w:type="auto"/>
            <w:gridSpan w:val="3"/>
            <w:vAlign w:val="center"/>
            <w:hideMark/>
          </w:tcPr>
          <w:p w14:paraId="220BF2E4" w14:textId="77777777" w:rsidR="00000000" w:rsidRDefault="00405D16">
            <w:pPr>
              <w:spacing w:after="100"/>
              <w:rPr>
                <w:rFonts w:eastAsia="Times New Roman"/>
                <w:sz w:val="20"/>
                <w:szCs w:val="20"/>
              </w:rPr>
            </w:pPr>
          </w:p>
        </w:tc>
        <w:tc>
          <w:tcPr>
            <w:tcW w:w="0" w:type="auto"/>
            <w:gridSpan w:val="3"/>
            <w:vAlign w:val="center"/>
            <w:hideMark/>
          </w:tcPr>
          <w:p w14:paraId="3F71C7C8" w14:textId="77777777" w:rsidR="00000000" w:rsidRDefault="00405D16">
            <w:pPr>
              <w:spacing w:after="100"/>
              <w:rPr>
                <w:rFonts w:eastAsia="Times New Roman"/>
                <w:sz w:val="20"/>
                <w:szCs w:val="20"/>
              </w:rPr>
            </w:pPr>
          </w:p>
        </w:tc>
      </w:tr>
      <w:tr w:rsidR="00000000" w14:paraId="2103D8DF" w14:textId="77777777">
        <w:trPr>
          <w:divId w:val="1143229174"/>
        </w:trPr>
        <w:tc>
          <w:tcPr>
            <w:tcW w:w="0" w:type="auto"/>
            <w:gridSpan w:val="3"/>
            <w:vAlign w:val="center"/>
            <w:hideMark/>
          </w:tcPr>
          <w:p w14:paraId="1B5182E2" w14:textId="77777777" w:rsidR="00000000" w:rsidRDefault="00405D16">
            <w:pPr>
              <w:spacing w:after="100"/>
              <w:rPr>
                <w:rFonts w:eastAsia="Times New Roman"/>
                <w:sz w:val="20"/>
                <w:szCs w:val="20"/>
              </w:rPr>
            </w:pPr>
          </w:p>
        </w:tc>
        <w:tc>
          <w:tcPr>
            <w:tcW w:w="0" w:type="auto"/>
            <w:gridSpan w:val="3"/>
            <w:vAlign w:val="center"/>
            <w:hideMark/>
          </w:tcPr>
          <w:p w14:paraId="2116E3B5" w14:textId="77777777" w:rsidR="00000000" w:rsidRDefault="00405D16">
            <w:pPr>
              <w:spacing w:after="100"/>
              <w:rPr>
                <w:rFonts w:eastAsia="Times New Roman"/>
                <w:sz w:val="20"/>
                <w:szCs w:val="20"/>
              </w:rPr>
            </w:pPr>
          </w:p>
        </w:tc>
        <w:tc>
          <w:tcPr>
            <w:tcW w:w="0" w:type="auto"/>
            <w:gridSpan w:val="3"/>
            <w:vAlign w:val="center"/>
            <w:hideMark/>
          </w:tcPr>
          <w:p w14:paraId="062A54CC" w14:textId="77777777" w:rsidR="00000000" w:rsidRDefault="00405D16">
            <w:pPr>
              <w:spacing w:after="100"/>
              <w:rPr>
                <w:rFonts w:eastAsia="Times New Roman"/>
                <w:sz w:val="20"/>
                <w:szCs w:val="20"/>
              </w:rPr>
            </w:pPr>
          </w:p>
        </w:tc>
      </w:tr>
      <w:tr w:rsidR="00000000" w14:paraId="7072DB6E" w14:textId="77777777">
        <w:trPr>
          <w:divId w:val="1143229174"/>
        </w:trPr>
        <w:tc>
          <w:tcPr>
            <w:tcW w:w="0" w:type="auto"/>
            <w:gridSpan w:val="3"/>
            <w:vAlign w:val="center"/>
            <w:hideMark/>
          </w:tcPr>
          <w:p w14:paraId="2BA3B6C8" w14:textId="77777777" w:rsidR="00000000" w:rsidRDefault="00405D16">
            <w:pPr>
              <w:spacing w:after="100"/>
              <w:rPr>
                <w:rFonts w:eastAsia="Times New Roman"/>
                <w:sz w:val="20"/>
                <w:szCs w:val="20"/>
              </w:rPr>
            </w:pPr>
          </w:p>
        </w:tc>
        <w:tc>
          <w:tcPr>
            <w:tcW w:w="0" w:type="auto"/>
            <w:gridSpan w:val="3"/>
            <w:vAlign w:val="center"/>
            <w:hideMark/>
          </w:tcPr>
          <w:p w14:paraId="42A7F358" w14:textId="77777777" w:rsidR="00000000" w:rsidRDefault="00405D16">
            <w:pPr>
              <w:spacing w:after="100"/>
              <w:rPr>
                <w:rFonts w:eastAsia="Times New Roman"/>
                <w:sz w:val="20"/>
                <w:szCs w:val="20"/>
              </w:rPr>
            </w:pPr>
          </w:p>
        </w:tc>
        <w:tc>
          <w:tcPr>
            <w:tcW w:w="0" w:type="auto"/>
            <w:gridSpan w:val="3"/>
            <w:vAlign w:val="center"/>
            <w:hideMark/>
          </w:tcPr>
          <w:p w14:paraId="402F44E5" w14:textId="77777777" w:rsidR="00000000" w:rsidRDefault="00405D16">
            <w:pPr>
              <w:spacing w:after="100"/>
              <w:rPr>
                <w:rFonts w:eastAsia="Times New Roman"/>
                <w:sz w:val="20"/>
                <w:szCs w:val="20"/>
              </w:rPr>
            </w:pPr>
          </w:p>
        </w:tc>
      </w:tr>
      <w:tr w:rsidR="00000000" w14:paraId="693D19C3" w14:textId="77777777">
        <w:trPr>
          <w:divId w:val="1143229174"/>
        </w:trPr>
        <w:tc>
          <w:tcPr>
            <w:tcW w:w="0" w:type="auto"/>
            <w:gridSpan w:val="3"/>
            <w:vAlign w:val="center"/>
            <w:hideMark/>
          </w:tcPr>
          <w:p w14:paraId="01590DCA" w14:textId="77777777" w:rsidR="00000000" w:rsidRDefault="00405D16">
            <w:pPr>
              <w:spacing w:after="100"/>
              <w:rPr>
                <w:rFonts w:eastAsia="Times New Roman"/>
                <w:sz w:val="20"/>
                <w:szCs w:val="20"/>
              </w:rPr>
            </w:pPr>
          </w:p>
        </w:tc>
        <w:tc>
          <w:tcPr>
            <w:tcW w:w="0" w:type="auto"/>
            <w:gridSpan w:val="3"/>
            <w:vAlign w:val="center"/>
            <w:hideMark/>
          </w:tcPr>
          <w:p w14:paraId="5072B78D" w14:textId="77777777" w:rsidR="00000000" w:rsidRDefault="00405D16">
            <w:pPr>
              <w:spacing w:after="100"/>
              <w:rPr>
                <w:rFonts w:eastAsia="Times New Roman"/>
                <w:sz w:val="20"/>
                <w:szCs w:val="20"/>
              </w:rPr>
            </w:pPr>
          </w:p>
        </w:tc>
        <w:tc>
          <w:tcPr>
            <w:tcW w:w="0" w:type="auto"/>
            <w:gridSpan w:val="3"/>
            <w:vAlign w:val="center"/>
            <w:hideMark/>
          </w:tcPr>
          <w:p w14:paraId="5BF88CC4" w14:textId="77777777" w:rsidR="00000000" w:rsidRDefault="00405D16">
            <w:pPr>
              <w:spacing w:after="100"/>
              <w:rPr>
                <w:rFonts w:eastAsia="Times New Roman"/>
                <w:sz w:val="20"/>
                <w:szCs w:val="20"/>
              </w:rPr>
            </w:pPr>
          </w:p>
        </w:tc>
      </w:tr>
      <w:tr w:rsidR="00000000" w14:paraId="6F1EE9EC" w14:textId="77777777">
        <w:trPr>
          <w:divId w:val="1143229174"/>
        </w:trPr>
        <w:tc>
          <w:tcPr>
            <w:tcW w:w="0" w:type="auto"/>
            <w:gridSpan w:val="3"/>
            <w:vAlign w:val="center"/>
            <w:hideMark/>
          </w:tcPr>
          <w:p w14:paraId="68123085" w14:textId="77777777" w:rsidR="00000000" w:rsidRDefault="00405D16">
            <w:pPr>
              <w:spacing w:after="100"/>
              <w:rPr>
                <w:rFonts w:eastAsia="Times New Roman"/>
                <w:sz w:val="20"/>
                <w:szCs w:val="20"/>
              </w:rPr>
            </w:pPr>
          </w:p>
        </w:tc>
        <w:tc>
          <w:tcPr>
            <w:tcW w:w="0" w:type="auto"/>
            <w:gridSpan w:val="3"/>
            <w:vAlign w:val="center"/>
            <w:hideMark/>
          </w:tcPr>
          <w:p w14:paraId="1CDC40A0" w14:textId="77777777" w:rsidR="00000000" w:rsidRDefault="00405D16">
            <w:pPr>
              <w:spacing w:after="100"/>
              <w:rPr>
                <w:rFonts w:eastAsia="Times New Roman"/>
                <w:sz w:val="20"/>
                <w:szCs w:val="20"/>
              </w:rPr>
            </w:pPr>
          </w:p>
        </w:tc>
        <w:tc>
          <w:tcPr>
            <w:tcW w:w="0" w:type="auto"/>
            <w:gridSpan w:val="3"/>
            <w:vAlign w:val="center"/>
            <w:hideMark/>
          </w:tcPr>
          <w:p w14:paraId="48A7F997" w14:textId="77777777" w:rsidR="00000000" w:rsidRDefault="00405D16">
            <w:pPr>
              <w:spacing w:after="100"/>
              <w:rPr>
                <w:rFonts w:eastAsia="Times New Roman"/>
                <w:sz w:val="20"/>
                <w:szCs w:val="20"/>
              </w:rPr>
            </w:pPr>
          </w:p>
        </w:tc>
      </w:tr>
      <w:tr w:rsidR="00000000" w14:paraId="3A2C3F7F" w14:textId="77777777">
        <w:trPr>
          <w:divId w:val="1143229174"/>
        </w:trPr>
        <w:tc>
          <w:tcPr>
            <w:tcW w:w="0" w:type="auto"/>
            <w:gridSpan w:val="3"/>
            <w:vAlign w:val="center"/>
            <w:hideMark/>
          </w:tcPr>
          <w:p w14:paraId="1000FB4C" w14:textId="77777777" w:rsidR="00000000" w:rsidRDefault="00405D16">
            <w:pPr>
              <w:spacing w:after="100"/>
              <w:rPr>
                <w:rFonts w:eastAsia="Times New Roman"/>
                <w:sz w:val="20"/>
                <w:szCs w:val="20"/>
              </w:rPr>
            </w:pPr>
          </w:p>
        </w:tc>
        <w:tc>
          <w:tcPr>
            <w:tcW w:w="0" w:type="auto"/>
            <w:gridSpan w:val="3"/>
            <w:vAlign w:val="center"/>
            <w:hideMark/>
          </w:tcPr>
          <w:p w14:paraId="10B55021" w14:textId="77777777" w:rsidR="00000000" w:rsidRDefault="00405D16">
            <w:pPr>
              <w:spacing w:after="100"/>
              <w:rPr>
                <w:rFonts w:eastAsia="Times New Roman"/>
                <w:sz w:val="20"/>
                <w:szCs w:val="20"/>
              </w:rPr>
            </w:pPr>
          </w:p>
        </w:tc>
        <w:tc>
          <w:tcPr>
            <w:tcW w:w="0" w:type="auto"/>
            <w:gridSpan w:val="3"/>
            <w:vAlign w:val="center"/>
            <w:hideMark/>
          </w:tcPr>
          <w:p w14:paraId="16CFBA56" w14:textId="77777777" w:rsidR="00000000" w:rsidRDefault="00405D16">
            <w:pPr>
              <w:spacing w:after="100"/>
              <w:rPr>
                <w:rFonts w:eastAsia="Times New Roman"/>
                <w:sz w:val="20"/>
                <w:szCs w:val="20"/>
              </w:rPr>
            </w:pPr>
          </w:p>
        </w:tc>
      </w:tr>
      <w:tr w:rsidR="00000000" w14:paraId="74C35517" w14:textId="77777777">
        <w:trPr>
          <w:divId w:val="1143229174"/>
        </w:trPr>
        <w:tc>
          <w:tcPr>
            <w:tcW w:w="0" w:type="auto"/>
            <w:gridSpan w:val="3"/>
            <w:vAlign w:val="center"/>
            <w:hideMark/>
          </w:tcPr>
          <w:p w14:paraId="4E8CC533" w14:textId="77777777" w:rsidR="00000000" w:rsidRDefault="00405D16">
            <w:pPr>
              <w:spacing w:after="100"/>
              <w:rPr>
                <w:rFonts w:eastAsia="Times New Roman"/>
                <w:sz w:val="20"/>
                <w:szCs w:val="20"/>
              </w:rPr>
            </w:pPr>
          </w:p>
        </w:tc>
        <w:tc>
          <w:tcPr>
            <w:tcW w:w="0" w:type="auto"/>
            <w:gridSpan w:val="3"/>
            <w:vAlign w:val="center"/>
            <w:hideMark/>
          </w:tcPr>
          <w:p w14:paraId="09761C1C" w14:textId="77777777" w:rsidR="00000000" w:rsidRDefault="00405D16">
            <w:pPr>
              <w:spacing w:after="100"/>
              <w:rPr>
                <w:rFonts w:eastAsia="Times New Roman"/>
                <w:sz w:val="20"/>
                <w:szCs w:val="20"/>
              </w:rPr>
            </w:pPr>
          </w:p>
        </w:tc>
        <w:tc>
          <w:tcPr>
            <w:tcW w:w="0" w:type="auto"/>
            <w:gridSpan w:val="3"/>
            <w:vAlign w:val="center"/>
            <w:hideMark/>
          </w:tcPr>
          <w:p w14:paraId="132104D7" w14:textId="77777777" w:rsidR="00000000" w:rsidRDefault="00405D16">
            <w:pPr>
              <w:spacing w:after="100"/>
              <w:rPr>
                <w:rFonts w:eastAsia="Times New Roman"/>
                <w:sz w:val="20"/>
                <w:szCs w:val="20"/>
              </w:rPr>
            </w:pPr>
          </w:p>
        </w:tc>
      </w:tr>
      <w:tr w:rsidR="00000000" w14:paraId="01015678" w14:textId="77777777">
        <w:trPr>
          <w:divId w:val="1143229174"/>
        </w:trPr>
        <w:tc>
          <w:tcPr>
            <w:tcW w:w="0" w:type="auto"/>
            <w:gridSpan w:val="3"/>
            <w:vAlign w:val="center"/>
            <w:hideMark/>
          </w:tcPr>
          <w:p w14:paraId="04A43AE9" w14:textId="77777777" w:rsidR="00000000" w:rsidRDefault="00405D16">
            <w:pPr>
              <w:spacing w:after="100"/>
              <w:rPr>
                <w:rFonts w:eastAsia="Times New Roman"/>
                <w:sz w:val="20"/>
                <w:szCs w:val="20"/>
              </w:rPr>
            </w:pPr>
          </w:p>
        </w:tc>
        <w:tc>
          <w:tcPr>
            <w:tcW w:w="0" w:type="auto"/>
            <w:gridSpan w:val="3"/>
            <w:vAlign w:val="center"/>
            <w:hideMark/>
          </w:tcPr>
          <w:p w14:paraId="2B74B152" w14:textId="77777777" w:rsidR="00000000" w:rsidRDefault="00405D16">
            <w:pPr>
              <w:spacing w:after="100"/>
              <w:rPr>
                <w:rFonts w:eastAsia="Times New Roman"/>
                <w:sz w:val="20"/>
                <w:szCs w:val="20"/>
              </w:rPr>
            </w:pPr>
          </w:p>
        </w:tc>
        <w:tc>
          <w:tcPr>
            <w:tcW w:w="0" w:type="auto"/>
            <w:gridSpan w:val="3"/>
            <w:vAlign w:val="center"/>
            <w:hideMark/>
          </w:tcPr>
          <w:p w14:paraId="36C364DD" w14:textId="77777777" w:rsidR="00000000" w:rsidRDefault="00405D16">
            <w:pPr>
              <w:spacing w:after="100"/>
              <w:rPr>
                <w:rFonts w:eastAsia="Times New Roman"/>
                <w:sz w:val="20"/>
                <w:szCs w:val="20"/>
              </w:rPr>
            </w:pPr>
          </w:p>
        </w:tc>
      </w:tr>
      <w:tr w:rsidR="00000000" w14:paraId="2071A9EF" w14:textId="77777777">
        <w:trPr>
          <w:divId w:val="1143229174"/>
        </w:trPr>
        <w:tc>
          <w:tcPr>
            <w:tcW w:w="0" w:type="auto"/>
            <w:gridSpan w:val="3"/>
            <w:vAlign w:val="center"/>
            <w:hideMark/>
          </w:tcPr>
          <w:p w14:paraId="2B5EE774" w14:textId="77777777" w:rsidR="00000000" w:rsidRDefault="00405D16">
            <w:pPr>
              <w:spacing w:after="100"/>
              <w:rPr>
                <w:rFonts w:eastAsia="Times New Roman"/>
                <w:sz w:val="20"/>
                <w:szCs w:val="20"/>
              </w:rPr>
            </w:pPr>
          </w:p>
        </w:tc>
        <w:tc>
          <w:tcPr>
            <w:tcW w:w="0" w:type="auto"/>
            <w:gridSpan w:val="3"/>
            <w:vAlign w:val="center"/>
            <w:hideMark/>
          </w:tcPr>
          <w:p w14:paraId="72E206E9" w14:textId="77777777" w:rsidR="00000000" w:rsidRDefault="00405D16">
            <w:pPr>
              <w:spacing w:after="100"/>
              <w:rPr>
                <w:rFonts w:eastAsia="Times New Roman"/>
                <w:sz w:val="20"/>
                <w:szCs w:val="20"/>
              </w:rPr>
            </w:pPr>
          </w:p>
        </w:tc>
        <w:tc>
          <w:tcPr>
            <w:tcW w:w="0" w:type="auto"/>
            <w:gridSpan w:val="3"/>
            <w:vAlign w:val="center"/>
            <w:hideMark/>
          </w:tcPr>
          <w:p w14:paraId="642FFFB5" w14:textId="77777777" w:rsidR="00000000" w:rsidRDefault="00405D16">
            <w:pPr>
              <w:spacing w:after="100"/>
              <w:rPr>
                <w:rFonts w:eastAsia="Times New Roman"/>
                <w:sz w:val="20"/>
                <w:szCs w:val="20"/>
              </w:rPr>
            </w:pPr>
          </w:p>
        </w:tc>
      </w:tr>
      <w:tr w:rsidR="00000000" w14:paraId="0DEC0E7A" w14:textId="77777777">
        <w:trPr>
          <w:divId w:val="1143229174"/>
        </w:trPr>
        <w:tc>
          <w:tcPr>
            <w:tcW w:w="0" w:type="auto"/>
            <w:gridSpan w:val="3"/>
            <w:vAlign w:val="center"/>
            <w:hideMark/>
          </w:tcPr>
          <w:p w14:paraId="4390EDDF" w14:textId="77777777" w:rsidR="00000000" w:rsidRDefault="00405D16">
            <w:pPr>
              <w:spacing w:after="100"/>
              <w:rPr>
                <w:rFonts w:eastAsia="Times New Roman"/>
                <w:sz w:val="20"/>
                <w:szCs w:val="20"/>
              </w:rPr>
            </w:pPr>
          </w:p>
        </w:tc>
        <w:tc>
          <w:tcPr>
            <w:tcW w:w="0" w:type="auto"/>
            <w:gridSpan w:val="3"/>
            <w:vAlign w:val="center"/>
            <w:hideMark/>
          </w:tcPr>
          <w:p w14:paraId="2A0258C2" w14:textId="77777777" w:rsidR="00000000" w:rsidRDefault="00405D16">
            <w:pPr>
              <w:spacing w:after="100"/>
              <w:rPr>
                <w:rFonts w:eastAsia="Times New Roman"/>
                <w:sz w:val="20"/>
                <w:szCs w:val="20"/>
              </w:rPr>
            </w:pPr>
          </w:p>
        </w:tc>
        <w:tc>
          <w:tcPr>
            <w:tcW w:w="0" w:type="auto"/>
            <w:gridSpan w:val="3"/>
            <w:vAlign w:val="center"/>
            <w:hideMark/>
          </w:tcPr>
          <w:p w14:paraId="3713CEAA" w14:textId="77777777" w:rsidR="00000000" w:rsidRDefault="00405D16">
            <w:pPr>
              <w:spacing w:after="100"/>
              <w:rPr>
                <w:rFonts w:eastAsia="Times New Roman"/>
                <w:sz w:val="20"/>
                <w:szCs w:val="20"/>
              </w:rPr>
            </w:pPr>
          </w:p>
        </w:tc>
      </w:tr>
      <w:tr w:rsidR="00000000" w14:paraId="7B0E4807" w14:textId="77777777">
        <w:trPr>
          <w:divId w:val="1143229174"/>
        </w:trPr>
        <w:tc>
          <w:tcPr>
            <w:tcW w:w="0" w:type="auto"/>
            <w:gridSpan w:val="3"/>
            <w:vAlign w:val="center"/>
            <w:hideMark/>
          </w:tcPr>
          <w:p w14:paraId="33F41312" w14:textId="77777777" w:rsidR="00000000" w:rsidRDefault="00405D16">
            <w:pPr>
              <w:spacing w:after="100"/>
              <w:rPr>
                <w:rFonts w:eastAsia="Times New Roman"/>
                <w:sz w:val="20"/>
                <w:szCs w:val="20"/>
              </w:rPr>
            </w:pPr>
          </w:p>
        </w:tc>
        <w:tc>
          <w:tcPr>
            <w:tcW w:w="0" w:type="auto"/>
            <w:gridSpan w:val="3"/>
            <w:vAlign w:val="center"/>
            <w:hideMark/>
          </w:tcPr>
          <w:p w14:paraId="358C6E95" w14:textId="77777777" w:rsidR="00000000" w:rsidRDefault="00405D16">
            <w:pPr>
              <w:spacing w:after="100"/>
              <w:rPr>
                <w:rFonts w:eastAsia="Times New Roman"/>
                <w:sz w:val="20"/>
                <w:szCs w:val="20"/>
              </w:rPr>
            </w:pPr>
          </w:p>
        </w:tc>
        <w:tc>
          <w:tcPr>
            <w:tcW w:w="0" w:type="auto"/>
            <w:gridSpan w:val="3"/>
            <w:vAlign w:val="center"/>
            <w:hideMark/>
          </w:tcPr>
          <w:p w14:paraId="677B2A2F" w14:textId="77777777" w:rsidR="00000000" w:rsidRDefault="00405D16">
            <w:pPr>
              <w:spacing w:after="100"/>
              <w:rPr>
                <w:rFonts w:eastAsia="Times New Roman"/>
                <w:sz w:val="20"/>
                <w:szCs w:val="20"/>
              </w:rPr>
            </w:pPr>
          </w:p>
        </w:tc>
      </w:tr>
      <w:tr w:rsidR="00000000" w14:paraId="7C80F2B3" w14:textId="77777777">
        <w:trPr>
          <w:divId w:val="1143229174"/>
        </w:trPr>
        <w:tc>
          <w:tcPr>
            <w:tcW w:w="0" w:type="auto"/>
            <w:gridSpan w:val="3"/>
            <w:vAlign w:val="center"/>
            <w:hideMark/>
          </w:tcPr>
          <w:p w14:paraId="6DEE3784" w14:textId="77777777" w:rsidR="00000000" w:rsidRDefault="00405D16">
            <w:pPr>
              <w:spacing w:after="100"/>
              <w:rPr>
                <w:rFonts w:eastAsia="Times New Roman"/>
                <w:sz w:val="20"/>
                <w:szCs w:val="20"/>
              </w:rPr>
            </w:pPr>
          </w:p>
        </w:tc>
        <w:tc>
          <w:tcPr>
            <w:tcW w:w="0" w:type="auto"/>
            <w:gridSpan w:val="3"/>
            <w:vAlign w:val="center"/>
            <w:hideMark/>
          </w:tcPr>
          <w:p w14:paraId="66D4B045" w14:textId="77777777" w:rsidR="00000000" w:rsidRDefault="00405D16">
            <w:pPr>
              <w:spacing w:after="100"/>
              <w:rPr>
                <w:rFonts w:eastAsia="Times New Roman"/>
                <w:sz w:val="20"/>
                <w:szCs w:val="20"/>
              </w:rPr>
            </w:pPr>
          </w:p>
        </w:tc>
        <w:tc>
          <w:tcPr>
            <w:tcW w:w="0" w:type="auto"/>
            <w:gridSpan w:val="3"/>
            <w:vAlign w:val="center"/>
            <w:hideMark/>
          </w:tcPr>
          <w:p w14:paraId="087B47DF" w14:textId="77777777" w:rsidR="00000000" w:rsidRDefault="00405D16">
            <w:pPr>
              <w:spacing w:after="100"/>
              <w:rPr>
                <w:rFonts w:eastAsia="Times New Roman"/>
                <w:sz w:val="20"/>
                <w:szCs w:val="20"/>
              </w:rPr>
            </w:pPr>
          </w:p>
        </w:tc>
      </w:tr>
      <w:tr w:rsidR="00000000" w14:paraId="6734FCE5" w14:textId="77777777">
        <w:trPr>
          <w:divId w:val="1143229174"/>
        </w:trPr>
        <w:tc>
          <w:tcPr>
            <w:tcW w:w="0" w:type="auto"/>
            <w:gridSpan w:val="3"/>
            <w:vAlign w:val="center"/>
            <w:hideMark/>
          </w:tcPr>
          <w:p w14:paraId="79EBC22C" w14:textId="77777777" w:rsidR="00000000" w:rsidRDefault="00405D16">
            <w:pPr>
              <w:spacing w:after="100"/>
              <w:rPr>
                <w:rFonts w:eastAsia="Times New Roman"/>
                <w:sz w:val="20"/>
                <w:szCs w:val="20"/>
              </w:rPr>
            </w:pPr>
          </w:p>
        </w:tc>
        <w:tc>
          <w:tcPr>
            <w:tcW w:w="0" w:type="auto"/>
            <w:gridSpan w:val="3"/>
            <w:vAlign w:val="center"/>
            <w:hideMark/>
          </w:tcPr>
          <w:p w14:paraId="648509A5" w14:textId="77777777" w:rsidR="00000000" w:rsidRDefault="00405D16">
            <w:pPr>
              <w:spacing w:after="100"/>
              <w:rPr>
                <w:rFonts w:eastAsia="Times New Roman"/>
                <w:sz w:val="20"/>
                <w:szCs w:val="20"/>
              </w:rPr>
            </w:pPr>
          </w:p>
        </w:tc>
        <w:tc>
          <w:tcPr>
            <w:tcW w:w="0" w:type="auto"/>
            <w:gridSpan w:val="3"/>
            <w:vAlign w:val="center"/>
            <w:hideMark/>
          </w:tcPr>
          <w:p w14:paraId="5ECFDBED" w14:textId="77777777" w:rsidR="00000000" w:rsidRDefault="00405D16">
            <w:pPr>
              <w:spacing w:after="100"/>
              <w:rPr>
                <w:rFonts w:eastAsia="Times New Roman"/>
                <w:sz w:val="20"/>
                <w:szCs w:val="20"/>
              </w:rPr>
            </w:pPr>
          </w:p>
        </w:tc>
      </w:tr>
      <w:tr w:rsidR="00000000" w14:paraId="47B73FF9" w14:textId="77777777">
        <w:trPr>
          <w:divId w:val="1143229174"/>
        </w:trPr>
        <w:tc>
          <w:tcPr>
            <w:tcW w:w="0" w:type="auto"/>
            <w:gridSpan w:val="3"/>
            <w:vAlign w:val="center"/>
            <w:hideMark/>
          </w:tcPr>
          <w:p w14:paraId="76D6C94F" w14:textId="77777777" w:rsidR="00000000" w:rsidRDefault="00405D16">
            <w:pPr>
              <w:spacing w:after="100"/>
              <w:rPr>
                <w:rFonts w:eastAsia="Times New Roman"/>
                <w:sz w:val="20"/>
                <w:szCs w:val="20"/>
              </w:rPr>
            </w:pPr>
          </w:p>
        </w:tc>
        <w:tc>
          <w:tcPr>
            <w:tcW w:w="0" w:type="auto"/>
            <w:gridSpan w:val="3"/>
            <w:vAlign w:val="center"/>
            <w:hideMark/>
          </w:tcPr>
          <w:p w14:paraId="28F5E006" w14:textId="77777777" w:rsidR="00000000" w:rsidRDefault="00405D16">
            <w:pPr>
              <w:spacing w:after="100"/>
              <w:rPr>
                <w:rFonts w:eastAsia="Times New Roman"/>
                <w:sz w:val="20"/>
                <w:szCs w:val="20"/>
              </w:rPr>
            </w:pPr>
          </w:p>
        </w:tc>
        <w:tc>
          <w:tcPr>
            <w:tcW w:w="0" w:type="auto"/>
            <w:gridSpan w:val="3"/>
            <w:vAlign w:val="center"/>
            <w:hideMark/>
          </w:tcPr>
          <w:p w14:paraId="7BA017A0" w14:textId="77777777" w:rsidR="00000000" w:rsidRDefault="00405D16">
            <w:pPr>
              <w:spacing w:after="100"/>
              <w:rPr>
                <w:rFonts w:eastAsia="Times New Roman"/>
                <w:sz w:val="20"/>
                <w:szCs w:val="20"/>
              </w:rPr>
            </w:pPr>
          </w:p>
        </w:tc>
      </w:tr>
      <w:tr w:rsidR="00000000" w14:paraId="4A5EA084" w14:textId="77777777">
        <w:trPr>
          <w:divId w:val="1143229174"/>
        </w:trPr>
        <w:tc>
          <w:tcPr>
            <w:tcW w:w="0" w:type="auto"/>
            <w:gridSpan w:val="3"/>
            <w:tcMar>
              <w:top w:w="30" w:type="dxa"/>
              <w:left w:w="20" w:type="dxa"/>
              <w:bottom w:w="30" w:type="dxa"/>
              <w:right w:w="20" w:type="dxa"/>
            </w:tcMar>
            <w:vAlign w:val="center"/>
            <w:hideMark/>
          </w:tcPr>
          <w:p w14:paraId="5C1E0E32" w14:textId="77777777" w:rsidR="00000000" w:rsidRDefault="00405D16">
            <w:pPr>
              <w:spacing w:after="100"/>
              <w:divId w:val="576986004"/>
              <w:rPr>
                <w:rFonts w:eastAsia="Times New Roman"/>
              </w:rPr>
            </w:pPr>
            <w:hyperlink w:anchor="idd54a04a485440b4ab4e56094c14d612_460" w:history="1">
              <w:r>
                <w:rPr>
                  <w:rStyle w:val="a3"/>
                  <w:rFonts w:eastAsia="Times New Roman"/>
                  <w:color w:val="000000"/>
                  <w:sz w:val="20"/>
                  <w:szCs w:val="20"/>
                  <w:u w:val="none"/>
                </w:rPr>
                <w:t>Item 4.</w:t>
              </w:r>
            </w:hyperlink>
          </w:p>
        </w:tc>
        <w:tc>
          <w:tcPr>
            <w:tcW w:w="0" w:type="auto"/>
            <w:gridSpan w:val="3"/>
            <w:tcMar>
              <w:top w:w="30" w:type="dxa"/>
              <w:left w:w="20" w:type="dxa"/>
              <w:bottom w:w="30" w:type="dxa"/>
              <w:right w:w="20" w:type="dxa"/>
            </w:tcMar>
            <w:vAlign w:val="bottom"/>
            <w:hideMark/>
          </w:tcPr>
          <w:p w14:paraId="08136CBC" w14:textId="77777777" w:rsidR="00000000" w:rsidRDefault="00405D16">
            <w:pPr>
              <w:spacing w:after="100"/>
              <w:divId w:val="203258183"/>
              <w:rPr>
                <w:rFonts w:eastAsia="Times New Roman"/>
              </w:rPr>
            </w:pPr>
            <w:hyperlink w:anchor="idd54a04a485440b4ab4e56094c14d612_460" w:history="1">
              <w:r>
                <w:rPr>
                  <w:rStyle w:val="a3"/>
                  <w:rFonts w:eastAsia="Times New Roman"/>
                  <w:color w:val="000000"/>
                  <w:sz w:val="20"/>
                  <w:szCs w:val="20"/>
                  <w:u w:val="none"/>
                </w:rPr>
                <w:t>Controls and Procedures</w:t>
              </w:r>
            </w:hyperlink>
          </w:p>
        </w:tc>
        <w:tc>
          <w:tcPr>
            <w:tcW w:w="0" w:type="auto"/>
            <w:gridSpan w:val="3"/>
            <w:tcMar>
              <w:top w:w="30" w:type="dxa"/>
              <w:left w:w="20" w:type="dxa"/>
              <w:bottom w:w="30" w:type="dxa"/>
              <w:right w:w="20" w:type="dxa"/>
            </w:tcMar>
            <w:vAlign w:val="bottom"/>
            <w:hideMark/>
          </w:tcPr>
          <w:p w14:paraId="6C3F103B" w14:textId="77777777" w:rsidR="00000000" w:rsidRDefault="00405D16">
            <w:pPr>
              <w:spacing w:after="100"/>
              <w:jc w:val="center"/>
              <w:rPr>
                <w:rFonts w:eastAsia="Times New Roman"/>
              </w:rPr>
            </w:pPr>
            <w:hyperlink w:anchor="idd54a04a485440b4ab4e56094c14d612_460" w:history="1">
              <w:r>
                <w:rPr>
                  <w:rStyle w:val="a3"/>
                  <w:rFonts w:eastAsia="Times New Roman"/>
                  <w:color w:val="000000"/>
                  <w:sz w:val="20"/>
                  <w:szCs w:val="20"/>
                  <w:u w:val="none"/>
                </w:rPr>
                <w:t>132</w:t>
              </w:r>
            </w:hyperlink>
          </w:p>
        </w:tc>
      </w:tr>
      <w:tr w:rsidR="00000000" w14:paraId="053DD3CC" w14:textId="77777777">
        <w:trPr>
          <w:divId w:val="1143229174"/>
        </w:trPr>
        <w:tc>
          <w:tcPr>
            <w:tcW w:w="0" w:type="auto"/>
            <w:gridSpan w:val="3"/>
            <w:vAlign w:val="center"/>
            <w:hideMark/>
          </w:tcPr>
          <w:p w14:paraId="2B40D62D" w14:textId="77777777" w:rsidR="00000000" w:rsidRDefault="00405D16">
            <w:pPr>
              <w:spacing w:after="100"/>
              <w:jc w:val="center"/>
              <w:rPr>
                <w:rFonts w:eastAsia="Times New Roman"/>
              </w:rPr>
            </w:pPr>
          </w:p>
        </w:tc>
        <w:tc>
          <w:tcPr>
            <w:tcW w:w="0" w:type="auto"/>
            <w:gridSpan w:val="3"/>
            <w:vAlign w:val="center"/>
            <w:hideMark/>
          </w:tcPr>
          <w:p w14:paraId="7165373D" w14:textId="77777777" w:rsidR="00000000" w:rsidRDefault="00405D16">
            <w:pPr>
              <w:spacing w:after="100"/>
              <w:rPr>
                <w:rFonts w:eastAsia="Times New Roman"/>
                <w:sz w:val="20"/>
                <w:szCs w:val="20"/>
              </w:rPr>
            </w:pPr>
          </w:p>
        </w:tc>
        <w:tc>
          <w:tcPr>
            <w:tcW w:w="0" w:type="auto"/>
            <w:gridSpan w:val="3"/>
            <w:vAlign w:val="center"/>
            <w:hideMark/>
          </w:tcPr>
          <w:p w14:paraId="53051685" w14:textId="77777777" w:rsidR="00000000" w:rsidRDefault="00405D16">
            <w:pPr>
              <w:spacing w:after="100"/>
              <w:rPr>
                <w:rFonts w:eastAsia="Times New Roman"/>
                <w:sz w:val="20"/>
                <w:szCs w:val="20"/>
              </w:rPr>
            </w:pPr>
          </w:p>
        </w:tc>
      </w:tr>
      <w:tr w:rsidR="00000000" w14:paraId="11D64A84" w14:textId="77777777">
        <w:trPr>
          <w:divId w:val="1143229174"/>
          <w:trHeight w:val="280"/>
        </w:trPr>
        <w:tc>
          <w:tcPr>
            <w:tcW w:w="0" w:type="auto"/>
            <w:gridSpan w:val="3"/>
            <w:tcMar>
              <w:top w:w="0" w:type="dxa"/>
              <w:left w:w="20" w:type="dxa"/>
              <w:bottom w:w="0" w:type="dxa"/>
              <w:right w:w="20" w:type="dxa"/>
            </w:tcMar>
            <w:vAlign w:val="center"/>
            <w:hideMark/>
          </w:tcPr>
          <w:p w14:paraId="2FF2E6AB"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487F262"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6A5F49" w14:textId="77777777" w:rsidR="00000000" w:rsidRDefault="00405D16">
            <w:pPr>
              <w:spacing w:after="100"/>
              <w:rPr>
                <w:rFonts w:eastAsia="Times New Roman"/>
                <w:sz w:val="20"/>
                <w:szCs w:val="20"/>
              </w:rPr>
            </w:pPr>
          </w:p>
        </w:tc>
      </w:tr>
      <w:tr w:rsidR="00000000" w14:paraId="314CB6B1" w14:textId="77777777">
        <w:trPr>
          <w:divId w:val="1143229174"/>
        </w:trPr>
        <w:tc>
          <w:tcPr>
            <w:tcW w:w="0" w:type="auto"/>
            <w:gridSpan w:val="6"/>
            <w:tcMar>
              <w:top w:w="30" w:type="dxa"/>
              <w:left w:w="20" w:type="dxa"/>
              <w:bottom w:w="30" w:type="dxa"/>
              <w:right w:w="20" w:type="dxa"/>
            </w:tcMar>
            <w:vAlign w:val="bottom"/>
            <w:hideMark/>
          </w:tcPr>
          <w:p w14:paraId="64F55902" w14:textId="77777777" w:rsidR="00000000" w:rsidRDefault="00405D16">
            <w:pPr>
              <w:spacing w:after="100"/>
              <w:divId w:val="1396856574"/>
              <w:rPr>
                <w:rFonts w:eastAsia="Times New Roman"/>
              </w:rPr>
            </w:pPr>
            <w:hyperlink w:anchor="idd54a04a485440b4ab4e56094c14d612_463" w:history="1">
              <w:r>
                <w:rPr>
                  <w:rStyle w:val="a3"/>
                  <w:rFonts w:eastAsia="Times New Roman"/>
                  <w:b/>
                  <w:bCs/>
                  <w:color w:val="000000"/>
                  <w:sz w:val="20"/>
                  <w:szCs w:val="20"/>
                  <w:u w:val="none"/>
                </w:rPr>
                <w:t>PART II—OTHER INFORMATION</w:t>
              </w:r>
            </w:hyperlink>
          </w:p>
        </w:tc>
        <w:tc>
          <w:tcPr>
            <w:tcW w:w="0" w:type="auto"/>
            <w:gridSpan w:val="3"/>
            <w:tcMar>
              <w:top w:w="30" w:type="dxa"/>
              <w:left w:w="20" w:type="dxa"/>
              <w:bottom w:w="30" w:type="dxa"/>
              <w:right w:w="20" w:type="dxa"/>
            </w:tcMar>
            <w:vAlign w:val="bottom"/>
            <w:hideMark/>
          </w:tcPr>
          <w:p w14:paraId="33647E44" w14:textId="77777777" w:rsidR="00000000" w:rsidRDefault="00405D16">
            <w:pPr>
              <w:spacing w:after="100"/>
              <w:jc w:val="center"/>
              <w:rPr>
                <w:rFonts w:eastAsia="Times New Roman"/>
              </w:rPr>
            </w:pPr>
            <w:hyperlink w:anchor="idd54a04a485440b4ab4e56094c14d612_463" w:history="1">
              <w:r>
                <w:rPr>
                  <w:rStyle w:val="a3"/>
                  <w:rFonts w:eastAsia="Times New Roman"/>
                  <w:b/>
                  <w:bCs/>
                  <w:color w:val="000000"/>
                  <w:sz w:val="20"/>
                  <w:szCs w:val="20"/>
                  <w:u w:val="none"/>
                </w:rPr>
                <w:t>133</w:t>
              </w:r>
            </w:hyperlink>
          </w:p>
        </w:tc>
      </w:tr>
      <w:tr w:rsidR="00000000" w14:paraId="38103EF3" w14:textId="77777777">
        <w:trPr>
          <w:divId w:val="1143229174"/>
        </w:trPr>
        <w:tc>
          <w:tcPr>
            <w:tcW w:w="0" w:type="auto"/>
            <w:gridSpan w:val="3"/>
            <w:vAlign w:val="center"/>
            <w:hideMark/>
          </w:tcPr>
          <w:p w14:paraId="670982C9" w14:textId="77777777" w:rsidR="00000000" w:rsidRDefault="00405D16">
            <w:pPr>
              <w:spacing w:after="100"/>
              <w:jc w:val="center"/>
              <w:rPr>
                <w:rFonts w:eastAsia="Times New Roman"/>
              </w:rPr>
            </w:pPr>
          </w:p>
        </w:tc>
        <w:tc>
          <w:tcPr>
            <w:tcW w:w="0" w:type="auto"/>
            <w:gridSpan w:val="3"/>
            <w:vAlign w:val="center"/>
            <w:hideMark/>
          </w:tcPr>
          <w:p w14:paraId="72EB34BB" w14:textId="77777777" w:rsidR="00000000" w:rsidRDefault="00405D16">
            <w:pPr>
              <w:spacing w:after="100"/>
              <w:rPr>
                <w:rFonts w:eastAsia="Times New Roman"/>
                <w:sz w:val="20"/>
                <w:szCs w:val="20"/>
              </w:rPr>
            </w:pPr>
          </w:p>
        </w:tc>
        <w:tc>
          <w:tcPr>
            <w:tcW w:w="0" w:type="auto"/>
            <w:gridSpan w:val="3"/>
            <w:vAlign w:val="center"/>
            <w:hideMark/>
          </w:tcPr>
          <w:p w14:paraId="4452D05C" w14:textId="77777777" w:rsidR="00000000" w:rsidRDefault="00405D16">
            <w:pPr>
              <w:spacing w:after="100"/>
              <w:rPr>
                <w:rFonts w:eastAsia="Times New Roman"/>
                <w:sz w:val="20"/>
                <w:szCs w:val="20"/>
              </w:rPr>
            </w:pPr>
          </w:p>
        </w:tc>
      </w:tr>
      <w:tr w:rsidR="00000000" w14:paraId="46115AF6" w14:textId="77777777">
        <w:trPr>
          <w:divId w:val="1143229174"/>
        </w:trPr>
        <w:tc>
          <w:tcPr>
            <w:tcW w:w="0" w:type="auto"/>
            <w:gridSpan w:val="3"/>
            <w:vAlign w:val="center"/>
            <w:hideMark/>
          </w:tcPr>
          <w:p w14:paraId="624BCED6" w14:textId="77777777" w:rsidR="00000000" w:rsidRDefault="00405D16">
            <w:pPr>
              <w:spacing w:after="100"/>
              <w:rPr>
                <w:rFonts w:eastAsia="Times New Roman"/>
                <w:sz w:val="20"/>
                <w:szCs w:val="20"/>
              </w:rPr>
            </w:pPr>
          </w:p>
        </w:tc>
        <w:tc>
          <w:tcPr>
            <w:tcW w:w="0" w:type="auto"/>
            <w:gridSpan w:val="3"/>
            <w:vAlign w:val="center"/>
            <w:hideMark/>
          </w:tcPr>
          <w:p w14:paraId="114ACA6D" w14:textId="77777777" w:rsidR="00000000" w:rsidRDefault="00405D16">
            <w:pPr>
              <w:spacing w:after="100"/>
              <w:rPr>
                <w:rFonts w:eastAsia="Times New Roman"/>
                <w:sz w:val="20"/>
                <w:szCs w:val="20"/>
              </w:rPr>
            </w:pPr>
          </w:p>
        </w:tc>
        <w:tc>
          <w:tcPr>
            <w:tcW w:w="0" w:type="auto"/>
            <w:gridSpan w:val="3"/>
            <w:vAlign w:val="center"/>
            <w:hideMark/>
          </w:tcPr>
          <w:p w14:paraId="7D447389" w14:textId="77777777" w:rsidR="00000000" w:rsidRDefault="00405D16">
            <w:pPr>
              <w:spacing w:after="100"/>
              <w:rPr>
                <w:rFonts w:eastAsia="Times New Roman"/>
                <w:sz w:val="20"/>
                <w:szCs w:val="20"/>
              </w:rPr>
            </w:pPr>
          </w:p>
        </w:tc>
      </w:tr>
      <w:tr w:rsidR="00000000" w14:paraId="26AEE23A" w14:textId="77777777">
        <w:trPr>
          <w:divId w:val="1143229174"/>
        </w:trPr>
        <w:tc>
          <w:tcPr>
            <w:tcW w:w="0" w:type="auto"/>
            <w:gridSpan w:val="3"/>
            <w:vAlign w:val="center"/>
            <w:hideMark/>
          </w:tcPr>
          <w:p w14:paraId="22DB6384" w14:textId="77777777" w:rsidR="00000000" w:rsidRDefault="00405D16">
            <w:pPr>
              <w:spacing w:after="100"/>
              <w:rPr>
                <w:rFonts w:eastAsia="Times New Roman"/>
                <w:sz w:val="20"/>
                <w:szCs w:val="20"/>
              </w:rPr>
            </w:pPr>
          </w:p>
        </w:tc>
        <w:tc>
          <w:tcPr>
            <w:tcW w:w="0" w:type="auto"/>
            <w:gridSpan w:val="3"/>
            <w:vAlign w:val="center"/>
            <w:hideMark/>
          </w:tcPr>
          <w:p w14:paraId="558571C1" w14:textId="77777777" w:rsidR="00000000" w:rsidRDefault="00405D16">
            <w:pPr>
              <w:spacing w:after="100"/>
              <w:rPr>
                <w:rFonts w:eastAsia="Times New Roman"/>
                <w:sz w:val="20"/>
                <w:szCs w:val="20"/>
              </w:rPr>
            </w:pPr>
          </w:p>
        </w:tc>
        <w:tc>
          <w:tcPr>
            <w:tcW w:w="0" w:type="auto"/>
            <w:gridSpan w:val="3"/>
            <w:vAlign w:val="center"/>
            <w:hideMark/>
          </w:tcPr>
          <w:p w14:paraId="7B69D8CB" w14:textId="77777777" w:rsidR="00000000" w:rsidRDefault="00405D16">
            <w:pPr>
              <w:spacing w:after="100"/>
              <w:rPr>
                <w:rFonts w:eastAsia="Times New Roman"/>
                <w:sz w:val="20"/>
                <w:szCs w:val="20"/>
              </w:rPr>
            </w:pPr>
          </w:p>
        </w:tc>
      </w:tr>
      <w:tr w:rsidR="00000000" w14:paraId="3A3FD399" w14:textId="77777777">
        <w:trPr>
          <w:divId w:val="1143229174"/>
        </w:trPr>
        <w:tc>
          <w:tcPr>
            <w:tcW w:w="0" w:type="auto"/>
            <w:gridSpan w:val="3"/>
            <w:vAlign w:val="center"/>
            <w:hideMark/>
          </w:tcPr>
          <w:p w14:paraId="1E2995ED" w14:textId="77777777" w:rsidR="00000000" w:rsidRDefault="00405D16">
            <w:pPr>
              <w:spacing w:after="100"/>
              <w:rPr>
                <w:rFonts w:eastAsia="Times New Roman"/>
                <w:sz w:val="20"/>
                <w:szCs w:val="20"/>
              </w:rPr>
            </w:pPr>
          </w:p>
        </w:tc>
        <w:tc>
          <w:tcPr>
            <w:tcW w:w="0" w:type="auto"/>
            <w:gridSpan w:val="3"/>
            <w:vAlign w:val="center"/>
            <w:hideMark/>
          </w:tcPr>
          <w:p w14:paraId="3C696A2F" w14:textId="77777777" w:rsidR="00000000" w:rsidRDefault="00405D16">
            <w:pPr>
              <w:spacing w:after="100"/>
              <w:rPr>
                <w:rFonts w:eastAsia="Times New Roman"/>
                <w:sz w:val="20"/>
                <w:szCs w:val="20"/>
              </w:rPr>
            </w:pPr>
          </w:p>
        </w:tc>
        <w:tc>
          <w:tcPr>
            <w:tcW w:w="0" w:type="auto"/>
            <w:gridSpan w:val="3"/>
            <w:vAlign w:val="center"/>
            <w:hideMark/>
          </w:tcPr>
          <w:p w14:paraId="331B52AF" w14:textId="77777777" w:rsidR="00000000" w:rsidRDefault="00405D16">
            <w:pPr>
              <w:spacing w:after="100"/>
              <w:rPr>
                <w:rFonts w:eastAsia="Times New Roman"/>
                <w:sz w:val="20"/>
                <w:szCs w:val="20"/>
              </w:rPr>
            </w:pPr>
          </w:p>
        </w:tc>
      </w:tr>
      <w:tr w:rsidR="00000000" w14:paraId="4E7F82E6" w14:textId="77777777">
        <w:trPr>
          <w:divId w:val="1143229174"/>
        </w:trPr>
        <w:tc>
          <w:tcPr>
            <w:tcW w:w="0" w:type="auto"/>
            <w:gridSpan w:val="3"/>
            <w:vAlign w:val="center"/>
            <w:hideMark/>
          </w:tcPr>
          <w:p w14:paraId="3DA56E1F" w14:textId="77777777" w:rsidR="00000000" w:rsidRDefault="00405D16">
            <w:pPr>
              <w:spacing w:after="100"/>
              <w:rPr>
                <w:rFonts w:eastAsia="Times New Roman"/>
                <w:sz w:val="20"/>
                <w:szCs w:val="20"/>
              </w:rPr>
            </w:pPr>
          </w:p>
        </w:tc>
        <w:tc>
          <w:tcPr>
            <w:tcW w:w="0" w:type="auto"/>
            <w:gridSpan w:val="3"/>
            <w:vAlign w:val="center"/>
            <w:hideMark/>
          </w:tcPr>
          <w:p w14:paraId="0E7E776D" w14:textId="77777777" w:rsidR="00000000" w:rsidRDefault="00405D16">
            <w:pPr>
              <w:spacing w:after="100"/>
              <w:rPr>
                <w:rFonts w:eastAsia="Times New Roman"/>
                <w:sz w:val="20"/>
                <w:szCs w:val="20"/>
              </w:rPr>
            </w:pPr>
          </w:p>
        </w:tc>
        <w:tc>
          <w:tcPr>
            <w:tcW w:w="0" w:type="auto"/>
            <w:gridSpan w:val="3"/>
            <w:vAlign w:val="center"/>
            <w:hideMark/>
          </w:tcPr>
          <w:p w14:paraId="24B8541C" w14:textId="77777777" w:rsidR="00000000" w:rsidRDefault="00405D16">
            <w:pPr>
              <w:spacing w:after="100"/>
              <w:rPr>
                <w:rFonts w:eastAsia="Times New Roman"/>
                <w:sz w:val="20"/>
                <w:szCs w:val="20"/>
              </w:rPr>
            </w:pPr>
          </w:p>
        </w:tc>
      </w:tr>
      <w:tr w:rsidR="00000000" w14:paraId="4B56DC93" w14:textId="77777777">
        <w:trPr>
          <w:divId w:val="1143229174"/>
        </w:trPr>
        <w:tc>
          <w:tcPr>
            <w:tcW w:w="0" w:type="auto"/>
            <w:gridSpan w:val="3"/>
            <w:tcMar>
              <w:top w:w="30" w:type="dxa"/>
              <w:left w:w="20" w:type="dxa"/>
              <w:bottom w:w="30" w:type="dxa"/>
              <w:right w:w="20" w:type="dxa"/>
            </w:tcMar>
            <w:vAlign w:val="center"/>
            <w:hideMark/>
          </w:tcPr>
          <w:p w14:paraId="0CCD8B66" w14:textId="77777777" w:rsidR="00000000" w:rsidRDefault="00405D16">
            <w:pPr>
              <w:spacing w:after="100"/>
              <w:divId w:val="1577740232"/>
              <w:rPr>
                <w:rFonts w:eastAsia="Times New Roman"/>
              </w:rPr>
            </w:pPr>
            <w:hyperlink w:anchor="idd54a04a485440b4ab4e56094c14d612_466" w:history="1">
              <w:r>
                <w:rPr>
                  <w:rStyle w:val="a3"/>
                  <w:rFonts w:eastAsia="Times New Roman"/>
                  <w:color w:val="000000"/>
                  <w:sz w:val="20"/>
                  <w:szCs w:val="20"/>
                  <w:u w:val="none"/>
                </w:rPr>
                <w:t>Item 1.</w:t>
              </w:r>
            </w:hyperlink>
          </w:p>
        </w:tc>
        <w:tc>
          <w:tcPr>
            <w:tcW w:w="0" w:type="auto"/>
            <w:gridSpan w:val="3"/>
            <w:tcMar>
              <w:top w:w="30" w:type="dxa"/>
              <w:left w:w="20" w:type="dxa"/>
              <w:bottom w:w="30" w:type="dxa"/>
              <w:right w:w="20" w:type="dxa"/>
            </w:tcMar>
            <w:vAlign w:val="bottom"/>
            <w:hideMark/>
          </w:tcPr>
          <w:p w14:paraId="4469735D" w14:textId="77777777" w:rsidR="00000000" w:rsidRDefault="00405D16">
            <w:pPr>
              <w:spacing w:after="100"/>
              <w:divId w:val="61492847"/>
              <w:rPr>
                <w:rFonts w:eastAsia="Times New Roman"/>
              </w:rPr>
            </w:pPr>
            <w:hyperlink w:anchor="idd54a04a485440b4ab4e56094c14d612_466" w:history="1">
              <w:r>
                <w:rPr>
                  <w:rStyle w:val="a3"/>
                  <w:rFonts w:eastAsia="Times New Roman"/>
                  <w:color w:val="000000"/>
                  <w:sz w:val="20"/>
                  <w:szCs w:val="20"/>
                  <w:u w:val="none"/>
                </w:rPr>
                <w:t>Legal Proceedings</w:t>
              </w:r>
            </w:hyperlink>
          </w:p>
        </w:tc>
        <w:tc>
          <w:tcPr>
            <w:tcW w:w="0" w:type="auto"/>
            <w:gridSpan w:val="3"/>
            <w:tcMar>
              <w:top w:w="30" w:type="dxa"/>
              <w:left w:w="20" w:type="dxa"/>
              <w:bottom w:w="30" w:type="dxa"/>
              <w:right w:w="20" w:type="dxa"/>
            </w:tcMar>
            <w:vAlign w:val="bottom"/>
            <w:hideMark/>
          </w:tcPr>
          <w:p w14:paraId="1C7B902D" w14:textId="77777777" w:rsidR="00000000" w:rsidRDefault="00405D16">
            <w:pPr>
              <w:spacing w:after="100"/>
              <w:jc w:val="center"/>
              <w:rPr>
                <w:rFonts w:eastAsia="Times New Roman"/>
              </w:rPr>
            </w:pPr>
            <w:hyperlink w:anchor="idd54a04a485440b4ab4e56094c14d612_466" w:history="1">
              <w:r>
                <w:rPr>
                  <w:rStyle w:val="a3"/>
                  <w:rFonts w:eastAsia="Times New Roman"/>
                  <w:color w:val="000000"/>
                  <w:sz w:val="20"/>
                  <w:szCs w:val="20"/>
                  <w:u w:val="none"/>
                </w:rPr>
                <w:t>133</w:t>
              </w:r>
            </w:hyperlink>
          </w:p>
        </w:tc>
      </w:tr>
      <w:tr w:rsidR="00000000" w14:paraId="3450C7B1" w14:textId="77777777">
        <w:trPr>
          <w:divId w:val="1143229174"/>
        </w:trPr>
        <w:tc>
          <w:tcPr>
            <w:tcW w:w="0" w:type="auto"/>
            <w:gridSpan w:val="3"/>
            <w:tcMar>
              <w:top w:w="30" w:type="dxa"/>
              <w:left w:w="20" w:type="dxa"/>
              <w:bottom w:w="30" w:type="dxa"/>
              <w:right w:w="20" w:type="dxa"/>
            </w:tcMar>
            <w:vAlign w:val="center"/>
            <w:hideMark/>
          </w:tcPr>
          <w:p w14:paraId="5E58BF27" w14:textId="77777777" w:rsidR="00000000" w:rsidRDefault="00405D16">
            <w:pPr>
              <w:spacing w:after="100"/>
              <w:divId w:val="577323774"/>
              <w:rPr>
                <w:rFonts w:eastAsia="Times New Roman"/>
              </w:rPr>
            </w:pPr>
            <w:hyperlink w:anchor="idd54a04a485440b4ab4e56094c14d612_469" w:history="1">
              <w:r>
                <w:rPr>
                  <w:rStyle w:val="a3"/>
                  <w:rFonts w:eastAsia="Times New Roman"/>
                  <w:color w:val="000000"/>
                  <w:sz w:val="20"/>
                  <w:szCs w:val="20"/>
                  <w:u w:val="none"/>
                </w:rPr>
                <w:t>Item 1A.</w:t>
              </w:r>
            </w:hyperlink>
          </w:p>
        </w:tc>
        <w:tc>
          <w:tcPr>
            <w:tcW w:w="0" w:type="auto"/>
            <w:gridSpan w:val="3"/>
            <w:tcMar>
              <w:top w:w="30" w:type="dxa"/>
              <w:left w:w="20" w:type="dxa"/>
              <w:bottom w:w="30" w:type="dxa"/>
              <w:right w:w="20" w:type="dxa"/>
            </w:tcMar>
            <w:vAlign w:val="bottom"/>
            <w:hideMark/>
          </w:tcPr>
          <w:p w14:paraId="0DAA2D83" w14:textId="77777777" w:rsidR="00000000" w:rsidRDefault="00405D16">
            <w:pPr>
              <w:spacing w:after="100"/>
              <w:divId w:val="517546855"/>
              <w:rPr>
                <w:rFonts w:eastAsia="Times New Roman"/>
              </w:rPr>
            </w:pPr>
            <w:hyperlink w:anchor="idd54a04a485440b4ab4e56094c14d612_469" w:history="1">
              <w:r>
                <w:rPr>
                  <w:rStyle w:val="a3"/>
                  <w:rFonts w:eastAsia="Times New Roman"/>
                  <w:color w:val="000000"/>
                  <w:sz w:val="20"/>
                  <w:szCs w:val="20"/>
                  <w:u w:val="none"/>
                </w:rPr>
                <w:t>Risk Factors</w:t>
              </w:r>
            </w:hyperlink>
          </w:p>
        </w:tc>
        <w:tc>
          <w:tcPr>
            <w:tcW w:w="0" w:type="auto"/>
            <w:gridSpan w:val="3"/>
            <w:tcMar>
              <w:top w:w="30" w:type="dxa"/>
              <w:left w:w="20" w:type="dxa"/>
              <w:bottom w:w="30" w:type="dxa"/>
              <w:right w:w="20" w:type="dxa"/>
            </w:tcMar>
            <w:vAlign w:val="bottom"/>
            <w:hideMark/>
          </w:tcPr>
          <w:p w14:paraId="54A0B51C" w14:textId="77777777" w:rsidR="00000000" w:rsidRDefault="00405D16">
            <w:pPr>
              <w:spacing w:after="100"/>
              <w:jc w:val="center"/>
              <w:rPr>
                <w:rFonts w:eastAsia="Times New Roman"/>
              </w:rPr>
            </w:pPr>
            <w:hyperlink w:anchor="idd54a04a485440b4ab4e56094c14d612_469" w:history="1">
              <w:r>
                <w:rPr>
                  <w:rStyle w:val="a3"/>
                  <w:rFonts w:eastAsia="Times New Roman"/>
                  <w:color w:val="000000"/>
                  <w:sz w:val="20"/>
                  <w:szCs w:val="20"/>
                  <w:u w:val="none"/>
                </w:rPr>
                <w:t>133</w:t>
              </w:r>
            </w:hyperlink>
          </w:p>
        </w:tc>
      </w:tr>
      <w:tr w:rsidR="00000000" w14:paraId="6C0C2805" w14:textId="77777777">
        <w:trPr>
          <w:divId w:val="1143229174"/>
        </w:trPr>
        <w:tc>
          <w:tcPr>
            <w:tcW w:w="0" w:type="auto"/>
            <w:gridSpan w:val="3"/>
            <w:tcMar>
              <w:top w:w="30" w:type="dxa"/>
              <w:left w:w="20" w:type="dxa"/>
              <w:bottom w:w="30" w:type="dxa"/>
              <w:right w:w="20" w:type="dxa"/>
            </w:tcMar>
            <w:vAlign w:val="center"/>
            <w:hideMark/>
          </w:tcPr>
          <w:p w14:paraId="1A09A6F2" w14:textId="77777777" w:rsidR="00000000" w:rsidRDefault="00405D16">
            <w:pPr>
              <w:spacing w:after="100"/>
              <w:divId w:val="1169102979"/>
              <w:rPr>
                <w:rFonts w:eastAsia="Times New Roman"/>
              </w:rPr>
            </w:pPr>
            <w:hyperlink w:anchor="idd54a04a485440b4ab4e56094c14d612_472" w:history="1">
              <w:r>
                <w:rPr>
                  <w:rStyle w:val="a3"/>
                  <w:rFonts w:eastAsia="Times New Roman"/>
                  <w:color w:val="000000"/>
                  <w:sz w:val="20"/>
                  <w:szCs w:val="20"/>
                  <w:u w:val="none"/>
                </w:rPr>
                <w:t>Item 2.</w:t>
              </w:r>
            </w:hyperlink>
          </w:p>
        </w:tc>
        <w:tc>
          <w:tcPr>
            <w:tcW w:w="0" w:type="auto"/>
            <w:gridSpan w:val="3"/>
            <w:tcMar>
              <w:top w:w="30" w:type="dxa"/>
              <w:left w:w="20" w:type="dxa"/>
              <w:bottom w:w="30" w:type="dxa"/>
              <w:right w:w="20" w:type="dxa"/>
            </w:tcMar>
            <w:vAlign w:val="bottom"/>
            <w:hideMark/>
          </w:tcPr>
          <w:p w14:paraId="7F565CFD" w14:textId="77777777" w:rsidR="00000000" w:rsidRDefault="00405D16">
            <w:pPr>
              <w:spacing w:after="100"/>
              <w:divId w:val="1860002411"/>
              <w:rPr>
                <w:rFonts w:eastAsia="Times New Roman"/>
              </w:rPr>
            </w:pPr>
            <w:hyperlink w:anchor="idd54a04a485440b4ab4e56094c14d612_472" w:history="1">
              <w:r>
                <w:rPr>
                  <w:rStyle w:val="a3"/>
                  <w:rFonts w:eastAsia="Times New Roman"/>
                  <w:color w:val="000000"/>
                  <w:sz w:val="20"/>
                  <w:szCs w:val="20"/>
                  <w:u w:val="none"/>
                </w:rPr>
                <w:t>Unregistered Sales of Equity Securities and Use of Proceeds</w:t>
              </w:r>
            </w:hyperlink>
          </w:p>
        </w:tc>
        <w:tc>
          <w:tcPr>
            <w:tcW w:w="0" w:type="auto"/>
            <w:gridSpan w:val="3"/>
            <w:tcMar>
              <w:top w:w="30" w:type="dxa"/>
              <w:left w:w="20" w:type="dxa"/>
              <w:bottom w:w="30" w:type="dxa"/>
              <w:right w:w="20" w:type="dxa"/>
            </w:tcMar>
            <w:vAlign w:val="bottom"/>
            <w:hideMark/>
          </w:tcPr>
          <w:p w14:paraId="2F3A5644" w14:textId="77777777" w:rsidR="00000000" w:rsidRDefault="00405D16">
            <w:pPr>
              <w:spacing w:after="100"/>
              <w:jc w:val="center"/>
              <w:rPr>
                <w:rFonts w:eastAsia="Times New Roman"/>
              </w:rPr>
            </w:pPr>
            <w:hyperlink w:anchor="idd54a04a485440b4ab4e56094c14d612_472" w:history="1">
              <w:r>
                <w:rPr>
                  <w:rStyle w:val="a3"/>
                  <w:rFonts w:eastAsia="Times New Roman"/>
                  <w:color w:val="000000"/>
                  <w:sz w:val="20"/>
                  <w:szCs w:val="20"/>
                  <w:u w:val="none"/>
                </w:rPr>
                <w:t>133</w:t>
              </w:r>
            </w:hyperlink>
          </w:p>
        </w:tc>
      </w:tr>
      <w:tr w:rsidR="00000000" w14:paraId="69BE5708" w14:textId="77777777">
        <w:trPr>
          <w:divId w:val="1143229174"/>
        </w:trPr>
        <w:tc>
          <w:tcPr>
            <w:tcW w:w="0" w:type="auto"/>
            <w:gridSpan w:val="3"/>
            <w:tcMar>
              <w:top w:w="30" w:type="dxa"/>
              <w:left w:w="20" w:type="dxa"/>
              <w:bottom w:w="30" w:type="dxa"/>
              <w:right w:w="20" w:type="dxa"/>
            </w:tcMar>
            <w:vAlign w:val="center"/>
            <w:hideMark/>
          </w:tcPr>
          <w:p w14:paraId="2968464C" w14:textId="77777777" w:rsidR="00000000" w:rsidRDefault="00405D16">
            <w:pPr>
              <w:spacing w:after="100"/>
              <w:divId w:val="1480731221"/>
              <w:rPr>
                <w:rFonts w:eastAsia="Times New Roman"/>
              </w:rPr>
            </w:pPr>
            <w:hyperlink w:anchor="idd54a04a485440b4ab4e56094c14d612_475" w:history="1">
              <w:r>
                <w:rPr>
                  <w:rStyle w:val="a3"/>
                  <w:rFonts w:eastAsia="Times New Roman"/>
                  <w:color w:val="000000"/>
                  <w:sz w:val="20"/>
                  <w:szCs w:val="20"/>
                  <w:u w:val="none"/>
                </w:rPr>
                <w:t>Item 3.</w:t>
              </w:r>
            </w:hyperlink>
          </w:p>
        </w:tc>
        <w:tc>
          <w:tcPr>
            <w:tcW w:w="0" w:type="auto"/>
            <w:gridSpan w:val="3"/>
            <w:tcMar>
              <w:top w:w="30" w:type="dxa"/>
              <w:left w:w="20" w:type="dxa"/>
              <w:bottom w:w="30" w:type="dxa"/>
              <w:right w:w="20" w:type="dxa"/>
            </w:tcMar>
            <w:vAlign w:val="bottom"/>
            <w:hideMark/>
          </w:tcPr>
          <w:p w14:paraId="205D9C77" w14:textId="77777777" w:rsidR="00000000" w:rsidRDefault="00405D16">
            <w:pPr>
              <w:spacing w:after="100"/>
              <w:divId w:val="366950463"/>
              <w:rPr>
                <w:rFonts w:eastAsia="Times New Roman"/>
              </w:rPr>
            </w:pPr>
            <w:hyperlink w:anchor="idd54a04a485440b4ab4e56094c14d612_475" w:history="1">
              <w:r>
                <w:rPr>
                  <w:rStyle w:val="a3"/>
                  <w:rFonts w:eastAsia="Times New Roman"/>
                  <w:color w:val="000000"/>
                  <w:sz w:val="20"/>
                  <w:szCs w:val="20"/>
                  <w:u w:val="none"/>
                </w:rPr>
                <w:t>Defaults Upon Senior Securities</w:t>
              </w:r>
            </w:hyperlink>
          </w:p>
        </w:tc>
        <w:tc>
          <w:tcPr>
            <w:tcW w:w="0" w:type="auto"/>
            <w:gridSpan w:val="3"/>
            <w:tcMar>
              <w:top w:w="30" w:type="dxa"/>
              <w:left w:w="20" w:type="dxa"/>
              <w:bottom w:w="30" w:type="dxa"/>
              <w:right w:w="20" w:type="dxa"/>
            </w:tcMar>
            <w:vAlign w:val="bottom"/>
            <w:hideMark/>
          </w:tcPr>
          <w:p w14:paraId="42484651" w14:textId="77777777" w:rsidR="00000000" w:rsidRDefault="00405D16">
            <w:pPr>
              <w:spacing w:after="100"/>
              <w:jc w:val="center"/>
              <w:rPr>
                <w:rFonts w:eastAsia="Times New Roman"/>
              </w:rPr>
            </w:pPr>
            <w:hyperlink w:anchor="idd54a04a485440b4ab4e56094c14d612_475" w:history="1">
              <w:r>
                <w:rPr>
                  <w:rStyle w:val="a3"/>
                  <w:rFonts w:eastAsia="Times New Roman"/>
                  <w:color w:val="000000"/>
                  <w:sz w:val="20"/>
                  <w:szCs w:val="20"/>
                  <w:u w:val="none"/>
                </w:rPr>
                <w:t>133</w:t>
              </w:r>
            </w:hyperlink>
          </w:p>
        </w:tc>
      </w:tr>
      <w:tr w:rsidR="00000000" w14:paraId="7ECF17BB" w14:textId="77777777">
        <w:trPr>
          <w:divId w:val="1143229174"/>
        </w:trPr>
        <w:tc>
          <w:tcPr>
            <w:tcW w:w="0" w:type="auto"/>
            <w:gridSpan w:val="3"/>
            <w:tcMar>
              <w:top w:w="30" w:type="dxa"/>
              <w:left w:w="20" w:type="dxa"/>
              <w:bottom w:w="30" w:type="dxa"/>
              <w:right w:w="20" w:type="dxa"/>
            </w:tcMar>
            <w:vAlign w:val="center"/>
            <w:hideMark/>
          </w:tcPr>
          <w:p w14:paraId="461DC44B" w14:textId="77777777" w:rsidR="00000000" w:rsidRDefault="00405D16">
            <w:pPr>
              <w:spacing w:after="100"/>
              <w:divId w:val="1772432620"/>
              <w:rPr>
                <w:rFonts w:eastAsia="Times New Roman"/>
              </w:rPr>
            </w:pPr>
            <w:hyperlink w:anchor="idd54a04a485440b4ab4e56094c14d612_478" w:history="1">
              <w:r>
                <w:rPr>
                  <w:rStyle w:val="a3"/>
                  <w:rFonts w:eastAsia="Times New Roman"/>
                  <w:color w:val="000000"/>
                  <w:sz w:val="20"/>
                  <w:szCs w:val="20"/>
                  <w:u w:val="none"/>
                </w:rPr>
                <w:t>Item 4.</w:t>
              </w:r>
            </w:hyperlink>
          </w:p>
        </w:tc>
        <w:tc>
          <w:tcPr>
            <w:tcW w:w="0" w:type="auto"/>
            <w:gridSpan w:val="3"/>
            <w:tcMar>
              <w:top w:w="30" w:type="dxa"/>
              <w:left w:w="20" w:type="dxa"/>
              <w:bottom w:w="30" w:type="dxa"/>
              <w:right w:w="20" w:type="dxa"/>
            </w:tcMar>
            <w:vAlign w:val="bottom"/>
            <w:hideMark/>
          </w:tcPr>
          <w:p w14:paraId="7F004AC8" w14:textId="77777777" w:rsidR="00000000" w:rsidRDefault="00405D16">
            <w:pPr>
              <w:spacing w:after="100"/>
              <w:divId w:val="1568227307"/>
              <w:rPr>
                <w:rFonts w:eastAsia="Times New Roman"/>
              </w:rPr>
            </w:pPr>
            <w:hyperlink w:anchor="idd54a04a485440b4ab4e56094c14d612_478" w:history="1">
              <w:r>
                <w:rPr>
                  <w:rStyle w:val="a3"/>
                  <w:rFonts w:eastAsia="Times New Roman"/>
                  <w:color w:val="000000"/>
                  <w:sz w:val="20"/>
                  <w:szCs w:val="20"/>
                  <w:u w:val="none"/>
                </w:rPr>
                <w:t>Mine Safety Disclosures</w:t>
              </w:r>
            </w:hyperlink>
          </w:p>
        </w:tc>
        <w:tc>
          <w:tcPr>
            <w:tcW w:w="0" w:type="auto"/>
            <w:gridSpan w:val="3"/>
            <w:tcMar>
              <w:top w:w="30" w:type="dxa"/>
              <w:left w:w="20" w:type="dxa"/>
              <w:bottom w:w="30" w:type="dxa"/>
              <w:right w:w="20" w:type="dxa"/>
            </w:tcMar>
            <w:vAlign w:val="bottom"/>
            <w:hideMark/>
          </w:tcPr>
          <w:p w14:paraId="4941DD2E" w14:textId="77777777" w:rsidR="00000000" w:rsidRDefault="00405D16">
            <w:pPr>
              <w:spacing w:after="100"/>
              <w:jc w:val="center"/>
              <w:rPr>
                <w:rFonts w:eastAsia="Times New Roman"/>
              </w:rPr>
            </w:pPr>
            <w:hyperlink w:anchor="idd54a04a485440b4ab4e56094c14d612_478" w:history="1">
              <w:r>
                <w:rPr>
                  <w:rStyle w:val="a3"/>
                  <w:rFonts w:eastAsia="Times New Roman"/>
                  <w:color w:val="000000"/>
                  <w:sz w:val="20"/>
                  <w:szCs w:val="20"/>
                  <w:u w:val="none"/>
                </w:rPr>
                <w:t>133</w:t>
              </w:r>
            </w:hyperlink>
          </w:p>
        </w:tc>
      </w:tr>
      <w:tr w:rsidR="00000000" w14:paraId="57C5BF4B" w14:textId="77777777">
        <w:trPr>
          <w:divId w:val="1143229174"/>
        </w:trPr>
        <w:tc>
          <w:tcPr>
            <w:tcW w:w="0" w:type="auto"/>
            <w:gridSpan w:val="3"/>
            <w:tcMar>
              <w:top w:w="30" w:type="dxa"/>
              <w:left w:w="20" w:type="dxa"/>
              <w:bottom w:w="30" w:type="dxa"/>
              <w:right w:w="20" w:type="dxa"/>
            </w:tcMar>
            <w:vAlign w:val="center"/>
            <w:hideMark/>
          </w:tcPr>
          <w:p w14:paraId="69CE61F5" w14:textId="77777777" w:rsidR="00000000" w:rsidRDefault="00405D16">
            <w:pPr>
              <w:spacing w:after="100"/>
              <w:divId w:val="1055474320"/>
              <w:rPr>
                <w:rFonts w:eastAsia="Times New Roman"/>
              </w:rPr>
            </w:pPr>
            <w:hyperlink w:anchor="idd54a04a485440b4ab4e56094c14d612_481" w:history="1">
              <w:r>
                <w:rPr>
                  <w:rStyle w:val="a3"/>
                  <w:rFonts w:eastAsia="Times New Roman"/>
                  <w:color w:val="000000"/>
                  <w:sz w:val="20"/>
                  <w:szCs w:val="20"/>
                  <w:u w:val="none"/>
                </w:rPr>
                <w:t>Item 5.</w:t>
              </w:r>
            </w:hyperlink>
          </w:p>
        </w:tc>
        <w:tc>
          <w:tcPr>
            <w:tcW w:w="0" w:type="auto"/>
            <w:gridSpan w:val="3"/>
            <w:tcMar>
              <w:top w:w="30" w:type="dxa"/>
              <w:left w:w="20" w:type="dxa"/>
              <w:bottom w:w="30" w:type="dxa"/>
              <w:right w:w="20" w:type="dxa"/>
            </w:tcMar>
            <w:vAlign w:val="bottom"/>
            <w:hideMark/>
          </w:tcPr>
          <w:p w14:paraId="2D90EC1E" w14:textId="77777777" w:rsidR="00000000" w:rsidRDefault="00405D16">
            <w:pPr>
              <w:spacing w:after="100"/>
              <w:divId w:val="662860002"/>
              <w:rPr>
                <w:rFonts w:eastAsia="Times New Roman"/>
              </w:rPr>
            </w:pPr>
            <w:hyperlink w:anchor="idd54a04a485440b4ab4e56094c14d612_481" w:history="1">
              <w:r>
                <w:rPr>
                  <w:rStyle w:val="a3"/>
                  <w:rFonts w:eastAsia="Times New Roman"/>
                  <w:color w:val="000000"/>
                  <w:sz w:val="20"/>
                  <w:szCs w:val="20"/>
                  <w:u w:val="none"/>
                </w:rPr>
                <w:t>Other Information</w:t>
              </w:r>
            </w:hyperlink>
          </w:p>
        </w:tc>
        <w:tc>
          <w:tcPr>
            <w:tcW w:w="0" w:type="auto"/>
            <w:gridSpan w:val="3"/>
            <w:tcMar>
              <w:top w:w="30" w:type="dxa"/>
              <w:left w:w="20" w:type="dxa"/>
              <w:bottom w:w="30" w:type="dxa"/>
              <w:right w:w="20" w:type="dxa"/>
            </w:tcMar>
            <w:vAlign w:val="bottom"/>
            <w:hideMark/>
          </w:tcPr>
          <w:p w14:paraId="2BBEF4E5" w14:textId="77777777" w:rsidR="00000000" w:rsidRDefault="00405D16">
            <w:pPr>
              <w:spacing w:after="100"/>
              <w:jc w:val="center"/>
              <w:rPr>
                <w:rFonts w:eastAsia="Times New Roman"/>
              </w:rPr>
            </w:pPr>
            <w:hyperlink w:anchor="idd54a04a485440b4ab4e56094c14d612_481" w:history="1">
              <w:r>
                <w:rPr>
                  <w:rStyle w:val="a3"/>
                  <w:rFonts w:eastAsia="Times New Roman"/>
                  <w:color w:val="000000"/>
                  <w:sz w:val="20"/>
                  <w:szCs w:val="20"/>
                  <w:u w:val="none"/>
                </w:rPr>
                <w:t>133</w:t>
              </w:r>
            </w:hyperlink>
          </w:p>
        </w:tc>
      </w:tr>
      <w:tr w:rsidR="00000000" w14:paraId="142DE0E5" w14:textId="77777777">
        <w:trPr>
          <w:divId w:val="1143229174"/>
        </w:trPr>
        <w:tc>
          <w:tcPr>
            <w:tcW w:w="0" w:type="auto"/>
            <w:gridSpan w:val="3"/>
            <w:tcMar>
              <w:top w:w="30" w:type="dxa"/>
              <w:left w:w="20" w:type="dxa"/>
              <w:bottom w:w="30" w:type="dxa"/>
              <w:right w:w="20" w:type="dxa"/>
            </w:tcMar>
            <w:vAlign w:val="center"/>
            <w:hideMark/>
          </w:tcPr>
          <w:p w14:paraId="584892BC" w14:textId="77777777" w:rsidR="00000000" w:rsidRDefault="00405D16">
            <w:pPr>
              <w:spacing w:after="100"/>
              <w:divId w:val="895552254"/>
              <w:rPr>
                <w:rFonts w:eastAsia="Times New Roman"/>
              </w:rPr>
            </w:pPr>
            <w:hyperlink w:anchor="idd54a04a485440b4ab4e56094c14d612_484" w:history="1">
              <w:r>
                <w:rPr>
                  <w:rStyle w:val="a3"/>
                  <w:rFonts w:eastAsia="Times New Roman"/>
                  <w:color w:val="000000"/>
                  <w:sz w:val="20"/>
                  <w:szCs w:val="20"/>
                  <w:u w:val="none"/>
                </w:rPr>
                <w:t>Item 6.</w:t>
              </w:r>
            </w:hyperlink>
          </w:p>
        </w:tc>
        <w:tc>
          <w:tcPr>
            <w:tcW w:w="0" w:type="auto"/>
            <w:gridSpan w:val="3"/>
            <w:tcMar>
              <w:top w:w="30" w:type="dxa"/>
              <w:left w:w="20" w:type="dxa"/>
              <w:bottom w:w="30" w:type="dxa"/>
              <w:right w:w="20" w:type="dxa"/>
            </w:tcMar>
            <w:vAlign w:val="bottom"/>
            <w:hideMark/>
          </w:tcPr>
          <w:p w14:paraId="7332251D" w14:textId="77777777" w:rsidR="00000000" w:rsidRDefault="00405D16">
            <w:pPr>
              <w:spacing w:after="100"/>
              <w:divId w:val="847791019"/>
              <w:rPr>
                <w:rFonts w:eastAsia="Times New Roman"/>
              </w:rPr>
            </w:pPr>
            <w:hyperlink w:anchor="idd54a04a485440b4ab4e56094c14d612_484" w:history="1">
              <w:r>
                <w:rPr>
                  <w:rStyle w:val="a3"/>
                  <w:rFonts w:eastAsia="Times New Roman"/>
                  <w:color w:val="000000"/>
                  <w:sz w:val="20"/>
                  <w:szCs w:val="20"/>
                  <w:u w:val="none"/>
                </w:rPr>
                <w:t>Exhibits</w:t>
              </w:r>
            </w:hyperlink>
          </w:p>
        </w:tc>
        <w:tc>
          <w:tcPr>
            <w:tcW w:w="0" w:type="auto"/>
            <w:gridSpan w:val="3"/>
            <w:tcMar>
              <w:top w:w="30" w:type="dxa"/>
              <w:left w:w="20" w:type="dxa"/>
              <w:bottom w:w="30" w:type="dxa"/>
              <w:right w:w="20" w:type="dxa"/>
            </w:tcMar>
            <w:vAlign w:val="bottom"/>
            <w:hideMark/>
          </w:tcPr>
          <w:p w14:paraId="65C6BC2C" w14:textId="77777777" w:rsidR="00000000" w:rsidRDefault="00405D16">
            <w:pPr>
              <w:spacing w:after="100"/>
              <w:jc w:val="center"/>
              <w:rPr>
                <w:rFonts w:eastAsia="Times New Roman"/>
              </w:rPr>
            </w:pPr>
            <w:hyperlink w:anchor="idd54a04a485440b4ab4e56094c14d612_484" w:history="1">
              <w:r>
                <w:rPr>
                  <w:rStyle w:val="a3"/>
                  <w:rFonts w:eastAsia="Times New Roman"/>
                  <w:color w:val="000000"/>
                  <w:sz w:val="20"/>
                  <w:szCs w:val="20"/>
                  <w:u w:val="none"/>
                </w:rPr>
                <w:t>133</w:t>
              </w:r>
            </w:hyperlink>
          </w:p>
        </w:tc>
      </w:tr>
      <w:tr w:rsidR="00000000" w14:paraId="0AF5E5A7" w14:textId="77777777">
        <w:trPr>
          <w:divId w:val="1143229174"/>
          <w:trHeight w:val="280"/>
        </w:trPr>
        <w:tc>
          <w:tcPr>
            <w:tcW w:w="0" w:type="auto"/>
            <w:gridSpan w:val="3"/>
            <w:tcMar>
              <w:top w:w="0" w:type="dxa"/>
              <w:left w:w="20" w:type="dxa"/>
              <w:bottom w:w="0" w:type="dxa"/>
              <w:right w:w="20" w:type="dxa"/>
            </w:tcMar>
            <w:vAlign w:val="center"/>
            <w:hideMark/>
          </w:tcPr>
          <w:p w14:paraId="3F195CCD" w14:textId="77777777" w:rsidR="00000000" w:rsidRDefault="00405D1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B09F35F"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CA679D" w14:textId="77777777" w:rsidR="00000000" w:rsidRDefault="00405D16">
            <w:pPr>
              <w:spacing w:after="100"/>
              <w:rPr>
                <w:rFonts w:eastAsia="Times New Roman"/>
                <w:sz w:val="20"/>
                <w:szCs w:val="20"/>
              </w:rPr>
            </w:pPr>
          </w:p>
        </w:tc>
      </w:tr>
      <w:tr w:rsidR="00000000" w14:paraId="42BC2641" w14:textId="77777777">
        <w:trPr>
          <w:divId w:val="1143229174"/>
        </w:trPr>
        <w:tc>
          <w:tcPr>
            <w:tcW w:w="0" w:type="auto"/>
            <w:gridSpan w:val="3"/>
            <w:vAlign w:val="center"/>
            <w:hideMark/>
          </w:tcPr>
          <w:p w14:paraId="1677F590" w14:textId="77777777" w:rsidR="00000000" w:rsidRDefault="00405D16">
            <w:pPr>
              <w:spacing w:after="100"/>
              <w:rPr>
                <w:rFonts w:eastAsia="Times New Roman"/>
                <w:sz w:val="20"/>
                <w:szCs w:val="20"/>
              </w:rPr>
            </w:pPr>
          </w:p>
        </w:tc>
        <w:tc>
          <w:tcPr>
            <w:tcW w:w="0" w:type="auto"/>
            <w:gridSpan w:val="3"/>
            <w:vAlign w:val="center"/>
            <w:hideMark/>
          </w:tcPr>
          <w:p w14:paraId="13144A24" w14:textId="77777777" w:rsidR="00000000" w:rsidRDefault="00405D16">
            <w:pPr>
              <w:spacing w:after="100"/>
              <w:rPr>
                <w:rFonts w:eastAsia="Times New Roman"/>
                <w:sz w:val="20"/>
                <w:szCs w:val="20"/>
              </w:rPr>
            </w:pPr>
          </w:p>
        </w:tc>
        <w:tc>
          <w:tcPr>
            <w:tcW w:w="0" w:type="auto"/>
            <w:vAlign w:val="center"/>
            <w:hideMark/>
          </w:tcPr>
          <w:p w14:paraId="0C6CFCBB" w14:textId="77777777" w:rsidR="00000000" w:rsidRDefault="00405D16">
            <w:pPr>
              <w:spacing w:after="100"/>
              <w:rPr>
                <w:rFonts w:eastAsia="Times New Roman"/>
                <w:sz w:val="20"/>
                <w:szCs w:val="20"/>
              </w:rPr>
            </w:pPr>
          </w:p>
        </w:tc>
        <w:tc>
          <w:tcPr>
            <w:tcW w:w="0" w:type="auto"/>
            <w:vAlign w:val="center"/>
            <w:hideMark/>
          </w:tcPr>
          <w:p w14:paraId="4C284782" w14:textId="77777777" w:rsidR="00000000" w:rsidRDefault="00405D16">
            <w:pPr>
              <w:spacing w:after="100"/>
              <w:rPr>
                <w:rFonts w:eastAsia="Times New Roman"/>
                <w:sz w:val="20"/>
                <w:szCs w:val="20"/>
              </w:rPr>
            </w:pPr>
          </w:p>
        </w:tc>
        <w:tc>
          <w:tcPr>
            <w:tcW w:w="0" w:type="auto"/>
            <w:vAlign w:val="center"/>
            <w:hideMark/>
          </w:tcPr>
          <w:p w14:paraId="404C1B32" w14:textId="77777777" w:rsidR="00000000" w:rsidRDefault="00405D16">
            <w:pPr>
              <w:spacing w:after="100"/>
              <w:rPr>
                <w:rFonts w:eastAsia="Times New Roman"/>
                <w:sz w:val="20"/>
                <w:szCs w:val="20"/>
              </w:rPr>
            </w:pPr>
          </w:p>
        </w:tc>
      </w:tr>
      <w:tr w:rsidR="00000000" w14:paraId="05F923FA" w14:textId="77777777">
        <w:trPr>
          <w:divId w:val="1143229174"/>
        </w:trPr>
        <w:tc>
          <w:tcPr>
            <w:tcW w:w="0" w:type="auto"/>
            <w:gridSpan w:val="3"/>
            <w:vAlign w:val="center"/>
            <w:hideMark/>
          </w:tcPr>
          <w:p w14:paraId="47146454" w14:textId="77777777" w:rsidR="00000000" w:rsidRDefault="00405D16">
            <w:pPr>
              <w:spacing w:after="100"/>
              <w:rPr>
                <w:rFonts w:eastAsia="Times New Roman"/>
                <w:sz w:val="20"/>
                <w:szCs w:val="20"/>
              </w:rPr>
            </w:pPr>
          </w:p>
        </w:tc>
        <w:tc>
          <w:tcPr>
            <w:tcW w:w="0" w:type="auto"/>
            <w:gridSpan w:val="3"/>
            <w:vAlign w:val="center"/>
            <w:hideMark/>
          </w:tcPr>
          <w:p w14:paraId="7459C6C0" w14:textId="77777777" w:rsidR="00000000" w:rsidRDefault="00405D16">
            <w:pPr>
              <w:spacing w:after="100"/>
              <w:rPr>
                <w:rFonts w:eastAsia="Times New Roman"/>
                <w:sz w:val="20"/>
                <w:szCs w:val="20"/>
              </w:rPr>
            </w:pPr>
          </w:p>
        </w:tc>
        <w:tc>
          <w:tcPr>
            <w:tcW w:w="0" w:type="auto"/>
            <w:gridSpan w:val="3"/>
            <w:vAlign w:val="center"/>
            <w:hideMark/>
          </w:tcPr>
          <w:p w14:paraId="332AA498" w14:textId="77777777" w:rsidR="00000000" w:rsidRDefault="00405D16">
            <w:pPr>
              <w:spacing w:after="100"/>
              <w:rPr>
                <w:rFonts w:eastAsia="Times New Roman"/>
                <w:sz w:val="20"/>
                <w:szCs w:val="20"/>
              </w:rPr>
            </w:pPr>
          </w:p>
        </w:tc>
      </w:tr>
      <w:tr w:rsidR="00000000" w14:paraId="6F41D8CF" w14:textId="77777777">
        <w:trPr>
          <w:divId w:val="1143229174"/>
        </w:trPr>
        <w:tc>
          <w:tcPr>
            <w:tcW w:w="0" w:type="auto"/>
            <w:gridSpan w:val="3"/>
            <w:vAlign w:val="center"/>
            <w:hideMark/>
          </w:tcPr>
          <w:p w14:paraId="41E5EF9C" w14:textId="77777777" w:rsidR="00000000" w:rsidRDefault="00405D16">
            <w:pPr>
              <w:spacing w:after="100"/>
              <w:rPr>
                <w:rFonts w:eastAsia="Times New Roman"/>
                <w:sz w:val="20"/>
                <w:szCs w:val="20"/>
              </w:rPr>
            </w:pPr>
          </w:p>
        </w:tc>
        <w:tc>
          <w:tcPr>
            <w:tcW w:w="0" w:type="auto"/>
            <w:gridSpan w:val="3"/>
            <w:vAlign w:val="center"/>
            <w:hideMark/>
          </w:tcPr>
          <w:p w14:paraId="2D25F995" w14:textId="77777777" w:rsidR="00000000" w:rsidRDefault="00405D16">
            <w:pPr>
              <w:spacing w:after="100"/>
              <w:rPr>
                <w:rFonts w:eastAsia="Times New Roman"/>
                <w:sz w:val="20"/>
                <w:szCs w:val="20"/>
              </w:rPr>
            </w:pPr>
          </w:p>
        </w:tc>
        <w:tc>
          <w:tcPr>
            <w:tcW w:w="0" w:type="auto"/>
            <w:gridSpan w:val="3"/>
            <w:vAlign w:val="center"/>
            <w:hideMark/>
          </w:tcPr>
          <w:p w14:paraId="24E48EAA" w14:textId="77777777" w:rsidR="00000000" w:rsidRDefault="00405D16">
            <w:pPr>
              <w:spacing w:after="100"/>
              <w:rPr>
                <w:rFonts w:eastAsia="Times New Roman"/>
                <w:sz w:val="20"/>
                <w:szCs w:val="20"/>
              </w:rPr>
            </w:pPr>
          </w:p>
        </w:tc>
      </w:tr>
      <w:tr w:rsidR="00000000" w14:paraId="6190F4BC" w14:textId="77777777">
        <w:trPr>
          <w:divId w:val="1143229174"/>
        </w:trPr>
        <w:tc>
          <w:tcPr>
            <w:tcW w:w="0" w:type="auto"/>
            <w:gridSpan w:val="3"/>
            <w:vAlign w:val="center"/>
            <w:hideMark/>
          </w:tcPr>
          <w:p w14:paraId="4C278139" w14:textId="77777777" w:rsidR="00000000" w:rsidRDefault="00405D16">
            <w:pPr>
              <w:spacing w:after="100"/>
              <w:rPr>
                <w:rFonts w:eastAsia="Times New Roman"/>
                <w:sz w:val="20"/>
                <w:szCs w:val="20"/>
              </w:rPr>
            </w:pPr>
          </w:p>
        </w:tc>
        <w:tc>
          <w:tcPr>
            <w:tcW w:w="0" w:type="auto"/>
            <w:gridSpan w:val="3"/>
            <w:vAlign w:val="center"/>
            <w:hideMark/>
          </w:tcPr>
          <w:p w14:paraId="229543A5" w14:textId="77777777" w:rsidR="00000000" w:rsidRDefault="00405D16">
            <w:pPr>
              <w:spacing w:after="100"/>
              <w:rPr>
                <w:rFonts w:eastAsia="Times New Roman"/>
                <w:sz w:val="20"/>
                <w:szCs w:val="20"/>
              </w:rPr>
            </w:pPr>
          </w:p>
        </w:tc>
        <w:tc>
          <w:tcPr>
            <w:tcW w:w="0" w:type="auto"/>
            <w:gridSpan w:val="3"/>
            <w:vAlign w:val="center"/>
            <w:hideMark/>
          </w:tcPr>
          <w:p w14:paraId="5350E5E9" w14:textId="77777777" w:rsidR="00000000" w:rsidRDefault="00405D16">
            <w:pPr>
              <w:spacing w:after="100"/>
              <w:rPr>
                <w:rFonts w:eastAsia="Times New Roman"/>
                <w:sz w:val="20"/>
                <w:szCs w:val="20"/>
              </w:rPr>
            </w:pPr>
          </w:p>
        </w:tc>
      </w:tr>
      <w:tr w:rsidR="00000000" w14:paraId="0203C500" w14:textId="77777777">
        <w:trPr>
          <w:divId w:val="1143229174"/>
        </w:trPr>
        <w:tc>
          <w:tcPr>
            <w:tcW w:w="0" w:type="auto"/>
            <w:gridSpan w:val="6"/>
            <w:tcMar>
              <w:top w:w="30" w:type="dxa"/>
              <w:left w:w="20" w:type="dxa"/>
              <w:bottom w:w="30" w:type="dxa"/>
              <w:right w:w="20" w:type="dxa"/>
            </w:tcMar>
            <w:hideMark/>
          </w:tcPr>
          <w:p w14:paraId="1109A904" w14:textId="77777777" w:rsidR="00000000" w:rsidRDefault="00405D16">
            <w:pPr>
              <w:spacing w:after="100"/>
              <w:divId w:val="160396452"/>
              <w:rPr>
                <w:rFonts w:eastAsia="Times New Roman"/>
              </w:rPr>
            </w:pPr>
            <w:hyperlink w:anchor="idd54a04a485440b4ab4e56094c14d612_511" w:history="1">
              <w:r>
                <w:rPr>
                  <w:rStyle w:val="a3"/>
                  <w:rFonts w:eastAsia="Times New Roman"/>
                  <w:b/>
                  <w:bCs/>
                  <w:color w:val="000000"/>
                  <w:sz w:val="20"/>
                  <w:szCs w:val="20"/>
                  <w:u w:val="none"/>
                </w:rPr>
                <w:t>EXHIBIT INDEX</w:t>
              </w:r>
            </w:hyperlink>
          </w:p>
        </w:tc>
        <w:tc>
          <w:tcPr>
            <w:tcW w:w="0" w:type="auto"/>
            <w:gridSpan w:val="3"/>
            <w:tcMar>
              <w:top w:w="30" w:type="dxa"/>
              <w:left w:w="20" w:type="dxa"/>
              <w:bottom w:w="30" w:type="dxa"/>
              <w:right w:w="20" w:type="dxa"/>
            </w:tcMar>
            <w:vAlign w:val="bottom"/>
            <w:hideMark/>
          </w:tcPr>
          <w:p w14:paraId="3AA5B454" w14:textId="77777777" w:rsidR="00000000" w:rsidRDefault="00405D16">
            <w:pPr>
              <w:spacing w:after="100"/>
              <w:jc w:val="center"/>
              <w:rPr>
                <w:rFonts w:eastAsia="Times New Roman"/>
              </w:rPr>
            </w:pPr>
            <w:hyperlink w:anchor="idd54a04a485440b4ab4e56094c14d612_511" w:history="1">
              <w:r>
                <w:rPr>
                  <w:rStyle w:val="a3"/>
                  <w:rFonts w:eastAsia="Times New Roman"/>
                  <w:b/>
                  <w:bCs/>
                  <w:color w:val="000000"/>
                  <w:sz w:val="20"/>
                  <w:szCs w:val="20"/>
                  <w:u w:val="none"/>
                </w:rPr>
                <w:t>134</w:t>
              </w:r>
            </w:hyperlink>
          </w:p>
        </w:tc>
      </w:tr>
      <w:tr w:rsidR="00000000" w14:paraId="050C56D1" w14:textId="77777777">
        <w:trPr>
          <w:divId w:val="1143229174"/>
        </w:trPr>
        <w:tc>
          <w:tcPr>
            <w:tcW w:w="0" w:type="auto"/>
            <w:gridSpan w:val="6"/>
            <w:tcMar>
              <w:top w:w="30" w:type="dxa"/>
              <w:left w:w="20" w:type="dxa"/>
              <w:bottom w:w="30" w:type="dxa"/>
              <w:right w:w="20" w:type="dxa"/>
            </w:tcMar>
            <w:hideMark/>
          </w:tcPr>
          <w:p w14:paraId="65A9333E" w14:textId="77777777" w:rsidR="00000000" w:rsidRDefault="00405D16">
            <w:pPr>
              <w:spacing w:after="100"/>
              <w:divId w:val="1591545837"/>
              <w:rPr>
                <w:rFonts w:eastAsia="Times New Roman"/>
              </w:rPr>
            </w:pPr>
            <w:hyperlink w:anchor="idd54a04a485440b4ab4e56094c14d612_514" w:history="1">
              <w:r>
                <w:rPr>
                  <w:rStyle w:val="a3"/>
                  <w:rFonts w:eastAsia="Times New Roman"/>
                  <w:b/>
                  <w:bCs/>
                  <w:color w:val="000000"/>
                  <w:sz w:val="20"/>
                  <w:szCs w:val="20"/>
                  <w:u w:val="none"/>
                </w:rPr>
                <w:t>SIGNATURES</w:t>
              </w:r>
            </w:hyperlink>
          </w:p>
        </w:tc>
        <w:tc>
          <w:tcPr>
            <w:tcW w:w="0" w:type="auto"/>
            <w:gridSpan w:val="3"/>
            <w:tcMar>
              <w:top w:w="30" w:type="dxa"/>
              <w:left w:w="20" w:type="dxa"/>
              <w:bottom w:w="30" w:type="dxa"/>
              <w:right w:w="20" w:type="dxa"/>
            </w:tcMar>
            <w:vAlign w:val="bottom"/>
            <w:hideMark/>
          </w:tcPr>
          <w:p w14:paraId="271FABBE" w14:textId="77777777" w:rsidR="00000000" w:rsidRDefault="00405D16">
            <w:pPr>
              <w:spacing w:after="100"/>
              <w:jc w:val="center"/>
              <w:rPr>
                <w:rFonts w:eastAsia="Times New Roman"/>
              </w:rPr>
            </w:pPr>
            <w:hyperlink w:anchor="idd54a04a485440b4ab4e56094c14d612_514" w:history="1">
              <w:r>
                <w:rPr>
                  <w:rStyle w:val="a3"/>
                  <w:rFonts w:eastAsia="Times New Roman"/>
                  <w:b/>
                  <w:bCs/>
                  <w:color w:val="000000"/>
                  <w:sz w:val="20"/>
                  <w:szCs w:val="20"/>
                  <w:u w:val="none"/>
                </w:rPr>
                <w:t>135</w:t>
              </w:r>
            </w:hyperlink>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7BE8AC27" w14:textId="77777777">
        <w:trPr>
          <w:jc w:val="center"/>
        </w:trPr>
        <w:tc>
          <w:tcPr>
            <w:tcW w:w="50" w:type="pct"/>
            <w:vAlign w:val="center"/>
            <w:hideMark/>
          </w:tcPr>
          <w:p w14:paraId="456B4BA5" w14:textId="77777777" w:rsidR="00000000" w:rsidRDefault="00405D16">
            <w:pPr>
              <w:jc w:val="both"/>
              <w:rPr>
                <w:rFonts w:eastAsia="Times New Roman"/>
              </w:rPr>
            </w:pPr>
          </w:p>
        </w:tc>
        <w:tc>
          <w:tcPr>
            <w:tcW w:w="1606" w:type="pct"/>
            <w:vAlign w:val="center"/>
            <w:hideMark/>
          </w:tcPr>
          <w:p w14:paraId="4041C9DD" w14:textId="77777777" w:rsidR="00000000" w:rsidRDefault="00405D16">
            <w:pPr>
              <w:spacing w:after="100"/>
              <w:rPr>
                <w:rFonts w:eastAsia="Times New Roman"/>
                <w:sz w:val="20"/>
                <w:szCs w:val="20"/>
              </w:rPr>
            </w:pPr>
          </w:p>
        </w:tc>
        <w:tc>
          <w:tcPr>
            <w:tcW w:w="5" w:type="pct"/>
            <w:vAlign w:val="center"/>
            <w:hideMark/>
          </w:tcPr>
          <w:p w14:paraId="36EA03B8" w14:textId="77777777" w:rsidR="00000000" w:rsidRDefault="00405D16">
            <w:pPr>
              <w:spacing w:after="100"/>
              <w:rPr>
                <w:rFonts w:eastAsia="Times New Roman"/>
                <w:sz w:val="20"/>
                <w:szCs w:val="20"/>
              </w:rPr>
            </w:pPr>
          </w:p>
        </w:tc>
        <w:tc>
          <w:tcPr>
            <w:tcW w:w="50" w:type="pct"/>
            <w:vAlign w:val="center"/>
            <w:hideMark/>
          </w:tcPr>
          <w:p w14:paraId="4A9D7AEA" w14:textId="77777777" w:rsidR="00000000" w:rsidRDefault="00405D16">
            <w:pPr>
              <w:spacing w:after="100"/>
              <w:rPr>
                <w:rFonts w:eastAsia="Times New Roman"/>
                <w:sz w:val="20"/>
                <w:szCs w:val="20"/>
              </w:rPr>
            </w:pPr>
          </w:p>
        </w:tc>
        <w:tc>
          <w:tcPr>
            <w:tcW w:w="1614" w:type="pct"/>
            <w:vAlign w:val="center"/>
            <w:hideMark/>
          </w:tcPr>
          <w:p w14:paraId="16815161" w14:textId="77777777" w:rsidR="00000000" w:rsidRDefault="00405D16">
            <w:pPr>
              <w:spacing w:after="100"/>
              <w:rPr>
                <w:rFonts w:eastAsia="Times New Roman"/>
                <w:sz w:val="20"/>
                <w:szCs w:val="20"/>
              </w:rPr>
            </w:pPr>
          </w:p>
        </w:tc>
        <w:tc>
          <w:tcPr>
            <w:tcW w:w="5" w:type="pct"/>
            <w:vAlign w:val="center"/>
            <w:hideMark/>
          </w:tcPr>
          <w:p w14:paraId="7A1BBF11" w14:textId="77777777" w:rsidR="00000000" w:rsidRDefault="00405D16">
            <w:pPr>
              <w:spacing w:after="100"/>
              <w:rPr>
                <w:rFonts w:eastAsia="Times New Roman"/>
                <w:sz w:val="20"/>
                <w:szCs w:val="20"/>
              </w:rPr>
            </w:pPr>
          </w:p>
        </w:tc>
        <w:tc>
          <w:tcPr>
            <w:tcW w:w="50" w:type="pct"/>
            <w:vAlign w:val="center"/>
            <w:hideMark/>
          </w:tcPr>
          <w:p w14:paraId="157DDE4C" w14:textId="77777777" w:rsidR="00000000" w:rsidRDefault="00405D16">
            <w:pPr>
              <w:spacing w:after="100"/>
              <w:rPr>
                <w:rFonts w:eastAsia="Times New Roman"/>
                <w:sz w:val="20"/>
                <w:szCs w:val="20"/>
              </w:rPr>
            </w:pPr>
          </w:p>
        </w:tc>
        <w:tc>
          <w:tcPr>
            <w:tcW w:w="1614" w:type="pct"/>
            <w:vAlign w:val="center"/>
            <w:hideMark/>
          </w:tcPr>
          <w:p w14:paraId="18C5CB79" w14:textId="77777777" w:rsidR="00000000" w:rsidRDefault="00405D16">
            <w:pPr>
              <w:spacing w:after="100"/>
              <w:rPr>
                <w:rFonts w:eastAsia="Times New Roman"/>
                <w:sz w:val="20"/>
                <w:szCs w:val="20"/>
              </w:rPr>
            </w:pPr>
          </w:p>
        </w:tc>
        <w:tc>
          <w:tcPr>
            <w:tcW w:w="5" w:type="pct"/>
            <w:vAlign w:val="center"/>
            <w:hideMark/>
          </w:tcPr>
          <w:p w14:paraId="771BADD5" w14:textId="77777777" w:rsidR="00000000" w:rsidRDefault="00405D16">
            <w:pPr>
              <w:spacing w:after="100"/>
              <w:rPr>
                <w:rFonts w:eastAsia="Times New Roman"/>
                <w:sz w:val="20"/>
                <w:szCs w:val="20"/>
              </w:rPr>
            </w:pPr>
          </w:p>
        </w:tc>
      </w:tr>
      <w:tr w:rsidR="00000000" w14:paraId="1F3BEE74" w14:textId="77777777">
        <w:trPr>
          <w:trHeight w:val="300"/>
          <w:jc w:val="center"/>
        </w:trPr>
        <w:tc>
          <w:tcPr>
            <w:tcW w:w="0" w:type="auto"/>
            <w:gridSpan w:val="9"/>
            <w:tcMar>
              <w:top w:w="0" w:type="dxa"/>
              <w:left w:w="20" w:type="dxa"/>
              <w:bottom w:w="0" w:type="dxa"/>
              <w:right w:w="20" w:type="dxa"/>
            </w:tcMar>
            <w:vAlign w:val="center"/>
            <w:hideMark/>
          </w:tcPr>
          <w:p w14:paraId="2821440A" w14:textId="77777777" w:rsidR="00000000" w:rsidRDefault="00405D16">
            <w:pPr>
              <w:spacing w:after="100"/>
              <w:rPr>
                <w:rFonts w:eastAsia="Times New Roman"/>
                <w:sz w:val="20"/>
                <w:szCs w:val="20"/>
              </w:rPr>
            </w:pPr>
          </w:p>
        </w:tc>
      </w:tr>
      <w:tr w:rsidR="00000000" w14:paraId="554AB2B8" w14:textId="77777777">
        <w:trPr>
          <w:jc w:val="center"/>
        </w:trPr>
        <w:tc>
          <w:tcPr>
            <w:tcW w:w="0" w:type="auto"/>
            <w:gridSpan w:val="3"/>
            <w:tcMar>
              <w:top w:w="0" w:type="dxa"/>
              <w:left w:w="20" w:type="dxa"/>
              <w:bottom w:w="0" w:type="dxa"/>
              <w:right w:w="20" w:type="dxa"/>
            </w:tcMar>
            <w:vAlign w:val="center"/>
            <w:hideMark/>
          </w:tcPr>
          <w:p w14:paraId="5937A22B"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6553725" w14:textId="77777777" w:rsidR="00000000" w:rsidRDefault="00405D16">
            <w:pPr>
              <w:spacing w:after="100"/>
              <w:jc w:val="center"/>
              <w:rPr>
                <w:rFonts w:eastAsia="Times New Roman"/>
              </w:rPr>
            </w:pPr>
            <w:r>
              <w:rPr>
                <w:rFonts w:eastAsia="Times New Roman"/>
                <w:color w:val="000000"/>
                <w:sz w:val="16"/>
                <w:szCs w:val="16"/>
              </w:rPr>
              <w:t>2</w:t>
            </w:r>
          </w:p>
        </w:tc>
        <w:tc>
          <w:tcPr>
            <w:tcW w:w="0" w:type="auto"/>
            <w:gridSpan w:val="3"/>
            <w:tcMar>
              <w:top w:w="30" w:type="dxa"/>
              <w:left w:w="20" w:type="dxa"/>
              <w:bottom w:w="30" w:type="dxa"/>
              <w:right w:w="20" w:type="dxa"/>
            </w:tcMar>
            <w:vAlign w:val="bottom"/>
            <w:hideMark/>
          </w:tcPr>
          <w:p w14:paraId="4E315305"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2DB716C2" w14:textId="77777777" w:rsidR="00000000" w:rsidRDefault="00405D16">
      <w:pPr>
        <w:rPr>
          <w:rFonts w:eastAsia="Times New Roman"/>
        </w:rPr>
      </w:pPr>
      <w:r>
        <w:rPr>
          <w:rFonts w:eastAsia="Times New Roman"/>
        </w:rPr>
        <w:pict w14:anchorId="6628F19C">
          <v:rect id="_x0000_i1027" style="width:0;height:1.5pt" o:hralign="center" o:hrstd="t" o:hr="t" fillcolor="#a0a0a0" stroked="f"/>
        </w:pict>
      </w:r>
    </w:p>
    <w:p w14:paraId="63F0E91D" w14:textId="77777777" w:rsidR="00000000" w:rsidRDefault="00405D16">
      <w:pPr>
        <w:jc w:val="both"/>
        <w:divId w:val="1739281152"/>
        <w:rPr>
          <w:rFonts w:eastAsia="Times New Roman"/>
        </w:rPr>
      </w:pPr>
    </w:p>
    <w:p w14:paraId="2C2BF92B" w14:textId="77777777" w:rsidR="00000000" w:rsidRDefault="00405D16">
      <w:pPr>
        <w:jc w:val="center"/>
        <w:divId w:val="1678115720"/>
        <w:rPr>
          <w:rFonts w:eastAsia="Times New Roman"/>
        </w:rPr>
      </w:pPr>
      <w:r>
        <w:rPr>
          <w:rFonts w:eastAsia="Times New Roman"/>
          <w:b/>
          <w:bCs/>
          <w:color w:val="000000"/>
          <w:sz w:val="20"/>
          <w:szCs w:val="20"/>
        </w:rPr>
        <w:t>INDEX OF MD&amp;A AND SUPPLEMENTAL TABLE</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608"/>
        <w:gridCol w:w="39"/>
        <w:gridCol w:w="68"/>
        <w:gridCol w:w="6965"/>
        <w:gridCol w:w="39"/>
        <w:gridCol w:w="73"/>
        <w:gridCol w:w="410"/>
        <w:gridCol w:w="36"/>
      </w:tblGrid>
      <w:tr w:rsidR="00000000" w14:paraId="28848EFC" w14:textId="77777777">
        <w:trPr>
          <w:divId w:val="552078343"/>
          <w:jc w:val="center"/>
        </w:trPr>
        <w:tc>
          <w:tcPr>
            <w:tcW w:w="50" w:type="pct"/>
            <w:vAlign w:val="center"/>
            <w:hideMark/>
          </w:tcPr>
          <w:p w14:paraId="2E02B539" w14:textId="77777777" w:rsidR="00000000" w:rsidRDefault="00405D16">
            <w:pPr>
              <w:jc w:val="center"/>
              <w:rPr>
                <w:rFonts w:eastAsia="Times New Roman"/>
              </w:rPr>
            </w:pPr>
          </w:p>
        </w:tc>
        <w:tc>
          <w:tcPr>
            <w:tcW w:w="375" w:type="pct"/>
            <w:vAlign w:val="center"/>
            <w:hideMark/>
          </w:tcPr>
          <w:p w14:paraId="38EF13F0" w14:textId="77777777" w:rsidR="00000000" w:rsidRDefault="00405D16">
            <w:pPr>
              <w:spacing w:after="100"/>
              <w:rPr>
                <w:rFonts w:eastAsia="Times New Roman"/>
                <w:sz w:val="20"/>
                <w:szCs w:val="20"/>
              </w:rPr>
            </w:pPr>
          </w:p>
        </w:tc>
        <w:tc>
          <w:tcPr>
            <w:tcW w:w="5" w:type="pct"/>
            <w:vAlign w:val="center"/>
            <w:hideMark/>
          </w:tcPr>
          <w:p w14:paraId="46DCBBEC" w14:textId="77777777" w:rsidR="00000000" w:rsidRDefault="00405D16">
            <w:pPr>
              <w:spacing w:after="100"/>
              <w:rPr>
                <w:rFonts w:eastAsia="Times New Roman"/>
                <w:sz w:val="20"/>
                <w:szCs w:val="20"/>
              </w:rPr>
            </w:pPr>
          </w:p>
        </w:tc>
        <w:tc>
          <w:tcPr>
            <w:tcW w:w="50" w:type="pct"/>
            <w:vAlign w:val="center"/>
            <w:hideMark/>
          </w:tcPr>
          <w:p w14:paraId="1D222F7E" w14:textId="77777777" w:rsidR="00000000" w:rsidRDefault="00405D16">
            <w:pPr>
              <w:spacing w:after="100"/>
              <w:rPr>
                <w:rFonts w:eastAsia="Times New Roman"/>
                <w:sz w:val="20"/>
                <w:szCs w:val="20"/>
              </w:rPr>
            </w:pPr>
          </w:p>
        </w:tc>
        <w:tc>
          <w:tcPr>
            <w:tcW w:w="4200" w:type="pct"/>
            <w:vAlign w:val="center"/>
            <w:hideMark/>
          </w:tcPr>
          <w:p w14:paraId="4384B7AF" w14:textId="77777777" w:rsidR="00000000" w:rsidRDefault="00405D16">
            <w:pPr>
              <w:spacing w:after="100"/>
              <w:rPr>
                <w:rFonts w:eastAsia="Times New Roman"/>
                <w:sz w:val="20"/>
                <w:szCs w:val="20"/>
              </w:rPr>
            </w:pPr>
          </w:p>
        </w:tc>
        <w:tc>
          <w:tcPr>
            <w:tcW w:w="5" w:type="pct"/>
            <w:vAlign w:val="center"/>
            <w:hideMark/>
          </w:tcPr>
          <w:p w14:paraId="55879648" w14:textId="77777777" w:rsidR="00000000" w:rsidRDefault="00405D16">
            <w:pPr>
              <w:spacing w:after="100"/>
              <w:rPr>
                <w:rFonts w:eastAsia="Times New Roman"/>
                <w:sz w:val="20"/>
                <w:szCs w:val="20"/>
              </w:rPr>
            </w:pPr>
          </w:p>
        </w:tc>
        <w:tc>
          <w:tcPr>
            <w:tcW w:w="50" w:type="pct"/>
            <w:vAlign w:val="center"/>
            <w:hideMark/>
          </w:tcPr>
          <w:p w14:paraId="4D9D1C9A" w14:textId="77777777" w:rsidR="00000000" w:rsidRDefault="00405D16">
            <w:pPr>
              <w:spacing w:after="100"/>
              <w:rPr>
                <w:rFonts w:eastAsia="Times New Roman"/>
                <w:sz w:val="20"/>
                <w:szCs w:val="20"/>
              </w:rPr>
            </w:pPr>
          </w:p>
        </w:tc>
        <w:tc>
          <w:tcPr>
            <w:tcW w:w="258" w:type="pct"/>
            <w:vAlign w:val="center"/>
            <w:hideMark/>
          </w:tcPr>
          <w:p w14:paraId="1F5F0E9F" w14:textId="77777777" w:rsidR="00000000" w:rsidRDefault="00405D16">
            <w:pPr>
              <w:spacing w:after="100"/>
              <w:rPr>
                <w:rFonts w:eastAsia="Times New Roman"/>
                <w:sz w:val="20"/>
                <w:szCs w:val="20"/>
              </w:rPr>
            </w:pPr>
          </w:p>
        </w:tc>
        <w:tc>
          <w:tcPr>
            <w:tcW w:w="5" w:type="pct"/>
            <w:vAlign w:val="center"/>
            <w:hideMark/>
          </w:tcPr>
          <w:p w14:paraId="1CC0B8F7" w14:textId="77777777" w:rsidR="00000000" w:rsidRDefault="00405D16">
            <w:pPr>
              <w:spacing w:after="100"/>
              <w:rPr>
                <w:rFonts w:eastAsia="Times New Roman"/>
                <w:sz w:val="20"/>
                <w:szCs w:val="20"/>
              </w:rPr>
            </w:pPr>
          </w:p>
        </w:tc>
      </w:tr>
      <w:tr w:rsidR="00000000" w14:paraId="2B6F7F08" w14:textId="77777777">
        <w:trPr>
          <w:divId w:val="552078343"/>
          <w:jc w:val="center"/>
        </w:trPr>
        <w:tc>
          <w:tcPr>
            <w:tcW w:w="0" w:type="auto"/>
            <w:gridSpan w:val="6"/>
            <w:tcMar>
              <w:top w:w="30" w:type="dxa"/>
              <w:left w:w="20" w:type="dxa"/>
              <w:bottom w:w="30" w:type="dxa"/>
              <w:right w:w="20" w:type="dxa"/>
            </w:tcMar>
            <w:vAlign w:val="bottom"/>
            <w:hideMark/>
          </w:tcPr>
          <w:p w14:paraId="006E1651" w14:textId="77777777" w:rsidR="00000000" w:rsidRDefault="00405D16">
            <w:pPr>
              <w:spacing w:after="100"/>
              <w:divId w:val="2022588832"/>
              <w:rPr>
                <w:rFonts w:eastAsia="Times New Roman"/>
              </w:rPr>
            </w:pPr>
            <w:hyperlink w:anchor="idd54a04a485440b4ab4e56094c14d612_79" w:history="1">
              <w:r>
                <w:rPr>
                  <w:rStyle w:val="a3"/>
                  <w:rFonts w:eastAsia="Times New Roman"/>
                  <w:b/>
                  <w:bCs/>
                  <w:color w:val="000000"/>
                  <w:sz w:val="20"/>
                  <w:szCs w:val="20"/>
                  <w:u w:val="none"/>
                </w:rPr>
                <w:t>MD&amp;A Tables:</w:t>
              </w:r>
            </w:hyperlink>
          </w:p>
        </w:tc>
        <w:tc>
          <w:tcPr>
            <w:tcW w:w="0" w:type="auto"/>
            <w:gridSpan w:val="3"/>
            <w:tcMar>
              <w:top w:w="30" w:type="dxa"/>
              <w:left w:w="20" w:type="dxa"/>
              <w:bottom w:w="30" w:type="dxa"/>
              <w:right w:w="20" w:type="dxa"/>
            </w:tcMar>
            <w:vAlign w:val="bottom"/>
            <w:hideMark/>
          </w:tcPr>
          <w:p w14:paraId="1A5AE0D1" w14:textId="77777777" w:rsidR="00000000" w:rsidRDefault="00405D16">
            <w:pPr>
              <w:spacing w:after="100"/>
              <w:jc w:val="center"/>
              <w:rPr>
                <w:rFonts w:eastAsia="Times New Roman"/>
              </w:rPr>
            </w:pPr>
            <w:r>
              <w:rPr>
                <w:rFonts w:eastAsia="Times New Roman"/>
                <w:b/>
                <w:bCs/>
                <w:color w:val="000000"/>
                <w:sz w:val="20"/>
                <w:szCs w:val="20"/>
              </w:rPr>
              <w:t>Page</w:t>
            </w:r>
          </w:p>
        </w:tc>
      </w:tr>
      <w:tr w:rsidR="00000000" w14:paraId="0598A7EB" w14:textId="77777777">
        <w:trPr>
          <w:divId w:val="552078343"/>
          <w:jc w:val="center"/>
        </w:trPr>
        <w:tc>
          <w:tcPr>
            <w:tcW w:w="0" w:type="auto"/>
            <w:gridSpan w:val="3"/>
            <w:tcMar>
              <w:top w:w="30" w:type="dxa"/>
              <w:left w:w="20" w:type="dxa"/>
              <w:bottom w:w="30" w:type="dxa"/>
              <w:right w:w="20" w:type="dxa"/>
            </w:tcMar>
            <w:vAlign w:val="bottom"/>
            <w:hideMark/>
          </w:tcPr>
          <w:p w14:paraId="6F69115C" w14:textId="77777777" w:rsidR="00000000" w:rsidRDefault="00405D16">
            <w:pPr>
              <w:spacing w:after="100"/>
              <w:jc w:val="center"/>
              <w:rPr>
                <w:rFonts w:eastAsia="Times New Roman"/>
              </w:rPr>
            </w:pPr>
            <w:r>
              <w:rPr>
                <w:rFonts w:eastAsia="Times New Roman"/>
                <w:color w:val="000000"/>
                <w:sz w:val="20"/>
                <w:szCs w:val="20"/>
              </w:rPr>
              <w:t>1</w:t>
            </w:r>
          </w:p>
        </w:tc>
        <w:tc>
          <w:tcPr>
            <w:tcW w:w="0" w:type="auto"/>
            <w:gridSpan w:val="3"/>
            <w:tcMar>
              <w:top w:w="30" w:type="dxa"/>
              <w:left w:w="20" w:type="dxa"/>
              <w:bottom w:w="30" w:type="dxa"/>
              <w:right w:w="20" w:type="dxa"/>
            </w:tcMar>
            <w:vAlign w:val="bottom"/>
            <w:hideMark/>
          </w:tcPr>
          <w:p w14:paraId="2CCBE880" w14:textId="77777777" w:rsidR="00000000" w:rsidRDefault="00405D16">
            <w:pPr>
              <w:spacing w:after="100"/>
              <w:divId w:val="985815788"/>
              <w:rPr>
                <w:rFonts w:eastAsia="Times New Roman"/>
              </w:rPr>
            </w:pPr>
            <w:hyperlink w:anchor="idd54a04a485440b4ab4e56094c14d612_94" w:history="1">
              <w:r>
                <w:rPr>
                  <w:rStyle w:val="a3"/>
                  <w:rFonts w:eastAsia="Times New Roman"/>
                  <w:color w:val="000000"/>
                  <w:sz w:val="20"/>
                  <w:szCs w:val="20"/>
                  <w:u w:val="none"/>
                </w:rPr>
                <w:t>Consolidated Financial Highlights</w:t>
              </w:r>
            </w:hyperlink>
          </w:p>
        </w:tc>
        <w:tc>
          <w:tcPr>
            <w:tcW w:w="0" w:type="auto"/>
            <w:gridSpan w:val="3"/>
            <w:tcMar>
              <w:top w:w="30" w:type="dxa"/>
              <w:left w:w="20" w:type="dxa"/>
              <w:bottom w:w="30" w:type="dxa"/>
              <w:right w:w="20" w:type="dxa"/>
            </w:tcMar>
            <w:vAlign w:val="bottom"/>
            <w:hideMark/>
          </w:tcPr>
          <w:p w14:paraId="25A3524A" w14:textId="77777777" w:rsidR="00000000" w:rsidRDefault="00405D16">
            <w:pPr>
              <w:spacing w:after="100"/>
              <w:jc w:val="center"/>
              <w:rPr>
                <w:rFonts w:eastAsia="Times New Roman"/>
              </w:rPr>
            </w:pPr>
            <w:hyperlink w:anchor="idd54a04a485440b4ab4e56094c14d612_94" w:history="1">
              <w:r>
                <w:rPr>
                  <w:rStyle w:val="a3"/>
                  <w:rFonts w:eastAsia="Times New Roman"/>
                  <w:color w:val="000000"/>
                  <w:sz w:val="20"/>
                  <w:szCs w:val="20"/>
                  <w:u w:val="none"/>
                </w:rPr>
                <w:t>6</w:t>
              </w:r>
            </w:hyperlink>
          </w:p>
        </w:tc>
      </w:tr>
      <w:tr w:rsidR="00000000" w14:paraId="3112051E" w14:textId="77777777">
        <w:trPr>
          <w:divId w:val="552078343"/>
          <w:jc w:val="center"/>
        </w:trPr>
        <w:tc>
          <w:tcPr>
            <w:tcW w:w="0" w:type="auto"/>
            <w:gridSpan w:val="3"/>
            <w:tcMar>
              <w:top w:w="30" w:type="dxa"/>
              <w:left w:w="20" w:type="dxa"/>
              <w:bottom w:w="30" w:type="dxa"/>
              <w:right w:w="20" w:type="dxa"/>
            </w:tcMar>
            <w:vAlign w:val="bottom"/>
            <w:hideMark/>
          </w:tcPr>
          <w:p w14:paraId="4C6E9D57" w14:textId="77777777" w:rsidR="00000000" w:rsidRDefault="00405D16">
            <w:pPr>
              <w:spacing w:after="100"/>
              <w:jc w:val="center"/>
              <w:rPr>
                <w:rFonts w:eastAsia="Times New Roman"/>
              </w:rPr>
            </w:pPr>
            <w:r>
              <w:rPr>
                <w:rFonts w:eastAsia="Times New Roman"/>
                <w:color w:val="000000"/>
                <w:sz w:val="20"/>
                <w:szCs w:val="20"/>
              </w:rPr>
              <w:t>2</w:t>
            </w:r>
          </w:p>
        </w:tc>
        <w:tc>
          <w:tcPr>
            <w:tcW w:w="0" w:type="auto"/>
            <w:gridSpan w:val="3"/>
            <w:tcMar>
              <w:top w:w="30" w:type="dxa"/>
              <w:left w:w="20" w:type="dxa"/>
              <w:bottom w:w="30" w:type="dxa"/>
              <w:right w:w="20" w:type="dxa"/>
            </w:tcMar>
            <w:vAlign w:val="bottom"/>
            <w:hideMark/>
          </w:tcPr>
          <w:p w14:paraId="4A96EA92" w14:textId="77777777" w:rsidR="00000000" w:rsidRDefault="00405D16">
            <w:pPr>
              <w:spacing w:after="100"/>
              <w:divId w:val="633290981"/>
              <w:rPr>
                <w:rFonts w:eastAsia="Times New Roman"/>
              </w:rPr>
            </w:pPr>
            <w:hyperlink w:anchor="idd54a04a485440b4ab4e56094c14d612_112" w:history="1">
              <w:r>
                <w:rPr>
                  <w:rStyle w:val="a3"/>
                  <w:rFonts w:eastAsia="Times New Roman"/>
                  <w:color w:val="000000"/>
                  <w:sz w:val="20"/>
                  <w:szCs w:val="20"/>
                  <w:u w:val="none"/>
                </w:rPr>
                <w:t>Average Balances, Net Interest Income and Net Interest Margin</w:t>
              </w:r>
            </w:hyperlink>
          </w:p>
        </w:tc>
        <w:tc>
          <w:tcPr>
            <w:tcW w:w="0" w:type="auto"/>
            <w:gridSpan w:val="3"/>
            <w:tcMar>
              <w:top w:w="30" w:type="dxa"/>
              <w:left w:w="20" w:type="dxa"/>
              <w:bottom w:w="30" w:type="dxa"/>
              <w:right w:w="20" w:type="dxa"/>
            </w:tcMar>
            <w:vAlign w:val="bottom"/>
            <w:hideMark/>
          </w:tcPr>
          <w:p w14:paraId="1AB1C652" w14:textId="77777777" w:rsidR="00000000" w:rsidRDefault="00405D16">
            <w:pPr>
              <w:spacing w:after="100"/>
              <w:jc w:val="center"/>
              <w:rPr>
                <w:rFonts w:eastAsia="Times New Roman"/>
              </w:rPr>
            </w:pPr>
            <w:hyperlink w:anchor="idd54a04a485440b4ab4e56094c14d612_112" w:history="1">
              <w:r>
                <w:rPr>
                  <w:rStyle w:val="a3"/>
                  <w:rFonts w:eastAsia="Times New Roman"/>
                  <w:color w:val="000000"/>
                  <w:sz w:val="20"/>
                  <w:szCs w:val="20"/>
                  <w:u w:val="none"/>
                </w:rPr>
                <w:t>11</w:t>
              </w:r>
            </w:hyperlink>
          </w:p>
        </w:tc>
      </w:tr>
      <w:tr w:rsidR="00000000" w14:paraId="3EDFFB84" w14:textId="77777777">
        <w:trPr>
          <w:divId w:val="552078343"/>
          <w:jc w:val="center"/>
        </w:trPr>
        <w:tc>
          <w:tcPr>
            <w:tcW w:w="0" w:type="auto"/>
            <w:gridSpan w:val="3"/>
            <w:tcMar>
              <w:top w:w="30" w:type="dxa"/>
              <w:left w:w="20" w:type="dxa"/>
              <w:bottom w:w="30" w:type="dxa"/>
              <w:right w:w="20" w:type="dxa"/>
            </w:tcMar>
            <w:vAlign w:val="bottom"/>
            <w:hideMark/>
          </w:tcPr>
          <w:p w14:paraId="1B5B14C3" w14:textId="77777777" w:rsidR="00000000" w:rsidRDefault="00405D16">
            <w:pPr>
              <w:spacing w:after="100"/>
              <w:jc w:val="center"/>
              <w:rPr>
                <w:rFonts w:eastAsia="Times New Roman"/>
              </w:rPr>
            </w:pPr>
            <w:r>
              <w:rPr>
                <w:rFonts w:eastAsia="Times New Roman"/>
                <w:color w:val="000000"/>
                <w:sz w:val="20"/>
                <w:szCs w:val="20"/>
              </w:rPr>
              <w:t>3</w:t>
            </w:r>
          </w:p>
        </w:tc>
        <w:tc>
          <w:tcPr>
            <w:tcW w:w="0" w:type="auto"/>
            <w:gridSpan w:val="3"/>
            <w:tcMar>
              <w:top w:w="30" w:type="dxa"/>
              <w:left w:w="20" w:type="dxa"/>
              <w:bottom w:w="30" w:type="dxa"/>
              <w:right w:w="20" w:type="dxa"/>
            </w:tcMar>
            <w:vAlign w:val="bottom"/>
            <w:hideMark/>
          </w:tcPr>
          <w:p w14:paraId="10382D8C" w14:textId="77777777" w:rsidR="00000000" w:rsidRDefault="00405D16">
            <w:pPr>
              <w:spacing w:after="100"/>
              <w:divId w:val="1019890965"/>
              <w:rPr>
                <w:rFonts w:eastAsia="Times New Roman"/>
              </w:rPr>
            </w:pPr>
            <w:hyperlink w:anchor="idd54a04a485440b4ab4e56094c14d612_115" w:history="1">
              <w:r>
                <w:rPr>
                  <w:rStyle w:val="a3"/>
                  <w:rFonts w:eastAsia="Times New Roman"/>
                  <w:color w:val="000000"/>
                  <w:sz w:val="20"/>
                  <w:szCs w:val="20"/>
                  <w:u w:val="none"/>
                </w:rPr>
                <w:t>Rate/Volume Analysis of Net Interest Income</w:t>
              </w:r>
            </w:hyperlink>
          </w:p>
        </w:tc>
        <w:tc>
          <w:tcPr>
            <w:tcW w:w="0" w:type="auto"/>
            <w:gridSpan w:val="3"/>
            <w:tcMar>
              <w:top w:w="30" w:type="dxa"/>
              <w:left w:w="20" w:type="dxa"/>
              <w:bottom w:w="30" w:type="dxa"/>
              <w:right w:w="20" w:type="dxa"/>
            </w:tcMar>
            <w:vAlign w:val="bottom"/>
            <w:hideMark/>
          </w:tcPr>
          <w:p w14:paraId="563809E2" w14:textId="77777777" w:rsidR="00000000" w:rsidRDefault="00405D16">
            <w:pPr>
              <w:spacing w:after="100"/>
              <w:jc w:val="center"/>
              <w:rPr>
                <w:rFonts w:eastAsia="Times New Roman"/>
              </w:rPr>
            </w:pPr>
            <w:hyperlink w:anchor="idd54a04a485440b4ab4e56094c14d612_115" w:history="1">
              <w:r>
                <w:rPr>
                  <w:rStyle w:val="a3"/>
                  <w:rFonts w:eastAsia="Times New Roman"/>
                  <w:color w:val="000000"/>
                  <w:sz w:val="20"/>
                  <w:szCs w:val="20"/>
                  <w:u w:val="none"/>
                </w:rPr>
                <w:t>14</w:t>
              </w:r>
            </w:hyperlink>
          </w:p>
        </w:tc>
      </w:tr>
      <w:tr w:rsidR="00000000" w14:paraId="44A6CA71" w14:textId="77777777">
        <w:trPr>
          <w:divId w:val="552078343"/>
          <w:jc w:val="center"/>
        </w:trPr>
        <w:tc>
          <w:tcPr>
            <w:tcW w:w="0" w:type="auto"/>
            <w:gridSpan w:val="3"/>
            <w:tcMar>
              <w:top w:w="30" w:type="dxa"/>
              <w:left w:w="20" w:type="dxa"/>
              <w:bottom w:w="30" w:type="dxa"/>
              <w:right w:w="20" w:type="dxa"/>
            </w:tcMar>
            <w:vAlign w:val="bottom"/>
            <w:hideMark/>
          </w:tcPr>
          <w:p w14:paraId="31C0DDAE" w14:textId="77777777" w:rsidR="00000000" w:rsidRDefault="00405D16">
            <w:pPr>
              <w:spacing w:after="100"/>
              <w:jc w:val="center"/>
              <w:rPr>
                <w:rFonts w:eastAsia="Times New Roman"/>
              </w:rPr>
            </w:pPr>
            <w:r>
              <w:rPr>
                <w:rFonts w:eastAsia="Times New Roman"/>
                <w:color w:val="000000"/>
                <w:sz w:val="20"/>
                <w:szCs w:val="20"/>
              </w:rPr>
              <w:t>4</w:t>
            </w:r>
          </w:p>
        </w:tc>
        <w:tc>
          <w:tcPr>
            <w:tcW w:w="0" w:type="auto"/>
            <w:gridSpan w:val="3"/>
            <w:tcMar>
              <w:top w:w="30" w:type="dxa"/>
              <w:left w:w="20" w:type="dxa"/>
              <w:bottom w:w="30" w:type="dxa"/>
              <w:right w:w="20" w:type="dxa"/>
            </w:tcMar>
            <w:vAlign w:val="bottom"/>
            <w:hideMark/>
          </w:tcPr>
          <w:p w14:paraId="4F05372C" w14:textId="77777777" w:rsidR="00000000" w:rsidRDefault="00405D16">
            <w:pPr>
              <w:spacing w:after="100"/>
              <w:divId w:val="856888450"/>
              <w:rPr>
                <w:rFonts w:eastAsia="Times New Roman"/>
              </w:rPr>
            </w:pPr>
            <w:hyperlink w:anchor="idd54a04a485440b4ab4e56094c14d612_118" w:history="1">
              <w:r>
                <w:rPr>
                  <w:rStyle w:val="a3"/>
                  <w:rFonts w:eastAsia="Times New Roman"/>
                  <w:color w:val="000000"/>
                  <w:sz w:val="20"/>
                  <w:szCs w:val="20"/>
                  <w:u w:val="none"/>
                </w:rPr>
                <w:t>Non-Interest Income</w:t>
              </w:r>
            </w:hyperlink>
          </w:p>
        </w:tc>
        <w:tc>
          <w:tcPr>
            <w:tcW w:w="0" w:type="auto"/>
            <w:gridSpan w:val="3"/>
            <w:tcMar>
              <w:top w:w="30" w:type="dxa"/>
              <w:left w:w="20" w:type="dxa"/>
              <w:bottom w:w="30" w:type="dxa"/>
              <w:right w:w="20" w:type="dxa"/>
            </w:tcMar>
            <w:vAlign w:val="bottom"/>
            <w:hideMark/>
          </w:tcPr>
          <w:p w14:paraId="16228075" w14:textId="77777777" w:rsidR="00000000" w:rsidRDefault="00405D16">
            <w:pPr>
              <w:spacing w:after="100"/>
              <w:jc w:val="center"/>
              <w:rPr>
                <w:rFonts w:eastAsia="Times New Roman"/>
              </w:rPr>
            </w:pPr>
            <w:hyperlink w:anchor="idd54a04a485440b4ab4e56094c14d612_118" w:history="1">
              <w:r>
                <w:rPr>
                  <w:rStyle w:val="a3"/>
                  <w:rFonts w:eastAsia="Times New Roman"/>
                  <w:color w:val="000000"/>
                  <w:sz w:val="20"/>
                  <w:szCs w:val="20"/>
                  <w:u w:val="none"/>
                </w:rPr>
                <w:t>15</w:t>
              </w:r>
            </w:hyperlink>
          </w:p>
        </w:tc>
      </w:tr>
      <w:tr w:rsidR="00000000" w14:paraId="463821D5" w14:textId="77777777">
        <w:trPr>
          <w:divId w:val="552078343"/>
          <w:jc w:val="center"/>
        </w:trPr>
        <w:tc>
          <w:tcPr>
            <w:tcW w:w="0" w:type="auto"/>
            <w:gridSpan w:val="3"/>
            <w:tcMar>
              <w:top w:w="30" w:type="dxa"/>
              <w:left w:w="20" w:type="dxa"/>
              <w:bottom w:w="30" w:type="dxa"/>
              <w:right w:w="20" w:type="dxa"/>
            </w:tcMar>
            <w:vAlign w:val="bottom"/>
            <w:hideMark/>
          </w:tcPr>
          <w:p w14:paraId="4DB124E5" w14:textId="77777777" w:rsidR="00000000" w:rsidRDefault="00405D16">
            <w:pPr>
              <w:spacing w:after="100"/>
              <w:jc w:val="center"/>
              <w:rPr>
                <w:rFonts w:eastAsia="Times New Roman"/>
              </w:rPr>
            </w:pPr>
            <w:r>
              <w:rPr>
                <w:rFonts w:eastAsia="Times New Roman"/>
                <w:color w:val="000000"/>
                <w:sz w:val="20"/>
                <w:szCs w:val="20"/>
              </w:rPr>
              <w:t>5</w:t>
            </w:r>
          </w:p>
        </w:tc>
        <w:tc>
          <w:tcPr>
            <w:tcW w:w="0" w:type="auto"/>
            <w:gridSpan w:val="3"/>
            <w:tcMar>
              <w:top w:w="30" w:type="dxa"/>
              <w:left w:w="20" w:type="dxa"/>
              <w:bottom w:w="30" w:type="dxa"/>
              <w:right w:w="20" w:type="dxa"/>
            </w:tcMar>
            <w:vAlign w:val="bottom"/>
            <w:hideMark/>
          </w:tcPr>
          <w:p w14:paraId="1FE148D9" w14:textId="77777777" w:rsidR="00000000" w:rsidRDefault="00405D16">
            <w:pPr>
              <w:spacing w:after="100"/>
              <w:divId w:val="1431731204"/>
              <w:rPr>
                <w:rFonts w:eastAsia="Times New Roman"/>
              </w:rPr>
            </w:pPr>
            <w:hyperlink w:anchor="idd54a04a485440b4ab4e56094c14d612_124" w:history="1">
              <w:r>
                <w:rPr>
                  <w:rStyle w:val="a3"/>
                  <w:rFonts w:eastAsia="Times New Roman"/>
                  <w:color w:val="000000"/>
                  <w:sz w:val="20"/>
                  <w:szCs w:val="20"/>
                  <w:u w:val="none"/>
                </w:rPr>
                <w:t>Non-Interest Expense</w:t>
              </w:r>
            </w:hyperlink>
          </w:p>
        </w:tc>
        <w:tc>
          <w:tcPr>
            <w:tcW w:w="0" w:type="auto"/>
            <w:gridSpan w:val="3"/>
            <w:tcMar>
              <w:top w:w="30" w:type="dxa"/>
              <w:left w:w="20" w:type="dxa"/>
              <w:bottom w:w="30" w:type="dxa"/>
              <w:right w:w="20" w:type="dxa"/>
            </w:tcMar>
            <w:vAlign w:val="bottom"/>
            <w:hideMark/>
          </w:tcPr>
          <w:p w14:paraId="20B476A3" w14:textId="77777777" w:rsidR="00000000" w:rsidRDefault="00405D16">
            <w:pPr>
              <w:spacing w:after="100"/>
              <w:jc w:val="center"/>
              <w:rPr>
                <w:rFonts w:eastAsia="Times New Roman"/>
              </w:rPr>
            </w:pPr>
            <w:hyperlink w:anchor="idd54a04a485440b4ab4e56094c14d612_124" w:history="1">
              <w:r>
                <w:rPr>
                  <w:rStyle w:val="a3"/>
                  <w:rFonts w:eastAsia="Times New Roman"/>
                  <w:color w:val="000000"/>
                  <w:sz w:val="20"/>
                  <w:szCs w:val="20"/>
                  <w:u w:val="none"/>
                </w:rPr>
                <w:t>16</w:t>
              </w:r>
            </w:hyperlink>
          </w:p>
        </w:tc>
      </w:tr>
      <w:tr w:rsidR="00000000" w14:paraId="66D4C400" w14:textId="77777777">
        <w:trPr>
          <w:divId w:val="552078343"/>
          <w:jc w:val="center"/>
        </w:trPr>
        <w:tc>
          <w:tcPr>
            <w:tcW w:w="0" w:type="auto"/>
            <w:gridSpan w:val="3"/>
            <w:tcMar>
              <w:top w:w="30" w:type="dxa"/>
              <w:left w:w="20" w:type="dxa"/>
              <w:bottom w:w="30" w:type="dxa"/>
              <w:right w:w="20" w:type="dxa"/>
            </w:tcMar>
            <w:vAlign w:val="bottom"/>
            <w:hideMark/>
          </w:tcPr>
          <w:p w14:paraId="7276C151" w14:textId="77777777" w:rsidR="00000000" w:rsidRDefault="00405D16">
            <w:pPr>
              <w:spacing w:after="100"/>
              <w:jc w:val="center"/>
              <w:rPr>
                <w:rFonts w:eastAsia="Times New Roman"/>
              </w:rPr>
            </w:pPr>
            <w:r>
              <w:rPr>
                <w:rFonts w:eastAsia="Times New Roman"/>
                <w:color w:val="000000"/>
                <w:sz w:val="20"/>
                <w:szCs w:val="20"/>
              </w:rPr>
              <w:t>6</w:t>
            </w:r>
          </w:p>
        </w:tc>
        <w:tc>
          <w:tcPr>
            <w:tcW w:w="0" w:type="auto"/>
            <w:gridSpan w:val="3"/>
            <w:tcMar>
              <w:top w:w="30" w:type="dxa"/>
              <w:left w:w="20" w:type="dxa"/>
              <w:bottom w:w="30" w:type="dxa"/>
              <w:right w:w="20" w:type="dxa"/>
            </w:tcMar>
            <w:vAlign w:val="bottom"/>
            <w:hideMark/>
          </w:tcPr>
          <w:p w14:paraId="50E33191" w14:textId="77777777" w:rsidR="00000000" w:rsidRDefault="00405D16">
            <w:pPr>
              <w:spacing w:after="100"/>
              <w:divId w:val="1213885317"/>
              <w:rPr>
                <w:rFonts w:eastAsia="Times New Roman"/>
              </w:rPr>
            </w:pPr>
            <w:hyperlink w:anchor="idd54a04a485440b4ab4e56094c14d612_136" w:history="1">
              <w:r>
                <w:rPr>
                  <w:rStyle w:val="a3"/>
                  <w:rFonts w:eastAsia="Times New Roman"/>
                  <w:color w:val="000000"/>
                  <w:sz w:val="20"/>
                  <w:szCs w:val="20"/>
                  <w:u w:val="none"/>
                </w:rPr>
                <w:t>Investment Securities</w:t>
              </w:r>
            </w:hyperlink>
          </w:p>
        </w:tc>
        <w:tc>
          <w:tcPr>
            <w:tcW w:w="0" w:type="auto"/>
            <w:gridSpan w:val="3"/>
            <w:tcMar>
              <w:top w:w="30" w:type="dxa"/>
              <w:left w:w="20" w:type="dxa"/>
              <w:bottom w:w="30" w:type="dxa"/>
              <w:right w:w="20" w:type="dxa"/>
            </w:tcMar>
            <w:vAlign w:val="bottom"/>
            <w:hideMark/>
          </w:tcPr>
          <w:p w14:paraId="36F16C4E" w14:textId="77777777" w:rsidR="00000000" w:rsidRDefault="00405D16">
            <w:pPr>
              <w:spacing w:after="100"/>
              <w:jc w:val="center"/>
              <w:rPr>
                <w:rFonts w:eastAsia="Times New Roman"/>
              </w:rPr>
            </w:pPr>
            <w:hyperlink w:anchor="idd54a04a485440b4ab4e56094c14d612_136" w:history="1">
              <w:r>
                <w:rPr>
                  <w:rStyle w:val="a3"/>
                  <w:rFonts w:eastAsia="Times New Roman"/>
                  <w:color w:val="000000"/>
                  <w:sz w:val="20"/>
                  <w:szCs w:val="20"/>
                  <w:u w:val="none"/>
                </w:rPr>
                <w:t>17</w:t>
              </w:r>
            </w:hyperlink>
          </w:p>
        </w:tc>
      </w:tr>
      <w:tr w:rsidR="00000000" w14:paraId="03ADCEBD" w14:textId="77777777">
        <w:trPr>
          <w:divId w:val="552078343"/>
          <w:jc w:val="center"/>
        </w:trPr>
        <w:tc>
          <w:tcPr>
            <w:tcW w:w="0" w:type="auto"/>
            <w:gridSpan w:val="3"/>
            <w:vAlign w:val="center"/>
            <w:hideMark/>
          </w:tcPr>
          <w:p w14:paraId="0B7021C6" w14:textId="77777777" w:rsidR="00000000" w:rsidRDefault="00405D16">
            <w:pPr>
              <w:spacing w:after="100"/>
              <w:jc w:val="center"/>
              <w:rPr>
                <w:rFonts w:eastAsia="Times New Roman"/>
              </w:rPr>
            </w:pPr>
          </w:p>
        </w:tc>
        <w:tc>
          <w:tcPr>
            <w:tcW w:w="0" w:type="auto"/>
            <w:gridSpan w:val="3"/>
            <w:vAlign w:val="center"/>
            <w:hideMark/>
          </w:tcPr>
          <w:p w14:paraId="67CC6060" w14:textId="77777777" w:rsidR="00000000" w:rsidRDefault="00405D16">
            <w:pPr>
              <w:spacing w:after="100"/>
              <w:rPr>
                <w:rFonts w:eastAsia="Times New Roman"/>
                <w:sz w:val="20"/>
                <w:szCs w:val="20"/>
              </w:rPr>
            </w:pPr>
          </w:p>
        </w:tc>
        <w:tc>
          <w:tcPr>
            <w:tcW w:w="0" w:type="auto"/>
            <w:gridSpan w:val="3"/>
            <w:vAlign w:val="center"/>
            <w:hideMark/>
          </w:tcPr>
          <w:p w14:paraId="269A2C9A" w14:textId="77777777" w:rsidR="00000000" w:rsidRDefault="00405D16">
            <w:pPr>
              <w:spacing w:after="100"/>
              <w:rPr>
                <w:rFonts w:eastAsia="Times New Roman"/>
                <w:sz w:val="20"/>
                <w:szCs w:val="20"/>
              </w:rPr>
            </w:pPr>
          </w:p>
        </w:tc>
      </w:tr>
      <w:tr w:rsidR="00000000" w14:paraId="373056AA" w14:textId="77777777">
        <w:trPr>
          <w:divId w:val="552078343"/>
          <w:jc w:val="center"/>
        </w:trPr>
        <w:tc>
          <w:tcPr>
            <w:tcW w:w="0" w:type="auto"/>
            <w:gridSpan w:val="3"/>
            <w:tcMar>
              <w:top w:w="30" w:type="dxa"/>
              <w:left w:w="20" w:type="dxa"/>
              <w:bottom w:w="30" w:type="dxa"/>
              <w:right w:w="20" w:type="dxa"/>
            </w:tcMar>
            <w:vAlign w:val="bottom"/>
            <w:hideMark/>
          </w:tcPr>
          <w:p w14:paraId="3DE0E461" w14:textId="77777777" w:rsidR="00000000" w:rsidRDefault="00405D16">
            <w:pPr>
              <w:spacing w:after="100"/>
              <w:jc w:val="center"/>
              <w:rPr>
                <w:rFonts w:eastAsia="Times New Roman"/>
              </w:rPr>
            </w:pPr>
            <w:r>
              <w:rPr>
                <w:rFonts w:eastAsia="Times New Roman"/>
                <w:color w:val="000000"/>
                <w:sz w:val="20"/>
                <w:szCs w:val="20"/>
              </w:rPr>
              <w:t>7</w:t>
            </w:r>
          </w:p>
        </w:tc>
        <w:tc>
          <w:tcPr>
            <w:tcW w:w="0" w:type="auto"/>
            <w:gridSpan w:val="3"/>
            <w:tcMar>
              <w:top w:w="30" w:type="dxa"/>
              <w:left w:w="20" w:type="dxa"/>
              <w:bottom w:w="30" w:type="dxa"/>
              <w:right w:w="20" w:type="dxa"/>
            </w:tcMar>
            <w:vAlign w:val="bottom"/>
            <w:hideMark/>
          </w:tcPr>
          <w:p w14:paraId="77A62E28" w14:textId="77777777" w:rsidR="00000000" w:rsidRDefault="00405D16">
            <w:pPr>
              <w:spacing w:after="100"/>
              <w:divId w:val="1988508831"/>
              <w:rPr>
                <w:rFonts w:eastAsia="Times New Roman"/>
              </w:rPr>
            </w:pPr>
            <w:hyperlink w:anchor="idd54a04a485440b4ab4e56094c14d612_139" w:history="1">
              <w:r>
                <w:rPr>
                  <w:rStyle w:val="a3"/>
                  <w:rFonts w:eastAsia="Times New Roman"/>
                  <w:color w:val="000000"/>
                  <w:sz w:val="20"/>
                  <w:szCs w:val="20"/>
                  <w:u w:val="none"/>
                </w:rPr>
                <w:t>Loans Held for Investment</w:t>
              </w:r>
            </w:hyperlink>
          </w:p>
        </w:tc>
        <w:tc>
          <w:tcPr>
            <w:tcW w:w="0" w:type="auto"/>
            <w:gridSpan w:val="3"/>
            <w:tcMar>
              <w:top w:w="30" w:type="dxa"/>
              <w:left w:w="20" w:type="dxa"/>
              <w:bottom w:w="30" w:type="dxa"/>
              <w:right w:w="20" w:type="dxa"/>
            </w:tcMar>
            <w:vAlign w:val="bottom"/>
            <w:hideMark/>
          </w:tcPr>
          <w:p w14:paraId="3D45BB54" w14:textId="77777777" w:rsidR="00000000" w:rsidRDefault="00405D16">
            <w:pPr>
              <w:spacing w:after="100"/>
              <w:jc w:val="center"/>
              <w:rPr>
                <w:rFonts w:eastAsia="Times New Roman"/>
              </w:rPr>
            </w:pPr>
            <w:hyperlink w:anchor="idd54a04a485440b4ab4e56094c14d612_139" w:history="1">
              <w:r>
                <w:rPr>
                  <w:rStyle w:val="a3"/>
                  <w:rFonts w:eastAsia="Times New Roman"/>
                  <w:color w:val="000000"/>
                  <w:sz w:val="20"/>
                  <w:szCs w:val="20"/>
                  <w:u w:val="none"/>
                </w:rPr>
                <w:t>18</w:t>
              </w:r>
            </w:hyperlink>
          </w:p>
        </w:tc>
      </w:tr>
      <w:tr w:rsidR="00000000" w14:paraId="452E2E30" w14:textId="77777777">
        <w:trPr>
          <w:divId w:val="552078343"/>
          <w:jc w:val="center"/>
        </w:trPr>
        <w:tc>
          <w:tcPr>
            <w:tcW w:w="0" w:type="auto"/>
            <w:gridSpan w:val="3"/>
            <w:tcMar>
              <w:top w:w="30" w:type="dxa"/>
              <w:left w:w="20" w:type="dxa"/>
              <w:bottom w:w="30" w:type="dxa"/>
              <w:right w:w="20" w:type="dxa"/>
            </w:tcMar>
            <w:vAlign w:val="bottom"/>
            <w:hideMark/>
          </w:tcPr>
          <w:p w14:paraId="547986BB" w14:textId="77777777" w:rsidR="00000000" w:rsidRDefault="00405D16">
            <w:pPr>
              <w:spacing w:after="100"/>
              <w:jc w:val="center"/>
              <w:rPr>
                <w:rFonts w:eastAsia="Times New Roman"/>
              </w:rPr>
            </w:pPr>
            <w:r>
              <w:rPr>
                <w:rFonts w:eastAsia="Times New Roman"/>
                <w:color w:val="000000"/>
                <w:sz w:val="20"/>
                <w:szCs w:val="20"/>
              </w:rPr>
              <w:t>8</w:t>
            </w:r>
          </w:p>
        </w:tc>
        <w:tc>
          <w:tcPr>
            <w:tcW w:w="0" w:type="auto"/>
            <w:gridSpan w:val="3"/>
            <w:tcMar>
              <w:top w:w="30" w:type="dxa"/>
              <w:left w:w="20" w:type="dxa"/>
              <w:bottom w:w="30" w:type="dxa"/>
              <w:right w:w="20" w:type="dxa"/>
            </w:tcMar>
            <w:vAlign w:val="bottom"/>
            <w:hideMark/>
          </w:tcPr>
          <w:p w14:paraId="55329F01" w14:textId="77777777" w:rsidR="00000000" w:rsidRDefault="00405D16">
            <w:pPr>
              <w:spacing w:after="100"/>
              <w:divId w:val="903829957"/>
              <w:rPr>
                <w:rFonts w:eastAsia="Times New Roman"/>
              </w:rPr>
            </w:pPr>
            <w:hyperlink w:anchor="idd54a04a485440b4ab4e56094c14d612_142" w:history="1">
              <w:r>
                <w:rPr>
                  <w:rStyle w:val="a3"/>
                  <w:rFonts w:eastAsia="Times New Roman"/>
                  <w:color w:val="000000"/>
                  <w:sz w:val="20"/>
                  <w:szCs w:val="20"/>
                  <w:u w:val="none"/>
                </w:rPr>
                <w:t>Funding Sources Composition</w:t>
              </w:r>
            </w:hyperlink>
          </w:p>
        </w:tc>
        <w:tc>
          <w:tcPr>
            <w:tcW w:w="0" w:type="auto"/>
            <w:gridSpan w:val="3"/>
            <w:tcMar>
              <w:top w:w="30" w:type="dxa"/>
              <w:left w:w="20" w:type="dxa"/>
              <w:bottom w:w="30" w:type="dxa"/>
              <w:right w:w="20" w:type="dxa"/>
            </w:tcMar>
            <w:vAlign w:val="bottom"/>
            <w:hideMark/>
          </w:tcPr>
          <w:p w14:paraId="120AD8DC" w14:textId="77777777" w:rsidR="00000000" w:rsidRDefault="00405D16">
            <w:pPr>
              <w:spacing w:after="100"/>
              <w:jc w:val="center"/>
              <w:rPr>
                <w:rFonts w:eastAsia="Times New Roman"/>
              </w:rPr>
            </w:pPr>
            <w:hyperlink w:anchor="idd54a04a485440b4ab4e56094c14d612_142" w:history="1">
              <w:r>
                <w:rPr>
                  <w:rStyle w:val="a3"/>
                  <w:rFonts w:eastAsia="Times New Roman"/>
                  <w:color w:val="000000"/>
                  <w:sz w:val="20"/>
                  <w:szCs w:val="20"/>
                  <w:u w:val="none"/>
                </w:rPr>
                <w:t>18</w:t>
              </w:r>
            </w:hyperlink>
          </w:p>
        </w:tc>
      </w:tr>
      <w:tr w:rsidR="00000000" w14:paraId="1576641C" w14:textId="77777777">
        <w:trPr>
          <w:divId w:val="552078343"/>
          <w:jc w:val="center"/>
        </w:trPr>
        <w:tc>
          <w:tcPr>
            <w:tcW w:w="0" w:type="auto"/>
            <w:gridSpan w:val="3"/>
            <w:tcMar>
              <w:top w:w="30" w:type="dxa"/>
              <w:left w:w="20" w:type="dxa"/>
              <w:bottom w:w="30" w:type="dxa"/>
              <w:right w:w="20" w:type="dxa"/>
            </w:tcMar>
            <w:vAlign w:val="bottom"/>
            <w:hideMark/>
          </w:tcPr>
          <w:p w14:paraId="17AEBF1B" w14:textId="77777777" w:rsidR="00000000" w:rsidRDefault="00405D16">
            <w:pPr>
              <w:spacing w:after="100"/>
              <w:jc w:val="center"/>
              <w:rPr>
                <w:rFonts w:eastAsia="Times New Roman"/>
              </w:rPr>
            </w:pPr>
            <w:r>
              <w:rPr>
                <w:rFonts w:eastAsia="Times New Roman"/>
                <w:color w:val="000000"/>
                <w:sz w:val="20"/>
                <w:szCs w:val="20"/>
              </w:rPr>
              <w:t>9</w:t>
            </w:r>
          </w:p>
        </w:tc>
        <w:tc>
          <w:tcPr>
            <w:tcW w:w="0" w:type="auto"/>
            <w:gridSpan w:val="3"/>
            <w:tcMar>
              <w:top w:w="30" w:type="dxa"/>
              <w:left w:w="20" w:type="dxa"/>
              <w:bottom w:w="30" w:type="dxa"/>
              <w:right w:w="20" w:type="dxa"/>
            </w:tcMar>
            <w:vAlign w:val="bottom"/>
            <w:hideMark/>
          </w:tcPr>
          <w:p w14:paraId="25E63638" w14:textId="77777777" w:rsidR="00000000" w:rsidRDefault="00405D16">
            <w:pPr>
              <w:spacing w:after="100"/>
              <w:divId w:val="2073188427"/>
              <w:rPr>
                <w:rFonts w:eastAsia="Times New Roman"/>
              </w:rPr>
            </w:pPr>
            <w:hyperlink w:anchor="idd54a04a485440b4ab4e56094c14d612_154" w:history="1">
              <w:r>
                <w:rPr>
                  <w:rStyle w:val="a3"/>
                  <w:rFonts w:eastAsia="Times New Roman"/>
                  <w:color w:val="000000"/>
                  <w:sz w:val="20"/>
                  <w:szCs w:val="20"/>
                  <w:u w:val="none"/>
                </w:rPr>
                <w:t>Business Segment Results</w:t>
              </w:r>
            </w:hyperlink>
          </w:p>
        </w:tc>
        <w:tc>
          <w:tcPr>
            <w:tcW w:w="0" w:type="auto"/>
            <w:gridSpan w:val="3"/>
            <w:tcMar>
              <w:top w:w="30" w:type="dxa"/>
              <w:left w:w="20" w:type="dxa"/>
              <w:bottom w:w="30" w:type="dxa"/>
              <w:right w:w="20" w:type="dxa"/>
            </w:tcMar>
            <w:vAlign w:val="bottom"/>
            <w:hideMark/>
          </w:tcPr>
          <w:p w14:paraId="0BBAB9CB" w14:textId="77777777" w:rsidR="00000000" w:rsidRDefault="00405D16">
            <w:pPr>
              <w:spacing w:after="100"/>
              <w:jc w:val="center"/>
              <w:rPr>
                <w:rFonts w:eastAsia="Times New Roman"/>
              </w:rPr>
            </w:pPr>
            <w:hyperlink w:anchor="idd54a04a485440b4ab4e56094c14d612_154" w:history="1">
              <w:r>
                <w:rPr>
                  <w:rStyle w:val="a3"/>
                  <w:rFonts w:eastAsia="Times New Roman"/>
                  <w:color w:val="000000"/>
                  <w:sz w:val="20"/>
                  <w:szCs w:val="20"/>
                  <w:u w:val="none"/>
                </w:rPr>
                <w:t>20</w:t>
              </w:r>
            </w:hyperlink>
          </w:p>
        </w:tc>
      </w:tr>
      <w:tr w:rsidR="00000000" w14:paraId="3AA73A55" w14:textId="77777777">
        <w:trPr>
          <w:divId w:val="552078343"/>
          <w:jc w:val="center"/>
        </w:trPr>
        <w:tc>
          <w:tcPr>
            <w:tcW w:w="0" w:type="auto"/>
            <w:gridSpan w:val="3"/>
            <w:tcMar>
              <w:top w:w="30" w:type="dxa"/>
              <w:left w:w="20" w:type="dxa"/>
              <w:bottom w:w="30" w:type="dxa"/>
              <w:right w:w="20" w:type="dxa"/>
            </w:tcMar>
            <w:vAlign w:val="bottom"/>
            <w:hideMark/>
          </w:tcPr>
          <w:p w14:paraId="79EB44F5" w14:textId="77777777" w:rsidR="00000000" w:rsidRDefault="00405D16">
            <w:pPr>
              <w:spacing w:after="100"/>
              <w:jc w:val="center"/>
              <w:rPr>
                <w:rFonts w:eastAsia="Times New Roman"/>
              </w:rPr>
            </w:pPr>
            <w:r>
              <w:rPr>
                <w:rFonts w:eastAsia="Times New Roman"/>
                <w:color w:val="000000"/>
                <w:sz w:val="20"/>
                <w:szCs w:val="20"/>
              </w:rPr>
              <w:t>10</w:t>
            </w:r>
          </w:p>
        </w:tc>
        <w:tc>
          <w:tcPr>
            <w:tcW w:w="0" w:type="auto"/>
            <w:gridSpan w:val="3"/>
            <w:tcMar>
              <w:top w:w="30" w:type="dxa"/>
              <w:left w:w="20" w:type="dxa"/>
              <w:bottom w:w="30" w:type="dxa"/>
              <w:right w:w="20" w:type="dxa"/>
            </w:tcMar>
            <w:vAlign w:val="bottom"/>
            <w:hideMark/>
          </w:tcPr>
          <w:p w14:paraId="51C17373" w14:textId="77777777" w:rsidR="00000000" w:rsidRDefault="00405D16">
            <w:pPr>
              <w:spacing w:after="100"/>
              <w:divId w:val="1290667229"/>
              <w:rPr>
                <w:rFonts w:eastAsia="Times New Roman"/>
              </w:rPr>
            </w:pPr>
            <w:hyperlink w:anchor="idd54a04a485440b4ab4e56094c14d612_157" w:history="1">
              <w:r>
                <w:rPr>
                  <w:rStyle w:val="a3"/>
                  <w:rFonts w:eastAsia="Times New Roman"/>
                  <w:color w:val="000000"/>
                  <w:sz w:val="20"/>
                  <w:szCs w:val="20"/>
                  <w:u w:val="none"/>
                </w:rPr>
                <w:t>Credit Card Business Results</w:t>
              </w:r>
            </w:hyperlink>
          </w:p>
        </w:tc>
        <w:tc>
          <w:tcPr>
            <w:tcW w:w="0" w:type="auto"/>
            <w:gridSpan w:val="3"/>
            <w:tcMar>
              <w:top w:w="30" w:type="dxa"/>
              <w:left w:w="20" w:type="dxa"/>
              <w:bottom w:w="30" w:type="dxa"/>
              <w:right w:w="20" w:type="dxa"/>
            </w:tcMar>
            <w:vAlign w:val="bottom"/>
            <w:hideMark/>
          </w:tcPr>
          <w:p w14:paraId="0576D3C7" w14:textId="77777777" w:rsidR="00000000" w:rsidRDefault="00405D16">
            <w:pPr>
              <w:spacing w:after="100"/>
              <w:jc w:val="center"/>
              <w:rPr>
                <w:rFonts w:eastAsia="Times New Roman"/>
              </w:rPr>
            </w:pPr>
            <w:hyperlink w:anchor="idd54a04a485440b4ab4e56094c14d612_157" w:history="1">
              <w:r>
                <w:rPr>
                  <w:rStyle w:val="a3"/>
                  <w:rFonts w:eastAsia="Times New Roman"/>
                  <w:color w:val="000000"/>
                  <w:sz w:val="20"/>
                  <w:szCs w:val="20"/>
                  <w:u w:val="none"/>
                </w:rPr>
                <w:t>21</w:t>
              </w:r>
            </w:hyperlink>
          </w:p>
        </w:tc>
      </w:tr>
      <w:tr w:rsidR="00000000" w14:paraId="68AB6451" w14:textId="77777777">
        <w:trPr>
          <w:divId w:val="552078343"/>
          <w:jc w:val="center"/>
        </w:trPr>
        <w:tc>
          <w:tcPr>
            <w:tcW w:w="0" w:type="auto"/>
            <w:gridSpan w:val="3"/>
            <w:tcMar>
              <w:top w:w="30" w:type="dxa"/>
              <w:left w:w="20" w:type="dxa"/>
              <w:bottom w:w="30" w:type="dxa"/>
              <w:right w:w="20" w:type="dxa"/>
            </w:tcMar>
            <w:vAlign w:val="bottom"/>
            <w:hideMark/>
          </w:tcPr>
          <w:p w14:paraId="3C759BD5" w14:textId="77777777" w:rsidR="00000000" w:rsidRDefault="00405D16">
            <w:pPr>
              <w:spacing w:after="100"/>
              <w:jc w:val="center"/>
              <w:rPr>
                <w:rFonts w:eastAsia="Times New Roman"/>
              </w:rPr>
            </w:pPr>
            <w:r>
              <w:rPr>
                <w:rFonts w:eastAsia="Times New Roman"/>
                <w:color w:val="000000"/>
                <w:sz w:val="20"/>
                <w:szCs w:val="20"/>
              </w:rPr>
              <w:t>10.1</w:t>
            </w:r>
          </w:p>
        </w:tc>
        <w:tc>
          <w:tcPr>
            <w:tcW w:w="0" w:type="auto"/>
            <w:gridSpan w:val="3"/>
            <w:tcMar>
              <w:top w:w="30" w:type="dxa"/>
              <w:left w:w="20" w:type="dxa"/>
              <w:bottom w:w="30" w:type="dxa"/>
              <w:right w:w="20" w:type="dxa"/>
            </w:tcMar>
            <w:vAlign w:val="bottom"/>
            <w:hideMark/>
          </w:tcPr>
          <w:p w14:paraId="06E802C3" w14:textId="77777777" w:rsidR="00000000" w:rsidRDefault="00405D16">
            <w:pPr>
              <w:spacing w:after="100"/>
              <w:divId w:val="329677503"/>
              <w:rPr>
                <w:rFonts w:eastAsia="Times New Roman"/>
              </w:rPr>
            </w:pPr>
            <w:hyperlink w:anchor="idd54a04a485440b4ab4e56094c14d612_160" w:history="1">
              <w:r>
                <w:rPr>
                  <w:rStyle w:val="a3"/>
                  <w:rFonts w:eastAsia="Times New Roman"/>
                  <w:color w:val="000000"/>
                  <w:sz w:val="20"/>
                  <w:szCs w:val="20"/>
                  <w:u w:val="none"/>
                </w:rPr>
                <w:t>Domestic Card Business Results</w:t>
              </w:r>
            </w:hyperlink>
          </w:p>
        </w:tc>
        <w:tc>
          <w:tcPr>
            <w:tcW w:w="0" w:type="auto"/>
            <w:gridSpan w:val="3"/>
            <w:tcMar>
              <w:top w:w="30" w:type="dxa"/>
              <w:left w:w="20" w:type="dxa"/>
              <w:bottom w:w="30" w:type="dxa"/>
              <w:right w:w="20" w:type="dxa"/>
            </w:tcMar>
            <w:vAlign w:val="bottom"/>
            <w:hideMark/>
          </w:tcPr>
          <w:p w14:paraId="0DBEB827" w14:textId="77777777" w:rsidR="00000000" w:rsidRDefault="00405D16">
            <w:pPr>
              <w:spacing w:after="100"/>
              <w:jc w:val="center"/>
              <w:rPr>
                <w:rFonts w:eastAsia="Times New Roman"/>
              </w:rPr>
            </w:pPr>
            <w:hyperlink w:anchor="idd54a04a485440b4ab4e56094c14d612_160" w:history="1">
              <w:r>
                <w:rPr>
                  <w:rStyle w:val="a3"/>
                  <w:rFonts w:eastAsia="Times New Roman"/>
                  <w:color w:val="000000"/>
                  <w:sz w:val="20"/>
                  <w:szCs w:val="20"/>
                  <w:u w:val="none"/>
                </w:rPr>
                <w:t>23</w:t>
              </w:r>
            </w:hyperlink>
          </w:p>
        </w:tc>
      </w:tr>
      <w:tr w:rsidR="00000000" w14:paraId="041F9DCE" w14:textId="77777777">
        <w:trPr>
          <w:divId w:val="552078343"/>
          <w:jc w:val="center"/>
        </w:trPr>
        <w:tc>
          <w:tcPr>
            <w:tcW w:w="0" w:type="auto"/>
            <w:gridSpan w:val="3"/>
            <w:tcMar>
              <w:top w:w="30" w:type="dxa"/>
              <w:left w:w="20" w:type="dxa"/>
              <w:bottom w:w="30" w:type="dxa"/>
              <w:right w:w="20" w:type="dxa"/>
            </w:tcMar>
            <w:vAlign w:val="bottom"/>
            <w:hideMark/>
          </w:tcPr>
          <w:p w14:paraId="12346174" w14:textId="77777777" w:rsidR="00000000" w:rsidRDefault="00405D16">
            <w:pPr>
              <w:spacing w:after="100"/>
              <w:jc w:val="center"/>
              <w:rPr>
                <w:rFonts w:eastAsia="Times New Roman"/>
              </w:rPr>
            </w:pPr>
            <w:r>
              <w:rPr>
                <w:rFonts w:eastAsia="Times New Roman"/>
                <w:color w:val="000000"/>
                <w:sz w:val="20"/>
                <w:szCs w:val="20"/>
              </w:rPr>
              <w:t>11</w:t>
            </w:r>
          </w:p>
        </w:tc>
        <w:tc>
          <w:tcPr>
            <w:tcW w:w="0" w:type="auto"/>
            <w:gridSpan w:val="3"/>
            <w:tcMar>
              <w:top w:w="30" w:type="dxa"/>
              <w:left w:w="20" w:type="dxa"/>
              <w:bottom w:w="30" w:type="dxa"/>
              <w:right w:w="20" w:type="dxa"/>
            </w:tcMar>
            <w:vAlign w:val="bottom"/>
            <w:hideMark/>
          </w:tcPr>
          <w:p w14:paraId="7E8B5370" w14:textId="77777777" w:rsidR="00000000" w:rsidRDefault="00405D16">
            <w:pPr>
              <w:spacing w:after="100"/>
              <w:divId w:val="794714866"/>
              <w:rPr>
                <w:rFonts w:eastAsia="Times New Roman"/>
              </w:rPr>
            </w:pPr>
            <w:hyperlink w:anchor="idd54a04a485440b4ab4e56094c14d612_163" w:history="1">
              <w:r>
                <w:rPr>
                  <w:rStyle w:val="a3"/>
                  <w:rFonts w:eastAsia="Times New Roman"/>
                  <w:color w:val="000000"/>
                  <w:sz w:val="20"/>
                  <w:szCs w:val="20"/>
                  <w:u w:val="none"/>
                </w:rPr>
                <w:t>Consumer Banking Business Results</w:t>
              </w:r>
            </w:hyperlink>
          </w:p>
        </w:tc>
        <w:tc>
          <w:tcPr>
            <w:tcW w:w="0" w:type="auto"/>
            <w:gridSpan w:val="3"/>
            <w:tcMar>
              <w:top w:w="30" w:type="dxa"/>
              <w:left w:w="20" w:type="dxa"/>
              <w:bottom w:w="30" w:type="dxa"/>
              <w:right w:w="20" w:type="dxa"/>
            </w:tcMar>
            <w:vAlign w:val="bottom"/>
            <w:hideMark/>
          </w:tcPr>
          <w:p w14:paraId="420CE7A6" w14:textId="77777777" w:rsidR="00000000" w:rsidRDefault="00405D16">
            <w:pPr>
              <w:spacing w:after="100"/>
              <w:jc w:val="center"/>
              <w:rPr>
                <w:rFonts w:eastAsia="Times New Roman"/>
              </w:rPr>
            </w:pPr>
            <w:hyperlink w:anchor="idd54a04a485440b4ab4e56094c14d612_163" w:history="1">
              <w:r>
                <w:rPr>
                  <w:rStyle w:val="a3"/>
                  <w:rFonts w:eastAsia="Times New Roman"/>
                  <w:color w:val="000000"/>
                  <w:sz w:val="20"/>
                  <w:szCs w:val="20"/>
                  <w:u w:val="none"/>
                </w:rPr>
                <w:t>25</w:t>
              </w:r>
            </w:hyperlink>
          </w:p>
        </w:tc>
      </w:tr>
      <w:tr w:rsidR="00000000" w14:paraId="5F2992BE" w14:textId="77777777">
        <w:trPr>
          <w:divId w:val="552078343"/>
          <w:jc w:val="center"/>
        </w:trPr>
        <w:tc>
          <w:tcPr>
            <w:tcW w:w="0" w:type="auto"/>
            <w:gridSpan w:val="3"/>
            <w:tcMar>
              <w:top w:w="30" w:type="dxa"/>
              <w:left w:w="20" w:type="dxa"/>
              <w:bottom w:w="30" w:type="dxa"/>
              <w:right w:w="20" w:type="dxa"/>
            </w:tcMar>
            <w:vAlign w:val="bottom"/>
            <w:hideMark/>
          </w:tcPr>
          <w:p w14:paraId="4BF59AC9" w14:textId="77777777" w:rsidR="00000000" w:rsidRDefault="00405D16">
            <w:pPr>
              <w:spacing w:after="100"/>
              <w:jc w:val="center"/>
              <w:rPr>
                <w:rFonts w:eastAsia="Times New Roman"/>
              </w:rPr>
            </w:pPr>
            <w:r>
              <w:rPr>
                <w:rFonts w:eastAsia="Times New Roman"/>
                <w:color w:val="000000"/>
                <w:sz w:val="20"/>
                <w:szCs w:val="20"/>
              </w:rPr>
              <w:t>12</w:t>
            </w:r>
          </w:p>
        </w:tc>
        <w:tc>
          <w:tcPr>
            <w:tcW w:w="0" w:type="auto"/>
            <w:gridSpan w:val="3"/>
            <w:tcMar>
              <w:top w:w="30" w:type="dxa"/>
              <w:left w:w="20" w:type="dxa"/>
              <w:bottom w:w="30" w:type="dxa"/>
              <w:right w:w="20" w:type="dxa"/>
            </w:tcMar>
            <w:vAlign w:val="bottom"/>
            <w:hideMark/>
          </w:tcPr>
          <w:p w14:paraId="283FFEA4" w14:textId="77777777" w:rsidR="00000000" w:rsidRDefault="00405D16">
            <w:pPr>
              <w:spacing w:after="100"/>
              <w:divId w:val="126356775"/>
              <w:rPr>
                <w:rFonts w:eastAsia="Times New Roman"/>
              </w:rPr>
            </w:pPr>
            <w:hyperlink w:anchor="idd54a04a485440b4ab4e56094c14d612_166" w:history="1">
              <w:r>
                <w:rPr>
                  <w:rStyle w:val="a3"/>
                  <w:rFonts w:eastAsia="Times New Roman"/>
                  <w:color w:val="000000"/>
                  <w:sz w:val="20"/>
                  <w:szCs w:val="20"/>
                  <w:u w:val="none"/>
                </w:rPr>
                <w:t>Commercial Banking Business R</w:t>
              </w:r>
              <w:r>
                <w:rPr>
                  <w:rStyle w:val="a3"/>
                  <w:rFonts w:eastAsia="Times New Roman"/>
                  <w:color w:val="000000"/>
                  <w:sz w:val="20"/>
                  <w:szCs w:val="20"/>
                  <w:u w:val="none"/>
                </w:rPr>
                <w:t>esults</w:t>
              </w:r>
            </w:hyperlink>
          </w:p>
        </w:tc>
        <w:tc>
          <w:tcPr>
            <w:tcW w:w="0" w:type="auto"/>
            <w:gridSpan w:val="3"/>
            <w:tcMar>
              <w:top w:w="30" w:type="dxa"/>
              <w:left w:w="20" w:type="dxa"/>
              <w:bottom w:w="30" w:type="dxa"/>
              <w:right w:w="20" w:type="dxa"/>
            </w:tcMar>
            <w:vAlign w:val="bottom"/>
            <w:hideMark/>
          </w:tcPr>
          <w:p w14:paraId="3A18A974" w14:textId="77777777" w:rsidR="00000000" w:rsidRDefault="00405D16">
            <w:pPr>
              <w:spacing w:after="100"/>
              <w:jc w:val="center"/>
              <w:rPr>
                <w:rFonts w:eastAsia="Times New Roman"/>
              </w:rPr>
            </w:pPr>
            <w:hyperlink w:anchor="idd54a04a485440b4ab4e56094c14d612_166" w:history="1">
              <w:r>
                <w:rPr>
                  <w:rStyle w:val="a3"/>
                  <w:rFonts w:eastAsia="Times New Roman"/>
                  <w:color w:val="000000"/>
                  <w:sz w:val="20"/>
                  <w:szCs w:val="20"/>
                  <w:u w:val="none"/>
                </w:rPr>
                <w:t>27</w:t>
              </w:r>
            </w:hyperlink>
          </w:p>
        </w:tc>
      </w:tr>
      <w:tr w:rsidR="00000000" w14:paraId="4A95E0A8" w14:textId="77777777">
        <w:trPr>
          <w:divId w:val="552078343"/>
          <w:jc w:val="center"/>
        </w:trPr>
        <w:tc>
          <w:tcPr>
            <w:tcW w:w="0" w:type="auto"/>
            <w:gridSpan w:val="3"/>
            <w:tcMar>
              <w:top w:w="30" w:type="dxa"/>
              <w:left w:w="20" w:type="dxa"/>
              <w:bottom w:w="30" w:type="dxa"/>
              <w:right w:w="20" w:type="dxa"/>
            </w:tcMar>
            <w:vAlign w:val="bottom"/>
            <w:hideMark/>
          </w:tcPr>
          <w:p w14:paraId="58EF676D" w14:textId="77777777" w:rsidR="00000000" w:rsidRDefault="00405D16">
            <w:pPr>
              <w:spacing w:after="100"/>
              <w:jc w:val="center"/>
              <w:rPr>
                <w:rFonts w:eastAsia="Times New Roman"/>
              </w:rPr>
            </w:pPr>
            <w:r>
              <w:rPr>
                <w:rFonts w:eastAsia="Times New Roman"/>
                <w:color w:val="000000"/>
                <w:sz w:val="20"/>
                <w:szCs w:val="20"/>
              </w:rPr>
              <w:t>13</w:t>
            </w:r>
          </w:p>
        </w:tc>
        <w:tc>
          <w:tcPr>
            <w:tcW w:w="0" w:type="auto"/>
            <w:gridSpan w:val="3"/>
            <w:tcMar>
              <w:top w:w="30" w:type="dxa"/>
              <w:left w:w="20" w:type="dxa"/>
              <w:bottom w:w="30" w:type="dxa"/>
              <w:right w:w="20" w:type="dxa"/>
            </w:tcMar>
            <w:vAlign w:val="bottom"/>
            <w:hideMark/>
          </w:tcPr>
          <w:p w14:paraId="735FA9B8" w14:textId="77777777" w:rsidR="00000000" w:rsidRDefault="00405D16">
            <w:pPr>
              <w:spacing w:after="100"/>
              <w:divId w:val="256061921"/>
              <w:rPr>
                <w:rFonts w:eastAsia="Times New Roman"/>
              </w:rPr>
            </w:pPr>
            <w:hyperlink w:anchor="idd54a04a485440b4ab4e56094c14d612_169" w:history="1">
              <w:r>
                <w:rPr>
                  <w:rStyle w:val="a3"/>
                  <w:rFonts w:eastAsia="Times New Roman"/>
                  <w:color w:val="000000"/>
                  <w:sz w:val="20"/>
                  <w:szCs w:val="20"/>
                  <w:u w:val="none"/>
                </w:rPr>
                <w:t>Other Category Results</w:t>
              </w:r>
            </w:hyperlink>
          </w:p>
        </w:tc>
        <w:tc>
          <w:tcPr>
            <w:tcW w:w="0" w:type="auto"/>
            <w:gridSpan w:val="3"/>
            <w:tcMar>
              <w:top w:w="30" w:type="dxa"/>
              <w:left w:w="20" w:type="dxa"/>
              <w:bottom w:w="30" w:type="dxa"/>
              <w:right w:w="20" w:type="dxa"/>
            </w:tcMar>
            <w:vAlign w:val="bottom"/>
            <w:hideMark/>
          </w:tcPr>
          <w:p w14:paraId="37FEF1FA" w14:textId="77777777" w:rsidR="00000000" w:rsidRDefault="00405D16">
            <w:pPr>
              <w:spacing w:after="100"/>
              <w:jc w:val="center"/>
              <w:rPr>
                <w:rFonts w:eastAsia="Times New Roman"/>
              </w:rPr>
            </w:pPr>
            <w:hyperlink w:anchor="idd54a04a485440b4ab4e56094c14d612_169" w:history="1">
              <w:r>
                <w:rPr>
                  <w:rStyle w:val="a3"/>
                  <w:rFonts w:eastAsia="Times New Roman"/>
                  <w:color w:val="000000"/>
                  <w:sz w:val="20"/>
                  <w:szCs w:val="20"/>
                  <w:u w:val="none"/>
                </w:rPr>
                <w:t>29</w:t>
              </w:r>
            </w:hyperlink>
          </w:p>
        </w:tc>
      </w:tr>
      <w:tr w:rsidR="00000000" w14:paraId="3BA1CB60" w14:textId="77777777">
        <w:trPr>
          <w:divId w:val="552078343"/>
          <w:jc w:val="center"/>
        </w:trPr>
        <w:tc>
          <w:tcPr>
            <w:tcW w:w="0" w:type="auto"/>
            <w:gridSpan w:val="3"/>
            <w:tcMar>
              <w:top w:w="30" w:type="dxa"/>
              <w:left w:w="20" w:type="dxa"/>
              <w:bottom w:w="30" w:type="dxa"/>
              <w:right w:w="20" w:type="dxa"/>
            </w:tcMar>
            <w:vAlign w:val="bottom"/>
            <w:hideMark/>
          </w:tcPr>
          <w:p w14:paraId="72D868E4" w14:textId="77777777" w:rsidR="00000000" w:rsidRDefault="00405D16">
            <w:pPr>
              <w:spacing w:after="100"/>
              <w:jc w:val="center"/>
              <w:rPr>
                <w:rFonts w:eastAsia="Times New Roman"/>
              </w:rPr>
            </w:pPr>
            <w:r>
              <w:rPr>
                <w:rFonts w:eastAsia="Times New Roman"/>
                <w:color w:val="000000"/>
                <w:sz w:val="20"/>
                <w:szCs w:val="20"/>
              </w:rPr>
              <w:t>14</w:t>
            </w:r>
          </w:p>
        </w:tc>
        <w:tc>
          <w:tcPr>
            <w:tcW w:w="0" w:type="auto"/>
            <w:gridSpan w:val="3"/>
            <w:tcMar>
              <w:top w:w="30" w:type="dxa"/>
              <w:left w:w="20" w:type="dxa"/>
              <w:bottom w:w="30" w:type="dxa"/>
              <w:right w:w="20" w:type="dxa"/>
            </w:tcMar>
            <w:vAlign w:val="bottom"/>
            <w:hideMark/>
          </w:tcPr>
          <w:p w14:paraId="733CE730" w14:textId="77777777" w:rsidR="00000000" w:rsidRDefault="00405D16">
            <w:pPr>
              <w:spacing w:after="100"/>
              <w:divId w:val="626207728"/>
              <w:rPr>
                <w:rFonts w:eastAsia="Times New Roman"/>
              </w:rPr>
            </w:pPr>
            <w:hyperlink w:anchor="idd54a04a485440b4ab4e56094c14d612_187" w:history="1">
              <w:r>
                <w:rPr>
                  <w:rStyle w:val="a3"/>
                  <w:rFonts w:eastAsia="Times New Roman"/>
                  <w:color w:val="000000"/>
                  <w:sz w:val="20"/>
                  <w:szCs w:val="20"/>
                  <w:u w:val="none"/>
                </w:rPr>
                <w:t>Capital Ratios Under Basel III</w:t>
              </w:r>
            </w:hyperlink>
          </w:p>
        </w:tc>
        <w:tc>
          <w:tcPr>
            <w:tcW w:w="0" w:type="auto"/>
            <w:gridSpan w:val="3"/>
            <w:tcMar>
              <w:top w:w="30" w:type="dxa"/>
              <w:left w:w="20" w:type="dxa"/>
              <w:bottom w:w="30" w:type="dxa"/>
              <w:right w:w="20" w:type="dxa"/>
            </w:tcMar>
            <w:vAlign w:val="bottom"/>
            <w:hideMark/>
          </w:tcPr>
          <w:p w14:paraId="027E2017" w14:textId="77777777" w:rsidR="00000000" w:rsidRDefault="00405D16">
            <w:pPr>
              <w:spacing w:after="100"/>
              <w:jc w:val="center"/>
              <w:rPr>
                <w:rFonts w:eastAsia="Times New Roman"/>
              </w:rPr>
            </w:pPr>
            <w:hyperlink w:anchor="idd54a04a485440b4ab4e56094c14d612_187" w:history="1">
              <w:r>
                <w:rPr>
                  <w:rStyle w:val="a3"/>
                  <w:rFonts w:eastAsia="Times New Roman"/>
                  <w:color w:val="000000"/>
                  <w:sz w:val="20"/>
                  <w:szCs w:val="20"/>
                  <w:u w:val="none"/>
                </w:rPr>
                <w:t>33</w:t>
              </w:r>
            </w:hyperlink>
          </w:p>
        </w:tc>
      </w:tr>
      <w:tr w:rsidR="00000000" w14:paraId="2C0EC255" w14:textId="77777777">
        <w:trPr>
          <w:divId w:val="552078343"/>
          <w:jc w:val="center"/>
        </w:trPr>
        <w:tc>
          <w:tcPr>
            <w:tcW w:w="0" w:type="auto"/>
            <w:gridSpan w:val="3"/>
            <w:tcMar>
              <w:top w:w="30" w:type="dxa"/>
              <w:left w:w="20" w:type="dxa"/>
              <w:bottom w:w="30" w:type="dxa"/>
              <w:right w:w="20" w:type="dxa"/>
            </w:tcMar>
            <w:vAlign w:val="bottom"/>
            <w:hideMark/>
          </w:tcPr>
          <w:p w14:paraId="4904047C" w14:textId="77777777" w:rsidR="00000000" w:rsidRDefault="00405D16">
            <w:pPr>
              <w:spacing w:after="100"/>
              <w:jc w:val="center"/>
              <w:rPr>
                <w:rFonts w:eastAsia="Times New Roman"/>
              </w:rPr>
            </w:pPr>
            <w:r>
              <w:rPr>
                <w:rFonts w:eastAsia="Times New Roman"/>
                <w:color w:val="000000"/>
                <w:sz w:val="20"/>
                <w:szCs w:val="20"/>
              </w:rPr>
              <w:t>15</w:t>
            </w:r>
          </w:p>
        </w:tc>
        <w:tc>
          <w:tcPr>
            <w:tcW w:w="0" w:type="auto"/>
            <w:gridSpan w:val="3"/>
            <w:tcMar>
              <w:top w:w="30" w:type="dxa"/>
              <w:left w:w="20" w:type="dxa"/>
              <w:bottom w:w="30" w:type="dxa"/>
              <w:right w:w="20" w:type="dxa"/>
            </w:tcMar>
            <w:vAlign w:val="bottom"/>
            <w:hideMark/>
          </w:tcPr>
          <w:p w14:paraId="3A2CD506" w14:textId="77777777" w:rsidR="00000000" w:rsidRDefault="00405D16">
            <w:pPr>
              <w:spacing w:after="100"/>
              <w:divId w:val="410932231"/>
              <w:rPr>
                <w:rFonts w:eastAsia="Times New Roman"/>
              </w:rPr>
            </w:pPr>
            <w:hyperlink w:anchor="idd54a04a485440b4ab4e56094c14d612_190" w:history="1">
              <w:r>
                <w:rPr>
                  <w:rStyle w:val="a3"/>
                  <w:rFonts w:eastAsia="Times New Roman"/>
                  <w:color w:val="000000"/>
                  <w:sz w:val="20"/>
                  <w:szCs w:val="20"/>
                  <w:u w:val="none"/>
                </w:rPr>
                <w:t>Regulatory Risk-Based Capital Components and Regulatory Capital Metrics</w:t>
              </w:r>
            </w:hyperlink>
          </w:p>
        </w:tc>
        <w:tc>
          <w:tcPr>
            <w:tcW w:w="0" w:type="auto"/>
            <w:gridSpan w:val="3"/>
            <w:tcMar>
              <w:top w:w="30" w:type="dxa"/>
              <w:left w:w="20" w:type="dxa"/>
              <w:bottom w:w="30" w:type="dxa"/>
              <w:right w:w="20" w:type="dxa"/>
            </w:tcMar>
            <w:vAlign w:val="bottom"/>
            <w:hideMark/>
          </w:tcPr>
          <w:p w14:paraId="64F5280F" w14:textId="77777777" w:rsidR="00000000" w:rsidRDefault="00405D16">
            <w:pPr>
              <w:spacing w:after="100"/>
              <w:jc w:val="center"/>
              <w:rPr>
                <w:rFonts w:eastAsia="Times New Roman"/>
              </w:rPr>
            </w:pPr>
            <w:hyperlink w:anchor="idd54a04a485440b4ab4e56094c14d612_190" w:history="1">
              <w:r>
                <w:rPr>
                  <w:rStyle w:val="a3"/>
                  <w:rFonts w:eastAsia="Times New Roman"/>
                  <w:color w:val="000000"/>
                  <w:sz w:val="20"/>
                  <w:szCs w:val="20"/>
                  <w:u w:val="none"/>
                </w:rPr>
                <w:t>34</w:t>
              </w:r>
            </w:hyperlink>
          </w:p>
        </w:tc>
      </w:tr>
      <w:tr w:rsidR="00000000" w14:paraId="247DC3EA" w14:textId="77777777">
        <w:trPr>
          <w:divId w:val="552078343"/>
          <w:jc w:val="center"/>
        </w:trPr>
        <w:tc>
          <w:tcPr>
            <w:tcW w:w="0" w:type="auto"/>
            <w:gridSpan w:val="3"/>
            <w:tcMar>
              <w:top w:w="30" w:type="dxa"/>
              <w:left w:w="20" w:type="dxa"/>
              <w:bottom w:w="30" w:type="dxa"/>
              <w:right w:w="20" w:type="dxa"/>
            </w:tcMar>
            <w:vAlign w:val="bottom"/>
            <w:hideMark/>
          </w:tcPr>
          <w:p w14:paraId="4D420C85" w14:textId="77777777" w:rsidR="00000000" w:rsidRDefault="00405D16">
            <w:pPr>
              <w:spacing w:after="100"/>
              <w:jc w:val="center"/>
              <w:rPr>
                <w:rFonts w:eastAsia="Times New Roman"/>
              </w:rPr>
            </w:pPr>
            <w:r>
              <w:rPr>
                <w:rFonts w:eastAsia="Times New Roman"/>
                <w:color w:val="000000"/>
                <w:sz w:val="20"/>
                <w:szCs w:val="20"/>
              </w:rPr>
              <w:t>16</w:t>
            </w:r>
          </w:p>
        </w:tc>
        <w:tc>
          <w:tcPr>
            <w:tcW w:w="0" w:type="auto"/>
            <w:gridSpan w:val="3"/>
            <w:tcMar>
              <w:top w:w="30" w:type="dxa"/>
              <w:left w:w="20" w:type="dxa"/>
              <w:bottom w:w="30" w:type="dxa"/>
              <w:right w:w="20" w:type="dxa"/>
            </w:tcMar>
            <w:vAlign w:val="bottom"/>
            <w:hideMark/>
          </w:tcPr>
          <w:p w14:paraId="79E73BC1" w14:textId="77777777" w:rsidR="00000000" w:rsidRDefault="00405D16">
            <w:pPr>
              <w:spacing w:after="100"/>
              <w:divId w:val="579684084"/>
              <w:rPr>
                <w:rFonts w:eastAsia="Times New Roman"/>
              </w:rPr>
            </w:pPr>
            <w:hyperlink w:anchor="idd54a04a485440b4ab4e56094c14d612_199" w:history="1">
              <w:r>
                <w:rPr>
                  <w:rStyle w:val="a3"/>
                  <w:rFonts w:eastAsia="Times New Roman"/>
                  <w:color w:val="000000"/>
                  <w:sz w:val="20"/>
                  <w:szCs w:val="20"/>
                  <w:u w:val="none"/>
                </w:rPr>
                <w:t>Preferred Stock Dividends Paid Per Share</w:t>
              </w:r>
            </w:hyperlink>
          </w:p>
        </w:tc>
        <w:tc>
          <w:tcPr>
            <w:tcW w:w="0" w:type="auto"/>
            <w:gridSpan w:val="3"/>
            <w:tcMar>
              <w:top w:w="30" w:type="dxa"/>
              <w:left w:w="20" w:type="dxa"/>
              <w:bottom w:w="30" w:type="dxa"/>
              <w:right w:w="20" w:type="dxa"/>
            </w:tcMar>
            <w:vAlign w:val="bottom"/>
            <w:hideMark/>
          </w:tcPr>
          <w:p w14:paraId="36EC5B77" w14:textId="77777777" w:rsidR="00000000" w:rsidRDefault="00405D16">
            <w:pPr>
              <w:spacing w:after="100"/>
              <w:jc w:val="center"/>
              <w:rPr>
                <w:rFonts w:eastAsia="Times New Roman"/>
              </w:rPr>
            </w:pPr>
            <w:hyperlink w:anchor="idd54a04a485440b4ab4e56094c14d612_199" w:history="1">
              <w:r>
                <w:rPr>
                  <w:rStyle w:val="a3"/>
                  <w:rFonts w:eastAsia="Times New Roman"/>
                  <w:color w:val="000000"/>
                  <w:sz w:val="20"/>
                  <w:szCs w:val="20"/>
                  <w:u w:val="none"/>
                </w:rPr>
                <w:t>36</w:t>
              </w:r>
            </w:hyperlink>
          </w:p>
        </w:tc>
      </w:tr>
      <w:tr w:rsidR="00000000" w14:paraId="02B7582E" w14:textId="77777777">
        <w:trPr>
          <w:divId w:val="552078343"/>
          <w:jc w:val="center"/>
        </w:trPr>
        <w:tc>
          <w:tcPr>
            <w:tcW w:w="0" w:type="auto"/>
            <w:gridSpan w:val="3"/>
            <w:tcMar>
              <w:top w:w="30" w:type="dxa"/>
              <w:left w:w="20" w:type="dxa"/>
              <w:bottom w:w="30" w:type="dxa"/>
              <w:right w:w="20" w:type="dxa"/>
            </w:tcMar>
            <w:vAlign w:val="bottom"/>
            <w:hideMark/>
          </w:tcPr>
          <w:p w14:paraId="07D1C021" w14:textId="77777777" w:rsidR="00000000" w:rsidRDefault="00405D16">
            <w:pPr>
              <w:spacing w:after="100"/>
              <w:jc w:val="center"/>
              <w:rPr>
                <w:rFonts w:eastAsia="Times New Roman"/>
              </w:rPr>
            </w:pPr>
            <w:r>
              <w:rPr>
                <w:rFonts w:eastAsia="Times New Roman"/>
                <w:color w:val="000000"/>
                <w:sz w:val="20"/>
                <w:szCs w:val="20"/>
              </w:rPr>
              <w:lastRenderedPageBreak/>
              <w:t>17</w:t>
            </w:r>
          </w:p>
        </w:tc>
        <w:tc>
          <w:tcPr>
            <w:tcW w:w="0" w:type="auto"/>
            <w:gridSpan w:val="3"/>
            <w:tcMar>
              <w:top w:w="30" w:type="dxa"/>
              <w:left w:w="20" w:type="dxa"/>
              <w:bottom w:w="30" w:type="dxa"/>
              <w:right w:w="20" w:type="dxa"/>
            </w:tcMar>
            <w:vAlign w:val="bottom"/>
            <w:hideMark/>
          </w:tcPr>
          <w:p w14:paraId="14C4567B" w14:textId="77777777" w:rsidR="00000000" w:rsidRDefault="00405D16">
            <w:pPr>
              <w:spacing w:after="100"/>
              <w:divId w:val="576986178"/>
              <w:rPr>
                <w:rFonts w:eastAsia="Times New Roman"/>
              </w:rPr>
            </w:pPr>
            <w:hyperlink w:anchor="idd54a04a485440b4ab4e56094c14d612_208" w:history="1">
              <w:r>
                <w:rPr>
                  <w:rStyle w:val="a3"/>
                  <w:rFonts w:eastAsia="Times New Roman"/>
                  <w:color w:val="000000"/>
                  <w:sz w:val="20"/>
                  <w:szCs w:val="20"/>
                  <w:u w:val="none"/>
                </w:rPr>
                <w:t>Portfolio Composition of Loans Held for Investment</w:t>
              </w:r>
            </w:hyperlink>
          </w:p>
        </w:tc>
        <w:tc>
          <w:tcPr>
            <w:tcW w:w="0" w:type="auto"/>
            <w:gridSpan w:val="3"/>
            <w:tcMar>
              <w:top w:w="30" w:type="dxa"/>
              <w:left w:w="20" w:type="dxa"/>
              <w:bottom w:w="30" w:type="dxa"/>
              <w:right w:w="20" w:type="dxa"/>
            </w:tcMar>
            <w:vAlign w:val="bottom"/>
            <w:hideMark/>
          </w:tcPr>
          <w:p w14:paraId="4B3671C4" w14:textId="77777777" w:rsidR="00000000" w:rsidRDefault="00405D16">
            <w:pPr>
              <w:spacing w:after="100"/>
              <w:jc w:val="center"/>
              <w:rPr>
                <w:rFonts w:eastAsia="Times New Roman"/>
              </w:rPr>
            </w:pPr>
            <w:hyperlink w:anchor="idd54a04a485440b4ab4e56094c14d612_208" w:history="1">
              <w:r>
                <w:rPr>
                  <w:rStyle w:val="a3"/>
                  <w:rFonts w:eastAsia="Times New Roman"/>
                  <w:color w:val="000000"/>
                  <w:sz w:val="20"/>
                  <w:szCs w:val="20"/>
                  <w:u w:val="none"/>
                </w:rPr>
                <w:t>39</w:t>
              </w:r>
            </w:hyperlink>
          </w:p>
        </w:tc>
      </w:tr>
      <w:tr w:rsidR="00000000" w14:paraId="2B80FA59" w14:textId="77777777">
        <w:trPr>
          <w:divId w:val="552078343"/>
          <w:jc w:val="center"/>
        </w:trPr>
        <w:tc>
          <w:tcPr>
            <w:tcW w:w="0" w:type="auto"/>
            <w:gridSpan w:val="3"/>
            <w:vAlign w:val="center"/>
            <w:hideMark/>
          </w:tcPr>
          <w:p w14:paraId="4EBE865F" w14:textId="77777777" w:rsidR="00000000" w:rsidRDefault="00405D16">
            <w:pPr>
              <w:spacing w:after="100"/>
              <w:jc w:val="center"/>
              <w:rPr>
                <w:rFonts w:eastAsia="Times New Roman"/>
              </w:rPr>
            </w:pPr>
          </w:p>
        </w:tc>
        <w:tc>
          <w:tcPr>
            <w:tcW w:w="0" w:type="auto"/>
            <w:gridSpan w:val="3"/>
            <w:vAlign w:val="center"/>
            <w:hideMark/>
          </w:tcPr>
          <w:p w14:paraId="7E35C40D" w14:textId="77777777" w:rsidR="00000000" w:rsidRDefault="00405D16">
            <w:pPr>
              <w:spacing w:after="100"/>
              <w:rPr>
                <w:rFonts w:eastAsia="Times New Roman"/>
                <w:sz w:val="20"/>
                <w:szCs w:val="20"/>
              </w:rPr>
            </w:pPr>
          </w:p>
        </w:tc>
        <w:tc>
          <w:tcPr>
            <w:tcW w:w="0" w:type="auto"/>
            <w:gridSpan w:val="3"/>
            <w:vAlign w:val="center"/>
            <w:hideMark/>
          </w:tcPr>
          <w:p w14:paraId="6FAF19E3" w14:textId="77777777" w:rsidR="00000000" w:rsidRDefault="00405D16">
            <w:pPr>
              <w:spacing w:after="100"/>
              <w:rPr>
                <w:rFonts w:eastAsia="Times New Roman"/>
                <w:sz w:val="20"/>
                <w:szCs w:val="20"/>
              </w:rPr>
            </w:pPr>
          </w:p>
        </w:tc>
      </w:tr>
      <w:tr w:rsidR="00000000" w14:paraId="599AB844" w14:textId="77777777">
        <w:trPr>
          <w:divId w:val="552078343"/>
          <w:jc w:val="center"/>
        </w:trPr>
        <w:tc>
          <w:tcPr>
            <w:tcW w:w="0" w:type="auto"/>
            <w:gridSpan w:val="3"/>
            <w:tcMar>
              <w:top w:w="30" w:type="dxa"/>
              <w:left w:w="20" w:type="dxa"/>
              <w:bottom w:w="30" w:type="dxa"/>
              <w:right w:w="20" w:type="dxa"/>
            </w:tcMar>
            <w:vAlign w:val="bottom"/>
            <w:hideMark/>
          </w:tcPr>
          <w:p w14:paraId="0E10FCEE" w14:textId="77777777" w:rsidR="00000000" w:rsidRDefault="00405D16">
            <w:pPr>
              <w:spacing w:after="100"/>
              <w:jc w:val="center"/>
              <w:rPr>
                <w:rFonts w:eastAsia="Times New Roman"/>
              </w:rPr>
            </w:pPr>
            <w:r>
              <w:rPr>
                <w:rFonts w:eastAsia="Times New Roman"/>
                <w:color w:val="000000"/>
                <w:sz w:val="20"/>
                <w:szCs w:val="20"/>
              </w:rPr>
              <w:t>18</w:t>
            </w:r>
          </w:p>
        </w:tc>
        <w:tc>
          <w:tcPr>
            <w:tcW w:w="0" w:type="auto"/>
            <w:gridSpan w:val="3"/>
            <w:tcMar>
              <w:top w:w="30" w:type="dxa"/>
              <w:left w:w="20" w:type="dxa"/>
              <w:bottom w:w="30" w:type="dxa"/>
              <w:right w:w="20" w:type="dxa"/>
            </w:tcMar>
            <w:vAlign w:val="bottom"/>
            <w:hideMark/>
          </w:tcPr>
          <w:p w14:paraId="3CC3ECB6" w14:textId="77777777" w:rsidR="00000000" w:rsidRDefault="00405D16">
            <w:pPr>
              <w:spacing w:after="100"/>
              <w:divId w:val="572009237"/>
              <w:rPr>
                <w:rFonts w:eastAsia="Times New Roman"/>
              </w:rPr>
            </w:pPr>
            <w:hyperlink w:anchor="idd54a04a485440b4ab4e56094c14d612_214" w:history="1">
              <w:r>
                <w:rPr>
                  <w:rStyle w:val="a3"/>
                  <w:rFonts w:eastAsia="Times New Roman"/>
                  <w:color w:val="000000"/>
                  <w:sz w:val="20"/>
                  <w:szCs w:val="20"/>
                  <w:u w:val="none"/>
                </w:rPr>
                <w:t>Credit Card Portfolio by Geographic Region</w:t>
              </w:r>
            </w:hyperlink>
          </w:p>
        </w:tc>
        <w:tc>
          <w:tcPr>
            <w:tcW w:w="0" w:type="auto"/>
            <w:gridSpan w:val="3"/>
            <w:tcMar>
              <w:top w:w="30" w:type="dxa"/>
              <w:left w:w="20" w:type="dxa"/>
              <w:bottom w:w="30" w:type="dxa"/>
              <w:right w:w="20" w:type="dxa"/>
            </w:tcMar>
            <w:vAlign w:val="bottom"/>
            <w:hideMark/>
          </w:tcPr>
          <w:p w14:paraId="435CC913" w14:textId="77777777" w:rsidR="00000000" w:rsidRDefault="00405D16">
            <w:pPr>
              <w:spacing w:after="100"/>
              <w:jc w:val="center"/>
              <w:rPr>
                <w:rFonts w:eastAsia="Times New Roman"/>
              </w:rPr>
            </w:pPr>
            <w:hyperlink w:anchor="idd54a04a485440b4ab4e56094c14d612_214" w:history="1">
              <w:r>
                <w:rPr>
                  <w:rStyle w:val="a3"/>
                  <w:rFonts w:eastAsia="Times New Roman"/>
                  <w:color w:val="000000"/>
                  <w:sz w:val="20"/>
                  <w:szCs w:val="20"/>
                  <w:u w:val="none"/>
                </w:rPr>
                <w:t>40</w:t>
              </w:r>
            </w:hyperlink>
          </w:p>
        </w:tc>
      </w:tr>
      <w:tr w:rsidR="00000000" w14:paraId="5CB7A666" w14:textId="77777777">
        <w:trPr>
          <w:divId w:val="552078343"/>
          <w:jc w:val="center"/>
        </w:trPr>
        <w:tc>
          <w:tcPr>
            <w:tcW w:w="0" w:type="auto"/>
            <w:gridSpan w:val="3"/>
            <w:tcMar>
              <w:top w:w="30" w:type="dxa"/>
              <w:left w:w="20" w:type="dxa"/>
              <w:bottom w:w="30" w:type="dxa"/>
              <w:right w:w="20" w:type="dxa"/>
            </w:tcMar>
            <w:vAlign w:val="bottom"/>
            <w:hideMark/>
          </w:tcPr>
          <w:p w14:paraId="1F9BE4CB" w14:textId="77777777" w:rsidR="00000000" w:rsidRDefault="00405D16">
            <w:pPr>
              <w:spacing w:after="100"/>
              <w:jc w:val="center"/>
              <w:rPr>
                <w:rFonts w:eastAsia="Times New Roman"/>
              </w:rPr>
            </w:pPr>
            <w:r>
              <w:rPr>
                <w:rFonts w:eastAsia="Times New Roman"/>
                <w:color w:val="000000"/>
                <w:sz w:val="20"/>
                <w:szCs w:val="20"/>
              </w:rPr>
              <w:t>19</w:t>
            </w:r>
          </w:p>
        </w:tc>
        <w:tc>
          <w:tcPr>
            <w:tcW w:w="0" w:type="auto"/>
            <w:gridSpan w:val="3"/>
            <w:tcMar>
              <w:top w:w="30" w:type="dxa"/>
              <w:left w:w="20" w:type="dxa"/>
              <w:bottom w:w="30" w:type="dxa"/>
              <w:right w:w="20" w:type="dxa"/>
            </w:tcMar>
            <w:vAlign w:val="bottom"/>
            <w:hideMark/>
          </w:tcPr>
          <w:p w14:paraId="3AA4FC4A" w14:textId="77777777" w:rsidR="00000000" w:rsidRDefault="00405D16">
            <w:pPr>
              <w:spacing w:after="100"/>
              <w:divId w:val="1779175636"/>
              <w:rPr>
                <w:rFonts w:eastAsia="Times New Roman"/>
              </w:rPr>
            </w:pPr>
            <w:hyperlink w:anchor="idd54a04a485440b4ab4e56094c14d612_217" w:history="1">
              <w:r>
                <w:rPr>
                  <w:rStyle w:val="a3"/>
                  <w:rFonts w:eastAsia="Times New Roman"/>
                  <w:color w:val="000000"/>
                  <w:sz w:val="20"/>
                  <w:szCs w:val="20"/>
                  <w:u w:val="none"/>
                </w:rPr>
                <w:t>Consumer Banking Portfolio by Geographic Region</w:t>
              </w:r>
            </w:hyperlink>
          </w:p>
        </w:tc>
        <w:tc>
          <w:tcPr>
            <w:tcW w:w="0" w:type="auto"/>
            <w:gridSpan w:val="3"/>
            <w:tcMar>
              <w:top w:w="30" w:type="dxa"/>
              <w:left w:w="20" w:type="dxa"/>
              <w:bottom w:w="30" w:type="dxa"/>
              <w:right w:w="20" w:type="dxa"/>
            </w:tcMar>
            <w:vAlign w:val="bottom"/>
            <w:hideMark/>
          </w:tcPr>
          <w:p w14:paraId="666F73BA" w14:textId="77777777" w:rsidR="00000000" w:rsidRDefault="00405D16">
            <w:pPr>
              <w:spacing w:after="100"/>
              <w:jc w:val="center"/>
              <w:rPr>
                <w:rFonts w:eastAsia="Times New Roman"/>
              </w:rPr>
            </w:pPr>
            <w:hyperlink w:anchor="idd54a04a485440b4ab4e56094c14d612_217" w:history="1">
              <w:r>
                <w:rPr>
                  <w:rStyle w:val="a3"/>
                  <w:rFonts w:eastAsia="Times New Roman"/>
                  <w:color w:val="000000"/>
                  <w:sz w:val="20"/>
                  <w:szCs w:val="20"/>
                  <w:u w:val="none"/>
                </w:rPr>
                <w:t>41</w:t>
              </w:r>
            </w:hyperlink>
          </w:p>
        </w:tc>
      </w:tr>
      <w:tr w:rsidR="00000000" w14:paraId="60F8EB80" w14:textId="77777777">
        <w:trPr>
          <w:divId w:val="552078343"/>
          <w:jc w:val="center"/>
        </w:trPr>
        <w:tc>
          <w:tcPr>
            <w:tcW w:w="0" w:type="auto"/>
            <w:gridSpan w:val="3"/>
            <w:tcMar>
              <w:top w:w="30" w:type="dxa"/>
              <w:left w:w="20" w:type="dxa"/>
              <w:bottom w:w="30" w:type="dxa"/>
              <w:right w:w="20" w:type="dxa"/>
            </w:tcMar>
            <w:vAlign w:val="bottom"/>
            <w:hideMark/>
          </w:tcPr>
          <w:p w14:paraId="0C776C40" w14:textId="77777777" w:rsidR="00000000" w:rsidRDefault="00405D16">
            <w:pPr>
              <w:spacing w:after="100"/>
              <w:jc w:val="center"/>
              <w:rPr>
                <w:rFonts w:eastAsia="Times New Roman"/>
              </w:rPr>
            </w:pPr>
            <w:r>
              <w:rPr>
                <w:rFonts w:eastAsia="Times New Roman"/>
                <w:color w:val="000000"/>
                <w:sz w:val="20"/>
                <w:szCs w:val="20"/>
              </w:rPr>
              <w:t>20</w:t>
            </w:r>
          </w:p>
        </w:tc>
        <w:tc>
          <w:tcPr>
            <w:tcW w:w="0" w:type="auto"/>
            <w:gridSpan w:val="3"/>
            <w:tcMar>
              <w:top w:w="30" w:type="dxa"/>
              <w:left w:w="20" w:type="dxa"/>
              <w:bottom w:w="30" w:type="dxa"/>
              <w:right w:w="20" w:type="dxa"/>
            </w:tcMar>
            <w:vAlign w:val="bottom"/>
            <w:hideMark/>
          </w:tcPr>
          <w:p w14:paraId="5C809AE1" w14:textId="77777777" w:rsidR="00000000" w:rsidRDefault="00405D16">
            <w:pPr>
              <w:spacing w:after="100"/>
              <w:divId w:val="434986488"/>
              <w:rPr>
                <w:rFonts w:eastAsia="Times New Roman"/>
              </w:rPr>
            </w:pPr>
            <w:hyperlink w:anchor="idd54a04a485440b4ab4e56094c14d612_220" w:history="1">
              <w:r>
                <w:rPr>
                  <w:rStyle w:val="a3"/>
                  <w:rFonts w:eastAsia="Times New Roman"/>
                  <w:color w:val="000000"/>
                  <w:sz w:val="20"/>
                  <w:szCs w:val="20"/>
                  <w:u w:val="none"/>
                </w:rPr>
                <w:t>Commercial and Multifamily Real Estate Portfolio by Region</w:t>
              </w:r>
            </w:hyperlink>
          </w:p>
        </w:tc>
        <w:tc>
          <w:tcPr>
            <w:tcW w:w="0" w:type="auto"/>
            <w:gridSpan w:val="3"/>
            <w:tcMar>
              <w:top w:w="30" w:type="dxa"/>
              <w:left w:w="20" w:type="dxa"/>
              <w:bottom w:w="30" w:type="dxa"/>
              <w:right w:w="20" w:type="dxa"/>
            </w:tcMar>
            <w:vAlign w:val="bottom"/>
            <w:hideMark/>
          </w:tcPr>
          <w:p w14:paraId="4CC29C74" w14:textId="77777777" w:rsidR="00000000" w:rsidRDefault="00405D16">
            <w:pPr>
              <w:spacing w:after="100"/>
              <w:jc w:val="center"/>
              <w:rPr>
                <w:rFonts w:eastAsia="Times New Roman"/>
              </w:rPr>
            </w:pPr>
            <w:hyperlink w:anchor="idd54a04a485440b4ab4e56094c14d612_220" w:history="1">
              <w:r>
                <w:rPr>
                  <w:rStyle w:val="a3"/>
                  <w:rFonts w:eastAsia="Times New Roman"/>
                  <w:color w:val="000000"/>
                  <w:sz w:val="20"/>
                  <w:szCs w:val="20"/>
                  <w:u w:val="none"/>
                </w:rPr>
                <w:t>41</w:t>
              </w:r>
            </w:hyperlink>
          </w:p>
        </w:tc>
      </w:tr>
      <w:tr w:rsidR="00000000" w14:paraId="2D473A09" w14:textId="77777777">
        <w:trPr>
          <w:divId w:val="552078343"/>
          <w:jc w:val="center"/>
        </w:trPr>
        <w:tc>
          <w:tcPr>
            <w:tcW w:w="0" w:type="auto"/>
            <w:gridSpan w:val="3"/>
            <w:tcMar>
              <w:top w:w="30" w:type="dxa"/>
              <w:left w:w="20" w:type="dxa"/>
              <w:bottom w:w="30" w:type="dxa"/>
              <w:right w:w="20" w:type="dxa"/>
            </w:tcMar>
            <w:vAlign w:val="bottom"/>
            <w:hideMark/>
          </w:tcPr>
          <w:p w14:paraId="486F73C7" w14:textId="77777777" w:rsidR="00000000" w:rsidRDefault="00405D16">
            <w:pPr>
              <w:spacing w:after="100"/>
              <w:jc w:val="center"/>
              <w:rPr>
                <w:rFonts w:eastAsia="Times New Roman"/>
              </w:rPr>
            </w:pPr>
            <w:r>
              <w:rPr>
                <w:rFonts w:eastAsia="Times New Roman"/>
                <w:color w:val="000000"/>
                <w:sz w:val="20"/>
                <w:szCs w:val="20"/>
              </w:rPr>
              <w:t>21</w:t>
            </w:r>
          </w:p>
        </w:tc>
        <w:tc>
          <w:tcPr>
            <w:tcW w:w="0" w:type="auto"/>
            <w:gridSpan w:val="3"/>
            <w:tcMar>
              <w:top w:w="30" w:type="dxa"/>
              <w:left w:w="20" w:type="dxa"/>
              <w:bottom w:w="30" w:type="dxa"/>
              <w:right w:w="20" w:type="dxa"/>
            </w:tcMar>
            <w:vAlign w:val="bottom"/>
            <w:hideMark/>
          </w:tcPr>
          <w:p w14:paraId="76B970CE" w14:textId="77777777" w:rsidR="00000000" w:rsidRDefault="00405D16">
            <w:pPr>
              <w:spacing w:after="100"/>
              <w:divId w:val="107166233"/>
              <w:rPr>
                <w:rFonts w:eastAsia="Times New Roman"/>
              </w:rPr>
            </w:pPr>
            <w:hyperlink w:anchor="idd54a04a485440b4ab4e56094c14d612_223" w:history="1">
              <w:r>
                <w:rPr>
                  <w:rStyle w:val="a3"/>
                  <w:rFonts w:eastAsia="Times New Roman"/>
                  <w:color w:val="000000"/>
                  <w:sz w:val="20"/>
                  <w:szCs w:val="20"/>
                  <w:u w:val="none"/>
                </w:rPr>
                <w:t>Comm</w:t>
              </w:r>
              <w:r>
                <w:rPr>
                  <w:rStyle w:val="a3"/>
                  <w:rFonts w:eastAsia="Times New Roman"/>
                  <w:color w:val="000000"/>
                  <w:sz w:val="20"/>
                  <w:szCs w:val="20"/>
                  <w:u w:val="none"/>
                </w:rPr>
                <w:t>ercial Loans by Industry</w:t>
              </w:r>
            </w:hyperlink>
          </w:p>
        </w:tc>
        <w:tc>
          <w:tcPr>
            <w:tcW w:w="0" w:type="auto"/>
            <w:gridSpan w:val="3"/>
            <w:tcMar>
              <w:top w:w="30" w:type="dxa"/>
              <w:left w:w="20" w:type="dxa"/>
              <w:bottom w:w="30" w:type="dxa"/>
              <w:right w:w="20" w:type="dxa"/>
            </w:tcMar>
            <w:vAlign w:val="bottom"/>
            <w:hideMark/>
          </w:tcPr>
          <w:p w14:paraId="43299508" w14:textId="77777777" w:rsidR="00000000" w:rsidRDefault="00405D16">
            <w:pPr>
              <w:spacing w:after="100"/>
              <w:jc w:val="center"/>
              <w:rPr>
                <w:rFonts w:eastAsia="Times New Roman"/>
              </w:rPr>
            </w:pPr>
            <w:hyperlink w:anchor="idd54a04a485440b4ab4e56094c14d612_223" w:history="1">
              <w:r>
                <w:rPr>
                  <w:rStyle w:val="a3"/>
                  <w:rFonts w:eastAsia="Times New Roman"/>
                  <w:color w:val="000000"/>
                  <w:sz w:val="20"/>
                  <w:szCs w:val="20"/>
                  <w:u w:val="none"/>
                </w:rPr>
                <w:t>42</w:t>
              </w:r>
            </w:hyperlink>
          </w:p>
        </w:tc>
      </w:tr>
      <w:tr w:rsidR="00000000" w14:paraId="79427925" w14:textId="77777777">
        <w:trPr>
          <w:divId w:val="552078343"/>
          <w:jc w:val="center"/>
        </w:trPr>
        <w:tc>
          <w:tcPr>
            <w:tcW w:w="0" w:type="auto"/>
            <w:gridSpan w:val="3"/>
            <w:tcMar>
              <w:top w:w="30" w:type="dxa"/>
              <w:left w:w="20" w:type="dxa"/>
              <w:bottom w:w="30" w:type="dxa"/>
              <w:right w:w="20" w:type="dxa"/>
            </w:tcMar>
            <w:vAlign w:val="bottom"/>
            <w:hideMark/>
          </w:tcPr>
          <w:p w14:paraId="208A34DA" w14:textId="77777777" w:rsidR="00000000" w:rsidRDefault="00405D16">
            <w:pPr>
              <w:spacing w:after="100"/>
              <w:jc w:val="center"/>
              <w:rPr>
                <w:rFonts w:eastAsia="Times New Roman"/>
              </w:rPr>
            </w:pPr>
            <w:r>
              <w:rPr>
                <w:rFonts w:eastAsia="Times New Roman"/>
                <w:color w:val="000000"/>
                <w:sz w:val="20"/>
                <w:szCs w:val="20"/>
              </w:rPr>
              <w:t>22</w:t>
            </w:r>
          </w:p>
        </w:tc>
        <w:tc>
          <w:tcPr>
            <w:tcW w:w="0" w:type="auto"/>
            <w:gridSpan w:val="3"/>
            <w:tcMar>
              <w:top w:w="30" w:type="dxa"/>
              <w:left w:w="20" w:type="dxa"/>
              <w:bottom w:w="30" w:type="dxa"/>
              <w:right w:w="20" w:type="dxa"/>
            </w:tcMar>
            <w:vAlign w:val="bottom"/>
            <w:hideMark/>
          </w:tcPr>
          <w:p w14:paraId="711A50E8" w14:textId="77777777" w:rsidR="00000000" w:rsidRDefault="00405D16">
            <w:pPr>
              <w:spacing w:after="100"/>
              <w:divId w:val="1875995391"/>
              <w:rPr>
                <w:rFonts w:eastAsia="Times New Roman"/>
              </w:rPr>
            </w:pPr>
            <w:hyperlink w:anchor="idd54a04a485440b4ab4e56094c14d612_226" w:history="1">
              <w:r>
                <w:rPr>
                  <w:rStyle w:val="a3"/>
                  <w:rFonts w:eastAsia="Times New Roman"/>
                  <w:color w:val="000000"/>
                  <w:sz w:val="20"/>
                  <w:szCs w:val="20"/>
                  <w:u w:val="none"/>
                </w:rPr>
                <w:t>Credit Score Distribution</w:t>
              </w:r>
            </w:hyperlink>
          </w:p>
        </w:tc>
        <w:tc>
          <w:tcPr>
            <w:tcW w:w="0" w:type="auto"/>
            <w:gridSpan w:val="3"/>
            <w:tcMar>
              <w:top w:w="30" w:type="dxa"/>
              <w:left w:w="20" w:type="dxa"/>
              <w:bottom w:w="30" w:type="dxa"/>
              <w:right w:w="20" w:type="dxa"/>
            </w:tcMar>
            <w:vAlign w:val="bottom"/>
            <w:hideMark/>
          </w:tcPr>
          <w:p w14:paraId="199EB996" w14:textId="77777777" w:rsidR="00000000" w:rsidRDefault="00405D16">
            <w:pPr>
              <w:spacing w:after="100"/>
              <w:jc w:val="center"/>
              <w:rPr>
                <w:rFonts w:eastAsia="Times New Roman"/>
              </w:rPr>
            </w:pPr>
            <w:hyperlink w:anchor="idd54a04a485440b4ab4e56094c14d612_226" w:history="1">
              <w:r>
                <w:rPr>
                  <w:rStyle w:val="a3"/>
                  <w:rFonts w:eastAsia="Times New Roman"/>
                  <w:color w:val="000000"/>
                  <w:sz w:val="20"/>
                  <w:szCs w:val="20"/>
                  <w:u w:val="none"/>
                </w:rPr>
                <w:t>43</w:t>
              </w:r>
            </w:hyperlink>
          </w:p>
        </w:tc>
      </w:tr>
      <w:tr w:rsidR="00000000" w14:paraId="76DEBC2B" w14:textId="77777777">
        <w:trPr>
          <w:divId w:val="552078343"/>
          <w:jc w:val="center"/>
        </w:trPr>
        <w:tc>
          <w:tcPr>
            <w:tcW w:w="0" w:type="auto"/>
            <w:gridSpan w:val="3"/>
            <w:tcMar>
              <w:top w:w="30" w:type="dxa"/>
              <w:left w:w="20" w:type="dxa"/>
              <w:bottom w:w="30" w:type="dxa"/>
              <w:right w:w="20" w:type="dxa"/>
            </w:tcMar>
            <w:vAlign w:val="bottom"/>
            <w:hideMark/>
          </w:tcPr>
          <w:p w14:paraId="062E6F7D" w14:textId="77777777" w:rsidR="00000000" w:rsidRDefault="00405D16">
            <w:pPr>
              <w:spacing w:after="100"/>
              <w:jc w:val="center"/>
              <w:rPr>
                <w:rFonts w:eastAsia="Times New Roman"/>
              </w:rPr>
            </w:pPr>
            <w:r>
              <w:rPr>
                <w:rFonts w:eastAsia="Times New Roman"/>
                <w:color w:val="000000"/>
                <w:sz w:val="20"/>
                <w:szCs w:val="20"/>
              </w:rPr>
              <w:t>23</w:t>
            </w:r>
          </w:p>
        </w:tc>
        <w:tc>
          <w:tcPr>
            <w:tcW w:w="0" w:type="auto"/>
            <w:gridSpan w:val="3"/>
            <w:tcMar>
              <w:top w:w="30" w:type="dxa"/>
              <w:left w:w="20" w:type="dxa"/>
              <w:bottom w:w="30" w:type="dxa"/>
              <w:right w:w="20" w:type="dxa"/>
            </w:tcMar>
            <w:vAlign w:val="bottom"/>
            <w:hideMark/>
          </w:tcPr>
          <w:p w14:paraId="3E77C961" w14:textId="77777777" w:rsidR="00000000" w:rsidRDefault="00405D16">
            <w:pPr>
              <w:spacing w:after="100"/>
              <w:divId w:val="1847212824"/>
              <w:rPr>
                <w:rFonts w:eastAsia="Times New Roman"/>
              </w:rPr>
            </w:pPr>
            <w:hyperlink w:anchor="idd54a04a485440b4ab4e56094c14d612_229" w:history="1">
              <w:r>
                <w:rPr>
                  <w:rStyle w:val="a3"/>
                  <w:rFonts w:eastAsia="Times New Roman"/>
                  <w:color w:val="000000"/>
                  <w:sz w:val="20"/>
                  <w:szCs w:val="20"/>
                  <w:u w:val="none"/>
                </w:rPr>
                <w:t>30+ Day Delinquencies</w:t>
              </w:r>
            </w:hyperlink>
          </w:p>
        </w:tc>
        <w:tc>
          <w:tcPr>
            <w:tcW w:w="0" w:type="auto"/>
            <w:gridSpan w:val="3"/>
            <w:tcMar>
              <w:top w:w="30" w:type="dxa"/>
              <w:left w:w="20" w:type="dxa"/>
              <w:bottom w:w="30" w:type="dxa"/>
              <w:right w:w="20" w:type="dxa"/>
            </w:tcMar>
            <w:vAlign w:val="bottom"/>
            <w:hideMark/>
          </w:tcPr>
          <w:p w14:paraId="14756635" w14:textId="77777777" w:rsidR="00000000" w:rsidRDefault="00405D16">
            <w:pPr>
              <w:spacing w:after="100"/>
              <w:jc w:val="center"/>
              <w:rPr>
                <w:rFonts w:eastAsia="Times New Roman"/>
              </w:rPr>
            </w:pPr>
            <w:hyperlink w:anchor="idd54a04a485440b4ab4e56094c14d612_229" w:history="1">
              <w:r>
                <w:rPr>
                  <w:rStyle w:val="a3"/>
                  <w:rFonts w:eastAsia="Times New Roman"/>
                  <w:color w:val="000000"/>
                  <w:sz w:val="20"/>
                  <w:szCs w:val="20"/>
                  <w:u w:val="none"/>
                </w:rPr>
                <w:t>43</w:t>
              </w:r>
            </w:hyperlink>
          </w:p>
        </w:tc>
      </w:tr>
      <w:tr w:rsidR="00000000" w14:paraId="461776DC" w14:textId="77777777">
        <w:trPr>
          <w:divId w:val="552078343"/>
          <w:jc w:val="center"/>
        </w:trPr>
        <w:tc>
          <w:tcPr>
            <w:tcW w:w="0" w:type="auto"/>
            <w:gridSpan w:val="3"/>
            <w:tcMar>
              <w:top w:w="30" w:type="dxa"/>
              <w:left w:w="20" w:type="dxa"/>
              <w:bottom w:w="30" w:type="dxa"/>
              <w:right w:w="20" w:type="dxa"/>
            </w:tcMar>
            <w:vAlign w:val="bottom"/>
            <w:hideMark/>
          </w:tcPr>
          <w:p w14:paraId="59E5B14F" w14:textId="77777777" w:rsidR="00000000" w:rsidRDefault="00405D16">
            <w:pPr>
              <w:spacing w:after="100"/>
              <w:jc w:val="center"/>
              <w:rPr>
                <w:rFonts w:eastAsia="Times New Roman"/>
              </w:rPr>
            </w:pPr>
            <w:r>
              <w:rPr>
                <w:rFonts w:eastAsia="Times New Roman"/>
                <w:color w:val="000000"/>
                <w:sz w:val="20"/>
                <w:szCs w:val="20"/>
              </w:rPr>
              <w:t>24</w:t>
            </w:r>
          </w:p>
        </w:tc>
        <w:tc>
          <w:tcPr>
            <w:tcW w:w="0" w:type="auto"/>
            <w:gridSpan w:val="3"/>
            <w:tcMar>
              <w:top w:w="30" w:type="dxa"/>
              <w:left w:w="20" w:type="dxa"/>
              <w:bottom w:w="30" w:type="dxa"/>
              <w:right w:w="20" w:type="dxa"/>
            </w:tcMar>
            <w:vAlign w:val="bottom"/>
            <w:hideMark/>
          </w:tcPr>
          <w:p w14:paraId="5BD00EEC" w14:textId="77777777" w:rsidR="00000000" w:rsidRDefault="00405D16">
            <w:pPr>
              <w:spacing w:after="100"/>
              <w:divId w:val="323706911"/>
              <w:rPr>
                <w:rFonts w:eastAsia="Times New Roman"/>
              </w:rPr>
            </w:pPr>
            <w:hyperlink w:anchor="idd54a04a485440b4ab4e56094c14d612_232" w:history="1">
              <w:r>
                <w:rPr>
                  <w:rStyle w:val="a3"/>
                  <w:rFonts w:eastAsia="Times New Roman"/>
                  <w:color w:val="000000"/>
                  <w:sz w:val="20"/>
                  <w:szCs w:val="20"/>
                  <w:u w:val="none"/>
                </w:rPr>
                <w:t>Aging and Geography of 30+ Day Delinquent Loans</w:t>
              </w:r>
            </w:hyperlink>
          </w:p>
        </w:tc>
        <w:tc>
          <w:tcPr>
            <w:tcW w:w="0" w:type="auto"/>
            <w:gridSpan w:val="3"/>
            <w:tcMar>
              <w:top w:w="30" w:type="dxa"/>
              <w:left w:w="20" w:type="dxa"/>
              <w:bottom w:w="30" w:type="dxa"/>
              <w:right w:w="20" w:type="dxa"/>
            </w:tcMar>
            <w:vAlign w:val="bottom"/>
            <w:hideMark/>
          </w:tcPr>
          <w:p w14:paraId="57D94ACD" w14:textId="77777777" w:rsidR="00000000" w:rsidRDefault="00405D16">
            <w:pPr>
              <w:spacing w:after="100"/>
              <w:jc w:val="center"/>
              <w:rPr>
                <w:rFonts w:eastAsia="Times New Roman"/>
              </w:rPr>
            </w:pPr>
            <w:hyperlink w:anchor="idd54a04a485440b4ab4e56094c14d612_232" w:history="1">
              <w:r>
                <w:rPr>
                  <w:rStyle w:val="a3"/>
                  <w:rFonts w:eastAsia="Times New Roman"/>
                  <w:color w:val="000000"/>
                  <w:sz w:val="20"/>
                  <w:szCs w:val="20"/>
                  <w:u w:val="none"/>
                </w:rPr>
                <w:t>44</w:t>
              </w:r>
            </w:hyperlink>
          </w:p>
        </w:tc>
      </w:tr>
      <w:tr w:rsidR="00000000" w14:paraId="5CA30E8E" w14:textId="77777777">
        <w:trPr>
          <w:divId w:val="552078343"/>
          <w:jc w:val="center"/>
        </w:trPr>
        <w:tc>
          <w:tcPr>
            <w:tcW w:w="0" w:type="auto"/>
            <w:gridSpan w:val="3"/>
            <w:tcMar>
              <w:top w:w="30" w:type="dxa"/>
              <w:left w:w="20" w:type="dxa"/>
              <w:bottom w:w="30" w:type="dxa"/>
              <w:right w:w="20" w:type="dxa"/>
            </w:tcMar>
            <w:vAlign w:val="bottom"/>
            <w:hideMark/>
          </w:tcPr>
          <w:p w14:paraId="0D37AE57" w14:textId="77777777" w:rsidR="00000000" w:rsidRDefault="00405D16">
            <w:pPr>
              <w:spacing w:after="100"/>
              <w:jc w:val="center"/>
              <w:rPr>
                <w:rFonts w:eastAsia="Times New Roman"/>
              </w:rPr>
            </w:pPr>
            <w:r>
              <w:rPr>
                <w:rFonts w:eastAsia="Times New Roman"/>
                <w:color w:val="000000"/>
                <w:sz w:val="20"/>
                <w:szCs w:val="20"/>
              </w:rPr>
              <w:t>25</w:t>
            </w:r>
          </w:p>
        </w:tc>
        <w:tc>
          <w:tcPr>
            <w:tcW w:w="0" w:type="auto"/>
            <w:gridSpan w:val="3"/>
            <w:tcMar>
              <w:top w:w="30" w:type="dxa"/>
              <w:left w:w="20" w:type="dxa"/>
              <w:bottom w:w="30" w:type="dxa"/>
              <w:right w:w="20" w:type="dxa"/>
            </w:tcMar>
            <w:vAlign w:val="bottom"/>
            <w:hideMark/>
          </w:tcPr>
          <w:p w14:paraId="2C27FFF8" w14:textId="77777777" w:rsidR="00000000" w:rsidRDefault="00405D16">
            <w:pPr>
              <w:spacing w:after="100"/>
              <w:divId w:val="400249922"/>
              <w:rPr>
                <w:rFonts w:eastAsia="Times New Roman"/>
              </w:rPr>
            </w:pPr>
            <w:hyperlink w:anchor="idd54a04a485440b4ab4e56094c14d612_235" w:history="1">
              <w:r>
                <w:rPr>
                  <w:rStyle w:val="a3"/>
                  <w:rFonts w:eastAsia="Times New Roman"/>
                  <w:color w:val="000000"/>
                  <w:sz w:val="20"/>
                  <w:szCs w:val="20"/>
                  <w:u w:val="none"/>
                </w:rPr>
                <w:t>90+ Day Delinquent Loans Accruing Interest</w:t>
              </w:r>
            </w:hyperlink>
          </w:p>
        </w:tc>
        <w:tc>
          <w:tcPr>
            <w:tcW w:w="0" w:type="auto"/>
            <w:gridSpan w:val="3"/>
            <w:tcMar>
              <w:top w:w="30" w:type="dxa"/>
              <w:left w:w="20" w:type="dxa"/>
              <w:bottom w:w="30" w:type="dxa"/>
              <w:right w:w="20" w:type="dxa"/>
            </w:tcMar>
            <w:vAlign w:val="bottom"/>
            <w:hideMark/>
          </w:tcPr>
          <w:p w14:paraId="1593A80F" w14:textId="77777777" w:rsidR="00000000" w:rsidRDefault="00405D16">
            <w:pPr>
              <w:spacing w:after="100"/>
              <w:jc w:val="center"/>
              <w:rPr>
                <w:rFonts w:eastAsia="Times New Roman"/>
              </w:rPr>
            </w:pPr>
            <w:hyperlink w:anchor="idd54a04a485440b4ab4e56094c14d612_235" w:history="1">
              <w:r>
                <w:rPr>
                  <w:rStyle w:val="a3"/>
                  <w:rFonts w:eastAsia="Times New Roman"/>
                  <w:color w:val="000000"/>
                  <w:sz w:val="20"/>
                  <w:szCs w:val="20"/>
                  <w:u w:val="none"/>
                </w:rPr>
                <w:t>45</w:t>
              </w:r>
            </w:hyperlink>
          </w:p>
        </w:tc>
      </w:tr>
      <w:tr w:rsidR="00000000" w14:paraId="2917CFBC" w14:textId="77777777">
        <w:trPr>
          <w:divId w:val="552078343"/>
          <w:jc w:val="center"/>
        </w:trPr>
        <w:tc>
          <w:tcPr>
            <w:tcW w:w="0" w:type="auto"/>
            <w:gridSpan w:val="3"/>
            <w:tcMar>
              <w:top w:w="30" w:type="dxa"/>
              <w:left w:w="20" w:type="dxa"/>
              <w:bottom w:w="30" w:type="dxa"/>
              <w:right w:w="20" w:type="dxa"/>
            </w:tcMar>
            <w:vAlign w:val="bottom"/>
            <w:hideMark/>
          </w:tcPr>
          <w:p w14:paraId="767245E2" w14:textId="77777777" w:rsidR="00000000" w:rsidRDefault="00405D16">
            <w:pPr>
              <w:spacing w:after="100"/>
              <w:jc w:val="center"/>
              <w:rPr>
                <w:rFonts w:eastAsia="Times New Roman"/>
              </w:rPr>
            </w:pPr>
            <w:r>
              <w:rPr>
                <w:rFonts w:eastAsia="Times New Roman"/>
                <w:color w:val="000000"/>
                <w:sz w:val="20"/>
                <w:szCs w:val="20"/>
              </w:rPr>
              <w:t>26</w:t>
            </w:r>
          </w:p>
        </w:tc>
        <w:tc>
          <w:tcPr>
            <w:tcW w:w="0" w:type="auto"/>
            <w:gridSpan w:val="3"/>
            <w:tcMar>
              <w:top w:w="30" w:type="dxa"/>
              <w:left w:w="20" w:type="dxa"/>
              <w:bottom w:w="30" w:type="dxa"/>
              <w:right w:w="20" w:type="dxa"/>
            </w:tcMar>
            <w:vAlign w:val="bottom"/>
            <w:hideMark/>
          </w:tcPr>
          <w:p w14:paraId="18EFE950" w14:textId="77777777" w:rsidR="00000000" w:rsidRDefault="00405D16">
            <w:pPr>
              <w:spacing w:after="100"/>
              <w:divId w:val="2084720359"/>
              <w:rPr>
                <w:rFonts w:eastAsia="Times New Roman"/>
              </w:rPr>
            </w:pPr>
            <w:hyperlink w:anchor="idd54a04a485440b4ab4e56094c14d612_238" w:history="1">
              <w:r>
                <w:rPr>
                  <w:rStyle w:val="a3"/>
                  <w:rFonts w:eastAsia="Times New Roman"/>
                  <w:color w:val="000000"/>
                  <w:sz w:val="20"/>
                  <w:szCs w:val="20"/>
                  <w:u w:val="none"/>
                </w:rPr>
                <w:t xml:space="preserve">Nonperforming Loans </w:t>
              </w:r>
              <w:r>
                <w:rPr>
                  <w:rStyle w:val="a3"/>
                  <w:rFonts w:eastAsia="Times New Roman"/>
                  <w:color w:val="000000"/>
                  <w:sz w:val="20"/>
                  <w:szCs w:val="20"/>
                  <w:u w:val="none"/>
                </w:rPr>
                <w:t>and Other Nonperforming Assets</w:t>
              </w:r>
            </w:hyperlink>
          </w:p>
        </w:tc>
        <w:tc>
          <w:tcPr>
            <w:tcW w:w="0" w:type="auto"/>
            <w:gridSpan w:val="3"/>
            <w:tcMar>
              <w:top w:w="30" w:type="dxa"/>
              <w:left w:w="20" w:type="dxa"/>
              <w:bottom w:w="30" w:type="dxa"/>
              <w:right w:w="20" w:type="dxa"/>
            </w:tcMar>
            <w:vAlign w:val="bottom"/>
            <w:hideMark/>
          </w:tcPr>
          <w:p w14:paraId="46D65F6E" w14:textId="77777777" w:rsidR="00000000" w:rsidRDefault="00405D16">
            <w:pPr>
              <w:spacing w:after="100"/>
              <w:jc w:val="center"/>
              <w:rPr>
                <w:rFonts w:eastAsia="Times New Roman"/>
              </w:rPr>
            </w:pPr>
            <w:hyperlink w:anchor="idd54a04a485440b4ab4e56094c14d612_238" w:history="1">
              <w:r>
                <w:rPr>
                  <w:rStyle w:val="a3"/>
                  <w:rFonts w:eastAsia="Times New Roman"/>
                  <w:color w:val="000000"/>
                  <w:sz w:val="20"/>
                  <w:szCs w:val="20"/>
                  <w:u w:val="none"/>
                </w:rPr>
                <w:t>46</w:t>
              </w:r>
            </w:hyperlink>
          </w:p>
        </w:tc>
      </w:tr>
      <w:tr w:rsidR="00000000" w14:paraId="5B20FD69" w14:textId="77777777">
        <w:trPr>
          <w:divId w:val="552078343"/>
          <w:jc w:val="center"/>
        </w:trPr>
        <w:tc>
          <w:tcPr>
            <w:tcW w:w="0" w:type="auto"/>
            <w:gridSpan w:val="3"/>
            <w:tcMar>
              <w:top w:w="30" w:type="dxa"/>
              <w:left w:w="20" w:type="dxa"/>
              <w:bottom w:w="30" w:type="dxa"/>
              <w:right w:w="20" w:type="dxa"/>
            </w:tcMar>
            <w:vAlign w:val="bottom"/>
            <w:hideMark/>
          </w:tcPr>
          <w:p w14:paraId="118931CC" w14:textId="77777777" w:rsidR="00000000" w:rsidRDefault="00405D16">
            <w:pPr>
              <w:spacing w:after="100"/>
              <w:jc w:val="center"/>
              <w:rPr>
                <w:rFonts w:eastAsia="Times New Roman"/>
              </w:rPr>
            </w:pPr>
            <w:r>
              <w:rPr>
                <w:rFonts w:eastAsia="Times New Roman"/>
                <w:color w:val="000000"/>
                <w:sz w:val="20"/>
                <w:szCs w:val="20"/>
              </w:rPr>
              <w:t>27</w:t>
            </w:r>
          </w:p>
        </w:tc>
        <w:tc>
          <w:tcPr>
            <w:tcW w:w="0" w:type="auto"/>
            <w:gridSpan w:val="3"/>
            <w:tcMar>
              <w:top w:w="30" w:type="dxa"/>
              <w:left w:w="20" w:type="dxa"/>
              <w:bottom w:w="30" w:type="dxa"/>
              <w:right w:w="20" w:type="dxa"/>
            </w:tcMar>
            <w:vAlign w:val="bottom"/>
            <w:hideMark/>
          </w:tcPr>
          <w:p w14:paraId="5748120F" w14:textId="77777777" w:rsidR="00000000" w:rsidRDefault="00405D16">
            <w:pPr>
              <w:spacing w:after="100"/>
              <w:divId w:val="546524673"/>
              <w:rPr>
                <w:rFonts w:eastAsia="Times New Roman"/>
              </w:rPr>
            </w:pPr>
            <w:hyperlink w:anchor="idd54a04a485440b4ab4e56094c14d612_241" w:history="1">
              <w:r>
                <w:rPr>
                  <w:rStyle w:val="a3"/>
                  <w:rFonts w:eastAsia="Times New Roman"/>
                  <w:color w:val="000000"/>
                  <w:sz w:val="20"/>
                  <w:szCs w:val="20"/>
                  <w:u w:val="none"/>
                </w:rPr>
                <w:t>Net Charge-Offs</w:t>
              </w:r>
            </w:hyperlink>
          </w:p>
        </w:tc>
        <w:tc>
          <w:tcPr>
            <w:tcW w:w="0" w:type="auto"/>
            <w:gridSpan w:val="3"/>
            <w:tcMar>
              <w:top w:w="30" w:type="dxa"/>
              <w:left w:w="20" w:type="dxa"/>
              <w:bottom w:w="30" w:type="dxa"/>
              <w:right w:w="20" w:type="dxa"/>
            </w:tcMar>
            <w:vAlign w:val="bottom"/>
            <w:hideMark/>
          </w:tcPr>
          <w:p w14:paraId="02E9B713" w14:textId="77777777" w:rsidR="00000000" w:rsidRDefault="00405D16">
            <w:pPr>
              <w:spacing w:after="100"/>
              <w:jc w:val="center"/>
              <w:rPr>
                <w:rFonts w:eastAsia="Times New Roman"/>
              </w:rPr>
            </w:pPr>
            <w:hyperlink w:anchor="idd54a04a485440b4ab4e56094c14d612_241" w:history="1">
              <w:r>
                <w:rPr>
                  <w:rStyle w:val="a3"/>
                  <w:rFonts w:eastAsia="Times New Roman"/>
                  <w:color w:val="000000"/>
                  <w:sz w:val="20"/>
                  <w:szCs w:val="20"/>
                  <w:u w:val="none"/>
                </w:rPr>
                <w:t>47</w:t>
              </w:r>
            </w:hyperlink>
          </w:p>
        </w:tc>
      </w:tr>
      <w:tr w:rsidR="00000000" w14:paraId="51C4743F" w14:textId="77777777">
        <w:trPr>
          <w:divId w:val="552078343"/>
          <w:jc w:val="center"/>
        </w:trPr>
        <w:tc>
          <w:tcPr>
            <w:tcW w:w="0" w:type="auto"/>
            <w:gridSpan w:val="3"/>
            <w:tcMar>
              <w:top w:w="30" w:type="dxa"/>
              <w:left w:w="20" w:type="dxa"/>
              <w:bottom w:w="30" w:type="dxa"/>
              <w:right w:w="20" w:type="dxa"/>
            </w:tcMar>
            <w:vAlign w:val="bottom"/>
            <w:hideMark/>
          </w:tcPr>
          <w:p w14:paraId="1BA6971E" w14:textId="77777777" w:rsidR="00000000" w:rsidRDefault="00405D16">
            <w:pPr>
              <w:spacing w:after="100"/>
              <w:jc w:val="center"/>
              <w:rPr>
                <w:rFonts w:eastAsia="Times New Roman"/>
              </w:rPr>
            </w:pPr>
            <w:r>
              <w:rPr>
                <w:rFonts w:eastAsia="Times New Roman"/>
                <w:color w:val="000000"/>
                <w:sz w:val="20"/>
                <w:szCs w:val="20"/>
              </w:rPr>
              <w:t>28</w:t>
            </w:r>
          </w:p>
        </w:tc>
        <w:tc>
          <w:tcPr>
            <w:tcW w:w="0" w:type="auto"/>
            <w:gridSpan w:val="3"/>
            <w:tcMar>
              <w:top w:w="30" w:type="dxa"/>
              <w:left w:w="20" w:type="dxa"/>
              <w:bottom w:w="30" w:type="dxa"/>
              <w:right w:w="20" w:type="dxa"/>
            </w:tcMar>
            <w:vAlign w:val="bottom"/>
            <w:hideMark/>
          </w:tcPr>
          <w:p w14:paraId="61000894" w14:textId="77777777" w:rsidR="00000000" w:rsidRDefault="00405D16">
            <w:pPr>
              <w:spacing w:after="100"/>
              <w:divId w:val="735324004"/>
              <w:rPr>
                <w:rFonts w:eastAsia="Times New Roman"/>
              </w:rPr>
            </w:pPr>
            <w:hyperlink w:anchor="idd54a04a485440b4ab4e56094c14d612_244" w:history="1">
              <w:r>
                <w:rPr>
                  <w:rStyle w:val="a3"/>
                  <w:rFonts w:eastAsia="Times New Roman"/>
                  <w:color w:val="000000"/>
                  <w:sz w:val="20"/>
                  <w:szCs w:val="20"/>
                  <w:u w:val="none"/>
                </w:rPr>
                <w:t>Troubled Debt Restructurings</w:t>
              </w:r>
            </w:hyperlink>
          </w:p>
        </w:tc>
        <w:tc>
          <w:tcPr>
            <w:tcW w:w="0" w:type="auto"/>
            <w:gridSpan w:val="3"/>
            <w:tcMar>
              <w:top w:w="30" w:type="dxa"/>
              <w:left w:w="20" w:type="dxa"/>
              <w:bottom w:w="30" w:type="dxa"/>
              <w:right w:w="20" w:type="dxa"/>
            </w:tcMar>
            <w:vAlign w:val="bottom"/>
            <w:hideMark/>
          </w:tcPr>
          <w:p w14:paraId="5955F5D3" w14:textId="77777777" w:rsidR="00000000" w:rsidRDefault="00405D16">
            <w:pPr>
              <w:spacing w:after="100"/>
              <w:jc w:val="center"/>
              <w:rPr>
                <w:rFonts w:eastAsia="Times New Roman"/>
              </w:rPr>
            </w:pPr>
            <w:hyperlink w:anchor="idd54a04a485440b4ab4e56094c14d612_244" w:history="1">
              <w:r>
                <w:rPr>
                  <w:rStyle w:val="a3"/>
                  <w:rFonts w:eastAsia="Times New Roman"/>
                  <w:color w:val="000000"/>
                  <w:sz w:val="20"/>
                  <w:szCs w:val="20"/>
                  <w:u w:val="none"/>
                </w:rPr>
                <w:t>48</w:t>
              </w:r>
            </w:hyperlink>
          </w:p>
        </w:tc>
      </w:tr>
      <w:tr w:rsidR="00000000" w14:paraId="5D652C9B" w14:textId="77777777">
        <w:trPr>
          <w:divId w:val="552078343"/>
          <w:jc w:val="center"/>
        </w:trPr>
        <w:tc>
          <w:tcPr>
            <w:tcW w:w="0" w:type="auto"/>
            <w:gridSpan w:val="3"/>
            <w:tcMar>
              <w:top w:w="30" w:type="dxa"/>
              <w:left w:w="20" w:type="dxa"/>
              <w:bottom w:w="30" w:type="dxa"/>
              <w:right w:w="20" w:type="dxa"/>
            </w:tcMar>
            <w:vAlign w:val="bottom"/>
            <w:hideMark/>
          </w:tcPr>
          <w:p w14:paraId="78AC717F" w14:textId="77777777" w:rsidR="00000000" w:rsidRDefault="00405D16">
            <w:pPr>
              <w:spacing w:after="100"/>
              <w:jc w:val="center"/>
              <w:rPr>
                <w:rFonts w:eastAsia="Times New Roman"/>
              </w:rPr>
            </w:pPr>
            <w:r>
              <w:rPr>
                <w:rFonts w:eastAsia="Times New Roman"/>
                <w:color w:val="000000"/>
                <w:sz w:val="20"/>
                <w:szCs w:val="20"/>
              </w:rPr>
              <w:t>29</w:t>
            </w:r>
          </w:p>
        </w:tc>
        <w:tc>
          <w:tcPr>
            <w:tcW w:w="0" w:type="auto"/>
            <w:gridSpan w:val="3"/>
            <w:tcMar>
              <w:top w:w="30" w:type="dxa"/>
              <w:left w:w="20" w:type="dxa"/>
              <w:bottom w:w="30" w:type="dxa"/>
              <w:right w:w="20" w:type="dxa"/>
            </w:tcMar>
            <w:vAlign w:val="bottom"/>
            <w:hideMark/>
          </w:tcPr>
          <w:p w14:paraId="0A8B0276" w14:textId="77777777" w:rsidR="00000000" w:rsidRDefault="00405D16">
            <w:pPr>
              <w:spacing w:after="100"/>
              <w:divId w:val="1111780806"/>
              <w:rPr>
                <w:rFonts w:eastAsia="Times New Roman"/>
              </w:rPr>
            </w:pPr>
            <w:hyperlink w:anchor="idd54a04a485440b4ab4e56094c14d612_250" w:history="1">
              <w:r>
                <w:rPr>
                  <w:rStyle w:val="a3"/>
                  <w:rFonts w:eastAsia="Times New Roman"/>
                  <w:color w:val="000000"/>
                  <w:sz w:val="20"/>
                  <w:szCs w:val="20"/>
                  <w:u w:val="none"/>
                </w:rPr>
                <w:t>Allowance for Credit Losses and Reserve for Unfunded Lending Commitments Activity</w:t>
              </w:r>
            </w:hyperlink>
          </w:p>
        </w:tc>
        <w:tc>
          <w:tcPr>
            <w:tcW w:w="0" w:type="auto"/>
            <w:gridSpan w:val="3"/>
            <w:tcMar>
              <w:top w:w="30" w:type="dxa"/>
              <w:left w:w="20" w:type="dxa"/>
              <w:bottom w:w="30" w:type="dxa"/>
              <w:right w:w="20" w:type="dxa"/>
            </w:tcMar>
            <w:vAlign w:val="bottom"/>
            <w:hideMark/>
          </w:tcPr>
          <w:p w14:paraId="11EA1CF2" w14:textId="77777777" w:rsidR="00000000" w:rsidRDefault="00405D16">
            <w:pPr>
              <w:spacing w:after="100"/>
              <w:jc w:val="center"/>
              <w:rPr>
                <w:rFonts w:eastAsia="Times New Roman"/>
              </w:rPr>
            </w:pPr>
            <w:hyperlink w:anchor="idd54a04a485440b4ab4e56094c14d612_250" w:history="1">
              <w:r>
                <w:rPr>
                  <w:rStyle w:val="a3"/>
                  <w:rFonts w:eastAsia="Times New Roman"/>
                  <w:color w:val="000000"/>
                  <w:sz w:val="20"/>
                  <w:szCs w:val="20"/>
                  <w:u w:val="none"/>
                </w:rPr>
                <w:t>49</w:t>
              </w:r>
            </w:hyperlink>
          </w:p>
        </w:tc>
      </w:tr>
      <w:tr w:rsidR="00000000" w14:paraId="3EEAE9BA" w14:textId="77777777">
        <w:trPr>
          <w:divId w:val="552078343"/>
          <w:jc w:val="center"/>
        </w:trPr>
        <w:tc>
          <w:tcPr>
            <w:tcW w:w="0" w:type="auto"/>
            <w:gridSpan w:val="3"/>
            <w:tcMar>
              <w:top w:w="30" w:type="dxa"/>
              <w:left w:w="20" w:type="dxa"/>
              <w:bottom w:w="30" w:type="dxa"/>
              <w:right w:w="20" w:type="dxa"/>
            </w:tcMar>
            <w:vAlign w:val="bottom"/>
            <w:hideMark/>
          </w:tcPr>
          <w:p w14:paraId="0D6D1519" w14:textId="77777777" w:rsidR="00000000" w:rsidRDefault="00405D16">
            <w:pPr>
              <w:spacing w:after="100"/>
              <w:jc w:val="center"/>
              <w:rPr>
                <w:rFonts w:eastAsia="Times New Roman"/>
              </w:rPr>
            </w:pPr>
            <w:r>
              <w:rPr>
                <w:rFonts w:eastAsia="Times New Roman"/>
                <w:color w:val="000000"/>
                <w:sz w:val="20"/>
                <w:szCs w:val="20"/>
              </w:rPr>
              <w:t>30</w:t>
            </w:r>
          </w:p>
        </w:tc>
        <w:tc>
          <w:tcPr>
            <w:tcW w:w="0" w:type="auto"/>
            <w:gridSpan w:val="3"/>
            <w:tcMar>
              <w:top w:w="30" w:type="dxa"/>
              <w:left w:w="20" w:type="dxa"/>
              <w:bottom w:w="30" w:type="dxa"/>
              <w:right w:w="20" w:type="dxa"/>
            </w:tcMar>
            <w:vAlign w:val="bottom"/>
            <w:hideMark/>
          </w:tcPr>
          <w:p w14:paraId="2CCF0AF1" w14:textId="77777777" w:rsidR="00000000" w:rsidRDefault="00405D16">
            <w:pPr>
              <w:spacing w:after="100"/>
              <w:divId w:val="1524132529"/>
              <w:rPr>
                <w:rFonts w:eastAsia="Times New Roman"/>
              </w:rPr>
            </w:pPr>
            <w:hyperlink w:anchor="idd54a04a485440b4ab4e56094c14d612_253" w:history="1">
              <w:r>
                <w:rPr>
                  <w:rStyle w:val="a3"/>
                  <w:rFonts w:eastAsia="Times New Roman"/>
                  <w:color w:val="000000"/>
                  <w:sz w:val="20"/>
                  <w:szCs w:val="20"/>
                  <w:u w:val="none"/>
                </w:rPr>
                <w:t>Allowance Coverage Ratios</w:t>
              </w:r>
            </w:hyperlink>
            <w:r>
              <w:rPr>
                <w:rFonts w:eastAsia="Times New Roman"/>
                <w:color w:val="000000"/>
                <w:sz w:val="20"/>
                <w:szCs w:val="20"/>
              </w:rPr>
              <w:t xml:space="preserve"> for Specified Loan Category</w:t>
            </w:r>
          </w:p>
        </w:tc>
        <w:tc>
          <w:tcPr>
            <w:tcW w:w="0" w:type="auto"/>
            <w:gridSpan w:val="3"/>
            <w:tcMar>
              <w:top w:w="30" w:type="dxa"/>
              <w:left w:w="20" w:type="dxa"/>
              <w:bottom w:w="30" w:type="dxa"/>
              <w:right w:w="20" w:type="dxa"/>
            </w:tcMar>
            <w:vAlign w:val="bottom"/>
            <w:hideMark/>
          </w:tcPr>
          <w:p w14:paraId="1DE3957F" w14:textId="77777777" w:rsidR="00000000" w:rsidRDefault="00405D16">
            <w:pPr>
              <w:spacing w:after="100"/>
              <w:jc w:val="center"/>
              <w:rPr>
                <w:rFonts w:eastAsia="Times New Roman"/>
              </w:rPr>
            </w:pPr>
            <w:hyperlink w:anchor="idd54a04a485440b4ab4e56094c14d612_253" w:history="1">
              <w:r>
                <w:rPr>
                  <w:rStyle w:val="a3"/>
                  <w:rFonts w:eastAsia="Times New Roman"/>
                  <w:color w:val="000000"/>
                  <w:sz w:val="20"/>
                  <w:szCs w:val="20"/>
                  <w:u w:val="none"/>
                </w:rPr>
                <w:t>52</w:t>
              </w:r>
            </w:hyperlink>
          </w:p>
        </w:tc>
      </w:tr>
      <w:tr w:rsidR="00000000" w14:paraId="1EE8CF73" w14:textId="77777777">
        <w:trPr>
          <w:divId w:val="552078343"/>
          <w:jc w:val="center"/>
        </w:trPr>
        <w:tc>
          <w:tcPr>
            <w:tcW w:w="0" w:type="auto"/>
            <w:gridSpan w:val="3"/>
            <w:tcMar>
              <w:top w:w="30" w:type="dxa"/>
              <w:left w:w="20" w:type="dxa"/>
              <w:bottom w:w="30" w:type="dxa"/>
              <w:right w:w="20" w:type="dxa"/>
            </w:tcMar>
            <w:vAlign w:val="bottom"/>
            <w:hideMark/>
          </w:tcPr>
          <w:p w14:paraId="55154E13" w14:textId="77777777" w:rsidR="00000000" w:rsidRDefault="00405D16">
            <w:pPr>
              <w:spacing w:after="100"/>
              <w:jc w:val="center"/>
              <w:rPr>
                <w:rFonts w:eastAsia="Times New Roman"/>
              </w:rPr>
            </w:pPr>
            <w:r>
              <w:rPr>
                <w:rFonts w:eastAsia="Times New Roman"/>
                <w:color w:val="000000"/>
                <w:sz w:val="20"/>
                <w:szCs w:val="20"/>
              </w:rPr>
              <w:t>31</w:t>
            </w:r>
          </w:p>
        </w:tc>
        <w:tc>
          <w:tcPr>
            <w:tcW w:w="0" w:type="auto"/>
            <w:gridSpan w:val="3"/>
            <w:tcMar>
              <w:top w:w="30" w:type="dxa"/>
              <w:left w:w="20" w:type="dxa"/>
              <w:bottom w:w="30" w:type="dxa"/>
              <w:right w:w="20" w:type="dxa"/>
            </w:tcMar>
            <w:vAlign w:val="bottom"/>
            <w:hideMark/>
          </w:tcPr>
          <w:p w14:paraId="2D611003" w14:textId="77777777" w:rsidR="00000000" w:rsidRDefault="00405D16">
            <w:pPr>
              <w:spacing w:after="100"/>
              <w:divId w:val="724911785"/>
              <w:rPr>
                <w:rFonts w:eastAsia="Times New Roman"/>
              </w:rPr>
            </w:pPr>
            <w:hyperlink w:anchor="idd54a04a485440b4ab4e56094c14d612_259" w:history="1">
              <w:r>
                <w:rPr>
                  <w:rStyle w:val="a3"/>
                  <w:rFonts w:eastAsia="Times New Roman"/>
                  <w:color w:val="000000"/>
                  <w:sz w:val="20"/>
                  <w:szCs w:val="20"/>
                  <w:u w:val="none"/>
                </w:rPr>
                <w:t>Liquidity</w:t>
              </w:r>
              <w:r>
                <w:rPr>
                  <w:rStyle w:val="a3"/>
                  <w:rFonts w:eastAsia="Times New Roman"/>
                  <w:color w:val="000000"/>
                  <w:sz w:val="20"/>
                  <w:szCs w:val="20"/>
                  <w:u w:val="none"/>
                </w:rPr>
                <w:t xml:space="preserve"> Reserves</w:t>
              </w:r>
            </w:hyperlink>
          </w:p>
        </w:tc>
        <w:tc>
          <w:tcPr>
            <w:tcW w:w="0" w:type="auto"/>
            <w:gridSpan w:val="3"/>
            <w:tcMar>
              <w:top w:w="30" w:type="dxa"/>
              <w:left w:w="20" w:type="dxa"/>
              <w:bottom w:w="30" w:type="dxa"/>
              <w:right w:w="20" w:type="dxa"/>
            </w:tcMar>
            <w:vAlign w:val="bottom"/>
            <w:hideMark/>
          </w:tcPr>
          <w:p w14:paraId="7FB00626" w14:textId="77777777" w:rsidR="00000000" w:rsidRDefault="00405D16">
            <w:pPr>
              <w:spacing w:after="100"/>
              <w:jc w:val="center"/>
              <w:rPr>
                <w:rFonts w:eastAsia="Times New Roman"/>
              </w:rPr>
            </w:pPr>
            <w:hyperlink w:anchor="idd54a04a485440b4ab4e56094c14d612_259" w:history="1">
              <w:r>
                <w:rPr>
                  <w:rStyle w:val="a3"/>
                  <w:rFonts w:eastAsia="Times New Roman"/>
                  <w:color w:val="000000"/>
                  <w:sz w:val="20"/>
                  <w:szCs w:val="20"/>
                  <w:u w:val="none"/>
                </w:rPr>
                <w:t>52</w:t>
              </w:r>
            </w:hyperlink>
          </w:p>
        </w:tc>
      </w:tr>
      <w:tr w:rsidR="00000000" w14:paraId="0D92B231" w14:textId="77777777">
        <w:trPr>
          <w:divId w:val="552078343"/>
          <w:jc w:val="center"/>
        </w:trPr>
        <w:tc>
          <w:tcPr>
            <w:tcW w:w="0" w:type="auto"/>
            <w:gridSpan w:val="3"/>
            <w:tcMar>
              <w:top w:w="30" w:type="dxa"/>
              <w:left w:w="20" w:type="dxa"/>
              <w:bottom w:w="30" w:type="dxa"/>
              <w:right w:w="20" w:type="dxa"/>
            </w:tcMar>
            <w:vAlign w:val="bottom"/>
            <w:hideMark/>
          </w:tcPr>
          <w:p w14:paraId="646B3B21" w14:textId="77777777" w:rsidR="00000000" w:rsidRDefault="00405D16">
            <w:pPr>
              <w:spacing w:after="100"/>
              <w:jc w:val="center"/>
              <w:rPr>
                <w:rFonts w:eastAsia="Times New Roman"/>
              </w:rPr>
            </w:pPr>
            <w:r>
              <w:rPr>
                <w:rFonts w:eastAsia="Times New Roman"/>
                <w:color w:val="000000"/>
                <w:sz w:val="20"/>
                <w:szCs w:val="20"/>
              </w:rPr>
              <w:t>32</w:t>
            </w:r>
          </w:p>
        </w:tc>
        <w:tc>
          <w:tcPr>
            <w:tcW w:w="0" w:type="auto"/>
            <w:gridSpan w:val="3"/>
            <w:tcMar>
              <w:top w:w="30" w:type="dxa"/>
              <w:left w:w="20" w:type="dxa"/>
              <w:bottom w:w="30" w:type="dxa"/>
              <w:right w:w="20" w:type="dxa"/>
            </w:tcMar>
            <w:vAlign w:val="bottom"/>
            <w:hideMark/>
          </w:tcPr>
          <w:p w14:paraId="00C83E5A" w14:textId="77777777" w:rsidR="00000000" w:rsidRDefault="00405D16">
            <w:pPr>
              <w:spacing w:after="100"/>
              <w:divId w:val="1731491500"/>
              <w:rPr>
                <w:rFonts w:eastAsia="Times New Roman"/>
              </w:rPr>
            </w:pPr>
            <w:hyperlink w:anchor="idd54a04a485440b4ab4e56094c14d612_268" w:history="1">
              <w:r>
                <w:rPr>
                  <w:rStyle w:val="a3"/>
                  <w:rFonts w:eastAsia="Times New Roman"/>
                  <w:color w:val="000000"/>
                  <w:sz w:val="20"/>
                  <w:szCs w:val="20"/>
                  <w:u w:val="none"/>
                </w:rPr>
                <w:t>Deposits Composition and Average Deposits Interest Rates</w:t>
              </w:r>
            </w:hyperlink>
          </w:p>
        </w:tc>
        <w:tc>
          <w:tcPr>
            <w:tcW w:w="0" w:type="auto"/>
            <w:gridSpan w:val="3"/>
            <w:tcMar>
              <w:top w:w="30" w:type="dxa"/>
              <w:left w:w="20" w:type="dxa"/>
              <w:bottom w:w="30" w:type="dxa"/>
              <w:right w:w="20" w:type="dxa"/>
            </w:tcMar>
            <w:vAlign w:val="bottom"/>
            <w:hideMark/>
          </w:tcPr>
          <w:p w14:paraId="1D0CC29D" w14:textId="77777777" w:rsidR="00000000" w:rsidRDefault="00405D16">
            <w:pPr>
              <w:spacing w:after="100"/>
              <w:jc w:val="center"/>
              <w:rPr>
                <w:rFonts w:eastAsia="Times New Roman"/>
              </w:rPr>
            </w:pPr>
            <w:hyperlink w:anchor="idd54a04a485440b4ab4e56094c14d612_268" w:history="1">
              <w:r>
                <w:rPr>
                  <w:rStyle w:val="a3"/>
                  <w:rFonts w:eastAsia="Times New Roman"/>
                  <w:color w:val="000000"/>
                  <w:sz w:val="20"/>
                  <w:szCs w:val="20"/>
                  <w:u w:val="none"/>
                </w:rPr>
                <w:t>54</w:t>
              </w:r>
            </w:hyperlink>
          </w:p>
        </w:tc>
      </w:tr>
      <w:tr w:rsidR="00000000" w14:paraId="4260F566" w14:textId="77777777">
        <w:trPr>
          <w:divId w:val="552078343"/>
          <w:jc w:val="center"/>
        </w:trPr>
        <w:tc>
          <w:tcPr>
            <w:tcW w:w="0" w:type="auto"/>
            <w:gridSpan w:val="3"/>
            <w:vAlign w:val="center"/>
            <w:hideMark/>
          </w:tcPr>
          <w:p w14:paraId="4FCAC6C6" w14:textId="77777777" w:rsidR="00000000" w:rsidRDefault="00405D16">
            <w:pPr>
              <w:spacing w:after="100"/>
              <w:jc w:val="center"/>
              <w:rPr>
                <w:rFonts w:eastAsia="Times New Roman"/>
              </w:rPr>
            </w:pPr>
          </w:p>
        </w:tc>
        <w:tc>
          <w:tcPr>
            <w:tcW w:w="0" w:type="auto"/>
            <w:gridSpan w:val="3"/>
            <w:vAlign w:val="center"/>
            <w:hideMark/>
          </w:tcPr>
          <w:p w14:paraId="31386845" w14:textId="77777777" w:rsidR="00000000" w:rsidRDefault="00405D16">
            <w:pPr>
              <w:spacing w:after="100"/>
              <w:rPr>
                <w:rFonts w:eastAsia="Times New Roman"/>
                <w:sz w:val="20"/>
                <w:szCs w:val="20"/>
              </w:rPr>
            </w:pPr>
          </w:p>
        </w:tc>
        <w:tc>
          <w:tcPr>
            <w:tcW w:w="0" w:type="auto"/>
            <w:gridSpan w:val="3"/>
            <w:vAlign w:val="center"/>
            <w:hideMark/>
          </w:tcPr>
          <w:p w14:paraId="5C04E20D" w14:textId="77777777" w:rsidR="00000000" w:rsidRDefault="00405D16">
            <w:pPr>
              <w:spacing w:after="100"/>
              <w:rPr>
                <w:rFonts w:eastAsia="Times New Roman"/>
                <w:sz w:val="20"/>
                <w:szCs w:val="20"/>
              </w:rPr>
            </w:pPr>
          </w:p>
        </w:tc>
      </w:tr>
      <w:tr w:rsidR="00000000" w14:paraId="089B0D53" w14:textId="77777777">
        <w:trPr>
          <w:divId w:val="552078343"/>
          <w:jc w:val="center"/>
        </w:trPr>
        <w:tc>
          <w:tcPr>
            <w:tcW w:w="0" w:type="auto"/>
            <w:gridSpan w:val="3"/>
            <w:tcMar>
              <w:top w:w="30" w:type="dxa"/>
              <w:left w:w="20" w:type="dxa"/>
              <w:bottom w:w="30" w:type="dxa"/>
              <w:right w:w="20" w:type="dxa"/>
            </w:tcMar>
            <w:vAlign w:val="bottom"/>
            <w:hideMark/>
          </w:tcPr>
          <w:p w14:paraId="1CB31A61" w14:textId="77777777" w:rsidR="00000000" w:rsidRDefault="00405D16">
            <w:pPr>
              <w:spacing w:after="100"/>
              <w:jc w:val="center"/>
              <w:rPr>
                <w:rFonts w:eastAsia="Times New Roman"/>
              </w:rPr>
            </w:pPr>
            <w:r>
              <w:rPr>
                <w:rFonts w:eastAsia="Times New Roman"/>
                <w:color w:val="000000"/>
                <w:sz w:val="20"/>
                <w:szCs w:val="20"/>
              </w:rPr>
              <w:t>33</w:t>
            </w:r>
          </w:p>
        </w:tc>
        <w:tc>
          <w:tcPr>
            <w:tcW w:w="0" w:type="auto"/>
            <w:gridSpan w:val="3"/>
            <w:tcMar>
              <w:top w:w="30" w:type="dxa"/>
              <w:left w:w="20" w:type="dxa"/>
              <w:bottom w:w="30" w:type="dxa"/>
              <w:right w:w="20" w:type="dxa"/>
            </w:tcMar>
            <w:vAlign w:val="bottom"/>
            <w:hideMark/>
          </w:tcPr>
          <w:p w14:paraId="1E07CA4A" w14:textId="77777777" w:rsidR="00000000" w:rsidRDefault="00405D16">
            <w:pPr>
              <w:spacing w:after="100"/>
              <w:divId w:val="1161964420"/>
              <w:rPr>
                <w:rFonts w:eastAsia="Times New Roman"/>
              </w:rPr>
            </w:pPr>
            <w:hyperlink w:anchor="idd54a04a485440b4ab4e56094c14d612_277" w:history="1">
              <w:r>
                <w:rPr>
                  <w:rStyle w:val="a3"/>
                  <w:rFonts w:eastAsia="Times New Roman"/>
                  <w:color w:val="000000"/>
                  <w:sz w:val="20"/>
                  <w:szCs w:val="20"/>
                  <w:u w:val="none"/>
                </w:rPr>
                <w:t>Long-Term Funding</w:t>
              </w:r>
            </w:hyperlink>
          </w:p>
        </w:tc>
        <w:tc>
          <w:tcPr>
            <w:tcW w:w="0" w:type="auto"/>
            <w:gridSpan w:val="3"/>
            <w:tcMar>
              <w:top w:w="30" w:type="dxa"/>
              <w:left w:w="20" w:type="dxa"/>
              <w:bottom w:w="30" w:type="dxa"/>
              <w:right w:w="20" w:type="dxa"/>
            </w:tcMar>
            <w:vAlign w:val="bottom"/>
            <w:hideMark/>
          </w:tcPr>
          <w:p w14:paraId="2BE84490" w14:textId="77777777" w:rsidR="00000000" w:rsidRDefault="00405D16">
            <w:pPr>
              <w:spacing w:after="100"/>
              <w:jc w:val="center"/>
              <w:rPr>
                <w:rFonts w:eastAsia="Times New Roman"/>
              </w:rPr>
            </w:pPr>
            <w:hyperlink w:anchor="idd54a04a485440b4ab4e56094c14d612_277" w:history="1">
              <w:r>
                <w:rPr>
                  <w:rStyle w:val="a3"/>
                  <w:rFonts w:eastAsia="Times New Roman"/>
                  <w:color w:val="000000"/>
                  <w:sz w:val="20"/>
                  <w:szCs w:val="20"/>
                  <w:u w:val="none"/>
                </w:rPr>
                <w:t>55</w:t>
              </w:r>
            </w:hyperlink>
          </w:p>
        </w:tc>
      </w:tr>
      <w:tr w:rsidR="00000000" w14:paraId="5F6F00F5" w14:textId="77777777">
        <w:trPr>
          <w:divId w:val="552078343"/>
          <w:jc w:val="center"/>
        </w:trPr>
        <w:tc>
          <w:tcPr>
            <w:tcW w:w="0" w:type="auto"/>
            <w:gridSpan w:val="3"/>
            <w:tcMar>
              <w:top w:w="30" w:type="dxa"/>
              <w:left w:w="20" w:type="dxa"/>
              <w:bottom w:w="30" w:type="dxa"/>
              <w:right w:w="20" w:type="dxa"/>
            </w:tcMar>
            <w:vAlign w:val="bottom"/>
            <w:hideMark/>
          </w:tcPr>
          <w:p w14:paraId="3F5AE7CB" w14:textId="77777777" w:rsidR="00000000" w:rsidRDefault="00405D16">
            <w:pPr>
              <w:spacing w:after="100"/>
              <w:jc w:val="center"/>
              <w:rPr>
                <w:rFonts w:eastAsia="Times New Roman"/>
              </w:rPr>
            </w:pPr>
            <w:r>
              <w:rPr>
                <w:rFonts w:eastAsia="Times New Roman"/>
                <w:color w:val="000000"/>
                <w:sz w:val="20"/>
                <w:szCs w:val="20"/>
              </w:rPr>
              <w:t>34</w:t>
            </w:r>
          </w:p>
        </w:tc>
        <w:tc>
          <w:tcPr>
            <w:tcW w:w="0" w:type="auto"/>
            <w:gridSpan w:val="3"/>
            <w:tcMar>
              <w:top w:w="30" w:type="dxa"/>
              <w:left w:w="20" w:type="dxa"/>
              <w:bottom w:w="30" w:type="dxa"/>
              <w:right w:w="20" w:type="dxa"/>
            </w:tcMar>
            <w:vAlign w:val="bottom"/>
            <w:hideMark/>
          </w:tcPr>
          <w:p w14:paraId="1D7B2AE5" w14:textId="77777777" w:rsidR="00000000" w:rsidRDefault="00405D16">
            <w:pPr>
              <w:spacing w:after="100"/>
              <w:divId w:val="141704856"/>
              <w:rPr>
                <w:rFonts w:eastAsia="Times New Roman"/>
              </w:rPr>
            </w:pPr>
            <w:hyperlink w:anchor="idd54a04a485440b4ab4e56094c14d612_280" w:history="1">
              <w:r>
                <w:rPr>
                  <w:rStyle w:val="a3"/>
                  <w:rFonts w:eastAsia="Times New Roman"/>
                  <w:color w:val="000000"/>
                  <w:sz w:val="20"/>
                  <w:szCs w:val="20"/>
                  <w:u w:val="none"/>
                </w:rPr>
                <w:t>Senior Unsecured Long-Term Debt Credit Ratings</w:t>
              </w:r>
            </w:hyperlink>
          </w:p>
        </w:tc>
        <w:tc>
          <w:tcPr>
            <w:tcW w:w="0" w:type="auto"/>
            <w:gridSpan w:val="3"/>
            <w:tcMar>
              <w:top w:w="30" w:type="dxa"/>
              <w:left w:w="20" w:type="dxa"/>
              <w:bottom w:w="30" w:type="dxa"/>
              <w:right w:w="20" w:type="dxa"/>
            </w:tcMar>
            <w:vAlign w:val="bottom"/>
            <w:hideMark/>
          </w:tcPr>
          <w:p w14:paraId="192945FF" w14:textId="77777777" w:rsidR="00000000" w:rsidRDefault="00405D16">
            <w:pPr>
              <w:spacing w:after="100"/>
              <w:jc w:val="center"/>
              <w:rPr>
                <w:rFonts w:eastAsia="Times New Roman"/>
              </w:rPr>
            </w:pPr>
            <w:hyperlink w:anchor="idd54a04a485440b4ab4e56094c14d612_280" w:history="1">
              <w:r>
                <w:rPr>
                  <w:rStyle w:val="a3"/>
                  <w:rFonts w:eastAsia="Times New Roman"/>
                  <w:color w:val="000000"/>
                  <w:sz w:val="20"/>
                  <w:szCs w:val="20"/>
                  <w:u w:val="none"/>
                </w:rPr>
                <w:t>55</w:t>
              </w:r>
            </w:hyperlink>
          </w:p>
        </w:tc>
      </w:tr>
      <w:tr w:rsidR="00000000" w14:paraId="60199B27" w14:textId="77777777">
        <w:trPr>
          <w:divId w:val="552078343"/>
          <w:jc w:val="center"/>
        </w:trPr>
        <w:tc>
          <w:tcPr>
            <w:tcW w:w="0" w:type="auto"/>
            <w:gridSpan w:val="3"/>
            <w:vAlign w:val="center"/>
            <w:hideMark/>
          </w:tcPr>
          <w:p w14:paraId="40848F1F" w14:textId="77777777" w:rsidR="00000000" w:rsidRDefault="00405D16">
            <w:pPr>
              <w:spacing w:after="100"/>
              <w:jc w:val="center"/>
              <w:rPr>
                <w:rFonts w:eastAsia="Times New Roman"/>
              </w:rPr>
            </w:pPr>
          </w:p>
        </w:tc>
        <w:tc>
          <w:tcPr>
            <w:tcW w:w="0" w:type="auto"/>
            <w:gridSpan w:val="3"/>
            <w:vAlign w:val="center"/>
            <w:hideMark/>
          </w:tcPr>
          <w:p w14:paraId="3873631E" w14:textId="77777777" w:rsidR="00000000" w:rsidRDefault="00405D16">
            <w:pPr>
              <w:spacing w:after="100"/>
              <w:rPr>
                <w:rFonts w:eastAsia="Times New Roman"/>
                <w:sz w:val="20"/>
                <w:szCs w:val="20"/>
              </w:rPr>
            </w:pPr>
          </w:p>
        </w:tc>
        <w:tc>
          <w:tcPr>
            <w:tcW w:w="0" w:type="auto"/>
            <w:gridSpan w:val="3"/>
            <w:vAlign w:val="center"/>
            <w:hideMark/>
          </w:tcPr>
          <w:p w14:paraId="3DAE3AFC" w14:textId="77777777" w:rsidR="00000000" w:rsidRDefault="00405D16">
            <w:pPr>
              <w:spacing w:after="100"/>
              <w:rPr>
                <w:rFonts w:eastAsia="Times New Roman"/>
                <w:sz w:val="20"/>
                <w:szCs w:val="20"/>
              </w:rPr>
            </w:pPr>
          </w:p>
        </w:tc>
      </w:tr>
      <w:tr w:rsidR="00000000" w14:paraId="531A2DE4" w14:textId="77777777">
        <w:trPr>
          <w:divId w:val="552078343"/>
          <w:jc w:val="center"/>
        </w:trPr>
        <w:tc>
          <w:tcPr>
            <w:tcW w:w="0" w:type="auto"/>
            <w:gridSpan w:val="3"/>
            <w:tcMar>
              <w:top w:w="30" w:type="dxa"/>
              <w:left w:w="20" w:type="dxa"/>
              <w:bottom w:w="30" w:type="dxa"/>
              <w:right w:w="20" w:type="dxa"/>
            </w:tcMar>
            <w:vAlign w:val="bottom"/>
            <w:hideMark/>
          </w:tcPr>
          <w:p w14:paraId="51621D8E" w14:textId="77777777" w:rsidR="00000000" w:rsidRDefault="00405D16">
            <w:pPr>
              <w:spacing w:after="100"/>
              <w:jc w:val="center"/>
              <w:rPr>
                <w:rFonts w:eastAsia="Times New Roman"/>
              </w:rPr>
            </w:pPr>
            <w:r>
              <w:rPr>
                <w:rFonts w:eastAsia="Times New Roman"/>
                <w:color w:val="000000"/>
                <w:sz w:val="20"/>
                <w:szCs w:val="20"/>
              </w:rPr>
              <w:t>35</w:t>
            </w:r>
          </w:p>
        </w:tc>
        <w:tc>
          <w:tcPr>
            <w:tcW w:w="0" w:type="auto"/>
            <w:gridSpan w:val="3"/>
            <w:tcMar>
              <w:top w:w="30" w:type="dxa"/>
              <w:left w:w="20" w:type="dxa"/>
              <w:bottom w:w="30" w:type="dxa"/>
              <w:right w:w="20" w:type="dxa"/>
            </w:tcMar>
            <w:vAlign w:val="bottom"/>
            <w:hideMark/>
          </w:tcPr>
          <w:p w14:paraId="3C14AA20" w14:textId="77777777" w:rsidR="00000000" w:rsidRDefault="00405D16">
            <w:pPr>
              <w:spacing w:after="100"/>
              <w:divId w:val="1656689802"/>
              <w:rPr>
                <w:rFonts w:eastAsia="Times New Roman"/>
              </w:rPr>
            </w:pPr>
            <w:hyperlink w:anchor="idd54a04a485440b4ab4e56094c14d612_289" w:history="1">
              <w:r>
                <w:rPr>
                  <w:rStyle w:val="a3"/>
                  <w:rFonts w:eastAsia="Times New Roman"/>
                  <w:color w:val="000000"/>
                  <w:sz w:val="20"/>
                  <w:szCs w:val="20"/>
                  <w:u w:val="none"/>
                </w:rPr>
                <w:t>Interest Rate Sensitivity Analysis</w:t>
              </w:r>
            </w:hyperlink>
          </w:p>
        </w:tc>
        <w:tc>
          <w:tcPr>
            <w:tcW w:w="0" w:type="auto"/>
            <w:gridSpan w:val="3"/>
            <w:tcMar>
              <w:top w:w="30" w:type="dxa"/>
              <w:left w:w="20" w:type="dxa"/>
              <w:bottom w:w="30" w:type="dxa"/>
              <w:right w:w="20" w:type="dxa"/>
            </w:tcMar>
            <w:vAlign w:val="bottom"/>
            <w:hideMark/>
          </w:tcPr>
          <w:p w14:paraId="7FCF69C9" w14:textId="77777777" w:rsidR="00000000" w:rsidRDefault="00405D16">
            <w:pPr>
              <w:spacing w:after="100"/>
              <w:jc w:val="center"/>
              <w:rPr>
                <w:rFonts w:eastAsia="Times New Roman"/>
              </w:rPr>
            </w:pPr>
            <w:hyperlink w:anchor="idd54a04a485440b4ab4e56094c14d612_289" w:history="1">
              <w:r>
                <w:rPr>
                  <w:rStyle w:val="a3"/>
                  <w:rFonts w:eastAsia="Times New Roman"/>
                  <w:color w:val="000000"/>
                  <w:sz w:val="20"/>
                  <w:szCs w:val="20"/>
                  <w:u w:val="none"/>
                </w:rPr>
                <w:t>56</w:t>
              </w:r>
            </w:hyperlink>
          </w:p>
        </w:tc>
      </w:tr>
      <w:tr w:rsidR="00000000" w14:paraId="51EA8C79" w14:textId="77777777">
        <w:trPr>
          <w:divId w:val="552078343"/>
          <w:trHeight w:val="240"/>
          <w:jc w:val="center"/>
        </w:trPr>
        <w:tc>
          <w:tcPr>
            <w:tcW w:w="0" w:type="auto"/>
            <w:gridSpan w:val="3"/>
            <w:tcMar>
              <w:top w:w="0" w:type="dxa"/>
              <w:left w:w="20" w:type="dxa"/>
              <w:bottom w:w="0" w:type="dxa"/>
              <w:right w:w="20" w:type="dxa"/>
            </w:tcMar>
            <w:vAlign w:val="center"/>
            <w:hideMark/>
          </w:tcPr>
          <w:p w14:paraId="2E5F76FF" w14:textId="77777777" w:rsidR="00000000" w:rsidRDefault="00405D1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F64CF15"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969262D" w14:textId="77777777" w:rsidR="00000000" w:rsidRDefault="00405D16">
            <w:pPr>
              <w:spacing w:after="100"/>
              <w:rPr>
                <w:rFonts w:eastAsia="Times New Roman"/>
                <w:sz w:val="20"/>
                <w:szCs w:val="20"/>
              </w:rPr>
            </w:pPr>
          </w:p>
        </w:tc>
      </w:tr>
      <w:tr w:rsidR="00000000" w14:paraId="7B07A5EE" w14:textId="77777777">
        <w:trPr>
          <w:divId w:val="552078343"/>
          <w:jc w:val="center"/>
        </w:trPr>
        <w:tc>
          <w:tcPr>
            <w:tcW w:w="0" w:type="auto"/>
            <w:gridSpan w:val="6"/>
            <w:tcMar>
              <w:top w:w="30" w:type="dxa"/>
              <w:left w:w="20" w:type="dxa"/>
              <w:bottom w:w="30" w:type="dxa"/>
              <w:right w:w="20" w:type="dxa"/>
            </w:tcMar>
            <w:vAlign w:val="bottom"/>
            <w:hideMark/>
          </w:tcPr>
          <w:p w14:paraId="2E1BEF2D" w14:textId="77777777" w:rsidR="00000000" w:rsidRDefault="00405D16">
            <w:pPr>
              <w:spacing w:after="100"/>
              <w:divId w:val="1828862322"/>
              <w:rPr>
                <w:rFonts w:eastAsia="Times New Roman"/>
              </w:rPr>
            </w:pPr>
            <w:hyperlink w:anchor="idd54a04a485440b4ab4e56094c14d612_301" w:history="1">
              <w:r>
                <w:rPr>
                  <w:rStyle w:val="a3"/>
                  <w:rFonts w:eastAsia="Times New Roman"/>
                  <w:b/>
                  <w:bCs/>
                  <w:color w:val="000000"/>
                  <w:sz w:val="20"/>
                  <w:szCs w:val="20"/>
                  <w:u w:val="none"/>
                </w:rPr>
                <w:t>Supplemental Table</w:t>
              </w:r>
            </w:hyperlink>
            <w:r>
              <w:rPr>
                <w:rFonts w:eastAsia="Times New Roman"/>
                <w:b/>
                <w:bCs/>
                <w:color w:val="000000"/>
                <w:sz w:val="20"/>
                <w:szCs w:val="20"/>
              </w:rPr>
              <w:t>:</w:t>
            </w:r>
          </w:p>
        </w:tc>
        <w:tc>
          <w:tcPr>
            <w:tcW w:w="0" w:type="auto"/>
            <w:gridSpan w:val="3"/>
            <w:tcMar>
              <w:top w:w="0" w:type="dxa"/>
              <w:left w:w="20" w:type="dxa"/>
              <w:bottom w:w="0" w:type="dxa"/>
              <w:right w:w="20" w:type="dxa"/>
            </w:tcMar>
            <w:vAlign w:val="center"/>
            <w:hideMark/>
          </w:tcPr>
          <w:p w14:paraId="00B35670" w14:textId="77777777" w:rsidR="00000000" w:rsidRDefault="00405D16">
            <w:pPr>
              <w:spacing w:after="100"/>
              <w:rPr>
                <w:rFonts w:eastAsia="Times New Roman"/>
              </w:rPr>
            </w:pPr>
          </w:p>
        </w:tc>
      </w:tr>
      <w:tr w:rsidR="00000000" w14:paraId="50859E64" w14:textId="77777777">
        <w:trPr>
          <w:divId w:val="552078343"/>
          <w:jc w:val="center"/>
        </w:trPr>
        <w:tc>
          <w:tcPr>
            <w:tcW w:w="0" w:type="auto"/>
            <w:gridSpan w:val="3"/>
            <w:vAlign w:val="center"/>
            <w:hideMark/>
          </w:tcPr>
          <w:p w14:paraId="6F7591D9" w14:textId="77777777" w:rsidR="00000000" w:rsidRDefault="00405D16">
            <w:pPr>
              <w:spacing w:after="100"/>
              <w:rPr>
                <w:rFonts w:eastAsia="Times New Roman"/>
                <w:sz w:val="20"/>
                <w:szCs w:val="20"/>
              </w:rPr>
            </w:pPr>
          </w:p>
        </w:tc>
        <w:tc>
          <w:tcPr>
            <w:tcW w:w="0" w:type="auto"/>
            <w:gridSpan w:val="3"/>
            <w:vAlign w:val="center"/>
            <w:hideMark/>
          </w:tcPr>
          <w:p w14:paraId="0C6916EA" w14:textId="77777777" w:rsidR="00000000" w:rsidRDefault="00405D16">
            <w:pPr>
              <w:spacing w:after="100"/>
              <w:rPr>
                <w:rFonts w:eastAsia="Times New Roman"/>
                <w:sz w:val="20"/>
                <w:szCs w:val="20"/>
              </w:rPr>
            </w:pPr>
          </w:p>
        </w:tc>
        <w:tc>
          <w:tcPr>
            <w:tcW w:w="0" w:type="auto"/>
            <w:gridSpan w:val="3"/>
            <w:vAlign w:val="center"/>
            <w:hideMark/>
          </w:tcPr>
          <w:p w14:paraId="36A0C3D5" w14:textId="77777777" w:rsidR="00000000" w:rsidRDefault="00405D16">
            <w:pPr>
              <w:spacing w:after="100"/>
              <w:rPr>
                <w:rFonts w:eastAsia="Times New Roman"/>
                <w:sz w:val="20"/>
                <w:szCs w:val="20"/>
              </w:rPr>
            </w:pPr>
          </w:p>
        </w:tc>
      </w:tr>
      <w:tr w:rsidR="00000000" w14:paraId="427BC61E" w14:textId="77777777">
        <w:trPr>
          <w:divId w:val="552078343"/>
          <w:jc w:val="center"/>
        </w:trPr>
        <w:tc>
          <w:tcPr>
            <w:tcW w:w="0" w:type="auto"/>
            <w:gridSpan w:val="3"/>
            <w:vAlign w:val="center"/>
            <w:hideMark/>
          </w:tcPr>
          <w:p w14:paraId="311A3E44" w14:textId="77777777" w:rsidR="00000000" w:rsidRDefault="00405D16">
            <w:pPr>
              <w:spacing w:after="100"/>
              <w:rPr>
                <w:rFonts w:eastAsia="Times New Roman"/>
                <w:sz w:val="20"/>
                <w:szCs w:val="20"/>
              </w:rPr>
            </w:pPr>
          </w:p>
        </w:tc>
        <w:tc>
          <w:tcPr>
            <w:tcW w:w="0" w:type="auto"/>
            <w:gridSpan w:val="3"/>
            <w:vAlign w:val="center"/>
            <w:hideMark/>
          </w:tcPr>
          <w:p w14:paraId="56D38BAC" w14:textId="77777777" w:rsidR="00000000" w:rsidRDefault="00405D16">
            <w:pPr>
              <w:spacing w:after="100"/>
              <w:rPr>
                <w:rFonts w:eastAsia="Times New Roman"/>
                <w:sz w:val="20"/>
                <w:szCs w:val="20"/>
              </w:rPr>
            </w:pPr>
          </w:p>
        </w:tc>
        <w:tc>
          <w:tcPr>
            <w:tcW w:w="0" w:type="auto"/>
            <w:gridSpan w:val="3"/>
            <w:vAlign w:val="center"/>
            <w:hideMark/>
          </w:tcPr>
          <w:p w14:paraId="0CA21E94" w14:textId="77777777" w:rsidR="00000000" w:rsidRDefault="00405D16">
            <w:pPr>
              <w:spacing w:after="100"/>
              <w:rPr>
                <w:rFonts w:eastAsia="Times New Roman"/>
                <w:sz w:val="20"/>
                <w:szCs w:val="20"/>
              </w:rPr>
            </w:pPr>
          </w:p>
        </w:tc>
      </w:tr>
      <w:tr w:rsidR="00000000" w14:paraId="27DF4BC8" w14:textId="77777777">
        <w:trPr>
          <w:divId w:val="552078343"/>
          <w:jc w:val="center"/>
        </w:trPr>
        <w:tc>
          <w:tcPr>
            <w:tcW w:w="0" w:type="auto"/>
            <w:gridSpan w:val="3"/>
            <w:vAlign w:val="center"/>
            <w:hideMark/>
          </w:tcPr>
          <w:p w14:paraId="216C4923" w14:textId="77777777" w:rsidR="00000000" w:rsidRDefault="00405D16">
            <w:pPr>
              <w:spacing w:after="100"/>
              <w:rPr>
                <w:rFonts w:eastAsia="Times New Roman"/>
                <w:sz w:val="20"/>
                <w:szCs w:val="20"/>
              </w:rPr>
            </w:pPr>
          </w:p>
        </w:tc>
        <w:tc>
          <w:tcPr>
            <w:tcW w:w="0" w:type="auto"/>
            <w:gridSpan w:val="3"/>
            <w:vAlign w:val="center"/>
            <w:hideMark/>
          </w:tcPr>
          <w:p w14:paraId="523E8E31" w14:textId="77777777" w:rsidR="00000000" w:rsidRDefault="00405D16">
            <w:pPr>
              <w:spacing w:after="100"/>
              <w:rPr>
                <w:rFonts w:eastAsia="Times New Roman"/>
                <w:sz w:val="20"/>
                <w:szCs w:val="20"/>
              </w:rPr>
            </w:pPr>
          </w:p>
        </w:tc>
        <w:tc>
          <w:tcPr>
            <w:tcW w:w="0" w:type="auto"/>
            <w:gridSpan w:val="3"/>
            <w:vAlign w:val="center"/>
            <w:hideMark/>
          </w:tcPr>
          <w:p w14:paraId="44E1DCC5" w14:textId="77777777" w:rsidR="00000000" w:rsidRDefault="00405D16">
            <w:pPr>
              <w:spacing w:after="100"/>
              <w:rPr>
                <w:rFonts w:eastAsia="Times New Roman"/>
                <w:sz w:val="20"/>
                <w:szCs w:val="20"/>
              </w:rPr>
            </w:pPr>
          </w:p>
        </w:tc>
      </w:tr>
      <w:tr w:rsidR="00000000" w14:paraId="071BEB87" w14:textId="77777777">
        <w:trPr>
          <w:divId w:val="552078343"/>
          <w:jc w:val="center"/>
        </w:trPr>
        <w:tc>
          <w:tcPr>
            <w:tcW w:w="0" w:type="auto"/>
            <w:gridSpan w:val="3"/>
            <w:vAlign w:val="center"/>
            <w:hideMark/>
          </w:tcPr>
          <w:p w14:paraId="3C6B05CF" w14:textId="77777777" w:rsidR="00000000" w:rsidRDefault="00405D16">
            <w:pPr>
              <w:spacing w:after="100"/>
              <w:rPr>
                <w:rFonts w:eastAsia="Times New Roman"/>
                <w:sz w:val="20"/>
                <w:szCs w:val="20"/>
              </w:rPr>
            </w:pPr>
          </w:p>
        </w:tc>
        <w:tc>
          <w:tcPr>
            <w:tcW w:w="0" w:type="auto"/>
            <w:gridSpan w:val="3"/>
            <w:vAlign w:val="center"/>
            <w:hideMark/>
          </w:tcPr>
          <w:p w14:paraId="70CA9AFB" w14:textId="77777777" w:rsidR="00000000" w:rsidRDefault="00405D16">
            <w:pPr>
              <w:spacing w:after="100"/>
              <w:rPr>
                <w:rFonts w:eastAsia="Times New Roman"/>
                <w:sz w:val="20"/>
                <w:szCs w:val="20"/>
              </w:rPr>
            </w:pPr>
          </w:p>
        </w:tc>
        <w:tc>
          <w:tcPr>
            <w:tcW w:w="0" w:type="auto"/>
            <w:gridSpan w:val="3"/>
            <w:vAlign w:val="center"/>
            <w:hideMark/>
          </w:tcPr>
          <w:p w14:paraId="27A885A6" w14:textId="77777777" w:rsidR="00000000" w:rsidRDefault="00405D16">
            <w:pPr>
              <w:spacing w:after="100"/>
              <w:rPr>
                <w:rFonts w:eastAsia="Times New Roman"/>
                <w:sz w:val="20"/>
                <w:szCs w:val="20"/>
              </w:rPr>
            </w:pPr>
          </w:p>
        </w:tc>
      </w:tr>
      <w:tr w:rsidR="00000000" w14:paraId="38B24530" w14:textId="77777777">
        <w:trPr>
          <w:divId w:val="552078343"/>
          <w:jc w:val="center"/>
        </w:trPr>
        <w:tc>
          <w:tcPr>
            <w:tcW w:w="0" w:type="auto"/>
            <w:gridSpan w:val="3"/>
            <w:vAlign w:val="center"/>
            <w:hideMark/>
          </w:tcPr>
          <w:p w14:paraId="552752B0" w14:textId="77777777" w:rsidR="00000000" w:rsidRDefault="00405D16">
            <w:pPr>
              <w:spacing w:after="100"/>
              <w:rPr>
                <w:rFonts w:eastAsia="Times New Roman"/>
                <w:sz w:val="20"/>
                <w:szCs w:val="20"/>
              </w:rPr>
            </w:pPr>
          </w:p>
        </w:tc>
        <w:tc>
          <w:tcPr>
            <w:tcW w:w="0" w:type="auto"/>
            <w:gridSpan w:val="3"/>
            <w:vAlign w:val="center"/>
            <w:hideMark/>
          </w:tcPr>
          <w:p w14:paraId="609C1010" w14:textId="77777777" w:rsidR="00000000" w:rsidRDefault="00405D16">
            <w:pPr>
              <w:spacing w:after="100"/>
              <w:rPr>
                <w:rFonts w:eastAsia="Times New Roman"/>
                <w:sz w:val="20"/>
                <w:szCs w:val="20"/>
              </w:rPr>
            </w:pPr>
          </w:p>
        </w:tc>
        <w:tc>
          <w:tcPr>
            <w:tcW w:w="0" w:type="auto"/>
            <w:gridSpan w:val="3"/>
            <w:vAlign w:val="center"/>
            <w:hideMark/>
          </w:tcPr>
          <w:p w14:paraId="5E2125C1" w14:textId="77777777" w:rsidR="00000000" w:rsidRDefault="00405D16">
            <w:pPr>
              <w:spacing w:after="100"/>
              <w:rPr>
                <w:rFonts w:eastAsia="Times New Roman"/>
                <w:sz w:val="20"/>
                <w:szCs w:val="20"/>
              </w:rPr>
            </w:pPr>
          </w:p>
        </w:tc>
      </w:tr>
      <w:tr w:rsidR="00000000" w14:paraId="41CF3003" w14:textId="77777777">
        <w:trPr>
          <w:divId w:val="552078343"/>
          <w:jc w:val="center"/>
        </w:trPr>
        <w:tc>
          <w:tcPr>
            <w:tcW w:w="0" w:type="auto"/>
            <w:gridSpan w:val="3"/>
            <w:tcMar>
              <w:top w:w="30" w:type="dxa"/>
              <w:left w:w="20" w:type="dxa"/>
              <w:bottom w:w="30" w:type="dxa"/>
              <w:right w:w="20" w:type="dxa"/>
            </w:tcMar>
            <w:vAlign w:val="bottom"/>
            <w:hideMark/>
          </w:tcPr>
          <w:p w14:paraId="2A1527BE" w14:textId="77777777" w:rsidR="00000000" w:rsidRDefault="00405D16">
            <w:pPr>
              <w:spacing w:after="100"/>
              <w:jc w:val="center"/>
              <w:rPr>
                <w:rFonts w:eastAsia="Times New Roman"/>
              </w:rPr>
            </w:pPr>
            <w:r>
              <w:rPr>
                <w:rFonts w:eastAsia="Times New Roman"/>
                <w:color w:val="000000"/>
                <w:sz w:val="20"/>
                <w:szCs w:val="20"/>
              </w:rPr>
              <w:t>A</w:t>
            </w:r>
          </w:p>
        </w:tc>
        <w:tc>
          <w:tcPr>
            <w:tcW w:w="0" w:type="auto"/>
            <w:gridSpan w:val="3"/>
            <w:tcMar>
              <w:top w:w="30" w:type="dxa"/>
              <w:left w:w="20" w:type="dxa"/>
              <w:bottom w:w="30" w:type="dxa"/>
              <w:right w:w="20" w:type="dxa"/>
            </w:tcMar>
            <w:vAlign w:val="bottom"/>
            <w:hideMark/>
          </w:tcPr>
          <w:p w14:paraId="08A26DAF" w14:textId="77777777" w:rsidR="00000000" w:rsidRDefault="00405D16">
            <w:pPr>
              <w:spacing w:after="100"/>
              <w:divId w:val="1516766031"/>
              <w:rPr>
                <w:rFonts w:eastAsia="Times New Roman"/>
              </w:rPr>
            </w:pPr>
            <w:hyperlink w:anchor="idd54a04a485440b4ab4e56094c14d612_319" w:history="1">
              <w:r>
                <w:rPr>
                  <w:rStyle w:val="a3"/>
                  <w:rFonts w:eastAsia="Times New Roman"/>
                  <w:color w:val="000000"/>
                  <w:sz w:val="20"/>
                  <w:szCs w:val="20"/>
                  <w:u w:val="none"/>
                </w:rPr>
                <w:t>Reconciliation of Non-GAAP Measures</w:t>
              </w:r>
            </w:hyperlink>
          </w:p>
        </w:tc>
        <w:tc>
          <w:tcPr>
            <w:tcW w:w="0" w:type="auto"/>
            <w:gridSpan w:val="3"/>
            <w:tcMar>
              <w:top w:w="30" w:type="dxa"/>
              <w:left w:w="20" w:type="dxa"/>
              <w:bottom w:w="30" w:type="dxa"/>
              <w:right w:w="20" w:type="dxa"/>
            </w:tcMar>
            <w:vAlign w:val="bottom"/>
            <w:hideMark/>
          </w:tcPr>
          <w:p w14:paraId="5A5674E4" w14:textId="77777777" w:rsidR="00000000" w:rsidRDefault="00405D16">
            <w:pPr>
              <w:spacing w:after="100"/>
              <w:jc w:val="center"/>
              <w:rPr>
                <w:rFonts w:eastAsia="Times New Roman"/>
              </w:rPr>
            </w:pPr>
            <w:hyperlink w:anchor="idd54a04a485440b4ab4e56094c14d612_319" w:history="1">
              <w:r>
                <w:rPr>
                  <w:rStyle w:val="a3"/>
                  <w:rFonts w:eastAsia="Times New Roman"/>
                  <w:color w:val="000000"/>
                  <w:sz w:val="20"/>
                  <w:szCs w:val="20"/>
                  <w:u w:val="none"/>
                </w:rPr>
                <w:t>61</w:t>
              </w:r>
            </w:hyperlink>
          </w:p>
        </w:tc>
      </w:tr>
      <w:tr w:rsidR="00000000" w14:paraId="3043C177" w14:textId="77777777">
        <w:trPr>
          <w:divId w:val="552078343"/>
          <w:jc w:val="center"/>
        </w:trPr>
        <w:tc>
          <w:tcPr>
            <w:tcW w:w="0" w:type="auto"/>
            <w:gridSpan w:val="3"/>
            <w:vAlign w:val="center"/>
            <w:hideMark/>
          </w:tcPr>
          <w:p w14:paraId="4471AD1E" w14:textId="77777777" w:rsidR="00000000" w:rsidRDefault="00405D16">
            <w:pPr>
              <w:spacing w:after="100"/>
              <w:jc w:val="center"/>
              <w:rPr>
                <w:rFonts w:eastAsia="Times New Roman"/>
              </w:rPr>
            </w:pPr>
          </w:p>
        </w:tc>
        <w:tc>
          <w:tcPr>
            <w:tcW w:w="0" w:type="auto"/>
            <w:gridSpan w:val="3"/>
            <w:vAlign w:val="center"/>
            <w:hideMark/>
          </w:tcPr>
          <w:p w14:paraId="580B436B" w14:textId="77777777" w:rsidR="00000000" w:rsidRDefault="00405D16">
            <w:pPr>
              <w:spacing w:after="100"/>
              <w:rPr>
                <w:rFonts w:eastAsia="Times New Roman"/>
                <w:sz w:val="20"/>
                <w:szCs w:val="20"/>
              </w:rPr>
            </w:pPr>
          </w:p>
        </w:tc>
        <w:tc>
          <w:tcPr>
            <w:tcW w:w="0" w:type="auto"/>
            <w:gridSpan w:val="3"/>
            <w:vAlign w:val="center"/>
            <w:hideMark/>
          </w:tcPr>
          <w:p w14:paraId="432652D0" w14:textId="77777777" w:rsidR="00000000" w:rsidRDefault="00405D16">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4757D632" w14:textId="77777777">
        <w:trPr>
          <w:jc w:val="center"/>
        </w:trPr>
        <w:tc>
          <w:tcPr>
            <w:tcW w:w="50" w:type="pct"/>
            <w:vAlign w:val="center"/>
            <w:hideMark/>
          </w:tcPr>
          <w:p w14:paraId="3261CC25" w14:textId="77777777" w:rsidR="00000000" w:rsidRDefault="00405D16">
            <w:pPr>
              <w:jc w:val="center"/>
              <w:rPr>
                <w:rFonts w:eastAsia="Times New Roman"/>
              </w:rPr>
            </w:pPr>
          </w:p>
        </w:tc>
        <w:tc>
          <w:tcPr>
            <w:tcW w:w="1606" w:type="pct"/>
            <w:vAlign w:val="center"/>
            <w:hideMark/>
          </w:tcPr>
          <w:p w14:paraId="6CE18014" w14:textId="77777777" w:rsidR="00000000" w:rsidRDefault="00405D16">
            <w:pPr>
              <w:spacing w:after="100"/>
              <w:rPr>
                <w:rFonts w:eastAsia="Times New Roman"/>
                <w:sz w:val="20"/>
                <w:szCs w:val="20"/>
              </w:rPr>
            </w:pPr>
          </w:p>
        </w:tc>
        <w:tc>
          <w:tcPr>
            <w:tcW w:w="5" w:type="pct"/>
            <w:vAlign w:val="center"/>
            <w:hideMark/>
          </w:tcPr>
          <w:p w14:paraId="21FB7AE6" w14:textId="77777777" w:rsidR="00000000" w:rsidRDefault="00405D16">
            <w:pPr>
              <w:spacing w:after="100"/>
              <w:rPr>
                <w:rFonts w:eastAsia="Times New Roman"/>
                <w:sz w:val="20"/>
                <w:szCs w:val="20"/>
              </w:rPr>
            </w:pPr>
          </w:p>
        </w:tc>
        <w:tc>
          <w:tcPr>
            <w:tcW w:w="50" w:type="pct"/>
            <w:vAlign w:val="center"/>
            <w:hideMark/>
          </w:tcPr>
          <w:p w14:paraId="47A6984E" w14:textId="77777777" w:rsidR="00000000" w:rsidRDefault="00405D16">
            <w:pPr>
              <w:spacing w:after="100"/>
              <w:rPr>
                <w:rFonts w:eastAsia="Times New Roman"/>
                <w:sz w:val="20"/>
                <w:szCs w:val="20"/>
              </w:rPr>
            </w:pPr>
          </w:p>
        </w:tc>
        <w:tc>
          <w:tcPr>
            <w:tcW w:w="1614" w:type="pct"/>
            <w:vAlign w:val="center"/>
            <w:hideMark/>
          </w:tcPr>
          <w:p w14:paraId="5D2DBE81" w14:textId="77777777" w:rsidR="00000000" w:rsidRDefault="00405D16">
            <w:pPr>
              <w:spacing w:after="100"/>
              <w:rPr>
                <w:rFonts w:eastAsia="Times New Roman"/>
                <w:sz w:val="20"/>
                <w:szCs w:val="20"/>
              </w:rPr>
            </w:pPr>
          </w:p>
        </w:tc>
        <w:tc>
          <w:tcPr>
            <w:tcW w:w="5" w:type="pct"/>
            <w:vAlign w:val="center"/>
            <w:hideMark/>
          </w:tcPr>
          <w:p w14:paraId="3EF2305B" w14:textId="77777777" w:rsidR="00000000" w:rsidRDefault="00405D16">
            <w:pPr>
              <w:spacing w:after="100"/>
              <w:rPr>
                <w:rFonts w:eastAsia="Times New Roman"/>
                <w:sz w:val="20"/>
                <w:szCs w:val="20"/>
              </w:rPr>
            </w:pPr>
          </w:p>
        </w:tc>
        <w:tc>
          <w:tcPr>
            <w:tcW w:w="50" w:type="pct"/>
            <w:vAlign w:val="center"/>
            <w:hideMark/>
          </w:tcPr>
          <w:p w14:paraId="6C35F690" w14:textId="77777777" w:rsidR="00000000" w:rsidRDefault="00405D16">
            <w:pPr>
              <w:spacing w:after="100"/>
              <w:rPr>
                <w:rFonts w:eastAsia="Times New Roman"/>
                <w:sz w:val="20"/>
                <w:szCs w:val="20"/>
              </w:rPr>
            </w:pPr>
          </w:p>
        </w:tc>
        <w:tc>
          <w:tcPr>
            <w:tcW w:w="1614" w:type="pct"/>
            <w:vAlign w:val="center"/>
            <w:hideMark/>
          </w:tcPr>
          <w:p w14:paraId="6D40D48B" w14:textId="77777777" w:rsidR="00000000" w:rsidRDefault="00405D16">
            <w:pPr>
              <w:spacing w:after="100"/>
              <w:rPr>
                <w:rFonts w:eastAsia="Times New Roman"/>
                <w:sz w:val="20"/>
                <w:szCs w:val="20"/>
              </w:rPr>
            </w:pPr>
          </w:p>
        </w:tc>
        <w:tc>
          <w:tcPr>
            <w:tcW w:w="5" w:type="pct"/>
            <w:vAlign w:val="center"/>
            <w:hideMark/>
          </w:tcPr>
          <w:p w14:paraId="6B26B76E" w14:textId="77777777" w:rsidR="00000000" w:rsidRDefault="00405D16">
            <w:pPr>
              <w:spacing w:after="100"/>
              <w:rPr>
                <w:rFonts w:eastAsia="Times New Roman"/>
                <w:sz w:val="20"/>
                <w:szCs w:val="20"/>
              </w:rPr>
            </w:pPr>
          </w:p>
        </w:tc>
      </w:tr>
      <w:tr w:rsidR="00000000" w14:paraId="7CB27ED3" w14:textId="77777777">
        <w:trPr>
          <w:trHeight w:val="300"/>
          <w:jc w:val="center"/>
        </w:trPr>
        <w:tc>
          <w:tcPr>
            <w:tcW w:w="0" w:type="auto"/>
            <w:gridSpan w:val="9"/>
            <w:tcMar>
              <w:top w:w="0" w:type="dxa"/>
              <w:left w:w="20" w:type="dxa"/>
              <w:bottom w:w="0" w:type="dxa"/>
              <w:right w:w="20" w:type="dxa"/>
            </w:tcMar>
            <w:vAlign w:val="center"/>
            <w:hideMark/>
          </w:tcPr>
          <w:p w14:paraId="0FC110E9" w14:textId="77777777" w:rsidR="00000000" w:rsidRDefault="00405D16">
            <w:pPr>
              <w:spacing w:after="100"/>
              <w:rPr>
                <w:rFonts w:eastAsia="Times New Roman"/>
                <w:sz w:val="20"/>
                <w:szCs w:val="20"/>
              </w:rPr>
            </w:pPr>
          </w:p>
        </w:tc>
      </w:tr>
      <w:tr w:rsidR="00000000" w14:paraId="2810B42F" w14:textId="77777777">
        <w:trPr>
          <w:jc w:val="center"/>
        </w:trPr>
        <w:tc>
          <w:tcPr>
            <w:tcW w:w="0" w:type="auto"/>
            <w:gridSpan w:val="3"/>
            <w:tcMar>
              <w:top w:w="0" w:type="dxa"/>
              <w:left w:w="20" w:type="dxa"/>
              <w:bottom w:w="0" w:type="dxa"/>
              <w:right w:w="20" w:type="dxa"/>
            </w:tcMar>
            <w:vAlign w:val="center"/>
            <w:hideMark/>
          </w:tcPr>
          <w:p w14:paraId="66B87018"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CB123E8" w14:textId="77777777" w:rsidR="00000000" w:rsidRDefault="00405D16">
            <w:pPr>
              <w:spacing w:after="100"/>
              <w:jc w:val="center"/>
              <w:rPr>
                <w:rFonts w:eastAsia="Times New Roman"/>
              </w:rPr>
            </w:pPr>
            <w:r>
              <w:rPr>
                <w:rFonts w:eastAsia="Times New Roman"/>
                <w:color w:val="000000"/>
                <w:sz w:val="16"/>
                <w:szCs w:val="16"/>
              </w:rPr>
              <w:t>3</w:t>
            </w:r>
          </w:p>
        </w:tc>
        <w:tc>
          <w:tcPr>
            <w:tcW w:w="0" w:type="auto"/>
            <w:gridSpan w:val="3"/>
            <w:tcMar>
              <w:top w:w="30" w:type="dxa"/>
              <w:left w:w="20" w:type="dxa"/>
              <w:bottom w:w="30" w:type="dxa"/>
              <w:right w:w="20" w:type="dxa"/>
            </w:tcMar>
            <w:vAlign w:val="bottom"/>
            <w:hideMark/>
          </w:tcPr>
          <w:p w14:paraId="42BB574B"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23DD440C" w14:textId="77777777" w:rsidR="00000000" w:rsidRDefault="00405D16">
      <w:pPr>
        <w:rPr>
          <w:rFonts w:eastAsia="Times New Roman"/>
        </w:rPr>
      </w:pPr>
      <w:r>
        <w:rPr>
          <w:rFonts w:eastAsia="Times New Roman"/>
        </w:rPr>
        <w:pict w14:anchorId="4BC9EE2C">
          <v:rect id="_x0000_i1028" style="width:0;height:1.5pt" o:hralign="center" o:hrstd="t" o:hr="t" fillcolor="#a0a0a0" stroked="f"/>
        </w:pict>
      </w:r>
    </w:p>
    <w:p w14:paraId="7A883315" w14:textId="77777777" w:rsidR="00000000" w:rsidRDefault="00405D16">
      <w:pPr>
        <w:ind w:hanging="360"/>
        <w:jc w:val="both"/>
        <w:divId w:val="409625114"/>
        <w:rPr>
          <w:rFonts w:eastAsia="Times New Roman"/>
        </w:rPr>
      </w:pPr>
      <w:hyperlink w:anchor="idd54a04a485440b4ab4e56094c14d612_13" w:history="1">
        <w:r>
          <w:rPr>
            <w:rStyle w:val="a3"/>
            <w:rFonts w:eastAsia="Times New Roman"/>
            <w:sz w:val="16"/>
            <w:szCs w:val="16"/>
          </w:rPr>
          <w:t>Table of Contents</w:t>
        </w:r>
      </w:hyperlink>
    </w:p>
    <w:p w14:paraId="561CABB5" w14:textId="77777777" w:rsidR="00000000" w:rsidRDefault="00405D16">
      <w:pPr>
        <w:jc w:val="center"/>
        <w:divId w:val="638219576"/>
        <w:rPr>
          <w:rFonts w:eastAsia="Times New Roman"/>
        </w:rPr>
      </w:pPr>
      <w:r>
        <w:rPr>
          <w:rFonts w:eastAsia="Times New Roman"/>
          <w:b/>
          <w:bCs/>
          <w:color w:val="000000"/>
          <w:sz w:val="20"/>
          <w:szCs w:val="20"/>
        </w:rPr>
        <w:t>PART I—FINANCIAL INFORMATION</w:t>
      </w:r>
      <w:r>
        <w:rPr>
          <w:rFonts w:eastAsia="Times New Roman"/>
          <w:color w:val="000000"/>
          <w:sz w:val="20"/>
          <w:szCs w:val="20"/>
        </w:rPr>
        <w:t xml:space="preserve"> </w:t>
      </w:r>
    </w:p>
    <w:p w14:paraId="24F41AFE" w14:textId="77777777" w:rsidR="00000000" w:rsidRDefault="00405D16">
      <w:pPr>
        <w:divId w:val="528834380"/>
        <w:rPr>
          <w:rFonts w:eastAsia="Times New Roman"/>
        </w:rPr>
      </w:pPr>
      <w:r>
        <w:rPr>
          <w:rFonts w:eastAsia="Times New Roman"/>
          <w:b/>
          <w:bCs/>
          <w:color w:val="000000"/>
          <w:sz w:val="20"/>
          <w:szCs w:val="20"/>
        </w:rPr>
        <w:t xml:space="preserve">Item 2. Management’s Discussion and Analysis of Financial Condition and Results of Operations (“MD&amp;A”)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556"/>
        <w:gridCol w:w="36"/>
        <w:gridCol w:w="69"/>
        <w:gridCol w:w="1556"/>
        <w:gridCol w:w="36"/>
        <w:gridCol w:w="69"/>
        <w:gridCol w:w="1556"/>
        <w:gridCol w:w="36"/>
        <w:gridCol w:w="69"/>
        <w:gridCol w:w="1556"/>
        <w:gridCol w:w="36"/>
        <w:gridCol w:w="69"/>
        <w:gridCol w:w="1557"/>
        <w:gridCol w:w="36"/>
      </w:tblGrid>
      <w:tr w:rsidR="00000000" w14:paraId="43A8F010" w14:textId="77777777">
        <w:trPr>
          <w:divId w:val="1489328451"/>
          <w:jc w:val="center"/>
        </w:trPr>
        <w:tc>
          <w:tcPr>
            <w:tcW w:w="50" w:type="pct"/>
            <w:vAlign w:val="center"/>
            <w:hideMark/>
          </w:tcPr>
          <w:p w14:paraId="43BC4CC1" w14:textId="77777777" w:rsidR="00000000" w:rsidRDefault="00405D16">
            <w:pPr>
              <w:rPr>
                <w:rFonts w:eastAsia="Times New Roman"/>
              </w:rPr>
            </w:pPr>
          </w:p>
        </w:tc>
        <w:tc>
          <w:tcPr>
            <w:tcW w:w="945" w:type="pct"/>
            <w:vAlign w:val="center"/>
            <w:hideMark/>
          </w:tcPr>
          <w:p w14:paraId="29D950B8" w14:textId="77777777" w:rsidR="00000000" w:rsidRDefault="00405D16">
            <w:pPr>
              <w:spacing w:after="100"/>
              <w:rPr>
                <w:rFonts w:eastAsia="Times New Roman"/>
                <w:sz w:val="20"/>
                <w:szCs w:val="20"/>
              </w:rPr>
            </w:pPr>
          </w:p>
        </w:tc>
        <w:tc>
          <w:tcPr>
            <w:tcW w:w="5" w:type="pct"/>
            <w:vAlign w:val="center"/>
            <w:hideMark/>
          </w:tcPr>
          <w:p w14:paraId="10FA7D10" w14:textId="77777777" w:rsidR="00000000" w:rsidRDefault="00405D16">
            <w:pPr>
              <w:spacing w:after="100"/>
              <w:rPr>
                <w:rFonts w:eastAsia="Times New Roman"/>
                <w:sz w:val="20"/>
                <w:szCs w:val="20"/>
              </w:rPr>
            </w:pPr>
          </w:p>
        </w:tc>
        <w:tc>
          <w:tcPr>
            <w:tcW w:w="50" w:type="pct"/>
            <w:vAlign w:val="center"/>
            <w:hideMark/>
          </w:tcPr>
          <w:p w14:paraId="749C7699" w14:textId="77777777" w:rsidR="00000000" w:rsidRDefault="00405D16">
            <w:pPr>
              <w:spacing w:after="100"/>
              <w:rPr>
                <w:rFonts w:eastAsia="Times New Roman"/>
                <w:sz w:val="20"/>
                <w:szCs w:val="20"/>
              </w:rPr>
            </w:pPr>
          </w:p>
        </w:tc>
        <w:tc>
          <w:tcPr>
            <w:tcW w:w="945" w:type="pct"/>
            <w:vAlign w:val="center"/>
            <w:hideMark/>
          </w:tcPr>
          <w:p w14:paraId="317EB6BB" w14:textId="77777777" w:rsidR="00000000" w:rsidRDefault="00405D16">
            <w:pPr>
              <w:spacing w:after="100"/>
              <w:rPr>
                <w:rFonts w:eastAsia="Times New Roman"/>
                <w:sz w:val="20"/>
                <w:szCs w:val="20"/>
              </w:rPr>
            </w:pPr>
          </w:p>
        </w:tc>
        <w:tc>
          <w:tcPr>
            <w:tcW w:w="5" w:type="pct"/>
            <w:vAlign w:val="center"/>
            <w:hideMark/>
          </w:tcPr>
          <w:p w14:paraId="6534F42E" w14:textId="77777777" w:rsidR="00000000" w:rsidRDefault="00405D16">
            <w:pPr>
              <w:spacing w:after="100"/>
              <w:rPr>
                <w:rFonts w:eastAsia="Times New Roman"/>
                <w:sz w:val="20"/>
                <w:szCs w:val="20"/>
              </w:rPr>
            </w:pPr>
          </w:p>
        </w:tc>
        <w:tc>
          <w:tcPr>
            <w:tcW w:w="50" w:type="pct"/>
            <w:vAlign w:val="center"/>
            <w:hideMark/>
          </w:tcPr>
          <w:p w14:paraId="3B887728" w14:textId="77777777" w:rsidR="00000000" w:rsidRDefault="00405D16">
            <w:pPr>
              <w:spacing w:after="100"/>
              <w:rPr>
                <w:rFonts w:eastAsia="Times New Roman"/>
                <w:sz w:val="20"/>
                <w:szCs w:val="20"/>
              </w:rPr>
            </w:pPr>
          </w:p>
        </w:tc>
        <w:tc>
          <w:tcPr>
            <w:tcW w:w="945" w:type="pct"/>
            <w:vAlign w:val="center"/>
            <w:hideMark/>
          </w:tcPr>
          <w:p w14:paraId="7D500954" w14:textId="77777777" w:rsidR="00000000" w:rsidRDefault="00405D16">
            <w:pPr>
              <w:spacing w:after="100"/>
              <w:rPr>
                <w:rFonts w:eastAsia="Times New Roman"/>
                <w:sz w:val="20"/>
                <w:szCs w:val="20"/>
              </w:rPr>
            </w:pPr>
          </w:p>
        </w:tc>
        <w:tc>
          <w:tcPr>
            <w:tcW w:w="5" w:type="pct"/>
            <w:vAlign w:val="center"/>
            <w:hideMark/>
          </w:tcPr>
          <w:p w14:paraId="0282C684" w14:textId="77777777" w:rsidR="00000000" w:rsidRDefault="00405D16">
            <w:pPr>
              <w:spacing w:after="100"/>
              <w:rPr>
                <w:rFonts w:eastAsia="Times New Roman"/>
                <w:sz w:val="20"/>
                <w:szCs w:val="20"/>
              </w:rPr>
            </w:pPr>
          </w:p>
        </w:tc>
        <w:tc>
          <w:tcPr>
            <w:tcW w:w="50" w:type="pct"/>
            <w:vAlign w:val="center"/>
            <w:hideMark/>
          </w:tcPr>
          <w:p w14:paraId="6E06781D" w14:textId="77777777" w:rsidR="00000000" w:rsidRDefault="00405D16">
            <w:pPr>
              <w:spacing w:after="100"/>
              <w:rPr>
                <w:rFonts w:eastAsia="Times New Roman"/>
                <w:sz w:val="20"/>
                <w:szCs w:val="20"/>
              </w:rPr>
            </w:pPr>
          </w:p>
        </w:tc>
        <w:tc>
          <w:tcPr>
            <w:tcW w:w="945" w:type="pct"/>
            <w:vAlign w:val="center"/>
            <w:hideMark/>
          </w:tcPr>
          <w:p w14:paraId="093AD94A" w14:textId="77777777" w:rsidR="00000000" w:rsidRDefault="00405D16">
            <w:pPr>
              <w:spacing w:after="100"/>
              <w:rPr>
                <w:rFonts w:eastAsia="Times New Roman"/>
                <w:sz w:val="20"/>
                <w:szCs w:val="20"/>
              </w:rPr>
            </w:pPr>
          </w:p>
        </w:tc>
        <w:tc>
          <w:tcPr>
            <w:tcW w:w="5" w:type="pct"/>
            <w:vAlign w:val="center"/>
            <w:hideMark/>
          </w:tcPr>
          <w:p w14:paraId="31AEB3E4" w14:textId="77777777" w:rsidR="00000000" w:rsidRDefault="00405D16">
            <w:pPr>
              <w:spacing w:after="100"/>
              <w:rPr>
                <w:rFonts w:eastAsia="Times New Roman"/>
                <w:sz w:val="20"/>
                <w:szCs w:val="20"/>
              </w:rPr>
            </w:pPr>
          </w:p>
        </w:tc>
        <w:tc>
          <w:tcPr>
            <w:tcW w:w="50" w:type="pct"/>
            <w:vAlign w:val="center"/>
            <w:hideMark/>
          </w:tcPr>
          <w:p w14:paraId="1637FAA9" w14:textId="77777777" w:rsidR="00000000" w:rsidRDefault="00405D16">
            <w:pPr>
              <w:spacing w:after="100"/>
              <w:rPr>
                <w:rFonts w:eastAsia="Times New Roman"/>
                <w:sz w:val="20"/>
                <w:szCs w:val="20"/>
              </w:rPr>
            </w:pPr>
          </w:p>
        </w:tc>
        <w:tc>
          <w:tcPr>
            <w:tcW w:w="945" w:type="pct"/>
            <w:vAlign w:val="center"/>
            <w:hideMark/>
          </w:tcPr>
          <w:p w14:paraId="7C97EE26" w14:textId="77777777" w:rsidR="00000000" w:rsidRDefault="00405D16">
            <w:pPr>
              <w:spacing w:after="100"/>
              <w:rPr>
                <w:rFonts w:eastAsia="Times New Roman"/>
                <w:sz w:val="20"/>
                <w:szCs w:val="20"/>
              </w:rPr>
            </w:pPr>
          </w:p>
        </w:tc>
        <w:tc>
          <w:tcPr>
            <w:tcW w:w="5" w:type="pct"/>
            <w:vAlign w:val="center"/>
            <w:hideMark/>
          </w:tcPr>
          <w:p w14:paraId="6B980FF4" w14:textId="77777777" w:rsidR="00000000" w:rsidRDefault="00405D16">
            <w:pPr>
              <w:spacing w:after="100"/>
              <w:rPr>
                <w:rFonts w:eastAsia="Times New Roman"/>
                <w:sz w:val="20"/>
                <w:szCs w:val="20"/>
              </w:rPr>
            </w:pPr>
          </w:p>
        </w:tc>
      </w:tr>
      <w:tr w:rsidR="00000000" w14:paraId="1AECB635" w14:textId="77777777">
        <w:trPr>
          <w:divId w:val="1489328451"/>
          <w:trHeight w:val="60"/>
          <w:jc w:val="center"/>
        </w:trPr>
        <w:tc>
          <w:tcPr>
            <w:tcW w:w="0" w:type="auto"/>
            <w:gridSpan w:val="15"/>
            <w:tcBorders>
              <w:top w:val="single" w:sz="18" w:space="0" w:color="000000"/>
            </w:tcBorders>
            <w:tcMar>
              <w:top w:w="0" w:type="dxa"/>
              <w:left w:w="20" w:type="dxa"/>
              <w:bottom w:w="0" w:type="dxa"/>
              <w:right w:w="20" w:type="dxa"/>
            </w:tcMar>
            <w:vAlign w:val="center"/>
            <w:hideMark/>
          </w:tcPr>
          <w:p w14:paraId="430E695C" w14:textId="77777777" w:rsidR="00000000" w:rsidRDefault="00405D16">
            <w:pPr>
              <w:spacing w:after="100"/>
              <w:rPr>
                <w:rFonts w:eastAsia="Times New Roman"/>
                <w:sz w:val="20"/>
                <w:szCs w:val="20"/>
              </w:rPr>
            </w:pPr>
          </w:p>
        </w:tc>
      </w:tr>
    </w:tbl>
    <w:p w14:paraId="0616C32F" w14:textId="77777777" w:rsidR="00000000" w:rsidRDefault="00405D16">
      <w:pPr>
        <w:jc w:val="both"/>
        <w:divId w:val="110588234"/>
        <w:rPr>
          <w:rFonts w:eastAsia="Times New Roman"/>
        </w:rPr>
      </w:pPr>
      <w:r>
        <w:rPr>
          <w:rFonts w:eastAsia="Times New Roman"/>
          <w:i/>
          <w:iCs/>
          <w:color w:val="000000"/>
          <w:sz w:val="20"/>
          <w:szCs w:val="20"/>
        </w:rPr>
        <w:t>This discussion contains forward-looking statements that are based upon management’</w:t>
      </w:r>
      <w:r>
        <w:rPr>
          <w:rFonts w:eastAsia="Times New Roman"/>
          <w:i/>
          <w:iCs/>
          <w:color w:val="000000"/>
          <w:sz w:val="20"/>
          <w:szCs w:val="20"/>
        </w:rPr>
        <w:t xml:space="preserve">s current expectations and are subject to significant uncertainties and changes in circumstances. Please review “MD&amp;A—Forward-Looking Statements” for more information on the forward-looking statements in this Quarterly Report on Form 10-Q (“this Report”). </w:t>
      </w:r>
      <w:r>
        <w:rPr>
          <w:rFonts w:eastAsia="Times New Roman"/>
          <w:i/>
          <w:iCs/>
          <w:color w:val="000000"/>
          <w:sz w:val="20"/>
          <w:szCs w:val="20"/>
        </w:rPr>
        <w:t>All statements that address operating performance, events or developments that we expect or anticipate will occur in the future, including those relating to operating results and “Note 13—Commitments, Contingencies, Guarantees and Others” as well as the po</w:t>
      </w:r>
      <w:r>
        <w:rPr>
          <w:rFonts w:eastAsia="Times New Roman"/>
          <w:i/>
          <w:iCs/>
          <w:color w:val="000000"/>
          <w:sz w:val="20"/>
          <w:szCs w:val="20"/>
        </w:rPr>
        <w:t xml:space="preserve">tential impacts of the COVID-19 pandemic described in “MD&amp;A—Introduction—Coronavirus Disease 2019 (COVID-19) Pandemic” are forward-looking statements. Our actual results may differ </w:t>
      </w:r>
      <w:r>
        <w:rPr>
          <w:rFonts w:eastAsia="Times New Roman"/>
          <w:i/>
          <w:iCs/>
          <w:color w:val="000000"/>
          <w:sz w:val="20"/>
          <w:szCs w:val="20"/>
        </w:rPr>
        <w:lastRenderedPageBreak/>
        <w:t>materially from those included in these forward-looking statements due to a</w:t>
      </w:r>
      <w:r>
        <w:rPr>
          <w:rFonts w:eastAsia="Times New Roman"/>
          <w:i/>
          <w:iCs/>
          <w:color w:val="000000"/>
          <w:sz w:val="20"/>
          <w:szCs w:val="20"/>
        </w:rPr>
        <w:t xml:space="preserve"> variety of factors including, but not limited to, those described in “Part I—Item 1A. Risk Factors” in our 2020 Annual Report on Form 10-K (“2020 Form 10-K”) and “Part II—Item 1A. Risk Factors” in this Report. Unless otherwise specified, references to not</w:t>
      </w:r>
      <w:r>
        <w:rPr>
          <w:rFonts w:eastAsia="Times New Roman"/>
          <w:i/>
          <w:iCs/>
          <w:color w:val="000000"/>
          <w:sz w:val="20"/>
          <w:szCs w:val="20"/>
        </w:rPr>
        <w:t>es to our consolidated financial statements refer to the notes to our consolidated financial statements as of September 30, 2021 included in this Report.</w:t>
      </w:r>
    </w:p>
    <w:tbl>
      <w:tblPr>
        <w:tblW w:w="5000" w:type="pct"/>
        <w:tblCellMar>
          <w:top w:w="15" w:type="dxa"/>
          <w:left w:w="15" w:type="dxa"/>
          <w:bottom w:w="15" w:type="dxa"/>
          <w:right w:w="15" w:type="dxa"/>
        </w:tblCellMar>
        <w:tblLook w:val="04A0" w:firstRow="1" w:lastRow="0" w:firstColumn="1" w:lastColumn="0" w:noHBand="0" w:noVBand="1"/>
      </w:tblPr>
      <w:tblGrid>
        <w:gridCol w:w="69"/>
        <w:gridCol w:w="1556"/>
        <w:gridCol w:w="36"/>
        <w:gridCol w:w="69"/>
        <w:gridCol w:w="1556"/>
        <w:gridCol w:w="36"/>
        <w:gridCol w:w="69"/>
        <w:gridCol w:w="1556"/>
        <w:gridCol w:w="36"/>
        <w:gridCol w:w="69"/>
        <w:gridCol w:w="1556"/>
        <w:gridCol w:w="36"/>
        <w:gridCol w:w="69"/>
        <w:gridCol w:w="1557"/>
        <w:gridCol w:w="36"/>
      </w:tblGrid>
      <w:tr w:rsidR="00000000" w14:paraId="54A13731" w14:textId="77777777">
        <w:trPr>
          <w:divId w:val="365298512"/>
        </w:trPr>
        <w:tc>
          <w:tcPr>
            <w:tcW w:w="50" w:type="pct"/>
            <w:vAlign w:val="center"/>
            <w:hideMark/>
          </w:tcPr>
          <w:p w14:paraId="324A90D5" w14:textId="77777777" w:rsidR="00000000" w:rsidRDefault="00405D16">
            <w:pPr>
              <w:jc w:val="both"/>
              <w:rPr>
                <w:rFonts w:eastAsia="Times New Roman"/>
              </w:rPr>
            </w:pPr>
          </w:p>
        </w:tc>
        <w:tc>
          <w:tcPr>
            <w:tcW w:w="945" w:type="pct"/>
            <w:vAlign w:val="center"/>
            <w:hideMark/>
          </w:tcPr>
          <w:p w14:paraId="71A2FC0A" w14:textId="77777777" w:rsidR="00000000" w:rsidRDefault="00405D16">
            <w:pPr>
              <w:spacing w:after="100"/>
              <w:rPr>
                <w:rFonts w:eastAsia="Times New Roman"/>
                <w:sz w:val="20"/>
                <w:szCs w:val="20"/>
              </w:rPr>
            </w:pPr>
          </w:p>
        </w:tc>
        <w:tc>
          <w:tcPr>
            <w:tcW w:w="5" w:type="pct"/>
            <w:vAlign w:val="center"/>
            <w:hideMark/>
          </w:tcPr>
          <w:p w14:paraId="14AC0279" w14:textId="77777777" w:rsidR="00000000" w:rsidRDefault="00405D16">
            <w:pPr>
              <w:spacing w:after="100"/>
              <w:rPr>
                <w:rFonts w:eastAsia="Times New Roman"/>
                <w:sz w:val="20"/>
                <w:szCs w:val="20"/>
              </w:rPr>
            </w:pPr>
          </w:p>
        </w:tc>
        <w:tc>
          <w:tcPr>
            <w:tcW w:w="50" w:type="pct"/>
            <w:vAlign w:val="center"/>
            <w:hideMark/>
          </w:tcPr>
          <w:p w14:paraId="25E792BB" w14:textId="77777777" w:rsidR="00000000" w:rsidRDefault="00405D16">
            <w:pPr>
              <w:spacing w:after="100"/>
              <w:rPr>
                <w:rFonts w:eastAsia="Times New Roman"/>
                <w:sz w:val="20"/>
                <w:szCs w:val="20"/>
              </w:rPr>
            </w:pPr>
          </w:p>
        </w:tc>
        <w:tc>
          <w:tcPr>
            <w:tcW w:w="945" w:type="pct"/>
            <w:vAlign w:val="center"/>
            <w:hideMark/>
          </w:tcPr>
          <w:p w14:paraId="3FF4E14E" w14:textId="77777777" w:rsidR="00000000" w:rsidRDefault="00405D16">
            <w:pPr>
              <w:spacing w:after="100"/>
              <w:rPr>
                <w:rFonts w:eastAsia="Times New Roman"/>
                <w:sz w:val="20"/>
                <w:szCs w:val="20"/>
              </w:rPr>
            </w:pPr>
          </w:p>
        </w:tc>
        <w:tc>
          <w:tcPr>
            <w:tcW w:w="5" w:type="pct"/>
            <w:vAlign w:val="center"/>
            <w:hideMark/>
          </w:tcPr>
          <w:p w14:paraId="30745137" w14:textId="77777777" w:rsidR="00000000" w:rsidRDefault="00405D16">
            <w:pPr>
              <w:spacing w:after="100"/>
              <w:rPr>
                <w:rFonts w:eastAsia="Times New Roman"/>
                <w:sz w:val="20"/>
                <w:szCs w:val="20"/>
              </w:rPr>
            </w:pPr>
          </w:p>
        </w:tc>
        <w:tc>
          <w:tcPr>
            <w:tcW w:w="50" w:type="pct"/>
            <w:vAlign w:val="center"/>
            <w:hideMark/>
          </w:tcPr>
          <w:p w14:paraId="795C89B0" w14:textId="77777777" w:rsidR="00000000" w:rsidRDefault="00405D16">
            <w:pPr>
              <w:spacing w:after="100"/>
              <w:rPr>
                <w:rFonts w:eastAsia="Times New Roman"/>
                <w:sz w:val="20"/>
                <w:szCs w:val="20"/>
              </w:rPr>
            </w:pPr>
          </w:p>
        </w:tc>
        <w:tc>
          <w:tcPr>
            <w:tcW w:w="945" w:type="pct"/>
            <w:vAlign w:val="center"/>
            <w:hideMark/>
          </w:tcPr>
          <w:p w14:paraId="6E1B158D" w14:textId="77777777" w:rsidR="00000000" w:rsidRDefault="00405D16">
            <w:pPr>
              <w:spacing w:after="100"/>
              <w:rPr>
                <w:rFonts w:eastAsia="Times New Roman"/>
                <w:sz w:val="20"/>
                <w:szCs w:val="20"/>
              </w:rPr>
            </w:pPr>
          </w:p>
        </w:tc>
        <w:tc>
          <w:tcPr>
            <w:tcW w:w="5" w:type="pct"/>
            <w:vAlign w:val="center"/>
            <w:hideMark/>
          </w:tcPr>
          <w:p w14:paraId="2016C2BA" w14:textId="77777777" w:rsidR="00000000" w:rsidRDefault="00405D16">
            <w:pPr>
              <w:spacing w:after="100"/>
              <w:rPr>
                <w:rFonts w:eastAsia="Times New Roman"/>
                <w:sz w:val="20"/>
                <w:szCs w:val="20"/>
              </w:rPr>
            </w:pPr>
          </w:p>
        </w:tc>
        <w:tc>
          <w:tcPr>
            <w:tcW w:w="50" w:type="pct"/>
            <w:vAlign w:val="center"/>
            <w:hideMark/>
          </w:tcPr>
          <w:p w14:paraId="243920D4" w14:textId="77777777" w:rsidR="00000000" w:rsidRDefault="00405D16">
            <w:pPr>
              <w:spacing w:after="100"/>
              <w:rPr>
                <w:rFonts w:eastAsia="Times New Roman"/>
                <w:sz w:val="20"/>
                <w:szCs w:val="20"/>
              </w:rPr>
            </w:pPr>
          </w:p>
        </w:tc>
        <w:tc>
          <w:tcPr>
            <w:tcW w:w="945" w:type="pct"/>
            <w:vAlign w:val="center"/>
            <w:hideMark/>
          </w:tcPr>
          <w:p w14:paraId="3EAD34E4" w14:textId="77777777" w:rsidR="00000000" w:rsidRDefault="00405D16">
            <w:pPr>
              <w:spacing w:after="100"/>
              <w:rPr>
                <w:rFonts w:eastAsia="Times New Roman"/>
                <w:sz w:val="20"/>
                <w:szCs w:val="20"/>
              </w:rPr>
            </w:pPr>
          </w:p>
        </w:tc>
        <w:tc>
          <w:tcPr>
            <w:tcW w:w="5" w:type="pct"/>
            <w:vAlign w:val="center"/>
            <w:hideMark/>
          </w:tcPr>
          <w:p w14:paraId="15D2DA6F" w14:textId="77777777" w:rsidR="00000000" w:rsidRDefault="00405D16">
            <w:pPr>
              <w:spacing w:after="100"/>
              <w:rPr>
                <w:rFonts w:eastAsia="Times New Roman"/>
                <w:sz w:val="20"/>
                <w:szCs w:val="20"/>
              </w:rPr>
            </w:pPr>
          </w:p>
        </w:tc>
        <w:tc>
          <w:tcPr>
            <w:tcW w:w="50" w:type="pct"/>
            <w:vAlign w:val="center"/>
            <w:hideMark/>
          </w:tcPr>
          <w:p w14:paraId="5512925D" w14:textId="77777777" w:rsidR="00000000" w:rsidRDefault="00405D16">
            <w:pPr>
              <w:spacing w:after="100"/>
              <w:rPr>
                <w:rFonts w:eastAsia="Times New Roman"/>
                <w:sz w:val="20"/>
                <w:szCs w:val="20"/>
              </w:rPr>
            </w:pPr>
          </w:p>
        </w:tc>
        <w:tc>
          <w:tcPr>
            <w:tcW w:w="945" w:type="pct"/>
            <w:vAlign w:val="center"/>
            <w:hideMark/>
          </w:tcPr>
          <w:p w14:paraId="4485E2E9" w14:textId="77777777" w:rsidR="00000000" w:rsidRDefault="00405D16">
            <w:pPr>
              <w:spacing w:after="100"/>
              <w:rPr>
                <w:rFonts w:eastAsia="Times New Roman"/>
                <w:sz w:val="20"/>
                <w:szCs w:val="20"/>
              </w:rPr>
            </w:pPr>
          </w:p>
        </w:tc>
        <w:tc>
          <w:tcPr>
            <w:tcW w:w="5" w:type="pct"/>
            <w:vAlign w:val="center"/>
            <w:hideMark/>
          </w:tcPr>
          <w:p w14:paraId="5F5ED86A" w14:textId="77777777" w:rsidR="00000000" w:rsidRDefault="00405D16">
            <w:pPr>
              <w:spacing w:after="100"/>
              <w:rPr>
                <w:rFonts w:eastAsia="Times New Roman"/>
                <w:sz w:val="20"/>
                <w:szCs w:val="20"/>
              </w:rPr>
            </w:pPr>
          </w:p>
        </w:tc>
      </w:tr>
      <w:tr w:rsidR="00000000" w14:paraId="75E71398" w14:textId="77777777">
        <w:trPr>
          <w:divId w:val="365298512"/>
          <w:trHeight w:val="60"/>
        </w:trPr>
        <w:tc>
          <w:tcPr>
            <w:tcW w:w="0" w:type="auto"/>
            <w:gridSpan w:val="15"/>
            <w:tcBorders>
              <w:top w:val="single" w:sz="18" w:space="0" w:color="000000"/>
            </w:tcBorders>
            <w:tcMar>
              <w:top w:w="0" w:type="dxa"/>
              <w:left w:w="20" w:type="dxa"/>
              <w:bottom w:w="0" w:type="dxa"/>
              <w:right w:w="20" w:type="dxa"/>
            </w:tcMar>
            <w:vAlign w:val="center"/>
            <w:hideMark/>
          </w:tcPr>
          <w:p w14:paraId="47CF4717" w14:textId="77777777" w:rsidR="00000000" w:rsidRDefault="00405D16">
            <w:pPr>
              <w:spacing w:after="100"/>
              <w:rPr>
                <w:rFonts w:eastAsia="Times New Roman"/>
                <w:sz w:val="20"/>
                <w:szCs w:val="20"/>
              </w:rPr>
            </w:pPr>
          </w:p>
        </w:tc>
      </w:tr>
    </w:tbl>
    <w:p w14:paraId="3CE7B10B" w14:textId="77777777" w:rsidR="00000000" w:rsidRDefault="00405D16">
      <w:pPr>
        <w:jc w:val="both"/>
        <w:divId w:val="313992141"/>
        <w:rPr>
          <w:rFonts w:eastAsia="Times New Roman"/>
        </w:rPr>
      </w:pPr>
      <w:r>
        <w:rPr>
          <w:rFonts w:eastAsia="Times New Roman"/>
          <w:color w:val="000000"/>
          <w:sz w:val="20"/>
          <w:szCs w:val="20"/>
        </w:rPr>
        <w:t xml:space="preserve">Management monitors a variety of key indicators to evaluate our business results and financial condition. The following MD&amp;A is provided as a supplement to, and should be read in conjunction with, our consolidated financial statements and related notes in </w:t>
      </w:r>
      <w:r>
        <w:rPr>
          <w:rFonts w:eastAsia="Times New Roman"/>
          <w:color w:val="000000"/>
          <w:sz w:val="20"/>
          <w:szCs w:val="20"/>
        </w:rPr>
        <w:t>this Report and the more detailed information contained in our 2020 Form 10-K.</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22BD3B31" w14:textId="77777777">
        <w:trPr>
          <w:divId w:val="380634381"/>
        </w:trPr>
        <w:tc>
          <w:tcPr>
            <w:tcW w:w="50" w:type="pct"/>
            <w:vAlign w:val="center"/>
            <w:hideMark/>
          </w:tcPr>
          <w:p w14:paraId="1F7FD288" w14:textId="77777777" w:rsidR="00000000" w:rsidRDefault="00405D16">
            <w:pPr>
              <w:jc w:val="both"/>
              <w:rPr>
                <w:rFonts w:eastAsia="Times New Roman"/>
              </w:rPr>
            </w:pPr>
          </w:p>
        </w:tc>
        <w:tc>
          <w:tcPr>
            <w:tcW w:w="4945" w:type="pct"/>
            <w:vAlign w:val="center"/>
            <w:hideMark/>
          </w:tcPr>
          <w:p w14:paraId="05BC7597" w14:textId="77777777" w:rsidR="00000000" w:rsidRDefault="00405D16">
            <w:pPr>
              <w:spacing w:after="100"/>
              <w:rPr>
                <w:rFonts w:eastAsia="Times New Roman"/>
                <w:sz w:val="20"/>
                <w:szCs w:val="20"/>
              </w:rPr>
            </w:pPr>
          </w:p>
        </w:tc>
        <w:tc>
          <w:tcPr>
            <w:tcW w:w="5" w:type="pct"/>
            <w:vAlign w:val="center"/>
            <w:hideMark/>
          </w:tcPr>
          <w:p w14:paraId="29F7CE97" w14:textId="77777777" w:rsidR="00000000" w:rsidRDefault="00405D16">
            <w:pPr>
              <w:spacing w:after="100"/>
              <w:rPr>
                <w:rFonts w:eastAsia="Times New Roman"/>
                <w:sz w:val="20"/>
                <w:szCs w:val="20"/>
              </w:rPr>
            </w:pPr>
          </w:p>
        </w:tc>
      </w:tr>
      <w:tr w:rsidR="00000000" w14:paraId="6EE99C02" w14:textId="77777777">
        <w:trPr>
          <w:divId w:val="380634381"/>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50949374" w14:textId="77777777" w:rsidR="00000000" w:rsidRDefault="00405D16">
            <w:pPr>
              <w:spacing w:after="100"/>
              <w:rPr>
                <w:rFonts w:eastAsia="Times New Roman"/>
              </w:rPr>
            </w:pPr>
            <w:r>
              <w:rPr>
                <w:rFonts w:eastAsia="Times New Roman"/>
                <w:b/>
                <w:bCs/>
                <w:color w:val="000000"/>
                <w:sz w:val="20"/>
                <w:szCs w:val="20"/>
              </w:rPr>
              <w:t>INTRODUCTION</w:t>
            </w:r>
          </w:p>
        </w:tc>
      </w:tr>
    </w:tbl>
    <w:p w14:paraId="1312F4E3" w14:textId="77777777" w:rsidR="00000000" w:rsidRDefault="00405D16">
      <w:pPr>
        <w:jc w:val="both"/>
        <w:divId w:val="1065907046"/>
        <w:rPr>
          <w:rFonts w:eastAsia="Times New Roman"/>
        </w:rPr>
      </w:pPr>
      <w:r>
        <w:rPr>
          <w:rFonts w:eastAsia="Times New Roman"/>
          <w:color w:val="000000"/>
          <w:sz w:val="20"/>
          <w:szCs w:val="20"/>
        </w:rPr>
        <w:t>Capital One Financial Corporation, a Delaware corporation established in 1994 and headquartered in McLean, Virginia, is a diversified financial services holding company with banking and non-banking subsidiaries. Capital One Financial Corporation and its su</w:t>
      </w:r>
      <w:r>
        <w:rPr>
          <w:rFonts w:eastAsia="Times New Roman"/>
          <w:color w:val="000000"/>
          <w:sz w:val="20"/>
          <w:szCs w:val="20"/>
        </w:rPr>
        <w:t xml:space="preserve">bsidiaries (the “Company”) offer a broad array of financial products and services to consumers, small businesses and commercial clients through digital channels, branches, Cafés and other distribution channels. </w:t>
      </w:r>
    </w:p>
    <w:p w14:paraId="59495B31" w14:textId="77777777" w:rsidR="00000000" w:rsidRDefault="00405D16">
      <w:pPr>
        <w:jc w:val="both"/>
        <w:divId w:val="1190490394"/>
        <w:rPr>
          <w:rFonts w:eastAsia="Times New Roman"/>
        </w:rPr>
      </w:pPr>
      <w:r>
        <w:rPr>
          <w:rFonts w:eastAsia="Times New Roman"/>
          <w:color w:val="000000"/>
          <w:sz w:val="20"/>
          <w:szCs w:val="20"/>
        </w:rPr>
        <w:t>As of September 30, 2021, our principal subs</w:t>
      </w:r>
      <w:r>
        <w:rPr>
          <w:rFonts w:eastAsia="Times New Roman"/>
          <w:color w:val="000000"/>
          <w:sz w:val="20"/>
          <w:szCs w:val="20"/>
        </w:rPr>
        <w:t>idiaries included:</w:t>
      </w:r>
    </w:p>
    <w:p w14:paraId="6E3C3F83" w14:textId="77777777" w:rsidR="00000000" w:rsidRDefault="00405D16">
      <w:pPr>
        <w:ind w:hanging="360"/>
        <w:jc w:val="both"/>
        <w:divId w:val="425879682"/>
        <w:rPr>
          <w:rFonts w:eastAsia="Times New Roman"/>
        </w:rPr>
      </w:pPr>
      <w:r>
        <w:rPr>
          <w:rFonts w:eastAsia="Times New Roman"/>
          <w:color w:val="000000"/>
          <w:sz w:val="20"/>
          <w:szCs w:val="20"/>
        </w:rPr>
        <w:t>•Capital One Bank (USA), National Association (“COBNA”), which offers credit card products along with other lending products and consumer services; and</w:t>
      </w:r>
    </w:p>
    <w:p w14:paraId="185D8731" w14:textId="77777777" w:rsidR="00000000" w:rsidRDefault="00405D16">
      <w:pPr>
        <w:ind w:hanging="360"/>
        <w:jc w:val="both"/>
        <w:divId w:val="1829862967"/>
        <w:rPr>
          <w:rFonts w:eastAsia="Times New Roman"/>
        </w:rPr>
      </w:pPr>
      <w:r>
        <w:rPr>
          <w:rFonts w:eastAsia="Times New Roman"/>
          <w:color w:val="000000"/>
          <w:sz w:val="20"/>
          <w:szCs w:val="20"/>
        </w:rPr>
        <w:t>•Capital One, National Association (“CONA”), which offers a broad spectrum of banking</w:t>
      </w:r>
      <w:r>
        <w:rPr>
          <w:rFonts w:eastAsia="Times New Roman"/>
          <w:color w:val="000000"/>
          <w:sz w:val="20"/>
          <w:szCs w:val="20"/>
        </w:rPr>
        <w:t xml:space="preserve"> products and financial services to consumers, small businesses and commercial clients.</w:t>
      </w:r>
    </w:p>
    <w:p w14:paraId="57182D5A" w14:textId="77777777" w:rsidR="00000000" w:rsidRDefault="00405D16">
      <w:pPr>
        <w:jc w:val="both"/>
        <w:divId w:val="733427883"/>
        <w:rPr>
          <w:rFonts w:eastAsia="Times New Roman"/>
        </w:rPr>
      </w:pPr>
      <w:r>
        <w:rPr>
          <w:rFonts w:eastAsia="Times New Roman"/>
          <w:color w:val="000000"/>
          <w:sz w:val="20"/>
          <w:szCs w:val="20"/>
        </w:rPr>
        <w:t>The Company is hereafter collectively referred to as “we,” “us” or “our.” COBNA and CONA are collectively referred to as the “Banks.” Certain business terms used in thi</w:t>
      </w:r>
      <w:r>
        <w:rPr>
          <w:rFonts w:eastAsia="Times New Roman"/>
          <w:color w:val="000000"/>
          <w:sz w:val="20"/>
          <w:szCs w:val="20"/>
        </w:rPr>
        <w:t>s document are defined in the “MD&amp;A—Glossary and Acronyms” and should be read in conjunction with the consolidated financial statements included in this Report.</w:t>
      </w:r>
    </w:p>
    <w:p w14:paraId="5590CBA2" w14:textId="77777777" w:rsidR="00000000" w:rsidRDefault="00405D16">
      <w:pPr>
        <w:jc w:val="both"/>
        <w:divId w:val="476339298"/>
        <w:rPr>
          <w:rFonts w:eastAsia="Times New Roman"/>
        </w:rPr>
      </w:pPr>
      <w:r>
        <w:rPr>
          <w:rFonts w:eastAsia="Times New Roman"/>
          <w:color w:val="000000"/>
          <w:sz w:val="20"/>
          <w:szCs w:val="20"/>
        </w:rPr>
        <w:t>Our consolidated total net revenues are derived primarily from lending to consumer, small busin</w:t>
      </w:r>
      <w:r>
        <w:rPr>
          <w:rFonts w:eastAsia="Times New Roman"/>
          <w:color w:val="000000"/>
          <w:sz w:val="20"/>
          <w:szCs w:val="20"/>
        </w:rPr>
        <w:t xml:space="preserve">ess and commercial customers net of funding costs associated with interest on deposits, long-term debt and other borrowings. We also earn non-interest income which primarily consists of interchange income, net of reward expenses, service charges and other </w:t>
      </w:r>
      <w:r>
        <w:rPr>
          <w:rFonts w:eastAsia="Times New Roman"/>
          <w:color w:val="000000"/>
          <w:sz w:val="20"/>
          <w:szCs w:val="20"/>
        </w:rPr>
        <w:t>customer-related fees. Our expenses primarily consist of the provision for credit losses, operating expenses, marketing expenses and income taxes.</w:t>
      </w:r>
    </w:p>
    <w:p w14:paraId="2EE0DBF2" w14:textId="77777777" w:rsidR="00000000" w:rsidRDefault="00405D16">
      <w:pPr>
        <w:jc w:val="both"/>
        <w:divId w:val="925915748"/>
        <w:rPr>
          <w:rFonts w:eastAsia="Times New Roman"/>
        </w:rPr>
      </w:pPr>
      <w:r>
        <w:rPr>
          <w:rFonts w:eastAsia="Times New Roman"/>
          <w:color w:val="000000"/>
          <w:sz w:val="20"/>
          <w:szCs w:val="20"/>
        </w:rPr>
        <w:t xml:space="preserve">Our principal operations are organized for management reporting purposes into three major business segments, </w:t>
      </w:r>
      <w:r>
        <w:rPr>
          <w:rFonts w:eastAsia="Times New Roman"/>
          <w:color w:val="000000"/>
          <w:sz w:val="20"/>
          <w:szCs w:val="20"/>
        </w:rPr>
        <w:t>which are defined primarily based on the products and services provided or the types of customer served: Credit Card, Consumer Banking and Commercial Banking. The operations of acquired businesses have been integrated into or managed as a part of our exist</w:t>
      </w:r>
      <w:r>
        <w:rPr>
          <w:rFonts w:eastAsia="Times New Roman"/>
          <w:color w:val="000000"/>
          <w:sz w:val="20"/>
          <w:szCs w:val="20"/>
        </w:rPr>
        <w:t xml:space="preserve">ing business segments. Certain activities that are not part of a segment, such as management of our corporate investment portfolio, asset/liability management by our centralized Corporate Treasury group and residual tax expense or benefit to arrive at the </w:t>
      </w:r>
      <w:r>
        <w:rPr>
          <w:rFonts w:eastAsia="Times New Roman"/>
          <w:color w:val="000000"/>
          <w:sz w:val="20"/>
          <w:szCs w:val="20"/>
        </w:rPr>
        <w:t xml:space="preserve">consolidated effective tax rate that is not assessed to our primary business segments, are included in the Other category. </w:t>
      </w:r>
    </w:p>
    <w:p w14:paraId="0362A171" w14:textId="77777777" w:rsidR="00000000" w:rsidRDefault="00405D16">
      <w:pPr>
        <w:ind w:hanging="360"/>
        <w:jc w:val="both"/>
        <w:divId w:val="1183476955"/>
        <w:rPr>
          <w:rFonts w:eastAsia="Times New Roman"/>
        </w:rPr>
      </w:pPr>
      <w:r>
        <w:rPr>
          <w:rFonts w:eastAsia="Times New Roman"/>
          <w:color w:val="000000"/>
          <w:sz w:val="20"/>
          <w:szCs w:val="20"/>
        </w:rPr>
        <w:t>•</w:t>
      </w:r>
      <w:r>
        <w:rPr>
          <w:rFonts w:eastAsia="Times New Roman"/>
          <w:i/>
          <w:iCs/>
          <w:color w:val="000000"/>
          <w:sz w:val="20"/>
          <w:szCs w:val="20"/>
        </w:rPr>
        <w:t>Credit Card:</w:t>
      </w:r>
      <w:r>
        <w:rPr>
          <w:rFonts w:eastAsia="Times New Roman"/>
          <w:color w:val="000000"/>
          <w:sz w:val="20"/>
          <w:szCs w:val="20"/>
        </w:rPr>
        <w:t xml:space="preserve"> Consists of our domestic consumer and small business card lending, and international card businesses in Canada and the</w:t>
      </w:r>
      <w:r>
        <w:rPr>
          <w:rFonts w:eastAsia="Times New Roman"/>
          <w:color w:val="000000"/>
          <w:sz w:val="20"/>
          <w:szCs w:val="20"/>
        </w:rPr>
        <w:t xml:space="preserve"> United Kingdom (“U.K.”).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2E00360E" w14:textId="77777777">
        <w:trPr>
          <w:divId w:val="531067645"/>
          <w:jc w:val="center"/>
        </w:trPr>
        <w:tc>
          <w:tcPr>
            <w:tcW w:w="50" w:type="pct"/>
            <w:vAlign w:val="center"/>
            <w:hideMark/>
          </w:tcPr>
          <w:p w14:paraId="79D82D4F" w14:textId="77777777" w:rsidR="00000000" w:rsidRDefault="00405D16">
            <w:pPr>
              <w:ind w:hanging="360"/>
              <w:jc w:val="both"/>
              <w:rPr>
                <w:rFonts w:eastAsia="Times New Roman"/>
              </w:rPr>
            </w:pPr>
          </w:p>
        </w:tc>
        <w:tc>
          <w:tcPr>
            <w:tcW w:w="1606" w:type="pct"/>
            <w:vAlign w:val="center"/>
            <w:hideMark/>
          </w:tcPr>
          <w:p w14:paraId="754F37EA" w14:textId="77777777" w:rsidR="00000000" w:rsidRDefault="00405D16">
            <w:pPr>
              <w:spacing w:after="100"/>
              <w:rPr>
                <w:rFonts w:eastAsia="Times New Roman"/>
                <w:sz w:val="20"/>
                <w:szCs w:val="20"/>
              </w:rPr>
            </w:pPr>
          </w:p>
        </w:tc>
        <w:tc>
          <w:tcPr>
            <w:tcW w:w="5" w:type="pct"/>
            <w:vAlign w:val="center"/>
            <w:hideMark/>
          </w:tcPr>
          <w:p w14:paraId="7B2114E6" w14:textId="77777777" w:rsidR="00000000" w:rsidRDefault="00405D16">
            <w:pPr>
              <w:spacing w:after="100"/>
              <w:rPr>
                <w:rFonts w:eastAsia="Times New Roman"/>
                <w:sz w:val="20"/>
                <w:szCs w:val="20"/>
              </w:rPr>
            </w:pPr>
          </w:p>
        </w:tc>
        <w:tc>
          <w:tcPr>
            <w:tcW w:w="50" w:type="pct"/>
            <w:vAlign w:val="center"/>
            <w:hideMark/>
          </w:tcPr>
          <w:p w14:paraId="3F2BB65D" w14:textId="77777777" w:rsidR="00000000" w:rsidRDefault="00405D16">
            <w:pPr>
              <w:spacing w:after="100"/>
              <w:rPr>
                <w:rFonts w:eastAsia="Times New Roman"/>
                <w:sz w:val="20"/>
                <w:szCs w:val="20"/>
              </w:rPr>
            </w:pPr>
          </w:p>
        </w:tc>
        <w:tc>
          <w:tcPr>
            <w:tcW w:w="1614" w:type="pct"/>
            <w:vAlign w:val="center"/>
            <w:hideMark/>
          </w:tcPr>
          <w:p w14:paraId="0AFFDC8A" w14:textId="77777777" w:rsidR="00000000" w:rsidRDefault="00405D16">
            <w:pPr>
              <w:spacing w:after="100"/>
              <w:rPr>
                <w:rFonts w:eastAsia="Times New Roman"/>
                <w:sz w:val="20"/>
                <w:szCs w:val="20"/>
              </w:rPr>
            </w:pPr>
          </w:p>
        </w:tc>
        <w:tc>
          <w:tcPr>
            <w:tcW w:w="5" w:type="pct"/>
            <w:vAlign w:val="center"/>
            <w:hideMark/>
          </w:tcPr>
          <w:p w14:paraId="14BC49F1" w14:textId="77777777" w:rsidR="00000000" w:rsidRDefault="00405D16">
            <w:pPr>
              <w:spacing w:after="100"/>
              <w:rPr>
                <w:rFonts w:eastAsia="Times New Roman"/>
                <w:sz w:val="20"/>
                <w:szCs w:val="20"/>
              </w:rPr>
            </w:pPr>
          </w:p>
        </w:tc>
        <w:tc>
          <w:tcPr>
            <w:tcW w:w="50" w:type="pct"/>
            <w:vAlign w:val="center"/>
            <w:hideMark/>
          </w:tcPr>
          <w:p w14:paraId="166D51AF" w14:textId="77777777" w:rsidR="00000000" w:rsidRDefault="00405D16">
            <w:pPr>
              <w:spacing w:after="100"/>
              <w:rPr>
                <w:rFonts w:eastAsia="Times New Roman"/>
                <w:sz w:val="20"/>
                <w:szCs w:val="20"/>
              </w:rPr>
            </w:pPr>
          </w:p>
        </w:tc>
        <w:tc>
          <w:tcPr>
            <w:tcW w:w="1614" w:type="pct"/>
            <w:vAlign w:val="center"/>
            <w:hideMark/>
          </w:tcPr>
          <w:p w14:paraId="7AE363B6" w14:textId="77777777" w:rsidR="00000000" w:rsidRDefault="00405D16">
            <w:pPr>
              <w:spacing w:after="100"/>
              <w:rPr>
                <w:rFonts w:eastAsia="Times New Roman"/>
                <w:sz w:val="20"/>
                <w:szCs w:val="20"/>
              </w:rPr>
            </w:pPr>
          </w:p>
        </w:tc>
        <w:tc>
          <w:tcPr>
            <w:tcW w:w="5" w:type="pct"/>
            <w:vAlign w:val="center"/>
            <w:hideMark/>
          </w:tcPr>
          <w:p w14:paraId="007545B7" w14:textId="77777777" w:rsidR="00000000" w:rsidRDefault="00405D16">
            <w:pPr>
              <w:spacing w:after="100"/>
              <w:rPr>
                <w:rFonts w:eastAsia="Times New Roman"/>
                <w:sz w:val="20"/>
                <w:szCs w:val="20"/>
              </w:rPr>
            </w:pPr>
          </w:p>
        </w:tc>
      </w:tr>
      <w:tr w:rsidR="00000000" w14:paraId="329F0A4E" w14:textId="77777777">
        <w:trPr>
          <w:divId w:val="531067645"/>
          <w:trHeight w:val="300"/>
          <w:jc w:val="center"/>
        </w:trPr>
        <w:tc>
          <w:tcPr>
            <w:tcW w:w="0" w:type="auto"/>
            <w:gridSpan w:val="9"/>
            <w:tcMar>
              <w:top w:w="0" w:type="dxa"/>
              <w:left w:w="20" w:type="dxa"/>
              <w:bottom w:w="0" w:type="dxa"/>
              <w:right w:w="20" w:type="dxa"/>
            </w:tcMar>
            <w:vAlign w:val="center"/>
            <w:hideMark/>
          </w:tcPr>
          <w:p w14:paraId="59266FE2" w14:textId="77777777" w:rsidR="00000000" w:rsidRDefault="00405D16">
            <w:pPr>
              <w:spacing w:after="100"/>
              <w:rPr>
                <w:rFonts w:eastAsia="Times New Roman"/>
                <w:sz w:val="20"/>
                <w:szCs w:val="20"/>
              </w:rPr>
            </w:pPr>
          </w:p>
        </w:tc>
      </w:tr>
      <w:tr w:rsidR="00000000" w14:paraId="698235EA" w14:textId="77777777">
        <w:trPr>
          <w:divId w:val="531067645"/>
          <w:jc w:val="center"/>
        </w:trPr>
        <w:tc>
          <w:tcPr>
            <w:tcW w:w="0" w:type="auto"/>
            <w:gridSpan w:val="3"/>
            <w:tcMar>
              <w:top w:w="0" w:type="dxa"/>
              <w:left w:w="20" w:type="dxa"/>
              <w:bottom w:w="0" w:type="dxa"/>
              <w:right w:w="20" w:type="dxa"/>
            </w:tcMar>
            <w:vAlign w:val="center"/>
            <w:hideMark/>
          </w:tcPr>
          <w:p w14:paraId="1A5B225D"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541FCF6" w14:textId="77777777" w:rsidR="00000000" w:rsidRDefault="00405D16">
            <w:pPr>
              <w:spacing w:after="100"/>
              <w:jc w:val="center"/>
              <w:rPr>
                <w:rFonts w:eastAsia="Times New Roman"/>
              </w:rPr>
            </w:pPr>
            <w:r>
              <w:rPr>
                <w:rFonts w:eastAsia="Times New Roman"/>
                <w:color w:val="000000"/>
                <w:sz w:val="16"/>
                <w:szCs w:val="16"/>
              </w:rPr>
              <w:t>4</w:t>
            </w:r>
          </w:p>
        </w:tc>
        <w:tc>
          <w:tcPr>
            <w:tcW w:w="0" w:type="auto"/>
            <w:gridSpan w:val="3"/>
            <w:tcMar>
              <w:top w:w="30" w:type="dxa"/>
              <w:left w:w="20" w:type="dxa"/>
              <w:bottom w:w="30" w:type="dxa"/>
              <w:right w:w="20" w:type="dxa"/>
            </w:tcMar>
            <w:vAlign w:val="bottom"/>
            <w:hideMark/>
          </w:tcPr>
          <w:p w14:paraId="3F924588"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435B4519" w14:textId="77777777" w:rsidR="00000000" w:rsidRDefault="00405D16">
      <w:pPr>
        <w:rPr>
          <w:rFonts w:eastAsia="Times New Roman"/>
        </w:rPr>
      </w:pPr>
      <w:r>
        <w:rPr>
          <w:rFonts w:eastAsia="Times New Roman"/>
        </w:rPr>
        <w:pict w14:anchorId="1CC2FB88">
          <v:rect id="_x0000_i1029" style="width:0;height:1.5pt" o:hralign="center" o:hrstd="t" o:hr="t" fillcolor="#a0a0a0" stroked="f"/>
        </w:pict>
      </w:r>
    </w:p>
    <w:p w14:paraId="1F76A9EC" w14:textId="77777777" w:rsidR="00000000" w:rsidRDefault="00405D16">
      <w:pPr>
        <w:ind w:hanging="360"/>
        <w:jc w:val="both"/>
        <w:divId w:val="1528986382"/>
        <w:rPr>
          <w:rFonts w:eastAsia="Times New Roman"/>
        </w:rPr>
      </w:pPr>
      <w:hyperlink w:anchor="idd54a04a485440b4ab4e56094c14d612_13" w:history="1">
        <w:r>
          <w:rPr>
            <w:rStyle w:val="a3"/>
            <w:rFonts w:eastAsia="Times New Roman"/>
            <w:sz w:val="16"/>
            <w:szCs w:val="16"/>
          </w:rPr>
          <w:t>Table of Contents</w:t>
        </w:r>
      </w:hyperlink>
    </w:p>
    <w:p w14:paraId="26619468" w14:textId="77777777" w:rsidR="00000000" w:rsidRDefault="00405D16">
      <w:pPr>
        <w:ind w:hanging="360"/>
        <w:jc w:val="both"/>
        <w:divId w:val="1829398982"/>
        <w:rPr>
          <w:rFonts w:eastAsia="Times New Roman"/>
        </w:rPr>
      </w:pPr>
      <w:r>
        <w:rPr>
          <w:rFonts w:eastAsia="Times New Roman"/>
          <w:color w:val="000000"/>
          <w:sz w:val="20"/>
          <w:szCs w:val="20"/>
        </w:rPr>
        <w:t>•</w:t>
      </w:r>
      <w:r>
        <w:rPr>
          <w:rFonts w:eastAsia="Times New Roman"/>
          <w:i/>
          <w:iCs/>
          <w:color w:val="000000"/>
          <w:sz w:val="20"/>
          <w:szCs w:val="20"/>
        </w:rPr>
        <w:t>Consumer Banking:</w:t>
      </w:r>
      <w:r>
        <w:rPr>
          <w:rFonts w:eastAsia="Times New Roman"/>
          <w:color w:val="000000"/>
          <w:sz w:val="20"/>
          <w:szCs w:val="20"/>
        </w:rPr>
        <w:t xml:space="preserve"> </w:t>
      </w:r>
      <w:r>
        <w:rPr>
          <w:rFonts w:eastAsia="Times New Roman"/>
          <w:color w:val="000000"/>
          <w:sz w:val="20"/>
          <w:szCs w:val="20"/>
        </w:rPr>
        <w:t>Consists of our deposit gathering and lending activities for consumers and small businesses, and national auto lending.</w:t>
      </w:r>
    </w:p>
    <w:p w14:paraId="0887332D" w14:textId="77777777" w:rsidR="00000000" w:rsidRDefault="00405D16">
      <w:pPr>
        <w:ind w:hanging="360"/>
        <w:jc w:val="both"/>
        <w:divId w:val="1877934135"/>
        <w:rPr>
          <w:rFonts w:eastAsia="Times New Roman"/>
        </w:rPr>
      </w:pPr>
      <w:r>
        <w:rPr>
          <w:rFonts w:eastAsia="Times New Roman"/>
          <w:color w:val="000000"/>
          <w:sz w:val="20"/>
          <w:szCs w:val="20"/>
        </w:rPr>
        <w:t>•</w:t>
      </w:r>
      <w:r>
        <w:rPr>
          <w:rFonts w:eastAsia="Times New Roman"/>
          <w:i/>
          <w:iCs/>
          <w:color w:val="000000"/>
          <w:sz w:val="20"/>
          <w:szCs w:val="20"/>
        </w:rPr>
        <w:t>Commercial Banking:</w:t>
      </w:r>
      <w:r>
        <w:rPr>
          <w:rFonts w:eastAsia="Times New Roman"/>
          <w:color w:val="000000"/>
          <w:sz w:val="20"/>
          <w:szCs w:val="20"/>
        </w:rPr>
        <w:t xml:space="preserve"> Consists of our lending, deposit gathering, capital markets and treasury management services to commercial real est</w:t>
      </w:r>
      <w:r>
        <w:rPr>
          <w:rFonts w:eastAsia="Times New Roman"/>
          <w:color w:val="000000"/>
          <w:sz w:val="20"/>
          <w:szCs w:val="20"/>
        </w:rPr>
        <w:t>ate and commercial and industrial customers. Our commercial and industrial customers typically include companies with annual revenues between $20 million and $2 billion.</w:t>
      </w:r>
    </w:p>
    <w:p w14:paraId="45C2ED36" w14:textId="77777777" w:rsidR="00000000" w:rsidRDefault="00405D16">
      <w:pPr>
        <w:divId w:val="1471677764"/>
        <w:rPr>
          <w:rFonts w:eastAsia="Times New Roman"/>
        </w:rPr>
      </w:pPr>
      <w:r>
        <w:rPr>
          <w:rFonts w:eastAsia="Times New Roman"/>
          <w:b/>
          <w:bCs/>
          <w:color w:val="000000"/>
          <w:sz w:val="20"/>
          <w:szCs w:val="20"/>
        </w:rPr>
        <w:t>Business Developments</w:t>
      </w:r>
    </w:p>
    <w:p w14:paraId="6212FC5E" w14:textId="77777777" w:rsidR="00000000" w:rsidRDefault="00405D16">
      <w:pPr>
        <w:jc w:val="both"/>
        <w:divId w:val="51973025"/>
        <w:rPr>
          <w:rFonts w:eastAsia="Times New Roman"/>
        </w:rPr>
      </w:pPr>
      <w:r>
        <w:rPr>
          <w:rFonts w:eastAsia="Times New Roman"/>
          <w:color w:val="000000"/>
          <w:sz w:val="20"/>
          <w:szCs w:val="20"/>
        </w:rPr>
        <w:t>We regularly explore and evaluate opportunities to acquire finan</w:t>
      </w:r>
      <w:r>
        <w:rPr>
          <w:rFonts w:eastAsia="Times New Roman"/>
          <w:color w:val="000000"/>
          <w:sz w:val="20"/>
          <w:szCs w:val="20"/>
        </w:rPr>
        <w:t xml:space="preserve">cial services and products as well as financial assets, including credit card and other loan portfolios, and enter into strategic partnerships as part of our growth strategy. We also explore opportunities to acquire technology companies and related assets </w:t>
      </w:r>
      <w:r>
        <w:rPr>
          <w:rFonts w:eastAsia="Times New Roman"/>
          <w:color w:val="000000"/>
          <w:sz w:val="20"/>
          <w:szCs w:val="20"/>
        </w:rPr>
        <w:t>to improve our information technology infrastructure and to deliver on our digital strategy. We may issue equity or debt to fund our acquisitions. In addition, we regularly consider the potential disposition of certain assets, branches, partnership agreeme</w:t>
      </w:r>
      <w:r>
        <w:rPr>
          <w:rFonts w:eastAsia="Times New Roman"/>
          <w:color w:val="000000"/>
          <w:sz w:val="20"/>
          <w:szCs w:val="20"/>
        </w:rPr>
        <w:t>nts or lines of business.</w:t>
      </w:r>
    </w:p>
    <w:p w14:paraId="0D68947E" w14:textId="77777777" w:rsidR="00000000" w:rsidRDefault="00405D16">
      <w:pPr>
        <w:divId w:val="987247543"/>
        <w:rPr>
          <w:rFonts w:eastAsia="Times New Roman"/>
        </w:rPr>
      </w:pPr>
      <w:r>
        <w:rPr>
          <w:rFonts w:eastAsia="Times New Roman"/>
          <w:b/>
          <w:bCs/>
          <w:color w:val="000000"/>
          <w:sz w:val="20"/>
          <w:szCs w:val="20"/>
        </w:rPr>
        <w:t xml:space="preserve">Coronavirus Disease 2019 (COVID-19) Pandemic </w:t>
      </w:r>
    </w:p>
    <w:p w14:paraId="0015604C" w14:textId="77777777" w:rsidR="00000000" w:rsidRDefault="00405D16">
      <w:pPr>
        <w:jc w:val="both"/>
        <w:divId w:val="415398574"/>
        <w:rPr>
          <w:rFonts w:eastAsia="Times New Roman"/>
        </w:rPr>
      </w:pPr>
      <w:r>
        <w:rPr>
          <w:rFonts w:eastAsia="Times New Roman"/>
          <w:color w:val="000000"/>
          <w:sz w:val="20"/>
          <w:szCs w:val="20"/>
        </w:rPr>
        <w:t>The COVID-19 pandemic resulted in a global public-health crisis, disrupting economies and introducing significant volatility into financial markets. We transformed how we work in order to protect the well-being of our associates and our customers, and were</w:t>
      </w:r>
      <w:r>
        <w:rPr>
          <w:rFonts w:eastAsia="Times New Roman"/>
          <w:color w:val="000000"/>
          <w:sz w:val="20"/>
          <w:szCs w:val="20"/>
        </w:rPr>
        <w:t xml:space="preserve"> able to continue to serve our customers, successfully manage critical functions, and keep our lines of business operating.</w:t>
      </w:r>
    </w:p>
    <w:p w14:paraId="4F1BF1C4" w14:textId="77777777" w:rsidR="00000000" w:rsidRDefault="00405D16">
      <w:pPr>
        <w:jc w:val="both"/>
        <w:divId w:val="249235959"/>
        <w:rPr>
          <w:rFonts w:eastAsia="Times New Roman"/>
        </w:rPr>
      </w:pPr>
      <w:r>
        <w:rPr>
          <w:rFonts w:eastAsia="Times New Roman"/>
          <w:color w:val="000000"/>
          <w:sz w:val="20"/>
          <w:szCs w:val="20"/>
        </w:rPr>
        <w:t>Since the start of the COVID-19 pandemic, a significant majority of our associates across our workforce have transitioned to working</w:t>
      </w:r>
      <w:r>
        <w:rPr>
          <w:rFonts w:eastAsia="Times New Roman"/>
          <w:color w:val="000000"/>
          <w:sz w:val="20"/>
          <w:szCs w:val="20"/>
        </w:rPr>
        <w:t xml:space="preserve"> remotely, relying on our technology infrastructure and systems that have been designed for resilience and security. The majority of our associates continue to work remotely. In the future, we plan to adopt a hybrid work methodology that allows for in-offi</w:t>
      </w:r>
      <w:r>
        <w:rPr>
          <w:rFonts w:eastAsia="Times New Roman"/>
          <w:color w:val="000000"/>
          <w:sz w:val="20"/>
          <w:szCs w:val="20"/>
        </w:rPr>
        <w:t>ce collaboration while still enabling associates to work remotely. We continue to monitor local conditions to ensure the safety of our associates.</w:t>
      </w:r>
    </w:p>
    <w:p w14:paraId="7E16C1D8" w14:textId="77777777" w:rsidR="00000000" w:rsidRDefault="00405D16">
      <w:pPr>
        <w:jc w:val="both"/>
        <w:divId w:val="1087772765"/>
        <w:rPr>
          <w:rFonts w:eastAsia="Times New Roman"/>
        </w:rPr>
      </w:pPr>
      <w:r>
        <w:rPr>
          <w:rFonts w:eastAsia="Times New Roman"/>
          <w:color w:val="000000"/>
          <w:sz w:val="20"/>
          <w:szCs w:val="20"/>
        </w:rPr>
        <w:t xml:space="preserve">For more information see “Part I—Item 1. Business—Overview—Coronavirus Disease 2019 (COVID-19) Pandemic” and </w:t>
      </w:r>
      <w:r>
        <w:rPr>
          <w:rFonts w:eastAsia="Times New Roman"/>
          <w:color w:val="000000"/>
          <w:sz w:val="20"/>
          <w:szCs w:val="20"/>
        </w:rPr>
        <w:t>“Part I—Item 1A. Risk Factors” in our 2020 Form 10-K along with “Part I—Item 2. MD&amp;A—Introduction—Coronavirus Disease 2019 (COVID-19) Pandemic” and “Part I—Item 2. MD&amp;A—Credit Risk Profile—COVID-19 Customer Assistance Programs and Loan Modifications” in ou</w:t>
      </w:r>
      <w:r>
        <w:rPr>
          <w:rFonts w:eastAsia="Times New Roman"/>
          <w:color w:val="000000"/>
          <w:sz w:val="20"/>
          <w:szCs w:val="20"/>
        </w:rPr>
        <w:t>r Quarterly Report on Form 10-Q for the period ended March 31, 2021.</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1E40D70D" w14:textId="77777777">
        <w:trPr>
          <w:divId w:val="1558013687"/>
          <w:jc w:val="center"/>
        </w:trPr>
        <w:tc>
          <w:tcPr>
            <w:tcW w:w="50" w:type="pct"/>
            <w:vAlign w:val="center"/>
            <w:hideMark/>
          </w:tcPr>
          <w:p w14:paraId="4A177A8C" w14:textId="77777777" w:rsidR="00000000" w:rsidRDefault="00405D16">
            <w:pPr>
              <w:jc w:val="both"/>
              <w:rPr>
                <w:rFonts w:eastAsia="Times New Roman"/>
              </w:rPr>
            </w:pPr>
          </w:p>
        </w:tc>
        <w:tc>
          <w:tcPr>
            <w:tcW w:w="1606" w:type="pct"/>
            <w:vAlign w:val="center"/>
            <w:hideMark/>
          </w:tcPr>
          <w:p w14:paraId="01C5291A" w14:textId="77777777" w:rsidR="00000000" w:rsidRDefault="00405D16">
            <w:pPr>
              <w:spacing w:after="100"/>
              <w:rPr>
                <w:rFonts w:eastAsia="Times New Roman"/>
                <w:sz w:val="20"/>
                <w:szCs w:val="20"/>
              </w:rPr>
            </w:pPr>
          </w:p>
        </w:tc>
        <w:tc>
          <w:tcPr>
            <w:tcW w:w="5" w:type="pct"/>
            <w:vAlign w:val="center"/>
            <w:hideMark/>
          </w:tcPr>
          <w:p w14:paraId="03C66E91" w14:textId="77777777" w:rsidR="00000000" w:rsidRDefault="00405D16">
            <w:pPr>
              <w:spacing w:after="100"/>
              <w:rPr>
                <w:rFonts w:eastAsia="Times New Roman"/>
                <w:sz w:val="20"/>
                <w:szCs w:val="20"/>
              </w:rPr>
            </w:pPr>
          </w:p>
        </w:tc>
        <w:tc>
          <w:tcPr>
            <w:tcW w:w="50" w:type="pct"/>
            <w:vAlign w:val="center"/>
            <w:hideMark/>
          </w:tcPr>
          <w:p w14:paraId="6E8C52EB" w14:textId="77777777" w:rsidR="00000000" w:rsidRDefault="00405D16">
            <w:pPr>
              <w:spacing w:after="100"/>
              <w:rPr>
                <w:rFonts w:eastAsia="Times New Roman"/>
                <w:sz w:val="20"/>
                <w:szCs w:val="20"/>
              </w:rPr>
            </w:pPr>
          </w:p>
        </w:tc>
        <w:tc>
          <w:tcPr>
            <w:tcW w:w="1614" w:type="pct"/>
            <w:vAlign w:val="center"/>
            <w:hideMark/>
          </w:tcPr>
          <w:p w14:paraId="1855F295" w14:textId="77777777" w:rsidR="00000000" w:rsidRDefault="00405D16">
            <w:pPr>
              <w:spacing w:after="100"/>
              <w:rPr>
                <w:rFonts w:eastAsia="Times New Roman"/>
                <w:sz w:val="20"/>
                <w:szCs w:val="20"/>
              </w:rPr>
            </w:pPr>
          </w:p>
        </w:tc>
        <w:tc>
          <w:tcPr>
            <w:tcW w:w="5" w:type="pct"/>
            <w:vAlign w:val="center"/>
            <w:hideMark/>
          </w:tcPr>
          <w:p w14:paraId="3447F401" w14:textId="77777777" w:rsidR="00000000" w:rsidRDefault="00405D16">
            <w:pPr>
              <w:spacing w:after="100"/>
              <w:rPr>
                <w:rFonts w:eastAsia="Times New Roman"/>
                <w:sz w:val="20"/>
                <w:szCs w:val="20"/>
              </w:rPr>
            </w:pPr>
          </w:p>
        </w:tc>
        <w:tc>
          <w:tcPr>
            <w:tcW w:w="50" w:type="pct"/>
            <w:vAlign w:val="center"/>
            <w:hideMark/>
          </w:tcPr>
          <w:p w14:paraId="476894D8" w14:textId="77777777" w:rsidR="00000000" w:rsidRDefault="00405D16">
            <w:pPr>
              <w:spacing w:after="100"/>
              <w:rPr>
                <w:rFonts w:eastAsia="Times New Roman"/>
                <w:sz w:val="20"/>
                <w:szCs w:val="20"/>
              </w:rPr>
            </w:pPr>
          </w:p>
        </w:tc>
        <w:tc>
          <w:tcPr>
            <w:tcW w:w="1614" w:type="pct"/>
            <w:vAlign w:val="center"/>
            <w:hideMark/>
          </w:tcPr>
          <w:p w14:paraId="1222EB14" w14:textId="77777777" w:rsidR="00000000" w:rsidRDefault="00405D16">
            <w:pPr>
              <w:spacing w:after="100"/>
              <w:rPr>
                <w:rFonts w:eastAsia="Times New Roman"/>
                <w:sz w:val="20"/>
                <w:szCs w:val="20"/>
              </w:rPr>
            </w:pPr>
          </w:p>
        </w:tc>
        <w:tc>
          <w:tcPr>
            <w:tcW w:w="5" w:type="pct"/>
            <w:vAlign w:val="center"/>
            <w:hideMark/>
          </w:tcPr>
          <w:p w14:paraId="60A1121D" w14:textId="77777777" w:rsidR="00000000" w:rsidRDefault="00405D16">
            <w:pPr>
              <w:spacing w:after="100"/>
              <w:rPr>
                <w:rFonts w:eastAsia="Times New Roman"/>
                <w:sz w:val="20"/>
                <w:szCs w:val="20"/>
              </w:rPr>
            </w:pPr>
          </w:p>
        </w:tc>
      </w:tr>
      <w:tr w:rsidR="00000000" w14:paraId="27469554" w14:textId="77777777">
        <w:trPr>
          <w:divId w:val="1558013687"/>
          <w:trHeight w:val="300"/>
          <w:jc w:val="center"/>
        </w:trPr>
        <w:tc>
          <w:tcPr>
            <w:tcW w:w="0" w:type="auto"/>
            <w:gridSpan w:val="9"/>
            <w:tcMar>
              <w:top w:w="0" w:type="dxa"/>
              <w:left w:w="20" w:type="dxa"/>
              <w:bottom w:w="0" w:type="dxa"/>
              <w:right w:w="20" w:type="dxa"/>
            </w:tcMar>
            <w:vAlign w:val="center"/>
            <w:hideMark/>
          </w:tcPr>
          <w:p w14:paraId="3886D282" w14:textId="77777777" w:rsidR="00000000" w:rsidRDefault="00405D16">
            <w:pPr>
              <w:spacing w:after="100"/>
              <w:rPr>
                <w:rFonts w:eastAsia="Times New Roman"/>
                <w:sz w:val="20"/>
                <w:szCs w:val="20"/>
              </w:rPr>
            </w:pPr>
          </w:p>
        </w:tc>
      </w:tr>
      <w:tr w:rsidR="00000000" w14:paraId="3FEEA49C" w14:textId="77777777">
        <w:trPr>
          <w:divId w:val="1558013687"/>
          <w:jc w:val="center"/>
        </w:trPr>
        <w:tc>
          <w:tcPr>
            <w:tcW w:w="0" w:type="auto"/>
            <w:gridSpan w:val="3"/>
            <w:tcMar>
              <w:top w:w="0" w:type="dxa"/>
              <w:left w:w="20" w:type="dxa"/>
              <w:bottom w:w="0" w:type="dxa"/>
              <w:right w:w="20" w:type="dxa"/>
            </w:tcMar>
            <w:vAlign w:val="center"/>
            <w:hideMark/>
          </w:tcPr>
          <w:p w14:paraId="59DB71A9"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2A4386F" w14:textId="77777777" w:rsidR="00000000" w:rsidRDefault="00405D16">
            <w:pPr>
              <w:spacing w:after="100"/>
              <w:jc w:val="center"/>
              <w:rPr>
                <w:rFonts w:eastAsia="Times New Roman"/>
              </w:rPr>
            </w:pPr>
            <w:r>
              <w:rPr>
                <w:rFonts w:eastAsia="Times New Roman"/>
                <w:color w:val="000000"/>
                <w:sz w:val="16"/>
                <w:szCs w:val="16"/>
              </w:rPr>
              <w:t>5</w:t>
            </w:r>
          </w:p>
        </w:tc>
        <w:tc>
          <w:tcPr>
            <w:tcW w:w="0" w:type="auto"/>
            <w:gridSpan w:val="3"/>
            <w:tcMar>
              <w:top w:w="30" w:type="dxa"/>
              <w:left w:w="20" w:type="dxa"/>
              <w:bottom w:w="30" w:type="dxa"/>
              <w:right w:w="20" w:type="dxa"/>
            </w:tcMar>
            <w:vAlign w:val="bottom"/>
            <w:hideMark/>
          </w:tcPr>
          <w:p w14:paraId="0115E494"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412DB9E8" w14:textId="77777777" w:rsidR="00000000" w:rsidRDefault="00405D16">
      <w:pPr>
        <w:rPr>
          <w:rFonts w:eastAsia="Times New Roman"/>
        </w:rPr>
      </w:pPr>
      <w:r>
        <w:rPr>
          <w:rFonts w:eastAsia="Times New Roman"/>
        </w:rPr>
        <w:pict w14:anchorId="7F38594F">
          <v:rect id="_x0000_i1030" style="width:0;height:1.5pt" o:hralign="center" o:hrstd="t" o:hr="t" fillcolor="#a0a0a0" stroked="f"/>
        </w:pict>
      </w:r>
    </w:p>
    <w:p w14:paraId="1241D84B" w14:textId="77777777" w:rsidR="00000000" w:rsidRDefault="00405D16">
      <w:pPr>
        <w:ind w:hanging="360"/>
        <w:jc w:val="both"/>
        <w:divId w:val="2081950065"/>
        <w:rPr>
          <w:rFonts w:eastAsia="Times New Roman"/>
        </w:rPr>
      </w:pPr>
      <w:hyperlink w:anchor="idd54a04a485440b4ab4e56094c14d612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28BD4779" w14:textId="77777777">
        <w:trPr>
          <w:divId w:val="271019106"/>
        </w:trPr>
        <w:tc>
          <w:tcPr>
            <w:tcW w:w="50" w:type="pct"/>
            <w:vAlign w:val="center"/>
            <w:hideMark/>
          </w:tcPr>
          <w:p w14:paraId="03137504" w14:textId="77777777" w:rsidR="00000000" w:rsidRDefault="00405D16">
            <w:pPr>
              <w:ind w:hanging="360"/>
              <w:jc w:val="both"/>
              <w:rPr>
                <w:rFonts w:eastAsia="Times New Roman"/>
              </w:rPr>
            </w:pPr>
          </w:p>
        </w:tc>
        <w:tc>
          <w:tcPr>
            <w:tcW w:w="4945" w:type="pct"/>
            <w:vAlign w:val="center"/>
            <w:hideMark/>
          </w:tcPr>
          <w:p w14:paraId="1C7CBDAC" w14:textId="77777777" w:rsidR="00000000" w:rsidRDefault="00405D16">
            <w:pPr>
              <w:spacing w:after="100"/>
              <w:rPr>
                <w:rFonts w:eastAsia="Times New Roman"/>
                <w:sz w:val="20"/>
                <w:szCs w:val="20"/>
              </w:rPr>
            </w:pPr>
          </w:p>
        </w:tc>
        <w:tc>
          <w:tcPr>
            <w:tcW w:w="5" w:type="pct"/>
            <w:vAlign w:val="center"/>
            <w:hideMark/>
          </w:tcPr>
          <w:p w14:paraId="78853132" w14:textId="77777777" w:rsidR="00000000" w:rsidRDefault="00405D16">
            <w:pPr>
              <w:spacing w:after="100"/>
              <w:rPr>
                <w:rFonts w:eastAsia="Times New Roman"/>
                <w:sz w:val="20"/>
                <w:szCs w:val="20"/>
              </w:rPr>
            </w:pPr>
          </w:p>
        </w:tc>
      </w:tr>
      <w:tr w:rsidR="00000000" w14:paraId="3DF07D3C" w14:textId="77777777">
        <w:trPr>
          <w:divId w:val="271019106"/>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006BADA0" w14:textId="77777777" w:rsidR="00000000" w:rsidRDefault="00405D16">
            <w:pPr>
              <w:spacing w:after="100"/>
              <w:rPr>
                <w:rFonts w:eastAsia="Times New Roman"/>
              </w:rPr>
            </w:pPr>
            <w:r>
              <w:rPr>
                <w:rFonts w:eastAsia="Times New Roman"/>
                <w:b/>
                <w:bCs/>
                <w:color w:val="000000"/>
                <w:sz w:val="20"/>
                <w:szCs w:val="20"/>
              </w:rPr>
              <w:t>SELECTED FINANCIAL DATA</w:t>
            </w:r>
          </w:p>
        </w:tc>
      </w:tr>
    </w:tbl>
    <w:p w14:paraId="4E0143C9" w14:textId="77777777" w:rsidR="00000000" w:rsidRDefault="00405D16">
      <w:pPr>
        <w:jc w:val="both"/>
        <w:divId w:val="298849062"/>
        <w:rPr>
          <w:rFonts w:eastAsia="Times New Roman"/>
        </w:rPr>
      </w:pPr>
      <w:r>
        <w:rPr>
          <w:rFonts w:eastAsia="Times New Roman"/>
          <w:color w:val="000000"/>
          <w:sz w:val="20"/>
          <w:szCs w:val="20"/>
        </w:rPr>
        <w:t xml:space="preserve">The following table presents selected consolidated financial data and performance from our results of operations for the third quarter and first nine months of 2021 and 2020 and selected comparative balance sheet data as of September 30, 2021 and December </w:t>
      </w:r>
      <w:r>
        <w:rPr>
          <w:rFonts w:eastAsia="Times New Roman"/>
          <w:color w:val="000000"/>
          <w:sz w:val="20"/>
          <w:szCs w:val="20"/>
        </w:rPr>
        <w:t>31, 2020. We also provide selected key metrics we use in evaluating our performance, including certain metrics that are computed using non-GAAP measures. We consider these metrics to be key financial measures that management uses in assessing our operating</w:t>
      </w:r>
      <w:r>
        <w:rPr>
          <w:rFonts w:eastAsia="Times New Roman"/>
          <w:color w:val="000000"/>
          <w:sz w:val="20"/>
          <w:szCs w:val="20"/>
        </w:rPr>
        <w:t xml:space="preserve"> performance, capital adequacy and the level of returns generated. We believe these non-GAAP metrics provide useful insight to investors and users of our financial information as they provide an alternate measurement of our performance and assist in assess</w:t>
      </w:r>
      <w:r>
        <w:rPr>
          <w:rFonts w:eastAsia="Times New Roman"/>
          <w:color w:val="000000"/>
          <w:sz w:val="20"/>
          <w:szCs w:val="20"/>
        </w:rPr>
        <w:t>ing our capital adequacy and the level of return generated.</w:t>
      </w:r>
    </w:p>
    <w:p w14:paraId="219244EC" w14:textId="77777777" w:rsidR="00000000" w:rsidRDefault="00405D16">
      <w:pPr>
        <w:divId w:val="805897203"/>
        <w:rPr>
          <w:rFonts w:eastAsia="Times New Roman"/>
        </w:rPr>
      </w:pPr>
      <w:r>
        <w:rPr>
          <w:rFonts w:eastAsia="Times New Roman"/>
          <w:b/>
          <w:bCs/>
          <w:color w:val="000000"/>
          <w:sz w:val="18"/>
          <w:szCs w:val="18"/>
        </w:rPr>
        <w:t xml:space="preserve">Table 1: </w:t>
      </w:r>
      <w:r>
        <w:rPr>
          <w:rFonts w:eastAsia="Times New Roman"/>
          <w:b/>
          <w:bCs/>
          <w:color w:val="000000"/>
          <w:sz w:val="20"/>
          <w:szCs w:val="20"/>
        </w:rPr>
        <w:t>Consolidated Financial Highlights</w:t>
      </w:r>
    </w:p>
    <w:tbl>
      <w:tblPr>
        <w:tblW w:w="5000" w:type="pct"/>
        <w:tblCellMar>
          <w:top w:w="15" w:type="dxa"/>
          <w:left w:w="15" w:type="dxa"/>
          <w:bottom w:w="15" w:type="dxa"/>
          <w:right w:w="15" w:type="dxa"/>
        </w:tblCellMar>
        <w:tblLook w:val="04A0" w:firstRow="1" w:lastRow="0" w:firstColumn="1" w:lastColumn="0" w:noHBand="0" w:noVBand="1"/>
      </w:tblPr>
      <w:tblGrid>
        <w:gridCol w:w="39"/>
        <w:gridCol w:w="2920"/>
        <w:gridCol w:w="38"/>
        <w:gridCol w:w="36"/>
        <w:gridCol w:w="36"/>
        <w:gridCol w:w="36"/>
        <w:gridCol w:w="110"/>
        <w:gridCol w:w="599"/>
        <w:gridCol w:w="36"/>
        <w:gridCol w:w="36"/>
        <w:gridCol w:w="36"/>
        <w:gridCol w:w="36"/>
        <w:gridCol w:w="110"/>
        <w:gridCol w:w="524"/>
        <w:gridCol w:w="36"/>
        <w:gridCol w:w="36"/>
        <w:gridCol w:w="36"/>
        <w:gridCol w:w="36"/>
        <w:gridCol w:w="70"/>
        <w:gridCol w:w="489"/>
        <w:gridCol w:w="36"/>
        <w:gridCol w:w="36"/>
        <w:gridCol w:w="36"/>
        <w:gridCol w:w="36"/>
        <w:gridCol w:w="110"/>
        <w:gridCol w:w="540"/>
        <w:gridCol w:w="36"/>
        <w:gridCol w:w="36"/>
        <w:gridCol w:w="36"/>
        <w:gridCol w:w="36"/>
        <w:gridCol w:w="110"/>
        <w:gridCol w:w="540"/>
        <w:gridCol w:w="36"/>
        <w:gridCol w:w="36"/>
        <w:gridCol w:w="36"/>
        <w:gridCol w:w="36"/>
        <w:gridCol w:w="36"/>
        <w:gridCol w:w="36"/>
        <w:gridCol w:w="36"/>
        <w:gridCol w:w="36"/>
        <w:gridCol w:w="36"/>
        <w:gridCol w:w="36"/>
        <w:gridCol w:w="36"/>
        <w:gridCol w:w="36"/>
        <w:gridCol w:w="36"/>
        <w:gridCol w:w="36"/>
        <w:gridCol w:w="36"/>
        <w:gridCol w:w="36"/>
        <w:gridCol w:w="36"/>
        <w:gridCol w:w="36"/>
        <w:gridCol w:w="70"/>
        <w:gridCol w:w="489"/>
        <w:gridCol w:w="36"/>
        <w:gridCol w:w="36"/>
        <w:gridCol w:w="36"/>
        <w:gridCol w:w="36"/>
        <w:gridCol w:w="36"/>
        <w:gridCol w:w="36"/>
      </w:tblGrid>
      <w:tr w:rsidR="00000000" w14:paraId="34DBF75D" w14:textId="77777777">
        <w:trPr>
          <w:divId w:val="227809696"/>
        </w:trPr>
        <w:tc>
          <w:tcPr>
            <w:tcW w:w="50" w:type="pct"/>
            <w:vAlign w:val="center"/>
            <w:hideMark/>
          </w:tcPr>
          <w:p w14:paraId="036ACF7B" w14:textId="77777777" w:rsidR="00000000" w:rsidRDefault="00405D16">
            <w:pPr>
              <w:rPr>
                <w:rFonts w:eastAsia="Times New Roman"/>
              </w:rPr>
            </w:pPr>
          </w:p>
        </w:tc>
        <w:tc>
          <w:tcPr>
            <w:tcW w:w="1969" w:type="pct"/>
            <w:vAlign w:val="center"/>
            <w:hideMark/>
          </w:tcPr>
          <w:p w14:paraId="33A64893" w14:textId="77777777" w:rsidR="00000000" w:rsidRDefault="00405D16">
            <w:pPr>
              <w:spacing w:after="100"/>
              <w:rPr>
                <w:rFonts w:eastAsia="Times New Roman"/>
                <w:sz w:val="20"/>
                <w:szCs w:val="20"/>
              </w:rPr>
            </w:pPr>
          </w:p>
        </w:tc>
        <w:tc>
          <w:tcPr>
            <w:tcW w:w="5" w:type="pct"/>
            <w:vAlign w:val="center"/>
            <w:hideMark/>
          </w:tcPr>
          <w:p w14:paraId="0D3AED4C" w14:textId="77777777" w:rsidR="00000000" w:rsidRDefault="00405D16">
            <w:pPr>
              <w:spacing w:after="100"/>
              <w:rPr>
                <w:rFonts w:eastAsia="Times New Roman"/>
                <w:sz w:val="20"/>
                <w:szCs w:val="20"/>
              </w:rPr>
            </w:pPr>
          </w:p>
        </w:tc>
        <w:tc>
          <w:tcPr>
            <w:tcW w:w="5" w:type="pct"/>
            <w:vAlign w:val="center"/>
            <w:hideMark/>
          </w:tcPr>
          <w:p w14:paraId="28AE3170" w14:textId="77777777" w:rsidR="00000000" w:rsidRDefault="00405D16">
            <w:pPr>
              <w:spacing w:after="100"/>
              <w:rPr>
                <w:rFonts w:eastAsia="Times New Roman"/>
                <w:sz w:val="20"/>
                <w:szCs w:val="20"/>
              </w:rPr>
            </w:pPr>
          </w:p>
        </w:tc>
        <w:tc>
          <w:tcPr>
            <w:tcW w:w="19" w:type="pct"/>
            <w:vAlign w:val="center"/>
            <w:hideMark/>
          </w:tcPr>
          <w:p w14:paraId="3DAB4B56" w14:textId="77777777" w:rsidR="00000000" w:rsidRDefault="00405D16">
            <w:pPr>
              <w:spacing w:after="100"/>
              <w:rPr>
                <w:rFonts w:eastAsia="Times New Roman"/>
                <w:sz w:val="20"/>
                <w:szCs w:val="20"/>
              </w:rPr>
            </w:pPr>
          </w:p>
        </w:tc>
        <w:tc>
          <w:tcPr>
            <w:tcW w:w="5" w:type="pct"/>
            <w:vAlign w:val="center"/>
            <w:hideMark/>
          </w:tcPr>
          <w:p w14:paraId="6F75FE2D" w14:textId="77777777" w:rsidR="00000000" w:rsidRDefault="00405D16">
            <w:pPr>
              <w:spacing w:after="100"/>
              <w:rPr>
                <w:rFonts w:eastAsia="Times New Roman"/>
                <w:sz w:val="20"/>
                <w:szCs w:val="20"/>
              </w:rPr>
            </w:pPr>
          </w:p>
        </w:tc>
        <w:tc>
          <w:tcPr>
            <w:tcW w:w="50" w:type="pct"/>
            <w:vAlign w:val="center"/>
            <w:hideMark/>
          </w:tcPr>
          <w:p w14:paraId="1CA4FFAF" w14:textId="77777777" w:rsidR="00000000" w:rsidRDefault="00405D16">
            <w:pPr>
              <w:spacing w:after="100"/>
              <w:rPr>
                <w:rFonts w:eastAsia="Times New Roman"/>
                <w:sz w:val="20"/>
                <w:szCs w:val="20"/>
              </w:rPr>
            </w:pPr>
          </w:p>
        </w:tc>
        <w:tc>
          <w:tcPr>
            <w:tcW w:w="442" w:type="pct"/>
            <w:vAlign w:val="center"/>
            <w:hideMark/>
          </w:tcPr>
          <w:p w14:paraId="00F18F74" w14:textId="77777777" w:rsidR="00000000" w:rsidRDefault="00405D16">
            <w:pPr>
              <w:spacing w:after="100"/>
              <w:rPr>
                <w:rFonts w:eastAsia="Times New Roman"/>
                <w:sz w:val="20"/>
                <w:szCs w:val="20"/>
              </w:rPr>
            </w:pPr>
          </w:p>
        </w:tc>
        <w:tc>
          <w:tcPr>
            <w:tcW w:w="5" w:type="pct"/>
            <w:vAlign w:val="center"/>
            <w:hideMark/>
          </w:tcPr>
          <w:p w14:paraId="4E19156E" w14:textId="77777777" w:rsidR="00000000" w:rsidRDefault="00405D16">
            <w:pPr>
              <w:spacing w:after="100"/>
              <w:rPr>
                <w:rFonts w:eastAsia="Times New Roman"/>
                <w:sz w:val="20"/>
                <w:szCs w:val="20"/>
              </w:rPr>
            </w:pPr>
          </w:p>
        </w:tc>
        <w:tc>
          <w:tcPr>
            <w:tcW w:w="5" w:type="pct"/>
            <w:vAlign w:val="center"/>
            <w:hideMark/>
          </w:tcPr>
          <w:p w14:paraId="3357F0F5" w14:textId="77777777" w:rsidR="00000000" w:rsidRDefault="00405D16">
            <w:pPr>
              <w:spacing w:after="100"/>
              <w:rPr>
                <w:rFonts w:eastAsia="Times New Roman"/>
                <w:sz w:val="20"/>
                <w:szCs w:val="20"/>
              </w:rPr>
            </w:pPr>
          </w:p>
        </w:tc>
        <w:tc>
          <w:tcPr>
            <w:tcW w:w="26" w:type="pct"/>
            <w:vAlign w:val="center"/>
            <w:hideMark/>
          </w:tcPr>
          <w:p w14:paraId="4FC3BDB2" w14:textId="77777777" w:rsidR="00000000" w:rsidRDefault="00405D16">
            <w:pPr>
              <w:spacing w:after="100"/>
              <w:rPr>
                <w:rFonts w:eastAsia="Times New Roman"/>
                <w:sz w:val="20"/>
                <w:szCs w:val="20"/>
              </w:rPr>
            </w:pPr>
          </w:p>
        </w:tc>
        <w:tc>
          <w:tcPr>
            <w:tcW w:w="5" w:type="pct"/>
            <w:vAlign w:val="center"/>
            <w:hideMark/>
          </w:tcPr>
          <w:p w14:paraId="23513593" w14:textId="77777777" w:rsidR="00000000" w:rsidRDefault="00405D16">
            <w:pPr>
              <w:spacing w:after="100"/>
              <w:rPr>
                <w:rFonts w:eastAsia="Times New Roman"/>
                <w:sz w:val="20"/>
                <w:szCs w:val="20"/>
              </w:rPr>
            </w:pPr>
          </w:p>
        </w:tc>
        <w:tc>
          <w:tcPr>
            <w:tcW w:w="50" w:type="pct"/>
            <w:vAlign w:val="center"/>
            <w:hideMark/>
          </w:tcPr>
          <w:p w14:paraId="7D810F0E" w14:textId="77777777" w:rsidR="00000000" w:rsidRDefault="00405D16">
            <w:pPr>
              <w:spacing w:after="100"/>
              <w:rPr>
                <w:rFonts w:eastAsia="Times New Roman"/>
                <w:sz w:val="20"/>
                <w:szCs w:val="20"/>
              </w:rPr>
            </w:pPr>
          </w:p>
        </w:tc>
        <w:tc>
          <w:tcPr>
            <w:tcW w:w="420" w:type="pct"/>
            <w:vAlign w:val="center"/>
            <w:hideMark/>
          </w:tcPr>
          <w:p w14:paraId="5B2B974D" w14:textId="77777777" w:rsidR="00000000" w:rsidRDefault="00405D16">
            <w:pPr>
              <w:spacing w:after="100"/>
              <w:rPr>
                <w:rFonts w:eastAsia="Times New Roman"/>
                <w:sz w:val="20"/>
                <w:szCs w:val="20"/>
              </w:rPr>
            </w:pPr>
          </w:p>
        </w:tc>
        <w:tc>
          <w:tcPr>
            <w:tcW w:w="5" w:type="pct"/>
            <w:vAlign w:val="center"/>
            <w:hideMark/>
          </w:tcPr>
          <w:p w14:paraId="325851B2" w14:textId="77777777" w:rsidR="00000000" w:rsidRDefault="00405D16">
            <w:pPr>
              <w:spacing w:after="100"/>
              <w:rPr>
                <w:rFonts w:eastAsia="Times New Roman"/>
                <w:sz w:val="20"/>
                <w:szCs w:val="20"/>
              </w:rPr>
            </w:pPr>
          </w:p>
        </w:tc>
        <w:tc>
          <w:tcPr>
            <w:tcW w:w="5" w:type="pct"/>
            <w:vAlign w:val="center"/>
            <w:hideMark/>
          </w:tcPr>
          <w:p w14:paraId="0142E2A6" w14:textId="77777777" w:rsidR="00000000" w:rsidRDefault="00405D16">
            <w:pPr>
              <w:spacing w:after="100"/>
              <w:rPr>
                <w:rFonts w:eastAsia="Times New Roman"/>
                <w:sz w:val="20"/>
                <w:szCs w:val="20"/>
              </w:rPr>
            </w:pPr>
          </w:p>
        </w:tc>
        <w:tc>
          <w:tcPr>
            <w:tcW w:w="26" w:type="pct"/>
            <w:vAlign w:val="center"/>
            <w:hideMark/>
          </w:tcPr>
          <w:p w14:paraId="7DFDAAA1" w14:textId="77777777" w:rsidR="00000000" w:rsidRDefault="00405D16">
            <w:pPr>
              <w:spacing w:after="100"/>
              <w:rPr>
                <w:rFonts w:eastAsia="Times New Roman"/>
                <w:sz w:val="20"/>
                <w:szCs w:val="20"/>
              </w:rPr>
            </w:pPr>
          </w:p>
        </w:tc>
        <w:tc>
          <w:tcPr>
            <w:tcW w:w="5" w:type="pct"/>
            <w:vAlign w:val="center"/>
            <w:hideMark/>
          </w:tcPr>
          <w:p w14:paraId="0787E8C4" w14:textId="77777777" w:rsidR="00000000" w:rsidRDefault="00405D16">
            <w:pPr>
              <w:spacing w:after="100"/>
              <w:rPr>
                <w:rFonts w:eastAsia="Times New Roman"/>
                <w:sz w:val="20"/>
                <w:szCs w:val="20"/>
              </w:rPr>
            </w:pPr>
          </w:p>
        </w:tc>
        <w:tc>
          <w:tcPr>
            <w:tcW w:w="50" w:type="pct"/>
            <w:vAlign w:val="center"/>
            <w:hideMark/>
          </w:tcPr>
          <w:p w14:paraId="03F9530A" w14:textId="77777777" w:rsidR="00000000" w:rsidRDefault="00405D16">
            <w:pPr>
              <w:spacing w:after="100"/>
              <w:rPr>
                <w:rFonts w:eastAsia="Times New Roman"/>
                <w:sz w:val="20"/>
                <w:szCs w:val="20"/>
              </w:rPr>
            </w:pPr>
          </w:p>
        </w:tc>
        <w:tc>
          <w:tcPr>
            <w:tcW w:w="354" w:type="pct"/>
            <w:vAlign w:val="center"/>
            <w:hideMark/>
          </w:tcPr>
          <w:p w14:paraId="0EF36414" w14:textId="77777777" w:rsidR="00000000" w:rsidRDefault="00405D16">
            <w:pPr>
              <w:spacing w:after="100"/>
              <w:rPr>
                <w:rFonts w:eastAsia="Times New Roman"/>
                <w:sz w:val="20"/>
                <w:szCs w:val="20"/>
              </w:rPr>
            </w:pPr>
          </w:p>
        </w:tc>
        <w:tc>
          <w:tcPr>
            <w:tcW w:w="5" w:type="pct"/>
            <w:vAlign w:val="center"/>
            <w:hideMark/>
          </w:tcPr>
          <w:p w14:paraId="2A5304A5" w14:textId="77777777" w:rsidR="00000000" w:rsidRDefault="00405D16">
            <w:pPr>
              <w:spacing w:after="100"/>
              <w:rPr>
                <w:rFonts w:eastAsia="Times New Roman"/>
                <w:sz w:val="20"/>
                <w:szCs w:val="20"/>
              </w:rPr>
            </w:pPr>
          </w:p>
        </w:tc>
        <w:tc>
          <w:tcPr>
            <w:tcW w:w="5" w:type="pct"/>
            <w:vAlign w:val="center"/>
            <w:hideMark/>
          </w:tcPr>
          <w:p w14:paraId="4DE5FC51" w14:textId="77777777" w:rsidR="00000000" w:rsidRDefault="00405D16">
            <w:pPr>
              <w:spacing w:after="100"/>
              <w:rPr>
                <w:rFonts w:eastAsia="Times New Roman"/>
                <w:sz w:val="20"/>
                <w:szCs w:val="20"/>
              </w:rPr>
            </w:pPr>
          </w:p>
        </w:tc>
        <w:tc>
          <w:tcPr>
            <w:tcW w:w="26" w:type="pct"/>
            <w:vAlign w:val="center"/>
            <w:hideMark/>
          </w:tcPr>
          <w:p w14:paraId="0B0D891E" w14:textId="77777777" w:rsidR="00000000" w:rsidRDefault="00405D16">
            <w:pPr>
              <w:spacing w:after="100"/>
              <w:rPr>
                <w:rFonts w:eastAsia="Times New Roman"/>
                <w:sz w:val="20"/>
                <w:szCs w:val="20"/>
              </w:rPr>
            </w:pPr>
          </w:p>
        </w:tc>
        <w:tc>
          <w:tcPr>
            <w:tcW w:w="5" w:type="pct"/>
            <w:vAlign w:val="center"/>
            <w:hideMark/>
          </w:tcPr>
          <w:p w14:paraId="215207A3" w14:textId="77777777" w:rsidR="00000000" w:rsidRDefault="00405D16">
            <w:pPr>
              <w:spacing w:after="100"/>
              <w:rPr>
                <w:rFonts w:eastAsia="Times New Roman"/>
                <w:sz w:val="20"/>
                <w:szCs w:val="20"/>
              </w:rPr>
            </w:pPr>
          </w:p>
        </w:tc>
        <w:tc>
          <w:tcPr>
            <w:tcW w:w="50" w:type="pct"/>
            <w:vAlign w:val="center"/>
            <w:hideMark/>
          </w:tcPr>
          <w:p w14:paraId="62FBB37B" w14:textId="77777777" w:rsidR="00000000" w:rsidRDefault="00405D16">
            <w:pPr>
              <w:spacing w:after="100"/>
              <w:rPr>
                <w:rFonts w:eastAsia="Times New Roman"/>
                <w:sz w:val="20"/>
                <w:szCs w:val="20"/>
              </w:rPr>
            </w:pPr>
          </w:p>
        </w:tc>
        <w:tc>
          <w:tcPr>
            <w:tcW w:w="442" w:type="pct"/>
            <w:vAlign w:val="center"/>
            <w:hideMark/>
          </w:tcPr>
          <w:p w14:paraId="6D216985" w14:textId="77777777" w:rsidR="00000000" w:rsidRDefault="00405D16">
            <w:pPr>
              <w:spacing w:after="100"/>
              <w:rPr>
                <w:rFonts w:eastAsia="Times New Roman"/>
                <w:sz w:val="20"/>
                <w:szCs w:val="20"/>
              </w:rPr>
            </w:pPr>
          </w:p>
        </w:tc>
        <w:tc>
          <w:tcPr>
            <w:tcW w:w="5" w:type="pct"/>
            <w:vAlign w:val="center"/>
            <w:hideMark/>
          </w:tcPr>
          <w:p w14:paraId="35DA0C7A" w14:textId="77777777" w:rsidR="00000000" w:rsidRDefault="00405D16">
            <w:pPr>
              <w:spacing w:after="100"/>
              <w:rPr>
                <w:rFonts w:eastAsia="Times New Roman"/>
                <w:sz w:val="20"/>
                <w:szCs w:val="20"/>
              </w:rPr>
            </w:pPr>
          </w:p>
        </w:tc>
        <w:tc>
          <w:tcPr>
            <w:tcW w:w="5" w:type="pct"/>
            <w:vAlign w:val="center"/>
            <w:hideMark/>
          </w:tcPr>
          <w:p w14:paraId="091D7339" w14:textId="77777777" w:rsidR="00000000" w:rsidRDefault="00405D16">
            <w:pPr>
              <w:spacing w:after="100"/>
              <w:rPr>
                <w:rFonts w:eastAsia="Times New Roman"/>
                <w:sz w:val="20"/>
                <w:szCs w:val="20"/>
              </w:rPr>
            </w:pPr>
          </w:p>
        </w:tc>
        <w:tc>
          <w:tcPr>
            <w:tcW w:w="26" w:type="pct"/>
            <w:vAlign w:val="center"/>
            <w:hideMark/>
          </w:tcPr>
          <w:p w14:paraId="49DA0F73" w14:textId="77777777" w:rsidR="00000000" w:rsidRDefault="00405D16">
            <w:pPr>
              <w:spacing w:after="100"/>
              <w:rPr>
                <w:rFonts w:eastAsia="Times New Roman"/>
                <w:sz w:val="20"/>
                <w:szCs w:val="20"/>
              </w:rPr>
            </w:pPr>
          </w:p>
        </w:tc>
        <w:tc>
          <w:tcPr>
            <w:tcW w:w="5" w:type="pct"/>
            <w:vAlign w:val="center"/>
            <w:hideMark/>
          </w:tcPr>
          <w:p w14:paraId="4D8F7C07" w14:textId="77777777" w:rsidR="00000000" w:rsidRDefault="00405D16">
            <w:pPr>
              <w:spacing w:after="100"/>
              <w:rPr>
                <w:rFonts w:eastAsia="Times New Roman"/>
                <w:sz w:val="20"/>
                <w:szCs w:val="20"/>
              </w:rPr>
            </w:pPr>
          </w:p>
        </w:tc>
        <w:tc>
          <w:tcPr>
            <w:tcW w:w="50" w:type="pct"/>
            <w:vAlign w:val="center"/>
            <w:hideMark/>
          </w:tcPr>
          <w:p w14:paraId="1495FCCD" w14:textId="77777777" w:rsidR="00000000" w:rsidRDefault="00405D16">
            <w:pPr>
              <w:spacing w:after="100"/>
              <w:rPr>
                <w:rFonts w:eastAsia="Times New Roman"/>
                <w:sz w:val="20"/>
                <w:szCs w:val="20"/>
              </w:rPr>
            </w:pPr>
          </w:p>
        </w:tc>
        <w:tc>
          <w:tcPr>
            <w:tcW w:w="420" w:type="pct"/>
            <w:vAlign w:val="center"/>
            <w:hideMark/>
          </w:tcPr>
          <w:p w14:paraId="590FF94C" w14:textId="77777777" w:rsidR="00000000" w:rsidRDefault="00405D16">
            <w:pPr>
              <w:spacing w:after="100"/>
              <w:rPr>
                <w:rFonts w:eastAsia="Times New Roman"/>
                <w:sz w:val="20"/>
                <w:szCs w:val="20"/>
              </w:rPr>
            </w:pPr>
          </w:p>
        </w:tc>
        <w:tc>
          <w:tcPr>
            <w:tcW w:w="5" w:type="pct"/>
            <w:vAlign w:val="center"/>
            <w:hideMark/>
          </w:tcPr>
          <w:p w14:paraId="54DBB49F" w14:textId="77777777" w:rsidR="00000000" w:rsidRDefault="00405D16">
            <w:pPr>
              <w:spacing w:after="100"/>
              <w:rPr>
                <w:rFonts w:eastAsia="Times New Roman"/>
                <w:sz w:val="20"/>
                <w:szCs w:val="20"/>
              </w:rPr>
            </w:pPr>
          </w:p>
        </w:tc>
        <w:tc>
          <w:tcPr>
            <w:tcW w:w="0" w:type="auto"/>
            <w:vAlign w:val="center"/>
            <w:hideMark/>
          </w:tcPr>
          <w:p w14:paraId="0BAD13B4" w14:textId="77777777" w:rsidR="00000000" w:rsidRDefault="00405D16">
            <w:pPr>
              <w:spacing w:after="100"/>
              <w:rPr>
                <w:rFonts w:eastAsia="Times New Roman"/>
                <w:sz w:val="20"/>
                <w:szCs w:val="20"/>
              </w:rPr>
            </w:pPr>
          </w:p>
        </w:tc>
        <w:tc>
          <w:tcPr>
            <w:tcW w:w="0" w:type="auto"/>
            <w:vAlign w:val="center"/>
            <w:hideMark/>
          </w:tcPr>
          <w:p w14:paraId="09D98F00" w14:textId="77777777" w:rsidR="00000000" w:rsidRDefault="00405D16">
            <w:pPr>
              <w:spacing w:after="100"/>
              <w:rPr>
                <w:rFonts w:eastAsia="Times New Roman"/>
                <w:sz w:val="20"/>
                <w:szCs w:val="20"/>
              </w:rPr>
            </w:pPr>
          </w:p>
        </w:tc>
        <w:tc>
          <w:tcPr>
            <w:tcW w:w="0" w:type="auto"/>
            <w:gridSpan w:val="3"/>
            <w:vAlign w:val="center"/>
            <w:hideMark/>
          </w:tcPr>
          <w:p w14:paraId="7A4FA5B9" w14:textId="77777777" w:rsidR="00000000" w:rsidRDefault="00405D16">
            <w:pPr>
              <w:spacing w:after="100"/>
              <w:rPr>
                <w:rFonts w:eastAsia="Times New Roman"/>
                <w:sz w:val="20"/>
                <w:szCs w:val="20"/>
              </w:rPr>
            </w:pPr>
          </w:p>
        </w:tc>
        <w:tc>
          <w:tcPr>
            <w:tcW w:w="0" w:type="auto"/>
            <w:gridSpan w:val="3"/>
            <w:vAlign w:val="center"/>
            <w:hideMark/>
          </w:tcPr>
          <w:p w14:paraId="5C95A949" w14:textId="77777777" w:rsidR="00000000" w:rsidRDefault="00405D16">
            <w:pPr>
              <w:spacing w:after="100"/>
              <w:rPr>
                <w:rFonts w:eastAsia="Times New Roman"/>
                <w:sz w:val="20"/>
                <w:szCs w:val="20"/>
              </w:rPr>
            </w:pPr>
          </w:p>
        </w:tc>
        <w:tc>
          <w:tcPr>
            <w:tcW w:w="0" w:type="auto"/>
            <w:gridSpan w:val="3"/>
            <w:vAlign w:val="center"/>
            <w:hideMark/>
          </w:tcPr>
          <w:p w14:paraId="748C31C1" w14:textId="77777777" w:rsidR="00000000" w:rsidRDefault="00405D16">
            <w:pPr>
              <w:spacing w:after="100"/>
              <w:rPr>
                <w:rFonts w:eastAsia="Times New Roman"/>
                <w:sz w:val="20"/>
                <w:szCs w:val="20"/>
              </w:rPr>
            </w:pPr>
          </w:p>
        </w:tc>
        <w:tc>
          <w:tcPr>
            <w:tcW w:w="0" w:type="auto"/>
            <w:gridSpan w:val="3"/>
            <w:vAlign w:val="center"/>
            <w:hideMark/>
          </w:tcPr>
          <w:p w14:paraId="415DA9F5" w14:textId="77777777" w:rsidR="00000000" w:rsidRDefault="00405D16">
            <w:pPr>
              <w:spacing w:after="100"/>
              <w:rPr>
                <w:rFonts w:eastAsia="Times New Roman"/>
                <w:sz w:val="20"/>
                <w:szCs w:val="20"/>
              </w:rPr>
            </w:pPr>
          </w:p>
        </w:tc>
        <w:tc>
          <w:tcPr>
            <w:tcW w:w="5" w:type="pct"/>
            <w:vAlign w:val="center"/>
            <w:hideMark/>
          </w:tcPr>
          <w:p w14:paraId="414DE4C2" w14:textId="77777777" w:rsidR="00000000" w:rsidRDefault="00405D16">
            <w:pPr>
              <w:spacing w:after="100"/>
              <w:rPr>
                <w:rFonts w:eastAsia="Times New Roman"/>
                <w:sz w:val="20"/>
                <w:szCs w:val="20"/>
              </w:rPr>
            </w:pPr>
          </w:p>
        </w:tc>
        <w:tc>
          <w:tcPr>
            <w:tcW w:w="26" w:type="pct"/>
            <w:vAlign w:val="center"/>
            <w:hideMark/>
          </w:tcPr>
          <w:p w14:paraId="644DCEA0" w14:textId="77777777" w:rsidR="00000000" w:rsidRDefault="00405D16">
            <w:pPr>
              <w:spacing w:after="100"/>
              <w:rPr>
                <w:rFonts w:eastAsia="Times New Roman"/>
                <w:sz w:val="20"/>
                <w:szCs w:val="20"/>
              </w:rPr>
            </w:pPr>
          </w:p>
        </w:tc>
        <w:tc>
          <w:tcPr>
            <w:tcW w:w="5" w:type="pct"/>
            <w:vAlign w:val="center"/>
            <w:hideMark/>
          </w:tcPr>
          <w:p w14:paraId="17FCBC66" w14:textId="77777777" w:rsidR="00000000" w:rsidRDefault="00405D16">
            <w:pPr>
              <w:spacing w:after="100"/>
              <w:rPr>
                <w:rFonts w:eastAsia="Times New Roman"/>
                <w:sz w:val="20"/>
                <w:szCs w:val="20"/>
              </w:rPr>
            </w:pPr>
          </w:p>
        </w:tc>
        <w:tc>
          <w:tcPr>
            <w:tcW w:w="50" w:type="pct"/>
            <w:vAlign w:val="center"/>
            <w:hideMark/>
          </w:tcPr>
          <w:p w14:paraId="55D45A96" w14:textId="77777777" w:rsidR="00000000" w:rsidRDefault="00405D16">
            <w:pPr>
              <w:spacing w:after="100"/>
              <w:rPr>
                <w:rFonts w:eastAsia="Times New Roman"/>
                <w:sz w:val="20"/>
                <w:szCs w:val="20"/>
              </w:rPr>
            </w:pPr>
          </w:p>
        </w:tc>
        <w:tc>
          <w:tcPr>
            <w:tcW w:w="354" w:type="pct"/>
            <w:vAlign w:val="center"/>
            <w:hideMark/>
          </w:tcPr>
          <w:p w14:paraId="4EA41BE9" w14:textId="77777777" w:rsidR="00000000" w:rsidRDefault="00405D16">
            <w:pPr>
              <w:spacing w:after="100"/>
              <w:rPr>
                <w:rFonts w:eastAsia="Times New Roman"/>
                <w:sz w:val="20"/>
                <w:szCs w:val="20"/>
              </w:rPr>
            </w:pPr>
          </w:p>
        </w:tc>
        <w:tc>
          <w:tcPr>
            <w:tcW w:w="5" w:type="pct"/>
            <w:vAlign w:val="center"/>
            <w:hideMark/>
          </w:tcPr>
          <w:p w14:paraId="08CF974F" w14:textId="77777777" w:rsidR="00000000" w:rsidRDefault="00405D16">
            <w:pPr>
              <w:spacing w:after="100"/>
              <w:rPr>
                <w:rFonts w:eastAsia="Times New Roman"/>
                <w:sz w:val="20"/>
                <w:szCs w:val="20"/>
              </w:rPr>
            </w:pPr>
          </w:p>
        </w:tc>
        <w:tc>
          <w:tcPr>
            <w:tcW w:w="0" w:type="auto"/>
            <w:gridSpan w:val="3"/>
            <w:vAlign w:val="center"/>
            <w:hideMark/>
          </w:tcPr>
          <w:p w14:paraId="1EEC6720" w14:textId="77777777" w:rsidR="00000000" w:rsidRDefault="00405D16">
            <w:pPr>
              <w:spacing w:after="100"/>
              <w:rPr>
                <w:rFonts w:eastAsia="Times New Roman"/>
                <w:sz w:val="20"/>
                <w:szCs w:val="20"/>
              </w:rPr>
            </w:pPr>
          </w:p>
        </w:tc>
        <w:tc>
          <w:tcPr>
            <w:tcW w:w="0" w:type="auto"/>
            <w:gridSpan w:val="2"/>
            <w:vAlign w:val="center"/>
            <w:hideMark/>
          </w:tcPr>
          <w:p w14:paraId="6E3CFDA8" w14:textId="77777777" w:rsidR="00000000" w:rsidRDefault="00405D16">
            <w:pPr>
              <w:spacing w:after="100"/>
              <w:rPr>
                <w:rFonts w:eastAsia="Times New Roman"/>
                <w:sz w:val="20"/>
                <w:szCs w:val="20"/>
              </w:rPr>
            </w:pPr>
          </w:p>
        </w:tc>
      </w:tr>
      <w:tr w:rsidR="00000000" w14:paraId="19B7BDCD" w14:textId="77777777">
        <w:trPr>
          <w:divId w:val="227809696"/>
        </w:trPr>
        <w:tc>
          <w:tcPr>
            <w:tcW w:w="0" w:type="auto"/>
            <w:gridSpan w:val="3"/>
            <w:tcMar>
              <w:top w:w="0" w:type="dxa"/>
              <w:left w:w="20" w:type="dxa"/>
              <w:bottom w:w="0" w:type="dxa"/>
              <w:right w:w="20" w:type="dxa"/>
            </w:tcMar>
            <w:vAlign w:val="center"/>
            <w:hideMark/>
          </w:tcPr>
          <w:p w14:paraId="75AD82D3"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C80C2E7" w14:textId="77777777" w:rsidR="00000000" w:rsidRDefault="00405D16">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12C1E147" w14:textId="77777777" w:rsidR="00000000" w:rsidRDefault="00405D16">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32EC0D9A" w14:textId="77777777" w:rsidR="00000000" w:rsidRDefault="00405D16">
            <w:pPr>
              <w:spacing w:after="100"/>
              <w:jc w:val="center"/>
              <w:rPr>
                <w:rFonts w:eastAsia="Times New Roman"/>
              </w:rPr>
            </w:pPr>
          </w:p>
        </w:tc>
        <w:tc>
          <w:tcPr>
            <w:tcW w:w="0" w:type="auto"/>
            <w:gridSpan w:val="11"/>
            <w:tcMar>
              <w:top w:w="30" w:type="dxa"/>
              <w:left w:w="20" w:type="dxa"/>
              <w:bottom w:w="30" w:type="dxa"/>
              <w:right w:w="20" w:type="dxa"/>
            </w:tcMar>
            <w:vAlign w:val="bottom"/>
            <w:hideMark/>
          </w:tcPr>
          <w:p w14:paraId="24D29840" w14:textId="77777777" w:rsidR="00000000" w:rsidRDefault="00405D16">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3E2797C8" w14:textId="77777777" w:rsidR="00000000" w:rsidRDefault="00405D16">
            <w:pPr>
              <w:spacing w:after="100"/>
              <w:rPr>
                <w:rFonts w:eastAsia="Times New Roman"/>
                <w:sz w:val="20"/>
                <w:szCs w:val="20"/>
              </w:rPr>
            </w:pPr>
          </w:p>
        </w:tc>
        <w:tc>
          <w:tcPr>
            <w:tcW w:w="0" w:type="auto"/>
            <w:vAlign w:val="center"/>
            <w:hideMark/>
          </w:tcPr>
          <w:p w14:paraId="0FF6A6E8" w14:textId="77777777" w:rsidR="00000000" w:rsidRDefault="00405D16">
            <w:pPr>
              <w:spacing w:after="100"/>
              <w:rPr>
                <w:rFonts w:eastAsia="Times New Roman"/>
                <w:sz w:val="20"/>
                <w:szCs w:val="20"/>
              </w:rPr>
            </w:pPr>
          </w:p>
        </w:tc>
        <w:tc>
          <w:tcPr>
            <w:tcW w:w="0" w:type="auto"/>
            <w:vAlign w:val="center"/>
            <w:hideMark/>
          </w:tcPr>
          <w:p w14:paraId="046DBE31" w14:textId="77777777" w:rsidR="00000000" w:rsidRDefault="00405D16">
            <w:pPr>
              <w:spacing w:after="100"/>
              <w:rPr>
                <w:rFonts w:eastAsia="Times New Roman"/>
                <w:sz w:val="20"/>
                <w:szCs w:val="20"/>
              </w:rPr>
            </w:pPr>
          </w:p>
        </w:tc>
        <w:tc>
          <w:tcPr>
            <w:tcW w:w="0" w:type="auto"/>
            <w:vAlign w:val="center"/>
            <w:hideMark/>
          </w:tcPr>
          <w:p w14:paraId="01262237" w14:textId="77777777" w:rsidR="00000000" w:rsidRDefault="00405D16">
            <w:pPr>
              <w:spacing w:after="100"/>
              <w:rPr>
                <w:rFonts w:eastAsia="Times New Roman"/>
                <w:sz w:val="20"/>
                <w:szCs w:val="20"/>
              </w:rPr>
            </w:pPr>
          </w:p>
        </w:tc>
        <w:tc>
          <w:tcPr>
            <w:tcW w:w="0" w:type="auto"/>
            <w:vAlign w:val="center"/>
            <w:hideMark/>
          </w:tcPr>
          <w:p w14:paraId="2EFB453D" w14:textId="77777777" w:rsidR="00000000" w:rsidRDefault="00405D16">
            <w:pPr>
              <w:spacing w:after="100"/>
              <w:rPr>
                <w:rFonts w:eastAsia="Times New Roman"/>
                <w:sz w:val="20"/>
                <w:szCs w:val="20"/>
              </w:rPr>
            </w:pPr>
          </w:p>
        </w:tc>
        <w:tc>
          <w:tcPr>
            <w:tcW w:w="0" w:type="auto"/>
            <w:vAlign w:val="center"/>
            <w:hideMark/>
          </w:tcPr>
          <w:p w14:paraId="789C03E8" w14:textId="77777777" w:rsidR="00000000" w:rsidRDefault="00405D16">
            <w:pPr>
              <w:spacing w:after="100"/>
              <w:rPr>
                <w:rFonts w:eastAsia="Times New Roman"/>
                <w:sz w:val="20"/>
                <w:szCs w:val="20"/>
              </w:rPr>
            </w:pPr>
          </w:p>
        </w:tc>
        <w:tc>
          <w:tcPr>
            <w:tcW w:w="0" w:type="auto"/>
            <w:vAlign w:val="center"/>
            <w:hideMark/>
          </w:tcPr>
          <w:p w14:paraId="144EE351" w14:textId="77777777" w:rsidR="00000000" w:rsidRDefault="00405D16">
            <w:pPr>
              <w:spacing w:after="100"/>
              <w:rPr>
                <w:rFonts w:eastAsia="Times New Roman"/>
                <w:sz w:val="20"/>
                <w:szCs w:val="20"/>
              </w:rPr>
            </w:pPr>
          </w:p>
        </w:tc>
        <w:tc>
          <w:tcPr>
            <w:tcW w:w="0" w:type="auto"/>
            <w:vAlign w:val="center"/>
            <w:hideMark/>
          </w:tcPr>
          <w:p w14:paraId="3173583E" w14:textId="77777777" w:rsidR="00000000" w:rsidRDefault="00405D16">
            <w:pPr>
              <w:spacing w:after="100"/>
              <w:rPr>
                <w:rFonts w:eastAsia="Times New Roman"/>
                <w:sz w:val="20"/>
                <w:szCs w:val="20"/>
              </w:rPr>
            </w:pPr>
          </w:p>
        </w:tc>
        <w:tc>
          <w:tcPr>
            <w:tcW w:w="0" w:type="auto"/>
            <w:vAlign w:val="center"/>
            <w:hideMark/>
          </w:tcPr>
          <w:p w14:paraId="310D16BE" w14:textId="77777777" w:rsidR="00000000" w:rsidRDefault="00405D16">
            <w:pPr>
              <w:spacing w:after="100"/>
              <w:rPr>
                <w:rFonts w:eastAsia="Times New Roman"/>
                <w:sz w:val="20"/>
                <w:szCs w:val="20"/>
              </w:rPr>
            </w:pPr>
          </w:p>
        </w:tc>
        <w:tc>
          <w:tcPr>
            <w:tcW w:w="0" w:type="auto"/>
            <w:vAlign w:val="center"/>
            <w:hideMark/>
          </w:tcPr>
          <w:p w14:paraId="5E2E5728" w14:textId="77777777" w:rsidR="00000000" w:rsidRDefault="00405D16">
            <w:pPr>
              <w:spacing w:after="100"/>
              <w:rPr>
                <w:rFonts w:eastAsia="Times New Roman"/>
                <w:sz w:val="20"/>
                <w:szCs w:val="20"/>
              </w:rPr>
            </w:pPr>
          </w:p>
        </w:tc>
        <w:tc>
          <w:tcPr>
            <w:tcW w:w="0" w:type="auto"/>
            <w:vAlign w:val="center"/>
            <w:hideMark/>
          </w:tcPr>
          <w:p w14:paraId="32D27518" w14:textId="77777777" w:rsidR="00000000" w:rsidRDefault="00405D16">
            <w:pPr>
              <w:spacing w:after="100"/>
              <w:rPr>
                <w:rFonts w:eastAsia="Times New Roman"/>
                <w:sz w:val="20"/>
                <w:szCs w:val="20"/>
              </w:rPr>
            </w:pPr>
          </w:p>
        </w:tc>
        <w:tc>
          <w:tcPr>
            <w:tcW w:w="0" w:type="auto"/>
            <w:vAlign w:val="center"/>
            <w:hideMark/>
          </w:tcPr>
          <w:p w14:paraId="4EE2F235" w14:textId="77777777" w:rsidR="00000000" w:rsidRDefault="00405D16">
            <w:pPr>
              <w:spacing w:after="100"/>
              <w:rPr>
                <w:rFonts w:eastAsia="Times New Roman"/>
                <w:sz w:val="20"/>
                <w:szCs w:val="20"/>
              </w:rPr>
            </w:pPr>
          </w:p>
        </w:tc>
        <w:tc>
          <w:tcPr>
            <w:tcW w:w="0" w:type="auto"/>
            <w:vAlign w:val="center"/>
            <w:hideMark/>
          </w:tcPr>
          <w:p w14:paraId="7372C8F2" w14:textId="77777777" w:rsidR="00000000" w:rsidRDefault="00405D16">
            <w:pPr>
              <w:spacing w:after="100"/>
              <w:rPr>
                <w:rFonts w:eastAsia="Times New Roman"/>
                <w:sz w:val="20"/>
                <w:szCs w:val="20"/>
              </w:rPr>
            </w:pPr>
          </w:p>
        </w:tc>
        <w:tc>
          <w:tcPr>
            <w:tcW w:w="0" w:type="auto"/>
            <w:vAlign w:val="center"/>
            <w:hideMark/>
          </w:tcPr>
          <w:p w14:paraId="1593E91F" w14:textId="77777777" w:rsidR="00000000" w:rsidRDefault="00405D16">
            <w:pPr>
              <w:spacing w:after="100"/>
              <w:rPr>
                <w:rFonts w:eastAsia="Times New Roman"/>
                <w:sz w:val="20"/>
                <w:szCs w:val="20"/>
              </w:rPr>
            </w:pPr>
          </w:p>
        </w:tc>
        <w:tc>
          <w:tcPr>
            <w:tcW w:w="0" w:type="auto"/>
            <w:vAlign w:val="center"/>
            <w:hideMark/>
          </w:tcPr>
          <w:p w14:paraId="666311D1" w14:textId="77777777" w:rsidR="00000000" w:rsidRDefault="00405D16">
            <w:pPr>
              <w:spacing w:after="100"/>
              <w:rPr>
                <w:rFonts w:eastAsia="Times New Roman"/>
                <w:sz w:val="20"/>
                <w:szCs w:val="20"/>
              </w:rPr>
            </w:pPr>
          </w:p>
        </w:tc>
        <w:tc>
          <w:tcPr>
            <w:tcW w:w="0" w:type="auto"/>
            <w:vAlign w:val="center"/>
            <w:hideMark/>
          </w:tcPr>
          <w:p w14:paraId="01AF6AAD" w14:textId="77777777" w:rsidR="00000000" w:rsidRDefault="00405D16">
            <w:pPr>
              <w:spacing w:after="100"/>
              <w:rPr>
                <w:rFonts w:eastAsia="Times New Roman"/>
                <w:sz w:val="20"/>
                <w:szCs w:val="20"/>
              </w:rPr>
            </w:pPr>
          </w:p>
        </w:tc>
        <w:tc>
          <w:tcPr>
            <w:tcW w:w="0" w:type="auto"/>
            <w:vAlign w:val="center"/>
            <w:hideMark/>
          </w:tcPr>
          <w:p w14:paraId="419C29F7" w14:textId="77777777" w:rsidR="00000000" w:rsidRDefault="00405D16">
            <w:pPr>
              <w:spacing w:after="100"/>
              <w:rPr>
                <w:rFonts w:eastAsia="Times New Roman"/>
                <w:sz w:val="20"/>
                <w:szCs w:val="20"/>
              </w:rPr>
            </w:pPr>
          </w:p>
        </w:tc>
        <w:tc>
          <w:tcPr>
            <w:tcW w:w="0" w:type="auto"/>
            <w:vAlign w:val="center"/>
            <w:hideMark/>
          </w:tcPr>
          <w:p w14:paraId="1F02CEA3" w14:textId="77777777" w:rsidR="00000000" w:rsidRDefault="00405D16">
            <w:pPr>
              <w:spacing w:after="100"/>
              <w:rPr>
                <w:rFonts w:eastAsia="Times New Roman"/>
                <w:sz w:val="20"/>
                <w:szCs w:val="20"/>
              </w:rPr>
            </w:pPr>
          </w:p>
        </w:tc>
        <w:tc>
          <w:tcPr>
            <w:tcW w:w="0" w:type="auto"/>
            <w:vAlign w:val="center"/>
            <w:hideMark/>
          </w:tcPr>
          <w:p w14:paraId="49BE0EE4" w14:textId="77777777" w:rsidR="00000000" w:rsidRDefault="00405D16">
            <w:pPr>
              <w:spacing w:after="100"/>
              <w:rPr>
                <w:rFonts w:eastAsia="Times New Roman"/>
                <w:sz w:val="20"/>
                <w:szCs w:val="20"/>
              </w:rPr>
            </w:pPr>
          </w:p>
        </w:tc>
        <w:tc>
          <w:tcPr>
            <w:tcW w:w="0" w:type="auto"/>
            <w:vAlign w:val="center"/>
            <w:hideMark/>
          </w:tcPr>
          <w:p w14:paraId="1B4E2C34" w14:textId="77777777" w:rsidR="00000000" w:rsidRDefault="00405D16">
            <w:pPr>
              <w:spacing w:after="100"/>
              <w:rPr>
                <w:rFonts w:eastAsia="Times New Roman"/>
                <w:sz w:val="20"/>
                <w:szCs w:val="20"/>
              </w:rPr>
            </w:pPr>
          </w:p>
        </w:tc>
        <w:tc>
          <w:tcPr>
            <w:tcW w:w="0" w:type="auto"/>
            <w:vAlign w:val="center"/>
            <w:hideMark/>
          </w:tcPr>
          <w:p w14:paraId="21028588" w14:textId="77777777" w:rsidR="00000000" w:rsidRDefault="00405D16">
            <w:pPr>
              <w:spacing w:after="100"/>
              <w:rPr>
                <w:rFonts w:eastAsia="Times New Roman"/>
                <w:sz w:val="20"/>
                <w:szCs w:val="20"/>
              </w:rPr>
            </w:pPr>
          </w:p>
        </w:tc>
        <w:tc>
          <w:tcPr>
            <w:tcW w:w="0" w:type="auto"/>
            <w:vAlign w:val="center"/>
            <w:hideMark/>
          </w:tcPr>
          <w:p w14:paraId="78C9868C" w14:textId="77777777" w:rsidR="00000000" w:rsidRDefault="00405D16">
            <w:pPr>
              <w:spacing w:after="100"/>
              <w:rPr>
                <w:rFonts w:eastAsia="Times New Roman"/>
                <w:sz w:val="20"/>
                <w:szCs w:val="20"/>
              </w:rPr>
            </w:pPr>
          </w:p>
        </w:tc>
        <w:tc>
          <w:tcPr>
            <w:tcW w:w="0" w:type="auto"/>
            <w:vAlign w:val="center"/>
            <w:hideMark/>
          </w:tcPr>
          <w:p w14:paraId="663BA863" w14:textId="77777777" w:rsidR="00000000" w:rsidRDefault="00405D16">
            <w:pPr>
              <w:spacing w:after="100"/>
              <w:rPr>
                <w:rFonts w:eastAsia="Times New Roman"/>
                <w:sz w:val="20"/>
                <w:szCs w:val="20"/>
              </w:rPr>
            </w:pPr>
          </w:p>
        </w:tc>
      </w:tr>
      <w:tr w:rsidR="00000000" w14:paraId="103DF299" w14:textId="77777777">
        <w:trPr>
          <w:divId w:val="227809696"/>
        </w:trPr>
        <w:tc>
          <w:tcPr>
            <w:tcW w:w="0" w:type="auto"/>
            <w:gridSpan w:val="3"/>
            <w:tcBorders>
              <w:bottom w:val="single" w:sz="8" w:space="0" w:color="000000"/>
            </w:tcBorders>
            <w:tcMar>
              <w:top w:w="30" w:type="dxa"/>
              <w:left w:w="20" w:type="dxa"/>
              <w:bottom w:w="30" w:type="dxa"/>
              <w:right w:w="20" w:type="dxa"/>
            </w:tcMar>
            <w:vAlign w:val="bottom"/>
            <w:hideMark/>
          </w:tcPr>
          <w:p w14:paraId="38F9212A" w14:textId="77777777" w:rsidR="00000000" w:rsidRDefault="00405D16">
            <w:pPr>
              <w:spacing w:after="100"/>
              <w:rPr>
                <w:rFonts w:eastAsia="Times New Roman"/>
              </w:rPr>
            </w:pPr>
            <w:r>
              <w:rPr>
                <w:rFonts w:eastAsia="Times New Roman"/>
                <w:i/>
                <w:iCs/>
                <w:color w:val="000000"/>
                <w:sz w:val="16"/>
                <w:szCs w:val="16"/>
              </w:rPr>
              <w:t>(Dollars in millions, except per share data and as noted)</w:t>
            </w:r>
          </w:p>
        </w:tc>
        <w:tc>
          <w:tcPr>
            <w:tcW w:w="0" w:type="auto"/>
            <w:gridSpan w:val="3"/>
            <w:tcMar>
              <w:top w:w="0" w:type="dxa"/>
              <w:left w:w="20" w:type="dxa"/>
              <w:bottom w:w="0" w:type="dxa"/>
              <w:right w:w="20" w:type="dxa"/>
            </w:tcMar>
            <w:vAlign w:val="center"/>
            <w:hideMark/>
          </w:tcPr>
          <w:p w14:paraId="487A0ADE" w14:textId="77777777" w:rsidR="00000000" w:rsidRDefault="00405D16">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CFFD2D9"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4D488D66" w14:textId="77777777" w:rsidR="00000000" w:rsidRDefault="00405D1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3654F3A"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109D67B9" w14:textId="77777777" w:rsidR="00000000" w:rsidRDefault="00405D1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1A0DD3B" w14:textId="77777777" w:rsidR="00000000" w:rsidRDefault="00405D16">
            <w:pPr>
              <w:spacing w:after="100"/>
              <w:jc w:val="center"/>
              <w:rPr>
                <w:rFonts w:eastAsia="Times New Roman"/>
              </w:rPr>
            </w:pPr>
            <w:r>
              <w:rPr>
                <w:rFonts w:eastAsia="Times New Roman"/>
                <w:b/>
                <w:bCs/>
                <w:color w:val="000000"/>
                <w:sz w:val="16"/>
                <w:szCs w:val="16"/>
              </w:rPr>
              <w:t>Change</w:t>
            </w:r>
          </w:p>
        </w:tc>
        <w:tc>
          <w:tcPr>
            <w:tcW w:w="0" w:type="auto"/>
            <w:gridSpan w:val="3"/>
            <w:tcMar>
              <w:top w:w="0" w:type="dxa"/>
              <w:left w:w="20" w:type="dxa"/>
              <w:bottom w:w="0" w:type="dxa"/>
              <w:right w:w="20" w:type="dxa"/>
            </w:tcMar>
            <w:vAlign w:val="center"/>
            <w:hideMark/>
          </w:tcPr>
          <w:p w14:paraId="1353DCAE" w14:textId="77777777" w:rsidR="00000000" w:rsidRDefault="00405D1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345B431"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741E6485" w14:textId="77777777" w:rsidR="00000000" w:rsidRDefault="00405D1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D034B06"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vAlign w:val="center"/>
            <w:hideMark/>
          </w:tcPr>
          <w:p w14:paraId="1261FB6D" w14:textId="77777777" w:rsidR="00000000" w:rsidRDefault="00405D16">
            <w:pPr>
              <w:spacing w:after="100"/>
              <w:jc w:val="center"/>
              <w:rPr>
                <w:rFonts w:eastAsia="Times New Roman"/>
              </w:rPr>
            </w:pPr>
          </w:p>
        </w:tc>
        <w:tc>
          <w:tcPr>
            <w:tcW w:w="0" w:type="auto"/>
            <w:vAlign w:val="center"/>
            <w:hideMark/>
          </w:tcPr>
          <w:p w14:paraId="53F73AB2" w14:textId="77777777" w:rsidR="00000000" w:rsidRDefault="00405D16">
            <w:pPr>
              <w:spacing w:after="100"/>
              <w:rPr>
                <w:rFonts w:eastAsia="Times New Roman"/>
                <w:sz w:val="20"/>
                <w:szCs w:val="20"/>
              </w:rPr>
            </w:pPr>
          </w:p>
        </w:tc>
        <w:tc>
          <w:tcPr>
            <w:tcW w:w="0" w:type="auto"/>
            <w:gridSpan w:val="3"/>
            <w:vAlign w:val="center"/>
            <w:hideMark/>
          </w:tcPr>
          <w:p w14:paraId="4E939E0C" w14:textId="77777777" w:rsidR="00000000" w:rsidRDefault="00405D16">
            <w:pPr>
              <w:spacing w:after="100"/>
              <w:rPr>
                <w:rFonts w:eastAsia="Times New Roman"/>
                <w:sz w:val="20"/>
                <w:szCs w:val="20"/>
              </w:rPr>
            </w:pPr>
          </w:p>
        </w:tc>
        <w:tc>
          <w:tcPr>
            <w:tcW w:w="0" w:type="auto"/>
            <w:gridSpan w:val="3"/>
            <w:vAlign w:val="center"/>
            <w:hideMark/>
          </w:tcPr>
          <w:p w14:paraId="102314F8" w14:textId="77777777" w:rsidR="00000000" w:rsidRDefault="00405D16">
            <w:pPr>
              <w:spacing w:after="100"/>
              <w:rPr>
                <w:rFonts w:eastAsia="Times New Roman"/>
                <w:sz w:val="20"/>
                <w:szCs w:val="20"/>
              </w:rPr>
            </w:pPr>
          </w:p>
        </w:tc>
        <w:tc>
          <w:tcPr>
            <w:tcW w:w="0" w:type="auto"/>
            <w:gridSpan w:val="3"/>
            <w:vAlign w:val="center"/>
            <w:hideMark/>
          </w:tcPr>
          <w:p w14:paraId="2CE82312" w14:textId="77777777" w:rsidR="00000000" w:rsidRDefault="00405D16">
            <w:pPr>
              <w:spacing w:after="100"/>
              <w:rPr>
                <w:rFonts w:eastAsia="Times New Roman"/>
                <w:sz w:val="20"/>
                <w:szCs w:val="20"/>
              </w:rPr>
            </w:pPr>
          </w:p>
        </w:tc>
        <w:tc>
          <w:tcPr>
            <w:tcW w:w="0" w:type="auto"/>
            <w:gridSpan w:val="3"/>
            <w:vAlign w:val="center"/>
            <w:hideMark/>
          </w:tcPr>
          <w:p w14:paraId="60962D1F"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C4DF851" w14:textId="77777777" w:rsidR="00000000" w:rsidRDefault="00405D16">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63C3782" w14:textId="77777777" w:rsidR="00000000" w:rsidRDefault="00405D16">
            <w:pPr>
              <w:spacing w:after="100"/>
              <w:jc w:val="center"/>
              <w:rPr>
                <w:rFonts w:eastAsia="Times New Roman"/>
              </w:rPr>
            </w:pPr>
            <w:r>
              <w:rPr>
                <w:rFonts w:eastAsia="Times New Roman"/>
                <w:b/>
                <w:bCs/>
                <w:color w:val="000000"/>
                <w:sz w:val="16"/>
                <w:szCs w:val="16"/>
              </w:rPr>
              <w:t>Change</w:t>
            </w:r>
          </w:p>
        </w:tc>
        <w:tc>
          <w:tcPr>
            <w:tcW w:w="0" w:type="auto"/>
            <w:gridSpan w:val="3"/>
            <w:vAlign w:val="center"/>
            <w:hideMark/>
          </w:tcPr>
          <w:p w14:paraId="5F2A4845" w14:textId="77777777" w:rsidR="00000000" w:rsidRDefault="00405D16">
            <w:pPr>
              <w:spacing w:after="100"/>
              <w:jc w:val="center"/>
              <w:rPr>
                <w:rFonts w:eastAsia="Times New Roman"/>
              </w:rPr>
            </w:pPr>
          </w:p>
        </w:tc>
        <w:tc>
          <w:tcPr>
            <w:tcW w:w="0" w:type="auto"/>
            <w:gridSpan w:val="2"/>
            <w:vAlign w:val="center"/>
            <w:hideMark/>
          </w:tcPr>
          <w:p w14:paraId="74237B4B" w14:textId="77777777" w:rsidR="00000000" w:rsidRDefault="00405D16">
            <w:pPr>
              <w:spacing w:after="100"/>
              <w:rPr>
                <w:rFonts w:eastAsia="Times New Roman"/>
                <w:sz w:val="20"/>
                <w:szCs w:val="20"/>
              </w:rPr>
            </w:pPr>
          </w:p>
        </w:tc>
      </w:tr>
      <w:tr w:rsidR="00000000" w14:paraId="65AE2E55" w14:textId="77777777">
        <w:trPr>
          <w:divId w:val="22780969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3907EEC" w14:textId="77777777" w:rsidR="00000000" w:rsidRDefault="00405D16">
            <w:pPr>
              <w:spacing w:after="100"/>
              <w:rPr>
                <w:rFonts w:eastAsia="Times New Roman"/>
              </w:rPr>
            </w:pPr>
            <w:r>
              <w:rPr>
                <w:rFonts w:eastAsia="Times New Roman"/>
                <w:b/>
                <w:bCs/>
                <w:color w:val="000000"/>
                <w:sz w:val="18"/>
                <w:szCs w:val="18"/>
              </w:rPr>
              <w:t>Income statement</w:t>
            </w:r>
          </w:p>
        </w:tc>
        <w:tc>
          <w:tcPr>
            <w:tcW w:w="0" w:type="auto"/>
            <w:gridSpan w:val="3"/>
            <w:shd w:val="clear" w:color="auto" w:fill="CCEEFF"/>
            <w:tcMar>
              <w:top w:w="0" w:type="dxa"/>
              <w:left w:w="20" w:type="dxa"/>
              <w:bottom w:w="0" w:type="dxa"/>
              <w:right w:w="20" w:type="dxa"/>
            </w:tcMar>
            <w:vAlign w:val="center"/>
            <w:hideMark/>
          </w:tcPr>
          <w:p w14:paraId="4961E512"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B9DCC5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B5EA0B"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0E0952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C75F1F"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599138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903E74"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4B8920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C6DEA1"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3576FEC" w14:textId="77777777" w:rsidR="00000000" w:rsidRDefault="00405D16">
            <w:pPr>
              <w:spacing w:after="100"/>
              <w:rPr>
                <w:rFonts w:eastAsia="Times New Roman"/>
                <w:sz w:val="20"/>
                <w:szCs w:val="20"/>
              </w:rPr>
            </w:pPr>
          </w:p>
        </w:tc>
        <w:tc>
          <w:tcPr>
            <w:tcW w:w="0" w:type="auto"/>
            <w:vAlign w:val="center"/>
            <w:hideMark/>
          </w:tcPr>
          <w:p w14:paraId="7C6D9BBB" w14:textId="77777777" w:rsidR="00000000" w:rsidRDefault="00405D16">
            <w:pPr>
              <w:spacing w:after="100"/>
              <w:rPr>
                <w:rFonts w:eastAsia="Times New Roman"/>
                <w:sz w:val="20"/>
                <w:szCs w:val="20"/>
              </w:rPr>
            </w:pPr>
          </w:p>
        </w:tc>
        <w:tc>
          <w:tcPr>
            <w:tcW w:w="0" w:type="auto"/>
            <w:vAlign w:val="center"/>
            <w:hideMark/>
          </w:tcPr>
          <w:p w14:paraId="13FC3D76" w14:textId="77777777" w:rsidR="00000000" w:rsidRDefault="00405D16">
            <w:pPr>
              <w:spacing w:after="100"/>
              <w:rPr>
                <w:rFonts w:eastAsia="Times New Roman"/>
                <w:sz w:val="20"/>
                <w:szCs w:val="20"/>
              </w:rPr>
            </w:pPr>
          </w:p>
        </w:tc>
        <w:tc>
          <w:tcPr>
            <w:tcW w:w="0" w:type="auto"/>
            <w:gridSpan w:val="3"/>
            <w:vAlign w:val="center"/>
            <w:hideMark/>
          </w:tcPr>
          <w:p w14:paraId="4ECE9A54" w14:textId="77777777" w:rsidR="00000000" w:rsidRDefault="00405D16">
            <w:pPr>
              <w:spacing w:after="100"/>
              <w:rPr>
                <w:rFonts w:eastAsia="Times New Roman"/>
                <w:sz w:val="20"/>
                <w:szCs w:val="20"/>
              </w:rPr>
            </w:pPr>
          </w:p>
        </w:tc>
        <w:tc>
          <w:tcPr>
            <w:tcW w:w="0" w:type="auto"/>
            <w:gridSpan w:val="3"/>
            <w:vAlign w:val="center"/>
            <w:hideMark/>
          </w:tcPr>
          <w:p w14:paraId="670366C6" w14:textId="77777777" w:rsidR="00000000" w:rsidRDefault="00405D16">
            <w:pPr>
              <w:spacing w:after="100"/>
              <w:rPr>
                <w:rFonts w:eastAsia="Times New Roman"/>
                <w:sz w:val="20"/>
                <w:szCs w:val="20"/>
              </w:rPr>
            </w:pPr>
          </w:p>
        </w:tc>
        <w:tc>
          <w:tcPr>
            <w:tcW w:w="0" w:type="auto"/>
            <w:gridSpan w:val="3"/>
            <w:vAlign w:val="center"/>
            <w:hideMark/>
          </w:tcPr>
          <w:p w14:paraId="088AA71B" w14:textId="77777777" w:rsidR="00000000" w:rsidRDefault="00405D16">
            <w:pPr>
              <w:spacing w:after="100"/>
              <w:rPr>
                <w:rFonts w:eastAsia="Times New Roman"/>
                <w:sz w:val="20"/>
                <w:szCs w:val="20"/>
              </w:rPr>
            </w:pPr>
          </w:p>
        </w:tc>
        <w:tc>
          <w:tcPr>
            <w:tcW w:w="0" w:type="auto"/>
            <w:gridSpan w:val="3"/>
            <w:vAlign w:val="center"/>
            <w:hideMark/>
          </w:tcPr>
          <w:p w14:paraId="4A395CD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ACBB58"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E9BDAC4" w14:textId="77777777" w:rsidR="00000000" w:rsidRDefault="00405D16">
            <w:pPr>
              <w:spacing w:after="100"/>
              <w:rPr>
                <w:rFonts w:eastAsia="Times New Roman"/>
                <w:sz w:val="20"/>
                <w:szCs w:val="20"/>
              </w:rPr>
            </w:pPr>
          </w:p>
        </w:tc>
        <w:tc>
          <w:tcPr>
            <w:tcW w:w="0" w:type="auto"/>
            <w:gridSpan w:val="3"/>
            <w:vAlign w:val="center"/>
            <w:hideMark/>
          </w:tcPr>
          <w:p w14:paraId="5C2442BB" w14:textId="77777777" w:rsidR="00000000" w:rsidRDefault="00405D16">
            <w:pPr>
              <w:spacing w:after="100"/>
              <w:rPr>
                <w:rFonts w:eastAsia="Times New Roman"/>
                <w:sz w:val="20"/>
                <w:szCs w:val="20"/>
              </w:rPr>
            </w:pPr>
          </w:p>
        </w:tc>
        <w:tc>
          <w:tcPr>
            <w:tcW w:w="0" w:type="auto"/>
            <w:gridSpan w:val="2"/>
            <w:vAlign w:val="center"/>
            <w:hideMark/>
          </w:tcPr>
          <w:p w14:paraId="7620DC3E" w14:textId="77777777" w:rsidR="00000000" w:rsidRDefault="00405D16">
            <w:pPr>
              <w:spacing w:after="100"/>
              <w:rPr>
                <w:rFonts w:eastAsia="Times New Roman"/>
                <w:sz w:val="20"/>
                <w:szCs w:val="20"/>
              </w:rPr>
            </w:pPr>
          </w:p>
        </w:tc>
      </w:tr>
      <w:tr w:rsidR="00000000" w14:paraId="1F373F7C" w14:textId="77777777">
        <w:trPr>
          <w:divId w:val="227809696"/>
        </w:trPr>
        <w:tc>
          <w:tcPr>
            <w:tcW w:w="0" w:type="auto"/>
            <w:gridSpan w:val="3"/>
            <w:vAlign w:val="center"/>
            <w:hideMark/>
          </w:tcPr>
          <w:p w14:paraId="66345DCD" w14:textId="77777777" w:rsidR="00000000" w:rsidRDefault="00405D16">
            <w:pPr>
              <w:spacing w:after="100"/>
              <w:rPr>
                <w:rFonts w:eastAsia="Times New Roman"/>
                <w:sz w:val="20"/>
                <w:szCs w:val="20"/>
              </w:rPr>
            </w:pPr>
          </w:p>
        </w:tc>
        <w:tc>
          <w:tcPr>
            <w:tcW w:w="0" w:type="auto"/>
            <w:gridSpan w:val="3"/>
            <w:vAlign w:val="center"/>
            <w:hideMark/>
          </w:tcPr>
          <w:p w14:paraId="01FF6309" w14:textId="77777777" w:rsidR="00000000" w:rsidRDefault="00405D16">
            <w:pPr>
              <w:spacing w:after="100"/>
              <w:rPr>
                <w:rFonts w:eastAsia="Times New Roman"/>
                <w:sz w:val="20"/>
                <w:szCs w:val="20"/>
              </w:rPr>
            </w:pPr>
          </w:p>
        </w:tc>
        <w:tc>
          <w:tcPr>
            <w:tcW w:w="0" w:type="auto"/>
            <w:gridSpan w:val="3"/>
            <w:vAlign w:val="center"/>
            <w:hideMark/>
          </w:tcPr>
          <w:p w14:paraId="3D86F06A" w14:textId="77777777" w:rsidR="00000000" w:rsidRDefault="00405D16">
            <w:pPr>
              <w:spacing w:after="100"/>
              <w:rPr>
                <w:rFonts w:eastAsia="Times New Roman"/>
                <w:sz w:val="20"/>
                <w:szCs w:val="20"/>
              </w:rPr>
            </w:pPr>
          </w:p>
        </w:tc>
        <w:tc>
          <w:tcPr>
            <w:tcW w:w="0" w:type="auto"/>
            <w:gridSpan w:val="3"/>
            <w:vAlign w:val="center"/>
            <w:hideMark/>
          </w:tcPr>
          <w:p w14:paraId="7CC1E96C" w14:textId="77777777" w:rsidR="00000000" w:rsidRDefault="00405D16">
            <w:pPr>
              <w:spacing w:after="100"/>
              <w:rPr>
                <w:rFonts w:eastAsia="Times New Roman"/>
                <w:sz w:val="20"/>
                <w:szCs w:val="20"/>
              </w:rPr>
            </w:pPr>
          </w:p>
        </w:tc>
        <w:tc>
          <w:tcPr>
            <w:tcW w:w="0" w:type="auto"/>
            <w:gridSpan w:val="3"/>
            <w:vAlign w:val="center"/>
            <w:hideMark/>
          </w:tcPr>
          <w:p w14:paraId="3624E00D" w14:textId="77777777" w:rsidR="00000000" w:rsidRDefault="00405D16">
            <w:pPr>
              <w:spacing w:after="100"/>
              <w:rPr>
                <w:rFonts w:eastAsia="Times New Roman"/>
                <w:sz w:val="20"/>
                <w:szCs w:val="20"/>
              </w:rPr>
            </w:pPr>
          </w:p>
        </w:tc>
        <w:tc>
          <w:tcPr>
            <w:tcW w:w="0" w:type="auto"/>
            <w:gridSpan w:val="3"/>
            <w:vAlign w:val="center"/>
            <w:hideMark/>
          </w:tcPr>
          <w:p w14:paraId="3FB42A77" w14:textId="77777777" w:rsidR="00000000" w:rsidRDefault="00405D16">
            <w:pPr>
              <w:spacing w:after="100"/>
              <w:rPr>
                <w:rFonts w:eastAsia="Times New Roman"/>
                <w:sz w:val="20"/>
                <w:szCs w:val="20"/>
              </w:rPr>
            </w:pPr>
          </w:p>
        </w:tc>
        <w:tc>
          <w:tcPr>
            <w:tcW w:w="0" w:type="auto"/>
            <w:gridSpan w:val="3"/>
            <w:vAlign w:val="center"/>
            <w:hideMark/>
          </w:tcPr>
          <w:p w14:paraId="7DCDE59A" w14:textId="77777777" w:rsidR="00000000" w:rsidRDefault="00405D16">
            <w:pPr>
              <w:spacing w:after="100"/>
              <w:rPr>
                <w:rFonts w:eastAsia="Times New Roman"/>
                <w:sz w:val="20"/>
                <w:szCs w:val="20"/>
              </w:rPr>
            </w:pPr>
          </w:p>
        </w:tc>
        <w:tc>
          <w:tcPr>
            <w:tcW w:w="0" w:type="auto"/>
            <w:gridSpan w:val="3"/>
            <w:vAlign w:val="center"/>
            <w:hideMark/>
          </w:tcPr>
          <w:p w14:paraId="5EEE44FF" w14:textId="77777777" w:rsidR="00000000" w:rsidRDefault="00405D16">
            <w:pPr>
              <w:spacing w:after="100"/>
              <w:rPr>
                <w:rFonts w:eastAsia="Times New Roman"/>
                <w:sz w:val="20"/>
                <w:szCs w:val="20"/>
              </w:rPr>
            </w:pPr>
          </w:p>
        </w:tc>
        <w:tc>
          <w:tcPr>
            <w:tcW w:w="0" w:type="auto"/>
            <w:gridSpan w:val="3"/>
            <w:vAlign w:val="center"/>
            <w:hideMark/>
          </w:tcPr>
          <w:p w14:paraId="75D9D4CF" w14:textId="77777777" w:rsidR="00000000" w:rsidRDefault="00405D16">
            <w:pPr>
              <w:spacing w:after="100"/>
              <w:rPr>
                <w:rFonts w:eastAsia="Times New Roman"/>
                <w:sz w:val="20"/>
                <w:szCs w:val="20"/>
              </w:rPr>
            </w:pPr>
          </w:p>
        </w:tc>
        <w:tc>
          <w:tcPr>
            <w:tcW w:w="0" w:type="auto"/>
            <w:gridSpan w:val="3"/>
            <w:vAlign w:val="center"/>
            <w:hideMark/>
          </w:tcPr>
          <w:p w14:paraId="40C5F1CD" w14:textId="77777777" w:rsidR="00000000" w:rsidRDefault="00405D16">
            <w:pPr>
              <w:spacing w:after="100"/>
              <w:rPr>
                <w:rFonts w:eastAsia="Times New Roman"/>
                <w:sz w:val="20"/>
                <w:szCs w:val="20"/>
              </w:rPr>
            </w:pPr>
          </w:p>
        </w:tc>
        <w:tc>
          <w:tcPr>
            <w:tcW w:w="0" w:type="auto"/>
            <w:gridSpan w:val="3"/>
            <w:vAlign w:val="center"/>
            <w:hideMark/>
          </w:tcPr>
          <w:p w14:paraId="04DA0ED5" w14:textId="77777777" w:rsidR="00000000" w:rsidRDefault="00405D16">
            <w:pPr>
              <w:spacing w:after="100"/>
              <w:rPr>
                <w:rFonts w:eastAsia="Times New Roman"/>
                <w:sz w:val="20"/>
                <w:szCs w:val="20"/>
              </w:rPr>
            </w:pPr>
          </w:p>
        </w:tc>
        <w:tc>
          <w:tcPr>
            <w:tcW w:w="0" w:type="auto"/>
            <w:vAlign w:val="center"/>
            <w:hideMark/>
          </w:tcPr>
          <w:p w14:paraId="3C77AE30" w14:textId="77777777" w:rsidR="00000000" w:rsidRDefault="00405D16">
            <w:pPr>
              <w:spacing w:after="100"/>
              <w:rPr>
                <w:rFonts w:eastAsia="Times New Roman"/>
                <w:sz w:val="20"/>
                <w:szCs w:val="20"/>
              </w:rPr>
            </w:pPr>
          </w:p>
        </w:tc>
        <w:tc>
          <w:tcPr>
            <w:tcW w:w="0" w:type="auto"/>
            <w:vAlign w:val="center"/>
            <w:hideMark/>
          </w:tcPr>
          <w:p w14:paraId="566232BD" w14:textId="77777777" w:rsidR="00000000" w:rsidRDefault="00405D16">
            <w:pPr>
              <w:spacing w:after="100"/>
              <w:rPr>
                <w:rFonts w:eastAsia="Times New Roman"/>
                <w:sz w:val="20"/>
                <w:szCs w:val="20"/>
              </w:rPr>
            </w:pPr>
          </w:p>
        </w:tc>
        <w:tc>
          <w:tcPr>
            <w:tcW w:w="0" w:type="auto"/>
            <w:gridSpan w:val="3"/>
            <w:vAlign w:val="center"/>
            <w:hideMark/>
          </w:tcPr>
          <w:p w14:paraId="10416B8F" w14:textId="77777777" w:rsidR="00000000" w:rsidRDefault="00405D16">
            <w:pPr>
              <w:spacing w:after="100"/>
              <w:rPr>
                <w:rFonts w:eastAsia="Times New Roman"/>
                <w:sz w:val="20"/>
                <w:szCs w:val="20"/>
              </w:rPr>
            </w:pPr>
          </w:p>
        </w:tc>
        <w:tc>
          <w:tcPr>
            <w:tcW w:w="0" w:type="auto"/>
            <w:gridSpan w:val="3"/>
            <w:vAlign w:val="center"/>
            <w:hideMark/>
          </w:tcPr>
          <w:p w14:paraId="38C7F9D5" w14:textId="77777777" w:rsidR="00000000" w:rsidRDefault="00405D16">
            <w:pPr>
              <w:spacing w:after="100"/>
              <w:rPr>
                <w:rFonts w:eastAsia="Times New Roman"/>
                <w:sz w:val="20"/>
                <w:szCs w:val="20"/>
              </w:rPr>
            </w:pPr>
          </w:p>
        </w:tc>
        <w:tc>
          <w:tcPr>
            <w:tcW w:w="0" w:type="auto"/>
            <w:gridSpan w:val="3"/>
            <w:vAlign w:val="center"/>
            <w:hideMark/>
          </w:tcPr>
          <w:p w14:paraId="6AC832A6" w14:textId="77777777" w:rsidR="00000000" w:rsidRDefault="00405D16">
            <w:pPr>
              <w:spacing w:after="100"/>
              <w:rPr>
                <w:rFonts w:eastAsia="Times New Roman"/>
                <w:sz w:val="20"/>
                <w:szCs w:val="20"/>
              </w:rPr>
            </w:pPr>
          </w:p>
        </w:tc>
        <w:tc>
          <w:tcPr>
            <w:tcW w:w="0" w:type="auto"/>
            <w:gridSpan w:val="3"/>
            <w:vAlign w:val="center"/>
            <w:hideMark/>
          </w:tcPr>
          <w:p w14:paraId="1D4BF514" w14:textId="77777777" w:rsidR="00000000" w:rsidRDefault="00405D16">
            <w:pPr>
              <w:spacing w:after="100"/>
              <w:rPr>
                <w:rFonts w:eastAsia="Times New Roman"/>
                <w:sz w:val="20"/>
                <w:szCs w:val="20"/>
              </w:rPr>
            </w:pPr>
          </w:p>
        </w:tc>
        <w:tc>
          <w:tcPr>
            <w:tcW w:w="0" w:type="auto"/>
            <w:gridSpan w:val="3"/>
            <w:vAlign w:val="center"/>
            <w:hideMark/>
          </w:tcPr>
          <w:p w14:paraId="0605D3F7" w14:textId="77777777" w:rsidR="00000000" w:rsidRDefault="00405D16">
            <w:pPr>
              <w:spacing w:after="100"/>
              <w:rPr>
                <w:rFonts w:eastAsia="Times New Roman"/>
                <w:sz w:val="20"/>
                <w:szCs w:val="20"/>
              </w:rPr>
            </w:pPr>
          </w:p>
        </w:tc>
        <w:tc>
          <w:tcPr>
            <w:tcW w:w="0" w:type="auto"/>
            <w:gridSpan w:val="3"/>
            <w:vAlign w:val="center"/>
            <w:hideMark/>
          </w:tcPr>
          <w:p w14:paraId="28A15A16" w14:textId="77777777" w:rsidR="00000000" w:rsidRDefault="00405D16">
            <w:pPr>
              <w:spacing w:after="100"/>
              <w:rPr>
                <w:rFonts w:eastAsia="Times New Roman"/>
                <w:sz w:val="20"/>
                <w:szCs w:val="20"/>
              </w:rPr>
            </w:pPr>
          </w:p>
        </w:tc>
        <w:tc>
          <w:tcPr>
            <w:tcW w:w="0" w:type="auto"/>
            <w:gridSpan w:val="3"/>
            <w:vAlign w:val="center"/>
            <w:hideMark/>
          </w:tcPr>
          <w:p w14:paraId="5109D00A" w14:textId="77777777" w:rsidR="00000000" w:rsidRDefault="00405D16">
            <w:pPr>
              <w:spacing w:after="100"/>
              <w:rPr>
                <w:rFonts w:eastAsia="Times New Roman"/>
                <w:sz w:val="20"/>
                <w:szCs w:val="20"/>
              </w:rPr>
            </w:pPr>
          </w:p>
        </w:tc>
        <w:tc>
          <w:tcPr>
            <w:tcW w:w="0" w:type="auto"/>
            <w:gridSpan w:val="2"/>
            <w:vAlign w:val="center"/>
            <w:hideMark/>
          </w:tcPr>
          <w:p w14:paraId="007EE581" w14:textId="77777777" w:rsidR="00000000" w:rsidRDefault="00405D16">
            <w:pPr>
              <w:spacing w:after="100"/>
              <w:rPr>
                <w:rFonts w:eastAsia="Times New Roman"/>
                <w:sz w:val="20"/>
                <w:szCs w:val="20"/>
              </w:rPr>
            </w:pPr>
          </w:p>
        </w:tc>
      </w:tr>
      <w:tr w:rsidR="00000000" w14:paraId="4EC20A61" w14:textId="77777777">
        <w:trPr>
          <w:divId w:val="227809696"/>
        </w:trPr>
        <w:tc>
          <w:tcPr>
            <w:tcW w:w="0" w:type="auto"/>
            <w:gridSpan w:val="3"/>
            <w:vAlign w:val="center"/>
            <w:hideMark/>
          </w:tcPr>
          <w:p w14:paraId="258B45AD" w14:textId="77777777" w:rsidR="00000000" w:rsidRDefault="00405D16">
            <w:pPr>
              <w:spacing w:after="100"/>
              <w:rPr>
                <w:rFonts w:eastAsia="Times New Roman"/>
                <w:sz w:val="20"/>
                <w:szCs w:val="20"/>
              </w:rPr>
            </w:pPr>
          </w:p>
        </w:tc>
        <w:tc>
          <w:tcPr>
            <w:tcW w:w="0" w:type="auto"/>
            <w:gridSpan w:val="3"/>
            <w:vAlign w:val="center"/>
            <w:hideMark/>
          </w:tcPr>
          <w:p w14:paraId="6AFCC3B7" w14:textId="77777777" w:rsidR="00000000" w:rsidRDefault="00405D16">
            <w:pPr>
              <w:spacing w:after="100"/>
              <w:rPr>
                <w:rFonts w:eastAsia="Times New Roman"/>
                <w:sz w:val="20"/>
                <w:szCs w:val="20"/>
              </w:rPr>
            </w:pPr>
          </w:p>
        </w:tc>
        <w:tc>
          <w:tcPr>
            <w:tcW w:w="0" w:type="auto"/>
            <w:gridSpan w:val="3"/>
            <w:vAlign w:val="center"/>
            <w:hideMark/>
          </w:tcPr>
          <w:p w14:paraId="7DED3F12" w14:textId="77777777" w:rsidR="00000000" w:rsidRDefault="00405D16">
            <w:pPr>
              <w:spacing w:after="100"/>
              <w:rPr>
                <w:rFonts w:eastAsia="Times New Roman"/>
                <w:sz w:val="20"/>
                <w:szCs w:val="20"/>
              </w:rPr>
            </w:pPr>
          </w:p>
        </w:tc>
        <w:tc>
          <w:tcPr>
            <w:tcW w:w="0" w:type="auto"/>
            <w:gridSpan w:val="3"/>
            <w:vAlign w:val="center"/>
            <w:hideMark/>
          </w:tcPr>
          <w:p w14:paraId="11999A3D" w14:textId="77777777" w:rsidR="00000000" w:rsidRDefault="00405D16">
            <w:pPr>
              <w:spacing w:after="100"/>
              <w:rPr>
                <w:rFonts w:eastAsia="Times New Roman"/>
                <w:sz w:val="20"/>
                <w:szCs w:val="20"/>
              </w:rPr>
            </w:pPr>
          </w:p>
        </w:tc>
        <w:tc>
          <w:tcPr>
            <w:tcW w:w="0" w:type="auto"/>
            <w:gridSpan w:val="3"/>
            <w:vAlign w:val="center"/>
            <w:hideMark/>
          </w:tcPr>
          <w:p w14:paraId="4CBEE403" w14:textId="77777777" w:rsidR="00000000" w:rsidRDefault="00405D16">
            <w:pPr>
              <w:spacing w:after="100"/>
              <w:rPr>
                <w:rFonts w:eastAsia="Times New Roman"/>
                <w:sz w:val="20"/>
                <w:szCs w:val="20"/>
              </w:rPr>
            </w:pPr>
          </w:p>
        </w:tc>
        <w:tc>
          <w:tcPr>
            <w:tcW w:w="0" w:type="auto"/>
            <w:gridSpan w:val="3"/>
            <w:vAlign w:val="center"/>
            <w:hideMark/>
          </w:tcPr>
          <w:p w14:paraId="523E165D" w14:textId="77777777" w:rsidR="00000000" w:rsidRDefault="00405D16">
            <w:pPr>
              <w:spacing w:after="100"/>
              <w:rPr>
                <w:rFonts w:eastAsia="Times New Roman"/>
                <w:sz w:val="20"/>
                <w:szCs w:val="20"/>
              </w:rPr>
            </w:pPr>
          </w:p>
        </w:tc>
        <w:tc>
          <w:tcPr>
            <w:tcW w:w="0" w:type="auto"/>
            <w:gridSpan w:val="3"/>
            <w:vAlign w:val="center"/>
            <w:hideMark/>
          </w:tcPr>
          <w:p w14:paraId="32ECCE5E" w14:textId="77777777" w:rsidR="00000000" w:rsidRDefault="00405D16">
            <w:pPr>
              <w:spacing w:after="100"/>
              <w:rPr>
                <w:rFonts w:eastAsia="Times New Roman"/>
                <w:sz w:val="20"/>
                <w:szCs w:val="20"/>
              </w:rPr>
            </w:pPr>
          </w:p>
        </w:tc>
        <w:tc>
          <w:tcPr>
            <w:tcW w:w="0" w:type="auto"/>
            <w:gridSpan w:val="3"/>
            <w:vAlign w:val="center"/>
            <w:hideMark/>
          </w:tcPr>
          <w:p w14:paraId="41B5CB28" w14:textId="77777777" w:rsidR="00000000" w:rsidRDefault="00405D16">
            <w:pPr>
              <w:spacing w:after="100"/>
              <w:rPr>
                <w:rFonts w:eastAsia="Times New Roman"/>
                <w:sz w:val="20"/>
                <w:szCs w:val="20"/>
              </w:rPr>
            </w:pPr>
          </w:p>
        </w:tc>
        <w:tc>
          <w:tcPr>
            <w:tcW w:w="0" w:type="auto"/>
            <w:gridSpan w:val="3"/>
            <w:vAlign w:val="center"/>
            <w:hideMark/>
          </w:tcPr>
          <w:p w14:paraId="763FA3A8" w14:textId="77777777" w:rsidR="00000000" w:rsidRDefault="00405D16">
            <w:pPr>
              <w:spacing w:after="100"/>
              <w:rPr>
                <w:rFonts w:eastAsia="Times New Roman"/>
                <w:sz w:val="20"/>
                <w:szCs w:val="20"/>
              </w:rPr>
            </w:pPr>
          </w:p>
        </w:tc>
        <w:tc>
          <w:tcPr>
            <w:tcW w:w="0" w:type="auto"/>
            <w:gridSpan w:val="3"/>
            <w:vAlign w:val="center"/>
            <w:hideMark/>
          </w:tcPr>
          <w:p w14:paraId="027653FA" w14:textId="77777777" w:rsidR="00000000" w:rsidRDefault="00405D16">
            <w:pPr>
              <w:spacing w:after="100"/>
              <w:rPr>
                <w:rFonts w:eastAsia="Times New Roman"/>
                <w:sz w:val="20"/>
                <w:szCs w:val="20"/>
              </w:rPr>
            </w:pPr>
          </w:p>
        </w:tc>
        <w:tc>
          <w:tcPr>
            <w:tcW w:w="0" w:type="auto"/>
            <w:gridSpan w:val="3"/>
            <w:vAlign w:val="center"/>
            <w:hideMark/>
          </w:tcPr>
          <w:p w14:paraId="10805FAF" w14:textId="77777777" w:rsidR="00000000" w:rsidRDefault="00405D16">
            <w:pPr>
              <w:spacing w:after="100"/>
              <w:rPr>
                <w:rFonts w:eastAsia="Times New Roman"/>
                <w:sz w:val="20"/>
                <w:szCs w:val="20"/>
              </w:rPr>
            </w:pPr>
          </w:p>
        </w:tc>
        <w:tc>
          <w:tcPr>
            <w:tcW w:w="0" w:type="auto"/>
            <w:vAlign w:val="center"/>
            <w:hideMark/>
          </w:tcPr>
          <w:p w14:paraId="27E38974" w14:textId="77777777" w:rsidR="00000000" w:rsidRDefault="00405D16">
            <w:pPr>
              <w:spacing w:after="100"/>
              <w:rPr>
                <w:rFonts w:eastAsia="Times New Roman"/>
                <w:sz w:val="20"/>
                <w:szCs w:val="20"/>
              </w:rPr>
            </w:pPr>
          </w:p>
        </w:tc>
        <w:tc>
          <w:tcPr>
            <w:tcW w:w="0" w:type="auto"/>
            <w:vAlign w:val="center"/>
            <w:hideMark/>
          </w:tcPr>
          <w:p w14:paraId="5F1CFF8E" w14:textId="77777777" w:rsidR="00000000" w:rsidRDefault="00405D16">
            <w:pPr>
              <w:spacing w:after="100"/>
              <w:rPr>
                <w:rFonts w:eastAsia="Times New Roman"/>
                <w:sz w:val="20"/>
                <w:szCs w:val="20"/>
              </w:rPr>
            </w:pPr>
          </w:p>
        </w:tc>
        <w:tc>
          <w:tcPr>
            <w:tcW w:w="0" w:type="auto"/>
            <w:gridSpan w:val="3"/>
            <w:vAlign w:val="center"/>
            <w:hideMark/>
          </w:tcPr>
          <w:p w14:paraId="7684D14F" w14:textId="77777777" w:rsidR="00000000" w:rsidRDefault="00405D16">
            <w:pPr>
              <w:spacing w:after="100"/>
              <w:rPr>
                <w:rFonts w:eastAsia="Times New Roman"/>
                <w:sz w:val="20"/>
                <w:szCs w:val="20"/>
              </w:rPr>
            </w:pPr>
          </w:p>
        </w:tc>
        <w:tc>
          <w:tcPr>
            <w:tcW w:w="0" w:type="auto"/>
            <w:gridSpan w:val="3"/>
            <w:vAlign w:val="center"/>
            <w:hideMark/>
          </w:tcPr>
          <w:p w14:paraId="605EC506" w14:textId="77777777" w:rsidR="00000000" w:rsidRDefault="00405D16">
            <w:pPr>
              <w:spacing w:after="100"/>
              <w:rPr>
                <w:rFonts w:eastAsia="Times New Roman"/>
                <w:sz w:val="20"/>
                <w:szCs w:val="20"/>
              </w:rPr>
            </w:pPr>
          </w:p>
        </w:tc>
        <w:tc>
          <w:tcPr>
            <w:tcW w:w="0" w:type="auto"/>
            <w:gridSpan w:val="3"/>
            <w:vAlign w:val="center"/>
            <w:hideMark/>
          </w:tcPr>
          <w:p w14:paraId="2EB964CD" w14:textId="77777777" w:rsidR="00000000" w:rsidRDefault="00405D16">
            <w:pPr>
              <w:spacing w:after="100"/>
              <w:rPr>
                <w:rFonts w:eastAsia="Times New Roman"/>
                <w:sz w:val="20"/>
                <w:szCs w:val="20"/>
              </w:rPr>
            </w:pPr>
          </w:p>
        </w:tc>
        <w:tc>
          <w:tcPr>
            <w:tcW w:w="0" w:type="auto"/>
            <w:gridSpan w:val="3"/>
            <w:vAlign w:val="center"/>
            <w:hideMark/>
          </w:tcPr>
          <w:p w14:paraId="195CDC59" w14:textId="77777777" w:rsidR="00000000" w:rsidRDefault="00405D16">
            <w:pPr>
              <w:spacing w:after="100"/>
              <w:rPr>
                <w:rFonts w:eastAsia="Times New Roman"/>
                <w:sz w:val="20"/>
                <w:szCs w:val="20"/>
              </w:rPr>
            </w:pPr>
          </w:p>
        </w:tc>
        <w:tc>
          <w:tcPr>
            <w:tcW w:w="0" w:type="auto"/>
            <w:gridSpan w:val="3"/>
            <w:vAlign w:val="center"/>
            <w:hideMark/>
          </w:tcPr>
          <w:p w14:paraId="1A7E0DF0" w14:textId="77777777" w:rsidR="00000000" w:rsidRDefault="00405D16">
            <w:pPr>
              <w:spacing w:after="100"/>
              <w:rPr>
                <w:rFonts w:eastAsia="Times New Roman"/>
                <w:sz w:val="20"/>
                <w:szCs w:val="20"/>
              </w:rPr>
            </w:pPr>
          </w:p>
        </w:tc>
        <w:tc>
          <w:tcPr>
            <w:tcW w:w="0" w:type="auto"/>
            <w:gridSpan w:val="3"/>
            <w:vAlign w:val="center"/>
            <w:hideMark/>
          </w:tcPr>
          <w:p w14:paraId="70E96E3A" w14:textId="77777777" w:rsidR="00000000" w:rsidRDefault="00405D16">
            <w:pPr>
              <w:spacing w:after="100"/>
              <w:rPr>
                <w:rFonts w:eastAsia="Times New Roman"/>
                <w:sz w:val="20"/>
                <w:szCs w:val="20"/>
              </w:rPr>
            </w:pPr>
          </w:p>
        </w:tc>
        <w:tc>
          <w:tcPr>
            <w:tcW w:w="0" w:type="auto"/>
            <w:gridSpan w:val="3"/>
            <w:vAlign w:val="center"/>
            <w:hideMark/>
          </w:tcPr>
          <w:p w14:paraId="46369032" w14:textId="77777777" w:rsidR="00000000" w:rsidRDefault="00405D16">
            <w:pPr>
              <w:spacing w:after="100"/>
              <w:rPr>
                <w:rFonts w:eastAsia="Times New Roman"/>
                <w:sz w:val="20"/>
                <w:szCs w:val="20"/>
              </w:rPr>
            </w:pPr>
          </w:p>
        </w:tc>
        <w:tc>
          <w:tcPr>
            <w:tcW w:w="0" w:type="auto"/>
            <w:gridSpan w:val="2"/>
            <w:vAlign w:val="center"/>
            <w:hideMark/>
          </w:tcPr>
          <w:p w14:paraId="3646A202" w14:textId="77777777" w:rsidR="00000000" w:rsidRDefault="00405D16">
            <w:pPr>
              <w:spacing w:after="100"/>
              <w:rPr>
                <w:rFonts w:eastAsia="Times New Roman"/>
                <w:sz w:val="20"/>
                <w:szCs w:val="20"/>
              </w:rPr>
            </w:pPr>
          </w:p>
        </w:tc>
      </w:tr>
      <w:tr w:rsidR="00000000" w14:paraId="2829318A" w14:textId="77777777">
        <w:trPr>
          <w:divId w:val="227809696"/>
        </w:trPr>
        <w:tc>
          <w:tcPr>
            <w:tcW w:w="0" w:type="auto"/>
            <w:gridSpan w:val="3"/>
            <w:shd w:val="clear" w:color="auto" w:fill="FFFFFF"/>
            <w:tcMar>
              <w:top w:w="30" w:type="dxa"/>
              <w:left w:w="20" w:type="dxa"/>
              <w:bottom w:w="30" w:type="dxa"/>
              <w:right w:w="20" w:type="dxa"/>
            </w:tcMar>
            <w:vAlign w:val="center"/>
            <w:hideMark/>
          </w:tcPr>
          <w:p w14:paraId="05151B69" w14:textId="77777777" w:rsidR="00000000" w:rsidRDefault="00405D16">
            <w:pPr>
              <w:spacing w:after="100"/>
              <w:rPr>
                <w:rFonts w:eastAsia="Times New Roman"/>
              </w:rPr>
            </w:pPr>
            <w:r>
              <w:rPr>
                <w:rFonts w:eastAsia="Times New Roman"/>
                <w:color w:val="000000"/>
                <w:sz w:val="18"/>
                <w:szCs w:val="18"/>
              </w:rPr>
              <w:t>Net interest income</w:t>
            </w:r>
          </w:p>
        </w:tc>
        <w:tc>
          <w:tcPr>
            <w:tcW w:w="0" w:type="auto"/>
            <w:gridSpan w:val="3"/>
            <w:shd w:val="clear" w:color="auto" w:fill="FFFFFF"/>
            <w:tcMar>
              <w:top w:w="0" w:type="dxa"/>
              <w:left w:w="20" w:type="dxa"/>
              <w:bottom w:w="0" w:type="dxa"/>
              <w:right w:w="20" w:type="dxa"/>
            </w:tcMar>
            <w:vAlign w:val="center"/>
            <w:hideMark/>
          </w:tcPr>
          <w:p w14:paraId="15C93B67"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63F890FE"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51DF516A" w14:textId="77777777" w:rsidR="00000000" w:rsidRDefault="00405D16">
            <w:pPr>
              <w:spacing w:after="100"/>
              <w:jc w:val="right"/>
              <w:rPr>
                <w:rFonts w:eastAsia="Times New Roman"/>
              </w:rPr>
            </w:pPr>
            <w:r>
              <w:rPr>
                <w:rFonts w:eastAsia="Times New Roman"/>
                <w:b/>
                <w:bCs/>
                <w:color w:val="000000"/>
                <w:sz w:val="18"/>
                <w:szCs w:val="18"/>
              </w:rPr>
              <w:t>6,156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F4333F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2E3AA4"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88C753B"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5F7A0F21" w14:textId="77777777" w:rsidR="00000000" w:rsidRDefault="00405D16">
            <w:pPr>
              <w:spacing w:after="100"/>
              <w:jc w:val="right"/>
              <w:rPr>
                <w:rFonts w:eastAsia="Times New Roman"/>
              </w:rPr>
            </w:pPr>
            <w:r>
              <w:rPr>
                <w:rFonts w:eastAsia="Times New Roman"/>
                <w:color w:val="000000"/>
                <w:sz w:val="18"/>
                <w:szCs w:val="18"/>
              </w:rPr>
              <w:t>5,555 </w:t>
            </w:r>
          </w:p>
        </w:tc>
        <w:tc>
          <w:tcPr>
            <w:tcW w:w="0" w:type="auto"/>
            <w:shd w:val="clear" w:color="auto" w:fill="FFFFFF"/>
            <w:tcMar>
              <w:top w:w="30" w:type="dxa"/>
              <w:left w:w="0" w:type="dxa"/>
              <w:bottom w:w="30" w:type="dxa"/>
              <w:right w:w="20" w:type="dxa"/>
            </w:tcMar>
            <w:vAlign w:val="center"/>
            <w:hideMark/>
          </w:tcPr>
          <w:p w14:paraId="68A355C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1DB51D"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14:paraId="57B9F7DE" w14:textId="77777777" w:rsidR="00000000" w:rsidRDefault="00405D16">
            <w:pPr>
              <w:spacing w:after="100"/>
              <w:jc w:val="right"/>
              <w:rPr>
                <w:rFonts w:eastAsia="Times New Roman"/>
              </w:rPr>
            </w:pPr>
            <w:r>
              <w:rPr>
                <w:rFonts w:eastAsia="Times New Roman"/>
                <w:color w:val="000000"/>
                <w:sz w:val="18"/>
                <w:szCs w:val="18"/>
              </w:rPr>
              <w:t>11%</w:t>
            </w:r>
          </w:p>
        </w:tc>
        <w:tc>
          <w:tcPr>
            <w:tcW w:w="0" w:type="auto"/>
            <w:gridSpan w:val="3"/>
            <w:shd w:val="clear" w:color="auto" w:fill="FFFFFF"/>
            <w:tcMar>
              <w:top w:w="0" w:type="dxa"/>
              <w:left w:w="20" w:type="dxa"/>
              <w:bottom w:w="0" w:type="dxa"/>
              <w:right w:w="20" w:type="dxa"/>
            </w:tcMar>
            <w:vAlign w:val="center"/>
            <w:hideMark/>
          </w:tcPr>
          <w:p w14:paraId="1466F3CA" w14:textId="77777777" w:rsidR="00000000" w:rsidRDefault="00405D16">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4CA354B0"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30F4C8A4" w14:textId="77777777" w:rsidR="00000000" w:rsidRDefault="00405D16">
            <w:pPr>
              <w:spacing w:after="100"/>
              <w:jc w:val="right"/>
              <w:rPr>
                <w:rFonts w:eastAsia="Times New Roman"/>
              </w:rPr>
            </w:pPr>
            <w:r>
              <w:rPr>
                <w:rFonts w:eastAsia="Times New Roman"/>
                <w:b/>
                <w:bCs/>
                <w:color w:val="000000"/>
                <w:sz w:val="18"/>
                <w:szCs w:val="18"/>
              </w:rPr>
              <w:t>17,721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9C21A3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747344"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C76D5E4"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15F84BAC" w14:textId="77777777" w:rsidR="00000000" w:rsidRDefault="00405D16">
            <w:pPr>
              <w:spacing w:after="100"/>
              <w:jc w:val="right"/>
              <w:rPr>
                <w:rFonts w:eastAsia="Times New Roman"/>
              </w:rPr>
            </w:pPr>
            <w:r>
              <w:rPr>
                <w:rFonts w:eastAsia="Times New Roman"/>
                <w:color w:val="000000"/>
                <w:sz w:val="18"/>
                <w:szCs w:val="18"/>
              </w:rPr>
              <w:t>17,040 </w:t>
            </w:r>
          </w:p>
        </w:tc>
        <w:tc>
          <w:tcPr>
            <w:tcW w:w="0" w:type="auto"/>
            <w:shd w:val="clear" w:color="auto" w:fill="FFFFFF"/>
            <w:tcMar>
              <w:top w:w="30" w:type="dxa"/>
              <w:left w:w="0" w:type="dxa"/>
              <w:bottom w:w="30" w:type="dxa"/>
              <w:right w:w="20" w:type="dxa"/>
            </w:tcMar>
            <w:vAlign w:val="center"/>
            <w:hideMark/>
          </w:tcPr>
          <w:p w14:paraId="717BAFAB" w14:textId="77777777" w:rsidR="00000000" w:rsidRDefault="00405D16">
            <w:pPr>
              <w:spacing w:after="100"/>
              <w:jc w:val="right"/>
              <w:rPr>
                <w:rFonts w:eastAsia="Times New Roman"/>
              </w:rPr>
            </w:pPr>
          </w:p>
        </w:tc>
        <w:tc>
          <w:tcPr>
            <w:tcW w:w="0" w:type="auto"/>
            <w:vAlign w:val="center"/>
            <w:hideMark/>
          </w:tcPr>
          <w:p w14:paraId="310F1714" w14:textId="77777777" w:rsidR="00000000" w:rsidRDefault="00405D16">
            <w:pPr>
              <w:spacing w:after="100"/>
              <w:jc w:val="right"/>
              <w:rPr>
                <w:rFonts w:eastAsia="Times New Roman"/>
                <w:sz w:val="20"/>
                <w:szCs w:val="20"/>
              </w:rPr>
            </w:pPr>
          </w:p>
        </w:tc>
        <w:tc>
          <w:tcPr>
            <w:tcW w:w="0" w:type="auto"/>
            <w:vAlign w:val="center"/>
            <w:hideMark/>
          </w:tcPr>
          <w:p w14:paraId="2AF519BB" w14:textId="77777777" w:rsidR="00000000" w:rsidRDefault="00405D16">
            <w:pPr>
              <w:spacing w:after="100"/>
              <w:rPr>
                <w:rFonts w:eastAsia="Times New Roman"/>
                <w:sz w:val="20"/>
                <w:szCs w:val="20"/>
              </w:rPr>
            </w:pPr>
          </w:p>
        </w:tc>
        <w:tc>
          <w:tcPr>
            <w:tcW w:w="0" w:type="auto"/>
            <w:gridSpan w:val="3"/>
            <w:vAlign w:val="center"/>
            <w:hideMark/>
          </w:tcPr>
          <w:p w14:paraId="17E8EF02" w14:textId="77777777" w:rsidR="00000000" w:rsidRDefault="00405D16">
            <w:pPr>
              <w:spacing w:after="100"/>
              <w:rPr>
                <w:rFonts w:eastAsia="Times New Roman"/>
                <w:sz w:val="20"/>
                <w:szCs w:val="20"/>
              </w:rPr>
            </w:pPr>
          </w:p>
        </w:tc>
        <w:tc>
          <w:tcPr>
            <w:tcW w:w="0" w:type="auto"/>
            <w:gridSpan w:val="3"/>
            <w:vAlign w:val="center"/>
            <w:hideMark/>
          </w:tcPr>
          <w:p w14:paraId="5E25CB8F" w14:textId="77777777" w:rsidR="00000000" w:rsidRDefault="00405D16">
            <w:pPr>
              <w:spacing w:after="100"/>
              <w:rPr>
                <w:rFonts w:eastAsia="Times New Roman"/>
                <w:sz w:val="20"/>
                <w:szCs w:val="20"/>
              </w:rPr>
            </w:pPr>
          </w:p>
        </w:tc>
        <w:tc>
          <w:tcPr>
            <w:tcW w:w="0" w:type="auto"/>
            <w:gridSpan w:val="3"/>
            <w:vAlign w:val="center"/>
            <w:hideMark/>
          </w:tcPr>
          <w:p w14:paraId="6AFF10C0" w14:textId="77777777" w:rsidR="00000000" w:rsidRDefault="00405D16">
            <w:pPr>
              <w:spacing w:after="100"/>
              <w:rPr>
                <w:rFonts w:eastAsia="Times New Roman"/>
                <w:sz w:val="20"/>
                <w:szCs w:val="20"/>
              </w:rPr>
            </w:pPr>
          </w:p>
        </w:tc>
        <w:tc>
          <w:tcPr>
            <w:tcW w:w="0" w:type="auto"/>
            <w:gridSpan w:val="3"/>
            <w:vAlign w:val="center"/>
            <w:hideMark/>
          </w:tcPr>
          <w:p w14:paraId="563293D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5F0702" w14:textId="77777777" w:rsidR="00000000" w:rsidRDefault="00405D16">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14:paraId="719CB862" w14:textId="77777777" w:rsidR="00000000" w:rsidRDefault="00405D16">
            <w:pPr>
              <w:spacing w:after="100"/>
              <w:jc w:val="right"/>
              <w:rPr>
                <w:rFonts w:eastAsia="Times New Roman"/>
              </w:rPr>
            </w:pPr>
            <w:r>
              <w:rPr>
                <w:rFonts w:eastAsia="Times New Roman"/>
                <w:color w:val="000000"/>
                <w:sz w:val="18"/>
                <w:szCs w:val="18"/>
              </w:rPr>
              <w:t>4%</w:t>
            </w:r>
          </w:p>
        </w:tc>
        <w:tc>
          <w:tcPr>
            <w:tcW w:w="0" w:type="auto"/>
            <w:gridSpan w:val="3"/>
            <w:vAlign w:val="center"/>
            <w:hideMark/>
          </w:tcPr>
          <w:p w14:paraId="245A6DBB" w14:textId="77777777" w:rsidR="00000000" w:rsidRDefault="00405D16">
            <w:pPr>
              <w:spacing w:after="100"/>
              <w:jc w:val="right"/>
              <w:rPr>
                <w:rFonts w:eastAsia="Times New Roman"/>
              </w:rPr>
            </w:pPr>
          </w:p>
        </w:tc>
        <w:tc>
          <w:tcPr>
            <w:tcW w:w="0" w:type="auto"/>
            <w:gridSpan w:val="2"/>
            <w:vAlign w:val="center"/>
            <w:hideMark/>
          </w:tcPr>
          <w:p w14:paraId="3C306897" w14:textId="77777777" w:rsidR="00000000" w:rsidRDefault="00405D16">
            <w:pPr>
              <w:spacing w:after="100"/>
              <w:rPr>
                <w:rFonts w:eastAsia="Times New Roman"/>
                <w:sz w:val="20"/>
                <w:szCs w:val="20"/>
              </w:rPr>
            </w:pPr>
          </w:p>
        </w:tc>
      </w:tr>
      <w:tr w:rsidR="00000000" w14:paraId="0B987F1B" w14:textId="77777777">
        <w:trPr>
          <w:divId w:val="227809696"/>
        </w:trPr>
        <w:tc>
          <w:tcPr>
            <w:tcW w:w="0" w:type="auto"/>
            <w:gridSpan w:val="3"/>
            <w:shd w:val="clear" w:color="auto" w:fill="CCEEFF"/>
            <w:tcMar>
              <w:top w:w="30" w:type="dxa"/>
              <w:left w:w="20" w:type="dxa"/>
              <w:bottom w:w="30" w:type="dxa"/>
              <w:right w:w="20" w:type="dxa"/>
            </w:tcMar>
            <w:vAlign w:val="center"/>
            <w:hideMark/>
          </w:tcPr>
          <w:p w14:paraId="4F5E35F3" w14:textId="77777777" w:rsidR="00000000" w:rsidRDefault="00405D16">
            <w:pPr>
              <w:spacing w:after="100"/>
              <w:rPr>
                <w:rFonts w:eastAsia="Times New Roman"/>
              </w:rPr>
            </w:pPr>
            <w:r>
              <w:rPr>
                <w:rFonts w:eastAsia="Times New Roman"/>
                <w:color w:val="000000"/>
                <w:sz w:val="18"/>
                <w:szCs w:val="18"/>
              </w:rPr>
              <w:t>Non-interest income</w:t>
            </w:r>
          </w:p>
        </w:tc>
        <w:tc>
          <w:tcPr>
            <w:tcW w:w="0" w:type="auto"/>
            <w:gridSpan w:val="3"/>
            <w:shd w:val="clear" w:color="auto" w:fill="CCEEFF"/>
            <w:tcMar>
              <w:top w:w="0" w:type="dxa"/>
              <w:left w:w="20" w:type="dxa"/>
              <w:bottom w:w="0" w:type="dxa"/>
              <w:right w:w="20" w:type="dxa"/>
            </w:tcMar>
            <w:vAlign w:val="center"/>
            <w:hideMark/>
          </w:tcPr>
          <w:p w14:paraId="6C489BAB"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888DAA5" w14:textId="77777777" w:rsidR="00000000" w:rsidRDefault="00405D16">
            <w:pPr>
              <w:spacing w:after="100"/>
              <w:jc w:val="right"/>
              <w:rPr>
                <w:rFonts w:eastAsia="Times New Roman"/>
              </w:rPr>
            </w:pPr>
            <w:r>
              <w:rPr>
                <w:rFonts w:eastAsia="Times New Roman"/>
                <w:b/>
                <w:bCs/>
                <w:color w:val="000000"/>
                <w:sz w:val="18"/>
                <w:szCs w:val="18"/>
              </w:rPr>
              <w:t>1,674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538B89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0E721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13BB24C" w14:textId="77777777" w:rsidR="00000000" w:rsidRDefault="00405D16">
            <w:pPr>
              <w:spacing w:after="100"/>
              <w:jc w:val="right"/>
              <w:rPr>
                <w:rFonts w:eastAsia="Times New Roman"/>
              </w:rPr>
            </w:pPr>
            <w:r>
              <w:rPr>
                <w:rFonts w:eastAsia="Times New Roman"/>
                <w:color w:val="000000"/>
                <w:sz w:val="18"/>
                <w:szCs w:val="18"/>
              </w:rPr>
              <w:t>1,826 </w:t>
            </w:r>
          </w:p>
        </w:tc>
        <w:tc>
          <w:tcPr>
            <w:tcW w:w="0" w:type="auto"/>
            <w:shd w:val="clear" w:color="auto" w:fill="CCEEFF"/>
            <w:tcMar>
              <w:top w:w="30" w:type="dxa"/>
              <w:left w:w="0" w:type="dxa"/>
              <w:bottom w:w="30" w:type="dxa"/>
              <w:right w:w="20" w:type="dxa"/>
            </w:tcMar>
            <w:vAlign w:val="center"/>
            <w:hideMark/>
          </w:tcPr>
          <w:p w14:paraId="1A33F49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3A01F7"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0A6A4FC7" w14:textId="77777777" w:rsidR="00000000" w:rsidRDefault="00405D16">
            <w:pPr>
              <w:spacing w:after="100"/>
              <w:jc w:val="right"/>
              <w:rPr>
                <w:rFonts w:eastAsia="Times New Roman"/>
              </w:rPr>
            </w:pPr>
            <w:r>
              <w:rPr>
                <w:rFonts w:eastAsia="Times New Roman"/>
                <w:color w:val="000000"/>
                <w:sz w:val="18"/>
                <w:szCs w:val="18"/>
              </w:rPr>
              <w:t>(8)</w:t>
            </w:r>
          </w:p>
        </w:tc>
        <w:tc>
          <w:tcPr>
            <w:tcW w:w="0" w:type="auto"/>
            <w:gridSpan w:val="3"/>
            <w:shd w:val="clear" w:color="auto" w:fill="CCEEFF"/>
            <w:tcMar>
              <w:top w:w="0" w:type="dxa"/>
              <w:left w:w="20" w:type="dxa"/>
              <w:bottom w:w="0" w:type="dxa"/>
              <w:right w:w="20" w:type="dxa"/>
            </w:tcMar>
            <w:vAlign w:val="center"/>
            <w:hideMark/>
          </w:tcPr>
          <w:p w14:paraId="2B83401D"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53F6290" w14:textId="77777777" w:rsidR="00000000" w:rsidRDefault="00405D16">
            <w:pPr>
              <w:spacing w:after="100"/>
              <w:jc w:val="right"/>
              <w:rPr>
                <w:rFonts w:eastAsia="Times New Roman"/>
              </w:rPr>
            </w:pPr>
            <w:r>
              <w:rPr>
                <w:rFonts w:eastAsia="Times New Roman"/>
                <w:b/>
                <w:bCs/>
                <w:color w:val="000000"/>
                <w:sz w:val="18"/>
                <w:szCs w:val="18"/>
              </w:rPr>
              <w:t>4,596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BB519D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ACF35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EFF5CB0" w14:textId="77777777" w:rsidR="00000000" w:rsidRDefault="00405D16">
            <w:pPr>
              <w:spacing w:after="100"/>
              <w:jc w:val="right"/>
              <w:rPr>
                <w:rFonts w:eastAsia="Times New Roman"/>
              </w:rPr>
            </w:pPr>
            <w:r>
              <w:rPr>
                <w:rFonts w:eastAsia="Times New Roman"/>
                <w:color w:val="000000"/>
                <w:sz w:val="18"/>
                <w:szCs w:val="18"/>
              </w:rPr>
              <w:t>4,146 </w:t>
            </w:r>
          </w:p>
        </w:tc>
        <w:tc>
          <w:tcPr>
            <w:tcW w:w="0" w:type="auto"/>
            <w:shd w:val="clear" w:color="auto" w:fill="CCEEFF"/>
            <w:tcMar>
              <w:top w:w="30" w:type="dxa"/>
              <w:left w:w="0" w:type="dxa"/>
              <w:bottom w:w="30" w:type="dxa"/>
              <w:right w:w="20" w:type="dxa"/>
            </w:tcMar>
            <w:vAlign w:val="center"/>
            <w:hideMark/>
          </w:tcPr>
          <w:p w14:paraId="5593CC4A" w14:textId="77777777" w:rsidR="00000000" w:rsidRDefault="00405D16">
            <w:pPr>
              <w:spacing w:after="100"/>
              <w:jc w:val="right"/>
              <w:rPr>
                <w:rFonts w:eastAsia="Times New Roman"/>
              </w:rPr>
            </w:pPr>
          </w:p>
        </w:tc>
        <w:tc>
          <w:tcPr>
            <w:tcW w:w="0" w:type="auto"/>
            <w:vAlign w:val="center"/>
            <w:hideMark/>
          </w:tcPr>
          <w:p w14:paraId="22111292" w14:textId="77777777" w:rsidR="00000000" w:rsidRDefault="00405D16">
            <w:pPr>
              <w:spacing w:after="100"/>
              <w:jc w:val="right"/>
              <w:rPr>
                <w:rFonts w:eastAsia="Times New Roman"/>
                <w:sz w:val="20"/>
                <w:szCs w:val="20"/>
              </w:rPr>
            </w:pPr>
          </w:p>
        </w:tc>
        <w:tc>
          <w:tcPr>
            <w:tcW w:w="0" w:type="auto"/>
            <w:vAlign w:val="center"/>
            <w:hideMark/>
          </w:tcPr>
          <w:p w14:paraId="04021CCC" w14:textId="77777777" w:rsidR="00000000" w:rsidRDefault="00405D16">
            <w:pPr>
              <w:spacing w:after="100"/>
              <w:rPr>
                <w:rFonts w:eastAsia="Times New Roman"/>
                <w:sz w:val="20"/>
                <w:szCs w:val="20"/>
              </w:rPr>
            </w:pPr>
          </w:p>
        </w:tc>
        <w:tc>
          <w:tcPr>
            <w:tcW w:w="0" w:type="auto"/>
            <w:gridSpan w:val="3"/>
            <w:vAlign w:val="center"/>
            <w:hideMark/>
          </w:tcPr>
          <w:p w14:paraId="60176299" w14:textId="77777777" w:rsidR="00000000" w:rsidRDefault="00405D16">
            <w:pPr>
              <w:spacing w:after="100"/>
              <w:rPr>
                <w:rFonts w:eastAsia="Times New Roman"/>
                <w:sz w:val="20"/>
                <w:szCs w:val="20"/>
              </w:rPr>
            </w:pPr>
          </w:p>
        </w:tc>
        <w:tc>
          <w:tcPr>
            <w:tcW w:w="0" w:type="auto"/>
            <w:gridSpan w:val="3"/>
            <w:vAlign w:val="center"/>
            <w:hideMark/>
          </w:tcPr>
          <w:p w14:paraId="7C2E7307" w14:textId="77777777" w:rsidR="00000000" w:rsidRDefault="00405D16">
            <w:pPr>
              <w:spacing w:after="100"/>
              <w:rPr>
                <w:rFonts w:eastAsia="Times New Roman"/>
                <w:sz w:val="20"/>
                <w:szCs w:val="20"/>
              </w:rPr>
            </w:pPr>
          </w:p>
        </w:tc>
        <w:tc>
          <w:tcPr>
            <w:tcW w:w="0" w:type="auto"/>
            <w:gridSpan w:val="3"/>
            <w:vAlign w:val="center"/>
            <w:hideMark/>
          </w:tcPr>
          <w:p w14:paraId="1CFFBF84" w14:textId="77777777" w:rsidR="00000000" w:rsidRDefault="00405D16">
            <w:pPr>
              <w:spacing w:after="100"/>
              <w:rPr>
                <w:rFonts w:eastAsia="Times New Roman"/>
                <w:sz w:val="20"/>
                <w:szCs w:val="20"/>
              </w:rPr>
            </w:pPr>
          </w:p>
        </w:tc>
        <w:tc>
          <w:tcPr>
            <w:tcW w:w="0" w:type="auto"/>
            <w:gridSpan w:val="3"/>
            <w:vAlign w:val="center"/>
            <w:hideMark/>
          </w:tcPr>
          <w:p w14:paraId="1A62FB0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46023B" w14:textId="77777777" w:rsidR="00000000" w:rsidRDefault="00405D16">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32D0697A" w14:textId="77777777" w:rsidR="00000000" w:rsidRDefault="00405D16">
            <w:pPr>
              <w:spacing w:after="100"/>
              <w:jc w:val="right"/>
              <w:rPr>
                <w:rFonts w:eastAsia="Times New Roman"/>
              </w:rPr>
            </w:pPr>
            <w:r>
              <w:rPr>
                <w:rFonts w:eastAsia="Times New Roman"/>
                <w:color w:val="000000"/>
                <w:sz w:val="18"/>
                <w:szCs w:val="18"/>
              </w:rPr>
              <w:t>11</w:t>
            </w:r>
          </w:p>
        </w:tc>
        <w:tc>
          <w:tcPr>
            <w:tcW w:w="0" w:type="auto"/>
            <w:gridSpan w:val="3"/>
            <w:vAlign w:val="center"/>
            <w:hideMark/>
          </w:tcPr>
          <w:p w14:paraId="006B3136" w14:textId="77777777" w:rsidR="00000000" w:rsidRDefault="00405D16">
            <w:pPr>
              <w:spacing w:after="100"/>
              <w:jc w:val="right"/>
              <w:rPr>
                <w:rFonts w:eastAsia="Times New Roman"/>
              </w:rPr>
            </w:pPr>
          </w:p>
        </w:tc>
        <w:tc>
          <w:tcPr>
            <w:tcW w:w="0" w:type="auto"/>
            <w:gridSpan w:val="2"/>
            <w:vAlign w:val="center"/>
            <w:hideMark/>
          </w:tcPr>
          <w:p w14:paraId="2B4B8776" w14:textId="77777777" w:rsidR="00000000" w:rsidRDefault="00405D16">
            <w:pPr>
              <w:spacing w:after="100"/>
              <w:rPr>
                <w:rFonts w:eastAsia="Times New Roman"/>
                <w:sz w:val="20"/>
                <w:szCs w:val="20"/>
              </w:rPr>
            </w:pPr>
          </w:p>
        </w:tc>
      </w:tr>
      <w:tr w:rsidR="00000000" w14:paraId="73B459FB" w14:textId="77777777">
        <w:trPr>
          <w:divId w:val="227809696"/>
        </w:trPr>
        <w:tc>
          <w:tcPr>
            <w:tcW w:w="0" w:type="auto"/>
            <w:gridSpan w:val="3"/>
            <w:shd w:val="clear" w:color="auto" w:fill="FFFFFF"/>
            <w:tcMar>
              <w:top w:w="30" w:type="dxa"/>
              <w:left w:w="20" w:type="dxa"/>
              <w:bottom w:w="30" w:type="dxa"/>
              <w:right w:w="20" w:type="dxa"/>
            </w:tcMar>
            <w:vAlign w:val="center"/>
            <w:hideMark/>
          </w:tcPr>
          <w:p w14:paraId="7450E77D" w14:textId="77777777" w:rsidR="00000000" w:rsidRDefault="00405D16">
            <w:pPr>
              <w:spacing w:after="100"/>
              <w:rPr>
                <w:rFonts w:eastAsia="Times New Roman"/>
              </w:rPr>
            </w:pPr>
            <w:r>
              <w:rPr>
                <w:rFonts w:eastAsia="Times New Roman"/>
                <w:color w:val="000000"/>
                <w:sz w:val="18"/>
                <w:szCs w:val="18"/>
              </w:rPr>
              <w:t>Total net revenue</w:t>
            </w:r>
          </w:p>
        </w:tc>
        <w:tc>
          <w:tcPr>
            <w:tcW w:w="0" w:type="auto"/>
            <w:gridSpan w:val="3"/>
            <w:shd w:val="clear" w:color="auto" w:fill="FFFFFF"/>
            <w:tcMar>
              <w:top w:w="0" w:type="dxa"/>
              <w:left w:w="20" w:type="dxa"/>
              <w:bottom w:w="0" w:type="dxa"/>
              <w:right w:w="20" w:type="dxa"/>
            </w:tcMar>
            <w:vAlign w:val="center"/>
            <w:hideMark/>
          </w:tcPr>
          <w:p w14:paraId="5ECDA334"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1FADCA2" w14:textId="77777777" w:rsidR="00000000" w:rsidRDefault="00405D16">
            <w:pPr>
              <w:spacing w:after="100"/>
              <w:jc w:val="right"/>
              <w:rPr>
                <w:rFonts w:eastAsia="Times New Roman"/>
              </w:rPr>
            </w:pPr>
            <w:r>
              <w:rPr>
                <w:rFonts w:eastAsia="Times New Roman"/>
                <w:b/>
                <w:bCs/>
                <w:color w:val="000000"/>
                <w:sz w:val="18"/>
                <w:szCs w:val="18"/>
              </w:rPr>
              <w:t>7,830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FEEE50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D6186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27260B0" w14:textId="77777777" w:rsidR="00000000" w:rsidRDefault="00405D16">
            <w:pPr>
              <w:spacing w:after="100"/>
              <w:jc w:val="right"/>
              <w:rPr>
                <w:rFonts w:eastAsia="Times New Roman"/>
              </w:rPr>
            </w:pPr>
            <w:r>
              <w:rPr>
                <w:rFonts w:eastAsia="Times New Roman"/>
                <w:color w:val="000000"/>
                <w:sz w:val="18"/>
                <w:szCs w:val="18"/>
              </w:rPr>
              <w:t>7,381 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8F407C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DBD800"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30FA6F5D" w14:textId="77777777" w:rsidR="00000000" w:rsidRDefault="00405D16">
            <w:pPr>
              <w:spacing w:after="100"/>
              <w:jc w:val="right"/>
              <w:rPr>
                <w:rFonts w:eastAsia="Times New Roman"/>
              </w:rPr>
            </w:pPr>
            <w:r>
              <w:rPr>
                <w:rFonts w:eastAsia="Times New Roman"/>
                <w:color w:val="000000"/>
                <w:sz w:val="18"/>
                <w:szCs w:val="18"/>
              </w:rPr>
              <w:t>6</w:t>
            </w:r>
          </w:p>
        </w:tc>
        <w:tc>
          <w:tcPr>
            <w:tcW w:w="0" w:type="auto"/>
            <w:gridSpan w:val="3"/>
            <w:shd w:val="clear" w:color="auto" w:fill="FFFFFF"/>
            <w:tcMar>
              <w:top w:w="0" w:type="dxa"/>
              <w:left w:w="20" w:type="dxa"/>
              <w:bottom w:w="0" w:type="dxa"/>
              <w:right w:w="20" w:type="dxa"/>
            </w:tcMar>
            <w:vAlign w:val="center"/>
            <w:hideMark/>
          </w:tcPr>
          <w:p w14:paraId="128F03E7" w14:textId="77777777" w:rsidR="00000000" w:rsidRDefault="00405D16">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395627A" w14:textId="77777777" w:rsidR="00000000" w:rsidRDefault="00405D16">
            <w:pPr>
              <w:spacing w:after="100"/>
              <w:jc w:val="right"/>
              <w:rPr>
                <w:rFonts w:eastAsia="Times New Roman"/>
              </w:rPr>
            </w:pPr>
            <w:r>
              <w:rPr>
                <w:rFonts w:eastAsia="Times New Roman"/>
                <w:b/>
                <w:bCs/>
                <w:color w:val="000000"/>
                <w:sz w:val="18"/>
                <w:szCs w:val="18"/>
              </w:rPr>
              <w:t>22,317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4EFA69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D667D0"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4596D8E" w14:textId="77777777" w:rsidR="00000000" w:rsidRDefault="00405D16">
            <w:pPr>
              <w:spacing w:after="100"/>
              <w:jc w:val="right"/>
              <w:rPr>
                <w:rFonts w:eastAsia="Times New Roman"/>
              </w:rPr>
            </w:pPr>
            <w:r>
              <w:rPr>
                <w:rFonts w:eastAsia="Times New Roman"/>
                <w:color w:val="000000"/>
                <w:sz w:val="18"/>
                <w:szCs w:val="18"/>
              </w:rPr>
              <w:t>21,186 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5CCB601" w14:textId="77777777" w:rsidR="00000000" w:rsidRDefault="00405D16">
            <w:pPr>
              <w:spacing w:after="100"/>
              <w:jc w:val="right"/>
              <w:rPr>
                <w:rFonts w:eastAsia="Times New Roman"/>
              </w:rPr>
            </w:pPr>
          </w:p>
        </w:tc>
        <w:tc>
          <w:tcPr>
            <w:tcW w:w="0" w:type="auto"/>
            <w:vAlign w:val="center"/>
            <w:hideMark/>
          </w:tcPr>
          <w:p w14:paraId="796F20E6" w14:textId="77777777" w:rsidR="00000000" w:rsidRDefault="00405D16">
            <w:pPr>
              <w:spacing w:after="100"/>
              <w:jc w:val="right"/>
              <w:rPr>
                <w:rFonts w:eastAsia="Times New Roman"/>
                <w:sz w:val="20"/>
                <w:szCs w:val="20"/>
              </w:rPr>
            </w:pPr>
          </w:p>
        </w:tc>
        <w:tc>
          <w:tcPr>
            <w:tcW w:w="0" w:type="auto"/>
            <w:vAlign w:val="center"/>
            <w:hideMark/>
          </w:tcPr>
          <w:p w14:paraId="374DFDE8" w14:textId="77777777" w:rsidR="00000000" w:rsidRDefault="00405D16">
            <w:pPr>
              <w:spacing w:after="100"/>
              <w:rPr>
                <w:rFonts w:eastAsia="Times New Roman"/>
                <w:sz w:val="20"/>
                <w:szCs w:val="20"/>
              </w:rPr>
            </w:pPr>
          </w:p>
        </w:tc>
        <w:tc>
          <w:tcPr>
            <w:tcW w:w="0" w:type="auto"/>
            <w:gridSpan w:val="3"/>
            <w:vAlign w:val="center"/>
            <w:hideMark/>
          </w:tcPr>
          <w:p w14:paraId="46128BEA" w14:textId="77777777" w:rsidR="00000000" w:rsidRDefault="00405D16">
            <w:pPr>
              <w:spacing w:after="100"/>
              <w:rPr>
                <w:rFonts w:eastAsia="Times New Roman"/>
                <w:sz w:val="20"/>
                <w:szCs w:val="20"/>
              </w:rPr>
            </w:pPr>
          </w:p>
        </w:tc>
        <w:tc>
          <w:tcPr>
            <w:tcW w:w="0" w:type="auto"/>
            <w:gridSpan w:val="3"/>
            <w:vAlign w:val="center"/>
            <w:hideMark/>
          </w:tcPr>
          <w:p w14:paraId="508E79A8" w14:textId="77777777" w:rsidR="00000000" w:rsidRDefault="00405D16">
            <w:pPr>
              <w:spacing w:after="100"/>
              <w:rPr>
                <w:rFonts w:eastAsia="Times New Roman"/>
                <w:sz w:val="20"/>
                <w:szCs w:val="20"/>
              </w:rPr>
            </w:pPr>
          </w:p>
        </w:tc>
        <w:tc>
          <w:tcPr>
            <w:tcW w:w="0" w:type="auto"/>
            <w:gridSpan w:val="3"/>
            <w:vAlign w:val="center"/>
            <w:hideMark/>
          </w:tcPr>
          <w:p w14:paraId="04DE0038" w14:textId="77777777" w:rsidR="00000000" w:rsidRDefault="00405D16">
            <w:pPr>
              <w:spacing w:after="100"/>
              <w:rPr>
                <w:rFonts w:eastAsia="Times New Roman"/>
                <w:sz w:val="20"/>
                <w:szCs w:val="20"/>
              </w:rPr>
            </w:pPr>
          </w:p>
        </w:tc>
        <w:tc>
          <w:tcPr>
            <w:tcW w:w="0" w:type="auto"/>
            <w:gridSpan w:val="3"/>
            <w:vAlign w:val="center"/>
            <w:hideMark/>
          </w:tcPr>
          <w:p w14:paraId="53BB242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67EF9F" w14:textId="77777777" w:rsidR="00000000" w:rsidRDefault="00405D16">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27608AB8" w14:textId="77777777" w:rsidR="00000000" w:rsidRDefault="00405D16">
            <w:pPr>
              <w:spacing w:after="100"/>
              <w:jc w:val="right"/>
              <w:rPr>
                <w:rFonts w:eastAsia="Times New Roman"/>
              </w:rPr>
            </w:pPr>
            <w:r>
              <w:rPr>
                <w:rFonts w:eastAsia="Times New Roman"/>
                <w:color w:val="000000"/>
                <w:sz w:val="18"/>
                <w:szCs w:val="18"/>
              </w:rPr>
              <w:t>5</w:t>
            </w:r>
          </w:p>
        </w:tc>
        <w:tc>
          <w:tcPr>
            <w:tcW w:w="0" w:type="auto"/>
            <w:gridSpan w:val="3"/>
            <w:vAlign w:val="center"/>
            <w:hideMark/>
          </w:tcPr>
          <w:p w14:paraId="3DB67429" w14:textId="77777777" w:rsidR="00000000" w:rsidRDefault="00405D16">
            <w:pPr>
              <w:spacing w:after="100"/>
              <w:jc w:val="right"/>
              <w:rPr>
                <w:rFonts w:eastAsia="Times New Roman"/>
              </w:rPr>
            </w:pPr>
          </w:p>
        </w:tc>
        <w:tc>
          <w:tcPr>
            <w:tcW w:w="0" w:type="auto"/>
            <w:gridSpan w:val="2"/>
            <w:vAlign w:val="center"/>
            <w:hideMark/>
          </w:tcPr>
          <w:p w14:paraId="1B930F08" w14:textId="77777777" w:rsidR="00000000" w:rsidRDefault="00405D16">
            <w:pPr>
              <w:spacing w:after="100"/>
              <w:rPr>
                <w:rFonts w:eastAsia="Times New Roman"/>
                <w:sz w:val="20"/>
                <w:szCs w:val="20"/>
              </w:rPr>
            </w:pPr>
          </w:p>
        </w:tc>
      </w:tr>
      <w:tr w:rsidR="00000000" w14:paraId="713E6C50" w14:textId="77777777">
        <w:trPr>
          <w:divId w:val="227809696"/>
        </w:trPr>
        <w:tc>
          <w:tcPr>
            <w:tcW w:w="0" w:type="auto"/>
            <w:gridSpan w:val="3"/>
            <w:shd w:val="clear" w:color="auto" w:fill="CCEEFF"/>
            <w:tcMar>
              <w:top w:w="30" w:type="dxa"/>
              <w:left w:w="20" w:type="dxa"/>
              <w:bottom w:w="30" w:type="dxa"/>
              <w:right w:w="20" w:type="dxa"/>
            </w:tcMar>
            <w:vAlign w:val="center"/>
            <w:hideMark/>
          </w:tcPr>
          <w:p w14:paraId="68ECD53D" w14:textId="77777777" w:rsidR="00000000" w:rsidRDefault="00405D16">
            <w:pPr>
              <w:spacing w:after="100"/>
              <w:rPr>
                <w:rFonts w:eastAsia="Times New Roman"/>
              </w:rPr>
            </w:pPr>
            <w:r>
              <w:rPr>
                <w:rFonts w:eastAsia="Times New Roman"/>
                <w:color w:val="000000"/>
                <w:sz w:val="18"/>
                <w:szCs w:val="18"/>
              </w:rPr>
              <w:t>Provision (benefit) for credit losses</w:t>
            </w:r>
          </w:p>
        </w:tc>
        <w:tc>
          <w:tcPr>
            <w:tcW w:w="0" w:type="auto"/>
            <w:gridSpan w:val="3"/>
            <w:shd w:val="clear" w:color="auto" w:fill="CCEEFF"/>
            <w:tcMar>
              <w:top w:w="0" w:type="dxa"/>
              <w:left w:w="20" w:type="dxa"/>
              <w:bottom w:w="0" w:type="dxa"/>
              <w:right w:w="20" w:type="dxa"/>
            </w:tcMar>
            <w:vAlign w:val="center"/>
            <w:hideMark/>
          </w:tcPr>
          <w:p w14:paraId="60BD6418"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CB5CBE0" w14:textId="77777777" w:rsidR="00000000" w:rsidRDefault="00405D16">
            <w:pPr>
              <w:spacing w:after="100"/>
              <w:jc w:val="right"/>
              <w:rPr>
                <w:rFonts w:eastAsia="Times New Roman"/>
              </w:rPr>
            </w:pPr>
            <w:r>
              <w:rPr>
                <w:rFonts w:eastAsia="Times New Roman"/>
                <w:b/>
                <w:bCs/>
                <w:color w:val="000000"/>
                <w:sz w:val="18"/>
                <w:szCs w:val="18"/>
              </w:rPr>
              <w:t>(342)</w:t>
            </w:r>
          </w:p>
        </w:tc>
        <w:tc>
          <w:tcPr>
            <w:tcW w:w="0" w:type="auto"/>
            <w:shd w:val="clear" w:color="auto" w:fill="CCEEFF"/>
            <w:tcMar>
              <w:top w:w="30" w:type="dxa"/>
              <w:left w:w="0" w:type="dxa"/>
              <w:bottom w:w="30" w:type="dxa"/>
              <w:right w:w="20" w:type="dxa"/>
            </w:tcMar>
            <w:vAlign w:val="center"/>
            <w:hideMark/>
          </w:tcPr>
          <w:p w14:paraId="455B447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5D646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EE112C9" w14:textId="77777777" w:rsidR="00000000" w:rsidRDefault="00405D16">
            <w:pPr>
              <w:spacing w:after="100"/>
              <w:jc w:val="right"/>
              <w:rPr>
                <w:rFonts w:eastAsia="Times New Roman"/>
              </w:rPr>
            </w:pPr>
            <w:r>
              <w:rPr>
                <w:rFonts w:eastAsia="Times New Roman"/>
                <w:color w:val="000000"/>
                <w:sz w:val="18"/>
                <w:szCs w:val="18"/>
              </w:rPr>
              <w:t>331 </w:t>
            </w:r>
          </w:p>
        </w:tc>
        <w:tc>
          <w:tcPr>
            <w:tcW w:w="0" w:type="auto"/>
            <w:shd w:val="clear" w:color="auto" w:fill="CCEEFF"/>
            <w:tcMar>
              <w:top w:w="30" w:type="dxa"/>
              <w:left w:w="0" w:type="dxa"/>
              <w:bottom w:w="30" w:type="dxa"/>
              <w:right w:w="20" w:type="dxa"/>
            </w:tcMar>
            <w:vAlign w:val="center"/>
            <w:hideMark/>
          </w:tcPr>
          <w:p w14:paraId="4B9AADA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0459E7"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29F9A6EB"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9856175"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CF8A869" w14:textId="77777777" w:rsidR="00000000" w:rsidRDefault="00405D16">
            <w:pPr>
              <w:spacing w:after="100"/>
              <w:jc w:val="right"/>
              <w:rPr>
                <w:rFonts w:eastAsia="Times New Roman"/>
              </w:rPr>
            </w:pPr>
            <w:r>
              <w:rPr>
                <w:rFonts w:eastAsia="Times New Roman"/>
                <w:b/>
                <w:bCs/>
                <w:color w:val="000000"/>
                <w:sz w:val="18"/>
                <w:szCs w:val="18"/>
              </w:rPr>
              <w:t>(2,325)</w:t>
            </w:r>
          </w:p>
        </w:tc>
        <w:tc>
          <w:tcPr>
            <w:tcW w:w="0" w:type="auto"/>
            <w:shd w:val="clear" w:color="auto" w:fill="CCEEFF"/>
            <w:tcMar>
              <w:top w:w="30" w:type="dxa"/>
              <w:left w:w="0" w:type="dxa"/>
              <w:bottom w:w="30" w:type="dxa"/>
              <w:right w:w="20" w:type="dxa"/>
            </w:tcMar>
            <w:vAlign w:val="center"/>
            <w:hideMark/>
          </w:tcPr>
          <w:p w14:paraId="2A6194F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9DADB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81F00DA" w14:textId="77777777" w:rsidR="00000000" w:rsidRDefault="00405D16">
            <w:pPr>
              <w:spacing w:after="100"/>
              <w:jc w:val="right"/>
              <w:rPr>
                <w:rFonts w:eastAsia="Times New Roman"/>
              </w:rPr>
            </w:pPr>
            <w:r>
              <w:rPr>
                <w:rFonts w:eastAsia="Times New Roman"/>
                <w:color w:val="000000"/>
                <w:sz w:val="18"/>
                <w:szCs w:val="18"/>
              </w:rPr>
              <w:t>10,000 </w:t>
            </w:r>
          </w:p>
        </w:tc>
        <w:tc>
          <w:tcPr>
            <w:tcW w:w="0" w:type="auto"/>
            <w:shd w:val="clear" w:color="auto" w:fill="CCEEFF"/>
            <w:tcMar>
              <w:top w:w="30" w:type="dxa"/>
              <w:left w:w="0" w:type="dxa"/>
              <w:bottom w:w="30" w:type="dxa"/>
              <w:right w:w="20" w:type="dxa"/>
            </w:tcMar>
            <w:vAlign w:val="center"/>
            <w:hideMark/>
          </w:tcPr>
          <w:p w14:paraId="68709943" w14:textId="77777777" w:rsidR="00000000" w:rsidRDefault="00405D16">
            <w:pPr>
              <w:spacing w:after="100"/>
              <w:jc w:val="right"/>
              <w:rPr>
                <w:rFonts w:eastAsia="Times New Roman"/>
              </w:rPr>
            </w:pPr>
          </w:p>
        </w:tc>
        <w:tc>
          <w:tcPr>
            <w:tcW w:w="0" w:type="auto"/>
            <w:vAlign w:val="center"/>
            <w:hideMark/>
          </w:tcPr>
          <w:p w14:paraId="42B49906" w14:textId="77777777" w:rsidR="00000000" w:rsidRDefault="00405D16">
            <w:pPr>
              <w:spacing w:after="100"/>
              <w:jc w:val="right"/>
              <w:rPr>
                <w:rFonts w:eastAsia="Times New Roman"/>
                <w:sz w:val="20"/>
                <w:szCs w:val="20"/>
              </w:rPr>
            </w:pPr>
          </w:p>
        </w:tc>
        <w:tc>
          <w:tcPr>
            <w:tcW w:w="0" w:type="auto"/>
            <w:vAlign w:val="center"/>
            <w:hideMark/>
          </w:tcPr>
          <w:p w14:paraId="255F546C" w14:textId="77777777" w:rsidR="00000000" w:rsidRDefault="00405D16">
            <w:pPr>
              <w:spacing w:after="100"/>
              <w:rPr>
                <w:rFonts w:eastAsia="Times New Roman"/>
                <w:sz w:val="20"/>
                <w:szCs w:val="20"/>
              </w:rPr>
            </w:pPr>
          </w:p>
        </w:tc>
        <w:tc>
          <w:tcPr>
            <w:tcW w:w="0" w:type="auto"/>
            <w:gridSpan w:val="3"/>
            <w:vAlign w:val="center"/>
            <w:hideMark/>
          </w:tcPr>
          <w:p w14:paraId="55367386" w14:textId="77777777" w:rsidR="00000000" w:rsidRDefault="00405D16">
            <w:pPr>
              <w:spacing w:after="100"/>
              <w:rPr>
                <w:rFonts w:eastAsia="Times New Roman"/>
                <w:sz w:val="20"/>
                <w:szCs w:val="20"/>
              </w:rPr>
            </w:pPr>
          </w:p>
        </w:tc>
        <w:tc>
          <w:tcPr>
            <w:tcW w:w="0" w:type="auto"/>
            <w:gridSpan w:val="3"/>
            <w:vAlign w:val="center"/>
            <w:hideMark/>
          </w:tcPr>
          <w:p w14:paraId="24FAAFAD" w14:textId="77777777" w:rsidR="00000000" w:rsidRDefault="00405D16">
            <w:pPr>
              <w:spacing w:after="100"/>
              <w:rPr>
                <w:rFonts w:eastAsia="Times New Roman"/>
                <w:sz w:val="20"/>
                <w:szCs w:val="20"/>
              </w:rPr>
            </w:pPr>
          </w:p>
        </w:tc>
        <w:tc>
          <w:tcPr>
            <w:tcW w:w="0" w:type="auto"/>
            <w:gridSpan w:val="3"/>
            <w:vAlign w:val="center"/>
            <w:hideMark/>
          </w:tcPr>
          <w:p w14:paraId="40324B13" w14:textId="77777777" w:rsidR="00000000" w:rsidRDefault="00405D16">
            <w:pPr>
              <w:spacing w:after="100"/>
              <w:rPr>
                <w:rFonts w:eastAsia="Times New Roman"/>
                <w:sz w:val="20"/>
                <w:szCs w:val="20"/>
              </w:rPr>
            </w:pPr>
          </w:p>
        </w:tc>
        <w:tc>
          <w:tcPr>
            <w:tcW w:w="0" w:type="auto"/>
            <w:gridSpan w:val="3"/>
            <w:vAlign w:val="center"/>
            <w:hideMark/>
          </w:tcPr>
          <w:p w14:paraId="6476FFD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413F62" w14:textId="77777777" w:rsidR="00000000" w:rsidRDefault="00405D16">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16296480"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4D014A6E" w14:textId="77777777" w:rsidR="00000000" w:rsidRDefault="00405D16">
            <w:pPr>
              <w:spacing w:after="100"/>
              <w:jc w:val="right"/>
              <w:rPr>
                <w:rFonts w:eastAsia="Times New Roman"/>
              </w:rPr>
            </w:pPr>
          </w:p>
        </w:tc>
        <w:tc>
          <w:tcPr>
            <w:tcW w:w="0" w:type="auto"/>
            <w:gridSpan w:val="2"/>
            <w:vAlign w:val="center"/>
            <w:hideMark/>
          </w:tcPr>
          <w:p w14:paraId="45914630" w14:textId="77777777" w:rsidR="00000000" w:rsidRDefault="00405D16">
            <w:pPr>
              <w:spacing w:after="100"/>
              <w:rPr>
                <w:rFonts w:eastAsia="Times New Roman"/>
                <w:sz w:val="20"/>
                <w:szCs w:val="20"/>
              </w:rPr>
            </w:pPr>
          </w:p>
        </w:tc>
      </w:tr>
      <w:tr w:rsidR="00000000" w14:paraId="050ED606" w14:textId="77777777">
        <w:trPr>
          <w:divId w:val="227809696"/>
        </w:trPr>
        <w:tc>
          <w:tcPr>
            <w:tcW w:w="0" w:type="auto"/>
            <w:gridSpan w:val="3"/>
            <w:shd w:val="clear" w:color="auto" w:fill="FFFFFF"/>
            <w:tcMar>
              <w:top w:w="30" w:type="dxa"/>
              <w:left w:w="20" w:type="dxa"/>
              <w:bottom w:w="30" w:type="dxa"/>
              <w:right w:w="20" w:type="dxa"/>
            </w:tcMar>
            <w:vAlign w:val="center"/>
            <w:hideMark/>
          </w:tcPr>
          <w:p w14:paraId="02CE20D8" w14:textId="77777777" w:rsidR="00000000" w:rsidRDefault="00405D16">
            <w:pPr>
              <w:spacing w:after="100"/>
              <w:rPr>
                <w:rFonts w:eastAsia="Times New Roman"/>
              </w:rPr>
            </w:pPr>
            <w:r>
              <w:rPr>
                <w:rFonts w:eastAsia="Times New Roman"/>
                <w:color w:val="000000"/>
                <w:sz w:val="18"/>
                <w:szCs w:val="18"/>
              </w:rPr>
              <w:t>Non-interest expense:</w:t>
            </w:r>
          </w:p>
        </w:tc>
        <w:tc>
          <w:tcPr>
            <w:tcW w:w="0" w:type="auto"/>
            <w:gridSpan w:val="3"/>
            <w:shd w:val="clear" w:color="auto" w:fill="FFFFFF"/>
            <w:tcMar>
              <w:top w:w="0" w:type="dxa"/>
              <w:left w:w="20" w:type="dxa"/>
              <w:bottom w:w="0" w:type="dxa"/>
              <w:right w:w="20" w:type="dxa"/>
            </w:tcMar>
            <w:vAlign w:val="center"/>
            <w:hideMark/>
          </w:tcPr>
          <w:p w14:paraId="38CEA19C"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1ABEC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15D8B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27F16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65894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4F9EB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87AD7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176F7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1B5CD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C5FB85" w14:textId="77777777" w:rsidR="00000000" w:rsidRDefault="00405D16">
            <w:pPr>
              <w:spacing w:after="100"/>
              <w:rPr>
                <w:rFonts w:eastAsia="Times New Roman"/>
                <w:sz w:val="20"/>
                <w:szCs w:val="20"/>
              </w:rPr>
            </w:pPr>
          </w:p>
        </w:tc>
        <w:tc>
          <w:tcPr>
            <w:tcW w:w="0" w:type="auto"/>
            <w:vAlign w:val="center"/>
            <w:hideMark/>
          </w:tcPr>
          <w:p w14:paraId="5E4F25D6" w14:textId="77777777" w:rsidR="00000000" w:rsidRDefault="00405D16">
            <w:pPr>
              <w:spacing w:after="100"/>
              <w:rPr>
                <w:rFonts w:eastAsia="Times New Roman"/>
                <w:sz w:val="20"/>
                <w:szCs w:val="20"/>
              </w:rPr>
            </w:pPr>
          </w:p>
        </w:tc>
        <w:tc>
          <w:tcPr>
            <w:tcW w:w="0" w:type="auto"/>
            <w:vAlign w:val="center"/>
            <w:hideMark/>
          </w:tcPr>
          <w:p w14:paraId="1D6B5AC9" w14:textId="77777777" w:rsidR="00000000" w:rsidRDefault="00405D16">
            <w:pPr>
              <w:spacing w:after="100"/>
              <w:rPr>
                <w:rFonts w:eastAsia="Times New Roman"/>
                <w:sz w:val="20"/>
                <w:szCs w:val="20"/>
              </w:rPr>
            </w:pPr>
          </w:p>
        </w:tc>
        <w:tc>
          <w:tcPr>
            <w:tcW w:w="0" w:type="auto"/>
            <w:gridSpan w:val="3"/>
            <w:vAlign w:val="center"/>
            <w:hideMark/>
          </w:tcPr>
          <w:p w14:paraId="3A8694E8" w14:textId="77777777" w:rsidR="00000000" w:rsidRDefault="00405D16">
            <w:pPr>
              <w:spacing w:after="100"/>
              <w:rPr>
                <w:rFonts w:eastAsia="Times New Roman"/>
                <w:sz w:val="20"/>
                <w:szCs w:val="20"/>
              </w:rPr>
            </w:pPr>
          </w:p>
        </w:tc>
        <w:tc>
          <w:tcPr>
            <w:tcW w:w="0" w:type="auto"/>
            <w:gridSpan w:val="3"/>
            <w:vAlign w:val="center"/>
            <w:hideMark/>
          </w:tcPr>
          <w:p w14:paraId="580B517C" w14:textId="77777777" w:rsidR="00000000" w:rsidRDefault="00405D16">
            <w:pPr>
              <w:spacing w:after="100"/>
              <w:rPr>
                <w:rFonts w:eastAsia="Times New Roman"/>
                <w:sz w:val="20"/>
                <w:szCs w:val="20"/>
              </w:rPr>
            </w:pPr>
          </w:p>
        </w:tc>
        <w:tc>
          <w:tcPr>
            <w:tcW w:w="0" w:type="auto"/>
            <w:gridSpan w:val="3"/>
            <w:vAlign w:val="center"/>
            <w:hideMark/>
          </w:tcPr>
          <w:p w14:paraId="4541EDA5" w14:textId="77777777" w:rsidR="00000000" w:rsidRDefault="00405D16">
            <w:pPr>
              <w:spacing w:after="100"/>
              <w:rPr>
                <w:rFonts w:eastAsia="Times New Roman"/>
                <w:sz w:val="20"/>
                <w:szCs w:val="20"/>
              </w:rPr>
            </w:pPr>
          </w:p>
        </w:tc>
        <w:tc>
          <w:tcPr>
            <w:tcW w:w="0" w:type="auto"/>
            <w:gridSpan w:val="3"/>
            <w:vAlign w:val="center"/>
            <w:hideMark/>
          </w:tcPr>
          <w:p w14:paraId="0D46A67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6DD13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FF1F18" w14:textId="77777777" w:rsidR="00000000" w:rsidRDefault="00405D16">
            <w:pPr>
              <w:spacing w:after="100"/>
              <w:rPr>
                <w:rFonts w:eastAsia="Times New Roman"/>
                <w:sz w:val="20"/>
                <w:szCs w:val="20"/>
              </w:rPr>
            </w:pPr>
          </w:p>
        </w:tc>
        <w:tc>
          <w:tcPr>
            <w:tcW w:w="0" w:type="auto"/>
            <w:gridSpan w:val="3"/>
            <w:vAlign w:val="center"/>
            <w:hideMark/>
          </w:tcPr>
          <w:p w14:paraId="03588A7A" w14:textId="77777777" w:rsidR="00000000" w:rsidRDefault="00405D16">
            <w:pPr>
              <w:spacing w:after="100"/>
              <w:rPr>
                <w:rFonts w:eastAsia="Times New Roman"/>
                <w:sz w:val="20"/>
                <w:szCs w:val="20"/>
              </w:rPr>
            </w:pPr>
          </w:p>
        </w:tc>
        <w:tc>
          <w:tcPr>
            <w:tcW w:w="0" w:type="auto"/>
            <w:gridSpan w:val="2"/>
            <w:vAlign w:val="center"/>
            <w:hideMark/>
          </w:tcPr>
          <w:p w14:paraId="76C52AFB" w14:textId="77777777" w:rsidR="00000000" w:rsidRDefault="00405D16">
            <w:pPr>
              <w:spacing w:after="100"/>
              <w:rPr>
                <w:rFonts w:eastAsia="Times New Roman"/>
                <w:sz w:val="20"/>
                <w:szCs w:val="20"/>
              </w:rPr>
            </w:pPr>
          </w:p>
        </w:tc>
      </w:tr>
      <w:tr w:rsidR="00000000" w14:paraId="5D237963" w14:textId="77777777">
        <w:trPr>
          <w:divId w:val="227809696"/>
        </w:trPr>
        <w:tc>
          <w:tcPr>
            <w:tcW w:w="0" w:type="auto"/>
            <w:gridSpan w:val="3"/>
            <w:shd w:val="clear" w:color="auto" w:fill="CCEEFF"/>
            <w:tcMar>
              <w:top w:w="30" w:type="dxa"/>
              <w:left w:w="245" w:type="dxa"/>
              <w:bottom w:w="30" w:type="dxa"/>
              <w:right w:w="20" w:type="dxa"/>
            </w:tcMar>
            <w:vAlign w:val="center"/>
            <w:hideMark/>
          </w:tcPr>
          <w:p w14:paraId="25355AF4" w14:textId="77777777" w:rsidR="00000000" w:rsidRDefault="00405D16">
            <w:pPr>
              <w:spacing w:after="100"/>
              <w:rPr>
                <w:rFonts w:eastAsia="Times New Roman"/>
              </w:rPr>
            </w:pPr>
            <w:r>
              <w:rPr>
                <w:rFonts w:eastAsia="Times New Roman"/>
                <w:color w:val="000000"/>
                <w:sz w:val="18"/>
                <w:szCs w:val="18"/>
              </w:rPr>
              <w:t>Marketing</w:t>
            </w:r>
          </w:p>
        </w:tc>
        <w:tc>
          <w:tcPr>
            <w:tcW w:w="0" w:type="auto"/>
            <w:gridSpan w:val="3"/>
            <w:shd w:val="clear" w:color="auto" w:fill="CCEEFF"/>
            <w:tcMar>
              <w:top w:w="0" w:type="dxa"/>
              <w:left w:w="20" w:type="dxa"/>
              <w:bottom w:w="0" w:type="dxa"/>
              <w:right w:w="20" w:type="dxa"/>
            </w:tcMar>
            <w:vAlign w:val="center"/>
            <w:hideMark/>
          </w:tcPr>
          <w:p w14:paraId="0AEF1404"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0DF9AF9" w14:textId="77777777" w:rsidR="00000000" w:rsidRDefault="00405D16">
            <w:pPr>
              <w:spacing w:after="100"/>
              <w:jc w:val="right"/>
              <w:rPr>
                <w:rFonts w:eastAsia="Times New Roman"/>
              </w:rPr>
            </w:pPr>
            <w:r>
              <w:rPr>
                <w:rFonts w:eastAsia="Times New Roman"/>
                <w:b/>
                <w:bCs/>
                <w:color w:val="000000"/>
                <w:sz w:val="18"/>
                <w:szCs w:val="18"/>
              </w:rPr>
              <w:t>751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D48FAC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CA7B1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E0FB7F" w14:textId="77777777" w:rsidR="00000000" w:rsidRDefault="00405D16">
            <w:pPr>
              <w:spacing w:after="100"/>
              <w:jc w:val="right"/>
              <w:rPr>
                <w:rFonts w:eastAsia="Times New Roman"/>
              </w:rPr>
            </w:pPr>
            <w:r>
              <w:rPr>
                <w:rFonts w:eastAsia="Times New Roman"/>
                <w:color w:val="000000"/>
                <w:sz w:val="18"/>
                <w:szCs w:val="18"/>
              </w:rPr>
              <w:t>283 </w:t>
            </w:r>
          </w:p>
        </w:tc>
        <w:tc>
          <w:tcPr>
            <w:tcW w:w="0" w:type="auto"/>
            <w:shd w:val="clear" w:color="auto" w:fill="CCEEFF"/>
            <w:tcMar>
              <w:top w:w="30" w:type="dxa"/>
              <w:left w:w="0" w:type="dxa"/>
              <w:bottom w:w="30" w:type="dxa"/>
              <w:right w:w="20" w:type="dxa"/>
            </w:tcMar>
            <w:vAlign w:val="bottom"/>
            <w:hideMark/>
          </w:tcPr>
          <w:p w14:paraId="371CFE5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5558B1"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5B387463" w14:textId="77777777" w:rsidR="00000000" w:rsidRDefault="00405D16">
            <w:pPr>
              <w:spacing w:after="100"/>
              <w:jc w:val="right"/>
              <w:rPr>
                <w:rFonts w:eastAsia="Times New Roman"/>
              </w:rPr>
            </w:pPr>
            <w:r>
              <w:rPr>
                <w:rFonts w:eastAsia="Times New Roman"/>
                <w:color w:val="000000"/>
                <w:sz w:val="18"/>
                <w:szCs w:val="18"/>
              </w:rPr>
              <w:t>165</w:t>
            </w:r>
          </w:p>
        </w:tc>
        <w:tc>
          <w:tcPr>
            <w:tcW w:w="0" w:type="auto"/>
            <w:gridSpan w:val="3"/>
            <w:shd w:val="clear" w:color="auto" w:fill="CCEEFF"/>
            <w:tcMar>
              <w:top w:w="0" w:type="dxa"/>
              <w:left w:w="20" w:type="dxa"/>
              <w:bottom w:w="0" w:type="dxa"/>
              <w:right w:w="20" w:type="dxa"/>
            </w:tcMar>
            <w:vAlign w:val="center"/>
            <w:hideMark/>
          </w:tcPr>
          <w:p w14:paraId="1FD5DDFF"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AB245EB" w14:textId="77777777" w:rsidR="00000000" w:rsidRDefault="00405D16">
            <w:pPr>
              <w:spacing w:after="100"/>
              <w:jc w:val="right"/>
              <w:rPr>
                <w:rFonts w:eastAsia="Times New Roman"/>
              </w:rPr>
            </w:pPr>
            <w:r>
              <w:rPr>
                <w:rFonts w:eastAsia="Times New Roman"/>
                <w:b/>
                <w:bCs/>
                <w:color w:val="000000"/>
                <w:sz w:val="18"/>
                <w:szCs w:val="18"/>
              </w:rPr>
              <w:t>1,872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43130B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27EA3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C50860F" w14:textId="77777777" w:rsidR="00000000" w:rsidRDefault="00405D16">
            <w:pPr>
              <w:spacing w:after="100"/>
              <w:jc w:val="right"/>
              <w:rPr>
                <w:rFonts w:eastAsia="Times New Roman"/>
              </w:rPr>
            </w:pPr>
            <w:r>
              <w:rPr>
                <w:rFonts w:eastAsia="Times New Roman"/>
                <w:color w:val="000000"/>
                <w:sz w:val="18"/>
                <w:szCs w:val="18"/>
              </w:rPr>
              <w:t>1,047 </w:t>
            </w:r>
          </w:p>
        </w:tc>
        <w:tc>
          <w:tcPr>
            <w:tcW w:w="0" w:type="auto"/>
            <w:shd w:val="clear" w:color="auto" w:fill="CCEEFF"/>
            <w:tcMar>
              <w:top w:w="30" w:type="dxa"/>
              <w:left w:w="0" w:type="dxa"/>
              <w:bottom w:w="30" w:type="dxa"/>
              <w:right w:w="20" w:type="dxa"/>
            </w:tcMar>
            <w:vAlign w:val="center"/>
            <w:hideMark/>
          </w:tcPr>
          <w:p w14:paraId="1833DE12" w14:textId="77777777" w:rsidR="00000000" w:rsidRDefault="00405D16">
            <w:pPr>
              <w:spacing w:after="100"/>
              <w:jc w:val="right"/>
              <w:rPr>
                <w:rFonts w:eastAsia="Times New Roman"/>
              </w:rPr>
            </w:pPr>
          </w:p>
        </w:tc>
        <w:tc>
          <w:tcPr>
            <w:tcW w:w="0" w:type="auto"/>
            <w:vAlign w:val="center"/>
            <w:hideMark/>
          </w:tcPr>
          <w:p w14:paraId="18DB0C3E" w14:textId="77777777" w:rsidR="00000000" w:rsidRDefault="00405D16">
            <w:pPr>
              <w:spacing w:after="100"/>
              <w:jc w:val="right"/>
              <w:rPr>
                <w:rFonts w:eastAsia="Times New Roman"/>
                <w:sz w:val="20"/>
                <w:szCs w:val="20"/>
              </w:rPr>
            </w:pPr>
          </w:p>
        </w:tc>
        <w:tc>
          <w:tcPr>
            <w:tcW w:w="0" w:type="auto"/>
            <w:vAlign w:val="center"/>
            <w:hideMark/>
          </w:tcPr>
          <w:p w14:paraId="267166BD" w14:textId="77777777" w:rsidR="00000000" w:rsidRDefault="00405D16">
            <w:pPr>
              <w:spacing w:after="100"/>
              <w:rPr>
                <w:rFonts w:eastAsia="Times New Roman"/>
                <w:sz w:val="20"/>
                <w:szCs w:val="20"/>
              </w:rPr>
            </w:pPr>
          </w:p>
        </w:tc>
        <w:tc>
          <w:tcPr>
            <w:tcW w:w="0" w:type="auto"/>
            <w:gridSpan w:val="3"/>
            <w:vAlign w:val="center"/>
            <w:hideMark/>
          </w:tcPr>
          <w:p w14:paraId="677F2DAF" w14:textId="77777777" w:rsidR="00000000" w:rsidRDefault="00405D16">
            <w:pPr>
              <w:spacing w:after="100"/>
              <w:rPr>
                <w:rFonts w:eastAsia="Times New Roman"/>
                <w:sz w:val="20"/>
                <w:szCs w:val="20"/>
              </w:rPr>
            </w:pPr>
          </w:p>
        </w:tc>
        <w:tc>
          <w:tcPr>
            <w:tcW w:w="0" w:type="auto"/>
            <w:gridSpan w:val="3"/>
            <w:vAlign w:val="center"/>
            <w:hideMark/>
          </w:tcPr>
          <w:p w14:paraId="1508884A" w14:textId="77777777" w:rsidR="00000000" w:rsidRDefault="00405D16">
            <w:pPr>
              <w:spacing w:after="100"/>
              <w:rPr>
                <w:rFonts w:eastAsia="Times New Roman"/>
                <w:sz w:val="20"/>
                <w:szCs w:val="20"/>
              </w:rPr>
            </w:pPr>
          </w:p>
        </w:tc>
        <w:tc>
          <w:tcPr>
            <w:tcW w:w="0" w:type="auto"/>
            <w:gridSpan w:val="3"/>
            <w:vAlign w:val="center"/>
            <w:hideMark/>
          </w:tcPr>
          <w:p w14:paraId="03614013" w14:textId="77777777" w:rsidR="00000000" w:rsidRDefault="00405D16">
            <w:pPr>
              <w:spacing w:after="100"/>
              <w:rPr>
                <w:rFonts w:eastAsia="Times New Roman"/>
                <w:sz w:val="20"/>
                <w:szCs w:val="20"/>
              </w:rPr>
            </w:pPr>
          </w:p>
        </w:tc>
        <w:tc>
          <w:tcPr>
            <w:tcW w:w="0" w:type="auto"/>
            <w:gridSpan w:val="3"/>
            <w:vAlign w:val="center"/>
            <w:hideMark/>
          </w:tcPr>
          <w:p w14:paraId="44E3CD6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4CB519" w14:textId="77777777" w:rsidR="00000000" w:rsidRDefault="00405D16">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03CC6C82" w14:textId="77777777" w:rsidR="00000000" w:rsidRDefault="00405D16">
            <w:pPr>
              <w:spacing w:after="100"/>
              <w:jc w:val="right"/>
              <w:rPr>
                <w:rFonts w:eastAsia="Times New Roman"/>
              </w:rPr>
            </w:pPr>
            <w:r>
              <w:rPr>
                <w:rFonts w:eastAsia="Times New Roman"/>
                <w:color w:val="000000"/>
                <w:sz w:val="18"/>
                <w:szCs w:val="18"/>
              </w:rPr>
              <w:t>79</w:t>
            </w:r>
          </w:p>
        </w:tc>
        <w:tc>
          <w:tcPr>
            <w:tcW w:w="0" w:type="auto"/>
            <w:gridSpan w:val="3"/>
            <w:vAlign w:val="center"/>
            <w:hideMark/>
          </w:tcPr>
          <w:p w14:paraId="546B6468" w14:textId="77777777" w:rsidR="00000000" w:rsidRDefault="00405D16">
            <w:pPr>
              <w:spacing w:after="100"/>
              <w:jc w:val="right"/>
              <w:rPr>
                <w:rFonts w:eastAsia="Times New Roman"/>
              </w:rPr>
            </w:pPr>
          </w:p>
        </w:tc>
        <w:tc>
          <w:tcPr>
            <w:tcW w:w="0" w:type="auto"/>
            <w:gridSpan w:val="2"/>
            <w:vAlign w:val="center"/>
            <w:hideMark/>
          </w:tcPr>
          <w:p w14:paraId="36F7D7ED" w14:textId="77777777" w:rsidR="00000000" w:rsidRDefault="00405D16">
            <w:pPr>
              <w:spacing w:after="100"/>
              <w:rPr>
                <w:rFonts w:eastAsia="Times New Roman"/>
                <w:sz w:val="20"/>
                <w:szCs w:val="20"/>
              </w:rPr>
            </w:pPr>
          </w:p>
        </w:tc>
      </w:tr>
      <w:tr w:rsidR="00000000" w14:paraId="30FC10E2" w14:textId="77777777">
        <w:trPr>
          <w:divId w:val="227809696"/>
        </w:trPr>
        <w:tc>
          <w:tcPr>
            <w:tcW w:w="0" w:type="auto"/>
            <w:gridSpan w:val="3"/>
            <w:shd w:val="clear" w:color="auto" w:fill="FFFFFF"/>
            <w:tcMar>
              <w:top w:w="30" w:type="dxa"/>
              <w:left w:w="245" w:type="dxa"/>
              <w:bottom w:w="30" w:type="dxa"/>
              <w:right w:w="20" w:type="dxa"/>
            </w:tcMar>
            <w:vAlign w:val="center"/>
            <w:hideMark/>
          </w:tcPr>
          <w:p w14:paraId="34F4A016" w14:textId="77777777" w:rsidR="00000000" w:rsidRDefault="00405D16">
            <w:pPr>
              <w:spacing w:after="100"/>
              <w:rPr>
                <w:rFonts w:eastAsia="Times New Roman"/>
              </w:rPr>
            </w:pPr>
            <w:r>
              <w:rPr>
                <w:rFonts w:eastAsia="Times New Roman"/>
                <w:color w:val="000000"/>
                <w:sz w:val="18"/>
                <w:szCs w:val="18"/>
              </w:rPr>
              <w:t>Operating expense</w:t>
            </w:r>
          </w:p>
        </w:tc>
        <w:tc>
          <w:tcPr>
            <w:tcW w:w="0" w:type="auto"/>
            <w:gridSpan w:val="3"/>
            <w:shd w:val="clear" w:color="auto" w:fill="FFFFFF"/>
            <w:tcMar>
              <w:top w:w="0" w:type="dxa"/>
              <w:left w:w="20" w:type="dxa"/>
              <w:bottom w:w="0" w:type="dxa"/>
              <w:right w:w="20" w:type="dxa"/>
            </w:tcMar>
            <w:vAlign w:val="center"/>
            <w:hideMark/>
          </w:tcPr>
          <w:p w14:paraId="27AE2CA8"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FF3F981" w14:textId="77777777" w:rsidR="00000000" w:rsidRDefault="00405D16">
            <w:pPr>
              <w:spacing w:after="100"/>
              <w:jc w:val="right"/>
              <w:rPr>
                <w:rFonts w:eastAsia="Times New Roman"/>
              </w:rPr>
            </w:pPr>
            <w:r>
              <w:rPr>
                <w:rFonts w:eastAsia="Times New Roman"/>
                <w:b/>
                <w:bCs/>
                <w:color w:val="000000"/>
                <w:sz w:val="18"/>
                <w:szCs w:val="18"/>
              </w:rPr>
              <w:t>3,435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DB7A6D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88BCA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DB9589D" w14:textId="77777777" w:rsidR="00000000" w:rsidRDefault="00405D16">
            <w:pPr>
              <w:spacing w:after="100"/>
              <w:jc w:val="right"/>
              <w:rPr>
                <w:rFonts w:eastAsia="Times New Roman"/>
              </w:rPr>
            </w:pPr>
            <w:r>
              <w:rPr>
                <w:rFonts w:eastAsia="Times New Roman"/>
                <w:color w:val="000000"/>
                <w:sz w:val="18"/>
                <w:szCs w:val="18"/>
              </w:rPr>
              <w:t>3,265 </w:t>
            </w:r>
          </w:p>
        </w:tc>
        <w:tc>
          <w:tcPr>
            <w:tcW w:w="0" w:type="auto"/>
            <w:shd w:val="clear" w:color="auto" w:fill="FFFFFF"/>
            <w:tcMar>
              <w:top w:w="30" w:type="dxa"/>
              <w:left w:w="0" w:type="dxa"/>
              <w:bottom w:w="30" w:type="dxa"/>
              <w:right w:w="20" w:type="dxa"/>
            </w:tcMar>
            <w:vAlign w:val="center"/>
            <w:hideMark/>
          </w:tcPr>
          <w:p w14:paraId="1A8936B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049606"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53FC169B" w14:textId="77777777" w:rsidR="00000000" w:rsidRDefault="00405D16">
            <w:pPr>
              <w:spacing w:after="100"/>
              <w:jc w:val="right"/>
              <w:rPr>
                <w:rFonts w:eastAsia="Times New Roman"/>
              </w:rPr>
            </w:pPr>
            <w:r>
              <w:rPr>
                <w:rFonts w:eastAsia="Times New Roman"/>
                <w:color w:val="000000"/>
                <w:sz w:val="18"/>
                <w:szCs w:val="18"/>
              </w:rPr>
              <w:t>5</w:t>
            </w:r>
          </w:p>
        </w:tc>
        <w:tc>
          <w:tcPr>
            <w:tcW w:w="0" w:type="auto"/>
            <w:gridSpan w:val="3"/>
            <w:shd w:val="clear" w:color="auto" w:fill="FFFFFF"/>
            <w:tcMar>
              <w:top w:w="0" w:type="dxa"/>
              <w:left w:w="20" w:type="dxa"/>
              <w:bottom w:w="0" w:type="dxa"/>
              <w:right w:w="20" w:type="dxa"/>
            </w:tcMar>
            <w:vAlign w:val="center"/>
            <w:hideMark/>
          </w:tcPr>
          <w:p w14:paraId="08FC1B84"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AB85D4F" w14:textId="77777777" w:rsidR="00000000" w:rsidRDefault="00405D16">
            <w:pPr>
              <w:spacing w:after="100"/>
              <w:jc w:val="right"/>
              <w:rPr>
                <w:rFonts w:eastAsia="Times New Roman"/>
              </w:rPr>
            </w:pPr>
            <w:r>
              <w:rPr>
                <w:rFonts w:eastAsia="Times New Roman"/>
                <w:b/>
                <w:bCs/>
                <w:color w:val="000000"/>
                <w:sz w:val="18"/>
                <w:szCs w:val="18"/>
              </w:rPr>
              <w:t>10,020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DE08F0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DC6FB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5B592D9" w14:textId="77777777" w:rsidR="00000000" w:rsidRDefault="00405D16">
            <w:pPr>
              <w:spacing w:after="100"/>
              <w:jc w:val="right"/>
              <w:rPr>
                <w:rFonts w:eastAsia="Times New Roman"/>
              </w:rPr>
            </w:pPr>
            <w:r>
              <w:rPr>
                <w:rFonts w:eastAsia="Times New Roman"/>
                <w:color w:val="000000"/>
                <w:sz w:val="18"/>
                <w:szCs w:val="18"/>
              </w:rPr>
              <w:t>10,000 </w:t>
            </w:r>
          </w:p>
        </w:tc>
        <w:tc>
          <w:tcPr>
            <w:tcW w:w="0" w:type="auto"/>
            <w:shd w:val="clear" w:color="auto" w:fill="FFFFFF"/>
            <w:tcMar>
              <w:top w:w="30" w:type="dxa"/>
              <w:left w:w="0" w:type="dxa"/>
              <w:bottom w:w="30" w:type="dxa"/>
              <w:right w:w="20" w:type="dxa"/>
            </w:tcMar>
            <w:vAlign w:val="center"/>
            <w:hideMark/>
          </w:tcPr>
          <w:p w14:paraId="21CF557E" w14:textId="77777777" w:rsidR="00000000" w:rsidRDefault="00405D16">
            <w:pPr>
              <w:spacing w:after="100"/>
              <w:jc w:val="right"/>
              <w:rPr>
                <w:rFonts w:eastAsia="Times New Roman"/>
              </w:rPr>
            </w:pPr>
          </w:p>
        </w:tc>
        <w:tc>
          <w:tcPr>
            <w:tcW w:w="0" w:type="auto"/>
            <w:vAlign w:val="center"/>
            <w:hideMark/>
          </w:tcPr>
          <w:p w14:paraId="2A0F8144" w14:textId="77777777" w:rsidR="00000000" w:rsidRDefault="00405D16">
            <w:pPr>
              <w:spacing w:after="100"/>
              <w:jc w:val="right"/>
              <w:rPr>
                <w:rFonts w:eastAsia="Times New Roman"/>
                <w:sz w:val="20"/>
                <w:szCs w:val="20"/>
              </w:rPr>
            </w:pPr>
          </w:p>
        </w:tc>
        <w:tc>
          <w:tcPr>
            <w:tcW w:w="0" w:type="auto"/>
            <w:vAlign w:val="center"/>
            <w:hideMark/>
          </w:tcPr>
          <w:p w14:paraId="2FDED3EA" w14:textId="77777777" w:rsidR="00000000" w:rsidRDefault="00405D16">
            <w:pPr>
              <w:spacing w:after="100"/>
              <w:rPr>
                <w:rFonts w:eastAsia="Times New Roman"/>
                <w:sz w:val="20"/>
                <w:szCs w:val="20"/>
              </w:rPr>
            </w:pPr>
          </w:p>
        </w:tc>
        <w:tc>
          <w:tcPr>
            <w:tcW w:w="0" w:type="auto"/>
            <w:gridSpan w:val="3"/>
            <w:vAlign w:val="center"/>
            <w:hideMark/>
          </w:tcPr>
          <w:p w14:paraId="1274730E" w14:textId="77777777" w:rsidR="00000000" w:rsidRDefault="00405D16">
            <w:pPr>
              <w:spacing w:after="100"/>
              <w:rPr>
                <w:rFonts w:eastAsia="Times New Roman"/>
                <w:sz w:val="20"/>
                <w:szCs w:val="20"/>
              </w:rPr>
            </w:pPr>
          </w:p>
        </w:tc>
        <w:tc>
          <w:tcPr>
            <w:tcW w:w="0" w:type="auto"/>
            <w:gridSpan w:val="3"/>
            <w:vAlign w:val="center"/>
            <w:hideMark/>
          </w:tcPr>
          <w:p w14:paraId="186E98A9" w14:textId="77777777" w:rsidR="00000000" w:rsidRDefault="00405D16">
            <w:pPr>
              <w:spacing w:after="100"/>
              <w:rPr>
                <w:rFonts w:eastAsia="Times New Roman"/>
                <w:sz w:val="20"/>
                <w:szCs w:val="20"/>
              </w:rPr>
            </w:pPr>
          </w:p>
        </w:tc>
        <w:tc>
          <w:tcPr>
            <w:tcW w:w="0" w:type="auto"/>
            <w:gridSpan w:val="3"/>
            <w:vAlign w:val="center"/>
            <w:hideMark/>
          </w:tcPr>
          <w:p w14:paraId="65E34430" w14:textId="77777777" w:rsidR="00000000" w:rsidRDefault="00405D16">
            <w:pPr>
              <w:spacing w:after="100"/>
              <w:rPr>
                <w:rFonts w:eastAsia="Times New Roman"/>
                <w:sz w:val="20"/>
                <w:szCs w:val="20"/>
              </w:rPr>
            </w:pPr>
          </w:p>
        </w:tc>
        <w:tc>
          <w:tcPr>
            <w:tcW w:w="0" w:type="auto"/>
            <w:gridSpan w:val="3"/>
            <w:vAlign w:val="center"/>
            <w:hideMark/>
          </w:tcPr>
          <w:p w14:paraId="5ABBD98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93EB33" w14:textId="77777777" w:rsidR="00000000" w:rsidRDefault="00405D16">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0CB2EC5B"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47221708" w14:textId="77777777" w:rsidR="00000000" w:rsidRDefault="00405D16">
            <w:pPr>
              <w:spacing w:after="100"/>
              <w:jc w:val="right"/>
              <w:rPr>
                <w:rFonts w:eastAsia="Times New Roman"/>
              </w:rPr>
            </w:pPr>
          </w:p>
        </w:tc>
        <w:tc>
          <w:tcPr>
            <w:tcW w:w="0" w:type="auto"/>
            <w:gridSpan w:val="2"/>
            <w:vAlign w:val="center"/>
            <w:hideMark/>
          </w:tcPr>
          <w:p w14:paraId="01DA5BB0" w14:textId="77777777" w:rsidR="00000000" w:rsidRDefault="00405D16">
            <w:pPr>
              <w:spacing w:after="100"/>
              <w:rPr>
                <w:rFonts w:eastAsia="Times New Roman"/>
                <w:sz w:val="20"/>
                <w:szCs w:val="20"/>
              </w:rPr>
            </w:pPr>
          </w:p>
        </w:tc>
      </w:tr>
      <w:tr w:rsidR="00000000" w14:paraId="02E3FD5B" w14:textId="77777777">
        <w:trPr>
          <w:divId w:val="227809696"/>
        </w:trPr>
        <w:tc>
          <w:tcPr>
            <w:tcW w:w="0" w:type="auto"/>
            <w:gridSpan w:val="3"/>
            <w:shd w:val="clear" w:color="auto" w:fill="CCEEFF"/>
            <w:tcMar>
              <w:top w:w="30" w:type="dxa"/>
              <w:left w:w="20" w:type="dxa"/>
              <w:bottom w:w="30" w:type="dxa"/>
              <w:right w:w="20" w:type="dxa"/>
            </w:tcMar>
            <w:vAlign w:val="center"/>
            <w:hideMark/>
          </w:tcPr>
          <w:p w14:paraId="51206C72" w14:textId="77777777" w:rsidR="00000000" w:rsidRDefault="00405D16">
            <w:pPr>
              <w:spacing w:after="100"/>
              <w:rPr>
                <w:rFonts w:eastAsia="Times New Roman"/>
              </w:rPr>
            </w:pPr>
            <w:r>
              <w:rPr>
                <w:rFonts w:eastAsia="Times New Roman"/>
                <w:color w:val="000000"/>
                <w:sz w:val="18"/>
                <w:szCs w:val="18"/>
              </w:rPr>
              <w:t>Total non-interest expense</w:t>
            </w:r>
          </w:p>
        </w:tc>
        <w:tc>
          <w:tcPr>
            <w:tcW w:w="0" w:type="auto"/>
            <w:gridSpan w:val="3"/>
            <w:shd w:val="clear" w:color="auto" w:fill="CCEEFF"/>
            <w:tcMar>
              <w:top w:w="0" w:type="dxa"/>
              <w:left w:w="20" w:type="dxa"/>
              <w:bottom w:w="0" w:type="dxa"/>
              <w:right w:w="20" w:type="dxa"/>
            </w:tcMar>
            <w:vAlign w:val="center"/>
            <w:hideMark/>
          </w:tcPr>
          <w:p w14:paraId="63ED20B0"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B0BE086" w14:textId="77777777" w:rsidR="00000000" w:rsidRDefault="00405D16">
            <w:pPr>
              <w:spacing w:after="100"/>
              <w:jc w:val="right"/>
              <w:rPr>
                <w:rFonts w:eastAsia="Times New Roman"/>
              </w:rPr>
            </w:pPr>
            <w:r>
              <w:rPr>
                <w:rFonts w:eastAsia="Times New Roman"/>
                <w:b/>
                <w:bCs/>
                <w:color w:val="000000"/>
                <w:sz w:val="18"/>
                <w:szCs w:val="18"/>
              </w:rPr>
              <w:t>4,186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1B12D5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24AF47"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B6526BD" w14:textId="77777777" w:rsidR="00000000" w:rsidRDefault="00405D16">
            <w:pPr>
              <w:spacing w:after="100"/>
              <w:jc w:val="right"/>
              <w:rPr>
                <w:rFonts w:eastAsia="Times New Roman"/>
              </w:rPr>
            </w:pPr>
            <w:r>
              <w:rPr>
                <w:rFonts w:eastAsia="Times New Roman"/>
                <w:color w:val="000000"/>
                <w:sz w:val="18"/>
                <w:szCs w:val="18"/>
              </w:rPr>
              <w:t>3,548 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28BE28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7DFB8F"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4B285E5C" w14:textId="77777777" w:rsidR="00000000" w:rsidRDefault="00405D16">
            <w:pPr>
              <w:spacing w:after="100"/>
              <w:jc w:val="right"/>
              <w:rPr>
                <w:rFonts w:eastAsia="Times New Roman"/>
              </w:rPr>
            </w:pPr>
            <w:r>
              <w:rPr>
                <w:rFonts w:eastAsia="Times New Roman"/>
                <w:color w:val="000000"/>
                <w:sz w:val="18"/>
                <w:szCs w:val="18"/>
              </w:rPr>
              <w:t>18</w:t>
            </w:r>
          </w:p>
        </w:tc>
        <w:tc>
          <w:tcPr>
            <w:tcW w:w="0" w:type="auto"/>
            <w:gridSpan w:val="3"/>
            <w:shd w:val="clear" w:color="auto" w:fill="CCEEFF"/>
            <w:tcMar>
              <w:top w:w="0" w:type="dxa"/>
              <w:left w:w="20" w:type="dxa"/>
              <w:bottom w:w="0" w:type="dxa"/>
              <w:right w:w="20" w:type="dxa"/>
            </w:tcMar>
            <w:vAlign w:val="center"/>
            <w:hideMark/>
          </w:tcPr>
          <w:p w14:paraId="66B8DF36" w14:textId="77777777" w:rsidR="00000000" w:rsidRDefault="00405D16">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D581B1E" w14:textId="77777777" w:rsidR="00000000" w:rsidRDefault="00405D16">
            <w:pPr>
              <w:spacing w:after="100"/>
              <w:jc w:val="right"/>
              <w:rPr>
                <w:rFonts w:eastAsia="Times New Roman"/>
              </w:rPr>
            </w:pPr>
            <w:r>
              <w:rPr>
                <w:rFonts w:eastAsia="Times New Roman"/>
                <w:b/>
                <w:bCs/>
                <w:color w:val="000000"/>
                <w:sz w:val="18"/>
                <w:szCs w:val="18"/>
              </w:rPr>
              <w:t>11,892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8153B7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964D5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E211282" w14:textId="77777777" w:rsidR="00000000" w:rsidRDefault="00405D16">
            <w:pPr>
              <w:spacing w:after="100"/>
              <w:jc w:val="right"/>
              <w:rPr>
                <w:rFonts w:eastAsia="Times New Roman"/>
              </w:rPr>
            </w:pPr>
            <w:r>
              <w:rPr>
                <w:rFonts w:eastAsia="Times New Roman"/>
                <w:color w:val="000000"/>
                <w:sz w:val="18"/>
                <w:szCs w:val="18"/>
              </w:rPr>
              <w:t>11,047 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5D00F9F" w14:textId="77777777" w:rsidR="00000000" w:rsidRDefault="00405D16">
            <w:pPr>
              <w:spacing w:after="100"/>
              <w:jc w:val="right"/>
              <w:rPr>
                <w:rFonts w:eastAsia="Times New Roman"/>
              </w:rPr>
            </w:pPr>
          </w:p>
        </w:tc>
        <w:tc>
          <w:tcPr>
            <w:tcW w:w="0" w:type="auto"/>
            <w:vAlign w:val="center"/>
            <w:hideMark/>
          </w:tcPr>
          <w:p w14:paraId="29F418A9" w14:textId="77777777" w:rsidR="00000000" w:rsidRDefault="00405D16">
            <w:pPr>
              <w:spacing w:after="100"/>
              <w:jc w:val="right"/>
              <w:rPr>
                <w:rFonts w:eastAsia="Times New Roman"/>
                <w:sz w:val="20"/>
                <w:szCs w:val="20"/>
              </w:rPr>
            </w:pPr>
          </w:p>
        </w:tc>
        <w:tc>
          <w:tcPr>
            <w:tcW w:w="0" w:type="auto"/>
            <w:vAlign w:val="center"/>
            <w:hideMark/>
          </w:tcPr>
          <w:p w14:paraId="1462D354" w14:textId="77777777" w:rsidR="00000000" w:rsidRDefault="00405D16">
            <w:pPr>
              <w:spacing w:after="100"/>
              <w:rPr>
                <w:rFonts w:eastAsia="Times New Roman"/>
                <w:sz w:val="20"/>
                <w:szCs w:val="20"/>
              </w:rPr>
            </w:pPr>
          </w:p>
        </w:tc>
        <w:tc>
          <w:tcPr>
            <w:tcW w:w="0" w:type="auto"/>
            <w:gridSpan w:val="3"/>
            <w:vAlign w:val="center"/>
            <w:hideMark/>
          </w:tcPr>
          <w:p w14:paraId="2E51FF61" w14:textId="77777777" w:rsidR="00000000" w:rsidRDefault="00405D16">
            <w:pPr>
              <w:spacing w:after="100"/>
              <w:rPr>
                <w:rFonts w:eastAsia="Times New Roman"/>
                <w:sz w:val="20"/>
                <w:szCs w:val="20"/>
              </w:rPr>
            </w:pPr>
          </w:p>
        </w:tc>
        <w:tc>
          <w:tcPr>
            <w:tcW w:w="0" w:type="auto"/>
            <w:gridSpan w:val="3"/>
            <w:vAlign w:val="center"/>
            <w:hideMark/>
          </w:tcPr>
          <w:p w14:paraId="1ABEF91E" w14:textId="77777777" w:rsidR="00000000" w:rsidRDefault="00405D16">
            <w:pPr>
              <w:spacing w:after="100"/>
              <w:rPr>
                <w:rFonts w:eastAsia="Times New Roman"/>
                <w:sz w:val="20"/>
                <w:szCs w:val="20"/>
              </w:rPr>
            </w:pPr>
          </w:p>
        </w:tc>
        <w:tc>
          <w:tcPr>
            <w:tcW w:w="0" w:type="auto"/>
            <w:gridSpan w:val="3"/>
            <w:vAlign w:val="center"/>
            <w:hideMark/>
          </w:tcPr>
          <w:p w14:paraId="2B67B550" w14:textId="77777777" w:rsidR="00000000" w:rsidRDefault="00405D16">
            <w:pPr>
              <w:spacing w:after="100"/>
              <w:rPr>
                <w:rFonts w:eastAsia="Times New Roman"/>
                <w:sz w:val="20"/>
                <w:szCs w:val="20"/>
              </w:rPr>
            </w:pPr>
          </w:p>
        </w:tc>
        <w:tc>
          <w:tcPr>
            <w:tcW w:w="0" w:type="auto"/>
            <w:gridSpan w:val="3"/>
            <w:vAlign w:val="center"/>
            <w:hideMark/>
          </w:tcPr>
          <w:p w14:paraId="44A3877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91C6E9" w14:textId="77777777" w:rsidR="00000000" w:rsidRDefault="00405D16">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0388C632" w14:textId="77777777" w:rsidR="00000000" w:rsidRDefault="00405D16">
            <w:pPr>
              <w:spacing w:after="100"/>
              <w:jc w:val="right"/>
              <w:rPr>
                <w:rFonts w:eastAsia="Times New Roman"/>
              </w:rPr>
            </w:pPr>
            <w:r>
              <w:rPr>
                <w:rFonts w:eastAsia="Times New Roman"/>
                <w:color w:val="000000"/>
                <w:sz w:val="18"/>
                <w:szCs w:val="18"/>
              </w:rPr>
              <w:t>8</w:t>
            </w:r>
          </w:p>
        </w:tc>
        <w:tc>
          <w:tcPr>
            <w:tcW w:w="0" w:type="auto"/>
            <w:gridSpan w:val="3"/>
            <w:vAlign w:val="center"/>
            <w:hideMark/>
          </w:tcPr>
          <w:p w14:paraId="31280EB5" w14:textId="77777777" w:rsidR="00000000" w:rsidRDefault="00405D16">
            <w:pPr>
              <w:spacing w:after="100"/>
              <w:jc w:val="right"/>
              <w:rPr>
                <w:rFonts w:eastAsia="Times New Roman"/>
              </w:rPr>
            </w:pPr>
          </w:p>
        </w:tc>
        <w:tc>
          <w:tcPr>
            <w:tcW w:w="0" w:type="auto"/>
            <w:gridSpan w:val="2"/>
            <w:vAlign w:val="center"/>
            <w:hideMark/>
          </w:tcPr>
          <w:p w14:paraId="68C9057A" w14:textId="77777777" w:rsidR="00000000" w:rsidRDefault="00405D16">
            <w:pPr>
              <w:spacing w:after="100"/>
              <w:rPr>
                <w:rFonts w:eastAsia="Times New Roman"/>
                <w:sz w:val="20"/>
                <w:szCs w:val="20"/>
              </w:rPr>
            </w:pPr>
          </w:p>
        </w:tc>
      </w:tr>
      <w:tr w:rsidR="00000000" w14:paraId="2EC21C38" w14:textId="77777777">
        <w:trPr>
          <w:divId w:val="227809696"/>
        </w:trPr>
        <w:tc>
          <w:tcPr>
            <w:tcW w:w="0" w:type="auto"/>
            <w:gridSpan w:val="3"/>
            <w:vAlign w:val="center"/>
            <w:hideMark/>
          </w:tcPr>
          <w:p w14:paraId="7F7B2BF9" w14:textId="77777777" w:rsidR="00000000" w:rsidRDefault="00405D16">
            <w:pPr>
              <w:spacing w:after="100"/>
              <w:rPr>
                <w:rFonts w:eastAsia="Times New Roman"/>
                <w:sz w:val="20"/>
                <w:szCs w:val="20"/>
              </w:rPr>
            </w:pPr>
          </w:p>
        </w:tc>
        <w:tc>
          <w:tcPr>
            <w:tcW w:w="0" w:type="auto"/>
            <w:gridSpan w:val="3"/>
            <w:vAlign w:val="center"/>
            <w:hideMark/>
          </w:tcPr>
          <w:p w14:paraId="3352FE33" w14:textId="77777777" w:rsidR="00000000" w:rsidRDefault="00405D16">
            <w:pPr>
              <w:spacing w:after="100"/>
              <w:rPr>
                <w:rFonts w:eastAsia="Times New Roman"/>
                <w:sz w:val="20"/>
                <w:szCs w:val="20"/>
              </w:rPr>
            </w:pPr>
          </w:p>
        </w:tc>
        <w:tc>
          <w:tcPr>
            <w:tcW w:w="0" w:type="auto"/>
            <w:gridSpan w:val="3"/>
            <w:vAlign w:val="center"/>
            <w:hideMark/>
          </w:tcPr>
          <w:p w14:paraId="11EEB5FC" w14:textId="77777777" w:rsidR="00000000" w:rsidRDefault="00405D16">
            <w:pPr>
              <w:spacing w:after="100"/>
              <w:rPr>
                <w:rFonts w:eastAsia="Times New Roman"/>
                <w:sz w:val="20"/>
                <w:szCs w:val="20"/>
              </w:rPr>
            </w:pPr>
          </w:p>
        </w:tc>
        <w:tc>
          <w:tcPr>
            <w:tcW w:w="0" w:type="auto"/>
            <w:gridSpan w:val="3"/>
            <w:vAlign w:val="center"/>
            <w:hideMark/>
          </w:tcPr>
          <w:p w14:paraId="0DC834A7" w14:textId="77777777" w:rsidR="00000000" w:rsidRDefault="00405D16">
            <w:pPr>
              <w:spacing w:after="100"/>
              <w:rPr>
                <w:rFonts w:eastAsia="Times New Roman"/>
                <w:sz w:val="20"/>
                <w:szCs w:val="20"/>
              </w:rPr>
            </w:pPr>
          </w:p>
        </w:tc>
        <w:tc>
          <w:tcPr>
            <w:tcW w:w="0" w:type="auto"/>
            <w:gridSpan w:val="3"/>
            <w:vAlign w:val="center"/>
            <w:hideMark/>
          </w:tcPr>
          <w:p w14:paraId="5498B5AC" w14:textId="77777777" w:rsidR="00000000" w:rsidRDefault="00405D16">
            <w:pPr>
              <w:spacing w:after="100"/>
              <w:rPr>
                <w:rFonts w:eastAsia="Times New Roman"/>
                <w:sz w:val="20"/>
                <w:szCs w:val="20"/>
              </w:rPr>
            </w:pPr>
          </w:p>
        </w:tc>
        <w:tc>
          <w:tcPr>
            <w:tcW w:w="0" w:type="auto"/>
            <w:gridSpan w:val="3"/>
            <w:vAlign w:val="center"/>
            <w:hideMark/>
          </w:tcPr>
          <w:p w14:paraId="017E5A82" w14:textId="77777777" w:rsidR="00000000" w:rsidRDefault="00405D16">
            <w:pPr>
              <w:spacing w:after="100"/>
              <w:rPr>
                <w:rFonts w:eastAsia="Times New Roman"/>
                <w:sz w:val="20"/>
                <w:szCs w:val="20"/>
              </w:rPr>
            </w:pPr>
          </w:p>
        </w:tc>
        <w:tc>
          <w:tcPr>
            <w:tcW w:w="0" w:type="auto"/>
            <w:gridSpan w:val="3"/>
            <w:vAlign w:val="center"/>
            <w:hideMark/>
          </w:tcPr>
          <w:p w14:paraId="6762EA97" w14:textId="77777777" w:rsidR="00000000" w:rsidRDefault="00405D16">
            <w:pPr>
              <w:spacing w:after="100"/>
              <w:rPr>
                <w:rFonts w:eastAsia="Times New Roman"/>
                <w:sz w:val="20"/>
                <w:szCs w:val="20"/>
              </w:rPr>
            </w:pPr>
          </w:p>
        </w:tc>
        <w:tc>
          <w:tcPr>
            <w:tcW w:w="0" w:type="auto"/>
            <w:gridSpan w:val="3"/>
            <w:vAlign w:val="center"/>
            <w:hideMark/>
          </w:tcPr>
          <w:p w14:paraId="58CE99FE" w14:textId="77777777" w:rsidR="00000000" w:rsidRDefault="00405D16">
            <w:pPr>
              <w:spacing w:after="100"/>
              <w:rPr>
                <w:rFonts w:eastAsia="Times New Roman"/>
                <w:sz w:val="20"/>
                <w:szCs w:val="20"/>
              </w:rPr>
            </w:pPr>
          </w:p>
        </w:tc>
        <w:tc>
          <w:tcPr>
            <w:tcW w:w="0" w:type="auto"/>
            <w:gridSpan w:val="3"/>
            <w:vAlign w:val="center"/>
            <w:hideMark/>
          </w:tcPr>
          <w:p w14:paraId="08F6833D" w14:textId="77777777" w:rsidR="00000000" w:rsidRDefault="00405D16">
            <w:pPr>
              <w:spacing w:after="100"/>
              <w:rPr>
                <w:rFonts w:eastAsia="Times New Roman"/>
                <w:sz w:val="20"/>
                <w:szCs w:val="20"/>
              </w:rPr>
            </w:pPr>
          </w:p>
        </w:tc>
        <w:tc>
          <w:tcPr>
            <w:tcW w:w="0" w:type="auto"/>
            <w:gridSpan w:val="3"/>
            <w:vAlign w:val="center"/>
            <w:hideMark/>
          </w:tcPr>
          <w:p w14:paraId="74156617" w14:textId="77777777" w:rsidR="00000000" w:rsidRDefault="00405D16">
            <w:pPr>
              <w:spacing w:after="100"/>
              <w:rPr>
                <w:rFonts w:eastAsia="Times New Roman"/>
                <w:sz w:val="20"/>
                <w:szCs w:val="20"/>
              </w:rPr>
            </w:pPr>
          </w:p>
        </w:tc>
        <w:tc>
          <w:tcPr>
            <w:tcW w:w="0" w:type="auto"/>
            <w:gridSpan w:val="3"/>
            <w:vAlign w:val="center"/>
            <w:hideMark/>
          </w:tcPr>
          <w:p w14:paraId="73FA83A1" w14:textId="77777777" w:rsidR="00000000" w:rsidRDefault="00405D16">
            <w:pPr>
              <w:spacing w:after="100"/>
              <w:rPr>
                <w:rFonts w:eastAsia="Times New Roman"/>
                <w:sz w:val="20"/>
                <w:szCs w:val="20"/>
              </w:rPr>
            </w:pPr>
          </w:p>
        </w:tc>
        <w:tc>
          <w:tcPr>
            <w:tcW w:w="0" w:type="auto"/>
            <w:vAlign w:val="center"/>
            <w:hideMark/>
          </w:tcPr>
          <w:p w14:paraId="6C989A51" w14:textId="77777777" w:rsidR="00000000" w:rsidRDefault="00405D16">
            <w:pPr>
              <w:spacing w:after="100"/>
              <w:rPr>
                <w:rFonts w:eastAsia="Times New Roman"/>
                <w:sz w:val="20"/>
                <w:szCs w:val="20"/>
              </w:rPr>
            </w:pPr>
          </w:p>
        </w:tc>
        <w:tc>
          <w:tcPr>
            <w:tcW w:w="0" w:type="auto"/>
            <w:vAlign w:val="center"/>
            <w:hideMark/>
          </w:tcPr>
          <w:p w14:paraId="356505BF" w14:textId="77777777" w:rsidR="00000000" w:rsidRDefault="00405D16">
            <w:pPr>
              <w:spacing w:after="100"/>
              <w:rPr>
                <w:rFonts w:eastAsia="Times New Roman"/>
                <w:sz w:val="20"/>
                <w:szCs w:val="20"/>
              </w:rPr>
            </w:pPr>
          </w:p>
        </w:tc>
        <w:tc>
          <w:tcPr>
            <w:tcW w:w="0" w:type="auto"/>
            <w:gridSpan w:val="3"/>
            <w:vAlign w:val="center"/>
            <w:hideMark/>
          </w:tcPr>
          <w:p w14:paraId="7F9A2EA6" w14:textId="77777777" w:rsidR="00000000" w:rsidRDefault="00405D16">
            <w:pPr>
              <w:spacing w:after="100"/>
              <w:rPr>
                <w:rFonts w:eastAsia="Times New Roman"/>
                <w:sz w:val="20"/>
                <w:szCs w:val="20"/>
              </w:rPr>
            </w:pPr>
          </w:p>
        </w:tc>
        <w:tc>
          <w:tcPr>
            <w:tcW w:w="0" w:type="auto"/>
            <w:gridSpan w:val="3"/>
            <w:vAlign w:val="center"/>
            <w:hideMark/>
          </w:tcPr>
          <w:p w14:paraId="58FC9455" w14:textId="77777777" w:rsidR="00000000" w:rsidRDefault="00405D16">
            <w:pPr>
              <w:spacing w:after="100"/>
              <w:rPr>
                <w:rFonts w:eastAsia="Times New Roman"/>
                <w:sz w:val="20"/>
                <w:szCs w:val="20"/>
              </w:rPr>
            </w:pPr>
          </w:p>
        </w:tc>
        <w:tc>
          <w:tcPr>
            <w:tcW w:w="0" w:type="auto"/>
            <w:gridSpan w:val="3"/>
            <w:vAlign w:val="center"/>
            <w:hideMark/>
          </w:tcPr>
          <w:p w14:paraId="6CD36ECC" w14:textId="77777777" w:rsidR="00000000" w:rsidRDefault="00405D16">
            <w:pPr>
              <w:spacing w:after="100"/>
              <w:rPr>
                <w:rFonts w:eastAsia="Times New Roman"/>
                <w:sz w:val="20"/>
                <w:szCs w:val="20"/>
              </w:rPr>
            </w:pPr>
          </w:p>
        </w:tc>
        <w:tc>
          <w:tcPr>
            <w:tcW w:w="0" w:type="auto"/>
            <w:gridSpan w:val="3"/>
            <w:vAlign w:val="center"/>
            <w:hideMark/>
          </w:tcPr>
          <w:p w14:paraId="064E73DC" w14:textId="77777777" w:rsidR="00000000" w:rsidRDefault="00405D16">
            <w:pPr>
              <w:spacing w:after="100"/>
              <w:rPr>
                <w:rFonts w:eastAsia="Times New Roman"/>
                <w:sz w:val="20"/>
                <w:szCs w:val="20"/>
              </w:rPr>
            </w:pPr>
          </w:p>
        </w:tc>
        <w:tc>
          <w:tcPr>
            <w:tcW w:w="0" w:type="auto"/>
            <w:gridSpan w:val="3"/>
            <w:vAlign w:val="center"/>
            <w:hideMark/>
          </w:tcPr>
          <w:p w14:paraId="0ABF7A32" w14:textId="77777777" w:rsidR="00000000" w:rsidRDefault="00405D16">
            <w:pPr>
              <w:spacing w:after="100"/>
              <w:rPr>
                <w:rFonts w:eastAsia="Times New Roman"/>
                <w:sz w:val="20"/>
                <w:szCs w:val="20"/>
              </w:rPr>
            </w:pPr>
          </w:p>
        </w:tc>
        <w:tc>
          <w:tcPr>
            <w:tcW w:w="0" w:type="auto"/>
            <w:gridSpan w:val="3"/>
            <w:vAlign w:val="center"/>
            <w:hideMark/>
          </w:tcPr>
          <w:p w14:paraId="6EBF7746" w14:textId="77777777" w:rsidR="00000000" w:rsidRDefault="00405D16">
            <w:pPr>
              <w:spacing w:after="100"/>
              <w:rPr>
                <w:rFonts w:eastAsia="Times New Roman"/>
                <w:sz w:val="20"/>
                <w:szCs w:val="20"/>
              </w:rPr>
            </w:pPr>
          </w:p>
        </w:tc>
        <w:tc>
          <w:tcPr>
            <w:tcW w:w="0" w:type="auto"/>
            <w:gridSpan w:val="3"/>
            <w:vAlign w:val="center"/>
            <w:hideMark/>
          </w:tcPr>
          <w:p w14:paraId="424FB197" w14:textId="77777777" w:rsidR="00000000" w:rsidRDefault="00405D16">
            <w:pPr>
              <w:spacing w:after="100"/>
              <w:rPr>
                <w:rFonts w:eastAsia="Times New Roman"/>
                <w:sz w:val="20"/>
                <w:szCs w:val="20"/>
              </w:rPr>
            </w:pPr>
          </w:p>
        </w:tc>
        <w:tc>
          <w:tcPr>
            <w:tcW w:w="0" w:type="auto"/>
            <w:gridSpan w:val="2"/>
            <w:vAlign w:val="center"/>
            <w:hideMark/>
          </w:tcPr>
          <w:p w14:paraId="065CBCC2" w14:textId="77777777" w:rsidR="00000000" w:rsidRDefault="00405D16">
            <w:pPr>
              <w:spacing w:after="100"/>
              <w:rPr>
                <w:rFonts w:eastAsia="Times New Roman"/>
                <w:sz w:val="20"/>
                <w:szCs w:val="20"/>
              </w:rPr>
            </w:pPr>
          </w:p>
        </w:tc>
      </w:tr>
      <w:tr w:rsidR="00000000" w14:paraId="7EBEE959" w14:textId="77777777">
        <w:trPr>
          <w:divId w:val="227809696"/>
        </w:trPr>
        <w:tc>
          <w:tcPr>
            <w:tcW w:w="0" w:type="auto"/>
            <w:gridSpan w:val="3"/>
            <w:shd w:val="clear" w:color="auto" w:fill="FFFFFF"/>
            <w:tcMar>
              <w:top w:w="30" w:type="dxa"/>
              <w:left w:w="20" w:type="dxa"/>
              <w:bottom w:w="30" w:type="dxa"/>
              <w:right w:w="20" w:type="dxa"/>
            </w:tcMar>
            <w:vAlign w:val="center"/>
            <w:hideMark/>
          </w:tcPr>
          <w:p w14:paraId="67C15D98" w14:textId="77777777" w:rsidR="00000000" w:rsidRDefault="00405D16">
            <w:pPr>
              <w:spacing w:after="100"/>
              <w:rPr>
                <w:rFonts w:eastAsia="Times New Roman"/>
              </w:rPr>
            </w:pPr>
            <w:r>
              <w:rPr>
                <w:rFonts w:eastAsia="Times New Roman"/>
                <w:color w:val="000000"/>
                <w:sz w:val="18"/>
                <w:szCs w:val="18"/>
              </w:rPr>
              <w:t>Income from continuing operations before income taxes</w:t>
            </w:r>
          </w:p>
        </w:tc>
        <w:tc>
          <w:tcPr>
            <w:tcW w:w="0" w:type="auto"/>
            <w:gridSpan w:val="3"/>
            <w:shd w:val="clear" w:color="auto" w:fill="FFFFFF"/>
            <w:tcMar>
              <w:top w:w="0" w:type="dxa"/>
              <w:left w:w="20" w:type="dxa"/>
              <w:bottom w:w="0" w:type="dxa"/>
              <w:right w:w="20" w:type="dxa"/>
            </w:tcMar>
            <w:vAlign w:val="center"/>
            <w:hideMark/>
          </w:tcPr>
          <w:p w14:paraId="0030747A"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DF12125" w14:textId="77777777" w:rsidR="00000000" w:rsidRDefault="00405D16">
            <w:pPr>
              <w:spacing w:after="100"/>
              <w:jc w:val="right"/>
              <w:rPr>
                <w:rFonts w:eastAsia="Times New Roman"/>
              </w:rPr>
            </w:pPr>
            <w:r>
              <w:rPr>
                <w:rFonts w:eastAsia="Times New Roman"/>
                <w:b/>
                <w:bCs/>
                <w:color w:val="000000"/>
                <w:sz w:val="18"/>
                <w:szCs w:val="18"/>
              </w:rPr>
              <w:t>3,986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691647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C7A078"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F63C568" w14:textId="77777777" w:rsidR="00000000" w:rsidRDefault="00405D16">
            <w:pPr>
              <w:spacing w:after="100"/>
              <w:jc w:val="right"/>
              <w:rPr>
                <w:rFonts w:eastAsia="Times New Roman"/>
              </w:rPr>
            </w:pPr>
            <w:r>
              <w:rPr>
                <w:rFonts w:eastAsia="Times New Roman"/>
                <w:color w:val="000000"/>
                <w:sz w:val="18"/>
                <w:szCs w:val="18"/>
              </w:rPr>
              <w:t>3,502 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198E7E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05101C"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7747ECCB" w14:textId="77777777" w:rsidR="00000000" w:rsidRDefault="00405D16">
            <w:pPr>
              <w:spacing w:after="100"/>
              <w:jc w:val="right"/>
              <w:rPr>
                <w:rFonts w:eastAsia="Times New Roman"/>
              </w:rPr>
            </w:pPr>
            <w:r>
              <w:rPr>
                <w:rFonts w:eastAsia="Times New Roman"/>
                <w:color w:val="000000"/>
                <w:sz w:val="18"/>
                <w:szCs w:val="18"/>
              </w:rPr>
              <w:t>14</w:t>
            </w:r>
          </w:p>
        </w:tc>
        <w:tc>
          <w:tcPr>
            <w:tcW w:w="0" w:type="auto"/>
            <w:gridSpan w:val="3"/>
            <w:shd w:val="clear" w:color="auto" w:fill="FFFFFF"/>
            <w:tcMar>
              <w:top w:w="0" w:type="dxa"/>
              <w:left w:w="20" w:type="dxa"/>
              <w:bottom w:w="0" w:type="dxa"/>
              <w:right w:w="20" w:type="dxa"/>
            </w:tcMar>
            <w:vAlign w:val="center"/>
            <w:hideMark/>
          </w:tcPr>
          <w:p w14:paraId="1D541F42" w14:textId="77777777" w:rsidR="00000000" w:rsidRDefault="00405D16">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F3FF607" w14:textId="77777777" w:rsidR="00000000" w:rsidRDefault="00405D16">
            <w:pPr>
              <w:spacing w:after="100"/>
              <w:jc w:val="right"/>
              <w:rPr>
                <w:rFonts w:eastAsia="Times New Roman"/>
              </w:rPr>
            </w:pPr>
            <w:r>
              <w:rPr>
                <w:rFonts w:eastAsia="Times New Roman"/>
                <w:b/>
                <w:bCs/>
                <w:color w:val="000000"/>
                <w:sz w:val="18"/>
                <w:szCs w:val="18"/>
              </w:rPr>
              <w:t>12,750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3CE363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02EDB7"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0666A7C" w14:textId="77777777" w:rsidR="00000000" w:rsidRDefault="00405D16">
            <w:pPr>
              <w:spacing w:after="100"/>
              <w:jc w:val="right"/>
              <w:rPr>
                <w:rFonts w:eastAsia="Times New Roman"/>
              </w:rPr>
            </w:pPr>
            <w:r>
              <w:rPr>
                <w:rFonts w:eastAsia="Times New Roman"/>
                <w:color w:val="000000"/>
                <w:sz w:val="18"/>
                <w:szCs w:val="18"/>
              </w:rPr>
              <w:t>139 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40FEB31" w14:textId="77777777" w:rsidR="00000000" w:rsidRDefault="00405D16">
            <w:pPr>
              <w:spacing w:after="100"/>
              <w:jc w:val="right"/>
              <w:rPr>
                <w:rFonts w:eastAsia="Times New Roman"/>
              </w:rPr>
            </w:pPr>
          </w:p>
        </w:tc>
        <w:tc>
          <w:tcPr>
            <w:tcW w:w="0" w:type="auto"/>
            <w:vAlign w:val="center"/>
            <w:hideMark/>
          </w:tcPr>
          <w:p w14:paraId="51BE8FF7" w14:textId="77777777" w:rsidR="00000000" w:rsidRDefault="00405D16">
            <w:pPr>
              <w:spacing w:after="100"/>
              <w:jc w:val="right"/>
              <w:rPr>
                <w:rFonts w:eastAsia="Times New Roman"/>
                <w:sz w:val="20"/>
                <w:szCs w:val="20"/>
              </w:rPr>
            </w:pPr>
          </w:p>
        </w:tc>
        <w:tc>
          <w:tcPr>
            <w:tcW w:w="0" w:type="auto"/>
            <w:vAlign w:val="center"/>
            <w:hideMark/>
          </w:tcPr>
          <w:p w14:paraId="16A5D66B" w14:textId="77777777" w:rsidR="00000000" w:rsidRDefault="00405D16">
            <w:pPr>
              <w:spacing w:after="100"/>
              <w:rPr>
                <w:rFonts w:eastAsia="Times New Roman"/>
                <w:sz w:val="20"/>
                <w:szCs w:val="20"/>
              </w:rPr>
            </w:pPr>
          </w:p>
        </w:tc>
        <w:tc>
          <w:tcPr>
            <w:tcW w:w="0" w:type="auto"/>
            <w:gridSpan w:val="3"/>
            <w:vAlign w:val="center"/>
            <w:hideMark/>
          </w:tcPr>
          <w:p w14:paraId="731F789F" w14:textId="77777777" w:rsidR="00000000" w:rsidRDefault="00405D16">
            <w:pPr>
              <w:spacing w:after="100"/>
              <w:rPr>
                <w:rFonts w:eastAsia="Times New Roman"/>
                <w:sz w:val="20"/>
                <w:szCs w:val="20"/>
              </w:rPr>
            </w:pPr>
          </w:p>
        </w:tc>
        <w:tc>
          <w:tcPr>
            <w:tcW w:w="0" w:type="auto"/>
            <w:gridSpan w:val="3"/>
            <w:vAlign w:val="center"/>
            <w:hideMark/>
          </w:tcPr>
          <w:p w14:paraId="19635CFB" w14:textId="77777777" w:rsidR="00000000" w:rsidRDefault="00405D16">
            <w:pPr>
              <w:spacing w:after="100"/>
              <w:rPr>
                <w:rFonts w:eastAsia="Times New Roman"/>
                <w:sz w:val="20"/>
                <w:szCs w:val="20"/>
              </w:rPr>
            </w:pPr>
          </w:p>
        </w:tc>
        <w:tc>
          <w:tcPr>
            <w:tcW w:w="0" w:type="auto"/>
            <w:gridSpan w:val="3"/>
            <w:vAlign w:val="center"/>
            <w:hideMark/>
          </w:tcPr>
          <w:p w14:paraId="13F2CE58" w14:textId="77777777" w:rsidR="00000000" w:rsidRDefault="00405D16">
            <w:pPr>
              <w:spacing w:after="100"/>
              <w:rPr>
                <w:rFonts w:eastAsia="Times New Roman"/>
                <w:sz w:val="20"/>
                <w:szCs w:val="20"/>
              </w:rPr>
            </w:pPr>
          </w:p>
        </w:tc>
        <w:tc>
          <w:tcPr>
            <w:tcW w:w="0" w:type="auto"/>
            <w:gridSpan w:val="3"/>
            <w:vAlign w:val="center"/>
            <w:hideMark/>
          </w:tcPr>
          <w:p w14:paraId="64E2D28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B410C2" w14:textId="77777777" w:rsidR="00000000" w:rsidRDefault="00405D16">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52F3E2C1"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714EDEC0" w14:textId="77777777" w:rsidR="00000000" w:rsidRDefault="00405D16">
            <w:pPr>
              <w:spacing w:after="100"/>
              <w:jc w:val="right"/>
              <w:rPr>
                <w:rFonts w:eastAsia="Times New Roman"/>
              </w:rPr>
            </w:pPr>
          </w:p>
        </w:tc>
        <w:tc>
          <w:tcPr>
            <w:tcW w:w="0" w:type="auto"/>
            <w:gridSpan w:val="2"/>
            <w:vAlign w:val="center"/>
            <w:hideMark/>
          </w:tcPr>
          <w:p w14:paraId="79C46761" w14:textId="77777777" w:rsidR="00000000" w:rsidRDefault="00405D16">
            <w:pPr>
              <w:spacing w:after="100"/>
              <w:rPr>
                <w:rFonts w:eastAsia="Times New Roman"/>
                <w:sz w:val="20"/>
                <w:szCs w:val="20"/>
              </w:rPr>
            </w:pPr>
          </w:p>
        </w:tc>
      </w:tr>
      <w:tr w:rsidR="00000000" w14:paraId="51209AD3" w14:textId="77777777">
        <w:trPr>
          <w:divId w:val="227809696"/>
        </w:trPr>
        <w:tc>
          <w:tcPr>
            <w:tcW w:w="0" w:type="auto"/>
            <w:gridSpan w:val="3"/>
            <w:shd w:val="clear" w:color="auto" w:fill="CCEEFF"/>
            <w:tcMar>
              <w:top w:w="30" w:type="dxa"/>
              <w:left w:w="20" w:type="dxa"/>
              <w:bottom w:w="30" w:type="dxa"/>
              <w:right w:w="20" w:type="dxa"/>
            </w:tcMar>
            <w:vAlign w:val="center"/>
            <w:hideMark/>
          </w:tcPr>
          <w:p w14:paraId="7D0AF7EF" w14:textId="77777777" w:rsidR="00000000" w:rsidRDefault="00405D16">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14:paraId="28D68EBA"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A2E35A2" w14:textId="77777777" w:rsidR="00000000" w:rsidRDefault="00405D16">
            <w:pPr>
              <w:spacing w:after="100"/>
              <w:jc w:val="right"/>
              <w:rPr>
                <w:rFonts w:eastAsia="Times New Roman"/>
              </w:rPr>
            </w:pPr>
            <w:r>
              <w:rPr>
                <w:rFonts w:eastAsia="Times New Roman"/>
                <w:b/>
                <w:bCs/>
                <w:color w:val="000000"/>
                <w:sz w:val="18"/>
                <w:szCs w:val="18"/>
              </w:rPr>
              <w:t>882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9CC6D4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8A20E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81E0AE6" w14:textId="77777777" w:rsidR="00000000" w:rsidRDefault="00405D16">
            <w:pPr>
              <w:spacing w:after="100"/>
              <w:jc w:val="right"/>
              <w:rPr>
                <w:rFonts w:eastAsia="Times New Roman"/>
              </w:rPr>
            </w:pPr>
            <w:r>
              <w:rPr>
                <w:rFonts w:eastAsia="Times New Roman"/>
                <w:color w:val="000000"/>
                <w:sz w:val="18"/>
                <w:szCs w:val="18"/>
              </w:rPr>
              <w:t>1,096 </w:t>
            </w:r>
          </w:p>
        </w:tc>
        <w:tc>
          <w:tcPr>
            <w:tcW w:w="0" w:type="auto"/>
            <w:shd w:val="clear" w:color="auto" w:fill="CCEEFF"/>
            <w:tcMar>
              <w:top w:w="30" w:type="dxa"/>
              <w:left w:w="0" w:type="dxa"/>
              <w:bottom w:w="30" w:type="dxa"/>
              <w:right w:w="20" w:type="dxa"/>
            </w:tcMar>
            <w:vAlign w:val="center"/>
            <w:hideMark/>
          </w:tcPr>
          <w:p w14:paraId="6394FB7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80AD65"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1488E45F" w14:textId="77777777" w:rsidR="00000000" w:rsidRDefault="00405D16">
            <w:pPr>
              <w:spacing w:after="100"/>
              <w:jc w:val="right"/>
              <w:rPr>
                <w:rFonts w:eastAsia="Times New Roman"/>
              </w:rPr>
            </w:pPr>
            <w:r>
              <w:rPr>
                <w:rFonts w:eastAsia="Times New Roman"/>
                <w:color w:val="000000"/>
                <w:sz w:val="18"/>
                <w:szCs w:val="18"/>
              </w:rPr>
              <w:t>(20)</w:t>
            </w:r>
          </w:p>
        </w:tc>
        <w:tc>
          <w:tcPr>
            <w:tcW w:w="0" w:type="auto"/>
            <w:gridSpan w:val="3"/>
            <w:shd w:val="clear" w:color="auto" w:fill="CCEEFF"/>
            <w:tcMar>
              <w:top w:w="0" w:type="dxa"/>
              <w:left w:w="20" w:type="dxa"/>
              <w:bottom w:w="0" w:type="dxa"/>
              <w:right w:w="20" w:type="dxa"/>
            </w:tcMar>
            <w:vAlign w:val="center"/>
            <w:hideMark/>
          </w:tcPr>
          <w:p w14:paraId="62ADBA78"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DD78302" w14:textId="77777777" w:rsidR="00000000" w:rsidRDefault="00405D16">
            <w:pPr>
              <w:spacing w:after="100"/>
              <w:jc w:val="right"/>
              <w:rPr>
                <w:rFonts w:eastAsia="Times New Roman"/>
              </w:rPr>
            </w:pPr>
            <w:r>
              <w:rPr>
                <w:rFonts w:eastAsia="Times New Roman"/>
                <w:b/>
                <w:bCs/>
                <w:color w:val="000000"/>
                <w:sz w:val="18"/>
                <w:szCs w:val="18"/>
              </w:rPr>
              <w:t>2,782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FC9AF6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5AEDC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6614364" w14:textId="77777777" w:rsidR="00000000" w:rsidRDefault="00405D16">
            <w:pPr>
              <w:spacing w:after="100"/>
              <w:jc w:val="right"/>
              <w:rPr>
                <w:rFonts w:eastAsia="Times New Roman"/>
              </w:rPr>
            </w:pPr>
            <w:r>
              <w:rPr>
                <w:rFonts w:eastAsia="Times New Roman"/>
                <w:color w:val="000000"/>
                <w:sz w:val="18"/>
                <w:szCs w:val="18"/>
              </w:rPr>
              <w:t>(10)</w:t>
            </w:r>
          </w:p>
        </w:tc>
        <w:tc>
          <w:tcPr>
            <w:tcW w:w="0" w:type="auto"/>
            <w:shd w:val="clear" w:color="auto" w:fill="CCEEFF"/>
            <w:tcMar>
              <w:top w:w="30" w:type="dxa"/>
              <w:left w:w="0" w:type="dxa"/>
              <w:bottom w:w="30" w:type="dxa"/>
              <w:right w:w="20" w:type="dxa"/>
            </w:tcMar>
            <w:vAlign w:val="center"/>
            <w:hideMark/>
          </w:tcPr>
          <w:p w14:paraId="5C63011C" w14:textId="77777777" w:rsidR="00000000" w:rsidRDefault="00405D16">
            <w:pPr>
              <w:spacing w:after="100"/>
              <w:jc w:val="right"/>
              <w:rPr>
                <w:rFonts w:eastAsia="Times New Roman"/>
              </w:rPr>
            </w:pPr>
          </w:p>
        </w:tc>
        <w:tc>
          <w:tcPr>
            <w:tcW w:w="0" w:type="auto"/>
            <w:vAlign w:val="center"/>
            <w:hideMark/>
          </w:tcPr>
          <w:p w14:paraId="5D2E6856" w14:textId="77777777" w:rsidR="00000000" w:rsidRDefault="00405D16">
            <w:pPr>
              <w:spacing w:after="100"/>
              <w:jc w:val="right"/>
              <w:rPr>
                <w:rFonts w:eastAsia="Times New Roman"/>
                <w:sz w:val="20"/>
                <w:szCs w:val="20"/>
              </w:rPr>
            </w:pPr>
          </w:p>
        </w:tc>
        <w:tc>
          <w:tcPr>
            <w:tcW w:w="0" w:type="auto"/>
            <w:vAlign w:val="center"/>
            <w:hideMark/>
          </w:tcPr>
          <w:p w14:paraId="58658AED" w14:textId="77777777" w:rsidR="00000000" w:rsidRDefault="00405D16">
            <w:pPr>
              <w:spacing w:after="100"/>
              <w:rPr>
                <w:rFonts w:eastAsia="Times New Roman"/>
                <w:sz w:val="20"/>
                <w:szCs w:val="20"/>
              </w:rPr>
            </w:pPr>
          </w:p>
        </w:tc>
        <w:tc>
          <w:tcPr>
            <w:tcW w:w="0" w:type="auto"/>
            <w:gridSpan w:val="3"/>
            <w:vAlign w:val="center"/>
            <w:hideMark/>
          </w:tcPr>
          <w:p w14:paraId="4A8F7E37" w14:textId="77777777" w:rsidR="00000000" w:rsidRDefault="00405D16">
            <w:pPr>
              <w:spacing w:after="100"/>
              <w:rPr>
                <w:rFonts w:eastAsia="Times New Roman"/>
                <w:sz w:val="20"/>
                <w:szCs w:val="20"/>
              </w:rPr>
            </w:pPr>
          </w:p>
        </w:tc>
        <w:tc>
          <w:tcPr>
            <w:tcW w:w="0" w:type="auto"/>
            <w:gridSpan w:val="3"/>
            <w:vAlign w:val="center"/>
            <w:hideMark/>
          </w:tcPr>
          <w:p w14:paraId="7DE9CED5" w14:textId="77777777" w:rsidR="00000000" w:rsidRDefault="00405D16">
            <w:pPr>
              <w:spacing w:after="100"/>
              <w:rPr>
                <w:rFonts w:eastAsia="Times New Roman"/>
                <w:sz w:val="20"/>
                <w:szCs w:val="20"/>
              </w:rPr>
            </w:pPr>
          </w:p>
        </w:tc>
        <w:tc>
          <w:tcPr>
            <w:tcW w:w="0" w:type="auto"/>
            <w:gridSpan w:val="3"/>
            <w:vAlign w:val="center"/>
            <w:hideMark/>
          </w:tcPr>
          <w:p w14:paraId="0DB0ACD4" w14:textId="77777777" w:rsidR="00000000" w:rsidRDefault="00405D16">
            <w:pPr>
              <w:spacing w:after="100"/>
              <w:rPr>
                <w:rFonts w:eastAsia="Times New Roman"/>
                <w:sz w:val="20"/>
                <w:szCs w:val="20"/>
              </w:rPr>
            </w:pPr>
          </w:p>
        </w:tc>
        <w:tc>
          <w:tcPr>
            <w:tcW w:w="0" w:type="auto"/>
            <w:gridSpan w:val="3"/>
            <w:vAlign w:val="center"/>
            <w:hideMark/>
          </w:tcPr>
          <w:p w14:paraId="4DE306C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87B7E4" w14:textId="77777777" w:rsidR="00000000" w:rsidRDefault="00405D16">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06A67721"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3B34E389" w14:textId="77777777" w:rsidR="00000000" w:rsidRDefault="00405D16">
            <w:pPr>
              <w:spacing w:after="100"/>
              <w:jc w:val="right"/>
              <w:rPr>
                <w:rFonts w:eastAsia="Times New Roman"/>
              </w:rPr>
            </w:pPr>
          </w:p>
        </w:tc>
        <w:tc>
          <w:tcPr>
            <w:tcW w:w="0" w:type="auto"/>
            <w:gridSpan w:val="2"/>
            <w:vAlign w:val="center"/>
            <w:hideMark/>
          </w:tcPr>
          <w:p w14:paraId="7709E199" w14:textId="77777777" w:rsidR="00000000" w:rsidRDefault="00405D16">
            <w:pPr>
              <w:spacing w:after="100"/>
              <w:rPr>
                <w:rFonts w:eastAsia="Times New Roman"/>
                <w:sz w:val="20"/>
                <w:szCs w:val="20"/>
              </w:rPr>
            </w:pPr>
          </w:p>
        </w:tc>
      </w:tr>
      <w:tr w:rsidR="00000000" w14:paraId="1FB3DDAA" w14:textId="77777777">
        <w:trPr>
          <w:divId w:val="227809696"/>
        </w:trPr>
        <w:tc>
          <w:tcPr>
            <w:tcW w:w="0" w:type="auto"/>
            <w:gridSpan w:val="3"/>
            <w:shd w:val="clear" w:color="auto" w:fill="FFFFFF"/>
            <w:tcMar>
              <w:top w:w="30" w:type="dxa"/>
              <w:left w:w="20" w:type="dxa"/>
              <w:bottom w:w="30" w:type="dxa"/>
              <w:right w:w="20" w:type="dxa"/>
            </w:tcMar>
            <w:vAlign w:val="center"/>
            <w:hideMark/>
          </w:tcPr>
          <w:p w14:paraId="6AE06E63" w14:textId="77777777" w:rsidR="00000000" w:rsidRDefault="00405D16">
            <w:pPr>
              <w:spacing w:after="100"/>
              <w:rPr>
                <w:rFonts w:eastAsia="Times New Roman"/>
              </w:rPr>
            </w:pPr>
            <w:r>
              <w:rPr>
                <w:rFonts w:eastAsia="Times New Roman"/>
                <w:color w:val="000000"/>
                <w:sz w:val="18"/>
                <w:szCs w:val="18"/>
              </w:rPr>
              <w:t>Income from continuing operations, net of tax</w:t>
            </w:r>
          </w:p>
        </w:tc>
        <w:tc>
          <w:tcPr>
            <w:tcW w:w="0" w:type="auto"/>
            <w:gridSpan w:val="3"/>
            <w:shd w:val="clear" w:color="auto" w:fill="FFFFFF"/>
            <w:tcMar>
              <w:top w:w="0" w:type="dxa"/>
              <w:left w:w="20" w:type="dxa"/>
              <w:bottom w:w="0" w:type="dxa"/>
              <w:right w:w="20" w:type="dxa"/>
            </w:tcMar>
            <w:vAlign w:val="center"/>
            <w:hideMark/>
          </w:tcPr>
          <w:p w14:paraId="3EF7AEB9"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EF6B245" w14:textId="77777777" w:rsidR="00000000" w:rsidRDefault="00405D16">
            <w:pPr>
              <w:spacing w:after="100"/>
              <w:jc w:val="right"/>
              <w:rPr>
                <w:rFonts w:eastAsia="Times New Roman"/>
              </w:rPr>
            </w:pPr>
            <w:r>
              <w:rPr>
                <w:rFonts w:eastAsia="Times New Roman"/>
                <w:b/>
                <w:bCs/>
                <w:color w:val="000000"/>
                <w:sz w:val="18"/>
                <w:szCs w:val="18"/>
              </w:rPr>
              <w:t>3,104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921CA5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5C8489"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8554B32" w14:textId="77777777" w:rsidR="00000000" w:rsidRDefault="00405D16">
            <w:pPr>
              <w:spacing w:after="100"/>
              <w:jc w:val="right"/>
              <w:rPr>
                <w:rFonts w:eastAsia="Times New Roman"/>
              </w:rPr>
            </w:pPr>
            <w:r>
              <w:rPr>
                <w:rFonts w:eastAsia="Times New Roman"/>
                <w:color w:val="000000"/>
                <w:sz w:val="18"/>
                <w:szCs w:val="18"/>
              </w:rPr>
              <w:t>2,406 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B32855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31718F"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2FDE3B77" w14:textId="77777777" w:rsidR="00000000" w:rsidRDefault="00405D16">
            <w:pPr>
              <w:spacing w:after="100"/>
              <w:jc w:val="right"/>
              <w:rPr>
                <w:rFonts w:eastAsia="Times New Roman"/>
              </w:rPr>
            </w:pPr>
            <w:r>
              <w:rPr>
                <w:rFonts w:eastAsia="Times New Roman"/>
                <w:color w:val="000000"/>
                <w:sz w:val="18"/>
                <w:szCs w:val="18"/>
              </w:rPr>
              <w:t>29</w:t>
            </w:r>
          </w:p>
        </w:tc>
        <w:tc>
          <w:tcPr>
            <w:tcW w:w="0" w:type="auto"/>
            <w:gridSpan w:val="3"/>
            <w:shd w:val="clear" w:color="auto" w:fill="FFFFFF"/>
            <w:tcMar>
              <w:top w:w="0" w:type="dxa"/>
              <w:left w:w="20" w:type="dxa"/>
              <w:bottom w:w="0" w:type="dxa"/>
              <w:right w:w="20" w:type="dxa"/>
            </w:tcMar>
            <w:vAlign w:val="center"/>
            <w:hideMark/>
          </w:tcPr>
          <w:p w14:paraId="7B9C06C3" w14:textId="77777777" w:rsidR="00000000" w:rsidRDefault="00405D16">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BBC726F" w14:textId="77777777" w:rsidR="00000000" w:rsidRDefault="00405D16">
            <w:pPr>
              <w:spacing w:after="100"/>
              <w:jc w:val="right"/>
              <w:rPr>
                <w:rFonts w:eastAsia="Times New Roman"/>
              </w:rPr>
            </w:pPr>
            <w:r>
              <w:rPr>
                <w:rFonts w:eastAsia="Times New Roman"/>
                <w:b/>
                <w:bCs/>
                <w:color w:val="000000"/>
                <w:sz w:val="18"/>
                <w:szCs w:val="18"/>
              </w:rPr>
              <w:t>9,968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77ECF1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DB52C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702DFAD" w14:textId="77777777" w:rsidR="00000000" w:rsidRDefault="00405D16">
            <w:pPr>
              <w:spacing w:after="100"/>
              <w:jc w:val="right"/>
              <w:rPr>
                <w:rFonts w:eastAsia="Times New Roman"/>
              </w:rPr>
            </w:pPr>
            <w:r>
              <w:rPr>
                <w:rFonts w:eastAsia="Times New Roman"/>
                <w:color w:val="000000"/>
                <w:sz w:val="18"/>
                <w:szCs w:val="18"/>
              </w:rPr>
              <w:t>149 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44BCBB7" w14:textId="77777777" w:rsidR="00000000" w:rsidRDefault="00405D16">
            <w:pPr>
              <w:spacing w:after="100"/>
              <w:jc w:val="right"/>
              <w:rPr>
                <w:rFonts w:eastAsia="Times New Roman"/>
              </w:rPr>
            </w:pPr>
          </w:p>
        </w:tc>
        <w:tc>
          <w:tcPr>
            <w:tcW w:w="0" w:type="auto"/>
            <w:vAlign w:val="center"/>
            <w:hideMark/>
          </w:tcPr>
          <w:p w14:paraId="6AD2D31E" w14:textId="77777777" w:rsidR="00000000" w:rsidRDefault="00405D16">
            <w:pPr>
              <w:spacing w:after="100"/>
              <w:jc w:val="right"/>
              <w:rPr>
                <w:rFonts w:eastAsia="Times New Roman"/>
                <w:sz w:val="20"/>
                <w:szCs w:val="20"/>
              </w:rPr>
            </w:pPr>
          </w:p>
        </w:tc>
        <w:tc>
          <w:tcPr>
            <w:tcW w:w="0" w:type="auto"/>
            <w:vAlign w:val="center"/>
            <w:hideMark/>
          </w:tcPr>
          <w:p w14:paraId="34FA031C" w14:textId="77777777" w:rsidR="00000000" w:rsidRDefault="00405D16">
            <w:pPr>
              <w:spacing w:after="100"/>
              <w:rPr>
                <w:rFonts w:eastAsia="Times New Roman"/>
                <w:sz w:val="20"/>
                <w:szCs w:val="20"/>
              </w:rPr>
            </w:pPr>
          </w:p>
        </w:tc>
        <w:tc>
          <w:tcPr>
            <w:tcW w:w="0" w:type="auto"/>
            <w:gridSpan w:val="3"/>
            <w:vAlign w:val="center"/>
            <w:hideMark/>
          </w:tcPr>
          <w:p w14:paraId="76562182" w14:textId="77777777" w:rsidR="00000000" w:rsidRDefault="00405D16">
            <w:pPr>
              <w:spacing w:after="100"/>
              <w:rPr>
                <w:rFonts w:eastAsia="Times New Roman"/>
                <w:sz w:val="20"/>
                <w:szCs w:val="20"/>
              </w:rPr>
            </w:pPr>
          </w:p>
        </w:tc>
        <w:tc>
          <w:tcPr>
            <w:tcW w:w="0" w:type="auto"/>
            <w:gridSpan w:val="3"/>
            <w:vAlign w:val="center"/>
            <w:hideMark/>
          </w:tcPr>
          <w:p w14:paraId="61507E59" w14:textId="77777777" w:rsidR="00000000" w:rsidRDefault="00405D16">
            <w:pPr>
              <w:spacing w:after="100"/>
              <w:rPr>
                <w:rFonts w:eastAsia="Times New Roman"/>
                <w:sz w:val="20"/>
                <w:szCs w:val="20"/>
              </w:rPr>
            </w:pPr>
          </w:p>
        </w:tc>
        <w:tc>
          <w:tcPr>
            <w:tcW w:w="0" w:type="auto"/>
            <w:gridSpan w:val="3"/>
            <w:vAlign w:val="center"/>
            <w:hideMark/>
          </w:tcPr>
          <w:p w14:paraId="680BFB90" w14:textId="77777777" w:rsidR="00000000" w:rsidRDefault="00405D16">
            <w:pPr>
              <w:spacing w:after="100"/>
              <w:rPr>
                <w:rFonts w:eastAsia="Times New Roman"/>
                <w:sz w:val="20"/>
                <w:szCs w:val="20"/>
              </w:rPr>
            </w:pPr>
          </w:p>
        </w:tc>
        <w:tc>
          <w:tcPr>
            <w:tcW w:w="0" w:type="auto"/>
            <w:gridSpan w:val="3"/>
            <w:vAlign w:val="center"/>
            <w:hideMark/>
          </w:tcPr>
          <w:p w14:paraId="2EBEBE5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99198C" w14:textId="77777777" w:rsidR="00000000" w:rsidRDefault="00405D16">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1A75F910"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3AE08F30" w14:textId="77777777" w:rsidR="00000000" w:rsidRDefault="00405D16">
            <w:pPr>
              <w:spacing w:after="100"/>
              <w:jc w:val="right"/>
              <w:rPr>
                <w:rFonts w:eastAsia="Times New Roman"/>
              </w:rPr>
            </w:pPr>
          </w:p>
        </w:tc>
        <w:tc>
          <w:tcPr>
            <w:tcW w:w="0" w:type="auto"/>
            <w:gridSpan w:val="2"/>
            <w:vAlign w:val="center"/>
            <w:hideMark/>
          </w:tcPr>
          <w:p w14:paraId="53E1FD00" w14:textId="77777777" w:rsidR="00000000" w:rsidRDefault="00405D16">
            <w:pPr>
              <w:spacing w:after="100"/>
              <w:rPr>
                <w:rFonts w:eastAsia="Times New Roman"/>
                <w:sz w:val="20"/>
                <w:szCs w:val="20"/>
              </w:rPr>
            </w:pPr>
          </w:p>
        </w:tc>
      </w:tr>
      <w:tr w:rsidR="00000000" w14:paraId="74DE1AB2" w14:textId="77777777">
        <w:trPr>
          <w:divId w:val="227809696"/>
        </w:trPr>
        <w:tc>
          <w:tcPr>
            <w:tcW w:w="0" w:type="auto"/>
            <w:gridSpan w:val="3"/>
            <w:shd w:val="clear" w:color="auto" w:fill="CCEEFF"/>
            <w:tcMar>
              <w:top w:w="30" w:type="dxa"/>
              <w:left w:w="20" w:type="dxa"/>
              <w:bottom w:w="30" w:type="dxa"/>
              <w:right w:w="20" w:type="dxa"/>
            </w:tcMar>
            <w:vAlign w:val="center"/>
            <w:hideMark/>
          </w:tcPr>
          <w:p w14:paraId="524B957A" w14:textId="77777777" w:rsidR="00000000" w:rsidRDefault="00405D16">
            <w:pPr>
              <w:spacing w:after="100"/>
              <w:rPr>
                <w:rFonts w:eastAsia="Times New Roman"/>
              </w:rPr>
            </w:pPr>
            <w:r>
              <w:rPr>
                <w:rFonts w:eastAsia="Times New Roman"/>
                <w:color w:val="000000"/>
                <w:sz w:val="18"/>
                <w:szCs w:val="18"/>
              </w:rPr>
              <w:t>Loss from discontinued operations, net of tax</w:t>
            </w:r>
          </w:p>
        </w:tc>
        <w:tc>
          <w:tcPr>
            <w:tcW w:w="0" w:type="auto"/>
            <w:gridSpan w:val="3"/>
            <w:shd w:val="clear" w:color="auto" w:fill="CCEEFF"/>
            <w:tcMar>
              <w:top w:w="0" w:type="dxa"/>
              <w:left w:w="20" w:type="dxa"/>
              <w:bottom w:w="0" w:type="dxa"/>
              <w:right w:w="20" w:type="dxa"/>
            </w:tcMar>
            <w:vAlign w:val="center"/>
            <w:hideMark/>
          </w:tcPr>
          <w:p w14:paraId="38B2578A"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CD52A64" w14:textId="77777777" w:rsidR="00000000" w:rsidRDefault="00405D16">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8C80F5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00CA8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F677689" w14:textId="77777777" w:rsidR="00000000" w:rsidRDefault="00405D16">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F3B549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28F135"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57BA5B9D"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3597C50"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B02E094" w14:textId="77777777" w:rsidR="00000000" w:rsidRDefault="00405D16">
            <w:pPr>
              <w:spacing w:after="100"/>
              <w:jc w:val="right"/>
              <w:rPr>
                <w:rFonts w:eastAsia="Times New Roman"/>
              </w:rPr>
            </w:pPr>
            <w:r>
              <w:rPr>
                <w:rFonts w:eastAsia="Times New Roman"/>
                <w:b/>
                <w:bCs/>
                <w:color w:val="000000"/>
                <w:sz w:val="18"/>
                <w:szCs w:val="18"/>
              </w:rPr>
              <w:t>(3)</w:t>
            </w:r>
          </w:p>
        </w:tc>
        <w:tc>
          <w:tcPr>
            <w:tcW w:w="0" w:type="auto"/>
            <w:shd w:val="clear" w:color="auto" w:fill="CCEEFF"/>
            <w:tcMar>
              <w:top w:w="30" w:type="dxa"/>
              <w:left w:w="0" w:type="dxa"/>
              <w:bottom w:w="30" w:type="dxa"/>
              <w:right w:w="20" w:type="dxa"/>
            </w:tcMar>
            <w:vAlign w:val="bottom"/>
            <w:hideMark/>
          </w:tcPr>
          <w:p w14:paraId="786E6D9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6F6CA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A76BFA" w14:textId="77777777" w:rsidR="00000000" w:rsidRDefault="00405D16">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14:paraId="21E62998" w14:textId="77777777" w:rsidR="00000000" w:rsidRDefault="00405D16">
            <w:pPr>
              <w:spacing w:after="100"/>
              <w:jc w:val="right"/>
              <w:rPr>
                <w:rFonts w:eastAsia="Times New Roman"/>
              </w:rPr>
            </w:pPr>
          </w:p>
        </w:tc>
        <w:tc>
          <w:tcPr>
            <w:tcW w:w="0" w:type="auto"/>
            <w:vAlign w:val="center"/>
            <w:hideMark/>
          </w:tcPr>
          <w:p w14:paraId="15D6628B" w14:textId="77777777" w:rsidR="00000000" w:rsidRDefault="00405D16">
            <w:pPr>
              <w:spacing w:after="100"/>
              <w:jc w:val="right"/>
              <w:rPr>
                <w:rFonts w:eastAsia="Times New Roman"/>
                <w:sz w:val="20"/>
                <w:szCs w:val="20"/>
              </w:rPr>
            </w:pPr>
          </w:p>
        </w:tc>
        <w:tc>
          <w:tcPr>
            <w:tcW w:w="0" w:type="auto"/>
            <w:vAlign w:val="center"/>
            <w:hideMark/>
          </w:tcPr>
          <w:p w14:paraId="5C8F3C6C" w14:textId="77777777" w:rsidR="00000000" w:rsidRDefault="00405D16">
            <w:pPr>
              <w:spacing w:after="100"/>
              <w:rPr>
                <w:rFonts w:eastAsia="Times New Roman"/>
                <w:sz w:val="20"/>
                <w:szCs w:val="20"/>
              </w:rPr>
            </w:pPr>
          </w:p>
        </w:tc>
        <w:tc>
          <w:tcPr>
            <w:tcW w:w="0" w:type="auto"/>
            <w:gridSpan w:val="3"/>
            <w:vAlign w:val="center"/>
            <w:hideMark/>
          </w:tcPr>
          <w:p w14:paraId="7E0DD179" w14:textId="77777777" w:rsidR="00000000" w:rsidRDefault="00405D16">
            <w:pPr>
              <w:spacing w:after="100"/>
              <w:rPr>
                <w:rFonts w:eastAsia="Times New Roman"/>
                <w:sz w:val="20"/>
                <w:szCs w:val="20"/>
              </w:rPr>
            </w:pPr>
          </w:p>
        </w:tc>
        <w:tc>
          <w:tcPr>
            <w:tcW w:w="0" w:type="auto"/>
            <w:gridSpan w:val="3"/>
            <w:vAlign w:val="center"/>
            <w:hideMark/>
          </w:tcPr>
          <w:p w14:paraId="732A11C7" w14:textId="77777777" w:rsidR="00000000" w:rsidRDefault="00405D16">
            <w:pPr>
              <w:spacing w:after="100"/>
              <w:rPr>
                <w:rFonts w:eastAsia="Times New Roman"/>
                <w:sz w:val="20"/>
                <w:szCs w:val="20"/>
              </w:rPr>
            </w:pPr>
          </w:p>
        </w:tc>
        <w:tc>
          <w:tcPr>
            <w:tcW w:w="0" w:type="auto"/>
            <w:gridSpan w:val="3"/>
            <w:vAlign w:val="center"/>
            <w:hideMark/>
          </w:tcPr>
          <w:p w14:paraId="2FF90531" w14:textId="77777777" w:rsidR="00000000" w:rsidRDefault="00405D16">
            <w:pPr>
              <w:spacing w:after="100"/>
              <w:rPr>
                <w:rFonts w:eastAsia="Times New Roman"/>
                <w:sz w:val="20"/>
                <w:szCs w:val="20"/>
              </w:rPr>
            </w:pPr>
          </w:p>
        </w:tc>
        <w:tc>
          <w:tcPr>
            <w:tcW w:w="0" w:type="auto"/>
            <w:gridSpan w:val="3"/>
            <w:vAlign w:val="center"/>
            <w:hideMark/>
          </w:tcPr>
          <w:p w14:paraId="7F48F30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A13A27" w14:textId="77777777" w:rsidR="00000000" w:rsidRDefault="00405D16">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4040AA88"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0BDAFE5F" w14:textId="77777777" w:rsidR="00000000" w:rsidRDefault="00405D16">
            <w:pPr>
              <w:spacing w:after="100"/>
              <w:jc w:val="right"/>
              <w:rPr>
                <w:rFonts w:eastAsia="Times New Roman"/>
              </w:rPr>
            </w:pPr>
          </w:p>
        </w:tc>
        <w:tc>
          <w:tcPr>
            <w:tcW w:w="0" w:type="auto"/>
            <w:gridSpan w:val="2"/>
            <w:vAlign w:val="center"/>
            <w:hideMark/>
          </w:tcPr>
          <w:p w14:paraId="6B5D499E" w14:textId="77777777" w:rsidR="00000000" w:rsidRDefault="00405D16">
            <w:pPr>
              <w:spacing w:after="100"/>
              <w:rPr>
                <w:rFonts w:eastAsia="Times New Roman"/>
                <w:sz w:val="20"/>
                <w:szCs w:val="20"/>
              </w:rPr>
            </w:pPr>
          </w:p>
        </w:tc>
      </w:tr>
      <w:tr w:rsidR="00000000" w14:paraId="1230E72E" w14:textId="77777777">
        <w:trPr>
          <w:divId w:val="227809696"/>
        </w:trPr>
        <w:tc>
          <w:tcPr>
            <w:tcW w:w="0" w:type="auto"/>
            <w:gridSpan w:val="3"/>
            <w:shd w:val="clear" w:color="auto" w:fill="FFFFFF"/>
            <w:tcMar>
              <w:top w:w="30" w:type="dxa"/>
              <w:left w:w="20" w:type="dxa"/>
              <w:bottom w:w="30" w:type="dxa"/>
              <w:right w:w="20" w:type="dxa"/>
            </w:tcMar>
            <w:vAlign w:val="center"/>
            <w:hideMark/>
          </w:tcPr>
          <w:p w14:paraId="07B318E0" w14:textId="77777777" w:rsidR="00000000" w:rsidRDefault="00405D16">
            <w:pPr>
              <w:spacing w:after="100"/>
              <w:rPr>
                <w:rFonts w:eastAsia="Times New Roman"/>
              </w:rPr>
            </w:pPr>
            <w:r>
              <w:rPr>
                <w:rFonts w:eastAsia="Times New Roman"/>
                <w:b/>
                <w:bCs/>
                <w:color w:val="000000"/>
                <w:sz w:val="18"/>
                <w:szCs w:val="18"/>
              </w:rPr>
              <w:t>Net income</w:t>
            </w:r>
          </w:p>
        </w:tc>
        <w:tc>
          <w:tcPr>
            <w:tcW w:w="0" w:type="auto"/>
            <w:gridSpan w:val="3"/>
            <w:shd w:val="clear" w:color="auto" w:fill="FFFFFF"/>
            <w:tcMar>
              <w:top w:w="0" w:type="dxa"/>
              <w:left w:w="20" w:type="dxa"/>
              <w:bottom w:w="0" w:type="dxa"/>
              <w:right w:w="20" w:type="dxa"/>
            </w:tcMar>
            <w:vAlign w:val="center"/>
            <w:hideMark/>
          </w:tcPr>
          <w:p w14:paraId="7CCE06BD"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6E577CD" w14:textId="77777777" w:rsidR="00000000" w:rsidRDefault="00405D16">
            <w:pPr>
              <w:spacing w:after="100"/>
              <w:jc w:val="right"/>
              <w:rPr>
                <w:rFonts w:eastAsia="Times New Roman"/>
              </w:rPr>
            </w:pPr>
            <w:r>
              <w:rPr>
                <w:rFonts w:eastAsia="Times New Roman"/>
                <w:b/>
                <w:bCs/>
                <w:color w:val="000000"/>
                <w:sz w:val="18"/>
                <w:szCs w:val="18"/>
              </w:rPr>
              <w:t>3,104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C319FC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CA965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4F7532A" w14:textId="77777777" w:rsidR="00000000" w:rsidRDefault="00405D16">
            <w:pPr>
              <w:spacing w:after="100"/>
              <w:jc w:val="right"/>
              <w:rPr>
                <w:rFonts w:eastAsia="Times New Roman"/>
              </w:rPr>
            </w:pPr>
            <w:r>
              <w:rPr>
                <w:rFonts w:eastAsia="Times New Roman"/>
                <w:color w:val="000000"/>
                <w:sz w:val="18"/>
                <w:szCs w:val="18"/>
              </w:rPr>
              <w:t>2,406 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F3E42E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989CA9"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43BEE0F4" w14:textId="77777777" w:rsidR="00000000" w:rsidRDefault="00405D16">
            <w:pPr>
              <w:spacing w:after="100"/>
              <w:jc w:val="right"/>
              <w:rPr>
                <w:rFonts w:eastAsia="Times New Roman"/>
              </w:rPr>
            </w:pPr>
            <w:r>
              <w:rPr>
                <w:rFonts w:eastAsia="Times New Roman"/>
                <w:color w:val="000000"/>
                <w:sz w:val="18"/>
                <w:szCs w:val="18"/>
              </w:rPr>
              <w:t>29</w:t>
            </w:r>
          </w:p>
        </w:tc>
        <w:tc>
          <w:tcPr>
            <w:tcW w:w="0" w:type="auto"/>
            <w:gridSpan w:val="3"/>
            <w:shd w:val="clear" w:color="auto" w:fill="FFFFFF"/>
            <w:tcMar>
              <w:top w:w="0" w:type="dxa"/>
              <w:left w:w="20" w:type="dxa"/>
              <w:bottom w:w="0" w:type="dxa"/>
              <w:right w:w="20" w:type="dxa"/>
            </w:tcMar>
            <w:vAlign w:val="center"/>
            <w:hideMark/>
          </w:tcPr>
          <w:p w14:paraId="0CC8B727" w14:textId="77777777" w:rsidR="00000000" w:rsidRDefault="00405D16">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B2703BA" w14:textId="77777777" w:rsidR="00000000" w:rsidRDefault="00405D16">
            <w:pPr>
              <w:spacing w:after="100"/>
              <w:jc w:val="right"/>
              <w:rPr>
                <w:rFonts w:eastAsia="Times New Roman"/>
              </w:rPr>
            </w:pPr>
            <w:r>
              <w:rPr>
                <w:rFonts w:eastAsia="Times New Roman"/>
                <w:b/>
                <w:bCs/>
                <w:color w:val="000000"/>
                <w:sz w:val="18"/>
                <w:szCs w:val="18"/>
              </w:rPr>
              <w:t>9,965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2C69EA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C173B0"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0800D11" w14:textId="77777777" w:rsidR="00000000" w:rsidRDefault="00405D16">
            <w:pPr>
              <w:spacing w:after="100"/>
              <w:jc w:val="right"/>
              <w:rPr>
                <w:rFonts w:eastAsia="Times New Roman"/>
              </w:rPr>
            </w:pPr>
            <w:r>
              <w:rPr>
                <w:rFonts w:eastAsia="Times New Roman"/>
                <w:color w:val="000000"/>
                <w:sz w:val="18"/>
                <w:szCs w:val="18"/>
              </w:rPr>
              <w:t>148 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B820EC2" w14:textId="77777777" w:rsidR="00000000" w:rsidRDefault="00405D16">
            <w:pPr>
              <w:spacing w:after="100"/>
              <w:jc w:val="right"/>
              <w:rPr>
                <w:rFonts w:eastAsia="Times New Roman"/>
              </w:rPr>
            </w:pPr>
          </w:p>
        </w:tc>
        <w:tc>
          <w:tcPr>
            <w:tcW w:w="0" w:type="auto"/>
            <w:vAlign w:val="center"/>
            <w:hideMark/>
          </w:tcPr>
          <w:p w14:paraId="177CEA31" w14:textId="77777777" w:rsidR="00000000" w:rsidRDefault="00405D16">
            <w:pPr>
              <w:spacing w:after="100"/>
              <w:jc w:val="right"/>
              <w:rPr>
                <w:rFonts w:eastAsia="Times New Roman"/>
                <w:sz w:val="20"/>
                <w:szCs w:val="20"/>
              </w:rPr>
            </w:pPr>
          </w:p>
        </w:tc>
        <w:tc>
          <w:tcPr>
            <w:tcW w:w="0" w:type="auto"/>
            <w:vAlign w:val="center"/>
            <w:hideMark/>
          </w:tcPr>
          <w:p w14:paraId="2E3118BE" w14:textId="77777777" w:rsidR="00000000" w:rsidRDefault="00405D16">
            <w:pPr>
              <w:spacing w:after="100"/>
              <w:rPr>
                <w:rFonts w:eastAsia="Times New Roman"/>
                <w:sz w:val="20"/>
                <w:szCs w:val="20"/>
              </w:rPr>
            </w:pPr>
          </w:p>
        </w:tc>
        <w:tc>
          <w:tcPr>
            <w:tcW w:w="0" w:type="auto"/>
            <w:gridSpan w:val="3"/>
            <w:vAlign w:val="center"/>
            <w:hideMark/>
          </w:tcPr>
          <w:p w14:paraId="2C8EFAAE" w14:textId="77777777" w:rsidR="00000000" w:rsidRDefault="00405D16">
            <w:pPr>
              <w:spacing w:after="100"/>
              <w:rPr>
                <w:rFonts w:eastAsia="Times New Roman"/>
                <w:sz w:val="20"/>
                <w:szCs w:val="20"/>
              </w:rPr>
            </w:pPr>
          </w:p>
        </w:tc>
        <w:tc>
          <w:tcPr>
            <w:tcW w:w="0" w:type="auto"/>
            <w:gridSpan w:val="3"/>
            <w:vAlign w:val="center"/>
            <w:hideMark/>
          </w:tcPr>
          <w:p w14:paraId="0433ADE5" w14:textId="77777777" w:rsidR="00000000" w:rsidRDefault="00405D16">
            <w:pPr>
              <w:spacing w:after="100"/>
              <w:rPr>
                <w:rFonts w:eastAsia="Times New Roman"/>
                <w:sz w:val="20"/>
                <w:szCs w:val="20"/>
              </w:rPr>
            </w:pPr>
          </w:p>
        </w:tc>
        <w:tc>
          <w:tcPr>
            <w:tcW w:w="0" w:type="auto"/>
            <w:gridSpan w:val="3"/>
            <w:vAlign w:val="center"/>
            <w:hideMark/>
          </w:tcPr>
          <w:p w14:paraId="4DA2E502" w14:textId="77777777" w:rsidR="00000000" w:rsidRDefault="00405D16">
            <w:pPr>
              <w:spacing w:after="100"/>
              <w:rPr>
                <w:rFonts w:eastAsia="Times New Roman"/>
                <w:sz w:val="20"/>
                <w:szCs w:val="20"/>
              </w:rPr>
            </w:pPr>
          </w:p>
        </w:tc>
        <w:tc>
          <w:tcPr>
            <w:tcW w:w="0" w:type="auto"/>
            <w:gridSpan w:val="3"/>
            <w:vAlign w:val="center"/>
            <w:hideMark/>
          </w:tcPr>
          <w:p w14:paraId="7D386E1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E5606B" w14:textId="77777777" w:rsidR="00000000" w:rsidRDefault="00405D16">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12B0DBE4"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25F0666A" w14:textId="77777777" w:rsidR="00000000" w:rsidRDefault="00405D16">
            <w:pPr>
              <w:spacing w:after="100"/>
              <w:jc w:val="right"/>
              <w:rPr>
                <w:rFonts w:eastAsia="Times New Roman"/>
              </w:rPr>
            </w:pPr>
          </w:p>
        </w:tc>
        <w:tc>
          <w:tcPr>
            <w:tcW w:w="0" w:type="auto"/>
            <w:gridSpan w:val="2"/>
            <w:vAlign w:val="center"/>
            <w:hideMark/>
          </w:tcPr>
          <w:p w14:paraId="1295A6E9" w14:textId="77777777" w:rsidR="00000000" w:rsidRDefault="00405D16">
            <w:pPr>
              <w:spacing w:after="100"/>
              <w:rPr>
                <w:rFonts w:eastAsia="Times New Roman"/>
                <w:sz w:val="20"/>
                <w:szCs w:val="20"/>
              </w:rPr>
            </w:pPr>
          </w:p>
        </w:tc>
      </w:tr>
      <w:tr w:rsidR="00000000" w14:paraId="6A2E0F47" w14:textId="77777777">
        <w:trPr>
          <w:divId w:val="227809696"/>
        </w:trPr>
        <w:tc>
          <w:tcPr>
            <w:tcW w:w="0" w:type="auto"/>
            <w:gridSpan w:val="3"/>
            <w:shd w:val="clear" w:color="auto" w:fill="CCEEFF"/>
            <w:tcMar>
              <w:top w:w="30" w:type="dxa"/>
              <w:left w:w="20" w:type="dxa"/>
              <w:bottom w:w="30" w:type="dxa"/>
              <w:right w:w="20" w:type="dxa"/>
            </w:tcMar>
            <w:vAlign w:val="center"/>
            <w:hideMark/>
          </w:tcPr>
          <w:p w14:paraId="79217B77" w14:textId="77777777" w:rsidR="00000000" w:rsidRDefault="00405D16">
            <w:pPr>
              <w:spacing w:after="100"/>
              <w:rPr>
                <w:rFonts w:eastAsia="Times New Roman"/>
              </w:rPr>
            </w:pPr>
            <w:r>
              <w:rPr>
                <w:rFonts w:eastAsia="Times New Roman"/>
                <w:color w:val="000000"/>
                <w:sz w:val="18"/>
                <w:szCs w:val="18"/>
              </w:rPr>
              <w:t>Dividends and undistributed earnings allocated to participating securities</w:t>
            </w:r>
          </w:p>
        </w:tc>
        <w:tc>
          <w:tcPr>
            <w:tcW w:w="0" w:type="auto"/>
            <w:gridSpan w:val="3"/>
            <w:shd w:val="clear" w:color="auto" w:fill="CCEEFF"/>
            <w:tcMar>
              <w:top w:w="0" w:type="dxa"/>
              <w:left w:w="20" w:type="dxa"/>
              <w:bottom w:w="0" w:type="dxa"/>
              <w:right w:w="20" w:type="dxa"/>
            </w:tcMar>
            <w:vAlign w:val="center"/>
            <w:hideMark/>
          </w:tcPr>
          <w:p w14:paraId="148A876F"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17A62E6" w14:textId="77777777" w:rsidR="00000000" w:rsidRDefault="00405D16">
            <w:pPr>
              <w:spacing w:after="100"/>
              <w:jc w:val="right"/>
              <w:rPr>
                <w:rFonts w:eastAsia="Times New Roman"/>
              </w:rPr>
            </w:pPr>
            <w:r>
              <w:rPr>
                <w:rFonts w:eastAsia="Times New Roman"/>
                <w:b/>
                <w:bCs/>
                <w:color w:val="000000"/>
                <w:sz w:val="18"/>
                <w:szCs w:val="18"/>
              </w:rPr>
              <w:t>(26)</w:t>
            </w:r>
          </w:p>
        </w:tc>
        <w:tc>
          <w:tcPr>
            <w:tcW w:w="0" w:type="auto"/>
            <w:shd w:val="clear" w:color="auto" w:fill="CCEEFF"/>
            <w:tcMar>
              <w:top w:w="30" w:type="dxa"/>
              <w:left w:w="0" w:type="dxa"/>
              <w:bottom w:w="30" w:type="dxa"/>
              <w:right w:w="20" w:type="dxa"/>
            </w:tcMar>
            <w:vAlign w:val="bottom"/>
            <w:hideMark/>
          </w:tcPr>
          <w:p w14:paraId="6F30E68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087BC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810D5B" w14:textId="77777777" w:rsidR="00000000" w:rsidRDefault="00405D16">
            <w:pPr>
              <w:spacing w:after="100"/>
              <w:jc w:val="right"/>
              <w:rPr>
                <w:rFonts w:eastAsia="Times New Roman"/>
              </w:rPr>
            </w:pPr>
            <w:r>
              <w:rPr>
                <w:rFonts w:eastAsia="Times New Roman"/>
                <w:color w:val="000000"/>
                <w:sz w:val="18"/>
                <w:szCs w:val="18"/>
              </w:rPr>
              <w:t>(20)</w:t>
            </w:r>
          </w:p>
        </w:tc>
        <w:tc>
          <w:tcPr>
            <w:tcW w:w="0" w:type="auto"/>
            <w:shd w:val="clear" w:color="auto" w:fill="CCEEFF"/>
            <w:tcMar>
              <w:top w:w="30" w:type="dxa"/>
              <w:left w:w="0" w:type="dxa"/>
              <w:bottom w:w="30" w:type="dxa"/>
              <w:right w:w="20" w:type="dxa"/>
            </w:tcMar>
            <w:vAlign w:val="bottom"/>
            <w:hideMark/>
          </w:tcPr>
          <w:p w14:paraId="23EA3F4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89DA0F"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7F7F60CA" w14:textId="77777777" w:rsidR="00000000" w:rsidRDefault="00405D16">
            <w:pPr>
              <w:spacing w:after="100"/>
              <w:jc w:val="right"/>
              <w:rPr>
                <w:rFonts w:eastAsia="Times New Roman"/>
              </w:rPr>
            </w:pPr>
            <w:r>
              <w:rPr>
                <w:rFonts w:eastAsia="Times New Roman"/>
                <w:color w:val="000000"/>
                <w:sz w:val="18"/>
                <w:szCs w:val="18"/>
              </w:rPr>
              <w:t>30</w:t>
            </w:r>
          </w:p>
        </w:tc>
        <w:tc>
          <w:tcPr>
            <w:tcW w:w="0" w:type="auto"/>
            <w:gridSpan w:val="3"/>
            <w:shd w:val="clear" w:color="auto" w:fill="CCEEFF"/>
            <w:tcMar>
              <w:top w:w="0" w:type="dxa"/>
              <w:left w:w="20" w:type="dxa"/>
              <w:bottom w:w="0" w:type="dxa"/>
              <w:right w:w="20" w:type="dxa"/>
            </w:tcMar>
            <w:vAlign w:val="center"/>
            <w:hideMark/>
          </w:tcPr>
          <w:p w14:paraId="54B12296"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A88C26A" w14:textId="77777777" w:rsidR="00000000" w:rsidRDefault="00405D16">
            <w:pPr>
              <w:spacing w:after="100"/>
              <w:jc w:val="right"/>
              <w:rPr>
                <w:rFonts w:eastAsia="Times New Roman"/>
              </w:rPr>
            </w:pPr>
            <w:r>
              <w:rPr>
                <w:rFonts w:eastAsia="Times New Roman"/>
                <w:b/>
                <w:bCs/>
                <w:color w:val="000000"/>
                <w:sz w:val="18"/>
                <w:szCs w:val="18"/>
              </w:rPr>
              <w:t>(84)</w:t>
            </w:r>
          </w:p>
        </w:tc>
        <w:tc>
          <w:tcPr>
            <w:tcW w:w="0" w:type="auto"/>
            <w:shd w:val="clear" w:color="auto" w:fill="CCEEFF"/>
            <w:tcMar>
              <w:top w:w="30" w:type="dxa"/>
              <w:left w:w="0" w:type="dxa"/>
              <w:bottom w:w="30" w:type="dxa"/>
              <w:right w:w="20" w:type="dxa"/>
            </w:tcMar>
            <w:vAlign w:val="bottom"/>
            <w:hideMark/>
          </w:tcPr>
          <w:p w14:paraId="5B9721E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FC094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FE019B" w14:textId="77777777" w:rsidR="00000000" w:rsidRDefault="00405D16">
            <w:pPr>
              <w:spacing w:after="100"/>
              <w:jc w:val="right"/>
              <w:rPr>
                <w:rFonts w:eastAsia="Times New Roman"/>
              </w:rPr>
            </w:pPr>
            <w:r>
              <w:rPr>
                <w:rFonts w:eastAsia="Times New Roman"/>
                <w:color w:val="000000"/>
                <w:sz w:val="18"/>
                <w:szCs w:val="18"/>
              </w:rPr>
              <w:t>(5)</w:t>
            </w:r>
          </w:p>
        </w:tc>
        <w:tc>
          <w:tcPr>
            <w:tcW w:w="0" w:type="auto"/>
            <w:shd w:val="clear" w:color="auto" w:fill="CCEEFF"/>
            <w:tcMar>
              <w:top w:w="30" w:type="dxa"/>
              <w:left w:w="0" w:type="dxa"/>
              <w:bottom w:w="30" w:type="dxa"/>
              <w:right w:w="20" w:type="dxa"/>
            </w:tcMar>
            <w:vAlign w:val="bottom"/>
            <w:hideMark/>
          </w:tcPr>
          <w:p w14:paraId="35904BFC" w14:textId="77777777" w:rsidR="00000000" w:rsidRDefault="00405D16">
            <w:pPr>
              <w:spacing w:after="100"/>
              <w:jc w:val="right"/>
              <w:rPr>
                <w:rFonts w:eastAsia="Times New Roman"/>
              </w:rPr>
            </w:pPr>
          </w:p>
        </w:tc>
        <w:tc>
          <w:tcPr>
            <w:tcW w:w="0" w:type="auto"/>
            <w:vAlign w:val="center"/>
            <w:hideMark/>
          </w:tcPr>
          <w:p w14:paraId="7BBFD09E" w14:textId="77777777" w:rsidR="00000000" w:rsidRDefault="00405D16">
            <w:pPr>
              <w:spacing w:after="100"/>
              <w:jc w:val="right"/>
              <w:rPr>
                <w:rFonts w:eastAsia="Times New Roman"/>
                <w:sz w:val="20"/>
                <w:szCs w:val="20"/>
              </w:rPr>
            </w:pPr>
          </w:p>
        </w:tc>
        <w:tc>
          <w:tcPr>
            <w:tcW w:w="0" w:type="auto"/>
            <w:vAlign w:val="center"/>
            <w:hideMark/>
          </w:tcPr>
          <w:p w14:paraId="08B347F2" w14:textId="77777777" w:rsidR="00000000" w:rsidRDefault="00405D16">
            <w:pPr>
              <w:spacing w:after="100"/>
              <w:rPr>
                <w:rFonts w:eastAsia="Times New Roman"/>
                <w:sz w:val="20"/>
                <w:szCs w:val="20"/>
              </w:rPr>
            </w:pPr>
          </w:p>
        </w:tc>
        <w:tc>
          <w:tcPr>
            <w:tcW w:w="0" w:type="auto"/>
            <w:gridSpan w:val="3"/>
            <w:vAlign w:val="center"/>
            <w:hideMark/>
          </w:tcPr>
          <w:p w14:paraId="60DBBCD8" w14:textId="77777777" w:rsidR="00000000" w:rsidRDefault="00405D16">
            <w:pPr>
              <w:spacing w:after="100"/>
              <w:rPr>
                <w:rFonts w:eastAsia="Times New Roman"/>
                <w:sz w:val="20"/>
                <w:szCs w:val="20"/>
              </w:rPr>
            </w:pPr>
          </w:p>
        </w:tc>
        <w:tc>
          <w:tcPr>
            <w:tcW w:w="0" w:type="auto"/>
            <w:gridSpan w:val="3"/>
            <w:vAlign w:val="center"/>
            <w:hideMark/>
          </w:tcPr>
          <w:p w14:paraId="68E89191" w14:textId="77777777" w:rsidR="00000000" w:rsidRDefault="00405D16">
            <w:pPr>
              <w:spacing w:after="100"/>
              <w:rPr>
                <w:rFonts w:eastAsia="Times New Roman"/>
                <w:sz w:val="20"/>
                <w:szCs w:val="20"/>
              </w:rPr>
            </w:pPr>
          </w:p>
        </w:tc>
        <w:tc>
          <w:tcPr>
            <w:tcW w:w="0" w:type="auto"/>
            <w:gridSpan w:val="3"/>
            <w:vAlign w:val="center"/>
            <w:hideMark/>
          </w:tcPr>
          <w:p w14:paraId="3D25657B" w14:textId="77777777" w:rsidR="00000000" w:rsidRDefault="00405D16">
            <w:pPr>
              <w:spacing w:after="100"/>
              <w:rPr>
                <w:rFonts w:eastAsia="Times New Roman"/>
                <w:sz w:val="20"/>
                <w:szCs w:val="20"/>
              </w:rPr>
            </w:pPr>
          </w:p>
        </w:tc>
        <w:tc>
          <w:tcPr>
            <w:tcW w:w="0" w:type="auto"/>
            <w:gridSpan w:val="3"/>
            <w:vAlign w:val="center"/>
            <w:hideMark/>
          </w:tcPr>
          <w:p w14:paraId="5EB2F88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F5FD09" w14:textId="77777777" w:rsidR="00000000" w:rsidRDefault="00405D16">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01F90483"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492EB895" w14:textId="77777777" w:rsidR="00000000" w:rsidRDefault="00405D16">
            <w:pPr>
              <w:spacing w:after="100"/>
              <w:jc w:val="right"/>
              <w:rPr>
                <w:rFonts w:eastAsia="Times New Roman"/>
              </w:rPr>
            </w:pPr>
          </w:p>
        </w:tc>
        <w:tc>
          <w:tcPr>
            <w:tcW w:w="0" w:type="auto"/>
            <w:gridSpan w:val="2"/>
            <w:vAlign w:val="center"/>
            <w:hideMark/>
          </w:tcPr>
          <w:p w14:paraId="206BFF4E" w14:textId="77777777" w:rsidR="00000000" w:rsidRDefault="00405D16">
            <w:pPr>
              <w:spacing w:after="100"/>
              <w:rPr>
                <w:rFonts w:eastAsia="Times New Roman"/>
                <w:sz w:val="20"/>
                <w:szCs w:val="20"/>
              </w:rPr>
            </w:pPr>
          </w:p>
        </w:tc>
      </w:tr>
      <w:tr w:rsidR="00000000" w14:paraId="45F45145" w14:textId="77777777">
        <w:trPr>
          <w:divId w:val="227809696"/>
        </w:trPr>
        <w:tc>
          <w:tcPr>
            <w:tcW w:w="0" w:type="auto"/>
            <w:gridSpan w:val="3"/>
            <w:shd w:val="clear" w:color="auto" w:fill="FFFFFF"/>
            <w:tcMar>
              <w:top w:w="30" w:type="dxa"/>
              <w:left w:w="20" w:type="dxa"/>
              <w:bottom w:w="30" w:type="dxa"/>
              <w:right w:w="20" w:type="dxa"/>
            </w:tcMar>
            <w:vAlign w:val="center"/>
            <w:hideMark/>
          </w:tcPr>
          <w:p w14:paraId="040CFCA0" w14:textId="77777777" w:rsidR="00000000" w:rsidRDefault="00405D16">
            <w:pPr>
              <w:spacing w:after="100"/>
              <w:rPr>
                <w:rFonts w:eastAsia="Times New Roman"/>
              </w:rPr>
            </w:pPr>
            <w:r>
              <w:rPr>
                <w:rFonts w:eastAsia="Times New Roman"/>
                <w:color w:val="000000"/>
                <w:sz w:val="18"/>
                <w:szCs w:val="18"/>
              </w:rPr>
              <w:t>Preferred stock dividends</w:t>
            </w:r>
          </w:p>
        </w:tc>
        <w:tc>
          <w:tcPr>
            <w:tcW w:w="0" w:type="auto"/>
            <w:gridSpan w:val="3"/>
            <w:shd w:val="clear" w:color="auto" w:fill="FFFFFF"/>
            <w:tcMar>
              <w:top w:w="0" w:type="dxa"/>
              <w:left w:w="20" w:type="dxa"/>
              <w:bottom w:w="0" w:type="dxa"/>
              <w:right w:w="20" w:type="dxa"/>
            </w:tcMar>
            <w:vAlign w:val="center"/>
            <w:hideMark/>
          </w:tcPr>
          <w:p w14:paraId="014433D6"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0854494" w14:textId="77777777" w:rsidR="00000000" w:rsidRDefault="00405D16">
            <w:pPr>
              <w:spacing w:after="100"/>
              <w:jc w:val="right"/>
              <w:rPr>
                <w:rFonts w:eastAsia="Times New Roman"/>
              </w:rPr>
            </w:pPr>
            <w:r>
              <w:rPr>
                <w:rFonts w:eastAsia="Times New Roman"/>
                <w:b/>
                <w:bCs/>
                <w:color w:val="000000"/>
                <w:sz w:val="18"/>
                <w:szCs w:val="18"/>
              </w:rPr>
              <w:t>(79)</w:t>
            </w:r>
          </w:p>
        </w:tc>
        <w:tc>
          <w:tcPr>
            <w:tcW w:w="0" w:type="auto"/>
            <w:shd w:val="clear" w:color="auto" w:fill="FFFFFF"/>
            <w:tcMar>
              <w:top w:w="30" w:type="dxa"/>
              <w:left w:w="0" w:type="dxa"/>
              <w:bottom w:w="30" w:type="dxa"/>
              <w:right w:w="20" w:type="dxa"/>
            </w:tcMar>
            <w:vAlign w:val="center"/>
            <w:hideMark/>
          </w:tcPr>
          <w:p w14:paraId="03A49F3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7C977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FCCC02A" w14:textId="77777777" w:rsidR="00000000" w:rsidRDefault="00405D16">
            <w:pPr>
              <w:spacing w:after="100"/>
              <w:jc w:val="right"/>
              <w:rPr>
                <w:rFonts w:eastAsia="Times New Roman"/>
              </w:rPr>
            </w:pPr>
            <w:r>
              <w:rPr>
                <w:rFonts w:eastAsia="Times New Roman"/>
                <w:color w:val="000000"/>
                <w:sz w:val="18"/>
                <w:szCs w:val="18"/>
              </w:rPr>
              <w:t>(67)</w:t>
            </w:r>
          </w:p>
        </w:tc>
        <w:tc>
          <w:tcPr>
            <w:tcW w:w="0" w:type="auto"/>
            <w:shd w:val="clear" w:color="auto" w:fill="FFFFFF"/>
            <w:tcMar>
              <w:top w:w="30" w:type="dxa"/>
              <w:left w:w="0" w:type="dxa"/>
              <w:bottom w:w="30" w:type="dxa"/>
              <w:right w:w="20" w:type="dxa"/>
            </w:tcMar>
            <w:vAlign w:val="center"/>
            <w:hideMark/>
          </w:tcPr>
          <w:p w14:paraId="3CF4BEF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4EA395"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27E65828" w14:textId="77777777" w:rsidR="00000000" w:rsidRDefault="00405D16">
            <w:pPr>
              <w:spacing w:after="100"/>
              <w:jc w:val="right"/>
              <w:rPr>
                <w:rFonts w:eastAsia="Times New Roman"/>
              </w:rPr>
            </w:pPr>
            <w:r>
              <w:rPr>
                <w:rFonts w:eastAsia="Times New Roman"/>
                <w:color w:val="000000"/>
                <w:sz w:val="18"/>
                <w:szCs w:val="18"/>
              </w:rPr>
              <w:t>18</w:t>
            </w:r>
          </w:p>
        </w:tc>
        <w:tc>
          <w:tcPr>
            <w:tcW w:w="0" w:type="auto"/>
            <w:gridSpan w:val="3"/>
            <w:shd w:val="clear" w:color="auto" w:fill="FFFFFF"/>
            <w:tcMar>
              <w:top w:w="0" w:type="dxa"/>
              <w:left w:w="20" w:type="dxa"/>
              <w:bottom w:w="0" w:type="dxa"/>
              <w:right w:w="20" w:type="dxa"/>
            </w:tcMar>
            <w:vAlign w:val="center"/>
            <w:hideMark/>
          </w:tcPr>
          <w:p w14:paraId="4AD0C5E1"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644304A" w14:textId="77777777" w:rsidR="00000000" w:rsidRDefault="00405D16">
            <w:pPr>
              <w:spacing w:after="100"/>
              <w:jc w:val="right"/>
              <w:rPr>
                <w:rFonts w:eastAsia="Times New Roman"/>
              </w:rPr>
            </w:pPr>
            <w:r>
              <w:rPr>
                <w:rFonts w:eastAsia="Times New Roman"/>
                <w:b/>
                <w:bCs/>
                <w:color w:val="000000"/>
                <w:sz w:val="18"/>
                <w:szCs w:val="18"/>
              </w:rPr>
              <w:t>(200)</w:t>
            </w:r>
          </w:p>
        </w:tc>
        <w:tc>
          <w:tcPr>
            <w:tcW w:w="0" w:type="auto"/>
            <w:shd w:val="clear" w:color="auto" w:fill="FFFFFF"/>
            <w:tcMar>
              <w:top w:w="30" w:type="dxa"/>
              <w:left w:w="0" w:type="dxa"/>
              <w:bottom w:w="30" w:type="dxa"/>
              <w:right w:w="20" w:type="dxa"/>
            </w:tcMar>
            <w:vAlign w:val="center"/>
            <w:hideMark/>
          </w:tcPr>
          <w:p w14:paraId="40FD61C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9CA91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0EDD99" w14:textId="77777777" w:rsidR="00000000" w:rsidRDefault="00405D16">
            <w:pPr>
              <w:spacing w:after="100"/>
              <w:jc w:val="right"/>
              <w:rPr>
                <w:rFonts w:eastAsia="Times New Roman"/>
              </w:rPr>
            </w:pPr>
            <w:r>
              <w:rPr>
                <w:rFonts w:eastAsia="Times New Roman"/>
                <w:color w:val="000000"/>
                <w:sz w:val="18"/>
                <w:szCs w:val="18"/>
              </w:rPr>
              <w:t>(212)</w:t>
            </w:r>
          </w:p>
        </w:tc>
        <w:tc>
          <w:tcPr>
            <w:tcW w:w="0" w:type="auto"/>
            <w:shd w:val="clear" w:color="auto" w:fill="FFFFFF"/>
            <w:tcMar>
              <w:top w:w="30" w:type="dxa"/>
              <w:left w:w="0" w:type="dxa"/>
              <w:bottom w:w="30" w:type="dxa"/>
              <w:right w:w="20" w:type="dxa"/>
            </w:tcMar>
            <w:vAlign w:val="bottom"/>
            <w:hideMark/>
          </w:tcPr>
          <w:p w14:paraId="21580A0E" w14:textId="77777777" w:rsidR="00000000" w:rsidRDefault="00405D16">
            <w:pPr>
              <w:spacing w:after="100"/>
              <w:jc w:val="right"/>
              <w:rPr>
                <w:rFonts w:eastAsia="Times New Roman"/>
              </w:rPr>
            </w:pPr>
          </w:p>
        </w:tc>
        <w:tc>
          <w:tcPr>
            <w:tcW w:w="0" w:type="auto"/>
            <w:vAlign w:val="center"/>
            <w:hideMark/>
          </w:tcPr>
          <w:p w14:paraId="49867BE6" w14:textId="77777777" w:rsidR="00000000" w:rsidRDefault="00405D16">
            <w:pPr>
              <w:spacing w:after="100"/>
              <w:jc w:val="right"/>
              <w:rPr>
                <w:rFonts w:eastAsia="Times New Roman"/>
                <w:sz w:val="20"/>
                <w:szCs w:val="20"/>
              </w:rPr>
            </w:pPr>
          </w:p>
        </w:tc>
        <w:tc>
          <w:tcPr>
            <w:tcW w:w="0" w:type="auto"/>
            <w:vAlign w:val="center"/>
            <w:hideMark/>
          </w:tcPr>
          <w:p w14:paraId="474C04F7" w14:textId="77777777" w:rsidR="00000000" w:rsidRDefault="00405D16">
            <w:pPr>
              <w:spacing w:after="100"/>
              <w:rPr>
                <w:rFonts w:eastAsia="Times New Roman"/>
                <w:sz w:val="20"/>
                <w:szCs w:val="20"/>
              </w:rPr>
            </w:pPr>
          </w:p>
        </w:tc>
        <w:tc>
          <w:tcPr>
            <w:tcW w:w="0" w:type="auto"/>
            <w:gridSpan w:val="3"/>
            <w:vAlign w:val="center"/>
            <w:hideMark/>
          </w:tcPr>
          <w:p w14:paraId="4A674C79" w14:textId="77777777" w:rsidR="00000000" w:rsidRDefault="00405D16">
            <w:pPr>
              <w:spacing w:after="100"/>
              <w:rPr>
                <w:rFonts w:eastAsia="Times New Roman"/>
                <w:sz w:val="20"/>
                <w:szCs w:val="20"/>
              </w:rPr>
            </w:pPr>
          </w:p>
        </w:tc>
        <w:tc>
          <w:tcPr>
            <w:tcW w:w="0" w:type="auto"/>
            <w:gridSpan w:val="3"/>
            <w:vAlign w:val="center"/>
            <w:hideMark/>
          </w:tcPr>
          <w:p w14:paraId="77EDA881" w14:textId="77777777" w:rsidR="00000000" w:rsidRDefault="00405D16">
            <w:pPr>
              <w:spacing w:after="100"/>
              <w:rPr>
                <w:rFonts w:eastAsia="Times New Roman"/>
                <w:sz w:val="20"/>
                <w:szCs w:val="20"/>
              </w:rPr>
            </w:pPr>
          </w:p>
        </w:tc>
        <w:tc>
          <w:tcPr>
            <w:tcW w:w="0" w:type="auto"/>
            <w:gridSpan w:val="3"/>
            <w:vAlign w:val="center"/>
            <w:hideMark/>
          </w:tcPr>
          <w:p w14:paraId="736641F0" w14:textId="77777777" w:rsidR="00000000" w:rsidRDefault="00405D16">
            <w:pPr>
              <w:spacing w:after="100"/>
              <w:rPr>
                <w:rFonts w:eastAsia="Times New Roman"/>
                <w:sz w:val="20"/>
                <w:szCs w:val="20"/>
              </w:rPr>
            </w:pPr>
          </w:p>
        </w:tc>
        <w:tc>
          <w:tcPr>
            <w:tcW w:w="0" w:type="auto"/>
            <w:gridSpan w:val="3"/>
            <w:vAlign w:val="center"/>
            <w:hideMark/>
          </w:tcPr>
          <w:p w14:paraId="34FC95B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094FBF" w14:textId="77777777" w:rsidR="00000000" w:rsidRDefault="00405D16">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5545354B" w14:textId="77777777" w:rsidR="00000000" w:rsidRDefault="00405D16">
            <w:pPr>
              <w:spacing w:after="100"/>
              <w:jc w:val="right"/>
              <w:rPr>
                <w:rFonts w:eastAsia="Times New Roman"/>
              </w:rPr>
            </w:pPr>
            <w:r>
              <w:rPr>
                <w:rFonts w:eastAsia="Times New Roman"/>
                <w:color w:val="000000"/>
                <w:sz w:val="18"/>
                <w:szCs w:val="18"/>
              </w:rPr>
              <w:t>(6)</w:t>
            </w:r>
          </w:p>
        </w:tc>
        <w:tc>
          <w:tcPr>
            <w:tcW w:w="0" w:type="auto"/>
            <w:gridSpan w:val="3"/>
            <w:vAlign w:val="center"/>
            <w:hideMark/>
          </w:tcPr>
          <w:p w14:paraId="5B1A4F18" w14:textId="77777777" w:rsidR="00000000" w:rsidRDefault="00405D16">
            <w:pPr>
              <w:spacing w:after="100"/>
              <w:jc w:val="right"/>
              <w:rPr>
                <w:rFonts w:eastAsia="Times New Roman"/>
              </w:rPr>
            </w:pPr>
          </w:p>
        </w:tc>
        <w:tc>
          <w:tcPr>
            <w:tcW w:w="0" w:type="auto"/>
            <w:gridSpan w:val="2"/>
            <w:vAlign w:val="center"/>
            <w:hideMark/>
          </w:tcPr>
          <w:p w14:paraId="1B592530" w14:textId="77777777" w:rsidR="00000000" w:rsidRDefault="00405D16">
            <w:pPr>
              <w:spacing w:after="100"/>
              <w:rPr>
                <w:rFonts w:eastAsia="Times New Roman"/>
                <w:sz w:val="20"/>
                <w:szCs w:val="20"/>
              </w:rPr>
            </w:pPr>
          </w:p>
        </w:tc>
      </w:tr>
      <w:tr w:rsidR="00000000" w14:paraId="514DC40E" w14:textId="77777777">
        <w:trPr>
          <w:divId w:val="227809696"/>
        </w:trPr>
        <w:tc>
          <w:tcPr>
            <w:tcW w:w="0" w:type="auto"/>
            <w:gridSpan w:val="3"/>
            <w:shd w:val="clear" w:color="auto" w:fill="CCEEFF"/>
            <w:tcMar>
              <w:top w:w="30" w:type="dxa"/>
              <w:left w:w="20" w:type="dxa"/>
              <w:bottom w:w="30" w:type="dxa"/>
              <w:right w:w="20" w:type="dxa"/>
            </w:tcMar>
            <w:vAlign w:val="center"/>
            <w:hideMark/>
          </w:tcPr>
          <w:p w14:paraId="48DE8BB3" w14:textId="77777777" w:rsidR="00000000" w:rsidRDefault="00405D16">
            <w:pPr>
              <w:spacing w:after="100"/>
              <w:rPr>
                <w:rFonts w:eastAsia="Times New Roman"/>
              </w:rPr>
            </w:pPr>
            <w:r>
              <w:rPr>
                <w:rFonts w:eastAsia="Times New Roman"/>
                <w:color w:val="000000"/>
                <w:sz w:val="18"/>
                <w:szCs w:val="18"/>
              </w:rPr>
              <w:t>Issuance cost for redeemed preferred stock</w:t>
            </w:r>
          </w:p>
        </w:tc>
        <w:tc>
          <w:tcPr>
            <w:tcW w:w="0" w:type="auto"/>
            <w:gridSpan w:val="3"/>
            <w:shd w:val="clear" w:color="auto" w:fill="CCEEFF"/>
            <w:tcMar>
              <w:top w:w="0" w:type="dxa"/>
              <w:left w:w="20" w:type="dxa"/>
              <w:bottom w:w="0" w:type="dxa"/>
              <w:right w:w="20" w:type="dxa"/>
            </w:tcMar>
            <w:vAlign w:val="center"/>
            <w:hideMark/>
          </w:tcPr>
          <w:p w14:paraId="1CA21E62"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2744C9A" w14:textId="77777777" w:rsidR="00000000" w:rsidRDefault="00405D16">
            <w:pPr>
              <w:spacing w:after="100"/>
              <w:jc w:val="right"/>
              <w:rPr>
                <w:rFonts w:eastAsia="Times New Roman"/>
              </w:rPr>
            </w:pPr>
            <w:r>
              <w:rPr>
                <w:rFonts w:eastAsia="Times New Roman"/>
                <w:b/>
                <w:bCs/>
                <w:color w:val="000000"/>
                <w:sz w:val="18"/>
                <w:szCs w:val="18"/>
              </w:rPr>
              <w:t>(12)</w:t>
            </w:r>
          </w:p>
        </w:tc>
        <w:tc>
          <w:tcPr>
            <w:tcW w:w="0" w:type="auto"/>
            <w:shd w:val="clear" w:color="auto" w:fill="CCEEFF"/>
            <w:tcMar>
              <w:top w:w="30" w:type="dxa"/>
              <w:left w:w="0" w:type="dxa"/>
              <w:bottom w:w="30" w:type="dxa"/>
              <w:right w:w="20" w:type="dxa"/>
            </w:tcMar>
            <w:vAlign w:val="center"/>
            <w:hideMark/>
          </w:tcPr>
          <w:p w14:paraId="12AB6FD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EF227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2090285" w14:textId="77777777" w:rsidR="00000000" w:rsidRDefault="00405D16">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EB28E5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0C951F"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74C1B275"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5E8176F"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3D7CA93" w14:textId="77777777" w:rsidR="00000000" w:rsidRDefault="00405D16">
            <w:pPr>
              <w:spacing w:after="100"/>
              <w:jc w:val="right"/>
              <w:rPr>
                <w:rFonts w:eastAsia="Times New Roman"/>
              </w:rPr>
            </w:pPr>
            <w:r>
              <w:rPr>
                <w:rFonts w:eastAsia="Times New Roman"/>
                <w:b/>
                <w:bCs/>
                <w:color w:val="000000"/>
                <w:sz w:val="18"/>
                <w:szCs w:val="18"/>
              </w:rPr>
              <w:t>(12)</w:t>
            </w:r>
          </w:p>
        </w:tc>
        <w:tc>
          <w:tcPr>
            <w:tcW w:w="0" w:type="auto"/>
            <w:shd w:val="clear" w:color="auto" w:fill="CCEEFF"/>
            <w:tcMar>
              <w:top w:w="30" w:type="dxa"/>
              <w:left w:w="0" w:type="dxa"/>
              <w:bottom w:w="30" w:type="dxa"/>
              <w:right w:w="20" w:type="dxa"/>
            </w:tcMar>
            <w:vAlign w:val="center"/>
            <w:hideMark/>
          </w:tcPr>
          <w:p w14:paraId="38834DA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47015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F0C5D18" w14:textId="77777777" w:rsidR="00000000" w:rsidRDefault="00405D16">
            <w:pPr>
              <w:spacing w:after="100"/>
              <w:jc w:val="right"/>
              <w:rPr>
                <w:rFonts w:eastAsia="Times New Roman"/>
              </w:rPr>
            </w:pPr>
            <w:r>
              <w:rPr>
                <w:rFonts w:eastAsia="Times New Roman"/>
                <w:color w:val="000000"/>
                <w:sz w:val="18"/>
                <w:szCs w:val="18"/>
              </w:rPr>
              <w:t>(22)</w:t>
            </w:r>
          </w:p>
        </w:tc>
        <w:tc>
          <w:tcPr>
            <w:tcW w:w="0" w:type="auto"/>
            <w:shd w:val="clear" w:color="auto" w:fill="CCEEFF"/>
            <w:tcMar>
              <w:top w:w="30" w:type="dxa"/>
              <w:left w:w="0" w:type="dxa"/>
              <w:bottom w:w="30" w:type="dxa"/>
              <w:right w:w="20" w:type="dxa"/>
            </w:tcMar>
            <w:vAlign w:val="center"/>
            <w:hideMark/>
          </w:tcPr>
          <w:p w14:paraId="785C5BC6" w14:textId="77777777" w:rsidR="00000000" w:rsidRDefault="00405D16">
            <w:pPr>
              <w:spacing w:after="100"/>
              <w:jc w:val="right"/>
              <w:rPr>
                <w:rFonts w:eastAsia="Times New Roman"/>
              </w:rPr>
            </w:pPr>
          </w:p>
        </w:tc>
        <w:tc>
          <w:tcPr>
            <w:tcW w:w="0" w:type="auto"/>
            <w:vAlign w:val="center"/>
            <w:hideMark/>
          </w:tcPr>
          <w:p w14:paraId="0A39B704" w14:textId="77777777" w:rsidR="00000000" w:rsidRDefault="00405D16">
            <w:pPr>
              <w:spacing w:after="100"/>
              <w:jc w:val="right"/>
              <w:rPr>
                <w:rFonts w:eastAsia="Times New Roman"/>
                <w:sz w:val="20"/>
                <w:szCs w:val="20"/>
              </w:rPr>
            </w:pPr>
          </w:p>
        </w:tc>
        <w:tc>
          <w:tcPr>
            <w:tcW w:w="0" w:type="auto"/>
            <w:vAlign w:val="center"/>
            <w:hideMark/>
          </w:tcPr>
          <w:p w14:paraId="632EC022" w14:textId="77777777" w:rsidR="00000000" w:rsidRDefault="00405D16">
            <w:pPr>
              <w:spacing w:after="100"/>
              <w:rPr>
                <w:rFonts w:eastAsia="Times New Roman"/>
                <w:sz w:val="20"/>
                <w:szCs w:val="20"/>
              </w:rPr>
            </w:pPr>
          </w:p>
        </w:tc>
        <w:tc>
          <w:tcPr>
            <w:tcW w:w="0" w:type="auto"/>
            <w:gridSpan w:val="3"/>
            <w:vAlign w:val="center"/>
            <w:hideMark/>
          </w:tcPr>
          <w:p w14:paraId="138DD496" w14:textId="77777777" w:rsidR="00000000" w:rsidRDefault="00405D16">
            <w:pPr>
              <w:spacing w:after="100"/>
              <w:rPr>
                <w:rFonts w:eastAsia="Times New Roman"/>
                <w:sz w:val="20"/>
                <w:szCs w:val="20"/>
              </w:rPr>
            </w:pPr>
          </w:p>
        </w:tc>
        <w:tc>
          <w:tcPr>
            <w:tcW w:w="0" w:type="auto"/>
            <w:gridSpan w:val="3"/>
            <w:vAlign w:val="center"/>
            <w:hideMark/>
          </w:tcPr>
          <w:p w14:paraId="4321381D" w14:textId="77777777" w:rsidR="00000000" w:rsidRDefault="00405D16">
            <w:pPr>
              <w:spacing w:after="100"/>
              <w:rPr>
                <w:rFonts w:eastAsia="Times New Roman"/>
                <w:sz w:val="20"/>
                <w:szCs w:val="20"/>
              </w:rPr>
            </w:pPr>
          </w:p>
        </w:tc>
        <w:tc>
          <w:tcPr>
            <w:tcW w:w="0" w:type="auto"/>
            <w:gridSpan w:val="3"/>
            <w:vAlign w:val="center"/>
            <w:hideMark/>
          </w:tcPr>
          <w:p w14:paraId="6C727E29" w14:textId="77777777" w:rsidR="00000000" w:rsidRDefault="00405D16">
            <w:pPr>
              <w:spacing w:after="100"/>
              <w:rPr>
                <w:rFonts w:eastAsia="Times New Roman"/>
                <w:sz w:val="20"/>
                <w:szCs w:val="20"/>
              </w:rPr>
            </w:pPr>
          </w:p>
        </w:tc>
        <w:tc>
          <w:tcPr>
            <w:tcW w:w="0" w:type="auto"/>
            <w:gridSpan w:val="3"/>
            <w:vAlign w:val="center"/>
            <w:hideMark/>
          </w:tcPr>
          <w:p w14:paraId="7F5ECBA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B6A625" w14:textId="77777777" w:rsidR="00000000" w:rsidRDefault="00405D16">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6410BE5E" w14:textId="77777777" w:rsidR="00000000" w:rsidRDefault="00405D16">
            <w:pPr>
              <w:spacing w:after="100"/>
              <w:jc w:val="right"/>
              <w:rPr>
                <w:rFonts w:eastAsia="Times New Roman"/>
              </w:rPr>
            </w:pPr>
            <w:r>
              <w:rPr>
                <w:rFonts w:eastAsia="Times New Roman"/>
                <w:color w:val="000000"/>
                <w:sz w:val="18"/>
                <w:szCs w:val="18"/>
              </w:rPr>
              <w:t>(45)</w:t>
            </w:r>
          </w:p>
        </w:tc>
        <w:tc>
          <w:tcPr>
            <w:tcW w:w="0" w:type="auto"/>
            <w:gridSpan w:val="3"/>
            <w:vAlign w:val="center"/>
            <w:hideMark/>
          </w:tcPr>
          <w:p w14:paraId="71640FC3" w14:textId="77777777" w:rsidR="00000000" w:rsidRDefault="00405D16">
            <w:pPr>
              <w:spacing w:after="100"/>
              <w:jc w:val="right"/>
              <w:rPr>
                <w:rFonts w:eastAsia="Times New Roman"/>
              </w:rPr>
            </w:pPr>
          </w:p>
        </w:tc>
        <w:tc>
          <w:tcPr>
            <w:tcW w:w="0" w:type="auto"/>
            <w:gridSpan w:val="2"/>
            <w:vAlign w:val="center"/>
            <w:hideMark/>
          </w:tcPr>
          <w:p w14:paraId="26BD9019" w14:textId="77777777" w:rsidR="00000000" w:rsidRDefault="00405D16">
            <w:pPr>
              <w:spacing w:after="100"/>
              <w:rPr>
                <w:rFonts w:eastAsia="Times New Roman"/>
                <w:sz w:val="20"/>
                <w:szCs w:val="20"/>
              </w:rPr>
            </w:pPr>
          </w:p>
        </w:tc>
      </w:tr>
      <w:tr w:rsidR="00000000" w14:paraId="74B85009" w14:textId="77777777">
        <w:trPr>
          <w:divId w:val="227809696"/>
        </w:trPr>
        <w:tc>
          <w:tcPr>
            <w:tcW w:w="0" w:type="auto"/>
            <w:gridSpan w:val="3"/>
            <w:shd w:val="clear" w:color="auto" w:fill="FFFFFF"/>
            <w:tcMar>
              <w:top w:w="30" w:type="dxa"/>
              <w:left w:w="20" w:type="dxa"/>
              <w:bottom w:w="30" w:type="dxa"/>
              <w:right w:w="20" w:type="dxa"/>
            </w:tcMar>
            <w:vAlign w:val="center"/>
            <w:hideMark/>
          </w:tcPr>
          <w:p w14:paraId="2F673709" w14:textId="77777777" w:rsidR="00000000" w:rsidRDefault="00405D16">
            <w:pPr>
              <w:spacing w:after="100"/>
              <w:rPr>
                <w:rFonts w:eastAsia="Times New Roman"/>
              </w:rPr>
            </w:pPr>
            <w:r>
              <w:rPr>
                <w:rFonts w:eastAsia="Times New Roman"/>
                <w:b/>
                <w:bCs/>
                <w:color w:val="000000"/>
                <w:sz w:val="18"/>
                <w:szCs w:val="18"/>
              </w:rPr>
              <w:t>Net income (loss) available to common stockholders</w:t>
            </w:r>
          </w:p>
        </w:tc>
        <w:tc>
          <w:tcPr>
            <w:tcW w:w="0" w:type="auto"/>
            <w:gridSpan w:val="3"/>
            <w:shd w:val="clear" w:color="auto" w:fill="FFFFFF"/>
            <w:tcMar>
              <w:top w:w="0" w:type="dxa"/>
              <w:left w:w="20" w:type="dxa"/>
              <w:bottom w:w="0" w:type="dxa"/>
              <w:right w:w="20" w:type="dxa"/>
            </w:tcMar>
            <w:vAlign w:val="center"/>
            <w:hideMark/>
          </w:tcPr>
          <w:p w14:paraId="25B727F7" w14:textId="77777777" w:rsidR="00000000" w:rsidRDefault="00405D16">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7E850472"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00881D3" w14:textId="77777777" w:rsidR="00000000" w:rsidRDefault="00405D16">
            <w:pPr>
              <w:spacing w:after="100"/>
              <w:jc w:val="right"/>
              <w:rPr>
                <w:rFonts w:eastAsia="Times New Roman"/>
              </w:rPr>
            </w:pPr>
            <w:r>
              <w:rPr>
                <w:rFonts w:eastAsia="Times New Roman"/>
                <w:b/>
                <w:bCs/>
                <w:color w:val="000000"/>
                <w:sz w:val="18"/>
                <w:szCs w:val="18"/>
              </w:rPr>
              <w:t>2,987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169519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6C1B2B"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7E5B30A3"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0B65CC56" w14:textId="77777777" w:rsidR="00000000" w:rsidRDefault="00405D16">
            <w:pPr>
              <w:spacing w:after="100"/>
              <w:jc w:val="right"/>
              <w:rPr>
                <w:rFonts w:eastAsia="Times New Roman"/>
              </w:rPr>
            </w:pPr>
            <w:r>
              <w:rPr>
                <w:rFonts w:eastAsia="Times New Roman"/>
                <w:color w:val="000000"/>
                <w:sz w:val="18"/>
                <w:szCs w:val="18"/>
              </w:rPr>
              <w:t>2,319 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B5CC11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68F5B0"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25A6225A" w14:textId="77777777" w:rsidR="00000000" w:rsidRDefault="00405D16">
            <w:pPr>
              <w:spacing w:after="100"/>
              <w:jc w:val="right"/>
              <w:rPr>
                <w:rFonts w:eastAsia="Times New Roman"/>
              </w:rPr>
            </w:pPr>
            <w:r>
              <w:rPr>
                <w:rFonts w:eastAsia="Times New Roman"/>
                <w:color w:val="000000"/>
                <w:sz w:val="18"/>
                <w:szCs w:val="18"/>
              </w:rPr>
              <w:t>29</w:t>
            </w:r>
          </w:p>
        </w:tc>
        <w:tc>
          <w:tcPr>
            <w:tcW w:w="0" w:type="auto"/>
            <w:gridSpan w:val="3"/>
            <w:shd w:val="clear" w:color="auto" w:fill="FFFFFF"/>
            <w:tcMar>
              <w:top w:w="0" w:type="dxa"/>
              <w:left w:w="20" w:type="dxa"/>
              <w:bottom w:w="0" w:type="dxa"/>
              <w:right w:w="20" w:type="dxa"/>
            </w:tcMar>
            <w:vAlign w:val="center"/>
            <w:hideMark/>
          </w:tcPr>
          <w:p w14:paraId="7180A01F" w14:textId="77777777" w:rsidR="00000000" w:rsidRDefault="00405D16">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E8BC5C3"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32EB777" w14:textId="77777777" w:rsidR="00000000" w:rsidRDefault="00405D16">
            <w:pPr>
              <w:spacing w:after="100"/>
              <w:jc w:val="right"/>
              <w:rPr>
                <w:rFonts w:eastAsia="Times New Roman"/>
              </w:rPr>
            </w:pPr>
            <w:r>
              <w:rPr>
                <w:rFonts w:eastAsia="Times New Roman"/>
                <w:b/>
                <w:bCs/>
                <w:color w:val="000000"/>
                <w:sz w:val="18"/>
                <w:szCs w:val="18"/>
              </w:rPr>
              <w:t>9,669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240F9D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BC9981"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B59946C"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69FD3AB" w14:textId="77777777" w:rsidR="00000000" w:rsidRDefault="00405D16">
            <w:pPr>
              <w:spacing w:after="100"/>
              <w:jc w:val="right"/>
              <w:rPr>
                <w:rFonts w:eastAsia="Times New Roman"/>
              </w:rPr>
            </w:pPr>
            <w:r>
              <w:rPr>
                <w:rFonts w:eastAsia="Times New Roman"/>
                <w:color w:val="000000"/>
                <w:sz w:val="18"/>
                <w:szCs w:val="18"/>
              </w:rPr>
              <w:t>(91)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C882F32" w14:textId="77777777" w:rsidR="00000000" w:rsidRDefault="00405D16">
            <w:pPr>
              <w:spacing w:after="100"/>
              <w:jc w:val="right"/>
              <w:rPr>
                <w:rFonts w:eastAsia="Times New Roman"/>
              </w:rPr>
            </w:pPr>
          </w:p>
        </w:tc>
        <w:tc>
          <w:tcPr>
            <w:tcW w:w="0" w:type="auto"/>
            <w:vAlign w:val="center"/>
            <w:hideMark/>
          </w:tcPr>
          <w:p w14:paraId="3F87768B" w14:textId="77777777" w:rsidR="00000000" w:rsidRDefault="00405D16">
            <w:pPr>
              <w:spacing w:after="100"/>
              <w:jc w:val="right"/>
              <w:rPr>
                <w:rFonts w:eastAsia="Times New Roman"/>
                <w:sz w:val="20"/>
                <w:szCs w:val="20"/>
              </w:rPr>
            </w:pPr>
          </w:p>
        </w:tc>
        <w:tc>
          <w:tcPr>
            <w:tcW w:w="0" w:type="auto"/>
            <w:vAlign w:val="center"/>
            <w:hideMark/>
          </w:tcPr>
          <w:p w14:paraId="4ADB8332" w14:textId="77777777" w:rsidR="00000000" w:rsidRDefault="00405D16">
            <w:pPr>
              <w:spacing w:after="100"/>
              <w:rPr>
                <w:rFonts w:eastAsia="Times New Roman"/>
                <w:sz w:val="20"/>
                <w:szCs w:val="20"/>
              </w:rPr>
            </w:pPr>
          </w:p>
        </w:tc>
        <w:tc>
          <w:tcPr>
            <w:tcW w:w="0" w:type="auto"/>
            <w:gridSpan w:val="3"/>
            <w:vAlign w:val="center"/>
            <w:hideMark/>
          </w:tcPr>
          <w:p w14:paraId="6244E0B1" w14:textId="77777777" w:rsidR="00000000" w:rsidRDefault="00405D16">
            <w:pPr>
              <w:spacing w:after="100"/>
              <w:rPr>
                <w:rFonts w:eastAsia="Times New Roman"/>
                <w:sz w:val="20"/>
                <w:szCs w:val="20"/>
              </w:rPr>
            </w:pPr>
          </w:p>
        </w:tc>
        <w:tc>
          <w:tcPr>
            <w:tcW w:w="0" w:type="auto"/>
            <w:gridSpan w:val="3"/>
            <w:vAlign w:val="center"/>
            <w:hideMark/>
          </w:tcPr>
          <w:p w14:paraId="076CC3BD" w14:textId="77777777" w:rsidR="00000000" w:rsidRDefault="00405D16">
            <w:pPr>
              <w:spacing w:after="100"/>
              <w:rPr>
                <w:rFonts w:eastAsia="Times New Roman"/>
                <w:sz w:val="20"/>
                <w:szCs w:val="20"/>
              </w:rPr>
            </w:pPr>
          </w:p>
        </w:tc>
        <w:tc>
          <w:tcPr>
            <w:tcW w:w="0" w:type="auto"/>
            <w:gridSpan w:val="3"/>
            <w:vAlign w:val="center"/>
            <w:hideMark/>
          </w:tcPr>
          <w:p w14:paraId="729DF08A" w14:textId="77777777" w:rsidR="00000000" w:rsidRDefault="00405D16">
            <w:pPr>
              <w:spacing w:after="100"/>
              <w:rPr>
                <w:rFonts w:eastAsia="Times New Roman"/>
                <w:sz w:val="20"/>
                <w:szCs w:val="20"/>
              </w:rPr>
            </w:pPr>
          </w:p>
        </w:tc>
        <w:tc>
          <w:tcPr>
            <w:tcW w:w="0" w:type="auto"/>
            <w:gridSpan w:val="3"/>
            <w:vAlign w:val="center"/>
            <w:hideMark/>
          </w:tcPr>
          <w:p w14:paraId="3021D7E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64261D" w14:textId="77777777" w:rsidR="00000000" w:rsidRDefault="00405D16">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2616E9AC"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580F3BBB" w14:textId="77777777" w:rsidR="00000000" w:rsidRDefault="00405D16">
            <w:pPr>
              <w:spacing w:after="100"/>
              <w:jc w:val="right"/>
              <w:rPr>
                <w:rFonts w:eastAsia="Times New Roman"/>
              </w:rPr>
            </w:pPr>
          </w:p>
        </w:tc>
        <w:tc>
          <w:tcPr>
            <w:tcW w:w="0" w:type="auto"/>
            <w:gridSpan w:val="2"/>
            <w:vAlign w:val="center"/>
            <w:hideMark/>
          </w:tcPr>
          <w:p w14:paraId="5B736360" w14:textId="77777777" w:rsidR="00000000" w:rsidRDefault="00405D16">
            <w:pPr>
              <w:spacing w:after="100"/>
              <w:rPr>
                <w:rFonts w:eastAsia="Times New Roman"/>
                <w:sz w:val="20"/>
                <w:szCs w:val="20"/>
              </w:rPr>
            </w:pPr>
          </w:p>
        </w:tc>
      </w:tr>
      <w:tr w:rsidR="00000000" w14:paraId="091ACF07" w14:textId="77777777">
        <w:trPr>
          <w:divId w:val="227809696"/>
        </w:trPr>
        <w:tc>
          <w:tcPr>
            <w:tcW w:w="0" w:type="auto"/>
            <w:gridSpan w:val="3"/>
            <w:shd w:val="clear" w:color="auto" w:fill="CCEEFF"/>
            <w:tcMar>
              <w:top w:w="30" w:type="dxa"/>
              <w:left w:w="20" w:type="dxa"/>
              <w:bottom w:w="30" w:type="dxa"/>
              <w:right w:w="20" w:type="dxa"/>
            </w:tcMar>
            <w:vAlign w:val="center"/>
            <w:hideMark/>
          </w:tcPr>
          <w:p w14:paraId="5DE35444" w14:textId="77777777" w:rsidR="00000000" w:rsidRDefault="00405D16">
            <w:pPr>
              <w:spacing w:after="100"/>
              <w:rPr>
                <w:rFonts w:eastAsia="Times New Roman"/>
              </w:rPr>
            </w:pPr>
            <w:r>
              <w:rPr>
                <w:rFonts w:eastAsia="Times New Roman"/>
                <w:b/>
                <w:bCs/>
                <w:color w:val="000000"/>
                <w:sz w:val="18"/>
                <w:szCs w:val="18"/>
              </w:rPr>
              <w:t>Common share statistics</w:t>
            </w:r>
          </w:p>
        </w:tc>
        <w:tc>
          <w:tcPr>
            <w:tcW w:w="0" w:type="auto"/>
            <w:gridSpan w:val="3"/>
            <w:shd w:val="clear" w:color="auto" w:fill="CCEEFF"/>
            <w:tcMar>
              <w:top w:w="0" w:type="dxa"/>
              <w:left w:w="20" w:type="dxa"/>
              <w:bottom w:w="0" w:type="dxa"/>
              <w:right w:w="20" w:type="dxa"/>
            </w:tcMar>
            <w:vAlign w:val="center"/>
            <w:hideMark/>
          </w:tcPr>
          <w:p w14:paraId="75249D3A" w14:textId="77777777" w:rsidR="00000000" w:rsidRDefault="00405D16">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8B0A2D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6329BB"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644C3C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18534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3FD9C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91B0D4"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F39AE8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EA22AC"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B411D51" w14:textId="77777777" w:rsidR="00000000" w:rsidRDefault="00405D16">
            <w:pPr>
              <w:spacing w:after="100"/>
              <w:rPr>
                <w:rFonts w:eastAsia="Times New Roman"/>
                <w:sz w:val="20"/>
                <w:szCs w:val="20"/>
              </w:rPr>
            </w:pPr>
          </w:p>
        </w:tc>
        <w:tc>
          <w:tcPr>
            <w:tcW w:w="0" w:type="auto"/>
            <w:vAlign w:val="center"/>
            <w:hideMark/>
          </w:tcPr>
          <w:p w14:paraId="2C0E7795" w14:textId="77777777" w:rsidR="00000000" w:rsidRDefault="00405D16">
            <w:pPr>
              <w:spacing w:after="100"/>
              <w:rPr>
                <w:rFonts w:eastAsia="Times New Roman"/>
                <w:sz w:val="20"/>
                <w:szCs w:val="20"/>
              </w:rPr>
            </w:pPr>
          </w:p>
        </w:tc>
        <w:tc>
          <w:tcPr>
            <w:tcW w:w="0" w:type="auto"/>
            <w:vAlign w:val="center"/>
            <w:hideMark/>
          </w:tcPr>
          <w:p w14:paraId="420E49B9" w14:textId="77777777" w:rsidR="00000000" w:rsidRDefault="00405D16">
            <w:pPr>
              <w:spacing w:after="100"/>
              <w:rPr>
                <w:rFonts w:eastAsia="Times New Roman"/>
                <w:sz w:val="20"/>
                <w:szCs w:val="20"/>
              </w:rPr>
            </w:pPr>
          </w:p>
        </w:tc>
        <w:tc>
          <w:tcPr>
            <w:tcW w:w="0" w:type="auto"/>
            <w:gridSpan w:val="3"/>
            <w:vAlign w:val="center"/>
            <w:hideMark/>
          </w:tcPr>
          <w:p w14:paraId="392F19B2" w14:textId="77777777" w:rsidR="00000000" w:rsidRDefault="00405D16">
            <w:pPr>
              <w:spacing w:after="100"/>
              <w:rPr>
                <w:rFonts w:eastAsia="Times New Roman"/>
                <w:sz w:val="20"/>
                <w:szCs w:val="20"/>
              </w:rPr>
            </w:pPr>
          </w:p>
        </w:tc>
        <w:tc>
          <w:tcPr>
            <w:tcW w:w="0" w:type="auto"/>
            <w:gridSpan w:val="3"/>
            <w:vAlign w:val="center"/>
            <w:hideMark/>
          </w:tcPr>
          <w:p w14:paraId="5EF9932F" w14:textId="77777777" w:rsidR="00000000" w:rsidRDefault="00405D16">
            <w:pPr>
              <w:spacing w:after="100"/>
              <w:rPr>
                <w:rFonts w:eastAsia="Times New Roman"/>
                <w:sz w:val="20"/>
                <w:szCs w:val="20"/>
              </w:rPr>
            </w:pPr>
          </w:p>
        </w:tc>
        <w:tc>
          <w:tcPr>
            <w:tcW w:w="0" w:type="auto"/>
            <w:gridSpan w:val="3"/>
            <w:vAlign w:val="center"/>
            <w:hideMark/>
          </w:tcPr>
          <w:p w14:paraId="279063E4" w14:textId="77777777" w:rsidR="00000000" w:rsidRDefault="00405D16">
            <w:pPr>
              <w:spacing w:after="100"/>
              <w:rPr>
                <w:rFonts w:eastAsia="Times New Roman"/>
                <w:sz w:val="20"/>
                <w:szCs w:val="20"/>
              </w:rPr>
            </w:pPr>
          </w:p>
        </w:tc>
        <w:tc>
          <w:tcPr>
            <w:tcW w:w="0" w:type="auto"/>
            <w:gridSpan w:val="3"/>
            <w:vAlign w:val="center"/>
            <w:hideMark/>
          </w:tcPr>
          <w:p w14:paraId="6954F84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C6469C" w14:textId="77777777" w:rsidR="00000000" w:rsidRDefault="00405D16">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008FC80F" w14:textId="77777777" w:rsidR="00000000" w:rsidRDefault="00405D16">
            <w:pPr>
              <w:spacing w:after="100"/>
              <w:jc w:val="right"/>
              <w:rPr>
                <w:rFonts w:eastAsia="Times New Roman"/>
              </w:rPr>
            </w:pPr>
            <w:r>
              <w:rPr>
                <w:rFonts w:eastAsia="Times New Roman"/>
                <w:color w:val="000000"/>
                <w:sz w:val="18"/>
                <w:szCs w:val="18"/>
              </w:rPr>
              <w:t> </w:t>
            </w:r>
          </w:p>
        </w:tc>
        <w:tc>
          <w:tcPr>
            <w:tcW w:w="0" w:type="auto"/>
            <w:gridSpan w:val="3"/>
            <w:vAlign w:val="center"/>
            <w:hideMark/>
          </w:tcPr>
          <w:p w14:paraId="26FAA4D1" w14:textId="77777777" w:rsidR="00000000" w:rsidRDefault="00405D16">
            <w:pPr>
              <w:spacing w:after="100"/>
              <w:jc w:val="right"/>
              <w:rPr>
                <w:rFonts w:eastAsia="Times New Roman"/>
              </w:rPr>
            </w:pPr>
          </w:p>
        </w:tc>
        <w:tc>
          <w:tcPr>
            <w:tcW w:w="0" w:type="auto"/>
            <w:gridSpan w:val="2"/>
            <w:vAlign w:val="center"/>
            <w:hideMark/>
          </w:tcPr>
          <w:p w14:paraId="7891B6B2" w14:textId="77777777" w:rsidR="00000000" w:rsidRDefault="00405D16">
            <w:pPr>
              <w:spacing w:after="100"/>
              <w:rPr>
                <w:rFonts w:eastAsia="Times New Roman"/>
                <w:sz w:val="20"/>
                <w:szCs w:val="20"/>
              </w:rPr>
            </w:pPr>
          </w:p>
        </w:tc>
      </w:tr>
      <w:tr w:rsidR="00000000" w14:paraId="420B83AB" w14:textId="77777777">
        <w:trPr>
          <w:divId w:val="227809696"/>
        </w:trPr>
        <w:tc>
          <w:tcPr>
            <w:tcW w:w="0" w:type="auto"/>
            <w:gridSpan w:val="3"/>
            <w:shd w:val="clear" w:color="auto" w:fill="FFFFFF"/>
            <w:tcMar>
              <w:top w:w="30" w:type="dxa"/>
              <w:left w:w="20" w:type="dxa"/>
              <w:bottom w:w="30" w:type="dxa"/>
              <w:right w:w="20" w:type="dxa"/>
            </w:tcMar>
            <w:vAlign w:val="center"/>
            <w:hideMark/>
          </w:tcPr>
          <w:p w14:paraId="64850141" w14:textId="77777777" w:rsidR="00000000" w:rsidRDefault="00405D16">
            <w:pPr>
              <w:spacing w:after="100"/>
              <w:rPr>
                <w:rFonts w:eastAsia="Times New Roman"/>
              </w:rPr>
            </w:pPr>
            <w:r>
              <w:rPr>
                <w:rFonts w:eastAsia="Times New Roman"/>
                <w:b/>
                <w:bCs/>
                <w:color w:val="000000"/>
                <w:sz w:val="18"/>
                <w:szCs w:val="18"/>
              </w:rPr>
              <w:t>Basic earnings per common share:</w:t>
            </w:r>
          </w:p>
        </w:tc>
        <w:tc>
          <w:tcPr>
            <w:tcW w:w="0" w:type="auto"/>
            <w:gridSpan w:val="3"/>
            <w:shd w:val="clear" w:color="auto" w:fill="FFFFFF"/>
            <w:tcMar>
              <w:top w:w="0" w:type="dxa"/>
              <w:left w:w="20" w:type="dxa"/>
              <w:bottom w:w="0" w:type="dxa"/>
              <w:right w:w="20" w:type="dxa"/>
            </w:tcMar>
            <w:vAlign w:val="center"/>
            <w:hideMark/>
          </w:tcPr>
          <w:p w14:paraId="5D8DFFEA"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9FA40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64693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2590E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3444D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42711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F8FF3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63602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6CB87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ECC60E" w14:textId="77777777" w:rsidR="00000000" w:rsidRDefault="00405D16">
            <w:pPr>
              <w:spacing w:after="100"/>
              <w:rPr>
                <w:rFonts w:eastAsia="Times New Roman"/>
                <w:sz w:val="20"/>
                <w:szCs w:val="20"/>
              </w:rPr>
            </w:pPr>
          </w:p>
        </w:tc>
        <w:tc>
          <w:tcPr>
            <w:tcW w:w="0" w:type="auto"/>
            <w:vAlign w:val="center"/>
            <w:hideMark/>
          </w:tcPr>
          <w:p w14:paraId="7976DC5A" w14:textId="77777777" w:rsidR="00000000" w:rsidRDefault="00405D16">
            <w:pPr>
              <w:spacing w:after="100"/>
              <w:rPr>
                <w:rFonts w:eastAsia="Times New Roman"/>
                <w:sz w:val="20"/>
                <w:szCs w:val="20"/>
              </w:rPr>
            </w:pPr>
          </w:p>
        </w:tc>
        <w:tc>
          <w:tcPr>
            <w:tcW w:w="0" w:type="auto"/>
            <w:vAlign w:val="center"/>
            <w:hideMark/>
          </w:tcPr>
          <w:p w14:paraId="5FF05DA8" w14:textId="77777777" w:rsidR="00000000" w:rsidRDefault="00405D16">
            <w:pPr>
              <w:spacing w:after="100"/>
              <w:rPr>
                <w:rFonts w:eastAsia="Times New Roman"/>
                <w:sz w:val="20"/>
                <w:szCs w:val="20"/>
              </w:rPr>
            </w:pPr>
          </w:p>
        </w:tc>
        <w:tc>
          <w:tcPr>
            <w:tcW w:w="0" w:type="auto"/>
            <w:gridSpan w:val="3"/>
            <w:vAlign w:val="center"/>
            <w:hideMark/>
          </w:tcPr>
          <w:p w14:paraId="2345E4B4" w14:textId="77777777" w:rsidR="00000000" w:rsidRDefault="00405D16">
            <w:pPr>
              <w:spacing w:after="100"/>
              <w:rPr>
                <w:rFonts w:eastAsia="Times New Roman"/>
                <w:sz w:val="20"/>
                <w:szCs w:val="20"/>
              </w:rPr>
            </w:pPr>
          </w:p>
        </w:tc>
        <w:tc>
          <w:tcPr>
            <w:tcW w:w="0" w:type="auto"/>
            <w:gridSpan w:val="3"/>
            <w:vAlign w:val="center"/>
            <w:hideMark/>
          </w:tcPr>
          <w:p w14:paraId="4B638BBB" w14:textId="77777777" w:rsidR="00000000" w:rsidRDefault="00405D16">
            <w:pPr>
              <w:spacing w:after="100"/>
              <w:rPr>
                <w:rFonts w:eastAsia="Times New Roman"/>
                <w:sz w:val="20"/>
                <w:szCs w:val="20"/>
              </w:rPr>
            </w:pPr>
          </w:p>
        </w:tc>
        <w:tc>
          <w:tcPr>
            <w:tcW w:w="0" w:type="auto"/>
            <w:gridSpan w:val="3"/>
            <w:vAlign w:val="center"/>
            <w:hideMark/>
          </w:tcPr>
          <w:p w14:paraId="44F46391" w14:textId="77777777" w:rsidR="00000000" w:rsidRDefault="00405D16">
            <w:pPr>
              <w:spacing w:after="100"/>
              <w:rPr>
                <w:rFonts w:eastAsia="Times New Roman"/>
                <w:sz w:val="20"/>
                <w:szCs w:val="20"/>
              </w:rPr>
            </w:pPr>
          </w:p>
        </w:tc>
        <w:tc>
          <w:tcPr>
            <w:tcW w:w="0" w:type="auto"/>
            <w:gridSpan w:val="3"/>
            <w:vAlign w:val="center"/>
            <w:hideMark/>
          </w:tcPr>
          <w:p w14:paraId="6E9C9B5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FF9D5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43D285" w14:textId="77777777" w:rsidR="00000000" w:rsidRDefault="00405D16">
            <w:pPr>
              <w:spacing w:after="100"/>
              <w:rPr>
                <w:rFonts w:eastAsia="Times New Roman"/>
                <w:sz w:val="20"/>
                <w:szCs w:val="20"/>
              </w:rPr>
            </w:pPr>
          </w:p>
        </w:tc>
        <w:tc>
          <w:tcPr>
            <w:tcW w:w="0" w:type="auto"/>
            <w:gridSpan w:val="3"/>
            <w:vAlign w:val="center"/>
            <w:hideMark/>
          </w:tcPr>
          <w:p w14:paraId="31F00FD5" w14:textId="77777777" w:rsidR="00000000" w:rsidRDefault="00405D16">
            <w:pPr>
              <w:spacing w:after="100"/>
              <w:rPr>
                <w:rFonts w:eastAsia="Times New Roman"/>
                <w:sz w:val="20"/>
                <w:szCs w:val="20"/>
              </w:rPr>
            </w:pPr>
          </w:p>
        </w:tc>
        <w:tc>
          <w:tcPr>
            <w:tcW w:w="0" w:type="auto"/>
            <w:gridSpan w:val="2"/>
            <w:vAlign w:val="center"/>
            <w:hideMark/>
          </w:tcPr>
          <w:p w14:paraId="619C3E36" w14:textId="77777777" w:rsidR="00000000" w:rsidRDefault="00405D16">
            <w:pPr>
              <w:spacing w:after="100"/>
              <w:rPr>
                <w:rFonts w:eastAsia="Times New Roman"/>
                <w:sz w:val="20"/>
                <w:szCs w:val="20"/>
              </w:rPr>
            </w:pPr>
          </w:p>
        </w:tc>
      </w:tr>
      <w:tr w:rsidR="00000000" w14:paraId="7EED1D5E" w14:textId="77777777">
        <w:trPr>
          <w:divId w:val="227809696"/>
        </w:trPr>
        <w:tc>
          <w:tcPr>
            <w:tcW w:w="0" w:type="auto"/>
            <w:gridSpan w:val="3"/>
            <w:shd w:val="clear" w:color="auto" w:fill="CCEEFF"/>
            <w:tcMar>
              <w:top w:w="30" w:type="dxa"/>
              <w:left w:w="20" w:type="dxa"/>
              <w:bottom w:w="30" w:type="dxa"/>
              <w:right w:w="20" w:type="dxa"/>
            </w:tcMar>
            <w:vAlign w:val="center"/>
            <w:hideMark/>
          </w:tcPr>
          <w:p w14:paraId="4EC72018" w14:textId="77777777" w:rsidR="00000000" w:rsidRDefault="00405D16">
            <w:pPr>
              <w:spacing w:after="100"/>
              <w:rPr>
                <w:rFonts w:eastAsia="Times New Roman"/>
              </w:rPr>
            </w:pPr>
            <w:r>
              <w:rPr>
                <w:rFonts w:eastAsia="Times New Roman"/>
                <w:color w:val="000000"/>
                <w:sz w:val="18"/>
                <w:szCs w:val="18"/>
              </w:rPr>
              <w:t>Net income (loss) from continuing operations</w:t>
            </w:r>
          </w:p>
        </w:tc>
        <w:tc>
          <w:tcPr>
            <w:tcW w:w="0" w:type="auto"/>
            <w:gridSpan w:val="3"/>
            <w:shd w:val="clear" w:color="auto" w:fill="CCEEFF"/>
            <w:tcMar>
              <w:top w:w="0" w:type="dxa"/>
              <w:left w:w="20" w:type="dxa"/>
              <w:bottom w:w="0" w:type="dxa"/>
              <w:right w:w="20" w:type="dxa"/>
            </w:tcMar>
            <w:vAlign w:val="center"/>
            <w:hideMark/>
          </w:tcPr>
          <w:p w14:paraId="482724EA" w14:textId="77777777" w:rsidR="00000000" w:rsidRDefault="00405D16">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20C009F0"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024A095E" w14:textId="77777777" w:rsidR="00000000" w:rsidRDefault="00405D16">
            <w:pPr>
              <w:spacing w:after="100"/>
              <w:jc w:val="right"/>
              <w:rPr>
                <w:rFonts w:eastAsia="Times New Roman"/>
              </w:rPr>
            </w:pPr>
            <w:r>
              <w:rPr>
                <w:rFonts w:eastAsia="Times New Roman"/>
                <w:b/>
                <w:bCs/>
                <w:color w:val="000000"/>
                <w:sz w:val="18"/>
                <w:szCs w:val="18"/>
              </w:rPr>
              <w:t>6.81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D56121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001BDA"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1139468D"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5D544638" w14:textId="77777777" w:rsidR="00000000" w:rsidRDefault="00405D16">
            <w:pPr>
              <w:spacing w:after="100"/>
              <w:jc w:val="right"/>
              <w:rPr>
                <w:rFonts w:eastAsia="Times New Roman"/>
              </w:rPr>
            </w:pPr>
            <w:r>
              <w:rPr>
                <w:rFonts w:eastAsia="Times New Roman"/>
                <w:color w:val="000000"/>
                <w:sz w:val="18"/>
                <w:szCs w:val="18"/>
              </w:rPr>
              <w:t>5.07 </w:t>
            </w:r>
          </w:p>
        </w:tc>
        <w:tc>
          <w:tcPr>
            <w:tcW w:w="0" w:type="auto"/>
            <w:shd w:val="clear" w:color="auto" w:fill="CCEEFF"/>
            <w:tcMar>
              <w:top w:w="30" w:type="dxa"/>
              <w:left w:w="0" w:type="dxa"/>
              <w:bottom w:w="30" w:type="dxa"/>
              <w:right w:w="20" w:type="dxa"/>
            </w:tcMar>
            <w:vAlign w:val="center"/>
            <w:hideMark/>
          </w:tcPr>
          <w:p w14:paraId="0516B8A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B58347"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14:paraId="757A1AA0" w14:textId="77777777" w:rsidR="00000000" w:rsidRDefault="00405D16">
            <w:pPr>
              <w:spacing w:after="100"/>
              <w:jc w:val="right"/>
              <w:rPr>
                <w:rFonts w:eastAsia="Times New Roman"/>
              </w:rPr>
            </w:pPr>
            <w:r>
              <w:rPr>
                <w:rFonts w:eastAsia="Times New Roman"/>
                <w:color w:val="000000"/>
                <w:sz w:val="18"/>
                <w:szCs w:val="18"/>
              </w:rPr>
              <w:t>34%</w:t>
            </w:r>
          </w:p>
        </w:tc>
        <w:tc>
          <w:tcPr>
            <w:tcW w:w="0" w:type="auto"/>
            <w:gridSpan w:val="3"/>
            <w:shd w:val="clear" w:color="auto" w:fill="CCEEFF"/>
            <w:tcMar>
              <w:top w:w="0" w:type="dxa"/>
              <w:left w:w="20" w:type="dxa"/>
              <w:bottom w:w="0" w:type="dxa"/>
              <w:right w:w="20" w:type="dxa"/>
            </w:tcMar>
            <w:vAlign w:val="center"/>
            <w:hideMark/>
          </w:tcPr>
          <w:p w14:paraId="685C522D" w14:textId="77777777" w:rsidR="00000000" w:rsidRDefault="00405D16">
            <w:pPr>
              <w:spacing w:after="100"/>
              <w:jc w:val="right"/>
              <w:rPr>
                <w:rFonts w:eastAsia="Times New Roman"/>
              </w:rPr>
            </w:pPr>
          </w:p>
        </w:tc>
        <w:tc>
          <w:tcPr>
            <w:tcW w:w="0" w:type="auto"/>
            <w:shd w:val="clear" w:color="auto" w:fill="CCEEFF"/>
            <w:tcMar>
              <w:top w:w="30" w:type="dxa"/>
              <w:left w:w="20" w:type="dxa"/>
              <w:bottom w:w="30" w:type="dxa"/>
              <w:right w:w="0" w:type="dxa"/>
            </w:tcMar>
            <w:vAlign w:val="center"/>
            <w:hideMark/>
          </w:tcPr>
          <w:p w14:paraId="38C97179"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231302BB" w14:textId="77777777" w:rsidR="00000000" w:rsidRDefault="00405D16">
            <w:pPr>
              <w:spacing w:after="100"/>
              <w:jc w:val="right"/>
              <w:rPr>
                <w:rFonts w:eastAsia="Times New Roman"/>
              </w:rPr>
            </w:pPr>
            <w:r>
              <w:rPr>
                <w:rFonts w:eastAsia="Times New Roman"/>
                <w:b/>
                <w:bCs/>
                <w:color w:val="000000"/>
                <w:sz w:val="18"/>
                <w:szCs w:val="18"/>
              </w:rPr>
              <w:t>21.53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B5C764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318FE8"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296A672A"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72046C5A" w14:textId="77777777" w:rsidR="00000000" w:rsidRDefault="00405D16">
            <w:pPr>
              <w:spacing w:after="100"/>
              <w:jc w:val="right"/>
              <w:rPr>
                <w:rFonts w:eastAsia="Times New Roman"/>
              </w:rPr>
            </w:pPr>
            <w:r>
              <w:rPr>
                <w:rFonts w:eastAsia="Times New Roman"/>
                <w:color w:val="000000"/>
                <w:sz w:val="18"/>
                <w:szCs w:val="18"/>
              </w:rPr>
              <w:t>(0.20)</w:t>
            </w:r>
          </w:p>
        </w:tc>
        <w:tc>
          <w:tcPr>
            <w:tcW w:w="0" w:type="auto"/>
            <w:shd w:val="clear" w:color="auto" w:fill="CCEEFF"/>
            <w:tcMar>
              <w:top w:w="30" w:type="dxa"/>
              <w:left w:w="0" w:type="dxa"/>
              <w:bottom w:w="30" w:type="dxa"/>
              <w:right w:w="20" w:type="dxa"/>
            </w:tcMar>
            <w:vAlign w:val="center"/>
            <w:hideMark/>
          </w:tcPr>
          <w:p w14:paraId="2EBDBE72" w14:textId="77777777" w:rsidR="00000000" w:rsidRDefault="00405D16">
            <w:pPr>
              <w:spacing w:after="100"/>
              <w:jc w:val="right"/>
              <w:rPr>
                <w:rFonts w:eastAsia="Times New Roman"/>
              </w:rPr>
            </w:pPr>
          </w:p>
        </w:tc>
        <w:tc>
          <w:tcPr>
            <w:tcW w:w="0" w:type="auto"/>
            <w:vAlign w:val="center"/>
            <w:hideMark/>
          </w:tcPr>
          <w:p w14:paraId="403FD7BB" w14:textId="77777777" w:rsidR="00000000" w:rsidRDefault="00405D16">
            <w:pPr>
              <w:spacing w:after="100"/>
              <w:jc w:val="right"/>
              <w:rPr>
                <w:rFonts w:eastAsia="Times New Roman"/>
                <w:sz w:val="20"/>
                <w:szCs w:val="20"/>
              </w:rPr>
            </w:pPr>
          </w:p>
        </w:tc>
        <w:tc>
          <w:tcPr>
            <w:tcW w:w="0" w:type="auto"/>
            <w:vAlign w:val="center"/>
            <w:hideMark/>
          </w:tcPr>
          <w:p w14:paraId="6C44033D" w14:textId="77777777" w:rsidR="00000000" w:rsidRDefault="00405D16">
            <w:pPr>
              <w:spacing w:after="100"/>
              <w:rPr>
                <w:rFonts w:eastAsia="Times New Roman"/>
                <w:sz w:val="20"/>
                <w:szCs w:val="20"/>
              </w:rPr>
            </w:pPr>
          </w:p>
        </w:tc>
        <w:tc>
          <w:tcPr>
            <w:tcW w:w="0" w:type="auto"/>
            <w:gridSpan w:val="3"/>
            <w:vAlign w:val="center"/>
            <w:hideMark/>
          </w:tcPr>
          <w:p w14:paraId="083D20FE" w14:textId="77777777" w:rsidR="00000000" w:rsidRDefault="00405D16">
            <w:pPr>
              <w:spacing w:after="100"/>
              <w:rPr>
                <w:rFonts w:eastAsia="Times New Roman"/>
                <w:sz w:val="20"/>
                <w:szCs w:val="20"/>
              </w:rPr>
            </w:pPr>
          </w:p>
        </w:tc>
        <w:tc>
          <w:tcPr>
            <w:tcW w:w="0" w:type="auto"/>
            <w:gridSpan w:val="3"/>
            <w:vAlign w:val="center"/>
            <w:hideMark/>
          </w:tcPr>
          <w:p w14:paraId="2C275E0E" w14:textId="77777777" w:rsidR="00000000" w:rsidRDefault="00405D16">
            <w:pPr>
              <w:spacing w:after="100"/>
              <w:rPr>
                <w:rFonts w:eastAsia="Times New Roman"/>
                <w:sz w:val="20"/>
                <w:szCs w:val="20"/>
              </w:rPr>
            </w:pPr>
          </w:p>
        </w:tc>
        <w:tc>
          <w:tcPr>
            <w:tcW w:w="0" w:type="auto"/>
            <w:gridSpan w:val="3"/>
            <w:vAlign w:val="center"/>
            <w:hideMark/>
          </w:tcPr>
          <w:p w14:paraId="7D50183F" w14:textId="77777777" w:rsidR="00000000" w:rsidRDefault="00405D16">
            <w:pPr>
              <w:spacing w:after="100"/>
              <w:rPr>
                <w:rFonts w:eastAsia="Times New Roman"/>
                <w:sz w:val="20"/>
                <w:szCs w:val="20"/>
              </w:rPr>
            </w:pPr>
          </w:p>
        </w:tc>
        <w:tc>
          <w:tcPr>
            <w:tcW w:w="0" w:type="auto"/>
            <w:gridSpan w:val="3"/>
            <w:vAlign w:val="center"/>
            <w:hideMark/>
          </w:tcPr>
          <w:p w14:paraId="04BF2EF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785F04" w14:textId="77777777" w:rsidR="00000000" w:rsidRDefault="00405D16">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65E1EE46"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277EDAC2" w14:textId="77777777" w:rsidR="00000000" w:rsidRDefault="00405D16">
            <w:pPr>
              <w:spacing w:after="100"/>
              <w:jc w:val="right"/>
              <w:rPr>
                <w:rFonts w:eastAsia="Times New Roman"/>
              </w:rPr>
            </w:pPr>
          </w:p>
        </w:tc>
        <w:tc>
          <w:tcPr>
            <w:tcW w:w="0" w:type="auto"/>
            <w:gridSpan w:val="2"/>
            <w:vAlign w:val="center"/>
            <w:hideMark/>
          </w:tcPr>
          <w:p w14:paraId="489B0A76" w14:textId="77777777" w:rsidR="00000000" w:rsidRDefault="00405D16">
            <w:pPr>
              <w:spacing w:after="100"/>
              <w:rPr>
                <w:rFonts w:eastAsia="Times New Roman"/>
                <w:sz w:val="20"/>
                <w:szCs w:val="20"/>
              </w:rPr>
            </w:pPr>
          </w:p>
        </w:tc>
      </w:tr>
      <w:tr w:rsidR="00000000" w14:paraId="798746FE" w14:textId="77777777">
        <w:trPr>
          <w:divId w:val="227809696"/>
        </w:trPr>
        <w:tc>
          <w:tcPr>
            <w:tcW w:w="0" w:type="auto"/>
            <w:gridSpan w:val="3"/>
            <w:shd w:val="clear" w:color="auto" w:fill="FFFFFF"/>
            <w:tcMar>
              <w:top w:w="30" w:type="dxa"/>
              <w:left w:w="20" w:type="dxa"/>
              <w:bottom w:w="30" w:type="dxa"/>
              <w:right w:w="20" w:type="dxa"/>
            </w:tcMar>
            <w:vAlign w:val="center"/>
            <w:hideMark/>
          </w:tcPr>
          <w:p w14:paraId="698C8A72" w14:textId="77777777" w:rsidR="00000000" w:rsidRDefault="00405D16">
            <w:pPr>
              <w:spacing w:after="100"/>
              <w:rPr>
                <w:rFonts w:eastAsia="Times New Roman"/>
              </w:rPr>
            </w:pPr>
            <w:r>
              <w:rPr>
                <w:rFonts w:eastAsia="Times New Roman"/>
                <w:color w:val="000000"/>
                <w:sz w:val="18"/>
                <w:szCs w:val="18"/>
              </w:rPr>
              <w:t>Loss from discontinued operations</w:t>
            </w:r>
          </w:p>
        </w:tc>
        <w:tc>
          <w:tcPr>
            <w:tcW w:w="0" w:type="auto"/>
            <w:gridSpan w:val="3"/>
            <w:shd w:val="clear" w:color="auto" w:fill="FFFFFF"/>
            <w:tcMar>
              <w:top w:w="0" w:type="dxa"/>
              <w:left w:w="20" w:type="dxa"/>
              <w:bottom w:w="0" w:type="dxa"/>
              <w:right w:w="20" w:type="dxa"/>
            </w:tcMar>
            <w:vAlign w:val="center"/>
            <w:hideMark/>
          </w:tcPr>
          <w:p w14:paraId="4FA81573"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E4BB50A" w14:textId="77777777" w:rsidR="00000000" w:rsidRDefault="00405D16">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96D3FC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34E54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B4D884D" w14:textId="77777777" w:rsidR="00000000" w:rsidRDefault="00405D16">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872B6D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DCE072"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3B9B51CD"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09DFDE3"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821D431" w14:textId="77777777" w:rsidR="00000000" w:rsidRDefault="00405D16">
            <w:pPr>
              <w:spacing w:after="100"/>
              <w:jc w:val="right"/>
              <w:rPr>
                <w:rFonts w:eastAsia="Times New Roman"/>
              </w:rPr>
            </w:pPr>
            <w:r>
              <w:rPr>
                <w:rFonts w:eastAsia="Times New Roman"/>
                <w:b/>
                <w:bCs/>
                <w:color w:val="000000"/>
                <w:sz w:val="18"/>
                <w:szCs w:val="18"/>
              </w:rPr>
              <w:t>(0.01)</w:t>
            </w:r>
          </w:p>
        </w:tc>
        <w:tc>
          <w:tcPr>
            <w:tcW w:w="0" w:type="auto"/>
            <w:shd w:val="clear" w:color="auto" w:fill="FFFFFF"/>
            <w:tcMar>
              <w:top w:w="30" w:type="dxa"/>
              <w:left w:w="0" w:type="dxa"/>
              <w:bottom w:w="30" w:type="dxa"/>
              <w:right w:w="20" w:type="dxa"/>
            </w:tcMar>
            <w:vAlign w:val="center"/>
            <w:hideMark/>
          </w:tcPr>
          <w:p w14:paraId="24D636C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FFC44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71AF301" w14:textId="77777777" w:rsidR="00000000" w:rsidRDefault="00405D16">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FE91AD7" w14:textId="77777777" w:rsidR="00000000" w:rsidRDefault="00405D16">
            <w:pPr>
              <w:spacing w:after="100"/>
              <w:jc w:val="right"/>
              <w:rPr>
                <w:rFonts w:eastAsia="Times New Roman"/>
              </w:rPr>
            </w:pPr>
          </w:p>
        </w:tc>
        <w:tc>
          <w:tcPr>
            <w:tcW w:w="0" w:type="auto"/>
            <w:vAlign w:val="center"/>
            <w:hideMark/>
          </w:tcPr>
          <w:p w14:paraId="2CB7B420" w14:textId="77777777" w:rsidR="00000000" w:rsidRDefault="00405D16">
            <w:pPr>
              <w:spacing w:after="100"/>
              <w:jc w:val="right"/>
              <w:rPr>
                <w:rFonts w:eastAsia="Times New Roman"/>
                <w:sz w:val="20"/>
                <w:szCs w:val="20"/>
              </w:rPr>
            </w:pPr>
          </w:p>
        </w:tc>
        <w:tc>
          <w:tcPr>
            <w:tcW w:w="0" w:type="auto"/>
            <w:vAlign w:val="center"/>
            <w:hideMark/>
          </w:tcPr>
          <w:p w14:paraId="1E85F995" w14:textId="77777777" w:rsidR="00000000" w:rsidRDefault="00405D16">
            <w:pPr>
              <w:spacing w:after="100"/>
              <w:rPr>
                <w:rFonts w:eastAsia="Times New Roman"/>
                <w:sz w:val="20"/>
                <w:szCs w:val="20"/>
              </w:rPr>
            </w:pPr>
          </w:p>
        </w:tc>
        <w:tc>
          <w:tcPr>
            <w:tcW w:w="0" w:type="auto"/>
            <w:gridSpan w:val="3"/>
            <w:vAlign w:val="center"/>
            <w:hideMark/>
          </w:tcPr>
          <w:p w14:paraId="14C48753" w14:textId="77777777" w:rsidR="00000000" w:rsidRDefault="00405D16">
            <w:pPr>
              <w:spacing w:after="100"/>
              <w:rPr>
                <w:rFonts w:eastAsia="Times New Roman"/>
                <w:sz w:val="20"/>
                <w:szCs w:val="20"/>
              </w:rPr>
            </w:pPr>
          </w:p>
        </w:tc>
        <w:tc>
          <w:tcPr>
            <w:tcW w:w="0" w:type="auto"/>
            <w:gridSpan w:val="3"/>
            <w:vAlign w:val="center"/>
            <w:hideMark/>
          </w:tcPr>
          <w:p w14:paraId="5288257C" w14:textId="77777777" w:rsidR="00000000" w:rsidRDefault="00405D16">
            <w:pPr>
              <w:spacing w:after="100"/>
              <w:rPr>
                <w:rFonts w:eastAsia="Times New Roman"/>
                <w:sz w:val="20"/>
                <w:szCs w:val="20"/>
              </w:rPr>
            </w:pPr>
          </w:p>
        </w:tc>
        <w:tc>
          <w:tcPr>
            <w:tcW w:w="0" w:type="auto"/>
            <w:gridSpan w:val="3"/>
            <w:vAlign w:val="center"/>
            <w:hideMark/>
          </w:tcPr>
          <w:p w14:paraId="4C12F7F0" w14:textId="77777777" w:rsidR="00000000" w:rsidRDefault="00405D16">
            <w:pPr>
              <w:spacing w:after="100"/>
              <w:rPr>
                <w:rFonts w:eastAsia="Times New Roman"/>
                <w:sz w:val="20"/>
                <w:szCs w:val="20"/>
              </w:rPr>
            </w:pPr>
          </w:p>
        </w:tc>
        <w:tc>
          <w:tcPr>
            <w:tcW w:w="0" w:type="auto"/>
            <w:gridSpan w:val="3"/>
            <w:vAlign w:val="center"/>
            <w:hideMark/>
          </w:tcPr>
          <w:p w14:paraId="0EBE8FA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98B402" w14:textId="77777777" w:rsidR="00000000" w:rsidRDefault="00405D16">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603E841F"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595F7978" w14:textId="77777777" w:rsidR="00000000" w:rsidRDefault="00405D16">
            <w:pPr>
              <w:spacing w:after="100"/>
              <w:jc w:val="right"/>
              <w:rPr>
                <w:rFonts w:eastAsia="Times New Roman"/>
              </w:rPr>
            </w:pPr>
          </w:p>
        </w:tc>
        <w:tc>
          <w:tcPr>
            <w:tcW w:w="0" w:type="auto"/>
            <w:gridSpan w:val="2"/>
            <w:vAlign w:val="center"/>
            <w:hideMark/>
          </w:tcPr>
          <w:p w14:paraId="3EC3D320" w14:textId="77777777" w:rsidR="00000000" w:rsidRDefault="00405D16">
            <w:pPr>
              <w:spacing w:after="100"/>
              <w:rPr>
                <w:rFonts w:eastAsia="Times New Roman"/>
                <w:sz w:val="20"/>
                <w:szCs w:val="20"/>
              </w:rPr>
            </w:pPr>
          </w:p>
        </w:tc>
      </w:tr>
      <w:tr w:rsidR="00000000" w14:paraId="5FA0275C" w14:textId="77777777">
        <w:trPr>
          <w:divId w:val="227809696"/>
        </w:trPr>
        <w:tc>
          <w:tcPr>
            <w:tcW w:w="0" w:type="auto"/>
            <w:gridSpan w:val="3"/>
            <w:shd w:val="clear" w:color="auto" w:fill="CCEEFF"/>
            <w:tcMar>
              <w:top w:w="30" w:type="dxa"/>
              <w:left w:w="20" w:type="dxa"/>
              <w:bottom w:w="30" w:type="dxa"/>
              <w:right w:w="20" w:type="dxa"/>
            </w:tcMar>
            <w:vAlign w:val="center"/>
            <w:hideMark/>
          </w:tcPr>
          <w:p w14:paraId="55BB6C58" w14:textId="77777777" w:rsidR="00000000" w:rsidRDefault="00405D16">
            <w:pPr>
              <w:spacing w:after="100"/>
              <w:rPr>
                <w:rFonts w:eastAsia="Times New Roman"/>
              </w:rPr>
            </w:pPr>
            <w:r>
              <w:rPr>
                <w:rFonts w:eastAsia="Times New Roman"/>
                <w:color w:val="000000"/>
                <w:sz w:val="18"/>
                <w:szCs w:val="18"/>
              </w:rPr>
              <w:t>Net income (loss) per basic common share</w:t>
            </w:r>
          </w:p>
        </w:tc>
        <w:tc>
          <w:tcPr>
            <w:tcW w:w="0" w:type="auto"/>
            <w:gridSpan w:val="3"/>
            <w:shd w:val="clear" w:color="auto" w:fill="CCEEFF"/>
            <w:tcMar>
              <w:top w:w="0" w:type="dxa"/>
              <w:left w:w="20" w:type="dxa"/>
              <w:bottom w:w="0" w:type="dxa"/>
              <w:right w:w="20" w:type="dxa"/>
            </w:tcMar>
            <w:vAlign w:val="center"/>
            <w:hideMark/>
          </w:tcPr>
          <w:p w14:paraId="12383F5E"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2E3B2FF"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4569CCE" w14:textId="77777777" w:rsidR="00000000" w:rsidRDefault="00405D16">
            <w:pPr>
              <w:spacing w:after="100"/>
              <w:jc w:val="right"/>
              <w:rPr>
                <w:rFonts w:eastAsia="Times New Roman"/>
              </w:rPr>
            </w:pPr>
            <w:r>
              <w:rPr>
                <w:rFonts w:eastAsia="Times New Roman"/>
                <w:b/>
                <w:bCs/>
                <w:color w:val="000000"/>
                <w:sz w:val="18"/>
                <w:szCs w:val="18"/>
              </w:rPr>
              <w:t>6.81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9CA5F3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B33BF5"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E101FB0"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B9C7C2E" w14:textId="77777777" w:rsidR="00000000" w:rsidRDefault="00405D16">
            <w:pPr>
              <w:spacing w:after="100"/>
              <w:jc w:val="right"/>
              <w:rPr>
                <w:rFonts w:eastAsia="Times New Roman"/>
              </w:rPr>
            </w:pPr>
            <w:r>
              <w:rPr>
                <w:rFonts w:eastAsia="Times New Roman"/>
                <w:color w:val="000000"/>
                <w:sz w:val="18"/>
                <w:szCs w:val="18"/>
              </w:rPr>
              <w:t>5.07 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D54B10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172100"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6359A1DD" w14:textId="77777777" w:rsidR="00000000" w:rsidRDefault="00405D16">
            <w:pPr>
              <w:spacing w:after="100"/>
              <w:jc w:val="right"/>
              <w:rPr>
                <w:rFonts w:eastAsia="Times New Roman"/>
              </w:rPr>
            </w:pPr>
            <w:r>
              <w:rPr>
                <w:rFonts w:eastAsia="Times New Roman"/>
                <w:color w:val="000000"/>
                <w:sz w:val="18"/>
                <w:szCs w:val="18"/>
              </w:rPr>
              <w:t>34</w:t>
            </w:r>
          </w:p>
        </w:tc>
        <w:tc>
          <w:tcPr>
            <w:tcW w:w="0" w:type="auto"/>
            <w:gridSpan w:val="3"/>
            <w:shd w:val="clear" w:color="auto" w:fill="CCEEFF"/>
            <w:tcMar>
              <w:top w:w="0" w:type="dxa"/>
              <w:left w:w="20" w:type="dxa"/>
              <w:bottom w:w="0" w:type="dxa"/>
              <w:right w:w="20" w:type="dxa"/>
            </w:tcMar>
            <w:vAlign w:val="center"/>
            <w:hideMark/>
          </w:tcPr>
          <w:p w14:paraId="00A38337" w14:textId="77777777" w:rsidR="00000000" w:rsidRDefault="00405D16">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BED85FC"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239E673" w14:textId="77777777" w:rsidR="00000000" w:rsidRDefault="00405D16">
            <w:pPr>
              <w:spacing w:after="100"/>
              <w:jc w:val="right"/>
              <w:rPr>
                <w:rFonts w:eastAsia="Times New Roman"/>
              </w:rPr>
            </w:pPr>
            <w:r>
              <w:rPr>
                <w:rFonts w:eastAsia="Times New Roman"/>
                <w:b/>
                <w:bCs/>
                <w:color w:val="000000"/>
                <w:sz w:val="18"/>
                <w:szCs w:val="18"/>
              </w:rPr>
              <w:t>21.52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24A76D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BE3357"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4C49B42"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584F6F1" w14:textId="77777777" w:rsidR="00000000" w:rsidRDefault="00405D16">
            <w:pPr>
              <w:spacing w:after="100"/>
              <w:jc w:val="right"/>
              <w:rPr>
                <w:rFonts w:eastAsia="Times New Roman"/>
              </w:rPr>
            </w:pPr>
            <w:r>
              <w:rPr>
                <w:rFonts w:eastAsia="Times New Roman"/>
                <w:color w:val="000000"/>
                <w:sz w:val="18"/>
                <w:szCs w:val="18"/>
              </w:rPr>
              <w:t>(0.20)</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902255C" w14:textId="77777777" w:rsidR="00000000" w:rsidRDefault="00405D16">
            <w:pPr>
              <w:spacing w:after="100"/>
              <w:jc w:val="right"/>
              <w:rPr>
                <w:rFonts w:eastAsia="Times New Roman"/>
              </w:rPr>
            </w:pPr>
          </w:p>
        </w:tc>
        <w:tc>
          <w:tcPr>
            <w:tcW w:w="0" w:type="auto"/>
            <w:vAlign w:val="center"/>
            <w:hideMark/>
          </w:tcPr>
          <w:p w14:paraId="426021E6" w14:textId="77777777" w:rsidR="00000000" w:rsidRDefault="00405D16">
            <w:pPr>
              <w:spacing w:after="100"/>
              <w:jc w:val="right"/>
              <w:rPr>
                <w:rFonts w:eastAsia="Times New Roman"/>
                <w:sz w:val="20"/>
                <w:szCs w:val="20"/>
              </w:rPr>
            </w:pPr>
          </w:p>
        </w:tc>
        <w:tc>
          <w:tcPr>
            <w:tcW w:w="0" w:type="auto"/>
            <w:vAlign w:val="center"/>
            <w:hideMark/>
          </w:tcPr>
          <w:p w14:paraId="7D014879" w14:textId="77777777" w:rsidR="00000000" w:rsidRDefault="00405D16">
            <w:pPr>
              <w:spacing w:after="100"/>
              <w:rPr>
                <w:rFonts w:eastAsia="Times New Roman"/>
                <w:sz w:val="20"/>
                <w:szCs w:val="20"/>
              </w:rPr>
            </w:pPr>
          </w:p>
        </w:tc>
        <w:tc>
          <w:tcPr>
            <w:tcW w:w="0" w:type="auto"/>
            <w:gridSpan w:val="3"/>
            <w:vAlign w:val="center"/>
            <w:hideMark/>
          </w:tcPr>
          <w:p w14:paraId="35463495" w14:textId="77777777" w:rsidR="00000000" w:rsidRDefault="00405D16">
            <w:pPr>
              <w:spacing w:after="100"/>
              <w:rPr>
                <w:rFonts w:eastAsia="Times New Roman"/>
                <w:sz w:val="20"/>
                <w:szCs w:val="20"/>
              </w:rPr>
            </w:pPr>
          </w:p>
        </w:tc>
        <w:tc>
          <w:tcPr>
            <w:tcW w:w="0" w:type="auto"/>
            <w:gridSpan w:val="3"/>
            <w:vAlign w:val="center"/>
            <w:hideMark/>
          </w:tcPr>
          <w:p w14:paraId="615BFDE3" w14:textId="77777777" w:rsidR="00000000" w:rsidRDefault="00405D16">
            <w:pPr>
              <w:spacing w:after="100"/>
              <w:rPr>
                <w:rFonts w:eastAsia="Times New Roman"/>
                <w:sz w:val="20"/>
                <w:szCs w:val="20"/>
              </w:rPr>
            </w:pPr>
          </w:p>
        </w:tc>
        <w:tc>
          <w:tcPr>
            <w:tcW w:w="0" w:type="auto"/>
            <w:gridSpan w:val="3"/>
            <w:vAlign w:val="center"/>
            <w:hideMark/>
          </w:tcPr>
          <w:p w14:paraId="2127CB6D" w14:textId="77777777" w:rsidR="00000000" w:rsidRDefault="00405D16">
            <w:pPr>
              <w:spacing w:after="100"/>
              <w:rPr>
                <w:rFonts w:eastAsia="Times New Roman"/>
                <w:sz w:val="20"/>
                <w:szCs w:val="20"/>
              </w:rPr>
            </w:pPr>
          </w:p>
        </w:tc>
        <w:tc>
          <w:tcPr>
            <w:tcW w:w="0" w:type="auto"/>
            <w:gridSpan w:val="3"/>
            <w:vAlign w:val="center"/>
            <w:hideMark/>
          </w:tcPr>
          <w:p w14:paraId="0EB3E5E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875F1B" w14:textId="77777777" w:rsidR="00000000" w:rsidRDefault="00405D16">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32584B47"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004CACAD" w14:textId="77777777" w:rsidR="00000000" w:rsidRDefault="00405D16">
            <w:pPr>
              <w:spacing w:after="100"/>
              <w:jc w:val="right"/>
              <w:rPr>
                <w:rFonts w:eastAsia="Times New Roman"/>
              </w:rPr>
            </w:pPr>
          </w:p>
        </w:tc>
        <w:tc>
          <w:tcPr>
            <w:tcW w:w="0" w:type="auto"/>
            <w:gridSpan w:val="2"/>
            <w:vAlign w:val="center"/>
            <w:hideMark/>
          </w:tcPr>
          <w:p w14:paraId="18892013" w14:textId="77777777" w:rsidR="00000000" w:rsidRDefault="00405D16">
            <w:pPr>
              <w:spacing w:after="100"/>
              <w:rPr>
                <w:rFonts w:eastAsia="Times New Roman"/>
                <w:sz w:val="20"/>
                <w:szCs w:val="20"/>
              </w:rPr>
            </w:pPr>
          </w:p>
        </w:tc>
      </w:tr>
      <w:tr w:rsidR="00000000" w14:paraId="67F30E16" w14:textId="77777777">
        <w:trPr>
          <w:divId w:val="227809696"/>
        </w:trPr>
        <w:tc>
          <w:tcPr>
            <w:tcW w:w="0" w:type="auto"/>
            <w:gridSpan w:val="3"/>
            <w:shd w:val="clear" w:color="auto" w:fill="FFFFFF"/>
            <w:tcMar>
              <w:top w:w="30" w:type="dxa"/>
              <w:left w:w="20" w:type="dxa"/>
              <w:bottom w:w="30" w:type="dxa"/>
              <w:right w:w="20" w:type="dxa"/>
            </w:tcMar>
            <w:vAlign w:val="center"/>
            <w:hideMark/>
          </w:tcPr>
          <w:p w14:paraId="1E12CDF2" w14:textId="77777777" w:rsidR="00000000" w:rsidRDefault="00405D16">
            <w:pPr>
              <w:spacing w:after="100"/>
              <w:rPr>
                <w:rFonts w:eastAsia="Times New Roman"/>
              </w:rPr>
            </w:pPr>
            <w:r>
              <w:rPr>
                <w:rFonts w:eastAsia="Times New Roman"/>
                <w:b/>
                <w:bCs/>
                <w:color w:val="000000"/>
                <w:sz w:val="18"/>
                <w:szCs w:val="18"/>
              </w:rPr>
              <w:t>Diluted earnings per common share:</w:t>
            </w:r>
          </w:p>
        </w:tc>
        <w:tc>
          <w:tcPr>
            <w:tcW w:w="0" w:type="auto"/>
            <w:gridSpan w:val="3"/>
            <w:shd w:val="clear" w:color="auto" w:fill="FFFFFF"/>
            <w:tcMar>
              <w:top w:w="0" w:type="dxa"/>
              <w:left w:w="20" w:type="dxa"/>
              <w:bottom w:w="0" w:type="dxa"/>
              <w:right w:w="20" w:type="dxa"/>
            </w:tcMar>
            <w:vAlign w:val="center"/>
            <w:hideMark/>
          </w:tcPr>
          <w:p w14:paraId="52737A94" w14:textId="77777777" w:rsidR="00000000" w:rsidRDefault="00405D16">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3326C6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75E085"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533292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BDB68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0FFCD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645704"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36B1F2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96E7D2"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B483628" w14:textId="77777777" w:rsidR="00000000" w:rsidRDefault="00405D16">
            <w:pPr>
              <w:spacing w:after="100"/>
              <w:rPr>
                <w:rFonts w:eastAsia="Times New Roman"/>
                <w:sz w:val="20"/>
                <w:szCs w:val="20"/>
              </w:rPr>
            </w:pPr>
          </w:p>
        </w:tc>
        <w:tc>
          <w:tcPr>
            <w:tcW w:w="0" w:type="auto"/>
            <w:vAlign w:val="center"/>
            <w:hideMark/>
          </w:tcPr>
          <w:p w14:paraId="4C5298B0" w14:textId="77777777" w:rsidR="00000000" w:rsidRDefault="00405D16">
            <w:pPr>
              <w:spacing w:after="100"/>
              <w:rPr>
                <w:rFonts w:eastAsia="Times New Roman"/>
                <w:sz w:val="20"/>
                <w:szCs w:val="20"/>
              </w:rPr>
            </w:pPr>
          </w:p>
        </w:tc>
        <w:tc>
          <w:tcPr>
            <w:tcW w:w="0" w:type="auto"/>
            <w:vAlign w:val="center"/>
            <w:hideMark/>
          </w:tcPr>
          <w:p w14:paraId="17B87108" w14:textId="77777777" w:rsidR="00000000" w:rsidRDefault="00405D16">
            <w:pPr>
              <w:spacing w:after="100"/>
              <w:rPr>
                <w:rFonts w:eastAsia="Times New Roman"/>
                <w:sz w:val="20"/>
                <w:szCs w:val="20"/>
              </w:rPr>
            </w:pPr>
          </w:p>
        </w:tc>
        <w:tc>
          <w:tcPr>
            <w:tcW w:w="0" w:type="auto"/>
            <w:gridSpan w:val="3"/>
            <w:vAlign w:val="center"/>
            <w:hideMark/>
          </w:tcPr>
          <w:p w14:paraId="19D4F243" w14:textId="77777777" w:rsidR="00000000" w:rsidRDefault="00405D16">
            <w:pPr>
              <w:spacing w:after="100"/>
              <w:rPr>
                <w:rFonts w:eastAsia="Times New Roman"/>
                <w:sz w:val="20"/>
                <w:szCs w:val="20"/>
              </w:rPr>
            </w:pPr>
          </w:p>
        </w:tc>
        <w:tc>
          <w:tcPr>
            <w:tcW w:w="0" w:type="auto"/>
            <w:gridSpan w:val="3"/>
            <w:vAlign w:val="center"/>
            <w:hideMark/>
          </w:tcPr>
          <w:p w14:paraId="195EAA37" w14:textId="77777777" w:rsidR="00000000" w:rsidRDefault="00405D16">
            <w:pPr>
              <w:spacing w:after="100"/>
              <w:rPr>
                <w:rFonts w:eastAsia="Times New Roman"/>
                <w:sz w:val="20"/>
                <w:szCs w:val="20"/>
              </w:rPr>
            </w:pPr>
          </w:p>
        </w:tc>
        <w:tc>
          <w:tcPr>
            <w:tcW w:w="0" w:type="auto"/>
            <w:gridSpan w:val="3"/>
            <w:vAlign w:val="center"/>
            <w:hideMark/>
          </w:tcPr>
          <w:p w14:paraId="5FB4CA75" w14:textId="77777777" w:rsidR="00000000" w:rsidRDefault="00405D16">
            <w:pPr>
              <w:spacing w:after="100"/>
              <w:rPr>
                <w:rFonts w:eastAsia="Times New Roman"/>
                <w:sz w:val="20"/>
                <w:szCs w:val="20"/>
              </w:rPr>
            </w:pPr>
          </w:p>
        </w:tc>
        <w:tc>
          <w:tcPr>
            <w:tcW w:w="0" w:type="auto"/>
            <w:gridSpan w:val="3"/>
            <w:vAlign w:val="center"/>
            <w:hideMark/>
          </w:tcPr>
          <w:p w14:paraId="35C7D97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EED12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DB5323" w14:textId="77777777" w:rsidR="00000000" w:rsidRDefault="00405D16">
            <w:pPr>
              <w:spacing w:after="100"/>
              <w:rPr>
                <w:rFonts w:eastAsia="Times New Roman"/>
                <w:sz w:val="20"/>
                <w:szCs w:val="20"/>
              </w:rPr>
            </w:pPr>
          </w:p>
        </w:tc>
        <w:tc>
          <w:tcPr>
            <w:tcW w:w="0" w:type="auto"/>
            <w:gridSpan w:val="3"/>
            <w:vAlign w:val="center"/>
            <w:hideMark/>
          </w:tcPr>
          <w:p w14:paraId="0B112A81" w14:textId="77777777" w:rsidR="00000000" w:rsidRDefault="00405D16">
            <w:pPr>
              <w:spacing w:after="100"/>
              <w:rPr>
                <w:rFonts w:eastAsia="Times New Roman"/>
                <w:sz w:val="20"/>
                <w:szCs w:val="20"/>
              </w:rPr>
            </w:pPr>
          </w:p>
        </w:tc>
        <w:tc>
          <w:tcPr>
            <w:tcW w:w="0" w:type="auto"/>
            <w:gridSpan w:val="2"/>
            <w:vAlign w:val="center"/>
            <w:hideMark/>
          </w:tcPr>
          <w:p w14:paraId="2C98409A" w14:textId="77777777" w:rsidR="00000000" w:rsidRDefault="00405D16">
            <w:pPr>
              <w:spacing w:after="100"/>
              <w:rPr>
                <w:rFonts w:eastAsia="Times New Roman"/>
                <w:sz w:val="20"/>
                <w:szCs w:val="20"/>
              </w:rPr>
            </w:pPr>
          </w:p>
        </w:tc>
      </w:tr>
      <w:tr w:rsidR="00000000" w14:paraId="5283167F" w14:textId="77777777">
        <w:trPr>
          <w:divId w:val="227809696"/>
        </w:trPr>
        <w:tc>
          <w:tcPr>
            <w:tcW w:w="0" w:type="auto"/>
            <w:gridSpan w:val="3"/>
            <w:shd w:val="clear" w:color="auto" w:fill="CCEEFF"/>
            <w:tcMar>
              <w:top w:w="30" w:type="dxa"/>
              <w:left w:w="20" w:type="dxa"/>
              <w:bottom w:w="30" w:type="dxa"/>
              <w:right w:w="20" w:type="dxa"/>
            </w:tcMar>
            <w:vAlign w:val="center"/>
            <w:hideMark/>
          </w:tcPr>
          <w:p w14:paraId="72706065" w14:textId="77777777" w:rsidR="00000000" w:rsidRDefault="00405D16">
            <w:pPr>
              <w:spacing w:after="100"/>
              <w:rPr>
                <w:rFonts w:eastAsia="Times New Roman"/>
              </w:rPr>
            </w:pPr>
            <w:r>
              <w:rPr>
                <w:rFonts w:eastAsia="Times New Roman"/>
                <w:color w:val="000000"/>
                <w:sz w:val="18"/>
                <w:szCs w:val="18"/>
              </w:rPr>
              <w:t>Net income (loss) from continuing operations</w:t>
            </w:r>
          </w:p>
        </w:tc>
        <w:tc>
          <w:tcPr>
            <w:tcW w:w="0" w:type="auto"/>
            <w:gridSpan w:val="3"/>
            <w:shd w:val="clear" w:color="auto" w:fill="CCEEFF"/>
            <w:tcMar>
              <w:top w:w="0" w:type="dxa"/>
              <w:left w:w="20" w:type="dxa"/>
              <w:bottom w:w="0" w:type="dxa"/>
              <w:right w:w="20" w:type="dxa"/>
            </w:tcMar>
            <w:vAlign w:val="center"/>
            <w:hideMark/>
          </w:tcPr>
          <w:p w14:paraId="5C2EECF0" w14:textId="77777777" w:rsidR="00000000" w:rsidRDefault="00405D16">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0F44A2E9"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572A7173" w14:textId="77777777" w:rsidR="00000000" w:rsidRDefault="00405D16">
            <w:pPr>
              <w:spacing w:after="100"/>
              <w:jc w:val="right"/>
              <w:rPr>
                <w:rFonts w:eastAsia="Times New Roman"/>
              </w:rPr>
            </w:pPr>
            <w:r>
              <w:rPr>
                <w:rFonts w:eastAsia="Times New Roman"/>
                <w:b/>
                <w:bCs/>
                <w:color w:val="000000"/>
                <w:sz w:val="18"/>
                <w:szCs w:val="18"/>
              </w:rPr>
              <w:t>6.78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24F3A7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81EFF3"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07DEEA2A"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0DC9F92B" w14:textId="77777777" w:rsidR="00000000" w:rsidRDefault="00405D16">
            <w:pPr>
              <w:spacing w:after="100"/>
              <w:jc w:val="right"/>
              <w:rPr>
                <w:rFonts w:eastAsia="Times New Roman"/>
              </w:rPr>
            </w:pPr>
            <w:r>
              <w:rPr>
                <w:rFonts w:eastAsia="Times New Roman"/>
                <w:color w:val="000000"/>
                <w:sz w:val="18"/>
                <w:szCs w:val="18"/>
              </w:rPr>
              <w:t>5.06 </w:t>
            </w:r>
          </w:p>
        </w:tc>
        <w:tc>
          <w:tcPr>
            <w:tcW w:w="0" w:type="auto"/>
            <w:shd w:val="clear" w:color="auto" w:fill="CCEEFF"/>
            <w:tcMar>
              <w:top w:w="30" w:type="dxa"/>
              <w:left w:w="0" w:type="dxa"/>
              <w:bottom w:w="30" w:type="dxa"/>
              <w:right w:w="20" w:type="dxa"/>
            </w:tcMar>
            <w:vAlign w:val="center"/>
            <w:hideMark/>
          </w:tcPr>
          <w:p w14:paraId="1868AB0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762588"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14:paraId="098A7ACC" w14:textId="77777777" w:rsidR="00000000" w:rsidRDefault="00405D16">
            <w:pPr>
              <w:spacing w:after="100"/>
              <w:jc w:val="right"/>
              <w:rPr>
                <w:rFonts w:eastAsia="Times New Roman"/>
              </w:rPr>
            </w:pPr>
            <w:r>
              <w:rPr>
                <w:rFonts w:eastAsia="Times New Roman"/>
                <w:color w:val="000000"/>
                <w:sz w:val="18"/>
                <w:szCs w:val="18"/>
              </w:rPr>
              <w:t>34%</w:t>
            </w:r>
          </w:p>
        </w:tc>
        <w:tc>
          <w:tcPr>
            <w:tcW w:w="0" w:type="auto"/>
            <w:gridSpan w:val="3"/>
            <w:shd w:val="clear" w:color="auto" w:fill="CCEEFF"/>
            <w:tcMar>
              <w:top w:w="0" w:type="dxa"/>
              <w:left w:w="20" w:type="dxa"/>
              <w:bottom w:w="0" w:type="dxa"/>
              <w:right w:w="20" w:type="dxa"/>
            </w:tcMar>
            <w:vAlign w:val="center"/>
            <w:hideMark/>
          </w:tcPr>
          <w:p w14:paraId="209593EB" w14:textId="77777777" w:rsidR="00000000" w:rsidRDefault="00405D16">
            <w:pPr>
              <w:spacing w:after="100"/>
              <w:jc w:val="right"/>
              <w:rPr>
                <w:rFonts w:eastAsia="Times New Roman"/>
              </w:rPr>
            </w:pPr>
          </w:p>
        </w:tc>
        <w:tc>
          <w:tcPr>
            <w:tcW w:w="0" w:type="auto"/>
            <w:shd w:val="clear" w:color="auto" w:fill="CCEEFF"/>
            <w:tcMar>
              <w:top w:w="30" w:type="dxa"/>
              <w:left w:w="20" w:type="dxa"/>
              <w:bottom w:w="30" w:type="dxa"/>
              <w:right w:w="0" w:type="dxa"/>
            </w:tcMar>
            <w:vAlign w:val="center"/>
            <w:hideMark/>
          </w:tcPr>
          <w:p w14:paraId="2558647F"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4B142754" w14:textId="77777777" w:rsidR="00000000" w:rsidRDefault="00405D16">
            <w:pPr>
              <w:spacing w:after="100"/>
              <w:jc w:val="right"/>
              <w:rPr>
                <w:rFonts w:eastAsia="Times New Roman"/>
              </w:rPr>
            </w:pPr>
            <w:r>
              <w:rPr>
                <w:rFonts w:eastAsia="Times New Roman"/>
                <w:b/>
                <w:bCs/>
                <w:color w:val="000000"/>
                <w:sz w:val="18"/>
                <w:szCs w:val="18"/>
              </w:rPr>
              <w:t>21.45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F3592C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4CA294"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0805C9C8"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611AB21B" w14:textId="77777777" w:rsidR="00000000" w:rsidRDefault="00405D16">
            <w:pPr>
              <w:spacing w:after="100"/>
              <w:jc w:val="right"/>
              <w:rPr>
                <w:rFonts w:eastAsia="Times New Roman"/>
              </w:rPr>
            </w:pPr>
            <w:r>
              <w:rPr>
                <w:rFonts w:eastAsia="Times New Roman"/>
                <w:color w:val="000000"/>
                <w:sz w:val="18"/>
                <w:szCs w:val="18"/>
              </w:rPr>
              <w:t>(0.20)</w:t>
            </w:r>
          </w:p>
        </w:tc>
        <w:tc>
          <w:tcPr>
            <w:tcW w:w="0" w:type="auto"/>
            <w:shd w:val="clear" w:color="auto" w:fill="CCEEFF"/>
            <w:tcMar>
              <w:top w:w="30" w:type="dxa"/>
              <w:left w:w="0" w:type="dxa"/>
              <w:bottom w:w="30" w:type="dxa"/>
              <w:right w:w="20" w:type="dxa"/>
            </w:tcMar>
            <w:vAlign w:val="center"/>
            <w:hideMark/>
          </w:tcPr>
          <w:p w14:paraId="582F9557" w14:textId="77777777" w:rsidR="00000000" w:rsidRDefault="00405D16">
            <w:pPr>
              <w:spacing w:after="100"/>
              <w:jc w:val="right"/>
              <w:rPr>
                <w:rFonts w:eastAsia="Times New Roman"/>
              </w:rPr>
            </w:pPr>
          </w:p>
        </w:tc>
        <w:tc>
          <w:tcPr>
            <w:tcW w:w="0" w:type="auto"/>
            <w:vAlign w:val="center"/>
            <w:hideMark/>
          </w:tcPr>
          <w:p w14:paraId="34811B26" w14:textId="77777777" w:rsidR="00000000" w:rsidRDefault="00405D16">
            <w:pPr>
              <w:spacing w:after="100"/>
              <w:jc w:val="right"/>
              <w:rPr>
                <w:rFonts w:eastAsia="Times New Roman"/>
                <w:sz w:val="20"/>
                <w:szCs w:val="20"/>
              </w:rPr>
            </w:pPr>
          </w:p>
        </w:tc>
        <w:tc>
          <w:tcPr>
            <w:tcW w:w="0" w:type="auto"/>
            <w:vAlign w:val="center"/>
            <w:hideMark/>
          </w:tcPr>
          <w:p w14:paraId="57FB53E6" w14:textId="77777777" w:rsidR="00000000" w:rsidRDefault="00405D16">
            <w:pPr>
              <w:spacing w:after="100"/>
              <w:rPr>
                <w:rFonts w:eastAsia="Times New Roman"/>
                <w:sz w:val="20"/>
                <w:szCs w:val="20"/>
              </w:rPr>
            </w:pPr>
          </w:p>
        </w:tc>
        <w:tc>
          <w:tcPr>
            <w:tcW w:w="0" w:type="auto"/>
            <w:gridSpan w:val="3"/>
            <w:vAlign w:val="center"/>
            <w:hideMark/>
          </w:tcPr>
          <w:p w14:paraId="5FCE8940" w14:textId="77777777" w:rsidR="00000000" w:rsidRDefault="00405D16">
            <w:pPr>
              <w:spacing w:after="100"/>
              <w:rPr>
                <w:rFonts w:eastAsia="Times New Roman"/>
                <w:sz w:val="20"/>
                <w:szCs w:val="20"/>
              </w:rPr>
            </w:pPr>
          </w:p>
        </w:tc>
        <w:tc>
          <w:tcPr>
            <w:tcW w:w="0" w:type="auto"/>
            <w:gridSpan w:val="3"/>
            <w:vAlign w:val="center"/>
            <w:hideMark/>
          </w:tcPr>
          <w:p w14:paraId="11744F45" w14:textId="77777777" w:rsidR="00000000" w:rsidRDefault="00405D16">
            <w:pPr>
              <w:spacing w:after="100"/>
              <w:rPr>
                <w:rFonts w:eastAsia="Times New Roman"/>
                <w:sz w:val="20"/>
                <w:szCs w:val="20"/>
              </w:rPr>
            </w:pPr>
          </w:p>
        </w:tc>
        <w:tc>
          <w:tcPr>
            <w:tcW w:w="0" w:type="auto"/>
            <w:gridSpan w:val="3"/>
            <w:vAlign w:val="center"/>
            <w:hideMark/>
          </w:tcPr>
          <w:p w14:paraId="3611B693" w14:textId="77777777" w:rsidR="00000000" w:rsidRDefault="00405D16">
            <w:pPr>
              <w:spacing w:after="100"/>
              <w:rPr>
                <w:rFonts w:eastAsia="Times New Roman"/>
                <w:sz w:val="20"/>
                <w:szCs w:val="20"/>
              </w:rPr>
            </w:pPr>
          </w:p>
        </w:tc>
        <w:tc>
          <w:tcPr>
            <w:tcW w:w="0" w:type="auto"/>
            <w:gridSpan w:val="3"/>
            <w:vAlign w:val="center"/>
            <w:hideMark/>
          </w:tcPr>
          <w:p w14:paraId="6095FB3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D2862D" w14:textId="77777777" w:rsidR="00000000" w:rsidRDefault="00405D16">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4B726475"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7E84BCEF" w14:textId="77777777" w:rsidR="00000000" w:rsidRDefault="00405D16">
            <w:pPr>
              <w:spacing w:after="100"/>
              <w:jc w:val="right"/>
              <w:rPr>
                <w:rFonts w:eastAsia="Times New Roman"/>
              </w:rPr>
            </w:pPr>
          </w:p>
        </w:tc>
        <w:tc>
          <w:tcPr>
            <w:tcW w:w="0" w:type="auto"/>
            <w:gridSpan w:val="2"/>
            <w:vAlign w:val="center"/>
            <w:hideMark/>
          </w:tcPr>
          <w:p w14:paraId="45511443" w14:textId="77777777" w:rsidR="00000000" w:rsidRDefault="00405D16">
            <w:pPr>
              <w:spacing w:after="100"/>
              <w:rPr>
                <w:rFonts w:eastAsia="Times New Roman"/>
                <w:sz w:val="20"/>
                <w:szCs w:val="20"/>
              </w:rPr>
            </w:pPr>
          </w:p>
        </w:tc>
      </w:tr>
      <w:tr w:rsidR="00000000" w14:paraId="7459E399" w14:textId="77777777">
        <w:trPr>
          <w:divId w:val="227809696"/>
        </w:trPr>
        <w:tc>
          <w:tcPr>
            <w:tcW w:w="0" w:type="auto"/>
            <w:gridSpan w:val="3"/>
            <w:shd w:val="clear" w:color="auto" w:fill="FFFFFF"/>
            <w:tcMar>
              <w:top w:w="30" w:type="dxa"/>
              <w:left w:w="20" w:type="dxa"/>
              <w:bottom w:w="30" w:type="dxa"/>
              <w:right w:w="20" w:type="dxa"/>
            </w:tcMar>
            <w:vAlign w:val="center"/>
            <w:hideMark/>
          </w:tcPr>
          <w:p w14:paraId="0A02DCE8" w14:textId="77777777" w:rsidR="00000000" w:rsidRDefault="00405D16">
            <w:pPr>
              <w:spacing w:after="100"/>
              <w:rPr>
                <w:rFonts w:eastAsia="Times New Roman"/>
              </w:rPr>
            </w:pPr>
            <w:r>
              <w:rPr>
                <w:rFonts w:eastAsia="Times New Roman"/>
                <w:color w:val="000000"/>
                <w:sz w:val="18"/>
                <w:szCs w:val="18"/>
              </w:rPr>
              <w:t>Loss from discontinued operations</w:t>
            </w:r>
          </w:p>
        </w:tc>
        <w:tc>
          <w:tcPr>
            <w:tcW w:w="0" w:type="auto"/>
            <w:gridSpan w:val="3"/>
            <w:shd w:val="clear" w:color="auto" w:fill="FFFFFF"/>
            <w:tcMar>
              <w:top w:w="0" w:type="dxa"/>
              <w:left w:w="20" w:type="dxa"/>
              <w:bottom w:w="0" w:type="dxa"/>
              <w:right w:w="20" w:type="dxa"/>
            </w:tcMar>
            <w:vAlign w:val="center"/>
            <w:hideMark/>
          </w:tcPr>
          <w:p w14:paraId="2AE170CC"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5B104A6" w14:textId="77777777" w:rsidR="00000000" w:rsidRDefault="00405D16">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30C132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4841A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C0C3049" w14:textId="77777777" w:rsidR="00000000" w:rsidRDefault="00405D16">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AA5415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C80112"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63DDC2F0"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D8C6241"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DA23520" w14:textId="77777777" w:rsidR="00000000" w:rsidRDefault="00405D16">
            <w:pPr>
              <w:spacing w:after="100"/>
              <w:jc w:val="right"/>
              <w:rPr>
                <w:rFonts w:eastAsia="Times New Roman"/>
              </w:rPr>
            </w:pPr>
            <w:r>
              <w:rPr>
                <w:rFonts w:eastAsia="Times New Roman"/>
                <w:b/>
                <w:bCs/>
                <w:color w:val="000000"/>
                <w:sz w:val="18"/>
                <w:szCs w:val="18"/>
              </w:rPr>
              <w:t>(0.01)</w:t>
            </w:r>
          </w:p>
        </w:tc>
        <w:tc>
          <w:tcPr>
            <w:tcW w:w="0" w:type="auto"/>
            <w:shd w:val="clear" w:color="auto" w:fill="FFFFFF"/>
            <w:tcMar>
              <w:top w:w="30" w:type="dxa"/>
              <w:left w:w="0" w:type="dxa"/>
              <w:bottom w:w="30" w:type="dxa"/>
              <w:right w:w="20" w:type="dxa"/>
            </w:tcMar>
            <w:vAlign w:val="center"/>
            <w:hideMark/>
          </w:tcPr>
          <w:p w14:paraId="72DCDA7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B6499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5322CF3" w14:textId="77777777" w:rsidR="00000000" w:rsidRDefault="00405D16">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0F3533A" w14:textId="77777777" w:rsidR="00000000" w:rsidRDefault="00405D16">
            <w:pPr>
              <w:spacing w:after="100"/>
              <w:jc w:val="right"/>
              <w:rPr>
                <w:rFonts w:eastAsia="Times New Roman"/>
              </w:rPr>
            </w:pPr>
          </w:p>
        </w:tc>
        <w:tc>
          <w:tcPr>
            <w:tcW w:w="0" w:type="auto"/>
            <w:vAlign w:val="center"/>
            <w:hideMark/>
          </w:tcPr>
          <w:p w14:paraId="31CC8FBE" w14:textId="77777777" w:rsidR="00000000" w:rsidRDefault="00405D16">
            <w:pPr>
              <w:spacing w:after="100"/>
              <w:jc w:val="right"/>
              <w:rPr>
                <w:rFonts w:eastAsia="Times New Roman"/>
                <w:sz w:val="20"/>
                <w:szCs w:val="20"/>
              </w:rPr>
            </w:pPr>
          </w:p>
        </w:tc>
        <w:tc>
          <w:tcPr>
            <w:tcW w:w="0" w:type="auto"/>
            <w:vAlign w:val="center"/>
            <w:hideMark/>
          </w:tcPr>
          <w:p w14:paraId="0FB3444B" w14:textId="77777777" w:rsidR="00000000" w:rsidRDefault="00405D16">
            <w:pPr>
              <w:spacing w:after="100"/>
              <w:rPr>
                <w:rFonts w:eastAsia="Times New Roman"/>
                <w:sz w:val="20"/>
                <w:szCs w:val="20"/>
              </w:rPr>
            </w:pPr>
          </w:p>
        </w:tc>
        <w:tc>
          <w:tcPr>
            <w:tcW w:w="0" w:type="auto"/>
            <w:gridSpan w:val="3"/>
            <w:vAlign w:val="center"/>
            <w:hideMark/>
          </w:tcPr>
          <w:p w14:paraId="6B4FA3AC" w14:textId="77777777" w:rsidR="00000000" w:rsidRDefault="00405D16">
            <w:pPr>
              <w:spacing w:after="100"/>
              <w:rPr>
                <w:rFonts w:eastAsia="Times New Roman"/>
                <w:sz w:val="20"/>
                <w:szCs w:val="20"/>
              </w:rPr>
            </w:pPr>
          </w:p>
        </w:tc>
        <w:tc>
          <w:tcPr>
            <w:tcW w:w="0" w:type="auto"/>
            <w:gridSpan w:val="3"/>
            <w:vAlign w:val="center"/>
            <w:hideMark/>
          </w:tcPr>
          <w:p w14:paraId="6946E0B0" w14:textId="77777777" w:rsidR="00000000" w:rsidRDefault="00405D16">
            <w:pPr>
              <w:spacing w:after="100"/>
              <w:rPr>
                <w:rFonts w:eastAsia="Times New Roman"/>
                <w:sz w:val="20"/>
                <w:szCs w:val="20"/>
              </w:rPr>
            </w:pPr>
          </w:p>
        </w:tc>
        <w:tc>
          <w:tcPr>
            <w:tcW w:w="0" w:type="auto"/>
            <w:gridSpan w:val="3"/>
            <w:vAlign w:val="center"/>
            <w:hideMark/>
          </w:tcPr>
          <w:p w14:paraId="5F26ACA8" w14:textId="77777777" w:rsidR="00000000" w:rsidRDefault="00405D16">
            <w:pPr>
              <w:spacing w:after="100"/>
              <w:rPr>
                <w:rFonts w:eastAsia="Times New Roman"/>
                <w:sz w:val="20"/>
                <w:szCs w:val="20"/>
              </w:rPr>
            </w:pPr>
          </w:p>
        </w:tc>
        <w:tc>
          <w:tcPr>
            <w:tcW w:w="0" w:type="auto"/>
            <w:gridSpan w:val="3"/>
            <w:vAlign w:val="center"/>
            <w:hideMark/>
          </w:tcPr>
          <w:p w14:paraId="69BA985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747191" w14:textId="77777777" w:rsidR="00000000" w:rsidRDefault="00405D16">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2C35A796"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216AEC27" w14:textId="77777777" w:rsidR="00000000" w:rsidRDefault="00405D16">
            <w:pPr>
              <w:spacing w:after="100"/>
              <w:jc w:val="right"/>
              <w:rPr>
                <w:rFonts w:eastAsia="Times New Roman"/>
              </w:rPr>
            </w:pPr>
          </w:p>
        </w:tc>
        <w:tc>
          <w:tcPr>
            <w:tcW w:w="0" w:type="auto"/>
            <w:gridSpan w:val="2"/>
            <w:vAlign w:val="center"/>
            <w:hideMark/>
          </w:tcPr>
          <w:p w14:paraId="1DF252A9" w14:textId="77777777" w:rsidR="00000000" w:rsidRDefault="00405D16">
            <w:pPr>
              <w:spacing w:after="100"/>
              <w:rPr>
                <w:rFonts w:eastAsia="Times New Roman"/>
                <w:sz w:val="20"/>
                <w:szCs w:val="20"/>
              </w:rPr>
            </w:pPr>
          </w:p>
        </w:tc>
      </w:tr>
      <w:tr w:rsidR="00000000" w14:paraId="262A6D8F" w14:textId="77777777">
        <w:trPr>
          <w:divId w:val="227809696"/>
        </w:trPr>
        <w:tc>
          <w:tcPr>
            <w:tcW w:w="0" w:type="auto"/>
            <w:gridSpan w:val="3"/>
            <w:shd w:val="clear" w:color="auto" w:fill="CCEEFF"/>
            <w:tcMar>
              <w:top w:w="30" w:type="dxa"/>
              <w:left w:w="20" w:type="dxa"/>
              <w:bottom w:w="30" w:type="dxa"/>
              <w:right w:w="20" w:type="dxa"/>
            </w:tcMar>
            <w:vAlign w:val="center"/>
            <w:hideMark/>
          </w:tcPr>
          <w:p w14:paraId="377D6C5A" w14:textId="77777777" w:rsidR="00000000" w:rsidRDefault="00405D16">
            <w:pPr>
              <w:spacing w:after="100"/>
              <w:rPr>
                <w:rFonts w:eastAsia="Times New Roman"/>
              </w:rPr>
            </w:pPr>
            <w:r>
              <w:rPr>
                <w:rFonts w:eastAsia="Times New Roman"/>
                <w:color w:val="000000"/>
                <w:sz w:val="18"/>
                <w:szCs w:val="18"/>
              </w:rPr>
              <w:t>Net income (loss) per diluted common share</w:t>
            </w:r>
          </w:p>
        </w:tc>
        <w:tc>
          <w:tcPr>
            <w:tcW w:w="0" w:type="auto"/>
            <w:gridSpan w:val="3"/>
            <w:shd w:val="clear" w:color="auto" w:fill="CCEEFF"/>
            <w:tcMar>
              <w:top w:w="0" w:type="dxa"/>
              <w:left w:w="20" w:type="dxa"/>
              <w:bottom w:w="0" w:type="dxa"/>
              <w:right w:w="20" w:type="dxa"/>
            </w:tcMar>
            <w:vAlign w:val="center"/>
            <w:hideMark/>
          </w:tcPr>
          <w:p w14:paraId="61B297A1"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B6FDAA6"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D23E002" w14:textId="77777777" w:rsidR="00000000" w:rsidRDefault="00405D16">
            <w:pPr>
              <w:spacing w:after="100"/>
              <w:jc w:val="right"/>
              <w:rPr>
                <w:rFonts w:eastAsia="Times New Roman"/>
              </w:rPr>
            </w:pPr>
            <w:r>
              <w:rPr>
                <w:rFonts w:eastAsia="Times New Roman"/>
                <w:b/>
                <w:bCs/>
                <w:color w:val="000000"/>
                <w:sz w:val="18"/>
                <w:szCs w:val="18"/>
              </w:rPr>
              <w:t>6.78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4556E1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6C44A3"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091FF7A"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C02B247" w14:textId="77777777" w:rsidR="00000000" w:rsidRDefault="00405D16">
            <w:pPr>
              <w:spacing w:after="100"/>
              <w:jc w:val="right"/>
              <w:rPr>
                <w:rFonts w:eastAsia="Times New Roman"/>
              </w:rPr>
            </w:pPr>
            <w:r>
              <w:rPr>
                <w:rFonts w:eastAsia="Times New Roman"/>
                <w:color w:val="000000"/>
                <w:sz w:val="18"/>
                <w:szCs w:val="18"/>
              </w:rPr>
              <w:t>5.06 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E7E282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D7629E"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29EF2A4E" w14:textId="77777777" w:rsidR="00000000" w:rsidRDefault="00405D16">
            <w:pPr>
              <w:spacing w:after="100"/>
              <w:jc w:val="right"/>
              <w:rPr>
                <w:rFonts w:eastAsia="Times New Roman"/>
              </w:rPr>
            </w:pPr>
            <w:r>
              <w:rPr>
                <w:rFonts w:eastAsia="Times New Roman"/>
                <w:color w:val="000000"/>
                <w:sz w:val="18"/>
                <w:szCs w:val="18"/>
              </w:rPr>
              <w:t>34</w:t>
            </w:r>
          </w:p>
        </w:tc>
        <w:tc>
          <w:tcPr>
            <w:tcW w:w="0" w:type="auto"/>
            <w:gridSpan w:val="3"/>
            <w:shd w:val="clear" w:color="auto" w:fill="CCEEFF"/>
            <w:tcMar>
              <w:top w:w="0" w:type="dxa"/>
              <w:left w:w="20" w:type="dxa"/>
              <w:bottom w:w="0" w:type="dxa"/>
              <w:right w:w="20" w:type="dxa"/>
            </w:tcMar>
            <w:vAlign w:val="center"/>
            <w:hideMark/>
          </w:tcPr>
          <w:p w14:paraId="5736C32F" w14:textId="77777777" w:rsidR="00000000" w:rsidRDefault="00405D16">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AEABB89"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A297253" w14:textId="77777777" w:rsidR="00000000" w:rsidRDefault="00405D16">
            <w:pPr>
              <w:spacing w:after="100"/>
              <w:jc w:val="right"/>
              <w:rPr>
                <w:rFonts w:eastAsia="Times New Roman"/>
              </w:rPr>
            </w:pPr>
            <w:r>
              <w:rPr>
                <w:rFonts w:eastAsia="Times New Roman"/>
                <w:b/>
                <w:bCs/>
                <w:color w:val="000000"/>
                <w:sz w:val="18"/>
                <w:szCs w:val="18"/>
              </w:rPr>
              <w:t>21.44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313C83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F50608"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AF513C9"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704C64E" w14:textId="77777777" w:rsidR="00000000" w:rsidRDefault="00405D16">
            <w:pPr>
              <w:spacing w:after="100"/>
              <w:jc w:val="right"/>
              <w:rPr>
                <w:rFonts w:eastAsia="Times New Roman"/>
              </w:rPr>
            </w:pPr>
            <w:r>
              <w:rPr>
                <w:rFonts w:eastAsia="Times New Roman"/>
                <w:color w:val="000000"/>
                <w:sz w:val="18"/>
                <w:szCs w:val="18"/>
              </w:rPr>
              <w:t>(0.20)</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D3898B3" w14:textId="77777777" w:rsidR="00000000" w:rsidRDefault="00405D16">
            <w:pPr>
              <w:spacing w:after="100"/>
              <w:jc w:val="right"/>
              <w:rPr>
                <w:rFonts w:eastAsia="Times New Roman"/>
              </w:rPr>
            </w:pPr>
          </w:p>
        </w:tc>
        <w:tc>
          <w:tcPr>
            <w:tcW w:w="0" w:type="auto"/>
            <w:vAlign w:val="center"/>
            <w:hideMark/>
          </w:tcPr>
          <w:p w14:paraId="4F46AFF7" w14:textId="77777777" w:rsidR="00000000" w:rsidRDefault="00405D16">
            <w:pPr>
              <w:spacing w:after="100"/>
              <w:jc w:val="right"/>
              <w:rPr>
                <w:rFonts w:eastAsia="Times New Roman"/>
                <w:sz w:val="20"/>
                <w:szCs w:val="20"/>
              </w:rPr>
            </w:pPr>
          </w:p>
        </w:tc>
        <w:tc>
          <w:tcPr>
            <w:tcW w:w="0" w:type="auto"/>
            <w:vAlign w:val="center"/>
            <w:hideMark/>
          </w:tcPr>
          <w:p w14:paraId="65D9859F" w14:textId="77777777" w:rsidR="00000000" w:rsidRDefault="00405D16">
            <w:pPr>
              <w:spacing w:after="100"/>
              <w:rPr>
                <w:rFonts w:eastAsia="Times New Roman"/>
                <w:sz w:val="20"/>
                <w:szCs w:val="20"/>
              </w:rPr>
            </w:pPr>
          </w:p>
        </w:tc>
        <w:tc>
          <w:tcPr>
            <w:tcW w:w="0" w:type="auto"/>
            <w:gridSpan w:val="3"/>
            <w:vAlign w:val="center"/>
            <w:hideMark/>
          </w:tcPr>
          <w:p w14:paraId="64E81E5E" w14:textId="77777777" w:rsidR="00000000" w:rsidRDefault="00405D16">
            <w:pPr>
              <w:spacing w:after="100"/>
              <w:rPr>
                <w:rFonts w:eastAsia="Times New Roman"/>
                <w:sz w:val="20"/>
                <w:szCs w:val="20"/>
              </w:rPr>
            </w:pPr>
          </w:p>
        </w:tc>
        <w:tc>
          <w:tcPr>
            <w:tcW w:w="0" w:type="auto"/>
            <w:gridSpan w:val="3"/>
            <w:vAlign w:val="center"/>
            <w:hideMark/>
          </w:tcPr>
          <w:p w14:paraId="37E1F4C9" w14:textId="77777777" w:rsidR="00000000" w:rsidRDefault="00405D16">
            <w:pPr>
              <w:spacing w:after="100"/>
              <w:rPr>
                <w:rFonts w:eastAsia="Times New Roman"/>
                <w:sz w:val="20"/>
                <w:szCs w:val="20"/>
              </w:rPr>
            </w:pPr>
          </w:p>
        </w:tc>
        <w:tc>
          <w:tcPr>
            <w:tcW w:w="0" w:type="auto"/>
            <w:gridSpan w:val="3"/>
            <w:vAlign w:val="center"/>
            <w:hideMark/>
          </w:tcPr>
          <w:p w14:paraId="7278876D" w14:textId="77777777" w:rsidR="00000000" w:rsidRDefault="00405D16">
            <w:pPr>
              <w:spacing w:after="100"/>
              <w:rPr>
                <w:rFonts w:eastAsia="Times New Roman"/>
                <w:sz w:val="20"/>
                <w:szCs w:val="20"/>
              </w:rPr>
            </w:pPr>
          </w:p>
        </w:tc>
        <w:tc>
          <w:tcPr>
            <w:tcW w:w="0" w:type="auto"/>
            <w:gridSpan w:val="3"/>
            <w:vAlign w:val="center"/>
            <w:hideMark/>
          </w:tcPr>
          <w:p w14:paraId="14F05A9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CFD4E0" w14:textId="77777777" w:rsidR="00000000" w:rsidRDefault="00405D16">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372691E8"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5DB846C6" w14:textId="77777777" w:rsidR="00000000" w:rsidRDefault="00405D16">
            <w:pPr>
              <w:spacing w:after="100"/>
              <w:jc w:val="right"/>
              <w:rPr>
                <w:rFonts w:eastAsia="Times New Roman"/>
              </w:rPr>
            </w:pPr>
          </w:p>
        </w:tc>
        <w:tc>
          <w:tcPr>
            <w:tcW w:w="0" w:type="auto"/>
            <w:gridSpan w:val="2"/>
            <w:vAlign w:val="center"/>
            <w:hideMark/>
          </w:tcPr>
          <w:p w14:paraId="017FFD70" w14:textId="77777777" w:rsidR="00000000" w:rsidRDefault="00405D16">
            <w:pPr>
              <w:spacing w:after="100"/>
              <w:rPr>
                <w:rFonts w:eastAsia="Times New Roman"/>
                <w:sz w:val="20"/>
                <w:szCs w:val="20"/>
              </w:rPr>
            </w:pPr>
          </w:p>
        </w:tc>
      </w:tr>
      <w:tr w:rsidR="00000000" w14:paraId="69C07DDA" w14:textId="77777777">
        <w:trPr>
          <w:divId w:val="227809696"/>
        </w:trPr>
        <w:tc>
          <w:tcPr>
            <w:tcW w:w="0" w:type="auto"/>
            <w:gridSpan w:val="3"/>
            <w:shd w:val="clear" w:color="auto" w:fill="FFFFFF"/>
            <w:tcMar>
              <w:top w:w="30" w:type="dxa"/>
              <w:left w:w="20" w:type="dxa"/>
              <w:bottom w:w="30" w:type="dxa"/>
              <w:right w:w="20" w:type="dxa"/>
            </w:tcMar>
            <w:vAlign w:val="center"/>
            <w:hideMark/>
          </w:tcPr>
          <w:p w14:paraId="44B9BF72" w14:textId="77777777" w:rsidR="00000000" w:rsidRDefault="00405D16">
            <w:pPr>
              <w:spacing w:after="100"/>
              <w:rPr>
                <w:rFonts w:eastAsia="Times New Roman"/>
              </w:rPr>
            </w:pPr>
            <w:r>
              <w:rPr>
                <w:rFonts w:eastAsia="Times New Roman"/>
                <w:b/>
                <w:bCs/>
                <w:color w:val="000000"/>
                <w:sz w:val="18"/>
                <w:szCs w:val="18"/>
              </w:rPr>
              <w:t>Weighted-average common shares outstanding (in millions):</w:t>
            </w:r>
          </w:p>
        </w:tc>
        <w:tc>
          <w:tcPr>
            <w:tcW w:w="0" w:type="auto"/>
            <w:gridSpan w:val="3"/>
            <w:shd w:val="clear" w:color="auto" w:fill="FFFFFF"/>
            <w:tcMar>
              <w:top w:w="0" w:type="dxa"/>
              <w:left w:w="20" w:type="dxa"/>
              <w:bottom w:w="0" w:type="dxa"/>
              <w:right w:w="20" w:type="dxa"/>
            </w:tcMar>
            <w:vAlign w:val="center"/>
            <w:hideMark/>
          </w:tcPr>
          <w:p w14:paraId="24F25C1C" w14:textId="77777777" w:rsidR="00000000" w:rsidRDefault="00405D16">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0C4585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7CF378"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F95067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26716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D8DD4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ACA483"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02FFB4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C7836C"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0099BA6" w14:textId="77777777" w:rsidR="00000000" w:rsidRDefault="00405D16">
            <w:pPr>
              <w:spacing w:after="100"/>
              <w:rPr>
                <w:rFonts w:eastAsia="Times New Roman"/>
                <w:sz w:val="20"/>
                <w:szCs w:val="20"/>
              </w:rPr>
            </w:pPr>
          </w:p>
        </w:tc>
        <w:tc>
          <w:tcPr>
            <w:tcW w:w="0" w:type="auto"/>
            <w:vAlign w:val="center"/>
            <w:hideMark/>
          </w:tcPr>
          <w:p w14:paraId="3BA53234" w14:textId="77777777" w:rsidR="00000000" w:rsidRDefault="00405D16">
            <w:pPr>
              <w:spacing w:after="100"/>
              <w:rPr>
                <w:rFonts w:eastAsia="Times New Roman"/>
                <w:sz w:val="20"/>
                <w:szCs w:val="20"/>
              </w:rPr>
            </w:pPr>
          </w:p>
        </w:tc>
        <w:tc>
          <w:tcPr>
            <w:tcW w:w="0" w:type="auto"/>
            <w:vAlign w:val="center"/>
            <w:hideMark/>
          </w:tcPr>
          <w:p w14:paraId="4B83DB51" w14:textId="77777777" w:rsidR="00000000" w:rsidRDefault="00405D16">
            <w:pPr>
              <w:spacing w:after="100"/>
              <w:rPr>
                <w:rFonts w:eastAsia="Times New Roman"/>
                <w:sz w:val="20"/>
                <w:szCs w:val="20"/>
              </w:rPr>
            </w:pPr>
          </w:p>
        </w:tc>
        <w:tc>
          <w:tcPr>
            <w:tcW w:w="0" w:type="auto"/>
            <w:gridSpan w:val="3"/>
            <w:vAlign w:val="center"/>
            <w:hideMark/>
          </w:tcPr>
          <w:p w14:paraId="1C8197E2" w14:textId="77777777" w:rsidR="00000000" w:rsidRDefault="00405D16">
            <w:pPr>
              <w:spacing w:after="100"/>
              <w:rPr>
                <w:rFonts w:eastAsia="Times New Roman"/>
                <w:sz w:val="20"/>
                <w:szCs w:val="20"/>
              </w:rPr>
            </w:pPr>
          </w:p>
        </w:tc>
        <w:tc>
          <w:tcPr>
            <w:tcW w:w="0" w:type="auto"/>
            <w:gridSpan w:val="3"/>
            <w:vAlign w:val="center"/>
            <w:hideMark/>
          </w:tcPr>
          <w:p w14:paraId="32AC6A55" w14:textId="77777777" w:rsidR="00000000" w:rsidRDefault="00405D16">
            <w:pPr>
              <w:spacing w:after="100"/>
              <w:rPr>
                <w:rFonts w:eastAsia="Times New Roman"/>
                <w:sz w:val="20"/>
                <w:szCs w:val="20"/>
              </w:rPr>
            </w:pPr>
          </w:p>
        </w:tc>
        <w:tc>
          <w:tcPr>
            <w:tcW w:w="0" w:type="auto"/>
            <w:gridSpan w:val="3"/>
            <w:vAlign w:val="center"/>
            <w:hideMark/>
          </w:tcPr>
          <w:p w14:paraId="1B77FF52" w14:textId="77777777" w:rsidR="00000000" w:rsidRDefault="00405D16">
            <w:pPr>
              <w:spacing w:after="100"/>
              <w:rPr>
                <w:rFonts w:eastAsia="Times New Roman"/>
                <w:sz w:val="20"/>
                <w:szCs w:val="20"/>
              </w:rPr>
            </w:pPr>
          </w:p>
        </w:tc>
        <w:tc>
          <w:tcPr>
            <w:tcW w:w="0" w:type="auto"/>
            <w:gridSpan w:val="3"/>
            <w:vAlign w:val="center"/>
            <w:hideMark/>
          </w:tcPr>
          <w:p w14:paraId="658AA85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69946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6F4275" w14:textId="77777777" w:rsidR="00000000" w:rsidRDefault="00405D16">
            <w:pPr>
              <w:spacing w:after="100"/>
              <w:rPr>
                <w:rFonts w:eastAsia="Times New Roman"/>
                <w:sz w:val="20"/>
                <w:szCs w:val="20"/>
              </w:rPr>
            </w:pPr>
          </w:p>
        </w:tc>
        <w:tc>
          <w:tcPr>
            <w:tcW w:w="0" w:type="auto"/>
            <w:gridSpan w:val="3"/>
            <w:vAlign w:val="center"/>
            <w:hideMark/>
          </w:tcPr>
          <w:p w14:paraId="4B5552D4" w14:textId="77777777" w:rsidR="00000000" w:rsidRDefault="00405D16">
            <w:pPr>
              <w:spacing w:after="100"/>
              <w:rPr>
                <w:rFonts w:eastAsia="Times New Roman"/>
                <w:sz w:val="20"/>
                <w:szCs w:val="20"/>
              </w:rPr>
            </w:pPr>
          </w:p>
        </w:tc>
        <w:tc>
          <w:tcPr>
            <w:tcW w:w="0" w:type="auto"/>
            <w:gridSpan w:val="2"/>
            <w:vAlign w:val="center"/>
            <w:hideMark/>
          </w:tcPr>
          <w:p w14:paraId="23575E11" w14:textId="77777777" w:rsidR="00000000" w:rsidRDefault="00405D16">
            <w:pPr>
              <w:spacing w:after="100"/>
              <w:rPr>
                <w:rFonts w:eastAsia="Times New Roman"/>
                <w:sz w:val="20"/>
                <w:szCs w:val="20"/>
              </w:rPr>
            </w:pPr>
          </w:p>
        </w:tc>
      </w:tr>
      <w:tr w:rsidR="00000000" w14:paraId="748BE754" w14:textId="77777777">
        <w:trPr>
          <w:divId w:val="227809696"/>
        </w:trPr>
        <w:tc>
          <w:tcPr>
            <w:tcW w:w="0" w:type="auto"/>
            <w:gridSpan w:val="3"/>
            <w:shd w:val="clear" w:color="auto" w:fill="CCEEFF"/>
            <w:tcMar>
              <w:top w:w="30" w:type="dxa"/>
              <w:left w:w="20" w:type="dxa"/>
              <w:bottom w:w="30" w:type="dxa"/>
              <w:right w:w="20" w:type="dxa"/>
            </w:tcMar>
            <w:vAlign w:val="center"/>
            <w:hideMark/>
          </w:tcPr>
          <w:p w14:paraId="18A8FF92" w14:textId="77777777" w:rsidR="00000000" w:rsidRDefault="00405D16">
            <w:pPr>
              <w:spacing w:after="100"/>
              <w:rPr>
                <w:rFonts w:eastAsia="Times New Roman"/>
              </w:rPr>
            </w:pPr>
            <w:r>
              <w:rPr>
                <w:rFonts w:eastAsia="Times New Roman"/>
                <w:color w:val="000000"/>
                <w:sz w:val="18"/>
                <w:szCs w:val="18"/>
              </w:rPr>
              <w:t xml:space="preserve">Basic </w:t>
            </w:r>
          </w:p>
        </w:tc>
        <w:tc>
          <w:tcPr>
            <w:tcW w:w="0" w:type="auto"/>
            <w:gridSpan w:val="3"/>
            <w:shd w:val="clear" w:color="auto" w:fill="CCEEFF"/>
            <w:tcMar>
              <w:top w:w="0" w:type="dxa"/>
              <w:left w:w="20" w:type="dxa"/>
              <w:bottom w:w="0" w:type="dxa"/>
              <w:right w:w="20" w:type="dxa"/>
            </w:tcMar>
            <w:vAlign w:val="center"/>
            <w:hideMark/>
          </w:tcPr>
          <w:p w14:paraId="266142AE"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C47E15A" w14:textId="77777777" w:rsidR="00000000" w:rsidRDefault="00405D16">
            <w:pPr>
              <w:spacing w:after="100"/>
              <w:jc w:val="right"/>
              <w:rPr>
                <w:rFonts w:eastAsia="Times New Roman"/>
              </w:rPr>
            </w:pPr>
            <w:r>
              <w:rPr>
                <w:rFonts w:eastAsia="Times New Roman"/>
                <w:b/>
                <w:bCs/>
                <w:color w:val="000000"/>
                <w:sz w:val="18"/>
                <w:szCs w:val="18"/>
              </w:rPr>
              <w:t>438.8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C9D393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A91F8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12BD744" w14:textId="77777777" w:rsidR="00000000" w:rsidRDefault="00405D16">
            <w:pPr>
              <w:spacing w:after="100"/>
              <w:jc w:val="right"/>
              <w:rPr>
                <w:rFonts w:eastAsia="Times New Roman"/>
              </w:rPr>
            </w:pPr>
            <w:r>
              <w:rPr>
                <w:rFonts w:eastAsia="Times New Roman"/>
                <w:color w:val="000000"/>
                <w:sz w:val="18"/>
                <w:szCs w:val="18"/>
              </w:rPr>
              <w:t>457.8 </w:t>
            </w:r>
          </w:p>
        </w:tc>
        <w:tc>
          <w:tcPr>
            <w:tcW w:w="0" w:type="auto"/>
            <w:shd w:val="clear" w:color="auto" w:fill="CCEEFF"/>
            <w:tcMar>
              <w:top w:w="30" w:type="dxa"/>
              <w:left w:w="0" w:type="dxa"/>
              <w:bottom w:w="30" w:type="dxa"/>
              <w:right w:w="20" w:type="dxa"/>
            </w:tcMar>
            <w:vAlign w:val="center"/>
            <w:hideMark/>
          </w:tcPr>
          <w:p w14:paraId="09EDEEE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F39574"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14:paraId="26B92738" w14:textId="77777777" w:rsidR="00000000" w:rsidRDefault="00405D16">
            <w:pPr>
              <w:spacing w:after="100"/>
              <w:jc w:val="right"/>
              <w:rPr>
                <w:rFonts w:eastAsia="Times New Roman"/>
              </w:rPr>
            </w:pPr>
            <w:r>
              <w:rPr>
                <w:rFonts w:eastAsia="Times New Roman"/>
                <w:color w:val="000000"/>
                <w:sz w:val="18"/>
                <w:szCs w:val="18"/>
              </w:rPr>
              <w:t>(4)%</w:t>
            </w:r>
          </w:p>
        </w:tc>
        <w:tc>
          <w:tcPr>
            <w:tcW w:w="0" w:type="auto"/>
            <w:gridSpan w:val="3"/>
            <w:shd w:val="clear" w:color="auto" w:fill="CCEEFF"/>
            <w:tcMar>
              <w:top w:w="0" w:type="dxa"/>
              <w:left w:w="20" w:type="dxa"/>
              <w:bottom w:w="0" w:type="dxa"/>
              <w:right w:w="20" w:type="dxa"/>
            </w:tcMar>
            <w:vAlign w:val="center"/>
            <w:hideMark/>
          </w:tcPr>
          <w:p w14:paraId="282267A6"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AEF1466" w14:textId="77777777" w:rsidR="00000000" w:rsidRDefault="00405D16">
            <w:pPr>
              <w:spacing w:after="100"/>
              <w:jc w:val="right"/>
              <w:rPr>
                <w:rFonts w:eastAsia="Times New Roman"/>
              </w:rPr>
            </w:pPr>
            <w:r>
              <w:rPr>
                <w:rFonts w:eastAsia="Times New Roman"/>
                <w:b/>
                <w:bCs/>
                <w:color w:val="000000"/>
                <w:sz w:val="18"/>
                <w:szCs w:val="18"/>
              </w:rPr>
              <w:t>449.2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0EE5B0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26956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A3E47F0" w14:textId="77777777" w:rsidR="00000000" w:rsidRDefault="00405D16">
            <w:pPr>
              <w:spacing w:after="100"/>
              <w:jc w:val="right"/>
              <w:rPr>
                <w:rFonts w:eastAsia="Times New Roman"/>
              </w:rPr>
            </w:pPr>
            <w:r>
              <w:rPr>
                <w:rFonts w:eastAsia="Times New Roman"/>
                <w:color w:val="000000"/>
                <w:sz w:val="18"/>
                <w:szCs w:val="18"/>
              </w:rPr>
              <w:t>457.4 </w:t>
            </w:r>
          </w:p>
        </w:tc>
        <w:tc>
          <w:tcPr>
            <w:tcW w:w="0" w:type="auto"/>
            <w:shd w:val="clear" w:color="auto" w:fill="CCEEFF"/>
            <w:tcMar>
              <w:top w:w="30" w:type="dxa"/>
              <w:left w:w="0" w:type="dxa"/>
              <w:bottom w:w="30" w:type="dxa"/>
              <w:right w:w="20" w:type="dxa"/>
            </w:tcMar>
            <w:vAlign w:val="center"/>
            <w:hideMark/>
          </w:tcPr>
          <w:p w14:paraId="225AB2E2" w14:textId="77777777" w:rsidR="00000000" w:rsidRDefault="00405D16">
            <w:pPr>
              <w:spacing w:after="100"/>
              <w:jc w:val="right"/>
              <w:rPr>
                <w:rFonts w:eastAsia="Times New Roman"/>
              </w:rPr>
            </w:pPr>
          </w:p>
        </w:tc>
        <w:tc>
          <w:tcPr>
            <w:tcW w:w="0" w:type="auto"/>
            <w:vAlign w:val="center"/>
            <w:hideMark/>
          </w:tcPr>
          <w:p w14:paraId="0C8D42C6" w14:textId="77777777" w:rsidR="00000000" w:rsidRDefault="00405D16">
            <w:pPr>
              <w:spacing w:after="100"/>
              <w:jc w:val="right"/>
              <w:rPr>
                <w:rFonts w:eastAsia="Times New Roman"/>
                <w:sz w:val="20"/>
                <w:szCs w:val="20"/>
              </w:rPr>
            </w:pPr>
          </w:p>
        </w:tc>
        <w:tc>
          <w:tcPr>
            <w:tcW w:w="0" w:type="auto"/>
            <w:vAlign w:val="center"/>
            <w:hideMark/>
          </w:tcPr>
          <w:p w14:paraId="22476206" w14:textId="77777777" w:rsidR="00000000" w:rsidRDefault="00405D16">
            <w:pPr>
              <w:spacing w:after="100"/>
              <w:rPr>
                <w:rFonts w:eastAsia="Times New Roman"/>
                <w:sz w:val="20"/>
                <w:szCs w:val="20"/>
              </w:rPr>
            </w:pPr>
          </w:p>
        </w:tc>
        <w:tc>
          <w:tcPr>
            <w:tcW w:w="0" w:type="auto"/>
            <w:gridSpan w:val="3"/>
            <w:vAlign w:val="center"/>
            <w:hideMark/>
          </w:tcPr>
          <w:p w14:paraId="27884D95" w14:textId="77777777" w:rsidR="00000000" w:rsidRDefault="00405D16">
            <w:pPr>
              <w:spacing w:after="100"/>
              <w:rPr>
                <w:rFonts w:eastAsia="Times New Roman"/>
                <w:sz w:val="20"/>
                <w:szCs w:val="20"/>
              </w:rPr>
            </w:pPr>
          </w:p>
        </w:tc>
        <w:tc>
          <w:tcPr>
            <w:tcW w:w="0" w:type="auto"/>
            <w:gridSpan w:val="3"/>
            <w:vAlign w:val="center"/>
            <w:hideMark/>
          </w:tcPr>
          <w:p w14:paraId="331518F5" w14:textId="77777777" w:rsidR="00000000" w:rsidRDefault="00405D16">
            <w:pPr>
              <w:spacing w:after="100"/>
              <w:rPr>
                <w:rFonts w:eastAsia="Times New Roman"/>
                <w:sz w:val="20"/>
                <w:szCs w:val="20"/>
              </w:rPr>
            </w:pPr>
          </w:p>
        </w:tc>
        <w:tc>
          <w:tcPr>
            <w:tcW w:w="0" w:type="auto"/>
            <w:gridSpan w:val="3"/>
            <w:vAlign w:val="center"/>
            <w:hideMark/>
          </w:tcPr>
          <w:p w14:paraId="4B6B41F3" w14:textId="77777777" w:rsidR="00000000" w:rsidRDefault="00405D16">
            <w:pPr>
              <w:spacing w:after="100"/>
              <w:rPr>
                <w:rFonts w:eastAsia="Times New Roman"/>
                <w:sz w:val="20"/>
                <w:szCs w:val="20"/>
              </w:rPr>
            </w:pPr>
          </w:p>
        </w:tc>
        <w:tc>
          <w:tcPr>
            <w:tcW w:w="0" w:type="auto"/>
            <w:gridSpan w:val="3"/>
            <w:vAlign w:val="center"/>
            <w:hideMark/>
          </w:tcPr>
          <w:p w14:paraId="6CCDE40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B22887" w14:textId="77777777" w:rsidR="00000000" w:rsidRDefault="00405D16">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14:paraId="1AC9953E" w14:textId="77777777" w:rsidR="00000000" w:rsidRDefault="00405D16">
            <w:pPr>
              <w:spacing w:after="100"/>
              <w:jc w:val="right"/>
              <w:rPr>
                <w:rFonts w:eastAsia="Times New Roman"/>
              </w:rPr>
            </w:pPr>
            <w:r>
              <w:rPr>
                <w:rFonts w:eastAsia="Times New Roman"/>
                <w:color w:val="000000"/>
                <w:sz w:val="18"/>
                <w:szCs w:val="18"/>
              </w:rPr>
              <w:t>(2)%</w:t>
            </w:r>
          </w:p>
        </w:tc>
        <w:tc>
          <w:tcPr>
            <w:tcW w:w="0" w:type="auto"/>
            <w:gridSpan w:val="3"/>
            <w:vAlign w:val="center"/>
            <w:hideMark/>
          </w:tcPr>
          <w:p w14:paraId="426F28F7" w14:textId="77777777" w:rsidR="00000000" w:rsidRDefault="00405D16">
            <w:pPr>
              <w:spacing w:after="100"/>
              <w:jc w:val="right"/>
              <w:rPr>
                <w:rFonts w:eastAsia="Times New Roman"/>
              </w:rPr>
            </w:pPr>
          </w:p>
        </w:tc>
        <w:tc>
          <w:tcPr>
            <w:tcW w:w="0" w:type="auto"/>
            <w:gridSpan w:val="2"/>
            <w:vAlign w:val="center"/>
            <w:hideMark/>
          </w:tcPr>
          <w:p w14:paraId="3D836379" w14:textId="77777777" w:rsidR="00000000" w:rsidRDefault="00405D16">
            <w:pPr>
              <w:spacing w:after="100"/>
              <w:rPr>
                <w:rFonts w:eastAsia="Times New Roman"/>
                <w:sz w:val="20"/>
                <w:szCs w:val="20"/>
              </w:rPr>
            </w:pPr>
          </w:p>
        </w:tc>
      </w:tr>
      <w:tr w:rsidR="00000000" w14:paraId="1CDBE767" w14:textId="77777777">
        <w:trPr>
          <w:divId w:val="227809696"/>
        </w:trPr>
        <w:tc>
          <w:tcPr>
            <w:tcW w:w="0" w:type="auto"/>
            <w:gridSpan w:val="3"/>
            <w:shd w:val="clear" w:color="auto" w:fill="FFFFFF"/>
            <w:tcMar>
              <w:top w:w="30" w:type="dxa"/>
              <w:left w:w="20" w:type="dxa"/>
              <w:bottom w:w="30" w:type="dxa"/>
              <w:right w:w="20" w:type="dxa"/>
            </w:tcMar>
            <w:vAlign w:val="center"/>
            <w:hideMark/>
          </w:tcPr>
          <w:p w14:paraId="36368192" w14:textId="77777777" w:rsidR="00000000" w:rsidRDefault="00405D16">
            <w:pPr>
              <w:spacing w:after="100"/>
              <w:rPr>
                <w:rFonts w:eastAsia="Times New Roman"/>
              </w:rPr>
            </w:pPr>
            <w:r>
              <w:rPr>
                <w:rFonts w:eastAsia="Times New Roman"/>
                <w:color w:val="000000"/>
                <w:sz w:val="18"/>
                <w:szCs w:val="18"/>
              </w:rPr>
              <w:t>Diluted</w:t>
            </w:r>
          </w:p>
        </w:tc>
        <w:tc>
          <w:tcPr>
            <w:tcW w:w="0" w:type="auto"/>
            <w:gridSpan w:val="3"/>
            <w:shd w:val="clear" w:color="auto" w:fill="FFFFFF"/>
            <w:tcMar>
              <w:top w:w="0" w:type="dxa"/>
              <w:left w:w="20" w:type="dxa"/>
              <w:bottom w:w="0" w:type="dxa"/>
              <w:right w:w="20" w:type="dxa"/>
            </w:tcMar>
            <w:vAlign w:val="center"/>
            <w:hideMark/>
          </w:tcPr>
          <w:p w14:paraId="641581D9"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8234A6F" w14:textId="77777777" w:rsidR="00000000" w:rsidRDefault="00405D16">
            <w:pPr>
              <w:spacing w:after="100"/>
              <w:jc w:val="right"/>
              <w:rPr>
                <w:rFonts w:eastAsia="Times New Roman"/>
              </w:rPr>
            </w:pPr>
            <w:r>
              <w:rPr>
                <w:rFonts w:eastAsia="Times New Roman"/>
                <w:b/>
                <w:bCs/>
                <w:color w:val="000000"/>
                <w:sz w:val="18"/>
                <w:szCs w:val="18"/>
              </w:rPr>
              <w:t>440.5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CEB4DA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0FDF6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DF97E0D" w14:textId="77777777" w:rsidR="00000000" w:rsidRDefault="00405D16">
            <w:pPr>
              <w:spacing w:after="100"/>
              <w:jc w:val="right"/>
              <w:rPr>
                <w:rFonts w:eastAsia="Times New Roman"/>
              </w:rPr>
            </w:pPr>
            <w:r>
              <w:rPr>
                <w:rFonts w:eastAsia="Times New Roman"/>
                <w:color w:val="000000"/>
                <w:sz w:val="18"/>
                <w:szCs w:val="18"/>
              </w:rPr>
              <w:t>458.5 </w:t>
            </w:r>
          </w:p>
        </w:tc>
        <w:tc>
          <w:tcPr>
            <w:tcW w:w="0" w:type="auto"/>
            <w:shd w:val="clear" w:color="auto" w:fill="FFFFFF"/>
            <w:tcMar>
              <w:top w:w="30" w:type="dxa"/>
              <w:left w:w="0" w:type="dxa"/>
              <w:bottom w:w="30" w:type="dxa"/>
              <w:right w:w="20" w:type="dxa"/>
            </w:tcMar>
            <w:vAlign w:val="center"/>
            <w:hideMark/>
          </w:tcPr>
          <w:p w14:paraId="1765B58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F2D3BD"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05B1DA9F" w14:textId="77777777" w:rsidR="00000000" w:rsidRDefault="00405D16">
            <w:pPr>
              <w:spacing w:after="100"/>
              <w:jc w:val="right"/>
              <w:rPr>
                <w:rFonts w:eastAsia="Times New Roman"/>
              </w:rPr>
            </w:pPr>
            <w:r>
              <w:rPr>
                <w:rFonts w:eastAsia="Times New Roman"/>
                <w:color w:val="000000"/>
                <w:sz w:val="18"/>
                <w:szCs w:val="18"/>
              </w:rPr>
              <w:t>(4)</w:t>
            </w:r>
          </w:p>
        </w:tc>
        <w:tc>
          <w:tcPr>
            <w:tcW w:w="0" w:type="auto"/>
            <w:gridSpan w:val="3"/>
            <w:shd w:val="clear" w:color="auto" w:fill="FFFFFF"/>
            <w:tcMar>
              <w:top w:w="0" w:type="dxa"/>
              <w:left w:w="20" w:type="dxa"/>
              <w:bottom w:w="0" w:type="dxa"/>
              <w:right w:w="20" w:type="dxa"/>
            </w:tcMar>
            <w:vAlign w:val="center"/>
            <w:hideMark/>
          </w:tcPr>
          <w:p w14:paraId="131CBAE4"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03A67FC" w14:textId="77777777" w:rsidR="00000000" w:rsidRDefault="00405D16">
            <w:pPr>
              <w:spacing w:after="100"/>
              <w:jc w:val="right"/>
              <w:rPr>
                <w:rFonts w:eastAsia="Times New Roman"/>
              </w:rPr>
            </w:pPr>
            <w:r>
              <w:rPr>
                <w:rFonts w:eastAsia="Times New Roman"/>
                <w:b/>
                <w:bCs/>
                <w:color w:val="000000"/>
                <w:sz w:val="18"/>
                <w:szCs w:val="18"/>
              </w:rPr>
              <w:t>450.9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BB4205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4A664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94196C4" w14:textId="77777777" w:rsidR="00000000" w:rsidRDefault="00405D16">
            <w:pPr>
              <w:spacing w:after="100"/>
              <w:jc w:val="right"/>
              <w:rPr>
                <w:rFonts w:eastAsia="Times New Roman"/>
              </w:rPr>
            </w:pPr>
            <w:r>
              <w:rPr>
                <w:rFonts w:eastAsia="Times New Roman"/>
                <w:color w:val="000000"/>
                <w:sz w:val="18"/>
                <w:szCs w:val="18"/>
              </w:rPr>
              <w:t>457.4 </w:t>
            </w:r>
          </w:p>
        </w:tc>
        <w:tc>
          <w:tcPr>
            <w:tcW w:w="0" w:type="auto"/>
            <w:shd w:val="clear" w:color="auto" w:fill="FFFFFF"/>
            <w:tcMar>
              <w:top w:w="30" w:type="dxa"/>
              <w:left w:w="0" w:type="dxa"/>
              <w:bottom w:w="30" w:type="dxa"/>
              <w:right w:w="20" w:type="dxa"/>
            </w:tcMar>
            <w:vAlign w:val="center"/>
            <w:hideMark/>
          </w:tcPr>
          <w:p w14:paraId="4441BE3C" w14:textId="77777777" w:rsidR="00000000" w:rsidRDefault="00405D16">
            <w:pPr>
              <w:spacing w:after="100"/>
              <w:jc w:val="right"/>
              <w:rPr>
                <w:rFonts w:eastAsia="Times New Roman"/>
              </w:rPr>
            </w:pPr>
          </w:p>
        </w:tc>
        <w:tc>
          <w:tcPr>
            <w:tcW w:w="0" w:type="auto"/>
            <w:vAlign w:val="center"/>
            <w:hideMark/>
          </w:tcPr>
          <w:p w14:paraId="292BE641" w14:textId="77777777" w:rsidR="00000000" w:rsidRDefault="00405D16">
            <w:pPr>
              <w:spacing w:after="100"/>
              <w:jc w:val="right"/>
              <w:rPr>
                <w:rFonts w:eastAsia="Times New Roman"/>
                <w:sz w:val="20"/>
                <w:szCs w:val="20"/>
              </w:rPr>
            </w:pPr>
          </w:p>
        </w:tc>
        <w:tc>
          <w:tcPr>
            <w:tcW w:w="0" w:type="auto"/>
            <w:vAlign w:val="center"/>
            <w:hideMark/>
          </w:tcPr>
          <w:p w14:paraId="142D1904" w14:textId="77777777" w:rsidR="00000000" w:rsidRDefault="00405D16">
            <w:pPr>
              <w:spacing w:after="100"/>
              <w:rPr>
                <w:rFonts w:eastAsia="Times New Roman"/>
                <w:sz w:val="20"/>
                <w:szCs w:val="20"/>
              </w:rPr>
            </w:pPr>
          </w:p>
        </w:tc>
        <w:tc>
          <w:tcPr>
            <w:tcW w:w="0" w:type="auto"/>
            <w:gridSpan w:val="3"/>
            <w:vAlign w:val="center"/>
            <w:hideMark/>
          </w:tcPr>
          <w:p w14:paraId="21257A48" w14:textId="77777777" w:rsidR="00000000" w:rsidRDefault="00405D16">
            <w:pPr>
              <w:spacing w:after="100"/>
              <w:rPr>
                <w:rFonts w:eastAsia="Times New Roman"/>
                <w:sz w:val="20"/>
                <w:szCs w:val="20"/>
              </w:rPr>
            </w:pPr>
          </w:p>
        </w:tc>
        <w:tc>
          <w:tcPr>
            <w:tcW w:w="0" w:type="auto"/>
            <w:gridSpan w:val="3"/>
            <w:vAlign w:val="center"/>
            <w:hideMark/>
          </w:tcPr>
          <w:p w14:paraId="35D0EF1A" w14:textId="77777777" w:rsidR="00000000" w:rsidRDefault="00405D16">
            <w:pPr>
              <w:spacing w:after="100"/>
              <w:rPr>
                <w:rFonts w:eastAsia="Times New Roman"/>
                <w:sz w:val="20"/>
                <w:szCs w:val="20"/>
              </w:rPr>
            </w:pPr>
          </w:p>
        </w:tc>
        <w:tc>
          <w:tcPr>
            <w:tcW w:w="0" w:type="auto"/>
            <w:gridSpan w:val="3"/>
            <w:vAlign w:val="center"/>
            <w:hideMark/>
          </w:tcPr>
          <w:p w14:paraId="2B719535" w14:textId="77777777" w:rsidR="00000000" w:rsidRDefault="00405D16">
            <w:pPr>
              <w:spacing w:after="100"/>
              <w:rPr>
                <w:rFonts w:eastAsia="Times New Roman"/>
                <w:sz w:val="20"/>
                <w:szCs w:val="20"/>
              </w:rPr>
            </w:pPr>
          </w:p>
        </w:tc>
        <w:tc>
          <w:tcPr>
            <w:tcW w:w="0" w:type="auto"/>
            <w:gridSpan w:val="3"/>
            <w:vAlign w:val="center"/>
            <w:hideMark/>
          </w:tcPr>
          <w:p w14:paraId="3F75E72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316EEE" w14:textId="77777777" w:rsidR="00000000" w:rsidRDefault="00405D16">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687956EF" w14:textId="77777777" w:rsidR="00000000" w:rsidRDefault="00405D16">
            <w:pPr>
              <w:spacing w:after="100"/>
              <w:jc w:val="right"/>
              <w:rPr>
                <w:rFonts w:eastAsia="Times New Roman"/>
              </w:rPr>
            </w:pPr>
            <w:r>
              <w:rPr>
                <w:rFonts w:eastAsia="Times New Roman"/>
                <w:color w:val="000000"/>
                <w:sz w:val="18"/>
                <w:szCs w:val="18"/>
              </w:rPr>
              <w:t>(1)</w:t>
            </w:r>
          </w:p>
        </w:tc>
        <w:tc>
          <w:tcPr>
            <w:tcW w:w="0" w:type="auto"/>
            <w:gridSpan w:val="3"/>
            <w:vAlign w:val="center"/>
            <w:hideMark/>
          </w:tcPr>
          <w:p w14:paraId="1208EAB0" w14:textId="77777777" w:rsidR="00000000" w:rsidRDefault="00405D16">
            <w:pPr>
              <w:spacing w:after="100"/>
              <w:jc w:val="right"/>
              <w:rPr>
                <w:rFonts w:eastAsia="Times New Roman"/>
              </w:rPr>
            </w:pPr>
          </w:p>
        </w:tc>
        <w:tc>
          <w:tcPr>
            <w:tcW w:w="0" w:type="auto"/>
            <w:gridSpan w:val="2"/>
            <w:vAlign w:val="center"/>
            <w:hideMark/>
          </w:tcPr>
          <w:p w14:paraId="7B202FEF" w14:textId="77777777" w:rsidR="00000000" w:rsidRDefault="00405D16">
            <w:pPr>
              <w:spacing w:after="100"/>
              <w:rPr>
                <w:rFonts w:eastAsia="Times New Roman"/>
                <w:sz w:val="20"/>
                <w:szCs w:val="20"/>
              </w:rPr>
            </w:pPr>
          </w:p>
        </w:tc>
      </w:tr>
      <w:tr w:rsidR="00000000" w14:paraId="0A6164B7" w14:textId="77777777">
        <w:trPr>
          <w:divId w:val="227809696"/>
        </w:trPr>
        <w:tc>
          <w:tcPr>
            <w:tcW w:w="0" w:type="auto"/>
            <w:gridSpan w:val="3"/>
            <w:shd w:val="clear" w:color="auto" w:fill="CCEEFF"/>
            <w:tcMar>
              <w:top w:w="30" w:type="dxa"/>
              <w:left w:w="20" w:type="dxa"/>
              <w:bottom w:w="30" w:type="dxa"/>
              <w:right w:w="20" w:type="dxa"/>
            </w:tcMar>
            <w:vAlign w:val="bottom"/>
            <w:hideMark/>
          </w:tcPr>
          <w:p w14:paraId="3B490C65" w14:textId="77777777" w:rsidR="00000000" w:rsidRDefault="00405D16">
            <w:pPr>
              <w:spacing w:after="100"/>
              <w:rPr>
                <w:rFonts w:eastAsia="Times New Roman"/>
              </w:rPr>
            </w:pPr>
            <w:r>
              <w:rPr>
                <w:rFonts w:eastAsia="Times New Roman"/>
                <w:color w:val="000000"/>
                <w:sz w:val="18"/>
                <w:szCs w:val="18"/>
              </w:rPr>
              <w:t>Common shares outstanding (period-end, in millions)</w:t>
            </w:r>
          </w:p>
        </w:tc>
        <w:tc>
          <w:tcPr>
            <w:tcW w:w="0" w:type="auto"/>
            <w:gridSpan w:val="3"/>
            <w:shd w:val="clear" w:color="auto" w:fill="CCEEFF"/>
            <w:tcMar>
              <w:top w:w="0" w:type="dxa"/>
              <w:left w:w="20" w:type="dxa"/>
              <w:bottom w:w="0" w:type="dxa"/>
              <w:right w:w="20" w:type="dxa"/>
            </w:tcMar>
            <w:vAlign w:val="center"/>
            <w:hideMark/>
          </w:tcPr>
          <w:p w14:paraId="7C6D5E72"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ACD40DD" w14:textId="77777777" w:rsidR="00000000" w:rsidRDefault="00405D16">
            <w:pPr>
              <w:spacing w:after="100"/>
              <w:jc w:val="right"/>
              <w:rPr>
                <w:rFonts w:eastAsia="Times New Roman"/>
              </w:rPr>
            </w:pPr>
            <w:r>
              <w:rPr>
                <w:rFonts w:eastAsia="Times New Roman"/>
                <w:b/>
                <w:bCs/>
                <w:color w:val="000000"/>
                <w:sz w:val="18"/>
                <w:szCs w:val="18"/>
              </w:rPr>
              <w:t>430.4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F3E251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21D62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212DC5" w14:textId="77777777" w:rsidR="00000000" w:rsidRDefault="00405D16">
            <w:pPr>
              <w:spacing w:after="100"/>
              <w:jc w:val="right"/>
              <w:rPr>
                <w:rFonts w:eastAsia="Times New Roman"/>
              </w:rPr>
            </w:pPr>
            <w:r>
              <w:rPr>
                <w:rFonts w:eastAsia="Times New Roman"/>
                <w:color w:val="000000"/>
                <w:sz w:val="18"/>
                <w:szCs w:val="18"/>
              </w:rPr>
              <w:t>457.4 </w:t>
            </w:r>
          </w:p>
        </w:tc>
        <w:tc>
          <w:tcPr>
            <w:tcW w:w="0" w:type="auto"/>
            <w:shd w:val="clear" w:color="auto" w:fill="CCEEFF"/>
            <w:tcMar>
              <w:top w:w="30" w:type="dxa"/>
              <w:left w:w="0" w:type="dxa"/>
              <w:bottom w:w="30" w:type="dxa"/>
              <w:right w:w="20" w:type="dxa"/>
            </w:tcMar>
            <w:vAlign w:val="bottom"/>
            <w:hideMark/>
          </w:tcPr>
          <w:p w14:paraId="6AE5C0B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1F511A"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4B770878" w14:textId="77777777" w:rsidR="00000000" w:rsidRDefault="00405D16">
            <w:pPr>
              <w:spacing w:after="100"/>
              <w:jc w:val="right"/>
              <w:rPr>
                <w:rFonts w:eastAsia="Times New Roman"/>
              </w:rPr>
            </w:pPr>
            <w:r>
              <w:rPr>
                <w:rFonts w:eastAsia="Times New Roman"/>
                <w:color w:val="000000"/>
                <w:sz w:val="18"/>
                <w:szCs w:val="18"/>
              </w:rPr>
              <w:t>(6)</w:t>
            </w:r>
          </w:p>
        </w:tc>
        <w:tc>
          <w:tcPr>
            <w:tcW w:w="0" w:type="auto"/>
            <w:gridSpan w:val="3"/>
            <w:shd w:val="clear" w:color="auto" w:fill="CCEEFF"/>
            <w:tcMar>
              <w:top w:w="0" w:type="dxa"/>
              <w:left w:w="20" w:type="dxa"/>
              <w:bottom w:w="0" w:type="dxa"/>
              <w:right w:w="20" w:type="dxa"/>
            </w:tcMar>
            <w:vAlign w:val="center"/>
            <w:hideMark/>
          </w:tcPr>
          <w:p w14:paraId="308CBC03"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2157F75" w14:textId="77777777" w:rsidR="00000000" w:rsidRDefault="00405D16">
            <w:pPr>
              <w:spacing w:after="100"/>
              <w:jc w:val="right"/>
              <w:rPr>
                <w:rFonts w:eastAsia="Times New Roman"/>
              </w:rPr>
            </w:pPr>
            <w:r>
              <w:rPr>
                <w:rFonts w:eastAsia="Times New Roman"/>
                <w:b/>
                <w:bCs/>
                <w:color w:val="000000"/>
                <w:sz w:val="18"/>
                <w:szCs w:val="18"/>
              </w:rPr>
              <w:t>430.4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DC7601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BEB2E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E2A34F" w14:textId="77777777" w:rsidR="00000000" w:rsidRDefault="00405D16">
            <w:pPr>
              <w:spacing w:after="100"/>
              <w:jc w:val="right"/>
              <w:rPr>
                <w:rFonts w:eastAsia="Times New Roman"/>
              </w:rPr>
            </w:pPr>
            <w:r>
              <w:rPr>
                <w:rFonts w:eastAsia="Times New Roman"/>
                <w:color w:val="000000"/>
                <w:sz w:val="18"/>
                <w:szCs w:val="18"/>
              </w:rPr>
              <w:t>457.4 </w:t>
            </w:r>
          </w:p>
        </w:tc>
        <w:tc>
          <w:tcPr>
            <w:tcW w:w="0" w:type="auto"/>
            <w:shd w:val="clear" w:color="auto" w:fill="CCEEFF"/>
            <w:tcMar>
              <w:top w:w="30" w:type="dxa"/>
              <w:left w:w="0" w:type="dxa"/>
              <w:bottom w:w="30" w:type="dxa"/>
              <w:right w:w="20" w:type="dxa"/>
            </w:tcMar>
            <w:vAlign w:val="bottom"/>
            <w:hideMark/>
          </w:tcPr>
          <w:p w14:paraId="3B9FE18B" w14:textId="77777777" w:rsidR="00000000" w:rsidRDefault="00405D16">
            <w:pPr>
              <w:spacing w:after="100"/>
              <w:jc w:val="right"/>
              <w:rPr>
                <w:rFonts w:eastAsia="Times New Roman"/>
              </w:rPr>
            </w:pPr>
          </w:p>
        </w:tc>
        <w:tc>
          <w:tcPr>
            <w:tcW w:w="0" w:type="auto"/>
            <w:vAlign w:val="center"/>
            <w:hideMark/>
          </w:tcPr>
          <w:p w14:paraId="7F9C7526" w14:textId="77777777" w:rsidR="00000000" w:rsidRDefault="00405D16">
            <w:pPr>
              <w:spacing w:after="100"/>
              <w:jc w:val="right"/>
              <w:rPr>
                <w:rFonts w:eastAsia="Times New Roman"/>
                <w:sz w:val="20"/>
                <w:szCs w:val="20"/>
              </w:rPr>
            </w:pPr>
          </w:p>
        </w:tc>
        <w:tc>
          <w:tcPr>
            <w:tcW w:w="0" w:type="auto"/>
            <w:vAlign w:val="center"/>
            <w:hideMark/>
          </w:tcPr>
          <w:p w14:paraId="304722F9" w14:textId="77777777" w:rsidR="00000000" w:rsidRDefault="00405D16">
            <w:pPr>
              <w:spacing w:after="100"/>
              <w:rPr>
                <w:rFonts w:eastAsia="Times New Roman"/>
                <w:sz w:val="20"/>
                <w:szCs w:val="20"/>
              </w:rPr>
            </w:pPr>
          </w:p>
        </w:tc>
        <w:tc>
          <w:tcPr>
            <w:tcW w:w="0" w:type="auto"/>
            <w:gridSpan w:val="3"/>
            <w:vAlign w:val="center"/>
            <w:hideMark/>
          </w:tcPr>
          <w:p w14:paraId="34158126" w14:textId="77777777" w:rsidR="00000000" w:rsidRDefault="00405D16">
            <w:pPr>
              <w:spacing w:after="100"/>
              <w:rPr>
                <w:rFonts w:eastAsia="Times New Roman"/>
                <w:sz w:val="20"/>
                <w:szCs w:val="20"/>
              </w:rPr>
            </w:pPr>
          </w:p>
        </w:tc>
        <w:tc>
          <w:tcPr>
            <w:tcW w:w="0" w:type="auto"/>
            <w:gridSpan w:val="3"/>
            <w:vAlign w:val="center"/>
            <w:hideMark/>
          </w:tcPr>
          <w:p w14:paraId="38086EB7" w14:textId="77777777" w:rsidR="00000000" w:rsidRDefault="00405D16">
            <w:pPr>
              <w:spacing w:after="100"/>
              <w:rPr>
                <w:rFonts w:eastAsia="Times New Roman"/>
                <w:sz w:val="20"/>
                <w:szCs w:val="20"/>
              </w:rPr>
            </w:pPr>
          </w:p>
        </w:tc>
        <w:tc>
          <w:tcPr>
            <w:tcW w:w="0" w:type="auto"/>
            <w:gridSpan w:val="3"/>
            <w:vAlign w:val="center"/>
            <w:hideMark/>
          </w:tcPr>
          <w:p w14:paraId="368C2924" w14:textId="77777777" w:rsidR="00000000" w:rsidRDefault="00405D16">
            <w:pPr>
              <w:spacing w:after="100"/>
              <w:rPr>
                <w:rFonts w:eastAsia="Times New Roman"/>
                <w:sz w:val="20"/>
                <w:szCs w:val="20"/>
              </w:rPr>
            </w:pPr>
          </w:p>
        </w:tc>
        <w:tc>
          <w:tcPr>
            <w:tcW w:w="0" w:type="auto"/>
            <w:gridSpan w:val="3"/>
            <w:vAlign w:val="center"/>
            <w:hideMark/>
          </w:tcPr>
          <w:p w14:paraId="3A13089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3C8F40" w14:textId="77777777" w:rsidR="00000000" w:rsidRDefault="00405D16">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3950454B" w14:textId="77777777" w:rsidR="00000000" w:rsidRDefault="00405D16">
            <w:pPr>
              <w:spacing w:after="100"/>
              <w:jc w:val="right"/>
              <w:rPr>
                <w:rFonts w:eastAsia="Times New Roman"/>
              </w:rPr>
            </w:pPr>
            <w:r>
              <w:rPr>
                <w:rFonts w:eastAsia="Times New Roman"/>
                <w:color w:val="000000"/>
                <w:sz w:val="18"/>
                <w:szCs w:val="18"/>
              </w:rPr>
              <w:t>(6)</w:t>
            </w:r>
          </w:p>
        </w:tc>
        <w:tc>
          <w:tcPr>
            <w:tcW w:w="0" w:type="auto"/>
            <w:gridSpan w:val="3"/>
            <w:vAlign w:val="center"/>
            <w:hideMark/>
          </w:tcPr>
          <w:p w14:paraId="577F2D2E" w14:textId="77777777" w:rsidR="00000000" w:rsidRDefault="00405D16">
            <w:pPr>
              <w:spacing w:after="100"/>
              <w:jc w:val="right"/>
              <w:rPr>
                <w:rFonts w:eastAsia="Times New Roman"/>
              </w:rPr>
            </w:pPr>
          </w:p>
        </w:tc>
        <w:tc>
          <w:tcPr>
            <w:tcW w:w="0" w:type="auto"/>
            <w:gridSpan w:val="2"/>
            <w:vAlign w:val="center"/>
            <w:hideMark/>
          </w:tcPr>
          <w:p w14:paraId="44F51CDF" w14:textId="77777777" w:rsidR="00000000" w:rsidRDefault="00405D16">
            <w:pPr>
              <w:spacing w:after="100"/>
              <w:rPr>
                <w:rFonts w:eastAsia="Times New Roman"/>
                <w:sz w:val="20"/>
                <w:szCs w:val="20"/>
              </w:rPr>
            </w:pPr>
          </w:p>
        </w:tc>
      </w:tr>
      <w:tr w:rsidR="00000000" w14:paraId="6BA50F4E" w14:textId="77777777">
        <w:trPr>
          <w:divId w:val="227809696"/>
        </w:trPr>
        <w:tc>
          <w:tcPr>
            <w:tcW w:w="0" w:type="auto"/>
            <w:gridSpan w:val="3"/>
            <w:shd w:val="clear" w:color="auto" w:fill="FFFFFF"/>
            <w:tcMar>
              <w:top w:w="30" w:type="dxa"/>
              <w:left w:w="20" w:type="dxa"/>
              <w:bottom w:w="30" w:type="dxa"/>
              <w:right w:w="20" w:type="dxa"/>
            </w:tcMar>
            <w:vAlign w:val="center"/>
            <w:hideMark/>
          </w:tcPr>
          <w:p w14:paraId="556181D1" w14:textId="77777777" w:rsidR="00000000" w:rsidRDefault="00405D16">
            <w:pPr>
              <w:spacing w:after="100"/>
              <w:rPr>
                <w:rFonts w:eastAsia="Times New Roman"/>
              </w:rPr>
            </w:pPr>
            <w:r>
              <w:rPr>
                <w:rFonts w:eastAsia="Times New Roman"/>
                <w:color w:val="000000"/>
                <w:sz w:val="18"/>
                <w:szCs w:val="18"/>
              </w:rPr>
              <w:t>Dividends declared and paid per common share</w:t>
            </w:r>
          </w:p>
        </w:tc>
        <w:tc>
          <w:tcPr>
            <w:tcW w:w="0" w:type="auto"/>
            <w:gridSpan w:val="3"/>
            <w:shd w:val="clear" w:color="auto" w:fill="FFFFFF"/>
            <w:tcMar>
              <w:top w:w="0" w:type="dxa"/>
              <w:left w:w="20" w:type="dxa"/>
              <w:bottom w:w="0" w:type="dxa"/>
              <w:right w:w="20" w:type="dxa"/>
            </w:tcMar>
            <w:vAlign w:val="center"/>
            <w:hideMark/>
          </w:tcPr>
          <w:p w14:paraId="18BE17C1"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4FA1FF02"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14C0DCE6" w14:textId="77777777" w:rsidR="00000000" w:rsidRDefault="00405D16">
            <w:pPr>
              <w:spacing w:after="100"/>
              <w:jc w:val="right"/>
              <w:rPr>
                <w:rFonts w:eastAsia="Times New Roman"/>
              </w:rPr>
            </w:pPr>
            <w:r>
              <w:rPr>
                <w:rFonts w:eastAsia="Times New Roman"/>
                <w:b/>
                <w:bCs/>
                <w:color w:val="000000"/>
                <w:sz w:val="18"/>
                <w:szCs w:val="18"/>
              </w:rPr>
              <w:t>1.20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5E72FF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289483"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CD647C0"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38B4247" w14:textId="77777777" w:rsidR="00000000" w:rsidRDefault="00405D16">
            <w:pPr>
              <w:spacing w:after="100"/>
              <w:jc w:val="right"/>
              <w:rPr>
                <w:rFonts w:eastAsia="Times New Roman"/>
              </w:rPr>
            </w:pPr>
            <w:r>
              <w:rPr>
                <w:rFonts w:eastAsia="Times New Roman"/>
                <w:color w:val="000000"/>
                <w:sz w:val="18"/>
                <w:szCs w:val="18"/>
              </w:rPr>
              <w:t>0.10 </w:t>
            </w:r>
          </w:p>
        </w:tc>
        <w:tc>
          <w:tcPr>
            <w:tcW w:w="0" w:type="auto"/>
            <w:shd w:val="clear" w:color="auto" w:fill="FFFFFF"/>
            <w:tcMar>
              <w:top w:w="30" w:type="dxa"/>
              <w:left w:w="0" w:type="dxa"/>
              <w:bottom w:w="30" w:type="dxa"/>
              <w:right w:w="20" w:type="dxa"/>
            </w:tcMar>
            <w:vAlign w:val="bottom"/>
            <w:hideMark/>
          </w:tcPr>
          <w:p w14:paraId="707A7A1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AB2F42"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3340BB89"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5675853" w14:textId="77777777" w:rsidR="00000000" w:rsidRDefault="00405D16">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8B45505"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392E9E19" w14:textId="77777777" w:rsidR="00000000" w:rsidRDefault="00405D16">
            <w:pPr>
              <w:spacing w:after="100"/>
              <w:jc w:val="right"/>
              <w:rPr>
                <w:rFonts w:eastAsia="Times New Roman"/>
              </w:rPr>
            </w:pPr>
            <w:r>
              <w:rPr>
                <w:rFonts w:eastAsia="Times New Roman"/>
                <w:b/>
                <w:bCs/>
                <w:color w:val="000000"/>
                <w:sz w:val="18"/>
                <w:szCs w:val="18"/>
              </w:rPr>
              <w:t>2.00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C73F38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528911"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46110CA"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ACDF764" w14:textId="77777777" w:rsidR="00000000" w:rsidRDefault="00405D16">
            <w:pPr>
              <w:spacing w:after="100"/>
              <w:jc w:val="right"/>
              <w:rPr>
                <w:rFonts w:eastAsia="Times New Roman"/>
              </w:rPr>
            </w:pPr>
            <w:r>
              <w:rPr>
                <w:rFonts w:eastAsia="Times New Roman"/>
                <w:color w:val="000000"/>
                <w:sz w:val="18"/>
                <w:szCs w:val="18"/>
              </w:rPr>
              <w:t>0.90 </w:t>
            </w:r>
          </w:p>
        </w:tc>
        <w:tc>
          <w:tcPr>
            <w:tcW w:w="0" w:type="auto"/>
            <w:shd w:val="clear" w:color="auto" w:fill="FFFFFF"/>
            <w:tcMar>
              <w:top w:w="30" w:type="dxa"/>
              <w:left w:w="0" w:type="dxa"/>
              <w:bottom w:w="30" w:type="dxa"/>
              <w:right w:w="20" w:type="dxa"/>
            </w:tcMar>
            <w:vAlign w:val="bottom"/>
            <w:hideMark/>
          </w:tcPr>
          <w:p w14:paraId="3A988148" w14:textId="77777777" w:rsidR="00000000" w:rsidRDefault="00405D16">
            <w:pPr>
              <w:spacing w:after="100"/>
              <w:jc w:val="right"/>
              <w:rPr>
                <w:rFonts w:eastAsia="Times New Roman"/>
              </w:rPr>
            </w:pPr>
          </w:p>
        </w:tc>
        <w:tc>
          <w:tcPr>
            <w:tcW w:w="0" w:type="auto"/>
            <w:vAlign w:val="center"/>
            <w:hideMark/>
          </w:tcPr>
          <w:p w14:paraId="07A48BB7" w14:textId="77777777" w:rsidR="00000000" w:rsidRDefault="00405D16">
            <w:pPr>
              <w:spacing w:after="100"/>
              <w:jc w:val="right"/>
              <w:rPr>
                <w:rFonts w:eastAsia="Times New Roman"/>
                <w:sz w:val="20"/>
                <w:szCs w:val="20"/>
              </w:rPr>
            </w:pPr>
          </w:p>
        </w:tc>
        <w:tc>
          <w:tcPr>
            <w:tcW w:w="0" w:type="auto"/>
            <w:vAlign w:val="center"/>
            <w:hideMark/>
          </w:tcPr>
          <w:p w14:paraId="4E9095D0" w14:textId="77777777" w:rsidR="00000000" w:rsidRDefault="00405D16">
            <w:pPr>
              <w:spacing w:after="100"/>
              <w:rPr>
                <w:rFonts w:eastAsia="Times New Roman"/>
                <w:sz w:val="20"/>
                <w:szCs w:val="20"/>
              </w:rPr>
            </w:pPr>
          </w:p>
        </w:tc>
        <w:tc>
          <w:tcPr>
            <w:tcW w:w="0" w:type="auto"/>
            <w:gridSpan w:val="3"/>
            <w:vAlign w:val="center"/>
            <w:hideMark/>
          </w:tcPr>
          <w:p w14:paraId="1BD03E75" w14:textId="77777777" w:rsidR="00000000" w:rsidRDefault="00405D16">
            <w:pPr>
              <w:spacing w:after="100"/>
              <w:rPr>
                <w:rFonts w:eastAsia="Times New Roman"/>
                <w:sz w:val="20"/>
                <w:szCs w:val="20"/>
              </w:rPr>
            </w:pPr>
          </w:p>
        </w:tc>
        <w:tc>
          <w:tcPr>
            <w:tcW w:w="0" w:type="auto"/>
            <w:gridSpan w:val="3"/>
            <w:vAlign w:val="center"/>
            <w:hideMark/>
          </w:tcPr>
          <w:p w14:paraId="1EF8C594" w14:textId="77777777" w:rsidR="00000000" w:rsidRDefault="00405D16">
            <w:pPr>
              <w:spacing w:after="100"/>
              <w:rPr>
                <w:rFonts w:eastAsia="Times New Roman"/>
                <w:sz w:val="20"/>
                <w:szCs w:val="20"/>
              </w:rPr>
            </w:pPr>
          </w:p>
        </w:tc>
        <w:tc>
          <w:tcPr>
            <w:tcW w:w="0" w:type="auto"/>
            <w:gridSpan w:val="3"/>
            <w:vAlign w:val="center"/>
            <w:hideMark/>
          </w:tcPr>
          <w:p w14:paraId="48C085A6" w14:textId="77777777" w:rsidR="00000000" w:rsidRDefault="00405D16">
            <w:pPr>
              <w:spacing w:after="100"/>
              <w:rPr>
                <w:rFonts w:eastAsia="Times New Roman"/>
                <w:sz w:val="20"/>
                <w:szCs w:val="20"/>
              </w:rPr>
            </w:pPr>
          </w:p>
        </w:tc>
        <w:tc>
          <w:tcPr>
            <w:tcW w:w="0" w:type="auto"/>
            <w:gridSpan w:val="3"/>
            <w:vAlign w:val="center"/>
            <w:hideMark/>
          </w:tcPr>
          <w:p w14:paraId="1CD404B4"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C5273D" w14:textId="77777777" w:rsidR="00000000" w:rsidRDefault="00405D16">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027F0B55" w14:textId="77777777" w:rsidR="00000000" w:rsidRDefault="00405D16">
            <w:pPr>
              <w:spacing w:after="100"/>
              <w:jc w:val="right"/>
              <w:rPr>
                <w:rFonts w:eastAsia="Times New Roman"/>
              </w:rPr>
            </w:pPr>
            <w:r>
              <w:rPr>
                <w:rFonts w:eastAsia="Times New Roman"/>
                <w:color w:val="000000"/>
                <w:sz w:val="18"/>
                <w:szCs w:val="18"/>
              </w:rPr>
              <w:t>122</w:t>
            </w:r>
          </w:p>
        </w:tc>
        <w:tc>
          <w:tcPr>
            <w:tcW w:w="0" w:type="auto"/>
            <w:gridSpan w:val="3"/>
            <w:vAlign w:val="center"/>
            <w:hideMark/>
          </w:tcPr>
          <w:p w14:paraId="5EE269E2" w14:textId="77777777" w:rsidR="00000000" w:rsidRDefault="00405D16">
            <w:pPr>
              <w:spacing w:after="100"/>
              <w:jc w:val="right"/>
              <w:rPr>
                <w:rFonts w:eastAsia="Times New Roman"/>
              </w:rPr>
            </w:pPr>
          </w:p>
        </w:tc>
        <w:tc>
          <w:tcPr>
            <w:tcW w:w="0" w:type="auto"/>
            <w:gridSpan w:val="2"/>
            <w:vAlign w:val="center"/>
            <w:hideMark/>
          </w:tcPr>
          <w:p w14:paraId="2F04F12D" w14:textId="77777777" w:rsidR="00000000" w:rsidRDefault="00405D16">
            <w:pPr>
              <w:spacing w:after="100"/>
              <w:rPr>
                <w:rFonts w:eastAsia="Times New Roman"/>
                <w:sz w:val="20"/>
                <w:szCs w:val="20"/>
              </w:rPr>
            </w:pPr>
          </w:p>
        </w:tc>
      </w:tr>
      <w:tr w:rsidR="00000000" w14:paraId="28968120" w14:textId="77777777">
        <w:trPr>
          <w:divId w:val="227809696"/>
        </w:trPr>
        <w:tc>
          <w:tcPr>
            <w:tcW w:w="0" w:type="auto"/>
            <w:gridSpan w:val="3"/>
            <w:vAlign w:val="center"/>
            <w:hideMark/>
          </w:tcPr>
          <w:p w14:paraId="364919E0" w14:textId="77777777" w:rsidR="00000000" w:rsidRDefault="00405D16">
            <w:pPr>
              <w:spacing w:after="100"/>
              <w:rPr>
                <w:rFonts w:eastAsia="Times New Roman"/>
                <w:sz w:val="20"/>
                <w:szCs w:val="20"/>
              </w:rPr>
            </w:pPr>
          </w:p>
        </w:tc>
        <w:tc>
          <w:tcPr>
            <w:tcW w:w="0" w:type="auto"/>
            <w:gridSpan w:val="3"/>
            <w:vAlign w:val="center"/>
            <w:hideMark/>
          </w:tcPr>
          <w:p w14:paraId="2D7267A4" w14:textId="77777777" w:rsidR="00000000" w:rsidRDefault="00405D16">
            <w:pPr>
              <w:spacing w:after="100"/>
              <w:rPr>
                <w:rFonts w:eastAsia="Times New Roman"/>
                <w:sz w:val="20"/>
                <w:szCs w:val="20"/>
              </w:rPr>
            </w:pPr>
          </w:p>
        </w:tc>
        <w:tc>
          <w:tcPr>
            <w:tcW w:w="0" w:type="auto"/>
            <w:gridSpan w:val="3"/>
            <w:vAlign w:val="center"/>
            <w:hideMark/>
          </w:tcPr>
          <w:p w14:paraId="18FEBA13" w14:textId="77777777" w:rsidR="00000000" w:rsidRDefault="00405D16">
            <w:pPr>
              <w:spacing w:after="100"/>
              <w:rPr>
                <w:rFonts w:eastAsia="Times New Roman"/>
                <w:sz w:val="20"/>
                <w:szCs w:val="20"/>
              </w:rPr>
            </w:pPr>
          </w:p>
        </w:tc>
        <w:tc>
          <w:tcPr>
            <w:tcW w:w="0" w:type="auto"/>
            <w:gridSpan w:val="3"/>
            <w:vAlign w:val="center"/>
            <w:hideMark/>
          </w:tcPr>
          <w:p w14:paraId="7F3526EB" w14:textId="77777777" w:rsidR="00000000" w:rsidRDefault="00405D16">
            <w:pPr>
              <w:spacing w:after="100"/>
              <w:rPr>
                <w:rFonts w:eastAsia="Times New Roman"/>
                <w:sz w:val="20"/>
                <w:szCs w:val="20"/>
              </w:rPr>
            </w:pPr>
          </w:p>
        </w:tc>
        <w:tc>
          <w:tcPr>
            <w:tcW w:w="0" w:type="auto"/>
            <w:gridSpan w:val="3"/>
            <w:vAlign w:val="center"/>
            <w:hideMark/>
          </w:tcPr>
          <w:p w14:paraId="3522F22B" w14:textId="77777777" w:rsidR="00000000" w:rsidRDefault="00405D16">
            <w:pPr>
              <w:spacing w:after="100"/>
              <w:rPr>
                <w:rFonts w:eastAsia="Times New Roman"/>
                <w:sz w:val="20"/>
                <w:szCs w:val="20"/>
              </w:rPr>
            </w:pPr>
          </w:p>
        </w:tc>
        <w:tc>
          <w:tcPr>
            <w:tcW w:w="0" w:type="auto"/>
            <w:gridSpan w:val="3"/>
            <w:vAlign w:val="center"/>
            <w:hideMark/>
          </w:tcPr>
          <w:p w14:paraId="18B12B93" w14:textId="77777777" w:rsidR="00000000" w:rsidRDefault="00405D16">
            <w:pPr>
              <w:spacing w:after="100"/>
              <w:rPr>
                <w:rFonts w:eastAsia="Times New Roman"/>
                <w:sz w:val="20"/>
                <w:szCs w:val="20"/>
              </w:rPr>
            </w:pPr>
          </w:p>
        </w:tc>
        <w:tc>
          <w:tcPr>
            <w:tcW w:w="0" w:type="auto"/>
            <w:gridSpan w:val="3"/>
            <w:vAlign w:val="center"/>
            <w:hideMark/>
          </w:tcPr>
          <w:p w14:paraId="5FE1529C" w14:textId="77777777" w:rsidR="00000000" w:rsidRDefault="00405D16">
            <w:pPr>
              <w:spacing w:after="100"/>
              <w:rPr>
                <w:rFonts w:eastAsia="Times New Roman"/>
                <w:sz w:val="20"/>
                <w:szCs w:val="20"/>
              </w:rPr>
            </w:pPr>
          </w:p>
        </w:tc>
        <w:tc>
          <w:tcPr>
            <w:tcW w:w="0" w:type="auto"/>
            <w:gridSpan w:val="3"/>
            <w:vAlign w:val="center"/>
            <w:hideMark/>
          </w:tcPr>
          <w:p w14:paraId="622B0AF4" w14:textId="77777777" w:rsidR="00000000" w:rsidRDefault="00405D16">
            <w:pPr>
              <w:spacing w:after="100"/>
              <w:rPr>
                <w:rFonts w:eastAsia="Times New Roman"/>
                <w:sz w:val="20"/>
                <w:szCs w:val="20"/>
              </w:rPr>
            </w:pPr>
          </w:p>
        </w:tc>
        <w:tc>
          <w:tcPr>
            <w:tcW w:w="0" w:type="auto"/>
            <w:gridSpan w:val="3"/>
            <w:vAlign w:val="center"/>
            <w:hideMark/>
          </w:tcPr>
          <w:p w14:paraId="28501C24" w14:textId="77777777" w:rsidR="00000000" w:rsidRDefault="00405D16">
            <w:pPr>
              <w:spacing w:after="100"/>
              <w:rPr>
                <w:rFonts w:eastAsia="Times New Roman"/>
                <w:sz w:val="20"/>
                <w:szCs w:val="20"/>
              </w:rPr>
            </w:pPr>
          </w:p>
        </w:tc>
        <w:tc>
          <w:tcPr>
            <w:tcW w:w="0" w:type="auto"/>
            <w:gridSpan w:val="3"/>
            <w:vAlign w:val="center"/>
            <w:hideMark/>
          </w:tcPr>
          <w:p w14:paraId="24546154" w14:textId="77777777" w:rsidR="00000000" w:rsidRDefault="00405D16">
            <w:pPr>
              <w:spacing w:after="100"/>
              <w:rPr>
                <w:rFonts w:eastAsia="Times New Roman"/>
                <w:sz w:val="20"/>
                <w:szCs w:val="20"/>
              </w:rPr>
            </w:pPr>
          </w:p>
        </w:tc>
        <w:tc>
          <w:tcPr>
            <w:tcW w:w="0" w:type="auto"/>
            <w:gridSpan w:val="3"/>
            <w:vAlign w:val="center"/>
            <w:hideMark/>
          </w:tcPr>
          <w:p w14:paraId="54269B99" w14:textId="77777777" w:rsidR="00000000" w:rsidRDefault="00405D16">
            <w:pPr>
              <w:spacing w:after="100"/>
              <w:rPr>
                <w:rFonts w:eastAsia="Times New Roman"/>
                <w:sz w:val="20"/>
                <w:szCs w:val="20"/>
              </w:rPr>
            </w:pPr>
          </w:p>
        </w:tc>
        <w:tc>
          <w:tcPr>
            <w:tcW w:w="0" w:type="auto"/>
            <w:vAlign w:val="center"/>
            <w:hideMark/>
          </w:tcPr>
          <w:p w14:paraId="682C0C61" w14:textId="77777777" w:rsidR="00000000" w:rsidRDefault="00405D16">
            <w:pPr>
              <w:spacing w:after="100"/>
              <w:rPr>
                <w:rFonts w:eastAsia="Times New Roman"/>
                <w:sz w:val="20"/>
                <w:szCs w:val="20"/>
              </w:rPr>
            </w:pPr>
          </w:p>
        </w:tc>
        <w:tc>
          <w:tcPr>
            <w:tcW w:w="0" w:type="auto"/>
            <w:vAlign w:val="center"/>
            <w:hideMark/>
          </w:tcPr>
          <w:p w14:paraId="7CE3D03C" w14:textId="77777777" w:rsidR="00000000" w:rsidRDefault="00405D16">
            <w:pPr>
              <w:spacing w:after="100"/>
              <w:rPr>
                <w:rFonts w:eastAsia="Times New Roman"/>
                <w:sz w:val="20"/>
                <w:szCs w:val="20"/>
              </w:rPr>
            </w:pPr>
          </w:p>
        </w:tc>
        <w:tc>
          <w:tcPr>
            <w:tcW w:w="0" w:type="auto"/>
            <w:gridSpan w:val="3"/>
            <w:vAlign w:val="center"/>
            <w:hideMark/>
          </w:tcPr>
          <w:p w14:paraId="4AB87652" w14:textId="77777777" w:rsidR="00000000" w:rsidRDefault="00405D16">
            <w:pPr>
              <w:spacing w:after="100"/>
              <w:rPr>
                <w:rFonts w:eastAsia="Times New Roman"/>
                <w:sz w:val="20"/>
                <w:szCs w:val="20"/>
              </w:rPr>
            </w:pPr>
          </w:p>
        </w:tc>
        <w:tc>
          <w:tcPr>
            <w:tcW w:w="0" w:type="auto"/>
            <w:gridSpan w:val="3"/>
            <w:vAlign w:val="center"/>
            <w:hideMark/>
          </w:tcPr>
          <w:p w14:paraId="21A0109E" w14:textId="77777777" w:rsidR="00000000" w:rsidRDefault="00405D16">
            <w:pPr>
              <w:spacing w:after="100"/>
              <w:rPr>
                <w:rFonts w:eastAsia="Times New Roman"/>
                <w:sz w:val="20"/>
                <w:szCs w:val="20"/>
              </w:rPr>
            </w:pPr>
          </w:p>
        </w:tc>
        <w:tc>
          <w:tcPr>
            <w:tcW w:w="0" w:type="auto"/>
            <w:gridSpan w:val="3"/>
            <w:vAlign w:val="center"/>
            <w:hideMark/>
          </w:tcPr>
          <w:p w14:paraId="14AA354C" w14:textId="77777777" w:rsidR="00000000" w:rsidRDefault="00405D16">
            <w:pPr>
              <w:spacing w:after="100"/>
              <w:rPr>
                <w:rFonts w:eastAsia="Times New Roman"/>
                <w:sz w:val="20"/>
                <w:szCs w:val="20"/>
              </w:rPr>
            </w:pPr>
          </w:p>
        </w:tc>
        <w:tc>
          <w:tcPr>
            <w:tcW w:w="0" w:type="auto"/>
            <w:gridSpan w:val="3"/>
            <w:vAlign w:val="center"/>
            <w:hideMark/>
          </w:tcPr>
          <w:p w14:paraId="60CB6B6A" w14:textId="77777777" w:rsidR="00000000" w:rsidRDefault="00405D16">
            <w:pPr>
              <w:spacing w:after="100"/>
              <w:rPr>
                <w:rFonts w:eastAsia="Times New Roman"/>
                <w:sz w:val="20"/>
                <w:szCs w:val="20"/>
              </w:rPr>
            </w:pPr>
          </w:p>
        </w:tc>
        <w:tc>
          <w:tcPr>
            <w:tcW w:w="0" w:type="auto"/>
            <w:gridSpan w:val="3"/>
            <w:vAlign w:val="center"/>
            <w:hideMark/>
          </w:tcPr>
          <w:p w14:paraId="76E4B44C" w14:textId="77777777" w:rsidR="00000000" w:rsidRDefault="00405D16">
            <w:pPr>
              <w:spacing w:after="100"/>
              <w:rPr>
                <w:rFonts w:eastAsia="Times New Roman"/>
                <w:sz w:val="20"/>
                <w:szCs w:val="20"/>
              </w:rPr>
            </w:pPr>
          </w:p>
        </w:tc>
        <w:tc>
          <w:tcPr>
            <w:tcW w:w="0" w:type="auto"/>
            <w:gridSpan w:val="3"/>
            <w:vAlign w:val="center"/>
            <w:hideMark/>
          </w:tcPr>
          <w:p w14:paraId="3EE5ABF0" w14:textId="77777777" w:rsidR="00000000" w:rsidRDefault="00405D16">
            <w:pPr>
              <w:spacing w:after="100"/>
              <w:rPr>
                <w:rFonts w:eastAsia="Times New Roman"/>
                <w:sz w:val="20"/>
                <w:szCs w:val="20"/>
              </w:rPr>
            </w:pPr>
          </w:p>
        </w:tc>
        <w:tc>
          <w:tcPr>
            <w:tcW w:w="0" w:type="auto"/>
            <w:gridSpan w:val="3"/>
            <w:vAlign w:val="center"/>
            <w:hideMark/>
          </w:tcPr>
          <w:p w14:paraId="0C01F86C" w14:textId="77777777" w:rsidR="00000000" w:rsidRDefault="00405D16">
            <w:pPr>
              <w:spacing w:after="100"/>
              <w:rPr>
                <w:rFonts w:eastAsia="Times New Roman"/>
                <w:sz w:val="20"/>
                <w:szCs w:val="20"/>
              </w:rPr>
            </w:pPr>
          </w:p>
        </w:tc>
        <w:tc>
          <w:tcPr>
            <w:tcW w:w="0" w:type="auto"/>
            <w:gridSpan w:val="2"/>
            <w:vAlign w:val="center"/>
            <w:hideMark/>
          </w:tcPr>
          <w:p w14:paraId="42A3FFBB" w14:textId="77777777" w:rsidR="00000000" w:rsidRDefault="00405D16">
            <w:pPr>
              <w:spacing w:after="100"/>
              <w:rPr>
                <w:rFonts w:eastAsia="Times New Roman"/>
                <w:sz w:val="20"/>
                <w:szCs w:val="20"/>
              </w:rPr>
            </w:pPr>
          </w:p>
        </w:tc>
      </w:tr>
      <w:tr w:rsidR="00000000" w14:paraId="64382E35" w14:textId="77777777">
        <w:trPr>
          <w:divId w:val="227809696"/>
        </w:trPr>
        <w:tc>
          <w:tcPr>
            <w:tcW w:w="0" w:type="auto"/>
            <w:gridSpan w:val="3"/>
            <w:shd w:val="clear" w:color="auto" w:fill="CCEEFF"/>
            <w:tcMar>
              <w:top w:w="30" w:type="dxa"/>
              <w:left w:w="20" w:type="dxa"/>
              <w:bottom w:w="30" w:type="dxa"/>
              <w:right w:w="20" w:type="dxa"/>
            </w:tcMar>
            <w:vAlign w:val="center"/>
            <w:hideMark/>
          </w:tcPr>
          <w:p w14:paraId="30E47A73" w14:textId="77777777" w:rsidR="00000000" w:rsidRDefault="00405D16">
            <w:pPr>
              <w:spacing w:after="100"/>
              <w:divId w:val="371224209"/>
              <w:rPr>
                <w:rFonts w:eastAsia="Times New Roman"/>
              </w:rPr>
            </w:pPr>
            <w:r>
              <w:rPr>
                <w:rFonts w:eastAsia="Times New Roman"/>
                <w:color w:val="000000"/>
                <w:sz w:val="18"/>
                <w:szCs w:val="18"/>
              </w:rPr>
              <w:t>Tangible book value per common share (period-end</w:t>
            </w:r>
            <w:r>
              <w:rPr>
                <w:rFonts w:eastAsia="Times New Roman"/>
                <w:color w:val="000000"/>
                <w:sz w:val="18"/>
                <w:szCs w:val="18"/>
              </w:rPr>
              <w:t>)</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483A4EBD"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FEB9501" w14:textId="77777777" w:rsidR="00000000" w:rsidRDefault="00405D16">
            <w:pPr>
              <w:spacing w:after="100"/>
              <w:jc w:val="right"/>
              <w:rPr>
                <w:rFonts w:eastAsia="Times New Roman"/>
              </w:rPr>
            </w:pPr>
            <w:r>
              <w:rPr>
                <w:rFonts w:eastAsia="Times New Roman"/>
                <w:b/>
                <w:bCs/>
                <w:color w:val="000000"/>
                <w:sz w:val="18"/>
                <w:szCs w:val="18"/>
              </w:rPr>
              <w:t>99.60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BC03A3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86AE7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1DF0A0F" w14:textId="77777777" w:rsidR="00000000" w:rsidRDefault="00405D16">
            <w:pPr>
              <w:spacing w:after="100"/>
              <w:jc w:val="right"/>
              <w:rPr>
                <w:rFonts w:eastAsia="Times New Roman"/>
              </w:rPr>
            </w:pPr>
            <w:r>
              <w:rPr>
                <w:rFonts w:eastAsia="Times New Roman"/>
                <w:color w:val="000000"/>
                <w:sz w:val="18"/>
                <w:szCs w:val="18"/>
              </w:rPr>
              <w:t>83.67 </w:t>
            </w:r>
          </w:p>
        </w:tc>
        <w:tc>
          <w:tcPr>
            <w:tcW w:w="0" w:type="auto"/>
            <w:shd w:val="clear" w:color="auto" w:fill="CCEEFF"/>
            <w:tcMar>
              <w:top w:w="30" w:type="dxa"/>
              <w:left w:w="0" w:type="dxa"/>
              <w:bottom w:w="30" w:type="dxa"/>
              <w:right w:w="20" w:type="dxa"/>
            </w:tcMar>
            <w:vAlign w:val="center"/>
            <w:hideMark/>
          </w:tcPr>
          <w:p w14:paraId="34918F3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30A399"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18010445" w14:textId="77777777" w:rsidR="00000000" w:rsidRDefault="00405D16">
            <w:pPr>
              <w:spacing w:after="100"/>
              <w:jc w:val="right"/>
              <w:rPr>
                <w:rFonts w:eastAsia="Times New Roman"/>
              </w:rPr>
            </w:pPr>
            <w:r>
              <w:rPr>
                <w:rFonts w:eastAsia="Times New Roman"/>
                <w:color w:val="000000"/>
                <w:sz w:val="18"/>
                <w:szCs w:val="18"/>
              </w:rPr>
              <w:t>19</w:t>
            </w:r>
          </w:p>
        </w:tc>
        <w:tc>
          <w:tcPr>
            <w:tcW w:w="0" w:type="auto"/>
            <w:gridSpan w:val="3"/>
            <w:shd w:val="clear" w:color="auto" w:fill="CCEEFF"/>
            <w:tcMar>
              <w:top w:w="0" w:type="dxa"/>
              <w:left w:w="20" w:type="dxa"/>
              <w:bottom w:w="0" w:type="dxa"/>
              <w:right w:w="20" w:type="dxa"/>
            </w:tcMar>
            <w:vAlign w:val="center"/>
            <w:hideMark/>
          </w:tcPr>
          <w:p w14:paraId="7A0D7CD1"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27A4F24" w14:textId="77777777" w:rsidR="00000000" w:rsidRDefault="00405D16">
            <w:pPr>
              <w:spacing w:after="100"/>
              <w:jc w:val="right"/>
              <w:rPr>
                <w:rFonts w:eastAsia="Times New Roman"/>
              </w:rPr>
            </w:pPr>
            <w:r>
              <w:rPr>
                <w:rFonts w:eastAsia="Times New Roman"/>
                <w:b/>
                <w:bCs/>
                <w:color w:val="000000"/>
                <w:sz w:val="18"/>
                <w:szCs w:val="18"/>
              </w:rPr>
              <w:t>99.60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93B039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05F79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F87B74" w14:textId="77777777" w:rsidR="00000000" w:rsidRDefault="00405D16">
            <w:pPr>
              <w:spacing w:after="100"/>
              <w:jc w:val="right"/>
              <w:rPr>
                <w:rFonts w:eastAsia="Times New Roman"/>
              </w:rPr>
            </w:pPr>
            <w:r>
              <w:rPr>
                <w:rFonts w:eastAsia="Times New Roman"/>
                <w:color w:val="000000"/>
                <w:sz w:val="18"/>
                <w:szCs w:val="18"/>
              </w:rPr>
              <w:t>83.67 </w:t>
            </w:r>
          </w:p>
        </w:tc>
        <w:tc>
          <w:tcPr>
            <w:tcW w:w="0" w:type="auto"/>
            <w:shd w:val="clear" w:color="auto" w:fill="CCEEFF"/>
            <w:tcMar>
              <w:top w:w="30" w:type="dxa"/>
              <w:left w:w="0" w:type="dxa"/>
              <w:bottom w:w="30" w:type="dxa"/>
              <w:right w:w="20" w:type="dxa"/>
            </w:tcMar>
            <w:vAlign w:val="bottom"/>
            <w:hideMark/>
          </w:tcPr>
          <w:p w14:paraId="02A4E6F0" w14:textId="77777777" w:rsidR="00000000" w:rsidRDefault="00405D16">
            <w:pPr>
              <w:spacing w:after="100"/>
              <w:jc w:val="right"/>
              <w:rPr>
                <w:rFonts w:eastAsia="Times New Roman"/>
              </w:rPr>
            </w:pPr>
          </w:p>
        </w:tc>
        <w:tc>
          <w:tcPr>
            <w:tcW w:w="0" w:type="auto"/>
            <w:vAlign w:val="center"/>
            <w:hideMark/>
          </w:tcPr>
          <w:p w14:paraId="0B3C37D8" w14:textId="77777777" w:rsidR="00000000" w:rsidRDefault="00405D16">
            <w:pPr>
              <w:spacing w:after="100"/>
              <w:jc w:val="right"/>
              <w:rPr>
                <w:rFonts w:eastAsia="Times New Roman"/>
                <w:sz w:val="20"/>
                <w:szCs w:val="20"/>
              </w:rPr>
            </w:pPr>
          </w:p>
        </w:tc>
        <w:tc>
          <w:tcPr>
            <w:tcW w:w="0" w:type="auto"/>
            <w:vAlign w:val="center"/>
            <w:hideMark/>
          </w:tcPr>
          <w:p w14:paraId="203704DB" w14:textId="77777777" w:rsidR="00000000" w:rsidRDefault="00405D16">
            <w:pPr>
              <w:spacing w:after="100"/>
              <w:rPr>
                <w:rFonts w:eastAsia="Times New Roman"/>
                <w:sz w:val="20"/>
                <w:szCs w:val="20"/>
              </w:rPr>
            </w:pPr>
          </w:p>
        </w:tc>
        <w:tc>
          <w:tcPr>
            <w:tcW w:w="0" w:type="auto"/>
            <w:gridSpan w:val="3"/>
            <w:vAlign w:val="center"/>
            <w:hideMark/>
          </w:tcPr>
          <w:p w14:paraId="79C2168B" w14:textId="77777777" w:rsidR="00000000" w:rsidRDefault="00405D16">
            <w:pPr>
              <w:spacing w:after="100"/>
              <w:rPr>
                <w:rFonts w:eastAsia="Times New Roman"/>
                <w:sz w:val="20"/>
                <w:szCs w:val="20"/>
              </w:rPr>
            </w:pPr>
          </w:p>
        </w:tc>
        <w:tc>
          <w:tcPr>
            <w:tcW w:w="0" w:type="auto"/>
            <w:gridSpan w:val="3"/>
            <w:vAlign w:val="center"/>
            <w:hideMark/>
          </w:tcPr>
          <w:p w14:paraId="25E7D104" w14:textId="77777777" w:rsidR="00000000" w:rsidRDefault="00405D16">
            <w:pPr>
              <w:spacing w:after="100"/>
              <w:rPr>
                <w:rFonts w:eastAsia="Times New Roman"/>
                <w:sz w:val="20"/>
                <w:szCs w:val="20"/>
              </w:rPr>
            </w:pPr>
          </w:p>
        </w:tc>
        <w:tc>
          <w:tcPr>
            <w:tcW w:w="0" w:type="auto"/>
            <w:gridSpan w:val="3"/>
            <w:vAlign w:val="center"/>
            <w:hideMark/>
          </w:tcPr>
          <w:p w14:paraId="494A41B9" w14:textId="77777777" w:rsidR="00000000" w:rsidRDefault="00405D16">
            <w:pPr>
              <w:spacing w:after="100"/>
              <w:rPr>
                <w:rFonts w:eastAsia="Times New Roman"/>
                <w:sz w:val="20"/>
                <w:szCs w:val="20"/>
              </w:rPr>
            </w:pPr>
          </w:p>
        </w:tc>
        <w:tc>
          <w:tcPr>
            <w:tcW w:w="0" w:type="auto"/>
            <w:gridSpan w:val="3"/>
            <w:vAlign w:val="center"/>
            <w:hideMark/>
          </w:tcPr>
          <w:p w14:paraId="40C823A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0DC35E" w14:textId="77777777" w:rsidR="00000000" w:rsidRDefault="00405D16">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000CE257" w14:textId="77777777" w:rsidR="00000000" w:rsidRDefault="00405D16">
            <w:pPr>
              <w:spacing w:after="100"/>
              <w:jc w:val="right"/>
              <w:rPr>
                <w:rFonts w:eastAsia="Times New Roman"/>
              </w:rPr>
            </w:pPr>
            <w:r>
              <w:rPr>
                <w:rFonts w:eastAsia="Times New Roman"/>
                <w:color w:val="000000"/>
                <w:sz w:val="18"/>
                <w:szCs w:val="18"/>
              </w:rPr>
              <w:t>19</w:t>
            </w:r>
          </w:p>
        </w:tc>
        <w:tc>
          <w:tcPr>
            <w:tcW w:w="0" w:type="auto"/>
            <w:gridSpan w:val="3"/>
            <w:vAlign w:val="center"/>
            <w:hideMark/>
          </w:tcPr>
          <w:p w14:paraId="0953DA62" w14:textId="77777777" w:rsidR="00000000" w:rsidRDefault="00405D16">
            <w:pPr>
              <w:spacing w:after="100"/>
              <w:jc w:val="right"/>
              <w:rPr>
                <w:rFonts w:eastAsia="Times New Roman"/>
              </w:rPr>
            </w:pPr>
          </w:p>
        </w:tc>
        <w:tc>
          <w:tcPr>
            <w:tcW w:w="0" w:type="auto"/>
            <w:gridSpan w:val="2"/>
            <w:vAlign w:val="center"/>
            <w:hideMark/>
          </w:tcPr>
          <w:p w14:paraId="70ED8C9C" w14:textId="77777777" w:rsidR="00000000" w:rsidRDefault="00405D16">
            <w:pPr>
              <w:spacing w:after="100"/>
              <w:rPr>
                <w:rFonts w:eastAsia="Times New Roman"/>
                <w:sz w:val="20"/>
                <w:szCs w:val="20"/>
              </w:rPr>
            </w:pPr>
          </w:p>
        </w:tc>
      </w:tr>
      <w:tr w:rsidR="00000000" w14:paraId="7D6C8C2E" w14:textId="77777777">
        <w:trPr>
          <w:divId w:val="227809696"/>
        </w:trPr>
        <w:tc>
          <w:tcPr>
            <w:tcW w:w="0" w:type="auto"/>
            <w:gridSpan w:val="3"/>
            <w:vAlign w:val="center"/>
            <w:hideMark/>
          </w:tcPr>
          <w:p w14:paraId="5A51807E" w14:textId="77777777" w:rsidR="00000000" w:rsidRDefault="00405D16">
            <w:pPr>
              <w:spacing w:after="100"/>
              <w:rPr>
                <w:rFonts w:eastAsia="Times New Roman"/>
                <w:sz w:val="20"/>
                <w:szCs w:val="20"/>
              </w:rPr>
            </w:pPr>
          </w:p>
        </w:tc>
        <w:tc>
          <w:tcPr>
            <w:tcW w:w="0" w:type="auto"/>
            <w:gridSpan w:val="3"/>
            <w:vAlign w:val="center"/>
            <w:hideMark/>
          </w:tcPr>
          <w:p w14:paraId="03BB486E" w14:textId="77777777" w:rsidR="00000000" w:rsidRDefault="00405D16">
            <w:pPr>
              <w:spacing w:after="100"/>
              <w:rPr>
                <w:rFonts w:eastAsia="Times New Roman"/>
                <w:sz w:val="20"/>
                <w:szCs w:val="20"/>
              </w:rPr>
            </w:pPr>
          </w:p>
        </w:tc>
        <w:tc>
          <w:tcPr>
            <w:tcW w:w="0" w:type="auto"/>
            <w:gridSpan w:val="3"/>
            <w:vAlign w:val="center"/>
            <w:hideMark/>
          </w:tcPr>
          <w:p w14:paraId="42D65198" w14:textId="77777777" w:rsidR="00000000" w:rsidRDefault="00405D16">
            <w:pPr>
              <w:spacing w:after="100"/>
              <w:rPr>
                <w:rFonts w:eastAsia="Times New Roman"/>
                <w:sz w:val="20"/>
                <w:szCs w:val="20"/>
              </w:rPr>
            </w:pPr>
          </w:p>
        </w:tc>
        <w:tc>
          <w:tcPr>
            <w:tcW w:w="0" w:type="auto"/>
            <w:gridSpan w:val="3"/>
            <w:vAlign w:val="center"/>
            <w:hideMark/>
          </w:tcPr>
          <w:p w14:paraId="3304FF73" w14:textId="77777777" w:rsidR="00000000" w:rsidRDefault="00405D16">
            <w:pPr>
              <w:spacing w:after="100"/>
              <w:rPr>
                <w:rFonts w:eastAsia="Times New Roman"/>
                <w:sz w:val="20"/>
                <w:szCs w:val="20"/>
              </w:rPr>
            </w:pPr>
          </w:p>
        </w:tc>
        <w:tc>
          <w:tcPr>
            <w:tcW w:w="0" w:type="auto"/>
            <w:gridSpan w:val="3"/>
            <w:vAlign w:val="center"/>
            <w:hideMark/>
          </w:tcPr>
          <w:p w14:paraId="61C8A056" w14:textId="77777777" w:rsidR="00000000" w:rsidRDefault="00405D16">
            <w:pPr>
              <w:spacing w:after="100"/>
              <w:rPr>
                <w:rFonts w:eastAsia="Times New Roman"/>
                <w:sz w:val="20"/>
                <w:szCs w:val="20"/>
              </w:rPr>
            </w:pPr>
          </w:p>
        </w:tc>
        <w:tc>
          <w:tcPr>
            <w:tcW w:w="0" w:type="auto"/>
            <w:gridSpan w:val="3"/>
            <w:vAlign w:val="center"/>
            <w:hideMark/>
          </w:tcPr>
          <w:p w14:paraId="68BC00F8" w14:textId="77777777" w:rsidR="00000000" w:rsidRDefault="00405D16">
            <w:pPr>
              <w:spacing w:after="100"/>
              <w:rPr>
                <w:rFonts w:eastAsia="Times New Roman"/>
                <w:sz w:val="20"/>
                <w:szCs w:val="20"/>
              </w:rPr>
            </w:pPr>
          </w:p>
        </w:tc>
        <w:tc>
          <w:tcPr>
            <w:tcW w:w="0" w:type="auto"/>
            <w:gridSpan w:val="3"/>
            <w:vAlign w:val="center"/>
            <w:hideMark/>
          </w:tcPr>
          <w:p w14:paraId="0F7E225B" w14:textId="77777777" w:rsidR="00000000" w:rsidRDefault="00405D16">
            <w:pPr>
              <w:spacing w:after="100"/>
              <w:rPr>
                <w:rFonts w:eastAsia="Times New Roman"/>
                <w:sz w:val="20"/>
                <w:szCs w:val="20"/>
              </w:rPr>
            </w:pPr>
          </w:p>
        </w:tc>
        <w:tc>
          <w:tcPr>
            <w:tcW w:w="0" w:type="auto"/>
            <w:gridSpan w:val="3"/>
            <w:vAlign w:val="center"/>
            <w:hideMark/>
          </w:tcPr>
          <w:p w14:paraId="74F8C4FD" w14:textId="77777777" w:rsidR="00000000" w:rsidRDefault="00405D16">
            <w:pPr>
              <w:spacing w:after="100"/>
              <w:rPr>
                <w:rFonts w:eastAsia="Times New Roman"/>
                <w:sz w:val="20"/>
                <w:szCs w:val="20"/>
              </w:rPr>
            </w:pPr>
          </w:p>
        </w:tc>
        <w:tc>
          <w:tcPr>
            <w:tcW w:w="0" w:type="auto"/>
            <w:gridSpan w:val="3"/>
            <w:vAlign w:val="center"/>
            <w:hideMark/>
          </w:tcPr>
          <w:p w14:paraId="06AA0624" w14:textId="77777777" w:rsidR="00000000" w:rsidRDefault="00405D16">
            <w:pPr>
              <w:spacing w:after="100"/>
              <w:rPr>
                <w:rFonts w:eastAsia="Times New Roman"/>
                <w:sz w:val="20"/>
                <w:szCs w:val="20"/>
              </w:rPr>
            </w:pPr>
          </w:p>
        </w:tc>
        <w:tc>
          <w:tcPr>
            <w:tcW w:w="0" w:type="auto"/>
            <w:gridSpan w:val="3"/>
            <w:vAlign w:val="center"/>
            <w:hideMark/>
          </w:tcPr>
          <w:p w14:paraId="43BA39AB" w14:textId="77777777" w:rsidR="00000000" w:rsidRDefault="00405D16">
            <w:pPr>
              <w:spacing w:after="100"/>
              <w:rPr>
                <w:rFonts w:eastAsia="Times New Roman"/>
                <w:sz w:val="20"/>
                <w:szCs w:val="20"/>
              </w:rPr>
            </w:pPr>
          </w:p>
        </w:tc>
        <w:tc>
          <w:tcPr>
            <w:tcW w:w="0" w:type="auto"/>
            <w:gridSpan w:val="3"/>
            <w:vAlign w:val="center"/>
            <w:hideMark/>
          </w:tcPr>
          <w:p w14:paraId="5A431D80" w14:textId="77777777" w:rsidR="00000000" w:rsidRDefault="00405D16">
            <w:pPr>
              <w:spacing w:after="100"/>
              <w:rPr>
                <w:rFonts w:eastAsia="Times New Roman"/>
                <w:sz w:val="20"/>
                <w:szCs w:val="20"/>
              </w:rPr>
            </w:pPr>
          </w:p>
        </w:tc>
        <w:tc>
          <w:tcPr>
            <w:tcW w:w="0" w:type="auto"/>
            <w:vAlign w:val="center"/>
            <w:hideMark/>
          </w:tcPr>
          <w:p w14:paraId="5BCFA32C" w14:textId="77777777" w:rsidR="00000000" w:rsidRDefault="00405D16">
            <w:pPr>
              <w:spacing w:after="100"/>
              <w:rPr>
                <w:rFonts w:eastAsia="Times New Roman"/>
                <w:sz w:val="20"/>
                <w:szCs w:val="20"/>
              </w:rPr>
            </w:pPr>
          </w:p>
        </w:tc>
        <w:tc>
          <w:tcPr>
            <w:tcW w:w="0" w:type="auto"/>
            <w:vAlign w:val="center"/>
            <w:hideMark/>
          </w:tcPr>
          <w:p w14:paraId="47B3A97F" w14:textId="77777777" w:rsidR="00000000" w:rsidRDefault="00405D16">
            <w:pPr>
              <w:spacing w:after="100"/>
              <w:rPr>
                <w:rFonts w:eastAsia="Times New Roman"/>
                <w:sz w:val="20"/>
                <w:szCs w:val="20"/>
              </w:rPr>
            </w:pPr>
          </w:p>
        </w:tc>
        <w:tc>
          <w:tcPr>
            <w:tcW w:w="0" w:type="auto"/>
            <w:gridSpan w:val="3"/>
            <w:vAlign w:val="center"/>
            <w:hideMark/>
          </w:tcPr>
          <w:p w14:paraId="527A5729" w14:textId="77777777" w:rsidR="00000000" w:rsidRDefault="00405D16">
            <w:pPr>
              <w:spacing w:after="100"/>
              <w:rPr>
                <w:rFonts w:eastAsia="Times New Roman"/>
                <w:sz w:val="20"/>
                <w:szCs w:val="20"/>
              </w:rPr>
            </w:pPr>
          </w:p>
        </w:tc>
        <w:tc>
          <w:tcPr>
            <w:tcW w:w="0" w:type="auto"/>
            <w:gridSpan w:val="3"/>
            <w:vAlign w:val="center"/>
            <w:hideMark/>
          </w:tcPr>
          <w:p w14:paraId="3A6E9A8F" w14:textId="77777777" w:rsidR="00000000" w:rsidRDefault="00405D16">
            <w:pPr>
              <w:spacing w:after="100"/>
              <w:rPr>
                <w:rFonts w:eastAsia="Times New Roman"/>
                <w:sz w:val="20"/>
                <w:szCs w:val="20"/>
              </w:rPr>
            </w:pPr>
          </w:p>
        </w:tc>
        <w:tc>
          <w:tcPr>
            <w:tcW w:w="0" w:type="auto"/>
            <w:gridSpan w:val="3"/>
            <w:vAlign w:val="center"/>
            <w:hideMark/>
          </w:tcPr>
          <w:p w14:paraId="402C318C" w14:textId="77777777" w:rsidR="00000000" w:rsidRDefault="00405D16">
            <w:pPr>
              <w:spacing w:after="100"/>
              <w:rPr>
                <w:rFonts w:eastAsia="Times New Roman"/>
                <w:sz w:val="20"/>
                <w:szCs w:val="20"/>
              </w:rPr>
            </w:pPr>
          </w:p>
        </w:tc>
        <w:tc>
          <w:tcPr>
            <w:tcW w:w="0" w:type="auto"/>
            <w:gridSpan w:val="3"/>
            <w:vAlign w:val="center"/>
            <w:hideMark/>
          </w:tcPr>
          <w:p w14:paraId="7A759A47" w14:textId="77777777" w:rsidR="00000000" w:rsidRDefault="00405D16">
            <w:pPr>
              <w:spacing w:after="100"/>
              <w:rPr>
                <w:rFonts w:eastAsia="Times New Roman"/>
                <w:sz w:val="20"/>
                <w:szCs w:val="20"/>
              </w:rPr>
            </w:pPr>
          </w:p>
        </w:tc>
        <w:tc>
          <w:tcPr>
            <w:tcW w:w="0" w:type="auto"/>
            <w:gridSpan w:val="3"/>
            <w:vAlign w:val="center"/>
            <w:hideMark/>
          </w:tcPr>
          <w:p w14:paraId="0CAC8E82" w14:textId="77777777" w:rsidR="00000000" w:rsidRDefault="00405D16">
            <w:pPr>
              <w:spacing w:after="100"/>
              <w:rPr>
                <w:rFonts w:eastAsia="Times New Roman"/>
                <w:sz w:val="20"/>
                <w:szCs w:val="20"/>
              </w:rPr>
            </w:pPr>
          </w:p>
        </w:tc>
        <w:tc>
          <w:tcPr>
            <w:tcW w:w="0" w:type="auto"/>
            <w:gridSpan w:val="3"/>
            <w:vAlign w:val="center"/>
            <w:hideMark/>
          </w:tcPr>
          <w:p w14:paraId="52E3B651" w14:textId="77777777" w:rsidR="00000000" w:rsidRDefault="00405D16">
            <w:pPr>
              <w:spacing w:after="100"/>
              <w:rPr>
                <w:rFonts w:eastAsia="Times New Roman"/>
                <w:sz w:val="20"/>
                <w:szCs w:val="20"/>
              </w:rPr>
            </w:pPr>
          </w:p>
        </w:tc>
        <w:tc>
          <w:tcPr>
            <w:tcW w:w="0" w:type="auto"/>
            <w:gridSpan w:val="3"/>
            <w:vAlign w:val="center"/>
            <w:hideMark/>
          </w:tcPr>
          <w:p w14:paraId="04D617E6" w14:textId="77777777" w:rsidR="00000000" w:rsidRDefault="00405D16">
            <w:pPr>
              <w:spacing w:after="100"/>
              <w:rPr>
                <w:rFonts w:eastAsia="Times New Roman"/>
                <w:sz w:val="20"/>
                <w:szCs w:val="20"/>
              </w:rPr>
            </w:pPr>
          </w:p>
        </w:tc>
        <w:tc>
          <w:tcPr>
            <w:tcW w:w="0" w:type="auto"/>
            <w:gridSpan w:val="2"/>
            <w:vAlign w:val="center"/>
            <w:hideMark/>
          </w:tcPr>
          <w:p w14:paraId="245F7732" w14:textId="77777777" w:rsidR="00000000" w:rsidRDefault="00405D16">
            <w:pPr>
              <w:spacing w:after="100"/>
              <w:rPr>
                <w:rFonts w:eastAsia="Times New Roman"/>
                <w:sz w:val="20"/>
                <w:szCs w:val="20"/>
              </w:rPr>
            </w:pPr>
          </w:p>
        </w:tc>
      </w:tr>
      <w:tr w:rsidR="00000000" w14:paraId="41E72D10" w14:textId="77777777">
        <w:trPr>
          <w:divId w:val="227809696"/>
        </w:trPr>
        <w:tc>
          <w:tcPr>
            <w:tcW w:w="0" w:type="auto"/>
            <w:gridSpan w:val="3"/>
            <w:vAlign w:val="center"/>
            <w:hideMark/>
          </w:tcPr>
          <w:p w14:paraId="484ACACE" w14:textId="77777777" w:rsidR="00000000" w:rsidRDefault="00405D16">
            <w:pPr>
              <w:spacing w:after="100"/>
              <w:rPr>
                <w:rFonts w:eastAsia="Times New Roman"/>
                <w:sz w:val="20"/>
                <w:szCs w:val="20"/>
              </w:rPr>
            </w:pPr>
          </w:p>
        </w:tc>
        <w:tc>
          <w:tcPr>
            <w:tcW w:w="0" w:type="auto"/>
            <w:gridSpan w:val="3"/>
            <w:vAlign w:val="center"/>
            <w:hideMark/>
          </w:tcPr>
          <w:p w14:paraId="785311AE" w14:textId="77777777" w:rsidR="00000000" w:rsidRDefault="00405D16">
            <w:pPr>
              <w:spacing w:after="100"/>
              <w:rPr>
                <w:rFonts w:eastAsia="Times New Roman"/>
                <w:sz w:val="20"/>
                <w:szCs w:val="20"/>
              </w:rPr>
            </w:pPr>
          </w:p>
        </w:tc>
        <w:tc>
          <w:tcPr>
            <w:tcW w:w="0" w:type="auto"/>
            <w:gridSpan w:val="3"/>
            <w:vAlign w:val="center"/>
            <w:hideMark/>
          </w:tcPr>
          <w:p w14:paraId="25DA400A" w14:textId="77777777" w:rsidR="00000000" w:rsidRDefault="00405D16">
            <w:pPr>
              <w:spacing w:after="100"/>
              <w:rPr>
                <w:rFonts w:eastAsia="Times New Roman"/>
                <w:sz w:val="20"/>
                <w:szCs w:val="20"/>
              </w:rPr>
            </w:pPr>
          </w:p>
        </w:tc>
        <w:tc>
          <w:tcPr>
            <w:tcW w:w="0" w:type="auto"/>
            <w:gridSpan w:val="3"/>
            <w:vAlign w:val="center"/>
            <w:hideMark/>
          </w:tcPr>
          <w:p w14:paraId="40D794FA" w14:textId="77777777" w:rsidR="00000000" w:rsidRDefault="00405D16">
            <w:pPr>
              <w:spacing w:after="100"/>
              <w:rPr>
                <w:rFonts w:eastAsia="Times New Roman"/>
                <w:sz w:val="20"/>
                <w:szCs w:val="20"/>
              </w:rPr>
            </w:pPr>
          </w:p>
        </w:tc>
        <w:tc>
          <w:tcPr>
            <w:tcW w:w="0" w:type="auto"/>
            <w:gridSpan w:val="3"/>
            <w:vAlign w:val="center"/>
            <w:hideMark/>
          </w:tcPr>
          <w:p w14:paraId="297B1064" w14:textId="77777777" w:rsidR="00000000" w:rsidRDefault="00405D16">
            <w:pPr>
              <w:spacing w:after="100"/>
              <w:rPr>
                <w:rFonts w:eastAsia="Times New Roman"/>
                <w:sz w:val="20"/>
                <w:szCs w:val="20"/>
              </w:rPr>
            </w:pPr>
          </w:p>
        </w:tc>
        <w:tc>
          <w:tcPr>
            <w:tcW w:w="0" w:type="auto"/>
            <w:gridSpan w:val="3"/>
            <w:vAlign w:val="center"/>
            <w:hideMark/>
          </w:tcPr>
          <w:p w14:paraId="7130906F" w14:textId="77777777" w:rsidR="00000000" w:rsidRDefault="00405D16">
            <w:pPr>
              <w:spacing w:after="100"/>
              <w:rPr>
                <w:rFonts w:eastAsia="Times New Roman"/>
                <w:sz w:val="20"/>
                <w:szCs w:val="20"/>
              </w:rPr>
            </w:pPr>
          </w:p>
        </w:tc>
        <w:tc>
          <w:tcPr>
            <w:tcW w:w="0" w:type="auto"/>
            <w:gridSpan w:val="3"/>
            <w:vAlign w:val="center"/>
            <w:hideMark/>
          </w:tcPr>
          <w:p w14:paraId="6F21F6CB" w14:textId="77777777" w:rsidR="00000000" w:rsidRDefault="00405D16">
            <w:pPr>
              <w:spacing w:after="100"/>
              <w:rPr>
                <w:rFonts w:eastAsia="Times New Roman"/>
                <w:sz w:val="20"/>
                <w:szCs w:val="20"/>
              </w:rPr>
            </w:pPr>
          </w:p>
        </w:tc>
        <w:tc>
          <w:tcPr>
            <w:tcW w:w="0" w:type="auto"/>
            <w:gridSpan w:val="3"/>
            <w:vAlign w:val="center"/>
            <w:hideMark/>
          </w:tcPr>
          <w:p w14:paraId="0505CF59" w14:textId="77777777" w:rsidR="00000000" w:rsidRDefault="00405D16">
            <w:pPr>
              <w:spacing w:after="100"/>
              <w:rPr>
                <w:rFonts w:eastAsia="Times New Roman"/>
                <w:sz w:val="20"/>
                <w:szCs w:val="20"/>
              </w:rPr>
            </w:pPr>
          </w:p>
        </w:tc>
        <w:tc>
          <w:tcPr>
            <w:tcW w:w="0" w:type="auto"/>
            <w:gridSpan w:val="3"/>
            <w:vAlign w:val="center"/>
            <w:hideMark/>
          </w:tcPr>
          <w:p w14:paraId="4AF037B6" w14:textId="77777777" w:rsidR="00000000" w:rsidRDefault="00405D16">
            <w:pPr>
              <w:spacing w:after="100"/>
              <w:rPr>
                <w:rFonts w:eastAsia="Times New Roman"/>
                <w:sz w:val="20"/>
                <w:szCs w:val="20"/>
              </w:rPr>
            </w:pPr>
          </w:p>
        </w:tc>
        <w:tc>
          <w:tcPr>
            <w:tcW w:w="0" w:type="auto"/>
            <w:gridSpan w:val="3"/>
            <w:vAlign w:val="center"/>
            <w:hideMark/>
          </w:tcPr>
          <w:p w14:paraId="7C962BA9" w14:textId="77777777" w:rsidR="00000000" w:rsidRDefault="00405D16">
            <w:pPr>
              <w:spacing w:after="100"/>
              <w:rPr>
                <w:rFonts w:eastAsia="Times New Roman"/>
                <w:sz w:val="20"/>
                <w:szCs w:val="20"/>
              </w:rPr>
            </w:pPr>
          </w:p>
        </w:tc>
        <w:tc>
          <w:tcPr>
            <w:tcW w:w="0" w:type="auto"/>
            <w:gridSpan w:val="3"/>
            <w:vAlign w:val="center"/>
            <w:hideMark/>
          </w:tcPr>
          <w:p w14:paraId="2815FDD6" w14:textId="77777777" w:rsidR="00000000" w:rsidRDefault="00405D16">
            <w:pPr>
              <w:spacing w:after="100"/>
              <w:rPr>
                <w:rFonts w:eastAsia="Times New Roman"/>
                <w:sz w:val="20"/>
                <w:szCs w:val="20"/>
              </w:rPr>
            </w:pPr>
          </w:p>
        </w:tc>
        <w:tc>
          <w:tcPr>
            <w:tcW w:w="0" w:type="auto"/>
            <w:vAlign w:val="center"/>
            <w:hideMark/>
          </w:tcPr>
          <w:p w14:paraId="6EB7D5ED" w14:textId="77777777" w:rsidR="00000000" w:rsidRDefault="00405D16">
            <w:pPr>
              <w:spacing w:after="100"/>
              <w:rPr>
                <w:rFonts w:eastAsia="Times New Roman"/>
                <w:sz w:val="20"/>
                <w:szCs w:val="20"/>
              </w:rPr>
            </w:pPr>
          </w:p>
        </w:tc>
        <w:tc>
          <w:tcPr>
            <w:tcW w:w="0" w:type="auto"/>
            <w:vAlign w:val="center"/>
            <w:hideMark/>
          </w:tcPr>
          <w:p w14:paraId="1D96E77A" w14:textId="77777777" w:rsidR="00000000" w:rsidRDefault="00405D16">
            <w:pPr>
              <w:spacing w:after="100"/>
              <w:rPr>
                <w:rFonts w:eastAsia="Times New Roman"/>
                <w:sz w:val="20"/>
                <w:szCs w:val="20"/>
              </w:rPr>
            </w:pPr>
          </w:p>
        </w:tc>
        <w:tc>
          <w:tcPr>
            <w:tcW w:w="0" w:type="auto"/>
            <w:gridSpan w:val="3"/>
            <w:vAlign w:val="center"/>
            <w:hideMark/>
          </w:tcPr>
          <w:p w14:paraId="413AE8E5" w14:textId="77777777" w:rsidR="00000000" w:rsidRDefault="00405D16">
            <w:pPr>
              <w:spacing w:after="100"/>
              <w:rPr>
                <w:rFonts w:eastAsia="Times New Roman"/>
                <w:sz w:val="20"/>
                <w:szCs w:val="20"/>
              </w:rPr>
            </w:pPr>
          </w:p>
        </w:tc>
        <w:tc>
          <w:tcPr>
            <w:tcW w:w="0" w:type="auto"/>
            <w:gridSpan w:val="3"/>
            <w:vAlign w:val="center"/>
            <w:hideMark/>
          </w:tcPr>
          <w:p w14:paraId="0C056E2A" w14:textId="77777777" w:rsidR="00000000" w:rsidRDefault="00405D16">
            <w:pPr>
              <w:spacing w:after="100"/>
              <w:rPr>
                <w:rFonts w:eastAsia="Times New Roman"/>
                <w:sz w:val="20"/>
                <w:szCs w:val="20"/>
              </w:rPr>
            </w:pPr>
          </w:p>
        </w:tc>
        <w:tc>
          <w:tcPr>
            <w:tcW w:w="0" w:type="auto"/>
            <w:gridSpan w:val="3"/>
            <w:vAlign w:val="center"/>
            <w:hideMark/>
          </w:tcPr>
          <w:p w14:paraId="475FF3FC" w14:textId="77777777" w:rsidR="00000000" w:rsidRDefault="00405D16">
            <w:pPr>
              <w:spacing w:after="100"/>
              <w:rPr>
                <w:rFonts w:eastAsia="Times New Roman"/>
                <w:sz w:val="20"/>
                <w:szCs w:val="20"/>
              </w:rPr>
            </w:pPr>
          </w:p>
        </w:tc>
        <w:tc>
          <w:tcPr>
            <w:tcW w:w="0" w:type="auto"/>
            <w:gridSpan w:val="3"/>
            <w:vAlign w:val="center"/>
            <w:hideMark/>
          </w:tcPr>
          <w:p w14:paraId="471FE343" w14:textId="77777777" w:rsidR="00000000" w:rsidRDefault="00405D16">
            <w:pPr>
              <w:spacing w:after="100"/>
              <w:rPr>
                <w:rFonts w:eastAsia="Times New Roman"/>
                <w:sz w:val="20"/>
                <w:szCs w:val="20"/>
              </w:rPr>
            </w:pPr>
          </w:p>
        </w:tc>
        <w:tc>
          <w:tcPr>
            <w:tcW w:w="0" w:type="auto"/>
            <w:gridSpan w:val="3"/>
            <w:vAlign w:val="center"/>
            <w:hideMark/>
          </w:tcPr>
          <w:p w14:paraId="2D5E5D94" w14:textId="77777777" w:rsidR="00000000" w:rsidRDefault="00405D16">
            <w:pPr>
              <w:spacing w:after="100"/>
              <w:rPr>
                <w:rFonts w:eastAsia="Times New Roman"/>
                <w:sz w:val="20"/>
                <w:szCs w:val="20"/>
              </w:rPr>
            </w:pPr>
          </w:p>
        </w:tc>
        <w:tc>
          <w:tcPr>
            <w:tcW w:w="0" w:type="auto"/>
            <w:gridSpan w:val="3"/>
            <w:vAlign w:val="center"/>
            <w:hideMark/>
          </w:tcPr>
          <w:p w14:paraId="1838C13F" w14:textId="77777777" w:rsidR="00000000" w:rsidRDefault="00405D16">
            <w:pPr>
              <w:spacing w:after="100"/>
              <w:rPr>
                <w:rFonts w:eastAsia="Times New Roman"/>
                <w:sz w:val="20"/>
                <w:szCs w:val="20"/>
              </w:rPr>
            </w:pPr>
          </w:p>
        </w:tc>
        <w:tc>
          <w:tcPr>
            <w:tcW w:w="0" w:type="auto"/>
            <w:gridSpan w:val="3"/>
            <w:vAlign w:val="center"/>
            <w:hideMark/>
          </w:tcPr>
          <w:p w14:paraId="545A567E" w14:textId="77777777" w:rsidR="00000000" w:rsidRDefault="00405D16">
            <w:pPr>
              <w:spacing w:after="100"/>
              <w:rPr>
                <w:rFonts w:eastAsia="Times New Roman"/>
                <w:sz w:val="20"/>
                <w:szCs w:val="20"/>
              </w:rPr>
            </w:pPr>
          </w:p>
        </w:tc>
        <w:tc>
          <w:tcPr>
            <w:tcW w:w="0" w:type="auto"/>
            <w:gridSpan w:val="2"/>
            <w:vAlign w:val="center"/>
            <w:hideMark/>
          </w:tcPr>
          <w:p w14:paraId="28B4F9FD" w14:textId="77777777" w:rsidR="00000000" w:rsidRDefault="00405D16">
            <w:pPr>
              <w:spacing w:after="100"/>
              <w:rPr>
                <w:rFonts w:eastAsia="Times New Roman"/>
                <w:sz w:val="20"/>
                <w:szCs w:val="20"/>
              </w:rPr>
            </w:pPr>
          </w:p>
        </w:tc>
      </w:tr>
      <w:tr w:rsidR="00000000" w14:paraId="4C804B6B" w14:textId="77777777">
        <w:trPr>
          <w:divId w:val="227809696"/>
        </w:trPr>
        <w:tc>
          <w:tcPr>
            <w:tcW w:w="0" w:type="auto"/>
            <w:gridSpan w:val="3"/>
            <w:vAlign w:val="center"/>
            <w:hideMark/>
          </w:tcPr>
          <w:p w14:paraId="5CB88398" w14:textId="77777777" w:rsidR="00000000" w:rsidRDefault="00405D16">
            <w:pPr>
              <w:spacing w:after="100"/>
              <w:rPr>
                <w:rFonts w:eastAsia="Times New Roman"/>
                <w:sz w:val="20"/>
                <w:szCs w:val="20"/>
              </w:rPr>
            </w:pPr>
          </w:p>
        </w:tc>
        <w:tc>
          <w:tcPr>
            <w:tcW w:w="0" w:type="auto"/>
            <w:gridSpan w:val="3"/>
            <w:vAlign w:val="center"/>
            <w:hideMark/>
          </w:tcPr>
          <w:p w14:paraId="2D9D54AF" w14:textId="77777777" w:rsidR="00000000" w:rsidRDefault="00405D16">
            <w:pPr>
              <w:spacing w:after="100"/>
              <w:rPr>
                <w:rFonts w:eastAsia="Times New Roman"/>
                <w:sz w:val="20"/>
                <w:szCs w:val="20"/>
              </w:rPr>
            </w:pPr>
          </w:p>
        </w:tc>
        <w:tc>
          <w:tcPr>
            <w:tcW w:w="0" w:type="auto"/>
            <w:gridSpan w:val="3"/>
            <w:vAlign w:val="center"/>
            <w:hideMark/>
          </w:tcPr>
          <w:p w14:paraId="07C677B9" w14:textId="77777777" w:rsidR="00000000" w:rsidRDefault="00405D16">
            <w:pPr>
              <w:spacing w:after="100"/>
              <w:rPr>
                <w:rFonts w:eastAsia="Times New Roman"/>
                <w:sz w:val="20"/>
                <w:szCs w:val="20"/>
              </w:rPr>
            </w:pPr>
          </w:p>
        </w:tc>
        <w:tc>
          <w:tcPr>
            <w:tcW w:w="0" w:type="auto"/>
            <w:gridSpan w:val="3"/>
            <w:vAlign w:val="center"/>
            <w:hideMark/>
          </w:tcPr>
          <w:p w14:paraId="63EBA5E2" w14:textId="77777777" w:rsidR="00000000" w:rsidRDefault="00405D16">
            <w:pPr>
              <w:spacing w:after="100"/>
              <w:rPr>
                <w:rFonts w:eastAsia="Times New Roman"/>
                <w:sz w:val="20"/>
                <w:szCs w:val="20"/>
              </w:rPr>
            </w:pPr>
          </w:p>
        </w:tc>
        <w:tc>
          <w:tcPr>
            <w:tcW w:w="0" w:type="auto"/>
            <w:gridSpan w:val="3"/>
            <w:vAlign w:val="center"/>
            <w:hideMark/>
          </w:tcPr>
          <w:p w14:paraId="6247B959" w14:textId="77777777" w:rsidR="00000000" w:rsidRDefault="00405D16">
            <w:pPr>
              <w:spacing w:after="100"/>
              <w:rPr>
                <w:rFonts w:eastAsia="Times New Roman"/>
                <w:sz w:val="20"/>
                <w:szCs w:val="20"/>
              </w:rPr>
            </w:pPr>
          </w:p>
        </w:tc>
        <w:tc>
          <w:tcPr>
            <w:tcW w:w="0" w:type="auto"/>
            <w:gridSpan w:val="3"/>
            <w:vAlign w:val="center"/>
            <w:hideMark/>
          </w:tcPr>
          <w:p w14:paraId="749E7AE6" w14:textId="77777777" w:rsidR="00000000" w:rsidRDefault="00405D16">
            <w:pPr>
              <w:spacing w:after="100"/>
              <w:rPr>
                <w:rFonts w:eastAsia="Times New Roman"/>
                <w:sz w:val="20"/>
                <w:szCs w:val="20"/>
              </w:rPr>
            </w:pPr>
          </w:p>
        </w:tc>
        <w:tc>
          <w:tcPr>
            <w:tcW w:w="0" w:type="auto"/>
            <w:gridSpan w:val="3"/>
            <w:vAlign w:val="center"/>
            <w:hideMark/>
          </w:tcPr>
          <w:p w14:paraId="7EDDB526" w14:textId="77777777" w:rsidR="00000000" w:rsidRDefault="00405D16">
            <w:pPr>
              <w:spacing w:after="100"/>
              <w:rPr>
                <w:rFonts w:eastAsia="Times New Roman"/>
                <w:sz w:val="20"/>
                <w:szCs w:val="20"/>
              </w:rPr>
            </w:pPr>
          </w:p>
        </w:tc>
        <w:tc>
          <w:tcPr>
            <w:tcW w:w="0" w:type="auto"/>
            <w:gridSpan w:val="3"/>
            <w:vAlign w:val="center"/>
            <w:hideMark/>
          </w:tcPr>
          <w:p w14:paraId="1A7B6CB7" w14:textId="77777777" w:rsidR="00000000" w:rsidRDefault="00405D16">
            <w:pPr>
              <w:spacing w:after="100"/>
              <w:rPr>
                <w:rFonts w:eastAsia="Times New Roman"/>
                <w:sz w:val="20"/>
                <w:szCs w:val="20"/>
              </w:rPr>
            </w:pPr>
          </w:p>
        </w:tc>
        <w:tc>
          <w:tcPr>
            <w:tcW w:w="0" w:type="auto"/>
            <w:gridSpan w:val="3"/>
            <w:vAlign w:val="center"/>
            <w:hideMark/>
          </w:tcPr>
          <w:p w14:paraId="0C067057" w14:textId="77777777" w:rsidR="00000000" w:rsidRDefault="00405D16">
            <w:pPr>
              <w:spacing w:after="100"/>
              <w:rPr>
                <w:rFonts w:eastAsia="Times New Roman"/>
                <w:sz w:val="20"/>
                <w:szCs w:val="20"/>
              </w:rPr>
            </w:pPr>
          </w:p>
        </w:tc>
        <w:tc>
          <w:tcPr>
            <w:tcW w:w="0" w:type="auto"/>
            <w:gridSpan w:val="3"/>
            <w:vAlign w:val="center"/>
            <w:hideMark/>
          </w:tcPr>
          <w:p w14:paraId="6E10747F" w14:textId="77777777" w:rsidR="00000000" w:rsidRDefault="00405D16">
            <w:pPr>
              <w:spacing w:after="100"/>
              <w:rPr>
                <w:rFonts w:eastAsia="Times New Roman"/>
                <w:sz w:val="20"/>
                <w:szCs w:val="20"/>
              </w:rPr>
            </w:pPr>
          </w:p>
        </w:tc>
        <w:tc>
          <w:tcPr>
            <w:tcW w:w="0" w:type="auto"/>
            <w:gridSpan w:val="3"/>
            <w:vAlign w:val="center"/>
            <w:hideMark/>
          </w:tcPr>
          <w:p w14:paraId="08522380" w14:textId="77777777" w:rsidR="00000000" w:rsidRDefault="00405D16">
            <w:pPr>
              <w:spacing w:after="100"/>
              <w:rPr>
                <w:rFonts w:eastAsia="Times New Roman"/>
                <w:sz w:val="20"/>
                <w:szCs w:val="20"/>
              </w:rPr>
            </w:pPr>
          </w:p>
        </w:tc>
        <w:tc>
          <w:tcPr>
            <w:tcW w:w="0" w:type="auto"/>
            <w:vAlign w:val="center"/>
            <w:hideMark/>
          </w:tcPr>
          <w:p w14:paraId="5228A69D" w14:textId="77777777" w:rsidR="00000000" w:rsidRDefault="00405D16">
            <w:pPr>
              <w:spacing w:after="100"/>
              <w:rPr>
                <w:rFonts w:eastAsia="Times New Roman"/>
                <w:sz w:val="20"/>
                <w:szCs w:val="20"/>
              </w:rPr>
            </w:pPr>
          </w:p>
        </w:tc>
        <w:tc>
          <w:tcPr>
            <w:tcW w:w="0" w:type="auto"/>
            <w:vAlign w:val="center"/>
            <w:hideMark/>
          </w:tcPr>
          <w:p w14:paraId="7C8CA8F4" w14:textId="77777777" w:rsidR="00000000" w:rsidRDefault="00405D16">
            <w:pPr>
              <w:spacing w:after="100"/>
              <w:rPr>
                <w:rFonts w:eastAsia="Times New Roman"/>
                <w:sz w:val="20"/>
                <w:szCs w:val="20"/>
              </w:rPr>
            </w:pPr>
          </w:p>
        </w:tc>
        <w:tc>
          <w:tcPr>
            <w:tcW w:w="0" w:type="auto"/>
            <w:gridSpan w:val="3"/>
            <w:vAlign w:val="center"/>
            <w:hideMark/>
          </w:tcPr>
          <w:p w14:paraId="3B3A8344" w14:textId="77777777" w:rsidR="00000000" w:rsidRDefault="00405D16">
            <w:pPr>
              <w:spacing w:after="100"/>
              <w:rPr>
                <w:rFonts w:eastAsia="Times New Roman"/>
                <w:sz w:val="20"/>
                <w:szCs w:val="20"/>
              </w:rPr>
            </w:pPr>
          </w:p>
        </w:tc>
        <w:tc>
          <w:tcPr>
            <w:tcW w:w="0" w:type="auto"/>
            <w:gridSpan w:val="3"/>
            <w:vAlign w:val="center"/>
            <w:hideMark/>
          </w:tcPr>
          <w:p w14:paraId="4ECA8D76" w14:textId="77777777" w:rsidR="00000000" w:rsidRDefault="00405D16">
            <w:pPr>
              <w:spacing w:after="100"/>
              <w:rPr>
                <w:rFonts w:eastAsia="Times New Roman"/>
                <w:sz w:val="20"/>
                <w:szCs w:val="20"/>
              </w:rPr>
            </w:pPr>
          </w:p>
        </w:tc>
        <w:tc>
          <w:tcPr>
            <w:tcW w:w="0" w:type="auto"/>
            <w:gridSpan w:val="3"/>
            <w:vAlign w:val="center"/>
            <w:hideMark/>
          </w:tcPr>
          <w:p w14:paraId="4BA1C5D4" w14:textId="77777777" w:rsidR="00000000" w:rsidRDefault="00405D16">
            <w:pPr>
              <w:spacing w:after="100"/>
              <w:rPr>
                <w:rFonts w:eastAsia="Times New Roman"/>
                <w:sz w:val="20"/>
                <w:szCs w:val="20"/>
              </w:rPr>
            </w:pPr>
          </w:p>
        </w:tc>
        <w:tc>
          <w:tcPr>
            <w:tcW w:w="0" w:type="auto"/>
            <w:gridSpan w:val="3"/>
            <w:vAlign w:val="center"/>
            <w:hideMark/>
          </w:tcPr>
          <w:p w14:paraId="182F2751" w14:textId="77777777" w:rsidR="00000000" w:rsidRDefault="00405D16">
            <w:pPr>
              <w:spacing w:after="100"/>
              <w:rPr>
                <w:rFonts w:eastAsia="Times New Roman"/>
                <w:sz w:val="20"/>
                <w:szCs w:val="20"/>
              </w:rPr>
            </w:pPr>
          </w:p>
        </w:tc>
        <w:tc>
          <w:tcPr>
            <w:tcW w:w="0" w:type="auto"/>
            <w:gridSpan w:val="3"/>
            <w:vAlign w:val="center"/>
            <w:hideMark/>
          </w:tcPr>
          <w:p w14:paraId="640404F9" w14:textId="77777777" w:rsidR="00000000" w:rsidRDefault="00405D16">
            <w:pPr>
              <w:spacing w:after="100"/>
              <w:rPr>
                <w:rFonts w:eastAsia="Times New Roman"/>
                <w:sz w:val="20"/>
                <w:szCs w:val="20"/>
              </w:rPr>
            </w:pPr>
          </w:p>
        </w:tc>
        <w:tc>
          <w:tcPr>
            <w:tcW w:w="0" w:type="auto"/>
            <w:gridSpan w:val="3"/>
            <w:vAlign w:val="center"/>
            <w:hideMark/>
          </w:tcPr>
          <w:p w14:paraId="093FA74B" w14:textId="77777777" w:rsidR="00000000" w:rsidRDefault="00405D16">
            <w:pPr>
              <w:spacing w:after="100"/>
              <w:rPr>
                <w:rFonts w:eastAsia="Times New Roman"/>
                <w:sz w:val="20"/>
                <w:szCs w:val="20"/>
              </w:rPr>
            </w:pPr>
          </w:p>
        </w:tc>
        <w:tc>
          <w:tcPr>
            <w:tcW w:w="0" w:type="auto"/>
            <w:gridSpan w:val="3"/>
            <w:vAlign w:val="center"/>
            <w:hideMark/>
          </w:tcPr>
          <w:p w14:paraId="6A018BC3" w14:textId="77777777" w:rsidR="00000000" w:rsidRDefault="00405D16">
            <w:pPr>
              <w:spacing w:after="100"/>
              <w:rPr>
                <w:rFonts w:eastAsia="Times New Roman"/>
                <w:sz w:val="20"/>
                <w:szCs w:val="20"/>
              </w:rPr>
            </w:pPr>
          </w:p>
        </w:tc>
        <w:tc>
          <w:tcPr>
            <w:tcW w:w="0" w:type="auto"/>
            <w:gridSpan w:val="2"/>
            <w:vAlign w:val="center"/>
            <w:hideMark/>
          </w:tcPr>
          <w:p w14:paraId="585B956D" w14:textId="77777777" w:rsidR="00000000" w:rsidRDefault="00405D16">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2E2EB791" w14:textId="77777777">
        <w:trPr>
          <w:jc w:val="center"/>
        </w:trPr>
        <w:tc>
          <w:tcPr>
            <w:tcW w:w="50" w:type="pct"/>
            <w:vAlign w:val="center"/>
            <w:hideMark/>
          </w:tcPr>
          <w:p w14:paraId="70DA1306" w14:textId="77777777" w:rsidR="00000000" w:rsidRDefault="00405D16">
            <w:pPr>
              <w:rPr>
                <w:rFonts w:eastAsia="Times New Roman"/>
              </w:rPr>
            </w:pPr>
          </w:p>
        </w:tc>
        <w:tc>
          <w:tcPr>
            <w:tcW w:w="1606" w:type="pct"/>
            <w:vAlign w:val="center"/>
            <w:hideMark/>
          </w:tcPr>
          <w:p w14:paraId="7918AE22" w14:textId="77777777" w:rsidR="00000000" w:rsidRDefault="00405D16">
            <w:pPr>
              <w:spacing w:after="100"/>
              <w:rPr>
                <w:rFonts w:eastAsia="Times New Roman"/>
                <w:sz w:val="20"/>
                <w:szCs w:val="20"/>
              </w:rPr>
            </w:pPr>
          </w:p>
        </w:tc>
        <w:tc>
          <w:tcPr>
            <w:tcW w:w="5" w:type="pct"/>
            <w:vAlign w:val="center"/>
            <w:hideMark/>
          </w:tcPr>
          <w:p w14:paraId="42DD505A" w14:textId="77777777" w:rsidR="00000000" w:rsidRDefault="00405D16">
            <w:pPr>
              <w:spacing w:after="100"/>
              <w:rPr>
                <w:rFonts w:eastAsia="Times New Roman"/>
                <w:sz w:val="20"/>
                <w:szCs w:val="20"/>
              </w:rPr>
            </w:pPr>
          </w:p>
        </w:tc>
        <w:tc>
          <w:tcPr>
            <w:tcW w:w="50" w:type="pct"/>
            <w:vAlign w:val="center"/>
            <w:hideMark/>
          </w:tcPr>
          <w:p w14:paraId="3F606C3B" w14:textId="77777777" w:rsidR="00000000" w:rsidRDefault="00405D16">
            <w:pPr>
              <w:spacing w:after="100"/>
              <w:rPr>
                <w:rFonts w:eastAsia="Times New Roman"/>
                <w:sz w:val="20"/>
                <w:szCs w:val="20"/>
              </w:rPr>
            </w:pPr>
          </w:p>
        </w:tc>
        <w:tc>
          <w:tcPr>
            <w:tcW w:w="1614" w:type="pct"/>
            <w:vAlign w:val="center"/>
            <w:hideMark/>
          </w:tcPr>
          <w:p w14:paraId="7124DD9C" w14:textId="77777777" w:rsidR="00000000" w:rsidRDefault="00405D16">
            <w:pPr>
              <w:spacing w:after="100"/>
              <w:rPr>
                <w:rFonts w:eastAsia="Times New Roman"/>
                <w:sz w:val="20"/>
                <w:szCs w:val="20"/>
              </w:rPr>
            </w:pPr>
          </w:p>
        </w:tc>
        <w:tc>
          <w:tcPr>
            <w:tcW w:w="5" w:type="pct"/>
            <w:vAlign w:val="center"/>
            <w:hideMark/>
          </w:tcPr>
          <w:p w14:paraId="2E56A322" w14:textId="77777777" w:rsidR="00000000" w:rsidRDefault="00405D16">
            <w:pPr>
              <w:spacing w:after="100"/>
              <w:rPr>
                <w:rFonts w:eastAsia="Times New Roman"/>
                <w:sz w:val="20"/>
                <w:szCs w:val="20"/>
              </w:rPr>
            </w:pPr>
          </w:p>
        </w:tc>
        <w:tc>
          <w:tcPr>
            <w:tcW w:w="50" w:type="pct"/>
            <w:vAlign w:val="center"/>
            <w:hideMark/>
          </w:tcPr>
          <w:p w14:paraId="4CBD13C3" w14:textId="77777777" w:rsidR="00000000" w:rsidRDefault="00405D16">
            <w:pPr>
              <w:spacing w:after="100"/>
              <w:rPr>
                <w:rFonts w:eastAsia="Times New Roman"/>
                <w:sz w:val="20"/>
                <w:szCs w:val="20"/>
              </w:rPr>
            </w:pPr>
          </w:p>
        </w:tc>
        <w:tc>
          <w:tcPr>
            <w:tcW w:w="1614" w:type="pct"/>
            <w:vAlign w:val="center"/>
            <w:hideMark/>
          </w:tcPr>
          <w:p w14:paraId="0CABF377" w14:textId="77777777" w:rsidR="00000000" w:rsidRDefault="00405D16">
            <w:pPr>
              <w:spacing w:after="100"/>
              <w:rPr>
                <w:rFonts w:eastAsia="Times New Roman"/>
                <w:sz w:val="20"/>
                <w:szCs w:val="20"/>
              </w:rPr>
            </w:pPr>
          </w:p>
        </w:tc>
        <w:tc>
          <w:tcPr>
            <w:tcW w:w="5" w:type="pct"/>
            <w:vAlign w:val="center"/>
            <w:hideMark/>
          </w:tcPr>
          <w:p w14:paraId="3BA7C49E" w14:textId="77777777" w:rsidR="00000000" w:rsidRDefault="00405D16">
            <w:pPr>
              <w:spacing w:after="100"/>
              <w:rPr>
                <w:rFonts w:eastAsia="Times New Roman"/>
                <w:sz w:val="20"/>
                <w:szCs w:val="20"/>
              </w:rPr>
            </w:pPr>
          </w:p>
        </w:tc>
      </w:tr>
      <w:tr w:rsidR="00000000" w14:paraId="60CA5420" w14:textId="77777777">
        <w:trPr>
          <w:trHeight w:val="300"/>
          <w:jc w:val="center"/>
        </w:trPr>
        <w:tc>
          <w:tcPr>
            <w:tcW w:w="0" w:type="auto"/>
            <w:gridSpan w:val="9"/>
            <w:tcMar>
              <w:top w:w="0" w:type="dxa"/>
              <w:left w:w="20" w:type="dxa"/>
              <w:bottom w:w="0" w:type="dxa"/>
              <w:right w:w="20" w:type="dxa"/>
            </w:tcMar>
            <w:vAlign w:val="center"/>
            <w:hideMark/>
          </w:tcPr>
          <w:p w14:paraId="51450B2B" w14:textId="77777777" w:rsidR="00000000" w:rsidRDefault="00405D16">
            <w:pPr>
              <w:spacing w:after="100"/>
              <w:rPr>
                <w:rFonts w:eastAsia="Times New Roman"/>
                <w:sz w:val="20"/>
                <w:szCs w:val="20"/>
              </w:rPr>
            </w:pPr>
          </w:p>
        </w:tc>
      </w:tr>
      <w:tr w:rsidR="00000000" w14:paraId="7A3D19A2" w14:textId="77777777">
        <w:trPr>
          <w:jc w:val="center"/>
        </w:trPr>
        <w:tc>
          <w:tcPr>
            <w:tcW w:w="0" w:type="auto"/>
            <w:gridSpan w:val="3"/>
            <w:tcMar>
              <w:top w:w="0" w:type="dxa"/>
              <w:left w:w="20" w:type="dxa"/>
              <w:bottom w:w="0" w:type="dxa"/>
              <w:right w:w="20" w:type="dxa"/>
            </w:tcMar>
            <w:vAlign w:val="center"/>
            <w:hideMark/>
          </w:tcPr>
          <w:p w14:paraId="4D0A31DB"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B277D6C" w14:textId="77777777" w:rsidR="00000000" w:rsidRDefault="00405D16">
            <w:pPr>
              <w:spacing w:after="100"/>
              <w:jc w:val="center"/>
              <w:rPr>
                <w:rFonts w:eastAsia="Times New Roman"/>
              </w:rPr>
            </w:pPr>
            <w:r>
              <w:rPr>
                <w:rFonts w:eastAsia="Times New Roman"/>
                <w:color w:val="000000"/>
                <w:sz w:val="16"/>
                <w:szCs w:val="16"/>
              </w:rPr>
              <w:t>6</w:t>
            </w:r>
          </w:p>
        </w:tc>
        <w:tc>
          <w:tcPr>
            <w:tcW w:w="0" w:type="auto"/>
            <w:gridSpan w:val="3"/>
            <w:tcMar>
              <w:top w:w="30" w:type="dxa"/>
              <w:left w:w="20" w:type="dxa"/>
              <w:bottom w:w="30" w:type="dxa"/>
              <w:right w:w="20" w:type="dxa"/>
            </w:tcMar>
            <w:vAlign w:val="bottom"/>
            <w:hideMark/>
          </w:tcPr>
          <w:p w14:paraId="55034A10"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150D432E" w14:textId="77777777" w:rsidR="00000000" w:rsidRDefault="00405D16">
      <w:pPr>
        <w:rPr>
          <w:rFonts w:eastAsia="Times New Roman"/>
        </w:rPr>
      </w:pPr>
      <w:r>
        <w:rPr>
          <w:rFonts w:eastAsia="Times New Roman"/>
        </w:rPr>
        <w:pict w14:anchorId="2FC721CA">
          <v:rect id="_x0000_i1031" style="width:0;height:1.5pt" o:hralign="center" o:hrstd="t" o:hr="t" fillcolor="#a0a0a0" stroked="f"/>
        </w:pict>
      </w:r>
    </w:p>
    <w:p w14:paraId="38D701C5" w14:textId="77777777" w:rsidR="00000000" w:rsidRDefault="00405D16">
      <w:pPr>
        <w:ind w:hanging="360"/>
        <w:jc w:val="both"/>
        <w:divId w:val="1651906084"/>
        <w:rPr>
          <w:rFonts w:eastAsia="Times New Roman"/>
        </w:rPr>
      </w:pPr>
      <w:hyperlink w:anchor="idd54a04a485440b4ab4e56094c14d612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41"/>
        <w:gridCol w:w="1533"/>
        <w:gridCol w:w="40"/>
        <w:gridCol w:w="36"/>
        <w:gridCol w:w="36"/>
        <w:gridCol w:w="36"/>
        <w:gridCol w:w="110"/>
        <w:gridCol w:w="630"/>
        <w:gridCol w:w="200"/>
        <w:gridCol w:w="36"/>
        <w:gridCol w:w="36"/>
        <w:gridCol w:w="36"/>
        <w:gridCol w:w="110"/>
        <w:gridCol w:w="630"/>
        <w:gridCol w:w="170"/>
        <w:gridCol w:w="36"/>
        <w:gridCol w:w="36"/>
        <w:gridCol w:w="36"/>
        <w:gridCol w:w="70"/>
        <w:gridCol w:w="489"/>
        <w:gridCol w:w="271"/>
        <w:gridCol w:w="36"/>
        <w:gridCol w:w="36"/>
        <w:gridCol w:w="36"/>
        <w:gridCol w:w="110"/>
        <w:gridCol w:w="630"/>
        <w:gridCol w:w="200"/>
        <w:gridCol w:w="36"/>
        <w:gridCol w:w="36"/>
        <w:gridCol w:w="36"/>
        <w:gridCol w:w="110"/>
        <w:gridCol w:w="630"/>
        <w:gridCol w:w="170"/>
        <w:gridCol w:w="36"/>
        <w:gridCol w:w="36"/>
        <w:gridCol w:w="36"/>
        <w:gridCol w:w="36"/>
        <w:gridCol w:w="36"/>
        <w:gridCol w:w="36"/>
        <w:gridCol w:w="36"/>
        <w:gridCol w:w="36"/>
        <w:gridCol w:w="36"/>
        <w:gridCol w:w="36"/>
        <w:gridCol w:w="36"/>
        <w:gridCol w:w="36"/>
        <w:gridCol w:w="36"/>
        <w:gridCol w:w="36"/>
        <w:gridCol w:w="36"/>
        <w:gridCol w:w="36"/>
        <w:gridCol w:w="36"/>
        <w:gridCol w:w="70"/>
        <w:gridCol w:w="489"/>
        <w:gridCol w:w="271"/>
        <w:gridCol w:w="36"/>
        <w:gridCol w:w="36"/>
        <w:gridCol w:w="36"/>
        <w:gridCol w:w="36"/>
        <w:gridCol w:w="36"/>
      </w:tblGrid>
      <w:tr w:rsidR="00000000" w14:paraId="4C84BFD0" w14:textId="77777777">
        <w:trPr>
          <w:divId w:val="2103602330"/>
        </w:trPr>
        <w:tc>
          <w:tcPr>
            <w:tcW w:w="50" w:type="pct"/>
            <w:vAlign w:val="center"/>
            <w:hideMark/>
          </w:tcPr>
          <w:p w14:paraId="2B6BB60A" w14:textId="77777777" w:rsidR="00000000" w:rsidRDefault="00405D16">
            <w:pPr>
              <w:ind w:hanging="360"/>
              <w:jc w:val="both"/>
              <w:rPr>
                <w:rFonts w:eastAsia="Times New Roman"/>
              </w:rPr>
            </w:pPr>
          </w:p>
        </w:tc>
        <w:tc>
          <w:tcPr>
            <w:tcW w:w="1969" w:type="pct"/>
            <w:vAlign w:val="center"/>
            <w:hideMark/>
          </w:tcPr>
          <w:p w14:paraId="5E335E72" w14:textId="77777777" w:rsidR="00000000" w:rsidRDefault="00405D16">
            <w:pPr>
              <w:spacing w:after="100"/>
              <w:rPr>
                <w:rFonts w:eastAsia="Times New Roman"/>
                <w:sz w:val="20"/>
                <w:szCs w:val="20"/>
              </w:rPr>
            </w:pPr>
          </w:p>
        </w:tc>
        <w:tc>
          <w:tcPr>
            <w:tcW w:w="5" w:type="pct"/>
            <w:vAlign w:val="center"/>
            <w:hideMark/>
          </w:tcPr>
          <w:p w14:paraId="73BB19D2" w14:textId="77777777" w:rsidR="00000000" w:rsidRDefault="00405D16">
            <w:pPr>
              <w:spacing w:after="100"/>
              <w:rPr>
                <w:rFonts w:eastAsia="Times New Roman"/>
                <w:sz w:val="20"/>
                <w:szCs w:val="20"/>
              </w:rPr>
            </w:pPr>
          </w:p>
        </w:tc>
        <w:tc>
          <w:tcPr>
            <w:tcW w:w="5" w:type="pct"/>
            <w:vAlign w:val="center"/>
            <w:hideMark/>
          </w:tcPr>
          <w:p w14:paraId="6BDA8865" w14:textId="77777777" w:rsidR="00000000" w:rsidRDefault="00405D16">
            <w:pPr>
              <w:spacing w:after="100"/>
              <w:rPr>
                <w:rFonts w:eastAsia="Times New Roman"/>
                <w:sz w:val="20"/>
                <w:szCs w:val="20"/>
              </w:rPr>
            </w:pPr>
          </w:p>
        </w:tc>
        <w:tc>
          <w:tcPr>
            <w:tcW w:w="19" w:type="pct"/>
            <w:vAlign w:val="center"/>
            <w:hideMark/>
          </w:tcPr>
          <w:p w14:paraId="39AF7551" w14:textId="77777777" w:rsidR="00000000" w:rsidRDefault="00405D16">
            <w:pPr>
              <w:spacing w:after="100"/>
              <w:rPr>
                <w:rFonts w:eastAsia="Times New Roman"/>
                <w:sz w:val="20"/>
                <w:szCs w:val="20"/>
              </w:rPr>
            </w:pPr>
          </w:p>
        </w:tc>
        <w:tc>
          <w:tcPr>
            <w:tcW w:w="5" w:type="pct"/>
            <w:vAlign w:val="center"/>
            <w:hideMark/>
          </w:tcPr>
          <w:p w14:paraId="1B346A30" w14:textId="77777777" w:rsidR="00000000" w:rsidRDefault="00405D16">
            <w:pPr>
              <w:spacing w:after="100"/>
              <w:rPr>
                <w:rFonts w:eastAsia="Times New Roman"/>
                <w:sz w:val="20"/>
                <w:szCs w:val="20"/>
              </w:rPr>
            </w:pPr>
          </w:p>
        </w:tc>
        <w:tc>
          <w:tcPr>
            <w:tcW w:w="50" w:type="pct"/>
            <w:vAlign w:val="center"/>
            <w:hideMark/>
          </w:tcPr>
          <w:p w14:paraId="44DA6B09" w14:textId="77777777" w:rsidR="00000000" w:rsidRDefault="00405D16">
            <w:pPr>
              <w:spacing w:after="100"/>
              <w:rPr>
                <w:rFonts w:eastAsia="Times New Roman"/>
                <w:sz w:val="20"/>
                <w:szCs w:val="20"/>
              </w:rPr>
            </w:pPr>
          </w:p>
        </w:tc>
        <w:tc>
          <w:tcPr>
            <w:tcW w:w="442" w:type="pct"/>
            <w:vAlign w:val="center"/>
            <w:hideMark/>
          </w:tcPr>
          <w:p w14:paraId="0A490992" w14:textId="77777777" w:rsidR="00000000" w:rsidRDefault="00405D16">
            <w:pPr>
              <w:spacing w:after="100"/>
              <w:rPr>
                <w:rFonts w:eastAsia="Times New Roman"/>
                <w:sz w:val="20"/>
                <w:szCs w:val="20"/>
              </w:rPr>
            </w:pPr>
          </w:p>
        </w:tc>
        <w:tc>
          <w:tcPr>
            <w:tcW w:w="5" w:type="pct"/>
            <w:vAlign w:val="center"/>
            <w:hideMark/>
          </w:tcPr>
          <w:p w14:paraId="2F00DC97" w14:textId="77777777" w:rsidR="00000000" w:rsidRDefault="00405D16">
            <w:pPr>
              <w:spacing w:after="100"/>
              <w:rPr>
                <w:rFonts w:eastAsia="Times New Roman"/>
                <w:sz w:val="20"/>
                <w:szCs w:val="20"/>
              </w:rPr>
            </w:pPr>
          </w:p>
        </w:tc>
        <w:tc>
          <w:tcPr>
            <w:tcW w:w="5" w:type="pct"/>
            <w:vAlign w:val="center"/>
            <w:hideMark/>
          </w:tcPr>
          <w:p w14:paraId="4F1B4952" w14:textId="77777777" w:rsidR="00000000" w:rsidRDefault="00405D16">
            <w:pPr>
              <w:spacing w:after="100"/>
              <w:rPr>
                <w:rFonts w:eastAsia="Times New Roman"/>
                <w:sz w:val="20"/>
                <w:szCs w:val="20"/>
              </w:rPr>
            </w:pPr>
          </w:p>
        </w:tc>
        <w:tc>
          <w:tcPr>
            <w:tcW w:w="26" w:type="pct"/>
            <w:vAlign w:val="center"/>
            <w:hideMark/>
          </w:tcPr>
          <w:p w14:paraId="64D8BF08" w14:textId="77777777" w:rsidR="00000000" w:rsidRDefault="00405D16">
            <w:pPr>
              <w:spacing w:after="100"/>
              <w:rPr>
                <w:rFonts w:eastAsia="Times New Roman"/>
                <w:sz w:val="20"/>
                <w:szCs w:val="20"/>
              </w:rPr>
            </w:pPr>
          </w:p>
        </w:tc>
        <w:tc>
          <w:tcPr>
            <w:tcW w:w="5" w:type="pct"/>
            <w:vAlign w:val="center"/>
            <w:hideMark/>
          </w:tcPr>
          <w:p w14:paraId="6A25737D" w14:textId="77777777" w:rsidR="00000000" w:rsidRDefault="00405D16">
            <w:pPr>
              <w:spacing w:after="100"/>
              <w:rPr>
                <w:rFonts w:eastAsia="Times New Roman"/>
                <w:sz w:val="20"/>
                <w:szCs w:val="20"/>
              </w:rPr>
            </w:pPr>
          </w:p>
        </w:tc>
        <w:tc>
          <w:tcPr>
            <w:tcW w:w="50" w:type="pct"/>
            <w:vAlign w:val="center"/>
            <w:hideMark/>
          </w:tcPr>
          <w:p w14:paraId="39CC7D98" w14:textId="77777777" w:rsidR="00000000" w:rsidRDefault="00405D16">
            <w:pPr>
              <w:spacing w:after="100"/>
              <w:rPr>
                <w:rFonts w:eastAsia="Times New Roman"/>
                <w:sz w:val="20"/>
                <w:szCs w:val="20"/>
              </w:rPr>
            </w:pPr>
          </w:p>
        </w:tc>
        <w:tc>
          <w:tcPr>
            <w:tcW w:w="420" w:type="pct"/>
            <w:vAlign w:val="center"/>
            <w:hideMark/>
          </w:tcPr>
          <w:p w14:paraId="74FAFB5E" w14:textId="77777777" w:rsidR="00000000" w:rsidRDefault="00405D16">
            <w:pPr>
              <w:spacing w:after="100"/>
              <w:rPr>
                <w:rFonts w:eastAsia="Times New Roman"/>
                <w:sz w:val="20"/>
                <w:szCs w:val="20"/>
              </w:rPr>
            </w:pPr>
          </w:p>
        </w:tc>
        <w:tc>
          <w:tcPr>
            <w:tcW w:w="5" w:type="pct"/>
            <w:vAlign w:val="center"/>
            <w:hideMark/>
          </w:tcPr>
          <w:p w14:paraId="5B8A4C78" w14:textId="77777777" w:rsidR="00000000" w:rsidRDefault="00405D16">
            <w:pPr>
              <w:spacing w:after="100"/>
              <w:rPr>
                <w:rFonts w:eastAsia="Times New Roman"/>
                <w:sz w:val="20"/>
                <w:szCs w:val="20"/>
              </w:rPr>
            </w:pPr>
          </w:p>
        </w:tc>
        <w:tc>
          <w:tcPr>
            <w:tcW w:w="5" w:type="pct"/>
            <w:vAlign w:val="center"/>
            <w:hideMark/>
          </w:tcPr>
          <w:p w14:paraId="63A4733B" w14:textId="77777777" w:rsidR="00000000" w:rsidRDefault="00405D16">
            <w:pPr>
              <w:spacing w:after="100"/>
              <w:rPr>
                <w:rFonts w:eastAsia="Times New Roman"/>
                <w:sz w:val="20"/>
                <w:szCs w:val="20"/>
              </w:rPr>
            </w:pPr>
          </w:p>
        </w:tc>
        <w:tc>
          <w:tcPr>
            <w:tcW w:w="26" w:type="pct"/>
            <w:vAlign w:val="center"/>
            <w:hideMark/>
          </w:tcPr>
          <w:p w14:paraId="36E57DE5" w14:textId="77777777" w:rsidR="00000000" w:rsidRDefault="00405D16">
            <w:pPr>
              <w:spacing w:after="100"/>
              <w:rPr>
                <w:rFonts w:eastAsia="Times New Roman"/>
                <w:sz w:val="20"/>
                <w:szCs w:val="20"/>
              </w:rPr>
            </w:pPr>
          </w:p>
        </w:tc>
        <w:tc>
          <w:tcPr>
            <w:tcW w:w="5" w:type="pct"/>
            <w:vAlign w:val="center"/>
            <w:hideMark/>
          </w:tcPr>
          <w:p w14:paraId="1D1B7D68" w14:textId="77777777" w:rsidR="00000000" w:rsidRDefault="00405D16">
            <w:pPr>
              <w:spacing w:after="100"/>
              <w:rPr>
                <w:rFonts w:eastAsia="Times New Roman"/>
                <w:sz w:val="20"/>
                <w:szCs w:val="20"/>
              </w:rPr>
            </w:pPr>
          </w:p>
        </w:tc>
        <w:tc>
          <w:tcPr>
            <w:tcW w:w="50" w:type="pct"/>
            <w:vAlign w:val="center"/>
            <w:hideMark/>
          </w:tcPr>
          <w:p w14:paraId="42A6AFA2" w14:textId="77777777" w:rsidR="00000000" w:rsidRDefault="00405D16">
            <w:pPr>
              <w:spacing w:after="100"/>
              <w:rPr>
                <w:rFonts w:eastAsia="Times New Roman"/>
                <w:sz w:val="20"/>
                <w:szCs w:val="20"/>
              </w:rPr>
            </w:pPr>
          </w:p>
        </w:tc>
        <w:tc>
          <w:tcPr>
            <w:tcW w:w="354" w:type="pct"/>
            <w:vAlign w:val="center"/>
            <w:hideMark/>
          </w:tcPr>
          <w:p w14:paraId="0FACC42E" w14:textId="77777777" w:rsidR="00000000" w:rsidRDefault="00405D16">
            <w:pPr>
              <w:spacing w:after="100"/>
              <w:rPr>
                <w:rFonts w:eastAsia="Times New Roman"/>
                <w:sz w:val="20"/>
                <w:szCs w:val="20"/>
              </w:rPr>
            </w:pPr>
          </w:p>
        </w:tc>
        <w:tc>
          <w:tcPr>
            <w:tcW w:w="5" w:type="pct"/>
            <w:vAlign w:val="center"/>
            <w:hideMark/>
          </w:tcPr>
          <w:p w14:paraId="71EEC285" w14:textId="77777777" w:rsidR="00000000" w:rsidRDefault="00405D16">
            <w:pPr>
              <w:spacing w:after="100"/>
              <w:rPr>
                <w:rFonts w:eastAsia="Times New Roman"/>
                <w:sz w:val="20"/>
                <w:szCs w:val="20"/>
              </w:rPr>
            </w:pPr>
          </w:p>
        </w:tc>
        <w:tc>
          <w:tcPr>
            <w:tcW w:w="5" w:type="pct"/>
            <w:vAlign w:val="center"/>
            <w:hideMark/>
          </w:tcPr>
          <w:p w14:paraId="6FA94FCA" w14:textId="77777777" w:rsidR="00000000" w:rsidRDefault="00405D16">
            <w:pPr>
              <w:spacing w:after="100"/>
              <w:rPr>
                <w:rFonts w:eastAsia="Times New Roman"/>
                <w:sz w:val="20"/>
                <w:szCs w:val="20"/>
              </w:rPr>
            </w:pPr>
          </w:p>
        </w:tc>
        <w:tc>
          <w:tcPr>
            <w:tcW w:w="26" w:type="pct"/>
            <w:vAlign w:val="center"/>
            <w:hideMark/>
          </w:tcPr>
          <w:p w14:paraId="4D66F2BD" w14:textId="77777777" w:rsidR="00000000" w:rsidRDefault="00405D16">
            <w:pPr>
              <w:spacing w:after="100"/>
              <w:rPr>
                <w:rFonts w:eastAsia="Times New Roman"/>
                <w:sz w:val="20"/>
                <w:szCs w:val="20"/>
              </w:rPr>
            </w:pPr>
          </w:p>
        </w:tc>
        <w:tc>
          <w:tcPr>
            <w:tcW w:w="5" w:type="pct"/>
            <w:vAlign w:val="center"/>
            <w:hideMark/>
          </w:tcPr>
          <w:p w14:paraId="017B2E55" w14:textId="77777777" w:rsidR="00000000" w:rsidRDefault="00405D16">
            <w:pPr>
              <w:spacing w:after="100"/>
              <w:rPr>
                <w:rFonts w:eastAsia="Times New Roman"/>
                <w:sz w:val="20"/>
                <w:szCs w:val="20"/>
              </w:rPr>
            </w:pPr>
          </w:p>
        </w:tc>
        <w:tc>
          <w:tcPr>
            <w:tcW w:w="50" w:type="pct"/>
            <w:vAlign w:val="center"/>
            <w:hideMark/>
          </w:tcPr>
          <w:p w14:paraId="6DAD150B" w14:textId="77777777" w:rsidR="00000000" w:rsidRDefault="00405D16">
            <w:pPr>
              <w:spacing w:after="100"/>
              <w:rPr>
                <w:rFonts w:eastAsia="Times New Roman"/>
                <w:sz w:val="20"/>
                <w:szCs w:val="20"/>
              </w:rPr>
            </w:pPr>
          </w:p>
        </w:tc>
        <w:tc>
          <w:tcPr>
            <w:tcW w:w="442" w:type="pct"/>
            <w:vAlign w:val="center"/>
            <w:hideMark/>
          </w:tcPr>
          <w:p w14:paraId="240D409C" w14:textId="77777777" w:rsidR="00000000" w:rsidRDefault="00405D16">
            <w:pPr>
              <w:spacing w:after="100"/>
              <w:rPr>
                <w:rFonts w:eastAsia="Times New Roman"/>
                <w:sz w:val="20"/>
                <w:szCs w:val="20"/>
              </w:rPr>
            </w:pPr>
          </w:p>
        </w:tc>
        <w:tc>
          <w:tcPr>
            <w:tcW w:w="5" w:type="pct"/>
            <w:vAlign w:val="center"/>
            <w:hideMark/>
          </w:tcPr>
          <w:p w14:paraId="2B745832" w14:textId="77777777" w:rsidR="00000000" w:rsidRDefault="00405D16">
            <w:pPr>
              <w:spacing w:after="100"/>
              <w:rPr>
                <w:rFonts w:eastAsia="Times New Roman"/>
                <w:sz w:val="20"/>
                <w:szCs w:val="20"/>
              </w:rPr>
            </w:pPr>
          </w:p>
        </w:tc>
        <w:tc>
          <w:tcPr>
            <w:tcW w:w="5" w:type="pct"/>
            <w:vAlign w:val="center"/>
            <w:hideMark/>
          </w:tcPr>
          <w:p w14:paraId="2968407F" w14:textId="77777777" w:rsidR="00000000" w:rsidRDefault="00405D16">
            <w:pPr>
              <w:spacing w:after="100"/>
              <w:rPr>
                <w:rFonts w:eastAsia="Times New Roman"/>
                <w:sz w:val="20"/>
                <w:szCs w:val="20"/>
              </w:rPr>
            </w:pPr>
          </w:p>
        </w:tc>
        <w:tc>
          <w:tcPr>
            <w:tcW w:w="26" w:type="pct"/>
            <w:vAlign w:val="center"/>
            <w:hideMark/>
          </w:tcPr>
          <w:p w14:paraId="1F7F02CF" w14:textId="77777777" w:rsidR="00000000" w:rsidRDefault="00405D16">
            <w:pPr>
              <w:spacing w:after="100"/>
              <w:rPr>
                <w:rFonts w:eastAsia="Times New Roman"/>
                <w:sz w:val="20"/>
                <w:szCs w:val="20"/>
              </w:rPr>
            </w:pPr>
          </w:p>
        </w:tc>
        <w:tc>
          <w:tcPr>
            <w:tcW w:w="5" w:type="pct"/>
            <w:vAlign w:val="center"/>
            <w:hideMark/>
          </w:tcPr>
          <w:p w14:paraId="669B7B4A" w14:textId="77777777" w:rsidR="00000000" w:rsidRDefault="00405D16">
            <w:pPr>
              <w:spacing w:after="100"/>
              <w:rPr>
                <w:rFonts w:eastAsia="Times New Roman"/>
                <w:sz w:val="20"/>
                <w:szCs w:val="20"/>
              </w:rPr>
            </w:pPr>
          </w:p>
        </w:tc>
        <w:tc>
          <w:tcPr>
            <w:tcW w:w="50" w:type="pct"/>
            <w:vAlign w:val="center"/>
            <w:hideMark/>
          </w:tcPr>
          <w:p w14:paraId="75D5B9A5" w14:textId="77777777" w:rsidR="00000000" w:rsidRDefault="00405D16">
            <w:pPr>
              <w:spacing w:after="100"/>
              <w:rPr>
                <w:rFonts w:eastAsia="Times New Roman"/>
                <w:sz w:val="20"/>
                <w:szCs w:val="20"/>
              </w:rPr>
            </w:pPr>
          </w:p>
        </w:tc>
        <w:tc>
          <w:tcPr>
            <w:tcW w:w="420" w:type="pct"/>
            <w:vAlign w:val="center"/>
            <w:hideMark/>
          </w:tcPr>
          <w:p w14:paraId="233FE122" w14:textId="77777777" w:rsidR="00000000" w:rsidRDefault="00405D16">
            <w:pPr>
              <w:spacing w:after="100"/>
              <w:rPr>
                <w:rFonts w:eastAsia="Times New Roman"/>
                <w:sz w:val="20"/>
                <w:szCs w:val="20"/>
              </w:rPr>
            </w:pPr>
          </w:p>
        </w:tc>
        <w:tc>
          <w:tcPr>
            <w:tcW w:w="5" w:type="pct"/>
            <w:vAlign w:val="center"/>
            <w:hideMark/>
          </w:tcPr>
          <w:p w14:paraId="64ACA84C" w14:textId="77777777" w:rsidR="00000000" w:rsidRDefault="00405D16">
            <w:pPr>
              <w:spacing w:after="100"/>
              <w:rPr>
                <w:rFonts w:eastAsia="Times New Roman"/>
                <w:sz w:val="20"/>
                <w:szCs w:val="20"/>
              </w:rPr>
            </w:pPr>
          </w:p>
        </w:tc>
        <w:tc>
          <w:tcPr>
            <w:tcW w:w="0" w:type="auto"/>
            <w:vAlign w:val="center"/>
            <w:hideMark/>
          </w:tcPr>
          <w:p w14:paraId="4EC1485F" w14:textId="77777777" w:rsidR="00000000" w:rsidRDefault="00405D16">
            <w:pPr>
              <w:spacing w:after="100"/>
              <w:rPr>
                <w:rFonts w:eastAsia="Times New Roman"/>
                <w:sz w:val="20"/>
                <w:szCs w:val="20"/>
              </w:rPr>
            </w:pPr>
          </w:p>
        </w:tc>
        <w:tc>
          <w:tcPr>
            <w:tcW w:w="0" w:type="auto"/>
            <w:vAlign w:val="center"/>
            <w:hideMark/>
          </w:tcPr>
          <w:p w14:paraId="68023967" w14:textId="77777777" w:rsidR="00000000" w:rsidRDefault="00405D16">
            <w:pPr>
              <w:spacing w:after="100"/>
              <w:rPr>
                <w:rFonts w:eastAsia="Times New Roman"/>
                <w:sz w:val="20"/>
                <w:szCs w:val="20"/>
              </w:rPr>
            </w:pPr>
          </w:p>
        </w:tc>
        <w:tc>
          <w:tcPr>
            <w:tcW w:w="0" w:type="auto"/>
            <w:gridSpan w:val="3"/>
            <w:vAlign w:val="center"/>
            <w:hideMark/>
          </w:tcPr>
          <w:p w14:paraId="38611CE7" w14:textId="77777777" w:rsidR="00000000" w:rsidRDefault="00405D16">
            <w:pPr>
              <w:spacing w:after="100"/>
              <w:rPr>
                <w:rFonts w:eastAsia="Times New Roman"/>
                <w:sz w:val="20"/>
                <w:szCs w:val="20"/>
              </w:rPr>
            </w:pPr>
          </w:p>
        </w:tc>
        <w:tc>
          <w:tcPr>
            <w:tcW w:w="0" w:type="auto"/>
            <w:gridSpan w:val="3"/>
            <w:vAlign w:val="center"/>
            <w:hideMark/>
          </w:tcPr>
          <w:p w14:paraId="009EA6C2" w14:textId="77777777" w:rsidR="00000000" w:rsidRDefault="00405D16">
            <w:pPr>
              <w:spacing w:after="100"/>
              <w:rPr>
                <w:rFonts w:eastAsia="Times New Roman"/>
                <w:sz w:val="20"/>
                <w:szCs w:val="20"/>
              </w:rPr>
            </w:pPr>
          </w:p>
        </w:tc>
        <w:tc>
          <w:tcPr>
            <w:tcW w:w="0" w:type="auto"/>
            <w:gridSpan w:val="3"/>
            <w:vAlign w:val="center"/>
            <w:hideMark/>
          </w:tcPr>
          <w:p w14:paraId="617015F9" w14:textId="77777777" w:rsidR="00000000" w:rsidRDefault="00405D16">
            <w:pPr>
              <w:spacing w:after="100"/>
              <w:rPr>
                <w:rFonts w:eastAsia="Times New Roman"/>
                <w:sz w:val="20"/>
                <w:szCs w:val="20"/>
              </w:rPr>
            </w:pPr>
          </w:p>
        </w:tc>
        <w:tc>
          <w:tcPr>
            <w:tcW w:w="0" w:type="auto"/>
            <w:gridSpan w:val="3"/>
            <w:vAlign w:val="center"/>
            <w:hideMark/>
          </w:tcPr>
          <w:p w14:paraId="2407E5D3" w14:textId="77777777" w:rsidR="00000000" w:rsidRDefault="00405D16">
            <w:pPr>
              <w:spacing w:after="100"/>
              <w:rPr>
                <w:rFonts w:eastAsia="Times New Roman"/>
                <w:sz w:val="20"/>
                <w:szCs w:val="20"/>
              </w:rPr>
            </w:pPr>
          </w:p>
        </w:tc>
        <w:tc>
          <w:tcPr>
            <w:tcW w:w="5" w:type="pct"/>
            <w:vAlign w:val="center"/>
            <w:hideMark/>
          </w:tcPr>
          <w:p w14:paraId="5E0891F6" w14:textId="77777777" w:rsidR="00000000" w:rsidRDefault="00405D16">
            <w:pPr>
              <w:spacing w:after="100"/>
              <w:rPr>
                <w:rFonts w:eastAsia="Times New Roman"/>
                <w:sz w:val="20"/>
                <w:szCs w:val="20"/>
              </w:rPr>
            </w:pPr>
          </w:p>
        </w:tc>
        <w:tc>
          <w:tcPr>
            <w:tcW w:w="26" w:type="pct"/>
            <w:vAlign w:val="center"/>
            <w:hideMark/>
          </w:tcPr>
          <w:p w14:paraId="09D4810F" w14:textId="77777777" w:rsidR="00000000" w:rsidRDefault="00405D16">
            <w:pPr>
              <w:spacing w:after="100"/>
              <w:rPr>
                <w:rFonts w:eastAsia="Times New Roman"/>
                <w:sz w:val="20"/>
                <w:szCs w:val="20"/>
              </w:rPr>
            </w:pPr>
          </w:p>
        </w:tc>
        <w:tc>
          <w:tcPr>
            <w:tcW w:w="5" w:type="pct"/>
            <w:vAlign w:val="center"/>
            <w:hideMark/>
          </w:tcPr>
          <w:p w14:paraId="3867C523" w14:textId="77777777" w:rsidR="00000000" w:rsidRDefault="00405D16">
            <w:pPr>
              <w:spacing w:after="100"/>
              <w:rPr>
                <w:rFonts w:eastAsia="Times New Roman"/>
                <w:sz w:val="20"/>
                <w:szCs w:val="20"/>
              </w:rPr>
            </w:pPr>
          </w:p>
        </w:tc>
        <w:tc>
          <w:tcPr>
            <w:tcW w:w="50" w:type="pct"/>
            <w:vAlign w:val="center"/>
            <w:hideMark/>
          </w:tcPr>
          <w:p w14:paraId="00029B66" w14:textId="77777777" w:rsidR="00000000" w:rsidRDefault="00405D16">
            <w:pPr>
              <w:spacing w:after="100"/>
              <w:rPr>
                <w:rFonts w:eastAsia="Times New Roman"/>
                <w:sz w:val="20"/>
                <w:szCs w:val="20"/>
              </w:rPr>
            </w:pPr>
          </w:p>
        </w:tc>
        <w:tc>
          <w:tcPr>
            <w:tcW w:w="354" w:type="pct"/>
            <w:vAlign w:val="center"/>
            <w:hideMark/>
          </w:tcPr>
          <w:p w14:paraId="7F1036B2" w14:textId="77777777" w:rsidR="00000000" w:rsidRDefault="00405D16">
            <w:pPr>
              <w:spacing w:after="100"/>
              <w:rPr>
                <w:rFonts w:eastAsia="Times New Roman"/>
                <w:sz w:val="20"/>
                <w:szCs w:val="20"/>
              </w:rPr>
            </w:pPr>
          </w:p>
        </w:tc>
        <w:tc>
          <w:tcPr>
            <w:tcW w:w="5" w:type="pct"/>
            <w:vAlign w:val="center"/>
            <w:hideMark/>
          </w:tcPr>
          <w:p w14:paraId="2C0F5609" w14:textId="77777777" w:rsidR="00000000" w:rsidRDefault="00405D16">
            <w:pPr>
              <w:spacing w:after="100"/>
              <w:rPr>
                <w:rFonts w:eastAsia="Times New Roman"/>
                <w:sz w:val="20"/>
                <w:szCs w:val="20"/>
              </w:rPr>
            </w:pPr>
          </w:p>
        </w:tc>
        <w:tc>
          <w:tcPr>
            <w:tcW w:w="0" w:type="auto"/>
            <w:gridSpan w:val="3"/>
            <w:vAlign w:val="center"/>
            <w:hideMark/>
          </w:tcPr>
          <w:p w14:paraId="636452FC" w14:textId="77777777" w:rsidR="00000000" w:rsidRDefault="00405D16">
            <w:pPr>
              <w:spacing w:after="100"/>
              <w:rPr>
                <w:rFonts w:eastAsia="Times New Roman"/>
                <w:sz w:val="20"/>
                <w:szCs w:val="20"/>
              </w:rPr>
            </w:pPr>
          </w:p>
        </w:tc>
        <w:tc>
          <w:tcPr>
            <w:tcW w:w="0" w:type="auto"/>
            <w:gridSpan w:val="2"/>
            <w:vAlign w:val="center"/>
            <w:hideMark/>
          </w:tcPr>
          <w:p w14:paraId="1AD084D6" w14:textId="77777777" w:rsidR="00000000" w:rsidRDefault="00405D16">
            <w:pPr>
              <w:spacing w:after="100"/>
              <w:rPr>
                <w:rFonts w:eastAsia="Times New Roman"/>
                <w:sz w:val="20"/>
                <w:szCs w:val="20"/>
              </w:rPr>
            </w:pPr>
          </w:p>
        </w:tc>
      </w:tr>
      <w:tr w:rsidR="00000000" w14:paraId="7BEC792F" w14:textId="77777777">
        <w:trPr>
          <w:divId w:val="2103602330"/>
        </w:trPr>
        <w:tc>
          <w:tcPr>
            <w:tcW w:w="0" w:type="auto"/>
            <w:gridSpan w:val="3"/>
            <w:tcMar>
              <w:top w:w="0" w:type="dxa"/>
              <w:left w:w="20" w:type="dxa"/>
              <w:bottom w:w="0" w:type="dxa"/>
              <w:right w:w="20" w:type="dxa"/>
            </w:tcMar>
            <w:vAlign w:val="center"/>
            <w:hideMark/>
          </w:tcPr>
          <w:p w14:paraId="1BBF5FA3"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7C4B839" w14:textId="77777777" w:rsidR="00000000" w:rsidRDefault="00405D16">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70DC2B89" w14:textId="77777777" w:rsidR="00000000" w:rsidRDefault="00405D16">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497F15E3" w14:textId="77777777" w:rsidR="00000000" w:rsidRDefault="00405D16">
            <w:pPr>
              <w:spacing w:after="100"/>
              <w:jc w:val="center"/>
              <w:rPr>
                <w:rFonts w:eastAsia="Times New Roman"/>
              </w:rPr>
            </w:pPr>
          </w:p>
        </w:tc>
        <w:tc>
          <w:tcPr>
            <w:tcW w:w="0" w:type="auto"/>
            <w:gridSpan w:val="11"/>
            <w:tcMar>
              <w:top w:w="30" w:type="dxa"/>
              <w:left w:w="20" w:type="dxa"/>
              <w:bottom w:w="30" w:type="dxa"/>
              <w:right w:w="20" w:type="dxa"/>
            </w:tcMar>
            <w:vAlign w:val="bottom"/>
            <w:hideMark/>
          </w:tcPr>
          <w:p w14:paraId="2B778DB1" w14:textId="77777777" w:rsidR="00000000" w:rsidRDefault="00405D16">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24838C2E" w14:textId="77777777" w:rsidR="00000000" w:rsidRDefault="00405D16">
            <w:pPr>
              <w:spacing w:after="100"/>
              <w:rPr>
                <w:rFonts w:eastAsia="Times New Roman"/>
                <w:sz w:val="20"/>
                <w:szCs w:val="20"/>
              </w:rPr>
            </w:pPr>
          </w:p>
        </w:tc>
        <w:tc>
          <w:tcPr>
            <w:tcW w:w="0" w:type="auto"/>
            <w:vAlign w:val="center"/>
            <w:hideMark/>
          </w:tcPr>
          <w:p w14:paraId="65A5821F" w14:textId="77777777" w:rsidR="00000000" w:rsidRDefault="00405D16">
            <w:pPr>
              <w:spacing w:after="100"/>
              <w:rPr>
                <w:rFonts w:eastAsia="Times New Roman"/>
                <w:sz w:val="20"/>
                <w:szCs w:val="20"/>
              </w:rPr>
            </w:pPr>
          </w:p>
        </w:tc>
        <w:tc>
          <w:tcPr>
            <w:tcW w:w="0" w:type="auto"/>
            <w:vAlign w:val="center"/>
            <w:hideMark/>
          </w:tcPr>
          <w:p w14:paraId="197DCF0F" w14:textId="77777777" w:rsidR="00000000" w:rsidRDefault="00405D16">
            <w:pPr>
              <w:spacing w:after="100"/>
              <w:rPr>
                <w:rFonts w:eastAsia="Times New Roman"/>
                <w:sz w:val="20"/>
                <w:szCs w:val="20"/>
              </w:rPr>
            </w:pPr>
          </w:p>
        </w:tc>
        <w:tc>
          <w:tcPr>
            <w:tcW w:w="0" w:type="auto"/>
            <w:vAlign w:val="center"/>
            <w:hideMark/>
          </w:tcPr>
          <w:p w14:paraId="0A7D263A" w14:textId="77777777" w:rsidR="00000000" w:rsidRDefault="00405D16">
            <w:pPr>
              <w:spacing w:after="100"/>
              <w:rPr>
                <w:rFonts w:eastAsia="Times New Roman"/>
                <w:sz w:val="20"/>
                <w:szCs w:val="20"/>
              </w:rPr>
            </w:pPr>
          </w:p>
        </w:tc>
        <w:tc>
          <w:tcPr>
            <w:tcW w:w="0" w:type="auto"/>
            <w:vAlign w:val="center"/>
            <w:hideMark/>
          </w:tcPr>
          <w:p w14:paraId="7E304640" w14:textId="77777777" w:rsidR="00000000" w:rsidRDefault="00405D16">
            <w:pPr>
              <w:spacing w:after="100"/>
              <w:rPr>
                <w:rFonts w:eastAsia="Times New Roman"/>
                <w:sz w:val="20"/>
                <w:szCs w:val="20"/>
              </w:rPr>
            </w:pPr>
          </w:p>
        </w:tc>
        <w:tc>
          <w:tcPr>
            <w:tcW w:w="0" w:type="auto"/>
            <w:vAlign w:val="center"/>
            <w:hideMark/>
          </w:tcPr>
          <w:p w14:paraId="1D03F485" w14:textId="77777777" w:rsidR="00000000" w:rsidRDefault="00405D16">
            <w:pPr>
              <w:spacing w:after="100"/>
              <w:rPr>
                <w:rFonts w:eastAsia="Times New Roman"/>
                <w:sz w:val="20"/>
                <w:szCs w:val="20"/>
              </w:rPr>
            </w:pPr>
          </w:p>
        </w:tc>
        <w:tc>
          <w:tcPr>
            <w:tcW w:w="0" w:type="auto"/>
            <w:vAlign w:val="center"/>
            <w:hideMark/>
          </w:tcPr>
          <w:p w14:paraId="3BC8621E" w14:textId="77777777" w:rsidR="00000000" w:rsidRDefault="00405D16">
            <w:pPr>
              <w:spacing w:after="100"/>
              <w:rPr>
                <w:rFonts w:eastAsia="Times New Roman"/>
                <w:sz w:val="20"/>
                <w:szCs w:val="20"/>
              </w:rPr>
            </w:pPr>
          </w:p>
        </w:tc>
        <w:tc>
          <w:tcPr>
            <w:tcW w:w="0" w:type="auto"/>
            <w:vAlign w:val="center"/>
            <w:hideMark/>
          </w:tcPr>
          <w:p w14:paraId="1168DD89" w14:textId="77777777" w:rsidR="00000000" w:rsidRDefault="00405D16">
            <w:pPr>
              <w:spacing w:after="100"/>
              <w:rPr>
                <w:rFonts w:eastAsia="Times New Roman"/>
                <w:sz w:val="20"/>
                <w:szCs w:val="20"/>
              </w:rPr>
            </w:pPr>
          </w:p>
        </w:tc>
        <w:tc>
          <w:tcPr>
            <w:tcW w:w="0" w:type="auto"/>
            <w:vAlign w:val="center"/>
            <w:hideMark/>
          </w:tcPr>
          <w:p w14:paraId="7F0792ED" w14:textId="77777777" w:rsidR="00000000" w:rsidRDefault="00405D16">
            <w:pPr>
              <w:spacing w:after="100"/>
              <w:rPr>
                <w:rFonts w:eastAsia="Times New Roman"/>
                <w:sz w:val="20"/>
                <w:szCs w:val="20"/>
              </w:rPr>
            </w:pPr>
          </w:p>
        </w:tc>
        <w:tc>
          <w:tcPr>
            <w:tcW w:w="0" w:type="auto"/>
            <w:vAlign w:val="center"/>
            <w:hideMark/>
          </w:tcPr>
          <w:p w14:paraId="609C9D36" w14:textId="77777777" w:rsidR="00000000" w:rsidRDefault="00405D16">
            <w:pPr>
              <w:spacing w:after="100"/>
              <w:rPr>
                <w:rFonts w:eastAsia="Times New Roman"/>
                <w:sz w:val="20"/>
                <w:szCs w:val="20"/>
              </w:rPr>
            </w:pPr>
          </w:p>
        </w:tc>
        <w:tc>
          <w:tcPr>
            <w:tcW w:w="0" w:type="auto"/>
            <w:vAlign w:val="center"/>
            <w:hideMark/>
          </w:tcPr>
          <w:p w14:paraId="7347F80E" w14:textId="77777777" w:rsidR="00000000" w:rsidRDefault="00405D16">
            <w:pPr>
              <w:spacing w:after="100"/>
              <w:rPr>
                <w:rFonts w:eastAsia="Times New Roman"/>
                <w:sz w:val="20"/>
                <w:szCs w:val="20"/>
              </w:rPr>
            </w:pPr>
          </w:p>
        </w:tc>
        <w:tc>
          <w:tcPr>
            <w:tcW w:w="0" w:type="auto"/>
            <w:vAlign w:val="center"/>
            <w:hideMark/>
          </w:tcPr>
          <w:p w14:paraId="2B043051" w14:textId="77777777" w:rsidR="00000000" w:rsidRDefault="00405D16">
            <w:pPr>
              <w:spacing w:after="100"/>
              <w:rPr>
                <w:rFonts w:eastAsia="Times New Roman"/>
                <w:sz w:val="20"/>
                <w:szCs w:val="20"/>
              </w:rPr>
            </w:pPr>
          </w:p>
        </w:tc>
        <w:tc>
          <w:tcPr>
            <w:tcW w:w="0" w:type="auto"/>
            <w:vAlign w:val="center"/>
            <w:hideMark/>
          </w:tcPr>
          <w:p w14:paraId="5ABE5762" w14:textId="77777777" w:rsidR="00000000" w:rsidRDefault="00405D16">
            <w:pPr>
              <w:spacing w:after="100"/>
              <w:rPr>
                <w:rFonts w:eastAsia="Times New Roman"/>
                <w:sz w:val="20"/>
                <w:szCs w:val="20"/>
              </w:rPr>
            </w:pPr>
          </w:p>
        </w:tc>
        <w:tc>
          <w:tcPr>
            <w:tcW w:w="0" w:type="auto"/>
            <w:vAlign w:val="center"/>
            <w:hideMark/>
          </w:tcPr>
          <w:p w14:paraId="532B4123" w14:textId="77777777" w:rsidR="00000000" w:rsidRDefault="00405D16">
            <w:pPr>
              <w:spacing w:after="100"/>
              <w:rPr>
                <w:rFonts w:eastAsia="Times New Roman"/>
                <w:sz w:val="20"/>
                <w:szCs w:val="20"/>
              </w:rPr>
            </w:pPr>
          </w:p>
        </w:tc>
        <w:tc>
          <w:tcPr>
            <w:tcW w:w="0" w:type="auto"/>
            <w:vAlign w:val="center"/>
            <w:hideMark/>
          </w:tcPr>
          <w:p w14:paraId="3D6EC331" w14:textId="77777777" w:rsidR="00000000" w:rsidRDefault="00405D16">
            <w:pPr>
              <w:spacing w:after="100"/>
              <w:rPr>
                <w:rFonts w:eastAsia="Times New Roman"/>
                <w:sz w:val="20"/>
                <w:szCs w:val="20"/>
              </w:rPr>
            </w:pPr>
          </w:p>
        </w:tc>
        <w:tc>
          <w:tcPr>
            <w:tcW w:w="0" w:type="auto"/>
            <w:vAlign w:val="center"/>
            <w:hideMark/>
          </w:tcPr>
          <w:p w14:paraId="5D4302B8" w14:textId="77777777" w:rsidR="00000000" w:rsidRDefault="00405D16">
            <w:pPr>
              <w:spacing w:after="100"/>
              <w:rPr>
                <w:rFonts w:eastAsia="Times New Roman"/>
                <w:sz w:val="20"/>
                <w:szCs w:val="20"/>
              </w:rPr>
            </w:pPr>
          </w:p>
        </w:tc>
        <w:tc>
          <w:tcPr>
            <w:tcW w:w="0" w:type="auto"/>
            <w:vAlign w:val="center"/>
            <w:hideMark/>
          </w:tcPr>
          <w:p w14:paraId="6ECC3777" w14:textId="77777777" w:rsidR="00000000" w:rsidRDefault="00405D16">
            <w:pPr>
              <w:spacing w:after="100"/>
              <w:rPr>
                <w:rFonts w:eastAsia="Times New Roman"/>
                <w:sz w:val="20"/>
                <w:szCs w:val="20"/>
              </w:rPr>
            </w:pPr>
          </w:p>
        </w:tc>
        <w:tc>
          <w:tcPr>
            <w:tcW w:w="0" w:type="auto"/>
            <w:vAlign w:val="center"/>
            <w:hideMark/>
          </w:tcPr>
          <w:p w14:paraId="2B78BC47" w14:textId="77777777" w:rsidR="00000000" w:rsidRDefault="00405D16">
            <w:pPr>
              <w:spacing w:after="100"/>
              <w:rPr>
                <w:rFonts w:eastAsia="Times New Roman"/>
                <w:sz w:val="20"/>
                <w:szCs w:val="20"/>
              </w:rPr>
            </w:pPr>
          </w:p>
        </w:tc>
        <w:tc>
          <w:tcPr>
            <w:tcW w:w="0" w:type="auto"/>
            <w:vAlign w:val="center"/>
            <w:hideMark/>
          </w:tcPr>
          <w:p w14:paraId="51DBC6EF" w14:textId="77777777" w:rsidR="00000000" w:rsidRDefault="00405D16">
            <w:pPr>
              <w:spacing w:after="100"/>
              <w:rPr>
                <w:rFonts w:eastAsia="Times New Roman"/>
                <w:sz w:val="20"/>
                <w:szCs w:val="20"/>
              </w:rPr>
            </w:pPr>
          </w:p>
        </w:tc>
        <w:tc>
          <w:tcPr>
            <w:tcW w:w="0" w:type="auto"/>
            <w:vAlign w:val="center"/>
            <w:hideMark/>
          </w:tcPr>
          <w:p w14:paraId="776BA22D" w14:textId="77777777" w:rsidR="00000000" w:rsidRDefault="00405D16">
            <w:pPr>
              <w:spacing w:after="100"/>
              <w:rPr>
                <w:rFonts w:eastAsia="Times New Roman"/>
                <w:sz w:val="20"/>
                <w:szCs w:val="20"/>
              </w:rPr>
            </w:pPr>
          </w:p>
        </w:tc>
        <w:tc>
          <w:tcPr>
            <w:tcW w:w="0" w:type="auto"/>
            <w:vAlign w:val="center"/>
            <w:hideMark/>
          </w:tcPr>
          <w:p w14:paraId="77399301" w14:textId="77777777" w:rsidR="00000000" w:rsidRDefault="00405D16">
            <w:pPr>
              <w:spacing w:after="100"/>
              <w:rPr>
                <w:rFonts w:eastAsia="Times New Roman"/>
                <w:sz w:val="20"/>
                <w:szCs w:val="20"/>
              </w:rPr>
            </w:pPr>
          </w:p>
        </w:tc>
        <w:tc>
          <w:tcPr>
            <w:tcW w:w="0" w:type="auto"/>
            <w:vAlign w:val="center"/>
            <w:hideMark/>
          </w:tcPr>
          <w:p w14:paraId="76C97489" w14:textId="77777777" w:rsidR="00000000" w:rsidRDefault="00405D16">
            <w:pPr>
              <w:spacing w:after="100"/>
              <w:rPr>
                <w:rFonts w:eastAsia="Times New Roman"/>
                <w:sz w:val="20"/>
                <w:szCs w:val="20"/>
              </w:rPr>
            </w:pPr>
          </w:p>
        </w:tc>
        <w:tc>
          <w:tcPr>
            <w:tcW w:w="0" w:type="auto"/>
            <w:vAlign w:val="center"/>
            <w:hideMark/>
          </w:tcPr>
          <w:p w14:paraId="2988B09E" w14:textId="77777777" w:rsidR="00000000" w:rsidRDefault="00405D16">
            <w:pPr>
              <w:spacing w:after="100"/>
              <w:rPr>
                <w:rFonts w:eastAsia="Times New Roman"/>
                <w:sz w:val="20"/>
                <w:szCs w:val="20"/>
              </w:rPr>
            </w:pPr>
          </w:p>
        </w:tc>
      </w:tr>
      <w:tr w:rsidR="00000000" w14:paraId="250EC84C" w14:textId="77777777">
        <w:trPr>
          <w:divId w:val="2103602330"/>
        </w:trPr>
        <w:tc>
          <w:tcPr>
            <w:tcW w:w="0" w:type="auto"/>
            <w:gridSpan w:val="3"/>
            <w:tcBorders>
              <w:bottom w:val="single" w:sz="8" w:space="0" w:color="000000"/>
            </w:tcBorders>
            <w:tcMar>
              <w:top w:w="30" w:type="dxa"/>
              <w:left w:w="20" w:type="dxa"/>
              <w:bottom w:w="30" w:type="dxa"/>
              <w:right w:w="20" w:type="dxa"/>
            </w:tcMar>
            <w:vAlign w:val="bottom"/>
            <w:hideMark/>
          </w:tcPr>
          <w:p w14:paraId="39F1ED78" w14:textId="77777777" w:rsidR="00000000" w:rsidRDefault="00405D16">
            <w:pPr>
              <w:spacing w:after="100"/>
              <w:rPr>
                <w:rFonts w:eastAsia="Times New Roman"/>
              </w:rPr>
            </w:pPr>
            <w:r>
              <w:rPr>
                <w:rFonts w:eastAsia="Times New Roman"/>
                <w:i/>
                <w:iCs/>
                <w:color w:val="000000"/>
                <w:sz w:val="16"/>
                <w:szCs w:val="16"/>
              </w:rPr>
              <w:t>(Dollars in millions, except per share data and as noted)</w:t>
            </w:r>
          </w:p>
        </w:tc>
        <w:tc>
          <w:tcPr>
            <w:tcW w:w="0" w:type="auto"/>
            <w:gridSpan w:val="3"/>
            <w:tcMar>
              <w:top w:w="0" w:type="dxa"/>
              <w:left w:w="20" w:type="dxa"/>
              <w:bottom w:w="0" w:type="dxa"/>
              <w:right w:w="20" w:type="dxa"/>
            </w:tcMar>
            <w:vAlign w:val="center"/>
            <w:hideMark/>
          </w:tcPr>
          <w:p w14:paraId="112FF5EE" w14:textId="77777777" w:rsidR="00000000" w:rsidRDefault="00405D16">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7FA5D0F"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5AD11217" w14:textId="77777777" w:rsidR="00000000" w:rsidRDefault="00405D1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1AFF01F"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759BA116" w14:textId="77777777" w:rsidR="00000000" w:rsidRDefault="00405D1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E7FC24C" w14:textId="77777777" w:rsidR="00000000" w:rsidRDefault="00405D16">
            <w:pPr>
              <w:spacing w:after="100"/>
              <w:jc w:val="center"/>
              <w:rPr>
                <w:rFonts w:eastAsia="Times New Roman"/>
              </w:rPr>
            </w:pPr>
            <w:r>
              <w:rPr>
                <w:rFonts w:eastAsia="Times New Roman"/>
                <w:b/>
                <w:bCs/>
                <w:color w:val="000000"/>
                <w:sz w:val="16"/>
                <w:szCs w:val="16"/>
              </w:rPr>
              <w:t>Change</w:t>
            </w:r>
          </w:p>
        </w:tc>
        <w:tc>
          <w:tcPr>
            <w:tcW w:w="0" w:type="auto"/>
            <w:gridSpan w:val="3"/>
            <w:tcMar>
              <w:top w:w="0" w:type="dxa"/>
              <w:left w:w="20" w:type="dxa"/>
              <w:bottom w:w="0" w:type="dxa"/>
              <w:right w:w="20" w:type="dxa"/>
            </w:tcMar>
            <w:vAlign w:val="center"/>
            <w:hideMark/>
          </w:tcPr>
          <w:p w14:paraId="364DE0CF" w14:textId="77777777" w:rsidR="00000000" w:rsidRDefault="00405D1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4B64122"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3EEDB0AF" w14:textId="77777777" w:rsidR="00000000" w:rsidRDefault="00405D1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FA002AA"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vAlign w:val="center"/>
            <w:hideMark/>
          </w:tcPr>
          <w:p w14:paraId="78930C78" w14:textId="77777777" w:rsidR="00000000" w:rsidRDefault="00405D16">
            <w:pPr>
              <w:spacing w:after="100"/>
              <w:jc w:val="center"/>
              <w:rPr>
                <w:rFonts w:eastAsia="Times New Roman"/>
              </w:rPr>
            </w:pPr>
          </w:p>
        </w:tc>
        <w:tc>
          <w:tcPr>
            <w:tcW w:w="0" w:type="auto"/>
            <w:vAlign w:val="center"/>
            <w:hideMark/>
          </w:tcPr>
          <w:p w14:paraId="3C525A32" w14:textId="77777777" w:rsidR="00000000" w:rsidRDefault="00405D16">
            <w:pPr>
              <w:spacing w:after="100"/>
              <w:rPr>
                <w:rFonts w:eastAsia="Times New Roman"/>
                <w:sz w:val="20"/>
                <w:szCs w:val="20"/>
              </w:rPr>
            </w:pPr>
          </w:p>
        </w:tc>
        <w:tc>
          <w:tcPr>
            <w:tcW w:w="0" w:type="auto"/>
            <w:gridSpan w:val="3"/>
            <w:vAlign w:val="center"/>
            <w:hideMark/>
          </w:tcPr>
          <w:p w14:paraId="3E5AFAB8" w14:textId="77777777" w:rsidR="00000000" w:rsidRDefault="00405D16">
            <w:pPr>
              <w:spacing w:after="100"/>
              <w:rPr>
                <w:rFonts w:eastAsia="Times New Roman"/>
                <w:sz w:val="20"/>
                <w:szCs w:val="20"/>
              </w:rPr>
            </w:pPr>
          </w:p>
        </w:tc>
        <w:tc>
          <w:tcPr>
            <w:tcW w:w="0" w:type="auto"/>
            <w:gridSpan w:val="3"/>
            <w:vAlign w:val="center"/>
            <w:hideMark/>
          </w:tcPr>
          <w:p w14:paraId="4351346B" w14:textId="77777777" w:rsidR="00000000" w:rsidRDefault="00405D16">
            <w:pPr>
              <w:spacing w:after="100"/>
              <w:rPr>
                <w:rFonts w:eastAsia="Times New Roman"/>
                <w:sz w:val="20"/>
                <w:szCs w:val="20"/>
              </w:rPr>
            </w:pPr>
          </w:p>
        </w:tc>
        <w:tc>
          <w:tcPr>
            <w:tcW w:w="0" w:type="auto"/>
            <w:gridSpan w:val="3"/>
            <w:vAlign w:val="center"/>
            <w:hideMark/>
          </w:tcPr>
          <w:p w14:paraId="1D54C2F7" w14:textId="77777777" w:rsidR="00000000" w:rsidRDefault="00405D16">
            <w:pPr>
              <w:spacing w:after="100"/>
              <w:rPr>
                <w:rFonts w:eastAsia="Times New Roman"/>
                <w:sz w:val="20"/>
                <w:szCs w:val="20"/>
              </w:rPr>
            </w:pPr>
          </w:p>
        </w:tc>
        <w:tc>
          <w:tcPr>
            <w:tcW w:w="0" w:type="auto"/>
            <w:gridSpan w:val="3"/>
            <w:vAlign w:val="center"/>
            <w:hideMark/>
          </w:tcPr>
          <w:p w14:paraId="57C84C41"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A22413D" w14:textId="77777777" w:rsidR="00000000" w:rsidRDefault="00405D16">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F2DA304" w14:textId="77777777" w:rsidR="00000000" w:rsidRDefault="00405D16">
            <w:pPr>
              <w:spacing w:after="100"/>
              <w:jc w:val="center"/>
              <w:rPr>
                <w:rFonts w:eastAsia="Times New Roman"/>
              </w:rPr>
            </w:pPr>
            <w:r>
              <w:rPr>
                <w:rFonts w:eastAsia="Times New Roman"/>
                <w:b/>
                <w:bCs/>
                <w:color w:val="000000"/>
                <w:sz w:val="16"/>
                <w:szCs w:val="16"/>
              </w:rPr>
              <w:t>Change</w:t>
            </w:r>
          </w:p>
        </w:tc>
        <w:tc>
          <w:tcPr>
            <w:tcW w:w="0" w:type="auto"/>
            <w:gridSpan w:val="3"/>
            <w:vAlign w:val="center"/>
            <w:hideMark/>
          </w:tcPr>
          <w:p w14:paraId="24D3B2D6" w14:textId="77777777" w:rsidR="00000000" w:rsidRDefault="00405D16">
            <w:pPr>
              <w:spacing w:after="100"/>
              <w:jc w:val="center"/>
              <w:rPr>
                <w:rFonts w:eastAsia="Times New Roman"/>
              </w:rPr>
            </w:pPr>
          </w:p>
        </w:tc>
        <w:tc>
          <w:tcPr>
            <w:tcW w:w="0" w:type="auto"/>
            <w:gridSpan w:val="2"/>
            <w:vAlign w:val="center"/>
            <w:hideMark/>
          </w:tcPr>
          <w:p w14:paraId="6880822C" w14:textId="77777777" w:rsidR="00000000" w:rsidRDefault="00405D16">
            <w:pPr>
              <w:spacing w:after="100"/>
              <w:rPr>
                <w:rFonts w:eastAsia="Times New Roman"/>
                <w:sz w:val="20"/>
                <w:szCs w:val="20"/>
              </w:rPr>
            </w:pPr>
          </w:p>
        </w:tc>
      </w:tr>
      <w:tr w:rsidR="00000000" w14:paraId="4F5729DA" w14:textId="77777777">
        <w:trPr>
          <w:divId w:val="2103602330"/>
        </w:trPr>
        <w:tc>
          <w:tcPr>
            <w:tcW w:w="0" w:type="auto"/>
            <w:gridSpan w:val="3"/>
            <w:shd w:val="clear" w:color="auto" w:fill="CCEEFF"/>
            <w:tcMar>
              <w:top w:w="30" w:type="dxa"/>
              <w:left w:w="20" w:type="dxa"/>
              <w:bottom w:w="30" w:type="dxa"/>
              <w:right w:w="20" w:type="dxa"/>
            </w:tcMar>
            <w:vAlign w:val="center"/>
            <w:hideMark/>
          </w:tcPr>
          <w:p w14:paraId="4326DE2E" w14:textId="77777777" w:rsidR="00000000" w:rsidRDefault="00405D16">
            <w:pPr>
              <w:spacing w:after="100"/>
              <w:rPr>
                <w:rFonts w:eastAsia="Times New Roman"/>
              </w:rPr>
            </w:pPr>
            <w:r>
              <w:rPr>
                <w:rFonts w:eastAsia="Times New Roman"/>
                <w:b/>
                <w:bCs/>
                <w:color w:val="000000"/>
                <w:sz w:val="18"/>
                <w:szCs w:val="18"/>
              </w:rPr>
              <w:t>Balance sheet (average balances)</w:t>
            </w:r>
          </w:p>
        </w:tc>
        <w:tc>
          <w:tcPr>
            <w:tcW w:w="0" w:type="auto"/>
            <w:gridSpan w:val="3"/>
            <w:shd w:val="clear" w:color="auto" w:fill="CCEEFF"/>
            <w:tcMar>
              <w:top w:w="0" w:type="dxa"/>
              <w:left w:w="20" w:type="dxa"/>
              <w:bottom w:w="0" w:type="dxa"/>
              <w:right w:w="20" w:type="dxa"/>
            </w:tcMar>
            <w:vAlign w:val="center"/>
            <w:hideMark/>
          </w:tcPr>
          <w:p w14:paraId="45266AFE"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E37BC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102B2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554BD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4C5A6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357B6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CB478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82DEB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A76E9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4B96B6" w14:textId="77777777" w:rsidR="00000000" w:rsidRDefault="00405D16">
            <w:pPr>
              <w:spacing w:after="100"/>
              <w:rPr>
                <w:rFonts w:eastAsia="Times New Roman"/>
                <w:sz w:val="20"/>
                <w:szCs w:val="20"/>
              </w:rPr>
            </w:pPr>
          </w:p>
        </w:tc>
        <w:tc>
          <w:tcPr>
            <w:tcW w:w="0" w:type="auto"/>
            <w:vAlign w:val="center"/>
            <w:hideMark/>
          </w:tcPr>
          <w:p w14:paraId="1FE1B2DD" w14:textId="77777777" w:rsidR="00000000" w:rsidRDefault="00405D16">
            <w:pPr>
              <w:spacing w:after="100"/>
              <w:rPr>
                <w:rFonts w:eastAsia="Times New Roman"/>
                <w:sz w:val="20"/>
                <w:szCs w:val="20"/>
              </w:rPr>
            </w:pPr>
          </w:p>
        </w:tc>
        <w:tc>
          <w:tcPr>
            <w:tcW w:w="0" w:type="auto"/>
            <w:vAlign w:val="center"/>
            <w:hideMark/>
          </w:tcPr>
          <w:p w14:paraId="30978D98" w14:textId="77777777" w:rsidR="00000000" w:rsidRDefault="00405D16">
            <w:pPr>
              <w:spacing w:after="100"/>
              <w:rPr>
                <w:rFonts w:eastAsia="Times New Roman"/>
                <w:sz w:val="20"/>
                <w:szCs w:val="20"/>
              </w:rPr>
            </w:pPr>
          </w:p>
        </w:tc>
        <w:tc>
          <w:tcPr>
            <w:tcW w:w="0" w:type="auto"/>
            <w:gridSpan w:val="3"/>
            <w:vAlign w:val="center"/>
            <w:hideMark/>
          </w:tcPr>
          <w:p w14:paraId="411FDABB" w14:textId="77777777" w:rsidR="00000000" w:rsidRDefault="00405D16">
            <w:pPr>
              <w:spacing w:after="100"/>
              <w:rPr>
                <w:rFonts w:eastAsia="Times New Roman"/>
                <w:sz w:val="20"/>
                <w:szCs w:val="20"/>
              </w:rPr>
            </w:pPr>
          </w:p>
        </w:tc>
        <w:tc>
          <w:tcPr>
            <w:tcW w:w="0" w:type="auto"/>
            <w:gridSpan w:val="3"/>
            <w:vAlign w:val="center"/>
            <w:hideMark/>
          </w:tcPr>
          <w:p w14:paraId="7E1721F4" w14:textId="77777777" w:rsidR="00000000" w:rsidRDefault="00405D16">
            <w:pPr>
              <w:spacing w:after="100"/>
              <w:rPr>
                <w:rFonts w:eastAsia="Times New Roman"/>
                <w:sz w:val="20"/>
                <w:szCs w:val="20"/>
              </w:rPr>
            </w:pPr>
          </w:p>
        </w:tc>
        <w:tc>
          <w:tcPr>
            <w:tcW w:w="0" w:type="auto"/>
            <w:gridSpan w:val="3"/>
            <w:vAlign w:val="center"/>
            <w:hideMark/>
          </w:tcPr>
          <w:p w14:paraId="587E8EAA" w14:textId="77777777" w:rsidR="00000000" w:rsidRDefault="00405D16">
            <w:pPr>
              <w:spacing w:after="100"/>
              <w:rPr>
                <w:rFonts w:eastAsia="Times New Roman"/>
                <w:sz w:val="20"/>
                <w:szCs w:val="20"/>
              </w:rPr>
            </w:pPr>
          </w:p>
        </w:tc>
        <w:tc>
          <w:tcPr>
            <w:tcW w:w="0" w:type="auto"/>
            <w:gridSpan w:val="3"/>
            <w:vAlign w:val="center"/>
            <w:hideMark/>
          </w:tcPr>
          <w:p w14:paraId="0A3407D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1EB00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5306D4" w14:textId="77777777" w:rsidR="00000000" w:rsidRDefault="00405D16">
            <w:pPr>
              <w:spacing w:after="100"/>
              <w:rPr>
                <w:rFonts w:eastAsia="Times New Roman"/>
                <w:sz w:val="20"/>
                <w:szCs w:val="20"/>
              </w:rPr>
            </w:pPr>
          </w:p>
        </w:tc>
        <w:tc>
          <w:tcPr>
            <w:tcW w:w="0" w:type="auto"/>
            <w:gridSpan w:val="3"/>
            <w:vAlign w:val="center"/>
            <w:hideMark/>
          </w:tcPr>
          <w:p w14:paraId="0139E583" w14:textId="77777777" w:rsidR="00000000" w:rsidRDefault="00405D16">
            <w:pPr>
              <w:spacing w:after="100"/>
              <w:rPr>
                <w:rFonts w:eastAsia="Times New Roman"/>
                <w:sz w:val="20"/>
                <w:szCs w:val="20"/>
              </w:rPr>
            </w:pPr>
          </w:p>
        </w:tc>
        <w:tc>
          <w:tcPr>
            <w:tcW w:w="0" w:type="auto"/>
            <w:gridSpan w:val="2"/>
            <w:vAlign w:val="center"/>
            <w:hideMark/>
          </w:tcPr>
          <w:p w14:paraId="252674AF" w14:textId="77777777" w:rsidR="00000000" w:rsidRDefault="00405D16">
            <w:pPr>
              <w:spacing w:after="100"/>
              <w:rPr>
                <w:rFonts w:eastAsia="Times New Roman"/>
                <w:sz w:val="20"/>
                <w:szCs w:val="20"/>
              </w:rPr>
            </w:pPr>
          </w:p>
        </w:tc>
      </w:tr>
      <w:tr w:rsidR="00000000" w14:paraId="53A13ED7" w14:textId="77777777">
        <w:trPr>
          <w:divId w:val="2103602330"/>
        </w:trPr>
        <w:tc>
          <w:tcPr>
            <w:tcW w:w="0" w:type="auto"/>
            <w:gridSpan w:val="3"/>
            <w:shd w:val="clear" w:color="auto" w:fill="FFFFFF"/>
            <w:tcMar>
              <w:top w:w="30" w:type="dxa"/>
              <w:left w:w="20" w:type="dxa"/>
              <w:bottom w:w="30" w:type="dxa"/>
              <w:right w:w="20" w:type="dxa"/>
            </w:tcMar>
            <w:vAlign w:val="center"/>
            <w:hideMark/>
          </w:tcPr>
          <w:p w14:paraId="5DED7216" w14:textId="77777777" w:rsidR="00000000" w:rsidRDefault="00405D16">
            <w:pPr>
              <w:spacing w:after="100"/>
              <w:rPr>
                <w:rFonts w:eastAsia="Times New Roman"/>
              </w:rPr>
            </w:pPr>
            <w:r>
              <w:rPr>
                <w:rFonts w:eastAsia="Times New Roman"/>
                <w:color w:val="000000"/>
                <w:sz w:val="18"/>
                <w:szCs w:val="18"/>
              </w:rPr>
              <w:t>Loans held for investment</w:t>
            </w:r>
          </w:p>
        </w:tc>
        <w:tc>
          <w:tcPr>
            <w:tcW w:w="0" w:type="auto"/>
            <w:gridSpan w:val="3"/>
            <w:shd w:val="clear" w:color="auto" w:fill="FFFFFF"/>
            <w:tcMar>
              <w:top w:w="0" w:type="dxa"/>
              <w:left w:w="20" w:type="dxa"/>
              <w:bottom w:w="0" w:type="dxa"/>
              <w:right w:w="20" w:type="dxa"/>
            </w:tcMar>
            <w:vAlign w:val="center"/>
            <w:hideMark/>
          </w:tcPr>
          <w:p w14:paraId="793EAF13"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74CF5A1E"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51C13898" w14:textId="77777777" w:rsidR="00000000" w:rsidRDefault="00405D16">
            <w:pPr>
              <w:spacing w:after="100"/>
              <w:jc w:val="right"/>
              <w:rPr>
                <w:rFonts w:eastAsia="Times New Roman"/>
              </w:rPr>
            </w:pPr>
            <w:r>
              <w:rPr>
                <w:rFonts w:eastAsia="Times New Roman"/>
                <w:b/>
                <w:bCs/>
                <w:color w:val="000000"/>
                <w:sz w:val="18"/>
                <w:szCs w:val="18"/>
              </w:rPr>
              <w:t>253,101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CA4F74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AE8939"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5D33F6D"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54350BC4" w14:textId="77777777" w:rsidR="00000000" w:rsidRDefault="00405D16">
            <w:pPr>
              <w:spacing w:after="100"/>
              <w:jc w:val="right"/>
              <w:rPr>
                <w:rFonts w:eastAsia="Times New Roman"/>
              </w:rPr>
            </w:pPr>
            <w:r>
              <w:rPr>
                <w:rFonts w:eastAsia="Times New Roman"/>
                <w:color w:val="000000"/>
                <w:sz w:val="18"/>
                <w:szCs w:val="18"/>
              </w:rPr>
              <w:t>249,511 </w:t>
            </w:r>
          </w:p>
        </w:tc>
        <w:tc>
          <w:tcPr>
            <w:tcW w:w="0" w:type="auto"/>
            <w:shd w:val="clear" w:color="auto" w:fill="FFFFFF"/>
            <w:tcMar>
              <w:top w:w="30" w:type="dxa"/>
              <w:left w:w="0" w:type="dxa"/>
              <w:bottom w:w="30" w:type="dxa"/>
              <w:right w:w="20" w:type="dxa"/>
            </w:tcMar>
            <w:vAlign w:val="center"/>
            <w:hideMark/>
          </w:tcPr>
          <w:p w14:paraId="12114FD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31E68B"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14:paraId="3E6635BE" w14:textId="77777777" w:rsidR="00000000" w:rsidRDefault="00405D16">
            <w:pPr>
              <w:spacing w:after="100"/>
              <w:jc w:val="right"/>
              <w:rPr>
                <w:rFonts w:eastAsia="Times New Roman"/>
              </w:rPr>
            </w:pPr>
            <w:r>
              <w:rPr>
                <w:rFonts w:eastAsia="Times New Roman"/>
                <w:color w:val="000000"/>
                <w:sz w:val="18"/>
                <w:szCs w:val="18"/>
              </w:rPr>
              <w:t>1%</w:t>
            </w:r>
          </w:p>
        </w:tc>
        <w:tc>
          <w:tcPr>
            <w:tcW w:w="0" w:type="auto"/>
            <w:gridSpan w:val="3"/>
            <w:shd w:val="clear" w:color="auto" w:fill="FFFFFF"/>
            <w:tcMar>
              <w:top w:w="0" w:type="dxa"/>
              <w:left w:w="20" w:type="dxa"/>
              <w:bottom w:w="0" w:type="dxa"/>
              <w:right w:w="20" w:type="dxa"/>
            </w:tcMar>
            <w:vAlign w:val="center"/>
            <w:hideMark/>
          </w:tcPr>
          <w:p w14:paraId="72288C4B" w14:textId="77777777" w:rsidR="00000000" w:rsidRDefault="00405D16">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189B0406" w14:textId="77777777" w:rsidR="00000000" w:rsidRDefault="00405D16">
            <w:pPr>
              <w:spacing w:after="100"/>
              <w:rPr>
                <w:rFonts w:eastAsia="Times New Roman"/>
              </w:rPr>
            </w:pPr>
            <w:r>
              <w:rPr>
                <w:rFonts w:eastAsia="Times New Roman"/>
                <w:b/>
                <w:bCs/>
                <w:color w:val="000000"/>
                <w:sz w:val="17"/>
                <w:szCs w:val="17"/>
              </w:rPr>
              <w:t>$</w:t>
            </w:r>
          </w:p>
        </w:tc>
        <w:tc>
          <w:tcPr>
            <w:tcW w:w="0" w:type="auto"/>
            <w:shd w:val="clear" w:color="auto" w:fill="FFFFFF"/>
            <w:tcMar>
              <w:top w:w="30" w:type="dxa"/>
              <w:left w:w="0" w:type="dxa"/>
              <w:bottom w:w="30" w:type="dxa"/>
              <w:right w:w="0" w:type="dxa"/>
            </w:tcMar>
            <w:vAlign w:val="center"/>
            <w:hideMark/>
          </w:tcPr>
          <w:p w14:paraId="0DF60784" w14:textId="77777777" w:rsidR="00000000" w:rsidRDefault="00405D16">
            <w:pPr>
              <w:spacing w:after="100"/>
              <w:jc w:val="right"/>
              <w:rPr>
                <w:rFonts w:eastAsia="Times New Roman"/>
              </w:rPr>
            </w:pPr>
            <w:r>
              <w:rPr>
                <w:rFonts w:eastAsia="Times New Roman"/>
                <w:b/>
                <w:bCs/>
                <w:color w:val="000000"/>
                <w:sz w:val="17"/>
                <w:szCs w:val="17"/>
              </w:rPr>
              <w:t>247,867</w:t>
            </w:r>
            <w:r>
              <w:rPr>
                <w:rFonts w:eastAsia="Times New Roman"/>
                <w:color w:val="000000"/>
                <w:sz w:val="17"/>
                <w:szCs w:val="17"/>
              </w:rPr>
              <w:t> </w:t>
            </w:r>
          </w:p>
        </w:tc>
        <w:tc>
          <w:tcPr>
            <w:tcW w:w="0" w:type="auto"/>
            <w:shd w:val="clear" w:color="auto" w:fill="FFFFFF"/>
            <w:tcMar>
              <w:top w:w="30" w:type="dxa"/>
              <w:left w:w="0" w:type="dxa"/>
              <w:bottom w:w="30" w:type="dxa"/>
              <w:right w:w="20" w:type="dxa"/>
            </w:tcMar>
            <w:vAlign w:val="center"/>
            <w:hideMark/>
          </w:tcPr>
          <w:p w14:paraId="328B024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E462C0"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9AD0F41"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2F2F1099" w14:textId="77777777" w:rsidR="00000000" w:rsidRDefault="00405D16">
            <w:pPr>
              <w:spacing w:after="100"/>
              <w:jc w:val="right"/>
              <w:rPr>
                <w:rFonts w:eastAsia="Times New Roman"/>
              </w:rPr>
            </w:pPr>
            <w:r>
              <w:rPr>
                <w:rFonts w:eastAsia="Times New Roman"/>
                <w:color w:val="000000"/>
                <w:sz w:val="18"/>
                <w:szCs w:val="18"/>
              </w:rPr>
              <w:t>255,232 </w:t>
            </w:r>
          </w:p>
        </w:tc>
        <w:tc>
          <w:tcPr>
            <w:tcW w:w="0" w:type="auto"/>
            <w:shd w:val="clear" w:color="auto" w:fill="FFFFFF"/>
            <w:tcMar>
              <w:top w:w="30" w:type="dxa"/>
              <w:left w:w="0" w:type="dxa"/>
              <w:bottom w:w="30" w:type="dxa"/>
              <w:right w:w="20" w:type="dxa"/>
            </w:tcMar>
            <w:vAlign w:val="center"/>
            <w:hideMark/>
          </w:tcPr>
          <w:p w14:paraId="3B9C8B35" w14:textId="77777777" w:rsidR="00000000" w:rsidRDefault="00405D16">
            <w:pPr>
              <w:spacing w:after="100"/>
              <w:jc w:val="right"/>
              <w:rPr>
                <w:rFonts w:eastAsia="Times New Roman"/>
              </w:rPr>
            </w:pPr>
          </w:p>
        </w:tc>
        <w:tc>
          <w:tcPr>
            <w:tcW w:w="0" w:type="auto"/>
            <w:vAlign w:val="center"/>
            <w:hideMark/>
          </w:tcPr>
          <w:p w14:paraId="7F9550FC" w14:textId="77777777" w:rsidR="00000000" w:rsidRDefault="00405D16">
            <w:pPr>
              <w:spacing w:after="100"/>
              <w:jc w:val="right"/>
              <w:rPr>
                <w:rFonts w:eastAsia="Times New Roman"/>
                <w:sz w:val="20"/>
                <w:szCs w:val="20"/>
              </w:rPr>
            </w:pPr>
          </w:p>
        </w:tc>
        <w:tc>
          <w:tcPr>
            <w:tcW w:w="0" w:type="auto"/>
            <w:vAlign w:val="center"/>
            <w:hideMark/>
          </w:tcPr>
          <w:p w14:paraId="1E50C07F" w14:textId="77777777" w:rsidR="00000000" w:rsidRDefault="00405D16">
            <w:pPr>
              <w:spacing w:after="100"/>
              <w:rPr>
                <w:rFonts w:eastAsia="Times New Roman"/>
                <w:sz w:val="20"/>
                <w:szCs w:val="20"/>
              </w:rPr>
            </w:pPr>
          </w:p>
        </w:tc>
        <w:tc>
          <w:tcPr>
            <w:tcW w:w="0" w:type="auto"/>
            <w:gridSpan w:val="3"/>
            <w:vAlign w:val="center"/>
            <w:hideMark/>
          </w:tcPr>
          <w:p w14:paraId="1AF57FD0" w14:textId="77777777" w:rsidR="00000000" w:rsidRDefault="00405D16">
            <w:pPr>
              <w:spacing w:after="100"/>
              <w:rPr>
                <w:rFonts w:eastAsia="Times New Roman"/>
                <w:sz w:val="20"/>
                <w:szCs w:val="20"/>
              </w:rPr>
            </w:pPr>
          </w:p>
        </w:tc>
        <w:tc>
          <w:tcPr>
            <w:tcW w:w="0" w:type="auto"/>
            <w:gridSpan w:val="3"/>
            <w:vAlign w:val="center"/>
            <w:hideMark/>
          </w:tcPr>
          <w:p w14:paraId="57350077" w14:textId="77777777" w:rsidR="00000000" w:rsidRDefault="00405D16">
            <w:pPr>
              <w:spacing w:after="100"/>
              <w:rPr>
                <w:rFonts w:eastAsia="Times New Roman"/>
                <w:sz w:val="20"/>
                <w:szCs w:val="20"/>
              </w:rPr>
            </w:pPr>
          </w:p>
        </w:tc>
        <w:tc>
          <w:tcPr>
            <w:tcW w:w="0" w:type="auto"/>
            <w:gridSpan w:val="3"/>
            <w:vAlign w:val="center"/>
            <w:hideMark/>
          </w:tcPr>
          <w:p w14:paraId="275FAE06" w14:textId="77777777" w:rsidR="00000000" w:rsidRDefault="00405D16">
            <w:pPr>
              <w:spacing w:after="100"/>
              <w:rPr>
                <w:rFonts w:eastAsia="Times New Roman"/>
                <w:sz w:val="20"/>
                <w:szCs w:val="20"/>
              </w:rPr>
            </w:pPr>
          </w:p>
        </w:tc>
        <w:tc>
          <w:tcPr>
            <w:tcW w:w="0" w:type="auto"/>
            <w:gridSpan w:val="3"/>
            <w:vAlign w:val="center"/>
            <w:hideMark/>
          </w:tcPr>
          <w:p w14:paraId="1CA3D90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C98189" w14:textId="77777777" w:rsidR="00000000" w:rsidRDefault="00405D16">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14:paraId="517B541D" w14:textId="77777777" w:rsidR="00000000" w:rsidRDefault="00405D16">
            <w:pPr>
              <w:spacing w:after="100"/>
              <w:jc w:val="right"/>
              <w:rPr>
                <w:rFonts w:eastAsia="Times New Roman"/>
              </w:rPr>
            </w:pPr>
            <w:r>
              <w:rPr>
                <w:rFonts w:eastAsia="Times New Roman"/>
                <w:color w:val="000000"/>
                <w:sz w:val="18"/>
                <w:szCs w:val="18"/>
              </w:rPr>
              <w:t>(3)%</w:t>
            </w:r>
          </w:p>
        </w:tc>
        <w:tc>
          <w:tcPr>
            <w:tcW w:w="0" w:type="auto"/>
            <w:gridSpan w:val="3"/>
            <w:vAlign w:val="center"/>
            <w:hideMark/>
          </w:tcPr>
          <w:p w14:paraId="0356B33B" w14:textId="77777777" w:rsidR="00000000" w:rsidRDefault="00405D16">
            <w:pPr>
              <w:spacing w:after="100"/>
              <w:jc w:val="right"/>
              <w:rPr>
                <w:rFonts w:eastAsia="Times New Roman"/>
              </w:rPr>
            </w:pPr>
          </w:p>
        </w:tc>
        <w:tc>
          <w:tcPr>
            <w:tcW w:w="0" w:type="auto"/>
            <w:gridSpan w:val="2"/>
            <w:vAlign w:val="center"/>
            <w:hideMark/>
          </w:tcPr>
          <w:p w14:paraId="302697FB" w14:textId="77777777" w:rsidR="00000000" w:rsidRDefault="00405D16">
            <w:pPr>
              <w:spacing w:after="100"/>
              <w:rPr>
                <w:rFonts w:eastAsia="Times New Roman"/>
                <w:sz w:val="20"/>
                <w:szCs w:val="20"/>
              </w:rPr>
            </w:pPr>
          </w:p>
        </w:tc>
      </w:tr>
      <w:tr w:rsidR="00000000" w14:paraId="78772AEC" w14:textId="77777777">
        <w:trPr>
          <w:divId w:val="2103602330"/>
        </w:trPr>
        <w:tc>
          <w:tcPr>
            <w:tcW w:w="0" w:type="auto"/>
            <w:gridSpan w:val="3"/>
            <w:shd w:val="clear" w:color="auto" w:fill="CCEEFF"/>
            <w:tcMar>
              <w:top w:w="30" w:type="dxa"/>
              <w:left w:w="20" w:type="dxa"/>
              <w:bottom w:w="30" w:type="dxa"/>
              <w:right w:w="20" w:type="dxa"/>
            </w:tcMar>
            <w:vAlign w:val="center"/>
            <w:hideMark/>
          </w:tcPr>
          <w:p w14:paraId="6BF4A2F5" w14:textId="77777777" w:rsidR="00000000" w:rsidRDefault="00405D16">
            <w:pPr>
              <w:spacing w:after="100"/>
              <w:rPr>
                <w:rFonts w:eastAsia="Times New Roman"/>
              </w:rPr>
            </w:pPr>
            <w:r>
              <w:rPr>
                <w:rFonts w:eastAsia="Times New Roman"/>
                <w:color w:val="000000"/>
                <w:sz w:val="18"/>
                <w:szCs w:val="18"/>
              </w:rPr>
              <w:t>Interest-earning assets</w:t>
            </w:r>
          </w:p>
        </w:tc>
        <w:tc>
          <w:tcPr>
            <w:tcW w:w="0" w:type="auto"/>
            <w:gridSpan w:val="3"/>
            <w:shd w:val="clear" w:color="auto" w:fill="CCEEFF"/>
            <w:tcMar>
              <w:top w:w="0" w:type="dxa"/>
              <w:left w:w="20" w:type="dxa"/>
              <w:bottom w:w="0" w:type="dxa"/>
              <w:right w:w="20" w:type="dxa"/>
            </w:tcMar>
            <w:vAlign w:val="center"/>
            <w:hideMark/>
          </w:tcPr>
          <w:p w14:paraId="231C7D94"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70A51E3" w14:textId="77777777" w:rsidR="00000000" w:rsidRDefault="00405D16">
            <w:pPr>
              <w:spacing w:after="100"/>
              <w:jc w:val="right"/>
              <w:rPr>
                <w:rFonts w:eastAsia="Times New Roman"/>
              </w:rPr>
            </w:pPr>
            <w:r>
              <w:rPr>
                <w:rFonts w:eastAsia="Times New Roman"/>
                <w:b/>
                <w:bCs/>
                <w:color w:val="000000"/>
                <w:sz w:val="18"/>
                <w:szCs w:val="18"/>
              </w:rPr>
              <w:t>387,766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1F4310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08CE6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CE3137F" w14:textId="77777777" w:rsidR="00000000" w:rsidRDefault="00405D16">
            <w:pPr>
              <w:spacing w:after="100"/>
              <w:jc w:val="right"/>
              <w:rPr>
                <w:rFonts w:eastAsia="Times New Roman"/>
              </w:rPr>
            </w:pPr>
            <w:r>
              <w:rPr>
                <w:rFonts w:eastAsia="Times New Roman"/>
                <w:color w:val="000000"/>
                <w:sz w:val="18"/>
                <w:szCs w:val="18"/>
              </w:rPr>
              <w:t>391,451 </w:t>
            </w:r>
          </w:p>
        </w:tc>
        <w:tc>
          <w:tcPr>
            <w:tcW w:w="0" w:type="auto"/>
            <w:shd w:val="clear" w:color="auto" w:fill="CCEEFF"/>
            <w:tcMar>
              <w:top w:w="30" w:type="dxa"/>
              <w:left w:w="0" w:type="dxa"/>
              <w:bottom w:w="30" w:type="dxa"/>
              <w:right w:w="20" w:type="dxa"/>
            </w:tcMar>
            <w:vAlign w:val="center"/>
            <w:hideMark/>
          </w:tcPr>
          <w:p w14:paraId="6E6FC3F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BD5928"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0B123491" w14:textId="77777777" w:rsidR="00000000" w:rsidRDefault="00405D16">
            <w:pPr>
              <w:spacing w:after="100"/>
              <w:jc w:val="right"/>
              <w:rPr>
                <w:rFonts w:eastAsia="Times New Roman"/>
              </w:rPr>
            </w:pPr>
            <w:r>
              <w:rPr>
                <w:rFonts w:eastAsia="Times New Roman"/>
                <w:color w:val="000000"/>
                <w:sz w:val="18"/>
                <w:szCs w:val="18"/>
              </w:rPr>
              <w:t>(1)</w:t>
            </w:r>
          </w:p>
        </w:tc>
        <w:tc>
          <w:tcPr>
            <w:tcW w:w="0" w:type="auto"/>
            <w:gridSpan w:val="3"/>
            <w:shd w:val="clear" w:color="auto" w:fill="CCEEFF"/>
            <w:tcMar>
              <w:top w:w="0" w:type="dxa"/>
              <w:left w:w="20" w:type="dxa"/>
              <w:bottom w:w="0" w:type="dxa"/>
              <w:right w:w="20" w:type="dxa"/>
            </w:tcMar>
            <w:vAlign w:val="center"/>
            <w:hideMark/>
          </w:tcPr>
          <w:p w14:paraId="54775AC4"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1E204F9" w14:textId="77777777" w:rsidR="00000000" w:rsidRDefault="00405D16">
            <w:pPr>
              <w:spacing w:after="100"/>
              <w:jc w:val="right"/>
              <w:rPr>
                <w:rFonts w:eastAsia="Times New Roman"/>
              </w:rPr>
            </w:pPr>
            <w:r>
              <w:rPr>
                <w:rFonts w:eastAsia="Times New Roman"/>
                <w:b/>
                <w:bCs/>
                <w:color w:val="000000"/>
                <w:sz w:val="18"/>
                <w:szCs w:val="18"/>
              </w:rPr>
              <w:t>388,820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6E569E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1D55A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26CE7FA" w14:textId="77777777" w:rsidR="00000000" w:rsidRDefault="00405D16">
            <w:pPr>
              <w:spacing w:after="100"/>
              <w:jc w:val="right"/>
              <w:rPr>
                <w:rFonts w:eastAsia="Times New Roman"/>
              </w:rPr>
            </w:pPr>
            <w:r>
              <w:rPr>
                <w:rFonts w:eastAsia="Times New Roman"/>
                <w:color w:val="000000"/>
                <w:sz w:val="18"/>
                <w:szCs w:val="18"/>
              </w:rPr>
              <w:t>375,041 </w:t>
            </w:r>
          </w:p>
        </w:tc>
        <w:tc>
          <w:tcPr>
            <w:tcW w:w="0" w:type="auto"/>
            <w:shd w:val="clear" w:color="auto" w:fill="CCEEFF"/>
            <w:tcMar>
              <w:top w:w="30" w:type="dxa"/>
              <w:left w:w="0" w:type="dxa"/>
              <w:bottom w:w="30" w:type="dxa"/>
              <w:right w:w="20" w:type="dxa"/>
            </w:tcMar>
            <w:vAlign w:val="center"/>
            <w:hideMark/>
          </w:tcPr>
          <w:p w14:paraId="770C2DA5" w14:textId="77777777" w:rsidR="00000000" w:rsidRDefault="00405D16">
            <w:pPr>
              <w:spacing w:after="100"/>
              <w:jc w:val="right"/>
              <w:rPr>
                <w:rFonts w:eastAsia="Times New Roman"/>
              </w:rPr>
            </w:pPr>
          </w:p>
        </w:tc>
        <w:tc>
          <w:tcPr>
            <w:tcW w:w="0" w:type="auto"/>
            <w:vAlign w:val="center"/>
            <w:hideMark/>
          </w:tcPr>
          <w:p w14:paraId="29400C41" w14:textId="77777777" w:rsidR="00000000" w:rsidRDefault="00405D16">
            <w:pPr>
              <w:spacing w:after="100"/>
              <w:jc w:val="right"/>
              <w:rPr>
                <w:rFonts w:eastAsia="Times New Roman"/>
                <w:sz w:val="20"/>
                <w:szCs w:val="20"/>
              </w:rPr>
            </w:pPr>
          </w:p>
        </w:tc>
        <w:tc>
          <w:tcPr>
            <w:tcW w:w="0" w:type="auto"/>
            <w:vAlign w:val="center"/>
            <w:hideMark/>
          </w:tcPr>
          <w:p w14:paraId="1922D017" w14:textId="77777777" w:rsidR="00000000" w:rsidRDefault="00405D16">
            <w:pPr>
              <w:spacing w:after="100"/>
              <w:rPr>
                <w:rFonts w:eastAsia="Times New Roman"/>
                <w:sz w:val="20"/>
                <w:szCs w:val="20"/>
              </w:rPr>
            </w:pPr>
          </w:p>
        </w:tc>
        <w:tc>
          <w:tcPr>
            <w:tcW w:w="0" w:type="auto"/>
            <w:gridSpan w:val="3"/>
            <w:vAlign w:val="center"/>
            <w:hideMark/>
          </w:tcPr>
          <w:p w14:paraId="6795B7DA" w14:textId="77777777" w:rsidR="00000000" w:rsidRDefault="00405D16">
            <w:pPr>
              <w:spacing w:after="100"/>
              <w:rPr>
                <w:rFonts w:eastAsia="Times New Roman"/>
                <w:sz w:val="20"/>
                <w:szCs w:val="20"/>
              </w:rPr>
            </w:pPr>
          </w:p>
        </w:tc>
        <w:tc>
          <w:tcPr>
            <w:tcW w:w="0" w:type="auto"/>
            <w:gridSpan w:val="3"/>
            <w:vAlign w:val="center"/>
            <w:hideMark/>
          </w:tcPr>
          <w:p w14:paraId="75BB1A8E" w14:textId="77777777" w:rsidR="00000000" w:rsidRDefault="00405D16">
            <w:pPr>
              <w:spacing w:after="100"/>
              <w:rPr>
                <w:rFonts w:eastAsia="Times New Roman"/>
                <w:sz w:val="20"/>
                <w:szCs w:val="20"/>
              </w:rPr>
            </w:pPr>
          </w:p>
        </w:tc>
        <w:tc>
          <w:tcPr>
            <w:tcW w:w="0" w:type="auto"/>
            <w:gridSpan w:val="3"/>
            <w:vAlign w:val="center"/>
            <w:hideMark/>
          </w:tcPr>
          <w:p w14:paraId="25F6BD29" w14:textId="77777777" w:rsidR="00000000" w:rsidRDefault="00405D16">
            <w:pPr>
              <w:spacing w:after="100"/>
              <w:rPr>
                <w:rFonts w:eastAsia="Times New Roman"/>
                <w:sz w:val="20"/>
                <w:szCs w:val="20"/>
              </w:rPr>
            </w:pPr>
          </w:p>
        </w:tc>
        <w:tc>
          <w:tcPr>
            <w:tcW w:w="0" w:type="auto"/>
            <w:gridSpan w:val="3"/>
            <w:vAlign w:val="center"/>
            <w:hideMark/>
          </w:tcPr>
          <w:p w14:paraId="05C3A63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CD2B8E" w14:textId="77777777" w:rsidR="00000000" w:rsidRDefault="00405D16">
            <w:pPr>
              <w:spacing w:after="100"/>
              <w:rPr>
                <w:rFonts w:eastAsia="Times New Roman"/>
                <w:sz w:val="20"/>
                <w:szCs w:val="20"/>
              </w:rPr>
            </w:pPr>
          </w:p>
        </w:tc>
        <w:tc>
          <w:tcPr>
            <w:tcW w:w="0" w:type="auto"/>
            <w:gridSpan w:val="3"/>
            <w:shd w:val="clear" w:color="auto" w:fill="CCEEFF"/>
            <w:tcMar>
              <w:top w:w="30" w:type="dxa"/>
              <w:left w:w="20" w:type="dxa"/>
              <w:bottom w:w="30" w:type="dxa"/>
              <w:right w:w="380" w:type="dxa"/>
            </w:tcMar>
            <w:vAlign w:val="center"/>
            <w:hideMark/>
          </w:tcPr>
          <w:p w14:paraId="030CC5AD" w14:textId="77777777" w:rsidR="00000000" w:rsidRDefault="00405D16">
            <w:pPr>
              <w:spacing w:after="100"/>
              <w:jc w:val="right"/>
              <w:rPr>
                <w:rFonts w:eastAsia="Times New Roman"/>
              </w:rPr>
            </w:pPr>
            <w:r>
              <w:rPr>
                <w:rFonts w:eastAsia="Times New Roman"/>
                <w:color w:val="000000"/>
                <w:sz w:val="18"/>
                <w:szCs w:val="18"/>
              </w:rPr>
              <w:t>4</w:t>
            </w:r>
          </w:p>
        </w:tc>
        <w:tc>
          <w:tcPr>
            <w:tcW w:w="0" w:type="auto"/>
            <w:gridSpan w:val="3"/>
            <w:vAlign w:val="center"/>
            <w:hideMark/>
          </w:tcPr>
          <w:p w14:paraId="1C081E38" w14:textId="77777777" w:rsidR="00000000" w:rsidRDefault="00405D16">
            <w:pPr>
              <w:spacing w:after="100"/>
              <w:jc w:val="right"/>
              <w:rPr>
                <w:rFonts w:eastAsia="Times New Roman"/>
              </w:rPr>
            </w:pPr>
          </w:p>
        </w:tc>
        <w:tc>
          <w:tcPr>
            <w:tcW w:w="0" w:type="auto"/>
            <w:gridSpan w:val="2"/>
            <w:vAlign w:val="center"/>
            <w:hideMark/>
          </w:tcPr>
          <w:p w14:paraId="7E7C0FCD" w14:textId="77777777" w:rsidR="00000000" w:rsidRDefault="00405D16">
            <w:pPr>
              <w:spacing w:after="100"/>
              <w:rPr>
                <w:rFonts w:eastAsia="Times New Roman"/>
                <w:sz w:val="20"/>
                <w:szCs w:val="20"/>
              </w:rPr>
            </w:pPr>
          </w:p>
        </w:tc>
      </w:tr>
      <w:tr w:rsidR="00000000" w14:paraId="090B4801" w14:textId="77777777">
        <w:trPr>
          <w:divId w:val="2103602330"/>
        </w:trPr>
        <w:tc>
          <w:tcPr>
            <w:tcW w:w="0" w:type="auto"/>
            <w:gridSpan w:val="3"/>
            <w:shd w:val="clear" w:color="auto" w:fill="FFFFFF"/>
            <w:tcMar>
              <w:top w:w="30" w:type="dxa"/>
              <w:left w:w="20" w:type="dxa"/>
              <w:bottom w:w="30" w:type="dxa"/>
              <w:right w:w="20" w:type="dxa"/>
            </w:tcMar>
            <w:vAlign w:val="center"/>
            <w:hideMark/>
          </w:tcPr>
          <w:p w14:paraId="0EB69EE4" w14:textId="77777777" w:rsidR="00000000" w:rsidRDefault="00405D16">
            <w:pPr>
              <w:spacing w:after="100"/>
              <w:rPr>
                <w:rFonts w:eastAsia="Times New Roman"/>
              </w:rPr>
            </w:pPr>
            <w:r>
              <w:rPr>
                <w:rFonts w:eastAsia="Times New Roman"/>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14:paraId="0EFA4DC0"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38565B7" w14:textId="77777777" w:rsidR="00000000" w:rsidRDefault="00405D16">
            <w:pPr>
              <w:spacing w:after="100"/>
              <w:jc w:val="right"/>
              <w:rPr>
                <w:rFonts w:eastAsia="Times New Roman"/>
              </w:rPr>
            </w:pPr>
            <w:r>
              <w:rPr>
                <w:rFonts w:eastAsia="Times New Roman"/>
                <w:b/>
                <w:bCs/>
                <w:color w:val="000000"/>
                <w:sz w:val="18"/>
                <w:szCs w:val="18"/>
              </w:rPr>
              <w:t>424,506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F9BE25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46FAA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00B74DF" w14:textId="77777777" w:rsidR="00000000" w:rsidRDefault="00405D16">
            <w:pPr>
              <w:spacing w:after="100"/>
              <w:jc w:val="right"/>
              <w:rPr>
                <w:rFonts w:eastAsia="Times New Roman"/>
              </w:rPr>
            </w:pPr>
            <w:r>
              <w:rPr>
                <w:rFonts w:eastAsia="Times New Roman"/>
                <w:color w:val="000000"/>
                <w:sz w:val="18"/>
                <w:szCs w:val="18"/>
              </w:rPr>
              <w:t>422,854 </w:t>
            </w:r>
          </w:p>
        </w:tc>
        <w:tc>
          <w:tcPr>
            <w:tcW w:w="0" w:type="auto"/>
            <w:shd w:val="clear" w:color="auto" w:fill="FFFFFF"/>
            <w:tcMar>
              <w:top w:w="30" w:type="dxa"/>
              <w:left w:w="0" w:type="dxa"/>
              <w:bottom w:w="30" w:type="dxa"/>
              <w:right w:w="20" w:type="dxa"/>
            </w:tcMar>
            <w:vAlign w:val="center"/>
            <w:hideMark/>
          </w:tcPr>
          <w:p w14:paraId="628F676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7FA75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642F61D" w14:textId="77777777" w:rsidR="00000000" w:rsidRDefault="00405D16">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1E8A40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E8A2A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BB5279B" w14:textId="77777777" w:rsidR="00000000" w:rsidRDefault="00405D16">
            <w:pPr>
              <w:spacing w:after="100"/>
              <w:jc w:val="right"/>
              <w:rPr>
                <w:rFonts w:eastAsia="Times New Roman"/>
              </w:rPr>
            </w:pPr>
            <w:r>
              <w:rPr>
                <w:rFonts w:eastAsia="Times New Roman"/>
                <w:b/>
                <w:bCs/>
                <w:color w:val="000000"/>
                <w:sz w:val="18"/>
                <w:szCs w:val="18"/>
              </w:rPr>
              <w:t>423,457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FBD229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E537B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598975D" w14:textId="77777777" w:rsidR="00000000" w:rsidRDefault="00405D16">
            <w:pPr>
              <w:spacing w:after="100"/>
              <w:jc w:val="right"/>
              <w:rPr>
                <w:rFonts w:eastAsia="Times New Roman"/>
              </w:rPr>
            </w:pPr>
            <w:r>
              <w:rPr>
                <w:rFonts w:eastAsia="Times New Roman"/>
                <w:color w:val="000000"/>
                <w:sz w:val="18"/>
                <w:szCs w:val="18"/>
              </w:rPr>
              <w:t>408,233 </w:t>
            </w:r>
          </w:p>
        </w:tc>
        <w:tc>
          <w:tcPr>
            <w:tcW w:w="0" w:type="auto"/>
            <w:shd w:val="clear" w:color="auto" w:fill="FFFFFF"/>
            <w:tcMar>
              <w:top w:w="30" w:type="dxa"/>
              <w:left w:w="0" w:type="dxa"/>
              <w:bottom w:w="30" w:type="dxa"/>
              <w:right w:w="20" w:type="dxa"/>
            </w:tcMar>
            <w:vAlign w:val="center"/>
            <w:hideMark/>
          </w:tcPr>
          <w:p w14:paraId="79F3CA16" w14:textId="77777777" w:rsidR="00000000" w:rsidRDefault="00405D16">
            <w:pPr>
              <w:spacing w:after="100"/>
              <w:jc w:val="right"/>
              <w:rPr>
                <w:rFonts w:eastAsia="Times New Roman"/>
              </w:rPr>
            </w:pPr>
          </w:p>
        </w:tc>
        <w:tc>
          <w:tcPr>
            <w:tcW w:w="0" w:type="auto"/>
            <w:vAlign w:val="center"/>
            <w:hideMark/>
          </w:tcPr>
          <w:p w14:paraId="189C9F36" w14:textId="77777777" w:rsidR="00000000" w:rsidRDefault="00405D16">
            <w:pPr>
              <w:spacing w:after="100"/>
              <w:jc w:val="right"/>
              <w:rPr>
                <w:rFonts w:eastAsia="Times New Roman"/>
                <w:sz w:val="20"/>
                <w:szCs w:val="20"/>
              </w:rPr>
            </w:pPr>
          </w:p>
        </w:tc>
        <w:tc>
          <w:tcPr>
            <w:tcW w:w="0" w:type="auto"/>
            <w:vAlign w:val="center"/>
            <w:hideMark/>
          </w:tcPr>
          <w:p w14:paraId="4B949FC7" w14:textId="77777777" w:rsidR="00000000" w:rsidRDefault="00405D16">
            <w:pPr>
              <w:spacing w:after="100"/>
              <w:rPr>
                <w:rFonts w:eastAsia="Times New Roman"/>
                <w:sz w:val="20"/>
                <w:szCs w:val="20"/>
              </w:rPr>
            </w:pPr>
          </w:p>
        </w:tc>
        <w:tc>
          <w:tcPr>
            <w:tcW w:w="0" w:type="auto"/>
            <w:gridSpan w:val="3"/>
            <w:vAlign w:val="center"/>
            <w:hideMark/>
          </w:tcPr>
          <w:p w14:paraId="1FC261DF" w14:textId="77777777" w:rsidR="00000000" w:rsidRDefault="00405D16">
            <w:pPr>
              <w:spacing w:after="100"/>
              <w:rPr>
                <w:rFonts w:eastAsia="Times New Roman"/>
                <w:sz w:val="20"/>
                <w:szCs w:val="20"/>
              </w:rPr>
            </w:pPr>
          </w:p>
        </w:tc>
        <w:tc>
          <w:tcPr>
            <w:tcW w:w="0" w:type="auto"/>
            <w:gridSpan w:val="3"/>
            <w:vAlign w:val="center"/>
            <w:hideMark/>
          </w:tcPr>
          <w:p w14:paraId="7F3173E9" w14:textId="77777777" w:rsidR="00000000" w:rsidRDefault="00405D16">
            <w:pPr>
              <w:spacing w:after="100"/>
              <w:rPr>
                <w:rFonts w:eastAsia="Times New Roman"/>
                <w:sz w:val="20"/>
                <w:szCs w:val="20"/>
              </w:rPr>
            </w:pPr>
          </w:p>
        </w:tc>
        <w:tc>
          <w:tcPr>
            <w:tcW w:w="0" w:type="auto"/>
            <w:gridSpan w:val="3"/>
            <w:vAlign w:val="center"/>
            <w:hideMark/>
          </w:tcPr>
          <w:p w14:paraId="2738B1EC" w14:textId="77777777" w:rsidR="00000000" w:rsidRDefault="00405D16">
            <w:pPr>
              <w:spacing w:after="100"/>
              <w:rPr>
                <w:rFonts w:eastAsia="Times New Roman"/>
                <w:sz w:val="20"/>
                <w:szCs w:val="20"/>
              </w:rPr>
            </w:pPr>
          </w:p>
        </w:tc>
        <w:tc>
          <w:tcPr>
            <w:tcW w:w="0" w:type="auto"/>
            <w:gridSpan w:val="3"/>
            <w:vAlign w:val="center"/>
            <w:hideMark/>
          </w:tcPr>
          <w:p w14:paraId="450E836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D2CF24"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A618D0B" w14:textId="77777777" w:rsidR="00000000" w:rsidRDefault="00405D16">
            <w:pPr>
              <w:spacing w:after="100"/>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14:paraId="7B6CA739" w14:textId="77777777" w:rsidR="00000000" w:rsidRDefault="00405D16">
            <w:pPr>
              <w:spacing w:after="100"/>
              <w:jc w:val="right"/>
              <w:rPr>
                <w:rFonts w:eastAsia="Times New Roman"/>
              </w:rPr>
            </w:pPr>
          </w:p>
        </w:tc>
        <w:tc>
          <w:tcPr>
            <w:tcW w:w="0" w:type="auto"/>
            <w:gridSpan w:val="3"/>
            <w:vAlign w:val="center"/>
            <w:hideMark/>
          </w:tcPr>
          <w:p w14:paraId="125839CF" w14:textId="77777777" w:rsidR="00000000" w:rsidRDefault="00405D16">
            <w:pPr>
              <w:spacing w:after="100"/>
              <w:jc w:val="right"/>
              <w:rPr>
                <w:rFonts w:eastAsia="Times New Roman"/>
                <w:sz w:val="20"/>
                <w:szCs w:val="20"/>
              </w:rPr>
            </w:pPr>
          </w:p>
        </w:tc>
        <w:tc>
          <w:tcPr>
            <w:tcW w:w="0" w:type="auto"/>
            <w:gridSpan w:val="2"/>
            <w:vAlign w:val="center"/>
            <w:hideMark/>
          </w:tcPr>
          <w:p w14:paraId="5DAE76AA" w14:textId="77777777" w:rsidR="00000000" w:rsidRDefault="00405D16">
            <w:pPr>
              <w:spacing w:after="100"/>
              <w:rPr>
                <w:rFonts w:eastAsia="Times New Roman"/>
                <w:sz w:val="20"/>
                <w:szCs w:val="20"/>
              </w:rPr>
            </w:pPr>
          </w:p>
        </w:tc>
      </w:tr>
      <w:tr w:rsidR="00000000" w14:paraId="581A3ED3" w14:textId="77777777">
        <w:trPr>
          <w:divId w:val="2103602330"/>
        </w:trPr>
        <w:tc>
          <w:tcPr>
            <w:tcW w:w="0" w:type="auto"/>
            <w:gridSpan w:val="3"/>
            <w:shd w:val="clear" w:color="auto" w:fill="CCEEFF"/>
            <w:tcMar>
              <w:top w:w="30" w:type="dxa"/>
              <w:left w:w="20" w:type="dxa"/>
              <w:bottom w:w="30" w:type="dxa"/>
              <w:right w:w="20" w:type="dxa"/>
            </w:tcMar>
            <w:vAlign w:val="center"/>
            <w:hideMark/>
          </w:tcPr>
          <w:p w14:paraId="10D60597" w14:textId="77777777" w:rsidR="00000000" w:rsidRDefault="00405D16">
            <w:pPr>
              <w:spacing w:after="100"/>
              <w:rPr>
                <w:rFonts w:eastAsia="Times New Roman"/>
              </w:rPr>
            </w:pPr>
            <w:r>
              <w:rPr>
                <w:rFonts w:eastAsia="Times New Roman"/>
                <w:color w:val="000000"/>
                <w:sz w:val="18"/>
                <w:szCs w:val="18"/>
              </w:rPr>
              <w:t>Interest-bearing deposits</w:t>
            </w:r>
          </w:p>
        </w:tc>
        <w:tc>
          <w:tcPr>
            <w:tcW w:w="0" w:type="auto"/>
            <w:gridSpan w:val="3"/>
            <w:shd w:val="clear" w:color="auto" w:fill="CCEEFF"/>
            <w:tcMar>
              <w:top w:w="0" w:type="dxa"/>
              <w:left w:w="20" w:type="dxa"/>
              <w:bottom w:w="0" w:type="dxa"/>
              <w:right w:w="20" w:type="dxa"/>
            </w:tcMar>
            <w:vAlign w:val="center"/>
            <w:hideMark/>
          </w:tcPr>
          <w:p w14:paraId="7DA1204F"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9616838" w14:textId="77777777" w:rsidR="00000000" w:rsidRDefault="00405D16">
            <w:pPr>
              <w:spacing w:after="100"/>
              <w:jc w:val="right"/>
              <w:rPr>
                <w:rFonts w:eastAsia="Times New Roman"/>
              </w:rPr>
            </w:pPr>
            <w:r>
              <w:rPr>
                <w:rFonts w:eastAsia="Times New Roman"/>
                <w:b/>
                <w:bCs/>
                <w:color w:val="000000"/>
                <w:sz w:val="18"/>
                <w:szCs w:val="18"/>
              </w:rPr>
              <w:t>269,278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8E7E70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96408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6370844" w14:textId="77777777" w:rsidR="00000000" w:rsidRDefault="00405D16">
            <w:pPr>
              <w:spacing w:after="100"/>
              <w:jc w:val="right"/>
              <w:rPr>
                <w:rFonts w:eastAsia="Times New Roman"/>
              </w:rPr>
            </w:pPr>
            <w:r>
              <w:rPr>
                <w:rFonts w:eastAsia="Times New Roman"/>
                <w:color w:val="000000"/>
                <w:sz w:val="18"/>
                <w:szCs w:val="18"/>
              </w:rPr>
              <w:t>276,339 </w:t>
            </w:r>
          </w:p>
        </w:tc>
        <w:tc>
          <w:tcPr>
            <w:tcW w:w="0" w:type="auto"/>
            <w:shd w:val="clear" w:color="auto" w:fill="CCEEFF"/>
            <w:tcMar>
              <w:top w:w="30" w:type="dxa"/>
              <w:left w:w="0" w:type="dxa"/>
              <w:bottom w:w="30" w:type="dxa"/>
              <w:right w:w="20" w:type="dxa"/>
            </w:tcMar>
            <w:vAlign w:val="center"/>
            <w:hideMark/>
          </w:tcPr>
          <w:p w14:paraId="0844BE2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404A9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D797970" w14:textId="77777777" w:rsidR="00000000" w:rsidRDefault="00405D16">
            <w:pPr>
              <w:spacing w:after="100"/>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center"/>
            <w:hideMark/>
          </w:tcPr>
          <w:p w14:paraId="4834929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E8304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D8FE417" w14:textId="77777777" w:rsidR="00000000" w:rsidRDefault="00405D16">
            <w:pPr>
              <w:spacing w:after="100"/>
              <w:jc w:val="right"/>
              <w:rPr>
                <w:rFonts w:eastAsia="Times New Roman"/>
              </w:rPr>
            </w:pPr>
            <w:r>
              <w:rPr>
                <w:rFonts w:eastAsia="Times New Roman"/>
                <w:b/>
                <w:bCs/>
                <w:color w:val="000000"/>
                <w:sz w:val="18"/>
                <w:szCs w:val="18"/>
              </w:rPr>
              <w:t>272,022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42DFBD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23CE8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FB82128" w14:textId="77777777" w:rsidR="00000000" w:rsidRDefault="00405D16">
            <w:pPr>
              <w:spacing w:after="100"/>
              <w:jc w:val="right"/>
              <w:rPr>
                <w:rFonts w:eastAsia="Times New Roman"/>
              </w:rPr>
            </w:pPr>
            <w:r>
              <w:rPr>
                <w:rFonts w:eastAsia="Times New Roman"/>
                <w:color w:val="000000"/>
                <w:sz w:val="18"/>
                <w:szCs w:val="18"/>
              </w:rPr>
              <w:t>259,631 </w:t>
            </w:r>
          </w:p>
        </w:tc>
        <w:tc>
          <w:tcPr>
            <w:tcW w:w="0" w:type="auto"/>
            <w:shd w:val="clear" w:color="auto" w:fill="CCEEFF"/>
            <w:tcMar>
              <w:top w:w="30" w:type="dxa"/>
              <w:left w:w="0" w:type="dxa"/>
              <w:bottom w:w="30" w:type="dxa"/>
              <w:right w:w="20" w:type="dxa"/>
            </w:tcMar>
            <w:vAlign w:val="center"/>
            <w:hideMark/>
          </w:tcPr>
          <w:p w14:paraId="05DCFA3D" w14:textId="77777777" w:rsidR="00000000" w:rsidRDefault="00405D16">
            <w:pPr>
              <w:spacing w:after="100"/>
              <w:jc w:val="right"/>
              <w:rPr>
                <w:rFonts w:eastAsia="Times New Roman"/>
              </w:rPr>
            </w:pPr>
          </w:p>
        </w:tc>
        <w:tc>
          <w:tcPr>
            <w:tcW w:w="0" w:type="auto"/>
            <w:vAlign w:val="center"/>
            <w:hideMark/>
          </w:tcPr>
          <w:p w14:paraId="0978AFA2" w14:textId="77777777" w:rsidR="00000000" w:rsidRDefault="00405D16">
            <w:pPr>
              <w:spacing w:after="100"/>
              <w:jc w:val="right"/>
              <w:rPr>
                <w:rFonts w:eastAsia="Times New Roman"/>
                <w:sz w:val="20"/>
                <w:szCs w:val="20"/>
              </w:rPr>
            </w:pPr>
          </w:p>
        </w:tc>
        <w:tc>
          <w:tcPr>
            <w:tcW w:w="0" w:type="auto"/>
            <w:vAlign w:val="center"/>
            <w:hideMark/>
          </w:tcPr>
          <w:p w14:paraId="75F6998A" w14:textId="77777777" w:rsidR="00000000" w:rsidRDefault="00405D16">
            <w:pPr>
              <w:spacing w:after="100"/>
              <w:rPr>
                <w:rFonts w:eastAsia="Times New Roman"/>
                <w:sz w:val="20"/>
                <w:szCs w:val="20"/>
              </w:rPr>
            </w:pPr>
          </w:p>
        </w:tc>
        <w:tc>
          <w:tcPr>
            <w:tcW w:w="0" w:type="auto"/>
            <w:gridSpan w:val="3"/>
            <w:vAlign w:val="center"/>
            <w:hideMark/>
          </w:tcPr>
          <w:p w14:paraId="106D2C1C" w14:textId="77777777" w:rsidR="00000000" w:rsidRDefault="00405D16">
            <w:pPr>
              <w:spacing w:after="100"/>
              <w:rPr>
                <w:rFonts w:eastAsia="Times New Roman"/>
                <w:sz w:val="20"/>
                <w:szCs w:val="20"/>
              </w:rPr>
            </w:pPr>
          </w:p>
        </w:tc>
        <w:tc>
          <w:tcPr>
            <w:tcW w:w="0" w:type="auto"/>
            <w:gridSpan w:val="3"/>
            <w:vAlign w:val="center"/>
            <w:hideMark/>
          </w:tcPr>
          <w:p w14:paraId="4741F414" w14:textId="77777777" w:rsidR="00000000" w:rsidRDefault="00405D16">
            <w:pPr>
              <w:spacing w:after="100"/>
              <w:rPr>
                <w:rFonts w:eastAsia="Times New Roman"/>
                <w:sz w:val="20"/>
                <w:szCs w:val="20"/>
              </w:rPr>
            </w:pPr>
          </w:p>
        </w:tc>
        <w:tc>
          <w:tcPr>
            <w:tcW w:w="0" w:type="auto"/>
            <w:gridSpan w:val="3"/>
            <w:vAlign w:val="center"/>
            <w:hideMark/>
          </w:tcPr>
          <w:p w14:paraId="483D8F2A" w14:textId="77777777" w:rsidR="00000000" w:rsidRDefault="00405D16">
            <w:pPr>
              <w:spacing w:after="100"/>
              <w:rPr>
                <w:rFonts w:eastAsia="Times New Roman"/>
                <w:sz w:val="20"/>
                <w:szCs w:val="20"/>
              </w:rPr>
            </w:pPr>
          </w:p>
        </w:tc>
        <w:tc>
          <w:tcPr>
            <w:tcW w:w="0" w:type="auto"/>
            <w:gridSpan w:val="3"/>
            <w:vAlign w:val="center"/>
            <w:hideMark/>
          </w:tcPr>
          <w:p w14:paraId="7CAA074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E765BA"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5364625" w14:textId="77777777" w:rsidR="00000000" w:rsidRDefault="00405D16">
            <w:pPr>
              <w:spacing w:after="100"/>
              <w:jc w:val="right"/>
              <w:rPr>
                <w:rFonts w:eastAsia="Times New Roman"/>
              </w:rPr>
            </w:pPr>
            <w:r>
              <w:rPr>
                <w:rFonts w:eastAsia="Times New Roman"/>
                <w:color w:val="000000"/>
                <w:sz w:val="18"/>
                <w:szCs w:val="18"/>
              </w:rPr>
              <w:t>5 </w:t>
            </w:r>
          </w:p>
        </w:tc>
        <w:tc>
          <w:tcPr>
            <w:tcW w:w="0" w:type="auto"/>
            <w:shd w:val="clear" w:color="auto" w:fill="CCEEFF"/>
            <w:tcMar>
              <w:top w:w="30" w:type="dxa"/>
              <w:left w:w="0" w:type="dxa"/>
              <w:bottom w:w="30" w:type="dxa"/>
              <w:right w:w="20" w:type="dxa"/>
            </w:tcMar>
            <w:vAlign w:val="center"/>
            <w:hideMark/>
          </w:tcPr>
          <w:p w14:paraId="4E2DCE69" w14:textId="77777777" w:rsidR="00000000" w:rsidRDefault="00405D16">
            <w:pPr>
              <w:spacing w:after="100"/>
              <w:jc w:val="right"/>
              <w:rPr>
                <w:rFonts w:eastAsia="Times New Roman"/>
              </w:rPr>
            </w:pPr>
          </w:p>
        </w:tc>
        <w:tc>
          <w:tcPr>
            <w:tcW w:w="0" w:type="auto"/>
            <w:gridSpan w:val="3"/>
            <w:vAlign w:val="center"/>
            <w:hideMark/>
          </w:tcPr>
          <w:p w14:paraId="4E546B3C" w14:textId="77777777" w:rsidR="00000000" w:rsidRDefault="00405D16">
            <w:pPr>
              <w:spacing w:after="100"/>
              <w:jc w:val="right"/>
              <w:rPr>
                <w:rFonts w:eastAsia="Times New Roman"/>
                <w:sz w:val="20"/>
                <w:szCs w:val="20"/>
              </w:rPr>
            </w:pPr>
          </w:p>
        </w:tc>
        <w:tc>
          <w:tcPr>
            <w:tcW w:w="0" w:type="auto"/>
            <w:gridSpan w:val="2"/>
            <w:vAlign w:val="center"/>
            <w:hideMark/>
          </w:tcPr>
          <w:p w14:paraId="17A2B584" w14:textId="77777777" w:rsidR="00000000" w:rsidRDefault="00405D16">
            <w:pPr>
              <w:spacing w:after="100"/>
              <w:rPr>
                <w:rFonts w:eastAsia="Times New Roman"/>
                <w:sz w:val="20"/>
                <w:szCs w:val="20"/>
              </w:rPr>
            </w:pPr>
          </w:p>
        </w:tc>
      </w:tr>
      <w:tr w:rsidR="00000000" w14:paraId="611C1EE6" w14:textId="77777777">
        <w:trPr>
          <w:divId w:val="2103602330"/>
        </w:trPr>
        <w:tc>
          <w:tcPr>
            <w:tcW w:w="0" w:type="auto"/>
            <w:gridSpan w:val="3"/>
            <w:shd w:val="clear" w:color="auto" w:fill="FFFFFF"/>
            <w:tcMar>
              <w:top w:w="30" w:type="dxa"/>
              <w:left w:w="20" w:type="dxa"/>
              <w:bottom w:w="30" w:type="dxa"/>
              <w:right w:w="20" w:type="dxa"/>
            </w:tcMar>
            <w:vAlign w:val="center"/>
            <w:hideMark/>
          </w:tcPr>
          <w:p w14:paraId="01E91580" w14:textId="77777777" w:rsidR="00000000" w:rsidRDefault="00405D16">
            <w:pPr>
              <w:spacing w:after="100"/>
              <w:rPr>
                <w:rFonts w:eastAsia="Times New Roman"/>
              </w:rPr>
            </w:pPr>
            <w:r>
              <w:rPr>
                <w:rFonts w:eastAsia="Times New Roman"/>
                <w:color w:val="000000"/>
                <w:sz w:val="18"/>
                <w:szCs w:val="18"/>
              </w:rPr>
              <w:t>Total deposits</w:t>
            </w:r>
          </w:p>
        </w:tc>
        <w:tc>
          <w:tcPr>
            <w:tcW w:w="0" w:type="auto"/>
            <w:gridSpan w:val="3"/>
            <w:shd w:val="clear" w:color="auto" w:fill="FFFFFF"/>
            <w:tcMar>
              <w:top w:w="0" w:type="dxa"/>
              <w:left w:w="20" w:type="dxa"/>
              <w:bottom w:w="0" w:type="dxa"/>
              <w:right w:w="20" w:type="dxa"/>
            </w:tcMar>
            <w:vAlign w:val="center"/>
            <w:hideMark/>
          </w:tcPr>
          <w:p w14:paraId="65EA71BE"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E1A603D" w14:textId="77777777" w:rsidR="00000000" w:rsidRDefault="00405D16">
            <w:pPr>
              <w:spacing w:after="100"/>
              <w:jc w:val="right"/>
              <w:rPr>
                <w:rFonts w:eastAsia="Times New Roman"/>
              </w:rPr>
            </w:pPr>
            <w:r>
              <w:rPr>
                <w:rFonts w:eastAsia="Times New Roman"/>
                <w:b/>
                <w:bCs/>
                <w:color w:val="000000"/>
                <w:sz w:val="18"/>
                <w:szCs w:val="18"/>
              </w:rPr>
              <w:t>305,035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4EAE95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05844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5B1101B" w14:textId="77777777" w:rsidR="00000000" w:rsidRDefault="00405D16">
            <w:pPr>
              <w:spacing w:after="100"/>
              <w:jc w:val="right"/>
              <w:rPr>
                <w:rFonts w:eastAsia="Times New Roman"/>
              </w:rPr>
            </w:pPr>
            <w:r>
              <w:rPr>
                <w:rFonts w:eastAsia="Times New Roman"/>
                <w:color w:val="000000"/>
                <w:sz w:val="18"/>
                <w:szCs w:val="18"/>
              </w:rPr>
              <w:t>305,516 </w:t>
            </w:r>
          </w:p>
        </w:tc>
        <w:tc>
          <w:tcPr>
            <w:tcW w:w="0" w:type="auto"/>
            <w:shd w:val="clear" w:color="auto" w:fill="FFFFFF"/>
            <w:tcMar>
              <w:top w:w="30" w:type="dxa"/>
              <w:left w:w="0" w:type="dxa"/>
              <w:bottom w:w="30" w:type="dxa"/>
              <w:right w:w="20" w:type="dxa"/>
            </w:tcMar>
            <w:vAlign w:val="center"/>
            <w:hideMark/>
          </w:tcPr>
          <w:p w14:paraId="34C3B40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DD35D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B66A09E" w14:textId="77777777" w:rsidR="00000000" w:rsidRDefault="00405D16">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B2C936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1EE31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3FB47D1" w14:textId="77777777" w:rsidR="00000000" w:rsidRDefault="00405D16">
            <w:pPr>
              <w:spacing w:after="100"/>
              <w:jc w:val="right"/>
              <w:rPr>
                <w:rFonts w:eastAsia="Times New Roman"/>
              </w:rPr>
            </w:pPr>
            <w:r>
              <w:rPr>
                <w:rFonts w:eastAsia="Times New Roman"/>
                <w:b/>
                <w:bCs/>
                <w:color w:val="000000"/>
                <w:sz w:val="18"/>
                <w:szCs w:val="18"/>
              </w:rPr>
              <w:t>306,102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9FF020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FCBB7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8B10C5D" w14:textId="77777777" w:rsidR="00000000" w:rsidRDefault="00405D16">
            <w:pPr>
              <w:spacing w:after="100"/>
              <w:jc w:val="right"/>
              <w:rPr>
                <w:rFonts w:eastAsia="Times New Roman"/>
              </w:rPr>
            </w:pPr>
            <w:r>
              <w:rPr>
                <w:rFonts w:eastAsia="Times New Roman"/>
                <w:color w:val="000000"/>
                <w:sz w:val="18"/>
                <w:szCs w:val="18"/>
              </w:rPr>
              <w:t>286,242 </w:t>
            </w:r>
          </w:p>
        </w:tc>
        <w:tc>
          <w:tcPr>
            <w:tcW w:w="0" w:type="auto"/>
            <w:shd w:val="clear" w:color="auto" w:fill="FFFFFF"/>
            <w:tcMar>
              <w:top w:w="30" w:type="dxa"/>
              <w:left w:w="0" w:type="dxa"/>
              <w:bottom w:w="30" w:type="dxa"/>
              <w:right w:w="20" w:type="dxa"/>
            </w:tcMar>
            <w:vAlign w:val="center"/>
            <w:hideMark/>
          </w:tcPr>
          <w:p w14:paraId="1B342BEC" w14:textId="77777777" w:rsidR="00000000" w:rsidRDefault="00405D16">
            <w:pPr>
              <w:spacing w:after="100"/>
              <w:jc w:val="right"/>
              <w:rPr>
                <w:rFonts w:eastAsia="Times New Roman"/>
              </w:rPr>
            </w:pPr>
          </w:p>
        </w:tc>
        <w:tc>
          <w:tcPr>
            <w:tcW w:w="0" w:type="auto"/>
            <w:vAlign w:val="center"/>
            <w:hideMark/>
          </w:tcPr>
          <w:p w14:paraId="3B85B1EF" w14:textId="77777777" w:rsidR="00000000" w:rsidRDefault="00405D16">
            <w:pPr>
              <w:spacing w:after="100"/>
              <w:jc w:val="right"/>
              <w:rPr>
                <w:rFonts w:eastAsia="Times New Roman"/>
                <w:sz w:val="20"/>
                <w:szCs w:val="20"/>
              </w:rPr>
            </w:pPr>
          </w:p>
        </w:tc>
        <w:tc>
          <w:tcPr>
            <w:tcW w:w="0" w:type="auto"/>
            <w:vAlign w:val="center"/>
            <w:hideMark/>
          </w:tcPr>
          <w:p w14:paraId="1307F651" w14:textId="77777777" w:rsidR="00000000" w:rsidRDefault="00405D16">
            <w:pPr>
              <w:spacing w:after="100"/>
              <w:rPr>
                <w:rFonts w:eastAsia="Times New Roman"/>
                <w:sz w:val="20"/>
                <w:szCs w:val="20"/>
              </w:rPr>
            </w:pPr>
          </w:p>
        </w:tc>
        <w:tc>
          <w:tcPr>
            <w:tcW w:w="0" w:type="auto"/>
            <w:gridSpan w:val="3"/>
            <w:vAlign w:val="center"/>
            <w:hideMark/>
          </w:tcPr>
          <w:p w14:paraId="338148C2" w14:textId="77777777" w:rsidR="00000000" w:rsidRDefault="00405D16">
            <w:pPr>
              <w:spacing w:after="100"/>
              <w:rPr>
                <w:rFonts w:eastAsia="Times New Roman"/>
                <w:sz w:val="20"/>
                <w:szCs w:val="20"/>
              </w:rPr>
            </w:pPr>
          </w:p>
        </w:tc>
        <w:tc>
          <w:tcPr>
            <w:tcW w:w="0" w:type="auto"/>
            <w:gridSpan w:val="3"/>
            <w:vAlign w:val="center"/>
            <w:hideMark/>
          </w:tcPr>
          <w:p w14:paraId="01D11153" w14:textId="77777777" w:rsidR="00000000" w:rsidRDefault="00405D16">
            <w:pPr>
              <w:spacing w:after="100"/>
              <w:rPr>
                <w:rFonts w:eastAsia="Times New Roman"/>
                <w:sz w:val="20"/>
                <w:szCs w:val="20"/>
              </w:rPr>
            </w:pPr>
          </w:p>
        </w:tc>
        <w:tc>
          <w:tcPr>
            <w:tcW w:w="0" w:type="auto"/>
            <w:gridSpan w:val="3"/>
            <w:vAlign w:val="center"/>
            <w:hideMark/>
          </w:tcPr>
          <w:p w14:paraId="4C923E45" w14:textId="77777777" w:rsidR="00000000" w:rsidRDefault="00405D16">
            <w:pPr>
              <w:spacing w:after="100"/>
              <w:rPr>
                <w:rFonts w:eastAsia="Times New Roman"/>
                <w:sz w:val="20"/>
                <w:szCs w:val="20"/>
              </w:rPr>
            </w:pPr>
          </w:p>
        </w:tc>
        <w:tc>
          <w:tcPr>
            <w:tcW w:w="0" w:type="auto"/>
            <w:gridSpan w:val="3"/>
            <w:vAlign w:val="center"/>
            <w:hideMark/>
          </w:tcPr>
          <w:p w14:paraId="216BC1D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F87813"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0234D5E" w14:textId="77777777" w:rsidR="00000000" w:rsidRDefault="00405D16">
            <w:pPr>
              <w:spacing w:after="100"/>
              <w:jc w:val="right"/>
              <w:rPr>
                <w:rFonts w:eastAsia="Times New Roman"/>
              </w:rPr>
            </w:pPr>
            <w:r>
              <w:rPr>
                <w:rFonts w:eastAsia="Times New Roman"/>
                <w:color w:val="000000"/>
                <w:sz w:val="18"/>
                <w:szCs w:val="18"/>
              </w:rPr>
              <w:t>7 </w:t>
            </w:r>
          </w:p>
        </w:tc>
        <w:tc>
          <w:tcPr>
            <w:tcW w:w="0" w:type="auto"/>
            <w:shd w:val="clear" w:color="auto" w:fill="FFFFFF"/>
            <w:tcMar>
              <w:top w:w="30" w:type="dxa"/>
              <w:left w:w="0" w:type="dxa"/>
              <w:bottom w:w="30" w:type="dxa"/>
              <w:right w:w="20" w:type="dxa"/>
            </w:tcMar>
            <w:vAlign w:val="center"/>
            <w:hideMark/>
          </w:tcPr>
          <w:p w14:paraId="655BC82B" w14:textId="77777777" w:rsidR="00000000" w:rsidRDefault="00405D16">
            <w:pPr>
              <w:spacing w:after="100"/>
              <w:jc w:val="right"/>
              <w:rPr>
                <w:rFonts w:eastAsia="Times New Roman"/>
              </w:rPr>
            </w:pPr>
          </w:p>
        </w:tc>
        <w:tc>
          <w:tcPr>
            <w:tcW w:w="0" w:type="auto"/>
            <w:gridSpan w:val="3"/>
            <w:vAlign w:val="center"/>
            <w:hideMark/>
          </w:tcPr>
          <w:p w14:paraId="0D1AFC3B" w14:textId="77777777" w:rsidR="00000000" w:rsidRDefault="00405D16">
            <w:pPr>
              <w:spacing w:after="100"/>
              <w:jc w:val="right"/>
              <w:rPr>
                <w:rFonts w:eastAsia="Times New Roman"/>
                <w:sz w:val="20"/>
                <w:szCs w:val="20"/>
              </w:rPr>
            </w:pPr>
          </w:p>
        </w:tc>
        <w:tc>
          <w:tcPr>
            <w:tcW w:w="0" w:type="auto"/>
            <w:gridSpan w:val="2"/>
            <w:vAlign w:val="center"/>
            <w:hideMark/>
          </w:tcPr>
          <w:p w14:paraId="5F4B26CB" w14:textId="77777777" w:rsidR="00000000" w:rsidRDefault="00405D16">
            <w:pPr>
              <w:spacing w:after="100"/>
              <w:rPr>
                <w:rFonts w:eastAsia="Times New Roman"/>
                <w:sz w:val="20"/>
                <w:szCs w:val="20"/>
              </w:rPr>
            </w:pPr>
          </w:p>
        </w:tc>
      </w:tr>
      <w:tr w:rsidR="00000000" w14:paraId="6E4A3E72" w14:textId="77777777">
        <w:trPr>
          <w:divId w:val="2103602330"/>
        </w:trPr>
        <w:tc>
          <w:tcPr>
            <w:tcW w:w="0" w:type="auto"/>
            <w:gridSpan w:val="3"/>
            <w:shd w:val="clear" w:color="auto" w:fill="CCEEFF"/>
            <w:tcMar>
              <w:top w:w="30" w:type="dxa"/>
              <w:left w:w="20" w:type="dxa"/>
              <w:bottom w:w="30" w:type="dxa"/>
              <w:right w:w="20" w:type="dxa"/>
            </w:tcMar>
            <w:vAlign w:val="center"/>
            <w:hideMark/>
          </w:tcPr>
          <w:p w14:paraId="0EDA3FA4" w14:textId="77777777" w:rsidR="00000000" w:rsidRDefault="00405D16">
            <w:pPr>
              <w:spacing w:after="100"/>
              <w:rPr>
                <w:rFonts w:eastAsia="Times New Roman"/>
              </w:rPr>
            </w:pPr>
            <w:r>
              <w:rPr>
                <w:rFonts w:eastAsia="Times New Roman"/>
                <w:color w:val="000000"/>
                <w:sz w:val="18"/>
                <w:szCs w:val="18"/>
              </w:rPr>
              <w:t>Borrowings</w:t>
            </w:r>
          </w:p>
        </w:tc>
        <w:tc>
          <w:tcPr>
            <w:tcW w:w="0" w:type="auto"/>
            <w:gridSpan w:val="3"/>
            <w:shd w:val="clear" w:color="auto" w:fill="CCEEFF"/>
            <w:tcMar>
              <w:top w:w="0" w:type="dxa"/>
              <w:left w:w="20" w:type="dxa"/>
              <w:bottom w:w="0" w:type="dxa"/>
              <w:right w:w="20" w:type="dxa"/>
            </w:tcMar>
            <w:vAlign w:val="center"/>
            <w:hideMark/>
          </w:tcPr>
          <w:p w14:paraId="65C82123"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9AC1C26" w14:textId="77777777" w:rsidR="00000000" w:rsidRDefault="00405D16">
            <w:pPr>
              <w:spacing w:after="100"/>
              <w:jc w:val="right"/>
              <w:rPr>
                <w:rFonts w:eastAsia="Times New Roman"/>
              </w:rPr>
            </w:pPr>
            <w:r>
              <w:rPr>
                <w:rFonts w:eastAsia="Times New Roman"/>
                <w:b/>
                <w:bCs/>
                <w:color w:val="000000"/>
                <w:sz w:val="18"/>
                <w:szCs w:val="18"/>
              </w:rPr>
              <w:t>37,464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AC0AEE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01B5B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5A62938" w14:textId="77777777" w:rsidR="00000000" w:rsidRDefault="00405D16">
            <w:pPr>
              <w:spacing w:after="100"/>
              <w:jc w:val="right"/>
              <w:rPr>
                <w:rFonts w:eastAsia="Times New Roman"/>
              </w:rPr>
            </w:pPr>
            <w:r>
              <w:rPr>
                <w:rFonts w:eastAsia="Times New Roman"/>
                <w:color w:val="000000"/>
                <w:sz w:val="18"/>
                <w:szCs w:val="18"/>
              </w:rPr>
              <w:t>44,161 </w:t>
            </w:r>
          </w:p>
        </w:tc>
        <w:tc>
          <w:tcPr>
            <w:tcW w:w="0" w:type="auto"/>
            <w:shd w:val="clear" w:color="auto" w:fill="CCEEFF"/>
            <w:tcMar>
              <w:top w:w="30" w:type="dxa"/>
              <w:left w:w="0" w:type="dxa"/>
              <w:bottom w:w="30" w:type="dxa"/>
              <w:right w:w="20" w:type="dxa"/>
            </w:tcMar>
            <w:vAlign w:val="center"/>
            <w:hideMark/>
          </w:tcPr>
          <w:p w14:paraId="1288121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2B313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90C90B4" w14:textId="77777777" w:rsidR="00000000" w:rsidRDefault="00405D16">
            <w:pPr>
              <w:spacing w:after="100"/>
              <w:jc w:val="right"/>
              <w:rPr>
                <w:rFonts w:eastAsia="Times New Roman"/>
              </w:rPr>
            </w:pPr>
            <w:r>
              <w:rPr>
                <w:rFonts w:eastAsia="Times New Roman"/>
                <w:color w:val="000000"/>
                <w:sz w:val="18"/>
                <w:szCs w:val="18"/>
              </w:rPr>
              <w:t>(15)</w:t>
            </w:r>
          </w:p>
        </w:tc>
        <w:tc>
          <w:tcPr>
            <w:tcW w:w="0" w:type="auto"/>
            <w:shd w:val="clear" w:color="auto" w:fill="CCEEFF"/>
            <w:tcMar>
              <w:top w:w="30" w:type="dxa"/>
              <w:left w:w="0" w:type="dxa"/>
              <w:bottom w:w="30" w:type="dxa"/>
              <w:right w:w="20" w:type="dxa"/>
            </w:tcMar>
            <w:vAlign w:val="center"/>
            <w:hideMark/>
          </w:tcPr>
          <w:p w14:paraId="5218354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C120F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D1974D9" w14:textId="77777777" w:rsidR="00000000" w:rsidRDefault="00405D16">
            <w:pPr>
              <w:spacing w:after="100"/>
              <w:jc w:val="right"/>
              <w:rPr>
                <w:rFonts w:eastAsia="Times New Roman"/>
              </w:rPr>
            </w:pPr>
            <w:r>
              <w:rPr>
                <w:rFonts w:eastAsia="Times New Roman"/>
                <w:b/>
                <w:bCs/>
                <w:color w:val="000000"/>
                <w:sz w:val="18"/>
                <w:szCs w:val="18"/>
              </w:rPr>
              <w:t>38,134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4A4849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808EC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CF2E314" w14:textId="77777777" w:rsidR="00000000" w:rsidRDefault="00405D16">
            <w:pPr>
              <w:spacing w:after="100"/>
              <w:jc w:val="right"/>
              <w:rPr>
                <w:rFonts w:eastAsia="Times New Roman"/>
              </w:rPr>
            </w:pPr>
            <w:r>
              <w:rPr>
                <w:rFonts w:eastAsia="Times New Roman"/>
                <w:color w:val="000000"/>
                <w:sz w:val="18"/>
                <w:szCs w:val="18"/>
              </w:rPr>
              <w:t>48,577 </w:t>
            </w:r>
          </w:p>
        </w:tc>
        <w:tc>
          <w:tcPr>
            <w:tcW w:w="0" w:type="auto"/>
            <w:shd w:val="clear" w:color="auto" w:fill="CCEEFF"/>
            <w:tcMar>
              <w:top w:w="30" w:type="dxa"/>
              <w:left w:w="0" w:type="dxa"/>
              <w:bottom w:w="30" w:type="dxa"/>
              <w:right w:w="20" w:type="dxa"/>
            </w:tcMar>
            <w:vAlign w:val="center"/>
            <w:hideMark/>
          </w:tcPr>
          <w:p w14:paraId="7CFE4E3A" w14:textId="77777777" w:rsidR="00000000" w:rsidRDefault="00405D16">
            <w:pPr>
              <w:spacing w:after="100"/>
              <w:jc w:val="right"/>
              <w:rPr>
                <w:rFonts w:eastAsia="Times New Roman"/>
              </w:rPr>
            </w:pPr>
          </w:p>
        </w:tc>
        <w:tc>
          <w:tcPr>
            <w:tcW w:w="0" w:type="auto"/>
            <w:vAlign w:val="center"/>
            <w:hideMark/>
          </w:tcPr>
          <w:p w14:paraId="430C10B7" w14:textId="77777777" w:rsidR="00000000" w:rsidRDefault="00405D16">
            <w:pPr>
              <w:spacing w:after="100"/>
              <w:jc w:val="right"/>
              <w:rPr>
                <w:rFonts w:eastAsia="Times New Roman"/>
                <w:sz w:val="20"/>
                <w:szCs w:val="20"/>
              </w:rPr>
            </w:pPr>
          </w:p>
        </w:tc>
        <w:tc>
          <w:tcPr>
            <w:tcW w:w="0" w:type="auto"/>
            <w:vAlign w:val="center"/>
            <w:hideMark/>
          </w:tcPr>
          <w:p w14:paraId="40EA09E2" w14:textId="77777777" w:rsidR="00000000" w:rsidRDefault="00405D16">
            <w:pPr>
              <w:spacing w:after="100"/>
              <w:rPr>
                <w:rFonts w:eastAsia="Times New Roman"/>
                <w:sz w:val="20"/>
                <w:szCs w:val="20"/>
              </w:rPr>
            </w:pPr>
          </w:p>
        </w:tc>
        <w:tc>
          <w:tcPr>
            <w:tcW w:w="0" w:type="auto"/>
            <w:gridSpan w:val="3"/>
            <w:vAlign w:val="center"/>
            <w:hideMark/>
          </w:tcPr>
          <w:p w14:paraId="6D89EEED" w14:textId="77777777" w:rsidR="00000000" w:rsidRDefault="00405D16">
            <w:pPr>
              <w:spacing w:after="100"/>
              <w:rPr>
                <w:rFonts w:eastAsia="Times New Roman"/>
                <w:sz w:val="20"/>
                <w:szCs w:val="20"/>
              </w:rPr>
            </w:pPr>
          </w:p>
        </w:tc>
        <w:tc>
          <w:tcPr>
            <w:tcW w:w="0" w:type="auto"/>
            <w:gridSpan w:val="3"/>
            <w:vAlign w:val="center"/>
            <w:hideMark/>
          </w:tcPr>
          <w:p w14:paraId="5F9FF368" w14:textId="77777777" w:rsidR="00000000" w:rsidRDefault="00405D16">
            <w:pPr>
              <w:spacing w:after="100"/>
              <w:rPr>
                <w:rFonts w:eastAsia="Times New Roman"/>
                <w:sz w:val="20"/>
                <w:szCs w:val="20"/>
              </w:rPr>
            </w:pPr>
          </w:p>
        </w:tc>
        <w:tc>
          <w:tcPr>
            <w:tcW w:w="0" w:type="auto"/>
            <w:gridSpan w:val="3"/>
            <w:vAlign w:val="center"/>
            <w:hideMark/>
          </w:tcPr>
          <w:p w14:paraId="1649B99F" w14:textId="77777777" w:rsidR="00000000" w:rsidRDefault="00405D16">
            <w:pPr>
              <w:spacing w:after="100"/>
              <w:rPr>
                <w:rFonts w:eastAsia="Times New Roman"/>
                <w:sz w:val="20"/>
                <w:szCs w:val="20"/>
              </w:rPr>
            </w:pPr>
          </w:p>
        </w:tc>
        <w:tc>
          <w:tcPr>
            <w:tcW w:w="0" w:type="auto"/>
            <w:gridSpan w:val="3"/>
            <w:vAlign w:val="center"/>
            <w:hideMark/>
          </w:tcPr>
          <w:p w14:paraId="2562BE4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29DE57"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9438CD1" w14:textId="77777777" w:rsidR="00000000" w:rsidRDefault="00405D16">
            <w:pPr>
              <w:spacing w:after="100"/>
              <w:jc w:val="right"/>
              <w:rPr>
                <w:rFonts w:eastAsia="Times New Roman"/>
              </w:rPr>
            </w:pPr>
            <w:r>
              <w:rPr>
                <w:rFonts w:eastAsia="Times New Roman"/>
                <w:color w:val="000000"/>
                <w:sz w:val="18"/>
                <w:szCs w:val="18"/>
              </w:rPr>
              <w:t>(21)</w:t>
            </w:r>
          </w:p>
        </w:tc>
        <w:tc>
          <w:tcPr>
            <w:tcW w:w="0" w:type="auto"/>
            <w:shd w:val="clear" w:color="auto" w:fill="CCEEFF"/>
            <w:tcMar>
              <w:top w:w="30" w:type="dxa"/>
              <w:left w:w="0" w:type="dxa"/>
              <w:bottom w:w="30" w:type="dxa"/>
              <w:right w:w="20" w:type="dxa"/>
            </w:tcMar>
            <w:vAlign w:val="center"/>
            <w:hideMark/>
          </w:tcPr>
          <w:p w14:paraId="0F7E0645" w14:textId="77777777" w:rsidR="00000000" w:rsidRDefault="00405D16">
            <w:pPr>
              <w:spacing w:after="100"/>
              <w:jc w:val="right"/>
              <w:rPr>
                <w:rFonts w:eastAsia="Times New Roman"/>
              </w:rPr>
            </w:pPr>
          </w:p>
        </w:tc>
        <w:tc>
          <w:tcPr>
            <w:tcW w:w="0" w:type="auto"/>
            <w:gridSpan w:val="3"/>
            <w:vAlign w:val="center"/>
            <w:hideMark/>
          </w:tcPr>
          <w:p w14:paraId="70C33E75" w14:textId="77777777" w:rsidR="00000000" w:rsidRDefault="00405D16">
            <w:pPr>
              <w:spacing w:after="100"/>
              <w:jc w:val="right"/>
              <w:rPr>
                <w:rFonts w:eastAsia="Times New Roman"/>
                <w:sz w:val="20"/>
                <w:szCs w:val="20"/>
              </w:rPr>
            </w:pPr>
          </w:p>
        </w:tc>
        <w:tc>
          <w:tcPr>
            <w:tcW w:w="0" w:type="auto"/>
            <w:gridSpan w:val="2"/>
            <w:vAlign w:val="center"/>
            <w:hideMark/>
          </w:tcPr>
          <w:p w14:paraId="0D4013F4" w14:textId="77777777" w:rsidR="00000000" w:rsidRDefault="00405D16">
            <w:pPr>
              <w:spacing w:after="100"/>
              <w:rPr>
                <w:rFonts w:eastAsia="Times New Roman"/>
                <w:sz w:val="20"/>
                <w:szCs w:val="20"/>
              </w:rPr>
            </w:pPr>
          </w:p>
        </w:tc>
      </w:tr>
      <w:tr w:rsidR="00000000" w14:paraId="1FE7F266" w14:textId="77777777">
        <w:trPr>
          <w:divId w:val="2103602330"/>
        </w:trPr>
        <w:tc>
          <w:tcPr>
            <w:tcW w:w="0" w:type="auto"/>
            <w:gridSpan w:val="3"/>
            <w:shd w:val="clear" w:color="auto" w:fill="FFFFFF"/>
            <w:tcMar>
              <w:top w:w="30" w:type="dxa"/>
              <w:left w:w="20" w:type="dxa"/>
              <w:bottom w:w="30" w:type="dxa"/>
              <w:right w:w="20" w:type="dxa"/>
            </w:tcMar>
            <w:vAlign w:val="center"/>
            <w:hideMark/>
          </w:tcPr>
          <w:p w14:paraId="314A8E35" w14:textId="77777777" w:rsidR="00000000" w:rsidRDefault="00405D16">
            <w:pPr>
              <w:spacing w:after="100"/>
              <w:rPr>
                <w:rFonts w:eastAsia="Times New Roman"/>
              </w:rPr>
            </w:pPr>
            <w:r>
              <w:rPr>
                <w:rFonts w:eastAsia="Times New Roman"/>
                <w:color w:val="000000"/>
                <w:sz w:val="18"/>
                <w:szCs w:val="18"/>
              </w:rPr>
              <w:t>Common equity</w:t>
            </w:r>
          </w:p>
        </w:tc>
        <w:tc>
          <w:tcPr>
            <w:tcW w:w="0" w:type="auto"/>
            <w:gridSpan w:val="3"/>
            <w:shd w:val="clear" w:color="auto" w:fill="FFFFFF"/>
            <w:tcMar>
              <w:top w:w="0" w:type="dxa"/>
              <w:left w:w="20" w:type="dxa"/>
              <w:bottom w:w="0" w:type="dxa"/>
              <w:right w:w="20" w:type="dxa"/>
            </w:tcMar>
            <w:vAlign w:val="center"/>
            <w:hideMark/>
          </w:tcPr>
          <w:p w14:paraId="143E4539"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3F25780" w14:textId="77777777" w:rsidR="00000000" w:rsidRDefault="00405D16">
            <w:pPr>
              <w:spacing w:after="100"/>
              <w:jc w:val="right"/>
              <w:rPr>
                <w:rFonts w:eastAsia="Times New Roman"/>
              </w:rPr>
            </w:pPr>
            <w:r>
              <w:rPr>
                <w:rFonts w:eastAsia="Times New Roman"/>
                <w:b/>
                <w:bCs/>
                <w:color w:val="000000"/>
                <w:sz w:val="18"/>
                <w:szCs w:val="18"/>
              </w:rPr>
              <w:t>58,230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313A16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2355A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D994607" w14:textId="77777777" w:rsidR="00000000" w:rsidRDefault="00405D16">
            <w:pPr>
              <w:spacing w:after="100"/>
              <w:jc w:val="right"/>
              <w:rPr>
                <w:rFonts w:eastAsia="Times New Roman"/>
              </w:rPr>
            </w:pPr>
            <w:r>
              <w:rPr>
                <w:rFonts w:eastAsia="Times New Roman"/>
                <w:color w:val="000000"/>
                <w:sz w:val="18"/>
                <w:szCs w:val="18"/>
              </w:rPr>
              <w:t>51,995 </w:t>
            </w:r>
          </w:p>
        </w:tc>
        <w:tc>
          <w:tcPr>
            <w:tcW w:w="0" w:type="auto"/>
            <w:shd w:val="clear" w:color="auto" w:fill="FFFFFF"/>
            <w:tcMar>
              <w:top w:w="30" w:type="dxa"/>
              <w:left w:w="0" w:type="dxa"/>
              <w:bottom w:w="30" w:type="dxa"/>
              <w:right w:w="20" w:type="dxa"/>
            </w:tcMar>
            <w:vAlign w:val="center"/>
            <w:hideMark/>
          </w:tcPr>
          <w:p w14:paraId="4C203F0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1ECA2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43D44FC" w14:textId="77777777" w:rsidR="00000000" w:rsidRDefault="00405D16">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center"/>
            <w:hideMark/>
          </w:tcPr>
          <w:p w14:paraId="0D8C27B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DCDC8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8058F65" w14:textId="77777777" w:rsidR="00000000" w:rsidRDefault="00405D16">
            <w:pPr>
              <w:spacing w:after="100"/>
              <w:jc w:val="right"/>
              <w:rPr>
                <w:rFonts w:eastAsia="Times New Roman"/>
              </w:rPr>
            </w:pPr>
            <w:r>
              <w:rPr>
                <w:rFonts w:eastAsia="Times New Roman"/>
                <w:b/>
                <w:bCs/>
                <w:color w:val="000000"/>
                <w:sz w:val="18"/>
                <w:szCs w:val="18"/>
              </w:rPr>
              <w:t>56,972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85AF9C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2DD45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A38B1AD" w14:textId="77777777" w:rsidR="00000000" w:rsidRDefault="00405D16">
            <w:pPr>
              <w:spacing w:after="100"/>
              <w:jc w:val="right"/>
              <w:rPr>
                <w:rFonts w:eastAsia="Times New Roman"/>
              </w:rPr>
            </w:pPr>
            <w:r>
              <w:rPr>
                <w:rFonts w:eastAsia="Times New Roman"/>
                <w:color w:val="000000"/>
                <w:sz w:val="18"/>
                <w:szCs w:val="18"/>
              </w:rPr>
              <w:t>52,529 </w:t>
            </w:r>
          </w:p>
        </w:tc>
        <w:tc>
          <w:tcPr>
            <w:tcW w:w="0" w:type="auto"/>
            <w:shd w:val="clear" w:color="auto" w:fill="FFFFFF"/>
            <w:tcMar>
              <w:top w:w="30" w:type="dxa"/>
              <w:left w:w="0" w:type="dxa"/>
              <w:bottom w:w="30" w:type="dxa"/>
              <w:right w:w="20" w:type="dxa"/>
            </w:tcMar>
            <w:vAlign w:val="center"/>
            <w:hideMark/>
          </w:tcPr>
          <w:p w14:paraId="5C051509" w14:textId="77777777" w:rsidR="00000000" w:rsidRDefault="00405D16">
            <w:pPr>
              <w:spacing w:after="100"/>
              <w:jc w:val="right"/>
              <w:rPr>
                <w:rFonts w:eastAsia="Times New Roman"/>
              </w:rPr>
            </w:pPr>
          </w:p>
        </w:tc>
        <w:tc>
          <w:tcPr>
            <w:tcW w:w="0" w:type="auto"/>
            <w:vAlign w:val="center"/>
            <w:hideMark/>
          </w:tcPr>
          <w:p w14:paraId="4A04D648" w14:textId="77777777" w:rsidR="00000000" w:rsidRDefault="00405D16">
            <w:pPr>
              <w:spacing w:after="100"/>
              <w:jc w:val="right"/>
              <w:rPr>
                <w:rFonts w:eastAsia="Times New Roman"/>
                <w:sz w:val="20"/>
                <w:szCs w:val="20"/>
              </w:rPr>
            </w:pPr>
          </w:p>
        </w:tc>
        <w:tc>
          <w:tcPr>
            <w:tcW w:w="0" w:type="auto"/>
            <w:vAlign w:val="center"/>
            <w:hideMark/>
          </w:tcPr>
          <w:p w14:paraId="369D6418" w14:textId="77777777" w:rsidR="00000000" w:rsidRDefault="00405D16">
            <w:pPr>
              <w:spacing w:after="100"/>
              <w:rPr>
                <w:rFonts w:eastAsia="Times New Roman"/>
                <w:sz w:val="20"/>
                <w:szCs w:val="20"/>
              </w:rPr>
            </w:pPr>
          </w:p>
        </w:tc>
        <w:tc>
          <w:tcPr>
            <w:tcW w:w="0" w:type="auto"/>
            <w:gridSpan w:val="3"/>
            <w:vAlign w:val="center"/>
            <w:hideMark/>
          </w:tcPr>
          <w:p w14:paraId="4F15C1B0" w14:textId="77777777" w:rsidR="00000000" w:rsidRDefault="00405D16">
            <w:pPr>
              <w:spacing w:after="100"/>
              <w:rPr>
                <w:rFonts w:eastAsia="Times New Roman"/>
                <w:sz w:val="20"/>
                <w:szCs w:val="20"/>
              </w:rPr>
            </w:pPr>
          </w:p>
        </w:tc>
        <w:tc>
          <w:tcPr>
            <w:tcW w:w="0" w:type="auto"/>
            <w:gridSpan w:val="3"/>
            <w:vAlign w:val="center"/>
            <w:hideMark/>
          </w:tcPr>
          <w:p w14:paraId="10B45608" w14:textId="77777777" w:rsidR="00000000" w:rsidRDefault="00405D16">
            <w:pPr>
              <w:spacing w:after="100"/>
              <w:rPr>
                <w:rFonts w:eastAsia="Times New Roman"/>
                <w:sz w:val="20"/>
                <w:szCs w:val="20"/>
              </w:rPr>
            </w:pPr>
          </w:p>
        </w:tc>
        <w:tc>
          <w:tcPr>
            <w:tcW w:w="0" w:type="auto"/>
            <w:gridSpan w:val="3"/>
            <w:vAlign w:val="center"/>
            <w:hideMark/>
          </w:tcPr>
          <w:p w14:paraId="71552341" w14:textId="77777777" w:rsidR="00000000" w:rsidRDefault="00405D16">
            <w:pPr>
              <w:spacing w:after="100"/>
              <w:rPr>
                <w:rFonts w:eastAsia="Times New Roman"/>
                <w:sz w:val="20"/>
                <w:szCs w:val="20"/>
              </w:rPr>
            </w:pPr>
          </w:p>
        </w:tc>
        <w:tc>
          <w:tcPr>
            <w:tcW w:w="0" w:type="auto"/>
            <w:gridSpan w:val="3"/>
            <w:vAlign w:val="center"/>
            <w:hideMark/>
          </w:tcPr>
          <w:p w14:paraId="6A36773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884389"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493AE57" w14:textId="77777777" w:rsidR="00000000" w:rsidRDefault="00405D16">
            <w:pPr>
              <w:spacing w:after="100"/>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center"/>
            <w:hideMark/>
          </w:tcPr>
          <w:p w14:paraId="60943C0F" w14:textId="77777777" w:rsidR="00000000" w:rsidRDefault="00405D16">
            <w:pPr>
              <w:spacing w:after="100"/>
              <w:jc w:val="right"/>
              <w:rPr>
                <w:rFonts w:eastAsia="Times New Roman"/>
              </w:rPr>
            </w:pPr>
          </w:p>
        </w:tc>
        <w:tc>
          <w:tcPr>
            <w:tcW w:w="0" w:type="auto"/>
            <w:gridSpan w:val="3"/>
            <w:vAlign w:val="center"/>
            <w:hideMark/>
          </w:tcPr>
          <w:p w14:paraId="31D1006A" w14:textId="77777777" w:rsidR="00000000" w:rsidRDefault="00405D16">
            <w:pPr>
              <w:spacing w:after="100"/>
              <w:jc w:val="right"/>
              <w:rPr>
                <w:rFonts w:eastAsia="Times New Roman"/>
                <w:sz w:val="20"/>
                <w:szCs w:val="20"/>
              </w:rPr>
            </w:pPr>
          </w:p>
        </w:tc>
        <w:tc>
          <w:tcPr>
            <w:tcW w:w="0" w:type="auto"/>
            <w:gridSpan w:val="2"/>
            <w:vAlign w:val="center"/>
            <w:hideMark/>
          </w:tcPr>
          <w:p w14:paraId="3A09AABD" w14:textId="77777777" w:rsidR="00000000" w:rsidRDefault="00405D16">
            <w:pPr>
              <w:spacing w:after="100"/>
              <w:rPr>
                <w:rFonts w:eastAsia="Times New Roman"/>
                <w:sz w:val="20"/>
                <w:szCs w:val="20"/>
              </w:rPr>
            </w:pPr>
          </w:p>
        </w:tc>
      </w:tr>
      <w:tr w:rsidR="00000000" w14:paraId="1154C506" w14:textId="77777777">
        <w:trPr>
          <w:divId w:val="2103602330"/>
        </w:trPr>
        <w:tc>
          <w:tcPr>
            <w:tcW w:w="0" w:type="auto"/>
            <w:gridSpan w:val="3"/>
            <w:shd w:val="clear" w:color="auto" w:fill="CCEEFF"/>
            <w:tcMar>
              <w:top w:w="30" w:type="dxa"/>
              <w:left w:w="20" w:type="dxa"/>
              <w:bottom w:w="30" w:type="dxa"/>
              <w:right w:w="20" w:type="dxa"/>
            </w:tcMar>
            <w:vAlign w:val="center"/>
            <w:hideMark/>
          </w:tcPr>
          <w:p w14:paraId="204AEF73" w14:textId="77777777" w:rsidR="00000000" w:rsidRDefault="00405D16">
            <w:pPr>
              <w:spacing w:after="100"/>
              <w:rPr>
                <w:rFonts w:eastAsia="Times New Roman"/>
              </w:rPr>
            </w:pPr>
            <w:r>
              <w:rPr>
                <w:rFonts w:eastAsia="Times New Roman"/>
                <w:color w:val="000000"/>
                <w:sz w:val="18"/>
                <w:szCs w:val="18"/>
              </w:rPr>
              <w:t>Total stockholders’ equity</w:t>
            </w:r>
          </w:p>
        </w:tc>
        <w:tc>
          <w:tcPr>
            <w:tcW w:w="0" w:type="auto"/>
            <w:gridSpan w:val="3"/>
            <w:shd w:val="clear" w:color="auto" w:fill="CCEEFF"/>
            <w:tcMar>
              <w:top w:w="0" w:type="dxa"/>
              <w:left w:w="20" w:type="dxa"/>
              <w:bottom w:w="0" w:type="dxa"/>
              <w:right w:w="20" w:type="dxa"/>
            </w:tcMar>
            <w:vAlign w:val="center"/>
            <w:hideMark/>
          </w:tcPr>
          <w:p w14:paraId="75D0D1AF"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7092EA4" w14:textId="77777777" w:rsidR="00000000" w:rsidRDefault="00405D16">
            <w:pPr>
              <w:spacing w:after="100"/>
              <w:jc w:val="right"/>
              <w:rPr>
                <w:rFonts w:eastAsia="Times New Roman"/>
              </w:rPr>
            </w:pPr>
            <w:r>
              <w:rPr>
                <w:rFonts w:eastAsia="Times New Roman"/>
                <w:b/>
                <w:bCs/>
                <w:color w:val="000000"/>
                <w:sz w:val="18"/>
                <w:szCs w:val="18"/>
              </w:rPr>
              <w:t>64,682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64F446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FF58A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3F85AC8" w14:textId="77777777" w:rsidR="00000000" w:rsidRDefault="00405D16">
            <w:pPr>
              <w:spacing w:after="100"/>
              <w:jc w:val="right"/>
              <w:rPr>
                <w:rFonts w:eastAsia="Times New Roman"/>
              </w:rPr>
            </w:pPr>
            <w:r>
              <w:rPr>
                <w:rFonts w:eastAsia="Times New Roman"/>
                <w:color w:val="000000"/>
                <w:sz w:val="18"/>
                <w:szCs w:val="18"/>
              </w:rPr>
              <w:t>57,223 </w:t>
            </w:r>
          </w:p>
        </w:tc>
        <w:tc>
          <w:tcPr>
            <w:tcW w:w="0" w:type="auto"/>
            <w:shd w:val="clear" w:color="auto" w:fill="CCEEFF"/>
            <w:tcMar>
              <w:top w:w="30" w:type="dxa"/>
              <w:left w:w="0" w:type="dxa"/>
              <w:bottom w:w="30" w:type="dxa"/>
              <w:right w:w="20" w:type="dxa"/>
            </w:tcMar>
            <w:vAlign w:val="center"/>
            <w:hideMark/>
          </w:tcPr>
          <w:p w14:paraId="09BF5DE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82706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01F51E5" w14:textId="77777777" w:rsidR="00000000" w:rsidRDefault="00405D16">
            <w:pPr>
              <w:spacing w:after="100"/>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center"/>
            <w:hideMark/>
          </w:tcPr>
          <w:p w14:paraId="2C95B1A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CD505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09049C3" w14:textId="77777777" w:rsidR="00000000" w:rsidRDefault="00405D16">
            <w:pPr>
              <w:spacing w:after="100"/>
              <w:jc w:val="right"/>
              <w:rPr>
                <w:rFonts w:eastAsia="Times New Roman"/>
              </w:rPr>
            </w:pPr>
            <w:r>
              <w:rPr>
                <w:rFonts w:eastAsia="Times New Roman"/>
                <w:b/>
                <w:bCs/>
                <w:color w:val="000000"/>
                <w:sz w:val="18"/>
                <w:szCs w:val="18"/>
              </w:rPr>
              <w:t>62,575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A6A991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805D6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58CF66B" w14:textId="77777777" w:rsidR="00000000" w:rsidRDefault="00405D16">
            <w:pPr>
              <w:spacing w:after="100"/>
              <w:jc w:val="right"/>
              <w:rPr>
                <w:rFonts w:eastAsia="Times New Roman"/>
              </w:rPr>
            </w:pPr>
            <w:r>
              <w:rPr>
                <w:rFonts w:eastAsia="Times New Roman"/>
                <w:color w:val="000000"/>
                <w:sz w:val="18"/>
                <w:szCs w:val="18"/>
              </w:rPr>
              <w:t>57,802 </w:t>
            </w:r>
          </w:p>
        </w:tc>
        <w:tc>
          <w:tcPr>
            <w:tcW w:w="0" w:type="auto"/>
            <w:shd w:val="clear" w:color="auto" w:fill="CCEEFF"/>
            <w:tcMar>
              <w:top w:w="30" w:type="dxa"/>
              <w:left w:w="0" w:type="dxa"/>
              <w:bottom w:w="30" w:type="dxa"/>
              <w:right w:w="20" w:type="dxa"/>
            </w:tcMar>
            <w:vAlign w:val="center"/>
            <w:hideMark/>
          </w:tcPr>
          <w:p w14:paraId="5BD615DA" w14:textId="77777777" w:rsidR="00000000" w:rsidRDefault="00405D16">
            <w:pPr>
              <w:spacing w:after="100"/>
              <w:jc w:val="right"/>
              <w:rPr>
                <w:rFonts w:eastAsia="Times New Roman"/>
              </w:rPr>
            </w:pPr>
          </w:p>
        </w:tc>
        <w:tc>
          <w:tcPr>
            <w:tcW w:w="0" w:type="auto"/>
            <w:vAlign w:val="center"/>
            <w:hideMark/>
          </w:tcPr>
          <w:p w14:paraId="3F1121C4" w14:textId="77777777" w:rsidR="00000000" w:rsidRDefault="00405D16">
            <w:pPr>
              <w:spacing w:after="100"/>
              <w:jc w:val="right"/>
              <w:rPr>
                <w:rFonts w:eastAsia="Times New Roman"/>
                <w:sz w:val="20"/>
                <w:szCs w:val="20"/>
              </w:rPr>
            </w:pPr>
          </w:p>
        </w:tc>
        <w:tc>
          <w:tcPr>
            <w:tcW w:w="0" w:type="auto"/>
            <w:vAlign w:val="center"/>
            <w:hideMark/>
          </w:tcPr>
          <w:p w14:paraId="0F492051" w14:textId="77777777" w:rsidR="00000000" w:rsidRDefault="00405D16">
            <w:pPr>
              <w:spacing w:after="100"/>
              <w:rPr>
                <w:rFonts w:eastAsia="Times New Roman"/>
                <w:sz w:val="20"/>
                <w:szCs w:val="20"/>
              </w:rPr>
            </w:pPr>
          </w:p>
        </w:tc>
        <w:tc>
          <w:tcPr>
            <w:tcW w:w="0" w:type="auto"/>
            <w:gridSpan w:val="3"/>
            <w:vAlign w:val="center"/>
            <w:hideMark/>
          </w:tcPr>
          <w:p w14:paraId="03697B2D" w14:textId="77777777" w:rsidR="00000000" w:rsidRDefault="00405D16">
            <w:pPr>
              <w:spacing w:after="100"/>
              <w:rPr>
                <w:rFonts w:eastAsia="Times New Roman"/>
                <w:sz w:val="20"/>
                <w:szCs w:val="20"/>
              </w:rPr>
            </w:pPr>
          </w:p>
        </w:tc>
        <w:tc>
          <w:tcPr>
            <w:tcW w:w="0" w:type="auto"/>
            <w:gridSpan w:val="3"/>
            <w:vAlign w:val="center"/>
            <w:hideMark/>
          </w:tcPr>
          <w:p w14:paraId="00A72639" w14:textId="77777777" w:rsidR="00000000" w:rsidRDefault="00405D16">
            <w:pPr>
              <w:spacing w:after="100"/>
              <w:rPr>
                <w:rFonts w:eastAsia="Times New Roman"/>
                <w:sz w:val="20"/>
                <w:szCs w:val="20"/>
              </w:rPr>
            </w:pPr>
          </w:p>
        </w:tc>
        <w:tc>
          <w:tcPr>
            <w:tcW w:w="0" w:type="auto"/>
            <w:gridSpan w:val="3"/>
            <w:vAlign w:val="center"/>
            <w:hideMark/>
          </w:tcPr>
          <w:p w14:paraId="27720704" w14:textId="77777777" w:rsidR="00000000" w:rsidRDefault="00405D16">
            <w:pPr>
              <w:spacing w:after="100"/>
              <w:rPr>
                <w:rFonts w:eastAsia="Times New Roman"/>
                <w:sz w:val="20"/>
                <w:szCs w:val="20"/>
              </w:rPr>
            </w:pPr>
          </w:p>
        </w:tc>
        <w:tc>
          <w:tcPr>
            <w:tcW w:w="0" w:type="auto"/>
            <w:gridSpan w:val="3"/>
            <w:vAlign w:val="center"/>
            <w:hideMark/>
          </w:tcPr>
          <w:p w14:paraId="5C83E1A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7551D2"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1D0CEA4" w14:textId="77777777" w:rsidR="00000000" w:rsidRDefault="00405D16">
            <w:pPr>
              <w:spacing w:after="100"/>
              <w:jc w:val="right"/>
              <w:rPr>
                <w:rFonts w:eastAsia="Times New Roman"/>
              </w:rPr>
            </w:pPr>
            <w:r>
              <w:rPr>
                <w:rFonts w:eastAsia="Times New Roman"/>
                <w:color w:val="000000"/>
                <w:sz w:val="18"/>
                <w:szCs w:val="18"/>
              </w:rPr>
              <w:t>8 </w:t>
            </w:r>
          </w:p>
        </w:tc>
        <w:tc>
          <w:tcPr>
            <w:tcW w:w="0" w:type="auto"/>
            <w:shd w:val="clear" w:color="auto" w:fill="CCEEFF"/>
            <w:tcMar>
              <w:top w:w="30" w:type="dxa"/>
              <w:left w:w="0" w:type="dxa"/>
              <w:bottom w:w="30" w:type="dxa"/>
              <w:right w:w="20" w:type="dxa"/>
            </w:tcMar>
            <w:vAlign w:val="center"/>
            <w:hideMark/>
          </w:tcPr>
          <w:p w14:paraId="12942BE5" w14:textId="77777777" w:rsidR="00000000" w:rsidRDefault="00405D16">
            <w:pPr>
              <w:spacing w:after="100"/>
              <w:jc w:val="right"/>
              <w:rPr>
                <w:rFonts w:eastAsia="Times New Roman"/>
              </w:rPr>
            </w:pPr>
          </w:p>
        </w:tc>
        <w:tc>
          <w:tcPr>
            <w:tcW w:w="0" w:type="auto"/>
            <w:gridSpan w:val="3"/>
            <w:vAlign w:val="center"/>
            <w:hideMark/>
          </w:tcPr>
          <w:p w14:paraId="59649A26" w14:textId="77777777" w:rsidR="00000000" w:rsidRDefault="00405D16">
            <w:pPr>
              <w:spacing w:after="100"/>
              <w:jc w:val="right"/>
              <w:rPr>
                <w:rFonts w:eastAsia="Times New Roman"/>
                <w:sz w:val="20"/>
                <w:szCs w:val="20"/>
              </w:rPr>
            </w:pPr>
          </w:p>
        </w:tc>
        <w:tc>
          <w:tcPr>
            <w:tcW w:w="0" w:type="auto"/>
            <w:gridSpan w:val="2"/>
            <w:vAlign w:val="center"/>
            <w:hideMark/>
          </w:tcPr>
          <w:p w14:paraId="037A9939" w14:textId="77777777" w:rsidR="00000000" w:rsidRDefault="00405D16">
            <w:pPr>
              <w:spacing w:after="100"/>
              <w:rPr>
                <w:rFonts w:eastAsia="Times New Roman"/>
                <w:sz w:val="20"/>
                <w:szCs w:val="20"/>
              </w:rPr>
            </w:pPr>
          </w:p>
        </w:tc>
      </w:tr>
      <w:tr w:rsidR="00000000" w14:paraId="3EFC84EF" w14:textId="77777777">
        <w:trPr>
          <w:divId w:val="2103602330"/>
        </w:trPr>
        <w:tc>
          <w:tcPr>
            <w:tcW w:w="0" w:type="auto"/>
            <w:gridSpan w:val="3"/>
            <w:vAlign w:val="center"/>
            <w:hideMark/>
          </w:tcPr>
          <w:p w14:paraId="7C173C2F" w14:textId="77777777" w:rsidR="00000000" w:rsidRDefault="00405D16">
            <w:pPr>
              <w:spacing w:after="100"/>
              <w:rPr>
                <w:rFonts w:eastAsia="Times New Roman"/>
                <w:sz w:val="20"/>
                <w:szCs w:val="20"/>
              </w:rPr>
            </w:pPr>
          </w:p>
        </w:tc>
        <w:tc>
          <w:tcPr>
            <w:tcW w:w="0" w:type="auto"/>
            <w:gridSpan w:val="3"/>
            <w:vAlign w:val="center"/>
            <w:hideMark/>
          </w:tcPr>
          <w:p w14:paraId="226CE271" w14:textId="77777777" w:rsidR="00000000" w:rsidRDefault="00405D16">
            <w:pPr>
              <w:spacing w:after="100"/>
              <w:rPr>
                <w:rFonts w:eastAsia="Times New Roman"/>
                <w:sz w:val="20"/>
                <w:szCs w:val="20"/>
              </w:rPr>
            </w:pPr>
          </w:p>
        </w:tc>
        <w:tc>
          <w:tcPr>
            <w:tcW w:w="0" w:type="auto"/>
            <w:gridSpan w:val="3"/>
            <w:vAlign w:val="center"/>
            <w:hideMark/>
          </w:tcPr>
          <w:p w14:paraId="4637DD32" w14:textId="77777777" w:rsidR="00000000" w:rsidRDefault="00405D16">
            <w:pPr>
              <w:spacing w:after="100"/>
              <w:rPr>
                <w:rFonts w:eastAsia="Times New Roman"/>
                <w:sz w:val="20"/>
                <w:szCs w:val="20"/>
              </w:rPr>
            </w:pPr>
          </w:p>
        </w:tc>
        <w:tc>
          <w:tcPr>
            <w:tcW w:w="0" w:type="auto"/>
            <w:gridSpan w:val="3"/>
            <w:vAlign w:val="center"/>
            <w:hideMark/>
          </w:tcPr>
          <w:p w14:paraId="682DA054" w14:textId="77777777" w:rsidR="00000000" w:rsidRDefault="00405D16">
            <w:pPr>
              <w:spacing w:after="100"/>
              <w:rPr>
                <w:rFonts w:eastAsia="Times New Roman"/>
                <w:sz w:val="20"/>
                <w:szCs w:val="20"/>
              </w:rPr>
            </w:pPr>
          </w:p>
        </w:tc>
        <w:tc>
          <w:tcPr>
            <w:tcW w:w="0" w:type="auto"/>
            <w:gridSpan w:val="3"/>
            <w:vAlign w:val="center"/>
            <w:hideMark/>
          </w:tcPr>
          <w:p w14:paraId="396C9633" w14:textId="77777777" w:rsidR="00000000" w:rsidRDefault="00405D16">
            <w:pPr>
              <w:spacing w:after="100"/>
              <w:rPr>
                <w:rFonts w:eastAsia="Times New Roman"/>
                <w:sz w:val="20"/>
                <w:szCs w:val="20"/>
              </w:rPr>
            </w:pPr>
          </w:p>
        </w:tc>
        <w:tc>
          <w:tcPr>
            <w:tcW w:w="0" w:type="auto"/>
            <w:gridSpan w:val="3"/>
            <w:vAlign w:val="center"/>
            <w:hideMark/>
          </w:tcPr>
          <w:p w14:paraId="15CAFAA5" w14:textId="77777777" w:rsidR="00000000" w:rsidRDefault="00405D16">
            <w:pPr>
              <w:spacing w:after="100"/>
              <w:rPr>
                <w:rFonts w:eastAsia="Times New Roman"/>
                <w:sz w:val="20"/>
                <w:szCs w:val="20"/>
              </w:rPr>
            </w:pPr>
          </w:p>
        </w:tc>
        <w:tc>
          <w:tcPr>
            <w:tcW w:w="0" w:type="auto"/>
            <w:gridSpan w:val="3"/>
            <w:vAlign w:val="center"/>
            <w:hideMark/>
          </w:tcPr>
          <w:p w14:paraId="26FE56CC" w14:textId="77777777" w:rsidR="00000000" w:rsidRDefault="00405D16">
            <w:pPr>
              <w:spacing w:after="100"/>
              <w:rPr>
                <w:rFonts w:eastAsia="Times New Roman"/>
                <w:sz w:val="20"/>
                <w:szCs w:val="20"/>
              </w:rPr>
            </w:pPr>
          </w:p>
        </w:tc>
        <w:tc>
          <w:tcPr>
            <w:tcW w:w="0" w:type="auto"/>
            <w:gridSpan w:val="3"/>
            <w:vAlign w:val="center"/>
            <w:hideMark/>
          </w:tcPr>
          <w:p w14:paraId="06549532" w14:textId="77777777" w:rsidR="00000000" w:rsidRDefault="00405D16">
            <w:pPr>
              <w:spacing w:after="100"/>
              <w:rPr>
                <w:rFonts w:eastAsia="Times New Roman"/>
                <w:sz w:val="20"/>
                <w:szCs w:val="20"/>
              </w:rPr>
            </w:pPr>
          </w:p>
        </w:tc>
        <w:tc>
          <w:tcPr>
            <w:tcW w:w="0" w:type="auto"/>
            <w:gridSpan w:val="3"/>
            <w:vAlign w:val="center"/>
            <w:hideMark/>
          </w:tcPr>
          <w:p w14:paraId="75EC64C5" w14:textId="77777777" w:rsidR="00000000" w:rsidRDefault="00405D16">
            <w:pPr>
              <w:spacing w:after="100"/>
              <w:rPr>
                <w:rFonts w:eastAsia="Times New Roman"/>
                <w:sz w:val="20"/>
                <w:szCs w:val="20"/>
              </w:rPr>
            </w:pPr>
          </w:p>
        </w:tc>
        <w:tc>
          <w:tcPr>
            <w:tcW w:w="0" w:type="auto"/>
            <w:gridSpan w:val="3"/>
            <w:vAlign w:val="center"/>
            <w:hideMark/>
          </w:tcPr>
          <w:p w14:paraId="08E2CFF5" w14:textId="77777777" w:rsidR="00000000" w:rsidRDefault="00405D16">
            <w:pPr>
              <w:spacing w:after="100"/>
              <w:rPr>
                <w:rFonts w:eastAsia="Times New Roman"/>
                <w:sz w:val="20"/>
                <w:szCs w:val="20"/>
              </w:rPr>
            </w:pPr>
          </w:p>
        </w:tc>
        <w:tc>
          <w:tcPr>
            <w:tcW w:w="0" w:type="auto"/>
            <w:gridSpan w:val="3"/>
            <w:vAlign w:val="center"/>
            <w:hideMark/>
          </w:tcPr>
          <w:p w14:paraId="00509D2F" w14:textId="77777777" w:rsidR="00000000" w:rsidRDefault="00405D16">
            <w:pPr>
              <w:spacing w:after="100"/>
              <w:rPr>
                <w:rFonts w:eastAsia="Times New Roman"/>
                <w:sz w:val="20"/>
                <w:szCs w:val="20"/>
              </w:rPr>
            </w:pPr>
          </w:p>
        </w:tc>
        <w:tc>
          <w:tcPr>
            <w:tcW w:w="0" w:type="auto"/>
            <w:vAlign w:val="center"/>
            <w:hideMark/>
          </w:tcPr>
          <w:p w14:paraId="2FAAC9E0" w14:textId="77777777" w:rsidR="00000000" w:rsidRDefault="00405D16">
            <w:pPr>
              <w:spacing w:after="100"/>
              <w:rPr>
                <w:rFonts w:eastAsia="Times New Roman"/>
                <w:sz w:val="20"/>
                <w:szCs w:val="20"/>
              </w:rPr>
            </w:pPr>
          </w:p>
        </w:tc>
        <w:tc>
          <w:tcPr>
            <w:tcW w:w="0" w:type="auto"/>
            <w:vAlign w:val="center"/>
            <w:hideMark/>
          </w:tcPr>
          <w:p w14:paraId="460F59E3" w14:textId="77777777" w:rsidR="00000000" w:rsidRDefault="00405D16">
            <w:pPr>
              <w:spacing w:after="100"/>
              <w:rPr>
                <w:rFonts w:eastAsia="Times New Roman"/>
                <w:sz w:val="20"/>
                <w:szCs w:val="20"/>
              </w:rPr>
            </w:pPr>
          </w:p>
        </w:tc>
        <w:tc>
          <w:tcPr>
            <w:tcW w:w="0" w:type="auto"/>
            <w:gridSpan w:val="3"/>
            <w:vAlign w:val="center"/>
            <w:hideMark/>
          </w:tcPr>
          <w:p w14:paraId="55F83494" w14:textId="77777777" w:rsidR="00000000" w:rsidRDefault="00405D16">
            <w:pPr>
              <w:spacing w:after="100"/>
              <w:rPr>
                <w:rFonts w:eastAsia="Times New Roman"/>
                <w:sz w:val="20"/>
                <w:szCs w:val="20"/>
              </w:rPr>
            </w:pPr>
          </w:p>
        </w:tc>
        <w:tc>
          <w:tcPr>
            <w:tcW w:w="0" w:type="auto"/>
            <w:gridSpan w:val="3"/>
            <w:vAlign w:val="center"/>
            <w:hideMark/>
          </w:tcPr>
          <w:p w14:paraId="2E05E6D0" w14:textId="77777777" w:rsidR="00000000" w:rsidRDefault="00405D16">
            <w:pPr>
              <w:spacing w:after="100"/>
              <w:rPr>
                <w:rFonts w:eastAsia="Times New Roman"/>
                <w:sz w:val="20"/>
                <w:szCs w:val="20"/>
              </w:rPr>
            </w:pPr>
          </w:p>
        </w:tc>
        <w:tc>
          <w:tcPr>
            <w:tcW w:w="0" w:type="auto"/>
            <w:gridSpan w:val="3"/>
            <w:vAlign w:val="center"/>
            <w:hideMark/>
          </w:tcPr>
          <w:p w14:paraId="33747342" w14:textId="77777777" w:rsidR="00000000" w:rsidRDefault="00405D16">
            <w:pPr>
              <w:spacing w:after="100"/>
              <w:rPr>
                <w:rFonts w:eastAsia="Times New Roman"/>
                <w:sz w:val="20"/>
                <w:szCs w:val="20"/>
              </w:rPr>
            </w:pPr>
          </w:p>
        </w:tc>
        <w:tc>
          <w:tcPr>
            <w:tcW w:w="0" w:type="auto"/>
            <w:gridSpan w:val="3"/>
            <w:vAlign w:val="center"/>
            <w:hideMark/>
          </w:tcPr>
          <w:p w14:paraId="15767F93" w14:textId="77777777" w:rsidR="00000000" w:rsidRDefault="00405D16">
            <w:pPr>
              <w:spacing w:after="100"/>
              <w:rPr>
                <w:rFonts w:eastAsia="Times New Roman"/>
                <w:sz w:val="20"/>
                <w:szCs w:val="20"/>
              </w:rPr>
            </w:pPr>
          </w:p>
        </w:tc>
        <w:tc>
          <w:tcPr>
            <w:tcW w:w="0" w:type="auto"/>
            <w:gridSpan w:val="3"/>
            <w:vAlign w:val="center"/>
            <w:hideMark/>
          </w:tcPr>
          <w:p w14:paraId="7E08E0A6" w14:textId="77777777" w:rsidR="00000000" w:rsidRDefault="00405D16">
            <w:pPr>
              <w:spacing w:after="100"/>
              <w:rPr>
                <w:rFonts w:eastAsia="Times New Roman"/>
                <w:sz w:val="20"/>
                <w:szCs w:val="20"/>
              </w:rPr>
            </w:pPr>
          </w:p>
        </w:tc>
        <w:tc>
          <w:tcPr>
            <w:tcW w:w="0" w:type="auto"/>
            <w:gridSpan w:val="3"/>
            <w:vAlign w:val="center"/>
            <w:hideMark/>
          </w:tcPr>
          <w:p w14:paraId="359F2DA0" w14:textId="77777777" w:rsidR="00000000" w:rsidRDefault="00405D16">
            <w:pPr>
              <w:spacing w:after="100"/>
              <w:rPr>
                <w:rFonts w:eastAsia="Times New Roman"/>
                <w:sz w:val="20"/>
                <w:szCs w:val="20"/>
              </w:rPr>
            </w:pPr>
          </w:p>
        </w:tc>
        <w:tc>
          <w:tcPr>
            <w:tcW w:w="0" w:type="auto"/>
            <w:gridSpan w:val="3"/>
            <w:vAlign w:val="center"/>
            <w:hideMark/>
          </w:tcPr>
          <w:p w14:paraId="36A62D90" w14:textId="77777777" w:rsidR="00000000" w:rsidRDefault="00405D16">
            <w:pPr>
              <w:spacing w:after="100"/>
              <w:rPr>
                <w:rFonts w:eastAsia="Times New Roman"/>
                <w:sz w:val="20"/>
                <w:szCs w:val="20"/>
              </w:rPr>
            </w:pPr>
          </w:p>
        </w:tc>
        <w:tc>
          <w:tcPr>
            <w:tcW w:w="0" w:type="auto"/>
            <w:gridSpan w:val="2"/>
            <w:vAlign w:val="center"/>
            <w:hideMark/>
          </w:tcPr>
          <w:p w14:paraId="202ED05F" w14:textId="77777777" w:rsidR="00000000" w:rsidRDefault="00405D16">
            <w:pPr>
              <w:spacing w:after="100"/>
              <w:rPr>
                <w:rFonts w:eastAsia="Times New Roman"/>
                <w:sz w:val="20"/>
                <w:szCs w:val="20"/>
              </w:rPr>
            </w:pPr>
          </w:p>
        </w:tc>
      </w:tr>
      <w:tr w:rsidR="00000000" w14:paraId="2F129ECB" w14:textId="77777777">
        <w:trPr>
          <w:divId w:val="2103602330"/>
        </w:trPr>
        <w:tc>
          <w:tcPr>
            <w:tcW w:w="0" w:type="auto"/>
            <w:gridSpan w:val="3"/>
            <w:shd w:val="clear" w:color="auto" w:fill="FFFFFF"/>
            <w:tcMar>
              <w:top w:w="30" w:type="dxa"/>
              <w:left w:w="20" w:type="dxa"/>
              <w:bottom w:w="30" w:type="dxa"/>
              <w:right w:w="20" w:type="dxa"/>
            </w:tcMar>
            <w:vAlign w:val="center"/>
            <w:hideMark/>
          </w:tcPr>
          <w:p w14:paraId="7884960B" w14:textId="77777777" w:rsidR="00000000" w:rsidRDefault="00405D16">
            <w:pPr>
              <w:spacing w:after="100"/>
              <w:rPr>
                <w:rFonts w:eastAsia="Times New Roman"/>
              </w:rPr>
            </w:pPr>
            <w:r>
              <w:rPr>
                <w:rFonts w:eastAsia="Times New Roman"/>
                <w:b/>
                <w:bCs/>
                <w:color w:val="000000"/>
                <w:sz w:val="18"/>
                <w:szCs w:val="18"/>
              </w:rPr>
              <w:t>Selected performance metrics</w:t>
            </w:r>
          </w:p>
        </w:tc>
        <w:tc>
          <w:tcPr>
            <w:tcW w:w="0" w:type="auto"/>
            <w:gridSpan w:val="3"/>
            <w:shd w:val="clear" w:color="auto" w:fill="FFFFFF"/>
            <w:tcMar>
              <w:top w:w="0" w:type="dxa"/>
              <w:left w:w="20" w:type="dxa"/>
              <w:bottom w:w="0" w:type="dxa"/>
              <w:right w:w="20" w:type="dxa"/>
            </w:tcMar>
            <w:vAlign w:val="center"/>
            <w:hideMark/>
          </w:tcPr>
          <w:p w14:paraId="117D204E"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4D110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91FD7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B5E7F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8FF25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512C74"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233C1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C582B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358FF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DFA6A7" w14:textId="77777777" w:rsidR="00000000" w:rsidRDefault="00405D16">
            <w:pPr>
              <w:spacing w:after="100"/>
              <w:rPr>
                <w:rFonts w:eastAsia="Times New Roman"/>
                <w:sz w:val="20"/>
                <w:szCs w:val="20"/>
              </w:rPr>
            </w:pPr>
          </w:p>
        </w:tc>
        <w:tc>
          <w:tcPr>
            <w:tcW w:w="0" w:type="auto"/>
            <w:vAlign w:val="center"/>
            <w:hideMark/>
          </w:tcPr>
          <w:p w14:paraId="730944E8" w14:textId="77777777" w:rsidR="00000000" w:rsidRDefault="00405D16">
            <w:pPr>
              <w:spacing w:after="100"/>
              <w:rPr>
                <w:rFonts w:eastAsia="Times New Roman"/>
                <w:sz w:val="20"/>
                <w:szCs w:val="20"/>
              </w:rPr>
            </w:pPr>
          </w:p>
        </w:tc>
        <w:tc>
          <w:tcPr>
            <w:tcW w:w="0" w:type="auto"/>
            <w:vAlign w:val="center"/>
            <w:hideMark/>
          </w:tcPr>
          <w:p w14:paraId="45A57C3B" w14:textId="77777777" w:rsidR="00000000" w:rsidRDefault="00405D16">
            <w:pPr>
              <w:spacing w:after="100"/>
              <w:rPr>
                <w:rFonts w:eastAsia="Times New Roman"/>
                <w:sz w:val="20"/>
                <w:szCs w:val="20"/>
              </w:rPr>
            </w:pPr>
          </w:p>
        </w:tc>
        <w:tc>
          <w:tcPr>
            <w:tcW w:w="0" w:type="auto"/>
            <w:gridSpan w:val="3"/>
            <w:vAlign w:val="center"/>
            <w:hideMark/>
          </w:tcPr>
          <w:p w14:paraId="789BB853" w14:textId="77777777" w:rsidR="00000000" w:rsidRDefault="00405D16">
            <w:pPr>
              <w:spacing w:after="100"/>
              <w:rPr>
                <w:rFonts w:eastAsia="Times New Roman"/>
                <w:sz w:val="20"/>
                <w:szCs w:val="20"/>
              </w:rPr>
            </w:pPr>
          </w:p>
        </w:tc>
        <w:tc>
          <w:tcPr>
            <w:tcW w:w="0" w:type="auto"/>
            <w:gridSpan w:val="3"/>
            <w:vAlign w:val="center"/>
            <w:hideMark/>
          </w:tcPr>
          <w:p w14:paraId="08FB40A4" w14:textId="77777777" w:rsidR="00000000" w:rsidRDefault="00405D16">
            <w:pPr>
              <w:spacing w:after="100"/>
              <w:rPr>
                <w:rFonts w:eastAsia="Times New Roman"/>
                <w:sz w:val="20"/>
                <w:szCs w:val="20"/>
              </w:rPr>
            </w:pPr>
          </w:p>
        </w:tc>
        <w:tc>
          <w:tcPr>
            <w:tcW w:w="0" w:type="auto"/>
            <w:gridSpan w:val="3"/>
            <w:vAlign w:val="center"/>
            <w:hideMark/>
          </w:tcPr>
          <w:p w14:paraId="29EB8A0D" w14:textId="77777777" w:rsidR="00000000" w:rsidRDefault="00405D16">
            <w:pPr>
              <w:spacing w:after="100"/>
              <w:rPr>
                <w:rFonts w:eastAsia="Times New Roman"/>
                <w:sz w:val="20"/>
                <w:szCs w:val="20"/>
              </w:rPr>
            </w:pPr>
          </w:p>
        </w:tc>
        <w:tc>
          <w:tcPr>
            <w:tcW w:w="0" w:type="auto"/>
            <w:gridSpan w:val="3"/>
            <w:vAlign w:val="center"/>
            <w:hideMark/>
          </w:tcPr>
          <w:p w14:paraId="4C1BF09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E9787E" w14:textId="77777777" w:rsidR="00000000" w:rsidRDefault="00405D16">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25C056FC" w14:textId="77777777" w:rsidR="00000000" w:rsidRDefault="00405D16">
            <w:pPr>
              <w:spacing w:after="100"/>
              <w:jc w:val="right"/>
              <w:rPr>
                <w:rFonts w:eastAsia="Times New Roman"/>
              </w:rPr>
            </w:pPr>
            <w:r>
              <w:rPr>
                <w:rFonts w:eastAsia="Times New Roman"/>
                <w:b/>
                <w:bCs/>
                <w:color w:val="000000"/>
                <w:sz w:val="18"/>
                <w:szCs w:val="18"/>
              </w:rPr>
              <w:t> </w:t>
            </w:r>
          </w:p>
        </w:tc>
        <w:tc>
          <w:tcPr>
            <w:tcW w:w="0" w:type="auto"/>
            <w:gridSpan w:val="3"/>
            <w:vAlign w:val="center"/>
            <w:hideMark/>
          </w:tcPr>
          <w:p w14:paraId="5ED5D9E3" w14:textId="77777777" w:rsidR="00000000" w:rsidRDefault="00405D16">
            <w:pPr>
              <w:spacing w:after="100"/>
              <w:jc w:val="right"/>
              <w:rPr>
                <w:rFonts w:eastAsia="Times New Roman"/>
              </w:rPr>
            </w:pPr>
          </w:p>
        </w:tc>
        <w:tc>
          <w:tcPr>
            <w:tcW w:w="0" w:type="auto"/>
            <w:gridSpan w:val="2"/>
            <w:vAlign w:val="center"/>
            <w:hideMark/>
          </w:tcPr>
          <w:p w14:paraId="4D14B939" w14:textId="77777777" w:rsidR="00000000" w:rsidRDefault="00405D16">
            <w:pPr>
              <w:spacing w:after="100"/>
              <w:rPr>
                <w:rFonts w:eastAsia="Times New Roman"/>
                <w:sz w:val="20"/>
                <w:szCs w:val="20"/>
              </w:rPr>
            </w:pPr>
          </w:p>
        </w:tc>
      </w:tr>
      <w:tr w:rsidR="00000000" w14:paraId="06DDCFE6" w14:textId="77777777">
        <w:trPr>
          <w:divId w:val="2103602330"/>
        </w:trPr>
        <w:tc>
          <w:tcPr>
            <w:tcW w:w="0" w:type="auto"/>
            <w:gridSpan w:val="3"/>
            <w:shd w:val="clear" w:color="auto" w:fill="CCEEFF"/>
            <w:tcMar>
              <w:top w:w="30" w:type="dxa"/>
              <w:left w:w="20" w:type="dxa"/>
              <w:bottom w:w="30" w:type="dxa"/>
              <w:right w:w="20" w:type="dxa"/>
            </w:tcMar>
            <w:vAlign w:val="center"/>
            <w:hideMark/>
          </w:tcPr>
          <w:p w14:paraId="7862987A" w14:textId="77777777" w:rsidR="00000000" w:rsidRDefault="00405D16">
            <w:pPr>
              <w:spacing w:after="100"/>
              <w:rPr>
                <w:rFonts w:eastAsia="Times New Roman"/>
              </w:rPr>
            </w:pPr>
            <w:r>
              <w:rPr>
                <w:rFonts w:eastAsia="Times New Roman"/>
                <w:color w:val="000000"/>
                <w:sz w:val="18"/>
                <w:szCs w:val="18"/>
              </w:rPr>
              <w:t>Purchase volume</w:t>
            </w:r>
          </w:p>
        </w:tc>
        <w:tc>
          <w:tcPr>
            <w:tcW w:w="0" w:type="auto"/>
            <w:gridSpan w:val="3"/>
            <w:shd w:val="clear" w:color="auto" w:fill="CCEEFF"/>
            <w:tcMar>
              <w:top w:w="0" w:type="dxa"/>
              <w:left w:w="20" w:type="dxa"/>
              <w:bottom w:w="0" w:type="dxa"/>
              <w:right w:w="20" w:type="dxa"/>
            </w:tcMar>
            <w:vAlign w:val="center"/>
            <w:hideMark/>
          </w:tcPr>
          <w:p w14:paraId="79806C24" w14:textId="77777777" w:rsidR="00000000" w:rsidRDefault="00405D16">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4EC1899A"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71C8C1C4" w14:textId="77777777" w:rsidR="00000000" w:rsidRDefault="00405D16">
            <w:pPr>
              <w:spacing w:after="100"/>
              <w:jc w:val="right"/>
              <w:rPr>
                <w:rFonts w:eastAsia="Times New Roman"/>
              </w:rPr>
            </w:pPr>
            <w:r>
              <w:rPr>
                <w:rFonts w:eastAsia="Times New Roman"/>
                <w:b/>
                <w:bCs/>
                <w:color w:val="000000"/>
                <w:sz w:val="18"/>
                <w:szCs w:val="18"/>
              </w:rPr>
              <w:t>136,614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DBE80D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610BF9"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361529D2"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64F23960" w14:textId="77777777" w:rsidR="00000000" w:rsidRDefault="00405D16">
            <w:pPr>
              <w:spacing w:after="100"/>
              <w:jc w:val="right"/>
              <w:rPr>
                <w:rFonts w:eastAsia="Times New Roman"/>
              </w:rPr>
            </w:pPr>
            <w:r>
              <w:rPr>
                <w:rFonts w:eastAsia="Times New Roman"/>
                <w:color w:val="000000"/>
                <w:sz w:val="18"/>
                <w:szCs w:val="18"/>
              </w:rPr>
              <w:t>107,102 </w:t>
            </w:r>
          </w:p>
        </w:tc>
        <w:tc>
          <w:tcPr>
            <w:tcW w:w="0" w:type="auto"/>
            <w:shd w:val="clear" w:color="auto" w:fill="CCEEFF"/>
            <w:tcMar>
              <w:top w:w="30" w:type="dxa"/>
              <w:left w:w="0" w:type="dxa"/>
              <w:bottom w:w="30" w:type="dxa"/>
              <w:right w:w="20" w:type="dxa"/>
            </w:tcMar>
            <w:vAlign w:val="center"/>
            <w:hideMark/>
          </w:tcPr>
          <w:p w14:paraId="3B8FFAC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949B8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91E7D53" w14:textId="77777777" w:rsidR="00000000" w:rsidRDefault="00405D16">
            <w:pPr>
              <w:spacing w:after="100"/>
              <w:jc w:val="right"/>
              <w:rPr>
                <w:rFonts w:eastAsia="Times New Roman"/>
              </w:rPr>
            </w:pPr>
            <w:r>
              <w:rPr>
                <w:rFonts w:eastAsia="Times New Roman"/>
                <w:color w:val="000000"/>
                <w:sz w:val="18"/>
                <w:szCs w:val="18"/>
              </w:rPr>
              <w:t>28 </w:t>
            </w:r>
          </w:p>
        </w:tc>
        <w:tc>
          <w:tcPr>
            <w:tcW w:w="0" w:type="auto"/>
            <w:shd w:val="clear" w:color="auto" w:fill="CCEEFF"/>
            <w:tcMar>
              <w:top w:w="30" w:type="dxa"/>
              <w:left w:w="0" w:type="dxa"/>
              <w:bottom w:w="30" w:type="dxa"/>
              <w:right w:w="20" w:type="dxa"/>
            </w:tcMar>
            <w:vAlign w:val="center"/>
            <w:hideMark/>
          </w:tcPr>
          <w:p w14:paraId="51BAD4B5"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77F11C1" w14:textId="77777777" w:rsidR="00000000" w:rsidRDefault="00405D16">
            <w:pPr>
              <w:spacing w:after="100"/>
              <w:jc w:val="right"/>
              <w:rPr>
                <w:rFonts w:eastAsia="Times New Roman"/>
              </w:rPr>
            </w:pPr>
          </w:p>
        </w:tc>
        <w:tc>
          <w:tcPr>
            <w:tcW w:w="0" w:type="auto"/>
            <w:shd w:val="clear" w:color="auto" w:fill="CCEEFF"/>
            <w:tcMar>
              <w:top w:w="30" w:type="dxa"/>
              <w:left w:w="20" w:type="dxa"/>
              <w:bottom w:w="30" w:type="dxa"/>
              <w:right w:w="0" w:type="dxa"/>
            </w:tcMar>
            <w:vAlign w:val="center"/>
            <w:hideMark/>
          </w:tcPr>
          <w:p w14:paraId="30D8BF1A"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062825CF" w14:textId="77777777" w:rsidR="00000000" w:rsidRDefault="00405D16">
            <w:pPr>
              <w:spacing w:after="100"/>
              <w:jc w:val="right"/>
              <w:rPr>
                <w:rFonts w:eastAsia="Times New Roman"/>
              </w:rPr>
            </w:pPr>
            <w:r>
              <w:rPr>
                <w:rFonts w:eastAsia="Times New Roman"/>
                <w:b/>
                <w:bCs/>
                <w:color w:val="000000"/>
                <w:sz w:val="18"/>
                <w:szCs w:val="18"/>
              </w:rPr>
              <w:t>377,623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D3F361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0BCE0E"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18ECA88F"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4A0B35A3" w14:textId="77777777" w:rsidR="00000000" w:rsidRDefault="00405D16">
            <w:pPr>
              <w:spacing w:after="100"/>
              <w:jc w:val="right"/>
              <w:rPr>
                <w:rFonts w:eastAsia="Times New Roman"/>
              </w:rPr>
            </w:pPr>
            <w:r>
              <w:rPr>
                <w:rFonts w:eastAsia="Times New Roman"/>
                <w:color w:val="000000"/>
                <w:sz w:val="18"/>
                <w:szCs w:val="18"/>
              </w:rPr>
              <w:t>297,171 </w:t>
            </w:r>
          </w:p>
        </w:tc>
        <w:tc>
          <w:tcPr>
            <w:tcW w:w="0" w:type="auto"/>
            <w:shd w:val="clear" w:color="auto" w:fill="CCEEFF"/>
            <w:tcMar>
              <w:top w:w="30" w:type="dxa"/>
              <w:left w:w="0" w:type="dxa"/>
              <w:bottom w:w="30" w:type="dxa"/>
              <w:right w:w="20" w:type="dxa"/>
            </w:tcMar>
            <w:vAlign w:val="center"/>
            <w:hideMark/>
          </w:tcPr>
          <w:p w14:paraId="2B159731" w14:textId="77777777" w:rsidR="00000000" w:rsidRDefault="00405D16">
            <w:pPr>
              <w:spacing w:after="100"/>
              <w:jc w:val="right"/>
              <w:rPr>
                <w:rFonts w:eastAsia="Times New Roman"/>
              </w:rPr>
            </w:pPr>
          </w:p>
        </w:tc>
        <w:tc>
          <w:tcPr>
            <w:tcW w:w="0" w:type="auto"/>
            <w:vAlign w:val="center"/>
            <w:hideMark/>
          </w:tcPr>
          <w:p w14:paraId="7655F8A2" w14:textId="77777777" w:rsidR="00000000" w:rsidRDefault="00405D16">
            <w:pPr>
              <w:spacing w:after="100"/>
              <w:jc w:val="right"/>
              <w:rPr>
                <w:rFonts w:eastAsia="Times New Roman"/>
                <w:sz w:val="20"/>
                <w:szCs w:val="20"/>
              </w:rPr>
            </w:pPr>
          </w:p>
        </w:tc>
        <w:tc>
          <w:tcPr>
            <w:tcW w:w="0" w:type="auto"/>
            <w:vAlign w:val="center"/>
            <w:hideMark/>
          </w:tcPr>
          <w:p w14:paraId="5B3043C7" w14:textId="77777777" w:rsidR="00000000" w:rsidRDefault="00405D16">
            <w:pPr>
              <w:spacing w:after="100"/>
              <w:rPr>
                <w:rFonts w:eastAsia="Times New Roman"/>
                <w:sz w:val="20"/>
                <w:szCs w:val="20"/>
              </w:rPr>
            </w:pPr>
          </w:p>
        </w:tc>
        <w:tc>
          <w:tcPr>
            <w:tcW w:w="0" w:type="auto"/>
            <w:gridSpan w:val="3"/>
            <w:vAlign w:val="center"/>
            <w:hideMark/>
          </w:tcPr>
          <w:p w14:paraId="65A51CE8" w14:textId="77777777" w:rsidR="00000000" w:rsidRDefault="00405D16">
            <w:pPr>
              <w:spacing w:after="100"/>
              <w:rPr>
                <w:rFonts w:eastAsia="Times New Roman"/>
                <w:sz w:val="20"/>
                <w:szCs w:val="20"/>
              </w:rPr>
            </w:pPr>
          </w:p>
        </w:tc>
        <w:tc>
          <w:tcPr>
            <w:tcW w:w="0" w:type="auto"/>
            <w:gridSpan w:val="3"/>
            <w:vAlign w:val="center"/>
            <w:hideMark/>
          </w:tcPr>
          <w:p w14:paraId="0A52D48A" w14:textId="77777777" w:rsidR="00000000" w:rsidRDefault="00405D16">
            <w:pPr>
              <w:spacing w:after="100"/>
              <w:rPr>
                <w:rFonts w:eastAsia="Times New Roman"/>
                <w:sz w:val="20"/>
                <w:szCs w:val="20"/>
              </w:rPr>
            </w:pPr>
          </w:p>
        </w:tc>
        <w:tc>
          <w:tcPr>
            <w:tcW w:w="0" w:type="auto"/>
            <w:gridSpan w:val="3"/>
            <w:vAlign w:val="center"/>
            <w:hideMark/>
          </w:tcPr>
          <w:p w14:paraId="26B066F6" w14:textId="77777777" w:rsidR="00000000" w:rsidRDefault="00405D16">
            <w:pPr>
              <w:spacing w:after="100"/>
              <w:rPr>
                <w:rFonts w:eastAsia="Times New Roman"/>
                <w:sz w:val="20"/>
                <w:szCs w:val="20"/>
              </w:rPr>
            </w:pPr>
          </w:p>
        </w:tc>
        <w:tc>
          <w:tcPr>
            <w:tcW w:w="0" w:type="auto"/>
            <w:gridSpan w:val="3"/>
            <w:vAlign w:val="center"/>
            <w:hideMark/>
          </w:tcPr>
          <w:p w14:paraId="586AA10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AFF265"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1F2BB4C" w14:textId="77777777" w:rsidR="00000000" w:rsidRDefault="00405D16">
            <w:pPr>
              <w:spacing w:after="100"/>
              <w:jc w:val="right"/>
              <w:rPr>
                <w:rFonts w:eastAsia="Times New Roman"/>
              </w:rPr>
            </w:pPr>
            <w:r>
              <w:rPr>
                <w:rFonts w:eastAsia="Times New Roman"/>
                <w:color w:val="000000"/>
                <w:sz w:val="18"/>
                <w:szCs w:val="18"/>
              </w:rPr>
              <w:t>27 </w:t>
            </w:r>
          </w:p>
        </w:tc>
        <w:tc>
          <w:tcPr>
            <w:tcW w:w="0" w:type="auto"/>
            <w:shd w:val="clear" w:color="auto" w:fill="CCEEFF"/>
            <w:tcMar>
              <w:top w:w="30" w:type="dxa"/>
              <w:left w:w="0" w:type="dxa"/>
              <w:bottom w:w="30" w:type="dxa"/>
              <w:right w:w="20" w:type="dxa"/>
            </w:tcMar>
            <w:vAlign w:val="center"/>
            <w:hideMark/>
          </w:tcPr>
          <w:p w14:paraId="48082BB3"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7C814ABD" w14:textId="77777777" w:rsidR="00000000" w:rsidRDefault="00405D16">
            <w:pPr>
              <w:spacing w:after="100"/>
              <w:jc w:val="right"/>
              <w:rPr>
                <w:rFonts w:eastAsia="Times New Roman"/>
              </w:rPr>
            </w:pPr>
          </w:p>
        </w:tc>
        <w:tc>
          <w:tcPr>
            <w:tcW w:w="0" w:type="auto"/>
            <w:gridSpan w:val="2"/>
            <w:vAlign w:val="center"/>
            <w:hideMark/>
          </w:tcPr>
          <w:p w14:paraId="071D3744" w14:textId="77777777" w:rsidR="00000000" w:rsidRDefault="00405D16">
            <w:pPr>
              <w:spacing w:after="100"/>
              <w:rPr>
                <w:rFonts w:eastAsia="Times New Roman"/>
                <w:sz w:val="20"/>
                <w:szCs w:val="20"/>
              </w:rPr>
            </w:pPr>
          </w:p>
        </w:tc>
      </w:tr>
      <w:tr w:rsidR="00000000" w14:paraId="761A2337" w14:textId="77777777">
        <w:trPr>
          <w:divId w:val="2103602330"/>
        </w:trPr>
        <w:tc>
          <w:tcPr>
            <w:tcW w:w="0" w:type="auto"/>
            <w:gridSpan w:val="3"/>
            <w:shd w:val="clear" w:color="auto" w:fill="FFFFFF"/>
            <w:tcMar>
              <w:top w:w="30" w:type="dxa"/>
              <w:left w:w="20" w:type="dxa"/>
              <w:bottom w:w="30" w:type="dxa"/>
              <w:right w:w="20" w:type="dxa"/>
            </w:tcMar>
            <w:vAlign w:val="center"/>
            <w:hideMark/>
          </w:tcPr>
          <w:p w14:paraId="067D53C5" w14:textId="77777777" w:rsidR="00000000" w:rsidRDefault="00405D16">
            <w:pPr>
              <w:spacing w:after="100"/>
              <w:divId w:val="124472744"/>
              <w:rPr>
                <w:rFonts w:eastAsia="Times New Roman"/>
              </w:rPr>
            </w:pPr>
            <w:r>
              <w:rPr>
                <w:rFonts w:eastAsia="Times New Roman"/>
                <w:color w:val="000000"/>
                <w:sz w:val="18"/>
                <w:szCs w:val="18"/>
              </w:rPr>
              <w:t>Total net revenue margi</w:t>
            </w:r>
            <w:r>
              <w:rPr>
                <w:rFonts w:eastAsia="Times New Roman"/>
                <w:color w:val="000000"/>
                <w:sz w:val="18"/>
                <w:szCs w:val="18"/>
              </w:rPr>
              <w:t>n</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11035C4D"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8F89E22" w14:textId="77777777" w:rsidR="00000000" w:rsidRDefault="00405D16">
            <w:pPr>
              <w:spacing w:after="100"/>
              <w:jc w:val="right"/>
              <w:rPr>
                <w:rFonts w:eastAsia="Times New Roman"/>
              </w:rPr>
            </w:pPr>
            <w:r>
              <w:rPr>
                <w:rFonts w:eastAsia="Times New Roman"/>
                <w:b/>
                <w:bCs/>
                <w:color w:val="000000"/>
                <w:sz w:val="18"/>
                <w:szCs w:val="18"/>
              </w:rPr>
              <w:t>8.08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4D765FB"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67009AD"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330143B" w14:textId="77777777" w:rsidR="00000000" w:rsidRDefault="00405D16">
            <w:pPr>
              <w:spacing w:after="100"/>
              <w:jc w:val="right"/>
              <w:rPr>
                <w:rFonts w:eastAsia="Times New Roman"/>
              </w:rPr>
            </w:pPr>
            <w:r>
              <w:rPr>
                <w:rFonts w:eastAsia="Times New Roman"/>
                <w:color w:val="000000"/>
                <w:sz w:val="18"/>
                <w:szCs w:val="18"/>
              </w:rPr>
              <w:t>7.54 </w:t>
            </w:r>
          </w:p>
        </w:tc>
        <w:tc>
          <w:tcPr>
            <w:tcW w:w="0" w:type="auto"/>
            <w:shd w:val="clear" w:color="auto" w:fill="FFFFFF"/>
            <w:tcMar>
              <w:top w:w="30" w:type="dxa"/>
              <w:left w:w="0" w:type="dxa"/>
              <w:bottom w:w="30" w:type="dxa"/>
              <w:right w:w="20" w:type="dxa"/>
            </w:tcMar>
            <w:vAlign w:val="center"/>
            <w:hideMark/>
          </w:tcPr>
          <w:p w14:paraId="0684E1DF" w14:textId="77777777" w:rsidR="00000000" w:rsidRDefault="00405D16">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2D9D199"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94AAD27" w14:textId="77777777" w:rsidR="00000000" w:rsidRDefault="00405D16">
            <w:pPr>
              <w:spacing w:after="100"/>
              <w:jc w:val="right"/>
              <w:rPr>
                <w:rFonts w:eastAsia="Times New Roman"/>
              </w:rPr>
            </w:pPr>
            <w:r>
              <w:rPr>
                <w:rFonts w:eastAsia="Times New Roman"/>
                <w:color w:val="000000"/>
                <w:sz w:val="18"/>
                <w:szCs w:val="18"/>
              </w:rPr>
              <w:t>54 </w:t>
            </w:r>
          </w:p>
        </w:tc>
        <w:tc>
          <w:tcPr>
            <w:tcW w:w="0" w:type="auto"/>
            <w:shd w:val="clear" w:color="auto" w:fill="FFFFFF"/>
            <w:tcMar>
              <w:top w:w="30" w:type="dxa"/>
              <w:left w:w="0" w:type="dxa"/>
              <w:bottom w:w="30" w:type="dxa"/>
              <w:right w:w="20" w:type="dxa"/>
            </w:tcMar>
            <w:vAlign w:val="center"/>
            <w:hideMark/>
          </w:tcPr>
          <w:p w14:paraId="70E19173" w14:textId="77777777" w:rsidR="00000000" w:rsidRDefault="00405D16">
            <w:pPr>
              <w:spacing w:after="100"/>
              <w:jc w:val="right"/>
              <w:rPr>
                <w:rFonts w:eastAsia="Times New Roman"/>
              </w:rPr>
            </w:pPr>
            <w:r>
              <w:rPr>
                <w:rFonts w:eastAsia="Times New Roman"/>
                <w:color w:val="000000"/>
                <w:sz w:val="18"/>
                <w:szCs w:val="18"/>
              </w:rPr>
              <w:t>bps</w:t>
            </w:r>
          </w:p>
        </w:tc>
        <w:tc>
          <w:tcPr>
            <w:tcW w:w="0" w:type="auto"/>
            <w:gridSpan w:val="3"/>
            <w:shd w:val="clear" w:color="auto" w:fill="FFFFFF"/>
            <w:tcMar>
              <w:top w:w="0" w:type="dxa"/>
              <w:left w:w="20" w:type="dxa"/>
              <w:bottom w:w="0" w:type="dxa"/>
              <w:right w:w="20" w:type="dxa"/>
            </w:tcMar>
            <w:vAlign w:val="center"/>
            <w:hideMark/>
          </w:tcPr>
          <w:p w14:paraId="1895D247"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6B0BE0B" w14:textId="77777777" w:rsidR="00000000" w:rsidRDefault="00405D16">
            <w:pPr>
              <w:spacing w:after="100"/>
              <w:jc w:val="right"/>
              <w:rPr>
                <w:rFonts w:eastAsia="Times New Roman"/>
              </w:rPr>
            </w:pPr>
            <w:r>
              <w:rPr>
                <w:rFonts w:eastAsia="Times New Roman"/>
                <w:b/>
                <w:bCs/>
                <w:color w:val="000000"/>
                <w:sz w:val="18"/>
                <w:szCs w:val="18"/>
              </w:rPr>
              <w:t>7.65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5777415"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2ACF310"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FF597CF" w14:textId="77777777" w:rsidR="00000000" w:rsidRDefault="00405D16">
            <w:pPr>
              <w:spacing w:after="100"/>
              <w:jc w:val="right"/>
              <w:rPr>
                <w:rFonts w:eastAsia="Times New Roman"/>
              </w:rPr>
            </w:pPr>
            <w:r>
              <w:rPr>
                <w:rFonts w:eastAsia="Times New Roman"/>
                <w:color w:val="000000"/>
                <w:sz w:val="18"/>
                <w:szCs w:val="18"/>
              </w:rPr>
              <w:t>7.53 </w:t>
            </w:r>
          </w:p>
        </w:tc>
        <w:tc>
          <w:tcPr>
            <w:tcW w:w="0" w:type="auto"/>
            <w:shd w:val="clear" w:color="auto" w:fill="FFFFFF"/>
            <w:tcMar>
              <w:top w:w="30" w:type="dxa"/>
              <w:left w:w="0" w:type="dxa"/>
              <w:bottom w:w="30" w:type="dxa"/>
              <w:right w:w="20" w:type="dxa"/>
            </w:tcMar>
            <w:vAlign w:val="center"/>
            <w:hideMark/>
          </w:tcPr>
          <w:p w14:paraId="1BCDC8BA" w14:textId="77777777" w:rsidR="00000000" w:rsidRDefault="00405D16">
            <w:pPr>
              <w:spacing w:after="100"/>
              <w:jc w:val="right"/>
              <w:rPr>
                <w:rFonts w:eastAsia="Times New Roman"/>
              </w:rPr>
            </w:pPr>
            <w:r>
              <w:rPr>
                <w:rFonts w:eastAsia="Times New Roman"/>
                <w:color w:val="000000"/>
                <w:sz w:val="18"/>
                <w:szCs w:val="18"/>
              </w:rPr>
              <w:t>%</w:t>
            </w:r>
          </w:p>
        </w:tc>
        <w:tc>
          <w:tcPr>
            <w:tcW w:w="0" w:type="auto"/>
            <w:vAlign w:val="center"/>
            <w:hideMark/>
          </w:tcPr>
          <w:p w14:paraId="409A49F5" w14:textId="77777777" w:rsidR="00000000" w:rsidRDefault="00405D16">
            <w:pPr>
              <w:spacing w:after="100"/>
              <w:jc w:val="right"/>
              <w:rPr>
                <w:rFonts w:eastAsia="Times New Roman"/>
              </w:rPr>
            </w:pPr>
          </w:p>
        </w:tc>
        <w:tc>
          <w:tcPr>
            <w:tcW w:w="0" w:type="auto"/>
            <w:vAlign w:val="center"/>
            <w:hideMark/>
          </w:tcPr>
          <w:p w14:paraId="7A14134B" w14:textId="77777777" w:rsidR="00000000" w:rsidRDefault="00405D16">
            <w:pPr>
              <w:spacing w:after="100"/>
              <w:rPr>
                <w:rFonts w:eastAsia="Times New Roman"/>
                <w:sz w:val="20"/>
                <w:szCs w:val="20"/>
              </w:rPr>
            </w:pPr>
          </w:p>
        </w:tc>
        <w:tc>
          <w:tcPr>
            <w:tcW w:w="0" w:type="auto"/>
            <w:gridSpan w:val="3"/>
            <w:vAlign w:val="center"/>
            <w:hideMark/>
          </w:tcPr>
          <w:p w14:paraId="6F351589" w14:textId="77777777" w:rsidR="00000000" w:rsidRDefault="00405D16">
            <w:pPr>
              <w:spacing w:after="100"/>
              <w:rPr>
                <w:rFonts w:eastAsia="Times New Roman"/>
                <w:sz w:val="20"/>
                <w:szCs w:val="20"/>
              </w:rPr>
            </w:pPr>
          </w:p>
        </w:tc>
        <w:tc>
          <w:tcPr>
            <w:tcW w:w="0" w:type="auto"/>
            <w:gridSpan w:val="3"/>
            <w:vAlign w:val="center"/>
            <w:hideMark/>
          </w:tcPr>
          <w:p w14:paraId="62881B2F" w14:textId="77777777" w:rsidR="00000000" w:rsidRDefault="00405D16">
            <w:pPr>
              <w:spacing w:after="100"/>
              <w:rPr>
                <w:rFonts w:eastAsia="Times New Roman"/>
                <w:sz w:val="20"/>
                <w:szCs w:val="20"/>
              </w:rPr>
            </w:pPr>
          </w:p>
        </w:tc>
        <w:tc>
          <w:tcPr>
            <w:tcW w:w="0" w:type="auto"/>
            <w:gridSpan w:val="3"/>
            <w:vAlign w:val="center"/>
            <w:hideMark/>
          </w:tcPr>
          <w:p w14:paraId="1A87C201" w14:textId="77777777" w:rsidR="00000000" w:rsidRDefault="00405D16">
            <w:pPr>
              <w:spacing w:after="100"/>
              <w:rPr>
                <w:rFonts w:eastAsia="Times New Roman"/>
                <w:sz w:val="20"/>
                <w:szCs w:val="20"/>
              </w:rPr>
            </w:pPr>
          </w:p>
        </w:tc>
        <w:tc>
          <w:tcPr>
            <w:tcW w:w="0" w:type="auto"/>
            <w:gridSpan w:val="3"/>
            <w:vAlign w:val="center"/>
            <w:hideMark/>
          </w:tcPr>
          <w:p w14:paraId="652A515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80550C"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D4B754B" w14:textId="77777777" w:rsidR="00000000" w:rsidRDefault="00405D16">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center"/>
            <w:hideMark/>
          </w:tcPr>
          <w:p w14:paraId="22DF801C" w14:textId="77777777" w:rsidR="00000000" w:rsidRDefault="00405D16">
            <w:pPr>
              <w:spacing w:after="100"/>
              <w:jc w:val="right"/>
              <w:rPr>
                <w:rFonts w:eastAsia="Times New Roman"/>
              </w:rPr>
            </w:pPr>
            <w:r>
              <w:rPr>
                <w:rFonts w:eastAsia="Times New Roman"/>
                <w:color w:val="000000"/>
                <w:sz w:val="18"/>
                <w:szCs w:val="18"/>
              </w:rPr>
              <w:t>bps</w:t>
            </w:r>
          </w:p>
        </w:tc>
        <w:tc>
          <w:tcPr>
            <w:tcW w:w="0" w:type="auto"/>
            <w:gridSpan w:val="3"/>
            <w:vAlign w:val="center"/>
            <w:hideMark/>
          </w:tcPr>
          <w:p w14:paraId="73427F0C" w14:textId="77777777" w:rsidR="00000000" w:rsidRDefault="00405D16">
            <w:pPr>
              <w:spacing w:after="100"/>
              <w:jc w:val="right"/>
              <w:rPr>
                <w:rFonts w:eastAsia="Times New Roman"/>
              </w:rPr>
            </w:pPr>
          </w:p>
        </w:tc>
        <w:tc>
          <w:tcPr>
            <w:tcW w:w="0" w:type="auto"/>
            <w:gridSpan w:val="2"/>
            <w:vAlign w:val="center"/>
            <w:hideMark/>
          </w:tcPr>
          <w:p w14:paraId="5910D722" w14:textId="77777777" w:rsidR="00000000" w:rsidRDefault="00405D16">
            <w:pPr>
              <w:spacing w:after="100"/>
              <w:rPr>
                <w:rFonts w:eastAsia="Times New Roman"/>
                <w:sz w:val="20"/>
                <w:szCs w:val="20"/>
              </w:rPr>
            </w:pPr>
          </w:p>
        </w:tc>
      </w:tr>
      <w:tr w:rsidR="00000000" w14:paraId="16384ABD" w14:textId="77777777">
        <w:trPr>
          <w:divId w:val="2103602330"/>
        </w:trPr>
        <w:tc>
          <w:tcPr>
            <w:tcW w:w="0" w:type="auto"/>
            <w:gridSpan w:val="3"/>
            <w:shd w:val="clear" w:color="auto" w:fill="CCEEFF"/>
            <w:tcMar>
              <w:top w:w="30" w:type="dxa"/>
              <w:left w:w="20" w:type="dxa"/>
              <w:bottom w:w="30" w:type="dxa"/>
              <w:right w:w="20" w:type="dxa"/>
            </w:tcMar>
            <w:vAlign w:val="center"/>
            <w:hideMark/>
          </w:tcPr>
          <w:p w14:paraId="63C5FC73" w14:textId="77777777" w:rsidR="00000000" w:rsidRDefault="00405D16">
            <w:pPr>
              <w:spacing w:after="100"/>
              <w:rPr>
                <w:rFonts w:eastAsia="Times New Roman"/>
              </w:rPr>
            </w:pPr>
            <w:r>
              <w:rPr>
                <w:rFonts w:eastAsia="Times New Roman"/>
                <w:color w:val="000000"/>
                <w:sz w:val="18"/>
                <w:szCs w:val="18"/>
              </w:rPr>
              <w:t>Net interest margin</w:t>
            </w:r>
          </w:p>
        </w:tc>
        <w:tc>
          <w:tcPr>
            <w:tcW w:w="0" w:type="auto"/>
            <w:gridSpan w:val="3"/>
            <w:shd w:val="clear" w:color="auto" w:fill="CCEEFF"/>
            <w:tcMar>
              <w:top w:w="0" w:type="dxa"/>
              <w:left w:w="20" w:type="dxa"/>
              <w:bottom w:w="0" w:type="dxa"/>
              <w:right w:w="20" w:type="dxa"/>
            </w:tcMar>
            <w:vAlign w:val="center"/>
            <w:hideMark/>
          </w:tcPr>
          <w:p w14:paraId="3D72B134"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404E12B" w14:textId="77777777" w:rsidR="00000000" w:rsidRDefault="00405D16">
            <w:pPr>
              <w:spacing w:after="100"/>
              <w:jc w:val="right"/>
              <w:rPr>
                <w:rFonts w:eastAsia="Times New Roman"/>
              </w:rPr>
            </w:pPr>
            <w:r>
              <w:rPr>
                <w:rFonts w:eastAsia="Times New Roman"/>
                <w:b/>
                <w:bCs/>
                <w:color w:val="000000"/>
                <w:sz w:val="18"/>
                <w:szCs w:val="18"/>
              </w:rPr>
              <w:t>6.35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A3F212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E8FDE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F62AF64" w14:textId="77777777" w:rsidR="00000000" w:rsidRDefault="00405D16">
            <w:pPr>
              <w:spacing w:after="100"/>
              <w:jc w:val="right"/>
              <w:rPr>
                <w:rFonts w:eastAsia="Times New Roman"/>
              </w:rPr>
            </w:pPr>
            <w:r>
              <w:rPr>
                <w:rFonts w:eastAsia="Times New Roman"/>
                <w:color w:val="000000"/>
                <w:sz w:val="18"/>
                <w:szCs w:val="18"/>
              </w:rPr>
              <w:t>5.68 </w:t>
            </w:r>
          </w:p>
        </w:tc>
        <w:tc>
          <w:tcPr>
            <w:tcW w:w="0" w:type="auto"/>
            <w:shd w:val="clear" w:color="auto" w:fill="CCEEFF"/>
            <w:tcMar>
              <w:top w:w="30" w:type="dxa"/>
              <w:left w:w="0" w:type="dxa"/>
              <w:bottom w:w="30" w:type="dxa"/>
              <w:right w:w="20" w:type="dxa"/>
            </w:tcMar>
            <w:vAlign w:val="center"/>
            <w:hideMark/>
          </w:tcPr>
          <w:p w14:paraId="27EF429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DA0AE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7E0D8F1" w14:textId="77777777" w:rsidR="00000000" w:rsidRDefault="00405D16">
            <w:pPr>
              <w:spacing w:after="100"/>
              <w:jc w:val="right"/>
              <w:rPr>
                <w:rFonts w:eastAsia="Times New Roman"/>
              </w:rPr>
            </w:pPr>
            <w:r>
              <w:rPr>
                <w:rFonts w:eastAsia="Times New Roman"/>
                <w:color w:val="000000"/>
                <w:sz w:val="18"/>
                <w:szCs w:val="18"/>
              </w:rPr>
              <w:t>67 </w:t>
            </w:r>
          </w:p>
        </w:tc>
        <w:tc>
          <w:tcPr>
            <w:tcW w:w="0" w:type="auto"/>
            <w:shd w:val="clear" w:color="auto" w:fill="CCEEFF"/>
            <w:tcMar>
              <w:top w:w="30" w:type="dxa"/>
              <w:left w:w="0" w:type="dxa"/>
              <w:bottom w:w="30" w:type="dxa"/>
              <w:right w:w="20" w:type="dxa"/>
            </w:tcMar>
            <w:vAlign w:val="center"/>
            <w:hideMark/>
          </w:tcPr>
          <w:p w14:paraId="37EF890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6834C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7BD4CFF" w14:textId="77777777" w:rsidR="00000000" w:rsidRDefault="00405D16">
            <w:pPr>
              <w:spacing w:after="100"/>
              <w:jc w:val="right"/>
              <w:rPr>
                <w:rFonts w:eastAsia="Times New Roman"/>
              </w:rPr>
            </w:pPr>
            <w:r>
              <w:rPr>
                <w:rFonts w:eastAsia="Times New Roman"/>
                <w:b/>
                <w:bCs/>
                <w:color w:val="000000"/>
                <w:sz w:val="18"/>
                <w:szCs w:val="18"/>
              </w:rPr>
              <w:t>6.08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43FADF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02136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CAF507A" w14:textId="77777777" w:rsidR="00000000" w:rsidRDefault="00405D16">
            <w:pPr>
              <w:spacing w:after="100"/>
              <w:jc w:val="right"/>
              <w:rPr>
                <w:rFonts w:eastAsia="Times New Roman"/>
              </w:rPr>
            </w:pPr>
            <w:r>
              <w:rPr>
                <w:rFonts w:eastAsia="Times New Roman"/>
                <w:color w:val="000000"/>
                <w:sz w:val="18"/>
                <w:szCs w:val="18"/>
              </w:rPr>
              <w:t>6.06 </w:t>
            </w:r>
          </w:p>
        </w:tc>
        <w:tc>
          <w:tcPr>
            <w:tcW w:w="0" w:type="auto"/>
            <w:shd w:val="clear" w:color="auto" w:fill="CCEEFF"/>
            <w:tcMar>
              <w:top w:w="30" w:type="dxa"/>
              <w:left w:w="0" w:type="dxa"/>
              <w:bottom w:w="30" w:type="dxa"/>
              <w:right w:w="20" w:type="dxa"/>
            </w:tcMar>
            <w:vAlign w:val="center"/>
            <w:hideMark/>
          </w:tcPr>
          <w:p w14:paraId="2CAF2E1D" w14:textId="77777777" w:rsidR="00000000" w:rsidRDefault="00405D16">
            <w:pPr>
              <w:spacing w:after="100"/>
              <w:jc w:val="right"/>
              <w:rPr>
                <w:rFonts w:eastAsia="Times New Roman"/>
              </w:rPr>
            </w:pPr>
          </w:p>
        </w:tc>
        <w:tc>
          <w:tcPr>
            <w:tcW w:w="0" w:type="auto"/>
            <w:vAlign w:val="center"/>
            <w:hideMark/>
          </w:tcPr>
          <w:p w14:paraId="5788E78D" w14:textId="77777777" w:rsidR="00000000" w:rsidRDefault="00405D16">
            <w:pPr>
              <w:spacing w:after="100"/>
              <w:jc w:val="right"/>
              <w:rPr>
                <w:rFonts w:eastAsia="Times New Roman"/>
                <w:sz w:val="20"/>
                <w:szCs w:val="20"/>
              </w:rPr>
            </w:pPr>
          </w:p>
        </w:tc>
        <w:tc>
          <w:tcPr>
            <w:tcW w:w="0" w:type="auto"/>
            <w:vAlign w:val="center"/>
            <w:hideMark/>
          </w:tcPr>
          <w:p w14:paraId="3A27DDF8" w14:textId="77777777" w:rsidR="00000000" w:rsidRDefault="00405D16">
            <w:pPr>
              <w:spacing w:after="100"/>
              <w:rPr>
                <w:rFonts w:eastAsia="Times New Roman"/>
                <w:sz w:val="20"/>
                <w:szCs w:val="20"/>
              </w:rPr>
            </w:pPr>
          </w:p>
        </w:tc>
        <w:tc>
          <w:tcPr>
            <w:tcW w:w="0" w:type="auto"/>
            <w:gridSpan w:val="3"/>
            <w:vAlign w:val="center"/>
            <w:hideMark/>
          </w:tcPr>
          <w:p w14:paraId="267B5374" w14:textId="77777777" w:rsidR="00000000" w:rsidRDefault="00405D16">
            <w:pPr>
              <w:spacing w:after="100"/>
              <w:rPr>
                <w:rFonts w:eastAsia="Times New Roman"/>
                <w:sz w:val="20"/>
                <w:szCs w:val="20"/>
              </w:rPr>
            </w:pPr>
          </w:p>
        </w:tc>
        <w:tc>
          <w:tcPr>
            <w:tcW w:w="0" w:type="auto"/>
            <w:gridSpan w:val="3"/>
            <w:vAlign w:val="center"/>
            <w:hideMark/>
          </w:tcPr>
          <w:p w14:paraId="643D533E" w14:textId="77777777" w:rsidR="00000000" w:rsidRDefault="00405D16">
            <w:pPr>
              <w:spacing w:after="100"/>
              <w:rPr>
                <w:rFonts w:eastAsia="Times New Roman"/>
                <w:sz w:val="20"/>
                <w:szCs w:val="20"/>
              </w:rPr>
            </w:pPr>
          </w:p>
        </w:tc>
        <w:tc>
          <w:tcPr>
            <w:tcW w:w="0" w:type="auto"/>
            <w:gridSpan w:val="3"/>
            <w:vAlign w:val="center"/>
            <w:hideMark/>
          </w:tcPr>
          <w:p w14:paraId="1FAF6404" w14:textId="77777777" w:rsidR="00000000" w:rsidRDefault="00405D16">
            <w:pPr>
              <w:spacing w:after="100"/>
              <w:rPr>
                <w:rFonts w:eastAsia="Times New Roman"/>
                <w:sz w:val="20"/>
                <w:szCs w:val="20"/>
              </w:rPr>
            </w:pPr>
          </w:p>
        </w:tc>
        <w:tc>
          <w:tcPr>
            <w:tcW w:w="0" w:type="auto"/>
            <w:gridSpan w:val="3"/>
            <w:vAlign w:val="center"/>
            <w:hideMark/>
          </w:tcPr>
          <w:p w14:paraId="269CB5E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FB77EB"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E346F21" w14:textId="77777777" w:rsidR="00000000" w:rsidRDefault="00405D16">
            <w:pPr>
              <w:spacing w:after="100"/>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center"/>
            <w:hideMark/>
          </w:tcPr>
          <w:p w14:paraId="5C980906" w14:textId="77777777" w:rsidR="00000000" w:rsidRDefault="00405D16">
            <w:pPr>
              <w:spacing w:after="100"/>
              <w:jc w:val="right"/>
              <w:rPr>
                <w:rFonts w:eastAsia="Times New Roman"/>
              </w:rPr>
            </w:pPr>
          </w:p>
        </w:tc>
        <w:tc>
          <w:tcPr>
            <w:tcW w:w="0" w:type="auto"/>
            <w:gridSpan w:val="3"/>
            <w:vAlign w:val="center"/>
            <w:hideMark/>
          </w:tcPr>
          <w:p w14:paraId="4F9F0252" w14:textId="77777777" w:rsidR="00000000" w:rsidRDefault="00405D16">
            <w:pPr>
              <w:spacing w:after="100"/>
              <w:jc w:val="right"/>
              <w:rPr>
                <w:rFonts w:eastAsia="Times New Roman"/>
                <w:sz w:val="20"/>
                <w:szCs w:val="20"/>
              </w:rPr>
            </w:pPr>
          </w:p>
        </w:tc>
        <w:tc>
          <w:tcPr>
            <w:tcW w:w="0" w:type="auto"/>
            <w:gridSpan w:val="2"/>
            <w:vAlign w:val="center"/>
            <w:hideMark/>
          </w:tcPr>
          <w:p w14:paraId="2228E725" w14:textId="77777777" w:rsidR="00000000" w:rsidRDefault="00405D16">
            <w:pPr>
              <w:spacing w:after="100"/>
              <w:rPr>
                <w:rFonts w:eastAsia="Times New Roman"/>
                <w:sz w:val="20"/>
                <w:szCs w:val="20"/>
              </w:rPr>
            </w:pPr>
          </w:p>
        </w:tc>
      </w:tr>
      <w:tr w:rsidR="00000000" w14:paraId="549E798E" w14:textId="77777777">
        <w:trPr>
          <w:divId w:val="2103602330"/>
        </w:trPr>
        <w:tc>
          <w:tcPr>
            <w:tcW w:w="0" w:type="auto"/>
            <w:gridSpan w:val="3"/>
            <w:shd w:val="clear" w:color="auto" w:fill="FFFFFF"/>
            <w:tcMar>
              <w:top w:w="30" w:type="dxa"/>
              <w:left w:w="20" w:type="dxa"/>
              <w:bottom w:w="30" w:type="dxa"/>
              <w:right w:w="20" w:type="dxa"/>
            </w:tcMar>
            <w:vAlign w:val="center"/>
            <w:hideMark/>
          </w:tcPr>
          <w:p w14:paraId="0897F567" w14:textId="77777777" w:rsidR="00000000" w:rsidRDefault="00405D16">
            <w:pPr>
              <w:spacing w:after="100"/>
              <w:divId w:val="1163275676"/>
              <w:rPr>
                <w:rFonts w:eastAsia="Times New Roman"/>
              </w:rPr>
            </w:pPr>
            <w:r>
              <w:rPr>
                <w:rFonts w:eastAsia="Times New Roman"/>
                <w:color w:val="000000"/>
                <w:sz w:val="18"/>
                <w:szCs w:val="18"/>
              </w:rPr>
              <w:t>Return on average asset</w:t>
            </w:r>
            <w:r>
              <w:rPr>
                <w:rFonts w:eastAsia="Times New Roman"/>
                <w:color w:val="000000"/>
                <w:sz w:val="18"/>
                <w:szCs w:val="18"/>
              </w:rPr>
              <w:t>s</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48AE217F"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B47DE00" w14:textId="77777777" w:rsidR="00000000" w:rsidRDefault="00405D16">
            <w:pPr>
              <w:spacing w:after="100"/>
              <w:jc w:val="right"/>
              <w:rPr>
                <w:rFonts w:eastAsia="Times New Roman"/>
              </w:rPr>
            </w:pPr>
            <w:r>
              <w:rPr>
                <w:rFonts w:eastAsia="Times New Roman"/>
                <w:b/>
                <w:bCs/>
                <w:color w:val="000000"/>
                <w:sz w:val="18"/>
                <w:szCs w:val="18"/>
              </w:rPr>
              <w:t>2.92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F1C902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D3D09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9F5D3DA" w14:textId="77777777" w:rsidR="00000000" w:rsidRDefault="00405D16">
            <w:pPr>
              <w:spacing w:after="100"/>
              <w:jc w:val="right"/>
              <w:rPr>
                <w:rFonts w:eastAsia="Times New Roman"/>
              </w:rPr>
            </w:pPr>
            <w:r>
              <w:rPr>
                <w:rFonts w:eastAsia="Times New Roman"/>
                <w:color w:val="000000"/>
                <w:sz w:val="18"/>
                <w:szCs w:val="18"/>
              </w:rPr>
              <w:t>2.28 </w:t>
            </w:r>
          </w:p>
        </w:tc>
        <w:tc>
          <w:tcPr>
            <w:tcW w:w="0" w:type="auto"/>
            <w:shd w:val="clear" w:color="auto" w:fill="FFFFFF"/>
            <w:tcMar>
              <w:top w:w="30" w:type="dxa"/>
              <w:left w:w="0" w:type="dxa"/>
              <w:bottom w:w="30" w:type="dxa"/>
              <w:right w:w="20" w:type="dxa"/>
            </w:tcMar>
            <w:vAlign w:val="center"/>
            <w:hideMark/>
          </w:tcPr>
          <w:p w14:paraId="06CCFF0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5F94A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AD72CA7" w14:textId="77777777" w:rsidR="00000000" w:rsidRDefault="00405D16">
            <w:pPr>
              <w:spacing w:after="100"/>
              <w:jc w:val="right"/>
              <w:rPr>
                <w:rFonts w:eastAsia="Times New Roman"/>
              </w:rPr>
            </w:pPr>
            <w:r>
              <w:rPr>
                <w:rFonts w:eastAsia="Times New Roman"/>
                <w:color w:val="000000"/>
                <w:sz w:val="18"/>
                <w:szCs w:val="18"/>
              </w:rPr>
              <w:t>64 </w:t>
            </w:r>
          </w:p>
        </w:tc>
        <w:tc>
          <w:tcPr>
            <w:tcW w:w="0" w:type="auto"/>
            <w:shd w:val="clear" w:color="auto" w:fill="FFFFFF"/>
            <w:tcMar>
              <w:top w:w="30" w:type="dxa"/>
              <w:left w:w="0" w:type="dxa"/>
              <w:bottom w:w="30" w:type="dxa"/>
              <w:right w:w="20" w:type="dxa"/>
            </w:tcMar>
            <w:vAlign w:val="center"/>
            <w:hideMark/>
          </w:tcPr>
          <w:p w14:paraId="3BD8D5E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934FB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6670EC8" w14:textId="77777777" w:rsidR="00000000" w:rsidRDefault="00405D16">
            <w:pPr>
              <w:spacing w:after="100"/>
              <w:jc w:val="right"/>
              <w:rPr>
                <w:rFonts w:eastAsia="Times New Roman"/>
              </w:rPr>
            </w:pPr>
            <w:r>
              <w:rPr>
                <w:rFonts w:eastAsia="Times New Roman"/>
                <w:b/>
                <w:bCs/>
                <w:color w:val="000000"/>
                <w:sz w:val="18"/>
                <w:szCs w:val="18"/>
              </w:rPr>
              <w:t>3.14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AAED19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AA896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C65490B" w14:textId="77777777" w:rsidR="00000000" w:rsidRDefault="00405D16">
            <w:pPr>
              <w:spacing w:after="100"/>
              <w:jc w:val="right"/>
              <w:rPr>
                <w:rFonts w:eastAsia="Times New Roman"/>
              </w:rPr>
            </w:pPr>
            <w:r>
              <w:rPr>
                <w:rFonts w:eastAsia="Times New Roman"/>
                <w:color w:val="000000"/>
                <w:sz w:val="18"/>
                <w:szCs w:val="18"/>
              </w:rPr>
              <w:t>0.05 </w:t>
            </w:r>
          </w:p>
        </w:tc>
        <w:tc>
          <w:tcPr>
            <w:tcW w:w="0" w:type="auto"/>
            <w:shd w:val="clear" w:color="auto" w:fill="FFFFFF"/>
            <w:tcMar>
              <w:top w:w="30" w:type="dxa"/>
              <w:left w:w="0" w:type="dxa"/>
              <w:bottom w:w="30" w:type="dxa"/>
              <w:right w:w="20" w:type="dxa"/>
            </w:tcMar>
            <w:vAlign w:val="center"/>
            <w:hideMark/>
          </w:tcPr>
          <w:p w14:paraId="54B0201C" w14:textId="77777777" w:rsidR="00000000" w:rsidRDefault="00405D16">
            <w:pPr>
              <w:spacing w:after="100"/>
              <w:jc w:val="right"/>
              <w:rPr>
                <w:rFonts w:eastAsia="Times New Roman"/>
              </w:rPr>
            </w:pPr>
          </w:p>
        </w:tc>
        <w:tc>
          <w:tcPr>
            <w:tcW w:w="0" w:type="auto"/>
            <w:vAlign w:val="center"/>
            <w:hideMark/>
          </w:tcPr>
          <w:p w14:paraId="03CCA86B" w14:textId="77777777" w:rsidR="00000000" w:rsidRDefault="00405D16">
            <w:pPr>
              <w:spacing w:after="100"/>
              <w:jc w:val="right"/>
              <w:rPr>
                <w:rFonts w:eastAsia="Times New Roman"/>
                <w:sz w:val="20"/>
                <w:szCs w:val="20"/>
              </w:rPr>
            </w:pPr>
          </w:p>
        </w:tc>
        <w:tc>
          <w:tcPr>
            <w:tcW w:w="0" w:type="auto"/>
            <w:vAlign w:val="center"/>
            <w:hideMark/>
          </w:tcPr>
          <w:p w14:paraId="5D65C6F8" w14:textId="77777777" w:rsidR="00000000" w:rsidRDefault="00405D16">
            <w:pPr>
              <w:spacing w:after="100"/>
              <w:rPr>
                <w:rFonts w:eastAsia="Times New Roman"/>
                <w:sz w:val="20"/>
                <w:szCs w:val="20"/>
              </w:rPr>
            </w:pPr>
          </w:p>
        </w:tc>
        <w:tc>
          <w:tcPr>
            <w:tcW w:w="0" w:type="auto"/>
            <w:gridSpan w:val="3"/>
            <w:vAlign w:val="center"/>
            <w:hideMark/>
          </w:tcPr>
          <w:p w14:paraId="248EF77B" w14:textId="77777777" w:rsidR="00000000" w:rsidRDefault="00405D16">
            <w:pPr>
              <w:spacing w:after="100"/>
              <w:rPr>
                <w:rFonts w:eastAsia="Times New Roman"/>
                <w:sz w:val="20"/>
                <w:szCs w:val="20"/>
              </w:rPr>
            </w:pPr>
          </w:p>
        </w:tc>
        <w:tc>
          <w:tcPr>
            <w:tcW w:w="0" w:type="auto"/>
            <w:gridSpan w:val="3"/>
            <w:vAlign w:val="center"/>
            <w:hideMark/>
          </w:tcPr>
          <w:p w14:paraId="1BB8E5EE" w14:textId="77777777" w:rsidR="00000000" w:rsidRDefault="00405D16">
            <w:pPr>
              <w:spacing w:after="100"/>
              <w:rPr>
                <w:rFonts w:eastAsia="Times New Roman"/>
                <w:sz w:val="20"/>
                <w:szCs w:val="20"/>
              </w:rPr>
            </w:pPr>
          </w:p>
        </w:tc>
        <w:tc>
          <w:tcPr>
            <w:tcW w:w="0" w:type="auto"/>
            <w:gridSpan w:val="3"/>
            <w:vAlign w:val="center"/>
            <w:hideMark/>
          </w:tcPr>
          <w:p w14:paraId="1F599070" w14:textId="77777777" w:rsidR="00000000" w:rsidRDefault="00405D16">
            <w:pPr>
              <w:spacing w:after="100"/>
              <w:rPr>
                <w:rFonts w:eastAsia="Times New Roman"/>
                <w:sz w:val="20"/>
                <w:szCs w:val="20"/>
              </w:rPr>
            </w:pPr>
          </w:p>
        </w:tc>
        <w:tc>
          <w:tcPr>
            <w:tcW w:w="0" w:type="auto"/>
            <w:gridSpan w:val="3"/>
            <w:vAlign w:val="center"/>
            <w:hideMark/>
          </w:tcPr>
          <w:p w14:paraId="4A06DC4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3D3D21"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C5ECA58" w14:textId="77777777" w:rsidR="00000000" w:rsidRDefault="00405D16">
            <w:pPr>
              <w:spacing w:after="100"/>
              <w:jc w:val="right"/>
              <w:rPr>
                <w:rFonts w:eastAsia="Times New Roman"/>
              </w:rPr>
            </w:pPr>
            <w:r>
              <w:rPr>
                <w:rFonts w:eastAsia="Times New Roman"/>
                <w:color w:val="000000"/>
                <w:sz w:val="18"/>
                <w:szCs w:val="18"/>
              </w:rPr>
              <w:t>309 </w:t>
            </w:r>
          </w:p>
        </w:tc>
        <w:tc>
          <w:tcPr>
            <w:tcW w:w="0" w:type="auto"/>
            <w:shd w:val="clear" w:color="auto" w:fill="FFFFFF"/>
            <w:tcMar>
              <w:top w:w="30" w:type="dxa"/>
              <w:left w:w="0" w:type="dxa"/>
              <w:bottom w:w="30" w:type="dxa"/>
              <w:right w:w="20" w:type="dxa"/>
            </w:tcMar>
            <w:vAlign w:val="center"/>
            <w:hideMark/>
          </w:tcPr>
          <w:p w14:paraId="1B856405" w14:textId="77777777" w:rsidR="00000000" w:rsidRDefault="00405D16">
            <w:pPr>
              <w:spacing w:after="100"/>
              <w:jc w:val="right"/>
              <w:rPr>
                <w:rFonts w:eastAsia="Times New Roman"/>
              </w:rPr>
            </w:pPr>
          </w:p>
        </w:tc>
        <w:tc>
          <w:tcPr>
            <w:tcW w:w="0" w:type="auto"/>
            <w:gridSpan w:val="3"/>
            <w:vAlign w:val="center"/>
            <w:hideMark/>
          </w:tcPr>
          <w:p w14:paraId="675AC352" w14:textId="77777777" w:rsidR="00000000" w:rsidRDefault="00405D16">
            <w:pPr>
              <w:spacing w:after="100"/>
              <w:jc w:val="right"/>
              <w:rPr>
                <w:rFonts w:eastAsia="Times New Roman"/>
                <w:sz w:val="20"/>
                <w:szCs w:val="20"/>
              </w:rPr>
            </w:pPr>
          </w:p>
        </w:tc>
        <w:tc>
          <w:tcPr>
            <w:tcW w:w="0" w:type="auto"/>
            <w:gridSpan w:val="2"/>
            <w:vAlign w:val="center"/>
            <w:hideMark/>
          </w:tcPr>
          <w:p w14:paraId="200400C6" w14:textId="77777777" w:rsidR="00000000" w:rsidRDefault="00405D16">
            <w:pPr>
              <w:spacing w:after="100"/>
              <w:rPr>
                <w:rFonts w:eastAsia="Times New Roman"/>
                <w:sz w:val="20"/>
                <w:szCs w:val="20"/>
              </w:rPr>
            </w:pPr>
          </w:p>
        </w:tc>
      </w:tr>
      <w:tr w:rsidR="00000000" w14:paraId="284CAB7B" w14:textId="77777777">
        <w:trPr>
          <w:divId w:val="2103602330"/>
        </w:trPr>
        <w:tc>
          <w:tcPr>
            <w:tcW w:w="0" w:type="auto"/>
            <w:gridSpan w:val="3"/>
            <w:shd w:val="clear" w:color="auto" w:fill="CCEEFF"/>
            <w:tcMar>
              <w:top w:w="30" w:type="dxa"/>
              <w:left w:w="20" w:type="dxa"/>
              <w:bottom w:w="30" w:type="dxa"/>
              <w:right w:w="20" w:type="dxa"/>
            </w:tcMar>
            <w:vAlign w:val="center"/>
            <w:hideMark/>
          </w:tcPr>
          <w:p w14:paraId="5EAA1D51" w14:textId="77777777" w:rsidR="00000000" w:rsidRDefault="00405D16">
            <w:pPr>
              <w:spacing w:after="100"/>
              <w:divId w:val="1270159671"/>
              <w:rPr>
                <w:rFonts w:eastAsia="Times New Roman"/>
              </w:rPr>
            </w:pPr>
            <w:r>
              <w:rPr>
                <w:rFonts w:eastAsia="Times New Roman"/>
                <w:color w:val="000000"/>
                <w:sz w:val="18"/>
                <w:szCs w:val="18"/>
              </w:rPr>
              <w:t>Return on average tangible asset</w:t>
            </w:r>
            <w:r>
              <w:rPr>
                <w:rFonts w:eastAsia="Times New Roman"/>
                <w:color w:val="000000"/>
                <w:sz w:val="18"/>
                <w:szCs w:val="18"/>
              </w:rPr>
              <w:t>s</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3F33995F"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98FAF66" w14:textId="77777777" w:rsidR="00000000" w:rsidRDefault="00405D16">
            <w:pPr>
              <w:spacing w:after="100"/>
              <w:jc w:val="right"/>
              <w:rPr>
                <w:rFonts w:eastAsia="Times New Roman"/>
              </w:rPr>
            </w:pPr>
            <w:r>
              <w:rPr>
                <w:rFonts w:eastAsia="Times New Roman"/>
                <w:b/>
                <w:bCs/>
                <w:color w:val="000000"/>
                <w:sz w:val="18"/>
                <w:szCs w:val="18"/>
              </w:rPr>
              <w:t>3.03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848A66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23DEA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920CF4E" w14:textId="77777777" w:rsidR="00000000" w:rsidRDefault="00405D16">
            <w:pPr>
              <w:spacing w:after="100"/>
              <w:jc w:val="right"/>
              <w:rPr>
                <w:rFonts w:eastAsia="Times New Roman"/>
              </w:rPr>
            </w:pPr>
            <w:r>
              <w:rPr>
                <w:rFonts w:eastAsia="Times New Roman"/>
                <w:color w:val="000000"/>
                <w:sz w:val="18"/>
                <w:szCs w:val="18"/>
              </w:rPr>
              <w:t>2.36 </w:t>
            </w:r>
          </w:p>
        </w:tc>
        <w:tc>
          <w:tcPr>
            <w:tcW w:w="0" w:type="auto"/>
            <w:shd w:val="clear" w:color="auto" w:fill="CCEEFF"/>
            <w:tcMar>
              <w:top w:w="30" w:type="dxa"/>
              <w:left w:w="0" w:type="dxa"/>
              <w:bottom w:w="30" w:type="dxa"/>
              <w:right w:w="20" w:type="dxa"/>
            </w:tcMar>
            <w:vAlign w:val="center"/>
            <w:hideMark/>
          </w:tcPr>
          <w:p w14:paraId="5ABDD74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F78C0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6C34029" w14:textId="77777777" w:rsidR="00000000" w:rsidRDefault="00405D16">
            <w:pPr>
              <w:spacing w:after="100"/>
              <w:jc w:val="right"/>
              <w:rPr>
                <w:rFonts w:eastAsia="Times New Roman"/>
              </w:rPr>
            </w:pPr>
            <w:r>
              <w:rPr>
                <w:rFonts w:eastAsia="Times New Roman"/>
                <w:color w:val="000000"/>
                <w:sz w:val="18"/>
                <w:szCs w:val="18"/>
              </w:rPr>
              <w:t>67 </w:t>
            </w:r>
          </w:p>
        </w:tc>
        <w:tc>
          <w:tcPr>
            <w:tcW w:w="0" w:type="auto"/>
            <w:shd w:val="clear" w:color="auto" w:fill="CCEEFF"/>
            <w:tcMar>
              <w:top w:w="30" w:type="dxa"/>
              <w:left w:w="0" w:type="dxa"/>
              <w:bottom w:w="30" w:type="dxa"/>
              <w:right w:w="20" w:type="dxa"/>
            </w:tcMar>
            <w:vAlign w:val="center"/>
            <w:hideMark/>
          </w:tcPr>
          <w:p w14:paraId="5B811C0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1D9FD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28A171C" w14:textId="77777777" w:rsidR="00000000" w:rsidRDefault="00405D16">
            <w:pPr>
              <w:spacing w:after="100"/>
              <w:jc w:val="right"/>
              <w:rPr>
                <w:rFonts w:eastAsia="Times New Roman"/>
              </w:rPr>
            </w:pPr>
            <w:r>
              <w:rPr>
                <w:rFonts w:eastAsia="Times New Roman"/>
                <w:b/>
                <w:bCs/>
                <w:color w:val="000000"/>
                <w:sz w:val="18"/>
                <w:szCs w:val="18"/>
              </w:rPr>
              <w:t>3.25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6A5476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B0BD5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05C8FAA" w14:textId="77777777" w:rsidR="00000000" w:rsidRDefault="00405D16">
            <w:pPr>
              <w:spacing w:after="100"/>
              <w:jc w:val="right"/>
              <w:rPr>
                <w:rFonts w:eastAsia="Times New Roman"/>
              </w:rPr>
            </w:pPr>
            <w:r>
              <w:rPr>
                <w:rFonts w:eastAsia="Times New Roman"/>
                <w:color w:val="000000"/>
                <w:sz w:val="18"/>
                <w:szCs w:val="18"/>
              </w:rPr>
              <w:t>0.05 </w:t>
            </w:r>
          </w:p>
        </w:tc>
        <w:tc>
          <w:tcPr>
            <w:tcW w:w="0" w:type="auto"/>
            <w:shd w:val="clear" w:color="auto" w:fill="CCEEFF"/>
            <w:tcMar>
              <w:top w:w="30" w:type="dxa"/>
              <w:left w:w="0" w:type="dxa"/>
              <w:bottom w:w="30" w:type="dxa"/>
              <w:right w:w="20" w:type="dxa"/>
            </w:tcMar>
            <w:vAlign w:val="center"/>
            <w:hideMark/>
          </w:tcPr>
          <w:p w14:paraId="2A005D87" w14:textId="77777777" w:rsidR="00000000" w:rsidRDefault="00405D16">
            <w:pPr>
              <w:spacing w:after="100"/>
              <w:jc w:val="right"/>
              <w:rPr>
                <w:rFonts w:eastAsia="Times New Roman"/>
              </w:rPr>
            </w:pPr>
          </w:p>
        </w:tc>
        <w:tc>
          <w:tcPr>
            <w:tcW w:w="0" w:type="auto"/>
            <w:vAlign w:val="center"/>
            <w:hideMark/>
          </w:tcPr>
          <w:p w14:paraId="6B10C5C1" w14:textId="77777777" w:rsidR="00000000" w:rsidRDefault="00405D16">
            <w:pPr>
              <w:spacing w:after="100"/>
              <w:jc w:val="right"/>
              <w:rPr>
                <w:rFonts w:eastAsia="Times New Roman"/>
                <w:sz w:val="20"/>
                <w:szCs w:val="20"/>
              </w:rPr>
            </w:pPr>
          </w:p>
        </w:tc>
        <w:tc>
          <w:tcPr>
            <w:tcW w:w="0" w:type="auto"/>
            <w:vAlign w:val="center"/>
            <w:hideMark/>
          </w:tcPr>
          <w:p w14:paraId="7D7F626A" w14:textId="77777777" w:rsidR="00000000" w:rsidRDefault="00405D16">
            <w:pPr>
              <w:spacing w:after="100"/>
              <w:rPr>
                <w:rFonts w:eastAsia="Times New Roman"/>
                <w:sz w:val="20"/>
                <w:szCs w:val="20"/>
              </w:rPr>
            </w:pPr>
          </w:p>
        </w:tc>
        <w:tc>
          <w:tcPr>
            <w:tcW w:w="0" w:type="auto"/>
            <w:gridSpan w:val="3"/>
            <w:vAlign w:val="center"/>
            <w:hideMark/>
          </w:tcPr>
          <w:p w14:paraId="1AEF6C87" w14:textId="77777777" w:rsidR="00000000" w:rsidRDefault="00405D16">
            <w:pPr>
              <w:spacing w:after="100"/>
              <w:rPr>
                <w:rFonts w:eastAsia="Times New Roman"/>
                <w:sz w:val="20"/>
                <w:szCs w:val="20"/>
              </w:rPr>
            </w:pPr>
          </w:p>
        </w:tc>
        <w:tc>
          <w:tcPr>
            <w:tcW w:w="0" w:type="auto"/>
            <w:gridSpan w:val="3"/>
            <w:vAlign w:val="center"/>
            <w:hideMark/>
          </w:tcPr>
          <w:p w14:paraId="6E233FCC" w14:textId="77777777" w:rsidR="00000000" w:rsidRDefault="00405D16">
            <w:pPr>
              <w:spacing w:after="100"/>
              <w:rPr>
                <w:rFonts w:eastAsia="Times New Roman"/>
                <w:sz w:val="20"/>
                <w:szCs w:val="20"/>
              </w:rPr>
            </w:pPr>
          </w:p>
        </w:tc>
        <w:tc>
          <w:tcPr>
            <w:tcW w:w="0" w:type="auto"/>
            <w:gridSpan w:val="3"/>
            <w:vAlign w:val="center"/>
            <w:hideMark/>
          </w:tcPr>
          <w:p w14:paraId="59535D42" w14:textId="77777777" w:rsidR="00000000" w:rsidRDefault="00405D16">
            <w:pPr>
              <w:spacing w:after="100"/>
              <w:rPr>
                <w:rFonts w:eastAsia="Times New Roman"/>
                <w:sz w:val="20"/>
                <w:szCs w:val="20"/>
              </w:rPr>
            </w:pPr>
          </w:p>
        </w:tc>
        <w:tc>
          <w:tcPr>
            <w:tcW w:w="0" w:type="auto"/>
            <w:gridSpan w:val="3"/>
            <w:vAlign w:val="center"/>
            <w:hideMark/>
          </w:tcPr>
          <w:p w14:paraId="6E2D996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62B186"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3414901" w14:textId="77777777" w:rsidR="00000000" w:rsidRDefault="00405D16">
            <w:pPr>
              <w:spacing w:after="100"/>
              <w:jc w:val="right"/>
              <w:rPr>
                <w:rFonts w:eastAsia="Times New Roman"/>
              </w:rPr>
            </w:pPr>
            <w:r>
              <w:rPr>
                <w:rFonts w:eastAsia="Times New Roman"/>
                <w:color w:val="000000"/>
                <w:sz w:val="18"/>
                <w:szCs w:val="18"/>
              </w:rPr>
              <w:t>320 </w:t>
            </w:r>
          </w:p>
        </w:tc>
        <w:tc>
          <w:tcPr>
            <w:tcW w:w="0" w:type="auto"/>
            <w:shd w:val="clear" w:color="auto" w:fill="CCEEFF"/>
            <w:tcMar>
              <w:top w:w="30" w:type="dxa"/>
              <w:left w:w="0" w:type="dxa"/>
              <w:bottom w:w="30" w:type="dxa"/>
              <w:right w:w="20" w:type="dxa"/>
            </w:tcMar>
            <w:vAlign w:val="center"/>
            <w:hideMark/>
          </w:tcPr>
          <w:p w14:paraId="2A9A97B6" w14:textId="77777777" w:rsidR="00000000" w:rsidRDefault="00405D16">
            <w:pPr>
              <w:spacing w:after="100"/>
              <w:jc w:val="right"/>
              <w:rPr>
                <w:rFonts w:eastAsia="Times New Roman"/>
              </w:rPr>
            </w:pPr>
          </w:p>
        </w:tc>
        <w:tc>
          <w:tcPr>
            <w:tcW w:w="0" w:type="auto"/>
            <w:gridSpan w:val="3"/>
            <w:vAlign w:val="center"/>
            <w:hideMark/>
          </w:tcPr>
          <w:p w14:paraId="07BAEDC6" w14:textId="77777777" w:rsidR="00000000" w:rsidRDefault="00405D16">
            <w:pPr>
              <w:spacing w:after="100"/>
              <w:jc w:val="right"/>
              <w:rPr>
                <w:rFonts w:eastAsia="Times New Roman"/>
                <w:sz w:val="20"/>
                <w:szCs w:val="20"/>
              </w:rPr>
            </w:pPr>
          </w:p>
        </w:tc>
        <w:tc>
          <w:tcPr>
            <w:tcW w:w="0" w:type="auto"/>
            <w:gridSpan w:val="2"/>
            <w:vAlign w:val="center"/>
            <w:hideMark/>
          </w:tcPr>
          <w:p w14:paraId="29407170" w14:textId="77777777" w:rsidR="00000000" w:rsidRDefault="00405D16">
            <w:pPr>
              <w:spacing w:after="100"/>
              <w:rPr>
                <w:rFonts w:eastAsia="Times New Roman"/>
                <w:sz w:val="20"/>
                <w:szCs w:val="20"/>
              </w:rPr>
            </w:pPr>
          </w:p>
        </w:tc>
      </w:tr>
      <w:tr w:rsidR="00000000" w14:paraId="6AAA8C0C" w14:textId="77777777">
        <w:trPr>
          <w:divId w:val="2103602330"/>
        </w:trPr>
        <w:tc>
          <w:tcPr>
            <w:tcW w:w="0" w:type="auto"/>
            <w:gridSpan w:val="3"/>
            <w:shd w:val="clear" w:color="auto" w:fill="FFFFFF"/>
            <w:tcMar>
              <w:top w:w="30" w:type="dxa"/>
              <w:left w:w="20" w:type="dxa"/>
              <w:bottom w:w="30" w:type="dxa"/>
              <w:right w:w="20" w:type="dxa"/>
            </w:tcMar>
            <w:vAlign w:val="center"/>
            <w:hideMark/>
          </w:tcPr>
          <w:p w14:paraId="205B66B3" w14:textId="77777777" w:rsidR="00000000" w:rsidRDefault="00405D16">
            <w:pPr>
              <w:spacing w:after="100"/>
              <w:divId w:val="1634827969"/>
              <w:rPr>
                <w:rFonts w:eastAsia="Times New Roman"/>
              </w:rPr>
            </w:pPr>
            <w:r>
              <w:rPr>
                <w:rFonts w:eastAsia="Times New Roman"/>
                <w:color w:val="000000"/>
                <w:sz w:val="18"/>
                <w:szCs w:val="18"/>
              </w:rPr>
              <w:t>Return on average common equit</w:t>
            </w:r>
            <w:r>
              <w:rPr>
                <w:rFonts w:eastAsia="Times New Roman"/>
                <w:color w:val="000000"/>
                <w:sz w:val="18"/>
                <w:szCs w:val="18"/>
              </w:rPr>
              <w:t>y</w:t>
            </w:r>
            <w:r>
              <w:rPr>
                <w:rFonts w:eastAsia="Times New Roman"/>
                <w:color w:val="000000"/>
                <w:sz w:val="12"/>
                <w:szCs w:val="12"/>
              </w:rPr>
              <w:t>(5</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6D7FB2C6"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6FA3649" w14:textId="77777777" w:rsidR="00000000" w:rsidRDefault="00405D16">
            <w:pPr>
              <w:spacing w:after="100"/>
              <w:jc w:val="right"/>
              <w:rPr>
                <w:rFonts w:eastAsia="Times New Roman"/>
              </w:rPr>
            </w:pPr>
            <w:r>
              <w:rPr>
                <w:rFonts w:eastAsia="Times New Roman"/>
                <w:b/>
                <w:bCs/>
                <w:color w:val="000000"/>
                <w:sz w:val="18"/>
                <w:szCs w:val="18"/>
              </w:rPr>
              <w:t>20.52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8017F2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773BC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53D27DF" w14:textId="77777777" w:rsidR="00000000" w:rsidRDefault="00405D16">
            <w:pPr>
              <w:spacing w:after="100"/>
              <w:jc w:val="right"/>
              <w:rPr>
                <w:rFonts w:eastAsia="Times New Roman"/>
              </w:rPr>
            </w:pPr>
            <w:r>
              <w:rPr>
                <w:rFonts w:eastAsia="Times New Roman"/>
                <w:color w:val="000000"/>
                <w:sz w:val="18"/>
                <w:szCs w:val="18"/>
              </w:rPr>
              <w:t>17.84 </w:t>
            </w:r>
          </w:p>
        </w:tc>
        <w:tc>
          <w:tcPr>
            <w:tcW w:w="0" w:type="auto"/>
            <w:shd w:val="clear" w:color="auto" w:fill="FFFFFF"/>
            <w:tcMar>
              <w:top w:w="30" w:type="dxa"/>
              <w:left w:w="0" w:type="dxa"/>
              <w:bottom w:w="30" w:type="dxa"/>
              <w:right w:w="20" w:type="dxa"/>
            </w:tcMar>
            <w:vAlign w:val="center"/>
            <w:hideMark/>
          </w:tcPr>
          <w:p w14:paraId="662F630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F745F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34495BD" w14:textId="77777777" w:rsidR="00000000" w:rsidRDefault="00405D16">
            <w:pPr>
              <w:spacing w:after="100"/>
              <w:jc w:val="right"/>
              <w:rPr>
                <w:rFonts w:eastAsia="Times New Roman"/>
              </w:rPr>
            </w:pPr>
            <w:r>
              <w:rPr>
                <w:rFonts w:eastAsia="Times New Roman"/>
                <w:color w:val="000000"/>
                <w:sz w:val="18"/>
                <w:szCs w:val="18"/>
              </w:rPr>
              <w:t>268 </w:t>
            </w:r>
          </w:p>
        </w:tc>
        <w:tc>
          <w:tcPr>
            <w:tcW w:w="0" w:type="auto"/>
            <w:shd w:val="clear" w:color="auto" w:fill="FFFFFF"/>
            <w:tcMar>
              <w:top w:w="30" w:type="dxa"/>
              <w:left w:w="0" w:type="dxa"/>
              <w:bottom w:w="30" w:type="dxa"/>
              <w:right w:w="20" w:type="dxa"/>
            </w:tcMar>
            <w:vAlign w:val="center"/>
            <w:hideMark/>
          </w:tcPr>
          <w:p w14:paraId="1931283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DF799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147E8D3" w14:textId="77777777" w:rsidR="00000000" w:rsidRDefault="00405D16">
            <w:pPr>
              <w:spacing w:after="100"/>
              <w:jc w:val="right"/>
              <w:rPr>
                <w:rFonts w:eastAsia="Times New Roman"/>
              </w:rPr>
            </w:pPr>
            <w:r>
              <w:rPr>
                <w:rFonts w:eastAsia="Times New Roman"/>
                <w:b/>
                <w:bCs/>
                <w:color w:val="000000"/>
                <w:sz w:val="18"/>
                <w:szCs w:val="18"/>
              </w:rPr>
              <w:t>22.64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EBBBA1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E01E7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AFC8D19" w14:textId="77777777" w:rsidR="00000000" w:rsidRDefault="00405D16">
            <w:pPr>
              <w:spacing w:after="100"/>
              <w:jc w:val="right"/>
              <w:rPr>
                <w:rFonts w:eastAsia="Times New Roman"/>
              </w:rPr>
            </w:pPr>
            <w:r>
              <w:rPr>
                <w:rFonts w:eastAsia="Times New Roman"/>
                <w:color w:val="000000"/>
                <w:sz w:val="18"/>
                <w:szCs w:val="18"/>
              </w:rPr>
              <w:t>(0.23)</w:t>
            </w:r>
          </w:p>
        </w:tc>
        <w:tc>
          <w:tcPr>
            <w:tcW w:w="0" w:type="auto"/>
            <w:shd w:val="clear" w:color="auto" w:fill="FFFFFF"/>
            <w:tcMar>
              <w:top w:w="30" w:type="dxa"/>
              <w:left w:w="0" w:type="dxa"/>
              <w:bottom w:w="30" w:type="dxa"/>
              <w:right w:w="20" w:type="dxa"/>
            </w:tcMar>
            <w:vAlign w:val="center"/>
            <w:hideMark/>
          </w:tcPr>
          <w:p w14:paraId="05BDCCD4" w14:textId="77777777" w:rsidR="00000000" w:rsidRDefault="00405D16">
            <w:pPr>
              <w:spacing w:after="100"/>
              <w:jc w:val="right"/>
              <w:rPr>
                <w:rFonts w:eastAsia="Times New Roman"/>
              </w:rPr>
            </w:pPr>
          </w:p>
        </w:tc>
        <w:tc>
          <w:tcPr>
            <w:tcW w:w="0" w:type="auto"/>
            <w:vAlign w:val="center"/>
            <w:hideMark/>
          </w:tcPr>
          <w:p w14:paraId="5D67A533" w14:textId="77777777" w:rsidR="00000000" w:rsidRDefault="00405D16">
            <w:pPr>
              <w:spacing w:after="100"/>
              <w:jc w:val="right"/>
              <w:rPr>
                <w:rFonts w:eastAsia="Times New Roman"/>
                <w:sz w:val="20"/>
                <w:szCs w:val="20"/>
              </w:rPr>
            </w:pPr>
          </w:p>
        </w:tc>
        <w:tc>
          <w:tcPr>
            <w:tcW w:w="0" w:type="auto"/>
            <w:vAlign w:val="center"/>
            <w:hideMark/>
          </w:tcPr>
          <w:p w14:paraId="6C397A9A" w14:textId="77777777" w:rsidR="00000000" w:rsidRDefault="00405D16">
            <w:pPr>
              <w:spacing w:after="100"/>
              <w:rPr>
                <w:rFonts w:eastAsia="Times New Roman"/>
                <w:sz w:val="20"/>
                <w:szCs w:val="20"/>
              </w:rPr>
            </w:pPr>
          </w:p>
        </w:tc>
        <w:tc>
          <w:tcPr>
            <w:tcW w:w="0" w:type="auto"/>
            <w:gridSpan w:val="3"/>
            <w:vAlign w:val="center"/>
            <w:hideMark/>
          </w:tcPr>
          <w:p w14:paraId="7421676B" w14:textId="77777777" w:rsidR="00000000" w:rsidRDefault="00405D16">
            <w:pPr>
              <w:spacing w:after="100"/>
              <w:rPr>
                <w:rFonts w:eastAsia="Times New Roman"/>
                <w:sz w:val="20"/>
                <w:szCs w:val="20"/>
              </w:rPr>
            </w:pPr>
          </w:p>
        </w:tc>
        <w:tc>
          <w:tcPr>
            <w:tcW w:w="0" w:type="auto"/>
            <w:gridSpan w:val="3"/>
            <w:vAlign w:val="center"/>
            <w:hideMark/>
          </w:tcPr>
          <w:p w14:paraId="40896F47" w14:textId="77777777" w:rsidR="00000000" w:rsidRDefault="00405D16">
            <w:pPr>
              <w:spacing w:after="100"/>
              <w:rPr>
                <w:rFonts w:eastAsia="Times New Roman"/>
                <w:sz w:val="20"/>
                <w:szCs w:val="20"/>
              </w:rPr>
            </w:pPr>
          </w:p>
        </w:tc>
        <w:tc>
          <w:tcPr>
            <w:tcW w:w="0" w:type="auto"/>
            <w:gridSpan w:val="3"/>
            <w:vAlign w:val="center"/>
            <w:hideMark/>
          </w:tcPr>
          <w:p w14:paraId="737ED6EC" w14:textId="77777777" w:rsidR="00000000" w:rsidRDefault="00405D16">
            <w:pPr>
              <w:spacing w:after="100"/>
              <w:rPr>
                <w:rFonts w:eastAsia="Times New Roman"/>
                <w:sz w:val="20"/>
                <w:szCs w:val="20"/>
              </w:rPr>
            </w:pPr>
          </w:p>
        </w:tc>
        <w:tc>
          <w:tcPr>
            <w:tcW w:w="0" w:type="auto"/>
            <w:gridSpan w:val="3"/>
            <w:vAlign w:val="center"/>
            <w:hideMark/>
          </w:tcPr>
          <w:p w14:paraId="64081DA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66B509"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D3BEF8A" w14:textId="77777777" w:rsidR="00000000" w:rsidRDefault="00405D16">
            <w:pPr>
              <w:spacing w:after="100"/>
              <w:jc w:val="right"/>
              <w:rPr>
                <w:rFonts w:eastAsia="Times New Roman"/>
              </w:rPr>
            </w:pPr>
            <w:r>
              <w:rPr>
                <w:rFonts w:eastAsia="Times New Roman"/>
                <w:color w:val="000000"/>
                <w:sz w:val="18"/>
                <w:szCs w:val="18"/>
              </w:rPr>
              <w:t>23 </w:t>
            </w:r>
          </w:p>
        </w:tc>
        <w:tc>
          <w:tcPr>
            <w:tcW w:w="0" w:type="auto"/>
            <w:shd w:val="clear" w:color="auto" w:fill="FFFFFF"/>
            <w:tcMar>
              <w:top w:w="30" w:type="dxa"/>
              <w:left w:w="0" w:type="dxa"/>
              <w:bottom w:w="30" w:type="dxa"/>
              <w:right w:w="20" w:type="dxa"/>
            </w:tcMar>
            <w:vAlign w:val="center"/>
            <w:hideMark/>
          </w:tcPr>
          <w:p w14:paraId="0F614FBC"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233CA788" w14:textId="77777777" w:rsidR="00000000" w:rsidRDefault="00405D16">
            <w:pPr>
              <w:spacing w:after="100"/>
              <w:jc w:val="right"/>
              <w:rPr>
                <w:rFonts w:eastAsia="Times New Roman"/>
              </w:rPr>
            </w:pPr>
          </w:p>
        </w:tc>
        <w:tc>
          <w:tcPr>
            <w:tcW w:w="0" w:type="auto"/>
            <w:gridSpan w:val="2"/>
            <w:vAlign w:val="center"/>
            <w:hideMark/>
          </w:tcPr>
          <w:p w14:paraId="68F3C3C7" w14:textId="77777777" w:rsidR="00000000" w:rsidRDefault="00405D16">
            <w:pPr>
              <w:spacing w:after="100"/>
              <w:rPr>
                <w:rFonts w:eastAsia="Times New Roman"/>
                <w:sz w:val="20"/>
                <w:szCs w:val="20"/>
              </w:rPr>
            </w:pPr>
          </w:p>
        </w:tc>
      </w:tr>
      <w:tr w:rsidR="00000000" w14:paraId="144A936B" w14:textId="77777777">
        <w:trPr>
          <w:divId w:val="2103602330"/>
        </w:trPr>
        <w:tc>
          <w:tcPr>
            <w:tcW w:w="0" w:type="auto"/>
            <w:gridSpan w:val="3"/>
            <w:shd w:val="clear" w:color="auto" w:fill="CCEEFF"/>
            <w:tcMar>
              <w:top w:w="30" w:type="dxa"/>
              <w:left w:w="20" w:type="dxa"/>
              <w:bottom w:w="30" w:type="dxa"/>
              <w:right w:w="20" w:type="dxa"/>
            </w:tcMar>
            <w:vAlign w:val="center"/>
            <w:hideMark/>
          </w:tcPr>
          <w:p w14:paraId="2BCB91A3" w14:textId="77777777" w:rsidR="00000000" w:rsidRDefault="00405D16">
            <w:pPr>
              <w:spacing w:after="100"/>
              <w:divId w:val="1691563447"/>
              <w:rPr>
                <w:rFonts w:eastAsia="Times New Roman"/>
              </w:rPr>
            </w:pPr>
            <w:r>
              <w:rPr>
                <w:rFonts w:eastAsia="Times New Roman"/>
                <w:color w:val="000000"/>
                <w:sz w:val="18"/>
                <w:szCs w:val="18"/>
              </w:rPr>
              <w:t>Return on average tangible common equit</w:t>
            </w:r>
            <w:r>
              <w:rPr>
                <w:rFonts w:eastAsia="Times New Roman"/>
                <w:color w:val="000000"/>
                <w:sz w:val="18"/>
                <w:szCs w:val="18"/>
              </w:rPr>
              <w:t>y</w:t>
            </w:r>
            <w:r>
              <w:rPr>
                <w:rFonts w:eastAsia="Times New Roman"/>
                <w:color w:val="000000"/>
                <w:sz w:val="12"/>
                <w:szCs w:val="12"/>
              </w:rPr>
              <w:t>(6</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3B9ED58F"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773A364" w14:textId="77777777" w:rsidR="00000000" w:rsidRDefault="00405D16">
            <w:pPr>
              <w:spacing w:after="100"/>
              <w:jc w:val="right"/>
              <w:rPr>
                <w:rFonts w:eastAsia="Times New Roman"/>
              </w:rPr>
            </w:pPr>
            <w:r>
              <w:rPr>
                <w:rFonts w:eastAsia="Times New Roman"/>
                <w:b/>
                <w:bCs/>
                <w:color w:val="000000"/>
                <w:sz w:val="18"/>
                <w:szCs w:val="18"/>
              </w:rPr>
              <w:t>27.50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A50285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296D5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054C8F3" w14:textId="77777777" w:rsidR="00000000" w:rsidRDefault="00405D16">
            <w:pPr>
              <w:spacing w:after="100"/>
              <w:jc w:val="right"/>
              <w:rPr>
                <w:rFonts w:eastAsia="Times New Roman"/>
              </w:rPr>
            </w:pPr>
            <w:r>
              <w:rPr>
                <w:rFonts w:eastAsia="Times New Roman"/>
                <w:color w:val="000000"/>
                <w:sz w:val="18"/>
                <w:szCs w:val="18"/>
              </w:rPr>
              <w:t>24.98 </w:t>
            </w:r>
          </w:p>
        </w:tc>
        <w:tc>
          <w:tcPr>
            <w:tcW w:w="0" w:type="auto"/>
            <w:shd w:val="clear" w:color="auto" w:fill="CCEEFF"/>
            <w:tcMar>
              <w:top w:w="30" w:type="dxa"/>
              <w:left w:w="0" w:type="dxa"/>
              <w:bottom w:w="30" w:type="dxa"/>
              <w:right w:w="20" w:type="dxa"/>
            </w:tcMar>
            <w:vAlign w:val="center"/>
            <w:hideMark/>
          </w:tcPr>
          <w:p w14:paraId="1FADCF0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ECBEB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A5E98DA" w14:textId="77777777" w:rsidR="00000000" w:rsidRDefault="00405D16">
            <w:pPr>
              <w:spacing w:after="100"/>
              <w:jc w:val="right"/>
              <w:rPr>
                <w:rFonts w:eastAsia="Times New Roman"/>
              </w:rPr>
            </w:pPr>
            <w:r>
              <w:rPr>
                <w:rFonts w:eastAsia="Times New Roman"/>
                <w:color w:val="000000"/>
                <w:sz w:val="18"/>
                <w:szCs w:val="18"/>
              </w:rPr>
              <w:t>252 </w:t>
            </w:r>
          </w:p>
        </w:tc>
        <w:tc>
          <w:tcPr>
            <w:tcW w:w="0" w:type="auto"/>
            <w:shd w:val="clear" w:color="auto" w:fill="CCEEFF"/>
            <w:tcMar>
              <w:top w:w="30" w:type="dxa"/>
              <w:left w:w="0" w:type="dxa"/>
              <w:bottom w:w="30" w:type="dxa"/>
              <w:right w:w="20" w:type="dxa"/>
            </w:tcMar>
            <w:vAlign w:val="center"/>
            <w:hideMark/>
          </w:tcPr>
          <w:p w14:paraId="5A1AB98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4BBA0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A2C2D14" w14:textId="77777777" w:rsidR="00000000" w:rsidRDefault="00405D16">
            <w:pPr>
              <w:spacing w:after="100"/>
              <w:jc w:val="right"/>
              <w:rPr>
                <w:rFonts w:eastAsia="Times New Roman"/>
              </w:rPr>
            </w:pPr>
            <w:r>
              <w:rPr>
                <w:rFonts w:eastAsia="Times New Roman"/>
                <w:b/>
                <w:bCs/>
                <w:color w:val="000000"/>
                <w:sz w:val="18"/>
                <w:szCs w:val="18"/>
              </w:rPr>
              <w:t>30.57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BCA3B4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4FB7B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54749BB" w14:textId="77777777" w:rsidR="00000000" w:rsidRDefault="00405D16">
            <w:pPr>
              <w:spacing w:after="100"/>
              <w:jc w:val="right"/>
              <w:rPr>
                <w:rFonts w:eastAsia="Times New Roman"/>
              </w:rPr>
            </w:pPr>
            <w:r>
              <w:rPr>
                <w:rFonts w:eastAsia="Times New Roman"/>
                <w:color w:val="000000"/>
                <w:sz w:val="18"/>
                <w:szCs w:val="18"/>
              </w:rPr>
              <w:t>(0.32)</w:t>
            </w:r>
          </w:p>
        </w:tc>
        <w:tc>
          <w:tcPr>
            <w:tcW w:w="0" w:type="auto"/>
            <w:shd w:val="clear" w:color="auto" w:fill="CCEEFF"/>
            <w:tcMar>
              <w:top w:w="30" w:type="dxa"/>
              <w:left w:w="0" w:type="dxa"/>
              <w:bottom w:w="30" w:type="dxa"/>
              <w:right w:w="20" w:type="dxa"/>
            </w:tcMar>
            <w:vAlign w:val="center"/>
            <w:hideMark/>
          </w:tcPr>
          <w:p w14:paraId="7AE486DD" w14:textId="77777777" w:rsidR="00000000" w:rsidRDefault="00405D16">
            <w:pPr>
              <w:spacing w:after="100"/>
              <w:jc w:val="right"/>
              <w:rPr>
                <w:rFonts w:eastAsia="Times New Roman"/>
              </w:rPr>
            </w:pPr>
          </w:p>
        </w:tc>
        <w:tc>
          <w:tcPr>
            <w:tcW w:w="0" w:type="auto"/>
            <w:vAlign w:val="center"/>
            <w:hideMark/>
          </w:tcPr>
          <w:p w14:paraId="2C16B6C3" w14:textId="77777777" w:rsidR="00000000" w:rsidRDefault="00405D16">
            <w:pPr>
              <w:spacing w:after="100"/>
              <w:jc w:val="right"/>
              <w:rPr>
                <w:rFonts w:eastAsia="Times New Roman"/>
                <w:sz w:val="20"/>
                <w:szCs w:val="20"/>
              </w:rPr>
            </w:pPr>
          </w:p>
        </w:tc>
        <w:tc>
          <w:tcPr>
            <w:tcW w:w="0" w:type="auto"/>
            <w:vAlign w:val="center"/>
            <w:hideMark/>
          </w:tcPr>
          <w:p w14:paraId="7E6E0EA8" w14:textId="77777777" w:rsidR="00000000" w:rsidRDefault="00405D16">
            <w:pPr>
              <w:spacing w:after="100"/>
              <w:rPr>
                <w:rFonts w:eastAsia="Times New Roman"/>
                <w:sz w:val="20"/>
                <w:szCs w:val="20"/>
              </w:rPr>
            </w:pPr>
          </w:p>
        </w:tc>
        <w:tc>
          <w:tcPr>
            <w:tcW w:w="0" w:type="auto"/>
            <w:gridSpan w:val="3"/>
            <w:vAlign w:val="center"/>
            <w:hideMark/>
          </w:tcPr>
          <w:p w14:paraId="5F354F98" w14:textId="77777777" w:rsidR="00000000" w:rsidRDefault="00405D16">
            <w:pPr>
              <w:spacing w:after="100"/>
              <w:rPr>
                <w:rFonts w:eastAsia="Times New Roman"/>
                <w:sz w:val="20"/>
                <w:szCs w:val="20"/>
              </w:rPr>
            </w:pPr>
          </w:p>
        </w:tc>
        <w:tc>
          <w:tcPr>
            <w:tcW w:w="0" w:type="auto"/>
            <w:gridSpan w:val="3"/>
            <w:vAlign w:val="center"/>
            <w:hideMark/>
          </w:tcPr>
          <w:p w14:paraId="1B3B7122" w14:textId="77777777" w:rsidR="00000000" w:rsidRDefault="00405D16">
            <w:pPr>
              <w:spacing w:after="100"/>
              <w:rPr>
                <w:rFonts w:eastAsia="Times New Roman"/>
                <w:sz w:val="20"/>
                <w:szCs w:val="20"/>
              </w:rPr>
            </w:pPr>
          </w:p>
        </w:tc>
        <w:tc>
          <w:tcPr>
            <w:tcW w:w="0" w:type="auto"/>
            <w:gridSpan w:val="3"/>
            <w:vAlign w:val="center"/>
            <w:hideMark/>
          </w:tcPr>
          <w:p w14:paraId="526FE2F1" w14:textId="77777777" w:rsidR="00000000" w:rsidRDefault="00405D16">
            <w:pPr>
              <w:spacing w:after="100"/>
              <w:rPr>
                <w:rFonts w:eastAsia="Times New Roman"/>
                <w:sz w:val="20"/>
                <w:szCs w:val="20"/>
              </w:rPr>
            </w:pPr>
          </w:p>
        </w:tc>
        <w:tc>
          <w:tcPr>
            <w:tcW w:w="0" w:type="auto"/>
            <w:gridSpan w:val="3"/>
            <w:vAlign w:val="center"/>
            <w:hideMark/>
          </w:tcPr>
          <w:p w14:paraId="29621D3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082691"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7BC631D" w14:textId="77777777" w:rsidR="00000000" w:rsidRDefault="00405D16">
            <w:pPr>
              <w:spacing w:after="100"/>
              <w:jc w:val="right"/>
              <w:rPr>
                <w:rFonts w:eastAsia="Times New Roman"/>
              </w:rPr>
            </w:pPr>
            <w:r>
              <w:rPr>
                <w:rFonts w:eastAsia="Times New Roman"/>
                <w:color w:val="000000"/>
                <w:sz w:val="18"/>
                <w:szCs w:val="18"/>
              </w:rPr>
              <w:t>31 </w:t>
            </w:r>
          </w:p>
        </w:tc>
        <w:tc>
          <w:tcPr>
            <w:tcW w:w="0" w:type="auto"/>
            <w:shd w:val="clear" w:color="auto" w:fill="CCEEFF"/>
            <w:tcMar>
              <w:top w:w="30" w:type="dxa"/>
              <w:left w:w="0" w:type="dxa"/>
              <w:bottom w:w="30" w:type="dxa"/>
              <w:right w:w="20" w:type="dxa"/>
            </w:tcMar>
            <w:vAlign w:val="center"/>
            <w:hideMark/>
          </w:tcPr>
          <w:p w14:paraId="51333297" w14:textId="77777777" w:rsidR="00000000" w:rsidRDefault="00405D16">
            <w:pPr>
              <w:spacing w:after="100"/>
              <w:jc w:val="right"/>
              <w:rPr>
                <w:rFonts w:eastAsia="Times New Roman"/>
              </w:rPr>
            </w:pPr>
          </w:p>
        </w:tc>
        <w:tc>
          <w:tcPr>
            <w:tcW w:w="0" w:type="auto"/>
            <w:gridSpan w:val="3"/>
            <w:vAlign w:val="center"/>
            <w:hideMark/>
          </w:tcPr>
          <w:p w14:paraId="3428A9A4" w14:textId="77777777" w:rsidR="00000000" w:rsidRDefault="00405D16">
            <w:pPr>
              <w:spacing w:after="100"/>
              <w:jc w:val="right"/>
              <w:rPr>
                <w:rFonts w:eastAsia="Times New Roman"/>
                <w:sz w:val="20"/>
                <w:szCs w:val="20"/>
              </w:rPr>
            </w:pPr>
          </w:p>
        </w:tc>
        <w:tc>
          <w:tcPr>
            <w:tcW w:w="0" w:type="auto"/>
            <w:gridSpan w:val="2"/>
            <w:vAlign w:val="center"/>
            <w:hideMark/>
          </w:tcPr>
          <w:p w14:paraId="1700C9CE" w14:textId="77777777" w:rsidR="00000000" w:rsidRDefault="00405D16">
            <w:pPr>
              <w:spacing w:after="100"/>
              <w:rPr>
                <w:rFonts w:eastAsia="Times New Roman"/>
                <w:sz w:val="20"/>
                <w:szCs w:val="20"/>
              </w:rPr>
            </w:pPr>
          </w:p>
        </w:tc>
      </w:tr>
      <w:tr w:rsidR="00000000" w14:paraId="5B053D4E" w14:textId="77777777">
        <w:trPr>
          <w:divId w:val="2103602330"/>
        </w:trPr>
        <w:tc>
          <w:tcPr>
            <w:tcW w:w="0" w:type="auto"/>
            <w:gridSpan w:val="3"/>
            <w:shd w:val="clear" w:color="auto" w:fill="FFFFFF"/>
            <w:tcMar>
              <w:top w:w="30" w:type="dxa"/>
              <w:left w:w="20" w:type="dxa"/>
              <w:bottom w:w="30" w:type="dxa"/>
              <w:right w:w="20" w:type="dxa"/>
            </w:tcMar>
            <w:vAlign w:val="center"/>
            <w:hideMark/>
          </w:tcPr>
          <w:p w14:paraId="0C063076" w14:textId="77777777" w:rsidR="00000000" w:rsidRDefault="00405D16">
            <w:pPr>
              <w:spacing w:after="100"/>
              <w:divId w:val="1110050763"/>
              <w:rPr>
                <w:rFonts w:eastAsia="Times New Roman"/>
              </w:rPr>
            </w:pPr>
            <w:r>
              <w:rPr>
                <w:rFonts w:eastAsia="Times New Roman"/>
                <w:color w:val="000000"/>
                <w:sz w:val="18"/>
                <w:szCs w:val="18"/>
              </w:rPr>
              <w:t>Equity-to-assets rati</w:t>
            </w:r>
            <w:r>
              <w:rPr>
                <w:rFonts w:eastAsia="Times New Roman"/>
                <w:color w:val="000000"/>
                <w:sz w:val="18"/>
                <w:szCs w:val="18"/>
              </w:rPr>
              <w:t>o</w:t>
            </w:r>
            <w:r>
              <w:rPr>
                <w:rFonts w:eastAsia="Times New Roman"/>
                <w:color w:val="000000"/>
                <w:sz w:val="12"/>
                <w:szCs w:val="12"/>
              </w:rPr>
              <w:t>(7</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647DE85F"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D48659E" w14:textId="77777777" w:rsidR="00000000" w:rsidRDefault="00405D16">
            <w:pPr>
              <w:spacing w:after="100"/>
              <w:jc w:val="right"/>
              <w:rPr>
                <w:rFonts w:eastAsia="Times New Roman"/>
              </w:rPr>
            </w:pPr>
            <w:r>
              <w:rPr>
                <w:rFonts w:eastAsia="Times New Roman"/>
                <w:b/>
                <w:bCs/>
                <w:color w:val="000000"/>
                <w:sz w:val="18"/>
                <w:szCs w:val="18"/>
              </w:rPr>
              <w:t>15.24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D6F47D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2332E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E65C72E" w14:textId="77777777" w:rsidR="00000000" w:rsidRDefault="00405D16">
            <w:pPr>
              <w:spacing w:after="100"/>
              <w:jc w:val="right"/>
              <w:rPr>
                <w:rFonts w:eastAsia="Times New Roman"/>
              </w:rPr>
            </w:pPr>
            <w:r>
              <w:rPr>
                <w:rFonts w:eastAsia="Times New Roman"/>
                <w:color w:val="000000"/>
                <w:sz w:val="18"/>
                <w:szCs w:val="18"/>
              </w:rPr>
              <w:t>13.53 </w:t>
            </w:r>
          </w:p>
        </w:tc>
        <w:tc>
          <w:tcPr>
            <w:tcW w:w="0" w:type="auto"/>
            <w:shd w:val="clear" w:color="auto" w:fill="FFFFFF"/>
            <w:tcMar>
              <w:top w:w="30" w:type="dxa"/>
              <w:left w:w="0" w:type="dxa"/>
              <w:bottom w:w="30" w:type="dxa"/>
              <w:right w:w="20" w:type="dxa"/>
            </w:tcMar>
            <w:vAlign w:val="center"/>
            <w:hideMark/>
          </w:tcPr>
          <w:p w14:paraId="4196E6B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1D940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AC4CE6C" w14:textId="77777777" w:rsidR="00000000" w:rsidRDefault="00405D16">
            <w:pPr>
              <w:spacing w:after="100"/>
              <w:jc w:val="right"/>
              <w:rPr>
                <w:rFonts w:eastAsia="Times New Roman"/>
              </w:rPr>
            </w:pPr>
            <w:r>
              <w:rPr>
                <w:rFonts w:eastAsia="Times New Roman"/>
                <w:color w:val="000000"/>
                <w:sz w:val="18"/>
                <w:szCs w:val="18"/>
              </w:rPr>
              <w:t>171 </w:t>
            </w:r>
          </w:p>
        </w:tc>
        <w:tc>
          <w:tcPr>
            <w:tcW w:w="0" w:type="auto"/>
            <w:shd w:val="clear" w:color="auto" w:fill="FFFFFF"/>
            <w:tcMar>
              <w:top w:w="30" w:type="dxa"/>
              <w:left w:w="0" w:type="dxa"/>
              <w:bottom w:w="30" w:type="dxa"/>
              <w:right w:w="20" w:type="dxa"/>
            </w:tcMar>
            <w:vAlign w:val="center"/>
            <w:hideMark/>
          </w:tcPr>
          <w:p w14:paraId="1B2FE51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73A34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A4CB0EA" w14:textId="77777777" w:rsidR="00000000" w:rsidRDefault="00405D16">
            <w:pPr>
              <w:spacing w:after="100"/>
              <w:jc w:val="right"/>
              <w:rPr>
                <w:rFonts w:eastAsia="Times New Roman"/>
              </w:rPr>
            </w:pPr>
            <w:r>
              <w:rPr>
                <w:rFonts w:eastAsia="Times New Roman"/>
                <w:b/>
                <w:bCs/>
                <w:color w:val="000000"/>
                <w:sz w:val="18"/>
                <w:szCs w:val="18"/>
              </w:rPr>
              <w:t>14.78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B2BE91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99AFE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8FF2D7A" w14:textId="77777777" w:rsidR="00000000" w:rsidRDefault="00405D16">
            <w:pPr>
              <w:spacing w:after="100"/>
              <w:jc w:val="right"/>
              <w:rPr>
                <w:rFonts w:eastAsia="Times New Roman"/>
              </w:rPr>
            </w:pPr>
            <w:r>
              <w:rPr>
                <w:rFonts w:eastAsia="Times New Roman"/>
                <w:color w:val="000000"/>
                <w:sz w:val="18"/>
                <w:szCs w:val="18"/>
              </w:rPr>
              <w:t>14.16 </w:t>
            </w:r>
          </w:p>
        </w:tc>
        <w:tc>
          <w:tcPr>
            <w:tcW w:w="0" w:type="auto"/>
            <w:shd w:val="clear" w:color="auto" w:fill="FFFFFF"/>
            <w:tcMar>
              <w:top w:w="30" w:type="dxa"/>
              <w:left w:w="0" w:type="dxa"/>
              <w:bottom w:w="30" w:type="dxa"/>
              <w:right w:w="20" w:type="dxa"/>
            </w:tcMar>
            <w:vAlign w:val="center"/>
            <w:hideMark/>
          </w:tcPr>
          <w:p w14:paraId="0080905E" w14:textId="77777777" w:rsidR="00000000" w:rsidRDefault="00405D16">
            <w:pPr>
              <w:spacing w:after="100"/>
              <w:jc w:val="right"/>
              <w:rPr>
                <w:rFonts w:eastAsia="Times New Roman"/>
              </w:rPr>
            </w:pPr>
          </w:p>
        </w:tc>
        <w:tc>
          <w:tcPr>
            <w:tcW w:w="0" w:type="auto"/>
            <w:vAlign w:val="center"/>
            <w:hideMark/>
          </w:tcPr>
          <w:p w14:paraId="5F2F20F7" w14:textId="77777777" w:rsidR="00000000" w:rsidRDefault="00405D16">
            <w:pPr>
              <w:spacing w:after="100"/>
              <w:jc w:val="right"/>
              <w:rPr>
                <w:rFonts w:eastAsia="Times New Roman"/>
                <w:sz w:val="20"/>
                <w:szCs w:val="20"/>
              </w:rPr>
            </w:pPr>
          </w:p>
        </w:tc>
        <w:tc>
          <w:tcPr>
            <w:tcW w:w="0" w:type="auto"/>
            <w:vAlign w:val="center"/>
            <w:hideMark/>
          </w:tcPr>
          <w:p w14:paraId="2E109420" w14:textId="77777777" w:rsidR="00000000" w:rsidRDefault="00405D16">
            <w:pPr>
              <w:spacing w:after="100"/>
              <w:rPr>
                <w:rFonts w:eastAsia="Times New Roman"/>
                <w:sz w:val="20"/>
                <w:szCs w:val="20"/>
              </w:rPr>
            </w:pPr>
          </w:p>
        </w:tc>
        <w:tc>
          <w:tcPr>
            <w:tcW w:w="0" w:type="auto"/>
            <w:gridSpan w:val="3"/>
            <w:vAlign w:val="center"/>
            <w:hideMark/>
          </w:tcPr>
          <w:p w14:paraId="4D0F603F" w14:textId="77777777" w:rsidR="00000000" w:rsidRDefault="00405D16">
            <w:pPr>
              <w:spacing w:after="100"/>
              <w:rPr>
                <w:rFonts w:eastAsia="Times New Roman"/>
                <w:sz w:val="20"/>
                <w:szCs w:val="20"/>
              </w:rPr>
            </w:pPr>
          </w:p>
        </w:tc>
        <w:tc>
          <w:tcPr>
            <w:tcW w:w="0" w:type="auto"/>
            <w:gridSpan w:val="3"/>
            <w:vAlign w:val="center"/>
            <w:hideMark/>
          </w:tcPr>
          <w:p w14:paraId="61EC3BCF" w14:textId="77777777" w:rsidR="00000000" w:rsidRDefault="00405D16">
            <w:pPr>
              <w:spacing w:after="100"/>
              <w:rPr>
                <w:rFonts w:eastAsia="Times New Roman"/>
                <w:sz w:val="20"/>
                <w:szCs w:val="20"/>
              </w:rPr>
            </w:pPr>
          </w:p>
        </w:tc>
        <w:tc>
          <w:tcPr>
            <w:tcW w:w="0" w:type="auto"/>
            <w:gridSpan w:val="3"/>
            <w:vAlign w:val="center"/>
            <w:hideMark/>
          </w:tcPr>
          <w:p w14:paraId="3EBF55C2" w14:textId="77777777" w:rsidR="00000000" w:rsidRDefault="00405D16">
            <w:pPr>
              <w:spacing w:after="100"/>
              <w:rPr>
                <w:rFonts w:eastAsia="Times New Roman"/>
                <w:sz w:val="20"/>
                <w:szCs w:val="20"/>
              </w:rPr>
            </w:pPr>
          </w:p>
        </w:tc>
        <w:tc>
          <w:tcPr>
            <w:tcW w:w="0" w:type="auto"/>
            <w:gridSpan w:val="3"/>
            <w:vAlign w:val="center"/>
            <w:hideMark/>
          </w:tcPr>
          <w:p w14:paraId="4D49B9F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70CF77"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2D3D6AF" w14:textId="77777777" w:rsidR="00000000" w:rsidRDefault="00405D16">
            <w:pPr>
              <w:spacing w:after="100"/>
              <w:jc w:val="right"/>
              <w:rPr>
                <w:rFonts w:eastAsia="Times New Roman"/>
              </w:rPr>
            </w:pPr>
            <w:r>
              <w:rPr>
                <w:rFonts w:eastAsia="Times New Roman"/>
                <w:color w:val="000000"/>
                <w:sz w:val="18"/>
                <w:szCs w:val="18"/>
              </w:rPr>
              <w:t>62 </w:t>
            </w:r>
          </w:p>
        </w:tc>
        <w:tc>
          <w:tcPr>
            <w:tcW w:w="0" w:type="auto"/>
            <w:shd w:val="clear" w:color="auto" w:fill="FFFFFF"/>
            <w:tcMar>
              <w:top w:w="30" w:type="dxa"/>
              <w:left w:w="0" w:type="dxa"/>
              <w:bottom w:w="30" w:type="dxa"/>
              <w:right w:w="20" w:type="dxa"/>
            </w:tcMar>
            <w:vAlign w:val="center"/>
            <w:hideMark/>
          </w:tcPr>
          <w:p w14:paraId="33DFB1DF" w14:textId="77777777" w:rsidR="00000000" w:rsidRDefault="00405D16">
            <w:pPr>
              <w:spacing w:after="100"/>
              <w:jc w:val="right"/>
              <w:rPr>
                <w:rFonts w:eastAsia="Times New Roman"/>
              </w:rPr>
            </w:pPr>
            <w:r>
              <w:rPr>
                <w:rFonts w:eastAsia="Times New Roman"/>
                <w:color w:val="000000"/>
                <w:sz w:val="18"/>
                <w:szCs w:val="18"/>
              </w:rPr>
              <w:t>bps</w:t>
            </w:r>
          </w:p>
        </w:tc>
        <w:tc>
          <w:tcPr>
            <w:tcW w:w="0" w:type="auto"/>
            <w:gridSpan w:val="3"/>
            <w:vAlign w:val="center"/>
            <w:hideMark/>
          </w:tcPr>
          <w:p w14:paraId="27B777A1" w14:textId="77777777" w:rsidR="00000000" w:rsidRDefault="00405D16">
            <w:pPr>
              <w:spacing w:after="100"/>
              <w:jc w:val="right"/>
              <w:rPr>
                <w:rFonts w:eastAsia="Times New Roman"/>
              </w:rPr>
            </w:pPr>
          </w:p>
        </w:tc>
        <w:tc>
          <w:tcPr>
            <w:tcW w:w="0" w:type="auto"/>
            <w:gridSpan w:val="2"/>
            <w:vAlign w:val="center"/>
            <w:hideMark/>
          </w:tcPr>
          <w:p w14:paraId="44751722" w14:textId="77777777" w:rsidR="00000000" w:rsidRDefault="00405D16">
            <w:pPr>
              <w:spacing w:after="100"/>
              <w:rPr>
                <w:rFonts w:eastAsia="Times New Roman"/>
                <w:sz w:val="20"/>
                <w:szCs w:val="20"/>
              </w:rPr>
            </w:pPr>
          </w:p>
        </w:tc>
      </w:tr>
      <w:tr w:rsidR="00000000" w14:paraId="645B503A" w14:textId="77777777">
        <w:trPr>
          <w:divId w:val="2103602330"/>
        </w:trPr>
        <w:tc>
          <w:tcPr>
            <w:tcW w:w="0" w:type="auto"/>
            <w:gridSpan w:val="3"/>
            <w:shd w:val="clear" w:color="auto" w:fill="CCEEFF"/>
            <w:tcMar>
              <w:top w:w="30" w:type="dxa"/>
              <w:left w:w="20" w:type="dxa"/>
              <w:bottom w:w="30" w:type="dxa"/>
              <w:right w:w="20" w:type="dxa"/>
            </w:tcMar>
            <w:vAlign w:val="center"/>
            <w:hideMark/>
          </w:tcPr>
          <w:p w14:paraId="730DBDE3" w14:textId="77777777" w:rsidR="00000000" w:rsidRDefault="00405D16">
            <w:pPr>
              <w:spacing w:after="100"/>
              <w:rPr>
                <w:rFonts w:eastAsia="Times New Roman"/>
              </w:rPr>
            </w:pPr>
            <w:r>
              <w:rPr>
                <w:rFonts w:eastAsia="Times New Roman"/>
                <w:color w:val="000000"/>
                <w:sz w:val="18"/>
                <w:szCs w:val="18"/>
              </w:rPr>
              <w:t>Non-interest expense as a percentage of average loans held for investment</w:t>
            </w:r>
          </w:p>
        </w:tc>
        <w:tc>
          <w:tcPr>
            <w:tcW w:w="0" w:type="auto"/>
            <w:gridSpan w:val="3"/>
            <w:shd w:val="clear" w:color="auto" w:fill="CCEEFF"/>
            <w:tcMar>
              <w:top w:w="0" w:type="dxa"/>
              <w:left w:w="20" w:type="dxa"/>
              <w:bottom w:w="0" w:type="dxa"/>
              <w:right w:w="20" w:type="dxa"/>
            </w:tcMar>
            <w:vAlign w:val="center"/>
            <w:hideMark/>
          </w:tcPr>
          <w:p w14:paraId="713AA486"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1C69AA5" w14:textId="77777777" w:rsidR="00000000" w:rsidRDefault="00405D16">
            <w:pPr>
              <w:spacing w:after="100"/>
              <w:jc w:val="right"/>
              <w:rPr>
                <w:rFonts w:eastAsia="Times New Roman"/>
              </w:rPr>
            </w:pPr>
            <w:r>
              <w:rPr>
                <w:rFonts w:eastAsia="Times New Roman"/>
                <w:b/>
                <w:bCs/>
                <w:color w:val="000000"/>
                <w:sz w:val="18"/>
                <w:szCs w:val="18"/>
              </w:rPr>
              <w:t>6.62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B27906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DC490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EADB54" w14:textId="77777777" w:rsidR="00000000" w:rsidRDefault="00405D16">
            <w:pPr>
              <w:spacing w:after="100"/>
              <w:jc w:val="right"/>
              <w:rPr>
                <w:rFonts w:eastAsia="Times New Roman"/>
              </w:rPr>
            </w:pPr>
            <w:r>
              <w:rPr>
                <w:rFonts w:eastAsia="Times New Roman"/>
                <w:color w:val="000000"/>
                <w:sz w:val="18"/>
                <w:szCs w:val="18"/>
              </w:rPr>
              <w:t>5.69 </w:t>
            </w:r>
          </w:p>
        </w:tc>
        <w:tc>
          <w:tcPr>
            <w:tcW w:w="0" w:type="auto"/>
            <w:shd w:val="clear" w:color="auto" w:fill="CCEEFF"/>
            <w:tcMar>
              <w:top w:w="30" w:type="dxa"/>
              <w:left w:w="0" w:type="dxa"/>
              <w:bottom w:w="30" w:type="dxa"/>
              <w:right w:w="20" w:type="dxa"/>
            </w:tcMar>
            <w:vAlign w:val="bottom"/>
            <w:hideMark/>
          </w:tcPr>
          <w:p w14:paraId="34ECDF1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362F7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C7F372" w14:textId="77777777" w:rsidR="00000000" w:rsidRDefault="00405D16">
            <w:pPr>
              <w:spacing w:after="100"/>
              <w:jc w:val="right"/>
              <w:rPr>
                <w:rFonts w:eastAsia="Times New Roman"/>
              </w:rPr>
            </w:pPr>
            <w:r>
              <w:rPr>
                <w:rFonts w:eastAsia="Times New Roman"/>
                <w:color w:val="000000"/>
                <w:sz w:val="18"/>
                <w:szCs w:val="18"/>
              </w:rPr>
              <w:t>93 </w:t>
            </w:r>
          </w:p>
        </w:tc>
        <w:tc>
          <w:tcPr>
            <w:tcW w:w="0" w:type="auto"/>
            <w:shd w:val="clear" w:color="auto" w:fill="CCEEFF"/>
            <w:tcMar>
              <w:top w:w="30" w:type="dxa"/>
              <w:left w:w="0" w:type="dxa"/>
              <w:bottom w:w="30" w:type="dxa"/>
              <w:right w:w="20" w:type="dxa"/>
            </w:tcMar>
            <w:vAlign w:val="bottom"/>
            <w:hideMark/>
          </w:tcPr>
          <w:p w14:paraId="34D3492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A98CC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8A3F3B" w14:textId="77777777" w:rsidR="00000000" w:rsidRDefault="00405D16">
            <w:pPr>
              <w:spacing w:after="100"/>
              <w:jc w:val="right"/>
              <w:rPr>
                <w:rFonts w:eastAsia="Times New Roman"/>
              </w:rPr>
            </w:pPr>
            <w:r>
              <w:rPr>
                <w:rFonts w:eastAsia="Times New Roman"/>
                <w:b/>
                <w:bCs/>
                <w:color w:val="000000"/>
                <w:sz w:val="18"/>
                <w:szCs w:val="18"/>
              </w:rPr>
              <w:t>6.40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1A86FD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D811F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359EFA" w14:textId="77777777" w:rsidR="00000000" w:rsidRDefault="00405D16">
            <w:pPr>
              <w:spacing w:after="100"/>
              <w:jc w:val="right"/>
              <w:rPr>
                <w:rFonts w:eastAsia="Times New Roman"/>
              </w:rPr>
            </w:pPr>
            <w:r>
              <w:rPr>
                <w:rFonts w:eastAsia="Times New Roman"/>
                <w:color w:val="000000"/>
                <w:sz w:val="18"/>
                <w:szCs w:val="18"/>
              </w:rPr>
              <w:t>5.77 </w:t>
            </w:r>
          </w:p>
        </w:tc>
        <w:tc>
          <w:tcPr>
            <w:tcW w:w="0" w:type="auto"/>
            <w:shd w:val="clear" w:color="auto" w:fill="CCEEFF"/>
            <w:tcMar>
              <w:top w:w="30" w:type="dxa"/>
              <w:left w:w="0" w:type="dxa"/>
              <w:bottom w:w="30" w:type="dxa"/>
              <w:right w:w="20" w:type="dxa"/>
            </w:tcMar>
            <w:vAlign w:val="bottom"/>
            <w:hideMark/>
          </w:tcPr>
          <w:p w14:paraId="5D208E6C" w14:textId="77777777" w:rsidR="00000000" w:rsidRDefault="00405D16">
            <w:pPr>
              <w:spacing w:after="100"/>
              <w:jc w:val="right"/>
              <w:rPr>
                <w:rFonts w:eastAsia="Times New Roman"/>
              </w:rPr>
            </w:pPr>
          </w:p>
        </w:tc>
        <w:tc>
          <w:tcPr>
            <w:tcW w:w="0" w:type="auto"/>
            <w:vAlign w:val="center"/>
            <w:hideMark/>
          </w:tcPr>
          <w:p w14:paraId="4504A884" w14:textId="77777777" w:rsidR="00000000" w:rsidRDefault="00405D16">
            <w:pPr>
              <w:spacing w:after="100"/>
              <w:jc w:val="right"/>
              <w:rPr>
                <w:rFonts w:eastAsia="Times New Roman"/>
                <w:sz w:val="20"/>
                <w:szCs w:val="20"/>
              </w:rPr>
            </w:pPr>
          </w:p>
        </w:tc>
        <w:tc>
          <w:tcPr>
            <w:tcW w:w="0" w:type="auto"/>
            <w:vAlign w:val="center"/>
            <w:hideMark/>
          </w:tcPr>
          <w:p w14:paraId="5EC19D47" w14:textId="77777777" w:rsidR="00000000" w:rsidRDefault="00405D16">
            <w:pPr>
              <w:spacing w:after="100"/>
              <w:rPr>
                <w:rFonts w:eastAsia="Times New Roman"/>
                <w:sz w:val="20"/>
                <w:szCs w:val="20"/>
              </w:rPr>
            </w:pPr>
          </w:p>
        </w:tc>
        <w:tc>
          <w:tcPr>
            <w:tcW w:w="0" w:type="auto"/>
            <w:gridSpan w:val="3"/>
            <w:vAlign w:val="center"/>
            <w:hideMark/>
          </w:tcPr>
          <w:p w14:paraId="44BB9804" w14:textId="77777777" w:rsidR="00000000" w:rsidRDefault="00405D16">
            <w:pPr>
              <w:spacing w:after="100"/>
              <w:rPr>
                <w:rFonts w:eastAsia="Times New Roman"/>
                <w:sz w:val="20"/>
                <w:szCs w:val="20"/>
              </w:rPr>
            </w:pPr>
          </w:p>
        </w:tc>
        <w:tc>
          <w:tcPr>
            <w:tcW w:w="0" w:type="auto"/>
            <w:gridSpan w:val="3"/>
            <w:vAlign w:val="center"/>
            <w:hideMark/>
          </w:tcPr>
          <w:p w14:paraId="6BC3A884" w14:textId="77777777" w:rsidR="00000000" w:rsidRDefault="00405D16">
            <w:pPr>
              <w:spacing w:after="100"/>
              <w:rPr>
                <w:rFonts w:eastAsia="Times New Roman"/>
                <w:sz w:val="20"/>
                <w:szCs w:val="20"/>
              </w:rPr>
            </w:pPr>
          </w:p>
        </w:tc>
        <w:tc>
          <w:tcPr>
            <w:tcW w:w="0" w:type="auto"/>
            <w:gridSpan w:val="3"/>
            <w:vAlign w:val="center"/>
            <w:hideMark/>
          </w:tcPr>
          <w:p w14:paraId="4C24D2B4" w14:textId="77777777" w:rsidR="00000000" w:rsidRDefault="00405D16">
            <w:pPr>
              <w:spacing w:after="100"/>
              <w:rPr>
                <w:rFonts w:eastAsia="Times New Roman"/>
                <w:sz w:val="20"/>
                <w:szCs w:val="20"/>
              </w:rPr>
            </w:pPr>
          </w:p>
        </w:tc>
        <w:tc>
          <w:tcPr>
            <w:tcW w:w="0" w:type="auto"/>
            <w:gridSpan w:val="3"/>
            <w:vAlign w:val="center"/>
            <w:hideMark/>
          </w:tcPr>
          <w:p w14:paraId="3BB41BE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9E7470"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E59D2A" w14:textId="77777777" w:rsidR="00000000" w:rsidRDefault="00405D16">
            <w:pPr>
              <w:spacing w:after="100"/>
              <w:jc w:val="right"/>
              <w:rPr>
                <w:rFonts w:eastAsia="Times New Roman"/>
              </w:rPr>
            </w:pPr>
            <w:r>
              <w:rPr>
                <w:rFonts w:eastAsia="Times New Roman"/>
                <w:color w:val="000000"/>
                <w:sz w:val="18"/>
                <w:szCs w:val="18"/>
              </w:rPr>
              <w:t>63 </w:t>
            </w:r>
          </w:p>
        </w:tc>
        <w:tc>
          <w:tcPr>
            <w:tcW w:w="0" w:type="auto"/>
            <w:shd w:val="clear" w:color="auto" w:fill="CCEEFF"/>
            <w:tcMar>
              <w:top w:w="30" w:type="dxa"/>
              <w:left w:w="0" w:type="dxa"/>
              <w:bottom w:w="30" w:type="dxa"/>
              <w:right w:w="20" w:type="dxa"/>
            </w:tcMar>
            <w:vAlign w:val="bottom"/>
            <w:hideMark/>
          </w:tcPr>
          <w:p w14:paraId="57CB421A" w14:textId="77777777" w:rsidR="00000000" w:rsidRDefault="00405D16">
            <w:pPr>
              <w:spacing w:after="100"/>
              <w:jc w:val="right"/>
              <w:rPr>
                <w:rFonts w:eastAsia="Times New Roman"/>
              </w:rPr>
            </w:pPr>
          </w:p>
        </w:tc>
        <w:tc>
          <w:tcPr>
            <w:tcW w:w="0" w:type="auto"/>
            <w:gridSpan w:val="3"/>
            <w:vAlign w:val="center"/>
            <w:hideMark/>
          </w:tcPr>
          <w:p w14:paraId="2BB3C43A" w14:textId="77777777" w:rsidR="00000000" w:rsidRDefault="00405D16">
            <w:pPr>
              <w:spacing w:after="100"/>
              <w:jc w:val="right"/>
              <w:rPr>
                <w:rFonts w:eastAsia="Times New Roman"/>
                <w:sz w:val="20"/>
                <w:szCs w:val="20"/>
              </w:rPr>
            </w:pPr>
          </w:p>
        </w:tc>
        <w:tc>
          <w:tcPr>
            <w:tcW w:w="0" w:type="auto"/>
            <w:gridSpan w:val="2"/>
            <w:vAlign w:val="center"/>
            <w:hideMark/>
          </w:tcPr>
          <w:p w14:paraId="2A7BA450" w14:textId="77777777" w:rsidR="00000000" w:rsidRDefault="00405D16">
            <w:pPr>
              <w:spacing w:after="100"/>
              <w:rPr>
                <w:rFonts w:eastAsia="Times New Roman"/>
                <w:sz w:val="20"/>
                <w:szCs w:val="20"/>
              </w:rPr>
            </w:pPr>
          </w:p>
        </w:tc>
      </w:tr>
      <w:tr w:rsidR="00000000" w14:paraId="2D0ABB99" w14:textId="77777777">
        <w:trPr>
          <w:divId w:val="2103602330"/>
        </w:trPr>
        <w:tc>
          <w:tcPr>
            <w:tcW w:w="0" w:type="auto"/>
            <w:gridSpan w:val="3"/>
            <w:shd w:val="clear" w:color="auto" w:fill="FFFFFF"/>
            <w:tcMar>
              <w:top w:w="30" w:type="dxa"/>
              <w:left w:w="20" w:type="dxa"/>
              <w:bottom w:w="30" w:type="dxa"/>
              <w:right w:w="20" w:type="dxa"/>
            </w:tcMar>
            <w:vAlign w:val="center"/>
            <w:hideMark/>
          </w:tcPr>
          <w:p w14:paraId="1E219FA2" w14:textId="77777777" w:rsidR="00000000" w:rsidRDefault="00405D16">
            <w:pPr>
              <w:spacing w:after="100"/>
              <w:divId w:val="2017269397"/>
              <w:rPr>
                <w:rFonts w:eastAsia="Times New Roman"/>
              </w:rPr>
            </w:pPr>
            <w:r>
              <w:rPr>
                <w:rFonts w:eastAsia="Times New Roman"/>
                <w:color w:val="000000"/>
                <w:sz w:val="18"/>
                <w:szCs w:val="18"/>
              </w:rPr>
              <w:t>Efficiency rati</w:t>
            </w:r>
            <w:r>
              <w:rPr>
                <w:rFonts w:eastAsia="Times New Roman"/>
                <w:color w:val="000000"/>
                <w:sz w:val="18"/>
                <w:szCs w:val="18"/>
              </w:rPr>
              <w:t>o</w:t>
            </w:r>
            <w:r>
              <w:rPr>
                <w:rFonts w:eastAsia="Times New Roman"/>
                <w:color w:val="000000"/>
                <w:sz w:val="12"/>
                <w:szCs w:val="12"/>
              </w:rPr>
              <w:t>(8</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0AF5C62C"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1C041EE" w14:textId="77777777" w:rsidR="00000000" w:rsidRDefault="00405D16">
            <w:pPr>
              <w:spacing w:after="100"/>
              <w:jc w:val="right"/>
              <w:rPr>
                <w:rFonts w:eastAsia="Times New Roman"/>
              </w:rPr>
            </w:pPr>
            <w:r>
              <w:rPr>
                <w:rFonts w:eastAsia="Times New Roman"/>
                <w:b/>
                <w:bCs/>
                <w:color w:val="000000"/>
                <w:sz w:val="18"/>
                <w:szCs w:val="18"/>
              </w:rPr>
              <w:t>53.46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7AE06E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4C862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4C3F1D2" w14:textId="77777777" w:rsidR="00000000" w:rsidRDefault="00405D16">
            <w:pPr>
              <w:spacing w:after="100"/>
              <w:jc w:val="right"/>
              <w:rPr>
                <w:rFonts w:eastAsia="Times New Roman"/>
              </w:rPr>
            </w:pPr>
            <w:r>
              <w:rPr>
                <w:rFonts w:eastAsia="Times New Roman"/>
                <w:color w:val="000000"/>
                <w:sz w:val="18"/>
                <w:szCs w:val="18"/>
              </w:rPr>
              <w:t>48.07 </w:t>
            </w:r>
          </w:p>
        </w:tc>
        <w:tc>
          <w:tcPr>
            <w:tcW w:w="0" w:type="auto"/>
            <w:shd w:val="clear" w:color="auto" w:fill="FFFFFF"/>
            <w:tcMar>
              <w:top w:w="30" w:type="dxa"/>
              <w:left w:w="0" w:type="dxa"/>
              <w:bottom w:w="30" w:type="dxa"/>
              <w:right w:w="20" w:type="dxa"/>
            </w:tcMar>
            <w:vAlign w:val="center"/>
            <w:hideMark/>
          </w:tcPr>
          <w:p w14:paraId="5C20C2B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DB57A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CBF5639" w14:textId="77777777" w:rsidR="00000000" w:rsidRDefault="00405D16">
            <w:pPr>
              <w:spacing w:after="100"/>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14:paraId="635BA28B"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D77A688"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23C88CD" w14:textId="77777777" w:rsidR="00000000" w:rsidRDefault="00405D16">
            <w:pPr>
              <w:spacing w:after="100"/>
              <w:jc w:val="right"/>
              <w:rPr>
                <w:rFonts w:eastAsia="Times New Roman"/>
              </w:rPr>
            </w:pPr>
            <w:r>
              <w:rPr>
                <w:rFonts w:eastAsia="Times New Roman"/>
                <w:b/>
                <w:bCs/>
                <w:color w:val="000000"/>
                <w:sz w:val="18"/>
                <w:szCs w:val="18"/>
              </w:rPr>
              <w:t>53.29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758C85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0A56F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BB8579E" w14:textId="77777777" w:rsidR="00000000" w:rsidRDefault="00405D16">
            <w:pPr>
              <w:spacing w:after="100"/>
              <w:jc w:val="right"/>
              <w:rPr>
                <w:rFonts w:eastAsia="Times New Roman"/>
              </w:rPr>
            </w:pPr>
            <w:r>
              <w:rPr>
                <w:rFonts w:eastAsia="Times New Roman"/>
                <w:color w:val="000000"/>
                <w:sz w:val="18"/>
                <w:szCs w:val="18"/>
              </w:rPr>
              <w:t>52.14 </w:t>
            </w:r>
          </w:p>
        </w:tc>
        <w:tc>
          <w:tcPr>
            <w:tcW w:w="0" w:type="auto"/>
            <w:shd w:val="clear" w:color="auto" w:fill="FFFFFF"/>
            <w:tcMar>
              <w:top w:w="30" w:type="dxa"/>
              <w:left w:w="0" w:type="dxa"/>
              <w:bottom w:w="30" w:type="dxa"/>
              <w:right w:w="20" w:type="dxa"/>
            </w:tcMar>
            <w:vAlign w:val="center"/>
            <w:hideMark/>
          </w:tcPr>
          <w:p w14:paraId="5A062037" w14:textId="77777777" w:rsidR="00000000" w:rsidRDefault="00405D16">
            <w:pPr>
              <w:spacing w:after="100"/>
              <w:jc w:val="right"/>
              <w:rPr>
                <w:rFonts w:eastAsia="Times New Roman"/>
              </w:rPr>
            </w:pPr>
          </w:p>
        </w:tc>
        <w:tc>
          <w:tcPr>
            <w:tcW w:w="0" w:type="auto"/>
            <w:vAlign w:val="center"/>
            <w:hideMark/>
          </w:tcPr>
          <w:p w14:paraId="380EB353" w14:textId="77777777" w:rsidR="00000000" w:rsidRDefault="00405D16">
            <w:pPr>
              <w:spacing w:after="100"/>
              <w:jc w:val="right"/>
              <w:rPr>
                <w:rFonts w:eastAsia="Times New Roman"/>
                <w:sz w:val="20"/>
                <w:szCs w:val="20"/>
              </w:rPr>
            </w:pPr>
          </w:p>
        </w:tc>
        <w:tc>
          <w:tcPr>
            <w:tcW w:w="0" w:type="auto"/>
            <w:vAlign w:val="center"/>
            <w:hideMark/>
          </w:tcPr>
          <w:p w14:paraId="27024CB9" w14:textId="77777777" w:rsidR="00000000" w:rsidRDefault="00405D16">
            <w:pPr>
              <w:spacing w:after="100"/>
              <w:rPr>
                <w:rFonts w:eastAsia="Times New Roman"/>
                <w:sz w:val="20"/>
                <w:szCs w:val="20"/>
              </w:rPr>
            </w:pPr>
          </w:p>
        </w:tc>
        <w:tc>
          <w:tcPr>
            <w:tcW w:w="0" w:type="auto"/>
            <w:gridSpan w:val="3"/>
            <w:vAlign w:val="center"/>
            <w:hideMark/>
          </w:tcPr>
          <w:p w14:paraId="1E461952" w14:textId="77777777" w:rsidR="00000000" w:rsidRDefault="00405D16">
            <w:pPr>
              <w:spacing w:after="100"/>
              <w:rPr>
                <w:rFonts w:eastAsia="Times New Roman"/>
                <w:sz w:val="20"/>
                <w:szCs w:val="20"/>
              </w:rPr>
            </w:pPr>
          </w:p>
        </w:tc>
        <w:tc>
          <w:tcPr>
            <w:tcW w:w="0" w:type="auto"/>
            <w:gridSpan w:val="3"/>
            <w:vAlign w:val="center"/>
            <w:hideMark/>
          </w:tcPr>
          <w:p w14:paraId="0246168A" w14:textId="77777777" w:rsidR="00000000" w:rsidRDefault="00405D16">
            <w:pPr>
              <w:spacing w:after="100"/>
              <w:rPr>
                <w:rFonts w:eastAsia="Times New Roman"/>
                <w:sz w:val="20"/>
                <w:szCs w:val="20"/>
              </w:rPr>
            </w:pPr>
          </w:p>
        </w:tc>
        <w:tc>
          <w:tcPr>
            <w:tcW w:w="0" w:type="auto"/>
            <w:gridSpan w:val="3"/>
            <w:vAlign w:val="center"/>
            <w:hideMark/>
          </w:tcPr>
          <w:p w14:paraId="55DB6501" w14:textId="77777777" w:rsidR="00000000" w:rsidRDefault="00405D16">
            <w:pPr>
              <w:spacing w:after="100"/>
              <w:rPr>
                <w:rFonts w:eastAsia="Times New Roman"/>
                <w:sz w:val="20"/>
                <w:szCs w:val="20"/>
              </w:rPr>
            </w:pPr>
          </w:p>
        </w:tc>
        <w:tc>
          <w:tcPr>
            <w:tcW w:w="0" w:type="auto"/>
            <w:gridSpan w:val="3"/>
            <w:vAlign w:val="center"/>
            <w:hideMark/>
          </w:tcPr>
          <w:p w14:paraId="5CBEAC0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DAA97E"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A5008A" w14:textId="77777777" w:rsidR="00000000" w:rsidRDefault="00405D16">
            <w:pPr>
              <w:spacing w:after="100"/>
              <w:jc w:val="right"/>
              <w:rPr>
                <w:rFonts w:eastAsia="Times New Roman"/>
              </w:rPr>
            </w:pPr>
            <w:r>
              <w:rPr>
                <w:rFonts w:eastAsia="Times New Roman"/>
                <w:color w:val="000000"/>
                <w:sz w:val="18"/>
                <w:szCs w:val="18"/>
              </w:rPr>
              <w:t>115 </w:t>
            </w:r>
          </w:p>
        </w:tc>
        <w:tc>
          <w:tcPr>
            <w:tcW w:w="0" w:type="auto"/>
            <w:shd w:val="clear" w:color="auto" w:fill="FFFFFF"/>
            <w:tcMar>
              <w:top w:w="30" w:type="dxa"/>
              <w:left w:w="0" w:type="dxa"/>
              <w:bottom w:w="30" w:type="dxa"/>
              <w:right w:w="20" w:type="dxa"/>
            </w:tcMar>
            <w:vAlign w:val="bottom"/>
            <w:hideMark/>
          </w:tcPr>
          <w:p w14:paraId="7912B00E" w14:textId="77777777" w:rsidR="00000000" w:rsidRDefault="00405D16">
            <w:pPr>
              <w:spacing w:after="100"/>
              <w:jc w:val="right"/>
              <w:rPr>
                <w:rFonts w:eastAsia="Times New Roman"/>
              </w:rPr>
            </w:pPr>
          </w:p>
        </w:tc>
        <w:tc>
          <w:tcPr>
            <w:tcW w:w="0" w:type="auto"/>
            <w:gridSpan w:val="3"/>
            <w:vAlign w:val="center"/>
            <w:hideMark/>
          </w:tcPr>
          <w:p w14:paraId="5CF90817" w14:textId="77777777" w:rsidR="00000000" w:rsidRDefault="00405D16">
            <w:pPr>
              <w:spacing w:after="100"/>
              <w:jc w:val="right"/>
              <w:rPr>
                <w:rFonts w:eastAsia="Times New Roman"/>
                <w:sz w:val="20"/>
                <w:szCs w:val="20"/>
              </w:rPr>
            </w:pPr>
          </w:p>
        </w:tc>
        <w:tc>
          <w:tcPr>
            <w:tcW w:w="0" w:type="auto"/>
            <w:gridSpan w:val="2"/>
            <w:vAlign w:val="center"/>
            <w:hideMark/>
          </w:tcPr>
          <w:p w14:paraId="58B82FB3" w14:textId="77777777" w:rsidR="00000000" w:rsidRDefault="00405D16">
            <w:pPr>
              <w:spacing w:after="100"/>
              <w:rPr>
                <w:rFonts w:eastAsia="Times New Roman"/>
                <w:sz w:val="20"/>
                <w:szCs w:val="20"/>
              </w:rPr>
            </w:pPr>
          </w:p>
        </w:tc>
      </w:tr>
      <w:tr w:rsidR="00000000" w14:paraId="28B3496D" w14:textId="77777777">
        <w:trPr>
          <w:divId w:val="2103602330"/>
        </w:trPr>
        <w:tc>
          <w:tcPr>
            <w:tcW w:w="0" w:type="auto"/>
            <w:gridSpan w:val="3"/>
            <w:shd w:val="clear" w:color="auto" w:fill="CCEEFF"/>
            <w:tcMar>
              <w:top w:w="30" w:type="dxa"/>
              <w:left w:w="20" w:type="dxa"/>
              <w:bottom w:w="30" w:type="dxa"/>
              <w:right w:w="20" w:type="dxa"/>
            </w:tcMar>
            <w:vAlign w:val="center"/>
            <w:hideMark/>
          </w:tcPr>
          <w:p w14:paraId="0FCBA0B2" w14:textId="77777777" w:rsidR="00000000" w:rsidRDefault="00405D16">
            <w:pPr>
              <w:spacing w:after="100"/>
              <w:divId w:val="1718505218"/>
              <w:rPr>
                <w:rFonts w:eastAsia="Times New Roman"/>
              </w:rPr>
            </w:pPr>
            <w:r>
              <w:rPr>
                <w:rFonts w:eastAsia="Times New Roman"/>
                <w:color w:val="000000"/>
                <w:sz w:val="18"/>
                <w:szCs w:val="18"/>
              </w:rPr>
              <w:t>Operating efficiency rati</w:t>
            </w:r>
            <w:r>
              <w:rPr>
                <w:rFonts w:eastAsia="Times New Roman"/>
                <w:color w:val="000000"/>
                <w:sz w:val="18"/>
                <w:szCs w:val="18"/>
              </w:rPr>
              <w:t>o</w:t>
            </w:r>
            <w:r>
              <w:rPr>
                <w:rFonts w:eastAsia="Times New Roman"/>
                <w:color w:val="000000"/>
                <w:sz w:val="12"/>
                <w:szCs w:val="12"/>
              </w:rPr>
              <w:t>(9</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11E0846A"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D448F60" w14:textId="77777777" w:rsidR="00000000" w:rsidRDefault="00405D16">
            <w:pPr>
              <w:spacing w:after="100"/>
              <w:jc w:val="right"/>
              <w:rPr>
                <w:rFonts w:eastAsia="Times New Roman"/>
              </w:rPr>
            </w:pPr>
            <w:r>
              <w:rPr>
                <w:rFonts w:eastAsia="Times New Roman"/>
                <w:b/>
                <w:bCs/>
                <w:color w:val="000000"/>
                <w:sz w:val="18"/>
                <w:szCs w:val="18"/>
              </w:rPr>
              <w:t>43.87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A3D50E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55B80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C811BEF" w14:textId="77777777" w:rsidR="00000000" w:rsidRDefault="00405D16">
            <w:pPr>
              <w:spacing w:after="100"/>
              <w:jc w:val="right"/>
              <w:rPr>
                <w:rFonts w:eastAsia="Times New Roman"/>
              </w:rPr>
            </w:pPr>
            <w:r>
              <w:rPr>
                <w:rFonts w:eastAsia="Times New Roman"/>
                <w:color w:val="000000"/>
                <w:sz w:val="18"/>
                <w:szCs w:val="18"/>
              </w:rPr>
              <w:t>44.24 </w:t>
            </w:r>
          </w:p>
        </w:tc>
        <w:tc>
          <w:tcPr>
            <w:tcW w:w="0" w:type="auto"/>
            <w:shd w:val="clear" w:color="auto" w:fill="CCEEFF"/>
            <w:tcMar>
              <w:top w:w="30" w:type="dxa"/>
              <w:left w:w="0" w:type="dxa"/>
              <w:bottom w:w="30" w:type="dxa"/>
              <w:right w:w="20" w:type="dxa"/>
            </w:tcMar>
            <w:vAlign w:val="center"/>
            <w:hideMark/>
          </w:tcPr>
          <w:p w14:paraId="00199FA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0E9F0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5F70BA9" w14:textId="77777777" w:rsidR="00000000" w:rsidRDefault="00405D16">
            <w:pPr>
              <w:spacing w:after="100"/>
              <w:jc w:val="right"/>
              <w:rPr>
                <w:rFonts w:eastAsia="Times New Roman"/>
              </w:rPr>
            </w:pPr>
            <w:r>
              <w:rPr>
                <w:rFonts w:eastAsia="Times New Roman"/>
                <w:color w:val="000000"/>
                <w:sz w:val="18"/>
                <w:szCs w:val="18"/>
              </w:rPr>
              <w:t>(37)</w:t>
            </w:r>
          </w:p>
        </w:tc>
        <w:tc>
          <w:tcPr>
            <w:tcW w:w="0" w:type="auto"/>
            <w:shd w:val="clear" w:color="auto" w:fill="CCEEFF"/>
            <w:tcMar>
              <w:top w:w="30" w:type="dxa"/>
              <w:left w:w="0" w:type="dxa"/>
              <w:bottom w:w="30" w:type="dxa"/>
              <w:right w:w="20" w:type="dxa"/>
            </w:tcMar>
            <w:vAlign w:val="center"/>
            <w:hideMark/>
          </w:tcPr>
          <w:p w14:paraId="6187244A" w14:textId="77777777" w:rsidR="00000000" w:rsidRDefault="00405D16">
            <w:pPr>
              <w:spacing w:after="100"/>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14:paraId="1888192E"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83ABB93" w14:textId="77777777" w:rsidR="00000000" w:rsidRDefault="00405D16">
            <w:pPr>
              <w:spacing w:after="100"/>
              <w:jc w:val="right"/>
              <w:rPr>
                <w:rFonts w:eastAsia="Times New Roman"/>
              </w:rPr>
            </w:pPr>
            <w:r>
              <w:rPr>
                <w:rFonts w:eastAsia="Times New Roman"/>
                <w:b/>
                <w:bCs/>
                <w:color w:val="000000"/>
                <w:sz w:val="18"/>
                <w:szCs w:val="18"/>
              </w:rPr>
              <w:t>44.90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03AC34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62629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E6C4478" w14:textId="77777777" w:rsidR="00000000" w:rsidRDefault="00405D16">
            <w:pPr>
              <w:spacing w:after="100"/>
              <w:jc w:val="right"/>
              <w:rPr>
                <w:rFonts w:eastAsia="Times New Roman"/>
              </w:rPr>
            </w:pPr>
            <w:r>
              <w:rPr>
                <w:rFonts w:eastAsia="Times New Roman"/>
                <w:color w:val="000000"/>
                <w:sz w:val="18"/>
                <w:szCs w:val="18"/>
              </w:rPr>
              <w:t>47.20 </w:t>
            </w:r>
          </w:p>
        </w:tc>
        <w:tc>
          <w:tcPr>
            <w:tcW w:w="0" w:type="auto"/>
            <w:shd w:val="clear" w:color="auto" w:fill="CCEEFF"/>
            <w:tcMar>
              <w:top w:w="30" w:type="dxa"/>
              <w:left w:w="0" w:type="dxa"/>
              <w:bottom w:w="30" w:type="dxa"/>
              <w:right w:w="20" w:type="dxa"/>
            </w:tcMar>
            <w:vAlign w:val="center"/>
            <w:hideMark/>
          </w:tcPr>
          <w:p w14:paraId="5A8B89BB" w14:textId="77777777" w:rsidR="00000000" w:rsidRDefault="00405D16">
            <w:pPr>
              <w:spacing w:after="100"/>
              <w:jc w:val="right"/>
              <w:rPr>
                <w:rFonts w:eastAsia="Times New Roman"/>
              </w:rPr>
            </w:pPr>
          </w:p>
        </w:tc>
        <w:tc>
          <w:tcPr>
            <w:tcW w:w="0" w:type="auto"/>
            <w:vAlign w:val="center"/>
            <w:hideMark/>
          </w:tcPr>
          <w:p w14:paraId="362FB87B" w14:textId="77777777" w:rsidR="00000000" w:rsidRDefault="00405D16">
            <w:pPr>
              <w:spacing w:after="100"/>
              <w:jc w:val="right"/>
              <w:rPr>
                <w:rFonts w:eastAsia="Times New Roman"/>
                <w:sz w:val="20"/>
                <w:szCs w:val="20"/>
              </w:rPr>
            </w:pPr>
          </w:p>
        </w:tc>
        <w:tc>
          <w:tcPr>
            <w:tcW w:w="0" w:type="auto"/>
            <w:vAlign w:val="center"/>
            <w:hideMark/>
          </w:tcPr>
          <w:p w14:paraId="5FC50F96" w14:textId="77777777" w:rsidR="00000000" w:rsidRDefault="00405D16">
            <w:pPr>
              <w:spacing w:after="100"/>
              <w:rPr>
                <w:rFonts w:eastAsia="Times New Roman"/>
                <w:sz w:val="20"/>
                <w:szCs w:val="20"/>
              </w:rPr>
            </w:pPr>
          </w:p>
        </w:tc>
        <w:tc>
          <w:tcPr>
            <w:tcW w:w="0" w:type="auto"/>
            <w:gridSpan w:val="3"/>
            <w:vAlign w:val="center"/>
            <w:hideMark/>
          </w:tcPr>
          <w:p w14:paraId="25F3E395" w14:textId="77777777" w:rsidR="00000000" w:rsidRDefault="00405D16">
            <w:pPr>
              <w:spacing w:after="100"/>
              <w:rPr>
                <w:rFonts w:eastAsia="Times New Roman"/>
                <w:sz w:val="20"/>
                <w:szCs w:val="20"/>
              </w:rPr>
            </w:pPr>
          </w:p>
        </w:tc>
        <w:tc>
          <w:tcPr>
            <w:tcW w:w="0" w:type="auto"/>
            <w:gridSpan w:val="3"/>
            <w:vAlign w:val="center"/>
            <w:hideMark/>
          </w:tcPr>
          <w:p w14:paraId="186E88CC" w14:textId="77777777" w:rsidR="00000000" w:rsidRDefault="00405D16">
            <w:pPr>
              <w:spacing w:after="100"/>
              <w:rPr>
                <w:rFonts w:eastAsia="Times New Roman"/>
                <w:sz w:val="20"/>
                <w:szCs w:val="20"/>
              </w:rPr>
            </w:pPr>
          </w:p>
        </w:tc>
        <w:tc>
          <w:tcPr>
            <w:tcW w:w="0" w:type="auto"/>
            <w:gridSpan w:val="3"/>
            <w:vAlign w:val="center"/>
            <w:hideMark/>
          </w:tcPr>
          <w:p w14:paraId="6382C064" w14:textId="77777777" w:rsidR="00000000" w:rsidRDefault="00405D16">
            <w:pPr>
              <w:spacing w:after="100"/>
              <w:rPr>
                <w:rFonts w:eastAsia="Times New Roman"/>
                <w:sz w:val="20"/>
                <w:szCs w:val="20"/>
              </w:rPr>
            </w:pPr>
          </w:p>
        </w:tc>
        <w:tc>
          <w:tcPr>
            <w:tcW w:w="0" w:type="auto"/>
            <w:gridSpan w:val="3"/>
            <w:vAlign w:val="center"/>
            <w:hideMark/>
          </w:tcPr>
          <w:p w14:paraId="2A1BA4B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8A6835"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5CC726D" w14:textId="77777777" w:rsidR="00000000" w:rsidRDefault="00405D16">
            <w:pPr>
              <w:spacing w:after="100"/>
              <w:jc w:val="right"/>
              <w:rPr>
                <w:rFonts w:eastAsia="Times New Roman"/>
              </w:rPr>
            </w:pPr>
            <w:r>
              <w:rPr>
                <w:rFonts w:eastAsia="Times New Roman"/>
                <w:color w:val="000000"/>
                <w:sz w:val="18"/>
                <w:szCs w:val="18"/>
              </w:rPr>
              <w:t>(230)</w:t>
            </w:r>
          </w:p>
        </w:tc>
        <w:tc>
          <w:tcPr>
            <w:tcW w:w="0" w:type="auto"/>
            <w:shd w:val="clear" w:color="auto" w:fill="CCEEFF"/>
            <w:tcMar>
              <w:top w:w="30" w:type="dxa"/>
              <w:left w:w="0" w:type="dxa"/>
              <w:bottom w:w="30" w:type="dxa"/>
              <w:right w:w="20" w:type="dxa"/>
            </w:tcMar>
            <w:vAlign w:val="center"/>
            <w:hideMark/>
          </w:tcPr>
          <w:p w14:paraId="7F4E89C6" w14:textId="77777777" w:rsidR="00000000" w:rsidRDefault="00405D16">
            <w:pPr>
              <w:spacing w:after="100"/>
              <w:jc w:val="right"/>
              <w:rPr>
                <w:rFonts w:eastAsia="Times New Roman"/>
              </w:rPr>
            </w:pPr>
          </w:p>
        </w:tc>
        <w:tc>
          <w:tcPr>
            <w:tcW w:w="0" w:type="auto"/>
            <w:gridSpan w:val="3"/>
            <w:vAlign w:val="center"/>
            <w:hideMark/>
          </w:tcPr>
          <w:p w14:paraId="030875DB" w14:textId="77777777" w:rsidR="00000000" w:rsidRDefault="00405D16">
            <w:pPr>
              <w:spacing w:after="100"/>
              <w:jc w:val="right"/>
              <w:rPr>
                <w:rFonts w:eastAsia="Times New Roman"/>
                <w:sz w:val="20"/>
                <w:szCs w:val="20"/>
              </w:rPr>
            </w:pPr>
          </w:p>
        </w:tc>
        <w:tc>
          <w:tcPr>
            <w:tcW w:w="0" w:type="auto"/>
            <w:gridSpan w:val="2"/>
            <w:vAlign w:val="center"/>
            <w:hideMark/>
          </w:tcPr>
          <w:p w14:paraId="769E0F06" w14:textId="77777777" w:rsidR="00000000" w:rsidRDefault="00405D16">
            <w:pPr>
              <w:spacing w:after="100"/>
              <w:rPr>
                <w:rFonts w:eastAsia="Times New Roman"/>
                <w:sz w:val="20"/>
                <w:szCs w:val="20"/>
              </w:rPr>
            </w:pPr>
          </w:p>
        </w:tc>
      </w:tr>
      <w:tr w:rsidR="00000000" w14:paraId="3BEACFAA" w14:textId="77777777">
        <w:trPr>
          <w:divId w:val="2103602330"/>
        </w:trPr>
        <w:tc>
          <w:tcPr>
            <w:tcW w:w="0" w:type="auto"/>
            <w:gridSpan w:val="3"/>
            <w:shd w:val="clear" w:color="auto" w:fill="FFFFFF"/>
            <w:tcMar>
              <w:top w:w="30" w:type="dxa"/>
              <w:left w:w="20" w:type="dxa"/>
              <w:bottom w:w="30" w:type="dxa"/>
              <w:right w:w="20" w:type="dxa"/>
            </w:tcMar>
            <w:vAlign w:val="center"/>
            <w:hideMark/>
          </w:tcPr>
          <w:p w14:paraId="0114A8E7" w14:textId="77777777" w:rsidR="00000000" w:rsidRDefault="00405D16">
            <w:pPr>
              <w:spacing w:after="100"/>
              <w:rPr>
                <w:rFonts w:eastAsia="Times New Roman"/>
              </w:rPr>
            </w:pPr>
            <w:r>
              <w:rPr>
                <w:rFonts w:eastAsia="Times New Roman"/>
                <w:color w:val="000000"/>
                <w:sz w:val="18"/>
                <w:szCs w:val="18"/>
              </w:rPr>
              <w:t>Effective income tax rate from continuing operations</w:t>
            </w:r>
          </w:p>
        </w:tc>
        <w:tc>
          <w:tcPr>
            <w:tcW w:w="0" w:type="auto"/>
            <w:gridSpan w:val="3"/>
            <w:shd w:val="clear" w:color="auto" w:fill="FFFFFF"/>
            <w:tcMar>
              <w:top w:w="0" w:type="dxa"/>
              <w:left w:w="20" w:type="dxa"/>
              <w:bottom w:w="0" w:type="dxa"/>
              <w:right w:w="20" w:type="dxa"/>
            </w:tcMar>
            <w:vAlign w:val="center"/>
            <w:hideMark/>
          </w:tcPr>
          <w:p w14:paraId="10A05247"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18135A6" w14:textId="77777777" w:rsidR="00000000" w:rsidRDefault="00405D16">
            <w:pPr>
              <w:spacing w:after="100"/>
              <w:jc w:val="right"/>
              <w:rPr>
                <w:rFonts w:eastAsia="Times New Roman"/>
              </w:rPr>
            </w:pPr>
            <w:r>
              <w:rPr>
                <w:rFonts w:eastAsia="Times New Roman"/>
                <w:b/>
                <w:bCs/>
                <w:color w:val="000000"/>
                <w:sz w:val="18"/>
                <w:szCs w:val="18"/>
              </w:rPr>
              <w:t>22.1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4F40E1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CC5B8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7DEEF41" w14:textId="77777777" w:rsidR="00000000" w:rsidRDefault="00405D16">
            <w:pPr>
              <w:spacing w:after="100"/>
              <w:jc w:val="right"/>
              <w:rPr>
                <w:rFonts w:eastAsia="Times New Roman"/>
              </w:rPr>
            </w:pPr>
            <w:r>
              <w:rPr>
                <w:rFonts w:eastAsia="Times New Roman"/>
                <w:color w:val="000000"/>
                <w:sz w:val="18"/>
                <w:szCs w:val="18"/>
              </w:rPr>
              <w:t>31.3 </w:t>
            </w:r>
          </w:p>
        </w:tc>
        <w:tc>
          <w:tcPr>
            <w:tcW w:w="0" w:type="auto"/>
            <w:shd w:val="clear" w:color="auto" w:fill="FFFFFF"/>
            <w:tcMar>
              <w:top w:w="30" w:type="dxa"/>
              <w:left w:w="0" w:type="dxa"/>
              <w:bottom w:w="30" w:type="dxa"/>
              <w:right w:w="20" w:type="dxa"/>
            </w:tcMar>
            <w:vAlign w:val="center"/>
            <w:hideMark/>
          </w:tcPr>
          <w:p w14:paraId="7E8D5B7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FACFA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3FE0BF9" w14:textId="77777777" w:rsidR="00000000" w:rsidRDefault="00405D16">
            <w:pPr>
              <w:spacing w:after="100"/>
              <w:jc w:val="right"/>
              <w:rPr>
                <w:rFonts w:eastAsia="Times New Roman"/>
              </w:rPr>
            </w:pPr>
            <w:r>
              <w:rPr>
                <w:rFonts w:eastAsia="Times New Roman"/>
                <w:color w:val="000000"/>
                <w:sz w:val="18"/>
                <w:szCs w:val="18"/>
              </w:rPr>
              <w:t>(9)</w:t>
            </w:r>
          </w:p>
        </w:tc>
        <w:tc>
          <w:tcPr>
            <w:tcW w:w="0" w:type="auto"/>
            <w:shd w:val="clear" w:color="auto" w:fill="FFFFFF"/>
            <w:tcMar>
              <w:top w:w="30" w:type="dxa"/>
              <w:left w:w="0" w:type="dxa"/>
              <w:bottom w:w="30" w:type="dxa"/>
              <w:right w:w="20" w:type="dxa"/>
            </w:tcMar>
            <w:vAlign w:val="center"/>
            <w:hideMark/>
          </w:tcPr>
          <w:p w14:paraId="641E070D"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F017561"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6010D84" w14:textId="77777777" w:rsidR="00000000" w:rsidRDefault="00405D16">
            <w:pPr>
              <w:spacing w:after="100"/>
              <w:jc w:val="right"/>
              <w:rPr>
                <w:rFonts w:eastAsia="Times New Roman"/>
              </w:rPr>
            </w:pPr>
            <w:r>
              <w:rPr>
                <w:rFonts w:eastAsia="Times New Roman"/>
                <w:b/>
                <w:bCs/>
                <w:color w:val="000000"/>
                <w:sz w:val="18"/>
                <w:szCs w:val="18"/>
              </w:rPr>
              <w:t>21.8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1703D6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F1221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B6901F" w14:textId="77777777" w:rsidR="00000000" w:rsidRDefault="00405D16">
            <w:pPr>
              <w:spacing w:after="100"/>
              <w:jc w:val="right"/>
              <w:rPr>
                <w:rFonts w:eastAsia="Times New Roman"/>
              </w:rPr>
            </w:pPr>
            <w:r>
              <w:rPr>
                <w:rFonts w:eastAsia="Times New Roman"/>
                <w:color w:val="000000"/>
                <w:sz w:val="18"/>
                <w:szCs w:val="18"/>
              </w:rPr>
              <w:t>(7.2)</w:t>
            </w:r>
          </w:p>
        </w:tc>
        <w:tc>
          <w:tcPr>
            <w:tcW w:w="0" w:type="auto"/>
            <w:shd w:val="clear" w:color="auto" w:fill="FFFFFF"/>
            <w:tcMar>
              <w:top w:w="30" w:type="dxa"/>
              <w:left w:w="0" w:type="dxa"/>
              <w:bottom w:w="30" w:type="dxa"/>
              <w:right w:w="20" w:type="dxa"/>
            </w:tcMar>
            <w:vAlign w:val="bottom"/>
            <w:hideMark/>
          </w:tcPr>
          <w:p w14:paraId="40C3CA15" w14:textId="77777777" w:rsidR="00000000" w:rsidRDefault="00405D16">
            <w:pPr>
              <w:spacing w:after="100"/>
              <w:jc w:val="right"/>
              <w:rPr>
                <w:rFonts w:eastAsia="Times New Roman"/>
              </w:rPr>
            </w:pPr>
          </w:p>
        </w:tc>
        <w:tc>
          <w:tcPr>
            <w:tcW w:w="0" w:type="auto"/>
            <w:vAlign w:val="center"/>
            <w:hideMark/>
          </w:tcPr>
          <w:p w14:paraId="322C52C8" w14:textId="77777777" w:rsidR="00000000" w:rsidRDefault="00405D16">
            <w:pPr>
              <w:spacing w:after="100"/>
              <w:jc w:val="right"/>
              <w:rPr>
                <w:rFonts w:eastAsia="Times New Roman"/>
                <w:sz w:val="20"/>
                <w:szCs w:val="20"/>
              </w:rPr>
            </w:pPr>
          </w:p>
        </w:tc>
        <w:tc>
          <w:tcPr>
            <w:tcW w:w="0" w:type="auto"/>
            <w:vAlign w:val="center"/>
            <w:hideMark/>
          </w:tcPr>
          <w:p w14:paraId="6970A39C" w14:textId="77777777" w:rsidR="00000000" w:rsidRDefault="00405D16">
            <w:pPr>
              <w:spacing w:after="100"/>
              <w:rPr>
                <w:rFonts w:eastAsia="Times New Roman"/>
                <w:sz w:val="20"/>
                <w:szCs w:val="20"/>
              </w:rPr>
            </w:pPr>
          </w:p>
        </w:tc>
        <w:tc>
          <w:tcPr>
            <w:tcW w:w="0" w:type="auto"/>
            <w:gridSpan w:val="3"/>
            <w:vAlign w:val="center"/>
            <w:hideMark/>
          </w:tcPr>
          <w:p w14:paraId="21419986" w14:textId="77777777" w:rsidR="00000000" w:rsidRDefault="00405D16">
            <w:pPr>
              <w:spacing w:after="100"/>
              <w:rPr>
                <w:rFonts w:eastAsia="Times New Roman"/>
                <w:sz w:val="20"/>
                <w:szCs w:val="20"/>
              </w:rPr>
            </w:pPr>
          </w:p>
        </w:tc>
        <w:tc>
          <w:tcPr>
            <w:tcW w:w="0" w:type="auto"/>
            <w:gridSpan w:val="3"/>
            <w:vAlign w:val="center"/>
            <w:hideMark/>
          </w:tcPr>
          <w:p w14:paraId="6CAB7B33" w14:textId="77777777" w:rsidR="00000000" w:rsidRDefault="00405D16">
            <w:pPr>
              <w:spacing w:after="100"/>
              <w:rPr>
                <w:rFonts w:eastAsia="Times New Roman"/>
                <w:sz w:val="20"/>
                <w:szCs w:val="20"/>
              </w:rPr>
            </w:pPr>
          </w:p>
        </w:tc>
        <w:tc>
          <w:tcPr>
            <w:tcW w:w="0" w:type="auto"/>
            <w:gridSpan w:val="3"/>
            <w:vAlign w:val="center"/>
            <w:hideMark/>
          </w:tcPr>
          <w:p w14:paraId="09A24559" w14:textId="77777777" w:rsidR="00000000" w:rsidRDefault="00405D16">
            <w:pPr>
              <w:spacing w:after="100"/>
              <w:rPr>
                <w:rFonts w:eastAsia="Times New Roman"/>
                <w:sz w:val="20"/>
                <w:szCs w:val="20"/>
              </w:rPr>
            </w:pPr>
          </w:p>
        </w:tc>
        <w:tc>
          <w:tcPr>
            <w:tcW w:w="0" w:type="auto"/>
            <w:gridSpan w:val="3"/>
            <w:vAlign w:val="center"/>
            <w:hideMark/>
          </w:tcPr>
          <w:p w14:paraId="314B178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D1CE90"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3EE3937" w14:textId="77777777" w:rsidR="00000000" w:rsidRDefault="00405D16">
            <w:pPr>
              <w:spacing w:after="100"/>
              <w:jc w:val="right"/>
              <w:rPr>
                <w:rFonts w:eastAsia="Times New Roman"/>
              </w:rPr>
            </w:pPr>
            <w:r>
              <w:rPr>
                <w:rFonts w:eastAsia="Times New Roman"/>
                <w:color w:val="000000"/>
                <w:sz w:val="18"/>
                <w:szCs w:val="18"/>
              </w:rPr>
              <w:t>29 </w:t>
            </w:r>
          </w:p>
        </w:tc>
        <w:tc>
          <w:tcPr>
            <w:tcW w:w="0" w:type="auto"/>
            <w:shd w:val="clear" w:color="auto" w:fill="FFFFFF"/>
            <w:tcMar>
              <w:top w:w="30" w:type="dxa"/>
              <w:left w:w="0" w:type="dxa"/>
              <w:bottom w:w="30" w:type="dxa"/>
              <w:right w:w="20" w:type="dxa"/>
            </w:tcMar>
            <w:vAlign w:val="center"/>
            <w:hideMark/>
          </w:tcPr>
          <w:p w14:paraId="3515B0B9"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1C297676" w14:textId="77777777" w:rsidR="00000000" w:rsidRDefault="00405D16">
            <w:pPr>
              <w:spacing w:after="100"/>
              <w:jc w:val="right"/>
              <w:rPr>
                <w:rFonts w:eastAsia="Times New Roman"/>
              </w:rPr>
            </w:pPr>
          </w:p>
        </w:tc>
        <w:tc>
          <w:tcPr>
            <w:tcW w:w="0" w:type="auto"/>
            <w:gridSpan w:val="2"/>
            <w:vAlign w:val="center"/>
            <w:hideMark/>
          </w:tcPr>
          <w:p w14:paraId="7DB24AC1" w14:textId="77777777" w:rsidR="00000000" w:rsidRDefault="00405D16">
            <w:pPr>
              <w:spacing w:after="100"/>
              <w:rPr>
                <w:rFonts w:eastAsia="Times New Roman"/>
                <w:sz w:val="20"/>
                <w:szCs w:val="20"/>
              </w:rPr>
            </w:pPr>
          </w:p>
        </w:tc>
      </w:tr>
      <w:tr w:rsidR="00000000" w14:paraId="1C412CE7" w14:textId="77777777">
        <w:trPr>
          <w:divId w:val="2103602330"/>
        </w:trPr>
        <w:tc>
          <w:tcPr>
            <w:tcW w:w="0" w:type="auto"/>
            <w:gridSpan w:val="3"/>
            <w:shd w:val="clear" w:color="auto" w:fill="CCEEFF"/>
            <w:tcMar>
              <w:top w:w="30" w:type="dxa"/>
              <w:left w:w="20" w:type="dxa"/>
              <w:bottom w:w="30" w:type="dxa"/>
              <w:right w:w="20" w:type="dxa"/>
            </w:tcMar>
            <w:vAlign w:val="center"/>
            <w:hideMark/>
          </w:tcPr>
          <w:p w14:paraId="3A2D88D8" w14:textId="77777777" w:rsidR="00000000" w:rsidRDefault="00405D16">
            <w:pPr>
              <w:spacing w:after="100"/>
              <w:rPr>
                <w:rFonts w:eastAsia="Times New Roman"/>
              </w:rPr>
            </w:pPr>
            <w:r>
              <w:rPr>
                <w:rFonts w:eastAsia="Times New Roman"/>
                <w:color w:val="000000"/>
                <w:sz w:val="18"/>
                <w:szCs w:val="18"/>
              </w:rPr>
              <w:t>Net charge-offs</w:t>
            </w:r>
          </w:p>
        </w:tc>
        <w:tc>
          <w:tcPr>
            <w:tcW w:w="0" w:type="auto"/>
            <w:gridSpan w:val="3"/>
            <w:shd w:val="clear" w:color="auto" w:fill="CCEEFF"/>
            <w:tcMar>
              <w:top w:w="0" w:type="dxa"/>
              <w:left w:w="20" w:type="dxa"/>
              <w:bottom w:w="0" w:type="dxa"/>
              <w:right w:w="20" w:type="dxa"/>
            </w:tcMar>
            <w:vAlign w:val="center"/>
            <w:hideMark/>
          </w:tcPr>
          <w:p w14:paraId="7FE7A95F" w14:textId="77777777" w:rsidR="00000000" w:rsidRDefault="00405D16">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755998B8"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0944CAC0" w14:textId="77777777" w:rsidR="00000000" w:rsidRDefault="00405D16">
            <w:pPr>
              <w:spacing w:after="100"/>
              <w:jc w:val="right"/>
              <w:rPr>
                <w:rFonts w:eastAsia="Times New Roman"/>
              </w:rPr>
            </w:pPr>
            <w:r>
              <w:rPr>
                <w:rFonts w:eastAsia="Times New Roman"/>
                <w:b/>
                <w:bCs/>
                <w:color w:val="000000"/>
                <w:sz w:val="18"/>
                <w:szCs w:val="18"/>
              </w:rPr>
              <w:t>426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F22DDA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9D0D9A"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0F1FBBEB"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4F78DA39" w14:textId="77777777" w:rsidR="00000000" w:rsidRDefault="00405D16">
            <w:pPr>
              <w:spacing w:after="100"/>
              <w:jc w:val="right"/>
              <w:rPr>
                <w:rFonts w:eastAsia="Times New Roman"/>
              </w:rPr>
            </w:pPr>
            <w:r>
              <w:rPr>
                <w:rFonts w:eastAsia="Times New Roman"/>
                <w:color w:val="000000"/>
                <w:sz w:val="18"/>
                <w:szCs w:val="18"/>
              </w:rPr>
              <w:t>1,073 </w:t>
            </w:r>
          </w:p>
        </w:tc>
        <w:tc>
          <w:tcPr>
            <w:tcW w:w="0" w:type="auto"/>
            <w:shd w:val="clear" w:color="auto" w:fill="CCEEFF"/>
            <w:tcMar>
              <w:top w:w="30" w:type="dxa"/>
              <w:left w:w="0" w:type="dxa"/>
              <w:bottom w:w="30" w:type="dxa"/>
              <w:right w:w="20" w:type="dxa"/>
            </w:tcMar>
            <w:vAlign w:val="center"/>
            <w:hideMark/>
          </w:tcPr>
          <w:p w14:paraId="6A588AD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D3DEB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81395DB" w14:textId="77777777" w:rsidR="00000000" w:rsidRDefault="00405D16">
            <w:pPr>
              <w:spacing w:after="100"/>
              <w:jc w:val="right"/>
              <w:rPr>
                <w:rFonts w:eastAsia="Times New Roman"/>
              </w:rPr>
            </w:pPr>
            <w:r>
              <w:rPr>
                <w:rFonts w:eastAsia="Times New Roman"/>
                <w:color w:val="000000"/>
                <w:sz w:val="18"/>
                <w:szCs w:val="18"/>
              </w:rPr>
              <w:t>(60)</w:t>
            </w:r>
          </w:p>
        </w:tc>
        <w:tc>
          <w:tcPr>
            <w:tcW w:w="0" w:type="auto"/>
            <w:shd w:val="clear" w:color="auto" w:fill="CCEEFF"/>
            <w:tcMar>
              <w:top w:w="30" w:type="dxa"/>
              <w:left w:w="0" w:type="dxa"/>
              <w:bottom w:w="30" w:type="dxa"/>
              <w:right w:w="20" w:type="dxa"/>
            </w:tcMar>
            <w:vAlign w:val="center"/>
            <w:hideMark/>
          </w:tcPr>
          <w:p w14:paraId="4268ACB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B64D6E"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20C55F36"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4EE263D2" w14:textId="77777777" w:rsidR="00000000" w:rsidRDefault="00405D16">
            <w:pPr>
              <w:spacing w:after="100"/>
              <w:jc w:val="right"/>
              <w:rPr>
                <w:rFonts w:eastAsia="Times New Roman"/>
              </w:rPr>
            </w:pPr>
            <w:r>
              <w:rPr>
                <w:rFonts w:eastAsia="Times New Roman"/>
                <w:b/>
                <w:bCs/>
                <w:color w:val="000000"/>
                <w:sz w:val="18"/>
                <w:szCs w:val="18"/>
              </w:rPr>
              <w:t>1,707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E1C5AE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D78A04"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67D65CDE"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25B5B14E" w14:textId="77777777" w:rsidR="00000000" w:rsidRDefault="00405D16">
            <w:pPr>
              <w:spacing w:after="100"/>
              <w:jc w:val="right"/>
              <w:rPr>
                <w:rFonts w:eastAsia="Times New Roman"/>
              </w:rPr>
            </w:pPr>
            <w:r>
              <w:rPr>
                <w:rFonts w:eastAsia="Times New Roman"/>
                <w:color w:val="000000"/>
                <w:sz w:val="18"/>
                <w:szCs w:val="18"/>
              </w:rPr>
              <w:t>4,369 </w:t>
            </w:r>
          </w:p>
        </w:tc>
        <w:tc>
          <w:tcPr>
            <w:tcW w:w="0" w:type="auto"/>
            <w:shd w:val="clear" w:color="auto" w:fill="CCEEFF"/>
            <w:tcMar>
              <w:top w:w="30" w:type="dxa"/>
              <w:left w:w="0" w:type="dxa"/>
              <w:bottom w:w="30" w:type="dxa"/>
              <w:right w:w="20" w:type="dxa"/>
            </w:tcMar>
            <w:vAlign w:val="center"/>
            <w:hideMark/>
          </w:tcPr>
          <w:p w14:paraId="465FB78E" w14:textId="77777777" w:rsidR="00000000" w:rsidRDefault="00405D16">
            <w:pPr>
              <w:spacing w:after="100"/>
              <w:jc w:val="right"/>
              <w:rPr>
                <w:rFonts w:eastAsia="Times New Roman"/>
              </w:rPr>
            </w:pPr>
          </w:p>
        </w:tc>
        <w:tc>
          <w:tcPr>
            <w:tcW w:w="0" w:type="auto"/>
            <w:vAlign w:val="center"/>
            <w:hideMark/>
          </w:tcPr>
          <w:p w14:paraId="6111A198" w14:textId="77777777" w:rsidR="00000000" w:rsidRDefault="00405D16">
            <w:pPr>
              <w:spacing w:after="100"/>
              <w:jc w:val="right"/>
              <w:rPr>
                <w:rFonts w:eastAsia="Times New Roman"/>
                <w:sz w:val="20"/>
                <w:szCs w:val="20"/>
              </w:rPr>
            </w:pPr>
          </w:p>
        </w:tc>
        <w:tc>
          <w:tcPr>
            <w:tcW w:w="0" w:type="auto"/>
            <w:vAlign w:val="center"/>
            <w:hideMark/>
          </w:tcPr>
          <w:p w14:paraId="7C712A58" w14:textId="77777777" w:rsidR="00000000" w:rsidRDefault="00405D16">
            <w:pPr>
              <w:spacing w:after="100"/>
              <w:rPr>
                <w:rFonts w:eastAsia="Times New Roman"/>
                <w:sz w:val="20"/>
                <w:szCs w:val="20"/>
              </w:rPr>
            </w:pPr>
          </w:p>
        </w:tc>
        <w:tc>
          <w:tcPr>
            <w:tcW w:w="0" w:type="auto"/>
            <w:gridSpan w:val="3"/>
            <w:vAlign w:val="center"/>
            <w:hideMark/>
          </w:tcPr>
          <w:p w14:paraId="1C7261EA" w14:textId="77777777" w:rsidR="00000000" w:rsidRDefault="00405D16">
            <w:pPr>
              <w:spacing w:after="100"/>
              <w:rPr>
                <w:rFonts w:eastAsia="Times New Roman"/>
                <w:sz w:val="20"/>
                <w:szCs w:val="20"/>
              </w:rPr>
            </w:pPr>
          </w:p>
        </w:tc>
        <w:tc>
          <w:tcPr>
            <w:tcW w:w="0" w:type="auto"/>
            <w:gridSpan w:val="3"/>
            <w:vAlign w:val="center"/>
            <w:hideMark/>
          </w:tcPr>
          <w:p w14:paraId="6B230FDE" w14:textId="77777777" w:rsidR="00000000" w:rsidRDefault="00405D16">
            <w:pPr>
              <w:spacing w:after="100"/>
              <w:rPr>
                <w:rFonts w:eastAsia="Times New Roman"/>
                <w:sz w:val="20"/>
                <w:szCs w:val="20"/>
              </w:rPr>
            </w:pPr>
          </w:p>
        </w:tc>
        <w:tc>
          <w:tcPr>
            <w:tcW w:w="0" w:type="auto"/>
            <w:gridSpan w:val="3"/>
            <w:vAlign w:val="center"/>
            <w:hideMark/>
          </w:tcPr>
          <w:p w14:paraId="3B24AAE4" w14:textId="77777777" w:rsidR="00000000" w:rsidRDefault="00405D16">
            <w:pPr>
              <w:spacing w:after="100"/>
              <w:rPr>
                <w:rFonts w:eastAsia="Times New Roman"/>
                <w:sz w:val="20"/>
                <w:szCs w:val="20"/>
              </w:rPr>
            </w:pPr>
          </w:p>
        </w:tc>
        <w:tc>
          <w:tcPr>
            <w:tcW w:w="0" w:type="auto"/>
            <w:gridSpan w:val="3"/>
            <w:vAlign w:val="center"/>
            <w:hideMark/>
          </w:tcPr>
          <w:p w14:paraId="08BCAE6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7B09B2"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02FC390" w14:textId="77777777" w:rsidR="00000000" w:rsidRDefault="00405D16">
            <w:pPr>
              <w:spacing w:after="100"/>
              <w:jc w:val="right"/>
              <w:rPr>
                <w:rFonts w:eastAsia="Times New Roman"/>
              </w:rPr>
            </w:pPr>
            <w:r>
              <w:rPr>
                <w:rFonts w:eastAsia="Times New Roman"/>
                <w:color w:val="000000"/>
                <w:sz w:val="18"/>
                <w:szCs w:val="18"/>
              </w:rPr>
              <w:t>(61)</w:t>
            </w:r>
          </w:p>
        </w:tc>
        <w:tc>
          <w:tcPr>
            <w:tcW w:w="0" w:type="auto"/>
            <w:shd w:val="clear" w:color="auto" w:fill="CCEEFF"/>
            <w:tcMar>
              <w:top w:w="30" w:type="dxa"/>
              <w:left w:w="0" w:type="dxa"/>
              <w:bottom w:w="30" w:type="dxa"/>
              <w:right w:w="20" w:type="dxa"/>
            </w:tcMar>
            <w:vAlign w:val="center"/>
            <w:hideMark/>
          </w:tcPr>
          <w:p w14:paraId="136E333F" w14:textId="77777777" w:rsidR="00000000" w:rsidRDefault="00405D16">
            <w:pPr>
              <w:spacing w:after="100"/>
              <w:jc w:val="right"/>
              <w:rPr>
                <w:rFonts w:eastAsia="Times New Roman"/>
              </w:rPr>
            </w:pPr>
          </w:p>
        </w:tc>
        <w:tc>
          <w:tcPr>
            <w:tcW w:w="0" w:type="auto"/>
            <w:gridSpan w:val="3"/>
            <w:vAlign w:val="center"/>
            <w:hideMark/>
          </w:tcPr>
          <w:p w14:paraId="05B0B9C1" w14:textId="77777777" w:rsidR="00000000" w:rsidRDefault="00405D16">
            <w:pPr>
              <w:spacing w:after="100"/>
              <w:jc w:val="right"/>
              <w:rPr>
                <w:rFonts w:eastAsia="Times New Roman"/>
                <w:sz w:val="20"/>
                <w:szCs w:val="20"/>
              </w:rPr>
            </w:pPr>
          </w:p>
        </w:tc>
        <w:tc>
          <w:tcPr>
            <w:tcW w:w="0" w:type="auto"/>
            <w:gridSpan w:val="2"/>
            <w:vAlign w:val="center"/>
            <w:hideMark/>
          </w:tcPr>
          <w:p w14:paraId="67D2C7A0" w14:textId="77777777" w:rsidR="00000000" w:rsidRDefault="00405D16">
            <w:pPr>
              <w:spacing w:after="100"/>
              <w:rPr>
                <w:rFonts w:eastAsia="Times New Roman"/>
                <w:sz w:val="20"/>
                <w:szCs w:val="20"/>
              </w:rPr>
            </w:pPr>
          </w:p>
        </w:tc>
      </w:tr>
      <w:tr w:rsidR="00000000" w14:paraId="434B5903" w14:textId="77777777">
        <w:trPr>
          <w:divId w:val="2103602330"/>
        </w:trPr>
        <w:tc>
          <w:tcPr>
            <w:tcW w:w="0" w:type="auto"/>
            <w:gridSpan w:val="3"/>
            <w:shd w:val="clear" w:color="auto" w:fill="FFFFFF"/>
            <w:tcMar>
              <w:top w:w="30" w:type="dxa"/>
              <w:left w:w="20" w:type="dxa"/>
              <w:bottom w:w="30" w:type="dxa"/>
              <w:right w:w="20" w:type="dxa"/>
            </w:tcMar>
            <w:vAlign w:val="center"/>
            <w:hideMark/>
          </w:tcPr>
          <w:p w14:paraId="0B64635A" w14:textId="77777777" w:rsidR="00000000" w:rsidRDefault="00405D16">
            <w:pPr>
              <w:spacing w:after="100"/>
              <w:rPr>
                <w:rFonts w:eastAsia="Times New Roman"/>
              </w:rPr>
            </w:pPr>
            <w:r>
              <w:rPr>
                <w:rFonts w:eastAsia="Times New Roman"/>
                <w:color w:val="000000"/>
                <w:sz w:val="18"/>
                <w:szCs w:val="18"/>
              </w:rPr>
              <w:t>Net charge-off rate</w:t>
            </w:r>
          </w:p>
        </w:tc>
        <w:tc>
          <w:tcPr>
            <w:tcW w:w="0" w:type="auto"/>
            <w:gridSpan w:val="3"/>
            <w:shd w:val="clear" w:color="auto" w:fill="FFFFFF"/>
            <w:tcMar>
              <w:top w:w="0" w:type="dxa"/>
              <w:left w:w="20" w:type="dxa"/>
              <w:bottom w:w="0" w:type="dxa"/>
              <w:right w:w="20" w:type="dxa"/>
            </w:tcMar>
            <w:vAlign w:val="center"/>
            <w:hideMark/>
          </w:tcPr>
          <w:p w14:paraId="25442779"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2AB1424" w14:textId="77777777" w:rsidR="00000000" w:rsidRDefault="00405D16">
            <w:pPr>
              <w:spacing w:after="100"/>
              <w:jc w:val="right"/>
              <w:rPr>
                <w:rFonts w:eastAsia="Times New Roman"/>
              </w:rPr>
            </w:pPr>
            <w:r>
              <w:rPr>
                <w:rFonts w:eastAsia="Times New Roman"/>
                <w:b/>
                <w:bCs/>
                <w:color w:val="000000"/>
                <w:sz w:val="18"/>
                <w:szCs w:val="18"/>
              </w:rPr>
              <w:t>0.67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83071FC"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591A046"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EBE5B19" w14:textId="77777777" w:rsidR="00000000" w:rsidRDefault="00405D16">
            <w:pPr>
              <w:spacing w:after="100"/>
              <w:jc w:val="right"/>
              <w:rPr>
                <w:rFonts w:eastAsia="Times New Roman"/>
              </w:rPr>
            </w:pPr>
            <w:r>
              <w:rPr>
                <w:rFonts w:eastAsia="Times New Roman"/>
                <w:color w:val="000000"/>
                <w:sz w:val="18"/>
                <w:szCs w:val="18"/>
              </w:rPr>
              <w:t>1.72 </w:t>
            </w:r>
          </w:p>
        </w:tc>
        <w:tc>
          <w:tcPr>
            <w:tcW w:w="0" w:type="auto"/>
            <w:shd w:val="clear" w:color="auto" w:fill="FFFFFF"/>
            <w:tcMar>
              <w:top w:w="30" w:type="dxa"/>
              <w:left w:w="0" w:type="dxa"/>
              <w:bottom w:w="30" w:type="dxa"/>
              <w:right w:w="20" w:type="dxa"/>
            </w:tcMar>
            <w:vAlign w:val="center"/>
            <w:hideMark/>
          </w:tcPr>
          <w:p w14:paraId="57B9945D" w14:textId="77777777" w:rsidR="00000000" w:rsidRDefault="00405D16">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57D9C2A"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EDCABB5" w14:textId="77777777" w:rsidR="00000000" w:rsidRDefault="00405D16">
            <w:pPr>
              <w:spacing w:after="100"/>
              <w:jc w:val="right"/>
              <w:rPr>
                <w:rFonts w:eastAsia="Times New Roman"/>
              </w:rPr>
            </w:pPr>
            <w:r>
              <w:rPr>
                <w:rFonts w:eastAsia="Times New Roman"/>
                <w:color w:val="000000"/>
                <w:sz w:val="18"/>
                <w:szCs w:val="18"/>
              </w:rPr>
              <w:t>(105)</w:t>
            </w:r>
          </w:p>
        </w:tc>
        <w:tc>
          <w:tcPr>
            <w:tcW w:w="0" w:type="auto"/>
            <w:shd w:val="clear" w:color="auto" w:fill="FFFFFF"/>
            <w:tcMar>
              <w:top w:w="30" w:type="dxa"/>
              <w:left w:w="0" w:type="dxa"/>
              <w:bottom w:w="30" w:type="dxa"/>
              <w:right w:w="20" w:type="dxa"/>
            </w:tcMar>
            <w:vAlign w:val="center"/>
            <w:hideMark/>
          </w:tcPr>
          <w:p w14:paraId="32B41E4A" w14:textId="77777777" w:rsidR="00000000" w:rsidRDefault="00405D16">
            <w:pPr>
              <w:spacing w:after="100"/>
              <w:jc w:val="right"/>
              <w:rPr>
                <w:rFonts w:eastAsia="Times New Roman"/>
              </w:rPr>
            </w:pPr>
            <w:r>
              <w:rPr>
                <w:rFonts w:eastAsia="Times New Roman"/>
                <w:color w:val="000000"/>
                <w:sz w:val="18"/>
                <w:szCs w:val="18"/>
              </w:rPr>
              <w:t>bps</w:t>
            </w:r>
          </w:p>
        </w:tc>
        <w:tc>
          <w:tcPr>
            <w:tcW w:w="0" w:type="auto"/>
            <w:gridSpan w:val="3"/>
            <w:shd w:val="clear" w:color="auto" w:fill="FFFFFF"/>
            <w:tcMar>
              <w:top w:w="0" w:type="dxa"/>
              <w:left w:w="20" w:type="dxa"/>
              <w:bottom w:w="0" w:type="dxa"/>
              <w:right w:w="20" w:type="dxa"/>
            </w:tcMar>
            <w:vAlign w:val="center"/>
            <w:hideMark/>
          </w:tcPr>
          <w:p w14:paraId="42FAC710"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9B383E9" w14:textId="77777777" w:rsidR="00000000" w:rsidRDefault="00405D16">
            <w:pPr>
              <w:spacing w:after="100"/>
              <w:jc w:val="right"/>
              <w:rPr>
                <w:rFonts w:eastAsia="Times New Roman"/>
              </w:rPr>
            </w:pPr>
            <w:r>
              <w:rPr>
                <w:rFonts w:eastAsia="Times New Roman"/>
                <w:b/>
                <w:bCs/>
                <w:color w:val="000000"/>
                <w:sz w:val="18"/>
                <w:szCs w:val="18"/>
              </w:rPr>
              <w:t>0.92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6D845FA"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2017AD7"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DD2369D" w14:textId="77777777" w:rsidR="00000000" w:rsidRDefault="00405D16">
            <w:pPr>
              <w:spacing w:after="100"/>
              <w:jc w:val="right"/>
              <w:rPr>
                <w:rFonts w:eastAsia="Times New Roman"/>
              </w:rPr>
            </w:pPr>
            <w:r>
              <w:rPr>
                <w:rFonts w:eastAsia="Times New Roman"/>
                <w:color w:val="000000"/>
                <w:sz w:val="18"/>
                <w:szCs w:val="18"/>
              </w:rPr>
              <w:t>2.28 </w:t>
            </w:r>
          </w:p>
        </w:tc>
        <w:tc>
          <w:tcPr>
            <w:tcW w:w="0" w:type="auto"/>
            <w:shd w:val="clear" w:color="auto" w:fill="FFFFFF"/>
            <w:tcMar>
              <w:top w:w="30" w:type="dxa"/>
              <w:left w:w="0" w:type="dxa"/>
              <w:bottom w:w="30" w:type="dxa"/>
              <w:right w:w="20" w:type="dxa"/>
            </w:tcMar>
            <w:vAlign w:val="center"/>
            <w:hideMark/>
          </w:tcPr>
          <w:p w14:paraId="6485FAD3" w14:textId="77777777" w:rsidR="00000000" w:rsidRDefault="00405D16">
            <w:pPr>
              <w:spacing w:after="100"/>
              <w:jc w:val="right"/>
              <w:rPr>
                <w:rFonts w:eastAsia="Times New Roman"/>
              </w:rPr>
            </w:pPr>
            <w:r>
              <w:rPr>
                <w:rFonts w:eastAsia="Times New Roman"/>
                <w:color w:val="000000"/>
                <w:sz w:val="18"/>
                <w:szCs w:val="18"/>
              </w:rPr>
              <w:t>%</w:t>
            </w:r>
          </w:p>
        </w:tc>
        <w:tc>
          <w:tcPr>
            <w:tcW w:w="0" w:type="auto"/>
            <w:vAlign w:val="center"/>
            <w:hideMark/>
          </w:tcPr>
          <w:p w14:paraId="02F47009" w14:textId="77777777" w:rsidR="00000000" w:rsidRDefault="00405D16">
            <w:pPr>
              <w:spacing w:after="100"/>
              <w:jc w:val="right"/>
              <w:rPr>
                <w:rFonts w:eastAsia="Times New Roman"/>
              </w:rPr>
            </w:pPr>
          </w:p>
        </w:tc>
        <w:tc>
          <w:tcPr>
            <w:tcW w:w="0" w:type="auto"/>
            <w:vAlign w:val="center"/>
            <w:hideMark/>
          </w:tcPr>
          <w:p w14:paraId="767AB4A6" w14:textId="77777777" w:rsidR="00000000" w:rsidRDefault="00405D16">
            <w:pPr>
              <w:spacing w:after="100"/>
              <w:rPr>
                <w:rFonts w:eastAsia="Times New Roman"/>
                <w:sz w:val="20"/>
                <w:szCs w:val="20"/>
              </w:rPr>
            </w:pPr>
          </w:p>
        </w:tc>
        <w:tc>
          <w:tcPr>
            <w:tcW w:w="0" w:type="auto"/>
            <w:gridSpan w:val="3"/>
            <w:vAlign w:val="center"/>
            <w:hideMark/>
          </w:tcPr>
          <w:p w14:paraId="5C714B07" w14:textId="77777777" w:rsidR="00000000" w:rsidRDefault="00405D16">
            <w:pPr>
              <w:spacing w:after="100"/>
              <w:rPr>
                <w:rFonts w:eastAsia="Times New Roman"/>
                <w:sz w:val="20"/>
                <w:szCs w:val="20"/>
              </w:rPr>
            </w:pPr>
          </w:p>
        </w:tc>
        <w:tc>
          <w:tcPr>
            <w:tcW w:w="0" w:type="auto"/>
            <w:gridSpan w:val="3"/>
            <w:vAlign w:val="center"/>
            <w:hideMark/>
          </w:tcPr>
          <w:p w14:paraId="01582CBB" w14:textId="77777777" w:rsidR="00000000" w:rsidRDefault="00405D16">
            <w:pPr>
              <w:spacing w:after="100"/>
              <w:rPr>
                <w:rFonts w:eastAsia="Times New Roman"/>
                <w:sz w:val="20"/>
                <w:szCs w:val="20"/>
              </w:rPr>
            </w:pPr>
          </w:p>
        </w:tc>
        <w:tc>
          <w:tcPr>
            <w:tcW w:w="0" w:type="auto"/>
            <w:gridSpan w:val="3"/>
            <w:vAlign w:val="center"/>
            <w:hideMark/>
          </w:tcPr>
          <w:p w14:paraId="2EB8A59A" w14:textId="77777777" w:rsidR="00000000" w:rsidRDefault="00405D16">
            <w:pPr>
              <w:spacing w:after="100"/>
              <w:rPr>
                <w:rFonts w:eastAsia="Times New Roman"/>
                <w:sz w:val="20"/>
                <w:szCs w:val="20"/>
              </w:rPr>
            </w:pPr>
          </w:p>
        </w:tc>
        <w:tc>
          <w:tcPr>
            <w:tcW w:w="0" w:type="auto"/>
            <w:gridSpan w:val="3"/>
            <w:vAlign w:val="center"/>
            <w:hideMark/>
          </w:tcPr>
          <w:p w14:paraId="7CB5CA1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1745E3"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8E0F00E" w14:textId="77777777" w:rsidR="00000000" w:rsidRDefault="00405D16">
            <w:pPr>
              <w:spacing w:after="100"/>
              <w:jc w:val="right"/>
              <w:rPr>
                <w:rFonts w:eastAsia="Times New Roman"/>
              </w:rPr>
            </w:pPr>
            <w:r>
              <w:rPr>
                <w:rFonts w:eastAsia="Times New Roman"/>
                <w:color w:val="000000"/>
                <w:sz w:val="18"/>
                <w:szCs w:val="18"/>
              </w:rPr>
              <w:t>(136)</w:t>
            </w:r>
          </w:p>
        </w:tc>
        <w:tc>
          <w:tcPr>
            <w:tcW w:w="0" w:type="auto"/>
            <w:shd w:val="clear" w:color="auto" w:fill="FFFFFF"/>
            <w:tcMar>
              <w:top w:w="30" w:type="dxa"/>
              <w:left w:w="0" w:type="dxa"/>
              <w:bottom w:w="30" w:type="dxa"/>
              <w:right w:w="20" w:type="dxa"/>
            </w:tcMar>
            <w:vAlign w:val="center"/>
            <w:hideMark/>
          </w:tcPr>
          <w:p w14:paraId="786613B6" w14:textId="77777777" w:rsidR="00000000" w:rsidRDefault="00405D16">
            <w:pPr>
              <w:spacing w:after="100"/>
              <w:jc w:val="right"/>
              <w:rPr>
                <w:rFonts w:eastAsia="Times New Roman"/>
              </w:rPr>
            </w:pPr>
            <w:r>
              <w:rPr>
                <w:rFonts w:eastAsia="Times New Roman"/>
                <w:color w:val="000000"/>
                <w:sz w:val="18"/>
                <w:szCs w:val="18"/>
              </w:rPr>
              <w:t>bps</w:t>
            </w:r>
          </w:p>
        </w:tc>
        <w:tc>
          <w:tcPr>
            <w:tcW w:w="0" w:type="auto"/>
            <w:gridSpan w:val="3"/>
            <w:vAlign w:val="center"/>
            <w:hideMark/>
          </w:tcPr>
          <w:p w14:paraId="7F0F2A05" w14:textId="77777777" w:rsidR="00000000" w:rsidRDefault="00405D16">
            <w:pPr>
              <w:spacing w:after="100"/>
              <w:jc w:val="right"/>
              <w:rPr>
                <w:rFonts w:eastAsia="Times New Roman"/>
              </w:rPr>
            </w:pPr>
          </w:p>
        </w:tc>
        <w:tc>
          <w:tcPr>
            <w:tcW w:w="0" w:type="auto"/>
            <w:gridSpan w:val="2"/>
            <w:vAlign w:val="center"/>
            <w:hideMark/>
          </w:tcPr>
          <w:p w14:paraId="03CBFA3B" w14:textId="77777777" w:rsidR="00000000" w:rsidRDefault="00405D16">
            <w:pPr>
              <w:spacing w:after="100"/>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752"/>
        <w:gridCol w:w="144"/>
        <w:gridCol w:w="144"/>
        <w:gridCol w:w="144"/>
        <w:gridCol w:w="144"/>
        <w:gridCol w:w="144"/>
        <w:gridCol w:w="1086"/>
        <w:gridCol w:w="144"/>
        <w:gridCol w:w="144"/>
        <w:gridCol w:w="144"/>
        <w:gridCol w:w="144"/>
        <w:gridCol w:w="144"/>
        <w:gridCol w:w="1061"/>
        <w:gridCol w:w="144"/>
        <w:gridCol w:w="144"/>
        <w:gridCol w:w="144"/>
        <w:gridCol w:w="144"/>
        <w:gridCol w:w="144"/>
        <w:gridCol w:w="892"/>
        <w:gridCol w:w="144"/>
        <w:gridCol w:w="480"/>
        <w:gridCol w:w="1440"/>
        <w:gridCol w:w="1440"/>
        <w:gridCol w:w="144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tblGrid>
      <w:tr w:rsidR="00000000" w14:paraId="1B5203A6" w14:textId="77777777">
        <w:tc>
          <w:tcPr>
            <w:tcW w:w="50" w:type="pct"/>
            <w:vAlign w:val="center"/>
            <w:hideMark/>
          </w:tcPr>
          <w:p w14:paraId="3CA2AF0B" w14:textId="77777777" w:rsidR="00000000" w:rsidRDefault="00405D16">
            <w:pPr>
              <w:rPr>
                <w:rFonts w:eastAsia="Times New Roman"/>
              </w:rPr>
            </w:pPr>
          </w:p>
        </w:tc>
        <w:tc>
          <w:tcPr>
            <w:tcW w:w="2861" w:type="pct"/>
            <w:vAlign w:val="center"/>
            <w:hideMark/>
          </w:tcPr>
          <w:p w14:paraId="48220280" w14:textId="77777777" w:rsidR="00000000" w:rsidRDefault="00405D16">
            <w:pPr>
              <w:spacing w:after="100"/>
              <w:rPr>
                <w:rFonts w:eastAsia="Times New Roman"/>
                <w:sz w:val="20"/>
                <w:szCs w:val="20"/>
              </w:rPr>
            </w:pPr>
          </w:p>
        </w:tc>
        <w:tc>
          <w:tcPr>
            <w:tcW w:w="5" w:type="pct"/>
            <w:vAlign w:val="center"/>
            <w:hideMark/>
          </w:tcPr>
          <w:p w14:paraId="5BC6C99B" w14:textId="77777777" w:rsidR="00000000" w:rsidRDefault="00405D16">
            <w:pPr>
              <w:spacing w:after="100"/>
              <w:rPr>
                <w:rFonts w:eastAsia="Times New Roman"/>
                <w:sz w:val="20"/>
                <w:szCs w:val="20"/>
              </w:rPr>
            </w:pPr>
          </w:p>
        </w:tc>
        <w:tc>
          <w:tcPr>
            <w:tcW w:w="5" w:type="pct"/>
            <w:vAlign w:val="center"/>
            <w:hideMark/>
          </w:tcPr>
          <w:p w14:paraId="743128BB" w14:textId="77777777" w:rsidR="00000000" w:rsidRDefault="00405D16">
            <w:pPr>
              <w:spacing w:after="100"/>
              <w:rPr>
                <w:rFonts w:eastAsia="Times New Roman"/>
                <w:sz w:val="20"/>
                <w:szCs w:val="20"/>
              </w:rPr>
            </w:pPr>
          </w:p>
        </w:tc>
        <w:tc>
          <w:tcPr>
            <w:tcW w:w="19" w:type="pct"/>
            <w:vAlign w:val="center"/>
            <w:hideMark/>
          </w:tcPr>
          <w:p w14:paraId="1CF47D94" w14:textId="77777777" w:rsidR="00000000" w:rsidRDefault="00405D16">
            <w:pPr>
              <w:spacing w:after="100"/>
              <w:rPr>
                <w:rFonts w:eastAsia="Times New Roman"/>
                <w:sz w:val="20"/>
                <w:szCs w:val="20"/>
              </w:rPr>
            </w:pPr>
          </w:p>
        </w:tc>
        <w:tc>
          <w:tcPr>
            <w:tcW w:w="5" w:type="pct"/>
            <w:vAlign w:val="center"/>
            <w:hideMark/>
          </w:tcPr>
          <w:p w14:paraId="6A82631E" w14:textId="77777777" w:rsidR="00000000" w:rsidRDefault="00405D16">
            <w:pPr>
              <w:spacing w:after="100"/>
              <w:rPr>
                <w:rFonts w:eastAsia="Times New Roman"/>
                <w:sz w:val="20"/>
                <w:szCs w:val="20"/>
              </w:rPr>
            </w:pPr>
          </w:p>
        </w:tc>
        <w:tc>
          <w:tcPr>
            <w:tcW w:w="50" w:type="pct"/>
            <w:vAlign w:val="center"/>
            <w:hideMark/>
          </w:tcPr>
          <w:p w14:paraId="27215343" w14:textId="77777777" w:rsidR="00000000" w:rsidRDefault="00405D16">
            <w:pPr>
              <w:spacing w:after="100"/>
              <w:rPr>
                <w:rFonts w:eastAsia="Times New Roman"/>
                <w:sz w:val="20"/>
                <w:szCs w:val="20"/>
              </w:rPr>
            </w:pPr>
          </w:p>
        </w:tc>
        <w:tc>
          <w:tcPr>
            <w:tcW w:w="654" w:type="pct"/>
            <w:vAlign w:val="center"/>
            <w:hideMark/>
          </w:tcPr>
          <w:p w14:paraId="4483F141" w14:textId="77777777" w:rsidR="00000000" w:rsidRDefault="00405D16">
            <w:pPr>
              <w:spacing w:after="100"/>
              <w:rPr>
                <w:rFonts w:eastAsia="Times New Roman"/>
                <w:sz w:val="20"/>
                <w:szCs w:val="20"/>
              </w:rPr>
            </w:pPr>
          </w:p>
        </w:tc>
        <w:tc>
          <w:tcPr>
            <w:tcW w:w="5" w:type="pct"/>
            <w:vAlign w:val="center"/>
            <w:hideMark/>
          </w:tcPr>
          <w:p w14:paraId="14CB2222" w14:textId="77777777" w:rsidR="00000000" w:rsidRDefault="00405D16">
            <w:pPr>
              <w:spacing w:after="100"/>
              <w:rPr>
                <w:rFonts w:eastAsia="Times New Roman"/>
                <w:sz w:val="20"/>
                <w:szCs w:val="20"/>
              </w:rPr>
            </w:pPr>
          </w:p>
        </w:tc>
        <w:tc>
          <w:tcPr>
            <w:tcW w:w="5" w:type="pct"/>
            <w:vAlign w:val="center"/>
            <w:hideMark/>
          </w:tcPr>
          <w:p w14:paraId="4FE92BD2" w14:textId="77777777" w:rsidR="00000000" w:rsidRDefault="00405D16">
            <w:pPr>
              <w:spacing w:after="100"/>
              <w:rPr>
                <w:rFonts w:eastAsia="Times New Roman"/>
                <w:sz w:val="20"/>
                <w:szCs w:val="20"/>
              </w:rPr>
            </w:pPr>
          </w:p>
        </w:tc>
        <w:tc>
          <w:tcPr>
            <w:tcW w:w="19" w:type="pct"/>
            <w:vAlign w:val="center"/>
            <w:hideMark/>
          </w:tcPr>
          <w:p w14:paraId="3F42FD57" w14:textId="77777777" w:rsidR="00000000" w:rsidRDefault="00405D16">
            <w:pPr>
              <w:spacing w:after="100"/>
              <w:rPr>
                <w:rFonts w:eastAsia="Times New Roman"/>
                <w:sz w:val="20"/>
                <w:szCs w:val="20"/>
              </w:rPr>
            </w:pPr>
          </w:p>
        </w:tc>
        <w:tc>
          <w:tcPr>
            <w:tcW w:w="5" w:type="pct"/>
            <w:vAlign w:val="center"/>
            <w:hideMark/>
          </w:tcPr>
          <w:p w14:paraId="07FDDB95" w14:textId="77777777" w:rsidR="00000000" w:rsidRDefault="00405D16">
            <w:pPr>
              <w:spacing w:after="100"/>
              <w:rPr>
                <w:rFonts w:eastAsia="Times New Roman"/>
                <w:sz w:val="20"/>
                <w:szCs w:val="20"/>
              </w:rPr>
            </w:pPr>
          </w:p>
        </w:tc>
        <w:tc>
          <w:tcPr>
            <w:tcW w:w="50" w:type="pct"/>
            <w:vAlign w:val="center"/>
            <w:hideMark/>
          </w:tcPr>
          <w:p w14:paraId="30DDA8F7" w14:textId="77777777" w:rsidR="00000000" w:rsidRDefault="00405D16">
            <w:pPr>
              <w:spacing w:after="100"/>
              <w:rPr>
                <w:rFonts w:eastAsia="Times New Roman"/>
                <w:sz w:val="20"/>
                <w:szCs w:val="20"/>
              </w:rPr>
            </w:pPr>
          </w:p>
        </w:tc>
        <w:tc>
          <w:tcPr>
            <w:tcW w:w="639" w:type="pct"/>
            <w:vAlign w:val="center"/>
            <w:hideMark/>
          </w:tcPr>
          <w:p w14:paraId="42A7CA4C" w14:textId="77777777" w:rsidR="00000000" w:rsidRDefault="00405D16">
            <w:pPr>
              <w:spacing w:after="100"/>
              <w:rPr>
                <w:rFonts w:eastAsia="Times New Roman"/>
                <w:sz w:val="20"/>
                <w:szCs w:val="20"/>
              </w:rPr>
            </w:pPr>
          </w:p>
        </w:tc>
        <w:tc>
          <w:tcPr>
            <w:tcW w:w="5" w:type="pct"/>
            <w:vAlign w:val="center"/>
            <w:hideMark/>
          </w:tcPr>
          <w:p w14:paraId="3A0892C9" w14:textId="77777777" w:rsidR="00000000" w:rsidRDefault="00405D16">
            <w:pPr>
              <w:spacing w:after="100"/>
              <w:rPr>
                <w:rFonts w:eastAsia="Times New Roman"/>
                <w:sz w:val="20"/>
                <w:szCs w:val="20"/>
              </w:rPr>
            </w:pPr>
          </w:p>
        </w:tc>
        <w:tc>
          <w:tcPr>
            <w:tcW w:w="5" w:type="pct"/>
            <w:vAlign w:val="center"/>
            <w:hideMark/>
          </w:tcPr>
          <w:p w14:paraId="75F4064D" w14:textId="77777777" w:rsidR="00000000" w:rsidRDefault="00405D16">
            <w:pPr>
              <w:spacing w:after="100"/>
              <w:rPr>
                <w:rFonts w:eastAsia="Times New Roman"/>
                <w:sz w:val="20"/>
                <w:szCs w:val="20"/>
              </w:rPr>
            </w:pPr>
          </w:p>
        </w:tc>
        <w:tc>
          <w:tcPr>
            <w:tcW w:w="19" w:type="pct"/>
            <w:vAlign w:val="center"/>
            <w:hideMark/>
          </w:tcPr>
          <w:p w14:paraId="2DA2BDA5" w14:textId="77777777" w:rsidR="00000000" w:rsidRDefault="00405D16">
            <w:pPr>
              <w:spacing w:after="100"/>
              <w:rPr>
                <w:rFonts w:eastAsia="Times New Roman"/>
                <w:sz w:val="20"/>
                <w:szCs w:val="20"/>
              </w:rPr>
            </w:pPr>
          </w:p>
        </w:tc>
        <w:tc>
          <w:tcPr>
            <w:tcW w:w="5" w:type="pct"/>
            <w:vAlign w:val="center"/>
            <w:hideMark/>
          </w:tcPr>
          <w:p w14:paraId="57523E94" w14:textId="77777777" w:rsidR="00000000" w:rsidRDefault="00405D16">
            <w:pPr>
              <w:spacing w:after="100"/>
              <w:rPr>
                <w:rFonts w:eastAsia="Times New Roman"/>
                <w:sz w:val="20"/>
                <w:szCs w:val="20"/>
              </w:rPr>
            </w:pPr>
          </w:p>
        </w:tc>
        <w:tc>
          <w:tcPr>
            <w:tcW w:w="50" w:type="pct"/>
            <w:vAlign w:val="center"/>
            <w:hideMark/>
          </w:tcPr>
          <w:p w14:paraId="0937933A" w14:textId="77777777" w:rsidR="00000000" w:rsidRDefault="00405D16">
            <w:pPr>
              <w:spacing w:after="100"/>
              <w:rPr>
                <w:rFonts w:eastAsia="Times New Roman"/>
                <w:sz w:val="20"/>
                <w:szCs w:val="20"/>
              </w:rPr>
            </w:pPr>
          </w:p>
        </w:tc>
        <w:tc>
          <w:tcPr>
            <w:tcW w:w="537" w:type="pct"/>
            <w:vAlign w:val="center"/>
            <w:hideMark/>
          </w:tcPr>
          <w:p w14:paraId="3417DB48" w14:textId="77777777" w:rsidR="00000000" w:rsidRDefault="00405D16">
            <w:pPr>
              <w:spacing w:after="100"/>
              <w:rPr>
                <w:rFonts w:eastAsia="Times New Roman"/>
                <w:sz w:val="20"/>
                <w:szCs w:val="20"/>
              </w:rPr>
            </w:pPr>
          </w:p>
        </w:tc>
        <w:tc>
          <w:tcPr>
            <w:tcW w:w="5" w:type="pct"/>
            <w:vAlign w:val="center"/>
            <w:hideMark/>
          </w:tcPr>
          <w:p w14:paraId="12443060" w14:textId="77777777" w:rsidR="00000000" w:rsidRDefault="00405D16">
            <w:pPr>
              <w:spacing w:after="100"/>
              <w:rPr>
                <w:rFonts w:eastAsia="Times New Roman"/>
                <w:sz w:val="20"/>
                <w:szCs w:val="20"/>
              </w:rPr>
            </w:pPr>
          </w:p>
        </w:tc>
        <w:tc>
          <w:tcPr>
            <w:tcW w:w="0" w:type="auto"/>
            <w:vAlign w:val="center"/>
            <w:hideMark/>
          </w:tcPr>
          <w:p w14:paraId="5D0096D5" w14:textId="77777777" w:rsidR="00000000" w:rsidRDefault="00405D16">
            <w:pPr>
              <w:spacing w:after="100"/>
              <w:rPr>
                <w:rFonts w:eastAsia="Times New Roman"/>
                <w:sz w:val="20"/>
                <w:szCs w:val="20"/>
              </w:rPr>
            </w:pPr>
          </w:p>
        </w:tc>
        <w:tc>
          <w:tcPr>
            <w:tcW w:w="0" w:type="auto"/>
            <w:vAlign w:val="center"/>
            <w:hideMark/>
          </w:tcPr>
          <w:p w14:paraId="7AA75FEA" w14:textId="77777777" w:rsidR="00000000" w:rsidRDefault="00405D16">
            <w:pPr>
              <w:spacing w:after="100"/>
              <w:rPr>
                <w:rFonts w:eastAsia="Times New Roman"/>
                <w:sz w:val="20"/>
                <w:szCs w:val="20"/>
              </w:rPr>
            </w:pPr>
          </w:p>
        </w:tc>
        <w:tc>
          <w:tcPr>
            <w:tcW w:w="0" w:type="auto"/>
            <w:vAlign w:val="center"/>
            <w:hideMark/>
          </w:tcPr>
          <w:p w14:paraId="02177B7D" w14:textId="77777777" w:rsidR="00000000" w:rsidRDefault="00405D16">
            <w:pPr>
              <w:spacing w:after="100"/>
              <w:rPr>
                <w:rFonts w:eastAsia="Times New Roman"/>
                <w:sz w:val="20"/>
                <w:szCs w:val="20"/>
              </w:rPr>
            </w:pPr>
          </w:p>
        </w:tc>
        <w:tc>
          <w:tcPr>
            <w:tcW w:w="0" w:type="auto"/>
            <w:vAlign w:val="center"/>
            <w:hideMark/>
          </w:tcPr>
          <w:p w14:paraId="59E9180A" w14:textId="77777777" w:rsidR="00000000" w:rsidRDefault="00405D16">
            <w:pPr>
              <w:spacing w:after="100"/>
              <w:rPr>
                <w:rFonts w:eastAsia="Times New Roman"/>
                <w:sz w:val="20"/>
                <w:szCs w:val="20"/>
              </w:rPr>
            </w:pPr>
          </w:p>
        </w:tc>
        <w:tc>
          <w:tcPr>
            <w:tcW w:w="0" w:type="auto"/>
            <w:gridSpan w:val="3"/>
            <w:vAlign w:val="center"/>
            <w:hideMark/>
          </w:tcPr>
          <w:p w14:paraId="5E4C293A" w14:textId="77777777" w:rsidR="00000000" w:rsidRDefault="00405D16">
            <w:pPr>
              <w:spacing w:after="100"/>
              <w:rPr>
                <w:rFonts w:eastAsia="Times New Roman"/>
                <w:sz w:val="20"/>
                <w:szCs w:val="20"/>
              </w:rPr>
            </w:pPr>
          </w:p>
        </w:tc>
        <w:tc>
          <w:tcPr>
            <w:tcW w:w="0" w:type="auto"/>
            <w:gridSpan w:val="3"/>
            <w:vAlign w:val="center"/>
            <w:hideMark/>
          </w:tcPr>
          <w:p w14:paraId="2AD66EA3" w14:textId="77777777" w:rsidR="00000000" w:rsidRDefault="00405D16">
            <w:pPr>
              <w:spacing w:after="100"/>
              <w:rPr>
                <w:rFonts w:eastAsia="Times New Roman"/>
                <w:sz w:val="20"/>
                <w:szCs w:val="20"/>
              </w:rPr>
            </w:pPr>
          </w:p>
        </w:tc>
        <w:tc>
          <w:tcPr>
            <w:tcW w:w="0" w:type="auto"/>
            <w:gridSpan w:val="3"/>
            <w:vAlign w:val="center"/>
            <w:hideMark/>
          </w:tcPr>
          <w:p w14:paraId="7F5F3183" w14:textId="77777777" w:rsidR="00000000" w:rsidRDefault="00405D16">
            <w:pPr>
              <w:spacing w:after="100"/>
              <w:rPr>
                <w:rFonts w:eastAsia="Times New Roman"/>
                <w:sz w:val="20"/>
                <w:szCs w:val="20"/>
              </w:rPr>
            </w:pPr>
          </w:p>
        </w:tc>
        <w:tc>
          <w:tcPr>
            <w:tcW w:w="0" w:type="auto"/>
            <w:gridSpan w:val="3"/>
            <w:vAlign w:val="center"/>
            <w:hideMark/>
          </w:tcPr>
          <w:p w14:paraId="01FB67AE" w14:textId="77777777" w:rsidR="00000000" w:rsidRDefault="00405D16">
            <w:pPr>
              <w:spacing w:after="100"/>
              <w:rPr>
                <w:rFonts w:eastAsia="Times New Roman"/>
                <w:sz w:val="20"/>
                <w:szCs w:val="20"/>
              </w:rPr>
            </w:pPr>
          </w:p>
        </w:tc>
        <w:tc>
          <w:tcPr>
            <w:tcW w:w="0" w:type="auto"/>
            <w:gridSpan w:val="3"/>
            <w:vAlign w:val="center"/>
            <w:hideMark/>
          </w:tcPr>
          <w:p w14:paraId="24C51FB5" w14:textId="77777777" w:rsidR="00000000" w:rsidRDefault="00405D16">
            <w:pPr>
              <w:spacing w:after="100"/>
              <w:rPr>
                <w:rFonts w:eastAsia="Times New Roman"/>
                <w:sz w:val="20"/>
                <w:szCs w:val="20"/>
              </w:rPr>
            </w:pPr>
          </w:p>
        </w:tc>
        <w:tc>
          <w:tcPr>
            <w:tcW w:w="0" w:type="auto"/>
            <w:gridSpan w:val="3"/>
            <w:vAlign w:val="center"/>
            <w:hideMark/>
          </w:tcPr>
          <w:p w14:paraId="395E1DA7" w14:textId="77777777" w:rsidR="00000000" w:rsidRDefault="00405D16">
            <w:pPr>
              <w:spacing w:after="100"/>
              <w:rPr>
                <w:rFonts w:eastAsia="Times New Roman"/>
                <w:sz w:val="20"/>
                <w:szCs w:val="20"/>
              </w:rPr>
            </w:pPr>
          </w:p>
        </w:tc>
        <w:tc>
          <w:tcPr>
            <w:tcW w:w="0" w:type="auto"/>
            <w:gridSpan w:val="3"/>
            <w:vAlign w:val="center"/>
            <w:hideMark/>
          </w:tcPr>
          <w:p w14:paraId="6AA4514E" w14:textId="77777777" w:rsidR="00000000" w:rsidRDefault="00405D16">
            <w:pPr>
              <w:spacing w:after="100"/>
              <w:rPr>
                <w:rFonts w:eastAsia="Times New Roman"/>
                <w:sz w:val="20"/>
                <w:szCs w:val="20"/>
              </w:rPr>
            </w:pPr>
          </w:p>
        </w:tc>
        <w:tc>
          <w:tcPr>
            <w:tcW w:w="0" w:type="auto"/>
            <w:gridSpan w:val="3"/>
            <w:vAlign w:val="center"/>
            <w:hideMark/>
          </w:tcPr>
          <w:p w14:paraId="3CCFFBAC" w14:textId="77777777" w:rsidR="00000000" w:rsidRDefault="00405D16">
            <w:pPr>
              <w:spacing w:after="100"/>
              <w:rPr>
                <w:rFonts w:eastAsia="Times New Roman"/>
                <w:sz w:val="20"/>
                <w:szCs w:val="20"/>
              </w:rPr>
            </w:pPr>
          </w:p>
        </w:tc>
        <w:tc>
          <w:tcPr>
            <w:tcW w:w="0" w:type="auto"/>
            <w:gridSpan w:val="3"/>
            <w:vAlign w:val="center"/>
            <w:hideMark/>
          </w:tcPr>
          <w:p w14:paraId="11F6C343" w14:textId="77777777" w:rsidR="00000000" w:rsidRDefault="00405D16">
            <w:pPr>
              <w:spacing w:after="100"/>
              <w:rPr>
                <w:rFonts w:eastAsia="Times New Roman"/>
                <w:sz w:val="20"/>
                <w:szCs w:val="20"/>
              </w:rPr>
            </w:pPr>
          </w:p>
        </w:tc>
        <w:tc>
          <w:tcPr>
            <w:tcW w:w="0" w:type="auto"/>
            <w:gridSpan w:val="2"/>
            <w:vAlign w:val="center"/>
            <w:hideMark/>
          </w:tcPr>
          <w:p w14:paraId="42ADA9A5" w14:textId="77777777" w:rsidR="00000000" w:rsidRDefault="00405D16">
            <w:pPr>
              <w:spacing w:after="100"/>
              <w:rPr>
                <w:rFonts w:eastAsia="Times New Roman"/>
                <w:sz w:val="20"/>
                <w:szCs w:val="20"/>
              </w:rPr>
            </w:pPr>
          </w:p>
        </w:tc>
      </w:tr>
      <w:tr w:rsidR="00000000" w14:paraId="0027D6E9" w14:textId="77777777">
        <w:tc>
          <w:tcPr>
            <w:tcW w:w="0" w:type="auto"/>
            <w:gridSpan w:val="3"/>
            <w:vAlign w:val="center"/>
            <w:hideMark/>
          </w:tcPr>
          <w:p w14:paraId="3462AF94" w14:textId="77777777" w:rsidR="00000000" w:rsidRDefault="00405D16">
            <w:pPr>
              <w:spacing w:after="100"/>
              <w:rPr>
                <w:rFonts w:eastAsia="Times New Roman"/>
                <w:sz w:val="20"/>
                <w:szCs w:val="20"/>
              </w:rPr>
            </w:pPr>
          </w:p>
        </w:tc>
        <w:tc>
          <w:tcPr>
            <w:tcW w:w="0" w:type="auto"/>
            <w:gridSpan w:val="3"/>
            <w:vAlign w:val="center"/>
            <w:hideMark/>
          </w:tcPr>
          <w:p w14:paraId="48F6840D" w14:textId="77777777" w:rsidR="00000000" w:rsidRDefault="00405D16">
            <w:pPr>
              <w:spacing w:after="100"/>
              <w:rPr>
                <w:rFonts w:eastAsia="Times New Roman"/>
                <w:sz w:val="20"/>
                <w:szCs w:val="20"/>
              </w:rPr>
            </w:pPr>
          </w:p>
        </w:tc>
        <w:tc>
          <w:tcPr>
            <w:tcW w:w="0" w:type="auto"/>
            <w:gridSpan w:val="3"/>
            <w:vAlign w:val="center"/>
            <w:hideMark/>
          </w:tcPr>
          <w:p w14:paraId="3434C4E9" w14:textId="77777777" w:rsidR="00000000" w:rsidRDefault="00405D16">
            <w:pPr>
              <w:spacing w:after="100"/>
              <w:rPr>
                <w:rFonts w:eastAsia="Times New Roman"/>
                <w:sz w:val="20"/>
                <w:szCs w:val="20"/>
              </w:rPr>
            </w:pPr>
          </w:p>
        </w:tc>
        <w:tc>
          <w:tcPr>
            <w:tcW w:w="0" w:type="auto"/>
            <w:gridSpan w:val="3"/>
            <w:vAlign w:val="center"/>
            <w:hideMark/>
          </w:tcPr>
          <w:p w14:paraId="6772DE7B" w14:textId="77777777" w:rsidR="00000000" w:rsidRDefault="00405D16">
            <w:pPr>
              <w:spacing w:after="100"/>
              <w:rPr>
                <w:rFonts w:eastAsia="Times New Roman"/>
                <w:sz w:val="20"/>
                <w:szCs w:val="20"/>
              </w:rPr>
            </w:pPr>
          </w:p>
        </w:tc>
        <w:tc>
          <w:tcPr>
            <w:tcW w:w="0" w:type="auto"/>
            <w:gridSpan w:val="3"/>
            <w:vAlign w:val="center"/>
            <w:hideMark/>
          </w:tcPr>
          <w:p w14:paraId="3CCE0B98" w14:textId="77777777" w:rsidR="00000000" w:rsidRDefault="00405D16">
            <w:pPr>
              <w:spacing w:after="100"/>
              <w:rPr>
                <w:rFonts w:eastAsia="Times New Roman"/>
                <w:sz w:val="20"/>
                <w:szCs w:val="20"/>
              </w:rPr>
            </w:pPr>
          </w:p>
        </w:tc>
        <w:tc>
          <w:tcPr>
            <w:tcW w:w="0" w:type="auto"/>
            <w:gridSpan w:val="3"/>
            <w:vAlign w:val="center"/>
            <w:hideMark/>
          </w:tcPr>
          <w:p w14:paraId="479FAA2C" w14:textId="77777777" w:rsidR="00000000" w:rsidRDefault="00405D16">
            <w:pPr>
              <w:spacing w:after="100"/>
              <w:rPr>
                <w:rFonts w:eastAsia="Times New Roman"/>
                <w:sz w:val="20"/>
                <w:szCs w:val="20"/>
              </w:rPr>
            </w:pPr>
          </w:p>
        </w:tc>
        <w:tc>
          <w:tcPr>
            <w:tcW w:w="0" w:type="auto"/>
            <w:gridSpan w:val="3"/>
            <w:vAlign w:val="center"/>
            <w:hideMark/>
          </w:tcPr>
          <w:p w14:paraId="53503FA9" w14:textId="77777777" w:rsidR="00000000" w:rsidRDefault="00405D16">
            <w:pPr>
              <w:spacing w:after="100"/>
              <w:rPr>
                <w:rFonts w:eastAsia="Times New Roman"/>
                <w:sz w:val="20"/>
                <w:szCs w:val="20"/>
              </w:rPr>
            </w:pPr>
          </w:p>
        </w:tc>
        <w:tc>
          <w:tcPr>
            <w:tcW w:w="0" w:type="auto"/>
            <w:vAlign w:val="center"/>
            <w:hideMark/>
          </w:tcPr>
          <w:p w14:paraId="48A722E4" w14:textId="77777777" w:rsidR="00000000" w:rsidRDefault="00405D16">
            <w:pPr>
              <w:spacing w:after="100"/>
              <w:rPr>
                <w:rFonts w:eastAsia="Times New Roman"/>
                <w:sz w:val="20"/>
                <w:szCs w:val="20"/>
              </w:rPr>
            </w:pPr>
          </w:p>
        </w:tc>
        <w:tc>
          <w:tcPr>
            <w:tcW w:w="0" w:type="auto"/>
            <w:vAlign w:val="center"/>
            <w:hideMark/>
          </w:tcPr>
          <w:p w14:paraId="4EF25F44" w14:textId="77777777" w:rsidR="00000000" w:rsidRDefault="00405D16">
            <w:pPr>
              <w:spacing w:after="100"/>
              <w:rPr>
                <w:rFonts w:eastAsia="Times New Roman"/>
                <w:sz w:val="20"/>
                <w:szCs w:val="20"/>
              </w:rPr>
            </w:pPr>
          </w:p>
        </w:tc>
        <w:tc>
          <w:tcPr>
            <w:tcW w:w="0" w:type="auto"/>
            <w:vAlign w:val="center"/>
            <w:hideMark/>
          </w:tcPr>
          <w:p w14:paraId="433D96C2" w14:textId="77777777" w:rsidR="00000000" w:rsidRDefault="00405D16">
            <w:pPr>
              <w:spacing w:after="100"/>
              <w:rPr>
                <w:rFonts w:eastAsia="Times New Roman"/>
                <w:sz w:val="20"/>
                <w:szCs w:val="20"/>
              </w:rPr>
            </w:pPr>
          </w:p>
        </w:tc>
        <w:tc>
          <w:tcPr>
            <w:tcW w:w="0" w:type="auto"/>
            <w:vAlign w:val="center"/>
            <w:hideMark/>
          </w:tcPr>
          <w:p w14:paraId="2CCD6F43" w14:textId="77777777" w:rsidR="00000000" w:rsidRDefault="00405D16">
            <w:pPr>
              <w:spacing w:after="100"/>
              <w:rPr>
                <w:rFonts w:eastAsia="Times New Roman"/>
                <w:sz w:val="20"/>
                <w:szCs w:val="20"/>
              </w:rPr>
            </w:pPr>
          </w:p>
        </w:tc>
        <w:tc>
          <w:tcPr>
            <w:tcW w:w="0" w:type="auto"/>
            <w:vAlign w:val="center"/>
            <w:hideMark/>
          </w:tcPr>
          <w:p w14:paraId="60322E8F" w14:textId="77777777" w:rsidR="00000000" w:rsidRDefault="00405D16">
            <w:pPr>
              <w:spacing w:after="100"/>
              <w:rPr>
                <w:rFonts w:eastAsia="Times New Roman"/>
                <w:sz w:val="20"/>
                <w:szCs w:val="20"/>
              </w:rPr>
            </w:pPr>
          </w:p>
        </w:tc>
        <w:tc>
          <w:tcPr>
            <w:tcW w:w="0" w:type="auto"/>
            <w:vAlign w:val="center"/>
            <w:hideMark/>
          </w:tcPr>
          <w:p w14:paraId="00312042" w14:textId="77777777" w:rsidR="00000000" w:rsidRDefault="00405D16">
            <w:pPr>
              <w:spacing w:after="100"/>
              <w:rPr>
                <w:rFonts w:eastAsia="Times New Roman"/>
                <w:sz w:val="20"/>
                <w:szCs w:val="20"/>
              </w:rPr>
            </w:pPr>
          </w:p>
        </w:tc>
        <w:tc>
          <w:tcPr>
            <w:tcW w:w="0" w:type="auto"/>
            <w:vAlign w:val="center"/>
            <w:hideMark/>
          </w:tcPr>
          <w:p w14:paraId="77AF4490" w14:textId="77777777" w:rsidR="00000000" w:rsidRDefault="00405D16">
            <w:pPr>
              <w:spacing w:after="100"/>
              <w:rPr>
                <w:rFonts w:eastAsia="Times New Roman"/>
                <w:sz w:val="20"/>
                <w:szCs w:val="20"/>
              </w:rPr>
            </w:pPr>
          </w:p>
        </w:tc>
        <w:tc>
          <w:tcPr>
            <w:tcW w:w="0" w:type="auto"/>
            <w:vAlign w:val="center"/>
            <w:hideMark/>
          </w:tcPr>
          <w:p w14:paraId="19E6382F" w14:textId="77777777" w:rsidR="00000000" w:rsidRDefault="00405D16">
            <w:pPr>
              <w:spacing w:after="100"/>
              <w:rPr>
                <w:rFonts w:eastAsia="Times New Roman"/>
                <w:sz w:val="20"/>
                <w:szCs w:val="20"/>
              </w:rPr>
            </w:pPr>
          </w:p>
        </w:tc>
        <w:tc>
          <w:tcPr>
            <w:tcW w:w="0" w:type="auto"/>
            <w:vAlign w:val="center"/>
            <w:hideMark/>
          </w:tcPr>
          <w:p w14:paraId="30062C48" w14:textId="77777777" w:rsidR="00000000" w:rsidRDefault="00405D16">
            <w:pPr>
              <w:spacing w:after="100"/>
              <w:rPr>
                <w:rFonts w:eastAsia="Times New Roman"/>
                <w:sz w:val="20"/>
                <w:szCs w:val="20"/>
              </w:rPr>
            </w:pPr>
          </w:p>
        </w:tc>
        <w:tc>
          <w:tcPr>
            <w:tcW w:w="0" w:type="auto"/>
            <w:vAlign w:val="center"/>
            <w:hideMark/>
          </w:tcPr>
          <w:p w14:paraId="77DD8B63" w14:textId="77777777" w:rsidR="00000000" w:rsidRDefault="00405D16">
            <w:pPr>
              <w:spacing w:after="100"/>
              <w:rPr>
                <w:rFonts w:eastAsia="Times New Roman"/>
                <w:sz w:val="20"/>
                <w:szCs w:val="20"/>
              </w:rPr>
            </w:pPr>
          </w:p>
        </w:tc>
        <w:tc>
          <w:tcPr>
            <w:tcW w:w="0" w:type="auto"/>
            <w:vAlign w:val="center"/>
            <w:hideMark/>
          </w:tcPr>
          <w:p w14:paraId="09394EE0" w14:textId="77777777" w:rsidR="00000000" w:rsidRDefault="00405D16">
            <w:pPr>
              <w:spacing w:after="100"/>
              <w:rPr>
                <w:rFonts w:eastAsia="Times New Roman"/>
                <w:sz w:val="20"/>
                <w:szCs w:val="20"/>
              </w:rPr>
            </w:pPr>
          </w:p>
        </w:tc>
        <w:tc>
          <w:tcPr>
            <w:tcW w:w="0" w:type="auto"/>
            <w:vAlign w:val="center"/>
            <w:hideMark/>
          </w:tcPr>
          <w:p w14:paraId="7693AF3A" w14:textId="77777777" w:rsidR="00000000" w:rsidRDefault="00405D16">
            <w:pPr>
              <w:spacing w:after="100"/>
              <w:rPr>
                <w:rFonts w:eastAsia="Times New Roman"/>
                <w:sz w:val="20"/>
                <w:szCs w:val="20"/>
              </w:rPr>
            </w:pPr>
          </w:p>
        </w:tc>
        <w:tc>
          <w:tcPr>
            <w:tcW w:w="0" w:type="auto"/>
            <w:vAlign w:val="center"/>
            <w:hideMark/>
          </w:tcPr>
          <w:p w14:paraId="1AB64BB1" w14:textId="77777777" w:rsidR="00000000" w:rsidRDefault="00405D16">
            <w:pPr>
              <w:spacing w:after="100"/>
              <w:rPr>
                <w:rFonts w:eastAsia="Times New Roman"/>
                <w:sz w:val="20"/>
                <w:szCs w:val="20"/>
              </w:rPr>
            </w:pPr>
          </w:p>
        </w:tc>
        <w:tc>
          <w:tcPr>
            <w:tcW w:w="0" w:type="auto"/>
            <w:vAlign w:val="center"/>
            <w:hideMark/>
          </w:tcPr>
          <w:p w14:paraId="5E829672" w14:textId="77777777" w:rsidR="00000000" w:rsidRDefault="00405D16">
            <w:pPr>
              <w:spacing w:after="100"/>
              <w:rPr>
                <w:rFonts w:eastAsia="Times New Roman"/>
                <w:sz w:val="20"/>
                <w:szCs w:val="20"/>
              </w:rPr>
            </w:pPr>
          </w:p>
        </w:tc>
        <w:tc>
          <w:tcPr>
            <w:tcW w:w="0" w:type="auto"/>
            <w:vAlign w:val="center"/>
            <w:hideMark/>
          </w:tcPr>
          <w:p w14:paraId="52D288C0" w14:textId="77777777" w:rsidR="00000000" w:rsidRDefault="00405D16">
            <w:pPr>
              <w:spacing w:after="100"/>
              <w:rPr>
                <w:rFonts w:eastAsia="Times New Roman"/>
                <w:sz w:val="20"/>
                <w:szCs w:val="20"/>
              </w:rPr>
            </w:pPr>
          </w:p>
        </w:tc>
        <w:tc>
          <w:tcPr>
            <w:tcW w:w="0" w:type="auto"/>
            <w:vAlign w:val="center"/>
            <w:hideMark/>
          </w:tcPr>
          <w:p w14:paraId="71D518D2" w14:textId="77777777" w:rsidR="00000000" w:rsidRDefault="00405D16">
            <w:pPr>
              <w:spacing w:after="100"/>
              <w:rPr>
                <w:rFonts w:eastAsia="Times New Roman"/>
                <w:sz w:val="20"/>
                <w:szCs w:val="20"/>
              </w:rPr>
            </w:pPr>
          </w:p>
        </w:tc>
        <w:tc>
          <w:tcPr>
            <w:tcW w:w="0" w:type="auto"/>
            <w:vAlign w:val="center"/>
            <w:hideMark/>
          </w:tcPr>
          <w:p w14:paraId="17261FC9" w14:textId="77777777" w:rsidR="00000000" w:rsidRDefault="00405D16">
            <w:pPr>
              <w:spacing w:after="100"/>
              <w:rPr>
                <w:rFonts w:eastAsia="Times New Roman"/>
                <w:sz w:val="20"/>
                <w:szCs w:val="20"/>
              </w:rPr>
            </w:pPr>
          </w:p>
        </w:tc>
        <w:tc>
          <w:tcPr>
            <w:tcW w:w="0" w:type="auto"/>
            <w:vAlign w:val="center"/>
            <w:hideMark/>
          </w:tcPr>
          <w:p w14:paraId="2C9E2049" w14:textId="77777777" w:rsidR="00000000" w:rsidRDefault="00405D16">
            <w:pPr>
              <w:spacing w:after="100"/>
              <w:rPr>
                <w:rFonts w:eastAsia="Times New Roman"/>
                <w:sz w:val="20"/>
                <w:szCs w:val="20"/>
              </w:rPr>
            </w:pPr>
          </w:p>
        </w:tc>
        <w:tc>
          <w:tcPr>
            <w:tcW w:w="0" w:type="auto"/>
            <w:vAlign w:val="center"/>
            <w:hideMark/>
          </w:tcPr>
          <w:p w14:paraId="4949682F" w14:textId="77777777" w:rsidR="00000000" w:rsidRDefault="00405D16">
            <w:pPr>
              <w:spacing w:after="100"/>
              <w:rPr>
                <w:rFonts w:eastAsia="Times New Roman"/>
                <w:sz w:val="20"/>
                <w:szCs w:val="20"/>
              </w:rPr>
            </w:pPr>
          </w:p>
        </w:tc>
        <w:tc>
          <w:tcPr>
            <w:tcW w:w="0" w:type="auto"/>
            <w:vAlign w:val="center"/>
            <w:hideMark/>
          </w:tcPr>
          <w:p w14:paraId="202EC0D9" w14:textId="77777777" w:rsidR="00000000" w:rsidRDefault="00405D16">
            <w:pPr>
              <w:spacing w:after="100"/>
              <w:rPr>
                <w:rFonts w:eastAsia="Times New Roman"/>
                <w:sz w:val="20"/>
                <w:szCs w:val="20"/>
              </w:rPr>
            </w:pPr>
          </w:p>
        </w:tc>
        <w:tc>
          <w:tcPr>
            <w:tcW w:w="0" w:type="auto"/>
            <w:vAlign w:val="center"/>
            <w:hideMark/>
          </w:tcPr>
          <w:p w14:paraId="3CA8FC48" w14:textId="77777777" w:rsidR="00000000" w:rsidRDefault="00405D16">
            <w:pPr>
              <w:spacing w:after="100"/>
              <w:rPr>
                <w:rFonts w:eastAsia="Times New Roman"/>
                <w:sz w:val="20"/>
                <w:szCs w:val="20"/>
              </w:rPr>
            </w:pPr>
          </w:p>
        </w:tc>
        <w:tc>
          <w:tcPr>
            <w:tcW w:w="0" w:type="auto"/>
            <w:vAlign w:val="center"/>
            <w:hideMark/>
          </w:tcPr>
          <w:p w14:paraId="39E31984" w14:textId="77777777" w:rsidR="00000000" w:rsidRDefault="00405D16">
            <w:pPr>
              <w:spacing w:after="100"/>
              <w:rPr>
                <w:rFonts w:eastAsia="Times New Roman"/>
                <w:sz w:val="20"/>
                <w:szCs w:val="20"/>
              </w:rPr>
            </w:pPr>
          </w:p>
        </w:tc>
        <w:tc>
          <w:tcPr>
            <w:tcW w:w="0" w:type="auto"/>
            <w:vAlign w:val="center"/>
            <w:hideMark/>
          </w:tcPr>
          <w:p w14:paraId="5856C21B" w14:textId="77777777" w:rsidR="00000000" w:rsidRDefault="00405D16">
            <w:pPr>
              <w:spacing w:after="100"/>
              <w:rPr>
                <w:rFonts w:eastAsia="Times New Roman"/>
                <w:sz w:val="20"/>
                <w:szCs w:val="20"/>
              </w:rPr>
            </w:pPr>
          </w:p>
        </w:tc>
        <w:tc>
          <w:tcPr>
            <w:tcW w:w="0" w:type="auto"/>
            <w:vAlign w:val="center"/>
            <w:hideMark/>
          </w:tcPr>
          <w:p w14:paraId="136167E5" w14:textId="77777777" w:rsidR="00000000" w:rsidRDefault="00405D16">
            <w:pPr>
              <w:spacing w:after="100"/>
              <w:rPr>
                <w:rFonts w:eastAsia="Times New Roman"/>
                <w:sz w:val="20"/>
                <w:szCs w:val="20"/>
              </w:rPr>
            </w:pPr>
          </w:p>
        </w:tc>
        <w:tc>
          <w:tcPr>
            <w:tcW w:w="0" w:type="auto"/>
            <w:vAlign w:val="center"/>
            <w:hideMark/>
          </w:tcPr>
          <w:p w14:paraId="1ADB66C1" w14:textId="77777777" w:rsidR="00000000" w:rsidRDefault="00405D16">
            <w:pPr>
              <w:spacing w:after="100"/>
              <w:rPr>
                <w:rFonts w:eastAsia="Times New Roman"/>
                <w:sz w:val="20"/>
                <w:szCs w:val="20"/>
              </w:rPr>
            </w:pPr>
          </w:p>
        </w:tc>
        <w:tc>
          <w:tcPr>
            <w:tcW w:w="0" w:type="auto"/>
            <w:vAlign w:val="center"/>
            <w:hideMark/>
          </w:tcPr>
          <w:p w14:paraId="6E01B42E" w14:textId="77777777" w:rsidR="00000000" w:rsidRDefault="00405D16">
            <w:pPr>
              <w:spacing w:after="100"/>
              <w:rPr>
                <w:rFonts w:eastAsia="Times New Roman"/>
                <w:sz w:val="20"/>
                <w:szCs w:val="20"/>
              </w:rPr>
            </w:pPr>
          </w:p>
        </w:tc>
        <w:tc>
          <w:tcPr>
            <w:tcW w:w="0" w:type="auto"/>
            <w:vAlign w:val="center"/>
            <w:hideMark/>
          </w:tcPr>
          <w:p w14:paraId="526A4025" w14:textId="77777777" w:rsidR="00000000" w:rsidRDefault="00405D16">
            <w:pPr>
              <w:spacing w:after="100"/>
              <w:rPr>
                <w:rFonts w:eastAsia="Times New Roman"/>
                <w:sz w:val="20"/>
                <w:szCs w:val="20"/>
              </w:rPr>
            </w:pPr>
          </w:p>
        </w:tc>
        <w:tc>
          <w:tcPr>
            <w:tcW w:w="0" w:type="auto"/>
            <w:vAlign w:val="center"/>
            <w:hideMark/>
          </w:tcPr>
          <w:p w14:paraId="512BB9F6" w14:textId="77777777" w:rsidR="00000000" w:rsidRDefault="00405D16">
            <w:pPr>
              <w:spacing w:after="100"/>
              <w:rPr>
                <w:rFonts w:eastAsia="Times New Roman"/>
                <w:sz w:val="20"/>
                <w:szCs w:val="20"/>
              </w:rPr>
            </w:pPr>
          </w:p>
        </w:tc>
        <w:tc>
          <w:tcPr>
            <w:tcW w:w="0" w:type="auto"/>
            <w:vAlign w:val="center"/>
            <w:hideMark/>
          </w:tcPr>
          <w:p w14:paraId="1589E923" w14:textId="77777777" w:rsidR="00000000" w:rsidRDefault="00405D16">
            <w:pPr>
              <w:spacing w:after="100"/>
              <w:rPr>
                <w:rFonts w:eastAsia="Times New Roman"/>
                <w:sz w:val="20"/>
                <w:szCs w:val="20"/>
              </w:rPr>
            </w:pPr>
          </w:p>
        </w:tc>
        <w:tc>
          <w:tcPr>
            <w:tcW w:w="0" w:type="auto"/>
            <w:vAlign w:val="center"/>
            <w:hideMark/>
          </w:tcPr>
          <w:p w14:paraId="66C1A43A" w14:textId="77777777" w:rsidR="00000000" w:rsidRDefault="00405D16">
            <w:pPr>
              <w:spacing w:after="100"/>
              <w:rPr>
                <w:rFonts w:eastAsia="Times New Roman"/>
                <w:sz w:val="20"/>
                <w:szCs w:val="20"/>
              </w:rPr>
            </w:pPr>
          </w:p>
        </w:tc>
        <w:tc>
          <w:tcPr>
            <w:tcW w:w="0" w:type="auto"/>
            <w:vAlign w:val="center"/>
            <w:hideMark/>
          </w:tcPr>
          <w:p w14:paraId="2DC62DF9" w14:textId="77777777" w:rsidR="00000000" w:rsidRDefault="00405D16">
            <w:pPr>
              <w:spacing w:after="100"/>
              <w:rPr>
                <w:rFonts w:eastAsia="Times New Roman"/>
                <w:sz w:val="20"/>
                <w:szCs w:val="20"/>
              </w:rPr>
            </w:pPr>
          </w:p>
        </w:tc>
        <w:tc>
          <w:tcPr>
            <w:tcW w:w="0" w:type="auto"/>
            <w:vAlign w:val="center"/>
            <w:hideMark/>
          </w:tcPr>
          <w:p w14:paraId="26DE6853" w14:textId="77777777" w:rsidR="00000000" w:rsidRDefault="00405D16">
            <w:pPr>
              <w:spacing w:after="100"/>
              <w:rPr>
                <w:rFonts w:eastAsia="Times New Roman"/>
                <w:sz w:val="20"/>
                <w:szCs w:val="20"/>
              </w:rPr>
            </w:pPr>
          </w:p>
        </w:tc>
        <w:tc>
          <w:tcPr>
            <w:tcW w:w="0" w:type="auto"/>
            <w:vAlign w:val="center"/>
            <w:hideMark/>
          </w:tcPr>
          <w:p w14:paraId="3D54FAD7" w14:textId="77777777" w:rsidR="00000000" w:rsidRDefault="00405D16">
            <w:pPr>
              <w:spacing w:after="100"/>
              <w:rPr>
                <w:rFonts w:eastAsia="Times New Roman"/>
                <w:sz w:val="20"/>
                <w:szCs w:val="20"/>
              </w:rPr>
            </w:pPr>
          </w:p>
        </w:tc>
      </w:tr>
      <w:tr w:rsidR="00000000" w14:paraId="397C66DE" w14:textId="77777777">
        <w:tc>
          <w:tcPr>
            <w:tcW w:w="0" w:type="auto"/>
            <w:gridSpan w:val="3"/>
            <w:tcMar>
              <w:top w:w="30" w:type="dxa"/>
              <w:left w:w="20" w:type="dxa"/>
              <w:bottom w:w="30" w:type="dxa"/>
              <w:right w:w="20" w:type="dxa"/>
            </w:tcMar>
            <w:vAlign w:val="bottom"/>
            <w:hideMark/>
          </w:tcPr>
          <w:p w14:paraId="136C6317" w14:textId="77777777" w:rsidR="00000000" w:rsidRDefault="00405D16">
            <w:pPr>
              <w:spacing w:after="100"/>
              <w:rPr>
                <w:rFonts w:eastAsia="Times New Roman"/>
              </w:rPr>
            </w:pPr>
            <w:r>
              <w:rPr>
                <w:rFonts w:eastAsia="Times New Roman"/>
                <w:i/>
                <w:iCs/>
                <w:color w:val="000000"/>
                <w:sz w:val="16"/>
                <w:szCs w:val="16"/>
              </w:rPr>
              <w:t>(Dollars in millions, except as noted)</w:t>
            </w:r>
          </w:p>
        </w:tc>
        <w:tc>
          <w:tcPr>
            <w:tcW w:w="0" w:type="auto"/>
            <w:gridSpan w:val="3"/>
            <w:tcMar>
              <w:top w:w="0" w:type="dxa"/>
              <w:left w:w="20" w:type="dxa"/>
              <w:bottom w:w="0" w:type="dxa"/>
              <w:right w:w="20" w:type="dxa"/>
            </w:tcMar>
            <w:vAlign w:val="center"/>
            <w:hideMark/>
          </w:tcPr>
          <w:p w14:paraId="402236E8" w14:textId="77777777" w:rsidR="00000000" w:rsidRDefault="00405D16">
            <w:pPr>
              <w:spacing w:after="100"/>
              <w:rPr>
                <w:rFonts w:eastAsia="Times New Roman"/>
              </w:rPr>
            </w:pPr>
          </w:p>
        </w:tc>
        <w:tc>
          <w:tcPr>
            <w:tcW w:w="0" w:type="auto"/>
            <w:gridSpan w:val="3"/>
            <w:tcMar>
              <w:top w:w="30" w:type="dxa"/>
              <w:left w:w="20" w:type="dxa"/>
              <w:bottom w:w="30" w:type="dxa"/>
              <w:right w:w="20" w:type="dxa"/>
            </w:tcMar>
            <w:vAlign w:val="bottom"/>
            <w:hideMark/>
          </w:tcPr>
          <w:p w14:paraId="7BA14A69" w14:textId="77777777" w:rsidR="00000000" w:rsidRDefault="00405D16">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14:paraId="75B09248"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1E8C2FA" w14:textId="77777777" w:rsidR="00000000" w:rsidRDefault="00405D16">
            <w:pPr>
              <w:spacing w:after="100"/>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14:paraId="298CBD2D"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7421E59" w14:textId="77777777" w:rsidR="00000000" w:rsidRDefault="00405D16">
            <w:pPr>
              <w:spacing w:after="100"/>
              <w:jc w:val="center"/>
              <w:rPr>
                <w:rFonts w:eastAsia="Times New Roman"/>
              </w:rPr>
            </w:pPr>
            <w:r>
              <w:rPr>
                <w:rFonts w:eastAsia="Times New Roman"/>
                <w:b/>
                <w:bCs/>
                <w:color w:val="000000"/>
                <w:sz w:val="16"/>
                <w:szCs w:val="16"/>
              </w:rPr>
              <w:t>Change</w:t>
            </w:r>
          </w:p>
        </w:tc>
        <w:tc>
          <w:tcPr>
            <w:tcW w:w="0" w:type="auto"/>
            <w:vAlign w:val="center"/>
            <w:hideMark/>
          </w:tcPr>
          <w:p w14:paraId="5E92FC3F" w14:textId="77777777" w:rsidR="00000000" w:rsidRDefault="00405D16">
            <w:pPr>
              <w:spacing w:after="100"/>
              <w:jc w:val="center"/>
              <w:rPr>
                <w:rFonts w:eastAsia="Times New Roman"/>
              </w:rPr>
            </w:pPr>
          </w:p>
        </w:tc>
        <w:tc>
          <w:tcPr>
            <w:tcW w:w="0" w:type="auto"/>
            <w:vAlign w:val="center"/>
            <w:hideMark/>
          </w:tcPr>
          <w:p w14:paraId="47E3D467" w14:textId="77777777" w:rsidR="00000000" w:rsidRDefault="00405D16">
            <w:pPr>
              <w:spacing w:after="100"/>
              <w:rPr>
                <w:rFonts w:eastAsia="Times New Roman"/>
                <w:sz w:val="20"/>
                <w:szCs w:val="20"/>
              </w:rPr>
            </w:pPr>
          </w:p>
        </w:tc>
        <w:tc>
          <w:tcPr>
            <w:tcW w:w="0" w:type="auto"/>
            <w:vAlign w:val="center"/>
            <w:hideMark/>
          </w:tcPr>
          <w:p w14:paraId="0A585341" w14:textId="77777777" w:rsidR="00000000" w:rsidRDefault="00405D16">
            <w:pPr>
              <w:spacing w:after="100"/>
              <w:rPr>
                <w:rFonts w:eastAsia="Times New Roman"/>
                <w:sz w:val="20"/>
                <w:szCs w:val="20"/>
              </w:rPr>
            </w:pPr>
          </w:p>
        </w:tc>
        <w:tc>
          <w:tcPr>
            <w:tcW w:w="0" w:type="auto"/>
            <w:vAlign w:val="center"/>
            <w:hideMark/>
          </w:tcPr>
          <w:p w14:paraId="797EA44D" w14:textId="77777777" w:rsidR="00000000" w:rsidRDefault="00405D16">
            <w:pPr>
              <w:spacing w:after="100"/>
              <w:rPr>
                <w:rFonts w:eastAsia="Times New Roman"/>
                <w:sz w:val="20"/>
                <w:szCs w:val="20"/>
              </w:rPr>
            </w:pPr>
          </w:p>
        </w:tc>
        <w:tc>
          <w:tcPr>
            <w:tcW w:w="0" w:type="auto"/>
            <w:gridSpan w:val="3"/>
            <w:vAlign w:val="center"/>
            <w:hideMark/>
          </w:tcPr>
          <w:p w14:paraId="0A7206F3" w14:textId="77777777" w:rsidR="00000000" w:rsidRDefault="00405D16">
            <w:pPr>
              <w:spacing w:after="100"/>
              <w:rPr>
                <w:rFonts w:eastAsia="Times New Roman"/>
                <w:sz w:val="20"/>
                <w:szCs w:val="20"/>
              </w:rPr>
            </w:pPr>
          </w:p>
        </w:tc>
        <w:tc>
          <w:tcPr>
            <w:tcW w:w="0" w:type="auto"/>
            <w:gridSpan w:val="3"/>
            <w:vAlign w:val="center"/>
            <w:hideMark/>
          </w:tcPr>
          <w:p w14:paraId="53815E2F" w14:textId="77777777" w:rsidR="00000000" w:rsidRDefault="00405D16">
            <w:pPr>
              <w:spacing w:after="100"/>
              <w:rPr>
                <w:rFonts w:eastAsia="Times New Roman"/>
                <w:sz w:val="20"/>
                <w:szCs w:val="20"/>
              </w:rPr>
            </w:pPr>
          </w:p>
        </w:tc>
        <w:tc>
          <w:tcPr>
            <w:tcW w:w="0" w:type="auto"/>
            <w:gridSpan w:val="3"/>
            <w:vAlign w:val="center"/>
            <w:hideMark/>
          </w:tcPr>
          <w:p w14:paraId="25071CF9" w14:textId="77777777" w:rsidR="00000000" w:rsidRDefault="00405D16">
            <w:pPr>
              <w:spacing w:after="100"/>
              <w:rPr>
                <w:rFonts w:eastAsia="Times New Roman"/>
                <w:sz w:val="20"/>
                <w:szCs w:val="20"/>
              </w:rPr>
            </w:pPr>
          </w:p>
        </w:tc>
        <w:tc>
          <w:tcPr>
            <w:tcW w:w="0" w:type="auto"/>
            <w:gridSpan w:val="3"/>
            <w:vAlign w:val="center"/>
            <w:hideMark/>
          </w:tcPr>
          <w:p w14:paraId="1CEF4584" w14:textId="77777777" w:rsidR="00000000" w:rsidRDefault="00405D16">
            <w:pPr>
              <w:spacing w:after="100"/>
              <w:rPr>
                <w:rFonts w:eastAsia="Times New Roman"/>
                <w:sz w:val="20"/>
                <w:szCs w:val="20"/>
              </w:rPr>
            </w:pPr>
          </w:p>
        </w:tc>
        <w:tc>
          <w:tcPr>
            <w:tcW w:w="0" w:type="auto"/>
            <w:gridSpan w:val="3"/>
            <w:vAlign w:val="center"/>
            <w:hideMark/>
          </w:tcPr>
          <w:p w14:paraId="224A9041" w14:textId="77777777" w:rsidR="00000000" w:rsidRDefault="00405D16">
            <w:pPr>
              <w:spacing w:after="100"/>
              <w:rPr>
                <w:rFonts w:eastAsia="Times New Roman"/>
                <w:sz w:val="20"/>
                <w:szCs w:val="20"/>
              </w:rPr>
            </w:pPr>
          </w:p>
        </w:tc>
        <w:tc>
          <w:tcPr>
            <w:tcW w:w="0" w:type="auto"/>
            <w:gridSpan w:val="3"/>
            <w:vAlign w:val="center"/>
            <w:hideMark/>
          </w:tcPr>
          <w:p w14:paraId="218CC30A" w14:textId="77777777" w:rsidR="00000000" w:rsidRDefault="00405D16">
            <w:pPr>
              <w:spacing w:after="100"/>
              <w:rPr>
                <w:rFonts w:eastAsia="Times New Roman"/>
                <w:sz w:val="20"/>
                <w:szCs w:val="20"/>
              </w:rPr>
            </w:pPr>
          </w:p>
        </w:tc>
        <w:tc>
          <w:tcPr>
            <w:tcW w:w="0" w:type="auto"/>
            <w:gridSpan w:val="3"/>
            <w:vAlign w:val="center"/>
            <w:hideMark/>
          </w:tcPr>
          <w:p w14:paraId="30231DAB" w14:textId="77777777" w:rsidR="00000000" w:rsidRDefault="00405D16">
            <w:pPr>
              <w:spacing w:after="100"/>
              <w:rPr>
                <w:rFonts w:eastAsia="Times New Roman"/>
                <w:sz w:val="20"/>
                <w:szCs w:val="20"/>
              </w:rPr>
            </w:pPr>
          </w:p>
        </w:tc>
        <w:tc>
          <w:tcPr>
            <w:tcW w:w="0" w:type="auto"/>
            <w:gridSpan w:val="3"/>
            <w:vAlign w:val="center"/>
            <w:hideMark/>
          </w:tcPr>
          <w:p w14:paraId="4E35E417" w14:textId="77777777" w:rsidR="00000000" w:rsidRDefault="00405D16">
            <w:pPr>
              <w:spacing w:after="100"/>
              <w:rPr>
                <w:rFonts w:eastAsia="Times New Roman"/>
                <w:sz w:val="20"/>
                <w:szCs w:val="20"/>
              </w:rPr>
            </w:pPr>
          </w:p>
        </w:tc>
        <w:tc>
          <w:tcPr>
            <w:tcW w:w="0" w:type="auto"/>
            <w:gridSpan w:val="3"/>
            <w:vAlign w:val="center"/>
            <w:hideMark/>
          </w:tcPr>
          <w:p w14:paraId="047C1E53" w14:textId="77777777" w:rsidR="00000000" w:rsidRDefault="00405D16">
            <w:pPr>
              <w:spacing w:after="100"/>
              <w:rPr>
                <w:rFonts w:eastAsia="Times New Roman"/>
                <w:sz w:val="20"/>
                <w:szCs w:val="20"/>
              </w:rPr>
            </w:pPr>
          </w:p>
        </w:tc>
        <w:tc>
          <w:tcPr>
            <w:tcW w:w="0" w:type="auto"/>
            <w:gridSpan w:val="2"/>
            <w:vAlign w:val="center"/>
            <w:hideMark/>
          </w:tcPr>
          <w:p w14:paraId="28A41312" w14:textId="77777777" w:rsidR="00000000" w:rsidRDefault="00405D16">
            <w:pPr>
              <w:spacing w:after="100"/>
              <w:rPr>
                <w:rFonts w:eastAsia="Times New Roman"/>
                <w:sz w:val="20"/>
                <w:szCs w:val="20"/>
              </w:rPr>
            </w:pPr>
          </w:p>
        </w:tc>
      </w:tr>
      <w:tr w:rsidR="00000000" w14:paraId="79A1504F" w14:textId="7777777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4831781" w14:textId="77777777" w:rsidR="00000000" w:rsidRDefault="00405D16">
            <w:pPr>
              <w:spacing w:after="100"/>
              <w:rPr>
                <w:rFonts w:eastAsia="Times New Roman"/>
              </w:rPr>
            </w:pPr>
            <w:r>
              <w:rPr>
                <w:rFonts w:eastAsia="Times New Roman"/>
                <w:b/>
                <w:bCs/>
                <w:color w:val="000000"/>
                <w:sz w:val="18"/>
                <w:szCs w:val="18"/>
              </w:rPr>
              <w:t>Balance sheet (period-end)</w:t>
            </w:r>
          </w:p>
        </w:tc>
        <w:tc>
          <w:tcPr>
            <w:tcW w:w="0" w:type="auto"/>
            <w:gridSpan w:val="3"/>
            <w:shd w:val="clear" w:color="auto" w:fill="CCEEFF"/>
            <w:tcMar>
              <w:top w:w="0" w:type="dxa"/>
              <w:left w:w="20" w:type="dxa"/>
              <w:bottom w:w="0" w:type="dxa"/>
              <w:right w:w="20" w:type="dxa"/>
            </w:tcMar>
            <w:vAlign w:val="center"/>
            <w:hideMark/>
          </w:tcPr>
          <w:p w14:paraId="6429AD4B"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DE9F2C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13C903"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913303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2D6355"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8488AF2" w14:textId="77777777" w:rsidR="00000000" w:rsidRDefault="00405D16">
            <w:pPr>
              <w:spacing w:after="100"/>
              <w:rPr>
                <w:rFonts w:eastAsia="Times New Roman"/>
                <w:sz w:val="20"/>
                <w:szCs w:val="20"/>
              </w:rPr>
            </w:pPr>
          </w:p>
        </w:tc>
        <w:tc>
          <w:tcPr>
            <w:tcW w:w="0" w:type="auto"/>
            <w:vAlign w:val="center"/>
            <w:hideMark/>
          </w:tcPr>
          <w:p w14:paraId="2207424E" w14:textId="77777777" w:rsidR="00000000" w:rsidRDefault="00405D16">
            <w:pPr>
              <w:spacing w:after="100"/>
              <w:rPr>
                <w:rFonts w:eastAsia="Times New Roman"/>
                <w:sz w:val="20"/>
                <w:szCs w:val="20"/>
              </w:rPr>
            </w:pPr>
          </w:p>
        </w:tc>
        <w:tc>
          <w:tcPr>
            <w:tcW w:w="0" w:type="auto"/>
            <w:vAlign w:val="center"/>
            <w:hideMark/>
          </w:tcPr>
          <w:p w14:paraId="0B875C64" w14:textId="77777777" w:rsidR="00000000" w:rsidRDefault="00405D16">
            <w:pPr>
              <w:spacing w:after="100"/>
              <w:rPr>
                <w:rFonts w:eastAsia="Times New Roman"/>
                <w:sz w:val="20"/>
                <w:szCs w:val="20"/>
              </w:rPr>
            </w:pPr>
          </w:p>
        </w:tc>
        <w:tc>
          <w:tcPr>
            <w:tcW w:w="0" w:type="auto"/>
            <w:vAlign w:val="center"/>
            <w:hideMark/>
          </w:tcPr>
          <w:p w14:paraId="62F028B1" w14:textId="77777777" w:rsidR="00000000" w:rsidRDefault="00405D16">
            <w:pPr>
              <w:spacing w:after="100"/>
              <w:rPr>
                <w:rFonts w:eastAsia="Times New Roman"/>
                <w:sz w:val="20"/>
                <w:szCs w:val="20"/>
              </w:rPr>
            </w:pPr>
          </w:p>
        </w:tc>
        <w:tc>
          <w:tcPr>
            <w:tcW w:w="0" w:type="auto"/>
            <w:vAlign w:val="center"/>
            <w:hideMark/>
          </w:tcPr>
          <w:p w14:paraId="3255E944" w14:textId="77777777" w:rsidR="00000000" w:rsidRDefault="00405D16">
            <w:pPr>
              <w:spacing w:after="100"/>
              <w:rPr>
                <w:rFonts w:eastAsia="Times New Roman"/>
                <w:sz w:val="20"/>
                <w:szCs w:val="20"/>
              </w:rPr>
            </w:pPr>
          </w:p>
        </w:tc>
        <w:tc>
          <w:tcPr>
            <w:tcW w:w="0" w:type="auto"/>
            <w:gridSpan w:val="3"/>
            <w:vAlign w:val="center"/>
            <w:hideMark/>
          </w:tcPr>
          <w:p w14:paraId="24E29CD0" w14:textId="77777777" w:rsidR="00000000" w:rsidRDefault="00405D16">
            <w:pPr>
              <w:spacing w:after="100"/>
              <w:rPr>
                <w:rFonts w:eastAsia="Times New Roman"/>
                <w:sz w:val="20"/>
                <w:szCs w:val="20"/>
              </w:rPr>
            </w:pPr>
          </w:p>
        </w:tc>
        <w:tc>
          <w:tcPr>
            <w:tcW w:w="0" w:type="auto"/>
            <w:gridSpan w:val="3"/>
            <w:vAlign w:val="center"/>
            <w:hideMark/>
          </w:tcPr>
          <w:p w14:paraId="24A69980" w14:textId="77777777" w:rsidR="00000000" w:rsidRDefault="00405D16">
            <w:pPr>
              <w:spacing w:after="100"/>
              <w:rPr>
                <w:rFonts w:eastAsia="Times New Roman"/>
                <w:sz w:val="20"/>
                <w:szCs w:val="20"/>
              </w:rPr>
            </w:pPr>
          </w:p>
        </w:tc>
        <w:tc>
          <w:tcPr>
            <w:tcW w:w="0" w:type="auto"/>
            <w:gridSpan w:val="3"/>
            <w:vAlign w:val="center"/>
            <w:hideMark/>
          </w:tcPr>
          <w:p w14:paraId="265B9759" w14:textId="77777777" w:rsidR="00000000" w:rsidRDefault="00405D16">
            <w:pPr>
              <w:spacing w:after="100"/>
              <w:rPr>
                <w:rFonts w:eastAsia="Times New Roman"/>
                <w:sz w:val="20"/>
                <w:szCs w:val="20"/>
              </w:rPr>
            </w:pPr>
          </w:p>
        </w:tc>
        <w:tc>
          <w:tcPr>
            <w:tcW w:w="0" w:type="auto"/>
            <w:gridSpan w:val="3"/>
            <w:vAlign w:val="center"/>
            <w:hideMark/>
          </w:tcPr>
          <w:p w14:paraId="22C9EEA0" w14:textId="77777777" w:rsidR="00000000" w:rsidRDefault="00405D16">
            <w:pPr>
              <w:spacing w:after="100"/>
              <w:rPr>
                <w:rFonts w:eastAsia="Times New Roman"/>
                <w:sz w:val="20"/>
                <w:szCs w:val="20"/>
              </w:rPr>
            </w:pPr>
          </w:p>
        </w:tc>
        <w:tc>
          <w:tcPr>
            <w:tcW w:w="0" w:type="auto"/>
            <w:gridSpan w:val="3"/>
            <w:vAlign w:val="center"/>
            <w:hideMark/>
          </w:tcPr>
          <w:p w14:paraId="37D439EE" w14:textId="77777777" w:rsidR="00000000" w:rsidRDefault="00405D16">
            <w:pPr>
              <w:spacing w:after="100"/>
              <w:rPr>
                <w:rFonts w:eastAsia="Times New Roman"/>
                <w:sz w:val="20"/>
                <w:szCs w:val="20"/>
              </w:rPr>
            </w:pPr>
          </w:p>
        </w:tc>
        <w:tc>
          <w:tcPr>
            <w:tcW w:w="0" w:type="auto"/>
            <w:gridSpan w:val="3"/>
            <w:vAlign w:val="center"/>
            <w:hideMark/>
          </w:tcPr>
          <w:p w14:paraId="63BF3614" w14:textId="77777777" w:rsidR="00000000" w:rsidRDefault="00405D16">
            <w:pPr>
              <w:spacing w:after="100"/>
              <w:rPr>
                <w:rFonts w:eastAsia="Times New Roman"/>
                <w:sz w:val="20"/>
                <w:szCs w:val="20"/>
              </w:rPr>
            </w:pPr>
          </w:p>
        </w:tc>
        <w:tc>
          <w:tcPr>
            <w:tcW w:w="0" w:type="auto"/>
            <w:gridSpan w:val="3"/>
            <w:vAlign w:val="center"/>
            <w:hideMark/>
          </w:tcPr>
          <w:p w14:paraId="398A7635" w14:textId="77777777" w:rsidR="00000000" w:rsidRDefault="00405D16">
            <w:pPr>
              <w:spacing w:after="100"/>
              <w:rPr>
                <w:rFonts w:eastAsia="Times New Roman"/>
                <w:sz w:val="20"/>
                <w:szCs w:val="20"/>
              </w:rPr>
            </w:pPr>
          </w:p>
        </w:tc>
        <w:tc>
          <w:tcPr>
            <w:tcW w:w="0" w:type="auto"/>
            <w:gridSpan w:val="3"/>
            <w:vAlign w:val="center"/>
            <w:hideMark/>
          </w:tcPr>
          <w:p w14:paraId="0FE59A09" w14:textId="77777777" w:rsidR="00000000" w:rsidRDefault="00405D16">
            <w:pPr>
              <w:spacing w:after="100"/>
              <w:rPr>
                <w:rFonts w:eastAsia="Times New Roman"/>
                <w:sz w:val="20"/>
                <w:szCs w:val="20"/>
              </w:rPr>
            </w:pPr>
          </w:p>
        </w:tc>
        <w:tc>
          <w:tcPr>
            <w:tcW w:w="0" w:type="auto"/>
            <w:gridSpan w:val="3"/>
            <w:vAlign w:val="center"/>
            <w:hideMark/>
          </w:tcPr>
          <w:p w14:paraId="76530962" w14:textId="77777777" w:rsidR="00000000" w:rsidRDefault="00405D16">
            <w:pPr>
              <w:spacing w:after="100"/>
              <w:rPr>
                <w:rFonts w:eastAsia="Times New Roman"/>
                <w:sz w:val="20"/>
                <w:szCs w:val="20"/>
              </w:rPr>
            </w:pPr>
          </w:p>
        </w:tc>
        <w:tc>
          <w:tcPr>
            <w:tcW w:w="0" w:type="auto"/>
            <w:gridSpan w:val="2"/>
            <w:vAlign w:val="center"/>
            <w:hideMark/>
          </w:tcPr>
          <w:p w14:paraId="6A9BE4B1" w14:textId="77777777" w:rsidR="00000000" w:rsidRDefault="00405D16">
            <w:pPr>
              <w:spacing w:after="100"/>
              <w:rPr>
                <w:rFonts w:eastAsia="Times New Roman"/>
                <w:sz w:val="20"/>
                <w:szCs w:val="20"/>
              </w:rPr>
            </w:pPr>
          </w:p>
        </w:tc>
      </w:tr>
      <w:tr w:rsidR="00000000" w14:paraId="758ADCBF" w14:textId="77777777">
        <w:tc>
          <w:tcPr>
            <w:tcW w:w="0" w:type="auto"/>
            <w:gridSpan w:val="3"/>
            <w:shd w:val="clear" w:color="auto" w:fill="FFFFFF"/>
            <w:tcMar>
              <w:top w:w="30" w:type="dxa"/>
              <w:left w:w="20" w:type="dxa"/>
              <w:bottom w:w="30" w:type="dxa"/>
              <w:right w:w="20" w:type="dxa"/>
            </w:tcMar>
            <w:vAlign w:val="center"/>
            <w:hideMark/>
          </w:tcPr>
          <w:p w14:paraId="3C92EA20" w14:textId="77777777" w:rsidR="00000000" w:rsidRDefault="00405D16">
            <w:pPr>
              <w:spacing w:after="100"/>
              <w:rPr>
                <w:rFonts w:eastAsia="Times New Roman"/>
              </w:rPr>
            </w:pPr>
            <w:r>
              <w:rPr>
                <w:rFonts w:eastAsia="Times New Roman"/>
                <w:color w:val="000000"/>
                <w:sz w:val="18"/>
                <w:szCs w:val="18"/>
              </w:rPr>
              <w:t>Loans held for investment</w:t>
            </w:r>
          </w:p>
        </w:tc>
        <w:tc>
          <w:tcPr>
            <w:tcW w:w="0" w:type="auto"/>
            <w:gridSpan w:val="3"/>
            <w:shd w:val="clear" w:color="auto" w:fill="FFFFFF"/>
            <w:tcMar>
              <w:top w:w="0" w:type="dxa"/>
              <w:left w:w="20" w:type="dxa"/>
              <w:bottom w:w="0" w:type="dxa"/>
              <w:right w:w="20" w:type="dxa"/>
            </w:tcMar>
            <w:vAlign w:val="center"/>
            <w:hideMark/>
          </w:tcPr>
          <w:p w14:paraId="6B2C982D"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28D6EC49"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583382C3" w14:textId="77777777" w:rsidR="00000000" w:rsidRDefault="00405D16">
            <w:pPr>
              <w:spacing w:after="100"/>
              <w:jc w:val="right"/>
              <w:rPr>
                <w:rFonts w:eastAsia="Times New Roman"/>
              </w:rPr>
            </w:pPr>
            <w:r>
              <w:rPr>
                <w:rFonts w:eastAsia="Times New Roman"/>
                <w:b/>
                <w:bCs/>
                <w:color w:val="000000"/>
                <w:sz w:val="18"/>
                <w:szCs w:val="18"/>
              </w:rPr>
              <w:t>261,390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B2C4F4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EB1C5A"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FABB1AA"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38CBA219" w14:textId="77777777" w:rsidR="00000000" w:rsidRDefault="00405D16">
            <w:pPr>
              <w:spacing w:after="100"/>
              <w:jc w:val="right"/>
              <w:rPr>
                <w:rFonts w:eastAsia="Times New Roman"/>
              </w:rPr>
            </w:pPr>
            <w:r>
              <w:rPr>
                <w:rFonts w:eastAsia="Times New Roman"/>
                <w:color w:val="000000"/>
                <w:sz w:val="18"/>
                <w:szCs w:val="18"/>
              </w:rPr>
              <w:t>251,624 </w:t>
            </w:r>
          </w:p>
        </w:tc>
        <w:tc>
          <w:tcPr>
            <w:tcW w:w="0" w:type="auto"/>
            <w:shd w:val="clear" w:color="auto" w:fill="FFFFFF"/>
            <w:tcMar>
              <w:top w:w="30" w:type="dxa"/>
              <w:left w:w="0" w:type="dxa"/>
              <w:bottom w:w="30" w:type="dxa"/>
              <w:right w:w="20" w:type="dxa"/>
            </w:tcMar>
            <w:vAlign w:val="center"/>
            <w:hideMark/>
          </w:tcPr>
          <w:p w14:paraId="77165CA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EDDFD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3B02AB8" w14:textId="77777777" w:rsidR="00000000" w:rsidRDefault="00405D16">
            <w:pPr>
              <w:spacing w:after="100"/>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14:paraId="2863ADDC" w14:textId="77777777" w:rsidR="00000000" w:rsidRDefault="00405D16">
            <w:pPr>
              <w:spacing w:after="100"/>
              <w:jc w:val="right"/>
              <w:rPr>
                <w:rFonts w:eastAsia="Times New Roman"/>
              </w:rPr>
            </w:pPr>
            <w:r>
              <w:rPr>
                <w:rFonts w:eastAsia="Times New Roman"/>
                <w:color w:val="000000"/>
                <w:sz w:val="18"/>
                <w:szCs w:val="18"/>
              </w:rPr>
              <w:t>%</w:t>
            </w:r>
          </w:p>
        </w:tc>
        <w:tc>
          <w:tcPr>
            <w:tcW w:w="0" w:type="auto"/>
            <w:vAlign w:val="center"/>
            <w:hideMark/>
          </w:tcPr>
          <w:p w14:paraId="1311A2AC" w14:textId="77777777" w:rsidR="00000000" w:rsidRDefault="00405D16">
            <w:pPr>
              <w:spacing w:after="100"/>
              <w:jc w:val="right"/>
              <w:rPr>
                <w:rFonts w:eastAsia="Times New Roman"/>
              </w:rPr>
            </w:pPr>
          </w:p>
        </w:tc>
        <w:tc>
          <w:tcPr>
            <w:tcW w:w="0" w:type="auto"/>
            <w:vAlign w:val="center"/>
            <w:hideMark/>
          </w:tcPr>
          <w:p w14:paraId="269A5A7B" w14:textId="77777777" w:rsidR="00000000" w:rsidRDefault="00405D16">
            <w:pPr>
              <w:spacing w:after="100"/>
              <w:rPr>
                <w:rFonts w:eastAsia="Times New Roman"/>
                <w:sz w:val="20"/>
                <w:szCs w:val="20"/>
              </w:rPr>
            </w:pPr>
          </w:p>
        </w:tc>
        <w:tc>
          <w:tcPr>
            <w:tcW w:w="0" w:type="auto"/>
            <w:vAlign w:val="center"/>
            <w:hideMark/>
          </w:tcPr>
          <w:p w14:paraId="0A8DEACB" w14:textId="77777777" w:rsidR="00000000" w:rsidRDefault="00405D16">
            <w:pPr>
              <w:spacing w:after="100"/>
              <w:rPr>
                <w:rFonts w:eastAsia="Times New Roman"/>
                <w:sz w:val="20"/>
                <w:szCs w:val="20"/>
              </w:rPr>
            </w:pPr>
          </w:p>
        </w:tc>
        <w:tc>
          <w:tcPr>
            <w:tcW w:w="0" w:type="auto"/>
            <w:vAlign w:val="center"/>
            <w:hideMark/>
          </w:tcPr>
          <w:p w14:paraId="01751384" w14:textId="77777777" w:rsidR="00000000" w:rsidRDefault="00405D16">
            <w:pPr>
              <w:spacing w:after="100"/>
              <w:rPr>
                <w:rFonts w:eastAsia="Times New Roman"/>
                <w:sz w:val="20"/>
                <w:szCs w:val="20"/>
              </w:rPr>
            </w:pPr>
          </w:p>
        </w:tc>
        <w:tc>
          <w:tcPr>
            <w:tcW w:w="0" w:type="auto"/>
            <w:gridSpan w:val="3"/>
            <w:vAlign w:val="center"/>
            <w:hideMark/>
          </w:tcPr>
          <w:p w14:paraId="037A510D" w14:textId="77777777" w:rsidR="00000000" w:rsidRDefault="00405D16">
            <w:pPr>
              <w:spacing w:after="100"/>
              <w:rPr>
                <w:rFonts w:eastAsia="Times New Roman"/>
                <w:sz w:val="20"/>
                <w:szCs w:val="20"/>
              </w:rPr>
            </w:pPr>
          </w:p>
        </w:tc>
        <w:tc>
          <w:tcPr>
            <w:tcW w:w="0" w:type="auto"/>
            <w:gridSpan w:val="3"/>
            <w:vAlign w:val="center"/>
            <w:hideMark/>
          </w:tcPr>
          <w:p w14:paraId="068405A4" w14:textId="77777777" w:rsidR="00000000" w:rsidRDefault="00405D16">
            <w:pPr>
              <w:spacing w:after="100"/>
              <w:rPr>
                <w:rFonts w:eastAsia="Times New Roman"/>
                <w:sz w:val="20"/>
                <w:szCs w:val="20"/>
              </w:rPr>
            </w:pPr>
          </w:p>
        </w:tc>
        <w:tc>
          <w:tcPr>
            <w:tcW w:w="0" w:type="auto"/>
            <w:gridSpan w:val="3"/>
            <w:vAlign w:val="center"/>
            <w:hideMark/>
          </w:tcPr>
          <w:p w14:paraId="11D9201B" w14:textId="77777777" w:rsidR="00000000" w:rsidRDefault="00405D16">
            <w:pPr>
              <w:spacing w:after="100"/>
              <w:rPr>
                <w:rFonts w:eastAsia="Times New Roman"/>
                <w:sz w:val="20"/>
                <w:szCs w:val="20"/>
              </w:rPr>
            </w:pPr>
          </w:p>
        </w:tc>
        <w:tc>
          <w:tcPr>
            <w:tcW w:w="0" w:type="auto"/>
            <w:gridSpan w:val="3"/>
            <w:vAlign w:val="center"/>
            <w:hideMark/>
          </w:tcPr>
          <w:p w14:paraId="51B176DD" w14:textId="77777777" w:rsidR="00000000" w:rsidRDefault="00405D16">
            <w:pPr>
              <w:spacing w:after="100"/>
              <w:rPr>
                <w:rFonts w:eastAsia="Times New Roman"/>
                <w:sz w:val="20"/>
                <w:szCs w:val="20"/>
              </w:rPr>
            </w:pPr>
          </w:p>
        </w:tc>
        <w:tc>
          <w:tcPr>
            <w:tcW w:w="0" w:type="auto"/>
            <w:gridSpan w:val="3"/>
            <w:vAlign w:val="center"/>
            <w:hideMark/>
          </w:tcPr>
          <w:p w14:paraId="2029D680" w14:textId="77777777" w:rsidR="00000000" w:rsidRDefault="00405D16">
            <w:pPr>
              <w:spacing w:after="100"/>
              <w:rPr>
                <w:rFonts w:eastAsia="Times New Roman"/>
                <w:sz w:val="20"/>
                <w:szCs w:val="20"/>
              </w:rPr>
            </w:pPr>
          </w:p>
        </w:tc>
        <w:tc>
          <w:tcPr>
            <w:tcW w:w="0" w:type="auto"/>
            <w:gridSpan w:val="3"/>
            <w:vAlign w:val="center"/>
            <w:hideMark/>
          </w:tcPr>
          <w:p w14:paraId="0016BAA8" w14:textId="77777777" w:rsidR="00000000" w:rsidRDefault="00405D16">
            <w:pPr>
              <w:spacing w:after="100"/>
              <w:rPr>
                <w:rFonts w:eastAsia="Times New Roman"/>
                <w:sz w:val="20"/>
                <w:szCs w:val="20"/>
              </w:rPr>
            </w:pPr>
          </w:p>
        </w:tc>
        <w:tc>
          <w:tcPr>
            <w:tcW w:w="0" w:type="auto"/>
            <w:gridSpan w:val="3"/>
            <w:vAlign w:val="center"/>
            <w:hideMark/>
          </w:tcPr>
          <w:p w14:paraId="03035D75" w14:textId="77777777" w:rsidR="00000000" w:rsidRDefault="00405D16">
            <w:pPr>
              <w:spacing w:after="100"/>
              <w:rPr>
                <w:rFonts w:eastAsia="Times New Roman"/>
                <w:sz w:val="20"/>
                <w:szCs w:val="20"/>
              </w:rPr>
            </w:pPr>
          </w:p>
        </w:tc>
        <w:tc>
          <w:tcPr>
            <w:tcW w:w="0" w:type="auto"/>
            <w:gridSpan w:val="3"/>
            <w:vAlign w:val="center"/>
            <w:hideMark/>
          </w:tcPr>
          <w:p w14:paraId="3324FB3E" w14:textId="77777777" w:rsidR="00000000" w:rsidRDefault="00405D16">
            <w:pPr>
              <w:spacing w:after="100"/>
              <w:rPr>
                <w:rFonts w:eastAsia="Times New Roman"/>
                <w:sz w:val="20"/>
                <w:szCs w:val="20"/>
              </w:rPr>
            </w:pPr>
          </w:p>
        </w:tc>
        <w:tc>
          <w:tcPr>
            <w:tcW w:w="0" w:type="auto"/>
            <w:gridSpan w:val="3"/>
            <w:vAlign w:val="center"/>
            <w:hideMark/>
          </w:tcPr>
          <w:p w14:paraId="2CC74153" w14:textId="77777777" w:rsidR="00000000" w:rsidRDefault="00405D16">
            <w:pPr>
              <w:spacing w:after="100"/>
              <w:rPr>
                <w:rFonts w:eastAsia="Times New Roman"/>
                <w:sz w:val="20"/>
                <w:szCs w:val="20"/>
              </w:rPr>
            </w:pPr>
          </w:p>
        </w:tc>
        <w:tc>
          <w:tcPr>
            <w:tcW w:w="0" w:type="auto"/>
            <w:gridSpan w:val="2"/>
            <w:vAlign w:val="center"/>
            <w:hideMark/>
          </w:tcPr>
          <w:p w14:paraId="7321DF92" w14:textId="77777777" w:rsidR="00000000" w:rsidRDefault="00405D16">
            <w:pPr>
              <w:spacing w:after="100"/>
              <w:rPr>
                <w:rFonts w:eastAsia="Times New Roman"/>
                <w:sz w:val="20"/>
                <w:szCs w:val="20"/>
              </w:rPr>
            </w:pPr>
          </w:p>
        </w:tc>
      </w:tr>
      <w:tr w:rsidR="00000000" w14:paraId="402A1EA3" w14:textId="77777777">
        <w:tc>
          <w:tcPr>
            <w:tcW w:w="0" w:type="auto"/>
            <w:gridSpan w:val="3"/>
            <w:shd w:val="clear" w:color="auto" w:fill="CCEEFF"/>
            <w:tcMar>
              <w:top w:w="30" w:type="dxa"/>
              <w:left w:w="20" w:type="dxa"/>
              <w:bottom w:w="30" w:type="dxa"/>
              <w:right w:w="20" w:type="dxa"/>
            </w:tcMar>
            <w:vAlign w:val="center"/>
            <w:hideMark/>
          </w:tcPr>
          <w:p w14:paraId="6B437D33" w14:textId="77777777" w:rsidR="00000000" w:rsidRDefault="00405D16">
            <w:pPr>
              <w:spacing w:after="100"/>
              <w:rPr>
                <w:rFonts w:eastAsia="Times New Roman"/>
              </w:rPr>
            </w:pPr>
            <w:r>
              <w:rPr>
                <w:rFonts w:eastAsia="Times New Roman"/>
                <w:color w:val="000000"/>
                <w:sz w:val="18"/>
                <w:szCs w:val="18"/>
              </w:rPr>
              <w:t>Interest-earning assets</w:t>
            </w:r>
          </w:p>
        </w:tc>
        <w:tc>
          <w:tcPr>
            <w:tcW w:w="0" w:type="auto"/>
            <w:gridSpan w:val="3"/>
            <w:shd w:val="clear" w:color="auto" w:fill="CCEEFF"/>
            <w:tcMar>
              <w:top w:w="0" w:type="dxa"/>
              <w:left w:w="20" w:type="dxa"/>
              <w:bottom w:w="0" w:type="dxa"/>
              <w:right w:w="20" w:type="dxa"/>
            </w:tcMar>
            <w:vAlign w:val="center"/>
            <w:hideMark/>
          </w:tcPr>
          <w:p w14:paraId="17270A70"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FC8165F" w14:textId="77777777" w:rsidR="00000000" w:rsidRDefault="00405D16">
            <w:pPr>
              <w:spacing w:after="100"/>
              <w:jc w:val="right"/>
              <w:rPr>
                <w:rFonts w:eastAsia="Times New Roman"/>
              </w:rPr>
            </w:pPr>
            <w:r>
              <w:rPr>
                <w:rFonts w:eastAsia="Times New Roman"/>
                <w:b/>
                <w:bCs/>
                <w:color w:val="000000"/>
                <w:sz w:val="18"/>
                <w:szCs w:val="18"/>
              </w:rPr>
              <w:t>387,208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A0F106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F4393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A440D55" w14:textId="77777777" w:rsidR="00000000" w:rsidRDefault="00405D16">
            <w:pPr>
              <w:spacing w:after="100"/>
              <w:jc w:val="right"/>
              <w:rPr>
                <w:rFonts w:eastAsia="Times New Roman"/>
              </w:rPr>
            </w:pPr>
            <w:r>
              <w:rPr>
                <w:rFonts w:eastAsia="Times New Roman"/>
                <w:color w:val="000000"/>
                <w:sz w:val="18"/>
                <w:szCs w:val="18"/>
              </w:rPr>
              <w:t>388,917 </w:t>
            </w:r>
          </w:p>
        </w:tc>
        <w:tc>
          <w:tcPr>
            <w:tcW w:w="0" w:type="auto"/>
            <w:shd w:val="clear" w:color="auto" w:fill="CCEEFF"/>
            <w:tcMar>
              <w:top w:w="30" w:type="dxa"/>
              <w:left w:w="0" w:type="dxa"/>
              <w:bottom w:w="30" w:type="dxa"/>
              <w:right w:w="20" w:type="dxa"/>
            </w:tcMar>
            <w:vAlign w:val="center"/>
            <w:hideMark/>
          </w:tcPr>
          <w:p w14:paraId="5FC0569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C78B9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2440A49" w14:textId="77777777" w:rsidR="00000000" w:rsidRDefault="00405D16">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74B5CEC" w14:textId="77777777" w:rsidR="00000000" w:rsidRDefault="00405D16">
            <w:pPr>
              <w:spacing w:after="100"/>
              <w:jc w:val="right"/>
              <w:rPr>
                <w:rFonts w:eastAsia="Times New Roman"/>
              </w:rPr>
            </w:pPr>
          </w:p>
        </w:tc>
        <w:tc>
          <w:tcPr>
            <w:tcW w:w="0" w:type="auto"/>
            <w:vAlign w:val="center"/>
            <w:hideMark/>
          </w:tcPr>
          <w:p w14:paraId="2138B1BD" w14:textId="77777777" w:rsidR="00000000" w:rsidRDefault="00405D16">
            <w:pPr>
              <w:spacing w:after="100"/>
              <w:jc w:val="right"/>
              <w:rPr>
                <w:rFonts w:eastAsia="Times New Roman"/>
                <w:sz w:val="20"/>
                <w:szCs w:val="20"/>
              </w:rPr>
            </w:pPr>
          </w:p>
        </w:tc>
        <w:tc>
          <w:tcPr>
            <w:tcW w:w="0" w:type="auto"/>
            <w:vAlign w:val="center"/>
            <w:hideMark/>
          </w:tcPr>
          <w:p w14:paraId="170757A2" w14:textId="77777777" w:rsidR="00000000" w:rsidRDefault="00405D16">
            <w:pPr>
              <w:spacing w:after="100"/>
              <w:rPr>
                <w:rFonts w:eastAsia="Times New Roman"/>
                <w:sz w:val="20"/>
                <w:szCs w:val="20"/>
              </w:rPr>
            </w:pPr>
          </w:p>
        </w:tc>
        <w:tc>
          <w:tcPr>
            <w:tcW w:w="0" w:type="auto"/>
            <w:vAlign w:val="center"/>
            <w:hideMark/>
          </w:tcPr>
          <w:p w14:paraId="0FB9AFA1" w14:textId="77777777" w:rsidR="00000000" w:rsidRDefault="00405D16">
            <w:pPr>
              <w:spacing w:after="100"/>
              <w:rPr>
                <w:rFonts w:eastAsia="Times New Roman"/>
                <w:sz w:val="20"/>
                <w:szCs w:val="20"/>
              </w:rPr>
            </w:pPr>
          </w:p>
        </w:tc>
        <w:tc>
          <w:tcPr>
            <w:tcW w:w="0" w:type="auto"/>
            <w:vAlign w:val="center"/>
            <w:hideMark/>
          </w:tcPr>
          <w:p w14:paraId="61937BCB" w14:textId="77777777" w:rsidR="00000000" w:rsidRDefault="00405D16">
            <w:pPr>
              <w:spacing w:after="100"/>
              <w:rPr>
                <w:rFonts w:eastAsia="Times New Roman"/>
                <w:sz w:val="20"/>
                <w:szCs w:val="20"/>
              </w:rPr>
            </w:pPr>
          </w:p>
        </w:tc>
        <w:tc>
          <w:tcPr>
            <w:tcW w:w="0" w:type="auto"/>
            <w:gridSpan w:val="3"/>
            <w:vAlign w:val="center"/>
            <w:hideMark/>
          </w:tcPr>
          <w:p w14:paraId="7200FF72" w14:textId="77777777" w:rsidR="00000000" w:rsidRDefault="00405D16">
            <w:pPr>
              <w:spacing w:after="100"/>
              <w:rPr>
                <w:rFonts w:eastAsia="Times New Roman"/>
                <w:sz w:val="20"/>
                <w:szCs w:val="20"/>
              </w:rPr>
            </w:pPr>
          </w:p>
        </w:tc>
        <w:tc>
          <w:tcPr>
            <w:tcW w:w="0" w:type="auto"/>
            <w:gridSpan w:val="3"/>
            <w:vAlign w:val="center"/>
            <w:hideMark/>
          </w:tcPr>
          <w:p w14:paraId="2B54BD6A" w14:textId="77777777" w:rsidR="00000000" w:rsidRDefault="00405D16">
            <w:pPr>
              <w:spacing w:after="100"/>
              <w:rPr>
                <w:rFonts w:eastAsia="Times New Roman"/>
                <w:sz w:val="20"/>
                <w:szCs w:val="20"/>
              </w:rPr>
            </w:pPr>
          </w:p>
        </w:tc>
        <w:tc>
          <w:tcPr>
            <w:tcW w:w="0" w:type="auto"/>
            <w:gridSpan w:val="3"/>
            <w:vAlign w:val="center"/>
            <w:hideMark/>
          </w:tcPr>
          <w:p w14:paraId="6CF34EDE" w14:textId="77777777" w:rsidR="00000000" w:rsidRDefault="00405D16">
            <w:pPr>
              <w:spacing w:after="100"/>
              <w:rPr>
                <w:rFonts w:eastAsia="Times New Roman"/>
                <w:sz w:val="20"/>
                <w:szCs w:val="20"/>
              </w:rPr>
            </w:pPr>
          </w:p>
        </w:tc>
        <w:tc>
          <w:tcPr>
            <w:tcW w:w="0" w:type="auto"/>
            <w:gridSpan w:val="3"/>
            <w:vAlign w:val="center"/>
            <w:hideMark/>
          </w:tcPr>
          <w:p w14:paraId="4D257FCD" w14:textId="77777777" w:rsidR="00000000" w:rsidRDefault="00405D16">
            <w:pPr>
              <w:spacing w:after="100"/>
              <w:rPr>
                <w:rFonts w:eastAsia="Times New Roman"/>
                <w:sz w:val="20"/>
                <w:szCs w:val="20"/>
              </w:rPr>
            </w:pPr>
          </w:p>
        </w:tc>
        <w:tc>
          <w:tcPr>
            <w:tcW w:w="0" w:type="auto"/>
            <w:gridSpan w:val="3"/>
            <w:vAlign w:val="center"/>
            <w:hideMark/>
          </w:tcPr>
          <w:p w14:paraId="32A4BDB4" w14:textId="77777777" w:rsidR="00000000" w:rsidRDefault="00405D16">
            <w:pPr>
              <w:spacing w:after="100"/>
              <w:rPr>
                <w:rFonts w:eastAsia="Times New Roman"/>
                <w:sz w:val="20"/>
                <w:szCs w:val="20"/>
              </w:rPr>
            </w:pPr>
          </w:p>
        </w:tc>
        <w:tc>
          <w:tcPr>
            <w:tcW w:w="0" w:type="auto"/>
            <w:gridSpan w:val="3"/>
            <w:vAlign w:val="center"/>
            <w:hideMark/>
          </w:tcPr>
          <w:p w14:paraId="750E813F" w14:textId="77777777" w:rsidR="00000000" w:rsidRDefault="00405D16">
            <w:pPr>
              <w:spacing w:after="100"/>
              <w:rPr>
                <w:rFonts w:eastAsia="Times New Roman"/>
                <w:sz w:val="20"/>
                <w:szCs w:val="20"/>
              </w:rPr>
            </w:pPr>
          </w:p>
        </w:tc>
        <w:tc>
          <w:tcPr>
            <w:tcW w:w="0" w:type="auto"/>
            <w:gridSpan w:val="3"/>
            <w:vAlign w:val="center"/>
            <w:hideMark/>
          </w:tcPr>
          <w:p w14:paraId="48814C71" w14:textId="77777777" w:rsidR="00000000" w:rsidRDefault="00405D16">
            <w:pPr>
              <w:spacing w:after="100"/>
              <w:rPr>
                <w:rFonts w:eastAsia="Times New Roman"/>
                <w:sz w:val="20"/>
                <w:szCs w:val="20"/>
              </w:rPr>
            </w:pPr>
          </w:p>
        </w:tc>
        <w:tc>
          <w:tcPr>
            <w:tcW w:w="0" w:type="auto"/>
            <w:gridSpan w:val="3"/>
            <w:vAlign w:val="center"/>
            <w:hideMark/>
          </w:tcPr>
          <w:p w14:paraId="235E5CF3" w14:textId="77777777" w:rsidR="00000000" w:rsidRDefault="00405D16">
            <w:pPr>
              <w:spacing w:after="100"/>
              <w:rPr>
                <w:rFonts w:eastAsia="Times New Roman"/>
                <w:sz w:val="20"/>
                <w:szCs w:val="20"/>
              </w:rPr>
            </w:pPr>
          </w:p>
        </w:tc>
        <w:tc>
          <w:tcPr>
            <w:tcW w:w="0" w:type="auto"/>
            <w:gridSpan w:val="3"/>
            <w:vAlign w:val="center"/>
            <w:hideMark/>
          </w:tcPr>
          <w:p w14:paraId="76209E35" w14:textId="77777777" w:rsidR="00000000" w:rsidRDefault="00405D16">
            <w:pPr>
              <w:spacing w:after="100"/>
              <w:rPr>
                <w:rFonts w:eastAsia="Times New Roman"/>
                <w:sz w:val="20"/>
                <w:szCs w:val="20"/>
              </w:rPr>
            </w:pPr>
          </w:p>
        </w:tc>
        <w:tc>
          <w:tcPr>
            <w:tcW w:w="0" w:type="auto"/>
            <w:gridSpan w:val="2"/>
            <w:vAlign w:val="center"/>
            <w:hideMark/>
          </w:tcPr>
          <w:p w14:paraId="5C623F7A" w14:textId="77777777" w:rsidR="00000000" w:rsidRDefault="00405D16">
            <w:pPr>
              <w:spacing w:after="100"/>
              <w:rPr>
                <w:rFonts w:eastAsia="Times New Roman"/>
                <w:sz w:val="20"/>
                <w:szCs w:val="20"/>
              </w:rPr>
            </w:pPr>
          </w:p>
        </w:tc>
      </w:tr>
      <w:tr w:rsidR="00000000" w14:paraId="0073ADC8" w14:textId="77777777">
        <w:tc>
          <w:tcPr>
            <w:tcW w:w="0" w:type="auto"/>
            <w:gridSpan w:val="3"/>
            <w:shd w:val="clear" w:color="auto" w:fill="FFFFFF"/>
            <w:tcMar>
              <w:top w:w="30" w:type="dxa"/>
              <w:left w:w="20" w:type="dxa"/>
              <w:bottom w:w="30" w:type="dxa"/>
              <w:right w:w="20" w:type="dxa"/>
            </w:tcMar>
            <w:vAlign w:val="center"/>
            <w:hideMark/>
          </w:tcPr>
          <w:p w14:paraId="2AE61B99" w14:textId="77777777" w:rsidR="00000000" w:rsidRDefault="00405D16">
            <w:pPr>
              <w:spacing w:after="100"/>
              <w:rPr>
                <w:rFonts w:eastAsia="Times New Roman"/>
              </w:rPr>
            </w:pPr>
            <w:r>
              <w:rPr>
                <w:rFonts w:eastAsia="Times New Roman"/>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14:paraId="58BD81E4"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92CE257" w14:textId="77777777" w:rsidR="00000000" w:rsidRDefault="00405D16">
            <w:pPr>
              <w:spacing w:after="100"/>
              <w:jc w:val="right"/>
              <w:rPr>
                <w:rFonts w:eastAsia="Times New Roman"/>
              </w:rPr>
            </w:pPr>
            <w:r>
              <w:rPr>
                <w:rFonts w:eastAsia="Times New Roman"/>
                <w:b/>
                <w:bCs/>
                <w:color w:val="000000"/>
                <w:sz w:val="18"/>
                <w:szCs w:val="18"/>
              </w:rPr>
              <w:t>425,377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9F40DA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BBB43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5FDEDA2" w14:textId="77777777" w:rsidR="00000000" w:rsidRDefault="00405D16">
            <w:pPr>
              <w:spacing w:after="100"/>
              <w:jc w:val="right"/>
              <w:rPr>
                <w:rFonts w:eastAsia="Times New Roman"/>
              </w:rPr>
            </w:pPr>
            <w:r>
              <w:rPr>
                <w:rFonts w:eastAsia="Times New Roman"/>
                <w:color w:val="000000"/>
                <w:sz w:val="18"/>
                <w:szCs w:val="18"/>
              </w:rPr>
              <w:t>421,602 </w:t>
            </w:r>
          </w:p>
        </w:tc>
        <w:tc>
          <w:tcPr>
            <w:tcW w:w="0" w:type="auto"/>
            <w:shd w:val="clear" w:color="auto" w:fill="FFFFFF"/>
            <w:tcMar>
              <w:top w:w="30" w:type="dxa"/>
              <w:left w:w="0" w:type="dxa"/>
              <w:bottom w:w="30" w:type="dxa"/>
              <w:right w:w="20" w:type="dxa"/>
            </w:tcMar>
            <w:vAlign w:val="center"/>
            <w:hideMark/>
          </w:tcPr>
          <w:p w14:paraId="5992548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C11EA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4C29AB4" w14:textId="77777777" w:rsidR="00000000" w:rsidRDefault="00405D16">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14:paraId="48B5CCA6" w14:textId="77777777" w:rsidR="00000000" w:rsidRDefault="00405D16">
            <w:pPr>
              <w:spacing w:after="100"/>
              <w:jc w:val="right"/>
              <w:rPr>
                <w:rFonts w:eastAsia="Times New Roman"/>
              </w:rPr>
            </w:pPr>
          </w:p>
        </w:tc>
        <w:tc>
          <w:tcPr>
            <w:tcW w:w="0" w:type="auto"/>
            <w:vAlign w:val="center"/>
            <w:hideMark/>
          </w:tcPr>
          <w:p w14:paraId="0178CD4E" w14:textId="77777777" w:rsidR="00000000" w:rsidRDefault="00405D16">
            <w:pPr>
              <w:spacing w:after="100"/>
              <w:jc w:val="right"/>
              <w:rPr>
                <w:rFonts w:eastAsia="Times New Roman"/>
                <w:sz w:val="20"/>
                <w:szCs w:val="20"/>
              </w:rPr>
            </w:pPr>
          </w:p>
        </w:tc>
        <w:tc>
          <w:tcPr>
            <w:tcW w:w="0" w:type="auto"/>
            <w:vAlign w:val="center"/>
            <w:hideMark/>
          </w:tcPr>
          <w:p w14:paraId="1268EA60" w14:textId="77777777" w:rsidR="00000000" w:rsidRDefault="00405D16">
            <w:pPr>
              <w:spacing w:after="100"/>
              <w:rPr>
                <w:rFonts w:eastAsia="Times New Roman"/>
                <w:sz w:val="20"/>
                <w:szCs w:val="20"/>
              </w:rPr>
            </w:pPr>
          </w:p>
        </w:tc>
        <w:tc>
          <w:tcPr>
            <w:tcW w:w="0" w:type="auto"/>
            <w:vAlign w:val="center"/>
            <w:hideMark/>
          </w:tcPr>
          <w:p w14:paraId="5DF431D3" w14:textId="77777777" w:rsidR="00000000" w:rsidRDefault="00405D16">
            <w:pPr>
              <w:spacing w:after="100"/>
              <w:rPr>
                <w:rFonts w:eastAsia="Times New Roman"/>
                <w:sz w:val="20"/>
                <w:szCs w:val="20"/>
              </w:rPr>
            </w:pPr>
          </w:p>
        </w:tc>
        <w:tc>
          <w:tcPr>
            <w:tcW w:w="0" w:type="auto"/>
            <w:vAlign w:val="center"/>
            <w:hideMark/>
          </w:tcPr>
          <w:p w14:paraId="7C2865E5" w14:textId="77777777" w:rsidR="00000000" w:rsidRDefault="00405D16">
            <w:pPr>
              <w:spacing w:after="100"/>
              <w:rPr>
                <w:rFonts w:eastAsia="Times New Roman"/>
                <w:sz w:val="20"/>
                <w:szCs w:val="20"/>
              </w:rPr>
            </w:pPr>
          </w:p>
        </w:tc>
        <w:tc>
          <w:tcPr>
            <w:tcW w:w="0" w:type="auto"/>
            <w:gridSpan w:val="3"/>
            <w:vAlign w:val="center"/>
            <w:hideMark/>
          </w:tcPr>
          <w:p w14:paraId="34D9FC7A" w14:textId="77777777" w:rsidR="00000000" w:rsidRDefault="00405D16">
            <w:pPr>
              <w:spacing w:after="100"/>
              <w:rPr>
                <w:rFonts w:eastAsia="Times New Roman"/>
                <w:sz w:val="20"/>
                <w:szCs w:val="20"/>
              </w:rPr>
            </w:pPr>
          </w:p>
        </w:tc>
        <w:tc>
          <w:tcPr>
            <w:tcW w:w="0" w:type="auto"/>
            <w:gridSpan w:val="3"/>
            <w:vAlign w:val="center"/>
            <w:hideMark/>
          </w:tcPr>
          <w:p w14:paraId="29B79895" w14:textId="77777777" w:rsidR="00000000" w:rsidRDefault="00405D16">
            <w:pPr>
              <w:spacing w:after="100"/>
              <w:rPr>
                <w:rFonts w:eastAsia="Times New Roman"/>
                <w:sz w:val="20"/>
                <w:szCs w:val="20"/>
              </w:rPr>
            </w:pPr>
          </w:p>
        </w:tc>
        <w:tc>
          <w:tcPr>
            <w:tcW w:w="0" w:type="auto"/>
            <w:gridSpan w:val="3"/>
            <w:vAlign w:val="center"/>
            <w:hideMark/>
          </w:tcPr>
          <w:p w14:paraId="036551D1" w14:textId="77777777" w:rsidR="00000000" w:rsidRDefault="00405D16">
            <w:pPr>
              <w:spacing w:after="100"/>
              <w:rPr>
                <w:rFonts w:eastAsia="Times New Roman"/>
                <w:sz w:val="20"/>
                <w:szCs w:val="20"/>
              </w:rPr>
            </w:pPr>
          </w:p>
        </w:tc>
        <w:tc>
          <w:tcPr>
            <w:tcW w:w="0" w:type="auto"/>
            <w:gridSpan w:val="3"/>
            <w:vAlign w:val="center"/>
            <w:hideMark/>
          </w:tcPr>
          <w:p w14:paraId="61006F8D" w14:textId="77777777" w:rsidR="00000000" w:rsidRDefault="00405D16">
            <w:pPr>
              <w:spacing w:after="100"/>
              <w:rPr>
                <w:rFonts w:eastAsia="Times New Roman"/>
                <w:sz w:val="20"/>
                <w:szCs w:val="20"/>
              </w:rPr>
            </w:pPr>
          </w:p>
        </w:tc>
        <w:tc>
          <w:tcPr>
            <w:tcW w:w="0" w:type="auto"/>
            <w:gridSpan w:val="3"/>
            <w:vAlign w:val="center"/>
            <w:hideMark/>
          </w:tcPr>
          <w:p w14:paraId="68C47001" w14:textId="77777777" w:rsidR="00000000" w:rsidRDefault="00405D16">
            <w:pPr>
              <w:spacing w:after="100"/>
              <w:rPr>
                <w:rFonts w:eastAsia="Times New Roman"/>
                <w:sz w:val="20"/>
                <w:szCs w:val="20"/>
              </w:rPr>
            </w:pPr>
          </w:p>
        </w:tc>
        <w:tc>
          <w:tcPr>
            <w:tcW w:w="0" w:type="auto"/>
            <w:gridSpan w:val="3"/>
            <w:vAlign w:val="center"/>
            <w:hideMark/>
          </w:tcPr>
          <w:p w14:paraId="5309B2E6" w14:textId="77777777" w:rsidR="00000000" w:rsidRDefault="00405D16">
            <w:pPr>
              <w:spacing w:after="100"/>
              <w:rPr>
                <w:rFonts w:eastAsia="Times New Roman"/>
                <w:sz w:val="20"/>
                <w:szCs w:val="20"/>
              </w:rPr>
            </w:pPr>
          </w:p>
        </w:tc>
        <w:tc>
          <w:tcPr>
            <w:tcW w:w="0" w:type="auto"/>
            <w:gridSpan w:val="3"/>
            <w:vAlign w:val="center"/>
            <w:hideMark/>
          </w:tcPr>
          <w:p w14:paraId="362107E8" w14:textId="77777777" w:rsidR="00000000" w:rsidRDefault="00405D16">
            <w:pPr>
              <w:spacing w:after="100"/>
              <w:rPr>
                <w:rFonts w:eastAsia="Times New Roman"/>
                <w:sz w:val="20"/>
                <w:szCs w:val="20"/>
              </w:rPr>
            </w:pPr>
          </w:p>
        </w:tc>
        <w:tc>
          <w:tcPr>
            <w:tcW w:w="0" w:type="auto"/>
            <w:gridSpan w:val="3"/>
            <w:vAlign w:val="center"/>
            <w:hideMark/>
          </w:tcPr>
          <w:p w14:paraId="2C392DC4" w14:textId="77777777" w:rsidR="00000000" w:rsidRDefault="00405D16">
            <w:pPr>
              <w:spacing w:after="100"/>
              <w:rPr>
                <w:rFonts w:eastAsia="Times New Roman"/>
                <w:sz w:val="20"/>
                <w:szCs w:val="20"/>
              </w:rPr>
            </w:pPr>
          </w:p>
        </w:tc>
        <w:tc>
          <w:tcPr>
            <w:tcW w:w="0" w:type="auto"/>
            <w:gridSpan w:val="3"/>
            <w:vAlign w:val="center"/>
            <w:hideMark/>
          </w:tcPr>
          <w:p w14:paraId="289D93EB" w14:textId="77777777" w:rsidR="00000000" w:rsidRDefault="00405D16">
            <w:pPr>
              <w:spacing w:after="100"/>
              <w:rPr>
                <w:rFonts w:eastAsia="Times New Roman"/>
                <w:sz w:val="20"/>
                <w:szCs w:val="20"/>
              </w:rPr>
            </w:pPr>
          </w:p>
        </w:tc>
        <w:tc>
          <w:tcPr>
            <w:tcW w:w="0" w:type="auto"/>
            <w:gridSpan w:val="2"/>
            <w:vAlign w:val="center"/>
            <w:hideMark/>
          </w:tcPr>
          <w:p w14:paraId="40405E6F" w14:textId="77777777" w:rsidR="00000000" w:rsidRDefault="00405D16">
            <w:pPr>
              <w:spacing w:after="100"/>
              <w:rPr>
                <w:rFonts w:eastAsia="Times New Roman"/>
                <w:sz w:val="20"/>
                <w:szCs w:val="20"/>
              </w:rPr>
            </w:pPr>
          </w:p>
        </w:tc>
      </w:tr>
      <w:tr w:rsidR="00000000" w14:paraId="1AF79999" w14:textId="77777777">
        <w:tc>
          <w:tcPr>
            <w:tcW w:w="0" w:type="auto"/>
            <w:gridSpan w:val="3"/>
            <w:shd w:val="clear" w:color="auto" w:fill="CCEEFF"/>
            <w:tcMar>
              <w:top w:w="30" w:type="dxa"/>
              <w:left w:w="20" w:type="dxa"/>
              <w:bottom w:w="30" w:type="dxa"/>
              <w:right w:w="20" w:type="dxa"/>
            </w:tcMar>
            <w:vAlign w:val="center"/>
            <w:hideMark/>
          </w:tcPr>
          <w:p w14:paraId="70DE82E2" w14:textId="77777777" w:rsidR="00000000" w:rsidRDefault="00405D16">
            <w:pPr>
              <w:spacing w:after="100"/>
              <w:rPr>
                <w:rFonts w:eastAsia="Times New Roman"/>
              </w:rPr>
            </w:pPr>
            <w:r>
              <w:rPr>
                <w:rFonts w:eastAsia="Times New Roman"/>
                <w:color w:val="000000"/>
                <w:sz w:val="18"/>
                <w:szCs w:val="18"/>
              </w:rPr>
              <w:t>Interest-bearing deposits</w:t>
            </w:r>
          </w:p>
        </w:tc>
        <w:tc>
          <w:tcPr>
            <w:tcW w:w="0" w:type="auto"/>
            <w:gridSpan w:val="3"/>
            <w:shd w:val="clear" w:color="auto" w:fill="CCEEFF"/>
            <w:tcMar>
              <w:top w:w="0" w:type="dxa"/>
              <w:left w:w="20" w:type="dxa"/>
              <w:bottom w:w="0" w:type="dxa"/>
              <w:right w:w="20" w:type="dxa"/>
            </w:tcMar>
            <w:vAlign w:val="center"/>
            <w:hideMark/>
          </w:tcPr>
          <w:p w14:paraId="234FFEE8"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EF2D163" w14:textId="77777777" w:rsidR="00000000" w:rsidRDefault="00405D16">
            <w:pPr>
              <w:spacing w:after="100"/>
              <w:jc w:val="right"/>
              <w:rPr>
                <w:rFonts w:eastAsia="Times New Roman"/>
              </w:rPr>
            </w:pPr>
            <w:r>
              <w:rPr>
                <w:rFonts w:eastAsia="Times New Roman"/>
                <w:b/>
                <w:bCs/>
                <w:color w:val="000000"/>
                <w:sz w:val="18"/>
                <w:szCs w:val="18"/>
              </w:rPr>
              <w:t>269,134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457AB4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52238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42A9583" w14:textId="77777777" w:rsidR="00000000" w:rsidRDefault="00405D16">
            <w:pPr>
              <w:spacing w:after="100"/>
              <w:jc w:val="right"/>
              <w:rPr>
                <w:rFonts w:eastAsia="Times New Roman"/>
              </w:rPr>
            </w:pPr>
            <w:r>
              <w:rPr>
                <w:rFonts w:eastAsia="Times New Roman"/>
                <w:color w:val="000000"/>
                <w:sz w:val="18"/>
                <w:szCs w:val="18"/>
              </w:rPr>
              <w:t>274,300 </w:t>
            </w:r>
          </w:p>
        </w:tc>
        <w:tc>
          <w:tcPr>
            <w:tcW w:w="0" w:type="auto"/>
            <w:shd w:val="clear" w:color="auto" w:fill="CCEEFF"/>
            <w:tcMar>
              <w:top w:w="30" w:type="dxa"/>
              <w:left w:w="0" w:type="dxa"/>
              <w:bottom w:w="30" w:type="dxa"/>
              <w:right w:w="20" w:type="dxa"/>
            </w:tcMar>
            <w:vAlign w:val="center"/>
            <w:hideMark/>
          </w:tcPr>
          <w:p w14:paraId="50B6B2C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F4931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0BBD8A9" w14:textId="77777777" w:rsidR="00000000" w:rsidRDefault="00405D16">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center"/>
            <w:hideMark/>
          </w:tcPr>
          <w:p w14:paraId="0173962D" w14:textId="77777777" w:rsidR="00000000" w:rsidRDefault="00405D16">
            <w:pPr>
              <w:spacing w:after="100"/>
              <w:jc w:val="right"/>
              <w:rPr>
                <w:rFonts w:eastAsia="Times New Roman"/>
              </w:rPr>
            </w:pPr>
          </w:p>
        </w:tc>
        <w:tc>
          <w:tcPr>
            <w:tcW w:w="0" w:type="auto"/>
            <w:vAlign w:val="center"/>
            <w:hideMark/>
          </w:tcPr>
          <w:p w14:paraId="4A54FA77" w14:textId="77777777" w:rsidR="00000000" w:rsidRDefault="00405D16">
            <w:pPr>
              <w:spacing w:after="100"/>
              <w:jc w:val="right"/>
              <w:rPr>
                <w:rFonts w:eastAsia="Times New Roman"/>
                <w:sz w:val="20"/>
                <w:szCs w:val="20"/>
              </w:rPr>
            </w:pPr>
          </w:p>
        </w:tc>
        <w:tc>
          <w:tcPr>
            <w:tcW w:w="0" w:type="auto"/>
            <w:vAlign w:val="center"/>
            <w:hideMark/>
          </w:tcPr>
          <w:p w14:paraId="391970F6" w14:textId="77777777" w:rsidR="00000000" w:rsidRDefault="00405D16">
            <w:pPr>
              <w:spacing w:after="100"/>
              <w:rPr>
                <w:rFonts w:eastAsia="Times New Roman"/>
                <w:sz w:val="20"/>
                <w:szCs w:val="20"/>
              </w:rPr>
            </w:pPr>
          </w:p>
        </w:tc>
        <w:tc>
          <w:tcPr>
            <w:tcW w:w="0" w:type="auto"/>
            <w:vAlign w:val="center"/>
            <w:hideMark/>
          </w:tcPr>
          <w:p w14:paraId="200F687B" w14:textId="77777777" w:rsidR="00000000" w:rsidRDefault="00405D16">
            <w:pPr>
              <w:spacing w:after="100"/>
              <w:rPr>
                <w:rFonts w:eastAsia="Times New Roman"/>
                <w:sz w:val="20"/>
                <w:szCs w:val="20"/>
              </w:rPr>
            </w:pPr>
          </w:p>
        </w:tc>
        <w:tc>
          <w:tcPr>
            <w:tcW w:w="0" w:type="auto"/>
            <w:vAlign w:val="center"/>
            <w:hideMark/>
          </w:tcPr>
          <w:p w14:paraId="0A280BBB" w14:textId="77777777" w:rsidR="00000000" w:rsidRDefault="00405D16">
            <w:pPr>
              <w:spacing w:after="100"/>
              <w:rPr>
                <w:rFonts w:eastAsia="Times New Roman"/>
                <w:sz w:val="20"/>
                <w:szCs w:val="20"/>
              </w:rPr>
            </w:pPr>
          </w:p>
        </w:tc>
        <w:tc>
          <w:tcPr>
            <w:tcW w:w="0" w:type="auto"/>
            <w:gridSpan w:val="3"/>
            <w:vAlign w:val="center"/>
            <w:hideMark/>
          </w:tcPr>
          <w:p w14:paraId="3D56BEA1" w14:textId="77777777" w:rsidR="00000000" w:rsidRDefault="00405D16">
            <w:pPr>
              <w:spacing w:after="100"/>
              <w:rPr>
                <w:rFonts w:eastAsia="Times New Roman"/>
                <w:sz w:val="20"/>
                <w:szCs w:val="20"/>
              </w:rPr>
            </w:pPr>
          </w:p>
        </w:tc>
        <w:tc>
          <w:tcPr>
            <w:tcW w:w="0" w:type="auto"/>
            <w:gridSpan w:val="3"/>
            <w:vAlign w:val="center"/>
            <w:hideMark/>
          </w:tcPr>
          <w:p w14:paraId="43DBFB15" w14:textId="77777777" w:rsidR="00000000" w:rsidRDefault="00405D16">
            <w:pPr>
              <w:spacing w:after="100"/>
              <w:rPr>
                <w:rFonts w:eastAsia="Times New Roman"/>
                <w:sz w:val="20"/>
                <w:szCs w:val="20"/>
              </w:rPr>
            </w:pPr>
          </w:p>
        </w:tc>
        <w:tc>
          <w:tcPr>
            <w:tcW w:w="0" w:type="auto"/>
            <w:gridSpan w:val="3"/>
            <w:vAlign w:val="center"/>
            <w:hideMark/>
          </w:tcPr>
          <w:p w14:paraId="693C313D" w14:textId="77777777" w:rsidR="00000000" w:rsidRDefault="00405D16">
            <w:pPr>
              <w:spacing w:after="100"/>
              <w:rPr>
                <w:rFonts w:eastAsia="Times New Roman"/>
                <w:sz w:val="20"/>
                <w:szCs w:val="20"/>
              </w:rPr>
            </w:pPr>
          </w:p>
        </w:tc>
        <w:tc>
          <w:tcPr>
            <w:tcW w:w="0" w:type="auto"/>
            <w:gridSpan w:val="3"/>
            <w:vAlign w:val="center"/>
            <w:hideMark/>
          </w:tcPr>
          <w:p w14:paraId="4539DE7B" w14:textId="77777777" w:rsidR="00000000" w:rsidRDefault="00405D16">
            <w:pPr>
              <w:spacing w:after="100"/>
              <w:rPr>
                <w:rFonts w:eastAsia="Times New Roman"/>
                <w:sz w:val="20"/>
                <w:szCs w:val="20"/>
              </w:rPr>
            </w:pPr>
          </w:p>
        </w:tc>
        <w:tc>
          <w:tcPr>
            <w:tcW w:w="0" w:type="auto"/>
            <w:gridSpan w:val="3"/>
            <w:vAlign w:val="center"/>
            <w:hideMark/>
          </w:tcPr>
          <w:p w14:paraId="5818EF0C" w14:textId="77777777" w:rsidR="00000000" w:rsidRDefault="00405D16">
            <w:pPr>
              <w:spacing w:after="100"/>
              <w:rPr>
                <w:rFonts w:eastAsia="Times New Roman"/>
                <w:sz w:val="20"/>
                <w:szCs w:val="20"/>
              </w:rPr>
            </w:pPr>
          </w:p>
        </w:tc>
        <w:tc>
          <w:tcPr>
            <w:tcW w:w="0" w:type="auto"/>
            <w:gridSpan w:val="3"/>
            <w:vAlign w:val="center"/>
            <w:hideMark/>
          </w:tcPr>
          <w:p w14:paraId="4F977B72" w14:textId="77777777" w:rsidR="00000000" w:rsidRDefault="00405D16">
            <w:pPr>
              <w:spacing w:after="100"/>
              <w:rPr>
                <w:rFonts w:eastAsia="Times New Roman"/>
                <w:sz w:val="20"/>
                <w:szCs w:val="20"/>
              </w:rPr>
            </w:pPr>
          </w:p>
        </w:tc>
        <w:tc>
          <w:tcPr>
            <w:tcW w:w="0" w:type="auto"/>
            <w:gridSpan w:val="3"/>
            <w:vAlign w:val="center"/>
            <w:hideMark/>
          </w:tcPr>
          <w:p w14:paraId="0167A753" w14:textId="77777777" w:rsidR="00000000" w:rsidRDefault="00405D16">
            <w:pPr>
              <w:spacing w:after="100"/>
              <w:rPr>
                <w:rFonts w:eastAsia="Times New Roman"/>
                <w:sz w:val="20"/>
                <w:szCs w:val="20"/>
              </w:rPr>
            </w:pPr>
          </w:p>
        </w:tc>
        <w:tc>
          <w:tcPr>
            <w:tcW w:w="0" w:type="auto"/>
            <w:gridSpan w:val="3"/>
            <w:vAlign w:val="center"/>
            <w:hideMark/>
          </w:tcPr>
          <w:p w14:paraId="008AC5A4" w14:textId="77777777" w:rsidR="00000000" w:rsidRDefault="00405D16">
            <w:pPr>
              <w:spacing w:after="100"/>
              <w:rPr>
                <w:rFonts w:eastAsia="Times New Roman"/>
                <w:sz w:val="20"/>
                <w:szCs w:val="20"/>
              </w:rPr>
            </w:pPr>
          </w:p>
        </w:tc>
        <w:tc>
          <w:tcPr>
            <w:tcW w:w="0" w:type="auto"/>
            <w:gridSpan w:val="3"/>
            <w:vAlign w:val="center"/>
            <w:hideMark/>
          </w:tcPr>
          <w:p w14:paraId="66CCD7AE" w14:textId="77777777" w:rsidR="00000000" w:rsidRDefault="00405D16">
            <w:pPr>
              <w:spacing w:after="100"/>
              <w:rPr>
                <w:rFonts w:eastAsia="Times New Roman"/>
                <w:sz w:val="20"/>
                <w:szCs w:val="20"/>
              </w:rPr>
            </w:pPr>
          </w:p>
        </w:tc>
        <w:tc>
          <w:tcPr>
            <w:tcW w:w="0" w:type="auto"/>
            <w:gridSpan w:val="2"/>
            <w:vAlign w:val="center"/>
            <w:hideMark/>
          </w:tcPr>
          <w:p w14:paraId="5B7B0EE7" w14:textId="77777777" w:rsidR="00000000" w:rsidRDefault="00405D16">
            <w:pPr>
              <w:spacing w:after="100"/>
              <w:rPr>
                <w:rFonts w:eastAsia="Times New Roman"/>
                <w:sz w:val="20"/>
                <w:szCs w:val="20"/>
              </w:rPr>
            </w:pPr>
          </w:p>
        </w:tc>
      </w:tr>
      <w:tr w:rsidR="00000000" w14:paraId="6C775269" w14:textId="77777777">
        <w:tc>
          <w:tcPr>
            <w:tcW w:w="0" w:type="auto"/>
            <w:gridSpan w:val="3"/>
            <w:shd w:val="clear" w:color="auto" w:fill="FFFFFF"/>
            <w:tcMar>
              <w:top w:w="30" w:type="dxa"/>
              <w:left w:w="20" w:type="dxa"/>
              <w:bottom w:w="30" w:type="dxa"/>
              <w:right w:w="20" w:type="dxa"/>
            </w:tcMar>
            <w:vAlign w:val="center"/>
            <w:hideMark/>
          </w:tcPr>
          <w:p w14:paraId="27CC48B7" w14:textId="77777777" w:rsidR="00000000" w:rsidRDefault="00405D16">
            <w:pPr>
              <w:spacing w:after="100"/>
              <w:rPr>
                <w:rFonts w:eastAsia="Times New Roman"/>
              </w:rPr>
            </w:pPr>
            <w:r>
              <w:rPr>
                <w:rFonts w:eastAsia="Times New Roman"/>
                <w:color w:val="000000"/>
                <w:sz w:val="18"/>
                <w:szCs w:val="18"/>
              </w:rPr>
              <w:t>Total deposits</w:t>
            </w:r>
          </w:p>
        </w:tc>
        <w:tc>
          <w:tcPr>
            <w:tcW w:w="0" w:type="auto"/>
            <w:gridSpan w:val="3"/>
            <w:shd w:val="clear" w:color="auto" w:fill="FFFFFF"/>
            <w:tcMar>
              <w:top w:w="0" w:type="dxa"/>
              <w:left w:w="20" w:type="dxa"/>
              <w:bottom w:w="0" w:type="dxa"/>
              <w:right w:w="20" w:type="dxa"/>
            </w:tcMar>
            <w:vAlign w:val="center"/>
            <w:hideMark/>
          </w:tcPr>
          <w:p w14:paraId="630E6EEB"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BC2106D" w14:textId="77777777" w:rsidR="00000000" w:rsidRDefault="00405D16">
            <w:pPr>
              <w:spacing w:after="100"/>
              <w:jc w:val="right"/>
              <w:rPr>
                <w:rFonts w:eastAsia="Times New Roman"/>
              </w:rPr>
            </w:pPr>
            <w:r>
              <w:rPr>
                <w:rFonts w:eastAsia="Times New Roman"/>
                <w:b/>
                <w:bCs/>
                <w:color w:val="000000"/>
                <w:sz w:val="18"/>
                <w:szCs w:val="18"/>
              </w:rPr>
              <w:t>305,938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EFD046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9DF4D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5C61899" w14:textId="77777777" w:rsidR="00000000" w:rsidRDefault="00405D16">
            <w:pPr>
              <w:spacing w:after="100"/>
              <w:jc w:val="right"/>
              <w:rPr>
                <w:rFonts w:eastAsia="Times New Roman"/>
              </w:rPr>
            </w:pPr>
            <w:r>
              <w:rPr>
                <w:rFonts w:eastAsia="Times New Roman"/>
                <w:color w:val="000000"/>
                <w:sz w:val="18"/>
                <w:szCs w:val="18"/>
              </w:rPr>
              <w:t>305,442 </w:t>
            </w:r>
          </w:p>
        </w:tc>
        <w:tc>
          <w:tcPr>
            <w:tcW w:w="0" w:type="auto"/>
            <w:shd w:val="clear" w:color="auto" w:fill="FFFFFF"/>
            <w:tcMar>
              <w:top w:w="30" w:type="dxa"/>
              <w:left w:w="0" w:type="dxa"/>
              <w:bottom w:w="30" w:type="dxa"/>
              <w:right w:w="20" w:type="dxa"/>
            </w:tcMar>
            <w:vAlign w:val="center"/>
            <w:hideMark/>
          </w:tcPr>
          <w:p w14:paraId="3BAA663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214F5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FEE5968" w14:textId="77777777" w:rsidR="00000000" w:rsidRDefault="00405D16">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5E8D494" w14:textId="77777777" w:rsidR="00000000" w:rsidRDefault="00405D16">
            <w:pPr>
              <w:spacing w:after="100"/>
              <w:jc w:val="right"/>
              <w:rPr>
                <w:rFonts w:eastAsia="Times New Roman"/>
              </w:rPr>
            </w:pPr>
          </w:p>
        </w:tc>
        <w:tc>
          <w:tcPr>
            <w:tcW w:w="0" w:type="auto"/>
            <w:vAlign w:val="center"/>
            <w:hideMark/>
          </w:tcPr>
          <w:p w14:paraId="00301DE4" w14:textId="77777777" w:rsidR="00000000" w:rsidRDefault="00405D16">
            <w:pPr>
              <w:spacing w:after="100"/>
              <w:jc w:val="right"/>
              <w:rPr>
                <w:rFonts w:eastAsia="Times New Roman"/>
                <w:sz w:val="20"/>
                <w:szCs w:val="20"/>
              </w:rPr>
            </w:pPr>
          </w:p>
        </w:tc>
        <w:tc>
          <w:tcPr>
            <w:tcW w:w="0" w:type="auto"/>
            <w:vAlign w:val="center"/>
            <w:hideMark/>
          </w:tcPr>
          <w:p w14:paraId="50F76B80" w14:textId="77777777" w:rsidR="00000000" w:rsidRDefault="00405D16">
            <w:pPr>
              <w:spacing w:after="100"/>
              <w:rPr>
                <w:rFonts w:eastAsia="Times New Roman"/>
                <w:sz w:val="20"/>
                <w:szCs w:val="20"/>
              </w:rPr>
            </w:pPr>
          </w:p>
        </w:tc>
        <w:tc>
          <w:tcPr>
            <w:tcW w:w="0" w:type="auto"/>
            <w:vAlign w:val="center"/>
            <w:hideMark/>
          </w:tcPr>
          <w:p w14:paraId="3EE3E5C4" w14:textId="77777777" w:rsidR="00000000" w:rsidRDefault="00405D16">
            <w:pPr>
              <w:spacing w:after="100"/>
              <w:rPr>
                <w:rFonts w:eastAsia="Times New Roman"/>
                <w:sz w:val="20"/>
                <w:szCs w:val="20"/>
              </w:rPr>
            </w:pPr>
          </w:p>
        </w:tc>
        <w:tc>
          <w:tcPr>
            <w:tcW w:w="0" w:type="auto"/>
            <w:vAlign w:val="center"/>
            <w:hideMark/>
          </w:tcPr>
          <w:p w14:paraId="47F27761" w14:textId="77777777" w:rsidR="00000000" w:rsidRDefault="00405D16">
            <w:pPr>
              <w:spacing w:after="100"/>
              <w:rPr>
                <w:rFonts w:eastAsia="Times New Roman"/>
                <w:sz w:val="20"/>
                <w:szCs w:val="20"/>
              </w:rPr>
            </w:pPr>
          </w:p>
        </w:tc>
        <w:tc>
          <w:tcPr>
            <w:tcW w:w="0" w:type="auto"/>
            <w:gridSpan w:val="3"/>
            <w:vAlign w:val="center"/>
            <w:hideMark/>
          </w:tcPr>
          <w:p w14:paraId="3BDAA2A6" w14:textId="77777777" w:rsidR="00000000" w:rsidRDefault="00405D16">
            <w:pPr>
              <w:spacing w:after="100"/>
              <w:rPr>
                <w:rFonts w:eastAsia="Times New Roman"/>
                <w:sz w:val="20"/>
                <w:szCs w:val="20"/>
              </w:rPr>
            </w:pPr>
          </w:p>
        </w:tc>
        <w:tc>
          <w:tcPr>
            <w:tcW w:w="0" w:type="auto"/>
            <w:gridSpan w:val="3"/>
            <w:vAlign w:val="center"/>
            <w:hideMark/>
          </w:tcPr>
          <w:p w14:paraId="4D9E8F0C" w14:textId="77777777" w:rsidR="00000000" w:rsidRDefault="00405D16">
            <w:pPr>
              <w:spacing w:after="100"/>
              <w:rPr>
                <w:rFonts w:eastAsia="Times New Roman"/>
                <w:sz w:val="20"/>
                <w:szCs w:val="20"/>
              </w:rPr>
            </w:pPr>
          </w:p>
        </w:tc>
        <w:tc>
          <w:tcPr>
            <w:tcW w:w="0" w:type="auto"/>
            <w:gridSpan w:val="3"/>
            <w:vAlign w:val="center"/>
            <w:hideMark/>
          </w:tcPr>
          <w:p w14:paraId="56E2A9E8" w14:textId="77777777" w:rsidR="00000000" w:rsidRDefault="00405D16">
            <w:pPr>
              <w:spacing w:after="100"/>
              <w:rPr>
                <w:rFonts w:eastAsia="Times New Roman"/>
                <w:sz w:val="20"/>
                <w:szCs w:val="20"/>
              </w:rPr>
            </w:pPr>
          </w:p>
        </w:tc>
        <w:tc>
          <w:tcPr>
            <w:tcW w:w="0" w:type="auto"/>
            <w:gridSpan w:val="3"/>
            <w:vAlign w:val="center"/>
            <w:hideMark/>
          </w:tcPr>
          <w:p w14:paraId="509D0E5C" w14:textId="77777777" w:rsidR="00000000" w:rsidRDefault="00405D16">
            <w:pPr>
              <w:spacing w:after="100"/>
              <w:rPr>
                <w:rFonts w:eastAsia="Times New Roman"/>
                <w:sz w:val="20"/>
                <w:szCs w:val="20"/>
              </w:rPr>
            </w:pPr>
          </w:p>
        </w:tc>
        <w:tc>
          <w:tcPr>
            <w:tcW w:w="0" w:type="auto"/>
            <w:gridSpan w:val="3"/>
            <w:vAlign w:val="center"/>
            <w:hideMark/>
          </w:tcPr>
          <w:p w14:paraId="343CBA89" w14:textId="77777777" w:rsidR="00000000" w:rsidRDefault="00405D16">
            <w:pPr>
              <w:spacing w:after="100"/>
              <w:rPr>
                <w:rFonts w:eastAsia="Times New Roman"/>
                <w:sz w:val="20"/>
                <w:szCs w:val="20"/>
              </w:rPr>
            </w:pPr>
          </w:p>
        </w:tc>
        <w:tc>
          <w:tcPr>
            <w:tcW w:w="0" w:type="auto"/>
            <w:gridSpan w:val="3"/>
            <w:vAlign w:val="center"/>
            <w:hideMark/>
          </w:tcPr>
          <w:p w14:paraId="18CCEED1" w14:textId="77777777" w:rsidR="00000000" w:rsidRDefault="00405D16">
            <w:pPr>
              <w:spacing w:after="100"/>
              <w:rPr>
                <w:rFonts w:eastAsia="Times New Roman"/>
                <w:sz w:val="20"/>
                <w:szCs w:val="20"/>
              </w:rPr>
            </w:pPr>
          </w:p>
        </w:tc>
        <w:tc>
          <w:tcPr>
            <w:tcW w:w="0" w:type="auto"/>
            <w:gridSpan w:val="3"/>
            <w:vAlign w:val="center"/>
            <w:hideMark/>
          </w:tcPr>
          <w:p w14:paraId="08F281A0" w14:textId="77777777" w:rsidR="00000000" w:rsidRDefault="00405D16">
            <w:pPr>
              <w:spacing w:after="100"/>
              <w:rPr>
                <w:rFonts w:eastAsia="Times New Roman"/>
                <w:sz w:val="20"/>
                <w:szCs w:val="20"/>
              </w:rPr>
            </w:pPr>
          </w:p>
        </w:tc>
        <w:tc>
          <w:tcPr>
            <w:tcW w:w="0" w:type="auto"/>
            <w:gridSpan w:val="3"/>
            <w:vAlign w:val="center"/>
            <w:hideMark/>
          </w:tcPr>
          <w:p w14:paraId="5A63855B" w14:textId="77777777" w:rsidR="00000000" w:rsidRDefault="00405D16">
            <w:pPr>
              <w:spacing w:after="100"/>
              <w:rPr>
                <w:rFonts w:eastAsia="Times New Roman"/>
                <w:sz w:val="20"/>
                <w:szCs w:val="20"/>
              </w:rPr>
            </w:pPr>
          </w:p>
        </w:tc>
        <w:tc>
          <w:tcPr>
            <w:tcW w:w="0" w:type="auto"/>
            <w:gridSpan w:val="3"/>
            <w:vAlign w:val="center"/>
            <w:hideMark/>
          </w:tcPr>
          <w:p w14:paraId="36FFD0AC" w14:textId="77777777" w:rsidR="00000000" w:rsidRDefault="00405D16">
            <w:pPr>
              <w:spacing w:after="100"/>
              <w:rPr>
                <w:rFonts w:eastAsia="Times New Roman"/>
                <w:sz w:val="20"/>
                <w:szCs w:val="20"/>
              </w:rPr>
            </w:pPr>
          </w:p>
        </w:tc>
        <w:tc>
          <w:tcPr>
            <w:tcW w:w="0" w:type="auto"/>
            <w:gridSpan w:val="2"/>
            <w:vAlign w:val="center"/>
            <w:hideMark/>
          </w:tcPr>
          <w:p w14:paraId="0EF51D72" w14:textId="77777777" w:rsidR="00000000" w:rsidRDefault="00405D16">
            <w:pPr>
              <w:spacing w:after="100"/>
              <w:rPr>
                <w:rFonts w:eastAsia="Times New Roman"/>
                <w:sz w:val="20"/>
                <w:szCs w:val="20"/>
              </w:rPr>
            </w:pPr>
          </w:p>
        </w:tc>
      </w:tr>
      <w:tr w:rsidR="00000000" w14:paraId="440B2826" w14:textId="77777777">
        <w:tc>
          <w:tcPr>
            <w:tcW w:w="0" w:type="auto"/>
            <w:gridSpan w:val="3"/>
            <w:shd w:val="clear" w:color="auto" w:fill="CCEEFF"/>
            <w:tcMar>
              <w:top w:w="30" w:type="dxa"/>
              <w:left w:w="20" w:type="dxa"/>
              <w:bottom w:w="30" w:type="dxa"/>
              <w:right w:w="20" w:type="dxa"/>
            </w:tcMar>
            <w:vAlign w:val="center"/>
            <w:hideMark/>
          </w:tcPr>
          <w:p w14:paraId="38A18898" w14:textId="77777777" w:rsidR="00000000" w:rsidRDefault="00405D16">
            <w:pPr>
              <w:spacing w:after="100"/>
              <w:rPr>
                <w:rFonts w:eastAsia="Times New Roman"/>
              </w:rPr>
            </w:pPr>
            <w:r>
              <w:rPr>
                <w:rFonts w:eastAsia="Times New Roman"/>
                <w:color w:val="000000"/>
                <w:sz w:val="18"/>
                <w:szCs w:val="18"/>
              </w:rPr>
              <w:t>Borrowings</w:t>
            </w:r>
          </w:p>
        </w:tc>
        <w:tc>
          <w:tcPr>
            <w:tcW w:w="0" w:type="auto"/>
            <w:gridSpan w:val="3"/>
            <w:shd w:val="clear" w:color="auto" w:fill="CCEEFF"/>
            <w:tcMar>
              <w:top w:w="0" w:type="dxa"/>
              <w:left w:w="20" w:type="dxa"/>
              <w:bottom w:w="0" w:type="dxa"/>
              <w:right w:w="20" w:type="dxa"/>
            </w:tcMar>
            <w:vAlign w:val="center"/>
            <w:hideMark/>
          </w:tcPr>
          <w:p w14:paraId="28021233"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2810657" w14:textId="77777777" w:rsidR="00000000" w:rsidRDefault="00405D16">
            <w:pPr>
              <w:spacing w:after="100"/>
              <w:jc w:val="right"/>
              <w:rPr>
                <w:rFonts w:eastAsia="Times New Roman"/>
              </w:rPr>
            </w:pPr>
            <w:r>
              <w:rPr>
                <w:rFonts w:eastAsia="Times New Roman"/>
                <w:b/>
                <w:bCs/>
                <w:color w:val="000000"/>
                <w:sz w:val="18"/>
                <w:szCs w:val="18"/>
              </w:rPr>
              <w:t>37,501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ADD335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0659B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5AC3FD5" w14:textId="77777777" w:rsidR="00000000" w:rsidRDefault="00405D16">
            <w:pPr>
              <w:spacing w:after="100"/>
              <w:jc w:val="right"/>
              <w:rPr>
                <w:rFonts w:eastAsia="Times New Roman"/>
              </w:rPr>
            </w:pPr>
            <w:r>
              <w:rPr>
                <w:rFonts w:eastAsia="Times New Roman"/>
                <w:color w:val="000000"/>
                <w:sz w:val="18"/>
                <w:szCs w:val="18"/>
              </w:rPr>
              <w:t>40,539 </w:t>
            </w:r>
          </w:p>
        </w:tc>
        <w:tc>
          <w:tcPr>
            <w:tcW w:w="0" w:type="auto"/>
            <w:shd w:val="clear" w:color="auto" w:fill="CCEEFF"/>
            <w:tcMar>
              <w:top w:w="30" w:type="dxa"/>
              <w:left w:w="0" w:type="dxa"/>
              <w:bottom w:w="30" w:type="dxa"/>
              <w:right w:w="20" w:type="dxa"/>
            </w:tcMar>
            <w:vAlign w:val="center"/>
            <w:hideMark/>
          </w:tcPr>
          <w:p w14:paraId="4C19A88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62BD8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A0CA067" w14:textId="77777777" w:rsidR="00000000" w:rsidRDefault="00405D16">
            <w:pPr>
              <w:spacing w:after="100"/>
              <w:jc w:val="right"/>
              <w:rPr>
                <w:rFonts w:eastAsia="Times New Roman"/>
              </w:rPr>
            </w:pPr>
            <w:r>
              <w:rPr>
                <w:rFonts w:eastAsia="Times New Roman"/>
                <w:color w:val="000000"/>
                <w:sz w:val="18"/>
                <w:szCs w:val="18"/>
              </w:rPr>
              <w:t>(7)</w:t>
            </w:r>
          </w:p>
        </w:tc>
        <w:tc>
          <w:tcPr>
            <w:tcW w:w="0" w:type="auto"/>
            <w:shd w:val="clear" w:color="auto" w:fill="CCEEFF"/>
            <w:tcMar>
              <w:top w:w="30" w:type="dxa"/>
              <w:left w:w="0" w:type="dxa"/>
              <w:bottom w:w="30" w:type="dxa"/>
              <w:right w:w="20" w:type="dxa"/>
            </w:tcMar>
            <w:vAlign w:val="center"/>
            <w:hideMark/>
          </w:tcPr>
          <w:p w14:paraId="31728582" w14:textId="77777777" w:rsidR="00000000" w:rsidRDefault="00405D16">
            <w:pPr>
              <w:spacing w:after="100"/>
              <w:jc w:val="right"/>
              <w:rPr>
                <w:rFonts w:eastAsia="Times New Roman"/>
              </w:rPr>
            </w:pPr>
          </w:p>
        </w:tc>
        <w:tc>
          <w:tcPr>
            <w:tcW w:w="0" w:type="auto"/>
            <w:vAlign w:val="center"/>
            <w:hideMark/>
          </w:tcPr>
          <w:p w14:paraId="117889E5" w14:textId="77777777" w:rsidR="00000000" w:rsidRDefault="00405D16">
            <w:pPr>
              <w:spacing w:after="100"/>
              <w:jc w:val="right"/>
              <w:rPr>
                <w:rFonts w:eastAsia="Times New Roman"/>
                <w:sz w:val="20"/>
                <w:szCs w:val="20"/>
              </w:rPr>
            </w:pPr>
          </w:p>
        </w:tc>
        <w:tc>
          <w:tcPr>
            <w:tcW w:w="0" w:type="auto"/>
            <w:vAlign w:val="center"/>
            <w:hideMark/>
          </w:tcPr>
          <w:p w14:paraId="584EDC79" w14:textId="77777777" w:rsidR="00000000" w:rsidRDefault="00405D16">
            <w:pPr>
              <w:spacing w:after="100"/>
              <w:rPr>
                <w:rFonts w:eastAsia="Times New Roman"/>
                <w:sz w:val="20"/>
                <w:szCs w:val="20"/>
              </w:rPr>
            </w:pPr>
          </w:p>
        </w:tc>
        <w:tc>
          <w:tcPr>
            <w:tcW w:w="0" w:type="auto"/>
            <w:vAlign w:val="center"/>
            <w:hideMark/>
          </w:tcPr>
          <w:p w14:paraId="646CF655" w14:textId="77777777" w:rsidR="00000000" w:rsidRDefault="00405D16">
            <w:pPr>
              <w:spacing w:after="100"/>
              <w:rPr>
                <w:rFonts w:eastAsia="Times New Roman"/>
                <w:sz w:val="20"/>
                <w:szCs w:val="20"/>
              </w:rPr>
            </w:pPr>
          </w:p>
        </w:tc>
        <w:tc>
          <w:tcPr>
            <w:tcW w:w="0" w:type="auto"/>
            <w:vAlign w:val="center"/>
            <w:hideMark/>
          </w:tcPr>
          <w:p w14:paraId="4332F5B1" w14:textId="77777777" w:rsidR="00000000" w:rsidRDefault="00405D16">
            <w:pPr>
              <w:spacing w:after="100"/>
              <w:rPr>
                <w:rFonts w:eastAsia="Times New Roman"/>
                <w:sz w:val="20"/>
                <w:szCs w:val="20"/>
              </w:rPr>
            </w:pPr>
          </w:p>
        </w:tc>
        <w:tc>
          <w:tcPr>
            <w:tcW w:w="0" w:type="auto"/>
            <w:gridSpan w:val="3"/>
            <w:vAlign w:val="center"/>
            <w:hideMark/>
          </w:tcPr>
          <w:p w14:paraId="150866D6" w14:textId="77777777" w:rsidR="00000000" w:rsidRDefault="00405D16">
            <w:pPr>
              <w:spacing w:after="100"/>
              <w:rPr>
                <w:rFonts w:eastAsia="Times New Roman"/>
                <w:sz w:val="20"/>
                <w:szCs w:val="20"/>
              </w:rPr>
            </w:pPr>
          </w:p>
        </w:tc>
        <w:tc>
          <w:tcPr>
            <w:tcW w:w="0" w:type="auto"/>
            <w:gridSpan w:val="3"/>
            <w:vAlign w:val="center"/>
            <w:hideMark/>
          </w:tcPr>
          <w:p w14:paraId="7E5DE9EB" w14:textId="77777777" w:rsidR="00000000" w:rsidRDefault="00405D16">
            <w:pPr>
              <w:spacing w:after="100"/>
              <w:rPr>
                <w:rFonts w:eastAsia="Times New Roman"/>
                <w:sz w:val="20"/>
                <w:szCs w:val="20"/>
              </w:rPr>
            </w:pPr>
          </w:p>
        </w:tc>
        <w:tc>
          <w:tcPr>
            <w:tcW w:w="0" w:type="auto"/>
            <w:gridSpan w:val="3"/>
            <w:vAlign w:val="center"/>
            <w:hideMark/>
          </w:tcPr>
          <w:p w14:paraId="73E3D5D4" w14:textId="77777777" w:rsidR="00000000" w:rsidRDefault="00405D16">
            <w:pPr>
              <w:spacing w:after="100"/>
              <w:rPr>
                <w:rFonts w:eastAsia="Times New Roman"/>
                <w:sz w:val="20"/>
                <w:szCs w:val="20"/>
              </w:rPr>
            </w:pPr>
          </w:p>
        </w:tc>
        <w:tc>
          <w:tcPr>
            <w:tcW w:w="0" w:type="auto"/>
            <w:gridSpan w:val="3"/>
            <w:vAlign w:val="center"/>
            <w:hideMark/>
          </w:tcPr>
          <w:p w14:paraId="068F10CB" w14:textId="77777777" w:rsidR="00000000" w:rsidRDefault="00405D16">
            <w:pPr>
              <w:spacing w:after="100"/>
              <w:rPr>
                <w:rFonts w:eastAsia="Times New Roman"/>
                <w:sz w:val="20"/>
                <w:szCs w:val="20"/>
              </w:rPr>
            </w:pPr>
          </w:p>
        </w:tc>
        <w:tc>
          <w:tcPr>
            <w:tcW w:w="0" w:type="auto"/>
            <w:gridSpan w:val="3"/>
            <w:vAlign w:val="center"/>
            <w:hideMark/>
          </w:tcPr>
          <w:p w14:paraId="3983E914" w14:textId="77777777" w:rsidR="00000000" w:rsidRDefault="00405D16">
            <w:pPr>
              <w:spacing w:after="100"/>
              <w:rPr>
                <w:rFonts w:eastAsia="Times New Roman"/>
                <w:sz w:val="20"/>
                <w:szCs w:val="20"/>
              </w:rPr>
            </w:pPr>
          </w:p>
        </w:tc>
        <w:tc>
          <w:tcPr>
            <w:tcW w:w="0" w:type="auto"/>
            <w:gridSpan w:val="3"/>
            <w:vAlign w:val="center"/>
            <w:hideMark/>
          </w:tcPr>
          <w:p w14:paraId="149179FD" w14:textId="77777777" w:rsidR="00000000" w:rsidRDefault="00405D16">
            <w:pPr>
              <w:spacing w:after="100"/>
              <w:rPr>
                <w:rFonts w:eastAsia="Times New Roman"/>
                <w:sz w:val="20"/>
                <w:szCs w:val="20"/>
              </w:rPr>
            </w:pPr>
          </w:p>
        </w:tc>
        <w:tc>
          <w:tcPr>
            <w:tcW w:w="0" w:type="auto"/>
            <w:gridSpan w:val="3"/>
            <w:vAlign w:val="center"/>
            <w:hideMark/>
          </w:tcPr>
          <w:p w14:paraId="2C018A98" w14:textId="77777777" w:rsidR="00000000" w:rsidRDefault="00405D16">
            <w:pPr>
              <w:spacing w:after="100"/>
              <w:rPr>
                <w:rFonts w:eastAsia="Times New Roman"/>
                <w:sz w:val="20"/>
                <w:szCs w:val="20"/>
              </w:rPr>
            </w:pPr>
          </w:p>
        </w:tc>
        <w:tc>
          <w:tcPr>
            <w:tcW w:w="0" w:type="auto"/>
            <w:gridSpan w:val="3"/>
            <w:vAlign w:val="center"/>
            <w:hideMark/>
          </w:tcPr>
          <w:p w14:paraId="522EBF16" w14:textId="77777777" w:rsidR="00000000" w:rsidRDefault="00405D16">
            <w:pPr>
              <w:spacing w:after="100"/>
              <w:rPr>
                <w:rFonts w:eastAsia="Times New Roman"/>
                <w:sz w:val="20"/>
                <w:szCs w:val="20"/>
              </w:rPr>
            </w:pPr>
          </w:p>
        </w:tc>
        <w:tc>
          <w:tcPr>
            <w:tcW w:w="0" w:type="auto"/>
            <w:gridSpan w:val="3"/>
            <w:vAlign w:val="center"/>
            <w:hideMark/>
          </w:tcPr>
          <w:p w14:paraId="66658EF9" w14:textId="77777777" w:rsidR="00000000" w:rsidRDefault="00405D16">
            <w:pPr>
              <w:spacing w:after="100"/>
              <w:rPr>
                <w:rFonts w:eastAsia="Times New Roman"/>
                <w:sz w:val="20"/>
                <w:szCs w:val="20"/>
              </w:rPr>
            </w:pPr>
          </w:p>
        </w:tc>
        <w:tc>
          <w:tcPr>
            <w:tcW w:w="0" w:type="auto"/>
            <w:gridSpan w:val="2"/>
            <w:vAlign w:val="center"/>
            <w:hideMark/>
          </w:tcPr>
          <w:p w14:paraId="612ADA72" w14:textId="77777777" w:rsidR="00000000" w:rsidRDefault="00405D16">
            <w:pPr>
              <w:spacing w:after="100"/>
              <w:rPr>
                <w:rFonts w:eastAsia="Times New Roman"/>
                <w:sz w:val="20"/>
                <w:szCs w:val="20"/>
              </w:rPr>
            </w:pPr>
          </w:p>
        </w:tc>
      </w:tr>
      <w:tr w:rsidR="00000000" w14:paraId="75CE44B9" w14:textId="77777777">
        <w:tc>
          <w:tcPr>
            <w:tcW w:w="0" w:type="auto"/>
            <w:gridSpan w:val="3"/>
            <w:shd w:val="clear" w:color="auto" w:fill="FFFFFF"/>
            <w:tcMar>
              <w:top w:w="30" w:type="dxa"/>
              <w:left w:w="20" w:type="dxa"/>
              <w:bottom w:w="30" w:type="dxa"/>
              <w:right w:w="20" w:type="dxa"/>
            </w:tcMar>
            <w:vAlign w:val="center"/>
            <w:hideMark/>
          </w:tcPr>
          <w:p w14:paraId="7B100062" w14:textId="77777777" w:rsidR="00000000" w:rsidRDefault="00405D16">
            <w:pPr>
              <w:spacing w:after="100"/>
              <w:rPr>
                <w:rFonts w:eastAsia="Times New Roman"/>
              </w:rPr>
            </w:pPr>
            <w:r>
              <w:rPr>
                <w:rFonts w:eastAsia="Times New Roman"/>
                <w:color w:val="000000"/>
                <w:sz w:val="18"/>
                <w:szCs w:val="18"/>
              </w:rPr>
              <w:t>Common equity</w:t>
            </w:r>
          </w:p>
        </w:tc>
        <w:tc>
          <w:tcPr>
            <w:tcW w:w="0" w:type="auto"/>
            <w:gridSpan w:val="3"/>
            <w:shd w:val="clear" w:color="auto" w:fill="FFFFFF"/>
            <w:tcMar>
              <w:top w:w="0" w:type="dxa"/>
              <w:left w:w="20" w:type="dxa"/>
              <w:bottom w:w="0" w:type="dxa"/>
              <w:right w:w="20" w:type="dxa"/>
            </w:tcMar>
            <w:vAlign w:val="center"/>
            <w:hideMark/>
          </w:tcPr>
          <w:p w14:paraId="2FEBB3DA"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05F7C9A" w14:textId="77777777" w:rsidR="00000000" w:rsidRDefault="00405D16">
            <w:pPr>
              <w:spacing w:after="100"/>
              <w:jc w:val="right"/>
              <w:rPr>
                <w:rFonts w:eastAsia="Times New Roman"/>
              </w:rPr>
            </w:pPr>
            <w:r>
              <w:rPr>
                <w:rFonts w:eastAsia="Times New Roman"/>
                <w:b/>
                <w:bCs/>
                <w:color w:val="000000"/>
                <w:sz w:val="18"/>
                <w:szCs w:val="18"/>
              </w:rPr>
              <w:t>57,632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A3BE19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49EF7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D748465" w14:textId="77777777" w:rsidR="00000000" w:rsidRDefault="00405D16">
            <w:pPr>
              <w:spacing w:after="100"/>
              <w:jc w:val="right"/>
              <w:rPr>
                <w:rFonts w:eastAsia="Times New Roman"/>
              </w:rPr>
            </w:pPr>
            <w:r>
              <w:rPr>
                <w:rFonts w:eastAsia="Times New Roman"/>
                <w:color w:val="000000"/>
                <w:sz w:val="18"/>
                <w:szCs w:val="18"/>
              </w:rPr>
              <w:t>55,356 </w:t>
            </w:r>
          </w:p>
        </w:tc>
        <w:tc>
          <w:tcPr>
            <w:tcW w:w="0" w:type="auto"/>
            <w:shd w:val="clear" w:color="auto" w:fill="FFFFFF"/>
            <w:tcMar>
              <w:top w:w="30" w:type="dxa"/>
              <w:left w:w="0" w:type="dxa"/>
              <w:bottom w:w="30" w:type="dxa"/>
              <w:right w:w="20" w:type="dxa"/>
            </w:tcMar>
            <w:vAlign w:val="center"/>
            <w:hideMark/>
          </w:tcPr>
          <w:p w14:paraId="6A07DA3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4AC99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2258C3D" w14:textId="77777777" w:rsidR="00000000" w:rsidRDefault="00405D16">
            <w:pPr>
              <w:spacing w:after="100"/>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14:paraId="6581D1D4" w14:textId="77777777" w:rsidR="00000000" w:rsidRDefault="00405D16">
            <w:pPr>
              <w:spacing w:after="100"/>
              <w:jc w:val="right"/>
              <w:rPr>
                <w:rFonts w:eastAsia="Times New Roman"/>
              </w:rPr>
            </w:pPr>
          </w:p>
        </w:tc>
        <w:tc>
          <w:tcPr>
            <w:tcW w:w="0" w:type="auto"/>
            <w:vAlign w:val="center"/>
            <w:hideMark/>
          </w:tcPr>
          <w:p w14:paraId="405BB1C5" w14:textId="77777777" w:rsidR="00000000" w:rsidRDefault="00405D16">
            <w:pPr>
              <w:spacing w:after="100"/>
              <w:jc w:val="right"/>
              <w:rPr>
                <w:rFonts w:eastAsia="Times New Roman"/>
                <w:sz w:val="20"/>
                <w:szCs w:val="20"/>
              </w:rPr>
            </w:pPr>
          </w:p>
        </w:tc>
        <w:tc>
          <w:tcPr>
            <w:tcW w:w="0" w:type="auto"/>
            <w:vAlign w:val="center"/>
            <w:hideMark/>
          </w:tcPr>
          <w:p w14:paraId="18BFA0CB" w14:textId="77777777" w:rsidR="00000000" w:rsidRDefault="00405D16">
            <w:pPr>
              <w:spacing w:after="100"/>
              <w:rPr>
                <w:rFonts w:eastAsia="Times New Roman"/>
                <w:sz w:val="20"/>
                <w:szCs w:val="20"/>
              </w:rPr>
            </w:pPr>
          </w:p>
        </w:tc>
        <w:tc>
          <w:tcPr>
            <w:tcW w:w="0" w:type="auto"/>
            <w:vAlign w:val="center"/>
            <w:hideMark/>
          </w:tcPr>
          <w:p w14:paraId="0A885781" w14:textId="77777777" w:rsidR="00000000" w:rsidRDefault="00405D16">
            <w:pPr>
              <w:spacing w:after="100"/>
              <w:rPr>
                <w:rFonts w:eastAsia="Times New Roman"/>
                <w:sz w:val="20"/>
                <w:szCs w:val="20"/>
              </w:rPr>
            </w:pPr>
          </w:p>
        </w:tc>
        <w:tc>
          <w:tcPr>
            <w:tcW w:w="0" w:type="auto"/>
            <w:vAlign w:val="center"/>
            <w:hideMark/>
          </w:tcPr>
          <w:p w14:paraId="2B91957B" w14:textId="77777777" w:rsidR="00000000" w:rsidRDefault="00405D16">
            <w:pPr>
              <w:spacing w:after="100"/>
              <w:rPr>
                <w:rFonts w:eastAsia="Times New Roman"/>
                <w:sz w:val="20"/>
                <w:szCs w:val="20"/>
              </w:rPr>
            </w:pPr>
          </w:p>
        </w:tc>
        <w:tc>
          <w:tcPr>
            <w:tcW w:w="0" w:type="auto"/>
            <w:gridSpan w:val="3"/>
            <w:vAlign w:val="center"/>
            <w:hideMark/>
          </w:tcPr>
          <w:p w14:paraId="0B204A35" w14:textId="77777777" w:rsidR="00000000" w:rsidRDefault="00405D16">
            <w:pPr>
              <w:spacing w:after="100"/>
              <w:rPr>
                <w:rFonts w:eastAsia="Times New Roman"/>
                <w:sz w:val="20"/>
                <w:szCs w:val="20"/>
              </w:rPr>
            </w:pPr>
          </w:p>
        </w:tc>
        <w:tc>
          <w:tcPr>
            <w:tcW w:w="0" w:type="auto"/>
            <w:gridSpan w:val="3"/>
            <w:vAlign w:val="center"/>
            <w:hideMark/>
          </w:tcPr>
          <w:p w14:paraId="70CB8168" w14:textId="77777777" w:rsidR="00000000" w:rsidRDefault="00405D16">
            <w:pPr>
              <w:spacing w:after="100"/>
              <w:rPr>
                <w:rFonts w:eastAsia="Times New Roman"/>
                <w:sz w:val="20"/>
                <w:szCs w:val="20"/>
              </w:rPr>
            </w:pPr>
          </w:p>
        </w:tc>
        <w:tc>
          <w:tcPr>
            <w:tcW w:w="0" w:type="auto"/>
            <w:gridSpan w:val="3"/>
            <w:vAlign w:val="center"/>
            <w:hideMark/>
          </w:tcPr>
          <w:p w14:paraId="4A306ECA" w14:textId="77777777" w:rsidR="00000000" w:rsidRDefault="00405D16">
            <w:pPr>
              <w:spacing w:after="100"/>
              <w:rPr>
                <w:rFonts w:eastAsia="Times New Roman"/>
                <w:sz w:val="20"/>
                <w:szCs w:val="20"/>
              </w:rPr>
            </w:pPr>
          </w:p>
        </w:tc>
        <w:tc>
          <w:tcPr>
            <w:tcW w:w="0" w:type="auto"/>
            <w:gridSpan w:val="3"/>
            <w:vAlign w:val="center"/>
            <w:hideMark/>
          </w:tcPr>
          <w:p w14:paraId="3F170689" w14:textId="77777777" w:rsidR="00000000" w:rsidRDefault="00405D16">
            <w:pPr>
              <w:spacing w:after="100"/>
              <w:rPr>
                <w:rFonts w:eastAsia="Times New Roman"/>
                <w:sz w:val="20"/>
                <w:szCs w:val="20"/>
              </w:rPr>
            </w:pPr>
          </w:p>
        </w:tc>
        <w:tc>
          <w:tcPr>
            <w:tcW w:w="0" w:type="auto"/>
            <w:gridSpan w:val="3"/>
            <w:vAlign w:val="center"/>
            <w:hideMark/>
          </w:tcPr>
          <w:p w14:paraId="716296B9" w14:textId="77777777" w:rsidR="00000000" w:rsidRDefault="00405D16">
            <w:pPr>
              <w:spacing w:after="100"/>
              <w:rPr>
                <w:rFonts w:eastAsia="Times New Roman"/>
                <w:sz w:val="20"/>
                <w:szCs w:val="20"/>
              </w:rPr>
            </w:pPr>
          </w:p>
        </w:tc>
        <w:tc>
          <w:tcPr>
            <w:tcW w:w="0" w:type="auto"/>
            <w:gridSpan w:val="3"/>
            <w:vAlign w:val="center"/>
            <w:hideMark/>
          </w:tcPr>
          <w:p w14:paraId="6E3D390E" w14:textId="77777777" w:rsidR="00000000" w:rsidRDefault="00405D16">
            <w:pPr>
              <w:spacing w:after="100"/>
              <w:rPr>
                <w:rFonts w:eastAsia="Times New Roman"/>
                <w:sz w:val="20"/>
                <w:szCs w:val="20"/>
              </w:rPr>
            </w:pPr>
          </w:p>
        </w:tc>
        <w:tc>
          <w:tcPr>
            <w:tcW w:w="0" w:type="auto"/>
            <w:gridSpan w:val="3"/>
            <w:vAlign w:val="center"/>
            <w:hideMark/>
          </w:tcPr>
          <w:p w14:paraId="3DC2C60C" w14:textId="77777777" w:rsidR="00000000" w:rsidRDefault="00405D16">
            <w:pPr>
              <w:spacing w:after="100"/>
              <w:rPr>
                <w:rFonts w:eastAsia="Times New Roman"/>
                <w:sz w:val="20"/>
                <w:szCs w:val="20"/>
              </w:rPr>
            </w:pPr>
          </w:p>
        </w:tc>
        <w:tc>
          <w:tcPr>
            <w:tcW w:w="0" w:type="auto"/>
            <w:gridSpan w:val="3"/>
            <w:vAlign w:val="center"/>
            <w:hideMark/>
          </w:tcPr>
          <w:p w14:paraId="74348CDA" w14:textId="77777777" w:rsidR="00000000" w:rsidRDefault="00405D16">
            <w:pPr>
              <w:spacing w:after="100"/>
              <w:rPr>
                <w:rFonts w:eastAsia="Times New Roman"/>
                <w:sz w:val="20"/>
                <w:szCs w:val="20"/>
              </w:rPr>
            </w:pPr>
          </w:p>
        </w:tc>
        <w:tc>
          <w:tcPr>
            <w:tcW w:w="0" w:type="auto"/>
            <w:gridSpan w:val="3"/>
            <w:vAlign w:val="center"/>
            <w:hideMark/>
          </w:tcPr>
          <w:p w14:paraId="1F0C86E0" w14:textId="77777777" w:rsidR="00000000" w:rsidRDefault="00405D16">
            <w:pPr>
              <w:spacing w:after="100"/>
              <w:rPr>
                <w:rFonts w:eastAsia="Times New Roman"/>
                <w:sz w:val="20"/>
                <w:szCs w:val="20"/>
              </w:rPr>
            </w:pPr>
          </w:p>
        </w:tc>
        <w:tc>
          <w:tcPr>
            <w:tcW w:w="0" w:type="auto"/>
            <w:gridSpan w:val="2"/>
            <w:vAlign w:val="center"/>
            <w:hideMark/>
          </w:tcPr>
          <w:p w14:paraId="3E9F06A2" w14:textId="77777777" w:rsidR="00000000" w:rsidRDefault="00405D16">
            <w:pPr>
              <w:spacing w:after="100"/>
              <w:rPr>
                <w:rFonts w:eastAsia="Times New Roman"/>
                <w:sz w:val="20"/>
                <w:szCs w:val="20"/>
              </w:rPr>
            </w:pPr>
          </w:p>
        </w:tc>
      </w:tr>
      <w:tr w:rsidR="00000000" w14:paraId="4EF3E55A" w14:textId="77777777">
        <w:tc>
          <w:tcPr>
            <w:tcW w:w="0" w:type="auto"/>
            <w:gridSpan w:val="3"/>
            <w:shd w:val="clear" w:color="auto" w:fill="CCEEFF"/>
            <w:tcMar>
              <w:top w:w="30" w:type="dxa"/>
              <w:left w:w="20" w:type="dxa"/>
              <w:bottom w:w="30" w:type="dxa"/>
              <w:right w:w="20" w:type="dxa"/>
            </w:tcMar>
            <w:vAlign w:val="center"/>
            <w:hideMark/>
          </w:tcPr>
          <w:p w14:paraId="052F5F2D" w14:textId="77777777" w:rsidR="00000000" w:rsidRDefault="00405D16">
            <w:pPr>
              <w:spacing w:after="100"/>
              <w:rPr>
                <w:rFonts w:eastAsia="Times New Roman"/>
              </w:rPr>
            </w:pPr>
            <w:r>
              <w:rPr>
                <w:rFonts w:eastAsia="Times New Roman"/>
                <w:color w:val="000000"/>
                <w:sz w:val="18"/>
                <w:szCs w:val="18"/>
              </w:rPr>
              <w:t>Total stockholders’ equity</w:t>
            </w:r>
          </w:p>
        </w:tc>
        <w:tc>
          <w:tcPr>
            <w:tcW w:w="0" w:type="auto"/>
            <w:gridSpan w:val="3"/>
            <w:shd w:val="clear" w:color="auto" w:fill="CCEEFF"/>
            <w:tcMar>
              <w:top w:w="0" w:type="dxa"/>
              <w:left w:w="20" w:type="dxa"/>
              <w:bottom w:w="0" w:type="dxa"/>
              <w:right w:w="20" w:type="dxa"/>
            </w:tcMar>
            <w:vAlign w:val="center"/>
            <w:hideMark/>
          </w:tcPr>
          <w:p w14:paraId="0562FF78"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1EF41F6" w14:textId="77777777" w:rsidR="00000000" w:rsidRDefault="00405D16">
            <w:pPr>
              <w:spacing w:after="100"/>
              <w:jc w:val="right"/>
              <w:rPr>
                <w:rFonts w:eastAsia="Times New Roman"/>
              </w:rPr>
            </w:pPr>
            <w:r>
              <w:rPr>
                <w:rFonts w:eastAsia="Times New Roman"/>
                <w:b/>
                <w:bCs/>
                <w:color w:val="000000"/>
                <w:sz w:val="18"/>
                <w:szCs w:val="18"/>
              </w:rPr>
              <w:t>63,544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2C24A0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9E588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FB68A5B" w14:textId="77777777" w:rsidR="00000000" w:rsidRDefault="00405D16">
            <w:pPr>
              <w:spacing w:after="100"/>
              <w:jc w:val="right"/>
              <w:rPr>
                <w:rFonts w:eastAsia="Times New Roman"/>
              </w:rPr>
            </w:pPr>
            <w:r>
              <w:rPr>
                <w:rFonts w:eastAsia="Times New Roman"/>
                <w:color w:val="000000"/>
                <w:sz w:val="18"/>
                <w:szCs w:val="18"/>
              </w:rPr>
              <w:t>60,204 </w:t>
            </w:r>
          </w:p>
        </w:tc>
        <w:tc>
          <w:tcPr>
            <w:tcW w:w="0" w:type="auto"/>
            <w:shd w:val="clear" w:color="auto" w:fill="CCEEFF"/>
            <w:tcMar>
              <w:top w:w="30" w:type="dxa"/>
              <w:left w:w="0" w:type="dxa"/>
              <w:bottom w:w="30" w:type="dxa"/>
              <w:right w:w="20" w:type="dxa"/>
            </w:tcMar>
            <w:vAlign w:val="center"/>
            <w:hideMark/>
          </w:tcPr>
          <w:p w14:paraId="28E6AD1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89F6C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BCD4ACC" w14:textId="77777777" w:rsidR="00000000" w:rsidRDefault="00405D16">
            <w:pPr>
              <w:spacing w:after="100"/>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center"/>
            <w:hideMark/>
          </w:tcPr>
          <w:p w14:paraId="7DBB3C69" w14:textId="77777777" w:rsidR="00000000" w:rsidRDefault="00405D16">
            <w:pPr>
              <w:spacing w:after="100"/>
              <w:jc w:val="right"/>
              <w:rPr>
                <w:rFonts w:eastAsia="Times New Roman"/>
              </w:rPr>
            </w:pPr>
          </w:p>
        </w:tc>
        <w:tc>
          <w:tcPr>
            <w:tcW w:w="0" w:type="auto"/>
            <w:vAlign w:val="center"/>
            <w:hideMark/>
          </w:tcPr>
          <w:p w14:paraId="13099337" w14:textId="77777777" w:rsidR="00000000" w:rsidRDefault="00405D16">
            <w:pPr>
              <w:spacing w:after="100"/>
              <w:jc w:val="right"/>
              <w:rPr>
                <w:rFonts w:eastAsia="Times New Roman"/>
                <w:sz w:val="20"/>
                <w:szCs w:val="20"/>
              </w:rPr>
            </w:pPr>
          </w:p>
        </w:tc>
        <w:tc>
          <w:tcPr>
            <w:tcW w:w="0" w:type="auto"/>
            <w:vAlign w:val="center"/>
            <w:hideMark/>
          </w:tcPr>
          <w:p w14:paraId="71615D40" w14:textId="77777777" w:rsidR="00000000" w:rsidRDefault="00405D16">
            <w:pPr>
              <w:spacing w:after="100"/>
              <w:rPr>
                <w:rFonts w:eastAsia="Times New Roman"/>
                <w:sz w:val="20"/>
                <w:szCs w:val="20"/>
              </w:rPr>
            </w:pPr>
          </w:p>
        </w:tc>
        <w:tc>
          <w:tcPr>
            <w:tcW w:w="0" w:type="auto"/>
            <w:vAlign w:val="center"/>
            <w:hideMark/>
          </w:tcPr>
          <w:p w14:paraId="3F4349E6" w14:textId="77777777" w:rsidR="00000000" w:rsidRDefault="00405D16">
            <w:pPr>
              <w:spacing w:after="100"/>
              <w:rPr>
                <w:rFonts w:eastAsia="Times New Roman"/>
                <w:sz w:val="20"/>
                <w:szCs w:val="20"/>
              </w:rPr>
            </w:pPr>
          </w:p>
        </w:tc>
        <w:tc>
          <w:tcPr>
            <w:tcW w:w="0" w:type="auto"/>
            <w:vAlign w:val="center"/>
            <w:hideMark/>
          </w:tcPr>
          <w:p w14:paraId="1376DAE4" w14:textId="77777777" w:rsidR="00000000" w:rsidRDefault="00405D16">
            <w:pPr>
              <w:spacing w:after="100"/>
              <w:rPr>
                <w:rFonts w:eastAsia="Times New Roman"/>
                <w:sz w:val="20"/>
                <w:szCs w:val="20"/>
              </w:rPr>
            </w:pPr>
          </w:p>
        </w:tc>
        <w:tc>
          <w:tcPr>
            <w:tcW w:w="0" w:type="auto"/>
            <w:gridSpan w:val="3"/>
            <w:vAlign w:val="center"/>
            <w:hideMark/>
          </w:tcPr>
          <w:p w14:paraId="51B82A9A" w14:textId="77777777" w:rsidR="00000000" w:rsidRDefault="00405D16">
            <w:pPr>
              <w:spacing w:after="100"/>
              <w:rPr>
                <w:rFonts w:eastAsia="Times New Roman"/>
                <w:sz w:val="20"/>
                <w:szCs w:val="20"/>
              </w:rPr>
            </w:pPr>
          </w:p>
        </w:tc>
        <w:tc>
          <w:tcPr>
            <w:tcW w:w="0" w:type="auto"/>
            <w:gridSpan w:val="3"/>
            <w:vAlign w:val="center"/>
            <w:hideMark/>
          </w:tcPr>
          <w:p w14:paraId="2147449E" w14:textId="77777777" w:rsidR="00000000" w:rsidRDefault="00405D16">
            <w:pPr>
              <w:spacing w:after="100"/>
              <w:rPr>
                <w:rFonts w:eastAsia="Times New Roman"/>
                <w:sz w:val="20"/>
                <w:szCs w:val="20"/>
              </w:rPr>
            </w:pPr>
          </w:p>
        </w:tc>
        <w:tc>
          <w:tcPr>
            <w:tcW w:w="0" w:type="auto"/>
            <w:gridSpan w:val="3"/>
            <w:vAlign w:val="center"/>
            <w:hideMark/>
          </w:tcPr>
          <w:p w14:paraId="46201FBD" w14:textId="77777777" w:rsidR="00000000" w:rsidRDefault="00405D16">
            <w:pPr>
              <w:spacing w:after="100"/>
              <w:rPr>
                <w:rFonts w:eastAsia="Times New Roman"/>
                <w:sz w:val="20"/>
                <w:szCs w:val="20"/>
              </w:rPr>
            </w:pPr>
          </w:p>
        </w:tc>
        <w:tc>
          <w:tcPr>
            <w:tcW w:w="0" w:type="auto"/>
            <w:gridSpan w:val="3"/>
            <w:vAlign w:val="center"/>
            <w:hideMark/>
          </w:tcPr>
          <w:p w14:paraId="596E744B" w14:textId="77777777" w:rsidR="00000000" w:rsidRDefault="00405D16">
            <w:pPr>
              <w:spacing w:after="100"/>
              <w:rPr>
                <w:rFonts w:eastAsia="Times New Roman"/>
                <w:sz w:val="20"/>
                <w:szCs w:val="20"/>
              </w:rPr>
            </w:pPr>
          </w:p>
        </w:tc>
        <w:tc>
          <w:tcPr>
            <w:tcW w:w="0" w:type="auto"/>
            <w:gridSpan w:val="3"/>
            <w:vAlign w:val="center"/>
            <w:hideMark/>
          </w:tcPr>
          <w:p w14:paraId="7D704AE4" w14:textId="77777777" w:rsidR="00000000" w:rsidRDefault="00405D16">
            <w:pPr>
              <w:spacing w:after="100"/>
              <w:rPr>
                <w:rFonts w:eastAsia="Times New Roman"/>
                <w:sz w:val="20"/>
                <w:szCs w:val="20"/>
              </w:rPr>
            </w:pPr>
          </w:p>
        </w:tc>
        <w:tc>
          <w:tcPr>
            <w:tcW w:w="0" w:type="auto"/>
            <w:gridSpan w:val="3"/>
            <w:vAlign w:val="center"/>
            <w:hideMark/>
          </w:tcPr>
          <w:p w14:paraId="57F61160" w14:textId="77777777" w:rsidR="00000000" w:rsidRDefault="00405D16">
            <w:pPr>
              <w:spacing w:after="100"/>
              <w:rPr>
                <w:rFonts w:eastAsia="Times New Roman"/>
                <w:sz w:val="20"/>
                <w:szCs w:val="20"/>
              </w:rPr>
            </w:pPr>
          </w:p>
        </w:tc>
        <w:tc>
          <w:tcPr>
            <w:tcW w:w="0" w:type="auto"/>
            <w:gridSpan w:val="3"/>
            <w:vAlign w:val="center"/>
            <w:hideMark/>
          </w:tcPr>
          <w:p w14:paraId="16057628" w14:textId="77777777" w:rsidR="00000000" w:rsidRDefault="00405D16">
            <w:pPr>
              <w:spacing w:after="100"/>
              <w:rPr>
                <w:rFonts w:eastAsia="Times New Roman"/>
                <w:sz w:val="20"/>
                <w:szCs w:val="20"/>
              </w:rPr>
            </w:pPr>
          </w:p>
        </w:tc>
        <w:tc>
          <w:tcPr>
            <w:tcW w:w="0" w:type="auto"/>
            <w:gridSpan w:val="3"/>
            <w:vAlign w:val="center"/>
            <w:hideMark/>
          </w:tcPr>
          <w:p w14:paraId="6A928DAF" w14:textId="77777777" w:rsidR="00000000" w:rsidRDefault="00405D16">
            <w:pPr>
              <w:spacing w:after="100"/>
              <w:rPr>
                <w:rFonts w:eastAsia="Times New Roman"/>
                <w:sz w:val="20"/>
                <w:szCs w:val="20"/>
              </w:rPr>
            </w:pPr>
          </w:p>
        </w:tc>
        <w:tc>
          <w:tcPr>
            <w:tcW w:w="0" w:type="auto"/>
            <w:gridSpan w:val="3"/>
            <w:vAlign w:val="center"/>
            <w:hideMark/>
          </w:tcPr>
          <w:p w14:paraId="13525269" w14:textId="77777777" w:rsidR="00000000" w:rsidRDefault="00405D16">
            <w:pPr>
              <w:spacing w:after="100"/>
              <w:rPr>
                <w:rFonts w:eastAsia="Times New Roman"/>
                <w:sz w:val="20"/>
                <w:szCs w:val="20"/>
              </w:rPr>
            </w:pPr>
          </w:p>
        </w:tc>
        <w:tc>
          <w:tcPr>
            <w:tcW w:w="0" w:type="auto"/>
            <w:gridSpan w:val="2"/>
            <w:vAlign w:val="center"/>
            <w:hideMark/>
          </w:tcPr>
          <w:p w14:paraId="583045D5" w14:textId="77777777" w:rsidR="00000000" w:rsidRDefault="00405D16">
            <w:pPr>
              <w:spacing w:after="100"/>
              <w:rPr>
                <w:rFonts w:eastAsia="Times New Roman"/>
                <w:sz w:val="20"/>
                <w:szCs w:val="20"/>
              </w:rPr>
            </w:pPr>
          </w:p>
        </w:tc>
      </w:tr>
      <w:tr w:rsidR="00000000" w14:paraId="3EDA76D9" w14:textId="77777777">
        <w:tc>
          <w:tcPr>
            <w:tcW w:w="0" w:type="auto"/>
            <w:gridSpan w:val="3"/>
            <w:shd w:val="clear" w:color="auto" w:fill="FFFFFF"/>
            <w:tcMar>
              <w:top w:w="30" w:type="dxa"/>
              <w:left w:w="20" w:type="dxa"/>
              <w:bottom w:w="30" w:type="dxa"/>
              <w:right w:w="20" w:type="dxa"/>
            </w:tcMar>
            <w:vAlign w:val="center"/>
            <w:hideMark/>
          </w:tcPr>
          <w:p w14:paraId="7DB299E3" w14:textId="77777777" w:rsidR="00000000" w:rsidRDefault="00405D16">
            <w:pPr>
              <w:spacing w:after="100"/>
              <w:rPr>
                <w:rFonts w:eastAsia="Times New Roman"/>
              </w:rPr>
            </w:pPr>
            <w:r>
              <w:rPr>
                <w:rFonts w:eastAsia="Times New Roman"/>
                <w:b/>
                <w:bCs/>
                <w:color w:val="000000"/>
                <w:sz w:val="18"/>
                <w:szCs w:val="18"/>
              </w:rPr>
              <w:t>Credit quality metrics</w:t>
            </w:r>
          </w:p>
        </w:tc>
        <w:tc>
          <w:tcPr>
            <w:tcW w:w="0" w:type="auto"/>
            <w:gridSpan w:val="3"/>
            <w:shd w:val="clear" w:color="auto" w:fill="FFFFFF"/>
            <w:tcMar>
              <w:top w:w="0" w:type="dxa"/>
              <w:left w:w="20" w:type="dxa"/>
              <w:bottom w:w="0" w:type="dxa"/>
              <w:right w:w="20" w:type="dxa"/>
            </w:tcMar>
            <w:vAlign w:val="center"/>
            <w:hideMark/>
          </w:tcPr>
          <w:p w14:paraId="47C6A4C2"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AB73B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838AD4"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719BD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74631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0B51D5" w14:textId="77777777" w:rsidR="00000000" w:rsidRDefault="00405D16">
            <w:pPr>
              <w:spacing w:after="100"/>
              <w:rPr>
                <w:rFonts w:eastAsia="Times New Roman"/>
                <w:sz w:val="20"/>
                <w:szCs w:val="20"/>
              </w:rPr>
            </w:pPr>
          </w:p>
        </w:tc>
        <w:tc>
          <w:tcPr>
            <w:tcW w:w="0" w:type="auto"/>
            <w:vAlign w:val="center"/>
            <w:hideMark/>
          </w:tcPr>
          <w:p w14:paraId="154F53B7" w14:textId="77777777" w:rsidR="00000000" w:rsidRDefault="00405D16">
            <w:pPr>
              <w:spacing w:after="100"/>
              <w:rPr>
                <w:rFonts w:eastAsia="Times New Roman"/>
                <w:sz w:val="20"/>
                <w:szCs w:val="20"/>
              </w:rPr>
            </w:pPr>
          </w:p>
        </w:tc>
        <w:tc>
          <w:tcPr>
            <w:tcW w:w="0" w:type="auto"/>
            <w:vAlign w:val="center"/>
            <w:hideMark/>
          </w:tcPr>
          <w:p w14:paraId="1F4B4636" w14:textId="77777777" w:rsidR="00000000" w:rsidRDefault="00405D16">
            <w:pPr>
              <w:spacing w:after="100"/>
              <w:rPr>
                <w:rFonts w:eastAsia="Times New Roman"/>
                <w:sz w:val="20"/>
                <w:szCs w:val="20"/>
              </w:rPr>
            </w:pPr>
          </w:p>
        </w:tc>
        <w:tc>
          <w:tcPr>
            <w:tcW w:w="0" w:type="auto"/>
            <w:vAlign w:val="center"/>
            <w:hideMark/>
          </w:tcPr>
          <w:p w14:paraId="25D137F9" w14:textId="77777777" w:rsidR="00000000" w:rsidRDefault="00405D16">
            <w:pPr>
              <w:spacing w:after="100"/>
              <w:rPr>
                <w:rFonts w:eastAsia="Times New Roman"/>
                <w:sz w:val="20"/>
                <w:szCs w:val="20"/>
              </w:rPr>
            </w:pPr>
          </w:p>
        </w:tc>
        <w:tc>
          <w:tcPr>
            <w:tcW w:w="0" w:type="auto"/>
            <w:vAlign w:val="center"/>
            <w:hideMark/>
          </w:tcPr>
          <w:p w14:paraId="665D0154" w14:textId="77777777" w:rsidR="00000000" w:rsidRDefault="00405D16">
            <w:pPr>
              <w:spacing w:after="100"/>
              <w:rPr>
                <w:rFonts w:eastAsia="Times New Roman"/>
                <w:sz w:val="20"/>
                <w:szCs w:val="20"/>
              </w:rPr>
            </w:pPr>
          </w:p>
        </w:tc>
        <w:tc>
          <w:tcPr>
            <w:tcW w:w="0" w:type="auto"/>
            <w:gridSpan w:val="3"/>
            <w:vAlign w:val="center"/>
            <w:hideMark/>
          </w:tcPr>
          <w:p w14:paraId="1908E45C" w14:textId="77777777" w:rsidR="00000000" w:rsidRDefault="00405D16">
            <w:pPr>
              <w:spacing w:after="100"/>
              <w:rPr>
                <w:rFonts w:eastAsia="Times New Roman"/>
                <w:sz w:val="20"/>
                <w:szCs w:val="20"/>
              </w:rPr>
            </w:pPr>
          </w:p>
        </w:tc>
        <w:tc>
          <w:tcPr>
            <w:tcW w:w="0" w:type="auto"/>
            <w:gridSpan w:val="3"/>
            <w:vAlign w:val="center"/>
            <w:hideMark/>
          </w:tcPr>
          <w:p w14:paraId="052D6608" w14:textId="77777777" w:rsidR="00000000" w:rsidRDefault="00405D16">
            <w:pPr>
              <w:spacing w:after="100"/>
              <w:rPr>
                <w:rFonts w:eastAsia="Times New Roman"/>
                <w:sz w:val="20"/>
                <w:szCs w:val="20"/>
              </w:rPr>
            </w:pPr>
          </w:p>
        </w:tc>
        <w:tc>
          <w:tcPr>
            <w:tcW w:w="0" w:type="auto"/>
            <w:gridSpan w:val="3"/>
            <w:vAlign w:val="center"/>
            <w:hideMark/>
          </w:tcPr>
          <w:p w14:paraId="39AFF4C2" w14:textId="77777777" w:rsidR="00000000" w:rsidRDefault="00405D16">
            <w:pPr>
              <w:spacing w:after="100"/>
              <w:rPr>
                <w:rFonts w:eastAsia="Times New Roman"/>
                <w:sz w:val="20"/>
                <w:szCs w:val="20"/>
              </w:rPr>
            </w:pPr>
          </w:p>
        </w:tc>
        <w:tc>
          <w:tcPr>
            <w:tcW w:w="0" w:type="auto"/>
            <w:gridSpan w:val="3"/>
            <w:vAlign w:val="center"/>
            <w:hideMark/>
          </w:tcPr>
          <w:p w14:paraId="2E4D84A1" w14:textId="77777777" w:rsidR="00000000" w:rsidRDefault="00405D16">
            <w:pPr>
              <w:spacing w:after="100"/>
              <w:rPr>
                <w:rFonts w:eastAsia="Times New Roman"/>
                <w:sz w:val="20"/>
                <w:szCs w:val="20"/>
              </w:rPr>
            </w:pPr>
          </w:p>
        </w:tc>
        <w:tc>
          <w:tcPr>
            <w:tcW w:w="0" w:type="auto"/>
            <w:gridSpan w:val="3"/>
            <w:vAlign w:val="center"/>
            <w:hideMark/>
          </w:tcPr>
          <w:p w14:paraId="6EE5D945" w14:textId="77777777" w:rsidR="00000000" w:rsidRDefault="00405D16">
            <w:pPr>
              <w:spacing w:after="100"/>
              <w:rPr>
                <w:rFonts w:eastAsia="Times New Roman"/>
                <w:sz w:val="20"/>
                <w:szCs w:val="20"/>
              </w:rPr>
            </w:pPr>
          </w:p>
        </w:tc>
        <w:tc>
          <w:tcPr>
            <w:tcW w:w="0" w:type="auto"/>
            <w:gridSpan w:val="3"/>
            <w:vAlign w:val="center"/>
            <w:hideMark/>
          </w:tcPr>
          <w:p w14:paraId="02CD2288" w14:textId="77777777" w:rsidR="00000000" w:rsidRDefault="00405D16">
            <w:pPr>
              <w:spacing w:after="100"/>
              <w:rPr>
                <w:rFonts w:eastAsia="Times New Roman"/>
                <w:sz w:val="20"/>
                <w:szCs w:val="20"/>
              </w:rPr>
            </w:pPr>
          </w:p>
        </w:tc>
        <w:tc>
          <w:tcPr>
            <w:tcW w:w="0" w:type="auto"/>
            <w:gridSpan w:val="3"/>
            <w:vAlign w:val="center"/>
            <w:hideMark/>
          </w:tcPr>
          <w:p w14:paraId="12B275A1" w14:textId="77777777" w:rsidR="00000000" w:rsidRDefault="00405D16">
            <w:pPr>
              <w:spacing w:after="100"/>
              <w:rPr>
                <w:rFonts w:eastAsia="Times New Roman"/>
                <w:sz w:val="20"/>
                <w:szCs w:val="20"/>
              </w:rPr>
            </w:pPr>
          </w:p>
        </w:tc>
        <w:tc>
          <w:tcPr>
            <w:tcW w:w="0" w:type="auto"/>
            <w:gridSpan w:val="3"/>
            <w:vAlign w:val="center"/>
            <w:hideMark/>
          </w:tcPr>
          <w:p w14:paraId="63575A22" w14:textId="77777777" w:rsidR="00000000" w:rsidRDefault="00405D16">
            <w:pPr>
              <w:spacing w:after="100"/>
              <w:rPr>
                <w:rFonts w:eastAsia="Times New Roman"/>
                <w:sz w:val="20"/>
                <w:szCs w:val="20"/>
              </w:rPr>
            </w:pPr>
          </w:p>
        </w:tc>
        <w:tc>
          <w:tcPr>
            <w:tcW w:w="0" w:type="auto"/>
            <w:gridSpan w:val="3"/>
            <w:vAlign w:val="center"/>
            <w:hideMark/>
          </w:tcPr>
          <w:p w14:paraId="2929C77C" w14:textId="77777777" w:rsidR="00000000" w:rsidRDefault="00405D16">
            <w:pPr>
              <w:spacing w:after="100"/>
              <w:rPr>
                <w:rFonts w:eastAsia="Times New Roman"/>
                <w:sz w:val="20"/>
                <w:szCs w:val="20"/>
              </w:rPr>
            </w:pPr>
          </w:p>
        </w:tc>
        <w:tc>
          <w:tcPr>
            <w:tcW w:w="0" w:type="auto"/>
            <w:gridSpan w:val="2"/>
            <w:vAlign w:val="center"/>
            <w:hideMark/>
          </w:tcPr>
          <w:p w14:paraId="42D6A08F" w14:textId="77777777" w:rsidR="00000000" w:rsidRDefault="00405D16">
            <w:pPr>
              <w:spacing w:after="100"/>
              <w:rPr>
                <w:rFonts w:eastAsia="Times New Roman"/>
                <w:sz w:val="20"/>
                <w:szCs w:val="20"/>
              </w:rPr>
            </w:pPr>
          </w:p>
        </w:tc>
      </w:tr>
      <w:tr w:rsidR="00000000" w14:paraId="18B57A12" w14:textId="77777777">
        <w:tc>
          <w:tcPr>
            <w:tcW w:w="0" w:type="auto"/>
            <w:gridSpan w:val="3"/>
            <w:shd w:val="clear" w:color="auto" w:fill="CCEEFF"/>
            <w:tcMar>
              <w:top w:w="30" w:type="dxa"/>
              <w:left w:w="20" w:type="dxa"/>
              <w:bottom w:w="30" w:type="dxa"/>
              <w:right w:w="20" w:type="dxa"/>
            </w:tcMar>
            <w:vAlign w:val="center"/>
            <w:hideMark/>
          </w:tcPr>
          <w:p w14:paraId="5E0E480F" w14:textId="77777777" w:rsidR="00000000" w:rsidRDefault="00405D16">
            <w:pPr>
              <w:spacing w:after="100"/>
              <w:rPr>
                <w:rFonts w:eastAsia="Times New Roman"/>
              </w:rPr>
            </w:pPr>
            <w:r>
              <w:rPr>
                <w:rFonts w:eastAsia="Times New Roman"/>
                <w:color w:val="000000"/>
                <w:sz w:val="18"/>
                <w:szCs w:val="18"/>
              </w:rPr>
              <w:t>Allowance for credit losses</w:t>
            </w:r>
          </w:p>
        </w:tc>
        <w:tc>
          <w:tcPr>
            <w:tcW w:w="0" w:type="auto"/>
            <w:gridSpan w:val="3"/>
            <w:shd w:val="clear" w:color="auto" w:fill="CCEEFF"/>
            <w:tcMar>
              <w:top w:w="0" w:type="dxa"/>
              <w:left w:w="20" w:type="dxa"/>
              <w:bottom w:w="0" w:type="dxa"/>
              <w:right w:w="20" w:type="dxa"/>
            </w:tcMar>
            <w:vAlign w:val="center"/>
            <w:hideMark/>
          </w:tcPr>
          <w:p w14:paraId="64EF507F" w14:textId="77777777" w:rsidR="00000000" w:rsidRDefault="00405D16">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4BF00B4D"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52EE69C7" w14:textId="77777777" w:rsidR="00000000" w:rsidRDefault="00405D16">
            <w:pPr>
              <w:spacing w:after="100"/>
              <w:jc w:val="right"/>
              <w:rPr>
                <w:rFonts w:eastAsia="Times New Roman"/>
              </w:rPr>
            </w:pPr>
            <w:r>
              <w:rPr>
                <w:rFonts w:eastAsia="Times New Roman"/>
                <w:b/>
                <w:bCs/>
                <w:color w:val="000000"/>
                <w:sz w:val="18"/>
                <w:szCs w:val="18"/>
              </w:rPr>
              <w:t>11,573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F5CEB3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B82A05"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1630CC86"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6922E7D3" w14:textId="77777777" w:rsidR="00000000" w:rsidRDefault="00405D16">
            <w:pPr>
              <w:spacing w:after="100"/>
              <w:jc w:val="right"/>
              <w:rPr>
                <w:rFonts w:eastAsia="Times New Roman"/>
              </w:rPr>
            </w:pPr>
            <w:r>
              <w:rPr>
                <w:rFonts w:eastAsia="Times New Roman"/>
                <w:color w:val="000000"/>
                <w:sz w:val="18"/>
                <w:szCs w:val="18"/>
              </w:rPr>
              <w:t>15,564 </w:t>
            </w:r>
          </w:p>
        </w:tc>
        <w:tc>
          <w:tcPr>
            <w:tcW w:w="0" w:type="auto"/>
            <w:shd w:val="clear" w:color="auto" w:fill="CCEEFF"/>
            <w:tcMar>
              <w:top w:w="30" w:type="dxa"/>
              <w:left w:w="0" w:type="dxa"/>
              <w:bottom w:w="30" w:type="dxa"/>
              <w:right w:w="20" w:type="dxa"/>
            </w:tcMar>
            <w:vAlign w:val="center"/>
            <w:hideMark/>
          </w:tcPr>
          <w:p w14:paraId="7B247DD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FD7CE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4AE4A78" w14:textId="77777777" w:rsidR="00000000" w:rsidRDefault="00405D16">
            <w:pPr>
              <w:spacing w:after="100"/>
              <w:jc w:val="right"/>
              <w:rPr>
                <w:rFonts w:eastAsia="Times New Roman"/>
              </w:rPr>
            </w:pPr>
            <w:r>
              <w:rPr>
                <w:rFonts w:eastAsia="Times New Roman"/>
                <w:color w:val="000000"/>
                <w:sz w:val="18"/>
                <w:szCs w:val="18"/>
              </w:rPr>
              <w:t>(26)</w:t>
            </w:r>
          </w:p>
        </w:tc>
        <w:tc>
          <w:tcPr>
            <w:tcW w:w="0" w:type="auto"/>
            <w:shd w:val="clear" w:color="auto" w:fill="CCEEFF"/>
            <w:tcMar>
              <w:top w:w="30" w:type="dxa"/>
              <w:left w:w="0" w:type="dxa"/>
              <w:bottom w:w="30" w:type="dxa"/>
              <w:right w:w="20" w:type="dxa"/>
            </w:tcMar>
            <w:vAlign w:val="center"/>
            <w:hideMark/>
          </w:tcPr>
          <w:p w14:paraId="1D6BA42E" w14:textId="77777777" w:rsidR="00000000" w:rsidRDefault="00405D16">
            <w:pPr>
              <w:spacing w:after="100"/>
              <w:jc w:val="right"/>
              <w:rPr>
                <w:rFonts w:eastAsia="Times New Roman"/>
              </w:rPr>
            </w:pPr>
            <w:r>
              <w:rPr>
                <w:rFonts w:eastAsia="Times New Roman"/>
                <w:color w:val="000000"/>
                <w:sz w:val="18"/>
                <w:szCs w:val="18"/>
              </w:rPr>
              <w:t>%</w:t>
            </w:r>
          </w:p>
        </w:tc>
        <w:tc>
          <w:tcPr>
            <w:tcW w:w="0" w:type="auto"/>
            <w:vAlign w:val="center"/>
            <w:hideMark/>
          </w:tcPr>
          <w:p w14:paraId="4586303C" w14:textId="77777777" w:rsidR="00000000" w:rsidRDefault="00405D16">
            <w:pPr>
              <w:spacing w:after="100"/>
              <w:jc w:val="right"/>
              <w:rPr>
                <w:rFonts w:eastAsia="Times New Roman"/>
              </w:rPr>
            </w:pPr>
          </w:p>
        </w:tc>
        <w:tc>
          <w:tcPr>
            <w:tcW w:w="0" w:type="auto"/>
            <w:vAlign w:val="center"/>
            <w:hideMark/>
          </w:tcPr>
          <w:p w14:paraId="47F53820" w14:textId="77777777" w:rsidR="00000000" w:rsidRDefault="00405D16">
            <w:pPr>
              <w:spacing w:after="100"/>
              <w:rPr>
                <w:rFonts w:eastAsia="Times New Roman"/>
                <w:sz w:val="20"/>
                <w:szCs w:val="20"/>
              </w:rPr>
            </w:pPr>
          </w:p>
        </w:tc>
        <w:tc>
          <w:tcPr>
            <w:tcW w:w="0" w:type="auto"/>
            <w:vAlign w:val="center"/>
            <w:hideMark/>
          </w:tcPr>
          <w:p w14:paraId="257704A9" w14:textId="77777777" w:rsidR="00000000" w:rsidRDefault="00405D16">
            <w:pPr>
              <w:spacing w:after="100"/>
              <w:rPr>
                <w:rFonts w:eastAsia="Times New Roman"/>
                <w:sz w:val="20"/>
                <w:szCs w:val="20"/>
              </w:rPr>
            </w:pPr>
          </w:p>
        </w:tc>
        <w:tc>
          <w:tcPr>
            <w:tcW w:w="0" w:type="auto"/>
            <w:vAlign w:val="center"/>
            <w:hideMark/>
          </w:tcPr>
          <w:p w14:paraId="61FA837C" w14:textId="77777777" w:rsidR="00000000" w:rsidRDefault="00405D16">
            <w:pPr>
              <w:spacing w:after="100"/>
              <w:rPr>
                <w:rFonts w:eastAsia="Times New Roman"/>
                <w:sz w:val="20"/>
                <w:szCs w:val="20"/>
              </w:rPr>
            </w:pPr>
          </w:p>
        </w:tc>
        <w:tc>
          <w:tcPr>
            <w:tcW w:w="0" w:type="auto"/>
            <w:gridSpan w:val="3"/>
            <w:vAlign w:val="center"/>
            <w:hideMark/>
          </w:tcPr>
          <w:p w14:paraId="62931FCF" w14:textId="77777777" w:rsidR="00000000" w:rsidRDefault="00405D16">
            <w:pPr>
              <w:spacing w:after="100"/>
              <w:rPr>
                <w:rFonts w:eastAsia="Times New Roman"/>
                <w:sz w:val="20"/>
                <w:szCs w:val="20"/>
              </w:rPr>
            </w:pPr>
          </w:p>
        </w:tc>
        <w:tc>
          <w:tcPr>
            <w:tcW w:w="0" w:type="auto"/>
            <w:gridSpan w:val="3"/>
            <w:vAlign w:val="center"/>
            <w:hideMark/>
          </w:tcPr>
          <w:p w14:paraId="41383A64" w14:textId="77777777" w:rsidR="00000000" w:rsidRDefault="00405D16">
            <w:pPr>
              <w:spacing w:after="100"/>
              <w:rPr>
                <w:rFonts w:eastAsia="Times New Roman"/>
                <w:sz w:val="20"/>
                <w:szCs w:val="20"/>
              </w:rPr>
            </w:pPr>
          </w:p>
        </w:tc>
        <w:tc>
          <w:tcPr>
            <w:tcW w:w="0" w:type="auto"/>
            <w:gridSpan w:val="3"/>
            <w:vAlign w:val="center"/>
            <w:hideMark/>
          </w:tcPr>
          <w:p w14:paraId="2524E147" w14:textId="77777777" w:rsidR="00000000" w:rsidRDefault="00405D16">
            <w:pPr>
              <w:spacing w:after="100"/>
              <w:rPr>
                <w:rFonts w:eastAsia="Times New Roman"/>
                <w:sz w:val="20"/>
                <w:szCs w:val="20"/>
              </w:rPr>
            </w:pPr>
          </w:p>
        </w:tc>
        <w:tc>
          <w:tcPr>
            <w:tcW w:w="0" w:type="auto"/>
            <w:gridSpan w:val="3"/>
            <w:vAlign w:val="center"/>
            <w:hideMark/>
          </w:tcPr>
          <w:p w14:paraId="12E31732" w14:textId="77777777" w:rsidR="00000000" w:rsidRDefault="00405D16">
            <w:pPr>
              <w:spacing w:after="100"/>
              <w:rPr>
                <w:rFonts w:eastAsia="Times New Roman"/>
                <w:sz w:val="20"/>
                <w:szCs w:val="20"/>
              </w:rPr>
            </w:pPr>
          </w:p>
        </w:tc>
        <w:tc>
          <w:tcPr>
            <w:tcW w:w="0" w:type="auto"/>
            <w:gridSpan w:val="3"/>
            <w:vAlign w:val="center"/>
            <w:hideMark/>
          </w:tcPr>
          <w:p w14:paraId="2CFD87B2" w14:textId="77777777" w:rsidR="00000000" w:rsidRDefault="00405D16">
            <w:pPr>
              <w:spacing w:after="100"/>
              <w:rPr>
                <w:rFonts w:eastAsia="Times New Roman"/>
                <w:sz w:val="20"/>
                <w:szCs w:val="20"/>
              </w:rPr>
            </w:pPr>
          </w:p>
        </w:tc>
        <w:tc>
          <w:tcPr>
            <w:tcW w:w="0" w:type="auto"/>
            <w:gridSpan w:val="3"/>
            <w:vAlign w:val="center"/>
            <w:hideMark/>
          </w:tcPr>
          <w:p w14:paraId="154B89CA" w14:textId="77777777" w:rsidR="00000000" w:rsidRDefault="00405D16">
            <w:pPr>
              <w:spacing w:after="100"/>
              <w:rPr>
                <w:rFonts w:eastAsia="Times New Roman"/>
                <w:sz w:val="20"/>
                <w:szCs w:val="20"/>
              </w:rPr>
            </w:pPr>
          </w:p>
        </w:tc>
        <w:tc>
          <w:tcPr>
            <w:tcW w:w="0" w:type="auto"/>
            <w:gridSpan w:val="3"/>
            <w:vAlign w:val="center"/>
            <w:hideMark/>
          </w:tcPr>
          <w:p w14:paraId="0DF1C0DC" w14:textId="77777777" w:rsidR="00000000" w:rsidRDefault="00405D16">
            <w:pPr>
              <w:spacing w:after="100"/>
              <w:rPr>
                <w:rFonts w:eastAsia="Times New Roman"/>
                <w:sz w:val="20"/>
                <w:szCs w:val="20"/>
              </w:rPr>
            </w:pPr>
          </w:p>
        </w:tc>
        <w:tc>
          <w:tcPr>
            <w:tcW w:w="0" w:type="auto"/>
            <w:gridSpan w:val="3"/>
            <w:vAlign w:val="center"/>
            <w:hideMark/>
          </w:tcPr>
          <w:p w14:paraId="0E806D6D" w14:textId="77777777" w:rsidR="00000000" w:rsidRDefault="00405D16">
            <w:pPr>
              <w:spacing w:after="100"/>
              <w:rPr>
                <w:rFonts w:eastAsia="Times New Roman"/>
                <w:sz w:val="20"/>
                <w:szCs w:val="20"/>
              </w:rPr>
            </w:pPr>
          </w:p>
        </w:tc>
        <w:tc>
          <w:tcPr>
            <w:tcW w:w="0" w:type="auto"/>
            <w:gridSpan w:val="3"/>
            <w:vAlign w:val="center"/>
            <w:hideMark/>
          </w:tcPr>
          <w:p w14:paraId="6FF2963B" w14:textId="77777777" w:rsidR="00000000" w:rsidRDefault="00405D16">
            <w:pPr>
              <w:spacing w:after="100"/>
              <w:rPr>
                <w:rFonts w:eastAsia="Times New Roman"/>
                <w:sz w:val="20"/>
                <w:szCs w:val="20"/>
              </w:rPr>
            </w:pPr>
          </w:p>
        </w:tc>
        <w:tc>
          <w:tcPr>
            <w:tcW w:w="0" w:type="auto"/>
            <w:gridSpan w:val="2"/>
            <w:vAlign w:val="center"/>
            <w:hideMark/>
          </w:tcPr>
          <w:p w14:paraId="487A5902" w14:textId="77777777" w:rsidR="00000000" w:rsidRDefault="00405D16">
            <w:pPr>
              <w:spacing w:after="100"/>
              <w:rPr>
                <w:rFonts w:eastAsia="Times New Roman"/>
                <w:sz w:val="20"/>
                <w:szCs w:val="20"/>
              </w:rPr>
            </w:pPr>
          </w:p>
        </w:tc>
      </w:tr>
      <w:tr w:rsidR="00000000" w14:paraId="3BE964EB" w14:textId="77777777">
        <w:tc>
          <w:tcPr>
            <w:tcW w:w="0" w:type="auto"/>
            <w:gridSpan w:val="3"/>
            <w:shd w:val="clear" w:color="auto" w:fill="FFFFFF"/>
            <w:tcMar>
              <w:top w:w="30" w:type="dxa"/>
              <w:left w:w="20" w:type="dxa"/>
              <w:bottom w:w="30" w:type="dxa"/>
              <w:right w:w="20" w:type="dxa"/>
            </w:tcMar>
            <w:vAlign w:val="center"/>
            <w:hideMark/>
          </w:tcPr>
          <w:p w14:paraId="0518BDF0" w14:textId="77777777" w:rsidR="00000000" w:rsidRDefault="00405D16">
            <w:pPr>
              <w:spacing w:after="100"/>
              <w:rPr>
                <w:rFonts w:eastAsia="Times New Roman"/>
              </w:rPr>
            </w:pPr>
            <w:r>
              <w:rPr>
                <w:rFonts w:eastAsia="Times New Roman"/>
                <w:color w:val="000000"/>
                <w:sz w:val="18"/>
                <w:szCs w:val="18"/>
              </w:rPr>
              <w:t>Allowance as a percentage of loans held for investment (“allowance coverage ratio”)</w:t>
            </w:r>
          </w:p>
        </w:tc>
        <w:tc>
          <w:tcPr>
            <w:tcW w:w="0" w:type="auto"/>
            <w:gridSpan w:val="3"/>
            <w:shd w:val="clear" w:color="auto" w:fill="FFFFFF"/>
            <w:tcMar>
              <w:top w:w="0" w:type="dxa"/>
              <w:left w:w="20" w:type="dxa"/>
              <w:bottom w:w="0" w:type="dxa"/>
              <w:right w:w="20" w:type="dxa"/>
            </w:tcMar>
            <w:vAlign w:val="center"/>
            <w:hideMark/>
          </w:tcPr>
          <w:p w14:paraId="213B58E9"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CCEA960" w14:textId="77777777" w:rsidR="00000000" w:rsidRDefault="00405D16">
            <w:pPr>
              <w:spacing w:after="100"/>
              <w:jc w:val="right"/>
              <w:rPr>
                <w:rFonts w:eastAsia="Times New Roman"/>
              </w:rPr>
            </w:pPr>
            <w:r>
              <w:rPr>
                <w:rFonts w:eastAsia="Times New Roman"/>
                <w:b/>
                <w:bCs/>
                <w:color w:val="000000"/>
                <w:sz w:val="18"/>
                <w:szCs w:val="18"/>
              </w:rPr>
              <w:t>4.43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F44B3B3"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9AE9C31"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AAC630" w14:textId="77777777" w:rsidR="00000000" w:rsidRDefault="00405D16">
            <w:pPr>
              <w:spacing w:after="100"/>
              <w:jc w:val="right"/>
              <w:rPr>
                <w:rFonts w:eastAsia="Times New Roman"/>
              </w:rPr>
            </w:pPr>
            <w:r>
              <w:rPr>
                <w:rFonts w:eastAsia="Times New Roman"/>
                <w:color w:val="000000"/>
                <w:sz w:val="18"/>
                <w:szCs w:val="18"/>
              </w:rPr>
              <w:t>6.19 </w:t>
            </w:r>
          </w:p>
        </w:tc>
        <w:tc>
          <w:tcPr>
            <w:tcW w:w="0" w:type="auto"/>
            <w:shd w:val="clear" w:color="auto" w:fill="FFFFFF"/>
            <w:tcMar>
              <w:top w:w="30" w:type="dxa"/>
              <w:left w:w="0" w:type="dxa"/>
              <w:bottom w:w="30" w:type="dxa"/>
              <w:right w:w="20" w:type="dxa"/>
            </w:tcMar>
            <w:vAlign w:val="bottom"/>
            <w:hideMark/>
          </w:tcPr>
          <w:p w14:paraId="7481F6BA"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8E32EDD"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E89A055" w14:textId="77777777" w:rsidR="00000000" w:rsidRDefault="00405D16">
            <w:pPr>
              <w:spacing w:after="100"/>
              <w:jc w:val="right"/>
              <w:rPr>
                <w:rFonts w:eastAsia="Times New Roman"/>
              </w:rPr>
            </w:pPr>
            <w:r>
              <w:rPr>
                <w:rFonts w:eastAsia="Times New Roman"/>
                <w:color w:val="000000"/>
                <w:sz w:val="18"/>
                <w:szCs w:val="18"/>
              </w:rPr>
              <w:t>(176)</w:t>
            </w:r>
          </w:p>
        </w:tc>
        <w:tc>
          <w:tcPr>
            <w:tcW w:w="0" w:type="auto"/>
            <w:shd w:val="clear" w:color="auto" w:fill="FFFFFF"/>
            <w:tcMar>
              <w:top w:w="30" w:type="dxa"/>
              <w:left w:w="0" w:type="dxa"/>
              <w:bottom w:w="30" w:type="dxa"/>
              <w:right w:w="20" w:type="dxa"/>
            </w:tcMar>
            <w:vAlign w:val="center"/>
            <w:hideMark/>
          </w:tcPr>
          <w:p w14:paraId="00D8EB19" w14:textId="77777777" w:rsidR="00000000" w:rsidRDefault="00405D16">
            <w:pPr>
              <w:spacing w:after="100"/>
              <w:jc w:val="right"/>
              <w:rPr>
                <w:rFonts w:eastAsia="Times New Roman"/>
              </w:rPr>
            </w:pPr>
            <w:r>
              <w:rPr>
                <w:rFonts w:eastAsia="Times New Roman"/>
                <w:color w:val="000000"/>
                <w:sz w:val="18"/>
                <w:szCs w:val="18"/>
              </w:rPr>
              <w:t>bps</w:t>
            </w:r>
          </w:p>
        </w:tc>
        <w:tc>
          <w:tcPr>
            <w:tcW w:w="0" w:type="auto"/>
            <w:vAlign w:val="center"/>
            <w:hideMark/>
          </w:tcPr>
          <w:p w14:paraId="1CBFC845" w14:textId="77777777" w:rsidR="00000000" w:rsidRDefault="00405D16">
            <w:pPr>
              <w:spacing w:after="100"/>
              <w:jc w:val="right"/>
              <w:rPr>
                <w:rFonts w:eastAsia="Times New Roman"/>
              </w:rPr>
            </w:pPr>
          </w:p>
        </w:tc>
        <w:tc>
          <w:tcPr>
            <w:tcW w:w="0" w:type="auto"/>
            <w:vAlign w:val="center"/>
            <w:hideMark/>
          </w:tcPr>
          <w:p w14:paraId="0472BCAA" w14:textId="77777777" w:rsidR="00000000" w:rsidRDefault="00405D16">
            <w:pPr>
              <w:spacing w:after="100"/>
              <w:rPr>
                <w:rFonts w:eastAsia="Times New Roman"/>
                <w:sz w:val="20"/>
                <w:szCs w:val="20"/>
              </w:rPr>
            </w:pPr>
          </w:p>
        </w:tc>
        <w:tc>
          <w:tcPr>
            <w:tcW w:w="0" w:type="auto"/>
            <w:vAlign w:val="center"/>
            <w:hideMark/>
          </w:tcPr>
          <w:p w14:paraId="40BC6A36" w14:textId="77777777" w:rsidR="00000000" w:rsidRDefault="00405D16">
            <w:pPr>
              <w:spacing w:after="100"/>
              <w:rPr>
                <w:rFonts w:eastAsia="Times New Roman"/>
                <w:sz w:val="20"/>
                <w:szCs w:val="20"/>
              </w:rPr>
            </w:pPr>
          </w:p>
        </w:tc>
        <w:tc>
          <w:tcPr>
            <w:tcW w:w="0" w:type="auto"/>
            <w:vAlign w:val="center"/>
            <w:hideMark/>
          </w:tcPr>
          <w:p w14:paraId="17436E67" w14:textId="77777777" w:rsidR="00000000" w:rsidRDefault="00405D16">
            <w:pPr>
              <w:spacing w:after="100"/>
              <w:rPr>
                <w:rFonts w:eastAsia="Times New Roman"/>
                <w:sz w:val="20"/>
                <w:szCs w:val="20"/>
              </w:rPr>
            </w:pPr>
          </w:p>
        </w:tc>
        <w:tc>
          <w:tcPr>
            <w:tcW w:w="0" w:type="auto"/>
            <w:gridSpan w:val="3"/>
            <w:vAlign w:val="center"/>
            <w:hideMark/>
          </w:tcPr>
          <w:p w14:paraId="10EF19DF" w14:textId="77777777" w:rsidR="00000000" w:rsidRDefault="00405D16">
            <w:pPr>
              <w:spacing w:after="100"/>
              <w:rPr>
                <w:rFonts w:eastAsia="Times New Roman"/>
                <w:sz w:val="20"/>
                <w:szCs w:val="20"/>
              </w:rPr>
            </w:pPr>
          </w:p>
        </w:tc>
        <w:tc>
          <w:tcPr>
            <w:tcW w:w="0" w:type="auto"/>
            <w:gridSpan w:val="3"/>
            <w:vAlign w:val="center"/>
            <w:hideMark/>
          </w:tcPr>
          <w:p w14:paraId="3FC0392F" w14:textId="77777777" w:rsidR="00000000" w:rsidRDefault="00405D16">
            <w:pPr>
              <w:spacing w:after="100"/>
              <w:rPr>
                <w:rFonts w:eastAsia="Times New Roman"/>
                <w:sz w:val="20"/>
                <w:szCs w:val="20"/>
              </w:rPr>
            </w:pPr>
          </w:p>
        </w:tc>
        <w:tc>
          <w:tcPr>
            <w:tcW w:w="0" w:type="auto"/>
            <w:gridSpan w:val="3"/>
            <w:vAlign w:val="center"/>
            <w:hideMark/>
          </w:tcPr>
          <w:p w14:paraId="4C5E8A41" w14:textId="77777777" w:rsidR="00000000" w:rsidRDefault="00405D16">
            <w:pPr>
              <w:spacing w:after="100"/>
              <w:rPr>
                <w:rFonts w:eastAsia="Times New Roman"/>
                <w:sz w:val="20"/>
                <w:szCs w:val="20"/>
              </w:rPr>
            </w:pPr>
          </w:p>
        </w:tc>
        <w:tc>
          <w:tcPr>
            <w:tcW w:w="0" w:type="auto"/>
            <w:gridSpan w:val="3"/>
            <w:vAlign w:val="center"/>
            <w:hideMark/>
          </w:tcPr>
          <w:p w14:paraId="61EAB2B5" w14:textId="77777777" w:rsidR="00000000" w:rsidRDefault="00405D16">
            <w:pPr>
              <w:spacing w:after="100"/>
              <w:rPr>
                <w:rFonts w:eastAsia="Times New Roman"/>
                <w:sz w:val="20"/>
                <w:szCs w:val="20"/>
              </w:rPr>
            </w:pPr>
          </w:p>
        </w:tc>
        <w:tc>
          <w:tcPr>
            <w:tcW w:w="0" w:type="auto"/>
            <w:gridSpan w:val="3"/>
            <w:vAlign w:val="center"/>
            <w:hideMark/>
          </w:tcPr>
          <w:p w14:paraId="03D6B475" w14:textId="77777777" w:rsidR="00000000" w:rsidRDefault="00405D16">
            <w:pPr>
              <w:spacing w:after="100"/>
              <w:rPr>
                <w:rFonts w:eastAsia="Times New Roman"/>
                <w:sz w:val="20"/>
                <w:szCs w:val="20"/>
              </w:rPr>
            </w:pPr>
          </w:p>
        </w:tc>
        <w:tc>
          <w:tcPr>
            <w:tcW w:w="0" w:type="auto"/>
            <w:gridSpan w:val="3"/>
            <w:vAlign w:val="center"/>
            <w:hideMark/>
          </w:tcPr>
          <w:p w14:paraId="5ED592CA" w14:textId="77777777" w:rsidR="00000000" w:rsidRDefault="00405D16">
            <w:pPr>
              <w:spacing w:after="100"/>
              <w:rPr>
                <w:rFonts w:eastAsia="Times New Roman"/>
                <w:sz w:val="20"/>
                <w:szCs w:val="20"/>
              </w:rPr>
            </w:pPr>
          </w:p>
        </w:tc>
        <w:tc>
          <w:tcPr>
            <w:tcW w:w="0" w:type="auto"/>
            <w:gridSpan w:val="3"/>
            <w:vAlign w:val="center"/>
            <w:hideMark/>
          </w:tcPr>
          <w:p w14:paraId="426D489E" w14:textId="77777777" w:rsidR="00000000" w:rsidRDefault="00405D16">
            <w:pPr>
              <w:spacing w:after="100"/>
              <w:rPr>
                <w:rFonts w:eastAsia="Times New Roman"/>
                <w:sz w:val="20"/>
                <w:szCs w:val="20"/>
              </w:rPr>
            </w:pPr>
          </w:p>
        </w:tc>
        <w:tc>
          <w:tcPr>
            <w:tcW w:w="0" w:type="auto"/>
            <w:gridSpan w:val="3"/>
            <w:vAlign w:val="center"/>
            <w:hideMark/>
          </w:tcPr>
          <w:p w14:paraId="7587AB30" w14:textId="77777777" w:rsidR="00000000" w:rsidRDefault="00405D16">
            <w:pPr>
              <w:spacing w:after="100"/>
              <w:rPr>
                <w:rFonts w:eastAsia="Times New Roman"/>
                <w:sz w:val="20"/>
                <w:szCs w:val="20"/>
              </w:rPr>
            </w:pPr>
          </w:p>
        </w:tc>
        <w:tc>
          <w:tcPr>
            <w:tcW w:w="0" w:type="auto"/>
            <w:gridSpan w:val="3"/>
            <w:vAlign w:val="center"/>
            <w:hideMark/>
          </w:tcPr>
          <w:p w14:paraId="70BF4FD0" w14:textId="77777777" w:rsidR="00000000" w:rsidRDefault="00405D16">
            <w:pPr>
              <w:spacing w:after="100"/>
              <w:rPr>
                <w:rFonts w:eastAsia="Times New Roman"/>
                <w:sz w:val="20"/>
                <w:szCs w:val="20"/>
              </w:rPr>
            </w:pPr>
          </w:p>
        </w:tc>
        <w:tc>
          <w:tcPr>
            <w:tcW w:w="0" w:type="auto"/>
            <w:gridSpan w:val="2"/>
            <w:vAlign w:val="center"/>
            <w:hideMark/>
          </w:tcPr>
          <w:p w14:paraId="7665D6AB" w14:textId="77777777" w:rsidR="00000000" w:rsidRDefault="00405D16">
            <w:pPr>
              <w:spacing w:after="100"/>
              <w:rPr>
                <w:rFonts w:eastAsia="Times New Roman"/>
                <w:sz w:val="20"/>
                <w:szCs w:val="20"/>
              </w:rPr>
            </w:pPr>
          </w:p>
        </w:tc>
      </w:tr>
      <w:tr w:rsidR="00000000" w14:paraId="7A6EA84C" w14:textId="77777777">
        <w:tc>
          <w:tcPr>
            <w:tcW w:w="0" w:type="auto"/>
            <w:gridSpan w:val="3"/>
            <w:shd w:val="clear" w:color="auto" w:fill="CCEEFF"/>
            <w:tcMar>
              <w:top w:w="30" w:type="dxa"/>
              <w:left w:w="20" w:type="dxa"/>
              <w:bottom w:w="30" w:type="dxa"/>
              <w:right w:w="20" w:type="dxa"/>
            </w:tcMar>
            <w:vAlign w:val="center"/>
            <w:hideMark/>
          </w:tcPr>
          <w:p w14:paraId="03D15C86" w14:textId="77777777" w:rsidR="00000000" w:rsidRDefault="00405D16">
            <w:pPr>
              <w:spacing w:after="100"/>
              <w:rPr>
                <w:rFonts w:eastAsia="Times New Roman"/>
              </w:rPr>
            </w:pPr>
            <w:r>
              <w:rPr>
                <w:rFonts w:eastAsia="Times New Roman"/>
                <w:color w:val="000000"/>
                <w:sz w:val="18"/>
                <w:szCs w:val="18"/>
              </w:rPr>
              <w:t>30+ day performing delinquency rate</w:t>
            </w:r>
          </w:p>
        </w:tc>
        <w:tc>
          <w:tcPr>
            <w:tcW w:w="0" w:type="auto"/>
            <w:gridSpan w:val="3"/>
            <w:shd w:val="clear" w:color="auto" w:fill="CCEEFF"/>
            <w:tcMar>
              <w:top w:w="0" w:type="dxa"/>
              <w:left w:w="20" w:type="dxa"/>
              <w:bottom w:w="0" w:type="dxa"/>
              <w:right w:w="20" w:type="dxa"/>
            </w:tcMar>
            <w:vAlign w:val="center"/>
            <w:hideMark/>
          </w:tcPr>
          <w:p w14:paraId="11D7294B"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657E6F6" w14:textId="77777777" w:rsidR="00000000" w:rsidRDefault="00405D16">
            <w:pPr>
              <w:spacing w:after="100"/>
              <w:jc w:val="right"/>
              <w:rPr>
                <w:rFonts w:eastAsia="Times New Roman"/>
              </w:rPr>
            </w:pPr>
            <w:r>
              <w:rPr>
                <w:rFonts w:eastAsia="Times New Roman"/>
                <w:b/>
                <w:bCs/>
                <w:color w:val="000000"/>
                <w:sz w:val="18"/>
                <w:szCs w:val="18"/>
              </w:rPr>
              <w:t>1.97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5440E2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DF12F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EE7FEEC" w14:textId="77777777" w:rsidR="00000000" w:rsidRDefault="00405D16">
            <w:pPr>
              <w:spacing w:after="100"/>
              <w:jc w:val="right"/>
              <w:rPr>
                <w:rFonts w:eastAsia="Times New Roman"/>
              </w:rPr>
            </w:pPr>
            <w:r>
              <w:rPr>
                <w:rFonts w:eastAsia="Times New Roman"/>
                <w:color w:val="000000"/>
                <w:sz w:val="18"/>
                <w:szCs w:val="18"/>
              </w:rPr>
              <w:t>2.41 </w:t>
            </w:r>
          </w:p>
        </w:tc>
        <w:tc>
          <w:tcPr>
            <w:tcW w:w="0" w:type="auto"/>
            <w:shd w:val="clear" w:color="auto" w:fill="CCEEFF"/>
            <w:tcMar>
              <w:top w:w="30" w:type="dxa"/>
              <w:left w:w="0" w:type="dxa"/>
              <w:bottom w:w="30" w:type="dxa"/>
              <w:right w:w="20" w:type="dxa"/>
            </w:tcMar>
            <w:vAlign w:val="center"/>
            <w:hideMark/>
          </w:tcPr>
          <w:p w14:paraId="052B987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8533A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51B2B0A" w14:textId="77777777" w:rsidR="00000000" w:rsidRDefault="00405D16">
            <w:pPr>
              <w:spacing w:after="100"/>
              <w:jc w:val="right"/>
              <w:rPr>
                <w:rFonts w:eastAsia="Times New Roman"/>
              </w:rPr>
            </w:pPr>
            <w:r>
              <w:rPr>
                <w:rFonts w:eastAsia="Times New Roman"/>
                <w:color w:val="000000"/>
                <w:sz w:val="18"/>
                <w:szCs w:val="18"/>
              </w:rPr>
              <w:t>(44)</w:t>
            </w:r>
          </w:p>
        </w:tc>
        <w:tc>
          <w:tcPr>
            <w:tcW w:w="0" w:type="auto"/>
            <w:shd w:val="clear" w:color="auto" w:fill="CCEEFF"/>
            <w:tcMar>
              <w:top w:w="30" w:type="dxa"/>
              <w:left w:w="0" w:type="dxa"/>
              <w:bottom w:w="30" w:type="dxa"/>
              <w:right w:w="20" w:type="dxa"/>
            </w:tcMar>
            <w:vAlign w:val="center"/>
            <w:hideMark/>
          </w:tcPr>
          <w:p w14:paraId="6E4F0043" w14:textId="77777777" w:rsidR="00000000" w:rsidRDefault="00405D16">
            <w:pPr>
              <w:spacing w:after="100"/>
              <w:jc w:val="right"/>
              <w:rPr>
                <w:rFonts w:eastAsia="Times New Roman"/>
              </w:rPr>
            </w:pPr>
          </w:p>
        </w:tc>
        <w:tc>
          <w:tcPr>
            <w:tcW w:w="0" w:type="auto"/>
            <w:vAlign w:val="center"/>
            <w:hideMark/>
          </w:tcPr>
          <w:p w14:paraId="67C9FE2D" w14:textId="77777777" w:rsidR="00000000" w:rsidRDefault="00405D16">
            <w:pPr>
              <w:spacing w:after="100"/>
              <w:jc w:val="right"/>
              <w:rPr>
                <w:rFonts w:eastAsia="Times New Roman"/>
                <w:sz w:val="20"/>
                <w:szCs w:val="20"/>
              </w:rPr>
            </w:pPr>
          </w:p>
        </w:tc>
        <w:tc>
          <w:tcPr>
            <w:tcW w:w="0" w:type="auto"/>
            <w:vAlign w:val="center"/>
            <w:hideMark/>
          </w:tcPr>
          <w:p w14:paraId="4B28FDA8" w14:textId="77777777" w:rsidR="00000000" w:rsidRDefault="00405D16">
            <w:pPr>
              <w:spacing w:after="100"/>
              <w:rPr>
                <w:rFonts w:eastAsia="Times New Roman"/>
                <w:sz w:val="20"/>
                <w:szCs w:val="20"/>
              </w:rPr>
            </w:pPr>
          </w:p>
        </w:tc>
        <w:tc>
          <w:tcPr>
            <w:tcW w:w="0" w:type="auto"/>
            <w:vAlign w:val="center"/>
            <w:hideMark/>
          </w:tcPr>
          <w:p w14:paraId="7E97F2CA" w14:textId="77777777" w:rsidR="00000000" w:rsidRDefault="00405D16">
            <w:pPr>
              <w:spacing w:after="100"/>
              <w:rPr>
                <w:rFonts w:eastAsia="Times New Roman"/>
                <w:sz w:val="20"/>
                <w:szCs w:val="20"/>
              </w:rPr>
            </w:pPr>
          </w:p>
        </w:tc>
        <w:tc>
          <w:tcPr>
            <w:tcW w:w="0" w:type="auto"/>
            <w:vAlign w:val="center"/>
            <w:hideMark/>
          </w:tcPr>
          <w:p w14:paraId="264A2AA4" w14:textId="77777777" w:rsidR="00000000" w:rsidRDefault="00405D16">
            <w:pPr>
              <w:spacing w:after="100"/>
              <w:rPr>
                <w:rFonts w:eastAsia="Times New Roman"/>
                <w:sz w:val="20"/>
                <w:szCs w:val="20"/>
              </w:rPr>
            </w:pPr>
          </w:p>
        </w:tc>
        <w:tc>
          <w:tcPr>
            <w:tcW w:w="0" w:type="auto"/>
            <w:gridSpan w:val="3"/>
            <w:vAlign w:val="center"/>
            <w:hideMark/>
          </w:tcPr>
          <w:p w14:paraId="0652A7C7" w14:textId="77777777" w:rsidR="00000000" w:rsidRDefault="00405D16">
            <w:pPr>
              <w:spacing w:after="100"/>
              <w:rPr>
                <w:rFonts w:eastAsia="Times New Roman"/>
                <w:sz w:val="20"/>
                <w:szCs w:val="20"/>
              </w:rPr>
            </w:pPr>
          </w:p>
        </w:tc>
        <w:tc>
          <w:tcPr>
            <w:tcW w:w="0" w:type="auto"/>
            <w:gridSpan w:val="3"/>
            <w:vAlign w:val="center"/>
            <w:hideMark/>
          </w:tcPr>
          <w:p w14:paraId="2BFB3ABC" w14:textId="77777777" w:rsidR="00000000" w:rsidRDefault="00405D16">
            <w:pPr>
              <w:spacing w:after="100"/>
              <w:rPr>
                <w:rFonts w:eastAsia="Times New Roman"/>
                <w:sz w:val="20"/>
                <w:szCs w:val="20"/>
              </w:rPr>
            </w:pPr>
          </w:p>
        </w:tc>
        <w:tc>
          <w:tcPr>
            <w:tcW w:w="0" w:type="auto"/>
            <w:gridSpan w:val="3"/>
            <w:vAlign w:val="center"/>
            <w:hideMark/>
          </w:tcPr>
          <w:p w14:paraId="60091609" w14:textId="77777777" w:rsidR="00000000" w:rsidRDefault="00405D16">
            <w:pPr>
              <w:spacing w:after="100"/>
              <w:rPr>
                <w:rFonts w:eastAsia="Times New Roman"/>
                <w:sz w:val="20"/>
                <w:szCs w:val="20"/>
              </w:rPr>
            </w:pPr>
          </w:p>
        </w:tc>
        <w:tc>
          <w:tcPr>
            <w:tcW w:w="0" w:type="auto"/>
            <w:gridSpan w:val="3"/>
            <w:vAlign w:val="center"/>
            <w:hideMark/>
          </w:tcPr>
          <w:p w14:paraId="579F4C02" w14:textId="77777777" w:rsidR="00000000" w:rsidRDefault="00405D16">
            <w:pPr>
              <w:spacing w:after="100"/>
              <w:rPr>
                <w:rFonts w:eastAsia="Times New Roman"/>
                <w:sz w:val="20"/>
                <w:szCs w:val="20"/>
              </w:rPr>
            </w:pPr>
          </w:p>
        </w:tc>
        <w:tc>
          <w:tcPr>
            <w:tcW w:w="0" w:type="auto"/>
            <w:gridSpan w:val="3"/>
            <w:vAlign w:val="center"/>
            <w:hideMark/>
          </w:tcPr>
          <w:p w14:paraId="1533C26B" w14:textId="77777777" w:rsidR="00000000" w:rsidRDefault="00405D16">
            <w:pPr>
              <w:spacing w:after="100"/>
              <w:rPr>
                <w:rFonts w:eastAsia="Times New Roman"/>
                <w:sz w:val="20"/>
                <w:szCs w:val="20"/>
              </w:rPr>
            </w:pPr>
          </w:p>
        </w:tc>
        <w:tc>
          <w:tcPr>
            <w:tcW w:w="0" w:type="auto"/>
            <w:gridSpan w:val="3"/>
            <w:vAlign w:val="center"/>
            <w:hideMark/>
          </w:tcPr>
          <w:p w14:paraId="7DB6469A" w14:textId="77777777" w:rsidR="00000000" w:rsidRDefault="00405D16">
            <w:pPr>
              <w:spacing w:after="100"/>
              <w:rPr>
                <w:rFonts w:eastAsia="Times New Roman"/>
                <w:sz w:val="20"/>
                <w:szCs w:val="20"/>
              </w:rPr>
            </w:pPr>
          </w:p>
        </w:tc>
        <w:tc>
          <w:tcPr>
            <w:tcW w:w="0" w:type="auto"/>
            <w:gridSpan w:val="3"/>
            <w:vAlign w:val="center"/>
            <w:hideMark/>
          </w:tcPr>
          <w:p w14:paraId="54BF89F0" w14:textId="77777777" w:rsidR="00000000" w:rsidRDefault="00405D16">
            <w:pPr>
              <w:spacing w:after="100"/>
              <w:rPr>
                <w:rFonts w:eastAsia="Times New Roman"/>
                <w:sz w:val="20"/>
                <w:szCs w:val="20"/>
              </w:rPr>
            </w:pPr>
          </w:p>
        </w:tc>
        <w:tc>
          <w:tcPr>
            <w:tcW w:w="0" w:type="auto"/>
            <w:gridSpan w:val="3"/>
            <w:vAlign w:val="center"/>
            <w:hideMark/>
          </w:tcPr>
          <w:p w14:paraId="531BB01A" w14:textId="77777777" w:rsidR="00000000" w:rsidRDefault="00405D16">
            <w:pPr>
              <w:spacing w:after="100"/>
              <w:rPr>
                <w:rFonts w:eastAsia="Times New Roman"/>
                <w:sz w:val="20"/>
                <w:szCs w:val="20"/>
              </w:rPr>
            </w:pPr>
          </w:p>
        </w:tc>
        <w:tc>
          <w:tcPr>
            <w:tcW w:w="0" w:type="auto"/>
            <w:gridSpan w:val="3"/>
            <w:vAlign w:val="center"/>
            <w:hideMark/>
          </w:tcPr>
          <w:p w14:paraId="683FAF35" w14:textId="77777777" w:rsidR="00000000" w:rsidRDefault="00405D16">
            <w:pPr>
              <w:spacing w:after="100"/>
              <w:rPr>
                <w:rFonts w:eastAsia="Times New Roman"/>
                <w:sz w:val="20"/>
                <w:szCs w:val="20"/>
              </w:rPr>
            </w:pPr>
          </w:p>
        </w:tc>
        <w:tc>
          <w:tcPr>
            <w:tcW w:w="0" w:type="auto"/>
            <w:gridSpan w:val="2"/>
            <w:vAlign w:val="center"/>
            <w:hideMark/>
          </w:tcPr>
          <w:p w14:paraId="6E317551" w14:textId="77777777" w:rsidR="00000000" w:rsidRDefault="00405D16">
            <w:pPr>
              <w:spacing w:after="100"/>
              <w:rPr>
                <w:rFonts w:eastAsia="Times New Roman"/>
                <w:sz w:val="20"/>
                <w:szCs w:val="20"/>
              </w:rPr>
            </w:pPr>
          </w:p>
        </w:tc>
      </w:tr>
      <w:tr w:rsidR="00000000" w14:paraId="10DC947A" w14:textId="77777777">
        <w:tc>
          <w:tcPr>
            <w:tcW w:w="0" w:type="auto"/>
            <w:gridSpan w:val="3"/>
            <w:shd w:val="clear" w:color="auto" w:fill="FFFFFF"/>
            <w:tcMar>
              <w:top w:w="30" w:type="dxa"/>
              <w:left w:w="20" w:type="dxa"/>
              <w:bottom w:w="30" w:type="dxa"/>
              <w:right w:w="20" w:type="dxa"/>
            </w:tcMar>
            <w:vAlign w:val="center"/>
            <w:hideMark/>
          </w:tcPr>
          <w:p w14:paraId="023B5FD4" w14:textId="77777777" w:rsidR="00000000" w:rsidRDefault="00405D16">
            <w:pPr>
              <w:spacing w:after="100"/>
              <w:rPr>
                <w:rFonts w:eastAsia="Times New Roman"/>
              </w:rPr>
            </w:pPr>
            <w:r>
              <w:rPr>
                <w:rFonts w:eastAsia="Times New Roman"/>
                <w:color w:val="000000"/>
                <w:sz w:val="18"/>
                <w:szCs w:val="18"/>
              </w:rPr>
              <w:t>30+ day delinquency rate</w:t>
            </w:r>
          </w:p>
        </w:tc>
        <w:tc>
          <w:tcPr>
            <w:tcW w:w="0" w:type="auto"/>
            <w:gridSpan w:val="3"/>
            <w:shd w:val="clear" w:color="auto" w:fill="FFFFFF"/>
            <w:tcMar>
              <w:top w:w="0" w:type="dxa"/>
              <w:left w:w="20" w:type="dxa"/>
              <w:bottom w:w="0" w:type="dxa"/>
              <w:right w:w="20" w:type="dxa"/>
            </w:tcMar>
            <w:vAlign w:val="center"/>
            <w:hideMark/>
          </w:tcPr>
          <w:p w14:paraId="3AD7F101"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945748F" w14:textId="77777777" w:rsidR="00000000" w:rsidRDefault="00405D16">
            <w:pPr>
              <w:spacing w:after="100"/>
              <w:jc w:val="right"/>
              <w:rPr>
                <w:rFonts w:eastAsia="Times New Roman"/>
              </w:rPr>
            </w:pPr>
            <w:r>
              <w:rPr>
                <w:rFonts w:eastAsia="Times New Roman"/>
                <w:b/>
                <w:bCs/>
                <w:color w:val="000000"/>
                <w:sz w:val="18"/>
                <w:szCs w:val="18"/>
              </w:rPr>
              <w:t>2.13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895371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7030F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E138757" w14:textId="77777777" w:rsidR="00000000" w:rsidRDefault="00405D16">
            <w:pPr>
              <w:spacing w:after="100"/>
              <w:jc w:val="right"/>
              <w:rPr>
                <w:rFonts w:eastAsia="Times New Roman"/>
              </w:rPr>
            </w:pPr>
            <w:r>
              <w:rPr>
                <w:rFonts w:eastAsia="Times New Roman"/>
                <w:color w:val="000000"/>
                <w:sz w:val="18"/>
                <w:szCs w:val="18"/>
              </w:rPr>
              <w:t>2.61 </w:t>
            </w:r>
          </w:p>
        </w:tc>
        <w:tc>
          <w:tcPr>
            <w:tcW w:w="0" w:type="auto"/>
            <w:shd w:val="clear" w:color="auto" w:fill="FFFFFF"/>
            <w:tcMar>
              <w:top w:w="30" w:type="dxa"/>
              <w:left w:w="0" w:type="dxa"/>
              <w:bottom w:w="30" w:type="dxa"/>
              <w:right w:w="20" w:type="dxa"/>
            </w:tcMar>
            <w:vAlign w:val="center"/>
            <w:hideMark/>
          </w:tcPr>
          <w:p w14:paraId="3E3BE80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40283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7535BCA" w14:textId="77777777" w:rsidR="00000000" w:rsidRDefault="00405D16">
            <w:pPr>
              <w:spacing w:after="100"/>
              <w:jc w:val="right"/>
              <w:rPr>
                <w:rFonts w:eastAsia="Times New Roman"/>
              </w:rPr>
            </w:pPr>
            <w:r>
              <w:rPr>
                <w:rFonts w:eastAsia="Times New Roman"/>
                <w:color w:val="000000"/>
                <w:sz w:val="18"/>
                <w:szCs w:val="18"/>
              </w:rPr>
              <w:t>(48)</w:t>
            </w:r>
          </w:p>
        </w:tc>
        <w:tc>
          <w:tcPr>
            <w:tcW w:w="0" w:type="auto"/>
            <w:shd w:val="clear" w:color="auto" w:fill="FFFFFF"/>
            <w:tcMar>
              <w:top w:w="30" w:type="dxa"/>
              <w:left w:w="0" w:type="dxa"/>
              <w:bottom w:w="30" w:type="dxa"/>
              <w:right w:w="20" w:type="dxa"/>
            </w:tcMar>
            <w:vAlign w:val="center"/>
            <w:hideMark/>
          </w:tcPr>
          <w:p w14:paraId="23F50264" w14:textId="77777777" w:rsidR="00000000" w:rsidRDefault="00405D16">
            <w:pPr>
              <w:spacing w:after="100"/>
              <w:jc w:val="right"/>
              <w:rPr>
                <w:rFonts w:eastAsia="Times New Roman"/>
              </w:rPr>
            </w:pPr>
          </w:p>
        </w:tc>
        <w:tc>
          <w:tcPr>
            <w:tcW w:w="0" w:type="auto"/>
            <w:vAlign w:val="center"/>
            <w:hideMark/>
          </w:tcPr>
          <w:p w14:paraId="09697E0A" w14:textId="77777777" w:rsidR="00000000" w:rsidRDefault="00405D16">
            <w:pPr>
              <w:spacing w:after="100"/>
              <w:jc w:val="right"/>
              <w:rPr>
                <w:rFonts w:eastAsia="Times New Roman"/>
                <w:sz w:val="20"/>
                <w:szCs w:val="20"/>
              </w:rPr>
            </w:pPr>
          </w:p>
        </w:tc>
        <w:tc>
          <w:tcPr>
            <w:tcW w:w="0" w:type="auto"/>
            <w:vAlign w:val="center"/>
            <w:hideMark/>
          </w:tcPr>
          <w:p w14:paraId="2F14F297" w14:textId="77777777" w:rsidR="00000000" w:rsidRDefault="00405D16">
            <w:pPr>
              <w:spacing w:after="100"/>
              <w:rPr>
                <w:rFonts w:eastAsia="Times New Roman"/>
                <w:sz w:val="20"/>
                <w:szCs w:val="20"/>
              </w:rPr>
            </w:pPr>
          </w:p>
        </w:tc>
        <w:tc>
          <w:tcPr>
            <w:tcW w:w="0" w:type="auto"/>
            <w:vAlign w:val="center"/>
            <w:hideMark/>
          </w:tcPr>
          <w:p w14:paraId="51AB6418" w14:textId="77777777" w:rsidR="00000000" w:rsidRDefault="00405D16">
            <w:pPr>
              <w:spacing w:after="100"/>
              <w:rPr>
                <w:rFonts w:eastAsia="Times New Roman"/>
                <w:sz w:val="20"/>
                <w:szCs w:val="20"/>
              </w:rPr>
            </w:pPr>
          </w:p>
        </w:tc>
        <w:tc>
          <w:tcPr>
            <w:tcW w:w="0" w:type="auto"/>
            <w:vAlign w:val="center"/>
            <w:hideMark/>
          </w:tcPr>
          <w:p w14:paraId="372BD35F" w14:textId="77777777" w:rsidR="00000000" w:rsidRDefault="00405D16">
            <w:pPr>
              <w:spacing w:after="100"/>
              <w:rPr>
                <w:rFonts w:eastAsia="Times New Roman"/>
                <w:sz w:val="20"/>
                <w:szCs w:val="20"/>
              </w:rPr>
            </w:pPr>
          </w:p>
        </w:tc>
        <w:tc>
          <w:tcPr>
            <w:tcW w:w="0" w:type="auto"/>
            <w:gridSpan w:val="3"/>
            <w:vAlign w:val="center"/>
            <w:hideMark/>
          </w:tcPr>
          <w:p w14:paraId="2758B782" w14:textId="77777777" w:rsidR="00000000" w:rsidRDefault="00405D16">
            <w:pPr>
              <w:spacing w:after="100"/>
              <w:rPr>
                <w:rFonts w:eastAsia="Times New Roman"/>
                <w:sz w:val="20"/>
                <w:szCs w:val="20"/>
              </w:rPr>
            </w:pPr>
          </w:p>
        </w:tc>
        <w:tc>
          <w:tcPr>
            <w:tcW w:w="0" w:type="auto"/>
            <w:gridSpan w:val="3"/>
            <w:vAlign w:val="center"/>
            <w:hideMark/>
          </w:tcPr>
          <w:p w14:paraId="1184C175" w14:textId="77777777" w:rsidR="00000000" w:rsidRDefault="00405D16">
            <w:pPr>
              <w:spacing w:after="100"/>
              <w:rPr>
                <w:rFonts w:eastAsia="Times New Roman"/>
                <w:sz w:val="20"/>
                <w:szCs w:val="20"/>
              </w:rPr>
            </w:pPr>
          </w:p>
        </w:tc>
        <w:tc>
          <w:tcPr>
            <w:tcW w:w="0" w:type="auto"/>
            <w:gridSpan w:val="3"/>
            <w:vAlign w:val="center"/>
            <w:hideMark/>
          </w:tcPr>
          <w:p w14:paraId="2CFE6711" w14:textId="77777777" w:rsidR="00000000" w:rsidRDefault="00405D16">
            <w:pPr>
              <w:spacing w:after="100"/>
              <w:rPr>
                <w:rFonts w:eastAsia="Times New Roman"/>
                <w:sz w:val="20"/>
                <w:szCs w:val="20"/>
              </w:rPr>
            </w:pPr>
          </w:p>
        </w:tc>
        <w:tc>
          <w:tcPr>
            <w:tcW w:w="0" w:type="auto"/>
            <w:gridSpan w:val="3"/>
            <w:vAlign w:val="center"/>
            <w:hideMark/>
          </w:tcPr>
          <w:p w14:paraId="36C4CE8B" w14:textId="77777777" w:rsidR="00000000" w:rsidRDefault="00405D16">
            <w:pPr>
              <w:spacing w:after="100"/>
              <w:rPr>
                <w:rFonts w:eastAsia="Times New Roman"/>
                <w:sz w:val="20"/>
                <w:szCs w:val="20"/>
              </w:rPr>
            </w:pPr>
          </w:p>
        </w:tc>
        <w:tc>
          <w:tcPr>
            <w:tcW w:w="0" w:type="auto"/>
            <w:gridSpan w:val="3"/>
            <w:vAlign w:val="center"/>
            <w:hideMark/>
          </w:tcPr>
          <w:p w14:paraId="37347C65" w14:textId="77777777" w:rsidR="00000000" w:rsidRDefault="00405D16">
            <w:pPr>
              <w:spacing w:after="100"/>
              <w:rPr>
                <w:rFonts w:eastAsia="Times New Roman"/>
                <w:sz w:val="20"/>
                <w:szCs w:val="20"/>
              </w:rPr>
            </w:pPr>
          </w:p>
        </w:tc>
        <w:tc>
          <w:tcPr>
            <w:tcW w:w="0" w:type="auto"/>
            <w:gridSpan w:val="3"/>
            <w:vAlign w:val="center"/>
            <w:hideMark/>
          </w:tcPr>
          <w:p w14:paraId="7394F69F" w14:textId="77777777" w:rsidR="00000000" w:rsidRDefault="00405D16">
            <w:pPr>
              <w:spacing w:after="100"/>
              <w:rPr>
                <w:rFonts w:eastAsia="Times New Roman"/>
                <w:sz w:val="20"/>
                <w:szCs w:val="20"/>
              </w:rPr>
            </w:pPr>
          </w:p>
        </w:tc>
        <w:tc>
          <w:tcPr>
            <w:tcW w:w="0" w:type="auto"/>
            <w:gridSpan w:val="3"/>
            <w:vAlign w:val="center"/>
            <w:hideMark/>
          </w:tcPr>
          <w:p w14:paraId="34C619FD" w14:textId="77777777" w:rsidR="00000000" w:rsidRDefault="00405D16">
            <w:pPr>
              <w:spacing w:after="100"/>
              <w:rPr>
                <w:rFonts w:eastAsia="Times New Roman"/>
                <w:sz w:val="20"/>
                <w:szCs w:val="20"/>
              </w:rPr>
            </w:pPr>
          </w:p>
        </w:tc>
        <w:tc>
          <w:tcPr>
            <w:tcW w:w="0" w:type="auto"/>
            <w:gridSpan w:val="3"/>
            <w:vAlign w:val="center"/>
            <w:hideMark/>
          </w:tcPr>
          <w:p w14:paraId="2EDFCBDD" w14:textId="77777777" w:rsidR="00000000" w:rsidRDefault="00405D16">
            <w:pPr>
              <w:spacing w:after="100"/>
              <w:rPr>
                <w:rFonts w:eastAsia="Times New Roman"/>
                <w:sz w:val="20"/>
                <w:szCs w:val="20"/>
              </w:rPr>
            </w:pPr>
          </w:p>
        </w:tc>
        <w:tc>
          <w:tcPr>
            <w:tcW w:w="0" w:type="auto"/>
            <w:gridSpan w:val="3"/>
            <w:vAlign w:val="center"/>
            <w:hideMark/>
          </w:tcPr>
          <w:p w14:paraId="5A9CA5AA" w14:textId="77777777" w:rsidR="00000000" w:rsidRDefault="00405D16">
            <w:pPr>
              <w:spacing w:after="100"/>
              <w:rPr>
                <w:rFonts w:eastAsia="Times New Roman"/>
                <w:sz w:val="20"/>
                <w:szCs w:val="20"/>
              </w:rPr>
            </w:pPr>
          </w:p>
        </w:tc>
        <w:tc>
          <w:tcPr>
            <w:tcW w:w="0" w:type="auto"/>
            <w:gridSpan w:val="2"/>
            <w:vAlign w:val="center"/>
            <w:hideMark/>
          </w:tcPr>
          <w:p w14:paraId="468C566E" w14:textId="77777777" w:rsidR="00000000" w:rsidRDefault="00405D16">
            <w:pPr>
              <w:spacing w:after="100"/>
              <w:rPr>
                <w:rFonts w:eastAsia="Times New Roman"/>
                <w:sz w:val="20"/>
                <w:szCs w:val="20"/>
              </w:rPr>
            </w:pPr>
          </w:p>
        </w:tc>
      </w:tr>
      <w:tr w:rsidR="00000000" w14:paraId="44B8235C" w14:textId="77777777">
        <w:tc>
          <w:tcPr>
            <w:tcW w:w="0" w:type="auto"/>
            <w:gridSpan w:val="3"/>
            <w:shd w:val="clear" w:color="auto" w:fill="CCEEFF"/>
            <w:tcMar>
              <w:top w:w="30" w:type="dxa"/>
              <w:left w:w="20" w:type="dxa"/>
              <w:bottom w:w="30" w:type="dxa"/>
              <w:right w:w="20" w:type="dxa"/>
            </w:tcMar>
            <w:vAlign w:val="center"/>
            <w:hideMark/>
          </w:tcPr>
          <w:p w14:paraId="7938CFFA" w14:textId="77777777" w:rsidR="00000000" w:rsidRDefault="00405D16">
            <w:pPr>
              <w:spacing w:after="100"/>
              <w:rPr>
                <w:rFonts w:eastAsia="Times New Roman"/>
              </w:rPr>
            </w:pPr>
            <w:r>
              <w:rPr>
                <w:rFonts w:eastAsia="Times New Roman"/>
                <w:b/>
                <w:bCs/>
                <w:color w:val="000000"/>
                <w:sz w:val="18"/>
                <w:szCs w:val="18"/>
              </w:rPr>
              <w:t>Capital ratios</w:t>
            </w:r>
          </w:p>
        </w:tc>
        <w:tc>
          <w:tcPr>
            <w:tcW w:w="0" w:type="auto"/>
            <w:gridSpan w:val="3"/>
            <w:shd w:val="clear" w:color="auto" w:fill="CCEEFF"/>
            <w:tcMar>
              <w:top w:w="0" w:type="dxa"/>
              <w:left w:w="20" w:type="dxa"/>
              <w:bottom w:w="0" w:type="dxa"/>
              <w:right w:w="20" w:type="dxa"/>
            </w:tcMar>
            <w:vAlign w:val="center"/>
            <w:hideMark/>
          </w:tcPr>
          <w:p w14:paraId="138FAADA"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9A189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ADC61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9683B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48692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F63324" w14:textId="77777777" w:rsidR="00000000" w:rsidRDefault="00405D16">
            <w:pPr>
              <w:spacing w:after="100"/>
              <w:rPr>
                <w:rFonts w:eastAsia="Times New Roman"/>
                <w:sz w:val="20"/>
                <w:szCs w:val="20"/>
              </w:rPr>
            </w:pPr>
          </w:p>
        </w:tc>
        <w:tc>
          <w:tcPr>
            <w:tcW w:w="0" w:type="auto"/>
            <w:vAlign w:val="center"/>
            <w:hideMark/>
          </w:tcPr>
          <w:p w14:paraId="3514B43C" w14:textId="77777777" w:rsidR="00000000" w:rsidRDefault="00405D16">
            <w:pPr>
              <w:spacing w:after="100"/>
              <w:rPr>
                <w:rFonts w:eastAsia="Times New Roman"/>
                <w:sz w:val="20"/>
                <w:szCs w:val="20"/>
              </w:rPr>
            </w:pPr>
          </w:p>
        </w:tc>
        <w:tc>
          <w:tcPr>
            <w:tcW w:w="0" w:type="auto"/>
            <w:vAlign w:val="center"/>
            <w:hideMark/>
          </w:tcPr>
          <w:p w14:paraId="76533890" w14:textId="77777777" w:rsidR="00000000" w:rsidRDefault="00405D16">
            <w:pPr>
              <w:spacing w:after="100"/>
              <w:rPr>
                <w:rFonts w:eastAsia="Times New Roman"/>
                <w:sz w:val="20"/>
                <w:szCs w:val="20"/>
              </w:rPr>
            </w:pPr>
          </w:p>
        </w:tc>
        <w:tc>
          <w:tcPr>
            <w:tcW w:w="0" w:type="auto"/>
            <w:vAlign w:val="center"/>
            <w:hideMark/>
          </w:tcPr>
          <w:p w14:paraId="71ADD330" w14:textId="77777777" w:rsidR="00000000" w:rsidRDefault="00405D16">
            <w:pPr>
              <w:spacing w:after="100"/>
              <w:rPr>
                <w:rFonts w:eastAsia="Times New Roman"/>
                <w:sz w:val="20"/>
                <w:szCs w:val="20"/>
              </w:rPr>
            </w:pPr>
          </w:p>
        </w:tc>
        <w:tc>
          <w:tcPr>
            <w:tcW w:w="0" w:type="auto"/>
            <w:vAlign w:val="center"/>
            <w:hideMark/>
          </w:tcPr>
          <w:p w14:paraId="348BC16A" w14:textId="77777777" w:rsidR="00000000" w:rsidRDefault="00405D16">
            <w:pPr>
              <w:spacing w:after="100"/>
              <w:rPr>
                <w:rFonts w:eastAsia="Times New Roman"/>
                <w:sz w:val="20"/>
                <w:szCs w:val="20"/>
              </w:rPr>
            </w:pPr>
          </w:p>
        </w:tc>
        <w:tc>
          <w:tcPr>
            <w:tcW w:w="0" w:type="auto"/>
            <w:gridSpan w:val="3"/>
            <w:vAlign w:val="center"/>
            <w:hideMark/>
          </w:tcPr>
          <w:p w14:paraId="7087C56A" w14:textId="77777777" w:rsidR="00000000" w:rsidRDefault="00405D16">
            <w:pPr>
              <w:spacing w:after="100"/>
              <w:rPr>
                <w:rFonts w:eastAsia="Times New Roman"/>
                <w:sz w:val="20"/>
                <w:szCs w:val="20"/>
              </w:rPr>
            </w:pPr>
          </w:p>
        </w:tc>
        <w:tc>
          <w:tcPr>
            <w:tcW w:w="0" w:type="auto"/>
            <w:gridSpan w:val="3"/>
            <w:vAlign w:val="center"/>
            <w:hideMark/>
          </w:tcPr>
          <w:p w14:paraId="23AD5F68" w14:textId="77777777" w:rsidR="00000000" w:rsidRDefault="00405D16">
            <w:pPr>
              <w:spacing w:after="100"/>
              <w:rPr>
                <w:rFonts w:eastAsia="Times New Roman"/>
                <w:sz w:val="20"/>
                <w:szCs w:val="20"/>
              </w:rPr>
            </w:pPr>
          </w:p>
        </w:tc>
        <w:tc>
          <w:tcPr>
            <w:tcW w:w="0" w:type="auto"/>
            <w:gridSpan w:val="3"/>
            <w:vAlign w:val="center"/>
            <w:hideMark/>
          </w:tcPr>
          <w:p w14:paraId="4D31E1D6" w14:textId="77777777" w:rsidR="00000000" w:rsidRDefault="00405D16">
            <w:pPr>
              <w:spacing w:after="100"/>
              <w:rPr>
                <w:rFonts w:eastAsia="Times New Roman"/>
                <w:sz w:val="20"/>
                <w:szCs w:val="20"/>
              </w:rPr>
            </w:pPr>
          </w:p>
        </w:tc>
        <w:tc>
          <w:tcPr>
            <w:tcW w:w="0" w:type="auto"/>
            <w:gridSpan w:val="3"/>
            <w:vAlign w:val="center"/>
            <w:hideMark/>
          </w:tcPr>
          <w:p w14:paraId="0DB1AC68" w14:textId="77777777" w:rsidR="00000000" w:rsidRDefault="00405D16">
            <w:pPr>
              <w:spacing w:after="100"/>
              <w:rPr>
                <w:rFonts w:eastAsia="Times New Roman"/>
                <w:sz w:val="20"/>
                <w:szCs w:val="20"/>
              </w:rPr>
            </w:pPr>
          </w:p>
        </w:tc>
        <w:tc>
          <w:tcPr>
            <w:tcW w:w="0" w:type="auto"/>
            <w:gridSpan w:val="3"/>
            <w:vAlign w:val="center"/>
            <w:hideMark/>
          </w:tcPr>
          <w:p w14:paraId="742FC734" w14:textId="77777777" w:rsidR="00000000" w:rsidRDefault="00405D16">
            <w:pPr>
              <w:spacing w:after="100"/>
              <w:rPr>
                <w:rFonts w:eastAsia="Times New Roman"/>
                <w:sz w:val="20"/>
                <w:szCs w:val="20"/>
              </w:rPr>
            </w:pPr>
          </w:p>
        </w:tc>
        <w:tc>
          <w:tcPr>
            <w:tcW w:w="0" w:type="auto"/>
            <w:gridSpan w:val="3"/>
            <w:vAlign w:val="center"/>
            <w:hideMark/>
          </w:tcPr>
          <w:p w14:paraId="67FA0349" w14:textId="77777777" w:rsidR="00000000" w:rsidRDefault="00405D16">
            <w:pPr>
              <w:spacing w:after="100"/>
              <w:rPr>
                <w:rFonts w:eastAsia="Times New Roman"/>
                <w:sz w:val="20"/>
                <w:szCs w:val="20"/>
              </w:rPr>
            </w:pPr>
          </w:p>
        </w:tc>
        <w:tc>
          <w:tcPr>
            <w:tcW w:w="0" w:type="auto"/>
            <w:gridSpan w:val="3"/>
            <w:vAlign w:val="center"/>
            <w:hideMark/>
          </w:tcPr>
          <w:p w14:paraId="7D5CE8D9" w14:textId="77777777" w:rsidR="00000000" w:rsidRDefault="00405D16">
            <w:pPr>
              <w:spacing w:after="100"/>
              <w:rPr>
                <w:rFonts w:eastAsia="Times New Roman"/>
                <w:sz w:val="20"/>
                <w:szCs w:val="20"/>
              </w:rPr>
            </w:pPr>
          </w:p>
        </w:tc>
        <w:tc>
          <w:tcPr>
            <w:tcW w:w="0" w:type="auto"/>
            <w:gridSpan w:val="3"/>
            <w:vAlign w:val="center"/>
            <w:hideMark/>
          </w:tcPr>
          <w:p w14:paraId="705DCB29" w14:textId="77777777" w:rsidR="00000000" w:rsidRDefault="00405D16">
            <w:pPr>
              <w:spacing w:after="100"/>
              <w:rPr>
                <w:rFonts w:eastAsia="Times New Roman"/>
                <w:sz w:val="20"/>
                <w:szCs w:val="20"/>
              </w:rPr>
            </w:pPr>
          </w:p>
        </w:tc>
        <w:tc>
          <w:tcPr>
            <w:tcW w:w="0" w:type="auto"/>
            <w:gridSpan w:val="3"/>
            <w:vAlign w:val="center"/>
            <w:hideMark/>
          </w:tcPr>
          <w:p w14:paraId="5947C753" w14:textId="77777777" w:rsidR="00000000" w:rsidRDefault="00405D16">
            <w:pPr>
              <w:spacing w:after="100"/>
              <w:rPr>
                <w:rFonts w:eastAsia="Times New Roman"/>
                <w:sz w:val="20"/>
                <w:szCs w:val="20"/>
              </w:rPr>
            </w:pPr>
          </w:p>
        </w:tc>
        <w:tc>
          <w:tcPr>
            <w:tcW w:w="0" w:type="auto"/>
            <w:gridSpan w:val="2"/>
            <w:vAlign w:val="center"/>
            <w:hideMark/>
          </w:tcPr>
          <w:p w14:paraId="31B6967E" w14:textId="77777777" w:rsidR="00000000" w:rsidRDefault="00405D16">
            <w:pPr>
              <w:spacing w:after="100"/>
              <w:rPr>
                <w:rFonts w:eastAsia="Times New Roman"/>
                <w:sz w:val="20"/>
                <w:szCs w:val="20"/>
              </w:rPr>
            </w:pPr>
          </w:p>
        </w:tc>
      </w:tr>
      <w:tr w:rsidR="00000000" w14:paraId="298EC0A6" w14:textId="77777777">
        <w:tc>
          <w:tcPr>
            <w:tcW w:w="0" w:type="auto"/>
            <w:gridSpan w:val="3"/>
            <w:shd w:val="clear" w:color="auto" w:fill="FFFFFF"/>
            <w:tcMar>
              <w:top w:w="30" w:type="dxa"/>
              <w:left w:w="20" w:type="dxa"/>
              <w:bottom w:w="30" w:type="dxa"/>
              <w:right w:w="20" w:type="dxa"/>
            </w:tcMar>
            <w:vAlign w:val="center"/>
            <w:hideMark/>
          </w:tcPr>
          <w:p w14:paraId="6731541D" w14:textId="77777777" w:rsidR="00000000" w:rsidRDefault="00405D16">
            <w:pPr>
              <w:spacing w:after="100"/>
              <w:divId w:val="95250269"/>
              <w:rPr>
                <w:rFonts w:eastAsia="Times New Roman"/>
              </w:rPr>
            </w:pPr>
            <w:r>
              <w:rPr>
                <w:rFonts w:eastAsia="Times New Roman"/>
                <w:color w:val="000000"/>
                <w:sz w:val="18"/>
                <w:szCs w:val="18"/>
              </w:rPr>
              <w:t>Common equity Tier 1 capita</w:t>
            </w:r>
            <w:r>
              <w:rPr>
                <w:rFonts w:eastAsia="Times New Roman"/>
                <w:color w:val="000000"/>
                <w:sz w:val="18"/>
                <w:szCs w:val="18"/>
              </w:rPr>
              <w:t>l</w:t>
            </w:r>
            <w:r>
              <w:rPr>
                <w:rFonts w:eastAsia="Times New Roman"/>
                <w:color w:val="000000"/>
                <w:sz w:val="12"/>
                <w:szCs w:val="12"/>
              </w:rPr>
              <w:t>(10</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6A74D89D"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FA6F772" w14:textId="77777777" w:rsidR="00000000" w:rsidRDefault="00405D16">
            <w:pPr>
              <w:spacing w:after="100"/>
              <w:jc w:val="right"/>
              <w:rPr>
                <w:rFonts w:eastAsia="Times New Roman"/>
              </w:rPr>
            </w:pPr>
            <w:r>
              <w:rPr>
                <w:rFonts w:eastAsia="Times New Roman"/>
                <w:b/>
                <w:bCs/>
                <w:color w:val="000000"/>
                <w:sz w:val="18"/>
                <w:szCs w:val="18"/>
              </w:rPr>
              <w:t>13.8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36FA648"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D4AF824"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01E4AB4" w14:textId="77777777" w:rsidR="00000000" w:rsidRDefault="00405D16">
            <w:pPr>
              <w:spacing w:after="100"/>
              <w:jc w:val="right"/>
              <w:rPr>
                <w:rFonts w:eastAsia="Times New Roman"/>
              </w:rPr>
            </w:pPr>
            <w:r>
              <w:rPr>
                <w:rFonts w:eastAsia="Times New Roman"/>
                <w:color w:val="000000"/>
                <w:sz w:val="18"/>
                <w:szCs w:val="18"/>
              </w:rPr>
              <w:t>13.7 </w:t>
            </w:r>
          </w:p>
        </w:tc>
        <w:tc>
          <w:tcPr>
            <w:tcW w:w="0" w:type="auto"/>
            <w:shd w:val="clear" w:color="auto" w:fill="FFFFFF"/>
            <w:tcMar>
              <w:top w:w="30" w:type="dxa"/>
              <w:left w:w="0" w:type="dxa"/>
              <w:bottom w:w="30" w:type="dxa"/>
              <w:right w:w="20" w:type="dxa"/>
            </w:tcMar>
            <w:vAlign w:val="center"/>
            <w:hideMark/>
          </w:tcPr>
          <w:p w14:paraId="3524BC20"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D51DE35"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8C67524" w14:textId="77777777" w:rsidR="00000000" w:rsidRDefault="00405D16">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center"/>
            <w:hideMark/>
          </w:tcPr>
          <w:p w14:paraId="6088B068" w14:textId="77777777" w:rsidR="00000000" w:rsidRDefault="00405D16">
            <w:pPr>
              <w:spacing w:after="100"/>
              <w:jc w:val="right"/>
              <w:rPr>
                <w:rFonts w:eastAsia="Times New Roman"/>
              </w:rPr>
            </w:pPr>
            <w:r>
              <w:rPr>
                <w:rFonts w:eastAsia="Times New Roman"/>
                <w:color w:val="000000"/>
                <w:sz w:val="18"/>
                <w:szCs w:val="18"/>
              </w:rPr>
              <w:t>bps</w:t>
            </w:r>
          </w:p>
        </w:tc>
        <w:tc>
          <w:tcPr>
            <w:tcW w:w="0" w:type="auto"/>
            <w:vAlign w:val="center"/>
            <w:hideMark/>
          </w:tcPr>
          <w:p w14:paraId="76E466CF" w14:textId="77777777" w:rsidR="00000000" w:rsidRDefault="00405D16">
            <w:pPr>
              <w:spacing w:after="100"/>
              <w:jc w:val="right"/>
              <w:rPr>
                <w:rFonts w:eastAsia="Times New Roman"/>
              </w:rPr>
            </w:pPr>
          </w:p>
        </w:tc>
        <w:tc>
          <w:tcPr>
            <w:tcW w:w="0" w:type="auto"/>
            <w:vAlign w:val="center"/>
            <w:hideMark/>
          </w:tcPr>
          <w:p w14:paraId="33491C05" w14:textId="77777777" w:rsidR="00000000" w:rsidRDefault="00405D16">
            <w:pPr>
              <w:spacing w:after="100"/>
              <w:rPr>
                <w:rFonts w:eastAsia="Times New Roman"/>
                <w:sz w:val="20"/>
                <w:szCs w:val="20"/>
              </w:rPr>
            </w:pPr>
          </w:p>
        </w:tc>
        <w:tc>
          <w:tcPr>
            <w:tcW w:w="0" w:type="auto"/>
            <w:vAlign w:val="center"/>
            <w:hideMark/>
          </w:tcPr>
          <w:p w14:paraId="16C4B95F" w14:textId="77777777" w:rsidR="00000000" w:rsidRDefault="00405D16">
            <w:pPr>
              <w:spacing w:after="100"/>
              <w:rPr>
                <w:rFonts w:eastAsia="Times New Roman"/>
                <w:sz w:val="20"/>
                <w:szCs w:val="20"/>
              </w:rPr>
            </w:pPr>
          </w:p>
        </w:tc>
        <w:tc>
          <w:tcPr>
            <w:tcW w:w="0" w:type="auto"/>
            <w:vAlign w:val="center"/>
            <w:hideMark/>
          </w:tcPr>
          <w:p w14:paraId="140824EA" w14:textId="77777777" w:rsidR="00000000" w:rsidRDefault="00405D16">
            <w:pPr>
              <w:spacing w:after="100"/>
              <w:rPr>
                <w:rFonts w:eastAsia="Times New Roman"/>
                <w:sz w:val="20"/>
                <w:szCs w:val="20"/>
              </w:rPr>
            </w:pPr>
          </w:p>
        </w:tc>
        <w:tc>
          <w:tcPr>
            <w:tcW w:w="0" w:type="auto"/>
            <w:gridSpan w:val="3"/>
            <w:vAlign w:val="center"/>
            <w:hideMark/>
          </w:tcPr>
          <w:p w14:paraId="177CEFB7" w14:textId="77777777" w:rsidR="00000000" w:rsidRDefault="00405D16">
            <w:pPr>
              <w:spacing w:after="100"/>
              <w:rPr>
                <w:rFonts w:eastAsia="Times New Roman"/>
                <w:sz w:val="20"/>
                <w:szCs w:val="20"/>
              </w:rPr>
            </w:pPr>
          </w:p>
        </w:tc>
        <w:tc>
          <w:tcPr>
            <w:tcW w:w="0" w:type="auto"/>
            <w:gridSpan w:val="3"/>
            <w:vAlign w:val="center"/>
            <w:hideMark/>
          </w:tcPr>
          <w:p w14:paraId="2F04F6A1" w14:textId="77777777" w:rsidR="00000000" w:rsidRDefault="00405D16">
            <w:pPr>
              <w:spacing w:after="100"/>
              <w:rPr>
                <w:rFonts w:eastAsia="Times New Roman"/>
                <w:sz w:val="20"/>
                <w:szCs w:val="20"/>
              </w:rPr>
            </w:pPr>
          </w:p>
        </w:tc>
        <w:tc>
          <w:tcPr>
            <w:tcW w:w="0" w:type="auto"/>
            <w:gridSpan w:val="3"/>
            <w:vAlign w:val="center"/>
            <w:hideMark/>
          </w:tcPr>
          <w:p w14:paraId="6C764C56" w14:textId="77777777" w:rsidR="00000000" w:rsidRDefault="00405D16">
            <w:pPr>
              <w:spacing w:after="100"/>
              <w:rPr>
                <w:rFonts w:eastAsia="Times New Roman"/>
                <w:sz w:val="20"/>
                <w:szCs w:val="20"/>
              </w:rPr>
            </w:pPr>
          </w:p>
        </w:tc>
        <w:tc>
          <w:tcPr>
            <w:tcW w:w="0" w:type="auto"/>
            <w:gridSpan w:val="3"/>
            <w:vAlign w:val="center"/>
            <w:hideMark/>
          </w:tcPr>
          <w:p w14:paraId="115B74E2" w14:textId="77777777" w:rsidR="00000000" w:rsidRDefault="00405D16">
            <w:pPr>
              <w:spacing w:after="100"/>
              <w:rPr>
                <w:rFonts w:eastAsia="Times New Roman"/>
                <w:sz w:val="20"/>
                <w:szCs w:val="20"/>
              </w:rPr>
            </w:pPr>
          </w:p>
        </w:tc>
        <w:tc>
          <w:tcPr>
            <w:tcW w:w="0" w:type="auto"/>
            <w:gridSpan w:val="3"/>
            <w:vAlign w:val="center"/>
            <w:hideMark/>
          </w:tcPr>
          <w:p w14:paraId="7C9FBC78" w14:textId="77777777" w:rsidR="00000000" w:rsidRDefault="00405D16">
            <w:pPr>
              <w:spacing w:after="100"/>
              <w:rPr>
                <w:rFonts w:eastAsia="Times New Roman"/>
                <w:sz w:val="20"/>
                <w:szCs w:val="20"/>
              </w:rPr>
            </w:pPr>
          </w:p>
        </w:tc>
        <w:tc>
          <w:tcPr>
            <w:tcW w:w="0" w:type="auto"/>
            <w:gridSpan w:val="3"/>
            <w:vAlign w:val="center"/>
            <w:hideMark/>
          </w:tcPr>
          <w:p w14:paraId="170E348B" w14:textId="77777777" w:rsidR="00000000" w:rsidRDefault="00405D16">
            <w:pPr>
              <w:spacing w:after="100"/>
              <w:rPr>
                <w:rFonts w:eastAsia="Times New Roman"/>
                <w:sz w:val="20"/>
                <w:szCs w:val="20"/>
              </w:rPr>
            </w:pPr>
          </w:p>
        </w:tc>
        <w:tc>
          <w:tcPr>
            <w:tcW w:w="0" w:type="auto"/>
            <w:gridSpan w:val="3"/>
            <w:vAlign w:val="center"/>
            <w:hideMark/>
          </w:tcPr>
          <w:p w14:paraId="1702702C" w14:textId="77777777" w:rsidR="00000000" w:rsidRDefault="00405D16">
            <w:pPr>
              <w:spacing w:after="100"/>
              <w:rPr>
                <w:rFonts w:eastAsia="Times New Roman"/>
                <w:sz w:val="20"/>
                <w:szCs w:val="20"/>
              </w:rPr>
            </w:pPr>
          </w:p>
        </w:tc>
        <w:tc>
          <w:tcPr>
            <w:tcW w:w="0" w:type="auto"/>
            <w:gridSpan w:val="3"/>
            <w:vAlign w:val="center"/>
            <w:hideMark/>
          </w:tcPr>
          <w:p w14:paraId="5395F9E3" w14:textId="77777777" w:rsidR="00000000" w:rsidRDefault="00405D16">
            <w:pPr>
              <w:spacing w:after="100"/>
              <w:rPr>
                <w:rFonts w:eastAsia="Times New Roman"/>
                <w:sz w:val="20"/>
                <w:szCs w:val="20"/>
              </w:rPr>
            </w:pPr>
          </w:p>
        </w:tc>
        <w:tc>
          <w:tcPr>
            <w:tcW w:w="0" w:type="auto"/>
            <w:gridSpan w:val="3"/>
            <w:vAlign w:val="center"/>
            <w:hideMark/>
          </w:tcPr>
          <w:p w14:paraId="3BA05241" w14:textId="77777777" w:rsidR="00000000" w:rsidRDefault="00405D16">
            <w:pPr>
              <w:spacing w:after="100"/>
              <w:rPr>
                <w:rFonts w:eastAsia="Times New Roman"/>
                <w:sz w:val="20"/>
                <w:szCs w:val="20"/>
              </w:rPr>
            </w:pPr>
          </w:p>
        </w:tc>
        <w:tc>
          <w:tcPr>
            <w:tcW w:w="0" w:type="auto"/>
            <w:gridSpan w:val="2"/>
            <w:vAlign w:val="center"/>
            <w:hideMark/>
          </w:tcPr>
          <w:p w14:paraId="10806AD2" w14:textId="77777777" w:rsidR="00000000" w:rsidRDefault="00405D16">
            <w:pPr>
              <w:spacing w:after="100"/>
              <w:rPr>
                <w:rFonts w:eastAsia="Times New Roman"/>
                <w:sz w:val="20"/>
                <w:szCs w:val="20"/>
              </w:rPr>
            </w:pPr>
          </w:p>
        </w:tc>
      </w:tr>
      <w:tr w:rsidR="00000000" w14:paraId="173B89A7" w14:textId="77777777">
        <w:tc>
          <w:tcPr>
            <w:tcW w:w="0" w:type="auto"/>
            <w:gridSpan w:val="3"/>
            <w:shd w:val="clear" w:color="auto" w:fill="CCEEFF"/>
            <w:tcMar>
              <w:top w:w="30" w:type="dxa"/>
              <w:left w:w="20" w:type="dxa"/>
              <w:bottom w:w="30" w:type="dxa"/>
              <w:right w:w="20" w:type="dxa"/>
            </w:tcMar>
            <w:vAlign w:val="center"/>
            <w:hideMark/>
          </w:tcPr>
          <w:p w14:paraId="64816948" w14:textId="77777777" w:rsidR="00000000" w:rsidRDefault="00405D16">
            <w:pPr>
              <w:spacing w:after="100"/>
              <w:divId w:val="2082673796"/>
              <w:rPr>
                <w:rFonts w:eastAsia="Times New Roman"/>
              </w:rPr>
            </w:pPr>
            <w:r>
              <w:rPr>
                <w:rFonts w:eastAsia="Times New Roman"/>
                <w:color w:val="000000"/>
                <w:sz w:val="18"/>
                <w:szCs w:val="18"/>
              </w:rPr>
              <w:t>Tier 1 capita</w:t>
            </w:r>
            <w:r>
              <w:rPr>
                <w:rFonts w:eastAsia="Times New Roman"/>
                <w:color w:val="000000"/>
                <w:sz w:val="18"/>
                <w:szCs w:val="18"/>
              </w:rPr>
              <w:t>l</w:t>
            </w:r>
            <w:r>
              <w:rPr>
                <w:rFonts w:eastAsia="Times New Roman"/>
                <w:color w:val="000000"/>
                <w:sz w:val="12"/>
                <w:szCs w:val="12"/>
              </w:rPr>
              <w:t>(10</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53B0EC36"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562B387" w14:textId="77777777" w:rsidR="00000000" w:rsidRDefault="00405D16">
            <w:pPr>
              <w:spacing w:after="100"/>
              <w:jc w:val="right"/>
              <w:rPr>
                <w:rFonts w:eastAsia="Times New Roman"/>
              </w:rPr>
            </w:pPr>
            <w:r>
              <w:rPr>
                <w:rFonts w:eastAsia="Times New Roman"/>
                <w:b/>
                <w:bCs/>
                <w:color w:val="000000"/>
                <w:sz w:val="18"/>
                <w:szCs w:val="18"/>
              </w:rPr>
              <w:t>15.7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68E08B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F09FE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7326776" w14:textId="77777777" w:rsidR="00000000" w:rsidRDefault="00405D16">
            <w:pPr>
              <w:spacing w:after="100"/>
              <w:jc w:val="right"/>
              <w:rPr>
                <w:rFonts w:eastAsia="Times New Roman"/>
              </w:rPr>
            </w:pPr>
            <w:r>
              <w:rPr>
                <w:rFonts w:eastAsia="Times New Roman"/>
                <w:color w:val="000000"/>
                <w:sz w:val="18"/>
                <w:szCs w:val="18"/>
              </w:rPr>
              <w:t>15.3 </w:t>
            </w:r>
          </w:p>
        </w:tc>
        <w:tc>
          <w:tcPr>
            <w:tcW w:w="0" w:type="auto"/>
            <w:shd w:val="clear" w:color="auto" w:fill="CCEEFF"/>
            <w:tcMar>
              <w:top w:w="30" w:type="dxa"/>
              <w:left w:w="0" w:type="dxa"/>
              <w:bottom w:w="30" w:type="dxa"/>
              <w:right w:w="20" w:type="dxa"/>
            </w:tcMar>
            <w:vAlign w:val="center"/>
            <w:hideMark/>
          </w:tcPr>
          <w:p w14:paraId="73B7E2D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86758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15775A9" w14:textId="77777777" w:rsidR="00000000" w:rsidRDefault="00405D16">
            <w:pPr>
              <w:spacing w:after="100"/>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center"/>
            <w:hideMark/>
          </w:tcPr>
          <w:p w14:paraId="4349C875" w14:textId="77777777" w:rsidR="00000000" w:rsidRDefault="00405D16">
            <w:pPr>
              <w:spacing w:after="100"/>
              <w:jc w:val="right"/>
              <w:rPr>
                <w:rFonts w:eastAsia="Times New Roman"/>
              </w:rPr>
            </w:pPr>
          </w:p>
        </w:tc>
        <w:tc>
          <w:tcPr>
            <w:tcW w:w="0" w:type="auto"/>
            <w:vAlign w:val="center"/>
            <w:hideMark/>
          </w:tcPr>
          <w:p w14:paraId="009C1849" w14:textId="77777777" w:rsidR="00000000" w:rsidRDefault="00405D16">
            <w:pPr>
              <w:spacing w:after="100"/>
              <w:jc w:val="right"/>
              <w:rPr>
                <w:rFonts w:eastAsia="Times New Roman"/>
                <w:sz w:val="20"/>
                <w:szCs w:val="20"/>
              </w:rPr>
            </w:pPr>
          </w:p>
        </w:tc>
        <w:tc>
          <w:tcPr>
            <w:tcW w:w="0" w:type="auto"/>
            <w:vAlign w:val="center"/>
            <w:hideMark/>
          </w:tcPr>
          <w:p w14:paraId="7F5C4B95" w14:textId="77777777" w:rsidR="00000000" w:rsidRDefault="00405D16">
            <w:pPr>
              <w:spacing w:after="100"/>
              <w:rPr>
                <w:rFonts w:eastAsia="Times New Roman"/>
                <w:sz w:val="20"/>
                <w:szCs w:val="20"/>
              </w:rPr>
            </w:pPr>
          </w:p>
        </w:tc>
        <w:tc>
          <w:tcPr>
            <w:tcW w:w="0" w:type="auto"/>
            <w:vAlign w:val="center"/>
            <w:hideMark/>
          </w:tcPr>
          <w:p w14:paraId="12CC93A3" w14:textId="77777777" w:rsidR="00000000" w:rsidRDefault="00405D16">
            <w:pPr>
              <w:spacing w:after="100"/>
              <w:rPr>
                <w:rFonts w:eastAsia="Times New Roman"/>
                <w:sz w:val="20"/>
                <w:szCs w:val="20"/>
              </w:rPr>
            </w:pPr>
          </w:p>
        </w:tc>
        <w:tc>
          <w:tcPr>
            <w:tcW w:w="0" w:type="auto"/>
            <w:vAlign w:val="center"/>
            <w:hideMark/>
          </w:tcPr>
          <w:p w14:paraId="4D4880A6" w14:textId="77777777" w:rsidR="00000000" w:rsidRDefault="00405D16">
            <w:pPr>
              <w:spacing w:after="100"/>
              <w:rPr>
                <w:rFonts w:eastAsia="Times New Roman"/>
                <w:sz w:val="20"/>
                <w:szCs w:val="20"/>
              </w:rPr>
            </w:pPr>
          </w:p>
        </w:tc>
        <w:tc>
          <w:tcPr>
            <w:tcW w:w="0" w:type="auto"/>
            <w:gridSpan w:val="3"/>
            <w:vAlign w:val="center"/>
            <w:hideMark/>
          </w:tcPr>
          <w:p w14:paraId="717C2F20" w14:textId="77777777" w:rsidR="00000000" w:rsidRDefault="00405D16">
            <w:pPr>
              <w:spacing w:after="100"/>
              <w:rPr>
                <w:rFonts w:eastAsia="Times New Roman"/>
                <w:sz w:val="20"/>
                <w:szCs w:val="20"/>
              </w:rPr>
            </w:pPr>
          </w:p>
        </w:tc>
        <w:tc>
          <w:tcPr>
            <w:tcW w:w="0" w:type="auto"/>
            <w:gridSpan w:val="3"/>
            <w:vAlign w:val="center"/>
            <w:hideMark/>
          </w:tcPr>
          <w:p w14:paraId="4428E220" w14:textId="77777777" w:rsidR="00000000" w:rsidRDefault="00405D16">
            <w:pPr>
              <w:spacing w:after="100"/>
              <w:rPr>
                <w:rFonts w:eastAsia="Times New Roman"/>
                <w:sz w:val="20"/>
                <w:szCs w:val="20"/>
              </w:rPr>
            </w:pPr>
          </w:p>
        </w:tc>
        <w:tc>
          <w:tcPr>
            <w:tcW w:w="0" w:type="auto"/>
            <w:gridSpan w:val="3"/>
            <w:vAlign w:val="center"/>
            <w:hideMark/>
          </w:tcPr>
          <w:p w14:paraId="6F77B712" w14:textId="77777777" w:rsidR="00000000" w:rsidRDefault="00405D16">
            <w:pPr>
              <w:spacing w:after="100"/>
              <w:rPr>
                <w:rFonts w:eastAsia="Times New Roman"/>
                <w:sz w:val="20"/>
                <w:szCs w:val="20"/>
              </w:rPr>
            </w:pPr>
          </w:p>
        </w:tc>
        <w:tc>
          <w:tcPr>
            <w:tcW w:w="0" w:type="auto"/>
            <w:gridSpan w:val="3"/>
            <w:vAlign w:val="center"/>
            <w:hideMark/>
          </w:tcPr>
          <w:p w14:paraId="5EB71863" w14:textId="77777777" w:rsidR="00000000" w:rsidRDefault="00405D16">
            <w:pPr>
              <w:spacing w:after="100"/>
              <w:rPr>
                <w:rFonts w:eastAsia="Times New Roman"/>
                <w:sz w:val="20"/>
                <w:szCs w:val="20"/>
              </w:rPr>
            </w:pPr>
          </w:p>
        </w:tc>
        <w:tc>
          <w:tcPr>
            <w:tcW w:w="0" w:type="auto"/>
            <w:gridSpan w:val="3"/>
            <w:vAlign w:val="center"/>
            <w:hideMark/>
          </w:tcPr>
          <w:p w14:paraId="312F68B4" w14:textId="77777777" w:rsidR="00000000" w:rsidRDefault="00405D16">
            <w:pPr>
              <w:spacing w:after="100"/>
              <w:rPr>
                <w:rFonts w:eastAsia="Times New Roman"/>
                <w:sz w:val="20"/>
                <w:szCs w:val="20"/>
              </w:rPr>
            </w:pPr>
          </w:p>
        </w:tc>
        <w:tc>
          <w:tcPr>
            <w:tcW w:w="0" w:type="auto"/>
            <w:gridSpan w:val="3"/>
            <w:vAlign w:val="center"/>
            <w:hideMark/>
          </w:tcPr>
          <w:p w14:paraId="02D099F6" w14:textId="77777777" w:rsidR="00000000" w:rsidRDefault="00405D16">
            <w:pPr>
              <w:spacing w:after="100"/>
              <w:rPr>
                <w:rFonts w:eastAsia="Times New Roman"/>
                <w:sz w:val="20"/>
                <w:szCs w:val="20"/>
              </w:rPr>
            </w:pPr>
          </w:p>
        </w:tc>
        <w:tc>
          <w:tcPr>
            <w:tcW w:w="0" w:type="auto"/>
            <w:gridSpan w:val="3"/>
            <w:vAlign w:val="center"/>
            <w:hideMark/>
          </w:tcPr>
          <w:p w14:paraId="17AF1A4F" w14:textId="77777777" w:rsidR="00000000" w:rsidRDefault="00405D16">
            <w:pPr>
              <w:spacing w:after="100"/>
              <w:rPr>
                <w:rFonts w:eastAsia="Times New Roman"/>
                <w:sz w:val="20"/>
                <w:szCs w:val="20"/>
              </w:rPr>
            </w:pPr>
          </w:p>
        </w:tc>
        <w:tc>
          <w:tcPr>
            <w:tcW w:w="0" w:type="auto"/>
            <w:gridSpan w:val="3"/>
            <w:vAlign w:val="center"/>
            <w:hideMark/>
          </w:tcPr>
          <w:p w14:paraId="3390F50F" w14:textId="77777777" w:rsidR="00000000" w:rsidRDefault="00405D16">
            <w:pPr>
              <w:spacing w:after="100"/>
              <w:rPr>
                <w:rFonts w:eastAsia="Times New Roman"/>
                <w:sz w:val="20"/>
                <w:szCs w:val="20"/>
              </w:rPr>
            </w:pPr>
          </w:p>
        </w:tc>
        <w:tc>
          <w:tcPr>
            <w:tcW w:w="0" w:type="auto"/>
            <w:gridSpan w:val="3"/>
            <w:vAlign w:val="center"/>
            <w:hideMark/>
          </w:tcPr>
          <w:p w14:paraId="5B161F4F" w14:textId="77777777" w:rsidR="00000000" w:rsidRDefault="00405D16">
            <w:pPr>
              <w:spacing w:after="100"/>
              <w:rPr>
                <w:rFonts w:eastAsia="Times New Roman"/>
                <w:sz w:val="20"/>
                <w:szCs w:val="20"/>
              </w:rPr>
            </w:pPr>
          </w:p>
        </w:tc>
        <w:tc>
          <w:tcPr>
            <w:tcW w:w="0" w:type="auto"/>
            <w:gridSpan w:val="2"/>
            <w:vAlign w:val="center"/>
            <w:hideMark/>
          </w:tcPr>
          <w:p w14:paraId="7ABBF1E3" w14:textId="77777777" w:rsidR="00000000" w:rsidRDefault="00405D16">
            <w:pPr>
              <w:spacing w:after="100"/>
              <w:rPr>
                <w:rFonts w:eastAsia="Times New Roman"/>
                <w:sz w:val="20"/>
                <w:szCs w:val="20"/>
              </w:rPr>
            </w:pPr>
          </w:p>
        </w:tc>
      </w:tr>
      <w:tr w:rsidR="00000000" w14:paraId="010A550B" w14:textId="77777777">
        <w:tc>
          <w:tcPr>
            <w:tcW w:w="0" w:type="auto"/>
            <w:gridSpan w:val="3"/>
            <w:shd w:val="clear" w:color="auto" w:fill="FFFFFF"/>
            <w:tcMar>
              <w:top w:w="30" w:type="dxa"/>
              <w:left w:w="20" w:type="dxa"/>
              <w:bottom w:w="30" w:type="dxa"/>
              <w:right w:w="20" w:type="dxa"/>
            </w:tcMar>
            <w:vAlign w:val="center"/>
            <w:hideMark/>
          </w:tcPr>
          <w:p w14:paraId="621C8CA1" w14:textId="77777777" w:rsidR="00000000" w:rsidRDefault="00405D16">
            <w:pPr>
              <w:spacing w:after="100"/>
              <w:divId w:val="238684440"/>
              <w:rPr>
                <w:rFonts w:eastAsia="Times New Roman"/>
              </w:rPr>
            </w:pPr>
            <w:r>
              <w:rPr>
                <w:rFonts w:eastAsia="Times New Roman"/>
                <w:color w:val="000000"/>
                <w:sz w:val="18"/>
                <w:szCs w:val="18"/>
              </w:rPr>
              <w:t>Total capita</w:t>
            </w:r>
            <w:r>
              <w:rPr>
                <w:rFonts w:eastAsia="Times New Roman"/>
                <w:color w:val="000000"/>
                <w:sz w:val="18"/>
                <w:szCs w:val="18"/>
              </w:rPr>
              <w:t>l</w:t>
            </w:r>
            <w:r>
              <w:rPr>
                <w:rFonts w:eastAsia="Times New Roman"/>
                <w:color w:val="000000"/>
                <w:sz w:val="12"/>
                <w:szCs w:val="12"/>
              </w:rPr>
              <w:t>(10</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7C4BE8D5"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730263F" w14:textId="77777777" w:rsidR="00000000" w:rsidRDefault="00405D16">
            <w:pPr>
              <w:spacing w:after="100"/>
              <w:jc w:val="right"/>
              <w:rPr>
                <w:rFonts w:eastAsia="Times New Roman"/>
              </w:rPr>
            </w:pPr>
            <w:r>
              <w:rPr>
                <w:rFonts w:eastAsia="Times New Roman"/>
                <w:b/>
                <w:bCs/>
                <w:color w:val="000000"/>
                <w:sz w:val="18"/>
                <w:szCs w:val="18"/>
              </w:rPr>
              <w:t>18.2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D3803E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FA4D3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5704B4F" w14:textId="77777777" w:rsidR="00000000" w:rsidRDefault="00405D16">
            <w:pPr>
              <w:spacing w:after="100"/>
              <w:jc w:val="right"/>
              <w:rPr>
                <w:rFonts w:eastAsia="Times New Roman"/>
              </w:rPr>
            </w:pPr>
            <w:r>
              <w:rPr>
                <w:rFonts w:eastAsia="Times New Roman"/>
                <w:color w:val="000000"/>
                <w:sz w:val="18"/>
                <w:szCs w:val="18"/>
              </w:rPr>
              <w:t>17.7 </w:t>
            </w:r>
          </w:p>
        </w:tc>
        <w:tc>
          <w:tcPr>
            <w:tcW w:w="0" w:type="auto"/>
            <w:shd w:val="clear" w:color="auto" w:fill="FFFFFF"/>
            <w:tcMar>
              <w:top w:w="30" w:type="dxa"/>
              <w:left w:w="0" w:type="dxa"/>
              <w:bottom w:w="30" w:type="dxa"/>
              <w:right w:w="20" w:type="dxa"/>
            </w:tcMar>
            <w:vAlign w:val="center"/>
            <w:hideMark/>
          </w:tcPr>
          <w:p w14:paraId="0005EED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A973F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5D2C936" w14:textId="77777777" w:rsidR="00000000" w:rsidRDefault="00405D16">
            <w:pPr>
              <w:spacing w:after="100"/>
              <w:jc w:val="right"/>
              <w:rPr>
                <w:rFonts w:eastAsia="Times New Roman"/>
              </w:rPr>
            </w:pPr>
            <w:r>
              <w:rPr>
                <w:rFonts w:eastAsia="Times New Roman"/>
                <w:color w:val="000000"/>
                <w:sz w:val="18"/>
                <w:szCs w:val="18"/>
              </w:rPr>
              <w:t>50 </w:t>
            </w:r>
          </w:p>
        </w:tc>
        <w:tc>
          <w:tcPr>
            <w:tcW w:w="0" w:type="auto"/>
            <w:shd w:val="clear" w:color="auto" w:fill="FFFFFF"/>
            <w:tcMar>
              <w:top w:w="30" w:type="dxa"/>
              <w:left w:w="0" w:type="dxa"/>
              <w:bottom w:w="30" w:type="dxa"/>
              <w:right w:w="20" w:type="dxa"/>
            </w:tcMar>
            <w:vAlign w:val="center"/>
            <w:hideMark/>
          </w:tcPr>
          <w:p w14:paraId="427DF568" w14:textId="77777777" w:rsidR="00000000" w:rsidRDefault="00405D16">
            <w:pPr>
              <w:spacing w:after="100"/>
              <w:jc w:val="right"/>
              <w:rPr>
                <w:rFonts w:eastAsia="Times New Roman"/>
              </w:rPr>
            </w:pPr>
          </w:p>
        </w:tc>
        <w:tc>
          <w:tcPr>
            <w:tcW w:w="0" w:type="auto"/>
            <w:vAlign w:val="center"/>
            <w:hideMark/>
          </w:tcPr>
          <w:p w14:paraId="753C79FC" w14:textId="77777777" w:rsidR="00000000" w:rsidRDefault="00405D16">
            <w:pPr>
              <w:spacing w:after="100"/>
              <w:jc w:val="right"/>
              <w:rPr>
                <w:rFonts w:eastAsia="Times New Roman"/>
                <w:sz w:val="20"/>
                <w:szCs w:val="20"/>
              </w:rPr>
            </w:pPr>
          </w:p>
        </w:tc>
        <w:tc>
          <w:tcPr>
            <w:tcW w:w="0" w:type="auto"/>
            <w:vAlign w:val="center"/>
            <w:hideMark/>
          </w:tcPr>
          <w:p w14:paraId="2C20A545" w14:textId="77777777" w:rsidR="00000000" w:rsidRDefault="00405D16">
            <w:pPr>
              <w:spacing w:after="100"/>
              <w:rPr>
                <w:rFonts w:eastAsia="Times New Roman"/>
                <w:sz w:val="20"/>
                <w:szCs w:val="20"/>
              </w:rPr>
            </w:pPr>
          </w:p>
        </w:tc>
        <w:tc>
          <w:tcPr>
            <w:tcW w:w="0" w:type="auto"/>
            <w:vAlign w:val="center"/>
            <w:hideMark/>
          </w:tcPr>
          <w:p w14:paraId="7B71111E" w14:textId="77777777" w:rsidR="00000000" w:rsidRDefault="00405D16">
            <w:pPr>
              <w:spacing w:after="100"/>
              <w:rPr>
                <w:rFonts w:eastAsia="Times New Roman"/>
                <w:sz w:val="20"/>
                <w:szCs w:val="20"/>
              </w:rPr>
            </w:pPr>
          </w:p>
        </w:tc>
        <w:tc>
          <w:tcPr>
            <w:tcW w:w="0" w:type="auto"/>
            <w:vAlign w:val="center"/>
            <w:hideMark/>
          </w:tcPr>
          <w:p w14:paraId="3BAAAFEC" w14:textId="77777777" w:rsidR="00000000" w:rsidRDefault="00405D16">
            <w:pPr>
              <w:spacing w:after="100"/>
              <w:rPr>
                <w:rFonts w:eastAsia="Times New Roman"/>
                <w:sz w:val="20"/>
                <w:szCs w:val="20"/>
              </w:rPr>
            </w:pPr>
          </w:p>
        </w:tc>
        <w:tc>
          <w:tcPr>
            <w:tcW w:w="0" w:type="auto"/>
            <w:gridSpan w:val="3"/>
            <w:vAlign w:val="center"/>
            <w:hideMark/>
          </w:tcPr>
          <w:p w14:paraId="1E2BCCAC" w14:textId="77777777" w:rsidR="00000000" w:rsidRDefault="00405D16">
            <w:pPr>
              <w:spacing w:after="100"/>
              <w:rPr>
                <w:rFonts w:eastAsia="Times New Roman"/>
                <w:sz w:val="20"/>
                <w:szCs w:val="20"/>
              </w:rPr>
            </w:pPr>
          </w:p>
        </w:tc>
        <w:tc>
          <w:tcPr>
            <w:tcW w:w="0" w:type="auto"/>
            <w:gridSpan w:val="3"/>
            <w:vAlign w:val="center"/>
            <w:hideMark/>
          </w:tcPr>
          <w:p w14:paraId="1157B775" w14:textId="77777777" w:rsidR="00000000" w:rsidRDefault="00405D16">
            <w:pPr>
              <w:spacing w:after="100"/>
              <w:rPr>
                <w:rFonts w:eastAsia="Times New Roman"/>
                <w:sz w:val="20"/>
                <w:szCs w:val="20"/>
              </w:rPr>
            </w:pPr>
          </w:p>
        </w:tc>
        <w:tc>
          <w:tcPr>
            <w:tcW w:w="0" w:type="auto"/>
            <w:gridSpan w:val="3"/>
            <w:vAlign w:val="center"/>
            <w:hideMark/>
          </w:tcPr>
          <w:p w14:paraId="6D25B63A" w14:textId="77777777" w:rsidR="00000000" w:rsidRDefault="00405D16">
            <w:pPr>
              <w:spacing w:after="100"/>
              <w:rPr>
                <w:rFonts w:eastAsia="Times New Roman"/>
                <w:sz w:val="20"/>
                <w:szCs w:val="20"/>
              </w:rPr>
            </w:pPr>
          </w:p>
        </w:tc>
        <w:tc>
          <w:tcPr>
            <w:tcW w:w="0" w:type="auto"/>
            <w:gridSpan w:val="3"/>
            <w:vAlign w:val="center"/>
            <w:hideMark/>
          </w:tcPr>
          <w:p w14:paraId="5ACCCE26" w14:textId="77777777" w:rsidR="00000000" w:rsidRDefault="00405D16">
            <w:pPr>
              <w:spacing w:after="100"/>
              <w:rPr>
                <w:rFonts w:eastAsia="Times New Roman"/>
                <w:sz w:val="20"/>
                <w:szCs w:val="20"/>
              </w:rPr>
            </w:pPr>
          </w:p>
        </w:tc>
        <w:tc>
          <w:tcPr>
            <w:tcW w:w="0" w:type="auto"/>
            <w:gridSpan w:val="3"/>
            <w:vAlign w:val="center"/>
            <w:hideMark/>
          </w:tcPr>
          <w:p w14:paraId="7E0D640A" w14:textId="77777777" w:rsidR="00000000" w:rsidRDefault="00405D16">
            <w:pPr>
              <w:spacing w:after="100"/>
              <w:rPr>
                <w:rFonts w:eastAsia="Times New Roman"/>
                <w:sz w:val="20"/>
                <w:szCs w:val="20"/>
              </w:rPr>
            </w:pPr>
          </w:p>
        </w:tc>
        <w:tc>
          <w:tcPr>
            <w:tcW w:w="0" w:type="auto"/>
            <w:gridSpan w:val="3"/>
            <w:vAlign w:val="center"/>
            <w:hideMark/>
          </w:tcPr>
          <w:p w14:paraId="62C3C479" w14:textId="77777777" w:rsidR="00000000" w:rsidRDefault="00405D16">
            <w:pPr>
              <w:spacing w:after="100"/>
              <w:rPr>
                <w:rFonts w:eastAsia="Times New Roman"/>
                <w:sz w:val="20"/>
                <w:szCs w:val="20"/>
              </w:rPr>
            </w:pPr>
          </w:p>
        </w:tc>
        <w:tc>
          <w:tcPr>
            <w:tcW w:w="0" w:type="auto"/>
            <w:gridSpan w:val="3"/>
            <w:vAlign w:val="center"/>
            <w:hideMark/>
          </w:tcPr>
          <w:p w14:paraId="0B554514" w14:textId="77777777" w:rsidR="00000000" w:rsidRDefault="00405D16">
            <w:pPr>
              <w:spacing w:after="100"/>
              <w:rPr>
                <w:rFonts w:eastAsia="Times New Roman"/>
                <w:sz w:val="20"/>
                <w:szCs w:val="20"/>
              </w:rPr>
            </w:pPr>
          </w:p>
        </w:tc>
        <w:tc>
          <w:tcPr>
            <w:tcW w:w="0" w:type="auto"/>
            <w:gridSpan w:val="3"/>
            <w:vAlign w:val="center"/>
            <w:hideMark/>
          </w:tcPr>
          <w:p w14:paraId="6147D20D" w14:textId="77777777" w:rsidR="00000000" w:rsidRDefault="00405D16">
            <w:pPr>
              <w:spacing w:after="100"/>
              <w:rPr>
                <w:rFonts w:eastAsia="Times New Roman"/>
                <w:sz w:val="20"/>
                <w:szCs w:val="20"/>
              </w:rPr>
            </w:pPr>
          </w:p>
        </w:tc>
        <w:tc>
          <w:tcPr>
            <w:tcW w:w="0" w:type="auto"/>
            <w:gridSpan w:val="3"/>
            <w:vAlign w:val="center"/>
            <w:hideMark/>
          </w:tcPr>
          <w:p w14:paraId="1B5228FF" w14:textId="77777777" w:rsidR="00000000" w:rsidRDefault="00405D16">
            <w:pPr>
              <w:spacing w:after="100"/>
              <w:rPr>
                <w:rFonts w:eastAsia="Times New Roman"/>
                <w:sz w:val="20"/>
                <w:szCs w:val="20"/>
              </w:rPr>
            </w:pPr>
          </w:p>
        </w:tc>
        <w:tc>
          <w:tcPr>
            <w:tcW w:w="0" w:type="auto"/>
            <w:gridSpan w:val="2"/>
            <w:vAlign w:val="center"/>
            <w:hideMark/>
          </w:tcPr>
          <w:p w14:paraId="39FB842C" w14:textId="77777777" w:rsidR="00000000" w:rsidRDefault="00405D16">
            <w:pPr>
              <w:spacing w:after="100"/>
              <w:rPr>
                <w:rFonts w:eastAsia="Times New Roman"/>
                <w:sz w:val="20"/>
                <w:szCs w:val="20"/>
              </w:rPr>
            </w:pPr>
          </w:p>
        </w:tc>
      </w:tr>
      <w:tr w:rsidR="00000000" w14:paraId="620F1738" w14:textId="77777777">
        <w:tc>
          <w:tcPr>
            <w:tcW w:w="0" w:type="auto"/>
            <w:gridSpan w:val="3"/>
            <w:shd w:val="clear" w:color="auto" w:fill="CCEEFF"/>
            <w:tcMar>
              <w:top w:w="30" w:type="dxa"/>
              <w:left w:w="20" w:type="dxa"/>
              <w:bottom w:w="30" w:type="dxa"/>
              <w:right w:w="20" w:type="dxa"/>
            </w:tcMar>
            <w:vAlign w:val="center"/>
            <w:hideMark/>
          </w:tcPr>
          <w:p w14:paraId="046D3E4C" w14:textId="77777777" w:rsidR="00000000" w:rsidRDefault="00405D16">
            <w:pPr>
              <w:spacing w:after="100"/>
              <w:divId w:val="1606384417"/>
              <w:rPr>
                <w:rFonts w:eastAsia="Times New Roman"/>
              </w:rPr>
            </w:pPr>
            <w:r>
              <w:rPr>
                <w:rFonts w:eastAsia="Times New Roman"/>
                <w:color w:val="000000"/>
                <w:sz w:val="18"/>
                <w:szCs w:val="18"/>
              </w:rPr>
              <w:t>Tier 1 leverag</w:t>
            </w:r>
            <w:r>
              <w:rPr>
                <w:rFonts w:eastAsia="Times New Roman"/>
                <w:color w:val="000000"/>
                <w:sz w:val="18"/>
                <w:szCs w:val="18"/>
              </w:rPr>
              <w:t>e</w:t>
            </w:r>
            <w:r>
              <w:rPr>
                <w:rFonts w:eastAsia="Times New Roman"/>
                <w:color w:val="000000"/>
                <w:sz w:val="12"/>
                <w:szCs w:val="12"/>
              </w:rPr>
              <w:t>(10</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6DFB9F08"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910EECC" w14:textId="77777777" w:rsidR="00000000" w:rsidRDefault="00405D16">
            <w:pPr>
              <w:spacing w:after="100"/>
              <w:jc w:val="right"/>
              <w:rPr>
                <w:rFonts w:eastAsia="Times New Roman"/>
              </w:rPr>
            </w:pPr>
            <w:r>
              <w:rPr>
                <w:rFonts w:eastAsia="Times New Roman"/>
                <w:b/>
                <w:bCs/>
                <w:color w:val="000000"/>
                <w:sz w:val="18"/>
                <w:szCs w:val="18"/>
              </w:rPr>
              <w:t>12.2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9A5F07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079FD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58C9A76" w14:textId="77777777" w:rsidR="00000000" w:rsidRDefault="00405D16">
            <w:pPr>
              <w:spacing w:after="100"/>
              <w:jc w:val="right"/>
              <w:rPr>
                <w:rFonts w:eastAsia="Times New Roman"/>
              </w:rPr>
            </w:pPr>
            <w:r>
              <w:rPr>
                <w:rFonts w:eastAsia="Times New Roman"/>
                <w:color w:val="000000"/>
                <w:sz w:val="18"/>
                <w:szCs w:val="18"/>
              </w:rPr>
              <w:t>11.2 </w:t>
            </w:r>
          </w:p>
        </w:tc>
        <w:tc>
          <w:tcPr>
            <w:tcW w:w="0" w:type="auto"/>
            <w:shd w:val="clear" w:color="auto" w:fill="CCEEFF"/>
            <w:tcMar>
              <w:top w:w="30" w:type="dxa"/>
              <w:left w:w="0" w:type="dxa"/>
              <w:bottom w:w="30" w:type="dxa"/>
              <w:right w:w="20" w:type="dxa"/>
            </w:tcMar>
            <w:vAlign w:val="center"/>
            <w:hideMark/>
          </w:tcPr>
          <w:p w14:paraId="7E0E44C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70A08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FCBB4DB" w14:textId="77777777" w:rsidR="00000000" w:rsidRDefault="00405D16">
            <w:pPr>
              <w:spacing w:after="100"/>
              <w:jc w:val="right"/>
              <w:rPr>
                <w:rFonts w:eastAsia="Times New Roman"/>
              </w:rPr>
            </w:pPr>
            <w:r>
              <w:rPr>
                <w:rFonts w:eastAsia="Times New Roman"/>
                <w:color w:val="000000"/>
                <w:sz w:val="18"/>
                <w:szCs w:val="18"/>
              </w:rPr>
              <w:t>100 </w:t>
            </w:r>
          </w:p>
        </w:tc>
        <w:tc>
          <w:tcPr>
            <w:tcW w:w="0" w:type="auto"/>
            <w:shd w:val="clear" w:color="auto" w:fill="CCEEFF"/>
            <w:tcMar>
              <w:top w:w="30" w:type="dxa"/>
              <w:left w:w="0" w:type="dxa"/>
              <w:bottom w:w="30" w:type="dxa"/>
              <w:right w:w="20" w:type="dxa"/>
            </w:tcMar>
            <w:vAlign w:val="center"/>
            <w:hideMark/>
          </w:tcPr>
          <w:p w14:paraId="74E636E2" w14:textId="77777777" w:rsidR="00000000" w:rsidRDefault="00405D16">
            <w:pPr>
              <w:spacing w:after="100"/>
              <w:jc w:val="right"/>
              <w:rPr>
                <w:rFonts w:eastAsia="Times New Roman"/>
              </w:rPr>
            </w:pPr>
          </w:p>
        </w:tc>
        <w:tc>
          <w:tcPr>
            <w:tcW w:w="0" w:type="auto"/>
            <w:vAlign w:val="center"/>
            <w:hideMark/>
          </w:tcPr>
          <w:p w14:paraId="3ED469B9" w14:textId="77777777" w:rsidR="00000000" w:rsidRDefault="00405D16">
            <w:pPr>
              <w:spacing w:after="100"/>
              <w:jc w:val="right"/>
              <w:rPr>
                <w:rFonts w:eastAsia="Times New Roman"/>
                <w:sz w:val="20"/>
                <w:szCs w:val="20"/>
              </w:rPr>
            </w:pPr>
          </w:p>
        </w:tc>
        <w:tc>
          <w:tcPr>
            <w:tcW w:w="0" w:type="auto"/>
            <w:vAlign w:val="center"/>
            <w:hideMark/>
          </w:tcPr>
          <w:p w14:paraId="75E8AE27" w14:textId="77777777" w:rsidR="00000000" w:rsidRDefault="00405D16">
            <w:pPr>
              <w:spacing w:after="100"/>
              <w:rPr>
                <w:rFonts w:eastAsia="Times New Roman"/>
                <w:sz w:val="20"/>
                <w:szCs w:val="20"/>
              </w:rPr>
            </w:pPr>
          </w:p>
        </w:tc>
        <w:tc>
          <w:tcPr>
            <w:tcW w:w="0" w:type="auto"/>
            <w:vAlign w:val="center"/>
            <w:hideMark/>
          </w:tcPr>
          <w:p w14:paraId="7A6E0719" w14:textId="77777777" w:rsidR="00000000" w:rsidRDefault="00405D16">
            <w:pPr>
              <w:spacing w:after="100"/>
              <w:rPr>
                <w:rFonts w:eastAsia="Times New Roman"/>
                <w:sz w:val="20"/>
                <w:szCs w:val="20"/>
              </w:rPr>
            </w:pPr>
          </w:p>
        </w:tc>
        <w:tc>
          <w:tcPr>
            <w:tcW w:w="0" w:type="auto"/>
            <w:vAlign w:val="center"/>
            <w:hideMark/>
          </w:tcPr>
          <w:p w14:paraId="6A1350E0" w14:textId="77777777" w:rsidR="00000000" w:rsidRDefault="00405D16">
            <w:pPr>
              <w:spacing w:after="100"/>
              <w:rPr>
                <w:rFonts w:eastAsia="Times New Roman"/>
                <w:sz w:val="20"/>
                <w:szCs w:val="20"/>
              </w:rPr>
            </w:pPr>
          </w:p>
        </w:tc>
        <w:tc>
          <w:tcPr>
            <w:tcW w:w="0" w:type="auto"/>
            <w:gridSpan w:val="3"/>
            <w:vAlign w:val="center"/>
            <w:hideMark/>
          </w:tcPr>
          <w:p w14:paraId="021298E4" w14:textId="77777777" w:rsidR="00000000" w:rsidRDefault="00405D16">
            <w:pPr>
              <w:spacing w:after="100"/>
              <w:rPr>
                <w:rFonts w:eastAsia="Times New Roman"/>
                <w:sz w:val="20"/>
                <w:szCs w:val="20"/>
              </w:rPr>
            </w:pPr>
          </w:p>
        </w:tc>
        <w:tc>
          <w:tcPr>
            <w:tcW w:w="0" w:type="auto"/>
            <w:gridSpan w:val="3"/>
            <w:vAlign w:val="center"/>
            <w:hideMark/>
          </w:tcPr>
          <w:p w14:paraId="1E800B71" w14:textId="77777777" w:rsidR="00000000" w:rsidRDefault="00405D16">
            <w:pPr>
              <w:spacing w:after="100"/>
              <w:rPr>
                <w:rFonts w:eastAsia="Times New Roman"/>
                <w:sz w:val="20"/>
                <w:szCs w:val="20"/>
              </w:rPr>
            </w:pPr>
          </w:p>
        </w:tc>
        <w:tc>
          <w:tcPr>
            <w:tcW w:w="0" w:type="auto"/>
            <w:gridSpan w:val="3"/>
            <w:vAlign w:val="center"/>
            <w:hideMark/>
          </w:tcPr>
          <w:p w14:paraId="3143B2C3" w14:textId="77777777" w:rsidR="00000000" w:rsidRDefault="00405D16">
            <w:pPr>
              <w:spacing w:after="100"/>
              <w:rPr>
                <w:rFonts w:eastAsia="Times New Roman"/>
                <w:sz w:val="20"/>
                <w:szCs w:val="20"/>
              </w:rPr>
            </w:pPr>
          </w:p>
        </w:tc>
        <w:tc>
          <w:tcPr>
            <w:tcW w:w="0" w:type="auto"/>
            <w:gridSpan w:val="3"/>
            <w:vAlign w:val="center"/>
            <w:hideMark/>
          </w:tcPr>
          <w:p w14:paraId="0D2DC2FA" w14:textId="77777777" w:rsidR="00000000" w:rsidRDefault="00405D16">
            <w:pPr>
              <w:spacing w:after="100"/>
              <w:rPr>
                <w:rFonts w:eastAsia="Times New Roman"/>
                <w:sz w:val="20"/>
                <w:szCs w:val="20"/>
              </w:rPr>
            </w:pPr>
          </w:p>
        </w:tc>
        <w:tc>
          <w:tcPr>
            <w:tcW w:w="0" w:type="auto"/>
            <w:gridSpan w:val="3"/>
            <w:vAlign w:val="center"/>
            <w:hideMark/>
          </w:tcPr>
          <w:p w14:paraId="2F9DA605" w14:textId="77777777" w:rsidR="00000000" w:rsidRDefault="00405D16">
            <w:pPr>
              <w:spacing w:after="100"/>
              <w:rPr>
                <w:rFonts w:eastAsia="Times New Roman"/>
                <w:sz w:val="20"/>
                <w:szCs w:val="20"/>
              </w:rPr>
            </w:pPr>
          </w:p>
        </w:tc>
        <w:tc>
          <w:tcPr>
            <w:tcW w:w="0" w:type="auto"/>
            <w:gridSpan w:val="3"/>
            <w:vAlign w:val="center"/>
            <w:hideMark/>
          </w:tcPr>
          <w:p w14:paraId="4DF6E64E" w14:textId="77777777" w:rsidR="00000000" w:rsidRDefault="00405D16">
            <w:pPr>
              <w:spacing w:after="100"/>
              <w:rPr>
                <w:rFonts w:eastAsia="Times New Roman"/>
                <w:sz w:val="20"/>
                <w:szCs w:val="20"/>
              </w:rPr>
            </w:pPr>
          </w:p>
        </w:tc>
        <w:tc>
          <w:tcPr>
            <w:tcW w:w="0" w:type="auto"/>
            <w:gridSpan w:val="3"/>
            <w:vAlign w:val="center"/>
            <w:hideMark/>
          </w:tcPr>
          <w:p w14:paraId="13EE2C09" w14:textId="77777777" w:rsidR="00000000" w:rsidRDefault="00405D16">
            <w:pPr>
              <w:spacing w:after="100"/>
              <w:rPr>
                <w:rFonts w:eastAsia="Times New Roman"/>
                <w:sz w:val="20"/>
                <w:szCs w:val="20"/>
              </w:rPr>
            </w:pPr>
          </w:p>
        </w:tc>
        <w:tc>
          <w:tcPr>
            <w:tcW w:w="0" w:type="auto"/>
            <w:gridSpan w:val="3"/>
            <w:vAlign w:val="center"/>
            <w:hideMark/>
          </w:tcPr>
          <w:p w14:paraId="331C05C0" w14:textId="77777777" w:rsidR="00000000" w:rsidRDefault="00405D16">
            <w:pPr>
              <w:spacing w:after="100"/>
              <w:rPr>
                <w:rFonts w:eastAsia="Times New Roman"/>
                <w:sz w:val="20"/>
                <w:szCs w:val="20"/>
              </w:rPr>
            </w:pPr>
          </w:p>
        </w:tc>
        <w:tc>
          <w:tcPr>
            <w:tcW w:w="0" w:type="auto"/>
            <w:gridSpan w:val="3"/>
            <w:vAlign w:val="center"/>
            <w:hideMark/>
          </w:tcPr>
          <w:p w14:paraId="55155E3B" w14:textId="77777777" w:rsidR="00000000" w:rsidRDefault="00405D16">
            <w:pPr>
              <w:spacing w:after="100"/>
              <w:rPr>
                <w:rFonts w:eastAsia="Times New Roman"/>
                <w:sz w:val="20"/>
                <w:szCs w:val="20"/>
              </w:rPr>
            </w:pPr>
          </w:p>
        </w:tc>
        <w:tc>
          <w:tcPr>
            <w:tcW w:w="0" w:type="auto"/>
            <w:gridSpan w:val="2"/>
            <w:vAlign w:val="center"/>
            <w:hideMark/>
          </w:tcPr>
          <w:p w14:paraId="2FCCE237" w14:textId="77777777" w:rsidR="00000000" w:rsidRDefault="00405D16">
            <w:pPr>
              <w:spacing w:after="100"/>
              <w:rPr>
                <w:rFonts w:eastAsia="Times New Roman"/>
                <w:sz w:val="20"/>
                <w:szCs w:val="20"/>
              </w:rPr>
            </w:pPr>
          </w:p>
        </w:tc>
      </w:tr>
      <w:tr w:rsidR="00000000" w14:paraId="5D0FC628" w14:textId="77777777">
        <w:tc>
          <w:tcPr>
            <w:tcW w:w="0" w:type="auto"/>
            <w:gridSpan w:val="3"/>
            <w:shd w:val="clear" w:color="auto" w:fill="FFFFFF"/>
            <w:tcMar>
              <w:top w:w="30" w:type="dxa"/>
              <w:left w:w="20" w:type="dxa"/>
              <w:bottom w:w="30" w:type="dxa"/>
              <w:right w:w="20" w:type="dxa"/>
            </w:tcMar>
            <w:vAlign w:val="center"/>
            <w:hideMark/>
          </w:tcPr>
          <w:p w14:paraId="77FAA4DE" w14:textId="77777777" w:rsidR="00000000" w:rsidRDefault="00405D16">
            <w:pPr>
              <w:spacing w:after="100"/>
              <w:divId w:val="1530607805"/>
              <w:rPr>
                <w:rFonts w:eastAsia="Times New Roman"/>
              </w:rPr>
            </w:pPr>
            <w:r>
              <w:rPr>
                <w:rFonts w:eastAsia="Times New Roman"/>
                <w:color w:val="000000"/>
                <w:sz w:val="18"/>
                <w:szCs w:val="18"/>
              </w:rPr>
              <w:t>Tangible common equit</w:t>
            </w:r>
            <w:r>
              <w:rPr>
                <w:rFonts w:eastAsia="Times New Roman"/>
                <w:color w:val="000000"/>
                <w:sz w:val="18"/>
                <w:szCs w:val="18"/>
              </w:rPr>
              <w:t>y</w:t>
            </w:r>
            <w:r>
              <w:rPr>
                <w:rFonts w:eastAsia="Times New Roman"/>
                <w:color w:val="000000"/>
                <w:sz w:val="12"/>
                <w:szCs w:val="12"/>
              </w:rPr>
              <w:t>(11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6593DD92"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4A80CDE" w14:textId="77777777" w:rsidR="00000000" w:rsidRDefault="00405D16">
            <w:pPr>
              <w:spacing w:after="100"/>
              <w:jc w:val="right"/>
              <w:rPr>
                <w:rFonts w:eastAsia="Times New Roman"/>
              </w:rPr>
            </w:pPr>
            <w:r>
              <w:rPr>
                <w:rFonts w:eastAsia="Times New Roman"/>
                <w:b/>
                <w:bCs/>
                <w:color w:val="000000"/>
                <w:sz w:val="18"/>
                <w:szCs w:val="18"/>
              </w:rPr>
              <w:t>10.4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E0290E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7D589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ABB6F25" w14:textId="77777777" w:rsidR="00000000" w:rsidRDefault="00405D16">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14:paraId="73A3A86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800F3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3D5B4BD" w14:textId="77777777" w:rsidR="00000000" w:rsidRDefault="00405D16">
            <w:pPr>
              <w:spacing w:after="100"/>
              <w:jc w:val="right"/>
              <w:rPr>
                <w:rFonts w:eastAsia="Times New Roman"/>
              </w:rPr>
            </w:pPr>
            <w:r>
              <w:rPr>
                <w:rFonts w:eastAsia="Times New Roman"/>
                <w:color w:val="000000"/>
                <w:sz w:val="18"/>
                <w:szCs w:val="18"/>
              </w:rPr>
              <w:t>40 </w:t>
            </w:r>
          </w:p>
        </w:tc>
        <w:tc>
          <w:tcPr>
            <w:tcW w:w="0" w:type="auto"/>
            <w:shd w:val="clear" w:color="auto" w:fill="FFFFFF"/>
            <w:tcMar>
              <w:top w:w="30" w:type="dxa"/>
              <w:left w:w="0" w:type="dxa"/>
              <w:bottom w:w="30" w:type="dxa"/>
              <w:right w:w="20" w:type="dxa"/>
            </w:tcMar>
            <w:vAlign w:val="center"/>
            <w:hideMark/>
          </w:tcPr>
          <w:p w14:paraId="088369C4" w14:textId="77777777" w:rsidR="00000000" w:rsidRDefault="00405D16">
            <w:pPr>
              <w:spacing w:after="100"/>
              <w:jc w:val="right"/>
              <w:rPr>
                <w:rFonts w:eastAsia="Times New Roman"/>
              </w:rPr>
            </w:pPr>
          </w:p>
        </w:tc>
        <w:tc>
          <w:tcPr>
            <w:tcW w:w="0" w:type="auto"/>
            <w:vAlign w:val="center"/>
            <w:hideMark/>
          </w:tcPr>
          <w:p w14:paraId="347D3309" w14:textId="77777777" w:rsidR="00000000" w:rsidRDefault="00405D16">
            <w:pPr>
              <w:spacing w:after="100"/>
              <w:jc w:val="right"/>
              <w:rPr>
                <w:rFonts w:eastAsia="Times New Roman"/>
                <w:sz w:val="20"/>
                <w:szCs w:val="20"/>
              </w:rPr>
            </w:pPr>
          </w:p>
        </w:tc>
        <w:tc>
          <w:tcPr>
            <w:tcW w:w="0" w:type="auto"/>
            <w:vAlign w:val="center"/>
            <w:hideMark/>
          </w:tcPr>
          <w:p w14:paraId="421BA7E7" w14:textId="77777777" w:rsidR="00000000" w:rsidRDefault="00405D16">
            <w:pPr>
              <w:spacing w:after="100"/>
              <w:rPr>
                <w:rFonts w:eastAsia="Times New Roman"/>
                <w:sz w:val="20"/>
                <w:szCs w:val="20"/>
              </w:rPr>
            </w:pPr>
          </w:p>
        </w:tc>
        <w:tc>
          <w:tcPr>
            <w:tcW w:w="0" w:type="auto"/>
            <w:vAlign w:val="center"/>
            <w:hideMark/>
          </w:tcPr>
          <w:p w14:paraId="3A051545" w14:textId="77777777" w:rsidR="00000000" w:rsidRDefault="00405D16">
            <w:pPr>
              <w:spacing w:after="100"/>
              <w:rPr>
                <w:rFonts w:eastAsia="Times New Roman"/>
                <w:sz w:val="20"/>
                <w:szCs w:val="20"/>
              </w:rPr>
            </w:pPr>
          </w:p>
        </w:tc>
        <w:tc>
          <w:tcPr>
            <w:tcW w:w="0" w:type="auto"/>
            <w:vAlign w:val="center"/>
            <w:hideMark/>
          </w:tcPr>
          <w:p w14:paraId="700DD56D" w14:textId="77777777" w:rsidR="00000000" w:rsidRDefault="00405D16">
            <w:pPr>
              <w:spacing w:after="100"/>
              <w:rPr>
                <w:rFonts w:eastAsia="Times New Roman"/>
                <w:sz w:val="20"/>
                <w:szCs w:val="20"/>
              </w:rPr>
            </w:pPr>
          </w:p>
        </w:tc>
        <w:tc>
          <w:tcPr>
            <w:tcW w:w="0" w:type="auto"/>
            <w:gridSpan w:val="3"/>
            <w:vAlign w:val="center"/>
            <w:hideMark/>
          </w:tcPr>
          <w:p w14:paraId="5DC19CE0" w14:textId="77777777" w:rsidR="00000000" w:rsidRDefault="00405D16">
            <w:pPr>
              <w:spacing w:after="100"/>
              <w:rPr>
                <w:rFonts w:eastAsia="Times New Roman"/>
                <w:sz w:val="20"/>
                <w:szCs w:val="20"/>
              </w:rPr>
            </w:pPr>
          </w:p>
        </w:tc>
        <w:tc>
          <w:tcPr>
            <w:tcW w:w="0" w:type="auto"/>
            <w:gridSpan w:val="3"/>
            <w:vAlign w:val="center"/>
            <w:hideMark/>
          </w:tcPr>
          <w:p w14:paraId="67AC14F7" w14:textId="77777777" w:rsidR="00000000" w:rsidRDefault="00405D16">
            <w:pPr>
              <w:spacing w:after="100"/>
              <w:rPr>
                <w:rFonts w:eastAsia="Times New Roman"/>
                <w:sz w:val="20"/>
                <w:szCs w:val="20"/>
              </w:rPr>
            </w:pPr>
          </w:p>
        </w:tc>
        <w:tc>
          <w:tcPr>
            <w:tcW w:w="0" w:type="auto"/>
            <w:gridSpan w:val="3"/>
            <w:vAlign w:val="center"/>
            <w:hideMark/>
          </w:tcPr>
          <w:p w14:paraId="4FAD2E88" w14:textId="77777777" w:rsidR="00000000" w:rsidRDefault="00405D16">
            <w:pPr>
              <w:spacing w:after="100"/>
              <w:rPr>
                <w:rFonts w:eastAsia="Times New Roman"/>
                <w:sz w:val="20"/>
                <w:szCs w:val="20"/>
              </w:rPr>
            </w:pPr>
          </w:p>
        </w:tc>
        <w:tc>
          <w:tcPr>
            <w:tcW w:w="0" w:type="auto"/>
            <w:gridSpan w:val="3"/>
            <w:vAlign w:val="center"/>
            <w:hideMark/>
          </w:tcPr>
          <w:p w14:paraId="41DEF956" w14:textId="77777777" w:rsidR="00000000" w:rsidRDefault="00405D16">
            <w:pPr>
              <w:spacing w:after="100"/>
              <w:rPr>
                <w:rFonts w:eastAsia="Times New Roman"/>
                <w:sz w:val="20"/>
                <w:szCs w:val="20"/>
              </w:rPr>
            </w:pPr>
          </w:p>
        </w:tc>
        <w:tc>
          <w:tcPr>
            <w:tcW w:w="0" w:type="auto"/>
            <w:gridSpan w:val="3"/>
            <w:vAlign w:val="center"/>
            <w:hideMark/>
          </w:tcPr>
          <w:p w14:paraId="22104198" w14:textId="77777777" w:rsidR="00000000" w:rsidRDefault="00405D16">
            <w:pPr>
              <w:spacing w:after="100"/>
              <w:rPr>
                <w:rFonts w:eastAsia="Times New Roman"/>
                <w:sz w:val="20"/>
                <w:szCs w:val="20"/>
              </w:rPr>
            </w:pPr>
          </w:p>
        </w:tc>
        <w:tc>
          <w:tcPr>
            <w:tcW w:w="0" w:type="auto"/>
            <w:gridSpan w:val="3"/>
            <w:vAlign w:val="center"/>
            <w:hideMark/>
          </w:tcPr>
          <w:p w14:paraId="64B12687" w14:textId="77777777" w:rsidR="00000000" w:rsidRDefault="00405D16">
            <w:pPr>
              <w:spacing w:after="100"/>
              <w:rPr>
                <w:rFonts w:eastAsia="Times New Roman"/>
                <w:sz w:val="20"/>
                <w:szCs w:val="20"/>
              </w:rPr>
            </w:pPr>
          </w:p>
        </w:tc>
        <w:tc>
          <w:tcPr>
            <w:tcW w:w="0" w:type="auto"/>
            <w:gridSpan w:val="3"/>
            <w:vAlign w:val="center"/>
            <w:hideMark/>
          </w:tcPr>
          <w:p w14:paraId="7B1FFFBA" w14:textId="77777777" w:rsidR="00000000" w:rsidRDefault="00405D16">
            <w:pPr>
              <w:spacing w:after="100"/>
              <w:rPr>
                <w:rFonts w:eastAsia="Times New Roman"/>
                <w:sz w:val="20"/>
                <w:szCs w:val="20"/>
              </w:rPr>
            </w:pPr>
          </w:p>
        </w:tc>
        <w:tc>
          <w:tcPr>
            <w:tcW w:w="0" w:type="auto"/>
            <w:gridSpan w:val="3"/>
            <w:vAlign w:val="center"/>
            <w:hideMark/>
          </w:tcPr>
          <w:p w14:paraId="15A277FC" w14:textId="77777777" w:rsidR="00000000" w:rsidRDefault="00405D16">
            <w:pPr>
              <w:spacing w:after="100"/>
              <w:rPr>
                <w:rFonts w:eastAsia="Times New Roman"/>
                <w:sz w:val="20"/>
                <w:szCs w:val="20"/>
              </w:rPr>
            </w:pPr>
          </w:p>
        </w:tc>
        <w:tc>
          <w:tcPr>
            <w:tcW w:w="0" w:type="auto"/>
            <w:gridSpan w:val="3"/>
            <w:vAlign w:val="center"/>
            <w:hideMark/>
          </w:tcPr>
          <w:p w14:paraId="14E1CA4D" w14:textId="77777777" w:rsidR="00000000" w:rsidRDefault="00405D16">
            <w:pPr>
              <w:spacing w:after="100"/>
              <w:rPr>
                <w:rFonts w:eastAsia="Times New Roman"/>
                <w:sz w:val="20"/>
                <w:szCs w:val="20"/>
              </w:rPr>
            </w:pPr>
          </w:p>
        </w:tc>
        <w:tc>
          <w:tcPr>
            <w:tcW w:w="0" w:type="auto"/>
            <w:gridSpan w:val="2"/>
            <w:vAlign w:val="center"/>
            <w:hideMark/>
          </w:tcPr>
          <w:p w14:paraId="351AB7F3" w14:textId="77777777" w:rsidR="00000000" w:rsidRDefault="00405D16">
            <w:pPr>
              <w:spacing w:after="100"/>
              <w:rPr>
                <w:rFonts w:eastAsia="Times New Roman"/>
                <w:sz w:val="20"/>
                <w:szCs w:val="20"/>
              </w:rPr>
            </w:pPr>
          </w:p>
        </w:tc>
      </w:tr>
      <w:tr w:rsidR="00000000" w14:paraId="13E33677" w14:textId="77777777">
        <w:tc>
          <w:tcPr>
            <w:tcW w:w="0" w:type="auto"/>
            <w:gridSpan w:val="3"/>
            <w:shd w:val="clear" w:color="auto" w:fill="CCEEFF"/>
            <w:tcMar>
              <w:top w:w="30" w:type="dxa"/>
              <w:left w:w="20" w:type="dxa"/>
              <w:bottom w:w="30" w:type="dxa"/>
              <w:right w:w="20" w:type="dxa"/>
            </w:tcMar>
            <w:vAlign w:val="center"/>
            <w:hideMark/>
          </w:tcPr>
          <w:p w14:paraId="4131E76A" w14:textId="77777777" w:rsidR="00000000" w:rsidRDefault="00405D16">
            <w:pPr>
              <w:spacing w:after="100"/>
              <w:divId w:val="1204708389"/>
              <w:rPr>
                <w:rFonts w:eastAsia="Times New Roman"/>
              </w:rPr>
            </w:pPr>
            <w:r>
              <w:rPr>
                <w:rFonts w:eastAsia="Times New Roman"/>
                <w:color w:val="000000"/>
                <w:sz w:val="18"/>
                <w:szCs w:val="18"/>
              </w:rPr>
              <w:t>Supplementary leverag</w:t>
            </w:r>
            <w:r>
              <w:rPr>
                <w:rFonts w:eastAsia="Times New Roman"/>
                <w:color w:val="000000"/>
                <w:sz w:val="18"/>
                <w:szCs w:val="18"/>
              </w:rPr>
              <w:t>e</w:t>
            </w:r>
            <w:r>
              <w:rPr>
                <w:rFonts w:eastAsia="Times New Roman"/>
                <w:color w:val="000000"/>
                <w:sz w:val="12"/>
                <w:szCs w:val="12"/>
              </w:rPr>
              <w:t>(10)(12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3287A327"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88ADA40" w14:textId="77777777" w:rsidR="00000000" w:rsidRDefault="00405D16">
            <w:pPr>
              <w:spacing w:after="100"/>
              <w:jc w:val="right"/>
              <w:rPr>
                <w:rFonts w:eastAsia="Times New Roman"/>
              </w:rPr>
            </w:pPr>
            <w:r>
              <w:rPr>
                <w:rFonts w:eastAsia="Times New Roman"/>
                <w:b/>
                <w:bCs/>
                <w:color w:val="000000"/>
                <w:sz w:val="18"/>
                <w:szCs w:val="18"/>
              </w:rPr>
              <w:t>10.4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1E37CE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3A7CF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1D9A0B1" w14:textId="77777777" w:rsidR="00000000" w:rsidRDefault="00405D16">
            <w:pPr>
              <w:spacing w:after="100"/>
              <w:jc w:val="right"/>
              <w:rPr>
                <w:rFonts w:eastAsia="Times New Roman"/>
              </w:rPr>
            </w:pPr>
            <w:r>
              <w:rPr>
                <w:rFonts w:eastAsia="Times New Roman"/>
                <w:color w:val="000000"/>
                <w:sz w:val="18"/>
                <w:szCs w:val="18"/>
              </w:rPr>
              <w:t>10.7 </w:t>
            </w:r>
          </w:p>
        </w:tc>
        <w:tc>
          <w:tcPr>
            <w:tcW w:w="0" w:type="auto"/>
            <w:shd w:val="clear" w:color="auto" w:fill="CCEEFF"/>
            <w:tcMar>
              <w:top w:w="30" w:type="dxa"/>
              <w:left w:w="0" w:type="dxa"/>
              <w:bottom w:w="30" w:type="dxa"/>
              <w:right w:w="20" w:type="dxa"/>
            </w:tcMar>
            <w:vAlign w:val="center"/>
            <w:hideMark/>
          </w:tcPr>
          <w:p w14:paraId="44F69BA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BDA77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DCD4AC1" w14:textId="77777777" w:rsidR="00000000" w:rsidRDefault="00405D16">
            <w:pPr>
              <w:spacing w:after="100"/>
              <w:jc w:val="right"/>
              <w:rPr>
                <w:rFonts w:eastAsia="Times New Roman"/>
              </w:rPr>
            </w:pPr>
            <w:r>
              <w:rPr>
                <w:rFonts w:eastAsia="Times New Roman"/>
                <w:color w:val="000000"/>
                <w:sz w:val="18"/>
                <w:szCs w:val="18"/>
              </w:rPr>
              <w:t>(30)</w:t>
            </w:r>
          </w:p>
        </w:tc>
        <w:tc>
          <w:tcPr>
            <w:tcW w:w="0" w:type="auto"/>
            <w:shd w:val="clear" w:color="auto" w:fill="CCEEFF"/>
            <w:tcMar>
              <w:top w:w="30" w:type="dxa"/>
              <w:left w:w="0" w:type="dxa"/>
              <w:bottom w:w="30" w:type="dxa"/>
              <w:right w:w="20" w:type="dxa"/>
            </w:tcMar>
            <w:vAlign w:val="center"/>
            <w:hideMark/>
          </w:tcPr>
          <w:p w14:paraId="27B9AA80" w14:textId="77777777" w:rsidR="00000000" w:rsidRDefault="00405D16">
            <w:pPr>
              <w:spacing w:after="100"/>
              <w:jc w:val="right"/>
              <w:rPr>
                <w:rFonts w:eastAsia="Times New Roman"/>
              </w:rPr>
            </w:pPr>
          </w:p>
        </w:tc>
        <w:tc>
          <w:tcPr>
            <w:tcW w:w="0" w:type="auto"/>
            <w:vAlign w:val="center"/>
            <w:hideMark/>
          </w:tcPr>
          <w:p w14:paraId="18CEC8EB" w14:textId="77777777" w:rsidR="00000000" w:rsidRDefault="00405D16">
            <w:pPr>
              <w:spacing w:after="100"/>
              <w:jc w:val="right"/>
              <w:rPr>
                <w:rFonts w:eastAsia="Times New Roman"/>
                <w:sz w:val="20"/>
                <w:szCs w:val="20"/>
              </w:rPr>
            </w:pPr>
          </w:p>
        </w:tc>
        <w:tc>
          <w:tcPr>
            <w:tcW w:w="0" w:type="auto"/>
            <w:vAlign w:val="center"/>
            <w:hideMark/>
          </w:tcPr>
          <w:p w14:paraId="4FFE9FBC" w14:textId="77777777" w:rsidR="00000000" w:rsidRDefault="00405D16">
            <w:pPr>
              <w:spacing w:after="100"/>
              <w:rPr>
                <w:rFonts w:eastAsia="Times New Roman"/>
                <w:sz w:val="20"/>
                <w:szCs w:val="20"/>
              </w:rPr>
            </w:pPr>
          </w:p>
        </w:tc>
        <w:tc>
          <w:tcPr>
            <w:tcW w:w="0" w:type="auto"/>
            <w:vAlign w:val="center"/>
            <w:hideMark/>
          </w:tcPr>
          <w:p w14:paraId="7642CA42" w14:textId="77777777" w:rsidR="00000000" w:rsidRDefault="00405D16">
            <w:pPr>
              <w:spacing w:after="100"/>
              <w:rPr>
                <w:rFonts w:eastAsia="Times New Roman"/>
                <w:sz w:val="20"/>
                <w:szCs w:val="20"/>
              </w:rPr>
            </w:pPr>
          </w:p>
        </w:tc>
        <w:tc>
          <w:tcPr>
            <w:tcW w:w="0" w:type="auto"/>
            <w:vAlign w:val="center"/>
            <w:hideMark/>
          </w:tcPr>
          <w:p w14:paraId="7B563372" w14:textId="77777777" w:rsidR="00000000" w:rsidRDefault="00405D16">
            <w:pPr>
              <w:spacing w:after="100"/>
              <w:rPr>
                <w:rFonts w:eastAsia="Times New Roman"/>
                <w:sz w:val="20"/>
                <w:szCs w:val="20"/>
              </w:rPr>
            </w:pPr>
          </w:p>
        </w:tc>
        <w:tc>
          <w:tcPr>
            <w:tcW w:w="0" w:type="auto"/>
            <w:gridSpan w:val="3"/>
            <w:vAlign w:val="center"/>
            <w:hideMark/>
          </w:tcPr>
          <w:p w14:paraId="350084CA" w14:textId="77777777" w:rsidR="00000000" w:rsidRDefault="00405D16">
            <w:pPr>
              <w:spacing w:after="100"/>
              <w:rPr>
                <w:rFonts w:eastAsia="Times New Roman"/>
                <w:sz w:val="20"/>
                <w:szCs w:val="20"/>
              </w:rPr>
            </w:pPr>
          </w:p>
        </w:tc>
        <w:tc>
          <w:tcPr>
            <w:tcW w:w="0" w:type="auto"/>
            <w:gridSpan w:val="3"/>
            <w:vAlign w:val="center"/>
            <w:hideMark/>
          </w:tcPr>
          <w:p w14:paraId="6FF31445" w14:textId="77777777" w:rsidR="00000000" w:rsidRDefault="00405D16">
            <w:pPr>
              <w:spacing w:after="100"/>
              <w:rPr>
                <w:rFonts w:eastAsia="Times New Roman"/>
                <w:sz w:val="20"/>
                <w:szCs w:val="20"/>
              </w:rPr>
            </w:pPr>
          </w:p>
        </w:tc>
        <w:tc>
          <w:tcPr>
            <w:tcW w:w="0" w:type="auto"/>
            <w:gridSpan w:val="3"/>
            <w:vAlign w:val="center"/>
            <w:hideMark/>
          </w:tcPr>
          <w:p w14:paraId="5B5D8191" w14:textId="77777777" w:rsidR="00000000" w:rsidRDefault="00405D16">
            <w:pPr>
              <w:spacing w:after="100"/>
              <w:rPr>
                <w:rFonts w:eastAsia="Times New Roman"/>
                <w:sz w:val="20"/>
                <w:szCs w:val="20"/>
              </w:rPr>
            </w:pPr>
          </w:p>
        </w:tc>
        <w:tc>
          <w:tcPr>
            <w:tcW w:w="0" w:type="auto"/>
            <w:gridSpan w:val="3"/>
            <w:vAlign w:val="center"/>
            <w:hideMark/>
          </w:tcPr>
          <w:p w14:paraId="2D408419" w14:textId="77777777" w:rsidR="00000000" w:rsidRDefault="00405D16">
            <w:pPr>
              <w:spacing w:after="100"/>
              <w:rPr>
                <w:rFonts w:eastAsia="Times New Roman"/>
                <w:sz w:val="20"/>
                <w:szCs w:val="20"/>
              </w:rPr>
            </w:pPr>
          </w:p>
        </w:tc>
        <w:tc>
          <w:tcPr>
            <w:tcW w:w="0" w:type="auto"/>
            <w:gridSpan w:val="3"/>
            <w:vAlign w:val="center"/>
            <w:hideMark/>
          </w:tcPr>
          <w:p w14:paraId="1F18868E" w14:textId="77777777" w:rsidR="00000000" w:rsidRDefault="00405D16">
            <w:pPr>
              <w:spacing w:after="100"/>
              <w:rPr>
                <w:rFonts w:eastAsia="Times New Roman"/>
                <w:sz w:val="20"/>
                <w:szCs w:val="20"/>
              </w:rPr>
            </w:pPr>
          </w:p>
        </w:tc>
        <w:tc>
          <w:tcPr>
            <w:tcW w:w="0" w:type="auto"/>
            <w:gridSpan w:val="3"/>
            <w:vAlign w:val="center"/>
            <w:hideMark/>
          </w:tcPr>
          <w:p w14:paraId="0AEEB667" w14:textId="77777777" w:rsidR="00000000" w:rsidRDefault="00405D16">
            <w:pPr>
              <w:spacing w:after="100"/>
              <w:rPr>
                <w:rFonts w:eastAsia="Times New Roman"/>
                <w:sz w:val="20"/>
                <w:szCs w:val="20"/>
              </w:rPr>
            </w:pPr>
          </w:p>
        </w:tc>
        <w:tc>
          <w:tcPr>
            <w:tcW w:w="0" w:type="auto"/>
            <w:gridSpan w:val="3"/>
            <w:vAlign w:val="center"/>
            <w:hideMark/>
          </w:tcPr>
          <w:p w14:paraId="02D84578" w14:textId="77777777" w:rsidR="00000000" w:rsidRDefault="00405D16">
            <w:pPr>
              <w:spacing w:after="100"/>
              <w:rPr>
                <w:rFonts w:eastAsia="Times New Roman"/>
                <w:sz w:val="20"/>
                <w:szCs w:val="20"/>
              </w:rPr>
            </w:pPr>
          </w:p>
        </w:tc>
        <w:tc>
          <w:tcPr>
            <w:tcW w:w="0" w:type="auto"/>
            <w:gridSpan w:val="3"/>
            <w:vAlign w:val="center"/>
            <w:hideMark/>
          </w:tcPr>
          <w:p w14:paraId="3DEDBAFA" w14:textId="77777777" w:rsidR="00000000" w:rsidRDefault="00405D16">
            <w:pPr>
              <w:spacing w:after="100"/>
              <w:rPr>
                <w:rFonts w:eastAsia="Times New Roman"/>
                <w:sz w:val="20"/>
                <w:szCs w:val="20"/>
              </w:rPr>
            </w:pPr>
          </w:p>
        </w:tc>
        <w:tc>
          <w:tcPr>
            <w:tcW w:w="0" w:type="auto"/>
            <w:gridSpan w:val="3"/>
            <w:vAlign w:val="center"/>
            <w:hideMark/>
          </w:tcPr>
          <w:p w14:paraId="642ACD01" w14:textId="77777777" w:rsidR="00000000" w:rsidRDefault="00405D16">
            <w:pPr>
              <w:spacing w:after="100"/>
              <w:rPr>
                <w:rFonts w:eastAsia="Times New Roman"/>
                <w:sz w:val="20"/>
                <w:szCs w:val="20"/>
              </w:rPr>
            </w:pPr>
          </w:p>
        </w:tc>
        <w:tc>
          <w:tcPr>
            <w:tcW w:w="0" w:type="auto"/>
            <w:gridSpan w:val="2"/>
            <w:vAlign w:val="center"/>
            <w:hideMark/>
          </w:tcPr>
          <w:p w14:paraId="59079B71" w14:textId="77777777" w:rsidR="00000000" w:rsidRDefault="00405D16">
            <w:pPr>
              <w:spacing w:after="100"/>
              <w:rPr>
                <w:rFonts w:eastAsia="Times New Roman"/>
                <w:sz w:val="20"/>
                <w:szCs w:val="20"/>
              </w:rPr>
            </w:pPr>
          </w:p>
        </w:tc>
      </w:tr>
      <w:tr w:rsidR="00000000" w14:paraId="2B6E3587" w14:textId="77777777">
        <w:tc>
          <w:tcPr>
            <w:tcW w:w="0" w:type="auto"/>
            <w:gridSpan w:val="3"/>
            <w:shd w:val="clear" w:color="auto" w:fill="FFFFFF"/>
            <w:tcMar>
              <w:top w:w="30" w:type="dxa"/>
              <w:left w:w="20" w:type="dxa"/>
              <w:bottom w:w="30" w:type="dxa"/>
              <w:right w:w="20" w:type="dxa"/>
            </w:tcMar>
            <w:vAlign w:val="center"/>
            <w:hideMark/>
          </w:tcPr>
          <w:p w14:paraId="0EAD22BD" w14:textId="77777777" w:rsidR="00000000" w:rsidRDefault="00405D16">
            <w:pPr>
              <w:spacing w:after="100"/>
              <w:rPr>
                <w:rFonts w:eastAsia="Times New Roman"/>
              </w:rPr>
            </w:pPr>
            <w:r>
              <w:rPr>
                <w:rFonts w:eastAsia="Times New Roman"/>
                <w:b/>
                <w:bCs/>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14:paraId="231A6648"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D2A5C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2ECA64"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1724E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EFDC8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EC17BD" w14:textId="77777777" w:rsidR="00000000" w:rsidRDefault="00405D16">
            <w:pPr>
              <w:spacing w:after="100"/>
              <w:rPr>
                <w:rFonts w:eastAsia="Times New Roman"/>
                <w:sz w:val="20"/>
                <w:szCs w:val="20"/>
              </w:rPr>
            </w:pPr>
          </w:p>
        </w:tc>
        <w:tc>
          <w:tcPr>
            <w:tcW w:w="0" w:type="auto"/>
            <w:vAlign w:val="center"/>
            <w:hideMark/>
          </w:tcPr>
          <w:p w14:paraId="4A576854" w14:textId="77777777" w:rsidR="00000000" w:rsidRDefault="00405D16">
            <w:pPr>
              <w:spacing w:after="100"/>
              <w:rPr>
                <w:rFonts w:eastAsia="Times New Roman"/>
                <w:sz w:val="20"/>
                <w:szCs w:val="20"/>
              </w:rPr>
            </w:pPr>
          </w:p>
        </w:tc>
        <w:tc>
          <w:tcPr>
            <w:tcW w:w="0" w:type="auto"/>
            <w:vAlign w:val="center"/>
            <w:hideMark/>
          </w:tcPr>
          <w:p w14:paraId="164A40F9" w14:textId="77777777" w:rsidR="00000000" w:rsidRDefault="00405D16">
            <w:pPr>
              <w:spacing w:after="100"/>
              <w:rPr>
                <w:rFonts w:eastAsia="Times New Roman"/>
                <w:sz w:val="20"/>
                <w:szCs w:val="20"/>
              </w:rPr>
            </w:pPr>
          </w:p>
        </w:tc>
        <w:tc>
          <w:tcPr>
            <w:tcW w:w="0" w:type="auto"/>
            <w:vAlign w:val="center"/>
            <w:hideMark/>
          </w:tcPr>
          <w:p w14:paraId="39AB5DDC" w14:textId="77777777" w:rsidR="00000000" w:rsidRDefault="00405D16">
            <w:pPr>
              <w:spacing w:after="100"/>
              <w:rPr>
                <w:rFonts w:eastAsia="Times New Roman"/>
                <w:sz w:val="20"/>
                <w:szCs w:val="20"/>
              </w:rPr>
            </w:pPr>
          </w:p>
        </w:tc>
        <w:tc>
          <w:tcPr>
            <w:tcW w:w="0" w:type="auto"/>
            <w:vAlign w:val="center"/>
            <w:hideMark/>
          </w:tcPr>
          <w:p w14:paraId="7E3C8CBF" w14:textId="77777777" w:rsidR="00000000" w:rsidRDefault="00405D16">
            <w:pPr>
              <w:spacing w:after="100"/>
              <w:rPr>
                <w:rFonts w:eastAsia="Times New Roman"/>
                <w:sz w:val="20"/>
                <w:szCs w:val="20"/>
              </w:rPr>
            </w:pPr>
          </w:p>
        </w:tc>
        <w:tc>
          <w:tcPr>
            <w:tcW w:w="0" w:type="auto"/>
            <w:gridSpan w:val="3"/>
            <w:vAlign w:val="center"/>
            <w:hideMark/>
          </w:tcPr>
          <w:p w14:paraId="73F074B1" w14:textId="77777777" w:rsidR="00000000" w:rsidRDefault="00405D16">
            <w:pPr>
              <w:spacing w:after="100"/>
              <w:rPr>
                <w:rFonts w:eastAsia="Times New Roman"/>
                <w:sz w:val="20"/>
                <w:szCs w:val="20"/>
              </w:rPr>
            </w:pPr>
          </w:p>
        </w:tc>
        <w:tc>
          <w:tcPr>
            <w:tcW w:w="0" w:type="auto"/>
            <w:gridSpan w:val="3"/>
            <w:vAlign w:val="center"/>
            <w:hideMark/>
          </w:tcPr>
          <w:p w14:paraId="6AB9AD7F" w14:textId="77777777" w:rsidR="00000000" w:rsidRDefault="00405D16">
            <w:pPr>
              <w:spacing w:after="100"/>
              <w:rPr>
                <w:rFonts w:eastAsia="Times New Roman"/>
                <w:sz w:val="20"/>
                <w:szCs w:val="20"/>
              </w:rPr>
            </w:pPr>
          </w:p>
        </w:tc>
        <w:tc>
          <w:tcPr>
            <w:tcW w:w="0" w:type="auto"/>
            <w:gridSpan w:val="3"/>
            <w:vAlign w:val="center"/>
            <w:hideMark/>
          </w:tcPr>
          <w:p w14:paraId="7041E36F" w14:textId="77777777" w:rsidR="00000000" w:rsidRDefault="00405D16">
            <w:pPr>
              <w:spacing w:after="100"/>
              <w:rPr>
                <w:rFonts w:eastAsia="Times New Roman"/>
                <w:sz w:val="20"/>
                <w:szCs w:val="20"/>
              </w:rPr>
            </w:pPr>
          </w:p>
        </w:tc>
        <w:tc>
          <w:tcPr>
            <w:tcW w:w="0" w:type="auto"/>
            <w:gridSpan w:val="3"/>
            <w:vAlign w:val="center"/>
            <w:hideMark/>
          </w:tcPr>
          <w:p w14:paraId="2ABF14A8" w14:textId="77777777" w:rsidR="00000000" w:rsidRDefault="00405D16">
            <w:pPr>
              <w:spacing w:after="100"/>
              <w:rPr>
                <w:rFonts w:eastAsia="Times New Roman"/>
                <w:sz w:val="20"/>
                <w:szCs w:val="20"/>
              </w:rPr>
            </w:pPr>
          </w:p>
        </w:tc>
        <w:tc>
          <w:tcPr>
            <w:tcW w:w="0" w:type="auto"/>
            <w:gridSpan w:val="3"/>
            <w:vAlign w:val="center"/>
            <w:hideMark/>
          </w:tcPr>
          <w:p w14:paraId="7F884A44" w14:textId="77777777" w:rsidR="00000000" w:rsidRDefault="00405D16">
            <w:pPr>
              <w:spacing w:after="100"/>
              <w:rPr>
                <w:rFonts w:eastAsia="Times New Roman"/>
                <w:sz w:val="20"/>
                <w:szCs w:val="20"/>
              </w:rPr>
            </w:pPr>
          </w:p>
        </w:tc>
        <w:tc>
          <w:tcPr>
            <w:tcW w:w="0" w:type="auto"/>
            <w:gridSpan w:val="3"/>
            <w:vAlign w:val="center"/>
            <w:hideMark/>
          </w:tcPr>
          <w:p w14:paraId="2A961FB8" w14:textId="77777777" w:rsidR="00000000" w:rsidRDefault="00405D16">
            <w:pPr>
              <w:spacing w:after="100"/>
              <w:rPr>
                <w:rFonts w:eastAsia="Times New Roman"/>
                <w:sz w:val="20"/>
                <w:szCs w:val="20"/>
              </w:rPr>
            </w:pPr>
          </w:p>
        </w:tc>
        <w:tc>
          <w:tcPr>
            <w:tcW w:w="0" w:type="auto"/>
            <w:gridSpan w:val="3"/>
            <w:vAlign w:val="center"/>
            <w:hideMark/>
          </w:tcPr>
          <w:p w14:paraId="5C4BA9FD" w14:textId="77777777" w:rsidR="00000000" w:rsidRDefault="00405D16">
            <w:pPr>
              <w:spacing w:after="100"/>
              <w:rPr>
                <w:rFonts w:eastAsia="Times New Roman"/>
                <w:sz w:val="20"/>
                <w:szCs w:val="20"/>
              </w:rPr>
            </w:pPr>
          </w:p>
        </w:tc>
        <w:tc>
          <w:tcPr>
            <w:tcW w:w="0" w:type="auto"/>
            <w:gridSpan w:val="3"/>
            <w:vAlign w:val="center"/>
            <w:hideMark/>
          </w:tcPr>
          <w:p w14:paraId="5DC52813" w14:textId="77777777" w:rsidR="00000000" w:rsidRDefault="00405D16">
            <w:pPr>
              <w:spacing w:after="100"/>
              <w:rPr>
                <w:rFonts w:eastAsia="Times New Roman"/>
                <w:sz w:val="20"/>
                <w:szCs w:val="20"/>
              </w:rPr>
            </w:pPr>
          </w:p>
        </w:tc>
        <w:tc>
          <w:tcPr>
            <w:tcW w:w="0" w:type="auto"/>
            <w:gridSpan w:val="3"/>
            <w:vAlign w:val="center"/>
            <w:hideMark/>
          </w:tcPr>
          <w:p w14:paraId="6F9F4095" w14:textId="77777777" w:rsidR="00000000" w:rsidRDefault="00405D16">
            <w:pPr>
              <w:spacing w:after="100"/>
              <w:rPr>
                <w:rFonts w:eastAsia="Times New Roman"/>
                <w:sz w:val="20"/>
                <w:szCs w:val="20"/>
              </w:rPr>
            </w:pPr>
          </w:p>
        </w:tc>
        <w:tc>
          <w:tcPr>
            <w:tcW w:w="0" w:type="auto"/>
            <w:gridSpan w:val="2"/>
            <w:vAlign w:val="center"/>
            <w:hideMark/>
          </w:tcPr>
          <w:p w14:paraId="4B7D929C" w14:textId="77777777" w:rsidR="00000000" w:rsidRDefault="00405D16">
            <w:pPr>
              <w:spacing w:after="100"/>
              <w:rPr>
                <w:rFonts w:eastAsia="Times New Roman"/>
                <w:sz w:val="20"/>
                <w:szCs w:val="20"/>
              </w:rPr>
            </w:pPr>
          </w:p>
        </w:tc>
      </w:tr>
      <w:tr w:rsidR="00000000" w14:paraId="52603B4D" w14:textId="77777777">
        <w:tc>
          <w:tcPr>
            <w:tcW w:w="0" w:type="auto"/>
            <w:gridSpan w:val="3"/>
            <w:shd w:val="clear" w:color="auto" w:fill="CCEEFF"/>
            <w:tcMar>
              <w:top w:w="30" w:type="dxa"/>
              <w:left w:w="20" w:type="dxa"/>
              <w:bottom w:w="30" w:type="dxa"/>
              <w:right w:w="20" w:type="dxa"/>
            </w:tcMar>
            <w:vAlign w:val="center"/>
            <w:hideMark/>
          </w:tcPr>
          <w:p w14:paraId="3E084121" w14:textId="77777777" w:rsidR="00000000" w:rsidRDefault="00405D16">
            <w:pPr>
              <w:spacing w:after="100"/>
              <w:rPr>
                <w:rFonts w:eastAsia="Times New Roman"/>
              </w:rPr>
            </w:pPr>
            <w:r>
              <w:rPr>
                <w:rFonts w:eastAsia="Times New Roman"/>
                <w:color w:val="000000"/>
                <w:sz w:val="18"/>
                <w:szCs w:val="18"/>
              </w:rPr>
              <w:t>Employees (period end, in thousands)</w:t>
            </w:r>
          </w:p>
        </w:tc>
        <w:tc>
          <w:tcPr>
            <w:tcW w:w="0" w:type="auto"/>
            <w:gridSpan w:val="3"/>
            <w:shd w:val="clear" w:color="auto" w:fill="CCEEFF"/>
            <w:tcMar>
              <w:top w:w="0" w:type="dxa"/>
              <w:left w:w="20" w:type="dxa"/>
              <w:bottom w:w="0" w:type="dxa"/>
              <w:right w:w="20" w:type="dxa"/>
            </w:tcMar>
            <w:vAlign w:val="center"/>
            <w:hideMark/>
          </w:tcPr>
          <w:p w14:paraId="5DB75498"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D35419B" w14:textId="77777777" w:rsidR="00000000" w:rsidRDefault="00405D16">
            <w:pPr>
              <w:spacing w:after="100"/>
              <w:jc w:val="right"/>
              <w:rPr>
                <w:rFonts w:eastAsia="Times New Roman"/>
              </w:rPr>
            </w:pPr>
            <w:r>
              <w:rPr>
                <w:rFonts w:eastAsia="Times New Roman"/>
                <w:b/>
                <w:bCs/>
                <w:color w:val="000000"/>
                <w:sz w:val="18"/>
                <w:szCs w:val="18"/>
              </w:rPr>
              <w:t>50.8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F22B0D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E750F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51B0A25" w14:textId="77777777" w:rsidR="00000000" w:rsidRDefault="00405D16">
            <w:pPr>
              <w:spacing w:after="100"/>
              <w:jc w:val="right"/>
              <w:rPr>
                <w:rFonts w:eastAsia="Times New Roman"/>
              </w:rPr>
            </w:pPr>
            <w:r>
              <w:rPr>
                <w:rFonts w:eastAsia="Times New Roman"/>
                <w:color w:val="000000"/>
                <w:sz w:val="18"/>
                <w:szCs w:val="18"/>
              </w:rPr>
              <w:t>52.0 </w:t>
            </w:r>
          </w:p>
        </w:tc>
        <w:tc>
          <w:tcPr>
            <w:tcW w:w="0" w:type="auto"/>
            <w:shd w:val="clear" w:color="auto" w:fill="CCEEFF"/>
            <w:tcMar>
              <w:top w:w="30" w:type="dxa"/>
              <w:left w:w="0" w:type="dxa"/>
              <w:bottom w:w="30" w:type="dxa"/>
              <w:right w:w="20" w:type="dxa"/>
            </w:tcMar>
            <w:vAlign w:val="center"/>
            <w:hideMark/>
          </w:tcPr>
          <w:p w14:paraId="0961208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29DB3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6CCD18F" w14:textId="77777777" w:rsidR="00000000" w:rsidRDefault="00405D16">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center"/>
            <w:hideMark/>
          </w:tcPr>
          <w:p w14:paraId="0A90347E" w14:textId="77777777" w:rsidR="00000000" w:rsidRDefault="00405D16">
            <w:pPr>
              <w:spacing w:after="100"/>
              <w:jc w:val="right"/>
              <w:rPr>
                <w:rFonts w:eastAsia="Times New Roman"/>
              </w:rPr>
            </w:pPr>
          </w:p>
        </w:tc>
        <w:tc>
          <w:tcPr>
            <w:tcW w:w="0" w:type="auto"/>
            <w:vAlign w:val="center"/>
            <w:hideMark/>
          </w:tcPr>
          <w:p w14:paraId="593A7B92" w14:textId="77777777" w:rsidR="00000000" w:rsidRDefault="00405D16">
            <w:pPr>
              <w:spacing w:after="100"/>
              <w:jc w:val="right"/>
              <w:rPr>
                <w:rFonts w:eastAsia="Times New Roman"/>
                <w:sz w:val="20"/>
                <w:szCs w:val="20"/>
              </w:rPr>
            </w:pPr>
          </w:p>
        </w:tc>
        <w:tc>
          <w:tcPr>
            <w:tcW w:w="0" w:type="auto"/>
            <w:vAlign w:val="center"/>
            <w:hideMark/>
          </w:tcPr>
          <w:p w14:paraId="33A379EA" w14:textId="77777777" w:rsidR="00000000" w:rsidRDefault="00405D16">
            <w:pPr>
              <w:spacing w:after="100"/>
              <w:rPr>
                <w:rFonts w:eastAsia="Times New Roman"/>
                <w:sz w:val="20"/>
                <w:szCs w:val="20"/>
              </w:rPr>
            </w:pPr>
          </w:p>
        </w:tc>
        <w:tc>
          <w:tcPr>
            <w:tcW w:w="0" w:type="auto"/>
            <w:vAlign w:val="center"/>
            <w:hideMark/>
          </w:tcPr>
          <w:p w14:paraId="2188D2BD" w14:textId="77777777" w:rsidR="00000000" w:rsidRDefault="00405D16">
            <w:pPr>
              <w:spacing w:after="100"/>
              <w:rPr>
                <w:rFonts w:eastAsia="Times New Roman"/>
                <w:sz w:val="20"/>
                <w:szCs w:val="20"/>
              </w:rPr>
            </w:pPr>
          </w:p>
        </w:tc>
        <w:tc>
          <w:tcPr>
            <w:tcW w:w="0" w:type="auto"/>
            <w:vAlign w:val="center"/>
            <w:hideMark/>
          </w:tcPr>
          <w:p w14:paraId="19095023" w14:textId="77777777" w:rsidR="00000000" w:rsidRDefault="00405D16">
            <w:pPr>
              <w:spacing w:after="100"/>
              <w:rPr>
                <w:rFonts w:eastAsia="Times New Roman"/>
                <w:sz w:val="20"/>
                <w:szCs w:val="20"/>
              </w:rPr>
            </w:pPr>
          </w:p>
        </w:tc>
        <w:tc>
          <w:tcPr>
            <w:tcW w:w="0" w:type="auto"/>
            <w:gridSpan w:val="3"/>
            <w:vAlign w:val="center"/>
            <w:hideMark/>
          </w:tcPr>
          <w:p w14:paraId="15542064" w14:textId="77777777" w:rsidR="00000000" w:rsidRDefault="00405D16">
            <w:pPr>
              <w:spacing w:after="100"/>
              <w:rPr>
                <w:rFonts w:eastAsia="Times New Roman"/>
                <w:sz w:val="20"/>
                <w:szCs w:val="20"/>
              </w:rPr>
            </w:pPr>
          </w:p>
        </w:tc>
        <w:tc>
          <w:tcPr>
            <w:tcW w:w="0" w:type="auto"/>
            <w:gridSpan w:val="3"/>
            <w:vAlign w:val="center"/>
            <w:hideMark/>
          </w:tcPr>
          <w:p w14:paraId="576B4F5A" w14:textId="77777777" w:rsidR="00000000" w:rsidRDefault="00405D16">
            <w:pPr>
              <w:spacing w:after="100"/>
              <w:rPr>
                <w:rFonts w:eastAsia="Times New Roman"/>
                <w:sz w:val="20"/>
                <w:szCs w:val="20"/>
              </w:rPr>
            </w:pPr>
          </w:p>
        </w:tc>
        <w:tc>
          <w:tcPr>
            <w:tcW w:w="0" w:type="auto"/>
            <w:gridSpan w:val="3"/>
            <w:vAlign w:val="center"/>
            <w:hideMark/>
          </w:tcPr>
          <w:p w14:paraId="4AD02449" w14:textId="77777777" w:rsidR="00000000" w:rsidRDefault="00405D16">
            <w:pPr>
              <w:spacing w:after="100"/>
              <w:rPr>
                <w:rFonts w:eastAsia="Times New Roman"/>
                <w:sz w:val="20"/>
                <w:szCs w:val="20"/>
              </w:rPr>
            </w:pPr>
          </w:p>
        </w:tc>
        <w:tc>
          <w:tcPr>
            <w:tcW w:w="0" w:type="auto"/>
            <w:gridSpan w:val="3"/>
            <w:vAlign w:val="center"/>
            <w:hideMark/>
          </w:tcPr>
          <w:p w14:paraId="2E0CD046" w14:textId="77777777" w:rsidR="00000000" w:rsidRDefault="00405D16">
            <w:pPr>
              <w:spacing w:after="100"/>
              <w:rPr>
                <w:rFonts w:eastAsia="Times New Roman"/>
                <w:sz w:val="20"/>
                <w:szCs w:val="20"/>
              </w:rPr>
            </w:pPr>
          </w:p>
        </w:tc>
        <w:tc>
          <w:tcPr>
            <w:tcW w:w="0" w:type="auto"/>
            <w:gridSpan w:val="3"/>
            <w:vAlign w:val="center"/>
            <w:hideMark/>
          </w:tcPr>
          <w:p w14:paraId="3C9ED968" w14:textId="77777777" w:rsidR="00000000" w:rsidRDefault="00405D16">
            <w:pPr>
              <w:spacing w:after="100"/>
              <w:rPr>
                <w:rFonts w:eastAsia="Times New Roman"/>
                <w:sz w:val="20"/>
                <w:szCs w:val="20"/>
              </w:rPr>
            </w:pPr>
          </w:p>
        </w:tc>
        <w:tc>
          <w:tcPr>
            <w:tcW w:w="0" w:type="auto"/>
            <w:gridSpan w:val="3"/>
            <w:vAlign w:val="center"/>
            <w:hideMark/>
          </w:tcPr>
          <w:p w14:paraId="35074BAA" w14:textId="77777777" w:rsidR="00000000" w:rsidRDefault="00405D16">
            <w:pPr>
              <w:spacing w:after="100"/>
              <w:rPr>
                <w:rFonts w:eastAsia="Times New Roman"/>
                <w:sz w:val="20"/>
                <w:szCs w:val="20"/>
              </w:rPr>
            </w:pPr>
          </w:p>
        </w:tc>
        <w:tc>
          <w:tcPr>
            <w:tcW w:w="0" w:type="auto"/>
            <w:gridSpan w:val="3"/>
            <w:vAlign w:val="center"/>
            <w:hideMark/>
          </w:tcPr>
          <w:p w14:paraId="73EE8D46" w14:textId="77777777" w:rsidR="00000000" w:rsidRDefault="00405D16">
            <w:pPr>
              <w:spacing w:after="100"/>
              <w:rPr>
                <w:rFonts w:eastAsia="Times New Roman"/>
                <w:sz w:val="20"/>
                <w:szCs w:val="20"/>
              </w:rPr>
            </w:pPr>
          </w:p>
        </w:tc>
        <w:tc>
          <w:tcPr>
            <w:tcW w:w="0" w:type="auto"/>
            <w:gridSpan w:val="3"/>
            <w:vAlign w:val="center"/>
            <w:hideMark/>
          </w:tcPr>
          <w:p w14:paraId="21AEB270" w14:textId="77777777" w:rsidR="00000000" w:rsidRDefault="00405D16">
            <w:pPr>
              <w:spacing w:after="100"/>
              <w:rPr>
                <w:rFonts w:eastAsia="Times New Roman"/>
                <w:sz w:val="20"/>
                <w:szCs w:val="20"/>
              </w:rPr>
            </w:pPr>
          </w:p>
        </w:tc>
        <w:tc>
          <w:tcPr>
            <w:tcW w:w="0" w:type="auto"/>
            <w:gridSpan w:val="3"/>
            <w:vAlign w:val="center"/>
            <w:hideMark/>
          </w:tcPr>
          <w:p w14:paraId="46003DD7" w14:textId="77777777" w:rsidR="00000000" w:rsidRDefault="00405D16">
            <w:pPr>
              <w:spacing w:after="100"/>
              <w:rPr>
                <w:rFonts w:eastAsia="Times New Roman"/>
                <w:sz w:val="20"/>
                <w:szCs w:val="20"/>
              </w:rPr>
            </w:pPr>
          </w:p>
        </w:tc>
        <w:tc>
          <w:tcPr>
            <w:tcW w:w="0" w:type="auto"/>
            <w:gridSpan w:val="2"/>
            <w:vAlign w:val="center"/>
            <w:hideMark/>
          </w:tcPr>
          <w:p w14:paraId="12514211" w14:textId="77777777" w:rsidR="00000000" w:rsidRDefault="00405D16">
            <w:pPr>
              <w:spacing w:after="100"/>
              <w:rPr>
                <w:rFonts w:eastAsia="Times New Roman"/>
                <w:sz w:val="20"/>
                <w:szCs w:val="20"/>
              </w:rPr>
            </w:pPr>
          </w:p>
        </w:tc>
      </w:tr>
    </w:tbl>
    <w:p w14:paraId="50CFCA7E" w14:textId="77777777" w:rsidR="00000000" w:rsidRDefault="00405D16">
      <w:pPr>
        <w:jc w:val="center"/>
        <w:divId w:val="833378740"/>
        <w:rPr>
          <w:rFonts w:eastAsia="Times New Roman"/>
          <w:vanish/>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0B4DE3BE" w14:textId="77777777">
        <w:trPr>
          <w:divId w:val="833378740"/>
          <w:jc w:val="center"/>
        </w:trPr>
        <w:tc>
          <w:tcPr>
            <w:tcW w:w="50" w:type="pct"/>
            <w:vAlign w:val="center"/>
            <w:hideMark/>
          </w:tcPr>
          <w:p w14:paraId="4E983597" w14:textId="77777777" w:rsidR="00000000" w:rsidRDefault="00405D16">
            <w:pPr>
              <w:jc w:val="both"/>
              <w:rPr>
                <w:rFonts w:eastAsia="Times New Roman"/>
              </w:rPr>
            </w:pPr>
          </w:p>
        </w:tc>
        <w:tc>
          <w:tcPr>
            <w:tcW w:w="1606" w:type="pct"/>
            <w:vAlign w:val="center"/>
            <w:hideMark/>
          </w:tcPr>
          <w:p w14:paraId="404CB853" w14:textId="77777777" w:rsidR="00000000" w:rsidRDefault="00405D16">
            <w:pPr>
              <w:spacing w:after="100"/>
              <w:rPr>
                <w:rFonts w:eastAsia="Times New Roman"/>
                <w:sz w:val="20"/>
                <w:szCs w:val="20"/>
              </w:rPr>
            </w:pPr>
          </w:p>
        </w:tc>
        <w:tc>
          <w:tcPr>
            <w:tcW w:w="5" w:type="pct"/>
            <w:vAlign w:val="center"/>
            <w:hideMark/>
          </w:tcPr>
          <w:p w14:paraId="5A481327" w14:textId="77777777" w:rsidR="00000000" w:rsidRDefault="00405D16">
            <w:pPr>
              <w:spacing w:after="100"/>
              <w:rPr>
                <w:rFonts w:eastAsia="Times New Roman"/>
                <w:sz w:val="20"/>
                <w:szCs w:val="20"/>
              </w:rPr>
            </w:pPr>
          </w:p>
        </w:tc>
        <w:tc>
          <w:tcPr>
            <w:tcW w:w="50" w:type="pct"/>
            <w:vAlign w:val="center"/>
            <w:hideMark/>
          </w:tcPr>
          <w:p w14:paraId="1A13B88E" w14:textId="77777777" w:rsidR="00000000" w:rsidRDefault="00405D16">
            <w:pPr>
              <w:spacing w:after="100"/>
              <w:rPr>
                <w:rFonts w:eastAsia="Times New Roman"/>
                <w:sz w:val="20"/>
                <w:szCs w:val="20"/>
              </w:rPr>
            </w:pPr>
          </w:p>
        </w:tc>
        <w:tc>
          <w:tcPr>
            <w:tcW w:w="1614" w:type="pct"/>
            <w:vAlign w:val="center"/>
            <w:hideMark/>
          </w:tcPr>
          <w:p w14:paraId="019BDCF5" w14:textId="77777777" w:rsidR="00000000" w:rsidRDefault="00405D16">
            <w:pPr>
              <w:spacing w:after="100"/>
              <w:rPr>
                <w:rFonts w:eastAsia="Times New Roman"/>
                <w:sz w:val="20"/>
                <w:szCs w:val="20"/>
              </w:rPr>
            </w:pPr>
          </w:p>
        </w:tc>
        <w:tc>
          <w:tcPr>
            <w:tcW w:w="5" w:type="pct"/>
            <w:vAlign w:val="center"/>
            <w:hideMark/>
          </w:tcPr>
          <w:p w14:paraId="53784D6A" w14:textId="77777777" w:rsidR="00000000" w:rsidRDefault="00405D16">
            <w:pPr>
              <w:spacing w:after="100"/>
              <w:rPr>
                <w:rFonts w:eastAsia="Times New Roman"/>
                <w:sz w:val="20"/>
                <w:szCs w:val="20"/>
              </w:rPr>
            </w:pPr>
          </w:p>
        </w:tc>
        <w:tc>
          <w:tcPr>
            <w:tcW w:w="50" w:type="pct"/>
            <w:vAlign w:val="center"/>
            <w:hideMark/>
          </w:tcPr>
          <w:p w14:paraId="493EAE01" w14:textId="77777777" w:rsidR="00000000" w:rsidRDefault="00405D16">
            <w:pPr>
              <w:spacing w:after="100"/>
              <w:rPr>
                <w:rFonts w:eastAsia="Times New Roman"/>
                <w:sz w:val="20"/>
                <w:szCs w:val="20"/>
              </w:rPr>
            </w:pPr>
          </w:p>
        </w:tc>
        <w:tc>
          <w:tcPr>
            <w:tcW w:w="1614" w:type="pct"/>
            <w:vAlign w:val="center"/>
            <w:hideMark/>
          </w:tcPr>
          <w:p w14:paraId="04A64125" w14:textId="77777777" w:rsidR="00000000" w:rsidRDefault="00405D16">
            <w:pPr>
              <w:spacing w:after="100"/>
              <w:rPr>
                <w:rFonts w:eastAsia="Times New Roman"/>
                <w:sz w:val="20"/>
                <w:szCs w:val="20"/>
              </w:rPr>
            </w:pPr>
          </w:p>
        </w:tc>
        <w:tc>
          <w:tcPr>
            <w:tcW w:w="5" w:type="pct"/>
            <w:vAlign w:val="center"/>
            <w:hideMark/>
          </w:tcPr>
          <w:p w14:paraId="791DE7AD" w14:textId="77777777" w:rsidR="00000000" w:rsidRDefault="00405D16">
            <w:pPr>
              <w:spacing w:after="100"/>
              <w:rPr>
                <w:rFonts w:eastAsia="Times New Roman"/>
                <w:sz w:val="20"/>
                <w:szCs w:val="20"/>
              </w:rPr>
            </w:pPr>
          </w:p>
        </w:tc>
      </w:tr>
      <w:tr w:rsidR="00000000" w14:paraId="54132EE5" w14:textId="77777777">
        <w:trPr>
          <w:divId w:val="833378740"/>
          <w:trHeight w:val="300"/>
          <w:jc w:val="center"/>
        </w:trPr>
        <w:tc>
          <w:tcPr>
            <w:tcW w:w="0" w:type="auto"/>
            <w:gridSpan w:val="9"/>
            <w:tcMar>
              <w:top w:w="0" w:type="dxa"/>
              <w:left w:w="20" w:type="dxa"/>
              <w:bottom w:w="0" w:type="dxa"/>
              <w:right w:w="20" w:type="dxa"/>
            </w:tcMar>
            <w:vAlign w:val="center"/>
            <w:hideMark/>
          </w:tcPr>
          <w:p w14:paraId="4626A84B" w14:textId="77777777" w:rsidR="00000000" w:rsidRDefault="00405D16">
            <w:pPr>
              <w:spacing w:after="100"/>
              <w:rPr>
                <w:rFonts w:eastAsia="Times New Roman"/>
                <w:sz w:val="20"/>
                <w:szCs w:val="20"/>
              </w:rPr>
            </w:pPr>
          </w:p>
        </w:tc>
      </w:tr>
      <w:tr w:rsidR="00000000" w14:paraId="69C40C97" w14:textId="77777777">
        <w:trPr>
          <w:divId w:val="833378740"/>
          <w:jc w:val="center"/>
        </w:trPr>
        <w:tc>
          <w:tcPr>
            <w:tcW w:w="0" w:type="auto"/>
            <w:gridSpan w:val="3"/>
            <w:tcMar>
              <w:top w:w="0" w:type="dxa"/>
              <w:left w:w="20" w:type="dxa"/>
              <w:bottom w:w="0" w:type="dxa"/>
              <w:right w:w="20" w:type="dxa"/>
            </w:tcMar>
            <w:vAlign w:val="center"/>
            <w:hideMark/>
          </w:tcPr>
          <w:p w14:paraId="7EFAE55F"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A3E7A13" w14:textId="77777777" w:rsidR="00000000" w:rsidRDefault="00405D16">
            <w:pPr>
              <w:spacing w:after="100"/>
              <w:jc w:val="center"/>
              <w:rPr>
                <w:rFonts w:eastAsia="Times New Roman"/>
              </w:rPr>
            </w:pPr>
            <w:r>
              <w:rPr>
                <w:rFonts w:eastAsia="Times New Roman"/>
                <w:color w:val="000000"/>
                <w:sz w:val="16"/>
                <w:szCs w:val="16"/>
              </w:rPr>
              <w:t>7</w:t>
            </w:r>
          </w:p>
        </w:tc>
        <w:tc>
          <w:tcPr>
            <w:tcW w:w="0" w:type="auto"/>
            <w:gridSpan w:val="3"/>
            <w:tcMar>
              <w:top w:w="30" w:type="dxa"/>
              <w:left w:w="20" w:type="dxa"/>
              <w:bottom w:w="30" w:type="dxa"/>
              <w:right w:w="20" w:type="dxa"/>
            </w:tcMar>
            <w:vAlign w:val="bottom"/>
            <w:hideMark/>
          </w:tcPr>
          <w:p w14:paraId="49DE21D0"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2123E981" w14:textId="77777777" w:rsidR="00000000" w:rsidRDefault="00405D16">
      <w:pPr>
        <w:rPr>
          <w:rFonts w:eastAsia="Times New Roman"/>
        </w:rPr>
      </w:pPr>
      <w:r>
        <w:rPr>
          <w:rFonts w:eastAsia="Times New Roman"/>
        </w:rPr>
        <w:pict w14:anchorId="0568000D">
          <v:rect id="_x0000_i1032" style="width:0;height:1.5pt" o:hralign="center" o:hrstd="t" o:hr="t" fillcolor="#a0a0a0" stroked="f"/>
        </w:pict>
      </w:r>
    </w:p>
    <w:p w14:paraId="79C1BBDF" w14:textId="77777777" w:rsidR="00000000" w:rsidRDefault="00405D16">
      <w:pPr>
        <w:ind w:hanging="360"/>
        <w:jc w:val="both"/>
        <w:divId w:val="840126292"/>
        <w:rPr>
          <w:rFonts w:eastAsia="Times New Roman"/>
        </w:rPr>
      </w:pPr>
      <w:hyperlink w:anchor="idd54a04a485440b4ab4e56094c14d612_13" w:history="1">
        <w:r>
          <w:rPr>
            <w:rStyle w:val="a3"/>
            <w:rFonts w:eastAsia="Times New Roman"/>
            <w:sz w:val="16"/>
            <w:szCs w:val="16"/>
          </w:rPr>
          <w:t>Table of Contents</w:t>
        </w:r>
      </w:hyperlink>
    </w:p>
    <w:p w14:paraId="18515B31" w14:textId="77777777" w:rsidR="00000000" w:rsidRDefault="00405D16">
      <w:pPr>
        <w:divId w:val="275213172"/>
        <w:rPr>
          <w:rFonts w:eastAsia="Times New Roman"/>
        </w:rPr>
      </w:pPr>
      <w:r>
        <w:rPr>
          <w:rFonts w:eastAsia="Times New Roman"/>
          <w:color w:val="000000"/>
          <w:sz w:val="20"/>
          <w:szCs w:val="20"/>
        </w:rPr>
        <w:t>__________</w:t>
      </w:r>
    </w:p>
    <w:p w14:paraId="04241FFA" w14:textId="77777777" w:rsidR="00000000" w:rsidRDefault="00405D16">
      <w:pPr>
        <w:ind w:hanging="360"/>
        <w:jc w:val="both"/>
        <w:divId w:val="199298207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Tangible book value per common share is a non-GAAP measure calculated based on tangible common equity divided by common shares outstanding. See “MD&amp;A—Table A —Reconciliation of Non-GAAP Measures” for additional information on non-GAAP measures.</w:t>
      </w:r>
    </w:p>
    <w:p w14:paraId="78EB5DA2" w14:textId="77777777" w:rsidR="00000000" w:rsidRDefault="00405D16">
      <w:pPr>
        <w:ind w:hanging="360"/>
        <w:jc w:val="both"/>
        <w:divId w:val="1014308443"/>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Total ne</w:t>
      </w:r>
      <w:r>
        <w:rPr>
          <w:rFonts w:eastAsia="Times New Roman"/>
          <w:color w:val="000000"/>
          <w:sz w:val="16"/>
          <w:szCs w:val="16"/>
        </w:rPr>
        <w:t>t revenue margin is calculated based on annualized total net revenue for the period divided by average interest-earning assets for the period.</w:t>
      </w:r>
    </w:p>
    <w:p w14:paraId="7874094F" w14:textId="77777777" w:rsidR="00000000" w:rsidRDefault="00405D16">
      <w:pPr>
        <w:ind w:hanging="360"/>
        <w:jc w:val="both"/>
        <w:divId w:val="448664786"/>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 xml:space="preserve">Return on average assets is calculated based on annualized income from continuing operations, net of tax, for </w:t>
      </w:r>
      <w:r>
        <w:rPr>
          <w:rFonts w:eastAsia="Times New Roman"/>
          <w:color w:val="000000"/>
          <w:sz w:val="16"/>
          <w:szCs w:val="16"/>
        </w:rPr>
        <w:t>the period divided by average total assets for the period.</w:t>
      </w:r>
    </w:p>
    <w:p w14:paraId="1696067A" w14:textId="77777777" w:rsidR="00000000" w:rsidRDefault="00405D16">
      <w:pPr>
        <w:ind w:hanging="360"/>
        <w:jc w:val="both"/>
        <w:divId w:val="1472480184"/>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Return on average tangible assets is a non-GAAP measure calculated based on annualized income from continuing operations, net of tax, for the period divided by average tangible assets for the period. See “MD&amp;A—Table A—Reconciliation of Non-GAAP Measures” f</w:t>
      </w:r>
      <w:r>
        <w:rPr>
          <w:rFonts w:eastAsia="Times New Roman"/>
          <w:color w:val="000000"/>
          <w:sz w:val="16"/>
          <w:szCs w:val="16"/>
        </w:rPr>
        <w:t>or additional information on non-GAAP measures.</w:t>
      </w:r>
    </w:p>
    <w:p w14:paraId="148323A8" w14:textId="77777777" w:rsidR="00000000" w:rsidRDefault="00405D16">
      <w:pPr>
        <w:ind w:hanging="360"/>
        <w:jc w:val="both"/>
        <w:divId w:val="251934849"/>
        <w:rPr>
          <w:rFonts w:eastAsia="Times New Roman"/>
        </w:rPr>
      </w:pPr>
      <w:r>
        <w:rPr>
          <w:rFonts w:eastAsia="Times New Roman"/>
          <w:color w:val="000000"/>
          <w:sz w:val="10"/>
          <w:szCs w:val="10"/>
        </w:rPr>
        <w:t>(5</w:t>
      </w:r>
      <w:r>
        <w:rPr>
          <w:rFonts w:eastAsia="Times New Roman"/>
          <w:color w:val="000000"/>
          <w:sz w:val="10"/>
          <w:szCs w:val="10"/>
        </w:rPr>
        <w:t>)</w:t>
      </w:r>
      <w:r>
        <w:rPr>
          <w:rFonts w:eastAsia="Times New Roman"/>
          <w:color w:val="000000"/>
          <w:sz w:val="16"/>
          <w:szCs w:val="16"/>
        </w:rPr>
        <w:t xml:space="preserve">Return on average common equity is calculated based on annualized net income (loss) available to common stockholders less annualized income (loss) from discontinued operations, net of tax, for the period, </w:t>
      </w:r>
      <w:r>
        <w:rPr>
          <w:rFonts w:eastAsia="Times New Roman"/>
          <w:color w:val="000000"/>
          <w:sz w:val="16"/>
          <w:szCs w:val="16"/>
        </w:rPr>
        <w:t>divided by average common equity. Our calculation of return on average common equity may not be comparable to similarly-titled measures reported by other companies.</w:t>
      </w:r>
    </w:p>
    <w:p w14:paraId="05FB9364" w14:textId="77777777" w:rsidR="00000000" w:rsidRDefault="00405D16">
      <w:pPr>
        <w:ind w:hanging="360"/>
        <w:jc w:val="both"/>
        <w:divId w:val="1476217463"/>
        <w:rPr>
          <w:rFonts w:eastAsia="Times New Roman"/>
        </w:rPr>
      </w:pPr>
      <w:r>
        <w:rPr>
          <w:rFonts w:eastAsia="Times New Roman"/>
          <w:color w:val="000000"/>
          <w:sz w:val="10"/>
          <w:szCs w:val="10"/>
        </w:rPr>
        <w:t>(6</w:t>
      </w:r>
      <w:r>
        <w:rPr>
          <w:rFonts w:eastAsia="Times New Roman"/>
          <w:color w:val="000000"/>
          <w:sz w:val="10"/>
          <w:szCs w:val="10"/>
        </w:rPr>
        <w:t>)</w:t>
      </w:r>
      <w:r>
        <w:rPr>
          <w:rFonts w:eastAsia="Times New Roman"/>
          <w:color w:val="000000"/>
          <w:sz w:val="16"/>
          <w:szCs w:val="16"/>
        </w:rPr>
        <w:t xml:space="preserve">Return on average tangible common equity (“TCE”) is a non-GAAP measure calculated based </w:t>
      </w:r>
      <w:r>
        <w:rPr>
          <w:rFonts w:eastAsia="Times New Roman"/>
          <w:color w:val="000000"/>
          <w:sz w:val="16"/>
          <w:szCs w:val="16"/>
        </w:rPr>
        <w:t>on annualized net income (loss) available to common stockholders less annualized income (loss) from discontinued operations, net of tax, for the period, divided by average tangible common equity. Our calculation of return on average TCE may not be comparab</w:t>
      </w:r>
      <w:r>
        <w:rPr>
          <w:rFonts w:eastAsia="Times New Roman"/>
          <w:color w:val="000000"/>
          <w:sz w:val="16"/>
          <w:szCs w:val="16"/>
        </w:rPr>
        <w:t>le to similarly-titled measures reported by other companies. See “MD&amp;A—Table A—Reconciliation of Non-GAAP Measures” for additional information on non-GAAP measures.</w:t>
      </w:r>
    </w:p>
    <w:p w14:paraId="1F520F03" w14:textId="77777777" w:rsidR="00000000" w:rsidRDefault="00405D16">
      <w:pPr>
        <w:ind w:hanging="360"/>
        <w:jc w:val="both"/>
        <w:divId w:val="1126123231"/>
        <w:rPr>
          <w:rFonts w:eastAsia="Times New Roman"/>
        </w:rPr>
      </w:pPr>
      <w:r>
        <w:rPr>
          <w:rFonts w:eastAsia="Times New Roman"/>
          <w:color w:val="000000"/>
          <w:sz w:val="10"/>
          <w:szCs w:val="10"/>
        </w:rPr>
        <w:t>(7</w:t>
      </w:r>
      <w:r>
        <w:rPr>
          <w:rFonts w:eastAsia="Times New Roman"/>
          <w:color w:val="000000"/>
          <w:sz w:val="10"/>
          <w:szCs w:val="10"/>
        </w:rPr>
        <w:t>)</w:t>
      </w:r>
      <w:r>
        <w:rPr>
          <w:rFonts w:eastAsia="Times New Roman"/>
          <w:color w:val="000000"/>
          <w:sz w:val="16"/>
          <w:szCs w:val="16"/>
        </w:rPr>
        <w:t>Equity-to-assets ratio is calculated based on average stockholders’ equity for the perio</w:t>
      </w:r>
      <w:r>
        <w:rPr>
          <w:rFonts w:eastAsia="Times New Roman"/>
          <w:color w:val="000000"/>
          <w:sz w:val="16"/>
          <w:szCs w:val="16"/>
        </w:rPr>
        <w:t>d divided by average total assets for the period.</w:t>
      </w:r>
    </w:p>
    <w:p w14:paraId="2A16BBF6" w14:textId="77777777" w:rsidR="00000000" w:rsidRDefault="00405D16">
      <w:pPr>
        <w:ind w:hanging="360"/>
        <w:jc w:val="both"/>
        <w:divId w:val="2066832710"/>
        <w:rPr>
          <w:rFonts w:eastAsia="Times New Roman"/>
        </w:rPr>
      </w:pPr>
      <w:r>
        <w:rPr>
          <w:rFonts w:eastAsia="Times New Roman"/>
          <w:color w:val="000000"/>
          <w:sz w:val="10"/>
          <w:szCs w:val="10"/>
        </w:rPr>
        <w:t>(8</w:t>
      </w:r>
      <w:r>
        <w:rPr>
          <w:rFonts w:eastAsia="Times New Roman"/>
          <w:color w:val="000000"/>
          <w:sz w:val="10"/>
          <w:szCs w:val="10"/>
        </w:rPr>
        <w:t>)</w:t>
      </w:r>
      <w:r>
        <w:rPr>
          <w:rFonts w:eastAsia="Times New Roman"/>
          <w:color w:val="000000"/>
          <w:sz w:val="16"/>
          <w:szCs w:val="16"/>
        </w:rPr>
        <w:t>Efficiency ratio is calculated based on total non-interest expense for the period divided by total net revenue for the period.</w:t>
      </w:r>
    </w:p>
    <w:p w14:paraId="453585FD" w14:textId="77777777" w:rsidR="00000000" w:rsidRDefault="00405D16">
      <w:pPr>
        <w:ind w:hanging="360"/>
        <w:jc w:val="both"/>
        <w:divId w:val="1553688422"/>
        <w:rPr>
          <w:rFonts w:eastAsia="Times New Roman"/>
        </w:rPr>
      </w:pPr>
      <w:r>
        <w:rPr>
          <w:rFonts w:eastAsia="Times New Roman"/>
          <w:color w:val="000000"/>
          <w:sz w:val="10"/>
          <w:szCs w:val="10"/>
        </w:rPr>
        <w:t>(9</w:t>
      </w:r>
      <w:r>
        <w:rPr>
          <w:rFonts w:eastAsia="Times New Roman"/>
          <w:color w:val="000000"/>
          <w:sz w:val="10"/>
          <w:szCs w:val="10"/>
        </w:rPr>
        <w:t>)</w:t>
      </w:r>
      <w:r>
        <w:rPr>
          <w:rFonts w:eastAsia="Times New Roman"/>
          <w:color w:val="000000"/>
          <w:sz w:val="16"/>
          <w:szCs w:val="16"/>
        </w:rPr>
        <w:t>Operating efficiency ratio is calculated based on operating expense for t</w:t>
      </w:r>
      <w:r>
        <w:rPr>
          <w:rFonts w:eastAsia="Times New Roman"/>
          <w:color w:val="000000"/>
          <w:sz w:val="16"/>
          <w:szCs w:val="16"/>
        </w:rPr>
        <w:t>he period divided by total net revenue for the period.</w:t>
      </w:r>
    </w:p>
    <w:p w14:paraId="31620889" w14:textId="77777777" w:rsidR="00000000" w:rsidRDefault="00405D16">
      <w:pPr>
        <w:ind w:hanging="360"/>
        <w:jc w:val="both"/>
        <w:divId w:val="1612589346"/>
        <w:rPr>
          <w:rFonts w:eastAsia="Times New Roman"/>
        </w:rPr>
      </w:pPr>
      <w:r>
        <w:rPr>
          <w:rFonts w:eastAsia="Times New Roman"/>
          <w:color w:val="000000"/>
          <w:sz w:val="10"/>
          <w:szCs w:val="10"/>
        </w:rPr>
        <w:t>(10</w:t>
      </w:r>
      <w:r>
        <w:rPr>
          <w:rFonts w:eastAsia="Times New Roman"/>
          <w:color w:val="000000"/>
          <w:sz w:val="10"/>
          <w:szCs w:val="10"/>
        </w:rPr>
        <w:t>)</w:t>
      </w:r>
      <w:r>
        <w:rPr>
          <w:rFonts w:eastAsia="Times New Roman"/>
          <w:color w:val="000000"/>
          <w:sz w:val="16"/>
          <w:szCs w:val="16"/>
        </w:rPr>
        <w:t>Capital ratios are calculated based on the Basel III Standardized Approach framework, see “MD&amp;A—Capital Management” for additional information.</w:t>
      </w:r>
    </w:p>
    <w:p w14:paraId="18EE5081" w14:textId="77777777" w:rsidR="00000000" w:rsidRDefault="00405D16">
      <w:pPr>
        <w:ind w:hanging="360"/>
        <w:jc w:val="both"/>
        <w:divId w:val="428938850"/>
        <w:rPr>
          <w:rFonts w:eastAsia="Times New Roman"/>
        </w:rPr>
      </w:pPr>
      <w:r>
        <w:rPr>
          <w:rFonts w:eastAsia="Times New Roman"/>
          <w:color w:val="000000"/>
          <w:sz w:val="10"/>
          <w:szCs w:val="10"/>
        </w:rPr>
        <w:t>(11</w:t>
      </w:r>
      <w:r>
        <w:rPr>
          <w:rFonts w:eastAsia="Times New Roman"/>
          <w:color w:val="000000"/>
          <w:sz w:val="10"/>
          <w:szCs w:val="10"/>
        </w:rPr>
        <w:t>)</w:t>
      </w:r>
      <w:r>
        <w:rPr>
          <w:rFonts w:eastAsia="Times New Roman"/>
          <w:color w:val="000000"/>
          <w:sz w:val="16"/>
          <w:szCs w:val="16"/>
        </w:rPr>
        <w:t>Tangible common equity ratio is a non-GAAP measur</w:t>
      </w:r>
      <w:r>
        <w:rPr>
          <w:rFonts w:eastAsia="Times New Roman"/>
          <w:color w:val="000000"/>
          <w:sz w:val="16"/>
          <w:szCs w:val="16"/>
        </w:rPr>
        <w:t>e calculated based on TCE divided by tangible assets. See “MD&amp;A—Table A—Reconciliation of Non-GAAP Measures” for the calculation of this measure and reconciliation to the comparative U.S. GAAP measure.</w:t>
      </w:r>
    </w:p>
    <w:p w14:paraId="09932B73" w14:textId="77777777" w:rsidR="00000000" w:rsidRDefault="00405D16">
      <w:pPr>
        <w:ind w:hanging="360"/>
        <w:jc w:val="both"/>
        <w:divId w:val="769813943"/>
        <w:rPr>
          <w:rFonts w:eastAsia="Times New Roman"/>
        </w:rPr>
      </w:pPr>
      <w:r>
        <w:rPr>
          <w:rFonts w:eastAsia="Times New Roman"/>
          <w:color w:val="000000"/>
          <w:sz w:val="10"/>
          <w:szCs w:val="10"/>
        </w:rPr>
        <w:t>(12</w:t>
      </w:r>
      <w:r>
        <w:rPr>
          <w:rFonts w:eastAsia="Times New Roman"/>
          <w:color w:val="000000"/>
          <w:sz w:val="10"/>
          <w:szCs w:val="10"/>
        </w:rPr>
        <w:t>)</w:t>
      </w:r>
      <w:r>
        <w:rPr>
          <w:rFonts w:eastAsia="Times New Roman"/>
          <w:color w:val="000000"/>
          <w:sz w:val="16"/>
          <w:szCs w:val="16"/>
        </w:rPr>
        <w:t>The Company’s supplementary leverage ratio as of D</w:t>
      </w:r>
      <w:r>
        <w:rPr>
          <w:rFonts w:eastAsia="Times New Roman"/>
          <w:color w:val="000000"/>
          <w:sz w:val="16"/>
          <w:szCs w:val="16"/>
        </w:rPr>
        <w:t>ecember 31, 2020 reflected the temporary exclusions of U.S Treasury securities and deposits at Federal Reserve Banks from the denominator of the supplementary leverage ratio. See “Part I—Item 1. Business—Supervision and Regulation—Capital and Liquidity Reg</w:t>
      </w:r>
      <w:r>
        <w:rPr>
          <w:rFonts w:eastAsia="Times New Roman"/>
          <w:color w:val="000000"/>
          <w:sz w:val="16"/>
          <w:szCs w:val="16"/>
        </w:rPr>
        <w:t>ulation” in our 2020 Form 10-K for additional details.</w:t>
      </w:r>
    </w:p>
    <w:p w14:paraId="6DF6924C" w14:textId="77777777" w:rsidR="00000000" w:rsidRDefault="00405D16">
      <w:pPr>
        <w:ind w:hanging="360"/>
        <w:jc w:val="both"/>
        <w:divId w:val="783037309"/>
        <w:rPr>
          <w:rFonts w:eastAsia="Times New Roman"/>
        </w:rPr>
      </w:pPr>
      <w:r>
        <w:rPr>
          <w:rFonts w:eastAsia="Times New Roman"/>
          <w:color w:val="000000"/>
          <w:sz w:val="16"/>
          <w:szCs w:val="16"/>
        </w:rPr>
        <w:t>**    Not meaningful.</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2B7443C3" w14:textId="77777777">
        <w:trPr>
          <w:divId w:val="702679738"/>
          <w:jc w:val="center"/>
        </w:trPr>
        <w:tc>
          <w:tcPr>
            <w:tcW w:w="50" w:type="pct"/>
            <w:vAlign w:val="center"/>
            <w:hideMark/>
          </w:tcPr>
          <w:p w14:paraId="27575E4E" w14:textId="77777777" w:rsidR="00000000" w:rsidRDefault="00405D16">
            <w:pPr>
              <w:ind w:hanging="360"/>
              <w:jc w:val="both"/>
              <w:rPr>
                <w:rFonts w:eastAsia="Times New Roman"/>
              </w:rPr>
            </w:pPr>
          </w:p>
        </w:tc>
        <w:tc>
          <w:tcPr>
            <w:tcW w:w="1606" w:type="pct"/>
            <w:vAlign w:val="center"/>
            <w:hideMark/>
          </w:tcPr>
          <w:p w14:paraId="5DC99101" w14:textId="77777777" w:rsidR="00000000" w:rsidRDefault="00405D16">
            <w:pPr>
              <w:spacing w:after="100"/>
              <w:rPr>
                <w:rFonts w:eastAsia="Times New Roman"/>
                <w:sz w:val="20"/>
                <w:szCs w:val="20"/>
              </w:rPr>
            </w:pPr>
          </w:p>
        </w:tc>
        <w:tc>
          <w:tcPr>
            <w:tcW w:w="5" w:type="pct"/>
            <w:vAlign w:val="center"/>
            <w:hideMark/>
          </w:tcPr>
          <w:p w14:paraId="18CCB5D2" w14:textId="77777777" w:rsidR="00000000" w:rsidRDefault="00405D16">
            <w:pPr>
              <w:spacing w:after="100"/>
              <w:rPr>
                <w:rFonts w:eastAsia="Times New Roman"/>
                <w:sz w:val="20"/>
                <w:szCs w:val="20"/>
              </w:rPr>
            </w:pPr>
          </w:p>
        </w:tc>
        <w:tc>
          <w:tcPr>
            <w:tcW w:w="50" w:type="pct"/>
            <w:vAlign w:val="center"/>
            <w:hideMark/>
          </w:tcPr>
          <w:p w14:paraId="006806B2" w14:textId="77777777" w:rsidR="00000000" w:rsidRDefault="00405D16">
            <w:pPr>
              <w:spacing w:after="100"/>
              <w:rPr>
                <w:rFonts w:eastAsia="Times New Roman"/>
                <w:sz w:val="20"/>
                <w:szCs w:val="20"/>
              </w:rPr>
            </w:pPr>
          </w:p>
        </w:tc>
        <w:tc>
          <w:tcPr>
            <w:tcW w:w="1614" w:type="pct"/>
            <w:vAlign w:val="center"/>
            <w:hideMark/>
          </w:tcPr>
          <w:p w14:paraId="31D58021" w14:textId="77777777" w:rsidR="00000000" w:rsidRDefault="00405D16">
            <w:pPr>
              <w:spacing w:after="100"/>
              <w:rPr>
                <w:rFonts w:eastAsia="Times New Roman"/>
                <w:sz w:val="20"/>
                <w:szCs w:val="20"/>
              </w:rPr>
            </w:pPr>
          </w:p>
        </w:tc>
        <w:tc>
          <w:tcPr>
            <w:tcW w:w="5" w:type="pct"/>
            <w:vAlign w:val="center"/>
            <w:hideMark/>
          </w:tcPr>
          <w:p w14:paraId="66A144EF" w14:textId="77777777" w:rsidR="00000000" w:rsidRDefault="00405D16">
            <w:pPr>
              <w:spacing w:after="100"/>
              <w:rPr>
                <w:rFonts w:eastAsia="Times New Roman"/>
                <w:sz w:val="20"/>
                <w:szCs w:val="20"/>
              </w:rPr>
            </w:pPr>
          </w:p>
        </w:tc>
        <w:tc>
          <w:tcPr>
            <w:tcW w:w="50" w:type="pct"/>
            <w:vAlign w:val="center"/>
            <w:hideMark/>
          </w:tcPr>
          <w:p w14:paraId="53DE6FF9" w14:textId="77777777" w:rsidR="00000000" w:rsidRDefault="00405D16">
            <w:pPr>
              <w:spacing w:after="100"/>
              <w:rPr>
                <w:rFonts w:eastAsia="Times New Roman"/>
                <w:sz w:val="20"/>
                <w:szCs w:val="20"/>
              </w:rPr>
            </w:pPr>
          </w:p>
        </w:tc>
        <w:tc>
          <w:tcPr>
            <w:tcW w:w="1614" w:type="pct"/>
            <w:vAlign w:val="center"/>
            <w:hideMark/>
          </w:tcPr>
          <w:p w14:paraId="177A738F" w14:textId="77777777" w:rsidR="00000000" w:rsidRDefault="00405D16">
            <w:pPr>
              <w:spacing w:after="100"/>
              <w:rPr>
                <w:rFonts w:eastAsia="Times New Roman"/>
                <w:sz w:val="20"/>
                <w:szCs w:val="20"/>
              </w:rPr>
            </w:pPr>
          </w:p>
        </w:tc>
        <w:tc>
          <w:tcPr>
            <w:tcW w:w="5" w:type="pct"/>
            <w:vAlign w:val="center"/>
            <w:hideMark/>
          </w:tcPr>
          <w:p w14:paraId="4FAFEF18" w14:textId="77777777" w:rsidR="00000000" w:rsidRDefault="00405D16">
            <w:pPr>
              <w:spacing w:after="100"/>
              <w:rPr>
                <w:rFonts w:eastAsia="Times New Roman"/>
                <w:sz w:val="20"/>
                <w:szCs w:val="20"/>
              </w:rPr>
            </w:pPr>
          </w:p>
        </w:tc>
      </w:tr>
      <w:tr w:rsidR="00000000" w14:paraId="2590CFC7" w14:textId="77777777">
        <w:trPr>
          <w:divId w:val="702679738"/>
          <w:trHeight w:val="300"/>
          <w:jc w:val="center"/>
        </w:trPr>
        <w:tc>
          <w:tcPr>
            <w:tcW w:w="0" w:type="auto"/>
            <w:gridSpan w:val="9"/>
            <w:tcMar>
              <w:top w:w="0" w:type="dxa"/>
              <w:left w:w="20" w:type="dxa"/>
              <w:bottom w:w="0" w:type="dxa"/>
              <w:right w:w="20" w:type="dxa"/>
            </w:tcMar>
            <w:vAlign w:val="center"/>
            <w:hideMark/>
          </w:tcPr>
          <w:p w14:paraId="265853BA" w14:textId="77777777" w:rsidR="00000000" w:rsidRDefault="00405D16">
            <w:pPr>
              <w:spacing w:after="100"/>
              <w:rPr>
                <w:rFonts w:eastAsia="Times New Roman"/>
                <w:sz w:val="20"/>
                <w:szCs w:val="20"/>
              </w:rPr>
            </w:pPr>
          </w:p>
        </w:tc>
      </w:tr>
      <w:tr w:rsidR="00000000" w14:paraId="700AFF80" w14:textId="77777777">
        <w:trPr>
          <w:divId w:val="702679738"/>
          <w:jc w:val="center"/>
        </w:trPr>
        <w:tc>
          <w:tcPr>
            <w:tcW w:w="0" w:type="auto"/>
            <w:gridSpan w:val="3"/>
            <w:tcMar>
              <w:top w:w="0" w:type="dxa"/>
              <w:left w:w="20" w:type="dxa"/>
              <w:bottom w:w="0" w:type="dxa"/>
              <w:right w:w="20" w:type="dxa"/>
            </w:tcMar>
            <w:vAlign w:val="center"/>
            <w:hideMark/>
          </w:tcPr>
          <w:p w14:paraId="3F7FCA87"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4897097" w14:textId="77777777" w:rsidR="00000000" w:rsidRDefault="00405D16">
            <w:pPr>
              <w:spacing w:after="100"/>
              <w:jc w:val="center"/>
              <w:rPr>
                <w:rFonts w:eastAsia="Times New Roman"/>
              </w:rPr>
            </w:pPr>
            <w:r>
              <w:rPr>
                <w:rFonts w:eastAsia="Times New Roman"/>
                <w:color w:val="000000"/>
                <w:sz w:val="16"/>
                <w:szCs w:val="16"/>
              </w:rPr>
              <w:t>8</w:t>
            </w:r>
          </w:p>
        </w:tc>
        <w:tc>
          <w:tcPr>
            <w:tcW w:w="0" w:type="auto"/>
            <w:gridSpan w:val="3"/>
            <w:tcMar>
              <w:top w:w="30" w:type="dxa"/>
              <w:left w:w="20" w:type="dxa"/>
              <w:bottom w:w="30" w:type="dxa"/>
              <w:right w:w="20" w:type="dxa"/>
            </w:tcMar>
            <w:vAlign w:val="bottom"/>
            <w:hideMark/>
          </w:tcPr>
          <w:p w14:paraId="47B118A3"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70F8CCFB" w14:textId="77777777" w:rsidR="00000000" w:rsidRDefault="00405D16">
      <w:pPr>
        <w:rPr>
          <w:rFonts w:eastAsia="Times New Roman"/>
        </w:rPr>
      </w:pPr>
      <w:r>
        <w:rPr>
          <w:rFonts w:eastAsia="Times New Roman"/>
        </w:rPr>
        <w:pict w14:anchorId="01D6B902">
          <v:rect id="_x0000_i1033" style="width:0;height:1.5pt" o:hralign="center" o:hrstd="t" o:hr="t" fillcolor="#a0a0a0" stroked="f"/>
        </w:pict>
      </w:r>
    </w:p>
    <w:p w14:paraId="13DCA037" w14:textId="77777777" w:rsidR="00000000" w:rsidRDefault="00405D16">
      <w:pPr>
        <w:ind w:hanging="360"/>
        <w:jc w:val="both"/>
        <w:divId w:val="385497468"/>
        <w:rPr>
          <w:rFonts w:eastAsia="Times New Roman"/>
        </w:rPr>
      </w:pPr>
      <w:hyperlink w:anchor="idd54a04a485440b4ab4e56094c14d612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1C3021BF" w14:textId="77777777">
        <w:trPr>
          <w:divId w:val="1393429467"/>
        </w:trPr>
        <w:tc>
          <w:tcPr>
            <w:tcW w:w="50" w:type="pct"/>
            <w:vAlign w:val="center"/>
            <w:hideMark/>
          </w:tcPr>
          <w:p w14:paraId="11FB082B" w14:textId="77777777" w:rsidR="00000000" w:rsidRDefault="00405D16">
            <w:pPr>
              <w:ind w:hanging="360"/>
              <w:jc w:val="both"/>
              <w:rPr>
                <w:rFonts w:eastAsia="Times New Roman"/>
              </w:rPr>
            </w:pPr>
          </w:p>
        </w:tc>
        <w:tc>
          <w:tcPr>
            <w:tcW w:w="4945" w:type="pct"/>
            <w:vAlign w:val="center"/>
            <w:hideMark/>
          </w:tcPr>
          <w:p w14:paraId="66751736" w14:textId="77777777" w:rsidR="00000000" w:rsidRDefault="00405D16">
            <w:pPr>
              <w:spacing w:after="100"/>
              <w:rPr>
                <w:rFonts w:eastAsia="Times New Roman"/>
                <w:sz w:val="20"/>
                <w:szCs w:val="20"/>
              </w:rPr>
            </w:pPr>
          </w:p>
        </w:tc>
        <w:tc>
          <w:tcPr>
            <w:tcW w:w="5" w:type="pct"/>
            <w:vAlign w:val="center"/>
            <w:hideMark/>
          </w:tcPr>
          <w:p w14:paraId="3508584C" w14:textId="77777777" w:rsidR="00000000" w:rsidRDefault="00405D16">
            <w:pPr>
              <w:spacing w:after="100"/>
              <w:rPr>
                <w:rFonts w:eastAsia="Times New Roman"/>
                <w:sz w:val="20"/>
                <w:szCs w:val="20"/>
              </w:rPr>
            </w:pPr>
          </w:p>
        </w:tc>
      </w:tr>
      <w:tr w:rsidR="00000000" w14:paraId="649AA1EC" w14:textId="77777777">
        <w:trPr>
          <w:divId w:val="1393429467"/>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7D8B5075" w14:textId="77777777" w:rsidR="00000000" w:rsidRDefault="00405D16">
            <w:pPr>
              <w:spacing w:after="100"/>
              <w:rPr>
                <w:rFonts w:eastAsia="Times New Roman"/>
              </w:rPr>
            </w:pPr>
            <w:r>
              <w:rPr>
                <w:rFonts w:eastAsia="Times New Roman"/>
                <w:b/>
                <w:bCs/>
                <w:color w:val="000000"/>
                <w:sz w:val="20"/>
                <w:szCs w:val="20"/>
              </w:rPr>
              <w:t>EXECUTIVE SUMMARY AND BUSINESS OUTLOOK</w:t>
            </w:r>
          </w:p>
        </w:tc>
      </w:tr>
    </w:tbl>
    <w:p w14:paraId="1B42B9AC" w14:textId="77777777" w:rsidR="00000000" w:rsidRDefault="00405D16">
      <w:pPr>
        <w:divId w:val="1284847388"/>
        <w:rPr>
          <w:rFonts w:eastAsia="Times New Roman"/>
        </w:rPr>
      </w:pPr>
      <w:r>
        <w:rPr>
          <w:rFonts w:eastAsia="Times New Roman"/>
          <w:b/>
          <w:bCs/>
          <w:color w:val="000000"/>
          <w:sz w:val="20"/>
          <w:szCs w:val="20"/>
        </w:rPr>
        <w:t>Financial Highlights</w:t>
      </w:r>
    </w:p>
    <w:p w14:paraId="69D9B447" w14:textId="77777777" w:rsidR="00000000" w:rsidRDefault="00405D16">
      <w:pPr>
        <w:jc w:val="both"/>
        <w:divId w:val="949244329"/>
        <w:rPr>
          <w:rFonts w:eastAsia="Times New Roman"/>
        </w:rPr>
      </w:pPr>
      <w:r>
        <w:rPr>
          <w:rFonts w:eastAsia="Times New Roman"/>
          <w:color w:val="000000"/>
          <w:sz w:val="20"/>
          <w:szCs w:val="20"/>
        </w:rPr>
        <w:t xml:space="preserve">We reported net income of $3.1 billion ($6.78 per diluted common share) on total revenue of $7.8 billion and net income of $10.0 billion ($21.44 per diluted common share) on total net revenue of $22.3 billion for the third quarter and first nine months of </w:t>
      </w:r>
      <w:r>
        <w:rPr>
          <w:rFonts w:eastAsia="Times New Roman"/>
          <w:color w:val="000000"/>
          <w:sz w:val="20"/>
          <w:szCs w:val="20"/>
        </w:rPr>
        <w:t>2021. In comparison, we reported net income of $2.4 billion ($5.06 per diluted common share) on total net revenue of $7.4 billion and net income of $148 million (which after considering preferred stock dividends and other items equated to a net loss of $0.</w:t>
      </w:r>
      <w:r>
        <w:rPr>
          <w:rFonts w:eastAsia="Times New Roman"/>
          <w:color w:val="000000"/>
          <w:sz w:val="20"/>
          <w:szCs w:val="20"/>
        </w:rPr>
        <w:t>20 per diluted common share) on total net revenue of $21.2 billion for the third quarter and first nine months of 2020.</w:t>
      </w:r>
    </w:p>
    <w:p w14:paraId="5FE5FBDB" w14:textId="77777777" w:rsidR="00000000" w:rsidRDefault="00405D16">
      <w:pPr>
        <w:jc w:val="both"/>
        <w:divId w:val="1631672582"/>
        <w:rPr>
          <w:rFonts w:eastAsia="Times New Roman"/>
        </w:rPr>
      </w:pPr>
      <w:r>
        <w:rPr>
          <w:rFonts w:eastAsia="Times New Roman"/>
          <w:color w:val="000000"/>
          <w:sz w:val="20"/>
          <w:szCs w:val="20"/>
        </w:rPr>
        <w:t>Our common equity Tier 1 capital ratio as calculated under the Basel III Standardized Approach was 13.8% and 13.7% as of September 30, 2</w:t>
      </w:r>
      <w:r>
        <w:rPr>
          <w:rFonts w:eastAsia="Times New Roman"/>
          <w:color w:val="000000"/>
          <w:sz w:val="20"/>
          <w:szCs w:val="20"/>
        </w:rPr>
        <w:t>021 and December 31, 2020, respectively. See “MD&amp;A—Capital Management” for additional information.</w:t>
      </w:r>
    </w:p>
    <w:p w14:paraId="14FBE843" w14:textId="77777777" w:rsidR="00000000" w:rsidRDefault="00405D16">
      <w:pPr>
        <w:jc w:val="both"/>
        <w:divId w:val="1383821130"/>
        <w:rPr>
          <w:rFonts w:eastAsia="Times New Roman"/>
        </w:rPr>
      </w:pPr>
      <w:r>
        <w:rPr>
          <w:rFonts w:eastAsia="Times New Roman"/>
          <w:color w:val="000000"/>
          <w:sz w:val="20"/>
          <w:szCs w:val="20"/>
        </w:rPr>
        <w:t xml:space="preserve">On January 25, 2021, our Board of Directors authorized the repurchase of up to $7.5 billion of shares of our common stock. We repurchased approximately $2.7 </w:t>
      </w:r>
      <w:r>
        <w:rPr>
          <w:rFonts w:eastAsia="Times New Roman"/>
          <w:color w:val="000000"/>
          <w:sz w:val="20"/>
          <w:szCs w:val="20"/>
        </w:rPr>
        <w:t>billion of shares of our common stock during the third quarter of 2021 and $4.9 billion during the first nine months of 2021. See “MD&amp;A—Capital Management—Dividend Policy and Stock Purchases” for additional information.</w:t>
      </w:r>
    </w:p>
    <w:p w14:paraId="1F0A14CE" w14:textId="77777777" w:rsidR="00000000" w:rsidRDefault="00405D16">
      <w:pPr>
        <w:jc w:val="both"/>
        <w:divId w:val="52968195"/>
        <w:rPr>
          <w:rFonts w:eastAsia="Times New Roman"/>
        </w:rPr>
      </w:pPr>
      <w:r>
        <w:rPr>
          <w:rFonts w:eastAsia="Times New Roman"/>
          <w:color w:val="000000"/>
          <w:sz w:val="20"/>
          <w:szCs w:val="20"/>
        </w:rPr>
        <w:t>Below are additional highlights of o</w:t>
      </w:r>
      <w:r>
        <w:rPr>
          <w:rFonts w:eastAsia="Times New Roman"/>
          <w:color w:val="000000"/>
          <w:sz w:val="20"/>
          <w:szCs w:val="20"/>
        </w:rPr>
        <w:t>ur performance in the third quarter and first nine months of 2021. These highlights are based on a comparison between the results of the third quarter and first nine months of 2021 and 2020, except as otherwise noted. The changes in our financial condition</w:t>
      </w:r>
      <w:r>
        <w:rPr>
          <w:rFonts w:eastAsia="Times New Roman"/>
          <w:color w:val="000000"/>
          <w:sz w:val="20"/>
          <w:szCs w:val="20"/>
        </w:rPr>
        <w:t xml:space="preserve"> and credit performance are generally based on our financial condition and credit performance as of September 30, 2021 compared to December 31, 2020. We provide a more detailed discussion of our financial performance in the sections following this “Executi</w:t>
      </w:r>
      <w:r>
        <w:rPr>
          <w:rFonts w:eastAsia="Times New Roman"/>
          <w:color w:val="000000"/>
          <w:sz w:val="20"/>
          <w:szCs w:val="20"/>
        </w:rPr>
        <w:t>ve Summary and Business Outlook.”</w:t>
      </w:r>
    </w:p>
    <w:p w14:paraId="60CCDABB" w14:textId="77777777" w:rsidR="00000000" w:rsidRDefault="00405D16">
      <w:pPr>
        <w:divId w:val="2000687750"/>
        <w:rPr>
          <w:rFonts w:eastAsia="Times New Roman"/>
        </w:rPr>
      </w:pPr>
      <w:r>
        <w:rPr>
          <w:rFonts w:eastAsia="Times New Roman"/>
          <w:b/>
          <w:bCs/>
          <w:i/>
          <w:iCs/>
          <w:color w:val="000000"/>
          <w:sz w:val="20"/>
          <w:szCs w:val="20"/>
        </w:rPr>
        <w:t>Total Company Performance</w:t>
      </w:r>
    </w:p>
    <w:p w14:paraId="2DF0251B" w14:textId="77777777" w:rsidR="00000000" w:rsidRDefault="00405D16">
      <w:pPr>
        <w:ind w:hanging="360"/>
        <w:jc w:val="both"/>
        <w:divId w:val="938946351"/>
        <w:rPr>
          <w:rFonts w:eastAsia="Times New Roman"/>
        </w:rPr>
      </w:pPr>
      <w:r>
        <w:rPr>
          <w:rFonts w:eastAsia="Times New Roman"/>
          <w:i/>
          <w:iCs/>
          <w:color w:val="000000"/>
          <w:sz w:val="20"/>
          <w:szCs w:val="20"/>
        </w:rPr>
        <w:t xml:space="preserve">•Earnings: </w:t>
      </w:r>
    </w:p>
    <w:p w14:paraId="70CC493C" w14:textId="77777777" w:rsidR="00000000" w:rsidRDefault="00405D16">
      <w:pPr>
        <w:ind w:firstLine="720"/>
        <w:jc w:val="both"/>
        <w:divId w:val="829562435"/>
        <w:rPr>
          <w:rFonts w:eastAsia="Times New Roman"/>
        </w:rPr>
      </w:pPr>
      <w:r>
        <w:rPr>
          <w:rFonts w:eastAsia="Times New Roman"/>
          <w:color w:val="000000"/>
          <w:sz w:val="20"/>
          <w:szCs w:val="20"/>
        </w:rPr>
        <w:t xml:space="preserve">Our net income increased by $698 million to $3.1 billion in the third quarter of 2021 primarily driven by: </w:t>
      </w:r>
    </w:p>
    <w:p w14:paraId="68226720" w14:textId="77777777" w:rsidR="00000000" w:rsidRDefault="00405D16">
      <w:pPr>
        <w:spacing w:before="180" w:after="60"/>
        <w:ind w:hanging="360"/>
        <w:divId w:val="316030546"/>
        <w:rPr>
          <w:rFonts w:eastAsia="Times New Roman"/>
        </w:rPr>
      </w:pPr>
      <w:r>
        <w:rPr>
          <w:rFonts w:eastAsia="Times New Roman"/>
          <w:b/>
          <w:bCs/>
          <w:color w:val="000000"/>
          <w:sz w:val="18"/>
          <w:szCs w:val="18"/>
        </w:rPr>
        <w:t>◦</w:t>
      </w:r>
      <w:r>
        <w:rPr>
          <w:rFonts w:eastAsia="Times New Roman"/>
          <w:color w:val="000000"/>
          <w:sz w:val="20"/>
          <w:szCs w:val="20"/>
        </w:rPr>
        <w:t>lower provision resulting from an allowance release primarily due to strong</w:t>
      </w:r>
      <w:r>
        <w:rPr>
          <w:rFonts w:eastAsia="Times New Roman"/>
          <w:color w:val="000000"/>
          <w:sz w:val="20"/>
          <w:szCs w:val="20"/>
        </w:rPr>
        <w:t xml:space="preserve"> credit performance; and</w:t>
      </w:r>
    </w:p>
    <w:p w14:paraId="0ADB18DC" w14:textId="77777777" w:rsidR="00000000" w:rsidRDefault="00405D16">
      <w:pPr>
        <w:spacing w:before="180" w:after="180"/>
        <w:ind w:hanging="360"/>
        <w:jc w:val="both"/>
        <w:divId w:val="1809861777"/>
        <w:rPr>
          <w:rFonts w:eastAsia="Times New Roman"/>
        </w:rPr>
      </w:pPr>
      <w:r>
        <w:rPr>
          <w:rFonts w:eastAsia="Times New Roman"/>
          <w:b/>
          <w:bCs/>
          <w:color w:val="000000"/>
          <w:sz w:val="19"/>
          <w:szCs w:val="19"/>
        </w:rPr>
        <w:t>◦</w:t>
      </w:r>
      <w:r>
        <w:rPr>
          <w:rFonts w:eastAsia="Times New Roman"/>
          <w:color w:val="000000"/>
          <w:sz w:val="20"/>
          <w:szCs w:val="20"/>
        </w:rPr>
        <w:t>higher net interest income primarily driven by</w:t>
      </w:r>
      <w:r>
        <w:rPr>
          <w:rFonts w:eastAsia="Times New Roman"/>
          <w:color w:val="000000"/>
          <w:sz w:val="19"/>
          <w:szCs w:val="19"/>
        </w:rPr>
        <w:t xml:space="preserve"> </w:t>
      </w:r>
      <w:r>
        <w:rPr>
          <w:rFonts w:eastAsia="Times New Roman"/>
          <w:color w:val="000000"/>
          <w:sz w:val="20"/>
          <w:szCs w:val="20"/>
        </w:rPr>
        <w:t>higher margins and average loans outstanding in our credit card loan portfolio and higher average loans outstanding in our auto loan portfolio</w:t>
      </w:r>
      <w:r>
        <w:rPr>
          <w:rFonts w:eastAsia="Times New Roman"/>
          <w:color w:val="000000"/>
          <w:sz w:val="19"/>
          <w:szCs w:val="19"/>
        </w:rPr>
        <w:t>.</w:t>
      </w:r>
    </w:p>
    <w:p w14:paraId="1255686C" w14:textId="77777777" w:rsidR="00000000" w:rsidRDefault="00405D16">
      <w:pPr>
        <w:jc w:val="both"/>
        <w:divId w:val="110175340"/>
        <w:rPr>
          <w:rFonts w:eastAsia="Times New Roman"/>
        </w:rPr>
      </w:pPr>
      <w:r>
        <w:rPr>
          <w:rFonts w:eastAsia="Times New Roman"/>
          <w:color w:val="000000"/>
          <w:sz w:val="20"/>
          <w:szCs w:val="20"/>
        </w:rPr>
        <w:t xml:space="preserve">These drivers were partially offset by </w:t>
      </w:r>
      <w:r>
        <w:rPr>
          <w:rFonts w:eastAsia="Times New Roman"/>
          <w:color w:val="000000"/>
          <w:sz w:val="20"/>
          <w:szCs w:val="20"/>
        </w:rPr>
        <w:t>higher non-interest expense, primarily driven by increased marketing spend.</w:t>
      </w:r>
    </w:p>
    <w:p w14:paraId="7193A90F" w14:textId="77777777" w:rsidR="00000000" w:rsidRDefault="00405D16">
      <w:pPr>
        <w:jc w:val="both"/>
        <w:divId w:val="1554072474"/>
        <w:rPr>
          <w:rFonts w:eastAsia="Times New Roman"/>
        </w:rPr>
      </w:pPr>
      <w:r>
        <w:rPr>
          <w:rFonts w:eastAsia="Times New Roman"/>
          <w:color w:val="000000"/>
          <w:sz w:val="20"/>
          <w:szCs w:val="20"/>
        </w:rPr>
        <w:t>Our net income increased by $9.8 billion to $10.0 billion in the first nine months of 2021 primarily driven by:</w:t>
      </w:r>
    </w:p>
    <w:p w14:paraId="48C99CA2" w14:textId="77777777" w:rsidR="00000000" w:rsidRDefault="00405D16">
      <w:pPr>
        <w:spacing w:before="180" w:after="180"/>
        <w:ind w:hanging="360"/>
        <w:jc w:val="both"/>
        <w:divId w:val="50618734"/>
        <w:rPr>
          <w:rFonts w:eastAsia="Times New Roman"/>
        </w:rPr>
      </w:pPr>
      <w:r>
        <w:rPr>
          <w:rFonts w:eastAsia="Times New Roman"/>
          <w:color w:val="000000"/>
          <w:sz w:val="20"/>
          <w:szCs w:val="20"/>
        </w:rPr>
        <w:t>◦</w:t>
      </w:r>
      <w:r>
        <w:rPr>
          <w:rFonts w:eastAsia="Times New Roman"/>
          <w:color w:val="000000"/>
          <w:sz w:val="20"/>
          <w:szCs w:val="20"/>
        </w:rPr>
        <w:t>lower provision resulting from allowance releases in 2021 due to continued strong credit performance and an improved economic outlook, compared</w:t>
      </w:r>
      <w:r>
        <w:rPr>
          <w:rFonts w:eastAsia="Times New Roman"/>
          <w:color w:val="000000"/>
          <w:sz w:val="20"/>
          <w:szCs w:val="20"/>
        </w:rPr>
        <w:t xml:space="preserve"> to allowance builds in 2020 driven by expectations of economic worsening at the start of the COVID-19 pandemic; </w:t>
      </w:r>
    </w:p>
    <w:p w14:paraId="798ADA2D" w14:textId="77777777" w:rsidR="00000000" w:rsidRDefault="00405D16">
      <w:pPr>
        <w:spacing w:before="180" w:after="180"/>
        <w:ind w:hanging="360"/>
        <w:jc w:val="both"/>
        <w:divId w:val="1448550618"/>
        <w:rPr>
          <w:rFonts w:eastAsia="Times New Roman"/>
        </w:rPr>
      </w:pPr>
      <w:r>
        <w:rPr>
          <w:rFonts w:eastAsia="Times New Roman"/>
          <w:b/>
          <w:bCs/>
          <w:color w:val="000000"/>
          <w:sz w:val="19"/>
          <w:szCs w:val="19"/>
        </w:rPr>
        <w:t>◦</w:t>
      </w:r>
      <w:r>
        <w:rPr>
          <w:rFonts w:eastAsia="Times New Roman"/>
          <w:color w:val="000000"/>
          <w:sz w:val="20"/>
          <w:szCs w:val="20"/>
        </w:rPr>
        <w:t>higher net interest income driven by lower interest rates paid on interest-bearing deposits and higher average outstanding balances in our au</w:t>
      </w:r>
      <w:r>
        <w:rPr>
          <w:rFonts w:eastAsia="Times New Roman"/>
          <w:color w:val="000000"/>
          <w:sz w:val="20"/>
          <w:szCs w:val="20"/>
        </w:rPr>
        <w:t>to loan portfolio; and</w:t>
      </w:r>
    </w:p>
    <w:p w14:paraId="5EE0DCB1" w14:textId="77777777" w:rsidR="00000000" w:rsidRDefault="00405D16">
      <w:pPr>
        <w:spacing w:before="180" w:after="180"/>
        <w:ind w:hanging="360"/>
        <w:jc w:val="both"/>
        <w:divId w:val="1368750275"/>
        <w:rPr>
          <w:rFonts w:eastAsia="Times New Roman"/>
        </w:rPr>
      </w:pPr>
      <w:r>
        <w:rPr>
          <w:rFonts w:eastAsia="Times New Roman"/>
          <w:color w:val="000000"/>
          <w:sz w:val="20"/>
          <w:szCs w:val="20"/>
        </w:rPr>
        <w:t>◦</w:t>
      </w:r>
      <w:r>
        <w:rPr>
          <w:rFonts w:eastAsia="Times New Roman"/>
          <w:color w:val="000000"/>
          <w:sz w:val="20"/>
          <w:szCs w:val="20"/>
        </w:rPr>
        <w:t>higher non-interest income primarily driven by higher net interchange fees due to an increase in purchase volume, partially offset by the absence of a gain on our equity investment in Snowflake Inc.</w:t>
      </w:r>
    </w:p>
    <w:p w14:paraId="737F6550" w14:textId="77777777" w:rsidR="00000000" w:rsidRDefault="00405D16">
      <w:pPr>
        <w:jc w:val="both"/>
        <w:divId w:val="1788894382"/>
        <w:rPr>
          <w:rFonts w:eastAsia="Times New Roman"/>
        </w:rPr>
      </w:pPr>
      <w:r>
        <w:rPr>
          <w:rFonts w:eastAsia="Times New Roman"/>
          <w:color w:val="000000"/>
          <w:sz w:val="20"/>
          <w:szCs w:val="20"/>
        </w:rPr>
        <w:t>These drivers were partially offs</w:t>
      </w:r>
      <w:r>
        <w:rPr>
          <w:rFonts w:eastAsia="Times New Roman"/>
          <w:color w:val="000000"/>
          <w:sz w:val="20"/>
          <w:szCs w:val="20"/>
        </w:rPr>
        <w:t>et by higher non-interest expense, primarily driven by increased marketing spend.</w:t>
      </w:r>
    </w:p>
    <w:p w14:paraId="795EA74B" w14:textId="77777777" w:rsidR="00000000" w:rsidRDefault="00405D16">
      <w:pPr>
        <w:ind w:hanging="360"/>
        <w:jc w:val="both"/>
        <w:divId w:val="815953708"/>
        <w:rPr>
          <w:rFonts w:eastAsia="Times New Roman"/>
        </w:rPr>
      </w:pPr>
      <w:r>
        <w:rPr>
          <w:rFonts w:eastAsia="Times New Roman"/>
          <w:i/>
          <w:iCs/>
          <w:color w:val="000000"/>
          <w:sz w:val="20"/>
          <w:szCs w:val="20"/>
        </w:rPr>
        <w:t>•Loans Held for Investment</w:t>
      </w:r>
      <w:r>
        <w:rPr>
          <w:rFonts w:eastAsia="Times New Roman"/>
          <w:color w:val="000000"/>
          <w:sz w:val="20"/>
          <w:szCs w:val="20"/>
        </w:rPr>
        <w:t>:</w:t>
      </w:r>
    </w:p>
    <w:p w14:paraId="3F44E48D" w14:textId="77777777" w:rsidR="00000000" w:rsidRDefault="00405D16">
      <w:pPr>
        <w:spacing w:before="180" w:after="60"/>
        <w:ind w:hanging="360"/>
        <w:divId w:val="204367541"/>
        <w:rPr>
          <w:rFonts w:eastAsia="Times New Roman"/>
        </w:rPr>
      </w:pPr>
      <w:r>
        <w:rPr>
          <w:rFonts w:eastAsia="Times New Roman"/>
          <w:b/>
          <w:bCs/>
          <w:color w:val="000000"/>
          <w:sz w:val="18"/>
          <w:szCs w:val="18"/>
          <w:shd w:val="clear" w:color="auto" w:fill="FFFFFF"/>
        </w:rPr>
        <w:t>◦</w:t>
      </w:r>
      <w:r>
        <w:rPr>
          <w:rFonts w:eastAsia="Times New Roman"/>
          <w:color w:val="000000"/>
          <w:sz w:val="20"/>
          <w:szCs w:val="20"/>
        </w:rPr>
        <w:t>Period-end loans held for investment increased by $9.8 billion to $261.4 billion as of September 30, 2021 from December 31, 2020 primarily driven</w:t>
      </w:r>
      <w:r>
        <w:rPr>
          <w:rFonts w:eastAsia="Times New Roman"/>
          <w:color w:val="000000"/>
          <w:sz w:val="20"/>
          <w:szCs w:val="20"/>
        </w:rPr>
        <w:t xml:space="preserve"> by growth in our auto and commercial loan portfolios, partially offset by the transfer of a $2.6 billion international card partnership portfolio to held for sale in the second quarter of 2021. </w:t>
      </w:r>
    </w:p>
    <w:p w14:paraId="5100DC40" w14:textId="77777777" w:rsidR="00000000" w:rsidRDefault="00405D16">
      <w:pPr>
        <w:spacing w:before="180" w:after="180"/>
        <w:ind w:hanging="360"/>
        <w:jc w:val="both"/>
        <w:divId w:val="1214731440"/>
        <w:rPr>
          <w:rFonts w:eastAsia="Times New Roman"/>
        </w:rPr>
      </w:pPr>
      <w:r>
        <w:rPr>
          <w:rFonts w:eastAsia="Times New Roman"/>
          <w:i/>
          <w:iCs/>
          <w:color w:val="000000"/>
          <w:sz w:val="20"/>
          <w:szCs w:val="20"/>
        </w:rPr>
        <w:t>◦</w:t>
      </w:r>
      <w:r>
        <w:rPr>
          <w:rFonts w:eastAsia="Times New Roman"/>
          <w:color w:val="000000"/>
          <w:sz w:val="20"/>
          <w:szCs w:val="20"/>
        </w:rPr>
        <w:t>Average loans held for investment increased by $3.6 billion</w:t>
      </w:r>
      <w:r>
        <w:rPr>
          <w:rFonts w:eastAsia="Times New Roman"/>
          <w:color w:val="000000"/>
          <w:sz w:val="20"/>
          <w:szCs w:val="20"/>
        </w:rPr>
        <w:t xml:space="preserve"> to $253.1 billion in the third quarter of 2021 compared to the third quarter of 2020 primarily driven by growth in our auto loan portfolio, partially offset by the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2F54795A" w14:textId="77777777">
        <w:trPr>
          <w:divId w:val="1499418584"/>
          <w:jc w:val="center"/>
        </w:trPr>
        <w:tc>
          <w:tcPr>
            <w:tcW w:w="50" w:type="pct"/>
            <w:vAlign w:val="center"/>
            <w:hideMark/>
          </w:tcPr>
          <w:p w14:paraId="290E53BA" w14:textId="77777777" w:rsidR="00000000" w:rsidRDefault="00405D16">
            <w:pPr>
              <w:ind w:hanging="360"/>
              <w:jc w:val="both"/>
              <w:rPr>
                <w:rFonts w:eastAsia="Times New Roman"/>
              </w:rPr>
            </w:pPr>
          </w:p>
        </w:tc>
        <w:tc>
          <w:tcPr>
            <w:tcW w:w="1606" w:type="pct"/>
            <w:vAlign w:val="center"/>
            <w:hideMark/>
          </w:tcPr>
          <w:p w14:paraId="25AEBD32" w14:textId="77777777" w:rsidR="00000000" w:rsidRDefault="00405D16">
            <w:pPr>
              <w:spacing w:after="100"/>
              <w:rPr>
                <w:rFonts w:eastAsia="Times New Roman"/>
                <w:sz w:val="20"/>
                <w:szCs w:val="20"/>
              </w:rPr>
            </w:pPr>
          </w:p>
        </w:tc>
        <w:tc>
          <w:tcPr>
            <w:tcW w:w="5" w:type="pct"/>
            <w:vAlign w:val="center"/>
            <w:hideMark/>
          </w:tcPr>
          <w:p w14:paraId="3B9CEA9A" w14:textId="77777777" w:rsidR="00000000" w:rsidRDefault="00405D16">
            <w:pPr>
              <w:spacing w:after="100"/>
              <w:rPr>
                <w:rFonts w:eastAsia="Times New Roman"/>
                <w:sz w:val="20"/>
                <w:szCs w:val="20"/>
              </w:rPr>
            </w:pPr>
          </w:p>
        </w:tc>
        <w:tc>
          <w:tcPr>
            <w:tcW w:w="50" w:type="pct"/>
            <w:vAlign w:val="center"/>
            <w:hideMark/>
          </w:tcPr>
          <w:p w14:paraId="0DE0DBB5" w14:textId="77777777" w:rsidR="00000000" w:rsidRDefault="00405D16">
            <w:pPr>
              <w:spacing w:after="100"/>
              <w:rPr>
                <w:rFonts w:eastAsia="Times New Roman"/>
                <w:sz w:val="20"/>
                <w:szCs w:val="20"/>
              </w:rPr>
            </w:pPr>
          </w:p>
        </w:tc>
        <w:tc>
          <w:tcPr>
            <w:tcW w:w="1614" w:type="pct"/>
            <w:vAlign w:val="center"/>
            <w:hideMark/>
          </w:tcPr>
          <w:p w14:paraId="0659665B" w14:textId="77777777" w:rsidR="00000000" w:rsidRDefault="00405D16">
            <w:pPr>
              <w:spacing w:after="100"/>
              <w:rPr>
                <w:rFonts w:eastAsia="Times New Roman"/>
                <w:sz w:val="20"/>
                <w:szCs w:val="20"/>
              </w:rPr>
            </w:pPr>
          </w:p>
        </w:tc>
        <w:tc>
          <w:tcPr>
            <w:tcW w:w="5" w:type="pct"/>
            <w:vAlign w:val="center"/>
            <w:hideMark/>
          </w:tcPr>
          <w:p w14:paraId="2EB85BFE" w14:textId="77777777" w:rsidR="00000000" w:rsidRDefault="00405D16">
            <w:pPr>
              <w:spacing w:after="100"/>
              <w:rPr>
                <w:rFonts w:eastAsia="Times New Roman"/>
                <w:sz w:val="20"/>
                <w:szCs w:val="20"/>
              </w:rPr>
            </w:pPr>
          </w:p>
        </w:tc>
        <w:tc>
          <w:tcPr>
            <w:tcW w:w="50" w:type="pct"/>
            <w:vAlign w:val="center"/>
            <w:hideMark/>
          </w:tcPr>
          <w:p w14:paraId="71ADFC2F" w14:textId="77777777" w:rsidR="00000000" w:rsidRDefault="00405D16">
            <w:pPr>
              <w:spacing w:after="100"/>
              <w:rPr>
                <w:rFonts w:eastAsia="Times New Roman"/>
                <w:sz w:val="20"/>
                <w:szCs w:val="20"/>
              </w:rPr>
            </w:pPr>
          </w:p>
        </w:tc>
        <w:tc>
          <w:tcPr>
            <w:tcW w:w="1614" w:type="pct"/>
            <w:vAlign w:val="center"/>
            <w:hideMark/>
          </w:tcPr>
          <w:p w14:paraId="3AB079E8" w14:textId="77777777" w:rsidR="00000000" w:rsidRDefault="00405D16">
            <w:pPr>
              <w:spacing w:after="100"/>
              <w:rPr>
                <w:rFonts w:eastAsia="Times New Roman"/>
                <w:sz w:val="20"/>
                <w:szCs w:val="20"/>
              </w:rPr>
            </w:pPr>
          </w:p>
        </w:tc>
        <w:tc>
          <w:tcPr>
            <w:tcW w:w="5" w:type="pct"/>
            <w:vAlign w:val="center"/>
            <w:hideMark/>
          </w:tcPr>
          <w:p w14:paraId="1F41833D" w14:textId="77777777" w:rsidR="00000000" w:rsidRDefault="00405D16">
            <w:pPr>
              <w:spacing w:after="100"/>
              <w:rPr>
                <w:rFonts w:eastAsia="Times New Roman"/>
                <w:sz w:val="20"/>
                <w:szCs w:val="20"/>
              </w:rPr>
            </w:pPr>
          </w:p>
        </w:tc>
      </w:tr>
      <w:tr w:rsidR="00000000" w14:paraId="28BFE839" w14:textId="77777777">
        <w:trPr>
          <w:divId w:val="1499418584"/>
          <w:trHeight w:val="300"/>
          <w:jc w:val="center"/>
        </w:trPr>
        <w:tc>
          <w:tcPr>
            <w:tcW w:w="0" w:type="auto"/>
            <w:gridSpan w:val="9"/>
            <w:tcMar>
              <w:top w:w="0" w:type="dxa"/>
              <w:left w:w="20" w:type="dxa"/>
              <w:bottom w:w="0" w:type="dxa"/>
              <w:right w:w="20" w:type="dxa"/>
            </w:tcMar>
            <w:vAlign w:val="center"/>
            <w:hideMark/>
          </w:tcPr>
          <w:p w14:paraId="56C04264" w14:textId="77777777" w:rsidR="00000000" w:rsidRDefault="00405D16">
            <w:pPr>
              <w:spacing w:after="100"/>
              <w:rPr>
                <w:rFonts w:eastAsia="Times New Roman"/>
                <w:sz w:val="20"/>
                <w:szCs w:val="20"/>
              </w:rPr>
            </w:pPr>
          </w:p>
        </w:tc>
      </w:tr>
      <w:tr w:rsidR="00000000" w14:paraId="043C9C41" w14:textId="77777777">
        <w:trPr>
          <w:divId w:val="1499418584"/>
          <w:jc w:val="center"/>
        </w:trPr>
        <w:tc>
          <w:tcPr>
            <w:tcW w:w="0" w:type="auto"/>
            <w:gridSpan w:val="3"/>
            <w:tcMar>
              <w:top w:w="0" w:type="dxa"/>
              <w:left w:w="20" w:type="dxa"/>
              <w:bottom w:w="0" w:type="dxa"/>
              <w:right w:w="20" w:type="dxa"/>
            </w:tcMar>
            <w:vAlign w:val="center"/>
            <w:hideMark/>
          </w:tcPr>
          <w:p w14:paraId="653C89C7"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E7E8489" w14:textId="77777777" w:rsidR="00000000" w:rsidRDefault="00405D16">
            <w:pPr>
              <w:spacing w:after="100"/>
              <w:jc w:val="center"/>
              <w:rPr>
                <w:rFonts w:eastAsia="Times New Roman"/>
              </w:rPr>
            </w:pPr>
            <w:r>
              <w:rPr>
                <w:rFonts w:eastAsia="Times New Roman"/>
                <w:color w:val="000000"/>
                <w:sz w:val="16"/>
                <w:szCs w:val="16"/>
              </w:rPr>
              <w:t>9</w:t>
            </w:r>
          </w:p>
        </w:tc>
        <w:tc>
          <w:tcPr>
            <w:tcW w:w="0" w:type="auto"/>
            <w:gridSpan w:val="3"/>
            <w:tcMar>
              <w:top w:w="30" w:type="dxa"/>
              <w:left w:w="20" w:type="dxa"/>
              <w:bottom w:w="30" w:type="dxa"/>
              <w:right w:w="20" w:type="dxa"/>
            </w:tcMar>
            <w:vAlign w:val="bottom"/>
            <w:hideMark/>
          </w:tcPr>
          <w:p w14:paraId="36AF7587"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244325C8" w14:textId="77777777" w:rsidR="00000000" w:rsidRDefault="00405D16">
      <w:pPr>
        <w:rPr>
          <w:rFonts w:eastAsia="Times New Roman"/>
        </w:rPr>
      </w:pPr>
      <w:r>
        <w:rPr>
          <w:rFonts w:eastAsia="Times New Roman"/>
        </w:rPr>
        <w:pict w14:anchorId="258443BE">
          <v:rect id="_x0000_i1034" style="width:0;height:1.5pt" o:hralign="center" o:hrstd="t" o:hr="t" fillcolor="#a0a0a0" stroked="f"/>
        </w:pict>
      </w:r>
    </w:p>
    <w:p w14:paraId="3F0D3E07" w14:textId="77777777" w:rsidR="00000000" w:rsidRDefault="00405D16">
      <w:pPr>
        <w:ind w:hanging="360"/>
        <w:jc w:val="both"/>
        <w:divId w:val="2005430741"/>
        <w:rPr>
          <w:rFonts w:eastAsia="Times New Roman"/>
        </w:rPr>
      </w:pPr>
      <w:hyperlink w:anchor="idd54a04a485440b4ab4e56094c14d612_13" w:history="1">
        <w:r>
          <w:rPr>
            <w:rStyle w:val="a3"/>
            <w:rFonts w:eastAsia="Times New Roman"/>
            <w:sz w:val="16"/>
            <w:szCs w:val="16"/>
          </w:rPr>
          <w:t>Table of Contents</w:t>
        </w:r>
      </w:hyperlink>
    </w:p>
    <w:p w14:paraId="7A115A3F" w14:textId="77777777" w:rsidR="00000000" w:rsidRDefault="00405D16">
      <w:pPr>
        <w:jc w:val="both"/>
        <w:divId w:val="129517121"/>
        <w:rPr>
          <w:rFonts w:eastAsia="Times New Roman"/>
        </w:rPr>
      </w:pPr>
      <w:r>
        <w:rPr>
          <w:rFonts w:eastAsia="Times New Roman"/>
          <w:color w:val="000000"/>
          <w:sz w:val="20"/>
          <w:szCs w:val="20"/>
        </w:rPr>
        <w:t>transfer of a $2.6 billion international card partnership portfolio to held for sale in the second quarter of 2021. Average loans held for inve</w:t>
      </w:r>
      <w:r>
        <w:rPr>
          <w:rFonts w:eastAsia="Times New Roman"/>
          <w:color w:val="000000"/>
          <w:sz w:val="20"/>
          <w:szCs w:val="20"/>
        </w:rPr>
        <w:t>stment decreased by $7.4 billion to $247.9 billion in the first nine months of 2021 compared to the first nine months of 2020 primarily driven by lower outstanding balances in Credit Card due to higher customer payments, partially offset by higher purchase</w:t>
      </w:r>
      <w:r>
        <w:rPr>
          <w:rFonts w:eastAsia="Times New Roman"/>
          <w:color w:val="000000"/>
          <w:sz w:val="20"/>
          <w:szCs w:val="20"/>
        </w:rPr>
        <w:t xml:space="preserve"> volume as well as growth in our auto loan portfolio. </w:t>
      </w:r>
    </w:p>
    <w:p w14:paraId="06C01C93" w14:textId="77777777" w:rsidR="00000000" w:rsidRDefault="00405D16">
      <w:pPr>
        <w:ind w:hanging="360"/>
        <w:jc w:val="both"/>
        <w:divId w:val="1337227620"/>
        <w:rPr>
          <w:rFonts w:eastAsia="Times New Roman"/>
        </w:rPr>
      </w:pPr>
      <w:r>
        <w:rPr>
          <w:rFonts w:eastAsia="Times New Roman"/>
          <w:i/>
          <w:iCs/>
          <w:color w:val="000000"/>
          <w:sz w:val="20"/>
          <w:szCs w:val="20"/>
        </w:rPr>
        <w:t>•Net Charge-Off and Delinquency Metrics:</w:t>
      </w:r>
      <w:r>
        <w:rPr>
          <w:rFonts w:eastAsia="Times New Roman"/>
          <w:color w:val="000000"/>
          <w:sz w:val="20"/>
          <w:szCs w:val="20"/>
        </w:rPr>
        <w:t xml:space="preserve"> Our net charge-off rate decreased by 105 basis points (“bps”) to 0.67% in the third quarter of 2021 compared to the third quarter of 2020 and decreased by 136 b</w:t>
      </w:r>
      <w:r>
        <w:rPr>
          <w:rFonts w:eastAsia="Times New Roman"/>
          <w:color w:val="000000"/>
          <w:sz w:val="20"/>
          <w:szCs w:val="20"/>
        </w:rPr>
        <w:t>asis points to 0.92% in the first nine months of 2021 compared to the first nine months of 2020, primarily driven by strong credit performance in Credit Card.</w:t>
      </w:r>
    </w:p>
    <w:p w14:paraId="1314E648" w14:textId="77777777" w:rsidR="00000000" w:rsidRDefault="00405D16">
      <w:pPr>
        <w:jc w:val="both"/>
        <w:divId w:val="231744980"/>
        <w:rPr>
          <w:rFonts w:eastAsia="Times New Roman"/>
        </w:rPr>
      </w:pPr>
      <w:r>
        <w:rPr>
          <w:rFonts w:eastAsia="Times New Roman"/>
          <w:color w:val="000000"/>
          <w:sz w:val="20"/>
          <w:szCs w:val="20"/>
        </w:rPr>
        <w:t xml:space="preserve">Our 30+ day delinquency rate decreased by 48 basis points to 2.13% as of September 30, 2021 from </w:t>
      </w:r>
      <w:r>
        <w:rPr>
          <w:rFonts w:eastAsia="Times New Roman"/>
          <w:color w:val="000000"/>
          <w:sz w:val="20"/>
          <w:szCs w:val="20"/>
        </w:rPr>
        <w:t xml:space="preserve">December 31, 2020 due to strong credit performance in our credit card and auto loan portfolios. </w:t>
      </w:r>
    </w:p>
    <w:p w14:paraId="23D31872" w14:textId="77777777" w:rsidR="00000000" w:rsidRDefault="00405D16">
      <w:pPr>
        <w:ind w:hanging="360"/>
        <w:jc w:val="both"/>
        <w:divId w:val="1249536926"/>
        <w:rPr>
          <w:rFonts w:eastAsia="Times New Roman"/>
        </w:rPr>
      </w:pPr>
      <w:r>
        <w:rPr>
          <w:rFonts w:eastAsia="Times New Roman"/>
          <w:color w:val="000000"/>
          <w:sz w:val="20"/>
          <w:szCs w:val="20"/>
        </w:rPr>
        <w:t>•</w:t>
      </w:r>
      <w:r>
        <w:rPr>
          <w:rFonts w:eastAsia="Times New Roman"/>
          <w:i/>
          <w:iCs/>
          <w:color w:val="000000"/>
          <w:sz w:val="20"/>
          <w:szCs w:val="20"/>
        </w:rPr>
        <w:t>Allowance for Credit Losses:</w:t>
      </w:r>
      <w:r>
        <w:rPr>
          <w:rFonts w:eastAsia="Times New Roman"/>
          <w:color w:val="000000"/>
          <w:sz w:val="20"/>
          <w:szCs w:val="20"/>
        </w:rPr>
        <w:t xml:space="preserve"> Our allowance for credit losses decreased by $4.0 billion to $11.6 billion, and our allowance coverage ratio decreased by 176 bas</w:t>
      </w:r>
      <w:r>
        <w:rPr>
          <w:rFonts w:eastAsia="Times New Roman"/>
          <w:color w:val="000000"/>
          <w:sz w:val="20"/>
          <w:szCs w:val="20"/>
        </w:rPr>
        <w:t xml:space="preserve">is points to 4.43% as of September 30, 2021 from December 31, 2020, driven by strong credit performance and improved economic outlook. </w:t>
      </w:r>
    </w:p>
    <w:p w14:paraId="745DA168" w14:textId="77777777" w:rsidR="00000000" w:rsidRDefault="00405D16">
      <w:pPr>
        <w:divId w:val="1158114027"/>
        <w:rPr>
          <w:rFonts w:eastAsia="Times New Roman"/>
        </w:rPr>
      </w:pPr>
      <w:r>
        <w:rPr>
          <w:rFonts w:eastAsia="Times New Roman"/>
          <w:b/>
          <w:bCs/>
          <w:color w:val="000000"/>
          <w:sz w:val="20"/>
          <w:szCs w:val="20"/>
        </w:rPr>
        <w:t xml:space="preserve">Business Outlook </w:t>
      </w:r>
    </w:p>
    <w:p w14:paraId="4706045F" w14:textId="77777777" w:rsidR="00000000" w:rsidRDefault="00405D16">
      <w:pPr>
        <w:jc w:val="both"/>
        <w:divId w:val="1408042230"/>
        <w:rPr>
          <w:rFonts w:eastAsia="Times New Roman"/>
        </w:rPr>
      </w:pPr>
      <w:r>
        <w:rPr>
          <w:rFonts w:eastAsia="Times New Roman"/>
          <w:color w:val="000000"/>
          <w:sz w:val="20"/>
          <w:szCs w:val="20"/>
        </w:rPr>
        <w:t>We discuss in this Report our expectations as of the time this Report was filed regarding our total co</w:t>
      </w:r>
      <w:r>
        <w:rPr>
          <w:rFonts w:eastAsia="Times New Roman"/>
          <w:color w:val="000000"/>
          <w:sz w:val="20"/>
          <w:szCs w:val="20"/>
        </w:rPr>
        <w:t>mpany performance and the performance of our business segments based on market conditions, the regulatory environment and our business strategies. The statements contained in this Report are based on our current expectations regarding our outlook for our f</w:t>
      </w:r>
      <w:r>
        <w:rPr>
          <w:rFonts w:eastAsia="Times New Roman"/>
          <w:color w:val="000000"/>
          <w:sz w:val="20"/>
          <w:szCs w:val="20"/>
        </w:rPr>
        <w:t>inancial results and business strategies. Our expectations take into account, and should be read in conjunction with, our expectations regarding economic trends and analysis of our business as discussed in “Part I—Item 1. Business” and “Part II—Item 7. MD&amp;</w:t>
      </w:r>
      <w:r>
        <w:rPr>
          <w:rFonts w:eastAsia="Times New Roman"/>
          <w:color w:val="000000"/>
          <w:sz w:val="20"/>
          <w:szCs w:val="20"/>
        </w:rPr>
        <w:t>A” in our 2020 Form 10-K. Certain statements are forward-looking statements within the meaning of the Private Securities Litigation Reform Act of 1995. Actual results could differ materially from those in our forward-looking statements. Except as otherwise</w:t>
      </w:r>
      <w:r>
        <w:rPr>
          <w:rFonts w:eastAsia="Times New Roman"/>
          <w:color w:val="000000"/>
          <w:sz w:val="20"/>
          <w:szCs w:val="20"/>
        </w:rPr>
        <w:t xml:space="preserve"> disclosed, forward-looking statements do not reflect:</w:t>
      </w:r>
    </w:p>
    <w:p w14:paraId="4CE29870" w14:textId="77777777" w:rsidR="00000000" w:rsidRDefault="00405D16">
      <w:pPr>
        <w:ind w:hanging="360"/>
        <w:jc w:val="both"/>
        <w:divId w:val="1570454546"/>
        <w:rPr>
          <w:rFonts w:eastAsia="Times New Roman"/>
        </w:rPr>
      </w:pPr>
      <w:r>
        <w:rPr>
          <w:rFonts w:eastAsia="Times New Roman"/>
          <w:color w:val="000000"/>
          <w:sz w:val="20"/>
          <w:szCs w:val="20"/>
        </w:rPr>
        <w:t>•any change in current dividend or repurchase strategies;</w:t>
      </w:r>
    </w:p>
    <w:p w14:paraId="2BFED80E" w14:textId="77777777" w:rsidR="00000000" w:rsidRDefault="00405D16">
      <w:pPr>
        <w:ind w:hanging="360"/>
        <w:jc w:val="both"/>
        <w:divId w:val="670841668"/>
        <w:rPr>
          <w:rFonts w:eastAsia="Times New Roman"/>
        </w:rPr>
      </w:pPr>
      <w:r>
        <w:rPr>
          <w:rFonts w:eastAsia="Times New Roman"/>
          <w:color w:val="000000"/>
          <w:sz w:val="20"/>
          <w:szCs w:val="20"/>
        </w:rPr>
        <w:t>•the effect of any acquisitions, divestitures or similar transactions that have not been previously disclosed; or</w:t>
      </w:r>
    </w:p>
    <w:p w14:paraId="6AB362FB" w14:textId="77777777" w:rsidR="00000000" w:rsidRDefault="00405D16">
      <w:pPr>
        <w:ind w:hanging="360"/>
        <w:jc w:val="both"/>
        <w:divId w:val="960302379"/>
        <w:rPr>
          <w:rFonts w:eastAsia="Times New Roman"/>
        </w:rPr>
      </w:pPr>
      <w:r>
        <w:rPr>
          <w:rFonts w:eastAsia="Times New Roman"/>
          <w:color w:val="000000"/>
          <w:sz w:val="20"/>
          <w:szCs w:val="20"/>
        </w:rPr>
        <w:t>•any changes in laws, regulat</w:t>
      </w:r>
      <w:r>
        <w:rPr>
          <w:rFonts w:eastAsia="Times New Roman"/>
          <w:color w:val="000000"/>
          <w:sz w:val="20"/>
          <w:szCs w:val="20"/>
        </w:rPr>
        <w:t>ions or regulatory interpretations, in each case after the date as of which such statements are made.</w:t>
      </w:r>
    </w:p>
    <w:p w14:paraId="7EE92579" w14:textId="77777777" w:rsidR="00000000" w:rsidRDefault="00405D16">
      <w:pPr>
        <w:jc w:val="both"/>
        <w:divId w:val="1040939457"/>
        <w:rPr>
          <w:rFonts w:eastAsia="Times New Roman"/>
        </w:rPr>
      </w:pPr>
      <w:r>
        <w:rPr>
          <w:rFonts w:eastAsia="Times New Roman"/>
          <w:color w:val="000000"/>
          <w:sz w:val="20"/>
          <w:szCs w:val="20"/>
        </w:rPr>
        <w:t xml:space="preserve">The extent to which the COVID-19 pandemic ultimately impacts our business, results of operations, and financial condition will depend on future developments that are still uncertain and cannot be predicted, including the scope and duration of the COVID-19 </w:t>
      </w:r>
      <w:r>
        <w:rPr>
          <w:rFonts w:eastAsia="Times New Roman"/>
          <w:color w:val="000000"/>
          <w:sz w:val="20"/>
          <w:szCs w:val="20"/>
        </w:rPr>
        <w:t xml:space="preserve">pandemic and actions taken by governmental authorities and other third parties in response to the COVID-19 pandemic. </w:t>
      </w:r>
    </w:p>
    <w:p w14:paraId="514FA18B" w14:textId="77777777" w:rsidR="00000000" w:rsidRDefault="00405D16">
      <w:pPr>
        <w:jc w:val="both"/>
        <w:divId w:val="305865185"/>
        <w:rPr>
          <w:rFonts w:eastAsia="Times New Roman"/>
        </w:rPr>
      </w:pPr>
      <w:r>
        <w:rPr>
          <w:rFonts w:eastAsia="Times New Roman"/>
          <w:color w:val="000000"/>
          <w:sz w:val="20"/>
          <w:szCs w:val="20"/>
        </w:rPr>
        <w:t>See “MD&amp;A—Forward-Looking Statements” in this Report for more information on the forward-looking statements and “Part I—Item 1A. Risk Fact</w:t>
      </w:r>
      <w:r>
        <w:rPr>
          <w:rFonts w:eastAsia="Times New Roman"/>
          <w:color w:val="000000"/>
          <w:sz w:val="20"/>
          <w:szCs w:val="20"/>
        </w:rPr>
        <w:t>ors” in our 2020 Form 10-K for factors that could materially influence our results.</w:t>
      </w:r>
    </w:p>
    <w:p w14:paraId="76F544CF" w14:textId="77777777" w:rsidR="00000000" w:rsidRDefault="00405D16">
      <w:pPr>
        <w:divId w:val="1279752757"/>
        <w:rPr>
          <w:rFonts w:eastAsia="Times New Roman"/>
        </w:rPr>
      </w:pPr>
      <w:r>
        <w:rPr>
          <w:rFonts w:eastAsia="Times New Roman"/>
          <w:b/>
          <w:bCs/>
          <w:i/>
          <w:iCs/>
          <w:color w:val="000000"/>
          <w:sz w:val="20"/>
          <w:szCs w:val="20"/>
        </w:rPr>
        <w:t>Total Company Expectations</w:t>
      </w:r>
    </w:p>
    <w:p w14:paraId="3A5DA7F2" w14:textId="77777777" w:rsidR="00000000" w:rsidRDefault="00405D16">
      <w:pPr>
        <w:ind w:hanging="360"/>
        <w:jc w:val="both"/>
        <w:divId w:val="1901672326"/>
        <w:rPr>
          <w:rFonts w:eastAsia="Times New Roman"/>
        </w:rPr>
      </w:pPr>
      <w:r>
        <w:rPr>
          <w:rFonts w:eastAsia="Times New Roman"/>
          <w:color w:val="000000"/>
          <w:sz w:val="20"/>
          <w:szCs w:val="20"/>
        </w:rPr>
        <w:t>•We expect marketing expense for the fourth quarter of 2021 to be higher than the third quarter of 2021, consistent with historical seasonal patt</w:t>
      </w:r>
      <w:r>
        <w:rPr>
          <w:rFonts w:eastAsia="Times New Roman"/>
          <w:color w:val="000000"/>
          <w:sz w:val="20"/>
          <w:szCs w:val="20"/>
        </w:rPr>
        <w:t>erns.</w:t>
      </w:r>
    </w:p>
    <w:p w14:paraId="3600B460" w14:textId="77777777" w:rsidR="00000000" w:rsidRDefault="00405D16">
      <w:pPr>
        <w:ind w:hanging="360"/>
        <w:jc w:val="both"/>
        <w:divId w:val="839080874"/>
        <w:rPr>
          <w:rFonts w:eastAsia="Times New Roman"/>
        </w:rPr>
      </w:pPr>
      <w:r>
        <w:rPr>
          <w:rFonts w:eastAsia="Times New Roman"/>
          <w:color w:val="000000"/>
          <w:sz w:val="20"/>
          <w:szCs w:val="20"/>
        </w:rPr>
        <w:t>•Investments in our technology strategy, driven by the rapidly changing marketplace, are likely to pressure the operating efficiency ratio.</w:t>
      </w:r>
    </w:p>
    <w:p w14:paraId="541488F6" w14:textId="77777777" w:rsidR="00000000" w:rsidRDefault="00405D16">
      <w:pPr>
        <w:ind w:hanging="360"/>
        <w:jc w:val="both"/>
        <w:divId w:val="445926437"/>
        <w:rPr>
          <w:rFonts w:eastAsia="Times New Roman"/>
        </w:rPr>
      </w:pPr>
      <w:r>
        <w:rPr>
          <w:rFonts w:eastAsia="Times New Roman"/>
          <w:color w:val="000000"/>
          <w:sz w:val="20"/>
          <w:szCs w:val="20"/>
        </w:rPr>
        <w:t>•We expect to pay preferred stock dividends of $74 million in the fourth quarter of 2021 and $57 million per q</w:t>
      </w:r>
      <w:r>
        <w:rPr>
          <w:rFonts w:eastAsia="Times New Roman"/>
          <w:color w:val="000000"/>
          <w:sz w:val="20"/>
          <w:szCs w:val="20"/>
        </w:rPr>
        <w:t>uarter in 2022, barring additional activity and subject to Board approval.</w:t>
      </w:r>
    </w:p>
    <w:p w14:paraId="32D72726" w14:textId="77777777" w:rsidR="00000000" w:rsidRDefault="00405D16">
      <w:pPr>
        <w:divId w:val="1186408123"/>
        <w:rPr>
          <w:rFonts w:eastAsia="Times New Roman"/>
        </w:rPr>
      </w:pPr>
    </w:p>
    <w:p w14:paraId="0305B839" w14:textId="77777777" w:rsidR="00000000" w:rsidRDefault="00405D16">
      <w:pPr>
        <w:jc w:val="both"/>
        <w:divId w:val="1925263548"/>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26548030" w14:textId="77777777">
        <w:trPr>
          <w:divId w:val="258300240"/>
          <w:jc w:val="center"/>
        </w:trPr>
        <w:tc>
          <w:tcPr>
            <w:tcW w:w="50" w:type="pct"/>
            <w:vAlign w:val="center"/>
            <w:hideMark/>
          </w:tcPr>
          <w:p w14:paraId="0D7906E7" w14:textId="77777777" w:rsidR="00000000" w:rsidRDefault="00405D16">
            <w:pPr>
              <w:jc w:val="both"/>
              <w:rPr>
                <w:rFonts w:eastAsia="Times New Roman"/>
              </w:rPr>
            </w:pPr>
          </w:p>
        </w:tc>
        <w:tc>
          <w:tcPr>
            <w:tcW w:w="1606" w:type="pct"/>
            <w:vAlign w:val="center"/>
            <w:hideMark/>
          </w:tcPr>
          <w:p w14:paraId="770A7521" w14:textId="77777777" w:rsidR="00000000" w:rsidRDefault="00405D16">
            <w:pPr>
              <w:spacing w:after="100"/>
              <w:rPr>
                <w:rFonts w:eastAsia="Times New Roman"/>
                <w:sz w:val="20"/>
                <w:szCs w:val="20"/>
              </w:rPr>
            </w:pPr>
          </w:p>
        </w:tc>
        <w:tc>
          <w:tcPr>
            <w:tcW w:w="5" w:type="pct"/>
            <w:vAlign w:val="center"/>
            <w:hideMark/>
          </w:tcPr>
          <w:p w14:paraId="673C6015" w14:textId="77777777" w:rsidR="00000000" w:rsidRDefault="00405D16">
            <w:pPr>
              <w:spacing w:after="100"/>
              <w:rPr>
                <w:rFonts w:eastAsia="Times New Roman"/>
                <w:sz w:val="20"/>
                <w:szCs w:val="20"/>
              </w:rPr>
            </w:pPr>
          </w:p>
        </w:tc>
        <w:tc>
          <w:tcPr>
            <w:tcW w:w="50" w:type="pct"/>
            <w:vAlign w:val="center"/>
            <w:hideMark/>
          </w:tcPr>
          <w:p w14:paraId="123EF174" w14:textId="77777777" w:rsidR="00000000" w:rsidRDefault="00405D16">
            <w:pPr>
              <w:spacing w:after="100"/>
              <w:rPr>
                <w:rFonts w:eastAsia="Times New Roman"/>
                <w:sz w:val="20"/>
                <w:szCs w:val="20"/>
              </w:rPr>
            </w:pPr>
          </w:p>
        </w:tc>
        <w:tc>
          <w:tcPr>
            <w:tcW w:w="1614" w:type="pct"/>
            <w:vAlign w:val="center"/>
            <w:hideMark/>
          </w:tcPr>
          <w:p w14:paraId="13C1B13B" w14:textId="77777777" w:rsidR="00000000" w:rsidRDefault="00405D16">
            <w:pPr>
              <w:spacing w:after="100"/>
              <w:rPr>
                <w:rFonts w:eastAsia="Times New Roman"/>
                <w:sz w:val="20"/>
                <w:szCs w:val="20"/>
              </w:rPr>
            </w:pPr>
          </w:p>
        </w:tc>
        <w:tc>
          <w:tcPr>
            <w:tcW w:w="5" w:type="pct"/>
            <w:vAlign w:val="center"/>
            <w:hideMark/>
          </w:tcPr>
          <w:p w14:paraId="08B8DFDB" w14:textId="77777777" w:rsidR="00000000" w:rsidRDefault="00405D16">
            <w:pPr>
              <w:spacing w:after="100"/>
              <w:rPr>
                <w:rFonts w:eastAsia="Times New Roman"/>
                <w:sz w:val="20"/>
                <w:szCs w:val="20"/>
              </w:rPr>
            </w:pPr>
          </w:p>
        </w:tc>
        <w:tc>
          <w:tcPr>
            <w:tcW w:w="50" w:type="pct"/>
            <w:vAlign w:val="center"/>
            <w:hideMark/>
          </w:tcPr>
          <w:p w14:paraId="3770899C" w14:textId="77777777" w:rsidR="00000000" w:rsidRDefault="00405D16">
            <w:pPr>
              <w:spacing w:after="100"/>
              <w:rPr>
                <w:rFonts w:eastAsia="Times New Roman"/>
                <w:sz w:val="20"/>
                <w:szCs w:val="20"/>
              </w:rPr>
            </w:pPr>
          </w:p>
        </w:tc>
        <w:tc>
          <w:tcPr>
            <w:tcW w:w="1614" w:type="pct"/>
            <w:vAlign w:val="center"/>
            <w:hideMark/>
          </w:tcPr>
          <w:p w14:paraId="735BF039" w14:textId="77777777" w:rsidR="00000000" w:rsidRDefault="00405D16">
            <w:pPr>
              <w:spacing w:after="100"/>
              <w:rPr>
                <w:rFonts w:eastAsia="Times New Roman"/>
                <w:sz w:val="20"/>
                <w:szCs w:val="20"/>
              </w:rPr>
            </w:pPr>
          </w:p>
        </w:tc>
        <w:tc>
          <w:tcPr>
            <w:tcW w:w="5" w:type="pct"/>
            <w:vAlign w:val="center"/>
            <w:hideMark/>
          </w:tcPr>
          <w:p w14:paraId="291BB0A5" w14:textId="77777777" w:rsidR="00000000" w:rsidRDefault="00405D16">
            <w:pPr>
              <w:spacing w:after="100"/>
              <w:rPr>
                <w:rFonts w:eastAsia="Times New Roman"/>
                <w:sz w:val="20"/>
                <w:szCs w:val="20"/>
              </w:rPr>
            </w:pPr>
          </w:p>
        </w:tc>
      </w:tr>
      <w:tr w:rsidR="00000000" w14:paraId="607ED227" w14:textId="77777777">
        <w:trPr>
          <w:divId w:val="258300240"/>
          <w:trHeight w:val="300"/>
          <w:jc w:val="center"/>
        </w:trPr>
        <w:tc>
          <w:tcPr>
            <w:tcW w:w="0" w:type="auto"/>
            <w:gridSpan w:val="9"/>
            <w:tcMar>
              <w:top w:w="0" w:type="dxa"/>
              <w:left w:w="20" w:type="dxa"/>
              <w:bottom w:w="0" w:type="dxa"/>
              <w:right w:w="20" w:type="dxa"/>
            </w:tcMar>
            <w:vAlign w:val="center"/>
            <w:hideMark/>
          </w:tcPr>
          <w:p w14:paraId="12C6678A" w14:textId="77777777" w:rsidR="00000000" w:rsidRDefault="00405D16">
            <w:pPr>
              <w:spacing w:after="100"/>
              <w:rPr>
                <w:rFonts w:eastAsia="Times New Roman"/>
                <w:sz w:val="20"/>
                <w:szCs w:val="20"/>
              </w:rPr>
            </w:pPr>
          </w:p>
        </w:tc>
      </w:tr>
      <w:tr w:rsidR="00000000" w14:paraId="582D3F3B" w14:textId="77777777">
        <w:trPr>
          <w:divId w:val="258300240"/>
          <w:jc w:val="center"/>
        </w:trPr>
        <w:tc>
          <w:tcPr>
            <w:tcW w:w="0" w:type="auto"/>
            <w:gridSpan w:val="3"/>
            <w:tcMar>
              <w:top w:w="0" w:type="dxa"/>
              <w:left w:w="20" w:type="dxa"/>
              <w:bottom w:w="0" w:type="dxa"/>
              <w:right w:w="20" w:type="dxa"/>
            </w:tcMar>
            <w:vAlign w:val="center"/>
            <w:hideMark/>
          </w:tcPr>
          <w:p w14:paraId="7C5104C5"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B30FB44" w14:textId="77777777" w:rsidR="00000000" w:rsidRDefault="00405D16">
            <w:pPr>
              <w:spacing w:after="100"/>
              <w:jc w:val="center"/>
              <w:rPr>
                <w:rFonts w:eastAsia="Times New Roman"/>
              </w:rPr>
            </w:pPr>
            <w:r>
              <w:rPr>
                <w:rFonts w:eastAsia="Times New Roman"/>
                <w:color w:val="000000"/>
                <w:sz w:val="16"/>
                <w:szCs w:val="16"/>
              </w:rPr>
              <w:t>10</w:t>
            </w:r>
          </w:p>
        </w:tc>
        <w:tc>
          <w:tcPr>
            <w:tcW w:w="0" w:type="auto"/>
            <w:gridSpan w:val="3"/>
            <w:tcMar>
              <w:top w:w="30" w:type="dxa"/>
              <w:left w:w="20" w:type="dxa"/>
              <w:bottom w:w="30" w:type="dxa"/>
              <w:right w:w="20" w:type="dxa"/>
            </w:tcMar>
            <w:vAlign w:val="bottom"/>
            <w:hideMark/>
          </w:tcPr>
          <w:p w14:paraId="312449BA"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5ADFB264" w14:textId="77777777" w:rsidR="00000000" w:rsidRDefault="00405D16">
      <w:pPr>
        <w:rPr>
          <w:rFonts w:eastAsia="Times New Roman"/>
        </w:rPr>
      </w:pPr>
      <w:r>
        <w:rPr>
          <w:rFonts w:eastAsia="Times New Roman"/>
        </w:rPr>
        <w:pict w14:anchorId="5E278479">
          <v:rect id="_x0000_i1035" style="width:0;height:1.5pt" o:hralign="center" o:hrstd="t" o:hr="t" fillcolor="#a0a0a0" stroked="f"/>
        </w:pict>
      </w:r>
    </w:p>
    <w:p w14:paraId="52CB9F1D" w14:textId="77777777" w:rsidR="00000000" w:rsidRDefault="00405D16">
      <w:pPr>
        <w:ind w:hanging="360"/>
        <w:jc w:val="both"/>
        <w:divId w:val="1306665293"/>
        <w:rPr>
          <w:rFonts w:eastAsia="Times New Roman"/>
        </w:rPr>
      </w:pPr>
      <w:hyperlink w:anchor="idd54a04a485440b4ab4e56094c14d612_13" w:history="1">
        <w:r>
          <w:rPr>
            <w:rStyle w:val="a3"/>
            <w:rFonts w:eastAsia="Times New Roman"/>
            <w:sz w:val="16"/>
            <w:szCs w:val="16"/>
          </w:rPr>
          <w:t>Table of Contents</w:t>
        </w:r>
      </w:hyperlink>
    </w:p>
    <w:tbl>
      <w:tblPr>
        <w:tblW w:w="4992" w:type="pct"/>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14:paraId="6D64B245" w14:textId="77777777">
        <w:trPr>
          <w:divId w:val="440762327"/>
        </w:trPr>
        <w:tc>
          <w:tcPr>
            <w:tcW w:w="50" w:type="pct"/>
            <w:vAlign w:val="center"/>
            <w:hideMark/>
          </w:tcPr>
          <w:p w14:paraId="68A3EDE1" w14:textId="77777777" w:rsidR="00000000" w:rsidRDefault="00405D16">
            <w:pPr>
              <w:ind w:hanging="360"/>
              <w:jc w:val="both"/>
              <w:rPr>
                <w:rFonts w:eastAsia="Times New Roman"/>
              </w:rPr>
            </w:pPr>
          </w:p>
        </w:tc>
        <w:tc>
          <w:tcPr>
            <w:tcW w:w="4945" w:type="pct"/>
            <w:vAlign w:val="center"/>
            <w:hideMark/>
          </w:tcPr>
          <w:p w14:paraId="73E9C27A" w14:textId="77777777" w:rsidR="00000000" w:rsidRDefault="00405D16">
            <w:pPr>
              <w:spacing w:after="100"/>
              <w:rPr>
                <w:rFonts w:eastAsia="Times New Roman"/>
                <w:sz w:val="20"/>
                <w:szCs w:val="20"/>
              </w:rPr>
            </w:pPr>
          </w:p>
        </w:tc>
        <w:tc>
          <w:tcPr>
            <w:tcW w:w="5" w:type="pct"/>
            <w:vAlign w:val="center"/>
            <w:hideMark/>
          </w:tcPr>
          <w:p w14:paraId="69D6B82E" w14:textId="77777777" w:rsidR="00000000" w:rsidRDefault="00405D16">
            <w:pPr>
              <w:spacing w:after="100"/>
              <w:rPr>
                <w:rFonts w:eastAsia="Times New Roman"/>
                <w:sz w:val="20"/>
                <w:szCs w:val="20"/>
              </w:rPr>
            </w:pPr>
          </w:p>
        </w:tc>
      </w:tr>
      <w:tr w:rsidR="00000000" w14:paraId="72ECE620" w14:textId="77777777">
        <w:trPr>
          <w:divId w:val="440762327"/>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4B18010B" w14:textId="77777777" w:rsidR="00000000" w:rsidRDefault="00405D16">
            <w:pPr>
              <w:spacing w:after="100"/>
              <w:rPr>
                <w:rFonts w:eastAsia="Times New Roman"/>
              </w:rPr>
            </w:pPr>
            <w:r>
              <w:rPr>
                <w:rFonts w:eastAsia="Times New Roman"/>
                <w:b/>
                <w:bCs/>
                <w:color w:val="000000"/>
                <w:sz w:val="20"/>
                <w:szCs w:val="20"/>
              </w:rPr>
              <w:t>CONSOLIDATED RESULTS OF OPERATIONS</w:t>
            </w:r>
          </w:p>
        </w:tc>
      </w:tr>
    </w:tbl>
    <w:p w14:paraId="05453F62" w14:textId="77777777" w:rsidR="00000000" w:rsidRDefault="00405D16">
      <w:pPr>
        <w:jc w:val="both"/>
        <w:divId w:val="255482568"/>
        <w:rPr>
          <w:rFonts w:eastAsia="Times New Roman"/>
        </w:rPr>
      </w:pPr>
      <w:r>
        <w:rPr>
          <w:rFonts w:eastAsia="Times New Roman"/>
          <w:color w:val="000000"/>
          <w:sz w:val="20"/>
          <w:szCs w:val="20"/>
        </w:rPr>
        <w:t>The section below provides a comparative discussion of our consolidated financial performance for the third quarter and first nine months of 2021 and 2020. We provide a discussion of our business segment results in the following section, “MD&amp;A—Business Seg</w:t>
      </w:r>
      <w:r>
        <w:rPr>
          <w:rFonts w:eastAsia="Times New Roman"/>
          <w:color w:val="000000"/>
          <w:sz w:val="20"/>
          <w:szCs w:val="20"/>
        </w:rPr>
        <w:t>ment Financial Performance.” This section should be read together with our “MD&amp;A—Executive Summary and Business Outlook,” where we discuss trends and other factors that we expect will affect our future results of operations.</w:t>
      </w:r>
    </w:p>
    <w:p w14:paraId="4C9D397D" w14:textId="77777777" w:rsidR="00000000" w:rsidRDefault="00405D16">
      <w:pPr>
        <w:divId w:val="1607537431"/>
        <w:rPr>
          <w:rFonts w:eastAsia="Times New Roman"/>
        </w:rPr>
      </w:pPr>
      <w:r>
        <w:rPr>
          <w:rFonts w:eastAsia="Times New Roman"/>
          <w:b/>
          <w:bCs/>
          <w:color w:val="000000"/>
          <w:sz w:val="20"/>
          <w:szCs w:val="20"/>
        </w:rPr>
        <w:t>Net Interest Income</w:t>
      </w:r>
    </w:p>
    <w:p w14:paraId="46B354AA" w14:textId="77777777" w:rsidR="00000000" w:rsidRDefault="00405D16">
      <w:pPr>
        <w:jc w:val="both"/>
        <w:divId w:val="1538153001"/>
        <w:rPr>
          <w:rFonts w:eastAsia="Times New Roman"/>
        </w:rPr>
      </w:pPr>
      <w:r>
        <w:rPr>
          <w:rFonts w:eastAsia="Times New Roman"/>
          <w:color w:val="000000"/>
          <w:sz w:val="20"/>
          <w:szCs w:val="20"/>
        </w:rPr>
        <w:t>Net interes</w:t>
      </w:r>
      <w:r>
        <w:rPr>
          <w:rFonts w:eastAsia="Times New Roman"/>
          <w:color w:val="000000"/>
          <w:sz w:val="20"/>
          <w:szCs w:val="20"/>
        </w:rPr>
        <w:t>t income represents the difference between interest income, including certain fees, earned on our interest-earning assets and the interest expense incurred on our interest-bearing liabilities. Our interest-earning assets include loans, investment securitie</w:t>
      </w:r>
      <w:r>
        <w:rPr>
          <w:rFonts w:eastAsia="Times New Roman"/>
          <w:color w:val="000000"/>
          <w:sz w:val="20"/>
          <w:szCs w:val="20"/>
        </w:rPr>
        <w:t>s and other interest-earning assets, while our interest-bearing liabilities include interest-bearing deposits, securitized debt obligations, senior and subordinated notes, other borrowings and other interest-bearing liabilities. Generally, we include in in</w:t>
      </w:r>
      <w:r>
        <w:rPr>
          <w:rFonts w:eastAsia="Times New Roman"/>
          <w:color w:val="000000"/>
          <w:sz w:val="20"/>
          <w:szCs w:val="20"/>
        </w:rPr>
        <w:t>terest income any past due fees on loans that we deem collectible. Our net interest margin, based on our consolidated results, represents the difference between the yield on our interest-earning assets and the cost of our interest-bearing liabilities, incl</w:t>
      </w:r>
      <w:r>
        <w:rPr>
          <w:rFonts w:eastAsia="Times New Roman"/>
          <w:color w:val="000000"/>
          <w:sz w:val="20"/>
          <w:szCs w:val="20"/>
        </w:rPr>
        <w:t>uding the notional impact of non-interest-bearing funding. We expect net interest income and our net interest margin to fluctuate based on changes in interest rates and changes in the amount and composition of our interest-earning assets and interest-beari</w:t>
      </w:r>
      <w:r>
        <w:rPr>
          <w:rFonts w:eastAsia="Times New Roman"/>
          <w:color w:val="000000"/>
          <w:sz w:val="20"/>
          <w:szCs w:val="20"/>
        </w:rPr>
        <w:t>ng liabilities.</w:t>
      </w:r>
    </w:p>
    <w:p w14:paraId="68C3D8F2" w14:textId="77777777" w:rsidR="00000000" w:rsidRDefault="00405D16">
      <w:pPr>
        <w:jc w:val="both"/>
        <w:divId w:val="78258203"/>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1AFBA6DC" w14:textId="77777777">
        <w:trPr>
          <w:divId w:val="169177831"/>
          <w:jc w:val="center"/>
        </w:trPr>
        <w:tc>
          <w:tcPr>
            <w:tcW w:w="50" w:type="pct"/>
            <w:vAlign w:val="center"/>
            <w:hideMark/>
          </w:tcPr>
          <w:p w14:paraId="3C6697ED" w14:textId="77777777" w:rsidR="00000000" w:rsidRDefault="00405D16">
            <w:pPr>
              <w:jc w:val="both"/>
              <w:rPr>
                <w:rFonts w:eastAsia="Times New Roman"/>
              </w:rPr>
            </w:pPr>
          </w:p>
        </w:tc>
        <w:tc>
          <w:tcPr>
            <w:tcW w:w="1606" w:type="pct"/>
            <w:vAlign w:val="center"/>
            <w:hideMark/>
          </w:tcPr>
          <w:p w14:paraId="46DF3B09" w14:textId="77777777" w:rsidR="00000000" w:rsidRDefault="00405D16">
            <w:pPr>
              <w:spacing w:after="100"/>
              <w:rPr>
                <w:rFonts w:eastAsia="Times New Roman"/>
                <w:sz w:val="20"/>
                <w:szCs w:val="20"/>
              </w:rPr>
            </w:pPr>
          </w:p>
        </w:tc>
        <w:tc>
          <w:tcPr>
            <w:tcW w:w="5" w:type="pct"/>
            <w:vAlign w:val="center"/>
            <w:hideMark/>
          </w:tcPr>
          <w:p w14:paraId="7CE89D3C" w14:textId="77777777" w:rsidR="00000000" w:rsidRDefault="00405D16">
            <w:pPr>
              <w:spacing w:after="100"/>
              <w:rPr>
                <w:rFonts w:eastAsia="Times New Roman"/>
                <w:sz w:val="20"/>
                <w:szCs w:val="20"/>
              </w:rPr>
            </w:pPr>
          </w:p>
        </w:tc>
        <w:tc>
          <w:tcPr>
            <w:tcW w:w="50" w:type="pct"/>
            <w:vAlign w:val="center"/>
            <w:hideMark/>
          </w:tcPr>
          <w:p w14:paraId="02E50641" w14:textId="77777777" w:rsidR="00000000" w:rsidRDefault="00405D16">
            <w:pPr>
              <w:spacing w:after="100"/>
              <w:rPr>
                <w:rFonts w:eastAsia="Times New Roman"/>
                <w:sz w:val="20"/>
                <w:szCs w:val="20"/>
              </w:rPr>
            </w:pPr>
          </w:p>
        </w:tc>
        <w:tc>
          <w:tcPr>
            <w:tcW w:w="1614" w:type="pct"/>
            <w:vAlign w:val="center"/>
            <w:hideMark/>
          </w:tcPr>
          <w:p w14:paraId="272D9E0B" w14:textId="77777777" w:rsidR="00000000" w:rsidRDefault="00405D16">
            <w:pPr>
              <w:spacing w:after="100"/>
              <w:rPr>
                <w:rFonts w:eastAsia="Times New Roman"/>
                <w:sz w:val="20"/>
                <w:szCs w:val="20"/>
              </w:rPr>
            </w:pPr>
          </w:p>
        </w:tc>
        <w:tc>
          <w:tcPr>
            <w:tcW w:w="5" w:type="pct"/>
            <w:vAlign w:val="center"/>
            <w:hideMark/>
          </w:tcPr>
          <w:p w14:paraId="1C14C8D8" w14:textId="77777777" w:rsidR="00000000" w:rsidRDefault="00405D16">
            <w:pPr>
              <w:spacing w:after="100"/>
              <w:rPr>
                <w:rFonts w:eastAsia="Times New Roman"/>
                <w:sz w:val="20"/>
                <w:szCs w:val="20"/>
              </w:rPr>
            </w:pPr>
          </w:p>
        </w:tc>
        <w:tc>
          <w:tcPr>
            <w:tcW w:w="50" w:type="pct"/>
            <w:vAlign w:val="center"/>
            <w:hideMark/>
          </w:tcPr>
          <w:p w14:paraId="6469BD77" w14:textId="77777777" w:rsidR="00000000" w:rsidRDefault="00405D16">
            <w:pPr>
              <w:spacing w:after="100"/>
              <w:rPr>
                <w:rFonts w:eastAsia="Times New Roman"/>
                <w:sz w:val="20"/>
                <w:szCs w:val="20"/>
              </w:rPr>
            </w:pPr>
          </w:p>
        </w:tc>
        <w:tc>
          <w:tcPr>
            <w:tcW w:w="1614" w:type="pct"/>
            <w:vAlign w:val="center"/>
            <w:hideMark/>
          </w:tcPr>
          <w:p w14:paraId="47966482" w14:textId="77777777" w:rsidR="00000000" w:rsidRDefault="00405D16">
            <w:pPr>
              <w:spacing w:after="100"/>
              <w:rPr>
                <w:rFonts w:eastAsia="Times New Roman"/>
                <w:sz w:val="20"/>
                <w:szCs w:val="20"/>
              </w:rPr>
            </w:pPr>
          </w:p>
        </w:tc>
        <w:tc>
          <w:tcPr>
            <w:tcW w:w="5" w:type="pct"/>
            <w:vAlign w:val="center"/>
            <w:hideMark/>
          </w:tcPr>
          <w:p w14:paraId="6F9AA6BD" w14:textId="77777777" w:rsidR="00000000" w:rsidRDefault="00405D16">
            <w:pPr>
              <w:spacing w:after="100"/>
              <w:rPr>
                <w:rFonts w:eastAsia="Times New Roman"/>
                <w:sz w:val="20"/>
                <w:szCs w:val="20"/>
              </w:rPr>
            </w:pPr>
          </w:p>
        </w:tc>
      </w:tr>
      <w:tr w:rsidR="00000000" w14:paraId="170FFA85" w14:textId="77777777">
        <w:trPr>
          <w:divId w:val="169177831"/>
          <w:trHeight w:val="300"/>
          <w:jc w:val="center"/>
        </w:trPr>
        <w:tc>
          <w:tcPr>
            <w:tcW w:w="0" w:type="auto"/>
            <w:gridSpan w:val="9"/>
            <w:tcMar>
              <w:top w:w="0" w:type="dxa"/>
              <w:left w:w="20" w:type="dxa"/>
              <w:bottom w:w="0" w:type="dxa"/>
              <w:right w:w="20" w:type="dxa"/>
            </w:tcMar>
            <w:vAlign w:val="center"/>
            <w:hideMark/>
          </w:tcPr>
          <w:p w14:paraId="433D05B0" w14:textId="77777777" w:rsidR="00000000" w:rsidRDefault="00405D16">
            <w:pPr>
              <w:spacing w:after="100"/>
              <w:rPr>
                <w:rFonts w:eastAsia="Times New Roman"/>
                <w:sz w:val="20"/>
                <w:szCs w:val="20"/>
              </w:rPr>
            </w:pPr>
          </w:p>
        </w:tc>
      </w:tr>
      <w:tr w:rsidR="00000000" w14:paraId="2ECC9D18" w14:textId="77777777">
        <w:trPr>
          <w:divId w:val="169177831"/>
          <w:jc w:val="center"/>
        </w:trPr>
        <w:tc>
          <w:tcPr>
            <w:tcW w:w="0" w:type="auto"/>
            <w:gridSpan w:val="3"/>
            <w:tcMar>
              <w:top w:w="0" w:type="dxa"/>
              <w:left w:w="20" w:type="dxa"/>
              <w:bottom w:w="0" w:type="dxa"/>
              <w:right w:w="20" w:type="dxa"/>
            </w:tcMar>
            <w:vAlign w:val="center"/>
            <w:hideMark/>
          </w:tcPr>
          <w:p w14:paraId="5B0A8207"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D2B2BD9" w14:textId="77777777" w:rsidR="00000000" w:rsidRDefault="00405D16">
            <w:pPr>
              <w:spacing w:after="100"/>
              <w:jc w:val="center"/>
              <w:rPr>
                <w:rFonts w:eastAsia="Times New Roman"/>
              </w:rPr>
            </w:pPr>
            <w:r>
              <w:rPr>
                <w:rFonts w:eastAsia="Times New Roman"/>
                <w:color w:val="000000"/>
                <w:sz w:val="16"/>
                <w:szCs w:val="16"/>
              </w:rPr>
              <w:t>11</w:t>
            </w:r>
          </w:p>
        </w:tc>
        <w:tc>
          <w:tcPr>
            <w:tcW w:w="0" w:type="auto"/>
            <w:gridSpan w:val="3"/>
            <w:tcMar>
              <w:top w:w="30" w:type="dxa"/>
              <w:left w:w="20" w:type="dxa"/>
              <w:bottom w:w="30" w:type="dxa"/>
              <w:right w:w="20" w:type="dxa"/>
            </w:tcMar>
            <w:vAlign w:val="bottom"/>
            <w:hideMark/>
          </w:tcPr>
          <w:p w14:paraId="3C3DED7D"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7AB35C89" w14:textId="77777777" w:rsidR="00000000" w:rsidRDefault="00405D16">
      <w:pPr>
        <w:rPr>
          <w:rFonts w:eastAsia="Times New Roman"/>
        </w:rPr>
      </w:pPr>
      <w:r>
        <w:rPr>
          <w:rFonts w:eastAsia="Times New Roman"/>
        </w:rPr>
        <w:pict w14:anchorId="2D120C7F">
          <v:rect id="_x0000_i1036" style="width:0;height:1.5pt" o:hralign="center" o:hrstd="t" o:hr="t" fillcolor="#a0a0a0" stroked="f"/>
        </w:pict>
      </w:r>
    </w:p>
    <w:p w14:paraId="4DF1E429" w14:textId="77777777" w:rsidR="00000000" w:rsidRDefault="00405D16">
      <w:pPr>
        <w:ind w:hanging="360"/>
        <w:jc w:val="both"/>
        <w:divId w:val="1236746995"/>
        <w:rPr>
          <w:rFonts w:eastAsia="Times New Roman"/>
        </w:rPr>
      </w:pPr>
      <w:hyperlink w:anchor="idd54a04a485440b4ab4e56094c14d612_13" w:history="1">
        <w:r>
          <w:rPr>
            <w:rStyle w:val="a3"/>
            <w:rFonts w:eastAsia="Times New Roman"/>
            <w:sz w:val="16"/>
            <w:szCs w:val="16"/>
          </w:rPr>
          <w:t>Table of Contents</w:t>
        </w:r>
      </w:hyperlink>
    </w:p>
    <w:p w14:paraId="53CAE46A" w14:textId="77777777" w:rsidR="00000000" w:rsidRDefault="00405D16">
      <w:pPr>
        <w:jc w:val="both"/>
        <w:divId w:val="1874611731"/>
        <w:rPr>
          <w:rFonts w:eastAsia="Times New Roman"/>
        </w:rPr>
      </w:pPr>
      <w:r>
        <w:rPr>
          <w:rFonts w:eastAsia="Times New Roman"/>
          <w:color w:val="000000"/>
          <w:sz w:val="20"/>
          <w:szCs w:val="20"/>
        </w:rPr>
        <w:t>Table 2 below presents the average outstanding balance, interest income earned, interest expense incurred and average yield for the third quart</w:t>
      </w:r>
      <w:r>
        <w:rPr>
          <w:rFonts w:eastAsia="Times New Roman"/>
          <w:color w:val="000000"/>
          <w:sz w:val="20"/>
          <w:szCs w:val="20"/>
        </w:rPr>
        <w:t>er and first nine months of 2021 and 2020 for each major category of our interest-earning assets and interest-bearing liabilities. Nonperforming loans are included in the average loan balances below.</w:t>
      </w:r>
    </w:p>
    <w:p w14:paraId="29A9A973" w14:textId="77777777" w:rsidR="00000000" w:rsidRDefault="00405D16">
      <w:pPr>
        <w:divId w:val="1574657877"/>
        <w:rPr>
          <w:rFonts w:eastAsia="Times New Roman"/>
        </w:rPr>
      </w:pPr>
      <w:r>
        <w:rPr>
          <w:rFonts w:eastAsia="Times New Roman"/>
          <w:b/>
          <w:bCs/>
          <w:color w:val="000000"/>
          <w:sz w:val="18"/>
          <w:szCs w:val="18"/>
        </w:rPr>
        <w:t>Table 2: Average Balances, Net Interest Income and Net I</w:t>
      </w:r>
      <w:r>
        <w:rPr>
          <w:rFonts w:eastAsia="Times New Roman"/>
          <w:b/>
          <w:bCs/>
          <w:color w:val="000000"/>
          <w:sz w:val="18"/>
          <w:szCs w:val="18"/>
        </w:rPr>
        <w:t>nterest Margin</w:t>
      </w:r>
    </w:p>
    <w:tbl>
      <w:tblPr>
        <w:tblW w:w="4992" w:type="pct"/>
        <w:tblCellMar>
          <w:top w:w="15" w:type="dxa"/>
          <w:left w:w="15" w:type="dxa"/>
          <w:bottom w:w="15" w:type="dxa"/>
          <w:right w:w="15" w:type="dxa"/>
        </w:tblCellMar>
        <w:tblLook w:val="04A0" w:firstRow="1" w:lastRow="0" w:firstColumn="1" w:lastColumn="0" w:noHBand="0" w:noVBand="1"/>
      </w:tblPr>
      <w:tblGrid>
        <w:gridCol w:w="41"/>
        <w:gridCol w:w="3096"/>
        <w:gridCol w:w="40"/>
        <w:gridCol w:w="36"/>
        <w:gridCol w:w="36"/>
        <w:gridCol w:w="36"/>
        <w:gridCol w:w="110"/>
        <w:gridCol w:w="630"/>
        <w:gridCol w:w="36"/>
        <w:gridCol w:w="36"/>
        <w:gridCol w:w="36"/>
        <w:gridCol w:w="36"/>
        <w:gridCol w:w="111"/>
        <w:gridCol w:w="524"/>
        <w:gridCol w:w="36"/>
        <w:gridCol w:w="36"/>
        <w:gridCol w:w="36"/>
        <w:gridCol w:w="36"/>
        <w:gridCol w:w="78"/>
        <w:gridCol w:w="524"/>
        <w:gridCol w:w="200"/>
        <w:gridCol w:w="36"/>
        <w:gridCol w:w="36"/>
        <w:gridCol w:w="36"/>
        <w:gridCol w:w="110"/>
        <w:gridCol w:w="630"/>
        <w:gridCol w:w="36"/>
        <w:gridCol w:w="36"/>
        <w:gridCol w:w="36"/>
        <w:gridCol w:w="36"/>
        <w:gridCol w:w="111"/>
        <w:gridCol w:w="524"/>
        <w:gridCol w:w="36"/>
        <w:gridCol w:w="36"/>
        <w:gridCol w:w="36"/>
        <w:gridCol w:w="36"/>
        <w:gridCol w:w="78"/>
        <w:gridCol w:w="524"/>
        <w:gridCol w:w="170"/>
      </w:tblGrid>
      <w:tr w:rsidR="00000000" w14:paraId="17FAD8F2" w14:textId="77777777">
        <w:trPr>
          <w:divId w:val="1798405026"/>
        </w:trPr>
        <w:tc>
          <w:tcPr>
            <w:tcW w:w="50" w:type="pct"/>
            <w:vAlign w:val="center"/>
            <w:hideMark/>
          </w:tcPr>
          <w:p w14:paraId="6CD66CAD" w14:textId="77777777" w:rsidR="00000000" w:rsidRDefault="00405D16">
            <w:pPr>
              <w:rPr>
                <w:rFonts w:eastAsia="Times New Roman"/>
              </w:rPr>
            </w:pPr>
          </w:p>
        </w:tc>
        <w:tc>
          <w:tcPr>
            <w:tcW w:w="2353" w:type="pct"/>
            <w:vAlign w:val="center"/>
            <w:hideMark/>
          </w:tcPr>
          <w:p w14:paraId="7914291F" w14:textId="77777777" w:rsidR="00000000" w:rsidRDefault="00405D16">
            <w:pPr>
              <w:spacing w:after="100"/>
              <w:rPr>
                <w:rFonts w:eastAsia="Times New Roman"/>
                <w:sz w:val="20"/>
                <w:szCs w:val="20"/>
              </w:rPr>
            </w:pPr>
          </w:p>
        </w:tc>
        <w:tc>
          <w:tcPr>
            <w:tcW w:w="5" w:type="pct"/>
            <w:vAlign w:val="center"/>
            <w:hideMark/>
          </w:tcPr>
          <w:p w14:paraId="157A8945" w14:textId="77777777" w:rsidR="00000000" w:rsidRDefault="00405D16">
            <w:pPr>
              <w:spacing w:after="100"/>
              <w:rPr>
                <w:rFonts w:eastAsia="Times New Roman"/>
                <w:sz w:val="20"/>
                <w:szCs w:val="20"/>
              </w:rPr>
            </w:pPr>
          </w:p>
        </w:tc>
        <w:tc>
          <w:tcPr>
            <w:tcW w:w="5" w:type="pct"/>
            <w:vAlign w:val="center"/>
            <w:hideMark/>
          </w:tcPr>
          <w:p w14:paraId="18F0CB0D" w14:textId="77777777" w:rsidR="00000000" w:rsidRDefault="00405D16">
            <w:pPr>
              <w:spacing w:after="100"/>
              <w:rPr>
                <w:rFonts w:eastAsia="Times New Roman"/>
                <w:sz w:val="20"/>
                <w:szCs w:val="20"/>
              </w:rPr>
            </w:pPr>
          </w:p>
        </w:tc>
        <w:tc>
          <w:tcPr>
            <w:tcW w:w="26" w:type="pct"/>
            <w:vAlign w:val="center"/>
            <w:hideMark/>
          </w:tcPr>
          <w:p w14:paraId="68AA60ED" w14:textId="77777777" w:rsidR="00000000" w:rsidRDefault="00405D16">
            <w:pPr>
              <w:spacing w:after="100"/>
              <w:rPr>
                <w:rFonts w:eastAsia="Times New Roman"/>
                <w:sz w:val="20"/>
                <w:szCs w:val="20"/>
              </w:rPr>
            </w:pPr>
          </w:p>
        </w:tc>
        <w:tc>
          <w:tcPr>
            <w:tcW w:w="5" w:type="pct"/>
            <w:vAlign w:val="center"/>
            <w:hideMark/>
          </w:tcPr>
          <w:p w14:paraId="6B554E92" w14:textId="77777777" w:rsidR="00000000" w:rsidRDefault="00405D16">
            <w:pPr>
              <w:spacing w:after="100"/>
              <w:rPr>
                <w:rFonts w:eastAsia="Times New Roman"/>
                <w:sz w:val="20"/>
                <w:szCs w:val="20"/>
              </w:rPr>
            </w:pPr>
          </w:p>
        </w:tc>
        <w:tc>
          <w:tcPr>
            <w:tcW w:w="50" w:type="pct"/>
            <w:vAlign w:val="center"/>
            <w:hideMark/>
          </w:tcPr>
          <w:p w14:paraId="42B41526" w14:textId="77777777" w:rsidR="00000000" w:rsidRDefault="00405D16">
            <w:pPr>
              <w:spacing w:after="100"/>
              <w:rPr>
                <w:rFonts w:eastAsia="Times New Roman"/>
                <w:sz w:val="20"/>
                <w:szCs w:val="20"/>
              </w:rPr>
            </w:pPr>
          </w:p>
        </w:tc>
        <w:tc>
          <w:tcPr>
            <w:tcW w:w="340" w:type="pct"/>
            <w:vAlign w:val="center"/>
            <w:hideMark/>
          </w:tcPr>
          <w:p w14:paraId="119C320B" w14:textId="77777777" w:rsidR="00000000" w:rsidRDefault="00405D16">
            <w:pPr>
              <w:spacing w:after="100"/>
              <w:rPr>
                <w:rFonts w:eastAsia="Times New Roman"/>
                <w:sz w:val="20"/>
                <w:szCs w:val="20"/>
              </w:rPr>
            </w:pPr>
          </w:p>
        </w:tc>
        <w:tc>
          <w:tcPr>
            <w:tcW w:w="5" w:type="pct"/>
            <w:vAlign w:val="center"/>
            <w:hideMark/>
          </w:tcPr>
          <w:p w14:paraId="30387E4E" w14:textId="77777777" w:rsidR="00000000" w:rsidRDefault="00405D16">
            <w:pPr>
              <w:spacing w:after="100"/>
              <w:rPr>
                <w:rFonts w:eastAsia="Times New Roman"/>
                <w:sz w:val="20"/>
                <w:szCs w:val="20"/>
              </w:rPr>
            </w:pPr>
          </w:p>
        </w:tc>
        <w:tc>
          <w:tcPr>
            <w:tcW w:w="5" w:type="pct"/>
            <w:vAlign w:val="center"/>
            <w:hideMark/>
          </w:tcPr>
          <w:p w14:paraId="0252338E" w14:textId="77777777" w:rsidR="00000000" w:rsidRDefault="00405D16">
            <w:pPr>
              <w:spacing w:after="100"/>
              <w:rPr>
                <w:rFonts w:eastAsia="Times New Roman"/>
                <w:sz w:val="20"/>
                <w:szCs w:val="20"/>
              </w:rPr>
            </w:pPr>
          </w:p>
        </w:tc>
        <w:tc>
          <w:tcPr>
            <w:tcW w:w="26" w:type="pct"/>
            <w:vAlign w:val="center"/>
            <w:hideMark/>
          </w:tcPr>
          <w:p w14:paraId="2690916D" w14:textId="77777777" w:rsidR="00000000" w:rsidRDefault="00405D16">
            <w:pPr>
              <w:spacing w:after="100"/>
              <w:rPr>
                <w:rFonts w:eastAsia="Times New Roman"/>
                <w:sz w:val="20"/>
                <w:szCs w:val="20"/>
              </w:rPr>
            </w:pPr>
          </w:p>
        </w:tc>
        <w:tc>
          <w:tcPr>
            <w:tcW w:w="5" w:type="pct"/>
            <w:vAlign w:val="center"/>
            <w:hideMark/>
          </w:tcPr>
          <w:p w14:paraId="1327B6FA" w14:textId="77777777" w:rsidR="00000000" w:rsidRDefault="00405D16">
            <w:pPr>
              <w:spacing w:after="100"/>
              <w:rPr>
                <w:rFonts w:eastAsia="Times New Roman"/>
                <w:sz w:val="20"/>
                <w:szCs w:val="20"/>
              </w:rPr>
            </w:pPr>
          </w:p>
        </w:tc>
        <w:tc>
          <w:tcPr>
            <w:tcW w:w="50" w:type="pct"/>
            <w:vAlign w:val="center"/>
            <w:hideMark/>
          </w:tcPr>
          <w:p w14:paraId="75A35E06" w14:textId="77777777" w:rsidR="00000000" w:rsidRDefault="00405D16">
            <w:pPr>
              <w:spacing w:after="100"/>
              <w:rPr>
                <w:rFonts w:eastAsia="Times New Roman"/>
                <w:sz w:val="20"/>
                <w:szCs w:val="20"/>
              </w:rPr>
            </w:pPr>
          </w:p>
        </w:tc>
        <w:tc>
          <w:tcPr>
            <w:tcW w:w="340" w:type="pct"/>
            <w:vAlign w:val="center"/>
            <w:hideMark/>
          </w:tcPr>
          <w:p w14:paraId="175AF7C8" w14:textId="77777777" w:rsidR="00000000" w:rsidRDefault="00405D16">
            <w:pPr>
              <w:spacing w:after="100"/>
              <w:rPr>
                <w:rFonts w:eastAsia="Times New Roman"/>
                <w:sz w:val="20"/>
                <w:szCs w:val="20"/>
              </w:rPr>
            </w:pPr>
          </w:p>
        </w:tc>
        <w:tc>
          <w:tcPr>
            <w:tcW w:w="5" w:type="pct"/>
            <w:vAlign w:val="center"/>
            <w:hideMark/>
          </w:tcPr>
          <w:p w14:paraId="17E060D7" w14:textId="77777777" w:rsidR="00000000" w:rsidRDefault="00405D16">
            <w:pPr>
              <w:spacing w:after="100"/>
              <w:rPr>
                <w:rFonts w:eastAsia="Times New Roman"/>
                <w:sz w:val="20"/>
                <w:szCs w:val="20"/>
              </w:rPr>
            </w:pPr>
          </w:p>
        </w:tc>
        <w:tc>
          <w:tcPr>
            <w:tcW w:w="5" w:type="pct"/>
            <w:vAlign w:val="center"/>
            <w:hideMark/>
          </w:tcPr>
          <w:p w14:paraId="15EFDFE4" w14:textId="77777777" w:rsidR="00000000" w:rsidRDefault="00405D16">
            <w:pPr>
              <w:spacing w:after="100"/>
              <w:rPr>
                <w:rFonts w:eastAsia="Times New Roman"/>
                <w:sz w:val="20"/>
                <w:szCs w:val="20"/>
              </w:rPr>
            </w:pPr>
          </w:p>
        </w:tc>
        <w:tc>
          <w:tcPr>
            <w:tcW w:w="26" w:type="pct"/>
            <w:vAlign w:val="center"/>
            <w:hideMark/>
          </w:tcPr>
          <w:p w14:paraId="2E6CE1C1" w14:textId="77777777" w:rsidR="00000000" w:rsidRDefault="00405D16">
            <w:pPr>
              <w:spacing w:after="100"/>
              <w:rPr>
                <w:rFonts w:eastAsia="Times New Roman"/>
                <w:sz w:val="20"/>
                <w:szCs w:val="20"/>
              </w:rPr>
            </w:pPr>
          </w:p>
        </w:tc>
        <w:tc>
          <w:tcPr>
            <w:tcW w:w="5" w:type="pct"/>
            <w:vAlign w:val="center"/>
            <w:hideMark/>
          </w:tcPr>
          <w:p w14:paraId="221D7E3C" w14:textId="77777777" w:rsidR="00000000" w:rsidRDefault="00405D16">
            <w:pPr>
              <w:spacing w:after="100"/>
              <w:rPr>
                <w:rFonts w:eastAsia="Times New Roman"/>
                <w:sz w:val="20"/>
                <w:szCs w:val="20"/>
              </w:rPr>
            </w:pPr>
          </w:p>
        </w:tc>
        <w:tc>
          <w:tcPr>
            <w:tcW w:w="50" w:type="pct"/>
            <w:vAlign w:val="center"/>
            <w:hideMark/>
          </w:tcPr>
          <w:p w14:paraId="60808475" w14:textId="77777777" w:rsidR="00000000" w:rsidRDefault="00405D16">
            <w:pPr>
              <w:spacing w:after="100"/>
              <w:rPr>
                <w:rFonts w:eastAsia="Times New Roman"/>
                <w:sz w:val="20"/>
                <w:szCs w:val="20"/>
              </w:rPr>
            </w:pPr>
          </w:p>
        </w:tc>
        <w:tc>
          <w:tcPr>
            <w:tcW w:w="340" w:type="pct"/>
            <w:vAlign w:val="center"/>
            <w:hideMark/>
          </w:tcPr>
          <w:p w14:paraId="3D667357" w14:textId="77777777" w:rsidR="00000000" w:rsidRDefault="00405D16">
            <w:pPr>
              <w:spacing w:after="100"/>
              <w:rPr>
                <w:rFonts w:eastAsia="Times New Roman"/>
                <w:sz w:val="20"/>
                <w:szCs w:val="20"/>
              </w:rPr>
            </w:pPr>
          </w:p>
        </w:tc>
        <w:tc>
          <w:tcPr>
            <w:tcW w:w="5" w:type="pct"/>
            <w:vAlign w:val="center"/>
            <w:hideMark/>
          </w:tcPr>
          <w:p w14:paraId="1E63AD98" w14:textId="77777777" w:rsidR="00000000" w:rsidRDefault="00405D16">
            <w:pPr>
              <w:spacing w:after="100"/>
              <w:rPr>
                <w:rFonts w:eastAsia="Times New Roman"/>
                <w:sz w:val="20"/>
                <w:szCs w:val="20"/>
              </w:rPr>
            </w:pPr>
          </w:p>
        </w:tc>
        <w:tc>
          <w:tcPr>
            <w:tcW w:w="5" w:type="pct"/>
            <w:vAlign w:val="center"/>
            <w:hideMark/>
          </w:tcPr>
          <w:p w14:paraId="710763A7" w14:textId="77777777" w:rsidR="00000000" w:rsidRDefault="00405D16">
            <w:pPr>
              <w:spacing w:after="100"/>
              <w:rPr>
                <w:rFonts w:eastAsia="Times New Roman"/>
                <w:sz w:val="20"/>
                <w:szCs w:val="20"/>
              </w:rPr>
            </w:pPr>
          </w:p>
        </w:tc>
        <w:tc>
          <w:tcPr>
            <w:tcW w:w="26" w:type="pct"/>
            <w:vAlign w:val="center"/>
            <w:hideMark/>
          </w:tcPr>
          <w:p w14:paraId="4386E9CA" w14:textId="77777777" w:rsidR="00000000" w:rsidRDefault="00405D16">
            <w:pPr>
              <w:spacing w:after="100"/>
              <w:rPr>
                <w:rFonts w:eastAsia="Times New Roman"/>
                <w:sz w:val="20"/>
                <w:szCs w:val="20"/>
              </w:rPr>
            </w:pPr>
          </w:p>
        </w:tc>
        <w:tc>
          <w:tcPr>
            <w:tcW w:w="5" w:type="pct"/>
            <w:vAlign w:val="center"/>
            <w:hideMark/>
          </w:tcPr>
          <w:p w14:paraId="29C3C86B" w14:textId="77777777" w:rsidR="00000000" w:rsidRDefault="00405D16">
            <w:pPr>
              <w:spacing w:after="100"/>
              <w:rPr>
                <w:rFonts w:eastAsia="Times New Roman"/>
                <w:sz w:val="20"/>
                <w:szCs w:val="20"/>
              </w:rPr>
            </w:pPr>
          </w:p>
        </w:tc>
        <w:tc>
          <w:tcPr>
            <w:tcW w:w="50" w:type="pct"/>
            <w:vAlign w:val="center"/>
            <w:hideMark/>
          </w:tcPr>
          <w:p w14:paraId="56EC8923" w14:textId="77777777" w:rsidR="00000000" w:rsidRDefault="00405D16">
            <w:pPr>
              <w:spacing w:after="100"/>
              <w:rPr>
                <w:rFonts w:eastAsia="Times New Roman"/>
                <w:sz w:val="20"/>
                <w:szCs w:val="20"/>
              </w:rPr>
            </w:pPr>
          </w:p>
        </w:tc>
        <w:tc>
          <w:tcPr>
            <w:tcW w:w="340" w:type="pct"/>
            <w:vAlign w:val="center"/>
            <w:hideMark/>
          </w:tcPr>
          <w:p w14:paraId="4B55DC81" w14:textId="77777777" w:rsidR="00000000" w:rsidRDefault="00405D16">
            <w:pPr>
              <w:spacing w:after="100"/>
              <w:rPr>
                <w:rFonts w:eastAsia="Times New Roman"/>
                <w:sz w:val="20"/>
                <w:szCs w:val="20"/>
              </w:rPr>
            </w:pPr>
          </w:p>
        </w:tc>
        <w:tc>
          <w:tcPr>
            <w:tcW w:w="5" w:type="pct"/>
            <w:vAlign w:val="center"/>
            <w:hideMark/>
          </w:tcPr>
          <w:p w14:paraId="37F92412" w14:textId="77777777" w:rsidR="00000000" w:rsidRDefault="00405D16">
            <w:pPr>
              <w:spacing w:after="100"/>
              <w:rPr>
                <w:rFonts w:eastAsia="Times New Roman"/>
                <w:sz w:val="20"/>
                <w:szCs w:val="20"/>
              </w:rPr>
            </w:pPr>
          </w:p>
        </w:tc>
        <w:tc>
          <w:tcPr>
            <w:tcW w:w="5" w:type="pct"/>
            <w:vAlign w:val="center"/>
            <w:hideMark/>
          </w:tcPr>
          <w:p w14:paraId="6BE98CE5" w14:textId="77777777" w:rsidR="00000000" w:rsidRDefault="00405D16">
            <w:pPr>
              <w:spacing w:after="100"/>
              <w:rPr>
                <w:rFonts w:eastAsia="Times New Roman"/>
                <w:sz w:val="20"/>
                <w:szCs w:val="20"/>
              </w:rPr>
            </w:pPr>
          </w:p>
        </w:tc>
        <w:tc>
          <w:tcPr>
            <w:tcW w:w="26" w:type="pct"/>
            <w:vAlign w:val="center"/>
            <w:hideMark/>
          </w:tcPr>
          <w:p w14:paraId="79CF1C88" w14:textId="77777777" w:rsidR="00000000" w:rsidRDefault="00405D16">
            <w:pPr>
              <w:spacing w:after="100"/>
              <w:rPr>
                <w:rFonts w:eastAsia="Times New Roman"/>
                <w:sz w:val="20"/>
                <w:szCs w:val="20"/>
              </w:rPr>
            </w:pPr>
          </w:p>
        </w:tc>
        <w:tc>
          <w:tcPr>
            <w:tcW w:w="5" w:type="pct"/>
            <w:vAlign w:val="center"/>
            <w:hideMark/>
          </w:tcPr>
          <w:p w14:paraId="19868A9D" w14:textId="77777777" w:rsidR="00000000" w:rsidRDefault="00405D16">
            <w:pPr>
              <w:spacing w:after="100"/>
              <w:rPr>
                <w:rFonts w:eastAsia="Times New Roman"/>
                <w:sz w:val="20"/>
                <w:szCs w:val="20"/>
              </w:rPr>
            </w:pPr>
          </w:p>
        </w:tc>
        <w:tc>
          <w:tcPr>
            <w:tcW w:w="50" w:type="pct"/>
            <w:vAlign w:val="center"/>
            <w:hideMark/>
          </w:tcPr>
          <w:p w14:paraId="59807097" w14:textId="77777777" w:rsidR="00000000" w:rsidRDefault="00405D16">
            <w:pPr>
              <w:spacing w:after="100"/>
              <w:rPr>
                <w:rFonts w:eastAsia="Times New Roman"/>
                <w:sz w:val="20"/>
                <w:szCs w:val="20"/>
              </w:rPr>
            </w:pPr>
          </w:p>
        </w:tc>
        <w:tc>
          <w:tcPr>
            <w:tcW w:w="340" w:type="pct"/>
            <w:vAlign w:val="center"/>
            <w:hideMark/>
          </w:tcPr>
          <w:p w14:paraId="2F6C3C9B" w14:textId="77777777" w:rsidR="00000000" w:rsidRDefault="00405D16">
            <w:pPr>
              <w:spacing w:after="100"/>
              <w:rPr>
                <w:rFonts w:eastAsia="Times New Roman"/>
                <w:sz w:val="20"/>
                <w:szCs w:val="20"/>
              </w:rPr>
            </w:pPr>
          </w:p>
        </w:tc>
        <w:tc>
          <w:tcPr>
            <w:tcW w:w="5" w:type="pct"/>
            <w:vAlign w:val="center"/>
            <w:hideMark/>
          </w:tcPr>
          <w:p w14:paraId="665DC16D" w14:textId="77777777" w:rsidR="00000000" w:rsidRDefault="00405D16">
            <w:pPr>
              <w:spacing w:after="100"/>
              <w:rPr>
                <w:rFonts w:eastAsia="Times New Roman"/>
                <w:sz w:val="20"/>
                <w:szCs w:val="20"/>
              </w:rPr>
            </w:pPr>
          </w:p>
        </w:tc>
        <w:tc>
          <w:tcPr>
            <w:tcW w:w="5" w:type="pct"/>
            <w:vAlign w:val="center"/>
            <w:hideMark/>
          </w:tcPr>
          <w:p w14:paraId="35D25880" w14:textId="77777777" w:rsidR="00000000" w:rsidRDefault="00405D16">
            <w:pPr>
              <w:spacing w:after="100"/>
              <w:rPr>
                <w:rFonts w:eastAsia="Times New Roman"/>
                <w:sz w:val="20"/>
                <w:szCs w:val="20"/>
              </w:rPr>
            </w:pPr>
          </w:p>
        </w:tc>
        <w:tc>
          <w:tcPr>
            <w:tcW w:w="26" w:type="pct"/>
            <w:vAlign w:val="center"/>
            <w:hideMark/>
          </w:tcPr>
          <w:p w14:paraId="619A0189" w14:textId="77777777" w:rsidR="00000000" w:rsidRDefault="00405D16">
            <w:pPr>
              <w:spacing w:after="100"/>
              <w:rPr>
                <w:rFonts w:eastAsia="Times New Roman"/>
                <w:sz w:val="20"/>
                <w:szCs w:val="20"/>
              </w:rPr>
            </w:pPr>
          </w:p>
        </w:tc>
        <w:tc>
          <w:tcPr>
            <w:tcW w:w="5" w:type="pct"/>
            <w:vAlign w:val="center"/>
            <w:hideMark/>
          </w:tcPr>
          <w:p w14:paraId="6C39D935" w14:textId="77777777" w:rsidR="00000000" w:rsidRDefault="00405D16">
            <w:pPr>
              <w:spacing w:after="100"/>
              <w:rPr>
                <w:rFonts w:eastAsia="Times New Roman"/>
                <w:sz w:val="20"/>
                <w:szCs w:val="20"/>
              </w:rPr>
            </w:pPr>
          </w:p>
        </w:tc>
        <w:tc>
          <w:tcPr>
            <w:tcW w:w="50" w:type="pct"/>
            <w:vAlign w:val="center"/>
            <w:hideMark/>
          </w:tcPr>
          <w:p w14:paraId="024EAA70" w14:textId="77777777" w:rsidR="00000000" w:rsidRDefault="00405D16">
            <w:pPr>
              <w:spacing w:after="100"/>
              <w:rPr>
                <w:rFonts w:eastAsia="Times New Roman"/>
                <w:sz w:val="20"/>
                <w:szCs w:val="20"/>
              </w:rPr>
            </w:pPr>
          </w:p>
        </w:tc>
        <w:tc>
          <w:tcPr>
            <w:tcW w:w="340" w:type="pct"/>
            <w:vAlign w:val="center"/>
            <w:hideMark/>
          </w:tcPr>
          <w:p w14:paraId="1EED389F" w14:textId="77777777" w:rsidR="00000000" w:rsidRDefault="00405D16">
            <w:pPr>
              <w:spacing w:after="100"/>
              <w:rPr>
                <w:rFonts w:eastAsia="Times New Roman"/>
                <w:sz w:val="20"/>
                <w:szCs w:val="20"/>
              </w:rPr>
            </w:pPr>
          </w:p>
        </w:tc>
        <w:tc>
          <w:tcPr>
            <w:tcW w:w="5" w:type="pct"/>
            <w:vAlign w:val="center"/>
            <w:hideMark/>
          </w:tcPr>
          <w:p w14:paraId="0DA1EC81" w14:textId="77777777" w:rsidR="00000000" w:rsidRDefault="00405D16">
            <w:pPr>
              <w:spacing w:after="100"/>
              <w:rPr>
                <w:rFonts w:eastAsia="Times New Roman"/>
                <w:sz w:val="20"/>
                <w:szCs w:val="20"/>
              </w:rPr>
            </w:pPr>
          </w:p>
        </w:tc>
      </w:tr>
      <w:tr w:rsidR="00000000" w14:paraId="15A3F503" w14:textId="77777777">
        <w:trPr>
          <w:divId w:val="1798405026"/>
        </w:trPr>
        <w:tc>
          <w:tcPr>
            <w:tcW w:w="0" w:type="auto"/>
            <w:gridSpan w:val="3"/>
            <w:vAlign w:val="center"/>
            <w:hideMark/>
          </w:tcPr>
          <w:p w14:paraId="0D618BB7" w14:textId="77777777" w:rsidR="00000000" w:rsidRDefault="00405D16">
            <w:pPr>
              <w:spacing w:after="100"/>
              <w:rPr>
                <w:rFonts w:eastAsia="Times New Roman"/>
                <w:sz w:val="20"/>
                <w:szCs w:val="20"/>
              </w:rPr>
            </w:pPr>
          </w:p>
        </w:tc>
        <w:tc>
          <w:tcPr>
            <w:tcW w:w="0" w:type="auto"/>
            <w:vAlign w:val="center"/>
            <w:hideMark/>
          </w:tcPr>
          <w:p w14:paraId="7239B01D" w14:textId="77777777" w:rsidR="00000000" w:rsidRDefault="00405D16">
            <w:pPr>
              <w:spacing w:after="100"/>
              <w:rPr>
                <w:rFonts w:eastAsia="Times New Roman"/>
                <w:sz w:val="20"/>
                <w:szCs w:val="20"/>
              </w:rPr>
            </w:pPr>
          </w:p>
        </w:tc>
        <w:tc>
          <w:tcPr>
            <w:tcW w:w="0" w:type="auto"/>
            <w:vAlign w:val="center"/>
            <w:hideMark/>
          </w:tcPr>
          <w:p w14:paraId="2A263110" w14:textId="77777777" w:rsidR="00000000" w:rsidRDefault="00405D16">
            <w:pPr>
              <w:spacing w:after="100"/>
              <w:rPr>
                <w:rFonts w:eastAsia="Times New Roman"/>
                <w:sz w:val="20"/>
                <w:szCs w:val="20"/>
              </w:rPr>
            </w:pPr>
          </w:p>
        </w:tc>
        <w:tc>
          <w:tcPr>
            <w:tcW w:w="0" w:type="auto"/>
            <w:vAlign w:val="center"/>
            <w:hideMark/>
          </w:tcPr>
          <w:p w14:paraId="1634F547" w14:textId="77777777" w:rsidR="00000000" w:rsidRDefault="00405D16">
            <w:pPr>
              <w:spacing w:after="100"/>
              <w:rPr>
                <w:rFonts w:eastAsia="Times New Roman"/>
                <w:sz w:val="20"/>
                <w:szCs w:val="20"/>
              </w:rPr>
            </w:pPr>
          </w:p>
        </w:tc>
        <w:tc>
          <w:tcPr>
            <w:tcW w:w="0" w:type="auto"/>
            <w:vAlign w:val="center"/>
            <w:hideMark/>
          </w:tcPr>
          <w:p w14:paraId="08B25CB1" w14:textId="77777777" w:rsidR="00000000" w:rsidRDefault="00405D16">
            <w:pPr>
              <w:spacing w:after="100"/>
              <w:rPr>
                <w:rFonts w:eastAsia="Times New Roman"/>
                <w:sz w:val="20"/>
                <w:szCs w:val="20"/>
              </w:rPr>
            </w:pPr>
          </w:p>
        </w:tc>
        <w:tc>
          <w:tcPr>
            <w:tcW w:w="0" w:type="auto"/>
            <w:vAlign w:val="center"/>
            <w:hideMark/>
          </w:tcPr>
          <w:p w14:paraId="3D9AB91C" w14:textId="77777777" w:rsidR="00000000" w:rsidRDefault="00405D16">
            <w:pPr>
              <w:spacing w:after="100"/>
              <w:rPr>
                <w:rFonts w:eastAsia="Times New Roman"/>
                <w:sz w:val="20"/>
                <w:szCs w:val="20"/>
              </w:rPr>
            </w:pPr>
          </w:p>
        </w:tc>
        <w:tc>
          <w:tcPr>
            <w:tcW w:w="0" w:type="auto"/>
            <w:vAlign w:val="center"/>
            <w:hideMark/>
          </w:tcPr>
          <w:p w14:paraId="73BC3399" w14:textId="77777777" w:rsidR="00000000" w:rsidRDefault="00405D16">
            <w:pPr>
              <w:spacing w:after="100"/>
              <w:rPr>
                <w:rFonts w:eastAsia="Times New Roman"/>
                <w:sz w:val="20"/>
                <w:szCs w:val="20"/>
              </w:rPr>
            </w:pPr>
          </w:p>
        </w:tc>
        <w:tc>
          <w:tcPr>
            <w:tcW w:w="0" w:type="auto"/>
            <w:vAlign w:val="center"/>
            <w:hideMark/>
          </w:tcPr>
          <w:p w14:paraId="161458EA" w14:textId="77777777" w:rsidR="00000000" w:rsidRDefault="00405D16">
            <w:pPr>
              <w:spacing w:after="100"/>
              <w:rPr>
                <w:rFonts w:eastAsia="Times New Roman"/>
                <w:sz w:val="20"/>
                <w:szCs w:val="20"/>
              </w:rPr>
            </w:pPr>
          </w:p>
        </w:tc>
        <w:tc>
          <w:tcPr>
            <w:tcW w:w="0" w:type="auto"/>
            <w:vAlign w:val="center"/>
            <w:hideMark/>
          </w:tcPr>
          <w:p w14:paraId="25A3C4E1" w14:textId="77777777" w:rsidR="00000000" w:rsidRDefault="00405D16">
            <w:pPr>
              <w:spacing w:after="100"/>
              <w:rPr>
                <w:rFonts w:eastAsia="Times New Roman"/>
                <w:sz w:val="20"/>
                <w:szCs w:val="20"/>
              </w:rPr>
            </w:pPr>
          </w:p>
        </w:tc>
        <w:tc>
          <w:tcPr>
            <w:tcW w:w="0" w:type="auto"/>
            <w:vAlign w:val="center"/>
            <w:hideMark/>
          </w:tcPr>
          <w:p w14:paraId="16C4A43D" w14:textId="77777777" w:rsidR="00000000" w:rsidRDefault="00405D16">
            <w:pPr>
              <w:spacing w:after="100"/>
              <w:rPr>
                <w:rFonts w:eastAsia="Times New Roman"/>
                <w:sz w:val="20"/>
                <w:szCs w:val="20"/>
              </w:rPr>
            </w:pPr>
          </w:p>
        </w:tc>
        <w:tc>
          <w:tcPr>
            <w:tcW w:w="0" w:type="auto"/>
            <w:vAlign w:val="center"/>
            <w:hideMark/>
          </w:tcPr>
          <w:p w14:paraId="10DD69FE" w14:textId="77777777" w:rsidR="00000000" w:rsidRDefault="00405D16">
            <w:pPr>
              <w:spacing w:after="100"/>
              <w:rPr>
                <w:rFonts w:eastAsia="Times New Roman"/>
                <w:sz w:val="20"/>
                <w:szCs w:val="20"/>
              </w:rPr>
            </w:pPr>
          </w:p>
        </w:tc>
        <w:tc>
          <w:tcPr>
            <w:tcW w:w="0" w:type="auto"/>
            <w:vAlign w:val="center"/>
            <w:hideMark/>
          </w:tcPr>
          <w:p w14:paraId="1937E0BC" w14:textId="77777777" w:rsidR="00000000" w:rsidRDefault="00405D16">
            <w:pPr>
              <w:spacing w:after="100"/>
              <w:rPr>
                <w:rFonts w:eastAsia="Times New Roman"/>
                <w:sz w:val="20"/>
                <w:szCs w:val="20"/>
              </w:rPr>
            </w:pPr>
          </w:p>
        </w:tc>
        <w:tc>
          <w:tcPr>
            <w:tcW w:w="0" w:type="auto"/>
            <w:vAlign w:val="center"/>
            <w:hideMark/>
          </w:tcPr>
          <w:p w14:paraId="0FB54D43" w14:textId="77777777" w:rsidR="00000000" w:rsidRDefault="00405D16">
            <w:pPr>
              <w:spacing w:after="100"/>
              <w:rPr>
                <w:rFonts w:eastAsia="Times New Roman"/>
                <w:sz w:val="20"/>
                <w:szCs w:val="20"/>
              </w:rPr>
            </w:pPr>
          </w:p>
        </w:tc>
        <w:tc>
          <w:tcPr>
            <w:tcW w:w="0" w:type="auto"/>
            <w:vAlign w:val="center"/>
            <w:hideMark/>
          </w:tcPr>
          <w:p w14:paraId="3961C953" w14:textId="77777777" w:rsidR="00000000" w:rsidRDefault="00405D16">
            <w:pPr>
              <w:spacing w:after="100"/>
              <w:rPr>
                <w:rFonts w:eastAsia="Times New Roman"/>
                <w:sz w:val="20"/>
                <w:szCs w:val="20"/>
              </w:rPr>
            </w:pPr>
          </w:p>
        </w:tc>
        <w:tc>
          <w:tcPr>
            <w:tcW w:w="0" w:type="auto"/>
            <w:vAlign w:val="center"/>
            <w:hideMark/>
          </w:tcPr>
          <w:p w14:paraId="777541A7" w14:textId="77777777" w:rsidR="00000000" w:rsidRDefault="00405D16">
            <w:pPr>
              <w:spacing w:after="100"/>
              <w:rPr>
                <w:rFonts w:eastAsia="Times New Roman"/>
                <w:sz w:val="20"/>
                <w:szCs w:val="20"/>
              </w:rPr>
            </w:pPr>
          </w:p>
        </w:tc>
        <w:tc>
          <w:tcPr>
            <w:tcW w:w="0" w:type="auto"/>
            <w:vAlign w:val="center"/>
            <w:hideMark/>
          </w:tcPr>
          <w:p w14:paraId="68648EF7" w14:textId="77777777" w:rsidR="00000000" w:rsidRDefault="00405D16">
            <w:pPr>
              <w:spacing w:after="100"/>
              <w:rPr>
                <w:rFonts w:eastAsia="Times New Roman"/>
                <w:sz w:val="20"/>
                <w:szCs w:val="20"/>
              </w:rPr>
            </w:pPr>
          </w:p>
        </w:tc>
        <w:tc>
          <w:tcPr>
            <w:tcW w:w="0" w:type="auto"/>
            <w:vAlign w:val="center"/>
            <w:hideMark/>
          </w:tcPr>
          <w:p w14:paraId="74CD77C3" w14:textId="77777777" w:rsidR="00000000" w:rsidRDefault="00405D16">
            <w:pPr>
              <w:spacing w:after="100"/>
              <w:rPr>
                <w:rFonts w:eastAsia="Times New Roman"/>
                <w:sz w:val="20"/>
                <w:szCs w:val="20"/>
              </w:rPr>
            </w:pPr>
          </w:p>
        </w:tc>
        <w:tc>
          <w:tcPr>
            <w:tcW w:w="0" w:type="auto"/>
            <w:vAlign w:val="center"/>
            <w:hideMark/>
          </w:tcPr>
          <w:p w14:paraId="09787279" w14:textId="77777777" w:rsidR="00000000" w:rsidRDefault="00405D16">
            <w:pPr>
              <w:spacing w:after="100"/>
              <w:rPr>
                <w:rFonts w:eastAsia="Times New Roman"/>
                <w:sz w:val="20"/>
                <w:szCs w:val="20"/>
              </w:rPr>
            </w:pPr>
          </w:p>
        </w:tc>
        <w:tc>
          <w:tcPr>
            <w:tcW w:w="0" w:type="auto"/>
            <w:vAlign w:val="center"/>
            <w:hideMark/>
          </w:tcPr>
          <w:p w14:paraId="6CCC3E88" w14:textId="77777777" w:rsidR="00000000" w:rsidRDefault="00405D16">
            <w:pPr>
              <w:spacing w:after="100"/>
              <w:rPr>
                <w:rFonts w:eastAsia="Times New Roman"/>
                <w:sz w:val="20"/>
                <w:szCs w:val="20"/>
              </w:rPr>
            </w:pPr>
          </w:p>
        </w:tc>
        <w:tc>
          <w:tcPr>
            <w:tcW w:w="0" w:type="auto"/>
            <w:vAlign w:val="center"/>
            <w:hideMark/>
          </w:tcPr>
          <w:p w14:paraId="7287D88C" w14:textId="77777777" w:rsidR="00000000" w:rsidRDefault="00405D16">
            <w:pPr>
              <w:spacing w:after="100"/>
              <w:rPr>
                <w:rFonts w:eastAsia="Times New Roman"/>
                <w:sz w:val="20"/>
                <w:szCs w:val="20"/>
              </w:rPr>
            </w:pPr>
          </w:p>
        </w:tc>
        <w:tc>
          <w:tcPr>
            <w:tcW w:w="0" w:type="auto"/>
            <w:vAlign w:val="center"/>
            <w:hideMark/>
          </w:tcPr>
          <w:p w14:paraId="608B577D" w14:textId="77777777" w:rsidR="00000000" w:rsidRDefault="00405D16">
            <w:pPr>
              <w:spacing w:after="100"/>
              <w:rPr>
                <w:rFonts w:eastAsia="Times New Roman"/>
                <w:sz w:val="20"/>
                <w:szCs w:val="20"/>
              </w:rPr>
            </w:pPr>
          </w:p>
        </w:tc>
        <w:tc>
          <w:tcPr>
            <w:tcW w:w="0" w:type="auto"/>
            <w:vAlign w:val="center"/>
            <w:hideMark/>
          </w:tcPr>
          <w:p w14:paraId="5CA82E26" w14:textId="77777777" w:rsidR="00000000" w:rsidRDefault="00405D16">
            <w:pPr>
              <w:spacing w:after="100"/>
              <w:rPr>
                <w:rFonts w:eastAsia="Times New Roman"/>
                <w:sz w:val="20"/>
                <w:szCs w:val="20"/>
              </w:rPr>
            </w:pPr>
          </w:p>
        </w:tc>
        <w:tc>
          <w:tcPr>
            <w:tcW w:w="0" w:type="auto"/>
            <w:vAlign w:val="center"/>
            <w:hideMark/>
          </w:tcPr>
          <w:p w14:paraId="3AFF5C8B" w14:textId="77777777" w:rsidR="00000000" w:rsidRDefault="00405D16">
            <w:pPr>
              <w:spacing w:after="100"/>
              <w:rPr>
                <w:rFonts w:eastAsia="Times New Roman"/>
                <w:sz w:val="20"/>
                <w:szCs w:val="20"/>
              </w:rPr>
            </w:pPr>
          </w:p>
        </w:tc>
        <w:tc>
          <w:tcPr>
            <w:tcW w:w="0" w:type="auto"/>
            <w:vAlign w:val="center"/>
            <w:hideMark/>
          </w:tcPr>
          <w:p w14:paraId="718E1A2F" w14:textId="77777777" w:rsidR="00000000" w:rsidRDefault="00405D16">
            <w:pPr>
              <w:spacing w:after="100"/>
              <w:rPr>
                <w:rFonts w:eastAsia="Times New Roman"/>
                <w:sz w:val="20"/>
                <w:szCs w:val="20"/>
              </w:rPr>
            </w:pPr>
          </w:p>
        </w:tc>
        <w:tc>
          <w:tcPr>
            <w:tcW w:w="0" w:type="auto"/>
            <w:vAlign w:val="center"/>
            <w:hideMark/>
          </w:tcPr>
          <w:p w14:paraId="738F672B" w14:textId="77777777" w:rsidR="00000000" w:rsidRDefault="00405D16">
            <w:pPr>
              <w:spacing w:after="100"/>
              <w:rPr>
                <w:rFonts w:eastAsia="Times New Roman"/>
                <w:sz w:val="20"/>
                <w:szCs w:val="20"/>
              </w:rPr>
            </w:pPr>
          </w:p>
        </w:tc>
        <w:tc>
          <w:tcPr>
            <w:tcW w:w="0" w:type="auto"/>
            <w:vAlign w:val="center"/>
            <w:hideMark/>
          </w:tcPr>
          <w:p w14:paraId="5F75E49D" w14:textId="77777777" w:rsidR="00000000" w:rsidRDefault="00405D16">
            <w:pPr>
              <w:spacing w:after="100"/>
              <w:rPr>
                <w:rFonts w:eastAsia="Times New Roman"/>
                <w:sz w:val="20"/>
                <w:szCs w:val="20"/>
              </w:rPr>
            </w:pPr>
          </w:p>
        </w:tc>
        <w:tc>
          <w:tcPr>
            <w:tcW w:w="0" w:type="auto"/>
            <w:vAlign w:val="center"/>
            <w:hideMark/>
          </w:tcPr>
          <w:p w14:paraId="48D04EF3" w14:textId="77777777" w:rsidR="00000000" w:rsidRDefault="00405D16">
            <w:pPr>
              <w:spacing w:after="100"/>
              <w:rPr>
                <w:rFonts w:eastAsia="Times New Roman"/>
                <w:sz w:val="20"/>
                <w:szCs w:val="20"/>
              </w:rPr>
            </w:pPr>
          </w:p>
        </w:tc>
        <w:tc>
          <w:tcPr>
            <w:tcW w:w="0" w:type="auto"/>
            <w:vAlign w:val="center"/>
            <w:hideMark/>
          </w:tcPr>
          <w:p w14:paraId="7A719A0A" w14:textId="77777777" w:rsidR="00000000" w:rsidRDefault="00405D16">
            <w:pPr>
              <w:spacing w:after="100"/>
              <w:rPr>
                <w:rFonts w:eastAsia="Times New Roman"/>
                <w:sz w:val="20"/>
                <w:szCs w:val="20"/>
              </w:rPr>
            </w:pPr>
          </w:p>
        </w:tc>
        <w:tc>
          <w:tcPr>
            <w:tcW w:w="0" w:type="auto"/>
            <w:vAlign w:val="center"/>
            <w:hideMark/>
          </w:tcPr>
          <w:p w14:paraId="732F62B2" w14:textId="77777777" w:rsidR="00000000" w:rsidRDefault="00405D16">
            <w:pPr>
              <w:spacing w:after="100"/>
              <w:rPr>
                <w:rFonts w:eastAsia="Times New Roman"/>
                <w:sz w:val="20"/>
                <w:szCs w:val="20"/>
              </w:rPr>
            </w:pPr>
          </w:p>
        </w:tc>
        <w:tc>
          <w:tcPr>
            <w:tcW w:w="0" w:type="auto"/>
            <w:vAlign w:val="center"/>
            <w:hideMark/>
          </w:tcPr>
          <w:p w14:paraId="7BEA4A9C" w14:textId="77777777" w:rsidR="00000000" w:rsidRDefault="00405D16">
            <w:pPr>
              <w:spacing w:after="100"/>
              <w:rPr>
                <w:rFonts w:eastAsia="Times New Roman"/>
                <w:sz w:val="20"/>
                <w:szCs w:val="20"/>
              </w:rPr>
            </w:pPr>
          </w:p>
        </w:tc>
        <w:tc>
          <w:tcPr>
            <w:tcW w:w="0" w:type="auto"/>
            <w:vAlign w:val="center"/>
            <w:hideMark/>
          </w:tcPr>
          <w:p w14:paraId="663D3DED" w14:textId="77777777" w:rsidR="00000000" w:rsidRDefault="00405D16">
            <w:pPr>
              <w:spacing w:after="100"/>
              <w:rPr>
                <w:rFonts w:eastAsia="Times New Roman"/>
                <w:sz w:val="20"/>
                <w:szCs w:val="20"/>
              </w:rPr>
            </w:pPr>
          </w:p>
        </w:tc>
        <w:tc>
          <w:tcPr>
            <w:tcW w:w="0" w:type="auto"/>
            <w:vAlign w:val="center"/>
            <w:hideMark/>
          </w:tcPr>
          <w:p w14:paraId="567DA5A8" w14:textId="77777777" w:rsidR="00000000" w:rsidRDefault="00405D16">
            <w:pPr>
              <w:spacing w:after="100"/>
              <w:rPr>
                <w:rFonts w:eastAsia="Times New Roman"/>
                <w:sz w:val="20"/>
                <w:szCs w:val="20"/>
              </w:rPr>
            </w:pPr>
          </w:p>
        </w:tc>
        <w:tc>
          <w:tcPr>
            <w:tcW w:w="0" w:type="auto"/>
            <w:vAlign w:val="center"/>
            <w:hideMark/>
          </w:tcPr>
          <w:p w14:paraId="2D4901D6" w14:textId="77777777" w:rsidR="00000000" w:rsidRDefault="00405D16">
            <w:pPr>
              <w:spacing w:after="100"/>
              <w:rPr>
                <w:rFonts w:eastAsia="Times New Roman"/>
                <w:sz w:val="20"/>
                <w:szCs w:val="20"/>
              </w:rPr>
            </w:pPr>
          </w:p>
        </w:tc>
        <w:tc>
          <w:tcPr>
            <w:tcW w:w="0" w:type="auto"/>
            <w:vAlign w:val="center"/>
            <w:hideMark/>
          </w:tcPr>
          <w:p w14:paraId="64D8467B" w14:textId="77777777" w:rsidR="00000000" w:rsidRDefault="00405D16">
            <w:pPr>
              <w:spacing w:after="100"/>
              <w:rPr>
                <w:rFonts w:eastAsia="Times New Roman"/>
                <w:sz w:val="20"/>
                <w:szCs w:val="20"/>
              </w:rPr>
            </w:pPr>
          </w:p>
        </w:tc>
        <w:tc>
          <w:tcPr>
            <w:tcW w:w="0" w:type="auto"/>
            <w:vAlign w:val="center"/>
            <w:hideMark/>
          </w:tcPr>
          <w:p w14:paraId="5814D16C" w14:textId="77777777" w:rsidR="00000000" w:rsidRDefault="00405D16">
            <w:pPr>
              <w:spacing w:after="100"/>
              <w:rPr>
                <w:rFonts w:eastAsia="Times New Roman"/>
                <w:sz w:val="20"/>
                <w:szCs w:val="20"/>
              </w:rPr>
            </w:pPr>
          </w:p>
        </w:tc>
        <w:tc>
          <w:tcPr>
            <w:tcW w:w="0" w:type="auto"/>
            <w:vAlign w:val="center"/>
            <w:hideMark/>
          </w:tcPr>
          <w:p w14:paraId="31B2F5ED" w14:textId="77777777" w:rsidR="00000000" w:rsidRDefault="00405D16">
            <w:pPr>
              <w:spacing w:after="100"/>
              <w:rPr>
                <w:rFonts w:eastAsia="Times New Roman"/>
                <w:sz w:val="20"/>
                <w:szCs w:val="20"/>
              </w:rPr>
            </w:pPr>
          </w:p>
        </w:tc>
        <w:tc>
          <w:tcPr>
            <w:tcW w:w="0" w:type="auto"/>
            <w:vAlign w:val="center"/>
            <w:hideMark/>
          </w:tcPr>
          <w:p w14:paraId="399148D5" w14:textId="77777777" w:rsidR="00000000" w:rsidRDefault="00405D16">
            <w:pPr>
              <w:spacing w:after="100"/>
              <w:rPr>
                <w:rFonts w:eastAsia="Times New Roman"/>
                <w:sz w:val="20"/>
                <w:szCs w:val="20"/>
              </w:rPr>
            </w:pPr>
          </w:p>
        </w:tc>
      </w:tr>
      <w:tr w:rsidR="00000000" w14:paraId="73F1FFCA" w14:textId="77777777">
        <w:trPr>
          <w:divId w:val="1798405026"/>
        </w:trPr>
        <w:tc>
          <w:tcPr>
            <w:tcW w:w="0" w:type="auto"/>
            <w:gridSpan w:val="3"/>
            <w:tcMar>
              <w:top w:w="30" w:type="dxa"/>
              <w:left w:w="20" w:type="dxa"/>
              <w:bottom w:w="30" w:type="dxa"/>
              <w:right w:w="20" w:type="dxa"/>
            </w:tcMar>
            <w:vAlign w:val="bottom"/>
            <w:hideMark/>
          </w:tcPr>
          <w:p w14:paraId="4DFB4191"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B0F2A79" w14:textId="77777777" w:rsidR="00000000" w:rsidRDefault="00405D16">
            <w:pPr>
              <w:spacing w:after="100"/>
              <w:rPr>
                <w:rFonts w:eastAsia="Times New Roman"/>
              </w:rPr>
            </w:pPr>
          </w:p>
        </w:tc>
        <w:tc>
          <w:tcPr>
            <w:tcW w:w="0" w:type="auto"/>
            <w:gridSpan w:val="33"/>
            <w:tcBorders>
              <w:bottom w:val="single" w:sz="8" w:space="0" w:color="000000"/>
            </w:tcBorders>
            <w:tcMar>
              <w:top w:w="30" w:type="dxa"/>
              <w:left w:w="20" w:type="dxa"/>
              <w:bottom w:w="30" w:type="dxa"/>
              <w:right w:w="20" w:type="dxa"/>
            </w:tcMar>
            <w:vAlign w:val="bottom"/>
            <w:hideMark/>
          </w:tcPr>
          <w:p w14:paraId="4FDD32C8" w14:textId="77777777" w:rsidR="00000000" w:rsidRDefault="00405D16">
            <w:pPr>
              <w:spacing w:after="100"/>
              <w:jc w:val="center"/>
              <w:rPr>
                <w:rFonts w:eastAsia="Times New Roman"/>
              </w:rPr>
            </w:pPr>
            <w:r>
              <w:rPr>
                <w:rFonts w:eastAsia="Times New Roman"/>
                <w:b/>
                <w:bCs/>
                <w:color w:val="000000"/>
                <w:sz w:val="16"/>
                <w:szCs w:val="16"/>
              </w:rPr>
              <w:t>Three Months Ended September 30,</w:t>
            </w:r>
          </w:p>
        </w:tc>
      </w:tr>
      <w:tr w:rsidR="00000000" w14:paraId="3269962F" w14:textId="77777777">
        <w:trPr>
          <w:divId w:val="1798405026"/>
        </w:trPr>
        <w:tc>
          <w:tcPr>
            <w:tcW w:w="0" w:type="auto"/>
            <w:gridSpan w:val="3"/>
            <w:tcMar>
              <w:top w:w="30" w:type="dxa"/>
              <w:left w:w="20" w:type="dxa"/>
              <w:bottom w:w="30" w:type="dxa"/>
              <w:right w:w="20" w:type="dxa"/>
            </w:tcMar>
            <w:vAlign w:val="bottom"/>
            <w:hideMark/>
          </w:tcPr>
          <w:p w14:paraId="25EEE01F"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818C2ED" w14:textId="77777777" w:rsidR="00000000" w:rsidRDefault="00405D16">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48FAEABE"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5D0C6366" w14:textId="77777777" w:rsidR="00000000" w:rsidRDefault="00405D16">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3F4E1ADE" w14:textId="77777777" w:rsidR="00000000" w:rsidRDefault="00405D16">
            <w:pPr>
              <w:spacing w:after="100"/>
              <w:jc w:val="center"/>
              <w:rPr>
                <w:rFonts w:eastAsia="Times New Roman"/>
              </w:rPr>
            </w:pPr>
            <w:r>
              <w:rPr>
                <w:rFonts w:eastAsia="Times New Roman"/>
                <w:b/>
                <w:bCs/>
                <w:color w:val="000000"/>
                <w:sz w:val="16"/>
                <w:szCs w:val="16"/>
              </w:rPr>
              <w:t>2020</w:t>
            </w:r>
          </w:p>
        </w:tc>
      </w:tr>
      <w:tr w:rsidR="00000000" w14:paraId="2F9F7B09" w14:textId="77777777">
        <w:trPr>
          <w:divId w:val="1798405026"/>
        </w:trPr>
        <w:tc>
          <w:tcPr>
            <w:tcW w:w="0" w:type="auto"/>
            <w:gridSpan w:val="3"/>
            <w:tcMar>
              <w:top w:w="30" w:type="dxa"/>
              <w:left w:w="20" w:type="dxa"/>
              <w:bottom w:w="30" w:type="dxa"/>
              <w:right w:w="20" w:type="dxa"/>
            </w:tcMar>
            <w:vAlign w:val="bottom"/>
            <w:hideMark/>
          </w:tcPr>
          <w:p w14:paraId="17B35342"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558DB7B5"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8CD8574" w14:textId="77777777" w:rsidR="00000000" w:rsidRDefault="00405D16">
            <w:pPr>
              <w:spacing w:after="100"/>
              <w:jc w:val="center"/>
              <w:rPr>
                <w:rFonts w:eastAsia="Times New Roman"/>
              </w:rPr>
            </w:pPr>
            <w:r>
              <w:rPr>
                <w:rFonts w:eastAsia="Times New Roman"/>
                <w:b/>
                <w:bCs/>
                <w:color w:val="000000"/>
                <w:sz w:val="16"/>
                <w:szCs w:val="16"/>
              </w:rPr>
              <w:t>Average</w:t>
            </w:r>
            <w:r>
              <w:rPr>
                <w:rFonts w:eastAsia="Times New Roman"/>
                <w:b/>
                <w:bCs/>
                <w:color w:val="000000"/>
                <w:sz w:val="16"/>
                <w:szCs w:val="16"/>
              </w:rPr>
              <w:br/>
              <w:t>Balance</w:t>
            </w:r>
          </w:p>
        </w:tc>
        <w:tc>
          <w:tcPr>
            <w:tcW w:w="0" w:type="auto"/>
            <w:gridSpan w:val="3"/>
            <w:tcBorders>
              <w:top w:val="single" w:sz="8" w:space="0" w:color="000000"/>
            </w:tcBorders>
            <w:tcMar>
              <w:top w:w="0" w:type="dxa"/>
              <w:left w:w="20" w:type="dxa"/>
              <w:bottom w:w="0" w:type="dxa"/>
              <w:right w:w="20" w:type="dxa"/>
            </w:tcMar>
            <w:vAlign w:val="center"/>
            <w:hideMark/>
          </w:tcPr>
          <w:p w14:paraId="3F857FCB"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F84619D" w14:textId="77777777" w:rsidR="00000000" w:rsidRDefault="00405D16">
            <w:pPr>
              <w:spacing w:after="100"/>
              <w:jc w:val="center"/>
              <w:rPr>
                <w:rFonts w:eastAsia="Times New Roman"/>
              </w:rPr>
            </w:pPr>
            <w:r>
              <w:rPr>
                <w:rFonts w:eastAsia="Times New Roman"/>
                <w:b/>
                <w:bCs/>
                <w:color w:val="000000"/>
                <w:sz w:val="16"/>
                <w:szCs w:val="16"/>
              </w:rPr>
              <w:t>Interest Income/</w:t>
            </w:r>
            <w:r>
              <w:rPr>
                <w:rFonts w:eastAsia="Times New Roman"/>
                <w:b/>
                <w:bCs/>
                <w:color w:val="000000"/>
                <w:sz w:val="16"/>
                <w:szCs w:val="16"/>
              </w:rPr>
              <w:br/>
              <w:t>Expense</w:t>
            </w:r>
          </w:p>
        </w:tc>
        <w:tc>
          <w:tcPr>
            <w:tcW w:w="0" w:type="auto"/>
            <w:gridSpan w:val="3"/>
            <w:tcBorders>
              <w:top w:val="single" w:sz="8" w:space="0" w:color="000000"/>
            </w:tcBorders>
            <w:tcMar>
              <w:top w:w="0" w:type="dxa"/>
              <w:left w:w="20" w:type="dxa"/>
              <w:bottom w:w="0" w:type="dxa"/>
              <w:right w:w="20" w:type="dxa"/>
            </w:tcMar>
            <w:vAlign w:val="center"/>
            <w:hideMark/>
          </w:tcPr>
          <w:p w14:paraId="14A1C032"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C56F0E5" w14:textId="77777777" w:rsidR="00000000" w:rsidRDefault="00405D16">
            <w:pPr>
              <w:spacing w:after="100"/>
              <w:jc w:val="center"/>
              <w:rPr>
                <w:rFonts w:eastAsia="Times New Roman"/>
              </w:rPr>
            </w:pPr>
            <w:r>
              <w:rPr>
                <w:rFonts w:eastAsia="Times New Roman"/>
                <w:b/>
                <w:bCs/>
                <w:color w:val="000000"/>
                <w:sz w:val="16"/>
                <w:szCs w:val="16"/>
              </w:rPr>
              <w:t>Average Yield/</w:t>
            </w:r>
            <w:r>
              <w:rPr>
                <w:rFonts w:eastAsia="Times New Roman"/>
                <w:b/>
                <w:bCs/>
                <w:color w:val="000000"/>
                <w:sz w:val="16"/>
                <w:szCs w:val="16"/>
              </w:rPr>
              <w:br/>
              <w:t>Rate</w:t>
            </w:r>
          </w:p>
        </w:tc>
        <w:tc>
          <w:tcPr>
            <w:tcW w:w="0" w:type="auto"/>
            <w:gridSpan w:val="3"/>
            <w:tcMar>
              <w:top w:w="0" w:type="dxa"/>
              <w:left w:w="20" w:type="dxa"/>
              <w:bottom w:w="0" w:type="dxa"/>
              <w:right w:w="20" w:type="dxa"/>
            </w:tcMar>
            <w:vAlign w:val="center"/>
            <w:hideMark/>
          </w:tcPr>
          <w:p w14:paraId="4E64338B"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51A37BB" w14:textId="77777777" w:rsidR="00000000" w:rsidRDefault="00405D16">
            <w:pPr>
              <w:spacing w:after="100"/>
              <w:jc w:val="center"/>
              <w:rPr>
                <w:rFonts w:eastAsia="Times New Roman"/>
              </w:rPr>
            </w:pPr>
            <w:r>
              <w:rPr>
                <w:rFonts w:eastAsia="Times New Roman"/>
                <w:b/>
                <w:bCs/>
                <w:color w:val="000000"/>
                <w:sz w:val="16"/>
                <w:szCs w:val="16"/>
              </w:rPr>
              <w:t>Average</w:t>
            </w:r>
            <w:r>
              <w:rPr>
                <w:rFonts w:eastAsia="Times New Roman"/>
                <w:b/>
                <w:bCs/>
                <w:color w:val="000000"/>
                <w:sz w:val="16"/>
                <w:szCs w:val="16"/>
              </w:rPr>
              <w:br/>
              <w:t>Balance</w:t>
            </w:r>
          </w:p>
        </w:tc>
        <w:tc>
          <w:tcPr>
            <w:tcW w:w="0" w:type="auto"/>
            <w:gridSpan w:val="3"/>
            <w:tcBorders>
              <w:top w:val="single" w:sz="8" w:space="0" w:color="000000"/>
            </w:tcBorders>
            <w:tcMar>
              <w:top w:w="0" w:type="dxa"/>
              <w:left w:w="20" w:type="dxa"/>
              <w:bottom w:w="0" w:type="dxa"/>
              <w:right w:w="20" w:type="dxa"/>
            </w:tcMar>
            <w:vAlign w:val="center"/>
            <w:hideMark/>
          </w:tcPr>
          <w:p w14:paraId="09D8F1C7"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2C0280C" w14:textId="77777777" w:rsidR="00000000" w:rsidRDefault="00405D16">
            <w:pPr>
              <w:spacing w:after="100"/>
              <w:jc w:val="center"/>
              <w:rPr>
                <w:rFonts w:eastAsia="Times New Roman"/>
              </w:rPr>
            </w:pPr>
            <w:r>
              <w:rPr>
                <w:rFonts w:eastAsia="Times New Roman"/>
                <w:b/>
                <w:bCs/>
                <w:color w:val="000000"/>
                <w:sz w:val="16"/>
                <w:szCs w:val="16"/>
              </w:rPr>
              <w:t>Interest Income/</w:t>
            </w:r>
            <w:r>
              <w:rPr>
                <w:rFonts w:eastAsia="Times New Roman"/>
                <w:b/>
                <w:bCs/>
                <w:color w:val="000000"/>
                <w:sz w:val="16"/>
                <w:szCs w:val="16"/>
              </w:rPr>
              <w:br/>
              <w:t>Expense</w:t>
            </w:r>
          </w:p>
        </w:tc>
        <w:tc>
          <w:tcPr>
            <w:tcW w:w="0" w:type="auto"/>
            <w:gridSpan w:val="3"/>
            <w:tcBorders>
              <w:top w:val="single" w:sz="8" w:space="0" w:color="000000"/>
            </w:tcBorders>
            <w:tcMar>
              <w:top w:w="0" w:type="dxa"/>
              <w:left w:w="20" w:type="dxa"/>
              <w:bottom w:w="0" w:type="dxa"/>
              <w:right w:w="20" w:type="dxa"/>
            </w:tcMar>
            <w:vAlign w:val="center"/>
            <w:hideMark/>
          </w:tcPr>
          <w:p w14:paraId="00CD3C84"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C97337F" w14:textId="77777777" w:rsidR="00000000" w:rsidRDefault="00405D16">
            <w:pPr>
              <w:spacing w:after="100"/>
              <w:jc w:val="center"/>
              <w:rPr>
                <w:rFonts w:eastAsia="Times New Roman"/>
              </w:rPr>
            </w:pPr>
            <w:r>
              <w:rPr>
                <w:rFonts w:eastAsia="Times New Roman"/>
                <w:b/>
                <w:bCs/>
                <w:color w:val="000000"/>
                <w:sz w:val="16"/>
                <w:szCs w:val="16"/>
              </w:rPr>
              <w:t>Average Yield/</w:t>
            </w:r>
            <w:r>
              <w:rPr>
                <w:rFonts w:eastAsia="Times New Roman"/>
                <w:b/>
                <w:bCs/>
                <w:color w:val="000000"/>
                <w:sz w:val="16"/>
                <w:szCs w:val="16"/>
              </w:rPr>
              <w:br/>
              <w:t>Rate</w:t>
            </w:r>
          </w:p>
        </w:tc>
      </w:tr>
      <w:tr w:rsidR="00000000" w14:paraId="1A01BF52" w14:textId="77777777">
        <w:trPr>
          <w:divId w:val="179840502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43FDCCB" w14:textId="77777777" w:rsidR="00000000" w:rsidRDefault="00405D16">
            <w:pPr>
              <w:spacing w:after="100"/>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14:paraId="71060706"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F4862A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FC47E6"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75F301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C51E5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A2A327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DFF6C4"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E0ACC1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44772F"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9CFDF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C80044"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0BEFD21" w14:textId="77777777" w:rsidR="00000000" w:rsidRDefault="00405D16">
            <w:pPr>
              <w:spacing w:after="100"/>
              <w:rPr>
                <w:rFonts w:eastAsia="Times New Roman"/>
                <w:sz w:val="20"/>
                <w:szCs w:val="20"/>
              </w:rPr>
            </w:pPr>
          </w:p>
        </w:tc>
      </w:tr>
      <w:tr w:rsidR="00000000" w14:paraId="50973C94" w14:textId="77777777">
        <w:trPr>
          <w:divId w:val="1798405026"/>
        </w:trPr>
        <w:tc>
          <w:tcPr>
            <w:tcW w:w="0" w:type="auto"/>
            <w:gridSpan w:val="3"/>
            <w:shd w:val="clear" w:color="auto" w:fill="FFFFFF"/>
            <w:tcMar>
              <w:top w:w="30" w:type="dxa"/>
              <w:left w:w="20" w:type="dxa"/>
              <w:bottom w:w="30" w:type="dxa"/>
              <w:right w:w="20" w:type="dxa"/>
            </w:tcMar>
            <w:vAlign w:val="center"/>
            <w:hideMark/>
          </w:tcPr>
          <w:p w14:paraId="50156895" w14:textId="77777777" w:rsidR="00000000" w:rsidRDefault="00405D16">
            <w:pPr>
              <w:spacing w:after="100"/>
              <w:rPr>
                <w:rFonts w:eastAsia="Times New Roman"/>
              </w:rPr>
            </w:pPr>
            <w:r>
              <w:rPr>
                <w:rFonts w:eastAsia="Times New Roman"/>
                <w:color w:val="000000"/>
                <w:sz w:val="18"/>
                <w:szCs w:val="18"/>
              </w:rPr>
              <w:t>Interest-earning assets:</w:t>
            </w:r>
          </w:p>
        </w:tc>
        <w:tc>
          <w:tcPr>
            <w:tcW w:w="0" w:type="auto"/>
            <w:gridSpan w:val="3"/>
            <w:shd w:val="clear" w:color="auto" w:fill="FFFFFF"/>
            <w:tcMar>
              <w:top w:w="0" w:type="dxa"/>
              <w:left w:w="20" w:type="dxa"/>
              <w:bottom w:w="0" w:type="dxa"/>
              <w:right w:w="20" w:type="dxa"/>
            </w:tcMar>
            <w:vAlign w:val="center"/>
            <w:hideMark/>
          </w:tcPr>
          <w:p w14:paraId="6059F405"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F3402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F0037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C0A44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69E67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BA69E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7E59A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422A1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56A18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80AA9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1C385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A96BBD" w14:textId="77777777" w:rsidR="00000000" w:rsidRDefault="00405D16">
            <w:pPr>
              <w:spacing w:after="100"/>
              <w:rPr>
                <w:rFonts w:eastAsia="Times New Roman"/>
                <w:sz w:val="20"/>
                <w:szCs w:val="20"/>
              </w:rPr>
            </w:pPr>
          </w:p>
        </w:tc>
      </w:tr>
      <w:tr w:rsidR="00000000" w14:paraId="3FA254E3" w14:textId="77777777">
        <w:trPr>
          <w:divId w:val="1798405026"/>
        </w:trPr>
        <w:tc>
          <w:tcPr>
            <w:tcW w:w="0" w:type="auto"/>
            <w:gridSpan w:val="3"/>
            <w:shd w:val="clear" w:color="auto" w:fill="CCEEFF"/>
            <w:tcMar>
              <w:top w:w="30" w:type="dxa"/>
              <w:left w:w="20" w:type="dxa"/>
              <w:bottom w:w="30" w:type="dxa"/>
              <w:right w:w="20" w:type="dxa"/>
            </w:tcMar>
            <w:vAlign w:val="center"/>
            <w:hideMark/>
          </w:tcPr>
          <w:p w14:paraId="54FBCA9D" w14:textId="77777777" w:rsidR="00000000" w:rsidRDefault="00405D16">
            <w:pPr>
              <w:spacing w:after="100"/>
              <w:divId w:val="1711875114"/>
              <w:rPr>
                <w:rFonts w:eastAsia="Times New Roman"/>
              </w:rPr>
            </w:pPr>
            <w:r>
              <w:rPr>
                <w:rFonts w:eastAsia="Times New Roman"/>
                <w:color w:val="000000"/>
                <w:sz w:val="18"/>
                <w:szCs w:val="18"/>
              </w:rPr>
              <w:t>Loans</w:t>
            </w:r>
            <w:r>
              <w:rPr>
                <w:rFonts w:eastAsia="Times New Roman"/>
                <w:color w:val="000000"/>
                <w:sz w:val="18"/>
                <w:szCs w:val="18"/>
              </w:rPr>
              <w:t>:</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5A98C280"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6A7DB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64DD4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8A78F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4F52B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258FD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0C5AC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04B56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AF1F9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5B6CB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65D32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61C3D4" w14:textId="77777777" w:rsidR="00000000" w:rsidRDefault="00405D16">
            <w:pPr>
              <w:spacing w:after="100"/>
              <w:rPr>
                <w:rFonts w:eastAsia="Times New Roman"/>
                <w:sz w:val="20"/>
                <w:szCs w:val="20"/>
              </w:rPr>
            </w:pPr>
          </w:p>
        </w:tc>
      </w:tr>
      <w:tr w:rsidR="00000000" w14:paraId="68977FF6" w14:textId="77777777">
        <w:trPr>
          <w:divId w:val="1798405026"/>
        </w:trPr>
        <w:tc>
          <w:tcPr>
            <w:tcW w:w="0" w:type="auto"/>
            <w:gridSpan w:val="3"/>
            <w:shd w:val="clear" w:color="auto" w:fill="FFFFFF"/>
            <w:tcMar>
              <w:top w:w="30" w:type="dxa"/>
              <w:left w:w="245" w:type="dxa"/>
              <w:bottom w:w="30" w:type="dxa"/>
              <w:right w:w="20" w:type="dxa"/>
            </w:tcMar>
            <w:vAlign w:val="center"/>
            <w:hideMark/>
          </w:tcPr>
          <w:p w14:paraId="519F5D22" w14:textId="77777777" w:rsidR="00000000" w:rsidRDefault="00405D16">
            <w:pPr>
              <w:spacing w:after="100"/>
              <w:rPr>
                <w:rFonts w:eastAsia="Times New Roman"/>
              </w:rPr>
            </w:pPr>
            <w:r>
              <w:rPr>
                <w:rFonts w:eastAsia="Times New Roman"/>
                <w:color w:val="000000"/>
                <w:sz w:val="18"/>
                <w:szCs w:val="18"/>
              </w:rPr>
              <w:t>Credit card</w:t>
            </w:r>
          </w:p>
        </w:tc>
        <w:tc>
          <w:tcPr>
            <w:tcW w:w="0" w:type="auto"/>
            <w:gridSpan w:val="3"/>
            <w:shd w:val="clear" w:color="auto" w:fill="FFFFFF"/>
            <w:tcMar>
              <w:top w:w="0" w:type="dxa"/>
              <w:left w:w="20" w:type="dxa"/>
              <w:bottom w:w="0" w:type="dxa"/>
              <w:right w:w="20" w:type="dxa"/>
            </w:tcMar>
            <w:vAlign w:val="center"/>
            <w:hideMark/>
          </w:tcPr>
          <w:p w14:paraId="69C4C4EE"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3CC3C7A9"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3DCF7922" w14:textId="77777777" w:rsidR="00000000" w:rsidRDefault="00405D16">
            <w:pPr>
              <w:spacing w:after="100"/>
              <w:jc w:val="right"/>
              <w:rPr>
                <w:rFonts w:eastAsia="Times New Roman"/>
              </w:rPr>
            </w:pPr>
            <w:r>
              <w:rPr>
                <w:rFonts w:eastAsia="Times New Roman"/>
                <w:b/>
                <w:bCs/>
                <w:color w:val="000000"/>
                <w:sz w:val="18"/>
                <w:szCs w:val="18"/>
              </w:rPr>
              <w:t>106,566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B66E5E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8F36AD"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2313735"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251FB41D" w14:textId="77777777" w:rsidR="00000000" w:rsidRDefault="00405D16">
            <w:pPr>
              <w:spacing w:after="100"/>
              <w:jc w:val="right"/>
              <w:rPr>
                <w:rFonts w:eastAsia="Times New Roman"/>
              </w:rPr>
            </w:pPr>
            <w:r>
              <w:rPr>
                <w:rFonts w:eastAsia="Times New Roman"/>
                <w:b/>
                <w:bCs/>
                <w:color w:val="000000"/>
                <w:sz w:val="18"/>
                <w:szCs w:val="18"/>
              </w:rPr>
              <w:t>3,965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C4D776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EB87F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0CBA968" w14:textId="77777777" w:rsidR="00000000" w:rsidRDefault="00405D16">
            <w:pPr>
              <w:spacing w:after="100"/>
              <w:jc w:val="right"/>
              <w:rPr>
                <w:rFonts w:eastAsia="Times New Roman"/>
              </w:rPr>
            </w:pPr>
            <w:r>
              <w:rPr>
                <w:rFonts w:eastAsia="Times New Roman"/>
                <w:b/>
                <w:bCs/>
                <w:color w:val="000000"/>
                <w:sz w:val="18"/>
                <w:szCs w:val="18"/>
              </w:rPr>
              <w:t>14.88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02EC7BC"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DB13FAD"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43E4BB85"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38FAB7E8" w14:textId="77777777" w:rsidR="00000000" w:rsidRDefault="00405D16">
            <w:pPr>
              <w:spacing w:after="100"/>
              <w:jc w:val="right"/>
              <w:rPr>
                <w:rFonts w:eastAsia="Times New Roman"/>
              </w:rPr>
            </w:pPr>
            <w:r>
              <w:rPr>
                <w:rFonts w:eastAsia="Times New Roman"/>
                <w:color w:val="000000"/>
                <w:sz w:val="18"/>
                <w:szCs w:val="18"/>
              </w:rPr>
              <w:t>105,390 </w:t>
            </w:r>
          </w:p>
        </w:tc>
        <w:tc>
          <w:tcPr>
            <w:tcW w:w="0" w:type="auto"/>
            <w:shd w:val="clear" w:color="auto" w:fill="FFFFFF"/>
            <w:tcMar>
              <w:top w:w="30" w:type="dxa"/>
              <w:left w:w="0" w:type="dxa"/>
              <w:bottom w:w="30" w:type="dxa"/>
              <w:right w:w="20" w:type="dxa"/>
            </w:tcMar>
            <w:vAlign w:val="center"/>
            <w:hideMark/>
          </w:tcPr>
          <w:p w14:paraId="056E09E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7F062F"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91D3169"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7FFD580A" w14:textId="77777777" w:rsidR="00000000" w:rsidRDefault="00405D16">
            <w:pPr>
              <w:spacing w:after="100"/>
              <w:jc w:val="right"/>
              <w:rPr>
                <w:rFonts w:eastAsia="Times New Roman"/>
              </w:rPr>
            </w:pPr>
            <w:r>
              <w:rPr>
                <w:rFonts w:eastAsia="Times New Roman"/>
                <w:color w:val="000000"/>
                <w:sz w:val="18"/>
                <w:szCs w:val="18"/>
              </w:rPr>
              <w:t>3,644 </w:t>
            </w:r>
          </w:p>
        </w:tc>
        <w:tc>
          <w:tcPr>
            <w:tcW w:w="0" w:type="auto"/>
            <w:shd w:val="clear" w:color="auto" w:fill="FFFFFF"/>
            <w:tcMar>
              <w:top w:w="30" w:type="dxa"/>
              <w:left w:w="0" w:type="dxa"/>
              <w:bottom w:w="30" w:type="dxa"/>
              <w:right w:w="20" w:type="dxa"/>
            </w:tcMar>
            <w:vAlign w:val="center"/>
            <w:hideMark/>
          </w:tcPr>
          <w:p w14:paraId="3527821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B6ECB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FA34CEB" w14:textId="77777777" w:rsidR="00000000" w:rsidRDefault="00405D16">
            <w:pPr>
              <w:spacing w:after="100"/>
              <w:jc w:val="right"/>
              <w:rPr>
                <w:rFonts w:eastAsia="Times New Roman"/>
              </w:rPr>
            </w:pPr>
            <w:r>
              <w:rPr>
                <w:rFonts w:eastAsia="Times New Roman"/>
                <w:color w:val="000000"/>
                <w:sz w:val="18"/>
                <w:szCs w:val="18"/>
              </w:rPr>
              <w:t>13.83 </w:t>
            </w:r>
          </w:p>
        </w:tc>
        <w:tc>
          <w:tcPr>
            <w:tcW w:w="0" w:type="auto"/>
            <w:shd w:val="clear" w:color="auto" w:fill="FFFFFF"/>
            <w:tcMar>
              <w:top w:w="30" w:type="dxa"/>
              <w:left w:w="0" w:type="dxa"/>
              <w:bottom w:w="30" w:type="dxa"/>
              <w:right w:w="20" w:type="dxa"/>
            </w:tcMar>
            <w:vAlign w:val="center"/>
            <w:hideMark/>
          </w:tcPr>
          <w:p w14:paraId="46CAAE8F" w14:textId="77777777" w:rsidR="00000000" w:rsidRDefault="00405D16">
            <w:pPr>
              <w:spacing w:after="100"/>
              <w:rPr>
                <w:rFonts w:eastAsia="Times New Roman"/>
              </w:rPr>
            </w:pPr>
            <w:r>
              <w:rPr>
                <w:rFonts w:eastAsia="Times New Roman"/>
                <w:color w:val="000000"/>
                <w:sz w:val="18"/>
                <w:szCs w:val="18"/>
              </w:rPr>
              <w:t>%</w:t>
            </w:r>
          </w:p>
        </w:tc>
      </w:tr>
      <w:tr w:rsidR="00000000" w14:paraId="1C62C085" w14:textId="77777777">
        <w:trPr>
          <w:divId w:val="1798405026"/>
        </w:trPr>
        <w:tc>
          <w:tcPr>
            <w:tcW w:w="0" w:type="auto"/>
            <w:gridSpan w:val="3"/>
            <w:shd w:val="clear" w:color="auto" w:fill="CCEEFF"/>
            <w:tcMar>
              <w:top w:w="30" w:type="dxa"/>
              <w:left w:w="245" w:type="dxa"/>
              <w:bottom w:w="30" w:type="dxa"/>
              <w:right w:w="20" w:type="dxa"/>
            </w:tcMar>
            <w:vAlign w:val="center"/>
            <w:hideMark/>
          </w:tcPr>
          <w:p w14:paraId="1714DC4F" w14:textId="77777777" w:rsidR="00000000" w:rsidRDefault="00405D16">
            <w:pPr>
              <w:spacing w:after="100"/>
              <w:rPr>
                <w:rFonts w:eastAsia="Times New Roman"/>
              </w:rPr>
            </w:pPr>
            <w:r>
              <w:rPr>
                <w:rFonts w:eastAsia="Times New Roman"/>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14:paraId="1654714F"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08B966D" w14:textId="77777777" w:rsidR="00000000" w:rsidRDefault="00405D16">
            <w:pPr>
              <w:spacing w:after="100"/>
              <w:jc w:val="right"/>
              <w:rPr>
                <w:rFonts w:eastAsia="Times New Roman"/>
              </w:rPr>
            </w:pPr>
            <w:r>
              <w:rPr>
                <w:rFonts w:eastAsia="Times New Roman"/>
                <w:b/>
                <w:bCs/>
                <w:color w:val="000000"/>
                <w:sz w:val="18"/>
                <w:szCs w:val="18"/>
              </w:rPr>
              <w:t>75,997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616AC5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DD554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C1E3574" w14:textId="77777777" w:rsidR="00000000" w:rsidRDefault="00405D16">
            <w:pPr>
              <w:spacing w:after="100"/>
              <w:jc w:val="right"/>
              <w:rPr>
                <w:rFonts w:eastAsia="Times New Roman"/>
              </w:rPr>
            </w:pPr>
            <w:r>
              <w:rPr>
                <w:rFonts w:eastAsia="Times New Roman"/>
                <w:b/>
                <w:bCs/>
                <w:color w:val="000000"/>
                <w:sz w:val="18"/>
                <w:szCs w:val="18"/>
              </w:rPr>
              <w:t>1,479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DF56BE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39185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867AE07" w14:textId="77777777" w:rsidR="00000000" w:rsidRDefault="00405D16">
            <w:pPr>
              <w:spacing w:after="100"/>
              <w:jc w:val="right"/>
              <w:rPr>
                <w:rFonts w:eastAsia="Times New Roman"/>
              </w:rPr>
            </w:pPr>
            <w:r>
              <w:rPr>
                <w:rFonts w:eastAsia="Times New Roman"/>
                <w:b/>
                <w:bCs/>
                <w:color w:val="000000"/>
                <w:sz w:val="18"/>
                <w:szCs w:val="18"/>
              </w:rPr>
              <w:t>7.78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C8C161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38382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8CE7102" w14:textId="77777777" w:rsidR="00000000" w:rsidRDefault="00405D16">
            <w:pPr>
              <w:spacing w:after="100"/>
              <w:jc w:val="right"/>
              <w:rPr>
                <w:rFonts w:eastAsia="Times New Roman"/>
              </w:rPr>
            </w:pPr>
            <w:r>
              <w:rPr>
                <w:rFonts w:eastAsia="Times New Roman"/>
                <w:color w:val="000000"/>
                <w:sz w:val="18"/>
                <w:szCs w:val="18"/>
              </w:rPr>
              <w:t>67,822 </w:t>
            </w:r>
          </w:p>
        </w:tc>
        <w:tc>
          <w:tcPr>
            <w:tcW w:w="0" w:type="auto"/>
            <w:shd w:val="clear" w:color="auto" w:fill="CCEEFF"/>
            <w:tcMar>
              <w:top w:w="30" w:type="dxa"/>
              <w:left w:w="0" w:type="dxa"/>
              <w:bottom w:w="30" w:type="dxa"/>
              <w:right w:w="20" w:type="dxa"/>
            </w:tcMar>
            <w:vAlign w:val="center"/>
            <w:hideMark/>
          </w:tcPr>
          <w:p w14:paraId="42D2087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9C3DB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AF83F98" w14:textId="77777777" w:rsidR="00000000" w:rsidRDefault="00405D16">
            <w:pPr>
              <w:spacing w:after="100"/>
              <w:jc w:val="right"/>
              <w:rPr>
                <w:rFonts w:eastAsia="Times New Roman"/>
              </w:rPr>
            </w:pPr>
            <w:r>
              <w:rPr>
                <w:rFonts w:eastAsia="Times New Roman"/>
                <w:color w:val="000000"/>
                <w:sz w:val="18"/>
                <w:szCs w:val="18"/>
              </w:rPr>
              <w:t>1,417 </w:t>
            </w:r>
          </w:p>
        </w:tc>
        <w:tc>
          <w:tcPr>
            <w:tcW w:w="0" w:type="auto"/>
            <w:shd w:val="clear" w:color="auto" w:fill="CCEEFF"/>
            <w:tcMar>
              <w:top w:w="30" w:type="dxa"/>
              <w:left w:w="0" w:type="dxa"/>
              <w:bottom w:w="30" w:type="dxa"/>
              <w:right w:w="20" w:type="dxa"/>
            </w:tcMar>
            <w:vAlign w:val="center"/>
            <w:hideMark/>
          </w:tcPr>
          <w:p w14:paraId="40AC60D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0C01E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7B1E70A" w14:textId="77777777" w:rsidR="00000000" w:rsidRDefault="00405D16">
            <w:pPr>
              <w:spacing w:after="100"/>
              <w:jc w:val="right"/>
              <w:rPr>
                <w:rFonts w:eastAsia="Times New Roman"/>
              </w:rPr>
            </w:pPr>
            <w:r>
              <w:rPr>
                <w:rFonts w:eastAsia="Times New Roman"/>
                <w:color w:val="000000"/>
                <w:sz w:val="18"/>
                <w:szCs w:val="18"/>
              </w:rPr>
              <w:t>8.36 </w:t>
            </w:r>
          </w:p>
        </w:tc>
        <w:tc>
          <w:tcPr>
            <w:tcW w:w="0" w:type="auto"/>
            <w:shd w:val="clear" w:color="auto" w:fill="CCEEFF"/>
            <w:tcMar>
              <w:top w:w="30" w:type="dxa"/>
              <w:left w:w="0" w:type="dxa"/>
              <w:bottom w:w="30" w:type="dxa"/>
              <w:right w:w="20" w:type="dxa"/>
            </w:tcMar>
            <w:vAlign w:val="center"/>
            <w:hideMark/>
          </w:tcPr>
          <w:p w14:paraId="5EF94897" w14:textId="77777777" w:rsidR="00000000" w:rsidRDefault="00405D16">
            <w:pPr>
              <w:spacing w:after="100"/>
              <w:jc w:val="right"/>
              <w:rPr>
                <w:rFonts w:eastAsia="Times New Roman"/>
              </w:rPr>
            </w:pPr>
          </w:p>
        </w:tc>
      </w:tr>
      <w:tr w:rsidR="00000000" w14:paraId="720233E3" w14:textId="77777777">
        <w:trPr>
          <w:divId w:val="1798405026"/>
        </w:trPr>
        <w:tc>
          <w:tcPr>
            <w:tcW w:w="0" w:type="auto"/>
            <w:gridSpan w:val="3"/>
            <w:shd w:val="clear" w:color="auto" w:fill="FFFFFF"/>
            <w:tcMar>
              <w:top w:w="30" w:type="dxa"/>
              <w:left w:w="20" w:type="dxa"/>
              <w:bottom w:w="30" w:type="dxa"/>
              <w:right w:w="20" w:type="dxa"/>
            </w:tcMar>
            <w:vAlign w:val="center"/>
            <w:hideMark/>
          </w:tcPr>
          <w:p w14:paraId="138064DE" w14:textId="77777777" w:rsidR="00000000" w:rsidRDefault="00405D16">
            <w:pPr>
              <w:spacing w:after="100"/>
              <w:divId w:val="1624312521"/>
              <w:rPr>
                <w:rFonts w:eastAsia="Times New Roman"/>
              </w:rPr>
            </w:pPr>
            <w:r>
              <w:rPr>
                <w:rFonts w:eastAsia="Times New Roman"/>
                <w:color w:val="000000"/>
                <w:sz w:val="18"/>
                <w:szCs w:val="18"/>
              </w:rPr>
              <w:t>Commercial bankin</w:t>
            </w:r>
            <w:r>
              <w:rPr>
                <w:rFonts w:eastAsia="Times New Roman"/>
                <w:color w:val="000000"/>
                <w:sz w:val="18"/>
                <w:szCs w:val="18"/>
              </w:rPr>
              <w:t>g</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3FAA551E"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49029C8" w14:textId="77777777" w:rsidR="00000000" w:rsidRDefault="00405D16">
            <w:pPr>
              <w:spacing w:after="100"/>
              <w:jc w:val="right"/>
              <w:rPr>
                <w:rFonts w:eastAsia="Times New Roman"/>
              </w:rPr>
            </w:pPr>
            <w:r>
              <w:rPr>
                <w:rFonts w:eastAsia="Times New Roman"/>
                <w:b/>
                <w:bCs/>
                <w:color w:val="000000"/>
                <w:sz w:val="18"/>
                <w:szCs w:val="18"/>
              </w:rPr>
              <w:t>77,672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99F94E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1F508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E62491A" w14:textId="77777777" w:rsidR="00000000" w:rsidRDefault="00405D16">
            <w:pPr>
              <w:spacing w:after="100"/>
              <w:jc w:val="right"/>
              <w:rPr>
                <w:rFonts w:eastAsia="Times New Roman"/>
              </w:rPr>
            </w:pPr>
            <w:r>
              <w:rPr>
                <w:rFonts w:eastAsia="Times New Roman"/>
                <w:b/>
                <w:bCs/>
                <w:color w:val="000000"/>
                <w:sz w:val="18"/>
                <w:szCs w:val="18"/>
              </w:rPr>
              <w:t>538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B9B4B6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A889E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FBF5ACD" w14:textId="77777777" w:rsidR="00000000" w:rsidRDefault="00405D16">
            <w:pPr>
              <w:spacing w:after="100"/>
              <w:jc w:val="right"/>
              <w:rPr>
                <w:rFonts w:eastAsia="Times New Roman"/>
              </w:rPr>
            </w:pPr>
            <w:r>
              <w:rPr>
                <w:rFonts w:eastAsia="Times New Roman"/>
                <w:b/>
                <w:bCs/>
                <w:color w:val="000000"/>
                <w:sz w:val="18"/>
                <w:szCs w:val="18"/>
              </w:rPr>
              <w:t>2.77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B0B5C4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E0596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2D37CA6" w14:textId="77777777" w:rsidR="00000000" w:rsidRDefault="00405D16">
            <w:pPr>
              <w:spacing w:after="100"/>
              <w:jc w:val="right"/>
              <w:rPr>
                <w:rFonts w:eastAsia="Times New Roman"/>
              </w:rPr>
            </w:pPr>
            <w:r>
              <w:rPr>
                <w:rFonts w:eastAsia="Times New Roman"/>
                <w:color w:val="000000"/>
                <w:sz w:val="18"/>
                <w:szCs w:val="18"/>
              </w:rPr>
              <w:t>77,313 </w:t>
            </w:r>
          </w:p>
        </w:tc>
        <w:tc>
          <w:tcPr>
            <w:tcW w:w="0" w:type="auto"/>
            <w:shd w:val="clear" w:color="auto" w:fill="FFFFFF"/>
            <w:tcMar>
              <w:top w:w="30" w:type="dxa"/>
              <w:left w:w="0" w:type="dxa"/>
              <w:bottom w:w="30" w:type="dxa"/>
              <w:right w:w="20" w:type="dxa"/>
            </w:tcMar>
            <w:vAlign w:val="center"/>
            <w:hideMark/>
          </w:tcPr>
          <w:p w14:paraId="56619BC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A3342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515BCB4" w14:textId="77777777" w:rsidR="00000000" w:rsidRDefault="00405D16">
            <w:pPr>
              <w:spacing w:after="100"/>
              <w:jc w:val="right"/>
              <w:rPr>
                <w:rFonts w:eastAsia="Times New Roman"/>
              </w:rPr>
            </w:pPr>
            <w:r>
              <w:rPr>
                <w:rFonts w:eastAsia="Times New Roman"/>
                <w:color w:val="000000"/>
                <w:sz w:val="18"/>
                <w:szCs w:val="18"/>
              </w:rPr>
              <w:t>544 </w:t>
            </w:r>
          </w:p>
        </w:tc>
        <w:tc>
          <w:tcPr>
            <w:tcW w:w="0" w:type="auto"/>
            <w:shd w:val="clear" w:color="auto" w:fill="FFFFFF"/>
            <w:tcMar>
              <w:top w:w="30" w:type="dxa"/>
              <w:left w:w="0" w:type="dxa"/>
              <w:bottom w:w="30" w:type="dxa"/>
              <w:right w:w="20" w:type="dxa"/>
            </w:tcMar>
            <w:vAlign w:val="center"/>
            <w:hideMark/>
          </w:tcPr>
          <w:p w14:paraId="2DF4FFC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04A26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BD7E71E" w14:textId="77777777" w:rsidR="00000000" w:rsidRDefault="00405D16">
            <w:pPr>
              <w:spacing w:after="100"/>
              <w:jc w:val="right"/>
              <w:rPr>
                <w:rFonts w:eastAsia="Times New Roman"/>
              </w:rPr>
            </w:pPr>
            <w:r>
              <w:rPr>
                <w:rFonts w:eastAsia="Times New Roman"/>
                <w:color w:val="000000"/>
                <w:sz w:val="18"/>
                <w:szCs w:val="18"/>
              </w:rPr>
              <w:t>2.82 </w:t>
            </w:r>
          </w:p>
        </w:tc>
        <w:tc>
          <w:tcPr>
            <w:tcW w:w="0" w:type="auto"/>
            <w:shd w:val="clear" w:color="auto" w:fill="FFFFFF"/>
            <w:tcMar>
              <w:top w:w="30" w:type="dxa"/>
              <w:left w:w="0" w:type="dxa"/>
              <w:bottom w:w="30" w:type="dxa"/>
              <w:right w:w="20" w:type="dxa"/>
            </w:tcMar>
            <w:vAlign w:val="center"/>
            <w:hideMark/>
          </w:tcPr>
          <w:p w14:paraId="54CA5A97" w14:textId="77777777" w:rsidR="00000000" w:rsidRDefault="00405D16">
            <w:pPr>
              <w:spacing w:after="100"/>
              <w:jc w:val="right"/>
              <w:rPr>
                <w:rFonts w:eastAsia="Times New Roman"/>
              </w:rPr>
            </w:pPr>
          </w:p>
        </w:tc>
      </w:tr>
      <w:tr w:rsidR="00000000" w14:paraId="3F41643C" w14:textId="77777777">
        <w:trPr>
          <w:divId w:val="1798405026"/>
        </w:trPr>
        <w:tc>
          <w:tcPr>
            <w:tcW w:w="0" w:type="auto"/>
            <w:gridSpan w:val="3"/>
            <w:shd w:val="clear" w:color="auto" w:fill="CCEEFF"/>
            <w:tcMar>
              <w:top w:w="30" w:type="dxa"/>
              <w:left w:w="20" w:type="dxa"/>
              <w:bottom w:w="30" w:type="dxa"/>
              <w:right w:w="20" w:type="dxa"/>
            </w:tcMar>
            <w:vAlign w:val="center"/>
            <w:hideMark/>
          </w:tcPr>
          <w:p w14:paraId="598D6DEB" w14:textId="77777777" w:rsidR="00000000" w:rsidRDefault="00405D16">
            <w:pPr>
              <w:spacing w:after="100"/>
              <w:divId w:val="1337077579"/>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21BEC44A"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E7CFE49" w14:textId="77777777" w:rsidR="00000000" w:rsidRDefault="00405D16">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C34013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1FC53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7DDC331" w14:textId="77777777" w:rsidR="00000000" w:rsidRDefault="00405D16">
            <w:pPr>
              <w:spacing w:after="100"/>
              <w:jc w:val="right"/>
              <w:rPr>
                <w:rFonts w:eastAsia="Times New Roman"/>
              </w:rPr>
            </w:pPr>
            <w:r>
              <w:rPr>
                <w:rFonts w:eastAsia="Times New Roman"/>
                <w:b/>
                <w:bCs/>
                <w:color w:val="000000"/>
                <w:sz w:val="18"/>
                <w:szCs w:val="18"/>
              </w:rPr>
              <w:t>223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196246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00BD46"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3F69DF27"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BA2A1E6"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929E061" w14:textId="77777777" w:rsidR="00000000" w:rsidRDefault="00405D16">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691AB5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6670E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E075C3D" w14:textId="77777777" w:rsidR="00000000" w:rsidRDefault="00405D16">
            <w:pPr>
              <w:spacing w:after="100"/>
              <w:jc w:val="right"/>
              <w:rPr>
                <w:rFonts w:eastAsia="Times New Roman"/>
              </w:rPr>
            </w:pPr>
            <w:r>
              <w:rPr>
                <w:rFonts w:eastAsia="Times New Roman"/>
                <w:color w:val="000000"/>
                <w:sz w:val="18"/>
                <w:szCs w:val="18"/>
              </w:rPr>
              <w:t>153 </w:t>
            </w:r>
          </w:p>
        </w:tc>
        <w:tc>
          <w:tcPr>
            <w:tcW w:w="0" w:type="auto"/>
            <w:shd w:val="clear" w:color="auto" w:fill="CCEEFF"/>
            <w:tcMar>
              <w:top w:w="30" w:type="dxa"/>
              <w:left w:w="0" w:type="dxa"/>
              <w:bottom w:w="30" w:type="dxa"/>
              <w:right w:w="20" w:type="dxa"/>
            </w:tcMar>
            <w:vAlign w:val="center"/>
            <w:hideMark/>
          </w:tcPr>
          <w:p w14:paraId="1B6A5AB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26EE0E"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2287652E" w14:textId="77777777" w:rsidR="00000000" w:rsidRDefault="00405D16">
            <w:pPr>
              <w:spacing w:after="100"/>
              <w:jc w:val="right"/>
              <w:rPr>
                <w:rFonts w:eastAsia="Times New Roman"/>
              </w:rPr>
            </w:pPr>
            <w:r>
              <w:rPr>
                <w:rFonts w:eastAsia="Times New Roman"/>
                <w:color w:val="000000"/>
                <w:sz w:val="18"/>
                <w:szCs w:val="18"/>
              </w:rPr>
              <w:t>**</w:t>
            </w:r>
          </w:p>
        </w:tc>
      </w:tr>
      <w:tr w:rsidR="00000000" w14:paraId="53222CE1" w14:textId="77777777">
        <w:trPr>
          <w:divId w:val="1798405026"/>
        </w:trPr>
        <w:tc>
          <w:tcPr>
            <w:tcW w:w="0" w:type="auto"/>
            <w:gridSpan w:val="3"/>
            <w:shd w:val="clear" w:color="auto" w:fill="FFFFFF"/>
            <w:tcMar>
              <w:top w:w="30" w:type="dxa"/>
              <w:left w:w="20" w:type="dxa"/>
              <w:bottom w:w="30" w:type="dxa"/>
              <w:right w:w="20" w:type="dxa"/>
            </w:tcMar>
            <w:vAlign w:val="center"/>
            <w:hideMark/>
          </w:tcPr>
          <w:p w14:paraId="4AAF396C" w14:textId="77777777" w:rsidR="00000000" w:rsidRDefault="00405D16">
            <w:pPr>
              <w:spacing w:after="100"/>
              <w:rPr>
                <w:rFonts w:eastAsia="Times New Roman"/>
              </w:rPr>
            </w:pPr>
            <w:r>
              <w:rPr>
                <w:rFonts w:eastAsia="Times New Roman"/>
                <w:color w:val="000000"/>
                <w:sz w:val="18"/>
                <w:szCs w:val="18"/>
              </w:rPr>
              <w:t>Total loans, including loans held for sale</w:t>
            </w:r>
          </w:p>
        </w:tc>
        <w:tc>
          <w:tcPr>
            <w:tcW w:w="0" w:type="auto"/>
            <w:gridSpan w:val="3"/>
            <w:shd w:val="clear" w:color="auto" w:fill="FFFFFF"/>
            <w:tcMar>
              <w:top w:w="0" w:type="dxa"/>
              <w:left w:w="20" w:type="dxa"/>
              <w:bottom w:w="0" w:type="dxa"/>
              <w:right w:w="20" w:type="dxa"/>
            </w:tcMar>
            <w:vAlign w:val="center"/>
            <w:hideMark/>
          </w:tcPr>
          <w:p w14:paraId="3F3AC617"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CCE42BC" w14:textId="77777777" w:rsidR="00000000" w:rsidRDefault="00405D16">
            <w:pPr>
              <w:spacing w:after="100"/>
              <w:jc w:val="right"/>
              <w:rPr>
                <w:rFonts w:eastAsia="Times New Roman"/>
              </w:rPr>
            </w:pPr>
            <w:r>
              <w:rPr>
                <w:rFonts w:eastAsia="Times New Roman"/>
                <w:b/>
                <w:bCs/>
                <w:color w:val="000000"/>
                <w:sz w:val="18"/>
                <w:szCs w:val="18"/>
              </w:rPr>
              <w:t>260,235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FE3131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604FA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ADD25B1" w14:textId="77777777" w:rsidR="00000000" w:rsidRDefault="00405D16">
            <w:pPr>
              <w:spacing w:after="100"/>
              <w:jc w:val="right"/>
              <w:rPr>
                <w:rFonts w:eastAsia="Times New Roman"/>
              </w:rPr>
            </w:pPr>
            <w:r>
              <w:rPr>
                <w:rFonts w:eastAsia="Times New Roman"/>
                <w:b/>
                <w:bCs/>
                <w:color w:val="000000"/>
                <w:sz w:val="18"/>
                <w:szCs w:val="18"/>
              </w:rPr>
              <w:t>6,205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0FBD79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8A58A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E76E8BD" w14:textId="77777777" w:rsidR="00000000" w:rsidRDefault="00405D16">
            <w:pPr>
              <w:spacing w:after="100"/>
              <w:jc w:val="right"/>
              <w:rPr>
                <w:rFonts w:eastAsia="Times New Roman"/>
              </w:rPr>
            </w:pPr>
            <w:r>
              <w:rPr>
                <w:rFonts w:eastAsia="Times New Roman"/>
                <w:b/>
                <w:bCs/>
                <w:color w:val="000000"/>
                <w:sz w:val="18"/>
                <w:szCs w:val="18"/>
              </w:rPr>
              <w:t>9.54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2CB62B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97E2D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0E57D49" w14:textId="77777777" w:rsidR="00000000" w:rsidRDefault="00405D16">
            <w:pPr>
              <w:spacing w:after="100"/>
              <w:jc w:val="right"/>
              <w:rPr>
                <w:rFonts w:eastAsia="Times New Roman"/>
              </w:rPr>
            </w:pPr>
            <w:r>
              <w:rPr>
                <w:rFonts w:eastAsia="Times New Roman"/>
                <w:color w:val="000000"/>
                <w:sz w:val="18"/>
                <w:szCs w:val="18"/>
              </w:rPr>
              <w:t>250,525 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F04420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6688BF"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598DEAE" w14:textId="77777777" w:rsidR="00000000" w:rsidRDefault="00405D16">
            <w:pPr>
              <w:spacing w:after="100"/>
              <w:jc w:val="right"/>
              <w:rPr>
                <w:rFonts w:eastAsia="Times New Roman"/>
              </w:rPr>
            </w:pPr>
            <w:r>
              <w:rPr>
                <w:rFonts w:eastAsia="Times New Roman"/>
                <w:color w:val="000000"/>
                <w:sz w:val="18"/>
                <w:szCs w:val="18"/>
              </w:rPr>
              <w:t>5,758 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4A3842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11252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CCA4AD7" w14:textId="77777777" w:rsidR="00000000" w:rsidRDefault="00405D16">
            <w:pPr>
              <w:spacing w:after="100"/>
              <w:jc w:val="right"/>
              <w:rPr>
                <w:rFonts w:eastAsia="Times New Roman"/>
              </w:rPr>
            </w:pPr>
            <w:r>
              <w:rPr>
                <w:rFonts w:eastAsia="Times New Roman"/>
                <w:color w:val="000000"/>
                <w:sz w:val="18"/>
                <w:szCs w:val="18"/>
              </w:rPr>
              <w:t>9.19 </w:t>
            </w:r>
          </w:p>
        </w:tc>
        <w:tc>
          <w:tcPr>
            <w:tcW w:w="0" w:type="auto"/>
            <w:shd w:val="clear" w:color="auto" w:fill="FFFFFF"/>
            <w:tcMar>
              <w:top w:w="30" w:type="dxa"/>
              <w:left w:w="0" w:type="dxa"/>
              <w:bottom w:w="30" w:type="dxa"/>
              <w:right w:w="20" w:type="dxa"/>
            </w:tcMar>
            <w:vAlign w:val="center"/>
            <w:hideMark/>
          </w:tcPr>
          <w:p w14:paraId="17A5EA82" w14:textId="77777777" w:rsidR="00000000" w:rsidRDefault="00405D16">
            <w:pPr>
              <w:spacing w:after="100"/>
              <w:jc w:val="right"/>
              <w:rPr>
                <w:rFonts w:eastAsia="Times New Roman"/>
              </w:rPr>
            </w:pPr>
          </w:p>
        </w:tc>
      </w:tr>
      <w:tr w:rsidR="00000000" w14:paraId="4C6DD00A" w14:textId="77777777">
        <w:trPr>
          <w:divId w:val="1798405026"/>
        </w:trPr>
        <w:tc>
          <w:tcPr>
            <w:tcW w:w="0" w:type="auto"/>
            <w:gridSpan w:val="3"/>
            <w:shd w:val="clear" w:color="auto" w:fill="CCEEFF"/>
            <w:tcMar>
              <w:top w:w="30" w:type="dxa"/>
              <w:left w:w="20" w:type="dxa"/>
              <w:bottom w:w="30" w:type="dxa"/>
              <w:right w:w="20" w:type="dxa"/>
            </w:tcMar>
            <w:vAlign w:val="center"/>
            <w:hideMark/>
          </w:tcPr>
          <w:p w14:paraId="6120A1A8" w14:textId="77777777" w:rsidR="00000000" w:rsidRDefault="00405D16">
            <w:pPr>
              <w:spacing w:after="100"/>
              <w:divId w:val="1768230879"/>
              <w:rPr>
                <w:rFonts w:eastAsia="Times New Roman"/>
              </w:rPr>
            </w:pPr>
            <w:r>
              <w:rPr>
                <w:rFonts w:eastAsia="Times New Roman"/>
                <w:color w:val="000000"/>
                <w:sz w:val="18"/>
                <w:szCs w:val="18"/>
              </w:rPr>
              <w:t>Investment securitie</w:t>
            </w:r>
            <w:r>
              <w:rPr>
                <w:rFonts w:eastAsia="Times New Roman"/>
                <w:color w:val="000000"/>
                <w:sz w:val="18"/>
                <w:szCs w:val="18"/>
              </w:rPr>
              <w:t>s</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3BE695C7"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80CD4C7" w14:textId="77777777" w:rsidR="00000000" w:rsidRDefault="00405D16">
            <w:pPr>
              <w:spacing w:after="100"/>
              <w:jc w:val="right"/>
              <w:rPr>
                <w:rFonts w:eastAsia="Times New Roman"/>
              </w:rPr>
            </w:pPr>
            <w:r>
              <w:rPr>
                <w:rFonts w:eastAsia="Times New Roman"/>
                <w:b/>
                <w:bCs/>
                <w:color w:val="000000"/>
                <w:sz w:val="18"/>
                <w:szCs w:val="18"/>
              </w:rPr>
              <w:t>98,802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F4B95D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BFE76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A1DC1F2" w14:textId="77777777" w:rsidR="00000000" w:rsidRDefault="00405D16">
            <w:pPr>
              <w:spacing w:after="100"/>
              <w:jc w:val="right"/>
              <w:rPr>
                <w:rFonts w:eastAsia="Times New Roman"/>
              </w:rPr>
            </w:pPr>
            <w:r>
              <w:rPr>
                <w:rFonts w:eastAsia="Times New Roman"/>
                <w:b/>
                <w:bCs/>
                <w:color w:val="000000"/>
                <w:sz w:val="18"/>
                <w:szCs w:val="18"/>
              </w:rPr>
              <w:t>317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2A6451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B57DF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0AD4053" w14:textId="77777777" w:rsidR="00000000" w:rsidRDefault="00405D16">
            <w:pPr>
              <w:spacing w:after="100"/>
              <w:jc w:val="right"/>
              <w:rPr>
                <w:rFonts w:eastAsia="Times New Roman"/>
              </w:rPr>
            </w:pPr>
            <w:r>
              <w:rPr>
                <w:rFonts w:eastAsia="Times New Roman"/>
                <w:b/>
                <w:bCs/>
                <w:color w:val="000000"/>
                <w:sz w:val="18"/>
                <w:szCs w:val="18"/>
              </w:rPr>
              <w:t>1.28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189656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04E60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9FA90A8" w14:textId="77777777" w:rsidR="00000000" w:rsidRDefault="00405D16">
            <w:pPr>
              <w:spacing w:after="100"/>
              <w:jc w:val="right"/>
              <w:rPr>
                <w:rFonts w:eastAsia="Times New Roman"/>
              </w:rPr>
            </w:pPr>
            <w:r>
              <w:rPr>
                <w:rFonts w:eastAsia="Times New Roman"/>
                <w:color w:val="000000"/>
                <w:sz w:val="18"/>
                <w:szCs w:val="18"/>
              </w:rPr>
              <w:t>91,777 </w:t>
            </w:r>
          </w:p>
        </w:tc>
        <w:tc>
          <w:tcPr>
            <w:tcW w:w="0" w:type="auto"/>
            <w:shd w:val="clear" w:color="auto" w:fill="CCEEFF"/>
            <w:tcMar>
              <w:top w:w="30" w:type="dxa"/>
              <w:left w:w="0" w:type="dxa"/>
              <w:bottom w:w="30" w:type="dxa"/>
              <w:right w:w="20" w:type="dxa"/>
            </w:tcMar>
            <w:vAlign w:val="center"/>
            <w:hideMark/>
          </w:tcPr>
          <w:p w14:paraId="1C8C7AB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4B7CF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F04FC92" w14:textId="77777777" w:rsidR="00000000" w:rsidRDefault="00405D16">
            <w:pPr>
              <w:spacing w:after="100"/>
              <w:jc w:val="right"/>
              <w:rPr>
                <w:rFonts w:eastAsia="Times New Roman"/>
              </w:rPr>
            </w:pPr>
            <w:r>
              <w:rPr>
                <w:rFonts w:eastAsia="Times New Roman"/>
                <w:color w:val="000000"/>
                <w:sz w:val="18"/>
                <w:szCs w:val="18"/>
              </w:rPr>
              <w:t>443 </w:t>
            </w:r>
          </w:p>
        </w:tc>
        <w:tc>
          <w:tcPr>
            <w:tcW w:w="0" w:type="auto"/>
            <w:shd w:val="clear" w:color="auto" w:fill="CCEEFF"/>
            <w:tcMar>
              <w:top w:w="30" w:type="dxa"/>
              <w:left w:w="0" w:type="dxa"/>
              <w:bottom w:w="30" w:type="dxa"/>
              <w:right w:w="20" w:type="dxa"/>
            </w:tcMar>
            <w:vAlign w:val="center"/>
            <w:hideMark/>
          </w:tcPr>
          <w:p w14:paraId="2D5A50C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D9666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B3AC9F9" w14:textId="77777777" w:rsidR="00000000" w:rsidRDefault="00405D16">
            <w:pPr>
              <w:spacing w:after="100"/>
              <w:jc w:val="right"/>
              <w:rPr>
                <w:rFonts w:eastAsia="Times New Roman"/>
              </w:rPr>
            </w:pPr>
            <w:r>
              <w:rPr>
                <w:rFonts w:eastAsia="Times New Roman"/>
                <w:color w:val="000000"/>
                <w:sz w:val="18"/>
                <w:szCs w:val="18"/>
              </w:rPr>
              <w:t>1.93 </w:t>
            </w:r>
          </w:p>
        </w:tc>
        <w:tc>
          <w:tcPr>
            <w:tcW w:w="0" w:type="auto"/>
            <w:shd w:val="clear" w:color="auto" w:fill="CCEEFF"/>
            <w:tcMar>
              <w:top w:w="30" w:type="dxa"/>
              <w:left w:w="0" w:type="dxa"/>
              <w:bottom w:w="30" w:type="dxa"/>
              <w:right w:w="20" w:type="dxa"/>
            </w:tcMar>
            <w:vAlign w:val="center"/>
            <w:hideMark/>
          </w:tcPr>
          <w:p w14:paraId="59632ACD" w14:textId="77777777" w:rsidR="00000000" w:rsidRDefault="00405D16">
            <w:pPr>
              <w:spacing w:after="100"/>
              <w:jc w:val="right"/>
              <w:rPr>
                <w:rFonts w:eastAsia="Times New Roman"/>
              </w:rPr>
            </w:pPr>
          </w:p>
        </w:tc>
      </w:tr>
      <w:tr w:rsidR="00000000" w14:paraId="18FFC8C3" w14:textId="77777777">
        <w:trPr>
          <w:divId w:val="1798405026"/>
        </w:trPr>
        <w:tc>
          <w:tcPr>
            <w:tcW w:w="0" w:type="auto"/>
            <w:gridSpan w:val="3"/>
            <w:shd w:val="clear" w:color="auto" w:fill="FFFFFF"/>
            <w:tcMar>
              <w:top w:w="30" w:type="dxa"/>
              <w:left w:w="20" w:type="dxa"/>
              <w:bottom w:w="30" w:type="dxa"/>
              <w:right w:w="20" w:type="dxa"/>
            </w:tcMar>
            <w:vAlign w:val="center"/>
            <w:hideMark/>
          </w:tcPr>
          <w:p w14:paraId="2BD2FA1C" w14:textId="77777777" w:rsidR="00000000" w:rsidRDefault="00405D16">
            <w:pPr>
              <w:spacing w:after="100"/>
              <w:rPr>
                <w:rFonts w:eastAsia="Times New Roman"/>
              </w:rPr>
            </w:pPr>
            <w:r>
              <w:rPr>
                <w:rFonts w:eastAsia="Times New Roman"/>
                <w:color w:val="000000"/>
                <w:sz w:val="18"/>
                <w:szCs w:val="18"/>
              </w:rPr>
              <w:t>Cash equivalents and other interest-earning assets</w:t>
            </w:r>
          </w:p>
        </w:tc>
        <w:tc>
          <w:tcPr>
            <w:tcW w:w="0" w:type="auto"/>
            <w:gridSpan w:val="3"/>
            <w:shd w:val="clear" w:color="auto" w:fill="FFFFFF"/>
            <w:tcMar>
              <w:top w:w="0" w:type="dxa"/>
              <w:left w:w="20" w:type="dxa"/>
              <w:bottom w:w="0" w:type="dxa"/>
              <w:right w:w="20" w:type="dxa"/>
            </w:tcMar>
            <w:vAlign w:val="center"/>
            <w:hideMark/>
          </w:tcPr>
          <w:p w14:paraId="57D1BBEB"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423059B" w14:textId="77777777" w:rsidR="00000000" w:rsidRDefault="00405D16">
            <w:pPr>
              <w:spacing w:after="100"/>
              <w:jc w:val="right"/>
              <w:rPr>
                <w:rFonts w:eastAsia="Times New Roman"/>
              </w:rPr>
            </w:pPr>
            <w:r>
              <w:rPr>
                <w:rFonts w:eastAsia="Times New Roman"/>
                <w:b/>
                <w:bCs/>
                <w:color w:val="000000"/>
                <w:sz w:val="18"/>
                <w:szCs w:val="18"/>
              </w:rPr>
              <w:t>28,729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E9ADFF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8F5D6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4FEFB55" w14:textId="77777777" w:rsidR="00000000" w:rsidRDefault="00405D16">
            <w:pPr>
              <w:spacing w:after="100"/>
              <w:jc w:val="right"/>
              <w:rPr>
                <w:rFonts w:eastAsia="Times New Roman"/>
              </w:rPr>
            </w:pPr>
            <w:r>
              <w:rPr>
                <w:rFonts w:eastAsia="Times New Roman"/>
                <w:b/>
                <w:bCs/>
                <w:color w:val="000000"/>
                <w:sz w:val="18"/>
                <w:szCs w:val="18"/>
              </w:rPr>
              <w:t>16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4FCA73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A80A2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89A48D7" w14:textId="77777777" w:rsidR="00000000" w:rsidRDefault="00405D16">
            <w:pPr>
              <w:spacing w:after="100"/>
              <w:jc w:val="right"/>
              <w:rPr>
                <w:rFonts w:eastAsia="Times New Roman"/>
              </w:rPr>
            </w:pPr>
            <w:r>
              <w:rPr>
                <w:rFonts w:eastAsia="Times New Roman"/>
                <w:b/>
                <w:bCs/>
                <w:color w:val="000000"/>
                <w:sz w:val="18"/>
                <w:szCs w:val="18"/>
              </w:rPr>
              <w:t>0.22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1E955A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885AB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D0DC16E" w14:textId="77777777" w:rsidR="00000000" w:rsidRDefault="00405D16">
            <w:pPr>
              <w:spacing w:after="100"/>
              <w:jc w:val="right"/>
              <w:rPr>
                <w:rFonts w:eastAsia="Times New Roman"/>
              </w:rPr>
            </w:pPr>
            <w:r>
              <w:rPr>
                <w:rFonts w:eastAsia="Times New Roman"/>
                <w:color w:val="000000"/>
                <w:sz w:val="18"/>
                <w:szCs w:val="18"/>
              </w:rPr>
              <w:t>49,149 </w:t>
            </w:r>
          </w:p>
        </w:tc>
        <w:tc>
          <w:tcPr>
            <w:tcW w:w="0" w:type="auto"/>
            <w:shd w:val="clear" w:color="auto" w:fill="FFFFFF"/>
            <w:tcMar>
              <w:top w:w="30" w:type="dxa"/>
              <w:left w:w="0" w:type="dxa"/>
              <w:bottom w:w="30" w:type="dxa"/>
              <w:right w:w="20" w:type="dxa"/>
            </w:tcMar>
            <w:vAlign w:val="center"/>
            <w:hideMark/>
          </w:tcPr>
          <w:p w14:paraId="73C26F5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36BA1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F8E01DD" w14:textId="77777777" w:rsidR="00000000" w:rsidRDefault="00405D16">
            <w:pPr>
              <w:spacing w:after="100"/>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center"/>
            <w:hideMark/>
          </w:tcPr>
          <w:p w14:paraId="25EA384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7DD01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6A4C317" w14:textId="77777777" w:rsidR="00000000" w:rsidRDefault="00405D16">
            <w:pPr>
              <w:spacing w:after="100"/>
              <w:jc w:val="right"/>
              <w:rPr>
                <w:rFonts w:eastAsia="Times New Roman"/>
              </w:rPr>
            </w:pPr>
            <w:r>
              <w:rPr>
                <w:rFonts w:eastAsia="Times New Roman"/>
                <w:color w:val="000000"/>
                <w:sz w:val="18"/>
                <w:szCs w:val="18"/>
              </w:rPr>
              <w:t>0.11 </w:t>
            </w:r>
          </w:p>
        </w:tc>
        <w:tc>
          <w:tcPr>
            <w:tcW w:w="0" w:type="auto"/>
            <w:shd w:val="clear" w:color="auto" w:fill="FFFFFF"/>
            <w:tcMar>
              <w:top w:w="30" w:type="dxa"/>
              <w:left w:w="0" w:type="dxa"/>
              <w:bottom w:w="30" w:type="dxa"/>
              <w:right w:w="20" w:type="dxa"/>
            </w:tcMar>
            <w:vAlign w:val="center"/>
            <w:hideMark/>
          </w:tcPr>
          <w:p w14:paraId="59DD4729" w14:textId="77777777" w:rsidR="00000000" w:rsidRDefault="00405D16">
            <w:pPr>
              <w:spacing w:after="100"/>
              <w:jc w:val="right"/>
              <w:rPr>
                <w:rFonts w:eastAsia="Times New Roman"/>
              </w:rPr>
            </w:pPr>
          </w:p>
        </w:tc>
      </w:tr>
      <w:tr w:rsidR="00000000" w14:paraId="448900C5" w14:textId="77777777">
        <w:trPr>
          <w:divId w:val="1798405026"/>
        </w:trPr>
        <w:tc>
          <w:tcPr>
            <w:tcW w:w="0" w:type="auto"/>
            <w:gridSpan w:val="3"/>
            <w:shd w:val="clear" w:color="auto" w:fill="CCEEFF"/>
            <w:tcMar>
              <w:top w:w="30" w:type="dxa"/>
              <w:left w:w="20" w:type="dxa"/>
              <w:bottom w:w="30" w:type="dxa"/>
              <w:right w:w="20" w:type="dxa"/>
            </w:tcMar>
            <w:vAlign w:val="center"/>
            <w:hideMark/>
          </w:tcPr>
          <w:p w14:paraId="27C5A4A7" w14:textId="77777777" w:rsidR="00000000" w:rsidRDefault="00405D16">
            <w:pPr>
              <w:spacing w:after="100"/>
              <w:rPr>
                <w:rFonts w:eastAsia="Times New Roman"/>
              </w:rPr>
            </w:pPr>
            <w:r>
              <w:rPr>
                <w:rFonts w:eastAsia="Times New Roman"/>
                <w:color w:val="000000"/>
                <w:sz w:val="18"/>
                <w:szCs w:val="18"/>
              </w:rPr>
              <w:t>Total interest-earning assets</w:t>
            </w:r>
          </w:p>
        </w:tc>
        <w:tc>
          <w:tcPr>
            <w:tcW w:w="0" w:type="auto"/>
            <w:gridSpan w:val="3"/>
            <w:shd w:val="clear" w:color="auto" w:fill="CCEEFF"/>
            <w:tcMar>
              <w:top w:w="0" w:type="dxa"/>
              <w:left w:w="20" w:type="dxa"/>
              <w:bottom w:w="0" w:type="dxa"/>
              <w:right w:w="20" w:type="dxa"/>
            </w:tcMar>
            <w:vAlign w:val="center"/>
            <w:hideMark/>
          </w:tcPr>
          <w:p w14:paraId="644A5CE7"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3DAF9A4" w14:textId="77777777" w:rsidR="00000000" w:rsidRDefault="00405D16">
            <w:pPr>
              <w:spacing w:after="100"/>
              <w:jc w:val="right"/>
              <w:rPr>
                <w:rFonts w:eastAsia="Times New Roman"/>
              </w:rPr>
            </w:pPr>
            <w:r>
              <w:rPr>
                <w:rFonts w:eastAsia="Times New Roman"/>
                <w:b/>
                <w:bCs/>
                <w:color w:val="000000"/>
                <w:sz w:val="18"/>
                <w:szCs w:val="18"/>
              </w:rPr>
              <w:t>387,766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2A7B56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E66246"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F54B999" w14:textId="77777777" w:rsidR="00000000" w:rsidRDefault="00405D16">
            <w:pPr>
              <w:spacing w:after="100"/>
              <w:jc w:val="right"/>
              <w:rPr>
                <w:rFonts w:eastAsia="Times New Roman"/>
              </w:rPr>
            </w:pPr>
            <w:r>
              <w:rPr>
                <w:rFonts w:eastAsia="Times New Roman"/>
                <w:b/>
                <w:bCs/>
                <w:color w:val="000000"/>
                <w:sz w:val="18"/>
                <w:szCs w:val="18"/>
              </w:rPr>
              <w:t>6,538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060F5D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C3984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4B6134B" w14:textId="77777777" w:rsidR="00000000" w:rsidRDefault="00405D16">
            <w:pPr>
              <w:spacing w:after="100"/>
              <w:jc w:val="right"/>
              <w:rPr>
                <w:rFonts w:eastAsia="Times New Roman"/>
              </w:rPr>
            </w:pPr>
            <w:r>
              <w:rPr>
                <w:rFonts w:eastAsia="Times New Roman"/>
                <w:b/>
                <w:bCs/>
                <w:color w:val="000000"/>
                <w:sz w:val="18"/>
                <w:szCs w:val="18"/>
              </w:rPr>
              <w:t>6.74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80F064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6FB59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F95603B" w14:textId="77777777" w:rsidR="00000000" w:rsidRDefault="00405D16">
            <w:pPr>
              <w:spacing w:after="100"/>
              <w:jc w:val="right"/>
              <w:rPr>
                <w:rFonts w:eastAsia="Times New Roman"/>
              </w:rPr>
            </w:pPr>
            <w:r>
              <w:rPr>
                <w:rFonts w:eastAsia="Times New Roman"/>
                <w:color w:val="000000"/>
                <w:sz w:val="18"/>
                <w:szCs w:val="18"/>
              </w:rPr>
              <w:t>391,451 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099882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084BE0"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253D42D" w14:textId="77777777" w:rsidR="00000000" w:rsidRDefault="00405D16">
            <w:pPr>
              <w:spacing w:after="100"/>
              <w:jc w:val="right"/>
              <w:rPr>
                <w:rFonts w:eastAsia="Times New Roman"/>
              </w:rPr>
            </w:pPr>
            <w:r>
              <w:rPr>
                <w:rFonts w:eastAsia="Times New Roman"/>
                <w:color w:val="000000"/>
                <w:sz w:val="18"/>
                <w:szCs w:val="18"/>
              </w:rPr>
              <w:t>6,215 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4FF894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434FB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355621E" w14:textId="77777777" w:rsidR="00000000" w:rsidRDefault="00405D16">
            <w:pPr>
              <w:spacing w:after="100"/>
              <w:jc w:val="right"/>
              <w:rPr>
                <w:rFonts w:eastAsia="Times New Roman"/>
              </w:rPr>
            </w:pPr>
            <w:r>
              <w:rPr>
                <w:rFonts w:eastAsia="Times New Roman"/>
                <w:color w:val="000000"/>
                <w:sz w:val="18"/>
                <w:szCs w:val="18"/>
              </w:rPr>
              <w:t>6.35 </w:t>
            </w:r>
          </w:p>
        </w:tc>
        <w:tc>
          <w:tcPr>
            <w:tcW w:w="0" w:type="auto"/>
            <w:shd w:val="clear" w:color="auto" w:fill="CCEEFF"/>
            <w:tcMar>
              <w:top w:w="30" w:type="dxa"/>
              <w:left w:w="0" w:type="dxa"/>
              <w:bottom w:w="30" w:type="dxa"/>
              <w:right w:w="20" w:type="dxa"/>
            </w:tcMar>
            <w:vAlign w:val="center"/>
            <w:hideMark/>
          </w:tcPr>
          <w:p w14:paraId="7DA1D583" w14:textId="77777777" w:rsidR="00000000" w:rsidRDefault="00405D16">
            <w:pPr>
              <w:spacing w:after="100"/>
              <w:jc w:val="right"/>
              <w:rPr>
                <w:rFonts w:eastAsia="Times New Roman"/>
              </w:rPr>
            </w:pPr>
          </w:p>
        </w:tc>
      </w:tr>
      <w:tr w:rsidR="00000000" w14:paraId="621EC5B7" w14:textId="77777777">
        <w:trPr>
          <w:divId w:val="1798405026"/>
        </w:trPr>
        <w:tc>
          <w:tcPr>
            <w:tcW w:w="0" w:type="auto"/>
            <w:gridSpan w:val="3"/>
            <w:shd w:val="clear" w:color="auto" w:fill="FFFFFF"/>
            <w:tcMar>
              <w:top w:w="30" w:type="dxa"/>
              <w:left w:w="20" w:type="dxa"/>
              <w:bottom w:w="30" w:type="dxa"/>
              <w:right w:w="20" w:type="dxa"/>
            </w:tcMar>
            <w:vAlign w:val="center"/>
            <w:hideMark/>
          </w:tcPr>
          <w:p w14:paraId="56EF71FD" w14:textId="77777777" w:rsidR="00000000" w:rsidRDefault="00405D16">
            <w:pPr>
              <w:spacing w:after="100"/>
              <w:rPr>
                <w:rFonts w:eastAsia="Times New Roman"/>
              </w:rPr>
            </w:pPr>
            <w:r>
              <w:rPr>
                <w:rFonts w:eastAsia="Times New Roman"/>
                <w:color w:val="000000"/>
                <w:sz w:val="18"/>
                <w:szCs w:val="18"/>
              </w:rPr>
              <w:t>Cash and due from banks</w:t>
            </w:r>
          </w:p>
        </w:tc>
        <w:tc>
          <w:tcPr>
            <w:tcW w:w="0" w:type="auto"/>
            <w:gridSpan w:val="3"/>
            <w:shd w:val="clear" w:color="auto" w:fill="FFFFFF"/>
            <w:tcMar>
              <w:top w:w="0" w:type="dxa"/>
              <w:left w:w="20" w:type="dxa"/>
              <w:bottom w:w="0" w:type="dxa"/>
              <w:right w:w="20" w:type="dxa"/>
            </w:tcMar>
            <w:vAlign w:val="center"/>
            <w:hideMark/>
          </w:tcPr>
          <w:p w14:paraId="3AF4CA62"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C04D26A" w14:textId="77777777" w:rsidR="00000000" w:rsidRDefault="00405D16">
            <w:pPr>
              <w:spacing w:after="100"/>
              <w:jc w:val="right"/>
              <w:rPr>
                <w:rFonts w:eastAsia="Times New Roman"/>
              </w:rPr>
            </w:pPr>
            <w:r>
              <w:rPr>
                <w:rFonts w:eastAsia="Times New Roman"/>
                <w:b/>
                <w:bCs/>
                <w:color w:val="000000"/>
                <w:sz w:val="18"/>
                <w:szCs w:val="18"/>
              </w:rPr>
              <w:t>5,467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0090AE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F4AE1E" w14:textId="77777777" w:rsidR="00000000" w:rsidRDefault="00405D16">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6C8791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D9FFB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339DD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3C22B0" w14:textId="77777777" w:rsidR="00000000" w:rsidRDefault="00405D16">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E0BC06F" w14:textId="77777777" w:rsidR="00000000" w:rsidRDefault="00405D16">
            <w:pPr>
              <w:spacing w:after="100"/>
              <w:jc w:val="right"/>
              <w:rPr>
                <w:rFonts w:eastAsia="Times New Roman"/>
              </w:rPr>
            </w:pPr>
            <w:r>
              <w:rPr>
                <w:rFonts w:eastAsia="Times New Roman"/>
                <w:color w:val="000000"/>
                <w:sz w:val="18"/>
                <w:szCs w:val="18"/>
              </w:rPr>
              <w:t>4,697 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3E23DF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6FE5D4" w14:textId="77777777" w:rsidR="00000000" w:rsidRDefault="00405D16">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4D0B93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5EBD4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9083D8" w14:textId="77777777" w:rsidR="00000000" w:rsidRDefault="00405D16">
            <w:pPr>
              <w:spacing w:after="100"/>
              <w:rPr>
                <w:rFonts w:eastAsia="Times New Roman"/>
                <w:sz w:val="20"/>
                <w:szCs w:val="20"/>
              </w:rPr>
            </w:pPr>
          </w:p>
        </w:tc>
      </w:tr>
      <w:tr w:rsidR="00000000" w14:paraId="5C9BDD0D" w14:textId="77777777">
        <w:trPr>
          <w:divId w:val="1798405026"/>
        </w:trPr>
        <w:tc>
          <w:tcPr>
            <w:tcW w:w="0" w:type="auto"/>
            <w:gridSpan w:val="3"/>
            <w:shd w:val="clear" w:color="auto" w:fill="CCEEFF"/>
            <w:tcMar>
              <w:top w:w="30" w:type="dxa"/>
              <w:left w:w="20" w:type="dxa"/>
              <w:bottom w:w="30" w:type="dxa"/>
              <w:right w:w="20" w:type="dxa"/>
            </w:tcMar>
            <w:vAlign w:val="center"/>
            <w:hideMark/>
          </w:tcPr>
          <w:p w14:paraId="5193EBED" w14:textId="77777777" w:rsidR="00000000" w:rsidRDefault="00405D16">
            <w:pPr>
              <w:spacing w:after="100"/>
              <w:rPr>
                <w:rFonts w:eastAsia="Times New Roman"/>
              </w:rPr>
            </w:pPr>
            <w:r>
              <w:rPr>
                <w:rFonts w:eastAsia="Times New Roman"/>
                <w:color w:val="000000"/>
                <w:sz w:val="18"/>
                <w:szCs w:val="18"/>
              </w:rPr>
              <w:t>Allowance for credit losses</w:t>
            </w:r>
          </w:p>
        </w:tc>
        <w:tc>
          <w:tcPr>
            <w:tcW w:w="0" w:type="auto"/>
            <w:gridSpan w:val="3"/>
            <w:shd w:val="clear" w:color="auto" w:fill="CCEEFF"/>
            <w:tcMar>
              <w:top w:w="0" w:type="dxa"/>
              <w:left w:w="20" w:type="dxa"/>
              <w:bottom w:w="0" w:type="dxa"/>
              <w:right w:w="20" w:type="dxa"/>
            </w:tcMar>
            <w:vAlign w:val="center"/>
            <w:hideMark/>
          </w:tcPr>
          <w:p w14:paraId="32CEB2E6"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EB1E630" w14:textId="77777777" w:rsidR="00000000" w:rsidRDefault="00405D16">
            <w:pPr>
              <w:spacing w:after="100"/>
              <w:jc w:val="right"/>
              <w:rPr>
                <w:rFonts w:eastAsia="Times New Roman"/>
              </w:rPr>
            </w:pPr>
            <w:r>
              <w:rPr>
                <w:rFonts w:eastAsia="Times New Roman"/>
                <w:b/>
                <w:bCs/>
                <w:color w:val="000000"/>
                <w:sz w:val="18"/>
                <w:szCs w:val="18"/>
              </w:rPr>
              <w:t>(12,341)</w:t>
            </w:r>
          </w:p>
        </w:tc>
        <w:tc>
          <w:tcPr>
            <w:tcW w:w="0" w:type="auto"/>
            <w:shd w:val="clear" w:color="auto" w:fill="CCEEFF"/>
            <w:tcMar>
              <w:top w:w="30" w:type="dxa"/>
              <w:left w:w="0" w:type="dxa"/>
              <w:bottom w:w="30" w:type="dxa"/>
              <w:right w:w="20" w:type="dxa"/>
            </w:tcMar>
            <w:vAlign w:val="center"/>
            <w:hideMark/>
          </w:tcPr>
          <w:p w14:paraId="49D8A7F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B0711F" w14:textId="77777777" w:rsidR="00000000" w:rsidRDefault="00405D1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F0633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1A19B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59E6F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FF3965"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049CE74" w14:textId="77777777" w:rsidR="00000000" w:rsidRDefault="00405D16">
            <w:pPr>
              <w:spacing w:after="100"/>
              <w:jc w:val="right"/>
              <w:rPr>
                <w:rFonts w:eastAsia="Times New Roman"/>
              </w:rPr>
            </w:pPr>
            <w:r>
              <w:rPr>
                <w:rFonts w:eastAsia="Times New Roman"/>
                <w:color w:val="000000"/>
                <w:sz w:val="18"/>
                <w:szCs w:val="18"/>
              </w:rPr>
              <w:t>(16,839)</w:t>
            </w:r>
          </w:p>
        </w:tc>
        <w:tc>
          <w:tcPr>
            <w:tcW w:w="0" w:type="auto"/>
            <w:shd w:val="clear" w:color="auto" w:fill="CCEEFF"/>
            <w:tcMar>
              <w:top w:w="30" w:type="dxa"/>
              <w:left w:w="0" w:type="dxa"/>
              <w:bottom w:w="30" w:type="dxa"/>
              <w:right w:w="20" w:type="dxa"/>
            </w:tcMar>
            <w:vAlign w:val="center"/>
            <w:hideMark/>
          </w:tcPr>
          <w:p w14:paraId="3A820E3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68E253" w14:textId="77777777" w:rsidR="00000000" w:rsidRDefault="00405D1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BF4B6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BD035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36E92B" w14:textId="77777777" w:rsidR="00000000" w:rsidRDefault="00405D16">
            <w:pPr>
              <w:spacing w:after="100"/>
              <w:rPr>
                <w:rFonts w:eastAsia="Times New Roman"/>
                <w:sz w:val="20"/>
                <w:szCs w:val="20"/>
              </w:rPr>
            </w:pPr>
          </w:p>
        </w:tc>
      </w:tr>
      <w:tr w:rsidR="00000000" w14:paraId="246BB2B3" w14:textId="77777777">
        <w:trPr>
          <w:divId w:val="1798405026"/>
        </w:trPr>
        <w:tc>
          <w:tcPr>
            <w:tcW w:w="0" w:type="auto"/>
            <w:gridSpan w:val="3"/>
            <w:shd w:val="clear" w:color="auto" w:fill="FFFFFF"/>
            <w:tcMar>
              <w:top w:w="30" w:type="dxa"/>
              <w:left w:w="20" w:type="dxa"/>
              <w:bottom w:w="30" w:type="dxa"/>
              <w:right w:w="20" w:type="dxa"/>
            </w:tcMar>
            <w:vAlign w:val="center"/>
            <w:hideMark/>
          </w:tcPr>
          <w:p w14:paraId="627C3208" w14:textId="77777777" w:rsidR="00000000" w:rsidRDefault="00405D16">
            <w:pPr>
              <w:spacing w:after="100"/>
              <w:rPr>
                <w:rFonts w:eastAsia="Times New Roman"/>
              </w:rPr>
            </w:pPr>
            <w:r>
              <w:rPr>
                <w:rFonts w:eastAsia="Times New Roman"/>
                <w:color w:val="000000"/>
                <w:sz w:val="18"/>
                <w:szCs w:val="18"/>
              </w:rPr>
              <w:t>Premises and equipment, net</w:t>
            </w:r>
          </w:p>
        </w:tc>
        <w:tc>
          <w:tcPr>
            <w:tcW w:w="0" w:type="auto"/>
            <w:gridSpan w:val="3"/>
            <w:shd w:val="clear" w:color="auto" w:fill="FFFFFF"/>
            <w:tcMar>
              <w:top w:w="0" w:type="dxa"/>
              <w:left w:w="20" w:type="dxa"/>
              <w:bottom w:w="0" w:type="dxa"/>
              <w:right w:w="20" w:type="dxa"/>
            </w:tcMar>
            <w:vAlign w:val="center"/>
            <w:hideMark/>
          </w:tcPr>
          <w:p w14:paraId="519855D7"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C21F963" w14:textId="77777777" w:rsidR="00000000" w:rsidRDefault="00405D16">
            <w:pPr>
              <w:spacing w:after="100"/>
              <w:jc w:val="right"/>
              <w:rPr>
                <w:rFonts w:eastAsia="Times New Roman"/>
              </w:rPr>
            </w:pPr>
            <w:r>
              <w:rPr>
                <w:rFonts w:eastAsia="Times New Roman"/>
                <w:b/>
                <w:bCs/>
                <w:color w:val="000000"/>
                <w:sz w:val="18"/>
                <w:szCs w:val="18"/>
              </w:rPr>
              <w:t>4,238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E69347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0E897B" w14:textId="77777777" w:rsidR="00000000" w:rsidRDefault="00405D1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BCFBC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135E0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0A10F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3AEF2A"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4F5E0B8" w14:textId="77777777" w:rsidR="00000000" w:rsidRDefault="00405D16">
            <w:pPr>
              <w:spacing w:after="100"/>
              <w:jc w:val="right"/>
              <w:rPr>
                <w:rFonts w:eastAsia="Times New Roman"/>
              </w:rPr>
            </w:pPr>
            <w:r>
              <w:rPr>
                <w:rFonts w:eastAsia="Times New Roman"/>
                <w:color w:val="000000"/>
                <w:sz w:val="18"/>
                <w:szCs w:val="18"/>
              </w:rPr>
              <w:t>4,319 </w:t>
            </w:r>
          </w:p>
        </w:tc>
        <w:tc>
          <w:tcPr>
            <w:tcW w:w="0" w:type="auto"/>
            <w:shd w:val="clear" w:color="auto" w:fill="FFFFFF"/>
            <w:tcMar>
              <w:top w:w="30" w:type="dxa"/>
              <w:left w:w="0" w:type="dxa"/>
              <w:bottom w:w="30" w:type="dxa"/>
              <w:right w:w="20" w:type="dxa"/>
            </w:tcMar>
            <w:vAlign w:val="center"/>
            <w:hideMark/>
          </w:tcPr>
          <w:p w14:paraId="77BAD11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F4BF9D" w14:textId="77777777" w:rsidR="00000000" w:rsidRDefault="00405D1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67DCE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924ED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E7DF3B" w14:textId="77777777" w:rsidR="00000000" w:rsidRDefault="00405D16">
            <w:pPr>
              <w:spacing w:after="100"/>
              <w:rPr>
                <w:rFonts w:eastAsia="Times New Roman"/>
                <w:sz w:val="20"/>
                <w:szCs w:val="20"/>
              </w:rPr>
            </w:pPr>
          </w:p>
        </w:tc>
      </w:tr>
      <w:tr w:rsidR="00000000" w14:paraId="3B68EB6B" w14:textId="77777777">
        <w:trPr>
          <w:divId w:val="1798405026"/>
        </w:trPr>
        <w:tc>
          <w:tcPr>
            <w:tcW w:w="0" w:type="auto"/>
            <w:gridSpan w:val="3"/>
            <w:shd w:val="clear" w:color="auto" w:fill="CCEEFF"/>
            <w:tcMar>
              <w:top w:w="30" w:type="dxa"/>
              <w:left w:w="20" w:type="dxa"/>
              <w:bottom w:w="30" w:type="dxa"/>
              <w:right w:w="20" w:type="dxa"/>
            </w:tcMar>
            <w:vAlign w:val="center"/>
            <w:hideMark/>
          </w:tcPr>
          <w:p w14:paraId="52B355D1" w14:textId="77777777" w:rsidR="00000000" w:rsidRDefault="00405D16">
            <w:pPr>
              <w:spacing w:after="100"/>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14:paraId="44F01622"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98DDCB5" w14:textId="77777777" w:rsidR="00000000" w:rsidRDefault="00405D16">
            <w:pPr>
              <w:spacing w:after="100"/>
              <w:jc w:val="right"/>
              <w:rPr>
                <w:rFonts w:eastAsia="Times New Roman"/>
              </w:rPr>
            </w:pPr>
            <w:r>
              <w:rPr>
                <w:rFonts w:eastAsia="Times New Roman"/>
                <w:b/>
                <w:bCs/>
                <w:color w:val="000000"/>
                <w:sz w:val="18"/>
                <w:szCs w:val="18"/>
              </w:rPr>
              <w:t>39,376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258FB1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A5C4C7" w14:textId="77777777" w:rsidR="00000000" w:rsidRDefault="00405D1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7ABFD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1E61C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995AB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3924E0"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548606B" w14:textId="77777777" w:rsidR="00000000" w:rsidRDefault="00405D16">
            <w:pPr>
              <w:spacing w:after="100"/>
              <w:jc w:val="right"/>
              <w:rPr>
                <w:rFonts w:eastAsia="Times New Roman"/>
              </w:rPr>
            </w:pPr>
            <w:r>
              <w:rPr>
                <w:rFonts w:eastAsia="Times New Roman"/>
                <w:color w:val="000000"/>
                <w:sz w:val="18"/>
                <w:szCs w:val="18"/>
              </w:rPr>
              <w:t>39,226 </w:t>
            </w:r>
          </w:p>
        </w:tc>
        <w:tc>
          <w:tcPr>
            <w:tcW w:w="0" w:type="auto"/>
            <w:shd w:val="clear" w:color="auto" w:fill="CCEEFF"/>
            <w:tcMar>
              <w:top w:w="30" w:type="dxa"/>
              <w:left w:w="0" w:type="dxa"/>
              <w:bottom w:w="30" w:type="dxa"/>
              <w:right w:w="20" w:type="dxa"/>
            </w:tcMar>
            <w:vAlign w:val="center"/>
            <w:hideMark/>
          </w:tcPr>
          <w:p w14:paraId="24A7C7C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A91FFF" w14:textId="77777777" w:rsidR="00000000" w:rsidRDefault="00405D1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3D64A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4A836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9EE2A1" w14:textId="77777777" w:rsidR="00000000" w:rsidRDefault="00405D16">
            <w:pPr>
              <w:spacing w:after="100"/>
              <w:rPr>
                <w:rFonts w:eastAsia="Times New Roman"/>
                <w:sz w:val="20"/>
                <w:szCs w:val="20"/>
              </w:rPr>
            </w:pPr>
          </w:p>
        </w:tc>
      </w:tr>
      <w:tr w:rsidR="00000000" w14:paraId="609AC322" w14:textId="77777777">
        <w:trPr>
          <w:divId w:val="1798405026"/>
        </w:trPr>
        <w:tc>
          <w:tcPr>
            <w:tcW w:w="0" w:type="auto"/>
            <w:gridSpan w:val="3"/>
            <w:shd w:val="clear" w:color="auto" w:fill="FFFFFF"/>
            <w:tcMar>
              <w:top w:w="30" w:type="dxa"/>
              <w:left w:w="20" w:type="dxa"/>
              <w:bottom w:w="30" w:type="dxa"/>
              <w:right w:w="20" w:type="dxa"/>
            </w:tcMar>
            <w:vAlign w:val="center"/>
            <w:hideMark/>
          </w:tcPr>
          <w:p w14:paraId="431C32CD" w14:textId="77777777" w:rsidR="00000000" w:rsidRDefault="00405D16">
            <w:pPr>
              <w:spacing w:after="100"/>
              <w:rPr>
                <w:rFonts w:eastAsia="Times New Roman"/>
              </w:rPr>
            </w:pPr>
            <w:r>
              <w:rPr>
                <w:rFonts w:eastAsia="Times New Roman"/>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14:paraId="2BD5AE87" w14:textId="77777777" w:rsidR="00000000" w:rsidRDefault="00405D16">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3F953288"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9C05BCE" w14:textId="77777777" w:rsidR="00000000" w:rsidRDefault="00405D16">
            <w:pPr>
              <w:spacing w:after="100"/>
              <w:jc w:val="right"/>
              <w:rPr>
                <w:rFonts w:eastAsia="Times New Roman"/>
              </w:rPr>
            </w:pPr>
            <w:r>
              <w:rPr>
                <w:rFonts w:eastAsia="Times New Roman"/>
                <w:b/>
                <w:bCs/>
                <w:color w:val="000000"/>
                <w:sz w:val="18"/>
                <w:szCs w:val="18"/>
              </w:rPr>
              <w:t>424,506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38EC3D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FC701D" w14:textId="77777777" w:rsidR="00000000" w:rsidRDefault="00405D1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65F44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594FA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51061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6487EF" w14:textId="77777777" w:rsidR="00000000" w:rsidRDefault="00405D16">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5ABFD056"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0BA85E78" w14:textId="77777777" w:rsidR="00000000" w:rsidRDefault="00405D16">
            <w:pPr>
              <w:spacing w:after="100"/>
              <w:jc w:val="right"/>
              <w:rPr>
                <w:rFonts w:eastAsia="Times New Roman"/>
              </w:rPr>
            </w:pPr>
            <w:r>
              <w:rPr>
                <w:rFonts w:eastAsia="Times New Roman"/>
                <w:color w:val="000000"/>
                <w:sz w:val="18"/>
                <w:szCs w:val="18"/>
              </w:rPr>
              <w:t>422,854 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53CD24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5C8A00" w14:textId="77777777" w:rsidR="00000000" w:rsidRDefault="00405D1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26D40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A1DD74"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B95FBE" w14:textId="77777777" w:rsidR="00000000" w:rsidRDefault="00405D16">
            <w:pPr>
              <w:spacing w:after="100"/>
              <w:rPr>
                <w:rFonts w:eastAsia="Times New Roman"/>
                <w:sz w:val="20"/>
                <w:szCs w:val="20"/>
              </w:rPr>
            </w:pPr>
          </w:p>
        </w:tc>
      </w:tr>
      <w:tr w:rsidR="00000000" w14:paraId="10E1EE21" w14:textId="77777777">
        <w:trPr>
          <w:divId w:val="1798405026"/>
        </w:trPr>
        <w:tc>
          <w:tcPr>
            <w:tcW w:w="0" w:type="auto"/>
            <w:gridSpan w:val="3"/>
            <w:shd w:val="clear" w:color="auto" w:fill="CCEEFF"/>
            <w:tcMar>
              <w:top w:w="30" w:type="dxa"/>
              <w:left w:w="20" w:type="dxa"/>
              <w:bottom w:w="30" w:type="dxa"/>
              <w:right w:w="20" w:type="dxa"/>
            </w:tcMar>
            <w:vAlign w:val="center"/>
            <w:hideMark/>
          </w:tcPr>
          <w:p w14:paraId="2C3CC84B" w14:textId="77777777" w:rsidR="00000000" w:rsidRDefault="00405D16">
            <w:pPr>
              <w:spacing w:after="100"/>
              <w:rPr>
                <w:rFonts w:eastAsia="Times New Roman"/>
              </w:rPr>
            </w:pPr>
            <w:r>
              <w:rPr>
                <w:rFonts w:eastAsia="Times New Roman"/>
                <w:b/>
                <w:bCs/>
                <w:color w:val="000000"/>
                <w:sz w:val="18"/>
                <w:szCs w:val="18"/>
              </w:rPr>
              <w:t>Liabilities and stockholders’ equity:</w:t>
            </w:r>
          </w:p>
        </w:tc>
        <w:tc>
          <w:tcPr>
            <w:tcW w:w="0" w:type="auto"/>
            <w:gridSpan w:val="3"/>
            <w:shd w:val="clear" w:color="auto" w:fill="CCEEFF"/>
            <w:tcMar>
              <w:top w:w="0" w:type="dxa"/>
              <w:left w:w="20" w:type="dxa"/>
              <w:bottom w:w="0" w:type="dxa"/>
              <w:right w:w="20" w:type="dxa"/>
            </w:tcMar>
            <w:vAlign w:val="center"/>
            <w:hideMark/>
          </w:tcPr>
          <w:p w14:paraId="32DCB007" w14:textId="77777777" w:rsidR="00000000" w:rsidRDefault="00405D16">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759BAA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5AAF2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FD2E4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E5107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B67C2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C6B25A"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6B4DEA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CF13E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3B26D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4EAAA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F49AC3" w14:textId="77777777" w:rsidR="00000000" w:rsidRDefault="00405D16">
            <w:pPr>
              <w:spacing w:after="100"/>
              <w:rPr>
                <w:rFonts w:eastAsia="Times New Roman"/>
                <w:sz w:val="20"/>
                <w:szCs w:val="20"/>
              </w:rPr>
            </w:pPr>
          </w:p>
        </w:tc>
      </w:tr>
      <w:tr w:rsidR="00000000" w14:paraId="2C61A05D" w14:textId="77777777">
        <w:trPr>
          <w:divId w:val="1798405026"/>
        </w:trPr>
        <w:tc>
          <w:tcPr>
            <w:tcW w:w="0" w:type="auto"/>
            <w:gridSpan w:val="3"/>
            <w:shd w:val="clear" w:color="auto" w:fill="FFFFFF"/>
            <w:tcMar>
              <w:top w:w="30" w:type="dxa"/>
              <w:left w:w="20" w:type="dxa"/>
              <w:bottom w:w="30" w:type="dxa"/>
              <w:right w:w="20" w:type="dxa"/>
            </w:tcMar>
            <w:vAlign w:val="center"/>
            <w:hideMark/>
          </w:tcPr>
          <w:p w14:paraId="46791FCF" w14:textId="77777777" w:rsidR="00000000" w:rsidRDefault="00405D16">
            <w:pPr>
              <w:spacing w:after="100"/>
              <w:rPr>
                <w:rFonts w:eastAsia="Times New Roman"/>
              </w:rPr>
            </w:pPr>
            <w:r>
              <w:rPr>
                <w:rFonts w:eastAsia="Times New Roman"/>
                <w:color w:val="000000"/>
                <w:sz w:val="18"/>
                <w:szCs w:val="18"/>
              </w:rPr>
              <w:t>Interest-bearing liabilities:</w:t>
            </w:r>
          </w:p>
        </w:tc>
        <w:tc>
          <w:tcPr>
            <w:tcW w:w="0" w:type="auto"/>
            <w:gridSpan w:val="3"/>
            <w:shd w:val="clear" w:color="auto" w:fill="FFFFFF"/>
            <w:tcMar>
              <w:top w:w="0" w:type="dxa"/>
              <w:left w:w="20" w:type="dxa"/>
              <w:bottom w:w="0" w:type="dxa"/>
              <w:right w:w="20" w:type="dxa"/>
            </w:tcMar>
            <w:vAlign w:val="center"/>
            <w:hideMark/>
          </w:tcPr>
          <w:p w14:paraId="2FC62E67"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EEF5F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5EE8A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11674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B2EEB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7DEFD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6654B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CC82B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BE791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3881C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D7BD5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8834E2" w14:textId="77777777" w:rsidR="00000000" w:rsidRDefault="00405D16">
            <w:pPr>
              <w:spacing w:after="100"/>
              <w:rPr>
                <w:rFonts w:eastAsia="Times New Roman"/>
                <w:sz w:val="20"/>
                <w:szCs w:val="20"/>
              </w:rPr>
            </w:pPr>
          </w:p>
        </w:tc>
      </w:tr>
      <w:tr w:rsidR="00000000" w14:paraId="0D806690" w14:textId="77777777">
        <w:trPr>
          <w:divId w:val="1798405026"/>
        </w:trPr>
        <w:tc>
          <w:tcPr>
            <w:tcW w:w="0" w:type="auto"/>
            <w:gridSpan w:val="3"/>
            <w:shd w:val="clear" w:color="auto" w:fill="CCEEFF"/>
            <w:tcMar>
              <w:top w:w="30" w:type="dxa"/>
              <w:left w:w="245" w:type="dxa"/>
              <w:bottom w:w="30" w:type="dxa"/>
              <w:right w:w="20" w:type="dxa"/>
            </w:tcMar>
            <w:vAlign w:val="center"/>
            <w:hideMark/>
          </w:tcPr>
          <w:p w14:paraId="3851D698" w14:textId="77777777" w:rsidR="00000000" w:rsidRDefault="00405D16">
            <w:pPr>
              <w:spacing w:after="100"/>
              <w:rPr>
                <w:rFonts w:eastAsia="Times New Roman"/>
              </w:rPr>
            </w:pPr>
            <w:r>
              <w:rPr>
                <w:rFonts w:eastAsia="Times New Roman"/>
                <w:color w:val="000000"/>
                <w:sz w:val="18"/>
                <w:szCs w:val="18"/>
              </w:rPr>
              <w:t>Interest-bearing deposits</w:t>
            </w:r>
          </w:p>
        </w:tc>
        <w:tc>
          <w:tcPr>
            <w:tcW w:w="0" w:type="auto"/>
            <w:gridSpan w:val="3"/>
            <w:shd w:val="clear" w:color="auto" w:fill="CCEEFF"/>
            <w:tcMar>
              <w:top w:w="0" w:type="dxa"/>
              <w:left w:w="20" w:type="dxa"/>
              <w:bottom w:w="0" w:type="dxa"/>
              <w:right w:w="20" w:type="dxa"/>
            </w:tcMar>
            <w:vAlign w:val="center"/>
            <w:hideMark/>
          </w:tcPr>
          <w:p w14:paraId="36A251A6" w14:textId="77777777" w:rsidR="00000000" w:rsidRDefault="00405D16">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0C230B46"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37743839" w14:textId="77777777" w:rsidR="00000000" w:rsidRDefault="00405D16">
            <w:pPr>
              <w:spacing w:after="100"/>
              <w:jc w:val="right"/>
              <w:rPr>
                <w:rFonts w:eastAsia="Times New Roman"/>
              </w:rPr>
            </w:pPr>
            <w:r>
              <w:rPr>
                <w:rFonts w:eastAsia="Times New Roman"/>
                <w:b/>
                <w:bCs/>
                <w:color w:val="000000"/>
                <w:sz w:val="18"/>
                <w:szCs w:val="18"/>
              </w:rPr>
              <w:t>269,278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09DBA9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0C5BE5"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7B2E31A3"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36333087" w14:textId="77777777" w:rsidR="00000000" w:rsidRDefault="00405D16">
            <w:pPr>
              <w:spacing w:after="100"/>
              <w:jc w:val="right"/>
              <w:rPr>
                <w:rFonts w:eastAsia="Times New Roman"/>
              </w:rPr>
            </w:pPr>
            <w:r>
              <w:rPr>
                <w:rFonts w:eastAsia="Times New Roman"/>
                <w:b/>
                <w:bCs/>
                <w:color w:val="000000"/>
                <w:sz w:val="18"/>
                <w:szCs w:val="18"/>
              </w:rPr>
              <w:t>228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4D97DB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B7B03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FEF06D1" w14:textId="77777777" w:rsidR="00000000" w:rsidRDefault="00405D16">
            <w:pPr>
              <w:spacing w:after="100"/>
              <w:jc w:val="right"/>
              <w:rPr>
                <w:rFonts w:eastAsia="Times New Roman"/>
              </w:rPr>
            </w:pPr>
            <w:r>
              <w:rPr>
                <w:rFonts w:eastAsia="Times New Roman"/>
                <w:b/>
                <w:bCs/>
                <w:color w:val="000000"/>
                <w:sz w:val="18"/>
                <w:szCs w:val="18"/>
              </w:rPr>
              <w:t>0.34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FE5508D"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B4FF5C8" w14:textId="77777777" w:rsidR="00000000" w:rsidRDefault="00405D16">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0594DB37"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3AAA937D" w14:textId="77777777" w:rsidR="00000000" w:rsidRDefault="00405D16">
            <w:pPr>
              <w:spacing w:after="100"/>
              <w:jc w:val="right"/>
              <w:rPr>
                <w:rFonts w:eastAsia="Times New Roman"/>
              </w:rPr>
            </w:pPr>
            <w:r>
              <w:rPr>
                <w:rFonts w:eastAsia="Times New Roman"/>
                <w:color w:val="000000"/>
                <w:sz w:val="18"/>
                <w:szCs w:val="18"/>
              </w:rPr>
              <w:t>276,339 </w:t>
            </w:r>
          </w:p>
        </w:tc>
        <w:tc>
          <w:tcPr>
            <w:tcW w:w="0" w:type="auto"/>
            <w:shd w:val="clear" w:color="auto" w:fill="CCEEFF"/>
            <w:tcMar>
              <w:top w:w="30" w:type="dxa"/>
              <w:left w:w="0" w:type="dxa"/>
              <w:bottom w:w="30" w:type="dxa"/>
              <w:right w:w="20" w:type="dxa"/>
            </w:tcMar>
            <w:vAlign w:val="center"/>
            <w:hideMark/>
          </w:tcPr>
          <w:p w14:paraId="3CE8F95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B1D9F7"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5203B963"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73EBF0F0" w14:textId="77777777" w:rsidR="00000000" w:rsidRDefault="00405D16">
            <w:pPr>
              <w:spacing w:after="100"/>
              <w:jc w:val="right"/>
              <w:rPr>
                <w:rFonts w:eastAsia="Times New Roman"/>
              </w:rPr>
            </w:pPr>
            <w:r>
              <w:rPr>
                <w:rFonts w:eastAsia="Times New Roman"/>
                <w:color w:val="000000"/>
                <w:sz w:val="18"/>
                <w:szCs w:val="18"/>
              </w:rPr>
              <w:t>476 </w:t>
            </w:r>
          </w:p>
        </w:tc>
        <w:tc>
          <w:tcPr>
            <w:tcW w:w="0" w:type="auto"/>
            <w:shd w:val="clear" w:color="auto" w:fill="CCEEFF"/>
            <w:tcMar>
              <w:top w:w="30" w:type="dxa"/>
              <w:left w:w="0" w:type="dxa"/>
              <w:bottom w:w="30" w:type="dxa"/>
              <w:right w:w="20" w:type="dxa"/>
            </w:tcMar>
            <w:vAlign w:val="center"/>
            <w:hideMark/>
          </w:tcPr>
          <w:p w14:paraId="3D872F8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384AE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89E6479" w14:textId="77777777" w:rsidR="00000000" w:rsidRDefault="00405D16">
            <w:pPr>
              <w:spacing w:after="100"/>
              <w:jc w:val="right"/>
              <w:rPr>
                <w:rFonts w:eastAsia="Times New Roman"/>
              </w:rPr>
            </w:pPr>
            <w:r>
              <w:rPr>
                <w:rFonts w:eastAsia="Times New Roman"/>
                <w:color w:val="000000"/>
                <w:sz w:val="18"/>
                <w:szCs w:val="18"/>
              </w:rPr>
              <w:t>0.69 </w:t>
            </w:r>
          </w:p>
        </w:tc>
        <w:tc>
          <w:tcPr>
            <w:tcW w:w="0" w:type="auto"/>
            <w:shd w:val="clear" w:color="auto" w:fill="CCEEFF"/>
            <w:tcMar>
              <w:top w:w="30" w:type="dxa"/>
              <w:left w:w="0" w:type="dxa"/>
              <w:bottom w:w="30" w:type="dxa"/>
              <w:right w:w="20" w:type="dxa"/>
            </w:tcMar>
            <w:vAlign w:val="center"/>
            <w:hideMark/>
          </w:tcPr>
          <w:p w14:paraId="2F8146A8" w14:textId="77777777" w:rsidR="00000000" w:rsidRDefault="00405D16">
            <w:pPr>
              <w:spacing w:after="100"/>
              <w:rPr>
                <w:rFonts w:eastAsia="Times New Roman"/>
              </w:rPr>
            </w:pPr>
            <w:r>
              <w:rPr>
                <w:rFonts w:eastAsia="Times New Roman"/>
                <w:color w:val="000000"/>
                <w:sz w:val="18"/>
                <w:szCs w:val="18"/>
              </w:rPr>
              <w:t>%</w:t>
            </w:r>
          </w:p>
        </w:tc>
      </w:tr>
      <w:tr w:rsidR="00000000" w14:paraId="7FF0C6D4" w14:textId="77777777">
        <w:trPr>
          <w:divId w:val="1798405026"/>
        </w:trPr>
        <w:tc>
          <w:tcPr>
            <w:tcW w:w="0" w:type="auto"/>
            <w:gridSpan w:val="3"/>
            <w:shd w:val="clear" w:color="auto" w:fill="FFFFFF"/>
            <w:tcMar>
              <w:top w:w="30" w:type="dxa"/>
              <w:left w:w="245" w:type="dxa"/>
              <w:bottom w:w="30" w:type="dxa"/>
              <w:right w:w="20" w:type="dxa"/>
            </w:tcMar>
            <w:vAlign w:val="center"/>
            <w:hideMark/>
          </w:tcPr>
          <w:p w14:paraId="11EB5963" w14:textId="77777777" w:rsidR="00000000" w:rsidRDefault="00405D16">
            <w:pPr>
              <w:spacing w:after="100"/>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14:paraId="0CD0F1DA"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6DAE53A" w14:textId="77777777" w:rsidR="00000000" w:rsidRDefault="00405D16">
            <w:pPr>
              <w:spacing w:after="100"/>
              <w:jc w:val="right"/>
              <w:rPr>
                <w:rFonts w:eastAsia="Times New Roman"/>
              </w:rPr>
            </w:pPr>
            <w:r>
              <w:rPr>
                <w:rFonts w:eastAsia="Times New Roman"/>
                <w:b/>
                <w:bCs/>
                <w:color w:val="000000"/>
                <w:sz w:val="18"/>
                <w:szCs w:val="18"/>
              </w:rPr>
              <w:t>12,420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698C24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62005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3B34485" w14:textId="77777777" w:rsidR="00000000" w:rsidRDefault="00405D16">
            <w:pPr>
              <w:spacing w:after="100"/>
              <w:jc w:val="right"/>
              <w:rPr>
                <w:rFonts w:eastAsia="Times New Roman"/>
              </w:rPr>
            </w:pPr>
            <w:r>
              <w:rPr>
                <w:rFonts w:eastAsia="Times New Roman"/>
                <w:b/>
                <w:bCs/>
                <w:color w:val="000000"/>
                <w:sz w:val="18"/>
                <w:szCs w:val="18"/>
              </w:rPr>
              <w:t>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F58906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A7F95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E161EA2" w14:textId="77777777" w:rsidR="00000000" w:rsidRDefault="00405D16">
            <w:pPr>
              <w:spacing w:after="100"/>
              <w:jc w:val="right"/>
              <w:rPr>
                <w:rFonts w:eastAsia="Times New Roman"/>
              </w:rPr>
            </w:pPr>
            <w:r>
              <w:rPr>
                <w:rFonts w:eastAsia="Times New Roman"/>
                <w:b/>
                <w:bCs/>
                <w:color w:val="000000"/>
                <w:sz w:val="18"/>
                <w:szCs w:val="18"/>
              </w:rPr>
              <w:t>0.93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1A1E90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75392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B1FAE24" w14:textId="77777777" w:rsidR="00000000" w:rsidRDefault="00405D16">
            <w:pPr>
              <w:spacing w:after="100"/>
              <w:jc w:val="right"/>
              <w:rPr>
                <w:rFonts w:eastAsia="Times New Roman"/>
              </w:rPr>
            </w:pPr>
            <w:r>
              <w:rPr>
                <w:rFonts w:eastAsia="Times New Roman"/>
                <w:color w:val="000000"/>
                <w:sz w:val="18"/>
                <w:szCs w:val="18"/>
              </w:rPr>
              <w:t>15,032 </w:t>
            </w:r>
          </w:p>
        </w:tc>
        <w:tc>
          <w:tcPr>
            <w:tcW w:w="0" w:type="auto"/>
            <w:shd w:val="clear" w:color="auto" w:fill="FFFFFF"/>
            <w:tcMar>
              <w:top w:w="30" w:type="dxa"/>
              <w:left w:w="0" w:type="dxa"/>
              <w:bottom w:w="30" w:type="dxa"/>
              <w:right w:w="20" w:type="dxa"/>
            </w:tcMar>
            <w:vAlign w:val="center"/>
            <w:hideMark/>
          </w:tcPr>
          <w:p w14:paraId="396894C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1FD61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C64A3EA" w14:textId="77777777" w:rsidR="00000000" w:rsidRDefault="00405D16">
            <w:pPr>
              <w:spacing w:after="100"/>
              <w:jc w:val="right"/>
              <w:rPr>
                <w:rFonts w:eastAsia="Times New Roman"/>
              </w:rPr>
            </w:pPr>
            <w:r>
              <w:rPr>
                <w:rFonts w:eastAsia="Times New Roman"/>
                <w:color w:val="000000"/>
                <w:sz w:val="18"/>
                <w:szCs w:val="18"/>
              </w:rPr>
              <w:t>43 </w:t>
            </w:r>
          </w:p>
        </w:tc>
        <w:tc>
          <w:tcPr>
            <w:tcW w:w="0" w:type="auto"/>
            <w:shd w:val="clear" w:color="auto" w:fill="FFFFFF"/>
            <w:tcMar>
              <w:top w:w="30" w:type="dxa"/>
              <w:left w:w="0" w:type="dxa"/>
              <w:bottom w:w="30" w:type="dxa"/>
              <w:right w:w="20" w:type="dxa"/>
            </w:tcMar>
            <w:vAlign w:val="center"/>
            <w:hideMark/>
          </w:tcPr>
          <w:p w14:paraId="6BF1428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919B3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9FB8D86" w14:textId="77777777" w:rsidR="00000000" w:rsidRDefault="00405D16">
            <w:pPr>
              <w:spacing w:after="100"/>
              <w:jc w:val="right"/>
              <w:rPr>
                <w:rFonts w:eastAsia="Times New Roman"/>
              </w:rPr>
            </w:pPr>
            <w:r>
              <w:rPr>
                <w:rFonts w:eastAsia="Times New Roman"/>
                <w:color w:val="000000"/>
                <w:sz w:val="18"/>
                <w:szCs w:val="18"/>
              </w:rPr>
              <w:t>1.14 </w:t>
            </w:r>
          </w:p>
        </w:tc>
        <w:tc>
          <w:tcPr>
            <w:tcW w:w="0" w:type="auto"/>
            <w:shd w:val="clear" w:color="auto" w:fill="FFFFFF"/>
            <w:tcMar>
              <w:top w:w="30" w:type="dxa"/>
              <w:left w:w="0" w:type="dxa"/>
              <w:bottom w:w="30" w:type="dxa"/>
              <w:right w:w="20" w:type="dxa"/>
            </w:tcMar>
            <w:vAlign w:val="center"/>
            <w:hideMark/>
          </w:tcPr>
          <w:p w14:paraId="72714F01" w14:textId="77777777" w:rsidR="00000000" w:rsidRDefault="00405D16">
            <w:pPr>
              <w:spacing w:after="100"/>
              <w:jc w:val="right"/>
              <w:rPr>
                <w:rFonts w:eastAsia="Times New Roman"/>
              </w:rPr>
            </w:pPr>
          </w:p>
        </w:tc>
      </w:tr>
      <w:tr w:rsidR="00000000" w14:paraId="73B49D52" w14:textId="77777777">
        <w:trPr>
          <w:divId w:val="1798405026"/>
        </w:trPr>
        <w:tc>
          <w:tcPr>
            <w:tcW w:w="0" w:type="auto"/>
            <w:gridSpan w:val="3"/>
            <w:shd w:val="clear" w:color="auto" w:fill="CCEEFF"/>
            <w:tcMar>
              <w:top w:w="30" w:type="dxa"/>
              <w:left w:w="245" w:type="dxa"/>
              <w:bottom w:w="30" w:type="dxa"/>
              <w:right w:w="20" w:type="dxa"/>
            </w:tcMar>
            <w:vAlign w:val="center"/>
            <w:hideMark/>
          </w:tcPr>
          <w:p w14:paraId="5308C1C1" w14:textId="77777777" w:rsidR="00000000" w:rsidRDefault="00405D16">
            <w:pPr>
              <w:spacing w:after="100"/>
              <w:rPr>
                <w:rFonts w:eastAsia="Times New Roman"/>
              </w:rPr>
            </w:pPr>
            <w:r>
              <w:rPr>
                <w:rFonts w:eastAsia="Times New Roman"/>
                <w:color w:val="000000"/>
                <w:sz w:val="18"/>
                <w:szCs w:val="18"/>
              </w:rPr>
              <w:t>Senior and subordinated notes</w:t>
            </w:r>
          </w:p>
        </w:tc>
        <w:tc>
          <w:tcPr>
            <w:tcW w:w="0" w:type="auto"/>
            <w:gridSpan w:val="3"/>
            <w:shd w:val="clear" w:color="auto" w:fill="CCEEFF"/>
            <w:tcMar>
              <w:top w:w="0" w:type="dxa"/>
              <w:left w:w="20" w:type="dxa"/>
              <w:bottom w:w="0" w:type="dxa"/>
              <w:right w:w="20" w:type="dxa"/>
            </w:tcMar>
            <w:vAlign w:val="center"/>
            <w:hideMark/>
          </w:tcPr>
          <w:p w14:paraId="11FDE401"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420BA80" w14:textId="77777777" w:rsidR="00000000" w:rsidRDefault="00405D16">
            <w:pPr>
              <w:spacing w:after="100"/>
              <w:jc w:val="right"/>
              <w:rPr>
                <w:rFonts w:eastAsia="Times New Roman"/>
              </w:rPr>
            </w:pPr>
            <w:r>
              <w:rPr>
                <w:rFonts w:eastAsia="Times New Roman"/>
                <w:b/>
                <w:bCs/>
                <w:color w:val="000000"/>
                <w:sz w:val="18"/>
                <w:szCs w:val="18"/>
              </w:rPr>
              <w:t>24,241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69FACE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B9AD3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C368B12" w14:textId="77777777" w:rsidR="00000000" w:rsidRDefault="00405D16">
            <w:pPr>
              <w:spacing w:after="100"/>
              <w:jc w:val="right"/>
              <w:rPr>
                <w:rFonts w:eastAsia="Times New Roman"/>
              </w:rPr>
            </w:pPr>
            <w:r>
              <w:rPr>
                <w:rFonts w:eastAsia="Times New Roman"/>
                <w:b/>
                <w:bCs/>
                <w:color w:val="000000"/>
                <w:sz w:val="18"/>
                <w:szCs w:val="18"/>
              </w:rPr>
              <w:t>116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381E99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EAF43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5A88C58" w14:textId="77777777" w:rsidR="00000000" w:rsidRDefault="00405D16">
            <w:pPr>
              <w:spacing w:after="100"/>
              <w:jc w:val="right"/>
              <w:rPr>
                <w:rFonts w:eastAsia="Times New Roman"/>
              </w:rPr>
            </w:pPr>
            <w:r>
              <w:rPr>
                <w:rFonts w:eastAsia="Times New Roman"/>
                <w:b/>
                <w:bCs/>
                <w:color w:val="000000"/>
                <w:sz w:val="18"/>
                <w:szCs w:val="18"/>
              </w:rPr>
              <w:t>1.91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E1CF10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58347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DE1DB01" w14:textId="77777777" w:rsidR="00000000" w:rsidRDefault="00405D16">
            <w:pPr>
              <w:spacing w:after="100"/>
              <w:jc w:val="right"/>
              <w:rPr>
                <w:rFonts w:eastAsia="Times New Roman"/>
              </w:rPr>
            </w:pPr>
            <w:r>
              <w:rPr>
                <w:rFonts w:eastAsia="Times New Roman"/>
                <w:color w:val="000000"/>
                <w:sz w:val="18"/>
                <w:szCs w:val="18"/>
              </w:rPr>
              <w:t>28,497 </w:t>
            </w:r>
          </w:p>
        </w:tc>
        <w:tc>
          <w:tcPr>
            <w:tcW w:w="0" w:type="auto"/>
            <w:shd w:val="clear" w:color="auto" w:fill="CCEEFF"/>
            <w:tcMar>
              <w:top w:w="30" w:type="dxa"/>
              <w:left w:w="0" w:type="dxa"/>
              <w:bottom w:w="30" w:type="dxa"/>
              <w:right w:w="20" w:type="dxa"/>
            </w:tcMar>
            <w:vAlign w:val="center"/>
            <w:hideMark/>
          </w:tcPr>
          <w:p w14:paraId="2C9B6F2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0346E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2C45780" w14:textId="77777777" w:rsidR="00000000" w:rsidRDefault="00405D16">
            <w:pPr>
              <w:spacing w:after="100"/>
              <w:jc w:val="right"/>
              <w:rPr>
                <w:rFonts w:eastAsia="Times New Roman"/>
              </w:rPr>
            </w:pPr>
            <w:r>
              <w:rPr>
                <w:rFonts w:eastAsia="Times New Roman"/>
                <w:color w:val="000000"/>
                <w:sz w:val="18"/>
                <w:szCs w:val="18"/>
              </w:rPr>
              <w:t>132 </w:t>
            </w:r>
          </w:p>
        </w:tc>
        <w:tc>
          <w:tcPr>
            <w:tcW w:w="0" w:type="auto"/>
            <w:shd w:val="clear" w:color="auto" w:fill="CCEEFF"/>
            <w:tcMar>
              <w:top w:w="30" w:type="dxa"/>
              <w:left w:w="0" w:type="dxa"/>
              <w:bottom w:w="30" w:type="dxa"/>
              <w:right w:w="20" w:type="dxa"/>
            </w:tcMar>
            <w:vAlign w:val="center"/>
            <w:hideMark/>
          </w:tcPr>
          <w:p w14:paraId="315D90D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8A123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4E9DC30" w14:textId="77777777" w:rsidR="00000000" w:rsidRDefault="00405D16">
            <w:pPr>
              <w:spacing w:after="100"/>
              <w:jc w:val="right"/>
              <w:rPr>
                <w:rFonts w:eastAsia="Times New Roman"/>
              </w:rPr>
            </w:pPr>
            <w:r>
              <w:rPr>
                <w:rFonts w:eastAsia="Times New Roman"/>
                <w:color w:val="000000"/>
                <w:sz w:val="18"/>
                <w:szCs w:val="18"/>
              </w:rPr>
              <w:t>1.86 </w:t>
            </w:r>
          </w:p>
        </w:tc>
        <w:tc>
          <w:tcPr>
            <w:tcW w:w="0" w:type="auto"/>
            <w:shd w:val="clear" w:color="auto" w:fill="CCEEFF"/>
            <w:tcMar>
              <w:top w:w="30" w:type="dxa"/>
              <w:left w:w="0" w:type="dxa"/>
              <w:bottom w:w="30" w:type="dxa"/>
              <w:right w:w="20" w:type="dxa"/>
            </w:tcMar>
            <w:vAlign w:val="center"/>
            <w:hideMark/>
          </w:tcPr>
          <w:p w14:paraId="7AB1025D" w14:textId="77777777" w:rsidR="00000000" w:rsidRDefault="00405D16">
            <w:pPr>
              <w:spacing w:after="100"/>
              <w:jc w:val="right"/>
              <w:rPr>
                <w:rFonts w:eastAsia="Times New Roman"/>
              </w:rPr>
            </w:pPr>
          </w:p>
        </w:tc>
      </w:tr>
      <w:tr w:rsidR="00000000" w14:paraId="26383190" w14:textId="77777777">
        <w:trPr>
          <w:divId w:val="1798405026"/>
        </w:trPr>
        <w:tc>
          <w:tcPr>
            <w:tcW w:w="0" w:type="auto"/>
            <w:gridSpan w:val="3"/>
            <w:shd w:val="clear" w:color="auto" w:fill="FFFFFF"/>
            <w:tcMar>
              <w:top w:w="30" w:type="dxa"/>
              <w:left w:w="245" w:type="dxa"/>
              <w:bottom w:w="30" w:type="dxa"/>
              <w:right w:w="20" w:type="dxa"/>
            </w:tcMar>
            <w:vAlign w:val="center"/>
            <w:hideMark/>
          </w:tcPr>
          <w:p w14:paraId="73045696" w14:textId="77777777" w:rsidR="00000000" w:rsidRDefault="00405D16">
            <w:pPr>
              <w:spacing w:after="100"/>
              <w:rPr>
                <w:rFonts w:eastAsia="Times New Roman"/>
              </w:rPr>
            </w:pPr>
            <w:r>
              <w:rPr>
                <w:rFonts w:eastAsia="Times New Roman"/>
                <w:color w:val="000000"/>
                <w:sz w:val="18"/>
                <w:szCs w:val="18"/>
              </w:rPr>
              <w:t>Other borrowings and liabilities</w:t>
            </w:r>
          </w:p>
        </w:tc>
        <w:tc>
          <w:tcPr>
            <w:tcW w:w="0" w:type="auto"/>
            <w:gridSpan w:val="3"/>
            <w:shd w:val="clear" w:color="auto" w:fill="FFFFFF"/>
            <w:tcMar>
              <w:top w:w="0" w:type="dxa"/>
              <w:left w:w="20" w:type="dxa"/>
              <w:bottom w:w="0" w:type="dxa"/>
              <w:right w:w="20" w:type="dxa"/>
            </w:tcMar>
            <w:vAlign w:val="center"/>
            <w:hideMark/>
          </w:tcPr>
          <w:p w14:paraId="087AA5D1"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437F700" w14:textId="77777777" w:rsidR="00000000" w:rsidRDefault="00405D16">
            <w:pPr>
              <w:spacing w:after="100"/>
              <w:jc w:val="right"/>
              <w:rPr>
                <w:rFonts w:eastAsia="Times New Roman"/>
              </w:rPr>
            </w:pPr>
            <w:r>
              <w:rPr>
                <w:rFonts w:eastAsia="Times New Roman"/>
                <w:b/>
                <w:bCs/>
                <w:color w:val="000000"/>
                <w:sz w:val="18"/>
                <w:szCs w:val="18"/>
              </w:rPr>
              <w:t>2,357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20B9E0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BB5DD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90D053D" w14:textId="77777777" w:rsidR="00000000" w:rsidRDefault="00405D16">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38EA4B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52CD9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DA6C98A" w14:textId="77777777" w:rsidR="00000000" w:rsidRDefault="00405D16">
            <w:pPr>
              <w:spacing w:after="100"/>
              <w:jc w:val="right"/>
              <w:rPr>
                <w:rFonts w:eastAsia="Times New Roman"/>
              </w:rPr>
            </w:pPr>
            <w:r>
              <w:rPr>
                <w:rFonts w:eastAsia="Times New Roman"/>
                <w:b/>
                <w:bCs/>
                <w:color w:val="000000"/>
                <w:sz w:val="18"/>
                <w:szCs w:val="18"/>
              </w:rPr>
              <w:t>1.49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28E943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D9D19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94A30C6" w14:textId="77777777" w:rsidR="00000000" w:rsidRDefault="00405D16">
            <w:pPr>
              <w:spacing w:after="100"/>
              <w:jc w:val="right"/>
              <w:rPr>
                <w:rFonts w:eastAsia="Times New Roman"/>
              </w:rPr>
            </w:pPr>
            <w:r>
              <w:rPr>
                <w:rFonts w:eastAsia="Times New Roman"/>
                <w:color w:val="000000"/>
                <w:sz w:val="18"/>
                <w:szCs w:val="18"/>
              </w:rPr>
              <w:t>2,119 </w:t>
            </w:r>
          </w:p>
        </w:tc>
        <w:tc>
          <w:tcPr>
            <w:tcW w:w="0" w:type="auto"/>
            <w:shd w:val="clear" w:color="auto" w:fill="FFFFFF"/>
            <w:tcMar>
              <w:top w:w="30" w:type="dxa"/>
              <w:left w:w="0" w:type="dxa"/>
              <w:bottom w:w="30" w:type="dxa"/>
              <w:right w:w="20" w:type="dxa"/>
            </w:tcMar>
            <w:vAlign w:val="center"/>
            <w:hideMark/>
          </w:tcPr>
          <w:p w14:paraId="3E3DE82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FF2FC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3D8AD73" w14:textId="77777777" w:rsidR="00000000" w:rsidRDefault="00405D16">
            <w:pPr>
              <w:spacing w:after="100"/>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center"/>
            <w:hideMark/>
          </w:tcPr>
          <w:p w14:paraId="6A82EB8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931A6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567976A" w14:textId="77777777" w:rsidR="00000000" w:rsidRDefault="00405D16">
            <w:pPr>
              <w:spacing w:after="100"/>
              <w:jc w:val="right"/>
              <w:rPr>
                <w:rFonts w:eastAsia="Times New Roman"/>
              </w:rPr>
            </w:pPr>
            <w:r>
              <w:rPr>
                <w:rFonts w:eastAsia="Times New Roman"/>
                <w:color w:val="000000"/>
                <w:sz w:val="18"/>
                <w:szCs w:val="18"/>
              </w:rPr>
              <w:t>1.77 </w:t>
            </w:r>
          </w:p>
        </w:tc>
        <w:tc>
          <w:tcPr>
            <w:tcW w:w="0" w:type="auto"/>
            <w:shd w:val="clear" w:color="auto" w:fill="FFFFFF"/>
            <w:tcMar>
              <w:top w:w="30" w:type="dxa"/>
              <w:left w:w="0" w:type="dxa"/>
              <w:bottom w:w="30" w:type="dxa"/>
              <w:right w:w="20" w:type="dxa"/>
            </w:tcMar>
            <w:vAlign w:val="center"/>
            <w:hideMark/>
          </w:tcPr>
          <w:p w14:paraId="42287C5F" w14:textId="77777777" w:rsidR="00000000" w:rsidRDefault="00405D16">
            <w:pPr>
              <w:spacing w:after="100"/>
              <w:jc w:val="right"/>
              <w:rPr>
                <w:rFonts w:eastAsia="Times New Roman"/>
              </w:rPr>
            </w:pPr>
          </w:p>
        </w:tc>
      </w:tr>
      <w:tr w:rsidR="00000000" w14:paraId="58CE91C7" w14:textId="77777777">
        <w:trPr>
          <w:divId w:val="1798405026"/>
        </w:trPr>
        <w:tc>
          <w:tcPr>
            <w:tcW w:w="0" w:type="auto"/>
            <w:gridSpan w:val="3"/>
            <w:shd w:val="clear" w:color="auto" w:fill="CCEEFF"/>
            <w:tcMar>
              <w:top w:w="30" w:type="dxa"/>
              <w:left w:w="20" w:type="dxa"/>
              <w:bottom w:w="30" w:type="dxa"/>
              <w:right w:w="20" w:type="dxa"/>
            </w:tcMar>
            <w:vAlign w:val="center"/>
            <w:hideMark/>
          </w:tcPr>
          <w:p w14:paraId="54D22E1D" w14:textId="77777777" w:rsidR="00000000" w:rsidRDefault="00405D16">
            <w:pPr>
              <w:spacing w:after="100"/>
              <w:rPr>
                <w:rFonts w:eastAsia="Times New Roman"/>
              </w:rPr>
            </w:pPr>
            <w:r>
              <w:rPr>
                <w:rFonts w:eastAsia="Times New Roman"/>
                <w:color w:val="000000"/>
                <w:sz w:val="18"/>
                <w:szCs w:val="18"/>
              </w:rPr>
              <w:t>Total interest-bearing liabilities</w:t>
            </w:r>
          </w:p>
        </w:tc>
        <w:tc>
          <w:tcPr>
            <w:tcW w:w="0" w:type="auto"/>
            <w:gridSpan w:val="3"/>
            <w:shd w:val="clear" w:color="auto" w:fill="CCEEFF"/>
            <w:tcMar>
              <w:top w:w="0" w:type="dxa"/>
              <w:left w:w="20" w:type="dxa"/>
              <w:bottom w:w="0" w:type="dxa"/>
              <w:right w:w="20" w:type="dxa"/>
            </w:tcMar>
            <w:vAlign w:val="center"/>
            <w:hideMark/>
          </w:tcPr>
          <w:p w14:paraId="1E3FEF58"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5CDD086" w14:textId="77777777" w:rsidR="00000000" w:rsidRDefault="00405D16">
            <w:pPr>
              <w:spacing w:after="100"/>
              <w:jc w:val="right"/>
              <w:rPr>
                <w:rFonts w:eastAsia="Times New Roman"/>
              </w:rPr>
            </w:pPr>
            <w:r>
              <w:rPr>
                <w:rFonts w:eastAsia="Times New Roman"/>
                <w:b/>
                <w:bCs/>
                <w:color w:val="000000"/>
                <w:sz w:val="18"/>
                <w:szCs w:val="18"/>
              </w:rPr>
              <w:t>308,296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3C5581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D0E856"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D6DE264" w14:textId="77777777" w:rsidR="00000000" w:rsidRDefault="00405D16">
            <w:pPr>
              <w:spacing w:after="100"/>
              <w:jc w:val="right"/>
              <w:rPr>
                <w:rFonts w:eastAsia="Times New Roman"/>
              </w:rPr>
            </w:pPr>
            <w:r>
              <w:rPr>
                <w:rFonts w:eastAsia="Times New Roman"/>
                <w:b/>
                <w:bCs/>
                <w:color w:val="000000"/>
                <w:sz w:val="18"/>
                <w:szCs w:val="18"/>
              </w:rPr>
              <w:t>382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B92E42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4887F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295AF47" w14:textId="77777777" w:rsidR="00000000" w:rsidRDefault="00405D16">
            <w:pPr>
              <w:spacing w:after="100"/>
              <w:jc w:val="right"/>
              <w:rPr>
                <w:rFonts w:eastAsia="Times New Roman"/>
              </w:rPr>
            </w:pPr>
            <w:r>
              <w:rPr>
                <w:rFonts w:eastAsia="Times New Roman"/>
                <w:b/>
                <w:bCs/>
                <w:color w:val="000000"/>
                <w:sz w:val="18"/>
                <w:szCs w:val="18"/>
              </w:rPr>
              <w:t>0.49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37223D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D4C76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9F31A14" w14:textId="77777777" w:rsidR="00000000" w:rsidRDefault="00405D16">
            <w:pPr>
              <w:spacing w:after="100"/>
              <w:jc w:val="right"/>
              <w:rPr>
                <w:rFonts w:eastAsia="Times New Roman"/>
              </w:rPr>
            </w:pPr>
            <w:r>
              <w:rPr>
                <w:rFonts w:eastAsia="Times New Roman"/>
                <w:color w:val="000000"/>
                <w:sz w:val="18"/>
                <w:szCs w:val="18"/>
              </w:rPr>
              <w:t>321,987 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E3C52B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3F4F4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6D1A4EC" w14:textId="77777777" w:rsidR="00000000" w:rsidRDefault="00405D16">
            <w:pPr>
              <w:spacing w:after="100"/>
              <w:jc w:val="right"/>
              <w:rPr>
                <w:rFonts w:eastAsia="Times New Roman"/>
              </w:rPr>
            </w:pPr>
            <w:r>
              <w:rPr>
                <w:rFonts w:eastAsia="Times New Roman"/>
                <w:color w:val="000000"/>
                <w:sz w:val="18"/>
                <w:szCs w:val="18"/>
              </w:rPr>
              <w:t>660 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3B0BFD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BB4C6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26DF976" w14:textId="77777777" w:rsidR="00000000" w:rsidRDefault="00405D16">
            <w:pPr>
              <w:spacing w:after="100"/>
              <w:jc w:val="right"/>
              <w:rPr>
                <w:rFonts w:eastAsia="Times New Roman"/>
              </w:rPr>
            </w:pPr>
            <w:r>
              <w:rPr>
                <w:rFonts w:eastAsia="Times New Roman"/>
                <w:color w:val="000000"/>
                <w:sz w:val="18"/>
                <w:szCs w:val="18"/>
              </w:rPr>
              <w:t>0.82 </w:t>
            </w:r>
          </w:p>
        </w:tc>
        <w:tc>
          <w:tcPr>
            <w:tcW w:w="0" w:type="auto"/>
            <w:shd w:val="clear" w:color="auto" w:fill="CCEEFF"/>
            <w:tcMar>
              <w:top w:w="30" w:type="dxa"/>
              <w:left w:w="0" w:type="dxa"/>
              <w:bottom w:w="30" w:type="dxa"/>
              <w:right w:w="20" w:type="dxa"/>
            </w:tcMar>
            <w:vAlign w:val="center"/>
            <w:hideMark/>
          </w:tcPr>
          <w:p w14:paraId="5007DDA3" w14:textId="77777777" w:rsidR="00000000" w:rsidRDefault="00405D16">
            <w:pPr>
              <w:spacing w:after="100"/>
              <w:jc w:val="right"/>
              <w:rPr>
                <w:rFonts w:eastAsia="Times New Roman"/>
              </w:rPr>
            </w:pPr>
          </w:p>
        </w:tc>
      </w:tr>
      <w:tr w:rsidR="00000000" w14:paraId="0FBB242A" w14:textId="77777777">
        <w:trPr>
          <w:divId w:val="1798405026"/>
        </w:trPr>
        <w:tc>
          <w:tcPr>
            <w:tcW w:w="0" w:type="auto"/>
            <w:gridSpan w:val="3"/>
            <w:shd w:val="clear" w:color="auto" w:fill="FFFFFF"/>
            <w:tcMar>
              <w:top w:w="30" w:type="dxa"/>
              <w:left w:w="20" w:type="dxa"/>
              <w:bottom w:w="30" w:type="dxa"/>
              <w:right w:w="20" w:type="dxa"/>
            </w:tcMar>
            <w:vAlign w:val="center"/>
            <w:hideMark/>
          </w:tcPr>
          <w:p w14:paraId="07BB6ECA" w14:textId="77777777" w:rsidR="00000000" w:rsidRDefault="00405D16">
            <w:pPr>
              <w:spacing w:after="100"/>
              <w:rPr>
                <w:rFonts w:eastAsia="Times New Roman"/>
              </w:rPr>
            </w:pPr>
            <w:r>
              <w:rPr>
                <w:rFonts w:eastAsia="Times New Roman"/>
                <w:color w:val="000000"/>
                <w:sz w:val="18"/>
                <w:szCs w:val="18"/>
              </w:rPr>
              <w:t>Non-interest-bearing deposits</w:t>
            </w:r>
          </w:p>
        </w:tc>
        <w:tc>
          <w:tcPr>
            <w:tcW w:w="0" w:type="auto"/>
            <w:gridSpan w:val="3"/>
            <w:shd w:val="clear" w:color="auto" w:fill="FFFFFF"/>
            <w:tcMar>
              <w:top w:w="0" w:type="dxa"/>
              <w:left w:w="20" w:type="dxa"/>
              <w:bottom w:w="0" w:type="dxa"/>
              <w:right w:w="20" w:type="dxa"/>
            </w:tcMar>
            <w:vAlign w:val="center"/>
            <w:hideMark/>
          </w:tcPr>
          <w:p w14:paraId="3C95F9A6"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0972CF8" w14:textId="77777777" w:rsidR="00000000" w:rsidRDefault="00405D16">
            <w:pPr>
              <w:spacing w:after="100"/>
              <w:jc w:val="right"/>
              <w:rPr>
                <w:rFonts w:eastAsia="Times New Roman"/>
              </w:rPr>
            </w:pPr>
            <w:r>
              <w:rPr>
                <w:rFonts w:eastAsia="Times New Roman"/>
                <w:b/>
                <w:bCs/>
                <w:color w:val="000000"/>
                <w:sz w:val="18"/>
                <w:szCs w:val="18"/>
              </w:rPr>
              <w:t>35,757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2A513D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F7E319" w14:textId="77777777" w:rsidR="00000000" w:rsidRDefault="00405D16">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DCFF97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A1493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8231F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C3EE74" w14:textId="77777777" w:rsidR="00000000" w:rsidRDefault="00405D16">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C9FBF8A" w14:textId="77777777" w:rsidR="00000000" w:rsidRDefault="00405D16">
            <w:pPr>
              <w:spacing w:after="100"/>
              <w:jc w:val="right"/>
              <w:rPr>
                <w:rFonts w:eastAsia="Times New Roman"/>
              </w:rPr>
            </w:pPr>
            <w:r>
              <w:rPr>
                <w:rFonts w:eastAsia="Times New Roman"/>
                <w:color w:val="000000"/>
                <w:sz w:val="18"/>
                <w:szCs w:val="18"/>
              </w:rPr>
              <w:t>29,177 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784047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AB783C" w14:textId="77777777" w:rsidR="00000000" w:rsidRDefault="00405D16">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3306214"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2F494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1BACA6" w14:textId="77777777" w:rsidR="00000000" w:rsidRDefault="00405D16">
            <w:pPr>
              <w:spacing w:after="100"/>
              <w:rPr>
                <w:rFonts w:eastAsia="Times New Roman"/>
                <w:sz w:val="20"/>
                <w:szCs w:val="20"/>
              </w:rPr>
            </w:pPr>
          </w:p>
        </w:tc>
      </w:tr>
      <w:tr w:rsidR="00000000" w14:paraId="4ABE37C9" w14:textId="77777777">
        <w:trPr>
          <w:divId w:val="1798405026"/>
        </w:trPr>
        <w:tc>
          <w:tcPr>
            <w:tcW w:w="0" w:type="auto"/>
            <w:gridSpan w:val="3"/>
            <w:shd w:val="clear" w:color="auto" w:fill="CCEEFF"/>
            <w:tcMar>
              <w:top w:w="30" w:type="dxa"/>
              <w:left w:w="20" w:type="dxa"/>
              <w:bottom w:w="30" w:type="dxa"/>
              <w:right w:w="20" w:type="dxa"/>
            </w:tcMar>
            <w:vAlign w:val="center"/>
            <w:hideMark/>
          </w:tcPr>
          <w:p w14:paraId="19671A27" w14:textId="77777777" w:rsidR="00000000" w:rsidRDefault="00405D16">
            <w:pPr>
              <w:spacing w:after="100"/>
              <w:rPr>
                <w:rFonts w:eastAsia="Times New Roman"/>
              </w:rPr>
            </w:pPr>
            <w:r>
              <w:rPr>
                <w:rFonts w:eastAsia="Times New Roman"/>
                <w:color w:val="000000"/>
                <w:sz w:val="18"/>
                <w:szCs w:val="18"/>
              </w:rPr>
              <w:t>Other liabilities</w:t>
            </w:r>
          </w:p>
        </w:tc>
        <w:tc>
          <w:tcPr>
            <w:tcW w:w="0" w:type="auto"/>
            <w:gridSpan w:val="3"/>
            <w:shd w:val="clear" w:color="auto" w:fill="CCEEFF"/>
            <w:tcMar>
              <w:top w:w="0" w:type="dxa"/>
              <w:left w:w="20" w:type="dxa"/>
              <w:bottom w:w="0" w:type="dxa"/>
              <w:right w:w="20" w:type="dxa"/>
            </w:tcMar>
            <w:vAlign w:val="center"/>
            <w:hideMark/>
          </w:tcPr>
          <w:p w14:paraId="23631B2B"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C1601A9" w14:textId="77777777" w:rsidR="00000000" w:rsidRDefault="00405D16">
            <w:pPr>
              <w:spacing w:after="100"/>
              <w:jc w:val="right"/>
              <w:rPr>
                <w:rFonts w:eastAsia="Times New Roman"/>
              </w:rPr>
            </w:pPr>
            <w:r>
              <w:rPr>
                <w:rFonts w:eastAsia="Times New Roman"/>
                <w:b/>
                <w:bCs/>
                <w:color w:val="000000"/>
                <w:sz w:val="18"/>
                <w:szCs w:val="18"/>
              </w:rPr>
              <w:t>15,771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34A7D5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B787B7" w14:textId="77777777" w:rsidR="00000000" w:rsidRDefault="00405D1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DE3CC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CEEBE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3C9A3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F50AA6"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DA62D89" w14:textId="77777777" w:rsidR="00000000" w:rsidRDefault="00405D16">
            <w:pPr>
              <w:spacing w:after="100"/>
              <w:jc w:val="right"/>
              <w:rPr>
                <w:rFonts w:eastAsia="Times New Roman"/>
              </w:rPr>
            </w:pPr>
            <w:r>
              <w:rPr>
                <w:rFonts w:eastAsia="Times New Roman"/>
                <w:color w:val="000000"/>
                <w:sz w:val="18"/>
                <w:szCs w:val="18"/>
              </w:rPr>
              <w:t>14,467 </w:t>
            </w:r>
          </w:p>
        </w:tc>
        <w:tc>
          <w:tcPr>
            <w:tcW w:w="0" w:type="auto"/>
            <w:shd w:val="clear" w:color="auto" w:fill="CCEEFF"/>
            <w:tcMar>
              <w:top w:w="30" w:type="dxa"/>
              <w:left w:w="0" w:type="dxa"/>
              <w:bottom w:w="30" w:type="dxa"/>
              <w:right w:w="20" w:type="dxa"/>
            </w:tcMar>
            <w:vAlign w:val="center"/>
            <w:hideMark/>
          </w:tcPr>
          <w:p w14:paraId="4B2DD98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FFEEEF" w14:textId="77777777" w:rsidR="00000000" w:rsidRDefault="00405D1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7E123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8D246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B9DF73" w14:textId="77777777" w:rsidR="00000000" w:rsidRDefault="00405D16">
            <w:pPr>
              <w:spacing w:after="100"/>
              <w:rPr>
                <w:rFonts w:eastAsia="Times New Roman"/>
                <w:sz w:val="20"/>
                <w:szCs w:val="20"/>
              </w:rPr>
            </w:pPr>
          </w:p>
        </w:tc>
      </w:tr>
      <w:tr w:rsidR="00000000" w14:paraId="0C74E388" w14:textId="77777777">
        <w:trPr>
          <w:divId w:val="1798405026"/>
        </w:trPr>
        <w:tc>
          <w:tcPr>
            <w:tcW w:w="0" w:type="auto"/>
            <w:gridSpan w:val="3"/>
            <w:shd w:val="clear" w:color="auto" w:fill="FFFFFF"/>
            <w:tcMar>
              <w:top w:w="30" w:type="dxa"/>
              <w:left w:w="20" w:type="dxa"/>
              <w:bottom w:w="30" w:type="dxa"/>
              <w:right w:w="20" w:type="dxa"/>
            </w:tcMar>
            <w:vAlign w:val="center"/>
            <w:hideMark/>
          </w:tcPr>
          <w:p w14:paraId="7E6F0144" w14:textId="77777777" w:rsidR="00000000" w:rsidRDefault="00405D16">
            <w:pPr>
              <w:spacing w:after="100"/>
              <w:rPr>
                <w:rFonts w:eastAsia="Times New Roman"/>
              </w:rPr>
            </w:pPr>
            <w:r>
              <w:rPr>
                <w:rFonts w:eastAsia="Times New Roman"/>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14:paraId="03909973"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D5B7B1C" w14:textId="77777777" w:rsidR="00000000" w:rsidRDefault="00405D16">
            <w:pPr>
              <w:spacing w:after="100"/>
              <w:jc w:val="right"/>
              <w:rPr>
                <w:rFonts w:eastAsia="Times New Roman"/>
              </w:rPr>
            </w:pPr>
            <w:r>
              <w:rPr>
                <w:rFonts w:eastAsia="Times New Roman"/>
                <w:b/>
                <w:bCs/>
                <w:color w:val="000000"/>
                <w:sz w:val="18"/>
                <w:szCs w:val="18"/>
              </w:rPr>
              <w:t>359,824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98ED31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43EA40" w14:textId="77777777" w:rsidR="00000000" w:rsidRDefault="00405D1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7E602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3ACBB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A73E9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192FBF" w14:textId="77777777" w:rsidR="00000000" w:rsidRDefault="00405D16">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449AD20" w14:textId="77777777" w:rsidR="00000000" w:rsidRDefault="00405D16">
            <w:pPr>
              <w:spacing w:after="100"/>
              <w:jc w:val="right"/>
              <w:rPr>
                <w:rFonts w:eastAsia="Times New Roman"/>
              </w:rPr>
            </w:pPr>
            <w:r>
              <w:rPr>
                <w:rFonts w:eastAsia="Times New Roman"/>
                <w:color w:val="000000"/>
                <w:sz w:val="18"/>
                <w:szCs w:val="18"/>
              </w:rPr>
              <w:t>365,631 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983461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25CE27" w14:textId="77777777" w:rsidR="00000000" w:rsidRDefault="00405D1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62A58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75137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77C95E" w14:textId="77777777" w:rsidR="00000000" w:rsidRDefault="00405D16">
            <w:pPr>
              <w:spacing w:after="100"/>
              <w:rPr>
                <w:rFonts w:eastAsia="Times New Roman"/>
                <w:sz w:val="20"/>
                <w:szCs w:val="20"/>
              </w:rPr>
            </w:pPr>
          </w:p>
        </w:tc>
      </w:tr>
      <w:tr w:rsidR="00000000" w14:paraId="427BF56D" w14:textId="77777777">
        <w:trPr>
          <w:divId w:val="1798405026"/>
        </w:trPr>
        <w:tc>
          <w:tcPr>
            <w:tcW w:w="0" w:type="auto"/>
            <w:gridSpan w:val="3"/>
            <w:shd w:val="clear" w:color="auto" w:fill="CCEEFF"/>
            <w:tcMar>
              <w:top w:w="30" w:type="dxa"/>
              <w:left w:w="20" w:type="dxa"/>
              <w:bottom w:w="30" w:type="dxa"/>
              <w:right w:w="20" w:type="dxa"/>
            </w:tcMar>
            <w:vAlign w:val="center"/>
            <w:hideMark/>
          </w:tcPr>
          <w:p w14:paraId="7B499DB6" w14:textId="77777777" w:rsidR="00000000" w:rsidRDefault="00405D16">
            <w:pPr>
              <w:spacing w:after="100"/>
              <w:rPr>
                <w:rFonts w:eastAsia="Times New Roman"/>
              </w:rPr>
            </w:pPr>
            <w:r>
              <w:rPr>
                <w:rFonts w:eastAsia="Times New Roman"/>
                <w:color w:val="000000"/>
                <w:sz w:val="18"/>
                <w:szCs w:val="18"/>
              </w:rPr>
              <w:t>Stockholders’ equity</w:t>
            </w:r>
          </w:p>
        </w:tc>
        <w:tc>
          <w:tcPr>
            <w:tcW w:w="0" w:type="auto"/>
            <w:gridSpan w:val="3"/>
            <w:shd w:val="clear" w:color="auto" w:fill="CCEEFF"/>
            <w:tcMar>
              <w:top w:w="0" w:type="dxa"/>
              <w:left w:w="20" w:type="dxa"/>
              <w:bottom w:w="0" w:type="dxa"/>
              <w:right w:w="20" w:type="dxa"/>
            </w:tcMar>
            <w:vAlign w:val="center"/>
            <w:hideMark/>
          </w:tcPr>
          <w:p w14:paraId="52344FFE"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BEDAD4C" w14:textId="77777777" w:rsidR="00000000" w:rsidRDefault="00405D16">
            <w:pPr>
              <w:spacing w:after="100"/>
              <w:jc w:val="right"/>
              <w:rPr>
                <w:rFonts w:eastAsia="Times New Roman"/>
              </w:rPr>
            </w:pPr>
            <w:r>
              <w:rPr>
                <w:rFonts w:eastAsia="Times New Roman"/>
                <w:b/>
                <w:bCs/>
                <w:color w:val="000000"/>
                <w:sz w:val="18"/>
                <w:szCs w:val="18"/>
              </w:rPr>
              <w:t>64,682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81E174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6FAA07" w14:textId="77777777" w:rsidR="00000000" w:rsidRDefault="00405D1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DAA0F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5DF61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B628A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421171"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0A3EB2D" w14:textId="77777777" w:rsidR="00000000" w:rsidRDefault="00405D16">
            <w:pPr>
              <w:spacing w:after="100"/>
              <w:jc w:val="right"/>
              <w:rPr>
                <w:rFonts w:eastAsia="Times New Roman"/>
              </w:rPr>
            </w:pPr>
            <w:r>
              <w:rPr>
                <w:rFonts w:eastAsia="Times New Roman"/>
                <w:color w:val="000000"/>
                <w:sz w:val="18"/>
                <w:szCs w:val="18"/>
              </w:rPr>
              <w:t>57,223 </w:t>
            </w:r>
          </w:p>
        </w:tc>
        <w:tc>
          <w:tcPr>
            <w:tcW w:w="0" w:type="auto"/>
            <w:shd w:val="clear" w:color="auto" w:fill="CCEEFF"/>
            <w:tcMar>
              <w:top w:w="30" w:type="dxa"/>
              <w:left w:w="0" w:type="dxa"/>
              <w:bottom w:w="30" w:type="dxa"/>
              <w:right w:w="20" w:type="dxa"/>
            </w:tcMar>
            <w:vAlign w:val="center"/>
            <w:hideMark/>
          </w:tcPr>
          <w:p w14:paraId="4B81EFF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E0CA86" w14:textId="77777777" w:rsidR="00000000" w:rsidRDefault="00405D1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C65C1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C67C1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92A977" w14:textId="77777777" w:rsidR="00000000" w:rsidRDefault="00405D16">
            <w:pPr>
              <w:spacing w:after="100"/>
              <w:rPr>
                <w:rFonts w:eastAsia="Times New Roman"/>
                <w:sz w:val="20"/>
                <w:szCs w:val="20"/>
              </w:rPr>
            </w:pPr>
          </w:p>
        </w:tc>
      </w:tr>
      <w:tr w:rsidR="00000000" w14:paraId="0969E914" w14:textId="77777777">
        <w:trPr>
          <w:divId w:val="1798405026"/>
        </w:trPr>
        <w:tc>
          <w:tcPr>
            <w:tcW w:w="0" w:type="auto"/>
            <w:gridSpan w:val="3"/>
            <w:shd w:val="clear" w:color="auto" w:fill="FFFFFF"/>
            <w:tcMar>
              <w:top w:w="30" w:type="dxa"/>
              <w:left w:w="20" w:type="dxa"/>
              <w:bottom w:w="30" w:type="dxa"/>
              <w:right w:w="20" w:type="dxa"/>
            </w:tcMar>
            <w:vAlign w:val="center"/>
            <w:hideMark/>
          </w:tcPr>
          <w:p w14:paraId="28831D1B" w14:textId="77777777" w:rsidR="00000000" w:rsidRDefault="00405D16">
            <w:pPr>
              <w:spacing w:after="100"/>
              <w:rPr>
                <w:rFonts w:eastAsia="Times New Roman"/>
              </w:rPr>
            </w:pPr>
            <w:r>
              <w:rPr>
                <w:rFonts w:eastAsia="Times New Roman"/>
                <w:color w:val="000000"/>
                <w:sz w:val="18"/>
                <w:szCs w:val="18"/>
              </w:rPr>
              <w:t>Total liabilities and stockholders’ equity</w:t>
            </w:r>
          </w:p>
        </w:tc>
        <w:tc>
          <w:tcPr>
            <w:tcW w:w="0" w:type="auto"/>
            <w:gridSpan w:val="3"/>
            <w:shd w:val="clear" w:color="auto" w:fill="FFFFFF"/>
            <w:tcMar>
              <w:top w:w="0" w:type="dxa"/>
              <w:left w:w="20" w:type="dxa"/>
              <w:bottom w:w="0" w:type="dxa"/>
              <w:right w:w="20" w:type="dxa"/>
            </w:tcMar>
            <w:vAlign w:val="center"/>
            <w:hideMark/>
          </w:tcPr>
          <w:p w14:paraId="49006BBA"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0318D06"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7FBD979" w14:textId="77777777" w:rsidR="00000000" w:rsidRDefault="00405D16">
            <w:pPr>
              <w:spacing w:after="100"/>
              <w:jc w:val="right"/>
              <w:rPr>
                <w:rFonts w:eastAsia="Times New Roman"/>
              </w:rPr>
            </w:pPr>
            <w:r>
              <w:rPr>
                <w:rFonts w:eastAsia="Times New Roman"/>
                <w:b/>
                <w:bCs/>
                <w:color w:val="000000"/>
                <w:sz w:val="18"/>
                <w:szCs w:val="18"/>
              </w:rPr>
              <w:t>424,506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3D2DCF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729EE8" w14:textId="77777777" w:rsidR="00000000" w:rsidRDefault="00405D1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46FB3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1FDA5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07733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DC4014" w14:textId="77777777" w:rsidR="00000000" w:rsidRDefault="00405D16">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1A93082C"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15AD4FB6" w14:textId="77777777" w:rsidR="00000000" w:rsidRDefault="00405D16">
            <w:pPr>
              <w:spacing w:after="100"/>
              <w:jc w:val="right"/>
              <w:rPr>
                <w:rFonts w:eastAsia="Times New Roman"/>
              </w:rPr>
            </w:pPr>
            <w:r>
              <w:rPr>
                <w:rFonts w:eastAsia="Times New Roman"/>
                <w:color w:val="000000"/>
                <w:sz w:val="18"/>
                <w:szCs w:val="18"/>
              </w:rPr>
              <w:t>422,854 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4D7B6C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8C034D" w14:textId="77777777" w:rsidR="00000000" w:rsidRDefault="00405D1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67895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0CF624"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4BC8FA" w14:textId="77777777" w:rsidR="00000000" w:rsidRDefault="00405D16">
            <w:pPr>
              <w:spacing w:after="100"/>
              <w:rPr>
                <w:rFonts w:eastAsia="Times New Roman"/>
                <w:sz w:val="20"/>
                <w:szCs w:val="20"/>
              </w:rPr>
            </w:pPr>
          </w:p>
        </w:tc>
      </w:tr>
      <w:tr w:rsidR="00000000" w14:paraId="5661AA2E" w14:textId="77777777">
        <w:trPr>
          <w:divId w:val="1798405026"/>
        </w:trPr>
        <w:tc>
          <w:tcPr>
            <w:tcW w:w="0" w:type="auto"/>
            <w:gridSpan w:val="9"/>
            <w:shd w:val="clear" w:color="auto" w:fill="CCEEFF"/>
            <w:tcMar>
              <w:top w:w="30" w:type="dxa"/>
              <w:left w:w="20" w:type="dxa"/>
              <w:bottom w:w="30" w:type="dxa"/>
              <w:right w:w="20" w:type="dxa"/>
            </w:tcMar>
            <w:vAlign w:val="center"/>
            <w:hideMark/>
          </w:tcPr>
          <w:p w14:paraId="3F1F57F7" w14:textId="77777777" w:rsidR="00000000" w:rsidRDefault="00405D16">
            <w:pPr>
              <w:spacing w:after="100"/>
              <w:rPr>
                <w:rFonts w:eastAsia="Times New Roman"/>
              </w:rPr>
            </w:pPr>
            <w:r>
              <w:rPr>
                <w:rFonts w:eastAsia="Times New Roman"/>
                <w:color w:val="000000"/>
                <w:sz w:val="18"/>
                <w:szCs w:val="18"/>
              </w:rPr>
              <w:t>Net interest income/spread</w:t>
            </w:r>
          </w:p>
        </w:tc>
        <w:tc>
          <w:tcPr>
            <w:tcW w:w="0" w:type="auto"/>
            <w:gridSpan w:val="3"/>
            <w:shd w:val="clear" w:color="auto" w:fill="CCEEFF"/>
            <w:tcMar>
              <w:top w:w="0" w:type="dxa"/>
              <w:left w:w="20" w:type="dxa"/>
              <w:bottom w:w="0" w:type="dxa"/>
              <w:right w:w="20" w:type="dxa"/>
            </w:tcMar>
            <w:vAlign w:val="center"/>
            <w:hideMark/>
          </w:tcPr>
          <w:p w14:paraId="307E854F"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00CCF4BB"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1D552EB" w14:textId="77777777" w:rsidR="00000000" w:rsidRDefault="00405D16">
            <w:pPr>
              <w:spacing w:after="100"/>
              <w:jc w:val="right"/>
              <w:rPr>
                <w:rFonts w:eastAsia="Times New Roman"/>
              </w:rPr>
            </w:pPr>
            <w:r>
              <w:rPr>
                <w:rFonts w:eastAsia="Times New Roman"/>
                <w:b/>
                <w:bCs/>
                <w:color w:val="000000"/>
                <w:sz w:val="18"/>
                <w:szCs w:val="18"/>
              </w:rPr>
              <w:t>6,156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FDAE8E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268C1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DD906A1" w14:textId="77777777" w:rsidR="00000000" w:rsidRDefault="00405D16">
            <w:pPr>
              <w:spacing w:after="100"/>
              <w:jc w:val="right"/>
              <w:rPr>
                <w:rFonts w:eastAsia="Times New Roman"/>
              </w:rPr>
            </w:pPr>
            <w:r>
              <w:rPr>
                <w:rFonts w:eastAsia="Times New Roman"/>
                <w:b/>
                <w:bCs/>
                <w:color w:val="000000"/>
                <w:sz w:val="18"/>
                <w:szCs w:val="18"/>
              </w:rPr>
              <w:t>6.25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9E011C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16B71E" w14:textId="77777777" w:rsidR="00000000" w:rsidRDefault="00405D16">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67BB9B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915836" w14:textId="77777777" w:rsidR="00000000" w:rsidRDefault="00405D16">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9F1CD35"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C5A4FEE" w14:textId="77777777" w:rsidR="00000000" w:rsidRDefault="00405D16">
            <w:pPr>
              <w:spacing w:after="100"/>
              <w:jc w:val="right"/>
              <w:rPr>
                <w:rFonts w:eastAsia="Times New Roman"/>
              </w:rPr>
            </w:pPr>
            <w:r>
              <w:rPr>
                <w:rFonts w:eastAsia="Times New Roman"/>
                <w:color w:val="000000"/>
                <w:sz w:val="18"/>
                <w:szCs w:val="18"/>
              </w:rPr>
              <w:t>5,555 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FB949F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57167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204D01C" w14:textId="77777777" w:rsidR="00000000" w:rsidRDefault="00405D16">
            <w:pPr>
              <w:spacing w:after="100"/>
              <w:jc w:val="right"/>
              <w:rPr>
                <w:rFonts w:eastAsia="Times New Roman"/>
              </w:rPr>
            </w:pPr>
            <w:r>
              <w:rPr>
                <w:rFonts w:eastAsia="Times New Roman"/>
                <w:color w:val="000000"/>
                <w:sz w:val="18"/>
                <w:szCs w:val="18"/>
              </w:rPr>
              <w:t>5.53 </w:t>
            </w:r>
          </w:p>
        </w:tc>
        <w:tc>
          <w:tcPr>
            <w:tcW w:w="0" w:type="auto"/>
            <w:shd w:val="clear" w:color="auto" w:fill="CCEEFF"/>
            <w:tcMar>
              <w:top w:w="30" w:type="dxa"/>
              <w:left w:w="0" w:type="dxa"/>
              <w:bottom w:w="30" w:type="dxa"/>
              <w:right w:w="20" w:type="dxa"/>
            </w:tcMar>
            <w:vAlign w:val="center"/>
            <w:hideMark/>
          </w:tcPr>
          <w:p w14:paraId="5DB07ABE" w14:textId="77777777" w:rsidR="00000000" w:rsidRDefault="00405D16">
            <w:pPr>
              <w:spacing w:after="100"/>
              <w:jc w:val="right"/>
              <w:rPr>
                <w:rFonts w:eastAsia="Times New Roman"/>
              </w:rPr>
            </w:pPr>
          </w:p>
        </w:tc>
      </w:tr>
      <w:tr w:rsidR="00000000" w14:paraId="620EE1D5" w14:textId="77777777">
        <w:trPr>
          <w:divId w:val="1798405026"/>
        </w:trPr>
        <w:tc>
          <w:tcPr>
            <w:tcW w:w="0" w:type="auto"/>
            <w:gridSpan w:val="15"/>
            <w:shd w:val="clear" w:color="auto" w:fill="FFFFFF"/>
            <w:tcMar>
              <w:top w:w="30" w:type="dxa"/>
              <w:left w:w="20" w:type="dxa"/>
              <w:bottom w:w="30" w:type="dxa"/>
              <w:right w:w="20" w:type="dxa"/>
            </w:tcMar>
            <w:vAlign w:val="center"/>
            <w:hideMark/>
          </w:tcPr>
          <w:p w14:paraId="7BCA9AC6" w14:textId="77777777" w:rsidR="00000000" w:rsidRDefault="00405D16">
            <w:pPr>
              <w:spacing w:after="100"/>
              <w:rPr>
                <w:rFonts w:eastAsia="Times New Roman"/>
              </w:rPr>
            </w:pPr>
            <w:r>
              <w:rPr>
                <w:rFonts w:eastAsia="Times New Roman"/>
                <w:color w:val="000000"/>
                <w:sz w:val="18"/>
                <w:szCs w:val="18"/>
              </w:rPr>
              <w:t>Impact of non-interest-bearing funding</w:t>
            </w:r>
          </w:p>
        </w:tc>
        <w:tc>
          <w:tcPr>
            <w:tcW w:w="0" w:type="auto"/>
            <w:gridSpan w:val="3"/>
            <w:shd w:val="clear" w:color="auto" w:fill="FFFFFF"/>
            <w:tcMar>
              <w:top w:w="0" w:type="dxa"/>
              <w:left w:w="20" w:type="dxa"/>
              <w:bottom w:w="0" w:type="dxa"/>
              <w:right w:w="20" w:type="dxa"/>
            </w:tcMar>
            <w:vAlign w:val="center"/>
            <w:hideMark/>
          </w:tcPr>
          <w:p w14:paraId="26A085A2"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7335A4F" w14:textId="77777777" w:rsidR="00000000" w:rsidRDefault="00405D16">
            <w:pPr>
              <w:spacing w:after="100"/>
              <w:jc w:val="right"/>
              <w:rPr>
                <w:rFonts w:eastAsia="Times New Roman"/>
              </w:rPr>
            </w:pPr>
            <w:r>
              <w:rPr>
                <w:rFonts w:eastAsia="Times New Roman"/>
                <w:b/>
                <w:bCs/>
                <w:color w:val="000000"/>
                <w:sz w:val="18"/>
                <w:szCs w:val="18"/>
              </w:rPr>
              <w:t>0.10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81C8D5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66701C" w14:textId="77777777" w:rsidR="00000000" w:rsidRDefault="00405D1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E7BC8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38AFDC"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0BF477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257114"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86FE5BB" w14:textId="77777777" w:rsidR="00000000" w:rsidRDefault="00405D16">
            <w:pPr>
              <w:spacing w:after="100"/>
              <w:jc w:val="right"/>
              <w:rPr>
                <w:rFonts w:eastAsia="Times New Roman"/>
              </w:rPr>
            </w:pPr>
            <w:r>
              <w:rPr>
                <w:rFonts w:eastAsia="Times New Roman"/>
                <w:color w:val="000000"/>
                <w:sz w:val="18"/>
                <w:szCs w:val="18"/>
              </w:rPr>
              <w:t>0.15 </w:t>
            </w:r>
          </w:p>
        </w:tc>
        <w:tc>
          <w:tcPr>
            <w:tcW w:w="0" w:type="auto"/>
            <w:shd w:val="clear" w:color="auto" w:fill="FFFFFF"/>
            <w:tcMar>
              <w:top w:w="30" w:type="dxa"/>
              <w:left w:w="0" w:type="dxa"/>
              <w:bottom w:w="30" w:type="dxa"/>
              <w:right w:w="20" w:type="dxa"/>
            </w:tcMar>
            <w:vAlign w:val="center"/>
            <w:hideMark/>
          </w:tcPr>
          <w:p w14:paraId="07CD1798" w14:textId="77777777" w:rsidR="00000000" w:rsidRDefault="00405D16">
            <w:pPr>
              <w:spacing w:after="100"/>
              <w:jc w:val="right"/>
              <w:rPr>
                <w:rFonts w:eastAsia="Times New Roman"/>
              </w:rPr>
            </w:pPr>
          </w:p>
        </w:tc>
      </w:tr>
      <w:tr w:rsidR="00000000" w14:paraId="3FB5DF4D" w14:textId="77777777">
        <w:trPr>
          <w:divId w:val="1798405026"/>
        </w:trPr>
        <w:tc>
          <w:tcPr>
            <w:tcW w:w="0" w:type="auto"/>
            <w:gridSpan w:val="15"/>
            <w:shd w:val="clear" w:color="auto" w:fill="CCEEFF"/>
            <w:tcMar>
              <w:top w:w="30" w:type="dxa"/>
              <w:left w:w="20" w:type="dxa"/>
              <w:bottom w:w="30" w:type="dxa"/>
              <w:right w:w="20" w:type="dxa"/>
            </w:tcMar>
            <w:vAlign w:val="center"/>
            <w:hideMark/>
          </w:tcPr>
          <w:p w14:paraId="6FFA8A62" w14:textId="77777777" w:rsidR="00000000" w:rsidRDefault="00405D16">
            <w:pPr>
              <w:spacing w:after="100"/>
              <w:rPr>
                <w:rFonts w:eastAsia="Times New Roman"/>
              </w:rPr>
            </w:pPr>
            <w:r>
              <w:rPr>
                <w:rFonts w:eastAsia="Times New Roman"/>
                <w:color w:val="000000"/>
                <w:sz w:val="18"/>
                <w:szCs w:val="18"/>
              </w:rPr>
              <w:t>Net interest margin</w:t>
            </w:r>
          </w:p>
        </w:tc>
        <w:tc>
          <w:tcPr>
            <w:tcW w:w="0" w:type="auto"/>
            <w:gridSpan w:val="3"/>
            <w:shd w:val="clear" w:color="auto" w:fill="CCEEFF"/>
            <w:tcMar>
              <w:top w:w="0" w:type="dxa"/>
              <w:left w:w="20" w:type="dxa"/>
              <w:bottom w:w="0" w:type="dxa"/>
              <w:right w:w="20" w:type="dxa"/>
            </w:tcMar>
            <w:vAlign w:val="center"/>
            <w:hideMark/>
          </w:tcPr>
          <w:p w14:paraId="799BC1EA" w14:textId="77777777" w:rsidR="00000000" w:rsidRDefault="00405D16">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76B38FF" w14:textId="77777777" w:rsidR="00000000" w:rsidRDefault="00405D16">
            <w:pPr>
              <w:spacing w:after="100"/>
              <w:jc w:val="right"/>
              <w:rPr>
                <w:rFonts w:eastAsia="Times New Roman"/>
              </w:rPr>
            </w:pPr>
            <w:r>
              <w:rPr>
                <w:rFonts w:eastAsia="Times New Roman"/>
                <w:b/>
                <w:bCs/>
                <w:color w:val="000000"/>
                <w:sz w:val="18"/>
                <w:szCs w:val="18"/>
              </w:rPr>
              <w:t>6.35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7768CBE"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A022366"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14D9B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F2381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5FDEE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F6C4AA" w14:textId="77777777" w:rsidR="00000000" w:rsidRDefault="00405D16">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DE3A6EA" w14:textId="77777777" w:rsidR="00000000" w:rsidRDefault="00405D16">
            <w:pPr>
              <w:spacing w:after="100"/>
              <w:jc w:val="right"/>
              <w:rPr>
                <w:rFonts w:eastAsia="Times New Roman"/>
              </w:rPr>
            </w:pPr>
            <w:r>
              <w:rPr>
                <w:rFonts w:eastAsia="Times New Roman"/>
                <w:color w:val="000000"/>
                <w:sz w:val="18"/>
                <w:szCs w:val="18"/>
              </w:rPr>
              <w:t>5.68 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1875433" w14:textId="77777777" w:rsidR="00000000" w:rsidRDefault="00405D16">
            <w:pPr>
              <w:spacing w:after="100"/>
              <w:rPr>
                <w:rFonts w:eastAsia="Times New Roman"/>
              </w:rPr>
            </w:pPr>
            <w:r>
              <w:rPr>
                <w:rFonts w:eastAsia="Times New Roman"/>
                <w:color w:val="000000"/>
                <w:sz w:val="18"/>
                <w:szCs w:val="18"/>
              </w:rPr>
              <w:t>%</w:t>
            </w: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48A0F4F4" w14:textId="77777777">
        <w:trPr>
          <w:jc w:val="center"/>
        </w:trPr>
        <w:tc>
          <w:tcPr>
            <w:tcW w:w="50" w:type="pct"/>
            <w:vAlign w:val="center"/>
            <w:hideMark/>
          </w:tcPr>
          <w:p w14:paraId="3F445E59" w14:textId="77777777" w:rsidR="00000000" w:rsidRDefault="00405D16">
            <w:pPr>
              <w:rPr>
                <w:rFonts w:eastAsia="Times New Roman"/>
              </w:rPr>
            </w:pPr>
          </w:p>
        </w:tc>
        <w:tc>
          <w:tcPr>
            <w:tcW w:w="1606" w:type="pct"/>
            <w:vAlign w:val="center"/>
            <w:hideMark/>
          </w:tcPr>
          <w:p w14:paraId="3CE44550" w14:textId="77777777" w:rsidR="00000000" w:rsidRDefault="00405D16">
            <w:pPr>
              <w:spacing w:after="100"/>
              <w:rPr>
                <w:rFonts w:eastAsia="Times New Roman"/>
                <w:sz w:val="20"/>
                <w:szCs w:val="20"/>
              </w:rPr>
            </w:pPr>
          </w:p>
        </w:tc>
        <w:tc>
          <w:tcPr>
            <w:tcW w:w="5" w:type="pct"/>
            <w:vAlign w:val="center"/>
            <w:hideMark/>
          </w:tcPr>
          <w:p w14:paraId="1C43E4C2" w14:textId="77777777" w:rsidR="00000000" w:rsidRDefault="00405D16">
            <w:pPr>
              <w:spacing w:after="100"/>
              <w:rPr>
                <w:rFonts w:eastAsia="Times New Roman"/>
                <w:sz w:val="20"/>
                <w:szCs w:val="20"/>
              </w:rPr>
            </w:pPr>
          </w:p>
        </w:tc>
        <w:tc>
          <w:tcPr>
            <w:tcW w:w="50" w:type="pct"/>
            <w:vAlign w:val="center"/>
            <w:hideMark/>
          </w:tcPr>
          <w:p w14:paraId="73ABA005" w14:textId="77777777" w:rsidR="00000000" w:rsidRDefault="00405D16">
            <w:pPr>
              <w:spacing w:after="100"/>
              <w:rPr>
                <w:rFonts w:eastAsia="Times New Roman"/>
                <w:sz w:val="20"/>
                <w:szCs w:val="20"/>
              </w:rPr>
            </w:pPr>
          </w:p>
        </w:tc>
        <w:tc>
          <w:tcPr>
            <w:tcW w:w="1614" w:type="pct"/>
            <w:vAlign w:val="center"/>
            <w:hideMark/>
          </w:tcPr>
          <w:p w14:paraId="1A26CCD7" w14:textId="77777777" w:rsidR="00000000" w:rsidRDefault="00405D16">
            <w:pPr>
              <w:spacing w:after="100"/>
              <w:rPr>
                <w:rFonts w:eastAsia="Times New Roman"/>
                <w:sz w:val="20"/>
                <w:szCs w:val="20"/>
              </w:rPr>
            </w:pPr>
          </w:p>
        </w:tc>
        <w:tc>
          <w:tcPr>
            <w:tcW w:w="5" w:type="pct"/>
            <w:vAlign w:val="center"/>
            <w:hideMark/>
          </w:tcPr>
          <w:p w14:paraId="5D8D12AB" w14:textId="77777777" w:rsidR="00000000" w:rsidRDefault="00405D16">
            <w:pPr>
              <w:spacing w:after="100"/>
              <w:rPr>
                <w:rFonts w:eastAsia="Times New Roman"/>
                <w:sz w:val="20"/>
                <w:szCs w:val="20"/>
              </w:rPr>
            </w:pPr>
          </w:p>
        </w:tc>
        <w:tc>
          <w:tcPr>
            <w:tcW w:w="50" w:type="pct"/>
            <w:vAlign w:val="center"/>
            <w:hideMark/>
          </w:tcPr>
          <w:p w14:paraId="08121DAA" w14:textId="77777777" w:rsidR="00000000" w:rsidRDefault="00405D16">
            <w:pPr>
              <w:spacing w:after="100"/>
              <w:rPr>
                <w:rFonts w:eastAsia="Times New Roman"/>
                <w:sz w:val="20"/>
                <w:szCs w:val="20"/>
              </w:rPr>
            </w:pPr>
          </w:p>
        </w:tc>
        <w:tc>
          <w:tcPr>
            <w:tcW w:w="1614" w:type="pct"/>
            <w:vAlign w:val="center"/>
            <w:hideMark/>
          </w:tcPr>
          <w:p w14:paraId="3A08B9AE" w14:textId="77777777" w:rsidR="00000000" w:rsidRDefault="00405D16">
            <w:pPr>
              <w:spacing w:after="100"/>
              <w:rPr>
                <w:rFonts w:eastAsia="Times New Roman"/>
                <w:sz w:val="20"/>
                <w:szCs w:val="20"/>
              </w:rPr>
            </w:pPr>
          </w:p>
        </w:tc>
        <w:tc>
          <w:tcPr>
            <w:tcW w:w="5" w:type="pct"/>
            <w:vAlign w:val="center"/>
            <w:hideMark/>
          </w:tcPr>
          <w:p w14:paraId="7BC82784" w14:textId="77777777" w:rsidR="00000000" w:rsidRDefault="00405D16">
            <w:pPr>
              <w:spacing w:after="100"/>
              <w:rPr>
                <w:rFonts w:eastAsia="Times New Roman"/>
                <w:sz w:val="20"/>
                <w:szCs w:val="20"/>
              </w:rPr>
            </w:pPr>
          </w:p>
        </w:tc>
      </w:tr>
      <w:tr w:rsidR="00000000" w14:paraId="392CCC87" w14:textId="77777777">
        <w:trPr>
          <w:trHeight w:val="300"/>
          <w:jc w:val="center"/>
        </w:trPr>
        <w:tc>
          <w:tcPr>
            <w:tcW w:w="0" w:type="auto"/>
            <w:gridSpan w:val="9"/>
            <w:tcMar>
              <w:top w:w="0" w:type="dxa"/>
              <w:left w:w="20" w:type="dxa"/>
              <w:bottom w:w="0" w:type="dxa"/>
              <w:right w:w="20" w:type="dxa"/>
            </w:tcMar>
            <w:vAlign w:val="center"/>
            <w:hideMark/>
          </w:tcPr>
          <w:p w14:paraId="61E2142C" w14:textId="77777777" w:rsidR="00000000" w:rsidRDefault="00405D16">
            <w:pPr>
              <w:spacing w:after="100"/>
              <w:rPr>
                <w:rFonts w:eastAsia="Times New Roman"/>
                <w:sz w:val="20"/>
                <w:szCs w:val="20"/>
              </w:rPr>
            </w:pPr>
          </w:p>
        </w:tc>
      </w:tr>
      <w:tr w:rsidR="00000000" w14:paraId="0F3B8DC5" w14:textId="77777777">
        <w:trPr>
          <w:jc w:val="center"/>
        </w:trPr>
        <w:tc>
          <w:tcPr>
            <w:tcW w:w="0" w:type="auto"/>
            <w:gridSpan w:val="3"/>
            <w:tcMar>
              <w:top w:w="0" w:type="dxa"/>
              <w:left w:w="20" w:type="dxa"/>
              <w:bottom w:w="0" w:type="dxa"/>
              <w:right w:w="20" w:type="dxa"/>
            </w:tcMar>
            <w:vAlign w:val="center"/>
            <w:hideMark/>
          </w:tcPr>
          <w:p w14:paraId="06AF2A24"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8F06B6B" w14:textId="77777777" w:rsidR="00000000" w:rsidRDefault="00405D16">
            <w:pPr>
              <w:spacing w:after="100"/>
              <w:jc w:val="center"/>
              <w:rPr>
                <w:rFonts w:eastAsia="Times New Roman"/>
              </w:rPr>
            </w:pPr>
            <w:r>
              <w:rPr>
                <w:rFonts w:eastAsia="Times New Roman"/>
                <w:color w:val="000000"/>
                <w:sz w:val="16"/>
                <w:szCs w:val="16"/>
              </w:rPr>
              <w:t>12</w:t>
            </w:r>
          </w:p>
        </w:tc>
        <w:tc>
          <w:tcPr>
            <w:tcW w:w="0" w:type="auto"/>
            <w:gridSpan w:val="3"/>
            <w:tcMar>
              <w:top w:w="30" w:type="dxa"/>
              <w:left w:w="20" w:type="dxa"/>
              <w:bottom w:w="30" w:type="dxa"/>
              <w:right w:w="20" w:type="dxa"/>
            </w:tcMar>
            <w:vAlign w:val="bottom"/>
            <w:hideMark/>
          </w:tcPr>
          <w:p w14:paraId="0A558E2A"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7ABA6DFE" w14:textId="77777777" w:rsidR="00000000" w:rsidRDefault="00405D16">
      <w:pPr>
        <w:rPr>
          <w:rFonts w:eastAsia="Times New Roman"/>
        </w:rPr>
      </w:pPr>
      <w:r>
        <w:rPr>
          <w:rFonts w:eastAsia="Times New Roman"/>
        </w:rPr>
        <w:pict w14:anchorId="28762540">
          <v:rect id="_x0000_i1037" style="width:0;height:1.5pt" o:hralign="center" o:hrstd="t" o:hr="t" fillcolor="#a0a0a0" stroked="f"/>
        </w:pict>
      </w:r>
    </w:p>
    <w:p w14:paraId="5D1AA8A6" w14:textId="77777777" w:rsidR="00000000" w:rsidRDefault="00405D16">
      <w:pPr>
        <w:ind w:hanging="360"/>
        <w:jc w:val="both"/>
        <w:divId w:val="911156630"/>
        <w:rPr>
          <w:rFonts w:eastAsia="Times New Roman"/>
        </w:rPr>
      </w:pPr>
      <w:hyperlink w:anchor="idd54a04a485440b4ab4e56094c14d612_13" w:history="1">
        <w:r>
          <w:rPr>
            <w:rStyle w:val="a3"/>
            <w:rFonts w:eastAsia="Times New Roman"/>
            <w:sz w:val="16"/>
            <w:szCs w:val="16"/>
          </w:rPr>
          <w:t>Table of Contents</w:t>
        </w:r>
      </w:hyperlink>
    </w:p>
    <w:tbl>
      <w:tblPr>
        <w:tblW w:w="4985" w:type="pct"/>
        <w:tblCellMar>
          <w:top w:w="15" w:type="dxa"/>
          <w:left w:w="15" w:type="dxa"/>
          <w:bottom w:w="15" w:type="dxa"/>
          <w:right w:w="15" w:type="dxa"/>
        </w:tblCellMar>
        <w:tblLook w:val="04A0" w:firstRow="1" w:lastRow="0" w:firstColumn="1" w:lastColumn="0" w:noHBand="0" w:noVBand="1"/>
      </w:tblPr>
      <w:tblGrid>
        <w:gridCol w:w="41"/>
        <w:gridCol w:w="2550"/>
        <w:gridCol w:w="40"/>
        <w:gridCol w:w="36"/>
        <w:gridCol w:w="36"/>
        <w:gridCol w:w="36"/>
        <w:gridCol w:w="110"/>
        <w:gridCol w:w="630"/>
        <w:gridCol w:w="36"/>
        <w:gridCol w:w="36"/>
        <w:gridCol w:w="36"/>
        <w:gridCol w:w="36"/>
        <w:gridCol w:w="110"/>
        <w:gridCol w:w="540"/>
        <w:gridCol w:w="36"/>
        <w:gridCol w:w="36"/>
        <w:gridCol w:w="36"/>
        <w:gridCol w:w="36"/>
        <w:gridCol w:w="75"/>
        <w:gridCol w:w="527"/>
        <w:gridCol w:w="200"/>
        <w:gridCol w:w="36"/>
        <w:gridCol w:w="36"/>
        <w:gridCol w:w="36"/>
        <w:gridCol w:w="110"/>
        <w:gridCol w:w="630"/>
        <w:gridCol w:w="36"/>
        <w:gridCol w:w="36"/>
        <w:gridCol w:w="36"/>
        <w:gridCol w:w="36"/>
        <w:gridCol w:w="110"/>
        <w:gridCol w:w="540"/>
        <w:gridCol w:w="36"/>
        <w:gridCol w:w="36"/>
        <w:gridCol w:w="36"/>
        <w:gridCol w:w="36"/>
        <w:gridCol w:w="75"/>
        <w:gridCol w:w="527"/>
        <w:gridCol w:w="170"/>
        <w:gridCol w:w="36"/>
        <w:gridCol w:w="36"/>
        <w:gridCol w:w="36"/>
        <w:gridCol w:w="36"/>
        <w:gridCol w:w="36"/>
        <w:gridCol w:w="36"/>
        <w:gridCol w:w="36"/>
        <w:gridCol w:w="36"/>
        <w:gridCol w:w="36"/>
        <w:gridCol w:w="36"/>
        <w:gridCol w:w="36"/>
        <w:gridCol w:w="36"/>
        <w:gridCol w:w="36"/>
        <w:gridCol w:w="36"/>
      </w:tblGrid>
      <w:tr w:rsidR="00000000" w14:paraId="33DB4046" w14:textId="77777777">
        <w:trPr>
          <w:divId w:val="1942257185"/>
        </w:trPr>
        <w:tc>
          <w:tcPr>
            <w:tcW w:w="50" w:type="pct"/>
            <w:vAlign w:val="center"/>
            <w:hideMark/>
          </w:tcPr>
          <w:p w14:paraId="62C4E06A" w14:textId="77777777" w:rsidR="00000000" w:rsidRDefault="00405D16">
            <w:pPr>
              <w:ind w:hanging="360"/>
              <w:jc w:val="both"/>
              <w:rPr>
                <w:rFonts w:eastAsia="Times New Roman"/>
              </w:rPr>
            </w:pPr>
          </w:p>
        </w:tc>
        <w:tc>
          <w:tcPr>
            <w:tcW w:w="2261" w:type="pct"/>
            <w:vAlign w:val="center"/>
            <w:hideMark/>
          </w:tcPr>
          <w:p w14:paraId="35E222DE" w14:textId="77777777" w:rsidR="00000000" w:rsidRDefault="00405D16">
            <w:pPr>
              <w:spacing w:after="100"/>
              <w:rPr>
                <w:rFonts w:eastAsia="Times New Roman"/>
                <w:sz w:val="20"/>
                <w:szCs w:val="20"/>
              </w:rPr>
            </w:pPr>
          </w:p>
        </w:tc>
        <w:tc>
          <w:tcPr>
            <w:tcW w:w="5" w:type="pct"/>
            <w:vAlign w:val="center"/>
            <w:hideMark/>
          </w:tcPr>
          <w:p w14:paraId="3F6068C1" w14:textId="77777777" w:rsidR="00000000" w:rsidRDefault="00405D16">
            <w:pPr>
              <w:spacing w:after="100"/>
              <w:rPr>
                <w:rFonts w:eastAsia="Times New Roman"/>
                <w:sz w:val="20"/>
                <w:szCs w:val="20"/>
              </w:rPr>
            </w:pPr>
          </w:p>
        </w:tc>
        <w:tc>
          <w:tcPr>
            <w:tcW w:w="5" w:type="pct"/>
            <w:vAlign w:val="center"/>
            <w:hideMark/>
          </w:tcPr>
          <w:p w14:paraId="709F803D" w14:textId="77777777" w:rsidR="00000000" w:rsidRDefault="00405D16">
            <w:pPr>
              <w:spacing w:after="100"/>
              <w:rPr>
                <w:rFonts w:eastAsia="Times New Roman"/>
                <w:sz w:val="20"/>
                <w:szCs w:val="20"/>
              </w:rPr>
            </w:pPr>
          </w:p>
        </w:tc>
        <w:tc>
          <w:tcPr>
            <w:tcW w:w="26" w:type="pct"/>
            <w:vAlign w:val="center"/>
            <w:hideMark/>
          </w:tcPr>
          <w:p w14:paraId="320792FB" w14:textId="77777777" w:rsidR="00000000" w:rsidRDefault="00405D16">
            <w:pPr>
              <w:spacing w:after="100"/>
              <w:rPr>
                <w:rFonts w:eastAsia="Times New Roman"/>
                <w:sz w:val="20"/>
                <w:szCs w:val="20"/>
              </w:rPr>
            </w:pPr>
          </w:p>
        </w:tc>
        <w:tc>
          <w:tcPr>
            <w:tcW w:w="5" w:type="pct"/>
            <w:vAlign w:val="center"/>
            <w:hideMark/>
          </w:tcPr>
          <w:p w14:paraId="679E7389" w14:textId="77777777" w:rsidR="00000000" w:rsidRDefault="00405D16">
            <w:pPr>
              <w:spacing w:after="100"/>
              <w:rPr>
                <w:rFonts w:eastAsia="Times New Roman"/>
                <w:sz w:val="20"/>
                <w:szCs w:val="20"/>
              </w:rPr>
            </w:pPr>
          </w:p>
        </w:tc>
        <w:tc>
          <w:tcPr>
            <w:tcW w:w="50" w:type="pct"/>
            <w:vAlign w:val="center"/>
            <w:hideMark/>
          </w:tcPr>
          <w:p w14:paraId="44C32C21" w14:textId="77777777" w:rsidR="00000000" w:rsidRDefault="00405D16">
            <w:pPr>
              <w:spacing w:after="100"/>
              <w:rPr>
                <w:rFonts w:eastAsia="Times New Roman"/>
                <w:sz w:val="20"/>
                <w:szCs w:val="20"/>
              </w:rPr>
            </w:pPr>
          </w:p>
        </w:tc>
        <w:tc>
          <w:tcPr>
            <w:tcW w:w="355" w:type="pct"/>
            <w:vAlign w:val="center"/>
            <w:hideMark/>
          </w:tcPr>
          <w:p w14:paraId="0E80D445" w14:textId="77777777" w:rsidR="00000000" w:rsidRDefault="00405D16">
            <w:pPr>
              <w:spacing w:after="100"/>
              <w:rPr>
                <w:rFonts w:eastAsia="Times New Roman"/>
                <w:sz w:val="20"/>
                <w:szCs w:val="20"/>
              </w:rPr>
            </w:pPr>
          </w:p>
        </w:tc>
        <w:tc>
          <w:tcPr>
            <w:tcW w:w="5" w:type="pct"/>
            <w:vAlign w:val="center"/>
            <w:hideMark/>
          </w:tcPr>
          <w:p w14:paraId="7F5C0C37" w14:textId="77777777" w:rsidR="00000000" w:rsidRDefault="00405D16">
            <w:pPr>
              <w:spacing w:after="100"/>
              <w:rPr>
                <w:rFonts w:eastAsia="Times New Roman"/>
                <w:sz w:val="20"/>
                <w:szCs w:val="20"/>
              </w:rPr>
            </w:pPr>
          </w:p>
        </w:tc>
        <w:tc>
          <w:tcPr>
            <w:tcW w:w="5" w:type="pct"/>
            <w:vAlign w:val="center"/>
            <w:hideMark/>
          </w:tcPr>
          <w:p w14:paraId="094DA02E" w14:textId="77777777" w:rsidR="00000000" w:rsidRDefault="00405D16">
            <w:pPr>
              <w:spacing w:after="100"/>
              <w:rPr>
                <w:rFonts w:eastAsia="Times New Roman"/>
                <w:sz w:val="20"/>
                <w:szCs w:val="20"/>
              </w:rPr>
            </w:pPr>
          </w:p>
        </w:tc>
        <w:tc>
          <w:tcPr>
            <w:tcW w:w="26" w:type="pct"/>
            <w:vAlign w:val="center"/>
            <w:hideMark/>
          </w:tcPr>
          <w:p w14:paraId="0206C47B" w14:textId="77777777" w:rsidR="00000000" w:rsidRDefault="00405D16">
            <w:pPr>
              <w:spacing w:after="100"/>
              <w:rPr>
                <w:rFonts w:eastAsia="Times New Roman"/>
                <w:sz w:val="20"/>
                <w:szCs w:val="20"/>
              </w:rPr>
            </w:pPr>
          </w:p>
        </w:tc>
        <w:tc>
          <w:tcPr>
            <w:tcW w:w="5" w:type="pct"/>
            <w:vAlign w:val="center"/>
            <w:hideMark/>
          </w:tcPr>
          <w:p w14:paraId="58AC45E6" w14:textId="77777777" w:rsidR="00000000" w:rsidRDefault="00405D16">
            <w:pPr>
              <w:spacing w:after="100"/>
              <w:rPr>
                <w:rFonts w:eastAsia="Times New Roman"/>
                <w:sz w:val="20"/>
                <w:szCs w:val="20"/>
              </w:rPr>
            </w:pPr>
          </w:p>
        </w:tc>
        <w:tc>
          <w:tcPr>
            <w:tcW w:w="50" w:type="pct"/>
            <w:vAlign w:val="center"/>
            <w:hideMark/>
          </w:tcPr>
          <w:p w14:paraId="640270A1" w14:textId="77777777" w:rsidR="00000000" w:rsidRDefault="00405D16">
            <w:pPr>
              <w:spacing w:after="100"/>
              <w:rPr>
                <w:rFonts w:eastAsia="Times New Roman"/>
                <w:sz w:val="20"/>
                <w:szCs w:val="20"/>
              </w:rPr>
            </w:pPr>
          </w:p>
        </w:tc>
        <w:tc>
          <w:tcPr>
            <w:tcW w:w="355" w:type="pct"/>
            <w:vAlign w:val="center"/>
            <w:hideMark/>
          </w:tcPr>
          <w:p w14:paraId="4CA7CCCB" w14:textId="77777777" w:rsidR="00000000" w:rsidRDefault="00405D16">
            <w:pPr>
              <w:spacing w:after="100"/>
              <w:rPr>
                <w:rFonts w:eastAsia="Times New Roman"/>
                <w:sz w:val="20"/>
                <w:szCs w:val="20"/>
              </w:rPr>
            </w:pPr>
          </w:p>
        </w:tc>
        <w:tc>
          <w:tcPr>
            <w:tcW w:w="5" w:type="pct"/>
            <w:vAlign w:val="center"/>
            <w:hideMark/>
          </w:tcPr>
          <w:p w14:paraId="5C686EB2" w14:textId="77777777" w:rsidR="00000000" w:rsidRDefault="00405D16">
            <w:pPr>
              <w:spacing w:after="100"/>
              <w:rPr>
                <w:rFonts w:eastAsia="Times New Roman"/>
                <w:sz w:val="20"/>
                <w:szCs w:val="20"/>
              </w:rPr>
            </w:pPr>
          </w:p>
        </w:tc>
        <w:tc>
          <w:tcPr>
            <w:tcW w:w="5" w:type="pct"/>
            <w:vAlign w:val="center"/>
            <w:hideMark/>
          </w:tcPr>
          <w:p w14:paraId="2D6B9289" w14:textId="77777777" w:rsidR="00000000" w:rsidRDefault="00405D16">
            <w:pPr>
              <w:spacing w:after="100"/>
              <w:rPr>
                <w:rFonts w:eastAsia="Times New Roman"/>
                <w:sz w:val="20"/>
                <w:szCs w:val="20"/>
              </w:rPr>
            </w:pPr>
          </w:p>
        </w:tc>
        <w:tc>
          <w:tcPr>
            <w:tcW w:w="26" w:type="pct"/>
            <w:vAlign w:val="center"/>
            <w:hideMark/>
          </w:tcPr>
          <w:p w14:paraId="12E14C84" w14:textId="77777777" w:rsidR="00000000" w:rsidRDefault="00405D16">
            <w:pPr>
              <w:spacing w:after="100"/>
              <w:rPr>
                <w:rFonts w:eastAsia="Times New Roman"/>
                <w:sz w:val="20"/>
                <w:szCs w:val="20"/>
              </w:rPr>
            </w:pPr>
          </w:p>
        </w:tc>
        <w:tc>
          <w:tcPr>
            <w:tcW w:w="5" w:type="pct"/>
            <w:vAlign w:val="center"/>
            <w:hideMark/>
          </w:tcPr>
          <w:p w14:paraId="68412703" w14:textId="77777777" w:rsidR="00000000" w:rsidRDefault="00405D16">
            <w:pPr>
              <w:spacing w:after="100"/>
              <w:rPr>
                <w:rFonts w:eastAsia="Times New Roman"/>
                <w:sz w:val="20"/>
                <w:szCs w:val="20"/>
              </w:rPr>
            </w:pPr>
          </w:p>
        </w:tc>
        <w:tc>
          <w:tcPr>
            <w:tcW w:w="50" w:type="pct"/>
            <w:vAlign w:val="center"/>
            <w:hideMark/>
          </w:tcPr>
          <w:p w14:paraId="26828DBC" w14:textId="77777777" w:rsidR="00000000" w:rsidRDefault="00405D16">
            <w:pPr>
              <w:spacing w:after="100"/>
              <w:rPr>
                <w:rFonts w:eastAsia="Times New Roman"/>
                <w:sz w:val="20"/>
                <w:szCs w:val="20"/>
              </w:rPr>
            </w:pPr>
          </w:p>
        </w:tc>
        <w:tc>
          <w:tcPr>
            <w:tcW w:w="355" w:type="pct"/>
            <w:vAlign w:val="center"/>
            <w:hideMark/>
          </w:tcPr>
          <w:p w14:paraId="7984317F" w14:textId="77777777" w:rsidR="00000000" w:rsidRDefault="00405D16">
            <w:pPr>
              <w:spacing w:after="100"/>
              <w:rPr>
                <w:rFonts w:eastAsia="Times New Roman"/>
                <w:sz w:val="20"/>
                <w:szCs w:val="20"/>
              </w:rPr>
            </w:pPr>
          </w:p>
        </w:tc>
        <w:tc>
          <w:tcPr>
            <w:tcW w:w="5" w:type="pct"/>
            <w:vAlign w:val="center"/>
            <w:hideMark/>
          </w:tcPr>
          <w:p w14:paraId="5F6BCAEC" w14:textId="77777777" w:rsidR="00000000" w:rsidRDefault="00405D16">
            <w:pPr>
              <w:spacing w:after="100"/>
              <w:rPr>
                <w:rFonts w:eastAsia="Times New Roman"/>
                <w:sz w:val="20"/>
                <w:szCs w:val="20"/>
              </w:rPr>
            </w:pPr>
          </w:p>
        </w:tc>
        <w:tc>
          <w:tcPr>
            <w:tcW w:w="5" w:type="pct"/>
            <w:vAlign w:val="center"/>
            <w:hideMark/>
          </w:tcPr>
          <w:p w14:paraId="4554AE41" w14:textId="77777777" w:rsidR="00000000" w:rsidRDefault="00405D16">
            <w:pPr>
              <w:spacing w:after="100"/>
              <w:rPr>
                <w:rFonts w:eastAsia="Times New Roman"/>
                <w:sz w:val="20"/>
                <w:szCs w:val="20"/>
              </w:rPr>
            </w:pPr>
          </w:p>
        </w:tc>
        <w:tc>
          <w:tcPr>
            <w:tcW w:w="26" w:type="pct"/>
            <w:vAlign w:val="center"/>
            <w:hideMark/>
          </w:tcPr>
          <w:p w14:paraId="5CADCA61" w14:textId="77777777" w:rsidR="00000000" w:rsidRDefault="00405D16">
            <w:pPr>
              <w:spacing w:after="100"/>
              <w:rPr>
                <w:rFonts w:eastAsia="Times New Roman"/>
                <w:sz w:val="20"/>
                <w:szCs w:val="20"/>
              </w:rPr>
            </w:pPr>
          </w:p>
        </w:tc>
        <w:tc>
          <w:tcPr>
            <w:tcW w:w="5" w:type="pct"/>
            <w:vAlign w:val="center"/>
            <w:hideMark/>
          </w:tcPr>
          <w:p w14:paraId="1239D21E" w14:textId="77777777" w:rsidR="00000000" w:rsidRDefault="00405D16">
            <w:pPr>
              <w:spacing w:after="100"/>
              <w:rPr>
                <w:rFonts w:eastAsia="Times New Roman"/>
                <w:sz w:val="20"/>
                <w:szCs w:val="20"/>
              </w:rPr>
            </w:pPr>
          </w:p>
        </w:tc>
        <w:tc>
          <w:tcPr>
            <w:tcW w:w="50" w:type="pct"/>
            <w:vAlign w:val="center"/>
            <w:hideMark/>
          </w:tcPr>
          <w:p w14:paraId="4F3E8B6F" w14:textId="77777777" w:rsidR="00000000" w:rsidRDefault="00405D16">
            <w:pPr>
              <w:spacing w:after="100"/>
              <w:rPr>
                <w:rFonts w:eastAsia="Times New Roman"/>
                <w:sz w:val="20"/>
                <w:szCs w:val="20"/>
              </w:rPr>
            </w:pPr>
          </w:p>
        </w:tc>
        <w:tc>
          <w:tcPr>
            <w:tcW w:w="355" w:type="pct"/>
            <w:vAlign w:val="center"/>
            <w:hideMark/>
          </w:tcPr>
          <w:p w14:paraId="2D78068E" w14:textId="77777777" w:rsidR="00000000" w:rsidRDefault="00405D16">
            <w:pPr>
              <w:spacing w:after="100"/>
              <w:rPr>
                <w:rFonts w:eastAsia="Times New Roman"/>
                <w:sz w:val="20"/>
                <w:szCs w:val="20"/>
              </w:rPr>
            </w:pPr>
          </w:p>
        </w:tc>
        <w:tc>
          <w:tcPr>
            <w:tcW w:w="5" w:type="pct"/>
            <w:vAlign w:val="center"/>
            <w:hideMark/>
          </w:tcPr>
          <w:p w14:paraId="70A03845" w14:textId="77777777" w:rsidR="00000000" w:rsidRDefault="00405D16">
            <w:pPr>
              <w:spacing w:after="100"/>
              <w:rPr>
                <w:rFonts w:eastAsia="Times New Roman"/>
                <w:sz w:val="20"/>
                <w:szCs w:val="20"/>
              </w:rPr>
            </w:pPr>
          </w:p>
        </w:tc>
        <w:tc>
          <w:tcPr>
            <w:tcW w:w="5" w:type="pct"/>
            <w:vAlign w:val="center"/>
            <w:hideMark/>
          </w:tcPr>
          <w:p w14:paraId="4D9BA23B" w14:textId="77777777" w:rsidR="00000000" w:rsidRDefault="00405D16">
            <w:pPr>
              <w:spacing w:after="100"/>
              <w:rPr>
                <w:rFonts w:eastAsia="Times New Roman"/>
                <w:sz w:val="20"/>
                <w:szCs w:val="20"/>
              </w:rPr>
            </w:pPr>
          </w:p>
        </w:tc>
        <w:tc>
          <w:tcPr>
            <w:tcW w:w="26" w:type="pct"/>
            <w:vAlign w:val="center"/>
            <w:hideMark/>
          </w:tcPr>
          <w:p w14:paraId="66AB9250" w14:textId="77777777" w:rsidR="00000000" w:rsidRDefault="00405D16">
            <w:pPr>
              <w:spacing w:after="100"/>
              <w:rPr>
                <w:rFonts w:eastAsia="Times New Roman"/>
                <w:sz w:val="20"/>
                <w:szCs w:val="20"/>
              </w:rPr>
            </w:pPr>
          </w:p>
        </w:tc>
        <w:tc>
          <w:tcPr>
            <w:tcW w:w="5" w:type="pct"/>
            <w:vAlign w:val="center"/>
            <w:hideMark/>
          </w:tcPr>
          <w:p w14:paraId="5F1901F1" w14:textId="77777777" w:rsidR="00000000" w:rsidRDefault="00405D16">
            <w:pPr>
              <w:spacing w:after="100"/>
              <w:rPr>
                <w:rFonts w:eastAsia="Times New Roman"/>
                <w:sz w:val="20"/>
                <w:szCs w:val="20"/>
              </w:rPr>
            </w:pPr>
          </w:p>
        </w:tc>
        <w:tc>
          <w:tcPr>
            <w:tcW w:w="50" w:type="pct"/>
            <w:vAlign w:val="center"/>
            <w:hideMark/>
          </w:tcPr>
          <w:p w14:paraId="5D6C768E" w14:textId="77777777" w:rsidR="00000000" w:rsidRDefault="00405D16">
            <w:pPr>
              <w:spacing w:after="100"/>
              <w:rPr>
                <w:rFonts w:eastAsia="Times New Roman"/>
                <w:sz w:val="20"/>
                <w:szCs w:val="20"/>
              </w:rPr>
            </w:pPr>
          </w:p>
        </w:tc>
        <w:tc>
          <w:tcPr>
            <w:tcW w:w="355" w:type="pct"/>
            <w:vAlign w:val="center"/>
            <w:hideMark/>
          </w:tcPr>
          <w:p w14:paraId="250D1708" w14:textId="77777777" w:rsidR="00000000" w:rsidRDefault="00405D16">
            <w:pPr>
              <w:spacing w:after="100"/>
              <w:rPr>
                <w:rFonts w:eastAsia="Times New Roman"/>
                <w:sz w:val="20"/>
                <w:szCs w:val="20"/>
              </w:rPr>
            </w:pPr>
          </w:p>
        </w:tc>
        <w:tc>
          <w:tcPr>
            <w:tcW w:w="5" w:type="pct"/>
            <w:vAlign w:val="center"/>
            <w:hideMark/>
          </w:tcPr>
          <w:p w14:paraId="02394189" w14:textId="77777777" w:rsidR="00000000" w:rsidRDefault="00405D16">
            <w:pPr>
              <w:spacing w:after="100"/>
              <w:rPr>
                <w:rFonts w:eastAsia="Times New Roman"/>
                <w:sz w:val="20"/>
                <w:szCs w:val="20"/>
              </w:rPr>
            </w:pPr>
          </w:p>
        </w:tc>
        <w:tc>
          <w:tcPr>
            <w:tcW w:w="5" w:type="pct"/>
            <w:vAlign w:val="center"/>
            <w:hideMark/>
          </w:tcPr>
          <w:p w14:paraId="6993DE03" w14:textId="77777777" w:rsidR="00000000" w:rsidRDefault="00405D16">
            <w:pPr>
              <w:spacing w:after="100"/>
              <w:rPr>
                <w:rFonts w:eastAsia="Times New Roman"/>
                <w:sz w:val="20"/>
                <w:szCs w:val="20"/>
              </w:rPr>
            </w:pPr>
          </w:p>
        </w:tc>
        <w:tc>
          <w:tcPr>
            <w:tcW w:w="26" w:type="pct"/>
            <w:vAlign w:val="center"/>
            <w:hideMark/>
          </w:tcPr>
          <w:p w14:paraId="68B9109A" w14:textId="77777777" w:rsidR="00000000" w:rsidRDefault="00405D16">
            <w:pPr>
              <w:spacing w:after="100"/>
              <w:rPr>
                <w:rFonts w:eastAsia="Times New Roman"/>
                <w:sz w:val="20"/>
                <w:szCs w:val="20"/>
              </w:rPr>
            </w:pPr>
          </w:p>
        </w:tc>
        <w:tc>
          <w:tcPr>
            <w:tcW w:w="5" w:type="pct"/>
            <w:vAlign w:val="center"/>
            <w:hideMark/>
          </w:tcPr>
          <w:p w14:paraId="1EBEC9ED" w14:textId="77777777" w:rsidR="00000000" w:rsidRDefault="00405D16">
            <w:pPr>
              <w:spacing w:after="100"/>
              <w:rPr>
                <w:rFonts w:eastAsia="Times New Roman"/>
                <w:sz w:val="20"/>
                <w:szCs w:val="20"/>
              </w:rPr>
            </w:pPr>
          </w:p>
        </w:tc>
        <w:tc>
          <w:tcPr>
            <w:tcW w:w="50" w:type="pct"/>
            <w:vAlign w:val="center"/>
            <w:hideMark/>
          </w:tcPr>
          <w:p w14:paraId="185544BE" w14:textId="77777777" w:rsidR="00000000" w:rsidRDefault="00405D16">
            <w:pPr>
              <w:spacing w:after="100"/>
              <w:rPr>
                <w:rFonts w:eastAsia="Times New Roman"/>
                <w:sz w:val="20"/>
                <w:szCs w:val="20"/>
              </w:rPr>
            </w:pPr>
          </w:p>
        </w:tc>
        <w:tc>
          <w:tcPr>
            <w:tcW w:w="355" w:type="pct"/>
            <w:vAlign w:val="center"/>
            <w:hideMark/>
          </w:tcPr>
          <w:p w14:paraId="1A3AF6FB" w14:textId="77777777" w:rsidR="00000000" w:rsidRDefault="00405D16">
            <w:pPr>
              <w:spacing w:after="100"/>
              <w:rPr>
                <w:rFonts w:eastAsia="Times New Roman"/>
                <w:sz w:val="20"/>
                <w:szCs w:val="20"/>
              </w:rPr>
            </w:pPr>
          </w:p>
        </w:tc>
        <w:tc>
          <w:tcPr>
            <w:tcW w:w="5" w:type="pct"/>
            <w:vAlign w:val="center"/>
            <w:hideMark/>
          </w:tcPr>
          <w:p w14:paraId="6321B95F" w14:textId="77777777" w:rsidR="00000000" w:rsidRDefault="00405D16">
            <w:pPr>
              <w:spacing w:after="100"/>
              <w:rPr>
                <w:rFonts w:eastAsia="Times New Roman"/>
                <w:sz w:val="20"/>
                <w:szCs w:val="20"/>
              </w:rPr>
            </w:pPr>
          </w:p>
        </w:tc>
        <w:tc>
          <w:tcPr>
            <w:tcW w:w="0" w:type="auto"/>
            <w:vAlign w:val="center"/>
            <w:hideMark/>
          </w:tcPr>
          <w:p w14:paraId="1FD16893" w14:textId="77777777" w:rsidR="00000000" w:rsidRDefault="00405D16">
            <w:pPr>
              <w:spacing w:after="100"/>
              <w:rPr>
                <w:rFonts w:eastAsia="Times New Roman"/>
                <w:sz w:val="20"/>
                <w:szCs w:val="20"/>
              </w:rPr>
            </w:pPr>
          </w:p>
        </w:tc>
        <w:tc>
          <w:tcPr>
            <w:tcW w:w="0" w:type="auto"/>
            <w:vAlign w:val="center"/>
            <w:hideMark/>
          </w:tcPr>
          <w:p w14:paraId="3FA59AEE" w14:textId="77777777" w:rsidR="00000000" w:rsidRDefault="00405D16">
            <w:pPr>
              <w:spacing w:after="100"/>
              <w:rPr>
                <w:rFonts w:eastAsia="Times New Roman"/>
                <w:sz w:val="20"/>
                <w:szCs w:val="20"/>
              </w:rPr>
            </w:pPr>
          </w:p>
        </w:tc>
        <w:tc>
          <w:tcPr>
            <w:tcW w:w="0" w:type="auto"/>
            <w:gridSpan w:val="3"/>
            <w:vAlign w:val="center"/>
            <w:hideMark/>
          </w:tcPr>
          <w:p w14:paraId="4F3579E5" w14:textId="77777777" w:rsidR="00000000" w:rsidRDefault="00405D16">
            <w:pPr>
              <w:spacing w:after="100"/>
              <w:rPr>
                <w:rFonts w:eastAsia="Times New Roman"/>
                <w:sz w:val="20"/>
                <w:szCs w:val="20"/>
              </w:rPr>
            </w:pPr>
          </w:p>
        </w:tc>
        <w:tc>
          <w:tcPr>
            <w:tcW w:w="0" w:type="auto"/>
            <w:gridSpan w:val="3"/>
            <w:vAlign w:val="center"/>
            <w:hideMark/>
          </w:tcPr>
          <w:p w14:paraId="51923370" w14:textId="77777777" w:rsidR="00000000" w:rsidRDefault="00405D16">
            <w:pPr>
              <w:spacing w:after="100"/>
              <w:rPr>
                <w:rFonts w:eastAsia="Times New Roman"/>
                <w:sz w:val="20"/>
                <w:szCs w:val="20"/>
              </w:rPr>
            </w:pPr>
          </w:p>
        </w:tc>
        <w:tc>
          <w:tcPr>
            <w:tcW w:w="0" w:type="auto"/>
            <w:gridSpan w:val="3"/>
            <w:vAlign w:val="center"/>
            <w:hideMark/>
          </w:tcPr>
          <w:p w14:paraId="70CC2314" w14:textId="77777777" w:rsidR="00000000" w:rsidRDefault="00405D16">
            <w:pPr>
              <w:spacing w:after="100"/>
              <w:rPr>
                <w:rFonts w:eastAsia="Times New Roman"/>
                <w:sz w:val="20"/>
                <w:szCs w:val="20"/>
              </w:rPr>
            </w:pPr>
          </w:p>
        </w:tc>
        <w:tc>
          <w:tcPr>
            <w:tcW w:w="0" w:type="auto"/>
            <w:gridSpan w:val="3"/>
            <w:vAlign w:val="center"/>
            <w:hideMark/>
          </w:tcPr>
          <w:p w14:paraId="626ABCD6" w14:textId="77777777" w:rsidR="00000000" w:rsidRDefault="00405D16">
            <w:pPr>
              <w:spacing w:after="100"/>
              <w:rPr>
                <w:rFonts w:eastAsia="Times New Roman"/>
                <w:sz w:val="20"/>
                <w:szCs w:val="20"/>
              </w:rPr>
            </w:pPr>
          </w:p>
        </w:tc>
      </w:tr>
      <w:tr w:rsidR="00000000" w14:paraId="491B8796" w14:textId="77777777">
        <w:trPr>
          <w:divId w:val="1942257185"/>
        </w:trPr>
        <w:tc>
          <w:tcPr>
            <w:tcW w:w="0" w:type="auto"/>
            <w:gridSpan w:val="3"/>
            <w:tcMar>
              <w:top w:w="30" w:type="dxa"/>
              <w:left w:w="20" w:type="dxa"/>
              <w:bottom w:w="30" w:type="dxa"/>
              <w:right w:w="20" w:type="dxa"/>
            </w:tcMar>
            <w:vAlign w:val="bottom"/>
            <w:hideMark/>
          </w:tcPr>
          <w:p w14:paraId="7D3D91CC"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E0F2D2E" w14:textId="77777777" w:rsidR="00000000" w:rsidRDefault="00405D16">
            <w:pPr>
              <w:spacing w:after="100"/>
              <w:rPr>
                <w:rFonts w:eastAsia="Times New Roman"/>
              </w:rPr>
            </w:pPr>
          </w:p>
        </w:tc>
        <w:tc>
          <w:tcPr>
            <w:tcW w:w="0" w:type="auto"/>
            <w:gridSpan w:val="33"/>
            <w:tcBorders>
              <w:bottom w:val="single" w:sz="8" w:space="0" w:color="000000"/>
            </w:tcBorders>
            <w:tcMar>
              <w:top w:w="30" w:type="dxa"/>
              <w:left w:w="20" w:type="dxa"/>
              <w:bottom w:w="30" w:type="dxa"/>
              <w:right w:w="20" w:type="dxa"/>
            </w:tcMar>
            <w:vAlign w:val="bottom"/>
            <w:hideMark/>
          </w:tcPr>
          <w:p w14:paraId="6745111B" w14:textId="77777777" w:rsidR="00000000" w:rsidRDefault="00405D16">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5FAE1904" w14:textId="77777777" w:rsidR="00000000" w:rsidRDefault="00405D16">
            <w:pPr>
              <w:spacing w:after="100"/>
              <w:jc w:val="center"/>
              <w:rPr>
                <w:rFonts w:eastAsia="Times New Roman"/>
              </w:rPr>
            </w:pPr>
          </w:p>
        </w:tc>
        <w:tc>
          <w:tcPr>
            <w:tcW w:w="0" w:type="auto"/>
            <w:vAlign w:val="center"/>
            <w:hideMark/>
          </w:tcPr>
          <w:p w14:paraId="350290FC" w14:textId="77777777" w:rsidR="00000000" w:rsidRDefault="00405D16">
            <w:pPr>
              <w:spacing w:after="100"/>
              <w:rPr>
                <w:rFonts w:eastAsia="Times New Roman"/>
                <w:sz w:val="20"/>
                <w:szCs w:val="20"/>
              </w:rPr>
            </w:pPr>
          </w:p>
        </w:tc>
        <w:tc>
          <w:tcPr>
            <w:tcW w:w="0" w:type="auto"/>
            <w:gridSpan w:val="3"/>
            <w:vAlign w:val="center"/>
            <w:hideMark/>
          </w:tcPr>
          <w:p w14:paraId="3E80E7EB" w14:textId="77777777" w:rsidR="00000000" w:rsidRDefault="00405D16">
            <w:pPr>
              <w:spacing w:after="100"/>
              <w:rPr>
                <w:rFonts w:eastAsia="Times New Roman"/>
                <w:sz w:val="20"/>
                <w:szCs w:val="20"/>
              </w:rPr>
            </w:pPr>
          </w:p>
        </w:tc>
        <w:tc>
          <w:tcPr>
            <w:tcW w:w="0" w:type="auto"/>
            <w:gridSpan w:val="3"/>
            <w:vAlign w:val="center"/>
            <w:hideMark/>
          </w:tcPr>
          <w:p w14:paraId="724DEA13" w14:textId="77777777" w:rsidR="00000000" w:rsidRDefault="00405D16">
            <w:pPr>
              <w:spacing w:after="100"/>
              <w:rPr>
                <w:rFonts w:eastAsia="Times New Roman"/>
                <w:sz w:val="20"/>
                <w:szCs w:val="20"/>
              </w:rPr>
            </w:pPr>
          </w:p>
        </w:tc>
        <w:tc>
          <w:tcPr>
            <w:tcW w:w="0" w:type="auto"/>
            <w:gridSpan w:val="3"/>
            <w:vAlign w:val="center"/>
            <w:hideMark/>
          </w:tcPr>
          <w:p w14:paraId="3219D496" w14:textId="77777777" w:rsidR="00000000" w:rsidRDefault="00405D16">
            <w:pPr>
              <w:spacing w:after="100"/>
              <w:rPr>
                <w:rFonts w:eastAsia="Times New Roman"/>
                <w:sz w:val="20"/>
                <w:szCs w:val="20"/>
              </w:rPr>
            </w:pPr>
          </w:p>
        </w:tc>
        <w:tc>
          <w:tcPr>
            <w:tcW w:w="0" w:type="auto"/>
            <w:gridSpan w:val="3"/>
            <w:vAlign w:val="center"/>
            <w:hideMark/>
          </w:tcPr>
          <w:p w14:paraId="23FD57BC" w14:textId="77777777" w:rsidR="00000000" w:rsidRDefault="00405D16">
            <w:pPr>
              <w:spacing w:after="100"/>
              <w:rPr>
                <w:rFonts w:eastAsia="Times New Roman"/>
                <w:sz w:val="20"/>
                <w:szCs w:val="20"/>
              </w:rPr>
            </w:pPr>
          </w:p>
        </w:tc>
      </w:tr>
      <w:tr w:rsidR="00000000" w14:paraId="1324C381" w14:textId="77777777">
        <w:trPr>
          <w:divId w:val="1942257185"/>
        </w:trPr>
        <w:tc>
          <w:tcPr>
            <w:tcW w:w="0" w:type="auto"/>
            <w:gridSpan w:val="3"/>
            <w:tcMar>
              <w:top w:w="30" w:type="dxa"/>
              <w:left w:w="20" w:type="dxa"/>
              <w:bottom w:w="30" w:type="dxa"/>
              <w:right w:w="20" w:type="dxa"/>
            </w:tcMar>
            <w:vAlign w:val="bottom"/>
            <w:hideMark/>
          </w:tcPr>
          <w:p w14:paraId="402D597D"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26CEDBA4" w14:textId="77777777" w:rsidR="00000000" w:rsidRDefault="00405D16">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68CCE423"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17591073" w14:textId="77777777" w:rsidR="00000000" w:rsidRDefault="00405D16">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4ED8B74F"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vAlign w:val="center"/>
            <w:hideMark/>
          </w:tcPr>
          <w:p w14:paraId="6AFD3FFE" w14:textId="77777777" w:rsidR="00000000" w:rsidRDefault="00405D16">
            <w:pPr>
              <w:spacing w:after="100"/>
              <w:jc w:val="center"/>
              <w:rPr>
                <w:rFonts w:eastAsia="Times New Roman"/>
              </w:rPr>
            </w:pPr>
          </w:p>
        </w:tc>
        <w:tc>
          <w:tcPr>
            <w:tcW w:w="0" w:type="auto"/>
            <w:vAlign w:val="center"/>
            <w:hideMark/>
          </w:tcPr>
          <w:p w14:paraId="108CDB80" w14:textId="77777777" w:rsidR="00000000" w:rsidRDefault="00405D16">
            <w:pPr>
              <w:spacing w:after="100"/>
              <w:rPr>
                <w:rFonts w:eastAsia="Times New Roman"/>
                <w:sz w:val="20"/>
                <w:szCs w:val="20"/>
              </w:rPr>
            </w:pPr>
          </w:p>
        </w:tc>
        <w:tc>
          <w:tcPr>
            <w:tcW w:w="0" w:type="auto"/>
            <w:vAlign w:val="center"/>
            <w:hideMark/>
          </w:tcPr>
          <w:p w14:paraId="06CD8A75" w14:textId="77777777" w:rsidR="00000000" w:rsidRDefault="00405D16">
            <w:pPr>
              <w:spacing w:after="100"/>
              <w:rPr>
                <w:rFonts w:eastAsia="Times New Roman"/>
                <w:sz w:val="20"/>
                <w:szCs w:val="20"/>
              </w:rPr>
            </w:pPr>
          </w:p>
        </w:tc>
        <w:tc>
          <w:tcPr>
            <w:tcW w:w="0" w:type="auto"/>
            <w:vAlign w:val="center"/>
            <w:hideMark/>
          </w:tcPr>
          <w:p w14:paraId="16454C86" w14:textId="77777777" w:rsidR="00000000" w:rsidRDefault="00405D16">
            <w:pPr>
              <w:spacing w:after="100"/>
              <w:rPr>
                <w:rFonts w:eastAsia="Times New Roman"/>
                <w:sz w:val="20"/>
                <w:szCs w:val="20"/>
              </w:rPr>
            </w:pPr>
          </w:p>
        </w:tc>
        <w:tc>
          <w:tcPr>
            <w:tcW w:w="0" w:type="auto"/>
            <w:vAlign w:val="center"/>
            <w:hideMark/>
          </w:tcPr>
          <w:p w14:paraId="7B9575FC" w14:textId="77777777" w:rsidR="00000000" w:rsidRDefault="00405D16">
            <w:pPr>
              <w:spacing w:after="100"/>
              <w:rPr>
                <w:rFonts w:eastAsia="Times New Roman"/>
                <w:sz w:val="20"/>
                <w:szCs w:val="20"/>
              </w:rPr>
            </w:pPr>
          </w:p>
        </w:tc>
        <w:tc>
          <w:tcPr>
            <w:tcW w:w="0" w:type="auto"/>
            <w:vAlign w:val="center"/>
            <w:hideMark/>
          </w:tcPr>
          <w:p w14:paraId="2FDC456D" w14:textId="77777777" w:rsidR="00000000" w:rsidRDefault="00405D16">
            <w:pPr>
              <w:spacing w:after="100"/>
              <w:rPr>
                <w:rFonts w:eastAsia="Times New Roman"/>
                <w:sz w:val="20"/>
                <w:szCs w:val="20"/>
              </w:rPr>
            </w:pPr>
          </w:p>
        </w:tc>
        <w:tc>
          <w:tcPr>
            <w:tcW w:w="0" w:type="auto"/>
            <w:vAlign w:val="center"/>
            <w:hideMark/>
          </w:tcPr>
          <w:p w14:paraId="30602A42" w14:textId="77777777" w:rsidR="00000000" w:rsidRDefault="00405D16">
            <w:pPr>
              <w:spacing w:after="100"/>
              <w:rPr>
                <w:rFonts w:eastAsia="Times New Roman"/>
                <w:sz w:val="20"/>
                <w:szCs w:val="20"/>
              </w:rPr>
            </w:pPr>
          </w:p>
        </w:tc>
        <w:tc>
          <w:tcPr>
            <w:tcW w:w="0" w:type="auto"/>
            <w:vAlign w:val="center"/>
            <w:hideMark/>
          </w:tcPr>
          <w:p w14:paraId="744200A3" w14:textId="77777777" w:rsidR="00000000" w:rsidRDefault="00405D16">
            <w:pPr>
              <w:spacing w:after="100"/>
              <w:rPr>
                <w:rFonts w:eastAsia="Times New Roman"/>
                <w:sz w:val="20"/>
                <w:szCs w:val="20"/>
              </w:rPr>
            </w:pPr>
          </w:p>
        </w:tc>
        <w:tc>
          <w:tcPr>
            <w:tcW w:w="0" w:type="auto"/>
            <w:vAlign w:val="center"/>
            <w:hideMark/>
          </w:tcPr>
          <w:p w14:paraId="231F652D" w14:textId="77777777" w:rsidR="00000000" w:rsidRDefault="00405D16">
            <w:pPr>
              <w:spacing w:after="100"/>
              <w:rPr>
                <w:rFonts w:eastAsia="Times New Roman"/>
                <w:sz w:val="20"/>
                <w:szCs w:val="20"/>
              </w:rPr>
            </w:pPr>
          </w:p>
        </w:tc>
        <w:tc>
          <w:tcPr>
            <w:tcW w:w="0" w:type="auto"/>
            <w:vAlign w:val="center"/>
            <w:hideMark/>
          </w:tcPr>
          <w:p w14:paraId="067941D9" w14:textId="77777777" w:rsidR="00000000" w:rsidRDefault="00405D16">
            <w:pPr>
              <w:spacing w:after="100"/>
              <w:rPr>
                <w:rFonts w:eastAsia="Times New Roman"/>
                <w:sz w:val="20"/>
                <w:szCs w:val="20"/>
              </w:rPr>
            </w:pPr>
          </w:p>
        </w:tc>
        <w:tc>
          <w:tcPr>
            <w:tcW w:w="0" w:type="auto"/>
            <w:vAlign w:val="center"/>
            <w:hideMark/>
          </w:tcPr>
          <w:p w14:paraId="74DFD4C8" w14:textId="77777777" w:rsidR="00000000" w:rsidRDefault="00405D16">
            <w:pPr>
              <w:spacing w:after="100"/>
              <w:rPr>
                <w:rFonts w:eastAsia="Times New Roman"/>
                <w:sz w:val="20"/>
                <w:szCs w:val="20"/>
              </w:rPr>
            </w:pPr>
          </w:p>
        </w:tc>
        <w:tc>
          <w:tcPr>
            <w:tcW w:w="0" w:type="auto"/>
            <w:vAlign w:val="center"/>
            <w:hideMark/>
          </w:tcPr>
          <w:p w14:paraId="49F2EA47" w14:textId="77777777" w:rsidR="00000000" w:rsidRDefault="00405D16">
            <w:pPr>
              <w:spacing w:after="100"/>
              <w:rPr>
                <w:rFonts w:eastAsia="Times New Roman"/>
                <w:sz w:val="20"/>
                <w:szCs w:val="20"/>
              </w:rPr>
            </w:pPr>
          </w:p>
        </w:tc>
        <w:tc>
          <w:tcPr>
            <w:tcW w:w="0" w:type="auto"/>
            <w:vAlign w:val="center"/>
            <w:hideMark/>
          </w:tcPr>
          <w:p w14:paraId="071275BF" w14:textId="77777777" w:rsidR="00000000" w:rsidRDefault="00405D16">
            <w:pPr>
              <w:spacing w:after="100"/>
              <w:rPr>
                <w:rFonts w:eastAsia="Times New Roman"/>
                <w:sz w:val="20"/>
                <w:szCs w:val="20"/>
              </w:rPr>
            </w:pPr>
          </w:p>
        </w:tc>
        <w:tc>
          <w:tcPr>
            <w:tcW w:w="0" w:type="auto"/>
            <w:vAlign w:val="center"/>
            <w:hideMark/>
          </w:tcPr>
          <w:p w14:paraId="6A3BCC98" w14:textId="77777777" w:rsidR="00000000" w:rsidRDefault="00405D16">
            <w:pPr>
              <w:spacing w:after="100"/>
              <w:rPr>
                <w:rFonts w:eastAsia="Times New Roman"/>
                <w:sz w:val="20"/>
                <w:szCs w:val="20"/>
              </w:rPr>
            </w:pPr>
          </w:p>
        </w:tc>
      </w:tr>
      <w:tr w:rsidR="00000000" w14:paraId="799F5AD8" w14:textId="77777777">
        <w:trPr>
          <w:divId w:val="1942257185"/>
        </w:trPr>
        <w:tc>
          <w:tcPr>
            <w:tcW w:w="0" w:type="auto"/>
            <w:gridSpan w:val="3"/>
            <w:tcMar>
              <w:top w:w="30" w:type="dxa"/>
              <w:left w:w="20" w:type="dxa"/>
              <w:bottom w:w="30" w:type="dxa"/>
              <w:right w:w="20" w:type="dxa"/>
            </w:tcMar>
            <w:vAlign w:val="bottom"/>
            <w:hideMark/>
          </w:tcPr>
          <w:p w14:paraId="046CEF01"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6219A33F"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C989656" w14:textId="77777777" w:rsidR="00000000" w:rsidRDefault="00405D16">
            <w:pPr>
              <w:spacing w:after="100"/>
              <w:jc w:val="center"/>
              <w:rPr>
                <w:rFonts w:eastAsia="Times New Roman"/>
              </w:rPr>
            </w:pPr>
            <w:r>
              <w:rPr>
                <w:rFonts w:eastAsia="Times New Roman"/>
                <w:b/>
                <w:bCs/>
                <w:color w:val="000000"/>
                <w:sz w:val="16"/>
                <w:szCs w:val="16"/>
              </w:rPr>
              <w:t>Average</w:t>
            </w:r>
            <w:r>
              <w:rPr>
                <w:rFonts w:eastAsia="Times New Roman"/>
                <w:b/>
                <w:bCs/>
                <w:color w:val="000000"/>
                <w:sz w:val="16"/>
                <w:szCs w:val="16"/>
              </w:rPr>
              <w:br/>
              <w:t>Balance</w:t>
            </w:r>
          </w:p>
        </w:tc>
        <w:tc>
          <w:tcPr>
            <w:tcW w:w="0" w:type="auto"/>
            <w:gridSpan w:val="3"/>
            <w:tcBorders>
              <w:top w:val="single" w:sz="8" w:space="0" w:color="000000"/>
            </w:tcBorders>
            <w:tcMar>
              <w:top w:w="0" w:type="dxa"/>
              <w:left w:w="20" w:type="dxa"/>
              <w:bottom w:w="0" w:type="dxa"/>
              <w:right w:w="20" w:type="dxa"/>
            </w:tcMar>
            <w:vAlign w:val="center"/>
            <w:hideMark/>
          </w:tcPr>
          <w:p w14:paraId="54CC0AAD"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2C279D9" w14:textId="77777777" w:rsidR="00000000" w:rsidRDefault="00405D16">
            <w:pPr>
              <w:spacing w:after="100"/>
              <w:jc w:val="center"/>
              <w:rPr>
                <w:rFonts w:eastAsia="Times New Roman"/>
              </w:rPr>
            </w:pPr>
            <w:r>
              <w:rPr>
                <w:rFonts w:eastAsia="Times New Roman"/>
                <w:b/>
                <w:bCs/>
                <w:color w:val="000000"/>
                <w:sz w:val="16"/>
                <w:szCs w:val="16"/>
              </w:rPr>
              <w:t>Interest Income/</w:t>
            </w:r>
            <w:r>
              <w:rPr>
                <w:rFonts w:eastAsia="Times New Roman"/>
                <w:b/>
                <w:bCs/>
                <w:color w:val="000000"/>
                <w:sz w:val="16"/>
                <w:szCs w:val="16"/>
              </w:rPr>
              <w:br/>
              <w:t>Expense</w:t>
            </w:r>
          </w:p>
        </w:tc>
        <w:tc>
          <w:tcPr>
            <w:tcW w:w="0" w:type="auto"/>
            <w:gridSpan w:val="3"/>
            <w:tcBorders>
              <w:top w:val="single" w:sz="8" w:space="0" w:color="000000"/>
            </w:tcBorders>
            <w:tcMar>
              <w:top w:w="0" w:type="dxa"/>
              <w:left w:w="20" w:type="dxa"/>
              <w:bottom w:w="0" w:type="dxa"/>
              <w:right w:w="20" w:type="dxa"/>
            </w:tcMar>
            <w:vAlign w:val="center"/>
            <w:hideMark/>
          </w:tcPr>
          <w:p w14:paraId="69C93BFE"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80F6805" w14:textId="77777777" w:rsidR="00000000" w:rsidRDefault="00405D16">
            <w:pPr>
              <w:spacing w:after="100"/>
              <w:jc w:val="center"/>
              <w:rPr>
                <w:rFonts w:eastAsia="Times New Roman"/>
              </w:rPr>
            </w:pPr>
            <w:r>
              <w:rPr>
                <w:rFonts w:eastAsia="Times New Roman"/>
                <w:b/>
                <w:bCs/>
                <w:color w:val="000000"/>
                <w:sz w:val="16"/>
                <w:szCs w:val="16"/>
              </w:rPr>
              <w:t>Average Yield/</w:t>
            </w:r>
            <w:r>
              <w:rPr>
                <w:rFonts w:eastAsia="Times New Roman"/>
                <w:b/>
                <w:bCs/>
                <w:color w:val="000000"/>
                <w:sz w:val="16"/>
                <w:szCs w:val="16"/>
              </w:rPr>
              <w:br/>
              <w:t>Rate</w:t>
            </w:r>
          </w:p>
        </w:tc>
        <w:tc>
          <w:tcPr>
            <w:tcW w:w="0" w:type="auto"/>
            <w:gridSpan w:val="3"/>
            <w:tcMar>
              <w:top w:w="0" w:type="dxa"/>
              <w:left w:w="20" w:type="dxa"/>
              <w:bottom w:w="0" w:type="dxa"/>
              <w:right w:w="20" w:type="dxa"/>
            </w:tcMar>
            <w:vAlign w:val="center"/>
            <w:hideMark/>
          </w:tcPr>
          <w:p w14:paraId="32168579"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50B3DE3" w14:textId="77777777" w:rsidR="00000000" w:rsidRDefault="00405D16">
            <w:pPr>
              <w:spacing w:after="100"/>
              <w:jc w:val="center"/>
              <w:rPr>
                <w:rFonts w:eastAsia="Times New Roman"/>
              </w:rPr>
            </w:pPr>
            <w:r>
              <w:rPr>
                <w:rFonts w:eastAsia="Times New Roman"/>
                <w:b/>
                <w:bCs/>
                <w:color w:val="000000"/>
                <w:sz w:val="16"/>
                <w:szCs w:val="16"/>
              </w:rPr>
              <w:t>Average</w:t>
            </w:r>
            <w:r>
              <w:rPr>
                <w:rFonts w:eastAsia="Times New Roman"/>
                <w:b/>
                <w:bCs/>
                <w:color w:val="000000"/>
                <w:sz w:val="16"/>
                <w:szCs w:val="16"/>
              </w:rPr>
              <w:br/>
              <w:t>Balance</w:t>
            </w:r>
          </w:p>
        </w:tc>
        <w:tc>
          <w:tcPr>
            <w:tcW w:w="0" w:type="auto"/>
            <w:gridSpan w:val="3"/>
            <w:tcBorders>
              <w:top w:val="single" w:sz="8" w:space="0" w:color="000000"/>
            </w:tcBorders>
            <w:tcMar>
              <w:top w:w="0" w:type="dxa"/>
              <w:left w:w="20" w:type="dxa"/>
              <w:bottom w:w="0" w:type="dxa"/>
              <w:right w:w="20" w:type="dxa"/>
            </w:tcMar>
            <w:vAlign w:val="center"/>
            <w:hideMark/>
          </w:tcPr>
          <w:p w14:paraId="3B51F985"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2DE24CE" w14:textId="77777777" w:rsidR="00000000" w:rsidRDefault="00405D16">
            <w:pPr>
              <w:spacing w:after="100"/>
              <w:jc w:val="center"/>
              <w:rPr>
                <w:rFonts w:eastAsia="Times New Roman"/>
              </w:rPr>
            </w:pPr>
            <w:r>
              <w:rPr>
                <w:rFonts w:eastAsia="Times New Roman"/>
                <w:b/>
                <w:bCs/>
                <w:color w:val="000000"/>
                <w:sz w:val="16"/>
                <w:szCs w:val="16"/>
              </w:rPr>
              <w:t>Interest Income/</w:t>
            </w:r>
            <w:r>
              <w:rPr>
                <w:rFonts w:eastAsia="Times New Roman"/>
                <w:b/>
                <w:bCs/>
                <w:color w:val="000000"/>
                <w:sz w:val="16"/>
                <w:szCs w:val="16"/>
              </w:rPr>
              <w:br/>
              <w:t>Expense</w:t>
            </w:r>
          </w:p>
        </w:tc>
        <w:tc>
          <w:tcPr>
            <w:tcW w:w="0" w:type="auto"/>
            <w:gridSpan w:val="3"/>
            <w:tcBorders>
              <w:top w:val="single" w:sz="8" w:space="0" w:color="000000"/>
            </w:tcBorders>
            <w:tcMar>
              <w:top w:w="0" w:type="dxa"/>
              <w:left w:w="20" w:type="dxa"/>
              <w:bottom w:w="0" w:type="dxa"/>
              <w:right w:w="20" w:type="dxa"/>
            </w:tcMar>
            <w:vAlign w:val="center"/>
            <w:hideMark/>
          </w:tcPr>
          <w:p w14:paraId="2F36C33C"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2ECAAD0" w14:textId="77777777" w:rsidR="00000000" w:rsidRDefault="00405D16">
            <w:pPr>
              <w:spacing w:after="100"/>
              <w:jc w:val="center"/>
              <w:rPr>
                <w:rFonts w:eastAsia="Times New Roman"/>
              </w:rPr>
            </w:pPr>
            <w:r>
              <w:rPr>
                <w:rFonts w:eastAsia="Times New Roman"/>
                <w:b/>
                <w:bCs/>
                <w:color w:val="000000"/>
                <w:sz w:val="16"/>
                <w:szCs w:val="16"/>
              </w:rPr>
              <w:t>Average Yield/</w:t>
            </w:r>
            <w:r>
              <w:rPr>
                <w:rFonts w:eastAsia="Times New Roman"/>
                <w:b/>
                <w:bCs/>
                <w:color w:val="000000"/>
                <w:sz w:val="16"/>
                <w:szCs w:val="16"/>
              </w:rPr>
              <w:br/>
              <w:t>Rate</w:t>
            </w:r>
          </w:p>
        </w:tc>
        <w:tc>
          <w:tcPr>
            <w:tcW w:w="0" w:type="auto"/>
            <w:vAlign w:val="center"/>
            <w:hideMark/>
          </w:tcPr>
          <w:p w14:paraId="2C61DB7C" w14:textId="77777777" w:rsidR="00000000" w:rsidRDefault="00405D16">
            <w:pPr>
              <w:spacing w:after="100"/>
              <w:jc w:val="center"/>
              <w:rPr>
                <w:rFonts w:eastAsia="Times New Roman"/>
              </w:rPr>
            </w:pPr>
          </w:p>
        </w:tc>
        <w:tc>
          <w:tcPr>
            <w:tcW w:w="0" w:type="auto"/>
            <w:vAlign w:val="center"/>
            <w:hideMark/>
          </w:tcPr>
          <w:p w14:paraId="412DE96E" w14:textId="77777777" w:rsidR="00000000" w:rsidRDefault="00405D16">
            <w:pPr>
              <w:spacing w:after="100"/>
              <w:rPr>
                <w:rFonts w:eastAsia="Times New Roman"/>
                <w:sz w:val="20"/>
                <w:szCs w:val="20"/>
              </w:rPr>
            </w:pPr>
          </w:p>
        </w:tc>
        <w:tc>
          <w:tcPr>
            <w:tcW w:w="0" w:type="auto"/>
            <w:gridSpan w:val="3"/>
            <w:vAlign w:val="center"/>
            <w:hideMark/>
          </w:tcPr>
          <w:p w14:paraId="19610272" w14:textId="77777777" w:rsidR="00000000" w:rsidRDefault="00405D16">
            <w:pPr>
              <w:spacing w:after="100"/>
              <w:rPr>
                <w:rFonts w:eastAsia="Times New Roman"/>
                <w:sz w:val="20"/>
                <w:szCs w:val="20"/>
              </w:rPr>
            </w:pPr>
          </w:p>
        </w:tc>
        <w:tc>
          <w:tcPr>
            <w:tcW w:w="0" w:type="auto"/>
            <w:gridSpan w:val="3"/>
            <w:vAlign w:val="center"/>
            <w:hideMark/>
          </w:tcPr>
          <w:p w14:paraId="39A78EF4" w14:textId="77777777" w:rsidR="00000000" w:rsidRDefault="00405D16">
            <w:pPr>
              <w:spacing w:after="100"/>
              <w:rPr>
                <w:rFonts w:eastAsia="Times New Roman"/>
                <w:sz w:val="20"/>
                <w:szCs w:val="20"/>
              </w:rPr>
            </w:pPr>
          </w:p>
        </w:tc>
        <w:tc>
          <w:tcPr>
            <w:tcW w:w="0" w:type="auto"/>
            <w:gridSpan w:val="3"/>
            <w:vAlign w:val="center"/>
            <w:hideMark/>
          </w:tcPr>
          <w:p w14:paraId="6C2401AD" w14:textId="77777777" w:rsidR="00000000" w:rsidRDefault="00405D16">
            <w:pPr>
              <w:spacing w:after="100"/>
              <w:rPr>
                <w:rFonts w:eastAsia="Times New Roman"/>
                <w:sz w:val="20"/>
                <w:szCs w:val="20"/>
              </w:rPr>
            </w:pPr>
          </w:p>
        </w:tc>
        <w:tc>
          <w:tcPr>
            <w:tcW w:w="0" w:type="auto"/>
            <w:gridSpan w:val="3"/>
            <w:vAlign w:val="center"/>
            <w:hideMark/>
          </w:tcPr>
          <w:p w14:paraId="3C613E49" w14:textId="77777777" w:rsidR="00000000" w:rsidRDefault="00405D16">
            <w:pPr>
              <w:spacing w:after="100"/>
              <w:rPr>
                <w:rFonts w:eastAsia="Times New Roman"/>
                <w:sz w:val="20"/>
                <w:szCs w:val="20"/>
              </w:rPr>
            </w:pPr>
          </w:p>
        </w:tc>
      </w:tr>
      <w:tr w:rsidR="00000000" w14:paraId="259279DD" w14:textId="77777777">
        <w:trPr>
          <w:divId w:val="194225718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16D18FC" w14:textId="77777777" w:rsidR="00000000" w:rsidRDefault="00405D16">
            <w:pPr>
              <w:spacing w:after="100"/>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14:paraId="016479F4"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6A7499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BF691E"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C3096D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18C3F9"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423151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EC7036"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999C08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7CC1A7"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F1E1B1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02A2D1"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D2CF4D5" w14:textId="77777777" w:rsidR="00000000" w:rsidRDefault="00405D16">
            <w:pPr>
              <w:spacing w:after="100"/>
              <w:rPr>
                <w:rFonts w:eastAsia="Times New Roman"/>
                <w:sz w:val="20"/>
                <w:szCs w:val="20"/>
              </w:rPr>
            </w:pPr>
          </w:p>
        </w:tc>
        <w:tc>
          <w:tcPr>
            <w:tcW w:w="0" w:type="auto"/>
            <w:vAlign w:val="center"/>
            <w:hideMark/>
          </w:tcPr>
          <w:p w14:paraId="60B95F1A" w14:textId="77777777" w:rsidR="00000000" w:rsidRDefault="00405D16">
            <w:pPr>
              <w:spacing w:after="100"/>
              <w:rPr>
                <w:rFonts w:eastAsia="Times New Roman"/>
                <w:sz w:val="20"/>
                <w:szCs w:val="20"/>
              </w:rPr>
            </w:pPr>
          </w:p>
        </w:tc>
        <w:tc>
          <w:tcPr>
            <w:tcW w:w="0" w:type="auto"/>
            <w:vAlign w:val="center"/>
            <w:hideMark/>
          </w:tcPr>
          <w:p w14:paraId="42824C7A" w14:textId="77777777" w:rsidR="00000000" w:rsidRDefault="00405D16">
            <w:pPr>
              <w:spacing w:after="100"/>
              <w:rPr>
                <w:rFonts w:eastAsia="Times New Roman"/>
                <w:sz w:val="20"/>
                <w:szCs w:val="20"/>
              </w:rPr>
            </w:pPr>
          </w:p>
        </w:tc>
        <w:tc>
          <w:tcPr>
            <w:tcW w:w="0" w:type="auto"/>
            <w:gridSpan w:val="3"/>
            <w:vAlign w:val="center"/>
            <w:hideMark/>
          </w:tcPr>
          <w:p w14:paraId="1BBCAA9B" w14:textId="77777777" w:rsidR="00000000" w:rsidRDefault="00405D16">
            <w:pPr>
              <w:spacing w:after="100"/>
              <w:rPr>
                <w:rFonts w:eastAsia="Times New Roman"/>
                <w:sz w:val="20"/>
                <w:szCs w:val="20"/>
              </w:rPr>
            </w:pPr>
          </w:p>
        </w:tc>
        <w:tc>
          <w:tcPr>
            <w:tcW w:w="0" w:type="auto"/>
            <w:gridSpan w:val="3"/>
            <w:vAlign w:val="center"/>
            <w:hideMark/>
          </w:tcPr>
          <w:p w14:paraId="2FE9BE52" w14:textId="77777777" w:rsidR="00000000" w:rsidRDefault="00405D16">
            <w:pPr>
              <w:spacing w:after="100"/>
              <w:rPr>
                <w:rFonts w:eastAsia="Times New Roman"/>
                <w:sz w:val="20"/>
                <w:szCs w:val="20"/>
              </w:rPr>
            </w:pPr>
          </w:p>
        </w:tc>
        <w:tc>
          <w:tcPr>
            <w:tcW w:w="0" w:type="auto"/>
            <w:gridSpan w:val="3"/>
            <w:vAlign w:val="center"/>
            <w:hideMark/>
          </w:tcPr>
          <w:p w14:paraId="35372A9A" w14:textId="77777777" w:rsidR="00000000" w:rsidRDefault="00405D16">
            <w:pPr>
              <w:spacing w:after="100"/>
              <w:rPr>
                <w:rFonts w:eastAsia="Times New Roman"/>
                <w:sz w:val="20"/>
                <w:szCs w:val="20"/>
              </w:rPr>
            </w:pPr>
          </w:p>
        </w:tc>
        <w:tc>
          <w:tcPr>
            <w:tcW w:w="0" w:type="auto"/>
            <w:gridSpan w:val="3"/>
            <w:vAlign w:val="center"/>
            <w:hideMark/>
          </w:tcPr>
          <w:p w14:paraId="206A357B" w14:textId="77777777" w:rsidR="00000000" w:rsidRDefault="00405D16">
            <w:pPr>
              <w:spacing w:after="100"/>
              <w:rPr>
                <w:rFonts w:eastAsia="Times New Roman"/>
                <w:sz w:val="20"/>
                <w:szCs w:val="20"/>
              </w:rPr>
            </w:pPr>
          </w:p>
        </w:tc>
      </w:tr>
      <w:tr w:rsidR="00000000" w14:paraId="022C9A97" w14:textId="77777777">
        <w:trPr>
          <w:divId w:val="1942257185"/>
        </w:trPr>
        <w:tc>
          <w:tcPr>
            <w:tcW w:w="0" w:type="auto"/>
            <w:gridSpan w:val="3"/>
            <w:shd w:val="clear" w:color="auto" w:fill="FFFFFF"/>
            <w:tcMar>
              <w:top w:w="30" w:type="dxa"/>
              <w:left w:w="20" w:type="dxa"/>
              <w:bottom w:w="30" w:type="dxa"/>
              <w:right w:w="20" w:type="dxa"/>
            </w:tcMar>
            <w:vAlign w:val="center"/>
            <w:hideMark/>
          </w:tcPr>
          <w:p w14:paraId="7F59E661" w14:textId="77777777" w:rsidR="00000000" w:rsidRDefault="00405D16">
            <w:pPr>
              <w:spacing w:after="100"/>
              <w:rPr>
                <w:rFonts w:eastAsia="Times New Roman"/>
              </w:rPr>
            </w:pPr>
            <w:r>
              <w:rPr>
                <w:rFonts w:eastAsia="Times New Roman"/>
                <w:color w:val="000000"/>
                <w:sz w:val="18"/>
                <w:szCs w:val="18"/>
              </w:rPr>
              <w:t>Interest-earning assets:</w:t>
            </w:r>
          </w:p>
        </w:tc>
        <w:tc>
          <w:tcPr>
            <w:tcW w:w="0" w:type="auto"/>
            <w:gridSpan w:val="3"/>
            <w:shd w:val="clear" w:color="auto" w:fill="FFFFFF"/>
            <w:tcMar>
              <w:top w:w="0" w:type="dxa"/>
              <w:left w:w="20" w:type="dxa"/>
              <w:bottom w:w="0" w:type="dxa"/>
              <w:right w:w="20" w:type="dxa"/>
            </w:tcMar>
            <w:vAlign w:val="center"/>
            <w:hideMark/>
          </w:tcPr>
          <w:p w14:paraId="36E801F0"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9F20D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BBAAF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9B0EC4"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9235C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26763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93565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64CA7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B8C05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B722B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BBBC4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326B3A" w14:textId="77777777" w:rsidR="00000000" w:rsidRDefault="00405D16">
            <w:pPr>
              <w:spacing w:after="100"/>
              <w:rPr>
                <w:rFonts w:eastAsia="Times New Roman"/>
                <w:sz w:val="20"/>
                <w:szCs w:val="20"/>
              </w:rPr>
            </w:pPr>
          </w:p>
        </w:tc>
        <w:tc>
          <w:tcPr>
            <w:tcW w:w="0" w:type="auto"/>
            <w:vAlign w:val="center"/>
            <w:hideMark/>
          </w:tcPr>
          <w:p w14:paraId="3F484079" w14:textId="77777777" w:rsidR="00000000" w:rsidRDefault="00405D16">
            <w:pPr>
              <w:spacing w:after="100"/>
              <w:rPr>
                <w:rFonts w:eastAsia="Times New Roman"/>
                <w:sz w:val="20"/>
                <w:szCs w:val="20"/>
              </w:rPr>
            </w:pPr>
          </w:p>
        </w:tc>
        <w:tc>
          <w:tcPr>
            <w:tcW w:w="0" w:type="auto"/>
            <w:vAlign w:val="center"/>
            <w:hideMark/>
          </w:tcPr>
          <w:p w14:paraId="51DE48D5" w14:textId="77777777" w:rsidR="00000000" w:rsidRDefault="00405D16">
            <w:pPr>
              <w:spacing w:after="100"/>
              <w:rPr>
                <w:rFonts w:eastAsia="Times New Roman"/>
                <w:sz w:val="20"/>
                <w:szCs w:val="20"/>
              </w:rPr>
            </w:pPr>
          </w:p>
        </w:tc>
        <w:tc>
          <w:tcPr>
            <w:tcW w:w="0" w:type="auto"/>
            <w:gridSpan w:val="3"/>
            <w:vAlign w:val="center"/>
            <w:hideMark/>
          </w:tcPr>
          <w:p w14:paraId="579CFC47" w14:textId="77777777" w:rsidR="00000000" w:rsidRDefault="00405D16">
            <w:pPr>
              <w:spacing w:after="100"/>
              <w:rPr>
                <w:rFonts w:eastAsia="Times New Roman"/>
                <w:sz w:val="20"/>
                <w:szCs w:val="20"/>
              </w:rPr>
            </w:pPr>
          </w:p>
        </w:tc>
        <w:tc>
          <w:tcPr>
            <w:tcW w:w="0" w:type="auto"/>
            <w:gridSpan w:val="3"/>
            <w:vAlign w:val="center"/>
            <w:hideMark/>
          </w:tcPr>
          <w:p w14:paraId="3C871506" w14:textId="77777777" w:rsidR="00000000" w:rsidRDefault="00405D16">
            <w:pPr>
              <w:spacing w:after="100"/>
              <w:rPr>
                <w:rFonts w:eastAsia="Times New Roman"/>
                <w:sz w:val="20"/>
                <w:szCs w:val="20"/>
              </w:rPr>
            </w:pPr>
          </w:p>
        </w:tc>
        <w:tc>
          <w:tcPr>
            <w:tcW w:w="0" w:type="auto"/>
            <w:gridSpan w:val="3"/>
            <w:vAlign w:val="center"/>
            <w:hideMark/>
          </w:tcPr>
          <w:p w14:paraId="253E49DE" w14:textId="77777777" w:rsidR="00000000" w:rsidRDefault="00405D16">
            <w:pPr>
              <w:spacing w:after="100"/>
              <w:rPr>
                <w:rFonts w:eastAsia="Times New Roman"/>
                <w:sz w:val="20"/>
                <w:szCs w:val="20"/>
              </w:rPr>
            </w:pPr>
          </w:p>
        </w:tc>
        <w:tc>
          <w:tcPr>
            <w:tcW w:w="0" w:type="auto"/>
            <w:gridSpan w:val="3"/>
            <w:vAlign w:val="center"/>
            <w:hideMark/>
          </w:tcPr>
          <w:p w14:paraId="61A49673" w14:textId="77777777" w:rsidR="00000000" w:rsidRDefault="00405D16">
            <w:pPr>
              <w:spacing w:after="100"/>
              <w:rPr>
                <w:rFonts w:eastAsia="Times New Roman"/>
                <w:sz w:val="20"/>
                <w:szCs w:val="20"/>
              </w:rPr>
            </w:pPr>
          </w:p>
        </w:tc>
      </w:tr>
      <w:tr w:rsidR="00000000" w14:paraId="1EF5630F" w14:textId="77777777">
        <w:trPr>
          <w:divId w:val="1942257185"/>
        </w:trPr>
        <w:tc>
          <w:tcPr>
            <w:tcW w:w="0" w:type="auto"/>
            <w:gridSpan w:val="3"/>
            <w:shd w:val="clear" w:color="auto" w:fill="CCEEFF"/>
            <w:tcMar>
              <w:top w:w="30" w:type="dxa"/>
              <w:left w:w="20" w:type="dxa"/>
              <w:bottom w:w="30" w:type="dxa"/>
              <w:right w:w="20" w:type="dxa"/>
            </w:tcMar>
            <w:vAlign w:val="center"/>
            <w:hideMark/>
          </w:tcPr>
          <w:p w14:paraId="04333A0C" w14:textId="77777777" w:rsidR="00000000" w:rsidRDefault="00405D16">
            <w:pPr>
              <w:spacing w:after="100"/>
              <w:divId w:val="1520042822"/>
              <w:rPr>
                <w:rFonts w:eastAsia="Times New Roman"/>
              </w:rPr>
            </w:pPr>
            <w:r>
              <w:rPr>
                <w:rFonts w:eastAsia="Times New Roman"/>
                <w:color w:val="000000"/>
                <w:sz w:val="18"/>
                <w:szCs w:val="18"/>
              </w:rPr>
              <w:t>Loans</w:t>
            </w:r>
            <w:r>
              <w:rPr>
                <w:rFonts w:eastAsia="Times New Roman"/>
                <w:color w:val="000000"/>
                <w:sz w:val="18"/>
                <w:szCs w:val="18"/>
              </w:rPr>
              <w:t>:</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3C4691C3"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52C78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BDBE4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3A0FE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80BD6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EFD46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B3D95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A5D6B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2B0AD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4BA43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E777B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E9A2D7" w14:textId="77777777" w:rsidR="00000000" w:rsidRDefault="00405D16">
            <w:pPr>
              <w:spacing w:after="100"/>
              <w:rPr>
                <w:rFonts w:eastAsia="Times New Roman"/>
                <w:sz w:val="20"/>
                <w:szCs w:val="20"/>
              </w:rPr>
            </w:pPr>
          </w:p>
        </w:tc>
        <w:tc>
          <w:tcPr>
            <w:tcW w:w="0" w:type="auto"/>
            <w:vAlign w:val="center"/>
            <w:hideMark/>
          </w:tcPr>
          <w:p w14:paraId="711904BE" w14:textId="77777777" w:rsidR="00000000" w:rsidRDefault="00405D16">
            <w:pPr>
              <w:spacing w:after="100"/>
              <w:rPr>
                <w:rFonts w:eastAsia="Times New Roman"/>
                <w:sz w:val="20"/>
                <w:szCs w:val="20"/>
              </w:rPr>
            </w:pPr>
          </w:p>
        </w:tc>
        <w:tc>
          <w:tcPr>
            <w:tcW w:w="0" w:type="auto"/>
            <w:vAlign w:val="center"/>
            <w:hideMark/>
          </w:tcPr>
          <w:p w14:paraId="67D7E9ED" w14:textId="77777777" w:rsidR="00000000" w:rsidRDefault="00405D16">
            <w:pPr>
              <w:spacing w:after="100"/>
              <w:rPr>
                <w:rFonts w:eastAsia="Times New Roman"/>
                <w:sz w:val="20"/>
                <w:szCs w:val="20"/>
              </w:rPr>
            </w:pPr>
          </w:p>
        </w:tc>
        <w:tc>
          <w:tcPr>
            <w:tcW w:w="0" w:type="auto"/>
            <w:gridSpan w:val="3"/>
            <w:vAlign w:val="center"/>
            <w:hideMark/>
          </w:tcPr>
          <w:p w14:paraId="61362181" w14:textId="77777777" w:rsidR="00000000" w:rsidRDefault="00405D16">
            <w:pPr>
              <w:spacing w:after="100"/>
              <w:rPr>
                <w:rFonts w:eastAsia="Times New Roman"/>
                <w:sz w:val="20"/>
                <w:szCs w:val="20"/>
              </w:rPr>
            </w:pPr>
          </w:p>
        </w:tc>
        <w:tc>
          <w:tcPr>
            <w:tcW w:w="0" w:type="auto"/>
            <w:gridSpan w:val="3"/>
            <w:vAlign w:val="center"/>
            <w:hideMark/>
          </w:tcPr>
          <w:p w14:paraId="74B04E17" w14:textId="77777777" w:rsidR="00000000" w:rsidRDefault="00405D16">
            <w:pPr>
              <w:spacing w:after="100"/>
              <w:rPr>
                <w:rFonts w:eastAsia="Times New Roman"/>
                <w:sz w:val="20"/>
                <w:szCs w:val="20"/>
              </w:rPr>
            </w:pPr>
          </w:p>
        </w:tc>
        <w:tc>
          <w:tcPr>
            <w:tcW w:w="0" w:type="auto"/>
            <w:gridSpan w:val="3"/>
            <w:vAlign w:val="center"/>
            <w:hideMark/>
          </w:tcPr>
          <w:p w14:paraId="2AB0CEB4" w14:textId="77777777" w:rsidR="00000000" w:rsidRDefault="00405D16">
            <w:pPr>
              <w:spacing w:after="100"/>
              <w:rPr>
                <w:rFonts w:eastAsia="Times New Roman"/>
                <w:sz w:val="20"/>
                <w:szCs w:val="20"/>
              </w:rPr>
            </w:pPr>
          </w:p>
        </w:tc>
        <w:tc>
          <w:tcPr>
            <w:tcW w:w="0" w:type="auto"/>
            <w:gridSpan w:val="3"/>
            <w:vAlign w:val="center"/>
            <w:hideMark/>
          </w:tcPr>
          <w:p w14:paraId="5BF69D17" w14:textId="77777777" w:rsidR="00000000" w:rsidRDefault="00405D16">
            <w:pPr>
              <w:spacing w:after="100"/>
              <w:rPr>
                <w:rFonts w:eastAsia="Times New Roman"/>
                <w:sz w:val="20"/>
                <w:szCs w:val="20"/>
              </w:rPr>
            </w:pPr>
          </w:p>
        </w:tc>
      </w:tr>
      <w:tr w:rsidR="00000000" w14:paraId="0A0A00DC" w14:textId="77777777">
        <w:trPr>
          <w:divId w:val="1942257185"/>
        </w:trPr>
        <w:tc>
          <w:tcPr>
            <w:tcW w:w="0" w:type="auto"/>
            <w:gridSpan w:val="3"/>
            <w:shd w:val="clear" w:color="auto" w:fill="FFFFFF"/>
            <w:tcMar>
              <w:top w:w="30" w:type="dxa"/>
              <w:left w:w="245" w:type="dxa"/>
              <w:bottom w:w="30" w:type="dxa"/>
              <w:right w:w="20" w:type="dxa"/>
            </w:tcMar>
            <w:vAlign w:val="center"/>
            <w:hideMark/>
          </w:tcPr>
          <w:p w14:paraId="46E5F8E9" w14:textId="77777777" w:rsidR="00000000" w:rsidRDefault="00405D16">
            <w:pPr>
              <w:spacing w:after="100"/>
              <w:rPr>
                <w:rFonts w:eastAsia="Times New Roman"/>
              </w:rPr>
            </w:pPr>
            <w:r>
              <w:rPr>
                <w:rFonts w:eastAsia="Times New Roman"/>
                <w:color w:val="000000"/>
                <w:sz w:val="18"/>
                <w:szCs w:val="18"/>
              </w:rPr>
              <w:t>Credit card</w:t>
            </w:r>
          </w:p>
        </w:tc>
        <w:tc>
          <w:tcPr>
            <w:tcW w:w="0" w:type="auto"/>
            <w:gridSpan w:val="3"/>
            <w:shd w:val="clear" w:color="auto" w:fill="FFFFFF"/>
            <w:tcMar>
              <w:top w:w="0" w:type="dxa"/>
              <w:left w:w="20" w:type="dxa"/>
              <w:bottom w:w="0" w:type="dxa"/>
              <w:right w:w="20" w:type="dxa"/>
            </w:tcMar>
            <w:vAlign w:val="center"/>
            <w:hideMark/>
          </w:tcPr>
          <w:p w14:paraId="7F8AE0E7"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0DE2EB18"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55619DDB" w14:textId="77777777" w:rsidR="00000000" w:rsidRDefault="00405D16">
            <w:pPr>
              <w:spacing w:after="100"/>
              <w:jc w:val="right"/>
              <w:rPr>
                <w:rFonts w:eastAsia="Times New Roman"/>
              </w:rPr>
            </w:pPr>
            <w:r>
              <w:rPr>
                <w:rFonts w:eastAsia="Times New Roman"/>
                <w:b/>
                <w:bCs/>
                <w:color w:val="000000"/>
                <w:sz w:val="18"/>
                <w:szCs w:val="18"/>
              </w:rPr>
              <w:t>103,591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CF1C5D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404099"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5FADF7B"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345C70D7" w14:textId="77777777" w:rsidR="00000000" w:rsidRDefault="00405D16">
            <w:pPr>
              <w:spacing w:after="100"/>
              <w:jc w:val="right"/>
              <w:rPr>
                <w:rFonts w:eastAsia="Times New Roman"/>
              </w:rPr>
            </w:pPr>
            <w:r>
              <w:rPr>
                <w:rFonts w:eastAsia="Times New Roman"/>
                <w:b/>
                <w:bCs/>
                <w:color w:val="000000"/>
                <w:sz w:val="18"/>
                <w:szCs w:val="18"/>
              </w:rPr>
              <w:t>11,246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961BBF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743CE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75266A1" w14:textId="77777777" w:rsidR="00000000" w:rsidRDefault="00405D16">
            <w:pPr>
              <w:spacing w:after="100"/>
              <w:jc w:val="right"/>
              <w:rPr>
                <w:rFonts w:eastAsia="Times New Roman"/>
              </w:rPr>
            </w:pPr>
            <w:r>
              <w:rPr>
                <w:rFonts w:eastAsia="Times New Roman"/>
                <w:b/>
                <w:bCs/>
                <w:color w:val="000000"/>
                <w:sz w:val="18"/>
                <w:szCs w:val="18"/>
              </w:rPr>
              <w:t>14.47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F38051C"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328B5C0" w14:textId="77777777" w:rsidR="00000000" w:rsidRDefault="00405D16">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0BD15188"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78318C85" w14:textId="77777777" w:rsidR="00000000" w:rsidRDefault="00405D16">
            <w:pPr>
              <w:spacing w:after="100"/>
              <w:jc w:val="right"/>
              <w:rPr>
                <w:rFonts w:eastAsia="Times New Roman"/>
              </w:rPr>
            </w:pPr>
            <w:r>
              <w:rPr>
                <w:rFonts w:eastAsia="Times New Roman"/>
                <w:color w:val="000000"/>
                <w:sz w:val="18"/>
                <w:szCs w:val="18"/>
              </w:rPr>
              <w:t>112,305 </w:t>
            </w:r>
          </w:p>
        </w:tc>
        <w:tc>
          <w:tcPr>
            <w:tcW w:w="0" w:type="auto"/>
            <w:shd w:val="clear" w:color="auto" w:fill="FFFFFF"/>
            <w:tcMar>
              <w:top w:w="30" w:type="dxa"/>
              <w:left w:w="0" w:type="dxa"/>
              <w:bottom w:w="30" w:type="dxa"/>
              <w:right w:w="20" w:type="dxa"/>
            </w:tcMar>
            <w:vAlign w:val="center"/>
            <w:hideMark/>
          </w:tcPr>
          <w:p w14:paraId="1FE8BA6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441DCB"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637D1CE"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3678BC9B" w14:textId="77777777" w:rsidR="00000000" w:rsidRDefault="00405D16">
            <w:pPr>
              <w:spacing w:after="100"/>
              <w:jc w:val="right"/>
              <w:rPr>
                <w:rFonts w:eastAsia="Times New Roman"/>
              </w:rPr>
            </w:pPr>
            <w:r>
              <w:rPr>
                <w:rFonts w:eastAsia="Times New Roman"/>
                <w:color w:val="000000"/>
                <w:sz w:val="18"/>
                <w:szCs w:val="18"/>
              </w:rPr>
              <w:t>11,812 </w:t>
            </w:r>
          </w:p>
        </w:tc>
        <w:tc>
          <w:tcPr>
            <w:tcW w:w="0" w:type="auto"/>
            <w:shd w:val="clear" w:color="auto" w:fill="FFFFFF"/>
            <w:tcMar>
              <w:top w:w="30" w:type="dxa"/>
              <w:left w:w="0" w:type="dxa"/>
              <w:bottom w:w="30" w:type="dxa"/>
              <w:right w:w="20" w:type="dxa"/>
            </w:tcMar>
            <w:vAlign w:val="center"/>
            <w:hideMark/>
          </w:tcPr>
          <w:p w14:paraId="50E847F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1CED3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2C67E07" w14:textId="77777777" w:rsidR="00000000" w:rsidRDefault="00405D16">
            <w:pPr>
              <w:spacing w:after="100"/>
              <w:jc w:val="right"/>
              <w:rPr>
                <w:rFonts w:eastAsia="Times New Roman"/>
              </w:rPr>
            </w:pPr>
            <w:r>
              <w:rPr>
                <w:rFonts w:eastAsia="Times New Roman"/>
                <w:color w:val="000000"/>
                <w:sz w:val="18"/>
                <w:szCs w:val="18"/>
              </w:rPr>
              <w:t>14.02 </w:t>
            </w:r>
          </w:p>
        </w:tc>
        <w:tc>
          <w:tcPr>
            <w:tcW w:w="0" w:type="auto"/>
            <w:shd w:val="clear" w:color="auto" w:fill="FFFFFF"/>
            <w:tcMar>
              <w:top w:w="30" w:type="dxa"/>
              <w:left w:w="0" w:type="dxa"/>
              <w:bottom w:w="30" w:type="dxa"/>
              <w:right w:w="20" w:type="dxa"/>
            </w:tcMar>
            <w:vAlign w:val="center"/>
            <w:hideMark/>
          </w:tcPr>
          <w:p w14:paraId="53DD9AFF" w14:textId="77777777" w:rsidR="00000000" w:rsidRDefault="00405D16">
            <w:pPr>
              <w:spacing w:after="100"/>
              <w:rPr>
                <w:rFonts w:eastAsia="Times New Roman"/>
              </w:rPr>
            </w:pPr>
            <w:r>
              <w:rPr>
                <w:rFonts w:eastAsia="Times New Roman"/>
                <w:color w:val="000000"/>
                <w:sz w:val="18"/>
                <w:szCs w:val="18"/>
              </w:rPr>
              <w:t>%</w:t>
            </w:r>
          </w:p>
        </w:tc>
        <w:tc>
          <w:tcPr>
            <w:tcW w:w="0" w:type="auto"/>
            <w:vAlign w:val="center"/>
            <w:hideMark/>
          </w:tcPr>
          <w:p w14:paraId="77901B46" w14:textId="77777777" w:rsidR="00000000" w:rsidRDefault="00405D16">
            <w:pPr>
              <w:spacing w:after="100"/>
              <w:rPr>
                <w:rFonts w:eastAsia="Times New Roman"/>
              </w:rPr>
            </w:pPr>
          </w:p>
        </w:tc>
        <w:tc>
          <w:tcPr>
            <w:tcW w:w="0" w:type="auto"/>
            <w:vAlign w:val="center"/>
            <w:hideMark/>
          </w:tcPr>
          <w:p w14:paraId="6E73492F" w14:textId="77777777" w:rsidR="00000000" w:rsidRDefault="00405D16">
            <w:pPr>
              <w:spacing w:after="100"/>
              <w:rPr>
                <w:rFonts w:eastAsia="Times New Roman"/>
                <w:sz w:val="20"/>
                <w:szCs w:val="20"/>
              </w:rPr>
            </w:pPr>
          </w:p>
        </w:tc>
        <w:tc>
          <w:tcPr>
            <w:tcW w:w="0" w:type="auto"/>
            <w:gridSpan w:val="3"/>
            <w:vAlign w:val="center"/>
            <w:hideMark/>
          </w:tcPr>
          <w:p w14:paraId="57CB7A8C" w14:textId="77777777" w:rsidR="00000000" w:rsidRDefault="00405D16">
            <w:pPr>
              <w:spacing w:after="100"/>
              <w:rPr>
                <w:rFonts w:eastAsia="Times New Roman"/>
                <w:sz w:val="20"/>
                <w:szCs w:val="20"/>
              </w:rPr>
            </w:pPr>
          </w:p>
        </w:tc>
        <w:tc>
          <w:tcPr>
            <w:tcW w:w="0" w:type="auto"/>
            <w:gridSpan w:val="3"/>
            <w:vAlign w:val="center"/>
            <w:hideMark/>
          </w:tcPr>
          <w:p w14:paraId="34292B0C" w14:textId="77777777" w:rsidR="00000000" w:rsidRDefault="00405D16">
            <w:pPr>
              <w:spacing w:after="100"/>
              <w:rPr>
                <w:rFonts w:eastAsia="Times New Roman"/>
                <w:sz w:val="20"/>
                <w:szCs w:val="20"/>
              </w:rPr>
            </w:pPr>
          </w:p>
        </w:tc>
        <w:tc>
          <w:tcPr>
            <w:tcW w:w="0" w:type="auto"/>
            <w:gridSpan w:val="3"/>
            <w:vAlign w:val="center"/>
            <w:hideMark/>
          </w:tcPr>
          <w:p w14:paraId="2A652B33" w14:textId="77777777" w:rsidR="00000000" w:rsidRDefault="00405D16">
            <w:pPr>
              <w:spacing w:after="100"/>
              <w:rPr>
                <w:rFonts w:eastAsia="Times New Roman"/>
                <w:sz w:val="20"/>
                <w:szCs w:val="20"/>
              </w:rPr>
            </w:pPr>
          </w:p>
        </w:tc>
        <w:tc>
          <w:tcPr>
            <w:tcW w:w="0" w:type="auto"/>
            <w:gridSpan w:val="3"/>
            <w:vAlign w:val="center"/>
            <w:hideMark/>
          </w:tcPr>
          <w:p w14:paraId="06371414" w14:textId="77777777" w:rsidR="00000000" w:rsidRDefault="00405D16">
            <w:pPr>
              <w:spacing w:after="100"/>
              <w:rPr>
                <w:rFonts w:eastAsia="Times New Roman"/>
                <w:sz w:val="20"/>
                <w:szCs w:val="20"/>
              </w:rPr>
            </w:pPr>
          </w:p>
        </w:tc>
      </w:tr>
      <w:tr w:rsidR="00000000" w14:paraId="23F16DC5" w14:textId="77777777">
        <w:trPr>
          <w:divId w:val="1942257185"/>
        </w:trPr>
        <w:tc>
          <w:tcPr>
            <w:tcW w:w="0" w:type="auto"/>
            <w:gridSpan w:val="3"/>
            <w:shd w:val="clear" w:color="auto" w:fill="CCEEFF"/>
            <w:tcMar>
              <w:top w:w="30" w:type="dxa"/>
              <w:left w:w="245" w:type="dxa"/>
              <w:bottom w:w="30" w:type="dxa"/>
              <w:right w:w="20" w:type="dxa"/>
            </w:tcMar>
            <w:vAlign w:val="center"/>
            <w:hideMark/>
          </w:tcPr>
          <w:p w14:paraId="3CCFB73D" w14:textId="77777777" w:rsidR="00000000" w:rsidRDefault="00405D16">
            <w:pPr>
              <w:spacing w:after="100"/>
              <w:rPr>
                <w:rFonts w:eastAsia="Times New Roman"/>
              </w:rPr>
            </w:pPr>
            <w:r>
              <w:rPr>
                <w:rFonts w:eastAsia="Times New Roman"/>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14:paraId="07B5654C"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4FBC8AF" w14:textId="77777777" w:rsidR="00000000" w:rsidRDefault="00405D16">
            <w:pPr>
              <w:spacing w:after="100"/>
              <w:jc w:val="right"/>
              <w:rPr>
                <w:rFonts w:eastAsia="Times New Roman"/>
              </w:rPr>
            </w:pPr>
            <w:r>
              <w:rPr>
                <w:rFonts w:eastAsia="Times New Roman"/>
                <w:b/>
                <w:bCs/>
                <w:color w:val="000000"/>
                <w:sz w:val="18"/>
                <w:szCs w:val="18"/>
              </w:rPr>
              <w:t>72,670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A4EC4A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DA334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FEDD5A7" w14:textId="77777777" w:rsidR="00000000" w:rsidRDefault="00405D16">
            <w:pPr>
              <w:spacing w:after="100"/>
              <w:jc w:val="right"/>
              <w:rPr>
                <w:rFonts w:eastAsia="Times New Roman"/>
              </w:rPr>
            </w:pPr>
            <w:r>
              <w:rPr>
                <w:rFonts w:eastAsia="Times New Roman"/>
                <w:b/>
                <w:bCs/>
                <w:color w:val="000000"/>
                <w:sz w:val="18"/>
                <w:szCs w:val="18"/>
              </w:rPr>
              <w:t>4,343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22A3D9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8A70A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F0F73A1" w14:textId="77777777" w:rsidR="00000000" w:rsidRDefault="00405D16">
            <w:pPr>
              <w:spacing w:after="100"/>
              <w:jc w:val="right"/>
              <w:rPr>
                <w:rFonts w:eastAsia="Times New Roman"/>
              </w:rPr>
            </w:pPr>
            <w:r>
              <w:rPr>
                <w:rFonts w:eastAsia="Times New Roman"/>
                <w:b/>
                <w:bCs/>
                <w:color w:val="000000"/>
                <w:sz w:val="18"/>
                <w:szCs w:val="18"/>
              </w:rPr>
              <w:t>7.97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ED3C89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C358A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A2C7B4C" w14:textId="77777777" w:rsidR="00000000" w:rsidRDefault="00405D16">
            <w:pPr>
              <w:spacing w:after="100"/>
              <w:jc w:val="right"/>
              <w:rPr>
                <w:rFonts w:eastAsia="Times New Roman"/>
              </w:rPr>
            </w:pPr>
            <w:r>
              <w:rPr>
                <w:rFonts w:eastAsia="Times New Roman"/>
                <w:color w:val="000000"/>
                <w:sz w:val="18"/>
                <w:szCs w:val="18"/>
              </w:rPr>
              <w:t>65,457 </w:t>
            </w:r>
          </w:p>
        </w:tc>
        <w:tc>
          <w:tcPr>
            <w:tcW w:w="0" w:type="auto"/>
            <w:shd w:val="clear" w:color="auto" w:fill="CCEEFF"/>
            <w:tcMar>
              <w:top w:w="30" w:type="dxa"/>
              <w:left w:w="0" w:type="dxa"/>
              <w:bottom w:w="30" w:type="dxa"/>
              <w:right w:w="20" w:type="dxa"/>
            </w:tcMar>
            <w:vAlign w:val="center"/>
            <w:hideMark/>
          </w:tcPr>
          <w:p w14:paraId="7782E5C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B5F4F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68349F9" w14:textId="77777777" w:rsidR="00000000" w:rsidRDefault="00405D16">
            <w:pPr>
              <w:spacing w:after="100"/>
              <w:jc w:val="right"/>
              <w:rPr>
                <w:rFonts w:eastAsia="Times New Roman"/>
              </w:rPr>
            </w:pPr>
            <w:r>
              <w:rPr>
                <w:rFonts w:eastAsia="Times New Roman"/>
                <w:color w:val="000000"/>
                <w:sz w:val="18"/>
                <w:szCs w:val="18"/>
              </w:rPr>
              <w:t>4,128 </w:t>
            </w:r>
          </w:p>
        </w:tc>
        <w:tc>
          <w:tcPr>
            <w:tcW w:w="0" w:type="auto"/>
            <w:shd w:val="clear" w:color="auto" w:fill="CCEEFF"/>
            <w:tcMar>
              <w:top w:w="30" w:type="dxa"/>
              <w:left w:w="0" w:type="dxa"/>
              <w:bottom w:w="30" w:type="dxa"/>
              <w:right w:w="20" w:type="dxa"/>
            </w:tcMar>
            <w:vAlign w:val="center"/>
            <w:hideMark/>
          </w:tcPr>
          <w:p w14:paraId="15B9AFC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98078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664C6E3" w14:textId="77777777" w:rsidR="00000000" w:rsidRDefault="00405D16">
            <w:pPr>
              <w:spacing w:after="100"/>
              <w:jc w:val="right"/>
              <w:rPr>
                <w:rFonts w:eastAsia="Times New Roman"/>
              </w:rPr>
            </w:pPr>
            <w:r>
              <w:rPr>
                <w:rFonts w:eastAsia="Times New Roman"/>
                <w:color w:val="000000"/>
                <w:sz w:val="18"/>
                <w:szCs w:val="18"/>
              </w:rPr>
              <w:t>8.41 </w:t>
            </w:r>
          </w:p>
        </w:tc>
        <w:tc>
          <w:tcPr>
            <w:tcW w:w="0" w:type="auto"/>
            <w:shd w:val="clear" w:color="auto" w:fill="CCEEFF"/>
            <w:tcMar>
              <w:top w:w="30" w:type="dxa"/>
              <w:left w:w="0" w:type="dxa"/>
              <w:bottom w:w="30" w:type="dxa"/>
              <w:right w:w="20" w:type="dxa"/>
            </w:tcMar>
            <w:vAlign w:val="center"/>
            <w:hideMark/>
          </w:tcPr>
          <w:p w14:paraId="732EE94C" w14:textId="77777777" w:rsidR="00000000" w:rsidRDefault="00405D16">
            <w:pPr>
              <w:spacing w:after="100"/>
              <w:jc w:val="right"/>
              <w:rPr>
                <w:rFonts w:eastAsia="Times New Roman"/>
              </w:rPr>
            </w:pPr>
          </w:p>
        </w:tc>
        <w:tc>
          <w:tcPr>
            <w:tcW w:w="0" w:type="auto"/>
            <w:vAlign w:val="center"/>
            <w:hideMark/>
          </w:tcPr>
          <w:p w14:paraId="69B90BF5" w14:textId="77777777" w:rsidR="00000000" w:rsidRDefault="00405D16">
            <w:pPr>
              <w:spacing w:after="100"/>
              <w:jc w:val="right"/>
              <w:rPr>
                <w:rFonts w:eastAsia="Times New Roman"/>
                <w:sz w:val="20"/>
                <w:szCs w:val="20"/>
              </w:rPr>
            </w:pPr>
          </w:p>
        </w:tc>
        <w:tc>
          <w:tcPr>
            <w:tcW w:w="0" w:type="auto"/>
            <w:vAlign w:val="center"/>
            <w:hideMark/>
          </w:tcPr>
          <w:p w14:paraId="7B0C9FE0" w14:textId="77777777" w:rsidR="00000000" w:rsidRDefault="00405D16">
            <w:pPr>
              <w:spacing w:after="100"/>
              <w:rPr>
                <w:rFonts w:eastAsia="Times New Roman"/>
                <w:sz w:val="20"/>
                <w:szCs w:val="20"/>
              </w:rPr>
            </w:pPr>
          </w:p>
        </w:tc>
        <w:tc>
          <w:tcPr>
            <w:tcW w:w="0" w:type="auto"/>
            <w:gridSpan w:val="3"/>
            <w:vAlign w:val="center"/>
            <w:hideMark/>
          </w:tcPr>
          <w:p w14:paraId="2E5E4777" w14:textId="77777777" w:rsidR="00000000" w:rsidRDefault="00405D16">
            <w:pPr>
              <w:spacing w:after="100"/>
              <w:rPr>
                <w:rFonts w:eastAsia="Times New Roman"/>
                <w:sz w:val="20"/>
                <w:szCs w:val="20"/>
              </w:rPr>
            </w:pPr>
          </w:p>
        </w:tc>
        <w:tc>
          <w:tcPr>
            <w:tcW w:w="0" w:type="auto"/>
            <w:gridSpan w:val="3"/>
            <w:vAlign w:val="center"/>
            <w:hideMark/>
          </w:tcPr>
          <w:p w14:paraId="71E87A11" w14:textId="77777777" w:rsidR="00000000" w:rsidRDefault="00405D16">
            <w:pPr>
              <w:spacing w:after="100"/>
              <w:rPr>
                <w:rFonts w:eastAsia="Times New Roman"/>
                <w:sz w:val="20"/>
                <w:szCs w:val="20"/>
              </w:rPr>
            </w:pPr>
          </w:p>
        </w:tc>
        <w:tc>
          <w:tcPr>
            <w:tcW w:w="0" w:type="auto"/>
            <w:gridSpan w:val="3"/>
            <w:vAlign w:val="center"/>
            <w:hideMark/>
          </w:tcPr>
          <w:p w14:paraId="7E9FD635" w14:textId="77777777" w:rsidR="00000000" w:rsidRDefault="00405D16">
            <w:pPr>
              <w:spacing w:after="100"/>
              <w:rPr>
                <w:rFonts w:eastAsia="Times New Roman"/>
                <w:sz w:val="20"/>
                <w:szCs w:val="20"/>
              </w:rPr>
            </w:pPr>
          </w:p>
        </w:tc>
        <w:tc>
          <w:tcPr>
            <w:tcW w:w="0" w:type="auto"/>
            <w:gridSpan w:val="3"/>
            <w:vAlign w:val="center"/>
            <w:hideMark/>
          </w:tcPr>
          <w:p w14:paraId="54E9AF28" w14:textId="77777777" w:rsidR="00000000" w:rsidRDefault="00405D16">
            <w:pPr>
              <w:spacing w:after="100"/>
              <w:rPr>
                <w:rFonts w:eastAsia="Times New Roman"/>
                <w:sz w:val="20"/>
                <w:szCs w:val="20"/>
              </w:rPr>
            </w:pPr>
          </w:p>
        </w:tc>
      </w:tr>
      <w:tr w:rsidR="00000000" w14:paraId="1E4DF01F" w14:textId="77777777">
        <w:trPr>
          <w:divId w:val="1942257185"/>
        </w:trPr>
        <w:tc>
          <w:tcPr>
            <w:tcW w:w="0" w:type="auto"/>
            <w:gridSpan w:val="3"/>
            <w:shd w:val="clear" w:color="auto" w:fill="FFFFFF"/>
            <w:tcMar>
              <w:top w:w="30" w:type="dxa"/>
              <w:left w:w="20" w:type="dxa"/>
              <w:bottom w:w="30" w:type="dxa"/>
              <w:right w:w="20" w:type="dxa"/>
            </w:tcMar>
            <w:vAlign w:val="center"/>
            <w:hideMark/>
          </w:tcPr>
          <w:p w14:paraId="000CE90D" w14:textId="77777777" w:rsidR="00000000" w:rsidRDefault="00405D16">
            <w:pPr>
              <w:spacing w:after="100"/>
              <w:divId w:val="782921198"/>
              <w:rPr>
                <w:rFonts w:eastAsia="Times New Roman"/>
              </w:rPr>
            </w:pPr>
            <w:r>
              <w:rPr>
                <w:rFonts w:eastAsia="Times New Roman"/>
                <w:color w:val="000000"/>
                <w:sz w:val="18"/>
                <w:szCs w:val="18"/>
              </w:rPr>
              <w:t>Commercial bankin</w:t>
            </w:r>
            <w:r>
              <w:rPr>
                <w:rFonts w:eastAsia="Times New Roman"/>
                <w:color w:val="000000"/>
                <w:sz w:val="18"/>
                <w:szCs w:val="18"/>
              </w:rPr>
              <w:t>g</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0A5539F8"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29D92F3" w14:textId="77777777" w:rsidR="00000000" w:rsidRDefault="00405D16">
            <w:pPr>
              <w:spacing w:after="100"/>
              <w:jc w:val="right"/>
              <w:rPr>
                <w:rFonts w:eastAsia="Times New Roman"/>
              </w:rPr>
            </w:pPr>
            <w:r>
              <w:rPr>
                <w:rFonts w:eastAsia="Times New Roman"/>
                <w:b/>
                <w:bCs/>
                <w:color w:val="000000"/>
                <w:sz w:val="18"/>
                <w:szCs w:val="18"/>
              </w:rPr>
              <w:t>75,852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21B29B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1C5D6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637B319" w14:textId="77777777" w:rsidR="00000000" w:rsidRDefault="00405D16">
            <w:pPr>
              <w:spacing w:after="100"/>
              <w:jc w:val="right"/>
              <w:rPr>
                <w:rFonts w:eastAsia="Times New Roman"/>
              </w:rPr>
            </w:pPr>
            <w:r>
              <w:rPr>
                <w:rFonts w:eastAsia="Times New Roman"/>
                <w:b/>
                <w:bCs/>
                <w:color w:val="000000"/>
                <w:sz w:val="18"/>
                <w:szCs w:val="18"/>
              </w:rPr>
              <w:t>1,564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1DEA3E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424B8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B59455F" w14:textId="77777777" w:rsidR="00000000" w:rsidRDefault="00405D16">
            <w:pPr>
              <w:spacing w:after="100"/>
              <w:jc w:val="right"/>
              <w:rPr>
                <w:rFonts w:eastAsia="Times New Roman"/>
              </w:rPr>
            </w:pPr>
            <w:r>
              <w:rPr>
                <w:rFonts w:eastAsia="Times New Roman"/>
                <w:b/>
                <w:bCs/>
                <w:color w:val="000000"/>
                <w:sz w:val="18"/>
                <w:szCs w:val="18"/>
              </w:rPr>
              <w:t>2.75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AC755F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39690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17E0C68" w14:textId="77777777" w:rsidR="00000000" w:rsidRDefault="00405D16">
            <w:pPr>
              <w:spacing w:after="100"/>
              <w:jc w:val="right"/>
              <w:rPr>
                <w:rFonts w:eastAsia="Times New Roman"/>
              </w:rPr>
            </w:pPr>
            <w:r>
              <w:rPr>
                <w:rFonts w:eastAsia="Times New Roman"/>
                <w:color w:val="000000"/>
                <w:sz w:val="18"/>
                <w:szCs w:val="18"/>
              </w:rPr>
              <w:t>78,403 </w:t>
            </w:r>
          </w:p>
        </w:tc>
        <w:tc>
          <w:tcPr>
            <w:tcW w:w="0" w:type="auto"/>
            <w:shd w:val="clear" w:color="auto" w:fill="FFFFFF"/>
            <w:tcMar>
              <w:top w:w="30" w:type="dxa"/>
              <w:left w:w="0" w:type="dxa"/>
              <w:bottom w:w="30" w:type="dxa"/>
              <w:right w:w="20" w:type="dxa"/>
            </w:tcMar>
            <w:vAlign w:val="center"/>
            <w:hideMark/>
          </w:tcPr>
          <w:p w14:paraId="5BAE985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183CE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0E4EDF7" w14:textId="77777777" w:rsidR="00000000" w:rsidRDefault="00405D16">
            <w:pPr>
              <w:spacing w:after="100"/>
              <w:jc w:val="right"/>
              <w:rPr>
                <w:rFonts w:eastAsia="Times New Roman"/>
              </w:rPr>
            </w:pPr>
            <w:r>
              <w:rPr>
                <w:rFonts w:eastAsia="Times New Roman"/>
                <w:color w:val="000000"/>
                <w:sz w:val="18"/>
                <w:szCs w:val="18"/>
              </w:rPr>
              <w:t>1,898 </w:t>
            </w:r>
          </w:p>
        </w:tc>
        <w:tc>
          <w:tcPr>
            <w:tcW w:w="0" w:type="auto"/>
            <w:shd w:val="clear" w:color="auto" w:fill="FFFFFF"/>
            <w:tcMar>
              <w:top w:w="30" w:type="dxa"/>
              <w:left w:w="0" w:type="dxa"/>
              <w:bottom w:w="30" w:type="dxa"/>
              <w:right w:w="20" w:type="dxa"/>
            </w:tcMar>
            <w:vAlign w:val="center"/>
            <w:hideMark/>
          </w:tcPr>
          <w:p w14:paraId="2989EF3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AB5D6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82A6638" w14:textId="77777777" w:rsidR="00000000" w:rsidRDefault="00405D16">
            <w:pPr>
              <w:spacing w:after="100"/>
              <w:jc w:val="right"/>
              <w:rPr>
                <w:rFonts w:eastAsia="Times New Roman"/>
              </w:rPr>
            </w:pPr>
            <w:r>
              <w:rPr>
                <w:rFonts w:eastAsia="Times New Roman"/>
                <w:color w:val="000000"/>
                <w:sz w:val="18"/>
                <w:szCs w:val="18"/>
              </w:rPr>
              <w:t>3.23 </w:t>
            </w:r>
          </w:p>
        </w:tc>
        <w:tc>
          <w:tcPr>
            <w:tcW w:w="0" w:type="auto"/>
            <w:shd w:val="clear" w:color="auto" w:fill="FFFFFF"/>
            <w:tcMar>
              <w:top w:w="30" w:type="dxa"/>
              <w:left w:w="0" w:type="dxa"/>
              <w:bottom w:w="30" w:type="dxa"/>
              <w:right w:w="20" w:type="dxa"/>
            </w:tcMar>
            <w:vAlign w:val="center"/>
            <w:hideMark/>
          </w:tcPr>
          <w:p w14:paraId="3DA06895" w14:textId="77777777" w:rsidR="00000000" w:rsidRDefault="00405D16">
            <w:pPr>
              <w:spacing w:after="100"/>
              <w:jc w:val="right"/>
              <w:rPr>
                <w:rFonts w:eastAsia="Times New Roman"/>
              </w:rPr>
            </w:pPr>
          </w:p>
        </w:tc>
        <w:tc>
          <w:tcPr>
            <w:tcW w:w="0" w:type="auto"/>
            <w:vAlign w:val="center"/>
            <w:hideMark/>
          </w:tcPr>
          <w:p w14:paraId="4DD8E7BB" w14:textId="77777777" w:rsidR="00000000" w:rsidRDefault="00405D16">
            <w:pPr>
              <w:spacing w:after="100"/>
              <w:jc w:val="right"/>
              <w:rPr>
                <w:rFonts w:eastAsia="Times New Roman"/>
                <w:sz w:val="20"/>
                <w:szCs w:val="20"/>
              </w:rPr>
            </w:pPr>
          </w:p>
        </w:tc>
        <w:tc>
          <w:tcPr>
            <w:tcW w:w="0" w:type="auto"/>
            <w:vAlign w:val="center"/>
            <w:hideMark/>
          </w:tcPr>
          <w:p w14:paraId="153ED557" w14:textId="77777777" w:rsidR="00000000" w:rsidRDefault="00405D16">
            <w:pPr>
              <w:spacing w:after="100"/>
              <w:rPr>
                <w:rFonts w:eastAsia="Times New Roman"/>
                <w:sz w:val="20"/>
                <w:szCs w:val="20"/>
              </w:rPr>
            </w:pPr>
          </w:p>
        </w:tc>
        <w:tc>
          <w:tcPr>
            <w:tcW w:w="0" w:type="auto"/>
            <w:gridSpan w:val="3"/>
            <w:vAlign w:val="center"/>
            <w:hideMark/>
          </w:tcPr>
          <w:p w14:paraId="268B2D5E" w14:textId="77777777" w:rsidR="00000000" w:rsidRDefault="00405D16">
            <w:pPr>
              <w:spacing w:after="100"/>
              <w:rPr>
                <w:rFonts w:eastAsia="Times New Roman"/>
                <w:sz w:val="20"/>
                <w:szCs w:val="20"/>
              </w:rPr>
            </w:pPr>
          </w:p>
        </w:tc>
        <w:tc>
          <w:tcPr>
            <w:tcW w:w="0" w:type="auto"/>
            <w:gridSpan w:val="3"/>
            <w:vAlign w:val="center"/>
            <w:hideMark/>
          </w:tcPr>
          <w:p w14:paraId="445842EB" w14:textId="77777777" w:rsidR="00000000" w:rsidRDefault="00405D16">
            <w:pPr>
              <w:spacing w:after="100"/>
              <w:rPr>
                <w:rFonts w:eastAsia="Times New Roman"/>
                <w:sz w:val="20"/>
                <w:szCs w:val="20"/>
              </w:rPr>
            </w:pPr>
          </w:p>
        </w:tc>
        <w:tc>
          <w:tcPr>
            <w:tcW w:w="0" w:type="auto"/>
            <w:gridSpan w:val="3"/>
            <w:vAlign w:val="center"/>
            <w:hideMark/>
          </w:tcPr>
          <w:p w14:paraId="090C0E10" w14:textId="77777777" w:rsidR="00000000" w:rsidRDefault="00405D16">
            <w:pPr>
              <w:spacing w:after="100"/>
              <w:rPr>
                <w:rFonts w:eastAsia="Times New Roman"/>
                <w:sz w:val="20"/>
                <w:szCs w:val="20"/>
              </w:rPr>
            </w:pPr>
          </w:p>
        </w:tc>
        <w:tc>
          <w:tcPr>
            <w:tcW w:w="0" w:type="auto"/>
            <w:gridSpan w:val="3"/>
            <w:vAlign w:val="center"/>
            <w:hideMark/>
          </w:tcPr>
          <w:p w14:paraId="2E842360" w14:textId="77777777" w:rsidR="00000000" w:rsidRDefault="00405D16">
            <w:pPr>
              <w:spacing w:after="100"/>
              <w:rPr>
                <w:rFonts w:eastAsia="Times New Roman"/>
                <w:sz w:val="20"/>
                <w:szCs w:val="20"/>
              </w:rPr>
            </w:pPr>
          </w:p>
        </w:tc>
      </w:tr>
      <w:tr w:rsidR="00000000" w14:paraId="172F2186" w14:textId="77777777">
        <w:trPr>
          <w:divId w:val="1942257185"/>
        </w:trPr>
        <w:tc>
          <w:tcPr>
            <w:tcW w:w="0" w:type="auto"/>
            <w:gridSpan w:val="3"/>
            <w:shd w:val="clear" w:color="auto" w:fill="CCEEFF"/>
            <w:tcMar>
              <w:top w:w="30" w:type="dxa"/>
              <w:left w:w="20" w:type="dxa"/>
              <w:bottom w:w="30" w:type="dxa"/>
              <w:right w:w="20" w:type="dxa"/>
            </w:tcMar>
            <w:vAlign w:val="center"/>
            <w:hideMark/>
          </w:tcPr>
          <w:p w14:paraId="2F018B5C" w14:textId="77777777" w:rsidR="00000000" w:rsidRDefault="00405D16">
            <w:pPr>
              <w:spacing w:after="100"/>
              <w:divId w:val="2078359166"/>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694C27CE"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99FEC71" w14:textId="77777777" w:rsidR="00000000" w:rsidRDefault="00405D16">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73E866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B66DE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5A37DDA" w14:textId="77777777" w:rsidR="00000000" w:rsidRDefault="00405D16">
            <w:pPr>
              <w:spacing w:after="100"/>
              <w:jc w:val="right"/>
              <w:rPr>
                <w:rFonts w:eastAsia="Times New Roman"/>
              </w:rPr>
            </w:pPr>
            <w:r>
              <w:rPr>
                <w:rFonts w:eastAsia="Times New Roman"/>
                <w:b/>
                <w:bCs/>
                <w:color w:val="000000"/>
                <w:sz w:val="18"/>
                <w:szCs w:val="18"/>
              </w:rPr>
              <w:t>659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C1FF7D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742FFF"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116246B2"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23ED44A"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F62C225" w14:textId="77777777" w:rsidR="00000000" w:rsidRDefault="00405D16">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ABEE62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9129F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4028AA5" w14:textId="77777777" w:rsidR="00000000" w:rsidRDefault="00405D16">
            <w:pPr>
              <w:spacing w:after="100"/>
              <w:jc w:val="right"/>
              <w:rPr>
                <w:rFonts w:eastAsia="Times New Roman"/>
              </w:rPr>
            </w:pPr>
            <w:r>
              <w:rPr>
                <w:rFonts w:eastAsia="Times New Roman"/>
                <w:color w:val="000000"/>
                <w:sz w:val="18"/>
                <w:szCs w:val="18"/>
              </w:rPr>
              <w:t>282 </w:t>
            </w:r>
          </w:p>
        </w:tc>
        <w:tc>
          <w:tcPr>
            <w:tcW w:w="0" w:type="auto"/>
            <w:shd w:val="clear" w:color="auto" w:fill="CCEEFF"/>
            <w:tcMar>
              <w:top w:w="30" w:type="dxa"/>
              <w:left w:w="0" w:type="dxa"/>
              <w:bottom w:w="30" w:type="dxa"/>
              <w:right w:w="20" w:type="dxa"/>
            </w:tcMar>
            <w:vAlign w:val="center"/>
            <w:hideMark/>
          </w:tcPr>
          <w:p w14:paraId="408DA71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5024AE"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3E9BDC56" w14:textId="77777777" w:rsidR="00000000" w:rsidRDefault="00405D16">
            <w:pPr>
              <w:spacing w:after="100"/>
              <w:jc w:val="right"/>
              <w:rPr>
                <w:rFonts w:eastAsia="Times New Roman"/>
              </w:rPr>
            </w:pPr>
            <w:r>
              <w:rPr>
                <w:rFonts w:eastAsia="Times New Roman"/>
                <w:color w:val="000000"/>
                <w:sz w:val="18"/>
                <w:szCs w:val="18"/>
              </w:rPr>
              <w:t>**</w:t>
            </w:r>
          </w:p>
        </w:tc>
        <w:tc>
          <w:tcPr>
            <w:tcW w:w="0" w:type="auto"/>
            <w:vAlign w:val="center"/>
            <w:hideMark/>
          </w:tcPr>
          <w:p w14:paraId="7C60A0C3" w14:textId="77777777" w:rsidR="00000000" w:rsidRDefault="00405D16">
            <w:pPr>
              <w:spacing w:after="100"/>
              <w:jc w:val="right"/>
              <w:rPr>
                <w:rFonts w:eastAsia="Times New Roman"/>
              </w:rPr>
            </w:pPr>
          </w:p>
        </w:tc>
        <w:tc>
          <w:tcPr>
            <w:tcW w:w="0" w:type="auto"/>
            <w:vAlign w:val="center"/>
            <w:hideMark/>
          </w:tcPr>
          <w:p w14:paraId="22044AA8" w14:textId="77777777" w:rsidR="00000000" w:rsidRDefault="00405D16">
            <w:pPr>
              <w:spacing w:after="100"/>
              <w:rPr>
                <w:rFonts w:eastAsia="Times New Roman"/>
                <w:sz w:val="20"/>
                <w:szCs w:val="20"/>
              </w:rPr>
            </w:pPr>
          </w:p>
        </w:tc>
        <w:tc>
          <w:tcPr>
            <w:tcW w:w="0" w:type="auto"/>
            <w:gridSpan w:val="3"/>
            <w:vAlign w:val="center"/>
            <w:hideMark/>
          </w:tcPr>
          <w:p w14:paraId="19B0E593" w14:textId="77777777" w:rsidR="00000000" w:rsidRDefault="00405D16">
            <w:pPr>
              <w:spacing w:after="100"/>
              <w:rPr>
                <w:rFonts w:eastAsia="Times New Roman"/>
                <w:sz w:val="20"/>
                <w:szCs w:val="20"/>
              </w:rPr>
            </w:pPr>
          </w:p>
        </w:tc>
        <w:tc>
          <w:tcPr>
            <w:tcW w:w="0" w:type="auto"/>
            <w:gridSpan w:val="3"/>
            <w:vAlign w:val="center"/>
            <w:hideMark/>
          </w:tcPr>
          <w:p w14:paraId="32640A60" w14:textId="77777777" w:rsidR="00000000" w:rsidRDefault="00405D16">
            <w:pPr>
              <w:spacing w:after="100"/>
              <w:rPr>
                <w:rFonts w:eastAsia="Times New Roman"/>
                <w:sz w:val="20"/>
                <w:szCs w:val="20"/>
              </w:rPr>
            </w:pPr>
          </w:p>
        </w:tc>
        <w:tc>
          <w:tcPr>
            <w:tcW w:w="0" w:type="auto"/>
            <w:gridSpan w:val="3"/>
            <w:vAlign w:val="center"/>
            <w:hideMark/>
          </w:tcPr>
          <w:p w14:paraId="42EED3C6" w14:textId="77777777" w:rsidR="00000000" w:rsidRDefault="00405D16">
            <w:pPr>
              <w:spacing w:after="100"/>
              <w:rPr>
                <w:rFonts w:eastAsia="Times New Roman"/>
                <w:sz w:val="20"/>
                <w:szCs w:val="20"/>
              </w:rPr>
            </w:pPr>
          </w:p>
        </w:tc>
        <w:tc>
          <w:tcPr>
            <w:tcW w:w="0" w:type="auto"/>
            <w:gridSpan w:val="3"/>
            <w:vAlign w:val="center"/>
            <w:hideMark/>
          </w:tcPr>
          <w:p w14:paraId="5F3F3708" w14:textId="77777777" w:rsidR="00000000" w:rsidRDefault="00405D16">
            <w:pPr>
              <w:spacing w:after="100"/>
              <w:rPr>
                <w:rFonts w:eastAsia="Times New Roman"/>
                <w:sz w:val="20"/>
                <w:szCs w:val="20"/>
              </w:rPr>
            </w:pPr>
          </w:p>
        </w:tc>
      </w:tr>
      <w:tr w:rsidR="00000000" w14:paraId="432F99DC" w14:textId="77777777">
        <w:trPr>
          <w:divId w:val="1942257185"/>
        </w:trPr>
        <w:tc>
          <w:tcPr>
            <w:tcW w:w="0" w:type="auto"/>
            <w:gridSpan w:val="3"/>
            <w:shd w:val="clear" w:color="auto" w:fill="FFFFFF"/>
            <w:tcMar>
              <w:top w:w="30" w:type="dxa"/>
              <w:left w:w="20" w:type="dxa"/>
              <w:bottom w:w="30" w:type="dxa"/>
              <w:right w:w="20" w:type="dxa"/>
            </w:tcMar>
            <w:vAlign w:val="center"/>
            <w:hideMark/>
          </w:tcPr>
          <w:p w14:paraId="0625CF93" w14:textId="77777777" w:rsidR="00000000" w:rsidRDefault="00405D16">
            <w:pPr>
              <w:spacing w:after="100"/>
              <w:rPr>
                <w:rFonts w:eastAsia="Times New Roman"/>
              </w:rPr>
            </w:pPr>
            <w:r>
              <w:rPr>
                <w:rFonts w:eastAsia="Times New Roman"/>
                <w:color w:val="000000"/>
                <w:sz w:val="18"/>
                <w:szCs w:val="18"/>
              </w:rPr>
              <w:t>Total loans, including loans held for sale</w:t>
            </w:r>
          </w:p>
        </w:tc>
        <w:tc>
          <w:tcPr>
            <w:tcW w:w="0" w:type="auto"/>
            <w:gridSpan w:val="3"/>
            <w:shd w:val="clear" w:color="auto" w:fill="FFFFFF"/>
            <w:tcMar>
              <w:top w:w="0" w:type="dxa"/>
              <w:left w:w="20" w:type="dxa"/>
              <w:bottom w:w="0" w:type="dxa"/>
              <w:right w:w="20" w:type="dxa"/>
            </w:tcMar>
            <w:vAlign w:val="center"/>
            <w:hideMark/>
          </w:tcPr>
          <w:p w14:paraId="7398EF39"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D1E6015" w14:textId="77777777" w:rsidR="00000000" w:rsidRDefault="00405D16">
            <w:pPr>
              <w:spacing w:after="100"/>
              <w:jc w:val="right"/>
              <w:rPr>
                <w:rFonts w:eastAsia="Times New Roman"/>
              </w:rPr>
            </w:pPr>
            <w:r>
              <w:rPr>
                <w:rFonts w:eastAsia="Times New Roman"/>
                <w:b/>
                <w:bCs/>
                <w:color w:val="000000"/>
                <w:sz w:val="18"/>
                <w:szCs w:val="18"/>
              </w:rPr>
              <w:t>252,113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158E19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D24CA4"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3D32F08" w14:textId="77777777" w:rsidR="00000000" w:rsidRDefault="00405D16">
            <w:pPr>
              <w:spacing w:after="100"/>
              <w:jc w:val="right"/>
              <w:rPr>
                <w:rFonts w:eastAsia="Times New Roman"/>
              </w:rPr>
            </w:pPr>
            <w:r>
              <w:rPr>
                <w:rFonts w:eastAsia="Times New Roman"/>
                <w:b/>
                <w:bCs/>
                <w:color w:val="000000"/>
                <w:sz w:val="18"/>
                <w:szCs w:val="18"/>
              </w:rPr>
              <w:t>17,812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7C01EA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63960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77E487B" w14:textId="77777777" w:rsidR="00000000" w:rsidRDefault="00405D16">
            <w:pPr>
              <w:spacing w:after="100"/>
              <w:jc w:val="right"/>
              <w:rPr>
                <w:rFonts w:eastAsia="Times New Roman"/>
              </w:rPr>
            </w:pPr>
            <w:r>
              <w:rPr>
                <w:rFonts w:eastAsia="Times New Roman"/>
                <w:b/>
                <w:bCs/>
                <w:color w:val="000000"/>
                <w:sz w:val="18"/>
                <w:szCs w:val="18"/>
              </w:rPr>
              <w:t>9.42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2AF5F4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E77419"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65DB13B" w14:textId="77777777" w:rsidR="00000000" w:rsidRDefault="00405D16">
            <w:pPr>
              <w:spacing w:after="100"/>
              <w:jc w:val="right"/>
              <w:rPr>
                <w:rFonts w:eastAsia="Times New Roman"/>
              </w:rPr>
            </w:pPr>
            <w:r>
              <w:rPr>
                <w:rFonts w:eastAsia="Times New Roman"/>
                <w:color w:val="000000"/>
                <w:sz w:val="18"/>
                <w:szCs w:val="18"/>
              </w:rPr>
              <w:t>256,165 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3650F9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13973B"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59D6C94" w14:textId="77777777" w:rsidR="00000000" w:rsidRDefault="00405D16">
            <w:pPr>
              <w:spacing w:after="100"/>
              <w:jc w:val="right"/>
              <w:rPr>
                <w:rFonts w:eastAsia="Times New Roman"/>
              </w:rPr>
            </w:pPr>
            <w:r>
              <w:rPr>
                <w:rFonts w:eastAsia="Times New Roman"/>
                <w:color w:val="000000"/>
                <w:sz w:val="18"/>
                <w:szCs w:val="18"/>
              </w:rPr>
              <w:t>18,120 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35B41C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F8661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A712358" w14:textId="77777777" w:rsidR="00000000" w:rsidRDefault="00405D16">
            <w:pPr>
              <w:spacing w:after="100"/>
              <w:jc w:val="right"/>
              <w:rPr>
                <w:rFonts w:eastAsia="Times New Roman"/>
              </w:rPr>
            </w:pPr>
            <w:r>
              <w:rPr>
                <w:rFonts w:eastAsia="Times New Roman"/>
                <w:color w:val="000000"/>
                <w:sz w:val="18"/>
                <w:szCs w:val="18"/>
              </w:rPr>
              <w:t>9.43 </w:t>
            </w:r>
          </w:p>
        </w:tc>
        <w:tc>
          <w:tcPr>
            <w:tcW w:w="0" w:type="auto"/>
            <w:shd w:val="clear" w:color="auto" w:fill="FFFFFF"/>
            <w:tcMar>
              <w:top w:w="30" w:type="dxa"/>
              <w:left w:w="0" w:type="dxa"/>
              <w:bottom w:w="30" w:type="dxa"/>
              <w:right w:w="20" w:type="dxa"/>
            </w:tcMar>
            <w:vAlign w:val="center"/>
            <w:hideMark/>
          </w:tcPr>
          <w:p w14:paraId="1165E081" w14:textId="77777777" w:rsidR="00000000" w:rsidRDefault="00405D16">
            <w:pPr>
              <w:spacing w:after="100"/>
              <w:jc w:val="right"/>
              <w:rPr>
                <w:rFonts w:eastAsia="Times New Roman"/>
              </w:rPr>
            </w:pPr>
          </w:p>
        </w:tc>
        <w:tc>
          <w:tcPr>
            <w:tcW w:w="0" w:type="auto"/>
            <w:vAlign w:val="center"/>
            <w:hideMark/>
          </w:tcPr>
          <w:p w14:paraId="0C62802B" w14:textId="77777777" w:rsidR="00000000" w:rsidRDefault="00405D16">
            <w:pPr>
              <w:spacing w:after="100"/>
              <w:jc w:val="right"/>
              <w:rPr>
                <w:rFonts w:eastAsia="Times New Roman"/>
                <w:sz w:val="20"/>
                <w:szCs w:val="20"/>
              </w:rPr>
            </w:pPr>
          </w:p>
        </w:tc>
        <w:tc>
          <w:tcPr>
            <w:tcW w:w="0" w:type="auto"/>
            <w:vAlign w:val="center"/>
            <w:hideMark/>
          </w:tcPr>
          <w:p w14:paraId="39DBBA27" w14:textId="77777777" w:rsidR="00000000" w:rsidRDefault="00405D16">
            <w:pPr>
              <w:spacing w:after="100"/>
              <w:rPr>
                <w:rFonts w:eastAsia="Times New Roman"/>
                <w:sz w:val="20"/>
                <w:szCs w:val="20"/>
              </w:rPr>
            </w:pPr>
          </w:p>
        </w:tc>
        <w:tc>
          <w:tcPr>
            <w:tcW w:w="0" w:type="auto"/>
            <w:gridSpan w:val="3"/>
            <w:vAlign w:val="center"/>
            <w:hideMark/>
          </w:tcPr>
          <w:p w14:paraId="3D813D6A" w14:textId="77777777" w:rsidR="00000000" w:rsidRDefault="00405D16">
            <w:pPr>
              <w:spacing w:after="100"/>
              <w:rPr>
                <w:rFonts w:eastAsia="Times New Roman"/>
                <w:sz w:val="20"/>
                <w:szCs w:val="20"/>
              </w:rPr>
            </w:pPr>
          </w:p>
        </w:tc>
        <w:tc>
          <w:tcPr>
            <w:tcW w:w="0" w:type="auto"/>
            <w:gridSpan w:val="3"/>
            <w:vAlign w:val="center"/>
            <w:hideMark/>
          </w:tcPr>
          <w:p w14:paraId="221DDDC8" w14:textId="77777777" w:rsidR="00000000" w:rsidRDefault="00405D16">
            <w:pPr>
              <w:spacing w:after="100"/>
              <w:rPr>
                <w:rFonts w:eastAsia="Times New Roman"/>
                <w:sz w:val="20"/>
                <w:szCs w:val="20"/>
              </w:rPr>
            </w:pPr>
          </w:p>
        </w:tc>
        <w:tc>
          <w:tcPr>
            <w:tcW w:w="0" w:type="auto"/>
            <w:gridSpan w:val="3"/>
            <w:vAlign w:val="center"/>
            <w:hideMark/>
          </w:tcPr>
          <w:p w14:paraId="6ED20610" w14:textId="77777777" w:rsidR="00000000" w:rsidRDefault="00405D16">
            <w:pPr>
              <w:spacing w:after="100"/>
              <w:rPr>
                <w:rFonts w:eastAsia="Times New Roman"/>
                <w:sz w:val="20"/>
                <w:szCs w:val="20"/>
              </w:rPr>
            </w:pPr>
          </w:p>
        </w:tc>
        <w:tc>
          <w:tcPr>
            <w:tcW w:w="0" w:type="auto"/>
            <w:gridSpan w:val="3"/>
            <w:vAlign w:val="center"/>
            <w:hideMark/>
          </w:tcPr>
          <w:p w14:paraId="0A3F8DCD" w14:textId="77777777" w:rsidR="00000000" w:rsidRDefault="00405D16">
            <w:pPr>
              <w:spacing w:after="100"/>
              <w:rPr>
                <w:rFonts w:eastAsia="Times New Roman"/>
                <w:sz w:val="20"/>
                <w:szCs w:val="20"/>
              </w:rPr>
            </w:pPr>
          </w:p>
        </w:tc>
      </w:tr>
      <w:tr w:rsidR="00000000" w14:paraId="41ED7212" w14:textId="77777777">
        <w:trPr>
          <w:divId w:val="1942257185"/>
        </w:trPr>
        <w:tc>
          <w:tcPr>
            <w:tcW w:w="0" w:type="auto"/>
            <w:gridSpan w:val="3"/>
            <w:shd w:val="clear" w:color="auto" w:fill="CCEEFF"/>
            <w:tcMar>
              <w:top w:w="30" w:type="dxa"/>
              <w:left w:w="20" w:type="dxa"/>
              <w:bottom w:w="30" w:type="dxa"/>
              <w:right w:w="20" w:type="dxa"/>
            </w:tcMar>
            <w:vAlign w:val="center"/>
            <w:hideMark/>
          </w:tcPr>
          <w:p w14:paraId="142E6318" w14:textId="77777777" w:rsidR="00000000" w:rsidRDefault="00405D16">
            <w:pPr>
              <w:spacing w:after="100"/>
              <w:rPr>
                <w:rFonts w:eastAsia="Times New Roman"/>
              </w:rPr>
            </w:pPr>
            <w:r>
              <w:rPr>
                <w:rFonts w:eastAsia="Times New Roman"/>
                <w:color w:val="000000"/>
                <w:sz w:val="18"/>
                <w:szCs w:val="18"/>
              </w:rPr>
              <w:t>Investment securities</w:t>
            </w:r>
          </w:p>
        </w:tc>
        <w:tc>
          <w:tcPr>
            <w:tcW w:w="0" w:type="auto"/>
            <w:gridSpan w:val="3"/>
            <w:shd w:val="clear" w:color="auto" w:fill="CCEEFF"/>
            <w:tcMar>
              <w:top w:w="0" w:type="dxa"/>
              <w:left w:w="20" w:type="dxa"/>
              <w:bottom w:w="0" w:type="dxa"/>
              <w:right w:w="20" w:type="dxa"/>
            </w:tcMar>
            <w:vAlign w:val="center"/>
            <w:hideMark/>
          </w:tcPr>
          <w:p w14:paraId="529C3ED9"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F23EE56" w14:textId="77777777" w:rsidR="00000000" w:rsidRDefault="00405D16">
            <w:pPr>
              <w:spacing w:after="100"/>
              <w:jc w:val="right"/>
              <w:rPr>
                <w:rFonts w:eastAsia="Times New Roman"/>
              </w:rPr>
            </w:pPr>
            <w:r>
              <w:rPr>
                <w:rFonts w:eastAsia="Times New Roman"/>
                <w:b/>
                <w:bCs/>
                <w:color w:val="000000"/>
                <w:sz w:val="18"/>
                <w:szCs w:val="18"/>
              </w:rPr>
              <w:t>99,059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07B3B7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A56FD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FBF7D1E" w14:textId="77777777" w:rsidR="00000000" w:rsidRDefault="00405D16">
            <w:pPr>
              <w:spacing w:after="100"/>
              <w:jc w:val="right"/>
              <w:rPr>
                <w:rFonts w:eastAsia="Times New Roman"/>
              </w:rPr>
            </w:pPr>
            <w:r>
              <w:rPr>
                <w:rFonts w:eastAsia="Times New Roman"/>
                <w:b/>
                <w:bCs/>
                <w:color w:val="000000"/>
                <w:sz w:val="18"/>
                <w:szCs w:val="18"/>
              </w:rPr>
              <w:t>1,078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02FB9B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F4C62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6636943" w14:textId="77777777" w:rsidR="00000000" w:rsidRDefault="00405D16">
            <w:pPr>
              <w:spacing w:after="100"/>
              <w:jc w:val="right"/>
              <w:rPr>
                <w:rFonts w:eastAsia="Times New Roman"/>
              </w:rPr>
            </w:pPr>
            <w:r>
              <w:rPr>
                <w:rFonts w:eastAsia="Times New Roman"/>
                <w:b/>
                <w:bCs/>
                <w:color w:val="000000"/>
                <w:sz w:val="18"/>
                <w:szCs w:val="18"/>
              </w:rPr>
              <w:t>1.45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ECA230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AEAEC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7736C45" w14:textId="77777777" w:rsidR="00000000" w:rsidRDefault="00405D16">
            <w:pPr>
              <w:spacing w:after="100"/>
              <w:jc w:val="right"/>
              <w:rPr>
                <w:rFonts w:eastAsia="Times New Roman"/>
              </w:rPr>
            </w:pPr>
            <w:r>
              <w:rPr>
                <w:rFonts w:eastAsia="Times New Roman"/>
                <w:color w:val="000000"/>
                <w:sz w:val="18"/>
                <w:szCs w:val="18"/>
              </w:rPr>
              <w:t>83,724 </w:t>
            </w:r>
          </w:p>
        </w:tc>
        <w:tc>
          <w:tcPr>
            <w:tcW w:w="0" w:type="auto"/>
            <w:shd w:val="clear" w:color="auto" w:fill="CCEEFF"/>
            <w:tcMar>
              <w:top w:w="30" w:type="dxa"/>
              <w:left w:w="0" w:type="dxa"/>
              <w:bottom w:w="30" w:type="dxa"/>
              <w:right w:w="20" w:type="dxa"/>
            </w:tcMar>
            <w:vAlign w:val="center"/>
            <w:hideMark/>
          </w:tcPr>
          <w:p w14:paraId="320D6F7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798D8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A38674F" w14:textId="77777777" w:rsidR="00000000" w:rsidRDefault="00405D16">
            <w:pPr>
              <w:spacing w:after="100"/>
              <w:jc w:val="right"/>
              <w:rPr>
                <w:rFonts w:eastAsia="Times New Roman"/>
              </w:rPr>
            </w:pPr>
            <w:r>
              <w:rPr>
                <w:rFonts w:eastAsia="Times New Roman"/>
                <w:color w:val="000000"/>
                <w:sz w:val="18"/>
                <w:szCs w:val="18"/>
              </w:rPr>
              <w:t>1,455 </w:t>
            </w:r>
          </w:p>
        </w:tc>
        <w:tc>
          <w:tcPr>
            <w:tcW w:w="0" w:type="auto"/>
            <w:shd w:val="clear" w:color="auto" w:fill="CCEEFF"/>
            <w:tcMar>
              <w:top w:w="30" w:type="dxa"/>
              <w:left w:w="0" w:type="dxa"/>
              <w:bottom w:w="30" w:type="dxa"/>
              <w:right w:w="20" w:type="dxa"/>
            </w:tcMar>
            <w:vAlign w:val="center"/>
            <w:hideMark/>
          </w:tcPr>
          <w:p w14:paraId="60E0430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782AC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B0ECA59" w14:textId="77777777" w:rsidR="00000000" w:rsidRDefault="00405D16">
            <w:pPr>
              <w:spacing w:after="100"/>
              <w:jc w:val="right"/>
              <w:rPr>
                <w:rFonts w:eastAsia="Times New Roman"/>
              </w:rPr>
            </w:pPr>
            <w:r>
              <w:rPr>
                <w:rFonts w:eastAsia="Times New Roman"/>
                <w:color w:val="000000"/>
                <w:sz w:val="18"/>
                <w:szCs w:val="18"/>
              </w:rPr>
              <w:t>2.32 </w:t>
            </w:r>
          </w:p>
        </w:tc>
        <w:tc>
          <w:tcPr>
            <w:tcW w:w="0" w:type="auto"/>
            <w:shd w:val="clear" w:color="auto" w:fill="CCEEFF"/>
            <w:tcMar>
              <w:top w:w="30" w:type="dxa"/>
              <w:left w:w="0" w:type="dxa"/>
              <w:bottom w:w="30" w:type="dxa"/>
              <w:right w:w="20" w:type="dxa"/>
            </w:tcMar>
            <w:vAlign w:val="center"/>
            <w:hideMark/>
          </w:tcPr>
          <w:p w14:paraId="217583F0" w14:textId="77777777" w:rsidR="00000000" w:rsidRDefault="00405D16">
            <w:pPr>
              <w:spacing w:after="100"/>
              <w:jc w:val="right"/>
              <w:rPr>
                <w:rFonts w:eastAsia="Times New Roman"/>
              </w:rPr>
            </w:pPr>
          </w:p>
        </w:tc>
        <w:tc>
          <w:tcPr>
            <w:tcW w:w="0" w:type="auto"/>
            <w:vAlign w:val="center"/>
            <w:hideMark/>
          </w:tcPr>
          <w:p w14:paraId="34534C3B" w14:textId="77777777" w:rsidR="00000000" w:rsidRDefault="00405D16">
            <w:pPr>
              <w:spacing w:after="100"/>
              <w:jc w:val="right"/>
              <w:rPr>
                <w:rFonts w:eastAsia="Times New Roman"/>
                <w:sz w:val="20"/>
                <w:szCs w:val="20"/>
              </w:rPr>
            </w:pPr>
          </w:p>
        </w:tc>
        <w:tc>
          <w:tcPr>
            <w:tcW w:w="0" w:type="auto"/>
            <w:vAlign w:val="center"/>
            <w:hideMark/>
          </w:tcPr>
          <w:p w14:paraId="7AA03631" w14:textId="77777777" w:rsidR="00000000" w:rsidRDefault="00405D16">
            <w:pPr>
              <w:spacing w:after="100"/>
              <w:rPr>
                <w:rFonts w:eastAsia="Times New Roman"/>
                <w:sz w:val="20"/>
                <w:szCs w:val="20"/>
              </w:rPr>
            </w:pPr>
          </w:p>
        </w:tc>
        <w:tc>
          <w:tcPr>
            <w:tcW w:w="0" w:type="auto"/>
            <w:gridSpan w:val="3"/>
            <w:vAlign w:val="center"/>
            <w:hideMark/>
          </w:tcPr>
          <w:p w14:paraId="6F4BEFEE" w14:textId="77777777" w:rsidR="00000000" w:rsidRDefault="00405D16">
            <w:pPr>
              <w:spacing w:after="100"/>
              <w:rPr>
                <w:rFonts w:eastAsia="Times New Roman"/>
                <w:sz w:val="20"/>
                <w:szCs w:val="20"/>
              </w:rPr>
            </w:pPr>
          </w:p>
        </w:tc>
        <w:tc>
          <w:tcPr>
            <w:tcW w:w="0" w:type="auto"/>
            <w:gridSpan w:val="3"/>
            <w:vAlign w:val="center"/>
            <w:hideMark/>
          </w:tcPr>
          <w:p w14:paraId="4F4080A9" w14:textId="77777777" w:rsidR="00000000" w:rsidRDefault="00405D16">
            <w:pPr>
              <w:spacing w:after="100"/>
              <w:rPr>
                <w:rFonts w:eastAsia="Times New Roman"/>
                <w:sz w:val="20"/>
                <w:szCs w:val="20"/>
              </w:rPr>
            </w:pPr>
          </w:p>
        </w:tc>
        <w:tc>
          <w:tcPr>
            <w:tcW w:w="0" w:type="auto"/>
            <w:gridSpan w:val="3"/>
            <w:vAlign w:val="center"/>
            <w:hideMark/>
          </w:tcPr>
          <w:p w14:paraId="7894AF54" w14:textId="77777777" w:rsidR="00000000" w:rsidRDefault="00405D16">
            <w:pPr>
              <w:spacing w:after="100"/>
              <w:rPr>
                <w:rFonts w:eastAsia="Times New Roman"/>
                <w:sz w:val="20"/>
                <w:szCs w:val="20"/>
              </w:rPr>
            </w:pPr>
          </w:p>
        </w:tc>
        <w:tc>
          <w:tcPr>
            <w:tcW w:w="0" w:type="auto"/>
            <w:gridSpan w:val="3"/>
            <w:vAlign w:val="center"/>
            <w:hideMark/>
          </w:tcPr>
          <w:p w14:paraId="7B1724D8" w14:textId="77777777" w:rsidR="00000000" w:rsidRDefault="00405D16">
            <w:pPr>
              <w:spacing w:after="100"/>
              <w:rPr>
                <w:rFonts w:eastAsia="Times New Roman"/>
                <w:sz w:val="20"/>
                <w:szCs w:val="20"/>
              </w:rPr>
            </w:pPr>
          </w:p>
        </w:tc>
      </w:tr>
      <w:tr w:rsidR="00000000" w14:paraId="2735D8DE" w14:textId="77777777">
        <w:trPr>
          <w:divId w:val="1942257185"/>
        </w:trPr>
        <w:tc>
          <w:tcPr>
            <w:tcW w:w="0" w:type="auto"/>
            <w:gridSpan w:val="3"/>
            <w:shd w:val="clear" w:color="auto" w:fill="FFFFFF"/>
            <w:tcMar>
              <w:top w:w="30" w:type="dxa"/>
              <w:left w:w="20" w:type="dxa"/>
              <w:bottom w:w="30" w:type="dxa"/>
              <w:right w:w="20" w:type="dxa"/>
            </w:tcMar>
            <w:vAlign w:val="center"/>
            <w:hideMark/>
          </w:tcPr>
          <w:p w14:paraId="4D3E0344" w14:textId="77777777" w:rsidR="00000000" w:rsidRDefault="00405D16">
            <w:pPr>
              <w:spacing w:after="100"/>
              <w:rPr>
                <w:rFonts w:eastAsia="Times New Roman"/>
              </w:rPr>
            </w:pPr>
            <w:r>
              <w:rPr>
                <w:rFonts w:eastAsia="Times New Roman"/>
                <w:color w:val="000000"/>
                <w:sz w:val="18"/>
                <w:szCs w:val="18"/>
              </w:rPr>
              <w:t>Cash equivalents and other interest-earning assets</w:t>
            </w:r>
          </w:p>
        </w:tc>
        <w:tc>
          <w:tcPr>
            <w:tcW w:w="0" w:type="auto"/>
            <w:gridSpan w:val="3"/>
            <w:shd w:val="clear" w:color="auto" w:fill="FFFFFF"/>
            <w:tcMar>
              <w:top w:w="0" w:type="dxa"/>
              <w:left w:w="20" w:type="dxa"/>
              <w:bottom w:w="0" w:type="dxa"/>
              <w:right w:w="20" w:type="dxa"/>
            </w:tcMar>
            <w:vAlign w:val="center"/>
            <w:hideMark/>
          </w:tcPr>
          <w:p w14:paraId="5F1022AA"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90EC13B" w14:textId="77777777" w:rsidR="00000000" w:rsidRDefault="00405D16">
            <w:pPr>
              <w:spacing w:after="100"/>
              <w:jc w:val="right"/>
              <w:rPr>
                <w:rFonts w:eastAsia="Times New Roman"/>
              </w:rPr>
            </w:pPr>
            <w:r>
              <w:rPr>
                <w:rFonts w:eastAsia="Times New Roman"/>
                <w:b/>
                <w:bCs/>
                <w:color w:val="000000"/>
                <w:sz w:val="18"/>
                <w:szCs w:val="18"/>
              </w:rPr>
              <w:t>37,648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617B66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BC2E5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4B3CB7" w14:textId="77777777" w:rsidR="00000000" w:rsidRDefault="00405D16">
            <w:pPr>
              <w:spacing w:after="100"/>
              <w:jc w:val="right"/>
              <w:rPr>
                <w:rFonts w:eastAsia="Times New Roman"/>
              </w:rPr>
            </w:pPr>
            <w:r>
              <w:rPr>
                <w:rFonts w:eastAsia="Times New Roman"/>
                <w:b/>
                <w:bCs/>
                <w:color w:val="000000"/>
                <w:sz w:val="18"/>
                <w:szCs w:val="18"/>
              </w:rPr>
              <w:t>48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D65024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15812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07F4A8" w14:textId="77777777" w:rsidR="00000000" w:rsidRDefault="00405D16">
            <w:pPr>
              <w:spacing w:after="100"/>
              <w:jc w:val="right"/>
              <w:rPr>
                <w:rFonts w:eastAsia="Times New Roman"/>
              </w:rPr>
            </w:pPr>
            <w:r>
              <w:rPr>
                <w:rFonts w:eastAsia="Times New Roman"/>
                <w:b/>
                <w:bCs/>
                <w:color w:val="000000"/>
                <w:sz w:val="18"/>
                <w:szCs w:val="18"/>
              </w:rPr>
              <w:t>0.17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F419BE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06188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BE89ED5" w14:textId="77777777" w:rsidR="00000000" w:rsidRDefault="00405D16">
            <w:pPr>
              <w:spacing w:after="100"/>
              <w:jc w:val="right"/>
              <w:rPr>
                <w:rFonts w:eastAsia="Times New Roman"/>
              </w:rPr>
            </w:pPr>
            <w:r>
              <w:rPr>
                <w:rFonts w:eastAsia="Times New Roman"/>
                <w:color w:val="000000"/>
                <w:sz w:val="18"/>
                <w:szCs w:val="18"/>
              </w:rPr>
              <w:t>35,152 </w:t>
            </w:r>
          </w:p>
        </w:tc>
        <w:tc>
          <w:tcPr>
            <w:tcW w:w="0" w:type="auto"/>
            <w:shd w:val="clear" w:color="auto" w:fill="FFFFFF"/>
            <w:tcMar>
              <w:top w:w="30" w:type="dxa"/>
              <w:left w:w="0" w:type="dxa"/>
              <w:bottom w:w="30" w:type="dxa"/>
              <w:right w:w="20" w:type="dxa"/>
            </w:tcMar>
            <w:vAlign w:val="center"/>
            <w:hideMark/>
          </w:tcPr>
          <w:p w14:paraId="1622216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6845F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950A42A" w14:textId="77777777" w:rsidR="00000000" w:rsidRDefault="00405D16">
            <w:pPr>
              <w:spacing w:after="100"/>
              <w:jc w:val="right"/>
              <w:rPr>
                <w:rFonts w:eastAsia="Times New Roman"/>
              </w:rPr>
            </w:pPr>
            <w:r>
              <w:rPr>
                <w:rFonts w:eastAsia="Times New Roman"/>
                <w:color w:val="000000"/>
                <w:sz w:val="18"/>
                <w:szCs w:val="18"/>
              </w:rPr>
              <w:t>67 </w:t>
            </w:r>
          </w:p>
        </w:tc>
        <w:tc>
          <w:tcPr>
            <w:tcW w:w="0" w:type="auto"/>
            <w:shd w:val="clear" w:color="auto" w:fill="FFFFFF"/>
            <w:tcMar>
              <w:top w:w="30" w:type="dxa"/>
              <w:left w:w="0" w:type="dxa"/>
              <w:bottom w:w="30" w:type="dxa"/>
              <w:right w:w="20" w:type="dxa"/>
            </w:tcMar>
            <w:vAlign w:val="center"/>
            <w:hideMark/>
          </w:tcPr>
          <w:p w14:paraId="05B6C92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4EEA1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E76DB1A" w14:textId="77777777" w:rsidR="00000000" w:rsidRDefault="00405D16">
            <w:pPr>
              <w:spacing w:after="100"/>
              <w:jc w:val="right"/>
              <w:rPr>
                <w:rFonts w:eastAsia="Times New Roman"/>
              </w:rPr>
            </w:pPr>
            <w:r>
              <w:rPr>
                <w:rFonts w:eastAsia="Times New Roman"/>
                <w:color w:val="000000"/>
                <w:sz w:val="18"/>
                <w:szCs w:val="18"/>
              </w:rPr>
              <w:t>0.25 </w:t>
            </w:r>
          </w:p>
        </w:tc>
        <w:tc>
          <w:tcPr>
            <w:tcW w:w="0" w:type="auto"/>
            <w:shd w:val="clear" w:color="auto" w:fill="FFFFFF"/>
            <w:tcMar>
              <w:top w:w="30" w:type="dxa"/>
              <w:left w:w="0" w:type="dxa"/>
              <w:bottom w:w="30" w:type="dxa"/>
              <w:right w:w="20" w:type="dxa"/>
            </w:tcMar>
            <w:vAlign w:val="center"/>
            <w:hideMark/>
          </w:tcPr>
          <w:p w14:paraId="30C06C7B" w14:textId="77777777" w:rsidR="00000000" w:rsidRDefault="00405D16">
            <w:pPr>
              <w:spacing w:after="100"/>
              <w:jc w:val="right"/>
              <w:rPr>
                <w:rFonts w:eastAsia="Times New Roman"/>
              </w:rPr>
            </w:pPr>
          </w:p>
        </w:tc>
        <w:tc>
          <w:tcPr>
            <w:tcW w:w="0" w:type="auto"/>
            <w:vAlign w:val="center"/>
            <w:hideMark/>
          </w:tcPr>
          <w:p w14:paraId="610E8439" w14:textId="77777777" w:rsidR="00000000" w:rsidRDefault="00405D16">
            <w:pPr>
              <w:spacing w:after="100"/>
              <w:jc w:val="right"/>
              <w:rPr>
                <w:rFonts w:eastAsia="Times New Roman"/>
                <w:sz w:val="20"/>
                <w:szCs w:val="20"/>
              </w:rPr>
            </w:pPr>
          </w:p>
        </w:tc>
        <w:tc>
          <w:tcPr>
            <w:tcW w:w="0" w:type="auto"/>
            <w:vAlign w:val="center"/>
            <w:hideMark/>
          </w:tcPr>
          <w:p w14:paraId="04F35ADF" w14:textId="77777777" w:rsidR="00000000" w:rsidRDefault="00405D16">
            <w:pPr>
              <w:spacing w:after="100"/>
              <w:rPr>
                <w:rFonts w:eastAsia="Times New Roman"/>
                <w:sz w:val="20"/>
                <w:szCs w:val="20"/>
              </w:rPr>
            </w:pPr>
          </w:p>
        </w:tc>
        <w:tc>
          <w:tcPr>
            <w:tcW w:w="0" w:type="auto"/>
            <w:gridSpan w:val="3"/>
            <w:vAlign w:val="center"/>
            <w:hideMark/>
          </w:tcPr>
          <w:p w14:paraId="06F1E087" w14:textId="77777777" w:rsidR="00000000" w:rsidRDefault="00405D16">
            <w:pPr>
              <w:spacing w:after="100"/>
              <w:rPr>
                <w:rFonts w:eastAsia="Times New Roman"/>
                <w:sz w:val="20"/>
                <w:szCs w:val="20"/>
              </w:rPr>
            </w:pPr>
          </w:p>
        </w:tc>
        <w:tc>
          <w:tcPr>
            <w:tcW w:w="0" w:type="auto"/>
            <w:gridSpan w:val="3"/>
            <w:vAlign w:val="center"/>
            <w:hideMark/>
          </w:tcPr>
          <w:p w14:paraId="083F4169" w14:textId="77777777" w:rsidR="00000000" w:rsidRDefault="00405D16">
            <w:pPr>
              <w:spacing w:after="100"/>
              <w:rPr>
                <w:rFonts w:eastAsia="Times New Roman"/>
                <w:sz w:val="20"/>
                <w:szCs w:val="20"/>
              </w:rPr>
            </w:pPr>
          </w:p>
        </w:tc>
        <w:tc>
          <w:tcPr>
            <w:tcW w:w="0" w:type="auto"/>
            <w:gridSpan w:val="3"/>
            <w:vAlign w:val="center"/>
            <w:hideMark/>
          </w:tcPr>
          <w:p w14:paraId="7DBD0C9E" w14:textId="77777777" w:rsidR="00000000" w:rsidRDefault="00405D16">
            <w:pPr>
              <w:spacing w:after="100"/>
              <w:rPr>
                <w:rFonts w:eastAsia="Times New Roman"/>
                <w:sz w:val="20"/>
                <w:szCs w:val="20"/>
              </w:rPr>
            </w:pPr>
          </w:p>
        </w:tc>
        <w:tc>
          <w:tcPr>
            <w:tcW w:w="0" w:type="auto"/>
            <w:gridSpan w:val="3"/>
            <w:vAlign w:val="center"/>
            <w:hideMark/>
          </w:tcPr>
          <w:p w14:paraId="589A016F" w14:textId="77777777" w:rsidR="00000000" w:rsidRDefault="00405D16">
            <w:pPr>
              <w:spacing w:after="100"/>
              <w:rPr>
                <w:rFonts w:eastAsia="Times New Roman"/>
                <w:sz w:val="20"/>
                <w:szCs w:val="20"/>
              </w:rPr>
            </w:pPr>
          </w:p>
        </w:tc>
      </w:tr>
      <w:tr w:rsidR="00000000" w14:paraId="5C5E0944" w14:textId="77777777">
        <w:trPr>
          <w:divId w:val="1942257185"/>
        </w:trPr>
        <w:tc>
          <w:tcPr>
            <w:tcW w:w="0" w:type="auto"/>
            <w:gridSpan w:val="3"/>
            <w:shd w:val="clear" w:color="auto" w:fill="CCEEFF"/>
            <w:tcMar>
              <w:top w:w="30" w:type="dxa"/>
              <w:left w:w="20" w:type="dxa"/>
              <w:bottom w:w="30" w:type="dxa"/>
              <w:right w:w="20" w:type="dxa"/>
            </w:tcMar>
            <w:vAlign w:val="center"/>
            <w:hideMark/>
          </w:tcPr>
          <w:p w14:paraId="57CD7272" w14:textId="77777777" w:rsidR="00000000" w:rsidRDefault="00405D16">
            <w:pPr>
              <w:spacing w:after="100"/>
              <w:rPr>
                <w:rFonts w:eastAsia="Times New Roman"/>
              </w:rPr>
            </w:pPr>
            <w:r>
              <w:rPr>
                <w:rFonts w:eastAsia="Times New Roman"/>
                <w:color w:val="000000"/>
                <w:sz w:val="18"/>
                <w:szCs w:val="18"/>
              </w:rPr>
              <w:t>Total interest-earning assets</w:t>
            </w:r>
          </w:p>
        </w:tc>
        <w:tc>
          <w:tcPr>
            <w:tcW w:w="0" w:type="auto"/>
            <w:gridSpan w:val="3"/>
            <w:shd w:val="clear" w:color="auto" w:fill="CCEEFF"/>
            <w:tcMar>
              <w:top w:w="0" w:type="dxa"/>
              <w:left w:w="20" w:type="dxa"/>
              <w:bottom w:w="0" w:type="dxa"/>
              <w:right w:w="20" w:type="dxa"/>
            </w:tcMar>
            <w:vAlign w:val="center"/>
            <w:hideMark/>
          </w:tcPr>
          <w:p w14:paraId="7FAC6949"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450089D" w14:textId="77777777" w:rsidR="00000000" w:rsidRDefault="00405D16">
            <w:pPr>
              <w:spacing w:after="100"/>
              <w:jc w:val="right"/>
              <w:rPr>
                <w:rFonts w:eastAsia="Times New Roman"/>
              </w:rPr>
            </w:pPr>
            <w:r>
              <w:rPr>
                <w:rFonts w:eastAsia="Times New Roman"/>
                <w:b/>
                <w:bCs/>
                <w:color w:val="000000"/>
                <w:sz w:val="18"/>
                <w:szCs w:val="18"/>
              </w:rPr>
              <w:t>388,820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D67228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A3CD4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F065CBB" w14:textId="77777777" w:rsidR="00000000" w:rsidRDefault="00405D16">
            <w:pPr>
              <w:spacing w:after="100"/>
              <w:jc w:val="right"/>
              <w:rPr>
                <w:rFonts w:eastAsia="Times New Roman"/>
              </w:rPr>
            </w:pPr>
            <w:r>
              <w:rPr>
                <w:rFonts w:eastAsia="Times New Roman"/>
                <w:b/>
                <w:bCs/>
                <w:color w:val="000000"/>
                <w:sz w:val="18"/>
                <w:szCs w:val="18"/>
              </w:rPr>
              <w:t>18,938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220402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4A30A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B391C48" w14:textId="77777777" w:rsidR="00000000" w:rsidRDefault="00405D16">
            <w:pPr>
              <w:spacing w:after="100"/>
              <w:jc w:val="right"/>
              <w:rPr>
                <w:rFonts w:eastAsia="Times New Roman"/>
              </w:rPr>
            </w:pPr>
            <w:r>
              <w:rPr>
                <w:rFonts w:eastAsia="Times New Roman"/>
                <w:b/>
                <w:bCs/>
                <w:color w:val="000000"/>
                <w:sz w:val="18"/>
                <w:szCs w:val="18"/>
              </w:rPr>
              <w:t>6.49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8FED70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8C6F28"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D9100D0" w14:textId="77777777" w:rsidR="00000000" w:rsidRDefault="00405D16">
            <w:pPr>
              <w:spacing w:after="100"/>
              <w:jc w:val="right"/>
              <w:rPr>
                <w:rFonts w:eastAsia="Times New Roman"/>
              </w:rPr>
            </w:pPr>
            <w:r>
              <w:rPr>
                <w:rFonts w:eastAsia="Times New Roman"/>
                <w:color w:val="000000"/>
                <w:sz w:val="18"/>
                <w:szCs w:val="18"/>
              </w:rPr>
              <w:t>375,041 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ED8F6A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7ACB91"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5E05948" w14:textId="77777777" w:rsidR="00000000" w:rsidRDefault="00405D16">
            <w:pPr>
              <w:spacing w:after="100"/>
              <w:jc w:val="right"/>
              <w:rPr>
                <w:rFonts w:eastAsia="Times New Roman"/>
              </w:rPr>
            </w:pPr>
            <w:r>
              <w:rPr>
                <w:rFonts w:eastAsia="Times New Roman"/>
                <w:color w:val="000000"/>
                <w:sz w:val="18"/>
                <w:szCs w:val="18"/>
              </w:rPr>
              <w:t>19,642 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ACE16A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486D1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88E1CF2" w14:textId="77777777" w:rsidR="00000000" w:rsidRDefault="00405D16">
            <w:pPr>
              <w:spacing w:after="100"/>
              <w:jc w:val="right"/>
              <w:rPr>
                <w:rFonts w:eastAsia="Times New Roman"/>
              </w:rPr>
            </w:pPr>
            <w:r>
              <w:rPr>
                <w:rFonts w:eastAsia="Times New Roman"/>
                <w:color w:val="000000"/>
                <w:sz w:val="18"/>
                <w:szCs w:val="18"/>
              </w:rPr>
              <w:t>6.98 </w:t>
            </w:r>
          </w:p>
        </w:tc>
        <w:tc>
          <w:tcPr>
            <w:tcW w:w="0" w:type="auto"/>
            <w:shd w:val="clear" w:color="auto" w:fill="CCEEFF"/>
            <w:tcMar>
              <w:top w:w="30" w:type="dxa"/>
              <w:left w:w="0" w:type="dxa"/>
              <w:bottom w:w="30" w:type="dxa"/>
              <w:right w:w="20" w:type="dxa"/>
            </w:tcMar>
            <w:vAlign w:val="center"/>
            <w:hideMark/>
          </w:tcPr>
          <w:p w14:paraId="1EF920B2" w14:textId="77777777" w:rsidR="00000000" w:rsidRDefault="00405D16">
            <w:pPr>
              <w:spacing w:after="100"/>
              <w:jc w:val="right"/>
              <w:rPr>
                <w:rFonts w:eastAsia="Times New Roman"/>
              </w:rPr>
            </w:pPr>
          </w:p>
        </w:tc>
        <w:tc>
          <w:tcPr>
            <w:tcW w:w="0" w:type="auto"/>
            <w:vAlign w:val="center"/>
            <w:hideMark/>
          </w:tcPr>
          <w:p w14:paraId="566809A8" w14:textId="77777777" w:rsidR="00000000" w:rsidRDefault="00405D16">
            <w:pPr>
              <w:spacing w:after="100"/>
              <w:jc w:val="right"/>
              <w:rPr>
                <w:rFonts w:eastAsia="Times New Roman"/>
                <w:sz w:val="20"/>
                <w:szCs w:val="20"/>
              </w:rPr>
            </w:pPr>
          </w:p>
        </w:tc>
        <w:tc>
          <w:tcPr>
            <w:tcW w:w="0" w:type="auto"/>
            <w:vAlign w:val="center"/>
            <w:hideMark/>
          </w:tcPr>
          <w:p w14:paraId="70474653" w14:textId="77777777" w:rsidR="00000000" w:rsidRDefault="00405D16">
            <w:pPr>
              <w:spacing w:after="100"/>
              <w:rPr>
                <w:rFonts w:eastAsia="Times New Roman"/>
                <w:sz w:val="20"/>
                <w:szCs w:val="20"/>
              </w:rPr>
            </w:pPr>
          </w:p>
        </w:tc>
        <w:tc>
          <w:tcPr>
            <w:tcW w:w="0" w:type="auto"/>
            <w:gridSpan w:val="3"/>
            <w:vAlign w:val="center"/>
            <w:hideMark/>
          </w:tcPr>
          <w:p w14:paraId="7961C540" w14:textId="77777777" w:rsidR="00000000" w:rsidRDefault="00405D16">
            <w:pPr>
              <w:spacing w:after="100"/>
              <w:rPr>
                <w:rFonts w:eastAsia="Times New Roman"/>
                <w:sz w:val="20"/>
                <w:szCs w:val="20"/>
              </w:rPr>
            </w:pPr>
          </w:p>
        </w:tc>
        <w:tc>
          <w:tcPr>
            <w:tcW w:w="0" w:type="auto"/>
            <w:gridSpan w:val="3"/>
            <w:vAlign w:val="center"/>
            <w:hideMark/>
          </w:tcPr>
          <w:p w14:paraId="36D9260E" w14:textId="77777777" w:rsidR="00000000" w:rsidRDefault="00405D16">
            <w:pPr>
              <w:spacing w:after="100"/>
              <w:rPr>
                <w:rFonts w:eastAsia="Times New Roman"/>
                <w:sz w:val="20"/>
                <w:szCs w:val="20"/>
              </w:rPr>
            </w:pPr>
          </w:p>
        </w:tc>
        <w:tc>
          <w:tcPr>
            <w:tcW w:w="0" w:type="auto"/>
            <w:gridSpan w:val="3"/>
            <w:vAlign w:val="center"/>
            <w:hideMark/>
          </w:tcPr>
          <w:p w14:paraId="4395C007" w14:textId="77777777" w:rsidR="00000000" w:rsidRDefault="00405D16">
            <w:pPr>
              <w:spacing w:after="100"/>
              <w:rPr>
                <w:rFonts w:eastAsia="Times New Roman"/>
                <w:sz w:val="20"/>
                <w:szCs w:val="20"/>
              </w:rPr>
            </w:pPr>
          </w:p>
        </w:tc>
        <w:tc>
          <w:tcPr>
            <w:tcW w:w="0" w:type="auto"/>
            <w:gridSpan w:val="3"/>
            <w:vAlign w:val="center"/>
            <w:hideMark/>
          </w:tcPr>
          <w:p w14:paraId="62F49752" w14:textId="77777777" w:rsidR="00000000" w:rsidRDefault="00405D16">
            <w:pPr>
              <w:spacing w:after="100"/>
              <w:rPr>
                <w:rFonts w:eastAsia="Times New Roman"/>
                <w:sz w:val="20"/>
                <w:szCs w:val="20"/>
              </w:rPr>
            </w:pPr>
          </w:p>
        </w:tc>
      </w:tr>
      <w:tr w:rsidR="00000000" w14:paraId="4E65CC73" w14:textId="77777777">
        <w:trPr>
          <w:divId w:val="1942257185"/>
        </w:trPr>
        <w:tc>
          <w:tcPr>
            <w:tcW w:w="0" w:type="auto"/>
            <w:gridSpan w:val="3"/>
            <w:shd w:val="clear" w:color="auto" w:fill="FFFFFF"/>
            <w:tcMar>
              <w:top w:w="30" w:type="dxa"/>
              <w:left w:w="20" w:type="dxa"/>
              <w:bottom w:w="30" w:type="dxa"/>
              <w:right w:w="20" w:type="dxa"/>
            </w:tcMar>
            <w:vAlign w:val="center"/>
            <w:hideMark/>
          </w:tcPr>
          <w:p w14:paraId="1E9665CC" w14:textId="77777777" w:rsidR="00000000" w:rsidRDefault="00405D16">
            <w:pPr>
              <w:spacing w:after="100"/>
              <w:rPr>
                <w:rFonts w:eastAsia="Times New Roman"/>
              </w:rPr>
            </w:pPr>
            <w:r>
              <w:rPr>
                <w:rFonts w:eastAsia="Times New Roman"/>
                <w:color w:val="000000"/>
                <w:sz w:val="18"/>
                <w:szCs w:val="18"/>
              </w:rPr>
              <w:t>Cash and due from banks</w:t>
            </w:r>
          </w:p>
        </w:tc>
        <w:tc>
          <w:tcPr>
            <w:tcW w:w="0" w:type="auto"/>
            <w:gridSpan w:val="3"/>
            <w:shd w:val="clear" w:color="auto" w:fill="FFFFFF"/>
            <w:tcMar>
              <w:top w:w="0" w:type="dxa"/>
              <w:left w:w="20" w:type="dxa"/>
              <w:bottom w:w="0" w:type="dxa"/>
              <w:right w:w="20" w:type="dxa"/>
            </w:tcMar>
            <w:vAlign w:val="center"/>
            <w:hideMark/>
          </w:tcPr>
          <w:p w14:paraId="0ACC12C3"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1F87989" w14:textId="77777777" w:rsidR="00000000" w:rsidRDefault="00405D16">
            <w:pPr>
              <w:spacing w:after="100"/>
              <w:jc w:val="right"/>
              <w:rPr>
                <w:rFonts w:eastAsia="Times New Roman"/>
              </w:rPr>
            </w:pPr>
            <w:r>
              <w:rPr>
                <w:rFonts w:eastAsia="Times New Roman"/>
                <w:b/>
                <w:bCs/>
                <w:color w:val="000000"/>
                <w:sz w:val="18"/>
                <w:szCs w:val="18"/>
              </w:rPr>
              <w:t>5,300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45B6D8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8608C6" w14:textId="77777777" w:rsidR="00000000" w:rsidRDefault="00405D16">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B0B4BE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6BAAB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804E0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3F04F7" w14:textId="77777777" w:rsidR="00000000" w:rsidRDefault="00405D16">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9AE5312" w14:textId="77777777" w:rsidR="00000000" w:rsidRDefault="00405D16">
            <w:pPr>
              <w:spacing w:after="100"/>
              <w:jc w:val="right"/>
              <w:rPr>
                <w:rFonts w:eastAsia="Times New Roman"/>
              </w:rPr>
            </w:pPr>
            <w:r>
              <w:rPr>
                <w:rFonts w:eastAsia="Times New Roman"/>
                <w:color w:val="000000"/>
                <w:sz w:val="18"/>
                <w:szCs w:val="18"/>
              </w:rPr>
              <w:t>4,913 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FB59D2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59A853" w14:textId="77777777" w:rsidR="00000000" w:rsidRDefault="00405D16">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B9B278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47784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DDEB4D" w14:textId="77777777" w:rsidR="00000000" w:rsidRDefault="00405D16">
            <w:pPr>
              <w:spacing w:after="100"/>
              <w:rPr>
                <w:rFonts w:eastAsia="Times New Roman"/>
                <w:sz w:val="20"/>
                <w:szCs w:val="20"/>
              </w:rPr>
            </w:pPr>
          </w:p>
        </w:tc>
        <w:tc>
          <w:tcPr>
            <w:tcW w:w="0" w:type="auto"/>
            <w:vAlign w:val="center"/>
            <w:hideMark/>
          </w:tcPr>
          <w:p w14:paraId="3698A2BE" w14:textId="77777777" w:rsidR="00000000" w:rsidRDefault="00405D16">
            <w:pPr>
              <w:spacing w:after="100"/>
              <w:rPr>
                <w:rFonts w:eastAsia="Times New Roman"/>
                <w:sz w:val="20"/>
                <w:szCs w:val="20"/>
              </w:rPr>
            </w:pPr>
          </w:p>
        </w:tc>
        <w:tc>
          <w:tcPr>
            <w:tcW w:w="0" w:type="auto"/>
            <w:vAlign w:val="center"/>
            <w:hideMark/>
          </w:tcPr>
          <w:p w14:paraId="18A82E97" w14:textId="77777777" w:rsidR="00000000" w:rsidRDefault="00405D16">
            <w:pPr>
              <w:spacing w:after="100"/>
              <w:rPr>
                <w:rFonts w:eastAsia="Times New Roman"/>
                <w:sz w:val="20"/>
                <w:szCs w:val="20"/>
              </w:rPr>
            </w:pPr>
          </w:p>
        </w:tc>
        <w:tc>
          <w:tcPr>
            <w:tcW w:w="0" w:type="auto"/>
            <w:gridSpan w:val="3"/>
            <w:vAlign w:val="center"/>
            <w:hideMark/>
          </w:tcPr>
          <w:p w14:paraId="071008FC" w14:textId="77777777" w:rsidR="00000000" w:rsidRDefault="00405D16">
            <w:pPr>
              <w:spacing w:after="100"/>
              <w:rPr>
                <w:rFonts w:eastAsia="Times New Roman"/>
                <w:sz w:val="20"/>
                <w:szCs w:val="20"/>
              </w:rPr>
            </w:pPr>
          </w:p>
        </w:tc>
        <w:tc>
          <w:tcPr>
            <w:tcW w:w="0" w:type="auto"/>
            <w:gridSpan w:val="3"/>
            <w:vAlign w:val="center"/>
            <w:hideMark/>
          </w:tcPr>
          <w:p w14:paraId="0D3572E2" w14:textId="77777777" w:rsidR="00000000" w:rsidRDefault="00405D16">
            <w:pPr>
              <w:spacing w:after="100"/>
              <w:rPr>
                <w:rFonts w:eastAsia="Times New Roman"/>
                <w:sz w:val="20"/>
                <w:szCs w:val="20"/>
              </w:rPr>
            </w:pPr>
          </w:p>
        </w:tc>
        <w:tc>
          <w:tcPr>
            <w:tcW w:w="0" w:type="auto"/>
            <w:gridSpan w:val="3"/>
            <w:vAlign w:val="center"/>
            <w:hideMark/>
          </w:tcPr>
          <w:p w14:paraId="5684F894" w14:textId="77777777" w:rsidR="00000000" w:rsidRDefault="00405D16">
            <w:pPr>
              <w:spacing w:after="100"/>
              <w:rPr>
                <w:rFonts w:eastAsia="Times New Roman"/>
                <w:sz w:val="20"/>
                <w:szCs w:val="20"/>
              </w:rPr>
            </w:pPr>
          </w:p>
        </w:tc>
        <w:tc>
          <w:tcPr>
            <w:tcW w:w="0" w:type="auto"/>
            <w:gridSpan w:val="3"/>
            <w:vAlign w:val="center"/>
            <w:hideMark/>
          </w:tcPr>
          <w:p w14:paraId="4641339C" w14:textId="77777777" w:rsidR="00000000" w:rsidRDefault="00405D16">
            <w:pPr>
              <w:spacing w:after="100"/>
              <w:rPr>
                <w:rFonts w:eastAsia="Times New Roman"/>
                <w:sz w:val="20"/>
                <w:szCs w:val="20"/>
              </w:rPr>
            </w:pPr>
          </w:p>
        </w:tc>
      </w:tr>
      <w:tr w:rsidR="00000000" w14:paraId="0709E564" w14:textId="77777777">
        <w:trPr>
          <w:divId w:val="1942257185"/>
        </w:trPr>
        <w:tc>
          <w:tcPr>
            <w:tcW w:w="0" w:type="auto"/>
            <w:gridSpan w:val="3"/>
            <w:shd w:val="clear" w:color="auto" w:fill="CCEEFF"/>
            <w:tcMar>
              <w:top w:w="30" w:type="dxa"/>
              <w:left w:w="20" w:type="dxa"/>
              <w:bottom w:w="30" w:type="dxa"/>
              <w:right w:w="20" w:type="dxa"/>
            </w:tcMar>
            <w:vAlign w:val="center"/>
            <w:hideMark/>
          </w:tcPr>
          <w:p w14:paraId="32613D62" w14:textId="77777777" w:rsidR="00000000" w:rsidRDefault="00405D16">
            <w:pPr>
              <w:spacing w:after="100"/>
              <w:rPr>
                <w:rFonts w:eastAsia="Times New Roman"/>
              </w:rPr>
            </w:pPr>
            <w:r>
              <w:rPr>
                <w:rFonts w:eastAsia="Times New Roman"/>
                <w:color w:val="000000"/>
                <w:sz w:val="18"/>
                <w:szCs w:val="18"/>
              </w:rPr>
              <w:t>Allowance for credit losses</w:t>
            </w:r>
          </w:p>
        </w:tc>
        <w:tc>
          <w:tcPr>
            <w:tcW w:w="0" w:type="auto"/>
            <w:gridSpan w:val="3"/>
            <w:shd w:val="clear" w:color="auto" w:fill="CCEEFF"/>
            <w:tcMar>
              <w:top w:w="0" w:type="dxa"/>
              <w:left w:w="20" w:type="dxa"/>
              <w:bottom w:w="0" w:type="dxa"/>
              <w:right w:w="20" w:type="dxa"/>
            </w:tcMar>
            <w:vAlign w:val="center"/>
            <w:hideMark/>
          </w:tcPr>
          <w:p w14:paraId="577C97C4"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1D718C3" w14:textId="77777777" w:rsidR="00000000" w:rsidRDefault="00405D16">
            <w:pPr>
              <w:spacing w:after="100"/>
              <w:jc w:val="right"/>
              <w:rPr>
                <w:rFonts w:eastAsia="Times New Roman"/>
              </w:rPr>
            </w:pPr>
            <w:r>
              <w:rPr>
                <w:rFonts w:eastAsia="Times New Roman"/>
                <w:b/>
                <w:bCs/>
                <w:color w:val="000000"/>
                <w:sz w:val="18"/>
                <w:szCs w:val="18"/>
              </w:rPr>
              <w:t>(13,954)</w:t>
            </w:r>
          </w:p>
        </w:tc>
        <w:tc>
          <w:tcPr>
            <w:tcW w:w="0" w:type="auto"/>
            <w:shd w:val="clear" w:color="auto" w:fill="CCEEFF"/>
            <w:tcMar>
              <w:top w:w="30" w:type="dxa"/>
              <w:left w:w="0" w:type="dxa"/>
              <w:bottom w:w="30" w:type="dxa"/>
              <w:right w:w="20" w:type="dxa"/>
            </w:tcMar>
            <w:vAlign w:val="center"/>
            <w:hideMark/>
          </w:tcPr>
          <w:p w14:paraId="13DDD38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08779F" w14:textId="77777777" w:rsidR="00000000" w:rsidRDefault="00405D1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E1F49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7118E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D60E4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EF370C"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11FC578" w14:textId="77777777" w:rsidR="00000000" w:rsidRDefault="00405D16">
            <w:pPr>
              <w:spacing w:after="100"/>
              <w:jc w:val="right"/>
              <w:rPr>
                <w:rFonts w:eastAsia="Times New Roman"/>
              </w:rPr>
            </w:pPr>
            <w:r>
              <w:rPr>
                <w:rFonts w:eastAsia="Times New Roman"/>
                <w:color w:val="000000"/>
                <w:sz w:val="18"/>
                <w:szCs w:val="18"/>
              </w:rPr>
              <w:t>(13,796)</w:t>
            </w:r>
          </w:p>
        </w:tc>
        <w:tc>
          <w:tcPr>
            <w:tcW w:w="0" w:type="auto"/>
            <w:shd w:val="clear" w:color="auto" w:fill="CCEEFF"/>
            <w:tcMar>
              <w:top w:w="30" w:type="dxa"/>
              <w:left w:w="0" w:type="dxa"/>
              <w:bottom w:w="30" w:type="dxa"/>
              <w:right w:w="20" w:type="dxa"/>
            </w:tcMar>
            <w:vAlign w:val="center"/>
            <w:hideMark/>
          </w:tcPr>
          <w:p w14:paraId="3AE734A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DCD7DE" w14:textId="77777777" w:rsidR="00000000" w:rsidRDefault="00405D1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52511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FDB95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BC44A6" w14:textId="77777777" w:rsidR="00000000" w:rsidRDefault="00405D16">
            <w:pPr>
              <w:spacing w:after="100"/>
              <w:rPr>
                <w:rFonts w:eastAsia="Times New Roman"/>
                <w:sz w:val="20"/>
                <w:szCs w:val="20"/>
              </w:rPr>
            </w:pPr>
          </w:p>
        </w:tc>
        <w:tc>
          <w:tcPr>
            <w:tcW w:w="0" w:type="auto"/>
            <w:vAlign w:val="center"/>
            <w:hideMark/>
          </w:tcPr>
          <w:p w14:paraId="52A292C8" w14:textId="77777777" w:rsidR="00000000" w:rsidRDefault="00405D16">
            <w:pPr>
              <w:spacing w:after="100"/>
              <w:rPr>
                <w:rFonts w:eastAsia="Times New Roman"/>
                <w:sz w:val="20"/>
                <w:szCs w:val="20"/>
              </w:rPr>
            </w:pPr>
          </w:p>
        </w:tc>
        <w:tc>
          <w:tcPr>
            <w:tcW w:w="0" w:type="auto"/>
            <w:vAlign w:val="center"/>
            <w:hideMark/>
          </w:tcPr>
          <w:p w14:paraId="41E5F3E0" w14:textId="77777777" w:rsidR="00000000" w:rsidRDefault="00405D16">
            <w:pPr>
              <w:spacing w:after="100"/>
              <w:rPr>
                <w:rFonts w:eastAsia="Times New Roman"/>
                <w:sz w:val="20"/>
                <w:szCs w:val="20"/>
              </w:rPr>
            </w:pPr>
          </w:p>
        </w:tc>
        <w:tc>
          <w:tcPr>
            <w:tcW w:w="0" w:type="auto"/>
            <w:gridSpan w:val="3"/>
            <w:vAlign w:val="center"/>
            <w:hideMark/>
          </w:tcPr>
          <w:p w14:paraId="2DC99D76" w14:textId="77777777" w:rsidR="00000000" w:rsidRDefault="00405D16">
            <w:pPr>
              <w:spacing w:after="100"/>
              <w:rPr>
                <w:rFonts w:eastAsia="Times New Roman"/>
                <w:sz w:val="20"/>
                <w:szCs w:val="20"/>
              </w:rPr>
            </w:pPr>
          </w:p>
        </w:tc>
        <w:tc>
          <w:tcPr>
            <w:tcW w:w="0" w:type="auto"/>
            <w:gridSpan w:val="3"/>
            <w:vAlign w:val="center"/>
            <w:hideMark/>
          </w:tcPr>
          <w:p w14:paraId="2AAA7D7A" w14:textId="77777777" w:rsidR="00000000" w:rsidRDefault="00405D16">
            <w:pPr>
              <w:spacing w:after="100"/>
              <w:rPr>
                <w:rFonts w:eastAsia="Times New Roman"/>
                <w:sz w:val="20"/>
                <w:szCs w:val="20"/>
              </w:rPr>
            </w:pPr>
          </w:p>
        </w:tc>
        <w:tc>
          <w:tcPr>
            <w:tcW w:w="0" w:type="auto"/>
            <w:gridSpan w:val="3"/>
            <w:vAlign w:val="center"/>
            <w:hideMark/>
          </w:tcPr>
          <w:p w14:paraId="699C8157" w14:textId="77777777" w:rsidR="00000000" w:rsidRDefault="00405D16">
            <w:pPr>
              <w:spacing w:after="100"/>
              <w:rPr>
                <w:rFonts w:eastAsia="Times New Roman"/>
                <w:sz w:val="20"/>
                <w:szCs w:val="20"/>
              </w:rPr>
            </w:pPr>
          </w:p>
        </w:tc>
        <w:tc>
          <w:tcPr>
            <w:tcW w:w="0" w:type="auto"/>
            <w:gridSpan w:val="3"/>
            <w:vAlign w:val="center"/>
            <w:hideMark/>
          </w:tcPr>
          <w:p w14:paraId="341AE682" w14:textId="77777777" w:rsidR="00000000" w:rsidRDefault="00405D16">
            <w:pPr>
              <w:spacing w:after="100"/>
              <w:rPr>
                <w:rFonts w:eastAsia="Times New Roman"/>
                <w:sz w:val="20"/>
                <w:szCs w:val="20"/>
              </w:rPr>
            </w:pPr>
          </w:p>
        </w:tc>
      </w:tr>
      <w:tr w:rsidR="00000000" w14:paraId="0BB1A7A9" w14:textId="77777777">
        <w:trPr>
          <w:divId w:val="1942257185"/>
        </w:trPr>
        <w:tc>
          <w:tcPr>
            <w:tcW w:w="0" w:type="auto"/>
            <w:gridSpan w:val="3"/>
            <w:shd w:val="clear" w:color="auto" w:fill="FFFFFF"/>
            <w:tcMar>
              <w:top w:w="30" w:type="dxa"/>
              <w:left w:w="20" w:type="dxa"/>
              <w:bottom w:w="30" w:type="dxa"/>
              <w:right w:w="20" w:type="dxa"/>
            </w:tcMar>
            <w:vAlign w:val="center"/>
            <w:hideMark/>
          </w:tcPr>
          <w:p w14:paraId="21B1F0D7" w14:textId="77777777" w:rsidR="00000000" w:rsidRDefault="00405D16">
            <w:pPr>
              <w:spacing w:after="100"/>
              <w:rPr>
                <w:rFonts w:eastAsia="Times New Roman"/>
              </w:rPr>
            </w:pPr>
            <w:r>
              <w:rPr>
                <w:rFonts w:eastAsia="Times New Roman"/>
                <w:color w:val="000000"/>
                <w:sz w:val="18"/>
                <w:szCs w:val="18"/>
              </w:rPr>
              <w:t>Premises and equipment, net</w:t>
            </w:r>
          </w:p>
        </w:tc>
        <w:tc>
          <w:tcPr>
            <w:tcW w:w="0" w:type="auto"/>
            <w:gridSpan w:val="3"/>
            <w:shd w:val="clear" w:color="auto" w:fill="FFFFFF"/>
            <w:tcMar>
              <w:top w:w="0" w:type="dxa"/>
              <w:left w:w="20" w:type="dxa"/>
              <w:bottom w:w="0" w:type="dxa"/>
              <w:right w:w="20" w:type="dxa"/>
            </w:tcMar>
            <w:vAlign w:val="center"/>
            <w:hideMark/>
          </w:tcPr>
          <w:p w14:paraId="427134D5"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C04A939" w14:textId="77777777" w:rsidR="00000000" w:rsidRDefault="00405D16">
            <w:pPr>
              <w:spacing w:after="100"/>
              <w:jc w:val="right"/>
              <w:rPr>
                <w:rFonts w:eastAsia="Times New Roman"/>
              </w:rPr>
            </w:pPr>
            <w:r>
              <w:rPr>
                <w:rFonts w:eastAsia="Times New Roman"/>
                <w:b/>
                <w:bCs/>
                <w:color w:val="000000"/>
                <w:sz w:val="18"/>
                <w:szCs w:val="18"/>
              </w:rPr>
              <w:t>4,265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9DC9B0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33C1D9" w14:textId="77777777" w:rsidR="00000000" w:rsidRDefault="00405D1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A049B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37FD6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01BDD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DD0EB7"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A8A5700" w14:textId="77777777" w:rsidR="00000000" w:rsidRDefault="00405D16">
            <w:pPr>
              <w:spacing w:after="100"/>
              <w:jc w:val="right"/>
              <w:rPr>
                <w:rFonts w:eastAsia="Times New Roman"/>
              </w:rPr>
            </w:pPr>
            <w:r>
              <w:rPr>
                <w:rFonts w:eastAsia="Times New Roman"/>
                <w:color w:val="000000"/>
                <w:sz w:val="18"/>
                <w:szCs w:val="18"/>
              </w:rPr>
              <w:t>4,332 </w:t>
            </w:r>
          </w:p>
        </w:tc>
        <w:tc>
          <w:tcPr>
            <w:tcW w:w="0" w:type="auto"/>
            <w:shd w:val="clear" w:color="auto" w:fill="FFFFFF"/>
            <w:tcMar>
              <w:top w:w="30" w:type="dxa"/>
              <w:left w:w="0" w:type="dxa"/>
              <w:bottom w:w="30" w:type="dxa"/>
              <w:right w:w="20" w:type="dxa"/>
            </w:tcMar>
            <w:vAlign w:val="center"/>
            <w:hideMark/>
          </w:tcPr>
          <w:p w14:paraId="083870A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463504" w14:textId="77777777" w:rsidR="00000000" w:rsidRDefault="00405D1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6CDAC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12F08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A1F66F" w14:textId="77777777" w:rsidR="00000000" w:rsidRDefault="00405D16">
            <w:pPr>
              <w:spacing w:after="100"/>
              <w:rPr>
                <w:rFonts w:eastAsia="Times New Roman"/>
                <w:sz w:val="20"/>
                <w:szCs w:val="20"/>
              </w:rPr>
            </w:pPr>
          </w:p>
        </w:tc>
        <w:tc>
          <w:tcPr>
            <w:tcW w:w="0" w:type="auto"/>
            <w:vAlign w:val="center"/>
            <w:hideMark/>
          </w:tcPr>
          <w:p w14:paraId="0877CB2E" w14:textId="77777777" w:rsidR="00000000" w:rsidRDefault="00405D16">
            <w:pPr>
              <w:spacing w:after="100"/>
              <w:rPr>
                <w:rFonts w:eastAsia="Times New Roman"/>
                <w:sz w:val="20"/>
                <w:szCs w:val="20"/>
              </w:rPr>
            </w:pPr>
          </w:p>
        </w:tc>
        <w:tc>
          <w:tcPr>
            <w:tcW w:w="0" w:type="auto"/>
            <w:vAlign w:val="center"/>
            <w:hideMark/>
          </w:tcPr>
          <w:p w14:paraId="76BA68CB" w14:textId="77777777" w:rsidR="00000000" w:rsidRDefault="00405D16">
            <w:pPr>
              <w:spacing w:after="100"/>
              <w:rPr>
                <w:rFonts w:eastAsia="Times New Roman"/>
                <w:sz w:val="20"/>
                <w:szCs w:val="20"/>
              </w:rPr>
            </w:pPr>
          </w:p>
        </w:tc>
        <w:tc>
          <w:tcPr>
            <w:tcW w:w="0" w:type="auto"/>
            <w:gridSpan w:val="3"/>
            <w:vAlign w:val="center"/>
            <w:hideMark/>
          </w:tcPr>
          <w:p w14:paraId="68531FB7" w14:textId="77777777" w:rsidR="00000000" w:rsidRDefault="00405D16">
            <w:pPr>
              <w:spacing w:after="100"/>
              <w:rPr>
                <w:rFonts w:eastAsia="Times New Roman"/>
                <w:sz w:val="20"/>
                <w:szCs w:val="20"/>
              </w:rPr>
            </w:pPr>
          </w:p>
        </w:tc>
        <w:tc>
          <w:tcPr>
            <w:tcW w:w="0" w:type="auto"/>
            <w:gridSpan w:val="3"/>
            <w:vAlign w:val="center"/>
            <w:hideMark/>
          </w:tcPr>
          <w:p w14:paraId="57F4A5F1" w14:textId="77777777" w:rsidR="00000000" w:rsidRDefault="00405D16">
            <w:pPr>
              <w:spacing w:after="100"/>
              <w:rPr>
                <w:rFonts w:eastAsia="Times New Roman"/>
                <w:sz w:val="20"/>
                <w:szCs w:val="20"/>
              </w:rPr>
            </w:pPr>
          </w:p>
        </w:tc>
        <w:tc>
          <w:tcPr>
            <w:tcW w:w="0" w:type="auto"/>
            <w:gridSpan w:val="3"/>
            <w:vAlign w:val="center"/>
            <w:hideMark/>
          </w:tcPr>
          <w:p w14:paraId="5F8EEF0F" w14:textId="77777777" w:rsidR="00000000" w:rsidRDefault="00405D16">
            <w:pPr>
              <w:spacing w:after="100"/>
              <w:rPr>
                <w:rFonts w:eastAsia="Times New Roman"/>
                <w:sz w:val="20"/>
                <w:szCs w:val="20"/>
              </w:rPr>
            </w:pPr>
          </w:p>
        </w:tc>
        <w:tc>
          <w:tcPr>
            <w:tcW w:w="0" w:type="auto"/>
            <w:gridSpan w:val="3"/>
            <w:vAlign w:val="center"/>
            <w:hideMark/>
          </w:tcPr>
          <w:p w14:paraId="0975EA7E" w14:textId="77777777" w:rsidR="00000000" w:rsidRDefault="00405D16">
            <w:pPr>
              <w:spacing w:after="100"/>
              <w:rPr>
                <w:rFonts w:eastAsia="Times New Roman"/>
                <w:sz w:val="20"/>
                <w:szCs w:val="20"/>
              </w:rPr>
            </w:pPr>
          </w:p>
        </w:tc>
      </w:tr>
      <w:tr w:rsidR="00000000" w14:paraId="0F811CCE" w14:textId="77777777">
        <w:trPr>
          <w:divId w:val="1942257185"/>
        </w:trPr>
        <w:tc>
          <w:tcPr>
            <w:tcW w:w="0" w:type="auto"/>
            <w:gridSpan w:val="3"/>
            <w:shd w:val="clear" w:color="auto" w:fill="CCEEFF"/>
            <w:tcMar>
              <w:top w:w="30" w:type="dxa"/>
              <w:left w:w="20" w:type="dxa"/>
              <w:bottom w:w="30" w:type="dxa"/>
              <w:right w:w="20" w:type="dxa"/>
            </w:tcMar>
            <w:vAlign w:val="center"/>
            <w:hideMark/>
          </w:tcPr>
          <w:p w14:paraId="3979C79A" w14:textId="77777777" w:rsidR="00000000" w:rsidRDefault="00405D16">
            <w:pPr>
              <w:spacing w:after="100"/>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14:paraId="0FEB242F"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AD7CC41" w14:textId="77777777" w:rsidR="00000000" w:rsidRDefault="00405D16">
            <w:pPr>
              <w:spacing w:after="100"/>
              <w:jc w:val="right"/>
              <w:rPr>
                <w:rFonts w:eastAsia="Times New Roman"/>
              </w:rPr>
            </w:pPr>
            <w:r>
              <w:rPr>
                <w:rFonts w:eastAsia="Times New Roman"/>
                <w:b/>
                <w:bCs/>
                <w:color w:val="000000"/>
                <w:sz w:val="18"/>
                <w:szCs w:val="18"/>
              </w:rPr>
              <w:t>39,026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3C3C7C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D337C5" w14:textId="77777777" w:rsidR="00000000" w:rsidRDefault="00405D1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0F2F5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9743D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11797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6DFAEA"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03FA253" w14:textId="77777777" w:rsidR="00000000" w:rsidRDefault="00405D16">
            <w:pPr>
              <w:spacing w:after="100"/>
              <w:jc w:val="right"/>
              <w:rPr>
                <w:rFonts w:eastAsia="Times New Roman"/>
              </w:rPr>
            </w:pPr>
            <w:r>
              <w:rPr>
                <w:rFonts w:eastAsia="Times New Roman"/>
                <w:color w:val="000000"/>
                <w:sz w:val="18"/>
                <w:szCs w:val="18"/>
              </w:rPr>
              <w:t>37,743 </w:t>
            </w:r>
          </w:p>
        </w:tc>
        <w:tc>
          <w:tcPr>
            <w:tcW w:w="0" w:type="auto"/>
            <w:shd w:val="clear" w:color="auto" w:fill="CCEEFF"/>
            <w:tcMar>
              <w:top w:w="30" w:type="dxa"/>
              <w:left w:w="0" w:type="dxa"/>
              <w:bottom w:w="30" w:type="dxa"/>
              <w:right w:w="20" w:type="dxa"/>
            </w:tcMar>
            <w:vAlign w:val="center"/>
            <w:hideMark/>
          </w:tcPr>
          <w:p w14:paraId="6443104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D49AF4" w14:textId="77777777" w:rsidR="00000000" w:rsidRDefault="00405D1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498C1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8EFA6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2860C2" w14:textId="77777777" w:rsidR="00000000" w:rsidRDefault="00405D16">
            <w:pPr>
              <w:spacing w:after="100"/>
              <w:rPr>
                <w:rFonts w:eastAsia="Times New Roman"/>
                <w:sz w:val="20"/>
                <w:szCs w:val="20"/>
              </w:rPr>
            </w:pPr>
          </w:p>
        </w:tc>
        <w:tc>
          <w:tcPr>
            <w:tcW w:w="0" w:type="auto"/>
            <w:vAlign w:val="center"/>
            <w:hideMark/>
          </w:tcPr>
          <w:p w14:paraId="6E14E6B0" w14:textId="77777777" w:rsidR="00000000" w:rsidRDefault="00405D16">
            <w:pPr>
              <w:spacing w:after="100"/>
              <w:rPr>
                <w:rFonts w:eastAsia="Times New Roman"/>
                <w:sz w:val="20"/>
                <w:szCs w:val="20"/>
              </w:rPr>
            </w:pPr>
          </w:p>
        </w:tc>
        <w:tc>
          <w:tcPr>
            <w:tcW w:w="0" w:type="auto"/>
            <w:vAlign w:val="center"/>
            <w:hideMark/>
          </w:tcPr>
          <w:p w14:paraId="32E2E3A7" w14:textId="77777777" w:rsidR="00000000" w:rsidRDefault="00405D16">
            <w:pPr>
              <w:spacing w:after="100"/>
              <w:rPr>
                <w:rFonts w:eastAsia="Times New Roman"/>
                <w:sz w:val="20"/>
                <w:szCs w:val="20"/>
              </w:rPr>
            </w:pPr>
          </w:p>
        </w:tc>
        <w:tc>
          <w:tcPr>
            <w:tcW w:w="0" w:type="auto"/>
            <w:gridSpan w:val="3"/>
            <w:vAlign w:val="center"/>
            <w:hideMark/>
          </w:tcPr>
          <w:p w14:paraId="45443EEE" w14:textId="77777777" w:rsidR="00000000" w:rsidRDefault="00405D16">
            <w:pPr>
              <w:spacing w:after="100"/>
              <w:rPr>
                <w:rFonts w:eastAsia="Times New Roman"/>
                <w:sz w:val="20"/>
                <w:szCs w:val="20"/>
              </w:rPr>
            </w:pPr>
          </w:p>
        </w:tc>
        <w:tc>
          <w:tcPr>
            <w:tcW w:w="0" w:type="auto"/>
            <w:gridSpan w:val="3"/>
            <w:vAlign w:val="center"/>
            <w:hideMark/>
          </w:tcPr>
          <w:p w14:paraId="662F1251" w14:textId="77777777" w:rsidR="00000000" w:rsidRDefault="00405D16">
            <w:pPr>
              <w:spacing w:after="100"/>
              <w:rPr>
                <w:rFonts w:eastAsia="Times New Roman"/>
                <w:sz w:val="20"/>
                <w:szCs w:val="20"/>
              </w:rPr>
            </w:pPr>
          </w:p>
        </w:tc>
        <w:tc>
          <w:tcPr>
            <w:tcW w:w="0" w:type="auto"/>
            <w:gridSpan w:val="3"/>
            <w:vAlign w:val="center"/>
            <w:hideMark/>
          </w:tcPr>
          <w:p w14:paraId="36DE8FCF" w14:textId="77777777" w:rsidR="00000000" w:rsidRDefault="00405D16">
            <w:pPr>
              <w:spacing w:after="100"/>
              <w:rPr>
                <w:rFonts w:eastAsia="Times New Roman"/>
                <w:sz w:val="20"/>
                <w:szCs w:val="20"/>
              </w:rPr>
            </w:pPr>
          </w:p>
        </w:tc>
        <w:tc>
          <w:tcPr>
            <w:tcW w:w="0" w:type="auto"/>
            <w:gridSpan w:val="3"/>
            <w:vAlign w:val="center"/>
            <w:hideMark/>
          </w:tcPr>
          <w:p w14:paraId="133FBEA3" w14:textId="77777777" w:rsidR="00000000" w:rsidRDefault="00405D16">
            <w:pPr>
              <w:spacing w:after="100"/>
              <w:rPr>
                <w:rFonts w:eastAsia="Times New Roman"/>
                <w:sz w:val="20"/>
                <w:szCs w:val="20"/>
              </w:rPr>
            </w:pPr>
          </w:p>
        </w:tc>
      </w:tr>
      <w:tr w:rsidR="00000000" w14:paraId="264767B7" w14:textId="77777777">
        <w:trPr>
          <w:divId w:val="1942257185"/>
        </w:trPr>
        <w:tc>
          <w:tcPr>
            <w:tcW w:w="0" w:type="auto"/>
            <w:gridSpan w:val="3"/>
            <w:shd w:val="clear" w:color="auto" w:fill="FFFFFF"/>
            <w:tcMar>
              <w:top w:w="30" w:type="dxa"/>
              <w:left w:w="20" w:type="dxa"/>
              <w:bottom w:w="30" w:type="dxa"/>
              <w:right w:w="20" w:type="dxa"/>
            </w:tcMar>
            <w:vAlign w:val="center"/>
            <w:hideMark/>
          </w:tcPr>
          <w:p w14:paraId="673AB70B" w14:textId="77777777" w:rsidR="00000000" w:rsidRDefault="00405D16">
            <w:pPr>
              <w:spacing w:after="100"/>
              <w:rPr>
                <w:rFonts w:eastAsia="Times New Roman"/>
              </w:rPr>
            </w:pPr>
            <w:r>
              <w:rPr>
                <w:rFonts w:eastAsia="Times New Roman"/>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14:paraId="528D0147" w14:textId="77777777" w:rsidR="00000000" w:rsidRDefault="00405D16">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0676EA4C"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1B070F7F" w14:textId="77777777" w:rsidR="00000000" w:rsidRDefault="00405D16">
            <w:pPr>
              <w:spacing w:after="100"/>
              <w:jc w:val="right"/>
              <w:rPr>
                <w:rFonts w:eastAsia="Times New Roman"/>
              </w:rPr>
            </w:pPr>
            <w:r>
              <w:rPr>
                <w:rFonts w:eastAsia="Times New Roman"/>
                <w:b/>
                <w:bCs/>
                <w:color w:val="000000"/>
                <w:sz w:val="18"/>
                <w:szCs w:val="18"/>
              </w:rPr>
              <w:t>423,457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8EA433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218B24" w14:textId="77777777" w:rsidR="00000000" w:rsidRDefault="00405D1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E3CF2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8ED44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734C3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4097E7" w14:textId="77777777" w:rsidR="00000000" w:rsidRDefault="00405D16">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5210475E"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58EC1CE" w14:textId="77777777" w:rsidR="00000000" w:rsidRDefault="00405D16">
            <w:pPr>
              <w:spacing w:after="100"/>
              <w:jc w:val="right"/>
              <w:rPr>
                <w:rFonts w:eastAsia="Times New Roman"/>
              </w:rPr>
            </w:pPr>
            <w:r>
              <w:rPr>
                <w:rFonts w:eastAsia="Times New Roman"/>
                <w:color w:val="000000"/>
                <w:sz w:val="18"/>
                <w:szCs w:val="18"/>
              </w:rPr>
              <w:t>408,233 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0ADE1D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BCCA93" w14:textId="77777777" w:rsidR="00000000" w:rsidRDefault="00405D1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B40CF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6350D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20A5B6" w14:textId="77777777" w:rsidR="00000000" w:rsidRDefault="00405D16">
            <w:pPr>
              <w:spacing w:after="100"/>
              <w:rPr>
                <w:rFonts w:eastAsia="Times New Roman"/>
                <w:sz w:val="20"/>
                <w:szCs w:val="20"/>
              </w:rPr>
            </w:pPr>
          </w:p>
        </w:tc>
        <w:tc>
          <w:tcPr>
            <w:tcW w:w="0" w:type="auto"/>
            <w:vAlign w:val="center"/>
            <w:hideMark/>
          </w:tcPr>
          <w:p w14:paraId="00822903" w14:textId="77777777" w:rsidR="00000000" w:rsidRDefault="00405D16">
            <w:pPr>
              <w:spacing w:after="100"/>
              <w:rPr>
                <w:rFonts w:eastAsia="Times New Roman"/>
                <w:sz w:val="20"/>
                <w:szCs w:val="20"/>
              </w:rPr>
            </w:pPr>
          </w:p>
        </w:tc>
        <w:tc>
          <w:tcPr>
            <w:tcW w:w="0" w:type="auto"/>
            <w:vAlign w:val="center"/>
            <w:hideMark/>
          </w:tcPr>
          <w:p w14:paraId="1C6C0F2A" w14:textId="77777777" w:rsidR="00000000" w:rsidRDefault="00405D16">
            <w:pPr>
              <w:spacing w:after="100"/>
              <w:rPr>
                <w:rFonts w:eastAsia="Times New Roman"/>
                <w:sz w:val="20"/>
                <w:szCs w:val="20"/>
              </w:rPr>
            </w:pPr>
          </w:p>
        </w:tc>
        <w:tc>
          <w:tcPr>
            <w:tcW w:w="0" w:type="auto"/>
            <w:gridSpan w:val="3"/>
            <w:vAlign w:val="center"/>
            <w:hideMark/>
          </w:tcPr>
          <w:p w14:paraId="788E8523" w14:textId="77777777" w:rsidR="00000000" w:rsidRDefault="00405D16">
            <w:pPr>
              <w:spacing w:after="100"/>
              <w:rPr>
                <w:rFonts w:eastAsia="Times New Roman"/>
                <w:sz w:val="20"/>
                <w:szCs w:val="20"/>
              </w:rPr>
            </w:pPr>
          </w:p>
        </w:tc>
        <w:tc>
          <w:tcPr>
            <w:tcW w:w="0" w:type="auto"/>
            <w:gridSpan w:val="3"/>
            <w:vAlign w:val="center"/>
            <w:hideMark/>
          </w:tcPr>
          <w:p w14:paraId="0E9694FA" w14:textId="77777777" w:rsidR="00000000" w:rsidRDefault="00405D16">
            <w:pPr>
              <w:spacing w:after="100"/>
              <w:rPr>
                <w:rFonts w:eastAsia="Times New Roman"/>
                <w:sz w:val="20"/>
                <w:szCs w:val="20"/>
              </w:rPr>
            </w:pPr>
          </w:p>
        </w:tc>
        <w:tc>
          <w:tcPr>
            <w:tcW w:w="0" w:type="auto"/>
            <w:gridSpan w:val="3"/>
            <w:vAlign w:val="center"/>
            <w:hideMark/>
          </w:tcPr>
          <w:p w14:paraId="41DE036D" w14:textId="77777777" w:rsidR="00000000" w:rsidRDefault="00405D16">
            <w:pPr>
              <w:spacing w:after="100"/>
              <w:rPr>
                <w:rFonts w:eastAsia="Times New Roman"/>
                <w:sz w:val="20"/>
                <w:szCs w:val="20"/>
              </w:rPr>
            </w:pPr>
          </w:p>
        </w:tc>
        <w:tc>
          <w:tcPr>
            <w:tcW w:w="0" w:type="auto"/>
            <w:gridSpan w:val="3"/>
            <w:vAlign w:val="center"/>
            <w:hideMark/>
          </w:tcPr>
          <w:p w14:paraId="7D3646CF" w14:textId="77777777" w:rsidR="00000000" w:rsidRDefault="00405D16">
            <w:pPr>
              <w:spacing w:after="100"/>
              <w:rPr>
                <w:rFonts w:eastAsia="Times New Roman"/>
                <w:sz w:val="20"/>
                <w:szCs w:val="20"/>
              </w:rPr>
            </w:pPr>
          </w:p>
        </w:tc>
      </w:tr>
      <w:tr w:rsidR="00000000" w14:paraId="0591E742" w14:textId="77777777">
        <w:trPr>
          <w:divId w:val="1942257185"/>
        </w:trPr>
        <w:tc>
          <w:tcPr>
            <w:tcW w:w="0" w:type="auto"/>
            <w:gridSpan w:val="3"/>
            <w:shd w:val="clear" w:color="auto" w:fill="CCEEFF"/>
            <w:tcMar>
              <w:top w:w="30" w:type="dxa"/>
              <w:left w:w="20" w:type="dxa"/>
              <w:bottom w:w="30" w:type="dxa"/>
              <w:right w:w="20" w:type="dxa"/>
            </w:tcMar>
            <w:vAlign w:val="center"/>
            <w:hideMark/>
          </w:tcPr>
          <w:p w14:paraId="1C629C58" w14:textId="77777777" w:rsidR="00000000" w:rsidRDefault="00405D16">
            <w:pPr>
              <w:spacing w:after="100"/>
              <w:rPr>
                <w:rFonts w:eastAsia="Times New Roman"/>
              </w:rPr>
            </w:pPr>
            <w:r>
              <w:rPr>
                <w:rFonts w:eastAsia="Times New Roman"/>
                <w:b/>
                <w:bCs/>
                <w:color w:val="000000"/>
                <w:sz w:val="18"/>
                <w:szCs w:val="18"/>
              </w:rPr>
              <w:t>Liabilities and stockholders’ equity:</w:t>
            </w:r>
          </w:p>
        </w:tc>
        <w:tc>
          <w:tcPr>
            <w:tcW w:w="0" w:type="auto"/>
            <w:gridSpan w:val="3"/>
            <w:shd w:val="clear" w:color="auto" w:fill="CCEEFF"/>
            <w:tcMar>
              <w:top w:w="0" w:type="dxa"/>
              <w:left w:w="20" w:type="dxa"/>
              <w:bottom w:w="0" w:type="dxa"/>
              <w:right w:w="20" w:type="dxa"/>
            </w:tcMar>
            <w:vAlign w:val="center"/>
            <w:hideMark/>
          </w:tcPr>
          <w:p w14:paraId="0E148CAD" w14:textId="77777777" w:rsidR="00000000" w:rsidRDefault="00405D16">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5657ED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C1096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93815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D5281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70CE0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9BE4AA"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BA0219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35F49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F581E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85391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ECB7DE" w14:textId="77777777" w:rsidR="00000000" w:rsidRDefault="00405D16">
            <w:pPr>
              <w:spacing w:after="100"/>
              <w:rPr>
                <w:rFonts w:eastAsia="Times New Roman"/>
                <w:sz w:val="20"/>
                <w:szCs w:val="20"/>
              </w:rPr>
            </w:pPr>
          </w:p>
        </w:tc>
        <w:tc>
          <w:tcPr>
            <w:tcW w:w="0" w:type="auto"/>
            <w:vAlign w:val="center"/>
            <w:hideMark/>
          </w:tcPr>
          <w:p w14:paraId="1756B18B" w14:textId="77777777" w:rsidR="00000000" w:rsidRDefault="00405D16">
            <w:pPr>
              <w:spacing w:after="100"/>
              <w:rPr>
                <w:rFonts w:eastAsia="Times New Roman"/>
                <w:sz w:val="20"/>
                <w:szCs w:val="20"/>
              </w:rPr>
            </w:pPr>
          </w:p>
        </w:tc>
        <w:tc>
          <w:tcPr>
            <w:tcW w:w="0" w:type="auto"/>
            <w:vAlign w:val="center"/>
            <w:hideMark/>
          </w:tcPr>
          <w:p w14:paraId="73E5D891" w14:textId="77777777" w:rsidR="00000000" w:rsidRDefault="00405D16">
            <w:pPr>
              <w:spacing w:after="100"/>
              <w:rPr>
                <w:rFonts w:eastAsia="Times New Roman"/>
                <w:sz w:val="20"/>
                <w:szCs w:val="20"/>
              </w:rPr>
            </w:pPr>
          </w:p>
        </w:tc>
        <w:tc>
          <w:tcPr>
            <w:tcW w:w="0" w:type="auto"/>
            <w:gridSpan w:val="3"/>
            <w:vAlign w:val="center"/>
            <w:hideMark/>
          </w:tcPr>
          <w:p w14:paraId="53B21FEC" w14:textId="77777777" w:rsidR="00000000" w:rsidRDefault="00405D16">
            <w:pPr>
              <w:spacing w:after="100"/>
              <w:rPr>
                <w:rFonts w:eastAsia="Times New Roman"/>
                <w:sz w:val="20"/>
                <w:szCs w:val="20"/>
              </w:rPr>
            </w:pPr>
          </w:p>
        </w:tc>
        <w:tc>
          <w:tcPr>
            <w:tcW w:w="0" w:type="auto"/>
            <w:gridSpan w:val="3"/>
            <w:vAlign w:val="center"/>
            <w:hideMark/>
          </w:tcPr>
          <w:p w14:paraId="737F7447" w14:textId="77777777" w:rsidR="00000000" w:rsidRDefault="00405D16">
            <w:pPr>
              <w:spacing w:after="100"/>
              <w:rPr>
                <w:rFonts w:eastAsia="Times New Roman"/>
                <w:sz w:val="20"/>
                <w:szCs w:val="20"/>
              </w:rPr>
            </w:pPr>
          </w:p>
        </w:tc>
        <w:tc>
          <w:tcPr>
            <w:tcW w:w="0" w:type="auto"/>
            <w:gridSpan w:val="3"/>
            <w:vAlign w:val="center"/>
            <w:hideMark/>
          </w:tcPr>
          <w:p w14:paraId="7B9CB5EF" w14:textId="77777777" w:rsidR="00000000" w:rsidRDefault="00405D16">
            <w:pPr>
              <w:spacing w:after="100"/>
              <w:rPr>
                <w:rFonts w:eastAsia="Times New Roman"/>
                <w:sz w:val="20"/>
                <w:szCs w:val="20"/>
              </w:rPr>
            </w:pPr>
          </w:p>
        </w:tc>
        <w:tc>
          <w:tcPr>
            <w:tcW w:w="0" w:type="auto"/>
            <w:gridSpan w:val="3"/>
            <w:vAlign w:val="center"/>
            <w:hideMark/>
          </w:tcPr>
          <w:p w14:paraId="45FC92A0" w14:textId="77777777" w:rsidR="00000000" w:rsidRDefault="00405D16">
            <w:pPr>
              <w:spacing w:after="100"/>
              <w:rPr>
                <w:rFonts w:eastAsia="Times New Roman"/>
                <w:sz w:val="20"/>
                <w:szCs w:val="20"/>
              </w:rPr>
            </w:pPr>
          </w:p>
        </w:tc>
      </w:tr>
      <w:tr w:rsidR="00000000" w14:paraId="0BC33927" w14:textId="77777777">
        <w:trPr>
          <w:divId w:val="1942257185"/>
        </w:trPr>
        <w:tc>
          <w:tcPr>
            <w:tcW w:w="0" w:type="auto"/>
            <w:gridSpan w:val="3"/>
            <w:shd w:val="clear" w:color="auto" w:fill="FFFFFF"/>
            <w:tcMar>
              <w:top w:w="30" w:type="dxa"/>
              <w:left w:w="20" w:type="dxa"/>
              <w:bottom w:w="30" w:type="dxa"/>
              <w:right w:w="20" w:type="dxa"/>
            </w:tcMar>
            <w:vAlign w:val="center"/>
            <w:hideMark/>
          </w:tcPr>
          <w:p w14:paraId="49618E5E" w14:textId="77777777" w:rsidR="00000000" w:rsidRDefault="00405D16">
            <w:pPr>
              <w:spacing w:after="100"/>
              <w:rPr>
                <w:rFonts w:eastAsia="Times New Roman"/>
              </w:rPr>
            </w:pPr>
            <w:r>
              <w:rPr>
                <w:rFonts w:eastAsia="Times New Roman"/>
                <w:color w:val="000000"/>
                <w:sz w:val="18"/>
                <w:szCs w:val="18"/>
              </w:rPr>
              <w:t>Interest-bearing liabilities:</w:t>
            </w:r>
          </w:p>
        </w:tc>
        <w:tc>
          <w:tcPr>
            <w:tcW w:w="0" w:type="auto"/>
            <w:gridSpan w:val="3"/>
            <w:shd w:val="clear" w:color="auto" w:fill="FFFFFF"/>
            <w:tcMar>
              <w:top w:w="0" w:type="dxa"/>
              <w:left w:w="20" w:type="dxa"/>
              <w:bottom w:w="0" w:type="dxa"/>
              <w:right w:w="20" w:type="dxa"/>
            </w:tcMar>
            <w:vAlign w:val="center"/>
            <w:hideMark/>
          </w:tcPr>
          <w:p w14:paraId="3E9F7940"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FB629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01381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D23F1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CA78A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841DE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7AE7A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14C96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7E696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9F569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CA7A9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CE87A4" w14:textId="77777777" w:rsidR="00000000" w:rsidRDefault="00405D16">
            <w:pPr>
              <w:spacing w:after="100"/>
              <w:rPr>
                <w:rFonts w:eastAsia="Times New Roman"/>
                <w:sz w:val="20"/>
                <w:szCs w:val="20"/>
              </w:rPr>
            </w:pPr>
          </w:p>
        </w:tc>
        <w:tc>
          <w:tcPr>
            <w:tcW w:w="0" w:type="auto"/>
            <w:vAlign w:val="center"/>
            <w:hideMark/>
          </w:tcPr>
          <w:p w14:paraId="343677AB" w14:textId="77777777" w:rsidR="00000000" w:rsidRDefault="00405D16">
            <w:pPr>
              <w:spacing w:after="100"/>
              <w:rPr>
                <w:rFonts w:eastAsia="Times New Roman"/>
                <w:sz w:val="20"/>
                <w:szCs w:val="20"/>
              </w:rPr>
            </w:pPr>
          </w:p>
        </w:tc>
        <w:tc>
          <w:tcPr>
            <w:tcW w:w="0" w:type="auto"/>
            <w:vAlign w:val="center"/>
            <w:hideMark/>
          </w:tcPr>
          <w:p w14:paraId="2899B3D7" w14:textId="77777777" w:rsidR="00000000" w:rsidRDefault="00405D16">
            <w:pPr>
              <w:spacing w:after="100"/>
              <w:rPr>
                <w:rFonts w:eastAsia="Times New Roman"/>
                <w:sz w:val="20"/>
                <w:szCs w:val="20"/>
              </w:rPr>
            </w:pPr>
          </w:p>
        </w:tc>
        <w:tc>
          <w:tcPr>
            <w:tcW w:w="0" w:type="auto"/>
            <w:gridSpan w:val="3"/>
            <w:vAlign w:val="center"/>
            <w:hideMark/>
          </w:tcPr>
          <w:p w14:paraId="2B94F4FB" w14:textId="77777777" w:rsidR="00000000" w:rsidRDefault="00405D16">
            <w:pPr>
              <w:spacing w:after="100"/>
              <w:rPr>
                <w:rFonts w:eastAsia="Times New Roman"/>
                <w:sz w:val="20"/>
                <w:szCs w:val="20"/>
              </w:rPr>
            </w:pPr>
          </w:p>
        </w:tc>
        <w:tc>
          <w:tcPr>
            <w:tcW w:w="0" w:type="auto"/>
            <w:gridSpan w:val="3"/>
            <w:vAlign w:val="center"/>
            <w:hideMark/>
          </w:tcPr>
          <w:p w14:paraId="0C870BAA" w14:textId="77777777" w:rsidR="00000000" w:rsidRDefault="00405D16">
            <w:pPr>
              <w:spacing w:after="100"/>
              <w:rPr>
                <w:rFonts w:eastAsia="Times New Roman"/>
                <w:sz w:val="20"/>
                <w:szCs w:val="20"/>
              </w:rPr>
            </w:pPr>
          </w:p>
        </w:tc>
        <w:tc>
          <w:tcPr>
            <w:tcW w:w="0" w:type="auto"/>
            <w:gridSpan w:val="3"/>
            <w:vAlign w:val="center"/>
            <w:hideMark/>
          </w:tcPr>
          <w:p w14:paraId="33D7415D" w14:textId="77777777" w:rsidR="00000000" w:rsidRDefault="00405D16">
            <w:pPr>
              <w:spacing w:after="100"/>
              <w:rPr>
                <w:rFonts w:eastAsia="Times New Roman"/>
                <w:sz w:val="20"/>
                <w:szCs w:val="20"/>
              </w:rPr>
            </w:pPr>
          </w:p>
        </w:tc>
        <w:tc>
          <w:tcPr>
            <w:tcW w:w="0" w:type="auto"/>
            <w:gridSpan w:val="3"/>
            <w:vAlign w:val="center"/>
            <w:hideMark/>
          </w:tcPr>
          <w:p w14:paraId="63F366FF" w14:textId="77777777" w:rsidR="00000000" w:rsidRDefault="00405D16">
            <w:pPr>
              <w:spacing w:after="100"/>
              <w:rPr>
                <w:rFonts w:eastAsia="Times New Roman"/>
                <w:sz w:val="20"/>
                <w:szCs w:val="20"/>
              </w:rPr>
            </w:pPr>
          </w:p>
        </w:tc>
      </w:tr>
      <w:tr w:rsidR="00000000" w14:paraId="7A9222D7" w14:textId="77777777">
        <w:trPr>
          <w:divId w:val="1942257185"/>
        </w:trPr>
        <w:tc>
          <w:tcPr>
            <w:tcW w:w="0" w:type="auto"/>
            <w:gridSpan w:val="3"/>
            <w:shd w:val="clear" w:color="auto" w:fill="CCEEFF"/>
            <w:tcMar>
              <w:top w:w="30" w:type="dxa"/>
              <w:left w:w="245" w:type="dxa"/>
              <w:bottom w:w="30" w:type="dxa"/>
              <w:right w:w="20" w:type="dxa"/>
            </w:tcMar>
            <w:vAlign w:val="center"/>
            <w:hideMark/>
          </w:tcPr>
          <w:p w14:paraId="5B7451F3" w14:textId="77777777" w:rsidR="00000000" w:rsidRDefault="00405D16">
            <w:pPr>
              <w:spacing w:after="100"/>
              <w:rPr>
                <w:rFonts w:eastAsia="Times New Roman"/>
              </w:rPr>
            </w:pPr>
            <w:r>
              <w:rPr>
                <w:rFonts w:eastAsia="Times New Roman"/>
                <w:color w:val="000000"/>
                <w:sz w:val="18"/>
                <w:szCs w:val="18"/>
              </w:rPr>
              <w:t>Interest-bearing deposits</w:t>
            </w:r>
          </w:p>
        </w:tc>
        <w:tc>
          <w:tcPr>
            <w:tcW w:w="0" w:type="auto"/>
            <w:gridSpan w:val="3"/>
            <w:shd w:val="clear" w:color="auto" w:fill="CCEEFF"/>
            <w:tcMar>
              <w:top w:w="0" w:type="dxa"/>
              <w:left w:w="20" w:type="dxa"/>
              <w:bottom w:w="0" w:type="dxa"/>
              <w:right w:w="20" w:type="dxa"/>
            </w:tcMar>
            <w:vAlign w:val="center"/>
            <w:hideMark/>
          </w:tcPr>
          <w:p w14:paraId="1878CDBE" w14:textId="77777777" w:rsidR="00000000" w:rsidRDefault="00405D16">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6D79AC2A"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6FCEC5A9" w14:textId="77777777" w:rsidR="00000000" w:rsidRDefault="00405D16">
            <w:pPr>
              <w:spacing w:after="100"/>
              <w:jc w:val="right"/>
              <w:rPr>
                <w:rFonts w:eastAsia="Times New Roman"/>
              </w:rPr>
            </w:pPr>
            <w:r>
              <w:rPr>
                <w:rFonts w:eastAsia="Times New Roman"/>
                <w:b/>
                <w:bCs/>
                <w:color w:val="000000"/>
                <w:sz w:val="18"/>
                <w:szCs w:val="18"/>
              </w:rPr>
              <w:t>272,022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A81CEB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E43918"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1E6F15CD"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26A42946" w14:textId="77777777" w:rsidR="00000000" w:rsidRDefault="00405D16">
            <w:pPr>
              <w:spacing w:after="100"/>
              <w:jc w:val="right"/>
              <w:rPr>
                <w:rFonts w:eastAsia="Times New Roman"/>
              </w:rPr>
            </w:pPr>
            <w:r>
              <w:rPr>
                <w:rFonts w:eastAsia="Times New Roman"/>
                <w:b/>
                <w:bCs/>
                <w:color w:val="000000"/>
                <w:sz w:val="18"/>
                <w:szCs w:val="18"/>
              </w:rPr>
              <w:t>734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2D0271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77795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076C0FF" w14:textId="77777777" w:rsidR="00000000" w:rsidRDefault="00405D16">
            <w:pPr>
              <w:spacing w:after="100"/>
              <w:jc w:val="right"/>
              <w:rPr>
                <w:rFonts w:eastAsia="Times New Roman"/>
              </w:rPr>
            </w:pPr>
            <w:r>
              <w:rPr>
                <w:rFonts w:eastAsia="Times New Roman"/>
                <w:b/>
                <w:bCs/>
                <w:color w:val="000000"/>
                <w:sz w:val="18"/>
                <w:szCs w:val="18"/>
              </w:rPr>
              <w:t>0.36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6D6BE8F"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7594CEE" w14:textId="77777777" w:rsidR="00000000" w:rsidRDefault="00405D16">
            <w:pPr>
              <w:spacing w:after="100"/>
              <w:jc w:val="right"/>
              <w:rPr>
                <w:rFonts w:eastAsia="Times New Roman"/>
              </w:rPr>
            </w:pPr>
          </w:p>
        </w:tc>
        <w:tc>
          <w:tcPr>
            <w:tcW w:w="0" w:type="auto"/>
            <w:shd w:val="clear" w:color="auto" w:fill="CCEEFF"/>
            <w:tcMar>
              <w:top w:w="30" w:type="dxa"/>
              <w:left w:w="20" w:type="dxa"/>
              <w:bottom w:w="30" w:type="dxa"/>
              <w:right w:w="0" w:type="dxa"/>
            </w:tcMar>
            <w:vAlign w:val="center"/>
            <w:hideMark/>
          </w:tcPr>
          <w:p w14:paraId="07E90182"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10EB90CD" w14:textId="77777777" w:rsidR="00000000" w:rsidRDefault="00405D16">
            <w:pPr>
              <w:spacing w:after="100"/>
              <w:jc w:val="right"/>
              <w:rPr>
                <w:rFonts w:eastAsia="Times New Roman"/>
              </w:rPr>
            </w:pPr>
            <w:r>
              <w:rPr>
                <w:rFonts w:eastAsia="Times New Roman"/>
                <w:color w:val="000000"/>
                <w:sz w:val="18"/>
                <w:szCs w:val="18"/>
              </w:rPr>
              <w:t>259,631 </w:t>
            </w:r>
          </w:p>
        </w:tc>
        <w:tc>
          <w:tcPr>
            <w:tcW w:w="0" w:type="auto"/>
            <w:shd w:val="clear" w:color="auto" w:fill="CCEEFF"/>
            <w:tcMar>
              <w:top w:w="30" w:type="dxa"/>
              <w:left w:w="0" w:type="dxa"/>
              <w:bottom w:w="30" w:type="dxa"/>
              <w:right w:w="20" w:type="dxa"/>
            </w:tcMar>
            <w:vAlign w:val="center"/>
            <w:hideMark/>
          </w:tcPr>
          <w:p w14:paraId="381EC14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E941C5"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258CE3E8"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290FFDBF" w14:textId="77777777" w:rsidR="00000000" w:rsidRDefault="00405D16">
            <w:pPr>
              <w:spacing w:after="100"/>
              <w:jc w:val="right"/>
              <w:rPr>
                <w:rFonts w:eastAsia="Times New Roman"/>
              </w:rPr>
            </w:pPr>
            <w:r>
              <w:rPr>
                <w:rFonts w:eastAsia="Times New Roman"/>
                <w:color w:val="000000"/>
                <w:sz w:val="18"/>
                <w:szCs w:val="18"/>
              </w:rPr>
              <w:t>1,818 </w:t>
            </w:r>
          </w:p>
        </w:tc>
        <w:tc>
          <w:tcPr>
            <w:tcW w:w="0" w:type="auto"/>
            <w:shd w:val="clear" w:color="auto" w:fill="CCEEFF"/>
            <w:tcMar>
              <w:top w:w="30" w:type="dxa"/>
              <w:left w:w="0" w:type="dxa"/>
              <w:bottom w:w="30" w:type="dxa"/>
              <w:right w:w="20" w:type="dxa"/>
            </w:tcMar>
            <w:vAlign w:val="center"/>
            <w:hideMark/>
          </w:tcPr>
          <w:p w14:paraId="6586404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5CF75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B891DF2" w14:textId="77777777" w:rsidR="00000000" w:rsidRDefault="00405D16">
            <w:pPr>
              <w:spacing w:after="100"/>
              <w:jc w:val="right"/>
              <w:rPr>
                <w:rFonts w:eastAsia="Times New Roman"/>
              </w:rPr>
            </w:pPr>
            <w:r>
              <w:rPr>
                <w:rFonts w:eastAsia="Times New Roman"/>
                <w:color w:val="000000"/>
                <w:sz w:val="18"/>
                <w:szCs w:val="18"/>
              </w:rPr>
              <w:t>0.93 </w:t>
            </w:r>
          </w:p>
        </w:tc>
        <w:tc>
          <w:tcPr>
            <w:tcW w:w="0" w:type="auto"/>
            <w:shd w:val="clear" w:color="auto" w:fill="CCEEFF"/>
            <w:tcMar>
              <w:top w:w="30" w:type="dxa"/>
              <w:left w:w="0" w:type="dxa"/>
              <w:bottom w:w="30" w:type="dxa"/>
              <w:right w:w="20" w:type="dxa"/>
            </w:tcMar>
            <w:vAlign w:val="center"/>
            <w:hideMark/>
          </w:tcPr>
          <w:p w14:paraId="264E8AE2" w14:textId="77777777" w:rsidR="00000000" w:rsidRDefault="00405D16">
            <w:pPr>
              <w:spacing w:after="100"/>
              <w:rPr>
                <w:rFonts w:eastAsia="Times New Roman"/>
              </w:rPr>
            </w:pPr>
            <w:r>
              <w:rPr>
                <w:rFonts w:eastAsia="Times New Roman"/>
                <w:color w:val="000000"/>
                <w:sz w:val="18"/>
                <w:szCs w:val="18"/>
              </w:rPr>
              <w:t>%</w:t>
            </w:r>
          </w:p>
        </w:tc>
        <w:tc>
          <w:tcPr>
            <w:tcW w:w="0" w:type="auto"/>
            <w:vAlign w:val="center"/>
            <w:hideMark/>
          </w:tcPr>
          <w:p w14:paraId="2E32BBE5" w14:textId="77777777" w:rsidR="00000000" w:rsidRDefault="00405D16">
            <w:pPr>
              <w:spacing w:after="100"/>
              <w:rPr>
                <w:rFonts w:eastAsia="Times New Roman"/>
              </w:rPr>
            </w:pPr>
          </w:p>
        </w:tc>
        <w:tc>
          <w:tcPr>
            <w:tcW w:w="0" w:type="auto"/>
            <w:vAlign w:val="center"/>
            <w:hideMark/>
          </w:tcPr>
          <w:p w14:paraId="6B5F1814" w14:textId="77777777" w:rsidR="00000000" w:rsidRDefault="00405D16">
            <w:pPr>
              <w:spacing w:after="100"/>
              <w:rPr>
                <w:rFonts w:eastAsia="Times New Roman"/>
                <w:sz w:val="20"/>
                <w:szCs w:val="20"/>
              </w:rPr>
            </w:pPr>
          </w:p>
        </w:tc>
        <w:tc>
          <w:tcPr>
            <w:tcW w:w="0" w:type="auto"/>
            <w:gridSpan w:val="3"/>
            <w:vAlign w:val="center"/>
            <w:hideMark/>
          </w:tcPr>
          <w:p w14:paraId="3A2BB9F1" w14:textId="77777777" w:rsidR="00000000" w:rsidRDefault="00405D16">
            <w:pPr>
              <w:spacing w:after="100"/>
              <w:rPr>
                <w:rFonts w:eastAsia="Times New Roman"/>
                <w:sz w:val="20"/>
                <w:szCs w:val="20"/>
              </w:rPr>
            </w:pPr>
          </w:p>
        </w:tc>
        <w:tc>
          <w:tcPr>
            <w:tcW w:w="0" w:type="auto"/>
            <w:gridSpan w:val="3"/>
            <w:vAlign w:val="center"/>
            <w:hideMark/>
          </w:tcPr>
          <w:p w14:paraId="3A892400" w14:textId="77777777" w:rsidR="00000000" w:rsidRDefault="00405D16">
            <w:pPr>
              <w:spacing w:after="100"/>
              <w:rPr>
                <w:rFonts w:eastAsia="Times New Roman"/>
                <w:sz w:val="20"/>
                <w:szCs w:val="20"/>
              </w:rPr>
            </w:pPr>
          </w:p>
        </w:tc>
        <w:tc>
          <w:tcPr>
            <w:tcW w:w="0" w:type="auto"/>
            <w:gridSpan w:val="3"/>
            <w:vAlign w:val="center"/>
            <w:hideMark/>
          </w:tcPr>
          <w:p w14:paraId="3A36D87C" w14:textId="77777777" w:rsidR="00000000" w:rsidRDefault="00405D16">
            <w:pPr>
              <w:spacing w:after="100"/>
              <w:rPr>
                <w:rFonts w:eastAsia="Times New Roman"/>
                <w:sz w:val="20"/>
                <w:szCs w:val="20"/>
              </w:rPr>
            </w:pPr>
          </w:p>
        </w:tc>
        <w:tc>
          <w:tcPr>
            <w:tcW w:w="0" w:type="auto"/>
            <w:gridSpan w:val="3"/>
            <w:vAlign w:val="center"/>
            <w:hideMark/>
          </w:tcPr>
          <w:p w14:paraId="651BE7A2" w14:textId="77777777" w:rsidR="00000000" w:rsidRDefault="00405D16">
            <w:pPr>
              <w:spacing w:after="100"/>
              <w:rPr>
                <w:rFonts w:eastAsia="Times New Roman"/>
                <w:sz w:val="20"/>
                <w:szCs w:val="20"/>
              </w:rPr>
            </w:pPr>
          </w:p>
        </w:tc>
      </w:tr>
      <w:tr w:rsidR="00000000" w14:paraId="32E0F63E" w14:textId="77777777">
        <w:trPr>
          <w:divId w:val="1942257185"/>
        </w:trPr>
        <w:tc>
          <w:tcPr>
            <w:tcW w:w="0" w:type="auto"/>
            <w:gridSpan w:val="3"/>
            <w:shd w:val="clear" w:color="auto" w:fill="FFFFFF"/>
            <w:tcMar>
              <w:top w:w="30" w:type="dxa"/>
              <w:left w:w="245" w:type="dxa"/>
              <w:bottom w:w="30" w:type="dxa"/>
              <w:right w:w="20" w:type="dxa"/>
            </w:tcMar>
            <w:vAlign w:val="center"/>
            <w:hideMark/>
          </w:tcPr>
          <w:p w14:paraId="534F8F03" w14:textId="77777777" w:rsidR="00000000" w:rsidRDefault="00405D16">
            <w:pPr>
              <w:spacing w:after="100"/>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14:paraId="2E2E3823"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E2C6C95" w14:textId="77777777" w:rsidR="00000000" w:rsidRDefault="00405D16">
            <w:pPr>
              <w:spacing w:after="100"/>
              <w:jc w:val="right"/>
              <w:rPr>
                <w:rFonts w:eastAsia="Times New Roman"/>
              </w:rPr>
            </w:pPr>
            <w:r>
              <w:rPr>
                <w:rFonts w:eastAsia="Times New Roman"/>
                <w:b/>
                <w:bCs/>
                <w:color w:val="000000"/>
                <w:sz w:val="18"/>
                <w:szCs w:val="18"/>
              </w:rPr>
              <w:t>11,851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94E701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2FD62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337C3A2" w14:textId="77777777" w:rsidR="00000000" w:rsidRDefault="00405D16">
            <w:pPr>
              <w:spacing w:after="100"/>
              <w:jc w:val="right"/>
              <w:rPr>
                <w:rFonts w:eastAsia="Times New Roman"/>
              </w:rPr>
            </w:pPr>
            <w:r>
              <w:rPr>
                <w:rFonts w:eastAsia="Times New Roman"/>
                <w:b/>
                <w:bCs/>
                <w:color w:val="000000"/>
                <w:sz w:val="18"/>
                <w:szCs w:val="18"/>
              </w:rPr>
              <w:t>89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D58BE1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80966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017B4EF" w14:textId="77777777" w:rsidR="00000000" w:rsidRDefault="00405D16">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884E66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88C6E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34280B3" w14:textId="77777777" w:rsidR="00000000" w:rsidRDefault="00405D16">
            <w:pPr>
              <w:spacing w:after="100"/>
              <w:jc w:val="right"/>
              <w:rPr>
                <w:rFonts w:eastAsia="Times New Roman"/>
              </w:rPr>
            </w:pPr>
            <w:r>
              <w:rPr>
                <w:rFonts w:eastAsia="Times New Roman"/>
                <w:color w:val="000000"/>
                <w:sz w:val="18"/>
                <w:szCs w:val="18"/>
              </w:rPr>
              <w:t>16,500 </w:t>
            </w:r>
          </w:p>
        </w:tc>
        <w:tc>
          <w:tcPr>
            <w:tcW w:w="0" w:type="auto"/>
            <w:shd w:val="clear" w:color="auto" w:fill="FFFFFF"/>
            <w:tcMar>
              <w:top w:w="30" w:type="dxa"/>
              <w:left w:w="0" w:type="dxa"/>
              <w:bottom w:w="30" w:type="dxa"/>
              <w:right w:w="20" w:type="dxa"/>
            </w:tcMar>
            <w:vAlign w:val="center"/>
            <w:hideMark/>
          </w:tcPr>
          <w:p w14:paraId="3950408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C7307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29A0C89" w14:textId="77777777" w:rsidR="00000000" w:rsidRDefault="00405D16">
            <w:pPr>
              <w:spacing w:after="100"/>
              <w:jc w:val="right"/>
              <w:rPr>
                <w:rFonts w:eastAsia="Times New Roman"/>
              </w:rPr>
            </w:pPr>
            <w:r>
              <w:rPr>
                <w:rFonts w:eastAsia="Times New Roman"/>
                <w:color w:val="000000"/>
                <w:sz w:val="18"/>
                <w:szCs w:val="18"/>
              </w:rPr>
              <w:t>198 </w:t>
            </w:r>
          </w:p>
        </w:tc>
        <w:tc>
          <w:tcPr>
            <w:tcW w:w="0" w:type="auto"/>
            <w:shd w:val="clear" w:color="auto" w:fill="FFFFFF"/>
            <w:tcMar>
              <w:top w:w="30" w:type="dxa"/>
              <w:left w:w="0" w:type="dxa"/>
              <w:bottom w:w="30" w:type="dxa"/>
              <w:right w:w="20" w:type="dxa"/>
            </w:tcMar>
            <w:vAlign w:val="center"/>
            <w:hideMark/>
          </w:tcPr>
          <w:p w14:paraId="5ADFA10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32AC9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3150004" w14:textId="77777777" w:rsidR="00000000" w:rsidRDefault="00405D16">
            <w:pPr>
              <w:spacing w:after="100"/>
              <w:jc w:val="right"/>
              <w:rPr>
                <w:rFonts w:eastAsia="Times New Roman"/>
              </w:rPr>
            </w:pPr>
            <w:r>
              <w:rPr>
                <w:rFonts w:eastAsia="Times New Roman"/>
                <w:color w:val="000000"/>
                <w:sz w:val="18"/>
                <w:szCs w:val="18"/>
              </w:rPr>
              <w:t>1.60 </w:t>
            </w:r>
          </w:p>
        </w:tc>
        <w:tc>
          <w:tcPr>
            <w:tcW w:w="0" w:type="auto"/>
            <w:shd w:val="clear" w:color="auto" w:fill="FFFFFF"/>
            <w:tcMar>
              <w:top w:w="30" w:type="dxa"/>
              <w:left w:w="0" w:type="dxa"/>
              <w:bottom w:w="30" w:type="dxa"/>
              <w:right w:w="20" w:type="dxa"/>
            </w:tcMar>
            <w:vAlign w:val="center"/>
            <w:hideMark/>
          </w:tcPr>
          <w:p w14:paraId="17AE7265" w14:textId="77777777" w:rsidR="00000000" w:rsidRDefault="00405D16">
            <w:pPr>
              <w:spacing w:after="100"/>
              <w:jc w:val="right"/>
              <w:rPr>
                <w:rFonts w:eastAsia="Times New Roman"/>
              </w:rPr>
            </w:pPr>
          </w:p>
        </w:tc>
        <w:tc>
          <w:tcPr>
            <w:tcW w:w="0" w:type="auto"/>
            <w:vAlign w:val="center"/>
            <w:hideMark/>
          </w:tcPr>
          <w:p w14:paraId="1A675779" w14:textId="77777777" w:rsidR="00000000" w:rsidRDefault="00405D16">
            <w:pPr>
              <w:spacing w:after="100"/>
              <w:jc w:val="right"/>
              <w:rPr>
                <w:rFonts w:eastAsia="Times New Roman"/>
                <w:sz w:val="20"/>
                <w:szCs w:val="20"/>
              </w:rPr>
            </w:pPr>
          </w:p>
        </w:tc>
        <w:tc>
          <w:tcPr>
            <w:tcW w:w="0" w:type="auto"/>
            <w:vAlign w:val="center"/>
            <w:hideMark/>
          </w:tcPr>
          <w:p w14:paraId="09937B14" w14:textId="77777777" w:rsidR="00000000" w:rsidRDefault="00405D16">
            <w:pPr>
              <w:spacing w:after="100"/>
              <w:rPr>
                <w:rFonts w:eastAsia="Times New Roman"/>
                <w:sz w:val="20"/>
                <w:szCs w:val="20"/>
              </w:rPr>
            </w:pPr>
          </w:p>
        </w:tc>
        <w:tc>
          <w:tcPr>
            <w:tcW w:w="0" w:type="auto"/>
            <w:gridSpan w:val="3"/>
            <w:vAlign w:val="center"/>
            <w:hideMark/>
          </w:tcPr>
          <w:p w14:paraId="79E551A1" w14:textId="77777777" w:rsidR="00000000" w:rsidRDefault="00405D16">
            <w:pPr>
              <w:spacing w:after="100"/>
              <w:rPr>
                <w:rFonts w:eastAsia="Times New Roman"/>
                <w:sz w:val="20"/>
                <w:szCs w:val="20"/>
              </w:rPr>
            </w:pPr>
          </w:p>
        </w:tc>
        <w:tc>
          <w:tcPr>
            <w:tcW w:w="0" w:type="auto"/>
            <w:gridSpan w:val="3"/>
            <w:vAlign w:val="center"/>
            <w:hideMark/>
          </w:tcPr>
          <w:p w14:paraId="6D79837F" w14:textId="77777777" w:rsidR="00000000" w:rsidRDefault="00405D16">
            <w:pPr>
              <w:spacing w:after="100"/>
              <w:rPr>
                <w:rFonts w:eastAsia="Times New Roman"/>
                <w:sz w:val="20"/>
                <w:szCs w:val="20"/>
              </w:rPr>
            </w:pPr>
          </w:p>
        </w:tc>
        <w:tc>
          <w:tcPr>
            <w:tcW w:w="0" w:type="auto"/>
            <w:gridSpan w:val="3"/>
            <w:vAlign w:val="center"/>
            <w:hideMark/>
          </w:tcPr>
          <w:p w14:paraId="69B6A2A2" w14:textId="77777777" w:rsidR="00000000" w:rsidRDefault="00405D16">
            <w:pPr>
              <w:spacing w:after="100"/>
              <w:rPr>
                <w:rFonts w:eastAsia="Times New Roman"/>
                <w:sz w:val="20"/>
                <w:szCs w:val="20"/>
              </w:rPr>
            </w:pPr>
          </w:p>
        </w:tc>
        <w:tc>
          <w:tcPr>
            <w:tcW w:w="0" w:type="auto"/>
            <w:gridSpan w:val="3"/>
            <w:vAlign w:val="center"/>
            <w:hideMark/>
          </w:tcPr>
          <w:p w14:paraId="1E8A18AA" w14:textId="77777777" w:rsidR="00000000" w:rsidRDefault="00405D16">
            <w:pPr>
              <w:spacing w:after="100"/>
              <w:rPr>
                <w:rFonts w:eastAsia="Times New Roman"/>
                <w:sz w:val="20"/>
                <w:szCs w:val="20"/>
              </w:rPr>
            </w:pPr>
          </w:p>
        </w:tc>
      </w:tr>
      <w:tr w:rsidR="00000000" w14:paraId="7CCD04FD" w14:textId="77777777">
        <w:trPr>
          <w:divId w:val="1942257185"/>
        </w:trPr>
        <w:tc>
          <w:tcPr>
            <w:tcW w:w="0" w:type="auto"/>
            <w:gridSpan w:val="3"/>
            <w:shd w:val="clear" w:color="auto" w:fill="CCEEFF"/>
            <w:tcMar>
              <w:top w:w="30" w:type="dxa"/>
              <w:left w:w="245" w:type="dxa"/>
              <w:bottom w:w="30" w:type="dxa"/>
              <w:right w:w="20" w:type="dxa"/>
            </w:tcMar>
            <w:vAlign w:val="center"/>
            <w:hideMark/>
          </w:tcPr>
          <w:p w14:paraId="7B53831C" w14:textId="77777777" w:rsidR="00000000" w:rsidRDefault="00405D16">
            <w:pPr>
              <w:spacing w:after="100"/>
              <w:rPr>
                <w:rFonts w:eastAsia="Times New Roman"/>
              </w:rPr>
            </w:pPr>
            <w:r>
              <w:rPr>
                <w:rFonts w:eastAsia="Times New Roman"/>
                <w:color w:val="000000"/>
                <w:sz w:val="18"/>
                <w:szCs w:val="18"/>
              </w:rPr>
              <w:t>Senior and subordinated notes</w:t>
            </w:r>
          </w:p>
        </w:tc>
        <w:tc>
          <w:tcPr>
            <w:tcW w:w="0" w:type="auto"/>
            <w:gridSpan w:val="3"/>
            <w:shd w:val="clear" w:color="auto" w:fill="CCEEFF"/>
            <w:tcMar>
              <w:top w:w="0" w:type="dxa"/>
              <w:left w:w="20" w:type="dxa"/>
              <w:bottom w:w="0" w:type="dxa"/>
              <w:right w:w="20" w:type="dxa"/>
            </w:tcMar>
            <w:vAlign w:val="center"/>
            <w:hideMark/>
          </w:tcPr>
          <w:p w14:paraId="4DD9BA2A"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4C7B3CD" w14:textId="77777777" w:rsidR="00000000" w:rsidRDefault="00405D16">
            <w:pPr>
              <w:spacing w:after="100"/>
              <w:jc w:val="right"/>
              <w:rPr>
                <w:rFonts w:eastAsia="Times New Roman"/>
              </w:rPr>
            </w:pPr>
            <w:r>
              <w:rPr>
                <w:rFonts w:eastAsia="Times New Roman"/>
                <w:b/>
                <w:bCs/>
                <w:color w:val="000000"/>
                <w:sz w:val="18"/>
                <w:szCs w:val="18"/>
              </w:rPr>
              <w:t>25,555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C49917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5D915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99C8E3D" w14:textId="77777777" w:rsidR="00000000" w:rsidRDefault="00405D16">
            <w:pPr>
              <w:spacing w:after="100"/>
              <w:jc w:val="right"/>
              <w:rPr>
                <w:rFonts w:eastAsia="Times New Roman"/>
              </w:rPr>
            </w:pPr>
            <w:r>
              <w:rPr>
                <w:rFonts w:eastAsia="Times New Roman"/>
                <w:b/>
                <w:bCs/>
                <w:color w:val="000000"/>
                <w:sz w:val="18"/>
                <w:szCs w:val="18"/>
              </w:rPr>
              <w:t>367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609B4B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67BD2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FD08317" w14:textId="77777777" w:rsidR="00000000" w:rsidRDefault="00405D16">
            <w:pPr>
              <w:spacing w:after="100"/>
              <w:jc w:val="right"/>
              <w:rPr>
                <w:rFonts w:eastAsia="Times New Roman"/>
              </w:rPr>
            </w:pPr>
            <w:r>
              <w:rPr>
                <w:rFonts w:eastAsia="Times New Roman"/>
                <w:b/>
                <w:bCs/>
                <w:color w:val="000000"/>
                <w:sz w:val="18"/>
                <w:szCs w:val="18"/>
              </w:rPr>
              <w:t>1.92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D42083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41C70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B7D0F11" w14:textId="77777777" w:rsidR="00000000" w:rsidRDefault="00405D16">
            <w:pPr>
              <w:spacing w:after="100"/>
              <w:jc w:val="right"/>
              <w:rPr>
                <w:rFonts w:eastAsia="Times New Roman"/>
              </w:rPr>
            </w:pPr>
            <w:r>
              <w:rPr>
                <w:rFonts w:eastAsia="Times New Roman"/>
                <w:color w:val="000000"/>
                <w:sz w:val="18"/>
                <w:szCs w:val="18"/>
              </w:rPr>
              <w:t>30,371 </w:t>
            </w:r>
          </w:p>
        </w:tc>
        <w:tc>
          <w:tcPr>
            <w:tcW w:w="0" w:type="auto"/>
            <w:shd w:val="clear" w:color="auto" w:fill="CCEEFF"/>
            <w:tcMar>
              <w:top w:w="30" w:type="dxa"/>
              <w:left w:w="0" w:type="dxa"/>
              <w:bottom w:w="30" w:type="dxa"/>
              <w:right w:w="20" w:type="dxa"/>
            </w:tcMar>
            <w:vAlign w:val="center"/>
            <w:hideMark/>
          </w:tcPr>
          <w:p w14:paraId="27B7C98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BA3AE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37245A6" w14:textId="77777777" w:rsidR="00000000" w:rsidRDefault="00405D16">
            <w:pPr>
              <w:spacing w:after="100"/>
              <w:jc w:val="right"/>
              <w:rPr>
                <w:rFonts w:eastAsia="Times New Roman"/>
              </w:rPr>
            </w:pPr>
            <w:r>
              <w:rPr>
                <w:rFonts w:eastAsia="Times New Roman"/>
                <w:color w:val="000000"/>
                <w:sz w:val="18"/>
                <w:szCs w:val="18"/>
              </w:rPr>
              <w:t>551 </w:t>
            </w:r>
          </w:p>
        </w:tc>
        <w:tc>
          <w:tcPr>
            <w:tcW w:w="0" w:type="auto"/>
            <w:shd w:val="clear" w:color="auto" w:fill="CCEEFF"/>
            <w:tcMar>
              <w:top w:w="30" w:type="dxa"/>
              <w:left w:w="0" w:type="dxa"/>
              <w:bottom w:w="30" w:type="dxa"/>
              <w:right w:w="20" w:type="dxa"/>
            </w:tcMar>
            <w:vAlign w:val="center"/>
            <w:hideMark/>
          </w:tcPr>
          <w:p w14:paraId="21E6BEB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2EF19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FF6B414" w14:textId="77777777" w:rsidR="00000000" w:rsidRDefault="00405D16">
            <w:pPr>
              <w:spacing w:after="100"/>
              <w:jc w:val="right"/>
              <w:rPr>
                <w:rFonts w:eastAsia="Times New Roman"/>
              </w:rPr>
            </w:pPr>
            <w:r>
              <w:rPr>
                <w:rFonts w:eastAsia="Times New Roman"/>
                <w:color w:val="000000"/>
                <w:sz w:val="18"/>
                <w:szCs w:val="18"/>
              </w:rPr>
              <w:t>2.42 </w:t>
            </w:r>
          </w:p>
        </w:tc>
        <w:tc>
          <w:tcPr>
            <w:tcW w:w="0" w:type="auto"/>
            <w:shd w:val="clear" w:color="auto" w:fill="CCEEFF"/>
            <w:tcMar>
              <w:top w:w="30" w:type="dxa"/>
              <w:left w:w="0" w:type="dxa"/>
              <w:bottom w:w="30" w:type="dxa"/>
              <w:right w:w="20" w:type="dxa"/>
            </w:tcMar>
            <w:vAlign w:val="center"/>
            <w:hideMark/>
          </w:tcPr>
          <w:p w14:paraId="566719AA" w14:textId="77777777" w:rsidR="00000000" w:rsidRDefault="00405D16">
            <w:pPr>
              <w:spacing w:after="100"/>
              <w:jc w:val="right"/>
              <w:rPr>
                <w:rFonts w:eastAsia="Times New Roman"/>
              </w:rPr>
            </w:pPr>
          </w:p>
        </w:tc>
        <w:tc>
          <w:tcPr>
            <w:tcW w:w="0" w:type="auto"/>
            <w:vAlign w:val="center"/>
            <w:hideMark/>
          </w:tcPr>
          <w:p w14:paraId="4C5063A7" w14:textId="77777777" w:rsidR="00000000" w:rsidRDefault="00405D16">
            <w:pPr>
              <w:spacing w:after="100"/>
              <w:jc w:val="right"/>
              <w:rPr>
                <w:rFonts w:eastAsia="Times New Roman"/>
                <w:sz w:val="20"/>
                <w:szCs w:val="20"/>
              </w:rPr>
            </w:pPr>
          </w:p>
        </w:tc>
        <w:tc>
          <w:tcPr>
            <w:tcW w:w="0" w:type="auto"/>
            <w:vAlign w:val="center"/>
            <w:hideMark/>
          </w:tcPr>
          <w:p w14:paraId="430BCFCA" w14:textId="77777777" w:rsidR="00000000" w:rsidRDefault="00405D16">
            <w:pPr>
              <w:spacing w:after="100"/>
              <w:rPr>
                <w:rFonts w:eastAsia="Times New Roman"/>
                <w:sz w:val="20"/>
                <w:szCs w:val="20"/>
              </w:rPr>
            </w:pPr>
          </w:p>
        </w:tc>
        <w:tc>
          <w:tcPr>
            <w:tcW w:w="0" w:type="auto"/>
            <w:gridSpan w:val="3"/>
            <w:vAlign w:val="center"/>
            <w:hideMark/>
          </w:tcPr>
          <w:p w14:paraId="372F5538" w14:textId="77777777" w:rsidR="00000000" w:rsidRDefault="00405D16">
            <w:pPr>
              <w:spacing w:after="100"/>
              <w:rPr>
                <w:rFonts w:eastAsia="Times New Roman"/>
                <w:sz w:val="20"/>
                <w:szCs w:val="20"/>
              </w:rPr>
            </w:pPr>
          </w:p>
        </w:tc>
        <w:tc>
          <w:tcPr>
            <w:tcW w:w="0" w:type="auto"/>
            <w:gridSpan w:val="3"/>
            <w:vAlign w:val="center"/>
            <w:hideMark/>
          </w:tcPr>
          <w:p w14:paraId="2DE52135" w14:textId="77777777" w:rsidR="00000000" w:rsidRDefault="00405D16">
            <w:pPr>
              <w:spacing w:after="100"/>
              <w:rPr>
                <w:rFonts w:eastAsia="Times New Roman"/>
                <w:sz w:val="20"/>
                <w:szCs w:val="20"/>
              </w:rPr>
            </w:pPr>
          </w:p>
        </w:tc>
        <w:tc>
          <w:tcPr>
            <w:tcW w:w="0" w:type="auto"/>
            <w:gridSpan w:val="3"/>
            <w:vAlign w:val="center"/>
            <w:hideMark/>
          </w:tcPr>
          <w:p w14:paraId="4A37BC41" w14:textId="77777777" w:rsidR="00000000" w:rsidRDefault="00405D16">
            <w:pPr>
              <w:spacing w:after="100"/>
              <w:rPr>
                <w:rFonts w:eastAsia="Times New Roman"/>
                <w:sz w:val="20"/>
                <w:szCs w:val="20"/>
              </w:rPr>
            </w:pPr>
          </w:p>
        </w:tc>
        <w:tc>
          <w:tcPr>
            <w:tcW w:w="0" w:type="auto"/>
            <w:gridSpan w:val="3"/>
            <w:vAlign w:val="center"/>
            <w:hideMark/>
          </w:tcPr>
          <w:p w14:paraId="573DE6D3" w14:textId="77777777" w:rsidR="00000000" w:rsidRDefault="00405D16">
            <w:pPr>
              <w:spacing w:after="100"/>
              <w:rPr>
                <w:rFonts w:eastAsia="Times New Roman"/>
                <w:sz w:val="20"/>
                <w:szCs w:val="20"/>
              </w:rPr>
            </w:pPr>
          </w:p>
        </w:tc>
      </w:tr>
      <w:tr w:rsidR="00000000" w14:paraId="6B3CB78F" w14:textId="77777777">
        <w:trPr>
          <w:divId w:val="1942257185"/>
        </w:trPr>
        <w:tc>
          <w:tcPr>
            <w:tcW w:w="0" w:type="auto"/>
            <w:gridSpan w:val="3"/>
            <w:shd w:val="clear" w:color="auto" w:fill="FFFFFF"/>
            <w:tcMar>
              <w:top w:w="30" w:type="dxa"/>
              <w:left w:w="245" w:type="dxa"/>
              <w:bottom w:w="30" w:type="dxa"/>
              <w:right w:w="20" w:type="dxa"/>
            </w:tcMar>
            <w:vAlign w:val="center"/>
            <w:hideMark/>
          </w:tcPr>
          <w:p w14:paraId="60456408" w14:textId="77777777" w:rsidR="00000000" w:rsidRDefault="00405D16">
            <w:pPr>
              <w:spacing w:after="100"/>
              <w:rPr>
                <w:rFonts w:eastAsia="Times New Roman"/>
              </w:rPr>
            </w:pPr>
            <w:r>
              <w:rPr>
                <w:rFonts w:eastAsia="Times New Roman"/>
                <w:color w:val="000000"/>
                <w:sz w:val="18"/>
                <w:szCs w:val="18"/>
              </w:rPr>
              <w:t>Other borrowings and liabilities</w:t>
            </w:r>
          </w:p>
        </w:tc>
        <w:tc>
          <w:tcPr>
            <w:tcW w:w="0" w:type="auto"/>
            <w:gridSpan w:val="3"/>
            <w:shd w:val="clear" w:color="auto" w:fill="FFFFFF"/>
            <w:tcMar>
              <w:top w:w="0" w:type="dxa"/>
              <w:left w:w="20" w:type="dxa"/>
              <w:bottom w:w="0" w:type="dxa"/>
              <w:right w:w="20" w:type="dxa"/>
            </w:tcMar>
            <w:vAlign w:val="center"/>
            <w:hideMark/>
          </w:tcPr>
          <w:p w14:paraId="611B6623"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32A47BF" w14:textId="77777777" w:rsidR="00000000" w:rsidRDefault="00405D16">
            <w:pPr>
              <w:spacing w:after="100"/>
              <w:jc w:val="right"/>
              <w:rPr>
                <w:rFonts w:eastAsia="Times New Roman"/>
              </w:rPr>
            </w:pPr>
            <w:r>
              <w:rPr>
                <w:rFonts w:eastAsia="Times New Roman"/>
                <w:b/>
                <w:bCs/>
                <w:color w:val="000000"/>
                <w:sz w:val="18"/>
                <w:szCs w:val="18"/>
              </w:rPr>
              <w:t>2,256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80F4DF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2EE60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83A9612" w14:textId="77777777" w:rsidR="00000000" w:rsidRDefault="00405D16">
            <w:pPr>
              <w:spacing w:after="100"/>
              <w:jc w:val="right"/>
              <w:rPr>
                <w:rFonts w:eastAsia="Times New Roman"/>
              </w:rPr>
            </w:pPr>
            <w:r>
              <w:rPr>
                <w:rFonts w:eastAsia="Times New Roman"/>
                <w:b/>
                <w:bCs/>
                <w:color w:val="000000"/>
                <w:sz w:val="18"/>
                <w:szCs w:val="18"/>
              </w:rPr>
              <w:t>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A9C04F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78063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D9387E8" w14:textId="77777777" w:rsidR="00000000" w:rsidRDefault="00405D16">
            <w:pPr>
              <w:spacing w:after="100"/>
              <w:jc w:val="right"/>
              <w:rPr>
                <w:rFonts w:eastAsia="Times New Roman"/>
              </w:rPr>
            </w:pPr>
            <w:r>
              <w:rPr>
                <w:rFonts w:eastAsia="Times New Roman"/>
                <w:b/>
                <w:bCs/>
                <w:color w:val="000000"/>
                <w:sz w:val="18"/>
                <w:szCs w:val="18"/>
              </w:rPr>
              <w:t>1.59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FD1A8F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4C1C3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7E2656E" w14:textId="77777777" w:rsidR="00000000" w:rsidRDefault="00405D16">
            <w:pPr>
              <w:spacing w:after="100"/>
              <w:jc w:val="right"/>
              <w:rPr>
                <w:rFonts w:eastAsia="Times New Roman"/>
              </w:rPr>
            </w:pPr>
            <w:r>
              <w:rPr>
                <w:rFonts w:eastAsia="Times New Roman"/>
                <w:color w:val="000000"/>
                <w:sz w:val="18"/>
                <w:szCs w:val="18"/>
              </w:rPr>
              <w:t>3,147 </w:t>
            </w:r>
          </w:p>
        </w:tc>
        <w:tc>
          <w:tcPr>
            <w:tcW w:w="0" w:type="auto"/>
            <w:shd w:val="clear" w:color="auto" w:fill="FFFFFF"/>
            <w:tcMar>
              <w:top w:w="30" w:type="dxa"/>
              <w:left w:w="0" w:type="dxa"/>
              <w:bottom w:w="30" w:type="dxa"/>
              <w:right w:w="20" w:type="dxa"/>
            </w:tcMar>
            <w:vAlign w:val="center"/>
            <w:hideMark/>
          </w:tcPr>
          <w:p w14:paraId="735A20C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A92B4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BEDC4F7" w14:textId="77777777" w:rsidR="00000000" w:rsidRDefault="00405D16">
            <w:pPr>
              <w:spacing w:after="100"/>
              <w:jc w:val="right"/>
              <w:rPr>
                <w:rFonts w:eastAsia="Times New Roman"/>
              </w:rPr>
            </w:pPr>
            <w:r>
              <w:rPr>
                <w:rFonts w:eastAsia="Times New Roman"/>
                <w:color w:val="000000"/>
                <w:sz w:val="18"/>
                <w:szCs w:val="18"/>
              </w:rPr>
              <w:t>35 </w:t>
            </w:r>
          </w:p>
        </w:tc>
        <w:tc>
          <w:tcPr>
            <w:tcW w:w="0" w:type="auto"/>
            <w:shd w:val="clear" w:color="auto" w:fill="FFFFFF"/>
            <w:tcMar>
              <w:top w:w="30" w:type="dxa"/>
              <w:left w:w="0" w:type="dxa"/>
              <w:bottom w:w="30" w:type="dxa"/>
              <w:right w:w="20" w:type="dxa"/>
            </w:tcMar>
            <w:vAlign w:val="center"/>
            <w:hideMark/>
          </w:tcPr>
          <w:p w14:paraId="1BAA1BD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FAADF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6F1CD88" w14:textId="77777777" w:rsidR="00000000" w:rsidRDefault="00405D16">
            <w:pPr>
              <w:spacing w:after="100"/>
              <w:jc w:val="right"/>
              <w:rPr>
                <w:rFonts w:eastAsia="Times New Roman"/>
              </w:rPr>
            </w:pPr>
            <w:r>
              <w:rPr>
                <w:rFonts w:eastAsia="Times New Roman"/>
                <w:color w:val="000000"/>
                <w:sz w:val="18"/>
                <w:szCs w:val="18"/>
              </w:rPr>
              <w:t>1.50 </w:t>
            </w:r>
          </w:p>
        </w:tc>
        <w:tc>
          <w:tcPr>
            <w:tcW w:w="0" w:type="auto"/>
            <w:shd w:val="clear" w:color="auto" w:fill="FFFFFF"/>
            <w:tcMar>
              <w:top w:w="30" w:type="dxa"/>
              <w:left w:w="0" w:type="dxa"/>
              <w:bottom w:w="30" w:type="dxa"/>
              <w:right w:w="20" w:type="dxa"/>
            </w:tcMar>
            <w:vAlign w:val="center"/>
            <w:hideMark/>
          </w:tcPr>
          <w:p w14:paraId="55668F3B" w14:textId="77777777" w:rsidR="00000000" w:rsidRDefault="00405D16">
            <w:pPr>
              <w:spacing w:after="100"/>
              <w:jc w:val="right"/>
              <w:rPr>
                <w:rFonts w:eastAsia="Times New Roman"/>
              </w:rPr>
            </w:pPr>
          </w:p>
        </w:tc>
        <w:tc>
          <w:tcPr>
            <w:tcW w:w="0" w:type="auto"/>
            <w:vAlign w:val="center"/>
            <w:hideMark/>
          </w:tcPr>
          <w:p w14:paraId="5A91A672" w14:textId="77777777" w:rsidR="00000000" w:rsidRDefault="00405D16">
            <w:pPr>
              <w:spacing w:after="100"/>
              <w:jc w:val="right"/>
              <w:rPr>
                <w:rFonts w:eastAsia="Times New Roman"/>
                <w:sz w:val="20"/>
                <w:szCs w:val="20"/>
              </w:rPr>
            </w:pPr>
          </w:p>
        </w:tc>
        <w:tc>
          <w:tcPr>
            <w:tcW w:w="0" w:type="auto"/>
            <w:vAlign w:val="center"/>
            <w:hideMark/>
          </w:tcPr>
          <w:p w14:paraId="20AB3F5A" w14:textId="77777777" w:rsidR="00000000" w:rsidRDefault="00405D16">
            <w:pPr>
              <w:spacing w:after="100"/>
              <w:rPr>
                <w:rFonts w:eastAsia="Times New Roman"/>
                <w:sz w:val="20"/>
                <w:szCs w:val="20"/>
              </w:rPr>
            </w:pPr>
          </w:p>
        </w:tc>
        <w:tc>
          <w:tcPr>
            <w:tcW w:w="0" w:type="auto"/>
            <w:gridSpan w:val="3"/>
            <w:vAlign w:val="center"/>
            <w:hideMark/>
          </w:tcPr>
          <w:p w14:paraId="64AA34A9" w14:textId="77777777" w:rsidR="00000000" w:rsidRDefault="00405D16">
            <w:pPr>
              <w:spacing w:after="100"/>
              <w:rPr>
                <w:rFonts w:eastAsia="Times New Roman"/>
                <w:sz w:val="20"/>
                <w:szCs w:val="20"/>
              </w:rPr>
            </w:pPr>
          </w:p>
        </w:tc>
        <w:tc>
          <w:tcPr>
            <w:tcW w:w="0" w:type="auto"/>
            <w:gridSpan w:val="3"/>
            <w:vAlign w:val="center"/>
            <w:hideMark/>
          </w:tcPr>
          <w:p w14:paraId="70B336D8" w14:textId="77777777" w:rsidR="00000000" w:rsidRDefault="00405D16">
            <w:pPr>
              <w:spacing w:after="100"/>
              <w:rPr>
                <w:rFonts w:eastAsia="Times New Roman"/>
                <w:sz w:val="20"/>
                <w:szCs w:val="20"/>
              </w:rPr>
            </w:pPr>
          </w:p>
        </w:tc>
        <w:tc>
          <w:tcPr>
            <w:tcW w:w="0" w:type="auto"/>
            <w:gridSpan w:val="3"/>
            <w:vAlign w:val="center"/>
            <w:hideMark/>
          </w:tcPr>
          <w:p w14:paraId="264BFB8D" w14:textId="77777777" w:rsidR="00000000" w:rsidRDefault="00405D16">
            <w:pPr>
              <w:spacing w:after="100"/>
              <w:rPr>
                <w:rFonts w:eastAsia="Times New Roman"/>
                <w:sz w:val="20"/>
                <w:szCs w:val="20"/>
              </w:rPr>
            </w:pPr>
          </w:p>
        </w:tc>
        <w:tc>
          <w:tcPr>
            <w:tcW w:w="0" w:type="auto"/>
            <w:gridSpan w:val="3"/>
            <w:vAlign w:val="center"/>
            <w:hideMark/>
          </w:tcPr>
          <w:p w14:paraId="4BFE0618" w14:textId="77777777" w:rsidR="00000000" w:rsidRDefault="00405D16">
            <w:pPr>
              <w:spacing w:after="100"/>
              <w:rPr>
                <w:rFonts w:eastAsia="Times New Roman"/>
                <w:sz w:val="20"/>
                <w:szCs w:val="20"/>
              </w:rPr>
            </w:pPr>
          </w:p>
        </w:tc>
      </w:tr>
      <w:tr w:rsidR="00000000" w14:paraId="04271B84" w14:textId="77777777">
        <w:trPr>
          <w:divId w:val="1942257185"/>
        </w:trPr>
        <w:tc>
          <w:tcPr>
            <w:tcW w:w="0" w:type="auto"/>
            <w:gridSpan w:val="3"/>
            <w:shd w:val="clear" w:color="auto" w:fill="CCEEFF"/>
            <w:tcMar>
              <w:top w:w="30" w:type="dxa"/>
              <w:left w:w="20" w:type="dxa"/>
              <w:bottom w:w="30" w:type="dxa"/>
              <w:right w:w="20" w:type="dxa"/>
            </w:tcMar>
            <w:vAlign w:val="center"/>
            <w:hideMark/>
          </w:tcPr>
          <w:p w14:paraId="135AD7EC" w14:textId="77777777" w:rsidR="00000000" w:rsidRDefault="00405D16">
            <w:pPr>
              <w:spacing w:after="100"/>
              <w:rPr>
                <w:rFonts w:eastAsia="Times New Roman"/>
              </w:rPr>
            </w:pPr>
            <w:r>
              <w:rPr>
                <w:rFonts w:eastAsia="Times New Roman"/>
                <w:color w:val="000000"/>
                <w:sz w:val="18"/>
                <w:szCs w:val="18"/>
              </w:rPr>
              <w:t>Total interest-bearing liabilities</w:t>
            </w:r>
          </w:p>
        </w:tc>
        <w:tc>
          <w:tcPr>
            <w:tcW w:w="0" w:type="auto"/>
            <w:gridSpan w:val="3"/>
            <w:shd w:val="clear" w:color="auto" w:fill="CCEEFF"/>
            <w:tcMar>
              <w:top w:w="0" w:type="dxa"/>
              <w:left w:w="20" w:type="dxa"/>
              <w:bottom w:w="0" w:type="dxa"/>
              <w:right w:w="20" w:type="dxa"/>
            </w:tcMar>
            <w:vAlign w:val="center"/>
            <w:hideMark/>
          </w:tcPr>
          <w:p w14:paraId="1F1A2CA9"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A302483" w14:textId="77777777" w:rsidR="00000000" w:rsidRDefault="00405D16">
            <w:pPr>
              <w:spacing w:after="100"/>
              <w:jc w:val="right"/>
              <w:rPr>
                <w:rFonts w:eastAsia="Times New Roman"/>
              </w:rPr>
            </w:pPr>
            <w:r>
              <w:rPr>
                <w:rFonts w:eastAsia="Times New Roman"/>
                <w:b/>
                <w:bCs/>
                <w:color w:val="000000"/>
                <w:sz w:val="18"/>
                <w:szCs w:val="18"/>
              </w:rPr>
              <w:t>311,684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3F59C9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8629D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6012CFF" w14:textId="77777777" w:rsidR="00000000" w:rsidRDefault="00405D16">
            <w:pPr>
              <w:spacing w:after="100"/>
              <w:jc w:val="right"/>
              <w:rPr>
                <w:rFonts w:eastAsia="Times New Roman"/>
              </w:rPr>
            </w:pPr>
            <w:r>
              <w:rPr>
                <w:rFonts w:eastAsia="Times New Roman"/>
                <w:b/>
                <w:bCs/>
                <w:color w:val="000000"/>
                <w:sz w:val="18"/>
                <w:szCs w:val="18"/>
              </w:rPr>
              <w:t>1,217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6281C8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DA9A5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C5EEF43" w14:textId="77777777" w:rsidR="00000000" w:rsidRDefault="00405D16">
            <w:pPr>
              <w:spacing w:after="100"/>
              <w:jc w:val="right"/>
              <w:rPr>
                <w:rFonts w:eastAsia="Times New Roman"/>
              </w:rPr>
            </w:pPr>
            <w:r>
              <w:rPr>
                <w:rFonts w:eastAsia="Times New Roman"/>
                <w:b/>
                <w:bCs/>
                <w:color w:val="000000"/>
                <w:sz w:val="18"/>
                <w:szCs w:val="18"/>
              </w:rPr>
              <w:t>0.52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10DD56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BF9D6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406C7AC" w14:textId="77777777" w:rsidR="00000000" w:rsidRDefault="00405D16">
            <w:pPr>
              <w:spacing w:after="100"/>
              <w:jc w:val="right"/>
              <w:rPr>
                <w:rFonts w:eastAsia="Times New Roman"/>
              </w:rPr>
            </w:pPr>
            <w:r>
              <w:rPr>
                <w:rFonts w:eastAsia="Times New Roman"/>
                <w:color w:val="000000"/>
                <w:sz w:val="18"/>
                <w:szCs w:val="18"/>
              </w:rPr>
              <w:t>309,649 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326D4F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C6075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F15549F" w14:textId="77777777" w:rsidR="00000000" w:rsidRDefault="00405D16">
            <w:pPr>
              <w:spacing w:after="100"/>
              <w:jc w:val="right"/>
              <w:rPr>
                <w:rFonts w:eastAsia="Times New Roman"/>
              </w:rPr>
            </w:pPr>
            <w:r>
              <w:rPr>
                <w:rFonts w:eastAsia="Times New Roman"/>
                <w:color w:val="000000"/>
                <w:sz w:val="18"/>
                <w:szCs w:val="18"/>
              </w:rPr>
              <w:t>2,602 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05C4FC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6E1EA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B9AA277" w14:textId="77777777" w:rsidR="00000000" w:rsidRDefault="00405D16">
            <w:pPr>
              <w:spacing w:after="100"/>
              <w:jc w:val="right"/>
              <w:rPr>
                <w:rFonts w:eastAsia="Times New Roman"/>
              </w:rPr>
            </w:pPr>
            <w:r>
              <w:rPr>
                <w:rFonts w:eastAsia="Times New Roman"/>
                <w:color w:val="000000"/>
                <w:sz w:val="18"/>
                <w:szCs w:val="18"/>
              </w:rPr>
              <w:t>1.12 </w:t>
            </w:r>
          </w:p>
        </w:tc>
        <w:tc>
          <w:tcPr>
            <w:tcW w:w="0" w:type="auto"/>
            <w:shd w:val="clear" w:color="auto" w:fill="CCEEFF"/>
            <w:tcMar>
              <w:top w:w="30" w:type="dxa"/>
              <w:left w:w="0" w:type="dxa"/>
              <w:bottom w:w="30" w:type="dxa"/>
              <w:right w:w="20" w:type="dxa"/>
            </w:tcMar>
            <w:vAlign w:val="center"/>
            <w:hideMark/>
          </w:tcPr>
          <w:p w14:paraId="2657991B" w14:textId="77777777" w:rsidR="00000000" w:rsidRDefault="00405D16">
            <w:pPr>
              <w:spacing w:after="100"/>
              <w:jc w:val="right"/>
              <w:rPr>
                <w:rFonts w:eastAsia="Times New Roman"/>
              </w:rPr>
            </w:pPr>
          </w:p>
        </w:tc>
        <w:tc>
          <w:tcPr>
            <w:tcW w:w="0" w:type="auto"/>
            <w:vAlign w:val="center"/>
            <w:hideMark/>
          </w:tcPr>
          <w:p w14:paraId="09996D9D" w14:textId="77777777" w:rsidR="00000000" w:rsidRDefault="00405D16">
            <w:pPr>
              <w:spacing w:after="100"/>
              <w:jc w:val="right"/>
              <w:rPr>
                <w:rFonts w:eastAsia="Times New Roman"/>
                <w:sz w:val="20"/>
                <w:szCs w:val="20"/>
              </w:rPr>
            </w:pPr>
          </w:p>
        </w:tc>
        <w:tc>
          <w:tcPr>
            <w:tcW w:w="0" w:type="auto"/>
            <w:vAlign w:val="center"/>
            <w:hideMark/>
          </w:tcPr>
          <w:p w14:paraId="5E0EDA7A" w14:textId="77777777" w:rsidR="00000000" w:rsidRDefault="00405D16">
            <w:pPr>
              <w:spacing w:after="100"/>
              <w:rPr>
                <w:rFonts w:eastAsia="Times New Roman"/>
                <w:sz w:val="20"/>
                <w:szCs w:val="20"/>
              </w:rPr>
            </w:pPr>
          </w:p>
        </w:tc>
        <w:tc>
          <w:tcPr>
            <w:tcW w:w="0" w:type="auto"/>
            <w:gridSpan w:val="3"/>
            <w:vAlign w:val="center"/>
            <w:hideMark/>
          </w:tcPr>
          <w:p w14:paraId="7AE06E3B" w14:textId="77777777" w:rsidR="00000000" w:rsidRDefault="00405D16">
            <w:pPr>
              <w:spacing w:after="100"/>
              <w:rPr>
                <w:rFonts w:eastAsia="Times New Roman"/>
                <w:sz w:val="20"/>
                <w:szCs w:val="20"/>
              </w:rPr>
            </w:pPr>
          </w:p>
        </w:tc>
        <w:tc>
          <w:tcPr>
            <w:tcW w:w="0" w:type="auto"/>
            <w:gridSpan w:val="3"/>
            <w:vAlign w:val="center"/>
            <w:hideMark/>
          </w:tcPr>
          <w:p w14:paraId="0EF1CD90" w14:textId="77777777" w:rsidR="00000000" w:rsidRDefault="00405D16">
            <w:pPr>
              <w:spacing w:after="100"/>
              <w:rPr>
                <w:rFonts w:eastAsia="Times New Roman"/>
                <w:sz w:val="20"/>
                <w:szCs w:val="20"/>
              </w:rPr>
            </w:pPr>
          </w:p>
        </w:tc>
        <w:tc>
          <w:tcPr>
            <w:tcW w:w="0" w:type="auto"/>
            <w:gridSpan w:val="3"/>
            <w:vAlign w:val="center"/>
            <w:hideMark/>
          </w:tcPr>
          <w:p w14:paraId="6D67D82A" w14:textId="77777777" w:rsidR="00000000" w:rsidRDefault="00405D16">
            <w:pPr>
              <w:spacing w:after="100"/>
              <w:rPr>
                <w:rFonts w:eastAsia="Times New Roman"/>
                <w:sz w:val="20"/>
                <w:szCs w:val="20"/>
              </w:rPr>
            </w:pPr>
          </w:p>
        </w:tc>
        <w:tc>
          <w:tcPr>
            <w:tcW w:w="0" w:type="auto"/>
            <w:gridSpan w:val="3"/>
            <w:vAlign w:val="center"/>
            <w:hideMark/>
          </w:tcPr>
          <w:p w14:paraId="43DCAEB5" w14:textId="77777777" w:rsidR="00000000" w:rsidRDefault="00405D16">
            <w:pPr>
              <w:spacing w:after="100"/>
              <w:rPr>
                <w:rFonts w:eastAsia="Times New Roman"/>
                <w:sz w:val="20"/>
                <w:szCs w:val="20"/>
              </w:rPr>
            </w:pPr>
          </w:p>
        </w:tc>
      </w:tr>
      <w:tr w:rsidR="00000000" w14:paraId="63BB687F" w14:textId="77777777">
        <w:trPr>
          <w:divId w:val="1942257185"/>
        </w:trPr>
        <w:tc>
          <w:tcPr>
            <w:tcW w:w="0" w:type="auto"/>
            <w:gridSpan w:val="3"/>
            <w:shd w:val="clear" w:color="auto" w:fill="FFFFFF"/>
            <w:tcMar>
              <w:top w:w="30" w:type="dxa"/>
              <w:left w:w="20" w:type="dxa"/>
              <w:bottom w:w="30" w:type="dxa"/>
              <w:right w:w="20" w:type="dxa"/>
            </w:tcMar>
            <w:vAlign w:val="center"/>
            <w:hideMark/>
          </w:tcPr>
          <w:p w14:paraId="6B574E8C" w14:textId="77777777" w:rsidR="00000000" w:rsidRDefault="00405D16">
            <w:pPr>
              <w:spacing w:after="100"/>
              <w:rPr>
                <w:rFonts w:eastAsia="Times New Roman"/>
              </w:rPr>
            </w:pPr>
            <w:r>
              <w:rPr>
                <w:rFonts w:eastAsia="Times New Roman"/>
                <w:color w:val="000000"/>
                <w:sz w:val="18"/>
                <w:szCs w:val="18"/>
              </w:rPr>
              <w:t>Non-interest-bearing deposits</w:t>
            </w:r>
          </w:p>
        </w:tc>
        <w:tc>
          <w:tcPr>
            <w:tcW w:w="0" w:type="auto"/>
            <w:gridSpan w:val="3"/>
            <w:shd w:val="clear" w:color="auto" w:fill="FFFFFF"/>
            <w:tcMar>
              <w:top w:w="0" w:type="dxa"/>
              <w:left w:w="20" w:type="dxa"/>
              <w:bottom w:w="0" w:type="dxa"/>
              <w:right w:w="20" w:type="dxa"/>
            </w:tcMar>
            <w:vAlign w:val="center"/>
            <w:hideMark/>
          </w:tcPr>
          <w:p w14:paraId="0F6D4886"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E83F34D" w14:textId="77777777" w:rsidR="00000000" w:rsidRDefault="00405D16">
            <w:pPr>
              <w:spacing w:after="100"/>
              <w:jc w:val="right"/>
              <w:rPr>
                <w:rFonts w:eastAsia="Times New Roman"/>
              </w:rPr>
            </w:pPr>
            <w:r>
              <w:rPr>
                <w:rFonts w:eastAsia="Times New Roman"/>
                <w:b/>
                <w:bCs/>
                <w:color w:val="000000"/>
                <w:sz w:val="18"/>
                <w:szCs w:val="18"/>
              </w:rPr>
              <w:t>34,080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719BAC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1F03B1" w14:textId="77777777" w:rsidR="00000000" w:rsidRDefault="00405D16">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DDD54E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0ECCD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D5A42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086284" w14:textId="77777777" w:rsidR="00000000" w:rsidRDefault="00405D16">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CB80159" w14:textId="77777777" w:rsidR="00000000" w:rsidRDefault="00405D16">
            <w:pPr>
              <w:spacing w:after="100"/>
              <w:jc w:val="right"/>
              <w:rPr>
                <w:rFonts w:eastAsia="Times New Roman"/>
              </w:rPr>
            </w:pPr>
            <w:r>
              <w:rPr>
                <w:rFonts w:eastAsia="Times New Roman"/>
                <w:color w:val="000000"/>
                <w:sz w:val="18"/>
                <w:szCs w:val="18"/>
              </w:rPr>
              <w:t>26,611 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A18914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8AC92E" w14:textId="77777777" w:rsidR="00000000" w:rsidRDefault="00405D16">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654C8D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AAE0B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7B8DD1" w14:textId="77777777" w:rsidR="00000000" w:rsidRDefault="00405D16">
            <w:pPr>
              <w:spacing w:after="100"/>
              <w:rPr>
                <w:rFonts w:eastAsia="Times New Roman"/>
                <w:sz w:val="20"/>
                <w:szCs w:val="20"/>
              </w:rPr>
            </w:pPr>
          </w:p>
        </w:tc>
        <w:tc>
          <w:tcPr>
            <w:tcW w:w="0" w:type="auto"/>
            <w:vAlign w:val="center"/>
            <w:hideMark/>
          </w:tcPr>
          <w:p w14:paraId="71FC73BF" w14:textId="77777777" w:rsidR="00000000" w:rsidRDefault="00405D16">
            <w:pPr>
              <w:spacing w:after="100"/>
              <w:rPr>
                <w:rFonts w:eastAsia="Times New Roman"/>
                <w:sz w:val="20"/>
                <w:szCs w:val="20"/>
              </w:rPr>
            </w:pPr>
          </w:p>
        </w:tc>
        <w:tc>
          <w:tcPr>
            <w:tcW w:w="0" w:type="auto"/>
            <w:vAlign w:val="center"/>
            <w:hideMark/>
          </w:tcPr>
          <w:p w14:paraId="7CF16B15" w14:textId="77777777" w:rsidR="00000000" w:rsidRDefault="00405D16">
            <w:pPr>
              <w:spacing w:after="100"/>
              <w:rPr>
                <w:rFonts w:eastAsia="Times New Roman"/>
                <w:sz w:val="20"/>
                <w:szCs w:val="20"/>
              </w:rPr>
            </w:pPr>
          </w:p>
        </w:tc>
        <w:tc>
          <w:tcPr>
            <w:tcW w:w="0" w:type="auto"/>
            <w:gridSpan w:val="3"/>
            <w:vAlign w:val="center"/>
            <w:hideMark/>
          </w:tcPr>
          <w:p w14:paraId="54A5F8D7" w14:textId="77777777" w:rsidR="00000000" w:rsidRDefault="00405D16">
            <w:pPr>
              <w:spacing w:after="100"/>
              <w:rPr>
                <w:rFonts w:eastAsia="Times New Roman"/>
                <w:sz w:val="20"/>
                <w:szCs w:val="20"/>
              </w:rPr>
            </w:pPr>
          </w:p>
        </w:tc>
        <w:tc>
          <w:tcPr>
            <w:tcW w:w="0" w:type="auto"/>
            <w:gridSpan w:val="3"/>
            <w:vAlign w:val="center"/>
            <w:hideMark/>
          </w:tcPr>
          <w:p w14:paraId="7E4845D0" w14:textId="77777777" w:rsidR="00000000" w:rsidRDefault="00405D16">
            <w:pPr>
              <w:spacing w:after="100"/>
              <w:rPr>
                <w:rFonts w:eastAsia="Times New Roman"/>
                <w:sz w:val="20"/>
                <w:szCs w:val="20"/>
              </w:rPr>
            </w:pPr>
          </w:p>
        </w:tc>
        <w:tc>
          <w:tcPr>
            <w:tcW w:w="0" w:type="auto"/>
            <w:gridSpan w:val="3"/>
            <w:vAlign w:val="center"/>
            <w:hideMark/>
          </w:tcPr>
          <w:p w14:paraId="35AB4A7A" w14:textId="77777777" w:rsidR="00000000" w:rsidRDefault="00405D16">
            <w:pPr>
              <w:spacing w:after="100"/>
              <w:rPr>
                <w:rFonts w:eastAsia="Times New Roman"/>
                <w:sz w:val="20"/>
                <w:szCs w:val="20"/>
              </w:rPr>
            </w:pPr>
          </w:p>
        </w:tc>
        <w:tc>
          <w:tcPr>
            <w:tcW w:w="0" w:type="auto"/>
            <w:gridSpan w:val="3"/>
            <w:vAlign w:val="center"/>
            <w:hideMark/>
          </w:tcPr>
          <w:p w14:paraId="0755055D" w14:textId="77777777" w:rsidR="00000000" w:rsidRDefault="00405D16">
            <w:pPr>
              <w:spacing w:after="100"/>
              <w:rPr>
                <w:rFonts w:eastAsia="Times New Roman"/>
                <w:sz w:val="20"/>
                <w:szCs w:val="20"/>
              </w:rPr>
            </w:pPr>
          </w:p>
        </w:tc>
      </w:tr>
      <w:tr w:rsidR="00000000" w14:paraId="23551265" w14:textId="77777777">
        <w:trPr>
          <w:divId w:val="1942257185"/>
        </w:trPr>
        <w:tc>
          <w:tcPr>
            <w:tcW w:w="0" w:type="auto"/>
            <w:gridSpan w:val="3"/>
            <w:shd w:val="clear" w:color="auto" w:fill="CCEEFF"/>
            <w:tcMar>
              <w:top w:w="30" w:type="dxa"/>
              <w:left w:w="20" w:type="dxa"/>
              <w:bottom w:w="30" w:type="dxa"/>
              <w:right w:w="20" w:type="dxa"/>
            </w:tcMar>
            <w:vAlign w:val="center"/>
            <w:hideMark/>
          </w:tcPr>
          <w:p w14:paraId="27A4B451" w14:textId="77777777" w:rsidR="00000000" w:rsidRDefault="00405D16">
            <w:pPr>
              <w:spacing w:after="100"/>
              <w:rPr>
                <w:rFonts w:eastAsia="Times New Roman"/>
              </w:rPr>
            </w:pPr>
            <w:r>
              <w:rPr>
                <w:rFonts w:eastAsia="Times New Roman"/>
                <w:color w:val="000000"/>
                <w:sz w:val="18"/>
                <w:szCs w:val="18"/>
              </w:rPr>
              <w:t>Other liabilities</w:t>
            </w:r>
          </w:p>
        </w:tc>
        <w:tc>
          <w:tcPr>
            <w:tcW w:w="0" w:type="auto"/>
            <w:gridSpan w:val="3"/>
            <w:shd w:val="clear" w:color="auto" w:fill="CCEEFF"/>
            <w:tcMar>
              <w:top w:w="0" w:type="dxa"/>
              <w:left w:w="20" w:type="dxa"/>
              <w:bottom w:w="0" w:type="dxa"/>
              <w:right w:w="20" w:type="dxa"/>
            </w:tcMar>
            <w:vAlign w:val="center"/>
            <w:hideMark/>
          </w:tcPr>
          <w:p w14:paraId="74A65BA4"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D16A913" w14:textId="77777777" w:rsidR="00000000" w:rsidRDefault="00405D16">
            <w:pPr>
              <w:spacing w:after="100"/>
              <w:jc w:val="right"/>
              <w:rPr>
                <w:rFonts w:eastAsia="Times New Roman"/>
              </w:rPr>
            </w:pPr>
            <w:r>
              <w:rPr>
                <w:rFonts w:eastAsia="Times New Roman"/>
                <w:b/>
                <w:bCs/>
                <w:color w:val="000000"/>
                <w:sz w:val="18"/>
                <w:szCs w:val="18"/>
              </w:rPr>
              <w:t>15,118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961198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1DA297" w14:textId="77777777" w:rsidR="00000000" w:rsidRDefault="00405D1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F3646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60A74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FD339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B2076C"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2D3779B" w14:textId="77777777" w:rsidR="00000000" w:rsidRDefault="00405D16">
            <w:pPr>
              <w:spacing w:after="100"/>
              <w:jc w:val="right"/>
              <w:rPr>
                <w:rFonts w:eastAsia="Times New Roman"/>
              </w:rPr>
            </w:pPr>
            <w:r>
              <w:rPr>
                <w:rFonts w:eastAsia="Times New Roman"/>
                <w:color w:val="000000"/>
                <w:sz w:val="18"/>
                <w:szCs w:val="18"/>
              </w:rPr>
              <w:t>14,171 </w:t>
            </w:r>
          </w:p>
        </w:tc>
        <w:tc>
          <w:tcPr>
            <w:tcW w:w="0" w:type="auto"/>
            <w:shd w:val="clear" w:color="auto" w:fill="CCEEFF"/>
            <w:tcMar>
              <w:top w:w="30" w:type="dxa"/>
              <w:left w:w="0" w:type="dxa"/>
              <w:bottom w:w="30" w:type="dxa"/>
              <w:right w:w="20" w:type="dxa"/>
            </w:tcMar>
            <w:vAlign w:val="center"/>
            <w:hideMark/>
          </w:tcPr>
          <w:p w14:paraId="05A01FB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EDBF56" w14:textId="77777777" w:rsidR="00000000" w:rsidRDefault="00405D1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D2353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50BCE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6C952E" w14:textId="77777777" w:rsidR="00000000" w:rsidRDefault="00405D16">
            <w:pPr>
              <w:spacing w:after="100"/>
              <w:rPr>
                <w:rFonts w:eastAsia="Times New Roman"/>
                <w:sz w:val="20"/>
                <w:szCs w:val="20"/>
              </w:rPr>
            </w:pPr>
          </w:p>
        </w:tc>
        <w:tc>
          <w:tcPr>
            <w:tcW w:w="0" w:type="auto"/>
            <w:vAlign w:val="center"/>
            <w:hideMark/>
          </w:tcPr>
          <w:p w14:paraId="28A3F1AF" w14:textId="77777777" w:rsidR="00000000" w:rsidRDefault="00405D16">
            <w:pPr>
              <w:spacing w:after="100"/>
              <w:rPr>
                <w:rFonts w:eastAsia="Times New Roman"/>
                <w:sz w:val="20"/>
                <w:szCs w:val="20"/>
              </w:rPr>
            </w:pPr>
          </w:p>
        </w:tc>
        <w:tc>
          <w:tcPr>
            <w:tcW w:w="0" w:type="auto"/>
            <w:vAlign w:val="center"/>
            <w:hideMark/>
          </w:tcPr>
          <w:p w14:paraId="347B9699" w14:textId="77777777" w:rsidR="00000000" w:rsidRDefault="00405D16">
            <w:pPr>
              <w:spacing w:after="100"/>
              <w:rPr>
                <w:rFonts w:eastAsia="Times New Roman"/>
                <w:sz w:val="20"/>
                <w:szCs w:val="20"/>
              </w:rPr>
            </w:pPr>
          </w:p>
        </w:tc>
        <w:tc>
          <w:tcPr>
            <w:tcW w:w="0" w:type="auto"/>
            <w:gridSpan w:val="3"/>
            <w:vAlign w:val="center"/>
            <w:hideMark/>
          </w:tcPr>
          <w:p w14:paraId="044D4520" w14:textId="77777777" w:rsidR="00000000" w:rsidRDefault="00405D16">
            <w:pPr>
              <w:spacing w:after="100"/>
              <w:rPr>
                <w:rFonts w:eastAsia="Times New Roman"/>
                <w:sz w:val="20"/>
                <w:szCs w:val="20"/>
              </w:rPr>
            </w:pPr>
          </w:p>
        </w:tc>
        <w:tc>
          <w:tcPr>
            <w:tcW w:w="0" w:type="auto"/>
            <w:gridSpan w:val="3"/>
            <w:vAlign w:val="center"/>
            <w:hideMark/>
          </w:tcPr>
          <w:p w14:paraId="2361926D" w14:textId="77777777" w:rsidR="00000000" w:rsidRDefault="00405D16">
            <w:pPr>
              <w:spacing w:after="100"/>
              <w:rPr>
                <w:rFonts w:eastAsia="Times New Roman"/>
                <w:sz w:val="20"/>
                <w:szCs w:val="20"/>
              </w:rPr>
            </w:pPr>
          </w:p>
        </w:tc>
        <w:tc>
          <w:tcPr>
            <w:tcW w:w="0" w:type="auto"/>
            <w:gridSpan w:val="3"/>
            <w:vAlign w:val="center"/>
            <w:hideMark/>
          </w:tcPr>
          <w:p w14:paraId="713B231B" w14:textId="77777777" w:rsidR="00000000" w:rsidRDefault="00405D16">
            <w:pPr>
              <w:spacing w:after="100"/>
              <w:rPr>
                <w:rFonts w:eastAsia="Times New Roman"/>
                <w:sz w:val="20"/>
                <w:szCs w:val="20"/>
              </w:rPr>
            </w:pPr>
          </w:p>
        </w:tc>
        <w:tc>
          <w:tcPr>
            <w:tcW w:w="0" w:type="auto"/>
            <w:gridSpan w:val="3"/>
            <w:vAlign w:val="center"/>
            <w:hideMark/>
          </w:tcPr>
          <w:p w14:paraId="04BEB5E7" w14:textId="77777777" w:rsidR="00000000" w:rsidRDefault="00405D16">
            <w:pPr>
              <w:spacing w:after="100"/>
              <w:rPr>
                <w:rFonts w:eastAsia="Times New Roman"/>
                <w:sz w:val="20"/>
                <w:szCs w:val="20"/>
              </w:rPr>
            </w:pPr>
          </w:p>
        </w:tc>
      </w:tr>
      <w:tr w:rsidR="00000000" w14:paraId="7D7C3568" w14:textId="77777777">
        <w:trPr>
          <w:divId w:val="1942257185"/>
        </w:trPr>
        <w:tc>
          <w:tcPr>
            <w:tcW w:w="0" w:type="auto"/>
            <w:gridSpan w:val="3"/>
            <w:shd w:val="clear" w:color="auto" w:fill="FFFFFF"/>
            <w:tcMar>
              <w:top w:w="30" w:type="dxa"/>
              <w:left w:w="20" w:type="dxa"/>
              <w:bottom w:w="30" w:type="dxa"/>
              <w:right w:w="20" w:type="dxa"/>
            </w:tcMar>
            <w:vAlign w:val="center"/>
            <w:hideMark/>
          </w:tcPr>
          <w:p w14:paraId="11AF7E5E" w14:textId="77777777" w:rsidR="00000000" w:rsidRDefault="00405D16">
            <w:pPr>
              <w:spacing w:after="100"/>
              <w:rPr>
                <w:rFonts w:eastAsia="Times New Roman"/>
              </w:rPr>
            </w:pPr>
            <w:r>
              <w:rPr>
                <w:rFonts w:eastAsia="Times New Roman"/>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14:paraId="148F8F2D"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2747F92" w14:textId="77777777" w:rsidR="00000000" w:rsidRDefault="00405D16">
            <w:pPr>
              <w:spacing w:after="100"/>
              <w:jc w:val="right"/>
              <w:rPr>
                <w:rFonts w:eastAsia="Times New Roman"/>
              </w:rPr>
            </w:pPr>
            <w:r>
              <w:rPr>
                <w:rFonts w:eastAsia="Times New Roman"/>
                <w:b/>
                <w:bCs/>
                <w:color w:val="000000"/>
                <w:sz w:val="18"/>
                <w:szCs w:val="18"/>
              </w:rPr>
              <w:t>360,882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A4EF62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462882" w14:textId="77777777" w:rsidR="00000000" w:rsidRDefault="00405D1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8CE41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17DAB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2D8DF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AB47FF" w14:textId="77777777" w:rsidR="00000000" w:rsidRDefault="00405D16">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9F5B543" w14:textId="77777777" w:rsidR="00000000" w:rsidRDefault="00405D16">
            <w:pPr>
              <w:spacing w:after="100"/>
              <w:jc w:val="right"/>
              <w:rPr>
                <w:rFonts w:eastAsia="Times New Roman"/>
              </w:rPr>
            </w:pPr>
            <w:r>
              <w:rPr>
                <w:rFonts w:eastAsia="Times New Roman"/>
                <w:color w:val="000000"/>
                <w:sz w:val="18"/>
                <w:szCs w:val="18"/>
              </w:rPr>
              <w:t>350,431 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237AAF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A5FD6D" w14:textId="77777777" w:rsidR="00000000" w:rsidRDefault="00405D1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F80D9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2D851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5872A9" w14:textId="77777777" w:rsidR="00000000" w:rsidRDefault="00405D16">
            <w:pPr>
              <w:spacing w:after="100"/>
              <w:rPr>
                <w:rFonts w:eastAsia="Times New Roman"/>
                <w:sz w:val="20"/>
                <w:szCs w:val="20"/>
              </w:rPr>
            </w:pPr>
          </w:p>
        </w:tc>
        <w:tc>
          <w:tcPr>
            <w:tcW w:w="0" w:type="auto"/>
            <w:vAlign w:val="center"/>
            <w:hideMark/>
          </w:tcPr>
          <w:p w14:paraId="2233C863" w14:textId="77777777" w:rsidR="00000000" w:rsidRDefault="00405D16">
            <w:pPr>
              <w:spacing w:after="100"/>
              <w:rPr>
                <w:rFonts w:eastAsia="Times New Roman"/>
                <w:sz w:val="20"/>
                <w:szCs w:val="20"/>
              </w:rPr>
            </w:pPr>
          </w:p>
        </w:tc>
        <w:tc>
          <w:tcPr>
            <w:tcW w:w="0" w:type="auto"/>
            <w:vAlign w:val="center"/>
            <w:hideMark/>
          </w:tcPr>
          <w:p w14:paraId="379B55B5" w14:textId="77777777" w:rsidR="00000000" w:rsidRDefault="00405D16">
            <w:pPr>
              <w:spacing w:after="100"/>
              <w:rPr>
                <w:rFonts w:eastAsia="Times New Roman"/>
                <w:sz w:val="20"/>
                <w:szCs w:val="20"/>
              </w:rPr>
            </w:pPr>
          </w:p>
        </w:tc>
        <w:tc>
          <w:tcPr>
            <w:tcW w:w="0" w:type="auto"/>
            <w:gridSpan w:val="3"/>
            <w:vAlign w:val="center"/>
            <w:hideMark/>
          </w:tcPr>
          <w:p w14:paraId="5D33CF21" w14:textId="77777777" w:rsidR="00000000" w:rsidRDefault="00405D16">
            <w:pPr>
              <w:spacing w:after="100"/>
              <w:rPr>
                <w:rFonts w:eastAsia="Times New Roman"/>
                <w:sz w:val="20"/>
                <w:szCs w:val="20"/>
              </w:rPr>
            </w:pPr>
          </w:p>
        </w:tc>
        <w:tc>
          <w:tcPr>
            <w:tcW w:w="0" w:type="auto"/>
            <w:gridSpan w:val="3"/>
            <w:vAlign w:val="center"/>
            <w:hideMark/>
          </w:tcPr>
          <w:p w14:paraId="279DFEAE" w14:textId="77777777" w:rsidR="00000000" w:rsidRDefault="00405D16">
            <w:pPr>
              <w:spacing w:after="100"/>
              <w:rPr>
                <w:rFonts w:eastAsia="Times New Roman"/>
                <w:sz w:val="20"/>
                <w:szCs w:val="20"/>
              </w:rPr>
            </w:pPr>
          </w:p>
        </w:tc>
        <w:tc>
          <w:tcPr>
            <w:tcW w:w="0" w:type="auto"/>
            <w:gridSpan w:val="3"/>
            <w:vAlign w:val="center"/>
            <w:hideMark/>
          </w:tcPr>
          <w:p w14:paraId="73401CF1" w14:textId="77777777" w:rsidR="00000000" w:rsidRDefault="00405D16">
            <w:pPr>
              <w:spacing w:after="100"/>
              <w:rPr>
                <w:rFonts w:eastAsia="Times New Roman"/>
                <w:sz w:val="20"/>
                <w:szCs w:val="20"/>
              </w:rPr>
            </w:pPr>
          </w:p>
        </w:tc>
        <w:tc>
          <w:tcPr>
            <w:tcW w:w="0" w:type="auto"/>
            <w:gridSpan w:val="3"/>
            <w:vAlign w:val="center"/>
            <w:hideMark/>
          </w:tcPr>
          <w:p w14:paraId="7DA3518B" w14:textId="77777777" w:rsidR="00000000" w:rsidRDefault="00405D16">
            <w:pPr>
              <w:spacing w:after="100"/>
              <w:rPr>
                <w:rFonts w:eastAsia="Times New Roman"/>
                <w:sz w:val="20"/>
                <w:szCs w:val="20"/>
              </w:rPr>
            </w:pPr>
          </w:p>
        </w:tc>
      </w:tr>
      <w:tr w:rsidR="00000000" w14:paraId="0DE49175" w14:textId="77777777">
        <w:trPr>
          <w:divId w:val="1942257185"/>
        </w:trPr>
        <w:tc>
          <w:tcPr>
            <w:tcW w:w="0" w:type="auto"/>
            <w:gridSpan w:val="3"/>
            <w:shd w:val="clear" w:color="auto" w:fill="CCEEFF"/>
            <w:tcMar>
              <w:top w:w="30" w:type="dxa"/>
              <w:left w:w="20" w:type="dxa"/>
              <w:bottom w:w="30" w:type="dxa"/>
              <w:right w:w="20" w:type="dxa"/>
            </w:tcMar>
            <w:vAlign w:val="center"/>
            <w:hideMark/>
          </w:tcPr>
          <w:p w14:paraId="2119D6FC" w14:textId="77777777" w:rsidR="00000000" w:rsidRDefault="00405D16">
            <w:pPr>
              <w:spacing w:after="100"/>
              <w:rPr>
                <w:rFonts w:eastAsia="Times New Roman"/>
              </w:rPr>
            </w:pPr>
            <w:r>
              <w:rPr>
                <w:rFonts w:eastAsia="Times New Roman"/>
                <w:color w:val="000000"/>
                <w:sz w:val="18"/>
                <w:szCs w:val="18"/>
              </w:rPr>
              <w:t>Stockholders’ equity</w:t>
            </w:r>
          </w:p>
        </w:tc>
        <w:tc>
          <w:tcPr>
            <w:tcW w:w="0" w:type="auto"/>
            <w:gridSpan w:val="3"/>
            <w:shd w:val="clear" w:color="auto" w:fill="CCEEFF"/>
            <w:tcMar>
              <w:top w:w="0" w:type="dxa"/>
              <w:left w:w="20" w:type="dxa"/>
              <w:bottom w:w="0" w:type="dxa"/>
              <w:right w:w="20" w:type="dxa"/>
            </w:tcMar>
            <w:vAlign w:val="center"/>
            <w:hideMark/>
          </w:tcPr>
          <w:p w14:paraId="7759534A"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8DD449B" w14:textId="77777777" w:rsidR="00000000" w:rsidRDefault="00405D16">
            <w:pPr>
              <w:spacing w:after="100"/>
              <w:jc w:val="right"/>
              <w:rPr>
                <w:rFonts w:eastAsia="Times New Roman"/>
              </w:rPr>
            </w:pPr>
            <w:r>
              <w:rPr>
                <w:rFonts w:eastAsia="Times New Roman"/>
                <w:b/>
                <w:bCs/>
                <w:color w:val="000000"/>
                <w:sz w:val="18"/>
                <w:szCs w:val="18"/>
              </w:rPr>
              <w:t>62,575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B9DB89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BE4661" w14:textId="77777777" w:rsidR="00000000" w:rsidRDefault="00405D1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9EB77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F0AA2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BD02F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27CBA5"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3BC53FA" w14:textId="77777777" w:rsidR="00000000" w:rsidRDefault="00405D16">
            <w:pPr>
              <w:spacing w:after="100"/>
              <w:jc w:val="right"/>
              <w:rPr>
                <w:rFonts w:eastAsia="Times New Roman"/>
              </w:rPr>
            </w:pPr>
            <w:r>
              <w:rPr>
                <w:rFonts w:eastAsia="Times New Roman"/>
                <w:color w:val="000000"/>
                <w:sz w:val="18"/>
                <w:szCs w:val="18"/>
              </w:rPr>
              <w:t>57,802 </w:t>
            </w:r>
          </w:p>
        </w:tc>
        <w:tc>
          <w:tcPr>
            <w:tcW w:w="0" w:type="auto"/>
            <w:shd w:val="clear" w:color="auto" w:fill="CCEEFF"/>
            <w:tcMar>
              <w:top w:w="30" w:type="dxa"/>
              <w:left w:w="0" w:type="dxa"/>
              <w:bottom w:w="30" w:type="dxa"/>
              <w:right w:w="20" w:type="dxa"/>
            </w:tcMar>
            <w:vAlign w:val="center"/>
            <w:hideMark/>
          </w:tcPr>
          <w:p w14:paraId="7AEE924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6DD228" w14:textId="77777777" w:rsidR="00000000" w:rsidRDefault="00405D1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241CD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72B1C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1A108E" w14:textId="77777777" w:rsidR="00000000" w:rsidRDefault="00405D16">
            <w:pPr>
              <w:spacing w:after="100"/>
              <w:rPr>
                <w:rFonts w:eastAsia="Times New Roman"/>
                <w:sz w:val="20"/>
                <w:szCs w:val="20"/>
              </w:rPr>
            </w:pPr>
          </w:p>
        </w:tc>
        <w:tc>
          <w:tcPr>
            <w:tcW w:w="0" w:type="auto"/>
            <w:vAlign w:val="center"/>
            <w:hideMark/>
          </w:tcPr>
          <w:p w14:paraId="72F9F073" w14:textId="77777777" w:rsidR="00000000" w:rsidRDefault="00405D16">
            <w:pPr>
              <w:spacing w:after="100"/>
              <w:rPr>
                <w:rFonts w:eastAsia="Times New Roman"/>
                <w:sz w:val="20"/>
                <w:szCs w:val="20"/>
              </w:rPr>
            </w:pPr>
          </w:p>
        </w:tc>
        <w:tc>
          <w:tcPr>
            <w:tcW w:w="0" w:type="auto"/>
            <w:vAlign w:val="center"/>
            <w:hideMark/>
          </w:tcPr>
          <w:p w14:paraId="798A55F3" w14:textId="77777777" w:rsidR="00000000" w:rsidRDefault="00405D16">
            <w:pPr>
              <w:spacing w:after="100"/>
              <w:rPr>
                <w:rFonts w:eastAsia="Times New Roman"/>
                <w:sz w:val="20"/>
                <w:szCs w:val="20"/>
              </w:rPr>
            </w:pPr>
          </w:p>
        </w:tc>
        <w:tc>
          <w:tcPr>
            <w:tcW w:w="0" w:type="auto"/>
            <w:gridSpan w:val="3"/>
            <w:vAlign w:val="center"/>
            <w:hideMark/>
          </w:tcPr>
          <w:p w14:paraId="4B1033F4" w14:textId="77777777" w:rsidR="00000000" w:rsidRDefault="00405D16">
            <w:pPr>
              <w:spacing w:after="100"/>
              <w:rPr>
                <w:rFonts w:eastAsia="Times New Roman"/>
                <w:sz w:val="20"/>
                <w:szCs w:val="20"/>
              </w:rPr>
            </w:pPr>
          </w:p>
        </w:tc>
        <w:tc>
          <w:tcPr>
            <w:tcW w:w="0" w:type="auto"/>
            <w:gridSpan w:val="3"/>
            <w:vAlign w:val="center"/>
            <w:hideMark/>
          </w:tcPr>
          <w:p w14:paraId="47A5E80A" w14:textId="77777777" w:rsidR="00000000" w:rsidRDefault="00405D16">
            <w:pPr>
              <w:spacing w:after="100"/>
              <w:rPr>
                <w:rFonts w:eastAsia="Times New Roman"/>
                <w:sz w:val="20"/>
                <w:szCs w:val="20"/>
              </w:rPr>
            </w:pPr>
          </w:p>
        </w:tc>
        <w:tc>
          <w:tcPr>
            <w:tcW w:w="0" w:type="auto"/>
            <w:gridSpan w:val="3"/>
            <w:vAlign w:val="center"/>
            <w:hideMark/>
          </w:tcPr>
          <w:p w14:paraId="42C39DA7" w14:textId="77777777" w:rsidR="00000000" w:rsidRDefault="00405D16">
            <w:pPr>
              <w:spacing w:after="100"/>
              <w:rPr>
                <w:rFonts w:eastAsia="Times New Roman"/>
                <w:sz w:val="20"/>
                <w:szCs w:val="20"/>
              </w:rPr>
            </w:pPr>
          </w:p>
        </w:tc>
        <w:tc>
          <w:tcPr>
            <w:tcW w:w="0" w:type="auto"/>
            <w:gridSpan w:val="3"/>
            <w:vAlign w:val="center"/>
            <w:hideMark/>
          </w:tcPr>
          <w:p w14:paraId="6583D739" w14:textId="77777777" w:rsidR="00000000" w:rsidRDefault="00405D16">
            <w:pPr>
              <w:spacing w:after="100"/>
              <w:rPr>
                <w:rFonts w:eastAsia="Times New Roman"/>
                <w:sz w:val="20"/>
                <w:szCs w:val="20"/>
              </w:rPr>
            </w:pPr>
          </w:p>
        </w:tc>
      </w:tr>
      <w:tr w:rsidR="00000000" w14:paraId="6C74EE09" w14:textId="77777777">
        <w:trPr>
          <w:divId w:val="1942257185"/>
        </w:trPr>
        <w:tc>
          <w:tcPr>
            <w:tcW w:w="0" w:type="auto"/>
            <w:gridSpan w:val="3"/>
            <w:shd w:val="clear" w:color="auto" w:fill="FFFFFF"/>
            <w:tcMar>
              <w:top w:w="30" w:type="dxa"/>
              <w:left w:w="20" w:type="dxa"/>
              <w:bottom w:w="30" w:type="dxa"/>
              <w:right w:w="20" w:type="dxa"/>
            </w:tcMar>
            <w:vAlign w:val="center"/>
            <w:hideMark/>
          </w:tcPr>
          <w:p w14:paraId="14ACF0A0" w14:textId="77777777" w:rsidR="00000000" w:rsidRDefault="00405D16">
            <w:pPr>
              <w:spacing w:after="100"/>
              <w:rPr>
                <w:rFonts w:eastAsia="Times New Roman"/>
              </w:rPr>
            </w:pPr>
            <w:r>
              <w:rPr>
                <w:rFonts w:eastAsia="Times New Roman"/>
                <w:color w:val="000000"/>
                <w:sz w:val="18"/>
                <w:szCs w:val="18"/>
              </w:rPr>
              <w:t>Total liabilities and stockholders’ equity</w:t>
            </w:r>
          </w:p>
        </w:tc>
        <w:tc>
          <w:tcPr>
            <w:tcW w:w="0" w:type="auto"/>
            <w:gridSpan w:val="3"/>
            <w:shd w:val="clear" w:color="auto" w:fill="FFFFFF"/>
            <w:tcMar>
              <w:top w:w="0" w:type="dxa"/>
              <w:left w:w="20" w:type="dxa"/>
              <w:bottom w:w="0" w:type="dxa"/>
              <w:right w:w="20" w:type="dxa"/>
            </w:tcMar>
            <w:vAlign w:val="center"/>
            <w:hideMark/>
          </w:tcPr>
          <w:p w14:paraId="4997E9AA"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3EBF9CB"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EDAD52F" w14:textId="77777777" w:rsidR="00000000" w:rsidRDefault="00405D16">
            <w:pPr>
              <w:spacing w:after="100"/>
              <w:jc w:val="right"/>
              <w:rPr>
                <w:rFonts w:eastAsia="Times New Roman"/>
              </w:rPr>
            </w:pPr>
            <w:r>
              <w:rPr>
                <w:rFonts w:eastAsia="Times New Roman"/>
                <w:b/>
                <w:bCs/>
                <w:color w:val="000000"/>
                <w:sz w:val="18"/>
                <w:szCs w:val="18"/>
              </w:rPr>
              <w:t>423,457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C31504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E0A1E8" w14:textId="77777777" w:rsidR="00000000" w:rsidRDefault="00405D1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B0286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0A0F0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EFF1D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1E6F3E" w14:textId="77777777" w:rsidR="00000000" w:rsidRDefault="00405D16">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219E9423"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BA5CACB" w14:textId="77777777" w:rsidR="00000000" w:rsidRDefault="00405D16">
            <w:pPr>
              <w:spacing w:after="100"/>
              <w:jc w:val="right"/>
              <w:rPr>
                <w:rFonts w:eastAsia="Times New Roman"/>
              </w:rPr>
            </w:pPr>
            <w:r>
              <w:rPr>
                <w:rFonts w:eastAsia="Times New Roman"/>
                <w:color w:val="000000"/>
                <w:sz w:val="18"/>
                <w:szCs w:val="18"/>
              </w:rPr>
              <w:t>408,233 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261C3E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A58647" w14:textId="77777777" w:rsidR="00000000" w:rsidRDefault="00405D1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1D3A5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53352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2BF3EF" w14:textId="77777777" w:rsidR="00000000" w:rsidRDefault="00405D16">
            <w:pPr>
              <w:spacing w:after="100"/>
              <w:rPr>
                <w:rFonts w:eastAsia="Times New Roman"/>
                <w:sz w:val="20"/>
                <w:szCs w:val="20"/>
              </w:rPr>
            </w:pPr>
          </w:p>
        </w:tc>
        <w:tc>
          <w:tcPr>
            <w:tcW w:w="0" w:type="auto"/>
            <w:vAlign w:val="center"/>
            <w:hideMark/>
          </w:tcPr>
          <w:p w14:paraId="6C3A09F0" w14:textId="77777777" w:rsidR="00000000" w:rsidRDefault="00405D16">
            <w:pPr>
              <w:spacing w:after="100"/>
              <w:rPr>
                <w:rFonts w:eastAsia="Times New Roman"/>
                <w:sz w:val="20"/>
                <w:szCs w:val="20"/>
              </w:rPr>
            </w:pPr>
          </w:p>
        </w:tc>
        <w:tc>
          <w:tcPr>
            <w:tcW w:w="0" w:type="auto"/>
            <w:vAlign w:val="center"/>
            <w:hideMark/>
          </w:tcPr>
          <w:p w14:paraId="099C2E9B" w14:textId="77777777" w:rsidR="00000000" w:rsidRDefault="00405D16">
            <w:pPr>
              <w:spacing w:after="100"/>
              <w:rPr>
                <w:rFonts w:eastAsia="Times New Roman"/>
                <w:sz w:val="20"/>
                <w:szCs w:val="20"/>
              </w:rPr>
            </w:pPr>
          </w:p>
        </w:tc>
        <w:tc>
          <w:tcPr>
            <w:tcW w:w="0" w:type="auto"/>
            <w:gridSpan w:val="3"/>
            <w:vAlign w:val="center"/>
            <w:hideMark/>
          </w:tcPr>
          <w:p w14:paraId="47B4B1DF" w14:textId="77777777" w:rsidR="00000000" w:rsidRDefault="00405D16">
            <w:pPr>
              <w:spacing w:after="100"/>
              <w:rPr>
                <w:rFonts w:eastAsia="Times New Roman"/>
                <w:sz w:val="20"/>
                <w:szCs w:val="20"/>
              </w:rPr>
            </w:pPr>
          </w:p>
        </w:tc>
        <w:tc>
          <w:tcPr>
            <w:tcW w:w="0" w:type="auto"/>
            <w:gridSpan w:val="3"/>
            <w:vAlign w:val="center"/>
            <w:hideMark/>
          </w:tcPr>
          <w:p w14:paraId="7A188F60" w14:textId="77777777" w:rsidR="00000000" w:rsidRDefault="00405D16">
            <w:pPr>
              <w:spacing w:after="100"/>
              <w:rPr>
                <w:rFonts w:eastAsia="Times New Roman"/>
                <w:sz w:val="20"/>
                <w:szCs w:val="20"/>
              </w:rPr>
            </w:pPr>
          </w:p>
        </w:tc>
        <w:tc>
          <w:tcPr>
            <w:tcW w:w="0" w:type="auto"/>
            <w:gridSpan w:val="3"/>
            <w:vAlign w:val="center"/>
            <w:hideMark/>
          </w:tcPr>
          <w:p w14:paraId="1B414E23" w14:textId="77777777" w:rsidR="00000000" w:rsidRDefault="00405D16">
            <w:pPr>
              <w:spacing w:after="100"/>
              <w:rPr>
                <w:rFonts w:eastAsia="Times New Roman"/>
                <w:sz w:val="20"/>
                <w:szCs w:val="20"/>
              </w:rPr>
            </w:pPr>
          </w:p>
        </w:tc>
        <w:tc>
          <w:tcPr>
            <w:tcW w:w="0" w:type="auto"/>
            <w:gridSpan w:val="3"/>
            <w:vAlign w:val="center"/>
            <w:hideMark/>
          </w:tcPr>
          <w:p w14:paraId="335F5CB9" w14:textId="77777777" w:rsidR="00000000" w:rsidRDefault="00405D16">
            <w:pPr>
              <w:spacing w:after="100"/>
              <w:rPr>
                <w:rFonts w:eastAsia="Times New Roman"/>
                <w:sz w:val="20"/>
                <w:szCs w:val="20"/>
              </w:rPr>
            </w:pPr>
          </w:p>
        </w:tc>
      </w:tr>
      <w:tr w:rsidR="00000000" w14:paraId="19147A6D" w14:textId="77777777">
        <w:trPr>
          <w:divId w:val="1942257185"/>
        </w:trPr>
        <w:tc>
          <w:tcPr>
            <w:tcW w:w="0" w:type="auto"/>
            <w:gridSpan w:val="9"/>
            <w:shd w:val="clear" w:color="auto" w:fill="CCEEFF"/>
            <w:tcMar>
              <w:top w:w="30" w:type="dxa"/>
              <w:left w:w="20" w:type="dxa"/>
              <w:bottom w:w="30" w:type="dxa"/>
              <w:right w:w="20" w:type="dxa"/>
            </w:tcMar>
            <w:vAlign w:val="center"/>
            <w:hideMark/>
          </w:tcPr>
          <w:p w14:paraId="5CDCBE63" w14:textId="77777777" w:rsidR="00000000" w:rsidRDefault="00405D16">
            <w:pPr>
              <w:spacing w:after="100"/>
              <w:rPr>
                <w:rFonts w:eastAsia="Times New Roman"/>
              </w:rPr>
            </w:pPr>
            <w:r>
              <w:rPr>
                <w:rFonts w:eastAsia="Times New Roman"/>
                <w:color w:val="000000"/>
                <w:sz w:val="18"/>
                <w:szCs w:val="18"/>
              </w:rPr>
              <w:t>Net interest income/spread</w:t>
            </w:r>
          </w:p>
        </w:tc>
        <w:tc>
          <w:tcPr>
            <w:tcW w:w="0" w:type="auto"/>
            <w:gridSpan w:val="3"/>
            <w:shd w:val="clear" w:color="auto" w:fill="CCEEFF"/>
            <w:tcMar>
              <w:top w:w="0" w:type="dxa"/>
              <w:left w:w="20" w:type="dxa"/>
              <w:bottom w:w="0" w:type="dxa"/>
              <w:right w:w="20" w:type="dxa"/>
            </w:tcMar>
            <w:vAlign w:val="center"/>
            <w:hideMark/>
          </w:tcPr>
          <w:p w14:paraId="1B80C431"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5F358AE"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39DCC9F" w14:textId="77777777" w:rsidR="00000000" w:rsidRDefault="00405D16">
            <w:pPr>
              <w:spacing w:after="100"/>
              <w:jc w:val="right"/>
              <w:rPr>
                <w:rFonts w:eastAsia="Times New Roman"/>
              </w:rPr>
            </w:pPr>
            <w:r>
              <w:rPr>
                <w:rFonts w:eastAsia="Times New Roman"/>
                <w:b/>
                <w:bCs/>
                <w:color w:val="000000"/>
                <w:sz w:val="18"/>
                <w:szCs w:val="18"/>
              </w:rPr>
              <w:t>17,721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7BFDF8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F024B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5BDBAC2" w14:textId="77777777" w:rsidR="00000000" w:rsidRDefault="00405D16">
            <w:pPr>
              <w:spacing w:after="100"/>
              <w:jc w:val="right"/>
              <w:rPr>
                <w:rFonts w:eastAsia="Times New Roman"/>
              </w:rPr>
            </w:pPr>
            <w:r>
              <w:rPr>
                <w:rFonts w:eastAsia="Times New Roman"/>
                <w:b/>
                <w:bCs/>
                <w:color w:val="000000"/>
                <w:sz w:val="18"/>
                <w:szCs w:val="18"/>
              </w:rPr>
              <w:t>5.97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AB2470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5B5A8B" w14:textId="77777777" w:rsidR="00000000" w:rsidRDefault="00405D16">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FAD442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1CC58A" w14:textId="77777777" w:rsidR="00000000" w:rsidRDefault="00405D16">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BD32781"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E9F811E" w14:textId="77777777" w:rsidR="00000000" w:rsidRDefault="00405D16">
            <w:pPr>
              <w:spacing w:after="100"/>
              <w:jc w:val="right"/>
              <w:rPr>
                <w:rFonts w:eastAsia="Times New Roman"/>
              </w:rPr>
            </w:pPr>
            <w:r>
              <w:rPr>
                <w:rFonts w:eastAsia="Times New Roman"/>
                <w:color w:val="000000"/>
                <w:sz w:val="18"/>
                <w:szCs w:val="18"/>
              </w:rPr>
              <w:t>17,040 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8291C1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28519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1CDD0AA" w14:textId="77777777" w:rsidR="00000000" w:rsidRDefault="00405D16">
            <w:pPr>
              <w:spacing w:after="100"/>
              <w:jc w:val="right"/>
              <w:rPr>
                <w:rFonts w:eastAsia="Times New Roman"/>
              </w:rPr>
            </w:pPr>
            <w:r>
              <w:rPr>
                <w:rFonts w:eastAsia="Times New Roman"/>
                <w:color w:val="000000"/>
                <w:sz w:val="18"/>
                <w:szCs w:val="18"/>
              </w:rPr>
              <w:t>5.86 </w:t>
            </w:r>
          </w:p>
        </w:tc>
        <w:tc>
          <w:tcPr>
            <w:tcW w:w="0" w:type="auto"/>
            <w:shd w:val="clear" w:color="auto" w:fill="CCEEFF"/>
            <w:tcMar>
              <w:top w:w="30" w:type="dxa"/>
              <w:left w:w="0" w:type="dxa"/>
              <w:bottom w:w="30" w:type="dxa"/>
              <w:right w:w="20" w:type="dxa"/>
            </w:tcMar>
            <w:vAlign w:val="center"/>
            <w:hideMark/>
          </w:tcPr>
          <w:p w14:paraId="4FCACAF2" w14:textId="77777777" w:rsidR="00000000" w:rsidRDefault="00405D16">
            <w:pPr>
              <w:spacing w:after="100"/>
              <w:jc w:val="right"/>
              <w:rPr>
                <w:rFonts w:eastAsia="Times New Roman"/>
              </w:rPr>
            </w:pPr>
          </w:p>
        </w:tc>
        <w:tc>
          <w:tcPr>
            <w:tcW w:w="0" w:type="auto"/>
            <w:vAlign w:val="center"/>
            <w:hideMark/>
          </w:tcPr>
          <w:p w14:paraId="31D880CE" w14:textId="77777777" w:rsidR="00000000" w:rsidRDefault="00405D16">
            <w:pPr>
              <w:spacing w:after="100"/>
              <w:jc w:val="right"/>
              <w:rPr>
                <w:rFonts w:eastAsia="Times New Roman"/>
                <w:sz w:val="20"/>
                <w:szCs w:val="20"/>
              </w:rPr>
            </w:pPr>
          </w:p>
        </w:tc>
        <w:tc>
          <w:tcPr>
            <w:tcW w:w="0" w:type="auto"/>
            <w:vAlign w:val="center"/>
            <w:hideMark/>
          </w:tcPr>
          <w:p w14:paraId="59D235FA" w14:textId="77777777" w:rsidR="00000000" w:rsidRDefault="00405D16">
            <w:pPr>
              <w:spacing w:after="100"/>
              <w:rPr>
                <w:rFonts w:eastAsia="Times New Roman"/>
                <w:sz w:val="20"/>
                <w:szCs w:val="20"/>
              </w:rPr>
            </w:pPr>
          </w:p>
        </w:tc>
        <w:tc>
          <w:tcPr>
            <w:tcW w:w="0" w:type="auto"/>
            <w:gridSpan w:val="3"/>
            <w:vAlign w:val="center"/>
            <w:hideMark/>
          </w:tcPr>
          <w:p w14:paraId="706D9B2C" w14:textId="77777777" w:rsidR="00000000" w:rsidRDefault="00405D16">
            <w:pPr>
              <w:spacing w:after="100"/>
              <w:rPr>
                <w:rFonts w:eastAsia="Times New Roman"/>
                <w:sz w:val="20"/>
                <w:szCs w:val="20"/>
              </w:rPr>
            </w:pPr>
          </w:p>
        </w:tc>
        <w:tc>
          <w:tcPr>
            <w:tcW w:w="0" w:type="auto"/>
            <w:gridSpan w:val="3"/>
            <w:vAlign w:val="center"/>
            <w:hideMark/>
          </w:tcPr>
          <w:p w14:paraId="37E6E1A5" w14:textId="77777777" w:rsidR="00000000" w:rsidRDefault="00405D16">
            <w:pPr>
              <w:spacing w:after="100"/>
              <w:rPr>
                <w:rFonts w:eastAsia="Times New Roman"/>
                <w:sz w:val="20"/>
                <w:szCs w:val="20"/>
              </w:rPr>
            </w:pPr>
          </w:p>
        </w:tc>
        <w:tc>
          <w:tcPr>
            <w:tcW w:w="0" w:type="auto"/>
            <w:gridSpan w:val="3"/>
            <w:vAlign w:val="center"/>
            <w:hideMark/>
          </w:tcPr>
          <w:p w14:paraId="2F6B37C1" w14:textId="77777777" w:rsidR="00000000" w:rsidRDefault="00405D16">
            <w:pPr>
              <w:spacing w:after="100"/>
              <w:rPr>
                <w:rFonts w:eastAsia="Times New Roman"/>
                <w:sz w:val="20"/>
                <w:szCs w:val="20"/>
              </w:rPr>
            </w:pPr>
          </w:p>
        </w:tc>
        <w:tc>
          <w:tcPr>
            <w:tcW w:w="0" w:type="auto"/>
            <w:gridSpan w:val="3"/>
            <w:vAlign w:val="center"/>
            <w:hideMark/>
          </w:tcPr>
          <w:p w14:paraId="3F46C586" w14:textId="77777777" w:rsidR="00000000" w:rsidRDefault="00405D16">
            <w:pPr>
              <w:spacing w:after="100"/>
              <w:rPr>
                <w:rFonts w:eastAsia="Times New Roman"/>
                <w:sz w:val="20"/>
                <w:szCs w:val="20"/>
              </w:rPr>
            </w:pPr>
          </w:p>
        </w:tc>
      </w:tr>
      <w:tr w:rsidR="00000000" w14:paraId="56A7C626" w14:textId="77777777">
        <w:trPr>
          <w:divId w:val="1942257185"/>
        </w:trPr>
        <w:tc>
          <w:tcPr>
            <w:tcW w:w="0" w:type="auto"/>
            <w:gridSpan w:val="15"/>
            <w:shd w:val="clear" w:color="auto" w:fill="FFFFFF"/>
            <w:tcMar>
              <w:top w:w="30" w:type="dxa"/>
              <w:left w:w="20" w:type="dxa"/>
              <w:bottom w:w="30" w:type="dxa"/>
              <w:right w:w="20" w:type="dxa"/>
            </w:tcMar>
            <w:vAlign w:val="center"/>
            <w:hideMark/>
          </w:tcPr>
          <w:p w14:paraId="41A96BC8" w14:textId="77777777" w:rsidR="00000000" w:rsidRDefault="00405D16">
            <w:pPr>
              <w:spacing w:after="100"/>
              <w:rPr>
                <w:rFonts w:eastAsia="Times New Roman"/>
              </w:rPr>
            </w:pPr>
            <w:r>
              <w:rPr>
                <w:rFonts w:eastAsia="Times New Roman"/>
                <w:color w:val="000000"/>
                <w:sz w:val="18"/>
                <w:szCs w:val="18"/>
              </w:rPr>
              <w:t>Impact of non-interest-bearing funding</w:t>
            </w:r>
          </w:p>
        </w:tc>
        <w:tc>
          <w:tcPr>
            <w:tcW w:w="0" w:type="auto"/>
            <w:gridSpan w:val="3"/>
            <w:shd w:val="clear" w:color="auto" w:fill="FFFFFF"/>
            <w:tcMar>
              <w:top w:w="0" w:type="dxa"/>
              <w:left w:w="20" w:type="dxa"/>
              <w:bottom w:w="0" w:type="dxa"/>
              <w:right w:w="20" w:type="dxa"/>
            </w:tcMar>
            <w:vAlign w:val="center"/>
            <w:hideMark/>
          </w:tcPr>
          <w:p w14:paraId="1B98BCBD"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D8D5369" w14:textId="77777777" w:rsidR="00000000" w:rsidRDefault="00405D16">
            <w:pPr>
              <w:spacing w:after="100"/>
              <w:jc w:val="right"/>
              <w:rPr>
                <w:rFonts w:eastAsia="Times New Roman"/>
              </w:rPr>
            </w:pPr>
            <w:r>
              <w:rPr>
                <w:rFonts w:eastAsia="Times New Roman"/>
                <w:b/>
                <w:bCs/>
                <w:color w:val="000000"/>
                <w:sz w:val="18"/>
                <w:szCs w:val="18"/>
              </w:rPr>
              <w:t>0.11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1C5B83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37E97F" w14:textId="77777777" w:rsidR="00000000" w:rsidRDefault="00405D1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0581B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4EBF8B"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71724D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EC404A"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B6B331E" w14:textId="77777777" w:rsidR="00000000" w:rsidRDefault="00405D16">
            <w:pPr>
              <w:spacing w:after="100"/>
              <w:jc w:val="right"/>
              <w:rPr>
                <w:rFonts w:eastAsia="Times New Roman"/>
              </w:rPr>
            </w:pPr>
            <w:r>
              <w:rPr>
                <w:rFonts w:eastAsia="Times New Roman"/>
                <w:color w:val="000000"/>
                <w:sz w:val="18"/>
                <w:szCs w:val="18"/>
              </w:rPr>
              <w:t>0.20 </w:t>
            </w:r>
          </w:p>
        </w:tc>
        <w:tc>
          <w:tcPr>
            <w:tcW w:w="0" w:type="auto"/>
            <w:shd w:val="clear" w:color="auto" w:fill="FFFFFF"/>
            <w:tcMar>
              <w:top w:w="30" w:type="dxa"/>
              <w:left w:w="0" w:type="dxa"/>
              <w:bottom w:w="30" w:type="dxa"/>
              <w:right w:w="20" w:type="dxa"/>
            </w:tcMar>
            <w:vAlign w:val="center"/>
            <w:hideMark/>
          </w:tcPr>
          <w:p w14:paraId="5A94F6BD" w14:textId="77777777" w:rsidR="00000000" w:rsidRDefault="00405D16">
            <w:pPr>
              <w:spacing w:after="100"/>
              <w:jc w:val="right"/>
              <w:rPr>
                <w:rFonts w:eastAsia="Times New Roman"/>
              </w:rPr>
            </w:pPr>
          </w:p>
        </w:tc>
        <w:tc>
          <w:tcPr>
            <w:tcW w:w="0" w:type="auto"/>
            <w:vAlign w:val="center"/>
            <w:hideMark/>
          </w:tcPr>
          <w:p w14:paraId="1FCA9FC8" w14:textId="77777777" w:rsidR="00000000" w:rsidRDefault="00405D16">
            <w:pPr>
              <w:spacing w:after="100"/>
              <w:jc w:val="right"/>
              <w:rPr>
                <w:rFonts w:eastAsia="Times New Roman"/>
                <w:sz w:val="20"/>
                <w:szCs w:val="20"/>
              </w:rPr>
            </w:pPr>
          </w:p>
        </w:tc>
        <w:tc>
          <w:tcPr>
            <w:tcW w:w="0" w:type="auto"/>
            <w:vAlign w:val="center"/>
            <w:hideMark/>
          </w:tcPr>
          <w:p w14:paraId="3B607D72" w14:textId="77777777" w:rsidR="00000000" w:rsidRDefault="00405D16">
            <w:pPr>
              <w:spacing w:after="100"/>
              <w:rPr>
                <w:rFonts w:eastAsia="Times New Roman"/>
                <w:sz w:val="20"/>
                <w:szCs w:val="20"/>
              </w:rPr>
            </w:pPr>
          </w:p>
        </w:tc>
        <w:tc>
          <w:tcPr>
            <w:tcW w:w="0" w:type="auto"/>
            <w:gridSpan w:val="3"/>
            <w:vAlign w:val="center"/>
            <w:hideMark/>
          </w:tcPr>
          <w:p w14:paraId="7FB94452" w14:textId="77777777" w:rsidR="00000000" w:rsidRDefault="00405D16">
            <w:pPr>
              <w:spacing w:after="100"/>
              <w:rPr>
                <w:rFonts w:eastAsia="Times New Roman"/>
                <w:sz w:val="20"/>
                <w:szCs w:val="20"/>
              </w:rPr>
            </w:pPr>
          </w:p>
        </w:tc>
        <w:tc>
          <w:tcPr>
            <w:tcW w:w="0" w:type="auto"/>
            <w:gridSpan w:val="3"/>
            <w:vAlign w:val="center"/>
            <w:hideMark/>
          </w:tcPr>
          <w:p w14:paraId="017EE9B1" w14:textId="77777777" w:rsidR="00000000" w:rsidRDefault="00405D16">
            <w:pPr>
              <w:spacing w:after="100"/>
              <w:rPr>
                <w:rFonts w:eastAsia="Times New Roman"/>
                <w:sz w:val="20"/>
                <w:szCs w:val="20"/>
              </w:rPr>
            </w:pPr>
          </w:p>
        </w:tc>
        <w:tc>
          <w:tcPr>
            <w:tcW w:w="0" w:type="auto"/>
            <w:gridSpan w:val="3"/>
            <w:vAlign w:val="center"/>
            <w:hideMark/>
          </w:tcPr>
          <w:p w14:paraId="7CD7CDFD" w14:textId="77777777" w:rsidR="00000000" w:rsidRDefault="00405D16">
            <w:pPr>
              <w:spacing w:after="100"/>
              <w:rPr>
                <w:rFonts w:eastAsia="Times New Roman"/>
                <w:sz w:val="20"/>
                <w:szCs w:val="20"/>
              </w:rPr>
            </w:pPr>
          </w:p>
        </w:tc>
        <w:tc>
          <w:tcPr>
            <w:tcW w:w="0" w:type="auto"/>
            <w:gridSpan w:val="3"/>
            <w:vAlign w:val="center"/>
            <w:hideMark/>
          </w:tcPr>
          <w:p w14:paraId="7E0666EE" w14:textId="77777777" w:rsidR="00000000" w:rsidRDefault="00405D16">
            <w:pPr>
              <w:spacing w:after="100"/>
              <w:rPr>
                <w:rFonts w:eastAsia="Times New Roman"/>
                <w:sz w:val="20"/>
                <w:szCs w:val="20"/>
              </w:rPr>
            </w:pPr>
          </w:p>
        </w:tc>
      </w:tr>
      <w:tr w:rsidR="00000000" w14:paraId="5D3A8426" w14:textId="77777777">
        <w:trPr>
          <w:divId w:val="1942257185"/>
        </w:trPr>
        <w:tc>
          <w:tcPr>
            <w:tcW w:w="0" w:type="auto"/>
            <w:gridSpan w:val="15"/>
            <w:shd w:val="clear" w:color="auto" w:fill="CCEEFF"/>
            <w:tcMar>
              <w:top w:w="30" w:type="dxa"/>
              <w:left w:w="20" w:type="dxa"/>
              <w:bottom w:w="30" w:type="dxa"/>
              <w:right w:w="20" w:type="dxa"/>
            </w:tcMar>
            <w:vAlign w:val="center"/>
            <w:hideMark/>
          </w:tcPr>
          <w:p w14:paraId="7D698C39" w14:textId="77777777" w:rsidR="00000000" w:rsidRDefault="00405D16">
            <w:pPr>
              <w:spacing w:after="100"/>
              <w:rPr>
                <w:rFonts w:eastAsia="Times New Roman"/>
              </w:rPr>
            </w:pPr>
            <w:r>
              <w:rPr>
                <w:rFonts w:eastAsia="Times New Roman"/>
                <w:color w:val="000000"/>
                <w:sz w:val="18"/>
                <w:szCs w:val="18"/>
              </w:rPr>
              <w:t>Net interest margin</w:t>
            </w:r>
          </w:p>
        </w:tc>
        <w:tc>
          <w:tcPr>
            <w:tcW w:w="0" w:type="auto"/>
            <w:gridSpan w:val="3"/>
            <w:shd w:val="clear" w:color="auto" w:fill="CCEEFF"/>
            <w:tcMar>
              <w:top w:w="0" w:type="dxa"/>
              <w:left w:w="20" w:type="dxa"/>
              <w:bottom w:w="0" w:type="dxa"/>
              <w:right w:w="20" w:type="dxa"/>
            </w:tcMar>
            <w:vAlign w:val="center"/>
            <w:hideMark/>
          </w:tcPr>
          <w:p w14:paraId="5535608A" w14:textId="77777777" w:rsidR="00000000" w:rsidRDefault="00405D16">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BC57575" w14:textId="77777777" w:rsidR="00000000" w:rsidRDefault="00405D16">
            <w:pPr>
              <w:spacing w:after="100"/>
              <w:jc w:val="right"/>
              <w:rPr>
                <w:rFonts w:eastAsia="Times New Roman"/>
              </w:rPr>
            </w:pPr>
            <w:r>
              <w:rPr>
                <w:rFonts w:eastAsia="Times New Roman"/>
                <w:b/>
                <w:bCs/>
                <w:color w:val="000000"/>
                <w:sz w:val="18"/>
                <w:szCs w:val="18"/>
              </w:rPr>
              <w:t>6.08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137F5D9"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ADF78D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2BEFB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97A22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35BE1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CA4A1B" w14:textId="77777777" w:rsidR="00000000" w:rsidRDefault="00405D16">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189A7CE" w14:textId="77777777" w:rsidR="00000000" w:rsidRDefault="00405D16">
            <w:pPr>
              <w:spacing w:after="100"/>
              <w:jc w:val="right"/>
              <w:rPr>
                <w:rFonts w:eastAsia="Times New Roman"/>
              </w:rPr>
            </w:pPr>
            <w:r>
              <w:rPr>
                <w:rFonts w:eastAsia="Times New Roman"/>
                <w:color w:val="000000"/>
                <w:sz w:val="18"/>
                <w:szCs w:val="18"/>
              </w:rPr>
              <w:t>6.06 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8F753F1" w14:textId="77777777" w:rsidR="00000000" w:rsidRDefault="00405D16">
            <w:pPr>
              <w:spacing w:after="100"/>
              <w:rPr>
                <w:rFonts w:eastAsia="Times New Roman"/>
              </w:rPr>
            </w:pPr>
            <w:r>
              <w:rPr>
                <w:rFonts w:eastAsia="Times New Roman"/>
                <w:color w:val="000000"/>
                <w:sz w:val="18"/>
                <w:szCs w:val="18"/>
              </w:rPr>
              <w:t>%</w:t>
            </w:r>
          </w:p>
        </w:tc>
        <w:tc>
          <w:tcPr>
            <w:tcW w:w="0" w:type="auto"/>
            <w:vAlign w:val="center"/>
            <w:hideMark/>
          </w:tcPr>
          <w:p w14:paraId="035C10AF" w14:textId="77777777" w:rsidR="00000000" w:rsidRDefault="00405D16">
            <w:pPr>
              <w:spacing w:after="100"/>
              <w:rPr>
                <w:rFonts w:eastAsia="Times New Roman"/>
              </w:rPr>
            </w:pPr>
          </w:p>
        </w:tc>
        <w:tc>
          <w:tcPr>
            <w:tcW w:w="0" w:type="auto"/>
            <w:vAlign w:val="center"/>
            <w:hideMark/>
          </w:tcPr>
          <w:p w14:paraId="7DF8ABAA" w14:textId="77777777" w:rsidR="00000000" w:rsidRDefault="00405D16">
            <w:pPr>
              <w:spacing w:after="100"/>
              <w:rPr>
                <w:rFonts w:eastAsia="Times New Roman"/>
                <w:sz w:val="20"/>
                <w:szCs w:val="20"/>
              </w:rPr>
            </w:pPr>
          </w:p>
        </w:tc>
        <w:tc>
          <w:tcPr>
            <w:tcW w:w="0" w:type="auto"/>
            <w:gridSpan w:val="3"/>
            <w:vAlign w:val="center"/>
            <w:hideMark/>
          </w:tcPr>
          <w:p w14:paraId="47DE8B66" w14:textId="77777777" w:rsidR="00000000" w:rsidRDefault="00405D16">
            <w:pPr>
              <w:spacing w:after="100"/>
              <w:rPr>
                <w:rFonts w:eastAsia="Times New Roman"/>
                <w:sz w:val="20"/>
                <w:szCs w:val="20"/>
              </w:rPr>
            </w:pPr>
          </w:p>
        </w:tc>
        <w:tc>
          <w:tcPr>
            <w:tcW w:w="0" w:type="auto"/>
            <w:gridSpan w:val="3"/>
            <w:vAlign w:val="center"/>
            <w:hideMark/>
          </w:tcPr>
          <w:p w14:paraId="3F969E99" w14:textId="77777777" w:rsidR="00000000" w:rsidRDefault="00405D16">
            <w:pPr>
              <w:spacing w:after="100"/>
              <w:rPr>
                <w:rFonts w:eastAsia="Times New Roman"/>
                <w:sz w:val="20"/>
                <w:szCs w:val="20"/>
              </w:rPr>
            </w:pPr>
          </w:p>
        </w:tc>
        <w:tc>
          <w:tcPr>
            <w:tcW w:w="0" w:type="auto"/>
            <w:gridSpan w:val="3"/>
            <w:vAlign w:val="center"/>
            <w:hideMark/>
          </w:tcPr>
          <w:p w14:paraId="104F258F" w14:textId="77777777" w:rsidR="00000000" w:rsidRDefault="00405D16">
            <w:pPr>
              <w:spacing w:after="100"/>
              <w:rPr>
                <w:rFonts w:eastAsia="Times New Roman"/>
                <w:sz w:val="20"/>
                <w:szCs w:val="20"/>
              </w:rPr>
            </w:pPr>
          </w:p>
        </w:tc>
        <w:tc>
          <w:tcPr>
            <w:tcW w:w="0" w:type="auto"/>
            <w:gridSpan w:val="3"/>
            <w:vAlign w:val="center"/>
            <w:hideMark/>
          </w:tcPr>
          <w:p w14:paraId="4760877C" w14:textId="77777777" w:rsidR="00000000" w:rsidRDefault="00405D16">
            <w:pPr>
              <w:spacing w:after="100"/>
              <w:rPr>
                <w:rFonts w:eastAsia="Times New Roman"/>
                <w:sz w:val="20"/>
                <w:szCs w:val="20"/>
              </w:rPr>
            </w:pPr>
          </w:p>
        </w:tc>
      </w:tr>
    </w:tbl>
    <w:p w14:paraId="28EC996C" w14:textId="77777777" w:rsidR="00000000" w:rsidRDefault="00405D16">
      <w:pPr>
        <w:jc w:val="both"/>
        <w:divId w:val="1942257185"/>
        <w:rPr>
          <w:rFonts w:eastAsia="Times New Roman"/>
        </w:rPr>
      </w:pPr>
      <w:r>
        <w:rPr>
          <w:rFonts w:eastAsia="Times New Roman"/>
          <w:color w:val="000000"/>
          <w:sz w:val="20"/>
          <w:szCs w:val="20"/>
        </w:rPr>
        <w:t>__________</w:t>
      </w:r>
    </w:p>
    <w:p w14:paraId="17C68221" w14:textId="77777777" w:rsidR="00000000" w:rsidRDefault="00405D16">
      <w:pPr>
        <w:ind w:hanging="360"/>
        <w:jc w:val="both"/>
        <w:divId w:val="166451092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Past due fees included in interest income totaled approximately $401 million and $1.0 billion in the third quarter and first nine months of 2021, respectively, and $277 million and $933 million in the third quarter and first nine months of 2020, respect</w:t>
      </w:r>
      <w:r>
        <w:rPr>
          <w:rFonts w:eastAsia="Times New Roman"/>
          <w:color w:val="000000"/>
          <w:sz w:val="16"/>
          <w:szCs w:val="16"/>
        </w:rPr>
        <w:t>ively.</w:t>
      </w:r>
    </w:p>
    <w:p w14:paraId="357AE0D0" w14:textId="77777777" w:rsidR="00000000" w:rsidRDefault="00405D16">
      <w:pPr>
        <w:ind w:hanging="360"/>
        <w:jc w:val="both"/>
        <w:divId w:val="1446148525"/>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Some of our commercial loans generate tax-exempt income. Accordingly, we present our Commercial Banking interest income and yields on a taxable-equivalent basis, calculated using the federal statutory rate of 21% and state taxes where applicable,</w:t>
      </w:r>
      <w:r>
        <w:rPr>
          <w:rFonts w:eastAsia="Times New Roman"/>
          <w:color w:val="000000"/>
          <w:sz w:val="16"/>
          <w:szCs w:val="16"/>
        </w:rPr>
        <w:t xml:space="preserve"> with offsetting reductions to the Other category. Taxable-equivalent adjustments included in the interest income and yield computations for our commercial loans totaled approximately $18 million and $56 million in the third quarter and first nine months o</w:t>
      </w:r>
      <w:r>
        <w:rPr>
          <w:rFonts w:eastAsia="Times New Roman"/>
          <w:color w:val="000000"/>
          <w:sz w:val="16"/>
          <w:szCs w:val="16"/>
        </w:rPr>
        <w:t>f 2021, respectively, and $20 million and $61 million in the third quarter and first nine months of 2020, respectively, with corresponding reductions to the Other category.</w:t>
      </w:r>
    </w:p>
    <w:p w14:paraId="460F6793" w14:textId="77777777" w:rsidR="00000000" w:rsidRDefault="00405D16">
      <w:pPr>
        <w:ind w:hanging="360"/>
        <w:jc w:val="both"/>
        <w:divId w:val="98306439"/>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Interest income/expense in the Other category represents the impact of hedge acc</w:t>
      </w:r>
      <w:r>
        <w:rPr>
          <w:rFonts w:eastAsia="Times New Roman"/>
          <w:color w:val="000000"/>
          <w:sz w:val="16"/>
          <w:szCs w:val="16"/>
        </w:rPr>
        <w:t xml:space="preserve">ounting on our loan portfolios and the offsetting reduction of the taxable-equivalent adjustments of our commercial loans as described above. </w:t>
      </w:r>
    </w:p>
    <w:p w14:paraId="58054E57" w14:textId="77777777" w:rsidR="00000000" w:rsidRDefault="00405D16">
      <w:pPr>
        <w:ind w:hanging="360"/>
        <w:jc w:val="both"/>
        <w:divId w:val="207184579"/>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 xml:space="preserve">Includes a catch-up in amortization expense related to prepayment activity on certain securities that reduced </w:t>
      </w:r>
      <w:r>
        <w:rPr>
          <w:rFonts w:eastAsia="Times New Roman"/>
          <w:color w:val="000000"/>
          <w:sz w:val="16"/>
          <w:szCs w:val="16"/>
        </w:rPr>
        <w:t>yield by 20 basis points for the three months ended September 30, 2021.</w:t>
      </w:r>
    </w:p>
    <w:p w14:paraId="5E9B3493" w14:textId="77777777" w:rsidR="00000000" w:rsidRDefault="00405D16">
      <w:pPr>
        <w:ind w:hanging="360"/>
        <w:jc w:val="both"/>
        <w:divId w:val="1784612258"/>
        <w:rPr>
          <w:rFonts w:eastAsia="Times New Roman"/>
        </w:rPr>
      </w:pPr>
      <w:r>
        <w:rPr>
          <w:rFonts w:eastAsia="Times New Roman"/>
          <w:color w:val="000000"/>
          <w:sz w:val="16"/>
          <w:szCs w:val="16"/>
        </w:rPr>
        <w:t>**    Not meaningful.</w:t>
      </w:r>
    </w:p>
    <w:p w14:paraId="033CC47F" w14:textId="77777777" w:rsidR="00000000" w:rsidRDefault="00405D16">
      <w:pPr>
        <w:jc w:val="both"/>
        <w:divId w:val="292104262"/>
        <w:rPr>
          <w:rFonts w:eastAsia="Times New Roman"/>
        </w:rPr>
      </w:pPr>
      <w:r>
        <w:rPr>
          <w:rFonts w:eastAsia="Times New Roman"/>
          <w:color w:val="000000"/>
          <w:sz w:val="20"/>
          <w:szCs w:val="20"/>
        </w:rPr>
        <w:t>Net interest income increased by $601 million to $6.2 billion in the third quarter of 2021 compared to the third quarter of 2020, primarily driven by higher margi</w:t>
      </w:r>
      <w:r>
        <w:rPr>
          <w:rFonts w:eastAsia="Times New Roman"/>
          <w:color w:val="000000"/>
          <w:sz w:val="20"/>
          <w:szCs w:val="20"/>
        </w:rPr>
        <w:t xml:space="preserve">ns and average loans outstanding in our credit card loan portfolio and higher average loans outstanding in our auto loan portfolio. Net interest income increased by $681 million to $17.7 billion in the first nine months of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4A64F099" w14:textId="77777777">
        <w:trPr>
          <w:divId w:val="1331256487"/>
          <w:jc w:val="center"/>
        </w:trPr>
        <w:tc>
          <w:tcPr>
            <w:tcW w:w="50" w:type="pct"/>
            <w:vAlign w:val="center"/>
            <w:hideMark/>
          </w:tcPr>
          <w:p w14:paraId="4D4AEE7D" w14:textId="77777777" w:rsidR="00000000" w:rsidRDefault="00405D16">
            <w:pPr>
              <w:jc w:val="both"/>
              <w:rPr>
                <w:rFonts w:eastAsia="Times New Roman"/>
              </w:rPr>
            </w:pPr>
          </w:p>
        </w:tc>
        <w:tc>
          <w:tcPr>
            <w:tcW w:w="1606" w:type="pct"/>
            <w:vAlign w:val="center"/>
            <w:hideMark/>
          </w:tcPr>
          <w:p w14:paraId="4EAC0DA6" w14:textId="77777777" w:rsidR="00000000" w:rsidRDefault="00405D16">
            <w:pPr>
              <w:spacing w:after="100"/>
              <w:rPr>
                <w:rFonts w:eastAsia="Times New Roman"/>
                <w:sz w:val="20"/>
                <w:szCs w:val="20"/>
              </w:rPr>
            </w:pPr>
          </w:p>
        </w:tc>
        <w:tc>
          <w:tcPr>
            <w:tcW w:w="5" w:type="pct"/>
            <w:vAlign w:val="center"/>
            <w:hideMark/>
          </w:tcPr>
          <w:p w14:paraId="39947ACA" w14:textId="77777777" w:rsidR="00000000" w:rsidRDefault="00405D16">
            <w:pPr>
              <w:spacing w:after="100"/>
              <w:rPr>
                <w:rFonts w:eastAsia="Times New Roman"/>
                <w:sz w:val="20"/>
                <w:szCs w:val="20"/>
              </w:rPr>
            </w:pPr>
          </w:p>
        </w:tc>
        <w:tc>
          <w:tcPr>
            <w:tcW w:w="50" w:type="pct"/>
            <w:vAlign w:val="center"/>
            <w:hideMark/>
          </w:tcPr>
          <w:p w14:paraId="103756ED" w14:textId="77777777" w:rsidR="00000000" w:rsidRDefault="00405D16">
            <w:pPr>
              <w:spacing w:after="100"/>
              <w:rPr>
                <w:rFonts w:eastAsia="Times New Roman"/>
                <w:sz w:val="20"/>
                <w:szCs w:val="20"/>
              </w:rPr>
            </w:pPr>
          </w:p>
        </w:tc>
        <w:tc>
          <w:tcPr>
            <w:tcW w:w="1614" w:type="pct"/>
            <w:vAlign w:val="center"/>
            <w:hideMark/>
          </w:tcPr>
          <w:p w14:paraId="360E76C6" w14:textId="77777777" w:rsidR="00000000" w:rsidRDefault="00405D16">
            <w:pPr>
              <w:spacing w:after="100"/>
              <w:rPr>
                <w:rFonts w:eastAsia="Times New Roman"/>
                <w:sz w:val="20"/>
                <w:szCs w:val="20"/>
              </w:rPr>
            </w:pPr>
          </w:p>
        </w:tc>
        <w:tc>
          <w:tcPr>
            <w:tcW w:w="5" w:type="pct"/>
            <w:vAlign w:val="center"/>
            <w:hideMark/>
          </w:tcPr>
          <w:p w14:paraId="63EF5801" w14:textId="77777777" w:rsidR="00000000" w:rsidRDefault="00405D16">
            <w:pPr>
              <w:spacing w:after="100"/>
              <w:rPr>
                <w:rFonts w:eastAsia="Times New Roman"/>
                <w:sz w:val="20"/>
                <w:szCs w:val="20"/>
              </w:rPr>
            </w:pPr>
          </w:p>
        </w:tc>
        <w:tc>
          <w:tcPr>
            <w:tcW w:w="50" w:type="pct"/>
            <w:vAlign w:val="center"/>
            <w:hideMark/>
          </w:tcPr>
          <w:p w14:paraId="7010028A" w14:textId="77777777" w:rsidR="00000000" w:rsidRDefault="00405D16">
            <w:pPr>
              <w:spacing w:after="100"/>
              <w:rPr>
                <w:rFonts w:eastAsia="Times New Roman"/>
                <w:sz w:val="20"/>
                <w:szCs w:val="20"/>
              </w:rPr>
            </w:pPr>
          </w:p>
        </w:tc>
        <w:tc>
          <w:tcPr>
            <w:tcW w:w="1614" w:type="pct"/>
            <w:vAlign w:val="center"/>
            <w:hideMark/>
          </w:tcPr>
          <w:p w14:paraId="313E62B7" w14:textId="77777777" w:rsidR="00000000" w:rsidRDefault="00405D16">
            <w:pPr>
              <w:spacing w:after="100"/>
              <w:rPr>
                <w:rFonts w:eastAsia="Times New Roman"/>
                <w:sz w:val="20"/>
                <w:szCs w:val="20"/>
              </w:rPr>
            </w:pPr>
          </w:p>
        </w:tc>
        <w:tc>
          <w:tcPr>
            <w:tcW w:w="5" w:type="pct"/>
            <w:vAlign w:val="center"/>
            <w:hideMark/>
          </w:tcPr>
          <w:p w14:paraId="415DE69D" w14:textId="77777777" w:rsidR="00000000" w:rsidRDefault="00405D16">
            <w:pPr>
              <w:spacing w:after="100"/>
              <w:rPr>
                <w:rFonts w:eastAsia="Times New Roman"/>
                <w:sz w:val="20"/>
                <w:szCs w:val="20"/>
              </w:rPr>
            </w:pPr>
          </w:p>
        </w:tc>
      </w:tr>
      <w:tr w:rsidR="00000000" w14:paraId="44E2FE3C" w14:textId="77777777">
        <w:trPr>
          <w:divId w:val="1331256487"/>
          <w:trHeight w:val="300"/>
          <w:jc w:val="center"/>
        </w:trPr>
        <w:tc>
          <w:tcPr>
            <w:tcW w:w="0" w:type="auto"/>
            <w:gridSpan w:val="9"/>
            <w:tcMar>
              <w:top w:w="0" w:type="dxa"/>
              <w:left w:w="20" w:type="dxa"/>
              <w:bottom w:w="0" w:type="dxa"/>
              <w:right w:w="20" w:type="dxa"/>
            </w:tcMar>
            <w:vAlign w:val="center"/>
            <w:hideMark/>
          </w:tcPr>
          <w:p w14:paraId="1D6EF613" w14:textId="77777777" w:rsidR="00000000" w:rsidRDefault="00405D16">
            <w:pPr>
              <w:spacing w:after="100"/>
              <w:rPr>
                <w:rFonts w:eastAsia="Times New Roman"/>
                <w:sz w:val="20"/>
                <w:szCs w:val="20"/>
              </w:rPr>
            </w:pPr>
          </w:p>
        </w:tc>
      </w:tr>
      <w:tr w:rsidR="00000000" w14:paraId="1B019FAD" w14:textId="77777777">
        <w:trPr>
          <w:divId w:val="1331256487"/>
          <w:jc w:val="center"/>
        </w:trPr>
        <w:tc>
          <w:tcPr>
            <w:tcW w:w="0" w:type="auto"/>
            <w:gridSpan w:val="3"/>
            <w:tcMar>
              <w:top w:w="0" w:type="dxa"/>
              <w:left w:w="20" w:type="dxa"/>
              <w:bottom w:w="0" w:type="dxa"/>
              <w:right w:w="20" w:type="dxa"/>
            </w:tcMar>
            <w:vAlign w:val="center"/>
            <w:hideMark/>
          </w:tcPr>
          <w:p w14:paraId="53401AA3"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D4ACD0F" w14:textId="77777777" w:rsidR="00000000" w:rsidRDefault="00405D16">
            <w:pPr>
              <w:spacing w:after="100"/>
              <w:jc w:val="center"/>
              <w:rPr>
                <w:rFonts w:eastAsia="Times New Roman"/>
              </w:rPr>
            </w:pPr>
            <w:r>
              <w:rPr>
                <w:rFonts w:eastAsia="Times New Roman"/>
                <w:color w:val="000000"/>
                <w:sz w:val="16"/>
                <w:szCs w:val="16"/>
              </w:rPr>
              <w:t>13</w:t>
            </w:r>
          </w:p>
        </w:tc>
        <w:tc>
          <w:tcPr>
            <w:tcW w:w="0" w:type="auto"/>
            <w:gridSpan w:val="3"/>
            <w:tcMar>
              <w:top w:w="30" w:type="dxa"/>
              <w:left w:w="20" w:type="dxa"/>
              <w:bottom w:w="30" w:type="dxa"/>
              <w:right w:w="20" w:type="dxa"/>
            </w:tcMar>
            <w:vAlign w:val="bottom"/>
            <w:hideMark/>
          </w:tcPr>
          <w:p w14:paraId="19A99D3B"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28576F04" w14:textId="77777777" w:rsidR="00000000" w:rsidRDefault="00405D16">
      <w:pPr>
        <w:rPr>
          <w:rFonts w:eastAsia="Times New Roman"/>
        </w:rPr>
      </w:pPr>
      <w:r>
        <w:rPr>
          <w:rFonts w:eastAsia="Times New Roman"/>
        </w:rPr>
        <w:pict w14:anchorId="577FDC2B">
          <v:rect id="_x0000_i1038" style="width:0;height:1.5pt" o:hralign="center" o:hrstd="t" o:hr="t" fillcolor="#a0a0a0" stroked="f"/>
        </w:pict>
      </w:r>
    </w:p>
    <w:p w14:paraId="3D4AA4A6" w14:textId="77777777" w:rsidR="00000000" w:rsidRDefault="00405D16">
      <w:pPr>
        <w:ind w:hanging="360"/>
        <w:jc w:val="both"/>
        <w:divId w:val="2131900012"/>
        <w:rPr>
          <w:rFonts w:eastAsia="Times New Roman"/>
        </w:rPr>
      </w:pPr>
      <w:hyperlink w:anchor="idd54a04a485440b4ab4e56094c14d612_13" w:history="1">
        <w:r>
          <w:rPr>
            <w:rStyle w:val="a3"/>
            <w:rFonts w:eastAsia="Times New Roman"/>
            <w:sz w:val="16"/>
            <w:szCs w:val="16"/>
          </w:rPr>
          <w:t>Table of Contents</w:t>
        </w:r>
      </w:hyperlink>
    </w:p>
    <w:p w14:paraId="739B56FC" w14:textId="77777777" w:rsidR="00000000" w:rsidRDefault="00405D16">
      <w:pPr>
        <w:jc w:val="both"/>
        <w:divId w:val="1180700232"/>
        <w:rPr>
          <w:rFonts w:eastAsia="Times New Roman"/>
        </w:rPr>
      </w:pPr>
      <w:r>
        <w:rPr>
          <w:rFonts w:eastAsia="Times New Roman"/>
          <w:color w:val="000000"/>
          <w:sz w:val="20"/>
          <w:szCs w:val="20"/>
        </w:rPr>
        <w:t>2021 compared to the first nine months of 2020 primarily driven by lower interest rates paid on interest-bearing deposits and higher average outstanding balances in our auto loan portfolio.</w:t>
      </w:r>
    </w:p>
    <w:p w14:paraId="2964E3DB" w14:textId="77777777" w:rsidR="00000000" w:rsidRDefault="00405D16">
      <w:pPr>
        <w:jc w:val="both"/>
        <w:divId w:val="2038240701"/>
        <w:rPr>
          <w:rFonts w:eastAsia="Times New Roman"/>
        </w:rPr>
      </w:pPr>
      <w:r>
        <w:rPr>
          <w:rFonts w:eastAsia="Times New Roman"/>
          <w:color w:val="000000"/>
          <w:sz w:val="20"/>
          <w:szCs w:val="20"/>
        </w:rPr>
        <w:t>Net interest margin increased by 67 basis points to 6.35% in the t</w:t>
      </w:r>
      <w:r>
        <w:rPr>
          <w:rFonts w:eastAsia="Times New Roman"/>
          <w:color w:val="000000"/>
          <w:sz w:val="20"/>
          <w:szCs w:val="20"/>
        </w:rPr>
        <w:t>hird quarter of 2021 compared to the third quarter of 2020 primarily driven by lower interest rates paid on interest-bearing liabilities, higher average loan balances and lower average cash balances, partially offset by higher average investment securities</w:t>
      </w:r>
      <w:r>
        <w:rPr>
          <w:rFonts w:eastAsia="Times New Roman"/>
          <w:color w:val="000000"/>
          <w:sz w:val="20"/>
          <w:szCs w:val="20"/>
        </w:rPr>
        <w:t xml:space="preserve"> balances. Net interest margin remained relatively flat at 6.08% in the first nine months of 2021 compared to the first nine months of 2020. </w:t>
      </w:r>
    </w:p>
    <w:p w14:paraId="1E860806" w14:textId="77777777" w:rsidR="00000000" w:rsidRDefault="00405D16">
      <w:pPr>
        <w:jc w:val="both"/>
        <w:divId w:val="1885213483"/>
        <w:rPr>
          <w:rFonts w:eastAsia="Times New Roman"/>
        </w:rPr>
      </w:pPr>
      <w:r>
        <w:rPr>
          <w:rFonts w:eastAsia="Times New Roman"/>
          <w:color w:val="000000"/>
          <w:sz w:val="20"/>
          <w:szCs w:val="20"/>
        </w:rPr>
        <w:t>Table 3 displays the change in our net interest income between periods and the extent to which the variance is att</w:t>
      </w:r>
      <w:r>
        <w:rPr>
          <w:rFonts w:eastAsia="Times New Roman"/>
          <w:color w:val="000000"/>
          <w:sz w:val="20"/>
          <w:szCs w:val="20"/>
        </w:rPr>
        <w:t>ributable to:</w:t>
      </w:r>
    </w:p>
    <w:p w14:paraId="16EEA241" w14:textId="77777777" w:rsidR="00000000" w:rsidRDefault="00405D16">
      <w:pPr>
        <w:ind w:hanging="360"/>
        <w:jc w:val="both"/>
        <w:divId w:val="1873882452"/>
        <w:rPr>
          <w:rFonts w:eastAsia="Times New Roman"/>
        </w:rPr>
      </w:pPr>
      <w:r>
        <w:rPr>
          <w:rFonts w:eastAsia="Times New Roman"/>
          <w:color w:val="000000"/>
          <w:sz w:val="20"/>
          <w:szCs w:val="20"/>
        </w:rPr>
        <w:t>•changes in the volume of our interest-earning assets and interest-bearing liabilities; or</w:t>
      </w:r>
    </w:p>
    <w:p w14:paraId="5BD34372" w14:textId="77777777" w:rsidR="00000000" w:rsidRDefault="00405D16">
      <w:pPr>
        <w:ind w:hanging="360"/>
        <w:jc w:val="both"/>
        <w:divId w:val="395205581"/>
        <w:rPr>
          <w:rFonts w:eastAsia="Times New Roman"/>
        </w:rPr>
      </w:pPr>
      <w:r>
        <w:rPr>
          <w:rFonts w:eastAsia="Times New Roman"/>
          <w:color w:val="000000"/>
          <w:sz w:val="20"/>
          <w:szCs w:val="20"/>
        </w:rPr>
        <w:t>•changes in the interest rates related to these assets and liabilities.</w:t>
      </w:r>
    </w:p>
    <w:p w14:paraId="52CF5038" w14:textId="77777777" w:rsidR="00000000" w:rsidRDefault="00405D16">
      <w:pPr>
        <w:divId w:val="1859660515"/>
        <w:rPr>
          <w:rFonts w:eastAsia="Times New Roman"/>
        </w:rPr>
      </w:pPr>
      <w:r>
        <w:rPr>
          <w:rFonts w:eastAsia="Times New Roman"/>
          <w:b/>
          <w:bCs/>
          <w:color w:val="000000"/>
          <w:sz w:val="18"/>
          <w:szCs w:val="18"/>
        </w:rPr>
        <w:t>Table 3: Rate/Volume Analysis of Net Interest Incom</w:t>
      </w:r>
      <w:r>
        <w:rPr>
          <w:rFonts w:eastAsia="Times New Roman"/>
          <w:b/>
          <w:bCs/>
          <w:color w:val="000000"/>
          <w:sz w:val="18"/>
          <w:szCs w:val="18"/>
        </w:rPr>
        <w:t>e</w:t>
      </w:r>
      <w:r>
        <w:rPr>
          <w:rFonts w:eastAsia="Times New Roman"/>
          <w:b/>
          <w:bCs/>
          <w:color w:val="000000"/>
          <w:sz w:val="12"/>
          <w:szCs w:val="12"/>
        </w:rPr>
        <w:t>(1</w:t>
      </w:r>
      <w:r>
        <w:rPr>
          <w:rFonts w:eastAsia="Times New Roman"/>
          <w:b/>
          <w:bCs/>
          <w:color w:val="000000"/>
          <w:sz w:val="12"/>
          <w:szCs w:val="12"/>
        </w:rPr>
        <w:t>)</w:t>
      </w:r>
      <w:r>
        <w:rPr>
          <w:rFonts w:eastAsia="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1"/>
        <w:gridCol w:w="3688"/>
        <w:gridCol w:w="40"/>
        <w:gridCol w:w="36"/>
        <w:gridCol w:w="36"/>
        <w:gridCol w:w="36"/>
        <w:gridCol w:w="111"/>
        <w:gridCol w:w="573"/>
        <w:gridCol w:w="37"/>
        <w:gridCol w:w="36"/>
        <w:gridCol w:w="36"/>
        <w:gridCol w:w="36"/>
        <w:gridCol w:w="111"/>
        <w:gridCol w:w="496"/>
        <w:gridCol w:w="37"/>
        <w:gridCol w:w="36"/>
        <w:gridCol w:w="36"/>
        <w:gridCol w:w="36"/>
        <w:gridCol w:w="110"/>
        <w:gridCol w:w="388"/>
        <w:gridCol w:w="36"/>
        <w:gridCol w:w="36"/>
        <w:gridCol w:w="36"/>
        <w:gridCol w:w="36"/>
        <w:gridCol w:w="111"/>
        <w:gridCol w:w="573"/>
        <w:gridCol w:w="37"/>
        <w:gridCol w:w="36"/>
        <w:gridCol w:w="36"/>
        <w:gridCol w:w="36"/>
        <w:gridCol w:w="111"/>
        <w:gridCol w:w="497"/>
        <w:gridCol w:w="37"/>
        <w:gridCol w:w="36"/>
        <w:gridCol w:w="36"/>
        <w:gridCol w:w="36"/>
        <w:gridCol w:w="111"/>
        <w:gridCol w:w="477"/>
        <w:gridCol w:w="36"/>
      </w:tblGrid>
      <w:tr w:rsidR="00000000" w14:paraId="678B9FD7" w14:textId="77777777">
        <w:trPr>
          <w:divId w:val="40788745"/>
        </w:trPr>
        <w:tc>
          <w:tcPr>
            <w:tcW w:w="50" w:type="pct"/>
            <w:vAlign w:val="center"/>
            <w:hideMark/>
          </w:tcPr>
          <w:p w14:paraId="76454C15" w14:textId="77777777" w:rsidR="00000000" w:rsidRDefault="00405D16">
            <w:pPr>
              <w:rPr>
                <w:rFonts w:eastAsia="Times New Roman"/>
              </w:rPr>
            </w:pPr>
          </w:p>
        </w:tc>
        <w:tc>
          <w:tcPr>
            <w:tcW w:w="2269" w:type="pct"/>
            <w:vAlign w:val="center"/>
            <w:hideMark/>
          </w:tcPr>
          <w:p w14:paraId="5B84B65E" w14:textId="77777777" w:rsidR="00000000" w:rsidRDefault="00405D16">
            <w:pPr>
              <w:spacing w:after="100"/>
              <w:rPr>
                <w:rFonts w:eastAsia="Times New Roman"/>
                <w:sz w:val="20"/>
                <w:szCs w:val="20"/>
              </w:rPr>
            </w:pPr>
          </w:p>
        </w:tc>
        <w:tc>
          <w:tcPr>
            <w:tcW w:w="5" w:type="pct"/>
            <w:vAlign w:val="center"/>
            <w:hideMark/>
          </w:tcPr>
          <w:p w14:paraId="0D550DFE" w14:textId="77777777" w:rsidR="00000000" w:rsidRDefault="00405D16">
            <w:pPr>
              <w:spacing w:after="100"/>
              <w:rPr>
                <w:rFonts w:eastAsia="Times New Roman"/>
                <w:sz w:val="20"/>
                <w:szCs w:val="20"/>
              </w:rPr>
            </w:pPr>
          </w:p>
        </w:tc>
        <w:tc>
          <w:tcPr>
            <w:tcW w:w="5" w:type="pct"/>
            <w:vAlign w:val="center"/>
            <w:hideMark/>
          </w:tcPr>
          <w:p w14:paraId="13067496" w14:textId="77777777" w:rsidR="00000000" w:rsidRDefault="00405D16">
            <w:pPr>
              <w:spacing w:after="100"/>
              <w:rPr>
                <w:rFonts w:eastAsia="Times New Roman"/>
                <w:sz w:val="20"/>
                <w:szCs w:val="20"/>
              </w:rPr>
            </w:pPr>
          </w:p>
        </w:tc>
        <w:tc>
          <w:tcPr>
            <w:tcW w:w="26" w:type="pct"/>
            <w:vAlign w:val="center"/>
            <w:hideMark/>
          </w:tcPr>
          <w:p w14:paraId="79B35184" w14:textId="77777777" w:rsidR="00000000" w:rsidRDefault="00405D16">
            <w:pPr>
              <w:spacing w:after="100"/>
              <w:rPr>
                <w:rFonts w:eastAsia="Times New Roman"/>
                <w:sz w:val="20"/>
                <w:szCs w:val="20"/>
              </w:rPr>
            </w:pPr>
          </w:p>
        </w:tc>
        <w:tc>
          <w:tcPr>
            <w:tcW w:w="5" w:type="pct"/>
            <w:vAlign w:val="center"/>
            <w:hideMark/>
          </w:tcPr>
          <w:p w14:paraId="6F4B298A" w14:textId="77777777" w:rsidR="00000000" w:rsidRDefault="00405D16">
            <w:pPr>
              <w:spacing w:after="100"/>
              <w:rPr>
                <w:rFonts w:eastAsia="Times New Roman"/>
                <w:sz w:val="20"/>
                <w:szCs w:val="20"/>
              </w:rPr>
            </w:pPr>
          </w:p>
        </w:tc>
        <w:tc>
          <w:tcPr>
            <w:tcW w:w="50" w:type="pct"/>
            <w:vAlign w:val="center"/>
            <w:hideMark/>
          </w:tcPr>
          <w:p w14:paraId="31858540" w14:textId="77777777" w:rsidR="00000000" w:rsidRDefault="00405D16">
            <w:pPr>
              <w:spacing w:after="100"/>
              <w:rPr>
                <w:rFonts w:eastAsia="Times New Roman"/>
                <w:sz w:val="20"/>
                <w:szCs w:val="20"/>
              </w:rPr>
            </w:pPr>
          </w:p>
        </w:tc>
        <w:tc>
          <w:tcPr>
            <w:tcW w:w="354" w:type="pct"/>
            <w:vAlign w:val="center"/>
            <w:hideMark/>
          </w:tcPr>
          <w:p w14:paraId="6A55B44D" w14:textId="77777777" w:rsidR="00000000" w:rsidRDefault="00405D16">
            <w:pPr>
              <w:spacing w:after="100"/>
              <w:rPr>
                <w:rFonts w:eastAsia="Times New Roman"/>
                <w:sz w:val="20"/>
                <w:szCs w:val="20"/>
              </w:rPr>
            </w:pPr>
          </w:p>
        </w:tc>
        <w:tc>
          <w:tcPr>
            <w:tcW w:w="5" w:type="pct"/>
            <w:vAlign w:val="center"/>
            <w:hideMark/>
          </w:tcPr>
          <w:p w14:paraId="74F2D5D2" w14:textId="77777777" w:rsidR="00000000" w:rsidRDefault="00405D16">
            <w:pPr>
              <w:spacing w:after="100"/>
              <w:rPr>
                <w:rFonts w:eastAsia="Times New Roman"/>
                <w:sz w:val="20"/>
                <w:szCs w:val="20"/>
              </w:rPr>
            </w:pPr>
          </w:p>
        </w:tc>
        <w:tc>
          <w:tcPr>
            <w:tcW w:w="5" w:type="pct"/>
            <w:vAlign w:val="center"/>
            <w:hideMark/>
          </w:tcPr>
          <w:p w14:paraId="2301D00D" w14:textId="77777777" w:rsidR="00000000" w:rsidRDefault="00405D16">
            <w:pPr>
              <w:spacing w:after="100"/>
              <w:rPr>
                <w:rFonts w:eastAsia="Times New Roman"/>
                <w:sz w:val="20"/>
                <w:szCs w:val="20"/>
              </w:rPr>
            </w:pPr>
          </w:p>
        </w:tc>
        <w:tc>
          <w:tcPr>
            <w:tcW w:w="26" w:type="pct"/>
            <w:vAlign w:val="center"/>
            <w:hideMark/>
          </w:tcPr>
          <w:p w14:paraId="179758D1" w14:textId="77777777" w:rsidR="00000000" w:rsidRDefault="00405D16">
            <w:pPr>
              <w:spacing w:after="100"/>
              <w:rPr>
                <w:rFonts w:eastAsia="Times New Roman"/>
                <w:sz w:val="20"/>
                <w:szCs w:val="20"/>
              </w:rPr>
            </w:pPr>
          </w:p>
        </w:tc>
        <w:tc>
          <w:tcPr>
            <w:tcW w:w="5" w:type="pct"/>
            <w:vAlign w:val="center"/>
            <w:hideMark/>
          </w:tcPr>
          <w:p w14:paraId="24371874" w14:textId="77777777" w:rsidR="00000000" w:rsidRDefault="00405D16">
            <w:pPr>
              <w:spacing w:after="100"/>
              <w:rPr>
                <w:rFonts w:eastAsia="Times New Roman"/>
                <w:sz w:val="20"/>
                <w:szCs w:val="20"/>
              </w:rPr>
            </w:pPr>
          </w:p>
        </w:tc>
        <w:tc>
          <w:tcPr>
            <w:tcW w:w="50" w:type="pct"/>
            <w:vAlign w:val="center"/>
            <w:hideMark/>
          </w:tcPr>
          <w:p w14:paraId="70B1DB67" w14:textId="77777777" w:rsidR="00000000" w:rsidRDefault="00405D16">
            <w:pPr>
              <w:spacing w:after="100"/>
              <w:rPr>
                <w:rFonts w:eastAsia="Times New Roman"/>
                <w:sz w:val="20"/>
                <w:szCs w:val="20"/>
              </w:rPr>
            </w:pPr>
          </w:p>
        </w:tc>
        <w:tc>
          <w:tcPr>
            <w:tcW w:w="354" w:type="pct"/>
            <w:vAlign w:val="center"/>
            <w:hideMark/>
          </w:tcPr>
          <w:p w14:paraId="723AE046" w14:textId="77777777" w:rsidR="00000000" w:rsidRDefault="00405D16">
            <w:pPr>
              <w:spacing w:after="100"/>
              <w:rPr>
                <w:rFonts w:eastAsia="Times New Roman"/>
                <w:sz w:val="20"/>
                <w:szCs w:val="20"/>
              </w:rPr>
            </w:pPr>
          </w:p>
        </w:tc>
        <w:tc>
          <w:tcPr>
            <w:tcW w:w="5" w:type="pct"/>
            <w:vAlign w:val="center"/>
            <w:hideMark/>
          </w:tcPr>
          <w:p w14:paraId="57BABFF6" w14:textId="77777777" w:rsidR="00000000" w:rsidRDefault="00405D16">
            <w:pPr>
              <w:spacing w:after="100"/>
              <w:rPr>
                <w:rFonts w:eastAsia="Times New Roman"/>
                <w:sz w:val="20"/>
                <w:szCs w:val="20"/>
              </w:rPr>
            </w:pPr>
          </w:p>
        </w:tc>
        <w:tc>
          <w:tcPr>
            <w:tcW w:w="5" w:type="pct"/>
            <w:vAlign w:val="center"/>
            <w:hideMark/>
          </w:tcPr>
          <w:p w14:paraId="326314D0" w14:textId="77777777" w:rsidR="00000000" w:rsidRDefault="00405D16">
            <w:pPr>
              <w:spacing w:after="100"/>
              <w:rPr>
                <w:rFonts w:eastAsia="Times New Roman"/>
                <w:sz w:val="20"/>
                <w:szCs w:val="20"/>
              </w:rPr>
            </w:pPr>
          </w:p>
        </w:tc>
        <w:tc>
          <w:tcPr>
            <w:tcW w:w="26" w:type="pct"/>
            <w:vAlign w:val="center"/>
            <w:hideMark/>
          </w:tcPr>
          <w:p w14:paraId="1E223E3D" w14:textId="77777777" w:rsidR="00000000" w:rsidRDefault="00405D16">
            <w:pPr>
              <w:spacing w:after="100"/>
              <w:rPr>
                <w:rFonts w:eastAsia="Times New Roman"/>
                <w:sz w:val="20"/>
                <w:szCs w:val="20"/>
              </w:rPr>
            </w:pPr>
          </w:p>
        </w:tc>
        <w:tc>
          <w:tcPr>
            <w:tcW w:w="5" w:type="pct"/>
            <w:vAlign w:val="center"/>
            <w:hideMark/>
          </w:tcPr>
          <w:p w14:paraId="22BA795D" w14:textId="77777777" w:rsidR="00000000" w:rsidRDefault="00405D16">
            <w:pPr>
              <w:spacing w:after="100"/>
              <w:rPr>
                <w:rFonts w:eastAsia="Times New Roman"/>
                <w:sz w:val="20"/>
                <w:szCs w:val="20"/>
              </w:rPr>
            </w:pPr>
          </w:p>
        </w:tc>
        <w:tc>
          <w:tcPr>
            <w:tcW w:w="50" w:type="pct"/>
            <w:vAlign w:val="center"/>
            <w:hideMark/>
          </w:tcPr>
          <w:p w14:paraId="66CE9809" w14:textId="77777777" w:rsidR="00000000" w:rsidRDefault="00405D16">
            <w:pPr>
              <w:spacing w:after="100"/>
              <w:rPr>
                <w:rFonts w:eastAsia="Times New Roman"/>
                <w:sz w:val="20"/>
                <w:szCs w:val="20"/>
              </w:rPr>
            </w:pPr>
          </w:p>
        </w:tc>
        <w:tc>
          <w:tcPr>
            <w:tcW w:w="354" w:type="pct"/>
            <w:vAlign w:val="center"/>
            <w:hideMark/>
          </w:tcPr>
          <w:p w14:paraId="1EAB7467" w14:textId="77777777" w:rsidR="00000000" w:rsidRDefault="00405D16">
            <w:pPr>
              <w:spacing w:after="100"/>
              <w:rPr>
                <w:rFonts w:eastAsia="Times New Roman"/>
                <w:sz w:val="20"/>
                <w:szCs w:val="20"/>
              </w:rPr>
            </w:pPr>
          </w:p>
        </w:tc>
        <w:tc>
          <w:tcPr>
            <w:tcW w:w="5" w:type="pct"/>
            <w:vAlign w:val="center"/>
            <w:hideMark/>
          </w:tcPr>
          <w:p w14:paraId="329D52CF" w14:textId="77777777" w:rsidR="00000000" w:rsidRDefault="00405D16">
            <w:pPr>
              <w:spacing w:after="100"/>
              <w:rPr>
                <w:rFonts w:eastAsia="Times New Roman"/>
                <w:sz w:val="20"/>
                <w:szCs w:val="20"/>
              </w:rPr>
            </w:pPr>
          </w:p>
        </w:tc>
        <w:tc>
          <w:tcPr>
            <w:tcW w:w="5" w:type="pct"/>
            <w:vAlign w:val="center"/>
            <w:hideMark/>
          </w:tcPr>
          <w:p w14:paraId="587E9C4D" w14:textId="77777777" w:rsidR="00000000" w:rsidRDefault="00405D16">
            <w:pPr>
              <w:spacing w:after="100"/>
              <w:rPr>
                <w:rFonts w:eastAsia="Times New Roman"/>
                <w:sz w:val="20"/>
                <w:szCs w:val="20"/>
              </w:rPr>
            </w:pPr>
          </w:p>
        </w:tc>
        <w:tc>
          <w:tcPr>
            <w:tcW w:w="26" w:type="pct"/>
            <w:vAlign w:val="center"/>
            <w:hideMark/>
          </w:tcPr>
          <w:p w14:paraId="0C3F0C4B" w14:textId="77777777" w:rsidR="00000000" w:rsidRDefault="00405D16">
            <w:pPr>
              <w:spacing w:after="100"/>
              <w:rPr>
                <w:rFonts w:eastAsia="Times New Roman"/>
                <w:sz w:val="20"/>
                <w:szCs w:val="20"/>
              </w:rPr>
            </w:pPr>
          </w:p>
        </w:tc>
        <w:tc>
          <w:tcPr>
            <w:tcW w:w="5" w:type="pct"/>
            <w:vAlign w:val="center"/>
            <w:hideMark/>
          </w:tcPr>
          <w:p w14:paraId="69C7564F" w14:textId="77777777" w:rsidR="00000000" w:rsidRDefault="00405D16">
            <w:pPr>
              <w:spacing w:after="100"/>
              <w:rPr>
                <w:rFonts w:eastAsia="Times New Roman"/>
                <w:sz w:val="20"/>
                <w:szCs w:val="20"/>
              </w:rPr>
            </w:pPr>
          </w:p>
        </w:tc>
        <w:tc>
          <w:tcPr>
            <w:tcW w:w="50" w:type="pct"/>
            <w:vAlign w:val="center"/>
            <w:hideMark/>
          </w:tcPr>
          <w:p w14:paraId="1F471654" w14:textId="77777777" w:rsidR="00000000" w:rsidRDefault="00405D16">
            <w:pPr>
              <w:spacing w:after="100"/>
              <w:rPr>
                <w:rFonts w:eastAsia="Times New Roman"/>
                <w:sz w:val="20"/>
                <w:szCs w:val="20"/>
              </w:rPr>
            </w:pPr>
          </w:p>
        </w:tc>
        <w:tc>
          <w:tcPr>
            <w:tcW w:w="354" w:type="pct"/>
            <w:vAlign w:val="center"/>
            <w:hideMark/>
          </w:tcPr>
          <w:p w14:paraId="05305123" w14:textId="77777777" w:rsidR="00000000" w:rsidRDefault="00405D16">
            <w:pPr>
              <w:spacing w:after="100"/>
              <w:rPr>
                <w:rFonts w:eastAsia="Times New Roman"/>
                <w:sz w:val="20"/>
                <w:szCs w:val="20"/>
              </w:rPr>
            </w:pPr>
          </w:p>
        </w:tc>
        <w:tc>
          <w:tcPr>
            <w:tcW w:w="5" w:type="pct"/>
            <w:vAlign w:val="center"/>
            <w:hideMark/>
          </w:tcPr>
          <w:p w14:paraId="29A55D2B" w14:textId="77777777" w:rsidR="00000000" w:rsidRDefault="00405D16">
            <w:pPr>
              <w:spacing w:after="100"/>
              <w:rPr>
                <w:rFonts w:eastAsia="Times New Roman"/>
                <w:sz w:val="20"/>
                <w:szCs w:val="20"/>
              </w:rPr>
            </w:pPr>
          </w:p>
        </w:tc>
        <w:tc>
          <w:tcPr>
            <w:tcW w:w="5" w:type="pct"/>
            <w:vAlign w:val="center"/>
            <w:hideMark/>
          </w:tcPr>
          <w:p w14:paraId="47F40FF7" w14:textId="77777777" w:rsidR="00000000" w:rsidRDefault="00405D16">
            <w:pPr>
              <w:spacing w:after="100"/>
              <w:rPr>
                <w:rFonts w:eastAsia="Times New Roman"/>
                <w:sz w:val="20"/>
                <w:szCs w:val="20"/>
              </w:rPr>
            </w:pPr>
          </w:p>
        </w:tc>
        <w:tc>
          <w:tcPr>
            <w:tcW w:w="26" w:type="pct"/>
            <w:vAlign w:val="center"/>
            <w:hideMark/>
          </w:tcPr>
          <w:p w14:paraId="79154C4C" w14:textId="77777777" w:rsidR="00000000" w:rsidRDefault="00405D16">
            <w:pPr>
              <w:spacing w:after="100"/>
              <w:rPr>
                <w:rFonts w:eastAsia="Times New Roman"/>
                <w:sz w:val="20"/>
                <w:szCs w:val="20"/>
              </w:rPr>
            </w:pPr>
          </w:p>
        </w:tc>
        <w:tc>
          <w:tcPr>
            <w:tcW w:w="5" w:type="pct"/>
            <w:vAlign w:val="center"/>
            <w:hideMark/>
          </w:tcPr>
          <w:p w14:paraId="411CEA15" w14:textId="77777777" w:rsidR="00000000" w:rsidRDefault="00405D16">
            <w:pPr>
              <w:spacing w:after="100"/>
              <w:rPr>
                <w:rFonts w:eastAsia="Times New Roman"/>
                <w:sz w:val="20"/>
                <w:szCs w:val="20"/>
              </w:rPr>
            </w:pPr>
          </w:p>
        </w:tc>
        <w:tc>
          <w:tcPr>
            <w:tcW w:w="50" w:type="pct"/>
            <w:vAlign w:val="center"/>
            <w:hideMark/>
          </w:tcPr>
          <w:p w14:paraId="0D4D05D1" w14:textId="77777777" w:rsidR="00000000" w:rsidRDefault="00405D16">
            <w:pPr>
              <w:spacing w:after="100"/>
              <w:rPr>
                <w:rFonts w:eastAsia="Times New Roman"/>
                <w:sz w:val="20"/>
                <w:szCs w:val="20"/>
              </w:rPr>
            </w:pPr>
          </w:p>
        </w:tc>
        <w:tc>
          <w:tcPr>
            <w:tcW w:w="354" w:type="pct"/>
            <w:vAlign w:val="center"/>
            <w:hideMark/>
          </w:tcPr>
          <w:p w14:paraId="5EE4E2C3" w14:textId="77777777" w:rsidR="00000000" w:rsidRDefault="00405D16">
            <w:pPr>
              <w:spacing w:after="100"/>
              <w:rPr>
                <w:rFonts w:eastAsia="Times New Roman"/>
                <w:sz w:val="20"/>
                <w:szCs w:val="20"/>
              </w:rPr>
            </w:pPr>
          </w:p>
        </w:tc>
        <w:tc>
          <w:tcPr>
            <w:tcW w:w="5" w:type="pct"/>
            <w:vAlign w:val="center"/>
            <w:hideMark/>
          </w:tcPr>
          <w:p w14:paraId="0DDC49C1" w14:textId="77777777" w:rsidR="00000000" w:rsidRDefault="00405D16">
            <w:pPr>
              <w:spacing w:after="100"/>
              <w:rPr>
                <w:rFonts w:eastAsia="Times New Roman"/>
                <w:sz w:val="20"/>
                <w:szCs w:val="20"/>
              </w:rPr>
            </w:pPr>
          </w:p>
        </w:tc>
        <w:tc>
          <w:tcPr>
            <w:tcW w:w="5" w:type="pct"/>
            <w:vAlign w:val="center"/>
            <w:hideMark/>
          </w:tcPr>
          <w:p w14:paraId="57062EB4" w14:textId="77777777" w:rsidR="00000000" w:rsidRDefault="00405D16">
            <w:pPr>
              <w:spacing w:after="100"/>
              <w:rPr>
                <w:rFonts w:eastAsia="Times New Roman"/>
                <w:sz w:val="20"/>
                <w:szCs w:val="20"/>
              </w:rPr>
            </w:pPr>
          </w:p>
        </w:tc>
        <w:tc>
          <w:tcPr>
            <w:tcW w:w="26" w:type="pct"/>
            <w:vAlign w:val="center"/>
            <w:hideMark/>
          </w:tcPr>
          <w:p w14:paraId="233A9512" w14:textId="77777777" w:rsidR="00000000" w:rsidRDefault="00405D16">
            <w:pPr>
              <w:spacing w:after="100"/>
              <w:rPr>
                <w:rFonts w:eastAsia="Times New Roman"/>
                <w:sz w:val="20"/>
                <w:szCs w:val="20"/>
              </w:rPr>
            </w:pPr>
          </w:p>
        </w:tc>
        <w:tc>
          <w:tcPr>
            <w:tcW w:w="5" w:type="pct"/>
            <w:vAlign w:val="center"/>
            <w:hideMark/>
          </w:tcPr>
          <w:p w14:paraId="197599AD" w14:textId="77777777" w:rsidR="00000000" w:rsidRDefault="00405D16">
            <w:pPr>
              <w:spacing w:after="100"/>
              <w:rPr>
                <w:rFonts w:eastAsia="Times New Roman"/>
                <w:sz w:val="20"/>
                <w:szCs w:val="20"/>
              </w:rPr>
            </w:pPr>
          </w:p>
        </w:tc>
        <w:tc>
          <w:tcPr>
            <w:tcW w:w="50" w:type="pct"/>
            <w:vAlign w:val="center"/>
            <w:hideMark/>
          </w:tcPr>
          <w:p w14:paraId="4F9535EC" w14:textId="77777777" w:rsidR="00000000" w:rsidRDefault="00405D16">
            <w:pPr>
              <w:spacing w:after="100"/>
              <w:rPr>
                <w:rFonts w:eastAsia="Times New Roman"/>
                <w:sz w:val="20"/>
                <w:szCs w:val="20"/>
              </w:rPr>
            </w:pPr>
          </w:p>
        </w:tc>
        <w:tc>
          <w:tcPr>
            <w:tcW w:w="354" w:type="pct"/>
            <w:vAlign w:val="center"/>
            <w:hideMark/>
          </w:tcPr>
          <w:p w14:paraId="2A4281CB" w14:textId="77777777" w:rsidR="00000000" w:rsidRDefault="00405D16">
            <w:pPr>
              <w:spacing w:after="100"/>
              <w:rPr>
                <w:rFonts w:eastAsia="Times New Roman"/>
                <w:sz w:val="20"/>
                <w:szCs w:val="20"/>
              </w:rPr>
            </w:pPr>
          </w:p>
        </w:tc>
        <w:tc>
          <w:tcPr>
            <w:tcW w:w="5" w:type="pct"/>
            <w:vAlign w:val="center"/>
            <w:hideMark/>
          </w:tcPr>
          <w:p w14:paraId="547A012B" w14:textId="77777777" w:rsidR="00000000" w:rsidRDefault="00405D16">
            <w:pPr>
              <w:spacing w:after="100"/>
              <w:rPr>
                <w:rFonts w:eastAsia="Times New Roman"/>
                <w:sz w:val="20"/>
                <w:szCs w:val="20"/>
              </w:rPr>
            </w:pPr>
          </w:p>
        </w:tc>
      </w:tr>
      <w:tr w:rsidR="00000000" w14:paraId="0AEAAA6A" w14:textId="77777777">
        <w:trPr>
          <w:divId w:val="40788745"/>
        </w:trPr>
        <w:tc>
          <w:tcPr>
            <w:tcW w:w="0" w:type="auto"/>
            <w:gridSpan w:val="3"/>
            <w:tcMar>
              <w:top w:w="0" w:type="dxa"/>
              <w:left w:w="20" w:type="dxa"/>
              <w:bottom w:w="0" w:type="dxa"/>
              <w:right w:w="20" w:type="dxa"/>
            </w:tcMar>
            <w:vAlign w:val="center"/>
            <w:hideMark/>
          </w:tcPr>
          <w:p w14:paraId="727FF769"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2435E19" w14:textId="77777777" w:rsidR="00000000" w:rsidRDefault="00405D16">
            <w:pPr>
              <w:spacing w:after="100"/>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14:paraId="5D7DAEBC" w14:textId="77777777" w:rsidR="00000000" w:rsidRDefault="00405D16">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39A55157" w14:textId="77777777" w:rsidR="00000000" w:rsidRDefault="00405D16">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14:paraId="162E57CA" w14:textId="77777777" w:rsidR="00000000" w:rsidRDefault="00405D16">
            <w:pPr>
              <w:spacing w:after="100"/>
              <w:jc w:val="center"/>
              <w:rPr>
                <w:rFonts w:eastAsia="Times New Roman"/>
              </w:rPr>
            </w:pPr>
            <w:r>
              <w:rPr>
                <w:rFonts w:eastAsia="Times New Roman"/>
                <w:b/>
                <w:bCs/>
                <w:color w:val="000000"/>
                <w:sz w:val="16"/>
                <w:szCs w:val="16"/>
              </w:rPr>
              <w:t>Nine Months Ended September 30,</w:t>
            </w:r>
          </w:p>
        </w:tc>
      </w:tr>
      <w:tr w:rsidR="00000000" w14:paraId="2D902739" w14:textId="77777777">
        <w:trPr>
          <w:divId w:val="40788745"/>
        </w:trPr>
        <w:tc>
          <w:tcPr>
            <w:tcW w:w="0" w:type="auto"/>
            <w:gridSpan w:val="3"/>
            <w:tcMar>
              <w:top w:w="30" w:type="dxa"/>
              <w:left w:w="20" w:type="dxa"/>
              <w:bottom w:w="30" w:type="dxa"/>
              <w:right w:w="20" w:type="dxa"/>
            </w:tcMar>
            <w:vAlign w:val="bottom"/>
            <w:hideMark/>
          </w:tcPr>
          <w:p w14:paraId="679869AA"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D1A91B2" w14:textId="77777777" w:rsidR="00000000" w:rsidRDefault="00405D16">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5F544BEE" w14:textId="77777777" w:rsidR="00000000" w:rsidRDefault="00405D16">
            <w:pPr>
              <w:spacing w:after="100"/>
              <w:jc w:val="center"/>
              <w:rPr>
                <w:rFonts w:eastAsia="Times New Roman"/>
              </w:rPr>
            </w:pPr>
            <w:r>
              <w:rPr>
                <w:rFonts w:eastAsia="Times New Roman"/>
                <w:b/>
                <w:bCs/>
                <w:color w:val="000000"/>
                <w:sz w:val="16"/>
                <w:szCs w:val="16"/>
              </w:rPr>
              <w:t>2021 vs. 2020</w:t>
            </w:r>
          </w:p>
        </w:tc>
        <w:tc>
          <w:tcPr>
            <w:tcW w:w="0" w:type="auto"/>
            <w:gridSpan w:val="3"/>
            <w:tcMar>
              <w:top w:w="0" w:type="dxa"/>
              <w:left w:w="20" w:type="dxa"/>
              <w:bottom w:w="0" w:type="dxa"/>
              <w:right w:w="20" w:type="dxa"/>
            </w:tcMar>
            <w:vAlign w:val="center"/>
            <w:hideMark/>
          </w:tcPr>
          <w:p w14:paraId="3FF1C360" w14:textId="77777777" w:rsidR="00000000" w:rsidRDefault="00405D16">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38E11284" w14:textId="77777777" w:rsidR="00000000" w:rsidRDefault="00405D16">
            <w:pPr>
              <w:spacing w:after="100"/>
              <w:jc w:val="center"/>
              <w:rPr>
                <w:rFonts w:eastAsia="Times New Roman"/>
              </w:rPr>
            </w:pPr>
            <w:r>
              <w:rPr>
                <w:rFonts w:eastAsia="Times New Roman"/>
                <w:b/>
                <w:bCs/>
                <w:color w:val="000000"/>
                <w:sz w:val="16"/>
                <w:szCs w:val="16"/>
              </w:rPr>
              <w:t>2021 vs. 2020</w:t>
            </w:r>
          </w:p>
        </w:tc>
      </w:tr>
      <w:tr w:rsidR="00000000" w14:paraId="524B7014" w14:textId="77777777">
        <w:trPr>
          <w:divId w:val="40788745"/>
        </w:trPr>
        <w:tc>
          <w:tcPr>
            <w:tcW w:w="0" w:type="auto"/>
            <w:gridSpan w:val="3"/>
            <w:tcMar>
              <w:top w:w="30" w:type="dxa"/>
              <w:left w:w="20" w:type="dxa"/>
              <w:bottom w:w="30" w:type="dxa"/>
              <w:right w:w="20" w:type="dxa"/>
            </w:tcMar>
            <w:vAlign w:val="bottom"/>
            <w:hideMark/>
          </w:tcPr>
          <w:p w14:paraId="0E3D844F"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690992EE"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F569233" w14:textId="77777777" w:rsidR="00000000" w:rsidRDefault="00405D16">
            <w:pPr>
              <w:spacing w:after="100"/>
              <w:jc w:val="center"/>
              <w:rPr>
                <w:rFonts w:eastAsia="Times New Roman"/>
              </w:rPr>
            </w:pPr>
            <w:r>
              <w:rPr>
                <w:rFonts w:eastAsia="Times New Roman"/>
                <w:b/>
                <w:bCs/>
                <w:color w:val="000000"/>
                <w:sz w:val="16"/>
                <w:szCs w:val="16"/>
              </w:rPr>
              <w:t>Total Variance</w:t>
            </w:r>
          </w:p>
        </w:tc>
        <w:tc>
          <w:tcPr>
            <w:tcW w:w="0" w:type="auto"/>
            <w:gridSpan w:val="3"/>
            <w:tcBorders>
              <w:top w:val="single" w:sz="8" w:space="0" w:color="000000"/>
            </w:tcBorders>
            <w:tcMar>
              <w:top w:w="0" w:type="dxa"/>
              <w:left w:w="20" w:type="dxa"/>
              <w:bottom w:w="0" w:type="dxa"/>
              <w:right w:w="20" w:type="dxa"/>
            </w:tcMar>
            <w:vAlign w:val="center"/>
            <w:hideMark/>
          </w:tcPr>
          <w:p w14:paraId="27336AEC"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A99A2A4" w14:textId="77777777" w:rsidR="00000000" w:rsidRDefault="00405D16">
            <w:pPr>
              <w:spacing w:after="100"/>
              <w:jc w:val="center"/>
              <w:rPr>
                <w:rFonts w:eastAsia="Times New Roman"/>
              </w:rPr>
            </w:pPr>
            <w:r>
              <w:rPr>
                <w:rFonts w:eastAsia="Times New Roman"/>
                <w:b/>
                <w:bCs/>
                <w:color w:val="000000"/>
                <w:sz w:val="16"/>
                <w:szCs w:val="16"/>
              </w:rPr>
              <w:t>Volume</w:t>
            </w:r>
          </w:p>
        </w:tc>
        <w:tc>
          <w:tcPr>
            <w:tcW w:w="0" w:type="auto"/>
            <w:gridSpan w:val="3"/>
            <w:tcBorders>
              <w:top w:val="single" w:sz="8" w:space="0" w:color="000000"/>
            </w:tcBorders>
            <w:tcMar>
              <w:top w:w="0" w:type="dxa"/>
              <w:left w:w="20" w:type="dxa"/>
              <w:bottom w:w="0" w:type="dxa"/>
              <w:right w:w="20" w:type="dxa"/>
            </w:tcMar>
            <w:vAlign w:val="center"/>
            <w:hideMark/>
          </w:tcPr>
          <w:p w14:paraId="730175A5"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A0B35C0" w14:textId="77777777" w:rsidR="00000000" w:rsidRDefault="00405D16">
            <w:pPr>
              <w:spacing w:after="100"/>
              <w:jc w:val="center"/>
              <w:rPr>
                <w:rFonts w:eastAsia="Times New Roman"/>
              </w:rPr>
            </w:pPr>
            <w:r>
              <w:rPr>
                <w:rFonts w:eastAsia="Times New Roman"/>
                <w:b/>
                <w:bCs/>
                <w:color w:val="000000"/>
                <w:sz w:val="16"/>
                <w:szCs w:val="16"/>
              </w:rPr>
              <w:t>Rate</w:t>
            </w:r>
          </w:p>
        </w:tc>
        <w:tc>
          <w:tcPr>
            <w:tcW w:w="0" w:type="auto"/>
            <w:gridSpan w:val="3"/>
            <w:tcMar>
              <w:top w:w="0" w:type="dxa"/>
              <w:left w:w="20" w:type="dxa"/>
              <w:bottom w:w="0" w:type="dxa"/>
              <w:right w:w="20" w:type="dxa"/>
            </w:tcMar>
            <w:vAlign w:val="center"/>
            <w:hideMark/>
          </w:tcPr>
          <w:p w14:paraId="3B19D580"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92065AA" w14:textId="77777777" w:rsidR="00000000" w:rsidRDefault="00405D16">
            <w:pPr>
              <w:spacing w:after="100"/>
              <w:jc w:val="center"/>
              <w:rPr>
                <w:rFonts w:eastAsia="Times New Roman"/>
              </w:rPr>
            </w:pPr>
            <w:r>
              <w:rPr>
                <w:rFonts w:eastAsia="Times New Roman"/>
                <w:b/>
                <w:bCs/>
                <w:color w:val="000000"/>
                <w:sz w:val="16"/>
                <w:szCs w:val="16"/>
              </w:rPr>
              <w:t>Total Variance</w:t>
            </w:r>
          </w:p>
        </w:tc>
        <w:tc>
          <w:tcPr>
            <w:tcW w:w="0" w:type="auto"/>
            <w:gridSpan w:val="3"/>
            <w:tcBorders>
              <w:top w:val="single" w:sz="8" w:space="0" w:color="000000"/>
            </w:tcBorders>
            <w:tcMar>
              <w:top w:w="0" w:type="dxa"/>
              <w:left w:w="20" w:type="dxa"/>
              <w:bottom w:w="0" w:type="dxa"/>
              <w:right w:w="20" w:type="dxa"/>
            </w:tcMar>
            <w:vAlign w:val="center"/>
            <w:hideMark/>
          </w:tcPr>
          <w:p w14:paraId="1AE9269E"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D7B3889" w14:textId="77777777" w:rsidR="00000000" w:rsidRDefault="00405D16">
            <w:pPr>
              <w:spacing w:after="100"/>
              <w:jc w:val="center"/>
              <w:rPr>
                <w:rFonts w:eastAsia="Times New Roman"/>
              </w:rPr>
            </w:pPr>
            <w:r>
              <w:rPr>
                <w:rFonts w:eastAsia="Times New Roman"/>
                <w:b/>
                <w:bCs/>
                <w:color w:val="000000"/>
                <w:sz w:val="16"/>
                <w:szCs w:val="16"/>
              </w:rPr>
              <w:t>Volume</w:t>
            </w:r>
          </w:p>
        </w:tc>
        <w:tc>
          <w:tcPr>
            <w:tcW w:w="0" w:type="auto"/>
            <w:gridSpan w:val="3"/>
            <w:tcBorders>
              <w:top w:val="single" w:sz="8" w:space="0" w:color="000000"/>
            </w:tcBorders>
            <w:tcMar>
              <w:top w:w="0" w:type="dxa"/>
              <w:left w:w="20" w:type="dxa"/>
              <w:bottom w:w="0" w:type="dxa"/>
              <w:right w:w="20" w:type="dxa"/>
            </w:tcMar>
            <w:vAlign w:val="center"/>
            <w:hideMark/>
          </w:tcPr>
          <w:p w14:paraId="7B34E85C"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7C316B8" w14:textId="77777777" w:rsidR="00000000" w:rsidRDefault="00405D16">
            <w:pPr>
              <w:spacing w:after="100"/>
              <w:jc w:val="center"/>
              <w:rPr>
                <w:rFonts w:eastAsia="Times New Roman"/>
              </w:rPr>
            </w:pPr>
            <w:r>
              <w:rPr>
                <w:rFonts w:eastAsia="Times New Roman"/>
                <w:b/>
                <w:bCs/>
                <w:color w:val="000000"/>
                <w:sz w:val="16"/>
                <w:szCs w:val="16"/>
              </w:rPr>
              <w:t>Rate</w:t>
            </w:r>
          </w:p>
        </w:tc>
      </w:tr>
      <w:tr w:rsidR="00000000" w14:paraId="5323358F" w14:textId="77777777">
        <w:trPr>
          <w:divId w:val="4078874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31783F0" w14:textId="77777777" w:rsidR="00000000" w:rsidRDefault="00405D16">
            <w:pPr>
              <w:spacing w:after="100"/>
              <w:rPr>
                <w:rFonts w:eastAsia="Times New Roman"/>
              </w:rPr>
            </w:pPr>
            <w:r>
              <w:rPr>
                <w:rFonts w:eastAsia="Times New Roman"/>
                <w:b/>
                <w:bCs/>
                <w:color w:val="000000"/>
                <w:sz w:val="18"/>
                <w:szCs w:val="18"/>
              </w:rPr>
              <w:t>Interest income:</w:t>
            </w:r>
          </w:p>
        </w:tc>
        <w:tc>
          <w:tcPr>
            <w:tcW w:w="0" w:type="auto"/>
            <w:gridSpan w:val="3"/>
            <w:shd w:val="clear" w:color="auto" w:fill="CCEEFF"/>
            <w:tcMar>
              <w:top w:w="0" w:type="dxa"/>
              <w:left w:w="20" w:type="dxa"/>
              <w:bottom w:w="0" w:type="dxa"/>
              <w:right w:w="20" w:type="dxa"/>
            </w:tcMar>
            <w:vAlign w:val="center"/>
            <w:hideMark/>
          </w:tcPr>
          <w:p w14:paraId="282D4B68"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CB2979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6F6324"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E3B0E5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A28E53"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93AFB1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C07634"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838D9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DBDED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B013AD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3B4EA8"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34542DF" w14:textId="77777777" w:rsidR="00000000" w:rsidRDefault="00405D16">
            <w:pPr>
              <w:spacing w:after="100"/>
              <w:rPr>
                <w:rFonts w:eastAsia="Times New Roman"/>
                <w:sz w:val="20"/>
                <w:szCs w:val="20"/>
              </w:rPr>
            </w:pPr>
          </w:p>
        </w:tc>
      </w:tr>
      <w:tr w:rsidR="00000000" w14:paraId="2C1AA8FF" w14:textId="77777777">
        <w:trPr>
          <w:divId w:val="40788745"/>
        </w:trPr>
        <w:tc>
          <w:tcPr>
            <w:tcW w:w="0" w:type="auto"/>
            <w:gridSpan w:val="3"/>
            <w:shd w:val="clear" w:color="auto" w:fill="FFFFFF"/>
            <w:tcMar>
              <w:top w:w="30" w:type="dxa"/>
              <w:left w:w="20" w:type="dxa"/>
              <w:bottom w:w="30" w:type="dxa"/>
              <w:right w:w="20" w:type="dxa"/>
            </w:tcMar>
            <w:vAlign w:val="center"/>
            <w:hideMark/>
          </w:tcPr>
          <w:p w14:paraId="08CA92E8" w14:textId="77777777" w:rsidR="00000000" w:rsidRDefault="00405D16">
            <w:pPr>
              <w:spacing w:after="100"/>
              <w:rPr>
                <w:rFonts w:eastAsia="Times New Roman"/>
              </w:rPr>
            </w:pPr>
            <w:r>
              <w:rPr>
                <w:rFonts w:eastAsia="Times New Roman"/>
                <w:color w:val="000000"/>
                <w:sz w:val="18"/>
                <w:szCs w:val="18"/>
              </w:rPr>
              <w:t>Loans:</w:t>
            </w:r>
          </w:p>
        </w:tc>
        <w:tc>
          <w:tcPr>
            <w:tcW w:w="0" w:type="auto"/>
            <w:gridSpan w:val="3"/>
            <w:shd w:val="clear" w:color="auto" w:fill="FFFFFF"/>
            <w:tcMar>
              <w:top w:w="0" w:type="dxa"/>
              <w:left w:w="20" w:type="dxa"/>
              <w:bottom w:w="0" w:type="dxa"/>
              <w:right w:w="20" w:type="dxa"/>
            </w:tcMar>
            <w:vAlign w:val="center"/>
            <w:hideMark/>
          </w:tcPr>
          <w:p w14:paraId="5E728D98"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AEECB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BC02E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C8D48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8D184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E842B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543CC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AD418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B8266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A5D3A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B6454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8D7050" w14:textId="77777777" w:rsidR="00000000" w:rsidRDefault="00405D16">
            <w:pPr>
              <w:spacing w:after="100"/>
              <w:rPr>
                <w:rFonts w:eastAsia="Times New Roman"/>
                <w:sz w:val="20"/>
                <w:szCs w:val="20"/>
              </w:rPr>
            </w:pPr>
          </w:p>
        </w:tc>
      </w:tr>
      <w:tr w:rsidR="00000000" w14:paraId="4FC2B874" w14:textId="77777777">
        <w:trPr>
          <w:divId w:val="40788745"/>
        </w:trPr>
        <w:tc>
          <w:tcPr>
            <w:tcW w:w="0" w:type="auto"/>
            <w:gridSpan w:val="3"/>
            <w:shd w:val="clear" w:color="auto" w:fill="CCEEFF"/>
            <w:tcMar>
              <w:top w:w="30" w:type="dxa"/>
              <w:left w:w="245" w:type="dxa"/>
              <w:bottom w:w="30" w:type="dxa"/>
              <w:right w:w="20" w:type="dxa"/>
            </w:tcMar>
            <w:vAlign w:val="center"/>
            <w:hideMark/>
          </w:tcPr>
          <w:p w14:paraId="15D20E4A" w14:textId="77777777" w:rsidR="00000000" w:rsidRDefault="00405D16">
            <w:pPr>
              <w:spacing w:after="100"/>
              <w:rPr>
                <w:rFonts w:eastAsia="Times New Roman"/>
              </w:rPr>
            </w:pPr>
            <w:r>
              <w:rPr>
                <w:rFonts w:eastAsia="Times New Roman"/>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14:paraId="367AE395" w14:textId="77777777" w:rsidR="00000000" w:rsidRDefault="00405D16">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23799589"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0A6A6A69" w14:textId="77777777" w:rsidR="00000000" w:rsidRDefault="00405D16">
            <w:pPr>
              <w:spacing w:after="100"/>
              <w:jc w:val="right"/>
              <w:rPr>
                <w:rFonts w:eastAsia="Times New Roman"/>
              </w:rPr>
            </w:pPr>
            <w:r>
              <w:rPr>
                <w:rFonts w:eastAsia="Times New Roman"/>
                <w:b/>
                <w:bCs/>
                <w:color w:val="000000"/>
                <w:sz w:val="18"/>
                <w:szCs w:val="18"/>
              </w:rPr>
              <w:t>321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F80F61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6EAAAE"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0D967728"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6065F7DF" w14:textId="77777777" w:rsidR="00000000" w:rsidRDefault="00405D16">
            <w:pPr>
              <w:spacing w:after="100"/>
              <w:jc w:val="right"/>
              <w:rPr>
                <w:rFonts w:eastAsia="Times New Roman"/>
              </w:rPr>
            </w:pPr>
            <w:r>
              <w:rPr>
                <w:rFonts w:eastAsia="Times New Roman"/>
                <w:b/>
                <w:bCs/>
                <w:color w:val="000000"/>
                <w:sz w:val="18"/>
                <w:szCs w:val="18"/>
              </w:rPr>
              <w:t>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2E3102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EF53C7"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476DC831"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59A5E3E7" w14:textId="77777777" w:rsidR="00000000" w:rsidRDefault="00405D16">
            <w:pPr>
              <w:spacing w:after="100"/>
              <w:jc w:val="right"/>
              <w:rPr>
                <w:rFonts w:eastAsia="Times New Roman"/>
              </w:rPr>
            </w:pPr>
            <w:r>
              <w:rPr>
                <w:rFonts w:eastAsia="Times New Roman"/>
                <w:b/>
                <w:bCs/>
                <w:color w:val="000000"/>
                <w:sz w:val="18"/>
                <w:szCs w:val="18"/>
              </w:rPr>
              <w:t>280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C25088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C52DA9"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7E758794"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7DDF3B23" w14:textId="77777777" w:rsidR="00000000" w:rsidRDefault="00405D16">
            <w:pPr>
              <w:spacing w:after="100"/>
              <w:jc w:val="right"/>
              <w:rPr>
                <w:rFonts w:eastAsia="Times New Roman"/>
              </w:rPr>
            </w:pPr>
            <w:r>
              <w:rPr>
                <w:rFonts w:eastAsia="Times New Roman"/>
                <w:b/>
                <w:bCs/>
                <w:color w:val="000000"/>
                <w:sz w:val="18"/>
                <w:szCs w:val="18"/>
              </w:rPr>
              <w:t>(566)</w:t>
            </w:r>
          </w:p>
        </w:tc>
        <w:tc>
          <w:tcPr>
            <w:tcW w:w="0" w:type="auto"/>
            <w:shd w:val="clear" w:color="auto" w:fill="CCEEFF"/>
            <w:tcMar>
              <w:top w:w="30" w:type="dxa"/>
              <w:left w:w="0" w:type="dxa"/>
              <w:bottom w:w="30" w:type="dxa"/>
              <w:right w:w="20" w:type="dxa"/>
            </w:tcMar>
            <w:vAlign w:val="center"/>
            <w:hideMark/>
          </w:tcPr>
          <w:p w14:paraId="77ECB00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295E7F"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241B0E46"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3CFF48A1" w14:textId="77777777" w:rsidR="00000000" w:rsidRDefault="00405D16">
            <w:pPr>
              <w:spacing w:after="100"/>
              <w:jc w:val="right"/>
              <w:rPr>
                <w:rFonts w:eastAsia="Times New Roman"/>
              </w:rPr>
            </w:pPr>
            <w:r>
              <w:rPr>
                <w:rFonts w:eastAsia="Times New Roman"/>
                <w:b/>
                <w:bCs/>
                <w:color w:val="000000"/>
                <w:sz w:val="18"/>
                <w:szCs w:val="18"/>
              </w:rPr>
              <w:t>(917)</w:t>
            </w:r>
          </w:p>
        </w:tc>
        <w:tc>
          <w:tcPr>
            <w:tcW w:w="0" w:type="auto"/>
            <w:shd w:val="clear" w:color="auto" w:fill="CCEEFF"/>
            <w:tcMar>
              <w:top w:w="30" w:type="dxa"/>
              <w:left w:w="0" w:type="dxa"/>
              <w:bottom w:w="30" w:type="dxa"/>
              <w:right w:w="20" w:type="dxa"/>
            </w:tcMar>
            <w:vAlign w:val="center"/>
            <w:hideMark/>
          </w:tcPr>
          <w:p w14:paraId="289220F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080485"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13A212CC"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4BB7E397" w14:textId="77777777" w:rsidR="00000000" w:rsidRDefault="00405D16">
            <w:pPr>
              <w:spacing w:after="100"/>
              <w:jc w:val="right"/>
              <w:rPr>
                <w:rFonts w:eastAsia="Times New Roman"/>
              </w:rPr>
            </w:pPr>
            <w:r>
              <w:rPr>
                <w:rFonts w:eastAsia="Times New Roman"/>
                <w:b/>
                <w:bCs/>
                <w:color w:val="000000"/>
                <w:sz w:val="18"/>
                <w:szCs w:val="18"/>
              </w:rPr>
              <w:t>351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8A2FCA2" w14:textId="77777777" w:rsidR="00000000" w:rsidRDefault="00405D16">
            <w:pPr>
              <w:spacing w:after="100"/>
              <w:jc w:val="right"/>
              <w:rPr>
                <w:rFonts w:eastAsia="Times New Roman"/>
              </w:rPr>
            </w:pPr>
          </w:p>
        </w:tc>
      </w:tr>
      <w:tr w:rsidR="00000000" w14:paraId="7D06484A" w14:textId="77777777">
        <w:trPr>
          <w:divId w:val="40788745"/>
        </w:trPr>
        <w:tc>
          <w:tcPr>
            <w:tcW w:w="0" w:type="auto"/>
            <w:gridSpan w:val="3"/>
            <w:shd w:val="clear" w:color="auto" w:fill="FFFFFF"/>
            <w:tcMar>
              <w:top w:w="30" w:type="dxa"/>
              <w:left w:w="245" w:type="dxa"/>
              <w:bottom w:w="30" w:type="dxa"/>
              <w:right w:w="20" w:type="dxa"/>
            </w:tcMar>
            <w:vAlign w:val="center"/>
            <w:hideMark/>
          </w:tcPr>
          <w:p w14:paraId="7C2B1FAA" w14:textId="77777777" w:rsidR="00000000" w:rsidRDefault="00405D16">
            <w:pPr>
              <w:spacing w:after="100"/>
              <w:rPr>
                <w:rFonts w:eastAsia="Times New Roman"/>
              </w:rPr>
            </w:pPr>
            <w:r>
              <w:rPr>
                <w:rFonts w:eastAsia="Times New Roman"/>
                <w:color w:val="000000"/>
                <w:sz w:val="18"/>
                <w:szCs w:val="18"/>
              </w:rPr>
              <w:t>Consumer banking</w:t>
            </w:r>
          </w:p>
        </w:tc>
        <w:tc>
          <w:tcPr>
            <w:tcW w:w="0" w:type="auto"/>
            <w:gridSpan w:val="3"/>
            <w:shd w:val="clear" w:color="auto" w:fill="FFFFFF"/>
            <w:tcMar>
              <w:top w:w="0" w:type="dxa"/>
              <w:left w:w="20" w:type="dxa"/>
              <w:bottom w:w="0" w:type="dxa"/>
              <w:right w:w="20" w:type="dxa"/>
            </w:tcMar>
            <w:vAlign w:val="center"/>
            <w:hideMark/>
          </w:tcPr>
          <w:p w14:paraId="1D6AC1AF"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395130B" w14:textId="77777777" w:rsidR="00000000" w:rsidRDefault="00405D16">
            <w:pPr>
              <w:spacing w:after="100"/>
              <w:jc w:val="right"/>
              <w:rPr>
                <w:rFonts w:eastAsia="Times New Roman"/>
              </w:rPr>
            </w:pPr>
            <w:r>
              <w:rPr>
                <w:rFonts w:eastAsia="Times New Roman"/>
                <w:b/>
                <w:bCs/>
                <w:color w:val="000000"/>
                <w:sz w:val="18"/>
                <w:szCs w:val="18"/>
              </w:rPr>
              <w:t>62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90856E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F9ACF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86D2E2F" w14:textId="77777777" w:rsidR="00000000" w:rsidRDefault="00405D16">
            <w:pPr>
              <w:spacing w:after="100"/>
              <w:jc w:val="right"/>
              <w:rPr>
                <w:rFonts w:eastAsia="Times New Roman"/>
              </w:rPr>
            </w:pPr>
            <w:r>
              <w:rPr>
                <w:rFonts w:eastAsia="Times New Roman"/>
                <w:b/>
                <w:bCs/>
                <w:color w:val="000000"/>
                <w:sz w:val="18"/>
                <w:szCs w:val="18"/>
              </w:rPr>
              <w:t>159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F91B29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7D2BD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406A60E" w14:textId="77777777" w:rsidR="00000000" w:rsidRDefault="00405D16">
            <w:pPr>
              <w:spacing w:after="100"/>
              <w:jc w:val="right"/>
              <w:rPr>
                <w:rFonts w:eastAsia="Times New Roman"/>
              </w:rPr>
            </w:pPr>
            <w:r>
              <w:rPr>
                <w:rFonts w:eastAsia="Times New Roman"/>
                <w:b/>
                <w:bCs/>
                <w:color w:val="000000"/>
                <w:sz w:val="18"/>
                <w:szCs w:val="18"/>
              </w:rPr>
              <w:t>(97)</w:t>
            </w:r>
          </w:p>
        </w:tc>
        <w:tc>
          <w:tcPr>
            <w:tcW w:w="0" w:type="auto"/>
            <w:shd w:val="clear" w:color="auto" w:fill="FFFFFF"/>
            <w:tcMar>
              <w:top w:w="30" w:type="dxa"/>
              <w:left w:w="0" w:type="dxa"/>
              <w:bottom w:w="30" w:type="dxa"/>
              <w:right w:w="20" w:type="dxa"/>
            </w:tcMar>
            <w:vAlign w:val="center"/>
            <w:hideMark/>
          </w:tcPr>
          <w:p w14:paraId="0E1D123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51C65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832CE13" w14:textId="77777777" w:rsidR="00000000" w:rsidRDefault="00405D16">
            <w:pPr>
              <w:spacing w:after="100"/>
              <w:jc w:val="right"/>
              <w:rPr>
                <w:rFonts w:eastAsia="Times New Roman"/>
              </w:rPr>
            </w:pPr>
            <w:r>
              <w:rPr>
                <w:rFonts w:eastAsia="Times New Roman"/>
                <w:b/>
                <w:bCs/>
                <w:color w:val="000000"/>
                <w:sz w:val="18"/>
                <w:szCs w:val="18"/>
              </w:rPr>
              <w:t>215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01879E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098C4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75849B5" w14:textId="77777777" w:rsidR="00000000" w:rsidRDefault="00405D16">
            <w:pPr>
              <w:spacing w:after="100"/>
              <w:jc w:val="right"/>
              <w:rPr>
                <w:rFonts w:eastAsia="Times New Roman"/>
              </w:rPr>
            </w:pPr>
            <w:r>
              <w:rPr>
                <w:rFonts w:eastAsia="Times New Roman"/>
                <w:b/>
                <w:bCs/>
                <w:color w:val="000000"/>
                <w:sz w:val="18"/>
                <w:szCs w:val="18"/>
              </w:rPr>
              <w:t>431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1104F2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B9D0C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88A556D" w14:textId="77777777" w:rsidR="00000000" w:rsidRDefault="00405D16">
            <w:pPr>
              <w:spacing w:after="100"/>
              <w:jc w:val="right"/>
              <w:rPr>
                <w:rFonts w:eastAsia="Times New Roman"/>
              </w:rPr>
            </w:pPr>
            <w:r>
              <w:rPr>
                <w:rFonts w:eastAsia="Times New Roman"/>
                <w:b/>
                <w:bCs/>
                <w:color w:val="000000"/>
                <w:sz w:val="18"/>
                <w:szCs w:val="18"/>
              </w:rPr>
              <w:t>(216)</w:t>
            </w:r>
          </w:p>
        </w:tc>
        <w:tc>
          <w:tcPr>
            <w:tcW w:w="0" w:type="auto"/>
            <w:shd w:val="clear" w:color="auto" w:fill="FFFFFF"/>
            <w:tcMar>
              <w:top w:w="30" w:type="dxa"/>
              <w:left w:w="0" w:type="dxa"/>
              <w:bottom w:w="30" w:type="dxa"/>
              <w:right w:w="20" w:type="dxa"/>
            </w:tcMar>
            <w:vAlign w:val="center"/>
            <w:hideMark/>
          </w:tcPr>
          <w:p w14:paraId="6DFC2437" w14:textId="77777777" w:rsidR="00000000" w:rsidRDefault="00405D16">
            <w:pPr>
              <w:spacing w:after="100"/>
              <w:jc w:val="right"/>
              <w:rPr>
                <w:rFonts w:eastAsia="Times New Roman"/>
              </w:rPr>
            </w:pPr>
          </w:p>
        </w:tc>
      </w:tr>
      <w:tr w:rsidR="00000000" w14:paraId="35B25FBB" w14:textId="77777777">
        <w:trPr>
          <w:divId w:val="40788745"/>
        </w:trPr>
        <w:tc>
          <w:tcPr>
            <w:tcW w:w="0" w:type="auto"/>
            <w:gridSpan w:val="3"/>
            <w:shd w:val="clear" w:color="auto" w:fill="CCEEFF"/>
            <w:tcMar>
              <w:top w:w="30" w:type="dxa"/>
              <w:left w:w="20" w:type="dxa"/>
              <w:bottom w:w="30" w:type="dxa"/>
              <w:right w:w="20" w:type="dxa"/>
            </w:tcMar>
            <w:vAlign w:val="center"/>
            <w:hideMark/>
          </w:tcPr>
          <w:p w14:paraId="751037E4" w14:textId="77777777" w:rsidR="00000000" w:rsidRDefault="00405D16">
            <w:pPr>
              <w:spacing w:after="100"/>
              <w:divId w:val="1573351189"/>
              <w:rPr>
                <w:rFonts w:eastAsia="Times New Roman"/>
              </w:rPr>
            </w:pPr>
            <w:r>
              <w:rPr>
                <w:rFonts w:eastAsia="Times New Roman"/>
                <w:color w:val="000000"/>
                <w:sz w:val="18"/>
                <w:szCs w:val="18"/>
              </w:rPr>
              <w:t>Commercial bankin</w:t>
            </w:r>
            <w:r>
              <w:rPr>
                <w:rFonts w:eastAsia="Times New Roman"/>
                <w:color w:val="000000"/>
                <w:sz w:val="18"/>
                <w:szCs w:val="18"/>
              </w:rPr>
              <w:t>g</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0A3D0D28"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32E7D96" w14:textId="77777777" w:rsidR="00000000" w:rsidRDefault="00405D16">
            <w:pPr>
              <w:spacing w:after="100"/>
              <w:jc w:val="right"/>
              <w:rPr>
                <w:rFonts w:eastAsia="Times New Roman"/>
              </w:rPr>
            </w:pPr>
            <w:r>
              <w:rPr>
                <w:rFonts w:eastAsia="Times New Roman"/>
                <w:b/>
                <w:bCs/>
                <w:color w:val="000000"/>
                <w:sz w:val="18"/>
                <w:szCs w:val="18"/>
              </w:rPr>
              <w:t>(6)</w:t>
            </w:r>
          </w:p>
        </w:tc>
        <w:tc>
          <w:tcPr>
            <w:tcW w:w="0" w:type="auto"/>
            <w:shd w:val="clear" w:color="auto" w:fill="CCEEFF"/>
            <w:tcMar>
              <w:top w:w="30" w:type="dxa"/>
              <w:left w:w="0" w:type="dxa"/>
              <w:bottom w:w="30" w:type="dxa"/>
              <w:right w:w="20" w:type="dxa"/>
            </w:tcMar>
            <w:vAlign w:val="center"/>
            <w:hideMark/>
          </w:tcPr>
          <w:p w14:paraId="0994DD5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FBA05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64294EE" w14:textId="77777777" w:rsidR="00000000" w:rsidRDefault="00405D16">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3581CD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574EA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E7141BE" w14:textId="77777777" w:rsidR="00000000" w:rsidRDefault="00405D16">
            <w:pPr>
              <w:spacing w:after="100"/>
              <w:jc w:val="right"/>
              <w:rPr>
                <w:rFonts w:eastAsia="Times New Roman"/>
              </w:rPr>
            </w:pPr>
            <w:r>
              <w:rPr>
                <w:rFonts w:eastAsia="Times New Roman"/>
                <w:b/>
                <w:bCs/>
                <w:color w:val="000000"/>
                <w:sz w:val="18"/>
                <w:szCs w:val="18"/>
              </w:rPr>
              <w:t>(8)</w:t>
            </w:r>
          </w:p>
        </w:tc>
        <w:tc>
          <w:tcPr>
            <w:tcW w:w="0" w:type="auto"/>
            <w:shd w:val="clear" w:color="auto" w:fill="CCEEFF"/>
            <w:tcMar>
              <w:top w:w="30" w:type="dxa"/>
              <w:left w:w="0" w:type="dxa"/>
              <w:bottom w:w="30" w:type="dxa"/>
              <w:right w:w="20" w:type="dxa"/>
            </w:tcMar>
            <w:vAlign w:val="center"/>
            <w:hideMark/>
          </w:tcPr>
          <w:p w14:paraId="59F4178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365E8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4D5DA8E" w14:textId="77777777" w:rsidR="00000000" w:rsidRDefault="00405D16">
            <w:pPr>
              <w:spacing w:after="100"/>
              <w:jc w:val="right"/>
              <w:rPr>
                <w:rFonts w:eastAsia="Times New Roman"/>
              </w:rPr>
            </w:pPr>
            <w:r>
              <w:rPr>
                <w:rFonts w:eastAsia="Times New Roman"/>
                <w:b/>
                <w:bCs/>
                <w:color w:val="000000"/>
                <w:sz w:val="18"/>
                <w:szCs w:val="18"/>
              </w:rPr>
              <w:t>(334)</w:t>
            </w:r>
          </w:p>
        </w:tc>
        <w:tc>
          <w:tcPr>
            <w:tcW w:w="0" w:type="auto"/>
            <w:shd w:val="clear" w:color="auto" w:fill="CCEEFF"/>
            <w:tcMar>
              <w:top w:w="30" w:type="dxa"/>
              <w:left w:w="0" w:type="dxa"/>
              <w:bottom w:w="30" w:type="dxa"/>
              <w:right w:w="20" w:type="dxa"/>
            </w:tcMar>
            <w:vAlign w:val="center"/>
            <w:hideMark/>
          </w:tcPr>
          <w:p w14:paraId="0B2E4E2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7A175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8DD921D" w14:textId="77777777" w:rsidR="00000000" w:rsidRDefault="00405D16">
            <w:pPr>
              <w:spacing w:after="100"/>
              <w:jc w:val="right"/>
              <w:rPr>
                <w:rFonts w:eastAsia="Times New Roman"/>
              </w:rPr>
            </w:pPr>
            <w:r>
              <w:rPr>
                <w:rFonts w:eastAsia="Times New Roman"/>
                <w:b/>
                <w:bCs/>
                <w:color w:val="000000"/>
                <w:sz w:val="18"/>
                <w:szCs w:val="18"/>
              </w:rPr>
              <w:t>(60)</w:t>
            </w:r>
          </w:p>
        </w:tc>
        <w:tc>
          <w:tcPr>
            <w:tcW w:w="0" w:type="auto"/>
            <w:shd w:val="clear" w:color="auto" w:fill="CCEEFF"/>
            <w:tcMar>
              <w:top w:w="30" w:type="dxa"/>
              <w:left w:w="0" w:type="dxa"/>
              <w:bottom w:w="30" w:type="dxa"/>
              <w:right w:w="20" w:type="dxa"/>
            </w:tcMar>
            <w:vAlign w:val="center"/>
            <w:hideMark/>
          </w:tcPr>
          <w:p w14:paraId="373B168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DC61D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1A2F177" w14:textId="77777777" w:rsidR="00000000" w:rsidRDefault="00405D16">
            <w:pPr>
              <w:spacing w:after="100"/>
              <w:jc w:val="right"/>
              <w:rPr>
                <w:rFonts w:eastAsia="Times New Roman"/>
              </w:rPr>
            </w:pPr>
            <w:r>
              <w:rPr>
                <w:rFonts w:eastAsia="Times New Roman"/>
                <w:b/>
                <w:bCs/>
                <w:color w:val="000000"/>
                <w:sz w:val="18"/>
                <w:szCs w:val="18"/>
              </w:rPr>
              <w:t>(274)</w:t>
            </w:r>
          </w:p>
        </w:tc>
        <w:tc>
          <w:tcPr>
            <w:tcW w:w="0" w:type="auto"/>
            <w:shd w:val="clear" w:color="auto" w:fill="CCEEFF"/>
            <w:tcMar>
              <w:top w:w="30" w:type="dxa"/>
              <w:left w:w="0" w:type="dxa"/>
              <w:bottom w:w="30" w:type="dxa"/>
              <w:right w:w="20" w:type="dxa"/>
            </w:tcMar>
            <w:vAlign w:val="center"/>
            <w:hideMark/>
          </w:tcPr>
          <w:p w14:paraId="73163313" w14:textId="77777777" w:rsidR="00000000" w:rsidRDefault="00405D16">
            <w:pPr>
              <w:spacing w:after="100"/>
              <w:jc w:val="right"/>
              <w:rPr>
                <w:rFonts w:eastAsia="Times New Roman"/>
              </w:rPr>
            </w:pPr>
          </w:p>
        </w:tc>
      </w:tr>
      <w:tr w:rsidR="00000000" w14:paraId="58769A17" w14:textId="77777777">
        <w:trPr>
          <w:divId w:val="40788745"/>
        </w:trPr>
        <w:tc>
          <w:tcPr>
            <w:tcW w:w="0" w:type="auto"/>
            <w:gridSpan w:val="3"/>
            <w:shd w:val="clear" w:color="auto" w:fill="FFFFFF"/>
            <w:tcMar>
              <w:top w:w="30" w:type="dxa"/>
              <w:left w:w="20" w:type="dxa"/>
              <w:bottom w:w="30" w:type="dxa"/>
              <w:right w:w="20" w:type="dxa"/>
            </w:tcMar>
            <w:vAlign w:val="center"/>
            <w:hideMark/>
          </w:tcPr>
          <w:p w14:paraId="170F5E48" w14:textId="77777777" w:rsidR="00000000" w:rsidRDefault="00405D16">
            <w:pPr>
              <w:spacing w:after="100"/>
              <w:divId w:val="547423414"/>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43A09F5C"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40E76E6" w14:textId="77777777" w:rsidR="00000000" w:rsidRDefault="00405D16">
            <w:pPr>
              <w:spacing w:after="100"/>
              <w:jc w:val="right"/>
              <w:rPr>
                <w:rFonts w:eastAsia="Times New Roman"/>
              </w:rPr>
            </w:pPr>
            <w:r>
              <w:rPr>
                <w:rFonts w:eastAsia="Times New Roman"/>
                <w:b/>
                <w:bCs/>
                <w:color w:val="000000"/>
                <w:sz w:val="18"/>
                <w:szCs w:val="18"/>
              </w:rPr>
              <w:t>70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9F40D4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AF223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3C01FEC" w14:textId="77777777" w:rsidR="00000000" w:rsidRDefault="00405D16">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C95845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01DA5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521F6F4" w14:textId="77777777" w:rsidR="00000000" w:rsidRDefault="00405D16">
            <w:pPr>
              <w:spacing w:after="100"/>
              <w:jc w:val="right"/>
              <w:rPr>
                <w:rFonts w:eastAsia="Times New Roman"/>
              </w:rPr>
            </w:pPr>
            <w:r>
              <w:rPr>
                <w:rFonts w:eastAsia="Times New Roman"/>
                <w:b/>
                <w:bCs/>
                <w:color w:val="000000"/>
                <w:sz w:val="18"/>
                <w:szCs w:val="18"/>
              </w:rPr>
              <w:t>70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30B9CB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8833E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73B344D" w14:textId="77777777" w:rsidR="00000000" w:rsidRDefault="00405D16">
            <w:pPr>
              <w:spacing w:after="100"/>
              <w:jc w:val="right"/>
              <w:rPr>
                <w:rFonts w:eastAsia="Times New Roman"/>
              </w:rPr>
            </w:pPr>
            <w:r>
              <w:rPr>
                <w:rFonts w:eastAsia="Times New Roman"/>
                <w:b/>
                <w:bCs/>
                <w:color w:val="000000"/>
                <w:sz w:val="18"/>
                <w:szCs w:val="18"/>
              </w:rPr>
              <w:t>377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5525E9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03A0E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A413DF2" w14:textId="77777777" w:rsidR="00000000" w:rsidRDefault="00405D16">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3F2604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655FA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014A421" w14:textId="77777777" w:rsidR="00000000" w:rsidRDefault="00405D16">
            <w:pPr>
              <w:spacing w:after="100"/>
              <w:jc w:val="right"/>
              <w:rPr>
                <w:rFonts w:eastAsia="Times New Roman"/>
              </w:rPr>
            </w:pPr>
            <w:r>
              <w:rPr>
                <w:rFonts w:eastAsia="Times New Roman"/>
                <w:b/>
                <w:bCs/>
                <w:color w:val="000000"/>
                <w:sz w:val="18"/>
                <w:szCs w:val="18"/>
              </w:rPr>
              <w:t>377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2E93A83" w14:textId="77777777" w:rsidR="00000000" w:rsidRDefault="00405D16">
            <w:pPr>
              <w:spacing w:after="100"/>
              <w:jc w:val="right"/>
              <w:rPr>
                <w:rFonts w:eastAsia="Times New Roman"/>
              </w:rPr>
            </w:pPr>
          </w:p>
        </w:tc>
      </w:tr>
      <w:tr w:rsidR="00000000" w14:paraId="61B89572" w14:textId="77777777">
        <w:trPr>
          <w:divId w:val="40788745"/>
        </w:trPr>
        <w:tc>
          <w:tcPr>
            <w:tcW w:w="0" w:type="auto"/>
            <w:gridSpan w:val="3"/>
            <w:shd w:val="clear" w:color="auto" w:fill="CCEEFF"/>
            <w:tcMar>
              <w:top w:w="30" w:type="dxa"/>
              <w:left w:w="20" w:type="dxa"/>
              <w:bottom w:w="30" w:type="dxa"/>
              <w:right w:w="20" w:type="dxa"/>
            </w:tcMar>
            <w:vAlign w:val="center"/>
            <w:hideMark/>
          </w:tcPr>
          <w:p w14:paraId="590250C7" w14:textId="77777777" w:rsidR="00000000" w:rsidRDefault="00405D16">
            <w:pPr>
              <w:spacing w:after="100"/>
              <w:rPr>
                <w:rFonts w:eastAsia="Times New Roman"/>
              </w:rPr>
            </w:pPr>
            <w:r>
              <w:rPr>
                <w:rFonts w:eastAsia="Times New Roman"/>
                <w:color w:val="000000"/>
                <w:sz w:val="18"/>
                <w:szCs w:val="18"/>
              </w:rPr>
              <w:t>Total loans, including loans held for sale</w:t>
            </w:r>
          </w:p>
        </w:tc>
        <w:tc>
          <w:tcPr>
            <w:tcW w:w="0" w:type="auto"/>
            <w:gridSpan w:val="3"/>
            <w:shd w:val="clear" w:color="auto" w:fill="CCEEFF"/>
            <w:tcMar>
              <w:top w:w="0" w:type="dxa"/>
              <w:left w:w="20" w:type="dxa"/>
              <w:bottom w:w="0" w:type="dxa"/>
              <w:right w:w="20" w:type="dxa"/>
            </w:tcMar>
            <w:vAlign w:val="center"/>
            <w:hideMark/>
          </w:tcPr>
          <w:p w14:paraId="48E1B5C3"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606E105" w14:textId="77777777" w:rsidR="00000000" w:rsidRDefault="00405D16">
            <w:pPr>
              <w:spacing w:after="100"/>
              <w:jc w:val="right"/>
              <w:rPr>
                <w:rFonts w:eastAsia="Times New Roman"/>
              </w:rPr>
            </w:pPr>
            <w:r>
              <w:rPr>
                <w:rFonts w:eastAsia="Times New Roman"/>
                <w:b/>
                <w:bCs/>
                <w:color w:val="000000"/>
                <w:sz w:val="18"/>
                <w:szCs w:val="18"/>
              </w:rPr>
              <w:t>447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0F334D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3FD708"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5291218" w14:textId="77777777" w:rsidR="00000000" w:rsidRDefault="00405D16">
            <w:pPr>
              <w:spacing w:after="100"/>
              <w:jc w:val="right"/>
              <w:rPr>
                <w:rFonts w:eastAsia="Times New Roman"/>
              </w:rPr>
            </w:pPr>
            <w:r>
              <w:rPr>
                <w:rFonts w:eastAsia="Times New Roman"/>
                <w:b/>
                <w:bCs/>
                <w:color w:val="000000"/>
                <w:sz w:val="18"/>
                <w:szCs w:val="18"/>
              </w:rPr>
              <w:t>202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3A7E17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803A70"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44EAFBC" w14:textId="77777777" w:rsidR="00000000" w:rsidRDefault="00405D16">
            <w:pPr>
              <w:spacing w:after="100"/>
              <w:jc w:val="right"/>
              <w:rPr>
                <w:rFonts w:eastAsia="Times New Roman"/>
              </w:rPr>
            </w:pPr>
            <w:r>
              <w:rPr>
                <w:rFonts w:eastAsia="Times New Roman"/>
                <w:b/>
                <w:bCs/>
                <w:color w:val="000000"/>
                <w:sz w:val="18"/>
                <w:szCs w:val="18"/>
              </w:rPr>
              <w:t>245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9B878F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067CDF"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4F12D44" w14:textId="77777777" w:rsidR="00000000" w:rsidRDefault="00405D16">
            <w:pPr>
              <w:spacing w:after="100"/>
              <w:jc w:val="right"/>
              <w:rPr>
                <w:rFonts w:eastAsia="Times New Roman"/>
              </w:rPr>
            </w:pPr>
            <w:r>
              <w:rPr>
                <w:rFonts w:eastAsia="Times New Roman"/>
                <w:b/>
                <w:bCs/>
                <w:color w:val="000000"/>
                <w:sz w:val="18"/>
                <w:szCs w:val="18"/>
              </w:rPr>
              <w:t>(308)</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3622A4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FD7FF9"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3234F8C" w14:textId="77777777" w:rsidR="00000000" w:rsidRDefault="00405D16">
            <w:pPr>
              <w:spacing w:after="100"/>
              <w:jc w:val="right"/>
              <w:rPr>
                <w:rFonts w:eastAsia="Times New Roman"/>
              </w:rPr>
            </w:pPr>
            <w:r>
              <w:rPr>
                <w:rFonts w:eastAsia="Times New Roman"/>
                <w:b/>
                <w:bCs/>
                <w:color w:val="000000"/>
                <w:sz w:val="18"/>
                <w:szCs w:val="18"/>
              </w:rPr>
              <w:t>(546)</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CAF6A6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91C245"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2D6843F" w14:textId="77777777" w:rsidR="00000000" w:rsidRDefault="00405D16">
            <w:pPr>
              <w:spacing w:after="100"/>
              <w:jc w:val="right"/>
              <w:rPr>
                <w:rFonts w:eastAsia="Times New Roman"/>
              </w:rPr>
            </w:pPr>
            <w:r>
              <w:rPr>
                <w:rFonts w:eastAsia="Times New Roman"/>
                <w:b/>
                <w:bCs/>
                <w:color w:val="000000"/>
                <w:sz w:val="18"/>
                <w:szCs w:val="18"/>
              </w:rPr>
              <w:t>238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A9C1AAF" w14:textId="77777777" w:rsidR="00000000" w:rsidRDefault="00405D16">
            <w:pPr>
              <w:spacing w:after="100"/>
              <w:jc w:val="right"/>
              <w:rPr>
                <w:rFonts w:eastAsia="Times New Roman"/>
              </w:rPr>
            </w:pPr>
          </w:p>
        </w:tc>
      </w:tr>
      <w:tr w:rsidR="00000000" w14:paraId="2A1F260B" w14:textId="77777777">
        <w:trPr>
          <w:divId w:val="40788745"/>
        </w:trPr>
        <w:tc>
          <w:tcPr>
            <w:tcW w:w="0" w:type="auto"/>
            <w:gridSpan w:val="3"/>
            <w:shd w:val="clear" w:color="auto" w:fill="FFFFFF"/>
            <w:tcMar>
              <w:top w:w="30" w:type="dxa"/>
              <w:left w:w="20" w:type="dxa"/>
              <w:bottom w:w="30" w:type="dxa"/>
              <w:right w:w="20" w:type="dxa"/>
            </w:tcMar>
            <w:vAlign w:val="center"/>
            <w:hideMark/>
          </w:tcPr>
          <w:p w14:paraId="014A2982" w14:textId="77777777" w:rsidR="00000000" w:rsidRDefault="00405D16">
            <w:pPr>
              <w:spacing w:after="100"/>
              <w:rPr>
                <w:rFonts w:eastAsia="Times New Roman"/>
              </w:rPr>
            </w:pPr>
            <w:r>
              <w:rPr>
                <w:rFonts w:eastAsia="Times New Roman"/>
                <w:color w:val="000000"/>
                <w:sz w:val="18"/>
                <w:szCs w:val="18"/>
              </w:rPr>
              <w:t>Investment securities</w:t>
            </w:r>
          </w:p>
        </w:tc>
        <w:tc>
          <w:tcPr>
            <w:tcW w:w="0" w:type="auto"/>
            <w:gridSpan w:val="3"/>
            <w:shd w:val="clear" w:color="auto" w:fill="FFFFFF"/>
            <w:tcMar>
              <w:top w:w="0" w:type="dxa"/>
              <w:left w:w="20" w:type="dxa"/>
              <w:bottom w:w="0" w:type="dxa"/>
              <w:right w:w="20" w:type="dxa"/>
            </w:tcMar>
            <w:vAlign w:val="center"/>
            <w:hideMark/>
          </w:tcPr>
          <w:p w14:paraId="152713B5"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72BB211" w14:textId="77777777" w:rsidR="00000000" w:rsidRDefault="00405D16">
            <w:pPr>
              <w:spacing w:after="100"/>
              <w:jc w:val="right"/>
              <w:rPr>
                <w:rFonts w:eastAsia="Times New Roman"/>
              </w:rPr>
            </w:pPr>
            <w:r>
              <w:rPr>
                <w:rFonts w:eastAsia="Times New Roman"/>
                <w:b/>
                <w:bCs/>
                <w:color w:val="000000"/>
                <w:sz w:val="18"/>
                <w:szCs w:val="18"/>
              </w:rPr>
              <w:t>(126)</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25AF4B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6A7A4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DE14EDE" w14:textId="77777777" w:rsidR="00000000" w:rsidRDefault="00405D16">
            <w:pPr>
              <w:spacing w:after="100"/>
              <w:jc w:val="right"/>
              <w:rPr>
                <w:rFonts w:eastAsia="Times New Roman"/>
              </w:rPr>
            </w:pPr>
            <w:r>
              <w:rPr>
                <w:rFonts w:eastAsia="Times New Roman"/>
                <w:b/>
                <w:bCs/>
                <w:color w:val="000000"/>
                <w:sz w:val="18"/>
                <w:szCs w:val="18"/>
              </w:rPr>
              <w:t>23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79B90C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0F4046"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22186A3" w14:textId="77777777" w:rsidR="00000000" w:rsidRDefault="00405D16">
            <w:pPr>
              <w:spacing w:after="100"/>
              <w:jc w:val="right"/>
              <w:rPr>
                <w:rFonts w:eastAsia="Times New Roman"/>
              </w:rPr>
            </w:pPr>
            <w:r>
              <w:rPr>
                <w:rFonts w:eastAsia="Times New Roman"/>
                <w:b/>
                <w:bCs/>
                <w:color w:val="000000"/>
                <w:sz w:val="18"/>
                <w:szCs w:val="18"/>
              </w:rPr>
              <w:t>(149)</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B36E07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4D6F5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CB48AF0" w14:textId="77777777" w:rsidR="00000000" w:rsidRDefault="00405D16">
            <w:pPr>
              <w:spacing w:after="100"/>
              <w:jc w:val="right"/>
              <w:rPr>
                <w:rFonts w:eastAsia="Times New Roman"/>
              </w:rPr>
            </w:pPr>
            <w:r>
              <w:rPr>
                <w:rFonts w:eastAsia="Times New Roman"/>
                <w:b/>
                <w:bCs/>
                <w:color w:val="000000"/>
                <w:sz w:val="18"/>
                <w:szCs w:val="18"/>
              </w:rPr>
              <w:t>(377)</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542CD1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C3A6A6"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2DD3BB2" w14:textId="77777777" w:rsidR="00000000" w:rsidRDefault="00405D16">
            <w:pPr>
              <w:spacing w:after="100"/>
              <w:jc w:val="right"/>
              <w:rPr>
                <w:rFonts w:eastAsia="Times New Roman"/>
              </w:rPr>
            </w:pPr>
            <w:r>
              <w:rPr>
                <w:rFonts w:eastAsia="Times New Roman"/>
                <w:b/>
                <w:bCs/>
                <w:color w:val="000000"/>
                <w:sz w:val="18"/>
                <w:szCs w:val="18"/>
              </w:rPr>
              <w:t>167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C47EC3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3DB79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0B841DE" w14:textId="77777777" w:rsidR="00000000" w:rsidRDefault="00405D16">
            <w:pPr>
              <w:spacing w:after="100"/>
              <w:jc w:val="right"/>
              <w:rPr>
                <w:rFonts w:eastAsia="Times New Roman"/>
              </w:rPr>
            </w:pPr>
            <w:r>
              <w:rPr>
                <w:rFonts w:eastAsia="Times New Roman"/>
                <w:b/>
                <w:bCs/>
                <w:color w:val="000000"/>
                <w:sz w:val="18"/>
                <w:szCs w:val="18"/>
              </w:rPr>
              <w:t>(544)</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7C3B5B7" w14:textId="77777777" w:rsidR="00000000" w:rsidRDefault="00405D16">
            <w:pPr>
              <w:spacing w:after="100"/>
              <w:jc w:val="right"/>
              <w:rPr>
                <w:rFonts w:eastAsia="Times New Roman"/>
              </w:rPr>
            </w:pPr>
          </w:p>
        </w:tc>
      </w:tr>
      <w:tr w:rsidR="00000000" w14:paraId="2F6781F4" w14:textId="77777777">
        <w:trPr>
          <w:divId w:val="40788745"/>
        </w:trPr>
        <w:tc>
          <w:tcPr>
            <w:tcW w:w="0" w:type="auto"/>
            <w:gridSpan w:val="3"/>
            <w:shd w:val="clear" w:color="auto" w:fill="CCEEFF"/>
            <w:tcMar>
              <w:top w:w="30" w:type="dxa"/>
              <w:left w:w="20" w:type="dxa"/>
              <w:bottom w:w="30" w:type="dxa"/>
              <w:right w:w="20" w:type="dxa"/>
            </w:tcMar>
            <w:vAlign w:val="center"/>
            <w:hideMark/>
          </w:tcPr>
          <w:p w14:paraId="08033184" w14:textId="77777777" w:rsidR="00000000" w:rsidRDefault="00405D16">
            <w:pPr>
              <w:spacing w:after="100"/>
              <w:rPr>
                <w:rFonts w:eastAsia="Times New Roman"/>
              </w:rPr>
            </w:pPr>
            <w:r>
              <w:rPr>
                <w:rFonts w:eastAsia="Times New Roman"/>
                <w:color w:val="000000"/>
                <w:sz w:val="18"/>
                <w:szCs w:val="18"/>
              </w:rPr>
              <w:t>Cash equivalents and other interest-earning assets</w:t>
            </w:r>
          </w:p>
        </w:tc>
        <w:tc>
          <w:tcPr>
            <w:tcW w:w="0" w:type="auto"/>
            <w:gridSpan w:val="3"/>
            <w:shd w:val="clear" w:color="auto" w:fill="CCEEFF"/>
            <w:tcMar>
              <w:top w:w="0" w:type="dxa"/>
              <w:left w:w="20" w:type="dxa"/>
              <w:bottom w:w="0" w:type="dxa"/>
              <w:right w:w="20" w:type="dxa"/>
            </w:tcMar>
            <w:vAlign w:val="center"/>
            <w:hideMark/>
          </w:tcPr>
          <w:p w14:paraId="7D8F4D4C"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D954D39" w14:textId="77777777" w:rsidR="00000000" w:rsidRDefault="00405D16">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3C0843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9CD2D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A52AB3F" w14:textId="77777777" w:rsidR="00000000" w:rsidRDefault="00405D16">
            <w:pPr>
              <w:spacing w:after="100"/>
              <w:jc w:val="right"/>
              <w:rPr>
                <w:rFonts w:eastAsia="Times New Roman"/>
              </w:rPr>
            </w:pPr>
            <w:r>
              <w:rPr>
                <w:rFonts w:eastAsia="Times New Roman"/>
                <w:b/>
                <w:bCs/>
                <w:color w:val="000000"/>
                <w:sz w:val="18"/>
                <w:szCs w:val="18"/>
              </w:rPr>
              <w:t>(6)</w:t>
            </w:r>
          </w:p>
        </w:tc>
        <w:tc>
          <w:tcPr>
            <w:tcW w:w="0" w:type="auto"/>
            <w:shd w:val="clear" w:color="auto" w:fill="CCEEFF"/>
            <w:tcMar>
              <w:top w:w="30" w:type="dxa"/>
              <w:left w:w="0" w:type="dxa"/>
              <w:bottom w:w="30" w:type="dxa"/>
              <w:right w:w="20" w:type="dxa"/>
            </w:tcMar>
            <w:vAlign w:val="center"/>
            <w:hideMark/>
          </w:tcPr>
          <w:p w14:paraId="5080820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082C6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D9CC65B" w14:textId="77777777" w:rsidR="00000000" w:rsidRDefault="00405D16">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27287F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D7191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CEBA6E8" w14:textId="77777777" w:rsidR="00000000" w:rsidRDefault="00405D16">
            <w:pPr>
              <w:spacing w:after="100"/>
              <w:jc w:val="right"/>
              <w:rPr>
                <w:rFonts w:eastAsia="Times New Roman"/>
              </w:rPr>
            </w:pPr>
            <w:r>
              <w:rPr>
                <w:rFonts w:eastAsia="Times New Roman"/>
                <w:b/>
                <w:bCs/>
                <w:color w:val="000000"/>
                <w:sz w:val="18"/>
                <w:szCs w:val="18"/>
              </w:rPr>
              <w:t>(19)</w:t>
            </w:r>
          </w:p>
        </w:tc>
        <w:tc>
          <w:tcPr>
            <w:tcW w:w="0" w:type="auto"/>
            <w:shd w:val="clear" w:color="auto" w:fill="CCEEFF"/>
            <w:tcMar>
              <w:top w:w="30" w:type="dxa"/>
              <w:left w:w="0" w:type="dxa"/>
              <w:bottom w:w="30" w:type="dxa"/>
              <w:right w:w="20" w:type="dxa"/>
            </w:tcMar>
            <w:vAlign w:val="center"/>
            <w:hideMark/>
          </w:tcPr>
          <w:p w14:paraId="076EFAC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98999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448E6C9" w14:textId="77777777" w:rsidR="00000000" w:rsidRDefault="00405D16">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BCA77F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68715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ED08B5D" w14:textId="77777777" w:rsidR="00000000" w:rsidRDefault="00405D16">
            <w:pPr>
              <w:spacing w:after="100"/>
              <w:jc w:val="right"/>
              <w:rPr>
                <w:rFonts w:eastAsia="Times New Roman"/>
              </w:rPr>
            </w:pPr>
            <w:r>
              <w:rPr>
                <w:rFonts w:eastAsia="Times New Roman"/>
                <w:b/>
                <w:bCs/>
                <w:color w:val="000000"/>
                <w:sz w:val="18"/>
                <w:szCs w:val="18"/>
              </w:rPr>
              <w:t>(22)</w:t>
            </w:r>
          </w:p>
        </w:tc>
        <w:tc>
          <w:tcPr>
            <w:tcW w:w="0" w:type="auto"/>
            <w:shd w:val="clear" w:color="auto" w:fill="CCEEFF"/>
            <w:tcMar>
              <w:top w:w="30" w:type="dxa"/>
              <w:left w:w="0" w:type="dxa"/>
              <w:bottom w:w="30" w:type="dxa"/>
              <w:right w:w="20" w:type="dxa"/>
            </w:tcMar>
            <w:vAlign w:val="center"/>
            <w:hideMark/>
          </w:tcPr>
          <w:p w14:paraId="217F658C" w14:textId="77777777" w:rsidR="00000000" w:rsidRDefault="00405D16">
            <w:pPr>
              <w:spacing w:after="100"/>
              <w:jc w:val="right"/>
              <w:rPr>
                <w:rFonts w:eastAsia="Times New Roman"/>
              </w:rPr>
            </w:pPr>
          </w:p>
        </w:tc>
      </w:tr>
      <w:tr w:rsidR="00000000" w14:paraId="7F2921C7" w14:textId="77777777">
        <w:trPr>
          <w:divId w:val="40788745"/>
        </w:trPr>
        <w:tc>
          <w:tcPr>
            <w:tcW w:w="0" w:type="auto"/>
            <w:gridSpan w:val="3"/>
            <w:shd w:val="clear" w:color="auto" w:fill="FFFFFF"/>
            <w:tcMar>
              <w:top w:w="30" w:type="dxa"/>
              <w:left w:w="20" w:type="dxa"/>
              <w:bottom w:w="30" w:type="dxa"/>
              <w:right w:w="20" w:type="dxa"/>
            </w:tcMar>
            <w:vAlign w:val="center"/>
            <w:hideMark/>
          </w:tcPr>
          <w:p w14:paraId="30F13C2B" w14:textId="77777777" w:rsidR="00000000" w:rsidRDefault="00405D16">
            <w:pPr>
              <w:spacing w:after="100"/>
              <w:rPr>
                <w:rFonts w:eastAsia="Times New Roman"/>
              </w:rPr>
            </w:pPr>
            <w:r>
              <w:rPr>
                <w:rFonts w:eastAsia="Times New Roman"/>
                <w:color w:val="000000"/>
                <w:sz w:val="18"/>
                <w:szCs w:val="18"/>
              </w:rPr>
              <w:t>Total interest income</w:t>
            </w:r>
          </w:p>
        </w:tc>
        <w:tc>
          <w:tcPr>
            <w:tcW w:w="0" w:type="auto"/>
            <w:gridSpan w:val="3"/>
            <w:shd w:val="clear" w:color="auto" w:fill="FFFFFF"/>
            <w:tcMar>
              <w:top w:w="0" w:type="dxa"/>
              <w:left w:w="20" w:type="dxa"/>
              <w:bottom w:w="0" w:type="dxa"/>
              <w:right w:w="20" w:type="dxa"/>
            </w:tcMar>
            <w:vAlign w:val="center"/>
            <w:hideMark/>
          </w:tcPr>
          <w:p w14:paraId="319DFEE3"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54805F6" w14:textId="77777777" w:rsidR="00000000" w:rsidRDefault="00405D16">
            <w:pPr>
              <w:spacing w:after="100"/>
              <w:jc w:val="right"/>
              <w:rPr>
                <w:rFonts w:eastAsia="Times New Roman"/>
              </w:rPr>
            </w:pPr>
            <w:r>
              <w:rPr>
                <w:rFonts w:eastAsia="Times New Roman"/>
                <w:b/>
                <w:bCs/>
                <w:color w:val="000000"/>
                <w:sz w:val="18"/>
                <w:szCs w:val="18"/>
              </w:rPr>
              <w:t>323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7196A6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131E65"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981FF00" w14:textId="77777777" w:rsidR="00000000" w:rsidRDefault="00405D16">
            <w:pPr>
              <w:spacing w:after="100"/>
              <w:jc w:val="right"/>
              <w:rPr>
                <w:rFonts w:eastAsia="Times New Roman"/>
              </w:rPr>
            </w:pPr>
            <w:r>
              <w:rPr>
                <w:rFonts w:eastAsia="Times New Roman"/>
                <w:b/>
                <w:bCs/>
                <w:color w:val="000000"/>
                <w:sz w:val="18"/>
                <w:szCs w:val="18"/>
              </w:rPr>
              <w:t>219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B209C0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0DE00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8593F12" w14:textId="77777777" w:rsidR="00000000" w:rsidRDefault="00405D16">
            <w:pPr>
              <w:spacing w:after="100"/>
              <w:jc w:val="right"/>
              <w:rPr>
                <w:rFonts w:eastAsia="Times New Roman"/>
              </w:rPr>
            </w:pPr>
            <w:r>
              <w:rPr>
                <w:rFonts w:eastAsia="Times New Roman"/>
                <w:b/>
                <w:bCs/>
                <w:color w:val="000000"/>
                <w:sz w:val="18"/>
                <w:szCs w:val="18"/>
              </w:rPr>
              <w:t>104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2D5623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24C4AC"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099D048" w14:textId="77777777" w:rsidR="00000000" w:rsidRDefault="00405D16">
            <w:pPr>
              <w:spacing w:after="100"/>
              <w:jc w:val="right"/>
              <w:rPr>
                <w:rFonts w:eastAsia="Times New Roman"/>
              </w:rPr>
            </w:pPr>
            <w:r>
              <w:rPr>
                <w:rFonts w:eastAsia="Times New Roman"/>
                <w:b/>
                <w:bCs/>
                <w:color w:val="000000"/>
                <w:sz w:val="18"/>
                <w:szCs w:val="18"/>
              </w:rPr>
              <w:t>(704)</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7D80CC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7032F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95F59C6" w14:textId="77777777" w:rsidR="00000000" w:rsidRDefault="00405D16">
            <w:pPr>
              <w:spacing w:after="100"/>
              <w:jc w:val="right"/>
              <w:rPr>
                <w:rFonts w:eastAsia="Times New Roman"/>
              </w:rPr>
            </w:pPr>
            <w:r>
              <w:rPr>
                <w:rFonts w:eastAsia="Times New Roman"/>
                <w:b/>
                <w:bCs/>
                <w:color w:val="000000"/>
                <w:sz w:val="18"/>
                <w:szCs w:val="18"/>
              </w:rPr>
              <w:t>(376)</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A03D9A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C2DB27"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E5E3311" w14:textId="77777777" w:rsidR="00000000" w:rsidRDefault="00405D16">
            <w:pPr>
              <w:spacing w:after="100"/>
              <w:jc w:val="right"/>
              <w:rPr>
                <w:rFonts w:eastAsia="Times New Roman"/>
              </w:rPr>
            </w:pPr>
            <w:r>
              <w:rPr>
                <w:rFonts w:eastAsia="Times New Roman"/>
                <w:b/>
                <w:bCs/>
                <w:color w:val="000000"/>
                <w:sz w:val="18"/>
                <w:szCs w:val="18"/>
              </w:rPr>
              <w:t>(328)</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EDA1374" w14:textId="77777777" w:rsidR="00000000" w:rsidRDefault="00405D16">
            <w:pPr>
              <w:spacing w:after="100"/>
              <w:jc w:val="right"/>
              <w:rPr>
                <w:rFonts w:eastAsia="Times New Roman"/>
              </w:rPr>
            </w:pPr>
          </w:p>
        </w:tc>
      </w:tr>
      <w:tr w:rsidR="00000000" w14:paraId="5E6610D5" w14:textId="77777777">
        <w:trPr>
          <w:divId w:val="40788745"/>
        </w:trPr>
        <w:tc>
          <w:tcPr>
            <w:tcW w:w="0" w:type="auto"/>
            <w:gridSpan w:val="3"/>
            <w:shd w:val="clear" w:color="auto" w:fill="CCEEFF"/>
            <w:tcMar>
              <w:top w:w="30" w:type="dxa"/>
              <w:left w:w="20" w:type="dxa"/>
              <w:bottom w:w="30" w:type="dxa"/>
              <w:right w:w="20" w:type="dxa"/>
            </w:tcMar>
            <w:vAlign w:val="center"/>
            <w:hideMark/>
          </w:tcPr>
          <w:p w14:paraId="6801CAEC" w14:textId="77777777" w:rsidR="00000000" w:rsidRDefault="00405D16">
            <w:pPr>
              <w:spacing w:after="100"/>
              <w:rPr>
                <w:rFonts w:eastAsia="Times New Roman"/>
              </w:rPr>
            </w:pPr>
            <w:r>
              <w:rPr>
                <w:rFonts w:eastAsia="Times New Roman"/>
                <w:b/>
                <w:bCs/>
                <w:color w:val="000000"/>
                <w:sz w:val="18"/>
                <w:szCs w:val="18"/>
              </w:rPr>
              <w:t>Interest expense:</w:t>
            </w:r>
          </w:p>
        </w:tc>
        <w:tc>
          <w:tcPr>
            <w:tcW w:w="0" w:type="auto"/>
            <w:gridSpan w:val="3"/>
            <w:shd w:val="clear" w:color="auto" w:fill="CCEEFF"/>
            <w:tcMar>
              <w:top w:w="0" w:type="dxa"/>
              <w:left w:w="20" w:type="dxa"/>
              <w:bottom w:w="0" w:type="dxa"/>
              <w:right w:w="20" w:type="dxa"/>
            </w:tcMar>
            <w:vAlign w:val="center"/>
            <w:hideMark/>
          </w:tcPr>
          <w:p w14:paraId="27D2B4D9"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970BF0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5C387E"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F01D4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A00F07"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A6D380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0BAFD3"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A65037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43204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A3A568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155F5E"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DF86C79" w14:textId="77777777" w:rsidR="00000000" w:rsidRDefault="00405D16">
            <w:pPr>
              <w:spacing w:after="100"/>
              <w:rPr>
                <w:rFonts w:eastAsia="Times New Roman"/>
                <w:sz w:val="20"/>
                <w:szCs w:val="20"/>
              </w:rPr>
            </w:pPr>
          </w:p>
        </w:tc>
      </w:tr>
      <w:tr w:rsidR="00000000" w14:paraId="517A2761" w14:textId="77777777">
        <w:trPr>
          <w:divId w:val="40788745"/>
        </w:trPr>
        <w:tc>
          <w:tcPr>
            <w:tcW w:w="0" w:type="auto"/>
            <w:gridSpan w:val="3"/>
            <w:shd w:val="clear" w:color="auto" w:fill="FFFFFF"/>
            <w:tcMar>
              <w:top w:w="30" w:type="dxa"/>
              <w:left w:w="245" w:type="dxa"/>
              <w:bottom w:w="30" w:type="dxa"/>
              <w:right w:w="20" w:type="dxa"/>
            </w:tcMar>
            <w:vAlign w:val="center"/>
            <w:hideMark/>
          </w:tcPr>
          <w:p w14:paraId="0CA0A209" w14:textId="77777777" w:rsidR="00000000" w:rsidRDefault="00405D16">
            <w:pPr>
              <w:spacing w:after="100"/>
              <w:rPr>
                <w:rFonts w:eastAsia="Times New Roman"/>
              </w:rPr>
            </w:pPr>
            <w:r>
              <w:rPr>
                <w:rFonts w:eastAsia="Times New Roman"/>
                <w:color w:val="000000"/>
                <w:sz w:val="18"/>
                <w:szCs w:val="18"/>
              </w:rPr>
              <w:t>Interest-bearing deposits</w:t>
            </w:r>
          </w:p>
        </w:tc>
        <w:tc>
          <w:tcPr>
            <w:tcW w:w="0" w:type="auto"/>
            <w:gridSpan w:val="3"/>
            <w:shd w:val="clear" w:color="auto" w:fill="FFFFFF"/>
            <w:tcMar>
              <w:top w:w="0" w:type="dxa"/>
              <w:left w:w="20" w:type="dxa"/>
              <w:bottom w:w="0" w:type="dxa"/>
              <w:right w:w="20" w:type="dxa"/>
            </w:tcMar>
            <w:vAlign w:val="center"/>
            <w:hideMark/>
          </w:tcPr>
          <w:p w14:paraId="0974E0E8"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3E4C925" w14:textId="77777777" w:rsidR="00000000" w:rsidRDefault="00405D16">
            <w:pPr>
              <w:spacing w:after="100"/>
              <w:jc w:val="right"/>
              <w:rPr>
                <w:rFonts w:eastAsia="Times New Roman"/>
              </w:rPr>
            </w:pPr>
            <w:r>
              <w:rPr>
                <w:rFonts w:eastAsia="Times New Roman"/>
                <w:b/>
                <w:bCs/>
                <w:color w:val="000000"/>
                <w:sz w:val="18"/>
                <w:szCs w:val="18"/>
              </w:rPr>
              <w:t>(248)</w:t>
            </w:r>
          </w:p>
        </w:tc>
        <w:tc>
          <w:tcPr>
            <w:tcW w:w="0" w:type="auto"/>
            <w:shd w:val="clear" w:color="auto" w:fill="FFFFFF"/>
            <w:tcMar>
              <w:top w:w="30" w:type="dxa"/>
              <w:left w:w="0" w:type="dxa"/>
              <w:bottom w:w="30" w:type="dxa"/>
              <w:right w:w="20" w:type="dxa"/>
            </w:tcMar>
            <w:vAlign w:val="center"/>
            <w:hideMark/>
          </w:tcPr>
          <w:p w14:paraId="5B05785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E7858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BF9EAD9" w14:textId="77777777" w:rsidR="00000000" w:rsidRDefault="00405D16">
            <w:pPr>
              <w:spacing w:after="100"/>
              <w:jc w:val="right"/>
              <w:rPr>
                <w:rFonts w:eastAsia="Times New Roman"/>
              </w:rPr>
            </w:pPr>
            <w:r>
              <w:rPr>
                <w:rFonts w:eastAsia="Times New Roman"/>
                <w:b/>
                <w:bCs/>
                <w:color w:val="000000"/>
                <w:sz w:val="18"/>
                <w:szCs w:val="18"/>
              </w:rPr>
              <w:t>(12)</w:t>
            </w:r>
          </w:p>
        </w:tc>
        <w:tc>
          <w:tcPr>
            <w:tcW w:w="0" w:type="auto"/>
            <w:shd w:val="clear" w:color="auto" w:fill="FFFFFF"/>
            <w:tcMar>
              <w:top w:w="30" w:type="dxa"/>
              <w:left w:w="0" w:type="dxa"/>
              <w:bottom w:w="30" w:type="dxa"/>
              <w:right w:w="20" w:type="dxa"/>
            </w:tcMar>
            <w:vAlign w:val="center"/>
            <w:hideMark/>
          </w:tcPr>
          <w:p w14:paraId="3DB3753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A414C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9BEA5D5" w14:textId="77777777" w:rsidR="00000000" w:rsidRDefault="00405D16">
            <w:pPr>
              <w:spacing w:after="100"/>
              <w:jc w:val="right"/>
              <w:rPr>
                <w:rFonts w:eastAsia="Times New Roman"/>
              </w:rPr>
            </w:pPr>
            <w:r>
              <w:rPr>
                <w:rFonts w:eastAsia="Times New Roman"/>
                <w:b/>
                <w:bCs/>
                <w:color w:val="000000"/>
                <w:sz w:val="18"/>
                <w:szCs w:val="18"/>
              </w:rPr>
              <w:t>(236)</w:t>
            </w:r>
          </w:p>
        </w:tc>
        <w:tc>
          <w:tcPr>
            <w:tcW w:w="0" w:type="auto"/>
            <w:shd w:val="clear" w:color="auto" w:fill="FFFFFF"/>
            <w:tcMar>
              <w:top w:w="30" w:type="dxa"/>
              <w:left w:w="0" w:type="dxa"/>
              <w:bottom w:w="30" w:type="dxa"/>
              <w:right w:w="20" w:type="dxa"/>
            </w:tcMar>
            <w:vAlign w:val="center"/>
            <w:hideMark/>
          </w:tcPr>
          <w:p w14:paraId="61ECC06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9E426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C6737FA" w14:textId="77777777" w:rsidR="00000000" w:rsidRDefault="00405D16">
            <w:pPr>
              <w:spacing w:after="100"/>
              <w:jc w:val="right"/>
              <w:rPr>
                <w:rFonts w:eastAsia="Times New Roman"/>
              </w:rPr>
            </w:pPr>
            <w:r>
              <w:rPr>
                <w:rFonts w:eastAsia="Times New Roman"/>
                <w:b/>
                <w:bCs/>
                <w:color w:val="000000"/>
                <w:sz w:val="18"/>
                <w:szCs w:val="18"/>
              </w:rPr>
              <w:t>(1,084)</w:t>
            </w:r>
          </w:p>
        </w:tc>
        <w:tc>
          <w:tcPr>
            <w:tcW w:w="0" w:type="auto"/>
            <w:shd w:val="clear" w:color="auto" w:fill="FFFFFF"/>
            <w:tcMar>
              <w:top w:w="30" w:type="dxa"/>
              <w:left w:w="0" w:type="dxa"/>
              <w:bottom w:w="30" w:type="dxa"/>
              <w:right w:w="20" w:type="dxa"/>
            </w:tcMar>
            <w:vAlign w:val="center"/>
            <w:hideMark/>
          </w:tcPr>
          <w:p w14:paraId="3EDB264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58049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3B5521F" w14:textId="77777777" w:rsidR="00000000" w:rsidRDefault="00405D16">
            <w:pPr>
              <w:spacing w:after="100"/>
              <w:jc w:val="right"/>
              <w:rPr>
                <w:rFonts w:eastAsia="Times New Roman"/>
              </w:rPr>
            </w:pPr>
            <w:r>
              <w:rPr>
                <w:rFonts w:eastAsia="Times New Roman"/>
                <w:b/>
                <w:bCs/>
                <w:color w:val="000000"/>
                <w:sz w:val="18"/>
                <w:szCs w:val="18"/>
              </w:rPr>
              <w:t>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E1C68D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F0054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D0785EE" w14:textId="77777777" w:rsidR="00000000" w:rsidRDefault="00405D16">
            <w:pPr>
              <w:spacing w:after="100"/>
              <w:jc w:val="right"/>
              <w:rPr>
                <w:rFonts w:eastAsia="Times New Roman"/>
              </w:rPr>
            </w:pPr>
            <w:r>
              <w:rPr>
                <w:rFonts w:eastAsia="Times New Roman"/>
                <w:b/>
                <w:bCs/>
                <w:color w:val="000000"/>
                <w:sz w:val="18"/>
                <w:szCs w:val="18"/>
              </w:rPr>
              <w:t>(1,117)</w:t>
            </w:r>
          </w:p>
        </w:tc>
        <w:tc>
          <w:tcPr>
            <w:tcW w:w="0" w:type="auto"/>
            <w:shd w:val="clear" w:color="auto" w:fill="FFFFFF"/>
            <w:tcMar>
              <w:top w:w="30" w:type="dxa"/>
              <w:left w:w="0" w:type="dxa"/>
              <w:bottom w:w="30" w:type="dxa"/>
              <w:right w:w="20" w:type="dxa"/>
            </w:tcMar>
            <w:vAlign w:val="center"/>
            <w:hideMark/>
          </w:tcPr>
          <w:p w14:paraId="14A9CF15" w14:textId="77777777" w:rsidR="00000000" w:rsidRDefault="00405D16">
            <w:pPr>
              <w:spacing w:after="100"/>
              <w:jc w:val="right"/>
              <w:rPr>
                <w:rFonts w:eastAsia="Times New Roman"/>
              </w:rPr>
            </w:pPr>
          </w:p>
        </w:tc>
      </w:tr>
      <w:tr w:rsidR="00000000" w14:paraId="38342C32" w14:textId="77777777">
        <w:trPr>
          <w:divId w:val="40788745"/>
        </w:trPr>
        <w:tc>
          <w:tcPr>
            <w:tcW w:w="0" w:type="auto"/>
            <w:gridSpan w:val="3"/>
            <w:shd w:val="clear" w:color="auto" w:fill="CCEEFF"/>
            <w:tcMar>
              <w:top w:w="30" w:type="dxa"/>
              <w:left w:w="245" w:type="dxa"/>
              <w:bottom w:w="30" w:type="dxa"/>
              <w:right w:w="20" w:type="dxa"/>
            </w:tcMar>
            <w:vAlign w:val="center"/>
            <w:hideMark/>
          </w:tcPr>
          <w:p w14:paraId="56458A68" w14:textId="77777777" w:rsidR="00000000" w:rsidRDefault="00405D16">
            <w:pPr>
              <w:spacing w:after="100"/>
              <w:rPr>
                <w:rFonts w:eastAsia="Times New Roman"/>
              </w:rPr>
            </w:pPr>
            <w:r>
              <w:rPr>
                <w:rFonts w:eastAsia="Times New Roman"/>
                <w:color w:val="000000"/>
                <w:sz w:val="18"/>
                <w:szCs w:val="18"/>
              </w:rPr>
              <w:t>Securitized debt obligations</w:t>
            </w:r>
          </w:p>
        </w:tc>
        <w:tc>
          <w:tcPr>
            <w:tcW w:w="0" w:type="auto"/>
            <w:gridSpan w:val="3"/>
            <w:shd w:val="clear" w:color="auto" w:fill="CCEEFF"/>
            <w:tcMar>
              <w:top w:w="0" w:type="dxa"/>
              <w:left w:w="20" w:type="dxa"/>
              <w:bottom w:w="0" w:type="dxa"/>
              <w:right w:w="20" w:type="dxa"/>
            </w:tcMar>
            <w:vAlign w:val="center"/>
            <w:hideMark/>
          </w:tcPr>
          <w:p w14:paraId="44DB8D46"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5C799EF" w14:textId="77777777" w:rsidR="00000000" w:rsidRDefault="00405D16">
            <w:pPr>
              <w:spacing w:after="100"/>
              <w:jc w:val="right"/>
              <w:rPr>
                <w:rFonts w:eastAsia="Times New Roman"/>
              </w:rPr>
            </w:pPr>
            <w:r>
              <w:rPr>
                <w:rFonts w:eastAsia="Times New Roman"/>
                <w:b/>
                <w:bCs/>
                <w:color w:val="000000"/>
                <w:sz w:val="18"/>
                <w:szCs w:val="18"/>
              </w:rPr>
              <w:t>(14)</w:t>
            </w:r>
          </w:p>
        </w:tc>
        <w:tc>
          <w:tcPr>
            <w:tcW w:w="0" w:type="auto"/>
            <w:shd w:val="clear" w:color="auto" w:fill="CCEEFF"/>
            <w:tcMar>
              <w:top w:w="30" w:type="dxa"/>
              <w:left w:w="0" w:type="dxa"/>
              <w:bottom w:w="30" w:type="dxa"/>
              <w:right w:w="20" w:type="dxa"/>
            </w:tcMar>
            <w:vAlign w:val="center"/>
            <w:hideMark/>
          </w:tcPr>
          <w:p w14:paraId="4569480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FE1FF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A1C5F1B" w14:textId="77777777" w:rsidR="00000000" w:rsidRDefault="00405D16">
            <w:pPr>
              <w:spacing w:after="100"/>
              <w:jc w:val="right"/>
              <w:rPr>
                <w:rFonts w:eastAsia="Times New Roman"/>
              </w:rPr>
            </w:pPr>
            <w:r>
              <w:rPr>
                <w:rFonts w:eastAsia="Times New Roman"/>
                <w:b/>
                <w:bCs/>
                <w:color w:val="000000"/>
                <w:sz w:val="18"/>
                <w:szCs w:val="18"/>
              </w:rPr>
              <w:t>(7)</w:t>
            </w:r>
          </w:p>
        </w:tc>
        <w:tc>
          <w:tcPr>
            <w:tcW w:w="0" w:type="auto"/>
            <w:shd w:val="clear" w:color="auto" w:fill="CCEEFF"/>
            <w:tcMar>
              <w:top w:w="30" w:type="dxa"/>
              <w:left w:w="0" w:type="dxa"/>
              <w:bottom w:w="30" w:type="dxa"/>
              <w:right w:w="20" w:type="dxa"/>
            </w:tcMar>
            <w:vAlign w:val="center"/>
            <w:hideMark/>
          </w:tcPr>
          <w:p w14:paraId="4D7960B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7FC7A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51C6CCC" w14:textId="77777777" w:rsidR="00000000" w:rsidRDefault="00405D16">
            <w:pPr>
              <w:spacing w:after="100"/>
              <w:jc w:val="right"/>
              <w:rPr>
                <w:rFonts w:eastAsia="Times New Roman"/>
              </w:rPr>
            </w:pPr>
            <w:r>
              <w:rPr>
                <w:rFonts w:eastAsia="Times New Roman"/>
                <w:b/>
                <w:bCs/>
                <w:color w:val="000000"/>
                <w:sz w:val="18"/>
                <w:szCs w:val="18"/>
              </w:rPr>
              <w:t>(7)</w:t>
            </w:r>
          </w:p>
        </w:tc>
        <w:tc>
          <w:tcPr>
            <w:tcW w:w="0" w:type="auto"/>
            <w:shd w:val="clear" w:color="auto" w:fill="CCEEFF"/>
            <w:tcMar>
              <w:top w:w="30" w:type="dxa"/>
              <w:left w:w="0" w:type="dxa"/>
              <w:bottom w:w="30" w:type="dxa"/>
              <w:right w:w="20" w:type="dxa"/>
            </w:tcMar>
            <w:vAlign w:val="center"/>
            <w:hideMark/>
          </w:tcPr>
          <w:p w14:paraId="5E86C15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B45B4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C1DCA59" w14:textId="77777777" w:rsidR="00000000" w:rsidRDefault="00405D16">
            <w:pPr>
              <w:spacing w:after="100"/>
              <w:jc w:val="right"/>
              <w:rPr>
                <w:rFonts w:eastAsia="Times New Roman"/>
              </w:rPr>
            </w:pPr>
            <w:r>
              <w:rPr>
                <w:rFonts w:eastAsia="Times New Roman"/>
                <w:b/>
                <w:bCs/>
                <w:color w:val="000000"/>
                <w:sz w:val="18"/>
                <w:szCs w:val="18"/>
              </w:rPr>
              <w:t>(109)</w:t>
            </w:r>
          </w:p>
        </w:tc>
        <w:tc>
          <w:tcPr>
            <w:tcW w:w="0" w:type="auto"/>
            <w:shd w:val="clear" w:color="auto" w:fill="CCEEFF"/>
            <w:tcMar>
              <w:top w:w="30" w:type="dxa"/>
              <w:left w:w="0" w:type="dxa"/>
              <w:bottom w:w="30" w:type="dxa"/>
              <w:right w:w="20" w:type="dxa"/>
            </w:tcMar>
            <w:vAlign w:val="center"/>
            <w:hideMark/>
          </w:tcPr>
          <w:p w14:paraId="6DE8640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51C35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6BF00EC" w14:textId="77777777" w:rsidR="00000000" w:rsidRDefault="00405D16">
            <w:pPr>
              <w:spacing w:after="100"/>
              <w:jc w:val="right"/>
              <w:rPr>
                <w:rFonts w:eastAsia="Times New Roman"/>
              </w:rPr>
            </w:pPr>
            <w:r>
              <w:rPr>
                <w:rFonts w:eastAsia="Times New Roman"/>
                <w:b/>
                <w:bCs/>
                <w:color w:val="000000"/>
                <w:sz w:val="18"/>
                <w:szCs w:val="18"/>
              </w:rPr>
              <w:t>(45)</w:t>
            </w:r>
          </w:p>
        </w:tc>
        <w:tc>
          <w:tcPr>
            <w:tcW w:w="0" w:type="auto"/>
            <w:shd w:val="clear" w:color="auto" w:fill="CCEEFF"/>
            <w:tcMar>
              <w:top w:w="30" w:type="dxa"/>
              <w:left w:w="0" w:type="dxa"/>
              <w:bottom w:w="30" w:type="dxa"/>
              <w:right w:w="20" w:type="dxa"/>
            </w:tcMar>
            <w:vAlign w:val="center"/>
            <w:hideMark/>
          </w:tcPr>
          <w:p w14:paraId="4893394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09F11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F7339C7" w14:textId="77777777" w:rsidR="00000000" w:rsidRDefault="00405D16">
            <w:pPr>
              <w:spacing w:after="100"/>
              <w:jc w:val="right"/>
              <w:rPr>
                <w:rFonts w:eastAsia="Times New Roman"/>
              </w:rPr>
            </w:pPr>
            <w:r>
              <w:rPr>
                <w:rFonts w:eastAsia="Times New Roman"/>
                <w:b/>
                <w:bCs/>
                <w:color w:val="000000"/>
                <w:sz w:val="18"/>
                <w:szCs w:val="18"/>
              </w:rPr>
              <w:t>(64)</w:t>
            </w:r>
          </w:p>
        </w:tc>
        <w:tc>
          <w:tcPr>
            <w:tcW w:w="0" w:type="auto"/>
            <w:shd w:val="clear" w:color="auto" w:fill="CCEEFF"/>
            <w:tcMar>
              <w:top w:w="30" w:type="dxa"/>
              <w:left w:w="0" w:type="dxa"/>
              <w:bottom w:w="30" w:type="dxa"/>
              <w:right w:w="20" w:type="dxa"/>
            </w:tcMar>
            <w:vAlign w:val="center"/>
            <w:hideMark/>
          </w:tcPr>
          <w:p w14:paraId="427C5E23" w14:textId="77777777" w:rsidR="00000000" w:rsidRDefault="00405D16">
            <w:pPr>
              <w:spacing w:after="100"/>
              <w:jc w:val="right"/>
              <w:rPr>
                <w:rFonts w:eastAsia="Times New Roman"/>
              </w:rPr>
            </w:pPr>
          </w:p>
        </w:tc>
      </w:tr>
      <w:tr w:rsidR="00000000" w14:paraId="09FB0B6F" w14:textId="77777777">
        <w:trPr>
          <w:divId w:val="40788745"/>
        </w:trPr>
        <w:tc>
          <w:tcPr>
            <w:tcW w:w="0" w:type="auto"/>
            <w:gridSpan w:val="3"/>
            <w:shd w:val="clear" w:color="auto" w:fill="FFFFFF"/>
            <w:tcMar>
              <w:top w:w="30" w:type="dxa"/>
              <w:left w:w="245" w:type="dxa"/>
              <w:bottom w:w="30" w:type="dxa"/>
              <w:right w:w="20" w:type="dxa"/>
            </w:tcMar>
            <w:vAlign w:val="center"/>
            <w:hideMark/>
          </w:tcPr>
          <w:p w14:paraId="44905EF1" w14:textId="77777777" w:rsidR="00000000" w:rsidRDefault="00405D16">
            <w:pPr>
              <w:spacing w:after="100"/>
              <w:rPr>
                <w:rFonts w:eastAsia="Times New Roman"/>
              </w:rPr>
            </w:pPr>
            <w:r>
              <w:rPr>
                <w:rFonts w:eastAsia="Times New Roman"/>
                <w:color w:val="000000"/>
                <w:sz w:val="18"/>
                <w:szCs w:val="18"/>
              </w:rPr>
              <w:t>Senior and subordinated notes</w:t>
            </w:r>
          </w:p>
        </w:tc>
        <w:tc>
          <w:tcPr>
            <w:tcW w:w="0" w:type="auto"/>
            <w:gridSpan w:val="3"/>
            <w:shd w:val="clear" w:color="auto" w:fill="FFFFFF"/>
            <w:tcMar>
              <w:top w:w="0" w:type="dxa"/>
              <w:left w:w="20" w:type="dxa"/>
              <w:bottom w:w="0" w:type="dxa"/>
              <w:right w:w="20" w:type="dxa"/>
            </w:tcMar>
            <w:vAlign w:val="center"/>
            <w:hideMark/>
          </w:tcPr>
          <w:p w14:paraId="71972927"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F12A2B2" w14:textId="77777777" w:rsidR="00000000" w:rsidRDefault="00405D16">
            <w:pPr>
              <w:spacing w:after="100"/>
              <w:jc w:val="right"/>
              <w:rPr>
                <w:rFonts w:eastAsia="Times New Roman"/>
              </w:rPr>
            </w:pPr>
            <w:r>
              <w:rPr>
                <w:rFonts w:eastAsia="Times New Roman"/>
                <w:b/>
                <w:bCs/>
                <w:color w:val="000000"/>
                <w:sz w:val="18"/>
                <w:szCs w:val="18"/>
              </w:rPr>
              <w:t>(16)</w:t>
            </w:r>
          </w:p>
        </w:tc>
        <w:tc>
          <w:tcPr>
            <w:tcW w:w="0" w:type="auto"/>
            <w:shd w:val="clear" w:color="auto" w:fill="FFFFFF"/>
            <w:tcMar>
              <w:top w:w="30" w:type="dxa"/>
              <w:left w:w="0" w:type="dxa"/>
              <w:bottom w:w="30" w:type="dxa"/>
              <w:right w:w="20" w:type="dxa"/>
            </w:tcMar>
            <w:vAlign w:val="center"/>
            <w:hideMark/>
          </w:tcPr>
          <w:p w14:paraId="18F8654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52FE4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6F10829" w14:textId="77777777" w:rsidR="00000000" w:rsidRDefault="00405D16">
            <w:pPr>
              <w:spacing w:after="100"/>
              <w:jc w:val="right"/>
              <w:rPr>
                <w:rFonts w:eastAsia="Times New Roman"/>
              </w:rPr>
            </w:pPr>
            <w:r>
              <w:rPr>
                <w:rFonts w:eastAsia="Times New Roman"/>
                <w:b/>
                <w:bCs/>
                <w:color w:val="000000"/>
                <w:sz w:val="18"/>
                <w:szCs w:val="18"/>
              </w:rPr>
              <w:t>(20)</w:t>
            </w:r>
          </w:p>
        </w:tc>
        <w:tc>
          <w:tcPr>
            <w:tcW w:w="0" w:type="auto"/>
            <w:shd w:val="clear" w:color="auto" w:fill="FFFFFF"/>
            <w:tcMar>
              <w:top w:w="30" w:type="dxa"/>
              <w:left w:w="0" w:type="dxa"/>
              <w:bottom w:w="30" w:type="dxa"/>
              <w:right w:w="20" w:type="dxa"/>
            </w:tcMar>
            <w:vAlign w:val="center"/>
            <w:hideMark/>
          </w:tcPr>
          <w:p w14:paraId="47D2F31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C4D6A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46AC271" w14:textId="77777777" w:rsidR="00000000" w:rsidRDefault="00405D16">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EB24EB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83391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A3138E8" w14:textId="77777777" w:rsidR="00000000" w:rsidRDefault="00405D16">
            <w:pPr>
              <w:spacing w:after="100"/>
              <w:jc w:val="right"/>
              <w:rPr>
                <w:rFonts w:eastAsia="Times New Roman"/>
              </w:rPr>
            </w:pPr>
            <w:r>
              <w:rPr>
                <w:rFonts w:eastAsia="Times New Roman"/>
                <w:b/>
                <w:bCs/>
                <w:color w:val="000000"/>
                <w:sz w:val="18"/>
                <w:szCs w:val="18"/>
              </w:rPr>
              <w:t>(184)</w:t>
            </w:r>
          </w:p>
        </w:tc>
        <w:tc>
          <w:tcPr>
            <w:tcW w:w="0" w:type="auto"/>
            <w:shd w:val="clear" w:color="auto" w:fill="FFFFFF"/>
            <w:tcMar>
              <w:top w:w="30" w:type="dxa"/>
              <w:left w:w="0" w:type="dxa"/>
              <w:bottom w:w="30" w:type="dxa"/>
              <w:right w:w="20" w:type="dxa"/>
            </w:tcMar>
            <w:vAlign w:val="center"/>
            <w:hideMark/>
          </w:tcPr>
          <w:p w14:paraId="4D61268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0FC17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E7DC374" w14:textId="77777777" w:rsidR="00000000" w:rsidRDefault="00405D16">
            <w:pPr>
              <w:spacing w:after="100"/>
              <w:jc w:val="right"/>
              <w:rPr>
                <w:rFonts w:eastAsia="Times New Roman"/>
              </w:rPr>
            </w:pPr>
            <w:r>
              <w:rPr>
                <w:rFonts w:eastAsia="Times New Roman"/>
                <w:b/>
                <w:bCs/>
                <w:color w:val="000000"/>
                <w:sz w:val="18"/>
                <w:szCs w:val="18"/>
              </w:rPr>
              <w:t>(79)</w:t>
            </w:r>
          </w:p>
        </w:tc>
        <w:tc>
          <w:tcPr>
            <w:tcW w:w="0" w:type="auto"/>
            <w:shd w:val="clear" w:color="auto" w:fill="FFFFFF"/>
            <w:tcMar>
              <w:top w:w="30" w:type="dxa"/>
              <w:left w:w="0" w:type="dxa"/>
              <w:bottom w:w="30" w:type="dxa"/>
              <w:right w:w="20" w:type="dxa"/>
            </w:tcMar>
            <w:vAlign w:val="center"/>
            <w:hideMark/>
          </w:tcPr>
          <w:p w14:paraId="29C00F1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0F7F9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59E40A3" w14:textId="77777777" w:rsidR="00000000" w:rsidRDefault="00405D16">
            <w:pPr>
              <w:spacing w:after="100"/>
              <w:jc w:val="right"/>
              <w:rPr>
                <w:rFonts w:eastAsia="Times New Roman"/>
              </w:rPr>
            </w:pPr>
            <w:r>
              <w:rPr>
                <w:rFonts w:eastAsia="Times New Roman"/>
                <w:b/>
                <w:bCs/>
                <w:color w:val="000000"/>
                <w:sz w:val="18"/>
                <w:szCs w:val="18"/>
              </w:rPr>
              <w:t>(105)</w:t>
            </w:r>
          </w:p>
        </w:tc>
        <w:tc>
          <w:tcPr>
            <w:tcW w:w="0" w:type="auto"/>
            <w:shd w:val="clear" w:color="auto" w:fill="FFFFFF"/>
            <w:tcMar>
              <w:top w:w="30" w:type="dxa"/>
              <w:left w:w="0" w:type="dxa"/>
              <w:bottom w:w="30" w:type="dxa"/>
              <w:right w:w="20" w:type="dxa"/>
            </w:tcMar>
            <w:vAlign w:val="center"/>
            <w:hideMark/>
          </w:tcPr>
          <w:p w14:paraId="732267F5" w14:textId="77777777" w:rsidR="00000000" w:rsidRDefault="00405D16">
            <w:pPr>
              <w:spacing w:after="100"/>
              <w:jc w:val="right"/>
              <w:rPr>
                <w:rFonts w:eastAsia="Times New Roman"/>
              </w:rPr>
            </w:pPr>
          </w:p>
        </w:tc>
      </w:tr>
      <w:tr w:rsidR="00000000" w14:paraId="5EA5ADEE" w14:textId="77777777">
        <w:trPr>
          <w:divId w:val="40788745"/>
        </w:trPr>
        <w:tc>
          <w:tcPr>
            <w:tcW w:w="0" w:type="auto"/>
            <w:gridSpan w:val="3"/>
            <w:shd w:val="clear" w:color="auto" w:fill="CCEEFF"/>
            <w:tcMar>
              <w:top w:w="30" w:type="dxa"/>
              <w:left w:w="245" w:type="dxa"/>
              <w:bottom w:w="30" w:type="dxa"/>
              <w:right w:w="20" w:type="dxa"/>
            </w:tcMar>
            <w:vAlign w:val="center"/>
            <w:hideMark/>
          </w:tcPr>
          <w:p w14:paraId="7EF24450" w14:textId="77777777" w:rsidR="00000000" w:rsidRDefault="00405D16">
            <w:pPr>
              <w:spacing w:after="100"/>
              <w:rPr>
                <w:rFonts w:eastAsia="Times New Roman"/>
              </w:rPr>
            </w:pPr>
            <w:r>
              <w:rPr>
                <w:rFonts w:eastAsia="Times New Roman"/>
                <w:color w:val="000000"/>
                <w:sz w:val="18"/>
                <w:szCs w:val="18"/>
              </w:rPr>
              <w:t>Other borrowings and liabilities</w:t>
            </w:r>
          </w:p>
        </w:tc>
        <w:tc>
          <w:tcPr>
            <w:tcW w:w="0" w:type="auto"/>
            <w:gridSpan w:val="3"/>
            <w:shd w:val="clear" w:color="auto" w:fill="CCEEFF"/>
            <w:tcMar>
              <w:top w:w="0" w:type="dxa"/>
              <w:left w:w="20" w:type="dxa"/>
              <w:bottom w:w="0" w:type="dxa"/>
              <w:right w:w="20" w:type="dxa"/>
            </w:tcMar>
            <w:vAlign w:val="center"/>
            <w:hideMark/>
          </w:tcPr>
          <w:p w14:paraId="2F33AA99"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C247B08" w14:textId="77777777" w:rsidR="00000000" w:rsidRDefault="00405D16">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E90DEB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BDC3D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90DE385" w14:textId="77777777" w:rsidR="00000000" w:rsidRDefault="00405D16">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4DE40C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68F05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DD9C4E1" w14:textId="77777777" w:rsidR="00000000" w:rsidRDefault="00405D16">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center"/>
            <w:hideMark/>
          </w:tcPr>
          <w:p w14:paraId="46629BD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01787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3778CFA" w14:textId="77777777" w:rsidR="00000000" w:rsidRDefault="00405D16">
            <w:pPr>
              <w:spacing w:after="100"/>
              <w:jc w:val="right"/>
              <w:rPr>
                <w:rFonts w:eastAsia="Times New Roman"/>
              </w:rPr>
            </w:pPr>
            <w:r>
              <w:rPr>
                <w:rFonts w:eastAsia="Times New Roman"/>
                <w:b/>
                <w:bCs/>
                <w:color w:val="000000"/>
                <w:sz w:val="18"/>
                <w:szCs w:val="18"/>
              </w:rPr>
              <w:t>(8)</w:t>
            </w:r>
          </w:p>
        </w:tc>
        <w:tc>
          <w:tcPr>
            <w:tcW w:w="0" w:type="auto"/>
            <w:shd w:val="clear" w:color="auto" w:fill="CCEEFF"/>
            <w:tcMar>
              <w:top w:w="30" w:type="dxa"/>
              <w:left w:w="0" w:type="dxa"/>
              <w:bottom w:w="30" w:type="dxa"/>
              <w:right w:w="20" w:type="dxa"/>
            </w:tcMar>
            <w:vAlign w:val="center"/>
            <w:hideMark/>
          </w:tcPr>
          <w:p w14:paraId="7C68368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018FF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7FDFC48" w14:textId="77777777" w:rsidR="00000000" w:rsidRDefault="00405D16">
            <w:pPr>
              <w:spacing w:after="100"/>
              <w:jc w:val="right"/>
              <w:rPr>
                <w:rFonts w:eastAsia="Times New Roman"/>
              </w:rPr>
            </w:pPr>
            <w:r>
              <w:rPr>
                <w:rFonts w:eastAsia="Times New Roman"/>
                <w:b/>
                <w:bCs/>
                <w:color w:val="000000"/>
                <w:sz w:val="18"/>
                <w:szCs w:val="18"/>
              </w:rPr>
              <w:t>(10)</w:t>
            </w:r>
          </w:p>
        </w:tc>
        <w:tc>
          <w:tcPr>
            <w:tcW w:w="0" w:type="auto"/>
            <w:shd w:val="clear" w:color="auto" w:fill="CCEEFF"/>
            <w:tcMar>
              <w:top w:w="30" w:type="dxa"/>
              <w:left w:w="0" w:type="dxa"/>
              <w:bottom w:w="30" w:type="dxa"/>
              <w:right w:w="20" w:type="dxa"/>
            </w:tcMar>
            <w:vAlign w:val="center"/>
            <w:hideMark/>
          </w:tcPr>
          <w:p w14:paraId="15C43D6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74A42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9CA8985" w14:textId="77777777" w:rsidR="00000000" w:rsidRDefault="00405D16">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A0A77E0" w14:textId="77777777" w:rsidR="00000000" w:rsidRDefault="00405D16">
            <w:pPr>
              <w:spacing w:after="100"/>
              <w:jc w:val="right"/>
              <w:rPr>
                <w:rFonts w:eastAsia="Times New Roman"/>
              </w:rPr>
            </w:pPr>
          </w:p>
        </w:tc>
      </w:tr>
      <w:tr w:rsidR="00000000" w14:paraId="1B6E384C" w14:textId="77777777">
        <w:trPr>
          <w:divId w:val="40788745"/>
        </w:trPr>
        <w:tc>
          <w:tcPr>
            <w:tcW w:w="0" w:type="auto"/>
            <w:gridSpan w:val="3"/>
            <w:shd w:val="clear" w:color="auto" w:fill="FFFFFF"/>
            <w:tcMar>
              <w:top w:w="30" w:type="dxa"/>
              <w:left w:w="20" w:type="dxa"/>
              <w:bottom w:w="30" w:type="dxa"/>
              <w:right w:w="20" w:type="dxa"/>
            </w:tcMar>
            <w:vAlign w:val="center"/>
            <w:hideMark/>
          </w:tcPr>
          <w:p w14:paraId="150E7056" w14:textId="77777777" w:rsidR="00000000" w:rsidRDefault="00405D16">
            <w:pPr>
              <w:spacing w:after="100"/>
              <w:rPr>
                <w:rFonts w:eastAsia="Times New Roman"/>
              </w:rPr>
            </w:pPr>
            <w:r>
              <w:rPr>
                <w:rFonts w:eastAsia="Times New Roman"/>
                <w:color w:val="000000"/>
                <w:sz w:val="18"/>
                <w:szCs w:val="18"/>
              </w:rPr>
              <w:t>Total interest expense</w:t>
            </w:r>
          </w:p>
        </w:tc>
        <w:tc>
          <w:tcPr>
            <w:tcW w:w="0" w:type="auto"/>
            <w:gridSpan w:val="3"/>
            <w:shd w:val="clear" w:color="auto" w:fill="FFFFFF"/>
            <w:tcMar>
              <w:top w:w="0" w:type="dxa"/>
              <w:left w:w="20" w:type="dxa"/>
              <w:bottom w:w="0" w:type="dxa"/>
              <w:right w:w="20" w:type="dxa"/>
            </w:tcMar>
            <w:vAlign w:val="center"/>
            <w:hideMark/>
          </w:tcPr>
          <w:p w14:paraId="65F843CB"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04DB790" w14:textId="77777777" w:rsidR="00000000" w:rsidRDefault="00405D16">
            <w:pPr>
              <w:spacing w:after="100"/>
              <w:jc w:val="right"/>
              <w:rPr>
                <w:rFonts w:eastAsia="Times New Roman"/>
              </w:rPr>
            </w:pPr>
            <w:r>
              <w:rPr>
                <w:rFonts w:eastAsia="Times New Roman"/>
                <w:b/>
                <w:bCs/>
                <w:color w:val="000000"/>
                <w:sz w:val="18"/>
                <w:szCs w:val="18"/>
              </w:rPr>
              <w:t>(278)</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087C99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4E254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4F951EA" w14:textId="77777777" w:rsidR="00000000" w:rsidRDefault="00405D16">
            <w:pPr>
              <w:spacing w:after="100"/>
              <w:jc w:val="right"/>
              <w:rPr>
                <w:rFonts w:eastAsia="Times New Roman"/>
              </w:rPr>
            </w:pPr>
            <w:r>
              <w:rPr>
                <w:rFonts w:eastAsia="Times New Roman"/>
                <w:b/>
                <w:bCs/>
                <w:color w:val="000000"/>
                <w:sz w:val="18"/>
                <w:szCs w:val="18"/>
              </w:rPr>
              <w:t>(38)</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BC8432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C5953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2F9916E" w14:textId="77777777" w:rsidR="00000000" w:rsidRDefault="00405D16">
            <w:pPr>
              <w:spacing w:after="100"/>
              <w:jc w:val="right"/>
              <w:rPr>
                <w:rFonts w:eastAsia="Times New Roman"/>
              </w:rPr>
            </w:pPr>
            <w:r>
              <w:rPr>
                <w:rFonts w:eastAsia="Times New Roman"/>
                <w:b/>
                <w:bCs/>
                <w:color w:val="000000"/>
                <w:sz w:val="18"/>
                <w:szCs w:val="18"/>
              </w:rPr>
              <w:t>(240)</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B4D02E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742404"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69682B9" w14:textId="77777777" w:rsidR="00000000" w:rsidRDefault="00405D16">
            <w:pPr>
              <w:spacing w:after="100"/>
              <w:jc w:val="right"/>
              <w:rPr>
                <w:rFonts w:eastAsia="Times New Roman"/>
              </w:rPr>
            </w:pPr>
            <w:r>
              <w:rPr>
                <w:rFonts w:eastAsia="Times New Roman"/>
                <w:b/>
                <w:bCs/>
                <w:color w:val="000000"/>
                <w:sz w:val="18"/>
                <w:szCs w:val="18"/>
              </w:rPr>
              <w:t>(1,385)</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721C1C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14EA6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E725BB2" w14:textId="77777777" w:rsidR="00000000" w:rsidRDefault="00405D16">
            <w:pPr>
              <w:spacing w:after="100"/>
              <w:jc w:val="right"/>
              <w:rPr>
                <w:rFonts w:eastAsia="Times New Roman"/>
              </w:rPr>
            </w:pPr>
            <w:r>
              <w:rPr>
                <w:rFonts w:eastAsia="Times New Roman"/>
                <w:b/>
                <w:bCs/>
                <w:color w:val="000000"/>
                <w:sz w:val="18"/>
                <w:szCs w:val="18"/>
              </w:rPr>
              <w:t>(101)</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4349E7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B13804"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6BECF09" w14:textId="77777777" w:rsidR="00000000" w:rsidRDefault="00405D16">
            <w:pPr>
              <w:spacing w:after="100"/>
              <w:jc w:val="right"/>
              <w:rPr>
                <w:rFonts w:eastAsia="Times New Roman"/>
              </w:rPr>
            </w:pPr>
            <w:r>
              <w:rPr>
                <w:rFonts w:eastAsia="Times New Roman"/>
                <w:b/>
                <w:bCs/>
                <w:color w:val="000000"/>
                <w:sz w:val="18"/>
                <w:szCs w:val="18"/>
              </w:rPr>
              <w:t>(1,284)</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1198774" w14:textId="77777777" w:rsidR="00000000" w:rsidRDefault="00405D16">
            <w:pPr>
              <w:spacing w:after="100"/>
              <w:jc w:val="right"/>
              <w:rPr>
                <w:rFonts w:eastAsia="Times New Roman"/>
              </w:rPr>
            </w:pPr>
          </w:p>
        </w:tc>
      </w:tr>
      <w:tr w:rsidR="00000000" w14:paraId="27BE6E23" w14:textId="77777777">
        <w:trPr>
          <w:divId w:val="40788745"/>
        </w:trPr>
        <w:tc>
          <w:tcPr>
            <w:tcW w:w="0" w:type="auto"/>
            <w:gridSpan w:val="3"/>
            <w:shd w:val="clear" w:color="auto" w:fill="CCEEFF"/>
            <w:tcMar>
              <w:top w:w="30" w:type="dxa"/>
              <w:left w:w="20" w:type="dxa"/>
              <w:bottom w:w="30" w:type="dxa"/>
              <w:right w:w="20" w:type="dxa"/>
            </w:tcMar>
            <w:vAlign w:val="center"/>
            <w:hideMark/>
          </w:tcPr>
          <w:p w14:paraId="6E727633" w14:textId="77777777" w:rsidR="00000000" w:rsidRDefault="00405D16">
            <w:pPr>
              <w:spacing w:after="100"/>
              <w:rPr>
                <w:rFonts w:eastAsia="Times New Roman"/>
              </w:rPr>
            </w:pPr>
            <w:r>
              <w:rPr>
                <w:rFonts w:eastAsia="Times New Roman"/>
                <w:color w:val="000000"/>
                <w:sz w:val="18"/>
                <w:szCs w:val="18"/>
              </w:rPr>
              <w:t>Net interest income</w:t>
            </w:r>
          </w:p>
        </w:tc>
        <w:tc>
          <w:tcPr>
            <w:tcW w:w="0" w:type="auto"/>
            <w:gridSpan w:val="3"/>
            <w:shd w:val="clear" w:color="auto" w:fill="CCEEFF"/>
            <w:tcMar>
              <w:top w:w="0" w:type="dxa"/>
              <w:left w:w="20" w:type="dxa"/>
              <w:bottom w:w="0" w:type="dxa"/>
              <w:right w:w="20" w:type="dxa"/>
            </w:tcMar>
            <w:vAlign w:val="center"/>
            <w:hideMark/>
          </w:tcPr>
          <w:p w14:paraId="382D8461"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53C4ED6"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35A93A2A" w14:textId="77777777" w:rsidR="00000000" w:rsidRDefault="00405D16">
            <w:pPr>
              <w:spacing w:after="100"/>
              <w:jc w:val="right"/>
              <w:rPr>
                <w:rFonts w:eastAsia="Times New Roman"/>
              </w:rPr>
            </w:pPr>
            <w:r>
              <w:rPr>
                <w:rFonts w:eastAsia="Times New Roman"/>
                <w:b/>
                <w:bCs/>
                <w:color w:val="000000"/>
                <w:sz w:val="18"/>
                <w:szCs w:val="18"/>
              </w:rPr>
              <w:t>601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8292F9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1418B0"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103E76F"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DD282CF" w14:textId="77777777" w:rsidR="00000000" w:rsidRDefault="00405D16">
            <w:pPr>
              <w:spacing w:after="100"/>
              <w:jc w:val="right"/>
              <w:rPr>
                <w:rFonts w:eastAsia="Times New Roman"/>
              </w:rPr>
            </w:pPr>
            <w:r>
              <w:rPr>
                <w:rFonts w:eastAsia="Times New Roman"/>
                <w:b/>
                <w:bCs/>
                <w:color w:val="000000"/>
                <w:sz w:val="18"/>
                <w:szCs w:val="18"/>
              </w:rPr>
              <w:t>257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FF1383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063095"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C828A1D"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6F94709" w14:textId="77777777" w:rsidR="00000000" w:rsidRDefault="00405D16">
            <w:pPr>
              <w:spacing w:after="100"/>
              <w:jc w:val="right"/>
              <w:rPr>
                <w:rFonts w:eastAsia="Times New Roman"/>
              </w:rPr>
            </w:pPr>
            <w:r>
              <w:rPr>
                <w:rFonts w:eastAsia="Times New Roman"/>
                <w:b/>
                <w:bCs/>
                <w:color w:val="000000"/>
                <w:sz w:val="18"/>
                <w:szCs w:val="18"/>
              </w:rPr>
              <w:t>344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4270F9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8D0BB6"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3071D63"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2FF1165" w14:textId="77777777" w:rsidR="00000000" w:rsidRDefault="00405D16">
            <w:pPr>
              <w:spacing w:after="100"/>
              <w:jc w:val="right"/>
              <w:rPr>
                <w:rFonts w:eastAsia="Times New Roman"/>
              </w:rPr>
            </w:pPr>
            <w:r>
              <w:rPr>
                <w:rFonts w:eastAsia="Times New Roman"/>
                <w:b/>
                <w:bCs/>
                <w:color w:val="000000"/>
                <w:sz w:val="18"/>
                <w:szCs w:val="18"/>
              </w:rPr>
              <w:t>681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E4B0C8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2CAA22"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C877CF8"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4D20CCB" w14:textId="77777777" w:rsidR="00000000" w:rsidRDefault="00405D16">
            <w:pPr>
              <w:spacing w:after="100"/>
              <w:jc w:val="right"/>
              <w:rPr>
                <w:rFonts w:eastAsia="Times New Roman"/>
              </w:rPr>
            </w:pPr>
            <w:r>
              <w:rPr>
                <w:rFonts w:eastAsia="Times New Roman"/>
                <w:b/>
                <w:bCs/>
                <w:color w:val="000000"/>
                <w:sz w:val="18"/>
                <w:szCs w:val="18"/>
              </w:rPr>
              <w:t>(275)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941695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720A4A"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0B0185C3"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4754B40" w14:textId="77777777" w:rsidR="00000000" w:rsidRDefault="00405D16">
            <w:pPr>
              <w:spacing w:after="100"/>
              <w:jc w:val="right"/>
              <w:rPr>
                <w:rFonts w:eastAsia="Times New Roman"/>
              </w:rPr>
            </w:pPr>
            <w:r>
              <w:rPr>
                <w:rFonts w:eastAsia="Times New Roman"/>
                <w:b/>
                <w:bCs/>
                <w:color w:val="000000"/>
                <w:sz w:val="18"/>
                <w:szCs w:val="18"/>
              </w:rPr>
              <w:t>956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2D4C60B" w14:textId="77777777" w:rsidR="00000000" w:rsidRDefault="00405D16">
            <w:pPr>
              <w:spacing w:after="100"/>
              <w:jc w:val="right"/>
              <w:rPr>
                <w:rFonts w:eastAsia="Times New Roman"/>
              </w:rPr>
            </w:pPr>
          </w:p>
        </w:tc>
      </w:tr>
      <w:tr w:rsidR="00000000" w14:paraId="3705D7D2" w14:textId="77777777">
        <w:trPr>
          <w:divId w:val="40788745"/>
        </w:trPr>
        <w:tc>
          <w:tcPr>
            <w:tcW w:w="0" w:type="auto"/>
            <w:gridSpan w:val="3"/>
            <w:vAlign w:val="center"/>
            <w:hideMark/>
          </w:tcPr>
          <w:p w14:paraId="4F93FBE5" w14:textId="77777777" w:rsidR="00000000" w:rsidRDefault="00405D16">
            <w:pPr>
              <w:spacing w:after="100"/>
              <w:jc w:val="right"/>
              <w:rPr>
                <w:rFonts w:eastAsia="Times New Roman"/>
                <w:sz w:val="20"/>
                <w:szCs w:val="20"/>
              </w:rPr>
            </w:pPr>
          </w:p>
        </w:tc>
        <w:tc>
          <w:tcPr>
            <w:tcW w:w="0" w:type="auto"/>
            <w:gridSpan w:val="3"/>
            <w:vAlign w:val="center"/>
            <w:hideMark/>
          </w:tcPr>
          <w:p w14:paraId="7B336F75" w14:textId="77777777" w:rsidR="00000000" w:rsidRDefault="00405D16">
            <w:pPr>
              <w:spacing w:after="100"/>
              <w:rPr>
                <w:rFonts w:eastAsia="Times New Roman"/>
                <w:sz w:val="20"/>
                <w:szCs w:val="20"/>
              </w:rPr>
            </w:pPr>
          </w:p>
        </w:tc>
        <w:tc>
          <w:tcPr>
            <w:tcW w:w="0" w:type="auto"/>
            <w:gridSpan w:val="3"/>
            <w:vAlign w:val="center"/>
            <w:hideMark/>
          </w:tcPr>
          <w:p w14:paraId="7F47D196" w14:textId="77777777" w:rsidR="00000000" w:rsidRDefault="00405D16">
            <w:pPr>
              <w:spacing w:after="100"/>
              <w:rPr>
                <w:rFonts w:eastAsia="Times New Roman"/>
                <w:sz w:val="20"/>
                <w:szCs w:val="20"/>
              </w:rPr>
            </w:pPr>
          </w:p>
        </w:tc>
        <w:tc>
          <w:tcPr>
            <w:tcW w:w="0" w:type="auto"/>
            <w:gridSpan w:val="3"/>
            <w:vAlign w:val="center"/>
            <w:hideMark/>
          </w:tcPr>
          <w:p w14:paraId="014071E4" w14:textId="77777777" w:rsidR="00000000" w:rsidRDefault="00405D16">
            <w:pPr>
              <w:spacing w:after="100"/>
              <w:rPr>
                <w:rFonts w:eastAsia="Times New Roman"/>
                <w:sz w:val="20"/>
                <w:szCs w:val="20"/>
              </w:rPr>
            </w:pPr>
          </w:p>
        </w:tc>
        <w:tc>
          <w:tcPr>
            <w:tcW w:w="0" w:type="auto"/>
            <w:gridSpan w:val="3"/>
            <w:vAlign w:val="center"/>
            <w:hideMark/>
          </w:tcPr>
          <w:p w14:paraId="205DD7D3" w14:textId="77777777" w:rsidR="00000000" w:rsidRDefault="00405D16">
            <w:pPr>
              <w:spacing w:after="100"/>
              <w:rPr>
                <w:rFonts w:eastAsia="Times New Roman"/>
                <w:sz w:val="20"/>
                <w:szCs w:val="20"/>
              </w:rPr>
            </w:pPr>
          </w:p>
        </w:tc>
        <w:tc>
          <w:tcPr>
            <w:tcW w:w="0" w:type="auto"/>
            <w:gridSpan w:val="3"/>
            <w:vAlign w:val="center"/>
            <w:hideMark/>
          </w:tcPr>
          <w:p w14:paraId="4B2D82A2" w14:textId="77777777" w:rsidR="00000000" w:rsidRDefault="00405D16">
            <w:pPr>
              <w:spacing w:after="100"/>
              <w:rPr>
                <w:rFonts w:eastAsia="Times New Roman"/>
                <w:sz w:val="20"/>
                <w:szCs w:val="20"/>
              </w:rPr>
            </w:pPr>
          </w:p>
        </w:tc>
        <w:tc>
          <w:tcPr>
            <w:tcW w:w="0" w:type="auto"/>
            <w:gridSpan w:val="3"/>
            <w:vAlign w:val="center"/>
            <w:hideMark/>
          </w:tcPr>
          <w:p w14:paraId="2BF9630C" w14:textId="77777777" w:rsidR="00000000" w:rsidRDefault="00405D16">
            <w:pPr>
              <w:spacing w:after="100"/>
              <w:rPr>
                <w:rFonts w:eastAsia="Times New Roman"/>
                <w:sz w:val="20"/>
                <w:szCs w:val="20"/>
              </w:rPr>
            </w:pPr>
          </w:p>
        </w:tc>
        <w:tc>
          <w:tcPr>
            <w:tcW w:w="0" w:type="auto"/>
            <w:gridSpan w:val="3"/>
            <w:vAlign w:val="center"/>
            <w:hideMark/>
          </w:tcPr>
          <w:p w14:paraId="19598B98" w14:textId="77777777" w:rsidR="00000000" w:rsidRDefault="00405D16">
            <w:pPr>
              <w:spacing w:after="100"/>
              <w:rPr>
                <w:rFonts w:eastAsia="Times New Roman"/>
                <w:sz w:val="20"/>
                <w:szCs w:val="20"/>
              </w:rPr>
            </w:pPr>
          </w:p>
        </w:tc>
        <w:tc>
          <w:tcPr>
            <w:tcW w:w="0" w:type="auto"/>
            <w:gridSpan w:val="3"/>
            <w:vAlign w:val="center"/>
            <w:hideMark/>
          </w:tcPr>
          <w:p w14:paraId="1B4CFD98" w14:textId="77777777" w:rsidR="00000000" w:rsidRDefault="00405D16">
            <w:pPr>
              <w:spacing w:after="100"/>
              <w:rPr>
                <w:rFonts w:eastAsia="Times New Roman"/>
                <w:sz w:val="20"/>
                <w:szCs w:val="20"/>
              </w:rPr>
            </w:pPr>
          </w:p>
        </w:tc>
        <w:tc>
          <w:tcPr>
            <w:tcW w:w="0" w:type="auto"/>
            <w:gridSpan w:val="3"/>
            <w:vAlign w:val="center"/>
            <w:hideMark/>
          </w:tcPr>
          <w:p w14:paraId="73A96C9C" w14:textId="77777777" w:rsidR="00000000" w:rsidRDefault="00405D16">
            <w:pPr>
              <w:spacing w:after="100"/>
              <w:rPr>
                <w:rFonts w:eastAsia="Times New Roman"/>
                <w:sz w:val="20"/>
                <w:szCs w:val="20"/>
              </w:rPr>
            </w:pPr>
          </w:p>
        </w:tc>
        <w:tc>
          <w:tcPr>
            <w:tcW w:w="0" w:type="auto"/>
            <w:gridSpan w:val="3"/>
            <w:vAlign w:val="center"/>
            <w:hideMark/>
          </w:tcPr>
          <w:p w14:paraId="45B885F2" w14:textId="77777777" w:rsidR="00000000" w:rsidRDefault="00405D16">
            <w:pPr>
              <w:spacing w:after="100"/>
              <w:rPr>
                <w:rFonts w:eastAsia="Times New Roman"/>
                <w:sz w:val="20"/>
                <w:szCs w:val="20"/>
              </w:rPr>
            </w:pPr>
          </w:p>
        </w:tc>
        <w:tc>
          <w:tcPr>
            <w:tcW w:w="0" w:type="auto"/>
            <w:gridSpan w:val="3"/>
            <w:vAlign w:val="center"/>
            <w:hideMark/>
          </w:tcPr>
          <w:p w14:paraId="52F776B2" w14:textId="77777777" w:rsidR="00000000" w:rsidRDefault="00405D16">
            <w:pPr>
              <w:spacing w:after="100"/>
              <w:rPr>
                <w:rFonts w:eastAsia="Times New Roman"/>
                <w:sz w:val="20"/>
                <w:szCs w:val="20"/>
              </w:rPr>
            </w:pPr>
          </w:p>
        </w:tc>
        <w:tc>
          <w:tcPr>
            <w:tcW w:w="0" w:type="auto"/>
            <w:gridSpan w:val="3"/>
            <w:vAlign w:val="center"/>
            <w:hideMark/>
          </w:tcPr>
          <w:p w14:paraId="7A916613" w14:textId="77777777" w:rsidR="00000000" w:rsidRDefault="00405D16">
            <w:pPr>
              <w:spacing w:after="100"/>
              <w:rPr>
                <w:rFonts w:eastAsia="Times New Roman"/>
                <w:sz w:val="20"/>
                <w:szCs w:val="20"/>
              </w:rPr>
            </w:pPr>
          </w:p>
        </w:tc>
      </w:tr>
    </w:tbl>
    <w:p w14:paraId="763562EF" w14:textId="77777777" w:rsidR="00000000" w:rsidRDefault="00405D16">
      <w:pPr>
        <w:divId w:val="1765759667"/>
        <w:rPr>
          <w:rFonts w:eastAsia="Times New Roman"/>
        </w:rPr>
      </w:pPr>
      <w:r>
        <w:rPr>
          <w:rFonts w:eastAsia="Times New Roman"/>
          <w:color w:val="000000"/>
          <w:sz w:val="20"/>
          <w:szCs w:val="20"/>
        </w:rPr>
        <w:t>__________</w:t>
      </w:r>
    </w:p>
    <w:p w14:paraId="79216E3F" w14:textId="77777777" w:rsidR="00000000" w:rsidRDefault="00405D16">
      <w:pPr>
        <w:ind w:hanging="360"/>
        <w:jc w:val="both"/>
        <w:divId w:val="90972747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calculate the change in in</w:t>
      </w:r>
      <w:r>
        <w:rPr>
          <w:rFonts w:eastAsia="Times New Roman"/>
          <w:color w:val="000000"/>
          <w:sz w:val="16"/>
          <w:szCs w:val="16"/>
        </w:rPr>
        <w:t>terest income and interest expense separately for each item. The portion of interest income or interest expense attributable to both volume and rate is allocated proportionately when the calculation results in a positive value. When the portion of interest</w:t>
      </w:r>
      <w:r>
        <w:rPr>
          <w:rFonts w:eastAsia="Times New Roman"/>
          <w:color w:val="000000"/>
          <w:sz w:val="16"/>
          <w:szCs w:val="16"/>
        </w:rPr>
        <w:t xml:space="preserve"> income or interest expense attributable to both volume and rate results in a negative value, the total amount is allocated to volume or rate, depending on which amount is positive.</w:t>
      </w:r>
    </w:p>
    <w:p w14:paraId="128F57CF" w14:textId="77777777" w:rsidR="00000000" w:rsidRDefault="00405D16">
      <w:pPr>
        <w:ind w:hanging="360"/>
        <w:jc w:val="both"/>
        <w:divId w:val="1045829631"/>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Some of our commercial loans generate tax-exempt income. Accordingly, w</w:t>
      </w:r>
      <w:r>
        <w:rPr>
          <w:rFonts w:eastAsia="Times New Roman"/>
          <w:color w:val="000000"/>
          <w:sz w:val="16"/>
          <w:szCs w:val="16"/>
        </w:rPr>
        <w:t>e present our Commercial Banking interest income and yields on a taxable-equivalent basis, calculated using the federal statutory rate of 21% and state taxes where applicable, with offsetting reductions to the Other category.</w:t>
      </w:r>
    </w:p>
    <w:p w14:paraId="2028497D" w14:textId="77777777" w:rsidR="00000000" w:rsidRDefault="00405D16">
      <w:pPr>
        <w:ind w:hanging="360"/>
        <w:jc w:val="both"/>
        <w:divId w:val="755440274"/>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 xml:space="preserve">Interest income/expense in </w:t>
      </w:r>
      <w:r>
        <w:rPr>
          <w:rFonts w:eastAsia="Times New Roman"/>
          <w:color w:val="000000"/>
          <w:sz w:val="16"/>
          <w:szCs w:val="16"/>
        </w:rPr>
        <w:t>the Other category represents the impact of hedge accounting on our loan portfolios and the offsetting reduction of the taxable-equivalent adjustments of our commercial loans as described above.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5B0B8AF5" w14:textId="77777777">
        <w:trPr>
          <w:divId w:val="703020084"/>
          <w:jc w:val="center"/>
        </w:trPr>
        <w:tc>
          <w:tcPr>
            <w:tcW w:w="50" w:type="pct"/>
            <w:vAlign w:val="center"/>
            <w:hideMark/>
          </w:tcPr>
          <w:p w14:paraId="4497F71C" w14:textId="77777777" w:rsidR="00000000" w:rsidRDefault="00405D16">
            <w:pPr>
              <w:ind w:hanging="360"/>
              <w:jc w:val="both"/>
              <w:rPr>
                <w:rFonts w:eastAsia="Times New Roman"/>
              </w:rPr>
            </w:pPr>
          </w:p>
        </w:tc>
        <w:tc>
          <w:tcPr>
            <w:tcW w:w="1606" w:type="pct"/>
            <w:vAlign w:val="center"/>
            <w:hideMark/>
          </w:tcPr>
          <w:p w14:paraId="14EFB794" w14:textId="77777777" w:rsidR="00000000" w:rsidRDefault="00405D16">
            <w:pPr>
              <w:spacing w:after="100"/>
              <w:rPr>
                <w:rFonts w:eastAsia="Times New Roman"/>
                <w:sz w:val="20"/>
                <w:szCs w:val="20"/>
              </w:rPr>
            </w:pPr>
          </w:p>
        </w:tc>
        <w:tc>
          <w:tcPr>
            <w:tcW w:w="5" w:type="pct"/>
            <w:vAlign w:val="center"/>
            <w:hideMark/>
          </w:tcPr>
          <w:p w14:paraId="4B626A67" w14:textId="77777777" w:rsidR="00000000" w:rsidRDefault="00405D16">
            <w:pPr>
              <w:spacing w:after="100"/>
              <w:rPr>
                <w:rFonts w:eastAsia="Times New Roman"/>
                <w:sz w:val="20"/>
                <w:szCs w:val="20"/>
              </w:rPr>
            </w:pPr>
          </w:p>
        </w:tc>
        <w:tc>
          <w:tcPr>
            <w:tcW w:w="50" w:type="pct"/>
            <w:vAlign w:val="center"/>
            <w:hideMark/>
          </w:tcPr>
          <w:p w14:paraId="1998CFC1" w14:textId="77777777" w:rsidR="00000000" w:rsidRDefault="00405D16">
            <w:pPr>
              <w:spacing w:after="100"/>
              <w:rPr>
                <w:rFonts w:eastAsia="Times New Roman"/>
                <w:sz w:val="20"/>
                <w:szCs w:val="20"/>
              </w:rPr>
            </w:pPr>
          </w:p>
        </w:tc>
        <w:tc>
          <w:tcPr>
            <w:tcW w:w="1614" w:type="pct"/>
            <w:vAlign w:val="center"/>
            <w:hideMark/>
          </w:tcPr>
          <w:p w14:paraId="1666ECE4" w14:textId="77777777" w:rsidR="00000000" w:rsidRDefault="00405D16">
            <w:pPr>
              <w:spacing w:after="100"/>
              <w:rPr>
                <w:rFonts w:eastAsia="Times New Roman"/>
                <w:sz w:val="20"/>
                <w:szCs w:val="20"/>
              </w:rPr>
            </w:pPr>
          </w:p>
        </w:tc>
        <w:tc>
          <w:tcPr>
            <w:tcW w:w="5" w:type="pct"/>
            <w:vAlign w:val="center"/>
            <w:hideMark/>
          </w:tcPr>
          <w:p w14:paraId="059AAF23" w14:textId="77777777" w:rsidR="00000000" w:rsidRDefault="00405D16">
            <w:pPr>
              <w:spacing w:after="100"/>
              <w:rPr>
                <w:rFonts w:eastAsia="Times New Roman"/>
                <w:sz w:val="20"/>
                <w:szCs w:val="20"/>
              </w:rPr>
            </w:pPr>
          </w:p>
        </w:tc>
        <w:tc>
          <w:tcPr>
            <w:tcW w:w="50" w:type="pct"/>
            <w:vAlign w:val="center"/>
            <w:hideMark/>
          </w:tcPr>
          <w:p w14:paraId="1A3D900F" w14:textId="77777777" w:rsidR="00000000" w:rsidRDefault="00405D16">
            <w:pPr>
              <w:spacing w:after="100"/>
              <w:rPr>
                <w:rFonts w:eastAsia="Times New Roman"/>
                <w:sz w:val="20"/>
                <w:szCs w:val="20"/>
              </w:rPr>
            </w:pPr>
          </w:p>
        </w:tc>
        <w:tc>
          <w:tcPr>
            <w:tcW w:w="1614" w:type="pct"/>
            <w:vAlign w:val="center"/>
            <w:hideMark/>
          </w:tcPr>
          <w:p w14:paraId="46CC47B8" w14:textId="77777777" w:rsidR="00000000" w:rsidRDefault="00405D16">
            <w:pPr>
              <w:spacing w:after="100"/>
              <w:rPr>
                <w:rFonts w:eastAsia="Times New Roman"/>
                <w:sz w:val="20"/>
                <w:szCs w:val="20"/>
              </w:rPr>
            </w:pPr>
          </w:p>
        </w:tc>
        <w:tc>
          <w:tcPr>
            <w:tcW w:w="5" w:type="pct"/>
            <w:vAlign w:val="center"/>
            <w:hideMark/>
          </w:tcPr>
          <w:p w14:paraId="25E8477F" w14:textId="77777777" w:rsidR="00000000" w:rsidRDefault="00405D16">
            <w:pPr>
              <w:spacing w:after="100"/>
              <w:rPr>
                <w:rFonts w:eastAsia="Times New Roman"/>
                <w:sz w:val="20"/>
                <w:szCs w:val="20"/>
              </w:rPr>
            </w:pPr>
          </w:p>
        </w:tc>
      </w:tr>
      <w:tr w:rsidR="00000000" w14:paraId="505A24CD" w14:textId="77777777">
        <w:trPr>
          <w:divId w:val="703020084"/>
          <w:trHeight w:val="300"/>
          <w:jc w:val="center"/>
        </w:trPr>
        <w:tc>
          <w:tcPr>
            <w:tcW w:w="0" w:type="auto"/>
            <w:gridSpan w:val="9"/>
            <w:tcMar>
              <w:top w:w="0" w:type="dxa"/>
              <w:left w:w="20" w:type="dxa"/>
              <w:bottom w:w="0" w:type="dxa"/>
              <w:right w:w="20" w:type="dxa"/>
            </w:tcMar>
            <w:vAlign w:val="center"/>
            <w:hideMark/>
          </w:tcPr>
          <w:p w14:paraId="64DEBF34" w14:textId="77777777" w:rsidR="00000000" w:rsidRDefault="00405D16">
            <w:pPr>
              <w:spacing w:after="100"/>
              <w:rPr>
                <w:rFonts w:eastAsia="Times New Roman"/>
                <w:sz w:val="20"/>
                <w:szCs w:val="20"/>
              </w:rPr>
            </w:pPr>
          </w:p>
        </w:tc>
      </w:tr>
      <w:tr w:rsidR="00000000" w14:paraId="5B974689" w14:textId="77777777">
        <w:trPr>
          <w:divId w:val="703020084"/>
          <w:jc w:val="center"/>
        </w:trPr>
        <w:tc>
          <w:tcPr>
            <w:tcW w:w="0" w:type="auto"/>
            <w:gridSpan w:val="3"/>
            <w:tcMar>
              <w:top w:w="0" w:type="dxa"/>
              <w:left w:w="20" w:type="dxa"/>
              <w:bottom w:w="0" w:type="dxa"/>
              <w:right w:w="20" w:type="dxa"/>
            </w:tcMar>
            <w:vAlign w:val="center"/>
            <w:hideMark/>
          </w:tcPr>
          <w:p w14:paraId="2D42B06E"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2772B46" w14:textId="77777777" w:rsidR="00000000" w:rsidRDefault="00405D16">
            <w:pPr>
              <w:spacing w:after="100"/>
              <w:jc w:val="center"/>
              <w:rPr>
                <w:rFonts w:eastAsia="Times New Roman"/>
              </w:rPr>
            </w:pPr>
            <w:r>
              <w:rPr>
                <w:rFonts w:eastAsia="Times New Roman"/>
                <w:color w:val="000000"/>
                <w:sz w:val="16"/>
                <w:szCs w:val="16"/>
              </w:rPr>
              <w:t>14</w:t>
            </w:r>
          </w:p>
        </w:tc>
        <w:tc>
          <w:tcPr>
            <w:tcW w:w="0" w:type="auto"/>
            <w:gridSpan w:val="3"/>
            <w:tcMar>
              <w:top w:w="30" w:type="dxa"/>
              <w:left w:w="20" w:type="dxa"/>
              <w:bottom w:w="30" w:type="dxa"/>
              <w:right w:w="20" w:type="dxa"/>
            </w:tcMar>
            <w:vAlign w:val="bottom"/>
            <w:hideMark/>
          </w:tcPr>
          <w:p w14:paraId="60C408ED"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5579D8D3" w14:textId="77777777" w:rsidR="00000000" w:rsidRDefault="00405D16">
      <w:pPr>
        <w:rPr>
          <w:rFonts w:eastAsia="Times New Roman"/>
        </w:rPr>
      </w:pPr>
      <w:r>
        <w:rPr>
          <w:rFonts w:eastAsia="Times New Roman"/>
        </w:rPr>
        <w:pict w14:anchorId="5F2E483E">
          <v:rect id="_x0000_i1039" style="width:0;height:1.5pt" o:hralign="center" o:hrstd="t" o:hr="t" fillcolor="#a0a0a0" stroked="f"/>
        </w:pict>
      </w:r>
    </w:p>
    <w:p w14:paraId="3E7FF570" w14:textId="77777777" w:rsidR="00000000" w:rsidRDefault="00405D16">
      <w:pPr>
        <w:ind w:hanging="360"/>
        <w:jc w:val="both"/>
        <w:divId w:val="370763982"/>
        <w:rPr>
          <w:rFonts w:eastAsia="Times New Roman"/>
        </w:rPr>
      </w:pPr>
      <w:hyperlink w:anchor="idd54a04a485440b4ab4e56094c14d612_13" w:history="1">
        <w:r>
          <w:rPr>
            <w:rStyle w:val="a3"/>
            <w:rFonts w:eastAsia="Times New Roman"/>
            <w:sz w:val="16"/>
            <w:szCs w:val="16"/>
          </w:rPr>
          <w:t>Table of Contents</w:t>
        </w:r>
      </w:hyperlink>
    </w:p>
    <w:p w14:paraId="4DF79AE9" w14:textId="77777777" w:rsidR="00000000" w:rsidRDefault="00405D16">
      <w:pPr>
        <w:divId w:val="1820078216"/>
        <w:rPr>
          <w:rFonts w:eastAsia="Times New Roman"/>
        </w:rPr>
      </w:pPr>
      <w:r>
        <w:rPr>
          <w:rFonts w:eastAsia="Times New Roman"/>
          <w:b/>
          <w:bCs/>
          <w:color w:val="000000"/>
          <w:sz w:val="20"/>
          <w:szCs w:val="20"/>
        </w:rPr>
        <w:t>Non-Interest Income</w:t>
      </w:r>
    </w:p>
    <w:p w14:paraId="2EFEB297" w14:textId="77777777" w:rsidR="00000000" w:rsidRDefault="00405D16">
      <w:pPr>
        <w:jc w:val="both"/>
        <w:divId w:val="1742680968"/>
        <w:rPr>
          <w:rFonts w:eastAsia="Times New Roman"/>
        </w:rPr>
      </w:pPr>
      <w:r>
        <w:rPr>
          <w:rFonts w:eastAsia="Times New Roman"/>
          <w:color w:val="000000"/>
          <w:sz w:val="20"/>
          <w:szCs w:val="20"/>
        </w:rPr>
        <w:t>Table 4 displays the components of non-interest income for the third quarter and first nine months of 2021 and 2020.</w:t>
      </w:r>
    </w:p>
    <w:p w14:paraId="7C160B71" w14:textId="77777777" w:rsidR="00000000" w:rsidRDefault="00405D16">
      <w:pPr>
        <w:divId w:val="1845627527"/>
        <w:rPr>
          <w:rFonts w:eastAsia="Times New Roman"/>
        </w:rPr>
      </w:pPr>
      <w:r>
        <w:rPr>
          <w:rFonts w:eastAsia="Times New Roman"/>
          <w:b/>
          <w:bCs/>
          <w:color w:val="000000"/>
          <w:sz w:val="18"/>
          <w:szCs w:val="18"/>
        </w:rPr>
        <w:t>Table 4: Non-Interest Income</w:t>
      </w:r>
    </w:p>
    <w:tbl>
      <w:tblPr>
        <w:tblW w:w="4992" w:type="pct"/>
        <w:tblCellMar>
          <w:top w:w="15" w:type="dxa"/>
          <w:left w:w="15" w:type="dxa"/>
          <w:bottom w:w="15" w:type="dxa"/>
          <w:right w:w="15" w:type="dxa"/>
        </w:tblCellMar>
        <w:tblLook w:val="04A0" w:firstRow="1" w:lastRow="0" w:firstColumn="1" w:lastColumn="0" w:noHBand="0" w:noVBand="1"/>
      </w:tblPr>
      <w:tblGrid>
        <w:gridCol w:w="41"/>
        <w:gridCol w:w="3783"/>
        <w:gridCol w:w="39"/>
        <w:gridCol w:w="36"/>
        <w:gridCol w:w="36"/>
        <w:gridCol w:w="36"/>
        <w:gridCol w:w="110"/>
        <w:gridCol w:w="823"/>
        <w:gridCol w:w="36"/>
        <w:gridCol w:w="36"/>
        <w:gridCol w:w="36"/>
        <w:gridCol w:w="36"/>
        <w:gridCol w:w="110"/>
        <w:gridCol w:w="823"/>
        <w:gridCol w:w="36"/>
        <w:gridCol w:w="36"/>
        <w:gridCol w:w="36"/>
        <w:gridCol w:w="36"/>
        <w:gridCol w:w="110"/>
        <w:gridCol w:w="812"/>
        <w:gridCol w:w="36"/>
        <w:gridCol w:w="36"/>
        <w:gridCol w:w="36"/>
        <w:gridCol w:w="36"/>
        <w:gridCol w:w="110"/>
        <w:gridCol w:w="812"/>
        <w:gridCol w:w="36"/>
        <w:gridCol w:w="36"/>
        <w:gridCol w:w="36"/>
        <w:gridCol w:w="36"/>
        <w:gridCol w:w="36"/>
      </w:tblGrid>
      <w:tr w:rsidR="00000000" w14:paraId="491C183D" w14:textId="77777777">
        <w:trPr>
          <w:divId w:val="1038235587"/>
        </w:trPr>
        <w:tc>
          <w:tcPr>
            <w:tcW w:w="50" w:type="pct"/>
            <w:vAlign w:val="center"/>
            <w:hideMark/>
          </w:tcPr>
          <w:p w14:paraId="74C1DDEA" w14:textId="77777777" w:rsidR="00000000" w:rsidRDefault="00405D16">
            <w:pPr>
              <w:rPr>
                <w:rFonts w:eastAsia="Times New Roman"/>
              </w:rPr>
            </w:pPr>
          </w:p>
        </w:tc>
        <w:tc>
          <w:tcPr>
            <w:tcW w:w="2353" w:type="pct"/>
            <w:vAlign w:val="center"/>
            <w:hideMark/>
          </w:tcPr>
          <w:p w14:paraId="4C6B618D" w14:textId="77777777" w:rsidR="00000000" w:rsidRDefault="00405D16">
            <w:pPr>
              <w:spacing w:after="100"/>
              <w:rPr>
                <w:rFonts w:eastAsia="Times New Roman"/>
                <w:sz w:val="20"/>
                <w:szCs w:val="20"/>
              </w:rPr>
            </w:pPr>
          </w:p>
        </w:tc>
        <w:tc>
          <w:tcPr>
            <w:tcW w:w="5" w:type="pct"/>
            <w:vAlign w:val="center"/>
            <w:hideMark/>
          </w:tcPr>
          <w:p w14:paraId="4E8A4EB1" w14:textId="77777777" w:rsidR="00000000" w:rsidRDefault="00405D16">
            <w:pPr>
              <w:spacing w:after="100"/>
              <w:rPr>
                <w:rFonts w:eastAsia="Times New Roman"/>
                <w:sz w:val="20"/>
                <w:szCs w:val="20"/>
              </w:rPr>
            </w:pPr>
          </w:p>
        </w:tc>
        <w:tc>
          <w:tcPr>
            <w:tcW w:w="5" w:type="pct"/>
            <w:vAlign w:val="center"/>
            <w:hideMark/>
          </w:tcPr>
          <w:p w14:paraId="2AF9A86E" w14:textId="77777777" w:rsidR="00000000" w:rsidRDefault="00405D16">
            <w:pPr>
              <w:spacing w:after="100"/>
              <w:rPr>
                <w:rFonts w:eastAsia="Times New Roman"/>
                <w:sz w:val="20"/>
                <w:szCs w:val="20"/>
              </w:rPr>
            </w:pPr>
          </w:p>
        </w:tc>
        <w:tc>
          <w:tcPr>
            <w:tcW w:w="26" w:type="pct"/>
            <w:vAlign w:val="center"/>
            <w:hideMark/>
          </w:tcPr>
          <w:p w14:paraId="46BF4C6B" w14:textId="77777777" w:rsidR="00000000" w:rsidRDefault="00405D16">
            <w:pPr>
              <w:spacing w:after="100"/>
              <w:rPr>
                <w:rFonts w:eastAsia="Times New Roman"/>
                <w:sz w:val="20"/>
                <w:szCs w:val="20"/>
              </w:rPr>
            </w:pPr>
          </w:p>
        </w:tc>
        <w:tc>
          <w:tcPr>
            <w:tcW w:w="5" w:type="pct"/>
            <w:vAlign w:val="center"/>
            <w:hideMark/>
          </w:tcPr>
          <w:p w14:paraId="33E37126" w14:textId="77777777" w:rsidR="00000000" w:rsidRDefault="00405D16">
            <w:pPr>
              <w:spacing w:after="100"/>
              <w:rPr>
                <w:rFonts w:eastAsia="Times New Roman"/>
                <w:sz w:val="20"/>
                <w:szCs w:val="20"/>
              </w:rPr>
            </w:pPr>
          </w:p>
        </w:tc>
        <w:tc>
          <w:tcPr>
            <w:tcW w:w="50" w:type="pct"/>
            <w:vAlign w:val="center"/>
            <w:hideMark/>
          </w:tcPr>
          <w:p w14:paraId="37789533" w14:textId="77777777" w:rsidR="00000000" w:rsidRDefault="00405D16">
            <w:pPr>
              <w:spacing w:after="100"/>
              <w:rPr>
                <w:rFonts w:eastAsia="Times New Roman"/>
                <w:sz w:val="20"/>
                <w:szCs w:val="20"/>
              </w:rPr>
            </w:pPr>
          </w:p>
        </w:tc>
        <w:tc>
          <w:tcPr>
            <w:tcW w:w="559" w:type="pct"/>
            <w:vAlign w:val="center"/>
            <w:hideMark/>
          </w:tcPr>
          <w:p w14:paraId="28008990" w14:textId="77777777" w:rsidR="00000000" w:rsidRDefault="00405D16">
            <w:pPr>
              <w:spacing w:after="100"/>
              <w:rPr>
                <w:rFonts w:eastAsia="Times New Roman"/>
                <w:sz w:val="20"/>
                <w:szCs w:val="20"/>
              </w:rPr>
            </w:pPr>
          </w:p>
        </w:tc>
        <w:tc>
          <w:tcPr>
            <w:tcW w:w="5" w:type="pct"/>
            <w:vAlign w:val="center"/>
            <w:hideMark/>
          </w:tcPr>
          <w:p w14:paraId="37AA3074" w14:textId="77777777" w:rsidR="00000000" w:rsidRDefault="00405D16">
            <w:pPr>
              <w:spacing w:after="100"/>
              <w:rPr>
                <w:rFonts w:eastAsia="Times New Roman"/>
                <w:sz w:val="20"/>
                <w:szCs w:val="20"/>
              </w:rPr>
            </w:pPr>
          </w:p>
        </w:tc>
        <w:tc>
          <w:tcPr>
            <w:tcW w:w="5" w:type="pct"/>
            <w:vAlign w:val="center"/>
            <w:hideMark/>
          </w:tcPr>
          <w:p w14:paraId="1711B580" w14:textId="77777777" w:rsidR="00000000" w:rsidRDefault="00405D16">
            <w:pPr>
              <w:spacing w:after="100"/>
              <w:rPr>
                <w:rFonts w:eastAsia="Times New Roman"/>
                <w:sz w:val="20"/>
                <w:szCs w:val="20"/>
              </w:rPr>
            </w:pPr>
          </w:p>
        </w:tc>
        <w:tc>
          <w:tcPr>
            <w:tcW w:w="26" w:type="pct"/>
            <w:vAlign w:val="center"/>
            <w:hideMark/>
          </w:tcPr>
          <w:p w14:paraId="1D6C9D6F" w14:textId="77777777" w:rsidR="00000000" w:rsidRDefault="00405D16">
            <w:pPr>
              <w:spacing w:after="100"/>
              <w:rPr>
                <w:rFonts w:eastAsia="Times New Roman"/>
                <w:sz w:val="20"/>
                <w:szCs w:val="20"/>
              </w:rPr>
            </w:pPr>
          </w:p>
        </w:tc>
        <w:tc>
          <w:tcPr>
            <w:tcW w:w="5" w:type="pct"/>
            <w:vAlign w:val="center"/>
            <w:hideMark/>
          </w:tcPr>
          <w:p w14:paraId="6AE06C0F" w14:textId="77777777" w:rsidR="00000000" w:rsidRDefault="00405D16">
            <w:pPr>
              <w:spacing w:after="100"/>
              <w:rPr>
                <w:rFonts w:eastAsia="Times New Roman"/>
                <w:sz w:val="20"/>
                <w:szCs w:val="20"/>
              </w:rPr>
            </w:pPr>
          </w:p>
        </w:tc>
        <w:tc>
          <w:tcPr>
            <w:tcW w:w="50" w:type="pct"/>
            <w:vAlign w:val="center"/>
            <w:hideMark/>
          </w:tcPr>
          <w:p w14:paraId="3E9E7941" w14:textId="77777777" w:rsidR="00000000" w:rsidRDefault="00405D16">
            <w:pPr>
              <w:spacing w:after="100"/>
              <w:rPr>
                <w:rFonts w:eastAsia="Times New Roman"/>
                <w:sz w:val="20"/>
                <w:szCs w:val="20"/>
              </w:rPr>
            </w:pPr>
          </w:p>
        </w:tc>
        <w:tc>
          <w:tcPr>
            <w:tcW w:w="559" w:type="pct"/>
            <w:vAlign w:val="center"/>
            <w:hideMark/>
          </w:tcPr>
          <w:p w14:paraId="609E8B8D" w14:textId="77777777" w:rsidR="00000000" w:rsidRDefault="00405D16">
            <w:pPr>
              <w:spacing w:after="100"/>
              <w:rPr>
                <w:rFonts w:eastAsia="Times New Roman"/>
                <w:sz w:val="20"/>
                <w:szCs w:val="20"/>
              </w:rPr>
            </w:pPr>
          </w:p>
        </w:tc>
        <w:tc>
          <w:tcPr>
            <w:tcW w:w="5" w:type="pct"/>
            <w:vAlign w:val="center"/>
            <w:hideMark/>
          </w:tcPr>
          <w:p w14:paraId="3D5C915D" w14:textId="77777777" w:rsidR="00000000" w:rsidRDefault="00405D16">
            <w:pPr>
              <w:spacing w:after="100"/>
              <w:rPr>
                <w:rFonts w:eastAsia="Times New Roman"/>
                <w:sz w:val="20"/>
                <w:szCs w:val="20"/>
              </w:rPr>
            </w:pPr>
          </w:p>
        </w:tc>
        <w:tc>
          <w:tcPr>
            <w:tcW w:w="5" w:type="pct"/>
            <w:vAlign w:val="center"/>
            <w:hideMark/>
          </w:tcPr>
          <w:p w14:paraId="23418144" w14:textId="77777777" w:rsidR="00000000" w:rsidRDefault="00405D16">
            <w:pPr>
              <w:spacing w:after="100"/>
              <w:rPr>
                <w:rFonts w:eastAsia="Times New Roman"/>
                <w:sz w:val="20"/>
                <w:szCs w:val="20"/>
              </w:rPr>
            </w:pPr>
          </w:p>
        </w:tc>
        <w:tc>
          <w:tcPr>
            <w:tcW w:w="26" w:type="pct"/>
            <w:vAlign w:val="center"/>
            <w:hideMark/>
          </w:tcPr>
          <w:p w14:paraId="2308D76F" w14:textId="77777777" w:rsidR="00000000" w:rsidRDefault="00405D16">
            <w:pPr>
              <w:spacing w:after="100"/>
              <w:rPr>
                <w:rFonts w:eastAsia="Times New Roman"/>
                <w:sz w:val="20"/>
                <w:szCs w:val="20"/>
              </w:rPr>
            </w:pPr>
          </w:p>
        </w:tc>
        <w:tc>
          <w:tcPr>
            <w:tcW w:w="5" w:type="pct"/>
            <w:vAlign w:val="center"/>
            <w:hideMark/>
          </w:tcPr>
          <w:p w14:paraId="253D8CFA" w14:textId="77777777" w:rsidR="00000000" w:rsidRDefault="00405D16">
            <w:pPr>
              <w:spacing w:after="100"/>
              <w:rPr>
                <w:rFonts w:eastAsia="Times New Roman"/>
                <w:sz w:val="20"/>
                <w:szCs w:val="20"/>
              </w:rPr>
            </w:pPr>
          </w:p>
        </w:tc>
        <w:tc>
          <w:tcPr>
            <w:tcW w:w="50" w:type="pct"/>
            <w:vAlign w:val="center"/>
            <w:hideMark/>
          </w:tcPr>
          <w:p w14:paraId="45560985" w14:textId="77777777" w:rsidR="00000000" w:rsidRDefault="00405D16">
            <w:pPr>
              <w:spacing w:after="100"/>
              <w:rPr>
                <w:rFonts w:eastAsia="Times New Roman"/>
                <w:sz w:val="20"/>
                <w:szCs w:val="20"/>
              </w:rPr>
            </w:pPr>
          </w:p>
        </w:tc>
        <w:tc>
          <w:tcPr>
            <w:tcW w:w="552" w:type="pct"/>
            <w:vAlign w:val="center"/>
            <w:hideMark/>
          </w:tcPr>
          <w:p w14:paraId="10B7FDB9" w14:textId="77777777" w:rsidR="00000000" w:rsidRDefault="00405D16">
            <w:pPr>
              <w:spacing w:after="100"/>
              <w:rPr>
                <w:rFonts w:eastAsia="Times New Roman"/>
                <w:sz w:val="20"/>
                <w:szCs w:val="20"/>
              </w:rPr>
            </w:pPr>
          </w:p>
        </w:tc>
        <w:tc>
          <w:tcPr>
            <w:tcW w:w="5" w:type="pct"/>
            <w:vAlign w:val="center"/>
            <w:hideMark/>
          </w:tcPr>
          <w:p w14:paraId="7D8D63D7" w14:textId="77777777" w:rsidR="00000000" w:rsidRDefault="00405D16">
            <w:pPr>
              <w:spacing w:after="100"/>
              <w:rPr>
                <w:rFonts w:eastAsia="Times New Roman"/>
                <w:sz w:val="20"/>
                <w:szCs w:val="20"/>
              </w:rPr>
            </w:pPr>
          </w:p>
        </w:tc>
        <w:tc>
          <w:tcPr>
            <w:tcW w:w="5" w:type="pct"/>
            <w:vAlign w:val="center"/>
            <w:hideMark/>
          </w:tcPr>
          <w:p w14:paraId="343C33CE" w14:textId="77777777" w:rsidR="00000000" w:rsidRDefault="00405D16">
            <w:pPr>
              <w:spacing w:after="100"/>
              <w:rPr>
                <w:rFonts w:eastAsia="Times New Roman"/>
                <w:sz w:val="20"/>
                <w:szCs w:val="20"/>
              </w:rPr>
            </w:pPr>
          </w:p>
        </w:tc>
        <w:tc>
          <w:tcPr>
            <w:tcW w:w="26" w:type="pct"/>
            <w:vAlign w:val="center"/>
            <w:hideMark/>
          </w:tcPr>
          <w:p w14:paraId="049C33B1" w14:textId="77777777" w:rsidR="00000000" w:rsidRDefault="00405D16">
            <w:pPr>
              <w:spacing w:after="100"/>
              <w:rPr>
                <w:rFonts w:eastAsia="Times New Roman"/>
                <w:sz w:val="20"/>
                <w:szCs w:val="20"/>
              </w:rPr>
            </w:pPr>
          </w:p>
        </w:tc>
        <w:tc>
          <w:tcPr>
            <w:tcW w:w="5" w:type="pct"/>
            <w:vAlign w:val="center"/>
            <w:hideMark/>
          </w:tcPr>
          <w:p w14:paraId="7777B635" w14:textId="77777777" w:rsidR="00000000" w:rsidRDefault="00405D16">
            <w:pPr>
              <w:spacing w:after="100"/>
              <w:rPr>
                <w:rFonts w:eastAsia="Times New Roman"/>
                <w:sz w:val="20"/>
                <w:szCs w:val="20"/>
              </w:rPr>
            </w:pPr>
          </w:p>
        </w:tc>
        <w:tc>
          <w:tcPr>
            <w:tcW w:w="50" w:type="pct"/>
            <w:vAlign w:val="center"/>
            <w:hideMark/>
          </w:tcPr>
          <w:p w14:paraId="46961633" w14:textId="77777777" w:rsidR="00000000" w:rsidRDefault="00405D16">
            <w:pPr>
              <w:spacing w:after="100"/>
              <w:rPr>
                <w:rFonts w:eastAsia="Times New Roman"/>
                <w:sz w:val="20"/>
                <w:szCs w:val="20"/>
              </w:rPr>
            </w:pPr>
          </w:p>
        </w:tc>
        <w:tc>
          <w:tcPr>
            <w:tcW w:w="552" w:type="pct"/>
            <w:vAlign w:val="center"/>
            <w:hideMark/>
          </w:tcPr>
          <w:p w14:paraId="06DE819D" w14:textId="77777777" w:rsidR="00000000" w:rsidRDefault="00405D16">
            <w:pPr>
              <w:spacing w:after="100"/>
              <w:rPr>
                <w:rFonts w:eastAsia="Times New Roman"/>
                <w:sz w:val="20"/>
                <w:szCs w:val="20"/>
              </w:rPr>
            </w:pPr>
          </w:p>
        </w:tc>
        <w:tc>
          <w:tcPr>
            <w:tcW w:w="5" w:type="pct"/>
            <w:vAlign w:val="center"/>
            <w:hideMark/>
          </w:tcPr>
          <w:p w14:paraId="211F2AC5" w14:textId="77777777" w:rsidR="00000000" w:rsidRDefault="00405D16">
            <w:pPr>
              <w:spacing w:after="100"/>
              <w:rPr>
                <w:rFonts w:eastAsia="Times New Roman"/>
                <w:sz w:val="20"/>
                <w:szCs w:val="20"/>
              </w:rPr>
            </w:pPr>
          </w:p>
        </w:tc>
        <w:tc>
          <w:tcPr>
            <w:tcW w:w="0" w:type="auto"/>
            <w:vAlign w:val="center"/>
            <w:hideMark/>
          </w:tcPr>
          <w:p w14:paraId="43B88D06" w14:textId="77777777" w:rsidR="00000000" w:rsidRDefault="00405D16">
            <w:pPr>
              <w:spacing w:after="100"/>
              <w:rPr>
                <w:rFonts w:eastAsia="Times New Roman"/>
                <w:sz w:val="20"/>
                <w:szCs w:val="20"/>
              </w:rPr>
            </w:pPr>
          </w:p>
        </w:tc>
        <w:tc>
          <w:tcPr>
            <w:tcW w:w="0" w:type="auto"/>
            <w:vAlign w:val="center"/>
            <w:hideMark/>
          </w:tcPr>
          <w:p w14:paraId="1A0707A2" w14:textId="77777777" w:rsidR="00000000" w:rsidRDefault="00405D16">
            <w:pPr>
              <w:spacing w:after="100"/>
              <w:rPr>
                <w:rFonts w:eastAsia="Times New Roman"/>
                <w:sz w:val="20"/>
                <w:szCs w:val="20"/>
              </w:rPr>
            </w:pPr>
          </w:p>
        </w:tc>
        <w:tc>
          <w:tcPr>
            <w:tcW w:w="0" w:type="auto"/>
            <w:vAlign w:val="center"/>
            <w:hideMark/>
          </w:tcPr>
          <w:p w14:paraId="1ABC8D46" w14:textId="77777777" w:rsidR="00000000" w:rsidRDefault="00405D16">
            <w:pPr>
              <w:spacing w:after="100"/>
              <w:rPr>
                <w:rFonts w:eastAsia="Times New Roman"/>
                <w:sz w:val="20"/>
                <w:szCs w:val="20"/>
              </w:rPr>
            </w:pPr>
          </w:p>
        </w:tc>
        <w:tc>
          <w:tcPr>
            <w:tcW w:w="0" w:type="auto"/>
            <w:vAlign w:val="center"/>
            <w:hideMark/>
          </w:tcPr>
          <w:p w14:paraId="4E846B7A" w14:textId="77777777" w:rsidR="00000000" w:rsidRDefault="00405D16">
            <w:pPr>
              <w:spacing w:after="100"/>
              <w:rPr>
                <w:rFonts w:eastAsia="Times New Roman"/>
                <w:sz w:val="20"/>
                <w:szCs w:val="20"/>
              </w:rPr>
            </w:pPr>
          </w:p>
        </w:tc>
      </w:tr>
      <w:tr w:rsidR="00000000" w14:paraId="549E12BF" w14:textId="77777777">
        <w:trPr>
          <w:divId w:val="1038235587"/>
        </w:trPr>
        <w:tc>
          <w:tcPr>
            <w:tcW w:w="0" w:type="auto"/>
            <w:gridSpan w:val="3"/>
            <w:tcMar>
              <w:top w:w="30" w:type="dxa"/>
              <w:left w:w="155" w:type="dxa"/>
              <w:bottom w:w="30" w:type="dxa"/>
              <w:right w:w="20" w:type="dxa"/>
            </w:tcMar>
            <w:vAlign w:val="bottom"/>
            <w:hideMark/>
          </w:tcPr>
          <w:p w14:paraId="55DAABBC"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40FB2164" w14:textId="77777777" w:rsidR="00000000" w:rsidRDefault="00405D16">
            <w:pPr>
              <w:spacing w:after="100"/>
              <w:rPr>
                <w:rFonts w:eastAsia="Times New Roman"/>
              </w:rPr>
            </w:pPr>
          </w:p>
        </w:tc>
        <w:tc>
          <w:tcPr>
            <w:tcW w:w="0" w:type="auto"/>
            <w:gridSpan w:val="9"/>
            <w:tcMar>
              <w:top w:w="30" w:type="dxa"/>
              <w:left w:w="20" w:type="dxa"/>
              <w:bottom w:w="30" w:type="dxa"/>
              <w:right w:w="20" w:type="dxa"/>
            </w:tcMar>
            <w:vAlign w:val="bottom"/>
            <w:hideMark/>
          </w:tcPr>
          <w:p w14:paraId="7D3CC7D9" w14:textId="77777777" w:rsidR="00000000" w:rsidRDefault="00405D16">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1FCBDDD3" w14:textId="77777777" w:rsidR="00000000" w:rsidRDefault="00405D1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B09A338" w14:textId="77777777" w:rsidR="00000000" w:rsidRDefault="00405D16">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6BC784B1" w14:textId="77777777" w:rsidR="00000000" w:rsidRDefault="00405D16">
            <w:pPr>
              <w:spacing w:after="100"/>
              <w:jc w:val="center"/>
              <w:rPr>
                <w:rFonts w:eastAsia="Times New Roman"/>
              </w:rPr>
            </w:pPr>
          </w:p>
        </w:tc>
        <w:tc>
          <w:tcPr>
            <w:tcW w:w="0" w:type="auto"/>
            <w:vAlign w:val="center"/>
            <w:hideMark/>
          </w:tcPr>
          <w:p w14:paraId="603A6320" w14:textId="77777777" w:rsidR="00000000" w:rsidRDefault="00405D16">
            <w:pPr>
              <w:spacing w:after="100"/>
              <w:rPr>
                <w:rFonts w:eastAsia="Times New Roman"/>
                <w:sz w:val="20"/>
                <w:szCs w:val="20"/>
              </w:rPr>
            </w:pPr>
          </w:p>
        </w:tc>
        <w:tc>
          <w:tcPr>
            <w:tcW w:w="0" w:type="auto"/>
            <w:vAlign w:val="center"/>
            <w:hideMark/>
          </w:tcPr>
          <w:p w14:paraId="3AF9A0F6" w14:textId="77777777" w:rsidR="00000000" w:rsidRDefault="00405D16">
            <w:pPr>
              <w:spacing w:after="100"/>
              <w:rPr>
                <w:rFonts w:eastAsia="Times New Roman"/>
                <w:sz w:val="20"/>
                <w:szCs w:val="20"/>
              </w:rPr>
            </w:pPr>
          </w:p>
        </w:tc>
        <w:tc>
          <w:tcPr>
            <w:tcW w:w="0" w:type="auto"/>
            <w:vAlign w:val="center"/>
            <w:hideMark/>
          </w:tcPr>
          <w:p w14:paraId="15A0CB25" w14:textId="77777777" w:rsidR="00000000" w:rsidRDefault="00405D16">
            <w:pPr>
              <w:spacing w:after="100"/>
              <w:rPr>
                <w:rFonts w:eastAsia="Times New Roman"/>
                <w:sz w:val="20"/>
                <w:szCs w:val="20"/>
              </w:rPr>
            </w:pPr>
          </w:p>
        </w:tc>
      </w:tr>
      <w:tr w:rsidR="00000000" w14:paraId="25B37A40" w14:textId="77777777">
        <w:trPr>
          <w:divId w:val="1038235587"/>
        </w:trPr>
        <w:tc>
          <w:tcPr>
            <w:tcW w:w="0" w:type="auto"/>
            <w:gridSpan w:val="3"/>
            <w:tcMar>
              <w:top w:w="30" w:type="dxa"/>
              <w:left w:w="20" w:type="dxa"/>
              <w:bottom w:w="30" w:type="dxa"/>
              <w:right w:w="20" w:type="dxa"/>
            </w:tcMar>
            <w:vAlign w:val="bottom"/>
            <w:hideMark/>
          </w:tcPr>
          <w:p w14:paraId="4F420E17"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342366FE"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D32E18F"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34040923"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9DF438E"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252F6F23"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7C74F4F"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243A4904"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B0FE495"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vAlign w:val="center"/>
            <w:hideMark/>
          </w:tcPr>
          <w:p w14:paraId="5BC128EE" w14:textId="77777777" w:rsidR="00000000" w:rsidRDefault="00405D16">
            <w:pPr>
              <w:spacing w:after="100"/>
              <w:jc w:val="center"/>
              <w:rPr>
                <w:rFonts w:eastAsia="Times New Roman"/>
              </w:rPr>
            </w:pPr>
          </w:p>
        </w:tc>
        <w:tc>
          <w:tcPr>
            <w:tcW w:w="0" w:type="auto"/>
            <w:vAlign w:val="center"/>
            <w:hideMark/>
          </w:tcPr>
          <w:p w14:paraId="1C4C1598" w14:textId="77777777" w:rsidR="00000000" w:rsidRDefault="00405D16">
            <w:pPr>
              <w:spacing w:after="100"/>
              <w:rPr>
                <w:rFonts w:eastAsia="Times New Roman"/>
                <w:sz w:val="20"/>
                <w:szCs w:val="20"/>
              </w:rPr>
            </w:pPr>
          </w:p>
        </w:tc>
        <w:tc>
          <w:tcPr>
            <w:tcW w:w="0" w:type="auto"/>
            <w:vAlign w:val="center"/>
            <w:hideMark/>
          </w:tcPr>
          <w:p w14:paraId="2DE5279C" w14:textId="77777777" w:rsidR="00000000" w:rsidRDefault="00405D16">
            <w:pPr>
              <w:spacing w:after="100"/>
              <w:rPr>
                <w:rFonts w:eastAsia="Times New Roman"/>
                <w:sz w:val="20"/>
                <w:szCs w:val="20"/>
              </w:rPr>
            </w:pPr>
          </w:p>
        </w:tc>
        <w:tc>
          <w:tcPr>
            <w:tcW w:w="0" w:type="auto"/>
            <w:vAlign w:val="center"/>
            <w:hideMark/>
          </w:tcPr>
          <w:p w14:paraId="4B2D58C6" w14:textId="77777777" w:rsidR="00000000" w:rsidRDefault="00405D16">
            <w:pPr>
              <w:spacing w:after="100"/>
              <w:rPr>
                <w:rFonts w:eastAsia="Times New Roman"/>
                <w:sz w:val="20"/>
                <w:szCs w:val="20"/>
              </w:rPr>
            </w:pPr>
          </w:p>
        </w:tc>
      </w:tr>
      <w:tr w:rsidR="00000000" w14:paraId="392D02F1" w14:textId="77777777">
        <w:trPr>
          <w:divId w:val="103823558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165A650" w14:textId="77777777" w:rsidR="00000000" w:rsidRDefault="00405D16">
            <w:pPr>
              <w:spacing w:after="100"/>
              <w:rPr>
                <w:rFonts w:eastAsia="Times New Roman"/>
              </w:rPr>
            </w:pPr>
            <w:r>
              <w:rPr>
                <w:rFonts w:eastAsia="Times New Roman"/>
                <w:color w:val="000000"/>
                <w:sz w:val="18"/>
                <w:szCs w:val="18"/>
              </w:rPr>
              <w:t>Interchange fees, net</w:t>
            </w:r>
          </w:p>
        </w:tc>
        <w:tc>
          <w:tcPr>
            <w:tcW w:w="0" w:type="auto"/>
            <w:gridSpan w:val="3"/>
            <w:shd w:val="clear" w:color="auto" w:fill="CCEEFF"/>
            <w:tcMar>
              <w:top w:w="0" w:type="dxa"/>
              <w:left w:w="20" w:type="dxa"/>
              <w:bottom w:w="0" w:type="dxa"/>
              <w:right w:w="20" w:type="dxa"/>
            </w:tcMar>
            <w:vAlign w:val="center"/>
            <w:hideMark/>
          </w:tcPr>
          <w:p w14:paraId="63AA4CB0"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74CDF12"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B1674ED" w14:textId="77777777" w:rsidR="00000000" w:rsidRDefault="00405D16">
            <w:pPr>
              <w:spacing w:after="100"/>
              <w:jc w:val="right"/>
              <w:rPr>
                <w:rFonts w:eastAsia="Times New Roman"/>
              </w:rPr>
            </w:pPr>
            <w:r>
              <w:rPr>
                <w:rFonts w:eastAsia="Times New Roman"/>
                <w:b/>
                <w:bCs/>
                <w:color w:val="000000"/>
                <w:sz w:val="18"/>
                <w:szCs w:val="18"/>
              </w:rPr>
              <w:t>1,022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7909B9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ACB9B4"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A5D18CB"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08CD487" w14:textId="77777777" w:rsidR="00000000" w:rsidRDefault="00405D16">
            <w:pPr>
              <w:spacing w:after="100"/>
              <w:jc w:val="right"/>
              <w:rPr>
                <w:rFonts w:eastAsia="Times New Roman"/>
              </w:rPr>
            </w:pPr>
            <w:r>
              <w:rPr>
                <w:rFonts w:eastAsia="Times New Roman"/>
                <w:color w:val="000000"/>
                <w:sz w:val="18"/>
                <w:szCs w:val="18"/>
              </w:rPr>
              <w:t>775 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5C1FC0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EEB991"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A51B069"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AE9A9F3" w14:textId="77777777" w:rsidR="00000000" w:rsidRDefault="00405D16">
            <w:pPr>
              <w:spacing w:after="100"/>
              <w:jc w:val="right"/>
              <w:rPr>
                <w:rFonts w:eastAsia="Times New Roman"/>
              </w:rPr>
            </w:pPr>
            <w:r>
              <w:rPr>
                <w:rFonts w:eastAsia="Times New Roman"/>
                <w:b/>
                <w:bCs/>
                <w:color w:val="000000"/>
                <w:sz w:val="18"/>
                <w:szCs w:val="18"/>
              </w:rPr>
              <w:t>2,855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129A82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245740"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B341AD9"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8F6E68E" w14:textId="77777777" w:rsidR="00000000" w:rsidRDefault="00405D16">
            <w:pPr>
              <w:spacing w:after="100"/>
              <w:jc w:val="right"/>
              <w:rPr>
                <w:rFonts w:eastAsia="Times New Roman"/>
              </w:rPr>
            </w:pPr>
            <w:r>
              <w:rPr>
                <w:rFonts w:eastAsia="Times New Roman"/>
                <w:color w:val="000000"/>
                <w:sz w:val="18"/>
                <w:szCs w:val="18"/>
              </w:rPr>
              <w:t>2,199 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F78278" w14:textId="77777777" w:rsidR="00000000" w:rsidRDefault="00405D16">
            <w:pPr>
              <w:spacing w:after="100"/>
              <w:jc w:val="right"/>
              <w:rPr>
                <w:rFonts w:eastAsia="Times New Roman"/>
              </w:rPr>
            </w:pPr>
          </w:p>
        </w:tc>
        <w:tc>
          <w:tcPr>
            <w:tcW w:w="0" w:type="auto"/>
            <w:vAlign w:val="center"/>
            <w:hideMark/>
          </w:tcPr>
          <w:p w14:paraId="7C5507DD" w14:textId="77777777" w:rsidR="00000000" w:rsidRDefault="00405D16">
            <w:pPr>
              <w:spacing w:after="100"/>
              <w:jc w:val="right"/>
              <w:rPr>
                <w:rFonts w:eastAsia="Times New Roman"/>
                <w:sz w:val="20"/>
                <w:szCs w:val="20"/>
              </w:rPr>
            </w:pPr>
          </w:p>
        </w:tc>
        <w:tc>
          <w:tcPr>
            <w:tcW w:w="0" w:type="auto"/>
            <w:vAlign w:val="center"/>
            <w:hideMark/>
          </w:tcPr>
          <w:p w14:paraId="651B940E" w14:textId="77777777" w:rsidR="00000000" w:rsidRDefault="00405D16">
            <w:pPr>
              <w:spacing w:after="100"/>
              <w:rPr>
                <w:rFonts w:eastAsia="Times New Roman"/>
                <w:sz w:val="20"/>
                <w:szCs w:val="20"/>
              </w:rPr>
            </w:pPr>
          </w:p>
        </w:tc>
        <w:tc>
          <w:tcPr>
            <w:tcW w:w="0" w:type="auto"/>
            <w:vAlign w:val="center"/>
            <w:hideMark/>
          </w:tcPr>
          <w:p w14:paraId="6E0BD724" w14:textId="77777777" w:rsidR="00000000" w:rsidRDefault="00405D16">
            <w:pPr>
              <w:spacing w:after="100"/>
              <w:rPr>
                <w:rFonts w:eastAsia="Times New Roman"/>
                <w:sz w:val="20"/>
                <w:szCs w:val="20"/>
              </w:rPr>
            </w:pPr>
          </w:p>
        </w:tc>
        <w:tc>
          <w:tcPr>
            <w:tcW w:w="0" w:type="auto"/>
            <w:vAlign w:val="center"/>
            <w:hideMark/>
          </w:tcPr>
          <w:p w14:paraId="57497C29" w14:textId="77777777" w:rsidR="00000000" w:rsidRDefault="00405D16">
            <w:pPr>
              <w:spacing w:after="100"/>
              <w:rPr>
                <w:rFonts w:eastAsia="Times New Roman"/>
                <w:sz w:val="20"/>
                <w:szCs w:val="20"/>
              </w:rPr>
            </w:pPr>
          </w:p>
        </w:tc>
      </w:tr>
      <w:tr w:rsidR="00000000" w14:paraId="49B1D1AE" w14:textId="77777777">
        <w:trPr>
          <w:divId w:val="1038235587"/>
        </w:trPr>
        <w:tc>
          <w:tcPr>
            <w:tcW w:w="0" w:type="auto"/>
            <w:gridSpan w:val="3"/>
            <w:shd w:val="clear" w:color="auto" w:fill="FFFFFF"/>
            <w:tcMar>
              <w:top w:w="30" w:type="dxa"/>
              <w:left w:w="20" w:type="dxa"/>
              <w:bottom w:w="30" w:type="dxa"/>
              <w:right w:w="20" w:type="dxa"/>
            </w:tcMar>
            <w:vAlign w:val="bottom"/>
            <w:hideMark/>
          </w:tcPr>
          <w:p w14:paraId="0ED6AD6C" w14:textId="77777777" w:rsidR="00000000" w:rsidRDefault="00405D16">
            <w:pPr>
              <w:spacing w:after="100"/>
              <w:rPr>
                <w:rFonts w:eastAsia="Times New Roman"/>
              </w:rPr>
            </w:pPr>
            <w:r>
              <w:rPr>
                <w:rFonts w:eastAsia="Times New Roman"/>
                <w:color w:val="000000"/>
                <w:sz w:val="18"/>
                <w:szCs w:val="18"/>
              </w:rPr>
              <w:t>Service charges and other customer-related fees</w:t>
            </w:r>
          </w:p>
        </w:tc>
        <w:tc>
          <w:tcPr>
            <w:tcW w:w="0" w:type="auto"/>
            <w:gridSpan w:val="3"/>
            <w:shd w:val="clear" w:color="auto" w:fill="FFFFFF"/>
            <w:tcMar>
              <w:top w:w="0" w:type="dxa"/>
              <w:left w:w="20" w:type="dxa"/>
              <w:bottom w:w="0" w:type="dxa"/>
              <w:right w:w="20" w:type="dxa"/>
            </w:tcMar>
            <w:vAlign w:val="center"/>
            <w:hideMark/>
          </w:tcPr>
          <w:p w14:paraId="5CC7C1DA"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664BC2E" w14:textId="77777777" w:rsidR="00000000" w:rsidRDefault="00405D16">
            <w:pPr>
              <w:spacing w:after="100"/>
              <w:jc w:val="right"/>
              <w:rPr>
                <w:rFonts w:eastAsia="Times New Roman"/>
              </w:rPr>
            </w:pPr>
            <w:r>
              <w:rPr>
                <w:rFonts w:eastAsia="Times New Roman"/>
                <w:b/>
                <w:bCs/>
                <w:color w:val="000000"/>
                <w:sz w:val="18"/>
                <w:szCs w:val="18"/>
              </w:rPr>
              <w:t>407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19437C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2DC6D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D32A46A" w14:textId="77777777" w:rsidR="00000000" w:rsidRDefault="00405D16">
            <w:pPr>
              <w:spacing w:after="100"/>
              <w:jc w:val="right"/>
              <w:rPr>
                <w:rFonts w:eastAsia="Times New Roman"/>
              </w:rPr>
            </w:pPr>
            <w:r>
              <w:rPr>
                <w:rFonts w:eastAsia="Times New Roman"/>
                <w:color w:val="000000"/>
                <w:sz w:val="18"/>
                <w:szCs w:val="18"/>
              </w:rPr>
              <w:t>320 </w:t>
            </w:r>
          </w:p>
        </w:tc>
        <w:tc>
          <w:tcPr>
            <w:tcW w:w="0" w:type="auto"/>
            <w:shd w:val="clear" w:color="auto" w:fill="FFFFFF"/>
            <w:tcMar>
              <w:top w:w="30" w:type="dxa"/>
              <w:left w:w="0" w:type="dxa"/>
              <w:bottom w:w="30" w:type="dxa"/>
              <w:right w:w="20" w:type="dxa"/>
            </w:tcMar>
            <w:vAlign w:val="center"/>
            <w:hideMark/>
          </w:tcPr>
          <w:p w14:paraId="5ADA3CD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5DD9A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872CC2F" w14:textId="77777777" w:rsidR="00000000" w:rsidRDefault="00405D16">
            <w:pPr>
              <w:spacing w:after="100"/>
              <w:jc w:val="right"/>
              <w:rPr>
                <w:rFonts w:eastAsia="Times New Roman"/>
              </w:rPr>
            </w:pPr>
            <w:r>
              <w:rPr>
                <w:rFonts w:eastAsia="Times New Roman"/>
                <w:b/>
                <w:bCs/>
                <w:color w:val="000000"/>
                <w:sz w:val="18"/>
                <w:szCs w:val="18"/>
              </w:rPr>
              <w:t>1,143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70FE09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2905E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D4FBE8" w14:textId="77777777" w:rsidR="00000000" w:rsidRDefault="00405D16">
            <w:pPr>
              <w:spacing w:after="100"/>
              <w:jc w:val="right"/>
              <w:rPr>
                <w:rFonts w:eastAsia="Times New Roman"/>
              </w:rPr>
            </w:pPr>
            <w:r>
              <w:rPr>
                <w:rFonts w:eastAsia="Times New Roman"/>
                <w:color w:val="000000"/>
                <w:sz w:val="18"/>
                <w:szCs w:val="18"/>
              </w:rPr>
              <w:t>905 </w:t>
            </w:r>
          </w:p>
        </w:tc>
        <w:tc>
          <w:tcPr>
            <w:tcW w:w="0" w:type="auto"/>
            <w:shd w:val="clear" w:color="auto" w:fill="FFFFFF"/>
            <w:tcMar>
              <w:top w:w="30" w:type="dxa"/>
              <w:left w:w="0" w:type="dxa"/>
              <w:bottom w:w="30" w:type="dxa"/>
              <w:right w:w="20" w:type="dxa"/>
            </w:tcMar>
            <w:vAlign w:val="bottom"/>
            <w:hideMark/>
          </w:tcPr>
          <w:p w14:paraId="34D0F715" w14:textId="77777777" w:rsidR="00000000" w:rsidRDefault="00405D16">
            <w:pPr>
              <w:spacing w:after="100"/>
              <w:jc w:val="right"/>
              <w:rPr>
                <w:rFonts w:eastAsia="Times New Roman"/>
              </w:rPr>
            </w:pPr>
          </w:p>
        </w:tc>
        <w:tc>
          <w:tcPr>
            <w:tcW w:w="0" w:type="auto"/>
            <w:vAlign w:val="center"/>
            <w:hideMark/>
          </w:tcPr>
          <w:p w14:paraId="4FA3A796" w14:textId="77777777" w:rsidR="00000000" w:rsidRDefault="00405D16">
            <w:pPr>
              <w:spacing w:after="100"/>
              <w:jc w:val="right"/>
              <w:rPr>
                <w:rFonts w:eastAsia="Times New Roman"/>
                <w:sz w:val="20"/>
                <w:szCs w:val="20"/>
              </w:rPr>
            </w:pPr>
          </w:p>
        </w:tc>
        <w:tc>
          <w:tcPr>
            <w:tcW w:w="0" w:type="auto"/>
            <w:vAlign w:val="center"/>
            <w:hideMark/>
          </w:tcPr>
          <w:p w14:paraId="5460FFDB" w14:textId="77777777" w:rsidR="00000000" w:rsidRDefault="00405D16">
            <w:pPr>
              <w:spacing w:after="100"/>
              <w:rPr>
                <w:rFonts w:eastAsia="Times New Roman"/>
                <w:sz w:val="20"/>
                <w:szCs w:val="20"/>
              </w:rPr>
            </w:pPr>
          </w:p>
        </w:tc>
        <w:tc>
          <w:tcPr>
            <w:tcW w:w="0" w:type="auto"/>
            <w:vAlign w:val="center"/>
            <w:hideMark/>
          </w:tcPr>
          <w:p w14:paraId="284450A6" w14:textId="77777777" w:rsidR="00000000" w:rsidRDefault="00405D16">
            <w:pPr>
              <w:spacing w:after="100"/>
              <w:rPr>
                <w:rFonts w:eastAsia="Times New Roman"/>
                <w:sz w:val="20"/>
                <w:szCs w:val="20"/>
              </w:rPr>
            </w:pPr>
          </w:p>
        </w:tc>
        <w:tc>
          <w:tcPr>
            <w:tcW w:w="0" w:type="auto"/>
            <w:vAlign w:val="center"/>
            <w:hideMark/>
          </w:tcPr>
          <w:p w14:paraId="5FD6ACD8" w14:textId="77777777" w:rsidR="00000000" w:rsidRDefault="00405D16">
            <w:pPr>
              <w:spacing w:after="100"/>
              <w:rPr>
                <w:rFonts w:eastAsia="Times New Roman"/>
                <w:sz w:val="20"/>
                <w:szCs w:val="20"/>
              </w:rPr>
            </w:pPr>
          </w:p>
        </w:tc>
      </w:tr>
      <w:tr w:rsidR="00000000" w14:paraId="024D7FF6" w14:textId="77777777">
        <w:trPr>
          <w:divId w:val="1038235587"/>
        </w:trPr>
        <w:tc>
          <w:tcPr>
            <w:tcW w:w="0" w:type="auto"/>
            <w:gridSpan w:val="3"/>
            <w:shd w:val="clear" w:color="auto" w:fill="CCEEFF"/>
            <w:tcMar>
              <w:top w:w="30" w:type="dxa"/>
              <w:left w:w="20" w:type="dxa"/>
              <w:bottom w:w="30" w:type="dxa"/>
              <w:right w:w="20" w:type="dxa"/>
            </w:tcMar>
            <w:vAlign w:val="bottom"/>
            <w:hideMark/>
          </w:tcPr>
          <w:p w14:paraId="45C5D9AD" w14:textId="77777777" w:rsidR="00000000" w:rsidRDefault="00405D16">
            <w:pPr>
              <w:spacing w:after="100"/>
              <w:rPr>
                <w:rFonts w:eastAsia="Times New Roman"/>
              </w:rPr>
            </w:pPr>
            <w:r>
              <w:rPr>
                <w:rFonts w:eastAsia="Times New Roman"/>
                <w:color w:val="000000"/>
                <w:sz w:val="18"/>
                <w:szCs w:val="18"/>
              </w:rPr>
              <w:t>Net securities gains (losses)</w:t>
            </w:r>
          </w:p>
        </w:tc>
        <w:tc>
          <w:tcPr>
            <w:tcW w:w="0" w:type="auto"/>
            <w:gridSpan w:val="3"/>
            <w:shd w:val="clear" w:color="auto" w:fill="CCEEFF"/>
            <w:tcMar>
              <w:top w:w="0" w:type="dxa"/>
              <w:left w:w="20" w:type="dxa"/>
              <w:bottom w:w="0" w:type="dxa"/>
              <w:right w:w="20" w:type="dxa"/>
            </w:tcMar>
            <w:vAlign w:val="center"/>
            <w:hideMark/>
          </w:tcPr>
          <w:p w14:paraId="523C970A"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97B48A0" w14:textId="77777777" w:rsidR="00000000" w:rsidRDefault="00405D16">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99E14D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92598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981F061" w14:textId="77777777" w:rsidR="00000000" w:rsidRDefault="00405D16">
            <w:pPr>
              <w:spacing w:after="100"/>
              <w:jc w:val="right"/>
              <w:rPr>
                <w:rFonts w:eastAsia="Times New Roman"/>
              </w:rPr>
            </w:pPr>
            <w:r>
              <w:rPr>
                <w:rFonts w:eastAsia="Times New Roman"/>
                <w:color w:val="000000"/>
                <w:sz w:val="18"/>
                <w:szCs w:val="18"/>
              </w:rPr>
              <w:t>25 </w:t>
            </w:r>
          </w:p>
        </w:tc>
        <w:tc>
          <w:tcPr>
            <w:tcW w:w="0" w:type="auto"/>
            <w:shd w:val="clear" w:color="auto" w:fill="CCEEFF"/>
            <w:tcMar>
              <w:top w:w="30" w:type="dxa"/>
              <w:left w:w="0" w:type="dxa"/>
              <w:bottom w:w="30" w:type="dxa"/>
              <w:right w:w="20" w:type="dxa"/>
            </w:tcMar>
            <w:vAlign w:val="center"/>
            <w:hideMark/>
          </w:tcPr>
          <w:p w14:paraId="68EF8CA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F3030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DC938FB" w14:textId="77777777" w:rsidR="00000000" w:rsidRDefault="00405D16">
            <w:pPr>
              <w:spacing w:after="100"/>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B9BC98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90144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675491" w14:textId="77777777" w:rsidR="00000000" w:rsidRDefault="00405D16">
            <w:pPr>
              <w:spacing w:after="100"/>
              <w:jc w:val="right"/>
              <w:rPr>
                <w:rFonts w:eastAsia="Times New Roman"/>
              </w:rPr>
            </w:pPr>
            <w:r>
              <w:rPr>
                <w:rFonts w:eastAsia="Times New Roman"/>
                <w:color w:val="000000"/>
                <w:sz w:val="18"/>
                <w:szCs w:val="18"/>
              </w:rPr>
              <w:t>25 </w:t>
            </w:r>
          </w:p>
        </w:tc>
        <w:tc>
          <w:tcPr>
            <w:tcW w:w="0" w:type="auto"/>
            <w:shd w:val="clear" w:color="auto" w:fill="CCEEFF"/>
            <w:tcMar>
              <w:top w:w="30" w:type="dxa"/>
              <w:left w:w="0" w:type="dxa"/>
              <w:bottom w:w="30" w:type="dxa"/>
              <w:right w:w="20" w:type="dxa"/>
            </w:tcMar>
            <w:vAlign w:val="bottom"/>
            <w:hideMark/>
          </w:tcPr>
          <w:p w14:paraId="132417EB" w14:textId="77777777" w:rsidR="00000000" w:rsidRDefault="00405D16">
            <w:pPr>
              <w:spacing w:after="100"/>
              <w:jc w:val="right"/>
              <w:rPr>
                <w:rFonts w:eastAsia="Times New Roman"/>
              </w:rPr>
            </w:pPr>
          </w:p>
        </w:tc>
        <w:tc>
          <w:tcPr>
            <w:tcW w:w="0" w:type="auto"/>
            <w:vAlign w:val="center"/>
            <w:hideMark/>
          </w:tcPr>
          <w:p w14:paraId="6AB652A8" w14:textId="77777777" w:rsidR="00000000" w:rsidRDefault="00405D16">
            <w:pPr>
              <w:spacing w:after="100"/>
              <w:jc w:val="right"/>
              <w:rPr>
                <w:rFonts w:eastAsia="Times New Roman"/>
                <w:sz w:val="20"/>
                <w:szCs w:val="20"/>
              </w:rPr>
            </w:pPr>
          </w:p>
        </w:tc>
        <w:tc>
          <w:tcPr>
            <w:tcW w:w="0" w:type="auto"/>
            <w:vAlign w:val="center"/>
            <w:hideMark/>
          </w:tcPr>
          <w:p w14:paraId="6F8DF163" w14:textId="77777777" w:rsidR="00000000" w:rsidRDefault="00405D16">
            <w:pPr>
              <w:spacing w:after="100"/>
              <w:rPr>
                <w:rFonts w:eastAsia="Times New Roman"/>
                <w:sz w:val="20"/>
                <w:szCs w:val="20"/>
              </w:rPr>
            </w:pPr>
          </w:p>
        </w:tc>
        <w:tc>
          <w:tcPr>
            <w:tcW w:w="0" w:type="auto"/>
            <w:vAlign w:val="center"/>
            <w:hideMark/>
          </w:tcPr>
          <w:p w14:paraId="3372548F" w14:textId="77777777" w:rsidR="00000000" w:rsidRDefault="00405D16">
            <w:pPr>
              <w:spacing w:after="100"/>
              <w:rPr>
                <w:rFonts w:eastAsia="Times New Roman"/>
                <w:sz w:val="20"/>
                <w:szCs w:val="20"/>
              </w:rPr>
            </w:pPr>
          </w:p>
        </w:tc>
        <w:tc>
          <w:tcPr>
            <w:tcW w:w="0" w:type="auto"/>
            <w:vAlign w:val="center"/>
            <w:hideMark/>
          </w:tcPr>
          <w:p w14:paraId="4422B383" w14:textId="77777777" w:rsidR="00000000" w:rsidRDefault="00405D16">
            <w:pPr>
              <w:spacing w:after="100"/>
              <w:rPr>
                <w:rFonts w:eastAsia="Times New Roman"/>
                <w:sz w:val="20"/>
                <w:szCs w:val="20"/>
              </w:rPr>
            </w:pPr>
          </w:p>
        </w:tc>
      </w:tr>
      <w:tr w:rsidR="00000000" w14:paraId="69289CD8" w14:textId="77777777">
        <w:trPr>
          <w:divId w:val="1038235587"/>
        </w:trPr>
        <w:tc>
          <w:tcPr>
            <w:tcW w:w="0" w:type="auto"/>
            <w:gridSpan w:val="3"/>
            <w:shd w:val="clear" w:color="auto" w:fill="FFFFFF"/>
            <w:tcMar>
              <w:top w:w="30" w:type="dxa"/>
              <w:left w:w="20" w:type="dxa"/>
              <w:bottom w:w="30" w:type="dxa"/>
              <w:right w:w="20" w:type="dxa"/>
            </w:tcMar>
            <w:vAlign w:val="bottom"/>
            <w:hideMark/>
          </w:tcPr>
          <w:p w14:paraId="7232ABE6" w14:textId="77777777" w:rsidR="00000000" w:rsidRDefault="00405D16">
            <w:pPr>
              <w:spacing w:after="100"/>
              <w:divId w:val="1557745030"/>
              <w:rPr>
                <w:rFonts w:eastAsia="Times New Roman"/>
              </w:rPr>
            </w:pPr>
            <w:r>
              <w:rPr>
                <w:rFonts w:eastAsia="Times New Roman"/>
                <w:color w:val="000000"/>
                <w:sz w:val="18"/>
                <w:szCs w:val="18"/>
              </w:rPr>
              <w:t>Other non-interest income</w:t>
            </w:r>
            <w:r>
              <w:rPr>
                <w:rFonts w:eastAsia="Times New Roman"/>
                <w:color w:val="000000"/>
                <w:sz w:val="18"/>
                <w:szCs w:val="18"/>
              </w:rPr>
              <w:t>:</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1CF984DB"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6A782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8FA17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33434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A7DE5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09A59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237B7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442846" w14:textId="77777777" w:rsidR="00000000" w:rsidRDefault="00405D16">
            <w:pPr>
              <w:spacing w:after="100"/>
              <w:rPr>
                <w:rFonts w:eastAsia="Times New Roman"/>
                <w:sz w:val="20"/>
                <w:szCs w:val="20"/>
              </w:rPr>
            </w:pPr>
          </w:p>
        </w:tc>
        <w:tc>
          <w:tcPr>
            <w:tcW w:w="0" w:type="auto"/>
            <w:vAlign w:val="center"/>
            <w:hideMark/>
          </w:tcPr>
          <w:p w14:paraId="35C9C711" w14:textId="77777777" w:rsidR="00000000" w:rsidRDefault="00405D16">
            <w:pPr>
              <w:spacing w:after="100"/>
              <w:rPr>
                <w:rFonts w:eastAsia="Times New Roman"/>
                <w:sz w:val="20"/>
                <w:szCs w:val="20"/>
              </w:rPr>
            </w:pPr>
          </w:p>
        </w:tc>
        <w:tc>
          <w:tcPr>
            <w:tcW w:w="0" w:type="auto"/>
            <w:vAlign w:val="center"/>
            <w:hideMark/>
          </w:tcPr>
          <w:p w14:paraId="18E6B583" w14:textId="77777777" w:rsidR="00000000" w:rsidRDefault="00405D16">
            <w:pPr>
              <w:spacing w:after="100"/>
              <w:rPr>
                <w:rFonts w:eastAsia="Times New Roman"/>
                <w:sz w:val="20"/>
                <w:szCs w:val="20"/>
              </w:rPr>
            </w:pPr>
          </w:p>
        </w:tc>
        <w:tc>
          <w:tcPr>
            <w:tcW w:w="0" w:type="auto"/>
            <w:vAlign w:val="center"/>
            <w:hideMark/>
          </w:tcPr>
          <w:p w14:paraId="65CE305D" w14:textId="77777777" w:rsidR="00000000" w:rsidRDefault="00405D16">
            <w:pPr>
              <w:spacing w:after="100"/>
              <w:rPr>
                <w:rFonts w:eastAsia="Times New Roman"/>
                <w:sz w:val="20"/>
                <w:szCs w:val="20"/>
              </w:rPr>
            </w:pPr>
          </w:p>
        </w:tc>
        <w:tc>
          <w:tcPr>
            <w:tcW w:w="0" w:type="auto"/>
            <w:vAlign w:val="center"/>
            <w:hideMark/>
          </w:tcPr>
          <w:p w14:paraId="32224E75" w14:textId="77777777" w:rsidR="00000000" w:rsidRDefault="00405D16">
            <w:pPr>
              <w:spacing w:after="100"/>
              <w:rPr>
                <w:rFonts w:eastAsia="Times New Roman"/>
                <w:sz w:val="20"/>
                <w:szCs w:val="20"/>
              </w:rPr>
            </w:pPr>
          </w:p>
        </w:tc>
      </w:tr>
      <w:tr w:rsidR="00000000" w14:paraId="3ACA7C55" w14:textId="77777777">
        <w:trPr>
          <w:divId w:val="1038235587"/>
        </w:trPr>
        <w:tc>
          <w:tcPr>
            <w:tcW w:w="0" w:type="auto"/>
            <w:gridSpan w:val="3"/>
            <w:shd w:val="clear" w:color="auto" w:fill="CCEEFF"/>
            <w:tcMar>
              <w:top w:w="30" w:type="dxa"/>
              <w:left w:w="245" w:type="dxa"/>
              <w:bottom w:w="30" w:type="dxa"/>
              <w:right w:w="20" w:type="dxa"/>
            </w:tcMar>
            <w:vAlign w:val="bottom"/>
            <w:hideMark/>
          </w:tcPr>
          <w:p w14:paraId="5615E91A" w14:textId="77777777" w:rsidR="00000000" w:rsidRDefault="00405D16">
            <w:pPr>
              <w:spacing w:after="100"/>
              <w:rPr>
                <w:rFonts w:eastAsia="Times New Roman"/>
              </w:rPr>
            </w:pPr>
            <w:r>
              <w:rPr>
                <w:rFonts w:eastAsia="Times New Roman"/>
                <w:color w:val="000000"/>
                <w:sz w:val="18"/>
                <w:szCs w:val="18"/>
              </w:rPr>
              <w:t>Mortgage banking revenue</w:t>
            </w:r>
          </w:p>
        </w:tc>
        <w:tc>
          <w:tcPr>
            <w:tcW w:w="0" w:type="auto"/>
            <w:gridSpan w:val="3"/>
            <w:shd w:val="clear" w:color="auto" w:fill="CCEEFF"/>
            <w:tcMar>
              <w:top w:w="0" w:type="dxa"/>
              <w:left w:w="20" w:type="dxa"/>
              <w:bottom w:w="0" w:type="dxa"/>
              <w:right w:w="20" w:type="dxa"/>
            </w:tcMar>
            <w:vAlign w:val="center"/>
            <w:hideMark/>
          </w:tcPr>
          <w:p w14:paraId="219C7419"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A1E9AE8" w14:textId="77777777" w:rsidR="00000000" w:rsidRDefault="00405D16">
            <w:pPr>
              <w:spacing w:after="100"/>
              <w:jc w:val="right"/>
              <w:rPr>
                <w:rFonts w:eastAsia="Times New Roman"/>
              </w:rPr>
            </w:pPr>
            <w:r>
              <w:rPr>
                <w:rFonts w:eastAsia="Times New Roman"/>
                <w:b/>
                <w:bCs/>
                <w:color w:val="000000"/>
                <w:sz w:val="18"/>
                <w:szCs w:val="18"/>
              </w:rPr>
              <w:t>84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329761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A553C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98D1026" w14:textId="77777777" w:rsidR="00000000" w:rsidRDefault="00405D16">
            <w:pPr>
              <w:spacing w:after="100"/>
              <w:jc w:val="right"/>
              <w:rPr>
                <w:rFonts w:eastAsia="Times New Roman"/>
              </w:rPr>
            </w:pPr>
            <w:r>
              <w:rPr>
                <w:rFonts w:eastAsia="Times New Roman"/>
                <w:color w:val="000000"/>
                <w:sz w:val="18"/>
                <w:szCs w:val="18"/>
              </w:rPr>
              <w:t>66 </w:t>
            </w:r>
          </w:p>
        </w:tc>
        <w:tc>
          <w:tcPr>
            <w:tcW w:w="0" w:type="auto"/>
            <w:shd w:val="clear" w:color="auto" w:fill="CCEEFF"/>
            <w:tcMar>
              <w:top w:w="30" w:type="dxa"/>
              <w:left w:w="0" w:type="dxa"/>
              <w:bottom w:w="30" w:type="dxa"/>
              <w:right w:w="20" w:type="dxa"/>
            </w:tcMar>
            <w:vAlign w:val="center"/>
            <w:hideMark/>
          </w:tcPr>
          <w:p w14:paraId="33B18DF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A143C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EB228D2" w14:textId="77777777" w:rsidR="00000000" w:rsidRDefault="00405D16">
            <w:pPr>
              <w:spacing w:after="100"/>
              <w:jc w:val="right"/>
              <w:rPr>
                <w:rFonts w:eastAsia="Times New Roman"/>
              </w:rPr>
            </w:pPr>
            <w:r>
              <w:rPr>
                <w:rFonts w:eastAsia="Times New Roman"/>
                <w:b/>
                <w:bCs/>
                <w:color w:val="000000"/>
                <w:sz w:val="18"/>
                <w:szCs w:val="18"/>
              </w:rPr>
              <w:t>184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3D4DFF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A12BA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145121" w14:textId="77777777" w:rsidR="00000000" w:rsidRDefault="00405D16">
            <w:pPr>
              <w:spacing w:after="100"/>
              <w:jc w:val="right"/>
              <w:rPr>
                <w:rFonts w:eastAsia="Times New Roman"/>
              </w:rPr>
            </w:pPr>
            <w:r>
              <w:rPr>
                <w:rFonts w:eastAsia="Times New Roman"/>
                <w:color w:val="000000"/>
                <w:sz w:val="18"/>
                <w:szCs w:val="18"/>
              </w:rPr>
              <w:t>172 </w:t>
            </w:r>
          </w:p>
        </w:tc>
        <w:tc>
          <w:tcPr>
            <w:tcW w:w="0" w:type="auto"/>
            <w:shd w:val="clear" w:color="auto" w:fill="CCEEFF"/>
            <w:tcMar>
              <w:top w:w="30" w:type="dxa"/>
              <w:left w:w="0" w:type="dxa"/>
              <w:bottom w:w="30" w:type="dxa"/>
              <w:right w:w="20" w:type="dxa"/>
            </w:tcMar>
            <w:vAlign w:val="bottom"/>
            <w:hideMark/>
          </w:tcPr>
          <w:p w14:paraId="38791FF4" w14:textId="77777777" w:rsidR="00000000" w:rsidRDefault="00405D16">
            <w:pPr>
              <w:spacing w:after="100"/>
              <w:jc w:val="right"/>
              <w:rPr>
                <w:rFonts w:eastAsia="Times New Roman"/>
              </w:rPr>
            </w:pPr>
          </w:p>
        </w:tc>
        <w:tc>
          <w:tcPr>
            <w:tcW w:w="0" w:type="auto"/>
            <w:vAlign w:val="center"/>
            <w:hideMark/>
          </w:tcPr>
          <w:p w14:paraId="19CB99A0" w14:textId="77777777" w:rsidR="00000000" w:rsidRDefault="00405D16">
            <w:pPr>
              <w:spacing w:after="100"/>
              <w:jc w:val="right"/>
              <w:rPr>
                <w:rFonts w:eastAsia="Times New Roman"/>
                <w:sz w:val="20"/>
                <w:szCs w:val="20"/>
              </w:rPr>
            </w:pPr>
          </w:p>
        </w:tc>
        <w:tc>
          <w:tcPr>
            <w:tcW w:w="0" w:type="auto"/>
            <w:vAlign w:val="center"/>
            <w:hideMark/>
          </w:tcPr>
          <w:p w14:paraId="32D15BA1" w14:textId="77777777" w:rsidR="00000000" w:rsidRDefault="00405D16">
            <w:pPr>
              <w:spacing w:after="100"/>
              <w:rPr>
                <w:rFonts w:eastAsia="Times New Roman"/>
                <w:sz w:val="20"/>
                <w:szCs w:val="20"/>
              </w:rPr>
            </w:pPr>
          </w:p>
        </w:tc>
        <w:tc>
          <w:tcPr>
            <w:tcW w:w="0" w:type="auto"/>
            <w:vAlign w:val="center"/>
            <w:hideMark/>
          </w:tcPr>
          <w:p w14:paraId="24B4F46D" w14:textId="77777777" w:rsidR="00000000" w:rsidRDefault="00405D16">
            <w:pPr>
              <w:spacing w:after="100"/>
              <w:rPr>
                <w:rFonts w:eastAsia="Times New Roman"/>
                <w:sz w:val="20"/>
                <w:szCs w:val="20"/>
              </w:rPr>
            </w:pPr>
          </w:p>
        </w:tc>
        <w:tc>
          <w:tcPr>
            <w:tcW w:w="0" w:type="auto"/>
            <w:vAlign w:val="center"/>
            <w:hideMark/>
          </w:tcPr>
          <w:p w14:paraId="4D11B145" w14:textId="77777777" w:rsidR="00000000" w:rsidRDefault="00405D16">
            <w:pPr>
              <w:spacing w:after="100"/>
              <w:rPr>
                <w:rFonts w:eastAsia="Times New Roman"/>
                <w:sz w:val="20"/>
                <w:szCs w:val="20"/>
              </w:rPr>
            </w:pPr>
          </w:p>
        </w:tc>
      </w:tr>
      <w:tr w:rsidR="00000000" w14:paraId="504AF8E6" w14:textId="77777777">
        <w:trPr>
          <w:divId w:val="1038235587"/>
        </w:trPr>
        <w:tc>
          <w:tcPr>
            <w:tcW w:w="0" w:type="auto"/>
            <w:gridSpan w:val="3"/>
            <w:shd w:val="clear" w:color="auto" w:fill="FFFFFF"/>
            <w:tcMar>
              <w:top w:w="30" w:type="dxa"/>
              <w:left w:w="245" w:type="dxa"/>
              <w:bottom w:w="30" w:type="dxa"/>
              <w:right w:w="20" w:type="dxa"/>
            </w:tcMar>
            <w:vAlign w:val="bottom"/>
            <w:hideMark/>
          </w:tcPr>
          <w:p w14:paraId="0510A1AC" w14:textId="77777777" w:rsidR="00000000" w:rsidRDefault="00405D16">
            <w:pPr>
              <w:spacing w:after="100"/>
              <w:rPr>
                <w:rFonts w:eastAsia="Times New Roman"/>
              </w:rPr>
            </w:pPr>
            <w:r>
              <w:rPr>
                <w:rFonts w:eastAsia="Times New Roman"/>
                <w:color w:val="000000"/>
                <w:sz w:val="18"/>
                <w:szCs w:val="18"/>
              </w:rPr>
              <w:t>Treasury and other investment income</w:t>
            </w:r>
          </w:p>
        </w:tc>
        <w:tc>
          <w:tcPr>
            <w:tcW w:w="0" w:type="auto"/>
            <w:gridSpan w:val="3"/>
            <w:shd w:val="clear" w:color="auto" w:fill="FFFFFF"/>
            <w:tcMar>
              <w:top w:w="0" w:type="dxa"/>
              <w:left w:w="20" w:type="dxa"/>
              <w:bottom w:w="0" w:type="dxa"/>
              <w:right w:w="20" w:type="dxa"/>
            </w:tcMar>
            <w:vAlign w:val="center"/>
            <w:hideMark/>
          </w:tcPr>
          <w:p w14:paraId="6A170053"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F745CE0" w14:textId="77777777" w:rsidR="00000000" w:rsidRDefault="00405D16">
            <w:pPr>
              <w:spacing w:after="100"/>
              <w:jc w:val="right"/>
              <w:rPr>
                <w:rFonts w:eastAsia="Times New Roman"/>
              </w:rPr>
            </w:pPr>
            <w:r>
              <w:rPr>
                <w:rFonts w:eastAsia="Times New Roman"/>
                <w:b/>
                <w:bCs/>
                <w:color w:val="000000"/>
                <w:sz w:val="18"/>
                <w:szCs w:val="18"/>
              </w:rPr>
              <w:t>50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E1BC65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9567C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0BA10BC" w14:textId="77777777" w:rsidR="00000000" w:rsidRDefault="00405D16">
            <w:pPr>
              <w:spacing w:after="100"/>
              <w:jc w:val="right"/>
              <w:rPr>
                <w:rFonts w:eastAsia="Times New Roman"/>
              </w:rPr>
            </w:pPr>
            <w:r>
              <w:rPr>
                <w:rFonts w:eastAsia="Times New Roman"/>
                <w:color w:val="000000"/>
                <w:sz w:val="18"/>
                <w:szCs w:val="18"/>
              </w:rPr>
              <w:t>516 </w:t>
            </w:r>
          </w:p>
        </w:tc>
        <w:tc>
          <w:tcPr>
            <w:tcW w:w="0" w:type="auto"/>
            <w:shd w:val="clear" w:color="auto" w:fill="FFFFFF"/>
            <w:tcMar>
              <w:top w:w="30" w:type="dxa"/>
              <w:left w:w="0" w:type="dxa"/>
              <w:bottom w:w="30" w:type="dxa"/>
              <w:right w:w="20" w:type="dxa"/>
            </w:tcMar>
            <w:vAlign w:val="center"/>
            <w:hideMark/>
          </w:tcPr>
          <w:p w14:paraId="1D20C9E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EF437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EFC192D" w14:textId="77777777" w:rsidR="00000000" w:rsidRDefault="00405D16">
            <w:pPr>
              <w:spacing w:after="100"/>
              <w:jc w:val="right"/>
              <w:rPr>
                <w:rFonts w:eastAsia="Times New Roman"/>
              </w:rPr>
            </w:pPr>
            <w:r>
              <w:rPr>
                <w:rFonts w:eastAsia="Times New Roman"/>
                <w:b/>
                <w:bCs/>
                <w:color w:val="000000"/>
                <w:sz w:val="18"/>
                <w:szCs w:val="18"/>
              </w:rPr>
              <w:t>128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85EB13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C21521" w14:textId="77777777" w:rsidR="00000000" w:rsidRDefault="00405D1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7B14DA8" w14:textId="77777777" w:rsidR="00000000" w:rsidRDefault="00405D16">
            <w:pPr>
              <w:spacing w:after="100"/>
              <w:jc w:val="right"/>
              <w:rPr>
                <w:rFonts w:eastAsia="Times New Roman"/>
              </w:rPr>
            </w:pPr>
            <w:r>
              <w:rPr>
                <w:rFonts w:eastAsia="Times New Roman"/>
                <w:color w:val="2C2C2C"/>
                <w:sz w:val="18"/>
                <w:szCs w:val="18"/>
              </w:rPr>
              <w:t>572 </w:t>
            </w:r>
          </w:p>
        </w:tc>
        <w:tc>
          <w:tcPr>
            <w:tcW w:w="0" w:type="auto"/>
            <w:tcMar>
              <w:top w:w="30" w:type="dxa"/>
              <w:left w:w="0" w:type="dxa"/>
              <w:bottom w:w="30" w:type="dxa"/>
              <w:right w:w="20" w:type="dxa"/>
            </w:tcMar>
            <w:vAlign w:val="bottom"/>
            <w:hideMark/>
          </w:tcPr>
          <w:p w14:paraId="77FD087C" w14:textId="77777777" w:rsidR="00000000" w:rsidRDefault="00405D16">
            <w:pPr>
              <w:spacing w:after="100"/>
              <w:jc w:val="right"/>
              <w:rPr>
                <w:rFonts w:eastAsia="Times New Roman"/>
              </w:rPr>
            </w:pPr>
          </w:p>
        </w:tc>
        <w:tc>
          <w:tcPr>
            <w:tcW w:w="0" w:type="auto"/>
            <w:vAlign w:val="center"/>
            <w:hideMark/>
          </w:tcPr>
          <w:p w14:paraId="413B70D0" w14:textId="77777777" w:rsidR="00000000" w:rsidRDefault="00405D16">
            <w:pPr>
              <w:spacing w:after="100"/>
              <w:jc w:val="right"/>
              <w:rPr>
                <w:rFonts w:eastAsia="Times New Roman"/>
                <w:sz w:val="20"/>
                <w:szCs w:val="20"/>
              </w:rPr>
            </w:pPr>
          </w:p>
        </w:tc>
        <w:tc>
          <w:tcPr>
            <w:tcW w:w="0" w:type="auto"/>
            <w:vAlign w:val="center"/>
            <w:hideMark/>
          </w:tcPr>
          <w:p w14:paraId="2063A778" w14:textId="77777777" w:rsidR="00000000" w:rsidRDefault="00405D16">
            <w:pPr>
              <w:spacing w:after="100"/>
              <w:rPr>
                <w:rFonts w:eastAsia="Times New Roman"/>
                <w:sz w:val="20"/>
                <w:szCs w:val="20"/>
              </w:rPr>
            </w:pPr>
          </w:p>
        </w:tc>
        <w:tc>
          <w:tcPr>
            <w:tcW w:w="0" w:type="auto"/>
            <w:vAlign w:val="center"/>
            <w:hideMark/>
          </w:tcPr>
          <w:p w14:paraId="2A1C5A25" w14:textId="77777777" w:rsidR="00000000" w:rsidRDefault="00405D16">
            <w:pPr>
              <w:spacing w:after="100"/>
              <w:rPr>
                <w:rFonts w:eastAsia="Times New Roman"/>
                <w:sz w:val="20"/>
                <w:szCs w:val="20"/>
              </w:rPr>
            </w:pPr>
          </w:p>
        </w:tc>
        <w:tc>
          <w:tcPr>
            <w:tcW w:w="0" w:type="auto"/>
            <w:vAlign w:val="center"/>
            <w:hideMark/>
          </w:tcPr>
          <w:p w14:paraId="1CBB1616" w14:textId="77777777" w:rsidR="00000000" w:rsidRDefault="00405D16">
            <w:pPr>
              <w:spacing w:after="100"/>
              <w:rPr>
                <w:rFonts w:eastAsia="Times New Roman"/>
                <w:sz w:val="20"/>
                <w:szCs w:val="20"/>
              </w:rPr>
            </w:pPr>
          </w:p>
        </w:tc>
      </w:tr>
      <w:tr w:rsidR="00000000" w14:paraId="38A12621" w14:textId="77777777">
        <w:trPr>
          <w:divId w:val="1038235587"/>
        </w:trPr>
        <w:tc>
          <w:tcPr>
            <w:tcW w:w="0" w:type="auto"/>
            <w:gridSpan w:val="3"/>
            <w:shd w:val="clear" w:color="auto" w:fill="CCEEFF"/>
            <w:tcMar>
              <w:top w:w="30" w:type="dxa"/>
              <w:left w:w="245" w:type="dxa"/>
              <w:bottom w:w="30" w:type="dxa"/>
              <w:right w:w="20" w:type="dxa"/>
            </w:tcMar>
            <w:vAlign w:val="bottom"/>
            <w:hideMark/>
          </w:tcPr>
          <w:p w14:paraId="673B5E27" w14:textId="77777777" w:rsidR="00000000" w:rsidRDefault="00405D16">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14:paraId="6B97ECC3"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E62D293" w14:textId="77777777" w:rsidR="00000000" w:rsidRDefault="00405D16">
            <w:pPr>
              <w:spacing w:after="100"/>
              <w:jc w:val="right"/>
              <w:rPr>
                <w:rFonts w:eastAsia="Times New Roman"/>
              </w:rPr>
            </w:pPr>
            <w:r>
              <w:rPr>
                <w:rFonts w:eastAsia="Times New Roman"/>
                <w:b/>
                <w:bCs/>
                <w:color w:val="000000"/>
                <w:sz w:val="18"/>
                <w:szCs w:val="18"/>
              </w:rPr>
              <w:t>109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035343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21ABA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AC3E995" w14:textId="77777777" w:rsidR="00000000" w:rsidRDefault="00405D16">
            <w:pPr>
              <w:spacing w:after="100"/>
              <w:jc w:val="right"/>
              <w:rPr>
                <w:rFonts w:eastAsia="Times New Roman"/>
              </w:rPr>
            </w:pPr>
            <w:r>
              <w:rPr>
                <w:rFonts w:eastAsia="Times New Roman"/>
                <w:color w:val="000000"/>
                <w:sz w:val="18"/>
                <w:szCs w:val="18"/>
              </w:rPr>
              <w:t>124 </w:t>
            </w:r>
          </w:p>
        </w:tc>
        <w:tc>
          <w:tcPr>
            <w:tcW w:w="0" w:type="auto"/>
            <w:shd w:val="clear" w:color="auto" w:fill="CCEEFF"/>
            <w:tcMar>
              <w:top w:w="30" w:type="dxa"/>
              <w:left w:w="0" w:type="dxa"/>
              <w:bottom w:w="30" w:type="dxa"/>
              <w:right w:w="20" w:type="dxa"/>
            </w:tcMar>
            <w:vAlign w:val="center"/>
            <w:hideMark/>
          </w:tcPr>
          <w:p w14:paraId="28E4DBE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D4566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3028294" w14:textId="77777777" w:rsidR="00000000" w:rsidRDefault="00405D16">
            <w:pPr>
              <w:spacing w:after="100"/>
              <w:jc w:val="right"/>
              <w:rPr>
                <w:rFonts w:eastAsia="Times New Roman"/>
              </w:rPr>
            </w:pPr>
            <w:r>
              <w:rPr>
                <w:rFonts w:eastAsia="Times New Roman"/>
                <w:b/>
                <w:bCs/>
                <w:color w:val="000000"/>
                <w:sz w:val="18"/>
                <w:szCs w:val="18"/>
              </w:rPr>
              <w:t>280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258629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CA701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3A7E9D" w14:textId="77777777" w:rsidR="00000000" w:rsidRDefault="00405D16">
            <w:pPr>
              <w:spacing w:after="100"/>
              <w:jc w:val="right"/>
              <w:rPr>
                <w:rFonts w:eastAsia="Times New Roman"/>
              </w:rPr>
            </w:pPr>
            <w:r>
              <w:rPr>
                <w:rFonts w:eastAsia="Times New Roman"/>
                <w:color w:val="000000"/>
                <w:sz w:val="18"/>
                <w:szCs w:val="18"/>
              </w:rPr>
              <w:t>273 </w:t>
            </w:r>
          </w:p>
        </w:tc>
        <w:tc>
          <w:tcPr>
            <w:tcW w:w="0" w:type="auto"/>
            <w:shd w:val="clear" w:color="auto" w:fill="CCEEFF"/>
            <w:tcMar>
              <w:top w:w="30" w:type="dxa"/>
              <w:left w:w="0" w:type="dxa"/>
              <w:bottom w:w="30" w:type="dxa"/>
              <w:right w:w="20" w:type="dxa"/>
            </w:tcMar>
            <w:vAlign w:val="bottom"/>
            <w:hideMark/>
          </w:tcPr>
          <w:p w14:paraId="07183497" w14:textId="77777777" w:rsidR="00000000" w:rsidRDefault="00405D16">
            <w:pPr>
              <w:spacing w:after="100"/>
              <w:jc w:val="right"/>
              <w:rPr>
                <w:rFonts w:eastAsia="Times New Roman"/>
              </w:rPr>
            </w:pPr>
          </w:p>
        </w:tc>
        <w:tc>
          <w:tcPr>
            <w:tcW w:w="0" w:type="auto"/>
            <w:vAlign w:val="center"/>
            <w:hideMark/>
          </w:tcPr>
          <w:p w14:paraId="46A63961" w14:textId="77777777" w:rsidR="00000000" w:rsidRDefault="00405D16">
            <w:pPr>
              <w:spacing w:after="100"/>
              <w:jc w:val="right"/>
              <w:rPr>
                <w:rFonts w:eastAsia="Times New Roman"/>
                <w:sz w:val="20"/>
                <w:szCs w:val="20"/>
              </w:rPr>
            </w:pPr>
          </w:p>
        </w:tc>
        <w:tc>
          <w:tcPr>
            <w:tcW w:w="0" w:type="auto"/>
            <w:vAlign w:val="center"/>
            <w:hideMark/>
          </w:tcPr>
          <w:p w14:paraId="71F424BD" w14:textId="77777777" w:rsidR="00000000" w:rsidRDefault="00405D16">
            <w:pPr>
              <w:spacing w:after="100"/>
              <w:rPr>
                <w:rFonts w:eastAsia="Times New Roman"/>
                <w:sz w:val="20"/>
                <w:szCs w:val="20"/>
              </w:rPr>
            </w:pPr>
          </w:p>
        </w:tc>
        <w:tc>
          <w:tcPr>
            <w:tcW w:w="0" w:type="auto"/>
            <w:vAlign w:val="center"/>
            <w:hideMark/>
          </w:tcPr>
          <w:p w14:paraId="3E325315" w14:textId="77777777" w:rsidR="00000000" w:rsidRDefault="00405D16">
            <w:pPr>
              <w:spacing w:after="100"/>
              <w:rPr>
                <w:rFonts w:eastAsia="Times New Roman"/>
                <w:sz w:val="20"/>
                <w:szCs w:val="20"/>
              </w:rPr>
            </w:pPr>
          </w:p>
        </w:tc>
        <w:tc>
          <w:tcPr>
            <w:tcW w:w="0" w:type="auto"/>
            <w:vAlign w:val="center"/>
            <w:hideMark/>
          </w:tcPr>
          <w:p w14:paraId="2BAA202D" w14:textId="77777777" w:rsidR="00000000" w:rsidRDefault="00405D16">
            <w:pPr>
              <w:spacing w:after="100"/>
              <w:rPr>
                <w:rFonts w:eastAsia="Times New Roman"/>
                <w:sz w:val="20"/>
                <w:szCs w:val="20"/>
              </w:rPr>
            </w:pPr>
          </w:p>
        </w:tc>
      </w:tr>
      <w:tr w:rsidR="00000000" w14:paraId="22BEF345" w14:textId="77777777">
        <w:trPr>
          <w:divId w:val="1038235587"/>
        </w:trPr>
        <w:tc>
          <w:tcPr>
            <w:tcW w:w="0" w:type="auto"/>
            <w:gridSpan w:val="3"/>
            <w:shd w:val="clear" w:color="auto" w:fill="FFFFFF"/>
            <w:tcMar>
              <w:top w:w="30" w:type="dxa"/>
              <w:left w:w="20" w:type="dxa"/>
              <w:bottom w:w="30" w:type="dxa"/>
              <w:right w:w="20" w:type="dxa"/>
            </w:tcMar>
            <w:vAlign w:val="bottom"/>
            <w:hideMark/>
          </w:tcPr>
          <w:p w14:paraId="19409A48" w14:textId="77777777" w:rsidR="00000000" w:rsidRDefault="00405D16">
            <w:pPr>
              <w:spacing w:after="100"/>
              <w:rPr>
                <w:rFonts w:eastAsia="Times New Roman"/>
              </w:rPr>
            </w:pPr>
            <w:r>
              <w:rPr>
                <w:rFonts w:eastAsia="Times New Roman"/>
                <w:color w:val="000000"/>
                <w:sz w:val="18"/>
                <w:szCs w:val="18"/>
              </w:rPr>
              <w:t>Total other non-interest income</w:t>
            </w:r>
          </w:p>
        </w:tc>
        <w:tc>
          <w:tcPr>
            <w:tcW w:w="0" w:type="auto"/>
            <w:gridSpan w:val="3"/>
            <w:shd w:val="clear" w:color="auto" w:fill="FFFFFF"/>
            <w:tcMar>
              <w:top w:w="0" w:type="dxa"/>
              <w:left w:w="20" w:type="dxa"/>
              <w:bottom w:w="0" w:type="dxa"/>
              <w:right w:w="20" w:type="dxa"/>
            </w:tcMar>
            <w:vAlign w:val="center"/>
            <w:hideMark/>
          </w:tcPr>
          <w:p w14:paraId="5E6B6AE9"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9F153AB" w14:textId="77777777" w:rsidR="00000000" w:rsidRDefault="00405D16">
            <w:pPr>
              <w:spacing w:after="100"/>
              <w:jc w:val="right"/>
              <w:rPr>
                <w:rFonts w:eastAsia="Times New Roman"/>
              </w:rPr>
            </w:pPr>
            <w:r>
              <w:rPr>
                <w:rFonts w:eastAsia="Times New Roman"/>
                <w:b/>
                <w:bCs/>
                <w:color w:val="000000"/>
                <w:sz w:val="18"/>
                <w:szCs w:val="18"/>
              </w:rPr>
              <w:t>243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A23BDF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3B3CF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39F9FB6" w14:textId="77777777" w:rsidR="00000000" w:rsidRDefault="00405D16">
            <w:pPr>
              <w:spacing w:after="100"/>
              <w:jc w:val="right"/>
              <w:rPr>
                <w:rFonts w:eastAsia="Times New Roman"/>
              </w:rPr>
            </w:pPr>
            <w:r>
              <w:rPr>
                <w:rFonts w:eastAsia="Times New Roman"/>
                <w:color w:val="000000"/>
                <w:sz w:val="18"/>
                <w:szCs w:val="18"/>
              </w:rPr>
              <w:t>706 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DBECEE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134555"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A57C58B" w14:textId="77777777" w:rsidR="00000000" w:rsidRDefault="00405D16">
            <w:pPr>
              <w:spacing w:after="100"/>
              <w:jc w:val="right"/>
              <w:rPr>
                <w:rFonts w:eastAsia="Times New Roman"/>
              </w:rPr>
            </w:pPr>
            <w:r>
              <w:rPr>
                <w:rFonts w:eastAsia="Times New Roman"/>
                <w:b/>
                <w:bCs/>
                <w:color w:val="2C2C2C"/>
                <w:sz w:val="18"/>
                <w:szCs w:val="18"/>
              </w:rPr>
              <w:t>592</w:t>
            </w:r>
            <w:r>
              <w:rPr>
                <w:rFonts w:eastAsia="Times New Roman"/>
                <w:color w:val="2C2C2C"/>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4421C1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3D94B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07E5CC8" w14:textId="77777777" w:rsidR="00000000" w:rsidRDefault="00405D16">
            <w:pPr>
              <w:spacing w:after="100"/>
              <w:jc w:val="right"/>
              <w:rPr>
                <w:rFonts w:eastAsia="Times New Roman"/>
              </w:rPr>
            </w:pPr>
            <w:r>
              <w:rPr>
                <w:rFonts w:eastAsia="Times New Roman"/>
                <w:color w:val="2C2C2C"/>
                <w:sz w:val="18"/>
                <w:szCs w:val="18"/>
              </w:rPr>
              <w:t>1,017 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ABA68FB" w14:textId="77777777" w:rsidR="00000000" w:rsidRDefault="00405D16">
            <w:pPr>
              <w:spacing w:after="100"/>
              <w:jc w:val="right"/>
              <w:rPr>
                <w:rFonts w:eastAsia="Times New Roman"/>
              </w:rPr>
            </w:pPr>
          </w:p>
        </w:tc>
        <w:tc>
          <w:tcPr>
            <w:tcW w:w="0" w:type="auto"/>
            <w:vAlign w:val="center"/>
            <w:hideMark/>
          </w:tcPr>
          <w:p w14:paraId="1C5A36A2" w14:textId="77777777" w:rsidR="00000000" w:rsidRDefault="00405D16">
            <w:pPr>
              <w:spacing w:after="100"/>
              <w:jc w:val="right"/>
              <w:rPr>
                <w:rFonts w:eastAsia="Times New Roman"/>
                <w:sz w:val="20"/>
                <w:szCs w:val="20"/>
              </w:rPr>
            </w:pPr>
          </w:p>
        </w:tc>
        <w:tc>
          <w:tcPr>
            <w:tcW w:w="0" w:type="auto"/>
            <w:vAlign w:val="center"/>
            <w:hideMark/>
          </w:tcPr>
          <w:p w14:paraId="4BEEA956" w14:textId="77777777" w:rsidR="00000000" w:rsidRDefault="00405D16">
            <w:pPr>
              <w:spacing w:after="100"/>
              <w:rPr>
                <w:rFonts w:eastAsia="Times New Roman"/>
                <w:sz w:val="20"/>
                <w:szCs w:val="20"/>
              </w:rPr>
            </w:pPr>
          </w:p>
        </w:tc>
        <w:tc>
          <w:tcPr>
            <w:tcW w:w="0" w:type="auto"/>
            <w:vAlign w:val="center"/>
            <w:hideMark/>
          </w:tcPr>
          <w:p w14:paraId="1DE322D5" w14:textId="77777777" w:rsidR="00000000" w:rsidRDefault="00405D16">
            <w:pPr>
              <w:spacing w:after="100"/>
              <w:rPr>
                <w:rFonts w:eastAsia="Times New Roman"/>
                <w:sz w:val="20"/>
                <w:szCs w:val="20"/>
              </w:rPr>
            </w:pPr>
          </w:p>
        </w:tc>
        <w:tc>
          <w:tcPr>
            <w:tcW w:w="0" w:type="auto"/>
            <w:vAlign w:val="center"/>
            <w:hideMark/>
          </w:tcPr>
          <w:p w14:paraId="2DBC1002" w14:textId="77777777" w:rsidR="00000000" w:rsidRDefault="00405D16">
            <w:pPr>
              <w:spacing w:after="100"/>
              <w:rPr>
                <w:rFonts w:eastAsia="Times New Roman"/>
                <w:sz w:val="20"/>
                <w:szCs w:val="20"/>
              </w:rPr>
            </w:pPr>
          </w:p>
        </w:tc>
      </w:tr>
      <w:tr w:rsidR="00000000" w14:paraId="6EFEC1F3" w14:textId="77777777">
        <w:trPr>
          <w:divId w:val="1038235587"/>
        </w:trPr>
        <w:tc>
          <w:tcPr>
            <w:tcW w:w="0" w:type="auto"/>
            <w:gridSpan w:val="3"/>
            <w:shd w:val="clear" w:color="auto" w:fill="CCEEFF"/>
            <w:tcMar>
              <w:top w:w="30" w:type="dxa"/>
              <w:left w:w="20" w:type="dxa"/>
              <w:bottom w:w="30" w:type="dxa"/>
              <w:right w:w="20" w:type="dxa"/>
            </w:tcMar>
            <w:vAlign w:val="bottom"/>
            <w:hideMark/>
          </w:tcPr>
          <w:p w14:paraId="1287700B" w14:textId="77777777" w:rsidR="00000000" w:rsidRDefault="00405D16">
            <w:pPr>
              <w:spacing w:after="100"/>
              <w:rPr>
                <w:rFonts w:eastAsia="Times New Roman"/>
              </w:rPr>
            </w:pPr>
            <w:r>
              <w:rPr>
                <w:rFonts w:eastAsia="Times New Roman"/>
                <w:color w:val="000000"/>
                <w:sz w:val="18"/>
                <w:szCs w:val="18"/>
              </w:rPr>
              <w:t>Total non-interest income</w:t>
            </w:r>
          </w:p>
        </w:tc>
        <w:tc>
          <w:tcPr>
            <w:tcW w:w="0" w:type="auto"/>
            <w:gridSpan w:val="3"/>
            <w:shd w:val="clear" w:color="auto" w:fill="CCEEFF"/>
            <w:tcMar>
              <w:top w:w="0" w:type="dxa"/>
              <w:left w:w="20" w:type="dxa"/>
              <w:bottom w:w="0" w:type="dxa"/>
              <w:right w:w="20" w:type="dxa"/>
            </w:tcMar>
            <w:vAlign w:val="center"/>
            <w:hideMark/>
          </w:tcPr>
          <w:p w14:paraId="70E1FE88"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8EE8B83"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26AEDD7" w14:textId="77777777" w:rsidR="00000000" w:rsidRDefault="00405D16">
            <w:pPr>
              <w:spacing w:after="100"/>
              <w:jc w:val="right"/>
              <w:rPr>
                <w:rFonts w:eastAsia="Times New Roman"/>
              </w:rPr>
            </w:pPr>
            <w:r>
              <w:rPr>
                <w:rFonts w:eastAsia="Times New Roman"/>
                <w:b/>
                <w:bCs/>
                <w:color w:val="000000"/>
                <w:sz w:val="18"/>
                <w:szCs w:val="18"/>
              </w:rPr>
              <w:t>1,674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B33355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92E59C"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C7F6DAF"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F9FAE82" w14:textId="77777777" w:rsidR="00000000" w:rsidRDefault="00405D16">
            <w:pPr>
              <w:spacing w:after="100"/>
              <w:jc w:val="right"/>
              <w:rPr>
                <w:rFonts w:eastAsia="Times New Roman"/>
              </w:rPr>
            </w:pPr>
            <w:r>
              <w:rPr>
                <w:rFonts w:eastAsia="Times New Roman"/>
                <w:color w:val="000000"/>
                <w:sz w:val="18"/>
                <w:szCs w:val="18"/>
              </w:rPr>
              <w:t>1,826 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BF6AC8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46C331"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02BAEF18"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8731959" w14:textId="77777777" w:rsidR="00000000" w:rsidRDefault="00405D16">
            <w:pPr>
              <w:spacing w:after="100"/>
              <w:jc w:val="right"/>
              <w:rPr>
                <w:rFonts w:eastAsia="Times New Roman"/>
              </w:rPr>
            </w:pPr>
            <w:r>
              <w:rPr>
                <w:rFonts w:eastAsia="Times New Roman"/>
                <w:b/>
                <w:bCs/>
                <w:color w:val="000000"/>
                <w:sz w:val="18"/>
                <w:szCs w:val="18"/>
              </w:rPr>
              <w:t>4,596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2A05CE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19C8A9"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133F010"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08D4240" w14:textId="77777777" w:rsidR="00000000" w:rsidRDefault="00405D16">
            <w:pPr>
              <w:spacing w:after="100"/>
              <w:jc w:val="right"/>
              <w:rPr>
                <w:rFonts w:eastAsia="Times New Roman"/>
              </w:rPr>
            </w:pPr>
            <w:r>
              <w:rPr>
                <w:rFonts w:eastAsia="Times New Roman"/>
                <w:color w:val="000000"/>
                <w:sz w:val="18"/>
                <w:szCs w:val="18"/>
              </w:rPr>
              <w:t>4,146 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63339B7" w14:textId="77777777" w:rsidR="00000000" w:rsidRDefault="00405D16">
            <w:pPr>
              <w:spacing w:after="100"/>
              <w:jc w:val="right"/>
              <w:rPr>
                <w:rFonts w:eastAsia="Times New Roman"/>
              </w:rPr>
            </w:pPr>
          </w:p>
        </w:tc>
        <w:tc>
          <w:tcPr>
            <w:tcW w:w="0" w:type="auto"/>
            <w:vAlign w:val="center"/>
            <w:hideMark/>
          </w:tcPr>
          <w:p w14:paraId="4639D841" w14:textId="77777777" w:rsidR="00000000" w:rsidRDefault="00405D16">
            <w:pPr>
              <w:spacing w:after="100"/>
              <w:jc w:val="right"/>
              <w:rPr>
                <w:rFonts w:eastAsia="Times New Roman"/>
                <w:sz w:val="20"/>
                <w:szCs w:val="20"/>
              </w:rPr>
            </w:pPr>
          </w:p>
        </w:tc>
        <w:tc>
          <w:tcPr>
            <w:tcW w:w="0" w:type="auto"/>
            <w:vAlign w:val="center"/>
            <w:hideMark/>
          </w:tcPr>
          <w:p w14:paraId="342A06FD" w14:textId="77777777" w:rsidR="00000000" w:rsidRDefault="00405D16">
            <w:pPr>
              <w:spacing w:after="100"/>
              <w:rPr>
                <w:rFonts w:eastAsia="Times New Roman"/>
                <w:sz w:val="20"/>
                <w:szCs w:val="20"/>
              </w:rPr>
            </w:pPr>
          </w:p>
        </w:tc>
        <w:tc>
          <w:tcPr>
            <w:tcW w:w="0" w:type="auto"/>
            <w:vAlign w:val="center"/>
            <w:hideMark/>
          </w:tcPr>
          <w:p w14:paraId="4B5AD56D" w14:textId="77777777" w:rsidR="00000000" w:rsidRDefault="00405D16">
            <w:pPr>
              <w:spacing w:after="100"/>
              <w:rPr>
                <w:rFonts w:eastAsia="Times New Roman"/>
                <w:sz w:val="20"/>
                <w:szCs w:val="20"/>
              </w:rPr>
            </w:pPr>
          </w:p>
        </w:tc>
        <w:tc>
          <w:tcPr>
            <w:tcW w:w="0" w:type="auto"/>
            <w:vAlign w:val="center"/>
            <w:hideMark/>
          </w:tcPr>
          <w:p w14:paraId="76BA954E" w14:textId="77777777" w:rsidR="00000000" w:rsidRDefault="00405D16">
            <w:pPr>
              <w:spacing w:after="100"/>
              <w:rPr>
                <w:rFonts w:eastAsia="Times New Roman"/>
                <w:sz w:val="20"/>
                <w:szCs w:val="20"/>
              </w:rPr>
            </w:pPr>
          </w:p>
        </w:tc>
      </w:tr>
    </w:tbl>
    <w:p w14:paraId="3E6387C8" w14:textId="77777777" w:rsidR="00000000" w:rsidRDefault="00405D16">
      <w:pPr>
        <w:divId w:val="1038235587"/>
        <w:rPr>
          <w:rFonts w:eastAsia="Times New Roman"/>
        </w:rPr>
      </w:pPr>
      <w:r>
        <w:rPr>
          <w:rFonts w:eastAsia="Times New Roman"/>
          <w:color w:val="000000"/>
          <w:sz w:val="20"/>
          <w:szCs w:val="20"/>
        </w:rPr>
        <w:t>________</w:t>
      </w:r>
    </w:p>
    <w:p w14:paraId="0B5CCAEB" w14:textId="77777777" w:rsidR="00000000" w:rsidRDefault="00405D16">
      <w:pPr>
        <w:ind w:hanging="360"/>
        <w:jc w:val="both"/>
        <w:divId w:val="130570099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a loss of $1 million and a gain of $44 mill</w:t>
      </w:r>
      <w:r>
        <w:rPr>
          <w:rFonts w:eastAsia="Times New Roman"/>
          <w:color w:val="000000"/>
          <w:sz w:val="16"/>
          <w:szCs w:val="16"/>
        </w:rPr>
        <w:t>ion on deferred compensation plan investments for the third quarter and first nine months of 2021, respectively, and gains of $19 million and $4 million on deferred compensation plan investments for the third quarter and first nine months of 2020, respecti</w:t>
      </w:r>
      <w:r>
        <w:rPr>
          <w:rFonts w:eastAsia="Times New Roman"/>
          <w:color w:val="000000"/>
          <w:sz w:val="16"/>
          <w:szCs w:val="16"/>
        </w:rPr>
        <w:t>vely. These amounts have corresponding offsets in other non-interest expense.</w:t>
      </w:r>
    </w:p>
    <w:p w14:paraId="01E142E3" w14:textId="77777777" w:rsidR="00000000" w:rsidRDefault="00405D16">
      <w:pPr>
        <w:jc w:val="both"/>
        <w:divId w:val="1862207237"/>
        <w:rPr>
          <w:rFonts w:eastAsia="Times New Roman"/>
        </w:rPr>
      </w:pPr>
      <w:r>
        <w:rPr>
          <w:rFonts w:eastAsia="Times New Roman"/>
          <w:color w:val="000000"/>
          <w:sz w:val="20"/>
          <w:szCs w:val="20"/>
          <w:shd w:val="clear" w:color="auto" w:fill="FFFFFF"/>
        </w:rPr>
        <w:t>No</w:t>
      </w:r>
      <w:r>
        <w:rPr>
          <w:rFonts w:eastAsia="Times New Roman"/>
          <w:color w:val="000000"/>
          <w:sz w:val="20"/>
          <w:szCs w:val="20"/>
        </w:rPr>
        <w:t xml:space="preserve">n-interest income decreased by $152 million to $1.7 billion in </w:t>
      </w:r>
      <w:r>
        <w:rPr>
          <w:rFonts w:eastAsia="Times New Roman"/>
          <w:color w:val="000000"/>
          <w:sz w:val="20"/>
          <w:szCs w:val="20"/>
        </w:rPr>
        <w:t>the third quarter of 2021 compared to the third quarter of 2020 primarily driven by the absence of a gain on our equity investment in Snowflake Inc. in the third quarter of 2020, partially offset by higher net interchange fees due to an increase in purchas</w:t>
      </w:r>
      <w:r>
        <w:rPr>
          <w:rFonts w:eastAsia="Times New Roman"/>
          <w:color w:val="000000"/>
          <w:sz w:val="20"/>
          <w:szCs w:val="20"/>
        </w:rPr>
        <w:t xml:space="preserve">e volume. </w:t>
      </w:r>
    </w:p>
    <w:p w14:paraId="39CFA3B4" w14:textId="77777777" w:rsidR="00000000" w:rsidRDefault="00405D16">
      <w:pPr>
        <w:jc w:val="both"/>
        <w:divId w:val="1359551081"/>
        <w:rPr>
          <w:rFonts w:eastAsia="Times New Roman"/>
        </w:rPr>
      </w:pPr>
      <w:r>
        <w:rPr>
          <w:rFonts w:eastAsia="Times New Roman"/>
          <w:color w:val="000000"/>
          <w:sz w:val="20"/>
          <w:szCs w:val="20"/>
        </w:rPr>
        <w:t>Non-interest income increased by $450 </w:t>
      </w:r>
      <w:r>
        <w:rPr>
          <w:rFonts w:eastAsia="Times New Roman"/>
          <w:color w:val="000000"/>
          <w:sz w:val="20"/>
          <w:szCs w:val="20"/>
        </w:rPr>
        <w:t xml:space="preserve">million to $4.6 billion in the first nine months of 2021 compared to the first nine months of 2020 primarily driven by higher net interchange fees due to an increase in purchase volume, partially offset by the absence of a gain on our equity investment in </w:t>
      </w:r>
      <w:r>
        <w:rPr>
          <w:rFonts w:eastAsia="Times New Roman"/>
          <w:color w:val="000000"/>
          <w:sz w:val="20"/>
          <w:szCs w:val="20"/>
        </w:rPr>
        <w:t xml:space="preserve">Snowflake Inc. </w:t>
      </w:r>
    </w:p>
    <w:p w14:paraId="6DC814CB" w14:textId="77777777" w:rsidR="00000000" w:rsidRDefault="00405D16">
      <w:pPr>
        <w:divId w:val="1084690374"/>
        <w:rPr>
          <w:rFonts w:eastAsia="Times New Roman"/>
        </w:rPr>
      </w:pPr>
      <w:r>
        <w:rPr>
          <w:rFonts w:eastAsia="Times New Roman"/>
          <w:b/>
          <w:bCs/>
          <w:color w:val="000000"/>
          <w:sz w:val="20"/>
          <w:szCs w:val="20"/>
          <w:shd w:val="clear" w:color="auto" w:fill="FFFFFF"/>
        </w:rPr>
        <w:t>Provision for Credit Losses</w:t>
      </w:r>
    </w:p>
    <w:p w14:paraId="2FD2AFE0" w14:textId="77777777" w:rsidR="00000000" w:rsidRDefault="00405D16">
      <w:pPr>
        <w:jc w:val="both"/>
        <w:divId w:val="1000087953"/>
        <w:rPr>
          <w:rFonts w:eastAsia="Times New Roman"/>
        </w:rPr>
      </w:pPr>
      <w:r>
        <w:rPr>
          <w:rFonts w:eastAsia="Times New Roman"/>
          <w:color w:val="000000"/>
          <w:sz w:val="20"/>
          <w:szCs w:val="20"/>
        </w:rPr>
        <w:t>Our provision for credit losses in each period is driven by net charge-offs, changes to the allowance for credit losses and changes to the reserve for unfunded lending commitments. Our provision for credit losses</w:t>
      </w:r>
      <w:r>
        <w:rPr>
          <w:rFonts w:eastAsia="Times New Roman"/>
          <w:color w:val="000000"/>
          <w:sz w:val="20"/>
          <w:szCs w:val="20"/>
        </w:rPr>
        <w:t xml:space="preserve"> decreased by $673 million to a benefit of $342 million in the third quarter of 2021 compared to the third quarter of 2020 driven by an allowance release primarily due to strong credit performance. Our provision for credit losses decreased by $12.3 billion</w:t>
      </w:r>
      <w:r>
        <w:rPr>
          <w:rFonts w:eastAsia="Times New Roman"/>
          <w:color w:val="000000"/>
          <w:sz w:val="20"/>
          <w:szCs w:val="20"/>
        </w:rPr>
        <w:t xml:space="preserve"> to a benefit of $2.3 billion in the first nine months of 2021 as a result of allowance releases in 2021 due to continued strong credit performance and an improved economic outlook, compared to allowance builds in 2020 driven by expectations of economic wo</w:t>
      </w:r>
      <w:r>
        <w:rPr>
          <w:rFonts w:eastAsia="Times New Roman"/>
          <w:color w:val="000000"/>
          <w:sz w:val="20"/>
          <w:szCs w:val="20"/>
        </w:rPr>
        <w:t>rsening at the start of the COVID-19 pandemic.</w:t>
      </w:r>
    </w:p>
    <w:p w14:paraId="40B1EF3B" w14:textId="77777777" w:rsidR="00000000" w:rsidRDefault="00405D16">
      <w:pPr>
        <w:jc w:val="both"/>
        <w:divId w:val="1326975573"/>
        <w:rPr>
          <w:rFonts w:eastAsia="Times New Roman"/>
        </w:rPr>
      </w:pPr>
      <w:r>
        <w:rPr>
          <w:rFonts w:eastAsia="Times New Roman"/>
          <w:color w:val="000000"/>
          <w:sz w:val="20"/>
          <w:szCs w:val="20"/>
          <w:shd w:val="clear" w:color="auto" w:fill="FFFFFF"/>
        </w:rPr>
        <w:t>We provide additional information on the provision for credit losses and changes in the allowance for credit losses within “MD&amp;A—Credit Risk Profile” and “Note 4—Allowance for Credit Losses and Reserve for Unf</w:t>
      </w:r>
      <w:r>
        <w:rPr>
          <w:rFonts w:eastAsia="Times New Roman"/>
          <w:color w:val="000000"/>
          <w:sz w:val="20"/>
          <w:szCs w:val="20"/>
          <w:shd w:val="clear" w:color="auto" w:fill="FFFFFF"/>
        </w:rPr>
        <w:t>unded Lending Commitments.” For information on the allowance methodology for each of our loan categories, see “Note 1—Summary of Significant Accounting Policies” in our 2020 Form 10-K.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08BEE9E9" w14:textId="77777777">
        <w:trPr>
          <w:divId w:val="553780777"/>
          <w:jc w:val="center"/>
        </w:trPr>
        <w:tc>
          <w:tcPr>
            <w:tcW w:w="50" w:type="pct"/>
            <w:vAlign w:val="center"/>
            <w:hideMark/>
          </w:tcPr>
          <w:p w14:paraId="05336F85" w14:textId="77777777" w:rsidR="00000000" w:rsidRDefault="00405D16">
            <w:pPr>
              <w:jc w:val="both"/>
              <w:rPr>
                <w:rFonts w:eastAsia="Times New Roman"/>
              </w:rPr>
            </w:pPr>
          </w:p>
        </w:tc>
        <w:tc>
          <w:tcPr>
            <w:tcW w:w="1606" w:type="pct"/>
            <w:vAlign w:val="center"/>
            <w:hideMark/>
          </w:tcPr>
          <w:p w14:paraId="214A06ED" w14:textId="77777777" w:rsidR="00000000" w:rsidRDefault="00405D16">
            <w:pPr>
              <w:spacing w:after="100"/>
              <w:rPr>
                <w:rFonts w:eastAsia="Times New Roman"/>
                <w:sz w:val="20"/>
                <w:szCs w:val="20"/>
              </w:rPr>
            </w:pPr>
          </w:p>
        </w:tc>
        <w:tc>
          <w:tcPr>
            <w:tcW w:w="5" w:type="pct"/>
            <w:vAlign w:val="center"/>
            <w:hideMark/>
          </w:tcPr>
          <w:p w14:paraId="2FF8821F" w14:textId="77777777" w:rsidR="00000000" w:rsidRDefault="00405D16">
            <w:pPr>
              <w:spacing w:after="100"/>
              <w:rPr>
                <w:rFonts w:eastAsia="Times New Roman"/>
                <w:sz w:val="20"/>
                <w:szCs w:val="20"/>
              </w:rPr>
            </w:pPr>
          </w:p>
        </w:tc>
        <w:tc>
          <w:tcPr>
            <w:tcW w:w="50" w:type="pct"/>
            <w:vAlign w:val="center"/>
            <w:hideMark/>
          </w:tcPr>
          <w:p w14:paraId="6BA4B8CC" w14:textId="77777777" w:rsidR="00000000" w:rsidRDefault="00405D16">
            <w:pPr>
              <w:spacing w:after="100"/>
              <w:rPr>
                <w:rFonts w:eastAsia="Times New Roman"/>
                <w:sz w:val="20"/>
                <w:szCs w:val="20"/>
              </w:rPr>
            </w:pPr>
          </w:p>
        </w:tc>
        <w:tc>
          <w:tcPr>
            <w:tcW w:w="1614" w:type="pct"/>
            <w:vAlign w:val="center"/>
            <w:hideMark/>
          </w:tcPr>
          <w:p w14:paraId="29526CA3" w14:textId="77777777" w:rsidR="00000000" w:rsidRDefault="00405D16">
            <w:pPr>
              <w:spacing w:after="100"/>
              <w:rPr>
                <w:rFonts w:eastAsia="Times New Roman"/>
                <w:sz w:val="20"/>
                <w:szCs w:val="20"/>
              </w:rPr>
            </w:pPr>
          </w:p>
        </w:tc>
        <w:tc>
          <w:tcPr>
            <w:tcW w:w="5" w:type="pct"/>
            <w:vAlign w:val="center"/>
            <w:hideMark/>
          </w:tcPr>
          <w:p w14:paraId="5A1E6CE0" w14:textId="77777777" w:rsidR="00000000" w:rsidRDefault="00405D16">
            <w:pPr>
              <w:spacing w:after="100"/>
              <w:rPr>
                <w:rFonts w:eastAsia="Times New Roman"/>
                <w:sz w:val="20"/>
                <w:szCs w:val="20"/>
              </w:rPr>
            </w:pPr>
          </w:p>
        </w:tc>
        <w:tc>
          <w:tcPr>
            <w:tcW w:w="50" w:type="pct"/>
            <w:vAlign w:val="center"/>
            <w:hideMark/>
          </w:tcPr>
          <w:p w14:paraId="5C43A809" w14:textId="77777777" w:rsidR="00000000" w:rsidRDefault="00405D16">
            <w:pPr>
              <w:spacing w:after="100"/>
              <w:rPr>
                <w:rFonts w:eastAsia="Times New Roman"/>
                <w:sz w:val="20"/>
                <w:szCs w:val="20"/>
              </w:rPr>
            </w:pPr>
          </w:p>
        </w:tc>
        <w:tc>
          <w:tcPr>
            <w:tcW w:w="1614" w:type="pct"/>
            <w:vAlign w:val="center"/>
            <w:hideMark/>
          </w:tcPr>
          <w:p w14:paraId="2A92593B" w14:textId="77777777" w:rsidR="00000000" w:rsidRDefault="00405D16">
            <w:pPr>
              <w:spacing w:after="100"/>
              <w:rPr>
                <w:rFonts w:eastAsia="Times New Roman"/>
                <w:sz w:val="20"/>
                <w:szCs w:val="20"/>
              </w:rPr>
            </w:pPr>
          </w:p>
        </w:tc>
        <w:tc>
          <w:tcPr>
            <w:tcW w:w="5" w:type="pct"/>
            <w:vAlign w:val="center"/>
            <w:hideMark/>
          </w:tcPr>
          <w:p w14:paraId="4B75FEDB" w14:textId="77777777" w:rsidR="00000000" w:rsidRDefault="00405D16">
            <w:pPr>
              <w:spacing w:after="100"/>
              <w:rPr>
                <w:rFonts w:eastAsia="Times New Roman"/>
                <w:sz w:val="20"/>
                <w:szCs w:val="20"/>
              </w:rPr>
            </w:pPr>
          </w:p>
        </w:tc>
      </w:tr>
      <w:tr w:rsidR="00000000" w14:paraId="319106E5" w14:textId="77777777">
        <w:trPr>
          <w:divId w:val="553780777"/>
          <w:trHeight w:val="300"/>
          <w:jc w:val="center"/>
        </w:trPr>
        <w:tc>
          <w:tcPr>
            <w:tcW w:w="0" w:type="auto"/>
            <w:gridSpan w:val="9"/>
            <w:tcMar>
              <w:top w:w="0" w:type="dxa"/>
              <w:left w:w="20" w:type="dxa"/>
              <w:bottom w:w="0" w:type="dxa"/>
              <w:right w:w="20" w:type="dxa"/>
            </w:tcMar>
            <w:vAlign w:val="center"/>
            <w:hideMark/>
          </w:tcPr>
          <w:p w14:paraId="1F2034A9" w14:textId="77777777" w:rsidR="00000000" w:rsidRDefault="00405D16">
            <w:pPr>
              <w:spacing w:after="100"/>
              <w:rPr>
                <w:rFonts w:eastAsia="Times New Roman"/>
                <w:sz w:val="20"/>
                <w:szCs w:val="20"/>
              </w:rPr>
            </w:pPr>
          </w:p>
        </w:tc>
      </w:tr>
      <w:tr w:rsidR="00000000" w14:paraId="487E6BE9" w14:textId="77777777">
        <w:trPr>
          <w:divId w:val="553780777"/>
          <w:jc w:val="center"/>
        </w:trPr>
        <w:tc>
          <w:tcPr>
            <w:tcW w:w="0" w:type="auto"/>
            <w:gridSpan w:val="3"/>
            <w:tcMar>
              <w:top w:w="0" w:type="dxa"/>
              <w:left w:w="20" w:type="dxa"/>
              <w:bottom w:w="0" w:type="dxa"/>
              <w:right w:w="20" w:type="dxa"/>
            </w:tcMar>
            <w:vAlign w:val="center"/>
            <w:hideMark/>
          </w:tcPr>
          <w:p w14:paraId="23C24E51"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0434C12" w14:textId="77777777" w:rsidR="00000000" w:rsidRDefault="00405D16">
            <w:pPr>
              <w:spacing w:after="100"/>
              <w:jc w:val="center"/>
              <w:rPr>
                <w:rFonts w:eastAsia="Times New Roman"/>
              </w:rPr>
            </w:pPr>
            <w:r>
              <w:rPr>
                <w:rFonts w:eastAsia="Times New Roman"/>
                <w:color w:val="000000"/>
                <w:sz w:val="16"/>
                <w:szCs w:val="16"/>
              </w:rPr>
              <w:t>15</w:t>
            </w:r>
          </w:p>
        </w:tc>
        <w:tc>
          <w:tcPr>
            <w:tcW w:w="0" w:type="auto"/>
            <w:gridSpan w:val="3"/>
            <w:tcMar>
              <w:top w:w="30" w:type="dxa"/>
              <w:left w:w="20" w:type="dxa"/>
              <w:bottom w:w="30" w:type="dxa"/>
              <w:right w:w="20" w:type="dxa"/>
            </w:tcMar>
            <w:vAlign w:val="bottom"/>
            <w:hideMark/>
          </w:tcPr>
          <w:p w14:paraId="60CA35CA"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34FEA834" w14:textId="77777777" w:rsidR="00000000" w:rsidRDefault="00405D16">
      <w:pPr>
        <w:rPr>
          <w:rFonts w:eastAsia="Times New Roman"/>
        </w:rPr>
      </w:pPr>
      <w:r>
        <w:rPr>
          <w:rFonts w:eastAsia="Times New Roman"/>
        </w:rPr>
        <w:pict w14:anchorId="0D965E93">
          <v:rect id="_x0000_i1040" style="width:0;height:1.5pt" o:hralign="center" o:hrstd="t" o:hr="t" fillcolor="#a0a0a0" stroked="f"/>
        </w:pict>
      </w:r>
    </w:p>
    <w:p w14:paraId="2887B593" w14:textId="77777777" w:rsidR="00000000" w:rsidRDefault="00405D16">
      <w:pPr>
        <w:ind w:hanging="360"/>
        <w:jc w:val="both"/>
        <w:divId w:val="1167748477"/>
        <w:rPr>
          <w:rFonts w:eastAsia="Times New Roman"/>
        </w:rPr>
      </w:pPr>
      <w:hyperlink w:anchor="idd54a04a485440b4ab4e56094c14d612_13" w:history="1">
        <w:r>
          <w:rPr>
            <w:rStyle w:val="a3"/>
            <w:rFonts w:eastAsia="Times New Roman"/>
            <w:sz w:val="16"/>
            <w:szCs w:val="16"/>
          </w:rPr>
          <w:t>Table of Contents</w:t>
        </w:r>
      </w:hyperlink>
    </w:p>
    <w:p w14:paraId="794D8458" w14:textId="77777777" w:rsidR="00000000" w:rsidRDefault="00405D16">
      <w:pPr>
        <w:divId w:val="1083838225"/>
        <w:rPr>
          <w:rFonts w:eastAsia="Times New Roman"/>
        </w:rPr>
      </w:pPr>
      <w:r>
        <w:rPr>
          <w:rFonts w:eastAsia="Times New Roman"/>
          <w:b/>
          <w:bCs/>
          <w:color w:val="000000"/>
          <w:sz w:val="20"/>
          <w:szCs w:val="20"/>
        </w:rPr>
        <w:t>Non-Interest Expense</w:t>
      </w:r>
    </w:p>
    <w:p w14:paraId="2DDB09CC" w14:textId="77777777" w:rsidR="00000000" w:rsidRDefault="00405D16">
      <w:pPr>
        <w:jc w:val="both"/>
        <w:divId w:val="438641861"/>
        <w:rPr>
          <w:rFonts w:eastAsia="Times New Roman"/>
        </w:rPr>
      </w:pPr>
      <w:r>
        <w:rPr>
          <w:rFonts w:eastAsia="Times New Roman"/>
          <w:color w:val="000000"/>
          <w:sz w:val="20"/>
          <w:szCs w:val="20"/>
        </w:rPr>
        <w:t xml:space="preserve">Table 5 displays the components of non-interest expense for the third quarter and first nine months of 2021 and 2020. </w:t>
      </w:r>
    </w:p>
    <w:p w14:paraId="4713AB41" w14:textId="77777777" w:rsidR="00000000" w:rsidRDefault="00405D16">
      <w:pPr>
        <w:divId w:val="597325635"/>
        <w:rPr>
          <w:rFonts w:eastAsia="Times New Roman"/>
        </w:rPr>
      </w:pPr>
      <w:r>
        <w:rPr>
          <w:rFonts w:eastAsia="Times New Roman"/>
          <w:b/>
          <w:bCs/>
          <w:color w:val="000000"/>
          <w:sz w:val="18"/>
          <w:szCs w:val="18"/>
        </w:rPr>
        <w:t>Tab</w:t>
      </w:r>
      <w:r>
        <w:rPr>
          <w:rFonts w:eastAsia="Times New Roman"/>
          <w:b/>
          <w:bCs/>
          <w:color w:val="000000"/>
          <w:sz w:val="18"/>
          <w:szCs w:val="18"/>
        </w:rPr>
        <w:t>le 5: Non-Interest Expense</w:t>
      </w:r>
    </w:p>
    <w:tbl>
      <w:tblPr>
        <w:tblW w:w="4992" w:type="pct"/>
        <w:tblCellMar>
          <w:top w:w="15" w:type="dxa"/>
          <w:left w:w="15" w:type="dxa"/>
          <w:bottom w:w="15" w:type="dxa"/>
          <w:right w:w="15" w:type="dxa"/>
        </w:tblCellMar>
        <w:tblLook w:val="04A0" w:firstRow="1" w:lastRow="0" w:firstColumn="1" w:lastColumn="0" w:noHBand="0" w:noVBand="1"/>
      </w:tblPr>
      <w:tblGrid>
        <w:gridCol w:w="41"/>
        <w:gridCol w:w="3795"/>
        <w:gridCol w:w="40"/>
        <w:gridCol w:w="36"/>
        <w:gridCol w:w="36"/>
        <w:gridCol w:w="36"/>
        <w:gridCol w:w="110"/>
        <w:gridCol w:w="832"/>
        <w:gridCol w:w="36"/>
        <w:gridCol w:w="36"/>
        <w:gridCol w:w="36"/>
        <w:gridCol w:w="36"/>
        <w:gridCol w:w="110"/>
        <w:gridCol w:w="832"/>
        <w:gridCol w:w="36"/>
        <w:gridCol w:w="36"/>
        <w:gridCol w:w="36"/>
        <w:gridCol w:w="36"/>
        <w:gridCol w:w="110"/>
        <w:gridCol w:w="832"/>
        <w:gridCol w:w="36"/>
        <w:gridCol w:w="36"/>
        <w:gridCol w:w="36"/>
        <w:gridCol w:w="36"/>
        <w:gridCol w:w="110"/>
        <w:gridCol w:w="833"/>
        <w:gridCol w:w="36"/>
        <w:gridCol w:w="36"/>
        <w:gridCol w:w="36"/>
      </w:tblGrid>
      <w:tr w:rsidR="00000000" w14:paraId="19AA341F" w14:textId="77777777">
        <w:trPr>
          <w:divId w:val="187912681"/>
        </w:trPr>
        <w:tc>
          <w:tcPr>
            <w:tcW w:w="50" w:type="pct"/>
            <w:vAlign w:val="center"/>
            <w:hideMark/>
          </w:tcPr>
          <w:p w14:paraId="589DB5C7" w14:textId="77777777" w:rsidR="00000000" w:rsidRDefault="00405D16">
            <w:pPr>
              <w:rPr>
                <w:rFonts w:eastAsia="Times New Roman"/>
              </w:rPr>
            </w:pPr>
          </w:p>
        </w:tc>
        <w:tc>
          <w:tcPr>
            <w:tcW w:w="2338" w:type="pct"/>
            <w:vAlign w:val="center"/>
            <w:hideMark/>
          </w:tcPr>
          <w:p w14:paraId="355372FA" w14:textId="77777777" w:rsidR="00000000" w:rsidRDefault="00405D16">
            <w:pPr>
              <w:spacing w:after="100"/>
              <w:rPr>
                <w:rFonts w:eastAsia="Times New Roman"/>
                <w:sz w:val="20"/>
                <w:szCs w:val="20"/>
              </w:rPr>
            </w:pPr>
          </w:p>
        </w:tc>
        <w:tc>
          <w:tcPr>
            <w:tcW w:w="5" w:type="pct"/>
            <w:vAlign w:val="center"/>
            <w:hideMark/>
          </w:tcPr>
          <w:p w14:paraId="5D6EB8EF" w14:textId="77777777" w:rsidR="00000000" w:rsidRDefault="00405D16">
            <w:pPr>
              <w:spacing w:after="100"/>
              <w:rPr>
                <w:rFonts w:eastAsia="Times New Roman"/>
                <w:sz w:val="20"/>
                <w:szCs w:val="20"/>
              </w:rPr>
            </w:pPr>
          </w:p>
        </w:tc>
        <w:tc>
          <w:tcPr>
            <w:tcW w:w="5" w:type="pct"/>
            <w:vAlign w:val="center"/>
            <w:hideMark/>
          </w:tcPr>
          <w:p w14:paraId="7BB99A0A" w14:textId="77777777" w:rsidR="00000000" w:rsidRDefault="00405D16">
            <w:pPr>
              <w:spacing w:after="100"/>
              <w:rPr>
                <w:rFonts w:eastAsia="Times New Roman"/>
                <w:sz w:val="20"/>
                <w:szCs w:val="20"/>
              </w:rPr>
            </w:pPr>
          </w:p>
        </w:tc>
        <w:tc>
          <w:tcPr>
            <w:tcW w:w="26" w:type="pct"/>
            <w:vAlign w:val="center"/>
            <w:hideMark/>
          </w:tcPr>
          <w:p w14:paraId="1A575D15" w14:textId="77777777" w:rsidR="00000000" w:rsidRDefault="00405D16">
            <w:pPr>
              <w:spacing w:after="100"/>
              <w:rPr>
                <w:rFonts w:eastAsia="Times New Roman"/>
                <w:sz w:val="20"/>
                <w:szCs w:val="20"/>
              </w:rPr>
            </w:pPr>
          </w:p>
        </w:tc>
        <w:tc>
          <w:tcPr>
            <w:tcW w:w="5" w:type="pct"/>
            <w:vAlign w:val="center"/>
            <w:hideMark/>
          </w:tcPr>
          <w:p w14:paraId="249AB464" w14:textId="77777777" w:rsidR="00000000" w:rsidRDefault="00405D16">
            <w:pPr>
              <w:spacing w:after="100"/>
              <w:rPr>
                <w:rFonts w:eastAsia="Times New Roman"/>
                <w:sz w:val="20"/>
                <w:szCs w:val="20"/>
              </w:rPr>
            </w:pPr>
          </w:p>
        </w:tc>
        <w:tc>
          <w:tcPr>
            <w:tcW w:w="50" w:type="pct"/>
            <w:vAlign w:val="center"/>
            <w:hideMark/>
          </w:tcPr>
          <w:p w14:paraId="5E0717EC" w14:textId="77777777" w:rsidR="00000000" w:rsidRDefault="00405D16">
            <w:pPr>
              <w:spacing w:after="100"/>
              <w:rPr>
                <w:rFonts w:eastAsia="Times New Roman"/>
                <w:sz w:val="20"/>
                <w:szCs w:val="20"/>
              </w:rPr>
            </w:pPr>
          </w:p>
        </w:tc>
        <w:tc>
          <w:tcPr>
            <w:tcW w:w="559" w:type="pct"/>
            <w:vAlign w:val="center"/>
            <w:hideMark/>
          </w:tcPr>
          <w:p w14:paraId="512DB065" w14:textId="77777777" w:rsidR="00000000" w:rsidRDefault="00405D16">
            <w:pPr>
              <w:spacing w:after="100"/>
              <w:rPr>
                <w:rFonts w:eastAsia="Times New Roman"/>
                <w:sz w:val="20"/>
                <w:szCs w:val="20"/>
              </w:rPr>
            </w:pPr>
          </w:p>
        </w:tc>
        <w:tc>
          <w:tcPr>
            <w:tcW w:w="5" w:type="pct"/>
            <w:vAlign w:val="center"/>
            <w:hideMark/>
          </w:tcPr>
          <w:p w14:paraId="60D4EF9A" w14:textId="77777777" w:rsidR="00000000" w:rsidRDefault="00405D16">
            <w:pPr>
              <w:spacing w:after="100"/>
              <w:rPr>
                <w:rFonts w:eastAsia="Times New Roman"/>
                <w:sz w:val="20"/>
                <w:szCs w:val="20"/>
              </w:rPr>
            </w:pPr>
          </w:p>
        </w:tc>
        <w:tc>
          <w:tcPr>
            <w:tcW w:w="5" w:type="pct"/>
            <w:vAlign w:val="center"/>
            <w:hideMark/>
          </w:tcPr>
          <w:p w14:paraId="63F8C9C6" w14:textId="77777777" w:rsidR="00000000" w:rsidRDefault="00405D16">
            <w:pPr>
              <w:spacing w:after="100"/>
              <w:rPr>
                <w:rFonts w:eastAsia="Times New Roman"/>
                <w:sz w:val="20"/>
                <w:szCs w:val="20"/>
              </w:rPr>
            </w:pPr>
          </w:p>
        </w:tc>
        <w:tc>
          <w:tcPr>
            <w:tcW w:w="26" w:type="pct"/>
            <w:vAlign w:val="center"/>
            <w:hideMark/>
          </w:tcPr>
          <w:p w14:paraId="5A61A12C" w14:textId="77777777" w:rsidR="00000000" w:rsidRDefault="00405D16">
            <w:pPr>
              <w:spacing w:after="100"/>
              <w:rPr>
                <w:rFonts w:eastAsia="Times New Roman"/>
                <w:sz w:val="20"/>
                <w:szCs w:val="20"/>
              </w:rPr>
            </w:pPr>
          </w:p>
        </w:tc>
        <w:tc>
          <w:tcPr>
            <w:tcW w:w="5" w:type="pct"/>
            <w:vAlign w:val="center"/>
            <w:hideMark/>
          </w:tcPr>
          <w:p w14:paraId="6E70F291" w14:textId="77777777" w:rsidR="00000000" w:rsidRDefault="00405D16">
            <w:pPr>
              <w:spacing w:after="100"/>
              <w:rPr>
                <w:rFonts w:eastAsia="Times New Roman"/>
                <w:sz w:val="20"/>
                <w:szCs w:val="20"/>
              </w:rPr>
            </w:pPr>
          </w:p>
        </w:tc>
        <w:tc>
          <w:tcPr>
            <w:tcW w:w="50" w:type="pct"/>
            <w:vAlign w:val="center"/>
            <w:hideMark/>
          </w:tcPr>
          <w:p w14:paraId="7E169FDB" w14:textId="77777777" w:rsidR="00000000" w:rsidRDefault="00405D16">
            <w:pPr>
              <w:spacing w:after="100"/>
              <w:rPr>
                <w:rFonts w:eastAsia="Times New Roman"/>
                <w:sz w:val="20"/>
                <w:szCs w:val="20"/>
              </w:rPr>
            </w:pPr>
          </w:p>
        </w:tc>
        <w:tc>
          <w:tcPr>
            <w:tcW w:w="559" w:type="pct"/>
            <w:vAlign w:val="center"/>
            <w:hideMark/>
          </w:tcPr>
          <w:p w14:paraId="44FF8613" w14:textId="77777777" w:rsidR="00000000" w:rsidRDefault="00405D16">
            <w:pPr>
              <w:spacing w:after="100"/>
              <w:rPr>
                <w:rFonts w:eastAsia="Times New Roman"/>
                <w:sz w:val="20"/>
                <w:szCs w:val="20"/>
              </w:rPr>
            </w:pPr>
          </w:p>
        </w:tc>
        <w:tc>
          <w:tcPr>
            <w:tcW w:w="5" w:type="pct"/>
            <w:vAlign w:val="center"/>
            <w:hideMark/>
          </w:tcPr>
          <w:p w14:paraId="19C767F0" w14:textId="77777777" w:rsidR="00000000" w:rsidRDefault="00405D16">
            <w:pPr>
              <w:spacing w:after="100"/>
              <w:rPr>
                <w:rFonts w:eastAsia="Times New Roman"/>
                <w:sz w:val="20"/>
                <w:szCs w:val="20"/>
              </w:rPr>
            </w:pPr>
          </w:p>
        </w:tc>
        <w:tc>
          <w:tcPr>
            <w:tcW w:w="5" w:type="pct"/>
            <w:vAlign w:val="center"/>
            <w:hideMark/>
          </w:tcPr>
          <w:p w14:paraId="11EB1E48" w14:textId="77777777" w:rsidR="00000000" w:rsidRDefault="00405D16">
            <w:pPr>
              <w:spacing w:after="100"/>
              <w:rPr>
                <w:rFonts w:eastAsia="Times New Roman"/>
                <w:sz w:val="20"/>
                <w:szCs w:val="20"/>
              </w:rPr>
            </w:pPr>
          </w:p>
        </w:tc>
        <w:tc>
          <w:tcPr>
            <w:tcW w:w="26" w:type="pct"/>
            <w:vAlign w:val="center"/>
            <w:hideMark/>
          </w:tcPr>
          <w:p w14:paraId="03F57D90" w14:textId="77777777" w:rsidR="00000000" w:rsidRDefault="00405D16">
            <w:pPr>
              <w:spacing w:after="100"/>
              <w:rPr>
                <w:rFonts w:eastAsia="Times New Roman"/>
                <w:sz w:val="20"/>
                <w:szCs w:val="20"/>
              </w:rPr>
            </w:pPr>
          </w:p>
        </w:tc>
        <w:tc>
          <w:tcPr>
            <w:tcW w:w="5" w:type="pct"/>
            <w:vAlign w:val="center"/>
            <w:hideMark/>
          </w:tcPr>
          <w:p w14:paraId="7BDEA2C6" w14:textId="77777777" w:rsidR="00000000" w:rsidRDefault="00405D16">
            <w:pPr>
              <w:spacing w:after="100"/>
              <w:rPr>
                <w:rFonts w:eastAsia="Times New Roman"/>
                <w:sz w:val="20"/>
                <w:szCs w:val="20"/>
              </w:rPr>
            </w:pPr>
          </w:p>
        </w:tc>
        <w:tc>
          <w:tcPr>
            <w:tcW w:w="50" w:type="pct"/>
            <w:vAlign w:val="center"/>
            <w:hideMark/>
          </w:tcPr>
          <w:p w14:paraId="27177F3E" w14:textId="77777777" w:rsidR="00000000" w:rsidRDefault="00405D16">
            <w:pPr>
              <w:spacing w:after="100"/>
              <w:rPr>
                <w:rFonts w:eastAsia="Times New Roman"/>
                <w:sz w:val="20"/>
                <w:szCs w:val="20"/>
              </w:rPr>
            </w:pPr>
          </w:p>
        </w:tc>
        <w:tc>
          <w:tcPr>
            <w:tcW w:w="559" w:type="pct"/>
            <w:vAlign w:val="center"/>
            <w:hideMark/>
          </w:tcPr>
          <w:p w14:paraId="4B7923FF" w14:textId="77777777" w:rsidR="00000000" w:rsidRDefault="00405D16">
            <w:pPr>
              <w:spacing w:after="100"/>
              <w:rPr>
                <w:rFonts w:eastAsia="Times New Roman"/>
                <w:sz w:val="20"/>
                <w:szCs w:val="20"/>
              </w:rPr>
            </w:pPr>
          </w:p>
        </w:tc>
        <w:tc>
          <w:tcPr>
            <w:tcW w:w="5" w:type="pct"/>
            <w:vAlign w:val="center"/>
            <w:hideMark/>
          </w:tcPr>
          <w:p w14:paraId="0166C981" w14:textId="77777777" w:rsidR="00000000" w:rsidRDefault="00405D16">
            <w:pPr>
              <w:spacing w:after="100"/>
              <w:rPr>
                <w:rFonts w:eastAsia="Times New Roman"/>
                <w:sz w:val="20"/>
                <w:szCs w:val="20"/>
              </w:rPr>
            </w:pPr>
          </w:p>
        </w:tc>
        <w:tc>
          <w:tcPr>
            <w:tcW w:w="5" w:type="pct"/>
            <w:vAlign w:val="center"/>
            <w:hideMark/>
          </w:tcPr>
          <w:p w14:paraId="5F4D0180" w14:textId="77777777" w:rsidR="00000000" w:rsidRDefault="00405D16">
            <w:pPr>
              <w:spacing w:after="100"/>
              <w:rPr>
                <w:rFonts w:eastAsia="Times New Roman"/>
                <w:sz w:val="20"/>
                <w:szCs w:val="20"/>
              </w:rPr>
            </w:pPr>
          </w:p>
        </w:tc>
        <w:tc>
          <w:tcPr>
            <w:tcW w:w="26" w:type="pct"/>
            <w:vAlign w:val="center"/>
            <w:hideMark/>
          </w:tcPr>
          <w:p w14:paraId="283F68B7" w14:textId="77777777" w:rsidR="00000000" w:rsidRDefault="00405D16">
            <w:pPr>
              <w:spacing w:after="100"/>
              <w:rPr>
                <w:rFonts w:eastAsia="Times New Roman"/>
                <w:sz w:val="20"/>
                <w:szCs w:val="20"/>
              </w:rPr>
            </w:pPr>
          </w:p>
        </w:tc>
        <w:tc>
          <w:tcPr>
            <w:tcW w:w="5" w:type="pct"/>
            <w:vAlign w:val="center"/>
            <w:hideMark/>
          </w:tcPr>
          <w:p w14:paraId="23A0F1EC" w14:textId="77777777" w:rsidR="00000000" w:rsidRDefault="00405D16">
            <w:pPr>
              <w:spacing w:after="100"/>
              <w:rPr>
                <w:rFonts w:eastAsia="Times New Roman"/>
                <w:sz w:val="20"/>
                <w:szCs w:val="20"/>
              </w:rPr>
            </w:pPr>
          </w:p>
        </w:tc>
        <w:tc>
          <w:tcPr>
            <w:tcW w:w="50" w:type="pct"/>
            <w:vAlign w:val="center"/>
            <w:hideMark/>
          </w:tcPr>
          <w:p w14:paraId="706DC279" w14:textId="77777777" w:rsidR="00000000" w:rsidRDefault="00405D16">
            <w:pPr>
              <w:spacing w:after="100"/>
              <w:rPr>
                <w:rFonts w:eastAsia="Times New Roman"/>
                <w:sz w:val="20"/>
                <w:szCs w:val="20"/>
              </w:rPr>
            </w:pPr>
          </w:p>
        </w:tc>
        <w:tc>
          <w:tcPr>
            <w:tcW w:w="560" w:type="pct"/>
            <w:vAlign w:val="center"/>
            <w:hideMark/>
          </w:tcPr>
          <w:p w14:paraId="3DCA90B2" w14:textId="77777777" w:rsidR="00000000" w:rsidRDefault="00405D16">
            <w:pPr>
              <w:spacing w:after="100"/>
              <w:rPr>
                <w:rFonts w:eastAsia="Times New Roman"/>
                <w:sz w:val="20"/>
                <w:szCs w:val="20"/>
              </w:rPr>
            </w:pPr>
          </w:p>
        </w:tc>
        <w:tc>
          <w:tcPr>
            <w:tcW w:w="5" w:type="pct"/>
            <w:vAlign w:val="center"/>
            <w:hideMark/>
          </w:tcPr>
          <w:p w14:paraId="1F1DD681" w14:textId="77777777" w:rsidR="00000000" w:rsidRDefault="00405D16">
            <w:pPr>
              <w:spacing w:after="100"/>
              <w:rPr>
                <w:rFonts w:eastAsia="Times New Roman"/>
                <w:sz w:val="20"/>
                <w:szCs w:val="20"/>
              </w:rPr>
            </w:pPr>
          </w:p>
        </w:tc>
        <w:tc>
          <w:tcPr>
            <w:tcW w:w="0" w:type="auto"/>
            <w:vAlign w:val="center"/>
            <w:hideMark/>
          </w:tcPr>
          <w:p w14:paraId="56BAE489" w14:textId="77777777" w:rsidR="00000000" w:rsidRDefault="00405D16">
            <w:pPr>
              <w:spacing w:after="100"/>
              <w:rPr>
                <w:rFonts w:eastAsia="Times New Roman"/>
                <w:sz w:val="20"/>
                <w:szCs w:val="20"/>
              </w:rPr>
            </w:pPr>
          </w:p>
        </w:tc>
        <w:tc>
          <w:tcPr>
            <w:tcW w:w="0" w:type="auto"/>
            <w:vAlign w:val="center"/>
            <w:hideMark/>
          </w:tcPr>
          <w:p w14:paraId="5ADE3528" w14:textId="77777777" w:rsidR="00000000" w:rsidRDefault="00405D16">
            <w:pPr>
              <w:spacing w:after="100"/>
              <w:rPr>
                <w:rFonts w:eastAsia="Times New Roman"/>
                <w:sz w:val="20"/>
                <w:szCs w:val="20"/>
              </w:rPr>
            </w:pPr>
          </w:p>
        </w:tc>
      </w:tr>
      <w:tr w:rsidR="00000000" w14:paraId="640056FE" w14:textId="77777777">
        <w:trPr>
          <w:divId w:val="187912681"/>
        </w:trPr>
        <w:tc>
          <w:tcPr>
            <w:tcW w:w="0" w:type="auto"/>
            <w:gridSpan w:val="3"/>
            <w:tcMar>
              <w:top w:w="0" w:type="dxa"/>
              <w:left w:w="20" w:type="dxa"/>
              <w:bottom w:w="0" w:type="dxa"/>
              <w:right w:w="20" w:type="dxa"/>
            </w:tcMar>
            <w:vAlign w:val="center"/>
            <w:hideMark/>
          </w:tcPr>
          <w:p w14:paraId="319E5504"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230466F" w14:textId="77777777" w:rsidR="00000000" w:rsidRDefault="00405D1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10ACAD8" w14:textId="77777777" w:rsidR="00000000" w:rsidRDefault="00405D16">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061494FE" w14:textId="77777777" w:rsidR="00000000" w:rsidRDefault="00405D1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EA4838D" w14:textId="77777777" w:rsidR="00000000" w:rsidRDefault="00405D16">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6857A9A9" w14:textId="77777777" w:rsidR="00000000" w:rsidRDefault="00405D16">
            <w:pPr>
              <w:spacing w:after="100"/>
              <w:jc w:val="center"/>
              <w:rPr>
                <w:rFonts w:eastAsia="Times New Roman"/>
              </w:rPr>
            </w:pPr>
          </w:p>
        </w:tc>
        <w:tc>
          <w:tcPr>
            <w:tcW w:w="0" w:type="auto"/>
            <w:vAlign w:val="center"/>
            <w:hideMark/>
          </w:tcPr>
          <w:p w14:paraId="0614B8C0" w14:textId="77777777" w:rsidR="00000000" w:rsidRDefault="00405D16">
            <w:pPr>
              <w:spacing w:after="100"/>
              <w:rPr>
                <w:rFonts w:eastAsia="Times New Roman"/>
                <w:sz w:val="20"/>
                <w:szCs w:val="20"/>
              </w:rPr>
            </w:pPr>
          </w:p>
        </w:tc>
      </w:tr>
      <w:tr w:rsidR="00000000" w14:paraId="2A223EEE" w14:textId="77777777">
        <w:trPr>
          <w:divId w:val="187912681"/>
        </w:trPr>
        <w:tc>
          <w:tcPr>
            <w:tcW w:w="0" w:type="auto"/>
            <w:gridSpan w:val="3"/>
            <w:tcMar>
              <w:top w:w="30" w:type="dxa"/>
              <w:left w:w="20" w:type="dxa"/>
              <w:bottom w:w="30" w:type="dxa"/>
              <w:right w:w="20" w:type="dxa"/>
            </w:tcMar>
            <w:vAlign w:val="bottom"/>
            <w:hideMark/>
          </w:tcPr>
          <w:p w14:paraId="7C1645C8"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7D7FFEFE"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266417F"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17EB7C48"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00B9326"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1718ED1A"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24CBF2F"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454F4584"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D2AB1D2"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vAlign w:val="center"/>
            <w:hideMark/>
          </w:tcPr>
          <w:p w14:paraId="39F4891A" w14:textId="77777777" w:rsidR="00000000" w:rsidRDefault="00405D16">
            <w:pPr>
              <w:spacing w:after="100"/>
              <w:jc w:val="center"/>
              <w:rPr>
                <w:rFonts w:eastAsia="Times New Roman"/>
              </w:rPr>
            </w:pPr>
          </w:p>
        </w:tc>
        <w:tc>
          <w:tcPr>
            <w:tcW w:w="0" w:type="auto"/>
            <w:vAlign w:val="center"/>
            <w:hideMark/>
          </w:tcPr>
          <w:p w14:paraId="753C6CAE" w14:textId="77777777" w:rsidR="00000000" w:rsidRDefault="00405D16">
            <w:pPr>
              <w:spacing w:after="100"/>
              <w:rPr>
                <w:rFonts w:eastAsia="Times New Roman"/>
                <w:sz w:val="20"/>
                <w:szCs w:val="20"/>
              </w:rPr>
            </w:pPr>
          </w:p>
        </w:tc>
      </w:tr>
      <w:tr w:rsidR="00000000" w14:paraId="69A1B678" w14:textId="77777777">
        <w:trPr>
          <w:divId w:val="18791268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ED503B4" w14:textId="77777777" w:rsidR="00000000" w:rsidRDefault="00405D16">
            <w:pPr>
              <w:spacing w:after="100"/>
              <w:divId w:val="1791968158"/>
              <w:rPr>
                <w:rFonts w:eastAsia="Times New Roman"/>
              </w:rPr>
            </w:pPr>
            <w:r>
              <w:rPr>
                <w:rFonts w:eastAsia="Times New Roman"/>
                <w:color w:val="000000"/>
                <w:sz w:val="18"/>
                <w:szCs w:val="18"/>
              </w:rPr>
              <w:t>Salaries and associate benefit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4CFC0906"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BF31619"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7A3C501" w14:textId="77777777" w:rsidR="00000000" w:rsidRDefault="00405D16">
            <w:pPr>
              <w:spacing w:after="100"/>
              <w:jc w:val="right"/>
              <w:rPr>
                <w:rFonts w:eastAsia="Times New Roman"/>
              </w:rPr>
            </w:pPr>
            <w:r>
              <w:rPr>
                <w:rFonts w:eastAsia="Times New Roman"/>
                <w:b/>
                <w:bCs/>
                <w:color w:val="000000"/>
                <w:sz w:val="18"/>
                <w:szCs w:val="18"/>
              </w:rPr>
              <w:t>1,852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0C97E0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F46AAB"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7AD0EB0"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5197DC8" w14:textId="77777777" w:rsidR="00000000" w:rsidRDefault="00405D16">
            <w:pPr>
              <w:spacing w:after="100"/>
              <w:jc w:val="right"/>
              <w:rPr>
                <w:rFonts w:eastAsia="Times New Roman"/>
              </w:rPr>
            </w:pPr>
            <w:r>
              <w:rPr>
                <w:rFonts w:eastAsia="Times New Roman"/>
                <w:color w:val="000000"/>
                <w:sz w:val="18"/>
                <w:szCs w:val="18"/>
              </w:rPr>
              <w:t>1,719 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DFB47A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F7F3DC"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25308E0"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6885DEE" w14:textId="77777777" w:rsidR="00000000" w:rsidRDefault="00405D16">
            <w:pPr>
              <w:spacing w:after="100"/>
              <w:jc w:val="right"/>
              <w:rPr>
                <w:rFonts w:eastAsia="Times New Roman"/>
              </w:rPr>
            </w:pPr>
            <w:r>
              <w:rPr>
                <w:rFonts w:eastAsia="Times New Roman"/>
                <w:b/>
                <w:bCs/>
                <w:color w:val="000000"/>
                <w:sz w:val="18"/>
                <w:szCs w:val="18"/>
              </w:rPr>
              <w:t>5,480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888442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ABA46B"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9CFA0AC"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D53AD71" w14:textId="77777777" w:rsidR="00000000" w:rsidRDefault="00405D16">
            <w:pPr>
              <w:spacing w:after="100"/>
              <w:jc w:val="right"/>
              <w:rPr>
                <w:rFonts w:eastAsia="Times New Roman"/>
              </w:rPr>
            </w:pPr>
            <w:r>
              <w:rPr>
                <w:rFonts w:eastAsia="Times New Roman"/>
                <w:color w:val="000000"/>
                <w:sz w:val="18"/>
                <w:szCs w:val="18"/>
              </w:rPr>
              <w:t>5,050 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E31A26B" w14:textId="77777777" w:rsidR="00000000" w:rsidRDefault="00405D16">
            <w:pPr>
              <w:spacing w:after="100"/>
              <w:jc w:val="right"/>
              <w:rPr>
                <w:rFonts w:eastAsia="Times New Roman"/>
              </w:rPr>
            </w:pPr>
          </w:p>
        </w:tc>
        <w:tc>
          <w:tcPr>
            <w:tcW w:w="0" w:type="auto"/>
            <w:vAlign w:val="center"/>
            <w:hideMark/>
          </w:tcPr>
          <w:p w14:paraId="71309898" w14:textId="77777777" w:rsidR="00000000" w:rsidRDefault="00405D16">
            <w:pPr>
              <w:spacing w:after="100"/>
              <w:jc w:val="right"/>
              <w:rPr>
                <w:rFonts w:eastAsia="Times New Roman"/>
                <w:sz w:val="20"/>
                <w:szCs w:val="20"/>
              </w:rPr>
            </w:pPr>
          </w:p>
        </w:tc>
        <w:tc>
          <w:tcPr>
            <w:tcW w:w="0" w:type="auto"/>
            <w:vAlign w:val="center"/>
            <w:hideMark/>
          </w:tcPr>
          <w:p w14:paraId="705AE21F" w14:textId="77777777" w:rsidR="00000000" w:rsidRDefault="00405D16">
            <w:pPr>
              <w:spacing w:after="100"/>
              <w:rPr>
                <w:rFonts w:eastAsia="Times New Roman"/>
                <w:sz w:val="20"/>
                <w:szCs w:val="20"/>
              </w:rPr>
            </w:pPr>
          </w:p>
        </w:tc>
      </w:tr>
      <w:tr w:rsidR="00000000" w14:paraId="592A90CA" w14:textId="77777777">
        <w:trPr>
          <w:divId w:val="187912681"/>
        </w:trPr>
        <w:tc>
          <w:tcPr>
            <w:tcW w:w="0" w:type="auto"/>
            <w:gridSpan w:val="3"/>
            <w:shd w:val="clear" w:color="auto" w:fill="FFFFFF"/>
            <w:tcMar>
              <w:top w:w="30" w:type="dxa"/>
              <w:left w:w="20" w:type="dxa"/>
              <w:bottom w:w="30" w:type="dxa"/>
              <w:right w:w="20" w:type="dxa"/>
            </w:tcMar>
            <w:vAlign w:val="center"/>
            <w:hideMark/>
          </w:tcPr>
          <w:p w14:paraId="7BE2197E" w14:textId="77777777" w:rsidR="00000000" w:rsidRDefault="00405D16">
            <w:pPr>
              <w:spacing w:after="100"/>
              <w:rPr>
                <w:rFonts w:eastAsia="Times New Roman"/>
              </w:rPr>
            </w:pPr>
            <w:r>
              <w:rPr>
                <w:rFonts w:eastAsia="Times New Roman"/>
                <w:color w:val="000000"/>
                <w:sz w:val="18"/>
                <w:szCs w:val="18"/>
              </w:rPr>
              <w:t>Occupancy and equipment</w:t>
            </w:r>
          </w:p>
        </w:tc>
        <w:tc>
          <w:tcPr>
            <w:tcW w:w="0" w:type="auto"/>
            <w:gridSpan w:val="3"/>
            <w:shd w:val="clear" w:color="auto" w:fill="FFFFFF"/>
            <w:tcMar>
              <w:top w:w="0" w:type="dxa"/>
              <w:left w:w="20" w:type="dxa"/>
              <w:bottom w:w="0" w:type="dxa"/>
              <w:right w:w="20" w:type="dxa"/>
            </w:tcMar>
            <w:vAlign w:val="center"/>
            <w:hideMark/>
          </w:tcPr>
          <w:p w14:paraId="2BF8F94D"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980C2A3" w14:textId="77777777" w:rsidR="00000000" w:rsidRDefault="00405D16">
            <w:pPr>
              <w:spacing w:after="100"/>
              <w:jc w:val="right"/>
              <w:rPr>
                <w:rFonts w:eastAsia="Times New Roman"/>
              </w:rPr>
            </w:pPr>
            <w:r>
              <w:rPr>
                <w:rFonts w:eastAsia="Times New Roman"/>
                <w:b/>
                <w:bCs/>
                <w:color w:val="000000"/>
                <w:sz w:val="18"/>
                <w:szCs w:val="18"/>
              </w:rPr>
              <w:t>481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BB79B8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D5E88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2473BA5" w14:textId="77777777" w:rsidR="00000000" w:rsidRDefault="00405D16">
            <w:pPr>
              <w:spacing w:after="100"/>
              <w:jc w:val="right"/>
              <w:rPr>
                <w:rFonts w:eastAsia="Times New Roman"/>
              </w:rPr>
            </w:pPr>
            <w:r>
              <w:rPr>
                <w:rFonts w:eastAsia="Times New Roman"/>
                <w:color w:val="000000"/>
                <w:sz w:val="18"/>
                <w:szCs w:val="18"/>
              </w:rPr>
              <w:t>506 </w:t>
            </w:r>
          </w:p>
        </w:tc>
        <w:tc>
          <w:tcPr>
            <w:tcW w:w="0" w:type="auto"/>
            <w:shd w:val="clear" w:color="auto" w:fill="FFFFFF"/>
            <w:tcMar>
              <w:top w:w="30" w:type="dxa"/>
              <w:left w:w="0" w:type="dxa"/>
              <w:bottom w:w="30" w:type="dxa"/>
              <w:right w:w="20" w:type="dxa"/>
            </w:tcMar>
            <w:vAlign w:val="center"/>
            <w:hideMark/>
          </w:tcPr>
          <w:p w14:paraId="11C7FB4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00114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DA306D6" w14:textId="77777777" w:rsidR="00000000" w:rsidRDefault="00405D16">
            <w:pPr>
              <w:spacing w:after="100"/>
              <w:jc w:val="right"/>
              <w:rPr>
                <w:rFonts w:eastAsia="Times New Roman"/>
              </w:rPr>
            </w:pPr>
            <w:r>
              <w:rPr>
                <w:rFonts w:eastAsia="Times New Roman"/>
                <w:b/>
                <w:bCs/>
                <w:color w:val="000000"/>
                <w:sz w:val="18"/>
                <w:szCs w:val="18"/>
              </w:rPr>
              <w:t>1,476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24A353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E8EB1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98F4585" w14:textId="77777777" w:rsidR="00000000" w:rsidRDefault="00405D16">
            <w:pPr>
              <w:spacing w:after="100"/>
              <w:jc w:val="right"/>
              <w:rPr>
                <w:rFonts w:eastAsia="Times New Roman"/>
              </w:rPr>
            </w:pPr>
            <w:r>
              <w:rPr>
                <w:rFonts w:eastAsia="Times New Roman"/>
                <w:color w:val="000000"/>
                <w:sz w:val="18"/>
                <w:szCs w:val="18"/>
              </w:rPr>
              <w:t>1,546 </w:t>
            </w:r>
          </w:p>
        </w:tc>
        <w:tc>
          <w:tcPr>
            <w:tcW w:w="0" w:type="auto"/>
            <w:shd w:val="clear" w:color="auto" w:fill="FFFFFF"/>
            <w:tcMar>
              <w:top w:w="30" w:type="dxa"/>
              <w:left w:w="0" w:type="dxa"/>
              <w:bottom w:w="30" w:type="dxa"/>
              <w:right w:w="20" w:type="dxa"/>
            </w:tcMar>
            <w:vAlign w:val="center"/>
            <w:hideMark/>
          </w:tcPr>
          <w:p w14:paraId="286ABE55" w14:textId="77777777" w:rsidR="00000000" w:rsidRDefault="00405D16">
            <w:pPr>
              <w:spacing w:after="100"/>
              <w:jc w:val="right"/>
              <w:rPr>
                <w:rFonts w:eastAsia="Times New Roman"/>
              </w:rPr>
            </w:pPr>
          </w:p>
        </w:tc>
        <w:tc>
          <w:tcPr>
            <w:tcW w:w="0" w:type="auto"/>
            <w:vAlign w:val="center"/>
            <w:hideMark/>
          </w:tcPr>
          <w:p w14:paraId="22149381" w14:textId="77777777" w:rsidR="00000000" w:rsidRDefault="00405D16">
            <w:pPr>
              <w:spacing w:after="100"/>
              <w:jc w:val="right"/>
              <w:rPr>
                <w:rFonts w:eastAsia="Times New Roman"/>
                <w:sz w:val="20"/>
                <w:szCs w:val="20"/>
              </w:rPr>
            </w:pPr>
          </w:p>
        </w:tc>
        <w:tc>
          <w:tcPr>
            <w:tcW w:w="0" w:type="auto"/>
            <w:vAlign w:val="center"/>
            <w:hideMark/>
          </w:tcPr>
          <w:p w14:paraId="0A6B806D" w14:textId="77777777" w:rsidR="00000000" w:rsidRDefault="00405D16">
            <w:pPr>
              <w:spacing w:after="100"/>
              <w:rPr>
                <w:rFonts w:eastAsia="Times New Roman"/>
                <w:sz w:val="20"/>
                <w:szCs w:val="20"/>
              </w:rPr>
            </w:pPr>
          </w:p>
        </w:tc>
      </w:tr>
      <w:tr w:rsidR="00000000" w14:paraId="181F7B4F" w14:textId="77777777">
        <w:trPr>
          <w:divId w:val="187912681"/>
        </w:trPr>
        <w:tc>
          <w:tcPr>
            <w:tcW w:w="0" w:type="auto"/>
            <w:gridSpan w:val="3"/>
            <w:shd w:val="clear" w:color="auto" w:fill="CCEEFF"/>
            <w:tcMar>
              <w:top w:w="30" w:type="dxa"/>
              <w:left w:w="20" w:type="dxa"/>
              <w:bottom w:w="30" w:type="dxa"/>
              <w:right w:w="20" w:type="dxa"/>
            </w:tcMar>
            <w:vAlign w:val="center"/>
            <w:hideMark/>
          </w:tcPr>
          <w:p w14:paraId="51018241" w14:textId="77777777" w:rsidR="00000000" w:rsidRDefault="00405D16">
            <w:pPr>
              <w:spacing w:after="100"/>
              <w:rPr>
                <w:rFonts w:eastAsia="Times New Roman"/>
              </w:rPr>
            </w:pPr>
            <w:r>
              <w:rPr>
                <w:rFonts w:eastAsia="Times New Roman"/>
                <w:color w:val="000000"/>
                <w:sz w:val="18"/>
                <w:szCs w:val="18"/>
              </w:rPr>
              <w:t>Marketing</w:t>
            </w:r>
          </w:p>
        </w:tc>
        <w:tc>
          <w:tcPr>
            <w:tcW w:w="0" w:type="auto"/>
            <w:gridSpan w:val="3"/>
            <w:shd w:val="clear" w:color="auto" w:fill="CCEEFF"/>
            <w:tcMar>
              <w:top w:w="0" w:type="dxa"/>
              <w:left w:w="20" w:type="dxa"/>
              <w:bottom w:w="0" w:type="dxa"/>
              <w:right w:w="20" w:type="dxa"/>
            </w:tcMar>
            <w:vAlign w:val="center"/>
            <w:hideMark/>
          </w:tcPr>
          <w:p w14:paraId="41EECE88"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17605DC" w14:textId="77777777" w:rsidR="00000000" w:rsidRDefault="00405D16">
            <w:pPr>
              <w:spacing w:after="100"/>
              <w:jc w:val="right"/>
              <w:rPr>
                <w:rFonts w:eastAsia="Times New Roman"/>
              </w:rPr>
            </w:pPr>
            <w:r>
              <w:rPr>
                <w:rFonts w:eastAsia="Times New Roman"/>
                <w:b/>
                <w:bCs/>
                <w:color w:val="000000"/>
                <w:sz w:val="18"/>
                <w:szCs w:val="18"/>
              </w:rPr>
              <w:t>751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7CB833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75BAF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0923683" w14:textId="77777777" w:rsidR="00000000" w:rsidRDefault="00405D16">
            <w:pPr>
              <w:spacing w:after="100"/>
              <w:jc w:val="right"/>
              <w:rPr>
                <w:rFonts w:eastAsia="Times New Roman"/>
              </w:rPr>
            </w:pPr>
            <w:r>
              <w:rPr>
                <w:rFonts w:eastAsia="Times New Roman"/>
                <w:color w:val="000000"/>
                <w:sz w:val="18"/>
                <w:szCs w:val="18"/>
              </w:rPr>
              <w:t>283 </w:t>
            </w:r>
          </w:p>
        </w:tc>
        <w:tc>
          <w:tcPr>
            <w:tcW w:w="0" w:type="auto"/>
            <w:shd w:val="clear" w:color="auto" w:fill="CCEEFF"/>
            <w:tcMar>
              <w:top w:w="30" w:type="dxa"/>
              <w:left w:w="0" w:type="dxa"/>
              <w:bottom w:w="30" w:type="dxa"/>
              <w:right w:w="20" w:type="dxa"/>
            </w:tcMar>
            <w:vAlign w:val="center"/>
            <w:hideMark/>
          </w:tcPr>
          <w:p w14:paraId="1442182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A584D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6E5B219" w14:textId="77777777" w:rsidR="00000000" w:rsidRDefault="00405D16">
            <w:pPr>
              <w:spacing w:after="100"/>
              <w:jc w:val="right"/>
              <w:rPr>
                <w:rFonts w:eastAsia="Times New Roman"/>
              </w:rPr>
            </w:pPr>
            <w:r>
              <w:rPr>
                <w:rFonts w:eastAsia="Times New Roman"/>
                <w:b/>
                <w:bCs/>
                <w:color w:val="000000"/>
                <w:sz w:val="18"/>
                <w:szCs w:val="18"/>
              </w:rPr>
              <w:t>1,872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4EE574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98063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133D66F" w14:textId="77777777" w:rsidR="00000000" w:rsidRDefault="00405D16">
            <w:pPr>
              <w:spacing w:after="100"/>
              <w:jc w:val="right"/>
              <w:rPr>
                <w:rFonts w:eastAsia="Times New Roman"/>
              </w:rPr>
            </w:pPr>
            <w:r>
              <w:rPr>
                <w:rFonts w:eastAsia="Times New Roman"/>
                <w:color w:val="000000"/>
                <w:sz w:val="18"/>
                <w:szCs w:val="18"/>
              </w:rPr>
              <w:t>1,047 </w:t>
            </w:r>
          </w:p>
        </w:tc>
        <w:tc>
          <w:tcPr>
            <w:tcW w:w="0" w:type="auto"/>
            <w:shd w:val="clear" w:color="auto" w:fill="CCEEFF"/>
            <w:tcMar>
              <w:top w:w="30" w:type="dxa"/>
              <w:left w:w="0" w:type="dxa"/>
              <w:bottom w:w="30" w:type="dxa"/>
              <w:right w:w="20" w:type="dxa"/>
            </w:tcMar>
            <w:vAlign w:val="center"/>
            <w:hideMark/>
          </w:tcPr>
          <w:p w14:paraId="0CB6215E" w14:textId="77777777" w:rsidR="00000000" w:rsidRDefault="00405D16">
            <w:pPr>
              <w:spacing w:after="100"/>
              <w:jc w:val="right"/>
              <w:rPr>
                <w:rFonts w:eastAsia="Times New Roman"/>
              </w:rPr>
            </w:pPr>
          </w:p>
        </w:tc>
        <w:tc>
          <w:tcPr>
            <w:tcW w:w="0" w:type="auto"/>
            <w:vAlign w:val="center"/>
            <w:hideMark/>
          </w:tcPr>
          <w:p w14:paraId="422AB9BD" w14:textId="77777777" w:rsidR="00000000" w:rsidRDefault="00405D16">
            <w:pPr>
              <w:spacing w:after="100"/>
              <w:jc w:val="right"/>
              <w:rPr>
                <w:rFonts w:eastAsia="Times New Roman"/>
                <w:sz w:val="20"/>
                <w:szCs w:val="20"/>
              </w:rPr>
            </w:pPr>
          </w:p>
        </w:tc>
        <w:tc>
          <w:tcPr>
            <w:tcW w:w="0" w:type="auto"/>
            <w:vAlign w:val="center"/>
            <w:hideMark/>
          </w:tcPr>
          <w:p w14:paraId="7C24500A" w14:textId="77777777" w:rsidR="00000000" w:rsidRDefault="00405D16">
            <w:pPr>
              <w:spacing w:after="100"/>
              <w:rPr>
                <w:rFonts w:eastAsia="Times New Roman"/>
                <w:sz w:val="20"/>
                <w:szCs w:val="20"/>
              </w:rPr>
            </w:pPr>
          </w:p>
        </w:tc>
      </w:tr>
      <w:tr w:rsidR="00000000" w14:paraId="10B91B0F" w14:textId="77777777">
        <w:trPr>
          <w:divId w:val="187912681"/>
        </w:trPr>
        <w:tc>
          <w:tcPr>
            <w:tcW w:w="0" w:type="auto"/>
            <w:gridSpan w:val="3"/>
            <w:shd w:val="clear" w:color="auto" w:fill="FFFFFF"/>
            <w:tcMar>
              <w:top w:w="30" w:type="dxa"/>
              <w:left w:w="20" w:type="dxa"/>
              <w:bottom w:w="30" w:type="dxa"/>
              <w:right w:w="20" w:type="dxa"/>
            </w:tcMar>
            <w:vAlign w:val="center"/>
            <w:hideMark/>
          </w:tcPr>
          <w:p w14:paraId="0ACA39EE" w14:textId="77777777" w:rsidR="00000000" w:rsidRDefault="00405D16">
            <w:pPr>
              <w:spacing w:after="100"/>
              <w:rPr>
                <w:rFonts w:eastAsia="Times New Roman"/>
              </w:rPr>
            </w:pPr>
            <w:r>
              <w:rPr>
                <w:rFonts w:eastAsia="Times New Roman"/>
                <w:color w:val="000000"/>
                <w:sz w:val="18"/>
                <w:szCs w:val="18"/>
              </w:rPr>
              <w:t>Professional services</w:t>
            </w:r>
          </w:p>
        </w:tc>
        <w:tc>
          <w:tcPr>
            <w:tcW w:w="0" w:type="auto"/>
            <w:gridSpan w:val="3"/>
            <w:shd w:val="clear" w:color="auto" w:fill="FFFFFF"/>
            <w:tcMar>
              <w:top w:w="0" w:type="dxa"/>
              <w:left w:w="20" w:type="dxa"/>
              <w:bottom w:w="0" w:type="dxa"/>
              <w:right w:w="20" w:type="dxa"/>
            </w:tcMar>
            <w:vAlign w:val="center"/>
            <w:hideMark/>
          </w:tcPr>
          <w:p w14:paraId="0B1D03BB"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324CD1C" w14:textId="77777777" w:rsidR="00000000" w:rsidRDefault="00405D16">
            <w:pPr>
              <w:spacing w:after="100"/>
              <w:jc w:val="right"/>
              <w:rPr>
                <w:rFonts w:eastAsia="Times New Roman"/>
              </w:rPr>
            </w:pPr>
            <w:r>
              <w:rPr>
                <w:rFonts w:eastAsia="Times New Roman"/>
                <w:b/>
                <w:bCs/>
                <w:color w:val="000000"/>
                <w:sz w:val="18"/>
                <w:szCs w:val="18"/>
              </w:rPr>
              <w:t>358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5DDA38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D6814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A2A4C78" w14:textId="77777777" w:rsidR="00000000" w:rsidRDefault="00405D16">
            <w:pPr>
              <w:spacing w:after="100"/>
              <w:jc w:val="right"/>
              <w:rPr>
                <w:rFonts w:eastAsia="Times New Roman"/>
              </w:rPr>
            </w:pPr>
            <w:r>
              <w:rPr>
                <w:rFonts w:eastAsia="Times New Roman"/>
                <w:color w:val="000000"/>
                <w:sz w:val="18"/>
                <w:szCs w:val="18"/>
              </w:rPr>
              <w:t>327 </w:t>
            </w:r>
          </w:p>
        </w:tc>
        <w:tc>
          <w:tcPr>
            <w:tcW w:w="0" w:type="auto"/>
            <w:shd w:val="clear" w:color="auto" w:fill="FFFFFF"/>
            <w:tcMar>
              <w:top w:w="30" w:type="dxa"/>
              <w:left w:w="0" w:type="dxa"/>
              <w:bottom w:w="30" w:type="dxa"/>
              <w:right w:w="20" w:type="dxa"/>
            </w:tcMar>
            <w:vAlign w:val="center"/>
            <w:hideMark/>
          </w:tcPr>
          <w:p w14:paraId="43C482F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E139B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F70D2BD" w14:textId="77777777" w:rsidR="00000000" w:rsidRDefault="00405D16">
            <w:pPr>
              <w:spacing w:after="100"/>
              <w:jc w:val="right"/>
              <w:rPr>
                <w:rFonts w:eastAsia="Times New Roman"/>
              </w:rPr>
            </w:pPr>
            <w:r>
              <w:rPr>
                <w:rFonts w:eastAsia="Times New Roman"/>
                <w:b/>
                <w:bCs/>
                <w:color w:val="000000"/>
                <w:sz w:val="18"/>
                <w:szCs w:val="18"/>
              </w:rPr>
              <w:t>991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65176A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419DE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653EB28" w14:textId="77777777" w:rsidR="00000000" w:rsidRDefault="00405D16">
            <w:pPr>
              <w:spacing w:after="100"/>
              <w:jc w:val="right"/>
              <w:rPr>
                <w:rFonts w:eastAsia="Times New Roman"/>
              </w:rPr>
            </w:pPr>
            <w:r>
              <w:rPr>
                <w:rFonts w:eastAsia="Times New Roman"/>
                <w:color w:val="000000"/>
                <w:sz w:val="18"/>
                <w:szCs w:val="18"/>
              </w:rPr>
              <w:t>918 </w:t>
            </w:r>
          </w:p>
        </w:tc>
        <w:tc>
          <w:tcPr>
            <w:tcW w:w="0" w:type="auto"/>
            <w:shd w:val="clear" w:color="auto" w:fill="FFFFFF"/>
            <w:tcMar>
              <w:top w:w="30" w:type="dxa"/>
              <w:left w:w="0" w:type="dxa"/>
              <w:bottom w:w="30" w:type="dxa"/>
              <w:right w:w="20" w:type="dxa"/>
            </w:tcMar>
            <w:vAlign w:val="center"/>
            <w:hideMark/>
          </w:tcPr>
          <w:p w14:paraId="1C712C82" w14:textId="77777777" w:rsidR="00000000" w:rsidRDefault="00405D16">
            <w:pPr>
              <w:spacing w:after="100"/>
              <w:jc w:val="right"/>
              <w:rPr>
                <w:rFonts w:eastAsia="Times New Roman"/>
              </w:rPr>
            </w:pPr>
          </w:p>
        </w:tc>
        <w:tc>
          <w:tcPr>
            <w:tcW w:w="0" w:type="auto"/>
            <w:vAlign w:val="center"/>
            <w:hideMark/>
          </w:tcPr>
          <w:p w14:paraId="3CC53BF0" w14:textId="77777777" w:rsidR="00000000" w:rsidRDefault="00405D16">
            <w:pPr>
              <w:spacing w:after="100"/>
              <w:jc w:val="right"/>
              <w:rPr>
                <w:rFonts w:eastAsia="Times New Roman"/>
                <w:sz w:val="20"/>
                <w:szCs w:val="20"/>
              </w:rPr>
            </w:pPr>
          </w:p>
        </w:tc>
        <w:tc>
          <w:tcPr>
            <w:tcW w:w="0" w:type="auto"/>
            <w:vAlign w:val="center"/>
            <w:hideMark/>
          </w:tcPr>
          <w:p w14:paraId="75992F51" w14:textId="77777777" w:rsidR="00000000" w:rsidRDefault="00405D16">
            <w:pPr>
              <w:spacing w:after="100"/>
              <w:rPr>
                <w:rFonts w:eastAsia="Times New Roman"/>
                <w:sz w:val="20"/>
                <w:szCs w:val="20"/>
              </w:rPr>
            </w:pPr>
          </w:p>
        </w:tc>
      </w:tr>
      <w:tr w:rsidR="00000000" w14:paraId="0BF38CD1" w14:textId="77777777">
        <w:trPr>
          <w:divId w:val="187912681"/>
        </w:trPr>
        <w:tc>
          <w:tcPr>
            <w:tcW w:w="0" w:type="auto"/>
            <w:gridSpan w:val="3"/>
            <w:shd w:val="clear" w:color="auto" w:fill="CCEEFF"/>
            <w:tcMar>
              <w:top w:w="30" w:type="dxa"/>
              <w:left w:w="20" w:type="dxa"/>
              <w:bottom w:w="30" w:type="dxa"/>
              <w:right w:w="20" w:type="dxa"/>
            </w:tcMar>
            <w:vAlign w:val="center"/>
            <w:hideMark/>
          </w:tcPr>
          <w:p w14:paraId="284FBFD4" w14:textId="77777777" w:rsidR="00000000" w:rsidRDefault="00405D16">
            <w:pPr>
              <w:spacing w:after="100"/>
              <w:rPr>
                <w:rFonts w:eastAsia="Times New Roman"/>
              </w:rPr>
            </w:pPr>
            <w:r>
              <w:rPr>
                <w:rFonts w:eastAsia="Times New Roman"/>
                <w:color w:val="000000"/>
                <w:sz w:val="18"/>
                <w:szCs w:val="18"/>
              </w:rPr>
              <w:t>Communications and data processing</w:t>
            </w:r>
          </w:p>
        </w:tc>
        <w:tc>
          <w:tcPr>
            <w:tcW w:w="0" w:type="auto"/>
            <w:gridSpan w:val="3"/>
            <w:shd w:val="clear" w:color="auto" w:fill="CCEEFF"/>
            <w:tcMar>
              <w:top w:w="0" w:type="dxa"/>
              <w:left w:w="20" w:type="dxa"/>
              <w:bottom w:w="0" w:type="dxa"/>
              <w:right w:w="20" w:type="dxa"/>
            </w:tcMar>
            <w:vAlign w:val="center"/>
            <w:hideMark/>
          </w:tcPr>
          <w:p w14:paraId="167EF665"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FBF3405" w14:textId="77777777" w:rsidR="00000000" w:rsidRDefault="00405D16">
            <w:pPr>
              <w:spacing w:after="100"/>
              <w:jc w:val="right"/>
              <w:rPr>
                <w:rFonts w:eastAsia="Times New Roman"/>
              </w:rPr>
            </w:pPr>
            <w:r>
              <w:rPr>
                <w:rFonts w:eastAsia="Times New Roman"/>
                <w:b/>
                <w:bCs/>
                <w:color w:val="000000"/>
                <w:sz w:val="18"/>
                <w:szCs w:val="18"/>
              </w:rPr>
              <w:t>319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53B678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006DD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2833809" w14:textId="77777777" w:rsidR="00000000" w:rsidRDefault="00405D16">
            <w:pPr>
              <w:spacing w:after="100"/>
              <w:jc w:val="right"/>
              <w:rPr>
                <w:rFonts w:eastAsia="Times New Roman"/>
              </w:rPr>
            </w:pPr>
            <w:r>
              <w:rPr>
                <w:rFonts w:eastAsia="Times New Roman"/>
                <w:color w:val="000000"/>
                <w:sz w:val="18"/>
                <w:szCs w:val="18"/>
              </w:rPr>
              <w:t>310 </w:t>
            </w:r>
          </w:p>
        </w:tc>
        <w:tc>
          <w:tcPr>
            <w:tcW w:w="0" w:type="auto"/>
            <w:shd w:val="clear" w:color="auto" w:fill="CCEEFF"/>
            <w:tcMar>
              <w:top w:w="30" w:type="dxa"/>
              <w:left w:w="0" w:type="dxa"/>
              <w:bottom w:w="30" w:type="dxa"/>
              <w:right w:w="20" w:type="dxa"/>
            </w:tcMar>
            <w:vAlign w:val="center"/>
            <w:hideMark/>
          </w:tcPr>
          <w:p w14:paraId="0F09841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1C4EF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80F9024" w14:textId="77777777" w:rsidR="00000000" w:rsidRDefault="00405D16">
            <w:pPr>
              <w:spacing w:after="100"/>
              <w:jc w:val="right"/>
              <w:rPr>
                <w:rFonts w:eastAsia="Times New Roman"/>
              </w:rPr>
            </w:pPr>
            <w:r>
              <w:rPr>
                <w:rFonts w:eastAsia="Times New Roman"/>
                <w:b/>
                <w:bCs/>
                <w:color w:val="000000"/>
                <w:sz w:val="18"/>
                <w:szCs w:val="18"/>
              </w:rPr>
              <w:t>936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819602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8AEFB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D1C269C" w14:textId="77777777" w:rsidR="00000000" w:rsidRDefault="00405D16">
            <w:pPr>
              <w:spacing w:after="100"/>
              <w:jc w:val="right"/>
              <w:rPr>
                <w:rFonts w:eastAsia="Times New Roman"/>
              </w:rPr>
            </w:pPr>
            <w:r>
              <w:rPr>
                <w:rFonts w:eastAsia="Times New Roman"/>
                <w:color w:val="000000"/>
                <w:sz w:val="18"/>
                <w:szCs w:val="18"/>
              </w:rPr>
              <w:t>920 </w:t>
            </w:r>
          </w:p>
        </w:tc>
        <w:tc>
          <w:tcPr>
            <w:tcW w:w="0" w:type="auto"/>
            <w:shd w:val="clear" w:color="auto" w:fill="CCEEFF"/>
            <w:tcMar>
              <w:top w:w="30" w:type="dxa"/>
              <w:left w:w="0" w:type="dxa"/>
              <w:bottom w:w="30" w:type="dxa"/>
              <w:right w:w="20" w:type="dxa"/>
            </w:tcMar>
            <w:vAlign w:val="center"/>
            <w:hideMark/>
          </w:tcPr>
          <w:p w14:paraId="4C021FAA" w14:textId="77777777" w:rsidR="00000000" w:rsidRDefault="00405D16">
            <w:pPr>
              <w:spacing w:after="100"/>
              <w:jc w:val="right"/>
              <w:rPr>
                <w:rFonts w:eastAsia="Times New Roman"/>
              </w:rPr>
            </w:pPr>
          </w:p>
        </w:tc>
        <w:tc>
          <w:tcPr>
            <w:tcW w:w="0" w:type="auto"/>
            <w:vAlign w:val="center"/>
            <w:hideMark/>
          </w:tcPr>
          <w:p w14:paraId="0885934E" w14:textId="77777777" w:rsidR="00000000" w:rsidRDefault="00405D16">
            <w:pPr>
              <w:spacing w:after="100"/>
              <w:jc w:val="right"/>
              <w:rPr>
                <w:rFonts w:eastAsia="Times New Roman"/>
                <w:sz w:val="20"/>
                <w:szCs w:val="20"/>
              </w:rPr>
            </w:pPr>
          </w:p>
        </w:tc>
        <w:tc>
          <w:tcPr>
            <w:tcW w:w="0" w:type="auto"/>
            <w:vAlign w:val="center"/>
            <w:hideMark/>
          </w:tcPr>
          <w:p w14:paraId="0770C2F3" w14:textId="77777777" w:rsidR="00000000" w:rsidRDefault="00405D16">
            <w:pPr>
              <w:spacing w:after="100"/>
              <w:rPr>
                <w:rFonts w:eastAsia="Times New Roman"/>
                <w:sz w:val="20"/>
                <w:szCs w:val="20"/>
              </w:rPr>
            </w:pPr>
          </w:p>
        </w:tc>
      </w:tr>
      <w:tr w:rsidR="00000000" w14:paraId="4A8D1210" w14:textId="77777777">
        <w:trPr>
          <w:divId w:val="187912681"/>
        </w:trPr>
        <w:tc>
          <w:tcPr>
            <w:tcW w:w="0" w:type="auto"/>
            <w:gridSpan w:val="3"/>
            <w:shd w:val="clear" w:color="auto" w:fill="FFFFFF"/>
            <w:tcMar>
              <w:top w:w="30" w:type="dxa"/>
              <w:left w:w="20" w:type="dxa"/>
              <w:bottom w:w="30" w:type="dxa"/>
              <w:right w:w="20" w:type="dxa"/>
            </w:tcMar>
            <w:vAlign w:val="center"/>
            <w:hideMark/>
          </w:tcPr>
          <w:p w14:paraId="196DEBAB" w14:textId="77777777" w:rsidR="00000000" w:rsidRDefault="00405D16">
            <w:pPr>
              <w:spacing w:after="100"/>
              <w:rPr>
                <w:rFonts w:eastAsia="Times New Roman"/>
              </w:rPr>
            </w:pPr>
            <w:r>
              <w:rPr>
                <w:rFonts w:eastAsia="Times New Roman"/>
                <w:color w:val="000000"/>
                <w:sz w:val="18"/>
                <w:szCs w:val="18"/>
              </w:rPr>
              <w:t>Amortization of intangibles</w:t>
            </w:r>
          </w:p>
        </w:tc>
        <w:tc>
          <w:tcPr>
            <w:tcW w:w="0" w:type="auto"/>
            <w:gridSpan w:val="3"/>
            <w:shd w:val="clear" w:color="auto" w:fill="FFFFFF"/>
            <w:tcMar>
              <w:top w:w="0" w:type="dxa"/>
              <w:left w:w="20" w:type="dxa"/>
              <w:bottom w:w="0" w:type="dxa"/>
              <w:right w:w="20" w:type="dxa"/>
            </w:tcMar>
            <w:vAlign w:val="center"/>
            <w:hideMark/>
          </w:tcPr>
          <w:p w14:paraId="28F6CC60"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F0B3CC5" w14:textId="77777777" w:rsidR="00000000" w:rsidRDefault="00405D16">
            <w:pPr>
              <w:spacing w:after="100"/>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D27066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2D065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359138B" w14:textId="77777777" w:rsidR="00000000" w:rsidRDefault="00405D16">
            <w:pPr>
              <w:spacing w:after="100"/>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center"/>
            <w:hideMark/>
          </w:tcPr>
          <w:p w14:paraId="7B4F907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65FE5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1DA6895" w14:textId="77777777" w:rsidR="00000000" w:rsidRDefault="00405D16">
            <w:pPr>
              <w:spacing w:after="100"/>
              <w:jc w:val="right"/>
              <w:rPr>
                <w:rFonts w:eastAsia="Times New Roman"/>
              </w:rPr>
            </w:pPr>
            <w:r>
              <w:rPr>
                <w:rFonts w:eastAsia="Times New Roman"/>
                <w:b/>
                <w:bCs/>
                <w:color w:val="000000"/>
                <w:sz w:val="18"/>
                <w:szCs w:val="18"/>
              </w:rPr>
              <w:t>16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2EAD8F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928ED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F7DC7E8" w14:textId="77777777" w:rsidR="00000000" w:rsidRDefault="00405D16">
            <w:pPr>
              <w:spacing w:after="100"/>
              <w:jc w:val="right"/>
              <w:rPr>
                <w:rFonts w:eastAsia="Times New Roman"/>
              </w:rPr>
            </w:pPr>
            <w:r>
              <w:rPr>
                <w:rFonts w:eastAsia="Times New Roman"/>
                <w:color w:val="000000"/>
                <w:sz w:val="18"/>
                <w:szCs w:val="18"/>
              </w:rPr>
              <w:t>52 </w:t>
            </w:r>
          </w:p>
        </w:tc>
        <w:tc>
          <w:tcPr>
            <w:tcW w:w="0" w:type="auto"/>
            <w:shd w:val="clear" w:color="auto" w:fill="FFFFFF"/>
            <w:tcMar>
              <w:top w:w="30" w:type="dxa"/>
              <w:left w:w="0" w:type="dxa"/>
              <w:bottom w:w="30" w:type="dxa"/>
              <w:right w:w="20" w:type="dxa"/>
            </w:tcMar>
            <w:vAlign w:val="center"/>
            <w:hideMark/>
          </w:tcPr>
          <w:p w14:paraId="476B0358" w14:textId="77777777" w:rsidR="00000000" w:rsidRDefault="00405D16">
            <w:pPr>
              <w:spacing w:after="100"/>
              <w:jc w:val="right"/>
              <w:rPr>
                <w:rFonts w:eastAsia="Times New Roman"/>
              </w:rPr>
            </w:pPr>
          </w:p>
        </w:tc>
        <w:tc>
          <w:tcPr>
            <w:tcW w:w="0" w:type="auto"/>
            <w:vAlign w:val="center"/>
            <w:hideMark/>
          </w:tcPr>
          <w:p w14:paraId="6F6C2EBE" w14:textId="77777777" w:rsidR="00000000" w:rsidRDefault="00405D16">
            <w:pPr>
              <w:spacing w:after="100"/>
              <w:jc w:val="right"/>
              <w:rPr>
                <w:rFonts w:eastAsia="Times New Roman"/>
                <w:sz w:val="20"/>
                <w:szCs w:val="20"/>
              </w:rPr>
            </w:pPr>
          </w:p>
        </w:tc>
        <w:tc>
          <w:tcPr>
            <w:tcW w:w="0" w:type="auto"/>
            <w:vAlign w:val="center"/>
            <w:hideMark/>
          </w:tcPr>
          <w:p w14:paraId="244A1ED2" w14:textId="77777777" w:rsidR="00000000" w:rsidRDefault="00405D16">
            <w:pPr>
              <w:spacing w:after="100"/>
              <w:rPr>
                <w:rFonts w:eastAsia="Times New Roman"/>
                <w:sz w:val="20"/>
                <w:szCs w:val="20"/>
              </w:rPr>
            </w:pPr>
          </w:p>
        </w:tc>
      </w:tr>
      <w:tr w:rsidR="00000000" w14:paraId="243B7AD6" w14:textId="77777777">
        <w:trPr>
          <w:divId w:val="187912681"/>
        </w:trPr>
        <w:tc>
          <w:tcPr>
            <w:tcW w:w="0" w:type="auto"/>
            <w:gridSpan w:val="3"/>
            <w:shd w:val="clear" w:color="auto" w:fill="CCEEFF"/>
            <w:tcMar>
              <w:top w:w="30" w:type="dxa"/>
              <w:left w:w="20" w:type="dxa"/>
              <w:bottom w:w="30" w:type="dxa"/>
              <w:right w:w="20" w:type="dxa"/>
            </w:tcMar>
            <w:vAlign w:val="center"/>
            <w:hideMark/>
          </w:tcPr>
          <w:p w14:paraId="20FADD5C" w14:textId="77777777" w:rsidR="00000000" w:rsidRDefault="00405D16">
            <w:pPr>
              <w:spacing w:after="100"/>
              <w:rPr>
                <w:rFonts w:eastAsia="Times New Roman"/>
              </w:rPr>
            </w:pPr>
            <w:r>
              <w:rPr>
                <w:rFonts w:eastAsia="Times New Roman"/>
                <w:color w:val="000000"/>
                <w:sz w:val="18"/>
                <w:szCs w:val="18"/>
              </w:rPr>
              <w:t>Other non-interest expense:</w:t>
            </w:r>
          </w:p>
        </w:tc>
        <w:tc>
          <w:tcPr>
            <w:tcW w:w="0" w:type="auto"/>
            <w:gridSpan w:val="3"/>
            <w:shd w:val="clear" w:color="auto" w:fill="CCEEFF"/>
            <w:tcMar>
              <w:top w:w="0" w:type="dxa"/>
              <w:left w:w="20" w:type="dxa"/>
              <w:bottom w:w="0" w:type="dxa"/>
              <w:right w:w="20" w:type="dxa"/>
            </w:tcMar>
            <w:vAlign w:val="center"/>
            <w:hideMark/>
          </w:tcPr>
          <w:p w14:paraId="530ADB54"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8CF53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A9093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D2631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30050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3CD24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5AC7C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ADFD2D" w14:textId="77777777" w:rsidR="00000000" w:rsidRDefault="00405D16">
            <w:pPr>
              <w:spacing w:after="100"/>
              <w:rPr>
                <w:rFonts w:eastAsia="Times New Roman"/>
                <w:sz w:val="20"/>
                <w:szCs w:val="20"/>
              </w:rPr>
            </w:pPr>
          </w:p>
        </w:tc>
        <w:tc>
          <w:tcPr>
            <w:tcW w:w="0" w:type="auto"/>
            <w:vAlign w:val="center"/>
            <w:hideMark/>
          </w:tcPr>
          <w:p w14:paraId="20D65475" w14:textId="77777777" w:rsidR="00000000" w:rsidRDefault="00405D16">
            <w:pPr>
              <w:spacing w:after="100"/>
              <w:rPr>
                <w:rFonts w:eastAsia="Times New Roman"/>
                <w:sz w:val="20"/>
                <w:szCs w:val="20"/>
              </w:rPr>
            </w:pPr>
          </w:p>
        </w:tc>
        <w:tc>
          <w:tcPr>
            <w:tcW w:w="0" w:type="auto"/>
            <w:vAlign w:val="center"/>
            <w:hideMark/>
          </w:tcPr>
          <w:p w14:paraId="5972CD51" w14:textId="77777777" w:rsidR="00000000" w:rsidRDefault="00405D16">
            <w:pPr>
              <w:spacing w:after="100"/>
              <w:rPr>
                <w:rFonts w:eastAsia="Times New Roman"/>
                <w:sz w:val="20"/>
                <w:szCs w:val="20"/>
              </w:rPr>
            </w:pPr>
          </w:p>
        </w:tc>
      </w:tr>
      <w:tr w:rsidR="00000000" w14:paraId="6AF19E01" w14:textId="77777777">
        <w:trPr>
          <w:divId w:val="187912681"/>
        </w:trPr>
        <w:tc>
          <w:tcPr>
            <w:tcW w:w="0" w:type="auto"/>
            <w:gridSpan w:val="3"/>
            <w:shd w:val="clear" w:color="auto" w:fill="FFFFFF"/>
            <w:tcMar>
              <w:top w:w="30" w:type="dxa"/>
              <w:left w:w="245" w:type="dxa"/>
              <w:bottom w:w="30" w:type="dxa"/>
              <w:right w:w="20" w:type="dxa"/>
            </w:tcMar>
            <w:vAlign w:val="center"/>
            <w:hideMark/>
          </w:tcPr>
          <w:p w14:paraId="18E4387D" w14:textId="77777777" w:rsidR="00000000" w:rsidRDefault="00405D16">
            <w:pPr>
              <w:spacing w:after="100"/>
              <w:rPr>
                <w:rFonts w:eastAsia="Times New Roman"/>
              </w:rPr>
            </w:pPr>
            <w:r>
              <w:rPr>
                <w:rFonts w:eastAsia="Times New Roman"/>
                <w:color w:val="000000"/>
                <w:sz w:val="18"/>
                <w:szCs w:val="18"/>
              </w:rPr>
              <w:t>Bankcard, regulatory and other fee assessments</w:t>
            </w:r>
          </w:p>
        </w:tc>
        <w:tc>
          <w:tcPr>
            <w:tcW w:w="0" w:type="auto"/>
            <w:gridSpan w:val="3"/>
            <w:shd w:val="clear" w:color="auto" w:fill="FFFFFF"/>
            <w:tcMar>
              <w:top w:w="0" w:type="dxa"/>
              <w:left w:w="20" w:type="dxa"/>
              <w:bottom w:w="0" w:type="dxa"/>
              <w:right w:w="20" w:type="dxa"/>
            </w:tcMar>
            <w:vAlign w:val="center"/>
            <w:hideMark/>
          </w:tcPr>
          <w:p w14:paraId="0657D799"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2F6C74B" w14:textId="77777777" w:rsidR="00000000" w:rsidRDefault="00405D16">
            <w:pPr>
              <w:spacing w:after="100"/>
              <w:jc w:val="right"/>
              <w:rPr>
                <w:rFonts w:eastAsia="Times New Roman"/>
              </w:rPr>
            </w:pPr>
            <w:r>
              <w:rPr>
                <w:rFonts w:eastAsia="Times New Roman"/>
                <w:b/>
                <w:bCs/>
                <w:color w:val="000000"/>
                <w:sz w:val="18"/>
                <w:szCs w:val="18"/>
              </w:rPr>
              <w:t>50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04889B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D8533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AFE9E4E" w14:textId="77777777" w:rsidR="00000000" w:rsidRDefault="00405D16">
            <w:pPr>
              <w:spacing w:after="100"/>
              <w:jc w:val="right"/>
              <w:rPr>
                <w:rFonts w:eastAsia="Times New Roman"/>
              </w:rPr>
            </w:pPr>
            <w:r>
              <w:rPr>
                <w:rFonts w:eastAsia="Times New Roman"/>
                <w:color w:val="000000"/>
                <w:sz w:val="18"/>
                <w:szCs w:val="18"/>
              </w:rPr>
              <w:t>69 </w:t>
            </w:r>
          </w:p>
        </w:tc>
        <w:tc>
          <w:tcPr>
            <w:tcW w:w="0" w:type="auto"/>
            <w:shd w:val="clear" w:color="auto" w:fill="FFFFFF"/>
            <w:tcMar>
              <w:top w:w="30" w:type="dxa"/>
              <w:left w:w="0" w:type="dxa"/>
              <w:bottom w:w="30" w:type="dxa"/>
              <w:right w:w="20" w:type="dxa"/>
            </w:tcMar>
            <w:vAlign w:val="center"/>
            <w:hideMark/>
          </w:tcPr>
          <w:p w14:paraId="150C1FA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282E1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97D77C1" w14:textId="77777777" w:rsidR="00000000" w:rsidRDefault="00405D16">
            <w:pPr>
              <w:spacing w:after="100"/>
              <w:jc w:val="right"/>
              <w:rPr>
                <w:rFonts w:eastAsia="Times New Roman"/>
              </w:rPr>
            </w:pPr>
            <w:r>
              <w:rPr>
                <w:rFonts w:eastAsia="Times New Roman"/>
                <w:b/>
                <w:bCs/>
                <w:color w:val="000000"/>
                <w:sz w:val="18"/>
                <w:szCs w:val="18"/>
              </w:rPr>
              <w:t>140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D681EE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772E9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D42E4B8" w14:textId="77777777" w:rsidR="00000000" w:rsidRDefault="00405D16">
            <w:pPr>
              <w:spacing w:after="100"/>
              <w:jc w:val="right"/>
              <w:rPr>
                <w:rFonts w:eastAsia="Times New Roman"/>
              </w:rPr>
            </w:pPr>
            <w:r>
              <w:rPr>
                <w:rFonts w:eastAsia="Times New Roman"/>
                <w:color w:val="000000"/>
                <w:sz w:val="18"/>
                <w:szCs w:val="18"/>
              </w:rPr>
              <w:t>210 </w:t>
            </w:r>
          </w:p>
        </w:tc>
        <w:tc>
          <w:tcPr>
            <w:tcW w:w="0" w:type="auto"/>
            <w:shd w:val="clear" w:color="auto" w:fill="FFFFFF"/>
            <w:tcMar>
              <w:top w:w="30" w:type="dxa"/>
              <w:left w:w="0" w:type="dxa"/>
              <w:bottom w:w="30" w:type="dxa"/>
              <w:right w:w="20" w:type="dxa"/>
            </w:tcMar>
            <w:vAlign w:val="center"/>
            <w:hideMark/>
          </w:tcPr>
          <w:p w14:paraId="2A4D3179" w14:textId="77777777" w:rsidR="00000000" w:rsidRDefault="00405D16">
            <w:pPr>
              <w:spacing w:after="100"/>
              <w:jc w:val="right"/>
              <w:rPr>
                <w:rFonts w:eastAsia="Times New Roman"/>
              </w:rPr>
            </w:pPr>
          </w:p>
        </w:tc>
        <w:tc>
          <w:tcPr>
            <w:tcW w:w="0" w:type="auto"/>
            <w:vAlign w:val="center"/>
            <w:hideMark/>
          </w:tcPr>
          <w:p w14:paraId="6E6FC57F" w14:textId="77777777" w:rsidR="00000000" w:rsidRDefault="00405D16">
            <w:pPr>
              <w:spacing w:after="100"/>
              <w:jc w:val="right"/>
              <w:rPr>
                <w:rFonts w:eastAsia="Times New Roman"/>
                <w:sz w:val="20"/>
                <w:szCs w:val="20"/>
              </w:rPr>
            </w:pPr>
          </w:p>
        </w:tc>
        <w:tc>
          <w:tcPr>
            <w:tcW w:w="0" w:type="auto"/>
            <w:vAlign w:val="center"/>
            <w:hideMark/>
          </w:tcPr>
          <w:p w14:paraId="50F89179" w14:textId="77777777" w:rsidR="00000000" w:rsidRDefault="00405D16">
            <w:pPr>
              <w:spacing w:after="100"/>
              <w:rPr>
                <w:rFonts w:eastAsia="Times New Roman"/>
                <w:sz w:val="20"/>
                <w:szCs w:val="20"/>
              </w:rPr>
            </w:pPr>
          </w:p>
        </w:tc>
      </w:tr>
      <w:tr w:rsidR="00000000" w14:paraId="45873B7A" w14:textId="77777777">
        <w:trPr>
          <w:divId w:val="187912681"/>
        </w:trPr>
        <w:tc>
          <w:tcPr>
            <w:tcW w:w="0" w:type="auto"/>
            <w:gridSpan w:val="3"/>
            <w:shd w:val="clear" w:color="auto" w:fill="CCEEFF"/>
            <w:tcMar>
              <w:top w:w="30" w:type="dxa"/>
              <w:left w:w="245" w:type="dxa"/>
              <w:bottom w:w="30" w:type="dxa"/>
              <w:right w:w="20" w:type="dxa"/>
            </w:tcMar>
            <w:vAlign w:val="center"/>
            <w:hideMark/>
          </w:tcPr>
          <w:p w14:paraId="52477E67" w14:textId="77777777" w:rsidR="00000000" w:rsidRDefault="00405D16">
            <w:pPr>
              <w:spacing w:after="100"/>
              <w:rPr>
                <w:rFonts w:eastAsia="Times New Roman"/>
              </w:rPr>
            </w:pPr>
            <w:r>
              <w:rPr>
                <w:rFonts w:eastAsia="Times New Roman"/>
                <w:color w:val="000000"/>
                <w:sz w:val="18"/>
                <w:szCs w:val="18"/>
              </w:rPr>
              <w:t>Collections</w:t>
            </w:r>
          </w:p>
        </w:tc>
        <w:tc>
          <w:tcPr>
            <w:tcW w:w="0" w:type="auto"/>
            <w:gridSpan w:val="3"/>
            <w:shd w:val="clear" w:color="auto" w:fill="CCEEFF"/>
            <w:tcMar>
              <w:top w:w="0" w:type="dxa"/>
              <w:left w:w="20" w:type="dxa"/>
              <w:bottom w:w="0" w:type="dxa"/>
              <w:right w:w="20" w:type="dxa"/>
            </w:tcMar>
            <w:vAlign w:val="center"/>
            <w:hideMark/>
          </w:tcPr>
          <w:p w14:paraId="1BC920F1"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E018A22" w14:textId="77777777" w:rsidR="00000000" w:rsidRDefault="00405D16">
            <w:pPr>
              <w:spacing w:after="100"/>
              <w:jc w:val="right"/>
              <w:rPr>
                <w:rFonts w:eastAsia="Times New Roman"/>
              </w:rPr>
            </w:pPr>
            <w:r>
              <w:rPr>
                <w:rFonts w:eastAsia="Times New Roman"/>
                <w:b/>
                <w:bCs/>
                <w:color w:val="000000"/>
                <w:sz w:val="18"/>
                <w:szCs w:val="18"/>
              </w:rPr>
              <w:t>93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C1CDFE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C607B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A23DCAB" w14:textId="77777777" w:rsidR="00000000" w:rsidRDefault="00405D16">
            <w:pPr>
              <w:spacing w:after="100"/>
              <w:jc w:val="right"/>
              <w:rPr>
                <w:rFonts w:eastAsia="Times New Roman"/>
              </w:rPr>
            </w:pPr>
            <w:r>
              <w:rPr>
                <w:rFonts w:eastAsia="Times New Roman"/>
                <w:color w:val="000000"/>
                <w:sz w:val="18"/>
                <w:szCs w:val="18"/>
              </w:rPr>
              <w:t>74 </w:t>
            </w:r>
          </w:p>
        </w:tc>
        <w:tc>
          <w:tcPr>
            <w:tcW w:w="0" w:type="auto"/>
            <w:shd w:val="clear" w:color="auto" w:fill="CCEEFF"/>
            <w:tcMar>
              <w:top w:w="30" w:type="dxa"/>
              <w:left w:w="0" w:type="dxa"/>
              <w:bottom w:w="30" w:type="dxa"/>
              <w:right w:w="20" w:type="dxa"/>
            </w:tcMar>
            <w:vAlign w:val="center"/>
            <w:hideMark/>
          </w:tcPr>
          <w:p w14:paraId="1CD53B0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464A2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29735AD" w14:textId="77777777" w:rsidR="00000000" w:rsidRDefault="00405D16">
            <w:pPr>
              <w:spacing w:after="100"/>
              <w:jc w:val="right"/>
              <w:rPr>
                <w:rFonts w:eastAsia="Times New Roman"/>
              </w:rPr>
            </w:pPr>
            <w:r>
              <w:rPr>
                <w:rFonts w:eastAsia="Times New Roman"/>
                <w:b/>
                <w:bCs/>
                <w:color w:val="000000"/>
                <w:sz w:val="18"/>
                <w:szCs w:val="18"/>
              </w:rPr>
              <w:t>272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DF2E53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50781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C1C405A" w14:textId="77777777" w:rsidR="00000000" w:rsidRDefault="00405D16">
            <w:pPr>
              <w:spacing w:after="100"/>
              <w:jc w:val="right"/>
              <w:rPr>
                <w:rFonts w:eastAsia="Times New Roman"/>
              </w:rPr>
            </w:pPr>
            <w:r>
              <w:rPr>
                <w:rFonts w:eastAsia="Times New Roman"/>
                <w:color w:val="000000"/>
                <w:sz w:val="18"/>
                <w:szCs w:val="18"/>
              </w:rPr>
              <w:t>255 </w:t>
            </w:r>
          </w:p>
        </w:tc>
        <w:tc>
          <w:tcPr>
            <w:tcW w:w="0" w:type="auto"/>
            <w:shd w:val="clear" w:color="auto" w:fill="CCEEFF"/>
            <w:tcMar>
              <w:top w:w="30" w:type="dxa"/>
              <w:left w:w="0" w:type="dxa"/>
              <w:bottom w:w="30" w:type="dxa"/>
              <w:right w:w="20" w:type="dxa"/>
            </w:tcMar>
            <w:vAlign w:val="center"/>
            <w:hideMark/>
          </w:tcPr>
          <w:p w14:paraId="62DDC4D7" w14:textId="77777777" w:rsidR="00000000" w:rsidRDefault="00405D16">
            <w:pPr>
              <w:spacing w:after="100"/>
              <w:jc w:val="right"/>
              <w:rPr>
                <w:rFonts w:eastAsia="Times New Roman"/>
              </w:rPr>
            </w:pPr>
          </w:p>
        </w:tc>
        <w:tc>
          <w:tcPr>
            <w:tcW w:w="0" w:type="auto"/>
            <w:vAlign w:val="center"/>
            <w:hideMark/>
          </w:tcPr>
          <w:p w14:paraId="70D54797" w14:textId="77777777" w:rsidR="00000000" w:rsidRDefault="00405D16">
            <w:pPr>
              <w:spacing w:after="100"/>
              <w:jc w:val="right"/>
              <w:rPr>
                <w:rFonts w:eastAsia="Times New Roman"/>
                <w:sz w:val="20"/>
                <w:szCs w:val="20"/>
              </w:rPr>
            </w:pPr>
          </w:p>
        </w:tc>
        <w:tc>
          <w:tcPr>
            <w:tcW w:w="0" w:type="auto"/>
            <w:vAlign w:val="center"/>
            <w:hideMark/>
          </w:tcPr>
          <w:p w14:paraId="412863BE" w14:textId="77777777" w:rsidR="00000000" w:rsidRDefault="00405D16">
            <w:pPr>
              <w:spacing w:after="100"/>
              <w:rPr>
                <w:rFonts w:eastAsia="Times New Roman"/>
                <w:sz w:val="20"/>
                <w:szCs w:val="20"/>
              </w:rPr>
            </w:pPr>
          </w:p>
        </w:tc>
      </w:tr>
      <w:tr w:rsidR="00000000" w14:paraId="6954E95B" w14:textId="77777777">
        <w:trPr>
          <w:divId w:val="187912681"/>
        </w:trPr>
        <w:tc>
          <w:tcPr>
            <w:tcW w:w="0" w:type="auto"/>
            <w:gridSpan w:val="3"/>
            <w:shd w:val="clear" w:color="auto" w:fill="FFFFFF"/>
            <w:tcMar>
              <w:top w:w="30" w:type="dxa"/>
              <w:left w:w="245" w:type="dxa"/>
              <w:bottom w:w="30" w:type="dxa"/>
              <w:right w:w="20" w:type="dxa"/>
            </w:tcMar>
            <w:vAlign w:val="center"/>
            <w:hideMark/>
          </w:tcPr>
          <w:p w14:paraId="70018DC9" w14:textId="77777777" w:rsidR="00000000" w:rsidRDefault="00405D16">
            <w:pPr>
              <w:spacing w:after="100"/>
              <w:rPr>
                <w:rFonts w:eastAsia="Times New Roman"/>
              </w:rPr>
            </w:pPr>
            <w:r>
              <w:rPr>
                <w:rFonts w:eastAsia="Times New Roman"/>
                <w:color w:val="000000"/>
                <w:sz w:val="18"/>
                <w:szCs w:val="18"/>
              </w:rPr>
              <w:t>Fraud losses</w:t>
            </w:r>
          </w:p>
        </w:tc>
        <w:tc>
          <w:tcPr>
            <w:tcW w:w="0" w:type="auto"/>
            <w:gridSpan w:val="3"/>
            <w:shd w:val="clear" w:color="auto" w:fill="FFFFFF"/>
            <w:tcMar>
              <w:top w:w="0" w:type="dxa"/>
              <w:left w:w="20" w:type="dxa"/>
              <w:bottom w:w="0" w:type="dxa"/>
              <w:right w:w="20" w:type="dxa"/>
            </w:tcMar>
            <w:vAlign w:val="center"/>
            <w:hideMark/>
          </w:tcPr>
          <w:p w14:paraId="06A94964"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7712E10" w14:textId="77777777" w:rsidR="00000000" w:rsidRDefault="00405D16">
            <w:pPr>
              <w:spacing w:after="100"/>
              <w:jc w:val="right"/>
              <w:rPr>
                <w:rFonts w:eastAsia="Times New Roman"/>
              </w:rPr>
            </w:pPr>
            <w:r>
              <w:rPr>
                <w:rFonts w:eastAsia="Times New Roman"/>
                <w:b/>
                <w:bCs/>
                <w:color w:val="000000"/>
                <w:sz w:val="18"/>
                <w:szCs w:val="18"/>
              </w:rPr>
              <w:t>42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C00E02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A3DE7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19A0161" w14:textId="77777777" w:rsidR="00000000" w:rsidRDefault="00405D16">
            <w:pPr>
              <w:spacing w:after="100"/>
              <w:jc w:val="right"/>
              <w:rPr>
                <w:rFonts w:eastAsia="Times New Roman"/>
              </w:rPr>
            </w:pPr>
            <w:r>
              <w:rPr>
                <w:rFonts w:eastAsia="Times New Roman"/>
                <w:color w:val="000000"/>
                <w:sz w:val="18"/>
                <w:szCs w:val="18"/>
              </w:rPr>
              <w:t>56 </w:t>
            </w:r>
          </w:p>
        </w:tc>
        <w:tc>
          <w:tcPr>
            <w:tcW w:w="0" w:type="auto"/>
            <w:shd w:val="clear" w:color="auto" w:fill="FFFFFF"/>
            <w:tcMar>
              <w:top w:w="30" w:type="dxa"/>
              <w:left w:w="0" w:type="dxa"/>
              <w:bottom w:w="30" w:type="dxa"/>
              <w:right w:w="20" w:type="dxa"/>
            </w:tcMar>
            <w:vAlign w:val="center"/>
            <w:hideMark/>
          </w:tcPr>
          <w:p w14:paraId="5C3395A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019A2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2830276" w14:textId="77777777" w:rsidR="00000000" w:rsidRDefault="00405D16">
            <w:pPr>
              <w:spacing w:after="100"/>
              <w:jc w:val="right"/>
              <w:rPr>
                <w:rFonts w:eastAsia="Times New Roman"/>
              </w:rPr>
            </w:pPr>
            <w:r>
              <w:rPr>
                <w:rFonts w:eastAsia="Times New Roman"/>
                <w:b/>
                <w:bCs/>
                <w:color w:val="000000"/>
                <w:sz w:val="18"/>
                <w:szCs w:val="18"/>
              </w:rPr>
              <w:t>117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702493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C0002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9D38A79" w14:textId="77777777" w:rsidR="00000000" w:rsidRDefault="00405D16">
            <w:pPr>
              <w:spacing w:after="100"/>
              <w:jc w:val="right"/>
              <w:rPr>
                <w:rFonts w:eastAsia="Times New Roman"/>
              </w:rPr>
            </w:pPr>
            <w:r>
              <w:rPr>
                <w:rFonts w:eastAsia="Times New Roman"/>
                <w:color w:val="000000"/>
                <w:sz w:val="18"/>
                <w:szCs w:val="18"/>
              </w:rPr>
              <w:t>206 </w:t>
            </w:r>
          </w:p>
        </w:tc>
        <w:tc>
          <w:tcPr>
            <w:tcW w:w="0" w:type="auto"/>
            <w:shd w:val="clear" w:color="auto" w:fill="FFFFFF"/>
            <w:tcMar>
              <w:top w:w="30" w:type="dxa"/>
              <w:left w:w="0" w:type="dxa"/>
              <w:bottom w:w="30" w:type="dxa"/>
              <w:right w:w="20" w:type="dxa"/>
            </w:tcMar>
            <w:vAlign w:val="center"/>
            <w:hideMark/>
          </w:tcPr>
          <w:p w14:paraId="537432C6" w14:textId="77777777" w:rsidR="00000000" w:rsidRDefault="00405D16">
            <w:pPr>
              <w:spacing w:after="100"/>
              <w:jc w:val="right"/>
              <w:rPr>
                <w:rFonts w:eastAsia="Times New Roman"/>
              </w:rPr>
            </w:pPr>
          </w:p>
        </w:tc>
        <w:tc>
          <w:tcPr>
            <w:tcW w:w="0" w:type="auto"/>
            <w:vAlign w:val="center"/>
            <w:hideMark/>
          </w:tcPr>
          <w:p w14:paraId="2BCCC892" w14:textId="77777777" w:rsidR="00000000" w:rsidRDefault="00405D16">
            <w:pPr>
              <w:spacing w:after="100"/>
              <w:jc w:val="right"/>
              <w:rPr>
                <w:rFonts w:eastAsia="Times New Roman"/>
                <w:sz w:val="20"/>
                <w:szCs w:val="20"/>
              </w:rPr>
            </w:pPr>
          </w:p>
        </w:tc>
        <w:tc>
          <w:tcPr>
            <w:tcW w:w="0" w:type="auto"/>
            <w:vAlign w:val="center"/>
            <w:hideMark/>
          </w:tcPr>
          <w:p w14:paraId="6A375F6E" w14:textId="77777777" w:rsidR="00000000" w:rsidRDefault="00405D16">
            <w:pPr>
              <w:spacing w:after="100"/>
              <w:rPr>
                <w:rFonts w:eastAsia="Times New Roman"/>
                <w:sz w:val="20"/>
                <w:szCs w:val="20"/>
              </w:rPr>
            </w:pPr>
          </w:p>
        </w:tc>
      </w:tr>
      <w:tr w:rsidR="00000000" w14:paraId="47A1A5F8" w14:textId="77777777">
        <w:trPr>
          <w:divId w:val="187912681"/>
        </w:trPr>
        <w:tc>
          <w:tcPr>
            <w:tcW w:w="0" w:type="auto"/>
            <w:gridSpan w:val="3"/>
            <w:shd w:val="clear" w:color="auto" w:fill="CCEEFF"/>
            <w:tcMar>
              <w:top w:w="30" w:type="dxa"/>
              <w:left w:w="245" w:type="dxa"/>
              <w:bottom w:w="30" w:type="dxa"/>
              <w:right w:w="20" w:type="dxa"/>
            </w:tcMar>
            <w:vAlign w:val="center"/>
            <w:hideMark/>
          </w:tcPr>
          <w:p w14:paraId="7989458F" w14:textId="77777777" w:rsidR="00000000" w:rsidRDefault="00405D16">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14:paraId="223E88AB"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40DDC90" w14:textId="77777777" w:rsidR="00000000" w:rsidRDefault="00405D16">
            <w:pPr>
              <w:spacing w:after="100"/>
              <w:jc w:val="right"/>
              <w:rPr>
                <w:rFonts w:eastAsia="Times New Roman"/>
              </w:rPr>
            </w:pPr>
            <w:r>
              <w:rPr>
                <w:rFonts w:eastAsia="Times New Roman"/>
                <w:b/>
                <w:bCs/>
                <w:color w:val="000000"/>
                <w:sz w:val="18"/>
                <w:szCs w:val="18"/>
              </w:rPr>
              <w:t>235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2D3755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49CCE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B4646CF" w14:textId="77777777" w:rsidR="00000000" w:rsidRDefault="00405D16">
            <w:pPr>
              <w:spacing w:after="100"/>
              <w:jc w:val="right"/>
              <w:rPr>
                <w:rFonts w:eastAsia="Times New Roman"/>
              </w:rPr>
            </w:pPr>
            <w:r>
              <w:rPr>
                <w:rFonts w:eastAsia="Times New Roman"/>
                <w:color w:val="000000"/>
                <w:sz w:val="18"/>
                <w:szCs w:val="18"/>
              </w:rPr>
              <w:t>190 </w:t>
            </w:r>
          </w:p>
        </w:tc>
        <w:tc>
          <w:tcPr>
            <w:tcW w:w="0" w:type="auto"/>
            <w:shd w:val="clear" w:color="auto" w:fill="CCEEFF"/>
            <w:tcMar>
              <w:top w:w="30" w:type="dxa"/>
              <w:left w:w="0" w:type="dxa"/>
              <w:bottom w:w="30" w:type="dxa"/>
              <w:right w:w="20" w:type="dxa"/>
            </w:tcMar>
            <w:vAlign w:val="center"/>
            <w:hideMark/>
          </w:tcPr>
          <w:p w14:paraId="42172FF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97FC7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7BDEE25" w14:textId="77777777" w:rsidR="00000000" w:rsidRDefault="00405D16">
            <w:pPr>
              <w:spacing w:after="100"/>
              <w:jc w:val="right"/>
              <w:rPr>
                <w:rFonts w:eastAsia="Times New Roman"/>
              </w:rPr>
            </w:pPr>
            <w:r>
              <w:rPr>
                <w:rFonts w:eastAsia="Times New Roman"/>
                <w:b/>
                <w:bCs/>
                <w:color w:val="000000"/>
                <w:sz w:val="18"/>
                <w:szCs w:val="18"/>
              </w:rPr>
              <w:t>592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C65FE1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D2CEB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5503790" w14:textId="77777777" w:rsidR="00000000" w:rsidRDefault="00405D16">
            <w:pPr>
              <w:spacing w:after="100"/>
              <w:jc w:val="right"/>
              <w:rPr>
                <w:rFonts w:eastAsia="Times New Roman"/>
              </w:rPr>
            </w:pPr>
            <w:r>
              <w:rPr>
                <w:rFonts w:eastAsia="Times New Roman"/>
                <w:color w:val="000000"/>
                <w:sz w:val="18"/>
                <w:szCs w:val="18"/>
              </w:rPr>
              <w:t>843 </w:t>
            </w:r>
          </w:p>
        </w:tc>
        <w:tc>
          <w:tcPr>
            <w:tcW w:w="0" w:type="auto"/>
            <w:shd w:val="clear" w:color="auto" w:fill="CCEEFF"/>
            <w:tcMar>
              <w:top w:w="30" w:type="dxa"/>
              <w:left w:w="0" w:type="dxa"/>
              <w:bottom w:w="30" w:type="dxa"/>
              <w:right w:w="20" w:type="dxa"/>
            </w:tcMar>
            <w:vAlign w:val="center"/>
            <w:hideMark/>
          </w:tcPr>
          <w:p w14:paraId="01707272" w14:textId="77777777" w:rsidR="00000000" w:rsidRDefault="00405D16">
            <w:pPr>
              <w:spacing w:after="100"/>
              <w:jc w:val="right"/>
              <w:rPr>
                <w:rFonts w:eastAsia="Times New Roman"/>
              </w:rPr>
            </w:pPr>
          </w:p>
        </w:tc>
        <w:tc>
          <w:tcPr>
            <w:tcW w:w="0" w:type="auto"/>
            <w:vAlign w:val="center"/>
            <w:hideMark/>
          </w:tcPr>
          <w:p w14:paraId="51E33ECD" w14:textId="77777777" w:rsidR="00000000" w:rsidRDefault="00405D16">
            <w:pPr>
              <w:spacing w:after="100"/>
              <w:jc w:val="right"/>
              <w:rPr>
                <w:rFonts w:eastAsia="Times New Roman"/>
                <w:sz w:val="20"/>
                <w:szCs w:val="20"/>
              </w:rPr>
            </w:pPr>
          </w:p>
        </w:tc>
        <w:tc>
          <w:tcPr>
            <w:tcW w:w="0" w:type="auto"/>
            <w:vAlign w:val="center"/>
            <w:hideMark/>
          </w:tcPr>
          <w:p w14:paraId="15ED31F1" w14:textId="77777777" w:rsidR="00000000" w:rsidRDefault="00405D16">
            <w:pPr>
              <w:spacing w:after="100"/>
              <w:rPr>
                <w:rFonts w:eastAsia="Times New Roman"/>
                <w:sz w:val="20"/>
                <w:szCs w:val="20"/>
              </w:rPr>
            </w:pPr>
          </w:p>
        </w:tc>
      </w:tr>
      <w:tr w:rsidR="00000000" w14:paraId="60CA7FCB" w14:textId="77777777">
        <w:trPr>
          <w:divId w:val="187912681"/>
        </w:trPr>
        <w:tc>
          <w:tcPr>
            <w:tcW w:w="0" w:type="auto"/>
            <w:gridSpan w:val="3"/>
            <w:shd w:val="clear" w:color="auto" w:fill="FFFFFF"/>
            <w:tcMar>
              <w:top w:w="30" w:type="dxa"/>
              <w:left w:w="20" w:type="dxa"/>
              <w:bottom w:w="30" w:type="dxa"/>
              <w:right w:w="20" w:type="dxa"/>
            </w:tcMar>
            <w:vAlign w:val="center"/>
            <w:hideMark/>
          </w:tcPr>
          <w:p w14:paraId="1F68F682" w14:textId="77777777" w:rsidR="00000000" w:rsidRDefault="00405D16">
            <w:pPr>
              <w:spacing w:after="100"/>
              <w:rPr>
                <w:rFonts w:eastAsia="Times New Roman"/>
              </w:rPr>
            </w:pPr>
            <w:r>
              <w:rPr>
                <w:rFonts w:eastAsia="Times New Roman"/>
                <w:color w:val="000000"/>
                <w:sz w:val="18"/>
                <w:szCs w:val="18"/>
              </w:rPr>
              <w:t>Total other non-interest expense</w:t>
            </w:r>
          </w:p>
        </w:tc>
        <w:tc>
          <w:tcPr>
            <w:tcW w:w="0" w:type="auto"/>
            <w:gridSpan w:val="3"/>
            <w:shd w:val="clear" w:color="auto" w:fill="FFFFFF"/>
            <w:tcMar>
              <w:top w:w="0" w:type="dxa"/>
              <w:left w:w="20" w:type="dxa"/>
              <w:bottom w:w="0" w:type="dxa"/>
              <w:right w:w="20" w:type="dxa"/>
            </w:tcMar>
            <w:vAlign w:val="center"/>
            <w:hideMark/>
          </w:tcPr>
          <w:p w14:paraId="18C5A3C8"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128FF3A" w14:textId="77777777" w:rsidR="00000000" w:rsidRDefault="00405D16">
            <w:pPr>
              <w:spacing w:after="100"/>
              <w:jc w:val="right"/>
              <w:rPr>
                <w:rFonts w:eastAsia="Times New Roman"/>
              </w:rPr>
            </w:pPr>
            <w:r>
              <w:rPr>
                <w:rFonts w:eastAsia="Times New Roman"/>
                <w:b/>
                <w:bCs/>
                <w:color w:val="000000"/>
                <w:sz w:val="18"/>
                <w:szCs w:val="18"/>
              </w:rPr>
              <w:t>420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CD4508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2219A5"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F3E972D" w14:textId="77777777" w:rsidR="00000000" w:rsidRDefault="00405D16">
            <w:pPr>
              <w:spacing w:after="100"/>
              <w:jc w:val="right"/>
              <w:rPr>
                <w:rFonts w:eastAsia="Times New Roman"/>
              </w:rPr>
            </w:pPr>
            <w:r>
              <w:rPr>
                <w:rFonts w:eastAsia="Times New Roman"/>
                <w:color w:val="000000"/>
                <w:sz w:val="18"/>
                <w:szCs w:val="18"/>
              </w:rPr>
              <w:t>389 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F3A50B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37859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C0D27DB" w14:textId="77777777" w:rsidR="00000000" w:rsidRDefault="00405D16">
            <w:pPr>
              <w:spacing w:after="100"/>
              <w:jc w:val="right"/>
              <w:rPr>
                <w:rFonts w:eastAsia="Times New Roman"/>
              </w:rPr>
            </w:pPr>
            <w:r>
              <w:rPr>
                <w:rFonts w:eastAsia="Times New Roman"/>
                <w:b/>
                <w:bCs/>
                <w:color w:val="000000"/>
                <w:sz w:val="18"/>
                <w:szCs w:val="18"/>
              </w:rPr>
              <w:t>1,121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FBEDE4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61AB25"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5EF9F8E" w14:textId="77777777" w:rsidR="00000000" w:rsidRDefault="00405D16">
            <w:pPr>
              <w:spacing w:after="100"/>
              <w:jc w:val="right"/>
              <w:rPr>
                <w:rFonts w:eastAsia="Times New Roman"/>
              </w:rPr>
            </w:pPr>
            <w:r>
              <w:rPr>
                <w:rFonts w:eastAsia="Times New Roman"/>
                <w:color w:val="000000"/>
                <w:sz w:val="18"/>
                <w:szCs w:val="18"/>
              </w:rPr>
              <w:t>1,514 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4C8E0C1" w14:textId="77777777" w:rsidR="00000000" w:rsidRDefault="00405D16">
            <w:pPr>
              <w:spacing w:after="100"/>
              <w:jc w:val="right"/>
              <w:rPr>
                <w:rFonts w:eastAsia="Times New Roman"/>
              </w:rPr>
            </w:pPr>
          </w:p>
        </w:tc>
        <w:tc>
          <w:tcPr>
            <w:tcW w:w="0" w:type="auto"/>
            <w:vAlign w:val="center"/>
            <w:hideMark/>
          </w:tcPr>
          <w:p w14:paraId="6963219B" w14:textId="77777777" w:rsidR="00000000" w:rsidRDefault="00405D16">
            <w:pPr>
              <w:spacing w:after="100"/>
              <w:jc w:val="right"/>
              <w:rPr>
                <w:rFonts w:eastAsia="Times New Roman"/>
                <w:sz w:val="20"/>
                <w:szCs w:val="20"/>
              </w:rPr>
            </w:pPr>
          </w:p>
        </w:tc>
        <w:tc>
          <w:tcPr>
            <w:tcW w:w="0" w:type="auto"/>
            <w:vAlign w:val="center"/>
            <w:hideMark/>
          </w:tcPr>
          <w:p w14:paraId="1B0D1AD1" w14:textId="77777777" w:rsidR="00000000" w:rsidRDefault="00405D16">
            <w:pPr>
              <w:spacing w:after="100"/>
              <w:rPr>
                <w:rFonts w:eastAsia="Times New Roman"/>
                <w:sz w:val="20"/>
                <w:szCs w:val="20"/>
              </w:rPr>
            </w:pPr>
          </w:p>
        </w:tc>
      </w:tr>
      <w:tr w:rsidR="00000000" w14:paraId="409E4326" w14:textId="77777777">
        <w:trPr>
          <w:divId w:val="187912681"/>
        </w:trPr>
        <w:tc>
          <w:tcPr>
            <w:tcW w:w="0" w:type="auto"/>
            <w:gridSpan w:val="3"/>
            <w:shd w:val="clear" w:color="auto" w:fill="CCEEFF"/>
            <w:tcMar>
              <w:top w:w="30" w:type="dxa"/>
              <w:left w:w="20" w:type="dxa"/>
              <w:bottom w:w="30" w:type="dxa"/>
              <w:right w:w="20" w:type="dxa"/>
            </w:tcMar>
            <w:vAlign w:val="center"/>
            <w:hideMark/>
          </w:tcPr>
          <w:p w14:paraId="53956D9B" w14:textId="77777777" w:rsidR="00000000" w:rsidRDefault="00405D16">
            <w:pPr>
              <w:spacing w:after="100"/>
              <w:rPr>
                <w:rFonts w:eastAsia="Times New Roman"/>
              </w:rPr>
            </w:pPr>
            <w:r>
              <w:rPr>
                <w:rFonts w:eastAsia="Times New Roman"/>
                <w:color w:val="000000"/>
                <w:sz w:val="18"/>
                <w:szCs w:val="18"/>
              </w:rPr>
              <w:t>Total non-interest expense</w:t>
            </w:r>
          </w:p>
        </w:tc>
        <w:tc>
          <w:tcPr>
            <w:tcW w:w="0" w:type="auto"/>
            <w:gridSpan w:val="3"/>
            <w:shd w:val="clear" w:color="auto" w:fill="CCEEFF"/>
            <w:tcMar>
              <w:top w:w="0" w:type="dxa"/>
              <w:left w:w="20" w:type="dxa"/>
              <w:bottom w:w="0" w:type="dxa"/>
              <w:right w:w="20" w:type="dxa"/>
            </w:tcMar>
            <w:vAlign w:val="center"/>
            <w:hideMark/>
          </w:tcPr>
          <w:p w14:paraId="269AAB80"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6B21F53"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A68741D" w14:textId="77777777" w:rsidR="00000000" w:rsidRDefault="00405D16">
            <w:pPr>
              <w:spacing w:after="100"/>
              <w:jc w:val="right"/>
              <w:rPr>
                <w:rFonts w:eastAsia="Times New Roman"/>
              </w:rPr>
            </w:pPr>
            <w:r>
              <w:rPr>
                <w:rFonts w:eastAsia="Times New Roman"/>
                <w:b/>
                <w:bCs/>
                <w:color w:val="000000"/>
                <w:sz w:val="18"/>
                <w:szCs w:val="18"/>
              </w:rPr>
              <w:t>4,186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43B68E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33729B"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EC0693E"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6924D8F" w14:textId="77777777" w:rsidR="00000000" w:rsidRDefault="00405D16">
            <w:pPr>
              <w:spacing w:after="100"/>
              <w:jc w:val="right"/>
              <w:rPr>
                <w:rFonts w:eastAsia="Times New Roman"/>
              </w:rPr>
            </w:pPr>
            <w:r>
              <w:rPr>
                <w:rFonts w:eastAsia="Times New Roman"/>
                <w:color w:val="000000"/>
                <w:sz w:val="18"/>
                <w:szCs w:val="18"/>
              </w:rPr>
              <w:t>3,548 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5B63F3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A3F9C5"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0CB1DDDA"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E989B3C" w14:textId="77777777" w:rsidR="00000000" w:rsidRDefault="00405D16">
            <w:pPr>
              <w:spacing w:after="100"/>
              <w:jc w:val="right"/>
              <w:rPr>
                <w:rFonts w:eastAsia="Times New Roman"/>
              </w:rPr>
            </w:pPr>
            <w:r>
              <w:rPr>
                <w:rFonts w:eastAsia="Times New Roman"/>
                <w:b/>
                <w:bCs/>
                <w:color w:val="000000"/>
                <w:sz w:val="18"/>
                <w:szCs w:val="18"/>
              </w:rPr>
              <w:t>11,892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F88189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258513"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16EE04D"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59FBEDF" w14:textId="77777777" w:rsidR="00000000" w:rsidRDefault="00405D16">
            <w:pPr>
              <w:spacing w:after="100"/>
              <w:jc w:val="right"/>
              <w:rPr>
                <w:rFonts w:eastAsia="Times New Roman"/>
              </w:rPr>
            </w:pPr>
            <w:r>
              <w:rPr>
                <w:rFonts w:eastAsia="Times New Roman"/>
                <w:color w:val="000000"/>
                <w:sz w:val="18"/>
                <w:szCs w:val="18"/>
              </w:rPr>
              <w:t>11,047 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C6A33C5" w14:textId="77777777" w:rsidR="00000000" w:rsidRDefault="00405D16">
            <w:pPr>
              <w:spacing w:after="100"/>
              <w:jc w:val="right"/>
              <w:rPr>
                <w:rFonts w:eastAsia="Times New Roman"/>
              </w:rPr>
            </w:pPr>
          </w:p>
        </w:tc>
        <w:tc>
          <w:tcPr>
            <w:tcW w:w="0" w:type="auto"/>
            <w:vAlign w:val="center"/>
            <w:hideMark/>
          </w:tcPr>
          <w:p w14:paraId="115106B4" w14:textId="77777777" w:rsidR="00000000" w:rsidRDefault="00405D16">
            <w:pPr>
              <w:spacing w:after="100"/>
              <w:jc w:val="right"/>
              <w:rPr>
                <w:rFonts w:eastAsia="Times New Roman"/>
                <w:sz w:val="20"/>
                <w:szCs w:val="20"/>
              </w:rPr>
            </w:pPr>
          </w:p>
        </w:tc>
        <w:tc>
          <w:tcPr>
            <w:tcW w:w="0" w:type="auto"/>
            <w:vAlign w:val="center"/>
            <w:hideMark/>
          </w:tcPr>
          <w:p w14:paraId="6C7ADDDC" w14:textId="77777777" w:rsidR="00000000" w:rsidRDefault="00405D16">
            <w:pPr>
              <w:spacing w:after="100"/>
              <w:rPr>
                <w:rFonts w:eastAsia="Times New Roman"/>
                <w:sz w:val="20"/>
                <w:szCs w:val="20"/>
              </w:rPr>
            </w:pPr>
          </w:p>
        </w:tc>
      </w:tr>
    </w:tbl>
    <w:p w14:paraId="1282D6F5" w14:textId="77777777" w:rsidR="00000000" w:rsidRDefault="00405D16">
      <w:pPr>
        <w:divId w:val="50933472"/>
        <w:rPr>
          <w:rFonts w:eastAsia="Times New Roman"/>
        </w:rPr>
      </w:pPr>
      <w:r>
        <w:rPr>
          <w:rFonts w:eastAsia="Times New Roman"/>
          <w:color w:val="000000"/>
          <w:sz w:val="20"/>
          <w:szCs w:val="20"/>
        </w:rPr>
        <w:t>_________</w:t>
      </w:r>
    </w:p>
    <w:p w14:paraId="407D39CA" w14:textId="77777777" w:rsidR="00000000" w:rsidRDefault="00405D16">
      <w:pPr>
        <w:ind w:hanging="360"/>
        <w:jc w:val="both"/>
        <w:divId w:val="152240313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a benefit of $1 </w:t>
      </w:r>
      <w:r>
        <w:rPr>
          <w:rFonts w:eastAsia="Times New Roman"/>
          <w:color w:val="000000"/>
          <w:sz w:val="16"/>
          <w:szCs w:val="16"/>
        </w:rPr>
        <w:t xml:space="preserve">million and expense of $44 million related to our deferred compensation plan investments for the third quarter and first nine months of 2021, respectively, and expense of $19 million and $4 million related to our deferred compensation plan investments for </w:t>
      </w:r>
      <w:r>
        <w:rPr>
          <w:rFonts w:eastAsia="Times New Roman"/>
          <w:color w:val="000000"/>
          <w:sz w:val="16"/>
          <w:szCs w:val="16"/>
        </w:rPr>
        <w:t>the third quarter and first nine months of 2020, respectively. These amounts have corresponding offsets in other non-interest income.</w:t>
      </w:r>
    </w:p>
    <w:p w14:paraId="1F1ECA7C" w14:textId="77777777" w:rsidR="00000000" w:rsidRDefault="00405D16">
      <w:pPr>
        <w:divId w:val="1143084385"/>
        <w:rPr>
          <w:rFonts w:eastAsia="Times New Roman"/>
        </w:rPr>
      </w:pPr>
      <w:r>
        <w:rPr>
          <w:rFonts w:eastAsia="Times New Roman"/>
          <w:color w:val="000000"/>
          <w:sz w:val="20"/>
          <w:szCs w:val="20"/>
        </w:rPr>
        <w:t xml:space="preserve">Non-interest expense increased by $638 million to $4.2 billion in the third quarter of 2021 compared to the third quarter </w:t>
      </w:r>
      <w:r>
        <w:rPr>
          <w:rFonts w:eastAsia="Times New Roman"/>
          <w:color w:val="000000"/>
          <w:sz w:val="20"/>
          <w:szCs w:val="20"/>
        </w:rPr>
        <w:t xml:space="preserve">of 2020 driven by increased marketing spend and increased salaries and associate benefits due to continued investment in technology. </w:t>
      </w:r>
    </w:p>
    <w:p w14:paraId="7B4AB130" w14:textId="77777777" w:rsidR="00000000" w:rsidRDefault="00405D16">
      <w:pPr>
        <w:jc w:val="both"/>
        <w:divId w:val="1180781267"/>
        <w:rPr>
          <w:rFonts w:eastAsia="Times New Roman"/>
        </w:rPr>
      </w:pPr>
      <w:r>
        <w:rPr>
          <w:rFonts w:eastAsia="Times New Roman"/>
          <w:color w:val="000000"/>
          <w:sz w:val="20"/>
          <w:szCs w:val="20"/>
        </w:rPr>
        <w:t>Non-interest expense increased by $845 million to $11.9 billion in the first nine months of 2021 compared to the first nin</w:t>
      </w:r>
      <w:r>
        <w:rPr>
          <w:rFonts w:eastAsia="Times New Roman"/>
          <w:color w:val="000000"/>
          <w:sz w:val="20"/>
          <w:szCs w:val="20"/>
        </w:rPr>
        <w:t>e months of 2020, primarily driven by increased marketing spend and increased salaries and associate benefits due to continued investment in technology, partially offset by lower legal reserve builds.</w:t>
      </w:r>
    </w:p>
    <w:p w14:paraId="7B7C7CD7" w14:textId="77777777" w:rsidR="00000000" w:rsidRDefault="00405D16">
      <w:pPr>
        <w:divId w:val="797187325"/>
        <w:rPr>
          <w:rFonts w:eastAsia="Times New Roman"/>
        </w:rPr>
      </w:pPr>
      <w:r>
        <w:rPr>
          <w:rFonts w:eastAsia="Times New Roman"/>
          <w:b/>
          <w:bCs/>
          <w:color w:val="000000"/>
          <w:sz w:val="20"/>
          <w:szCs w:val="20"/>
          <w:shd w:val="clear" w:color="auto" w:fill="FFFFFF"/>
        </w:rPr>
        <w:t>Income Taxes</w:t>
      </w:r>
    </w:p>
    <w:p w14:paraId="71CE2E6D" w14:textId="77777777" w:rsidR="00000000" w:rsidRDefault="00405D16">
      <w:pPr>
        <w:jc w:val="both"/>
        <w:divId w:val="410006778"/>
        <w:rPr>
          <w:rFonts w:eastAsia="Times New Roman"/>
        </w:rPr>
      </w:pPr>
      <w:r>
        <w:rPr>
          <w:rFonts w:eastAsia="Times New Roman"/>
          <w:color w:val="000000"/>
          <w:sz w:val="20"/>
          <w:szCs w:val="20"/>
          <w:shd w:val="clear" w:color="auto" w:fill="FFFFFF"/>
        </w:rPr>
        <w:t xml:space="preserve">We recorded an income </w:t>
      </w:r>
      <w:r>
        <w:rPr>
          <w:rFonts w:eastAsia="Times New Roman"/>
          <w:color w:val="000000"/>
          <w:sz w:val="20"/>
          <w:szCs w:val="20"/>
        </w:rPr>
        <w:t>tax provision of $88</w:t>
      </w:r>
      <w:r>
        <w:rPr>
          <w:rFonts w:eastAsia="Times New Roman"/>
          <w:color w:val="000000"/>
          <w:sz w:val="20"/>
          <w:szCs w:val="20"/>
        </w:rPr>
        <w:t>2 million (22.1% effective income tax rate) and $2.8 billion (21.8% ef</w:t>
      </w:r>
      <w:r>
        <w:rPr>
          <w:rFonts w:eastAsia="Times New Roman"/>
          <w:color w:val="000000"/>
          <w:sz w:val="20"/>
          <w:szCs w:val="20"/>
          <w:shd w:val="clear" w:color="auto" w:fill="FFFFFF"/>
        </w:rPr>
        <w:t xml:space="preserve">fective income tax rate) in </w:t>
      </w:r>
      <w:r>
        <w:rPr>
          <w:rFonts w:eastAsia="Times New Roman"/>
          <w:color w:val="000000"/>
          <w:sz w:val="20"/>
          <w:szCs w:val="20"/>
        </w:rPr>
        <w:t>the third quarter and first nine months of 2021</w:t>
      </w:r>
      <w:r>
        <w:rPr>
          <w:rFonts w:eastAsia="Times New Roman"/>
          <w:color w:val="000000"/>
          <w:sz w:val="20"/>
          <w:szCs w:val="20"/>
          <w:shd w:val="clear" w:color="auto" w:fill="FFFFFF"/>
        </w:rPr>
        <w:t>, respectively, compared to an income tax expense of $1.1 billion (31.3% effective income tax rate) and an inco</w:t>
      </w:r>
      <w:r>
        <w:rPr>
          <w:rFonts w:eastAsia="Times New Roman"/>
          <w:color w:val="000000"/>
          <w:sz w:val="20"/>
          <w:szCs w:val="20"/>
          <w:shd w:val="clear" w:color="auto" w:fill="FFFFFF"/>
        </w:rPr>
        <w:t xml:space="preserve">me tax benefit of $10 million (negative 7.2% effective income tax rate) in </w:t>
      </w:r>
      <w:r>
        <w:rPr>
          <w:rFonts w:eastAsia="Times New Roman"/>
          <w:color w:val="000000"/>
          <w:sz w:val="20"/>
          <w:szCs w:val="20"/>
        </w:rPr>
        <w:t>the third quarter and first nine months of 2020</w:t>
      </w:r>
      <w:r>
        <w:rPr>
          <w:rFonts w:eastAsia="Times New Roman"/>
          <w:color w:val="000000"/>
          <w:sz w:val="20"/>
          <w:szCs w:val="20"/>
          <w:shd w:val="clear" w:color="auto" w:fill="FFFFFF"/>
        </w:rPr>
        <w:t>, respectively. Our effective tax rate on income from continuing operations varies between periods due, in part, to</w:t>
      </w:r>
      <w:r>
        <w:rPr>
          <w:rFonts w:eastAsia="Times New Roman"/>
          <w:color w:val="000000"/>
          <w:sz w:val="20"/>
          <w:szCs w:val="20"/>
        </w:rPr>
        <w:t xml:space="preserve"> the impact of chan</w:t>
      </w:r>
      <w:r>
        <w:rPr>
          <w:rFonts w:eastAsia="Times New Roman"/>
          <w:color w:val="000000"/>
          <w:sz w:val="20"/>
          <w:szCs w:val="20"/>
        </w:rPr>
        <w:t>ges in pre-tax income and changes in tax credits, tax-exempt income and non-deductible expenses relative to our pre-tax earnings.</w:t>
      </w:r>
    </w:p>
    <w:p w14:paraId="0DD80236" w14:textId="77777777" w:rsidR="00000000" w:rsidRDefault="00405D16">
      <w:pPr>
        <w:jc w:val="both"/>
        <w:divId w:val="1833331155"/>
        <w:rPr>
          <w:rFonts w:eastAsia="Times New Roman"/>
        </w:rPr>
      </w:pPr>
      <w:r>
        <w:rPr>
          <w:rFonts w:eastAsia="Times New Roman"/>
          <w:color w:val="000000"/>
          <w:sz w:val="20"/>
          <w:szCs w:val="20"/>
        </w:rPr>
        <w:t>Our effective income tax rate decreased for the third quarter of 2021 and increased for the first nine months of 2021 compared</w:t>
      </w:r>
      <w:r>
        <w:rPr>
          <w:rFonts w:eastAsia="Times New Roman"/>
          <w:color w:val="000000"/>
          <w:sz w:val="20"/>
          <w:szCs w:val="20"/>
        </w:rPr>
        <w:t xml:space="preserve"> to the same periods in 2020 primarily driven by the impact of changes in pre-tax income and the relationship of our tax credits in proportion to our pre-tax earnings.</w:t>
      </w:r>
    </w:p>
    <w:p w14:paraId="32D999C6" w14:textId="77777777" w:rsidR="00000000" w:rsidRDefault="00405D16">
      <w:pPr>
        <w:jc w:val="both"/>
        <w:divId w:val="1745566552"/>
        <w:rPr>
          <w:rFonts w:eastAsia="Times New Roman"/>
        </w:rPr>
      </w:pPr>
      <w:r>
        <w:rPr>
          <w:rFonts w:eastAsia="Times New Roman"/>
          <w:color w:val="000000"/>
          <w:sz w:val="20"/>
          <w:szCs w:val="20"/>
        </w:rPr>
        <w:t xml:space="preserve">We provide additional information on items affecting our income taxes and effective tax </w:t>
      </w:r>
      <w:r>
        <w:rPr>
          <w:rFonts w:eastAsia="Times New Roman"/>
          <w:color w:val="000000"/>
          <w:sz w:val="20"/>
          <w:szCs w:val="20"/>
        </w:rPr>
        <w:t>rate in “Note 15—Income Taxes” in our 2020 Form 10-K.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756EDBA6" w14:textId="77777777">
        <w:trPr>
          <w:divId w:val="528764827"/>
          <w:jc w:val="center"/>
        </w:trPr>
        <w:tc>
          <w:tcPr>
            <w:tcW w:w="50" w:type="pct"/>
            <w:vAlign w:val="center"/>
            <w:hideMark/>
          </w:tcPr>
          <w:p w14:paraId="60ED17B2" w14:textId="77777777" w:rsidR="00000000" w:rsidRDefault="00405D16">
            <w:pPr>
              <w:jc w:val="both"/>
              <w:rPr>
                <w:rFonts w:eastAsia="Times New Roman"/>
              </w:rPr>
            </w:pPr>
          </w:p>
        </w:tc>
        <w:tc>
          <w:tcPr>
            <w:tcW w:w="1606" w:type="pct"/>
            <w:vAlign w:val="center"/>
            <w:hideMark/>
          </w:tcPr>
          <w:p w14:paraId="02B2EE8B" w14:textId="77777777" w:rsidR="00000000" w:rsidRDefault="00405D16">
            <w:pPr>
              <w:spacing w:after="100"/>
              <w:rPr>
                <w:rFonts w:eastAsia="Times New Roman"/>
                <w:sz w:val="20"/>
                <w:szCs w:val="20"/>
              </w:rPr>
            </w:pPr>
          </w:p>
        </w:tc>
        <w:tc>
          <w:tcPr>
            <w:tcW w:w="5" w:type="pct"/>
            <w:vAlign w:val="center"/>
            <w:hideMark/>
          </w:tcPr>
          <w:p w14:paraId="25760D09" w14:textId="77777777" w:rsidR="00000000" w:rsidRDefault="00405D16">
            <w:pPr>
              <w:spacing w:after="100"/>
              <w:rPr>
                <w:rFonts w:eastAsia="Times New Roman"/>
                <w:sz w:val="20"/>
                <w:szCs w:val="20"/>
              </w:rPr>
            </w:pPr>
          </w:p>
        </w:tc>
        <w:tc>
          <w:tcPr>
            <w:tcW w:w="50" w:type="pct"/>
            <w:vAlign w:val="center"/>
            <w:hideMark/>
          </w:tcPr>
          <w:p w14:paraId="3CDED123" w14:textId="77777777" w:rsidR="00000000" w:rsidRDefault="00405D16">
            <w:pPr>
              <w:spacing w:after="100"/>
              <w:rPr>
                <w:rFonts w:eastAsia="Times New Roman"/>
                <w:sz w:val="20"/>
                <w:szCs w:val="20"/>
              </w:rPr>
            </w:pPr>
          </w:p>
        </w:tc>
        <w:tc>
          <w:tcPr>
            <w:tcW w:w="1614" w:type="pct"/>
            <w:vAlign w:val="center"/>
            <w:hideMark/>
          </w:tcPr>
          <w:p w14:paraId="4B0A0567" w14:textId="77777777" w:rsidR="00000000" w:rsidRDefault="00405D16">
            <w:pPr>
              <w:spacing w:after="100"/>
              <w:rPr>
                <w:rFonts w:eastAsia="Times New Roman"/>
                <w:sz w:val="20"/>
                <w:szCs w:val="20"/>
              </w:rPr>
            </w:pPr>
          </w:p>
        </w:tc>
        <w:tc>
          <w:tcPr>
            <w:tcW w:w="5" w:type="pct"/>
            <w:vAlign w:val="center"/>
            <w:hideMark/>
          </w:tcPr>
          <w:p w14:paraId="5A7E2A84" w14:textId="77777777" w:rsidR="00000000" w:rsidRDefault="00405D16">
            <w:pPr>
              <w:spacing w:after="100"/>
              <w:rPr>
                <w:rFonts w:eastAsia="Times New Roman"/>
                <w:sz w:val="20"/>
                <w:szCs w:val="20"/>
              </w:rPr>
            </w:pPr>
          </w:p>
        </w:tc>
        <w:tc>
          <w:tcPr>
            <w:tcW w:w="50" w:type="pct"/>
            <w:vAlign w:val="center"/>
            <w:hideMark/>
          </w:tcPr>
          <w:p w14:paraId="3531EB96" w14:textId="77777777" w:rsidR="00000000" w:rsidRDefault="00405D16">
            <w:pPr>
              <w:spacing w:after="100"/>
              <w:rPr>
                <w:rFonts w:eastAsia="Times New Roman"/>
                <w:sz w:val="20"/>
                <w:szCs w:val="20"/>
              </w:rPr>
            </w:pPr>
          </w:p>
        </w:tc>
        <w:tc>
          <w:tcPr>
            <w:tcW w:w="1614" w:type="pct"/>
            <w:vAlign w:val="center"/>
            <w:hideMark/>
          </w:tcPr>
          <w:p w14:paraId="5727A6F8" w14:textId="77777777" w:rsidR="00000000" w:rsidRDefault="00405D16">
            <w:pPr>
              <w:spacing w:after="100"/>
              <w:rPr>
                <w:rFonts w:eastAsia="Times New Roman"/>
                <w:sz w:val="20"/>
                <w:szCs w:val="20"/>
              </w:rPr>
            </w:pPr>
          </w:p>
        </w:tc>
        <w:tc>
          <w:tcPr>
            <w:tcW w:w="5" w:type="pct"/>
            <w:vAlign w:val="center"/>
            <w:hideMark/>
          </w:tcPr>
          <w:p w14:paraId="273D4AE4" w14:textId="77777777" w:rsidR="00000000" w:rsidRDefault="00405D16">
            <w:pPr>
              <w:spacing w:after="100"/>
              <w:rPr>
                <w:rFonts w:eastAsia="Times New Roman"/>
                <w:sz w:val="20"/>
                <w:szCs w:val="20"/>
              </w:rPr>
            </w:pPr>
          </w:p>
        </w:tc>
      </w:tr>
      <w:tr w:rsidR="00000000" w14:paraId="085A1A49" w14:textId="77777777">
        <w:trPr>
          <w:divId w:val="528764827"/>
          <w:trHeight w:val="300"/>
          <w:jc w:val="center"/>
        </w:trPr>
        <w:tc>
          <w:tcPr>
            <w:tcW w:w="0" w:type="auto"/>
            <w:gridSpan w:val="9"/>
            <w:tcMar>
              <w:top w:w="0" w:type="dxa"/>
              <w:left w:w="20" w:type="dxa"/>
              <w:bottom w:w="0" w:type="dxa"/>
              <w:right w:w="20" w:type="dxa"/>
            </w:tcMar>
            <w:vAlign w:val="center"/>
            <w:hideMark/>
          </w:tcPr>
          <w:p w14:paraId="38ED72CE" w14:textId="77777777" w:rsidR="00000000" w:rsidRDefault="00405D16">
            <w:pPr>
              <w:spacing w:after="100"/>
              <w:rPr>
                <w:rFonts w:eastAsia="Times New Roman"/>
                <w:sz w:val="20"/>
                <w:szCs w:val="20"/>
              </w:rPr>
            </w:pPr>
          </w:p>
        </w:tc>
      </w:tr>
      <w:tr w:rsidR="00000000" w14:paraId="339FFF9C" w14:textId="77777777">
        <w:trPr>
          <w:divId w:val="528764827"/>
          <w:jc w:val="center"/>
        </w:trPr>
        <w:tc>
          <w:tcPr>
            <w:tcW w:w="0" w:type="auto"/>
            <w:gridSpan w:val="3"/>
            <w:tcMar>
              <w:top w:w="0" w:type="dxa"/>
              <w:left w:w="20" w:type="dxa"/>
              <w:bottom w:w="0" w:type="dxa"/>
              <w:right w:w="20" w:type="dxa"/>
            </w:tcMar>
            <w:vAlign w:val="center"/>
            <w:hideMark/>
          </w:tcPr>
          <w:p w14:paraId="03AF2702"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1782BF3" w14:textId="77777777" w:rsidR="00000000" w:rsidRDefault="00405D16">
            <w:pPr>
              <w:spacing w:after="100"/>
              <w:jc w:val="center"/>
              <w:rPr>
                <w:rFonts w:eastAsia="Times New Roman"/>
              </w:rPr>
            </w:pPr>
            <w:r>
              <w:rPr>
                <w:rFonts w:eastAsia="Times New Roman"/>
                <w:color w:val="000000"/>
                <w:sz w:val="16"/>
                <w:szCs w:val="16"/>
              </w:rPr>
              <w:t>16</w:t>
            </w:r>
          </w:p>
        </w:tc>
        <w:tc>
          <w:tcPr>
            <w:tcW w:w="0" w:type="auto"/>
            <w:gridSpan w:val="3"/>
            <w:tcMar>
              <w:top w:w="30" w:type="dxa"/>
              <w:left w:w="20" w:type="dxa"/>
              <w:bottom w:w="30" w:type="dxa"/>
              <w:right w:w="20" w:type="dxa"/>
            </w:tcMar>
            <w:vAlign w:val="bottom"/>
            <w:hideMark/>
          </w:tcPr>
          <w:p w14:paraId="2A3AFA45"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1C1DD5A5" w14:textId="77777777" w:rsidR="00000000" w:rsidRDefault="00405D16">
      <w:pPr>
        <w:rPr>
          <w:rFonts w:eastAsia="Times New Roman"/>
        </w:rPr>
      </w:pPr>
      <w:r>
        <w:rPr>
          <w:rFonts w:eastAsia="Times New Roman"/>
        </w:rPr>
        <w:pict w14:anchorId="5CB6DE08">
          <v:rect id="_x0000_i1041" style="width:0;height:1.5pt" o:hralign="center" o:hrstd="t" o:hr="t" fillcolor="#a0a0a0" stroked="f"/>
        </w:pict>
      </w:r>
    </w:p>
    <w:p w14:paraId="3F99E9D7" w14:textId="77777777" w:rsidR="00000000" w:rsidRDefault="00405D16">
      <w:pPr>
        <w:ind w:hanging="360"/>
        <w:jc w:val="both"/>
        <w:divId w:val="1170561652"/>
        <w:rPr>
          <w:rFonts w:eastAsia="Times New Roman"/>
        </w:rPr>
      </w:pPr>
      <w:hyperlink w:anchor="idd54a04a485440b4ab4e56094c14d612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73C6CA1A" w14:textId="77777777">
        <w:trPr>
          <w:divId w:val="1795438172"/>
        </w:trPr>
        <w:tc>
          <w:tcPr>
            <w:tcW w:w="50" w:type="pct"/>
            <w:vAlign w:val="center"/>
            <w:hideMark/>
          </w:tcPr>
          <w:p w14:paraId="0EACC137" w14:textId="77777777" w:rsidR="00000000" w:rsidRDefault="00405D16">
            <w:pPr>
              <w:ind w:hanging="360"/>
              <w:jc w:val="both"/>
              <w:rPr>
                <w:rFonts w:eastAsia="Times New Roman"/>
              </w:rPr>
            </w:pPr>
          </w:p>
        </w:tc>
        <w:tc>
          <w:tcPr>
            <w:tcW w:w="4945" w:type="pct"/>
            <w:vAlign w:val="center"/>
            <w:hideMark/>
          </w:tcPr>
          <w:p w14:paraId="147D01DF" w14:textId="77777777" w:rsidR="00000000" w:rsidRDefault="00405D16">
            <w:pPr>
              <w:spacing w:after="100"/>
              <w:rPr>
                <w:rFonts w:eastAsia="Times New Roman"/>
                <w:sz w:val="20"/>
                <w:szCs w:val="20"/>
              </w:rPr>
            </w:pPr>
          </w:p>
        </w:tc>
        <w:tc>
          <w:tcPr>
            <w:tcW w:w="5" w:type="pct"/>
            <w:vAlign w:val="center"/>
            <w:hideMark/>
          </w:tcPr>
          <w:p w14:paraId="1ABD85E8" w14:textId="77777777" w:rsidR="00000000" w:rsidRDefault="00405D16">
            <w:pPr>
              <w:spacing w:after="100"/>
              <w:rPr>
                <w:rFonts w:eastAsia="Times New Roman"/>
                <w:sz w:val="20"/>
                <w:szCs w:val="20"/>
              </w:rPr>
            </w:pPr>
          </w:p>
        </w:tc>
      </w:tr>
      <w:tr w:rsidR="00000000" w14:paraId="52D0D93A" w14:textId="77777777">
        <w:trPr>
          <w:divId w:val="1795438172"/>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2C4449D2" w14:textId="77777777" w:rsidR="00000000" w:rsidRDefault="00405D16">
            <w:pPr>
              <w:spacing w:after="100"/>
              <w:rPr>
                <w:rFonts w:eastAsia="Times New Roman"/>
              </w:rPr>
            </w:pPr>
            <w:r>
              <w:rPr>
                <w:rFonts w:eastAsia="Times New Roman"/>
                <w:b/>
                <w:bCs/>
                <w:color w:val="000000"/>
                <w:sz w:val="20"/>
                <w:szCs w:val="20"/>
              </w:rPr>
              <w:t>CONSOLIDATED BALANCE SHEETS ANALYSIS</w:t>
            </w:r>
          </w:p>
        </w:tc>
      </w:tr>
    </w:tbl>
    <w:p w14:paraId="312A5B0A" w14:textId="77777777" w:rsidR="00000000" w:rsidRDefault="00405D16">
      <w:pPr>
        <w:jc w:val="both"/>
        <w:divId w:val="38434822"/>
        <w:rPr>
          <w:rFonts w:eastAsia="Times New Roman"/>
        </w:rPr>
      </w:pPr>
      <w:r>
        <w:rPr>
          <w:rFonts w:eastAsia="Times New Roman"/>
          <w:color w:val="000000"/>
          <w:sz w:val="20"/>
          <w:szCs w:val="20"/>
        </w:rPr>
        <w:t>Total assets increased by $3.8 billion to $425.4 billion as of September 30, 2021 from December 31, 2020 primarily driven by loan growth and allowance releases, partially offset by a decrease in our cash balances.</w:t>
      </w:r>
    </w:p>
    <w:p w14:paraId="40F367B9" w14:textId="77777777" w:rsidR="00000000" w:rsidRDefault="00405D16">
      <w:pPr>
        <w:jc w:val="both"/>
        <w:divId w:val="706876163"/>
        <w:rPr>
          <w:rFonts w:eastAsia="Times New Roman"/>
        </w:rPr>
      </w:pPr>
      <w:r>
        <w:rPr>
          <w:rFonts w:eastAsia="Times New Roman"/>
          <w:color w:val="000000"/>
          <w:sz w:val="20"/>
          <w:szCs w:val="20"/>
        </w:rPr>
        <w:t>Total liabilities remained substantially f</w:t>
      </w:r>
      <w:r>
        <w:rPr>
          <w:rFonts w:eastAsia="Times New Roman"/>
          <w:color w:val="000000"/>
          <w:sz w:val="20"/>
          <w:szCs w:val="20"/>
        </w:rPr>
        <w:t>lat at $361.8 billion as of September 30, 2021.</w:t>
      </w:r>
    </w:p>
    <w:p w14:paraId="54DEFCEC" w14:textId="77777777" w:rsidR="00000000" w:rsidRDefault="00405D16">
      <w:pPr>
        <w:jc w:val="both"/>
        <w:divId w:val="1958028621"/>
        <w:rPr>
          <w:rFonts w:eastAsia="Times New Roman"/>
        </w:rPr>
      </w:pPr>
      <w:r>
        <w:rPr>
          <w:rFonts w:eastAsia="Times New Roman"/>
          <w:color w:val="000000"/>
          <w:sz w:val="20"/>
          <w:szCs w:val="20"/>
        </w:rPr>
        <w:t>Stockholders’ equity increased by $3.3 billion to $63.5 billion as of September 30, 2021 from December 31, 2020 primarily due to our net income of $10.0 billion, partially offset by the repurchase of shares o</w:t>
      </w:r>
      <w:r>
        <w:rPr>
          <w:rFonts w:eastAsia="Times New Roman"/>
          <w:color w:val="000000"/>
          <w:sz w:val="20"/>
          <w:szCs w:val="20"/>
        </w:rPr>
        <w:t>f our common stock.</w:t>
      </w:r>
    </w:p>
    <w:p w14:paraId="0999C5FA" w14:textId="77777777" w:rsidR="00000000" w:rsidRDefault="00405D16">
      <w:pPr>
        <w:jc w:val="both"/>
        <w:divId w:val="306206949"/>
        <w:rPr>
          <w:rFonts w:eastAsia="Times New Roman"/>
        </w:rPr>
      </w:pPr>
      <w:r>
        <w:rPr>
          <w:rFonts w:eastAsia="Times New Roman"/>
          <w:color w:val="000000"/>
          <w:sz w:val="20"/>
          <w:szCs w:val="20"/>
        </w:rPr>
        <w:t xml:space="preserve">The following is a discussion of material changes in the major components of our assets and liabilities during the first nine months of 2021. Period-end balance sheet amounts may vary from average balance sheet amounts due to liquidity </w:t>
      </w:r>
      <w:r>
        <w:rPr>
          <w:rFonts w:eastAsia="Times New Roman"/>
          <w:color w:val="000000"/>
          <w:sz w:val="20"/>
          <w:szCs w:val="20"/>
        </w:rPr>
        <w:t>and balance sheet management activities that are intended to support the adequacy of capital while managing our liquidity requirements, our customers and our market risk exposure in accordance with our risk appetite.</w:t>
      </w:r>
    </w:p>
    <w:p w14:paraId="6B4CABEF" w14:textId="77777777" w:rsidR="00000000" w:rsidRDefault="00405D16">
      <w:pPr>
        <w:divId w:val="1770465709"/>
        <w:rPr>
          <w:rFonts w:eastAsia="Times New Roman"/>
        </w:rPr>
      </w:pPr>
      <w:r>
        <w:rPr>
          <w:rFonts w:eastAsia="Times New Roman"/>
          <w:b/>
          <w:bCs/>
          <w:color w:val="000000"/>
          <w:sz w:val="20"/>
          <w:szCs w:val="20"/>
        </w:rPr>
        <w:t xml:space="preserve">Investment Securities </w:t>
      </w:r>
    </w:p>
    <w:p w14:paraId="776CDECA" w14:textId="77777777" w:rsidR="00000000" w:rsidRDefault="00405D16">
      <w:pPr>
        <w:jc w:val="both"/>
        <w:divId w:val="1502307765"/>
        <w:rPr>
          <w:rFonts w:eastAsia="Times New Roman"/>
        </w:rPr>
      </w:pPr>
      <w:r>
        <w:rPr>
          <w:rFonts w:eastAsia="Times New Roman"/>
          <w:color w:val="000000"/>
          <w:sz w:val="20"/>
          <w:szCs w:val="20"/>
        </w:rPr>
        <w:t>Our investment s</w:t>
      </w:r>
      <w:r>
        <w:rPr>
          <w:rFonts w:eastAsia="Times New Roman"/>
          <w:color w:val="000000"/>
          <w:sz w:val="20"/>
          <w:szCs w:val="20"/>
        </w:rPr>
        <w:t>ecurities portfolio consists of the following: U.S. government-sponsored enterprise or agency (“Agency”) and non-agency residential mortgage-backed securities (“RMBS”), Agency commercial mortgage-backed securities (“CMBS”), U.S. Treasury securities and oth</w:t>
      </w:r>
      <w:r>
        <w:rPr>
          <w:rFonts w:eastAsia="Times New Roman"/>
          <w:color w:val="000000"/>
          <w:sz w:val="20"/>
          <w:szCs w:val="20"/>
        </w:rPr>
        <w:t>er securities. Agency securities include Government National Mortgage Association (“Ginnie Mae”) guaranteed securities, Federal National Mortgage Association (“Fannie Mae”) and Federal Home Loan Mortgage Corporation (“Freddie Mac”) issued securities. The c</w:t>
      </w:r>
      <w:r>
        <w:rPr>
          <w:rFonts w:eastAsia="Times New Roman"/>
          <w:color w:val="000000"/>
          <w:sz w:val="20"/>
          <w:szCs w:val="20"/>
        </w:rPr>
        <w:t>arrying value of our investments in Agency and U.S. Treasury securities represented 96% of our total investment securities portfolio as of both September 30, 2021 and December 31, 2020.</w:t>
      </w:r>
    </w:p>
    <w:p w14:paraId="26ABEC09" w14:textId="77777777" w:rsidR="00000000" w:rsidRDefault="00405D16">
      <w:pPr>
        <w:jc w:val="both"/>
        <w:divId w:val="2083869395"/>
        <w:rPr>
          <w:rFonts w:eastAsia="Times New Roman"/>
        </w:rPr>
      </w:pPr>
      <w:r>
        <w:rPr>
          <w:rFonts w:eastAsia="Times New Roman"/>
          <w:color w:val="000000"/>
          <w:sz w:val="20"/>
          <w:szCs w:val="20"/>
        </w:rPr>
        <w:t>The fair value of our available for sale securities portfolio decrease</w:t>
      </w:r>
      <w:r>
        <w:rPr>
          <w:rFonts w:eastAsia="Times New Roman"/>
          <w:color w:val="000000"/>
          <w:sz w:val="20"/>
          <w:szCs w:val="20"/>
        </w:rPr>
        <w:t xml:space="preserve">d by $2.3 billion to $98.1 billion as of September 30, 2021 from December 31, 2020, primarily driven by the increase in interest rates. See “Note 2—Investment Securities” for more information. </w:t>
      </w:r>
    </w:p>
    <w:p w14:paraId="2C8AEA77" w14:textId="77777777" w:rsidR="00000000" w:rsidRDefault="00405D16">
      <w:pPr>
        <w:jc w:val="both"/>
        <w:divId w:val="239559495"/>
        <w:rPr>
          <w:rFonts w:eastAsia="Times New Roman"/>
        </w:rPr>
      </w:pPr>
      <w:r>
        <w:rPr>
          <w:rFonts w:eastAsia="Times New Roman"/>
          <w:color w:val="000000"/>
          <w:sz w:val="20"/>
          <w:szCs w:val="20"/>
        </w:rPr>
        <w:t>Table 6 presents the amortized cost and fair value for the maj</w:t>
      </w:r>
      <w:r>
        <w:rPr>
          <w:rFonts w:eastAsia="Times New Roman"/>
          <w:color w:val="000000"/>
          <w:sz w:val="20"/>
          <w:szCs w:val="20"/>
        </w:rPr>
        <w:t xml:space="preserve">or security types in our available for sale securities portfolio as of September 30, 2021 and December 31, 2020. </w:t>
      </w:r>
    </w:p>
    <w:p w14:paraId="68519EDC" w14:textId="77777777" w:rsidR="00000000" w:rsidRDefault="00405D16">
      <w:pPr>
        <w:divId w:val="1028291467"/>
        <w:rPr>
          <w:rFonts w:eastAsia="Times New Roman"/>
        </w:rPr>
      </w:pPr>
      <w:r>
        <w:rPr>
          <w:rFonts w:eastAsia="Times New Roman"/>
          <w:b/>
          <w:bCs/>
          <w:color w:val="000000"/>
          <w:sz w:val="18"/>
          <w:szCs w:val="18"/>
        </w:rPr>
        <w:t>Table 6: Investment Securities</w:t>
      </w:r>
    </w:p>
    <w:tbl>
      <w:tblPr>
        <w:tblW w:w="5000" w:type="pct"/>
        <w:tblCellMar>
          <w:top w:w="15" w:type="dxa"/>
          <w:left w:w="15" w:type="dxa"/>
          <w:bottom w:w="15" w:type="dxa"/>
          <w:right w:w="15" w:type="dxa"/>
        </w:tblCellMar>
        <w:tblLook w:val="04A0" w:firstRow="1" w:lastRow="0" w:firstColumn="1" w:lastColumn="0" w:noHBand="0" w:noVBand="1"/>
      </w:tblPr>
      <w:tblGrid>
        <w:gridCol w:w="38"/>
        <w:gridCol w:w="4395"/>
        <w:gridCol w:w="37"/>
        <w:gridCol w:w="36"/>
        <w:gridCol w:w="36"/>
        <w:gridCol w:w="36"/>
        <w:gridCol w:w="111"/>
        <w:gridCol w:w="680"/>
        <w:gridCol w:w="36"/>
        <w:gridCol w:w="36"/>
        <w:gridCol w:w="36"/>
        <w:gridCol w:w="36"/>
        <w:gridCol w:w="110"/>
        <w:gridCol w:w="540"/>
        <w:gridCol w:w="36"/>
        <w:gridCol w:w="36"/>
        <w:gridCol w:w="36"/>
        <w:gridCol w:w="36"/>
        <w:gridCol w:w="111"/>
        <w:gridCol w:w="680"/>
        <w:gridCol w:w="36"/>
        <w:gridCol w:w="36"/>
        <w:gridCol w:w="36"/>
        <w:gridCol w:w="36"/>
        <w:gridCol w:w="110"/>
        <w:gridCol w:w="630"/>
        <w:gridCol w:w="36"/>
        <w:gridCol w:w="36"/>
        <w:gridCol w:w="36"/>
        <w:gridCol w:w="36"/>
        <w:gridCol w:w="36"/>
        <w:gridCol w:w="36"/>
        <w:gridCol w:w="36"/>
        <w:gridCol w:w="36"/>
        <w:gridCol w:w="36"/>
      </w:tblGrid>
      <w:tr w:rsidR="00000000" w14:paraId="799D1E53" w14:textId="77777777">
        <w:trPr>
          <w:divId w:val="691495059"/>
        </w:trPr>
        <w:tc>
          <w:tcPr>
            <w:tcW w:w="50" w:type="pct"/>
            <w:vAlign w:val="center"/>
            <w:hideMark/>
          </w:tcPr>
          <w:p w14:paraId="1E4850A4" w14:textId="77777777" w:rsidR="00000000" w:rsidRDefault="00405D16">
            <w:pPr>
              <w:rPr>
                <w:rFonts w:eastAsia="Times New Roman"/>
              </w:rPr>
            </w:pPr>
          </w:p>
        </w:tc>
        <w:tc>
          <w:tcPr>
            <w:tcW w:w="2898" w:type="pct"/>
            <w:vAlign w:val="center"/>
            <w:hideMark/>
          </w:tcPr>
          <w:p w14:paraId="574A5A93" w14:textId="77777777" w:rsidR="00000000" w:rsidRDefault="00405D16">
            <w:pPr>
              <w:spacing w:after="100"/>
              <w:rPr>
                <w:rFonts w:eastAsia="Times New Roman"/>
                <w:sz w:val="20"/>
                <w:szCs w:val="20"/>
              </w:rPr>
            </w:pPr>
          </w:p>
        </w:tc>
        <w:tc>
          <w:tcPr>
            <w:tcW w:w="5" w:type="pct"/>
            <w:vAlign w:val="center"/>
            <w:hideMark/>
          </w:tcPr>
          <w:p w14:paraId="5A819FAE" w14:textId="77777777" w:rsidR="00000000" w:rsidRDefault="00405D16">
            <w:pPr>
              <w:spacing w:after="100"/>
              <w:rPr>
                <w:rFonts w:eastAsia="Times New Roman"/>
                <w:sz w:val="20"/>
                <w:szCs w:val="20"/>
              </w:rPr>
            </w:pPr>
          </w:p>
        </w:tc>
        <w:tc>
          <w:tcPr>
            <w:tcW w:w="5" w:type="pct"/>
            <w:vAlign w:val="center"/>
            <w:hideMark/>
          </w:tcPr>
          <w:p w14:paraId="39D7ADBA" w14:textId="77777777" w:rsidR="00000000" w:rsidRDefault="00405D16">
            <w:pPr>
              <w:spacing w:after="100"/>
              <w:rPr>
                <w:rFonts w:eastAsia="Times New Roman"/>
                <w:sz w:val="20"/>
                <w:szCs w:val="20"/>
              </w:rPr>
            </w:pPr>
          </w:p>
        </w:tc>
        <w:tc>
          <w:tcPr>
            <w:tcW w:w="26" w:type="pct"/>
            <w:vAlign w:val="center"/>
            <w:hideMark/>
          </w:tcPr>
          <w:p w14:paraId="22309868" w14:textId="77777777" w:rsidR="00000000" w:rsidRDefault="00405D16">
            <w:pPr>
              <w:spacing w:after="100"/>
              <w:rPr>
                <w:rFonts w:eastAsia="Times New Roman"/>
                <w:sz w:val="20"/>
                <w:szCs w:val="20"/>
              </w:rPr>
            </w:pPr>
          </w:p>
        </w:tc>
        <w:tc>
          <w:tcPr>
            <w:tcW w:w="5" w:type="pct"/>
            <w:vAlign w:val="center"/>
            <w:hideMark/>
          </w:tcPr>
          <w:p w14:paraId="3D538D79" w14:textId="77777777" w:rsidR="00000000" w:rsidRDefault="00405D16">
            <w:pPr>
              <w:spacing w:after="100"/>
              <w:rPr>
                <w:rFonts w:eastAsia="Times New Roman"/>
                <w:sz w:val="20"/>
                <w:szCs w:val="20"/>
              </w:rPr>
            </w:pPr>
          </w:p>
        </w:tc>
        <w:tc>
          <w:tcPr>
            <w:tcW w:w="50" w:type="pct"/>
            <w:vAlign w:val="center"/>
            <w:hideMark/>
          </w:tcPr>
          <w:p w14:paraId="49671D91" w14:textId="77777777" w:rsidR="00000000" w:rsidRDefault="00405D16">
            <w:pPr>
              <w:spacing w:after="100"/>
              <w:rPr>
                <w:rFonts w:eastAsia="Times New Roman"/>
                <w:sz w:val="20"/>
                <w:szCs w:val="20"/>
              </w:rPr>
            </w:pPr>
          </w:p>
        </w:tc>
        <w:tc>
          <w:tcPr>
            <w:tcW w:w="420" w:type="pct"/>
            <w:vAlign w:val="center"/>
            <w:hideMark/>
          </w:tcPr>
          <w:p w14:paraId="13E62FE0" w14:textId="77777777" w:rsidR="00000000" w:rsidRDefault="00405D16">
            <w:pPr>
              <w:spacing w:after="100"/>
              <w:rPr>
                <w:rFonts w:eastAsia="Times New Roman"/>
                <w:sz w:val="20"/>
                <w:szCs w:val="20"/>
              </w:rPr>
            </w:pPr>
          </w:p>
        </w:tc>
        <w:tc>
          <w:tcPr>
            <w:tcW w:w="5" w:type="pct"/>
            <w:vAlign w:val="center"/>
            <w:hideMark/>
          </w:tcPr>
          <w:p w14:paraId="00C762F2" w14:textId="77777777" w:rsidR="00000000" w:rsidRDefault="00405D16">
            <w:pPr>
              <w:spacing w:after="100"/>
              <w:rPr>
                <w:rFonts w:eastAsia="Times New Roman"/>
                <w:sz w:val="20"/>
                <w:szCs w:val="20"/>
              </w:rPr>
            </w:pPr>
          </w:p>
        </w:tc>
        <w:tc>
          <w:tcPr>
            <w:tcW w:w="5" w:type="pct"/>
            <w:vAlign w:val="center"/>
            <w:hideMark/>
          </w:tcPr>
          <w:p w14:paraId="7C2B84B9" w14:textId="77777777" w:rsidR="00000000" w:rsidRDefault="00405D16">
            <w:pPr>
              <w:spacing w:after="100"/>
              <w:rPr>
                <w:rFonts w:eastAsia="Times New Roman"/>
                <w:sz w:val="20"/>
                <w:szCs w:val="20"/>
              </w:rPr>
            </w:pPr>
          </w:p>
        </w:tc>
        <w:tc>
          <w:tcPr>
            <w:tcW w:w="26" w:type="pct"/>
            <w:vAlign w:val="center"/>
            <w:hideMark/>
          </w:tcPr>
          <w:p w14:paraId="2C8FB0DC" w14:textId="77777777" w:rsidR="00000000" w:rsidRDefault="00405D16">
            <w:pPr>
              <w:spacing w:after="100"/>
              <w:rPr>
                <w:rFonts w:eastAsia="Times New Roman"/>
                <w:sz w:val="20"/>
                <w:szCs w:val="20"/>
              </w:rPr>
            </w:pPr>
          </w:p>
        </w:tc>
        <w:tc>
          <w:tcPr>
            <w:tcW w:w="5" w:type="pct"/>
            <w:vAlign w:val="center"/>
            <w:hideMark/>
          </w:tcPr>
          <w:p w14:paraId="1F80AC7C" w14:textId="77777777" w:rsidR="00000000" w:rsidRDefault="00405D16">
            <w:pPr>
              <w:spacing w:after="100"/>
              <w:rPr>
                <w:rFonts w:eastAsia="Times New Roman"/>
                <w:sz w:val="20"/>
                <w:szCs w:val="20"/>
              </w:rPr>
            </w:pPr>
          </w:p>
        </w:tc>
        <w:tc>
          <w:tcPr>
            <w:tcW w:w="50" w:type="pct"/>
            <w:vAlign w:val="center"/>
            <w:hideMark/>
          </w:tcPr>
          <w:p w14:paraId="2665CC3E" w14:textId="77777777" w:rsidR="00000000" w:rsidRDefault="00405D16">
            <w:pPr>
              <w:spacing w:after="100"/>
              <w:rPr>
                <w:rFonts w:eastAsia="Times New Roman"/>
                <w:sz w:val="20"/>
                <w:szCs w:val="20"/>
              </w:rPr>
            </w:pPr>
          </w:p>
        </w:tc>
        <w:tc>
          <w:tcPr>
            <w:tcW w:w="420" w:type="pct"/>
            <w:vAlign w:val="center"/>
            <w:hideMark/>
          </w:tcPr>
          <w:p w14:paraId="2A592D08" w14:textId="77777777" w:rsidR="00000000" w:rsidRDefault="00405D16">
            <w:pPr>
              <w:spacing w:after="100"/>
              <w:rPr>
                <w:rFonts w:eastAsia="Times New Roman"/>
                <w:sz w:val="20"/>
                <w:szCs w:val="20"/>
              </w:rPr>
            </w:pPr>
          </w:p>
        </w:tc>
        <w:tc>
          <w:tcPr>
            <w:tcW w:w="5" w:type="pct"/>
            <w:vAlign w:val="center"/>
            <w:hideMark/>
          </w:tcPr>
          <w:p w14:paraId="3A2162D3" w14:textId="77777777" w:rsidR="00000000" w:rsidRDefault="00405D16">
            <w:pPr>
              <w:spacing w:after="100"/>
              <w:rPr>
                <w:rFonts w:eastAsia="Times New Roman"/>
                <w:sz w:val="20"/>
                <w:szCs w:val="20"/>
              </w:rPr>
            </w:pPr>
          </w:p>
        </w:tc>
        <w:tc>
          <w:tcPr>
            <w:tcW w:w="5" w:type="pct"/>
            <w:vAlign w:val="center"/>
            <w:hideMark/>
          </w:tcPr>
          <w:p w14:paraId="2DD9071B" w14:textId="77777777" w:rsidR="00000000" w:rsidRDefault="00405D16">
            <w:pPr>
              <w:spacing w:after="100"/>
              <w:rPr>
                <w:rFonts w:eastAsia="Times New Roman"/>
                <w:sz w:val="20"/>
                <w:szCs w:val="20"/>
              </w:rPr>
            </w:pPr>
          </w:p>
        </w:tc>
        <w:tc>
          <w:tcPr>
            <w:tcW w:w="26" w:type="pct"/>
            <w:vAlign w:val="center"/>
            <w:hideMark/>
          </w:tcPr>
          <w:p w14:paraId="79F25119" w14:textId="77777777" w:rsidR="00000000" w:rsidRDefault="00405D16">
            <w:pPr>
              <w:spacing w:after="100"/>
              <w:rPr>
                <w:rFonts w:eastAsia="Times New Roman"/>
                <w:sz w:val="20"/>
                <w:szCs w:val="20"/>
              </w:rPr>
            </w:pPr>
          </w:p>
        </w:tc>
        <w:tc>
          <w:tcPr>
            <w:tcW w:w="5" w:type="pct"/>
            <w:vAlign w:val="center"/>
            <w:hideMark/>
          </w:tcPr>
          <w:p w14:paraId="601E386C" w14:textId="77777777" w:rsidR="00000000" w:rsidRDefault="00405D16">
            <w:pPr>
              <w:spacing w:after="100"/>
              <w:rPr>
                <w:rFonts w:eastAsia="Times New Roman"/>
                <w:sz w:val="20"/>
                <w:szCs w:val="20"/>
              </w:rPr>
            </w:pPr>
          </w:p>
        </w:tc>
        <w:tc>
          <w:tcPr>
            <w:tcW w:w="50" w:type="pct"/>
            <w:vAlign w:val="center"/>
            <w:hideMark/>
          </w:tcPr>
          <w:p w14:paraId="02676952" w14:textId="77777777" w:rsidR="00000000" w:rsidRDefault="00405D16">
            <w:pPr>
              <w:spacing w:after="100"/>
              <w:rPr>
                <w:rFonts w:eastAsia="Times New Roman"/>
                <w:sz w:val="20"/>
                <w:szCs w:val="20"/>
              </w:rPr>
            </w:pPr>
          </w:p>
        </w:tc>
        <w:tc>
          <w:tcPr>
            <w:tcW w:w="420" w:type="pct"/>
            <w:vAlign w:val="center"/>
            <w:hideMark/>
          </w:tcPr>
          <w:p w14:paraId="54401959" w14:textId="77777777" w:rsidR="00000000" w:rsidRDefault="00405D16">
            <w:pPr>
              <w:spacing w:after="100"/>
              <w:rPr>
                <w:rFonts w:eastAsia="Times New Roman"/>
                <w:sz w:val="20"/>
                <w:szCs w:val="20"/>
              </w:rPr>
            </w:pPr>
          </w:p>
        </w:tc>
        <w:tc>
          <w:tcPr>
            <w:tcW w:w="5" w:type="pct"/>
            <w:vAlign w:val="center"/>
            <w:hideMark/>
          </w:tcPr>
          <w:p w14:paraId="3A194BC5" w14:textId="77777777" w:rsidR="00000000" w:rsidRDefault="00405D16">
            <w:pPr>
              <w:spacing w:after="100"/>
              <w:rPr>
                <w:rFonts w:eastAsia="Times New Roman"/>
                <w:sz w:val="20"/>
                <w:szCs w:val="20"/>
              </w:rPr>
            </w:pPr>
          </w:p>
        </w:tc>
        <w:tc>
          <w:tcPr>
            <w:tcW w:w="5" w:type="pct"/>
            <w:vAlign w:val="center"/>
            <w:hideMark/>
          </w:tcPr>
          <w:p w14:paraId="777C8647" w14:textId="77777777" w:rsidR="00000000" w:rsidRDefault="00405D16">
            <w:pPr>
              <w:spacing w:after="100"/>
              <w:rPr>
                <w:rFonts w:eastAsia="Times New Roman"/>
                <w:sz w:val="20"/>
                <w:szCs w:val="20"/>
              </w:rPr>
            </w:pPr>
          </w:p>
        </w:tc>
        <w:tc>
          <w:tcPr>
            <w:tcW w:w="26" w:type="pct"/>
            <w:vAlign w:val="center"/>
            <w:hideMark/>
          </w:tcPr>
          <w:p w14:paraId="7F383718" w14:textId="77777777" w:rsidR="00000000" w:rsidRDefault="00405D16">
            <w:pPr>
              <w:spacing w:after="100"/>
              <w:rPr>
                <w:rFonts w:eastAsia="Times New Roman"/>
                <w:sz w:val="20"/>
                <w:szCs w:val="20"/>
              </w:rPr>
            </w:pPr>
          </w:p>
        </w:tc>
        <w:tc>
          <w:tcPr>
            <w:tcW w:w="5" w:type="pct"/>
            <w:vAlign w:val="center"/>
            <w:hideMark/>
          </w:tcPr>
          <w:p w14:paraId="2AA683BD" w14:textId="77777777" w:rsidR="00000000" w:rsidRDefault="00405D16">
            <w:pPr>
              <w:spacing w:after="100"/>
              <w:rPr>
                <w:rFonts w:eastAsia="Times New Roman"/>
                <w:sz w:val="20"/>
                <w:szCs w:val="20"/>
              </w:rPr>
            </w:pPr>
          </w:p>
        </w:tc>
        <w:tc>
          <w:tcPr>
            <w:tcW w:w="50" w:type="pct"/>
            <w:vAlign w:val="center"/>
            <w:hideMark/>
          </w:tcPr>
          <w:p w14:paraId="5118B26A" w14:textId="77777777" w:rsidR="00000000" w:rsidRDefault="00405D16">
            <w:pPr>
              <w:spacing w:after="100"/>
              <w:rPr>
                <w:rFonts w:eastAsia="Times New Roman"/>
                <w:sz w:val="20"/>
                <w:szCs w:val="20"/>
              </w:rPr>
            </w:pPr>
          </w:p>
        </w:tc>
        <w:tc>
          <w:tcPr>
            <w:tcW w:w="420" w:type="pct"/>
            <w:vAlign w:val="center"/>
            <w:hideMark/>
          </w:tcPr>
          <w:p w14:paraId="3B8174A9" w14:textId="77777777" w:rsidR="00000000" w:rsidRDefault="00405D16">
            <w:pPr>
              <w:spacing w:after="100"/>
              <w:rPr>
                <w:rFonts w:eastAsia="Times New Roman"/>
                <w:sz w:val="20"/>
                <w:szCs w:val="20"/>
              </w:rPr>
            </w:pPr>
          </w:p>
        </w:tc>
        <w:tc>
          <w:tcPr>
            <w:tcW w:w="5" w:type="pct"/>
            <w:vAlign w:val="center"/>
            <w:hideMark/>
          </w:tcPr>
          <w:p w14:paraId="70653D4D" w14:textId="77777777" w:rsidR="00000000" w:rsidRDefault="00405D16">
            <w:pPr>
              <w:spacing w:after="100"/>
              <w:rPr>
                <w:rFonts w:eastAsia="Times New Roman"/>
                <w:sz w:val="20"/>
                <w:szCs w:val="20"/>
              </w:rPr>
            </w:pPr>
          </w:p>
        </w:tc>
        <w:tc>
          <w:tcPr>
            <w:tcW w:w="0" w:type="auto"/>
            <w:vAlign w:val="center"/>
            <w:hideMark/>
          </w:tcPr>
          <w:p w14:paraId="76ED9EDE" w14:textId="77777777" w:rsidR="00000000" w:rsidRDefault="00405D16">
            <w:pPr>
              <w:spacing w:after="100"/>
              <w:rPr>
                <w:rFonts w:eastAsia="Times New Roman"/>
                <w:sz w:val="20"/>
                <w:szCs w:val="20"/>
              </w:rPr>
            </w:pPr>
          </w:p>
        </w:tc>
        <w:tc>
          <w:tcPr>
            <w:tcW w:w="0" w:type="auto"/>
            <w:vAlign w:val="center"/>
            <w:hideMark/>
          </w:tcPr>
          <w:p w14:paraId="14F49A12" w14:textId="77777777" w:rsidR="00000000" w:rsidRDefault="00405D16">
            <w:pPr>
              <w:spacing w:after="100"/>
              <w:rPr>
                <w:rFonts w:eastAsia="Times New Roman"/>
                <w:sz w:val="20"/>
                <w:szCs w:val="20"/>
              </w:rPr>
            </w:pPr>
          </w:p>
        </w:tc>
        <w:tc>
          <w:tcPr>
            <w:tcW w:w="0" w:type="auto"/>
            <w:gridSpan w:val="3"/>
            <w:vAlign w:val="center"/>
            <w:hideMark/>
          </w:tcPr>
          <w:p w14:paraId="06C75BEA" w14:textId="77777777" w:rsidR="00000000" w:rsidRDefault="00405D16">
            <w:pPr>
              <w:spacing w:after="100"/>
              <w:rPr>
                <w:rFonts w:eastAsia="Times New Roman"/>
                <w:sz w:val="20"/>
                <w:szCs w:val="20"/>
              </w:rPr>
            </w:pPr>
          </w:p>
        </w:tc>
        <w:tc>
          <w:tcPr>
            <w:tcW w:w="0" w:type="auto"/>
            <w:gridSpan w:val="3"/>
            <w:vAlign w:val="center"/>
            <w:hideMark/>
          </w:tcPr>
          <w:p w14:paraId="291DDC67" w14:textId="77777777" w:rsidR="00000000" w:rsidRDefault="00405D16">
            <w:pPr>
              <w:spacing w:after="100"/>
              <w:rPr>
                <w:rFonts w:eastAsia="Times New Roman"/>
                <w:sz w:val="20"/>
                <w:szCs w:val="20"/>
              </w:rPr>
            </w:pPr>
          </w:p>
        </w:tc>
      </w:tr>
      <w:tr w:rsidR="00000000" w14:paraId="5CF7339D" w14:textId="77777777">
        <w:trPr>
          <w:divId w:val="691495059"/>
        </w:trPr>
        <w:tc>
          <w:tcPr>
            <w:tcW w:w="0" w:type="auto"/>
            <w:gridSpan w:val="3"/>
            <w:tcMar>
              <w:top w:w="0" w:type="dxa"/>
              <w:left w:w="20" w:type="dxa"/>
              <w:bottom w:w="0" w:type="dxa"/>
              <w:right w:w="20" w:type="dxa"/>
            </w:tcMar>
            <w:vAlign w:val="center"/>
            <w:hideMark/>
          </w:tcPr>
          <w:p w14:paraId="1BA15E3A"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8A88527" w14:textId="77777777" w:rsidR="00000000" w:rsidRDefault="00405D1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408F7D8" w14:textId="77777777" w:rsidR="00000000" w:rsidRDefault="00405D16">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14:paraId="3718E8AB" w14:textId="77777777" w:rsidR="00000000" w:rsidRDefault="00405D1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1A2C1BC" w14:textId="77777777" w:rsidR="00000000" w:rsidRDefault="00405D16">
            <w:pPr>
              <w:spacing w:after="100"/>
              <w:jc w:val="center"/>
              <w:rPr>
                <w:rFonts w:eastAsia="Times New Roman"/>
              </w:rPr>
            </w:pPr>
            <w:r>
              <w:rPr>
                <w:rFonts w:eastAsia="Times New Roman"/>
                <w:b/>
                <w:bCs/>
                <w:color w:val="000000"/>
                <w:sz w:val="16"/>
                <w:szCs w:val="16"/>
              </w:rPr>
              <w:t>December 31, 2020</w:t>
            </w:r>
          </w:p>
        </w:tc>
        <w:tc>
          <w:tcPr>
            <w:tcW w:w="0" w:type="auto"/>
            <w:vAlign w:val="center"/>
            <w:hideMark/>
          </w:tcPr>
          <w:p w14:paraId="6BEF2C6D" w14:textId="77777777" w:rsidR="00000000" w:rsidRDefault="00405D16">
            <w:pPr>
              <w:spacing w:after="100"/>
              <w:jc w:val="center"/>
              <w:rPr>
                <w:rFonts w:eastAsia="Times New Roman"/>
              </w:rPr>
            </w:pPr>
          </w:p>
        </w:tc>
        <w:tc>
          <w:tcPr>
            <w:tcW w:w="0" w:type="auto"/>
            <w:vAlign w:val="center"/>
            <w:hideMark/>
          </w:tcPr>
          <w:p w14:paraId="51883759" w14:textId="77777777" w:rsidR="00000000" w:rsidRDefault="00405D16">
            <w:pPr>
              <w:spacing w:after="100"/>
              <w:rPr>
                <w:rFonts w:eastAsia="Times New Roman"/>
                <w:sz w:val="20"/>
                <w:szCs w:val="20"/>
              </w:rPr>
            </w:pPr>
          </w:p>
        </w:tc>
        <w:tc>
          <w:tcPr>
            <w:tcW w:w="0" w:type="auto"/>
            <w:vAlign w:val="center"/>
            <w:hideMark/>
          </w:tcPr>
          <w:p w14:paraId="71C044F2" w14:textId="77777777" w:rsidR="00000000" w:rsidRDefault="00405D16">
            <w:pPr>
              <w:spacing w:after="100"/>
              <w:rPr>
                <w:rFonts w:eastAsia="Times New Roman"/>
                <w:sz w:val="20"/>
                <w:szCs w:val="20"/>
              </w:rPr>
            </w:pPr>
          </w:p>
        </w:tc>
        <w:tc>
          <w:tcPr>
            <w:tcW w:w="0" w:type="auto"/>
            <w:vAlign w:val="center"/>
            <w:hideMark/>
          </w:tcPr>
          <w:p w14:paraId="7821DC2A" w14:textId="77777777" w:rsidR="00000000" w:rsidRDefault="00405D16">
            <w:pPr>
              <w:spacing w:after="100"/>
              <w:rPr>
                <w:rFonts w:eastAsia="Times New Roman"/>
                <w:sz w:val="20"/>
                <w:szCs w:val="20"/>
              </w:rPr>
            </w:pPr>
          </w:p>
        </w:tc>
        <w:tc>
          <w:tcPr>
            <w:tcW w:w="0" w:type="auto"/>
            <w:vAlign w:val="center"/>
            <w:hideMark/>
          </w:tcPr>
          <w:p w14:paraId="460838F5" w14:textId="77777777" w:rsidR="00000000" w:rsidRDefault="00405D16">
            <w:pPr>
              <w:spacing w:after="100"/>
              <w:rPr>
                <w:rFonts w:eastAsia="Times New Roman"/>
                <w:sz w:val="20"/>
                <w:szCs w:val="20"/>
              </w:rPr>
            </w:pPr>
          </w:p>
        </w:tc>
        <w:tc>
          <w:tcPr>
            <w:tcW w:w="0" w:type="auto"/>
            <w:vAlign w:val="center"/>
            <w:hideMark/>
          </w:tcPr>
          <w:p w14:paraId="447DF907" w14:textId="77777777" w:rsidR="00000000" w:rsidRDefault="00405D16">
            <w:pPr>
              <w:spacing w:after="100"/>
              <w:rPr>
                <w:rFonts w:eastAsia="Times New Roman"/>
                <w:sz w:val="20"/>
                <w:szCs w:val="20"/>
              </w:rPr>
            </w:pPr>
          </w:p>
        </w:tc>
        <w:tc>
          <w:tcPr>
            <w:tcW w:w="0" w:type="auto"/>
            <w:vAlign w:val="center"/>
            <w:hideMark/>
          </w:tcPr>
          <w:p w14:paraId="2FC75C35" w14:textId="77777777" w:rsidR="00000000" w:rsidRDefault="00405D16">
            <w:pPr>
              <w:spacing w:after="100"/>
              <w:rPr>
                <w:rFonts w:eastAsia="Times New Roman"/>
                <w:sz w:val="20"/>
                <w:szCs w:val="20"/>
              </w:rPr>
            </w:pPr>
          </w:p>
        </w:tc>
        <w:tc>
          <w:tcPr>
            <w:tcW w:w="0" w:type="auto"/>
            <w:vAlign w:val="center"/>
            <w:hideMark/>
          </w:tcPr>
          <w:p w14:paraId="0E292EDB" w14:textId="77777777" w:rsidR="00000000" w:rsidRDefault="00405D16">
            <w:pPr>
              <w:spacing w:after="100"/>
              <w:rPr>
                <w:rFonts w:eastAsia="Times New Roman"/>
                <w:sz w:val="20"/>
                <w:szCs w:val="20"/>
              </w:rPr>
            </w:pPr>
          </w:p>
        </w:tc>
      </w:tr>
      <w:tr w:rsidR="00000000" w14:paraId="70FC21F1" w14:textId="77777777">
        <w:trPr>
          <w:divId w:val="691495059"/>
        </w:trPr>
        <w:tc>
          <w:tcPr>
            <w:tcW w:w="0" w:type="auto"/>
            <w:gridSpan w:val="3"/>
            <w:tcMar>
              <w:top w:w="30" w:type="dxa"/>
              <w:left w:w="20" w:type="dxa"/>
              <w:bottom w:w="30" w:type="dxa"/>
              <w:right w:w="20" w:type="dxa"/>
            </w:tcMar>
            <w:vAlign w:val="bottom"/>
            <w:hideMark/>
          </w:tcPr>
          <w:p w14:paraId="128406BF"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6E0398C3"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B0866B4" w14:textId="77777777" w:rsidR="00000000" w:rsidRDefault="00405D16">
            <w:pPr>
              <w:spacing w:after="100"/>
              <w:jc w:val="center"/>
              <w:rPr>
                <w:rFonts w:eastAsia="Times New Roman"/>
              </w:rPr>
            </w:pPr>
            <w:r>
              <w:rPr>
                <w:rFonts w:eastAsia="Times New Roman"/>
                <w:b/>
                <w:bCs/>
                <w:color w:val="000000"/>
                <w:sz w:val="16"/>
                <w:szCs w:val="16"/>
              </w:rPr>
              <w:t>Amortized</w:t>
            </w:r>
            <w:r>
              <w:rPr>
                <w:rFonts w:eastAsia="Times New Roman"/>
                <w:b/>
                <w:bCs/>
                <w:color w:val="00000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14:paraId="2C58D697"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72D3878" w14:textId="77777777" w:rsidR="00000000" w:rsidRDefault="00405D16">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c>
          <w:tcPr>
            <w:tcW w:w="0" w:type="auto"/>
            <w:gridSpan w:val="3"/>
            <w:tcMar>
              <w:top w:w="0" w:type="dxa"/>
              <w:left w:w="20" w:type="dxa"/>
              <w:bottom w:w="0" w:type="dxa"/>
              <w:right w:w="20" w:type="dxa"/>
            </w:tcMar>
            <w:vAlign w:val="center"/>
            <w:hideMark/>
          </w:tcPr>
          <w:p w14:paraId="4CDC36B9"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72C3CF6" w14:textId="77777777" w:rsidR="00000000" w:rsidRDefault="00405D16">
            <w:pPr>
              <w:spacing w:after="100"/>
              <w:jc w:val="center"/>
              <w:rPr>
                <w:rFonts w:eastAsia="Times New Roman"/>
              </w:rPr>
            </w:pPr>
            <w:r>
              <w:rPr>
                <w:rFonts w:eastAsia="Times New Roman"/>
                <w:b/>
                <w:bCs/>
                <w:color w:val="000000"/>
                <w:sz w:val="16"/>
                <w:szCs w:val="16"/>
              </w:rPr>
              <w:t>Amortized</w:t>
            </w:r>
            <w:r>
              <w:rPr>
                <w:rFonts w:eastAsia="Times New Roman"/>
                <w:b/>
                <w:bCs/>
                <w:color w:val="00000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14:paraId="372B7678"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96CAFEA" w14:textId="77777777" w:rsidR="00000000" w:rsidRDefault="00405D16">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c>
          <w:tcPr>
            <w:tcW w:w="0" w:type="auto"/>
            <w:vAlign w:val="center"/>
            <w:hideMark/>
          </w:tcPr>
          <w:p w14:paraId="79A56112" w14:textId="77777777" w:rsidR="00000000" w:rsidRDefault="00405D16">
            <w:pPr>
              <w:spacing w:after="100"/>
              <w:jc w:val="center"/>
              <w:rPr>
                <w:rFonts w:eastAsia="Times New Roman"/>
              </w:rPr>
            </w:pPr>
          </w:p>
        </w:tc>
        <w:tc>
          <w:tcPr>
            <w:tcW w:w="0" w:type="auto"/>
            <w:vAlign w:val="center"/>
            <w:hideMark/>
          </w:tcPr>
          <w:p w14:paraId="5889F12A" w14:textId="77777777" w:rsidR="00000000" w:rsidRDefault="00405D16">
            <w:pPr>
              <w:spacing w:after="100"/>
              <w:rPr>
                <w:rFonts w:eastAsia="Times New Roman"/>
                <w:sz w:val="20"/>
                <w:szCs w:val="20"/>
              </w:rPr>
            </w:pPr>
          </w:p>
        </w:tc>
        <w:tc>
          <w:tcPr>
            <w:tcW w:w="0" w:type="auto"/>
            <w:gridSpan w:val="3"/>
            <w:vAlign w:val="center"/>
            <w:hideMark/>
          </w:tcPr>
          <w:p w14:paraId="3EF5BB63" w14:textId="77777777" w:rsidR="00000000" w:rsidRDefault="00405D16">
            <w:pPr>
              <w:spacing w:after="100"/>
              <w:rPr>
                <w:rFonts w:eastAsia="Times New Roman"/>
                <w:sz w:val="20"/>
                <w:szCs w:val="20"/>
              </w:rPr>
            </w:pPr>
          </w:p>
        </w:tc>
        <w:tc>
          <w:tcPr>
            <w:tcW w:w="0" w:type="auto"/>
            <w:gridSpan w:val="3"/>
            <w:vAlign w:val="center"/>
            <w:hideMark/>
          </w:tcPr>
          <w:p w14:paraId="7422AAB7" w14:textId="77777777" w:rsidR="00000000" w:rsidRDefault="00405D16">
            <w:pPr>
              <w:spacing w:after="100"/>
              <w:rPr>
                <w:rFonts w:eastAsia="Times New Roman"/>
                <w:sz w:val="20"/>
                <w:szCs w:val="20"/>
              </w:rPr>
            </w:pPr>
          </w:p>
        </w:tc>
      </w:tr>
      <w:tr w:rsidR="00000000" w14:paraId="46346027" w14:textId="77777777">
        <w:trPr>
          <w:divId w:val="69149505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3AF174F" w14:textId="77777777" w:rsidR="00000000" w:rsidRDefault="00405D16">
            <w:pPr>
              <w:spacing w:after="100"/>
              <w:rPr>
                <w:rFonts w:eastAsia="Times New Roman"/>
              </w:rPr>
            </w:pPr>
            <w:r>
              <w:rPr>
                <w:rFonts w:eastAsia="Times New Roman"/>
                <w:b/>
                <w:bCs/>
                <w:color w:val="000000"/>
                <w:sz w:val="18"/>
                <w:szCs w:val="18"/>
              </w:rPr>
              <w:t>Investment securities available for sale:</w:t>
            </w:r>
          </w:p>
        </w:tc>
        <w:tc>
          <w:tcPr>
            <w:tcW w:w="0" w:type="auto"/>
            <w:gridSpan w:val="3"/>
            <w:shd w:val="clear" w:color="auto" w:fill="CCEEFF"/>
            <w:tcMar>
              <w:top w:w="0" w:type="dxa"/>
              <w:left w:w="20" w:type="dxa"/>
              <w:bottom w:w="0" w:type="dxa"/>
              <w:right w:w="20" w:type="dxa"/>
            </w:tcMar>
            <w:vAlign w:val="center"/>
            <w:hideMark/>
          </w:tcPr>
          <w:p w14:paraId="3F1DF5CF"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B6BE44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2289EE"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9126A9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8F274C"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8E37AA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E55606"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E21F999" w14:textId="77777777" w:rsidR="00000000" w:rsidRDefault="00405D16">
            <w:pPr>
              <w:spacing w:after="100"/>
              <w:rPr>
                <w:rFonts w:eastAsia="Times New Roman"/>
                <w:sz w:val="20"/>
                <w:szCs w:val="20"/>
              </w:rPr>
            </w:pPr>
          </w:p>
        </w:tc>
        <w:tc>
          <w:tcPr>
            <w:tcW w:w="0" w:type="auto"/>
            <w:vAlign w:val="center"/>
            <w:hideMark/>
          </w:tcPr>
          <w:p w14:paraId="68713F1E" w14:textId="77777777" w:rsidR="00000000" w:rsidRDefault="00405D16">
            <w:pPr>
              <w:spacing w:after="100"/>
              <w:rPr>
                <w:rFonts w:eastAsia="Times New Roman"/>
                <w:sz w:val="20"/>
                <w:szCs w:val="20"/>
              </w:rPr>
            </w:pPr>
          </w:p>
        </w:tc>
        <w:tc>
          <w:tcPr>
            <w:tcW w:w="0" w:type="auto"/>
            <w:vAlign w:val="center"/>
            <w:hideMark/>
          </w:tcPr>
          <w:p w14:paraId="5B8F4840" w14:textId="77777777" w:rsidR="00000000" w:rsidRDefault="00405D16">
            <w:pPr>
              <w:spacing w:after="100"/>
              <w:rPr>
                <w:rFonts w:eastAsia="Times New Roman"/>
                <w:sz w:val="20"/>
                <w:szCs w:val="20"/>
              </w:rPr>
            </w:pPr>
          </w:p>
        </w:tc>
        <w:tc>
          <w:tcPr>
            <w:tcW w:w="0" w:type="auto"/>
            <w:gridSpan w:val="3"/>
            <w:vAlign w:val="center"/>
            <w:hideMark/>
          </w:tcPr>
          <w:p w14:paraId="22D39DBD" w14:textId="77777777" w:rsidR="00000000" w:rsidRDefault="00405D16">
            <w:pPr>
              <w:spacing w:after="100"/>
              <w:rPr>
                <w:rFonts w:eastAsia="Times New Roman"/>
                <w:sz w:val="20"/>
                <w:szCs w:val="20"/>
              </w:rPr>
            </w:pPr>
          </w:p>
        </w:tc>
        <w:tc>
          <w:tcPr>
            <w:tcW w:w="0" w:type="auto"/>
            <w:gridSpan w:val="3"/>
            <w:vAlign w:val="center"/>
            <w:hideMark/>
          </w:tcPr>
          <w:p w14:paraId="2B571103" w14:textId="77777777" w:rsidR="00000000" w:rsidRDefault="00405D16">
            <w:pPr>
              <w:spacing w:after="100"/>
              <w:rPr>
                <w:rFonts w:eastAsia="Times New Roman"/>
                <w:sz w:val="20"/>
                <w:szCs w:val="20"/>
              </w:rPr>
            </w:pPr>
          </w:p>
        </w:tc>
      </w:tr>
      <w:tr w:rsidR="00000000" w14:paraId="28204ACF" w14:textId="77777777">
        <w:trPr>
          <w:divId w:val="691495059"/>
        </w:trPr>
        <w:tc>
          <w:tcPr>
            <w:tcW w:w="0" w:type="auto"/>
            <w:gridSpan w:val="3"/>
            <w:shd w:val="clear" w:color="auto" w:fill="FFFFFF"/>
            <w:tcMar>
              <w:top w:w="30" w:type="dxa"/>
              <w:left w:w="20" w:type="dxa"/>
              <w:bottom w:w="30" w:type="dxa"/>
              <w:right w:w="20" w:type="dxa"/>
            </w:tcMar>
            <w:vAlign w:val="center"/>
            <w:hideMark/>
          </w:tcPr>
          <w:p w14:paraId="62599D9E" w14:textId="77777777" w:rsidR="00000000" w:rsidRDefault="00405D16">
            <w:pPr>
              <w:spacing w:after="100"/>
              <w:rPr>
                <w:rFonts w:eastAsia="Times New Roman"/>
              </w:rPr>
            </w:pPr>
            <w:r>
              <w:rPr>
                <w:rFonts w:eastAsia="Times New Roman"/>
                <w:color w:val="000000"/>
                <w:sz w:val="18"/>
                <w:szCs w:val="18"/>
              </w:rPr>
              <w:t>U.S. Treasury securities</w:t>
            </w:r>
          </w:p>
        </w:tc>
        <w:tc>
          <w:tcPr>
            <w:tcW w:w="0" w:type="auto"/>
            <w:gridSpan w:val="3"/>
            <w:shd w:val="clear" w:color="auto" w:fill="FFFFFF"/>
            <w:tcMar>
              <w:top w:w="0" w:type="dxa"/>
              <w:left w:w="20" w:type="dxa"/>
              <w:bottom w:w="0" w:type="dxa"/>
              <w:right w:w="20" w:type="dxa"/>
            </w:tcMar>
            <w:vAlign w:val="center"/>
            <w:hideMark/>
          </w:tcPr>
          <w:p w14:paraId="2300B45B"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6D13C77F"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2AD93512" w14:textId="77777777" w:rsidR="00000000" w:rsidRDefault="00405D16">
            <w:pPr>
              <w:spacing w:after="100"/>
              <w:jc w:val="right"/>
              <w:rPr>
                <w:rFonts w:eastAsia="Times New Roman"/>
              </w:rPr>
            </w:pPr>
            <w:r>
              <w:rPr>
                <w:rFonts w:eastAsia="Times New Roman"/>
                <w:b/>
                <w:bCs/>
                <w:color w:val="000000"/>
                <w:sz w:val="18"/>
                <w:szCs w:val="18"/>
              </w:rPr>
              <w:t>9,094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9D5B69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CAFB3A"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414AC45"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5821C8DA" w14:textId="77777777" w:rsidR="00000000" w:rsidRDefault="00405D16">
            <w:pPr>
              <w:spacing w:after="100"/>
              <w:jc w:val="right"/>
              <w:rPr>
                <w:rFonts w:eastAsia="Times New Roman"/>
              </w:rPr>
            </w:pPr>
            <w:r>
              <w:rPr>
                <w:rFonts w:eastAsia="Times New Roman"/>
                <w:b/>
                <w:bCs/>
                <w:color w:val="000000"/>
                <w:sz w:val="18"/>
                <w:szCs w:val="18"/>
              </w:rPr>
              <w:t>9,109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32341B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9CE040"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F53B7C4"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19BD9CBE" w14:textId="77777777" w:rsidR="00000000" w:rsidRDefault="00405D16">
            <w:pPr>
              <w:spacing w:after="100"/>
              <w:jc w:val="right"/>
              <w:rPr>
                <w:rFonts w:eastAsia="Times New Roman"/>
              </w:rPr>
            </w:pPr>
            <w:r>
              <w:rPr>
                <w:rFonts w:eastAsia="Times New Roman"/>
                <w:color w:val="000000"/>
                <w:sz w:val="18"/>
                <w:szCs w:val="18"/>
              </w:rPr>
              <w:t>9,302 </w:t>
            </w:r>
          </w:p>
        </w:tc>
        <w:tc>
          <w:tcPr>
            <w:tcW w:w="0" w:type="auto"/>
            <w:shd w:val="clear" w:color="auto" w:fill="FFFFFF"/>
            <w:tcMar>
              <w:top w:w="30" w:type="dxa"/>
              <w:left w:w="0" w:type="dxa"/>
              <w:bottom w:w="30" w:type="dxa"/>
              <w:right w:w="20" w:type="dxa"/>
            </w:tcMar>
            <w:vAlign w:val="center"/>
            <w:hideMark/>
          </w:tcPr>
          <w:p w14:paraId="1A32E3E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5D6484"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2E5E8C0"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791F14EB" w14:textId="77777777" w:rsidR="00000000" w:rsidRDefault="00405D16">
            <w:pPr>
              <w:spacing w:after="100"/>
              <w:jc w:val="right"/>
              <w:rPr>
                <w:rFonts w:eastAsia="Times New Roman"/>
              </w:rPr>
            </w:pPr>
            <w:r>
              <w:rPr>
                <w:rFonts w:eastAsia="Times New Roman"/>
                <w:color w:val="000000"/>
                <w:sz w:val="18"/>
                <w:szCs w:val="18"/>
              </w:rPr>
              <w:t>9,318 </w:t>
            </w:r>
          </w:p>
        </w:tc>
        <w:tc>
          <w:tcPr>
            <w:tcW w:w="0" w:type="auto"/>
            <w:shd w:val="clear" w:color="auto" w:fill="FFFFFF"/>
            <w:tcMar>
              <w:top w:w="30" w:type="dxa"/>
              <w:left w:w="0" w:type="dxa"/>
              <w:bottom w:w="30" w:type="dxa"/>
              <w:right w:w="20" w:type="dxa"/>
            </w:tcMar>
            <w:vAlign w:val="center"/>
            <w:hideMark/>
          </w:tcPr>
          <w:p w14:paraId="38726F49" w14:textId="77777777" w:rsidR="00000000" w:rsidRDefault="00405D16">
            <w:pPr>
              <w:spacing w:after="100"/>
              <w:jc w:val="right"/>
              <w:rPr>
                <w:rFonts w:eastAsia="Times New Roman"/>
              </w:rPr>
            </w:pPr>
          </w:p>
        </w:tc>
        <w:tc>
          <w:tcPr>
            <w:tcW w:w="0" w:type="auto"/>
            <w:vAlign w:val="center"/>
            <w:hideMark/>
          </w:tcPr>
          <w:p w14:paraId="19241D5C" w14:textId="77777777" w:rsidR="00000000" w:rsidRDefault="00405D16">
            <w:pPr>
              <w:spacing w:after="100"/>
              <w:jc w:val="right"/>
              <w:rPr>
                <w:rFonts w:eastAsia="Times New Roman"/>
                <w:sz w:val="20"/>
                <w:szCs w:val="20"/>
              </w:rPr>
            </w:pPr>
          </w:p>
        </w:tc>
        <w:tc>
          <w:tcPr>
            <w:tcW w:w="0" w:type="auto"/>
            <w:vAlign w:val="center"/>
            <w:hideMark/>
          </w:tcPr>
          <w:p w14:paraId="19872419" w14:textId="77777777" w:rsidR="00000000" w:rsidRDefault="00405D16">
            <w:pPr>
              <w:spacing w:after="100"/>
              <w:rPr>
                <w:rFonts w:eastAsia="Times New Roman"/>
                <w:sz w:val="20"/>
                <w:szCs w:val="20"/>
              </w:rPr>
            </w:pPr>
          </w:p>
        </w:tc>
        <w:tc>
          <w:tcPr>
            <w:tcW w:w="0" w:type="auto"/>
            <w:gridSpan w:val="3"/>
            <w:vAlign w:val="center"/>
            <w:hideMark/>
          </w:tcPr>
          <w:p w14:paraId="7080861B" w14:textId="77777777" w:rsidR="00000000" w:rsidRDefault="00405D16">
            <w:pPr>
              <w:spacing w:after="100"/>
              <w:rPr>
                <w:rFonts w:eastAsia="Times New Roman"/>
                <w:sz w:val="20"/>
                <w:szCs w:val="20"/>
              </w:rPr>
            </w:pPr>
          </w:p>
        </w:tc>
        <w:tc>
          <w:tcPr>
            <w:tcW w:w="0" w:type="auto"/>
            <w:gridSpan w:val="3"/>
            <w:vAlign w:val="center"/>
            <w:hideMark/>
          </w:tcPr>
          <w:p w14:paraId="0DA5AE67" w14:textId="77777777" w:rsidR="00000000" w:rsidRDefault="00405D16">
            <w:pPr>
              <w:spacing w:after="100"/>
              <w:rPr>
                <w:rFonts w:eastAsia="Times New Roman"/>
                <w:sz w:val="20"/>
                <w:szCs w:val="20"/>
              </w:rPr>
            </w:pPr>
          </w:p>
        </w:tc>
      </w:tr>
      <w:tr w:rsidR="00000000" w14:paraId="65301DFF" w14:textId="77777777">
        <w:trPr>
          <w:divId w:val="691495059"/>
        </w:trPr>
        <w:tc>
          <w:tcPr>
            <w:tcW w:w="0" w:type="auto"/>
            <w:gridSpan w:val="3"/>
            <w:shd w:val="clear" w:color="auto" w:fill="CCEEFF"/>
            <w:tcMar>
              <w:top w:w="30" w:type="dxa"/>
              <w:left w:w="20" w:type="dxa"/>
              <w:bottom w:w="30" w:type="dxa"/>
              <w:right w:w="20" w:type="dxa"/>
            </w:tcMar>
            <w:vAlign w:val="center"/>
            <w:hideMark/>
          </w:tcPr>
          <w:p w14:paraId="79E2B32C" w14:textId="77777777" w:rsidR="00000000" w:rsidRDefault="00405D16">
            <w:pPr>
              <w:spacing w:after="100"/>
              <w:rPr>
                <w:rFonts w:eastAsia="Times New Roman"/>
              </w:rPr>
            </w:pPr>
            <w:r>
              <w:rPr>
                <w:rFonts w:eastAsia="Times New Roman"/>
                <w:color w:val="000000"/>
                <w:sz w:val="18"/>
                <w:szCs w:val="18"/>
              </w:rPr>
              <w:t>RMBS:</w:t>
            </w:r>
          </w:p>
        </w:tc>
        <w:tc>
          <w:tcPr>
            <w:tcW w:w="0" w:type="auto"/>
            <w:gridSpan w:val="3"/>
            <w:shd w:val="clear" w:color="auto" w:fill="CCEEFF"/>
            <w:tcMar>
              <w:top w:w="0" w:type="dxa"/>
              <w:left w:w="20" w:type="dxa"/>
              <w:bottom w:w="0" w:type="dxa"/>
              <w:right w:w="20" w:type="dxa"/>
            </w:tcMar>
            <w:vAlign w:val="center"/>
            <w:hideMark/>
          </w:tcPr>
          <w:p w14:paraId="0900A63C"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F5FA0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85BB2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69B47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3DF9C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A3FD0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2E655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F34B46" w14:textId="77777777" w:rsidR="00000000" w:rsidRDefault="00405D16">
            <w:pPr>
              <w:spacing w:after="100"/>
              <w:rPr>
                <w:rFonts w:eastAsia="Times New Roman"/>
                <w:sz w:val="20"/>
                <w:szCs w:val="20"/>
              </w:rPr>
            </w:pPr>
          </w:p>
        </w:tc>
        <w:tc>
          <w:tcPr>
            <w:tcW w:w="0" w:type="auto"/>
            <w:vAlign w:val="center"/>
            <w:hideMark/>
          </w:tcPr>
          <w:p w14:paraId="029B6F9C" w14:textId="77777777" w:rsidR="00000000" w:rsidRDefault="00405D16">
            <w:pPr>
              <w:spacing w:after="100"/>
              <w:rPr>
                <w:rFonts w:eastAsia="Times New Roman"/>
                <w:sz w:val="20"/>
                <w:szCs w:val="20"/>
              </w:rPr>
            </w:pPr>
          </w:p>
        </w:tc>
        <w:tc>
          <w:tcPr>
            <w:tcW w:w="0" w:type="auto"/>
            <w:vAlign w:val="center"/>
            <w:hideMark/>
          </w:tcPr>
          <w:p w14:paraId="20156979" w14:textId="77777777" w:rsidR="00000000" w:rsidRDefault="00405D16">
            <w:pPr>
              <w:spacing w:after="100"/>
              <w:rPr>
                <w:rFonts w:eastAsia="Times New Roman"/>
                <w:sz w:val="20"/>
                <w:szCs w:val="20"/>
              </w:rPr>
            </w:pPr>
          </w:p>
        </w:tc>
        <w:tc>
          <w:tcPr>
            <w:tcW w:w="0" w:type="auto"/>
            <w:gridSpan w:val="3"/>
            <w:vAlign w:val="center"/>
            <w:hideMark/>
          </w:tcPr>
          <w:p w14:paraId="707C0A78" w14:textId="77777777" w:rsidR="00000000" w:rsidRDefault="00405D16">
            <w:pPr>
              <w:spacing w:after="100"/>
              <w:rPr>
                <w:rFonts w:eastAsia="Times New Roman"/>
                <w:sz w:val="20"/>
                <w:szCs w:val="20"/>
              </w:rPr>
            </w:pPr>
          </w:p>
        </w:tc>
        <w:tc>
          <w:tcPr>
            <w:tcW w:w="0" w:type="auto"/>
            <w:gridSpan w:val="3"/>
            <w:vAlign w:val="center"/>
            <w:hideMark/>
          </w:tcPr>
          <w:p w14:paraId="61AA8152" w14:textId="77777777" w:rsidR="00000000" w:rsidRDefault="00405D16">
            <w:pPr>
              <w:spacing w:after="100"/>
              <w:rPr>
                <w:rFonts w:eastAsia="Times New Roman"/>
                <w:sz w:val="20"/>
                <w:szCs w:val="20"/>
              </w:rPr>
            </w:pPr>
          </w:p>
        </w:tc>
      </w:tr>
      <w:tr w:rsidR="00000000" w14:paraId="700F11F2" w14:textId="77777777">
        <w:trPr>
          <w:divId w:val="691495059"/>
        </w:trPr>
        <w:tc>
          <w:tcPr>
            <w:tcW w:w="0" w:type="auto"/>
            <w:gridSpan w:val="3"/>
            <w:shd w:val="clear" w:color="auto" w:fill="FFFFFF"/>
            <w:tcMar>
              <w:top w:w="30" w:type="dxa"/>
              <w:left w:w="245" w:type="dxa"/>
              <w:bottom w:w="30" w:type="dxa"/>
              <w:right w:w="20" w:type="dxa"/>
            </w:tcMar>
            <w:vAlign w:val="center"/>
            <w:hideMark/>
          </w:tcPr>
          <w:p w14:paraId="01FBBF78" w14:textId="77777777" w:rsidR="00000000" w:rsidRDefault="00405D16">
            <w:pPr>
              <w:spacing w:after="100"/>
              <w:rPr>
                <w:rFonts w:eastAsia="Times New Roman"/>
              </w:rPr>
            </w:pPr>
            <w:r>
              <w:rPr>
                <w:rFonts w:eastAsia="Times New Roman"/>
                <w:color w:val="000000"/>
                <w:sz w:val="18"/>
                <w:szCs w:val="18"/>
              </w:rPr>
              <w:t>Agency</w:t>
            </w:r>
          </w:p>
        </w:tc>
        <w:tc>
          <w:tcPr>
            <w:tcW w:w="0" w:type="auto"/>
            <w:gridSpan w:val="3"/>
            <w:shd w:val="clear" w:color="auto" w:fill="FFFFFF"/>
            <w:tcMar>
              <w:top w:w="0" w:type="dxa"/>
              <w:left w:w="20" w:type="dxa"/>
              <w:bottom w:w="0" w:type="dxa"/>
              <w:right w:w="20" w:type="dxa"/>
            </w:tcMar>
            <w:vAlign w:val="center"/>
            <w:hideMark/>
          </w:tcPr>
          <w:p w14:paraId="31ED0D6D"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E28D63B" w14:textId="77777777" w:rsidR="00000000" w:rsidRDefault="00405D16">
            <w:pPr>
              <w:spacing w:after="100"/>
              <w:jc w:val="right"/>
              <w:rPr>
                <w:rFonts w:eastAsia="Times New Roman"/>
              </w:rPr>
            </w:pPr>
            <w:r>
              <w:rPr>
                <w:rFonts w:eastAsia="Times New Roman"/>
                <w:b/>
                <w:bCs/>
                <w:color w:val="000000"/>
                <w:sz w:val="18"/>
                <w:szCs w:val="18"/>
              </w:rPr>
              <w:t>73,924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FAF78C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B9B1D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3E7E0B0" w14:textId="77777777" w:rsidR="00000000" w:rsidRDefault="00405D16">
            <w:pPr>
              <w:spacing w:after="100"/>
              <w:jc w:val="right"/>
              <w:rPr>
                <w:rFonts w:eastAsia="Times New Roman"/>
              </w:rPr>
            </w:pPr>
            <w:r>
              <w:rPr>
                <w:rFonts w:eastAsia="Times New Roman"/>
                <w:b/>
                <w:bCs/>
                <w:color w:val="000000"/>
                <w:sz w:val="18"/>
                <w:szCs w:val="18"/>
              </w:rPr>
              <w:t>74,632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1A3B5A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7C88D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49B1473" w14:textId="77777777" w:rsidR="00000000" w:rsidRDefault="00405D16">
            <w:pPr>
              <w:spacing w:after="100"/>
              <w:jc w:val="right"/>
              <w:rPr>
                <w:rFonts w:eastAsia="Times New Roman"/>
              </w:rPr>
            </w:pPr>
            <w:r>
              <w:rPr>
                <w:rFonts w:eastAsia="Times New Roman"/>
                <w:color w:val="000000"/>
                <w:sz w:val="18"/>
                <w:szCs w:val="18"/>
              </w:rPr>
              <w:t>73,248 </w:t>
            </w:r>
          </w:p>
        </w:tc>
        <w:tc>
          <w:tcPr>
            <w:tcW w:w="0" w:type="auto"/>
            <w:shd w:val="clear" w:color="auto" w:fill="FFFFFF"/>
            <w:tcMar>
              <w:top w:w="30" w:type="dxa"/>
              <w:left w:w="0" w:type="dxa"/>
              <w:bottom w:w="30" w:type="dxa"/>
              <w:right w:w="20" w:type="dxa"/>
            </w:tcMar>
            <w:vAlign w:val="center"/>
            <w:hideMark/>
          </w:tcPr>
          <w:p w14:paraId="1C6C3FE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DCE06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79AAF6E" w14:textId="77777777" w:rsidR="00000000" w:rsidRDefault="00405D16">
            <w:pPr>
              <w:spacing w:after="100"/>
              <w:jc w:val="right"/>
              <w:rPr>
                <w:rFonts w:eastAsia="Times New Roman"/>
              </w:rPr>
            </w:pPr>
            <w:r>
              <w:rPr>
                <w:rFonts w:eastAsia="Times New Roman"/>
                <w:color w:val="000000"/>
                <w:sz w:val="18"/>
                <w:szCs w:val="18"/>
              </w:rPr>
              <w:t>75,466 </w:t>
            </w:r>
          </w:p>
        </w:tc>
        <w:tc>
          <w:tcPr>
            <w:tcW w:w="0" w:type="auto"/>
            <w:shd w:val="clear" w:color="auto" w:fill="FFFFFF"/>
            <w:tcMar>
              <w:top w:w="30" w:type="dxa"/>
              <w:left w:w="0" w:type="dxa"/>
              <w:bottom w:w="30" w:type="dxa"/>
              <w:right w:w="20" w:type="dxa"/>
            </w:tcMar>
            <w:vAlign w:val="center"/>
            <w:hideMark/>
          </w:tcPr>
          <w:p w14:paraId="6448F649" w14:textId="77777777" w:rsidR="00000000" w:rsidRDefault="00405D16">
            <w:pPr>
              <w:spacing w:after="100"/>
              <w:jc w:val="right"/>
              <w:rPr>
                <w:rFonts w:eastAsia="Times New Roman"/>
              </w:rPr>
            </w:pPr>
          </w:p>
        </w:tc>
        <w:tc>
          <w:tcPr>
            <w:tcW w:w="0" w:type="auto"/>
            <w:vAlign w:val="center"/>
            <w:hideMark/>
          </w:tcPr>
          <w:p w14:paraId="5E1D3ADD" w14:textId="77777777" w:rsidR="00000000" w:rsidRDefault="00405D16">
            <w:pPr>
              <w:spacing w:after="100"/>
              <w:jc w:val="right"/>
              <w:rPr>
                <w:rFonts w:eastAsia="Times New Roman"/>
                <w:sz w:val="20"/>
                <w:szCs w:val="20"/>
              </w:rPr>
            </w:pPr>
          </w:p>
        </w:tc>
        <w:tc>
          <w:tcPr>
            <w:tcW w:w="0" w:type="auto"/>
            <w:vAlign w:val="center"/>
            <w:hideMark/>
          </w:tcPr>
          <w:p w14:paraId="22682327" w14:textId="77777777" w:rsidR="00000000" w:rsidRDefault="00405D16">
            <w:pPr>
              <w:spacing w:after="100"/>
              <w:rPr>
                <w:rFonts w:eastAsia="Times New Roman"/>
                <w:sz w:val="20"/>
                <w:szCs w:val="20"/>
              </w:rPr>
            </w:pPr>
          </w:p>
        </w:tc>
        <w:tc>
          <w:tcPr>
            <w:tcW w:w="0" w:type="auto"/>
            <w:gridSpan w:val="3"/>
            <w:vAlign w:val="center"/>
            <w:hideMark/>
          </w:tcPr>
          <w:p w14:paraId="1019541B" w14:textId="77777777" w:rsidR="00000000" w:rsidRDefault="00405D16">
            <w:pPr>
              <w:spacing w:after="100"/>
              <w:rPr>
                <w:rFonts w:eastAsia="Times New Roman"/>
                <w:sz w:val="20"/>
                <w:szCs w:val="20"/>
              </w:rPr>
            </w:pPr>
          </w:p>
        </w:tc>
        <w:tc>
          <w:tcPr>
            <w:tcW w:w="0" w:type="auto"/>
            <w:gridSpan w:val="3"/>
            <w:vAlign w:val="center"/>
            <w:hideMark/>
          </w:tcPr>
          <w:p w14:paraId="36BC477B" w14:textId="77777777" w:rsidR="00000000" w:rsidRDefault="00405D16">
            <w:pPr>
              <w:spacing w:after="100"/>
              <w:rPr>
                <w:rFonts w:eastAsia="Times New Roman"/>
                <w:sz w:val="20"/>
                <w:szCs w:val="20"/>
              </w:rPr>
            </w:pPr>
          </w:p>
        </w:tc>
      </w:tr>
      <w:tr w:rsidR="00000000" w14:paraId="0776CCEA" w14:textId="77777777">
        <w:trPr>
          <w:divId w:val="691495059"/>
        </w:trPr>
        <w:tc>
          <w:tcPr>
            <w:tcW w:w="0" w:type="auto"/>
            <w:gridSpan w:val="3"/>
            <w:shd w:val="clear" w:color="auto" w:fill="CCEEFF"/>
            <w:tcMar>
              <w:top w:w="30" w:type="dxa"/>
              <w:left w:w="245" w:type="dxa"/>
              <w:bottom w:w="30" w:type="dxa"/>
              <w:right w:w="20" w:type="dxa"/>
            </w:tcMar>
            <w:vAlign w:val="center"/>
            <w:hideMark/>
          </w:tcPr>
          <w:p w14:paraId="0D307012" w14:textId="77777777" w:rsidR="00000000" w:rsidRDefault="00405D16">
            <w:pPr>
              <w:spacing w:after="100"/>
              <w:rPr>
                <w:rFonts w:eastAsia="Times New Roman"/>
              </w:rPr>
            </w:pPr>
            <w:r>
              <w:rPr>
                <w:rFonts w:eastAsia="Times New Roman"/>
                <w:color w:val="000000"/>
                <w:sz w:val="18"/>
                <w:szCs w:val="18"/>
              </w:rPr>
              <w:t>Non-agency</w:t>
            </w:r>
          </w:p>
        </w:tc>
        <w:tc>
          <w:tcPr>
            <w:tcW w:w="0" w:type="auto"/>
            <w:gridSpan w:val="3"/>
            <w:shd w:val="clear" w:color="auto" w:fill="CCEEFF"/>
            <w:tcMar>
              <w:top w:w="0" w:type="dxa"/>
              <w:left w:w="20" w:type="dxa"/>
              <w:bottom w:w="0" w:type="dxa"/>
              <w:right w:w="20" w:type="dxa"/>
            </w:tcMar>
            <w:vAlign w:val="center"/>
            <w:hideMark/>
          </w:tcPr>
          <w:p w14:paraId="16481F75"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7EB98D4" w14:textId="77777777" w:rsidR="00000000" w:rsidRDefault="00405D16">
            <w:pPr>
              <w:spacing w:after="100"/>
              <w:jc w:val="right"/>
              <w:rPr>
                <w:rFonts w:eastAsia="Times New Roman"/>
              </w:rPr>
            </w:pPr>
            <w:r>
              <w:rPr>
                <w:rFonts w:eastAsia="Times New Roman"/>
                <w:b/>
                <w:bCs/>
                <w:color w:val="000000"/>
                <w:sz w:val="18"/>
                <w:szCs w:val="18"/>
              </w:rPr>
              <w:t>844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452E83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A4433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7B3E475" w14:textId="77777777" w:rsidR="00000000" w:rsidRDefault="00405D16">
            <w:pPr>
              <w:spacing w:after="100"/>
              <w:jc w:val="right"/>
              <w:rPr>
                <w:rFonts w:eastAsia="Times New Roman"/>
              </w:rPr>
            </w:pPr>
            <w:r>
              <w:rPr>
                <w:rFonts w:eastAsia="Times New Roman"/>
                <w:b/>
                <w:bCs/>
                <w:color w:val="000000"/>
                <w:sz w:val="18"/>
                <w:szCs w:val="18"/>
              </w:rPr>
              <w:t>1,049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B5034E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0B021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45C540D" w14:textId="77777777" w:rsidR="00000000" w:rsidRDefault="00405D16">
            <w:pPr>
              <w:spacing w:after="100"/>
              <w:jc w:val="right"/>
              <w:rPr>
                <w:rFonts w:eastAsia="Times New Roman"/>
              </w:rPr>
            </w:pPr>
            <w:r>
              <w:rPr>
                <w:rFonts w:eastAsia="Times New Roman"/>
                <w:color w:val="000000"/>
                <w:sz w:val="18"/>
                <w:szCs w:val="18"/>
              </w:rPr>
              <w:t>1,035 </w:t>
            </w:r>
          </w:p>
        </w:tc>
        <w:tc>
          <w:tcPr>
            <w:tcW w:w="0" w:type="auto"/>
            <w:shd w:val="clear" w:color="auto" w:fill="CCEEFF"/>
            <w:tcMar>
              <w:top w:w="30" w:type="dxa"/>
              <w:left w:w="0" w:type="dxa"/>
              <w:bottom w:w="30" w:type="dxa"/>
              <w:right w:w="20" w:type="dxa"/>
            </w:tcMar>
            <w:vAlign w:val="center"/>
            <w:hideMark/>
          </w:tcPr>
          <w:p w14:paraId="6511177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BE188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6BFED41" w14:textId="77777777" w:rsidR="00000000" w:rsidRDefault="00405D16">
            <w:pPr>
              <w:spacing w:after="100"/>
              <w:jc w:val="right"/>
              <w:rPr>
                <w:rFonts w:eastAsia="Times New Roman"/>
              </w:rPr>
            </w:pPr>
            <w:r>
              <w:rPr>
                <w:rFonts w:eastAsia="Times New Roman"/>
                <w:color w:val="000000"/>
                <w:sz w:val="18"/>
                <w:szCs w:val="18"/>
              </w:rPr>
              <w:t>1,237 </w:t>
            </w:r>
          </w:p>
        </w:tc>
        <w:tc>
          <w:tcPr>
            <w:tcW w:w="0" w:type="auto"/>
            <w:shd w:val="clear" w:color="auto" w:fill="CCEEFF"/>
            <w:tcMar>
              <w:top w:w="30" w:type="dxa"/>
              <w:left w:w="0" w:type="dxa"/>
              <w:bottom w:w="30" w:type="dxa"/>
              <w:right w:w="20" w:type="dxa"/>
            </w:tcMar>
            <w:vAlign w:val="center"/>
            <w:hideMark/>
          </w:tcPr>
          <w:p w14:paraId="2BFD93E8" w14:textId="77777777" w:rsidR="00000000" w:rsidRDefault="00405D16">
            <w:pPr>
              <w:spacing w:after="100"/>
              <w:jc w:val="right"/>
              <w:rPr>
                <w:rFonts w:eastAsia="Times New Roman"/>
              </w:rPr>
            </w:pPr>
          </w:p>
        </w:tc>
        <w:tc>
          <w:tcPr>
            <w:tcW w:w="0" w:type="auto"/>
            <w:vAlign w:val="center"/>
            <w:hideMark/>
          </w:tcPr>
          <w:p w14:paraId="3A1FF516" w14:textId="77777777" w:rsidR="00000000" w:rsidRDefault="00405D16">
            <w:pPr>
              <w:spacing w:after="100"/>
              <w:jc w:val="right"/>
              <w:rPr>
                <w:rFonts w:eastAsia="Times New Roman"/>
                <w:sz w:val="20"/>
                <w:szCs w:val="20"/>
              </w:rPr>
            </w:pPr>
          </w:p>
        </w:tc>
        <w:tc>
          <w:tcPr>
            <w:tcW w:w="0" w:type="auto"/>
            <w:vAlign w:val="center"/>
            <w:hideMark/>
          </w:tcPr>
          <w:p w14:paraId="770A239B" w14:textId="77777777" w:rsidR="00000000" w:rsidRDefault="00405D16">
            <w:pPr>
              <w:spacing w:after="100"/>
              <w:rPr>
                <w:rFonts w:eastAsia="Times New Roman"/>
                <w:sz w:val="20"/>
                <w:szCs w:val="20"/>
              </w:rPr>
            </w:pPr>
          </w:p>
        </w:tc>
        <w:tc>
          <w:tcPr>
            <w:tcW w:w="0" w:type="auto"/>
            <w:gridSpan w:val="3"/>
            <w:vAlign w:val="center"/>
            <w:hideMark/>
          </w:tcPr>
          <w:p w14:paraId="5B04F09C" w14:textId="77777777" w:rsidR="00000000" w:rsidRDefault="00405D16">
            <w:pPr>
              <w:spacing w:after="100"/>
              <w:rPr>
                <w:rFonts w:eastAsia="Times New Roman"/>
                <w:sz w:val="20"/>
                <w:szCs w:val="20"/>
              </w:rPr>
            </w:pPr>
          </w:p>
        </w:tc>
        <w:tc>
          <w:tcPr>
            <w:tcW w:w="0" w:type="auto"/>
            <w:gridSpan w:val="3"/>
            <w:vAlign w:val="center"/>
            <w:hideMark/>
          </w:tcPr>
          <w:p w14:paraId="678F81E3" w14:textId="77777777" w:rsidR="00000000" w:rsidRDefault="00405D16">
            <w:pPr>
              <w:spacing w:after="100"/>
              <w:rPr>
                <w:rFonts w:eastAsia="Times New Roman"/>
                <w:sz w:val="20"/>
                <w:szCs w:val="20"/>
              </w:rPr>
            </w:pPr>
          </w:p>
        </w:tc>
      </w:tr>
      <w:tr w:rsidR="00000000" w14:paraId="2572D86B" w14:textId="77777777">
        <w:trPr>
          <w:divId w:val="691495059"/>
        </w:trPr>
        <w:tc>
          <w:tcPr>
            <w:tcW w:w="0" w:type="auto"/>
            <w:gridSpan w:val="3"/>
            <w:shd w:val="clear" w:color="auto" w:fill="FFFFFF"/>
            <w:tcMar>
              <w:top w:w="30" w:type="dxa"/>
              <w:left w:w="20" w:type="dxa"/>
              <w:bottom w:w="30" w:type="dxa"/>
              <w:right w:w="20" w:type="dxa"/>
            </w:tcMar>
            <w:vAlign w:val="center"/>
            <w:hideMark/>
          </w:tcPr>
          <w:p w14:paraId="739FF29D" w14:textId="77777777" w:rsidR="00000000" w:rsidRDefault="00405D16">
            <w:pPr>
              <w:spacing w:after="100"/>
              <w:rPr>
                <w:rFonts w:eastAsia="Times New Roman"/>
              </w:rPr>
            </w:pPr>
            <w:r>
              <w:rPr>
                <w:rFonts w:eastAsia="Times New Roman"/>
                <w:color w:val="000000"/>
                <w:sz w:val="18"/>
                <w:szCs w:val="18"/>
              </w:rPr>
              <w:t>Total RMBS</w:t>
            </w:r>
          </w:p>
        </w:tc>
        <w:tc>
          <w:tcPr>
            <w:tcW w:w="0" w:type="auto"/>
            <w:gridSpan w:val="3"/>
            <w:shd w:val="clear" w:color="auto" w:fill="FFFFFF"/>
            <w:tcMar>
              <w:top w:w="0" w:type="dxa"/>
              <w:left w:w="20" w:type="dxa"/>
              <w:bottom w:w="0" w:type="dxa"/>
              <w:right w:w="20" w:type="dxa"/>
            </w:tcMar>
            <w:vAlign w:val="center"/>
            <w:hideMark/>
          </w:tcPr>
          <w:p w14:paraId="5A2B676C"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E2B73C6" w14:textId="77777777" w:rsidR="00000000" w:rsidRDefault="00405D16">
            <w:pPr>
              <w:spacing w:after="100"/>
              <w:jc w:val="right"/>
              <w:rPr>
                <w:rFonts w:eastAsia="Times New Roman"/>
              </w:rPr>
            </w:pPr>
            <w:r>
              <w:rPr>
                <w:rFonts w:eastAsia="Times New Roman"/>
                <w:b/>
                <w:bCs/>
                <w:color w:val="000000"/>
                <w:sz w:val="18"/>
                <w:szCs w:val="18"/>
              </w:rPr>
              <w:t>74,768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4054F1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B80F3C"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22D173C" w14:textId="77777777" w:rsidR="00000000" w:rsidRDefault="00405D16">
            <w:pPr>
              <w:spacing w:after="100"/>
              <w:jc w:val="right"/>
              <w:rPr>
                <w:rFonts w:eastAsia="Times New Roman"/>
              </w:rPr>
            </w:pPr>
            <w:r>
              <w:rPr>
                <w:rFonts w:eastAsia="Times New Roman"/>
                <w:b/>
                <w:bCs/>
                <w:color w:val="000000"/>
                <w:sz w:val="18"/>
                <w:szCs w:val="18"/>
              </w:rPr>
              <w:t>75,681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6E1399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6BBCDC"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5391DB0" w14:textId="77777777" w:rsidR="00000000" w:rsidRDefault="00405D16">
            <w:pPr>
              <w:spacing w:after="100"/>
              <w:jc w:val="right"/>
              <w:rPr>
                <w:rFonts w:eastAsia="Times New Roman"/>
              </w:rPr>
            </w:pPr>
            <w:r>
              <w:rPr>
                <w:rFonts w:eastAsia="Times New Roman"/>
                <w:color w:val="000000"/>
                <w:sz w:val="18"/>
                <w:szCs w:val="18"/>
              </w:rPr>
              <w:t>74,283 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B34B3A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DC7817"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7F7D834" w14:textId="77777777" w:rsidR="00000000" w:rsidRDefault="00405D16">
            <w:pPr>
              <w:spacing w:after="100"/>
              <w:jc w:val="right"/>
              <w:rPr>
                <w:rFonts w:eastAsia="Times New Roman"/>
              </w:rPr>
            </w:pPr>
            <w:r>
              <w:rPr>
                <w:rFonts w:eastAsia="Times New Roman"/>
                <w:color w:val="000000"/>
                <w:sz w:val="18"/>
                <w:szCs w:val="18"/>
              </w:rPr>
              <w:t>76,703 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A2E3887" w14:textId="77777777" w:rsidR="00000000" w:rsidRDefault="00405D16">
            <w:pPr>
              <w:spacing w:after="100"/>
              <w:jc w:val="right"/>
              <w:rPr>
                <w:rFonts w:eastAsia="Times New Roman"/>
              </w:rPr>
            </w:pPr>
          </w:p>
        </w:tc>
        <w:tc>
          <w:tcPr>
            <w:tcW w:w="0" w:type="auto"/>
            <w:vAlign w:val="center"/>
            <w:hideMark/>
          </w:tcPr>
          <w:p w14:paraId="3A3B73A0" w14:textId="77777777" w:rsidR="00000000" w:rsidRDefault="00405D16">
            <w:pPr>
              <w:spacing w:after="100"/>
              <w:jc w:val="right"/>
              <w:rPr>
                <w:rFonts w:eastAsia="Times New Roman"/>
                <w:sz w:val="20"/>
                <w:szCs w:val="20"/>
              </w:rPr>
            </w:pPr>
          </w:p>
        </w:tc>
        <w:tc>
          <w:tcPr>
            <w:tcW w:w="0" w:type="auto"/>
            <w:vAlign w:val="center"/>
            <w:hideMark/>
          </w:tcPr>
          <w:p w14:paraId="15CFA023" w14:textId="77777777" w:rsidR="00000000" w:rsidRDefault="00405D16">
            <w:pPr>
              <w:spacing w:after="100"/>
              <w:rPr>
                <w:rFonts w:eastAsia="Times New Roman"/>
                <w:sz w:val="20"/>
                <w:szCs w:val="20"/>
              </w:rPr>
            </w:pPr>
          </w:p>
        </w:tc>
        <w:tc>
          <w:tcPr>
            <w:tcW w:w="0" w:type="auto"/>
            <w:gridSpan w:val="3"/>
            <w:vAlign w:val="center"/>
            <w:hideMark/>
          </w:tcPr>
          <w:p w14:paraId="593F1E7A" w14:textId="77777777" w:rsidR="00000000" w:rsidRDefault="00405D16">
            <w:pPr>
              <w:spacing w:after="100"/>
              <w:rPr>
                <w:rFonts w:eastAsia="Times New Roman"/>
                <w:sz w:val="20"/>
                <w:szCs w:val="20"/>
              </w:rPr>
            </w:pPr>
          </w:p>
        </w:tc>
        <w:tc>
          <w:tcPr>
            <w:tcW w:w="0" w:type="auto"/>
            <w:gridSpan w:val="3"/>
            <w:vAlign w:val="center"/>
            <w:hideMark/>
          </w:tcPr>
          <w:p w14:paraId="65811E43" w14:textId="77777777" w:rsidR="00000000" w:rsidRDefault="00405D16">
            <w:pPr>
              <w:spacing w:after="100"/>
              <w:rPr>
                <w:rFonts w:eastAsia="Times New Roman"/>
                <w:sz w:val="20"/>
                <w:szCs w:val="20"/>
              </w:rPr>
            </w:pPr>
          </w:p>
        </w:tc>
      </w:tr>
      <w:tr w:rsidR="00000000" w14:paraId="56046D9C" w14:textId="77777777">
        <w:trPr>
          <w:divId w:val="691495059"/>
        </w:trPr>
        <w:tc>
          <w:tcPr>
            <w:tcW w:w="0" w:type="auto"/>
            <w:gridSpan w:val="3"/>
            <w:shd w:val="clear" w:color="auto" w:fill="CCEEFF"/>
            <w:tcMar>
              <w:top w:w="30" w:type="dxa"/>
              <w:left w:w="20" w:type="dxa"/>
              <w:bottom w:w="30" w:type="dxa"/>
              <w:right w:w="20" w:type="dxa"/>
            </w:tcMar>
            <w:vAlign w:val="center"/>
            <w:hideMark/>
          </w:tcPr>
          <w:p w14:paraId="41E53FD0" w14:textId="77777777" w:rsidR="00000000" w:rsidRDefault="00405D16">
            <w:pPr>
              <w:spacing w:after="100"/>
              <w:rPr>
                <w:rFonts w:eastAsia="Times New Roman"/>
              </w:rPr>
            </w:pPr>
            <w:r>
              <w:rPr>
                <w:rFonts w:eastAsia="Times New Roman"/>
                <w:color w:val="000000"/>
                <w:sz w:val="18"/>
                <w:szCs w:val="18"/>
              </w:rPr>
              <w:t>Agency CMBS</w:t>
            </w:r>
          </w:p>
        </w:tc>
        <w:tc>
          <w:tcPr>
            <w:tcW w:w="0" w:type="auto"/>
            <w:gridSpan w:val="3"/>
            <w:shd w:val="clear" w:color="auto" w:fill="CCEEFF"/>
            <w:tcMar>
              <w:top w:w="0" w:type="dxa"/>
              <w:left w:w="20" w:type="dxa"/>
              <w:bottom w:w="0" w:type="dxa"/>
              <w:right w:w="20" w:type="dxa"/>
            </w:tcMar>
            <w:vAlign w:val="center"/>
            <w:hideMark/>
          </w:tcPr>
          <w:p w14:paraId="12CDD838"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DECA505" w14:textId="77777777" w:rsidR="00000000" w:rsidRDefault="00405D16">
            <w:pPr>
              <w:spacing w:after="100"/>
              <w:jc w:val="right"/>
              <w:rPr>
                <w:rFonts w:eastAsia="Times New Roman"/>
              </w:rPr>
            </w:pPr>
            <w:r>
              <w:rPr>
                <w:rFonts w:eastAsia="Times New Roman"/>
                <w:b/>
                <w:bCs/>
                <w:color w:val="000000"/>
                <w:sz w:val="18"/>
                <w:szCs w:val="18"/>
              </w:rPr>
              <w:t>9,973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A83B85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4491E4"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39DA408" w14:textId="77777777" w:rsidR="00000000" w:rsidRDefault="00405D16">
            <w:pPr>
              <w:spacing w:after="100"/>
              <w:jc w:val="right"/>
              <w:rPr>
                <w:rFonts w:eastAsia="Times New Roman"/>
              </w:rPr>
            </w:pPr>
            <w:r>
              <w:rPr>
                <w:rFonts w:eastAsia="Times New Roman"/>
                <w:b/>
                <w:bCs/>
                <w:color w:val="000000"/>
                <w:sz w:val="18"/>
                <w:szCs w:val="18"/>
              </w:rPr>
              <w:t>10,197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1AA965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560309"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6BF471C" w14:textId="77777777" w:rsidR="00000000" w:rsidRDefault="00405D16">
            <w:pPr>
              <w:spacing w:after="100"/>
              <w:jc w:val="right"/>
              <w:rPr>
                <w:rFonts w:eastAsia="Times New Roman"/>
              </w:rPr>
            </w:pPr>
            <w:r>
              <w:rPr>
                <w:rFonts w:eastAsia="Times New Roman"/>
                <w:color w:val="000000"/>
                <w:sz w:val="18"/>
                <w:szCs w:val="18"/>
              </w:rPr>
              <w:t>11,298 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317EB0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9FDD3B"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AF7060A" w14:textId="77777777" w:rsidR="00000000" w:rsidRDefault="00405D16">
            <w:pPr>
              <w:spacing w:after="100"/>
              <w:jc w:val="right"/>
              <w:rPr>
                <w:rFonts w:eastAsia="Times New Roman"/>
              </w:rPr>
            </w:pPr>
            <w:r>
              <w:rPr>
                <w:rFonts w:eastAsia="Times New Roman"/>
                <w:color w:val="000000"/>
                <w:sz w:val="18"/>
                <w:szCs w:val="18"/>
              </w:rPr>
              <w:t>11,735 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1AF83CD" w14:textId="77777777" w:rsidR="00000000" w:rsidRDefault="00405D16">
            <w:pPr>
              <w:spacing w:after="100"/>
              <w:jc w:val="right"/>
              <w:rPr>
                <w:rFonts w:eastAsia="Times New Roman"/>
              </w:rPr>
            </w:pPr>
          </w:p>
        </w:tc>
        <w:tc>
          <w:tcPr>
            <w:tcW w:w="0" w:type="auto"/>
            <w:vAlign w:val="center"/>
            <w:hideMark/>
          </w:tcPr>
          <w:p w14:paraId="556024F7" w14:textId="77777777" w:rsidR="00000000" w:rsidRDefault="00405D16">
            <w:pPr>
              <w:spacing w:after="100"/>
              <w:jc w:val="right"/>
              <w:rPr>
                <w:rFonts w:eastAsia="Times New Roman"/>
                <w:sz w:val="20"/>
                <w:szCs w:val="20"/>
              </w:rPr>
            </w:pPr>
          </w:p>
        </w:tc>
        <w:tc>
          <w:tcPr>
            <w:tcW w:w="0" w:type="auto"/>
            <w:vAlign w:val="center"/>
            <w:hideMark/>
          </w:tcPr>
          <w:p w14:paraId="6476FB3C" w14:textId="77777777" w:rsidR="00000000" w:rsidRDefault="00405D16">
            <w:pPr>
              <w:spacing w:after="100"/>
              <w:rPr>
                <w:rFonts w:eastAsia="Times New Roman"/>
                <w:sz w:val="20"/>
                <w:szCs w:val="20"/>
              </w:rPr>
            </w:pPr>
          </w:p>
        </w:tc>
        <w:tc>
          <w:tcPr>
            <w:tcW w:w="0" w:type="auto"/>
            <w:gridSpan w:val="3"/>
            <w:vAlign w:val="center"/>
            <w:hideMark/>
          </w:tcPr>
          <w:p w14:paraId="43910F07" w14:textId="77777777" w:rsidR="00000000" w:rsidRDefault="00405D16">
            <w:pPr>
              <w:spacing w:after="100"/>
              <w:rPr>
                <w:rFonts w:eastAsia="Times New Roman"/>
                <w:sz w:val="20"/>
                <w:szCs w:val="20"/>
              </w:rPr>
            </w:pPr>
          </w:p>
        </w:tc>
        <w:tc>
          <w:tcPr>
            <w:tcW w:w="0" w:type="auto"/>
            <w:gridSpan w:val="3"/>
            <w:vAlign w:val="center"/>
            <w:hideMark/>
          </w:tcPr>
          <w:p w14:paraId="2EFA5E67" w14:textId="77777777" w:rsidR="00000000" w:rsidRDefault="00405D16">
            <w:pPr>
              <w:spacing w:after="100"/>
              <w:rPr>
                <w:rFonts w:eastAsia="Times New Roman"/>
                <w:sz w:val="20"/>
                <w:szCs w:val="20"/>
              </w:rPr>
            </w:pPr>
          </w:p>
        </w:tc>
      </w:tr>
      <w:tr w:rsidR="00000000" w14:paraId="79DB1198" w14:textId="77777777">
        <w:trPr>
          <w:divId w:val="691495059"/>
        </w:trPr>
        <w:tc>
          <w:tcPr>
            <w:tcW w:w="0" w:type="auto"/>
            <w:gridSpan w:val="3"/>
            <w:shd w:val="clear" w:color="auto" w:fill="FFFFFF"/>
            <w:tcMar>
              <w:top w:w="30" w:type="dxa"/>
              <w:left w:w="20" w:type="dxa"/>
              <w:bottom w:w="30" w:type="dxa"/>
              <w:right w:w="20" w:type="dxa"/>
            </w:tcMar>
            <w:vAlign w:val="center"/>
            <w:hideMark/>
          </w:tcPr>
          <w:p w14:paraId="02EDCB7F" w14:textId="77777777" w:rsidR="00000000" w:rsidRDefault="00405D16">
            <w:pPr>
              <w:spacing w:after="100"/>
              <w:divId w:val="929892554"/>
              <w:rPr>
                <w:rFonts w:eastAsia="Times New Roman"/>
              </w:rPr>
            </w:pPr>
            <w:r>
              <w:rPr>
                <w:rFonts w:eastAsia="Times New Roman"/>
                <w:color w:val="000000"/>
                <w:sz w:val="18"/>
                <w:szCs w:val="18"/>
              </w:rPr>
              <w:t>Other securitie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77A48819"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E06136D" w14:textId="77777777" w:rsidR="00000000" w:rsidRDefault="00405D16">
            <w:pPr>
              <w:spacing w:after="100"/>
              <w:jc w:val="right"/>
              <w:rPr>
                <w:rFonts w:eastAsia="Times New Roman"/>
              </w:rPr>
            </w:pPr>
            <w:r>
              <w:rPr>
                <w:rFonts w:eastAsia="Times New Roman"/>
                <w:b/>
                <w:bCs/>
                <w:color w:val="000000"/>
                <w:sz w:val="18"/>
                <w:szCs w:val="18"/>
              </w:rPr>
              <w:t>3,154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A24468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B3056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AE3487D" w14:textId="77777777" w:rsidR="00000000" w:rsidRDefault="00405D16">
            <w:pPr>
              <w:spacing w:after="100"/>
              <w:jc w:val="right"/>
              <w:rPr>
                <w:rFonts w:eastAsia="Times New Roman"/>
              </w:rPr>
            </w:pPr>
            <w:r>
              <w:rPr>
                <w:rFonts w:eastAsia="Times New Roman"/>
                <w:b/>
                <w:bCs/>
                <w:color w:val="000000"/>
                <w:sz w:val="18"/>
                <w:szCs w:val="18"/>
              </w:rPr>
              <w:t>3,162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C60B7D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7A1B3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8739C25" w14:textId="77777777" w:rsidR="00000000" w:rsidRDefault="00405D16">
            <w:pPr>
              <w:spacing w:after="100"/>
              <w:jc w:val="right"/>
              <w:rPr>
                <w:rFonts w:eastAsia="Times New Roman"/>
              </w:rPr>
            </w:pPr>
            <w:r>
              <w:rPr>
                <w:rFonts w:eastAsia="Times New Roman"/>
                <w:color w:val="000000"/>
                <w:sz w:val="18"/>
                <w:szCs w:val="18"/>
              </w:rPr>
              <w:t>2,686 </w:t>
            </w:r>
          </w:p>
        </w:tc>
        <w:tc>
          <w:tcPr>
            <w:tcW w:w="0" w:type="auto"/>
            <w:shd w:val="clear" w:color="auto" w:fill="FFFFFF"/>
            <w:tcMar>
              <w:top w:w="30" w:type="dxa"/>
              <w:left w:w="0" w:type="dxa"/>
              <w:bottom w:w="30" w:type="dxa"/>
              <w:right w:w="20" w:type="dxa"/>
            </w:tcMar>
            <w:vAlign w:val="center"/>
            <w:hideMark/>
          </w:tcPr>
          <w:p w14:paraId="163A1EF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C3D12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93BF865" w14:textId="77777777" w:rsidR="00000000" w:rsidRDefault="00405D16">
            <w:pPr>
              <w:spacing w:after="100"/>
              <w:jc w:val="right"/>
              <w:rPr>
                <w:rFonts w:eastAsia="Times New Roman"/>
              </w:rPr>
            </w:pPr>
            <w:r>
              <w:rPr>
                <w:rFonts w:eastAsia="Times New Roman"/>
                <w:color w:val="000000"/>
                <w:sz w:val="18"/>
                <w:szCs w:val="18"/>
              </w:rPr>
              <w:t>2,689 </w:t>
            </w:r>
          </w:p>
        </w:tc>
        <w:tc>
          <w:tcPr>
            <w:tcW w:w="0" w:type="auto"/>
            <w:shd w:val="clear" w:color="auto" w:fill="FFFFFF"/>
            <w:tcMar>
              <w:top w:w="30" w:type="dxa"/>
              <w:left w:w="0" w:type="dxa"/>
              <w:bottom w:w="30" w:type="dxa"/>
              <w:right w:w="20" w:type="dxa"/>
            </w:tcMar>
            <w:vAlign w:val="center"/>
            <w:hideMark/>
          </w:tcPr>
          <w:p w14:paraId="1CB5271D" w14:textId="77777777" w:rsidR="00000000" w:rsidRDefault="00405D16">
            <w:pPr>
              <w:spacing w:after="100"/>
              <w:jc w:val="right"/>
              <w:rPr>
                <w:rFonts w:eastAsia="Times New Roman"/>
              </w:rPr>
            </w:pPr>
          </w:p>
        </w:tc>
        <w:tc>
          <w:tcPr>
            <w:tcW w:w="0" w:type="auto"/>
            <w:vAlign w:val="center"/>
            <w:hideMark/>
          </w:tcPr>
          <w:p w14:paraId="6CAA5701" w14:textId="77777777" w:rsidR="00000000" w:rsidRDefault="00405D16">
            <w:pPr>
              <w:spacing w:after="100"/>
              <w:jc w:val="right"/>
              <w:rPr>
                <w:rFonts w:eastAsia="Times New Roman"/>
                <w:sz w:val="20"/>
                <w:szCs w:val="20"/>
              </w:rPr>
            </w:pPr>
          </w:p>
        </w:tc>
        <w:tc>
          <w:tcPr>
            <w:tcW w:w="0" w:type="auto"/>
            <w:vAlign w:val="center"/>
            <w:hideMark/>
          </w:tcPr>
          <w:p w14:paraId="5DD8A88A" w14:textId="77777777" w:rsidR="00000000" w:rsidRDefault="00405D16">
            <w:pPr>
              <w:spacing w:after="100"/>
              <w:rPr>
                <w:rFonts w:eastAsia="Times New Roman"/>
                <w:sz w:val="20"/>
                <w:szCs w:val="20"/>
              </w:rPr>
            </w:pPr>
          </w:p>
        </w:tc>
        <w:tc>
          <w:tcPr>
            <w:tcW w:w="0" w:type="auto"/>
            <w:gridSpan w:val="3"/>
            <w:vAlign w:val="center"/>
            <w:hideMark/>
          </w:tcPr>
          <w:p w14:paraId="5BC6949E" w14:textId="77777777" w:rsidR="00000000" w:rsidRDefault="00405D16">
            <w:pPr>
              <w:spacing w:after="100"/>
              <w:rPr>
                <w:rFonts w:eastAsia="Times New Roman"/>
                <w:sz w:val="20"/>
                <w:szCs w:val="20"/>
              </w:rPr>
            </w:pPr>
          </w:p>
        </w:tc>
        <w:tc>
          <w:tcPr>
            <w:tcW w:w="0" w:type="auto"/>
            <w:gridSpan w:val="3"/>
            <w:vAlign w:val="center"/>
            <w:hideMark/>
          </w:tcPr>
          <w:p w14:paraId="6C404D1C" w14:textId="77777777" w:rsidR="00000000" w:rsidRDefault="00405D16">
            <w:pPr>
              <w:spacing w:after="100"/>
              <w:rPr>
                <w:rFonts w:eastAsia="Times New Roman"/>
                <w:sz w:val="20"/>
                <w:szCs w:val="20"/>
              </w:rPr>
            </w:pPr>
          </w:p>
        </w:tc>
      </w:tr>
      <w:tr w:rsidR="00000000" w14:paraId="677A8829" w14:textId="77777777">
        <w:trPr>
          <w:divId w:val="691495059"/>
        </w:trPr>
        <w:tc>
          <w:tcPr>
            <w:tcW w:w="0" w:type="auto"/>
            <w:gridSpan w:val="3"/>
            <w:shd w:val="clear" w:color="auto" w:fill="CCEEFF"/>
            <w:tcMar>
              <w:top w:w="30" w:type="dxa"/>
              <w:left w:w="20" w:type="dxa"/>
              <w:bottom w:w="30" w:type="dxa"/>
              <w:right w:w="20" w:type="dxa"/>
            </w:tcMar>
            <w:vAlign w:val="center"/>
            <w:hideMark/>
          </w:tcPr>
          <w:p w14:paraId="643F001C" w14:textId="77777777" w:rsidR="00000000" w:rsidRDefault="00405D16">
            <w:pPr>
              <w:spacing w:after="100"/>
              <w:rPr>
                <w:rFonts w:eastAsia="Times New Roman"/>
              </w:rPr>
            </w:pPr>
            <w:r>
              <w:rPr>
                <w:rFonts w:eastAsia="Times New Roman"/>
                <w:color w:val="000000"/>
                <w:sz w:val="18"/>
                <w:szCs w:val="18"/>
              </w:rPr>
              <w:t>Total investment securities available for sale</w:t>
            </w:r>
          </w:p>
        </w:tc>
        <w:tc>
          <w:tcPr>
            <w:tcW w:w="0" w:type="auto"/>
            <w:gridSpan w:val="3"/>
            <w:shd w:val="clear" w:color="auto" w:fill="CCEEFF"/>
            <w:tcMar>
              <w:top w:w="0" w:type="dxa"/>
              <w:left w:w="20" w:type="dxa"/>
              <w:bottom w:w="0" w:type="dxa"/>
              <w:right w:w="20" w:type="dxa"/>
            </w:tcMar>
            <w:vAlign w:val="center"/>
            <w:hideMark/>
          </w:tcPr>
          <w:p w14:paraId="5FF410CE"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135987C"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027AB3B" w14:textId="77777777" w:rsidR="00000000" w:rsidRDefault="00405D16">
            <w:pPr>
              <w:spacing w:after="100"/>
              <w:jc w:val="right"/>
              <w:rPr>
                <w:rFonts w:eastAsia="Times New Roman"/>
              </w:rPr>
            </w:pPr>
            <w:r>
              <w:rPr>
                <w:rFonts w:eastAsia="Times New Roman"/>
                <w:b/>
                <w:bCs/>
                <w:color w:val="000000"/>
                <w:sz w:val="18"/>
                <w:szCs w:val="18"/>
              </w:rPr>
              <w:t>96,989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CE0DCA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7D29C4"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1B801CB"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3B29AE6D" w14:textId="77777777" w:rsidR="00000000" w:rsidRDefault="00405D16">
            <w:pPr>
              <w:spacing w:after="100"/>
              <w:jc w:val="right"/>
              <w:rPr>
                <w:rFonts w:eastAsia="Times New Roman"/>
              </w:rPr>
            </w:pPr>
            <w:r>
              <w:rPr>
                <w:rFonts w:eastAsia="Times New Roman"/>
                <w:b/>
                <w:bCs/>
                <w:color w:val="000000"/>
                <w:sz w:val="18"/>
                <w:szCs w:val="18"/>
              </w:rPr>
              <w:t>98,149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91551C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F02D3E"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06048276"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60DA1A9" w14:textId="77777777" w:rsidR="00000000" w:rsidRDefault="00405D16">
            <w:pPr>
              <w:spacing w:after="100"/>
              <w:jc w:val="right"/>
              <w:rPr>
                <w:rFonts w:eastAsia="Times New Roman"/>
              </w:rPr>
            </w:pPr>
            <w:r>
              <w:rPr>
                <w:rFonts w:eastAsia="Times New Roman"/>
                <w:color w:val="000000"/>
                <w:sz w:val="18"/>
                <w:szCs w:val="18"/>
              </w:rPr>
              <w:t>97,569 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3FFC47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20A449"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D4B2796"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373A7FA2" w14:textId="77777777" w:rsidR="00000000" w:rsidRDefault="00405D16">
            <w:pPr>
              <w:spacing w:after="100"/>
              <w:jc w:val="right"/>
              <w:rPr>
                <w:rFonts w:eastAsia="Times New Roman"/>
              </w:rPr>
            </w:pPr>
            <w:r>
              <w:rPr>
                <w:rFonts w:eastAsia="Times New Roman"/>
                <w:color w:val="000000"/>
                <w:sz w:val="18"/>
                <w:szCs w:val="18"/>
              </w:rPr>
              <w:t>100,445 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A3F3108" w14:textId="77777777" w:rsidR="00000000" w:rsidRDefault="00405D16">
            <w:pPr>
              <w:spacing w:after="100"/>
              <w:jc w:val="right"/>
              <w:rPr>
                <w:rFonts w:eastAsia="Times New Roman"/>
              </w:rPr>
            </w:pPr>
          </w:p>
        </w:tc>
        <w:tc>
          <w:tcPr>
            <w:tcW w:w="0" w:type="auto"/>
            <w:vAlign w:val="center"/>
            <w:hideMark/>
          </w:tcPr>
          <w:p w14:paraId="4548EF2D" w14:textId="77777777" w:rsidR="00000000" w:rsidRDefault="00405D16">
            <w:pPr>
              <w:spacing w:after="100"/>
              <w:jc w:val="right"/>
              <w:rPr>
                <w:rFonts w:eastAsia="Times New Roman"/>
                <w:sz w:val="20"/>
                <w:szCs w:val="20"/>
              </w:rPr>
            </w:pPr>
          </w:p>
        </w:tc>
        <w:tc>
          <w:tcPr>
            <w:tcW w:w="0" w:type="auto"/>
            <w:vAlign w:val="center"/>
            <w:hideMark/>
          </w:tcPr>
          <w:p w14:paraId="1A0C6113" w14:textId="77777777" w:rsidR="00000000" w:rsidRDefault="00405D16">
            <w:pPr>
              <w:spacing w:after="100"/>
              <w:rPr>
                <w:rFonts w:eastAsia="Times New Roman"/>
                <w:sz w:val="20"/>
                <w:szCs w:val="20"/>
              </w:rPr>
            </w:pPr>
          </w:p>
        </w:tc>
        <w:tc>
          <w:tcPr>
            <w:tcW w:w="0" w:type="auto"/>
            <w:gridSpan w:val="3"/>
            <w:vAlign w:val="center"/>
            <w:hideMark/>
          </w:tcPr>
          <w:p w14:paraId="67F4D391" w14:textId="77777777" w:rsidR="00000000" w:rsidRDefault="00405D16">
            <w:pPr>
              <w:spacing w:after="100"/>
              <w:rPr>
                <w:rFonts w:eastAsia="Times New Roman"/>
                <w:sz w:val="20"/>
                <w:szCs w:val="20"/>
              </w:rPr>
            </w:pPr>
          </w:p>
        </w:tc>
        <w:tc>
          <w:tcPr>
            <w:tcW w:w="0" w:type="auto"/>
            <w:gridSpan w:val="3"/>
            <w:vAlign w:val="center"/>
            <w:hideMark/>
          </w:tcPr>
          <w:p w14:paraId="36654E53" w14:textId="77777777" w:rsidR="00000000" w:rsidRDefault="00405D16">
            <w:pPr>
              <w:spacing w:after="100"/>
              <w:rPr>
                <w:rFonts w:eastAsia="Times New Roman"/>
                <w:sz w:val="20"/>
                <w:szCs w:val="20"/>
              </w:rPr>
            </w:pPr>
          </w:p>
        </w:tc>
      </w:tr>
    </w:tbl>
    <w:p w14:paraId="62C68E12" w14:textId="77777777" w:rsidR="00000000" w:rsidRDefault="00405D16">
      <w:pPr>
        <w:divId w:val="490367226"/>
        <w:rPr>
          <w:rFonts w:eastAsia="Times New Roman"/>
        </w:rPr>
      </w:pPr>
      <w:r>
        <w:rPr>
          <w:rFonts w:eastAsia="Times New Roman"/>
          <w:color w:val="000000"/>
          <w:sz w:val="20"/>
          <w:szCs w:val="20"/>
        </w:rPr>
        <w:t>__________</w:t>
      </w:r>
    </w:p>
    <w:p w14:paraId="76452812" w14:textId="77777777" w:rsidR="00000000" w:rsidRDefault="00405D16">
      <w:pPr>
        <w:ind w:hanging="360"/>
        <w:jc w:val="both"/>
        <w:divId w:val="162680899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$2</w:t>
      </w:r>
      <w:r>
        <w:rPr>
          <w:rFonts w:eastAsia="Times New Roman"/>
          <w:color w:val="000000"/>
          <w:sz w:val="16"/>
          <w:szCs w:val="16"/>
        </w:rPr>
        <w:t xml:space="preserve">.3 billion and $1.8 billion of asset-backed securities as of September 30, 2021 and December 31, 2020, respectively. The remaining amount is primarily comprised of supranational bonds and foreign government bonds.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13338F8F" w14:textId="77777777">
        <w:trPr>
          <w:divId w:val="1921595826"/>
          <w:jc w:val="center"/>
        </w:trPr>
        <w:tc>
          <w:tcPr>
            <w:tcW w:w="50" w:type="pct"/>
            <w:vAlign w:val="center"/>
            <w:hideMark/>
          </w:tcPr>
          <w:p w14:paraId="561F2B15" w14:textId="77777777" w:rsidR="00000000" w:rsidRDefault="00405D16">
            <w:pPr>
              <w:ind w:hanging="360"/>
              <w:jc w:val="both"/>
              <w:rPr>
                <w:rFonts w:eastAsia="Times New Roman"/>
              </w:rPr>
            </w:pPr>
          </w:p>
        </w:tc>
        <w:tc>
          <w:tcPr>
            <w:tcW w:w="1606" w:type="pct"/>
            <w:vAlign w:val="center"/>
            <w:hideMark/>
          </w:tcPr>
          <w:p w14:paraId="04C497E1" w14:textId="77777777" w:rsidR="00000000" w:rsidRDefault="00405D16">
            <w:pPr>
              <w:spacing w:after="100"/>
              <w:rPr>
                <w:rFonts w:eastAsia="Times New Roman"/>
                <w:sz w:val="20"/>
                <w:szCs w:val="20"/>
              </w:rPr>
            </w:pPr>
          </w:p>
        </w:tc>
        <w:tc>
          <w:tcPr>
            <w:tcW w:w="5" w:type="pct"/>
            <w:vAlign w:val="center"/>
            <w:hideMark/>
          </w:tcPr>
          <w:p w14:paraId="05033EA6" w14:textId="77777777" w:rsidR="00000000" w:rsidRDefault="00405D16">
            <w:pPr>
              <w:spacing w:after="100"/>
              <w:rPr>
                <w:rFonts w:eastAsia="Times New Roman"/>
                <w:sz w:val="20"/>
                <w:szCs w:val="20"/>
              </w:rPr>
            </w:pPr>
          </w:p>
        </w:tc>
        <w:tc>
          <w:tcPr>
            <w:tcW w:w="50" w:type="pct"/>
            <w:vAlign w:val="center"/>
            <w:hideMark/>
          </w:tcPr>
          <w:p w14:paraId="68872AB6" w14:textId="77777777" w:rsidR="00000000" w:rsidRDefault="00405D16">
            <w:pPr>
              <w:spacing w:after="100"/>
              <w:rPr>
                <w:rFonts w:eastAsia="Times New Roman"/>
                <w:sz w:val="20"/>
                <w:szCs w:val="20"/>
              </w:rPr>
            </w:pPr>
          </w:p>
        </w:tc>
        <w:tc>
          <w:tcPr>
            <w:tcW w:w="1614" w:type="pct"/>
            <w:vAlign w:val="center"/>
            <w:hideMark/>
          </w:tcPr>
          <w:p w14:paraId="247E821A" w14:textId="77777777" w:rsidR="00000000" w:rsidRDefault="00405D16">
            <w:pPr>
              <w:spacing w:after="100"/>
              <w:rPr>
                <w:rFonts w:eastAsia="Times New Roman"/>
                <w:sz w:val="20"/>
                <w:szCs w:val="20"/>
              </w:rPr>
            </w:pPr>
          </w:p>
        </w:tc>
        <w:tc>
          <w:tcPr>
            <w:tcW w:w="5" w:type="pct"/>
            <w:vAlign w:val="center"/>
            <w:hideMark/>
          </w:tcPr>
          <w:p w14:paraId="2451EE32" w14:textId="77777777" w:rsidR="00000000" w:rsidRDefault="00405D16">
            <w:pPr>
              <w:spacing w:after="100"/>
              <w:rPr>
                <w:rFonts w:eastAsia="Times New Roman"/>
                <w:sz w:val="20"/>
                <w:szCs w:val="20"/>
              </w:rPr>
            </w:pPr>
          </w:p>
        </w:tc>
        <w:tc>
          <w:tcPr>
            <w:tcW w:w="50" w:type="pct"/>
            <w:vAlign w:val="center"/>
            <w:hideMark/>
          </w:tcPr>
          <w:p w14:paraId="762BCA54" w14:textId="77777777" w:rsidR="00000000" w:rsidRDefault="00405D16">
            <w:pPr>
              <w:spacing w:after="100"/>
              <w:rPr>
                <w:rFonts w:eastAsia="Times New Roman"/>
                <w:sz w:val="20"/>
                <w:szCs w:val="20"/>
              </w:rPr>
            </w:pPr>
          </w:p>
        </w:tc>
        <w:tc>
          <w:tcPr>
            <w:tcW w:w="1614" w:type="pct"/>
            <w:vAlign w:val="center"/>
            <w:hideMark/>
          </w:tcPr>
          <w:p w14:paraId="08FDF460" w14:textId="77777777" w:rsidR="00000000" w:rsidRDefault="00405D16">
            <w:pPr>
              <w:spacing w:after="100"/>
              <w:rPr>
                <w:rFonts w:eastAsia="Times New Roman"/>
                <w:sz w:val="20"/>
                <w:szCs w:val="20"/>
              </w:rPr>
            </w:pPr>
          </w:p>
        </w:tc>
        <w:tc>
          <w:tcPr>
            <w:tcW w:w="5" w:type="pct"/>
            <w:vAlign w:val="center"/>
            <w:hideMark/>
          </w:tcPr>
          <w:p w14:paraId="1194C418" w14:textId="77777777" w:rsidR="00000000" w:rsidRDefault="00405D16">
            <w:pPr>
              <w:spacing w:after="100"/>
              <w:rPr>
                <w:rFonts w:eastAsia="Times New Roman"/>
                <w:sz w:val="20"/>
                <w:szCs w:val="20"/>
              </w:rPr>
            </w:pPr>
          </w:p>
        </w:tc>
      </w:tr>
      <w:tr w:rsidR="00000000" w14:paraId="5C99E9B7" w14:textId="77777777">
        <w:trPr>
          <w:divId w:val="1921595826"/>
          <w:trHeight w:val="300"/>
          <w:jc w:val="center"/>
        </w:trPr>
        <w:tc>
          <w:tcPr>
            <w:tcW w:w="0" w:type="auto"/>
            <w:gridSpan w:val="9"/>
            <w:tcMar>
              <w:top w:w="0" w:type="dxa"/>
              <w:left w:w="20" w:type="dxa"/>
              <w:bottom w:w="0" w:type="dxa"/>
              <w:right w:w="20" w:type="dxa"/>
            </w:tcMar>
            <w:vAlign w:val="center"/>
            <w:hideMark/>
          </w:tcPr>
          <w:p w14:paraId="3C171553" w14:textId="77777777" w:rsidR="00000000" w:rsidRDefault="00405D16">
            <w:pPr>
              <w:spacing w:after="100"/>
              <w:rPr>
                <w:rFonts w:eastAsia="Times New Roman"/>
                <w:sz w:val="20"/>
                <w:szCs w:val="20"/>
              </w:rPr>
            </w:pPr>
          </w:p>
        </w:tc>
      </w:tr>
      <w:tr w:rsidR="00000000" w14:paraId="659B0CCA" w14:textId="77777777">
        <w:trPr>
          <w:divId w:val="1921595826"/>
          <w:jc w:val="center"/>
        </w:trPr>
        <w:tc>
          <w:tcPr>
            <w:tcW w:w="0" w:type="auto"/>
            <w:gridSpan w:val="3"/>
            <w:tcMar>
              <w:top w:w="0" w:type="dxa"/>
              <w:left w:w="20" w:type="dxa"/>
              <w:bottom w:w="0" w:type="dxa"/>
              <w:right w:w="20" w:type="dxa"/>
            </w:tcMar>
            <w:vAlign w:val="center"/>
            <w:hideMark/>
          </w:tcPr>
          <w:p w14:paraId="17A80626"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4008C2A" w14:textId="77777777" w:rsidR="00000000" w:rsidRDefault="00405D16">
            <w:pPr>
              <w:spacing w:after="100"/>
              <w:jc w:val="center"/>
              <w:rPr>
                <w:rFonts w:eastAsia="Times New Roman"/>
              </w:rPr>
            </w:pPr>
            <w:r>
              <w:rPr>
                <w:rFonts w:eastAsia="Times New Roman"/>
                <w:color w:val="000000"/>
                <w:sz w:val="16"/>
                <w:szCs w:val="16"/>
              </w:rPr>
              <w:t>17</w:t>
            </w:r>
          </w:p>
        </w:tc>
        <w:tc>
          <w:tcPr>
            <w:tcW w:w="0" w:type="auto"/>
            <w:gridSpan w:val="3"/>
            <w:tcMar>
              <w:top w:w="30" w:type="dxa"/>
              <w:left w:w="20" w:type="dxa"/>
              <w:bottom w:w="30" w:type="dxa"/>
              <w:right w:w="20" w:type="dxa"/>
            </w:tcMar>
            <w:vAlign w:val="bottom"/>
            <w:hideMark/>
          </w:tcPr>
          <w:p w14:paraId="440DEF1D"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084698BF" w14:textId="77777777" w:rsidR="00000000" w:rsidRDefault="00405D16">
      <w:pPr>
        <w:rPr>
          <w:rFonts w:eastAsia="Times New Roman"/>
        </w:rPr>
      </w:pPr>
      <w:r>
        <w:rPr>
          <w:rFonts w:eastAsia="Times New Roman"/>
        </w:rPr>
        <w:pict w14:anchorId="6E70AE52">
          <v:rect id="_x0000_i1042" style="width:0;height:1.5pt" o:hralign="center" o:hrstd="t" o:hr="t" fillcolor="#a0a0a0" stroked="f"/>
        </w:pict>
      </w:r>
    </w:p>
    <w:p w14:paraId="175E986D" w14:textId="77777777" w:rsidR="00000000" w:rsidRDefault="00405D16">
      <w:pPr>
        <w:ind w:hanging="360"/>
        <w:jc w:val="both"/>
        <w:divId w:val="2130390319"/>
        <w:rPr>
          <w:rFonts w:eastAsia="Times New Roman"/>
        </w:rPr>
      </w:pPr>
      <w:hyperlink w:anchor="idd54a04a485440b4ab4e56094c14d612_13" w:history="1">
        <w:r>
          <w:rPr>
            <w:rStyle w:val="a3"/>
            <w:rFonts w:eastAsia="Times New Roman"/>
            <w:sz w:val="16"/>
            <w:szCs w:val="16"/>
          </w:rPr>
          <w:t>Table of Contents</w:t>
        </w:r>
      </w:hyperlink>
    </w:p>
    <w:p w14:paraId="230A5A8D" w14:textId="77777777" w:rsidR="00000000" w:rsidRDefault="00405D16">
      <w:pPr>
        <w:divId w:val="1114593477"/>
        <w:rPr>
          <w:rFonts w:eastAsia="Times New Roman"/>
        </w:rPr>
      </w:pPr>
      <w:r>
        <w:rPr>
          <w:rFonts w:eastAsia="Times New Roman"/>
          <w:b/>
          <w:bCs/>
          <w:color w:val="000000"/>
          <w:sz w:val="20"/>
          <w:szCs w:val="20"/>
        </w:rPr>
        <w:t>Loans Held for Investment</w:t>
      </w:r>
    </w:p>
    <w:p w14:paraId="5F409B9A" w14:textId="77777777" w:rsidR="00000000" w:rsidRDefault="00405D16">
      <w:pPr>
        <w:jc w:val="both"/>
        <w:divId w:val="607783079"/>
        <w:rPr>
          <w:rFonts w:eastAsia="Times New Roman"/>
        </w:rPr>
      </w:pPr>
      <w:r>
        <w:rPr>
          <w:rFonts w:eastAsia="Times New Roman"/>
          <w:color w:val="000000"/>
          <w:sz w:val="20"/>
          <w:szCs w:val="20"/>
        </w:rPr>
        <w:t>Total loans held for investment consists of both unsecuritized loans and loans held in our consolidated trusts. Table 7 summarizes, by portfolio segment, the carrying value of our loans held for investment, the allowance for credit losses and net loan bala</w:t>
      </w:r>
      <w:r>
        <w:rPr>
          <w:rFonts w:eastAsia="Times New Roman"/>
          <w:color w:val="000000"/>
          <w:sz w:val="20"/>
          <w:szCs w:val="20"/>
        </w:rPr>
        <w:t>nce as of September 30, 2021 and December 31, 2020.</w:t>
      </w:r>
    </w:p>
    <w:p w14:paraId="4C9E4E9E" w14:textId="77777777" w:rsidR="00000000" w:rsidRDefault="00405D16">
      <w:pPr>
        <w:divId w:val="1831867456"/>
        <w:rPr>
          <w:rFonts w:eastAsia="Times New Roman"/>
        </w:rPr>
      </w:pPr>
      <w:r>
        <w:rPr>
          <w:rFonts w:eastAsia="Times New Roman"/>
          <w:b/>
          <w:bCs/>
          <w:color w:val="000000"/>
          <w:sz w:val="18"/>
          <w:szCs w:val="18"/>
        </w:rPr>
        <w:t xml:space="preserve">Table 7: Loans Held for Investment </w:t>
      </w:r>
    </w:p>
    <w:tbl>
      <w:tblPr>
        <w:tblW w:w="4985" w:type="pct"/>
        <w:tblCellMar>
          <w:top w:w="15" w:type="dxa"/>
          <w:left w:w="15" w:type="dxa"/>
          <w:bottom w:w="15" w:type="dxa"/>
          <w:right w:w="15" w:type="dxa"/>
        </w:tblCellMar>
        <w:tblLook w:val="04A0" w:firstRow="1" w:lastRow="0" w:firstColumn="1" w:lastColumn="0" w:noHBand="0" w:noVBand="1"/>
      </w:tblPr>
      <w:tblGrid>
        <w:gridCol w:w="39"/>
        <w:gridCol w:w="2856"/>
        <w:gridCol w:w="38"/>
        <w:gridCol w:w="36"/>
        <w:gridCol w:w="36"/>
        <w:gridCol w:w="36"/>
        <w:gridCol w:w="110"/>
        <w:gridCol w:w="630"/>
        <w:gridCol w:w="36"/>
        <w:gridCol w:w="36"/>
        <w:gridCol w:w="36"/>
        <w:gridCol w:w="36"/>
        <w:gridCol w:w="111"/>
        <w:gridCol w:w="651"/>
        <w:gridCol w:w="36"/>
        <w:gridCol w:w="36"/>
        <w:gridCol w:w="36"/>
        <w:gridCol w:w="36"/>
        <w:gridCol w:w="110"/>
        <w:gridCol w:w="630"/>
        <w:gridCol w:w="36"/>
        <w:gridCol w:w="36"/>
        <w:gridCol w:w="36"/>
        <w:gridCol w:w="36"/>
        <w:gridCol w:w="110"/>
        <w:gridCol w:w="630"/>
        <w:gridCol w:w="36"/>
        <w:gridCol w:w="36"/>
        <w:gridCol w:w="36"/>
        <w:gridCol w:w="36"/>
        <w:gridCol w:w="111"/>
        <w:gridCol w:w="651"/>
        <w:gridCol w:w="36"/>
        <w:gridCol w:w="36"/>
        <w:gridCol w:w="36"/>
        <w:gridCol w:w="36"/>
        <w:gridCol w:w="110"/>
        <w:gridCol w:w="630"/>
        <w:gridCol w:w="36"/>
      </w:tblGrid>
      <w:tr w:rsidR="00000000" w14:paraId="0A80131B" w14:textId="77777777">
        <w:trPr>
          <w:divId w:val="881408822"/>
        </w:trPr>
        <w:tc>
          <w:tcPr>
            <w:tcW w:w="50" w:type="pct"/>
            <w:vAlign w:val="center"/>
            <w:hideMark/>
          </w:tcPr>
          <w:p w14:paraId="703ADDE9" w14:textId="77777777" w:rsidR="00000000" w:rsidRDefault="00405D16">
            <w:pPr>
              <w:rPr>
                <w:rFonts w:eastAsia="Times New Roman"/>
              </w:rPr>
            </w:pPr>
          </w:p>
        </w:tc>
        <w:tc>
          <w:tcPr>
            <w:tcW w:w="2261" w:type="pct"/>
            <w:vAlign w:val="center"/>
            <w:hideMark/>
          </w:tcPr>
          <w:p w14:paraId="1D601DAC" w14:textId="77777777" w:rsidR="00000000" w:rsidRDefault="00405D16">
            <w:pPr>
              <w:spacing w:after="100"/>
              <w:rPr>
                <w:rFonts w:eastAsia="Times New Roman"/>
                <w:sz w:val="20"/>
                <w:szCs w:val="20"/>
              </w:rPr>
            </w:pPr>
          </w:p>
        </w:tc>
        <w:tc>
          <w:tcPr>
            <w:tcW w:w="5" w:type="pct"/>
            <w:vAlign w:val="center"/>
            <w:hideMark/>
          </w:tcPr>
          <w:p w14:paraId="0B5F03DD" w14:textId="77777777" w:rsidR="00000000" w:rsidRDefault="00405D16">
            <w:pPr>
              <w:spacing w:after="100"/>
              <w:rPr>
                <w:rFonts w:eastAsia="Times New Roman"/>
                <w:sz w:val="20"/>
                <w:szCs w:val="20"/>
              </w:rPr>
            </w:pPr>
          </w:p>
        </w:tc>
        <w:tc>
          <w:tcPr>
            <w:tcW w:w="5" w:type="pct"/>
            <w:vAlign w:val="center"/>
            <w:hideMark/>
          </w:tcPr>
          <w:p w14:paraId="5723E77C" w14:textId="77777777" w:rsidR="00000000" w:rsidRDefault="00405D16">
            <w:pPr>
              <w:spacing w:after="100"/>
              <w:rPr>
                <w:rFonts w:eastAsia="Times New Roman"/>
                <w:sz w:val="20"/>
                <w:szCs w:val="20"/>
              </w:rPr>
            </w:pPr>
          </w:p>
        </w:tc>
        <w:tc>
          <w:tcPr>
            <w:tcW w:w="26" w:type="pct"/>
            <w:vAlign w:val="center"/>
            <w:hideMark/>
          </w:tcPr>
          <w:p w14:paraId="177474B7" w14:textId="77777777" w:rsidR="00000000" w:rsidRDefault="00405D16">
            <w:pPr>
              <w:spacing w:after="100"/>
              <w:rPr>
                <w:rFonts w:eastAsia="Times New Roman"/>
                <w:sz w:val="20"/>
                <w:szCs w:val="20"/>
              </w:rPr>
            </w:pPr>
          </w:p>
        </w:tc>
        <w:tc>
          <w:tcPr>
            <w:tcW w:w="5" w:type="pct"/>
            <w:vAlign w:val="center"/>
            <w:hideMark/>
          </w:tcPr>
          <w:p w14:paraId="69AE3CD6" w14:textId="77777777" w:rsidR="00000000" w:rsidRDefault="00405D16">
            <w:pPr>
              <w:spacing w:after="100"/>
              <w:rPr>
                <w:rFonts w:eastAsia="Times New Roman"/>
                <w:sz w:val="20"/>
                <w:szCs w:val="20"/>
              </w:rPr>
            </w:pPr>
          </w:p>
        </w:tc>
        <w:tc>
          <w:tcPr>
            <w:tcW w:w="50" w:type="pct"/>
            <w:vAlign w:val="center"/>
            <w:hideMark/>
          </w:tcPr>
          <w:p w14:paraId="5C60CBF6" w14:textId="77777777" w:rsidR="00000000" w:rsidRDefault="00405D16">
            <w:pPr>
              <w:spacing w:after="100"/>
              <w:rPr>
                <w:rFonts w:eastAsia="Times New Roman"/>
                <w:sz w:val="20"/>
                <w:szCs w:val="20"/>
              </w:rPr>
            </w:pPr>
          </w:p>
        </w:tc>
        <w:tc>
          <w:tcPr>
            <w:tcW w:w="355" w:type="pct"/>
            <w:vAlign w:val="center"/>
            <w:hideMark/>
          </w:tcPr>
          <w:p w14:paraId="087D7DA1" w14:textId="77777777" w:rsidR="00000000" w:rsidRDefault="00405D16">
            <w:pPr>
              <w:spacing w:after="100"/>
              <w:rPr>
                <w:rFonts w:eastAsia="Times New Roman"/>
                <w:sz w:val="20"/>
                <w:szCs w:val="20"/>
              </w:rPr>
            </w:pPr>
          </w:p>
        </w:tc>
        <w:tc>
          <w:tcPr>
            <w:tcW w:w="5" w:type="pct"/>
            <w:vAlign w:val="center"/>
            <w:hideMark/>
          </w:tcPr>
          <w:p w14:paraId="5149341F" w14:textId="77777777" w:rsidR="00000000" w:rsidRDefault="00405D16">
            <w:pPr>
              <w:spacing w:after="100"/>
              <w:rPr>
                <w:rFonts w:eastAsia="Times New Roman"/>
                <w:sz w:val="20"/>
                <w:szCs w:val="20"/>
              </w:rPr>
            </w:pPr>
          </w:p>
        </w:tc>
        <w:tc>
          <w:tcPr>
            <w:tcW w:w="5" w:type="pct"/>
            <w:vAlign w:val="center"/>
            <w:hideMark/>
          </w:tcPr>
          <w:p w14:paraId="006170AB" w14:textId="77777777" w:rsidR="00000000" w:rsidRDefault="00405D16">
            <w:pPr>
              <w:spacing w:after="100"/>
              <w:rPr>
                <w:rFonts w:eastAsia="Times New Roman"/>
                <w:sz w:val="20"/>
                <w:szCs w:val="20"/>
              </w:rPr>
            </w:pPr>
          </w:p>
        </w:tc>
        <w:tc>
          <w:tcPr>
            <w:tcW w:w="26" w:type="pct"/>
            <w:vAlign w:val="center"/>
            <w:hideMark/>
          </w:tcPr>
          <w:p w14:paraId="352BF6B6" w14:textId="77777777" w:rsidR="00000000" w:rsidRDefault="00405D16">
            <w:pPr>
              <w:spacing w:after="100"/>
              <w:rPr>
                <w:rFonts w:eastAsia="Times New Roman"/>
                <w:sz w:val="20"/>
                <w:szCs w:val="20"/>
              </w:rPr>
            </w:pPr>
          </w:p>
        </w:tc>
        <w:tc>
          <w:tcPr>
            <w:tcW w:w="5" w:type="pct"/>
            <w:vAlign w:val="center"/>
            <w:hideMark/>
          </w:tcPr>
          <w:p w14:paraId="72A46C7F" w14:textId="77777777" w:rsidR="00000000" w:rsidRDefault="00405D16">
            <w:pPr>
              <w:spacing w:after="100"/>
              <w:rPr>
                <w:rFonts w:eastAsia="Times New Roman"/>
                <w:sz w:val="20"/>
                <w:szCs w:val="20"/>
              </w:rPr>
            </w:pPr>
          </w:p>
        </w:tc>
        <w:tc>
          <w:tcPr>
            <w:tcW w:w="50" w:type="pct"/>
            <w:vAlign w:val="center"/>
            <w:hideMark/>
          </w:tcPr>
          <w:p w14:paraId="28E33E32" w14:textId="77777777" w:rsidR="00000000" w:rsidRDefault="00405D16">
            <w:pPr>
              <w:spacing w:after="100"/>
              <w:rPr>
                <w:rFonts w:eastAsia="Times New Roman"/>
                <w:sz w:val="20"/>
                <w:szCs w:val="20"/>
              </w:rPr>
            </w:pPr>
          </w:p>
        </w:tc>
        <w:tc>
          <w:tcPr>
            <w:tcW w:w="355" w:type="pct"/>
            <w:vAlign w:val="center"/>
            <w:hideMark/>
          </w:tcPr>
          <w:p w14:paraId="30D5D9F5" w14:textId="77777777" w:rsidR="00000000" w:rsidRDefault="00405D16">
            <w:pPr>
              <w:spacing w:after="100"/>
              <w:rPr>
                <w:rFonts w:eastAsia="Times New Roman"/>
                <w:sz w:val="20"/>
                <w:szCs w:val="20"/>
              </w:rPr>
            </w:pPr>
          </w:p>
        </w:tc>
        <w:tc>
          <w:tcPr>
            <w:tcW w:w="5" w:type="pct"/>
            <w:vAlign w:val="center"/>
            <w:hideMark/>
          </w:tcPr>
          <w:p w14:paraId="17176506" w14:textId="77777777" w:rsidR="00000000" w:rsidRDefault="00405D16">
            <w:pPr>
              <w:spacing w:after="100"/>
              <w:rPr>
                <w:rFonts w:eastAsia="Times New Roman"/>
                <w:sz w:val="20"/>
                <w:szCs w:val="20"/>
              </w:rPr>
            </w:pPr>
          </w:p>
        </w:tc>
        <w:tc>
          <w:tcPr>
            <w:tcW w:w="5" w:type="pct"/>
            <w:vAlign w:val="center"/>
            <w:hideMark/>
          </w:tcPr>
          <w:p w14:paraId="778B428F" w14:textId="77777777" w:rsidR="00000000" w:rsidRDefault="00405D16">
            <w:pPr>
              <w:spacing w:after="100"/>
              <w:rPr>
                <w:rFonts w:eastAsia="Times New Roman"/>
                <w:sz w:val="20"/>
                <w:szCs w:val="20"/>
              </w:rPr>
            </w:pPr>
          </w:p>
        </w:tc>
        <w:tc>
          <w:tcPr>
            <w:tcW w:w="26" w:type="pct"/>
            <w:vAlign w:val="center"/>
            <w:hideMark/>
          </w:tcPr>
          <w:p w14:paraId="34856EAC" w14:textId="77777777" w:rsidR="00000000" w:rsidRDefault="00405D16">
            <w:pPr>
              <w:spacing w:after="100"/>
              <w:rPr>
                <w:rFonts w:eastAsia="Times New Roman"/>
                <w:sz w:val="20"/>
                <w:szCs w:val="20"/>
              </w:rPr>
            </w:pPr>
          </w:p>
        </w:tc>
        <w:tc>
          <w:tcPr>
            <w:tcW w:w="5" w:type="pct"/>
            <w:vAlign w:val="center"/>
            <w:hideMark/>
          </w:tcPr>
          <w:p w14:paraId="7DF386BC" w14:textId="77777777" w:rsidR="00000000" w:rsidRDefault="00405D16">
            <w:pPr>
              <w:spacing w:after="100"/>
              <w:rPr>
                <w:rFonts w:eastAsia="Times New Roman"/>
                <w:sz w:val="20"/>
                <w:szCs w:val="20"/>
              </w:rPr>
            </w:pPr>
          </w:p>
        </w:tc>
        <w:tc>
          <w:tcPr>
            <w:tcW w:w="50" w:type="pct"/>
            <w:vAlign w:val="center"/>
            <w:hideMark/>
          </w:tcPr>
          <w:p w14:paraId="0284DABA" w14:textId="77777777" w:rsidR="00000000" w:rsidRDefault="00405D16">
            <w:pPr>
              <w:spacing w:after="100"/>
              <w:rPr>
                <w:rFonts w:eastAsia="Times New Roman"/>
                <w:sz w:val="20"/>
                <w:szCs w:val="20"/>
              </w:rPr>
            </w:pPr>
          </w:p>
        </w:tc>
        <w:tc>
          <w:tcPr>
            <w:tcW w:w="355" w:type="pct"/>
            <w:vAlign w:val="center"/>
            <w:hideMark/>
          </w:tcPr>
          <w:p w14:paraId="3DC7D1EF" w14:textId="77777777" w:rsidR="00000000" w:rsidRDefault="00405D16">
            <w:pPr>
              <w:spacing w:after="100"/>
              <w:rPr>
                <w:rFonts w:eastAsia="Times New Roman"/>
                <w:sz w:val="20"/>
                <w:szCs w:val="20"/>
              </w:rPr>
            </w:pPr>
          </w:p>
        </w:tc>
        <w:tc>
          <w:tcPr>
            <w:tcW w:w="5" w:type="pct"/>
            <w:vAlign w:val="center"/>
            <w:hideMark/>
          </w:tcPr>
          <w:p w14:paraId="35CD98CA" w14:textId="77777777" w:rsidR="00000000" w:rsidRDefault="00405D16">
            <w:pPr>
              <w:spacing w:after="100"/>
              <w:rPr>
                <w:rFonts w:eastAsia="Times New Roman"/>
                <w:sz w:val="20"/>
                <w:szCs w:val="20"/>
              </w:rPr>
            </w:pPr>
          </w:p>
        </w:tc>
        <w:tc>
          <w:tcPr>
            <w:tcW w:w="5" w:type="pct"/>
            <w:vAlign w:val="center"/>
            <w:hideMark/>
          </w:tcPr>
          <w:p w14:paraId="2B6B5B7F" w14:textId="77777777" w:rsidR="00000000" w:rsidRDefault="00405D16">
            <w:pPr>
              <w:spacing w:after="100"/>
              <w:rPr>
                <w:rFonts w:eastAsia="Times New Roman"/>
                <w:sz w:val="20"/>
                <w:szCs w:val="20"/>
              </w:rPr>
            </w:pPr>
          </w:p>
        </w:tc>
        <w:tc>
          <w:tcPr>
            <w:tcW w:w="26" w:type="pct"/>
            <w:vAlign w:val="center"/>
            <w:hideMark/>
          </w:tcPr>
          <w:p w14:paraId="50A1D002" w14:textId="77777777" w:rsidR="00000000" w:rsidRDefault="00405D16">
            <w:pPr>
              <w:spacing w:after="100"/>
              <w:rPr>
                <w:rFonts w:eastAsia="Times New Roman"/>
                <w:sz w:val="20"/>
                <w:szCs w:val="20"/>
              </w:rPr>
            </w:pPr>
          </w:p>
        </w:tc>
        <w:tc>
          <w:tcPr>
            <w:tcW w:w="5" w:type="pct"/>
            <w:vAlign w:val="center"/>
            <w:hideMark/>
          </w:tcPr>
          <w:p w14:paraId="6AB5B165" w14:textId="77777777" w:rsidR="00000000" w:rsidRDefault="00405D16">
            <w:pPr>
              <w:spacing w:after="100"/>
              <w:rPr>
                <w:rFonts w:eastAsia="Times New Roman"/>
                <w:sz w:val="20"/>
                <w:szCs w:val="20"/>
              </w:rPr>
            </w:pPr>
          </w:p>
        </w:tc>
        <w:tc>
          <w:tcPr>
            <w:tcW w:w="50" w:type="pct"/>
            <w:vAlign w:val="center"/>
            <w:hideMark/>
          </w:tcPr>
          <w:p w14:paraId="57635345" w14:textId="77777777" w:rsidR="00000000" w:rsidRDefault="00405D16">
            <w:pPr>
              <w:spacing w:after="100"/>
              <w:rPr>
                <w:rFonts w:eastAsia="Times New Roman"/>
                <w:sz w:val="20"/>
                <w:szCs w:val="20"/>
              </w:rPr>
            </w:pPr>
          </w:p>
        </w:tc>
        <w:tc>
          <w:tcPr>
            <w:tcW w:w="355" w:type="pct"/>
            <w:vAlign w:val="center"/>
            <w:hideMark/>
          </w:tcPr>
          <w:p w14:paraId="187E6745" w14:textId="77777777" w:rsidR="00000000" w:rsidRDefault="00405D16">
            <w:pPr>
              <w:spacing w:after="100"/>
              <w:rPr>
                <w:rFonts w:eastAsia="Times New Roman"/>
                <w:sz w:val="20"/>
                <w:szCs w:val="20"/>
              </w:rPr>
            </w:pPr>
          </w:p>
        </w:tc>
        <w:tc>
          <w:tcPr>
            <w:tcW w:w="5" w:type="pct"/>
            <w:vAlign w:val="center"/>
            <w:hideMark/>
          </w:tcPr>
          <w:p w14:paraId="444C7671" w14:textId="77777777" w:rsidR="00000000" w:rsidRDefault="00405D16">
            <w:pPr>
              <w:spacing w:after="100"/>
              <w:rPr>
                <w:rFonts w:eastAsia="Times New Roman"/>
                <w:sz w:val="20"/>
                <w:szCs w:val="20"/>
              </w:rPr>
            </w:pPr>
          </w:p>
        </w:tc>
        <w:tc>
          <w:tcPr>
            <w:tcW w:w="5" w:type="pct"/>
            <w:vAlign w:val="center"/>
            <w:hideMark/>
          </w:tcPr>
          <w:p w14:paraId="4468A59E" w14:textId="77777777" w:rsidR="00000000" w:rsidRDefault="00405D16">
            <w:pPr>
              <w:spacing w:after="100"/>
              <w:rPr>
                <w:rFonts w:eastAsia="Times New Roman"/>
                <w:sz w:val="20"/>
                <w:szCs w:val="20"/>
              </w:rPr>
            </w:pPr>
          </w:p>
        </w:tc>
        <w:tc>
          <w:tcPr>
            <w:tcW w:w="26" w:type="pct"/>
            <w:vAlign w:val="center"/>
            <w:hideMark/>
          </w:tcPr>
          <w:p w14:paraId="7DA66CB2" w14:textId="77777777" w:rsidR="00000000" w:rsidRDefault="00405D16">
            <w:pPr>
              <w:spacing w:after="100"/>
              <w:rPr>
                <w:rFonts w:eastAsia="Times New Roman"/>
                <w:sz w:val="20"/>
                <w:szCs w:val="20"/>
              </w:rPr>
            </w:pPr>
          </w:p>
        </w:tc>
        <w:tc>
          <w:tcPr>
            <w:tcW w:w="5" w:type="pct"/>
            <w:vAlign w:val="center"/>
            <w:hideMark/>
          </w:tcPr>
          <w:p w14:paraId="74A4E1BF" w14:textId="77777777" w:rsidR="00000000" w:rsidRDefault="00405D16">
            <w:pPr>
              <w:spacing w:after="100"/>
              <w:rPr>
                <w:rFonts w:eastAsia="Times New Roman"/>
                <w:sz w:val="20"/>
                <w:szCs w:val="20"/>
              </w:rPr>
            </w:pPr>
          </w:p>
        </w:tc>
        <w:tc>
          <w:tcPr>
            <w:tcW w:w="50" w:type="pct"/>
            <w:vAlign w:val="center"/>
            <w:hideMark/>
          </w:tcPr>
          <w:p w14:paraId="74754A9A" w14:textId="77777777" w:rsidR="00000000" w:rsidRDefault="00405D16">
            <w:pPr>
              <w:spacing w:after="100"/>
              <w:rPr>
                <w:rFonts w:eastAsia="Times New Roman"/>
                <w:sz w:val="20"/>
                <w:szCs w:val="20"/>
              </w:rPr>
            </w:pPr>
          </w:p>
        </w:tc>
        <w:tc>
          <w:tcPr>
            <w:tcW w:w="355" w:type="pct"/>
            <w:vAlign w:val="center"/>
            <w:hideMark/>
          </w:tcPr>
          <w:p w14:paraId="52BBFDA4" w14:textId="77777777" w:rsidR="00000000" w:rsidRDefault="00405D16">
            <w:pPr>
              <w:spacing w:after="100"/>
              <w:rPr>
                <w:rFonts w:eastAsia="Times New Roman"/>
                <w:sz w:val="20"/>
                <w:szCs w:val="20"/>
              </w:rPr>
            </w:pPr>
          </w:p>
        </w:tc>
        <w:tc>
          <w:tcPr>
            <w:tcW w:w="5" w:type="pct"/>
            <w:vAlign w:val="center"/>
            <w:hideMark/>
          </w:tcPr>
          <w:p w14:paraId="10FE549F" w14:textId="77777777" w:rsidR="00000000" w:rsidRDefault="00405D16">
            <w:pPr>
              <w:spacing w:after="100"/>
              <w:rPr>
                <w:rFonts w:eastAsia="Times New Roman"/>
                <w:sz w:val="20"/>
                <w:szCs w:val="20"/>
              </w:rPr>
            </w:pPr>
          </w:p>
        </w:tc>
        <w:tc>
          <w:tcPr>
            <w:tcW w:w="5" w:type="pct"/>
            <w:vAlign w:val="center"/>
            <w:hideMark/>
          </w:tcPr>
          <w:p w14:paraId="08011BA7" w14:textId="77777777" w:rsidR="00000000" w:rsidRDefault="00405D16">
            <w:pPr>
              <w:spacing w:after="100"/>
              <w:rPr>
                <w:rFonts w:eastAsia="Times New Roman"/>
                <w:sz w:val="20"/>
                <w:szCs w:val="20"/>
              </w:rPr>
            </w:pPr>
          </w:p>
        </w:tc>
        <w:tc>
          <w:tcPr>
            <w:tcW w:w="26" w:type="pct"/>
            <w:vAlign w:val="center"/>
            <w:hideMark/>
          </w:tcPr>
          <w:p w14:paraId="2D8E7883" w14:textId="77777777" w:rsidR="00000000" w:rsidRDefault="00405D16">
            <w:pPr>
              <w:spacing w:after="100"/>
              <w:rPr>
                <w:rFonts w:eastAsia="Times New Roman"/>
                <w:sz w:val="20"/>
                <w:szCs w:val="20"/>
              </w:rPr>
            </w:pPr>
          </w:p>
        </w:tc>
        <w:tc>
          <w:tcPr>
            <w:tcW w:w="5" w:type="pct"/>
            <w:vAlign w:val="center"/>
            <w:hideMark/>
          </w:tcPr>
          <w:p w14:paraId="4DB1FED3" w14:textId="77777777" w:rsidR="00000000" w:rsidRDefault="00405D16">
            <w:pPr>
              <w:spacing w:after="100"/>
              <w:rPr>
                <w:rFonts w:eastAsia="Times New Roman"/>
                <w:sz w:val="20"/>
                <w:szCs w:val="20"/>
              </w:rPr>
            </w:pPr>
          </w:p>
        </w:tc>
        <w:tc>
          <w:tcPr>
            <w:tcW w:w="50" w:type="pct"/>
            <w:vAlign w:val="center"/>
            <w:hideMark/>
          </w:tcPr>
          <w:p w14:paraId="4089B833" w14:textId="77777777" w:rsidR="00000000" w:rsidRDefault="00405D16">
            <w:pPr>
              <w:spacing w:after="100"/>
              <w:rPr>
                <w:rFonts w:eastAsia="Times New Roman"/>
                <w:sz w:val="20"/>
                <w:szCs w:val="20"/>
              </w:rPr>
            </w:pPr>
          </w:p>
        </w:tc>
        <w:tc>
          <w:tcPr>
            <w:tcW w:w="355" w:type="pct"/>
            <w:vAlign w:val="center"/>
            <w:hideMark/>
          </w:tcPr>
          <w:p w14:paraId="7E6C444E" w14:textId="77777777" w:rsidR="00000000" w:rsidRDefault="00405D16">
            <w:pPr>
              <w:spacing w:after="100"/>
              <w:rPr>
                <w:rFonts w:eastAsia="Times New Roman"/>
                <w:sz w:val="20"/>
                <w:szCs w:val="20"/>
              </w:rPr>
            </w:pPr>
          </w:p>
        </w:tc>
        <w:tc>
          <w:tcPr>
            <w:tcW w:w="5" w:type="pct"/>
            <w:vAlign w:val="center"/>
            <w:hideMark/>
          </w:tcPr>
          <w:p w14:paraId="1A8564FE" w14:textId="77777777" w:rsidR="00000000" w:rsidRDefault="00405D16">
            <w:pPr>
              <w:spacing w:after="100"/>
              <w:rPr>
                <w:rFonts w:eastAsia="Times New Roman"/>
                <w:sz w:val="20"/>
                <w:szCs w:val="20"/>
              </w:rPr>
            </w:pPr>
          </w:p>
        </w:tc>
      </w:tr>
      <w:tr w:rsidR="00000000" w14:paraId="50A720B2" w14:textId="77777777">
        <w:trPr>
          <w:divId w:val="881408822"/>
        </w:trPr>
        <w:tc>
          <w:tcPr>
            <w:tcW w:w="0" w:type="auto"/>
            <w:gridSpan w:val="3"/>
            <w:tcMar>
              <w:top w:w="30" w:type="dxa"/>
              <w:left w:w="20" w:type="dxa"/>
              <w:bottom w:w="30" w:type="dxa"/>
              <w:right w:w="20" w:type="dxa"/>
            </w:tcMar>
            <w:vAlign w:val="bottom"/>
            <w:hideMark/>
          </w:tcPr>
          <w:p w14:paraId="6E69BA70"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9224D67" w14:textId="77777777" w:rsidR="00000000" w:rsidRDefault="00405D16">
            <w:pPr>
              <w:spacing w:after="100"/>
              <w:rPr>
                <w:rFonts w:eastAsia="Times New Roman"/>
              </w:rPr>
            </w:pPr>
          </w:p>
        </w:tc>
        <w:tc>
          <w:tcPr>
            <w:tcW w:w="0" w:type="auto"/>
            <w:gridSpan w:val="15"/>
            <w:tcMar>
              <w:top w:w="30" w:type="dxa"/>
              <w:left w:w="20" w:type="dxa"/>
              <w:bottom w:w="30" w:type="dxa"/>
              <w:right w:w="20" w:type="dxa"/>
            </w:tcMar>
            <w:vAlign w:val="bottom"/>
            <w:hideMark/>
          </w:tcPr>
          <w:p w14:paraId="640045DA" w14:textId="77777777" w:rsidR="00000000" w:rsidRDefault="00405D16">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14:paraId="7984A970" w14:textId="77777777" w:rsidR="00000000" w:rsidRDefault="00405D16">
            <w:pPr>
              <w:spacing w:after="100"/>
              <w:jc w:val="center"/>
              <w:rPr>
                <w:rFonts w:eastAsia="Times New Roman"/>
              </w:rPr>
            </w:pPr>
          </w:p>
        </w:tc>
        <w:tc>
          <w:tcPr>
            <w:tcW w:w="0" w:type="auto"/>
            <w:gridSpan w:val="15"/>
            <w:tcMar>
              <w:top w:w="30" w:type="dxa"/>
              <w:left w:w="20" w:type="dxa"/>
              <w:bottom w:w="30" w:type="dxa"/>
              <w:right w:w="20" w:type="dxa"/>
            </w:tcMar>
            <w:vAlign w:val="bottom"/>
            <w:hideMark/>
          </w:tcPr>
          <w:p w14:paraId="71652771" w14:textId="77777777" w:rsidR="00000000" w:rsidRDefault="00405D16">
            <w:pPr>
              <w:spacing w:after="100"/>
              <w:jc w:val="center"/>
              <w:rPr>
                <w:rFonts w:eastAsia="Times New Roman"/>
              </w:rPr>
            </w:pPr>
            <w:r>
              <w:rPr>
                <w:rFonts w:eastAsia="Times New Roman"/>
                <w:b/>
                <w:bCs/>
                <w:color w:val="000000"/>
                <w:sz w:val="16"/>
                <w:szCs w:val="16"/>
              </w:rPr>
              <w:t>December 31, 2020</w:t>
            </w:r>
          </w:p>
        </w:tc>
      </w:tr>
      <w:tr w:rsidR="00000000" w14:paraId="3CD3F1DA" w14:textId="77777777">
        <w:trPr>
          <w:divId w:val="881408822"/>
        </w:trPr>
        <w:tc>
          <w:tcPr>
            <w:tcW w:w="0" w:type="auto"/>
            <w:gridSpan w:val="3"/>
            <w:tcMar>
              <w:top w:w="30" w:type="dxa"/>
              <w:left w:w="20" w:type="dxa"/>
              <w:bottom w:w="30" w:type="dxa"/>
              <w:right w:w="20" w:type="dxa"/>
            </w:tcMar>
            <w:vAlign w:val="bottom"/>
            <w:hideMark/>
          </w:tcPr>
          <w:p w14:paraId="369E363D"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6E939960"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F6FE233" w14:textId="77777777" w:rsidR="00000000" w:rsidRDefault="00405D16">
            <w:pPr>
              <w:spacing w:after="100"/>
              <w:jc w:val="center"/>
              <w:rPr>
                <w:rFonts w:eastAsia="Times New Roman"/>
              </w:rPr>
            </w:pPr>
            <w:r>
              <w:rPr>
                <w:rFonts w:eastAsia="Times New Roman"/>
                <w:b/>
                <w:bCs/>
                <w:color w:val="000000"/>
                <w:sz w:val="16"/>
                <w:szCs w:val="16"/>
              </w:rPr>
              <w:t>Loans</w:t>
            </w:r>
          </w:p>
        </w:tc>
        <w:tc>
          <w:tcPr>
            <w:tcW w:w="0" w:type="auto"/>
            <w:gridSpan w:val="3"/>
            <w:tcBorders>
              <w:top w:val="single" w:sz="8" w:space="0" w:color="000000"/>
            </w:tcBorders>
            <w:tcMar>
              <w:top w:w="0" w:type="dxa"/>
              <w:left w:w="20" w:type="dxa"/>
              <w:bottom w:w="0" w:type="dxa"/>
              <w:right w:w="20" w:type="dxa"/>
            </w:tcMar>
            <w:vAlign w:val="center"/>
            <w:hideMark/>
          </w:tcPr>
          <w:p w14:paraId="72458EC6"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183305F" w14:textId="77777777" w:rsidR="00000000" w:rsidRDefault="00405D16">
            <w:pPr>
              <w:spacing w:after="100"/>
              <w:jc w:val="center"/>
              <w:rPr>
                <w:rFonts w:eastAsia="Times New Roman"/>
              </w:rPr>
            </w:pPr>
            <w:r>
              <w:rPr>
                <w:rFonts w:eastAsia="Times New Roman"/>
                <w:b/>
                <w:bCs/>
                <w:color w:val="000000"/>
                <w:sz w:val="16"/>
                <w:szCs w:val="16"/>
              </w:rPr>
              <w:t>Allowance</w:t>
            </w:r>
          </w:p>
        </w:tc>
        <w:tc>
          <w:tcPr>
            <w:tcW w:w="0" w:type="auto"/>
            <w:gridSpan w:val="3"/>
            <w:tcBorders>
              <w:top w:val="single" w:sz="8" w:space="0" w:color="000000"/>
            </w:tcBorders>
            <w:tcMar>
              <w:top w:w="0" w:type="dxa"/>
              <w:left w:w="20" w:type="dxa"/>
              <w:bottom w:w="0" w:type="dxa"/>
              <w:right w:w="20" w:type="dxa"/>
            </w:tcMar>
            <w:vAlign w:val="center"/>
            <w:hideMark/>
          </w:tcPr>
          <w:p w14:paraId="50E3A2D3"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7EA4B4C" w14:textId="77777777" w:rsidR="00000000" w:rsidRDefault="00405D16">
            <w:pPr>
              <w:spacing w:after="100"/>
              <w:jc w:val="center"/>
              <w:rPr>
                <w:rFonts w:eastAsia="Times New Roman"/>
              </w:rPr>
            </w:pPr>
            <w:r>
              <w:rPr>
                <w:rFonts w:eastAsia="Times New Roman"/>
                <w:b/>
                <w:bCs/>
                <w:color w:val="000000"/>
                <w:sz w:val="16"/>
                <w:szCs w:val="16"/>
              </w:rPr>
              <w:t>Net Loans</w:t>
            </w:r>
          </w:p>
        </w:tc>
        <w:tc>
          <w:tcPr>
            <w:tcW w:w="0" w:type="auto"/>
            <w:gridSpan w:val="3"/>
            <w:tcMar>
              <w:top w:w="0" w:type="dxa"/>
              <w:left w:w="20" w:type="dxa"/>
              <w:bottom w:w="0" w:type="dxa"/>
              <w:right w:w="20" w:type="dxa"/>
            </w:tcMar>
            <w:vAlign w:val="center"/>
            <w:hideMark/>
          </w:tcPr>
          <w:p w14:paraId="025789DD"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350A24C" w14:textId="77777777" w:rsidR="00000000" w:rsidRDefault="00405D16">
            <w:pPr>
              <w:spacing w:after="100"/>
              <w:jc w:val="center"/>
              <w:rPr>
                <w:rFonts w:eastAsia="Times New Roman"/>
              </w:rPr>
            </w:pPr>
            <w:r>
              <w:rPr>
                <w:rFonts w:eastAsia="Times New Roman"/>
                <w:b/>
                <w:bCs/>
                <w:color w:val="000000"/>
                <w:sz w:val="16"/>
                <w:szCs w:val="16"/>
              </w:rPr>
              <w:t>Loans</w:t>
            </w:r>
          </w:p>
        </w:tc>
        <w:tc>
          <w:tcPr>
            <w:tcW w:w="0" w:type="auto"/>
            <w:gridSpan w:val="3"/>
            <w:tcBorders>
              <w:top w:val="single" w:sz="8" w:space="0" w:color="000000"/>
            </w:tcBorders>
            <w:tcMar>
              <w:top w:w="0" w:type="dxa"/>
              <w:left w:w="20" w:type="dxa"/>
              <w:bottom w:w="0" w:type="dxa"/>
              <w:right w:w="20" w:type="dxa"/>
            </w:tcMar>
            <w:vAlign w:val="center"/>
            <w:hideMark/>
          </w:tcPr>
          <w:p w14:paraId="776F3498"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041AD39" w14:textId="77777777" w:rsidR="00000000" w:rsidRDefault="00405D16">
            <w:pPr>
              <w:spacing w:after="100"/>
              <w:jc w:val="center"/>
              <w:rPr>
                <w:rFonts w:eastAsia="Times New Roman"/>
              </w:rPr>
            </w:pPr>
            <w:r>
              <w:rPr>
                <w:rFonts w:eastAsia="Times New Roman"/>
                <w:b/>
                <w:bCs/>
                <w:color w:val="000000"/>
                <w:sz w:val="16"/>
                <w:szCs w:val="16"/>
              </w:rPr>
              <w:t>Allowance</w:t>
            </w:r>
          </w:p>
        </w:tc>
        <w:tc>
          <w:tcPr>
            <w:tcW w:w="0" w:type="auto"/>
            <w:gridSpan w:val="3"/>
            <w:tcBorders>
              <w:top w:val="single" w:sz="8" w:space="0" w:color="000000"/>
            </w:tcBorders>
            <w:tcMar>
              <w:top w:w="0" w:type="dxa"/>
              <w:left w:w="20" w:type="dxa"/>
              <w:bottom w:w="0" w:type="dxa"/>
              <w:right w:w="20" w:type="dxa"/>
            </w:tcMar>
            <w:vAlign w:val="center"/>
            <w:hideMark/>
          </w:tcPr>
          <w:p w14:paraId="729F1CE0"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D23ADEB" w14:textId="77777777" w:rsidR="00000000" w:rsidRDefault="00405D16">
            <w:pPr>
              <w:spacing w:after="100"/>
              <w:jc w:val="center"/>
              <w:rPr>
                <w:rFonts w:eastAsia="Times New Roman"/>
              </w:rPr>
            </w:pPr>
            <w:r>
              <w:rPr>
                <w:rFonts w:eastAsia="Times New Roman"/>
                <w:b/>
                <w:bCs/>
                <w:color w:val="000000"/>
                <w:sz w:val="16"/>
                <w:szCs w:val="16"/>
              </w:rPr>
              <w:t>Net Loans</w:t>
            </w:r>
          </w:p>
        </w:tc>
      </w:tr>
      <w:tr w:rsidR="00000000" w14:paraId="69B6B845" w14:textId="77777777">
        <w:trPr>
          <w:divId w:val="88140882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9F21E19" w14:textId="77777777" w:rsidR="00000000" w:rsidRDefault="00405D16">
            <w:pPr>
              <w:spacing w:after="100"/>
              <w:rPr>
                <w:rFonts w:eastAsia="Times New Roman"/>
              </w:rPr>
            </w:pPr>
            <w:r>
              <w:rPr>
                <w:rFonts w:eastAsia="Times New Roman"/>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14:paraId="4879801F"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834F355"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2680E6C" w14:textId="77777777" w:rsidR="00000000" w:rsidRDefault="00405D16">
            <w:pPr>
              <w:spacing w:after="100"/>
              <w:jc w:val="right"/>
              <w:rPr>
                <w:rFonts w:eastAsia="Times New Roman"/>
              </w:rPr>
            </w:pPr>
            <w:r>
              <w:rPr>
                <w:rFonts w:eastAsia="Times New Roman"/>
                <w:b/>
                <w:bCs/>
                <w:color w:val="000000"/>
                <w:sz w:val="18"/>
                <w:szCs w:val="18"/>
              </w:rPr>
              <w:t>105,030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CFE198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263726"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41E5DE2"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C047FF8" w14:textId="77777777" w:rsidR="00000000" w:rsidRDefault="00405D16">
            <w:pPr>
              <w:spacing w:after="100"/>
              <w:jc w:val="right"/>
              <w:rPr>
                <w:rFonts w:eastAsia="Times New Roman"/>
              </w:rPr>
            </w:pPr>
            <w:r>
              <w:rPr>
                <w:rFonts w:eastAsia="Times New Roman"/>
                <w:b/>
                <w:bCs/>
                <w:color w:val="000000"/>
                <w:sz w:val="18"/>
                <w:szCs w:val="18"/>
              </w:rPr>
              <w:t>8,306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3AE10E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CB5686"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EC2F5AC"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8579AA8" w14:textId="77777777" w:rsidR="00000000" w:rsidRDefault="00405D16">
            <w:pPr>
              <w:spacing w:after="100"/>
              <w:jc w:val="right"/>
              <w:rPr>
                <w:rFonts w:eastAsia="Times New Roman"/>
              </w:rPr>
            </w:pPr>
            <w:r>
              <w:rPr>
                <w:rFonts w:eastAsia="Times New Roman"/>
                <w:b/>
                <w:bCs/>
                <w:color w:val="000000"/>
                <w:sz w:val="18"/>
                <w:szCs w:val="18"/>
              </w:rPr>
              <w:t>96,724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3D4EA5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2EADC5"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BCD582D" w14:textId="77777777" w:rsidR="00000000" w:rsidRDefault="00405D16">
            <w:pPr>
              <w:spacing w:after="100"/>
              <w:rPr>
                <w:rFonts w:eastAsia="Times New Roman"/>
              </w:rPr>
            </w:pPr>
            <w:r>
              <w:rPr>
                <w:rFonts w:eastAsia="Times New Roman"/>
                <w:color w:val="2C2C2C"/>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FBC889F" w14:textId="77777777" w:rsidR="00000000" w:rsidRDefault="00405D16">
            <w:pPr>
              <w:spacing w:after="100"/>
              <w:jc w:val="right"/>
              <w:rPr>
                <w:rFonts w:eastAsia="Times New Roman"/>
              </w:rPr>
            </w:pPr>
            <w:r>
              <w:rPr>
                <w:rFonts w:eastAsia="Times New Roman"/>
                <w:color w:val="2C2C2C"/>
                <w:sz w:val="18"/>
                <w:szCs w:val="18"/>
              </w:rPr>
              <w:t>106,956 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ED2002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5D6B9C"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FF5E80E" w14:textId="77777777" w:rsidR="00000000" w:rsidRDefault="00405D16">
            <w:pPr>
              <w:spacing w:after="100"/>
              <w:rPr>
                <w:rFonts w:eastAsia="Times New Roman"/>
              </w:rPr>
            </w:pPr>
            <w:r>
              <w:rPr>
                <w:rFonts w:eastAsia="Times New Roman"/>
                <w:color w:val="2C2C2C"/>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7D45D9D" w14:textId="77777777" w:rsidR="00000000" w:rsidRDefault="00405D16">
            <w:pPr>
              <w:spacing w:after="100"/>
              <w:jc w:val="right"/>
              <w:rPr>
                <w:rFonts w:eastAsia="Times New Roman"/>
              </w:rPr>
            </w:pPr>
            <w:r>
              <w:rPr>
                <w:rFonts w:eastAsia="Times New Roman"/>
                <w:color w:val="2C2C2C"/>
                <w:sz w:val="18"/>
                <w:szCs w:val="18"/>
              </w:rPr>
              <w:t>11,191 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9184BE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244D69"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FBA77FC" w14:textId="77777777" w:rsidR="00000000" w:rsidRDefault="00405D16">
            <w:pPr>
              <w:spacing w:after="100"/>
              <w:rPr>
                <w:rFonts w:eastAsia="Times New Roman"/>
              </w:rPr>
            </w:pPr>
            <w:r>
              <w:rPr>
                <w:rFonts w:eastAsia="Times New Roman"/>
                <w:color w:val="2C2C2C"/>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F99B2EC" w14:textId="77777777" w:rsidR="00000000" w:rsidRDefault="00405D16">
            <w:pPr>
              <w:spacing w:after="100"/>
              <w:jc w:val="right"/>
              <w:rPr>
                <w:rFonts w:eastAsia="Times New Roman"/>
              </w:rPr>
            </w:pPr>
            <w:r>
              <w:rPr>
                <w:rFonts w:eastAsia="Times New Roman"/>
                <w:color w:val="2C2C2C"/>
                <w:sz w:val="18"/>
                <w:szCs w:val="18"/>
              </w:rPr>
              <w:t>95,765 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671E04C" w14:textId="77777777" w:rsidR="00000000" w:rsidRDefault="00405D16">
            <w:pPr>
              <w:spacing w:after="100"/>
              <w:jc w:val="right"/>
              <w:rPr>
                <w:rFonts w:eastAsia="Times New Roman"/>
              </w:rPr>
            </w:pPr>
          </w:p>
        </w:tc>
      </w:tr>
      <w:tr w:rsidR="00000000" w14:paraId="74FF3E1D" w14:textId="77777777">
        <w:trPr>
          <w:divId w:val="881408822"/>
        </w:trPr>
        <w:tc>
          <w:tcPr>
            <w:tcW w:w="0" w:type="auto"/>
            <w:gridSpan w:val="3"/>
            <w:shd w:val="clear" w:color="auto" w:fill="FFFFFF"/>
            <w:tcMar>
              <w:top w:w="30" w:type="dxa"/>
              <w:left w:w="20" w:type="dxa"/>
              <w:bottom w:w="30" w:type="dxa"/>
              <w:right w:w="20" w:type="dxa"/>
            </w:tcMar>
            <w:vAlign w:val="center"/>
            <w:hideMark/>
          </w:tcPr>
          <w:p w14:paraId="21C82827" w14:textId="77777777" w:rsidR="00000000" w:rsidRDefault="00405D16">
            <w:pPr>
              <w:spacing w:after="100"/>
              <w:rPr>
                <w:rFonts w:eastAsia="Times New Roman"/>
              </w:rPr>
            </w:pPr>
            <w:r>
              <w:rPr>
                <w:rFonts w:eastAsia="Times New Roman"/>
                <w:color w:val="000000"/>
                <w:sz w:val="18"/>
                <w:szCs w:val="18"/>
              </w:rPr>
              <w:t>Consumer Banking</w:t>
            </w:r>
          </w:p>
        </w:tc>
        <w:tc>
          <w:tcPr>
            <w:tcW w:w="0" w:type="auto"/>
            <w:gridSpan w:val="3"/>
            <w:shd w:val="clear" w:color="auto" w:fill="FFFFFF"/>
            <w:tcMar>
              <w:top w:w="0" w:type="dxa"/>
              <w:left w:w="20" w:type="dxa"/>
              <w:bottom w:w="0" w:type="dxa"/>
              <w:right w:w="20" w:type="dxa"/>
            </w:tcMar>
            <w:vAlign w:val="center"/>
            <w:hideMark/>
          </w:tcPr>
          <w:p w14:paraId="16B92807"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8414F6F" w14:textId="77777777" w:rsidR="00000000" w:rsidRDefault="00405D16">
            <w:pPr>
              <w:spacing w:after="100"/>
              <w:jc w:val="right"/>
              <w:rPr>
                <w:rFonts w:eastAsia="Times New Roman"/>
              </w:rPr>
            </w:pPr>
            <w:r>
              <w:rPr>
                <w:rFonts w:eastAsia="Times New Roman"/>
                <w:b/>
                <w:bCs/>
                <w:color w:val="000000"/>
                <w:sz w:val="18"/>
                <w:szCs w:val="18"/>
              </w:rPr>
              <w:t>77,112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C914CA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37BCF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E598FC5" w14:textId="77777777" w:rsidR="00000000" w:rsidRDefault="00405D16">
            <w:pPr>
              <w:spacing w:after="100"/>
              <w:jc w:val="right"/>
              <w:rPr>
                <w:rFonts w:eastAsia="Times New Roman"/>
              </w:rPr>
            </w:pPr>
            <w:r>
              <w:rPr>
                <w:rFonts w:eastAsia="Times New Roman"/>
                <w:b/>
                <w:bCs/>
                <w:color w:val="000000"/>
                <w:sz w:val="18"/>
                <w:szCs w:val="18"/>
              </w:rPr>
              <w:t>2,061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CED674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A12D8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45C2FD7" w14:textId="77777777" w:rsidR="00000000" w:rsidRDefault="00405D16">
            <w:pPr>
              <w:spacing w:after="100"/>
              <w:jc w:val="right"/>
              <w:rPr>
                <w:rFonts w:eastAsia="Times New Roman"/>
              </w:rPr>
            </w:pPr>
            <w:r>
              <w:rPr>
                <w:rFonts w:eastAsia="Times New Roman"/>
                <w:b/>
                <w:bCs/>
                <w:color w:val="000000"/>
                <w:sz w:val="18"/>
                <w:szCs w:val="18"/>
              </w:rPr>
              <w:t>75,051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FA433D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662FD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0468933" w14:textId="77777777" w:rsidR="00000000" w:rsidRDefault="00405D16">
            <w:pPr>
              <w:spacing w:after="100"/>
              <w:jc w:val="right"/>
              <w:rPr>
                <w:rFonts w:eastAsia="Times New Roman"/>
              </w:rPr>
            </w:pPr>
            <w:r>
              <w:rPr>
                <w:rFonts w:eastAsia="Times New Roman"/>
                <w:color w:val="2C2C2C"/>
                <w:sz w:val="18"/>
                <w:szCs w:val="18"/>
              </w:rPr>
              <w:t>68,888 </w:t>
            </w:r>
          </w:p>
        </w:tc>
        <w:tc>
          <w:tcPr>
            <w:tcW w:w="0" w:type="auto"/>
            <w:shd w:val="clear" w:color="auto" w:fill="FFFFFF"/>
            <w:tcMar>
              <w:top w:w="30" w:type="dxa"/>
              <w:left w:w="0" w:type="dxa"/>
              <w:bottom w:w="30" w:type="dxa"/>
              <w:right w:w="20" w:type="dxa"/>
            </w:tcMar>
            <w:vAlign w:val="center"/>
            <w:hideMark/>
          </w:tcPr>
          <w:p w14:paraId="1D0A3C8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C1AA9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CBA33A1" w14:textId="77777777" w:rsidR="00000000" w:rsidRDefault="00405D16">
            <w:pPr>
              <w:spacing w:after="100"/>
              <w:jc w:val="right"/>
              <w:rPr>
                <w:rFonts w:eastAsia="Times New Roman"/>
              </w:rPr>
            </w:pPr>
            <w:r>
              <w:rPr>
                <w:rFonts w:eastAsia="Times New Roman"/>
                <w:color w:val="2C2C2C"/>
                <w:sz w:val="18"/>
                <w:szCs w:val="18"/>
              </w:rPr>
              <w:t>2,715 </w:t>
            </w:r>
          </w:p>
        </w:tc>
        <w:tc>
          <w:tcPr>
            <w:tcW w:w="0" w:type="auto"/>
            <w:shd w:val="clear" w:color="auto" w:fill="FFFFFF"/>
            <w:tcMar>
              <w:top w:w="30" w:type="dxa"/>
              <w:left w:w="0" w:type="dxa"/>
              <w:bottom w:w="30" w:type="dxa"/>
              <w:right w:w="20" w:type="dxa"/>
            </w:tcMar>
            <w:vAlign w:val="center"/>
            <w:hideMark/>
          </w:tcPr>
          <w:p w14:paraId="2E5B79F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6391D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4DF928B" w14:textId="77777777" w:rsidR="00000000" w:rsidRDefault="00405D16">
            <w:pPr>
              <w:spacing w:after="100"/>
              <w:jc w:val="right"/>
              <w:rPr>
                <w:rFonts w:eastAsia="Times New Roman"/>
              </w:rPr>
            </w:pPr>
            <w:r>
              <w:rPr>
                <w:rFonts w:eastAsia="Times New Roman"/>
                <w:color w:val="2C2C2C"/>
                <w:sz w:val="18"/>
                <w:szCs w:val="18"/>
              </w:rPr>
              <w:t>66,173 </w:t>
            </w:r>
          </w:p>
        </w:tc>
        <w:tc>
          <w:tcPr>
            <w:tcW w:w="0" w:type="auto"/>
            <w:shd w:val="clear" w:color="auto" w:fill="FFFFFF"/>
            <w:tcMar>
              <w:top w:w="30" w:type="dxa"/>
              <w:left w:w="0" w:type="dxa"/>
              <w:bottom w:w="30" w:type="dxa"/>
              <w:right w:w="20" w:type="dxa"/>
            </w:tcMar>
            <w:vAlign w:val="center"/>
            <w:hideMark/>
          </w:tcPr>
          <w:p w14:paraId="0005AE60" w14:textId="77777777" w:rsidR="00000000" w:rsidRDefault="00405D16">
            <w:pPr>
              <w:spacing w:after="100"/>
              <w:jc w:val="right"/>
              <w:rPr>
                <w:rFonts w:eastAsia="Times New Roman"/>
              </w:rPr>
            </w:pPr>
          </w:p>
        </w:tc>
      </w:tr>
      <w:tr w:rsidR="00000000" w14:paraId="79C31F29" w14:textId="77777777">
        <w:trPr>
          <w:divId w:val="881408822"/>
        </w:trPr>
        <w:tc>
          <w:tcPr>
            <w:tcW w:w="0" w:type="auto"/>
            <w:gridSpan w:val="3"/>
            <w:shd w:val="clear" w:color="auto" w:fill="CCEEFF"/>
            <w:tcMar>
              <w:top w:w="30" w:type="dxa"/>
              <w:left w:w="20" w:type="dxa"/>
              <w:bottom w:w="30" w:type="dxa"/>
              <w:right w:w="20" w:type="dxa"/>
            </w:tcMar>
            <w:vAlign w:val="center"/>
            <w:hideMark/>
          </w:tcPr>
          <w:p w14:paraId="7EFEC2F0" w14:textId="77777777" w:rsidR="00000000" w:rsidRDefault="00405D16">
            <w:pPr>
              <w:spacing w:after="100"/>
              <w:rPr>
                <w:rFonts w:eastAsia="Times New Roman"/>
              </w:rPr>
            </w:pPr>
            <w:r>
              <w:rPr>
                <w:rFonts w:eastAsia="Times New Roman"/>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14:paraId="0E896840"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8712ADA" w14:textId="77777777" w:rsidR="00000000" w:rsidRDefault="00405D16">
            <w:pPr>
              <w:spacing w:after="100"/>
              <w:jc w:val="right"/>
              <w:rPr>
                <w:rFonts w:eastAsia="Times New Roman"/>
              </w:rPr>
            </w:pPr>
            <w:r>
              <w:rPr>
                <w:rFonts w:eastAsia="Times New Roman"/>
                <w:b/>
                <w:bCs/>
                <w:color w:val="000000"/>
                <w:sz w:val="18"/>
                <w:szCs w:val="18"/>
              </w:rPr>
              <w:t>79,248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885D19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C6C3B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44ECA86" w14:textId="77777777" w:rsidR="00000000" w:rsidRDefault="00405D16">
            <w:pPr>
              <w:spacing w:after="100"/>
              <w:jc w:val="right"/>
              <w:rPr>
                <w:rFonts w:eastAsia="Times New Roman"/>
              </w:rPr>
            </w:pPr>
            <w:r>
              <w:rPr>
                <w:rFonts w:eastAsia="Times New Roman"/>
                <w:b/>
                <w:bCs/>
                <w:color w:val="000000"/>
                <w:sz w:val="18"/>
                <w:szCs w:val="18"/>
              </w:rPr>
              <w:t>1,206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DBC535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D7168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2887A5B" w14:textId="77777777" w:rsidR="00000000" w:rsidRDefault="00405D16">
            <w:pPr>
              <w:spacing w:after="100"/>
              <w:jc w:val="right"/>
              <w:rPr>
                <w:rFonts w:eastAsia="Times New Roman"/>
              </w:rPr>
            </w:pPr>
            <w:r>
              <w:rPr>
                <w:rFonts w:eastAsia="Times New Roman"/>
                <w:b/>
                <w:bCs/>
                <w:color w:val="000000"/>
                <w:sz w:val="18"/>
                <w:szCs w:val="18"/>
              </w:rPr>
              <w:t>78,042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8CAE72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13755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488D20A" w14:textId="77777777" w:rsidR="00000000" w:rsidRDefault="00405D16">
            <w:pPr>
              <w:spacing w:after="100"/>
              <w:jc w:val="right"/>
              <w:rPr>
                <w:rFonts w:eastAsia="Times New Roman"/>
              </w:rPr>
            </w:pPr>
            <w:r>
              <w:rPr>
                <w:rFonts w:eastAsia="Times New Roman"/>
                <w:color w:val="2C2C2C"/>
                <w:sz w:val="18"/>
                <w:szCs w:val="18"/>
              </w:rPr>
              <w:t>75,780 </w:t>
            </w:r>
          </w:p>
        </w:tc>
        <w:tc>
          <w:tcPr>
            <w:tcW w:w="0" w:type="auto"/>
            <w:shd w:val="clear" w:color="auto" w:fill="CCEEFF"/>
            <w:tcMar>
              <w:top w:w="30" w:type="dxa"/>
              <w:left w:w="0" w:type="dxa"/>
              <w:bottom w:w="30" w:type="dxa"/>
              <w:right w:w="20" w:type="dxa"/>
            </w:tcMar>
            <w:vAlign w:val="center"/>
            <w:hideMark/>
          </w:tcPr>
          <w:p w14:paraId="0FEE77C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76560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8CF159F" w14:textId="77777777" w:rsidR="00000000" w:rsidRDefault="00405D16">
            <w:pPr>
              <w:spacing w:after="100"/>
              <w:jc w:val="right"/>
              <w:rPr>
                <w:rFonts w:eastAsia="Times New Roman"/>
              </w:rPr>
            </w:pPr>
            <w:r>
              <w:rPr>
                <w:rFonts w:eastAsia="Times New Roman"/>
                <w:color w:val="2C2C2C"/>
                <w:sz w:val="18"/>
                <w:szCs w:val="18"/>
              </w:rPr>
              <w:t>1,658 </w:t>
            </w:r>
          </w:p>
        </w:tc>
        <w:tc>
          <w:tcPr>
            <w:tcW w:w="0" w:type="auto"/>
            <w:shd w:val="clear" w:color="auto" w:fill="CCEEFF"/>
            <w:tcMar>
              <w:top w:w="30" w:type="dxa"/>
              <w:left w:w="0" w:type="dxa"/>
              <w:bottom w:w="30" w:type="dxa"/>
              <w:right w:w="20" w:type="dxa"/>
            </w:tcMar>
            <w:vAlign w:val="center"/>
            <w:hideMark/>
          </w:tcPr>
          <w:p w14:paraId="7B7D4EB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42FB5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1B1C992" w14:textId="77777777" w:rsidR="00000000" w:rsidRDefault="00405D16">
            <w:pPr>
              <w:spacing w:after="100"/>
              <w:jc w:val="right"/>
              <w:rPr>
                <w:rFonts w:eastAsia="Times New Roman"/>
              </w:rPr>
            </w:pPr>
            <w:r>
              <w:rPr>
                <w:rFonts w:eastAsia="Times New Roman"/>
                <w:color w:val="2C2C2C"/>
                <w:sz w:val="18"/>
                <w:szCs w:val="18"/>
              </w:rPr>
              <w:t>74,122 </w:t>
            </w:r>
          </w:p>
        </w:tc>
        <w:tc>
          <w:tcPr>
            <w:tcW w:w="0" w:type="auto"/>
            <w:shd w:val="clear" w:color="auto" w:fill="CCEEFF"/>
            <w:tcMar>
              <w:top w:w="30" w:type="dxa"/>
              <w:left w:w="0" w:type="dxa"/>
              <w:bottom w:w="30" w:type="dxa"/>
              <w:right w:w="20" w:type="dxa"/>
            </w:tcMar>
            <w:vAlign w:val="center"/>
            <w:hideMark/>
          </w:tcPr>
          <w:p w14:paraId="2C8EB504" w14:textId="77777777" w:rsidR="00000000" w:rsidRDefault="00405D16">
            <w:pPr>
              <w:spacing w:after="100"/>
              <w:jc w:val="right"/>
              <w:rPr>
                <w:rFonts w:eastAsia="Times New Roman"/>
              </w:rPr>
            </w:pPr>
          </w:p>
        </w:tc>
      </w:tr>
      <w:tr w:rsidR="00000000" w14:paraId="1F492012" w14:textId="77777777">
        <w:trPr>
          <w:divId w:val="881408822"/>
        </w:trPr>
        <w:tc>
          <w:tcPr>
            <w:tcW w:w="0" w:type="auto"/>
            <w:gridSpan w:val="3"/>
            <w:shd w:val="clear" w:color="auto" w:fill="FFFFFF"/>
            <w:tcMar>
              <w:top w:w="30" w:type="dxa"/>
              <w:left w:w="20" w:type="dxa"/>
              <w:bottom w:w="30" w:type="dxa"/>
              <w:right w:w="20" w:type="dxa"/>
            </w:tcMar>
            <w:vAlign w:val="center"/>
            <w:hideMark/>
          </w:tcPr>
          <w:p w14:paraId="4D8F5763" w14:textId="77777777" w:rsidR="00000000" w:rsidRDefault="00405D16">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0F185599"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3987FE3"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C6EEEDE" w14:textId="77777777" w:rsidR="00000000" w:rsidRDefault="00405D16">
            <w:pPr>
              <w:spacing w:after="100"/>
              <w:jc w:val="right"/>
              <w:rPr>
                <w:rFonts w:eastAsia="Times New Roman"/>
              </w:rPr>
            </w:pPr>
            <w:r>
              <w:rPr>
                <w:rFonts w:eastAsia="Times New Roman"/>
                <w:b/>
                <w:bCs/>
                <w:color w:val="000000"/>
                <w:sz w:val="18"/>
                <w:szCs w:val="18"/>
              </w:rPr>
              <w:t>261,390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6CEBED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7B6804"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D52203F"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2ABCC9B" w14:textId="77777777" w:rsidR="00000000" w:rsidRDefault="00405D16">
            <w:pPr>
              <w:spacing w:after="100"/>
              <w:jc w:val="right"/>
              <w:rPr>
                <w:rFonts w:eastAsia="Times New Roman"/>
              </w:rPr>
            </w:pPr>
            <w:r>
              <w:rPr>
                <w:rFonts w:eastAsia="Times New Roman"/>
                <w:b/>
                <w:bCs/>
                <w:color w:val="000000"/>
                <w:sz w:val="18"/>
                <w:szCs w:val="18"/>
              </w:rPr>
              <w:t>11,573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3D5273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4EE2DF"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4622FB8"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5CD9436" w14:textId="77777777" w:rsidR="00000000" w:rsidRDefault="00405D16">
            <w:pPr>
              <w:spacing w:after="100"/>
              <w:jc w:val="right"/>
              <w:rPr>
                <w:rFonts w:eastAsia="Times New Roman"/>
              </w:rPr>
            </w:pPr>
            <w:r>
              <w:rPr>
                <w:rFonts w:eastAsia="Times New Roman"/>
                <w:b/>
                <w:bCs/>
                <w:color w:val="000000"/>
                <w:sz w:val="18"/>
                <w:szCs w:val="18"/>
              </w:rPr>
              <w:t>249,817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ABBCAC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605652"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7DC4994" w14:textId="77777777" w:rsidR="00000000" w:rsidRDefault="00405D16">
            <w:pPr>
              <w:spacing w:after="100"/>
              <w:rPr>
                <w:rFonts w:eastAsia="Times New Roman"/>
              </w:rPr>
            </w:pPr>
            <w:r>
              <w:rPr>
                <w:rFonts w:eastAsia="Times New Roman"/>
                <w:color w:val="2C2C2C"/>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8FF78AD" w14:textId="77777777" w:rsidR="00000000" w:rsidRDefault="00405D16">
            <w:pPr>
              <w:spacing w:after="100"/>
              <w:jc w:val="right"/>
              <w:rPr>
                <w:rFonts w:eastAsia="Times New Roman"/>
              </w:rPr>
            </w:pPr>
            <w:r>
              <w:rPr>
                <w:rFonts w:eastAsia="Times New Roman"/>
                <w:color w:val="2C2C2C"/>
                <w:sz w:val="18"/>
                <w:szCs w:val="18"/>
              </w:rPr>
              <w:t>251,624 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BC54A6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C35AA9"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379BCC5" w14:textId="77777777" w:rsidR="00000000" w:rsidRDefault="00405D16">
            <w:pPr>
              <w:spacing w:after="100"/>
              <w:rPr>
                <w:rFonts w:eastAsia="Times New Roman"/>
              </w:rPr>
            </w:pPr>
            <w:r>
              <w:rPr>
                <w:rFonts w:eastAsia="Times New Roman"/>
                <w:color w:val="2C2C2C"/>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04B8DF5" w14:textId="77777777" w:rsidR="00000000" w:rsidRDefault="00405D16">
            <w:pPr>
              <w:spacing w:after="100"/>
              <w:jc w:val="right"/>
              <w:rPr>
                <w:rFonts w:eastAsia="Times New Roman"/>
              </w:rPr>
            </w:pPr>
            <w:r>
              <w:rPr>
                <w:rFonts w:eastAsia="Times New Roman"/>
                <w:color w:val="2C2C2C"/>
                <w:sz w:val="18"/>
                <w:szCs w:val="18"/>
              </w:rPr>
              <w:t>15,564 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D91D94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495A92"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C2494D1" w14:textId="77777777" w:rsidR="00000000" w:rsidRDefault="00405D16">
            <w:pPr>
              <w:spacing w:after="100"/>
              <w:rPr>
                <w:rFonts w:eastAsia="Times New Roman"/>
              </w:rPr>
            </w:pPr>
            <w:r>
              <w:rPr>
                <w:rFonts w:eastAsia="Times New Roman"/>
                <w:color w:val="2C2C2C"/>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26DE07A" w14:textId="77777777" w:rsidR="00000000" w:rsidRDefault="00405D16">
            <w:pPr>
              <w:spacing w:after="100"/>
              <w:jc w:val="right"/>
              <w:rPr>
                <w:rFonts w:eastAsia="Times New Roman"/>
              </w:rPr>
            </w:pPr>
            <w:r>
              <w:rPr>
                <w:rFonts w:eastAsia="Times New Roman"/>
                <w:color w:val="2C2C2C"/>
                <w:sz w:val="18"/>
                <w:szCs w:val="18"/>
              </w:rPr>
              <w:t>236,060 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C499E42" w14:textId="77777777" w:rsidR="00000000" w:rsidRDefault="00405D16">
            <w:pPr>
              <w:spacing w:after="100"/>
              <w:jc w:val="right"/>
              <w:rPr>
                <w:rFonts w:eastAsia="Times New Roman"/>
              </w:rPr>
            </w:pPr>
          </w:p>
        </w:tc>
      </w:tr>
    </w:tbl>
    <w:p w14:paraId="53602110" w14:textId="77777777" w:rsidR="00000000" w:rsidRDefault="00405D16">
      <w:pPr>
        <w:jc w:val="both"/>
        <w:divId w:val="442920623"/>
        <w:rPr>
          <w:rFonts w:eastAsia="Times New Roman"/>
        </w:rPr>
      </w:pPr>
      <w:r>
        <w:rPr>
          <w:rFonts w:eastAsia="Times New Roman"/>
          <w:color w:val="000000"/>
          <w:sz w:val="20"/>
          <w:szCs w:val="20"/>
        </w:rPr>
        <w:t xml:space="preserve">Loans held for investment increased by </w:t>
      </w:r>
      <w:r>
        <w:rPr>
          <w:rFonts w:eastAsia="Times New Roman"/>
          <w:color w:val="000000"/>
          <w:sz w:val="20"/>
          <w:szCs w:val="20"/>
        </w:rPr>
        <w:t>$9.8 billion to $261.4 billion as of September 30, 2021 from December 31, 2020 primarily driven by growth in our auto and commercial loan portfolios, partially offset by the transfer of a $2.6 billion international card partnership portfolio to held for sa</w:t>
      </w:r>
      <w:r>
        <w:rPr>
          <w:rFonts w:eastAsia="Times New Roman"/>
          <w:color w:val="000000"/>
          <w:sz w:val="20"/>
          <w:szCs w:val="20"/>
        </w:rPr>
        <w:t>le in the second quarter of 2021.</w:t>
      </w:r>
    </w:p>
    <w:p w14:paraId="29E14A71" w14:textId="77777777" w:rsidR="00000000" w:rsidRDefault="00405D16">
      <w:pPr>
        <w:jc w:val="both"/>
        <w:divId w:val="1225798831"/>
        <w:rPr>
          <w:rFonts w:eastAsia="Times New Roman"/>
        </w:rPr>
      </w:pPr>
      <w:r>
        <w:rPr>
          <w:rFonts w:eastAsia="Times New Roman"/>
          <w:color w:val="000000"/>
          <w:sz w:val="20"/>
          <w:szCs w:val="20"/>
        </w:rPr>
        <w:t>We provide additional information on the composition of our loan portfolio and credit quality in “MD&amp;A—Credit Risk Profile,” “MD&amp;A—Consolidated Results of Operations” and “Note 3—Loans.”</w:t>
      </w:r>
    </w:p>
    <w:p w14:paraId="42F18C8B" w14:textId="77777777" w:rsidR="00000000" w:rsidRDefault="00405D16">
      <w:pPr>
        <w:divId w:val="969359439"/>
        <w:rPr>
          <w:rFonts w:eastAsia="Times New Roman"/>
        </w:rPr>
      </w:pPr>
      <w:r>
        <w:rPr>
          <w:rFonts w:eastAsia="Times New Roman"/>
          <w:b/>
          <w:bCs/>
          <w:color w:val="000000"/>
          <w:sz w:val="20"/>
          <w:szCs w:val="20"/>
        </w:rPr>
        <w:t>Funding Sources</w:t>
      </w:r>
    </w:p>
    <w:p w14:paraId="47A992E0" w14:textId="77777777" w:rsidR="00000000" w:rsidRDefault="00405D16">
      <w:pPr>
        <w:jc w:val="both"/>
        <w:divId w:val="655185135"/>
        <w:rPr>
          <w:rFonts w:eastAsia="Times New Roman"/>
        </w:rPr>
      </w:pPr>
      <w:r>
        <w:rPr>
          <w:rFonts w:eastAsia="Times New Roman"/>
          <w:color w:val="000000"/>
          <w:sz w:val="20"/>
          <w:szCs w:val="20"/>
        </w:rPr>
        <w:t xml:space="preserve">Our primary source </w:t>
      </w:r>
      <w:r>
        <w:rPr>
          <w:rFonts w:eastAsia="Times New Roman"/>
          <w:color w:val="000000"/>
          <w:sz w:val="20"/>
          <w:szCs w:val="20"/>
        </w:rPr>
        <w:t>of funding comes from deposits, as they are a stable and relatively low cost source of funding. In addition to deposits, we raise funding through the issuance of senior and subordinated notes, securitized debt obligations, federal funds purchased, securiti</w:t>
      </w:r>
      <w:r>
        <w:rPr>
          <w:rFonts w:eastAsia="Times New Roman"/>
          <w:color w:val="000000"/>
          <w:sz w:val="20"/>
          <w:szCs w:val="20"/>
        </w:rPr>
        <w:t xml:space="preserve">es loaned or sold under agreements to repurchase, and Federal Home Loan Banks (“FHLB”) advances secured by certain portions of our loan and securities portfolios. </w:t>
      </w:r>
    </w:p>
    <w:p w14:paraId="4F74882C" w14:textId="77777777" w:rsidR="00000000" w:rsidRDefault="00405D16">
      <w:pPr>
        <w:divId w:val="2019841758"/>
        <w:rPr>
          <w:rFonts w:eastAsia="Times New Roman"/>
        </w:rPr>
      </w:pPr>
      <w:r>
        <w:rPr>
          <w:rFonts w:eastAsia="Times New Roman"/>
          <w:color w:val="000000"/>
          <w:sz w:val="20"/>
          <w:szCs w:val="20"/>
        </w:rPr>
        <w:t xml:space="preserve">Table 8 provides the composition of our primary sources of funding as of September 30, 2021 </w:t>
      </w:r>
      <w:r>
        <w:rPr>
          <w:rFonts w:eastAsia="Times New Roman"/>
          <w:color w:val="000000"/>
          <w:sz w:val="20"/>
          <w:szCs w:val="20"/>
        </w:rPr>
        <w:t>and December 31, 2020.</w:t>
      </w:r>
    </w:p>
    <w:p w14:paraId="4498CFEF" w14:textId="77777777" w:rsidR="00000000" w:rsidRDefault="00405D16">
      <w:pPr>
        <w:divId w:val="685794632"/>
        <w:rPr>
          <w:rFonts w:eastAsia="Times New Roman"/>
        </w:rPr>
      </w:pPr>
      <w:r>
        <w:rPr>
          <w:rFonts w:eastAsia="Times New Roman"/>
          <w:b/>
          <w:bCs/>
          <w:color w:val="000000"/>
          <w:sz w:val="18"/>
          <w:szCs w:val="18"/>
        </w:rPr>
        <w:t xml:space="preserve">Table 8: Funding Sources Composition </w:t>
      </w:r>
    </w:p>
    <w:tbl>
      <w:tblPr>
        <w:tblW w:w="4992" w:type="pct"/>
        <w:tblCellMar>
          <w:top w:w="15" w:type="dxa"/>
          <w:left w:w="15" w:type="dxa"/>
          <w:bottom w:w="15" w:type="dxa"/>
          <w:right w:w="15" w:type="dxa"/>
        </w:tblCellMar>
        <w:tblLook w:val="04A0" w:firstRow="1" w:lastRow="0" w:firstColumn="1" w:lastColumn="0" w:noHBand="0" w:noVBand="1"/>
      </w:tblPr>
      <w:tblGrid>
        <w:gridCol w:w="40"/>
        <w:gridCol w:w="4789"/>
        <w:gridCol w:w="39"/>
        <w:gridCol w:w="36"/>
        <w:gridCol w:w="36"/>
        <w:gridCol w:w="36"/>
        <w:gridCol w:w="110"/>
        <w:gridCol w:w="630"/>
        <w:gridCol w:w="36"/>
        <w:gridCol w:w="36"/>
        <w:gridCol w:w="36"/>
        <w:gridCol w:w="36"/>
        <w:gridCol w:w="44"/>
        <w:gridCol w:w="485"/>
        <w:gridCol w:w="200"/>
        <w:gridCol w:w="36"/>
        <w:gridCol w:w="36"/>
        <w:gridCol w:w="36"/>
        <w:gridCol w:w="110"/>
        <w:gridCol w:w="630"/>
        <w:gridCol w:w="36"/>
        <w:gridCol w:w="36"/>
        <w:gridCol w:w="36"/>
        <w:gridCol w:w="36"/>
        <w:gridCol w:w="44"/>
        <w:gridCol w:w="498"/>
        <w:gridCol w:w="170"/>
      </w:tblGrid>
      <w:tr w:rsidR="00000000" w14:paraId="315ED479" w14:textId="77777777">
        <w:trPr>
          <w:divId w:val="548999750"/>
        </w:trPr>
        <w:tc>
          <w:tcPr>
            <w:tcW w:w="50" w:type="pct"/>
            <w:vAlign w:val="center"/>
            <w:hideMark/>
          </w:tcPr>
          <w:p w14:paraId="356DD665" w14:textId="77777777" w:rsidR="00000000" w:rsidRDefault="00405D16">
            <w:pPr>
              <w:rPr>
                <w:rFonts w:eastAsia="Times New Roman"/>
              </w:rPr>
            </w:pPr>
          </w:p>
        </w:tc>
        <w:tc>
          <w:tcPr>
            <w:tcW w:w="2931" w:type="pct"/>
            <w:vAlign w:val="center"/>
            <w:hideMark/>
          </w:tcPr>
          <w:p w14:paraId="51C6C0F9" w14:textId="77777777" w:rsidR="00000000" w:rsidRDefault="00405D16">
            <w:pPr>
              <w:spacing w:after="100"/>
              <w:rPr>
                <w:rFonts w:eastAsia="Times New Roman"/>
                <w:sz w:val="20"/>
                <w:szCs w:val="20"/>
              </w:rPr>
            </w:pPr>
          </w:p>
        </w:tc>
        <w:tc>
          <w:tcPr>
            <w:tcW w:w="5" w:type="pct"/>
            <w:vAlign w:val="center"/>
            <w:hideMark/>
          </w:tcPr>
          <w:p w14:paraId="50E5F9F5" w14:textId="77777777" w:rsidR="00000000" w:rsidRDefault="00405D16">
            <w:pPr>
              <w:spacing w:after="100"/>
              <w:rPr>
                <w:rFonts w:eastAsia="Times New Roman"/>
                <w:sz w:val="20"/>
                <w:szCs w:val="20"/>
              </w:rPr>
            </w:pPr>
          </w:p>
        </w:tc>
        <w:tc>
          <w:tcPr>
            <w:tcW w:w="5" w:type="pct"/>
            <w:vAlign w:val="center"/>
            <w:hideMark/>
          </w:tcPr>
          <w:p w14:paraId="21B2FC41" w14:textId="77777777" w:rsidR="00000000" w:rsidRDefault="00405D16">
            <w:pPr>
              <w:spacing w:after="100"/>
              <w:rPr>
                <w:rFonts w:eastAsia="Times New Roman"/>
                <w:sz w:val="20"/>
                <w:szCs w:val="20"/>
              </w:rPr>
            </w:pPr>
          </w:p>
        </w:tc>
        <w:tc>
          <w:tcPr>
            <w:tcW w:w="26" w:type="pct"/>
            <w:vAlign w:val="center"/>
            <w:hideMark/>
          </w:tcPr>
          <w:p w14:paraId="6A8411B1" w14:textId="77777777" w:rsidR="00000000" w:rsidRDefault="00405D16">
            <w:pPr>
              <w:spacing w:after="100"/>
              <w:rPr>
                <w:rFonts w:eastAsia="Times New Roman"/>
                <w:sz w:val="20"/>
                <w:szCs w:val="20"/>
              </w:rPr>
            </w:pPr>
          </w:p>
        </w:tc>
        <w:tc>
          <w:tcPr>
            <w:tcW w:w="5" w:type="pct"/>
            <w:vAlign w:val="center"/>
            <w:hideMark/>
          </w:tcPr>
          <w:p w14:paraId="67A7A976" w14:textId="77777777" w:rsidR="00000000" w:rsidRDefault="00405D16">
            <w:pPr>
              <w:spacing w:after="100"/>
              <w:rPr>
                <w:rFonts w:eastAsia="Times New Roman"/>
                <w:sz w:val="20"/>
                <w:szCs w:val="20"/>
              </w:rPr>
            </w:pPr>
          </w:p>
        </w:tc>
        <w:tc>
          <w:tcPr>
            <w:tcW w:w="50" w:type="pct"/>
            <w:vAlign w:val="center"/>
            <w:hideMark/>
          </w:tcPr>
          <w:p w14:paraId="261CFEDE" w14:textId="77777777" w:rsidR="00000000" w:rsidRDefault="00405D16">
            <w:pPr>
              <w:spacing w:after="100"/>
              <w:rPr>
                <w:rFonts w:eastAsia="Times New Roman"/>
                <w:sz w:val="20"/>
                <w:szCs w:val="20"/>
              </w:rPr>
            </w:pPr>
          </w:p>
        </w:tc>
        <w:tc>
          <w:tcPr>
            <w:tcW w:w="406" w:type="pct"/>
            <w:vAlign w:val="center"/>
            <w:hideMark/>
          </w:tcPr>
          <w:p w14:paraId="416A4CCF" w14:textId="77777777" w:rsidR="00000000" w:rsidRDefault="00405D16">
            <w:pPr>
              <w:spacing w:after="100"/>
              <w:rPr>
                <w:rFonts w:eastAsia="Times New Roman"/>
                <w:sz w:val="20"/>
                <w:szCs w:val="20"/>
              </w:rPr>
            </w:pPr>
          </w:p>
        </w:tc>
        <w:tc>
          <w:tcPr>
            <w:tcW w:w="5" w:type="pct"/>
            <w:vAlign w:val="center"/>
            <w:hideMark/>
          </w:tcPr>
          <w:p w14:paraId="261189F3" w14:textId="77777777" w:rsidR="00000000" w:rsidRDefault="00405D16">
            <w:pPr>
              <w:spacing w:after="100"/>
              <w:rPr>
                <w:rFonts w:eastAsia="Times New Roman"/>
                <w:sz w:val="20"/>
                <w:szCs w:val="20"/>
              </w:rPr>
            </w:pPr>
          </w:p>
        </w:tc>
        <w:tc>
          <w:tcPr>
            <w:tcW w:w="5" w:type="pct"/>
            <w:vAlign w:val="center"/>
            <w:hideMark/>
          </w:tcPr>
          <w:p w14:paraId="09E60693" w14:textId="77777777" w:rsidR="00000000" w:rsidRDefault="00405D16">
            <w:pPr>
              <w:spacing w:after="100"/>
              <w:rPr>
                <w:rFonts w:eastAsia="Times New Roman"/>
                <w:sz w:val="20"/>
                <w:szCs w:val="20"/>
              </w:rPr>
            </w:pPr>
          </w:p>
        </w:tc>
        <w:tc>
          <w:tcPr>
            <w:tcW w:w="26" w:type="pct"/>
            <w:vAlign w:val="center"/>
            <w:hideMark/>
          </w:tcPr>
          <w:p w14:paraId="5896D9F7" w14:textId="77777777" w:rsidR="00000000" w:rsidRDefault="00405D16">
            <w:pPr>
              <w:spacing w:after="100"/>
              <w:rPr>
                <w:rFonts w:eastAsia="Times New Roman"/>
                <w:sz w:val="20"/>
                <w:szCs w:val="20"/>
              </w:rPr>
            </w:pPr>
          </w:p>
        </w:tc>
        <w:tc>
          <w:tcPr>
            <w:tcW w:w="5" w:type="pct"/>
            <w:vAlign w:val="center"/>
            <w:hideMark/>
          </w:tcPr>
          <w:p w14:paraId="2E34CB26" w14:textId="77777777" w:rsidR="00000000" w:rsidRDefault="00405D16">
            <w:pPr>
              <w:spacing w:after="100"/>
              <w:rPr>
                <w:rFonts w:eastAsia="Times New Roman"/>
                <w:sz w:val="20"/>
                <w:szCs w:val="20"/>
              </w:rPr>
            </w:pPr>
          </w:p>
        </w:tc>
        <w:tc>
          <w:tcPr>
            <w:tcW w:w="50" w:type="pct"/>
            <w:vAlign w:val="center"/>
            <w:hideMark/>
          </w:tcPr>
          <w:p w14:paraId="3A62324B" w14:textId="77777777" w:rsidR="00000000" w:rsidRDefault="00405D16">
            <w:pPr>
              <w:spacing w:after="100"/>
              <w:rPr>
                <w:rFonts w:eastAsia="Times New Roman"/>
                <w:sz w:val="20"/>
                <w:szCs w:val="20"/>
              </w:rPr>
            </w:pPr>
          </w:p>
        </w:tc>
        <w:tc>
          <w:tcPr>
            <w:tcW w:w="413" w:type="pct"/>
            <w:vAlign w:val="center"/>
            <w:hideMark/>
          </w:tcPr>
          <w:p w14:paraId="643037A4" w14:textId="77777777" w:rsidR="00000000" w:rsidRDefault="00405D16">
            <w:pPr>
              <w:spacing w:after="100"/>
              <w:rPr>
                <w:rFonts w:eastAsia="Times New Roman"/>
                <w:sz w:val="20"/>
                <w:szCs w:val="20"/>
              </w:rPr>
            </w:pPr>
          </w:p>
        </w:tc>
        <w:tc>
          <w:tcPr>
            <w:tcW w:w="5" w:type="pct"/>
            <w:vAlign w:val="center"/>
            <w:hideMark/>
          </w:tcPr>
          <w:p w14:paraId="28D38AF6" w14:textId="77777777" w:rsidR="00000000" w:rsidRDefault="00405D16">
            <w:pPr>
              <w:spacing w:after="100"/>
              <w:rPr>
                <w:rFonts w:eastAsia="Times New Roman"/>
                <w:sz w:val="20"/>
                <w:szCs w:val="20"/>
              </w:rPr>
            </w:pPr>
          </w:p>
        </w:tc>
        <w:tc>
          <w:tcPr>
            <w:tcW w:w="5" w:type="pct"/>
            <w:vAlign w:val="center"/>
            <w:hideMark/>
          </w:tcPr>
          <w:p w14:paraId="5686C6EC" w14:textId="77777777" w:rsidR="00000000" w:rsidRDefault="00405D16">
            <w:pPr>
              <w:spacing w:after="100"/>
              <w:rPr>
                <w:rFonts w:eastAsia="Times New Roman"/>
                <w:sz w:val="20"/>
                <w:szCs w:val="20"/>
              </w:rPr>
            </w:pPr>
          </w:p>
        </w:tc>
        <w:tc>
          <w:tcPr>
            <w:tcW w:w="26" w:type="pct"/>
            <w:vAlign w:val="center"/>
            <w:hideMark/>
          </w:tcPr>
          <w:p w14:paraId="0B8A377C" w14:textId="77777777" w:rsidR="00000000" w:rsidRDefault="00405D16">
            <w:pPr>
              <w:spacing w:after="100"/>
              <w:rPr>
                <w:rFonts w:eastAsia="Times New Roman"/>
                <w:sz w:val="20"/>
                <w:szCs w:val="20"/>
              </w:rPr>
            </w:pPr>
          </w:p>
        </w:tc>
        <w:tc>
          <w:tcPr>
            <w:tcW w:w="5" w:type="pct"/>
            <w:vAlign w:val="center"/>
            <w:hideMark/>
          </w:tcPr>
          <w:p w14:paraId="507F4B2A" w14:textId="77777777" w:rsidR="00000000" w:rsidRDefault="00405D16">
            <w:pPr>
              <w:spacing w:after="100"/>
              <w:rPr>
                <w:rFonts w:eastAsia="Times New Roman"/>
                <w:sz w:val="20"/>
                <w:szCs w:val="20"/>
              </w:rPr>
            </w:pPr>
          </w:p>
        </w:tc>
        <w:tc>
          <w:tcPr>
            <w:tcW w:w="50" w:type="pct"/>
            <w:vAlign w:val="center"/>
            <w:hideMark/>
          </w:tcPr>
          <w:p w14:paraId="3E737029" w14:textId="77777777" w:rsidR="00000000" w:rsidRDefault="00405D16">
            <w:pPr>
              <w:spacing w:after="100"/>
              <w:rPr>
                <w:rFonts w:eastAsia="Times New Roman"/>
                <w:sz w:val="20"/>
                <w:szCs w:val="20"/>
              </w:rPr>
            </w:pPr>
          </w:p>
        </w:tc>
        <w:tc>
          <w:tcPr>
            <w:tcW w:w="413" w:type="pct"/>
            <w:vAlign w:val="center"/>
            <w:hideMark/>
          </w:tcPr>
          <w:p w14:paraId="6DA2AFEE" w14:textId="77777777" w:rsidR="00000000" w:rsidRDefault="00405D16">
            <w:pPr>
              <w:spacing w:after="100"/>
              <w:rPr>
                <w:rFonts w:eastAsia="Times New Roman"/>
                <w:sz w:val="20"/>
                <w:szCs w:val="20"/>
              </w:rPr>
            </w:pPr>
          </w:p>
        </w:tc>
        <w:tc>
          <w:tcPr>
            <w:tcW w:w="5" w:type="pct"/>
            <w:vAlign w:val="center"/>
            <w:hideMark/>
          </w:tcPr>
          <w:p w14:paraId="154431E7" w14:textId="77777777" w:rsidR="00000000" w:rsidRDefault="00405D16">
            <w:pPr>
              <w:spacing w:after="100"/>
              <w:rPr>
                <w:rFonts w:eastAsia="Times New Roman"/>
                <w:sz w:val="20"/>
                <w:szCs w:val="20"/>
              </w:rPr>
            </w:pPr>
          </w:p>
        </w:tc>
        <w:tc>
          <w:tcPr>
            <w:tcW w:w="5" w:type="pct"/>
            <w:vAlign w:val="center"/>
            <w:hideMark/>
          </w:tcPr>
          <w:p w14:paraId="743B28E1" w14:textId="77777777" w:rsidR="00000000" w:rsidRDefault="00405D16">
            <w:pPr>
              <w:spacing w:after="100"/>
              <w:rPr>
                <w:rFonts w:eastAsia="Times New Roman"/>
                <w:sz w:val="20"/>
                <w:szCs w:val="20"/>
              </w:rPr>
            </w:pPr>
          </w:p>
        </w:tc>
        <w:tc>
          <w:tcPr>
            <w:tcW w:w="26" w:type="pct"/>
            <w:vAlign w:val="center"/>
            <w:hideMark/>
          </w:tcPr>
          <w:p w14:paraId="1C9C4843" w14:textId="77777777" w:rsidR="00000000" w:rsidRDefault="00405D16">
            <w:pPr>
              <w:spacing w:after="100"/>
              <w:rPr>
                <w:rFonts w:eastAsia="Times New Roman"/>
                <w:sz w:val="20"/>
                <w:szCs w:val="20"/>
              </w:rPr>
            </w:pPr>
          </w:p>
        </w:tc>
        <w:tc>
          <w:tcPr>
            <w:tcW w:w="5" w:type="pct"/>
            <w:vAlign w:val="center"/>
            <w:hideMark/>
          </w:tcPr>
          <w:p w14:paraId="328CE405" w14:textId="77777777" w:rsidR="00000000" w:rsidRDefault="00405D16">
            <w:pPr>
              <w:spacing w:after="100"/>
              <w:rPr>
                <w:rFonts w:eastAsia="Times New Roman"/>
                <w:sz w:val="20"/>
                <w:szCs w:val="20"/>
              </w:rPr>
            </w:pPr>
          </w:p>
        </w:tc>
        <w:tc>
          <w:tcPr>
            <w:tcW w:w="50" w:type="pct"/>
            <w:vAlign w:val="center"/>
            <w:hideMark/>
          </w:tcPr>
          <w:p w14:paraId="621457B3" w14:textId="77777777" w:rsidR="00000000" w:rsidRDefault="00405D16">
            <w:pPr>
              <w:spacing w:after="100"/>
              <w:rPr>
                <w:rFonts w:eastAsia="Times New Roman"/>
                <w:sz w:val="20"/>
                <w:szCs w:val="20"/>
              </w:rPr>
            </w:pPr>
          </w:p>
        </w:tc>
        <w:tc>
          <w:tcPr>
            <w:tcW w:w="413" w:type="pct"/>
            <w:vAlign w:val="center"/>
            <w:hideMark/>
          </w:tcPr>
          <w:p w14:paraId="41755D99" w14:textId="77777777" w:rsidR="00000000" w:rsidRDefault="00405D16">
            <w:pPr>
              <w:spacing w:after="100"/>
              <w:rPr>
                <w:rFonts w:eastAsia="Times New Roman"/>
                <w:sz w:val="20"/>
                <w:szCs w:val="20"/>
              </w:rPr>
            </w:pPr>
          </w:p>
        </w:tc>
        <w:tc>
          <w:tcPr>
            <w:tcW w:w="5" w:type="pct"/>
            <w:vAlign w:val="center"/>
            <w:hideMark/>
          </w:tcPr>
          <w:p w14:paraId="4E947BD1" w14:textId="77777777" w:rsidR="00000000" w:rsidRDefault="00405D16">
            <w:pPr>
              <w:spacing w:after="100"/>
              <w:rPr>
                <w:rFonts w:eastAsia="Times New Roman"/>
                <w:sz w:val="20"/>
                <w:szCs w:val="20"/>
              </w:rPr>
            </w:pPr>
          </w:p>
        </w:tc>
      </w:tr>
      <w:tr w:rsidR="00000000" w14:paraId="04DA986A" w14:textId="77777777">
        <w:trPr>
          <w:divId w:val="548999750"/>
        </w:trPr>
        <w:tc>
          <w:tcPr>
            <w:tcW w:w="0" w:type="auto"/>
            <w:gridSpan w:val="3"/>
            <w:tcMar>
              <w:top w:w="0" w:type="dxa"/>
              <w:left w:w="20" w:type="dxa"/>
              <w:bottom w:w="0" w:type="dxa"/>
              <w:right w:w="20" w:type="dxa"/>
            </w:tcMar>
            <w:vAlign w:val="center"/>
            <w:hideMark/>
          </w:tcPr>
          <w:p w14:paraId="1E09EDBE"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DF245F2" w14:textId="77777777" w:rsidR="00000000" w:rsidRDefault="00405D1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2725065" w14:textId="77777777" w:rsidR="00000000" w:rsidRDefault="00405D16">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14:paraId="068319B9" w14:textId="77777777" w:rsidR="00000000" w:rsidRDefault="00405D1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E7E7850" w14:textId="77777777" w:rsidR="00000000" w:rsidRDefault="00405D16">
            <w:pPr>
              <w:spacing w:after="100"/>
              <w:jc w:val="center"/>
              <w:rPr>
                <w:rFonts w:eastAsia="Times New Roman"/>
              </w:rPr>
            </w:pPr>
            <w:r>
              <w:rPr>
                <w:rFonts w:eastAsia="Times New Roman"/>
                <w:b/>
                <w:bCs/>
                <w:color w:val="000000"/>
                <w:sz w:val="16"/>
                <w:szCs w:val="16"/>
              </w:rPr>
              <w:t>December 31, 2020</w:t>
            </w:r>
          </w:p>
        </w:tc>
      </w:tr>
      <w:tr w:rsidR="00000000" w14:paraId="69449383" w14:textId="77777777">
        <w:trPr>
          <w:divId w:val="548999750"/>
        </w:trPr>
        <w:tc>
          <w:tcPr>
            <w:tcW w:w="0" w:type="auto"/>
            <w:gridSpan w:val="3"/>
            <w:tcMar>
              <w:top w:w="30" w:type="dxa"/>
              <w:left w:w="20" w:type="dxa"/>
              <w:bottom w:w="30" w:type="dxa"/>
              <w:right w:w="20" w:type="dxa"/>
            </w:tcMar>
            <w:vAlign w:val="bottom"/>
            <w:hideMark/>
          </w:tcPr>
          <w:p w14:paraId="5115DE04"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4EF3328B"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2E6D855" w14:textId="77777777" w:rsidR="00000000" w:rsidRDefault="00405D16">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14:paraId="4D062CEA"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0F5E667" w14:textId="77777777" w:rsidR="00000000" w:rsidRDefault="00405D16">
            <w:pPr>
              <w:spacing w:after="100"/>
              <w:jc w:val="center"/>
              <w:rPr>
                <w:rFonts w:eastAsia="Times New Roman"/>
              </w:rPr>
            </w:pPr>
            <w:r>
              <w:rPr>
                <w:rFonts w:eastAsia="Times New Roman"/>
                <w:b/>
                <w:bCs/>
                <w:color w:val="000000"/>
                <w:sz w:val="16"/>
                <w:szCs w:val="16"/>
              </w:rPr>
              <w:t>% of Total</w:t>
            </w:r>
          </w:p>
        </w:tc>
        <w:tc>
          <w:tcPr>
            <w:tcW w:w="0" w:type="auto"/>
            <w:gridSpan w:val="3"/>
            <w:tcMar>
              <w:top w:w="0" w:type="dxa"/>
              <w:left w:w="20" w:type="dxa"/>
              <w:bottom w:w="0" w:type="dxa"/>
              <w:right w:w="20" w:type="dxa"/>
            </w:tcMar>
            <w:vAlign w:val="center"/>
            <w:hideMark/>
          </w:tcPr>
          <w:p w14:paraId="7494A547"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59586EA" w14:textId="77777777" w:rsidR="00000000" w:rsidRDefault="00405D16">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14:paraId="5465703C"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28F9499" w14:textId="77777777" w:rsidR="00000000" w:rsidRDefault="00405D16">
            <w:pPr>
              <w:spacing w:after="100"/>
              <w:jc w:val="center"/>
              <w:rPr>
                <w:rFonts w:eastAsia="Times New Roman"/>
              </w:rPr>
            </w:pPr>
            <w:r>
              <w:rPr>
                <w:rFonts w:eastAsia="Times New Roman"/>
                <w:b/>
                <w:bCs/>
                <w:color w:val="000000"/>
                <w:sz w:val="16"/>
                <w:szCs w:val="16"/>
              </w:rPr>
              <w:t>% of Total</w:t>
            </w:r>
          </w:p>
        </w:tc>
      </w:tr>
      <w:tr w:rsidR="00000000" w14:paraId="1FE18ACD" w14:textId="77777777">
        <w:trPr>
          <w:divId w:val="54899975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6DBF1F1" w14:textId="77777777" w:rsidR="00000000" w:rsidRDefault="00405D16">
            <w:pPr>
              <w:spacing w:after="100"/>
              <w:rPr>
                <w:rFonts w:eastAsia="Times New Roman"/>
              </w:rPr>
            </w:pPr>
            <w:r>
              <w:rPr>
                <w:rFonts w:eastAsia="Times New Roman"/>
                <w:color w:val="000000"/>
                <w:sz w:val="18"/>
                <w:szCs w:val="18"/>
              </w:rPr>
              <w:t>Deposits:</w:t>
            </w:r>
          </w:p>
        </w:tc>
        <w:tc>
          <w:tcPr>
            <w:tcW w:w="0" w:type="auto"/>
            <w:gridSpan w:val="3"/>
            <w:shd w:val="clear" w:color="auto" w:fill="CCEEFF"/>
            <w:tcMar>
              <w:top w:w="0" w:type="dxa"/>
              <w:left w:w="20" w:type="dxa"/>
              <w:bottom w:w="0" w:type="dxa"/>
              <w:right w:w="20" w:type="dxa"/>
            </w:tcMar>
            <w:vAlign w:val="center"/>
            <w:hideMark/>
          </w:tcPr>
          <w:p w14:paraId="3EDD6CDD"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FA62A9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BD71B9"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2C091E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A9767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32E4F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868583"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2BCCBC2" w14:textId="77777777" w:rsidR="00000000" w:rsidRDefault="00405D16">
            <w:pPr>
              <w:spacing w:after="100"/>
              <w:rPr>
                <w:rFonts w:eastAsia="Times New Roman"/>
                <w:sz w:val="20"/>
                <w:szCs w:val="20"/>
              </w:rPr>
            </w:pPr>
          </w:p>
        </w:tc>
      </w:tr>
      <w:tr w:rsidR="00000000" w14:paraId="139690D9" w14:textId="77777777">
        <w:trPr>
          <w:divId w:val="548999750"/>
        </w:trPr>
        <w:tc>
          <w:tcPr>
            <w:tcW w:w="0" w:type="auto"/>
            <w:gridSpan w:val="3"/>
            <w:shd w:val="clear" w:color="auto" w:fill="FFFFFF"/>
            <w:tcMar>
              <w:top w:w="30" w:type="dxa"/>
              <w:left w:w="245" w:type="dxa"/>
              <w:bottom w:w="30" w:type="dxa"/>
              <w:right w:w="20" w:type="dxa"/>
            </w:tcMar>
            <w:vAlign w:val="center"/>
            <w:hideMark/>
          </w:tcPr>
          <w:p w14:paraId="2A968C3B" w14:textId="77777777" w:rsidR="00000000" w:rsidRDefault="00405D16">
            <w:pPr>
              <w:spacing w:after="100"/>
              <w:rPr>
                <w:rFonts w:eastAsia="Times New Roman"/>
              </w:rPr>
            </w:pPr>
            <w:r>
              <w:rPr>
                <w:rFonts w:eastAsia="Times New Roman"/>
                <w:color w:val="000000"/>
                <w:sz w:val="18"/>
                <w:szCs w:val="18"/>
              </w:rPr>
              <w:t>Consumer Banking</w:t>
            </w:r>
          </w:p>
        </w:tc>
        <w:tc>
          <w:tcPr>
            <w:tcW w:w="0" w:type="auto"/>
            <w:gridSpan w:val="3"/>
            <w:shd w:val="clear" w:color="auto" w:fill="FFFFFF"/>
            <w:tcMar>
              <w:top w:w="0" w:type="dxa"/>
              <w:left w:w="20" w:type="dxa"/>
              <w:bottom w:w="0" w:type="dxa"/>
              <w:right w:w="20" w:type="dxa"/>
            </w:tcMar>
            <w:vAlign w:val="center"/>
            <w:hideMark/>
          </w:tcPr>
          <w:p w14:paraId="6C8E6EED"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2F425C7B"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1FE2A132" w14:textId="77777777" w:rsidR="00000000" w:rsidRDefault="00405D16">
            <w:pPr>
              <w:spacing w:after="100"/>
              <w:jc w:val="right"/>
              <w:rPr>
                <w:rFonts w:eastAsia="Times New Roman"/>
              </w:rPr>
            </w:pPr>
            <w:r>
              <w:rPr>
                <w:rFonts w:eastAsia="Times New Roman"/>
                <w:b/>
                <w:bCs/>
                <w:color w:val="000000"/>
                <w:sz w:val="18"/>
                <w:szCs w:val="18"/>
              </w:rPr>
              <w:t>252,387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44EABB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1E804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22C9DE7" w14:textId="77777777" w:rsidR="00000000" w:rsidRDefault="00405D16">
            <w:pPr>
              <w:spacing w:after="100"/>
              <w:jc w:val="right"/>
              <w:rPr>
                <w:rFonts w:eastAsia="Times New Roman"/>
              </w:rPr>
            </w:pPr>
            <w:r>
              <w:rPr>
                <w:rFonts w:eastAsia="Times New Roman"/>
                <w:b/>
                <w:bCs/>
                <w:color w:val="000000"/>
                <w:sz w:val="18"/>
                <w:szCs w:val="18"/>
              </w:rPr>
              <w:t>73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4B28CE6"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0D40F33" w14:textId="77777777" w:rsidR="00000000" w:rsidRDefault="00405D16">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0257E17C"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0072103E" w14:textId="77777777" w:rsidR="00000000" w:rsidRDefault="00405D16">
            <w:pPr>
              <w:spacing w:after="100"/>
              <w:jc w:val="right"/>
              <w:rPr>
                <w:rFonts w:eastAsia="Times New Roman"/>
              </w:rPr>
            </w:pPr>
            <w:r>
              <w:rPr>
                <w:rFonts w:eastAsia="Times New Roman"/>
                <w:color w:val="000000"/>
                <w:sz w:val="18"/>
                <w:szCs w:val="18"/>
              </w:rPr>
              <w:t>249,815 </w:t>
            </w:r>
          </w:p>
        </w:tc>
        <w:tc>
          <w:tcPr>
            <w:tcW w:w="0" w:type="auto"/>
            <w:shd w:val="clear" w:color="auto" w:fill="FFFFFF"/>
            <w:tcMar>
              <w:top w:w="30" w:type="dxa"/>
              <w:left w:w="0" w:type="dxa"/>
              <w:bottom w:w="30" w:type="dxa"/>
              <w:right w:w="20" w:type="dxa"/>
            </w:tcMar>
            <w:vAlign w:val="center"/>
            <w:hideMark/>
          </w:tcPr>
          <w:p w14:paraId="32E5C4D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BE0E7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D3D1301" w14:textId="77777777" w:rsidR="00000000" w:rsidRDefault="00405D16">
            <w:pPr>
              <w:spacing w:after="100"/>
              <w:jc w:val="right"/>
              <w:rPr>
                <w:rFonts w:eastAsia="Times New Roman"/>
              </w:rPr>
            </w:pPr>
            <w:r>
              <w:rPr>
                <w:rFonts w:eastAsia="Times New Roman"/>
                <w:color w:val="000000"/>
                <w:sz w:val="18"/>
                <w:szCs w:val="18"/>
              </w:rPr>
              <w:t>72 </w:t>
            </w:r>
          </w:p>
        </w:tc>
        <w:tc>
          <w:tcPr>
            <w:tcW w:w="0" w:type="auto"/>
            <w:shd w:val="clear" w:color="auto" w:fill="FFFFFF"/>
            <w:tcMar>
              <w:top w:w="30" w:type="dxa"/>
              <w:left w:w="0" w:type="dxa"/>
              <w:bottom w:w="30" w:type="dxa"/>
              <w:right w:w="20" w:type="dxa"/>
            </w:tcMar>
            <w:vAlign w:val="center"/>
            <w:hideMark/>
          </w:tcPr>
          <w:p w14:paraId="4B0ED88E" w14:textId="77777777" w:rsidR="00000000" w:rsidRDefault="00405D16">
            <w:pPr>
              <w:spacing w:after="100"/>
              <w:jc w:val="right"/>
              <w:rPr>
                <w:rFonts w:eastAsia="Times New Roman"/>
              </w:rPr>
            </w:pPr>
            <w:r>
              <w:rPr>
                <w:rFonts w:eastAsia="Times New Roman"/>
                <w:color w:val="000000"/>
                <w:sz w:val="18"/>
                <w:szCs w:val="18"/>
              </w:rPr>
              <w:t>%</w:t>
            </w:r>
          </w:p>
        </w:tc>
      </w:tr>
      <w:tr w:rsidR="00000000" w14:paraId="325843B6" w14:textId="77777777">
        <w:trPr>
          <w:divId w:val="548999750"/>
        </w:trPr>
        <w:tc>
          <w:tcPr>
            <w:tcW w:w="0" w:type="auto"/>
            <w:gridSpan w:val="3"/>
            <w:shd w:val="clear" w:color="auto" w:fill="CCEEFF"/>
            <w:tcMar>
              <w:top w:w="30" w:type="dxa"/>
              <w:left w:w="245" w:type="dxa"/>
              <w:bottom w:w="30" w:type="dxa"/>
              <w:right w:w="20" w:type="dxa"/>
            </w:tcMar>
            <w:vAlign w:val="center"/>
            <w:hideMark/>
          </w:tcPr>
          <w:p w14:paraId="123F9B1E" w14:textId="77777777" w:rsidR="00000000" w:rsidRDefault="00405D16">
            <w:pPr>
              <w:spacing w:after="100"/>
              <w:rPr>
                <w:rFonts w:eastAsia="Times New Roman"/>
              </w:rPr>
            </w:pPr>
            <w:r>
              <w:rPr>
                <w:rFonts w:eastAsia="Times New Roman"/>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14:paraId="2D2E8FE9"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E53B875" w14:textId="77777777" w:rsidR="00000000" w:rsidRDefault="00405D16">
            <w:pPr>
              <w:spacing w:after="100"/>
              <w:jc w:val="right"/>
              <w:rPr>
                <w:rFonts w:eastAsia="Times New Roman"/>
              </w:rPr>
            </w:pPr>
            <w:r>
              <w:rPr>
                <w:rFonts w:eastAsia="Times New Roman"/>
                <w:b/>
                <w:bCs/>
                <w:color w:val="000000"/>
                <w:sz w:val="18"/>
                <w:szCs w:val="18"/>
              </w:rPr>
              <w:t>43,347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CD8400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1D89E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B3FA388" w14:textId="77777777" w:rsidR="00000000" w:rsidRDefault="00405D16">
            <w:pPr>
              <w:spacing w:after="100"/>
              <w:jc w:val="right"/>
              <w:rPr>
                <w:rFonts w:eastAsia="Times New Roman"/>
              </w:rPr>
            </w:pPr>
            <w:r>
              <w:rPr>
                <w:rFonts w:eastAsia="Times New Roman"/>
                <w:b/>
                <w:bCs/>
                <w:color w:val="000000"/>
                <w:sz w:val="18"/>
                <w:szCs w:val="18"/>
              </w:rPr>
              <w:t>13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371589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6198C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12F4CBB" w14:textId="77777777" w:rsidR="00000000" w:rsidRDefault="00405D16">
            <w:pPr>
              <w:spacing w:after="100"/>
              <w:jc w:val="right"/>
              <w:rPr>
                <w:rFonts w:eastAsia="Times New Roman"/>
              </w:rPr>
            </w:pPr>
            <w:r>
              <w:rPr>
                <w:rFonts w:eastAsia="Times New Roman"/>
                <w:color w:val="000000"/>
                <w:sz w:val="18"/>
                <w:szCs w:val="18"/>
              </w:rPr>
              <w:t>39,590 </w:t>
            </w:r>
          </w:p>
        </w:tc>
        <w:tc>
          <w:tcPr>
            <w:tcW w:w="0" w:type="auto"/>
            <w:shd w:val="clear" w:color="auto" w:fill="CCEEFF"/>
            <w:tcMar>
              <w:top w:w="30" w:type="dxa"/>
              <w:left w:w="0" w:type="dxa"/>
              <w:bottom w:w="30" w:type="dxa"/>
              <w:right w:w="20" w:type="dxa"/>
            </w:tcMar>
            <w:vAlign w:val="center"/>
            <w:hideMark/>
          </w:tcPr>
          <w:p w14:paraId="6E9F897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6A34E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A7D9B66" w14:textId="77777777" w:rsidR="00000000" w:rsidRDefault="00405D16">
            <w:pPr>
              <w:spacing w:after="100"/>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center"/>
            <w:hideMark/>
          </w:tcPr>
          <w:p w14:paraId="3FBF8B85" w14:textId="77777777" w:rsidR="00000000" w:rsidRDefault="00405D16">
            <w:pPr>
              <w:spacing w:after="100"/>
              <w:jc w:val="right"/>
              <w:rPr>
                <w:rFonts w:eastAsia="Times New Roman"/>
              </w:rPr>
            </w:pPr>
          </w:p>
        </w:tc>
      </w:tr>
      <w:tr w:rsidR="00000000" w14:paraId="2F27C9E8" w14:textId="77777777">
        <w:trPr>
          <w:divId w:val="548999750"/>
        </w:trPr>
        <w:tc>
          <w:tcPr>
            <w:tcW w:w="0" w:type="auto"/>
            <w:gridSpan w:val="3"/>
            <w:shd w:val="clear" w:color="auto" w:fill="FFFFFF"/>
            <w:tcMar>
              <w:top w:w="30" w:type="dxa"/>
              <w:left w:w="20" w:type="dxa"/>
              <w:bottom w:w="30" w:type="dxa"/>
              <w:right w:w="20" w:type="dxa"/>
            </w:tcMar>
            <w:vAlign w:val="center"/>
            <w:hideMark/>
          </w:tcPr>
          <w:p w14:paraId="7F2A6126" w14:textId="77777777" w:rsidR="00000000" w:rsidRDefault="00405D16">
            <w:pPr>
              <w:spacing w:after="100"/>
              <w:divId w:val="431900664"/>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17DDEC50"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7BF7621" w14:textId="77777777" w:rsidR="00000000" w:rsidRDefault="00405D16">
            <w:pPr>
              <w:spacing w:after="100"/>
              <w:jc w:val="right"/>
              <w:rPr>
                <w:rFonts w:eastAsia="Times New Roman"/>
              </w:rPr>
            </w:pPr>
            <w:r>
              <w:rPr>
                <w:rFonts w:eastAsia="Times New Roman"/>
                <w:b/>
                <w:bCs/>
                <w:color w:val="000000"/>
                <w:sz w:val="18"/>
                <w:szCs w:val="18"/>
              </w:rPr>
              <w:t>10,204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723AB4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6D993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D9C4441" w14:textId="77777777" w:rsidR="00000000" w:rsidRDefault="00405D16">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EF3209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363CC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BC6D57F" w14:textId="77777777" w:rsidR="00000000" w:rsidRDefault="00405D16">
            <w:pPr>
              <w:spacing w:after="100"/>
              <w:jc w:val="right"/>
              <w:rPr>
                <w:rFonts w:eastAsia="Times New Roman"/>
              </w:rPr>
            </w:pPr>
            <w:r>
              <w:rPr>
                <w:rFonts w:eastAsia="Times New Roman"/>
                <w:color w:val="000000"/>
                <w:sz w:val="18"/>
                <w:szCs w:val="18"/>
              </w:rPr>
              <w:t>16,037 </w:t>
            </w:r>
          </w:p>
        </w:tc>
        <w:tc>
          <w:tcPr>
            <w:tcW w:w="0" w:type="auto"/>
            <w:shd w:val="clear" w:color="auto" w:fill="FFFFFF"/>
            <w:tcMar>
              <w:top w:w="30" w:type="dxa"/>
              <w:left w:w="0" w:type="dxa"/>
              <w:bottom w:w="30" w:type="dxa"/>
              <w:right w:w="20" w:type="dxa"/>
            </w:tcMar>
            <w:vAlign w:val="center"/>
            <w:hideMark/>
          </w:tcPr>
          <w:p w14:paraId="65F920E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6F5D5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85C80E9" w14:textId="77777777" w:rsidR="00000000" w:rsidRDefault="00405D16">
            <w:pPr>
              <w:spacing w:after="100"/>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14:paraId="1FCA4E3A" w14:textId="77777777" w:rsidR="00000000" w:rsidRDefault="00405D16">
            <w:pPr>
              <w:spacing w:after="100"/>
              <w:jc w:val="right"/>
              <w:rPr>
                <w:rFonts w:eastAsia="Times New Roman"/>
              </w:rPr>
            </w:pPr>
          </w:p>
        </w:tc>
      </w:tr>
      <w:tr w:rsidR="00000000" w14:paraId="18A022FC" w14:textId="77777777">
        <w:trPr>
          <w:divId w:val="548999750"/>
        </w:trPr>
        <w:tc>
          <w:tcPr>
            <w:tcW w:w="0" w:type="auto"/>
            <w:gridSpan w:val="3"/>
            <w:shd w:val="clear" w:color="auto" w:fill="CCEEFF"/>
            <w:tcMar>
              <w:top w:w="30" w:type="dxa"/>
              <w:left w:w="20" w:type="dxa"/>
              <w:bottom w:w="30" w:type="dxa"/>
              <w:right w:w="20" w:type="dxa"/>
            </w:tcMar>
            <w:vAlign w:val="center"/>
            <w:hideMark/>
          </w:tcPr>
          <w:p w14:paraId="2479A405" w14:textId="77777777" w:rsidR="00000000" w:rsidRDefault="00405D16">
            <w:pPr>
              <w:spacing w:after="100"/>
              <w:rPr>
                <w:rFonts w:eastAsia="Times New Roman"/>
              </w:rPr>
            </w:pPr>
            <w:r>
              <w:rPr>
                <w:rFonts w:eastAsia="Times New Roman"/>
                <w:color w:val="000000"/>
                <w:sz w:val="18"/>
                <w:szCs w:val="18"/>
              </w:rPr>
              <w:t>Total deposits</w:t>
            </w:r>
          </w:p>
        </w:tc>
        <w:tc>
          <w:tcPr>
            <w:tcW w:w="0" w:type="auto"/>
            <w:gridSpan w:val="3"/>
            <w:shd w:val="clear" w:color="auto" w:fill="CCEEFF"/>
            <w:tcMar>
              <w:top w:w="0" w:type="dxa"/>
              <w:left w:w="20" w:type="dxa"/>
              <w:bottom w:w="0" w:type="dxa"/>
              <w:right w:w="20" w:type="dxa"/>
            </w:tcMar>
            <w:vAlign w:val="center"/>
            <w:hideMark/>
          </w:tcPr>
          <w:p w14:paraId="69962C61"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13179E7" w14:textId="77777777" w:rsidR="00000000" w:rsidRDefault="00405D16">
            <w:pPr>
              <w:spacing w:after="100"/>
              <w:jc w:val="right"/>
              <w:rPr>
                <w:rFonts w:eastAsia="Times New Roman"/>
              </w:rPr>
            </w:pPr>
            <w:r>
              <w:rPr>
                <w:rFonts w:eastAsia="Times New Roman"/>
                <w:b/>
                <w:bCs/>
                <w:color w:val="000000"/>
                <w:sz w:val="18"/>
                <w:szCs w:val="18"/>
              </w:rPr>
              <w:t>305,938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21E65A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2E0C70"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89FDF95" w14:textId="77777777" w:rsidR="00000000" w:rsidRDefault="00405D16">
            <w:pPr>
              <w:spacing w:after="100"/>
              <w:jc w:val="right"/>
              <w:rPr>
                <w:rFonts w:eastAsia="Times New Roman"/>
              </w:rPr>
            </w:pPr>
            <w:r>
              <w:rPr>
                <w:rFonts w:eastAsia="Times New Roman"/>
                <w:b/>
                <w:bCs/>
                <w:color w:val="000000"/>
                <w:sz w:val="18"/>
                <w:szCs w:val="18"/>
              </w:rPr>
              <w:t>89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851282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7D5207"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EC0C0CB" w14:textId="77777777" w:rsidR="00000000" w:rsidRDefault="00405D16">
            <w:pPr>
              <w:spacing w:after="100"/>
              <w:jc w:val="right"/>
              <w:rPr>
                <w:rFonts w:eastAsia="Times New Roman"/>
              </w:rPr>
            </w:pPr>
            <w:r>
              <w:rPr>
                <w:rFonts w:eastAsia="Times New Roman"/>
                <w:color w:val="000000"/>
                <w:sz w:val="18"/>
                <w:szCs w:val="18"/>
              </w:rPr>
              <w:t>305,442 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3B0F51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B7B99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158ADB4" w14:textId="77777777" w:rsidR="00000000" w:rsidRDefault="00405D16">
            <w:pPr>
              <w:spacing w:after="100"/>
              <w:jc w:val="right"/>
              <w:rPr>
                <w:rFonts w:eastAsia="Times New Roman"/>
              </w:rPr>
            </w:pPr>
            <w:r>
              <w:rPr>
                <w:rFonts w:eastAsia="Times New Roman"/>
                <w:color w:val="000000"/>
                <w:sz w:val="18"/>
                <w:szCs w:val="18"/>
              </w:rPr>
              <w:t>88 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20C9AEB" w14:textId="77777777" w:rsidR="00000000" w:rsidRDefault="00405D16">
            <w:pPr>
              <w:spacing w:after="100"/>
              <w:jc w:val="right"/>
              <w:rPr>
                <w:rFonts w:eastAsia="Times New Roman"/>
              </w:rPr>
            </w:pPr>
          </w:p>
        </w:tc>
      </w:tr>
      <w:tr w:rsidR="00000000" w14:paraId="1F84F113" w14:textId="77777777">
        <w:trPr>
          <w:divId w:val="548999750"/>
        </w:trPr>
        <w:tc>
          <w:tcPr>
            <w:tcW w:w="0" w:type="auto"/>
            <w:gridSpan w:val="3"/>
            <w:shd w:val="clear" w:color="auto" w:fill="FFFFFF"/>
            <w:tcMar>
              <w:top w:w="30" w:type="dxa"/>
              <w:left w:w="20" w:type="dxa"/>
              <w:bottom w:w="30" w:type="dxa"/>
              <w:right w:w="20" w:type="dxa"/>
            </w:tcMar>
            <w:vAlign w:val="center"/>
            <w:hideMark/>
          </w:tcPr>
          <w:p w14:paraId="526AC974" w14:textId="77777777" w:rsidR="00000000" w:rsidRDefault="00405D16">
            <w:pPr>
              <w:spacing w:after="100"/>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14:paraId="65BF51E9"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7B651A0" w14:textId="77777777" w:rsidR="00000000" w:rsidRDefault="00405D16">
            <w:pPr>
              <w:spacing w:after="100"/>
              <w:jc w:val="right"/>
              <w:rPr>
                <w:rFonts w:eastAsia="Times New Roman"/>
              </w:rPr>
            </w:pPr>
            <w:r>
              <w:rPr>
                <w:rFonts w:eastAsia="Times New Roman"/>
                <w:b/>
                <w:bCs/>
                <w:color w:val="000000"/>
                <w:sz w:val="18"/>
                <w:szCs w:val="18"/>
              </w:rPr>
              <w:t>12,635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8665C3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ED666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37E59E2" w14:textId="77777777" w:rsidR="00000000" w:rsidRDefault="00405D16">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14AEC4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57039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F324AC5" w14:textId="77777777" w:rsidR="00000000" w:rsidRDefault="00405D16">
            <w:pPr>
              <w:spacing w:after="100"/>
              <w:jc w:val="right"/>
              <w:rPr>
                <w:rFonts w:eastAsia="Times New Roman"/>
              </w:rPr>
            </w:pPr>
            <w:r>
              <w:rPr>
                <w:rFonts w:eastAsia="Times New Roman"/>
                <w:color w:val="000000"/>
                <w:sz w:val="18"/>
                <w:szCs w:val="18"/>
              </w:rPr>
              <w:t>12,414 </w:t>
            </w:r>
          </w:p>
        </w:tc>
        <w:tc>
          <w:tcPr>
            <w:tcW w:w="0" w:type="auto"/>
            <w:shd w:val="clear" w:color="auto" w:fill="FFFFFF"/>
            <w:tcMar>
              <w:top w:w="30" w:type="dxa"/>
              <w:left w:w="0" w:type="dxa"/>
              <w:bottom w:w="30" w:type="dxa"/>
              <w:right w:w="20" w:type="dxa"/>
            </w:tcMar>
            <w:vAlign w:val="center"/>
            <w:hideMark/>
          </w:tcPr>
          <w:p w14:paraId="176B2BF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82E97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A4262CE" w14:textId="77777777" w:rsidR="00000000" w:rsidRDefault="00405D16">
            <w:pPr>
              <w:spacing w:after="100"/>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14:paraId="2FD528A4" w14:textId="77777777" w:rsidR="00000000" w:rsidRDefault="00405D16">
            <w:pPr>
              <w:spacing w:after="100"/>
              <w:jc w:val="right"/>
              <w:rPr>
                <w:rFonts w:eastAsia="Times New Roman"/>
              </w:rPr>
            </w:pPr>
          </w:p>
        </w:tc>
      </w:tr>
      <w:tr w:rsidR="00000000" w14:paraId="61450B2A" w14:textId="77777777">
        <w:trPr>
          <w:divId w:val="548999750"/>
        </w:trPr>
        <w:tc>
          <w:tcPr>
            <w:tcW w:w="0" w:type="auto"/>
            <w:gridSpan w:val="3"/>
            <w:shd w:val="clear" w:color="auto" w:fill="CCEEFF"/>
            <w:tcMar>
              <w:top w:w="30" w:type="dxa"/>
              <w:left w:w="20" w:type="dxa"/>
              <w:bottom w:w="30" w:type="dxa"/>
              <w:right w:w="20" w:type="dxa"/>
            </w:tcMar>
            <w:vAlign w:val="center"/>
            <w:hideMark/>
          </w:tcPr>
          <w:p w14:paraId="4A21230B" w14:textId="77777777" w:rsidR="00000000" w:rsidRDefault="00405D16">
            <w:pPr>
              <w:spacing w:after="100"/>
              <w:rPr>
                <w:rFonts w:eastAsia="Times New Roman"/>
              </w:rPr>
            </w:pPr>
            <w:r>
              <w:rPr>
                <w:rFonts w:eastAsia="Times New Roman"/>
                <w:color w:val="000000"/>
                <w:sz w:val="18"/>
                <w:szCs w:val="18"/>
              </w:rPr>
              <w:t>Other debt</w:t>
            </w:r>
          </w:p>
        </w:tc>
        <w:tc>
          <w:tcPr>
            <w:tcW w:w="0" w:type="auto"/>
            <w:gridSpan w:val="3"/>
            <w:shd w:val="clear" w:color="auto" w:fill="CCEEFF"/>
            <w:tcMar>
              <w:top w:w="0" w:type="dxa"/>
              <w:left w:w="20" w:type="dxa"/>
              <w:bottom w:w="0" w:type="dxa"/>
              <w:right w:w="20" w:type="dxa"/>
            </w:tcMar>
            <w:vAlign w:val="center"/>
            <w:hideMark/>
          </w:tcPr>
          <w:p w14:paraId="744A3F39"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F6872EE" w14:textId="77777777" w:rsidR="00000000" w:rsidRDefault="00405D16">
            <w:pPr>
              <w:spacing w:after="100"/>
              <w:jc w:val="right"/>
              <w:rPr>
                <w:rFonts w:eastAsia="Times New Roman"/>
              </w:rPr>
            </w:pPr>
            <w:r>
              <w:rPr>
                <w:rFonts w:eastAsia="Times New Roman"/>
                <w:b/>
                <w:bCs/>
                <w:color w:val="000000"/>
                <w:sz w:val="18"/>
                <w:szCs w:val="18"/>
              </w:rPr>
              <w:t>24,866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50DECC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42543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5A63A85" w14:textId="77777777" w:rsidR="00000000" w:rsidRDefault="00405D16">
            <w:pPr>
              <w:spacing w:after="100"/>
              <w:jc w:val="right"/>
              <w:rPr>
                <w:rFonts w:eastAsia="Times New Roman"/>
              </w:rPr>
            </w:pPr>
            <w:r>
              <w:rPr>
                <w:rFonts w:eastAsia="Times New Roman"/>
                <w:b/>
                <w:bCs/>
                <w:color w:val="000000"/>
                <w:sz w:val="18"/>
                <w:szCs w:val="18"/>
              </w:rPr>
              <w:t>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51FC70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24032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39AE429" w14:textId="77777777" w:rsidR="00000000" w:rsidRDefault="00405D16">
            <w:pPr>
              <w:spacing w:after="100"/>
              <w:jc w:val="right"/>
              <w:rPr>
                <w:rFonts w:eastAsia="Times New Roman"/>
              </w:rPr>
            </w:pPr>
            <w:r>
              <w:rPr>
                <w:rFonts w:eastAsia="Times New Roman"/>
                <w:color w:val="000000"/>
                <w:sz w:val="18"/>
                <w:szCs w:val="18"/>
              </w:rPr>
              <w:t>28,125 </w:t>
            </w:r>
          </w:p>
        </w:tc>
        <w:tc>
          <w:tcPr>
            <w:tcW w:w="0" w:type="auto"/>
            <w:shd w:val="clear" w:color="auto" w:fill="CCEEFF"/>
            <w:tcMar>
              <w:top w:w="30" w:type="dxa"/>
              <w:left w:w="0" w:type="dxa"/>
              <w:bottom w:w="30" w:type="dxa"/>
              <w:right w:w="20" w:type="dxa"/>
            </w:tcMar>
            <w:vAlign w:val="center"/>
            <w:hideMark/>
          </w:tcPr>
          <w:p w14:paraId="482FDAA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E4FA4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161A6E4" w14:textId="77777777" w:rsidR="00000000" w:rsidRDefault="00405D16">
            <w:pPr>
              <w:spacing w:after="100"/>
              <w:jc w:val="right"/>
              <w:rPr>
                <w:rFonts w:eastAsia="Times New Roman"/>
              </w:rPr>
            </w:pPr>
            <w:r>
              <w:rPr>
                <w:rFonts w:eastAsia="Times New Roman"/>
                <w:color w:val="000000"/>
                <w:sz w:val="18"/>
                <w:szCs w:val="18"/>
              </w:rPr>
              <w:t>8 </w:t>
            </w:r>
          </w:p>
        </w:tc>
        <w:tc>
          <w:tcPr>
            <w:tcW w:w="0" w:type="auto"/>
            <w:shd w:val="clear" w:color="auto" w:fill="CCEEFF"/>
            <w:tcMar>
              <w:top w:w="30" w:type="dxa"/>
              <w:left w:w="0" w:type="dxa"/>
              <w:bottom w:w="30" w:type="dxa"/>
              <w:right w:w="20" w:type="dxa"/>
            </w:tcMar>
            <w:vAlign w:val="center"/>
            <w:hideMark/>
          </w:tcPr>
          <w:p w14:paraId="7A4C6ED6" w14:textId="77777777" w:rsidR="00000000" w:rsidRDefault="00405D16">
            <w:pPr>
              <w:spacing w:after="100"/>
              <w:jc w:val="right"/>
              <w:rPr>
                <w:rFonts w:eastAsia="Times New Roman"/>
              </w:rPr>
            </w:pPr>
          </w:p>
        </w:tc>
      </w:tr>
      <w:tr w:rsidR="00000000" w14:paraId="05B10084" w14:textId="77777777">
        <w:trPr>
          <w:divId w:val="548999750"/>
        </w:trPr>
        <w:tc>
          <w:tcPr>
            <w:tcW w:w="0" w:type="auto"/>
            <w:gridSpan w:val="3"/>
            <w:shd w:val="clear" w:color="auto" w:fill="FFFFFF"/>
            <w:tcMar>
              <w:top w:w="30" w:type="dxa"/>
              <w:left w:w="20" w:type="dxa"/>
              <w:bottom w:w="30" w:type="dxa"/>
              <w:right w:w="20" w:type="dxa"/>
            </w:tcMar>
            <w:vAlign w:val="center"/>
            <w:hideMark/>
          </w:tcPr>
          <w:p w14:paraId="30CA3B2D" w14:textId="77777777" w:rsidR="00000000" w:rsidRDefault="00405D16">
            <w:pPr>
              <w:spacing w:after="100"/>
              <w:rPr>
                <w:rFonts w:eastAsia="Times New Roman"/>
              </w:rPr>
            </w:pPr>
            <w:r>
              <w:rPr>
                <w:rFonts w:eastAsia="Times New Roman"/>
                <w:color w:val="000000"/>
                <w:sz w:val="18"/>
                <w:szCs w:val="18"/>
              </w:rPr>
              <w:t>Total funding sources</w:t>
            </w:r>
          </w:p>
        </w:tc>
        <w:tc>
          <w:tcPr>
            <w:tcW w:w="0" w:type="auto"/>
            <w:gridSpan w:val="3"/>
            <w:shd w:val="clear" w:color="auto" w:fill="FFFFFF"/>
            <w:tcMar>
              <w:top w:w="0" w:type="dxa"/>
              <w:left w:w="20" w:type="dxa"/>
              <w:bottom w:w="0" w:type="dxa"/>
              <w:right w:w="20" w:type="dxa"/>
            </w:tcMar>
            <w:vAlign w:val="center"/>
            <w:hideMark/>
          </w:tcPr>
          <w:p w14:paraId="594CFCEC"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98FBFD3"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ABEF68B" w14:textId="77777777" w:rsidR="00000000" w:rsidRDefault="00405D16">
            <w:pPr>
              <w:spacing w:after="100"/>
              <w:jc w:val="right"/>
              <w:rPr>
                <w:rFonts w:eastAsia="Times New Roman"/>
              </w:rPr>
            </w:pPr>
            <w:r>
              <w:rPr>
                <w:rFonts w:eastAsia="Times New Roman"/>
                <w:b/>
                <w:bCs/>
                <w:color w:val="000000"/>
                <w:sz w:val="18"/>
                <w:szCs w:val="18"/>
              </w:rPr>
              <w:t>343,439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B04F3C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083B54" w14:textId="77777777" w:rsidR="00000000" w:rsidRDefault="00405D1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ED90E42" w14:textId="77777777" w:rsidR="00000000" w:rsidRDefault="00405D16">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804E6DA"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F18E9D4" w14:textId="77777777" w:rsidR="00000000" w:rsidRDefault="00405D16">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9CF1912"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901A414" w14:textId="77777777" w:rsidR="00000000" w:rsidRDefault="00405D16">
            <w:pPr>
              <w:spacing w:after="100"/>
              <w:jc w:val="right"/>
              <w:rPr>
                <w:rFonts w:eastAsia="Times New Roman"/>
              </w:rPr>
            </w:pPr>
            <w:r>
              <w:rPr>
                <w:rFonts w:eastAsia="Times New Roman"/>
                <w:color w:val="000000"/>
                <w:sz w:val="18"/>
                <w:szCs w:val="18"/>
              </w:rPr>
              <w:t>345,981 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F00534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86C31A" w14:textId="77777777" w:rsidR="00000000" w:rsidRDefault="00405D1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EF771CB" w14:textId="77777777" w:rsidR="00000000" w:rsidRDefault="00405D16">
            <w:pPr>
              <w:spacing w:after="100"/>
              <w:jc w:val="right"/>
              <w:rPr>
                <w:rFonts w:eastAsia="Times New Roman"/>
              </w:rPr>
            </w:pPr>
            <w:r>
              <w:rPr>
                <w:rFonts w:eastAsia="Times New Roman"/>
                <w:color w:val="000000"/>
                <w:sz w:val="18"/>
                <w:szCs w:val="18"/>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5D55F2D" w14:textId="77777777" w:rsidR="00000000" w:rsidRDefault="00405D16">
            <w:pPr>
              <w:spacing w:after="100"/>
              <w:jc w:val="right"/>
              <w:rPr>
                <w:rFonts w:eastAsia="Times New Roman"/>
              </w:rPr>
            </w:pPr>
            <w:r>
              <w:rPr>
                <w:rFonts w:eastAsia="Times New Roman"/>
                <w:color w:val="000000"/>
                <w:sz w:val="18"/>
                <w:szCs w:val="18"/>
              </w:rPr>
              <w:t>%</w:t>
            </w:r>
          </w:p>
        </w:tc>
      </w:tr>
    </w:tbl>
    <w:p w14:paraId="726D8026" w14:textId="77777777" w:rsidR="00000000" w:rsidRDefault="00405D16">
      <w:pPr>
        <w:divId w:val="230430785"/>
        <w:rPr>
          <w:rFonts w:eastAsia="Times New Roman"/>
        </w:rPr>
      </w:pPr>
      <w:r>
        <w:rPr>
          <w:rFonts w:eastAsia="Times New Roman"/>
          <w:color w:val="000000"/>
          <w:sz w:val="20"/>
          <w:szCs w:val="20"/>
        </w:rPr>
        <w:t>__________</w:t>
      </w:r>
    </w:p>
    <w:p w14:paraId="6DDA147C" w14:textId="77777777" w:rsidR="00000000" w:rsidRDefault="00405D16">
      <w:pPr>
        <w:ind w:hanging="360"/>
        <w:jc w:val="both"/>
        <w:divId w:val="31071911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Includes brokered deposits of $9.1 billion and $15.0 billion as of September 30, 2021 and December 31, 2020, </w:t>
      </w:r>
      <w:r>
        <w:rPr>
          <w:rFonts w:eastAsia="Times New Roman"/>
          <w:color w:val="000000"/>
          <w:sz w:val="16"/>
          <w:szCs w:val="16"/>
        </w:rPr>
        <w:t>respectively.</w:t>
      </w:r>
    </w:p>
    <w:p w14:paraId="6250BB6D" w14:textId="77777777" w:rsidR="00000000" w:rsidRDefault="00405D16">
      <w:pPr>
        <w:jc w:val="both"/>
        <w:divId w:val="123160526"/>
        <w:rPr>
          <w:rFonts w:eastAsia="Times New Roman"/>
        </w:rPr>
      </w:pPr>
      <w:r>
        <w:rPr>
          <w:rFonts w:eastAsia="Times New Roman"/>
          <w:color w:val="000000"/>
          <w:sz w:val="20"/>
          <w:szCs w:val="20"/>
        </w:rPr>
        <w:t>Total deposits increased by $496 million to $305.9 billion as of September 30, 2021 from December 31, 2020 primarily driven by increased consumer savings, as well as commercial clients holding elevated levels of liquidity, partially offset by</w:t>
      </w:r>
      <w:r>
        <w:rPr>
          <w:rFonts w:eastAsia="Times New Roman"/>
          <w:color w:val="000000"/>
          <w:sz w:val="20"/>
          <w:szCs w:val="20"/>
        </w:rPr>
        <w:t xml:space="preserve"> maturities in brokered deposits.</w:t>
      </w:r>
    </w:p>
    <w:p w14:paraId="4E333178" w14:textId="77777777" w:rsidR="00000000" w:rsidRDefault="00405D16">
      <w:pPr>
        <w:jc w:val="both"/>
        <w:divId w:val="1301152204"/>
        <w:rPr>
          <w:rFonts w:eastAsia="Times New Roman"/>
        </w:rPr>
      </w:pPr>
      <w:r>
        <w:rPr>
          <w:rFonts w:eastAsia="Times New Roman"/>
          <w:color w:val="000000"/>
          <w:sz w:val="20"/>
          <w:szCs w:val="20"/>
        </w:rPr>
        <w:t>Securitized debt obligations increased by $221 million to $12.6 billion as of September 30, 2021 from December 31, 2020 primarily driven by issuances in our credit card securitization program, partially offset by maturitie</w:t>
      </w:r>
      <w:r>
        <w:rPr>
          <w:rFonts w:eastAsia="Times New Roman"/>
          <w:color w:val="000000"/>
          <w:sz w:val="20"/>
          <w:szCs w:val="20"/>
        </w:rPr>
        <w:t>s and paydowns in our securitization programs.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7CF16655" w14:textId="77777777">
        <w:trPr>
          <w:divId w:val="348869027"/>
          <w:jc w:val="center"/>
        </w:trPr>
        <w:tc>
          <w:tcPr>
            <w:tcW w:w="50" w:type="pct"/>
            <w:vAlign w:val="center"/>
            <w:hideMark/>
          </w:tcPr>
          <w:p w14:paraId="1CFD9F83" w14:textId="77777777" w:rsidR="00000000" w:rsidRDefault="00405D16">
            <w:pPr>
              <w:jc w:val="both"/>
              <w:rPr>
                <w:rFonts w:eastAsia="Times New Roman"/>
              </w:rPr>
            </w:pPr>
          </w:p>
        </w:tc>
        <w:tc>
          <w:tcPr>
            <w:tcW w:w="1606" w:type="pct"/>
            <w:vAlign w:val="center"/>
            <w:hideMark/>
          </w:tcPr>
          <w:p w14:paraId="48DD330A" w14:textId="77777777" w:rsidR="00000000" w:rsidRDefault="00405D16">
            <w:pPr>
              <w:spacing w:after="100"/>
              <w:rPr>
                <w:rFonts w:eastAsia="Times New Roman"/>
                <w:sz w:val="20"/>
                <w:szCs w:val="20"/>
              </w:rPr>
            </w:pPr>
          </w:p>
        </w:tc>
        <w:tc>
          <w:tcPr>
            <w:tcW w:w="5" w:type="pct"/>
            <w:vAlign w:val="center"/>
            <w:hideMark/>
          </w:tcPr>
          <w:p w14:paraId="68FBE74A" w14:textId="77777777" w:rsidR="00000000" w:rsidRDefault="00405D16">
            <w:pPr>
              <w:spacing w:after="100"/>
              <w:rPr>
                <w:rFonts w:eastAsia="Times New Roman"/>
                <w:sz w:val="20"/>
                <w:szCs w:val="20"/>
              </w:rPr>
            </w:pPr>
          </w:p>
        </w:tc>
        <w:tc>
          <w:tcPr>
            <w:tcW w:w="50" w:type="pct"/>
            <w:vAlign w:val="center"/>
            <w:hideMark/>
          </w:tcPr>
          <w:p w14:paraId="22E4E7DD" w14:textId="77777777" w:rsidR="00000000" w:rsidRDefault="00405D16">
            <w:pPr>
              <w:spacing w:after="100"/>
              <w:rPr>
                <w:rFonts w:eastAsia="Times New Roman"/>
                <w:sz w:val="20"/>
                <w:szCs w:val="20"/>
              </w:rPr>
            </w:pPr>
          </w:p>
        </w:tc>
        <w:tc>
          <w:tcPr>
            <w:tcW w:w="1614" w:type="pct"/>
            <w:vAlign w:val="center"/>
            <w:hideMark/>
          </w:tcPr>
          <w:p w14:paraId="429FC4EE" w14:textId="77777777" w:rsidR="00000000" w:rsidRDefault="00405D16">
            <w:pPr>
              <w:spacing w:after="100"/>
              <w:rPr>
                <w:rFonts w:eastAsia="Times New Roman"/>
                <w:sz w:val="20"/>
                <w:szCs w:val="20"/>
              </w:rPr>
            </w:pPr>
          </w:p>
        </w:tc>
        <w:tc>
          <w:tcPr>
            <w:tcW w:w="5" w:type="pct"/>
            <w:vAlign w:val="center"/>
            <w:hideMark/>
          </w:tcPr>
          <w:p w14:paraId="0652A86B" w14:textId="77777777" w:rsidR="00000000" w:rsidRDefault="00405D16">
            <w:pPr>
              <w:spacing w:after="100"/>
              <w:rPr>
                <w:rFonts w:eastAsia="Times New Roman"/>
                <w:sz w:val="20"/>
                <w:szCs w:val="20"/>
              </w:rPr>
            </w:pPr>
          </w:p>
        </w:tc>
        <w:tc>
          <w:tcPr>
            <w:tcW w:w="50" w:type="pct"/>
            <w:vAlign w:val="center"/>
            <w:hideMark/>
          </w:tcPr>
          <w:p w14:paraId="2C13CF10" w14:textId="77777777" w:rsidR="00000000" w:rsidRDefault="00405D16">
            <w:pPr>
              <w:spacing w:after="100"/>
              <w:rPr>
                <w:rFonts w:eastAsia="Times New Roman"/>
                <w:sz w:val="20"/>
                <w:szCs w:val="20"/>
              </w:rPr>
            </w:pPr>
          </w:p>
        </w:tc>
        <w:tc>
          <w:tcPr>
            <w:tcW w:w="1614" w:type="pct"/>
            <w:vAlign w:val="center"/>
            <w:hideMark/>
          </w:tcPr>
          <w:p w14:paraId="0EFB6983" w14:textId="77777777" w:rsidR="00000000" w:rsidRDefault="00405D16">
            <w:pPr>
              <w:spacing w:after="100"/>
              <w:rPr>
                <w:rFonts w:eastAsia="Times New Roman"/>
                <w:sz w:val="20"/>
                <w:szCs w:val="20"/>
              </w:rPr>
            </w:pPr>
          </w:p>
        </w:tc>
        <w:tc>
          <w:tcPr>
            <w:tcW w:w="5" w:type="pct"/>
            <w:vAlign w:val="center"/>
            <w:hideMark/>
          </w:tcPr>
          <w:p w14:paraId="5E0B921E" w14:textId="77777777" w:rsidR="00000000" w:rsidRDefault="00405D16">
            <w:pPr>
              <w:spacing w:after="100"/>
              <w:rPr>
                <w:rFonts w:eastAsia="Times New Roman"/>
                <w:sz w:val="20"/>
                <w:szCs w:val="20"/>
              </w:rPr>
            </w:pPr>
          </w:p>
        </w:tc>
      </w:tr>
      <w:tr w:rsidR="00000000" w14:paraId="2E77772C" w14:textId="77777777">
        <w:trPr>
          <w:divId w:val="348869027"/>
          <w:trHeight w:val="300"/>
          <w:jc w:val="center"/>
        </w:trPr>
        <w:tc>
          <w:tcPr>
            <w:tcW w:w="0" w:type="auto"/>
            <w:gridSpan w:val="9"/>
            <w:tcMar>
              <w:top w:w="0" w:type="dxa"/>
              <w:left w:w="20" w:type="dxa"/>
              <w:bottom w:w="0" w:type="dxa"/>
              <w:right w:w="20" w:type="dxa"/>
            </w:tcMar>
            <w:vAlign w:val="center"/>
            <w:hideMark/>
          </w:tcPr>
          <w:p w14:paraId="53EFB820" w14:textId="77777777" w:rsidR="00000000" w:rsidRDefault="00405D16">
            <w:pPr>
              <w:spacing w:after="100"/>
              <w:rPr>
                <w:rFonts w:eastAsia="Times New Roman"/>
                <w:sz w:val="20"/>
                <w:szCs w:val="20"/>
              </w:rPr>
            </w:pPr>
          </w:p>
        </w:tc>
      </w:tr>
      <w:tr w:rsidR="00000000" w14:paraId="08F5F2DC" w14:textId="77777777">
        <w:trPr>
          <w:divId w:val="348869027"/>
          <w:jc w:val="center"/>
        </w:trPr>
        <w:tc>
          <w:tcPr>
            <w:tcW w:w="0" w:type="auto"/>
            <w:gridSpan w:val="3"/>
            <w:tcMar>
              <w:top w:w="0" w:type="dxa"/>
              <w:left w:w="20" w:type="dxa"/>
              <w:bottom w:w="0" w:type="dxa"/>
              <w:right w:w="20" w:type="dxa"/>
            </w:tcMar>
            <w:vAlign w:val="center"/>
            <w:hideMark/>
          </w:tcPr>
          <w:p w14:paraId="38239AC4"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8F52B7E" w14:textId="77777777" w:rsidR="00000000" w:rsidRDefault="00405D16">
            <w:pPr>
              <w:spacing w:after="100"/>
              <w:jc w:val="center"/>
              <w:rPr>
                <w:rFonts w:eastAsia="Times New Roman"/>
              </w:rPr>
            </w:pPr>
            <w:r>
              <w:rPr>
                <w:rFonts w:eastAsia="Times New Roman"/>
                <w:color w:val="000000"/>
                <w:sz w:val="16"/>
                <w:szCs w:val="16"/>
              </w:rPr>
              <w:t>18</w:t>
            </w:r>
          </w:p>
        </w:tc>
        <w:tc>
          <w:tcPr>
            <w:tcW w:w="0" w:type="auto"/>
            <w:gridSpan w:val="3"/>
            <w:tcMar>
              <w:top w:w="30" w:type="dxa"/>
              <w:left w:w="20" w:type="dxa"/>
              <w:bottom w:w="30" w:type="dxa"/>
              <w:right w:w="20" w:type="dxa"/>
            </w:tcMar>
            <w:vAlign w:val="bottom"/>
            <w:hideMark/>
          </w:tcPr>
          <w:p w14:paraId="009255E5"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5E728C08" w14:textId="77777777" w:rsidR="00000000" w:rsidRDefault="00405D16">
      <w:pPr>
        <w:rPr>
          <w:rFonts w:eastAsia="Times New Roman"/>
        </w:rPr>
      </w:pPr>
      <w:r>
        <w:rPr>
          <w:rFonts w:eastAsia="Times New Roman"/>
        </w:rPr>
        <w:pict w14:anchorId="73DC82B0">
          <v:rect id="_x0000_i1043" style="width:0;height:1.5pt" o:hralign="center" o:hrstd="t" o:hr="t" fillcolor="#a0a0a0" stroked="f"/>
        </w:pict>
      </w:r>
    </w:p>
    <w:p w14:paraId="6B72F764" w14:textId="77777777" w:rsidR="00000000" w:rsidRDefault="00405D16">
      <w:pPr>
        <w:ind w:hanging="360"/>
        <w:jc w:val="both"/>
        <w:divId w:val="1661419432"/>
        <w:rPr>
          <w:rFonts w:eastAsia="Times New Roman"/>
        </w:rPr>
      </w:pPr>
      <w:hyperlink w:anchor="idd54a04a485440b4ab4e56094c14d612_13" w:history="1">
        <w:r>
          <w:rPr>
            <w:rStyle w:val="a3"/>
            <w:rFonts w:eastAsia="Times New Roman"/>
            <w:sz w:val="16"/>
            <w:szCs w:val="16"/>
          </w:rPr>
          <w:t>Table of Contents</w:t>
        </w:r>
      </w:hyperlink>
    </w:p>
    <w:p w14:paraId="3489AFD0" w14:textId="77777777" w:rsidR="00000000" w:rsidRDefault="00405D16">
      <w:pPr>
        <w:jc w:val="both"/>
        <w:divId w:val="748385333"/>
        <w:rPr>
          <w:rFonts w:eastAsia="Times New Roman"/>
        </w:rPr>
      </w:pPr>
      <w:r>
        <w:rPr>
          <w:rFonts w:eastAsia="Times New Roman"/>
          <w:color w:val="000000"/>
          <w:sz w:val="20"/>
          <w:szCs w:val="20"/>
        </w:rPr>
        <w:t>Other debt decreased by $3.3 billion to $24.9 billion as of September 30, 2021 from December 31, 2020 primarily driven by redemptions of our senior debt, partially offset by the issuance of subordinated debt.</w:t>
      </w:r>
    </w:p>
    <w:p w14:paraId="212A9B67" w14:textId="77777777" w:rsidR="00000000" w:rsidRDefault="00405D16">
      <w:pPr>
        <w:jc w:val="both"/>
        <w:divId w:val="1000430196"/>
        <w:rPr>
          <w:rFonts w:eastAsia="Times New Roman"/>
        </w:rPr>
      </w:pPr>
      <w:r>
        <w:rPr>
          <w:rFonts w:eastAsia="Times New Roman"/>
          <w:color w:val="000000"/>
          <w:sz w:val="20"/>
          <w:szCs w:val="20"/>
        </w:rPr>
        <w:t>We provide additional information on our fundin</w:t>
      </w:r>
      <w:r>
        <w:rPr>
          <w:rFonts w:eastAsia="Times New Roman"/>
          <w:color w:val="000000"/>
          <w:sz w:val="20"/>
          <w:szCs w:val="20"/>
        </w:rPr>
        <w:t>g sources in “MD&amp;A—Liquidity Risk Profile” and “Note 7—Deposits and Borrowings.”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48F0B26B" w14:textId="77777777">
        <w:trPr>
          <w:divId w:val="839931643"/>
        </w:trPr>
        <w:tc>
          <w:tcPr>
            <w:tcW w:w="50" w:type="pct"/>
            <w:vAlign w:val="center"/>
            <w:hideMark/>
          </w:tcPr>
          <w:p w14:paraId="7A9873EA" w14:textId="77777777" w:rsidR="00000000" w:rsidRDefault="00405D16">
            <w:pPr>
              <w:jc w:val="both"/>
              <w:rPr>
                <w:rFonts w:eastAsia="Times New Roman"/>
              </w:rPr>
            </w:pPr>
          </w:p>
        </w:tc>
        <w:tc>
          <w:tcPr>
            <w:tcW w:w="4945" w:type="pct"/>
            <w:vAlign w:val="center"/>
            <w:hideMark/>
          </w:tcPr>
          <w:p w14:paraId="45A3CC5F" w14:textId="77777777" w:rsidR="00000000" w:rsidRDefault="00405D16">
            <w:pPr>
              <w:spacing w:after="100"/>
              <w:rPr>
                <w:rFonts w:eastAsia="Times New Roman"/>
                <w:sz w:val="20"/>
                <w:szCs w:val="20"/>
              </w:rPr>
            </w:pPr>
          </w:p>
        </w:tc>
        <w:tc>
          <w:tcPr>
            <w:tcW w:w="5" w:type="pct"/>
            <w:vAlign w:val="center"/>
            <w:hideMark/>
          </w:tcPr>
          <w:p w14:paraId="37E435CC" w14:textId="77777777" w:rsidR="00000000" w:rsidRDefault="00405D16">
            <w:pPr>
              <w:spacing w:after="100"/>
              <w:rPr>
                <w:rFonts w:eastAsia="Times New Roman"/>
                <w:sz w:val="20"/>
                <w:szCs w:val="20"/>
              </w:rPr>
            </w:pPr>
          </w:p>
        </w:tc>
      </w:tr>
      <w:tr w:rsidR="00000000" w14:paraId="04DCF0B0" w14:textId="77777777">
        <w:trPr>
          <w:divId w:val="839931643"/>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54F98E82" w14:textId="77777777" w:rsidR="00000000" w:rsidRDefault="00405D16">
            <w:pPr>
              <w:spacing w:after="100"/>
              <w:rPr>
                <w:rFonts w:eastAsia="Times New Roman"/>
              </w:rPr>
            </w:pPr>
            <w:r>
              <w:rPr>
                <w:rFonts w:eastAsia="Times New Roman"/>
                <w:b/>
                <w:bCs/>
                <w:color w:val="000000"/>
                <w:sz w:val="20"/>
                <w:szCs w:val="20"/>
              </w:rPr>
              <w:t xml:space="preserve">OFF-BALANCE SHEET ARRANGEMENTS </w:t>
            </w:r>
          </w:p>
        </w:tc>
      </w:tr>
    </w:tbl>
    <w:p w14:paraId="2B0A5326" w14:textId="77777777" w:rsidR="00000000" w:rsidRDefault="00405D16">
      <w:pPr>
        <w:jc w:val="both"/>
        <w:divId w:val="235941833"/>
        <w:rPr>
          <w:rFonts w:eastAsia="Times New Roman"/>
        </w:rPr>
      </w:pPr>
      <w:r>
        <w:rPr>
          <w:rFonts w:eastAsia="Times New Roman"/>
          <w:color w:val="000000"/>
          <w:sz w:val="20"/>
          <w:szCs w:val="20"/>
        </w:rPr>
        <w:t>In the ordinary course of business, we engage in certain activities that are not reflected on our consolidated balance sheets, generally referred to as off-balance sheet arrangements. These activities typically involve transactions with unconsolidated vari</w:t>
      </w:r>
      <w:r>
        <w:rPr>
          <w:rFonts w:eastAsia="Times New Roman"/>
          <w:color w:val="000000"/>
          <w:sz w:val="20"/>
          <w:szCs w:val="20"/>
        </w:rPr>
        <w:t xml:space="preserve">able interest entities (“VIEs”) as well as other arrangements, such as letters of credit, loan commitments and guarantees, to meet the financing needs of our customers and support their ongoing operations. We provide additional information regarding these </w:t>
      </w:r>
      <w:r>
        <w:rPr>
          <w:rFonts w:eastAsia="Times New Roman"/>
          <w:color w:val="000000"/>
          <w:sz w:val="20"/>
          <w:szCs w:val="20"/>
        </w:rPr>
        <w:t>types of activities in “Note 5—Variable Interest Entities and Securitizations” and “Note 13—Commitments, Contingencies, Guarantees and Others.”</w:t>
      </w:r>
    </w:p>
    <w:tbl>
      <w:tblPr>
        <w:tblW w:w="4992" w:type="pct"/>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14:paraId="6705A9B9" w14:textId="77777777">
        <w:trPr>
          <w:divId w:val="157775530"/>
        </w:trPr>
        <w:tc>
          <w:tcPr>
            <w:tcW w:w="50" w:type="pct"/>
            <w:vAlign w:val="center"/>
            <w:hideMark/>
          </w:tcPr>
          <w:p w14:paraId="4624B005" w14:textId="77777777" w:rsidR="00000000" w:rsidRDefault="00405D16">
            <w:pPr>
              <w:jc w:val="both"/>
              <w:rPr>
                <w:rFonts w:eastAsia="Times New Roman"/>
              </w:rPr>
            </w:pPr>
          </w:p>
        </w:tc>
        <w:tc>
          <w:tcPr>
            <w:tcW w:w="4945" w:type="pct"/>
            <w:vAlign w:val="center"/>
            <w:hideMark/>
          </w:tcPr>
          <w:p w14:paraId="08819A25" w14:textId="77777777" w:rsidR="00000000" w:rsidRDefault="00405D16">
            <w:pPr>
              <w:spacing w:after="100"/>
              <w:rPr>
                <w:rFonts w:eastAsia="Times New Roman"/>
                <w:sz w:val="20"/>
                <w:szCs w:val="20"/>
              </w:rPr>
            </w:pPr>
          </w:p>
        </w:tc>
        <w:tc>
          <w:tcPr>
            <w:tcW w:w="5" w:type="pct"/>
            <w:vAlign w:val="center"/>
            <w:hideMark/>
          </w:tcPr>
          <w:p w14:paraId="6F032740" w14:textId="77777777" w:rsidR="00000000" w:rsidRDefault="00405D16">
            <w:pPr>
              <w:spacing w:after="100"/>
              <w:rPr>
                <w:rFonts w:eastAsia="Times New Roman"/>
                <w:sz w:val="20"/>
                <w:szCs w:val="20"/>
              </w:rPr>
            </w:pPr>
          </w:p>
        </w:tc>
      </w:tr>
      <w:tr w:rsidR="00000000" w14:paraId="2BB43DE8" w14:textId="77777777">
        <w:trPr>
          <w:divId w:val="157775530"/>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5F4D1890" w14:textId="77777777" w:rsidR="00000000" w:rsidRDefault="00405D16">
            <w:pPr>
              <w:spacing w:after="100"/>
              <w:rPr>
                <w:rFonts w:eastAsia="Times New Roman"/>
              </w:rPr>
            </w:pPr>
            <w:r>
              <w:rPr>
                <w:rFonts w:eastAsia="Times New Roman"/>
                <w:b/>
                <w:bCs/>
                <w:color w:val="000000"/>
                <w:sz w:val="20"/>
                <w:szCs w:val="20"/>
              </w:rPr>
              <w:t>BUSINESS SEGMENT FINANCIAL PERFORMANCE</w:t>
            </w:r>
          </w:p>
        </w:tc>
      </w:tr>
    </w:tbl>
    <w:p w14:paraId="3CB7AED8" w14:textId="77777777" w:rsidR="00000000" w:rsidRDefault="00405D16">
      <w:pPr>
        <w:jc w:val="both"/>
        <w:divId w:val="51392417"/>
        <w:rPr>
          <w:rFonts w:eastAsia="Times New Roman"/>
        </w:rPr>
      </w:pPr>
      <w:r>
        <w:rPr>
          <w:rFonts w:eastAsia="Times New Roman"/>
          <w:color w:val="000000"/>
          <w:sz w:val="20"/>
          <w:szCs w:val="20"/>
        </w:rPr>
        <w:t>Our principal operations are organized for management reporting purposes into three major business segments, which are defined primarily based on the products and services provided or the types of customer served: Credit Card, Consumer Banking and Commerci</w:t>
      </w:r>
      <w:r>
        <w:rPr>
          <w:rFonts w:eastAsia="Times New Roman"/>
          <w:color w:val="000000"/>
          <w:sz w:val="20"/>
          <w:szCs w:val="20"/>
        </w:rPr>
        <w:t>al Banking. The operations of acquired businesses have been integrated into or managed as a part of our existing business segments. Certain activities that are not part of a segment, such as management of our corporate investment portfolio, asset/liability</w:t>
      </w:r>
      <w:r>
        <w:rPr>
          <w:rFonts w:eastAsia="Times New Roman"/>
          <w:color w:val="000000"/>
          <w:sz w:val="20"/>
          <w:szCs w:val="20"/>
        </w:rPr>
        <w:t xml:space="preserve"> management by our centralized Corporate Treasury group and calculation of our residual tax expense or benefit to arrive at the consolidated effective tax rate that is not assessed to our primary business segments, are included in the Other category.</w:t>
      </w:r>
    </w:p>
    <w:p w14:paraId="6DBB6BD5" w14:textId="77777777" w:rsidR="00000000" w:rsidRDefault="00405D16">
      <w:pPr>
        <w:jc w:val="both"/>
        <w:divId w:val="1431779710"/>
        <w:rPr>
          <w:rFonts w:eastAsia="Times New Roman"/>
        </w:rPr>
      </w:pPr>
      <w:r>
        <w:rPr>
          <w:rFonts w:eastAsia="Times New Roman"/>
          <w:color w:val="000000"/>
          <w:sz w:val="20"/>
          <w:szCs w:val="20"/>
        </w:rPr>
        <w:t>The r</w:t>
      </w:r>
      <w:r>
        <w:rPr>
          <w:rFonts w:eastAsia="Times New Roman"/>
          <w:color w:val="000000"/>
          <w:sz w:val="20"/>
          <w:szCs w:val="20"/>
        </w:rPr>
        <w:t>esults of our individual businesses, which we report on a continuing operations basis, reflect the manner in which management evaluates performance and makes decisions about funding our operations and allocating resources. We may periodically change our bu</w:t>
      </w:r>
      <w:r>
        <w:rPr>
          <w:rFonts w:eastAsia="Times New Roman"/>
          <w:color w:val="000000"/>
          <w:sz w:val="20"/>
          <w:szCs w:val="20"/>
        </w:rPr>
        <w:t>siness segments or reclassify business segment results based on modifications to our management reporting methodologies and changes in organizational alignment. Our business segment results are intended to reflect each segment as if it were a stand-alone b</w:t>
      </w:r>
      <w:r>
        <w:rPr>
          <w:rFonts w:eastAsia="Times New Roman"/>
          <w:color w:val="000000"/>
          <w:sz w:val="20"/>
          <w:szCs w:val="20"/>
        </w:rPr>
        <w:t>usiness. We use an internal management and reporting process to derive our business segment results. Our internal management and reporting process employs various allocation methodologies, including funds transfer pricing, to assign certain balance sheet a</w:t>
      </w:r>
      <w:r>
        <w:rPr>
          <w:rFonts w:eastAsia="Times New Roman"/>
          <w:color w:val="000000"/>
          <w:sz w:val="20"/>
          <w:szCs w:val="20"/>
        </w:rPr>
        <w:t>ssets, deposits and other liabilities and their related revenue and expenses directly or indirectly attributable to each business segment. Total interest income and non-interest income are directly attributable to the segment in which they are reported. Th</w:t>
      </w:r>
      <w:r>
        <w:rPr>
          <w:rFonts w:eastAsia="Times New Roman"/>
          <w:color w:val="000000"/>
          <w:sz w:val="20"/>
          <w:szCs w:val="20"/>
        </w:rPr>
        <w:t>e net interest income of each segment reflects the results of our funds transfer pricing process, which is primarily based on a matched funding concept that takes into consideration market interest rates. Our funds transfer pricing process provides a funds</w:t>
      </w:r>
      <w:r>
        <w:rPr>
          <w:rFonts w:eastAsia="Times New Roman"/>
          <w:color w:val="000000"/>
          <w:sz w:val="20"/>
          <w:szCs w:val="20"/>
        </w:rPr>
        <w:t xml:space="preserve"> credit for sources of funds, such as deposits generated by our Consumer Banking and Commercial Banking businesses, and a charge for the use of funds by each segment. The allocation process is unique to each business segment and acquired business. We regul</w:t>
      </w:r>
      <w:r>
        <w:rPr>
          <w:rFonts w:eastAsia="Times New Roman"/>
          <w:color w:val="000000"/>
          <w:sz w:val="20"/>
          <w:szCs w:val="20"/>
        </w:rPr>
        <w:t xml:space="preserve">arly assess the assumptions, methodologies and reporting classifications used for segment reporting, which may result in the implementation of refinements or changes in future periods. We provide additional information on the allocation methodologies used </w:t>
      </w:r>
      <w:r>
        <w:rPr>
          <w:rFonts w:eastAsia="Times New Roman"/>
          <w:color w:val="000000"/>
          <w:sz w:val="20"/>
          <w:szCs w:val="20"/>
        </w:rPr>
        <w:t>to derive our business segment results in “Note 17—Business Segments and Revenue from Contracts with Customers” in our 2020 Form 10-K.</w:t>
      </w:r>
    </w:p>
    <w:p w14:paraId="4A24C2A3" w14:textId="77777777" w:rsidR="00000000" w:rsidRDefault="00405D16">
      <w:pPr>
        <w:jc w:val="both"/>
        <w:divId w:val="860167714"/>
        <w:rPr>
          <w:rFonts w:eastAsia="Times New Roman"/>
        </w:rPr>
      </w:pPr>
      <w:r>
        <w:rPr>
          <w:rFonts w:eastAsia="Times New Roman"/>
          <w:color w:val="000000"/>
          <w:sz w:val="20"/>
          <w:szCs w:val="20"/>
        </w:rPr>
        <w:t>We refer to the business segment results derived from our internal management accounting and reporting process as our “ma</w:t>
      </w:r>
      <w:r>
        <w:rPr>
          <w:rFonts w:eastAsia="Times New Roman"/>
          <w:color w:val="000000"/>
          <w:sz w:val="20"/>
          <w:szCs w:val="20"/>
        </w:rPr>
        <w:t>naged” presentation, which differs in some cases from our reported results prepared based on U.S. GAAP. There is no comprehensive authoritative body of guidance for management accounting equivalent to U.S. GAAP; therefore, the managed presentation of our b</w:t>
      </w:r>
      <w:r>
        <w:rPr>
          <w:rFonts w:eastAsia="Times New Roman"/>
          <w:color w:val="000000"/>
          <w:sz w:val="20"/>
          <w:szCs w:val="20"/>
        </w:rPr>
        <w:t>usiness segment results may not be comparable to similar information provided by other financial services companies. In addition, our individual business segment results should not be used as a substitute for comparable results determined in accordance wit</w:t>
      </w:r>
      <w:r>
        <w:rPr>
          <w:rFonts w:eastAsia="Times New Roman"/>
          <w:color w:val="000000"/>
          <w:sz w:val="20"/>
          <w:szCs w:val="20"/>
        </w:rPr>
        <w:t>h U.S. GAAP.</w:t>
      </w:r>
    </w:p>
    <w:p w14:paraId="7F4BD595" w14:textId="77777777" w:rsidR="00000000" w:rsidRDefault="00405D16">
      <w:pPr>
        <w:jc w:val="both"/>
        <w:divId w:val="316302198"/>
        <w:rPr>
          <w:rFonts w:eastAsia="Times New Roman"/>
        </w:rPr>
      </w:pPr>
      <w:r>
        <w:rPr>
          <w:rFonts w:eastAsia="Times New Roman"/>
          <w:color w:val="000000"/>
          <w:sz w:val="20"/>
          <w:szCs w:val="20"/>
        </w:rPr>
        <w:t>We summarize our business segment results for the third quarter and first nine months of 2021 and 2020 and provide a comparative discussion of these results, as well as changes in our financial condition and credit performance metrics as of Se</w:t>
      </w:r>
      <w:r>
        <w:rPr>
          <w:rFonts w:eastAsia="Times New Roman"/>
          <w:color w:val="000000"/>
          <w:sz w:val="20"/>
          <w:szCs w:val="20"/>
        </w:rPr>
        <w:t>ptember 30, 2021 compared to December 31, 2020. We provide a reconciliation of our total business segment results to our reported consolidated results in “Note 12—Business Segments and Revenue from Contracts with Customers.”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123B0744" w14:textId="77777777">
        <w:trPr>
          <w:divId w:val="433675930"/>
          <w:jc w:val="center"/>
        </w:trPr>
        <w:tc>
          <w:tcPr>
            <w:tcW w:w="50" w:type="pct"/>
            <w:vAlign w:val="center"/>
            <w:hideMark/>
          </w:tcPr>
          <w:p w14:paraId="1B4DA453" w14:textId="77777777" w:rsidR="00000000" w:rsidRDefault="00405D16">
            <w:pPr>
              <w:jc w:val="both"/>
              <w:rPr>
                <w:rFonts w:eastAsia="Times New Roman"/>
              </w:rPr>
            </w:pPr>
          </w:p>
        </w:tc>
        <w:tc>
          <w:tcPr>
            <w:tcW w:w="1606" w:type="pct"/>
            <w:vAlign w:val="center"/>
            <w:hideMark/>
          </w:tcPr>
          <w:p w14:paraId="0CA5CCE9" w14:textId="77777777" w:rsidR="00000000" w:rsidRDefault="00405D16">
            <w:pPr>
              <w:spacing w:after="100"/>
              <w:rPr>
                <w:rFonts w:eastAsia="Times New Roman"/>
                <w:sz w:val="20"/>
                <w:szCs w:val="20"/>
              </w:rPr>
            </w:pPr>
          </w:p>
        </w:tc>
        <w:tc>
          <w:tcPr>
            <w:tcW w:w="5" w:type="pct"/>
            <w:vAlign w:val="center"/>
            <w:hideMark/>
          </w:tcPr>
          <w:p w14:paraId="4FB2C86E" w14:textId="77777777" w:rsidR="00000000" w:rsidRDefault="00405D16">
            <w:pPr>
              <w:spacing w:after="100"/>
              <w:rPr>
                <w:rFonts w:eastAsia="Times New Roman"/>
                <w:sz w:val="20"/>
                <w:szCs w:val="20"/>
              </w:rPr>
            </w:pPr>
          </w:p>
        </w:tc>
        <w:tc>
          <w:tcPr>
            <w:tcW w:w="50" w:type="pct"/>
            <w:vAlign w:val="center"/>
            <w:hideMark/>
          </w:tcPr>
          <w:p w14:paraId="18C0103C" w14:textId="77777777" w:rsidR="00000000" w:rsidRDefault="00405D16">
            <w:pPr>
              <w:spacing w:after="100"/>
              <w:rPr>
                <w:rFonts w:eastAsia="Times New Roman"/>
                <w:sz w:val="20"/>
                <w:szCs w:val="20"/>
              </w:rPr>
            </w:pPr>
          </w:p>
        </w:tc>
        <w:tc>
          <w:tcPr>
            <w:tcW w:w="1614" w:type="pct"/>
            <w:vAlign w:val="center"/>
            <w:hideMark/>
          </w:tcPr>
          <w:p w14:paraId="1B3B9355" w14:textId="77777777" w:rsidR="00000000" w:rsidRDefault="00405D16">
            <w:pPr>
              <w:spacing w:after="100"/>
              <w:rPr>
                <w:rFonts w:eastAsia="Times New Roman"/>
                <w:sz w:val="20"/>
                <w:szCs w:val="20"/>
              </w:rPr>
            </w:pPr>
          </w:p>
        </w:tc>
        <w:tc>
          <w:tcPr>
            <w:tcW w:w="5" w:type="pct"/>
            <w:vAlign w:val="center"/>
            <w:hideMark/>
          </w:tcPr>
          <w:p w14:paraId="578FECEF" w14:textId="77777777" w:rsidR="00000000" w:rsidRDefault="00405D16">
            <w:pPr>
              <w:spacing w:after="100"/>
              <w:rPr>
                <w:rFonts w:eastAsia="Times New Roman"/>
                <w:sz w:val="20"/>
                <w:szCs w:val="20"/>
              </w:rPr>
            </w:pPr>
          </w:p>
        </w:tc>
        <w:tc>
          <w:tcPr>
            <w:tcW w:w="50" w:type="pct"/>
            <w:vAlign w:val="center"/>
            <w:hideMark/>
          </w:tcPr>
          <w:p w14:paraId="47816A7C" w14:textId="77777777" w:rsidR="00000000" w:rsidRDefault="00405D16">
            <w:pPr>
              <w:spacing w:after="100"/>
              <w:rPr>
                <w:rFonts w:eastAsia="Times New Roman"/>
                <w:sz w:val="20"/>
                <w:szCs w:val="20"/>
              </w:rPr>
            </w:pPr>
          </w:p>
        </w:tc>
        <w:tc>
          <w:tcPr>
            <w:tcW w:w="1614" w:type="pct"/>
            <w:vAlign w:val="center"/>
            <w:hideMark/>
          </w:tcPr>
          <w:p w14:paraId="4ADEF2D5" w14:textId="77777777" w:rsidR="00000000" w:rsidRDefault="00405D16">
            <w:pPr>
              <w:spacing w:after="100"/>
              <w:rPr>
                <w:rFonts w:eastAsia="Times New Roman"/>
                <w:sz w:val="20"/>
                <w:szCs w:val="20"/>
              </w:rPr>
            </w:pPr>
          </w:p>
        </w:tc>
        <w:tc>
          <w:tcPr>
            <w:tcW w:w="5" w:type="pct"/>
            <w:vAlign w:val="center"/>
            <w:hideMark/>
          </w:tcPr>
          <w:p w14:paraId="6616C2C6" w14:textId="77777777" w:rsidR="00000000" w:rsidRDefault="00405D16">
            <w:pPr>
              <w:spacing w:after="100"/>
              <w:rPr>
                <w:rFonts w:eastAsia="Times New Roman"/>
                <w:sz w:val="20"/>
                <w:szCs w:val="20"/>
              </w:rPr>
            </w:pPr>
          </w:p>
        </w:tc>
      </w:tr>
      <w:tr w:rsidR="00000000" w14:paraId="75782C9D" w14:textId="77777777">
        <w:trPr>
          <w:divId w:val="433675930"/>
          <w:trHeight w:val="300"/>
          <w:jc w:val="center"/>
        </w:trPr>
        <w:tc>
          <w:tcPr>
            <w:tcW w:w="0" w:type="auto"/>
            <w:gridSpan w:val="9"/>
            <w:tcMar>
              <w:top w:w="0" w:type="dxa"/>
              <w:left w:w="20" w:type="dxa"/>
              <w:bottom w:w="0" w:type="dxa"/>
              <w:right w:w="20" w:type="dxa"/>
            </w:tcMar>
            <w:vAlign w:val="center"/>
            <w:hideMark/>
          </w:tcPr>
          <w:p w14:paraId="7D926D4D" w14:textId="77777777" w:rsidR="00000000" w:rsidRDefault="00405D16">
            <w:pPr>
              <w:spacing w:after="100"/>
              <w:rPr>
                <w:rFonts w:eastAsia="Times New Roman"/>
                <w:sz w:val="20"/>
                <w:szCs w:val="20"/>
              </w:rPr>
            </w:pPr>
          </w:p>
        </w:tc>
      </w:tr>
      <w:tr w:rsidR="00000000" w14:paraId="466CDC06" w14:textId="77777777">
        <w:trPr>
          <w:divId w:val="433675930"/>
          <w:jc w:val="center"/>
        </w:trPr>
        <w:tc>
          <w:tcPr>
            <w:tcW w:w="0" w:type="auto"/>
            <w:gridSpan w:val="3"/>
            <w:tcMar>
              <w:top w:w="0" w:type="dxa"/>
              <w:left w:w="20" w:type="dxa"/>
              <w:bottom w:w="0" w:type="dxa"/>
              <w:right w:w="20" w:type="dxa"/>
            </w:tcMar>
            <w:vAlign w:val="center"/>
            <w:hideMark/>
          </w:tcPr>
          <w:p w14:paraId="1E5476CD"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95E6260" w14:textId="77777777" w:rsidR="00000000" w:rsidRDefault="00405D16">
            <w:pPr>
              <w:spacing w:after="100"/>
              <w:jc w:val="center"/>
              <w:rPr>
                <w:rFonts w:eastAsia="Times New Roman"/>
              </w:rPr>
            </w:pPr>
            <w:r>
              <w:rPr>
                <w:rFonts w:eastAsia="Times New Roman"/>
                <w:color w:val="000000"/>
                <w:sz w:val="16"/>
                <w:szCs w:val="16"/>
              </w:rPr>
              <w:t>19</w:t>
            </w:r>
          </w:p>
        </w:tc>
        <w:tc>
          <w:tcPr>
            <w:tcW w:w="0" w:type="auto"/>
            <w:gridSpan w:val="3"/>
            <w:tcMar>
              <w:top w:w="30" w:type="dxa"/>
              <w:left w:w="20" w:type="dxa"/>
              <w:bottom w:w="30" w:type="dxa"/>
              <w:right w:w="20" w:type="dxa"/>
            </w:tcMar>
            <w:vAlign w:val="bottom"/>
            <w:hideMark/>
          </w:tcPr>
          <w:p w14:paraId="24F0D6CA"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5941A772" w14:textId="77777777" w:rsidR="00000000" w:rsidRDefault="00405D16">
      <w:pPr>
        <w:rPr>
          <w:rFonts w:eastAsia="Times New Roman"/>
        </w:rPr>
      </w:pPr>
      <w:r>
        <w:rPr>
          <w:rFonts w:eastAsia="Times New Roman"/>
        </w:rPr>
        <w:pict w14:anchorId="6D8E805D">
          <v:rect id="_x0000_i1044" style="width:0;height:1.5pt" o:hralign="center" o:hrstd="t" o:hr="t" fillcolor="#a0a0a0" stroked="f"/>
        </w:pict>
      </w:r>
    </w:p>
    <w:p w14:paraId="46C1B561" w14:textId="77777777" w:rsidR="00000000" w:rsidRDefault="00405D16">
      <w:pPr>
        <w:ind w:hanging="360"/>
        <w:jc w:val="both"/>
        <w:divId w:val="1696809286"/>
        <w:rPr>
          <w:rFonts w:eastAsia="Times New Roman"/>
        </w:rPr>
      </w:pPr>
      <w:hyperlink w:anchor="idd54a04a485440b4ab4e56094c14d612_13" w:history="1">
        <w:r>
          <w:rPr>
            <w:rStyle w:val="a3"/>
            <w:rFonts w:eastAsia="Times New Roman"/>
            <w:sz w:val="16"/>
            <w:szCs w:val="16"/>
          </w:rPr>
          <w:t>Table of Contents</w:t>
        </w:r>
      </w:hyperlink>
    </w:p>
    <w:p w14:paraId="10581279" w14:textId="77777777" w:rsidR="00000000" w:rsidRDefault="00405D16">
      <w:pPr>
        <w:divId w:val="1348287838"/>
        <w:rPr>
          <w:rFonts w:eastAsia="Times New Roman"/>
        </w:rPr>
      </w:pPr>
      <w:r>
        <w:rPr>
          <w:rFonts w:eastAsia="Times New Roman"/>
          <w:b/>
          <w:bCs/>
          <w:i/>
          <w:iCs/>
          <w:color w:val="000000"/>
          <w:sz w:val="20"/>
          <w:szCs w:val="20"/>
        </w:rPr>
        <w:t>Business Segment Financial Performance</w:t>
      </w:r>
    </w:p>
    <w:p w14:paraId="1DC96355" w14:textId="77777777" w:rsidR="00000000" w:rsidRDefault="00405D16">
      <w:pPr>
        <w:jc w:val="both"/>
        <w:divId w:val="1369989903"/>
        <w:rPr>
          <w:rFonts w:eastAsia="Times New Roman"/>
        </w:rPr>
      </w:pPr>
      <w:r>
        <w:rPr>
          <w:rFonts w:eastAsia="Times New Roman"/>
          <w:color w:val="000000"/>
          <w:sz w:val="20"/>
          <w:szCs w:val="20"/>
        </w:rPr>
        <w:t>Table 9 summarizes our business segment results, which we report based on revenue (loss) and income (los</w:t>
      </w:r>
      <w:r>
        <w:rPr>
          <w:rFonts w:eastAsia="Times New Roman"/>
          <w:color w:val="000000"/>
          <w:sz w:val="20"/>
          <w:szCs w:val="20"/>
        </w:rPr>
        <w:t>s) from continuing operations, for the third quarter and first nine months of 2021 and 2020.</w:t>
      </w:r>
    </w:p>
    <w:p w14:paraId="51F47045" w14:textId="77777777" w:rsidR="00000000" w:rsidRDefault="00405D16">
      <w:pPr>
        <w:divId w:val="1316497280"/>
        <w:rPr>
          <w:rFonts w:eastAsia="Times New Roman"/>
        </w:rPr>
      </w:pPr>
      <w:r>
        <w:rPr>
          <w:rFonts w:eastAsia="Times New Roman"/>
          <w:b/>
          <w:bCs/>
          <w:color w:val="000000"/>
          <w:sz w:val="18"/>
          <w:szCs w:val="18"/>
        </w:rPr>
        <w:t xml:space="preserve">Table 9: Business Segment Results </w:t>
      </w:r>
    </w:p>
    <w:tbl>
      <w:tblPr>
        <w:tblW w:w="5000" w:type="pct"/>
        <w:tblCellMar>
          <w:top w:w="15" w:type="dxa"/>
          <w:left w:w="15" w:type="dxa"/>
          <w:bottom w:w="15" w:type="dxa"/>
          <w:right w:w="15" w:type="dxa"/>
        </w:tblCellMar>
        <w:tblLook w:val="04A0" w:firstRow="1" w:lastRow="0" w:firstColumn="1" w:lastColumn="0" w:noHBand="0" w:noVBand="1"/>
      </w:tblPr>
      <w:tblGrid>
        <w:gridCol w:w="51"/>
        <w:gridCol w:w="2850"/>
        <w:gridCol w:w="36"/>
        <w:gridCol w:w="36"/>
        <w:gridCol w:w="36"/>
        <w:gridCol w:w="36"/>
        <w:gridCol w:w="36"/>
        <w:gridCol w:w="445"/>
        <w:gridCol w:w="36"/>
        <w:gridCol w:w="36"/>
        <w:gridCol w:w="36"/>
        <w:gridCol w:w="36"/>
        <w:gridCol w:w="36"/>
        <w:gridCol w:w="455"/>
        <w:gridCol w:w="36"/>
        <w:gridCol w:w="36"/>
        <w:gridCol w:w="36"/>
        <w:gridCol w:w="36"/>
        <w:gridCol w:w="36"/>
        <w:gridCol w:w="432"/>
        <w:gridCol w:w="36"/>
        <w:gridCol w:w="36"/>
        <w:gridCol w:w="36"/>
        <w:gridCol w:w="36"/>
        <w:gridCol w:w="36"/>
        <w:gridCol w:w="432"/>
        <w:gridCol w:w="36"/>
        <w:gridCol w:w="36"/>
        <w:gridCol w:w="36"/>
        <w:gridCol w:w="36"/>
        <w:gridCol w:w="36"/>
        <w:gridCol w:w="432"/>
        <w:gridCol w:w="36"/>
        <w:gridCol w:w="36"/>
        <w:gridCol w:w="36"/>
        <w:gridCol w:w="36"/>
        <w:gridCol w:w="36"/>
        <w:gridCol w:w="432"/>
        <w:gridCol w:w="36"/>
        <w:gridCol w:w="36"/>
        <w:gridCol w:w="36"/>
        <w:gridCol w:w="36"/>
        <w:gridCol w:w="36"/>
        <w:gridCol w:w="432"/>
        <w:gridCol w:w="36"/>
        <w:gridCol w:w="36"/>
        <w:gridCol w:w="36"/>
        <w:gridCol w:w="36"/>
        <w:gridCol w:w="36"/>
        <w:gridCol w:w="437"/>
        <w:gridCol w:w="36"/>
        <w:gridCol w:w="36"/>
        <w:gridCol w:w="36"/>
        <w:gridCol w:w="36"/>
        <w:gridCol w:w="36"/>
        <w:gridCol w:w="36"/>
        <w:gridCol w:w="36"/>
        <w:gridCol w:w="36"/>
        <w:gridCol w:w="36"/>
        <w:gridCol w:w="36"/>
        <w:gridCol w:w="36"/>
        <w:gridCol w:w="36"/>
        <w:gridCol w:w="36"/>
      </w:tblGrid>
      <w:tr w:rsidR="00000000" w14:paraId="32B05F67" w14:textId="77777777">
        <w:trPr>
          <w:divId w:val="1350447739"/>
        </w:trPr>
        <w:tc>
          <w:tcPr>
            <w:tcW w:w="50" w:type="pct"/>
            <w:vAlign w:val="center"/>
            <w:hideMark/>
          </w:tcPr>
          <w:p w14:paraId="2983F058" w14:textId="77777777" w:rsidR="00000000" w:rsidRDefault="00405D16">
            <w:pPr>
              <w:rPr>
                <w:rFonts w:eastAsia="Times New Roman"/>
              </w:rPr>
            </w:pPr>
          </w:p>
        </w:tc>
        <w:tc>
          <w:tcPr>
            <w:tcW w:w="1823" w:type="pct"/>
            <w:vAlign w:val="center"/>
            <w:hideMark/>
          </w:tcPr>
          <w:p w14:paraId="45A81B50" w14:textId="77777777" w:rsidR="00000000" w:rsidRDefault="00405D16">
            <w:pPr>
              <w:spacing w:after="100"/>
              <w:rPr>
                <w:rFonts w:eastAsia="Times New Roman"/>
                <w:sz w:val="20"/>
                <w:szCs w:val="20"/>
              </w:rPr>
            </w:pPr>
          </w:p>
        </w:tc>
        <w:tc>
          <w:tcPr>
            <w:tcW w:w="5" w:type="pct"/>
            <w:vAlign w:val="center"/>
            <w:hideMark/>
          </w:tcPr>
          <w:p w14:paraId="5D2CA081" w14:textId="77777777" w:rsidR="00000000" w:rsidRDefault="00405D16">
            <w:pPr>
              <w:spacing w:after="100"/>
              <w:rPr>
                <w:rFonts w:eastAsia="Times New Roman"/>
                <w:sz w:val="20"/>
                <w:szCs w:val="20"/>
              </w:rPr>
            </w:pPr>
          </w:p>
        </w:tc>
        <w:tc>
          <w:tcPr>
            <w:tcW w:w="5" w:type="pct"/>
            <w:vAlign w:val="center"/>
            <w:hideMark/>
          </w:tcPr>
          <w:p w14:paraId="141669E7" w14:textId="77777777" w:rsidR="00000000" w:rsidRDefault="00405D16">
            <w:pPr>
              <w:spacing w:after="100"/>
              <w:rPr>
                <w:rFonts w:eastAsia="Times New Roman"/>
                <w:sz w:val="20"/>
                <w:szCs w:val="20"/>
              </w:rPr>
            </w:pPr>
          </w:p>
        </w:tc>
        <w:tc>
          <w:tcPr>
            <w:tcW w:w="26" w:type="pct"/>
            <w:vAlign w:val="center"/>
            <w:hideMark/>
          </w:tcPr>
          <w:p w14:paraId="3AE9921E" w14:textId="77777777" w:rsidR="00000000" w:rsidRDefault="00405D16">
            <w:pPr>
              <w:spacing w:after="100"/>
              <w:rPr>
                <w:rFonts w:eastAsia="Times New Roman"/>
                <w:sz w:val="20"/>
                <w:szCs w:val="20"/>
              </w:rPr>
            </w:pPr>
          </w:p>
        </w:tc>
        <w:tc>
          <w:tcPr>
            <w:tcW w:w="5" w:type="pct"/>
            <w:vAlign w:val="center"/>
            <w:hideMark/>
          </w:tcPr>
          <w:p w14:paraId="2D976284" w14:textId="77777777" w:rsidR="00000000" w:rsidRDefault="00405D16">
            <w:pPr>
              <w:spacing w:after="100"/>
              <w:rPr>
                <w:rFonts w:eastAsia="Times New Roman"/>
                <w:sz w:val="20"/>
                <w:szCs w:val="20"/>
              </w:rPr>
            </w:pPr>
          </w:p>
        </w:tc>
        <w:tc>
          <w:tcPr>
            <w:tcW w:w="50" w:type="pct"/>
            <w:vAlign w:val="center"/>
            <w:hideMark/>
          </w:tcPr>
          <w:p w14:paraId="23AB1EB9" w14:textId="77777777" w:rsidR="00000000" w:rsidRDefault="00405D16">
            <w:pPr>
              <w:spacing w:after="100"/>
              <w:rPr>
                <w:rFonts w:eastAsia="Times New Roman"/>
                <w:sz w:val="20"/>
                <w:szCs w:val="20"/>
              </w:rPr>
            </w:pPr>
          </w:p>
        </w:tc>
        <w:tc>
          <w:tcPr>
            <w:tcW w:w="303" w:type="pct"/>
            <w:vAlign w:val="center"/>
            <w:hideMark/>
          </w:tcPr>
          <w:p w14:paraId="76C65E98" w14:textId="77777777" w:rsidR="00000000" w:rsidRDefault="00405D16">
            <w:pPr>
              <w:spacing w:after="100"/>
              <w:rPr>
                <w:rFonts w:eastAsia="Times New Roman"/>
                <w:sz w:val="20"/>
                <w:szCs w:val="20"/>
              </w:rPr>
            </w:pPr>
          </w:p>
        </w:tc>
        <w:tc>
          <w:tcPr>
            <w:tcW w:w="5" w:type="pct"/>
            <w:vAlign w:val="center"/>
            <w:hideMark/>
          </w:tcPr>
          <w:p w14:paraId="3327E0AF" w14:textId="77777777" w:rsidR="00000000" w:rsidRDefault="00405D16">
            <w:pPr>
              <w:spacing w:after="100"/>
              <w:rPr>
                <w:rFonts w:eastAsia="Times New Roman"/>
                <w:sz w:val="20"/>
                <w:szCs w:val="20"/>
              </w:rPr>
            </w:pPr>
          </w:p>
        </w:tc>
        <w:tc>
          <w:tcPr>
            <w:tcW w:w="5" w:type="pct"/>
            <w:vAlign w:val="center"/>
            <w:hideMark/>
          </w:tcPr>
          <w:p w14:paraId="1BE36FF8" w14:textId="77777777" w:rsidR="00000000" w:rsidRDefault="00405D16">
            <w:pPr>
              <w:spacing w:after="100"/>
              <w:rPr>
                <w:rFonts w:eastAsia="Times New Roman"/>
                <w:sz w:val="20"/>
                <w:szCs w:val="20"/>
              </w:rPr>
            </w:pPr>
          </w:p>
        </w:tc>
        <w:tc>
          <w:tcPr>
            <w:tcW w:w="26" w:type="pct"/>
            <w:vAlign w:val="center"/>
            <w:hideMark/>
          </w:tcPr>
          <w:p w14:paraId="7F4B4120" w14:textId="77777777" w:rsidR="00000000" w:rsidRDefault="00405D16">
            <w:pPr>
              <w:spacing w:after="100"/>
              <w:rPr>
                <w:rFonts w:eastAsia="Times New Roman"/>
                <w:sz w:val="20"/>
                <w:szCs w:val="20"/>
              </w:rPr>
            </w:pPr>
          </w:p>
        </w:tc>
        <w:tc>
          <w:tcPr>
            <w:tcW w:w="5" w:type="pct"/>
            <w:vAlign w:val="center"/>
            <w:hideMark/>
          </w:tcPr>
          <w:p w14:paraId="050E6622" w14:textId="77777777" w:rsidR="00000000" w:rsidRDefault="00405D16">
            <w:pPr>
              <w:spacing w:after="100"/>
              <w:rPr>
                <w:rFonts w:eastAsia="Times New Roman"/>
                <w:sz w:val="20"/>
                <w:szCs w:val="20"/>
              </w:rPr>
            </w:pPr>
          </w:p>
        </w:tc>
        <w:tc>
          <w:tcPr>
            <w:tcW w:w="50" w:type="pct"/>
            <w:vAlign w:val="center"/>
            <w:hideMark/>
          </w:tcPr>
          <w:p w14:paraId="1470E36C" w14:textId="77777777" w:rsidR="00000000" w:rsidRDefault="00405D16">
            <w:pPr>
              <w:spacing w:after="100"/>
              <w:rPr>
                <w:rFonts w:eastAsia="Times New Roman"/>
                <w:sz w:val="20"/>
                <w:szCs w:val="20"/>
              </w:rPr>
            </w:pPr>
          </w:p>
        </w:tc>
        <w:tc>
          <w:tcPr>
            <w:tcW w:w="310" w:type="pct"/>
            <w:vAlign w:val="center"/>
            <w:hideMark/>
          </w:tcPr>
          <w:p w14:paraId="49D15B22" w14:textId="77777777" w:rsidR="00000000" w:rsidRDefault="00405D16">
            <w:pPr>
              <w:spacing w:after="100"/>
              <w:rPr>
                <w:rFonts w:eastAsia="Times New Roman"/>
                <w:sz w:val="20"/>
                <w:szCs w:val="20"/>
              </w:rPr>
            </w:pPr>
          </w:p>
        </w:tc>
        <w:tc>
          <w:tcPr>
            <w:tcW w:w="5" w:type="pct"/>
            <w:vAlign w:val="center"/>
            <w:hideMark/>
          </w:tcPr>
          <w:p w14:paraId="7FA20A54" w14:textId="77777777" w:rsidR="00000000" w:rsidRDefault="00405D16">
            <w:pPr>
              <w:spacing w:after="100"/>
              <w:rPr>
                <w:rFonts w:eastAsia="Times New Roman"/>
                <w:sz w:val="20"/>
                <w:szCs w:val="20"/>
              </w:rPr>
            </w:pPr>
          </w:p>
        </w:tc>
        <w:tc>
          <w:tcPr>
            <w:tcW w:w="5" w:type="pct"/>
            <w:vAlign w:val="center"/>
            <w:hideMark/>
          </w:tcPr>
          <w:p w14:paraId="067336B3" w14:textId="77777777" w:rsidR="00000000" w:rsidRDefault="00405D16">
            <w:pPr>
              <w:spacing w:after="100"/>
              <w:rPr>
                <w:rFonts w:eastAsia="Times New Roman"/>
                <w:sz w:val="20"/>
                <w:szCs w:val="20"/>
              </w:rPr>
            </w:pPr>
          </w:p>
        </w:tc>
        <w:tc>
          <w:tcPr>
            <w:tcW w:w="26" w:type="pct"/>
            <w:vAlign w:val="center"/>
            <w:hideMark/>
          </w:tcPr>
          <w:p w14:paraId="0D062003" w14:textId="77777777" w:rsidR="00000000" w:rsidRDefault="00405D16">
            <w:pPr>
              <w:spacing w:after="100"/>
              <w:rPr>
                <w:rFonts w:eastAsia="Times New Roman"/>
                <w:sz w:val="20"/>
                <w:szCs w:val="20"/>
              </w:rPr>
            </w:pPr>
          </w:p>
        </w:tc>
        <w:tc>
          <w:tcPr>
            <w:tcW w:w="5" w:type="pct"/>
            <w:vAlign w:val="center"/>
            <w:hideMark/>
          </w:tcPr>
          <w:p w14:paraId="3F06C24C" w14:textId="77777777" w:rsidR="00000000" w:rsidRDefault="00405D16">
            <w:pPr>
              <w:spacing w:after="100"/>
              <w:rPr>
                <w:rFonts w:eastAsia="Times New Roman"/>
                <w:sz w:val="20"/>
                <w:szCs w:val="20"/>
              </w:rPr>
            </w:pPr>
          </w:p>
        </w:tc>
        <w:tc>
          <w:tcPr>
            <w:tcW w:w="50" w:type="pct"/>
            <w:vAlign w:val="center"/>
            <w:hideMark/>
          </w:tcPr>
          <w:p w14:paraId="0158A1B9" w14:textId="77777777" w:rsidR="00000000" w:rsidRDefault="00405D16">
            <w:pPr>
              <w:spacing w:after="100"/>
              <w:rPr>
                <w:rFonts w:eastAsia="Times New Roman"/>
                <w:sz w:val="20"/>
                <w:szCs w:val="20"/>
              </w:rPr>
            </w:pPr>
          </w:p>
        </w:tc>
        <w:tc>
          <w:tcPr>
            <w:tcW w:w="295" w:type="pct"/>
            <w:vAlign w:val="center"/>
            <w:hideMark/>
          </w:tcPr>
          <w:p w14:paraId="4040EDF4" w14:textId="77777777" w:rsidR="00000000" w:rsidRDefault="00405D16">
            <w:pPr>
              <w:spacing w:after="100"/>
              <w:rPr>
                <w:rFonts w:eastAsia="Times New Roman"/>
                <w:sz w:val="20"/>
                <w:szCs w:val="20"/>
              </w:rPr>
            </w:pPr>
          </w:p>
        </w:tc>
        <w:tc>
          <w:tcPr>
            <w:tcW w:w="5" w:type="pct"/>
            <w:vAlign w:val="center"/>
            <w:hideMark/>
          </w:tcPr>
          <w:p w14:paraId="15F588E1" w14:textId="77777777" w:rsidR="00000000" w:rsidRDefault="00405D16">
            <w:pPr>
              <w:spacing w:after="100"/>
              <w:rPr>
                <w:rFonts w:eastAsia="Times New Roman"/>
                <w:sz w:val="20"/>
                <w:szCs w:val="20"/>
              </w:rPr>
            </w:pPr>
          </w:p>
        </w:tc>
        <w:tc>
          <w:tcPr>
            <w:tcW w:w="5" w:type="pct"/>
            <w:vAlign w:val="center"/>
            <w:hideMark/>
          </w:tcPr>
          <w:p w14:paraId="0790D983" w14:textId="77777777" w:rsidR="00000000" w:rsidRDefault="00405D16">
            <w:pPr>
              <w:spacing w:after="100"/>
              <w:rPr>
                <w:rFonts w:eastAsia="Times New Roman"/>
                <w:sz w:val="20"/>
                <w:szCs w:val="20"/>
              </w:rPr>
            </w:pPr>
          </w:p>
        </w:tc>
        <w:tc>
          <w:tcPr>
            <w:tcW w:w="26" w:type="pct"/>
            <w:vAlign w:val="center"/>
            <w:hideMark/>
          </w:tcPr>
          <w:p w14:paraId="5AF52BCA" w14:textId="77777777" w:rsidR="00000000" w:rsidRDefault="00405D16">
            <w:pPr>
              <w:spacing w:after="100"/>
              <w:rPr>
                <w:rFonts w:eastAsia="Times New Roman"/>
                <w:sz w:val="20"/>
                <w:szCs w:val="20"/>
              </w:rPr>
            </w:pPr>
          </w:p>
        </w:tc>
        <w:tc>
          <w:tcPr>
            <w:tcW w:w="5" w:type="pct"/>
            <w:vAlign w:val="center"/>
            <w:hideMark/>
          </w:tcPr>
          <w:p w14:paraId="0A9DBCE0" w14:textId="77777777" w:rsidR="00000000" w:rsidRDefault="00405D16">
            <w:pPr>
              <w:spacing w:after="100"/>
              <w:rPr>
                <w:rFonts w:eastAsia="Times New Roman"/>
                <w:sz w:val="20"/>
                <w:szCs w:val="20"/>
              </w:rPr>
            </w:pPr>
          </w:p>
        </w:tc>
        <w:tc>
          <w:tcPr>
            <w:tcW w:w="50" w:type="pct"/>
            <w:vAlign w:val="center"/>
            <w:hideMark/>
          </w:tcPr>
          <w:p w14:paraId="6063A4B5" w14:textId="77777777" w:rsidR="00000000" w:rsidRDefault="00405D16">
            <w:pPr>
              <w:spacing w:after="100"/>
              <w:rPr>
                <w:rFonts w:eastAsia="Times New Roman"/>
                <w:sz w:val="20"/>
                <w:szCs w:val="20"/>
              </w:rPr>
            </w:pPr>
          </w:p>
        </w:tc>
        <w:tc>
          <w:tcPr>
            <w:tcW w:w="295" w:type="pct"/>
            <w:vAlign w:val="center"/>
            <w:hideMark/>
          </w:tcPr>
          <w:p w14:paraId="69B28A98" w14:textId="77777777" w:rsidR="00000000" w:rsidRDefault="00405D16">
            <w:pPr>
              <w:spacing w:after="100"/>
              <w:rPr>
                <w:rFonts w:eastAsia="Times New Roman"/>
                <w:sz w:val="20"/>
                <w:szCs w:val="20"/>
              </w:rPr>
            </w:pPr>
          </w:p>
        </w:tc>
        <w:tc>
          <w:tcPr>
            <w:tcW w:w="5" w:type="pct"/>
            <w:vAlign w:val="center"/>
            <w:hideMark/>
          </w:tcPr>
          <w:p w14:paraId="017BD711" w14:textId="77777777" w:rsidR="00000000" w:rsidRDefault="00405D16">
            <w:pPr>
              <w:spacing w:after="100"/>
              <w:rPr>
                <w:rFonts w:eastAsia="Times New Roman"/>
                <w:sz w:val="20"/>
                <w:szCs w:val="20"/>
              </w:rPr>
            </w:pPr>
          </w:p>
        </w:tc>
        <w:tc>
          <w:tcPr>
            <w:tcW w:w="5" w:type="pct"/>
            <w:vAlign w:val="center"/>
            <w:hideMark/>
          </w:tcPr>
          <w:p w14:paraId="06F66598" w14:textId="77777777" w:rsidR="00000000" w:rsidRDefault="00405D16">
            <w:pPr>
              <w:spacing w:after="100"/>
              <w:rPr>
                <w:rFonts w:eastAsia="Times New Roman"/>
                <w:sz w:val="20"/>
                <w:szCs w:val="20"/>
              </w:rPr>
            </w:pPr>
          </w:p>
        </w:tc>
        <w:tc>
          <w:tcPr>
            <w:tcW w:w="26" w:type="pct"/>
            <w:vAlign w:val="center"/>
            <w:hideMark/>
          </w:tcPr>
          <w:p w14:paraId="35A43776" w14:textId="77777777" w:rsidR="00000000" w:rsidRDefault="00405D16">
            <w:pPr>
              <w:spacing w:after="100"/>
              <w:rPr>
                <w:rFonts w:eastAsia="Times New Roman"/>
                <w:sz w:val="20"/>
                <w:szCs w:val="20"/>
              </w:rPr>
            </w:pPr>
          </w:p>
        </w:tc>
        <w:tc>
          <w:tcPr>
            <w:tcW w:w="5" w:type="pct"/>
            <w:vAlign w:val="center"/>
            <w:hideMark/>
          </w:tcPr>
          <w:p w14:paraId="77F07488" w14:textId="77777777" w:rsidR="00000000" w:rsidRDefault="00405D16">
            <w:pPr>
              <w:spacing w:after="100"/>
              <w:rPr>
                <w:rFonts w:eastAsia="Times New Roman"/>
                <w:sz w:val="20"/>
                <w:szCs w:val="20"/>
              </w:rPr>
            </w:pPr>
          </w:p>
        </w:tc>
        <w:tc>
          <w:tcPr>
            <w:tcW w:w="50" w:type="pct"/>
            <w:vAlign w:val="center"/>
            <w:hideMark/>
          </w:tcPr>
          <w:p w14:paraId="5EB372A6" w14:textId="77777777" w:rsidR="00000000" w:rsidRDefault="00405D16">
            <w:pPr>
              <w:spacing w:after="100"/>
              <w:rPr>
                <w:rFonts w:eastAsia="Times New Roman"/>
                <w:sz w:val="20"/>
                <w:szCs w:val="20"/>
              </w:rPr>
            </w:pPr>
          </w:p>
        </w:tc>
        <w:tc>
          <w:tcPr>
            <w:tcW w:w="295" w:type="pct"/>
            <w:vAlign w:val="center"/>
            <w:hideMark/>
          </w:tcPr>
          <w:p w14:paraId="25424437" w14:textId="77777777" w:rsidR="00000000" w:rsidRDefault="00405D16">
            <w:pPr>
              <w:spacing w:after="100"/>
              <w:rPr>
                <w:rFonts w:eastAsia="Times New Roman"/>
                <w:sz w:val="20"/>
                <w:szCs w:val="20"/>
              </w:rPr>
            </w:pPr>
          </w:p>
        </w:tc>
        <w:tc>
          <w:tcPr>
            <w:tcW w:w="5" w:type="pct"/>
            <w:vAlign w:val="center"/>
            <w:hideMark/>
          </w:tcPr>
          <w:p w14:paraId="7A3FB9C2" w14:textId="77777777" w:rsidR="00000000" w:rsidRDefault="00405D16">
            <w:pPr>
              <w:spacing w:after="100"/>
              <w:rPr>
                <w:rFonts w:eastAsia="Times New Roman"/>
                <w:sz w:val="20"/>
                <w:szCs w:val="20"/>
              </w:rPr>
            </w:pPr>
          </w:p>
        </w:tc>
        <w:tc>
          <w:tcPr>
            <w:tcW w:w="5" w:type="pct"/>
            <w:vAlign w:val="center"/>
            <w:hideMark/>
          </w:tcPr>
          <w:p w14:paraId="79C64820" w14:textId="77777777" w:rsidR="00000000" w:rsidRDefault="00405D16">
            <w:pPr>
              <w:spacing w:after="100"/>
              <w:rPr>
                <w:rFonts w:eastAsia="Times New Roman"/>
                <w:sz w:val="20"/>
                <w:szCs w:val="20"/>
              </w:rPr>
            </w:pPr>
          </w:p>
        </w:tc>
        <w:tc>
          <w:tcPr>
            <w:tcW w:w="26" w:type="pct"/>
            <w:vAlign w:val="center"/>
            <w:hideMark/>
          </w:tcPr>
          <w:p w14:paraId="46C9EF2F" w14:textId="77777777" w:rsidR="00000000" w:rsidRDefault="00405D16">
            <w:pPr>
              <w:spacing w:after="100"/>
              <w:rPr>
                <w:rFonts w:eastAsia="Times New Roman"/>
                <w:sz w:val="20"/>
                <w:szCs w:val="20"/>
              </w:rPr>
            </w:pPr>
          </w:p>
        </w:tc>
        <w:tc>
          <w:tcPr>
            <w:tcW w:w="5" w:type="pct"/>
            <w:vAlign w:val="center"/>
            <w:hideMark/>
          </w:tcPr>
          <w:p w14:paraId="4BE9A5C8" w14:textId="77777777" w:rsidR="00000000" w:rsidRDefault="00405D16">
            <w:pPr>
              <w:spacing w:after="100"/>
              <w:rPr>
                <w:rFonts w:eastAsia="Times New Roman"/>
                <w:sz w:val="20"/>
                <w:szCs w:val="20"/>
              </w:rPr>
            </w:pPr>
          </w:p>
        </w:tc>
        <w:tc>
          <w:tcPr>
            <w:tcW w:w="50" w:type="pct"/>
            <w:vAlign w:val="center"/>
            <w:hideMark/>
          </w:tcPr>
          <w:p w14:paraId="5D89BCFA" w14:textId="77777777" w:rsidR="00000000" w:rsidRDefault="00405D16">
            <w:pPr>
              <w:spacing w:after="100"/>
              <w:rPr>
                <w:rFonts w:eastAsia="Times New Roman"/>
                <w:sz w:val="20"/>
                <w:szCs w:val="20"/>
              </w:rPr>
            </w:pPr>
          </w:p>
        </w:tc>
        <w:tc>
          <w:tcPr>
            <w:tcW w:w="295" w:type="pct"/>
            <w:vAlign w:val="center"/>
            <w:hideMark/>
          </w:tcPr>
          <w:p w14:paraId="08239C10" w14:textId="77777777" w:rsidR="00000000" w:rsidRDefault="00405D16">
            <w:pPr>
              <w:spacing w:after="100"/>
              <w:rPr>
                <w:rFonts w:eastAsia="Times New Roman"/>
                <w:sz w:val="20"/>
                <w:szCs w:val="20"/>
              </w:rPr>
            </w:pPr>
          </w:p>
        </w:tc>
        <w:tc>
          <w:tcPr>
            <w:tcW w:w="5" w:type="pct"/>
            <w:vAlign w:val="center"/>
            <w:hideMark/>
          </w:tcPr>
          <w:p w14:paraId="5926D21A" w14:textId="77777777" w:rsidR="00000000" w:rsidRDefault="00405D16">
            <w:pPr>
              <w:spacing w:after="100"/>
              <w:rPr>
                <w:rFonts w:eastAsia="Times New Roman"/>
                <w:sz w:val="20"/>
                <w:szCs w:val="20"/>
              </w:rPr>
            </w:pPr>
          </w:p>
        </w:tc>
        <w:tc>
          <w:tcPr>
            <w:tcW w:w="5" w:type="pct"/>
            <w:vAlign w:val="center"/>
            <w:hideMark/>
          </w:tcPr>
          <w:p w14:paraId="41570371" w14:textId="77777777" w:rsidR="00000000" w:rsidRDefault="00405D16">
            <w:pPr>
              <w:spacing w:after="100"/>
              <w:rPr>
                <w:rFonts w:eastAsia="Times New Roman"/>
                <w:sz w:val="20"/>
                <w:szCs w:val="20"/>
              </w:rPr>
            </w:pPr>
          </w:p>
        </w:tc>
        <w:tc>
          <w:tcPr>
            <w:tcW w:w="26" w:type="pct"/>
            <w:vAlign w:val="center"/>
            <w:hideMark/>
          </w:tcPr>
          <w:p w14:paraId="422BD147" w14:textId="77777777" w:rsidR="00000000" w:rsidRDefault="00405D16">
            <w:pPr>
              <w:spacing w:after="100"/>
              <w:rPr>
                <w:rFonts w:eastAsia="Times New Roman"/>
                <w:sz w:val="20"/>
                <w:szCs w:val="20"/>
              </w:rPr>
            </w:pPr>
          </w:p>
        </w:tc>
        <w:tc>
          <w:tcPr>
            <w:tcW w:w="5" w:type="pct"/>
            <w:vAlign w:val="center"/>
            <w:hideMark/>
          </w:tcPr>
          <w:p w14:paraId="260878B8" w14:textId="77777777" w:rsidR="00000000" w:rsidRDefault="00405D16">
            <w:pPr>
              <w:spacing w:after="100"/>
              <w:rPr>
                <w:rFonts w:eastAsia="Times New Roman"/>
                <w:sz w:val="20"/>
                <w:szCs w:val="20"/>
              </w:rPr>
            </w:pPr>
          </w:p>
        </w:tc>
        <w:tc>
          <w:tcPr>
            <w:tcW w:w="50" w:type="pct"/>
            <w:vAlign w:val="center"/>
            <w:hideMark/>
          </w:tcPr>
          <w:p w14:paraId="2E0C0236" w14:textId="77777777" w:rsidR="00000000" w:rsidRDefault="00405D16">
            <w:pPr>
              <w:spacing w:after="100"/>
              <w:rPr>
                <w:rFonts w:eastAsia="Times New Roman"/>
                <w:sz w:val="20"/>
                <w:szCs w:val="20"/>
              </w:rPr>
            </w:pPr>
          </w:p>
        </w:tc>
        <w:tc>
          <w:tcPr>
            <w:tcW w:w="295" w:type="pct"/>
            <w:vAlign w:val="center"/>
            <w:hideMark/>
          </w:tcPr>
          <w:p w14:paraId="1DBDA384" w14:textId="77777777" w:rsidR="00000000" w:rsidRDefault="00405D16">
            <w:pPr>
              <w:spacing w:after="100"/>
              <w:rPr>
                <w:rFonts w:eastAsia="Times New Roman"/>
                <w:sz w:val="20"/>
                <w:szCs w:val="20"/>
              </w:rPr>
            </w:pPr>
          </w:p>
        </w:tc>
        <w:tc>
          <w:tcPr>
            <w:tcW w:w="5" w:type="pct"/>
            <w:vAlign w:val="center"/>
            <w:hideMark/>
          </w:tcPr>
          <w:p w14:paraId="0F36C6E3" w14:textId="77777777" w:rsidR="00000000" w:rsidRDefault="00405D16">
            <w:pPr>
              <w:spacing w:after="100"/>
              <w:rPr>
                <w:rFonts w:eastAsia="Times New Roman"/>
                <w:sz w:val="20"/>
                <w:szCs w:val="20"/>
              </w:rPr>
            </w:pPr>
          </w:p>
        </w:tc>
        <w:tc>
          <w:tcPr>
            <w:tcW w:w="5" w:type="pct"/>
            <w:vAlign w:val="center"/>
            <w:hideMark/>
          </w:tcPr>
          <w:p w14:paraId="4378B454" w14:textId="77777777" w:rsidR="00000000" w:rsidRDefault="00405D16">
            <w:pPr>
              <w:spacing w:after="100"/>
              <w:rPr>
                <w:rFonts w:eastAsia="Times New Roman"/>
                <w:sz w:val="20"/>
                <w:szCs w:val="20"/>
              </w:rPr>
            </w:pPr>
          </w:p>
        </w:tc>
        <w:tc>
          <w:tcPr>
            <w:tcW w:w="26" w:type="pct"/>
            <w:vAlign w:val="center"/>
            <w:hideMark/>
          </w:tcPr>
          <w:p w14:paraId="08AAC765" w14:textId="77777777" w:rsidR="00000000" w:rsidRDefault="00405D16">
            <w:pPr>
              <w:spacing w:after="100"/>
              <w:rPr>
                <w:rFonts w:eastAsia="Times New Roman"/>
                <w:sz w:val="20"/>
                <w:szCs w:val="20"/>
              </w:rPr>
            </w:pPr>
          </w:p>
        </w:tc>
        <w:tc>
          <w:tcPr>
            <w:tcW w:w="5" w:type="pct"/>
            <w:vAlign w:val="center"/>
            <w:hideMark/>
          </w:tcPr>
          <w:p w14:paraId="1AB02F1B" w14:textId="77777777" w:rsidR="00000000" w:rsidRDefault="00405D16">
            <w:pPr>
              <w:spacing w:after="100"/>
              <w:rPr>
                <w:rFonts w:eastAsia="Times New Roman"/>
                <w:sz w:val="20"/>
                <w:szCs w:val="20"/>
              </w:rPr>
            </w:pPr>
          </w:p>
        </w:tc>
        <w:tc>
          <w:tcPr>
            <w:tcW w:w="50" w:type="pct"/>
            <w:vAlign w:val="center"/>
            <w:hideMark/>
          </w:tcPr>
          <w:p w14:paraId="740BE83C" w14:textId="77777777" w:rsidR="00000000" w:rsidRDefault="00405D16">
            <w:pPr>
              <w:spacing w:after="100"/>
              <w:rPr>
                <w:rFonts w:eastAsia="Times New Roman"/>
                <w:sz w:val="20"/>
                <w:szCs w:val="20"/>
              </w:rPr>
            </w:pPr>
          </w:p>
        </w:tc>
        <w:tc>
          <w:tcPr>
            <w:tcW w:w="296" w:type="pct"/>
            <w:vAlign w:val="center"/>
            <w:hideMark/>
          </w:tcPr>
          <w:p w14:paraId="07D9464D" w14:textId="77777777" w:rsidR="00000000" w:rsidRDefault="00405D16">
            <w:pPr>
              <w:spacing w:after="100"/>
              <w:rPr>
                <w:rFonts w:eastAsia="Times New Roman"/>
                <w:sz w:val="20"/>
                <w:szCs w:val="20"/>
              </w:rPr>
            </w:pPr>
          </w:p>
        </w:tc>
        <w:tc>
          <w:tcPr>
            <w:tcW w:w="5" w:type="pct"/>
            <w:vAlign w:val="center"/>
            <w:hideMark/>
          </w:tcPr>
          <w:p w14:paraId="356ABF3B" w14:textId="77777777" w:rsidR="00000000" w:rsidRDefault="00405D16">
            <w:pPr>
              <w:spacing w:after="100"/>
              <w:rPr>
                <w:rFonts w:eastAsia="Times New Roman"/>
                <w:sz w:val="20"/>
                <w:szCs w:val="20"/>
              </w:rPr>
            </w:pPr>
          </w:p>
        </w:tc>
        <w:tc>
          <w:tcPr>
            <w:tcW w:w="0" w:type="auto"/>
            <w:gridSpan w:val="3"/>
            <w:vAlign w:val="center"/>
            <w:hideMark/>
          </w:tcPr>
          <w:p w14:paraId="5B370A4E" w14:textId="77777777" w:rsidR="00000000" w:rsidRDefault="00405D16">
            <w:pPr>
              <w:spacing w:after="100"/>
              <w:rPr>
                <w:rFonts w:eastAsia="Times New Roman"/>
                <w:sz w:val="20"/>
                <w:szCs w:val="20"/>
              </w:rPr>
            </w:pPr>
          </w:p>
        </w:tc>
        <w:tc>
          <w:tcPr>
            <w:tcW w:w="0" w:type="auto"/>
            <w:gridSpan w:val="3"/>
            <w:vAlign w:val="center"/>
            <w:hideMark/>
          </w:tcPr>
          <w:p w14:paraId="6993444D" w14:textId="77777777" w:rsidR="00000000" w:rsidRDefault="00405D16">
            <w:pPr>
              <w:spacing w:after="100"/>
              <w:rPr>
                <w:rFonts w:eastAsia="Times New Roman"/>
                <w:sz w:val="20"/>
                <w:szCs w:val="20"/>
              </w:rPr>
            </w:pPr>
          </w:p>
        </w:tc>
        <w:tc>
          <w:tcPr>
            <w:tcW w:w="0" w:type="auto"/>
            <w:gridSpan w:val="3"/>
            <w:vAlign w:val="center"/>
            <w:hideMark/>
          </w:tcPr>
          <w:p w14:paraId="51B02260" w14:textId="77777777" w:rsidR="00000000" w:rsidRDefault="00405D16">
            <w:pPr>
              <w:spacing w:after="100"/>
              <w:rPr>
                <w:rFonts w:eastAsia="Times New Roman"/>
                <w:sz w:val="20"/>
                <w:szCs w:val="20"/>
              </w:rPr>
            </w:pPr>
          </w:p>
        </w:tc>
        <w:tc>
          <w:tcPr>
            <w:tcW w:w="0" w:type="auto"/>
            <w:gridSpan w:val="2"/>
            <w:vAlign w:val="center"/>
            <w:hideMark/>
          </w:tcPr>
          <w:p w14:paraId="6D23A5FF" w14:textId="77777777" w:rsidR="00000000" w:rsidRDefault="00405D16">
            <w:pPr>
              <w:spacing w:after="100"/>
              <w:rPr>
                <w:rFonts w:eastAsia="Times New Roman"/>
                <w:sz w:val="20"/>
                <w:szCs w:val="20"/>
              </w:rPr>
            </w:pPr>
          </w:p>
        </w:tc>
        <w:tc>
          <w:tcPr>
            <w:tcW w:w="0" w:type="auto"/>
            <w:vAlign w:val="center"/>
            <w:hideMark/>
          </w:tcPr>
          <w:p w14:paraId="0BA421C6" w14:textId="77777777" w:rsidR="00000000" w:rsidRDefault="00405D16">
            <w:pPr>
              <w:spacing w:after="100"/>
              <w:rPr>
                <w:rFonts w:eastAsia="Times New Roman"/>
                <w:sz w:val="20"/>
                <w:szCs w:val="20"/>
              </w:rPr>
            </w:pPr>
          </w:p>
        </w:tc>
      </w:tr>
      <w:tr w:rsidR="00000000" w14:paraId="6326A897" w14:textId="77777777">
        <w:trPr>
          <w:divId w:val="1350447739"/>
          <w:trHeight w:val="60"/>
        </w:trPr>
        <w:tc>
          <w:tcPr>
            <w:tcW w:w="0" w:type="auto"/>
            <w:gridSpan w:val="51"/>
            <w:tcMar>
              <w:top w:w="0" w:type="dxa"/>
              <w:left w:w="20" w:type="dxa"/>
              <w:bottom w:w="0" w:type="dxa"/>
              <w:right w:w="20" w:type="dxa"/>
            </w:tcMar>
            <w:vAlign w:val="center"/>
            <w:hideMark/>
          </w:tcPr>
          <w:p w14:paraId="3348CE48" w14:textId="77777777" w:rsidR="00000000" w:rsidRDefault="00405D16">
            <w:pPr>
              <w:spacing w:after="100"/>
              <w:rPr>
                <w:rFonts w:eastAsia="Times New Roman"/>
                <w:sz w:val="20"/>
                <w:szCs w:val="20"/>
              </w:rPr>
            </w:pPr>
          </w:p>
        </w:tc>
        <w:tc>
          <w:tcPr>
            <w:tcW w:w="0" w:type="auto"/>
            <w:vAlign w:val="center"/>
            <w:hideMark/>
          </w:tcPr>
          <w:p w14:paraId="0B1E6E29" w14:textId="77777777" w:rsidR="00000000" w:rsidRDefault="00405D16">
            <w:pPr>
              <w:spacing w:after="100"/>
              <w:rPr>
                <w:rFonts w:eastAsia="Times New Roman"/>
                <w:sz w:val="20"/>
                <w:szCs w:val="20"/>
              </w:rPr>
            </w:pPr>
          </w:p>
        </w:tc>
        <w:tc>
          <w:tcPr>
            <w:tcW w:w="0" w:type="auto"/>
            <w:vAlign w:val="center"/>
            <w:hideMark/>
          </w:tcPr>
          <w:p w14:paraId="2974D1BE" w14:textId="77777777" w:rsidR="00000000" w:rsidRDefault="00405D16">
            <w:pPr>
              <w:spacing w:after="100"/>
              <w:rPr>
                <w:rFonts w:eastAsia="Times New Roman"/>
                <w:sz w:val="20"/>
                <w:szCs w:val="20"/>
              </w:rPr>
            </w:pPr>
          </w:p>
        </w:tc>
        <w:tc>
          <w:tcPr>
            <w:tcW w:w="0" w:type="auto"/>
            <w:vAlign w:val="center"/>
            <w:hideMark/>
          </w:tcPr>
          <w:p w14:paraId="019F3E5E" w14:textId="77777777" w:rsidR="00000000" w:rsidRDefault="00405D16">
            <w:pPr>
              <w:spacing w:after="100"/>
              <w:rPr>
                <w:rFonts w:eastAsia="Times New Roman"/>
                <w:sz w:val="20"/>
                <w:szCs w:val="20"/>
              </w:rPr>
            </w:pPr>
          </w:p>
        </w:tc>
        <w:tc>
          <w:tcPr>
            <w:tcW w:w="0" w:type="auto"/>
            <w:vAlign w:val="center"/>
            <w:hideMark/>
          </w:tcPr>
          <w:p w14:paraId="5528558B" w14:textId="77777777" w:rsidR="00000000" w:rsidRDefault="00405D16">
            <w:pPr>
              <w:spacing w:after="100"/>
              <w:rPr>
                <w:rFonts w:eastAsia="Times New Roman"/>
                <w:sz w:val="20"/>
                <w:szCs w:val="20"/>
              </w:rPr>
            </w:pPr>
          </w:p>
        </w:tc>
        <w:tc>
          <w:tcPr>
            <w:tcW w:w="0" w:type="auto"/>
            <w:vAlign w:val="center"/>
            <w:hideMark/>
          </w:tcPr>
          <w:p w14:paraId="07669496" w14:textId="77777777" w:rsidR="00000000" w:rsidRDefault="00405D16">
            <w:pPr>
              <w:spacing w:after="100"/>
              <w:rPr>
                <w:rFonts w:eastAsia="Times New Roman"/>
                <w:sz w:val="20"/>
                <w:szCs w:val="20"/>
              </w:rPr>
            </w:pPr>
          </w:p>
        </w:tc>
        <w:tc>
          <w:tcPr>
            <w:tcW w:w="0" w:type="auto"/>
            <w:vAlign w:val="center"/>
            <w:hideMark/>
          </w:tcPr>
          <w:p w14:paraId="055EEA54" w14:textId="77777777" w:rsidR="00000000" w:rsidRDefault="00405D16">
            <w:pPr>
              <w:spacing w:after="100"/>
              <w:rPr>
                <w:rFonts w:eastAsia="Times New Roman"/>
                <w:sz w:val="20"/>
                <w:szCs w:val="20"/>
              </w:rPr>
            </w:pPr>
          </w:p>
        </w:tc>
        <w:tc>
          <w:tcPr>
            <w:tcW w:w="0" w:type="auto"/>
            <w:vAlign w:val="center"/>
            <w:hideMark/>
          </w:tcPr>
          <w:p w14:paraId="255055F5" w14:textId="77777777" w:rsidR="00000000" w:rsidRDefault="00405D16">
            <w:pPr>
              <w:spacing w:after="100"/>
              <w:rPr>
                <w:rFonts w:eastAsia="Times New Roman"/>
                <w:sz w:val="20"/>
                <w:szCs w:val="20"/>
              </w:rPr>
            </w:pPr>
          </w:p>
        </w:tc>
        <w:tc>
          <w:tcPr>
            <w:tcW w:w="0" w:type="auto"/>
            <w:vAlign w:val="center"/>
            <w:hideMark/>
          </w:tcPr>
          <w:p w14:paraId="15FE6FBF" w14:textId="77777777" w:rsidR="00000000" w:rsidRDefault="00405D16">
            <w:pPr>
              <w:spacing w:after="100"/>
              <w:rPr>
                <w:rFonts w:eastAsia="Times New Roman"/>
                <w:sz w:val="20"/>
                <w:szCs w:val="20"/>
              </w:rPr>
            </w:pPr>
          </w:p>
        </w:tc>
        <w:tc>
          <w:tcPr>
            <w:tcW w:w="0" w:type="auto"/>
            <w:vAlign w:val="center"/>
            <w:hideMark/>
          </w:tcPr>
          <w:p w14:paraId="5D11C0C3" w14:textId="77777777" w:rsidR="00000000" w:rsidRDefault="00405D16">
            <w:pPr>
              <w:spacing w:after="100"/>
              <w:rPr>
                <w:rFonts w:eastAsia="Times New Roman"/>
                <w:sz w:val="20"/>
                <w:szCs w:val="20"/>
              </w:rPr>
            </w:pPr>
          </w:p>
        </w:tc>
        <w:tc>
          <w:tcPr>
            <w:tcW w:w="0" w:type="auto"/>
            <w:vAlign w:val="center"/>
            <w:hideMark/>
          </w:tcPr>
          <w:p w14:paraId="0D1CD288" w14:textId="77777777" w:rsidR="00000000" w:rsidRDefault="00405D16">
            <w:pPr>
              <w:spacing w:after="100"/>
              <w:rPr>
                <w:rFonts w:eastAsia="Times New Roman"/>
                <w:sz w:val="20"/>
                <w:szCs w:val="20"/>
              </w:rPr>
            </w:pPr>
          </w:p>
        </w:tc>
        <w:tc>
          <w:tcPr>
            <w:tcW w:w="0" w:type="auto"/>
            <w:vAlign w:val="center"/>
            <w:hideMark/>
          </w:tcPr>
          <w:p w14:paraId="25C56F25" w14:textId="77777777" w:rsidR="00000000" w:rsidRDefault="00405D16">
            <w:pPr>
              <w:spacing w:after="100"/>
              <w:rPr>
                <w:rFonts w:eastAsia="Times New Roman"/>
                <w:sz w:val="20"/>
                <w:szCs w:val="20"/>
              </w:rPr>
            </w:pPr>
          </w:p>
        </w:tc>
        <w:tc>
          <w:tcPr>
            <w:tcW w:w="0" w:type="auto"/>
            <w:vAlign w:val="center"/>
            <w:hideMark/>
          </w:tcPr>
          <w:p w14:paraId="224599B6" w14:textId="77777777" w:rsidR="00000000" w:rsidRDefault="00405D16">
            <w:pPr>
              <w:spacing w:after="100"/>
              <w:rPr>
                <w:rFonts w:eastAsia="Times New Roman"/>
                <w:sz w:val="20"/>
                <w:szCs w:val="20"/>
              </w:rPr>
            </w:pPr>
          </w:p>
        </w:tc>
      </w:tr>
      <w:tr w:rsidR="00000000" w14:paraId="63FE1E28" w14:textId="77777777">
        <w:trPr>
          <w:divId w:val="1350447739"/>
        </w:trPr>
        <w:tc>
          <w:tcPr>
            <w:tcW w:w="0" w:type="auto"/>
            <w:gridSpan w:val="3"/>
            <w:vAlign w:val="center"/>
            <w:hideMark/>
          </w:tcPr>
          <w:p w14:paraId="5D1EA203" w14:textId="77777777" w:rsidR="00000000" w:rsidRDefault="00405D16">
            <w:pPr>
              <w:spacing w:after="100"/>
              <w:rPr>
                <w:rFonts w:eastAsia="Times New Roman"/>
                <w:sz w:val="20"/>
                <w:szCs w:val="20"/>
              </w:rPr>
            </w:pPr>
          </w:p>
        </w:tc>
        <w:tc>
          <w:tcPr>
            <w:tcW w:w="0" w:type="auto"/>
            <w:gridSpan w:val="3"/>
            <w:vAlign w:val="center"/>
            <w:hideMark/>
          </w:tcPr>
          <w:p w14:paraId="7B3A4246" w14:textId="77777777" w:rsidR="00000000" w:rsidRDefault="00405D16">
            <w:pPr>
              <w:spacing w:after="100"/>
              <w:rPr>
                <w:rFonts w:eastAsia="Times New Roman"/>
                <w:sz w:val="20"/>
                <w:szCs w:val="20"/>
              </w:rPr>
            </w:pPr>
          </w:p>
        </w:tc>
        <w:tc>
          <w:tcPr>
            <w:tcW w:w="0" w:type="auto"/>
            <w:gridSpan w:val="3"/>
            <w:vAlign w:val="center"/>
            <w:hideMark/>
          </w:tcPr>
          <w:p w14:paraId="050D7AEF" w14:textId="77777777" w:rsidR="00000000" w:rsidRDefault="00405D16">
            <w:pPr>
              <w:spacing w:after="100"/>
              <w:rPr>
                <w:rFonts w:eastAsia="Times New Roman"/>
                <w:sz w:val="20"/>
                <w:szCs w:val="20"/>
              </w:rPr>
            </w:pPr>
          </w:p>
        </w:tc>
        <w:tc>
          <w:tcPr>
            <w:tcW w:w="0" w:type="auto"/>
            <w:gridSpan w:val="3"/>
            <w:vAlign w:val="center"/>
            <w:hideMark/>
          </w:tcPr>
          <w:p w14:paraId="7131CDE8" w14:textId="77777777" w:rsidR="00000000" w:rsidRDefault="00405D16">
            <w:pPr>
              <w:spacing w:after="100"/>
              <w:rPr>
                <w:rFonts w:eastAsia="Times New Roman"/>
                <w:sz w:val="20"/>
                <w:szCs w:val="20"/>
              </w:rPr>
            </w:pPr>
          </w:p>
        </w:tc>
        <w:tc>
          <w:tcPr>
            <w:tcW w:w="0" w:type="auto"/>
            <w:gridSpan w:val="3"/>
            <w:vAlign w:val="center"/>
            <w:hideMark/>
          </w:tcPr>
          <w:p w14:paraId="1EB52822" w14:textId="77777777" w:rsidR="00000000" w:rsidRDefault="00405D16">
            <w:pPr>
              <w:spacing w:after="100"/>
              <w:rPr>
                <w:rFonts w:eastAsia="Times New Roman"/>
                <w:sz w:val="20"/>
                <w:szCs w:val="20"/>
              </w:rPr>
            </w:pPr>
          </w:p>
        </w:tc>
        <w:tc>
          <w:tcPr>
            <w:tcW w:w="0" w:type="auto"/>
            <w:gridSpan w:val="3"/>
            <w:vAlign w:val="center"/>
            <w:hideMark/>
          </w:tcPr>
          <w:p w14:paraId="26D154BA" w14:textId="77777777" w:rsidR="00000000" w:rsidRDefault="00405D16">
            <w:pPr>
              <w:spacing w:after="100"/>
              <w:rPr>
                <w:rFonts w:eastAsia="Times New Roman"/>
                <w:sz w:val="20"/>
                <w:szCs w:val="20"/>
              </w:rPr>
            </w:pPr>
          </w:p>
        </w:tc>
        <w:tc>
          <w:tcPr>
            <w:tcW w:w="0" w:type="auto"/>
            <w:gridSpan w:val="3"/>
            <w:vAlign w:val="center"/>
            <w:hideMark/>
          </w:tcPr>
          <w:p w14:paraId="47AC3C23" w14:textId="77777777" w:rsidR="00000000" w:rsidRDefault="00405D16">
            <w:pPr>
              <w:spacing w:after="100"/>
              <w:rPr>
                <w:rFonts w:eastAsia="Times New Roman"/>
                <w:sz w:val="20"/>
                <w:szCs w:val="20"/>
              </w:rPr>
            </w:pPr>
          </w:p>
        </w:tc>
        <w:tc>
          <w:tcPr>
            <w:tcW w:w="0" w:type="auto"/>
            <w:gridSpan w:val="3"/>
            <w:vAlign w:val="center"/>
            <w:hideMark/>
          </w:tcPr>
          <w:p w14:paraId="358BD904" w14:textId="77777777" w:rsidR="00000000" w:rsidRDefault="00405D16">
            <w:pPr>
              <w:spacing w:after="100"/>
              <w:rPr>
                <w:rFonts w:eastAsia="Times New Roman"/>
                <w:sz w:val="20"/>
                <w:szCs w:val="20"/>
              </w:rPr>
            </w:pPr>
          </w:p>
        </w:tc>
        <w:tc>
          <w:tcPr>
            <w:tcW w:w="0" w:type="auto"/>
            <w:gridSpan w:val="3"/>
            <w:vAlign w:val="center"/>
            <w:hideMark/>
          </w:tcPr>
          <w:p w14:paraId="5111412C" w14:textId="77777777" w:rsidR="00000000" w:rsidRDefault="00405D16">
            <w:pPr>
              <w:spacing w:after="100"/>
              <w:rPr>
                <w:rFonts w:eastAsia="Times New Roman"/>
                <w:sz w:val="20"/>
                <w:szCs w:val="20"/>
              </w:rPr>
            </w:pPr>
          </w:p>
        </w:tc>
        <w:tc>
          <w:tcPr>
            <w:tcW w:w="0" w:type="auto"/>
            <w:gridSpan w:val="3"/>
            <w:vAlign w:val="center"/>
            <w:hideMark/>
          </w:tcPr>
          <w:p w14:paraId="1DFE2335" w14:textId="77777777" w:rsidR="00000000" w:rsidRDefault="00405D16">
            <w:pPr>
              <w:spacing w:after="100"/>
              <w:rPr>
                <w:rFonts w:eastAsia="Times New Roman"/>
                <w:sz w:val="20"/>
                <w:szCs w:val="20"/>
              </w:rPr>
            </w:pPr>
          </w:p>
        </w:tc>
        <w:tc>
          <w:tcPr>
            <w:tcW w:w="0" w:type="auto"/>
            <w:gridSpan w:val="3"/>
            <w:vAlign w:val="center"/>
            <w:hideMark/>
          </w:tcPr>
          <w:p w14:paraId="39996326" w14:textId="77777777" w:rsidR="00000000" w:rsidRDefault="00405D16">
            <w:pPr>
              <w:spacing w:after="100"/>
              <w:rPr>
                <w:rFonts w:eastAsia="Times New Roman"/>
                <w:sz w:val="20"/>
                <w:szCs w:val="20"/>
              </w:rPr>
            </w:pPr>
          </w:p>
        </w:tc>
        <w:tc>
          <w:tcPr>
            <w:tcW w:w="0" w:type="auto"/>
            <w:vAlign w:val="center"/>
            <w:hideMark/>
          </w:tcPr>
          <w:p w14:paraId="4C7D79CD" w14:textId="77777777" w:rsidR="00000000" w:rsidRDefault="00405D16">
            <w:pPr>
              <w:spacing w:after="100"/>
              <w:rPr>
                <w:rFonts w:eastAsia="Times New Roman"/>
                <w:sz w:val="20"/>
                <w:szCs w:val="20"/>
              </w:rPr>
            </w:pPr>
          </w:p>
        </w:tc>
        <w:tc>
          <w:tcPr>
            <w:tcW w:w="0" w:type="auto"/>
            <w:vAlign w:val="center"/>
            <w:hideMark/>
          </w:tcPr>
          <w:p w14:paraId="04B694E1" w14:textId="77777777" w:rsidR="00000000" w:rsidRDefault="00405D16">
            <w:pPr>
              <w:spacing w:after="100"/>
              <w:rPr>
                <w:rFonts w:eastAsia="Times New Roman"/>
                <w:sz w:val="20"/>
                <w:szCs w:val="20"/>
              </w:rPr>
            </w:pPr>
          </w:p>
        </w:tc>
        <w:tc>
          <w:tcPr>
            <w:tcW w:w="0" w:type="auto"/>
            <w:vAlign w:val="center"/>
            <w:hideMark/>
          </w:tcPr>
          <w:p w14:paraId="6B7A2253" w14:textId="77777777" w:rsidR="00000000" w:rsidRDefault="00405D16">
            <w:pPr>
              <w:spacing w:after="100"/>
              <w:rPr>
                <w:rFonts w:eastAsia="Times New Roman"/>
                <w:sz w:val="20"/>
                <w:szCs w:val="20"/>
              </w:rPr>
            </w:pPr>
          </w:p>
        </w:tc>
        <w:tc>
          <w:tcPr>
            <w:tcW w:w="0" w:type="auto"/>
            <w:vAlign w:val="center"/>
            <w:hideMark/>
          </w:tcPr>
          <w:p w14:paraId="4783B8E5" w14:textId="77777777" w:rsidR="00000000" w:rsidRDefault="00405D16">
            <w:pPr>
              <w:spacing w:after="100"/>
              <w:rPr>
                <w:rFonts w:eastAsia="Times New Roman"/>
                <w:sz w:val="20"/>
                <w:szCs w:val="20"/>
              </w:rPr>
            </w:pPr>
          </w:p>
        </w:tc>
        <w:tc>
          <w:tcPr>
            <w:tcW w:w="0" w:type="auto"/>
            <w:vAlign w:val="center"/>
            <w:hideMark/>
          </w:tcPr>
          <w:p w14:paraId="23591504" w14:textId="77777777" w:rsidR="00000000" w:rsidRDefault="00405D16">
            <w:pPr>
              <w:spacing w:after="100"/>
              <w:rPr>
                <w:rFonts w:eastAsia="Times New Roman"/>
                <w:sz w:val="20"/>
                <w:szCs w:val="20"/>
              </w:rPr>
            </w:pPr>
          </w:p>
        </w:tc>
        <w:tc>
          <w:tcPr>
            <w:tcW w:w="0" w:type="auto"/>
            <w:vAlign w:val="center"/>
            <w:hideMark/>
          </w:tcPr>
          <w:p w14:paraId="2B87FC8B" w14:textId="77777777" w:rsidR="00000000" w:rsidRDefault="00405D16">
            <w:pPr>
              <w:spacing w:after="100"/>
              <w:rPr>
                <w:rFonts w:eastAsia="Times New Roman"/>
                <w:sz w:val="20"/>
                <w:szCs w:val="20"/>
              </w:rPr>
            </w:pPr>
          </w:p>
        </w:tc>
        <w:tc>
          <w:tcPr>
            <w:tcW w:w="0" w:type="auto"/>
            <w:vAlign w:val="center"/>
            <w:hideMark/>
          </w:tcPr>
          <w:p w14:paraId="1AF01BEB" w14:textId="77777777" w:rsidR="00000000" w:rsidRDefault="00405D16">
            <w:pPr>
              <w:spacing w:after="100"/>
              <w:rPr>
                <w:rFonts w:eastAsia="Times New Roman"/>
                <w:sz w:val="20"/>
                <w:szCs w:val="20"/>
              </w:rPr>
            </w:pPr>
          </w:p>
        </w:tc>
        <w:tc>
          <w:tcPr>
            <w:tcW w:w="0" w:type="auto"/>
            <w:vAlign w:val="center"/>
            <w:hideMark/>
          </w:tcPr>
          <w:p w14:paraId="086BBB6D" w14:textId="77777777" w:rsidR="00000000" w:rsidRDefault="00405D16">
            <w:pPr>
              <w:spacing w:after="100"/>
              <w:rPr>
                <w:rFonts w:eastAsia="Times New Roman"/>
                <w:sz w:val="20"/>
                <w:szCs w:val="20"/>
              </w:rPr>
            </w:pPr>
          </w:p>
        </w:tc>
        <w:tc>
          <w:tcPr>
            <w:tcW w:w="0" w:type="auto"/>
            <w:vAlign w:val="center"/>
            <w:hideMark/>
          </w:tcPr>
          <w:p w14:paraId="2801E8CA" w14:textId="77777777" w:rsidR="00000000" w:rsidRDefault="00405D16">
            <w:pPr>
              <w:spacing w:after="100"/>
              <w:rPr>
                <w:rFonts w:eastAsia="Times New Roman"/>
                <w:sz w:val="20"/>
                <w:szCs w:val="20"/>
              </w:rPr>
            </w:pPr>
          </w:p>
        </w:tc>
        <w:tc>
          <w:tcPr>
            <w:tcW w:w="0" w:type="auto"/>
            <w:vAlign w:val="center"/>
            <w:hideMark/>
          </w:tcPr>
          <w:p w14:paraId="6C4C5CF4" w14:textId="77777777" w:rsidR="00000000" w:rsidRDefault="00405D16">
            <w:pPr>
              <w:spacing w:after="100"/>
              <w:rPr>
                <w:rFonts w:eastAsia="Times New Roman"/>
                <w:sz w:val="20"/>
                <w:szCs w:val="20"/>
              </w:rPr>
            </w:pPr>
          </w:p>
        </w:tc>
        <w:tc>
          <w:tcPr>
            <w:tcW w:w="0" w:type="auto"/>
            <w:vAlign w:val="center"/>
            <w:hideMark/>
          </w:tcPr>
          <w:p w14:paraId="4896F919" w14:textId="77777777" w:rsidR="00000000" w:rsidRDefault="00405D16">
            <w:pPr>
              <w:spacing w:after="100"/>
              <w:rPr>
                <w:rFonts w:eastAsia="Times New Roman"/>
                <w:sz w:val="20"/>
                <w:szCs w:val="20"/>
              </w:rPr>
            </w:pPr>
          </w:p>
        </w:tc>
        <w:tc>
          <w:tcPr>
            <w:tcW w:w="0" w:type="auto"/>
            <w:vAlign w:val="center"/>
            <w:hideMark/>
          </w:tcPr>
          <w:p w14:paraId="62DF02AE" w14:textId="77777777" w:rsidR="00000000" w:rsidRDefault="00405D16">
            <w:pPr>
              <w:spacing w:after="100"/>
              <w:rPr>
                <w:rFonts w:eastAsia="Times New Roman"/>
                <w:sz w:val="20"/>
                <w:szCs w:val="20"/>
              </w:rPr>
            </w:pPr>
          </w:p>
        </w:tc>
        <w:tc>
          <w:tcPr>
            <w:tcW w:w="0" w:type="auto"/>
            <w:vAlign w:val="center"/>
            <w:hideMark/>
          </w:tcPr>
          <w:p w14:paraId="2076BBCF" w14:textId="77777777" w:rsidR="00000000" w:rsidRDefault="00405D16">
            <w:pPr>
              <w:spacing w:after="100"/>
              <w:rPr>
                <w:rFonts w:eastAsia="Times New Roman"/>
                <w:sz w:val="20"/>
                <w:szCs w:val="20"/>
              </w:rPr>
            </w:pPr>
          </w:p>
        </w:tc>
        <w:tc>
          <w:tcPr>
            <w:tcW w:w="0" w:type="auto"/>
            <w:vAlign w:val="center"/>
            <w:hideMark/>
          </w:tcPr>
          <w:p w14:paraId="060FAB93" w14:textId="77777777" w:rsidR="00000000" w:rsidRDefault="00405D16">
            <w:pPr>
              <w:spacing w:after="100"/>
              <w:rPr>
                <w:rFonts w:eastAsia="Times New Roman"/>
                <w:sz w:val="20"/>
                <w:szCs w:val="20"/>
              </w:rPr>
            </w:pPr>
          </w:p>
        </w:tc>
        <w:tc>
          <w:tcPr>
            <w:tcW w:w="0" w:type="auto"/>
            <w:vAlign w:val="center"/>
            <w:hideMark/>
          </w:tcPr>
          <w:p w14:paraId="2235E2CC" w14:textId="77777777" w:rsidR="00000000" w:rsidRDefault="00405D16">
            <w:pPr>
              <w:spacing w:after="100"/>
              <w:rPr>
                <w:rFonts w:eastAsia="Times New Roman"/>
                <w:sz w:val="20"/>
                <w:szCs w:val="20"/>
              </w:rPr>
            </w:pPr>
          </w:p>
        </w:tc>
        <w:tc>
          <w:tcPr>
            <w:tcW w:w="0" w:type="auto"/>
            <w:vAlign w:val="center"/>
            <w:hideMark/>
          </w:tcPr>
          <w:p w14:paraId="084A6F06" w14:textId="77777777" w:rsidR="00000000" w:rsidRDefault="00405D16">
            <w:pPr>
              <w:spacing w:after="100"/>
              <w:rPr>
                <w:rFonts w:eastAsia="Times New Roman"/>
                <w:sz w:val="20"/>
                <w:szCs w:val="20"/>
              </w:rPr>
            </w:pPr>
          </w:p>
        </w:tc>
        <w:tc>
          <w:tcPr>
            <w:tcW w:w="0" w:type="auto"/>
            <w:vAlign w:val="center"/>
            <w:hideMark/>
          </w:tcPr>
          <w:p w14:paraId="2A91F486" w14:textId="77777777" w:rsidR="00000000" w:rsidRDefault="00405D16">
            <w:pPr>
              <w:spacing w:after="100"/>
              <w:rPr>
                <w:rFonts w:eastAsia="Times New Roman"/>
                <w:sz w:val="20"/>
                <w:szCs w:val="20"/>
              </w:rPr>
            </w:pPr>
          </w:p>
        </w:tc>
        <w:tc>
          <w:tcPr>
            <w:tcW w:w="0" w:type="auto"/>
            <w:vAlign w:val="center"/>
            <w:hideMark/>
          </w:tcPr>
          <w:p w14:paraId="3C5E8D20" w14:textId="77777777" w:rsidR="00000000" w:rsidRDefault="00405D16">
            <w:pPr>
              <w:spacing w:after="100"/>
              <w:rPr>
                <w:rFonts w:eastAsia="Times New Roman"/>
                <w:sz w:val="20"/>
                <w:szCs w:val="20"/>
              </w:rPr>
            </w:pPr>
          </w:p>
        </w:tc>
        <w:tc>
          <w:tcPr>
            <w:tcW w:w="0" w:type="auto"/>
            <w:vAlign w:val="center"/>
            <w:hideMark/>
          </w:tcPr>
          <w:p w14:paraId="1258D34E" w14:textId="77777777" w:rsidR="00000000" w:rsidRDefault="00405D16">
            <w:pPr>
              <w:spacing w:after="100"/>
              <w:rPr>
                <w:rFonts w:eastAsia="Times New Roman"/>
                <w:sz w:val="20"/>
                <w:szCs w:val="20"/>
              </w:rPr>
            </w:pPr>
          </w:p>
        </w:tc>
        <w:tc>
          <w:tcPr>
            <w:tcW w:w="0" w:type="auto"/>
            <w:vAlign w:val="center"/>
            <w:hideMark/>
          </w:tcPr>
          <w:p w14:paraId="74AF002B" w14:textId="77777777" w:rsidR="00000000" w:rsidRDefault="00405D16">
            <w:pPr>
              <w:spacing w:after="100"/>
              <w:rPr>
                <w:rFonts w:eastAsia="Times New Roman"/>
                <w:sz w:val="20"/>
                <w:szCs w:val="20"/>
              </w:rPr>
            </w:pPr>
          </w:p>
        </w:tc>
        <w:tc>
          <w:tcPr>
            <w:tcW w:w="0" w:type="auto"/>
            <w:vAlign w:val="center"/>
            <w:hideMark/>
          </w:tcPr>
          <w:p w14:paraId="78A67198" w14:textId="77777777" w:rsidR="00000000" w:rsidRDefault="00405D16">
            <w:pPr>
              <w:spacing w:after="100"/>
              <w:rPr>
                <w:rFonts w:eastAsia="Times New Roman"/>
                <w:sz w:val="20"/>
                <w:szCs w:val="20"/>
              </w:rPr>
            </w:pPr>
          </w:p>
        </w:tc>
        <w:tc>
          <w:tcPr>
            <w:tcW w:w="0" w:type="auto"/>
            <w:vAlign w:val="center"/>
            <w:hideMark/>
          </w:tcPr>
          <w:p w14:paraId="2460DDB7" w14:textId="77777777" w:rsidR="00000000" w:rsidRDefault="00405D16">
            <w:pPr>
              <w:spacing w:after="100"/>
              <w:rPr>
                <w:rFonts w:eastAsia="Times New Roman"/>
                <w:sz w:val="20"/>
                <w:szCs w:val="20"/>
              </w:rPr>
            </w:pPr>
          </w:p>
        </w:tc>
        <w:tc>
          <w:tcPr>
            <w:tcW w:w="0" w:type="auto"/>
            <w:vAlign w:val="center"/>
            <w:hideMark/>
          </w:tcPr>
          <w:p w14:paraId="332674F2" w14:textId="77777777" w:rsidR="00000000" w:rsidRDefault="00405D16">
            <w:pPr>
              <w:spacing w:after="100"/>
              <w:rPr>
                <w:rFonts w:eastAsia="Times New Roman"/>
                <w:sz w:val="20"/>
                <w:szCs w:val="20"/>
              </w:rPr>
            </w:pPr>
          </w:p>
        </w:tc>
        <w:tc>
          <w:tcPr>
            <w:tcW w:w="0" w:type="auto"/>
            <w:vAlign w:val="center"/>
            <w:hideMark/>
          </w:tcPr>
          <w:p w14:paraId="65613BFB" w14:textId="77777777" w:rsidR="00000000" w:rsidRDefault="00405D16">
            <w:pPr>
              <w:spacing w:after="100"/>
              <w:rPr>
                <w:rFonts w:eastAsia="Times New Roman"/>
                <w:sz w:val="20"/>
                <w:szCs w:val="20"/>
              </w:rPr>
            </w:pPr>
          </w:p>
        </w:tc>
        <w:tc>
          <w:tcPr>
            <w:tcW w:w="0" w:type="auto"/>
            <w:vAlign w:val="center"/>
            <w:hideMark/>
          </w:tcPr>
          <w:p w14:paraId="5E4704BE" w14:textId="77777777" w:rsidR="00000000" w:rsidRDefault="00405D16">
            <w:pPr>
              <w:spacing w:after="100"/>
              <w:rPr>
                <w:rFonts w:eastAsia="Times New Roman"/>
                <w:sz w:val="20"/>
                <w:szCs w:val="20"/>
              </w:rPr>
            </w:pPr>
          </w:p>
        </w:tc>
        <w:tc>
          <w:tcPr>
            <w:tcW w:w="0" w:type="auto"/>
            <w:vAlign w:val="center"/>
            <w:hideMark/>
          </w:tcPr>
          <w:p w14:paraId="658DD0D3" w14:textId="77777777" w:rsidR="00000000" w:rsidRDefault="00405D16">
            <w:pPr>
              <w:spacing w:after="100"/>
              <w:rPr>
                <w:rFonts w:eastAsia="Times New Roman"/>
                <w:sz w:val="20"/>
                <w:szCs w:val="20"/>
              </w:rPr>
            </w:pPr>
          </w:p>
        </w:tc>
        <w:tc>
          <w:tcPr>
            <w:tcW w:w="0" w:type="auto"/>
            <w:vAlign w:val="center"/>
            <w:hideMark/>
          </w:tcPr>
          <w:p w14:paraId="0C912CC3" w14:textId="77777777" w:rsidR="00000000" w:rsidRDefault="00405D16">
            <w:pPr>
              <w:spacing w:after="100"/>
              <w:rPr>
                <w:rFonts w:eastAsia="Times New Roman"/>
                <w:sz w:val="20"/>
                <w:szCs w:val="20"/>
              </w:rPr>
            </w:pPr>
          </w:p>
        </w:tc>
        <w:tc>
          <w:tcPr>
            <w:tcW w:w="0" w:type="auto"/>
            <w:vAlign w:val="center"/>
            <w:hideMark/>
          </w:tcPr>
          <w:p w14:paraId="386EDCDA" w14:textId="77777777" w:rsidR="00000000" w:rsidRDefault="00405D16">
            <w:pPr>
              <w:spacing w:after="100"/>
              <w:rPr>
                <w:rFonts w:eastAsia="Times New Roman"/>
                <w:sz w:val="20"/>
                <w:szCs w:val="20"/>
              </w:rPr>
            </w:pPr>
          </w:p>
        </w:tc>
        <w:tc>
          <w:tcPr>
            <w:tcW w:w="0" w:type="auto"/>
            <w:vAlign w:val="center"/>
            <w:hideMark/>
          </w:tcPr>
          <w:p w14:paraId="101B70E3" w14:textId="77777777" w:rsidR="00000000" w:rsidRDefault="00405D16">
            <w:pPr>
              <w:spacing w:after="100"/>
              <w:rPr>
                <w:rFonts w:eastAsia="Times New Roman"/>
                <w:sz w:val="20"/>
                <w:szCs w:val="20"/>
              </w:rPr>
            </w:pPr>
          </w:p>
        </w:tc>
        <w:tc>
          <w:tcPr>
            <w:tcW w:w="0" w:type="auto"/>
            <w:vAlign w:val="center"/>
            <w:hideMark/>
          </w:tcPr>
          <w:p w14:paraId="07C67834" w14:textId="77777777" w:rsidR="00000000" w:rsidRDefault="00405D16">
            <w:pPr>
              <w:spacing w:after="100"/>
              <w:rPr>
                <w:rFonts w:eastAsia="Times New Roman"/>
                <w:sz w:val="20"/>
                <w:szCs w:val="20"/>
              </w:rPr>
            </w:pPr>
          </w:p>
        </w:tc>
      </w:tr>
      <w:tr w:rsidR="00000000" w14:paraId="2298336D" w14:textId="77777777">
        <w:trPr>
          <w:divId w:val="1350447739"/>
        </w:trPr>
        <w:tc>
          <w:tcPr>
            <w:tcW w:w="0" w:type="auto"/>
            <w:gridSpan w:val="3"/>
            <w:vAlign w:val="center"/>
            <w:hideMark/>
          </w:tcPr>
          <w:p w14:paraId="26D7D85F" w14:textId="77777777" w:rsidR="00000000" w:rsidRDefault="00405D16">
            <w:pPr>
              <w:spacing w:after="100"/>
              <w:rPr>
                <w:rFonts w:eastAsia="Times New Roman"/>
                <w:sz w:val="20"/>
                <w:szCs w:val="20"/>
              </w:rPr>
            </w:pPr>
          </w:p>
        </w:tc>
        <w:tc>
          <w:tcPr>
            <w:tcW w:w="0" w:type="auto"/>
            <w:gridSpan w:val="3"/>
            <w:vAlign w:val="center"/>
            <w:hideMark/>
          </w:tcPr>
          <w:p w14:paraId="4194874F" w14:textId="77777777" w:rsidR="00000000" w:rsidRDefault="00405D16">
            <w:pPr>
              <w:spacing w:after="100"/>
              <w:rPr>
                <w:rFonts w:eastAsia="Times New Roman"/>
                <w:sz w:val="20"/>
                <w:szCs w:val="20"/>
              </w:rPr>
            </w:pPr>
          </w:p>
        </w:tc>
        <w:tc>
          <w:tcPr>
            <w:tcW w:w="0" w:type="auto"/>
            <w:gridSpan w:val="3"/>
            <w:vAlign w:val="center"/>
            <w:hideMark/>
          </w:tcPr>
          <w:p w14:paraId="7A17B085" w14:textId="77777777" w:rsidR="00000000" w:rsidRDefault="00405D16">
            <w:pPr>
              <w:spacing w:after="100"/>
              <w:rPr>
                <w:rFonts w:eastAsia="Times New Roman"/>
                <w:sz w:val="20"/>
                <w:szCs w:val="20"/>
              </w:rPr>
            </w:pPr>
          </w:p>
        </w:tc>
        <w:tc>
          <w:tcPr>
            <w:tcW w:w="0" w:type="auto"/>
            <w:gridSpan w:val="3"/>
            <w:vAlign w:val="center"/>
            <w:hideMark/>
          </w:tcPr>
          <w:p w14:paraId="79DBE1D0" w14:textId="77777777" w:rsidR="00000000" w:rsidRDefault="00405D16">
            <w:pPr>
              <w:spacing w:after="100"/>
              <w:rPr>
                <w:rFonts w:eastAsia="Times New Roman"/>
                <w:sz w:val="20"/>
                <w:szCs w:val="20"/>
              </w:rPr>
            </w:pPr>
          </w:p>
        </w:tc>
        <w:tc>
          <w:tcPr>
            <w:tcW w:w="0" w:type="auto"/>
            <w:gridSpan w:val="3"/>
            <w:vAlign w:val="center"/>
            <w:hideMark/>
          </w:tcPr>
          <w:p w14:paraId="0372E060" w14:textId="77777777" w:rsidR="00000000" w:rsidRDefault="00405D16">
            <w:pPr>
              <w:spacing w:after="100"/>
              <w:rPr>
                <w:rFonts w:eastAsia="Times New Roman"/>
                <w:sz w:val="20"/>
                <w:szCs w:val="20"/>
              </w:rPr>
            </w:pPr>
          </w:p>
        </w:tc>
        <w:tc>
          <w:tcPr>
            <w:tcW w:w="0" w:type="auto"/>
            <w:gridSpan w:val="3"/>
            <w:vAlign w:val="center"/>
            <w:hideMark/>
          </w:tcPr>
          <w:p w14:paraId="6916876F" w14:textId="77777777" w:rsidR="00000000" w:rsidRDefault="00405D16">
            <w:pPr>
              <w:spacing w:after="100"/>
              <w:rPr>
                <w:rFonts w:eastAsia="Times New Roman"/>
                <w:sz w:val="20"/>
                <w:szCs w:val="20"/>
              </w:rPr>
            </w:pPr>
          </w:p>
        </w:tc>
        <w:tc>
          <w:tcPr>
            <w:tcW w:w="0" w:type="auto"/>
            <w:gridSpan w:val="3"/>
            <w:vAlign w:val="center"/>
            <w:hideMark/>
          </w:tcPr>
          <w:p w14:paraId="20568EE2" w14:textId="77777777" w:rsidR="00000000" w:rsidRDefault="00405D16">
            <w:pPr>
              <w:spacing w:after="100"/>
              <w:rPr>
                <w:rFonts w:eastAsia="Times New Roman"/>
                <w:sz w:val="20"/>
                <w:szCs w:val="20"/>
              </w:rPr>
            </w:pPr>
          </w:p>
        </w:tc>
        <w:tc>
          <w:tcPr>
            <w:tcW w:w="0" w:type="auto"/>
            <w:vAlign w:val="center"/>
            <w:hideMark/>
          </w:tcPr>
          <w:p w14:paraId="33B43A9C" w14:textId="77777777" w:rsidR="00000000" w:rsidRDefault="00405D16">
            <w:pPr>
              <w:spacing w:after="100"/>
              <w:rPr>
                <w:rFonts w:eastAsia="Times New Roman"/>
                <w:sz w:val="20"/>
                <w:szCs w:val="20"/>
              </w:rPr>
            </w:pPr>
          </w:p>
        </w:tc>
        <w:tc>
          <w:tcPr>
            <w:tcW w:w="0" w:type="auto"/>
            <w:vAlign w:val="center"/>
            <w:hideMark/>
          </w:tcPr>
          <w:p w14:paraId="24394997" w14:textId="77777777" w:rsidR="00000000" w:rsidRDefault="00405D16">
            <w:pPr>
              <w:spacing w:after="100"/>
              <w:rPr>
                <w:rFonts w:eastAsia="Times New Roman"/>
                <w:sz w:val="20"/>
                <w:szCs w:val="20"/>
              </w:rPr>
            </w:pPr>
          </w:p>
        </w:tc>
        <w:tc>
          <w:tcPr>
            <w:tcW w:w="0" w:type="auto"/>
            <w:vAlign w:val="center"/>
            <w:hideMark/>
          </w:tcPr>
          <w:p w14:paraId="44C8F44E" w14:textId="77777777" w:rsidR="00000000" w:rsidRDefault="00405D16">
            <w:pPr>
              <w:spacing w:after="100"/>
              <w:rPr>
                <w:rFonts w:eastAsia="Times New Roman"/>
                <w:sz w:val="20"/>
                <w:szCs w:val="20"/>
              </w:rPr>
            </w:pPr>
          </w:p>
        </w:tc>
        <w:tc>
          <w:tcPr>
            <w:tcW w:w="0" w:type="auto"/>
            <w:vAlign w:val="center"/>
            <w:hideMark/>
          </w:tcPr>
          <w:p w14:paraId="6C5134FE" w14:textId="77777777" w:rsidR="00000000" w:rsidRDefault="00405D16">
            <w:pPr>
              <w:spacing w:after="100"/>
              <w:rPr>
                <w:rFonts w:eastAsia="Times New Roman"/>
                <w:sz w:val="20"/>
                <w:szCs w:val="20"/>
              </w:rPr>
            </w:pPr>
          </w:p>
        </w:tc>
        <w:tc>
          <w:tcPr>
            <w:tcW w:w="0" w:type="auto"/>
            <w:vAlign w:val="center"/>
            <w:hideMark/>
          </w:tcPr>
          <w:p w14:paraId="026ADA41" w14:textId="77777777" w:rsidR="00000000" w:rsidRDefault="00405D16">
            <w:pPr>
              <w:spacing w:after="100"/>
              <w:rPr>
                <w:rFonts w:eastAsia="Times New Roman"/>
                <w:sz w:val="20"/>
                <w:szCs w:val="20"/>
              </w:rPr>
            </w:pPr>
          </w:p>
        </w:tc>
        <w:tc>
          <w:tcPr>
            <w:tcW w:w="0" w:type="auto"/>
            <w:vAlign w:val="center"/>
            <w:hideMark/>
          </w:tcPr>
          <w:p w14:paraId="5843AB54" w14:textId="77777777" w:rsidR="00000000" w:rsidRDefault="00405D16">
            <w:pPr>
              <w:spacing w:after="100"/>
              <w:rPr>
                <w:rFonts w:eastAsia="Times New Roman"/>
                <w:sz w:val="20"/>
                <w:szCs w:val="20"/>
              </w:rPr>
            </w:pPr>
          </w:p>
        </w:tc>
        <w:tc>
          <w:tcPr>
            <w:tcW w:w="0" w:type="auto"/>
            <w:vAlign w:val="center"/>
            <w:hideMark/>
          </w:tcPr>
          <w:p w14:paraId="3710ACCE" w14:textId="77777777" w:rsidR="00000000" w:rsidRDefault="00405D16">
            <w:pPr>
              <w:spacing w:after="100"/>
              <w:rPr>
                <w:rFonts w:eastAsia="Times New Roman"/>
                <w:sz w:val="20"/>
                <w:szCs w:val="20"/>
              </w:rPr>
            </w:pPr>
          </w:p>
        </w:tc>
        <w:tc>
          <w:tcPr>
            <w:tcW w:w="0" w:type="auto"/>
            <w:vAlign w:val="center"/>
            <w:hideMark/>
          </w:tcPr>
          <w:p w14:paraId="15C22BE9" w14:textId="77777777" w:rsidR="00000000" w:rsidRDefault="00405D16">
            <w:pPr>
              <w:spacing w:after="100"/>
              <w:rPr>
                <w:rFonts w:eastAsia="Times New Roman"/>
                <w:sz w:val="20"/>
                <w:szCs w:val="20"/>
              </w:rPr>
            </w:pPr>
          </w:p>
        </w:tc>
        <w:tc>
          <w:tcPr>
            <w:tcW w:w="0" w:type="auto"/>
            <w:vAlign w:val="center"/>
            <w:hideMark/>
          </w:tcPr>
          <w:p w14:paraId="551B51A6" w14:textId="77777777" w:rsidR="00000000" w:rsidRDefault="00405D16">
            <w:pPr>
              <w:spacing w:after="100"/>
              <w:rPr>
                <w:rFonts w:eastAsia="Times New Roman"/>
                <w:sz w:val="20"/>
                <w:szCs w:val="20"/>
              </w:rPr>
            </w:pPr>
          </w:p>
        </w:tc>
        <w:tc>
          <w:tcPr>
            <w:tcW w:w="0" w:type="auto"/>
            <w:vAlign w:val="center"/>
            <w:hideMark/>
          </w:tcPr>
          <w:p w14:paraId="14183C80" w14:textId="77777777" w:rsidR="00000000" w:rsidRDefault="00405D16">
            <w:pPr>
              <w:spacing w:after="100"/>
              <w:rPr>
                <w:rFonts w:eastAsia="Times New Roman"/>
                <w:sz w:val="20"/>
                <w:szCs w:val="20"/>
              </w:rPr>
            </w:pPr>
          </w:p>
        </w:tc>
        <w:tc>
          <w:tcPr>
            <w:tcW w:w="0" w:type="auto"/>
            <w:vAlign w:val="center"/>
            <w:hideMark/>
          </w:tcPr>
          <w:p w14:paraId="00D5C342" w14:textId="77777777" w:rsidR="00000000" w:rsidRDefault="00405D16">
            <w:pPr>
              <w:spacing w:after="100"/>
              <w:rPr>
                <w:rFonts w:eastAsia="Times New Roman"/>
                <w:sz w:val="20"/>
                <w:szCs w:val="20"/>
              </w:rPr>
            </w:pPr>
          </w:p>
        </w:tc>
        <w:tc>
          <w:tcPr>
            <w:tcW w:w="0" w:type="auto"/>
            <w:vAlign w:val="center"/>
            <w:hideMark/>
          </w:tcPr>
          <w:p w14:paraId="23B07CC4" w14:textId="77777777" w:rsidR="00000000" w:rsidRDefault="00405D16">
            <w:pPr>
              <w:spacing w:after="100"/>
              <w:rPr>
                <w:rFonts w:eastAsia="Times New Roman"/>
                <w:sz w:val="20"/>
                <w:szCs w:val="20"/>
              </w:rPr>
            </w:pPr>
          </w:p>
        </w:tc>
        <w:tc>
          <w:tcPr>
            <w:tcW w:w="0" w:type="auto"/>
            <w:vAlign w:val="center"/>
            <w:hideMark/>
          </w:tcPr>
          <w:p w14:paraId="44AF311D" w14:textId="77777777" w:rsidR="00000000" w:rsidRDefault="00405D16">
            <w:pPr>
              <w:spacing w:after="100"/>
              <w:rPr>
                <w:rFonts w:eastAsia="Times New Roman"/>
                <w:sz w:val="20"/>
                <w:szCs w:val="20"/>
              </w:rPr>
            </w:pPr>
          </w:p>
        </w:tc>
        <w:tc>
          <w:tcPr>
            <w:tcW w:w="0" w:type="auto"/>
            <w:vAlign w:val="center"/>
            <w:hideMark/>
          </w:tcPr>
          <w:p w14:paraId="0FFBF693" w14:textId="77777777" w:rsidR="00000000" w:rsidRDefault="00405D16">
            <w:pPr>
              <w:spacing w:after="100"/>
              <w:rPr>
                <w:rFonts w:eastAsia="Times New Roman"/>
                <w:sz w:val="20"/>
                <w:szCs w:val="20"/>
              </w:rPr>
            </w:pPr>
          </w:p>
        </w:tc>
        <w:tc>
          <w:tcPr>
            <w:tcW w:w="0" w:type="auto"/>
            <w:vAlign w:val="center"/>
            <w:hideMark/>
          </w:tcPr>
          <w:p w14:paraId="502F16B4" w14:textId="77777777" w:rsidR="00000000" w:rsidRDefault="00405D16">
            <w:pPr>
              <w:spacing w:after="100"/>
              <w:rPr>
                <w:rFonts w:eastAsia="Times New Roman"/>
                <w:sz w:val="20"/>
                <w:szCs w:val="20"/>
              </w:rPr>
            </w:pPr>
          </w:p>
        </w:tc>
        <w:tc>
          <w:tcPr>
            <w:tcW w:w="0" w:type="auto"/>
            <w:vAlign w:val="center"/>
            <w:hideMark/>
          </w:tcPr>
          <w:p w14:paraId="3986E529" w14:textId="77777777" w:rsidR="00000000" w:rsidRDefault="00405D16">
            <w:pPr>
              <w:spacing w:after="100"/>
              <w:rPr>
                <w:rFonts w:eastAsia="Times New Roman"/>
                <w:sz w:val="20"/>
                <w:szCs w:val="20"/>
              </w:rPr>
            </w:pPr>
          </w:p>
        </w:tc>
        <w:tc>
          <w:tcPr>
            <w:tcW w:w="0" w:type="auto"/>
            <w:vAlign w:val="center"/>
            <w:hideMark/>
          </w:tcPr>
          <w:p w14:paraId="071233B5" w14:textId="77777777" w:rsidR="00000000" w:rsidRDefault="00405D16">
            <w:pPr>
              <w:spacing w:after="100"/>
              <w:rPr>
                <w:rFonts w:eastAsia="Times New Roman"/>
                <w:sz w:val="20"/>
                <w:szCs w:val="20"/>
              </w:rPr>
            </w:pPr>
          </w:p>
        </w:tc>
        <w:tc>
          <w:tcPr>
            <w:tcW w:w="0" w:type="auto"/>
            <w:vAlign w:val="center"/>
            <w:hideMark/>
          </w:tcPr>
          <w:p w14:paraId="60566A1D" w14:textId="77777777" w:rsidR="00000000" w:rsidRDefault="00405D16">
            <w:pPr>
              <w:spacing w:after="100"/>
              <w:rPr>
                <w:rFonts w:eastAsia="Times New Roman"/>
                <w:sz w:val="20"/>
                <w:szCs w:val="20"/>
              </w:rPr>
            </w:pPr>
          </w:p>
        </w:tc>
        <w:tc>
          <w:tcPr>
            <w:tcW w:w="0" w:type="auto"/>
            <w:vAlign w:val="center"/>
            <w:hideMark/>
          </w:tcPr>
          <w:p w14:paraId="6E31BFB0" w14:textId="77777777" w:rsidR="00000000" w:rsidRDefault="00405D16">
            <w:pPr>
              <w:spacing w:after="100"/>
              <w:rPr>
                <w:rFonts w:eastAsia="Times New Roman"/>
                <w:sz w:val="20"/>
                <w:szCs w:val="20"/>
              </w:rPr>
            </w:pPr>
          </w:p>
        </w:tc>
        <w:tc>
          <w:tcPr>
            <w:tcW w:w="0" w:type="auto"/>
            <w:vAlign w:val="center"/>
            <w:hideMark/>
          </w:tcPr>
          <w:p w14:paraId="0593A506" w14:textId="77777777" w:rsidR="00000000" w:rsidRDefault="00405D16">
            <w:pPr>
              <w:spacing w:after="100"/>
              <w:rPr>
                <w:rFonts w:eastAsia="Times New Roman"/>
                <w:sz w:val="20"/>
                <w:szCs w:val="20"/>
              </w:rPr>
            </w:pPr>
          </w:p>
        </w:tc>
        <w:tc>
          <w:tcPr>
            <w:tcW w:w="0" w:type="auto"/>
            <w:vAlign w:val="center"/>
            <w:hideMark/>
          </w:tcPr>
          <w:p w14:paraId="0C2E81D1" w14:textId="77777777" w:rsidR="00000000" w:rsidRDefault="00405D16">
            <w:pPr>
              <w:spacing w:after="100"/>
              <w:rPr>
                <w:rFonts w:eastAsia="Times New Roman"/>
                <w:sz w:val="20"/>
                <w:szCs w:val="20"/>
              </w:rPr>
            </w:pPr>
          </w:p>
        </w:tc>
        <w:tc>
          <w:tcPr>
            <w:tcW w:w="0" w:type="auto"/>
            <w:vAlign w:val="center"/>
            <w:hideMark/>
          </w:tcPr>
          <w:p w14:paraId="6F36EFF6" w14:textId="77777777" w:rsidR="00000000" w:rsidRDefault="00405D16">
            <w:pPr>
              <w:spacing w:after="100"/>
              <w:rPr>
                <w:rFonts w:eastAsia="Times New Roman"/>
                <w:sz w:val="20"/>
                <w:szCs w:val="20"/>
              </w:rPr>
            </w:pPr>
          </w:p>
        </w:tc>
        <w:tc>
          <w:tcPr>
            <w:tcW w:w="0" w:type="auto"/>
            <w:vAlign w:val="center"/>
            <w:hideMark/>
          </w:tcPr>
          <w:p w14:paraId="29A0A3AF" w14:textId="77777777" w:rsidR="00000000" w:rsidRDefault="00405D16">
            <w:pPr>
              <w:spacing w:after="100"/>
              <w:rPr>
                <w:rFonts w:eastAsia="Times New Roman"/>
                <w:sz w:val="20"/>
                <w:szCs w:val="20"/>
              </w:rPr>
            </w:pPr>
          </w:p>
        </w:tc>
        <w:tc>
          <w:tcPr>
            <w:tcW w:w="0" w:type="auto"/>
            <w:vAlign w:val="center"/>
            <w:hideMark/>
          </w:tcPr>
          <w:p w14:paraId="12B43908" w14:textId="77777777" w:rsidR="00000000" w:rsidRDefault="00405D16">
            <w:pPr>
              <w:spacing w:after="100"/>
              <w:rPr>
                <w:rFonts w:eastAsia="Times New Roman"/>
                <w:sz w:val="20"/>
                <w:szCs w:val="20"/>
              </w:rPr>
            </w:pPr>
          </w:p>
        </w:tc>
        <w:tc>
          <w:tcPr>
            <w:tcW w:w="0" w:type="auto"/>
            <w:vAlign w:val="center"/>
            <w:hideMark/>
          </w:tcPr>
          <w:p w14:paraId="26FCB42F" w14:textId="77777777" w:rsidR="00000000" w:rsidRDefault="00405D16">
            <w:pPr>
              <w:spacing w:after="100"/>
              <w:rPr>
                <w:rFonts w:eastAsia="Times New Roman"/>
                <w:sz w:val="20"/>
                <w:szCs w:val="20"/>
              </w:rPr>
            </w:pPr>
          </w:p>
        </w:tc>
        <w:tc>
          <w:tcPr>
            <w:tcW w:w="0" w:type="auto"/>
            <w:vAlign w:val="center"/>
            <w:hideMark/>
          </w:tcPr>
          <w:p w14:paraId="47994577" w14:textId="77777777" w:rsidR="00000000" w:rsidRDefault="00405D16">
            <w:pPr>
              <w:spacing w:after="100"/>
              <w:rPr>
                <w:rFonts w:eastAsia="Times New Roman"/>
                <w:sz w:val="20"/>
                <w:szCs w:val="20"/>
              </w:rPr>
            </w:pPr>
          </w:p>
        </w:tc>
        <w:tc>
          <w:tcPr>
            <w:tcW w:w="0" w:type="auto"/>
            <w:vAlign w:val="center"/>
            <w:hideMark/>
          </w:tcPr>
          <w:p w14:paraId="5E0AD0A1" w14:textId="77777777" w:rsidR="00000000" w:rsidRDefault="00405D16">
            <w:pPr>
              <w:spacing w:after="100"/>
              <w:rPr>
                <w:rFonts w:eastAsia="Times New Roman"/>
                <w:sz w:val="20"/>
                <w:szCs w:val="20"/>
              </w:rPr>
            </w:pPr>
          </w:p>
        </w:tc>
        <w:tc>
          <w:tcPr>
            <w:tcW w:w="0" w:type="auto"/>
            <w:vAlign w:val="center"/>
            <w:hideMark/>
          </w:tcPr>
          <w:p w14:paraId="5FF287A1" w14:textId="77777777" w:rsidR="00000000" w:rsidRDefault="00405D16">
            <w:pPr>
              <w:spacing w:after="100"/>
              <w:rPr>
                <w:rFonts w:eastAsia="Times New Roman"/>
                <w:sz w:val="20"/>
                <w:szCs w:val="20"/>
              </w:rPr>
            </w:pPr>
          </w:p>
        </w:tc>
        <w:tc>
          <w:tcPr>
            <w:tcW w:w="0" w:type="auto"/>
            <w:vAlign w:val="center"/>
            <w:hideMark/>
          </w:tcPr>
          <w:p w14:paraId="764A0ED7" w14:textId="77777777" w:rsidR="00000000" w:rsidRDefault="00405D16">
            <w:pPr>
              <w:spacing w:after="100"/>
              <w:rPr>
                <w:rFonts w:eastAsia="Times New Roman"/>
                <w:sz w:val="20"/>
                <w:szCs w:val="20"/>
              </w:rPr>
            </w:pPr>
          </w:p>
        </w:tc>
        <w:tc>
          <w:tcPr>
            <w:tcW w:w="0" w:type="auto"/>
            <w:vAlign w:val="center"/>
            <w:hideMark/>
          </w:tcPr>
          <w:p w14:paraId="122848C4" w14:textId="77777777" w:rsidR="00000000" w:rsidRDefault="00405D16">
            <w:pPr>
              <w:spacing w:after="100"/>
              <w:rPr>
                <w:rFonts w:eastAsia="Times New Roman"/>
                <w:sz w:val="20"/>
                <w:szCs w:val="20"/>
              </w:rPr>
            </w:pPr>
          </w:p>
        </w:tc>
        <w:tc>
          <w:tcPr>
            <w:tcW w:w="0" w:type="auto"/>
            <w:vAlign w:val="center"/>
            <w:hideMark/>
          </w:tcPr>
          <w:p w14:paraId="2E7C4804" w14:textId="77777777" w:rsidR="00000000" w:rsidRDefault="00405D16">
            <w:pPr>
              <w:spacing w:after="100"/>
              <w:rPr>
                <w:rFonts w:eastAsia="Times New Roman"/>
                <w:sz w:val="20"/>
                <w:szCs w:val="20"/>
              </w:rPr>
            </w:pPr>
          </w:p>
        </w:tc>
        <w:tc>
          <w:tcPr>
            <w:tcW w:w="0" w:type="auto"/>
            <w:vAlign w:val="center"/>
            <w:hideMark/>
          </w:tcPr>
          <w:p w14:paraId="70E39FDC" w14:textId="77777777" w:rsidR="00000000" w:rsidRDefault="00405D16">
            <w:pPr>
              <w:spacing w:after="100"/>
              <w:rPr>
                <w:rFonts w:eastAsia="Times New Roman"/>
                <w:sz w:val="20"/>
                <w:szCs w:val="20"/>
              </w:rPr>
            </w:pPr>
          </w:p>
        </w:tc>
        <w:tc>
          <w:tcPr>
            <w:tcW w:w="0" w:type="auto"/>
            <w:vAlign w:val="center"/>
            <w:hideMark/>
          </w:tcPr>
          <w:p w14:paraId="6778B607" w14:textId="77777777" w:rsidR="00000000" w:rsidRDefault="00405D16">
            <w:pPr>
              <w:spacing w:after="100"/>
              <w:rPr>
                <w:rFonts w:eastAsia="Times New Roman"/>
                <w:sz w:val="20"/>
                <w:szCs w:val="20"/>
              </w:rPr>
            </w:pPr>
          </w:p>
        </w:tc>
        <w:tc>
          <w:tcPr>
            <w:tcW w:w="0" w:type="auto"/>
            <w:vAlign w:val="center"/>
            <w:hideMark/>
          </w:tcPr>
          <w:p w14:paraId="1CEC152B" w14:textId="77777777" w:rsidR="00000000" w:rsidRDefault="00405D16">
            <w:pPr>
              <w:spacing w:after="100"/>
              <w:rPr>
                <w:rFonts w:eastAsia="Times New Roman"/>
                <w:sz w:val="20"/>
                <w:szCs w:val="20"/>
              </w:rPr>
            </w:pPr>
          </w:p>
        </w:tc>
        <w:tc>
          <w:tcPr>
            <w:tcW w:w="0" w:type="auto"/>
            <w:vAlign w:val="center"/>
            <w:hideMark/>
          </w:tcPr>
          <w:p w14:paraId="27F4D84E" w14:textId="77777777" w:rsidR="00000000" w:rsidRDefault="00405D16">
            <w:pPr>
              <w:spacing w:after="100"/>
              <w:rPr>
                <w:rFonts w:eastAsia="Times New Roman"/>
                <w:sz w:val="20"/>
                <w:szCs w:val="20"/>
              </w:rPr>
            </w:pPr>
          </w:p>
        </w:tc>
        <w:tc>
          <w:tcPr>
            <w:tcW w:w="0" w:type="auto"/>
            <w:vAlign w:val="center"/>
            <w:hideMark/>
          </w:tcPr>
          <w:p w14:paraId="771AFF53" w14:textId="77777777" w:rsidR="00000000" w:rsidRDefault="00405D16">
            <w:pPr>
              <w:spacing w:after="100"/>
              <w:rPr>
                <w:rFonts w:eastAsia="Times New Roman"/>
                <w:sz w:val="20"/>
                <w:szCs w:val="20"/>
              </w:rPr>
            </w:pPr>
          </w:p>
        </w:tc>
        <w:tc>
          <w:tcPr>
            <w:tcW w:w="0" w:type="auto"/>
            <w:vAlign w:val="center"/>
            <w:hideMark/>
          </w:tcPr>
          <w:p w14:paraId="61C20EEF" w14:textId="77777777" w:rsidR="00000000" w:rsidRDefault="00405D16">
            <w:pPr>
              <w:spacing w:after="100"/>
              <w:rPr>
                <w:rFonts w:eastAsia="Times New Roman"/>
                <w:sz w:val="20"/>
                <w:szCs w:val="20"/>
              </w:rPr>
            </w:pPr>
          </w:p>
        </w:tc>
        <w:tc>
          <w:tcPr>
            <w:tcW w:w="0" w:type="auto"/>
            <w:vAlign w:val="center"/>
            <w:hideMark/>
          </w:tcPr>
          <w:p w14:paraId="6CC3C35C" w14:textId="77777777" w:rsidR="00000000" w:rsidRDefault="00405D16">
            <w:pPr>
              <w:spacing w:after="100"/>
              <w:rPr>
                <w:rFonts w:eastAsia="Times New Roman"/>
                <w:sz w:val="20"/>
                <w:szCs w:val="20"/>
              </w:rPr>
            </w:pPr>
          </w:p>
        </w:tc>
        <w:tc>
          <w:tcPr>
            <w:tcW w:w="0" w:type="auto"/>
            <w:vAlign w:val="center"/>
            <w:hideMark/>
          </w:tcPr>
          <w:p w14:paraId="2D2A86C7" w14:textId="77777777" w:rsidR="00000000" w:rsidRDefault="00405D16">
            <w:pPr>
              <w:spacing w:after="100"/>
              <w:rPr>
                <w:rFonts w:eastAsia="Times New Roman"/>
                <w:sz w:val="20"/>
                <w:szCs w:val="20"/>
              </w:rPr>
            </w:pPr>
          </w:p>
        </w:tc>
        <w:tc>
          <w:tcPr>
            <w:tcW w:w="0" w:type="auto"/>
            <w:vAlign w:val="center"/>
            <w:hideMark/>
          </w:tcPr>
          <w:p w14:paraId="53813890" w14:textId="77777777" w:rsidR="00000000" w:rsidRDefault="00405D16">
            <w:pPr>
              <w:spacing w:after="100"/>
              <w:rPr>
                <w:rFonts w:eastAsia="Times New Roman"/>
                <w:sz w:val="20"/>
                <w:szCs w:val="20"/>
              </w:rPr>
            </w:pPr>
          </w:p>
        </w:tc>
        <w:tc>
          <w:tcPr>
            <w:tcW w:w="0" w:type="auto"/>
            <w:vAlign w:val="center"/>
            <w:hideMark/>
          </w:tcPr>
          <w:p w14:paraId="1F63D5F7" w14:textId="77777777" w:rsidR="00000000" w:rsidRDefault="00405D16">
            <w:pPr>
              <w:spacing w:after="100"/>
              <w:rPr>
                <w:rFonts w:eastAsia="Times New Roman"/>
                <w:sz w:val="20"/>
                <w:szCs w:val="20"/>
              </w:rPr>
            </w:pPr>
          </w:p>
        </w:tc>
        <w:tc>
          <w:tcPr>
            <w:tcW w:w="0" w:type="auto"/>
            <w:vAlign w:val="center"/>
            <w:hideMark/>
          </w:tcPr>
          <w:p w14:paraId="54141C8D" w14:textId="77777777" w:rsidR="00000000" w:rsidRDefault="00405D16">
            <w:pPr>
              <w:spacing w:after="100"/>
              <w:rPr>
                <w:rFonts w:eastAsia="Times New Roman"/>
                <w:sz w:val="20"/>
                <w:szCs w:val="20"/>
              </w:rPr>
            </w:pPr>
          </w:p>
        </w:tc>
      </w:tr>
      <w:tr w:rsidR="00000000" w14:paraId="117362EC" w14:textId="77777777">
        <w:trPr>
          <w:divId w:val="1350447739"/>
        </w:trPr>
        <w:tc>
          <w:tcPr>
            <w:tcW w:w="0" w:type="auto"/>
            <w:gridSpan w:val="3"/>
            <w:vAlign w:val="center"/>
            <w:hideMark/>
          </w:tcPr>
          <w:p w14:paraId="43F9AD25" w14:textId="77777777" w:rsidR="00000000" w:rsidRDefault="00405D16">
            <w:pPr>
              <w:spacing w:after="100"/>
              <w:rPr>
                <w:rFonts w:eastAsia="Times New Roman"/>
                <w:sz w:val="20"/>
                <w:szCs w:val="20"/>
              </w:rPr>
            </w:pPr>
          </w:p>
        </w:tc>
        <w:tc>
          <w:tcPr>
            <w:tcW w:w="0" w:type="auto"/>
            <w:gridSpan w:val="3"/>
            <w:vAlign w:val="center"/>
            <w:hideMark/>
          </w:tcPr>
          <w:p w14:paraId="5C744865" w14:textId="77777777" w:rsidR="00000000" w:rsidRDefault="00405D16">
            <w:pPr>
              <w:spacing w:after="100"/>
              <w:rPr>
                <w:rFonts w:eastAsia="Times New Roman"/>
                <w:sz w:val="20"/>
                <w:szCs w:val="20"/>
              </w:rPr>
            </w:pPr>
          </w:p>
        </w:tc>
        <w:tc>
          <w:tcPr>
            <w:tcW w:w="0" w:type="auto"/>
            <w:gridSpan w:val="3"/>
            <w:vAlign w:val="center"/>
            <w:hideMark/>
          </w:tcPr>
          <w:p w14:paraId="740A305E" w14:textId="77777777" w:rsidR="00000000" w:rsidRDefault="00405D16">
            <w:pPr>
              <w:spacing w:after="100"/>
              <w:rPr>
                <w:rFonts w:eastAsia="Times New Roman"/>
                <w:sz w:val="20"/>
                <w:szCs w:val="20"/>
              </w:rPr>
            </w:pPr>
          </w:p>
        </w:tc>
        <w:tc>
          <w:tcPr>
            <w:tcW w:w="0" w:type="auto"/>
            <w:gridSpan w:val="3"/>
            <w:vAlign w:val="center"/>
            <w:hideMark/>
          </w:tcPr>
          <w:p w14:paraId="45EE72A5" w14:textId="77777777" w:rsidR="00000000" w:rsidRDefault="00405D16">
            <w:pPr>
              <w:spacing w:after="100"/>
              <w:rPr>
                <w:rFonts w:eastAsia="Times New Roman"/>
                <w:sz w:val="20"/>
                <w:szCs w:val="20"/>
              </w:rPr>
            </w:pPr>
          </w:p>
        </w:tc>
        <w:tc>
          <w:tcPr>
            <w:tcW w:w="0" w:type="auto"/>
            <w:gridSpan w:val="3"/>
            <w:vAlign w:val="center"/>
            <w:hideMark/>
          </w:tcPr>
          <w:p w14:paraId="67B0FE61" w14:textId="77777777" w:rsidR="00000000" w:rsidRDefault="00405D16">
            <w:pPr>
              <w:spacing w:after="100"/>
              <w:rPr>
                <w:rFonts w:eastAsia="Times New Roman"/>
                <w:sz w:val="20"/>
                <w:szCs w:val="20"/>
              </w:rPr>
            </w:pPr>
          </w:p>
        </w:tc>
        <w:tc>
          <w:tcPr>
            <w:tcW w:w="0" w:type="auto"/>
            <w:gridSpan w:val="3"/>
            <w:vAlign w:val="center"/>
            <w:hideMark/>
          </w:tcPr>
          <w:p w14:paraId="0C1BB24C" w14:textId="77777777" w:rsidR="00000000" w:rsidRDefault="00405D16">
            <w:pPr>
              <w:spacing w:after="100"/>
              <w:rPr>
                <w:rFonts w:eastAsia="Times New Roman"/>
                <w:sz w:val="20"/>
                <w:szCs w:val="20"/>
              </w:rPr>
            </w:pPr>
          </w:p>
        </w:tc>
        <w:tc>
          <w:tcPr>
            <w:tcW w:w="0" w:type="auto"/>
            <w:gridSpan w:val="3"/>
            <w:vAlign w:val="center"/>
            <w:hideMark/>
          </w:tcPr>
          <w:p w14:paraId="1D93C608" w14:textId="77777777" w:rsidR="00000000" w:rsidRDefault="00405D16">
            <w:pPr>
              <w:spacing w:after="100"/>
              <w:rPr>
                <w:rFonts w:eastAsia="Times New Roman"/>
                <w:sz w:val="20"/>
                <w:szCs w:val="20"/>
              </w:rPr>
            </w:pPr>
          </w:p>
        </w:tc>
        <w:tc>
          <w:tcPr>
            <w:tcW w:w="0" w:type="auto"/>
            <w:gridSpan w:val="3"/>
            <w:vAlign w:val="center"/>
            <w:hideMark/>
          </w:tcPr>
          <w:p w14:paraId="4920F221" w14:textId="77777777" w:rsidR="00000000" w:rsidRDefault="00405D16">
            <w:pPr>
              <w:spacing w:after="100"/>
              <w:rPr>
                <w:rFonts w:eastAsia="Times New Roman"/>
                <w:sz w:val="20"/>
                <w:szCs w:val="20"/>
              </w:rPr>
            </w:pPr>
          </w:p>
        </w:tc>
        <w:tc>
          <w:tcPr>
            <w:tcW w:w="0" w:type="auto"/>
            <w:gridSpan w:val="3"/>
            <w:vAlign w:val="center"/>
            <w:hideMark/>
          </w:tcPr>
          <w:p w14:paraId="0FF5B1EF" w14:textId="77777777" w:rsidR="00000000" w:rsidRDefault="00405D16">
            <w:pPr>
              <w:spacing w:after="100"/>
              <w:rPr>
                <w:rFonts w:eastAsia="Times New Roman"/>
                <w:sz w:val="20"/>
                <w:szCs w:val="20"/>
              </w:rPr>
            </w:pPr>
          </w:p>
        </w:tc>
        <w:tc>
          <w:tcPr>
            <w:tcW w:w="0" w:type="auto"/>
            <w:gridSpan w:val="3"/>
            <w:vAlign w:val="center"/>
            <w:hideMark/>
          </w:tcPr>
          <w:p w14:paraId="5FB7DE69" w14:textId="77777777" w:rsidR="00000000" w:rsidRDefault="00405D16">
            <w:pPr>
              <w:spacing w:after="100"/>
              <w:rPr>
                <w:rFonts w:eastAsia="Times New Roman"/>
                <w:sz w:val="20"/>
                <w:szCs w:val="20"/>
              </w:rPr>
            </w:pPr>
          </w:p>
        </w:tc>
        <w:tc>
          <w:tcPr>
            <w:tcW w:w="0" w:type="auto"/>
            <w:gridSpan w:val="3"/>
            <w:vAlign w:val="center"/>
            <w:hideMark/>
          </w:tcPr>
          <w:p w14:paraId="2BDC5204" w14:textId="77777777" w:rsidR="00000000" w:rsidRDefault="00405D16">
            <w:pPr>
              <w:spacing w:after="100"/>
              <w:rPr>
                <w:rFonts w:eastAsia="Times New Roman"/>
                <w:sz w:val="20"/>
                <w:szCs w:val="20"/>
              </w:rPr>
            </w:pPr>
          </w:p>
        </w:tc>
        <w:tc>
          <w:tcPr>
            <w:tcW w:w="0" w:type="auto"/>
            <w:gridSpan w:val="3"/>
            <w:vAlign w:val="center"/>
            <w:hideMark/>
          </w:tcPr>
          <w:p w14:paraId="3E431E33" w14:textId="77777777" w:rsidR="00000000" w:rsidRDefault="00405D16">
            <w:pPr>
              <w:spacing w:after="100"/>
              <w:rPr>
                <w:rFonts w:eastAsia="Times New Roman"/>
                <w:sz w:val="20"/>
                <w:szCs w:val="20"/>
              </w:rPr>
            </w:pPr>
          </w:p>
        </w:tc>
        <w:tc>
          <w:tcPr>
            <w:tcW w:w="0" w:type="auto"/>
            <w:gridSpan w:val="3"/>
            <w:vAlign w:val="center"/>
            <w:hideMark/>
          </w:tcPr>
          <w:p w14:paraId="2FEA4D97" w14:textId="77777777" w:rsidR="00000000" w:rsidRDefault="00405D16">
            <w:pPr>
              <w:spacing w:after="100"/>
              <w:rPr>
                <w:rFonts w:eastAsia="Times New Roman"/>
                <w:sz w:val="20"/>
                <w:szCs w:val="20"/>
              </w:rPr>
            </w:pPr>
          </w:p>
        </w:tc>
        <w:tc>
          <w:tcPr>
            <w:tcW w:w="0" w:type="auto"/>
            <w:vAlign w:val="center"/>
            <w:hideMark/>
          </w:tcPr>
          <w:p w14:paraId="4AAF6323" w14:textId="77777777" w:rsidR="00000000" w:rsidRDefault="00405D16">
            <w:pPr>
              <w:spacing w:after="100"/>
              <w:rPr>
                <w:rFonts w:eastAsia="Times New Roman"/>
                <w:sz w:val="20"/>
                <w:szCs w:val="20"/>
              </w:rPr>
            </w:pPr>
          </w:p>
        </w:tc>
        <w:tc>
          <w:tcPr>
            <w:tcW w:w="0" w:type="auto"/>
            <w:vAlign w:val="center"/>
            <w:hideMark/>
          </w:tcPr>
          <w:p w14:paraId="457B01EB" w14:textId="77777777" w:rsidR="00000000" w:rsidRDefault="00405D16">
            <w:pPr>
              <w:spacing w:after="100"/>
              <w:rPr>
                <w:rFonts w:eastAsia="Times New Roman"/>
                <w:sz w:val="20"/>
                <w:szCs w:val="20"/>
              </w:rPr>
            </w:pPr>
          </w:p>
        </w:tc>
        <w:tc>
          <w:tcPr>
            <w:tcW w:w="0" w:type="auto"/>
            <w:vAlign w:val="center"/>
            <w:hideMark/>
          </w:tcPr>
          <w:p w14:paraId="1B0563CC" w14:textId="77777777" w:rsidR="00000000" w:rsidRDefault="00405D16">
            <w:pPr>
              <w:spacing w:after="100"/>
              <w:rPr>
                <w:rFonts w:eastAsia="Times New Roman"/>
                <w:sz w:val="20"/>
                <w:szCs w:val="20"/>
              </w:rPr>
            </w:pPr>
          </w:p>
        </w:tc>
        <w:tc>
          <w:tcPr>
            <w:tcW w:w="0" w:type="auto"/>
            <w:vAlign w:val="center"/>
            <w:hideMark/>
          </w:tcPr>
          <w:p w14:paraId="38D25144" w14:textId="77777777" w:rsidR="00000000" w:rsidRDefault="00405D16">
            <w:pPr>
              <w:spacing w:after="100"/>
              <w:rPr>
                <w:rFonts w:eastAsia="Times New Roman"/>
                <w:sz w:val="20"/>
                <w:szCs w:val="20"/>
              </w:rPr>
            </w:pPr>
          </w:p>
        </w:tc>
        <w:tc>
          <w:tcPr>
            <w:tcW w:w="0" w:type="auto"/>
            <w:vAlign w:val="center"/>
            <w:hideMark/>
          </w:tcPr>
          <w:p w14:paraId="77847478" w14:textId="77777777" w:rsidR="00000000" w:rsidRDefault="00405D16">
            <w:pPr>
              <w:spacing w:after="100"/>
              <w:rPr>
                <w:rFonts w:eastAsia="Times New Roman"/>
                <w:sz w:val="20"/>
                <w:szCs w:val="20"/>
              </w:rPr>
            </w:pPr>
          </w:p>
        </w:tc>
        <w:tc>
          <w:tcPr>
            <w:tcW w:w="0" w:type="auto"/>
            <w:vAlign w:val="center"/>
            <w:hideMark/>
          </w:tcPr>
          <w:p w14:paraId="2F750679" w14:textId="77777777" w:rsidR="00000000" w:rsidRDefault="00405D16">
            <w:pPr>
              <w:spacing w:after="100"/>
              <w:rPr>
                <w:rFonts w:eastAsia="Times New Roman"/>
                <w:sz w:val="20"/>
                <w:szCs w:val="20"/>
              </w:rPr>
            </w:pPr>
          </w:p>
        </w:tc>
        <w:tc>
          <w:tcPr>
            <w:tcW w:w="0" w:type="auto"/>
            <w:vAlign w:val="center"/>
            <w:hideMark/>
          </w:tcPr>
          <w:p w14:paraId="37861292" w14:textId="77777777" w:rsidR="00000000" w:rsidRDefault="00405D16">
            <w:pPr>
              <w:spacing w:after="100"/>
              <w:rPr>
                <w:rFonts w:eastAsia="Times New Roman"/>
                <w:sz w:val="20"/>
                <w:szCs w:val="20"/>
              </w:rPr>
            </w:pPr>
          </w:p>
        </w:tc>
        <w:tc>
          <w:tcPr>
            <w:tcW w:w="0" w:type="auto"/>
            <w:vAlign w:val="center"/>
            <w:hideMark/>
          </w:tcPr>
          <w:p w14:paraId="2D8330E0" w14:textId="77777777" w:rsidR="00000000" w:rsidRDefault="00405D16">
            <w:pPr>
              <w:spacing w:after="100"/>
              <w:rPr>
                <w:rFonts w:eastAsia="Times New Roman"/>
                <w:sz w:val="20"/>
                <w:szCs w:val="20"/>
              </w:rPr>
            </w:pPr>
          </w:p>
        </w:tc>
        <w:tc>
          <w:tcPr>
            <w:tcW w:w="0" w:type="auto"/>
            <w:vAlign w:val="center"/>
            <w:hideMark/>
          </w:tcPr>
          <w:p w14:paraId="1CF6BFF1" w14:textId="77777777" w:rsidR="00000000" w:rsidRDefault="00405D16">
            <w:pPr>
              <w:spacing w:after="100"/>
              <w:rPr>
                <w:rFonts w:eastAsia="Times New Roman"/>
                <w:sz w:val="20"/>
                <w:szCs w:val="20"/>
              </w:rPr>
            </w:pPr>
          </w:p>
        </w:tc>
        <w:tc>
          <w:tcPr>
            <w:tcW w:w="0" w:type="auto"/>
            <w:vAlign w:val="center"/>
            <w:hideMark/>
          </w:tcPr>
          <w:p w14:paraId="412E4DBA" w14:textId="77777777" w:rsidR="00000000" w:rsidRDefault="00405D16">
            <w:pPr>
              <w:spacing w:after="100"/>
              <w:rPr>
                <w:rFonts w:eastAsia="Times New Roman"/>
                <w:sz w:val="20"/>
                <w:szCs w:val="20"/>
              </w:rPr>
            </w:pPr>
          </w:p>
        </w:tc>
        <w:tc>
          <w:tcPr>
            <w:tcW w:w="0" w:type="auto"/>
            <w:vAlign w:val="center"/>
            <w:hideMark/>
          </w:tcPr>
          <w:p w14:paraId="2868B5DC" w14:textId="77777777" w:rsidR="00000000" w:rsidRDefault="00405D16">
            <w:pPr>
              <w:spacing w:after="100"/>
              <w:rPr>
                <w:rFonts w:eastAsia="Times New Roman"/>
                <w:sz w:val="20"/>
                <w:szCs w:val="20"/>
              </w:rPr>
            </w:pPr>
          </w:p>
        </w:tc>
        <w:tc>
          <w:tcPr>
            <w:tcW w:w="0" w:type="auto"/>
            <w:vAlign w:val="center"/>
            <w:hideMark/>
          </w:tcPr>
          <w:p w14:paraId="541571DE" w14:textId="77777777" w:rsidR="00000000" w:rsidRDefault="00405D16">
            <w:pPr>
              <w:spacing w:after="100"/>
              <w:rPr>
                <w:rFonts w:eastAsia="Times New Roman"/>
                <w:sz w:val="20"/>
                <w:szCs w:val="20"/>
              </w:rPr>
            </w:pPr>
          </w:p>
        </w:tc>
        <w:tc>
          <w:tcPr>
            <w:tcW w:w="0" w:type="auto"/>
            <w:vAlign w:val="center"/>
            <w:hideMark/>
          </w:tcPr>
          <w:p w14:paraId="55BE2D49" w14:textId="77777777" w:rsidR="00000000" w:rsidRDefault="00405D16">
            <w:pPr>
              <w:spacing w:after="100"/>
              <w:rPr>
                <w:rFonts w:eastAsia="Times New Roman"/>
                <w:sz w:val="20"/>
                <w:szCs w:val="20"/>
              </w:rPr>
            </w:pPr>
          </w:p>
        </w:tc>
        <w:tc>
          <w:tcPr>
            <w:tcW w:w="0" w:type="auto"/>
            <w:vAlign w:val="center"/>
            <w:hideMark/>
          </w:tcPr>
          <w:p w14:paraId="7BDC28FA" w14:textId="77777777" w:rsidR="00000000" w:rsidRDefault="00405D16">
            <w:pPr>
              <w:spacing w:after="100"/>
              <w:rPr>
                <w:rFonts w:eastAsia="Times New Roman"/>
                <w:sz w:val="20"/>
                <w:szCs w:val="20"/>
              </w:rPr>
            </w:pPr>
          </w:p>
        </w:tc>
        <w:tc>
          <w:tcPr>
            <w:tcW w:w="0" w:type="auto"/>
            <w:vAlign w:val="center"/>
            <w:hideMark/>
          </w:tcPr>
          <w:p w14:paraId="481CE865" w14:textId="77777777" w:rsidR="00000000" w:rsidRDefault="00405D16">
            <w:pPr>
              <w:spacing w:after="100"/>
              <w:rPr>
                <w:rFonts w:eastAsia="Times New Roman"/>
                <w:sz w:val="20"/>
                <w:szCs w:val="20"/>
              </w:rPr>
            </w:pPr>
          </w:p>
        </w:tc>
        <w:tc>
          <w:tcPr>
            <w:tcW w:w="0" w:type="auto"/>
            <w:vAlign w:val="center"/>
            <w:hideMark/>
          </w:tcPr>
          <w:p w14:paraId="180C41FC" w14:textId="77777777" w:rsidR="00000000" w:rsidRDefault="00405D16">
            <w:pPr>
              <w:spacing w:after="100"/>
              <w:rPr>
                <w:rFonts w:eastAsia="Times New Roman"/>
                <w:sz w:val="20"/>
                <w:szCs w:val="20"/>
              </w:rPr>
            </w:pPr>
          </w:p>
        </w:tc>
        <w:tc>
          <w:tcPr>
            <w:tcW w:w="0" w:type="auto"/>
            <w:vAlign w:val="center"/>
            <w:hideMark/>
          </w:tcPr>
          <w:p w14:paraId="294C2B7A" w14:textId="77777777" w:rsidR="00000000" w:rsidRDefault="00405D16">
            <w:pPr>
              <w:spacing w:after="100"/>
              <w:rPr>
                <w:rFonts w:eastAsia="Times New Roman"/>
                <w:sz w:val="20"/>
                <w:szCs w:val="20"/>
              </w:rPr>
            </w:pPr>
          </w:p>
        </w:tc>
        <w:tc>
          <w:tcPr>
            <w:tcW w:w="0" w:type="auto"/>
            <w:vAlign w:val="center"/>
            <w:hideMark/>
          </w:tcPr>
          <w:p w14:paraId="6A2CB35F" w14:textId="77777777" w:rsidR="00000000" w:rsidRDefault="00405D16">
            <w:pPr>
              <w:spacing w:after="100"/>
              <w:rPr>
                <w:rFonts w:eastAsia="Times New Roman"/>
                <w:sz w:val="20"/>
                <w:szCs w:val="20"/>
              </w:rPr>
            </w:pPr>
          </w:p>
        </w:tc>
        <w:tc>
          <w:tcPr>
            <w:tcW w:w="0" w:type="auto"/>
            <w:vAlign w:val="center"/>
            <w:hideMark/>
          </w:tcPr>
          <w:p w14:paraId="4FEA2B5D" w14:textId="77777777" w:rsidR="00000000" w:rsidRDefault="00405D16">
            <w:pPr>
              <w:spacing w:after="100"/>
              <w:rPr>
                <w:rFonts w:eastAsia="Times New Roman"/>
                <w:sz w:val="20"/>
                <w:szCs w:val="20"/>
              </w:rPr>
            </w:pPr>
          </w:p>
        </w:tc>
        <w:tc>
          <w:tcPr>
            <w:tcW w:w="0" w:type="auto"/>
            <w:vAlign w:val="center"/>
            <w:hideMark/>
          </w:tcPr>
          <w:p w14:paraId="658E5F2E" w14:textId="77777777" w:rsidR="00000000" w:rsidRDefault="00405D16">
            <w:pPr>
              <w:spacing w:after="100"/>
              <w:rPr>
                <w:rFonts w:eastAsia="Times New Roman"/>
                <w:sz w:val="20"/>
                <w:szCs w:val="20"/>
              </w:rPr>
            </w:pPr>
          </w:p>
        </w:tc>
        <w:tc>
          <w:tcPr>
            <w:tcW w:w="0" w:type="auto"/>
            <w:vAlign w:val="center"/>
            <w:hideMark/>
          </w:tcPr>
          <w:p w14:paraId="21E66418" w14:textId="77777777" w:rsidR="00000000" w:rsidRDefault="00405D16">
            <w:pPr>
              <w:spacing w:after="100"/>
              <w:rPr>
                <w:rFonts w:eastAsia="Times New Roman"/>
                <w:sz w:val="20"/>
                <w:szCs w:val="20"/>
              </w:rPr>
            </w:pPr>
          </w:p>
        </w:tc>
        <w:tc>
          <w:tcPr>
            <w:tcW w:w="0" w:type="auto"/>
            <w:vAlign w:val="center"/>
            <w:hideMark/>
          </w:tcPr>
          <w:p w14:paraId="1E9AB447" w14:textId="77777777" w:rsidR="00000000" w:rsidRDefault="00405D16">
            <w:pPr>
              <w:spacing w:after="100"/>
              <w:rPr>
                <w:rFonts w:eastAsia="Times New Roman"/>
                <w:sz w:val="20"/>
                <w:szCs w:val="20"/>
              </w:rPr>
            </w:pPr>
          </w:p>
        </w:tc>
        <w:tc>
          <w:tcPr>
            <w:tcW w:w="0" w:type="auto"/>
            <w:vAlign w:val="center"/>
            <w:hideMark/>
          </w:tcPr>
          <w:p w14:paraId="3002CD2E" w14:textId="77777777" w:rsidR="00000000" w:rsidRDefault="00405D16">
            <w:pPr>
              <w:spacing w:after="100"/>
              <w:rPr>
                <w:rFonts w:eastAsia="Times New Roman"/>
                <w:sz w:val="20"/>
                <w:szCs w:val="20"/>
              </w:rPr>
            </w:pPr>
          </w:p>
        </w:tc>
        <w:tc>
          <w:tcPr>
            <w:tcW w:w="0" w:type="auto"/>
            <w:vAlign w:val="center"/>
            <w:hideMark/>
          </w:tcPr>
          <w:p w14:paraId="768618D4" w14:textId="77777777" w:rsidR="00000000" w:rsidRDefault="00405D16">
            <w:pPr>
              <w:spacing w:after="100"/>
              <w:rPr>
                <w:rFonts w:eastAsia="Times New Roman"/>
                <w:sz w:val="20"/>
                <w:szCs w:val="20"/>
              </w:rPr>
            </w:pPr>
          </w:p>
        </w:tc>
      </w:tr>
      <w:tr w:rsidR="00000000" w14:paraId="7F9C52DD" w14:textId="77777777">
        <w:trPr>
          <w:divId w:val="1350447739"/>
        </w:trPr>
        <w:tc>
          <w:tcPr>
            <w:tcW w:w="0" w:type="auto"/>
            <w:gridSpan w:val="3"/>
            <w:vAlign w:val="center"/>
            <w:hideMark/>
          </w:tcPr>
          <w:p w14:paraId="12A6AC69" w14:textId="77777777" w:rsidR="00000000" w:rsidRDefault="00405D16">
            <w:pPr>
              <w:spacing w:after="100"/>
              <w:rPr>
                <w:rFonts w:eastAsia="Times New Roman"/>
                <w:sz w:val="20"/>
                <w:szCs w:val="20"/>
              </w:rPr>
            </w:pPr>
          </w:p>
        </w:tc>
        <w:tc>
          <w:tcPr>
            <w:tcW w:w="0" w:type="auto"/>
            <w:gridSpan w:val="3"/>
            <w:vAlign w:val="center"/>
            <w:hideMark/>
          </w:tcPr>
          <w:p w14:paraId="1F310639" w14:textId="77777777" w:rsidR="00000000" w:rsidRDefault="00405D16">
            <w:pPr>
              <w:spacing w:after="100"/>
              <w:rPr>
                <w:rFonts w:eastAsia="Times New Roman"/>
                <w:sz w:val="20"/>
                <w:szCs w:val="20"/>
              </w:rPr>
            </w:pPr>
          </w:p>
        </w:tc>
        <w:tc>
          <w:tcPr>
            <w:tcW w:w="0" w:type="auto"/>
            <w:gridSpan w:val="3"/>
            <w:vAlign w:val="center"/>
            <w:hideMark/>
          </w:tcPr>
          <w:p w14:paraId="36C87686" w14:textId="77777777" w:rsidR="00000000" w:rsidRDefault="00405D16">
            <w:pPr>
              <w:spacing w:after="100"/>
              <w:rPr>
                <w:rFonts w:eastAsia="Times New Roman"/>
                <w:sz w:val="20"/>
                <w:szCs w:val="20"/>
              </w:rPr>
            </w:pPr>
          </w:p>
        </w:tc>
        <w:tc>
          <w:tcPr>
            <w:tcW w:w="0" w:type="auto"/>
            <w:gridSpan w:val="3"/>
            <w:vAlign w:val="center"/>
            <w:hideMark/>
          </w:tcPr>
          <w:p w14:paraId="4377C6E6" w14:textId="77777777" w:rsidR="00000000" w:rsidRDefault="00405D16">
            <w:pPr>
              <w:spacing w:after="100"/>
              <w:rPr>
                <w:rFonts w:eastAsia="Times New Roman"/>
                <w:sz w:val="20"/>
                <w:szCs w:val="20"/>
              </w:rPr>
            </w:pPr>
          </w:p>
        </w:tc>
        <w:tc>
          <w:tcPr>
            <w:tcW w:w="0" w:type="auto"/>
            <w:gridSpan w:val="3"/>
            <w:vAlign w:val="center"/>
            <w:hideMark/>
          </w:tcPr>
          <w:p w14:paraId="651645B0" w14:textId="77777777" w:rsidR="00000000" w:rsidRDefault="00405D16">
            <w:pPr>
              <w:spacing w:after="100"/>
              <w:rPr>
                <w:rFonts w:eastAsia="Times New Roman"/>
                <w:sz w:val="20"/>
                <w:szCs w:val="20"/>
              </w:rPr>
            </w:pPr>
          </w:p>
        </w:tc>
        <w:tc>
          <w:tcPr>
            <w:tcW w:w="0" w:type="auto"/>
            <w:gridSpan w:val="3"/>
            <w:vAlign w:val="center"/>
            <w:hideMark/>
          </w:tcPr>
          <w:p w14:paraId="227C4C81" w14:textId="77777777" w:rsidR="00000000" w:rsidRDefault="00405D16">
            <w:pPr>
              <w:spacing w:after="100"/>
              <w:rPr>
                <w:rFonts w:eastAsia="Times New Roman"/>
                <w:sz w:val="20"/>
                <w:szCs w:val="20"/>
              </w:rPr>
            </w:pPr>
          </w:p>
        </w:tc>
        <w:tc>
          <w:tcPr>
            <w:tcW w:w="0" w:type="auto"/>
            <w:gridSpan w:val="3"/>
            <w:vAlign w:val="center"/>
            <w:hideMark/>
          </w:tcPr>
          <w:p w14:paraId="158FA2FE" w14:textId="77777777" w:rsidR="00000000" w:rsidRDefault="00405D16">
            <w:pPr>
              <w:spacing w:after="100"/>
              <w:rPr>
                <w:rFonts w:eastAsia="Times New Roman"/>
                <w:sz w:val="20"/>
                <w:szCs w:val="20"/>
              </w:rPr>
            </w:pPr>
          </w:p>
        </w:tc>
        <w:tc>
          <w:tcPr>
            <w:tcW w:w="0" w:type="auto"/>
            <w:gridSpan w:val="3"/>
            <w:vAlign w:val="center"/>
            <w:hideMark/>
          </w:tcPr>
          <w:p w14:paraId="426CB19B" w14:textId="77777777" w:rsidR="00000000" w:rsidRDefault="00405D16">
            <w:pPr>
              <w:spacing w:after="100"/>
              <w:rPr>
                <w:rFonts w:eastAsia="Times New Roman"/>
                <w:sz w:val="20"/>
                <w:szCs w:val="20"/>
              </w:rPr>
            </w:pPr>
          </w:p>
        </w:tc>
        <w:tc>
          <w:tcPr>
            <w:tcW w:w="0" w:type="auto"/>
            <w:gridSpan w:val="3"/>
            <w:vAlign w:val="center"/>
            <w:hideMark/>
          </w:tcPr>
          <w:p w14:paraId="5EE65E26" w14:textId="77777777" w:rsidR="00000000" w:rsidRDefault="00405D16">
            <w:pPr>
              <w:spacing w:after="100"/>
              <w:rPr>
                <w:rFonts w:eastAsia="Times New Roman"/>
                <w:sz w:val="20"/>
                <w:szCs w:val="20"/>
              </w:rPr>
            </w:pPr>
          </w:p>
        </w:tc>
        <w:tc>
          <w:tcPr>
            <w:tcW w:w="0" w:type="auto"/>
            <w:gridSpan w:val="3"/>
            <w:vAlign w:val="center"/>
            <w:hideMark/>
          </w:tcPr>
          <w:p w14:paraId="46B6C5A6" w14:textId="77777777" w:rsidR="00000000" w:rsidRDefault="00405D16">
            <w:pPr>
              <w:spacing w:after="100"/>
              <w:rPr>
                <w:rFonts w:eastAsia="Times New Roman"/>
                <w:sz w:val="20"/>
                <w:szCs w:val="20"/>
              </w:rPr>
            </w:pPr>
          </w:p>
        </w:tc>
        <w:tc>
          <w:tcPr>
            <w:tcW w:w="0" w:type="auto"/>
            <w:gridSpan w:val="3"/>
            <w:vAlign w:val="center"/>
            <w:hideMark/>
          </w:tcPr>
          <w:p w14:paraId="6CC95615" w14:textId="77777777" w:rsidR="00000000" w:rsidRDefault="00405D16">
            <w:pPr>
              <w:spacing w:after="100"/>
              <w:rPr>
                <w:rFonts w:eastAsia="Times New Roman"/>
                <w:sz w:val="20"/>
                <w:szCs w:val="20"/>
              </w:rPr>
            </w:pPr>
          </w:p>
        </w:tc>
        <w:tc>
          <w:tcPr>
            <w:tcW w:w="0" w:type="auto"/>
            <w:gridSpan w:val="3"/>
            <w:vAlign w:val="center"/>
            <w:hideMark/>
          </w:tcPr>
          <w:p w14:paraId="02F8493C" w14:textId="77777777" w:rsidR="00000000" w:rsidRDefault="00405D16">
            <w:pPr>
              <w:spacing w:after="100"/>
              <w:rPr>
                <w:rFonts w:eastAsia="Times New Roman"/>
                <w:sz w:val="20"/>
                <w:szCs w:val="20"/>
              </w:rPr>
            </w:pPr>
          </w:p>
        </w:tc>
        <w:tc>
          <w:tcPr>
            <w:tcW w:w="0" w:type="auto"/>
            <w:gridSpan w:val="3"/>
            <w:vAlign w:val="center"/>
            <w:hideMark/>
          </w:tcPr>
          <w:p w14:paraId="0A1E41F7" w14:textId="77777777" w:rsidR="00000000" w:rsidRDefault="00405D16">
            <w:pPr>
              <w:spacing w:after="100"/>
              <w:rPr>
                <w:rFonts w:eastAsia="Times New Roman"/>
                <w:sz w:val="20"/>
                <w:szCs w:val="20"/>
              </w:rPr>
            </w:pPr>
          </w:p>
        </w:tc>
        <w:tc>
          <w:tcPr>
            <w:tcW w:w="0" w:type="auto"/>
            <w:gridSpan w:val="3"/>
            <w:vAlign w:val="center"/>
            <w:hideMark/>
          </w:tcPr>
          <w:p w14:paraId="45D558EE" w14:textId="77777777" w:rsidR="00000000" w:rsidRDefault="00405D16">
            <w:pPr>
              <w:spacing w:after="100"/>
              <w:rPr>
                <w:rFonts w:eastAsia="Times New Roman"/>
                <w:sz w:val="20"/>
                <w:szCs w:val="20"/>
              </w:rPr>
            </w:pPr>
          </w:p>
        </w:tc>
        <w:tc>
          <w:tcPr>
            <w:tcW w:w="0" w:type="auto"/>
            <w:gridSpan w:val="3"/>
            <w:vAlign w:val="center"/>
            <w:hideMark/>
          </w:tcPr>
          <w:p w14:paraId="24C175C6" w14:textId="77777777" w:rsidR="00000000" w:rsidRDefault="00405D16">
            <w:pPr>
              <w:spacing w:after="100"/>
              <w:rPr>
                <w:rFonts w:eastAsia="Times New Roman"/>
                <w:sz w:val="20"/>
                <w:szCs w:val="20"/>
              </w:rPr>
            </w:pPr>
          </w:p>
        </w:tc>
        <w:tc>
          <w:tcPr>
            <w:tcW w:w="0" w:type="auto"/>
            <w:gridSpan w:val="3"/>
            <w:vAlign w:val="center"/>
            <w:hideMark/>
          </w:tcPr>
          <w:p w14:paraId="2CCFF6E3" w14:textId="77777777" w:rsidR="00000000" w:rsidRDefault="00405D16">
            <w:pPr>
              <w:spacing w:after="100"/>
              <w:rPr>
                <w:rFonts w:eastAsia="Times New Roman"/>
                <w:sz w:val="20"/>
                <w:szCs w:val="20"/>
              </w:rPr>
            </w:pPr>
          </w:p>
        </w:tc>
        <w:tc>
          <w:tcPr>
            <w:tcW w:w="0" w:type="auto"/>
            <w:gridSpan w:val="3"/>
            <w:vAlign w:val="center"/>
            <w:hideMark/>
          </w:tcPr>
          <w:p w14:paraId="413F20A8" w14:textId="77777777" w:rsidR="00000000" w:rsidRDefault="00405D16">
            <w:pPr>
              <w:spacing w:after="100"/>
              <w:rPr>
                <w:rFonts w:eastAsia="Times New Roman"/>
                <w:sz w:val="20"/>
                <w:szCs w:val="20"/>
              </w:rPr>
            </w:pPr>
          </w:p>
        </w:tc>
        <w:tc>
          <w:tcPr>
            <w:tcW w:w="0" w:type="auto"/>
            <w:gridSpan w:val="3"/>
            <w:vAlign w:val="center"/>
            <w:hideMark/>
          </w:tcPr>
          <w:p w14:paraId="2DD49DBB" w14:textId="77777777" w:rsidR="00000000" w:rsidRDefault="00405D16">
            <w:pPr>
              <w:spacing w:after="100"/>
              <w:rPr>
                <w:rFonts w:eastAsia="Times New Roman"/>
                <w:sz w:val="20"/>
                <w:szCs w:val="20"/>
              </w:rPr>
            </w:pPr>
          </w:p>
        </w:tc>
        <w:tc>
          <w:tcPr>
            <w:tcW w:w="0" w:type="auto"/>
            <w:gridSpan w:val="3"/>
            <w:vAlign w:val="center"/>
            <w:hideMark/>
          </w:tcPr>
          <w:p w14:paraId="50B3DA76" w14:textId="77777777" w:rsidR="00000000" w:rsidRDefault="00405D16">
            <w:pPr>
              <w:spacing w:after="100"/>
              <w:rPr>
                <w:rFonts w:eastAsia="Times New Roman"/>
                <w:sz w:val="20"/>
                <w:szCs w:val="20"/>
              </w:rPr>
            </w:pPr>
          </w:p>
        </w:tc>
        <w:tc>
          <w:tcPr>
            <w:tcW w:w="0" w:type="auto"/>
            <w:gridSpan w:val="3"/>
            <w:vAlign w:val="center"/>
            <w:hideMark/>
          </w:tcPr>
          <w:p w14:paraId="1ED0BE4E" w14:textId="77777777" w:rsidR="00000000" w:rsidRDefault="00405D16">
            <w:pPr>
              <w:spacing w:after="100"/>
              <w:rPr>
                <w:rFonts w:eastAsia="Times New Roman"/>
                <w:sz w:val="20"/>
                <w:szCs w:val="20"/>
              </w:rPr>
            </w:pPr>
          </w:p>
        </w:tc>
        <w:tc>
          <w:tcPr>
            <w:tcW w:w="0" w:type="auto"/>
            <w:gridSpan w:val="2"/>
            <w:vAlign w:val="center"/>
            <w:hideMark/>
          </w:tcPr>
          <w:p w14:paraId="49217D38" w14:textId="77777777" w:rsidR="00000000" w:rsidRDefault="00405D16">
            <w:pPr>
              <w:spacing w:after="100"/>
              <w:rPr>
                <w:rFonts w:eastAsia="Times New Roman"/>
                <w:sz w:val="20"/>
                <w:szCs w:val="20"/>
              </w:rPr>
            </w:pPr>
          </w:p>
        </w:tc>
        <w:tc>
          <w:tcPr>
            <w:tcW w:w="0" w:type="auto"/>
            <w:vAlign w:val="center"/>
            <w:hideMark/>
          </w:tcPr>
          <w:p w14:paraId="24CDA0BE" w14:textId="77777777" w:rsidR="00000000" w:rsidRDefault="00405D16">
            <w:pPr>
              <w:spacing w:after="100"/>
              <w:rPr>
                <w:rFonts w:eastAsia="Times New Roman"/>
                <w:sz w:val="20"/>
                <w:szCs w:val="20"/>
              </w:rPr>
            </w:pPr>
          </w:p>
        </w:tc>
      </w:tr>
      <w:tr w:rsidR="00000000" w14:paraId="2D0D75DF" w14:textId="77777777">
        <w:trPr>
          <w:divId w:val="1350447739"/>
        </w:trPr>
        <w:tc>
          <w:tcPr>
            <w:tcW w:w="0" w:type="auto"/>
            <w:gridSpan w:val="3"/>
            <w:vAlign w:val="center"/>
            <w:hideMark/>
          </w:tcPr>
          <w:p w14:paraId="2B23F12E" w14:textId="77777777" w:rsidR="00000000" w:rsidRDefault="00405D16">
            <w:pPr>
              <w:spacing w:after="100"/>
              <w:rPr>
                <w:rFonts w:eastAsia="Times New Roman"/>
                <w:sz w:val="20"/>
                <w:szCs w:val="20"/>
              </w:rPr>
            </w:pPr>
          </w:p>
        </w:tc>
        <w:tc>
          <w:tcPr>
            <w:tcW w:w="0" w:type="auto"/>
            <w:gridSpan w:val="3"/>
            <w:vAlign w:val="center"/>
            <w:hideMark/>
          </w:tcPr>
          <w:p w14:paraId="1CE84628" w14:textId="77777777" w:rsidR="00000000" w:rsidRDefault="00405D16">
            <w:pPr>
              <w:spacing w:after="100"/>
              <w:rPr>
                <w:rFonts w:eastAsia="Times New Roman"/>
                <w:sz w:val="20"/>
                <w:szCs w:val="20"/>
              </w:rPr>
            </w:pPr>
          </w:p>
        </w:tc>
        <w:tc>
          <w:tcPr>
            <w:tcW w:w="0" w:type="auto"/>
            <w:gridSpan w:val="3"/>
            <w:vAlign w:val="center"/>
            <w:hideMark/>
          </w:tcPr>
          <w:p w14:paraId="15D83B35" w14:textId="77777777" w:rsidR="00000000" w:rsidRDefault="00405D16">
            <w:pPr>
              <w:spacing w:after="100"/>
              <w:rPr>
                <w:rFonts w:eastAsia="Times New Roman"/>
                <w:sz w:val="20"/>
                <w:szCs w:val="20"/>
              </w:rPr>
            </w:pPr>
          </w:p>
        </w:tc>
        <w:tc>
          <w:tcPr>
            <w:tcW w:w="0" w:type="auto"/>
            <w:gridSpan w:val="3"/>
            <w:vAlign w:val="center"/>
            <w:hideMark/>
          </w:tcPr>
          <w:p w14:paraId="23642F75" w14:textId="77777777" w:rsidR="00000000" w:rsidRDefault="00405D16">
            <w:pPr>
              <w:spacing w:after="100"/>
              <w:rPr>
                <w:rFonts w:eastAsia="Times New Roman"/>
                <w:sz w:val="20"/>
                <w:szCs w:val="20"/>
              </w:rPr>
            </w:pPr>
          </w:p>
        </w:tc>
        <w:tc>
          <w:tcPr>
            <w:tcW w:w="0" w:type="auto"/>
            <w:gridSpan w:val="3"/>
            <w:vAlign w:val="center"/>
            <w:hideMark/>
          </w:tcPr>
          <w:p w14:paraId="557D4EC1" w14:textId="77777777" w:rsidR="00000000" w:rsidRDefault="00405D16">
            <w:pPr>
              <w:spacing w:after="100"/>
              <w:rPr>
                <w:rFonts w:eastAsia="Times New Roman"/>
                <w:sz w:val="20"/>
                <w:szCs w:val="20"/>
              </w:rPr>
            </w:pPr>
          </w:p>
        </w:tc>
        <w:tc>
          <w:tcPr>
            <w:tcW w:w="0" w:type="auto"/>
            <w:gridSpan w:val="3"/>
            <w:vAlign w:val="center"/>
            <w:hideMark/>
          </w:tcPr>
          <w:p w14:paraId="4343253E" w14:textId="77777777" w:rsidR="00000000" w:rsidRDefault="00405D16">
            <w:pPr>
              <w:spacing w:after="100"/>
              <w:rPr>
                <w:rFonts w:eastAsia="Times New Roman"/>
                <w:sz w:val="20"/>
                <w:szCs w:val="20"/>
              </w:rPr>
            </w:pPr>
          </w:p>
        </w:tc>
        <w:tc>
          <w:tcPr>
            <w:tcW w:w="0" w:type="auto"/>
            <w:gridSpan w:val="3"/>
            <w:vAlign w:val="center"/>
            <w:hideMark/>
          </w:tcPr>
          <w:p w14:paraId="01F8A148" w14:textId="77777777" w:rsidR="00000000" w:rsidRDefault="00405D16">
            <w:pPr>
              <w:spacing w:after="100"/>
              <w:rPr>
                <w:rFonts w:eastAsia="Times New Roman"/>
                <w:sz w:val="20"/>
                <w:szCs w:val="20"/>
              </w:rPr>
            </w:pPr>
          </w:p>
        </w:tc>
        <w:tc>
          <w:tcPr>
            <w:tcW w:w="0" w:type="auto"/>
            <w:gridSpan w:val="3"/>
            <w:vAlign w:val="center"/>
            <w:hideMark/>
          </w:tcPr>
          <w:p w14:paraId="3A4FEDE5" w14:textId="77777777" w:rsidR="00000000" w:rsidRDefault="00405D16">
            <w:pPr>
              <w:spacing w:after="100"/>
              <w:rPr>
                <w:rFonts w:eastAsia="Times New Roman"/>
                <w:sz w:val="20"/>
                <w:szCs w:val="20"/>
              </w:rPr>
            </w:pPr>
          </w:p>
        </w:tc>
        <w:tc>
          <w:tcPr>
            <w:tcW w:w="0" w:type="auto"/>
            <w:gridSpan w:val="3"/>
            <w:vAlign w:val="center"/>
            <w:hideMark/>
          </w:tcPr>
          <w:p w14:paraId="27664083" w14:textId="77777777" w:rsidR="00000000" w:rsidRDefault="00405D16">
            <w:pPr>
              <w:spacing w:after="100"/>
              <w:rPr>
                <w:rFonts w:eastAsia="Times New Roman"/>
                <w:sz w:val="20"/>
                <w:szCs w:val="20"/>
              </w:rPr>
            </w:pPr>
          </w:p>
        </w:tc>
        <w:tc>
          <w:tcPr>
            <w:tcW w:w="0" w:type="auto"/>
            <w:gridSpan w:val="3"/>
            <w:vAlign w:val="center"/>
            <w:hideMark/>
          </w:tcPr>
          <w:p w14:paraId="18C5B5A9" w14:textId="77777777" w:rsidR="00000000" w:rsidRDefault="00405D16">
            <w:pPr>
              <w:spacing w:after="100"/>
              <w:rPr>
                <w:rFonts w:eastAsia="Times New Roman"/>
                <w:sz w:val="20"/>
                <w:szCs w:val="20"/>
              </w:rPr>
            </w:pPr>
          </w:p>
        </w:tc>
        <w:tc>
          <w:tcPr>
            <w:tcW w:w="0" w:type="auto"/>
            <w:gridSpan w:val="3"/>
            <w:vAlign w:val="center"/>
            <w:hideMark/>
          </w:tcPr>
          <w:p w14:paraId="73D6E697" w14:textId="77777777" w:rsidR="00000000" w:rsidRDefault="00405D16">
            <w:pPr>
              <w:spacing w:after="100"/>
              <w:rPr>
                <w:rFonts w:eastAsia="Times New Roman"/>
                <w:sz w:val="20"/>
                <w:szCs w:val="20"/>
              </w:rPr>
            </w:pPr>
          </w:p>
        </w:tc>
        <w:tc>
          <w:tcPr>
            <w:tcW w:w="0" w:type="auto"/>
            <w:gridSpan w:val="3"/>
            <w:vAlign w:val="center"/>
            <w:hideMark/>
          </w:tcPr>
          <w:p w14:paraId="165912AA" w14:textId="77777777" w:rsidR="00000000" w:rsidRDefault="00405D16">
            <w:pPr>
              <w:spacing w:after="100"/>
              <w:rPr>
                <w:rFonts w:eastAsia="Times New Roman"/>
                <w:sz w:val="20"/>
                <w:szCs w:val="20"/>
              </w:rPr>
            </w:pPr>
          </w:p>
        </w:tc>
        <w:tc>
          <w:tcPr>
            <w:tcW w:w="0" w:type="auto"/>
            <w:gridSpan w:val="3"/>
            <w:vAlign w:val="center"/>
            <w:hideMark/>
          </w:tcPr>
          <w:p w14:paraId="722DB522" w14:textId="77777777" w:rsidR="00000000" w:rsidRDefault="00405D16">
            <w:pPr>
              <w:spacing w:after="100"/>
              <w:rPr>
                <w:rFonts w:eastAsia="Times New Roman"/>
                <w:sz w:val="20"/>
                <w:szCs w:val="20"/>
              </w:rPr>
            </w:pPr>
          </w:p>
        </w:tc>
        <w:tc>
          <w:tcPr>
            <w:tcW w:w="0" w:type="auto"/>
            <w:gridSpan w:val="3"/>
            <w:vAlign w:val="center"/>
            <w:hideMark/>
          </w:tcPr>
          <w:p w14:paraId="5E8ACE17" w14:textId="77777777" w:rsidR="00000000" w:rsidRDefault="00405D16">
            <w:pPr>
              <w:spacing w:after="100"/>
              <w:rPr>
                <w:rFonts w:eastAsia="Times New Roman"/>
                <w:sz w:val="20"/>
                <w:szCs w:val="20"/>
              </w:rPr>
            </w:pPr>
          </w:p>
        </w:tc>
        <w:tc>
          <w:tcPr>
            <w:tcW w:w="0" w:type="auto"/>
            <w:gridSpan w:val="3"/>
            <w:vAlign w:val="center"/>
            <w:hideMark/>
          </w:tcPr>
          <w:p w14:paraId="0E112233" w14:textId="77777777" w:rsidR="00000000" w:rsidRDefault="00405D16">
            <w:pPr>
              <w:spacing w:after="100"/>
              <w:rPr>
                <w:rFonts w:eastAsia="Times New Roman"/>
                <w:sz w:val="20"/>
                <w:szCs w:val="20"/>
              </w:rPr>
            </w:pPr>
          </w:p>
        </w:tc>
        <w:tc>
          <w:tcPr>
            <w:tcW w:w="0" w:type="auto"/>
            <w:gridSpan w:val="3"/>
            <w:vAlign w:val="center"/>
            <w:hideMark/>
          </w:tcPr>
          <w:p w14:paraId="4259A9D6" w14:textId="77777777" w:rsidR="00000000" w:rsidRDefault="00405D16">
            <w:pPr>
              <w:spacing w:after="100"/>
              <w:rPr>
                <w:rFonts w:eastAsia="Times New Roman"/>
                <w:sz w:val="20"/>
                <w:szCs w:val="20"/>
              </w:rPr>
            </w:pPr>
          </w:p>
        </w:tc>
        <w:tc>
          <w:tcPr>
            <w:tcW w:w="0" w:type="auto"/>
            <w:gridSpan w:val="3"/>
            <w:vAlign w:val="center"/>
            <w:hideMark/>
          </w:tcPr>
          <w:p w14:paraId="04D55023" w14:textId="77777777" w:rsidR="00000000" w:rsidRDefault="00405D16">
            <w:pPr>
              <w:spacing w:after="100"/>
              <w:rPr>
                <w:rFonts w:eastAsia="Times New Roman"/>
                <w:sz w:val="20"/>
                <w:szCs w:val="20"/>
              </w:rPr>
            </w:pPr>
          </w:p>
        </w:tc>
        <w:tc>
          <w:tcPr>
            <w:tcW w:w="0" w:type="auto"/>
            <w:gridSpan w:val="3"/>
            <w:vAlign w:val="center"/>
            <w:hideMark/>
          </w:tcPr>
          <w:p w14:paraId="066FF695" w14:textId="77777777" w:rsidR="00000000" w:rsidRDefault="00405D16">
            <w:pPr>
              <w:spacing w:after="100"/>
              <w:rPr>
                <w:rFonts w:eastAsia="Times New Roman"/>
                <w:sz w:val="20"/>
                <w:szCs w:val="20"/>
              </w:rPr>
            </w:pPr>
          </w:p>
        </w:tc>
        <w:tc>
          <w:tcPr>
            <w:tcW w:w="0" w:type="auto"/>
            <w:gridSpan w:val="3"/>
            <w:vAlign w:val="center"/>
            <w:hideMark/>
          </w:tcPr>
          <w:p w14:paraId="10535785" w14:textId="77777777" w:rsidR="00000000" w:rsidRDefault="00405D16">
            <w:pPr>
              <w:spacing w:after="100"/>
              <w:rPr>
                <w:rFonts w:eastAsia="Times New Roman"/>
                <w:sz w:val="20"/>
                <w:szCs w:val="20"/>
              </w:rPr>
            </w:pPr>
          </w:p>
        </w:tc>
        <w:tc>
          <w:tcPr>
            <w:tcW w:w="0" w:type="auto"/>
            <w:gridSpan w:val="3"/>
            <w:vAlign w:val="center"/>
            <w:hideMark/>
          </w:tcPr>
          <w:p w14:paraId="6851554B" w14:textId="77777777" w:rsidR="00000000" w:rsidRDefault="00405D16">
            <w:pPr>
              <w:spacing w:after="100"/>
              <w:rPr>
                <w:rFonts w:eastAsia="Times New Roman"/>
                <w:sz w:val="20"/>
                <w:szCs w:val="20"/>
              </w:rPr>
            </w:pPr>
          </w:p>
        </w:tc>
        <w:tc>
          <w:tcPr>
            <w:tcW w:w="0" w:type="auto"/>
            <w:gridSpan w:val="2"/>
            <w:vAlign w:val="center"/>
            <w:hideMark/>
          </w:tcPr>
          <w:p w14:paraId="1341FF22" w14:textId="77777777" w:rsidR="00000000" w:rsidRDefault="00405D16">
            <w:pPr>
              <w:spacing w:after="100"/>
              <w:rPr>
                <w:rFonts w:eastAsia="Times New Roman"/>
                <w:sz w:val="20"/>
                <w:szCs w:val="20"/>
              </w:rPr>
            </w:pPr>
          </w:p>
        </w:tc>
        <w:tc>
          <w:tcPr>
            <w:tcW w:w="0" w:type="auto"/>
            <w:vAlign w:val="center"/>
            <w:hideMark/>
          </w:tcPr>
          <w:p w14:paraId="65E56981" w14:textId="77777777" w:rsidR="00000000" w:rsidRDefault="00405D16">
            <w:pPr>
              <w:spacing w:after="100"/>
              <w:rPr>
                <w:rFonts w:eastAsia="Times New Roman"/>
                <w:sz w:val="20"/>
                <w:szCs w:val="20"/>
              </w:rPr>
            </w:pPr>
          </w:p>
        </w:tc>
      </w:tr>
      <w:tr w:rsidR="00000000" w14:paraId="0C02520E" w14:textId="77777777">
        <w:trPr>
          <w:divId w:val="1350447739"/>
        </w:trPr>
        <w:tc>
          <w:tcPr>
            <w:tcW w:w="0" w:type="auto"/>
            <w:gridSpan w:val="3"/>
            <w:vAlign w:val="center"/>
            <w:hideMark/>
          </w:tcPr>
          <w:p w14:paraId="786FB716" w14:textId="77777777" w:rsidR="00000000" w:rsidRDefault="00405D16">
            <w:pPr>
              <w:spacing w:after="100"/>
              <w:rPr>
                <w:rFonts w:eastAsia="Times New Roman"/>
                <w:sz w:val="20"/>
                <w:szCs w:val="20"/>
              </w:rPr>
            </w:pPr>
          </w:p>
        </w:tc>
        <w:tc>
          <w:tcPr>
            <w:tcW w:w="0" w:type="auto"/>
            <w:gridSpan w:val="3"/>
            <w:vAlign w:val="center"/>
            <w:hideMark/>
          </w:tcPr>
          <w:p w14:paraId="70CFC757" w14:textId="77777777" w:rsidR="00000000" w:rsidRDefault="00405D16">
            <w:pPr>
              <w:spacing w:after="100"/>
              <w:rPr>
                <w:rFonts w:eastAsia="Times New Roman"/>
                <w:sz w:val="20"/>
                <w:szCs w:val="20"/>
              </w:rPr>
            </w:pPr>
          </w:p>
        </w:tc>
        <w:tc>
          <w:tcPr>
            <w:tcW w:w="0" w:type="auto"/>
            <w:gridSpan w:val="3"/>
            <w:vAlign w:val="center"/>
            <w:hideMark/>
          </w:tcPr>
          <w:p w14:paraId="6E1F5AA6" w14:textId="77777777" w:rsidR="00000000" w:rsidRDefault="00405D16">
            <w:pPr>
              <w:spacing w:after="100"/>
              <w:rPr>
                <w:rFonts w:eastAsia="Times New Roman"/>
                <w:sz w:val="20"/>
                <w:szCs w:val="20"/>
              </w:rPr>
            </w:pPr>
          </w:p>
        </w:tc>
        <w:tc>
          <w:tcPr>
            <w:tcW w:w="0" w:type="auto"/>
            <w:gridSpan w:val="3"/>
            <w:vAlign w:val="center"/>
            <w:hideMark/>
          </w:tcPr>
          <w:p w14:paraId="43E590DC" w14:textId="77777777" w:rsidR="00000000" w:rsidRDefault="00405D16">
            <w:pPr>
              <w:spacing w:after="100"/>
              <w:rPr>
                <w:rFonts w:eastAsia="Times New Roman"/>
                <w:sz w:val="20"/>
                <w:szCs w:val="20"/>
              </w:rPr>
            </w:pPr>
          </w:p>
        </w:tc>
        <w:tc>
          <w:tcPr>
            <w:tcW w:w="0" w:type="auto"/>
            <w:gridSpan w:val="3"/>
            <w:vAlign w:val="center"/>
            <w:hideMark/>
          </w:tcPr>
          <w:p w14:paraId="58F319D1" w14:textId="77777777" w:rsidR="00000000" w:rsidRDefault="00405D16">
            <w:pPr>
              <w:spacing w:after="100"/>
              <w:rPr>
                <w:rFonts w:eastAsia="Times New Roman"/>
                <w:sz w:val="20"/>
                <w:szCs w:val="20"/>
              </w:rPr>
            </w:pPr>
          </w:p>
        </w:tc>
        <w:tc>
          <w:tcPr>
            <w:tcW w:w="0" w:type="auto"/>
            <w:gridSpan w:val="3"/>
            <w:vAlign w:val="center"/>
            <w:hideMark/>
          </w:tcPr>
          <w:p w14:paraId="01325539" w14:textId="77777777" w:rsidR="00000000" w:rsidRDefault="00405D16">
            <w:pPr>
              <w:spacing w:after="100"/>
              <w:rPr>
                <w:rFonts w:eastAsia="Times New Roman"/>
                <w:sz w:val="20"/>
                <w:szCs w:val="20"/>
              </w:rPr>
            </w:pPr>
          </w:p>
        </w:tc>
        <w:tc>
          <w:tcPr>
            <w:tcW w:w="0" w:type="auto"/>
            <w:gridSpan w:val="3"/>
            <w:vAlign w:val="center"/>
            <w:hideMark/>
          </w:tcPr>
          <w:p w14:paraId="02FC2D93" w14:textId="77777777" w:rsidR="00000000" w:rsidRDefault="00405D16">
            <w:pPr>
              <w:spacing w:after="100"/>
              <w:rPr>
                <w:rFonts w:eastAsia="Times New Roman"/>
                <w:sz w:val="20"/>
                <w:szCs w:val="20"/>
              </w:rPr>
            </w:pPr>
          </w:p>
        </w:tc>
        <w:tc>
          <w:tcPr>
            <w:tcW w:w="0" w:type="auto"/>
            <w:gridSpan w:val="3"/>
            <w:vAlign w:val="center"/>
            <w:hideMark/>
          </w:tcPr>
          <w:p w14:paraId="1F6D06EB" w14:textId="77777777" w:rsidR="00000000" w:rsidRDefault="00405D16">
            <w:pPr>
              <w:spacing w:after="100"/>
              <w:rPr>
                <w:rFonts w:eastAsia="Times New Roman"/>
                <w:sz w:val="20"/>
                <w:szCs w:val="20"/>
              </w:rPr>
            </w:pPr>
          </w:p>
        </w:tc>
        <w:tc>
          <w:tcPr>
            <w:tcW w:w="0" w:type="auto"/>
            <w:gridSpan w:val="3"/>
            <w:vAlign w:val="center"/>
            <w:hideMark/>
          </w:tcPr>
          <w:p w14:paraId="34AF3249" w14:textId="77777777" w:rsidR="00000000" w:rsidRDefault="00405D16">
            <w:pPr>
              <w:spacing w:after="100"/>
              <w:rPr>
                <w:rFonts w:eastAsia="Times New Roman"/>
                <w:sz w:val="20"/>
                <w:szCs w:val="20"/>
              </w:rPr>
            </w:pPr>
          </w:p>
        </w:tc>
        <w:tc>
          <w:tcPr>
            <w:tcW w:w="0" w:type="auto"/>
            <w:gridSpan w:val="3"/>
            <w:vAlign w:val="center"/>
            <w:hideMark/>
          </w:tcPr>
          <w:p w14:paraId="4028DB98" w14:textId="77777777" w:rsidR="00000000" w:rsidRDefault="00405D16">
            <w:pPr>
              <w:spacing w:after="100"/>
              <w:rPr>
                <w:rFonts w:eastAsia="Times New Roman"/>
                <w:sz w:val="20"/>
                <w:szCs w:val="20"/>
              </w:rPr>
            </w:pPr>
          </w:p>
        </w:tc>
        <w:tc>
          <w:tcPr>
            <w:tcW w:w="0" w:type="auto"/>
            <w:gridSpan w:val="3"/>
            <w:vAlign w:val="center"/>
            <w:hideMark/>
          </w:tcPr>
          <w:p w14:paraId="7A7D39D5" w14:textId="77777777" w:rsidR="00000000" w:rsidRDefault="00405D16">
            <w:pPr>
              <w:spacing w:after="100"/>
              <w:rPr>
                <w:rFonts w:eastAsia="Times New Roman"/>
                <w:sz w:val="20"/>
                <w:szCs w:val="20"/>
              </w:rPr>
            </w:pPr>
          </w:p>
        </w:tc>
        <w:tc>
          <w:tcPr>
            <w:tcW w:w="0" w:type="auto"/>
            <w:gridSpan w:val="3"/>
            <w:vAlign w:val="center"/>
            <w:hideMark/>
          </w:tcPr>
          <w:p w14:paraId="3120A035" w14:textId="77777777" w:rsidR="00000000" w:rsidRDefault="00405D16">
            <w:pPr>
              <w:spacing w:after="100"/>
              <w:rPr>
                <w:rFonts w:eastAsia="Times New Roman"/>
                <w:sz w:val="20"/>
                <w:szCs w:val="20"/>
              </w:rPr>
            </w:pPr>
          </w:p>
        </w:tc>
        <w:tc>
          <w:tcPr>
            <w:tcW w:w="0" w:type="auto"/>
            <w:gridSpan w:val="3"/>
            <w:vAlign w:val="center"/>
            <w:hideMark/>
          </w:tcPr>
          <w:p w14:paraId="4BAEE699" w14:textId="77777777" w:rsidR="00000000" w:rsidRDefault="00405D16">
            <w:pPr>
              <w:spacing w:after="100"/>
              <w:rPr>
                <w:rFonts w:eastAsia="Times New Roman"/>
                <w:sz w:val="20"/>
                <w:szCs w:val="20"/>
              </w:rPr>
            </w:pPr>
          </w:p>
        </w:tc>
        <w:tc>
          <w:tcPr>
            <w:tcW w:w="0" w:type="auto"/>
            <w:gridSpan w:val="3"/>
            <w:vAlign w:val="center"/>
            <w:hideMark/>
          </w:tcPr>
          <w:p w14:paraId="0FD15127" w14:textId="77777777" w:rsidR="00000000" w:rsidRDefault="00405D16">
            <w:pPr>
              <w:spacing w:after="100"/>
              <w:rPr>
                <w:rFonts w:eastAsia="Times New Roman"/>
                <w:sz w:val="20"/>
                <w:szCs w:val="20"/>
              </w:rPr>
            </w:pPr>
          </w:p>
        </w:tc>
        <w:tc>
          <w:tcPr>
            <w:tcW w:w="0" w:type="auto"/>
            <w:gridSpan w:val="3"/>
            <w:vAlign w:val="center"/>
            <w:hideMark/>
          </w:tcPr>
          <w:p w14:paraId="6C230947" w14:textId="77777777" w:rsidR="00000000" w:rsidRDefault="00405D16">
            <w:pPr>
              <w:spacing w:after="100"/>
              <w:rPr>
                <w:rFonts w:eastAsia="Times New Roman"/>
                <w:sz w:val="20"/>
                <w:szCs w:val="20"/>
              </w:rPr>
            </w:pPr>
          </w:p>
        </w:tc>
        <w:tc>
          <w:tcPr>
            <w:tcW w:w="0" w:type="auto"/>
            <w:gridSpan w:val="3"/>
            <w:vAlign w:val="center"/>
            <w:hideMark/>
          </w:tcPr>
          <w:p w14:paraId="1727C6E8" w14:textId="77777777" w:rsidR="00000000" w:rsidRDefault="00405D16">
            <w:pPr>
              <w:spacing w:after="100"/>
              <w:rPr>
                <w:rFonts w:eastAsia="Times New Roman"/>
                <w:sz w:val="20"/>
                <w:szCs w:val="20"/>
              </w:rPr>
            </w:pPr>
          </w:p>
        </w:tc>
        <w:tc>
          <w:tcPr>
            <w:tcW w:w="0" w:type="auto"/>
            <w:gridSpan w:val="3"/>
            <w:vAlign w:val="center"/>
            <w:hideMark/>
          </w:tcPr>
          <w:p w14:paraId="6C066B26" w14:textId="77777777" w:rsidR="00000000" w:rsidRDefault="00405D16">
            <w:pPr>
              <w:spacing w:after="100"/>
              <w:rPr>
                <w:rFonts w:eastAsia="Times New Roman"/>
                <w:sz w:val="20"/>
                <w:szCs w:val="20"/>
              </w:rPr>
            </w:pPr>
          </w:p>
        </w:tc>
        <w:tc>
          <w:tcPr>
            <w:tcW w:w="0" w:type="auto"/>
            <w:gridSpan w:val="3"/>
            <w:vAlign w:val="center"/>
            <w:hideMark/>
          </w:tcPr>
          <w:p w14:paraId="4D498BD6" w14:textId="77777777" w:rsidR="00000000" w:rsidRDefault="00405D16">
            <w:pPr>
              <w:spacing w:after="100"/>
              <w:rPr>
                <w:rFonts w:eastAsia="Times New Roman"/>
                <w:sz w:val="20"/>
                <w:szCs w:val="20"/>
              </w:rPr>
            </w:pPr>
          </w:p>
        </w:tc>
        <w:tc>
          <w:tcPr>
            <w:tcW w:w="0" w:type="auto"/>
            <w:gridSpan w:val="3"/>
            <w:vAlign w:val="center"/>
            <w:hideMark/>
          </w:tcPr>
          <w:p w14:paraId="19867479" w14:textId="77777777" w:rsidR="00000000" w:rsidRDefault="00405D16">
            <w:pPr>
              <w:spacing w:after="100"/>
              <w:rPr>
                <w:rFonts w:eastAsia="Times New Roman"/>
                <w:sz w:val="20"/>
                <w:szCs w:val="20"/>
              </w:rPr>
            </w:pPr>
          </w:p>
        </w:tc>
        <w:tc>
          <w:tcPr>
            <w:tcW w:w="0" w:type="auto"/>
            <w:gridSpan w:val="3"/>
            <w:vAlign w:val="center"/>
            <w:hideMark/>
          </w:tcPr>
          <w:p w14:paraId="562F16BB" w14:textId="77777777" w:rsidR="00000000" w:rsidRDefault="00405D16">
            <w:pPr>
              <w:spacing w:after="100"/>
              <w:rPr>
                <w:rFonts w:eastAsia="Times New Roman"/>
                <w:sz w:val="20"/>
                <w:szCs w:val="20"/>
              </w:rPr>
            </w:pPr>
          </w:p>
        </w:tc>
        <w:tc>
          <w:tcPr>
            <w:tcW w:w="0" w:type="auto"/>
            <w:gridSpan w:val="2"/>
            <w:vAlign w:val="center"/>
            <w:hideMark/>
          </w:tcPr>
          <w:p w14:paraId="6787D66D" w14:textId="77777777" w:rsidR="00000000" w:rsidRDefault="00405D16">
            <w:pPr>
              <w:spacing w:after="100"/>
              <w:rPr>
                <w:rFonts w:eastAsia="Times New Roman"/>
                <w:sz w:val="20"/>
                <w:szCs w:val="20"/>
              </w:rPr>
            </w:pPr>
          </w:p>
        </w:tc>
        <w:tc>
          <w:tcPr>
            <w:tcW w:w="0" w:type="auto"/>
            <w:vAlign w:val="center"/>
            <w:hideMark/>
          </w:tcPr>
          <w:p w14:paraId="613A1346" w14:textId="77777777" w:rsidR="00000000" w:rsidRDefault="00405D16">
            <w:pPr>
              <w:spacing w:after="100"/>
              <w:rPr>
                <w:rFonts w:eastAsia="Times New Roman"/>
                <w:sz w:val="20"/>
                <w:szCs w:val="20"/>
              </w:rPr>
            </w:pPr>
          </w:p>
        </w:tc>
      </w:tr>
      <w:tr w:rsidR="00000000" w14:paraId="7FE729EA" w14:textId="77777777">
        <w:trPr>
          <w:divId w:val="1350447739"/>
        </w:trPr>
        <w:tc>
          <w:tcPr>
            <w:tcW w:w="0" w:type="auto"/>
            <w:gridSpan w:val="3"/>
            <w:vAlign w:val="center"/>
            <w:hideMark/>
          </w:tcPr>
          <w:p w14:paraId="50128C98" w14:textId="77777777" w:rsidR="00000000" w:rsidRDefault="00405D16">
            <w:pPr>
              <w:spacing w:after="100"/>
              <w:rPr>
                <w:rFonts w:eastAsia="Times New Roman"/>
                <w:sz w:val="20"/>
                <w:szCs w:val="20"/>
              </w:rPr>
            </w:pPr>
          </w:p>
        </w:tc>
        <w:tc>
          <w:tcPr>
            <w:tcW w:w="0" w:type="auto"/>
            <w:gridSpan w:val="3"/>
            <w:vAlign w:val="center"/>
            <w:hideMark/>
          </w:tcPr>
          <w:p w14:paraId="72A8952F" w14:textId="77777777" w:rsidR="00000000" w:rsidRDefault="00405D16">
            <w:pPr>
              <w:spacing w:after="100"/>
              <w:rPr>
                <w:rFonts w:eastAsia="Times New Roman"/>
                <w:sz w:val="20"/>
                <w:szCs w:val="20"/>
              </w:rPr>
            </w:pPr>
          </w:p>
        </w:tc>
        <w:tc>
          <w:tcPr>
            <w:tcW w:w="0" w:type="auto"/>
            <w:gridSpan w:val="3"/>
            <w:vAlign w:val="center"/>
            <w:hideMark/>
          </w:tcPr>
          <w:p w14:paraId="4870107A" w14:textId="77777777" w:rsidR="00000000" w:rsidRDefault="00405D16">
            <w:pPr>
              <w:spacing w:after="100"/>
              <w:rPr>
                <w:rFonts w:eastAsia="Times New Roman"/>
                <w:sz w:val="20"/>
                <w:szCs w:val="20"/>
              </w:rPr>
            </w:pPr>
          </w:p>
        </w:tc>
        <w:tc>
          <w:tcPr>
            <w:tcW w:w="0" w:type="auto"/>
            <w:gridSpan w:val="3"/>
            <w:vAlign w:val="center"/>
            <w:hideMark/>
          </w:tcPr>
          <w:p w14:paraId="0E350173" w14:textId="77777777" w:rsidR="00000000" w:rsidRDefault="00405D16">
            <w:pPr>
              <w:spacing w:after="100"/>
              <w:rPr>
                <w:rFonts w:eastAsia="Times New Roman"/>
                <w:sz w:val="20"/>
                <w:szCs w:val="20"/>
              </w:rPr>
            </w:pPr>
          </w:p>
        </w:tc>
        <w:tc>
          <w:tcPr>
            <w:tcW w:w="0" w:type="auto"/>
            <w:gridSpan w:val="3"/>
            <w:vAlign w:val="center"/>
            <w:hideMark/>
          </w:tcPr>
          <w:p w14:paraId="22854630" w14:textId="77777777" w:rsidR="00000000" w:rsidRDefault="00405D16">
            <w:pPr>
              <w:spacing w:after="100"/>
              <w:rPr>
                <w:rFonts w:eastAsia="Times New Roman"/>
                <w:sz w:val="20"/>
                <w:szCs w:val="20"/>
              </w:rPr>
            </w:pPr>
          </w:p>
        </w:tc>
        <w:tc>
          <w:tcPr>
            <w:tcW w:w="0" w:type="auto"/>
            <w:gridSpan w:val="3"/>
            <w:vAlign w:val="center"/>
            <w:hideMark/>
          </w:tcPr>
          <w:p w14:paraId="6DE255C2" w14:textId="77777777" w:rsidR="00000000" w:rsidRDefault="00405D16">
            <w:pPr>
              <w:spacing w:after="100"/>
              <w:rPr>
                <w:rFonts w:eastAsia="Times New Roman"/>
                <w:sz w:val="20"/>
                <w:szCs w:val="20"/>
              </w:rPr>
            </w:pPr>
          </w:p>
        </w:tc>
        <w:tc>
          <w:tcPr>
            <w:tcW w:w="0" w:type="auto"/>
            <w:gridSpan w:val="3"/>
            <w:vAlign w:val="center"/>
            <w:hideMark/>
          </w:tcPr>
          <w:p w14:paraId="1F00E7C5" w14:textId="77777777" w:rsidR="00000000" w:rsidRDefault="00405D16">
            <w:pPr>
              <w:spacing w:after="100"/>
              <w:rPr>
                <w:rFonts w:eastAsia="Times New Roman"/>
                <w:sz w:val="20"/>
                <w:szCs w:val="20"/>
              </w:rPr>
            </w:pPr>
          </w:p>
        </w:tc>
        <w:tc>
          <w:tcPr>
            <w:tcW w:w="0" w:type="auto"/>
            <w:gridSpan w:val="3"/>
            <w:vAlign w:val="center"/>
            <w:hideMark/>
          </w:tcPr>
          <w:p w14:paraId="00C82073" w14:textId="77777777" w:rsidR="00000000" w:rsidRDefault="00405D16">
            <w:pPr>
              <w:spacing w:after="100"/>
              <w:rPr>
                <w:rFonts w:eastAsia="Times New Roman"/>
                <w:sz w:val="20"/>
                <w:szCs w:val="20"/>
              </w:rPr>
            </w:pPr>
          </w:p>
        </w:tc>
        <w:tc>
          <w:tcPr>
            <w:tcW w:w="0" w:type="auto"/>
            <w:gridSpan w:val="3"/>
            <w:vAlign w:val="center"/>
            <w:hideMark/>
          </w:tcPr>
          <w:p w14:paraId="189191E1" w14:textId="77777777" w:rsidR="00000000" w:rsidRDefault="00405D16">
            <w:pPr>
              <w:spacing w:after="100"/>
              <w:rPr>
                <w:rFonts w:eastAsia="Times New Roman"/>
                <w:sz w:val="20"/>
                <w:szCs w:val="20"/>
              </w:rPr>
            </w:pPr>
          </w:p>
        </w:tc>
        <w:tc>
          <w:tcPr>
            <w:tcW w:w="0" w:type="auto"/>
            <w:gridSpan w:val="3"/>
            <w:vAlign w:val="center"/>
            <w:hideMark/>
          </w:tcPr>
          <w:p w14:paraId="23961DC3" w14:textId="77777777" w:rsidR="00000000" w:rsidRDefault="00405D16">
            <w:pPr>
              <w:spacing w:after="100"/>
              <w:rPr>
                <w:rFonts w:eastAsia="Times New Roman"/>
                <w:sz w:val="20"/>
                <w:szCs w:val="20"/>
              </w:rPr>
            </w:pPr>
          </w:p>
        </w:tc>
        <w:tc>
          <w:tcPr>
            <w:tcW w:w="0" w:type="auto"/>
            <w:gridSpan w:val="3"/>
            <w:vAlign w:val="center"/>
            <w:hideMark/>
          </w:tcPr>
          <w:p w14:paraId="51008995" w14:textId="77777777" w:rsidR="00000000" w:rsidRDefault="00405D16">
            <w:pPr>
              <w:spacing w:after="100"/>
              <w:rPr>
                <w:rFonts w:eastAsia="Times New Roman"/>
                <w:sz w:val="20"/>
                <w:szCs w:val="20"/>
              </w:rPr>
            </w:pPr>
          </w:p>
        </w:tc>
        <w:tc>
          <w:tcPr>
            <w:tcW w:w="0" w:type="auto"/>
            <w:gridSpan w:val="3"/>
            <w:vAlign w:val="center"/>
            <w:hideMark/>
          </w:tcPr>
          <w:p w14:paraId="1CAB031E" w14:textId="77777777" w:rsidR="00000000" w:rsidRDefault="00405D16">
            <w:pPr>
              <w:spacing w:after="100"/>
              <w:rPr>
                <w:rFonts w:eastAsia="Times New Roman"/>
                <w:sz w:val="20"/>
                <w:szCs w:val="20"/>
              </w:rPr>
            </w:pPr>
          </w:p>
        </w:tc>
        <w:tc>
          <w:tcPr>
            <w:tcW w:w="0" w:type="auto"/>
            <w:gridSpan w:val="3"/>
            <w:vAlign w:val="center"/>
            <w:hideMark/>
          </w:tcPr>
          <w:p w14:paraId="67A359EE" w14:textId="77777777" w:rsidR="00000000" w:rsidRDefault="00405D16">
            <w:pPr>
              <w:spacing w:after="100"/>
              <w:rPr>
                <w:rFonts w:eastAsia="Times New Roman"/>
                <w:sz w:val="20"/>
                <w:szCs w:val="20"/>
              </w:rPr>
            </w:pPr>
          </w:p>
        </w:tc>
        <w:tc>
          <w:tcPr>
            <w:tcW w:w="0" w:type="auto"/>
            <w:gridSpan w:val="3"/>
            <w:vAlign w:val="center"/>
            <w:hideMark/>
          </w:tcPr>
          <w:p w14:paraId="00BDFCF8" w14:textId="77777777" w:rsidR="00000000" w:rsidRDefault="00405D16">
            <w:pPr>
              <w:spacing w:after="100"/>
              <w:rPr>
                <w:rFonts w:eastAsia="Times New Roman"/>
                <w:sz w:val="20"/>
                <w:szCs w:val="20"/>
              </w:rPr>
            </w:pPr>
          </w:p>
        </w:tc>
        <w:tc>
          <w:tcPr>
            <w:tcW w:w="0" w:type="auto"/>
            <w:gridSpan w:val="3"/>
            <w:vAlign w:val="center"/>
            <w:hideMark/>
          </w:tcPr>
          <w:p w14:paraId="139E7317" w14:textId="77777777" w:rsidR="00000000" w:rsidRDefault="00405D16">
            <w:pPr>
              <w:spacing w:after="100"/>
              <w:rPr>
                <w:rFonts w:eastAsia="Times New Roman"/>
                <w:sz w:val="20"/>
                <w:szCs w:val="20"/>
              </w:rPr>
            </w:pPr>
          </w:p>
        </w:tc>
        <w:tc>
          <w:tcPr>
            <w:tcW w:w="0" w:type="auto"/>
            <w:gridSpan w:val="3"/>
            <w:vAlign w:val="center"/>
            <w:hideMark/>
          </w:tcPr>
          <w:p w14:paraId="40B1E74A" w14:textId="77777777" w:rsidR="00000000" w:rsidRDefault="00405D16">
            <w:pPr>
              <w:spacing w:after="100"/>
              <w:rPr>
                <w:rFonts w:eastAsia="Times New Roman"/>
                <w:sz w:val="20"/>
                <w:szCs w:val="20"/>
              </w:rPr>
            </w:pPr>
          </w:p>
        </w:tc>
        <w:tc>
          <w:tcPr>
            <w:tcW w:w="0" w:type="auto"/>
            <w:gridSpan w:val="3"/>
            <w:vAlign w:val="center"/>
            <w:hideMark/>
          </w:tcPr>
          <w:p w14:paraId="0402CE20" w14:textId="77777777" w:rsidR="00000000" w:rsidRDefault="00405D16">
            <w:pPr>
              <w:spacing w:after="100"/>
              <w:rPr>
                <w:rFonts w:eastAsia="Times New Roman"/>
                <w:sz w:val="20"/>
                <w:szCs w:val="20"/>
              </w:rPr>
            </w:pPr>
          </w:p>
        </w:tc>
        <w:tc>
          <w:tcPr>
            <w:tcW w:w="0" w:type="auto"/>
            <w:gridSpan w:val="3"/>
            <w:vAlign w:val="center"/>
            <w:hideMark/>
          </w:tcPr>
          <w:p w14:paraId="7AAA6150" w14:textId="77777777" w:rsidR="00000000" w:rsidRDefault="00405D16">
            <w:pPr>
              <w:spacing w:after="100"/>
              <w:rPr>
                <w:rFonts w:eastAsia="Times New Roman"/>
                <w:sz w:val="20"/>
                <w:szCs w:val="20"/>
              </w:rPr>
            </w:pPr>
          </w:p>
        </w:tc>
        <w:tc>
          <w:tcPr>
            <w:tcW w:w="0" w:type="auto"/>
            <w:gridSpan w:val="3"/>
            <w:vAlign w:val="center"/>
            <w:hideMark/>
          </w:tcPr>
          <w:p w14:paraId="75642309" w14:textId="77777777" w:rsidR="00000000" w:rsidRDefault="00405D16">
            <w:pPr>
              <w:spacing w:after="100"/>
              <w:rPr>
                <w:rFonts w:eastAsia="Times New Roman"/>
                <w:sz w:val="20"/>
                <w:szCs w:val="20"/>
              </w:rPr>
            </w:pPr>
          </w:p>
        </w:tc>
        <w:tc>
          <w:tcPr>
            <w:tcW w:w="0" w:type="auto"/>
            <w:gridSpan w:val="3"/>
            <w:vAlign w:val="center"/>
            <w:hideMark/>
          </w:tcPr>
          <w:p w14:paraId="1DA0FC8B" w14:textId="77777777" w:rsidR="00000000" w:rsidRDefault="00405D16">
            <w:pPr>
              <w:spacing w:after="100"/>
              <w:rPr>
                <w:rFonts w:eastAsia="Times New Roman"/>
                <w:sz w:val="20"/>
                <w:szCs w:val="20"/>
              </w:rPr>
            </w:pPr>
          </w:p>
        </w:tc>
        <w:tc>
          <w:tcPr>
            <w:tcW w:w="0" w:type="auto"/>
            <w:gridSpan w:val="2"/>
            <w:vAlign w:val="center"/>
            <w:hideMark/>
          </w:tcPr>
          <w:p w14:paraId="4405261B" w14:textId="77777777" w:rsidR="00000000" w:rsidRDefault="00405D16">
            <w:pPr>
              <w:spacing w:after="100"/>
              <w:rPr>
                <w:rFonts w:eastAsia="Times New Roman"/>
                <w:sz w:val="20"/>
                <w:szCs w:val="20"/>
              </w:rPr>
            </w:pPr>
          </w:p>
        </w:tc>
        <w:tc>
          <w:tcPr>
            <w:tcW w:w="0" w:type="auto"/>
            <w:vAlign w:val="center"/>
            <w:hideMark/>
          </w:tcPr>
          <w:p w14:paraId="1493A9D6" w14:textId="77777777" w:rsidR="00000000" w:rsidRDefault="00405D16">
            <w:pPr>
              <w:spacing w:after="100"/>
              <w:rPr>
                <w:rFonts w:eastAsia="Times New Roman"/>
                <w:sz w:val="20"/>
                <w:szCs w:val="20"/>
              </w:rPr>
            </w:pPr>
          </w:p>
        </w:tc>
      </w:tr>
      <w:tr w:rsidR="00000000" w14:paraId="287C48C9" w14:textId="77777777">
        <w:trPr>
          <w:divId w:val="1350447739"/>
        </w:trPr>
        <w:tc>
          <w:tcPr>
            <w:tcW w:w="0" w:type="auto"/>
            <w:gridSpan w:val="3"/>
            <w:vAlign w:val="center"/>
            <w:hideMark/>
          </w:tcPr>
          <w:p w14:paraId="623FF888" w14:textId="77777777" w:rsidR="00000000" w:rsidRDefault="00405D16">
            <w:pPr>
              <w:spacing w:after="100"/>
              <w:rPr>
                <w:rFonts w:eastAsia="Times New Roman"/>
                <w:sz w:val="20"/>
                <w:szCs w:val="20"/>
              </w:rPr>
            </w:pPr>
          </w:p>
        </w:tc>
        <w:tc>
          <w:tcPr>
            <w:tcW w:w="0" w:type="auto"/>
            <w:gridSpan w:val="3"/>
            <w:vAlign w:val="center"/>
            <w:hideMark/>
          </w:tcPr>
          <w:p w14:paraId="4B2E636E" w14:textId="77777777" w:rsidR="00000000" w:rsidRDefault="00405D16">
            <w:pPr>
              <w:spacing w:after="100"/>
              <w:rPr>
                <w:rFonts w:eastAsia="Times New Roman"/>
                <w:sz w:val="20"/>
                <w:szCs w:val="20"/>
              </w:rPr>
            </w:pPr>
          </w:p>
        </w:tc>
        <w:tc>
          <w:tcPr>
            <w:tcW w:w="0" w:type="auto"/>
            <w:gridSpan w:val="3"/>
            <w:vAlign w:val="center"/>
            <w:hideMark/>
          </w:tcPr>
          <w:p w14:paraId="4DA94DA0" w14:textId="77777777" w:rsidR="00000000" w:rsidRDefault="00405D16">
            <w:pPr>
              <w:spacing w:after="100"/>
              <w:rPr>
                <w:rFonts w:eastAsia="Times New Roman"/>
                <w:sz w:val="20"/>
                <w:szCs w:val="20"/>
              </w:rPr>
            </w:pPr>
          </w:p>
        </w:tc>
        <w:tc>
          <w:tcPr>
            <w:tcW w:w="0" w:type="auto"/>
            <w:gridSpan w:val="3"/>
            <w:vAlign w:val="center"/>
            <w:hideMark/>
          </w:tcPr>
          <w:p w14:paraId="7313C4B8" w14:textId="77777777" w:rsidR="00000000" w:rsidRDefault="00405D16">
            <w:pPr>
              <w:spacing w:after="100"/>
              <w:rPr>
                <w:rFonts w:eastAsia="Times New Roman"/>
                <w:sz w:val="20"/>
                <w:szCs w:val="20"/>
              </w:rPr>
            </w:pPr>
          </w:p>
        </w:tc>
        <w:tc>
          <w:tcPr>
            <w:tcW w:w="0" w:type="auto"/>
            <w:gridSpan w:val="3"/>
            <w:vAlign w:val="center"/>
            <w:hideMark/>
          </w:tcPr>
          <w:p w14:paraId="586EBFA1" w14:textId="77777777" w:rsidR="00000000" w:rsidRDefault="00405D16">
            <w:pPr>
              <w:spacing w:after="100"/>
              <w:rPr>
                <w:rFonts w:eastAsia="Times New Roman"/>
                <w:sz w:val="20"/>
                <w:szCs w:val="20"/>
              </w:rPr>
            </w:pPr>
          </w:p>
        </w:tc>
        <w:tc>
          <w:tcPr>
            <w:tcW w:w="0" w:type="auto"/>
            <w:gridSpan w:val="3"/>
            <w:vAlign w:val="center"/>
            <w:hideMark/>
          </w:tcPr>
          <w:p w14:paraId="2BBA55D6" w14:textId="77777777" w:rsidR="00000000" w:rsidRDefault="00405D16">
            <w:pPr>
              <w:spacing w:after="100"/>
              <w:rPr>
                <w:rFonts w:eastAsia="Times New Roman"/>
                <w:sz w:val="20"/>
                <w:szCs w:val="20"/>
              </w:rPr>
            </w:pPr>
          </w:p>
        </w:tc>
        <w:tc>
          <w:tcPr>
            <w:tcW w:w="0" w:type="auto"/>
            <w:gridSpan w:val="3"/>
            <w:vAlign w:val="center"/>
            <w:hideMark/>
          </w:tcPr>
          <w:p w14:paraId="267BBE1F" w14:textId="77777777" w:rsidR="00000000" w:rsidRDefault="00405D16">
            <w:pPr>
              <w:spacing w:after="100"/>
              <w:rPr>
                <w:rFonts w:eastAsia="Times New Roman"/>
                <w:sz w:val="20"/>
                <w:szCs w:val="20"/>
              </w:rPr>
            </w:pPr>
          </w:p>
        </w:tc>
        <w:tc>
          <w:tcPr>
            <w:tcW w:w="0" w:type="auto"/>
            <w:gridSpan w:val="3"/>
            <w:vAlign w:val="center"/>
            <w:hideMark/>
          </w:tcPr>
          <w:p w14:paraId="74397AC2" w14:textId="77777777" w:rsidR="00000000" w:rsidRDefault="00405D16">
            <w:pPr>
              <w:spacing w:after="100"/>
              <w:rPr>
                <w:rFonts w:eastAsia="Times New Roman"/>
                <w:sz w:val="20"/>
                <w:szCs w:val="20"/>
              </w:rPr>
            </w:pPr>
          </w:p>
        </w:tc>
        <w:tc>
          <w:tcPr>
            <w:tcW w:w="0" w:type="auto"/>
            <w:gridSpan w:val="3"/>
            <w:vAlign w:val="center"/>
            <w:hideMark/>
          </w:tcPr>
          <w:p w14:paraId="5C2759F6" w14:textId="77777777" w:rsidR="00000000" w:rsidRDefault="00405D16">
            <w:pPr>
              <w:spacing w:after="100"/>
              <w:rPr>
                <w:rFonts w:eastAsia="Times New Roman"/>
                <w:sz w:val="20"/>
                <w:szCs w:val="20"/>
              </w:rPr>
            </w:pPr>
          </w:p>
        </w:tc>
        <w:tc>
          <w:tcPr>
            <w:tcW w:w="0" w:type="auto"/>
            <w:gridSpan w:val="3"/>
            <w:vAlign w:val="center"/>
            <w:hideMark/>
          </w:tcPr>
          <w:p w14:paraId="6CB32B60" w14:textId="77777777" w:rsidR="00000000" w:rsidRDefault="00405D16">
            <w:pPr>
              <w:spacing w:after="100"/>
              <w:rPr>
                <w:rFonts w:eastAsia="Times New Roman"/>
                <w:sz w:val="20"/>
                <w:szCs w:val="20"/>
              </w:rPr>
            </w:pPr>
          </w:p>
        </w:tc>
        <w:tc>
          <w:tcPr>
            <w:tcW w:w="0" w:type="auto"/>
            <w:gridSpan w:val="3"/>
            <w:vAlign w:val="center"/>
            <w:hideMark/>
          </w:tcPr>
          <w:p w14:paraId="3093E921" w14:textId="77777777" w:rsidR="00000000" w:rsidRDefault="00405D16">
            <w:pPr>
              <w:spacing w:after="100"/>
              <w:rPr>
                <w:rFonts w:eastAsia="Times New Roman"/>
                <w:sz w:val="20"/>
                <w:szCs w:val="20"/>
              </w:rPr>
            </w:pPr>
          </w:p>
        </w:tc>
        <w:tc>
          <w:tcPr>
            <w:tcW w:w="0" w:type="auto"/>
            <w:gridSpan w:val="3"/>
            <w:vAlign w:val="center"/>
            <w:hideMark/>
          </w:tcPr>
          <w:p w14:paraId="35635627" w14:textId="77777777" w:rsidR="00000000" w:rsidRDefault="00405D16">
            <w:pPr>
              <w:spacing w:after="100"/>
              <w:rPr>
                <w:rFonts w:eastAsia="Times New Roman"/>
                <w:sz w:val="20"/>
                <w:szCs w:val="20"/>
              </w:rPr>
            </w:pPr>
          </w:p>
        </w:tc>
        <w:tc>
          <w:tcPr>
            <w:tcW w:w="0" w:type="auto"/>
            <w:gridSpan w:val="3"/>
            <w:vAlign w:val="center"/>
            <w:hideMark/>
          </w:tcPr>
          <w:p w14:paraId="3EECF4BA" w14:textId="77777777" w:rsidR="00000000" w:rsidRDefault="00405D16">
            <w:pPr>
              <w:spacing w:after="100"/>
              <w:rPr>
                <w:rFonts w:eastAsia="Times New Roman"/>
                <w:sz w:val="20"/>
                <w:szCs w:val="20"/>
              </w:rPr>
            </w:pPr>
          </w:p>
        </w:tc>
        <w:tc>
          <w:tcPr>
            <w:tcW w:w="0" w:type="auto"/>
            <w:gridSpan w:val="3"/>
            <w:vAlign w:val="center"/>
            <w:hideMark/>
          </w:tcPr>
          <w:p w14:paraId="23756641" w14:textId="77777777" w:rsidR="00000000" w:rsidRDefault="00405D16">
            <w:pPr>
              <w:spacing w:after="100"/>
              <w:rPr>
                <w:rFonts w:eastAsia="Times New Roman"/>
                <w:sz w:val="20"/>
                <w:szCs w:val="20"/>
              </w:rPr>
            </w:pPr>
          </w:p>
        </w:tc>
        <w:tc>
          <w:tcPr>
            <w:tcW w:w="0" w:type="auto"/>
            <w:gridSpan w:val="3"/>
            <w:vAlign w:val="center"/>
            <w:hideMark/>
          </w:tcPr>
          <w:p w14:paraId="69E0878E" w14:textId="77777777" w:rsidR="00000000" w:rsidRDefault="00405D16">
            <w:pPr>
              <w:spacing w:after="100"/>
              <w:rPr>
                <w:rFonts w:eastAsia="Times New Roman"/>
                <w:sz w:val="20"/>
                <w:szCs w:val="20"/>
              </w:rPr>
            </w:pPr>
          </w:p>
        </w:tc>
        <w:tc>
          <w:tcPr>
            <w:tcW w:w="0" w:type="auto"/>
            <w:gridSpan w:val="3"/>
            <w:vAlign w:val="center"/>
            <w:hideMark/>
          </w:tcPr>
          <w:p w14:paraId="65BD3869" w14:textId="77777777" w:rsidR="00000000" w:rsidRDefault="00405D16">
            <w:pPr>
              <w:spacing w:after="100"/>
              <w:rPr>
                <w:rFonts w:eastAsia="Times New Roman"/>
                <w:sz w:val="20"/>
                <w:szCs w:val="20"/>
              </w:rPr>
            </w:pPr>
          </w:p>
        </w:tc>
        <w:tc>
          <w:tcPr>
            <w:tcW w:w="0" w:type="auto"/>
            <w:gridSpan w:val="3"/>
            <w:vAlign w:val="center"/>
            <w:hideMark/>
          </w:tcPr>
          <w:p w14:paraId="272A0E94" w14:textId="77777777" w:rsidR="00000000" w:rsidRDefault="00405D16">
            <w:pPr>
              <w:spacing w:after="100"/>
              <w:rPr>
                <w:rFonts w:eastAsia="Times New Roman"/>
                <w:sz w:val="20"/>
                <w:szCs w:val="20"/>
              </w:rPr>
            </w:pPr>
          </w:p>
        </w:tc>
        <w:tc>
          <w:tcPr>
            <w:tcW w:w="0" w:type="auto"/>
            <w:gridSpan w:val="3"/>
            <w:vAlign w:val="center"/>
            <w:hideMark/>
          </w:tcPr>
          <w:p w14:paraId="137E15F7" w14:textId="77777777" w:rsidR="00000000" w:rsidRDefault="00405D16">
            <w:pPr>
              <w:spacing w:after="100"/>
              <w:rPr>
                <w:rFonts w:eastAsia="Times New Roman"/>
                <w:sz w:val="20"/>
                <w:szCs w:val="20"/>
              </w:rPr>
            </w:pPr>
          </w:p>
        </w:tc>
        <w:tc>
          <w:tcPr>
            <w:tcW w:w="0" w:type="auto"/>
            <w:gridSpan w:val="3"/>
            <w:vAlign w:val="center"/>
            <w:hideMark/>
          </w:tcPr>
          <w:p w14:paraId="671D622B" w14:textId="77777777" w:rsidR="00000000" w:rsidRDefault="00405D16">
            <w:pPr>
              <w:spacing w:after="100"/>
              <w:rPr>
                <w:rFonts w:eastAsia="Times New Roman"/>
                <w:sz w:val="20"/>
                <w:szCs w:val="20"/>
              </w:rPr>
            </w:pPr>
          </w:p>
        </w:tc>
        <w:tc>
          <w:tcPr>
            <w:tcW w:w="0" w:type="auto"/>
            <w:gridSpan w:val="3"/>
            <w:vAlign w:val="center"/>
            <w:hideMark/>
          </w:tcPr>
          <w:p w14:paraId="6D4C09B9" w14:textId="77777777" w:rsidR="00000000" w:rsidRDefault="00405D16">
            <w:pPr>
              <w:spacing w:after="100"/>
              <w:rPr>
                <w:rFonts w:eastAsia="Times New Roman"/>
                <w:sz w:val="20"/>
                <w:szCs w:val="20"/>
              </w:rPr>
            </w:pPr>
          </w:p>
        </w:tc>
        <w:tc>
          <w:tcPr>
            <w:tcW w:w="0" w:type="auto"/>
            <w:gridSpan w:val="2"/>
            <w:vAlign w:val="center"/>
            <w:hideMark/>
          </w:tcPr>
          <w:p w14:paraId="191DF2F3" w14:textId="77777777" w:rsidR="00000000" w:rsidRDefault="00405D16">
            <w:pPr>
              <w:spacing w:after="100"/>
              <w:rPr>
                <w:rFonts w:eastAsia="Times New Roman"/>
                <w:sz w:val="20"/>
                <w:szCs w:val="20"/>
              </w:rPr>
            </w:pPr>
          </w:p>
        </w:tc>
        <w:tc>
          <w:tcPr>
            <w:tcW w:w="0" w:type="auto"/>
            <w:vAlign w:val="center"/>
            <w:hideMark/>
          </w:tcPr>
          <w:p w14:paraId="2CFE07C1" w14:textId="77777777" w:rsidR="00000000" w:rsidRDefault="00405D16">
            <w:pPr>
              <w:spacing w:after="100"/>
              <w:rPr>
                <w:rFonts w:eastAsia="Times New Roman"/>
                <w:sz w:val="20"/>
                <w:szCs w:val="20"/>
              </w:rPr>
            </w:pPr>
          </w:p>
        </w:tc>
      </w:tr>
      <w:tr w:rsidR="00000000" w14:paraId="15883D28" w14:textId="77777777">
        <w:trPr>
          <w:divId w:val="1350447739"/>
        </w:trPr>
        <w:tc>
          <w:tcPr>
            <w:tcW w:w="0" w:type="auto"/>
            <w:gridSpan w:val="3"/>
            <w:vAlign w:val="center"/>
            <w:hideMark/>
          </w:tcPr>
          <w:p w14:paraId="43012069" w14:textId="77777777" w:rsidR="00000000" w:rsidRDefault="00405D16">
            <w:pPr>
              <w:spacing w:after="100"/>
              <w:rPr>
                <w:rFonts w:eastAsia="Times New Roman"/>
                <w:sz w:val="20"/>
                <w:szCs w:val="20"/>
              </w:rPr>
            </w:pPr>
          </w:p>
        </w:tc>
        <w:tc>
          <w:tcPr>
            <w:tcW w:w="0" w:type="auto"/>
            <w:gridSpan w:val="3"/>
            <w:vAlign w:val="center"/>
            <w:hideMark/>
          </w:tcPr>
          <w:p w14:paraId="1D452A5F" w14:textId="77777777" w:rsidR="00000000" w:rsidRDefault="00405D16">
            <w:pPr>
              <w:spacing w:after="100"/>
              <w:rPr>
                <w:rFonts w:eastAsia="Times New Roman"/>
                <w:sz w:val="20"/>
                <w:szCs w:val="20"/>
              </w:rPr>
            </w:pPr>
          </w:p>
        </w:tc>
        <w:tc>
          <w:tcPr>
            <w:tcW w:w="0" w:type="auto"/>
            <w:gridSpan w:val="3"/>
            <w:vAlign w:val="center"/>
            <w:hideMark/>
          </w:tcPr>
          <w:p w14:paraId="01774A45" w14:textId="77777777" w:rsidR="00000000" w:rsidRDefault="00405D16">
            <w:pPr>
              <w:spacing w:after="100"/>
              <w:rPr>
                <w:rFonts w:eastAsia="Times New Roman"/>
                <w:sz w:val="20"/>
                <w:szCs w:val="20"/>
              </w:rPr>
            </w:pPr>
          </w:p>
        </w:tc>
        <w:tc>
          <w:tcPr>
            <w:tcW w:w="0" w:type="auto"/>
            <w:gridSpan w:val="3"/>
            <w:vAlign w:val="center"/>
            <w:hideMark/>
          </w:tcPr>
          <w:p w14:paraId="5868DEAE" w14:textId="77777777" w:rsidR="00000000" w:rsidRDefault="00405D16">
            <w:pPr>
              <w:spacing w:after="100"/>
              <w:rPr>
                <w:rFonts w:eastAsia="Times New Roman"/>
                <w:sz w:val="20"/>
                <w:szCs w:val="20"/>
              </w:rPr>
            </w:pPr>
          </w:p>
        </w:tc>
        <w:tc>
          <w:tcPr>
            <w:tcW w:w="0" w:type="auto"/>
            <w:gridSpan w:val="3"/>
            <w:vAlign w:val="center"/>
            <w:hideMark/>
          </w:tcPr>
          <w:p w14:paraId="4A339A18" w14:textId="77777777" w:rsidR="00000000" w:rsidRDefault="00405D16">
            <w:pPr>
              <w:spacing w:after="100"/>
              <w:rPr>
                <w:rFonts w:eastAsia="Times New Roman"/>
                <w:sz w:val="20"/>
                <w:szCs w:val="20"/>
              </w:rPr>
            </w:pPr>
          </w:p>
        </w:tc>
        <w:tc>
          <w:tcPr>
            <w:tcW w:w="0" w:type="auto"/>
            <w:gridSpan w:val="3"/>
            <w:vAlign w:val="center"/>
            <w:hideMark/>
          </w:tcPr>
          <w:p w14:paraId="38AB6AB4" w14:textId="77777777" w:rsidR="00000000" w:rsidRDefault="00405D16">
            <w:pPr>
              <w:spacing w:after="100"/>
              <w:rPr>
                <w:rFonts w:eastAsia="Times New Roman"/>
                <w:sz w:val="20"/>
                <w:szCs w:val="20"/>
              </w:rPr>
            </w:pPr>
          </w:p>
        </w:tc>
        <w:tc>
          <w:tcPr>
            <w:tcW w:w="0" w:type="auto"/>
            <w:gridSpan w:val="3"/>
            <w:vAlign w:val="center"/>
            <w:hideMark/>
          </w:tcPr>
          <w:p w14:paraId="23294905" w14:textId="77777777" w:rsidR="00000000" w:rsidRDefault="00405D16">
            <w:pPr>
              <w:spacing w:after="100"/>
              <w:rPr>
                <w:rFonts w:eastAsia="Times New Roman"/>
                <w:sz w:val="20"/>
                <w:szCs w:val="20"/>
              </w:rPr>
            </w:pPr>
          </w:p>
        </w:tc>
        <w:tc>
          <w:tcPr>
            <w:tcW w:w="0" w:type="auto"/>
            <w:gridSpan w:val="3"/>
            <w:vAlign w:val="center"/>
            <w:hideMark/>
          </w:tcPr>
          <w:p w14:paraId="01E2FF31" w14:textId="77777777" w:rsidR="00000000" w:rsidRDefault="00405D16">
            <w:pPr>
              <w:spacing w:after="100"/>
              <w:rPr>
                <w:rFonts w:eastAsia="Times New Roman"/>
                <w:sz w:val="20"/>
                <w:szCs w:val="20"/>
              </w:rPr>
            </w:pPr>
          </w:p>
        </w:tc>
        <w:tc>
          <w:tcPr>
            <w:tcW w:w="0" w:type="auto"/>
            <w:gridSpan w:val="3"/>
            <w:vAlign w:val="center"/>
            <w:hideMark/>
          </w:tcPr>
          <w:p w14:paraId="7C649B04" w14:textId="77777777" w:rsidR="00000000" w:rsidRDefault="00405D16">
            <w:pPr>
              <w:spacing w:after="100"/>
              <w:rPr>
                <w:rFonts w:eastAsia="Times New Roman"/>
                <w:sz w:val="20"/>
                <w:szCs w:val="20"/>
              </w:rPr>
            </w:pPr>
          </w:p>
        </w:tc>
        <w:tc>
          <w:tcPr>
            <w:tcW w:w="0" w:type="auto"/>
            <w:gridSpan w:val="3"/>
            <w:vAlign w:val="center"/>
            <w:hideMark/>
          </w:tcPr>
          <w:p w14:paraId="3A9BECB4" w14:textId="77777777" w:rsidR="00000000" w:rsidRDefault="00405D16">
            <w:pPr>
              <w:spacing w:after="100"/>
              <w:rPr>
                <w:rFonts w:eastAsia="Times New Roman"/>
                <w:sz w:val="20"/>
                <w:szCs w:val="20"/>
              </w:rPr>
            </w:pPr>
          </w:p>
        </w:tc>
        <w:tc>
          <w:tcPr>
            <w:tcW w:w="0" w:type="auto"/>
            <w:gridSpan w:val="3"/>
            <w:vAlign w:val="center"/>
            <w:hideMark/>
          </w:tcPr>
          <w:p w14:paraId="0AD496BA" w14:textId="77777777" w:rsidR="00000000" w:rsidRDefault="00405D16">
            <w:pPr>
              <w:spacing w:after="100"/>
              <w:rPr>
                <w:rFonts w:eastAsia="Times New Roman"/>
                <w:sz w:val="20"/>
                <w:szCs w:val="20"/>
              </w:rPr>
            </w:pPr>
          </w:p>
        </w:tc>
        <w:tc>
          <w:tcPr>
            <w:tcW w:w="0" w:type="auto"/>
            <w:gridSpan w:val="3"/>
            <w:vAlign w:val="center"/>
            <w:hideMark/>
          </w:tcPr>
          <w:p w14:paraId="18A70F2D" w14:textId="77777777" w:rsidR="00000000" w:rsidRDefault="00405D16">
            <w:pPr>
              <w:spacing w:after="100"/>
              <w:rPr>
                <w:rFonts w:eastAsia="Times New Roman"/>
                <w:sz w:val="20"/>
                <w:szCs w:val="20"/>
              </w:rPr>
            </w:pPr>
          </w:p>
        </w:tc>
        <w:tc>
          <w:tcPr>
            <w:tcW w:w="0" w:type="auto"/>
            <w:gridSpan w:val="3"/>
            <w:vAlign w:val="center"/>
            <w:hideMark/>
          </w:tcPr>
          <w:p w14:paraId="5BFDEE43" w14:textId="77777777" w:rsidR="00000000" w:rsidRDefault="00405D16">
            <w:pPr>
              <w:spacing w:after="100"/>
              <w:rPr>
                <w:rFonts w:eastAsia="Times New Roman"/>
                <w:sz w:val="20"/>
                <w:szCs w:val="20"/>
              </w:rPr>
            </w:pPr>
          </w:p>
        </w:tc>
        <w:tc>
          <w:tcPr>
            <w:tcW w:w="0" w:type="auto"/>
            <w:gridSpan w:val="3"/>
            <w:vAlign w:val="center"/>
            <w:hideMark/>
          </w:tcPr>
          <w:p w14:paraId="37AA7408" w14:textId="77777777" w:rsidR="00000000" w:rsidRDefault="00405D16">
            <w:pPr>
              <w:spacing w:after="100"/>
              <w:rPr>
                <w:rFonts w:eastAsia="Times New Roman"/>
                <w:sz w:val="20"/>
                <w:szCs w:val="20"/>
              </w:rPr>
            </w:pPr>
          </w:p>
        </w:tc>
        <w:tc>
          <w:tcPr>
            <w:tcW w:w="0" w:type="auto"/>
            <w:gridSpan w:val="3"/>
            <w:vAlign w:val="center"/>
            <w:hideMark/>
          </w:tcPr>
          <w:p w14:paraId="21321BC4" w14:textId="77777777" w:rsidR="00000000" w:rsidRDefault="00405D16">
            <w:pPr>
              <w:spacing w:after="100"/>
              <w:rPr>
                <w:rFonts w:eastAsia="Times New Roman"/>
                <w:sz w:val="20"/>
                <w:szCs w:val="20"/>
              </w:rPr>
            </w:pPr>
          </w:p>
        </w:tc>
        <w:tc>
          <w:tcPr>
            <w:tcW w:w="0" w:type="auto"/>
            <w:gridSpan w:val="3"/>
            <w:vAlign w:val="center"/>
            <w:hideMark/>
          </w:tcPr>
          <w:p w14:paraId="1A600546" w14:textId="77777777" w:rsidR="00000000" w:rsidRDefault="00405D16">
            <w:pPr>
              <w:spacing w:after="100"/>
              <w:rPr>
                <w:rFonts w:eastAsia="Times New Roman"/>
                <w:sz w:val="20"/>
                <w:szCs w:val="20"/>
              </w:rPr>
            </w:pPr>
          </w:p>
        </w:tc>
        <w:tc>
          <w:tcPr>
            <w:tcW w:w="0" w:type="auto"/>
            <w:gridSpan w:val="3"/>
            <w:vAlign w:val="center"/>
            <w:hideMark/>
          </w:tcPr>
          <w:p w14:paraId="70B70473" w14:textId="77777777" w:rsidR="00000000" w:rsidRDefault="00405D16">
            <w:pPr>
              <w:spacing w:after="100"/>
              <w:rPr>
                <w:rFonts w:eastAsia="Times New Roman"/>
                <w:sz w:val="20"/>
                <w:szCs w:val="20"/>
              </w:rPr>
            </w:pPr>
          </w:p>
        </w:tc>
        <w:tc>
          <w:tcPr>
            <w:tcW w:w="0" w:type="auto"/>
            <w:gridSpan w:val="3"/>
            <w:vAlign w:val="center"/>
            <w:hideMark/>
          </w:tcPr>
          <w:p w14:paraId="3832AE8F" w14:textId="77777777" w:rsidR="00000000" w:rsidRDefault="00405D16">
            <w:pPr>
              <w:spacing w:after="100"/>
              <w:rPr>
                <w:rFonts w:eastAsia="Times New Roman"/>
                <w:sz w:val="20"/>
                <w:szCs w:val="20"/>
              </w:rPr>
            </w:pPr>
          </w:p>
        </w:tc>
        <w:tc>
          <w:tcPr>
            <w:tcW w:w="0" w:type="auto"/>
            <w:gridSpan w:val="3"/>
            <w:vAlign w:val="center"/>
            <w:hideMark/>
          </w:tcPr>
          <w:p w14:paraId="0B5F6451" w14:textId="77777777" w:rsidR="00000000" w:rsidRDefault="00405D16">
            <w:pPr>
              <w:spacing w:after="100"/>
              <w:rPr>
                <w:rFonts w:eastAsia="Times New Roman"/>
                <w:sz w:val="20"/>
                <w:szCs w:val="20"/>
              </w:rPr>
            </w:pPr>
          </w:p>
        </w:tc>
        <w:tc>
          <w:tcPr>
            <w:tcW w:w="0" w:type="auto"/>
            <w:gridSpan w:val="3"/>
            <w:vAlign w:val="center"/>
            <w:hideMark/>
          </w:tcPr>
          <w:p w14:paraId="65982C06" w14:textId="77777777" w:rsidR="00000000" w:rsidRDefault="00405D16">
            <w:pPr>
              <w:spacing w:after="100"/>
              <w:rPr>
                <w:rFonts w:eastAsia="Times New Roman"/>
                <w:sz w:val="20"/>
                <w:szCs w:val="20"/>
              </w:rPr>
            </w:pPr>
          </w:p>
        </w:tc>
        <w:tc>
          <w:tcPr>
            <w:tcW w:w="0" w:type="auto"/>
            <w:gridSpan w:val="2"/>
            <w:vAlign w:val="center"/>
            <w:hideMark/>
          </w:tcPr>
          <w:p w14:paraId="19DDCFA7" w14:textId="77777777" w:rsidR="00000000" w:rsidRDefault="00405D16">
            <w:pPr>
              <w:spacing w:after="100"/>
              <w:rPr>
                <w:rFonts w:eastAsia="Times New Roman"/>
                <w:sz w:val="20"/>
                <w:szCs w:val="20"/>
              </w:rPr>
            </w:pPr>
          </w:p>
        </w:tc>
        <w:tc>
          <w:tcPr>
            <w:tcW w:w="0" w:type="auto"/>
            <w:vAlign w:val="center"/>
            <w:hideMark/>
          </w:tcPr>
          <w:p w14:paraId="6D73FB9A" w14:textId="77777777" w:rsidR="00000000" w:rsidRDefault="00405D16">
            <w:pPr>
              <w:spacing w:after="100"/>
              <w:rPr>
                <w:rFonts w:eastAsia="Times New Roman"/>
                <w:sz w:val="20"/>
                <w:szCs w:val="20"/>
              </w:rPr>
            </w:pPr>
          </w:p>
        </w:tc>
      </w:tr>
      <w:tr w:rsidR="00000000" w14:paraId="1497ED9F" w14:textId="77777777">
        <w:trPr>
          <w:divId w:val="1350447739"/>
        </w:trPr>
        <w:tc>
          <w:tcPr>
            <w:tcW w:w="0" w:type="auto"/>
            <w:gridSpan w:val="3"/>
            <w:vAlign w:val="center"/>
            <w:hideMark/>
          </w:tcPr>
          <w:p w14:paraId="269EE4E6" w14:textId="77777777" w:rsidR="00000000" w:rsidRDefault="00405D16">
            <w:pPr>
              <w:spacing w:after="100"/>
              <w:rPr>
                <w:rFonts w:eastAsia="Times New Roman"/>
                <w:sz w:val="20"/>
                <w:szCs w:val="20"/>
              </w:rPr>
            </w:pPr>
          </w:p>
        </w:tc>
        <w:tc>
          <w:tcPr>
            <w:tcW w:w="0" w:type="auto"/>
            <w:gridSpan w:val="3"/>
            <w:vAlign w:val="center"/>
            <w:hideMark/>
          </w:tcPr>
          <w:p w14:paraId="38C01C54" w14:textId="77777777" w:rsidR="00000000" w:rsidRDefault="00405D16">
            <w:pPr>
              <w:spacing w:after="100"/>
              <w:rPr>
                <w:rFonts w:eastAsia="Times New Roman"/>
                <w:sz w:val="20"/>
                <w:szCs w:val="20"/>
              </w:rPr>
            </w:pPr>
          </w:p>
        </w:tc>
        <w:tc>
          <w:tcPr>
            <w:tcW w:w="0" w:type="auto"/>
            <w:gridSpan w:val="3"/>
            <w:vAlign w:val="center"/>
            <w:hideMark/>
          </w:tcPr>
          <w:p w14:paraId="3D0B9503" w14:textId="77777777" w:rsidR="00000000" w:rsidRDefault="00405D16">
            <w:pPr>
              <w:spacing w:after="100"/>
              <w:rPr>
                <w:rFonts w:eastAsia="Times New Roman"/>
                <w:sz w:val="20"/>
                <w:szCs w:val="20"/>
              </w:rPr>
            </w:pPr>
          </w:p>
        </w:tc>
        <w:tc>
          <w:tcPr>
            <w:tcW w:w="0" w:type="auto"/>
            <w:gridSpan w:val="3"/>
            <w:vAlign w:val="center"/>
            <w:hideMark/>
          </w:tcPr>
          <w:p w14:paraId="00606D69" w14:textId="77777777" w:rsidR="00000000" w:rsidRDefault="00405D16">
            <w:pPr>
              <w:spacing w:after="100"/>
              <w:rPr>
                <w:rFonts w:eastAsia="Times New Roman"/>
                <w:sz w:val="20"/>
                <w:szCs w:val="20"/>
              </w:rPr>
            </w:pPr>
          </w:p>
        </w:tc>
        <w:tc>
          <w:tcPr>
            <w:tcW w:w="0" w:type="auto"/>
            <w:gridSpan w:val="3"/>
            <w:vAlign w:val="center"/>
            <w:hideMark/>
          </w:tcPr>
          <w:p w14:paraId="0E51F60B" w14:textId="77777777" w:rsidR="00000000" w:rsidRDefault="00405D16">
            <w:pPr>
              <w:spacing w:after="100"/>
              <w:rPr>
                <w:rFonts w:eastAsia="Times New Roman"/>
                <w:sz w:val="20"/>
                <w:szCs w:val="20"/>
              </w:rPr>
            </w:pPr>
          </w:p>
        </w:tc>
        <w:tc>
          <w:tcPr>
            <w:tcW w:w="0" w:type="auto"/>
            <w:gridSpan w:val="3"/>
            <w:vAlign w:val="center"/>
            <w:hideMark/>
          </w:tcPr>
          <w:p w14:paraId="7958AD81" w14:textId="77777777" w:rsidR="00000000" w:rsidRDefault="00405D16">
            <w:pPr>
              <w:spacing w:after="100"/>
              <w:rPr>
                <w:rFonts w:eastAsia="Times New Roman"/>
                <w:sz w:val="20"/>
                <w:szCs w:val="20"/>
              </w:rPr>
            </w:pPr>
          </w:p>
        </w:tc>
        <w:tc>
          <w:tcPr>
            <w:tcW w:w="0" w:type="auto"/>
            <w:gridSpan w:val="3"/>
            <w:vAlign w:val="center"/>
            <w:hideMark/>
          </w:tcPr>
          <w:p w14:paraId="5A052E32" w14:textId="77777777" w:rsidR="00000000" w:rsidRDefault="00405D16">
            <w:pPr>
              <w:spacing w:after="100"/>
              <w:rPr>
                <w:rFonts w:eastAsia="Times New Roman"/>
                <w:sz w:val="20"/>
                <w:szCs w:val="20"/>
              </w:rPr>
            </w:pPr>
          </w:p>
        </w:tc>
        <w:tc>
          <w:tcPr>
            <w:tcW w:w="0" w:type="auto"/>
            <w:gridSpan w:val="3"/>
            <w:vAlign w:val="center"/>
            <w:hideMark/>
          </w:tcPr>
          <w:p w14:paraId="13CA1BA5" w14:textId="77777777" w:rsidR="00000000" w:rsidRDefault="00405D16">
            <w:pPr>
              <w:spacing w:after="100"/>
              <w:rPr>
                <w:rFonts w:eastAsia="Times New Roman"/>
                <w:sz w:val="20"/>
                <w:szCs w:val="20"/>
              </w:rPr>
            </w:pPr>
          </w:p>
        </w:tc>
        <w:tc>
          <w:tcPr>
            <w:tcW w:w="0" w:type="auto"/>
            <w:gridSpan w:val="3"/>
            <w:vAlign w:val="center"/>
            <w:hideMark/>
          </w:tcPr>
          <w:p w14:paraId="4B93367F" w14:textId="77777777" w:rsidR="00000000" w:rsidRDefault="00405D16">
            <w:pPr>
              <w:spacing w:after="100"/>
              <w:rPr>
                <w:rFonts w:eastAsia="Times New Roman"/>
                <w:sz w:val="20"/>
                <w:szCs w:val="20"/>
              </w:rPr>
            </w:pPr>
          </w:p>
        </w:tc>
        <w:tc>
          <w:tcPr>
            <w:tcW w:w="0" w:type="auto"/>
            <w:gridSpan w:val="3"/>
            <w:vAlign w:val="center"/>
            <w:hideMark/>
          </w:tcPr>
          <w:p w14:paraId="699E90C2" w14:textId="77777777" w:rsidR="00000000" w:rsidRDefault="00405D16">
            <w:pPr>
              <w:spacing w:after="100"/>
              <w:rPr>
                <w:rFonts w:eastAsia="Times New Roman"/>
                <w:sz w:val="20"/>
                <w:szCs w:val="20"/>
              </w:rPr>
            </w:pPr>
          </w:p>
        </w:tc>
        <w:tc>
          <w:tcPr>
            <w:tcW w:w="0" w:type="auto"/>
            <w:gridSpan w:val="3"/>
            <w:vAlign w:val="center"/>
            <w:hideMark/>
          </w:tcPr>
          <w:p w14:paraId="03244E87" w14:textId="77777777" w:rsidR="00000000" w:rsidRDefault="00405D16">
            <w:pPr>
              <w:spacing w:after="100"/>
              <w:rPr>
                <w:rFonts w:eastAsia="Times New Roman"/>
                <w:sz w:val="20"/>
                <w:szCs w:val="20"/>
              </w:rPr>
            </w:pPr>
          </w:p>
        </w:tc>
        <w:tc>
          <w:tcPr>
            <w:tcW w:w="0" w:type="auto"/>
            <w:gridSpan w:val="3"/>
            <w:vAlign w:val="center"/>
            <w:hideMark/>
          </w:tcPr>
          <w:p w14:paraId="22E541AC" w14:textId="77777777" w:rsidR="00000000" w:rsidRDefault="00405D16">
            <w:pPr>
              <w:spacing w:after="100"/>
              <w:rPr>
                <w:rFonts w:eastAsia="Times New Roman"/>
                <w:sz w:val="20"/>
                <w:szCs w:val="20"/>
              </w:rPr>
            </w:pPr>
          </w:p>
        </w:tc>
        <w:tc>
          <w:tcPr>
            <w:tcW w:w="0" w:type="auto"/>
            <w:gridSpan w:val="3"/>
            <w:vAlign w:val="center"/>
            <w:hideMark/>
          </w:tcPr>
          <w:p w14:paraId="501538E8" w14:textId="77777777" w:rsidR="00000000" w:rsidRDefault="00405D16">
            <w:pPr>
              <w:spacing w:after="100"/>
              <w:rPr>
                <w:rFonts w:eastAsia="Times New Roman"/>
                <w:sz w:val="20"/>
                <w:szCs w:val="20"/>
              </w:rPr>
            </w:pPr>
          </w:p>
        </w:tc>
        <w:tc>
          <w:tcPr>
            <w:tcW w:w="0" w:type="auto"/>
            <w:gridSpan w:val="3"/>
            <w:vAlign w:val="center"/>
            <w:hideMark/>
          </w:tcPr>
          <w:p w14:paraId="5934E975" w14:textId="77777777" w:rsidR="00000000" w:rsidRDefault="00405D16">
            <w:pPr>
              <w:spacing w:after="100"/>
              <w:rPr>
                <w:rFonts w:eastAsia="Times New Roman"/>
                <w:sz w:val="20"/>
                <w:szCs w:val="20"/>
              </w:rPr>
            </w:pPr>
          </w:p>
        </w:tc>
        <w:tc>
          <w:tcPr>
            <w:tcW w:w="0" w:type="auto"/>
            <w:gridSpan w:val="3"/>
            <w:vAlign w:val="center"/>
            <w:hideMark/>
          </w:tcPr>
          <w:p w14:paraId="5DED0ACA" w14:textId="77777777" w:rsidR="00000000" w:rsidRDefault="00405D16">
            <w:pPr>
              <w:spacing w:after="100"/>
              <w:rPr>
                <w:rFonts w:eastAsia="Times New Roman"/>
                <w:sz w:val="20"/>
                <w:szCs w:val="20"/>
              </w:rPr>
            </w:pPr>
          </w:p>
        </w:tc>
        <w:tc>
          <w:tcPr>
            <w:tcW w:w="0" w:type="auto"/>
            <w:gridSpan w:val="3"/>
            <w:vAlign w:val="center"/>
            <w:hideMark/>
          </w:tcPr>
          <w:p w14:paraId="69C3C6B0" w14:textId="77777777" w:rsidR="00000000" w:rsidRDefault="00405D16">
            <w:pPr>
              <w:spacing w:after="100"/>
              <w:rPr>
                <w:rFonts w:eastAsia="Times New Roman"/>
                <w:sz w:val="20"/>
                <w:szCs w:val="20"/>
              </w:rPr>
            </w:pPr>
          </w:p>
        </w:tc>
        <w:tc>
          <w:tcPr>
            <w:tcW w:w="0" w:type="auto"/>
            <w:gridSpan w:val="3"/>
            <w:vAlign w:val="center"/>
            <w:hideMark/>
          </w:tcPr>
          <w:p w14:paraId="16AA4FF1" w14:textId="77777777" w:rsidR="00000000" w:rsidRDefault="00405D16">
            <w:pPr>
              <w:spacing w:after="100"/>
              <w:rPr>
                <w:rFonts w:eastAsia="Times New Roman"/>
                <w:sz w:val="20"/>
                <w:szCs w:val="20"/>
              </w:rPr>
            </w:pPr>
          </w:p>
        </w:tc>
        <w:tc>
          <w:tcPr>
            <w:tcW w:w="0" w:type="auto"/>
            <w:gridSpan w:val="3"/>
            <w:vAlign w:val="center"/>
            <w:hideMark/>
          </w:tcPr>
          <w:p w14:paraId="1EC989A6" w14:textId="77777777" w:rsidR="00000000" w:rsidRDefault="00405D16">
            <w:pPr>
              <w:spacing w:after="100"/>
              <w:rPr>
                <w:rFonts w:eastAsia="Times New Roman"/>
                <w:sz w:val="20"/>
                <w:szCs w:val="20"/>
              </w:rPr>
            </w:pPr>
          </w:p>
        </w:tc>
        <w:tc>
          <w:tcPr>
            <w:tcW w:w="0" w:type="auto"/>
            <w:gridSpan w:val="3"/>
            <w:vAlign w:val="center"/>
            <w:hideMark/>
          </w:tcPr>
          <w:p w14:paraId="34B26884" w14:textId="77777777" w:rsidR="00000000" w:rsidRDefault="00405D16">
            <w:pPr>
              <w:spacing w:after="100"/>
              <w:rPr>
                <w:rFonts w:eastAsia="Times New Roman"/>
                <w:sz w:val="20"/>
                <w:szCs w:val="20"/>
              </w:rPr>
            </w:pPr>
          </w:p>
        </w:tc>
        <w:tc>
          <w:tcPr>
            <w:tcW w:w="0" w:type="auto"/>
            <w:gridSpan w:val="3"/>
            <w:vAlign w:val="center"/>
            <w:hideMark/>
          </w:tcPr>
          <w:p w14:paraId="3B60672C" w14:textId="77777777" w:rsidR="00000000" w:rsidRDefault="00405D16">
            <w:pPr>
              <w:spacing w:after="100"/>
              <w:rPr>
                <w:rFonts w:eastAsia="Times New Roman"/>
                <w:sz w:val="20"/>
                <w:szCs w:val="20"/>
              </w:rPr>
            </w:pPr>
          </w:p>
        </w:tc>
        <w:tc>
          <w:tcPr>
            <w:tcW w:w="0" w:type="auto"/>
            <w:gridSpan w:val="2"/>
            <w:vAlign w:val="center"/>
            <w:hideMark/>
          </w:tcPr>
          <w:p w14:paraId="7C62C6F1" w14:textId="77777777" w:rsidR="00000000" w:rsidRDefault="00405D16">
            <w:pPr>
              <w:spacing w:after="100"/>
              <w:rPr>
                <w:rFonts w:eastAsia="Times New Roman"/>
                <w:sz w:val="20"/>
                <w:szCs w:val="20"/>
              </w:rPr>
            </w:pPr>
          </w:p>
        </w:tc>
        <w:tc>
          <w:tcPr>
            <w:tcW w:w="0" w:type="auto"/>
            <w:vAlign w:val="center"/>
            <w:hideMark/>
          </w:tcPr>
          <w:p w14:paraId="74770216" w14:textId="77777777" w:rsidR="00000000" w:rsidRDefault="00405D16">
            <w:pPr>
              <w:spacing w:after="100"/>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2968"/>
        <w:gridCol w:w="144"/>
        <w:gridCol w:w="144"/>
        <w:gridCol w:w="144"/>
        <w:gridCol w:w="144"/>
        <w:gridCol w:w="144"/>
        <w:gridCol w:w="503"/>
        <w:gridCol w:w="144"/>
        <w:gridCol w:w="144"/>
        <w:gridCol w:w="144"/>
        <w:gridCol w:w="144"/>
        <w:gridCol w:w="144"/>
        <w:gridCol w:w="503"/>
        <w:gridCol w:w="144"/>
        <w:gridCol w:w="144"/>
        <w:gridCol w:w="144"/>
        <w:gridCol w:w="144"/>
        <w:gridCol w:w="144"/>
        <w:gridCol w:w="503"/>
        <w:gridCol w:w="144"/>
        <w:gridCol w:w="144"/>
        <w:gridCol w:w="144"/>
        <w:gridCol w:w="144"/>
        <w:gridCol w:w="144"/>
        <w:gridCol w:w="503"/>
        <w:gridCol w:w="144"/>
        <w:gridCol w:w="144"/>
        <w:gridCol w:w="144"/>
        <w:gridCol w:w="144"/>
        <w:gridCol w:w="144"/>
        <w:gridCol w:w="503"/>
        <w:gridCol w:w="144"/>
        <w:gridCol w:w="144"/>
        <w:gridCol w:w="144"/>
        <w:gridCol w:w="144"/>
        <w:gridCol w:w="144"/>
        <w:gridCol w:w="503"/>
        <w:gridCol w:w="144"/>
        <w:gridCol w:w="144"/>
        <w:gridCol w:w="144"/>
        <w:gridCol w:w="144"/>
        <w:gridCol w:w="144"/>
        <w:gridCol w:w="503"/>
        <w:gridCol w:w="144"/>
        <w:gridCol w:w="144"/>
        <w:gridCol w:w="144"/>
        <w:gridCol w:w="144"/>
        <w:gridCol w:w="144"/>
        <w:gridCol w:w="503"/>
        <w:gridCol w:w="144"/>
        <w:gridCol w:w="160"/>
        <w:gridCol w:w="160"/>
        <w:gridCol w:w="160"/>
        <w:gridCol w:w="480"/>
        <w:gridCol w:w="480"/>
        <w:gridCol w:w="480"/>
        <w:gridCol w:w="480"/>
        <w:gridCol w:w="480"/>
        <w:gridCol w:w="480"/>
        <w:gridCol w:w="480"/>
        <w:gridCol w:w="480"/>
        <w:gridCol w:w="480"/>
      </w:tblGrid>
      <w:tr w:rsidR="00000000" w14:paraId="59404C0C" w14:textId="77777777">
        <w:tc>
          <w:tcPr>
            <w:tcW w:w="50" w:type="pct"/>
            <w:vAlign w:val="center"/>
            <w:hideMark/>
          </w:tcPr>
          <w:p w14:paraId="2383A855" w14:textId="77777777" w:rsidR="00000000" w:rsidRDefault="00405D16">
            <w:pPr>
              <w:rPr>
                <w:rFonts w:eastAsia="Times New Roman"/>
              </w:rPr>
            </w:pPr>
          </w:p>
        </w:tc>
        <w:tc>
          <w:tcPr>
            <w:tcW w:w="1787" w:type="pct"/>
            <w:vAlign w:val="center"/>
            <w:hideMark/>
          </w:tcPr>
          <w:p w14:paraId="0CDD87DE" w14:textId="77777777" w:rsidR="00000000" w:rsidRDefault="00405D16">
            <w:pPr>
              <w:spacing w:after="100"/>
              <w:rPr>
                <w:rFonts w:eastAsia="Times New Roman"/>
                <w:sz w:val="20"/>
                <w:szCs w:val="20"/>
              </w:rPr>
            </w:pPr>
          </w:p>
        </w:tc>
        <w:tc>
          <w:tcPr>
            <w:tcW w:w="5" w:type="pct"/>
            <w:vAlign w:val="center"/>
            <w:hideMark/>
          </w:tcPr>
          <w:p w14:paraId="29B211F6" w14:textId="77777777" w:rsidR="00000000" w:rsidRDefault="00405D16">
            <w:pPr>
              <w:spacing w:after="100"/>
              <w:rPr>
                <w:rFonts w:eastAsia="Times New Roman"/>
                <w:sz w:val="20"/>
                <w:szCs w:val="20"/>
              </w:rPr>
            </w:pPr>
          </w:p>
        </w:tc>
        <w:tc>
          <w:tcPr>
            <w:tcW w:w="5" w:type="pct"/>
            <w:vAlign w:val="center"/>
            <w:hideMark/>
          </w:tcPr>
          <w:p w14:paraId="2F67DAB1" w14:textId="77777777" w:rsidR="00000000" w:rsidRDefault="00405D16">
            <w:pPr>
              <w:spacing w:after="100"/>
              <w:rPr>
                <w:rFonts w:eastAsia="Times New Roman"/>
                <w:sz w:val="20"/>
                <w:szCs w:val="20"/>
              </w:rPr>
            </w:pPr>
          </w:p>
        </w:tc>
        <w:tc>
          <w:tcPr>
            <w:tcW w:w="26" w:type="pct"/>
            <w:vAlign w:val="center"/>
            <w:hideMark/>
          </w:tcPr>
          <w:p w14:paraId="3E3D875A" w14:textId="77777777" w:rsidR="00000000" w:rsidRDefault="00405D16">
            <w:pPr>
              <w:spacing w:after="100"/>
              <w:rPr>
                <w:rFonts w:eastAsia="Times New Roman"/>
                <w:sz w:val="20"/>
                <w:szCs w:val="20"/>
              </w:rPr>
            </w:pPr>
          </w:p>
        </w:tc>
        <w:tc>
          <w:tcPr>
            <w:tcW w:w="5" w:type="pct"/>
            <w:vAlign w:val="center"/>
            <w:hideMark/>
          </w:tcPr>
          <w:p w14:paraId="597E535F" w14:textId="77777777" w:rsidR="00000000" w:rsidRDefault="00405D16">
            <w:pPr>
              <w:spacing w:after="100"/>
              <w:rPr>
                <w:rFonts w:eastAsia="Times New Roman"/>
                <w:sz w:val="20"/>
                <w:szCs w:val="20"/>
              </w:rPr>
            </w:pPr>
          </w:p>
        </w:tc>
        <w:tc>
          <w:tcPr>
            <w:tcW w:w="50" w:type="pct"/>
            <w:vAlign w:val="center"/>
            <w:hideMark/>
          </w:tcPr>
          <w:p w14:paraId="5E514EE2" w14:textId="77777777" w:rsidR="00000000" w:rsidRDefault="00405D16">
            <w:pPr>
              <w:spacing w:after="100"/>
              <w:rPr>
                <w:rFonts w:eastAsia="Times New Roman"/>
                <w:sz w:val="20"/>
                <w:szCs w:val="20"/>
              </w:rPr>
            </w:pPr>
          </w:p>
        </w:tc>
        <w:tc>
          <w:tcPr>
            <w:tcW w:w="303" w:type="pct"/>
            <w:vAlign w:val="center"/>
            <w:hideMark/>
          </w:tcPr>
          <w:p w14:paraId="704C191A" w14:textId="77777777" w:rsidR="00000000" w:rsidRDefault="00405D16">
            <w:pPr>
              <w:spacing w:after="100"/>
              <w:rPr>
                <w:rFonts w:eastAsia="Times New Roman"/>
                <w:sz w:val="20"/>
                <w:szCs w:val="20"/>
              </w:rPr>
            </w:pPr>
          </w:p>
        </w:tc>
        <w:tc>
          <w:tcPr>
            <w:tcW w:w="5" w:type="pct"/>
            <w:vAlign w:val="center"/>
            <w:hideMark/>
          </w:tcPr>
          <w:p w14:paraId="326BF4F4" w14:textId="77777777" w:rsidR="00000000" w:rsidRDefault="00405D16">
            <w:pPr>
              <w:spacing w:after="100"/>
              <w:rPr>
                <w:rFonts w:eastAsia="Times New Roman"/>
                <w:sz w:val="20"/>
                <w:szCs w:val="20"/>
              </w:rPr>
            </w:pPr>
          </w:p>
        </w:tc>
        <w:tc>
          <w:tcPr>
            <w:tcW w:w="5" w:type="pct"/>
            <w:vAlign w:val="center"/>
            <w:hideMark/>
          </w:tcPr>
          <w:p w14:paraId="72A10DE1" w14:textId="77777777" w:rsidR="00000000" w:rsidRDefault="00405D16">
            <w:pPr>
              <w:spacing w:after="100"/>
              <w:rPr>
                <w:rFonts w:eastAsia="Times New Roman"/>
                <w:sz w:val="20"/>
                <w:szCs w:val="20"/>
              </w:rPr>
            </w:pPr>
          </w:p>
        </w:tc>
        <w:tc>
          <w:tcPr>
            <w:tcW w:w="26" w:type="pct"/>
            <w:vAlign w:val="center"/>
            <w:hideMark/>
          </w:tcPr>
          <w:p w14:paraId="279E5764" w14:textId="77777777" w:rsidR="00000000" w:rsidRDefault="00405D16">
            <w:pPr>
              <w:spacing w:after="100"/>
              <w:rPr>
                <w:rFonts w:eastAsia="Times New Roman"/>
                <w:sz w:val="20"/>
                <w:szCs w:val="20"/>
              </w:rPr>
            </w:pPr>
          </w:p>
        </w:tc>
        <w:tc>
          <w:tcPr>
            <w:tcW w:w="5" w:type="pct"/>
            <w:vAlign w:val="center"/>
            <w:hideMark/>
          </w:tcPr>
          <w:p w14:paraId="008B6B7A" w14:textId="77777777" w:rsidR="00000000" w:rsidRDefault="00405D16">
            <w:pPr>
              <w:spacing w:after="100"/>
              <w:rPr>
                <w:rFonts w:eastAsia="Times New Roman"/>
                <w:sz w:val="20"/>
                <w:szCs w:val="20"/>
              </w:rPr>
            </w:pPr>
          </w:p>
        </w:tc>
        <w:tc>
          <w:tcPr>
            <w:tcW w:w="50" w:type="pct"/>
            <w:vAlign w:val="center"/>
            <w:hideMark/>
          </w:tcPr>
          <w:p w14:paraId="7FA6DA1E" w14:textId="77777777" w:rsidR="00000000" w:rsidRDefault="00405D16">
            <w:pPr>
              <w:spacing w:after="100"/>
              <w:rPr>
                <w:rFonts w:eastAsia="Times New Roman"/>
                <w:sz w:val="20"/>
                <w:szCs w:val="20"/>
              </w:rPr>
            </w:pPr>
          </w:p>
        </w:tc>
        <w:tc>
          <w:tcPr>
            <w:tcW w:w="303" w:type="pct"/>
            <w:vAlign w:val="center"/>
            <w:hideMark/>
          </w:tcPr>
          <w:p w14:paraId="3F0AB6F2" w14:textId="77777777" w:rsidR="00000000" w:rsidRDefault="00405D16">
            <w:pPr>
              <w:spacing w:after="100"/>
              <w:rPr>
                <w:rFonts w:eastAsia="Times New Roman"/>
                <w:sz w:val="20"/>
                <w:szCs w:val="20"/>
              </w:rPr>
            </w:pPr>
          </w:p>
        </w:tc>
        <w:tc>
          <w:tcPr>
            <w:tcW w:w="5" w:type="pct"/>
            <w:vAlign w:val="center"/>
            <w:hideMark/>
          </w:tcPr>
          <w:p w14:paraId="191945A5" w14:textId="77777777" w:rsidR="00000000" w:rsidRDefault="00405D16">
            <w:pPr>
              <w:spacing w:after="100"/>
              <w:rPr>
                <w:rFonts w:eastAsia="Times New Roman"/>
                <w:sz w:val="20"/>
                <w:szCs w:val="20"/>
              </w:rPr>
            </w:pPr>
          </w:p>
        </w:tc>
        <w:tc>
          <w:tcPr>
            <w:tcW w:w="5" w:type="pct"/>
            <w:vAlign w:val="center"/>
            <w:hideMark/>
          </w:tcPr>
          <w:p w14:paraId="79919BB6" w14:textId="77777777" w:rsidR="00000000" w:rsidRDefault="00405D16">
            <w:pPr>
              <w:spacing w:after="100"/>
              <w:rPr>
                <w:rFonts w:eastAsia="Times New Roman"/>
                <w:sz w:val="20"/>
                <w:szCs w:val="20"/>
              </w:rPr>
            </w:pPr>
          </w:p>
        </w:tc>
        <w:tc>
          <w:tcPr>
            <w:tcW w:w="26" w:type="pct"/>
            <w:vAlign w:val="center"/>
            <w:hideMark/>
          </w:tcPr>
          <w:p w14:paraId="620F8DFA" w14:textId="77777777" w:rsidR="00000000" w:rsidRDefault="00405D16">
            <w:pPr>
              <w:spacing w:after="100"/>
              <w:rPr>
                <w:rFonts w:eastAsia="Times New Roman"/>
                <w:sz w:val="20"/>
                <w:szCs w:val="20"/>
              </w:rPr>
            </w:pPr>
          </w:p>
        </w:tc>
        <w:tc>
          <w:tcPr>
            <w:tcW w:w="5" w:type="pct"/>
            <w:vAlign w:val="center"/>
            <w:hideMark/>
          </w:tcPr>
          <w:p w14:paraId="09C68937" w14:textId="77777777" w:rsidR="00000000" w:rsidRDefault="00405D16">
            <w:pPr>
              <w:spacing w:after="100"/>
              <w:rPr>
                <w:rFonts w:eastAsia="Times New Roman"/>
                <w:sz w:val="20"/>
                <w:szCs w:val="20"/>
              </w:rPr>
            </w:pPr>
          </w:p>
        </w:tc>
        <w:tc>
          <w:tcPr>
            <w:tcW w:w="50" w:type="pct"/>
            <w:vAlign w:val="center"/>
            <w:hideMark/>
          </w:tcPr>
          <w:p w14:paraId="208AAAD8" w14:textId="77777777" w:rsidR="00000000" w:rsidRDefault="00405D16">
            <w:pPr>
              <w:spacing w:after="100"/>
              <w:rPr>
                <w:rFonts w:eastAsia="Times New Roman"/>
                <w:sz w:val="20"/>
                <w:szCs w:val="20"/>
              </w:rPr>
            </w:pPr>
          </w:p>
        </w:tc>
        <w:tc>
          <w:tcPr>
            <w:tcW w:w="303" w:type="pct"/>
            <w:vAlign w:val="center"/>
            <w:hideMark/>
          </w:tcPr>
          <w:p w14:paraId="02C8EC3A" w14:textId="77777777" w:rsidR="00000000" w:rsidRDefault="00405D16">
            <w:pPr>
              <w:spacing w:after="100"/>
              <w:rPr>
                <w:rFonts w:eastAsia="Times New Roman"/>
                <w:sz w:val="20"/>
                <w:szCs w:val="20"/>
              </w:rPr>
            </w:pPr>
          </w:p>
        </w:tc>
        <w:tc>
          <w:tcPr>
            <w:tcW w:w="5" w:type="pct"/>
            <w:vAlign w:val="center"/>
            <w:hideMark/>
          </w:tcPr>
          <w:p w14:paraId="711B12AF" w14:textId="77777777" w:rsidR="00000000" w:rsidRDefault="00405D16">
            <w:pPr>
              <w:spacing w:after="100"/>
              <w:rPr>
                <w:rFonts w:eastAsia="Times New Roman"/>
                <w:sz w:val="20"/>
                <w:szCs w:val="20"/>
              </w:rPr>
            </w:pPr>
          </w:p>
        </w:tc>
        <w:tc>
          <w:tcPr>
            <w:tcW w:w="5" w:type="pct"/>
            <w:vAlign w:val="center"/>
            <w:hideMark/>
          </w:tcPr>
          <w:p w14:paraId="36A8A476" w14:textId="77777777" w:rsidR="00000000" w:rsidRDefault="00405D16">
            <w:pPr>
              <w:spacing w:after="100"/>
              <w:rPr>
                <w:rFonts w:eastAsia="Times New Roman"/>
                <w:sz w:val="20"/>
                <w:szCs w:val="20"/>
              </w:rPr>
            </w:pPr>
          </w:p>
        </w:tc>
        <w:tc>
          <w:tcPr>
            <w:tcW w:w="26" w:type="pct"/>
            <w:vAlign w:val="center"/>
            <w:hideMark/>
          </w:tcPr>
          <w:p w14:paraId="7EBA0806" w14:textId="77777777" w:rsidR="00000000" w:rsidRDefault="00405D16">
            <w:pPr>
              <w:spacing w:after="100"/>
              <w:rPr>
                <w:rFonts w:eastAsia="Times New Roman"/>
                <w:sz w:val="20"/>
                <w:szCs w:val="20"/>
              </w:rPr>
            </w:pPr>
          </w:p>
        </w:tc>
        <w:tc>
          <w:tcPr>
            <w:tcW w:w="5" w:type="pct"/>
            <w:vAlign w:val="center"/>
            <w:hideMark/>
          </w:tcPr>
          <w:p w14:paraId="41D2C11F" w14:textId="77777777" w:rsidR="00000000" w:rsidRDefault="00405D16">
            <w:pPr>
              <w:spacing w:after="100"/>
              <w:rPr>
                <w:rFonts w:eastAsia="Times New Roman"/>
                <w:sz w:val="20"/>
                <w:szCs w:val="20"/>
              </w:rPr>
            </w:pPr>
          </w:p>
        </w:tc>
        <w:tc>
          <w:tcPr>
            <w:tcW w:w="50" w:type="pct"/>
            <w:vAlign w:val="center"/>
            <w:hideMark/>
          </w:tcPr>
          <w:p w14:paraId="4D478E50" w14:textId="77777777" w:rsidR="00000000" w:rsidRDefault="00405D16">
            <w:pPr>
              <w:spacing w:after="100"/>
              <w:rPr>
                <w:rFonts w:eastAsia="Times New Roman"/>
                <w:sz w:val="20"/>
                <w:szCs w:val="20"/>
              </w:rPr>
            </w:pPr>
          </w:p>
        </w:tc>
        <w:tc>
          <w:tcPr>
            <w:tcW w:w="303" w:type="pct"/>
            <w:vAlign w:val="center"/>
            <w:hideMark/>
          </w:tcPr>
          <w:p w14:paraId="4D2B7AEA" w14:textId="77777777" w:rsidR="00000000" w:rsidRDefault="00405D16">
            <w:pPr>
              <w:spacing w:after="100"/>
              <w:rPr>
                <w:rFonts w:eastAsia="Times New Roman"/>
                <w:sz w:val="20"/>
                <w:szCs w:val="20"/>
              </w:rPr>
            </w:pPr>
          </w:p>
        </w:tc>
        <w:tc>
          <w:tcPr>
            <w:tcW w:w="5" w:type="pct"/>
            <w:vAlign w:val="center"/>
            <w:hideMark/>
          </w:tcPr>
          <w:p w14:paraId="18173369" w14:textId="77777777" w:rsidR="00000000" w:rsidRDefault="00405D16">
            <w:pPr>
              <w:spacing w:after="100"/>
              <w:rPr>
                <w:rFonts w:eastAsia="Times New Roman"/>
                <w:sz w:val="20"/>
                <w:szCs w:val="20"/>
              </w:rPr>
            </w:pPr>
          </w:p>
        </w:tc>
        <w:tc>
          <w:tcPr>
            <w:tcW w:w="5" w:type="pct"/>
            <w:vAlign w:val="center"/>
            <w:hideMark/>
          </w:tcPr>
          <w:p w14:paraId="4D1BF2CC" w14:textId="77777777" w:rsidR="00000000" w:rsidRDefault="00405D16">
            <w:pPr>
              <w:spacing w:after="100"/>
              <w:rPr>
                <w:rFonts w:eastAsia="Times New Roman"/>
                <w:sz w:val="20"/>
                <w:szCs w:val="20"/>
              </w:rPr>
            </w:pPr>
          </w:p>
        </w:tc>
        <w:tc>
          <w:tcPr>
            <w:tcW w:w="26" w:type="pct"/>
            <w:vAlign w:val="center"/>
            <w:hideMark/>
          </w:tcPr>
          <w:p w14:paraId="443E6A07" w14:textId="77777777" w:rsidR="00000000" w:rsidRDefault="00405D16">
            <w:pPr>
              <w:spacing w:after="100"/>
              <w:rPr>
                <w:rFonts w:eastAsia="Times New Roman"/>
                <w:sz w:val="20"/>
                <w:szCs w:val="20"/>
              </w:rPr>
            </w:pPr>
          </w:p>
        </w:tc>
        <w:tc>
          <w:tcPr>
            <w:tcW w:w="5" w:type="pct"/>
            <w:vAlign w:val="center"/>
            <w:hideMark/>
          </w:tcPr>
          <w:p w14:paraId="29767A4B" w14:textId="77777777" w:rsidR="00000000" w:rsidRDefault="00405D16">
            <w:pPr>
              <w:spacing w:after="100"/>
              <w:rPr>
                <w:rFonts w:eastAsia="Times New Roman"/>
                <w:sz w:val="20"/>
                <w:szCs w:val="20"/>
              </w:rPr>
            </w:pPr>
          </w:p>
        </w:tc>
        <w:tc>
          <w:tcPr>
            <w:tcW w:w="50" w:type="pct"/>
            <w:vAlign w:val="center"/>
            <w:hideMark/>
          </w:tcPr>
          <w:p w14:paraId="413E4A5D" w14:textId="77777777" w:rsidR="00000000" w:rsidRDefault="00405D16">
            <w:pPr>
              <w:spacing w:after="100"/>
              <w:rPr>
                <w:rFonts w:eastAsia="Times New Roman"/>
                <w:sz w:val="20"/>
                <w:szCs w:val="20"/>
              </w:rPr>
            </w:pPr>
          </w:p>
        </w:tc>
        <w:tc>
          <w:tcPr>
            <w:tcW w:w="303" w:type="pct"/>
            <w:vAlign w:val="center"/>
            <w:hideMark/>
          </w:tcPr>
          <w:p w14:paraId="0DB7B7B1" w14:textId="77777777" w:rsidR="00000000" w:rsidRDefault="00405D16">
            <w:pPr>
              <w:spacing w:after="100"/>
              <w:rPr>
                <w:rFonts w:eastAsia="Times New Roman"/>
                <w:sz w:val="20"/>
                <w:szCs w:val="20"/>
              </w:rPr>
            </w:pPr>
          </w:p>
        </w:tc>
        <w:tc>
          <w:tcPr>
            <w:tcW w:w="5" w:type="pct"/>
            <w:vAlign w:val="center"/>
            <w:hideMark/>
          </w:tcPr>
          <w:p w14:paraId="5C0EB5F9" w14:textId="77777777" w:rsidR="00000000" w:rsidRDefault="00405D16">
            <w:pPr>
              <w:spacing w:after="100"/>
              <w:rPr>
                <w:rFonts w:eastAsia="Times New Roman"/>
                <w:sz w:val="20"/>
                <w:szCs w:val="20"/>
              </w:rPr>
            </w:pPr>
          </w:p>
        </w:tc>
        <w:tc>
          <w:tcPr>
            <w:tcW w:w="5" w:type="pct"/>
            <w:vAlign w:val="center"/>
            <w:hideMark/>
          </w:tcPr>
          <w:p w14:paraId="3B6805E5" w14:textId="77777777" w:rsidR="00000000" w:rsidRDefault="00405D16">
            <w:pPr>
              <w:spacing w:after="100"/>
              <w:rPr>
                <w:rFonts w:eastAsia="Times New Roman"/>
                <w:sz w:val="20"/>
                <w:szCs w:val="20"/>
              </w:rPr>
            </w:pPr>
          </w:p>
        </w:tc>
        <w:tc>
          <w:tcPr>
            <w:tcW w:w="26" w:type="pct"/>
            <w:vAlign w:val="center"/>
            <w:hideMark/>
          </w:tcPr>
          <w:p w14:paraId="20B7065F" w14:textId="77777777" w:rsidR="00000000" w:rsidRDefault="00405D16">
            <w:pPr>
              <w:spacing w:after="100"/>
              <w:rPr>
                <w:rFonts w:eastAsia="Times New Roman"/>
                <w:sz w:val="20"/>
                <w:szCs w:val="20"/>
              </w:rPr>
            </w:pPr>
          </w:p>
        </w:tc>
        <w:tc>
          <w:tcPr>
            <w:tcW w:w="5" w:type="pct"/>
            <w:vAlign w:val="center"/>
            <w:hideMark/>
          </w:tcPr>
          <w:p w14:paraId="287C3EBC" w14:textId="77777777" w:rsidR="00000000" w:rsidRDefault="00405D16">
            <w:pPr>
              <w:spacing w:after="100"/>
              <w:rPr>
                <w:rFonts w:eastAsia="Times New Roman"/>
                <w:sz w:val="20"/>
                <w:szCs w:val="20"/>
              </w:rPr>
            </w:pPr>
          </w:p>
        </w:tc>
        <w:tc>
          <w:tcPr>
            <w:tcW w:w="50" w:type="pct"/>
            <w:vAlign w:val="center"/>
            <w:hideMark/>
          </w:tcPr>
          <w:p w14:paraId="417F6C11" w14:textId="77777777" w:rsidR="00000000" w:rsidRDefault="00405D16">
            <w:pPr>
              <w:spacing w:after="100"/>
              <w:rPr>
                <w:rFonts w:eastAsia="Times New Roman"/>
                <w:sz w:val="20"/>
                <w:szCs w:val="20"/>
              </w:rPr>
            </w:pPr>
          </w:p>
        </w:tc>
        <w:tc>
          <w:tcPr>
            <w:tcW w:w="303" w:type="pct"/>
            <w:vAlign w:val="center"/>
            <w:hideMark/>
          </w:tcPr>
          <w:p w14:paraId="5061A3BD" w14:textId="77777777" w:rsidR="00000000" w:rsidRDefault="00405D16">
            <w:pPr>
              <w:spacing w:after="100"/>
              <w:rPr>
                <w:rFonts w:eastAsia="Times New Roman"/>
                <w:sz w:val="20"/>
                <w:szCs w:val="20"/>
              </w:rPr>
            </w:pPr>
          </w:p>
        </w:tc>
        <w:tc>
          <w:tcPr>
            <w:tcW w:w="5" w:type="pct"/>
            <w:vAlign w:val="center"/>
            <w:hideMark/>
          </w:tcPr>
          <w:p w14:paraId="4CD36226" w14:textId="77777777" w:rsidR="00000000" w:rsidRDefault="00405D16">
            <w:pPr>
              <w:spacing w:after="100"/>
              <w:rPr>
                <w:rFonts w:eastAsia="Times New Roman"/>
                <w:sz w:val="20"/>
                <w:szCs w:val="20"/>
              </w:rPr>
            </w:pPr>
          </w:p>
        </w:tc>
        <w:tc>
          <w:tcPr>
            <w:tcW w:w="5" w:type="pct"/>
            <w:vAlign w:val="center"/>
            <w:hideMark/>
          </w:tcPr>
          <w:p w14:paraId="6469397F" w14:textId="77777777" w:rsidR="00000000" w:rsidRDefault="00405D16">
            <w:pPr>
              <w:spacing w:after="100"/>
              <w:rPr>
                <w:rFonts w:eastAsia="Times New Roman"/>
                <w:sz w:val="20"/>
                <w:szCs w:val="20"/>
              </w:rPr>
            </w:pPr>
          </w:p>
        </w:tc>
        <w:tc>
          <w:tcPr>
            <w:tcW w:w="26" w:type="pct"/>
            <w:vAlign w:val="center"/>
            <w:hideMark/>
          </w:tcPr>
          <w:p w14:paraId="33CFBA58" w14:textId="77777777" w:rsidR="00000000" w:rsidRDefault="00405D16">
            <w:pPr>
              <w:spacing w:after="100"/>
              <w:rPr>
                <w:rFonts w:eastAsia="Times New Roman"/>
                <w:sz w:val="20"/>
                <w:szCs w:val="20"/>
              </w:rPr>
            </w:pPr>
          </w:p>
        </w:tc>
        <w:tc>
          <w:tcPr>
            <w:tcW w:w="5" w:type="pct"/>
            <w:vAlign w:val="center"/>
            <w:hideMark/>
          </w:tcPr>
          <w:p w14:paraId="432C8973" w14:textId="77777777" w:rsidR="00000000" w:rsidRDefault="00405D16">
            <w:pPr>
              <w:spacing w:after="100"/>
              <w:rPr>
                <w:rFonts w:eastAsia="Times New Roman"/>
                <w:sz w:val="20"/>
                <w:szCs w:val="20"/>
              </w:rPr>
            </w:pPr>
          </w:p>
        </w:tc>
        <w:tc>
          <w:tcPr>
            <w:tcW w:w="50" w:type="pct"/>
            <w:vAlign w:val="center"/>
            <w:hideMark/>
          </w:tcPr>
          <w:p w14:paraId="1EA1E58F" w14:textId="77777777" w:rsidR="00000000" w:rsidRDefault="00405D16">
            <w:pPr>
              <w:spacing w:after="100"/>
              <w:rPr>
                <w:rFonts w:eastAsia="Times New Roman"/>
                <w:sz w:val="20"/>
                <w:szCs w:val="20"/>
              </w:rPr>
            </w:pPr>
          </w:p>
        </w:tc>
        <w:tc>
          <w:tcPr>
            <w:tcW w:w="303" w:type="pct"/>
            <w:vAlign w:val="center"/>
            <w:hideMark/>
          </w:tcPr>
          <w:p w14:paraId="43F05E30" w14:textId="77777777" w:rsidR="00000000" w:rsidRDefault="00405D16">
            <w:pPr>
              <w:spacing w:after="100"/>
              <w:rPr>
                <w:rFonts w:eastAsia="Times New Roman"/>
                <w:sz w:val="20"/>
                <w:szCs w:val="20"/>
              </w:rPr>
            </w:pPr>
          </w:p>
        </w:tc>
        <w:tc>
          <w:tcPr>
            <w:tcW w:w="5" w:type="pct"/>
            <w:vAlign w:val="center"/>
            <w:hideMark/>
          </w:tcPr>
          <w:p w14:paraId="775A3CF6" w14:textId="77777777" w:rsidR="00000000" w:rsidRDefault="00405D16">
            <w:pPr>
              <w:spacing w:after="100"/>
              <w:rPr>
                <w:rFonts w:eastAsia="Times New Roman"/>
                <w:sz w:val="20"/>
                <w:szCs w:val="20"/>
              </w:rPr>
            </w:pPr>
          </w:p>
        </w:tc>
        <w:tc>
          <w:tcPr>
            <w:tcW w:w="5" w:type="pct"/>
            <w:vAlign w:val="center"/>
            <w:hideMark/>
          </w:tcPr>
          <w:p w14:paraId="5BE1AE4A" w14:textId="77777777" w:rsidR="00000000" w:rsidRDefault="00405D16">
            <w:pPr>
              <w:spacing w:after="100"/>
              <w:rPr>
                <w:rFonts w:eastAsia="Times New Roman"/>
                <w:sz w:val="20"/>
                <w:szCs w:val="20"/>
              </w:rPr>
            </w:pPr>
          </w:p>
        </w:tc>
        <w:tc>
          <w:tcPr>
            <w:tcW w:w="26" w:type="pct"/>
            <w:vAlign w:val="center"/>
            <w:hideMark/>
          </w:tcPr>
          <w:p w14:paraId="7BE82FB6" w14:textId="77777777" w:rsidR="00000000" w:rsidRDefault="00405D16">
            <w:pPr>
              <w:spacing w:after="100"/>
              <w:rPr>
                <w:rFonts w:eastAsia="Times New Roman"/>
                <w:sz w:val="20"/>
                <w:szCs w:val="20"/>
              </w:rPr>
            </w:pPr>
          </w:p>
        </w:tc>
        <w:tc>
          <w:tcPr>
            <w:tcW w:w="5" w:type="pct"/>
            <w:vAlign w:val="center"/>
            <w:hideMark/>
          </w:tcPr>
          <w:p w14:paraId="157B495D" w14:textId="77777777" w:rsidR="00000000" w:rsidRDefault="00405D16">
            <w:pPr>
              <w:spacing w:after="100"/>
              <w:rPr>
                <w:rFonts w:eastAsia="Times New Roman"/>
                <w:sz w:val="20"/>
                <w:szCs w:val="20"/>
              </w:rPr>
            </w:pPr>
          </w:p>
        </w:tc>
        <w:tc>
          <w:tcPr>
            <w:tcW w:w="50" w:type="pct"/>
            <w:vAlign w:val="center"/>
            <w:hideMark/>
          </w:tcPr>
          <w:p w14:paraId="35BA2C28" w14:textId="77777777" w:rsidR="00000000" w:rsidRDefault="00405D16">
            <w:pPr>
              <w:spacing w:after="100"/>
              <w:rPr>
                <w:rFonts w:eastAsia="Times New Roman"/>
                <w:sz w:val="20"/>
                <w:szCs w:val="20"/>
              </w:rPr>
            </w:pPr>
          </w:p>
        </w:tc>
        <w:tc>
          <w:tcPr>
            <w:tcW w:w="303" w:type="pct"/>
            <w:vAlign w:val="center"/>
            <w:hideMark/>
          </w:tcPr>
          <w:p w14:paraId="423CDD49" w14:textId="77777777" w:rsidR="00000000" w:rsidRDefault="00405D16">
            <w:pPr>
              <w:spacing w:after="100"/>
              <w:rPr>
                <w:rFonts w:eastAsia="Times New Roman"/>
                <w:sz w:val="20"/>
                <w:szCs w:val="20"/>
              </w:rPr>
            </w:pPr>
          </w:p>
        </w:tc>
        <w:tc>
          <w:tcPr>
            <w:tcW w:w="5" w:type="pct"/>
            <w:vAlign w:val="center"/>
            <w:hideMark/>
          </w:tcPr>
          <w:p w14:paraId="340222CB" w14:textId="77777777" w:rsidR="00000000" w:rsidRDefault="00405D16">
            <w:pPr>
              <w:spacing w:after="100"/>
              <w:rPr>
                <w:rFonts w:eastAsia="Times New Roman"/>
                <w:sz w:val="20"/>
                <w:szCs w:val="20"/>
              </w:rPr>
            </w:pPr>
          </w:p>
        </w:tc>
        <w:tc>
          <w:tcPr>
            <w:tcW w:w="0" w:type="auto"/>
            <w:gridSpan w:val="3"/>
            <w:vAlign w:val="center"/>
            <w:hideMark/>
          </w:tcPr>
          <w:p w14:paraId="50FDA774" w14:textId="77777777" w:rsidR="00000000" w:rsidRDefault="00405D16">
            <w:pPr>
              <w:spacing w:after="100"/>
              <w:rPr>
                <w:rFonts w:eastAsia="Times New Roman"/>
                <w:sz w:val="20"/>
                <w:szCs w:val="20"/>
              </w:rPr>
            </w:pPr>
          </w:p>
        </w:tc>
        <w:tc>
          <w:tcPr>
            <w:tcW w:w="0" w:type="auto"/>
            <w:gridSpan w:val="3"/>
            <w:vAlign w:val="center"/>
            <w:hideMark/>
          </w:tcPr>
          <w:p w14:paraId="2E0DE196" w14:textId="77777777" w:rsidR="00000000" w:rsidRDefault="00405D16">
            <w:pPr>
              <w:spacing w:after="100"/>
              <w:rPr>
                <w:rFonts w:eastAsia="Times New Roman"/>
                <w:sz w:val="20"/>
                <w:szCs w:val="20"/>
              </w:rPr>
            </w:pPr>
          </w:p>
        </w:tc>
        <w:tc>
          <w:tcPr>
            <w:tcW w:w="0" w:type="auto"/>
            <w:gridSpan w:val="3"/>
            <w:vAlign w:val="center"/>
            <w:hideMark/>
          </w:tcPr>
          <w:p w14:paraId="6594062A" w14:textId="77777777" w:rsidR="00000000" w:rsidRDefault="00405D16">
            <w:pPr>
              <w:spacing w:after="100"/>
              <w:rPr>
                <w:rFonts w:eastAsia="Times New Roman"/>
                <w:sz w:val="20"/>
                <w:szCs w:val="20"/>
              </w:rPr>
            </w:pPr>
          </w:p>
        </w:tc>
        <w:tc>
          <w:tcPr>
            <w:tcW w:w="0" w:type="auto"/>
            <w:gridSpan w:val="2"/>
            <w:vAlign w:val="center"/>
            <w:hideMark/>
          </w:tcPr>
          <w:p w14:paraId="7ABD6ED1" w14:textId="77777777" w:rsidR="00000000" w:rsidRDefault="00405D16">
            <w:pPr>
              <w:spacing w:after="100"/>
              <w:rPr>
                <w:rFonts w:eastAsia="Times New Roman"/>
                <w:sz w:val="20"/>
                <w:szCs w:val="20"/>
              </w:rPr>
            </w:pPr>
          </w:p>
        </w:tc>
        <w:tc>
          <w:tcPr>
            <w:tcW w:w="0" w:type="auto"/>
            <w:vAlign w:val="center"/>
            <w:hideMark/>
          </w:tcPr>
          <w:p w14:paraId="505147E7" w14:textId="77777777" w:rsidR="00000000" w:rsidRDefault="00405D16">
            <w:pPr>
              <w:spacing w:after="100"/>
              <w:rPr>
                <w:rFonts w:eastAsia="Times New Roman"/>
                <w:sz w:val="20"/>
                <w:szCs w:val="20"/>
              </w:rPr>
            </w:pPr>
          </w:p>
        </w:tc>
      </w:tr>
      <w:tr w:rsidR="00000000" w14:paraId="2128861C" w14:textId="77777777">
        <w:tc>
          <w:tcPr>
            <w:tcW w:w="0" w:type="auto"/>
            <w:gridSpan w:val="3"/>
            <w:tcMar>
              <w:top w:w="30" w:type="dxa"/>
              <w:left w:w="20" w:type="dxa"/>
              <w:bottom w:w="30" w:type="dxa"/>
              <w:right w:w="20" w:type="dxa"/>
            </w:tcMar>
            <w:vAlign w:val="bottom"/>
            <w:hideMark/>
          </w:tcPr>
          <w:p w14:paraId="12B24E1D" w14:textId="77777777" w:rsidR="00000000" w:rsidRDefault="00405D16">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5D6B7BA3" w14:textId="77777777" w:rsidR="00000000" w:rsidRDefault="00405D16">
            <w:pPr>
              <w:spacing w:after="100"/>
              <w:rPr>
                <w:rFonts w:eastAsia="Times New Roman"/>
              </w:rPr>
            </w:pPr>
          </w:p>
        </w:tc>
        <w:tc>
          <w:tcPr>
            <w:tcW w:w="0" w:type="auto"/>
            <w:gridSpan w:val="45"/>
            <w:tcBorders>
              <w:bottom w:val="single" w:sz="8" w:space="0" w:color="000000"/>
            </w:tcBorders>
            <w:tcMar>
              <w:top w:w="30" w:type="dxa"/>
              <w:left w:w="20" w:type="dxa"/>
              <w:bottom w:w="30" w:type="dxa"/>
              <w:right w:w="20" w:type="dxa"/>
            </w:tcMar>
            <w:vAlign w:val="bottom"/>
            <w:hideMark/>
          </w:tcPr>
          <w:p w14:paraId="7F72F287" w14:textId="77777777" w:rsidR="00000000" w:rsidRDefault="00405D16">
            <w:pPr>
              <w:spacing w:after="100"/>
              <w:jc w:val="center"/>
              <w:rPr>
                <w:rFonts w:eastAsia="Times New Roman"/>
              </w:rPr>
            </w:pPr>
            <w:r>
              <w:rPr>
                <w:rFonts w:eastAsia="Times New Roman"/>
                <w:b/>
                <w:bCs/>
                <w:color w:val="000000"/>
                <w:sz w:val="16"/>
                <w:szCs w:val="16"/>
              </w:rPr>
              <w:t>Three Months Ended September 30,</w:t>
            </w:r>
          </w:p>
        </w:tc>
        <w:tc>
          <w:tcPr>
            <w:tcW w:w="0" w:type="auto"/>
            <w:vAlign w:val="center"/>
            <w:hideMark/>
          </w:tcPr>
          <w:p w14:paraId="77CF2ED5" w14:textId="77777777" w:rsidR="00000000" w:rsidRDefault="00405D16">
            <w:pPr>
              <w:spacing w:after="100"/>
              <w:rPr>
                <w:rFonts w:eastAsia="Times New Roman"/>
                <w:sz w:val="20"/>
                <w:szCs w:val="20"/>
              </w:rPr>
            </w:pPr>
          </w:p>
        </w:tc>
        <w:tc>
          <w:tcPr>
            <w:tcW w:w="0" w:type="auto"/>
            <w:vAlign w:val="center"/>
            <w:hideMark/>
          </w:tcPr>
          <w:p w14:paraId="6244A314" w14:textId="77777777" w:rsidR="00000000" w:rsidRDefault="00405D16">
            <w:pPr>
              <w:spacing w:after="100"/>
              <w:rPr>
                <w:rFonts w:eastAsia="Times New Roman"/>
                <w:sz w:val="20"/>
                <w:szCs w:val="20"/>
              </w:rPr>
            </w:pPr>
          </w:p>
        </w:tc>
        <w:tc>
          <w:tcPr>
            <w:tcW w:w="0" w:type="auto"/>
            <w:vAlign w:val="center"/>
            <w:hideMark/>
          </w:tcPr>
          <w:p w14:paraId="7E312049" w14:textId="77777777" w:rsidR="00000000" w:rsidRDefault="00405D16">
            <w:pPr>
              <w:spacing w:after="100"/>
              <w:rPr>
                <w:rFonts w:eastAsia="Times New Roman"/>
                <w:sz w:val="20"/>
                <w:szCs w:val="20"/>
              </w:rPr>
            </w:pPr>
          </w:p>
        </w:tc>
        <w:tc>
          <w:tcPr>
            <w:tcW w:w="0" w:type="auto"/>
            <w:vAlign w:val="center"/>
            <w:hideMark/>
          </w:tcPr>
          <w:p w14:paraId="3DB0918C" w14:textId="77777777" w:rsidR="00000000" w:rsidRDefault="00405D16">
            <w:pPr>
              <w:spacing w:after="100"/>
              <w:rPr>
                <w:rFonts w:eastAsia="Times New Roman"/>
                <w:sz w:val="20"/>
                <w:szCs w:val="20"/>
              </w:rPr>
            </w:pPr>
          </w:p>
        </w:tc>
        <w:tc>
          <w:tcPr>
            <w:tcW w:w="0" w:type="auto"/>
            <w:vAlign w:val="center"/>
            <w:hideMark/>
          </w:tcPr>
          <w:p w14:paraId="39CC799B" w14:textId="77777777" w:rsidR="00000000" w:rsidRDefault="00405D16">
            <w:pPr>
              <w:spacing w:after="100"/>
              <w:rPr>
                <w:rFonts w:eastAsia="Times New Roman"/>
                <w:sz w:val="20"/>
                <w:szCs w:val="20"/>
              </w:rPr>
            </w:pPr>
          </w:p>
        </w:tc>
        <w:tc>
          <w:tcPr>
            <w:tcW w:w="0" w:type="auto"/>
            <w:vAlign w:val="center"/>
            <w:hideMark/>
          </w:tcPr>
          <w:p w14:paraId="74620FAA" w14:textId="77777777" w:rsidR="00000000" w:rsidRDefault="00405D16">
            <w:pPr>
              <w:spacing w:after="100"/>
              <w:rPr>
                <w:rFonts w:eastAsia="Times New Roman"/>
                <w:sz w:val="20"/>
                <w:szCs w:val="20"/>
              </w:rPr>
            </w:pPr>
          </w:p>
        </w:tc>
        <w:tc>
          <w:tcPr>
            <w:tcW w:w="0" w:type="auto"/>
            <w:vAlign w:val="center"/>
            <w:hideMark/>
          </w:tcPr>
          <w:p w14:paraId="70FFDD39" w14:textId="77777777" w:rsidR="00000000" w:rsidRDefault="00405D16">
            <w:pPr>
              <w:spacing w:after="100"/>
              <w:rPr>
                <w:rFonts w:eastAsia="Times New Roman"/>
                <w:sz w:val="20"/>
                <w:szCs w:val="20"/>
              </w:rPr>
            </w:pPr>
          </w:p>
        </w:tc>
        <w:tc>
          <w:tcPr>
            <w:tcW w:w="0" w:type="auto"/>
            <w:vAlign w:val="center"/>
            <w:hideMark/>
          </w:tcPr>
          <w:p w14:paraId="22D6C646" w14:textId="77777777" w:rsidR="00000000" w:rsidRDefault="00405D16">
            <w:pPr>
              <w:spacing w:after="100"/>
              <w:rPr>
                <w:rFonts w:eastAsia="Times New Roman"/>
                <w:sz w:val="20"/>
                <w:szCs w:val="20"/>
              </w:rPr>
            </w:pPr>
          </w:p>
        </w:tc>
        <w:tc>
          <w:tcPr>
            <w:tcW w:w="0" w:type="auto"/>
            <w:vAlign w:val="center"/>
            <w:hideMark/>
          </w:tcPr>
          <w:p w14:paraId="24813AEE" w14:textId="77777777" w:rsidR="00000000" w:rsidRDefault="00405D16">
            <w:pPr>
              <w:spacing w:after="100"/>
              <w:rPr>
                <w:rFonts w:eastAsia="Times New Roman"/>
                <w:sz w:val="20"/>
                <w:szCs w:val="20"/>
              </w:rPr>
            </w:pPr>
          </w:p>
        </w:tc>
        <w:tc>
          <w:tcPr>
            <w:tcW w:w="0" w:type="auto"/>
            <w:vAlign w:val="center"/>
            <w:hideMark/>
          </w:tcPr>
          <w:p w14:paraId="0CBE8B97" w14:textId="77777777" w:rsidR="00000000" w:rsidRDefault="00405D16">
            <w:pPr>
              <w:spacing w:after="100"/>
              <w:rPr>
                <w:rFonts w:eastAsia="Times New Roman"/>
                <w:sz w:val="20"/>
                <w:szCs w:val="20"/>
              </w:rPr>
            </w:pPr>
          </w:p>
        </w:tc>
        <w:tc>
          <w:tcPr>
            <w:tcW w:w="0" w:type="auto"/>
            <w:vAlign w:val="center"/>
            <w:hideMark/>
          </w:tcPr>
          <w:p w14:paraId="04FDCC24" w14:textId="77777777" w:rsidR="00000000" w:rsidRDefault="00405D16">
            <w:pPr>
              <w:spacing w:after="100"/>
              <w:rPr>
                <w:rFonts w:eastAsia="Times New Roman"/>
                <w:sz w:val="20"/>
                <w:szCs w:val="20"/>
              </w:rPr>
            </w:pPr>
          </w:p>
        </w:tc>
        <w:tc>
          <w:tcPr>
            <w:tcW w:w="0" w:type="auto"/>
            <w:vAlign w:val="center"/>
            <w:hideMark/>
          </w:tcPr>
          <w:p w14:paraId="178D41F8" w14:textId="77777777" w:rsidR="00000000" w:rsidRDefault="00405D16">
            <w:pPr>
              <w:spacing w:after="100"/>
              <w:rPr>
                <w:rFonts w:eastAsia="Times New Roman"/>
                <w:sz w:val="20"/>
                <w:szCs w:val="20"/>
              </w:rPr>
            </w:pPr>
          </w:p>
        </w:tc>
      </w:tr>
      <w:tr w:rsidR="00000000" w14:paraId="42148B86" w14:textId="77777777">
        <w:tc>
          <w:tcPr>
            <w:tcW w:w="0" w:type="auto"/>
            <w:gridSpan w:val="3"/>
            <w:tcMar>
              <w:top w:w="30" w:type="dxa"/>
              <w:left w:w="20" w:type="dxa"/>
              <w:bottom w:w="30" w:type="dxa"/>
              <w:right w:w="20" w:type="dxa"/>
            </w:tcMar>
            <w:vAlign w:val="bottom"/>
            <w:hideMark/>
          </w:tcPr>
          <w:p w14:paraId="2AADB0CC" w14:textId="77777777" w:rsidR="00000000" w:rsidRDefault="00405D16">
            <w:pPr>
              <w:spacing w:after="100"/>
              <w:divId w:val="569196638"/>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646446AB" w14:textId="77777777" w:rsidR="00000000" w:rsidRDefault="00405D16">
            <w:pPr>
              <w:spacing w:after="100"/>
              <w:rPr>
                <w:rFonts w:eastAsia="Times New Roman"/>
              </w:rPr>
            </w:pPr>
          </w:p>
        </w:tc>
        <w:tc>
          <w:tcPr>
            <w:tcW w:w="0" w:type="auto"/>
            <w:gridSpan w:val="21"/>
            <w:tcBorders>
              <w:top w:val="single" w:sz="8" w:space="0" w:color="000000"/>
              <w:bottom w:val="single" w:sz="8" w:space="0" w:color="000000"/>
            </w:tcBorders>
            <w:tcMar>
              <w:top w:w="30" w:type="dxa"/>
              <w:left w:w="20" w:type="dxa"/>
              <w:bottom w:w="30" w:type="dxa"/>
              <w:right w:w="20" w:type="dxa"/>
            </w:tcMar>
            <w:vAlign w:val="bottom"/>
            <w:hideMark/>
          </w:tcPr>
          <w:p w14:paraId="75F7EFAD"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43B2ACB8" w14:textId="77777777" w:rsidR="00000000" w:rsidRDefault="00405D16">
            <w:pPr>
              <w:spacing w:after="100"/>
              <w:jc w:val="center"/>
              <w:rPr>
                <w:rFonts w:eastAsia="Times New Roman"/>
              </w:rPr>
            </w:pPr>
          </w:p>
        </w:tc>
        <w:tc>
          <w:tcPr>
            <w:tcW w:w="0" w:type="auto"/>
            <w:gridSpan w:val="21"/>
            <w:tcBorders>
              <w:top w:val="single" w:sz="8" w:space="0" w:color="000000"/>
              <w:bottom w:val="single" w:sz="8" w:space="0" w:color="000000"/>
            </w:tcBorders>
            <w:tcMar>
              <w:top w:w="30" w:type="dxa"/>
              <w:left w:w="20" w:type="dxa"/>
              <w:bottom w:w="30" w:type="dxa"/>
              <w:right w:w="20" w:type="dxa"/>
            </w:tcMar>
            <w:vAlign w:val="bottom"/>
            <w:hideMark/>
          </w:tcPr>
          <w:p w14:paraId="3898E5D6"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gridSpan w:val="3"/>
            <w:vAlign w:val="center"/>
            <w:hideMark/>
          </w:tcPr>
          <w:p w14:paraId="5CB61829" w14:textId="77777777" w:rsidR="00000000" w:rsidRDefault="00405D16">
            <w:pPr>
              <w:spacing w:after="100"/>
              <w:jc w:val="center"/>
              <w:rPr>
                <w:rFonts w:eastAsia="Times New Roman"/>
              </w:rPr>
            </w:pPr>
          </w:p>
        </w:tc>
        <w:tc>
          <w:tcPr>
            <w:tcW w:w="0" w:type="auto"/>
            <w:gridSpan w:val="3"/>
            <w:vAlign w:val="center"/>
            <w:hideMark/>
          </w:tcPr>
          <w:p w14:paraId="50C9B96E" w14:textId="77777777" w:rsidR="00000000" w:rsidRDefault="00405D16">
            <w:pPr>
              <w:spacing w:after="100"/>
              <w:rPr>
                <w:rFonts w:eastAsia="Times New Roman"/>
                <w:sz w:val="20"/>
                <w:szCs w:val="20"/>
              </w:rPr>
            </w:pPr>
          </w:p>
        </w:tc>
        <w:tc>
          <w:tcPr>
            <w:tcW w:w="0" w:type="auto"/>
            <w:vAlign w:val="center"/>
            <w:hideMark/>
          </w:tcPr>
          <w:p w14:paraId="65DB9750" w14:textId="77777777" w:rsidR="00000000" w:rsidRDefault="00405D16">
            <w:pPr>
              <w:spacing w:after="100"/>
              <w:rPr>
                <w:rFonts w:eastAsia="Times New Roman"/>
                <w:sz w:val="20"/>
                <w:szCs w:val="20"/>
              </w:rPr>
            </w:pPr>
          </w:p>
        </w:tc>
        <w:tc>
          <w:tcPr>
            <w:tcW w:w="0" w:type="auto"/>
            <w:vAlign w:val="center"/>
            <w:hideMark/>
          </w:tcPr>
          <w:p w14:paraId="3448B68C" w14:textId="77777777" w:rsidR="00000000" w:rsidRDefault="00405D16">
            <w:pPr>
              <w:spacing w:after="100"/>
              <w:rPr>
                <w:rFonts w:eastAsia="Times New Roman"/>
                <w:sz w:val="20"/>
                <w:szCs w:val="20"/>
              </w:rPr>
            </w:pPr>
          </w:p>
        </w:tc>
        <w:tc>
          <w:tcPr>
            <w:tcW w:w="0" w:type="auto"/>
            <w:vAlign w:val="center"/>
            <w:hideMark/>
          </w:tcPr>
          <w:p w14:paraId="648FF492" w14:textId="77777777" w:rsidR="00000000" w:rsidRDefault="00405D16">
            <w:pPr>
              <w:spacing w:after="100"/>
              <w:rPr>
                <w:rFonts w:eastAsia="Times New Roman"/>
                <w:sz w:val="20"/>
                <w:szCs w:val="20"/>
              </w:rPr>
            </w:pPr>
          </w:p>
        </w:tc>
        <w:tc>
          <w:tcPr>
            <w:tcW w:w="0" w:type="auto"/>
            <w:vAlign w:val="center"/>
            <w:hideMark/>
          </w:tcPr>
          <w:p w14:paraId="01A66B78" w14:textId="77777777" w:rsidR="00000000" w:rsidRDefault="00405D16">
            <w:pPr>
              <w:spacing w:after="100"/>
              <w:rPr>
                <w:rFonts w:eastAsia="Times New Roman"/>
                <w:sz w:val="20"/>
                <w:szCs w:val="20"/>
              </w:rPr>
            </w:pPr>
          </w:p>
        </w:tc>
        <w:tc>
          <w:tcPr>
            <w:tcW w:w="0" w:type="auto"/>
            <w:vAlign w:val="center"/>
            <w:hideMark/>
          </w:tcPr>
          <w:p w14:paraId="687599AE" w14:textId="77777777" w:rsidR="00000000" w:rsidRDefault="00405D16">
            <w:pPr>
              <w:spacing w:after="100"/>
              <w:rPr>
                <w:rFonts w:eastAsia="Times New Roman"/>
                <w:sz w:val="20"/>
                <w:szCs w:val="20"/>
              </w:rPr>
            </w:pPr>
          </w:p>
        </w:tc>
        <w:tc>
          <w:tcPr>
            <w:tcW w:w="0" w:type="auto"/>
            <w:vAlign w:val="center"/>
            <w:hideMark/>
          </w:tcPr>
          <w:p w14:paraId="0295A62C" w14:textId="77777777" w:rsidR="00000000" w:rsidRDefault="00405D16">
            <w:pPr>
              <w:spacing w:after="100"/>
              <w:rPr>
                <w:rFonts w:eastAsia="Times New Roman"/>
                <w:sz w:val="20"/>
                <w:szCs w:val="20"/>
              </w:rPr>
            </w:pPr>
          </w:p>
        </w:tc>
      </w:tr>
      <w:tr w:rsidR="00000000" w14:paraId="296BD6F2" w14:textId="77777777">
        <w:tc>
          <w:tcPr>
            <w:tcW w:w="0" w:type="auto"/>
            <w:gridSpan w:val="3"/>
            <w:tcMar>
              <w:top w:w="30" w:type="dxa"/>
              <w:left w:w="20" w:type="dxa"/>
              <w:bottom w:w="30" w:type="dxa"/>
              <w:right w:w="20" w:type="dxa"/>
            </w:tcMar>
            <w:vAlign w:val="bottom"/>
            <w:hideMark/>
          </w:tcPr>
          <w:p w14:paraId="29396D99" w14:textId="77777777" w:rsidR="00000000" w:rsidRDefault="00405D16">
            <w:pPr>
              <w:spacing w:after="100"/>
              <w:divId w:val="1928726531"/>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1B2E4FDD" w14:textId="77777777" w:rsidR="00000000" w:rsidRDefault="00405D16">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5ABA9D7C" w14:textId="77777777" w:rsidR="00000000" w:rsidRDefault="00405D16">
            <w:pPr>
              <w:spacing w:after="100"/>
              <w:jc w:val="center"/>
              <w:rPr>
                <w:rFonts w:eastAsia="Times New Roman"/>
              </w:rPr>
            </w:pPr>
            <w:r>
              <w:rPr>
                <w:rFonts w:eastAsia="Times New Roman"/>
                <w:b/>
                <w:bCs/>
                <w:color w:val="000000"/>
                <w:sz w:val="16"/>
                <w:szCs w:val="16"/>
              </w:rPr>
              <w:t>Total Net</w:t>
            </w:r>
            <w:r>
              <w:rPr>
                <w:rFonts w:eastAsia="Times New Roman"/>
                <w:b/>
                <w:bCs/>
                <w:color w:val="000000"/>
                <w:sz w:val="16"/>
                <w:szCs w:val="16"/>
              </w:rPr>
              <w:br/>
              <w:t>Revenue (Loss</w:t>
            </w:r>
            <w:r>
              <w:rPr>
                <w:rFonts w:eastAsia="Times New Roman"/>
                <w:b/>
                <w:bCs/>
                <w:color w:val="000000"/>
                <w:sz w:val="16"/>
                <w:szCs w:val="16"/>
              </w:rPr>
              <w:t>)</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443893D6" w14:textId="77777777" w:rsidR="00000000" w:rsidRDefault="00405D16">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498C40E6" w14:textId="77777777" w:rsidR="00000000" w:rsidRDefault="00405D16">
            <w:pPr>
              <w:spacing w:after="100"/>
              <w:jc w:val="center"/>
              <w:rPr>
                <w:rFonts w:eastAsia="Times New Roman"/>
              </w:rPr>
            </w:pPr>
            <w:r>
              <w:rPr>
                <w:rFonts w:eastAsia="Times New Roman"/>
                <w:b/>
                <w:bCs/>
                <w:color w:val="000000"/>
                <w:sz w:val="16"/>
                <w:szCs w:val="16"/>
              </w:rPr>
              <w:t>Net Income</w:t>
            </w:r>
          </w:p>
          <w:p w14:paraId="24A28E53" w14:textId="77777777" w:rsidR="00000000" w:rsidRDefault="00405D16">
            <w:pPr>
              <w:spacing w:after="100"/>
              <w:jc w:val="center"/>
              <w:rPr>
                <w:rFonts w:eastAsia="Times New Roman"/>
              </w:rPr>
            </w:pPr>
            <w:r>
              <w:rPr>
                <w:rFonts w:eastAsia="Times New Roman"/>
                <w:b/>
                <w:bCs/>
                <w:color w:val="000000"/>
                <w:sz w:val="16"/>
                <w:szCs w:val="16"/>
              </w:rPr>
              <w:t>(Loss</w:t>
            </w:r>
            <w:r>
              <w:rPr>
                <w:rFonts w:eastAsia="Times New Roman"/>
                <w:b/>
                <w:bCs/>
                <w:color w:val="000000"/>
                <w:sz w:val="16"/>
                <w:szCs w:val="16"/>
              </w:rPr>
              <w:t>)</w:t>
            </w:r>
            <w:r>
              <w:rPr>
                <w:rFonts w:eastAsia="Times New Roman"/>
                <w:b/>
                <w:bCs/>
                <w:color w:val="000000"/>
                <w:sz w:val="10"/>
                <w:szCs w:val="10"/>
              </w:rPr>
              <w:t>(2</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0B3AC6AB" w14:textId="77777777" w:rsidR="00000000" w:rsidRDefault="00405D16">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68E450A8" w14:textId="77777777" w:rsidR="00000000" w:rsidRDefault="00405D16">
            <w:pPr>
              <w:spacing w:after="100"/>
              <w:jc w:val="center"/>
              <w:rPr>
                <w:rFonts w:eastAsia="Times New Roman"/>
              </w:rPr>
            </w:pPr>
            <w:r>
              <w:rPr>
                <w:rFonts w:eastAsia="Times New Roman"/>
                <w:b/>
                <w:bCs/>
                <w:color w:val="000000"/>
                <w:sz w:val="16"/>
                <w:szCs w:val="16"/>
              </w:rPr>
              <w:t>Total Net</w:t>
            </w:r>
            <w:r>
              <w:rPr>
                <w:rFonts w:eastAsia="Times New Roman"/>
                <w:b/>
                <w:bCs/>
                <w:color w:val="000000"/>
                <w:sz w:val="16"/>
                <w:szCs w:val="16"/>
              </w:rPr>
              <w:br/>
              <w:t>Revenu</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19F72243" w14:textId="77777777" w:rsidR="00000000" w:rsidRDefault="00405D16">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38EA2707" w14:textId="77777777" w:rsidR="00000000" w:rsidRDefault="00405D16">
            <w:pPr>
              <w:spacing w:after="100"/>
              <w:jc w:val="center"/>
              <w:rPr>
                <w:rFonts w:eastAsia="Times New Roman"/>
              </w:rPr>
            </w:pPr>
            <w:r>
              <w:rPr>
                <w:rFonts w:eastAsia="Times New Roman"/>
                <w:b/>
                <w:bCs/>
                <w:color w:val="000000"/>
                <w:sz w:val="16"/>
                <w:szCs w:val="16"/>
              </w:rPr>
              <w:t>Net Income</w:t>
            </w:r>
          </w:p>
          <w:p w14:paraId="09E80459" w14:textId="77777777" w:rsidR="00000000" w:rsidRDefault="00405D16">
            <w:pPr>
              <w:spacing w:after="100"/>
              <w:jc w:val="center"/>
              <w:rPr>
                <w:rFonts w:eastAsia="Times New Roman"/>
              </w:rPr>
            </w:pPr>
            <w:r>
              <w:rPr>
                <w:rFonts w:eastAsia="Times New Roman"/>
                <w:b/>
                <w:bCs/>
                <w:color w:val="000000"/>
                <w:sz w:val="16"/>
                <w:szCs w:val="16"/>
              </w:rPr>
              <w:t>(Loss</w:t>
            </w:r>
            <w:r>
              <w:rPr>
                <w:rFonts w:eastAsia="Times New Roman"/>
                <w:b/>
                <w:bCs/>
                <w:color w:val="000000"/>
                <w:sz w:val="16"/>
                <w:szCs w:val="16"/>
              </w:rPr>
              <w:t>)</w:t>
            </w:r>
            <w:r>
              <w:rPr>
                <w:rFonts w:eastAsia="Times New Roman"/>
                <w:b/>
                <w:bCs/>
                <w:color w:val="000000"/>
                <w:sz w:val="10"/>
                <w:szCs w:val="10"/>
              </w:rPr>
              <w:t>(2</w:t>
            </w:r>
            <w:r>
              <w:rPr>
                <w:rFonts w:eastAsia="Times New Roman"/>
                <w:b/>
                <w:bCs/>
                <w:color w:val="000000"/>
                <w:sz w:val="10"/>
                <w:szCs w:val="10"/>
              </w:rPr>
              <w:t>)</w:t>
            </w:r>
          </w:p>
        </w:tc>
        <w:tc>
          <w:tcPr>
            <w:tcW w:w="0" w:type="auto"/>
            <w:gridSpan w:val="3"/>
            <w:vAlign w:val="center"/>
            <w:hideMark/>
          </w:tcPr>
          <w:p w14:paraId="24FB84C7" w14:textId="77777777" w:rsidR="00000000" w:rsidRDefault="00405D16">
            <w:pPr>
              <w:spacing w:after="100"/>
              <w:jc w:val="center"/>
              <w:rPr>
                <w:rFonts w:eastAsia="Times New Roman"/>
              </w:rPr>
            </w:pPr>
          </w:p>
        </w:tc>
        <w:tc>
          <w:tcPr>
            <w:tcW w:w="0" w:type="auto"/>
            <w:gridSpan w:val="3"/>
            <w:vAlign w:val="center"/>
            <w:hideMark/>
          </w:tcPr>
          <w:p w14:paraId="602193D8" w14:textId="77777777" w:rsidR="00000000" w:rsidRDefault="00405D16">
            <w:pPr>
              <w:spacing w:after="100"/>
              <w:rPr>
                <w:rFonts w:eastAsia="Times New Roman"/>
                <w:sz w:val="20"/>
                <w:szCs w:val="20"/>
              </w:rPr>
            </w:pPr>
          </w:p>
        </w:tc>
        <w:tc>
          <w:tcPr>
            <w:tcW w:w="0" w:type="auto"/>
            <w:gridSpan w:val="3"/>
            <w:vAlign w:val="center"/>
            <w:hideMark/>
          </w:tcPr>
          <w:p w14:paraId="03319F3D" w14:textId="77777777" w:rsidR="00000000" w:rsidRDefault="00405D16">
            <w:pPr>
              <w:spacing w:after="100"/>
              <w:rPr>
                <w:rFonts w:eastAsia="Times New Roman"/>
                <w:sz w:val="20"/>
                <w:szCs w:val="20"/>
              </w:rPr>
            </w:pPr>
          </w:p>
        </w:tc>
        <w:tc>
          <w:tcPr>
            <w:tcW w:w="0" w:type="auto"/>
            <w:gridSpan w:val="2"/>
            <w:vAlign w:val="center"/>
            <w:hideMark/>
          </w:tcPr>
          <w:p w14:paraId="21B68B81" w14:textId="77777777" w:rsidR="00000000" w:rsidRDefault="00405D16">
            <w:pPr>
              <w:spacing w:after="100"/>
              <w:rPr>
                <w:rFonts w:eastAsia="Times New Roman"/>
                <w:sz w:val="20"/>
                <w:szCs w:val="20"/>
              </w:rPr>
            </w:pPr>
          </w:p>
        </w:tc>
        <w:tc>
          <w:tcPr>
            <w:tcW w:w="0" w:type="auto"/>
            <w:vAlign w:val="center"/>
            <w:hideMark/>
          </w:tcPr>
          <w:p w14:paraId="73128B03" w14:textId="77777777" w:rsidR="00000000" w:rsidRDefault="00405D16">
            <w:pPr>
              <w:spacing w:after="100"/>
              <w:rPr>
                <w:rFonts w:eastAsia="Times New Roman"/>
                <w:sz w:val="20"/>
                <w:szCs w:val="20"/>
              </w:rPr>
            </w:pPr>
          </w:p>
        </w:tc>
      </w:tr>
      <w:tr w:rsidR="00000000" w14:paraId="7E1C2008" w14:textId="77777777">
        <w:tc>
          <w:tcPr>
            <w:tcW w:w="0" w:type="auto"/>
            <w:gridSpan w:val="3"/>
            <w:tcMar>
              <w:top w:w="30" w:type="dxa"/>
              <w:left w:w="20" w:type="dxa"/>
              <w:bottom w:w="30" w:type="dxa"/>
              <w:right w:w="20" w:type="dxa"/>
            </w:tcMar>
            <w:vAlign w:val="bottom"/>
            <w:hideMark/>
          </w:tcPr>
          <w:p w14:paraId="2921C846"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100CEE6A"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B2308D6" w14:textId="77777777" w:rsidR="00000000" w:rsidRDefault="00405D16">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14:paraId="6A16D9A6"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9A8A254" w14:textId="77777777" w:rsidR="00000000" w:rsidRDefault="00405D16">
            <w:pPr>
              <w:spacing w:after="100"/>
              <w:jc w:val="center"/>
              <w:rPr>
                <w:rFonts w:eastAsia="Times New Roman"/>
              </w:rPr>
            </w:pPr>
            <w:r>
              <w:rPr>
                <w:rFonts w:eastAsia="Times New Roman"/>
                <w:b/>
                <w:bCs/>
                <w:color w:val="000000"/>
                <w:sz w:val="16"/>
                <w:szCs w:val="16"/>
              </w:rPr>
              <w:t>% of</w:t>
            </w:r>
            <w:r>
              <w:rPr>
                <w:rFonts w:eastAsia="Times New Roman"/>
                <w:b/>
                <w:bCs/>
                <w:color w:val="000000"/>
                <w:sz w:val="16"/>
                <w:szCs w:val="16"/>
              </w:rPr>
              <w:br/>
              <w:t>Total</w:t>
            </w:r>
          </w:p>
        </w:tc>
        <w:tc>
          <w:tcPr>
            <w:tcW w:w="0" w:type="auto"/>
            <w:gridSpan w:val="3"/>
            <w:tcMar>
              <w:top w:w="0" w:type="dxa"/>
              <w:left w:w="20" w:type="dxa"/>
              <w:bottom w:w="0" w:type="dxa"/>
              <w:right w:w="20" w:type="dxa"/>
            </w:tcMar>
            <w:vAlign w:val="center"/>
            <w:hideMark/>
          </w:tcPr>
          <w:p w14:paraId="25682F02"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8E025F0" w14:textId="77777777" w:rsidR="00000000" w:rsidRDefault="00405D16">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14:paraId="3A1C233B"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4806D5E" w14:textId="77777777" w:rsidR="00000000" w:rsidRDefault="00405D16">
            <w:pPr>
              <w:spacing w:after="100"/>
              <w:jc w:val="center"/>
              <w:rPr>
                <w:rFonts w:eastAsia="Times New Roman"/>
              </w:rPr>
            </w:pPr>
            <w:r>
              <w:rPr>
                <w:rFonts w:eastAsia="Times New Roman"/>
                <w:b/>
                <w:bCs/>
                <w:color w:val="000000"/>
                <w:sz w:val="16"/>
                <w:szCs w:val="16"/>
              </w:rPr>
              <w:t>% of</w:t>
            </w:r>
            <w:r>
              <w:rPr>
                <w:rFonts w:eastAsia="Times New Roman"/>
                <w:b/>
                <w:bCs/>
                <w:color w:val="000000"/>
                <w:sz w:val="16"/>
                <w:szCs w:val="16"/>
              </w:rPr>
              <w:br/>
              <w:t>Total</w:t>
            </w:r>
          </w:p>
        </w:tc>
        <w:tc>
          <w:tcPr>
            <w:tcW w:w="0" w:type="auto"/>
            <w:gridSpan w:val="3"/>
            <w:tcMar>
              <w:top w:w="0" w:type="dxa"/>
              <w:left w:w="20" w:type="dxa"/>
              <w:bottom w:w="0" w:type="dxa"/>
              <w:right w:w="20" w:type="dxa"/>
            </w:tcMar>
            <w:vAlign w:val="center"/>
            <w:hideMark/>
          </w:tcPr>
          <w:p w14:paraId="2DF08E4F"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0903A67" w14:textId="77777777" w:rsidR="00000000" w:rsidRDefault="00405D16">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14:paraId="381D42C2"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596CEF0" w14:textId="77777777" w:rsidR="00000000" w:rsidRDefault="00405D16">
            <w:pPr>
              <w:spacing w:after="100"/>
              <w:jc w:val="center"/>
              <w:rPr>
                <w:rFonts w:eastAsia="Times New Roman"/>
              </w:rPr>
            </w:pPr>
            <w:r>
              <w:rPr>
                <w:rFonts w:eastAsia="Times New Roman"/>
                <w:b/>
                <w:bCs/>
                <w:color w:val="000000"/>
                <w:sz w:val="16"/>
                <w:szCs w:val="16"/>
              </w:rPr>
              <w:t>% of</w:t>
            </w:r>
            <w:r>
              <w:rPr>
                <w:rFonts w:eastAsia="Times New Roman"/>
                <w:b/>
                <w:bCs/>
                <w:color w:val="000000"/>
                <w:sz w:val="16"/>
                <w:szCs w:val="16"/>
              </w:rPr>
              <w:br/>
              <w:t>Total</w:t>
            </w:r>
          </w:p>
        </w:tc>
        <w:tc>
          <w:tcPr>
            <w:tcW w:w="0" w:type="auto"/>
            <w:gridSpan w:val="3"/>
            <w:tcMar>
              <w:top w:w="0" w:type="dxa"/>
              <w:left w:w="20" w:type="dxa"/>
              <w:bottom w:w="0" w:type="dxa"/>
              <w:right w:w="20" w:type="dxa"/>
            </w:tcMar>
            <w:vAlign w:val="center"/>
            <w:hideMark/>
          </w:tcPr>
          <w:p w14:paraId="158DB6EA"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8AEEDCB" w14:textId="77777777" w:rsidR="00000000" w:rsidRDefault="00405D16">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14:paraId="69E58D30"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66661CD" w14:textId="77777777" w:rsidR="00000000" w:rsidRDefault="00405D16">
            <w:pPr>
              <w:spacing w:after="100"/>
              <w:jc w:val="center"/>
              <w:rPr>
                <w:rFonts w:eastAsia="Times New Roman"/>
              </w:rPr>
            </w:pPr>
            <w:r>
              <w:rPr>
                <w:rFonts w:eastAsia="Times New Roman"/>
                <w:b/>
                <w:bCs/>
                <w:color w:val="000000"/>
                <w:sz w:val="16"/>
                <w:szCs w:val="16"/>
              </w:rPr>
              <w:t>% of</w:t>
            </w:r>
            <w:r>
              <w:rPr>
                <w:rFonts w:eastAsia="Times New Roman"/>
                <w:b/>
                <w:bCs/>
                <w:color w:val="000000"/>
                <w:sz w:val="16"/>
                <w:szCs w:val="16"/>
              </w:rPr>
              <w:br/>
              <w:t>Total</w:t>
            </w:r>
          </w:p>
        </w:tc>
        <w:tc>
          <w:tcPr>
            <w:tcW w:w="0" w:type="auto"/>
            <w:gridSpan w:val="3"/>
            <w:vAlign w:val="center"/>
            <w:hideMark/>
          </w:tcPr>
          <w:p w14:paraId="40C2B683" w14:textId="77777777" w:rsidR="00000000" w:rsidRDefault="00405D16">
            <w:pPr>
              <w:spacing w:after="100"/>
              <w:jc w:val="center"/>
              <w:rPr>
                <w:rFonts w:eastAsia="Times New Roman"/>
              </w:rPr>
            </w:pPr>
          </w:p>
        </w:tc>
        <w:tc>
          <w:tcPr>
            <w:tcW w:w="0" w:type="auto"/>
            <w:gridSpan w:val="3"/>
            <w:vAlign w:val="center"/>
            <w:hideMark/>
          </w:tcPr>
          <w:p w14:paraId="08E08C8B" w14:textId="77777777" w:rsidR="00000000" w:rsidRDefault="00405D16">
            <w:pPr>
              <w:spacing w:after="100"/>
              <w:rPr>
                <w:rFonts w:eastAsia="Times New Roman"/>
                <w:sz w:val="20"/>
                <w:szCs w:val="20"/>
              </w:rPr>
            </w:pPr>
          </w:p>
        </w:tc>
        <w:tc>
          <w:tcPr>
            <w:tcW w:w="0" w:type="auto"/>
            <w:gridSpan w:val="3"/>
            <w:vAlign w:val="center"/>
            <w:hideMark/>
          </w:tcPr>
          <w:p w14:paraId="297C78E1" w14:textId="77777777" w:rsidR="00000000" w:rsidRDefault="00405D16">
            <w:pPr>
              <w:spacing w:after="100"/>
              <w:rPr>
                <w:rFonts w:eastAsia="Times New Roman"/>
                <w:sz w:val="20"/>
                <w:szCs w:val="20"/>
              </w:rPr>
            </w:pPr>
          </w:p>
        </w:tc>
        <w:tc>
          <w:tcPr>
            <w:tcW w:w="0" w:type="auto"/>
            <w:gridSpan w:val="2"/>
            <w:vAlign w:val="center"/>
            <w:hideMark/>
          </w:tcPr>
          <w:p w14:paraId="2736150C" w14:textId="77777777" w:rsidR="00000000" w:rsidRDefault="00405D16">
            <w:pPr>
              <w:spacing w:after="100"/>
              <w:rPr>
                <w:rFonts w:eastAsia="Times New Roman"/>
                <w:sz w:val="20"/>
                <w:szCs w:val="20"/>
              </w:rPr>
            </w:pPr>
          </w:p>
        </w:tc>
        <w:tc>
          <w:tcPr>
            <w:tcW w:w="0" w:type="auto"/>
            <w:vAlign w:val="center"/>
            <w:hideMark/>
          </w:tcPr>
          <w:p w14:paraId="60D247DF" w14:textId="77777777" w:rsidR="00000000" w:rsidRDefault="00405D16">
            <w:pPr>
              <w:spacing w:after="100"/>
              <w:rPr>
                <w:rFonts w:eastAsia="Times New Roman"/>
                <w:sz w:val="20"/>
                <w:szCs w:val="20"/>
              </w:rPr>
            </w:pPr>
          </w:p>
        </w:tc>
      </w:tr>
      <w:tr w:rsidR="00000000" w14:paraId="08FE7D77" w14:textId="7777777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805D3EF" w14:textId="77777777" w:rsidR="00000000" w:rsidRDefault="00405D16">
            <w:pPr>
              <w:spacing w:after="100"/>
              <w:rPr>
                <w:rFonts w:eastAsia="Times New Roman"/>
              </w:rPr>
            </w:pPr>
            <w:r>
              <w:rPr>
                <w:rFonts w:eastAsia="Times New Roman"/>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14:paraId="32A04992"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A334666"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C208129" w14:textId="77777777" w:rsidR="00000000" w:rsidRDefault="00405D16">
            <w:pPr>
              <w:spacing w:after="100"/>
              <w:jc w:val="right"/>
              <w:rPr>
                <w:rFonts w:eastAsia="Times New Roman"/>
              </w:rPr>
            </w:pPr>
            <w:r>
              <w:rPr>
                <w:rFonts w:eastAsia="Times New Roman"/>
                <w:b/>
                <w:bCs/>
                <w:color w:val="000000"/>
                <w:sz w:val="18"/>
                <w:szCs w:val="18"/>
              </w:rPr>
              <w:t>4,883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607CE0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7784A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8282D92" w14:textId="77777777" w:rsidR="00000000" w:rsidRDefault="00405D16">
            <w:pPr>
              <w:spacing w:after="100"/>
              <w:jc w:val="right"/>
              <w:rPr>
                <w:rFonts w:eastAsia="Times New Roman"/>
              </w:rPr>
            </w:pPr>
            <w:r>
              <w:rPr>
                <w:rFonts w:eastAsia="Times New Roman"/>
                <w:b/>
                <w:bCs/>
                <w:color w:val="000000"/>
                <w:sz w:val="18"/>
                <w:szCs w:val="18"/>
              </w:rPr>
              <w:t>63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868F109"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CF3CC8C" w14:textId="77777777" w:rsidR="00000000" w:rsidRDefault="00405D16">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FFAEE60"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897B8B6" w14:textId="77777777" w:rsidR="00000000" w:rsidRDefault="00405D16">
            <w:pPr>
              <w:spacing w:after="100"/>
              <w:jc w:val="right"/>
              <w:rPr>
                <w:rFonts w:eastAsia="Times New Roman"/>
              </w:rPr>
            </w:pPr>
            <w:r>
              <w:rPr>
                <w:rFonts w:eastAsia="Times New Roman"/>
                <w:b/>
                <w:bCs/>
                <w:color w:val="000000"/>
                <w:sz w:val="18"/>
                <w:szCs w:val="18"/>
              </w:rPr>
              <w:t>2,030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F95DDC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6B10D1"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D70C165" w14:textId="77777777" w:rsidR="00000000" w:rsidRDefault="00405D16">
            <w:pPr>
              <w:spacing w:after="100"/>
              <w:jc w:val="right"/>
              <w:rPr>
                <w:rFonts w:eastAsia="Times New Roman"/>
              </w:rPr>
            </w:pPr>
            <w:r>
              <w:rPr>
                <w:rFonts w:eastAsia="Times New Roman"/>
                <w:b/>
                <w:bCs/>
                <w:color w:val="000000"/>
                <w:sz w:val="18"/>
                <w:szCs w:val="18"/>
              </w:rPr>
              <w:t>65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9B8249F"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861B4F1" w14:textId="77777777" w:rsidR="00000000" w:rsidRDefault="00405D16">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7673878"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DEE5944" w14:textId="77777777" w:rsidR="00000000" w:rsidRDefault="00405D16">
            <w:pPr>
              <w:spacing w:after="100"/>
              <w:jc w:val="right"/>
              <w:rPr>
                <w:rFonts w:eastAsia="Times New Roman"/>
              </w:rPr>
            </w:pPr>
            <w:r>
              <w:rPr>
                <w:rFonts w:eastAsia="Times New Roman"/>
                <w:color w:val="000000"/>
                <w:sz w:val="18"/>
                <w:szCs w:val="18"/>
              </w:rPr>
              <w:t>4,305 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BE3615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1A2610"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F331D64" w14:textId="77777777" w:rsidR="00000000" w:rsidRDefault="00405D16">
            <w:pPr>
              <w:spacing w:after="100"/>
              <w:jc w:val="right"/>
              <w:rPr>
                <w:rFonts w:eastAsia="Times New Roman"/>
              </w:rPr>
            </w:pPr>
            <w:r>
              <w:rPr>
                <w:rFonts w:eastAsia="Times New Roman"/>
                <w:color w:val="000000"/>
                <w:sz w:val="18"/>
                <w:szCs w:val="18"/>
              </w:rPr>
              <w:t>58 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6FB3643"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E5D4CE7" w14:textId="77777777" w:rsidR="00000000" w:rsidRDefault="00405D16">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C5C2C56"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71DA0CE" w14:textId="77777777" w:rsidR="00000000" w:rsidRDefault="00405D16">
            <w:pPr>
              <w:spacing w:after="100"/>
              <w:jc w:val="right"/>
              <w:rPr>
                <w:rFonts w:eastAsia="Times New Roman"/>
              </w:rPr>
            </w:pPr>
            <w:r>
              <w:rPr>
                <w:rFonts w:eastAsia="Times New Roman"/>
                <w:color w:val="000000"/>
                <w:sz w:val="18"/>
                <w:szCs w:val="18"/>
              </w:rPr>
              <w:t>1,414 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6AED63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5C5AC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E13BF50" w14:textId="77777777" w:rsidR="00000000" w:rsidRDefault="00405D16">
            <w:pPr>
              <w:spacing w:after="100"/>
              <w:jc w:val="right"/>
              <w:rPr>
                <w:rFonts w:eastAsia="Times New Roman"/>
              </w:rPr>
            </w:pPr>
            <w:r>
              <w:rPr>
                <w:rFonts w:eastAsia="Times New Roman"/>
                <w:color w:val="000000"/>
                <w:sz w:val="18"/>
                <w:szCs w:val="18"/>
              </w:rPr>
              <w:t>59 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69F4849"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07A50BC3" w14:textId="77777777" w:rsidR="00000000" w:rsidRDefault="00405D16">
            <w:pPr>
              <w:spacing w:after="100"/>
              <w:jc w:val="right"/>
              <w:rPr>
                <w:rFonts w:eastAsia="Times New Roman"/>
              </w:rPr>
            </w:pPr>
          </w:p>
        </w:tc>
        <w:tc>
          <w:tcPr>
            <w:tcW w:w="0" w:type="auto"/>
            <w:gridSpan w:val="3"/>
            <w:vAlign w:val="center"/>
            <w:hideMark/>
          </w:tcPr>
          <w:p w14:paraId="61C0F940" w14:textId="77777777" w:rsidR="00000000" w:rsidRDefault="00405D16">
            <w:pPr>
              <w:spacing w:after="100"/>
              <w:rPr>
                <w:rFonts w:eastAsia="Times New Roman"/>
                <w:sz w:val="20"/>
                <w:szCs w:val="20"/>
              </w:rPr>
            </w:pPr>
          </w:p>
        </w:tc>
        <w:tc>
          <w:tcPr>
            <w:tcW w:w="0" w:type="auto"/>
            <w:gridSpan w:val="3"/>
            <w:vAlign w:val="center"/>
            <w:hideMark/>
          </w:tcPr>
          <w:p w14:paraId="4326FC0B" w14:textId="77777777" w:rsidR="00000000" w:rsidRDefault="00405D16">
            <w:pPr>
              <w:spacing w:after="100"/>
              <w:rPr>
                <w:rFonts w:eastAsia="Times New Roman"/>
                <w:sz w:val="20"/>
                <w:szCs w:val="20"/>
              </w:rPr>
            </w:pPr>
          </w:p>
        </w:tc>
        <w:tc>
          <w:tcPr>
            <w:tcW w:w="0" w:type="auto"/>
            <w:gridSpan w:val="2"/>
            <w:vAlign w:val="center"/>
            <w:hideMark/>
          </w:tcPr>
          <w:p w14:paraId="49A00C22" w14:textId="77777777" w:rsidR="00000000" w:rsidRDefault="00405D16">
            <w:pPr>
              <w:spacing w:after="100"/>
              <w:rPr>
                <w:rFonts w:eastAsia="Times New Roman"/>
                <w:sz w:val="20"/>
                <w:szCs w:val="20"/>
              </w:rPr>
            </w:pPr>
          </w:p>
        </w:tc>
        <w:tc>
          <w:tcPr>
            <w:tcW w:w="0" w:type="auto"/>
            <w:vAlign w:val="center"/>
            <w:hideMark/>
          </w:tcPr>
          <w:p w14:paraId="1BFE61E6" w14:textId="77777777" w:rsidR="00000000" w:rsidRDefault="00405D16">
            <w:pPr>
              <w:spacing w:after="100"/>
              <w:rPr>
                <w:rFonts w:eastAsia="Times New Roman"/>
                <w:sz w:val="20"/>
                <w:szCs w:val="20"/>
              </w:rPr>
            </w:pPr>
          </w:p>
        </w:tc>
      </w:tr>
      <w:tr w:rsidR="00000000" w14:paraId="3B498D51" w14:textId="77777777">
        <w:tc>
          <w:tcPr>
            <w:tcW w:w="0" w:type="auto"/>
            <w:gridSpan w:val="3"/>
            <w:shd w:val="clear" w:color="auto" w:fill="FFFFFF"/>
            <w:tcMar>
              <w:top w:w="30" w:type="dxa"/>
              <w:left w:w="20" w:type="dxa"/>
              <w:bottom w:w="30" w:type="dxa"/>
              <w:right w:w="20" w:type="dxa"/>
            </w:tcMar>
            <w:vAlign w:val="center"/>
            <w:hideMark/>
          </w:tcPr>
          <w:p w14:paraId="261FE798" w14:textId="77777777" w:rsidR="00000000" w:rsidRDefault="00405D16">
            <w:pPr>
              <w:spacing w:after="100"/>
              <w:rPr>
                <w:rFonts w:eastAsia="Times New Roman"/>
              </w:rPr>
            </w:pPr>
            <w:r>
              <w:rPr>
                <w:rFonts w:eastAsia="Times New Roman"/>
                <w:color w:val="000000"/>
                <w:sz w:val="18"/>
                <w:szCs w:val="18"/>
              </w:rPr>
              <w:t>Consumer Banking</w:t>
            </w:r>
          </w:p>
        </w:tc>
        <w:tc>
          <w:tcPr>
            <w:tcW w:w="0" w:type="auto"/>
            <w:gridSpan w:val="3"/>
            <w:shd w:val="clear" w:color="auto" w:fill="FFFFFF"/>
            <w:tcMar>
              <w:top w:w="0" w:type="dxa"/>
              <w:left w:w="20" w:type="dxa"/>
              <w:bottom w:w="0" w:type="dxa"/>
              <w:right w:w="20" w:type="dxa"/>
            </w:tcMar>
            <w:vAlign w:val="center"/>
            <w:hideMark/>
          </w:tcPr>
          <w:p w14:paraId="31046FE3"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2451DC0" w14:textId="77777777" w:rsidR="00000000" w:rsidRDefault="00405D16">
            <w:pPr>
              <w:spacing w:after="100"/>
              <w:jc w:val="right"/>
              <w:rPr>
                <w:rFonts w:eastAsia="Times New Roman"/>
              </w:rPr>
            </w:pPr>
            <w:r>
              <w:rPr>
                <w:rFonts w:eastAsia="Times New Roman"/>
                <w:b/>
                <w:bCs/>
                <w:color w:val="000000"/>
                <w:sz w:val="18"/>
                <w:szCs w:val="18"/>
              </w:rPr>
              <w:t>2,286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09310C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F6E3A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E885D34" w14:textId="77777777" w:rsidR="00000000" w:rsidRDefault="00405D16">
            <w:pPr>
              <w:spacing w:after="100"/>
              <w:jc w:val="right"/>
              <w:rPr>
                <w:rFonts w:eastAsia="Times New Roman"/>
              </w:rPr>
            </w:pPr>
            <w:r>
              <w:rPr>
                <w:rFonts w:eastAsia="Times New Roman"/>
                <w:b/>
                <w:bCs/>
                <w:color w:val="000000"/>
                <w:sz w:val="18"/>
                <w:szCs w:val="18"/>
              </w:rPr>
              <w:t>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06C699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1AE7C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53ACECF" w14:textId="77777777" w:rsidR="00000000" w:rsidRDefault="00405D16">
            <w:pPr>
              <w:spacing w:after="100"/>
              <w:jc w:val="right"/>
              <w:rPr>
                <w:rFonts w:eastAsia="Times New Roman"/>
              </w:rPr>
            </w:pPr>
            <w:r>
              <w:rPr>
                <w:rFonts w:eastAsia="Times New Roman"/>
                <w:b/>
                <w:bCs/>
                <w:color w:val="000000"/>
                <w:sz w:val="18"/>
                <w:szCs w:val="18"/>
              </w:rPr>
              <w:t>909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C1C84F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24A55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1E785EB" w14:textId="77777777" w:rsidR="00000000" w:rsidRDefault="00405D16">
            <w:pPr>
              <w:spacing w:after="100"/>
              <w:jc w:val="right"/>
              <w:rPr>
                <w:rFonts w:eastAsia="Times New Roman"/>
              </w:rPr>
            </w:pPr>
            <w:r>
              <w:rPr>
                <w:rFonts w:eastAsia="Times New Roman"/>
                <w:b/>
                <w:bCs/>
                <w:color w:val="000000"/>
                <w:sz w:val="18"/>
                <w:szCs w:val="18"/>
              </w:rPr>
              <w:t>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A09729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7F06F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F3B1D54" w14:textId="77777777" w:rsidR="00000000" w:rsidRDefault="00405D16">
            <w:pPr>
              <w:spacing w:after="100"/>
              <w:jc w:val="right"/>
              <w:rPr>
                <w:rFonts w:eastAsia="Times New Roman"/>
              </w:rPr>
            </w:pPr>
            <w:r>
              <w:rPr>
                <w:rFonts w:eastAsia="Times New Roman"/>
                <w:color w:val="000000"/>
                <w:sz w:val="18"/>
                <w:szCs w:val="18"/>
              </w:rPr>
              <w:t>2,011 </w:t>
            </w:r>
          </w:p>
        </w:tc>
        <w:tc>
          <w:tcPr>
            <w:tcW w:w="0" w:type="auto"/>
            <w:shd w:val="clear" w:color="auto" w:fill="FFFFFF"/>
            <w:tcMar>
              <w:top w:w="30" w:type="dxa"/>
              <w:left w:w="0" w:type="dxa"/>
              <w:bottom w:w="30" w:type="dxa"/>
              <w:right w:w="20" w:type="dxa"/>
            </w:tcMar>
            <w:vAlign w:val="center"/>
            <w:hideMark/>
          </w:tcPr>
          <w:p w14:paraId="09E0F31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D9749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25AC582" w14:textId="77777777" w:rsidR="00000000" w:rsidRDefault="00405D16">
            <w:pPr>
              <w:spacing w:after="100"/>
              <w:jc w:val="right"/>
              <w:rPr>
                <w:rFonts w:eastAsia="Times New Roman"/>
              </w:rPr>
            </w:pPr>
            <w:r>
              <w:rPr>
                <w:rFonts w:eastAsia="Times New Roman"/>
                <w:color w:val="000000"/>
                <w:sz w:val="18"/>
                <w:szCs w:val="18"/>
              </w:rPr>
              <w:t>27 </w:t>
            </w:r>
          </w:p>
        </w:tc>
        <w:tc>
          <w:tcPr>
            <w:tcW w:w="0" w:type="auto"/>
            <w:shd w:val="clear" w:color="auto" w:fill="FFFFFF"/>
            <w:tcMar>
              <w:top w:w="30" w:type="dxa"/>
              <w:left w:w="0" w:type="dxa"/>
              <w:bottom w:w="30" w:type="dxa"/>
              <w:right w:w="20" w:type="dxa"/>
            </w:tcMar>
            <w:vAlign w:val="center"/>
            <w:hideMark/>
          </w:tcPr>
          <w:p w14:paraId="7F57E15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6CD3F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F0DAE30" w14:textId="77777777" w:rsidR="00000000" w:rsidRDefault="00405D16">
            <w:pPr>
              <w:spacing w:after="100"/>
              <w:jc w:val="right"/>
              <w:rPr>
                <w:rFonts w:eastAsia="Times New Roman"/>
              </w:rPr>
            </w:pPr>
            <w:r>
              <w:rPr>
                <w:rFonts w:eastAsia="Times New Roman"/>
                <w:color w:val="000000"/>
                <w:sz w:val="18"/>
                <w:szCs w:val="18"/>
              </w:rPr>
              <w:t>796 </w:t>
            </w:r>
          </w:p>
        </w:tc>
        <w:tc>
          <w:tcPr>
            <w:tcW w:w="0" w:type="auto"/>
            <w:shd w:val="clear" w:color="auto" w:fill="FFFFFF"/>
            <w:tcMar>
              <w:top w:w="30" w:type="dxa"/>
              <w:left w:w="0" w:type="dxa"/>
              <w:bottom w:w="30" w:type="dxa"/>
              <w:right w:w="20" w:type="dxa"/>
            </w:tcMar>
            <w:vAlign w:val="center"/>
            <w:hideMark/>
          </w:tcPr>
          <w:p w14:paraId="1AE0250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F9633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16047D7" w14:textId="77777777" w:rsidR="00000000" w:rsidRDefault="00405D16">
            <w:pPr>
              <w:spacing w:after="100"/>
              <w:jc w:val="right"/>
              <w:rPr>
                <w:rFonts w:eastAsia="Times New Roman"/>
              </w:rPr>
            </w:pPr>
            <w:r>
              <w:rPr>
                <w:rFonts w:eastAsia="Times New Roman"/>
                <w:color w:val="000000"/>
                <w:sz w:val="18"/>
                <w:szCs w:val="18"/>
              </w:rPr>
              <w:t>33 </w:t>
            </w:r>
          </w:p>
        </w:tc>
        <w:tc>
          <w:tcPr>
            <w:tcW w:w="0" w:type="auto"/>
            <w:shd w:val="clear" w:color="auto" w:fill="FFFFFF"/>
            <w:tcMar>
              <w:top w:w="30" w:type="dxa"/>
              <w:left w:w="0" w:type="dxa"/>
              <w:bottom w:w="30" w:type="dxa"/>
              <w:right w:w="20" w:type="dxa"/>
            </w:tcMar>
            <w:vAlign w:val="center"/>
            <w:hideMark/>
          </w:tcPr>
          <w:p w14:paraId="55B0DD8B" w14:textId="77777777" w:rsidR="00000000" w:rsidRDefault="00405D16">
            <w:pPr>
              <w:spacing w:after="100"/>
              <w:jc w:val="right"/>
              <w:rPr>
                <w:rFonts w:eastAsia="Times New Roman"/>
              </w:rPr>
            </w:pPr>
          </w:p>
        </w:tc>
        <w:tc>
          <w:tcPr>
            <w:tcW w:w="0" w:type="auto"/>
            <w:gridSpan w:val="3"/>
            <w:vAlign w:val="center"/>
            <w:hideMark/>
          </w:tcPr>
          <w:p w14:paraId="7D30008C" w14:textId="77777777" w:rsidR="00000000" w:rsidRDefault="00405D16">
            <w:pPr>
              <w:spacing w:after="100"/>
              <w:jc w:val="right"/>
              <w:rPr>
                <w:rFonts w:eastAsia="Times New Roman"/>
                <w:sz w:val="20"/>
                <w:szCs w:val="20"/>
              </w:rPr>
            </w:pPr>
          </w:p>
        </w:tc>
        <w:tc>
          <w:tcPr>
            <w:tcW w:w="0" w:type="auto"/>
            <w:gridSpan w:val="3"/>
            <w:vAlign w:val="center"/>
            <w:hideMark/>
          </w:tcPr>
          <w:p w14:paraId="35920002" w14:textId="77777777" w:rsidR="00000000" w:rsidRDefault="00405D16">
            <w:pPr>
              <w:spacing w:after="100"/>
              <w:rPr>
                <w:rFonts w:eastAsia="Times New Roman"/>
                <w:sz w:val="20"/>
                <w:szCs w:val="20"/>
              </w:rPr>
            </w:pPr>
          </w:p>
        </w:tc>
        <w:tc>
          <w:tcPr>
            <w:tcW w:w="0" w:type="auto"/>
            <w:gridSpan w:val="3"/>
            <w:vAlign w:val="center"/>
            <w:hideMark/>
          </w:tcPr>
          <w:p w14:paraId="3D171E06" w14:textId="77777777" w:rsidR="00000000" w:rsidRDefault="00405D16">
            <w:pPr>
              <w:spacing w:after="100"/>
              <w:rPr>
                <w:rFonts w:eastAsia="Times New Roman"/>
                <w:sz w:val="20"/>
                <w:szCs w:val="20"/>
              </w:rPr>
            </w:pPr>
          </w:p>
        </w:tc>
        <w:tc>
          <w:tcPr>
            <w:tcW w:w="0" w:type="auto"/>
            <w:gridSpan w:val="2"/>
            <w:vAlign w:val="center"/>
            <w:hideMark/>
          </w:tcPr>
          <w:p w14:paraId="3AE7A917" w14:textId="77777777" w:rsidR="00000000" w:rsidRDefault="00405D16">
            <w:pPr>
              <w:spacing w:after="100"/>
              <w:rPr>
                <w:rFonts w:eastAsia="Times New Roman"/>
                <w:sz w:val="20"/>
                <w:szCs w:val="20"/>
              </w:rPr>
            </w:pPr>
          </w:p>
        </w:tc>
        <w:tc>
          <w:tcPr>
            <w:tcW w:w="0" w:type="auto"/>
            <w:vAlign w:val="center"/>
            <w:hideMark/>
          </w:tcPr>
          <w:p w14:paraId="644EBA2F" w14:textId="77777777" w:rsidR="00000000" w:rsidRDefault="00405D16">
            <w:pPr>
              <w:spacing w:after="100"/>
              <w:rPr>
                <w:rFonts w:eastAsia="Times New Roman"/>
                <w:sz w:val="20"/>
                <w:szCs w:val="20"/>
              </w:rPr>
            </w:pPr>
          </w:p>
        </w:tc>
      </w:tr>
      <w:tr w:rsidR="00000000" w14:paraId="664058F4" w14:textId="77777777">
        <w:tc>
          <w:tcPr>
            <w:tcW w:w="0" w:type="auto"/>
            <w:gridSpan w:val="3"/>
            <w:shd w:val="clear" w:color="auto" w:fill="CCEEFF"/>
            <w:tcMar>
              <w:top w:w="30" w:type="dxa"/>
              <w:left w:w="20" w:type="dxa"/>
              <w:bottom w:w="30" w:type="dxa"/>
              <w:right w:w="20" w:type="dxa"/>
            </w:tcMar>
            <w:vAlign w:val="center"/>
            <w:hideMark/>
          </w:tcPr>
          <w:p w14:paraId="0FBF3A04" w14:textId="77777777" w:rsidR="00000000" w:rsidRDefault="00405D16">
            <w:pPr>
              <w:spacing w:after="100"/>
              <w:divId w:val="1658725610"/>
              <w:rPr>
                <w:rFonts w:eastAsia="Times New Roman"/>
              </w:rPr>
            </w:pPr>
            <w:r>
              <w:rPr>
                <w:rFonts w:eastAsia="Times New Roman"/>
                <w:color w:val="000000"/>
                <w:sz w:val="18"/>
                <w:szCs w:val="18"/>
              </w:rPr>
              <w:t>Commercial Bankin</w:t>
            </w:r>
            <w:r>
              <w:rPr>
                <w:rFonts w:eastAsia="Times New Roman"/>
                <w:color w:val="000000"/>
                <w:sz w:val="18"/>
                <w:szCs w:val="18"/>
              </w:rPr>
              <w:t>g</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362159E9"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8830ACC" w14:textId="77777777" w:rsidR="00000000" w:rsidRDefault="00405D16">
            <w:pPr>
              <w:spacing w:after="100"/>
              <w:jc w:val="right"/>
              <w:rPr>
                <w:rFonts w:eastAsia="Times New Roman"/>
              </w:rPr>
            </w:pPr>
            <w:r>
              <w:rPr>
                <w:rFonts w:eastAsia="Times New Roman"/>
                <w:b/>
                <w:bCs/>
                <w:color w:val="000000"/>
                <w:sz w:val="18"/>
                <w:szCs w:val="18"/>
              </w:rPr>
              <w:t>884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642151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2F08A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76C3348" w14:textId="77777777" w:rsidR="00000000" w:rsidRDefault="00405D16">
            <w:pPr>
              <w:spacing w:after="100"/>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CF81C9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6E718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9060E68" w14:textId="77777777" w:rsidR="00000000" w:rsidRDefault="00405D16">
            <w:pPr>
              <w:spacing w:after="100"/>
              <w:jc w:val="right"/>
              <w:rPr>
                <w:rFonts w:eastAsia="Times New Roman"/>
              </w:rPr>
            </w:pPr>
            <w:r>
              <w:rPr>
                <w:rFonts w:eastAsia="Times New Roman"/>
                <w:b/>
                <w:bCs/>
                <w:color w:val="000000"/>
                <w:sz w:val="18"/>
                <w:szCs w:val="18"/>
              </w:rPr>
              <w:t>365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8634E6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C375C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989004B" w14:textId="77777777" w:rsidR="00000000" w:rsidRDefault="00405D16">
            <w:pPr>
              <w:spacing w:after="100"/>
              <w:jc w:val="right"/>
              <w:rPr>
                <w:rFonts w:eastAsia="Times New Roman"/>
              </w:rPr>
            </w:pPr>
            <w:r>
              <w:rPr>
                <w:rFonts w:eastAsia="Times New Roman"/>
                <w:b/>
                <w:bCs/>
                <w:color w:val="000000"/>
                <w:sz w:val="18"/>
                <w:szCs w:val="18"/>
              </w:rPr>
              <w:t>12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7DD2A4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AB57A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A4DAF07" w14:textId="77777777" w:rsidR="00000000" w:rsidRDefault="00405D16">
            <w:pPr>
              <w:spacing w:after="100"/>
              <w:jc w:val="right"/>
              <w:rPr>
                <w:rFonts w:eastAsia="Times New Roman"/>
              </w:rPr>
            </w:pPr>
            <w:r>
              <w:rPr>
                <w:rFonts w:eastAsia="Times New Roman"/>
                <w:color w:val="000000"/>
                <w:sz w:val="18"/>
                <w:szCs w:val="18"/>
              </w:rPr>
              <w:t>754 </w:t>
            </w:r>
          </w:p>
        </w:tc>
        <w:tc>
          <w:tcPr>
            <w:tcW w:w="0" w:type="auto"/>
            <w:shd w:val="clear" w:color="auto" w:fill="CCEEFF"/>
            <w:tcMar>
              <w:top w:w="30" w:type="dxa"/>
              <w:left w:w="0" w:type="dxa"/>
              <w:bottom w:w="30" w:type="dxa"/>
              <w:right w:w="20" w:type="dxa"/>
            </w:tcMar>
            <w:vAlign w:val="center"/>
            <w:hideMark/>
          </w:tcPr>
          <w:p w14:paraId="51407CD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01B05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5D63BCB" w14:textId="77777777" w:rsidR="00000000" w:rsidRDefault="00405D16">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center"/>
            <w:hideMark/>
          </w:tcPr>
          <w:p w14:paraId="06C093D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F488A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42C526D" w14:textId="77777777" w:rsidR="00000000" w:rsidRDefault="00405D16">
            <w:pPr>
              <w:spacing w:after="100"/>
              <w:jc w:val="right"/>
              <w:rPr>
                <w:rFonts w:eastAsia="Times New Roman"/>
              </w:rPr>
            </w:pPr>
            <w:r>
              <w:rPr>
                <w:rFonts w:eastAsia="Times New Roman"/>
                <w:color w:val="000000"/>
                <w:sz w:val="18"/>
                <w:szCs w:val="18"/>
              </w:rPr>
              <w:t>309 </w:t>
            </w:r>
          </w:p>
        </w:tc>
        <w:tc>
          <w:tcPr>
            <w:tcW w:w="0" w:type="auto"/>
            <w:shd w:val="clear" w:color="auto" w:fill="CCEEFF"/>
            <w:tcMar>
              <w:top w:w="30" w:type="dxa"/>
              <w:left w:w="0" w:type="dxa"/>
              <w:bottom w:w="30" w:type="dxa"/>
              <w:right w:w="20" w:type="dxa"/>
            </w:tcMar>
            <w:vAlign w:val="center"/>
            <w:hideMark/>
          </w:tcPr>
          <w:p w14:paraId="436309E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8072E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FC515C1" w14:textId="77777777" w:rsidR="00000000" w:rsidRDefault="00405D16">
            <w:pPr>
              <w:spacing w:after="100"/>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center"/>
            <w:hideMark/>
          </w:tcPr>
          <w:p w14:paraId="26E08766" w14:textId="77777777" w:rsidR="00000000" w:rsidRDefault="00405D16">
            <w:pPr>
              <w:spacing w:after="100"/>
              <w:jc w:val="right"/>
              <w:rPr>
                <w:rFonts w:eastAsia="Times New Roman"/>
              </w:rPr>
            </w:pPr>
          </w:p>
        </w:tc>
        <w:tc>
          <w:tcPr>
            <w:tcW w:w="0" w:type="auto"/>
            <w:gridSpan w:val="3"/>
            <w:vAlign w:val="center"/>
            <w:hideMark/>
          </w:tcPr>
          <w:p w14:paraId="0EB71851" w14:textId="77777777" w:rsidR="00000000" w:rsidRDefault="00405D16">
            <w:pPr>
              <w:spacing w:after="100"/>
              <w:jc w:val="right"/>
              <w:rPr>
                <w:rFonts w:eastAsia="Times New Roman"/>
                <w:sz w:val="20"/>
                <w:szCs w:val="20"/>
              </w:rPr>
            </w:pPr>
          </w:p>
        </w:tc>
        <w:tc>
          <w:tcPr>
            <w:tcW w:w="0" w:type="auto"/>
            <w:gridSpan w:val="3"/>
            <w:vAlign w:val="center"/>
            <w:hideMark/>
          </w:tcPr>
          <w:p w14:paraId="212CA11C" w14:textId="77777777" w:rsidR="00000000" w:rsidRDefault="00405D16">
            <w:pPr>
              <w:spacing w:after="100"/>
              <w:rPr>
                <w:rFonts w:eastAsia="Times New Roman"/>
                <w:sz w:val="20"/>
                <w:szCs w:val="20"/>
              </w:rPr>
            </w:pPr>
          </w:p>
        </w:tc>
        <w:tc>
          <w:tcPr>
            <w:tcW w:w="0" w:type="auto"/>
            <w:gridSpan w:val="3"/>
            <w:vAlign w:val="center"/>
            <w:hideMark/>
          </w:tcPr>
          <w:p w14:paraId="482D862A" w14:textId="77777777" w:rsidR="00000000" w:rsidRDefault="00405D16">
            <w:pPr>
              <w:spacing w:after="100"/>
              <w:rPr>
                <w:rFonts w:eastAsia="Times New Roman"/>
                <w:sz w:val="20"/>
                <w:szCs w:val="20"/>
              </w:rPr>
            </w:pPr>
          </w:p>
        </w:tc>
        <w:tc>
          <w:tcPr>
            <w:tcW w:w="0" w:type="auto"/>
            <w:gridSpan w:val="2"/>
            <w:vAlign w:val="center"/>
            <w:hideMark/>
          </w:tcPr>
          <w:p w14:paraId="1580CEAE" w14:textId="77777777" w:rsidR="00000000" w:rsidRDefault="00405D16">
            <w:pPr>
              <w:spacing w:after="100"/>
              <w:rPr>
                <w:rFonts w:eastAsia="Times New Roman"/>
                <w:sz w:val="20"/>
                <w:szCs w:val="20"/>
              </w:rPr>
            </w:pPr>
          </w:p>
        </w:tc>
        <w:tc>
          <w:tcPr>
            <w:tcW w:w="0" w:type="auto"/>
            <w:vAlign w:val="center"/>
            <w:hideMark/>
          </w:tcPr>
          <w:p w14:paraId="09859F63" w14:textId="77777777" w:rsidR="00000000" w:rsidRDefault="00405D16">
            <w:pPr>
              <w:spacing w:after="100"/>
              <w:rPr>
                <w:rFonts w:eastAsia="Times New Roman"/>
                <w:sz w:val="20"/>
                <w:szCs w:val="20"/>
              </w:rPr>
            </w:pPr>
          </w:p>
        </w:tc>
      </w:tr>
      <w:tr w:rsidR="00000000" w14:paraId="460FCB60" w14:textId="77777777">
        <w:tc>
          <w:tcPr>
            <w:tcW w:w="0" w:type="auto"/>
            <w:gridSpan w:val="3"/>
            <w:shd w:val="clear" w:color="auto" w:fill="FFFFFF"/>
            <w:tcMar>
              <w:top w:w="30" w:type="dxa"/>
              <w:left w:w="20" w:type="dxa"/>
              <w:bottom w:w="30" w:type="dxa"/>
              <w:right w:w="20" w:type="dxa"/>
            </w:tcMar>
            <w:vAlign w:val="center"/>
            <w:hideMark/>
          </w:tcPr>
          <w:p w14:paraId="4DA16720" w14:textId="77777777" w:rsidR="00000000" w:rsidRDefault="00405D16">
            <w:pPr>
              <w:spacing w:after="100"/>
              <w:divId w:val="1222399008"/>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43FE1256"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51253AC" w14:textId="77777777" w:rsidR="00000000" w:rsidRDefault="00405D16">
            <w:pPr>
              <w:spacing w:after="100"/>
              <w:jc w:val="right"/>
              <w:rPr>
                <w:rFonts w:eastAsia="Times New Roman"/>
              </w:rPr>
            </w:pPr>
            <w:r>
              <w:rPr>
                <w:rFonts w:eastAsia="Times New Roman"/>
                <w:b/>
                <w:bCs/>
                <w:color w:val="000000"/>
                <w:sz w:val="18"/>
                <w:szCs w:val="18"/>
              </w:rPr>
              <w:t>(223)</w:t>
            </w:r>
          </w:p>
        </w:tc>
        <w:tc>
          <w:tcPr>
            <w:tcW w:w="0" w:type="auto"/>
            <w:shd w:val="clear" w:color="auto" w:fill="FFFFFF"/>
            <w:tcMar>
              <w:top w:w="30" w:type="dxa"/>
              <w:left w:w="0" w:type="dxa"/>
              <w:bottom w:w="30" w:type="dxa"/>
              <w:right w:w="20" w:type="dxa"/>
            </w:tcMar>
            <w:vAlign w:val="center"/>
            <w:hideMark/>
          </w:tcPr>
          <w:p w14:paraId="2B20AC9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895AF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374A912" w14:textId="77777777" w:rsidR="00000000" w:rsidRDefault="00405D16">
            <w:pPr>
              <w:spacing w:after="100"/>
              <w:jc w:val="right"/>
              <w:rPr>
                <w:rFonts w:eastAsia="Times New Roman"/>
              </w:rPr>
            </w:pPr>
            <w:r>
              <w:rPr>
                <w:rFonts w:eastAsia="Times New Roman"/>
                <w:b/>
                <w:bCs/>
                <w:color w:val="000000"/>
                <w:sz w:val="18"/>
                <w:szCs w:val="18"/>
              </w:rPr>
              <w:t>(3)</w:t>
            </w:r>
          </w:p>
        </w:tc>
        <w:tc>
          <w:tcPr>
            <w:tcW w:w="0" w:type="auto"/>
            <w:shd w:val="clear" w:color="auto" w:fill="FFFFFF"/>
            <w:tcMar>
              <w:top w:w="30" w:type="dxa"/>
              <w:left w:w="0" w:type="dxa"/>
              <w:bottom w:w="30" w:type="dxa"/>
              <w:right w:w="20" w:type="dxa"/>
            </w:tcMar>
            <w:vAlign w:val="center"/>
            <w:hideMark/>
          </w:tcPr>
          <w:p w14:paraId="5D871FD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DD17C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3E7031D" w14:textId="77777777" w:rsidR="00000000" w:rsidRDefault="00405D16">
            <w:pPr>
              <w:spacing w:after="100"/>
              <w:jc w:val="right"/>
              <w:rPr>
                <w:rFonts w:eastAsia="Times New Roman"/>
              </w:rPr>
            </w:pPr>
            <w:r>
              <w:rPr>
                <w:rFonts w:eastAsia="Times New Roman"/>
                <w:b/>
                <w:bCs/>
                <w:color w:val="000000"/>
                <w:sz w:val="18"/>
                <w:szCs w:val="18"/>
              </w:rPr>
              <w:t>(200)</w:t>
            </w:r>
          </w:p>
        </w:tc>
        <w:tc>
          <w:tcPr>
            <w:tcW w:w="0" w:type="auto"/>
            <w:shd w:val="clear" w:color="auto" w:fill="FFFFFF"/>
            <w:tcMar>
              <w:top w:w="30" w:type="dxa"/>
              <w:left w:w="0" w:type="dxa"/>
              <w:bottom w:w="30" w:type="dxa"/>
              <w:right w:w="20" w:type="dxa"/>
            </w:tcMar>
            <w:vAlign w:val="center"/>
            <w:hideMark/>
          </w:tcPr>
          <w:p w14:paraId="006F621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134EF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BC8690B" w14:textId="77777777" w:rsidR="00000000" w:rsidRDefault="00405D16">
            <w:pPr>
              <w:spacing w:after="100"/>
              <w:jc w:val="right"/>
              <w:rPr>
                <w:rFonts w:eastAsia="Times New Roman"/>
              </w:rPr>
            </w:pPr>
            <w:r>
              <w:rPr>
                <w:rFonts w:eastAsia="Times New Roman"/>
                <w:b/>
                <w:bCs/>
                <w:color w:val="000000"/>
                <w:sz w:val="18"/>
                <w:szCs w:val="18"/>
              </w:rPr>
              <w:t>(6)</w:t>
            </w:r>
          </w:p>
        </w:tc>
        <w:tc>
          <w:tcPr>
            <w:tcW w:w="0" w:type="auto"/>
            <w:shd w:val="clear" w:color="auto" w:fill="FFFFFF"/>
            <w:tcMar>
              <w:top w:w="30" w:type="dxa"/>
              <w:left w:w="0" w:type="dxa"/>
              <w:bottom w:w="30" w:type="dxa"/>
              <w:right w:w="20" w:type="dxa"/>
            </w:tcMar>
            <w:vAlign w:val="center"/>
            <w:hideMark/>
          </w:tcPr>
          <w:p w14:paraId="727282B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0E924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00DC2BA" w14:textId="77777777" w:rsidR="00000000" w:rsidRDefault="00405D16">
            <w:pPr>
              <w:spacing w:after="100"/>
              <w:jc w:val="right"/>
              <w:rPr>
                <w:rFonts w:eastAsia="Times New Roman"/>
              </w:rPr>
            </w:pPr>
            <w:r>
              <w:rPr>
                <w:rFonts w:eastAsia="Times New Roman"/>
                <w:color w:val="000000"/>
                <w:sz w:val="18"/>
                <w:szCs w:val="18"/>
              </w:rPr>
              <w:t>311 </w:t>
            </w:r>
          </w:p>
        </w:tc>
        <w:tc>
          <w:tcPr>
            <w:tcW w:w="0" w:type="auto"/>
            <w:shd w:val="clear" w:color="auto" w:fill="FFFFFF"/>
            <w:tcMar>
              <w:top w:w="30" w:type="dxa"/>
              <w:left w:w="0" w:type="dxa"/>
              <w:bottom w:w="30" w:type="dxa"/>
              <w:right w:w="20" w:type="dxa"/>
            </w:tcMar>
            <w:vAlign w:val="center"/>
            <w:hideMark/>
          </w:tcPr>
          <w:p w14:paraId="2AF3F76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669C6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78B2A88" w14:textId="77777777" w:rsidR="00000000" w:rsidRDefault="00405D16">
            <w:pPr>
              <w:spacing w:after="100"/>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14:paraId="70EB7AD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D4AFB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E6529FD" w14:textId="77777777" w:rsidR="00000000" w:rsidRDefault="00405D16">
            <w:pPr>
              <w:spacing w:after="100"/>
              <w:jc w:val="right"/>
              <w:rPr>
                <w:rFonts w:eastAsia="Times New Roman"/>
              </w:rPr>
            </w:pPr>
            <w:r>
              <w:rPr>
                <w:rFonts w:eastAsia="Times New Roman"/>
                <w:color w:val="000000"/>
                <w:sz w:val="18"/>
                <w:szCs w:val="18"/>
              </w:rPr>
              <w:t>(113)</w:t>
            </w:r>
          </w:p>
        </w:tc>
        <w:tc>
          <w:tcPr>
            <w:tcW w:w="0" w:type="auto"/>
            <w:shd w:val="clear" w:color="auto" w:fill="FFFFFF"/>
            <w:tcMar>
              <w:top w:w="30" w:type="dxa"/>
              <w:left w:w="0" w:type="dxa"/>
              <w:bottom w:w="30" w:type="dxa"/>
              <w:right w:w="20" w:type="dxa"/>
            </w:tcMar>
            <w:vAlign w:val="center"/>
            <w:hideMark/>
          </w:tcPr>
          <w:p w14:paraId="4A089F1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CBD01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0FB6FBA" w14:textId="77777777" w:rsidR="00000000" w:rsidRDefault="00405D16">
            <w:pPr>
              <w:spacing w:after="100"/>
              <w:jc w:val="right"/>
              <w:rPr>
                <w:rFonts w:eastAsia="Times New Roman"/>
              </w:rPr>
            </w:pPr>
            <w:r>
              <w:rPr>
                <w:rFonts w:eastAsia="Times New Roman"/>
                <w:color w:val="000000"/>
                <w:sz w:val="18"/>
                <w:szCs w:val="18"/>
              </w:rPr>
              <w:t>(5)</w:t>
            </w:r>
          </w:p>
        </w:tc>
        <w:tc>
          <w:tcPr>
            <w:tcW w:w="0" w:type="auto"/>
            <w:shd w:val="clear" w:color="auto" w:fill="FFFFFF"/>
            <w:tcMar>
              <w:top w:w="30" w:type="dxa"/>
              <w:left w:w="0" w:type="dxa"/>
              <w:bottom w:w="30" w:type="dxa"/>
              <w:right w:w="20" w:type="dxa"/>
            </w:tcMar>
            <w:vAlign w:val="center"/>
            <w:hideMark/>
          </w:tcPr>
          <w:p w14:paraId="78FA1D31" w14:textId="77777777" w:rsidR="00000000" w:rsidRDefault="00405D16">
            <w:pPr>
              <w:spacing w:after="100"/>
              <w:jc w:val="right"/>
              <w:rPr>
                <w:rFonts w:eastAsia="Times New Roman"/>
              </w:rPr>
            </w:pPr>
          </w:p>
        </w:tc>
        <w:tc>
          <w:tcPr>
            <w:tcW w:w="0" w:type="auto"/>
            <w:gridSpan w:val="3"/>
            <w:vAlign w:val="center"/>
            <w:hideMark/>
          </w:tcPr>
          <w:p w14:paraId="2E3ECCEC" w14:textId="77777777" w:rsidR="00000000" w:rsidRDefault="00405D16">
            <w:pPr>
              <w:spacing w:after="100"/>
              <w:jc w:val="right"/>
              <w:rPr>
                <w:rFonts w:eastAsia="Times New Roman"/>
                <w:sz w:val="20"/>
                <w:szCs w:val="20"/>
              </w:rPr>
            </w:pPr>
          </w:p>
        </w:tc>
        <w:tc>
          <w:tcPr>
            <w:tcW w:w="0" w:type="auto"/>
            <w:gridSpan w:val="3"/>
            <w:vAlign w:val="center"/>
            <w:hideMark/>
          </w:tcPr>
          <w:p w14:paraId="3A4857C5" w14:textId="77777777" w:rsidR="00000000" w:rsidRDefault="00405D16">
            <w:pPr>
              <w:spacing w:after="100"/>
              <w:rPr>
                <w:rFonts w:eastAsia="Times New Roman"/>
                <w:sz w:val="20"/>
                <w:szCs w:val="20"/>
              </w:rPr>
            </w:pPr>
          </w:p>
        </w:tc>
        <w:tc>
          <w:tcPr>
            <w:tcW w:w="0" w:type="auto"/>
            <w:gridSpan w:val="3"/>
            <w:vAlign w:val="center"/>
            <w:hideMark/>
          </w:tcPr>
          <w:p w14:paraId="045BF8D6" w14:textId="77777777" w:rsidR="00000000" w:rsidRDefault="00405D16">
            <w:pPr>
              <w:spacing w:after="100"/>
              <w:rPr>
                <w:rFonts w:eastAsia="Times New Roman"/>
                <w:sz w:val="20"/>
                <w:szCs w:val="20"/>
              </w:rPr>
            </w:pPr>
          </w:p>
        </w:tc>
        <w:tc>
          <w:tcPr>
            <w:tcW w:w="0" w:type="auto"/>
            <w:gridSpan w:val="2"/>
            <w:vAlign w:val="center"/>
            <w:hideMark/>
          </w:tcPr>
          <w:p w14:paraId="5765DC2B" w14:textId="77777777" w:rsidR="00000000" w:rsidRDefault="00405D16">
            <w:pPr>
              <w:spacing w:after="100"/>
              <w:rPr>
                <w:rFonts w:eastAsia="Times New Roman"/>
                <w:sz w:val="20"/>
                <w:szCs w:val="20"/>
              </w:rPr>
            </w:pPr>
          </w:p>
        </w:tc>
        <w:tc>
          <w:tcPr>
            <w:tcW w:w="0" w:type="auto"/>
            <w:vAlign w:val="center"/>
            <w:hideMark/>
          </w:tcPr>
          <w:p w14:paraId="79BC40D3" w14:textId="77777777" w:rsidR="00000000" w:rsidRDefault="00405D16">
            <w:pPr>
              <w:spacing w:after="100"/>
              <w:rPr>
                <w:rFonts w:eastAsia="Times New Roman"/>
                <w:sz w:val="20"/>
                <w:szCs w:val="20"/>
              </w:rPr>
            </w:pPr>
          </w:p>
        </w:tc>
      </w:tr>
      <w:tr w:rsidR="00000000" w14:paraId="6A450D09" w14:textId="77777777">
        <w:tc>
          <w:tcPr>
            <w:tcW w:w="0" w:type="auto"/>
            <w:gridSpan w:val="3"/>
            <w:shd w:val="clear" w:color="auto" w:fill="CCEEFF"/>
            <w:tcMar>
              <w:top w:w="30" w:type="dxa"/>
              <w:left w:w="20" w:type="dxa"/>
              <w:bottom w:w="30" w:type="dxa"/>
              <w:right w:w="20" w:type="dxa"/>
            </w:tcMar>
            <w:vAlign w:val="center"/>
            <w:hideMark/>
          </w:tcPr>
          <w:p w14:paraId="66F9EAEE" w14:textId="77777777" w:rsidR="00000000" w:rsidRDefault="00405D16">
            <w:pPr>
              <w:spacing w:after="100"/>
              <w:divId w:val="1830712303"/>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1CB68A20"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1DDA30D"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EC4F0C1" w14:textId="77777777" w:rsidR="00000000" w:rsidRDefault="00405D16">
            <w:pPr>
              <w:spacing w:after="100"/>
              <w:jc w:val="right"/>
              <w:rPr>
                <w:rFonts w:eastAsia="Times New Roman"/>
              </w:rPr>
            </w:pPr>
            <w:r>
              <w:rPr>
                <w:rFonts w:eastAsia="Times New Roman"/>
                <w:b/>
                <w:bCs/>
                <w:color w:val="000000"/>
                <w:sz w:val="18"/>
                <w:szCs w:val="18"/>
              </w:rPr>
              <w:t>7,830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454FD7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8BD660" w14:textId="77777777" w:rsidR="00000000" w:rsidRDefault="00405D1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EAC2AAB" w14:textId="77777777" w:rsidR="00000000" w:rsidRDefault="00405D16">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DEDBD75"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48A1B74" w14:textId="77777777" w:rsidR="00000000" w:rsidRDefault="00405D16">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14C04FC"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C681B33" w14:textId="77777777" w:rsidR="00000000" w:rsidRDefault="00405D16">
            <w:pPr>
              <w:spacing w:after="100"/>
              <w:jc w:val="right"/>
              <w:rPr>
                <w:rFonts w:eastAsia="Times New Roman"/>
              </w:rPr>
            </w:pPr>
            <w:r>
              <w:rPr>
                <w:rFonts w:eastAsia="Times New Roman"/>
                <w:b/>
                <w:bCs/>
                <w:color w:val="000000"/>
                <w:sz w:val="18"/>
                <w:szCs w:val="18"/>
              </w:rPr>
              <w:t>3,104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0E863B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457A5C" w14:textId="77777777" w:rsidR="00000000" w:rsidRDefault="00405D1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A73D50A" w14:textId="77777777" w:rsidR="00000000" w:rsidRDefault="00405D16">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8C0D49E"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8A9B87F" w14:textId="77777777" w:rsidR="00000000" w:rsidRDefault="00405D16">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217A6CB"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0669E9A" w14:textId="77777777" w:rsidR="00000000" w:rsidRDefault="00405D16">
            <w:pPr>
              <w:spacing w:after="100"/>
              <w:jc w:val="right"/>
              <w:rPr>
                <w:rFonts w:eastAsia="Times New Roman"/>
              </w:rPr>
            </w:pPr>
            <w:r>
              <w:rPr>
                <w:rFonts w:eastAsia="Times New Roman"/>
                <w:color w:val="000000"/>
                <w:sz w:val="18"/>
                <w:szCs w:val="18"/>
              </w:rPr>
              <w:t>7,381 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BDF402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ACF993" w14:textId="77777777" w:rsidR="00000000" w:rsidRDefault="00405D1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CEF5B57" w14:textId="77777777" w:rsidR="00000000" w:rsidRDefault="00405D16">
            <w:pPr>
              <w:spacing w:after="100"/>
              <w:jc w:val="right"/>
              <w:rPr>
                <w:rFonts w:eastAsia="Times New Roman"/>
              </w:rPr>
            </w:pPr>
            <w:r>
              <w:rPr>
                <w:rFonts w:eastAsia="Times New Roman"/>
                <w:color w:val="000000"/>
                <w:sz w:val="18"/>
                <w:szCs w:val="18"/>
              </w:rPr>
              <w:t>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58FD166"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9612A1F" w14:textId="77777777" w:rsidR="00000000" w:rsidRDefault="00405D16">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0F99A8AD"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4E8BE48" w14:textId="77777777" w:rsidR="00000000" w:rsidRDefault="00405D16">
            <w:pPr>
              <w:spacing w:after="100"/>
              <w:jc w:val="right"/>
              <w:rPr>
                <w:rFonts w:eastAsia="Times New Roman"/>
              </w:rPr>
            </w:pPr>
            <w:r>
              <w:rPr>
                <w:rFonts w:eastAsia="Times New Roman"/>
                <w:color w:val="000000"/>
                <w:sz w:val="18"/>
                <w:szCs w:val="18"/>
              </w:rPr>
              <w:t>2,406 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FD883E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4A2F01" w14:textId="77777777" w:rsidR="00000000" w:rsidRDefault="00405D1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8FA28A1" w14:textId="77777777" w:rsidR="00000000" w:rsidRDefault="00405D16">
            <w:pPr>
              <w:spacing w:after="100"/>
              <w:jc w:val="right"/>
              <w:rPr>
                <w:rFonts w:eastAsia="Times New Roman"/>
              </w:rPr>
            </w:pPr>
            <w:r>
              <w:rPr>
                <w:rFonts w:eastAsia="Times New Roman"/>
                <w:color w:val="000000"/>
                <w:sz w:val="18"/>
                <w:szCs w:val="18"/>
              </w:rPr>
              <w:t>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FF59EA6"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6CD4314D" w14:textId="77777777" w:rsidR="00000000" w:rsidRDefault="00405D16">
            <w:pPr>
              <w:spacing w:after="100"/>
              <w:jc w:val="right"/>
              <w:rPr>
                <w:rFonts w:eastAsia="Times New Roman"/>
              </w:rPr>
            </w:pPr>
          </w:p>
        </w:tc>
        <w:tc>
          <w:tcPr>
            <w:tcW w:w="0" w:type="auto"/>
            <w:gridSpan w:val="3"/>
            <w:vAlign w:val="center"/>
            <w:hideMark/>
          </w:tcPr>
          <w:p w14:paraId="23743F80" w14:textId="77777777" w:rsidR="00000000" w:rsidRDefault="00405D16">
            <w:pPr>
              <w:spacing w:after="100"/>
              <w:rPr>
                <w:rFonts w:eastAsia="Times New Roman"/>
                <w:sz w:val="20"/>
                <w:szCs w:val="20"/>
              </w:rPr>
            </w:pPr>
          </w:p>
        </w:tc>
        <w:tc>
          <w:tcPr>
            <w:tcW w:w="0" w:type="auto"/>
            <w:gridSpan w:val="3"/>
            <w:vAlign w:val="center"/>
            <w:hideMark/>
          </w:tcPr>
          <w:p w14:paraId="3DB4D3F6" w14:textId="77777777" w:rsidR="00000000" w:rsidRDefault="00405D16">
            <w:pPr>
              <w:spacing w:after="100"/>
              <w:rPr>
                <w:rFonts w:eastAsia="Times New Roman"/>
                <w:sz w:val="20"/>
                <w:szCs w:val="20"/>
              </w:rPr>
            </w:pPr>
          </w:p>
        </w:tc>
        <w:tc>
          <w:tcPr>
            <w:tcW w:w="0" w:type="auto"/>
            <w:gridSpan w:val="2"/>
            <w:vAlign w:val="center"/>
            <w:hideMark/>
          </w:tcPr>
          <w:p w14:paraId="5D3462A0" w14:textId="77777777" w:rsidR="00000000" w:rsidRDefault="00405D16">
            <w:pPr>
              <w:spacing w:after="100"/>
              <w:rPr>
                <w:rFonts w:eastAsia="Times New Roman"/>
                <w:sz w:val="20"/>
                <w:szCs w:val="20"/>
              </w:rPr>
            </w:pPr>
          </w:p>
        </w:tc>
        <w:tc>
          <w:tcPr>
            <w:tcW w:w="0" w:type="auto"/>
            <w:vAlign w:val="center"/>
            <w:hideMark/>
          </w:tcPr>
          <w:p w14:paraId="3DB8814C" w14:textId="77777777" w:rsidR="00000000" w:rsidRDefault="00405D16">
            <w:pPr>
              <w:spacing w:after="100"/>
              <w:rPr>
                <w:rFonts w:eastAsia="Times New Roman"/>
                <w:sz w:val="20"/>
                <w:szCs w:val="20"/>
              </w:rPr>
            </w:pPr>
          </w:p>
        </w:tc>
      </w:tr>
    </w:tbl>
    <w:p w14:paraId="7611F698" w14:textId="77777777" w:rsidR="00000000" w:rsidRDefault="00405D16">
      <w:pPr>
        <w:jc w:val="both"/>
        <w:divId w:val="125220188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1899"/>
        <w:gridCol w:w="38"/>
        <w:gridCol w:w="36"/>
        <w:gridCol w:w="36"/>
        <w:gridCol w:w="36"/>
        <w:gridCol w:w="110"/>
        <w:gridCol w:w="540"/>
        <w:gridCol w:w="36"/>
        <w:gridCol w:w="36"/>
        <w:gridCol w:w="36"/>
        <w:gridCol w:w="36"/>
        <w:gridCol w:w="57"/>
        <w:gridCol w:w="343"/>
        <w:gridCol w:w="200"/>
        <w:gridCol w:w="36"/>
        <w:gridCol w:w="36"/>
        <w:gridCol w:w="36"/>
        <w:gridCol w:w="111"/>
        <w:gridCol w:w="509"/>
        <w:gridCol w:w="36"/>
        <w:gridCol w:w="36"/>
        <w:gridCol w:w="36"/>
        <w:gridCol w:w="36"/>
        <w:gridCol w:w="57"/>
        <w:gridCol w:w="343"/>
        <w:gridCol w:w="200"/>
        <w:gridCol w:w="36"/>
        <w:gridCol w:w="36"/>
        <w:gridCol w:w="36"/>
        <w:gridCol w:w="110"/>
        <w:gridCol w:w="540"/>
        <w:gridCol w:w="36"/>
        <w:gridCol w:w="36"/>
        <w:gridCol w:w="36"/>
        <w:gridCol w:w="36"/>
        <w:gridCol w:w="57"/>
        <w:gridCol w:w="343"/>
        <w:gridCol w:w="170"/>
        <w:gridCol w:w="36"/>
        <w:gridCol w:w="36"/>
        <w:gridCol w:w="36"/>
        <w:gridCol w:w="111"/>
        <w:gridCol w:w="509"/>
        <w:gridCol w:w="36"/>
        <w:gridCol w:w="36"/>
        <w:gridCol w:w="36"/>
        <w:gridCol w:w="36"/>
        <w:gridCol w:w="59"/>
        <w:gridCol w:w="351"/>
        <w:gridCol w:w="170"/>
        <w:gridCol w:w="36"/>
        <w:gridCol w:w="36"/>
        <w:gridCol w:w="36"/>
        <w:gridCol w:w="36"/>
        <w:gridCol w:w="36"/>
        <w:gridCol w:w="36"/>
        <w:gridCol w:w="36"/>
        <w:gridCol w:w="36"/>
        <w:gridCol w:w="36"/>
        <w:gridCol w:w="36"/>
        <w:gridCol w:w="36"/>
        <w:gridCol w:w="36"/>
      </w:tblGrid>
      <w:tr w:rsidR="00000000" w14:paraId="1E309ECE" w14:textId="77777777">
        <w:trPr>
          <w:divId w:val="1252201886"/>
        </w:trPr>
        <w:tc>
          <w:tcPr>
            <w:tcW w:w="50" w:type="pct"/>
            <w:vAlign w:val="center"/>
            <w:hideMark/>
          </w:tcPr>
          <w:p w14:paraId="2A2E2DBD" w14:textId="77777777" w:rsidR="00000000" w:rsidRDefault="00405D16">
            <w:pPr>
              <w:jc w:val="both"/>
              <w:rPr>
                <w:rFonts w:eastAsia="Times New Roman"/>
              </w:rPr>
            </w:pPr>
          </w:p>
        </w:tc>
        <w:tc>
          <w:tcPr>
            <w:tcW w:w="1787" w:type="pct"/>
            <w:vAlign w:val="center"/>
            <w:hideMark/>
          </w:tcPr>
          <w:p w14:paraId="489D83B3" w14:textId="77777777" w:rsidR="00000000" w:rsidRDefault="00405D16">
            <w:pPr>
              <w:spacing w:after="100"/>
              <w:rPr>
                <w:rFonts w:eastAsia="Times New Roman"/>
                <w:sz w:val="20"/>
                <w:szCs w:val="20"/>
              </w:rPr>
            </w:pPr>
          </w:p>
        </w:tc>
        <w:tc>
          <w:tcPr>
            <w:tcW w:w="5" w:type="pct"/>
            <w:vAlign w:val="center"/>
            <w:hideMark/>
          </w:tcPr>
          <w:p w14:paraId="5DD25446" w14:textId="77777777" w:rsidR="00000000" w:rsidRDefault="00405D16">
            <w:pPr>
              <w:spacing w:after="100"/>
              <w:rPr>
                <w:rFonts w:eastAsia="Times New Roman"/>
                <w:sz w:val="20"/>
                <w:szCs w:val="20"/>
              </w:rPr>
            </w:pPr>
          </w:p>
        </w:tc>
        <w:tc>
          <w:tcPr>
            <w:tcW w:w="5" w:type="pct"/>
            <w:vAlign w:val="center"/>
            <w:hideMark/>
          </w:tcPr>
          <w:p w14:paraId="68F7F0FF" w14:textId="77777777" w:rsidR="00000000" w:rsidRDefault="00405D16">
            <w:pPr>
              <w:spacing w:after="100"/>
              <w:rPr>
                <w:rFonts w:eastAsia="Times New Roman"/>
                <w:sz w:val="20"/>
                <w:szCs w:val="20"/>
              </w:rPr>
            </w:pPr>
          </w:p>
        </w:tc>
        <w:tc>
          <w:tcPr>
            <w:tcW w:w="26" w:type="pct"/>
            <w:vAlign w:val="center"/>
            <w:hideMark/>
          </w:tcPr>
          <w:p w14:paraId="0AE5523D" w14:textId="77777777" w:rsidR="00000000" w:rsidRDefault="00405D16">
            <w:pPr>
              <w:spacing w:after="100"/>
              <w:rPr>
                <w:rFonts w:eastAsia="Times New Roman"/>
                <w:sz w:val="20"/>
                <w:szCs w:val="20"/>
              </w:rPr>
            </w:pPr>
          </w:p>
        </w:tc>
        <w:tc>
          <w:tcPr>
            <w:tcW w:w="5" w:type="pct"/>
            <w:vAlign w:val="center"/>
            <w:hideMark/>
          </w:tcPr>
          <w:p w14:paraId="1A909B58" w14:textId="77777777" w:rsidR="00000000" w:rsidRDefault="00405D16">
            <w:pPr>
              <w:spacing w:after="100"/>
              <w:rPr>
                <w:rFonts w:eastAsia="Times New Roman"/>
                <w:sz w:val="20"/>
                <w:szCs w:val="20"/>
              </w:rPr>
            </w:pPr>
          </w:p>
        </w:tc>
        <w:tc>
          <w:tcPr>
            <w:tcW w:w="50" w:type="pct"/>
            <w:vAlign w:val="center"/>
            <w:hideMark/>
          </w:tcPr>
          <w:p w14:paraId="38A446C0" w14:textId="77777777" w:rsidR="00000000" w:rsidRDefault="00405D16">
            <w:pPr>
              <w:spacing w:after="100"/>
              <w:rPr>
                <w:rFonts w:eastAsia="Times New Roman"/>
                <w:sz w:val="20"/>
                <w:szCs w:val="20"/>
              </w:rPr>
            </w:pPr>
          </w:p>
        </w:tc>
        <w:tc>
          <w:tcPr>
            <w:tcW w:w="303" w:type="pct"/>
            <w:vAlign w:val="center"/>
            <w:hideMark/>
          </w:tcPr>
          <w:p w14:paraId="113B0E0B" w14:textId="77777777" w:rsidR="00000000" w:rsidRDefault="00405D16">
            <w:pPr>
              <w:spacing w:after="100"/>
              <w:rPr>
                <w:rFonts w:eastAsia="Times New Roman"/>
                <w:sz w:val="20"/>
                <w:szCs w:val="20"/>
              </w:rPr>
            </w:pPr>
          </w:p>
        </w:tc>
        <w:tc>
          <w:tcPr>
            <w:tcW w:w="5" w:type="pct"/>
            <w:vAlign w:val="center"/>
            <w:hideMark/>
          </w:tcPr>
          <w:p w14:paraId="21966AC1" w14:textId="77777777" w:rsidR="00000000" w:rsidRDefault="00405D16">
            <w:pPr>
              <w:spacing w:after="100"/>
              <w:rPr>
                <w:rFonts w:eastAsia="Times New Roman"/>
                <w:sz w:val="20"/>
                <w:szCs w:val="20"/>
              </w:rPr>
            </w:pPr>
          </w:p>
        </w:tc>
        <w:tc>
          <w:tcPr>
            <w:tcW w:w="5" w:type="pct"/>
            <w:vAlign w:val="center"/>
            <w:hideMark/>
          </w:tcPr>
          <w:p w14:paraId="228A2EC7" w14:textId="77777777" w:rsidR="00000000" w:rsidRDefault="00405D16">
            <w:pPr>
              <w:spacing w:after="100"/>
              <w:rPr>
                <w:rFonts w:eastAsia="Times New Roman"/>
                <w:sz w:val="20"/>
                <w:szCs w:val="20"/>
              </w:rPr>
            </w:pPr>
          </w:p>
        </w:tc>
        <w:tc>
          <w:tcPr>
            <w:tcW w:w="26" w:type="pct"/>
            <w:vAlign w:val="center"/>
            <w:hideMark/>
          </w:tcPr>
          <w:p w14:paraId="2A3158C5" w14:textId="77777777" w:rsidR="00000000" w:rsidRDefault="00405D16">
            <w:pPr>
              <w:spacing w:after="100"/>
              <w:rPr>
                <w:rFonts w:eastAsia="Times New Roman"/>
                <w:sz w:val="20"/>
                <w:szCs w:val="20"/>
              </w:rPr>
            </w:pPr>
          </w:p>
        </w:tc>
        <w:tc>
          <w:tcPr>
            <w:tcW w:w="5" w:type="pct"/>
            <w:vAlign w:val="center"/>
            <w:hideMark/>
          </w:tcPr>
          <w:p w14:paraId="42273430" w14:textId="77777777" w:rsidR="00000000" w:rsidRDefault="00405D16">
            <w:pPr>
              <w:spacing w:after="100"/>
              <w:rPr>
                <w:rFonts w:eastAsia="Times New Roman"/>
                <w:sz w:val="20"/>
                <w:szCs w:val="20"/>
              </w:rPr>
            </w:pPr>
          </w:p>
        </w:tc>
        <w:tc>
          <w:tcPr>
            <w:tcW w:w="50" w:type="pct"/>
            <w:vAlign w:val="center"/>
            <w:hideMark/>
          </w:tcPr>
          <w:p w14:paraId="7509FF3C" w14:textId="77777777" w:rsidR="00000000" w:rsidRDefault="00405D16">
            <w:pPr>
              <w:spacing w:after="100"/>
              <w:rPr>
                <w:rFonts w:eastAsia="Times New Roman"/>
                <w:sz w:val="20"/>
                <w:szCs w:val="20"/>
              </w:rPr>
            </w:pPr>
          </w:p>
        </w:tc>
        <w:tc>
          <w:tcPr>
            <w:tcW w:w="303" w:type="pct"/>
            <w:vAlign w:val="center"/>
            <w:hideMark/>
          </w:tcPr>
          <w:p w14:paraId="1B918CEC" w14:textId="77777777" w:rsidR="00000000" w:rsidRDefault="00405D16">
            <w:pPr>
              <w:spacing w:after="100"/>
              <w:rPr>
                <w:rFonts w:eastAsia="Times New Roman"/>
                <w:sz w:val="20"/>
                <w:szCs w:val="20"/>
              </w:rPr>
            </w:pPr>
          </w:p>
        </w:tc>
        <w:tc>
          <w:tcPr>
            <w:tcW w:w="5" w:type="pct"/>
            <w:vAlign w:val="center"/>
            <w:hideMark/>
          </w:tcPr>
          <w:p w14:paraId="39D7F168" w14:textId="77777777" w:rsidR="00000000" w:rsidRDefault="00405D16">
            <w:pPr>
              <w:spacing w:after="100"/>
              <w:rPr>
                <w:rFonts w:eastAsia="Times New Roman"/>
                <w:sz w:val="20"/>
                <w:szCs w:val="20"/>
              </w:rPr>
            </w:pPr>
          </w:p>
        </w:tc>
        <w:tc>
          <w:tcPr>
            <w:tcW w:w="5" w:type="pct"/>
            <w:vAlign w:val="center"/>
            <w:hideMark/>
          </w:tcPr>
          <w:p w14:paraId="2C54FB0C" w14:textId="77777777" w:rsidR="00000000" w:rsidRDefault="00405D16">
            <w:pPr>
              <w:spacing w:after="100"/>
              <w:rPr>
                <w:rFonts w:eastAsia="Times New Roman"/>
                <w:sz w:val="20"/>
                <w:szCs w:val="20"/>
              </w:rPr>
            </w:pPr>
          </w:p>
        </w:tc>
        <w:tc>
          <w:tcPr>
            <w:tcW w:w="26" w:type="pct"/>
            <w:vAlign w:val="center"/>
            <w:hideMark/>
          </w:tcPr>
          <w:p w14:paraId="532FD426" w14:textId="77777777" w:rsidR="00000000" w:rsidRDefault="00405D16">
            <w:pPr>
              <w:spacing w:after="100"/>
              <w:rPr>
                <w:rFonts w:eastAsia="Times New Roman"/>
                <w:sz w:val="20"/>
                <w:szCs w:val="20"/>
              </w:rPr>
            </w:pPr>
          </w:p>
        </w:tc>
        <w:tc>
          <w:tcPr>
            <w:tcW w:w="5" w:type="pct"/>
            <w:vAlign w:val="center"/>
            <w:hideMark/>
          </w:tcPr>
          <w:p w14:paraId="6CEA9902" w14:textId="77777777" w:rsidR="00000000" w:rsidRDefault="00405D16">
            <w:pPr>
              <w:spacing w:after="100"/>
              <w:rPr>
                <w:rFonts w:eastAsia="Times New Roman"/>
                <w:sz w:val="20"/>
                <w:szCs w:val="20"/>
              </w:rPr>
            </w:pPr>
          </w:p>
        </w:tc>
        <w:tc>
          <w:tcPr>
            <w:tcW w:w="50" w:type="pct"/>
            <w:vAlign w:val="center"/>
            <w:hideMark/>
          </w:tcPr>
          <w:p w14:paraId="7EFCCE72" w14:textId="77777777" w:rsidR="00000000" w:rsidRDefault="00405D16">
            <w:pPr>
              <w:spacing w:after="100"/>
              <w:rPr>
                <w:rFonts w:eastAsia="Times New Roman"/>
                <w:sz w:val="20"/>
                <w:szCs w:val="20"/>
              </w:rPr>
            </w:pPr>
          </w:p>
        </w:tc>
        <w:tc>
          <w:tcPr>
            <w:tcW w:w="303" w:type="pct"/>
            <w:vAlign w:val="center"/>
            <w:hideMark/>
          </w:tcPr>
          <w:p w14:paraId="4388DAD5" w14:textId="77777777" w:rsidR="00000000" w:rsidRDefault="00405D16">
            <w:pPr>
              <w:spacing w:after="100"/>
              <w:rPr>
                <w:rFonts w:eastAsia="Times New Roman"/>
                <w:sz w:val="20"/>
                <w:szCs w:val="20"/>
              </w:rPr>
            </w:pPr>
          </w:p>
        </w:tc>
        <w:tc>
          <w:tcPr>
            <w:tcW w:w="5" w:type="pct"/>
            <w:vAlign w:val="center"/>
            <w:hideMark/>
          </w:tcPr>
          <w:p w14:paraId="743FFB1D" w14:textId="77777777" w:rsidR="00000000" w:rsidRDefault="00405D16">
            <w:pPr>
              <w:spacing w:after="100"/>
              <w:rPr>
                <w:rFonts w:eastAsia="Times New Roman"/>
                <w:sz w:val="20"/>
                <w:szCs w:val="20"/>
              </w:rPr>
            </w:pPr>
          </w:p>
        </w:tc>
        <w:tc>
          <w:tcPr>
            <w:tcW w:w="5" w:type="pct"/>
            <w:vAlign w:val="center"/>
            <w:hideMark/>
          </w:tcPr>
          <w:p w14:paraId="55916A4A" w14:textId="77777777" w:rsidR="00000000" w:rsidRDefault="00405D16">
            <w:pPr>
              <w:spacing w:after="100"/>
              <w:rPr>
                <w:rFonts w:eastAsia="Times New Roman"/>
                <w:sz w:val="20"/>
                <w:szCs w:val="20"/>
              </w:rPr>
            </w:pPr>
          </w:p>
        </w:tc>
        <w:tc>
          <w:tcPr>
            <w:tcW w:w="26" w:type="pct"/>
            <w:vAlign w:val="center"/>
            <w:hideMark/>
          </w:tcPr>
          <w:p w14:paraId="46A7824F" w14:textId="77777777" w:rsidR="00000000" w:rsidRDefault="00405D16">
            <w:pPr>
              <w:spacing w:after="100"/>
              <w:rPr>
                <w:rFonts w:eastAsia="Times New Roman"/>
                <w:sz w:val="20"/>
                <w:szCs w:val="20"/>
              </w:rPr>
            </w:pPr>
          </w:p>
        </w:tc>
        <w:tc>
          <w:tcPr>
            <w:tcW w:w="5" w:type="pct"/>
            <w:vAlign w:val="center"/>
            <w:hideMark/>
          </w:tcPr>
          <w:p w14:paraId="233ED9FB" w14:textId="77777777" w:rsidR="00000000" w:rsidRDefault="00405D16">
            <w:pPr>
              <w:spacing w:after="100"/>
              <w:rPr>
                <w:rFonts w:eastAsia="Times New Roman"/>
                <w:sz w:val="20"/>
                <w:szCs w:val="20"/>
              </w:rPr>
            </w:pPr>
          </w:p>
        </w:tc>
        <w:tc>
          <w:tcPr>
            <w:tcW w:w="50" w:type="pct"/>
            <w:vAlign w:val="center"/>
            <w:hideMark/>
          </w:tcPr>
          <w:p w14:paraId="3D3D3E63" w14:textId="77777777" w:rsidR="00000000" w:rsidRDefault="00405D16">
            <w:pPr>
              <w:spacing w:after="100"/>
              <w:rPr>
                <w:rFonts w:eastAsia="Times New Roman"/>
                <w:sz w:val="20"/>
                <w:szCs w:val="20"/>
              </w:rPr>
            </w:pPr>
          </w:p>
        </w:tc>
        <w:tc>
          <w:tcPr>
            <w:tcW w:w="303" w:type="pct"/>
            <w:vAlign w:val="center"/>
            <w:hideMark/>
          </w:tcPr>
          <w:p w14:paraId="718F2B63" w14:textId="77777777" w:rsidR="00000000" w:rsidRDefault="00405D16">
            <w:pPr>
              <w:spacing w:after="100"/>
              <w:rPr>
                <w:rFonts w:eastAsia="Times New Roman"/>
                <w:sz w:val="20"/>
                <w:szCs w:val="20"/>
              </w:rPr>
            </w:pPr>
          </w:p>
        </w:tc>
        <w:tc>
          <w:tcPr>
            <w:tcW w:w="5" w:type="pct"/>
            <w:vAlign w:val="center"/>
            <w:hideMark/>
          </w:tcPr>
          <w:p w14:paraId="1C80637D" w14:textId="77777777" w:rsidR="00000000" w:rsidRDefault="00405D16">
            <w:pPr>
              <w:spacing w:after="100"/>
              <w:rPr>
                <w:rFonts w:eastAsia="Times New Roman"/>
                <w:sz w:val="20"/>
                <w:szCs w:val="20"/>
              </w:rPr>
            </w:pPr>
          </w:p>
        </w:tc>
        <w:tc>
          <w:tcPr>
            <w:tcW w:w="5" w:type="pct"/>
            <w:vAlign w:val="center"/>
            <w:hideMark/>
          </w:tcPr>
          <w:p w14:paraId="047562E5" w14:textId="77777777" w:rsidR="00000000" w:rsidRDefault="00405D16">
            <w:pPr>
              <w:spacing w:after="100"/>
              <w:rPr>
                <w:rFonts w:eastAsia="Times New Roman"/>
                <w:sz w:val="20"/>
                <w:szCs w:val="20"/>
              </w:rPr>
            </w:pPr>
          </w:p>
        </w:tc>
        <w:tc>
          <w:tcPr>
            <w:tcW w:w="26" w:type="pct"/>
            <w:vAlign w:val="center"/>
            <w:hideMark/>
          </w:tcPr>
          <w:p w14:paraId="265F8C50" w14:textId="77777777" w:rsidR="00000000" w:rsidRDefault="00405D16">
            <w:pPr>
              <w:spacing w:after="100"/>
              <w:rPr>
                <w:rFonts w:eastAsia="Times New Roman"/>
                <w:sz w:val="20"/>
                <w:szCs w:val="20"/>
              </w:rPr>
            </w:pPr>
          </w:p>
        </w:tc>
        <w:tc>
          <w:tcPr>
            <w:tcW w:w="5" w:type="pct"/>
            <w:vAlign w:val="center"/>
            <w:hideMark/>
          </w:tcPr>
          <w:p w14:paraId="3A96977A" w14:textId="77777777" w:rsidR="00000000" w:rsidRDefault="00405D16">
            <w:pPr>
              <w:spacing w:after="100"/>
              <w:rPr>
                <w:rFonts w:eastAsia="Times New Roman"/>
                <w:sz w:val="20"/>
                <w:szCs w:val="20"/>
              </w:rPr>
            </w:pPr>
          </w:p>
        </w:tc>
        <w:tc>
          <w:tcPr>
            <w:tcW w:w="50" w:type="pct"/>
            <w:vAlign w:val="center"/>
            <w:hideMark/>
          </w:tcPr>
          <w:p w14:paraId="3E3E08EC" w14:textId="77777777" w:rsidR="00000000" w:rsidRDefault="00405D16">
            <w:pPr>
              <w:spacing w:after="100"/>
              <w:rPr>
                <w:rFonts w:eastAsia="Times New Roman"/>
                <w:sz w:val="20"/>
                <w:szCs w:val="20"/>
              </w:rPr>
            </w:pPr>
          </w:p>
        </w:tc>
        <w:tc>
          <w:tcPr>
            <w:tcW w:w="303" w:type="pct"/>
            <w:vAlign w:val="center"/>
            <w:hideMark/>
          </w:tcPr>
          <w:p w14:paraId="6CE92B43" w14:textId="77777777" w:rsidR="00000000" w:rsidRDefault="00405D16">
            <w:pPr>
              <w:spacing w:after="100"/>
              <w:rPr>
                <w:rFonts w:eastAsia="Times New Roman"/>
                <w:sz w:val="20"/>
                <w:szCs w:val="20"/>
              </w:rPr>
            </w:pPr>
          </w:p>
        </w:tc>
        <w:tc>
          <w:tcPr>
            <w:tcW w:w="5" w:type="pct"/>
            <w:vAlign w:val="center"/>
            <w:hideMark/>
          </w:tcPr>
          <w:p w14:paraId="482D87E6" w14:textId="77777777" w:rsidR="00000000" w:rsidRDefault="00405D16">
            <w:pPr>
              <w:spacing w:after="100"/>
              <w:rPr>
                <w:rFonts w:eastAsia="Times New Roman"/>
                <w:sz w:val="20"/>
                <w:szCs w:val="20"/>
              </w:rPr>
            </w:pPr>
          </w:p>
        </w:tc>
        <w:tc>
          <w:tcPr>
            <w:tcW w:w="5" w:type="pct"/>
            <w:vAlign w:val="center"/>
            <w:hideMark/>
          </w:tcPr>
          <w:p w14:paraId="15C36563" w14:textId="77777777" w:rsidR="00000000" w:rsidRDefault="00405D16">
            <w:pPr>
              <w:spacing w:after="100"/>
              <w:rPr>
                <w:rFonts w:eastAsia="Times New Roman"/>
                <w:sz w:val="20"/>
                <w:szCs w:val="20"/>
              </w:rPr>
            </w:pPr>
          </w:p>
        </w:tc>
        <w:tc>
          <w:tcPr>
            <w:tcW w:w="26" w:type="pct"/>
            <w:vAlign w:val="center"/>
            <w:hideMark/>
          </w:tcPr>
          <w:p w14:paraId="041550D9" w14:textId="77777777" w:rsidR="00000000" w:rsidRDefault="00405D16">
            <w:pPr>
              <w:spacing w:after="100"/>
              <w:rPr>
                <w:rFonts w:eastAsia="Times New Roman"/>
                <w:sz w:val="20"/>
                <w:szCs w:val="20"/>
              </w:rPr>
            </w:pPr>
          </w:p>
        </w:tc>
        <w:tc>
          <w:tcPr>
            <w:tcW w:w="5" w:type="pct"/>
            <w:vAlign w:val="center"/>
            <w:hideMark/>
          </w:tcPr>
          <w:p w14:paraId="40CB4C0E" w14:textId="77777777" w:rsidR="00000000" w:rsidRDefault="00405D16">
            <w:pPr>
              <w:spacing w:after="100"/>
              <w:rPr>
                <w:rFonts w:eastAsia="Times New Roman"/>
                <w:sz w:val="20"/>
                <w:szCs w:val="20"/>
              </w:rPr>
            </w:pPr>
          </w:p>
        </w:tc>
        <w:tc>
          <w:tcPr>
            <w:tcW w:w="50" w:type="pct"/>
            <w:vAlign w:val="center"/>
            <w:hideMark/>
          </w:tcPr>
          <w:p w14:paraId="523189E7" w14:textId="77777777" w:rsidR="00000000" w:rsidRDefault="00405D16">
            <w:pPr>
              <w:spacing w:after="100"/>
              <w:rPr>
                <w:rFonts w:eastAsia="Times New Roman"/>
                <w:sz w:val="20"/>
                <w:szCs w:val="20"/>
              </w:rPr>
            </w:pPr>
          </w:p>
        </w:tc>
        <w:tc>
          <w:tcPr>
            <w:tcW w:w="303" w:type="pct"/>
            <w:vAlign w:val="center"/>
            <w:hideMark/>
          </w:tcPr>
          <w:p w14:paraId="5184546F" w14:textId="77777777" w:rsidR="00000000" w:rsidRDefault="00405D16">
            <w:pPr>
              <w:spacing w:after="100"/>
              <w:rPr>
                <w:rFonts w:eastAsia="Times New Roman"/>
                <w:sz w:val="20"/>
                <w:szCs w:val="20"/>
              </w:rPr>
            </w:pPr>
          </w:p>
        </w:tc>
        <w:tc>
          <w:tcPr>
            <w:tcW w:w="5" w:type="pct"/>
            <w:vAlign w:val="center"/>
            <w:hideMark/>
          </w:tcPr>
          <w:p w14:paraId="5CA80748" w14:textId="77777777" w:rsidR="00000000" w:rsidRDefault="00405D16">
            <w:pPr>
              <w:spacing w:after="100"/>
              <w:rPr>
                <w:rFonts w:eastAsia="Times New Roman"/>
                <w:sz w:val="20"/>
                <w:szCs w:val="20"/>
              </w:rPr>
            </w:pPr>
          </w:p>
        </w:tc>
        <w:tc>
          <w:tcPr>
            <w:tcW w:w="5" w:type="pct"/>
            <w:vAlign w:val="center"/>
            <w:hideMark/>
          </w:tcPr>
          <w:p w14:paraId="352C30A5" w14:textId="77777777" w:rsidR="00000000" w:rsidRDefault="00405D16">
            <w:pPr>
              <w:spacing w:after="100"/>
              <w:rPr>
                <w:rFonts w:eastAsia="Times New Roman"/>
                <w:sz w:val="20"/>
                <w:szCs w:val="20"/>
              </w:rPr>
            </w:pPr>
          </w:p>
        </w:tc>
        <w:tc>
          <w:tcPr>
            <w:tcW w:w="26" w:type="pct"/>
            <w:vAlign w:val="center"/>
            <w:hideMark/>
          </w:tcPr>
          <w:p w14:paraId="7B52FB76" w14:textId="77777777" w:rsidR="00000000" w:rsidRDefault="00405D16">
            <w:pPr>
              <w:spacing w:after="100"/>
              <w:rPr>
                <w:rFonts w:eastAsia="Times New Roman"/>
                <w:sz w:val="20"/>
                <w:szCs w:val="20"/>
              </w:rPr>
            </w:pPr>
          </w:p>
        </w:tc>
        <w:tc>
          <w:tcPr>
            <w:tcW w:w="5" w:type="pct"/>
            <w:vAlign w:val="center"/>
            <w:hideMark/>
          </w:tcPr>
          <w:p w14:paraId="3985CFAF" w14:textId="77777777" w:rsidR="00000000" w:rsidRDefault="00405D16">
            <w:pPr>
              <w:spacing w:after="100"/>
              <w:rPr>
                <w:rFonts w:eastAsia="Times New Roman"/>
                <w:sz w:val="20"/>
                <w:szCs w:val="20"/>
              </w:rPr>
            </w:pPr>
          </w:p>
        </w:tc>
        <w:tc>
          <w:tcPr>
            <w:tcW w:w="50" w:type="pct"/>
            <w:vAlign w:val="center"/>
            <w:hideMark/>
          </w:tcPr>
          <w:p w14:paraId="5D7D431D" w14:textId="77777777" w:rsidR="00000000" w:rsidRDefault="00405D16">
            <w:pPr>
              <w:spacing w:after="100"/>
              <w:rPr>
                <w:rFonts w:eastAsia="Times New Roman"/>
                <w:sz w:val="20"/>
                <w:szCs w:val="20"/>
              </w:rPr>
            </w:pPr>
          </w:p>
        </w:tc>
        <w:tc>
          <w:tcPr>
            <w:tcW w:w="303" w:type="pct"/>
            <w:vAlign w:val="center"/>
            <w:hideMark/>
          </w:tcPr>
          <w:p w14:paraId="2984A7DF" w14:textId="77777777" w:rsidR="00000000" w:rsidRDefault="00405D16">
            <w:pPr>
              <w:spacing w:after="100"/>
              <w:rPr>
                <w:rFonts w:eastAsia="Times New Roman"/>
                <w:sz w:val="20"/>
                <w:szCs w:val="20"/>
              </w:rPr>
            </w:pPr>
          </w:p>
        </w:tc>
        <w:tc>
          <w:tcPr>
            <w:tcW w:w="5" w:type="pct"/>
            <w:vAlign w:val="center"/>
            <w:hideMark/>
          </w:tcPr>
          <w:p w14:paraId="6128E4E9" w14:textId="77777777" w:rsidR="00000000" w:rsidRDefault="00405D16">
            <w:pPr>
              <w:spacing w:after="100"/>
              <w:rPr>
                <w:rFonts w:eastAsia="Times New Roman"/>
                <w:sz w:val="20"/>
                <w:szCs w:val="20"/>
              </w:rPr>
            </w:pPr>
          </w:p>
        </w:tc>
        <w:tc>
          <w:tcPr>
            <w:tcW w:w="5" w:type="pct"/>
            <w:vAlign w:val="center"/>
            <w:hideMark/>
          </w:tcPr>
          <w:p w14:paraId="78E2A2BF" w14:textId="77777777" w:rsidR="00000000" w:rsidRDefault="00405D16">
            <w:pPr>
              <w:spacing w:after="100"/>
              <w:rPr>
                <w:rFonts w:eastAsia="Times New Roman"/>
                <w:sz w:val="20"/>
                <w:szCs w:val="20"/>
              </w:rPr>
            </w:pPr>
          </w:p>
        </w:tc>
        <w:tc>
          <w:tcPr>
            <w:tcW w:w="26" w:type="pct"/>
            <w:vAlign w:val="center"/>
            <w:hideMark/>
          </w:tcPr>
          <w:p w14:paraId="298A6D01" w14:textId="77777777" w:rsidR="00000000" w:rsidRDefault="00405D16">
            <w:pPr>
              <w:spacing w:after="100"/>
              <w:rPr>
                <w:rFonts w:eastAsia="Times New Roman"/>
                <w:sz w:val="20"/>
                <w:szCs w:val="20"/>
              </w:rPr>
            </w:pPr>
          </w:p>
        </w:tc>
        <w:tc>
          <w:tcPr>
            <w:tcW w:w="5" w:type="pct"/>
            <w:vAlign w:val="center"/>
            <w:hideMark/>
          </w:tcPr>
          <w:p w14:paraId="3E847D54" w14:textId="77777777" w:rsidR="00000000" w:rsidRDefault="00405D16">
            <w:pPr>
              <w:spacing w:after="100"/>
              <w:rPr>
                <w:rFonts w:eastAsia="Times New Roman"/>
                <w:sz w:val="20"/>
                <w:szCs w:val="20"/>
              </w:rPr>
            </w:pPr>
          </w:p>
        </w:tc>
        <w:tc>
          <w:tcPr>
            <w:tcW w:w="50" w:type="pct"/>
            <w:vAlign w:val="center"/>
            <w:hideMark/>
          </w:tcPr>
          <w:p w14:paraId="7BC8E1AB" w14:textId="77777777" w:rsidR="00000000" w:rsidRDefault="00405D16">
            <w:pPr>
              <w:spacing w:after="100"/>
              <w:rPr>
                <w:rFonts w:eastAsia="Times New Roman"/>
                <w:sz w:val="20"/>
                <w:szCs w:val="20"/>
              </w:rPr>
            </w:pPr>
          </w:p>
        </w:tc>
        <w:tc>
          <w:tcPr>
            <w:tcW w:w="303" w:type="pct"/>
            <w:vAlign w:val="center"/>
            <w:hideMark/>
          </w:tcPr>
          <w:p w14:paraId="64865B60" w14:textId="77777777" w:rsidR="00000000" w:rsidRDefault="00405D16">
            <w:pPr>
              <w:spacing w:after="100"/>
              <w:rPr>
                <w:rFonts w:eastAsia="Times New Roman"/>
                <w:sz w:val="20"/>
                <w:szCs w:val="20"/>
              </w:rPr>
            </w:pPr>
          </w:p>
        </w:tc>
        <w:tc>
          <w:tcPr>
            <w:tcW w:w="5" w:type="pct"/>
            <w:vAlign w:val="center"/>
            <w:hideMark/>
          </w:tcPr>
          <w:p w14:paraId="116C4E44" w14:textId="77777777" w:rsidR="00000000" w:rsidRDefault="00405D16">
            <w:pPr>
              <w:spacing w:after="100"/>
              <w:rPr>
                <w:rFonts w:eastAsia="Times New Roman"/>
                <w:sz w:val="20"/>
                <w:szCs w:val="20"/>
              </w:rPr>
            </w:pPr>
          </w:p>
        </w:tc>
        <w:tc>
          <w:tcPr>
            <w:tcW w:w="0" w:type="auto"/>
            <w:gridSpan w:val="3"/>
            <w:vAlign w:val="center"/>
            <w:hideMark/>
          </w:tcPr>
          <w:p w14:paraId="030338C2" w14:textId="77777777" w:rsidR="00000000" w:rsidRDefault="00405D16">
            <w:pPr>
              <w:spacing w:after="100"/>
              <w:rPr>
                <w:rFonts w:eastAsia="Times New Roman"/>
                <w:sz w:val="20"/>
                <w:szCs w:val="20"/>
              </w:rPr>
            </w:pPr>
          </w:p>
        </w:tc>
        <w:tc>
          <w:tcPr>
            <w:tcW w:w="0" w:type="auto"/>
            <w:gridSpan w:val="3"/>
            <w:vAlign w:val="center"/>
            <w:hideMark/>
          </w:tcPr>
          <w:p w14:paraId="2DA52AD7" w14:textId="77777777" w:rsidR="00000000" w:rsidRDefault="00405D16">
            <w:pPr>
              <w:spacing w:after="100"/>
              <w:rPr>
                <w:rFonts w:eastAsia="Times New Roman"/>
                <w:sz w:val="20"/>
                <w:szCs w:val="20"/>
              </w:rPr>
            </w:pPr>
          </w:p>
        </w:tc>
        <w:tc>
          <w:tcPr>
            <w:tcW w:w="0" w:type="auto"/>
            <w:gridSpan w:val="3"/>
            <w:vAlign w:val="center"/>
            <w:hideMark/>
          </w:tcPr>
          <w:p w14:paraId="34695512" w14:textId="77777777" w:rsidR="00000000" w:rsidRDefault="00405D16">
            <w:pPr>
              <w:spacing w:after="100"/>
              <w:rPr>
                <w:rFonts w:eastAsia="Times New Roman"/>
                <w:sz w:val="20"/>
                <w:szCs w:val="20"/>
              </w:rPr>
            </w:pPr>
          </w:p>
        </w:tc>
        <w:tc>
          <w:tcPr>
            <w:tcW w:w="0" w:type="auto"/>
            <w:gridSpan w:val="2"/>
            <w:vAlign w:val="center"/>
            <w:hideMark/>
          </w:tcPr>
          <w:p w14:paraId="47F171A6" w14:textId="77777777" w:rsidR="00000000" w:rsidRDefault="00405D16">
            <w:pPr>
              <w:spacing w:after="100"/>
              <w:rPr>
                <w:rFonts w:eastAsia="Times New Roman"/>
                <w:sz w:val="20"/>
                <w:szCs w:val="20"/>
              </w:rPr>
            </w:pPr>
          </w:p>
        </w:tc>
        <w:tc>
          <w:tcPr>
            <w:tcW w:w="0" w:type="auto"/>
            <w:vAlign w:val="center"/>
            <w:hideMark/>
          </w:tcPr>
          <w:p w14:paraId="14A1CC8B" w14:textId="77777777" w:rsidR="00000000" w:rsidRDefault="00405D16">
            <w:pPr>
              <w:spacing w:after="100"/>
              <w:rPr>
                <w:rFonts w:eastAsia="Times New Roman"/>
                <w:sz w:val="20"/>
                <w:szCs w:val="20"/>
              </w:rPr>
            </w:pPr>
          </w:p>
        </w:tc>
      </w:tr>
      <w:tr w:rsidR="00000000" w14:paraId="2F6F8813" w14:textId="77777777">
        <w:trPr>
          <w:divId w:val="1252201886"/>
        </w:trPr>
        <w:tc>
          <w:tcPr>
            <w:tcW w:w="0" w:type="auto"/>
            <w:gridSpan w:val="3"/>
            <w:tcMar>
              <w:top w:w="0" w:type="dxa"/>
              <w:left w:w="20" w:type="dxa"/>
              <w:bottom w:w="0" w:type="dxa"/>
              <w:right w:w="20" w:type="dxa"/>
            </w:tcMar>
            <w:vAlign w:val="center"/>
            <w:hideMark/>
          </w:tcPr>
          <w:p w14:paraId="4A49020D"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DE095EB" w14:textId="77777777" w:rsidR="00000000" w:rsidRDefault="00405D16">
            <w:pPr>
              <w:spacing w:after="100"/>
              <w:rPr>
                <w:rFonts w:eastAsia="Times New Roman"/>
                <w:sz w:val="20"/>
                <w:szCs w:val="20"/>
              </w:rPr>
            </w:pPr>
          </w:p>
        </w:tc>
        <w:tc>
          <w:tcPr>
            <w:tcW w:w="0" w:type="auto"/>
            <w:gridSpan w:val="45"/>
            <w:tcBorders>
              <w:bottom w:val="single" w:sz="8" w:space="0" w:color="000000"/>
            </w:tcBorders>
            <w:tcMar>
              <w:top w:w="30" w:type="dxa"/>
              <w:left w:w="20" w:type="dxa"/>
              <w:bottom w:w="30" w:type="dxa"/>
              <w:right w:w="20" w:type="dxa"/>
            </w:tcMar>
            <w:vAlign w:val="bottom"/>
            <w:hideMark/>
          </w:tcPr>
          <w:p w14:paraId="5BE45979" w14:textId="77777777" w:rsidR="00000000" w:rsidRDefault="00405D16">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62494F98" w14:textId="77777777" w:rsidR="00000000" w:rsidRDefault="00405D16">
            <w:pPr>
              <w:spacing w:after="100"/>
              <w:rPr>
                <w:rFonts w:eastAsia="Times New Roman"/>
                <w:sz w:val="20"/>
                <w:szCs w:val="20"/>
              </w:rPr>
            </w:pPr>
          </w:p>
        </w:tc>
        <w:tc>
          <w:tcPr>
            <w:tcW w:w="0" w:type="auto"/>
            <w:vAlign w:val="center"/>
            <w:hideMark/>
          </w:tcPr>
          <w:p w14:paraId="317F75DA" w14:textId="77777777" w:rsidR="00000000" w:rsidRDefault="00405D16">
            <w:pPr>
              <w:spacing w:after="100"/>
              <w:rPr>
                <w:rFonts w:eastAsia="Times New Roman"/>
                <w:sz w:val="20"/>
                <w:szCs w:val="20"/>
              </w:rPr>
            </w:pPr>
          </w:p>
        </w:tc>
        <w:tc>
          <w:tcPr>
            <w:tcW w:w="0" w:type="auto"/>
            <w:vAlign w:val="center"/>
            <w:hideMark/>
          </w:tcPr>
          <w:p w14:paraId="01D8FACD" w14:textId="77777777" w:rsidR="00000000" w:rsidRDefault="00405D16">
            <w:pPr>
              <w:spacing w:after="100"/>
              <w:rPr>
                <w:rFonts w:eastAsia="Times New Roman"/>
                <w:sz w:val="20"/>
                <w:szCs w:val="20"/>
              </w:rPr>
            </w:pPr>
          </w:p>
        </w:tc>
        <w:tc>
          <w:tcPr>
            <w:tcW w:w="0" w:type="auto"/>
            <w:vAlign w:val="center"/>
            <w:hideMark/>
          </w:tcPr>
          <w:p w14:paraId="7C1A2C56" w14:textId="77777777" w:rsidR="00000000" w:rsidRDefault="00405D16">
            <w:pPr>
              <w:spacing w:after="100"/>
              <w:rPr>
                <w:rFonts w:eastAsia="Times New Roman"/>
                <w:sz w:val="20"/>
                <w:szCs w:val="20"/>
              </w:rPr>
            </w:pPr>
          </w:p>
        </w:tc>
        <w:tc>
          <w:tcPr>
            <w:tcW w:w="0" w:type="auto"/>
            <w:vAlign w:val="center"/>
            <w:hideMark/>
          </w:tcPr>
          <w:p w14:paraId="1323E359" w14:textId="77777777" w:rsidR="00000000" w:rsidRDefault="00405D16">
            <w:pPr>
              <w:spacing w:after="100"/>
              <w:rPr>
                <w:rFonts w:eastAsia="Times New Roman"/>
                <w:sz w:val="20"/>
                <w:szCs w:val="20"/>
              </w:rPr>
            </w:pPr>
          </w:p>
        </w:tc>
        <w:tc>
          <w:tcPr>
            <w:tcW w:w="0" w:type="auto"/>
            <w:vAlign w:val="center"/>
            <w:hideMark/>
          </w:tcPr>
          <w:p w14:paraId="62D57A5D" w14:textId="77777777" w:rsidR="00000000" w:rsidRDefault="00405D16">
            <w:pPr>
              <w:spacing w:after="100"/>
              <w:rPr>
                <w:rFonts w:eastAsia="Times New Roman"/>
                <w:sz w:val="20"/>
                <w:szCs w:val="20"/>
              </w:rPr>
            </w:pPr>
          </w:p>
        </w:tc>
        <w:tc>
          <w:tcPr>
            <w:tcW w:w="0" w:type="auto"/>
            <w:vAlign w:val="center"/>
            <w:hideMark/>
          </w:tcPr>
          <w:p w14:paraId="32C421FF" w14:textId="77777777" w:rsidR="00000000" w:rsidRDefault="00405D16">
            <w:pPr>
              <w:spacing w:after="100"/>
              <w:rPr>
                <w:rFonts w:eastAsia="Times New Roman"/>
                <w:sz w:val="20"/>
                <w:szCs w:val="20"/>
              </w:rPr>
            </w:pPr>
          </w:p>
        </w:tc>
        <w:tc>
          <w:tcPr>
            <w:tcW w:w="0" w:type="auto"/>
            <w:vAlign w:val="center"/>
            <w:hideMark/>
          </w:tcPr>
          <w:p w14:paraId="2958EFCE" w14:textId="77777777" w:rsidR="00000000" w:rsidRDefault="00405D16">
            <w:pPr>
              <w:spacing w:after="100"/>
              <w:rPr>
                <w:rFonts w:eastAsia="Times New Roman"/>
                <w:sz w:val="20"/>
                <w:szCs w:val="20"/>
              </w:rPr>
            </w:pPr>
          </w:p>
        </w:tc>
        <w:tc>
          <w:tcPr>
            <w:tcW w:w="0" w:type="auto"/>
            <w:vAlign w:val="center"/>
            <w:hideMark/>
          </w:tcPr>
          <w:p w14:paraId="53F48634" w14:textId="77777777" w:rsidR="00000000" w:rsidRDefault="00405D16">
            <w:pPr>
              <w:spacing w:after="100"/>
              <w:rPr>
                <w:rFonts w:eastAsia="Times New Roman"/>
                <w:sz w:val="20"/>
                <w:szCs w:val="20"/>
              </w:rPr>
            </w:pPr>
          </w:p>
        </w:tc>
        <w:tc>
          <w:tcPr>
            <w:tcW w:w="0" w:type="auto"/>
            <w:vAlign w:val="center"/>
            <w:hideMark/>
          </w:tcPr>
          <w:p w14:paraId="66CD66F5" w14:textId="77777777" w:rsidR="00000000" w:rsidRDefault="00405D16">
            <w:pPr>
              <w:spacing w:after="100"/>
              <w:rPr>
                <w:rFonts w:eastAsia="Times New Roman"/>
                <w:sz w:val="20"/>
                <w:szCs w:val="20"/>
              </w:rPr>
            </w:pPr>
          </w:p>
        </w:tc>
        <w:tc>
          <w:tcPr>
            <w:tcW w:w="0" w:type="auto"/>
            <w:vAlign w:val="center"/>
            <w:hideMark/>
          </w:tcPr>
          <w:p w14:paraId="70F3BEAF" w14:textId="77777777" w:rsidR="00000000" w:rsidRDefault="00405D16">
            <w:pPr>
              <w:spacing w:after="100"/>
              <w:rPr>
                <w:rFonts w:eastAsia="Times New Roman"/>
                <w:sz w:val="20"/>
                <w:szCs w:val="20"/>
              </w:rPr>
            </w:pPr>
          </w:p>
        </w:tc>
        <w:tc>
          <w:tcPr>
            <w:tcW w:w="0" w:type="auto"/>
            <w:vAlign w:val="center"/>
            <w:hideMark/>
          </w:tcPr>
          <w:p w14:paraId="51E73F2D" w14:textId="77777777" w:rsidR="00000000" w:rsidRDefault="00405D16">
            <w:pPr>
              <w:spacing w:after="100"/>
              <w:rPr>
                <w:rFonts w:eastAsia="Times New Roman"/>
                <w:sz w:val="20"/>
                <w:szCs w:val="20"/>
              </w:rPr>
            </w:pPr>
          </w:p>
        </w:tc>
      </w:tr>
      <w:tr w:rsidR="00000000" w14:paraId="148CCDF2" w14:textId="77777777">
        <w:trPr>
          <w:divId w:val="1252201886"/>
        </w:trPr>
        <w:tc>
          <w:tcPr>
            <w:tcW w:w="0" w:type="auto"/>
            <w:gridSpan w:val="3"/>
            <w:tcMar>
              <w:top w:w="30" w:type="dxa"/>
              <w:left w:w="20" w:type="dxa"/>
              <w:bottom w:w="30" w:type="dxa"/>
              <w:right w:w="20" w:type="dxa"/>
            </w:tcMar>
            <w:vAlign w:val="bottom"/>
            <w:hideMark/>
          </w:tcPr>
          <w:p w14:paraId="64C41BDD" w14:textId="77777777" w:rsidR="00000000" w:rsidRDefault="00405D16">
            <w:pPr>
              <w:spacing w:after="100"/>
              <w:divId w:val="1376469935"/>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526DDAC1" w14:textId="77777777" w:rsidR="00000000" w:rsidRDefault="00405D16">
            <w:pPr>
              <w:spacing w:after="100"/>
              <w:rPr>
                <w:rFonts w:eastAsia="Times New Roman"/>
              </w:rPr>
            </w:pPr>
          </w:p>
        </w:tc>
        <w:tc>
          <w:tcPr>
            <w:tcW w:w="0" w:type="auto"/>
            <w:gridSpan w:val="21"/>
            <w:tcBorders>
              <w:top w:val="single" w:sz="8" w:space="0" w:color="000000"/>
              <w:bottom w:val="single" w:sz="8" w:space="0" w:color="000000"/>
            </w:tcBorders>
            <w:tcMar>
              <w:top w:w="30" w:type="dxa"/>
              <w:left w:w="20" w:type="dxa"/>
              <w:bottom w:w="30" w:type="dxa"/>
              <w:right w:w="20" w:type="dxa"/>
            </w:tcMar>
            <w:vAlign w:val="bottom"/>
            <w:hideMark/>
          </w:tcPr>
          <w:p w14:paraId="5B6E066A"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26F8E45B" w14:textId="77777777" w:rsidR="00000000" w:rsidRDefault="00405D16">
            <w:pPr>
              <w:spacing w:after="100"/>
              <w:jc w:val="center"/>
              <w:rPr>
                <w:rFonts w:eastAsia="Times New Roman"/>
              </w:rPr>
            </w:pPr>
          </w:p>
        </w:tc>
        <w:tc>
          <w:tcPr>
            <w:tcW w:w="0" w:type="auto"/>
            <w:gridSpan w:val="21"/>
            <w:tcBorders>
              <w:top w:val="single" w:sz="8" w:space="0" w:color="000000"/>
              <w:bottom w:val="single" w:sz="8" w:space="0" w:color="000000"/>
            </w:tcBorders>
            <w:tcMar>
              <w:top w:w="30" w:type="dxa"/>
              <w:left w:w="20" w:type="dxa"/>
              <w:bottom w:w="30" w:type="dxa"/>
              <w:right w:w="20" w:type="dxa"/>
            </w:tcMar>
            <w:vAlign w:val="bottom"/>
            <w:hideMark/>
          </w:tcPr>
          <w:p w14:paraId="355D345A"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gridSpan w:val="3"/>
            <w:vAlign w:val="center"/>
            <w:hideMark/>
          </w:tcPr>
          <w:p w14:paraId="53AE2A80" w14:textId="77777777" w:rsidR="00000000" w:rsidRDefault="00405D16">
            <w:pPr>
              <w:spacing w:after="100"/>
              <w:jc w:val="center"/>
              <w:rPr>
                <w:rFonts w:eastAsia="Times New Roman"/>
              </w:rPr>
            </w:pPr>
          </w:p>
        </w:tc>
        <w:tc>
          <w:tcPr>
            <w:tcW w:w="0" w:type="auto"/>
            <w:gridSpan w:val="3"/>
            <w:vAlign w:val="center"/>
            <w:hideMark/>
          </w:tcPr>
          <w:p w14:paraId="5BA1471E" w14:textId="77777777" w:rsidR="00000000" w:rsidRDefault="00405D16">
            <w:pPr>
              <w:spacing w:after="100"/>
              <w:rPr>
                <w:rFonts w:eastAsia="Times New Roman"/>
                <w:sz w:val="20"/>
                <w:szCs w:val="20"/>
              </w:rPr>
            </w:pPr>
          </w:p>
        </w:tc>
        <w:tc>
          <w:tcPr>
            <w:tcW w:w="0" w:type="auto"/>
            <w:vAlign w:val="center"/>
            <w:hideMark/>
          </w:tcPr>
          <w:p w14:paraId="553222D6" w14:textId="77777777" w:rsidR="00000000" w:rsidRDefault="00405D16">
            <w:pPr>
              <w:spacing w:after="100"/>
              <w:rPr>
                <w:rFonts w:eastAsia="Times New Roman"/>
                <w:sz w:val="20"/>
                <w:szCs w:val="20"/>
              </w:rPr>
            </w:pPr>
          </w:p>
        </w:tc>
        <w:tc>
          <w:tcPr>
            <w:tcW w:w="0" w:type="auto"/>
            <w:vAlign w:val="center"/>
            <w:hideMark/>
          </w:tcPr>
          <w:p w14:paraId="7F6F5CE1" w14:textId="77777777" w:rsidR="00000000" w:rsidRDefault="00405D16">
            <w:pPr>
              <w:spacing w:after="100"/>
              <w:rPr>
                <w:rFonts w:eastAsia="Times New Roman"/>
                <w:sz w:val="20"/>
                <w:szCs w:val="20"/>
              </w:rPr>
            </w:pPr>
          </w:p>
        </w:tc>
        <w:tc>
          <w:tcPr>
            <w:tcW w:w="0" w:type="auto"/>
            <w:vAlign w:val="center"/>
            <w:hideMark/>
          </w:tcPr>
          <w:p w14:paraId="6E4B2E94" w14:textId="77777777" w:rsidR="00000000" w:rsidRDefault="00405D16">
            <w:pPr>
              <w:spacing w:after="100"/>
              <w:rPr>
                <w:rFonts w:eastAsia="Times New Roman"/>
                <w:sz w:val="20"/>
                <w:szCs w:val="20"/>
              </w:rPr>
            </w:pPr>
          </w:p>
        </w:tc>
        <w:tc>
          <w:tcPr>
            <w:tcW w:w="0" w:type="auto"/>
            <w:vAlign w:val="center"/>
            <w:hideMark/>
          </w:tcPr>
          <w:p w14:paraId="5546D3EF" w14:textId="77777777" w:rsidR="00000000" w:rsidRDefault="00405D16">
            <w:pPr>
              <w:spacing w:after="100"/>
              <w:rPr>
                <w:rFonts w:eastAsia="Times New Roman"/>
                <w:sz w:val="20"/>
                <w:szCs w:val="20"/>
              </w:rPr>
            </w:pPr>
          </w:p>
        </w:tc>
        <w:tc>
          <w:tcPr>
            <w:tcW w:w="0" w:type="auto"/>
            <w:vAlign w:val="center"/>
            <w:hideMark/>
          </w:tcPr>
          <w:p w14:paraId="193D4E85" w14:textId="77777777" w:rsidR="00000000" w:rsidRDefault="00405D16">
            <w:pPr>
              <w:spacing w:after="100"/>
              <w:rPr>
                <w:rFonts w:eastAsia="Times New Roman"/>
                <w:sz w:val="20"/>
                <w:szCs w:val="20"/>
              </w:rPr>
            </w:pPr>
          </w:p>
        </w:tc>
        <w:tc>
          <w:tcPr>
            <w:tcW w:w="0" w:type="auto"/>
            <w:vAlign w:val="center"/>
            <w:hideMark/>
          </w:tcPr>
          <w:p w14:paraId="5FF9FDDC" w14:textId="77777777" w:rsidR="00000000" w:rsidRDefault="00405D16">
            <w:pPr>
              <w:spacing w:after="100"/>
              <w:rPr>
                <w:rFonts w:eastAsia="Times New Roman"/>
                <w:sz w:val="20"/>
                <w:szCs w:val="20"/>
              </w:rPr>
            </w:pPr>
          </w:p>
        </w:tc>
      </w:tr>
      <w:tr w:rsidR="00000000" w14:paraId="706721CD" w14:textId="77777777">
        <w:trPr>
          <w:divId w:val="1252201886"/>
        </w:trPr>
        <w:tc>
          <w:tcPr>
            <w:tcW w:w="0" w:type="auto"/>
            <w:gridSpan w:val="3"/>
            <w:tcMar>
              <w:top w:w="30" w:type="dxa"/>
              <w:left w:w="20" w:type="dxa"/>
              <w:bottom w:w="30" w:type="dxa"/>
              <w:right w:w="20" w:type="dxa"/>
            </w:tcMar>
            <w:vAlign w:val="bottom"/>
            <w:hideMark/>
          </w:tcPr>
          <w:p w14:paraId="78C57B67" w14:textId="77777777" w:rsidR="00000000" w:rsidRDefault="00405D16">
            <w:pPr>
              <w:spacing w:after="100"/>
              <w:divId w:val="1007293311"/>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4B1C0AFD" w14:textId="77777777" w:rsidR="00000000" w:rsidRDefault="00405D16">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0DDE6D65" w14:textId="77777777" w:rsidR="00000000" w:rsidRDefault="00405D16">
            <w:pPr>
              <w:spacing w:after="100"/>
              <w:jc w:val="center"/>
              <w:rPr>
                <w:rFonts w:eastAsia="Times New Roman"/>
              </w:rPr>
            </w:pPr>
            <w:r>
              <w:rPr>
                <w:rFonts w:eastAsia="Times New Roman"/>
                <w:b/>
                <w:bCs/>
                <w:color w:val="000000"/>
                <w:sz w:val="16"/>
                <w:szCs w:val="16"/>
              </w:rPr>
              <w:t>Total </w:t>
            </w:r>
            <w:r>
              <w:rPr>
                <w:rFonts w:eastAsia="Times New Roman"/>
                <w:b/>
                <w:bCs/>
                <w:color w:val="000000"/>
                <w:sz w:val="16"/>
                <w:szCs w:val="16"/>
              </w:rPr>
              <w:t>Net</w:t>
            </w:r>
            <w:r>
              <w:rPr>
                <w:rFonts w:eastAsia="Times New Roman"/>
                <w:b/>
                <w:bCs/>
                <w:color w:val="000000"/>
                <w:sz w:val="16"/>
                <w:szCs w:val="16"/>
              </w:rPr>
              <w:br/>
              <w:t>Revenue (Loss</w:t>
            </w:r>
            <w:r>
              <w:rPr>
                <w:rFonts w:eastAsia="Times New Roman"/>
                <w:b/>
                <w:bCs/>
                <w:color w:val="000000"/>
                <w:sz w:val="16"/>
                <w:szCs w:val="16"/>
              </w:rPr>
              <w:t>)</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29177B3B" w14:textId="77777777" w:rsidR="00000000" w:rsidRDefault="00405D16">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04DF617A" w14:textId="77777777" w:rsidR="00000000" w:rsidRDefault="00405D16">
            <w:pPr>
              <w:spacing w:after="100"/>
              <w:jc w:val="center"/>
              <w:rPr>
                <w:rFonts w:eastAsia="Times New Roman"/>
              </w:rPr>
            </w:pPr>
            <w:r>
              <w:rPr>
                <w:rFonts w:eastAsia="Times New Roman"/>
                <w:b/>
                <w:bCs/>
                <w:color w:val="000000"/>
                <w:sz w:val="16"/>
                <w:szCs w:val="16"/>
              </w:rPr>
              <w:t>Net Income</w:t>
            </w:r>
          </w:p>
          <w:p w14:paraId="08AB2D09" w14:textId="77777777" w:rsidR="00000000" w:rsidRDefault="00405D16">
            <w:pPr>
              <w:spacing w:after="100"/>
              <w:jc w:val="center"/>
              <w:rPr>
                <w:rFonts w:eastAsia="Times New Roman"/>
              </w:rPr>
            </w:pPr>
            <w:r>
              <w:rPr>
                <w:rFonts w:eastAsia="Times New Roman"/>
                <w:b/>
                <w:bCs/>
                <w:color w:val="000000"/>
                <w:sz w:val="16"/>
                <w:szCs w:val="16"/>
              </w:rPr>
              <w:t>(Loss</w:t>
            </w:r>
            <w:r>
              <w:rPr>
                <w:rFonts w:eastAsia="Times New Roman"/>
                <w:b/>
                <w:bCs/>
                <w:color w:val="000000"/>
                <w:sz w:val="16"/>
                <w:szCs w:val="16"/>
              </w:rPr>
              <w:t>)</w:t>
            </w:r>
            <w:r>
              <w:rPr>
                <w:rFonts w:eastAsia="Times New Roman"/>
                <w:b/>
                <w:bCs/>
                <w:color w:val="000000"/>
                <w:sz w:val="10"/>
                <w:szCs w:val="10"/>
              </w:rPr>
              <w:t>(2</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29EB7016" w14:textId="77777777" w:rsidR="00000000" w:rsidRDefault="00405D16">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4837D036" w14:textId="77777777" w:rsidR="00000000" w:rsidRDefault="00405D16">
            <w:pPr>
              <w:spacing w:after="100"/>
              <w:jc w:val="center"/>
              <w:rPr>
                <w:rFonts w:eastAsia="Times New Roman"/>
              </w:rPr>
            </w:pPr>
            <w:r>
              <w:rPr>
                <w:rFonts w:eastAsia="Times New Roman"/>
                <w:b/>
                <w:bCs/>
                <w:color w:val="000000"/>
                <w:sz w:val="16"/>
                <w:szCs w:val="16"/>
              </w:rPr>
              <w:t>Total Net</w:t>
            </w:r>
            <w:r>
              <w:rPr>
                <w:rFonts w:eastAsia="Times New Roman"/>
                <w:b/>
                <w:bCs/>
                <w:color w:val="000000"/>
                <w:sz w:val="16"/>
                <w:szCs w:val="16"/>
              </w:rPr>
              <w:br/>
              <w:t>Revenu</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203B87C1" w14:textId="77777777" w:rsidR="00000000" w:rsidRDefault="00405D16">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26D3AC50" w14:textId="77777777" w:rsidR="00000000" w:rsidRDefault="00405D16">
            <w:pPr>
              <w:spacing w:after="100"/>
              <w:jc w:val="center"/>
              <w:rPr>
                <w:rFonts w:eastAsia="Times New Roman"/>
              </w:rPr>
            </w:pPr>
            <w:r>
              <w:rPr>
                <w:rFonts w:eastAsia="Times New Roman"/>
                <w:b/>
                <w:bCs/>
                <w:color w:val="000000"/>
                <w:sz w:val="16"/>
                <w:szCs w:val="16"/>
              </w:rPr>
              <w:t>Net Income</w:t>
            </w:r>
          </w:p>
          <w:p w14:paraId="2186518E" w14:textId="77777777" w:rsidR="00000000" w:rsidRDefault="00405D16">
            <w:pPr>
              <w:spacing w:after="100"/>
              <w:jc w:val="center"/>
              <w:rPr>
                <w:rFonts w:eastAsia="Times New Roman"/>
              </w:rPr>
            </w:pPr>
            <w:r>
              <w:rPr>
                <w:rFonts w:eastAsia="Times New Roman"/>
                <w:b/>
                <w:bCs/>
                <w:color w:val="000000"/>
                <w:sz w:val="16"/>
                <w:szCs w:val="16"/>
              </w:rPr>
              <w:t>(Loss</w:t>
            </w:r>
            <w:r>
              <w:rPr>
                <w:rFonts w:eastAsia="Times New Roman"/>
                <w:b/>
                <w:bCs/>
                <w:color w:val="000000"/>
                <w:sz w:val="16"/>
                <w:szCs w:val="16"/>
              </w:rPr>
              <w:t>)</w:t>
            </w:r>
            <w:r>
              <w:rPr>
                <w:rFonts w:eastAsia="Times New Roman"/>
                <w:b/>
                <w:bCs/>
                <w:color w:val="000000"/>
                <w:sz w:val="10"/>
                <w:szCs w:val="10"/>
              </w:rPr>
              <w:t>(2</w:t>
            </w:r>
            <w:r>
              <w:rPr>
                <w:rFonts w:eastAsia="Times New Roman"/>
                <w:b/>
                <w:bCs/>
                <w:color w:val="000000"/>
                <w:sz w:val="10"/>
                <w:szCs w:val="10"/>
              </w:rPr>
              <w:t>)</w:t>
            </w:r>
          </w:p>
        </w:tc>
        <w:tc>
          <w:tcPr>
            <w:tcW w:w="0" w:type="auto"/>
            <w:gridSpan w:val="3"/>
            <w:vAlign w:val="center"/>
            <w:hideMark/>
          </w:tcPr>
          <w:p w14:paraId="38F37BEB" w14:textId="77777777" w:rsidR="00000000" w:rsidRDefault="00405D16">
            <w:pPr>
              <w:spacing w:after="100"/>
              <w:jc w:val="center"/>
              <w:rPr>
                <w:rFonts w:eastAsia="Times New Roman"/>
              </w:rPr>
            </w:pPr>
          </w:p>
        </w:tc>
        <w:tc>
          <w:tcPr>
            <w:tcW w:w="0" w:type="auto"/>
            <w:gridSpan w:val="3"/>
            <w:vAlign w:val="center"/>
            <w:hideMark/>
          </w:tcPr>
          <w:p w14:paraId="6FE5BD36" w14:textId="77777777" w:rsidR="00000000" w:rsidRDefault="00405D16">
            <w:pPr>
              <w:spacing w:after="100"/>
              <w:rPr>
                <w:rFonts w:eastAsia="Times New Roman"/>
                <w:sz w:val="20"/>
                <w:szCs w:val="20"/>
              </w:rPr>
            </w:pPr>
          </w:p>
        </w:tc>
        <w:tc>
          <w:tcPr>
            <w:tcW w:w="0" w:type="auto"/>
            <w:gridSpan w:val="3"/>
            <w:vAlign w:val="center"/>
            <w:hideMark/>
          </w:tcPr>
          <w:p w14:paraId="5B98AE76" w14:textId="77777777" w:rsidR="00000000" w:rsidRDefault="00405D16">
            <w:pPr>
              <w:spacing w:after="100"/>
              <w:rPr>
                <w:rFonts w:eastAsia="Times New Roman"/>
                <w:sz w:val="20"/>
                <w:szCs w:val="20"/>
              </w:rPr>
            </w:pPr>
          </w:p>
        </w:tc>
        <w:tc>
          <w:tcPr>
            <w:tcW w:w="0" w:type="auto"/>
            <w:gridSpan w:val="2"/>
            <w:vAlign w:val="center"/>
            <w:hideMark/>
          </w:tcPr>
          <w:p w14:paraId="0B69C9CD" w14:textId="77777777" w:rsidR="00000000" w:rsidRDefault="00405D16">
            <w:pPr>
              <w:spacing w:after="100"/>
              <w:rPr>
                <w:rFonts w:eastAsia="Times New Roman"/>
                <w:sz w:val="20"/>
                <w:szCs w:val="20"/>
              </w:rPr>
            </w:pPr>
          </w:p>
        </w:tc>
        <w:tc>
          <w:tcPr>
            <w:tcW w:w="0" w:type="auto"/>
            <w:vAlign w:val="center"/>
            <w:hideMark/>
          </w:tcPr>
          <w:p w14:paraId="746F6448" w14:textId="77777777" w:rsidR="00000000" w:rsidRDefault="00405D16">
            <w:pPr>
              <w:spacing w:after="100"/>
              <w:rPr>
                <w:rFonts w:eastAsia="Times New Roman"/>
                <w:sz w:val="20"/>
                <w:szCs w:val="20"/>
              </w:rPr>
            </w:pPr>
          </w:p>
        </w:tc>
      </w:tr>
      <w:tr w:rsidR="00000000" w14:paraId="7FA9BD95" w14:textId="77777777">
        <w:trPr>
          <w:divId w:val="1252201886"/>
        </w:trPr>
        <w:tc>
          <w:tcPr>
            <w:tcW w:w="0" w:type="auto"/>
            <w:gridSpan w:val="3"/>
            <w:tcMar>
              <w:top w:w="30" w:type="dxa"/>
              <w:left w:w="20" w:type="dxa"/>
              <w:bottom w:w="30" w:type="dxa"/>
              <w:right w:w="20" w:type="dxa"/>
            </w:tcMar>
            <w:vAlign w:val="bottom"/>
            <w:hideMark/>
          </w:tcPr>
          <w:p w14:paraId="3F88BB38"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7B833605"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3BC667C" w14:textId="77777777" w:rsidR="00000000" w:rsidRDefault="00405D16">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14:paraId="1DB488E0"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1F3CD85" w14:textId="77777777" w:rsidR="00000000" w:rsidRDefault="00405D16">
            <w:pPr>
              <w:spacing w:after="100"/>
              <w:jc w:val="center"/>
              <w:rPr>
                <w:rFonts w:eastAsia="Times New Roman"/>
              </w:rPr>
            </w:pPr>
            <w:r>
              <w:rPr>
                <w:rFonts w:eastAsia="Times New Roman"/>
                <w:b/>
                <w:bCs/>
                <w:color w:val="000000"/>
                <w:sz w:val="16"/>
                <w:szCs w:val="16"/>
              </w:rPr>
              <w:t>% of</w:t>
            </w:r>
            <w:r>
              <w:rPr>
                <w:rFonts w:eastAsia="Times New Roman"/>
                <w:b/>
                <w:bCs/>
                <w:color w:val="000000"/>
                <w:sz w:val="16"/>
                <w:szCs w:val="16"/>
              </w:rPr>
              <w:br/>
              <w:t>Total</w:t>
            </w:r>
          </w:p>
        </w:tc>
        <w:tc>
          <w:tcPr>
            <w:tcW w:w="0" w:type="auto"/>
            <w:gridSpan w:val="3"/>
            <w:tcMar>
              <w:top w:w="0" w:type="dxa"/>
              <w:left w:w="20" w:type="dxa"/>
              <w:bottom w:w="0" w:type="dxa"/>
              <w:right w:w="20" w:type="dxa"/>
            </w:tcMar>
            <w:vAlign w:val="center"/>
            <w:hideMark/>
          </w:tcPr>
          <w:p w14:paraId="7120407A"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D568E5D" w14:textId="77777777" w:rsidR="00000000" w:rsidRDefault="00405D16">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14:paraId="7CA08456"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501CF81" w14:textId="77777777" w:rsidR="00000000" w:rsidRDefault="00405D16">
            <w:pPr>
              <w:spacing w:after="100"/>
              <w:jc w:val="center"/>
              <w:rPr>
                <w:rFonts w:eastAsia="Times New Roman"/>
              </w:rPr>
            </w:pPr>
            <w:r>
              <w:rPr>
                <w:rFonts w:eastAsia="Times New Roman"/>
                <w:b/>
                <w:bCs/>
                <w:color w:val="000000"/>
                <w:sz w:val="16"/>
                <w:szCs w:val="16"/>
              </w:rPr>
              <w:t>% of</w:t>
            </w:r>
            <w:r>
              <w:rPr>
                <w:rFonts w:eastAsia="Times New Roman"/>
                <w:b/>
                <w:bCs/>
                <w:color w:val="000000"/>
                <w:sz w:val="16"/>
                <w:szCs w:val="16"/>
              </w:rPr>
              <w:br/>
              <w:t>Total</w:t>
            </w:r>
          </w:p>
        </w:tc>
        <w:tc>
          <w:tcPr>
            <w:tcW w:w="0" w:type="auto"/>
            <w:gridSpan w:val="3"/>
            <w:tcMar>
              <w:top w:w="0" w:type="dxa"/>
              <w:left w:w="20" w:type="dxa"/>
              <w:bottom w:w="0" w:type="dxa"/>
              <w:right w:w="20" w:type="dxa"/>
            </w:tcMar>
            <w:vAlign w:val="center"/>
            <w:hideMark/>
          </w:tcPr>
          <w:p w14:paraId="21824FDF"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F3EE6D8" w14:textId="77777777" w:rsidR="00000000" w:rsidRDefault="00405D16">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14:paraId="4B2AB539"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07733DC" w14:textId="77777777" w:rsidR="00000000" w:rsidRDefault="00405D16">
            <w:pPr>
              <w:spacing w:after="100"/>
              <w:jc w:val="center"/>
              <w:rPr>
                <w:rFonts w:eastAsia="Times New Roman"/>
              </w:rPr>
            </w:pPr>
            <w:r>
              <w:rPr>
                <w:rFonts w:eastAsia="Times New Roman"/>
                <w:b/>
                <w:bCs/>
                <w:color w:val="000000"/>
                <w:sz w:val="16"/>
                <w:szCs w:val="16"/>
              </w:rPr>
              <w:t>% of</w:t>
            </w:r>
            <w:r>
              <w:rPr>
                <w:rFonts w:eastAsia="Times New Roman"/>
                <w:b/>
                <w:bCs/>
                <w:color w:val="000000"/>
                <w:sz w:val="16"/>
                <w:szCs w:val="16"/>
              </w:rPr>
              <w:br/>
              <w:t>Total</w:t>
            </w:r>
          </w:p>
        </w:tc>
        <w:tc>
          <w:tcPr>
            <w:tcW w:w="0" w:type="auto"/>
            <w:gridSpan w:val="3"/>
            <w:tcMar>
              <w:top w:w="0" w:type="dxa"/>
              <w:left w:w="20" w:type="dxa"/>
              <w:bottom w:w="0" w:type="dxa"/>
              <w:right w:w="20" w:type="dxa"/>
            </w:tcMar>
            <w:vAlign w:val="center"/>
            <w:hideMark/>
          </w:tcPr>
          <w:p w14:paraId="380D44D5"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01664E9" w14:textId="77777777" w:rsidR="00000000" w:rsidRDefault="00405D16">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14:paraId="262A2E11"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B35F98C" w14:textId="77777777" w:rsidR="00000000" w:rsidRDefault="00405D16">
            <w:pPr>
              <w:spacing w:after="100"/>
              <w:jc w:val="center"/>
              <w:rPr>
                <w:rFonts w:eastAsia="Times New Roman"/>
              </w:rPr>
            </w:pPr>
            <w:r>
              <w:rPr>
                <w:rFonts w:eastAsia="Times New Roman"/>
                <w:b/>
                <w:bCs/>
                <w:color w:val="000000"/>
                <w:sz w:val="16"/>
                <w:szCs w:val="16"/>
              </w:rPr>
              <w:t>% of</w:t>
            </w:r>
            <w:r>
              <w:rPr>
                <w:rFonts w:eastAsia="Times New Roman"/>
                <w:b/>
                <w:bCs/>
                <w:color w:val="000000"/>
                <w:sz w:val="16"/>
                <w:szCs w:val="16"/>
              </w:rPr>
              <w:br/>
              <w:t>Total</w:t>
            </w:r>
          </w:p>
        </w:tc>
        <w:tc>
          <w:tcPr>
            <w:tcW w:w="0" w:type="auto"/>
            <w:gridSpan w:val="3"/>
            <w:vAlign w:val="center"/>
            <w:hideMark/>
          </w:tcPr>
          <w:p w14:paraId="20B3529E" w14:textId="77777777" w:rsidR="00000000" w:rsidRDefault="00405D16">
            <w:pPr>
              <w:spacing w:after="100"/>
              <w:jc w:val="center"/>
              <w:rPr>
                <w:rFonts w:eastAsia="Times New Roman"/>
              </w:rPr>
            </w:pPr>
          </w:p>
        </w:tc>
        <w:tc>
          <w:tcPr>
            <w:tcW w:w="0" w:type="auto"/>
            <w:gridSpan w:val="3"/>
            <w:vAlign w:val="center"/>
            <w:hideMark/>
          </w:tcPr>
          <w:p w14:paraId="1A753A50" w14:textId="77777777" w:rsidR="00000000" w:rsidRDefault="00405D16">
            <w:pPr>
              <w:spacing w:after="100"/>
              <w:rPr>
                <w:rFonts w:eastAsia="Times New Roman"/>
                <w:sz w:val="20"/>
                <w:szCs w:val="20"/>
              </w:rPr>
            </w:pPr>
          </w:p>
        </w:tc>
        <w:tc>
          <w:tcPr>
            <w:tcW w:w="0" w:type="auto"/>
            <w:gridSpan w:val="3"/>
            <w:vAlign w:val="center"/>
            <w:hideMark/>
          </w:tcPr>
          <w:p w14:paraId="1E4ACA68" w14:textId="77777777" w:rsidR="00000000" w:rsidRDefault="00405D16">
            <w:pPr>
              <w:spacing w:after="100"/>
              <w:rPr>
                <w:rFonts w:eastAsia="Times New Roman"/>
                <w:sz w:val="20"/>
                <w:szCs w:val="20"/>
              </w:rPr>
            </w:pPr>
          </w:p>
        </w:tc>
        <w:tc>
          <w:tcPr>
            <w:tcW w:w="0" w:type="auto"/>
            <w:gridSpan w:val="2"/>
            <w:vAlign w:val="center"/>
            <w:hideMark/>
          </w:tcPr>
          <w:p w14:paraId="3643CC3A" w14:textId="77777777" w:rsidR="00000000" w:rsidRDefault="00405D16">
            <w:pPr>
              <w:spacing w:after="100"/>
              <w:rPr>
                <w:rFonts w:eastAsia="Times New Roman"/>
                <w:sz w:val="20"/>
                <w:szCs w:val="20"/>
              </w:rPr>
            </w:pPr>
          </w:p>
        </w:tc>
        <w:tc>
          <w:tcPr>
            <w:tcW w:w="0" w:type="auto"/>
            <w:vAlign w:val="center"/>
            <w:hideMark/>
          </w:tcPr>
          <w:p w14:paraId="61FE9BBE" w14:textId="77777777" w:rsidR="00000000" w:rsidRDefault="00405D16">
            <w:pPr>
              <w:spacing w:after="100"/>
              <w:rPr>
                <w:rFonts w:eastAsia="Times New Roman"/>
                <w:sz w:val="20"/>
                <w:szCs w:val="20"/>
              </w:rPr>
            </w:pPr>
          </w:p>
        </w:tc>
      </w:tr>
      <w:tr w:rsidR="00405D16" w14:paraId="59D30D1C" w14:textId="77777777">
        <w:trPr>
          <w:divId w:val="125220188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DDAFD1C" w14:textId="77777777" w:rsidR="00000000" w:rsidRDefault="00405D16">
            <w:pPr>
              <w:spacing w:after="100"/>
              <w:rPr>
                <w:rFonts w:eastAsia="Times New Roman"/>
              </w:rPr>
            </w:pPr>
            <w:r>
              <w:rPr>
                <w:rFonts w:eastAsia="Times New Roman"/>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14:paraId="452CD7F0"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464F7F0"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088A5A8" w14:textId="77777777" w:rsidR="00000000" w:rsidRDefault="00405D16">
            <w:pPr>
              <w:spacing w:after="100"/>
              <w:jc w:val="right"/>
              <w:rPr>
                <w:rFonts w:eastAsia="Times New Roman"/>
              </w:rPr>
            </w:pPr>
            <w:r>
              <w:rPr>
                <w:rFonts w:eastAsia="Times New Roman"/>
                <w:b/>
                <w:bCs/>
                <w:color w:val="000000"/>
                <w:sz w:val="18"/>
                <w:szCs w:val="18"/>
              </w:rPr>
              <w:t>13,754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547CDF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B61FFB"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BF59514" w14:textId="77777777" w:rsidR="00000000" w:rsidRDefault="00405D16">
            <w:pPr>
              <w:spacing w:after="100"/>
              <w:jc w:val="right"/>
              <w:rPr>
                <w:rFonts w:eastAsia="Times New Roman"/>
              </w:rPr>
            </w:pPr>
            <w:r>
              <w:rPr>
                <w:rFonts w:eastAsia="Times New Roman"/>
                <w:b/>
                <w:bCs/>
                <w:color w:val="000000"/>
                <w:sz w:val="18"/>
                <w:szCs w:val="18"/>
              </w:rPr>
              <w:t>61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765299D"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EFA1D91" w14:textId="77777777" w:rsidR="00000000" w:rsidRDefault="00405D16">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C4CF99F"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0114093" w14:textId="77777777" w:rsidR="00000000" w:rsidRDefault="00405D16">
            <w:pPr>
              <w:spacing w:after="100"/>
              <w:jc w:val="right"/>
              <w:rPr>
                <w:rFonts w:eastAsia="Times New Roman"/>
              </w:rPr>
            </w:pPr>
            <w:r>
              <w:rPr>
                <w:rFonts w:eastAsia="Times New Roman"/>
                <w:b/>
                <w:bCs/>
                <w:color w:val="000000"/>
                <w:sz w:val="18"/>
                <w:szCs w:val="18"/>
              </w:rPr>
              <w:t>6,305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0E70BF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C2BDEC"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BFCF39A" w14:textId="77777777" w:rsidR="00000000" w:rsidRDefault="00405D16">
            <w:pPr>
              <w:spacing w:after="100"/>
              <w:jc w:val="right"/>
              <w:rPr>
                <w:rFonts w:eastAsia="Times New Roman"/>
              </w:rPr>
            </w:pPr>
            <w:r>
              <w:rPr>
                <w:rFonts w:eastAsia="Times New Roman"/>
                <w:b/>
                <w:bCs/>
                <w:color w:val="000000"/>
                <w:sz w:val="18"/>
                <w:szCs w:val="18"/>
              </w:rPr>
              <w:t>63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21A583A"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7B77785" w14:textId="77777777" w:rsidR="00000000" w:rsidRDefault="00405D16">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47109FA"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F987B6F" w14:textId="77777777" w:rsidR="00000000" w:rsidRDefault="00405D16">
            <w:pPr>
              <w:spacing w:after="100"/>
              <w:jc w:val="right"/>
              <w:rPr>
                <w:rFonts w:eastAsia="Times New Roman"/>
              </w:rPr>
            </w:pPr>
            <w:r>
              <w:rPr>
                <w:rFonts w:eastAsia="Times New Roman"/>
                <w:color w:val="000000"/>
                <w:sz w:val="18"/>
                <w:szCs w:val="18"/>
              </w:rPr>
              <w:t>13,132 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7C4335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F20DD6"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D0988EE" w14:textId="77777777" w:rsidR="00000000" w:rsidRDefault="00405D16">
            <w:pPr>
              <w:spacing w:after="100"/>
              <w:jc w:val="right"/>
              <w:rPr>
                <w:rFonts w:eastAsia="Times New Roman"/>
              </w:rPr>
            </w:pPr>
            <w:r>
              <w:rPr>
                <w:rFonts w:eastAsia="Times New Roman"/>
                <w:color w:val="000000"/>
                <w:sz w:val="18"/>
                <w:szCs w:val="18"/>
              </w:rPr>
              <w:t>62 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1D70985"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1952535" w14:textId="77777777" w:rsidR="00000000" w:rsidRDefault="00405D16">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1C13FB1"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DB5302F" w14:textId="77777777" w:rsidR="00000000" w:rsidRDefault="00405D16">
            <w:pPr>
              <w:spacing w:after="100"/>
              <w:jc w:val="right"/>
              <w:rPr>
                <w:rFonts w:eastAsia="Times New Roman"/>
              </w:rPr>
            </w:pPr>
            <w:r>
              <w:rPr>
                <w:rFonts w:eastAsia="Times New Roman"/>
                <w:color w:val="000000"/>
                <w:sz w:val="18"/>
                <w:szCs w:val="18"/>
              </w:rPr>
              <w:t>(110)</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B064E7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FD31C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B6C6800" w14:textId="77777777" w:rsidR="00000000" w:rsidRDefault="00405D16">
            <w:pPr>
              <w:spacing w:after="100"/>
              <w:jc w:val="right"/>
              <w:rPr>
                <w:rFonts w:eastAsia="Times New Roman"/>
              </w:rPr>
            </w:pPr>
            <w:r>
              <w:rPr>
                <w:rFonts w:eastAsia="Times New Roman"/>
                <w:color w:val="000000"/>
                <w:sz w:val="18"/>
                <w:szCs w:val="18"/>
              </w:rPr>
              <w:t>(74)</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8DEC2CF"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54E44DF3" w14:textId="77777777" w:rsidR="00000000" w:rsidRDefault="00405D16">
            <w:pPr>
              <w:spacing w:after="100"/>
              <w:jc w:val="right"/>
              <w:rPr>
                <w:rFonts w:eastAsia="Times New Roman"/>
              </w:rPr>
            </w:pPr>
          </w:p>
        </w:tc>
        <w:tc>
          <w:tcPr>
            <w:tcW w:w="0" w:type="auto"/>
            <w:gridSpan w:val="3"/>
            <w:vAlign w:val="center"/>
            <w:hideMark/>
          </w:tcPr>
          <w:p w14:paraId="558F3972" w14:textId="77777777" w:rsidR="00000000" w:rsidRDefault="00405D16">
            <w:pPr>
              <w:spacing w:after="100"/>
              <w:rPr>
                <w:rFonts w:eastAsia="Times New Roman"/>
                <w:sz w:val="20"/>
                <w:szCs w:val="20"/>
              </w:rPr>
            </w:pPr>
          </w:p>
        </w:tc>
        <w:tc>
          <w:tcPr>
            <w:tcW w:w="0" w:type="auto"/>
            <w:gridSpan w:val="3"/>
            <w:vAlign w:val="center"/>
            <w:hideMark/>
          </w:tcPr>
          <w:p w14:paraId="729B9FE8" w14:textId="77777777" w:rsidR="00000000" w:rsidRDefault="00405D16">
            <w:pPr>
              <w:spacing w:after="100"/>
              <w:rPr>
                <w:rFonts w:eastAsia="Times New Roman"/>
                <w:sz w:val="20"/>
                <w:szCs w:val="20"/>
              </w:rPr>
            </w:pPr>
          </w:p>
        </w:tc>
        <w:tc>
          <w:tcPr>
            <w:tcW w:w="0" w:type="auto"/>
            <w:gridSpan w:val="2"/>
            <w:vAlign w:val="center"/>
            <w:hideMark/>
          </w:tcPr>
          <w:p w14:paraId="57526AC9" w14:textId="77777777" w:rsidR="00000000" w:rsidRDefault="00405D16">
            <w:pPr>
              <w:spacing w:after="100"/>
              <w:rPr>
                <w:rFonts w:eastAsia="Times New Roman"/>
                <w:sz w:val="20"/>
                <w:szCs w:val="20"/>
              </w:rPr>
            </w:pPr>
          </w:p>
        </w:tc>
        <w:tc>
          <w:tcPr>
            <w:tcW w:w="0" w:type="auto"/>
            <w:vAlign w:val="center"/>
            <w:hideMark/>
          </w:tcPr>
          <w:p w14:paraId="0FD78341" w14:textId="77777777" w:rsidR="00000000" w:rsidRDefault="00405D16">
            <w:pPr>
              <w:spacing w:after="100"/>
              <w:rPr>
                <w:rFonts w:eastAsia="Times New Roman"/>
                <w:sz w:val="20"/>
                <w:szCs w:val="20"/>
              </w:rPr>
            </w:pPr>
          </w:p>
        </w:tc>
      </w:tr>
      <w:tr w:rsidR="00405D16" w14:paraId="1DC0CEA9" w14:textId="77777777">
        <w:trPr>
          <w:divId w:val="1252201886"/>
        </w:trPr>
        <w:tc>
          <w:tcPr>
            <w:tcW w:w="0" w:type="auto"/>
            <w:gridSpan w:val="3"/>
            <w:shd w:val="clear" w:color="auto" w:fill="FFFFFF"/>
            <w:tcMar>
              <w:top w:w="30" w:type="dxa"/>
              <w:left w:w="20" w:type="dxa"/>
              <w:bottom w:w="30" w:type="dxa"/>
              <w:right w:w="20" w:type="dxa"/>
            </w:tcMar>
            <w:vAlign w:val="center"/>
            <w:hideMark/>
          </w:tcPr>
          <w:p w14:paraId="10AAC35E" w14:textId="77777777" w:rsidR="00000000" w:rsidRDefault="00405D16">
            <w:pPr>
              <w:spacing w:after="100"/>
              <w:rPr>
                <w:rFonts w:eastAsia="Times New Roman"/>
              </w:rPr>
            </w:pPr>
            <w:r>
              <w:rPr>
                <w:rFonts w:eastAsia="Times New Roman"/>
                <w:color w:val="000000"/>
                <w:sz w:val="18"/>
                <w:szCs w:val="18"/>
              </w:rPr>
              <w:t>Consumer Banking</w:t>
            </w:r>
          </w:p>
        </w:tc>
        <w:tc>
          <w:tcPr>
            <w:tcW w:w="0" w:type="auto"/>
            <w:gridSpan w:val="3"/>
            <w:shd w:val="clear" w:color="auto" w:fill="FFFFFF"/>
            <w:tcMar>
              <w:top w:w="0" w:type="dxa"/>
              <w:left w:w="20" w:type="dxa"/>
              <w:bottom w:w="0" w:type="dxa"/>
              <w:right w:w="20" w:type="dxa"/>
            </w:tcMar>
            <w:vAlign w:val="center"/>
            <w:hideMark/>
          </w:tcPr>
          <w:p w14:paraId="0215989C"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18C59A3" w14:textId="77777777" w:rsidR="00000000" w:rsidRDefault="00405D16">
            <w:pPr>
              <w:spacing w:after="100"/>
              <w:jc w:val="right"/>
              <w:rPr>
                <w:rFonts w:eastAsia="Times New Roman"/>
              </w:rPr>
            </w:pPr>
            <w:r>
              <w:rPr>
                <w:rFonts w:eastAsia="Times New Roman"/>
                <w:b/>
                <w:bCs/>
                <w:color w:val="000000"/>
                <w:sz w:val="18"/>
                <w:szCs w:val="18"/>
              </w:rPr>
              <w:t>6,702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057883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10F00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9D54524" w14:textId="77777777" w:rsidR="00000000" w:rsidRDefault="00405D16">
            <w:pPr>
              <w:spacing w:after="100"/>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5CA2E9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69959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59CBA1E" w14:textId="77777777" w:rsidR="00000000" w:rsidRDefault="00405D16">
            <w:pPr>
              <w:spacing w:after="100"/>
              <w:jc w:val="right"/>
              <w:rPr>
                <w:rFonts w:eastAsia="Times New Roman"/>
              </w:rPr>
            </w:pPr>
            <w:r>
              <w:rPr>
                <w:rFonts w:eastAsia="Times New Roman"/>
                <w:b/>
                <w:bCs/>
                <w:color w:val="000000"/>
                <w:sz w:val="18"/>
                <w:szCs w:val="18"/>
              </w:rPr>
              <w:t>2,902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89CD8D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37253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29C8867" w14:textId="77777777" w:rsidR="00000000" w:rsidRDefault="00405D16">
            <w:pPr>
              <w:spacing w:after="100"/>
              <w:jc w:val="right"/>
              <w:rPr>
                <w:rFonts w:eastAsia="Times New Roman"/>
              </w:rPr>
            </w:pPr>
            <w:r>
              <w:rPr>
                <w:rFonts w:eastAsia="Times New Roman"/>
                <w:b/>
                <w:bCs/>
                <w:color w:val="000000"/>
                <w:sz w:val="18"/>
                <w:szCs w:val="18"/>
              </w:rPr>
              <w:t>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A2998D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D8ECC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5019B57" w14:textId="77777777" w:rsidR="00000000" w:rsidRDefault="00405D16">
            <w:pPr>
              <w:spacing w:after="100"/>
              <w:jc w:val="right"/>
              <w:rPr>
                <w:rFonts w:eastAsia="Times New Roman"/>
              </w:rPr>
            </w:pPr>
            <w:r>
              <w:rPr>
                <w:rFonts w:eastAsia="Times New Roman"/>
                <w:color w:val="000000"/>
                <w:sz w:val="18"/>
                <w:szCs w:val="18"/>
              </w:rPr>
              <w:t>5,556 </w:t>
            </w:r>
          </w:p>
        </w:tc>
        <w:tc>
          <w:tcPr>
            <w:tcW w:w="0" w:type="auto"/>
            <w:shd w:val="clear" w:color="auto" w:fill="FFFFFF"/>
            <w:tcMar>
              <w:top w:w="30" w:type="dxa"/>
              <w:left w:w="0" w:type="dxa"/>
              <w:bottom w:w="30" w:type="dxa"/>
              <w:right w:w="20" w:type="dxa"/>
            </w:tcMar>
            <w:vAlign w:val="center"/>
            <w:hideMark/>
          </w:tcPr>
          <w:p w14:paraId="79B11FC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1D514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EC453AE" w14:textId="77777777" w:rsidR="00000000" w:rsidRDefault="00405D16">
            <w:pPr>
              <w:spacing w:after="100"/>
              <w:jc w:val="right"/>
              <w:rPr>
                <w:rFonts w:eastAsia="Times New Roman"/>
              </w:rPr>
            </w:pPr>
            <w:r>
              <w:rPr>
                <w:rFonts w:eastAsia="Times New Roman"/>
                <w:color w:val="000000"/>
                <w:sz w:val="18"/>
                <w:szCs w:val="18"/>
              </w:rPr>
              <w:t>26 </w:t>
            </w:r>
          </w:p>
        </w:tc>
        <w:tc>
          <w:tcPr>
            <w:tcW w:w="0" w:type="auto"/>
            <w:shd w:val="clear" w:color="auto" w:fill="FFFFFF"/>
            <w:tcMar>
              <w:top w:w="30" w:type="dxa"/>
              <w:left w:w="0" w:type="dxa"/>
              <w:bottom w:w="30" w:type="dxa"/>
              <w:right w:w="20" w:type="dxa"/>
            </w:tcMar>
            <w:vAlign w:val="center"/>
            <w:hideMark/>
          </w:tcPr>
          <w:p w14:paraId="5CCB253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5F4AC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AC49D0A" w14:textId="77777777" w:rsidR="00000000" w:rsidRDefault="00405D16">
            <w:pPr>
              <w:spacing w:after="100"/>
              <w:jc w:val="right"/>
              <w:rPr>
                <w:rFonts w:eastAsia="Times New Roman"/>
              </w:rPr>
            </w:pPr>
            <w:r>
              <w:rPr>
                <w:rFonts w:eastAsia="Times New Roman"/>
                <w:color w:val="000000"/>
                <w:sz w:val="18"/>
                <w:szCs w:val="18"/>
              </w:rPr>
              <w:t>630 </w:t>
            </w:r>
          </w:p>
        </w:tc>
        <w:tc>
          <w:tcPr>
            <w:tcW w:w="0" w:type="auto"/>
            <w:shd w:val="clear" w:color="auto" w:fill="FFFFFF"/>
            <w:tcMar>
              <w:top w:w="30" w:type="dxa"/>
              <w:left w:w="0" w:type="dxa"/>
              <w:bottom w:w="30" w:type="dxa"/>
              <w:right w:w="20" w:type="dxa"/>
            </w:tcMar>
            <w:vAlign w:val="center"/>
            <w:hideMark/>
          </w:tcPr>
          <w:p w14:paraId="63C9867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374FA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5F69E44" w14:textId="77777777" w:rsidR="00000000" w:rsidRDefault="00405D16">
            <w:pPr>
              <w:spacing w:after="100"/>
              <w:jc w:val="right"/>
              <w:rPr>
                <w:rFonts w:eastAsia="Times New Roman"/>
              </w:rPr>
            </w:pPr>
            <w:r>
              <w:rPr>
                <w:rFonts w:eastAsia="Times New Roman"/>
                <w:color w:val="000000"/>
                <w:sz w:val="18"/>
                <w:szCs w:val="18"/>
              </w:rPr>
              <w:t>423 </w:t>
            </w:r>
          </w:p>
        </w:tc>
        <w:tc>
          <w:tcPr>
            <w:tcW w:w="0" w:type="auto"/>
            <w:shd w:val="clear" w:color="auto" w:fill="FFFFFF"/>
            <w:tcMar>
              <w:top w:w="30" w:type="dxa"/>
              <w:left w:w="0" w:type="dxa"/>
              <w:bottom w:w="30" w:type="dxa"/>
              <w:right w:w="20" w:type="dxa"/>
            </w:tcMar>
            <w:vAlign w:val="center"/>
            <w:hideMark/>
          </w:tcPr>
          <w:p w14:paraId="11227B2F" w14:textId="77777777" w:rsidR="00000000" w:rsidRDefault="00405D16">
            <w:pPr>
              <w:spacing w:after="100"/>
              <w:jc w:val="right"/>
              <w:rPr>
                <w:rFonts w:eastAsia="Times New Roman"/>
              </w:rPr>
            </w:pPr>
          </w:p>
        </w:tc>
        <w:tc>
          <w:tcPr>
            <w:tcW w:w="0" w:type="auto"/>
            <w:gridSpan w:val="3"/>
            <w:vAlign w:val="center"/>
            <w:hideMark/>
          </w:tcPr>
          <w:p w14:paraId="72DC83E0" w14:textId="77777777" w:rsidR="00000000" w:rsidRDefault="00405D16">
            <w:pPr>
              <w:spacing w:after="100"/>
              <w:jc w:val="right"/>
              <w:rPr>
                <w:rFonts w:eastAsia="Times New Roman"/>
                <w:sz w:val="20"/>
                <w:szCs w:val="20"/>
              </w:rPr>
            </w:pPr>
          </w:p>
        </w:tc>
        <w:tc>
          <w:tcPr>
            <w:tcW w:w="0" w:type="auto"/>
            <w:gridSpan w:val="3"/>
            <w:vAlign w:val="center"/>
            <w:hideMark/>
          </w:tcPr>
          <w:p w14:paraId="10BC255C" w14:textId="77777777" w:rsidR="00000000" w:rsidRDefault="00405D16">
            <w:pPr>
              <w:spacing w:after="100"/>
              <w:rPr>
                <w:rFonts w:eastAsia="Times New Roman"/>
                <w:sz w:val="20"/>
                <w:szCs w:val="20"/>
              </w:rPr>
            </w:pPr>
          </w:p>
        </w:tc>
        <w:tc>
          <w:tcPr>
            <w:tcW w:w="0" w:type="auto"/>
            <w:gridSpan w:val="3"/>
            <w:vAlign w:val="center"/>
            <w:hideMark/>
          </w:tcPr>
          <w:p w14:paraId="1CF1ED00" w14:textId="77777777" w:rsidR="00000000" w:rsidRDefault="00405D16">
            <w:pPr>
              <w:spacing w:after="100"/>
              <w:rPr>
                <w:rFonts w:eastAsia="Times New Roman"/>
                <w:sz w:val="20"/>
                <w:szCs w:val="20"/>
              </w:rPr>
            </w:pPr>
          </w:p>
        </w:tc>
        <w:tc>
          <w:tcPr>
            <w:tcW w:w="0" w:type="auto"/>
            <w:gridSpan w:val="2"/>
            <w:vAlign w:val="center"/>
            <w:hideMark/>
          </w:tcPr>
          <w:p w14:paraId="081DE3C8" w14:textId="77777777" w:rsidR="00000000" w:rsidRDefault="00405D16">
            <w:pPr>
              <w:spacing w:after="100"/>
              <w:rPr>
                <w:rFonts w:eastAsia="Times New Roman"/>
                <w:sz w:val="20"/>
                <w:szCs w:val="20"/>
              </w:rPr>
            </w:pPr>
          </w:p>
        </w:tc>
        <w:tc>
          <w:tcPr>
            <w:tcW w:w="0" w:type="auto"/>
            <w:vAlign w:val="center"/>
            <w:hideMark/>
          </w:tcPr>
          <w:p w14:paraId="7DB82DC5" w14:textId="77777777" w:rsidR="00000000" w:rsidRDefault="00405D16">
            <w:pPr>
              <w:spacing w:after="100"/>
              <w:rPr>
                <w:rFonts w:eastAsia="Times New Roman"/>
                <w:sz w:val="20"/>
                <w:szCs w:val="20"/>
              </w:rPr>
            </w:pPr>
          </w:p>
        </w:tc>
      </w:tr>
      <w:tr w:rsidR="00405D16" w14:paraId="16A828FD" w14:textId="77777777">
        <w:trPr>
          <w:divId w:val="1252201886"/>
        </w:trPr>
        <w:tc>
          <w:tcPr>
            <w:tcW w:w="0" w:type="auto"/>
            <w:gridSpan w:val="3"/>
            <w:shd w:val="clear" w:color="auto" w:fill="CCEEFF"/>
            <w:tcMar>
              <w:top w:w="30" w:type="dxa"/>
              <w:left w:w="20" w:type="dxa"/>
              <w:bottom w:w="30" w:type="dxa"/>
              <w:right w:w="20" w:type="dxa"/>
            </w:tcMar>
            <w:vAlign w:val="center"/>
            <w:hideMark/>
          </w:tcPr>
          <w:p w14:paraId="08C4F90C" w14:textId="77777777" w:rsidR="00000000" w:rsidRDefault="00405D16">
            <w:pPr>
              <w:spacing w:after="100"/>
              <w:divId w:val="228394218"/>
              <w:rPr>
                <w:rFonts w:eastAsia="Times New Roman"/>
              </w:rPr>
            </w:pPr>
            <w:r>
              <w:rPr>
                <w:rFonts w:eastAsia="Times New Roman"/>
                <w:color w:val="000000"/>
                <w:sz w:val="18"/>
                <w:szCs w:val="18"/>
              </w:rPr>
              <w:t>Commercial Bankin</w:t>
            </w:r>
            <w:r>
              <w:rPr>
                <w:rFonts w:eastAsia="Times New Roman"/>
                <w:color w:val="000000"/>
                <w:sz w:val="18"/>
                <w:szCs w:val="18"/>
              </w:rPr>
              <w:t>g</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0792F810"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C4321DB" w14:textId="77777777" w:rsidR="00000000" w:rsidRDefault="00405D16">
            <w:pPr>
              <w:spacing w:after="100"/>
              <w:jc w:val="right"/>
              <w:rPr>
                <w:rFonts w:eastAsia="Times New Roman"/>
              </w:rPr>
            </w:pPr>
            <w:r>
              <w:rPr>
                <w:rFonts w:eastAsia="Times New Roman"/>
                <w:b/>
                <w:bCs/>
                <w:color w:val="000000"/>
                <w:sz w:val="18"/>
                <w:szCs w:val="18"/>
              </w:rPr>
              <w:t>2,361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676903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86AC8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2947847" w14:textId="77777777" w:rsidR="00000000" w:rsidRDefault="00405D16">
            <w:pPr>
              <w:spacing w:after="100"/>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4D7041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C517C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F2E58A8" w14:textId="77777777" w:rsidR="00000000" w:rsidRDefault="00405D16">
            <w:pPr>
              <w:spacing w:after="100"/>
              <w:jc w:val="right"/>
              <w:rPr>
                <w:rFonts w:eastAsia="Times New Roman"/>
              </w:rPr>
            </w:pPr>
            <w:r>
              <w:rPr>
                <w:rFonts w:eastAsia="Times New Roman"/>
                <w:b/>
                <w:bCs/>
                <w:color w:val="000000"/>
                <w:sz w:val="18"/>
                <w:szCs w:val="18"/>
              </w:rPr>
              <w:t>1,177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00BE85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DC499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500CBDF" w14:textId="77777777" w:rsidR="00000000" w:rsidRDefault="00405D16">
            <w:pPr>
              <w:spacing w:after="100"/>
              <w:jc w:val="right"/>
              <w:rPr>
                <w:rFonts w:eastAsia="Times New Roman"/>
              </w:rPr>
            </w:pPr>
            <w:r>
              <w:rPr>
                <w:rFonts w:eastAsia="Times New Roman"/>
                <w:b/>
                <w:bCs/>
                <w:color w:val="000000"/>
                <w:sz w:val="18"/>
                <w:szCs w:val="18"/>
              </w:rPr>
              <w:t>12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A9A20E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EDE1B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1F8029F" w14:textId="77777777" w:rsidR="00000000" w:rsidRDefault="00405D16">
            <w:pPr>
              <w:spacing w:after="100"/>
              <w:jc w:val="right"/>
              <w:rPr>
                <w:rFonts w:eastAsia="Times New Roman"/>
              </w:rPr>
            </w:pPr>
            <w:r>
              <w:rPr>
                <w:rFonts w:eastAsia="Times New Roman"/>
                <w:color w:val="000000"/>
                <w:sz w:val="18"/>
                <w:szCs w:val="18"/>
              </w:rPr>
              <w:t>2,181 </w:t>
            </w:r>
          </w:p>
        </w:tc>
        <w:tc>
          <w:tcPr>
            <w:tcW w:w="0" w:type="auto"/>
            <w:shd w:val="clear" w:color="auto" w:fill="CCEEFF"/>
            <w:tcMar>
              <w:top w:w="30" w:type="dxa"/>
              <w:left w:w="0" w:type="dxa"/>
              <w:bottom w:w="30" w:type="dxa"/>
              <w:right w:w="20" w:type="dxa"/>
            </w:tcMar>
            <w:vAlign w:val="center"/>
            <w:hideMark/>
          </w:tcPr>
          <w:p w14:paraId="22892D8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A494D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BEF1C87" w14:textId="77777777" w:rsidR="00000000" w:rsidRDefault="00405D16">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center"/>
            <w:hideMark/>
          </w:tcPr>
          <w:p w14:paraId="7F263CC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F5D6E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A419869" w14:textId="77777777" w:rsidR="00000000" w:rsidRDefault="00405D16">
            <w:pPr>
              <w:spacing w:after="100"/>
              <w:jc w:val="right"/>
              <w:rPr>
                <w:rFonts w:eastAsia="Times New Roman"/>
              </w:rPr>
            </w:pPr>
            <w:r>
              <w:rPr>
                <w:rFonts w:eastAsia="Times New Roman"/>
                <w:color w:val="000000"/>
                <w:sz w:val="18"/>
                <w:szCs w:val="18"/>
              </w:rPr>
              <w:t>(220)</w:t>
            </w:r>
          </w:p>
        </w:tc>
        <w:tc>
          <w:tcPr>
            <w:tcW w:w="0" w:type="auto"/>
            <w:shd w:val="clear" w:color="auto" w:fill="CCEEFF"/>
            <w:tcMar>
              <w:top w:w="30" w:type="dxa"/>
              <w:left w:w="0" w:type="dxa"/>
              <w:bottom w:w="30" w:type="dxa"/>
              <w:right w:w="20" w:type="dxa"/>
            </w:tcMar>
            <w:vAlign w:val="center"/>
            <w:hideMark/>
          </w:tcPr>
          <w:p w14:paraId="1180B4D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A539A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AA25879" w14:textId="77777777" w:rsidR="00000000" w:rsidRDefault="00405D16">
            <w:pPr>
              <w:spacing w:after="100"/>
              <w:jc w:val="right"/>
              <w:rPr>
                <w:rFonts w:eastAsia="Times New Roman"/>
              </w:rPr>
            </w:pPr>
            <w:r>
              <w:rPr>
                <w:rFonts w:eastAsia="Times New Roman"/>
                <w:color w:val="000000"/>
                <w:sz w:val="18"/>
                <w:szCs w:val="18"/>
              </w:rPr>
              <w:t>(148)</w:t>
            </w:r>
          </w:p>
        </w:tc>
        <w:tc>
          <w:tcPr>
            <w:tcW w:w="0" w:type="auto"/>
            <w:shd w:val="clear" w:color="auto" w:fill="CCEEFF"/>
            <w:tcMar>
              <w:top w:w="30" w:type="dxa"/>
              <w:left w:w="0" w:type="dxa"/>
              <w:bottom w:w="30" w:type="dxa"/>
              <w:right w:w="20" w:type="dxa"/>
            </w:tcMar>
            <w:vAlign w:val="center"/>
            <w:hideMark/>
          </w:tcPr>
          <w:p w14:paraId="1128DD65" w14:textId="77777777" w:rsidR="00000000" w:rsidRDefault="00405D16">
            <w:pPr>
              <w:spacing w:after="100"/>
              <w:jc w:val="right"/>
              <w:rPr>
                <w:rFonts w:eastAsia="Times New Roman"/>
              </w:rPr>
            </w:pPr>
          </w:p>
        </w:tc>
        <w:tc>
          <w:tcPr>
            <w:tcW w:w="0" w:type="auto"/>
            <w:gridSpan w:val="3"/>
            <w:vAlign w:val="center"/>
            <w:hideMark/>
          </w:tcPr>
          <w:p w14:paraId="67C23173" w14:textId="77777777" w:rsidR="00000000" w:rsidRDefault="00405D16">
            <w:pPr>
              <w:spacing w:after="100"/>
              <w:jc w:val="right"/>
              <w:rPr>
                <w:rFonts w:eastAsia="Times New Roman"/>
                <w:sz w:val="20"/>
                <w:szCs w:val="20"/>
              </w:rPr>
            </w:pPr>
          </w:p>
        </w:tc>
        <w:tc>
          <w:tcPr>
            <w:tcW w:w="0" w:type="auto"/>
            <w:gridSpan w:val="3"/>
            <w:vAlign w:val="center"/>
            <w:hideMark/>
          </w:tcPr>
          <w:p w14:paraId="1FEFE6BD" w14:textId="77777777" w:rsidR="00000000" w:rsidRDefault="00405D16">
            <w:pPr>
              <w:spacing w:after="100"/>
              <w:rPr>
                <w:rFonts w:eastAsia="Times New Roman"/>
                <w:sz w:val="20"/>
                <w:szCs w:val="20"/>
              </w:rPr>
            </w:pPr>
          </w:p>
        </w:tc>
        <w:tc>
          <w:tcPr>
            <w:tcW w:w="0" w:type="auto"/>
            <w:gridSpan w:val="3"/>
            <w:vAlign w:val="center"/>
            <w:hideMark/>
          </w:tcPr>
          <w:p w14:paraId="5173B1F5" w14:textId="77777777" w:rsidR="00000000" w:rsidRDefault="00405D16">
            <w:pPr>
              <w:spacing w:after="100"/>
              <w:rPr>
                <w:rFonts w:eastAsia="Times New Roman"/>
                <w:sz w:val="20"/>
                <w:szCs w:val="20"/>
              </w:rPr>
            </w:pPr>
          </w:p>
        </w:tc>
        <w:tc>
          <w:tcPr>
            <w:tcW w:w="0" w:type="auto"/>
            <w:gridSpan w:val="2"/>
            <w:vAlign w:val="center"/>
            <w:hideMark/>
          </w:tcPr>
          <w:p w14:paraId="5E7EE0EA" w14:textId="77777777" w:rsidR="00000000" w:rsidRDefault="00405D16">
            <w:pPr>
              <w:spacing w:after="100"/>
              <w:rPr>
                <w:rFonts w:eastAsia="Times New Roman"/>
                <w:sz w:val="20"/>
                <w:szCs w:val="20"/>
              </w:rPr>
            </w:pPr>
          </w:p>
        </w:tc>
        <w:tc>
          <w:tcPr>
            <w:tcW w:w="0" w:type="auto"/>
            <w:vAlign w:val="center"/>
            <w:hideMark/>
          </w:tcPr>
          <w:p w14:paraId="448753D7" w14:textId="77777777" w:rsidR="00000000" w:rsidRDefault="00405D16">
            <w:pPr>
              <w:spacing w:after="100"/>
              <w:rPr>
                <w:rFonts w:eastAsia="Times New Roman"/>
                <w:sz w:val="20"/>
                <w:szCs w:val="20"/>
              </w:rPr>
            </w:pPr>
          </w:p>
        </w:tc>
      </w:tr>
      <w:tr w:rsidR="00405D16" w14:paraId="2E1F2F02" w14:textId="77777777">
        <w:trPr>
          <w:divId w:val="1252201886"/>
        </w:trPr>
        <w:tc>
          <w:tcPr>
            <w:tcW w:w="0" w:type="auto"/>
            <w:gridSpan w:val="3"/>
            <w:shd w:val="clear" w:color="auto" w:fill="FFFFFF"/>
            <w:tcMar>
              <w:top w:w="30" w:type="dxa"/>
              <w:left w:w="20" w:type="dxa"/>
              <w:bottom w:w="30" w:type="dxa"/>
              <w:right w:w="20" w:type="dxa"/>
            </w:tcMar>
            <w:vAlign w:val="center"/>
            <w:hideMark/>
          </w:tcPr>
          <w:p w14:paraId="4C392922" w14:textId="77777777" w:rsidR="00000000" w:rsidRDefault="00405D16">
            <w:pPr>
              <w:spacing w:after="100"/>
              <w:divId w:val="478693291"/>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47EBD22C"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CEAAD23" w14:textId="77777777" w:rsidR="00000000" w:rsidRDefault="00405D16">
            <w:pPr>
              <w:spacing w:after="100"/>
              <w:jc w:val="right"/>
              <w:rPr>
                <w:rFonts w:eastAsia="Times New Roman"/>
              </w:rPr>
            </w:pPr>
            <w:r>
              <w:rPr>
                <w:rFonts w:eastAsia="Times New Roman"/>
                <w:b/>
                <w:bCs/>
                <w:color w:val="000000"/>
                <w:sz w:val="18"/>
                <w:szCs w:val="18"/>
              </w:rPr>
              <w:t>(500)</w:t>
            </w:r>
          </w:p>
        </w:tc>
        <w:tc>
          <w:tcPr>
            <w:tcW w:w="0" w:type="auto"/>
            <w:shd w:val="clear" w:color="auto" w:fill="FFFFFF"/>
            <w:tcMar>
              <w:top w:w="30" w:type="dxa"/>
              <w:left w:w="0" w:type="dxa"/>
              <w:bottom w:w="30" w:type="dxa"/>
              <w:right w:w="20" w:type="dxa"/>
            </w:tcMar>
            <w:vAlign w:val="center"/>
            <w:hideMark/>
          </w:tcPr>
          <w:p w14:paraId="1200F8A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50B9F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5FB56FB" w14:textId="77777777" w:rsidR="00000000" w:rsidRDefault="00405D16">
            <w:pPr>
              <w:spacing w:after="100"/>
              <w:jc w:val="right"/>
              <w:rPr>
                <w:rFonts w:eastAsia="Times New Roman"/>
              </w:rPr>
            </w:pPr>
            <w:r>
              <w:rPr>
                <w:rFonts w:eastAsia="Times New Roman"/>
                <w:b/>
                <w:bCs/>
                <w:color w:val="000000"/>
                <w:sz w:val="18"/>
                <w:szCs w:val="18"/>
              </w:rPr>
              <w:t>(2)</w:t>
            </w:r>
          </w:p>
        </w:tc>
        <w:tc>
          <w:tcPr>
            <w:tcW w:w="0" w:type="auto"/>
            <w:shd w:val="clear" w:color="auto" w:fill="FFFFFF"/>
            <w:tcMar>
              <w:top w:w="30" w:type="dxa"/>
              <w:left w:w="0" w:type="dxa"/>
              <w:bottom w:w="30" w:type="dxa"/>
              <w:right w:w="20" w:type="dxa"/>
            </w:tcMar>
            <w:vAlign w:val="center"/>
            <w:hideMark/>
          </w:tcPr>
          <w:p w14:paraId="6644A6A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B991A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416B194" w14:textId="77777777" w:rsidR="00000000" w:rsidRDefault="00405D16">
            <w:pPr>
              <w:spacing w:after="100"/>
              <w:jc w:val="right"/>
              <w:rPr>
                <w:rFonts w:eastAsia="Times New Roman"/>
              </w:rPr>
            </w:pPr>
            <w:r>
              <w:rPr>
                <w:rFonts w:eastAsia="Times New Roman"/>
                <w:b/>
                <w:bCs/>
                <w:color w:val="000000"/>
                <w:sz w:val="18"/>
                <w:szCs w:val="18"/>
              </w:rPr>
              <w:t>(416)</w:t>
            </w:r>
          </w:p>
        </w:tc>
        <w:tc>
          <w:tcPr>
            <w:tcW w:w="0" w:type="auto"/>
            <w:shd w:val="clear" w:color="auto" w:fill="FFFFFF"/>
            <w:tcMar>
              <w:top w:w="30" w:type="dxa"/>
              <w:left w:w="0" w:type="dxa"/>
              <w:bottom w:w="30" w:type="dxa"/>
              <w:right w:w="20" w:type="dxa"/>
            </w:tcMar>
            <w:vAlign w:val="center"/>
            <w:hideMark/>
          </w:tcPr>
          <w:p w14:paraId="05A74DD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62DB9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1902F6A" w14:textId="77777777" w:rsidR="00000000" w:rsidRDefault="00405D16">
            <w:pPr>
              <w:spacing w:after="100"/>
              <w:jc w:val="right"/>
              <w:rPr>
                <w:rFonts w:eastAsia="Times New Roman"/>
              </w:rPr>
            </w:pPr>
            <w:r>
              <w:rPr>
                <w:rFonts w:eastAsia="Times New Roman"/>
                <w:b/>
                <w:bCs/>
                <w:color w:val="000000"/>
                <w:sz w:val="18"/>
                <w:szCs w:val="18"/>
              </w:rPr>
              <w:t>(4)</w:t>
            </w:r>
          </w:p>
        </w:tc>
        <w:tc>
          <w:tcPr>
            <w:tcW w:w="0" w:type="auto"/>
            <w:shd w:val="clear" w:color="auto" w:fill="FFFFFF"/>
            <w:tcMar>
              <w:top w:w="30" w:type="dxa"/>
              <w:left w:w="0" w:type="dxa"/>
              <w:bottom w:w="30" w:type="dxa"/>
              <w:right w:w="20" w:type="dxa"/>
            </w:tcMar>
            <w:vAlign w:val="center"/>
            <w:hideMark/>
          </w:tcPr>
          <w:p w14:paraId="0377C87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51E6E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21400D0" w14:textId="77777777" w:rsidR="00000000" w:rsidRDefault="00405D16">
            <w:pPr>
              <w:spacing w:after="100"/>
              <w:jc w:val="right"/>
              <w:rPr>
                <w:rFonts w:eastAsia="Times New Roman"/>
              </w:rPr>
            </w:pPr>
            <w:r>
              <w:rPr>
                <w:rFonts w:eastAsia="Times New Roman"/>
                <w:color w:val="000000"/>
                <w:sz w:val="18"/>
                <w:szCs w:val="18"/>
              </w:rPr>
              <w:t>317 </w:t>
            </w:r>
          </w:p>
        </w:tc>
        <w:tc>
          <w:tcPr>
            <w:tcW w:w="0" w:type="auto"/>
            <w:shd w:val="clear" w:color="auto" w:fill="FFFFFF"/>
            <w:tcMar>
              <w:top w:w="30" w:type="dxa"/>
              <w:left w:w="0" w:type="dxa"/>
              <w:bottom w:w="30" w:type="dxa"/>
              <w:right w:w="20" w:type="dxa"/>
            </w:tcMar>
            <w:vAlign w:val="center"/>
            <w:hideMark/>
          </w:tcPr>
          <w:p w14:paraId="646FFDA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63FF6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24A3B02" w14:textId="77777777" w:rsidR="00000000" w:rsidRDefault="00405D16">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center"/>
            <w:hideMark/>
          </w:tcPr>
          <w:p w14:paraId="44C689B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9E81C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EE5ADFF" w14:textId="77777777" w:rsidR="00000000" w:rsidRDefault="00405D16">
            <w:pPr>
              <w:spacing w:after="100"/>
              <w:jc w:val="right"/>
              <w:rPr>
                <w:rFonts w:eastAsia="Times New Roman"/>
              </w:rPr>
            </w:pPr>
            <w:r>
              <w:rPr>
                <w:rFonts w:eastAsia="Times New Roman"/>
                <w:color w:val="000000"/>
                <w:sz w:val="18"/>
                <w:szCs w:val="18"/>
              </w:rPr>
              <w:t>(151)</w:t>
            </w:r>
          </w:p>
        </w:tc>
        <w:tc>
          <w:tcPr>
            <w:tcW w:w="0" w:type="auto"/>
            <w:shd w:val="clear" w:color="auto" w:fill="FFFFFF"/>
            <w:tcMar>
              <w:top w:w="30" w:type="dxa"/>
              <w:left w:w="0" w:type="dxa"/>
              <w:bottom w:w="30" w:type="dxa"/>
              <w:right w:w="20" w:type="dxa"/>
            </w:tcMar>
            <w:vAlign w:val="center"/>
            <w:hideMark/>
          </w:tcPr>
          <w:p w14:paraId="5C50EF6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FCD4C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97B9D07" w14:textId="77777777" w:rsidR="00000000" w:rsidRDefault="00405D16">
            <w:pPr>
              <w:spacing w:after="100"/>
              <w:jc w:val="right"/>
              <w:rPr>
                <w:rFonts w:eastAsia="Times New Roman"/>
              </w:rPr>
            </w:pPr>
            <w:r>
              <w:rPr>
                <w:rFonts w:eastAsia="Times New Roman"/>
                <w:color w:val="000000"/>
                <w:sz w:val="18"/>
                <w:szCs w:val="18"/>
              </w:rPr>
              <w:t>(101)</w:t>
            </w:r>
          </w:p>
        </w:tc>
        <w:tc>
          <w:tcPr>
            <w:tcW w:w="0" w:type="auto"/>
            <w:shd w:val="clear" w:color="auto" w:fill="FFFFFF"/>
            <w:tcMar>
              <w:top w:w="30" w:type="dxa"/>
              <w:left w:w="0" w:type="dxa"/>
              <w:bottom w:w="30" w:type="dxa"/>
              <w:right w:w="20" w:type="dxa"/>
            </w:tcMar>
            <w:vAlign w:val="center"/>
            <w:hideMark/>
          </w:tcPr>
          <w:p w14:paraId="0643DB01" w14:textId="77777777" w:rsidR="00000000" w:rsidRDefault="00405D16">
            <w:pPr>
              <w:spacing w:after="100"/>
              <w:jc w:val="right"/>
              <w:rPr>
                <w:rFonts w:eastAsia="Times New Roman"/>
              </w:rPr>
            </w:pPr>
          </w:p>
        </w:tc>
        <w:tc>
          <w:tcPr>
            <w:tcW w:w="0" w:type="auto"/>
            <w:gridSpan w:val="3"/>
            <w:vAlign w:val="center"/>
            <w:hideMark/>
          </w:tcPr>
          <w:p w14:paraId="74357772" w14:textId="77777777" w:rsidR="00000000" w:rsidRDefault="00405D16">
            <w:pPr>
              <w:spacing w:after="100"/>
              <w:jc w:val="right"/>
              <w:rPr>
                <w:rFonts w:eastAsia="Times New Roman"/>
                <w:sz w:val="20"/>
                <w:szCs w:val="20"/>
              </w:rPr>
            </w:pPr>
          </w:p>
        </w:tc>
        <w:tc>
          <w:tcPr>
            <w:tcW w:w="0" w:type="auto"/>
            <w:gridSpan w:val="3"/>
            <w:vAlign w:val="center"/>
            <w:hideMark/>
          </w:tcPr>
          <w:p w14:paraId="4234588F" w14:textId="77777777" w:rsidR="00000000" w:rsidRDefault="00405D16">
            <w:pPr>
              <w:spacing w:after="100"/>
              <w:rPr>
                <w:rFonts w:eastAsia="Times New Roman"/>
                <w:sz w:val="20"/>
                <w:szCs w:val="20"/>
              </w:rPr>
            </w:pPr>
          </w:p>
        </w:tc>
        <w:tc>
          <w:tcPr>
            <w:tcW w:w="0" w:type="auto"/>
            <w:gridSpan w:val="3"/>
            <w:vAlign w:val="center"/>
            <w:hideMark/>
          </w:tcPr>
          <w:p w14:paraId="6D36416F" w14:textId="77777777" w:rsidR="00000000" w:rsidRDefault="00405D16">
            <w:pPr>
              <w:spacing w:after="100"/>
              <w:rPr>
                <w:rFonts w:eastAsia="Times New Roman"/>
                <w:sz w:val="20"/>
                <w:szCs w:val="20"/>
              </w:rPr>
            </w:pPr>
          </w:p>
        </w:tc>
        <w:tc>
          <w:tcPr>
            <w:tcW w:w="0" w:type="auto"/>
            <w:gridSpan w:val="2"/>
            <w:vAlign w:val="center"/>
            <w:hideMark/>
          </w:tcPr>
          <w:p w14:paraId="55793735" w14:textId="77777777" w:rsidR="00000000" w:rsidRDefault="00405D16">
            <w:pPr>
              <w:spacing w:after="100"/>
              <w:rPr>
                <w:rFonts w:eastAsia="Times New Roman"/>
                <w:sz w:val="20"/>
                <w:szCs w:val="20"/>
              </w:rPr>
            </w:pPr>
          </w:p>
        </w:tc>
        <w:tc>
          <w:tcPr>
            <w:tcW w:w="0" w:type="auto"/>
            <w:vAlign w:val="center"/>
            <w:hideMark/>
          </w:tcPr>
          <w:p w14:paraId="2647DE12" w14:textId="77777777" w:rsidR="00000000" w:rsidRDefault="00405D16">
            <w:pPr>
              <w:spacing w:after="100"/>
              <w:rPr>
                <w:rFonts w:eastAsia="Times New Roman"/>
                <w:sz w:val="20"/>
                <w:szCs w:val="20"/>
              </w:rPr>
            </w:pPr>
          </w:p>
        </w:tc>
      </w:tr>
      <w:tr w:rsidR="00405D16" w14:paraId="4977D5F7" w14:textId="77777777">
        <w:trPr>
          <w:divId w:val="1252201886"/>
        </w:trPr>
        <w:tc>
          <w:tcPr>
            <w:tcW w:w="0" w:type="auto"/>
            <w:gridSpan w:val="3"/>
            <w:shd w:val="clear" w:color="auto" w:fill="CCEEFF"/>
            <w:tcMar>
              <w:top w:w="30" w:type="dxa"/>
              <w:left w:w="20" w:type="dxa"/>
              <w:bottom w:w="30" w:type="dxa"/>
              <w:right w:w="20" w:type="dxa"/>
            </w:tcMar>
            <w:vAlign w:val="center"/>
            <w:hideMark/>
          </w:tcPr>
          <w:p w14:paraId="7D5B2ABA" w14:textId="77777777" w:rsidR="00000000" w:rsidRDefault="00405D16">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2D831AF5"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9ADE65F"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3F6B9B49" w14:textId="77777777" w:rsidR="00000000" w:rsidRDefault="00405D16">
            <w:pPr>
              <w:spacing w:after="100"/>
              <w:jc w:val="right"/>
              <w:rPr>
                <w:rFonts w:eastAsia="Times New Roman"/>
              </w:rPr>
            </w:pPr>
            <w:r>
              <w:rPr>
                <w:rFonts w:eastAsia="Times New Roman"/>
                <w:b/>
                <w:bCs/>
                <w:color w:val="000000"/>
                <w:sz w:val="18"/>
                <w:szCs w:val="18"/>
              </w:rPr>
              <w:t>22,317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E31120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8CFCC4" w14:textId="77777777" w:rsidR="00000000" w:rsidRDefault="00405D1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AC9D8D3" w14:textId="77777777" w:rsidR="00000000" w:rsidRDefault="00405D16">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C8FE687"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78B94A4" w14:textId="77777777" w:rsidR="00000000" w:rsidRDefault="00405D16">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0D26258"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213B317" w14:textId="77777777" w:rsidR="00000000" w:rsidRDefault="00405D16">
            <w:pPr>
              <w:spacing w:after="100"/>
              <w:jc w:val="right"/>
              <w:rPr>
                <w:rFonts w:eastAsia="Times New Roman"/>
              </w:rPr>
            </w:pPr>
            <w:r>
              <w:rPr>
                <w:rFonts w:eastAsia="Times New Roman"/>
                <w:b/>
                <w:bCs/>
                <w:color w:val="000000"/>
                <w:sz w:val="18"/>
                <w:szCs w:val="18"/>
              </w:rPr>
              <w:t>9,968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8CA737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BD5F18" w14:textId="77777777" w:rsidR="00000000" w:rsidRDefault="00405D1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0F61001" w14:textId="77777777" w:rsidR="00000000" w:rsidRDefault="00405D16">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AD0F2F8"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D05F0A2" w14:textId="77777777" w:rsidR="00000000" w:rsidRDefault="00405D16">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7ED36D7"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25DB497" w14:textId="77777777" w:rsidR="00000000" w:rsidRDefault="00405D16">
            <w:pPr>
              <w:spacing w:after="100"/>
              <w:jc w:val="right"/>
              <w:rPr>
                <w:rFonts w:eastAsia="Times New Roman"/>
              </w:rPr>
            </w:pPr>
            <w:r>
              <w:rPr>
                <w:rFonts w:eastAsia="Times New Roman"/>
                <w:color w:val="000000"/>
                <w:sz w:val="18"/>
                <w:szCs w:val="18"/>
              </w:rPr>
              <w:t>21,186 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FE5E09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E5011A" w14:textId="77777777" w:rsidR="00000000" w:rsidRDefault="00405D1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C6827E5" w14:textId="77777777" w:rsidR="00000000" w:rsidRDefault="00405D16">
            <w:pPr>
              <w:spacing w:after="100"/>
              <w:jc w:val="right"/>
              <w:rPr>
                <w:rFonts w:eastAsia="Times New Roman"/>
              </w:rPr>
            </w:pPr>
            <w:r>
              <w:rPr>
                <w:rFonts w:eastAsia="Times New Roman"/>
                <w:color w:val="000000"/>
                <w:sz w:val="18"/>
                <w:szCs w:val="18"/>
              </w:rPr>
              <w:t>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2CF7A25"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C8DC452" w14:textId="77777777" w:rsidR="00000000" w:rsidRDefault="00405D16">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5B14053"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BFD9562" w14:textId="77777777" w:rsidR="00000000" w:rsidRDefault="00405D16">
            <w:pPr>
              <w:spacing w:after="100"/>
              <w:jc w:val="right"/>
              <w:rPr>
                <w:rFonts w:eastAsia="Times New Roman"/>
              </w:rPr>
            </w:pPr>
            <w:r>
              <w:rPr>
                <w:rFonts w:eastAsia="Times New Roman"/>
                <w:color w:val="000000"/>
                <w:sz w:val="18"/>
                <w:szCs w:val="18"/>
              </w:rPr>
              <w:t>149 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A58934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174AAF" w14:textId="77777777" w:rsidR="00000000" w:rsidRDefault="00405D1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F98FC62" w14:textId="77777777" w:rsidR="00000000" w:rsidRDefault="00405D16">
            <w:pPr>
              <w:spacing w:after="100"/>
              <w:jc w:val="right"/>
              <w:rPr>
                <w:rFonts w:eastAsia="Times New Roman"/>
              </w:rPr>
            </w:pPr>
            <w:r>
              <w:rPr>
                <w:rFonts w:eastAsia="Times New Roman"/>
                <w:color w:val="000000"/>
                <w:sz w:val="18"/>
                <w:szCs w:val="18"/>
              </w:rPr>
              <w:t>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B170926"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6DC6F6EE" w14:textId="77777777" w:rsidR="00000000" w:rsidRDefault="00405D16">
            <w:pPr>
              <w:spacing w:after="100"/>
              <w:jc w:val="right"/>
              <w:rPr>
                <w:rFonts w:eastAsia="Times New Roman"/>
              </w:rPr>
            </w:pPr>
          </w:p>
        </w:tc>
        <w:tc>
          <w:tcPr>
            <w:tcW w:w="0" w:type="auto"/>
            <w:gridSpan w:val="3"/>
            <w:vAlign w:val="center"/>
            <w:hideMark/>
          </w:tcPr>
          <w:p w14:paraId="04FBF9AE" w14:textId="77777777" w:rsidR="00000000" w:rsidRDefault="00405D16">
            <w:pPr>
              <w:spacing w:after="100"/>
              <w:rPr>
                <w:rFonts w:eastAsia="Times New Roman"/>
                <w:sz w:val="20"/>
                <w:szCs w:val="20"/>
              </w:rPr>
            </w:pPr>
          </w:p>
        </w:tc>
        <w:tc>
          <w:tcPr>
            <w:tcW w:w="0" w:type="auto"/>
            <w:gridSpan w:val="3"/>
            <w:vAlign w:val="center"/>
            <w:hideMark/>
          </w:tcPr>
          <w:p w14:paraId="51A64D5E" w14:textId="77777777" w:rsidR="00000000" w:rsidRDefault="00405D16">
            <w:pPr>
              <w:spacing w:after="100"/>
              <w:rPr>
                <w:rFonts w:eastAsia="Times New Roman"/>
                <w:sz w:val="20"/>
                <w:szCs w:val="20"/>
              </w:rPr>
            </w:pPr>
          </w:p>
        </w:tc>
        <w:tc>
          <w:tcPr>
            <w:tcW w:w="0" w:type="auto"/>
            <w:gridSpan w:val="2"/>
            <w:vAlign w:val="center"/>
            <w:hideMark/>
          </w:tcPr>
          <w:p w14:paraId="73F30216" w14:textId="77777777" w:rsidR="00000000" w:rsidRDefault="00405D16">
            <w:pPr>
              <w:spacing w:after="100"/>
              <w:rPr>
                <w:rFonts w:eastAsia="Times New Roman"/>
                <w:sz w:val="20"/>
                <w:szCs w:val="20"/>
              </w:rPr>
            </w:pPr>
          </w:p>
        </w:tc>
        <w:tc>
          <w:tcPr>
            <w:tcW w:w="0" w:type="auto"/>
            <w:vAlign w:val="center"/>
            <w:hideMark/>
          </w:tcPr>
          <w:p w14:paraId="4CA3F842" w14:textId="77777777" w:rsidR="00000000" w:rsidRDefault="00405D16">
            <w:pPr>
              <w:spacing w:after="100"/>
              <w:rPr>
                <w:rFonts w:eastAsia="Times New Roman"/>
                <w:sz w:val="20"/>
                <w:szCs w:val="20"/>
              </w:rPr>
            </w:pPr>
          </w:p>
        </w:tc>
      </w:tr>
    </w:tbl>
    <w:p w14:paraId="15584458" w14:textId="77777777" w:rsidR="00000000" w:rsidRDefault="00405D16">
      <w:pPr>
        <w:divId w:val="1652128682"/>
        <w:rPr>
          <w:rFonts w:eastAsia="Times New Roman"/>
        </w:rPr>
      </w:pPr>
      <w:r>
        <w:rPr>
          <w:rFonts w:eastAsia="Times New Roman"/>
          <w:color w:val="000000"/>
          <w:sz w:val="20"/>
          <w:szCs w:val="20"/>
        </w:rPr>
        <w:t>__________</w:t>
      </w:r>
    </w:p>
    <w:p w14:paraId="76428EC0" w14:textId="77777777" w:rsidR="00000000" w:rsidRDefault="00405D16">
      <w:pPr>
        <w:ind w:hanging="360"/>
        <w:jc w:val="both"/>
        <w:divId w:val="167899793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Total net revenue (loss) consists of net interest income and non-interest income.</w:t>
      </w:r>
    </w:p>
    <w:p w14:paraId="726B5116" w14:textId="77777777" w:rsidR="00000000" w:rsidRDefault="00405D16">
      <w:pPr>
        <w:ind w:hanging="360"/>
        <w:jc w:val="both"/>
        <w:divId w:val="122973061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Net income (loss) for our business segments and the Other category is based on income (loss) from continuing operations, net of tax.</w:t>
      </w:r>
    </w:p>
    <w:p w14:paraId="1A12A438" w14:textId="77777777" w:rsidR="00000000" w:rsidRDefault="00405D16">
      <w:pPr>
        <w:ind w:hanging="360"/>
        <w:jc w:val="both"/>
        <w:divId w:val="1392268705"/>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Some of our comm</w:t>
      </w:r>
      <w:r>
        <w:rPr>
          <w:rFonts w:eastAsia="Times New Roman"/>
          <w:color w:val="000000"/>
          <w:sz w:val="16"/>
          <w:szCs w:val="16"/>
        </w:rPr>
        <w:t xml:space="preserve">ercial investments generate tax-exempt income, tax credits or other tax benefits. Accordingly, we present our Commercial Banking revenue and yields on a taxable-equivalent basis, calculated using the federal statutory tax rate of 21% and state taxes where </w:t>
      </w:r>
      <w:r>
        <w:rPr>
          <w:rFonts w:eastAsia="Times New Roman"/>
          <w:color w:val="000000"/>
          <w:sz w:val="16"/>
          <w:szCs w:val="16"/>
        </w:rPr>
        <w:t>applicable, with offsetting reductions to the Other category</w:t>
      </w:r>
      <w:r>
        <w:rPr>
          <w:rFonts w:eastAsia="Times New Roman"/>
          <w:color w:val="000000"/>
          <w:sz w:val="16"/>
          <w:szCs w:val="16"/>
        </w:rPr>
        <w:t>.</w:t>
      </w:r>
      <w:r>
        <w:rPr>
          <w:rFonts w:eastAsia="Times New Roman"/>
          <w:color w:val="000000"/>
          <w:sz w:val="10"/>
          <w:szCs w:val="10"/>
        </w:rPr>
        <w:t xml:space="preserv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4B7E291A" w14:textId="77777777">
        <w:trPr>
          <w:divId w:val="1052536702"/>
          <w:jc w:val="center"/>
        </w:trPr>
        <w:tc>
          <w:tcPr>
            <w:tcW w:w="50" w:type="pct"/>
            <w:vAlign w:val="center"/>
            <w:hideMark/>
          </w:tcPr>
          <w:p w14:paraId="5832A91F" w14:textId="77777777" w:rsidR="00000000" w:rsidRDefault="00405D16">
            <w:pPr>
              <w:ind w:hanging="360"/>
              <w:jc w:val="both"/>
              <w:rPr>
                <w:rFonts w:eastAsia="Times New Roman"/>
              </w:rPr>
            </w:pPr>
          </w:p>
        </w:tc>
        <w:tc>
          <w:tcPr>
            <w:tcW w:w="1606" w:type="pct"/>
            <w:vAlign w:val="center"/>
            <w:hideMark/>
          </w:tcPr>
          <w:p w14:paraId="2A8EED9E" w14:textId="77777777" w:rsidR="00000000" w:rsidRDefault="00405D16">
            <w:pPr>
              <w:spacing w:after="100"/>
              <w:rPr>
                <w:rFonts w:eastAsia="Times New Roman"/>
                <w:sz w:val="20"/>
                <w:szCs w:val="20"/>
              </w:rPr>
            </w:pPr>
          </w:p>
        </w:tc>
        <w:tc>
          <w:tcPr>
            <w:tcW w:w="5" w:type="pct"/>
            <w:vAlign w:val="center"/>
            <w:hideMark/>
          </w:tcPr>
          <w:p w14:paraId="483E9AB1" w14:textId="77777777" w:rsidR="00000000" w:rsidRDefault="00405D16">
            <w:pPr>
              <w:spacing w:after="100"/>
              <w:rPr>
                <w:rFonts w:eastAsia="Times New Roman"/>
                <w:sz w:val="20"/>
                <w:szCs w:val="20"/>
              </w:rPr>
            </w:pPr>
          </w:p>
        </w:tc>
        <w:tc>
          <w:tcPr>
            <w:tcW w:w="50" w:type="pct"/>
            <w:vAlign w:val="center"/>
            <w:hideMark/>
          </w:tcPr>
          <w:p w14:paraId="24C15F67" w14:textId="77777777" w:rsidR="00000000" w:rsidRDefault="00405D16">
            <w:pPr>
              <w:spacing w:after="100"/>
              <w:rPr>
                <w:rFonts w:eastAsia="Times New Roman"/>
                <w:sz w:val="20"/>
                <w:szCs w:val="20"/>
              </w:rPr>
            </w:pPr>
          </w:p>
        </w:tc>
        <w:tc>
          <w:tcPr>
            <w:tcW w:w="1614" w:type="pct"/>
            <w:vAlign w:val="center"/>
            <w:hideMark/>
          </w:tcPr>
          <w:p w14:paraId="2975C9DC" w14:textId="77777777" w:rsidR="00000000" w:rsidRDefault="00405D16">
            <w:pPr>
              <w:spacing w:after="100"/>
              <w:rPr>
                <w:rFonts w:eastAsia="Times New Roman"/>
                <w:sz w:val="20"/>
                <w:szCs w:val="20"/>
              </w:rPr>
            </w:pPr>
          </w:p>
        </w:tc>
        <w:tc>
          <w:tcPr>
            <w:tcW w:w="5" w:type="pct"/>
            <w:vAlign w:val="center"/>
            <w:hideMark/>
          </w:tcPr>
          <w:p w14:paraId="26CDD5CA" w14:textId="77777777" w:rsidR="00000000" w:rsidRDefault="00405D16">
            <w:pPr>
              <w:spacing w:after="100"/>
              <w:rPr>
                <w:rFonts w:eastAsia="Times New Roman"/>
                <w:sz w:val="20"/>
                <w:szCs w:val="20"/>
              </w:rPr>
            </w:pPr>
          </w:p>
        </w:tc>
        <w:tc>
          <w:tcPr>
            <w:tcW w:w="50" w:type="pct"/>
            <w:vAlign w:val="center"/>
            <w:hideMark/>
          </w:tcPr>
          <w:p w14:paraId="418F6A31" w14:textId="77777777" w:rsidR="00000000" w:rsidRDefault="00405D16">
            <w:pPr>
              <w:spacing w:after="100"/>
              <w:rPr>
                <w:rFonts w:eastAsia="Times New Roman"/>
                <w:sz w:val="20"/>
                <w:szCs w:val="20"/>
              </w:rPr>
            </w:pPr>
          </w:p>
        </w:tc>
        <w:tc>
          <w:tcPr>
            <w:tcW w:w="1614" w:type="pct"/>
            <w:vAlign w:val="center"/>
            <w:hideMark/>
          </w:tcPr>
          <w:p w14:paraId="35E9C267" w14:textId="77777777" w:rsidR="00000000" w:rsidRDefault="00405D16">
            <w:pPr>
              <w:spacing w:after="100"/>
              <w:rPr>
                <w:rFonts w:eastAsia="Times New Roman"/>
                <w:sz w:val="20"/>
                <w:szCs w:val="20"/>
              </w:rPr>
            </w:pPr>
          </w:p>
        </w:tc>
        <w:tc>
          <w:tcPr>
            <w:tcW w:w="5" w:type="pct"/>
            <w:vAlign w:val="center"/>
            <w:hideMark/>
          </w:tcPr>
          <w:p w14:paraId="63D3B2C5" w14:textId="77777777" w:rsidR="00000000" w:rsidRDefault="00405D16">
            <w:pPr>
              <w:spacing w:after="100"/>
              <w:rPr>
                <w:rFonts w:eastAsia="Times New Roman"/>
                <w:sz w:val="20"/>
                <w:szCs w:val="20"/>
              </w:rPr>
            </w:pPr>
          </w:p>
        </w:tc>
      </w:tr>
      <w:tr w:rsidR="00000000" w14:paraId="6BACAF47" w14:textId="77777777">
        <w:trPr>
          <w:divId w:val="1052536702"/>
          <w:trHeight w:val="300"/>
          <w:jc w:val="center"/>
        </w:trPr>
        <w:tc>
          <w:tcPr>
            <w:tcW w:w="0" w:type="auto"/>
            <w:gridSpan w:val="9"/>
            <w:tcMar>
              <w:top w:w="0" w:type="dxa"/>
              <w:left w:w="20" w:type="dxa"/>
              <w:bottom w:w="0" w:type="dxa"/>
              <w:right w:w="20" w:type="dxa"/>
            </w:tcMar>
            <w:vAlign w:val="center"/>
            <w:hideMark/>
          </w:tcPr>
          <w:p w14:paraId="41FB95C0" w14:textId="77777777" w:rsidR="00000000" w:rsidRDefault="00405D16">
            <w:pPr>
              <w:spacing w:after="100"/>
              <w:rPr>
                <w:rFonts w:eastAsia="Times New Roman"/>
                <w:sz w:val="20"/>
                <w:szCs w:val="20"/>
              </w:rPr>
            </w:pPr>
          </w:p>
        </w:tc>
      </w:tr>
      <w:tr w:rsidR="00000000" w14:paraId="035E5EA2" w14:textId="77777777">
        <w:trPr>
          <w:divId w:val="1052536702"/>
          <w:jc w:val="center"/>
        </w:trPr>
        <w:tc>
          <w:tcPr>
            <w:tcW w:w="0" w:type="auto"/>
            <w:gridSpan w:val="3"/>
            <w:tcMar>
              <w:top w:w="0" w:type="dxa"/>
              <w:left w:w="20" w:type="dxa"/>
              <w:bottom w:w="0" w:type="dxa"/>
              <w:right w:w="20" w:type="dxa"/>
            </w:tcMar>
            <w:vAlign w:val="center"/>
            <w:hideMark/>
          </w:tcPr>
          <w:p w14:paraId="5ACD3066"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CC6B1C5" w14:textId="77777777" w:rsidR="00000000" w:rsidRDefault="00405D16">
            <w:pPr>
              <w:spacing w:after="100"/>
              <w:jc w:val="center"/>
              <w:rPr>
                <w:rFonts w:eastAsia="Times New Roman"/>
              </w:rPr>
            </w:pPr>
            <w:r>
              <w:rPr>
                <w:rFonts w:eastAsia="Times New Roman"/>
                <w:color w:val="000000"/>
                <w:sz w:val="16"/>
                <w:szCs w:val="16"/>
              </w:rPr>
              <w:t>20</w:t>
            </w:r>
          </w:p>
        </w:tc>
        <w:tc>
          <w:tcPr>
            <w:tcW w:w="0" w:type="auto"/>
            <w:gridSpan w:val="3"/>
            <w:tcMar>
              <w:top w:w="30" w:type="dxa"/>
              <w:left w:w="20" w:type="dxa"/>
              <w:bottom w:w="30" w:type="dxa"/>
              <w:right w:w="20" w:type="dxa"/>
            </w:tcMar>
            <w:vAlign w:val="bottom"/>
            <w:hideMark/>
          </w:tcPr>
          <w:p w14:paraId="3D9E7795"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5661159D" w14:textId="77777777" w:rsidR="00000000" w:rsidRDefault="00405D16">
      <w:pPr>
        <w:rPr>
          <w:rFonts w:eastAsia="Times New Roman"/>
        </w:rPr>
      </w:pPr>
      <w:r>
        <w:rPr>
          <w:rFonts w:eastAsia="Times New Roman"/>
        </w:rPr>
        <w:pict w14:anchorId="0EDF5551">
          <v:rect id="_x0000_i1045" style="width:0;height:1.5pt" o:hralign="center" o:hrstd="t" o:hr="t" fillcolor="#a0a0a0" stroked="f"/>
        </w:pict>
      </w:r>
    </w:p>
    <w:p w14:paraId="6586FAAE" w14:textId="77777777" w:rsidR="00000000" w:rsidRDefault="00405D16">
      <w:pPr>
        <w:ind w:hanging="360"/>
        <w:jc w:val="both"/>
        <w:divId w:val="983269274"/>
        <w:rPr>
          <w:rFonts w:eastAsia="Times New Roman"/>
        </w:rPr>
      </w:pPr>
      <w:hyperlink w:anchor="idd54a04a485440b4ab4e56094c14d612_13" w:history="1">
        <w:r>
          <w:rPr>
            <w:rStyle w:val="a3"/>
            <w:rFonts w:eastAsia="Times New Roman"/>
            <w:sz w:val="16"/>
            <w:szCs w:val="16"/>
          </w:rPr>
          <w:t>Table of Contents</w:t>
        </w:r>
      </w:hyperlink>
    </w:p>
    <w:p w14:paraId="064BCC77" w14:textId="77777777" w:rsidR="00000000" w:rsidRDefault="00405D16">
      <w:pPr>
        <w:divId w:val="1662659795"/>
        <w:rPr>
          <w:rFonts w:eastAsia="Times New Roman"/>
        </w:rPr>
      </w:pPr>
      <w:r>
        <w:rPr>
          <w:rFonts w:eastAsia="Times New Roman"/>
          <w:b/>
          <w:bCs/>
          <w:color w:val="000000"/>
          <w:sz w:val="20"/>
          <w:szCs w:val="20"/>
        </w:rPr>
        <w:t>Credit Card Business</w:t>
      </w:r>
    </w:p>
    <w:p w14:paraId="24EFB03F" w14:textId="77777777" w:rsidR="00000000" w:rsidRDefault="00405D16">
      <w:pPr>
        <w:jc w:val="both"/>
        <w:divId w:val="503083478"/>
        <w:rPr>
          <w:rFonts w:eastAsia="Times New Roman"/>
        </w:rPr>
      </w:pPr>
      <w:r>
        <w:rPr>
          <w:rFonts w:eastAsia="Times New Roman"/>
          <w:color w:val="000000"/>
          <w:sz w:val="20"/>
          <w:szCs w:val="20"/>
        </w:rPr>
        <w:t>The primary sources of revenue for our Credit Card business are net interest income, net interchange income and fees collected from customers. Expenses primarily consist of the provision for credit losses, operating costs and marketing expenses.</w:t>
      </w:r>
    </w:p>
    <w:p w14:paraId="1A493183" w14:textId="77777777" w:rsidR="00000000" w:rsidRDefault="00405D16">
      <w:pPr>
        <w:jc w:val="both"/>
        <w:divId w:val="1224290092"/>
        <w:rPr>
          <w:rFonts w:eastAsia="Times New Roman"/>
        </w:rPr>
      </w:pPr>
      <w:r>
        <w:rPr>
          <w:rFonts w:eastAsia="Times New Roman"/>
          <w:color w:val="000000"/>
          <w:sz w:val="20"/>
          <w:szCs w:val="20"/>
        </w:rPr>
        <w:t>Our Credit</w:t>
      </w:r>
      <w:r>
        <w:rPr>
          <w:rFonts w:eastAsia="Times New Roman"/>
          <w:color w:val="000000"/>
          <w:sz w:val="20"/>
          <w:szCs w:val="20"/>
        </w:rPr>
        <w:t xml:space="preserve"> Card business generated net income from continuing operations of $2.0 billion and $6.3 billion in the third quarter and first nine months of 2021, respectively, compared to net income of $1.4 billion in the third quarter of 2020 and net loss of $110 milli</w:t>
      </w:r>
      <w:r>
        <w:rPr>
          <w:rFonts w:eastAsia="Times New Roman"/>
          <w:color w:val="000000"/>
          <w:sz w:val="20"/>
          <w:szCs w:val="20"/>
        </w:rPr>
        <w:t>on in the first nine months of 2020.</w:t>
      </w:r>
    </w:p>
    <w:p w14:paraId="04FD3327" w14:textId="77777777" w:rsidR="00000000" w:rsidRDefault="00405D16">
      <w:pPr>
        <w:jc w:val="both"/>
        <w:divId w:val="1111120552"/>
        <w:rPr>
          <w:rFonts w:eastAsia="Times New Roman"/>
        </w:rPr>
      </w:pPr>
      <w:r>
        <w:rPr>
          <w:rFonts w:eastAsia="Times New Roman"/>
          <w:color w:val="000000"/>
          <w:sz w:val="20"/>
          <w:szCs w:val="20"/>
        </w:rPr>
        <w:t>Table 10 summarizes the financial results of our Credit Card business and displays selected key metrics for the periods indicated.</w:t>
      </w:r>
    </w:p>
    <w:p w14:paraId="00A01A5E" w14:textId="77777777" w:rsidR="00000000" w:rsidRDefault="00405D16">
      <w:pPr>
        <w:divId w:val="164170870"/>
        <w:rPr>
          <w:rFonts w:eastAsia="Times New Roman"/>
        </w:rPr>
      </w:pPr>
      <w:r>
        <w:rPr>
          <w:rFonts w:eastAsia="Times New Roman"/>
          <w:b/>
          <w:bCs/>
          <w:color w:val="000000"/>
          <w:sz w:val="18"/>
          <w:szCs w:val="18"/>
        </w:rPr>
        <w:t>Table 10: Credit Card Business Results</w:t>
      </w:r>
    </w:p>
    <w:tbl>
      <w:tblPr>
        <w:tblW w:w="5000" w:type="pct"/>
        <w:tblCellMar>
          <w:top w:w="15" w:type="dxa"/>
          <w:left w:w="15" w:type="dxa"/>
          <w:bottom w:w="15" w:type="dxa"/>
          <w:right w:w="15" w:type="dxa"/>
        </w:tblCellMar>
        <w:tblLook w:val="04A0" w:firstRow="1" w:lastRow="0" w:firstColumn="1" w:lastColumn="0" w:noHBand="0" w:noVBand="1"/>
      </w:tblPr>
      <w:tblGrid>
        <w:gridCol w:w="40"/>
        <w:gridCol w:w="1931"/>
        <w:gridCol w:w="39"/>
        <w:gridCol w:w="36"/>
        <w:gridCol w:w="36"/>
        <w:gridCol w:w="36"/>
        <w:gridCol w:w="110"/>
        <w:gridCol w:w="630"/>
        <w:gridCol w:w="200"/>
        <w:gridCol w:w="36"/>
        <w:gridCol w:w="36"/>
        <w:gridCol w:w="36"/>
        <w:gridCol w:w="110"/>
        <w:gridCol w:w="630"/>
        <w:gridCol w:w="170"/>
        <w:gridCol w:w="36"/>
        <w:gridCol w:w="36"/>
        <w:gridCol w:w="36"/>
        <w:gridCol w:w="70"/>
        <w:gridCol w:w="489"/>
        <w:gridCol w:w="271"/>
        <w:gridCol w:w="36"/>
        <w:gridCol w:w="36"/>
        <w:gridCol w:w="36"/>
        <w:gridCol w:w="110"/>
        <w:gridCol w:w="630"/>
        <w:gridCol w:w="200"/>
        <w:gridCol w:w="36"/>
        <w:gridCol w:w="36"/>
        <w:gridCol w:w="36"/>
        <w:gridCol w:w="110"/>
        <w:gridCol w:w="630"/>
        <w:gridCol w:w="170"/>
        <w:gridCol w:w="36"/>
        <w:gridCol w:w="36"/>
        <w:gridCol w:w="36"/>
        <w:gridCol w:w="36"/>
        <w:gridCol w:w="36"/>
        <w:gridCol w:w="70"/>
        <w:gridCol w:w="489"/>
        <w:gridCol w:w="271"/>
        <w:gridCol w:w="36"/>
        <w:gridCol w:w="36"/>
        <w:gridCol w:w="36"/>
        <w:gridCol w:w="36"/>
        <w:gridCol w:w="36"/>
        <w:gridCol w:w="36"/>
      </w:tblGrid>
      <w:tr w:rsidR="00000000" w14:paraId="7EAF3CFA" w14:textId="77777777">
        <w:trPr>
          <w:divId w:val="494960345"/>
        </w:trPr>
        <w:tc>
          <w:tcPr>
            <w:tcW w:w="50" w:type="pct"/>
            <w:vAlign w:val="center"/>
            <w:hideMark/>
          </w:tcPr>
          <w:p w14:paraId="1920284C" w14:textId="77777777" w:rsidR="00000000" w:rsidRDefault="00405D16">
            <w:pPr>
              <w:rPr>
                <w:rFonts w:eastAsia="Times New Roman"/>
              </w:rPr>
            </w:pPr>
          </w:p>
        </w:tc>
        <w:tc>
          <w:tcPr>
            <w:tcW w:w="1918" w:type="pct"/>
            <w:vAlign w:val="center"/>
            <w:hideMark/>
          </w:tcPr>
          <w:p w14:paraId="01B69C2B" w14:textId="77777777" w:rsidR="00000000" w:rsidRDefault="00405D16">
            <w:pPr>
              <w:spacing w:after="100"/>
              <w:rPr>
                <w:rFonts w:eastAsia="Times New Roman"/>
                <w:sz w:val="20"/>
                <w:szCs w:val="20"/>
              </w:rPr>
            </w:pPr>
          </w:p>
        </w:tc>
        <w:tc>
          <w:tcPr>
            <w:tcW w:w="5" w:type="pct"/>
            <w:vAlign w:val="center"/>
            <w:hideMark/>
          </w:tcPr>
          <w:p w14:paraId="5591D135" w14:textId="77777777" w:rsidR="00000000" w:rsidRDefault="00405D16">
            <w:pPr>
              <w:spacing w:after="100"/>
              <w:rPr>
                <w:rFonts w:eastAsia="Times New Roman"/>
                <w:sz w:val="20"/>
                <w:szCs w:val="20"/>
              </w:rPr>
            </w:pPr>
          </w:p>
        </w:tc>
        <w:tc>
          <w:tcPr>
            <w:tcW w:w="5" w:type="pct"/>
            <w:vAlign w:val="center"/>
            <w:hideMark/>
          </w:tcPr>
          <w:p w14:paraId="5613CD90" w14:textId="77777777" w:rsidR="00000000" w:rsidRDefault="00405D16">
            <w:pPr>
              <w:spacing w:after="100"/>
              <w:rPr>
                <w:rFonts w:eastAsia="Times New Roman"/>
                <w:sz w:val="20"/>
                <w:szCs w:val="20"/>
              </w:rPr>
            </w:pPr>
          </w:p>
        </w:tc>
        <w:tc>
          <w:tcPr>
            <w:tcW w:w="26" w:type="pct"/>
            <w:vAlign w:val="center"/>
            <w:hideMark/>
          </w:tcPr>
          <w:p w14:paraId="50C1E44E" w14:textId="77777777" w:rsidR="00000000" w:rsidRDefault="00405D16">
            <w:pPr>
              <w:spacing w:after="100"/>
              <w:rPr>
                <w:rFonts w:eastAsia="Times New Roman"/>
                <w:sz w:val="20"/>
                <w:szCs w:val="20"/>
              </w:rPr>
            </w:pPr>
          </w:p>
        </w:tc>
        <w:tc>
          <w:tcPr>
            <w:tcW w:w="5" w:type="pct"/>
            <w:vAlign w:val="center"/>
            <w:hideMark/>
          </w:tcPr>
          <w:p w14:paraId="396059C1" w14:textId="77777777" w:rsidR="00000000" w:rsidRDefault="00405D16">
            <w:pPr>
              <w:spacing w:after="100"/>
              <w:rPr>
                <w:rFonts w:eastAsia="Times New Roman"/>
                <w:sz w:val="20"/>
                <w:szCs w:val="20"/>
              </w:rPr>
            </w:pPr>
          </w:p>
        </w:tc>
        <w:tc>
          <w:tcPr>
            <w:tcW w:w="50" w:type="pct"/>
            <w:vAlign w:val="center"/>
            <w:hideMark/>
          </w:tcPr>
          <w:p w14:paraId="40601DA6" w14:textId="77777777" w:rsidR="00000000" w:rsidRDefault="00405D16">
            <w:pPr>
              <w:spacing w:after="100"/>
              <w:rPr>
                <w:rFonts w:eastAsia="Times New Roman"/>
                <w:sz w:val="20"/>
                <w:szCs w:val="20"/>
              </w:rPr>
            </w:pPr>
          </w:p>
        </w:tc>
        <w:tc>
          <w:tcPr>
            <w:tcW w:w="442" w:type="pct"/>
            <w:vAlign w:val="center"/>
            <w:hideMark/>
          </w:tcPr>
          <w:p w14:paraId="425E4FA8" w14:textId="77777777" w:rsidR="00000000" w:rsidRDefault="00405D16">
            <w:pPr>
              <w:spacing w:after="100"/>
              <w:rPr>
                <w:rFonts w:eastAsia="Times New Roman"/>
                <w:sz w:val="20"/>
                <w:szCs w:val="20"/>
              </w:rPr>
            </w:pPr>
          </w:p>
        </w:tc>
        <w:tc>
          <w:tcPr>
            <w:tcW w:w="5" w:type="pct"/>
            <w:vAlign w:val="center"/>
            <w:hideMark/>
          </w:tcPr>
          <w:p w14:paraId="3722BE84" w14:textId="77777777" w:rsidR="00000000" w:rsidRDefault="00405D16">
            <w:pPr>
              <w:spacing w:after="100"/>
              <w:rPr>
                <w:rFonts w:eastAsia="Times New Roman"/>
                <w:sz w:val="20"/>
                <w:szCs w:val="20"/>
              </w:rPr>
            </w:pPr>
          </w:p>
        </w:tc>
        <w:tc>
          <w:tcPr>
            <w:tcW w:w="5" w:type="pct"/>
            <w:vAlign w:val="center"/>
            <w:hideMark/>
          </w:tcPr>
          <w:p w14:paraId="4AF3A9AA" w14:textId="77777777" w:rsidR="00000000" w:rsidRDefault="00405D16">
            <w:pPr>
              <w:spacing w:after="100"/>
              <w:rPr>
                <w:rFonts w:eastAsia="Times New Roman"/>
                <w:sz w:val="20"/>
                <w:szCs w:val="20"/>
              </w:rPr>
            </w:pPr>
          </w:p>
        </w:tc>
        <w:tc>
          <w:tcPr>
            <w:tcW w:w="26" w:type="pct"/>
            <w:vAlign w:val="center"/>
            <w:hideMark/>
          </w:tcPr>
          <w:p w14:paraId="00C0C530" w14:textId="77777777" w:rsidR="00000000" w:rsidRDefault="00405D16">
            <w:pPr>
              <w:spacing w:after="100"/>
              <w:rPr>
                <w:rFonts w:eastAsia="Times New Roman"/>
                <w:sz w:val="20"/>
                <w:szCs w:val="20"/>
              </w:rPr>
            </w:pPr>
          </w:p>
        </w:tc>
        <w:tc>
          <w:tcPr>
            <w:tcW w:w="5" w:type="pct"/>
            <w:vAlign w:val="center"/>
            <w:hideMark/>
          </w:tcPr>
          <w:p w14:paraId="7E598186" w14:textId="77777777" w:rsidR="00000000" w:rsidRDefault="00405D16">
            <w:pPr>
              <w:spacing w:after="100"/>
              <w:rPr>
                <w:rFonts w:eastAsia="Times New Roman"/>
                <w:sz w:val="20"/>
                <w:szCs w:val="20"/>
              </w:rPr>
            </w:pPr>
          </w:p>
        </w:tc>
        <w:tc>
          <w:tcPr>
            <w:tcW w:w="50" w:type="pct"/>
            <w:vAlign w:val="center"/>
            <w:hideMark/>
          </w:tcPr>
          <w:p w14:paraId="4ACAEFA3" w14:textId="77777777" w:rsidR="00000000" w:rsidRDefault="00405D16">
            <w:pPr>
              <w:spacing w:after="100"/>
              <w:rPr>
                <w:rFonts w:eastAsia="Times New Roman"/>
                <w:sz w:val="20"/>
                <w:szCs w:val="20"/>
              </w:rPr>
            </w:pPr>
          </w:p>
        </w:tc>
        <w:tc>
          <w:tcPr>
            <w:tcW w:w="442" w:type="pct"/>
            <w:vAlign w:val="center"/>
            <w:hideMark/>
          </w:tcPr>
          <w:p w14:paraId="66580C44" w14:textId="77777777" w:rsidR="00000000" w:rsidRDefault="00405D16">
            <w:pPr>
              <w:spacing w:after="100"/>
              <w:rPr>
                <w:rFonts w:eastAsia="Times New Roman"/>
                <w:sz w:val="20"/>
                <w:szCs w:val="20"/>
              </w:rPr>
            </w:pPr>
          </w:p>
        </w:tc>
        <w:tc>
          <w:tcPr>
            <w:tcW w:w="5" w:type="pct"/>
            <w:vAlign w:val="center"/>
            <w:hideMark/>
          </w:tcPr>
          <w:p w14:paraId="5ADB748D" w14:textId="77777777" w:rsidR="00000000" w:rsidRDefault="00405D16">
            <w:pPr>
              <w:spacing w:after="100"/>
              <w:rPr>
                <w:rFonts w:eastAsia="Times New Roman"/>
                <w:sz w:val="20"/>
                <w:szCs w:val="20"/>
              </w:rPr>
            </w:pPr>
          </w:p>
        </w:tc>
        <w:tc>
          <w:tcPr>
            <w:tcW w:w="5" w:type="pct"/>
            <w:vAlign w:val="center"/>
            <w:hideMark/>
          </w:tcPr>
          <w:p w14:paraId="30133BFC" w14:textId="77777777" w:rsidR="00000000" w:rsidRDefault="00405D16">
            <w:pPr>
              <w:spacing w:after="100"/>
              <w:rPr>
                <w:rFonts w:eastAsia="Times New Roman"/>
                <w:sz w:val="20"/>
                <w:szCs w:val="20"/>
              </w:rPr>
            </w:pPr>
          </w:p>
        </w:tc>
        <w:tc>
          <w:tcPr>
            <w:tcW w:w="26" w:type="pct"/>
            <w:vAlign w:val="center"/>
            <w:hideMark/>
          </w:tcPr>
          <w:p w14:paraId="6CF10890" w14:textId="77777777" w:rsidR="00000000" w:rsidRDefault="00405D16">
            <w:pPr>
              <w:spacing w:after="100"/>
              <w:rPr>
                <w:rFonts w:eastAsia="Times New Roman"/>
                <w:sz w:val="20"/>
                <w:szCs w:val="20"/>
              </w:rPr>
            </w:pPr>
          </w:p>
        </w:tc>
        <w:tc>
          <w:tcPr>
            <w:tcW w:w="5" w:type="pct"/>
            <w:vAlign w:val="center"/>
            <w:hideMark/>
          </w:tcPr>
          <w:p w14:paraId="75E26A3B" w14:textId="77777777" w:rsidR="00000000" w:rsidRDefault="00405D16">
            <w:pPr>
              <w:spacing w:after="100"/>
              <w:rPr>
                <w:rFonts w:eastAsia="Times New Roman"/>
                <w:sz w:val="20"/>
                <w:szCs w:val="20"/>
              </w:rPr>
            </w:pPr>
          </w:p>
        </w:tc>
        <w:tc>
          <w:tcPr>
            <w:tcW w:w="50" w:type="pct"/>
            <w:vAlign w:val="center"/>
            <w:hideMark/>
          </w:tcPr>
          <w:p w14:paraId="0A124542" w14:textId="77777777" w:rsidR="00000000" w:rsidRDefault="00405D16">
            <w:pPr>
              <w:spacing w:after="100"/>
              <w:rPr>
                <w:rFonts w:eastAsia="Times New Roman"/>
                <w:sz w:val="20"/>
                <w:szCs w:val="20"/>
              </w:rPr>
            </w:pPr>
          </w:p>
        </w:tc>
        <w:tc>
          <w:tcPr>
            <w:tcW w:w="354" w:type="pct"/>
            <w:vAlign w:val="center"/>
            <w:hideMark/>
          </w:tcPr>
          <w:p w14:paraId="79F7B723" w14:textId="77777777" w:rsidR="00000000" w:rsidRDefault="00405D16">
            <w:pPr>
              <w:spacing w:after="100"/>
              <w:rPr>
                <w:rFonts w:eastAsia="Times New Roman"/>
                <w:sz w:val="20"/>
                <w:szCs w:val="20"/>
              </w:rPr>
            </w:pPr>
          </w:p>
        </w:tc>
        <w:tc>
          <w:tcPr>
            <w:tcW w:w="5" w:type="pct"/>
            <w:vAlign w:val="center"/>
            <w:hideMark/>
          </w:tcPr>
          <w:p w14:paraId="2F39A277" w14:textId="77777777" w:rsidR="00000000" w:rsidRDefault="00405D16">
            <w:pPr>
              <w:spacing w:after="100"/>
              <w:rPr>
                <w:rFonts w:eastAsia="Times New Roman"/>
                <w:sz w:val="20"/>
                <w:szCs w:val="20"/>
              </w:rPr>
            </w:pPr>
          </w:p>
        </w:tc>
        <w:tc>
          <w:tcPr>
            <w:tcW w:w="5" w:type="pct"/>
            <w:vAlign w:val="center"/>
            <w:hideMark/>
          </w:tcPr>
          <w:p w14:paraId="511A86AC" w14:textId="77777777" w:rsidR="00000000" w:rsidRDefault="00405D16">
            <w:pPr>
              <w:spacing w:after="100"/>
              <w:rPr>
                <w:rFonts w:eastAsia="Times New Roman"/>
                <w:sz w:val="20"/>
                <w:szCs w:val="20"/>
              </w:rPr>
            </w:pPr>
          </w:p>
        </w:tc>
        <w:tc>
          <w:tcPr>
            <w:tcW w:w="26" w:type="pct"/>
            <w:vAlign w:val="center"/>
            <w:hideMark/>
          </w:tcPr>
          <w:p w14:paraId="01AD4D5A" w14:textId="77777777" w:rsidR="00000000" w:rsidRDefault="00405D16">
            <w:pPr>
              <w:spacing w:after="100"/>
              <w:rPr>
                <w:rFonts w:eastAsia="Times New Roman"/>
                <w:sz w:val="20"/>
                <w:szCs w:val="20"/>
              </w:rPr>
            </w:pPr>
          </w:p>
        </w:tc>
        <w:tc>
          <w:tcPr>
            <w:tcW w:w="5" w:type="pct"/>
            <w:vAlign w:val="center"/>
            <w:hideMark/>
          </w:tcPr>
          <w:p w14:paraId="707D3981" w14:textId="77777777" w:rsidR="00000000" w:rsidRDefault="00405D16">
            <w:pPr>
              <w:spacing w:after="100"/>
              <w:rPr>
                <w:rFonts w:eastAsia="Times New Roman"/>
                <w:sz w:val="20"/>
                <w:szCs w:val="20"/>
              </w:rPr>
            </w:pPr>
          </w:p>
        </w:tc>
        <w:tc>
          <w:tcPr>
            <w:tcW w:w="50" w:type="pct"/>
            <w:vAlign w:val="center"/>
            <w:hideMark/>
          </w:tcPr>
          <w:p w14:paraId="0F13F278" w14:textId="77777777" w:rsidR="00000000" w:rsidRDefault="00405D16">
            <w:pPr>
              <w:spacing w:after="100"/>
              <w:rPr>
                <w:rFonts w:eastAsia="Times New Roman"/>
                <w:sz w:val="20"/>
                <w:szCs w:val="20"/>
              </w:rPr>
            </w:pPr>
          </w:p>
        </w:tc>
        <w:tc>
          <w:tcPr>
            <w:tcW w:w="442" w:type="pct"/>
            <w:vAlign w:val="center"/>
            <w:hideMark/>
          </w:tcPr>
          <w:p w14:paraId="0B499FAB" w14:textId="77777777" w:rsidR="00000000" w:rsidRDefault="00405D16">
            <w:pPr>
              <w:spacing w:after="100"/>
              <w:rPr>
                <w:rFonts w:eastAsia="Times New Roman"/>
                <w:sz w:val="20"/>
                <w:szCs w:val="20"/>
              </w:rPr>
            </w:pPr>
          </w:p>
        </w:tc>
        <w:tc>
          <w:tcPr>
            <w:tcW w:w="5" w:type="pct"/>
            <w:vAlign w:val="center"/>
            <w:hideMark/>
          </w:tcPr>
          <w:p w14:paraId="227F0DD5" w14:textId="77777777" w:rsidR="00000000" w:rsidRDefault="00405D16">
            <w:pPr>
              <w:spacing w:after="100"/>
              <w:rPr>
                <w:rFonts w:eastAsia="Times New Roman"/>
                <w:sz w:val="20"/>
                <w:szCs w:val="20"/>
              </w:rPr>
            </w:pPr>
          </w:p>
        </w:tc>
        <w:tc>
          <w:tcPr>
            <w:tcW w:w="5" w:type="pct"/>
            <w:vAlign w:val="center"/>
            <w:hideMark/>
          </w:tcPr>
          <w:p w14:paraId="7F426C62" w14:textId="77777777" w:rsidR="00000000" w:rsidRDefault="00405D16">
            <w:pPr>
              <w:spacing w:after="100"/>
              <w:rPr>
                <w:rFonts w:eastAsia="Times New Roman"/>
                <w:sz w:val="20"/>
                <w:szCs w:val="20"/>
              </w:rPr>
            </w:pPr>
          </w:p>
        </w:tc>
        <w:tc>
          <w:tcPr>
            <w:tcW w:w="26" w:type="pct"/>
            <w:vAlign w:val="center"/>
            <w:hideMark/>
          </w:tcPr>
          <w:p w14:paraId="3244DACC" w14:textId="77777777" w:rsidR="00000000" w:rsidRDefault="00405D16">
            <w:pPr>
              <w:spacing w:after="100"/>
              <w:rPr>
                <w:rFonts w:eastAsia="Times New Roman"/>
                <w:sz w:val="20"/>
                <w:szCs w:val="20"/>
              </w:rPr>
            </w:pPr>
          </w:p>
        </w:tc>
        <w:tc>
          <w:tcPr>
            <w:tcW w:w="5" w:type="pct"/>
            <w:vAlign w:val="center"/>
            <w:hideMark/>
          </w:tcPr>
          <w:p w14:paraId="168A8CDE" w14:textId="77777777" w:rsidR="00000000" w:rsidRDefault="00405D16">
            <w:pPr>
              <w:spacing w:after="100"/>
              <w:rPr>
                <w:rFonts w:eastAsia="Times New Roman"/>
                <w:sz w:val="20"/>
                <w:szCs w:val="20"/>
              </w:rPr>
            </w:pPr>
          </w:p>
        </w:tc>
        <w:tc>
          <w:tcPr>
            <w:tcW w:w="50" w:type="pct"/>
            <w:vAlign w:val="center"/>
            <w:hideMark/>
          </w:tcPr>
          <w:p w14:paraId="5C4AE26F" w14:textId="77777777" w:rsidR="00000000" w:rsidRDefault="00405D16">
            <w:pPr>
              <w:spacing w:after="100"/>
              <w:rPr>
                <w:rFonts w:eastAsia="Times New Roman"/>
                <w:sz w:val="20"/>
                <w:szCs w:val="20"/>
              </w:rPr>
            </w:pPr>
          </w:p>
        </w:tc>
        <w:tc>
          <w:tcPr>
            <w:tcW w:w="442" w:type="pct"/>
            <w:vAlign w:val="center"/>
            <w:hideMark/>
          </w:tcPr>
          <w:p w14:paraId="3FDDA899" w14:textId="77777777" w:rsidR="00000000" w:rsidRDefault="00405D16">
            <w:pPr>
              <w:spacing w:after="100"/>
              <w:rPr>
                <w:rFonts w:eastAsia="Times New Roman"/>
                <w:sz w:val="20"/>
                <w:szCs w:val="20"/>
              </w:rPr>
            </w:pPr>
          </w:p>
        </w:tc>
        <w:tc>
          <w:tcPr>
            <w:tcW w:w="5" w:type="pct"/>
            <w:vAlign w:val="center"/>
            <w:hideMark/>
          </w:tcPr>
          <w:p w14:paraId="3599BB1E" w14:textId="77777777" w:rsidR="00000000" w:rsidRDefault="00405D16">
            <w:pPr>
              <w:spacing w:after="100"/>
              <w:rPr>
                <w:rFonts w:eastAsia="Times New Roman"/>
                <w:sz w:val="20"/>
                <w:szCs w:val="20"/>
              </w:rPr>
            </w:pPr>
          </w:p>
        </w:tc>
        <w:tc>
          <w:tcPr>
            <w:tcW w:w="0" w:type="auto"/>
            <w:vAlign w:val="center"/>
            <w:hideMark/>
          </w:tcPr>
          <w:p w14:paraId="65AC36F4" w14:textId="77777777" w:rsidR="00000000" w:rsidRDefault="00405D16">
            <w:pPr>
              <w:spacing w:after="100"/>
              <w:rPr>
                <w:rFonts w:eastAsia="Times New Roman"/>
                <w:sz w:val="20"/>
                <w:szCs w:val="20"/>
              </w:rPr>
            </w:pPr>
          </w:p>
        </w:tc>
        <w:tc>
          <w:tcPr>
            <w:tcW w:w="0" w:type="auto"/>
            <w:vAlign w:val="center"/>
            <w:hideMark/>
          </w:tcPr>
          <w:p w14:paraId="1AC50C4E" w14:textId="77777777" w:rsidR="00000000" w:rsidRDefault="00405D16">
            <w:pPr>
              <w:spacing w:after="100"/>
              <w:rPr>
                <w:rFonts w:eastAsia="Times New Roman"/>
                <w:sz w:val="20"/>
                <w:szCs w:val="20"/>
              </w:rPr>
            </w:pPr>
          </w:p>
        </w:tc>
        <w:tc>
          <w:tcPr>
            <w:tcW w:w="5" w:type="pct"/>
            <w:vAlign w:val="center"/>
            <w:hideMark/>
          </w:tcPr>
          <w:p w14:paraId="1475C1C3" w14:textId="77777777" w:rsidR="00000000" w:rsidRDefault="00405D16">
            <w:pPr>
              <w:spacing w:after="100"/>
              <w:rPr>
                <w:rFonts w:eastAsia="Times New Roman"/>
                <w:sz w:val="20"/>
                <w:szCs w:val="20"/>
              </w:rPr>
            </w:pPr>
          </w:p>
        </w:tc>
        <w:tc>
          <w:tcPr>
            <w:tcW w:w="26" w:type="pct"/>
            <w:vAlign w:val="center"/>
            <w:hideMark/>
          </w:tcPr>
          <w:p w14:paraId="04971CE0" w14:textId="77777777" w:rsidR="00000000" w:rsidRDefault="00405D16">
            <w:pPr>
              <w:spacing w:after="100"/>
              <w:rPr>
                <w:rFonts w:eastAsia="Times New Roman"/>
                <w:sz w:val="20"/>
                <w:szCs w:val="20"/>
              </w:rPr>
            </w:pPr>
          </w:p>
        </w:tc>
        <w:tc>
          <w:tcPr>
            <w:tcW w:w="5" w:type="pct"/>
            <w:vAlign w:val="center"/>
            <w:hideMark/>
          </w:tcPr>
          <w:p w14:paraId="343B7858" w14:textId="77777777" w:rsidR="00000000" w:rsidRDefault="00405D16">
            <w:pPr>
              <w:spacing w:after="100"/>
              <w:rPr>
                <w:rFonts w:eastAsia="Times New Roman"/>
                <w:sz w:val="20"/>
                <w:szCs w:val="20"/>
              </w:rPr>
            </w:pPr>
          </w:p>
        </w:tc>
        <w:tc>
          <w:tcPr>
            <w:tcW w:w="50" w:type="pct"/>
            <w:vAlign w:val="center"/>
            <w:hideMark/>
          </w:tcPr>
          <w:p w14:paraId="68849FEF" w14:textId="77777777" w:rsidR="00000000" w:rsidRDefault="00405D16">
            <w:pPr>
              <w:spacing w:after="100"/>
              <w:rPr>
                <w:rFonts w:eastAsia="Times New Roman"/>
                <w:sz w:val="20"/>
                <w:szCs w:val="20"/>
              </w:rPr>
            </w:pPr>
          </w:p>
        </w:tc>
        <w:tc>
          <w:tcPr>
            <w:tcW w:w="354" w:type="pct"/>
            <w:vAlign w:val="center"/>
            <w:hideMark/>
          </w:tcPr>
          <w:p w14:paraId="42F8771B" w14:textId="77777777" w:rsidR="00000000" w:rsidRDefault="00405D16">
            <w:pPr>
              <w:spacing w:after="100"/>
              <w:rPr>
                <w:rFonts w:eastAsia="Times New Roman"/>
                <w:sz w:val="20"/>
                <w:szCs w:val="20"/>
              </w:rPr>
            </w:pPr>
          </w:p>
        </w:tc>
        <w:tc>
          <w:tcPr>
            <w:tcW w:w="5" w:type="pct"/>
            <w:vAlign w:val="center"/>
            <w:hideMark/>
          </w:tcPr>
          <w:p w14:paraId="50FE1422" w14:textId="77777777" w:rsidR="00000000" w:rsidRDefault="00405D16">
            <w:pPr>
              <w:spacing w:after="100"/>
              <w:rPr>
                <w:rFonts w:eastAsia="Times New Roman"/>
                <w:sz w:val="20"/>
                <w:szCs w:val="20"/>
              </w:rPr>
            </w:pPr>
          </w:p>
        </w:tc>
        <w:tc>
          <w:tcPr>
            <w:tcW w:w="0" w:type="auto"/>
            <w:gridSpan w:val="3"/>
            <w:vAlign w:val="center"/>
            <w:hideMark/>
          </w:tcPr>
          <w:p w14:paraId="3E574793" w14:textId="77777777" w:rsidR="00000000" w:rsidRDefault="00405D16">
            <w:pPr>
              <w:spacing w:after="100"/>
              <w:rPr>
                <w:rFonts w:eastAsia="Times New Roman"/>
                <w:sz w:val="20"/>
                <w:szCs w:val="20"/>
              </w:rPr>
            </w:pPr>
          </w:p>
        </w:tc>
        <w:tc>
          <w:tcPr>
            <w:tcW w:w="0" w:type="auto"/>
            <w:gridSpan w:val="3"/>
            <w:vAlign w:val="center"/>
            <w:hideMark/>
          </w:tcPr>
          <w:p w14:paraId="3561A978" w14:textId="77777777" w:rsidR="00000000" w:rsidRDefault="00405D16">
            <w:pPr>
              <w:spacing w:after="100"/>
              <w:rPr>
                <w:rFonts w:eastAsia="Times New Roman"/>
                <w:sz w:val="20"/>
                <w:szCs w:val="20"/>
              </w:rPr>
            </w:pPr>
          </w:p>
        </w:tc>
      </w:tr>
      <w:tr w:rsidR="00000000" w14:paraId="2412394C" w14:textId="77777777">
        <w:trPr>
          <w:divId w:val="494960345"/>
        </w:trPr>
        <w:tc>
          <w:tcPr>
            <w:tcW w:w="0" w:type="auto"/>
            <w:gridSpan w:val="3"/>
            <w:tcMar>
              <w:top w:w="30" w:type="dxa"/>
              <w:left w:w="515" w:type="dxa"/>
              <w:bottom w:w="30" w:type="dxa"/>
              <w:right w:w="20" w:type="dxa"/>
            </w:tcMar>
            <w:vAlign w:val="bottom"/>
            <w:hideMark/>
          </w:tcPr>
          <w:p w14:paraId="23C3419A" w14:textId="77777777" w:rsidR="00000000" w:rsidRDefault="00405D16">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14B87150" w14:textId="77777777" w:rsidR="00000000" w:rsidRDefault="00405D16">
            <w:pPr>
              <w:spacing w:after="100"/>
              <w:rPr>
                <w:rFonts w:eastAsia="Times New Roman"/>
              </w:rPr>
            </w:pPr>
          </w:p>
        </w:tc>
        <w:tc>
          <w:tcPr>
            <w:tcW w:w="0" w:type="auto"/>
            <w:gridSpan w:val="15"/>
            <w:tcMar>
              <w:top w:w="30" w:type="dxa"/>
              <w:left w:w="20" w:type="dxa"/>
              <w:bottom w:w="30" w:type="dxa"/>
              <w:right w:w="20" w:type="dxa"/>
            </w:tcMar>
            <w:vAlign w:val="bottom"/>
            <w:hideMark/>
          </w:tcPr>
          <w:p w14:paraId="02DFBEAB" w14:textId="77777777" w:rsidR="00000000" w:rsidRDefault="00405D16">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5CA246DD" w14:textId="77777777" w:rsidR="00000000" w:rsidRDefault="00405D16">
            <w:pPr>
              <w:spacing w:after="100"/>
              <w:jc w:val="center"/>
              <w:rPr>
                <w:rFonts w:eastAsia="Times New Roman"/>
              </w:rPr>
            </w:pPr>
          </w:p>
        </w:tc>
        <w:tc>
          <w:tcPr>
            <w:tcW w:w="0" w:type="auto"/>
            <w:gridSpan w:val="11"/>
            <w:tcMar>
              <w:top w:w="30" w:type="dxa"/>
              <w:left w:w="20" w:type="dxa"/>
              <w:bottom w:w="30" w:type="dxa"/>
              <w:right w:w="20" w:type="dxa"/>
            </w:tcMar>
            <w:vAlign w:val="bottom"/>
            <w:hideMark/>
          </w:tcPr>
          <w:p w14:paraId="58857496" w14:textId="77777777" w:rsidR="00000000" w:rsidRDefault="00405D16">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12D68958" w14:textId="77777777" w:rsidR="00000000" w:rsidRDefault="00405D16">
            <w:pPr>
              <w:spacing w:after="100"/>
              <w:rPr>
                <w:rFonts w:eastAsia="Times New Roman"/>
                <w:sz w:val="20"/>
                <w:szCs w:val="20"/>
              </w:rPr>
            </w:pPr>
          </w:p>
        </w:tc>
        <w:tc>
          <w:tcPr>
            <w:tcW w:w="0" w:type="auto"/>
            <w:vAlign w:val="center"/>
            <w:hideMark/>
          </w:tcPr>
          <w:p w14:paraId="4B5FA932" w14:textId="77777777" w:rsidR="00000000" w:rsidRDefault="00405D16">
            <w:pPr>
              <w:spacing w:after="100"/>
              <w:rPr>
                <w:rFonts w:eastAsia="Times New Roman"/>
                <w:sz w:val="20"/>
                <w:szCs w:val="20"/>
              </w:rPr>
            </w:pPr>
          </w:p>
        </w:tc>
        <w:tc>
          <w:tcPr>
            <w:tcW w:w="0" w:type="auto"/>
            <w:vAlign w:val="center"/>
            <w:hideMark/>
          </w:tcPr>
          <w:p w14:paraId="2FEAADCB" w14:textId="77777777" w:rsidR="00000000" w:rsidRDefault="00405D16">
            <w:pPr>
              <w:spacing w:after="100"/>
              <w:rPr>
                <w:rFonts w:eastAsia="Times New Roman"/>
                <w:sz w:val="20"/>
                <w:szCs w:val="20"/>
              </w:rPr>
            </w:pPr>
          </w:p>
        </w:tc>
        <w:tc>
          <w:tcPr>
            <w:tcW w:w="0" w:type="auto"/>
            <w:vAlign w:val="center"/>
            <w:hideMark/>
          </w:tcPr>
          <w:p w14:paraId="591A1B49" w14:textId="77777777" w:rsidR="00000000" w:rsidRDefault="00405D16">
            <w:pPr>
              <w:spacing w:after="100"/>
              <w:rPr>
                <w:rFonts w:eastAsia="Times New Roman"/>
                <w:sz w:val="20"/>
                <w:szCs w:val="20"/>
              </w:rPr>
            </w:pPr>
          </w:p>
        </w:tc>
        <w:tc>
          <w:tcPr>
            <w:tcW w:w="0" w:type="auto"/>
            <w:vAlign w:val="center"/>
            <w:hideMark/>
          </w:tcPr>
          <w:p w14:paraId="5995B7DA" w14:textId="77777777" w:rsidR="00000000" w:rsidRDefault="00405D16">
            <w:pPr>
              <w:spacing w:after="100"/>
              <w:rPr>
                <w:rFonts w:eastAsia="Times New Roman"/>
                <w:sz w:val="20"/>
                <w:szCs w:val="20"/>
              </w:rPr>
            </w:pPr>
          </w:p>
        </w:tc>
        <w:tc>
          <w:tcPr>
            <w:tcW w:w="0" w:type="auto"/>
            <w:vAlign w:val="center"/>
            <w:hideMark/>
          </w:tcPr>
          <w:p w14:paraId="5FBB1B75" w14:textId="77777777" w:rsidR="00000000" w:rsidRDefault="00405D16">
            <w:pPr>
              <w:spacing w:after="100"/>
              <w:rPr>
                <w:rFonts w:eastAsia="Times New Roman"/>
                <w:sz w:val="20"/>
                <w:szCs w:val="20"/>
              </w:rPr>
            </w:pPr>
          </w:p>
        </w:tc>
        <w:tc>
          <w:tcPr>
            <w:tcW w:w="0" w:type="auto"/>
            <w:vAlign w:val="center"/>
            <w:hideMark/>
          </w:tcPr>
          <w:p w14:paraId="28193B9C" w14:textId="77777777" w:rsidR="00000000" w:rsidRDefault="00405D16">
            <w:pPr>
              <w:spacing w:after="100"/>
              <w:rPr>
                <w:rFonts w:eastAsia="Times New Roman"/>
                <w:sz w:val="20"/>
                <w:szCs w:val="20"/>
              </w:rPr>
            </w:pPr>
          </w:p>
        </w:tc>
        <w:tc>
          <w:tcPr>
            <w:tcW w:w="0" w:type="auto"/>
            <w:vAlign w:val="center"/>
            <w:hideMark/>
          </w:tcPr>
          <w:p w14:paraId="6B109CEC" w14:textId="77777777" w:rsidR="00000000" w:rsidRDefault="00405D16">
            <w:pPr>
              <w:spacing w:after="100"/>
              <w:rPr>
                <w:rFonts w:eastAsia="Times New Roman"/>
                <w:sz w:val="20"/>
                <w:szCs w:val="20"/>
              </w:rPr>
            </w:pPr>
          </w:p>
        </w:tc>
        <w:tc>
          <w:tcPr>
            <w:tcW w:w="0" w:type="auto"/>
            <w:vAlign w:val="center"/>
            <w:hideMark/>
          </w:tcPr>
          <w:p w14:paraId="7760EDFC" w14:textId="77777777" w:rsidR="00000000" w:rsidRDefault="00405D16">
            <w:pPr>
              <w:spacing w:after="100"/>
              <w:rPr>
                <w:rFonts w:eastAsia="Times New Roman"/>
                <w:sz w:val="20"/>
                <w:szCs w:val="20"/>
              </w:rPr>
            </w:pPr>
          </w:p>
        </w:tc>
        <w:tc>
          <w:tcPr>
            <w:tcW w:w="0" w:type="auto"/>
            <w:vAlign w:val="center"/>
            <w:hideMark/>
          </w:tcPr>
          <w:p w14:paraId="5C96DE3F" w14:textId="77777777" w:rsidR="00000000" w:rsidRDefault="00405D16">
            <w:pPr>
              <w:spacing w:after="100"/>
              <w:rPr>
                <w:rFonts w:eastAsia="Times New Roman"/>
                <w:sz w:val="20"/>
                <w:szCs w:val="20"/>
              </w:rPr>
            </w:pPr>
          </w:p>
        </w:tc>
        <w:tc>
          <w:tcPr>
            <w:tcW w:w="0" w:type="auto"/>
            <w:vAlign w:val="center"/>
            <w:hideMark/>
          </w:tcPr>
          <w:p w14:paraId="22D900EA" w14:textId="77777777" w:rsidR="00000000" w:rsidRDefault="00405D16">
            <w:pPr>
              <w:spacing w:after="100"/>
              <w:rPr>
                <w:rFonts w:eastAsia="Times New Roman"/>
                <w:sz w:val="20"/>
                <w:szCs w:val="20"/>
              </w:rPr>
            </w:pPr>
          </w:p>
        </w:tc>
        <w:tc>
          <w:tcPr>
            <w:tcW w:w="0" w:type="auto"/>
            <w:vAlign w:val="center"/>
            <w:hideMark/>
          </w:tcPr>
          <w:p w14:paraId="7A04C54E" w14:textId="77777777" w:rsidR="00000000" w:rsidRDefault="00405D16">
            <w:pPr>
              <w:spacing w:after="100"/>
              <w:rPr>
                <w:rFonts w:eastAsia="Times New Roman"/>
                <w:sz w:val="20"/>
                <w:szCs w:val="20"/>
              </w:rPr>
            </w:pPr>
          </w:p>
        </w:tc>
      </w:tr>
      <w:tr w:rsidR="00000000" w14:paraId="2A866E46" w14:textId="77777777">
        <w:trPr>
          <w:divId w:val="494960345"/>
        </w:trPr>
        <w:tc>
          <w:tcPr>
            <w:tcW w:w="0" w:type="auto"/>
            <w:gridSpan w:val="3"/>
            <w:tcMar>
              <w:top w:w="30" w:type="dxa"/>
              <w:left w:w="20" w:type="dxa"/>
              <w:bottom w:w="30" w:type="dxa"/>
              <w:right w:w="20" w:type="dxa"/>
            </w:tcMar>
            <w:vAlign w:val="bottom"/>
            <w:hideMark/>
          </w:tcPr>
          <w:p w14:paraId="6A2CEB1A" w14:textId="77777777" w:rsidR="00000000" w:rsidRDefault="00405D16">
            <w:pPr>
              <w:spacing w:after="100"/>
              <w:rPr>
                <w:rFonts w:eastAsia="Times New Roman"/>
              </w:rPr>
            </w:pPr>
            <w:r>
              <w:rPr>
                <w:rFonts w:eastAsia="Times New Roman"/>
                <w:i/>
                <w:iCs/>
                <w:color w:val="000000"/>
                <w:sz w:val="16"/>
                <w:szCs w:val="16"/>
              </w:rPr>
              <w:t>(Dollars in millions, except as noted)</w:t>
            </w:r>
          </w:p>
        </w:tc>
        <w:tc>
          <w:tcPr>
            <w:tcW w:w="0" w:type="auto"/>
            <w:gridSpan w:val="3"/>
            <w:tcMar>
              <w:top w:w="0" w:type="dxa"/>
              <w:left w:w="20" w:type="dxa"/>
              <w:bottom w:w="0" w:type="dxa"/>
              <w:right w:w="20" w:type="dxa"/>
            </w:tcMar>
            <w:vAlign w:val="center"/>
            <w:hideMark/>
          </w:tcPr>
          <w:p w14:paraId="5844441F"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DF646E2"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7C0A1BF9"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AE0116D"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710940B6"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B047637" w14:textId="77777777" w:rsidR="00000000" w:rsidRDefault="00405D16">
            <w:pPr>
              <w:spacing w:after="100"/>
              <w:jc w:val="center"/>
              <w:rPr>
                <w:rFonts w:eastAsia="Times New Roman"/>
              </w:rPr>
            </w:pPr>
            <w:r>
              <w:rPr>
                <w:rFonts w:eastAsia="Times New Roman"/>
                <w:b/>
                <w:bCs/>
                <w:color w:val="000000"/>
                <w:sz w:val="16"/>
                <w:szCs w:val="16"/>
              </w:rPr>
              <w:t>Change</w:t>
            </w:r>
          </w:p>
        </w:tc>
        <w:tc>
          <w:tcPr>
            <w:tcW w:w="0" w:type="auto"/>
            <w:gridSpan w:val="3"/>
            <w:tcMar>
              <w:top w:w="0" w:type="dxa"/>
              <w:left w:w="20" w:type="dxa"/>
              <w:bottom w:w="0" w:type="dxa"/>
              <w:right w:w="20" w:type="dxa"/>
            </w:tcMar>
            <w:vAlign w:val="center"/>
            <w:hideMark/>
          </w:tcPr>
          <w:p w14:paraId="4537C544"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979EC5"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5EB28F9B"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33C1550"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vAlign w:val="center"/>
            <w:hideMark/>
          </w:tcPr>
          <w:p w14:paraId="330A5609" w14:textId="77777777" w:rsidR="00000000" w:rsidRDefault="00405D16">
            <w:pPr>
              <w:spacing w:after="100"/>
              <w:jc w:val="center"/>
              <w:rPr>
                <w:rFonts w:eastAsia="Times New Roman"/>
              </w:rPr>
            </w:pPr>
          </w:p>
        </w:tc>
        <w:tc>
          <w:tcPr>
            <w:tcW w:w="0" w:type="auto"/>
            <w:vAlign w:val="center"/>
            <w:hideMark/>
          </w:tcPr>
          <w:p w14:paraId="2E93650D"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7985CAB"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B27E7C2" w14:textId="77777777" w:rsidR="00000000" w:rsidRDefault="00405D16">
            <w:pPr>
              <w:spacing w:after="100"/>
              <w:jc w:val="center"/>
              <w:rPr>
                <w:rFonts w:eastAsia="Times New Roman"/>
              </w:rPr>
            </w:pPr>
            <w:r>
              <w:rPr>
                <w:rFonts w:eastAsia="Times New Roman"/>
                <w:b/>
                <w:bCs/>
                <w:color w:val="000000"/>
                <w:sz w:val="16"/>
                <w:szCs w:val="16"/>
              </w:rPr>
              <w:t>Change</w:t>
            </w:r>
          </w:p>
        </w:tc>
        <w:tc>
          <w:tcPr>
            <w:tcW w:w="0" w:type="auto"/>
            <w:gridSpan w:val="3"/>
            <w:vAlign w:val="center"/>
            <w:hideMark/>
          </w:tcPr>
          <w:p w14:paraId="24F2DCF0" w14:textId="77777777" w:rsidR="00000000" w:rsidRDefault="00405D16">
            <w:pPr>
              <w:spacing w:after="100"/>
              <w:jc w:val="center"/>
              <w:rPr>
                <w:rFonts w:eastAsia="Times New Roman"/>
              </w:rPr>
            </w:pPr>
          </w:p>
        </w:tc>
        <w:tc>
          <w:tcPr>
            <w:tcW w:w="0" w:type="auto"/>
            <w:gridSpan w:val="3"/>
            <w:vAlign w:val="center"/>
            <w:hideMark/>
          </w:tcPr>
          <w:p w14:paraId="1412A667" w14:textId="77777777" w:rsidR="00000000" w:rsidRDefault="00405D16">
            <w:pPr>
              <w:spacing w:after="100"/>
              <w:rPr>
                <w:rFonts w:eastAsia="Times New Roman"/>
                <w:sz w:val="20"/>
                <w:szCs w:val="20"/>
              </w:rPr>
            </w:pPr>
          </w:p>
        </w:tc>
      </w:tr>
      <w:tr w:rsidR="00000000" w14:paraId="7A64B551" w14:textId="77777777">
        <w:trPr>
          <w:divId w:val="49496034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2413765" w14:textId="77777777" w:rsidR="00000000" w:rsidRDefault="00405D16">
            <w:pPr>
              <w:spacing w:after="100"/>
              <w:rPr>
                <w:rFonts w:eastAsia="Times New Roman"/>
              </w:rPr>
            </w:pPr>
            <w:r>
              <w:rPr>
                <w:rFonts w:eastAsia="Times New Roman"/>
                <w:b/>
                <w:bCs/>
                <w:color w:val="000000"/>
                <w:sz w:val="18"/>
                <w:szCs w:val="18"/>
              </w:rPr>
              <w:t>Selected income statement data:</w:t>
            </w:r>
          </w:p>
        </w:tc>
        <w:tc>
          <w:tcPr>
            <w:tcW w:w="0" w:type="auto"/>
            <w:gridSpan w:val="3"/>
            <w:shd w:val="clear" w:color="auto" w:fill="CCEEFF"/>
            <w:tcMar>
              <w:top w:w="0" w:type="dxa"/>
              <w:left w:w="20" w:type="dxa"/>
              <w:bottom w:w="0" w:type="dxa"/>
              <w:right w:w="20" w:type="dxa"/>
            </w:tcMar>
            <w:vAlign w:val="center"/>
            <w:hideMark/>
          </w:tcPr>
          <w:p w14:paraId="1AF6C781"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85060F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A541BF"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4D7F79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41D5A4"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4ADA53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A7B7AC"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13E1E0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128C2B"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982C1B" w14:textId="77777777" w:rsidR="00000000" w:rsidRDefault="00405D16">
            <w:pPr>
              <w:spacing w:after="100"/>
              <w:rPr>
                <w:rFonts w:eastAsia="Times New Roman"/>
                <w:sz w:val="20"/>
                <w:szCs w:val="20"/>
              </w:rPr>
            </w:pPr>
          </w:p>
        </w:tc>
        <w:tc>
          <w:tcPr>
            <w:tcW w:w="0" w:type="auto"/>
            <w:vAlign w:val="center"/>
            <w:hideMark/>
          </w:tcPr>
          <w:p w14:paraId="61E0E385" w14:textId="77777777" w:rsidR="00000000" w:rsidRDefault="00405D16">
            <w:pPr>
              <w:spacing w:after="100"/>
              <w:rPr>
                <w:rFonts w:eastAsia="Times New Roman"/>
                <w:sz w:val="20"/>
                <w:szCs w:val="20"/>
              </w:rPr>
            </w:pPr>
          </w:p>
        </w:tc>
        <w:tc>
          <w:tcPr>
            <w:tcW w:w="0" w:type="auto"/>
            <w:vAlign w:val="center"/>
            <w:hideMark/>
          </w:tcPr>
          <w:p w14:paraId="0B854BB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B79D7B"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62128EA" w14:textId="77777777" w:rsidR="00000000" w:rsidRDefault="00405D16">
            <w:pPr>
              <w:spacing w:after="100"/>
              <w:rPr>
                <w:rFonts w:eastAsia="Times New Roman"/>
                <w:sz w:val="20"/>
                <w:szCs w:val="20"/>
              </w:rPr>
            </w:pPr>
          </w:p>
        </w:tc>
        <w:tc>
          <w:tcPr>
            <w:tcW w:w="0" w:type="auto"/>
            <w:gridSpan w:val="3"/>
            <w:vAlign w:val="center"/>
            <w:hideMark/>
          </w:tcPr>
          <w:p w14:paraId="412B5972" w14:textId="77777777" w:rsidR="00000000" w:rsidRDefault="00405D16">
            <w:pPr>
              <w:spacing w:after="100"/>
              <w:rPr>
                <w:rFonts w:eastAsia="Times New Roman"/>
                <w:sz w:val="20"/>
                <w:szCs w:val="20"/>
              </w:rPr>
            </w:pPr>
          </w:p>
        </w:tc>
        <w:tc>
          <w:tcPr>
            <w:tcW w:w="0" w:type="auto"/>
            <w:gridSpan w:val="3"/>
            <w:vAlign w:val="center"/>
            <w:hideMark/>
          </w:tcPr>
          <w:p w14:paraId="37134C59" w14:textId="77777777" w:rsidR="00000000" w:rsidRDefault="00405D16">
            <w:pPr>
              <w:spacing w:after="100"/>
              <w:rPr>
                <w:rFonts w:eastAsia="Times New Roman"/>
                <w:sz w:val="20"/>
                <w:szCs w:val="20"/>
              </w:rPr>
            </w:pPr>
          </w:p>
        </w:tc>
      </w:tr>
      <w:tr w:rsidR="00000000" w14:paraId="3432A58B" w14:textId="77777777">
        <w:trPr>
          <w:divId w:val="494960345"/>
        </w:trPr>
        <w:tc>
          <w:tcPr>
            <w:tcW w:w="0" w:type="auto"/>
            <w:gridSpan w:val="3"/>
            <w:shd w:val="clear" w:color="auto" w:fill="FFFFFF"/>
            <w:tcMar>
              <w:top w:w="30" w:type="dxa"/>
              <w:left w:w="20" w:type="dxa"/>
              <w:bottom w:w="30" w:type="dxa"/>
              <w:right w:w="20" w:type="dxa"/>
            </w:tcMar>
            <w:vAlign w:val="center"/>
            <w:hideMark/>
          </w:tcPr>
          <w:p w14:paraId="048CCD1B" w14:textId="77777777" w:rsidR="00000000" w:rsidRDefault="00405D16">
            <w:pPr>
              <w:spacing w:after="100"/>
              <w:rPr>
                <w:rFonts w:eastAsia="Times New Roman"/>
              </w:rPr>
            </w:pPr>
            <w:r>
              <w:rPr>
                <w:rFonts w:eastAsia="Times New Roman"/>
                <w:color w:val="000000"/>
                <w:sz w:val="18"/>
                <w:szCs w:val="18"/>
              </w:rPr>
              <w:t>Net interest income</w:t>
            </w:r>
          </w:p>
        </w:tc>
        <w:tc>
          <w:tcPr>
            <w:tcW w:w="0" w:type="auto"/>
            <w:gridSpan w:val="3"/>
            <w:shd w:val="clear" w:color="auto" w:fill="FFFFFF"/>
            <w:tcMar>
              <w:top w:w="0" w:type="dxa"/>
              <w:left w:w="20" w:type="dxa"/>
              <w:bottom w:w="0" w:type="dxa"/>
              <w:right w:w="20" w:type="dxa"/>
            </w:tcMar>
            <w:vAlign w:val="center"/>
            <w:hideMark/>
          </w:tcPr>
          <w:p w14:paraId="28A52ED8"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6402EA7C"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5EEA84F7" w14:textId="77777777" w:rsidR="00000000" w:rsidRDefault="00405D16">
            <w:pPr>
              <w:spacing w:after="100"/>
              <w:jc w:val="right"/>
              <w:rPr>
                <w:rFonts w:eastAsia="Times New Roman"/>
              </w:rPr>
            </w:pPr>
            <w:r>
              <w:rPr>
                <w:rFonts w:eastAsia="Times New Roman"/>
                <w:b/>
                <w:bCs/>
                <w:color w:val="000000"/>
                <w:sz w:val="18"/>
                <w:szCs w:val="18"/>
              </w:rPr>
              <w:t>3,620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5FBE37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52A0CE"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BEFBE5F"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376743EA" w14:textId="77777777" w:rsidR="00000000" w:rsidRDefault="00405D16">
            <w:pPr>
              <w:spacing w:after="100"/>
              <w:jc w:val="right"/>
              <w:rPr>
                <w:rFonts w:eastAsia="Times New Roman"/>
              </w:rPr>
            </w:pPr>
            <w:r>
              <w:rPr>
                <w:rFonts w:eastAsia="Times New Roman"/>
                <w:color w:val="000000"/>
                <w:sz w:val="18"/>
                <w:szCs w:val="18"/>
              </w:rPr>
              <w:t>3,292 </w:t>
            </w:r>
          </w:p>
        </w:tc>
        <w:tc>
          <w:tcPr>
            <w:tcW w:w="0" w:type="auto"/>
            <w:shd w:val="clear" w:color="auto" w:fill="FFFFFF"/>
            <w:tcMar>
              <w:top w:w="30" w:type="dxa"/>
              <w:left w:w="0" w:type="dxa"/>
              <w:bottom w:w="30" w:type="dxa"/>
              <w:right w:w="20" w:type="dxa"/>
            </w:tcMar>
            <w:vAlign w:val="center"/>
            <w:hideMark/>
          </w:tcPr>
          <w:p w14:paraId="0FA5362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1B87A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B30EE4F" w14:textId="77777777" w:rsidR="00000000" w:rsidRDefault="00405D16">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center"/>
            <w:hideMark/>
          </w:tcPr>
          <w:p w14:paraId="2F332D35"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95A224B" w14:textId="77777777" w:rsidR="00000000" w:rsidRDefault="00405D16">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71E2817E"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198EAE58" w14:textId="77777777" w:rsidR="00000000" w:rsidRDefault="00405D16">
            <w:pPr>
              <w:spacing w:after="100"/>
              <w:jc w:val="right"/>
              <w:rPr>
                <w:rFonts w:eastAsia="Times New Roman"/>
              </w:rPr>
            </w:pPr>
            <w:r>
              <w:rPr>
                <w:rFonts w:eastAsia="Times New Roman"/>
                <w:b/>
                <w:bCs/>
                <w:color w:val="000000"/>
                <w:sz w:val="18"/>
                <w:szCs w:val="18"/>
              </w:rPr>
              <w:t>10,209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1C32B4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601D4F"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D51235D"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7CC65B15" w14:textId="77777777" w:rsidR="00000000" w:rsidRDefault="00405D16">
            <w:pPr>
              <w:spacing w:after="100"/>
              <w:jc w:val="right"/>
              <w:rPr>
                <w:rFonts w:eastAsia="Times New Roman"/>
              </w:rPr>
            </w:pPr>
            <w:r>
              <w:rPr>
                <w:rFonts w:eastAsia="Times New Roman"/>
                <w:color w:val="000000"/>
                <w:sz w:val="18"/>
                <w:szCs w:val="18"/>
              </w:rPr>
              <w:t>10,363 </w:t>
            </w:r>
          </w:p>
        </w:tc>
        <w:tc>
          <w:tcPr>
            <w:tcW w:w="0" w:type="auto"/>
            <w:shd w:val="clear" w:color="auto" w:fill="FFFFFF"/>
            <w:tcMar>
              <w:top w:w="30" w:type="dxa"/>
              <w:left w:w="0" w:type="dxa"/>
              <w:bottom w:w="30" w:type="dxa"/>
              <w:right w:w="20" w:type="dxa"/>
            </w:tcMar>
            <w:vAlign w:val="center"/>
            <w:hideMark/>
          </w:tcPr>
          <w:p w14:paraId="60A12C96" w14:textId="77777777" w:rsidR="00000000" w:rsidRDefault="00405D16">
            <w:pPr>
              <w:spacing w:after="100"/>
              <w:jc w:val="right"/>
              <w:rPr>
                <w:rFonts w:eastAsia="Times New Roman"/>
              </w:rPr>
            </w:pPr>
          </w:p>
        </w:tc>
        <w:tc>
          <w:tcPr>
            <w:tcW w:w="0" w:type="auto"/>
            <w:vAlign w:val="center"/>
            <w:hideMark/>
          </w:tcPr>
          <w:p w14:paraId="22386F5B" w14:textId="77777777" w:rsidR="00000000" w:rsidRDefault="00405D16">
            <w:pPr>
              <w:spacing w:after="100"/>
              <w:jc w:val="right"/>
              <w:rPr>
                <w:rFonts w:eastAsia="Times New Roman"/>
                <w:sz w:val="20"/>
                <w:szCs w:val="20"/>
              </w:rPr>
            </w:pPr>
          </w:p>
        </w:tc>
        <w:tc>
          <w:tcPr>
            <w:tcW w:w="0" w:type="auto"/>
            <w:vAlign w:val="center"/>
            <w:hideMark/>
          </w:tcPr>
          <w:p w14:paraId="6A14A90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A49F59"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781E936" w14:textId="77777777" w:rsidR="00000000" w:rsidRDefault="00405D16">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center"/>
            <w:hideMark/>
          </w:tcPr>
          <w:p w14:paraId="1DDC61DC"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2AA2F2F7" w14:textId="77777777" w:rsidR="00000000" w:rsidRDefault="00405D16">
            <w:pPr>
              <w:spacing w:after="100"/>
              <w:jc w:val="right"/>
              <w:rPr>
                <w:rFonts w:eastAsia="Times New Roman"/>
              </w:rPr>
            </w:pPr>
          </w:p>
        </w:tc>
        <w:tc>
          <w:tcPr>
            <w:tcW w:w="0" w:type="auto"/>
            <w:gridSpan w:val="3"/>
            <w:vAlign w:val="center"/>
            <w:hideMark/>
          </w:tcPr>
          <w:p w14:paraId="484FB07E" w14:textId="77777777" w:rsidR="00000000" w:rsidRDefault="00405D16">
            <w:pPr>
              <w:spacing w:after="100"/>
              <w:rPr>
                <w:rFonts w:eastAsia="Times New Roman"/>
                <w:sz w:val="20"/>
                <w:szCs w:val="20"/>
              </w:rPr>
            </w:pPr>
          </w:p>
        </w:tc>
      </w:tr>
      <w:tr w:rsidR="00000000" w14:paraId="759C7D35" w14:textId="77777777">
        <w:trPr>
          <w:divId w:val="494960345"/>
        </w:trPr>
        <w:tc>
          <w:tcPr>
            <w:tcW w:w="0" w:type="auto"/>
            <w:gridSpan w:val="3"/>
            <w:shd w:val="clear" w:color="auto" w:fill="CCEEFF"/>
            <w:tcMar>
              <w:top w:w="30" w:type="dxa"/>
              <w:left w:w="20" w:type="dxa"/>
              <w:bottom w:w="30" w:type="dxa"/>
              <w:right w:w="20" w:type="dxa"/>
            </w:tcMar>
            <w:vAlign w:val="center"/>
            <w:hideMark/>
          </w:tcPr>
          <w:p w14:paraId="1605A22F" w14:textId="77777777" w:rsidR="00000000" w:rsidRDefault="00405D16">
            <w:pPr>
              <w:spacing w:after="100"/>
              <w:rPr>
                <w:rFonts w:eastAsia="Times New Roman"/>
              </w:rPr>
            </w:pPr>
            <w:r>
              <w:rPr>
                <w:rFonts w:eastAsia="Times New Roman"/>
                <w:color w:val="000000"/>
                <w:sz w:val="18"/>
                <w:szCs w:val="18"/>
              </w:rPr>
              <w:t>Non-interest income</w:t>
            </w:r>
          </w:p>
        </w:tc>
        <w:tc>
          <w:tcPr>
            <w:tcW w:w="0" w:type="auto"/>
            <w:gridSpan w:val="3"/>
            <w:shd w:val="clear" w:color="auto" w:fill="CCEEFF"/>
            <w:tcMar>
              <w:top w:w="0" w:type="dxa"/>
              <w:left w:w="20" w:type="dxa"/>
              <w:bottom w:w="0" w:type="dxa"/>
              <w:right w:w="20" w:type="dxa"/>
            </w:tcMar>
            <w:vAlign w:val="center"/>
            <w:hideMark/>
          </w:tcPr>
          <w:p w14:paraId="712BB2FF"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47EDD3E" w14:textId="77777777" w:rsidR="00000000" w:rsidRDefault="00405D16">
            <w:pPr>
              <w:spacing w:after="100"/>
              <w:jc w:val="right"/>
              <w:rPr>
                <w:rFonts w:eastAsia="Times New Roman"/>
              </w:rPr>
            </w:pPr>
            <w:r>
              <w:rPr>
                <w:rFonts w:eastAsia="Times New Roman"/>
                <w:b/>
                <w:bCs/>
                <w:color w:val="000000"/>
                <w:sz w:val="18"/>
                <w:szCs w:val="18"/>
              </w:rPr>
              <w:t>1,263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1FA701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A9D5C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17BF7F6" w14:textId="77777777" w:rsidR="00000000" w:rsidRDefault="00405D16">
            <w:pPr>
              <w:spacing w:after="100"/>
              <w:jc w:val="right"/>
              <w:rPr>
                <w:rFonts w:eastAsia="Times New Roman"/>
              </w:rPr>
            </w:pPr>
            <w:r>
              <w:rPr>
                <w:rFonts w:eastAsia="Times New Roman"/>
                <w:color w:val="000000"/>
                <w:sz w:val="18"/>
                <w:szCs w:val="18"/>
              </w:rPr>
              <w:t>1,013 </w:t>
            </w:r>
          </w:p>
        </w:tc>
        <w:tc>
          <w:tcPr>
            <w:tcW w:w="0" w:type="auto"/>
            <w:shd w:val="clear" w:color="auto" w:fill="CCEEFF"/>
            <w:tcMar>
              <w:top w:w="30" w:type="dxa"/>
              <w:left w:w="0" w:type="dxa"/>
              <w:bottom w:w="30" w:type="dxa"/>
              <w:right w:w="20" w:type="dxa"/>
            </w:tcMar>
            <w:vAlign w:val="center"/>
            <w:hideMark/>
          </w:tcPr>
          <w:p w14:paraId="7BE464B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F8C43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98BE550" w14:textId="77777777" w:rsidR="00000000" w:rsidRDefault="00405D16">
            <w:pPr>
              <w:spacing w:after="100"/>
              <w:jc w:val="right"/>
              <w:rPr>
                <w:rFonts w:eastAsia="Times New Roman"/>
              </w:rPr>
            </w:pPr>
            <w:r>
              <w:rPr>
                <w:rFonts w:eastAsia="Times New Roman"/>
                <w:color w:val="000000"/>
                <w:sz w:val="18"/>
                <w:szCs w:val="18"/>
              </w:rPr>
              <w:t>25 </w:t>
            </w:r>
          </w:p>
        </w:tc>
        <w:tc>
          <w:tcPr>
            <w:tcW w:w="0" w:type="auto"/>
            <w:shd w:val="clear" w:color="auto" w:fill="CCEEFF"/>
            <w:tcMar>
              <w:top w:w="30" w:type="dxa"/>
              <w:left w:w="0" w:type="dxa"/>
              <w:bottom w:w="30" w:type="dxa"/>
              <w:right w:w="20" w:type="dxa"/>
            </w:tcMar>
            <w:vAlign w:val="center"/>
            <w:hideMark/>
          </w:tcPr>
          <w:p w14:paraId="06E939E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5E447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775F110" w14:textId="77777777" w:rsidR="00000000" w:rsidRDefault="00405D16">
            <w:pPr>
              <w:spacing w:after="100"/>
              <w:jc w:val="right"/>
              <w:rPr>
                <w:rFonts w:eastAsia="Times New Roman"/>
              </w:rPr>
            </w:pPr>
            <w:r>
              <w:rPr>
                <w:rFonts w:eastAsia="Times New Roman"/>
                <w:b/>
                <w:bCs/>
                <w:color w:val="000000"/>
                <w:sz w:val="18"/>
                <w:szCs w:val="18"/>
              </w:rPr>
              <w:t>3,545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2ADA62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CB76D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A99EB32" w14:textId="77777777" w:rsidR="00000000" w:rsidRDefault="00405D16">
            <w:pPr>
              <w:spacing w:after="100"/>
              <w:jc w:val="right"/>
              <w:rPr>
                <w:rFonts w:eastAsia="Times New Roman"/>
              </w:rPr>
            </w:pPr>
            <w:r>
              <w:rPr>
                <w:rFonts w:eastAsia="Times New Roman"/>
                <w:color w:val="000000"/>
                <w:sz w:val="18"/>
                <w:szCs w:val="18"/>
              </w:rPr>
              <w:t>2,769 </w:t>
            </w:r>
          </w:p>
        </w:tc>
        <w:tc>
          <w:tcPr>
            <w:tcW w:w="0" w:type="auto"/>
            <w:shd w:val="clear" w:color="auto" w:fill="CCEEFF"/>
            <w:tcMar>
              <w:top w:w="30" w:type="dxa"/>
              <w:left w:w="0" w:type="dxa"/>
              <w:bottom w:w="30" w:type="dxa"/>
              <w:right w:w="20" w:type="dxa"/>
            </w:tcMar>
            <w:vAlign w:val="center"/>
            <w:hideMark/>
          </w:tcPr>
          <w:p w14:paraId="1DE0AAB8" w14:textId="77777777" w:rsidR="00000000" w:rsidRDefault="00405D16">
            <w:pPr>
              <w:spacing w:after="100"/>
              <w:jc w:val="right"/>
              <w:rPr>
                <w:rFonts w:eastAsia="Times New Roman"/>
              </w:rPr>
            </w:pPr>
          </w:p>
        </w:tc>
        <w:tc>
          <w:tcPr>
            <w:tcW w:w="0" w:type="auto"/>
            <w:vAlign w:val="center"/>
            <w:hideMark/>
          </w:tcPr>
          <w:p w14:paraId="4F02083E" w14:textId="77777777" w:rsidR="00000000" w:rsidRDefault="00405D16">
            <w:pPr>
              <w:spacing w:after="100"/>
              <w:jc w:val="right"/>
              <w:rPr>
                <w:rFonts w:eastAsia="Times New Roman"/>
                <w:sz w:val="20"/>
                <w:szCs w:val="20"/>
              </w:rPr>
            </w:pPr>
          </w:p>
        </w:tc>
        <w:tc>
          <w:tcPr>
            <w:tcW w:w="0" w:type="auto"/>
            <w:vAlign w:val="center"/>
            <w:hideMark/>
          </w:tcPr>
          <w:p w14:paraId="1C03239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79355E"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8012500" w14:textId="77777777" w:rsidR="00000000" w:rsidRDefault="00405D16">
            <w:pPr>
              <w:spacing w:after="100"/>
              <w:jc w:val="right"/>
              <w:rPr>
                <w:rFonts w:eastAsia="Times New Roman"/>
              </w:rPr>
            </w:pPr>
            <w:r>
              <w:rPr>
                <w:rFonts w:eastAsia="Times New Roman"/>
                <w:color w:val="000000"/>
                <w:sz w:val="18"/>
                <w:szCs w:val="18"/>
              </w:rPr>
              <w:t>28 </w:t>
            </w:r>
          </w:p>
        </w:tc>
        <w:tc>
          <w:tcPr>
            <w:tcW w:w="0" w:type="auto"/>
            <w:shd w:val="clear" w:color="auto" w:fill="CCEEFF"/>
            <w:tcMar>
              <w:top w:w="30" w:type="dxa"/>
              <w:left w:w="0" w:type="dxa"/>
              <w:bottom w:w="30" w:type="dxa"/>
              <w:right w:w="20" w:type="dxa"/>
            </w:tcMar>
            <w:vAlign w:val="center"/>
            <w:hideMark/>
          </w:tcPr>
          <w:p w14:paraId="4EF54046" w14:textId="77777777" w:rsidR="00000000" w:rsidRDefault="00405D16">
            <w:pPr>
              <w:spacing w:after="100"/>
              <w:jc w:val="right"/>
              <w:rPr>
                <w:rFonts w:eastAsia="Times New Roman"/>
              </w:rPr>
            </w:pPr>
          </w:p>
        </w:tc>
        <w:tc>
          <w:tcPr>
            <w:tcW w:w="0" w:type="auto"/>
            <w:gridSpan w:val="3"/>
            <w:vAlign w:val="center"/>
            <w:hideMark/>
          </w:tcPr>
          <w:p w14:paraId="31AF9E03" w14:textId="77777777" w:rsidR="00000000" w:rsidRDefault="00405D16">
            <w:pPr>
              <w:spacing w:after="100"/>
              <w:jc w:val="right"/>
              <w:rPr>
                <w:rFonts w:eastAsia="Times New Roman"/>
                <w:sz w:val="20"/>
                <w:szCs w:val="20"/>
              </w:rPr>
            </w:pPr>
          </w:p>
        </w:tc>
        <w:tc>
          <w:tcPr>
            <w:tcW w:w="0" w:type="auto"/>
            <w:gridSpan w:val="3"/>
            <w:vAlign w:val="center"/>
            <w:hideMark/>
          </w:tcPr>
          <w:p w14:paraId="394DB81A" w14:textId="77777777" w:rsidR="00000000" w:rsidRDefault="00405D16">
            <w:pPr>
              <w:spacing w:after="100"/>
              <w:rPr>
                <w:rFonts w:eastAsia="Times New Roman"/>
                <w:sz w:val="20"/>
                <w:szCs w:val="20"/>
              </w:rPr>
            </w:pPr>
          </w:p>
        </w:tc>
      </w:tr>
      <w:tr w:rsidR="00000000" w14:paraId="20946B9D" w14:textId="77777777">
        <w:trPr>
          <w:divId w:val="494960345"/>
        </w:trPr>
        <w:tc>
          <w:tcPr>
            <w:tcW w:w="0" w:type="auto"/>
            <w:gridSpan w:val="3"/>
            <w:shd w:val="clear" w:color="auto" w:fill="FFFFFF"/>
            <w:tcMar>
              <w:top w:w="30" w:type="dxa"/>
              <w:left w:w="20" w:type="dxa"/>
              <w:bottom w:w="30" w:type="dxa"/>
              <w:right w:w="20" w:type="dxa"/>
            </w:tcMar>
            <w:vAlign w:val="center"/>
            <w:hideMark/>
          </w:tcPr>
          <w:p w14:paraId="0F7C4A33" w14:textId="77777777" w:rsidR="00000000" w:rsidRDefault="00405D16">
            <w:pPr>
              <w:spacing w:after="100"/>
              <w:divId w:val="79059642"/>
              <w:rPr>
                <w:rFonts w:eastAsia="Times New Roman"/>
              </w:rPr>
            </w:pPr>
            <w:r>
              <w:rPr>
                <w:rFonts w:eastAsia="Times New Roman"/>
                <w:color w:val="000000"/>
                <w:sz w:val="18"/>
                <w:szCs w:val="18"/>
              </w:rPr>
              <w:t>Total net revenu</w:t>
            </w:r>
            <w:r>
              <w:rPr>
                <w:rFonts w:eastAsia="Times New Roman"/>
                <w:color w:val="000000"/>
                <w:sz w:val="18"/>
                <w:szCs w:val="18"/>
              </w:rPr>
              <w:t>e</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2E374864"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9E0F135" w14:textId="77777777" w:rsidR="00000000" w:rsidRDefault="00405D16">
            <w:pPr>
              <w:spacing w:after="100"/>
              <w:jc w:val="right"/>
              <w:rPr>
                <w:rFonts w:eastAsia="Times New Roman"/>
              </w:rPr>
            </w:pPr>
            <w:r>
              <w:rPr>
                <w:rFonts w:eastAsia="Times New Roman"/>
                <w:b/>
                <w:bCs/>
                <w:color w:val="000000"/>
                <w:sz w:val="18"/>
                <w:szCs w:val="18"/>
              </w:rPr>
              <w:t>4,883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5923FA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A14C8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502975C" w14:textId="77777777" w:rsidR="00000000" w:rsidRDefault="00405D16">
            <w:pPr>
              <w:spacing w:after="100"/>
              <w:jc w:val="right"/>
              <w:rPr>
                <w:rFonts w:eastAsia="Times New Roman"/>
              </w:rPr>
            </w:pPr>
            <w:r>
              <w:rPr>
                <w:rFonts w:eastAsia="Times New Roman"/>
                <w:color w:val="000000"/>
                <w:sz w:val="18"/>
                <w:szCs w:val="18"/>
              </w:rPr>
              <w:t>4,305 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F7591F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6DA00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49FEFBA" w14:textId="77777777" w:rsidR="00000000" w:rsidRDefault="00405D16">
            <w:pPr>
              <w:spacing w:after="100"/>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center"/>
            <w:hideMark/>
          </w:tcPr>
          <w:p w14:paraId="26BC703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2A9A7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B73C96D" w14:textId="77777777" w:rsidR="00000000" w:rsidRDefault="00405D16">
            <w:pPr>
              <w:spacing w:after="100"/>
              <w:jc w:val="right"/>
              <w:rPr>
                <w:rFonts w:eastAsia="Times New Roman"/>
              </w:rPr>
            </w:pPr>
            <w:r>
              <w:rPr>
                <w:rFonts w:eastAsia="Times New Roman"/>
                <w:b/>
                <w:bCs/>
                <w:color w:val="000000"/>
                <w:sz w:val="18"/>
                <w:szCs w:val="18"/>
              </w:rPr>
              <w:t>13,754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403356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24DCA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332C963" w14:textId="77777777" w:rsidR="00000000" w:rsidRDefault="00405D16">
            <w:pPr>
              <w:spacing w:after="100"/>
              <w:jc w:val="right"/>
              <w:rPr>
                <w:rFonts w:eastAsia="Times New Roman"/>
              </w:rPr>
            </w:pPr>
            <w:r>
              <w:rPr>
                <w:rFonts w:eastAsia="Times New Roman"/>
                <w:color w:val="000000"/>
                <w:sz w:val="18"/>
                <w:szCs w:val="18"/>
              </w:rPr>
              <w:t>13,132 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E64D492" w14:textId="77777777" w:rsidR="00000000" w:rsidRDefault="00405D16">
            <w:pPr>
              <w:spacing w:after="100"/>
              <w:jc w:val="right"/>
              <w:rPr>
                <w:rFonts w:eastAsia="Times New Roman"/>
              </w:rPr>
            </w:pPr>
          </w:p>
        </w:tc>
        <w:tc>
          <w:tcPr>
            <w:tcW w:w="0" w:type="auto"/>
            <w:vAlign w:val="center"/>
            <w:hideMark/>
          </w:tcPr>
          <w:p w14:paraId="7D3BDDBF" w14:textId="77777777" w:rsidR="00000000" w:rsidRDefault="00405D16">
            <w:pPr>
              <w:spacing w:after="100"/>
              <w:jc w:val="right"/>
              <w:rPr>
                <w:rFonts w:eastAsia="Times New Roman"/>
                <w:sz w:val="20"/>
                <w:szCs w:val="20"/>
              </w:rPr>
            </w:pPr>
          </w:p>
        </w:tc>
        <w:tc>
          <w:tcPr>
            <w:tcW w:w="0" w:type="auto"/>
            <w:vAlign w:val="center"/>
            <w:hideMark/>
          </w:tcPr>
          <w:p w14:paraId="7CB6DA3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DDD370"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2051B60" w14:textId="77777777" w:rsidR="00000000" w:rsidRDefault="00405D16">
            <w:pPr>
              <w:spacing w:after="100"/>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14:paraId="68F7E161" w14:textId="77777777" w:rsidR="00000000" w:rsidRDefault="00405D16">
            <w:pPr>
              <w:spacing w:after="100"/>
              <w:jc w:val="right"/>
              <w:rPr>
                <w:rFonts w:eastAsia="Times New Roman"/>
              </w:rPr>
            </w:pPr>
          </w:p>
        </w:tc>
        <w:tc>
          <w:tcPr>
            <w:tcW w:w="0" w:type="auto"/>
            <w:gridSpan w:val="3"/>
            <w:vAlign w:val="center"/>
            <w:hideMark/>
          </w:tcPr>
          <w:p w14:paraId="088E263A" w14:textId="77777777" w:rsidR="00000000" w:rsidRDefault="00405D16">
            <w:pPr>
              <w:spacing w:after="100"/>
              <w:jc w:val="right"/>
              <w:rPr>
                <w:rFonts w:eastAsia="Times New Roman"/>
                <w:sz w:val="20"/>
                <w:szCs w:val="20"/>
              </w:rPr>
            </w:pPr>
          </w:p>
        </w:tc>
        <w:tc>
          <w:tcPr>
            <w:tcW w:w="0" w:type="auto"/>
            <w:gridSpan w:val="3"/>
            <w:vAlign w:val="center"/>
            <w:hideMark/>
          </w:tcPr>
          <w:p w14:paraId="505D2655" w14:textId="77777777" w:rsidR="00000000" w:rsidRDefault="00405D16">
            <w:pPr>
              <w:spacing w:after="100"/>
              <w:rPr>
                <w:rFonts w:eastAsia="Times New Roman"/>
                <w:sz w:val="20"/>
                <w:szCs w:val="20"/>
              </w:rPr>
            </w:pPr>
          </w:p>
        </w:tc>
      </w:tr>
      <w:tr w:rsidR="00000000" w14:paraId="5EE61CF6" w14:textId="77777777">
        <w:trPr>
          <w:divId w:val="494960345"/>
        </w:trPr>
        <w:tc>
          <w:tcPr>
            <w:tcW w:w="0" w:type="auto"/>
            <w:gridSpan w:val="3"/>
            <w:shd w:val="clear" w:color="auto" w:fill="CCEEFF"/>
            <w:tcMar>
              <w:top w:w="30" w:type="dxa"/>
              <w:left w:w="20" w:type="dxa"/>
              <w:bottom w:w="30" w:type="dxa"/>
              <w:right w:w="20" w:type="dxa"/>
            </w:tcMar>
            <w:vAlign w:val="center"/>
            <w:hideMark/>
          </w:tcPr>
          <w:p w14:paraId="78F12C9D" w14:textId="77777777" w:rsidR="00000000" w:rsidRDefault="00405D16">
            <w:pPr>
              <w:spacing w:after="100"/>
              <w:rPr>
                <w:rFonts w:eastAsia="Times New Roman"/>
              </w:rPr>
            </w:pPr>
            <w:r>
              <w:rPr>
                <w:rFonts w:eastAsia="Times New Roman"/>
                <w:color w:val="000000"/>
                <w:sz w:val="18"/>
                <w:szCs w:val="18"/>
              </w:rPr>
              <w:t>Provision (benefit) for credit losses</w:t>
            </w:r>
          </w:p>
        </w:tc>
        <w:tc>
          <w:tcPr>
            <w:tcW w:w="0" w:type="auto"/>
            <w:gridSpan w:val="3"/>
            <w:shd w:val="clear" w:color="auto" w:fill="CCEEFF"/>
            <w:tcMar>
              <w:top w:w="0" w:type="dxa"/>
              <w:left w:w="20" w:type="dxa"/>
              <w:bottom w:w="0" w:type="dxa"/>
              <w:right w:w="20" w:type="dxa"/>
            </w:tcMar>
            <w:vAlign w:val="center"/>
            <w:hideMark/>
          </w:tcPr>
          <w:p w14:paraId="57498748"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AD7C5ED" w14:textId="77777777" w:rsidR="00000000" w:rsidRDefault="00405D16">
            <w:pPr>
              <w:spacing w:after="100"/>
              <w:jc w:val="right"/>
              <w:rPr>
                <w:rFonts w:eastAsia="Times New Roman"/>
              </w:rPr>
            </w:pPr>
            <w:r>
              <w:rPr>
                <w:rFonts w:eastAsia="Times New Roman"/>
                <w:b/>
                <w:bCs/>
                <w:color w:val="000000"/>
                <w:sz w:val="18"/>
                <w:szCs w:val="18"/>
              </w:rPr>
              <w:t>(198)</w:t>
            </w:r>
          </w:p>
        </w:tc>
        <w:tc>
          <w:tcPr>
            <w:tcW w:w="0" w:type="auto"/>
            <w:shd w:val="clear" w:color="auto" w:fill="CCEEFF"/>
            <w:tcMar>
              <w:top w:w="30" w:type="dxa"/>
              <w:left w:w="0" w:type="dxa"/>
              <w:bottom w:w="30" w:type="dxa"/>
              <w:right w:w="20" w:type="dxa"/>
            </w:tcMar>
            <w:vAlign w:val="center"/>
            <w:hideMark/>
          </w:tcPr>
          <w:p w14:paraId="02D0D6B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CAC8A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E7FBCA2" w14:textId="77777777" w:rsidR="00000000" w:rsidRDefault="00405D16">
            <w:pPr>
              <w:spacing w:after="100"/>
              <w:jc w:val="right"/>
              <w:rPr>
                <w:rFonts w:eastAsia="Times New Roman"/>
              </w:rPr>
            </w:pPr>
            <w:r>
              <w:rPr>
                <w:rFonts w:eastAsia="Times New Roman"/>
                <w:color w:val="000000"/>
                <w:sz w:val="18"/>
                <w:szCs w:val="18"/>
              </w:rPr>
              <w:t>450 </w:t>
            </w:r>
          </w:p>
        </w:tc>
        <w:tc>
          <w:tcPr>
            <w:tcW w:w="0" w:type="auto"/>
            <w:shd w:val="clear" w:color="auto" w:fill="CCEEFF"/>
            <w:tcMar>
              <w:top w:w="30" w:type="dxa"/>
              <w:left w:w="0" w:type="dxa"/>
              <w:bottom w:w="30" w:type="dxa"/>
              <w:right w:w="20" w:type="dxa"/>
            </w:tcMar>
            <w:vAlign w:val="center"/>
            <w:hideMark/>
          </w:tcPr>
          <w:p w14:paraId="25744BC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8CACBE"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24CBFAD9"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0631A31"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4F0AEF4" w14:textId="77777777" w:rsidR="00000000" w:rsidRDefault="00405D16">
            <w:pPr>
              <w:spacing w:after="100"/>
              <w:jc w:val="right"/>
              <w:rPr>
                <w:rFonts w:eastAsia="Times New Roman"/>
              </w:rPr>
            </w:pPr>
            <w:r>
              <w:rPr>
                <w:rFonts w:eastAsia="Times New Roman"/>
                <w:b/>
                <w:bCs/>
                <w:color w:val="000000"/>
                <w:sz w:val="18"/>
                <w:szCs w:val="18"/>
              </w:rPr>
              <w:t>(1,325)</w:t>
            </w:r>
          </w:p>
        </w:tc>
        <w:tc>
          <w:tcPr>
            <w:tcW w:w="0" w:type="auto"/>
            <w:shd w:val="clear" w:color="auto" w:fill="CCEEFF"/>
            <w:tcMar>
              <w:top w:w="30" w:type="dxa"/>
              <w:left w:w="0" w:type="dxa"/>
              <w:bottom w:w="30" w:type="dxa"/>
              <w:right w:w="20" w:type="dxa"/>
            </w:tcMar>
            <w:vAlign w:val="center"/>
            <w:hideMark/>
          </w:tcPr>
          <w:p w14:paraId="1074A8B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79922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0E7DC6B" w14:textId="77777777" w:rsidR="00000000" w:rsidRDefault="00405D16">
            <w:pPr>
              <w:spacing w:after="100"/>
              <w:jc w:val="right"/>
              <w:rPr>
                <w:rFonts w:eastAsia="Times New Roman"/>
              </w:rPr>
            </w:pPr>
            <w:r>
              <w:rPr>
                <w:rFonts w:eastAsia="Times New Roman"/>
                <w:color w:val="000000"/>
                <w:sz w:val="18"/>
                <w:szCs w:val="18"/>
              </w:rPr>
              <w:t>7,096 </w:t>
            </w:r>
          </w:p>
        </w:tc>
        <w:tc>
          <w:tcPr>
            <w:tcW w:w="0" w:type="auto"/>
            <w:shd w:val="clear" w:color="auto" w:fill="CCEEFF"/>
            <w:tcMar>
              <w:top w:w="30" w:type="dxa"/>
              <w:left w:w="0" w:type="dxa"/>
              <w:bottom w:w="30" w:type="dxa"/>
              <w:right w:w="20" w:type="dxa"/>
            </w:tcMar>
            <w:vAlign w:val="center"/>
            <w:hideMark/>
          </w:tcPr>
          <w:p w14:paraId="39FFEC4F" w14:textId="77777777" w:rsidR="00000000" w:rsidRDefault="00405D16">
            <w:pPr>
              <w:spacing w:after="100"/>
              <w:jc w:val="right"/>
              <w:rPr>
                <w:rFonts w:eastAsia="Times New Roman"/>
              </w:rPr>
            </w:pPr>
          </w:p>
        </w:tc>
        <w:tc>
          <w:tcPr>
            <w:tcW w:w="0" w:type="auto"/>
            <w:vAlign w:val="center"/>
            <w:hideMark/>
          </w:tcPr>
          <w:p w14:paraId="2A195AB5" w14:textId="77777777" w:rsidR="00000000" w:rsidRDefault="00405D16">
            <w:pPr>
              <w:spacing w:after="100"/>
              <w:jc w:val="right"/>
              <w:rPr>
                <w:rFonts w:eastAsia="Times New Roman"/>
                <w:sz w:val="20"/>
                <w:szCs w:val="20"/>
              </w:rPr>
            </w:pPr>
          </w:p>
        </w:tc>
        <w:tc>
          <w:tcPr>
            <w:tcW w:w="0" w:type="auto"/>
            <w:vAlign w:val="center"/>
            <w:hideMark/>
          </w:tcPr>
          <w:p w14:paraId="29B99A9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6C353F" w14:textId="77777777" w:rsidR="00000000" w:rsidRDefault="00405D16">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62439A09"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5679378A" w14:textId="77777777" w:rsidR="00000000" w:rsidRDefault="00405D16">
            <w:pPr>
              <w:spacing w:after="100"/>
              <w:jc w:val="right"/>
              <w:rPr>
                <w:rFonts w:eastAsia="Times New Roman"/>
              </w:rPr>
            </w:pPr>
          </w:p>
        </w:tc>
        <w:tc>
          <w:tcPr>
            <w:tcW w:w="0" w:type="auto"/>
            <w:gridSpan w:val="3"/>
            <w:vAlign w:val="center"/>
            <w:hideMark/>
          </w:tcPr>
          <w:p w14:paraId="03549509" w14:textId="77777777" w:rsidR="00000000" w:rsidRDefault="00405D16">
            <w:pPr>
              <w:spacing w:after="100"/>
              <w:rPr>
                <w:rFonts w:eastAsia="Times New Roman"/>
                <w:sz w:val="20"/>
                <w:szCs w:val="20"/>
              </w:rPr>
            </w:pPr>
          </w:p>
        </w:tc>
      </w:tr>
      <w:tr w:rsidR="00000000" w14:paraId="5FD5654D" w14:textId="77777777">
        <w:trPr>
          <w:divId w:val="494960345"/>
        </w:trPr>
        <w:tc>
          <w:tcPr>
            <w:tcW w:w="0" w:type="auto"/>
            <w:gridSpan w:val="3"/>
            <w:shd w:val="clear" w:color="auto" w:fill="FFFFFF"/>
            <w:tcMar>
              <w:top w:w="30" w:type="dxa"/>
              <w:left w:w="20" w:type="dxa"/>
              <w:bottom w:w="30" w:type="dxa"/>
              <w:right w:w="20" w:type="dxa"/>
            </w:tcMar>
            <w:vAlign w:val="center"/>
            <w:hideMark/>
          </w:tcPr>
          <w:p w14:paraId="3CF1E708" w14:textId="77777777" w:rsidR="00000000" w:rsidRDefault="00405D16">
            <w:pPr>
              <w:spacing w:after="100"/>
              <w:rPr>
                <w:rFonts w:eastAsia="Times New Roman"/>
              </w:rPr>
            </w:pPr>
            <w:r>
              <w:rPr>
                <w:rFonts w:eastAsia="Times New Roman"/>
                <w:color w:val="000000"/>
                <w:sz w:val="18"/>
                <w:szCs w:val="18"/>
              </w:rPr>
              <w:t>Non-interest expense</w:t>
            </w:r>
          </w:p>
        </w:tc>
        <w:tc>
          <w:tcPr>
            <w:tcW w:w="0" w:type="auto"/>
            <w:gridSpan w:val="3"/>
            <w:shd w:val="clear" w:color="auto" w:fill="FFFFFF"/>
            <w:tcMar>
              <w:top w:w="0" w:type="dxa"/>
              <w:left w:w="20" w:type="dxa"/>
              <w:bottom w:w="0" w:type="dxa"/>
              <w:right w:w="20" w:type="dxa"/>
            </w:tcMar>
            <w:vAlign w:val="center"/>
            <w:hideMark/>
          </w:tcPr>
          <w:p w14:paraId="2738EA56"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D82A335" w14:textId="77777777" w:rsidR="00000000" w:rsidRDefault="00405D16">
            <w:pPr>
              <w:spacing w:after="100"/>
              <w:jc w:val="right"/>
              <w:rPr>
                <w:rFonts w:eastAsia="Times New Roman"/>
              </w:rPr>
            </w:pPr>
            <w:r>
              <w:rPr>
                <w:rFonts w:eastAsia="Times New Roman"/>
                <w:b/>
                <w:bCs/>
                <w:color w:val="000000"/>
                <w:sz w:val="18"/>
                <w:szCs w:val="18"/>
              </w:rPr>
              <w:t>2,424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7BC0A6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E8360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E6DD395" w14:textId="77777777" w:rsidR="00000000" w:rsidRDefault="00405D16">
            <w:pPr>
              <w:spacing w:after="100"/>
              <w:jc w:val="right"/>
              <w:rPr>
                <w:rFonts w:eastAsia="Times New Roman"/>
              </w:rPr>
            </w:pPr>
            <w:r>
              <w:rPr>
                <w:rFonts w:eastAsia="Times New Roman"/>
                <w:color w:val="000000"/>
                <w:sz w:val="18"/>
                <w:szCs w:val="18"/>
              </w:rPr>
              <w:t>2,003 </w:t>
            </w:r>
          </w:p>
        </w:tc>
        <w:tc>
          <w:tcPr>
            <w:tcW w:w="0" w:type="auto"/>
            <w:shd w:val="clear" w:color="auto" w:fill="FFFFFF"/>
            <w:tcMar>
              <w:top w:w="30" w:type="dxa"/>
              <w:left w:w="0" w:type="dxa"/>
              <w:bottom w:w="30" w:type="dxa"/>
              <w:right w:w="20" w:type="dxa"/>
            </w:tcMar>
            <w:vAlign w:val="center"/>
            <w:hideMark/>
          </w:tcPr>
          <w:p w14:paraId="465ACC9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670E4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09A87D7" w14:textId="77777777" w:rsidR="00000000" w:rsidRDefault="00405D16">
            <w:pPr>
              <w:spacing w:after="100"/>
              <w:jc w:val="right"/>
              <w:rPr>
                <w:rFonts w:eastAsia="Times New Roman"/>
              </w:rPr>
            </w:pPr>
            <w:r>
              <w:rPr>
                <w:rFonts w:eastAsia="Times New Roman"/>
                <w:color w:val="000000"/>
                <w:sz w:val="18"/>
                <w:szCs w:val="18"/>
              </w:rPr>
              <w:t>21 </w:t>
            </w:r>
          </w:p>
        </w:tc>
        <w:tc>
          <w:tcPr>
            <w:tcW w:w="0" w:type="auto"/>
            <w:shd w:val="clear" w:color="auto" w:fill="FFFFFF"/>
            <w:tcMar>
              <w:top w:w="30" w:type="dxa"/>
              <w:left w:w="0" w:type="dxa"/>
              <w:bottom w:w="30" w:type="dxa"/>
              <w:right w:w="20" w:type="dxa"/>
            </w:tcMar>
            <w:vAlign w:val="center"/>
            <w:hideMark/>
          </w:tcPr>
          <w:p w14:paraId="635A0DB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CDBBD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FABF914" w14:textId="77777777" w:rsidR="00000000" w:rsidRDefault="00405D16">
            <w:pPr>
              <w:spacing w:after="100"/>
              <w:jc w:val="right"/>
              <w:rPr>
                <w:rFonts w:eastAsia="Times New Roman"/>
              </w:rPr>
            </w:pPr>
            <w:r>
              <w:rPr>
                <w:rFonts w:eastAsia="Times New Roman"/>
                <w:b/>
                <w:bCs/>
                <w:color w:val="000000"/>
                <w:sz w:val="18"/>
                <w:szCs w:val="18"/>
              </w:rPr>
              <w:t>6,822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37F432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40865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A6F6B09" w14:textId="77777777" w:rsidR="00000000" w:rsidRDefault="00405D16">
            <w:pPr>
              <w:spacing w:after="100"/>
              <w:jc w:val="right"/>
              <w:rPr>
                <w:rFonts w:eastAsia="Times New Roman"/>
              </w:rPr>
            </w:pPr>
            <w:r>
              <w:rPr>
                <w:rFonts w:eastAsia="Times New Roman"/>
                <w:color w:val="000000"/>
                <w:sz w:val="18"/>
                <w:szCs w:val="18"/>
              </w:rPr>
              <w:t>6,180 </w:t>
            </w:r>
          </w:p>
        </w:tc>
        <w:tc>
          <w:tcPr>
            <w:tcW w:w="0" w:type="auto"/>
            <w:shd w:val="clear" w:color="auto" w:fill="FFFFFF"/>
            <w:tcMar>
              <w:top w:w="30" w:type="dxa"/>
              <w:left w:w="0" w:type="dxa"/>
              <w:bottom w:w="30" w:type="dxa"/>
              <w:right w:w="20" w:type="dxa"/>
            </w:tcMar>
            <w:vAlign w:val="center"/>
            <w:hideMark/>
          </w:tcPr>
          <w:p w14:paraId="5F6A1C86" w14:textId="77777777" w:rsidR="00000000" w:rsidRDefault="00405D16">
            <w:pPr>
              <w:spacing w:after="100"/>
              <w:jc w:val="right"/>
              <w:rPr>
                <w:rFonts w:eastAsia="Times New Roman"/>
              </w:rPr>
            </w:pPr>
          </w:p>
        </w:tc>
        <w:tc>
          <w:tcPr>
            <w:tcW w:w="0" w:type="auto"/>
            <w:vAlign w:val="center"/>
            <w:hideMark/>
          </w:tcPr>
          <w:p w14:paraId="04D51BDF" w14:textId="77777777" w:rsidR="00000000" w:rsidRDefault="00405D16">
            <w:pPr>
              <w:spacing w:after="100"/>
              <w:jc w:val="right"/>
              <w:rPr>
                <w:rFonts w:eastAsia="Times New Roman"/>
                <w:sz w:val="20"/>
                <w:szCs w:val="20"/>
              </w:rPr>
            </w:pPr>
          </w:p>
        </w:tc>
        <w:tc>
          <w:tcPr>
            <w:tcW w:w="0" w:type="auto"/>
            <w:vAlign w:val="center"/>
            <w:hideMark/>
          </w:tcPr>
          <w:p w14:paraId="7E9AEFA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E90256"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E0B4BEC" w14:textId="77777777" w:rsidR="00000000" w:rsidRDefault="00405D16">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center"/>
            <w:hideMark/>
          </w:tcPr>
          <w:p w14:paraId="526C7CCB" w14:textId="77777777" w:rsidR="00000000" w:rsidRDefault="00405D16">
            <w:pPr>
              <w:spacing w:after="100"/>
              <w:jc w:val="right"/>
              <w:rPr>
                <w:rFonts w:eastAsia="Times New Roman"/>
              </w:rPr>
            </w:pPr>
          </w:p>
        </w:tc>
        <w:tc>
          <w:tcPr>
            <w:tcW w:w="0" w:type="auto"/>
            <w:gridSpan w:val="3"/>
            <w:vAlign w:val="center"/>
            <w:hideMark/>
          </w:tcPr>
          <w:p w14:paraId="26FC4C58" w14:textId="77777777" w:rsidR="00000000" w:rsidRDefault="00405D16">
            <w:pPr>
              <w:spacing w:after="100"/>
              <w:jc w:val="right"/>
              <w:rPr>
                <w:rFonts w:eastAsia="Times New Roman"/>
                <w:sz w:val="20"/>
                <w:szCs w:val="20"/>
              </w:rPr>
            </w:pPr>
          </w:p>
        </w:tc>
        <w:tc>
          <w:tcPr>
            <w:tcW w:w="0" w:type="auto"/>
            <w:gridSpan w:val="3"/>
            <w:vAlign w:val="center"/>
            <w:hideMark/>
          </w:tcPr>
          <w:p w14:paraId="38098238" w14:textId="77777777" w:rsidR="00000000" w:rsidRDefault="00405D16">
            <w:pPr>
              <w:spacing w:after="100"/>
              <w:rPr>
                <w:rFonts w:eastAsia="Times New Roman"/>
                <w:sz w:val="20"/>
                <w:szCs w:val="20"/>
              </w:rPr>
            </w:pPr>
          </w:p>
        </w:tc>
      </w:tr>
      <w:tr w:rsidR="00000000" w14:paraId="501D3892" w14:textId="77777777">
        <w:trPr>
          <w:divId w:val="494960345"/>
        </w:trPr>
        <w:tc>
          <w:tcPr>
            <w:tcW w:w="0" w:type="auto"/>
            <w:gridSpan w:val="3"/>
            <w:shd w:val="clear" w:color="auto" w:fill="CCEEFF"/>
            <w:tcMar>
              <w:top w:w="30" w:type="dxa"/>
              <w:left w:w="20" w:type="dxa"/>
              <w:bottom w:w="30" w:type="dxa"/>
              <w:right w:w="20" w:type="dxa"/>
            </w:tcMar>
            <w:vAlign w:val="center"/>
            <w:hideMark/>
          </w:tcPr>
          <w:p w14:paraId="189C1557" w14:textId="77777777" w:rsidR="00000000" w:rsidRDefault="00405D16">
            <w:pPr>
              <w:spacing w:after="100"/>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CCEEFF"/>
            <w:tcMar>
              <w:top w:w="0" w:type="dxa"/>
              <w:left w:w="20" w:type="dxa"/>
              <w:bottom w:w="0" w:type="dxa"/>
              <w:right w:w="20" w:type="dxa"/>
            </w:tcMar>
            <w:vAlign w:val="center"/>
            <w:hideMark/>
          </w:tcPr>
          <w:p w14:paraId="36EB6054"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EDB596B" w14:textId="77777777" w:rsidR="00000000" w:rsidRDefault="00405D16">
            <w:pPr>
              <w:spacing w:after="100"/>
              <w:jc w:val="right"/>
              <w:rPr>
                <w:rFonts w:eastAsia="Times New Roman"/>
              </w:rPr>
            </w:pPr>
            <w:r>
              <w:rPr>
                <w:rFonts w:eastAsia="Times New Roman"/>
                <w:b/>
                <w:bCs/>
                <w:color w:val="000000"/>
                <w:sz w:val="18"/>
                <w:szCs w:val="18"/>
              </w:rPr>
              <w:t>2,657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02551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86E02B"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552ADC9" w14:textId="77777777" w:rsidR="00000000" w:rsidRDefault="00405D16">
            <w:pPr>
              <w:spacing w:after="100"/>
              <w:jc w:val="right"/>
              <w:rPr>
                <w:rFonts w:eastAsia="Times New Roman"/>
              </w:rPr>
            </w:pPr>
            <w:r>
              <w:rPr>
                <w:rFonts w:eastAsia="Times New Roman"/>
                <w:color w:val="000000"/>
                <w:sz w:val="18"/>
                <w:szCs w:val="18"/>
              </w:rPr>
              <w:t>1,852 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E1BB8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E41D2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73E7B31" w14:textId="77777777" w:rsidR="00000000" w:rsidRDefault="00405D16">
            <w:pPr>
              <w:spacing w:after="100"/>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center"/>
            <w:hideMark/>
          </w:tcPr>
          <w:p w14:paraId="7308D87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657359"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006EBA3" w14:textId="77777777" w:rsidR="00000000" w:rsidRDefault="00405D16">
            <w:pPr>
              <w:spacing w:after="100"/>
              <w:jc w:val="right"/>
              <w:rPr>
                <w:rFonts w:eastAsia="Times New Roman"/>
              </w:rPr>
            </w:pPr>
            <w:r>
              <w:rPr>
                <w:rFonts w:eastAsia="Times New Roman"/>
                <w:b/>
                <w:bCs/>
                <w:color w:val="000000"/>
                <w:sz w:val="18"/>
                <w:szCs w:val="18"/>
              </w:rPr>
              <w:t>8,257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8A789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406741"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4C6304E" w14:textId="77777777" w:rsidR="00000000" w:rsidRDefault="00405D16">
            <w:pPr>
              <w:spacing w:after="100"/>
              <w:jc w:val="right"/>
              <w:rPr>
                <w:rFonts w:eastAsia="Times New Roman"/>
              </w:rPr>
            </w:pPr>
            <w:r>
              <w:rPr>
                <w:rFonts w:eastAsia="Times New Roman"/>
                <w:color w:val="000000"/>
                <w:sz w:val="18"/>
                <w:szCs w:val="18"/>
              </w:rPr>
              <w:t>(144)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381EBE" w14:textId="77777777" w:rsidR="00000000" w:rsidRDefault="00405D16">
            <w:pPr>
              <w:spacing w:after="100"/>
              <w:jc w:val="right"/>
              <w:rPr>
                <w:rFonts w:eastAsia="Times New Roman"/>
              </w:rPr>
            </w:pPr>
          </w:p>
        </w:tc>
        <w:tc>
          <w:tcPr>
            <w:tcW w:w="0" w:type="auto"/>
            <w:vAlign w:val="center"/>
            <w:hideMark/>
          </w:tcPr>
          <w:p w14:paraId="5E0022E8" w14:textId="77777777" w:rsidR="00000000" w:rsidRDefault="00405D16">
            <w:pPr>
              <w:spacing w:after="100"/>
              <w:jc w:val="right"/>
              <w:rPr>
                <w:rFonts w:eastAsia="Times New Roman"/>
                <w:sz w:val="20"/>
                <w:szCs w:val="20"/>
              </w:rPr>
            </w:pPr>
          </w:p>
        </w:tc>
        <w:tc>
          <w:tcPr>
            <w:tcW w:w="0" w:type="auto"/>
            <w:vAlign w:val="center"/>
            <w:hideMark/>
          </w:tcPr>
          <w:p w14:paraId="46480DD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48296E" w14:textId="77777777" w:rsidR="00000000" w:rsidRDefault="00405D16">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4C6A3481"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216D2703" w14:textId="77777777" w:rsidR="00000000" w:rsidRDefault="00405D16">
            <w:pPr>
              <w:spacing w:after="100"/>
              <w:jc w:val="right"/>
              <w:rPr>
                <w:rFonts w:eastAsia="Times New Roman"/>
              </w:rPr>
            </w:pPr>
          </w:p>
        </w:tc>
        <w:tc>
          <w:tcPr>
            <w:tcW w:w="0" w:type="auto"/>
            <w:gridSpan w:val="3"/>
            <w:vAlign w:val="center"/>
            <w:hideMark/>
          </w:tcPr>
          <w:p w14:paraId="737E5203" w14:textId="77777777" w:rsidR="00000000" w:rsidRDefault="00405D16">
            <w:pPr>
              <w:spacing w:after="100"/>
              <w:rPr>
                <w:rFonts w:eastAsia="Times New Roman"/>
                <w:sz w:val="20"/>
                <w:szCs w:val="20"/>
              </w:rPr>
            </w:pPr>
          </w:p>
        </w:tc>
      </w:tr>
      <w:tr w:rsidR="00000000" w14:paraId="3A8FEB2D" w14:textId="77777777">
        <w:trPr>
          <w:divId w:val="494960345"/>
        </w:trPr>
        <w:tc>
          <w:tcPr>
            <w:tcW w:w="0" w:type="auto"/>
            <w:gridSpan w:val="3"/>
            <w:shd w:val="clear" w:color="auto" w:fill="FFFFFF"/>
            <w:tcMar>
              <w:top w:w="30" w:type="dxa"/>
              <w:left w:w="20" w:type="dxa"/>
              <w:bottom w:w="30" w:type="dxa"/>
              <w:right w:w="20" w:type="dxa"/>
            </w:tcMar>
            <w:vAlign w:val="center"/>
            <w:hideMark/>
          </w:tcPr>
          <w:p w14:paraId="0C102012" w14:textId="77777777" w:rsidR="00000000" w:rsidRDefault="00405D16">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FFFFFF"/>
            <w:tcMar>
              <w:top w:w="0" w:type="dxa"/>
              <w:left w:w="20" w:type="dxa"/>
              <w:bottom w:w="0" w:type="dxa"/>
              <w:right w:w="20" w:type="dxa"/>
            </w:tcMar>
            <w:vAlign w:val="center"/>
            <w:hideMark/>
          </w:tcPr>
          <w:p w14:paraId="61AAFCA6"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7AB494A" w14:textId="77777777" w:rsidR="00000000" w:rsidRDefault="00405D16">
            <w:pPr>
              <w:spacing w:after="100"/>
              <w:jc w:val="right"/>
              <w:rPr>
                <w:rFonts w:eastAsia="Times New Roman"/>
              </w:rPr>
            </w:pPr>
            <w:r>
              <w:rPr>
                <w:rFonts w:eastAsia="Times New Roman"/>
                <w:b/>
                <w:bCs/>
                <w:color w:val="000000"/>
                <w:sz w:val="18"/>
                <w:szCs w:val="18"/>
              </w:rPr>
              <w:t>627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12785B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40505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256AAD8" w14:textId="77777777" w:rsidR="00000000" w:rsidRDefault="00405D16">
            <w:pPr>
              <w:spacing w:after="100"/>
              <w:jc w:val="right"/>
              <w:rPr>
                <w:rFonts w:eastAsia="Times New Roman"/>
              </w:rPr>
            </w:pPr>
            <w:r>
              <w:rPr>
                <w:rFonts w:eastAsia="Times New Roman"/>
                <w:color w:val="000000"/>
                <w:sz w:val="18"/>
                <w:szCs w:val="18"/>
              </w:rPr>
              <w:t>438 </w:t>
            </w:r>
          </w:p>
        </w:tc>
        <w:tc>
          <w:tcPr>
            <w:tcW w:w="0" w:type="auto"/>
            <w:shd w:val="clear" w:color="auto" w:fill="FFFFFF"/>
            <w:tcMar>
              <w:top w:w="30" w:type="dxa"/>
              <w:left w:w="0" w:type="dxa"/>
              <w:bottom w:w="30" w:type="dxa"/>
              <w:right w:w="20" w:type="dxa"/>
            </w:tcMar>
            <w:vAlign w:val="center"/>
            <w:hideMark/>
          </w:tcPr>
          <w:p w14:paraId="21E4D6D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13D78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B40C19F" w14:textId="77777777" w:rsidR="00000000" w:rsidRDefault="00405D16">
            <w:pPr>
              <w:spacing w:after="100"/>
              <w:jc w:val="right"/>
              <w:rPr>
                <w:rFonts w:eastAsia="Times New Roman"/>
              </w:rPr>
            </w:pPr>
            <w:r>
              <w:rPr>
                <w:rFonts w:eastAsia="Times New Roman"/>
                <w:color w:val="000000"/>
                <w:sz w:val="18"/>
                <w:szCs w:val="18"/>
              </w:rPr>
              <w:t>43 </w:t>
            </w:r>
          </w:p>
        </w:tc>
        <w:tc>
          <w:tcPr>
            <w:tcW w:w="0" w:type="auto"/>
            <w:shd w:val="clear" w:color="auto" w:fill="FFFFFF"/>
            <w:tcMar>
              <w:top w:w="30" w:type="dxa"/>
              <w:left w:w="0" w:type="dxa"/>
              <w:bottom w:w="30" w:type="dxa"/>
              <w:right w:w="20" w:type="dxa"/>
            </w:tcMar>
            <w:vAlign w:val="center"/>
            <w:hideMark/>
          </w:tcPr>
          <w:p w14:paraId="4E50A73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2C84A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1EA1565" w14:textId="77777777" w:rsidR="00000000" w:rsidRDefault="00405D16">
            <w:pPr>
              <w:spacing w:after="100"/>
              <w:jc w:val="right"/>
              <w:rPr>
                <w:rFonts w:eastAsia="Times New Roman"/>
              </w:rPr>
            </w:pPr>
            <w:r>
              <w:rPr>
                <w:rFonts w:eastAsia="Times New Roman"/>
                <w:b/>
                <w:bCs/>
                <w:color w:val="000000"/>
                <w:sz w:val="18"/>
                <w:szCs w:val="18"/>
              </w:rPr>
              <w:t>1,952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C43A0E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80964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51141BD" w14:textId="77777777" w:rsidR="00000000" w:rsidRDefault="00405D16">
            <w:pPr>
              <w:spacing w:after="100"/>
              <w:jc w:val="right"/>
              <w:rPr>
                <w:rFonts w:eastAsia="Times New Roman"/>
              </w:rPr>
            </w:pPr>
            <w:r>
              <w:rPr>
                <w:rFonts w:eastAsia="Times New Roman"/>
                <w:color w:val="000000"/>
                <w:sz w:val="18"/>
                <w:szCs w:val="18"/>
              </w:rPr>
              <w:t>(34)</w:t>
            </w:r>
          </w:p>
        </w:tc>
        <w:tc>
          <w:tcPr>
            <w:tcW w:w="0" w:type="auto"/>
            <w:shd w:val="clear" w:color="auto" w:fill="FFFFFF"/>
            <w:tcMar>
              <w:top w:w="30" w:type="dxa"/>
              <w:left w:w="0" w:type="dxa"/>
              <w:bottom w:w="30" w:type="dxa"/>
              <w:right w:w="20" w:type="dxa"/>
            </w:tcMar>
            <w:vAlign w:val="center"/>
            <w:hideMark/>
          </w:tcPr>
          <w:p w14:paraId="0213A863" w14:textId="77777777" w:rsidR="00000000" w:rsidRDefault="00405D16">
            <w:pPr>
              <w:spacing w:after="100"/>
              <w:jc w:val="right"/>
              <w:rPr>
                <w:rFonts w:eastAsia="Times New Roman"/>
              </w:rPr>
            </w:pPr>
          </w:p>
        </w:tc>
        <w:tc>
          <w:tcPr>
            <w:tcW w:w="0" w:type="auto"/>
            <w:vAlign w:val="center"/>
            <w:hideMark/>
          </w:tcPr>
          <w:p w14:paraId="472F7E55" w14:textId="77777777" w:rsidR="00000000" w:rsidRDefault="00405D16">
            <w:pPr>
              <w:spacing w:after="100"/>
              <w:jc w:val="right"/>
              <w:rPr>
                <w:rFonts w:eastAsia="Times New Roman"/>
                <w:sz w:val="20"/>
                <w:szCs w:val="20"/>
              </w:rPr>
            </w:pPr>
          </w:p>
        </w:tc>
        <w:tc>
          <w:tcPr>
            <w:tcW w:w="0" w:type="auto"/>
            <w:vAlign w:val="center"/>
            <w:hideMark/>
          </w:tcPr>
          <w:p w14:paraId="040E6EB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B9C87B" w14:textId="77777777" w:rsidR="00000000" w:rsidRDefault="00405D16">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4A4CEF66"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0488F84C" w14:textId="77777777" w:rsidR="00000000" w:rsidRDefault="00405D16">
            <w:pPr>
              <w:spacing w:after="100"/>
              <w:jc w:val="right"/>
              <w:rPr>
                <w:rFonts w:eastAsia="Times New Roman"/>
              </w:rPr>
            </w:pPr>
          </w:p>
        </w:tc>
        <w:tc>
          <w:tcPr>
            <w:tcW w:w="0" w:type="auto"/>
            <w:gridSpan w:val="3"/>
            <w:vAlign w:val="center"/>
            <w:hideMark/>
          </w:tcPr>
          <w:p w14:paraId="15AA1FBA" w14:textId="77777777" w:rsidR="00000000" w:rsidRDefault="00405D16">
            <w:pPr>
              <w:spacing w:after="100"/>
              <w:rPr>
                <w:rFonts w:eastAsia="Times New Roman"/>
                <w:sz w:val="20"/>
                <w:szCs w:val="20"/>
              </w:rPr>
            </w:pPr>
          </w:p>
        </w:tc>
      </w:tr>
      <w:tr w:rsidR="00000000" w14:paraId="7D7A0BE7" w14:textId="77777777">
        <w:trPr>
          <w:divId w:val="494960345"/>
        </w:trPr>
        <w:tc>
          <w:tcPr>
            <w:tcW w:w="0" w:type="auto"/>
            <w:gridSpan w:val="3"/>
            <w:shd w:val="clear" w:color="auto" w:fill="CCEEFF"/>
            <w:tcMar>
              <w:top w:w="30" w:type="dxa"/>
              <w:left w:w="20" w:type="dxa"/>
              <w:bottom w:w="30" w:type="dxa"/>
              <w:right w:w="20" w:type="dxa"/>
            </w:tcMar>
            <w:vAlign w:val="center"/>
            <w:hideMark/>
          </w:tcPr>
          <w:p w14:paraId="3E3DF790" w14:textId="77777777" w:rsidR="00000000" w:rsidRDefault="00405D16">
            <w:pPr>
              <w:spacing w:after="100"/>
              <w:rPr>
                <w:rFonts w:eastAsia="Times New Roman"/>
              </w:rPr>
            </w:pPr>
            <w:r>
              <w:rPr>
                <w:rFonts w:eastAsia="Times New Roman"/>
                <w:color w:val="000000"/>
                <w:sz w:val="18"/>
                <w:szCs w:val="18"/>
              </w:rPr>
              <w:t>Income (loss) from continuing operations, net of tax</w:t>
            </w:r>
          </w:p>
        </w:tc>
        <w:tc>
          <w:tcPr>
            <w:tcW w:w="0" w:type="auto"/>
            <w:gridSpan w:val="3"/>
            <w:shd w:val="clear" w:color="auto" w:fill="CCEEFF"/>
            <w:tcMar>
              <w:top w:w="0" w:type="dxa"/>
              <w:left w:w="20" w:type="dxa"/>
              <w:bottom w:w="0" w:type="dxa"/>
              <w:right w:w="20" w:type="dxa"/>
            </w:tcMar>
            <w:vAlign w:val="center"/>
            <w:hideMark/>
          </w:tcPr>
          <w:p w14:paraId="6A4F1D76"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82A2303"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38E208E" w14:textId="77777777" w:rsidR="00000000" w:rsidRDefault="00405D16">
            <w:pPr>
              <w:spacing w:after="100"/>
              <w:jc w:val="right"/>
              <w:rPr>
                <w:rFonts w:eastAsia="Times New Roman"/>
              </w:rPr>
            </w:pPr>
            <w:r>
              <w:rPr>
                <w:rFonts w:eastAsia="Times New Roman"/>
                <w:b/>
                <w:bCs/>
                <w:color w:val="000000"/>
                <w:sz w:val="18"/>
                <w:szCs w:val="18"/>
              </w:rPr>
              <w:t>2,030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E83A1C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E33AD9"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A555699"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6E7F529" w14:textId="77777777" w:rsidR="00000000" w:rsidRDefault="00405D16">
            <w:pPr>
              <w:spacing w:after="100"/>
              <w:jc w:val="right"/>
              <w:rPr>
                <w:rFonts w:eastAsia="Times New Roman"/>
              </w:rPr>
            </w:pPr>
            <w:r>
              <w:rPr>
                <w:rFonts w:eastAsia="Times New Roman"/>
                <w:color w:val="000000"/>
                <w:sz w:val="18"/>
                <w:szCs w:val="18"/>
              </w:rPr>
              <w:t>1,414 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BB50DF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E5C86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945BAB6" w14:textId="77777777" w:rsidR="00000000" w:rsidRDefault="00405D16">
            <w:pPr>
              <w:spacing w:after="100"/>
              <w:jc w:val="right"/>
              <w:rPr>
                <w:rFonts w:eastAsia="Times New Roman"/>
              </w:rPr>
            </w:pPr>
            <w:r>
              <w:rPr>
                <w:rFonts w:eastAsia="Times New Roman"/>
                <w:color w:val="000000"/>
                <w:sz w:val="18"/>
                <w:szCs w:val="18"/>
              </w:rPr>
              <w:t>44 </w:t>
            </w:r>
          </w:p>
        </w:tc>
        <w:tc>
          <w:tcPr>
            <w:tcW w:w="0" w:type="auto"/>
            <w:shd w:val="clear" w:color="auto" w:fill="CCEEFF"/>
            <w:tcMar>
              <w:top w:w="30" w:type="dxa"/>
              <w:left w:w="0" w:type="dxa"/>
              <w:bottom w:w="30" w:type="dxa"/>
              <w:right w:w="20" w:type="dxa"/>
            </w:tcMar>
            <w:vAlign w:val="center"/>
            <w:hideMark/>
          </w:tcPr>
          <w:p w14:paraId="5318A0C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DD934A"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9686E47"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65B5EF3" w14:textId="77777777" w:rsidR="00000000" w:rsidRDefault="00405D16">
            <w:pPr>
              <w:spacing w:after="100"/>
              <w:jc w:val="right"/>
              <w:rPr>
                <w:rFonts w:eastAsia="Times New Roman"/>
              </w:rPr>
            </w:pPr>
            <w:r>
              <w:rPr>
                <w:rFonts w:eastAsia="Times New Roman"/>
                <w:b/>
                <w:bCs/>
                <w:color w:val="000000"/>
                <w:sz w:val="18"/>
                <w:szCs w:val="18"/>
              </w:rPr>
              <w:t>6,305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A56833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F4C765"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092558A"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8E885E5" w14:textId="77777777" w:rsidR="00000000" w:rsidRDefault="00405D16">
            <w:pPr>
              <w:spacing w:after="100"/>
              <w:jc w:val="right"/>
              <w:rPr>
                <w:rFonts w:eastAsia="Times New Roman"/>
              </w:rPr>
            </w:pPr>
            <w:r>
              <w:rPr>
                <w:rFonts w:eastAsia="Times New Roman"/>
                <w:color w:val="000000"/>
                <w:sz w:val="18"/>
                <w:szCs w:val="18"/>
              </w:rPr>
              <w:t>(110)</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B657849" w14:textId="77777777" w:rsidR="00000000" w:rsidRDefault="00405D16">
            <w:pPr>
              <w:spacing w:after="100"/>
              <w:jc w:val="right"/>
              <w:rPr>
                <w:rFonts w:eastAsia="Times New Roman"/>
              </w:rPr>
            </w:pPr>
          </w:p>
        </w:tc>
        <w:tc>
          <w:tcPr>
            <w:tcW w:w="0" w:type="auto"/>
            <w:vAlign w:val="center"/>
            <w:hideMark/>
          </w:tcPr>
          <w:p w14:paraId="0EC4570C" w14:textId="77777777" w:rsidR="00000000" w:rsidRDefault="00405D16">
            <w:pPr>
              <w:spacing w:after="100"/>
              <w:jc w:val="right"/>
              <w:rPr>
                <w:rFonts w:eastAsia="Times New Roman"/>
                <w:sz w:val="20"/>
                <w:szCs w:val="20"/>
              </w:rPr>
            </w:pPr>
          </w:p>
        </w:tc>
        <w:tc>
          <w:tcPr>
            <w:tcW w:w="0" w:type="auto"/>
            <w:vAlign w:val="center"/>
            <w:hideMark/>
          </w:tcPr>
          <w:p w14:paraId="1D4C28A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BF3D9F" w14:textId="77777777" w:rsidR="00000000" w:rsidRDefault="00405D16">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7CABB8C7"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62DC9716" w14:textId="77777777" w:rsidR="00000000" w:rsidRDefault="00405D16">
            <w:pPr>
              <w:spacing w:after="100"/>
              <w:jc w:val="right"/>
              <w:rPr>
                <w:rFonts w:eastAsia="Times New Roman"/>
              </w:rPr>
            </w:pPr>
          </w:p>
        </w:tc>
        <w:tc>
          <w:tcPr>
            <w:tcW w:w="0" w:type="auto"/>
            <w:gridSpan w:val="3"/>
            <w:vAlign w:val="center"/>
            <w:hideMark/>
          </w:tcPr>
          <w:p w14:paraId="439D1D4E" w14:textId="77777777" w:rsidR="00000000" w:rsidRDefault="00405D16">
            <w:pPr>
              <w:spacing w:after="100"/>
              <w:rPr>
                <w:rFonts w:eastAsia="Times New Roman"/>
                <w:sz w:val="20"/>
                <w:szCs w:val="20"/>
              </w:rPr>
            </w:pPr>
          </w:p>
        </w:tc>
      </w:tr>
      <w:tr w:rsidR="00000000" w14:paraId="6D1859F3" w14:textId="77777777">
        <w:trPr>
          <w:divId w:val="494960345"/>
        </w:trPr>
        <w:tc>
          <w:tcPr>
            <w:tcW w:w="0" w:type="auto"/>
            <w:gridSpan w:val="3"/>
            <w:shd w:val="clear" w:color="auto" w:fill="FFFFFF"/>
            <w:tcMar>
              <w:top w:w="30" w:type="dxa"/>
              <w:left w:w="20" w:type="dxa"/>
              <w:bottom w:w="30" w:type="dxa"/>
              <w:right w:w="20" w:type="dxa"/>
            </w:tcMar>
            <w:vAlign w:val="center"/>
            <w:hideMark/>
          </w:tcPr>
          <w:p w14:paraId="4E27A390" w14:textId="77777777" w:rsidR="00000000" w:rsidRDefault="00405D16">
            <w:pPr>
              <w:spacing w:after="100"/>
              <w:rPr>
                <w:rFonts w:eastAsia="Times New Roman"/>
              </w:rPr>
            </w:pPr>
            <w:r>
              <w:rPr>
                <w:rFonts w:eastAsia="Times New Roman"/>
                <w:b/>
                <w:bCs/>
                <w:color w:val="000000"/>
                <w:sz w:val="18"/>
                <w:szCs w:val="18"/>
              </w:rPr>
              <w:t>Selected performance metrics:</w:t>
            </w:r>
          </w:p>
        </w:tc>
        <w:tc>
          <w:tcPr>
            <w:tcW w:w="0" w:type="auto"/>
            <w:gridSpan w:val="3"/>
            <w:shd w:val="clear" w:color="auto" w:fill="FFFFFF"/>
            <w:tcMar>
              <w:top w:w="0" w:type="dxa"/>
              <w:left w:w="20" w:type="dxa"/>
              <w:bottom w:w="0" w:type="dxa"/>
              <w:right w:w="20" w:type="dxa"/>
            </w:tcMar>
            <w:vAlign w:val="center"/>
            <w:hideMark/>
          </w:tcPr>
          <w:p w14:paraId="61BAB4E2" w14:textId="77777777" w:rsidR="00000000" w:rsidRDefault="00405D16">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2BA3FA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29E089"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797B7F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78800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D4607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85797E"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C929C8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8BEB5D"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5D14672" w14:textId="77777777" w:rsidR="00000000" w:rsidRDefault="00405D16">
            <w:pPr>
              <w:spacing w:after="100"/>
              <w:rPr>
                <w:rFonts w:eastAsia="Times New Roman"/>
                <w:sz w:val="20"/>
                <w:szCs w:val="20"/>
              </w:rPr>
            </w:pPr>
          </w:p>
        </w:tc>
        <w:tc>
          <w:tcPr>
            <w:tcW w:w="0" w:type="auto"/>
            <w:vAlign w:val="center"/>
            <w:hideMark/>
          </w:tcPr>
          <w:p w14:paraId="38886067" w14:textId="77777777" w:rsidR="00000000" w:rsidRDefault="00405D16">
            <w:pPr>
              <w:spacing w:after="100"/>
              <w:rPr>
                <w:rFonts w:eastAsia="Times New Roman"/>
                <w:sz w:val="20"/>
                <w:szCs w:val="20"/>
              </w:rPr>
            </w:pPr>
          </w:p>
        </w:tc>
        <w:tc>
          <w:tcPr>
            <w:tcW w:w="0" w:type="auto"/>
            <w:vAlign w:val="center"/>
            <w:hideMark/>
          </w:tcPr>
          <w:p w14:paraId="62E712D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CB215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C9FE62" w14:textId="77777777" w:rsidR="00000000" w:rsidRDefault="00405D16">
            <w:pPr>
              <w:spacing w:after="100"/>
              <w:rPr>
                <w:rFonts w:eastAsia="Times New Roman"/>
                <w:sz w:val="20"/>
                <w:szCs w:val="20"/>
              </w:rPr>
            </w:pPr>
          </w:p>
        </w:tc>
        <w:tc>
          <w:tcPr>
            <w:tcW w:w="0" w:type="auto"/>
            <w:gridSpan w:val="3"/>
            <w:vAlign w:val="center"/>
            <w:hideMark/>
          </w:tcPr>
          <w:p w14:paraId="1C30ED44" w14:textId="77777777" w:rsidR="00000000" w:rsidRDefault="00405D16">
            <w:pPr>
              <w:spacing w:after="100"/>
              <w:rPr>
                <w:rFonts w:eastAsia="Times New Roman"/>
                <w:sz w:val="20"/>
                <w:szCs w:val="20"/>
              </w:rPr>
            </w:pPr>
          </w:p>
        </w:tc>
        <w:tc>
          <w:tcPr>
            <w:tcW w:w="0" w:type="auto"/>
            <w:gridSpan w:val="3"/>
            <w:vAlign w:val="center"/>
            <w:hideMark/>
          </w:tcPr>
          <w:p w14:paraId="1C0B0054" w14:textId="77777777" w:rsidR="00000000" w:rsidRDefault="00405D16">
            <w:pPr>
              <w:spacing w:after="100"/>
              <w:rPr>
                <w:rFonts w:eastAsia="Times New Roman"/>
                <w:sz w:val="20"/>
                <w:szCs w:val="20"/>
              </w:rPr>
            </w:pPr>
          </w:p>
        </w:tc>
      </w:tr>
      <w:tr w:rsidR="00000000" w14:paraId="265A9551" w14:textId="77777777">
        <w:trPr>
          <w:divId w:val="494960345"/>
        </w:trPr>
        <w:tc>
          <w:tcPr>
            <w:tcW w:w="0" w:type="auto"/>
            <w:gridSpan w:val="3"/>
            <w:shd w:val="clear" w:color="auto" w:fill="CCEEFF"/>
            <w:tcMar>
              <w:top w:w="30" w:type="dxa"/>
              <w:left w:w="20" w:type="dxa"/>
              <w:bottom w:w="30" w:type="dxa"/>
              <w:right w:w="20" w:type="dxa"/>
            </w:tcMar>
            <w:vAlign w:val="center"/>
            <w:hideMark/>
          </w:tcPr>
          <w:p w14:paraId="5A3FAB66" w14:textId="77777777" w:rsidR="00000000" w:rsidRDefault="00405D16">
            <w:pPr>
              <w:spacing w:after="100"/>
              <w:rPr>
                <w:rFonts w:eastAsia="Times New Roman"/>
              </w:rPr>
            </w:pPr>
            <w:r>
              <w:rPr>
                <w:rFonts w:eastAsia="Times New Roman"/>
                <w:color w:val="000000"/>
                <w:sz w:val="18"/>
                <w:szCs w:val="18"/>
              </w:rPr>
              <w:t>Average loans held for investment</w:t>
            </w:r>
          </w:p>
        </w:tc>
        <w:tc>
          <w:tcPr>
            <w:tcW w:w="0" w:type="auto"/>
            <w:gridSpan w:val="3"/>
            <w:shd w:val="clear" w:color="auto" w:fill="CCEEFF"/>
            <w:tcMar>
              <w:top w:w="0" w:type="dxa"/>
              <w:left w:w="20" w:type="dxa"/>
              <w:bottom w:w="0" w:type="dxa"/>
              <w:right w:w="20" w:type="dxa"/>
            </w:tcMar>
            <w:vAlign w:val="center"/>
            <w:hideMark/>
          </w:tcPr>
          <w:p w14:paraId="579F4617" w14:textId="77777777" w:rsidR="00000000" w:rsidRDefault="00405D16">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1450B8A0"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77C7848C" w14:textId="77777777" w:rsidR="00000000" w:rsidRDefault="00405D16">
            <w:pPr>
              <w:spacing w:after="100"/>
              <w:jc w:val="right"/>
              <w:rPr>
                <w:rFonts w:eastAsia="Times New Roman"/>
              </w:rPr>
            </w:pPr>
            <w:r>
              <w:rPr>
                <w:rFonts w:eastAsia="Times New Roman"/>
                <w:b/>
                <w:bCs/>
                <w:color w:val="000000"/>
                <w:sz w:val="18"/>
                <w:szCs w:val="18"/>
              </w:rPr>
              <w:t>102,046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C34F86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2B5A51"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3534C4C5"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446D9042" w14:textId="77777777" w:rsidR="00000000" w:rsidRDefault="00405D16">
            <w:pPr>
              <w:spacing w:after="100"/>
              <w:jc w:val="right"/>
              <w:rPr>
                <w:rFonts w:eastAsia="Times New Roman"/>
              </w:rPr>
            </w:pPr>
            <w:r>
              <w:rPr>
                <w:rFonts w:eastAsia="Times New Roman"/>
                <w:color w:val="000000"/>
                <w:sz w:val="18"/>
                <w:szCs w:val="18"/>
              </w:rPr>
              <w:t>105,367 </w:t>
            </w:r>
          </w:p>
        </w:tc>
        <w:tc>
          <w:tcPr>
            <w:tcW w:w="0" w:type="auto"/>
            <w:shd w:val="clear" w:color="auto" w:fill="CCEEFF"/>
            <w:tcMar>
              <w:top w:w="30" w:type="dxa"/>
              <w:left w:w="0" w:type="dxa"/>
              <w:bottom w:w="30" w:type="dxa"/>
              <w:right w:w="20" w:type="dxa"/>
            </w:tcMar>
            <w:vAlign w:val="center"/>
            <w:hideMark/>
          </w:tcPr>
          <w:p w14:paraId="3A4413E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BBB21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BAD341E" w14:textId="77777777" w:rsidR="00000000" w:rsidRDefault="00405D16">
            <w:pPr>
              <w:spacing w:after="100"/>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center"/>
            <w:hideMark/>
          </w:tcPr>
          <w:p w14:paraId="5EB5291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F6D237"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25EB66EB"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52D7FE2A" w14:textId="77777777" w:rsidR="00000000" w:rsidRDefault="00405D16">
            <w:pPr>
              <w:spacing w:after="100"/>
              <w:jc w:val="right"/>
              <w:rPr>
                <w:rFonts w:eastAsia="Times New Roman"/>
              </w:rPr>
            </w:pPr>
            <w:r>
              <w:rPr>
                <w:rFonts w:eastAsia="Times New Roman"/>
                <w:b/>
                <w:bCs/>
                <w:color w:val="000000"/>
                <w:sz w:val="18"/>
                <w:szCs w:val="18"/>
              </w:rPr>
              <w:t>100,757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33E855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8D827D"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5FD3DE3C"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5E01820E" w14:textId="77777777" w:rsidR="00000000" w:rsidRDefault="00405D16">
            <w:pPr>
              <w:spacing w:after="100"/>
              <w:jc w:val="right"/>
              <w:rPr>
                <w:rFonts w:eastAsia="Times New Roman"/>
              </w:rPr>
            </w:pPr>
            <w:r>
              <w:rPr>
                <w:rFonts w:eastAsia="Times New Roman"/>
                <w:color w:val="000000"/>
                <w:sz w:val="18"/>
                <w:szCs w:val="18"/>
              </w:rPr>
              <w:t>112,272 </w:t>
            </w:r>
          </w:p>
        </w:tc>
        <w:tc>
          <w:tcPr>
            <w:tcW w:w="0" w:type="auto"/>
            <w:shd w:val="clear" w:color="auto" w:fill="CCEEFF"/>
            <w:tcMar>
              <w:top w:w="30" w:type="dxa"/>
              <w:left w:w="0" w:type="dxa"/>
              <w:bottom w:w="30" w:type="dxa"/>
              <w:right w:w="20" w:type="dxa"/>
            </w:tcMar>
            <w:vAlign w:val="center"/>
            <w:hideMark/>
          </w:tcPr>
          <w:p w14:paraId="7AE74041" w14:textId="77777777" w:rsidR="00000000" w:rsidRDefault="00405D16">
            <w:pPr>
              <w:spacing w:after="100"/>
              <w:jc w:val="right"/>
              <w:rPr>
                <w:rFonts w:eastAsia="Times New Roman"/>
              </w:rPr>
            </w:pPr>
          </w:p>
        </w:tc>
        <w:tc>
          <w:tcPr>
            <w:tcW w:w="0" w:type="auto"/>
            <w:vAlign w:val="center"/>
            <w:hideMark/>
          </w:tcPr>
          <w:p w14:paraId="1498F068" w14:textId="77777777" w:rsidR="00000000" w:rsidRDefault="00405D16">
            <w:pPr>
              <w:spacing w:after="100"/>
              <w:jc w:val="right"/>
              <w:rPr>
                <w:rFonts w:eastAsia="Times New Roman"/>
                <w:sz w:val="20"/>
                <w:szCs w:val="20"/>
              </w:rPr>
            </w:pPr>
          </w:p>
        </w:tc>
        <w:tc>
          <w:tcPr>
            <w:tcW w:w="0" w:type="auto"/>
            <w:vAlign w:val="center"/>
            <w:hideMark/>
          </w:tcPr>
          <w:p w14:paraId="4A4B83B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0A188B"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45C6462" w14:textId="77777777" w:rsidR="00000000" w:rsidRDefault="00405D16">
            <w:pPr>
              <w:spacing w:after="100"/>
              <w:jc w:val="right"/>
              <w:rPr>
                <w:rFonts w:eastAsia="Times New Roman"/>
              </w:rPr>
            </w:pPr>
            <w:r>
              <w:rPr>
                <w:rFonts w:eastAsia="Times New Roman"/>
                <w:color w:val="000000"/>
                <w:sz w:val="18"/>
                <w:szCs w:val="18"/>
              </w:rPr>
              <w:t>(10)</w:t>
            </w:r>
          </w:p>
        </w:tc>
        <w:tc>
          <w:tcPr>
            <w:tcW w:w="0" w:type="auto"/>
            <w:shd w:val="clear" w:color="auto" w:fill="CCEEFF"/>
            <w:tcMar>
              <w:top w:w="30" w:type="dxa"/>
              <w:left w:w="0" w:type="dxa"/>
              <w:bottom w:w="30" w:type="dxa"/>
              <w:right w:w="20" w:type="dxa"/>
            </w:tcMar>
            <w:vAlign w:val="center"/>
            <w:hideMark/>
          </w:tcPr>
          <w:p w14:paraId="17840647" w14:textId="77777777" w:rsidR="00000000" w:rsidRDefault="00405D16">
            <w:pPr>
              <w:spacing w:after="100"/>
              <w:jc w:val="right"/>
              <w:rPr>
                <w:rFonts w:eastAsia="Times New Roman"/>
              </w:rPr>
            </w:pPr>
          </w:p>
        </w:tc>
        <w:tc>
          <w:tcPr>
            <w:tcW w:w="0" w:type="auto"/>
            <w:gridSpan w:val="3"/>
            <w:vAlign w:val="center"/>
            <w:hideMark/>
          </w:tcPr>
          <w:p w14:paraId="3EF1A33E" w14:textId="77777777" w:rsidR="00000000" w:rsidRDefault="00405D16">
            <w:pPr>
              <w:spacing w:after="100"/>
              <w:jc w:val="right"/>
              <w:rPr>
                <w:rFonts w:eastAsia="Times New Roman"/>
                <w:sz w:val="20"/>
                <w:szCs w:val="20"/>
              </w:rPr>
            </w:pPr>
          </w:p>
        </w:tc>
        <w:tc>
          <w:tcPr>
            <w:tcW w:w="0" w:type="auto"/>
            <w:gridSpan w:val="3"/>
            <w:vAlign w:val="center"/>
            <w:hideMark/>
          </w:tcPr>
          <w:p w14:paraId="57104602" w14:textId="77777777" w:rsidR="00000000" w:rsidRDefault="00405D16">
            <w:pPr>
              <w:spacing w:after="100"/>
              <w:rPr>
                <w:rFonts w:eastAsia="Times New Roman"/>
                <w:sz w:val="20"/>
                <w:szCs w:val="20"/>
              </w:rPr>
            </w:pPr>
          </w:p>
        </w:tc>
      </w:tr>
      <w:tr w:rsidR="00000000" w14:paraId="7F8E217B" w14:textId="77777777">
        <w:trPr>
          <w:divId w:val="494960345"/>
        </w:trPr>
        <w:tc>
          <w:tcPr>
            <w:tcW w:w="0" w:type="auto"/>
            <w:gridSpan w:val="3"/>
            <w:shd w:val="clear" w:color="auto" w:fill="FFFFFF"/>
            <w:tcMar>
              <w:top w:w="30" w:type="dxa"/>
              <w:left w:w="20" w:type="dxa"/>
              <w:bottom w:w="30" w:type="dxa"/>
              <w:right w:w="20" w:type="dxa"/>
            </w:tcMar>
            <w:vAlign w:val="center"/>
            <w:hideMark/>
          </w:tcPr>
          <w:p w14:paraId="7C1F0F0D" w14:textId="77777777" w:rsidR="00000000" w:rsidRDefault="00405D16">
            <w:pPr>
              <w:spacing w:after="100"/>
              <w:divId w:val="1021399110"/>
              <w:rPr>
                <w:rFonts w:eastAsia="Times New Roman"/>
              </w:rPr>
            </w:pPr>
            <w:r>
              <w:rPr>
                <w:rFonts w:eastAsia="Times New Roman"/>
                <w:color w:val="000000"/>
                <w:sz w:val="18"/>
                <w:szCs w:val="18"/>
              </w:rPr>
              <w:t>Average yield on loan</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4E9162A1"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A818C89" w14:textId="77777777" w:rsidR="00000000" w:rsidRDefault="00405D16">
            <w:pPr>
              <w:spacing w:after="100"/>
              <w:jc w:val="right"/>
              <w:rPr>
                <w:rFonts w:eastAsia="Times New Roman"/>
              </w:rPr>
            </w:pPr>
            <w:r>
              <w:rPr>
                <w:rFonts w:eastAsia="Times New Roman"/>
                <w:b/>
                <w:bCs/>
                <w:color w:val="000000"/>
                <w:sz w:val="18"/>
                <w:szCs w:val="18"/>
              </w:rPr>
              <w:t>14.88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6F939A4"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2250232"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0D22C28" w14:textId="77777777" w:rsidR="00000000" w:rsidRDefault="00405D16">
            <w:pPr>
              <w:spacing w:after="100"/>
              <w:jc w:val="right"/>
              <w:rPr>
                <w:rFonts w:eastAsia="Times New Roman"/>
              </w:rPr>
            </w:pPr>
            <w:r>
              <w:rPr>
                <w:rFonts w:eastAsia="Times New Roman"/>
                <w:color w:val="000000"/>
                <w:sz w:val="18"/>
                <w:szCs w:val="18"/>
              </w:rPr>
              <w:t>13.83 </w:t>
            </w:r>
          </w:p>
        </w:tc>
        <w:tc>
          <w:tcPr>
            <w:tcW w:w="0" w:type="auto"/>
            <w:shd w:val="clear" w:color="auto" w:fill="FFFFFF"/>
            <w:tcMar>
              <w:top w:w="30" w:type="dxa"/>
              <w:left w:w="0" w:type="dxa"/>
              <w:bottom w:w="30" w:type="dxa"/>
              <w:right w:w="20" w:type="dxa"/>
            </w:tcMar>
            <w:vAlign w:val="center"/>
            <w:hideMark/>
          </w:tcPr>
          <w:p w14:paraId="69F4B4E6" w14:textId="77777777" w:rsidR="00000000" w:rsidRDefault="00405D16">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BCCC880"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A34B463" w14:textId="77777777" w:rsidR="00000000" w:rsidRDefault="00405D16">
            <w:pPr>
              <w:spacing w:after="100"/>
              <w:jc w:val="right"/>
              <w:rPr>
                <w:rFonts w:eastAsia="Times New Roman"/>
              </w:rPr>
            </w:pPr>
            <w:r>
              <w:rPr>
                <w:rFonts w:eastAsia="Times New Roman"/>
                <w:color w:val="000000"/>
                <w:sz w:val="18"/>
                <w:szCs w:val="18"/>
              </w:rPr>
              <w:t>105 </w:t>
            </w:r>
          </w:p>
        </w:tc>
        <w:tc>
          <w:tcPr>
            <w:tcW w:w="0" w:type="auto"/>
            <w:shd w:val="clear" w:color="auto" w:fill="FFFFFF"/>
            <w:tcMar>
              <w:top w:w="30" w:type="dxa"/>
              <w:left w:w="0" w:type="dxa"/>
              <w:bottom w:w="30" w:type="dxa"/>
              <w:right w:w="20" w:type="dxa"/>
            </w:tcMar>
            <w:vAlign w:val="center"/>
            <w:hideMark/>
          </w:tcPr>
          <w:p w14:paraId="42F9045E" w14:textId="77777777" w:rsidR="00000000" w:rsidRDefault="00405D16">
            <w:pPr>
              <w:spacing w:after="100"/>
              <w:jc w:val="right"/>
              <w:rPr>
                <w:rFonts w:eastAsia="Times New Roman"/>
              </w:rPr>
            </w:pPr>
            <w:r>
              <w:rPr>
                <w:rFonts w:eastAsia="Times New Roman"/>
                <w:color w:val="000000"/>
                <w:sz w:val="18"/>
                <w:szCs w:val="18"/>
              </w:rPr>
              <w:t>bps</w:t>
            </w:r>
          </w:p>
        </w:tc>
        <w:tc>
          <w:tcPr>
            <w:tcW w:w="0" w:type="auto"/>
            <w:gridSpan w:val="3"/>
            <w:shd w:val="clear" w:color="auto" w:fill="FFFFFF"/>
            <w:tcMar>
              <w:top w:w="0" w:type="dxa"/>
              <w:left w:w="20" w:type="dxa"/>
              <w:bottom w:w="0" w:type="dxa"/>
              <w:right w:w="20" w:type="dxa"/>
            </w:tcMar>
            <w:vAlign w:val="center"/>
            <w:hideMark/>
          </w:tcPr>
          <w:p w14:paraId="66297226"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F0CFA23" w14:textId="77777777" w:rsidR="00000000" w:rsidRDefault="00405D16">
            <w:pPr>
              <w:spacing w:after="100"/>
              <w:jc w:val="right"/>
              <w:rPr>
                <w:rFonts w:eastAsia="Times New Roman"/>
              </w:rPr>
            </w:pPr>
            <w:r>
              <w:rPr>
                <w:rFonts w:eastAsia="Times New Roman"/>
                <w:b/>
                <w:bCs/>
                <w:color w:val="000000"/>
                <w:sz w:val="18"/>
                <w:szCs w:val="18"/>
              </w:rPr>
              <w:t>14.47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FE504DB"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FF80DDD"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A38BBFD" w14:textId="77777777" w:rsidR="00000000" w:rsidRDefault="00405D16">
            <w:pPr>
              <w:spacing w:after="100"/>
              <w:jc w:val="right"/>
              <w:rPr>
                <w:rFonts w:eastAsia="Times New Roman"/>
              </w:rPr>
            </w:pPr>
            <w:r>
              <w:rPr>
                <w:rFonts w:eastAsia="Times New Roman"/>
                <w:color w:val="000000"/>
                <w:sz w:val="18"/>
                <w:szCs w:val="18"/>
              </w:rPr>
              <w:t>14.03 </w:t>
            </w:r>
          </w:p>
        </w:tc>
        <w:tc>
          <w:tcPr>
            <w:tcW w:w="0" w:type="auto"/>
            <w:shd w:val="clear" w:color="auto" w:fill="FFFFFF"/>
            <w:tcMar>
              <w:top w:w="30" w:type="dxa"/>
              <w:left w:w="0" w:type="dxa"/>
              <w:bottom w:w="30" w:type="dxa"/>
              <w:right w:w="20" w:type="dxa"/>
            </w:tcMar>
            <w:vAlign w:val="center"/>
            <w:hideMark/>
          </w:tcPr>
          <w:p w14:paraId="7D90B78B" w14:textId="77777777" w:rsidR="00000000" w:rsidRDefault="00405D16">
            <w:pPr>
              <w:spacing w:after="100"/>
              <w:jc w:val="right"/>
              <w:rPr>
                <w:rFonts w:eastAsia="Times New Roman"/>
              </w:rPr>
            </w:pPr>
            <w:r>
              <w:rPr>
                <w:rFonts w:eastAsia="Times New Roman"/>
                <w:color w:val="000000"/>
                <w:sz w:val="18"/>
                <w:szCs w:val="18"/>
              </w:rPr>
              <w:t>%</w:t>
            </w:r>
          </w:p>
        </w:tc>
        <w:tc>
          <w:tcPr>
            <w:tcW w:w="0" w:type="auto"/>
            <w:vAlign w:val="center"/>
            <w:hideMark/>
          </w:tcPr>
          <w:p w14:paraId="33DE3925" w14:textId="77777777" w:rsidR="00000000" w:rsidRDefault="00405D16">
            <w:pPr>
              <w:spacing w:after="100"/>
              <w:jc w:val="right"/>
              <w:rPr>
                <w:rFonts w:eastAsia="Times New Roman"/>
              </w:rPr>
            </w:pPr>
          </w:p>
        </w:tc>
        <w:tc>
          <w:tcPr>
            <w:tcW w:w="0" w:type="auto"/>
            <w:vAlign w:val="center"/>
            <w:hideMark/>
          </w:tcPr>
          <w:p w14:paraId="6F431EC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008611"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82428FF" w14:textId="77777777" w:rsidR="00000000" w:rsidRDefault="00405D16">
            <w:pPr>
              <w:spacing w:after="100"/>
              <w:jc w:val="right"/>
              <w:rPr>
                <w:rFonts w:eastAsia="Times New Roman"/>
              </w:rPr>
            </w:pPr>
            <w:r>
              <w:rPr>
                <w:rFonts w:eastAsia="Times New Roman"/>
                <w:color w:val="000000"/>
                <w:sz w:val="18"/>
                <w:szCs w:val="18"/>
              </w:rPr>
              <w:t>44 </w:t>
            </w:r>
          </w:p>
        </w:tc>
        <w:tc>
          <w:tcPr>
            <w:tcW w:w="0" w:type="auto"/>
            <w:shd w:val="clear" w:color="auto" w:fill="FFFFFF"/>
            <w:tcMar>
              <w:top w:w="30" w:type="dxa"/>
              <w:left w:w="0" w:type="dxa"/>
              <w:bottom w:w="30" w:type="dxa"/>
              <w:right w:w="20" w:type="dxa"/>
            </w:tcMar>
            <w:vAlign w:val="center"/>
            <w:hideMark/>
          </w:tcPr>
          <w:p w14:paraId="3E458AFD" w14:textId="77777777" w:rsidR="00000000" w:rsidRDefault="00405D16">
            <w:pPr>
              <w:spacing w:after="100"/>
              <w:jc w:val="right"/>
              <w:rPr>
                <w:rFonts w:eastAsia="Times New Roman"/>
              </w:rPr>
            </w:pPr>
            <w:r>
              <w:rPr>
                <w:rFonts w:eastAsia="Times New Roman"/>
                <w:color w:val="000000"/>
                <w:sz w:val="18"/>
                <w:szCs w:val="18"/>
              </w:rPr>
              <w:t>bps</w:t>
            </w:r>
          </w:p>
        </w:tc>
        <w:tc>
          <w:tcPr>
            <w:tcW w:w="0" w:type="auto"/>
            <w:gridSpan w:val="3"/>
            <w:vAlign w:val="center"/>
            <w:hideMark/>
          </w:tcPr>
          <w:p w14:paraId="0CF1E946" w14:textId="77777777" w:rsidR="00000000" w:rsidRDefault="00405D16">
            <w:pPr>
              <w:spacing w:after="100"/>
              <w:jc w:val="right"/>
              <w:rPr>
                <w:rFonts w:eastAsia="Times New Roman"/>
              </w:rPr>
            </w:pPr>
          </w:p>
        </w:tc>
        <w:tc>
          <w:tcPr>
            <w:tcW w:w="0" w:type="auto"/>
            <w:gridSpan w:val="3"/>
            <w:vAlign w:val="center"/>
            <w:hideMark/>
          </w:tcPr>
          <w:p w14:paraId="378EE258" w14:textId="77777777" w:rsidR="00000000" w:rsidRDefault="00405D16">
            <w:pPr>
              <w:spacing w:after="100"/>
              <w:rPr>
                <w:rFonts w:eastAsia="Times New Roman"/>
                <w:sz w:val="20"/>
                <w:szCs w:val="20"/>
              </w:rPr>
            </w:pPr>
          </w:p>
        </w:tc>
      </w:tr>
      <w:tr w:rsidR="00000000" w14:paraId="75C782F6" w14:textId="77777777">
        <w:trPr>
          <w:divId w:val="494960345"/>
        </w:trPr>
        <w:tc>
          <w:tcPr>
            <w:tcW w:w="0" w:type="auto"/>
            <w:gridSpan w:val="3"/>
            <w:shd w:val="clear" w:color="auto" w:fill="CCEEFF"/>
            <w:tcMar>
              <w:top w:w="30" w:type="dxa"/>
              <w:left w:w="20" w:type="dxa"/>
              <w:bottom w:w="30" w:type="dxa"/>
              <w:right w:w="20" w:type="dxa"/>
            </w:tcMar>
            <w:vAlign w:val="center"/>
            <w:hideMark/>
          </w:tcPr>
          <w:p w14:paraId="0AA771E2" w14:textId="77777777" w:rsidR="00000000" w:rsidRDefault="00405D16">
            <w:pPr>
              <w:spacing w:after="100"/>
              <w:divId w:val="627012231"/>
              <w:rPr>
                <w:rFonts w:eastAsia="Times New Roman"/>
              </w:rPr>
            </w:pPr>
            <w:r>
              <w:rPr>
                <w:rFonts w:eastAsia="Times New Roman"/>
                <w:color w:val="000000"/>
                <w:sz w:val="18"/>
                <w:szCs w:val="18"/>
              </w:rPr>
              <w:t>Total net revenue margi</w:t>
            </w:r>
            <w:r>
              <w:rPr>
                <w:rFonts w:eastAsia="Times New Roman"/>
                <w:color w:val="000000"/>
                <w:sz w:val="18"/>
                <w:szCs w:val="18"/>
              </w:rPr>
              <w:t>n</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54C8AADD"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14FD03B" w14:textId="77777777" w:rsidR="00000000" w:rsidRDefault="00405D16">
            <w:pPr>
              <w:spacing w:after="100"/>
              <w:jc w:val="right"/>
              <w:rPr>
                <w:rFonts w:eastAsia="Times New Roman"/>
              </w:rPr>
            </w:pPr>
            <w:r>
              <w:rPr>
                <w:rFonts w:eastAsia="Times New Roman"/>
                <w:b/>
                <w:bCs/>
                <w:color w:val="000000"/>
                <w:sz w:val="18"/>
                <w:szCs w:val="18"/>
              </w:rPr>
              <w:t>18.33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DF4292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DB55B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B754A0A" w14:textId="77777777" w:rsidR="00000000" w:rsidRDefault="00405D16">
            <w:pPr>
              <w:spacing w:after="100"/>
              <w:jc w:val="right"/>
              <w:rPr>
                <w:rFonts w:eastAsia="Times New Roman"/>
              </w:rPr>
            </w:pPr>
            <w:r>
              <w:rPr>
                <w:rFonts w:eastAsia="Times New Roman"/>
                <w:color w:val="000000"/>
                <w:sz w:val="18"/>
                <w:szCs w:val="18"/>
              </w:rPr>
              <w:t>16.34 </w:t>
            </w:r>
          </w:p>
        </w:tc>
        <w:tc>
          <w:tcPr>
            <w:tcW w:w="0" w:type="auto"/>
            <w:shd w:val="clear" w:color="auto" w:fill="CCEEFF"/>
            <w:tcMar>
              <w:top w:w="30" w:type="dxa"/>
              <w:left w:w="0" w:type="dxa"/>
              <w:bottom w:w="30" w:type="dxa"/>
              <w:right w:w="20" w:type="dxa"/>
            </w:tcMar>
            <w:vAlign w:val="center"/>
            <w:hideMark/>
          </w:tcPr>
          <w:p w14:paraId="6DA650C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74BDE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9A60CFA" w14:textId="77777777" w:rsidR="00000000" w:rsidRDefault="00405D16">
            <w:pPr>
              <w:spacing w:after="100"/>
              <w:jc w:val="right"/>
              <w:rPr>
                <w:rFonts w:eastAsia="Times New Roman"/>
              </w:rPr>
            </w:pPr>
            <w:r>
              <w:rPr>
                <w:rFonts w:eastAsia="Times New Roman"/>
                <w:color w:val="000000"/>
                <w:sz w:val="18"/>
                <w:szCs w:val="18"/>
              </w:rPr>
              <w:t>199 </w:t>
            </w:r>
          </w:p>
        </w:tc>
        <w:tc>
          <w:tcPr>
            <w:tcW w:w="0" w:type="auto"/>
            <w:shd w:val="clear" w:color="auto" w:fill="CCEEFF"/>
            <w:tcMar>
              <w:top w:w="30" w:type="dxa"/>
              <w:left w:w="0" w:type="dxa"/>
              <w:bottom w:w="30" w:type="dxa"/>
              <w:right w:w="20" w:type="dxa"/>
            </w:tcMar>
            <w:vAlign w:val="center"/>
            <w:hideMark/>
          </w:tcPr>
          <w:p w14:paraId="324CA64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944C0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136B9DB" w14:textId="77777777" w:rsidR="00000000" w:rsidRDefault="00405D16">
            <w:pPr>
              <w:spacing w:after="100"/>
              <w:jc w:val="right"/>
              <w:rPr>
                <w:rFonts w:eastAsia="Times New Roman"/>
              </w:rPr>
            </w:pPr>
            <w:r>
              <w:rPr>
                <w:rFonts w:eastAsia="Times New Roman"/>
                <w:b/>
                <w:bCs/>
                <w:color w:val="000000"/>
                <w:sz w:val="18"/>
                <w:szCs w:val="18"/>
              </w:rPr>
              <w:t>17.70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B8501A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9DC16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7109248" w14:textId="77777777" w:rsidR="00000000" w:rsidRDefault="00405D16">
            <w:pPr>
              <w:spacing w:after="100"/>
              <w:jc w:val="right"/>
              <w:rPr>
                <w:rFonts w:eastAsia="Times New Roman"/>
              </w:rPr>
            </w:pPr>
            <w:r>
              <w:rPr>
                <w:rFonts w:eastAsia="Times New Roman"/>
                <w:color w:val="000000"/>
                <w:sz w:val="18"/>
                <w:szCs w:val="18"/>
              </w:rPr>
              <w:t>15.59 </w:t>
            </w:r>
          </w:p>
        </w:tc>
        <w:tc>
          <w:tcPr>
            <w:tcW w:w="0" w:type="auto"/>
            <w:shd w:val="clear" w:color="auto" w:fill="CCEEFF"/>
            <w:tcMar>
              <w:top w:w="30" w:type="dxa"/>
              <w:left w:w="0" w:type="dxa"/>
              <w:bottom w:w="30" w:type="dxa"/>
              <w:right w:w="20" w:type="dxa"/>
            </w:tcMar>
            <w:vAlign w:val="center"/>
            <w:hideMark/>
          </w:tcPr>
          <w:p w14:paraId="51C8D183" w14:textId="77777777" w:rsidR="00000000" w:rsidRDefault="00405D16">
            <w:pPr>
              <w:spacing w:after="100"/>
              <w:jc w:val="right"/>
              <w:rPr>
                <w:rFonts w:eastAsia="Times New Roman"/>
              </w:rPr>
            </w:pPr>
          </w:p>
        </w:tc>
        <w:tc>
          <w:tcPr>
            <w:tcW w:w="0" w:type="auto"/>
            <w:vAlign w:val="center"/>
            <w:hideMark/>
          </w:tcPr>
          <w:p w14:paraId="201A6416" w14:textId="77777777" w:rsidR="00000000" w:rsidRDefault="00405D16">
            <w:pPr>
              <w:spacing w:after="100"/>
              <w:jc w:val="right"/>
              <w:rPr>
                <w:rFonts w:eastAsia="Times New Roman"/>
                <w:sz w:val="20"/>
                <w:szCs w:val="20"/>
              </w:rPr>
            </w:pPr>
          </w:p>
        </w:tc>
        <w:tc>
          <w:tcPr>
            <w:tcW w:w="0" w:type="auto"/>
            <w:vAlign w:val="center"/>
            <w:hideMark/>
          </w:tcPr>
          <w:p w14:paraId="2F7E5D2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C7C396"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3A709FE" w14:textId="77777777" w:rsidR="00000000" w:rsidRDefault="00405D16">
            <w:pPr>
              <w:spacing w:after="100"/>
              <w:jc w:val="right"/>
              <w:rPr>
                <w:rFonts w:eastAsia="Times New Roman"/>
              </w:rPr>
            </w:pPr>
            <w:r>
              <w:rPr>
                <w:rFonts w:eastAsia="Times New Roman"/>
                <w:color w:val="000000"/>
                <w:sz w:val="18"/>
                <w:szCs w:val="18"/>
              </w:rPr>
              <w:t>211 </w:t>
            </w:r>
          </w:p>
        </w:tc>
        <w:tc>
          <w:tcPr>
            <w:tcW w:w="0" w:type="auto"/>
            <w:shd w:val="clear" w:color="auto" w:fill="CCEEFF"/>
            <w:tcMar>
              <w:top w:w="30" w:type="dxa"/>
              <w:left w:w="0" w:type="dxa"/>
              <w:bottom w:w="30" w:type="dxa"/>
              <w:right w:w="20" w:type="dxa"/>
            </w:tcMar>
            <w:vAlign w:val="center"/>
            <w:hideMark/>
          </w:tcPr>
          <w:p w14:paraId="0A37071B" w14:textId="77777777" w:rsidR="00000000" w:rsidRDefault="00405D16">
            <w:pPr>
              <w:spacing w:after="100"/>
              <w:jc w:val="right"/>
              <w:rPr>
                <w:rFonts w:eastAsia="Times New Roman"/>
              </w:rPr>
            </w:pPr>
          </w:p>
        </w:tc>
        <w:tc>
          <w:tcPr>
            <w:tcW w:w="0" w:type="auto"/>
            <w:gridSpan w:val="3"/>
            <w:vAlign w:val="center"/>
            <w:hideMark/>
          </w:tcPr>
          <w:p w14:paraId="7C184243" w14:textId="77777777" w:rsidR="00000000" w:rsidRDefault="00405D16">
            <w:pPr>
              <w:spacing w:after="100"/>
              <w:jc w:val="right"/>
              <w:rPr>
                <w:rFonts w:eastAsia="Times New Roman"/>
                <w:sz w:val="20"/>
                <w:szCs w:val="20"/>
              </w:rPr>
            </w:pPr>
          </w:p>
        </w:tc>
        <w:tc>
          <w:tcPr>
            <w:tcW w:w="0" w:type="auto"/>
            <w:gridSpan w:val="3"/>
            <w:vAlign w:val="center"/>
            <w:hideMark/>
          </w:tcPr>
          <w:p w14:paraId="49B31207" w14:textId="77777777" w:rsidR="00000000" w:rsidRDefault="00405D16">
            <w:pPr>
              <w:spacing w:after="100"/>
              <w:rPr>
                <w:rFonts w:eastAsia="Times New Roman"/>
                <w:sz w:val="20"/>
                <w:szCs w:val="20"/>
              </w:rPr>
            </w:pPr>
          </w:p>
        </w:tc>
      </w:tr>
      <w:tr w:rsidR="00000000" w14:paraId="6F20C42A" w14:textId="77777777">
        <w:trPr>
          <w:divId w:val="494960345"/>
        </w:trPr>
        <w:tc>
          <w:tcPr>
            <w:tcW w:w="0" w:type="auto"/>
            <w:gridSpan w:val="3"/>
            <w:shd w:val="clear" w:color="auto" w:fill="FFFFFF"/>
            <w:tcMar>
              <w:top w:w="30" w:type="dxa"/>
              <w:left w:w="20" w:type="dxa"/>
              <w:bottom w:w="30" w:type="dxa"/>
              <w:right w:w="20" w:type="dxa"/>
            </w:tcMar>
            <w:vAlign w:val="center"/>
            <w:hideMark/>
          </w:tcPr>
          <w:p w14:paraId="01F81134" w14:textId="77777777" w:rsidR="00000000" w:rsidRDefault="00405D16">
            <w:pPr>
              <w:spacing w:after="100"/>
              <w:rPr>
                <w:rFonts w:eastAsia="Times New Roman"/>
              </w:rPr>
            </w:pPr>
            <w:r>
              <w:rPr>
                <w:rFonts w:eastAsia="Times New Roman"/>
                <w:color w:val="000000"/>
                <w:sz w:val="18"/>
                <w:szCs w:val="18"/>
              </w:rPr>
              <w:t>Net charge-offs</w:t>
            </w:r>
          </w:p>
        </w:tc>
        <w:tc>
          <w:tcPr>
            <w:tcW w:w="0" w:type="auto"/>
            <w:gridSpan w:val="3"/>
            <w:shd w:val="clear" w:color="auto" w:fill="FFFFFF"/>
            <w:tcMar>
              <w:top w:w="0" w:type="dxa"/>
              <w:left w:w="20" w:type="dxa"/>
              <w:bottom w:w="0" w:type="dxa"/>
              <w:right w:w="20" w:type="dxa"/>
            </w:tcMar>
            <w:vAlign w:val="center"/>
            <w:hideMark/>
          </w:tcPr>
          <w:p w14:paraId="24B8B8DB"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5D986F8B"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3BFC0B00" w14:textId="77777777" w:rsidR="00000000" w:rsidRDefault="00405D16">
            <w:pPr>
              <w:spacing w:after="100"/>
              <w:jc w:val="right"/>
              <w:rPr>
                <w:rFonts w:eastAsia="Times New Roman"/>
              </w:rPr>
            </w:pPr>
            <w:r>
              <w:rPr>
                <w:rFonts w:eastAsia="Times New Roman"/>
                <w:b/>
                <w:bCs/>
                <w:color w:val="000000"/>
                <w:sz w:val="18"/>
                <w:szCs w:val="18"/>
              </w:rPr>
              <w:t>366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F3EE13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53734B"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E7ADC70"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3A678683" w14:textId="77777777" w:rsidR="00000000" w:rsidRDefault="00405D16">
            <w:pPr>
              <w:spacing w:after="100"/>
              <w:jc w:val="right"/>
              <w:rPr>
                <w:rFonts w:eastAsia="Times New Roman"/>
              </w:rPr>
            </w:pPr>
            <w:r>
              <w:rPr>
                <w:rFonts w:eastAsia="Times New Roman"/>
                <w:color w:val="000000"/>
                <w:sz w:val="18"/>
                <w:szCs w:val="18"/>
              </w:rPr>
              <w:t>943 </w:t>
            </w:r>
          </w:p>
        </w:tc>
        <w:tc>
          <w:tcPr>
            <w:tcW w:w="0" w:type="auto"/>
            <w:shd w:val="clear" w:color="auto" w:fill="FFFFFF"/>
            <w:tcMar>
              <w:top w:w="30" w:type="dxa"/>
              <w:left w:w="0" w:type="dxa"/>
              <w:bottom w:w="30" w:type="dxa"/>
              <w:right w:w="20" w:type="dxa"/>
            </w:tcMar>
            <w:vAlign w:val="center"/>
            <w:hideMark/>
          </w:tcPr>
          <w:p w14:paraId="30A0108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A7DD9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DEBF68A" w14:textId="77777777" w:rsidR="00000000" w:rsidRDefault="00405D16">
            <w:pPr>
              <w:spacing w:after="100"/>
              <w:jc w:val="right"/>
              <w:rPr>
                <w:rFonts w:eastAsia="Times New Roman"/>
              </w:rPr>
            </w:pPr>
            <w:r>
              <w:rPr>
                <w:rFonts w:eastAsia="Times New Roman"/>
                <w:color w:val="000000"/>
                <w:sz w:val="18"/>
                <w:szCs w:val="18"/>
              </w:rPr>
              <w:t>(61)</w:t>
            </w:r>
          </w:p>
        </w:tc>
        <w:tc>
          <w:tcPr>
            <w:tcW w:w="0" w:type="auto"/>
            <w:shd w:val="clear" w:color="auto" w:fill="FFFFFF"/>
            <w:tcMar>
              <w:top w:w="30" w:type="dxa"/>
              <w:left w:w="0" w:type="dxa"/>
              <w:bottom w:w="30" w:type="dxa"/>
              <w:right w:w="20" w:type="dxa"/>
            </w:tcMar>
            <w:vAlign w:val="center"/>
            <w:hideMark/>
          </w:tcPr>
          <w:p w14:paraId="705DF76D"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FEA14FF" w14:textId="77777777" w:rsidR="00000000" w:rsidRDefault="00405D16">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323452FA"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1C602095" w14:textId="77777777" w:rsidR="00000000" w:rsidRDefault="00405D16">
            <w:pPr>
              <w:spacing w:after="100"/>
              <w:jc w:val="right"/>
              <w:rPr>
                <w:rFonts w:eastAsia="Times New Roman"/>
              </w:rPr>
            </w:pPr>
            <w:r>
              <w:rPr>
                <w:rFonts w:eastAsia="Times New Roman"/>
                <w:b/>
                <w:bCs/>
                <w:color w:val="000000"/>
                <w:sz w:val="18"/>
                <w:szCs w:val="18"/>
              </w:rPr>
              <w:t>1,570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ECEACD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C9EDED"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2B988EB"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02C687D3" w14:textId="77777777" w:rsidR="00000000" w:rsidRDefault="00405D16">
            <w:pPr>
              <w:spacing w:after="100"/>
              <w:jc w:val="right"/>
              <w:rPr>
                <w:rFonts w:eastAsia="Times New Roman"/>
              </w:rPr>
            </w:pPr>
            <w:r>
              <w:rPr>
                <w:rFonts w:eastAsia="Times New Roman"/>
                <w:color w:val="000000"/>
                <w:sz w:val="18"/>
                <w:szCs w:val="18"/>
              </w:rPr>
              <w:t>3,590 </w:t>
            </w:r>
          </w:p>
        </w:tc>
        <w:tc>
          <w:tcPr>
            <w:tcW w:w="0" w:type="auto"/>
            <w:shd w:val="clear" w:color="auto" w:fill="FFFFFF"/>
            <w:tcMar>
              <w:top w:w="30" w:type="dxa"/>
              <w:left w:w="0" w:type="dxa"/>
              <w:bottom w:w="30" w:type="dxa"/>
              <w:right w:w="20" w:type="dxa"/>
            </w:tcMar>
            <w:vAlign w:val="center"/>
            <w:hideMark/>
          </w:tcPr>
          <w:p w14:paraId="15556513" w14:textId="77777777" w:rsidR="00000000" w:rsidRDefault="00405D16">
            <w:pPr>
              <w:spacing w:after="100"/>
              <w:jc w:val="right"/>
              <w:rPr>
                <w:rFonts w:eastAsia="Times New Roman"/>
              </w:rPr>
            </w:pPr>
          </w:p>
        </w:tc>
        <w:tc>
          <w:tcPr>
            <w:tcW w:w="0" w:type="auto"/>
            <w:vAlign w:val="center"/>
            <w:hideMark/>
          </w:tcPr>
          <w:p w14:paraId="08133EF5" w14:textId="77777777" w:rsidR="00000000" w:rsidRDefault="00405D16">
            <w:pPr>
              <w:spacing w:after="100"/>
              <w:jc w:val="right"/>
              <w:rPr>
                <w:rFonts w:eastAsia="Times New Roman"/>
                <w:sz w:val="20"/>
                <w:szCs w:val="20"/>
              </w:rPr>
            </w:pPr>
          </w:p>
        </w:tc>
        <w:tc>
          <w:tcPr>
            <w:tcW w:w="0" w:type="auto"/>
            <w:vAlign w:val="center"/>
            <w:hideMark/>
          </w:tcPr>
          <w:p w14:paraId="6562F83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D88309"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D27C730" w14:textId="77777777" w:rsidR="00000000" w:rsidRDefault="00405D16">
            <w:pPr>
              <w:spacing w:after="100"/>
              <w:jc w:val="right"/>
              <w:rPr>
                <w:rFonts w:eastAsia="Times New Roman"/>
              </w:rPr>
            </w:pPr>
            <w:r>
              <w:rPr>
                <w:rFonts w:eastAsia="Times New Roman"/>
                <w:color w:val="000000"/>
                <w:sz w:val="18"/>
                <w:szCs w:val="18"/>
              </w:rPr>
              <w:t>(56)</w:t>
            </w:r>
          </w:p>
        </w:tc>
        <w:tc>
          <w:tcPr>
            <w:tcW w:w="0" w:type="auto"/>
            <w:shd w:val="clear" w:color="auto" w:fill="FFFFFF"/>
            <w:tcMar>
              <w:top w:w="30" w:type="dxa"/>
              <w:left w:w="0" w:type="dxa"/>
              <w:bottom w:w="30" w:type="dxa"/>
              <w:right w:w="20" w:type="dxa"/>
            </w:tcMar>
            <w:vAlign w:val="center"/>
            <w:hideMark/>
          </w:tcPr>
          <w:p w14:paraId="6A114AE3"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3472C720" w14:textId="77777777" w:rsidR="00000000" w:rsidRDefault="00405D16">
            <w:pPr>
              <w:spacing w:after="100"/>
              <w:jc w:val="right"/>
              <w:rPr>
                <w:rFonts w:eastAsia="Times New Roman"/>
              </w:rPr>
            </w:pPr>
          </w:p>
        </w:tc>
        <w:tc>
          <w:tcPr>
            <w:tcW w:w="0" w:type="auto"/>
            <w:gridSpan w:val="3"/>
            <w:vAlign w:val="center"/>
            <w:hideMark/>
          </w:tcPr>
          <w:p w14:paraId="324DD63E" w14:textId="77777777" w:rsidR="00000000" w:rsidRDefault="00405D16">
            <w:pPr>
              <w:spacing w:after="100"/>
              <w:rPr>
                <w:rFonts w:eastAsia="Times New Roman"/>
                <w:sz w:val="20"/>
                <w:szCs w:val="20"/>
              </w:rPr>
            </w:pPr>
          </w:p>
        </w:tc>
      </w:tr>
      <w:tr w:rsidR="00000000" w14:paraId="3810534F" w14:textId="77777777">
        <w:trPr>
          <w:divId w:val="494960345"/>
        </w:trPr>
        <w:tc>
          <w:tcPr>
            <w:tcW w:w="0" w:type="auto"/>
            <w:gridSpan w:val="3"/>
            <w:shd w:val="clear" w:color="auto" w:fill="CCEEFF"/>
            <w:tcMar>
              <w:top w:w="30" w:type="dxa"/>
              <w:left w:w="20" w:type="dxa"/>
              <w:bottom w:w="30" w:type="dxa"/>
              <w:right w:w="20" w:type="dxa"/>
            </w:tcMar>
            <w:vAlign w:val="center"/>
            <w:hideMark/>
          </w:tcPr>
          <w:p w14:paraId="57126F93" w14:textId="77777777" w:rsidR="00000000" w:rsidRDefault="00405D16">
            <w:pPr>
              <w:spacing w:after="100"/>
              <w:rPr>
                <w:rFonts w:eastAsia="Times New Roman"/>
              </w:rPr>
            </w:pPr>
            <w:r>
              <w:rPr>
                <w:rFonts w:eastAsia="Times New Roman"/>
                <w:color w:val="000000"/>
                <w:sz w:val="18"/>
                <w:szCs w:val="18"/>
              </w:rPr>
              <w:t>Net charge-off rate</w:t>
            </w:r>
          </w:p>
        </w:tc>
        <w:tc>
          <w:tcPr>
            <w:tcW w:w="0" w:type="auto"/>
            <w:gridSpan w:val="3"/>
            <w:shd w:val="clear" w:color="auto" w:fill="CCEEFF"/>
            <w:tcMar>
              <w:top w:w="0" w:type="dxa"/>
              <w:left w:w="20" w:type="dxa"/>
              <w:bottom w:w="0" w:type="dxa"/>
              <w:right w:w="20" w:type="dxa"/>
            </w:tcMar>
            <w:vAlign w:val="center"/>
            <w:hideMark/>
          </w:tcPr>
          <w:p w14:paraId="794F3F07"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031ED92" w14:textId="77777777" w:rsidR="00000000" w:rsidRDefault="00405D16">
            <w:pPr>
              <w:spacing w:after="100"/>
              <w:jc w:val="right"/>
              <w:rPr>
                <w:rFonts w:eastAsia="Times New Roman"/>
              </w:rPr>
            </w:pPr>
            <w:r>
              <w:rPr>
                <w:rFonts w:eastAsia="Times New Roman"/>
                <w:b/>
                <w:bCs/>
                <w:color w:val="000000"/>
                <w:sz w:val="18"/>
                <w:szCs w:val="18"/>
              </w:rPr>
              <w:t>1.43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673E7F5"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7968DD3"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5CBC01B" w14:textId="77777777" w:rsidR="00000000" w:rsidRDefault="00405D16">
            <w:pPr>
              <w:spacing w:after="100"/>
              <w:jc w:val="right"/>
              <w:rPr>
                <w:rFonts w:eastAsia="Times New Roman"/>
              </w:rPr>
            </w:pPr>
            <w:r>
              <w:rPr>
                <w:rFonts w:eastAsia="Times New Roman"/>
                <w:color w:val="000000"/>
                <w:sz w:val="18"/>
                <w:szCs w:val="18"/>
              </w:rPr>
              <w:t>3.58 </w:t>
            </w:r>
          </w:p>
        </w:tc>
        <w:tc>
          <w:tcPr>
            <w:tcW w:w="0" w:type="auto"/>
            <w:shd w:val="clear" w:color="auto" w:fill="CCEEFF"/>
            <w:tcMar>
              <w:top w:w="30" w:type="dxa"/>
              <w:left w:w="0" w:type="dxa"/>
              <w:bottom w:w="30" w:type="dxa"/>
              <w:right w:w="20" w:type="dxa"/>
            </w:tcMar>
            <w:vAlign w:val="center"/>
            <w:hideMark/>
          </w:tcPr>
          <w:p w14:paraId="4495873A" w14:textId="77777777" w:rsidR="00000000" w:rsidRDefault="00405D16">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771977C"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BCD3A9A" w14:textId="77777777" w:rsidR="00000000" w:rsidRDefault="00405D16">
            <w:pPr>
              <w:spacing w:after="100"/>
              <w:jc w:val="right"/>
              <w:rPr>
                <w:rFonts w:eastAsia="Times New Roman"/>
              </w:rPr>
            </w:pPr>
            <w:r>
              <w:rPr>
                <w:rFonts w:eastAsia="Times New Roman"/>
                <w:color w:val="000000"/>
                <w:sz w:val="18"/>
                <w:szCs w:val="18"/>
              </w:rPr>
              <w:t>(215)</w:t>
            </w:r>
          </w:p>
        </w:tc>
        <w:tc>
          <w:tcPr>
            <w:tcW w:w="0" w:type="auto"/>
            <w:shd w:val="clear" w:color="auto" w:fill="CCEEFF"/>
            <w:tcMar>
              <w:top w:w="30" w:type="dxa"/>
              <w:left w:w="0" w:type="dxa"/>
              <w:bottom w:w="30" w:type="dxa"/>
              <w:right w:w="20" w:type="dxa"/>
            </w:tcMar>
            <w:vAlign w:val="center"/>
            <w:hideMark/>
          </w:tcPr>
          <w:p w14:paraId="2B4DF585" w14:textId="77777777" w:rsidR="00000000" w:rsidRDefault="00405D16">
            <w:pPr>
              <w:spacing w:after="100"/>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14:paraId="68D0C568"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C321BAC" w14:textId="77777777" w:rsidR="00000000" w:rsidRDefault="00405D16">
            <w:pPr>
              <w:spacing w:after="100"/>
              <w:jc w:val="right"/>
              <w:rPr>
                <w:rFonts w:eastAsia="Times New Roman"/>
              </w:rPr>
            </w:pPr>
            <w:r>
              <w:rPr>
                <w:rFonts w:eastAsia="Times New Roman"/>
                <w:b/>
                <w:bCs/>
                <w:color w:val="000000"/>
                <w:sz w:val="18"/>
                <w:szCs w:val="18"/>
              </w:rPr>
              <w:t>2.08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95C56C0"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678BF3F"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14D8FE7" w14:textId="77777777" w:rsidR="00000000" w:rsidRDefault="00405D16">
            <w:pPr>
              <w:spacing w:after="100"/>
              <w:jc w:val="right"/>
              <w:rPr>
                <w:rFonts w:eastAsia="Times New Roman"/>
              </w:rPr>
            </w:pPr>
            <w:r>
              <w:rPr>
                <w:rFonts w:eastAsia="Times New Roman"/>
                <w:color w:val="000000"/>
                <w:sz w:val="18"/>
                <w:szCs w:val="18"/>
              </w:rPr>
              <w:t>4.26 </w:t>
            </w:r>
          </w:p>
        </w:tc>
        <w:tc>
          <w:tcPr>
            <w:tcW w:w="0" w:type="auto"/>
            <w:shd w:val="clear" w:color="auto" w:fill="CCEEFF"/>
            <w:tcMar>
              <w:top w:w="30" w:type="dxa"/>
              <w:left w:w="0" w:type="dxa"/>
              <w:bottom w:w="30" w:type="dxa"/>
              <w:right w:w="20" w:type="dxa"/>
            </w:tcMar>
            <w:vAlign w:val="center"/>
            <w:hideMark/>
          </w:tcPr>
          <w:p w14:paraId="77967DB6" w14:textId="77777777" w:rsidR="00000000" w:rsidRDefault="00405D16">
            <w:pPr>
              <w:spacing w:after="100"/>
              <w:jc w:val="right"/>
              <w:rPr>
                <w:rFonts w:eastAsia="Times New Roman"/>
              </w:rPr>
            </w:pPr>
            <w:r>
              <w:rPr>
                <w:rFonts w:eastAsia="Times New Roman"/>
                <w:color w:val="000000"/>
                <w:sz w:val="18"/>
                <w:szCs w:val="18"/>
              </w:rPr>
              <w:t>%</w:t>
            </w:r>
          </w:p>
        </w:tc>
        <w:tc>
          <w:tcPr>
            <w:tcW w:w="0" w:type="auto"/>
            <w:vAlign w:val="center"/>
            <w:hideMark/>
          </w:tcPr>
          <w:p w14:paraId="6361A56D" w14:textId="77777777" w:rsidR="00000000" w:rsidRDefault="00405D16">
            <w:pPr>
              <w:spacing w:after="100"/>
              <w:jc w:val="right"/>
              <w:rPr>
                <w:rFonts w:eastAsia="Times New Roman"/>
              </w:rPr>
            </w:pPr>
          </w:p>
        </w:tc>
        <w:tc>
          <w:tcPr>
            <w:tcW w:w="0" w:type="auto"/>
            <w:vAlign w:val="center"/>
            <w:hideMark/>
          </w:tcPr>
          <w:p w14:paraId="34143F9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D90490"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B90C754" w14:textId="77777777" w:rsidR="00000000" w:rsidRDefault="00405D16">
            <w:pPr>
              <w:spacing w:after="100"/>
              <w:jc w:val="right"/>
              <w:rPr>
                <w:rFonts w:eastAsia="Times New Roman"/>
              </w:rPr>
            </w:pPr>
            <w:r>
              <w:rPr>
                <w:rFonts w:eastAsia="Times New Roman"/>
                <w:color w:val="000000"/>
                <w:sz w:val="18"/>
                <w:szCs w:val="18"/>
              </w:rPr>
              <w:t>(218)</w:t>
            </w:r>
          </w:p>
        </w:tc>
        <w:tc>
          <w:tcPr>
            <w:tcW w:w="0" w:type="auto"/>
            <w:shd w:val="clear" w:color="auto" w:fill="CCEEFF"/>
            <w:tcMar>
              <w:top w:w="30" w:type="dxa"/>
              <w:left w:w="0" w:type="dxa"/>
              <w:bottom w:w="30" w:type="dxa"/>
              <w:right w:w="20" w:type="dxa"/>
            </w:tcMar>
            <w:vAlign w:val="center"/>
            <w:hideMark/>
          </w:tcPr>
          <w:p w14:paraId="6C3BB223" w14:textId="77777777" w:rsidR="00000000" w:rsidRDefault="00405D16">
            <w:pPr>
              <w:spacing w:after="100"/>
              <w:jc w:val="right"/>
              <w:rPr>
                <w:rFonts w:eastAsia="Times New Roman"/>
              </w:rPr>
            </w:pPr>
            <w:r>
              <w:rPr>
                <w:rFonts w:eastAsia="Times New Roman"/>
                <w:color w:val="000000"/>
                <w:sz w:val="18"/>
                <w:szCs w:val="18"/>
              </w:rPr>
              <w:t>bps</w:t>
            </w:r>
          </w:p>
        </w:tc>
        <w:tc>
          <w:tcPr>
            <w:tcW w:w="0" w:type="auto"/>
            <w:gridSpan w:val="3"/>
            <w:vAlign w:val="center"/>
            <w:hideMark/>
          </w:tcPr>
          <w:p w14:paraId="492DD3A3" w14:textId="77777777" w:rsidR="00000000" w:rsidRDefault="00405D16">
            <w:pPr>
              <w:spacing w:after="100"/>
              <w:jc w:val="right"/>
              <w:rPr>
                <w:rFonts w:eastAsia="Times New Roman"/>
              </w:rPr>
            </w:pPr>
          </w:p>
        </w:tc>
        <w:tc>
          <w:tcPr>
            <w:tcW w:w="0" w:type="auto"/>
            <w:gridSpan w:val="3"/>
            <w:vAlign w:val="center"/>
            <w:hideMark/>
          </w:tcPr>
          <w:p w14:paraId="7E1CF5D8" w14:textId="77777777" w:rsidR="00000000" w:rsidRDefault="00405D16">
            <w:pPr>
              <w:spacing w:after="100"/>
              <w:rPr>
                <w:rFonts w:eastAsia="Times New Roman"/>
                <w:sz w:val="20"/>
                <w:szCs w:val="20"/>
              </w:rPr>
            </w:pPr>
          </w:p>
        </w:tc>
      </w:tr>
      <w:tr w:rsidR="00000000" w14:paraId="396A5458" w14:textId="77777777">
        <w:trPr>
          <w:divId w:val="494960345"/>
        </w:trPr>
        <w:tc>
          <w:tcPr>
            <w:tcW w:w="0" w:type="auto"/>
            <w:gridSpan w:val="3"/>
            <w:shd w:val="clear" w:color="auto" w:fill="FFFFFF"/>
            <w:tcMar>
              <w:top w:w="30" w:type="dxa"/>
              <w:left w:w="20" w:type="dxa"/>
              <w:bottom w:w="30" w:type="dxa"/>
              <w:right w:w="20" w:type="dxa"/>
            </w:tcMar>
            <w:vAlign w:val="center"/>
            <w:hideMark/>
          </w:tcPr>
          <w:p w14:paraId="6558D0A5" w14:textId="77777777" w:rsidR="00000000" w:rsidRDefault="00405D16">
            <w:pPr>
              <w:spacing w:after="100"/>
              <w:rPr>
                <w:rFonts w:eastAsia="Times New Roman"/>
              </w:rPr>
            </w:pPr>
            <w:r>
              <w:rPr>
                <w:rFonts w:eastAsia="Times New Roman"/>
                <w:color w:val="000000"/>
                <w:sz w:val="18"/>
                <w:szCs w:val="18"/>
              </w:rPr>
              <w:t>Purchase volume</w:t>
            </w:r>
          </w:p>
        </w:tc>
        <w:tc>
          <w:tcPr>
            <w:tcW w:w="0" w:type="auto"/>
            <w:gridSpan w:val="3"/>
            <w:shd w:val="clear" w:color="auto" w:fill="FFFFFF"/>
            <w:tcMar>
              <w:top w:w="0" w:type="dxa"/>
              <w:left w:w="20" w:type="dxa"/>
              <w:bottom w:w="0" w:type="dxa"/>
              <w:right w:w="20" w:type="dxa"/>
            </w:tcMar>
            <w:vAlign w:val="center"/>
            <w:hideMark/>
          </w:tcPr>
          <w:p w14:paraId="1B4926B5"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605E9C48"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289E6EA5" w14:textId="77777777" w:rsidR="00000000" w:rsidRDefault="00405D16">
            <w:pPr>
              <w:spacing w:after="100"/>
              <w:jc w:val="right"/>
              <w:rPr>
                <w:rFonts w:eastAsia="Times New Roman"/>
              </w:rPr>
            </w:pPr>
            <w:r>
              <w:rPr>
                <w:rFonts w:eastAsia="Times New Roman"/>
                <w:b/>
                <w:bCs/>
                <w:color w:val="000000"/>
                <w:sz w:val="18"/>
                <w:szCs w:val="18"/>
              </w:rPr>
              <w:t>136,614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107666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F0CC5E"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7DD2682"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7A1B4CDF" w14:textId="77777777" w:rsidR="00000000" w:rsidRDefault="00405D16">
            <w:pPr>
              <w:spacing w:after="100"/>
              <w:jc w:val="right"/>
              <w:rPr>
                <w:rFonts w:eastAsia="Times New Roman"/>
              </w:rPr>
            </w:pPr>
            <w:r>
              <w:rPr>
                <w:rFonts w:eastAsia="Times New Roman"/>
                <w:color w:val="000000"/>
                <w:sz w:val="18"/>
                <w:szCs w:val="18"/>
              </w:rPr>
              <w:t>107,102 </w:t>
            </w:r>
          </w:p>
        </w:tc>
        <w:tc>
          <w:tcPr>
            <w:tcW w:w="0" w:type="auto"/>
            <w:shd w:val="clear" w:color="auto" w:fill="FFFFFF"/>
            <w:tcMar>
              <w:top w:w="30" w:type="dxa"/>
              <w:left w:w="0" w:type="dxa"/>
              <w:bottom w:w="30" w:type="dxa"/>
              <w:right w:w="20" w:type="dxa"/>
            </w:tcMar>
            <w:vAlign w:val="center"/>
            <w:hideMark/>
          </w:tcPr>
          <w:p w14:paraId="04610CC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33512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DBD4DD6" w14:textId="77777777" w:rsidR="00000000" w:rsidRDefault="00405D16">
            <w:pPr>
              <w:spacing w:after="100"/>
              <w:jc w:val="right"/>
              <w:rPr>
                <w:rFonts w:eastAsia="Times New Roman"/>
              </w:rPr>
            </w:pPr>
            <w:r>
              <w:rPr>
                <w:rFonts w:eastAsia="Times New Roman"/>
                <w:color w:val="000000"/>
                <w:sz w:val="18"/>
                <w:szCs w:val="18"/>
              </w:rPr>
              <w:t>28 </w:t>
            </w:r>
          </w:p>
        </w:tc>
        <w:tc>
          <w:tcPr>
            <w:tcW w:w="0" w:type="auto"/>
            <w:shd w:val="clear" w:color="auto" w:fill="FFFFFF"/>
            <w:tcMar>
              <w:top w:w="30" w:type="dxa"/>
              <w:left w:w="0" w:type="dxa"/>
              <w:bottom w:w="30" w:type="dxa"/>
              <w:right w:w="20" w:type="dxa"/>
            </w:tcMar>
            <w:vAlign w:val="center"/>
            <w:hideMark/>
          </w:tcPr>
          <w:p w14:paraId="225FF092"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59CE51C" w14:textId="77777777" w:rsidR="00000000" w:rsidRDefault="00405D16">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7F0E355D"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5F223AF4" w14:textId="77777777" w:rsidR="00000000" w:rsidRDefault="00405D16">
            <w:pPr>
              <w:spacing w:after="100"/>
              <w:jc w:val="right"/>
              <w:rPr>
                <w:rFonts w:eastAsia="Times New Roman"/>
              </w:rPr>
            </w:pPr>
            <w:r>
              <w:rPr>
                <w:rFonts w:eastAsia="Times New Roman"/>
                <w:b/>
                <w:bCs/>
                <w:color w:val="000000"/>
                <w:sz w:val="18"/>
                <w:szCs w:val="18"/>
              </w:rPr>
              <w:t>377,623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F3C7A6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2FCFFB"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B4A8382"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54A3FC53" w14:textId="77777777" w:rsidR="00000000" w:rsidRDefault="00405D16">
            <w:pPr>
              <w:spacing w:after="100"/>
              <w:jc w:val="right"/>
              <w:rPr>
                <w:rFonts w:eastAsia="Times New Roman"/>
              </w:rPr>
            </w:pPr>
            <w:r>
              <w:rPr>
                <w:rFonts w:eastAsia="Times New Roman"/>
                <w:color w:val="000000"/>
                <w:sz w:val="18"/>
                <w:szCs w:val="18"/>
              </w:rPr>
              <w:t>297,171 </w:t>
            </w:r>
          </w:p>
        </w:tc>
        <w:tc>
          <w:tcPr>
            <w:tcW w:w="0" w:type="auto"/>
            <w:shd w:val="clear" w:color="auto" w:fill="FFFFFF"/>
            <w:tcMar>
              <w:top w:w="30" w:type="dxa"/>
              <w:left w:w="0" w:type="dxa"/>
              <w:bottom w:w="30" w:type="dxa"/>
              <w:right w:w="20" w:type="dxa"/>
            </w:tcMar>
            <w:vAlign w:val="center"/>
            <w:hideMark/>
          </w:tcPr>
          <w:p w14:paraId="3213DDC9" w14:textId="77777777" w:rsidR="00000000" w:rsidRDefault="00405D16">
            <w:pPr>
              <w:spacing w:after="100"/>
              <w:jc w:val="right"/>
              <w:rPr>
                <w:rFonts w:eastAsia="Times New Roman"/>
              </w:rPr>
            </w:pPr>
          </w:p>
        </w:tc>
        <w:tc>
          <w:tcPr>
            <w:tcW w:w="0" w:type="auto"/>
            <w:vAlign w:val="center"/>
            <w:hideMark/>
          </w:tcPr>
          <w:p w14:paraId="3F30357F" w14:textId="77777777" w:rsidR="00000000" w:rsidRDefault="00405D16">
            <w:pPr>
              <w:spacing w:after="100"/>
              <w:jc w:val="right"/>
              <w:rPr>
                <w:rFonts w:eastAsia="Times New Roman"/>
                <w:sz w:val="20"/>
                <w:szCs w:val="20"/>
              </w:rPr>
            </w:pPr>
          </w:p>
        </w:tc>
        <w:tc>
          <w:tcPr>
            <w:tcW w:w="0" w:type="auto"/>
            <w:vAlign w:val="center"/>
            <w:hideMark/>
          </w:tcPr>
          <w:p w14:paraId="37811BE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196EA5"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DB6B371" w14:textId="77777777" w:rsidR="00000000" w:rsidRDefault="00405D16">
            <w:pPr>
              <w:spacing w:after="100"/>
              <w:jc w:val="right"/>
              <w:rPr>
                <w:rFonts w:eastAsia="Times New Roman"/>
              </w:rPr>
            </w:pPr>
            <w:r>
              <w:rPr>
                <w:rFonts w:eastAsia="Times New Roman"/>
                <w:color w:val="000000"/>
                <w:sz w:val="18"/>
                <w:szCs w:val="18"/>
              </w:rPr>
              <w:t>27 </w:t>
            </w:r>
          </w:p>
        </w:tc>
        <w:tc>
          <w:tcPr>
            <w:tcW w:w="0" w:type="auto"/>
            <w:shd w:val="clear" w:color="auto" w:fill="FFFFFF"/>
            <w:tcMar>
              <w:top w:w="30" w:type="dxa"/>
              <w:left w:w="0" w:type="dxa"/>
              <w:bottom w:w="30" w:type="dxa"/>
              <w:right w:w="20" w:type="dxa"/>
            </w:tcMar>
            <w:vAlign w:val="center"/>
            <w:hideMark/>
          </w:tcPr>
          <w:p w14:paraId="250EC780"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43083DFC" w14:textId="77777777" w:rsidR="00000000" w:rsidRDefault="00405D16">
            <w:pPr>
              <w:spacing w:after="100"/>
              <w:jc w:val="right"/>
              <w:rPr>
                <w:rFonts w:eastAsia="Times New Roman"/>
              </w:rPr>
            </w:pPr>
          </w:p>
        </w:tc>
        <w:tc>
          <w:tcPr>
            <w:tcW w:w="0" w:type="auto"/>
            <w:gridSpan w:val="3"/>
            <w:vAlign w:val="center"/>
            <w:hideMark/>
          </w:tcPr>
          <w:p w14:paraId="2E3EC723" w14:textId="77777777" w:rsidR="00000000" w:rsidRDefault="00405D16">
            <w:pPr>
              <w:spacing w:after="100"/>
              <w:rPr>
                <w:rFonts w:eastAsia="Times New Roman"/>
                <w:sz w:val="20"/>
                <w:szCs w:val="20"/>
              </w:rPr>
            </w:pPr>
          </w:p>
        </w:tc>
      </w:tr>
      <w:tr w:rsidR="00000000" w14:paraId="07178127" w14:textId="77777777">
        <w:trPr>
          <w:divId w:val="494960345"/>
          <w:trHeight w:val="240"/>
        </w:trPr>
        <w:tc>
          <w:tcPr>
            <w:tcW w:w="0" w:type="auto"/>
            <w:gridSpan w:val="3"/>
            <w:tcMar>
              <w:top w:w="0" w:type="dxa"/>
              <w:left w:w="20" w:type="dxa"/>
              <w:bottom w:w="0" w:type="dxa"/>
              <w:right w:w="20" w:type="dxa"/>
            </w:tcMar>
            <w:vAlign w:val="center"/>
            <w:hideMark/>
          </w:tcPr>
          <w:p w14:paraId="3F328A83"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F89591"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B8E8437"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572EFB9"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5635975"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F6BC1C1"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3F50AD0"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AACB796"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F0BD027"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33D6020"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49DA469" w14:textId="77777777" w:rsidR="00000000" w:rsidRDefault="00405D16">
            <w:pPr>
              <w:spacing w:after="100"/>
              <w:rPr>
                <w:rFonts w:eastAsia="Times New Roman"/>
                <w:sz w:val="20"/>
                <w:szCs w:val="20"/>
              </w:rPr>
            </w:pPr>
          </w:p>
        </w:tc>
        <w:tc>
          <w:tcPr>
            <w:tcW w:w="0" w:type="auto"/>
            <w:vAlign w:val="center"/>
            <w:hideMark/>
          </w:tcPr>
          <w:p w14:paraId="6EB9227D" w14:textId="77777777" w:rsidR="00000000" w:rsidRDefault="00405D16">
            <w:pPr>
              <w:spacing w:after="100"/>
              <w:rPr>
                <w:rFonts w:eastAsia="Times New Roman"/>
                <w:sz w:val="20"/>
                <w:szCs w:val="20"/>
              </w:rPr>
            </w:pPr>
          </w:p>
        </w:tc>
        <w:tc>
          <w:tcPr>
            <w:tcW w:w="0" w:type="auto"/>
            <w:vAlign w:val="center"/>
            <w:hideMark/>
          </w:tcPr>
          <w:p w14:paraId="4F6D0727"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4B832D2"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98258FD" w14:textId="77777777" w:rsidR="00000000" w:rsidRDefault="00405D16">
            <w:pPr>
              <w:spacing w:after="100"/>
              <w:rPr>
                <w:rFonts w:eastAsia="Times New Roman"/>
                <w:sz w:val="20"/>
                <w:szCs w:val="20"/>
              </w:rPr>
            </w:pPr>
          </w:p>
        </w:tc>
        <w:tc>
          <w:tcPr>
            <w:tcW w:w="0" w:type="auto"/>
            <w:gridSpan w:val="3"/>
            <w:vAlign w:val="center"/>
            <w:hideMark/>
          </w:tcPr>
          <w:p w14:paraId="289CAC51" w14:textId="77777777" w:rsidR="00000000" w:rsidRDefault="00405D16">
            <w:pPr>
              <w:spacing w:after="100"/>
              <w:rPr>
                <w:rFonts w:eastAsia="Times New Roman"/>
                <w:sz w:val="20"/>
                <w:szCs w:val="20"/>
              </w:rPr>
            </w:pPr>
          </w:p>
        </w:tc>
        <w:tc>
          <w:tcPr>
            <w:tcW w:w="0" w:type="auto"/>
            <w:gridSpan w:val="3"/>
            <w:vAlign w:val="center"/>
            <w:hideMark/>
          </w:tcPr>
          <w:p w14:paraId="1D8B6111" w14:textId="77777777" w:rsidR="00000000" w:rsidRDefault="00405D16">
            <w:pPr>
              <w:spacing w:after="100"/>
              <w:rPr>
                <w:rFonts w:eastAsia="Times New Roman"/>
                <w:sz w:val="20"/>
                <w:szCs w:val="20"/>
              </w:rPr>
            </w:pPr>
          </w:p>
        </w:tc>
      </w:tr>
      <w:tr w:rsidR="00000000" w14:paraId="68DDF81D" w14:textId="77777777">
        <w:trPr>
          <w:divId w:val="494960345"/>
        </w:trPr>
        <w:tc>
          <w:tcPr>
            <w:tcW w:w="0" w:type="auto"/>
            <w:gridSpan w:val="3"/>
            <w:tcMar>
              <w:top w:w="30" w:type="dxa"/>
              <w:left w:w="20" w:type="dxa"/>
              <w:bottom w:w="30" w:type="dxa"/>
              <w:right w:w="20" w:type="dxa"/>
            </w:tcMar>
            <w:vAlign w:val="bottom"/>
            <w:hideMark/>
          </w:tcPr>
          <w:p w14:paraId="2BC25C95" w14:textId="77777777" w:rsidR="00000000" w:rsidRDefault="00405D16">
            <w:pPr>
              <w:spacing w:after="100"/>
              <w:rPr>
                <w:rFonts w:eastAsia="Times New Roman"/>
              </w:rPr>
            </w:pPr>
            <w:r>
              <w:rPr>
                <w:rFonts w:eastAsia="Times New Roman"/>
                <w:i/>
                <w:iCs/>
                <w:color w:val="000000"/>
                <w:sz w:val="16"/>
                <w:szCs w:val="16"/>
              </w:rPr>
              <w:t>(Dollars in millions, except as noted)</w:t>
            </w:r>
          </w:p>
        </w:tc>
        <w:tc>
          <w:tcPr>
            <w:tcW w:w="0" w:type="auto"/>
            <w:gridSpan w:val="3"/>
            <w:tcMar>
              <w:top w:w="0" w:type="dxa"/>
              <w:left w:w="20" w:type="dxa"/>
              <w:bottom w:w="0" w:type="dxa"/>
              <w:right w:w="20" w:type="dxa"/>
            </w:tcMar>
            <w:vAlign w:val="center"/>
            <w:hideMark/>
          </w:tcPr>
          <w:p w14:paraId="5A66886F" w14:textId="77777777" w:rsidR="00000000" w:rsidRDefault="00405D16">
            <w:pPr>
              <w:spacing w:after="100"/>
              <w:rPr>
                <w:rFonts w:eastAsia="Times New Roman"/>
              </w:rPr>
            </w:pPr>
          </w:p>
        </w:tc>
        <w:tc>
          <w:tcPr>
            <w:tcW w:w="0" w:type="auto"/>
            <w:gridSpan w:val="3"/>
            <w:tcMar>
              <w:top w:w="30" w:type="dxa"/>
              <w:left w:w="20" w:type="dxa"/>
              <w:bottom w:w="30" w:type="dxa"/>
              <w:right w:w="20" w:type="dxa"/>
            </w:tcMar>
            <w:vAlign w:val="bottom"/>
            <w:hideMark/>
          </w:tcPr>
          <w:p w14:paraId="2A8CEF08" w14:textId="77777777" w:rsidR="00000000" w:rsidRDefault="00405D16">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14:paraId="7BBABE2D"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61EADFF" w14:textId="77777777" w:rsidR="00000000" w:rsidRDefault="00405D16">
            <w:pPr>
              <w:spacing w:after="100"/>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14:paraId="2205EDF9"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887373B" w14:textId="77777777" w:rsidR="00000000" w:rsidRDefault="00405D16">
            <w:pPr>
              <w:spacing w:after="100"/>
              <w:jc w:val="center"/>
              <w:rPr>
                <w:rFonts w:eastAsia="Times New Roman"/>
              </w:rPr>
            </w:pPr>
            <w:r>
              <w:rPr>
                <w:rFonts w:eastAsia="Times New Roman"/>
                <w:b/>
                <w:bCs/>
                <w:color w:val="000000"/>
                <w:sz w:val="16"/>
                <w:szCs w:val="16"/>
              </w:rPr>
              <w:t>Change</w:t>
            </w:r>
          </w:p>
        </w:tc>
        <w:tc>
          <w:tcPr>
            <w:tcW w:w="0" w:type="auto"/>
            <w:gridSpan w:val="3"/>
            <w:tcMar>
              <w:top w:w="0" w:type="dxa"/>
              <w:left w:w="20" w:type="dxa"/>
              <w:bottom w:w="0" w:type="dxa"/>
              <w:right w:w="20" w:type="dxa"/>
            </w:tcMar>
            <w:vAlign w:val="center"/>
            <w:hideMark/>
          </w:tcPr>
          <w:p w14:paraId="565EC11A" w14:textId="77777777" w:rsidR="00000000" w:rsidRDefault="00405D1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C22E727"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20A7B71"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2E6156" w14:textId="77777777" w:rsidR="00000000" w:rsidRDefault="00405D16">
            <w:pPr>
              <w:spacing w:after="100"/>
              <w:rPr>
                <w:rFonts w:eastAsia="Times New Roman"/>
                <w:sz w:val="20"/>
                <w:szCs w:val="20"/>
              </w:rPr>
            </w:pPr>
          </w:p>
        </w:tc>
        <w:tc>
          <w:tcPr>
            <w:tcW w:w="0" w:type="auto"/>
            <w:vAlign w:val="center"/>
            <w:hideMark/>
          </w:tcPr>
          <w:p w14:paraId="2958FE6E" w14:textId="77777777" w:rsidR="00000000" w:rsidRDefault="00405D16">
            <w:pPr>
              <w:spacing w:after="100"/>
              <w:rPr>
                <w:rFonts w:eastAsia="Times New Roman"/>
                <w:sz w:val="20"/>
                <w:szCs w:val="20"/>
              </w:rPr>
            </w:pPr>
          </w:p>
        </w:tc>
        <w:tc>
          <w:tcPr>
            <w:tcW w:w="0" w:type="auto"/>
            <w:vAlign w:val="center"/>
            <w:hideMark/>
          </w:tcPr>
          <w:p w14:paraId="562581CC"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F16604"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2E3B1C6" w14:textId="77777777" w:rsidR="00000000" w:rsidRDefault="00405D16">
            <w:pPr>
              <w:spacing w:after="100"/>
              <w:rPr>
                <w:rFonts w:eastAsia="Times New Roman"/>
                <w:sz w:val="20"/>
                <w:szCs w:val="20"/>
              </w:rPr>
            </w:pPr>
          </w:p>
        </w:tc>
        <w:tc>
          <w:tcPr>
            <w:tcW w:w="0" w:type="auto"/>
            <w:gridSpan w:val="3"/>
            <w:vAlign w:val="center"/>
            <w:hideMark/>
          </w:tcPr>
          <w:p w14:paraId="7427B864" w14:textId="77777777" w:rsidR="00000000" w:rsidRDefault="00405D16">
            <w:pPr>
              <w:spacing w:after="100"/>
              <w:rPr>
                <w:rFonts w:eastAsia="Times New Roman"/>
                <w:sz w:val="20"/>
                <w:szCs w:val="20"/>
              </w:rPr>
            </w:pPr>
          </w:p>
        </w:tc>
        <w:tc>
          <w:tcPr>
            <w:tcW w:w="0" w:type="auto"/>
            <w:gridSpan w:val="3"/>
            <w:vAlign w:val="center"/>
            <w:hideMark/>
          </w:tcPr>
          <w:p w14:paraId="32D9CEC4" w14:textId="77777777" w:rsidR="00000000" w:rsidRDefault="00405D16">
            <w:pPr>
              <w:spacing w:after="100"/>
              <w:rPr>
                <w:rFonts w:eastAsia="Times New Roman"/>
                <w:sz w:val="20"/>
                <w:szCs w:val="20"/>
              </w:rPr>
            </w:pPr>
          </w:p>
        </w:tc>
      </w:tr>
      <w:tr w:rsidR="00000000" w14:paraId="4844CA1A" w14:textId="77777777">
        <w:trPr>
          <w:divId w:val="49496034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684523E" w14:textId="77777777" w:rsidR="00000000" w:rsidRDefault="00405D16">
            <w:pPr>
              <w:spacing w:after="100"/>
              <w:rPr>
                <w:rFonts w:eastAsia="Times New Roman"/>
              </w:rPr>
            </w:pPr>
            <w:r>
              <w:rPr>
                <w:rFonts w:eastAsia="Times New Roman"/>
                <w:b/>
                <w:bCs/>
                <w:color w:val="000000"/>
                <w:sz w:val="18"/>
                <w:szCs w:val="18"/>
              </w:rPr>
              <w:t>Selected period-end data:</w:t>
            </w:r>
          </w:p>
        </w:tc>
        <w:tc>
          <w:tcPr>
            <w:tcW w:w="0" w:type="auto"/>
            <w:gridSpan w:val="3"/>
            <w:shd w:val="clear" w:color="auto" w:fill="CCEEFF"/>
            <w:tcMar>
              <w:top w:w="0" w:type="dxa"/>
              <w:left w:w="20" w:type="dxa"/>
              <w:bottom w:w="0" w:type="dxa"/>
              <w:right w:w="20" w:type="dxa"/>
            </w:tcMar>
            <w:vAlign w:val="center"/>
            <w:hideMark/>
          </w:tcPr>
          <w:p w14:paraId="3D53E8F8"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1D40C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4A94C5"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039FCD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A4C10E"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A8F1BD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2BE29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A0B2B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F5EE7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CA94CA" w14:textId="77777777" w:rsidR="00000000" w:rsidRDefault="00405D16">
            <w:pPr>
              <w:spacing w:after="100"/>
              <w:rPr>
                <w:rFonts w:eastAsia="Times New Roman"/>
                <w:sz w:val="20"/>
                <w:szCs w:val="20"/>
              </w:rPr>
            </w:pPr>
          </w:p>
        </w:tc>
        <w:tc>
          <w:tcPr>
            <w:tcW w:w="0" w:type="auto"/>
            <w:vAlign w:val="center"/>
            <w:hideMark/>
          </w:tcPr>
          <w:p w14:paraId="23BAD463" w14:textId="77777777" w:rsidR="00000000" w:rsidRDefault="00405D16">
            <w:pPr>
              <w:spacing w:after="100"/>
              <w:rPr>
                <w:rFonts w:eastAsia="Times New Roman"/>
                <w:sz w:val="20"/>
                <w:szCs w:val="20"/>
              </w:rPr>
            </w:pPr>
          </w:p>
        </w:tc>
        <w:tc>
          <w:tcPr>
            <w:tcW w:w="0" w:type="auto"/>
            <w:vAlign w:val="center"/>
            <w:hideMark/>
          </w:tcPr>
          <w:p w14:paraId="5172ACF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63234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4D2B90" w14:textId="77777777" w:rsidR="00000000" w:rsidRDefault="00405D16">
            <w:pPr>
              <w:spacing w:after="100"/>
              <w:rPr>
                <w:rFonts w:eastAsia="Times New Roman"/>
                <w:sz w:val="20"/>
                <w:szCs w:val="20"/>
              </w:rPr>
            </w:pPr>
          </w:p>
        </w:tc>
        <w:tc>
          <w:tcPr>
            <w:tcW w:w="0" w:type="auto"/>
            <w:gridSpan w:val="3"/>
            <w:vAlign w:val="center"/>
            <w:hideMark/>
          </w:tcPr>
          <w:p w14:paraId="388D2C2C" w14:textId="77777777" w:rsidR="00000000" w:rsidRDefault="00405D16">
            <w:pPr>
              <w:spacing w:after="100"/>
              <w:rPr>
                <w:rFonts w:eastAsia="Times New Roman"/>
                <w:sz w:val="20"/>
                <w:szCs w:val="20"/>
              </w:rPr>
            </w:pPr>
          </w:p>
        </w:tc>
        <w:tc>
          <w:tcPr>
            <w:tcW w:w="0" w:type="auto"/>
            <w:gridSpan w:val="3"/>
            <w:vAlign w:val="center"/>
            <w:hideMark/>
          </w:tcPr>
          <w:p w14:paraId="1AE46D60" w14:textId="77777777" w:rsidR="00000000" w:rsidRDefault="00405D16">
            <w:pPr>
              <w:spacing w:after="100"/>
              <w:rPr>
                <w:rFonts w:eastAsia="Times New Roman"/>
                <w:sz w:val="20"/>
                <w:szCs w:val="20"/>
              </w:rPr>
            </w:pPr>
          </w:p>
        </w:tc>
      </w:tr>
      <w:tr w:rsidR="00000000" w14:paraId="39EDAEE3" w14:textId="77777777">
        <w:trPr>
          <w:divId w:val="494960345"/>
        </w:trPr>
        <w:tc>
          <w:tcPr>
            <w:tcW w:w="0" w:type="auto"/>
            <w:gridSpan w:val="3"/>
            <w:tcMar>
              <w:top w:w="30" w:type="dxa"/>
              <w:left w:w="20" w:type="dxa"/>
              <w:bottom w:w="30" w:type="dxa"/>
              <w:right w:w="20" w:type="dxa"/>
            </w:tcMar>
            <w:vAlign w:val="center"/>
            <w:hideMark/>
          </w:tcPr>
          <w:p w14:paraId="120A1333" w14:textId="77777777" w:rsidR="00000000" w:rsidRDefault="00405D16">
            <w:pPr>
              <w:spacing w:after="100"/>
              <w:rPr>
                <w:rFonts w:eastAsia="Times New Roman"/>
              </w:rPr>
            </w:pPr>
            <w:r>
              <w:rPr>
                <w:rFonts w:eastAsia="Times New Roman"/>
                <w:color w:val="000000"/>
                <w:sz w:val="18"/>
                <w:szCs w:val="18"/>
              </w:rPr>
              <w:t>Loans held for investment</w:t>
            </w:r>
          </w:p>
        </w:tc>
        <w:tc>
          <w:tcPr>
            <w:tcW w:w="0" w:type="auto"/>
            <w:gridSpan w:val="3"/>
            <w:tcMar>
              <w:top w:w="0" w:type="dxa"/>
              <w:left w:w="20" w:type="dxa"/>
              <w:bottom w:w="0" w:type="dxa"/>
              <w:right w:w="20" w:type="dxa"/>
            </w:tcMar>
            <w:vAlign w:val="center"/>
            <w:hideMark/>
          </w:tcPr>
          <w:p w14:paraId="278F5782" w14:textId="77777777" w:rsidR="00000000" w:rsidRDefault="00405D16">
            <w:pPr>
              <w:spacing w:after="100"/>
              <w:rPr>
                <w:rFonts w:eastAsia="Times New Roman"/>
              </w:rPr>
            </w:pPr>
          </w:p>
        </w:tc>
        <w:tc>
          <w:tcPr>
            <w:tcW w:w="0" w:type="auto"/>
            <w:tcMar>
              <w:top w:w="30" w:type="dxa"/>
              <w:left w:w="20" w:type="dxa"/>
              <w:bottom w:w="30" w:type="dxa"/>
              <w:right w:w="0" w:type="dxa"/>
            </w:tcMar>
            <w:vAlign w:val="bottom"/>
            <w:hideMark/>
          </w:tcPr>
          <w:p w14:paraId="411CD0BF" w14:textId="77777777" w:rsidR="00000000" w:rsidRDefault="00405D16">
            <w:pPr>
              <w:spacing w:after="100"/>
              <w:rPr>
                <w:rFonts w:eastAsia="Times New Roman"/>
              </w:rPr>
            </w:pPr>
            <w:r>
              <w:rPr>
                <w:rFonts w:eastAsia="Times New Roman"/>
                <w:b/>
                <w:bCs/>
                <w:color w:val="000000"/>
                <w:sz w:val="18"/>
                <w:szCs w:val="18"/>
              </w:rPr>
              <w:t>$</w:t>
            </w:r>
          </w:p>
        </w:tc>
        <w:tc>
          <w:tcPr>
            <w:tcW w:w="0" w:type="auto"/>
            <w:tcMar>
              <w:top w:w="30" w:type="dxa"/>
              <w:left w:w="0" w:type="dxa"/>
              <w:bottom w:w="30" w:type="dxa"/>
              <w:right w:w="0" w:type="dxa"/>
            </w:tcMar>
            <w:vAlign w:val="bottom"/>
            <w:hideMark/>
          </w:tcPr>
          <w:p w14:paraId="098103E9" w14:textId="77777777" w:rsidR="00000000" w:rsidRDefault="00405D16">
            <w:pPr>
              <w:spacing w:after="100"/>
              <w:jc w:val="right"/>
              <w:rPr>
                <w:rFonts w:eastAsia="Times New Roman"/>
              </w:rPr>
            </w:pPr>
            <w:r>
              <w:rPr>
                <w:rFonts w:eastAsia="Times New Roman"/>
                <w:b/>
                <w:bCs/>
                <w:color w:val="000000"/>
                <w:sz w:val="18"/>
                <w:szCs w:val="18"/>
              </w:rPr>
              <w:t>105,030</w:t>
            </w:r>
            <w:r>
              <w:rPr>
                <w:rFonts w:eastAsia="Times New Roman"/>
                <w:color w:val="000000"/>
                <w:sz w:val="18"/>
                <w:szCs w:val="18"/>
              </w:rPr>
              <w:t> </w:t>
            </w:r>
          </w:p>
        </w:tc>
        <w:tc>
          <w:tcPr>
            <w:tcW w:w="0" w:type="auto"/>
            <w:tcMar>
              <w:top w:w="30" w:type="dxa"/>
              <w:left w:w="0" w:type="dxa"/>
              <w:bottom w:w="30" w:type="dxa"/>
              <w:right w:w="20" w:type="dxa"/>
            </w:tcMar>
            <w:vAlign w:val="bottom"/>
            <w:hideMark/>
          </w:tcPr>
          <w:p w14:paraId="357FB0ED" w14:textId="77777777" w:rsidR="00000000" w:rsidRDefault="00405D16">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EB33F2C" w14:textId="77777777" w:rsidR="00000000" w:rsidRDefault="00405D16">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3D8B7B56" w14:textId="77777777" w:rsidR="00000000" w:rsidRDefault="00405D16">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14:paraId="2B0771ED" w14:textId="77777777" w:rsidR="00000000" w:rsidRDefault="00405D16">
            <w:pPr>
              <w:spacing w:after="100"/>
              <w:jc w:val="right"/>
              <w:rPr>
                <w:rFonts w:eastAsia="Times New Roman"/>
              </w:rPr>
            </w:pPr>
            <w:r>
              <w:rPr>
                <w:rFonts w:eastAsia="Times New Roman"/>
                <w:color w:val="000000"/>
                <w:sz w:val="18"/>
                <w:szCs w:val="18"/>
              </w:rPr>
              <w:t>106,956 </w:t>
            </w:r>
          </w:p>
        </w:tc>
        <w:tc>
          <w:tcPr>
            <w:tcW w:w="0" w:type="auto"/>
            <w:tcMar>
              <w:top w:w="30" w:type="dxa"/>
              <w:left w:w="0" w:type="dxa"/>
              <w:bottom w:w="30" w:type="dxa"/>
              <w:right w:w="20" w:type="dxa"/>
            </w:tcMar>
            <w:vAlign w:val="bottom"/>
            <w:hideMark/>
          </w:tcPr>
          <w:p w14:paraId="57AA6936" w14:textId="77777777" w:rsidR="00000000" w:rsidRDefault="00405D16">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F932DD6" w14:textId="77777777" w:rsidR="00000000" w:rsidRDefault="00405D16">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14:paraId="0C522FD4" w14:textId="77777777" w:rsidR="00000000" w:rsidRDefault="00405D16">
            <w:pPr>
              <w:spacing w:after="100"/>
              <w:jc w:val="right"/>
              <w:rPr>
                <w:rFonts w:eastAsia="Times New Roman"/>
              </w:rPr>
            </w:pPr>
            <w:r>
              <w:rPr>
                <w:rFonts w:eastAsia="Times New Roman"/>
                <w:color w:val="000000"/>
                <w:sz w:val="18"/>
                <w:szCs w:val="18"/>
              </w:rPr>
              <w:t>(2)</w:t>
            </w:r>
          </w:p>
        </w:tc>
        <w:tc>
          <w:tcPr>
            <w:tcW w:w="0" w:type="auto"/>
            <w:tcMar>
              <w:top w:w="30" w:type="dxa"/>
              <w:left w:w="0" w:type="dxa"/>
              <w:bottom w:w="30" w:type="dxa"/>
              <w:right w:w="20" w:type="dxa"/>
            </w:tcMar>
            <w:vAlign w:val="center"/>
            <w:hideMark/>
          </w:tcPr>
          <w:p w14:paraId="48019DA0"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14:paraId="0108D327" w14:textId="77777777" w:rsidR="00000000" w:rsidRDefault="00405D16">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A993258"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22D3621"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B828553" w14:textId="77777777" w:rsidR="00000000" w:rsidRDefault="00405D16">
            <w:pPr>
              <w:spacing w:after="100"/>
              <w:rPr>
                <w:rFonts w:eastAsia="Times New Roman"/>
                <w:sz w:val="20"/>
                <w:szCs w:val="20"/>
              </w:rPr>
            </w:pPr>
          </w:p>
        </w:tc>
        <w:tc>
          <w:tcPr>
            <w:tcW w:w="0" w:type="auto"/>
            <w:vAlign w:val="center"/>
            <w:hideMark/>
          </w:tcPr>
          <w:p w14:paraId="6941AC5F" w14:textId="77777777" w:rsidR="00000000" w:rsidRDefault="00405D16">
            <w:pPr>
              <w:spacing w:after="100"/>
              <w:rPr>
                <w:rFonts w:eastAsia="Times New Roman"/>
                <w:sz w:val="20"/>
                <w:szCs w:val="20"/>
              </w:rPr>
            </w:pPr>
          </w:p>
        </w:tc>
        <w:tc>
          <w:tcPr>
            <w:tcW w:w="0" w:type="auto"/>
            <w:vAlign w:val="center"/>
            <w:hideMark/>
          </w:tcPr>
          <w:p w14:paraId="177EB5F2"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316BAEF"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A0E619A" w14:textId="77777777" w:rsidR="00000000" w:rsidRDefault="00405D16">
            <w:pPr>
              <w:spacing w:after="100"/>
              <w:rPr>
                <w:rFonts w:eastAsia="Times New Roman"/>
                <w:sz w:val="20"/>
                <w:szCs w:val="20"/>
              </w:rPr>
            </w:pPr>
          </w:p>
        </w:tc>
        <w:tc>
          <w:tcPr>
            <w:tcW w:w="0" w:type="auto"/>
            <w:gridSpan w:val="3"/>
            <w:vAlign w:val="center"/>
            <w:hideMark/>
          </w:tcPr>
          <w:p w14:paraId="24C337AD" w14:textId="77777777" w:rsidR="00000000" w:rsidRDefault="00405D16">
            <w:pPr>
              <w:spacing w:after="100"/>
              <w:rPr>
                <w:rFonts w:eastAsia="Times New Roman"/>
                <w:sz w:val="20"/>
                <w:szCs w:val="20"/>
              </w:rPr>
            </w:pPr>
          </w:p>
        </w:tc>
        <w:tc>
          <w:tcPr>
            <w:tcW w:w="0" w:type="auto"/>
            <w:gridSpan w:val="3"/>
            <w:vAlign w:val="center"/>
            <w:hideMark/>
          </w:tcPr>
          <w:p w14:paraId="703B9C72" w14:textId="77777777" w:rsidR="00000000" w:rsidRDefault="00405D16">
            <w:pPr>
              <w:spacing w:after="100"/>
              <w:rPr>
                <w:rFonts w:eastAsia="Times New Roman"/>
                <w:sz w:val="20"/>
                <w:szCs w:val="20"/>
              </w:rPr>
            </w:pPr>
          </w:p>
        </w:tc>
      </w:tr>
      <w:tr w:rsidR="00000000" w14:paraId="441F85E3" w14:textId="77777777">
        <w:trPr>
          <w:divId w:val="494960345"/>
        </w:trPr>
        <w:tc>
          <w:tcPr>
            <w:tcW w:w="0" w:type="auto"/>
            <w:gridSpan w:val="3"/>
            <w:shd w:val="clear" w:color="auto" w:fill="CCEEFF"/>
            <w:tcMar>
              <w:top w:w="30" w:type="dxa"/>
              <w:left w:w="20" w:type="dxa"/>
              <w:bottom w:w="30" w:type="dxa"/>
              <w:right w:w="20" w:type="dxa"/>
            </w:tcMar>
            <w:vAlign w:val="center"/>
            <w:hideMark/>
          </w:tcPr>
          <w:p w14:paraId="6E5AFC79" w14:textId="77777777" w:rsidR="00000000" w:rsidRDefault="00405D16">
            <w:pPr>
              <w:spacing w:after="100"/>
              <w:rPr>
                <w:rFonts w:eastAsia="Times New Roman"/>
              </w:rPr>
            </w:pPr>
            <w:r>
              <w:rPr>
                <w:rFonts w:eastAsia="Times New Roman"/>
                <w:color w:val="000000"/>
                <w:sz w:val="18"/>
                <w:szCs w:val="18"/>
              </w:rPr>
              <w:t>30+ day performing delinquency rate</w:t>
            </w:r>
          </w:p>
        </w:tc>
        <w:tc>
          <w:tcPr>
            <w:tcW w:w="0" w:type="auto"/>
            <w:gridSpan w:val="3"/>
            <w:shd w:val="clear" w:color="auto" w:fill="CCEEFF"/>
            <w:tcMar>
              <w:top w:w="0" w:type="dxa"/>
              <w:left w:w="20" w:type="dxa"/>
              <w:bottom w:w="0" w:type="dxa"/>
              <w:right w:w="20" w:type="dxa"/>
            </w:tcMar>
            <w:vAlign w:val="center"/>
            <w:hideMark/>
          </w:tcPr>
          <w:p w14:paraId="3394AF22"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A0F8AE2" w14:textId="77777777" w:rsidR="00000000" w:rsidRDefault="00405D16">
            <w:pPr>
              <w:spacing w:after="100"/>
              <w:jc w:val="right"/>
              <w:rPr>
                <w:rFonts w:eastAsia="Times New Roman"/>
              </w:rPr>
            </w:pPr>
            <w:r>
              <w:rPr>
                <w:rFonts w:eastAsia="Times New Roman"/>
                <w:b/>
                <w:bCs/>
                <w:color w:val="000000"/>
                <w:sz w:val="18"/>
                <w:szCs w:val="18"/>
              </w:rPr>
              <w:t>2.00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14FF0A4"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2CFBD0A"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693ED0C" w14:textId="77777777" w:rsidR="00000000" w:rsidRDefault="00405D16">
            <w:pPr>
              <w:spacing w:after="100"/>
              <w:jc w:val="right"/>
              <w:rPr>
                <w:rFonts w:eastAsia="Times New Roman"/>
              </w:rPr>
            </w:pPr>
            <w:r>
              <w:rPr>
                <w:rFonts w:eastAsia="Times New Roman"/>
                <w:color w:val="000000"/>
                <w:sz w:val="18"/>
                <w:szCs w:val="18"/>
              </w:rPr>
              <w:t>2.44 </w:t>
            </w:r>
          </w:p>
        </w:tc>
        <w:tc>
          <w:tcPr>
            <w:tcW w:w="0" w:type="auto"/>
            <w:shd w:val="clear" w:color="auto" w:fill="CCEEFF"/>
            <w:tcMar>
              <w:top w:w="30" w:type="dxa"/>
              <w:left w:w="0" w:type="dxa"/>
              <w:bottom w:w="30" w:type="dxa"/>
              <w:right w:w="20" w:type="dxa"/>
            </w:tcMar>
            <w:vAlign w:val="bottom"/>
            <w:hideMark/>
          </w:tcPr>
          <w:p w14:paraId="43F9929E"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87A8626"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7935F8" w14:textId="77777777" w:rsidR="00000000" w:rsidRDefault="00405D16">
            <w:pPr>
              <w:spacing w:after="100"/>
              <w:jc w:val="right"/>
              <w:rPr>
                <w:rFonts w:eastAsia="Times New Roman"/>
              </w:rPr>
            </w:pPr>
            <w:r>
              <w:rPr>
                <w:rFonts w:eastAsia="Times New Roman"/>
                <w:color w:val="000000"/>
                <w:sz w:val="18"/>
                <w:szCs w:val="18"/>
              </w:rPr>
              <w:t>(44)</w:t>
            </w:r>
          </w:p>
        </w:tc>
        <w:tc>
          <w:tcPr>
            <w:tcW w:w="0" w:type="auto"/>
            <w:shd w:val="clear" w:color="auto" w:fill="CCEEFF"/>
            <w:tcMar>
              <w:top w:w="30" w:type="dxa"/>
              <w:left w:w="0" w:type="dxa"/>
              <w:bottom w:w="30" w:type="dxa"/>
              <w:right w:w="20" w:type="dxa"/>
            </w:tcMar>
            <w:vAlign w:val="bottom"/>
            <w:hideMark/>
          </w:tcPr>
          <w:p w14:paraId="181866F4" w14:textId="77777777" w:rsidR="00000000" w:rsidRDefault="00405D16">
            <w:pPr>
              <w:spacing w:after="100"/>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14:paraId="7B325BD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FAC9C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1AF23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CB008C" w14:textId="77777777" w:rsidR="00000000" w:rsidRDefault="00405D16">
            <w:pPr>
              <w:spacing w:after="100"/>
              <w:rPr>
                <w:rFonts w:eastAsia="Times New Roman"/>
                <w:sz w:val="20"/>
                <w:szCs w:val="20"/>
              </w:rPr>
            </w:pPr>
          </w:p>
        </w:tc>
        <w:tc>
          <w:tcPr>
            <w:tcW w:w="0" w:type="auto"/>
            <w:vAlign w:val="center"/>
            <w:hideMark/>
          </w:tcPr>
          <w:p w14:paraId="73E0C928" w14:textId="77777777" w:rsidR="00000000" w:rsidRDefault="00405D16">
            <w:pPr>
              <w:spacing w:after="100"/>
              <w:rPr>
                <w:rFonts w:eastAsia="Times New Roman"/>
                <w:sz w:val="20"/>
                <w:szCs w:val="20"/>
              </w:rPr>
            </w:pPr>
          </w:p>
        </w:tc>
        <w:tc>
          <w:tcPr>
            <w:tcW w:w="0" w:type="auto"/>
            <w:vAlign w:val="center"/>
            <w:hideMark/>
          </w:tcPr>
          <w:p w14:paraId="1191FC9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95014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5DFBDE" w14:textId="77777777" w:rsidR="00000000" w:rsidRDefault="00405D16">
            <w:pPr>
              <w:spacing w:after="100"/>
              <w:rPr>
                <w:rFonts w:eastAsia="Times New Roman"/>
                <w:sz w:val="20"/>
                <w:szCs w:val="20"/>
              </w:rPr>
            </w:pPr>
          </w:p>
        </w:tc>
        <w:tc>
          <w:tcPr>
            <w:tcW w:w="0" w:type="auto"/>
            <w:gridSpan w:val="3"/>
            <w:vAlign w:val="center"/>
            <w:hideMark/>
          </w:tcPr>
          <w:p w14:paraId="6B946B02" w14:textId="77777777" w:rsidR="00000000" w:rsidRDefault="00405D16">
            <w:pPr>
              <w:spacing w:after="100"/>
              <w:rPr>
                <w:rFonts w:eastAsia="Times New Roman"/>
                <w:sz w:val="20"/>
                <w:szCs w:val="20"/>
              </w:rPr>
            </w:pPr>
          </w:p>
        </w:tc>
        <w:tc>
          <w:tcPr>
            <w:tcW w:w="0" w:type="auto"/>
            <w:gridSpan w:val="3"/>
            <w:vAlign w:val="center"/>
            <w:hideMark/>
          </w:tcPr>
          <w:p w14:paraId="37DA1334" w14:textId="77777777" w:rsidR="00000000" w:rsidRDefault="00405D16">
            <w:pPr>
              <w:spacing w:after="100"/>
              <w:rPr>
                <w:rFonts w:eastAsia="Times New Roman"/>
                <w:sz w:val="20"/>
                <w:szCs w:val="20"/>
              </w:rPr>
            </w:pPr>
          </w:p>
        </w:tc>
      </w:tr>
      <w:tr w:rsidR="00000000" w14:paraId="0C698C8D" w14:textId="77777777">
        <w:trPr>
          <w:divId w:val="494960345"/>
        </w:trPr>
        <w:tc>
          <w:tcPr>
            <w:tcW w:w="0" w:type="auto"/>
            <w:gridSpan w:val="3"/>
            <w:tcMar>
              <w:top w:w="30" w:type="dxa"/>
              <w:left w:w="20" w:type="dxa"/>
              <w:bottom w:w="30" w:type="dxa"/>
              <w:right w:w="20" w:type="dxa"/>
            </w:tcMar>
            <w:vAlign w:val="center"/>
            <w:hideMark/>
          </w:tcPr>
          <w:p w14:paraId="086020B2" w14:textId="77777777" w:rsidR="00000000" w:rsidRDefault="00405D16">
            <w:pPr>
              <w:spacing w:after="100"/>
              <w:rPr>
                <w:rFonts w:eastAsia="Times New Roman"/>
              </w:rPr>
            </w:pPr>
            <w:r>
              <w:rPr>
                <w:rFonts w:eastAsia="Times New Roman"/>
                <w:color w:val="000000"/>
                <w:sz w:val="18"/>
                <w:szCs w:val="18"/>
              </w:rPr>
              <w:t>30+ day delinquency rate</w:t>
            </w:r>
          </w:p>
        </w:tc>
        <w:tc>
          <w:tcPr>
            <w:tcW w:w="0" w:type="auto"/>
            <w:gridSpan w:val="3"/>
            <w:tcMar>
              <w:top w:w="0" w:type="dxa"/>
              <w:left w:w="20" w:type="dxa"/>
              <w:bottom w:w="0" w:type="dxa"/>
              <w:right w:w="20" w:type="dxa"/>
            </w:tcMar>
            <w:vAlign w:val="center"/>
            <w:hideMark/>
          </w:tcPr>
          <w:p w14:paraId="6AD30E39" w14:textId="77777777" w:rsidR="00000000" w:rsidRDefault="00405D16">
            <w:pPr>
              <w:spacing w:after="100"/>
              <w:rPr>
                <w:rFonts w:eastAsia="Times New Roman"/>
              </w:rPr>
            </w:pPr>
          </w:p>
        </w:tc>
        <w:tc>
          <w:tcPr>
            <w:tcW w:w="0" w:type="auto"/>
            <w:gridSpan w:val="2"/>
            <w:tcMar>
              <w:top w:w="30" w:type="dxa"/>
              <w:left w:w="20" w:type="dxa"/>
              <w:bottom w:w="30" w:type="dxa"/>
              <w:right w:w="0" w:type="dxa"/>
            </w:tcMar>
            <w:vAlign w:val="bottom"/>
            <w:hideMark/>
          </w:tcPr>
          <w:p w14:paraId="3DD59E70" w14:textId="77777777" w:rsidR="00000000" w:rsidRDefault="00405D16">
            <w:pPr>
              <w:spacing w:after="100"/>
              <w:jc w:val="right"/>
              <w:rPr>
                <w:rFonts w:eastAsia="Times New Roman"/>
              </w:rPr>
            </w:pPr>
            <w:r>
              <w:rPr>
                <w:rFonts w:eastAsia="Times New Roman"/>
                <w:b/>
                <w:bCs/>
                <w:color w:val="000000"/>
                <w:sz w:val="18"/>
                <w:szCs w:val="18"/>
              </w:rPr>
              <w:t>2.00</w:t>
            </w:r>
            <w:r>
              <w:rPr>
                <w:rFonts w:eastAsia="Times New Roman"/>
                <w:color w:val="000000"/>
                <w:sz w:val="18"/>
                <w:szCs w:val="18"/>
              </w:rPr>
              <w:t> </w:t>
            </w:r>
          </w:p>
        </w:tc>
        <w:tc>
          <w:tcPr>
            <w:tcW w:w="0" w:type="auto"/>
            <w:tcMar>
              <w:top w:w="30" w:type="dxa"/>
              <w:left w:w="0" w:type="dxa"/>
              <w:bottom w:w="30" w:type="dxa"/>
              <w:right w:w="20" w:type="dxa"/>
            </w:tcMar>
            <w:vAlign w:val="bottom"/>
            <w:hideMark/>
          </w:tcPr>
          <w:p w14:paraId="472C00BC" w14:textId="77777777" w:rsidR="00000000" w:rsidRDefault="00405D16">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E250229" w14:textId="77777777" w:rsidR="00000000" w:rsidRDefault="00405D1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CD0E53D" w14:textId="77777777" w:rsidR="00000000" w:rsidRDefault="00405D16">
            <w:pPr>
              <w:spacing w:after="100"/>
              <w:jc w:val="right"/>
              <w:rPr>
                <w:rFonts w:eastAsia="Times New Roman"/>
              </w:rPr>
            </w:pPr>
            <w:r>
              <w:rPr>
                <w:rFonts w:eastAsia="Times New Roman"/>
                <w:color w:val="000000"/>
                <w:sz w:val="18"/>
                <w:szCs w:val="18"/>
              </w:rPr>
              <w:t>2.45 </w:t>
            </w:r>
          </w:p>
        </w:tc>
        <w:tc>
          <w:tcPr>
            <w:tcW w:w="0" w:type="auto"/>
            <w:tcMar>
              <w:top w:w="30" w:type="dxa"/>
              <w:left w:w="0" w:type="dxa"/>
              <w:bottom w:w="30" w:type="dxa"/>
              <w:right w:w="20" w:type="dxa"/>
            </w:tcMar>
            <w:vAlign w:val="bottom"/>
            <w:hideMark/>
          </w:tcPr>
          <w:p w14:paraId="24F7493A" w14:textId="77777777" w:rsidR="00000000" w:rsidRDefault="00405D16">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DC0F77C" w14:textId="77777777" w:rsidR="00000000" w:rsidRDefault="00405D16">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EE3197A" w14:textId="77777777" w:rsidR="00000000" w:rsidRDefault="00405D16">
            <w:pPr>
              <w:spacing w:after="100"/>
              <w:jc w:val="right"/>
              <w:rPr>
                <w:rFonts w:eastAsia="Times New Roman"/>
              </w:rPr>
            </w:pPr>
            <w:r>
              <w:rPr>
                <w:rFonts w:eastAsia="Times New Roman"/>
                <w:color w:val="000000"/>
                <w:sz w:val="18"/>
                <w:szCs w:val="18"/>
              </w:rPr>
              <w:t>(45)</w:t>
            </w:r>
          </w:p>
        </w:tc>
        <w:tc>
          <w:tcPr>
            <w:tcW w:w="0" w:type="auto"/>
            <w:tcMar>
              <w:top w:w="30" w:type="dxa"/>
              <w:left w:w="0" w:type="dxa"/>
              <w:bottom w:w="30" w:type="dxa"/>
              <w:right w:w="20" w:type="dxa"/>
            </w:tcMar>
            <w:vAlign w:val="bottom"/>
            <w:hideMark/>
          </w:tcPr>
          <w:p w14:paraId="59553775" w14:textId="77777777" w:rsidR="00000000" w:rsidRDefault="00405D16">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53D710D" w14:textId="77777777" w:rsidR="00000000" w:rsidRDefault="00405D16">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1126C8A2"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7EB9837"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43B33A6" w14:textId="77777777" w:rsidR="00000000" w:rsidRDefault="00405D16">
            <w:pPr>
              <w:spacing w:after="100"/>
              <w:rPr>
                <w:rFonts w:eastAsia="Times New Roman"/>
                <w:sz w:val="20"/>
                <w:szCs w:val="20"/>
              </w:rPr>
            </w:pPr>
          </w:p>
        </w:tc>
        <w:tc>
          <w:tcPr>
            <w:tcW w:w="0" w:type="auto"/>
            <w:vAlign w:val="center"/>
            <w:hideMark/>
          </w:tcPr>
          <w:p w14:paraId="2E392D97" w14:textId="77777777" w:rsidR="00000000" w:rsidRDefault="00405D16">
            <w:pPr>
              <w:spacing w:after="100"/>
              <w:rPr>
                <w:rFonts w:eastAsia="Times New Roman"/>
                <w:sz w:val="20"/>
                <w:szCs w:val="20"/>
              </w:rPr>
            </w:pPr>
          </w:p>
        </w:tc>
        <w:tc>
          <w:tcPr>
            <w:tcW w:w="0" w:type="auto"/>
            <w:vAlign w:val="center"/>
            <w:hideMark/>
          </w:tcPr>
          <w:p w14:paraId="6296BBDE"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BB20E76"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8E1A468" w14:textId="77777777" w:rsidR="00000000" w:rsidRDefault="00405D16">
            <w:pPr>
              <w:spacing w:after="100"/>
              <w:rPr>
                <w:rFonts w:eastAsia="Times New Roman"/>
                <w:sz w:val="20"/>
                <w:szCs w:val="20"/>
              </w:rPr>
            </w:pPr>
          </w:p>
        </w:tc>
        <w:tc>
          <w:tcPr>
            <w:tcW w:w="0" w:type="auto"/>
            <w:gridSpan w:val="3"/>
            <w:vAlign w:val="center"/>
            <w:hideMark/>
          </w:tcPr>
          <w:p w14:paraId="536CCD99" w14:textId="77777777" w:rsidR="00000000" w:rsidRDefault="00405D16">
            <w:pPr>
              <w:spacing w:after="100"/>
              <w:rPr>
                <w:rFonts w:eastAsia="Times New Roman"/>
                <w:sz w:val="20"/>
                <w:szCs w:val="20"/>
              </w:rPr>
            </w:pPr>
          </w:p>
        </w:tc>
        <w:tc>
          <w:tcPr>
            <w:tcW w:w="0" w:type="auto"/>
            <w:gridSpan w:val="3"/>
            <w:vAlign w:val="center"/>
            <w:hideMark/>
          </w:tcPr>
          <w:p w14:paraId="101839AE" w14:textId="77777777" w:rsidR="00000000" w:rsidRDefault="00405D16">
            <w:pPr>
              <w:spacing w:after="100"/>
              <w:rPr>
                <w:rFonts w:eastAsia="Times New Roman"/>
                <w:sz w:val="20"/>
                <w:szCs w:val="20"/>
              </w:rPr>
            </w:pPr>
          </w:p>
        </w:tc>
      </w:tr>
      <w:tr w:rsidR="00000000" w14:paraId="243E8CFB" w14:textId="77777777">
        <w:trPr>
          <w:divId w:val="494960345"/>
        </w:trPr>
        <w:tc>
          <w:tcPr>
            <w:tcW w:w="0" w:type="auto"/>
            <w:gridSpan w:val="3"/>
            <w:shd w:val="clear" w:color="auto" w:fill="CCEEFF"/>
            <w:tcMar>
              <w:top w:w="30" w:type="dxa"/>
              <w:left w:w="20" w:type="dxa"/>
              <w:bottom w:w="30" w:type="dxa"/>
              <w:right w:w="20" w:type="dxa"/>
            </w:tcMar>
            <w:vAlign w:val="center"/>
            <w:hideMark/>
          </w:tcPr>
          <w:p w14:paraId="4841A383" w14:textId="77777777" w:rsidR="00000000" w:rsidRDefault="00405D16">
            <w:pPr>
              <w:spacing w:after="100"/>
              <w:divId w:val="1391926870"/>
              <w:rPr>
                <w:rFonts w:eastAsia="Times New Roman"/>
              </w:rPr>
            </w:pPr>
            <w:r>
              <w:rPr>
                <w:rFonts w:eastAsia="Times New Roman"/>
                <w:color w:val="000000"/>
                <w:sz w:val="18"/>
                <w:szCs w:val="18"/>
              </w:rPr>
              <w:t>Nonperforming loan rat</w:t>
            </w:r>
            <w:r>
              <w:rPr>
                <w:rFonts w:eastAsia="Times New Roman"/>
                <w:color w:val="000000"/>
                <w:sz w:val="18"/>
                <w:szCs w:val="18"/>
              </w:rPr>
              <w:t>e</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192AAB77"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500A3AA" w14:textId="77777777" w:rsidR="00000000" w:rsidRDefault="00405D16">
            <w:pPr>
              <w:spacing w:after="100"/>
              <w:jc w:val="right"/>
              <w:rPr>
                <w:rFonts w:eastAsia="Times New Roman"/>
              </w:rPr>
            </w:pPr>
            <w:r>
              <w:rPr>
                <w:rFonts w:eastAsia="Times New Roman"/>
                <w:b/>
                <w:bCs/>
                <w:color w:val="000000"/>
                <w:sz w:val="18"/>
                <w:szCs w:val="18"/>
              </w:rPr>
              <w:t>0.01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493636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5984E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4BFF30" w14:textId="77777777" w:rsidR="00000000" w:rsidRDefault="00405D16">
            <w:pPr>
              <w:spacing w:after="100"/>
              <w:jc w:val="right"/>
              <w:rPr>
                <w:rFonts w:eastAsia="Times New Roman"/>
              </w:rPr>
            </w:pPr>
            <w:r>
              <w:rPr>
                <w:rFonts w:eastAsia="Times New Roman"/>
                <w:color w:val="000000"/>
                <w:sz w:val="18"/>
                <w:szCs w:val="18"/>
              </w:rPr>
              <w:t>0.02 </w:t>
            </w:r>
          </w:p>
        </w:tc>
        <w:tc>
          <w:tcPr>
            <w:tcW w:w="0" w:type="auto"/>
            <w:shd w:val="clear" w:color="auto" w:fill="CCEEFF"/>
            <w:tcMar>
              <w:top w:w="30" w:type="dxa"/>
              <w:left w:w="0" w:type="dxa"/>
              <w:bottom w:w="30" w:type="dxa"/>
              <w:right w:w="20" w:type="dxa"/>
            </w:tcMar>
            <w:vAlign w:val="bottom"/>
            <w:hideMark/>
          </w:tcPr>
          <w:p w14:paraId="6C899E8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94069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CEF095" w14:textId="77777777" w:rsidR="00000000" w:rsidRDefault="00405D16">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14:paraId="48F0507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4C5C0B" w14:textId="77777777" w:rsidR="00000000" w:rsidRDefault="00405D1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73F84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086CF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485FC0" w14:textId="77777777" w:rsidR="00000000" w:rsidRDefault="00405D16">
            <w:pPr>
              <w:spacing w:after="100"/>
              <w:rPr>
                <w:rFonts w:eastAsia="Times New Roman"/>
                <w:sz w:val="20"/>
                <w:szCs w:val="20"/>
              </w:rPr>
            </w:pPr>
          </w:p>
        </w:tc>
        <w:tc>
          <w:tcPr>
            <w:tcW w:w="0" w:type="auto"/>
            <w:vAlign w:val="center"/>
            <w:hideMark/>
          </w:tcPr>
          <w:p w14:paraId="578E0870" w14:textId="77777777" w:rsidR="00000000" w:rsidRDefault="00405D16">
            <w:pPr>
              <w:spacing w:after="100"/>
              <w:rPr>
                <w:rFonts w:eastAsia="Times New Roman"/>
                <w:sz w:val="20"/>
                <w:szCs w:val="20"/>
              </w:rPr>
            </w:pPr>
          </w:p>
        </w:tc>
        <w:tc>
          <w:tcPr>
            <w:tcW w:w="0" w:type="auto"/>
            <w:vAlign w:val="center"/>
            <w:hideMark/>
          </w:tcPr>
          <w:p w14:paraId="7EE699A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A1D49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6589C9" w14:textId="77777777" w:rsidR="00000000" w:rsidRDefault="00405D16">
            <w:pPr>
              <w:spacing w:after="100"/>
              <w:rPr>
                <w:rFonts w:eastAsia="Times New Roman"/>
                <w:sz w:val="20"/>
                <w:szCs w:val="20"/>
              </w:rPr>
            </w:pPr>
          </w:p>
        </w:tc>
        <w:tc>
          <w:tcPr>
            <w:tcW w:w="0" w:type="auto"/>
            <w:gridSpan w:val="3"/>
            <w:vAlign w:val="center"/>
            <w:hideMark/>
          </w:tcPr>
          <w:p w14:paraId="0863B146" w14:textId="77777777" w:rsidR="00000000" w:rsidRDefault="00405D16">
            <w:pPr>
              <w:spacing w:after="100"/>
              <w:rPr>
                <w:rFonts w:eastAsia="Times New Roman"/>
                <w:sz w:val="20"/>
                <w:szCs w:val="20"/>
              </w:rPr>
            </w:pPr>
          </w:p>
        </w:tc>
        <w:tc>
          <w:tcPr>
            <w:tcW w:w="0" w:type="auto"/>
            <w:gridSpan w:val="3"/>
            <w:vAlign w:val="center"/>
            <w:hideMark/>
          </w:tcPr>
          <w:p w14:paraId="73948851" w14:textId="77777777" w:rsidR="00000000" w:rsidRDefault="00405D16">
            <w:pPr>
              <w:spacing w:after="100"/>
              <w:rPr>
                <w:rFonts w:eastAsia="Times New Roman"/>
                <w:sz w:val="20"/>
                <w:szCs w:val="20"/>
              </w:rPr>
            </w:pPr>
          </w:p>
        </w:tc>
      </w:tr>
      <w:tr w:rsidR="00000000" w14:paraId="33FE9C07" w14:textId="77777777">
        <w:trPr>
          <w:divId w:val="494960345"/>
        </w:trPr>
        <w:tc>
          <w:tcPr>
            <w:tcW w:w="0" w:type="auto"/>
            <w:gridSpan w:val="3"/>
            <w:tcMar>
              <w:top w:w="30" w:type="dxa"/>
              <w:left w:w="20" w:type="dxa"/>
              <w:bottom w:w="30" w:type="dxa"/>
              <w:right w:w="20" w:type="dxa"/>
            </w:tcMar>
            <w:vAlign w:val="center"/>
            <w:hideMark/>
          </w:tcPr>
          <w:p w14:paraId="0EB32EE9" w14:textId="77777777" w:rsidR="00000000" w:rsidRDefault="00405D16">
            <w:pPr>
              <w:spacing w:after="100"/>
              <w:rPr>
                <w:rFonts w:eastAsia="Times New Roman"/>
              </w:rPr>
            </w:pPr>
            <w:r>
              <w:rPr>
                <w:rFonts w:eastAsia="Times New Roman"/>
                <w:color w:val="000000"/>
                <w:sz w:val="18"/>
                <w:szCs w:val="18"/>
              </w:rPr>
              <w:t>Allowance for credit losses</w:t>
            </w:r>
          </w:p>
        </w:tc>
        <w:tc>
          <w:tcPr>
            <w:tcW w:w="0" w:type="auto"/>
            <w:gridSpan w:val="3"/>
            <w:tcMar>
              <w:top w:w="0" w:type="dxa"/>
              <w:left w:w="20" w:type="dxa"/>
              <w:bottom w:w="0" w:type="dxa"/>
              <w:right w:w="20" w:type="dxa"/>
            </w:tcMar>
            <w:vAlign w:val="center"/>
            <w:hideMark/>
          </w:tcPr>
          <w:p w14:paraId="0B1B5D31" w14:textId="77777777" w:rsidR="00000000" w:rsidRDefault="00405D16">
            <w:pPr>
              <w:spacing w:after="100"/>
              <w:rPr>
                <w:rFonts w:eastAsia="Times New Roman"/>
              </w:rPr>
            </w:pPr>
          </w:p>
        </w:tc>
        <w:tc>
          <w:tcPr>
            <w:tcW w:w="0" w:type="auto"/>
            <w:tcMar>
              <w:top w:w="30" w:type="dxa"/>
              <w:left w:w="20" w:type="dxa"/>
              <w:bottom w:w="30" w:type="dxa"/>
              <w:right w:w="0" w:type="dxa"/>
            </w:tcMar>
            <w:vAlign w:val="bottom"/>
            <w:hideMark/>
          </w:tcPr>
          <w:p w14:paraId="33D2CB49" w14:textId="77777777" w:rsidR="00000000" w:rsidRDefault="00405D16">
            <w:pPr>
              <w:spacing w:after="100"/>
              <w:rPr>
                <w:rFonts w:eastAsia="Times New Roman"/>
              </w:rPr>
            </w:pPr>
            <w:r>
              <w:rPr>
                <w:rFonts w:eastAsia="Times New Roman"/>
                <w:b/>
                <w:bCs/>
                <w:color w:val="000000"/>
                <w:sz w:val="18"/>
                <w:szCs w:val="18"/>
              </w:rPr>
              <w:t>$</w:t>
            </w:r>
          </w:p>
        </w:tc>
        <w:tc>
          <w:tcPr>
            <w:tcW w:w="0" w:type="auto"/>
            <w:tcMar>
              <w:top w:w="30" w:type="dxa"/>
              <w:left w:w="0" w:type="dxa"/>
              <w:bottom w:w="30" w:type="dxa"/>
              <w:right w:w="0" w:type="dxa"/>
            </w:tcMar>
            <w:vAlign w:val="bottom"/>
            <w:hideMark/>
          </w:tcPr>
          <w:p w14:paraId="38CD88FC" w14:textId="77777777" w:rsidR="00000000" w:rsidRDefault="00405D16">
            <w:pPr>
              <w:spacing w:after="100"/>
              <w:jc w:val="right"/>
              <w:rPr>
                <w:rFonts w:eastAsia="Times New Roman"/>
              </w:rPr>
            </w:pPr>
            <w:r>
              <w:rPr>
                <w:rFonts w:eastAsia="Times New Roman"/>
                <w:b/>
                <w:bCs/>
                <w:color w:val="000000"/>
                <w:sz w:val="18"/>
                <w:szCs w:val="18"/>
              </w:rPr>
              <w:t>8,306</w:t>
            </w:r>
            <w:r>
              <w:rPr>
                <w:rFonts w:eastAsia="Times New Roman"/>
                <w:color w:val="000000"/>
                <w:sz w:val="18"/>
                <w:szCs w:val="18"/>
              </w:rPr>
              <w:t> </w:t>
            </w:r>
          </w:p>
        </w:tc>
        <w:tc>
          <w:tcPr>
            <w:tcW w:w="0" w:type="auto"/>
            <w:tcMar>
              <w:top w:w="30" w:type="dxa"/>
              <w:left w:w="0" w:type="dxa"/>
              <w:bottom w:w="30" w:type="dxa"/>
              <w:right w:w="20" w:type="dxa"/>
            </w:tcMar>
            <w:vAlign w:val="bottom"/>
            <w:hideMark/>
          </w:tcPr>
          <w:p w14:paraId="400D00BE" w14:textId="77777777" w:rsidR="00000000" w:rsidRDefault="00405D16">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DE240A8" w14:textId="77777777" w:rsidR="00000000" w:rsidRDefault="00405D16">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7BD73961" w14:textId="77777777" w:rsidR="00000000" w:rsidRDefault="00405D16">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14:paraId="0AC141F7" w14:textId="77777777" w:rsidR="00000000" w:rsidRDefault="00405D16">
            <w:pPr>
              <w:spacing w:after="100"/>
              <w:jc w:val="right"/>
              <w:rPr>
                <w:rFonts w:eastAsia="Times New Roman"/>
              </w:rPr>
            </w:pPr>
            <w:r>
              <w:rPr>
                <w:rFonts w:eastAsia="Times New Roman"/>
                <w:color w:val="000000"/>
                <w:sz w:val="18"/>
                <w:szCs w:val="18"/>
              </w:rPr>
              <w:t>11,191 </w:t>
            </w:r>
          </w:p>
        </w:tc>
        <w:tc>
          <w:tcPr>
            <w:tcW w:w="0" w:type="auto"/>
            <w:tcMar>
              <w:top w:w="30" w:type="dxa"/>
              <w:left w:w="0" w:type="dxa"/>
              <w:bottom w:w="30" w:type="dxa"/>
              <w:right w:w="20" w:type="dxa"/>
            </w:tcMar>
            <w:vAlign w:val="bottom"/>
            <w:hideMark/>
          </w:tcPr>
          <w:p w14:paraId="330C60CC" w14:textId="77777777" w:rsidR="00000000" w:rsidRDefault="00405D16">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CEA3132" w14:textId="77777777" w:rsidR="00000000" w:rsidRDefault="00405D16">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14:paraId="3F6E491E" w14:textId="77777777" w:rsidR="00000000" w:rsidRDefault="00405D16">
            <w:pPr>
              <w:spacing w:after="100"/>
              <w:jc w:val="right"/>
              <w:rPr>
                <w:rFonts w:eastAsia="Times New Roman"/>
              </w:rPr>
            </w:pPr>
            <w:r>
              <w:rPr>
                <w:rFonts w:eastAsia="Times New Roman"/>
                <w:color w:val="000000"/>
                <w:sz w:val="18"/>
                <w:szCs w:val="18"/>
              </w:rPr>
              <w:t>(26)</w:t>
            </w:r>
          </w:p>
        </w:tc>
        <w:tc>
          <w:tcPr>
            <w:tcW w:w="0" w:type="auto"/>
            <w:tcMar>
              <w:top w:w="30" w:type="dxa"/>
              <w:left w:w="0" w:type="dxa"/>
              <w:bottom w:w="30" w:type="dxa"/>
              <w:right w:w="20" w:type="dxa"/>
            </w:tcMar>
            <w:vAlign w:val="center"/>
            <w:hideMark/>
          </w:tcPr>
          <w:p w14:paraId="04F7EAC7"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14:paraId="35F696D5" w14:textId="77777777" w:rsidR="00000000" w:rsidRDefault="00405D16">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005283E"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0E5BB92"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859C334" w14:textId="77777777" w:rsidR="00000000" w:rsidRDefault="00405D16">
            <w:pPr>
              <w:spacing w:after="100"/>
              <w:rPr>
                <w:rFonts w:eastAsia="Times New Roman"/>
                <w:sz w:val="20"/>
                <w:szCs w:val="20"/>
              </w:rPr>
            </w:pPr>
          </w:p>
        </w:tc>
        <w:tc>
          <w:tcPr>
            <w:tcW w:w="0" w:type="auto"/>
            <w:vAlign w:val="center"/>
            <w:hideMark/>
          </w:tcPr>
          <w:p w14:paraId="66A282C5" w14:textId="77777777" w:rsidR="00000000" w:rsidRDefault="00405D16">
            <w:pPr>
              <w:spacing w:after="100"/>
              <w:rPr>
                <w:rFonts w:eastAsia="Times New Roman"/>
                <w:sz w:val="20"/>
                <w:szCs w:val="20"/>
              </w:rPr>
            </w:pPr>
          </w:p>
        </w:tc>
        <w:tc>
          <w:tcPr>
            <w:tcW w:w="0" w:type="auto"/>
            <w:vAlign w:val="center"/>
            <w:hideMark/>
          </w:tcPr>
          <w:p w14:paraId="037FBA74"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620A36B"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D2A3150" w14:textId="77777777" w:rsidR="00000000" w:rsidRDefault="00405D16">
            <w:pPr>
              <w:spacing w:after="100"/>
              <w:rPr>
                <w:rFonts w:eastAsia="Times New Roman"/>
                <w:sz w:val="20"/>
                <w:szCs w:val="20"/>
              </w:rPr>
            </w:pPr>
          </w:p>
        </w:tc>
        <w:tc>
          <w:tcPr>
            <w:tcW w:w="0" w:type="auto"/>
            <w:gridSpan w:val="3"/>
            <w:vAlign w:val="center"/>
            <w:hideMark/>
          </w:tcPr>
          <w:p w14:paraId="16B2A40E" w14:textId="77777777" w:rsidR="00000000" w:rsidRDefault="00405D16">
            <w:pPr>
              <w:spacing w:after="100"/>
              <w:rPr>
                <w:rFonts w:eastAsia="Times New Roman"/>
                <w:sz w:val="20"/>
                <w:szCs w:val="20"/>
              </w:rPr>
            </w:pPr>
          </w:p>
        </w:tc>
        <w:tc>
          <w:tcPr>
            <w:tcW w:w="0" w:type="auto"/>
            <w:gridSpan w:val="3"/>
            <w:vAlign w:val="center"/>
            <w:hideMark/>
          </w:tcPr>
          <w:p w14:paraId="5E4C6654" w14:textId="77777777" w:rsidR="00000000" w:rsidRDefault="00405D16">
            <w:pPr>
              <w:spacing w:after="100"/>
              <w:rPr>
                <w:rFonts w:eastAsia="Times New Roman"/>
                <w:sz w:val="20"/>
                <w:szCs w:val="20"/>
              </w:rPr>
            </w:pPr>
          </w:p>
        </w:tc>
      </w:tr>
      <w:tr w:rsidR="00000000" w14:paraId="2AB447B9" w14:textId="77777777">
        <w:trPr>
          <w:divId w:val="494960345"/>
        </w:trPr>
        <w:tc>
          <w:tcPr>
            <w:tcW w:w="0" w:type="auto"/>
            <w:gridSpan w:val="3"/>
            <w:shd w:val="clear" w:color="auto" w:fill="CCEEFF"/>
            <w:tcMar>
              <w:top w:w="30" w:type="dxa"/>
              <w:left w:w="20" w:type="dxa"/>
              <w:bottom w:w="30" w:type="dxa"/>
              <w:right w:w="20" w:type="dxa"/>
            </w:tcMar>
            <w:vAlign w:val="center"/>
            <w:hideMark/>
          </w:tcPr>
          <w:p w14:paraId="49B48784" w14:textId="77777777" w:rsidR="00000000" w:rsidRDefault="00405D16">
            <w:pPr>
              <w:spacing w:after="100"/>
              <w:rPr>
                <w:rFonts w:eastAsia="Times New Roman"/>
              </w:rPr>
            </w:pPr>
            <w:r>
              <w:rPr>
                <w:rFonts w:eastAsia="Times New Roman"/>
                <w:color w:val="000000"/>
                <w:sz w:val="18"/>
                <w:szCs w:val="18"/>
              </w:rPr>
              <w:t>Allowance coverage ratio</w:t>
            </w:r>
          </w:p>
        </w:tc>
        <w:tc>
          <w:tcPr>
            <w:tcW w:w="0" w:type="auto"/>
            <w:gridSpan w:val="3"/>
            <w:shd w:val="clear" w:color="auto" w:fill="CCEEFF"/>
            <w:tcMar>
              <w:top w:w="0" w:type="dxa"/>
              <w:left w:w="20" w:type="dxa"/>
              <w:bottom w:w="0" w:type="dxa"/>
              <w:right w:w="20" w:type="dxa"/>
            </w:tcMar>
            <w:vAlign w:val="center"/>
            <w:hideMark/>
          </w:tcPr>
          <w:p w14:paraId="2DBFBE07"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FE9DBAD" w14:textId="77777777" w:rsidR="00000000" w:rsidRDefault="00405D16">
            <w:pPr>
              <w:spacing w:after="100"/>
              <w:jc w:val="right"/>
              <w:rPr>
                <w:rFonts w:eastAsia="Times New Roman"/>
              </w:rPr>
            </w:pPr>
            <w:r>
              <w:rPr>
                <w:rFonts w:eastAsia="Times New Roman"/>
                <w:b/>
                <w:bCs/>
                <w:color w:val="000000"/>
                <w:sz w:val="18"/>
                <w:szCs w:val="18"/>
              </w:rPr>
              <w:t>7.91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99D3A1D"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FCB4233"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3B78C4D" w14:textId="77777777" w:rsidR="00000000" w:rsidRDefault="00405D16">
            <w:pPr>
              <w:spacing w:after="100"/>
              <w:jc w:val="right"/>
              <w:rPr>
                <w:rFonts w:eastAsia="Times New Roman"/>
              </w:rPr>
            </w:pPr>
            <w:r>
              <w:rPr>
                <w:rFonts w:eastAsia="Times New Roman"/>
                <w:color w:val="000000"/>
                <w:sz w:val="18"/>
                <w:szCs w:val="18"/>
              </w:rPr>
              <w:t>10.46 </w:t>
            </w:r>
          </w:p>
        </w:tc>
        <w:tc>
          <w:tcPr>
            <w:tcW w:w="0" w:type="auto"/>
            <w:shd w:val="clear" w:color="auto" w:fill="CCEEFF"/>
            <w:tcMar>
              <w:top w:w="30" w:type="dxa"/>
              <w:left w:w="0" w:type="dxa"/>
              <w:bottom w:w="30" w:type="dxa"/>
              <w:right w:w="20" w:type="dxa"/>
            </w:tcMar>
            <w:vAlign w:val="bottom"/>
            <w:hideMark/>
          </w:tcPr>
          <w:p w14:paraId="038E1D6C"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E0B7B97"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9915B60" w14:textId="77777777" w:rsidR="00000000" w:rsidRDefault="00405D16">
            <w:pPr>
              <w:spacing w:after="100"/>
              <w:jc w:val="right"/>
              <w:rPr>
                <w:rFonts w:eastAsia="Times New Roman"/>
              </w:rPr>
            </w:pPr>
            <w:r>
              <w:rPr>
                <w:rFonts w:eastAsia="Times New Roman"/>
                <w:color w:val="000000"/>
                <w:sz w:val="18"/>
                <w:szCs w:val="18"/>
              </w:rPr>
              <w:t>(255)</w:t>
            </w:r>
          </w:p>
        </w:tc>
        <w:tc>
          <w:tcPr>
            <w:tcW w:w="0" w:type="auto"/>
            <w:shd w:val="clear" w:color="auto" w:fill="CCEEFF"/>
            <w:tcMar>
              <w:top w:w="30" w:type="dxa"/>
              <w:left w:w="0" w:type="dxa"/>
              <w:bottom w:w="30" w:type="dxa"/>
              <w:right w:w="20" w:type="dxa"/>
            </w:tcMar>
            <w:vAlign w:val="bottom"/>
            <w:hideMark/>
          </w:tcPr>
          <w:p w14:paraId="786B2DBD" w14:textId="77777777" w:rsidR="00000000" w:rsidRDefault="00405D16">
            <w:pPr>
              <w:spacing w:after="100"/>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14:paraId="42C6B0E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7CA67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0A1CC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001049" w14:textId="77777777" w:rsidR="00000000" w:rsidRDefault="00405D16">
            <w:pPr>
              <w:spacing w:after="100"/>
              <w:rPr>
                <w:rFonts w:eastAsia="Times New Roman"/>
                <w:sz w:val="20"/>
                <w:szCs w:val="20"/>
              </w:rPr>
            </w:pPr>
          </w:p>
        </w:tc>
        <w:tc>
          <w:tcPr>
            <w:tcW w:w="0" w:type="auto"/>
            <w:vAlign w:val="center"/>
            <w:hideMark/>
          </w:tcPr>
          <w:p w14:paraId="787D8740" w14:textId="77777777" w:rsidR="00000000" w:rsidRDefault="00405D16">
            <w:pPr>
              <w:spacing w:after="100"/>
              <w:rPr>
                <w:rFonts w:eastAsia="Times New Roman"/>
                <w:sz w:val="20"/>
                <w:szCs w:val="20"/>
              </w:rPr>
            </w:pPr>
          </w:p>
        </w:tc>
        <w:tc>
          <w:tcPr>
            <w:tcW w:w="0" w:type="auto"/>
            <w:vAlign w:val="center"/>
            <w:hideMark/>
          </w:tcPr>
          <w:p w14:paraId="02BA8E1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E9311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0C1B91" w14:textId="77777777" w:rsidR="00000000" w:rsidRDefault="00405D16">
            <w:pPr>
              <w:spacing w:after="100"/>
              <w:rPr>
                <w:rFonts w:eastAsia="Times New Roman"/>
                <w:sz w:val="20"/>
                <w:szCs w:val="20"/>
              </w:rPr>
            </w:pPr>
          </w:p>
        </w:tc>
        <w:tc>
          <w:tcPr>
            <w:tcW w:w="0" w:type="auto"/>
            <w:gridSpan w:val="3"/>
            <w:vAlign w:val="center"/>
            <w:hideMark/>
          </w:tcPr>
          <w:p w14:paraId="758A519B" w14:textId="77777777" w:rsidR="00000000" w:rsidRDefault="00405D16">
            <w:pPr>
              <w:spacing w:after="100"/>
              <w:rPr>
                <w:rFonts w:eastAsia="Times New Roman"/>
                <w:sz w:val="20"/>
                <w:szCs w:val="20"/>
              </w:rPr>
            </w:pPr>
          </w:p>
        </w:tc>
        <w:tc>
          <w:tcPr>
            <w:tcW w:w="0" w:type="auto"/>
            <w:gridSpan w:val="3"/>
            <w:vAlign w:val="center"/>
            <w:hideMark/>
          </w:tcPr>
          <w:p w14:paraId="56698F88" w14:textId="77777777" w:rsidR="00000000" w:rsidRDefault="00405D16">
            <w:pPr>
              <w:spacing w:after="100"/>
              <w:rPr>
                <w:rFonts w:eastAsia="Times New Roman"/>
                <w:sz w:val="20"/>
                <w:szCs w:val="20"/>
              </w:rPr>
            </w:pPr>
          </w:p>
        </w:tc>
      </w:tr>
    </w:tbl>
    <w:p w14:paraId="61304C96" w14:textId="77777777" w:rsidR="00000000" w:rsidRDefault="00405D16">
      <w:pPr>
        <w:divId w:val="1834099678"/>
        <w:rPr>
          <w:rFonts w:eastAsia="Times New Roman"/>
        </w:rPr>
      </w:pPr>
      <w:r>
        <w:rPr>
          <w:rFonts w:eastAsia="Times New Roman"/>
          <w:color w:val="000000"/>
          <w:sz w:val="20"/>
          <w:szCs w:val="20"/>
        </w:rPr>
        <w:t>__________</w:t>
      </w:r>
    </w:p>
    <w:p w14:paraId="14F7022B" w14:textId="77777777" w:rsidR="00000000" w:rsidRDefault="00405D16">
      <w:pPr>
        <w:ind w:hanging="360"/>
        <w:jc w:val="both"/>
        <w:divId w:val="20868795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recognize finance charges and fee income on op</w:t>
      </w:r>
      <w:r>
        <w:rPr>
          <w:rFonts w:eastAsia="Times New Roman"/>
          <w:color w:val="000000"/>
          <w:sz w:val="16"/>
          <w:szCs w:val="16"/>
        </w:rPr>
        <w:t>en-ended loans in accordance with the contractual provisions of the credit arrangements and charge off uncollectible amounts. Total net revenue was reduced by $123 million and $478 million in the third quarter and first nine months of 2021, respectively, c</w:t>
      </w:r>
      <w:r>
        <w:rPr>
          <w:rFonts w:eastAsia="Times New Roman"/>
          <w:color w:val="000000"/>
          <w:sz w:val="16"/>
          <w:szCs w:val="16"/>
        </w:rPr>
        <w:t>ompared to $235 million and $942 million in the third quarter and first nine months of 2020, respectively, for credit card finance charges and fees charged off as uncollectible.</w:t>
      </w:r>
    </w:p>
    <w:p w14:paraId="631ADFC5" w14:textId="77777777" w:rsidR="00000000" w:rsidRDefault="00405D16">
      <w:pPr>
        <w:ind w:hanging="360"/>
        <w:jc w:val="both"/>
        <w:divId w:val="1973825294"/>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Average yield is calculated based on annualized interest income for the per</w:t>
      </w:r>
      <w:r>
        <w:rPr>
          <w:rFonts w:eastAsia="Times New Roman"/>
          <w:color w:val="000000"/>
          <w:sz w:val="16"/>
          <w:szCs w:val="16"/>
        </w:rPr>
        <w:t>iod divided by average loans during the period and does not include any allocations, such as funds transfer pricing.</w:t>
      </w:r>
    </w:p>
    <w:p w14:paraId="19077298" w14:textId="77777777" w:rsidR="00000000" w:rsidRDefault="00405D16">
      <w:pPr>
        <w:ind w:hanging="360"/>
        <w:jc w:val="both"/>
        <w:divId w:val="1168518504"/>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Total net revenue margin is calculated based on annualized total net revenue for the period divided by average loans during the period.</w:t>
      </w:r>
    </w:p>
    <w:p w14:paraId="4DC3E585" w14:textId="77777777" w:rsidR="00000000" w:rsidRDefault="00405D16">
      <w:pPr>
        <w:ind w:hanging="360"/>
        <w:jc w:val="both"/>
        <w:divId w:val="2138713838"/>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Within our credit card loan portfolio, only certain loans in our international card businesses are classified as nonperforming. See “MD&amp;A—Nonperforming Loans and Other Nonperforming Assets” for additional information.</w:t>
      </w:r>
    </w:p>
    <w:p w14:paraId="6F48F0E9" w14:textId="77777777" w:rsidR="00000000" w:rsidRDefault="00405D16">
      <w:pPr>
        <w:jc w:val="both"/>
        <w:divId w:val="22293008"/>
        <w:rPr>
          <w:rFonts w:eastAsia="Times New Roman"/>
        </w:rPr>
      </w:pPr>
      <w:r>
        <w:rPr>
          <w:rFonts w:eastAsia="Times New Roman"/>
          <w:color w:val="000000"/>
          <w:sz w:val="16"/>
          <w:szCs w:val="16"/>
        </w:rPr>
        <w:t>**    Not meaningful.</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75C23590" w14:textId="77777777">
        <w:trPr>
          <w:divId w:val="1153109134"/>
          <w:jc w:val="center"/>
        </w:trPr>
        <w:tc>
          <w:tcPr>
            <w:tcW w:w="50" w:type="pct"/>
            <w:vAlign w:val="center"/>
            <w:hideMark/>
          </w:tcPr>
          <w:p w14:paraId="5C4F136D" w14:textId="77777777" w:rsidR="00000000" w:rsidRDefault="00405D16">
            <w:pPr>
              <w:jc w:val="both"/>
              <w:rPr>
                <w:rFonts w:eastAsia="Times New Roman"/>
              </w:rPr>
            </w:pPr>
          </w:p>
        </w:tc>
        <w:tc>
          <w:tcPr>
            <w:tcW w:w="1606" w:type="pct"/>
            <w:vAlign w:val="center"/>
            <w:hideMark/>
          </w:tcPr>
          <w:p w14:paraId="60A9354E" w14:textId="77777777" w:rsidR="00000000" w:rsidRDefault="00405D16">
            <w:pPr>
              <w:spacing w:after="100"/>
              <w:rPr>
                <w:rFonts w:eastAsia="Times New Roman"/>
                <w:sz w:val="20"/>
                <w:szCs w:val="20"/>
              </w:rPr>
            </w:pPr>
          </w:p>
        </w:tc>
        <w:tc>
          <w:tcPr>
            <w:tcW w:w="5" w:type="pct"/>
            <w:vAlign w:val="center"/>
            <w:hideMark/>
          </w:tcPr>
          <w:p w14:paraId="566EE313" w14:textId="77777777" w:rsidR="00000000" w:rsidRDefault="00405D16">
            <w:pPr>
              <w:spacing w:after="100"/>
              <w:rPr>
                <w:rFonts w:eastAsia="Times New Roman"/>
                <w:sz w:val="20"/>
                <w:szCs w:val="20"/>
              </w:rPr>
            </w:pPr>
          </w:p>
        </w:tc>
        <w:tc>
          <w:tcPr>
            <w:tcW w:w="50" w:type="pct"/>
            <w:vAlign w:val="center"/>
            <w:hideMark/>
          </w:tcPr>
          <w:p w14:paraId="770A45C3" w14:textId="77777777" w:rsidR="00000000" w:rsidRDefault="00405D16">
            <w:pPr>
              <w:spacing w:after="100"/>
              <w:rPr>
                <w:rFonts w:eastAsia="Times New Roman"/>
                <w:sz w:val="20"/>
                <w:szCs w:val="20"/>
              </w:rPr>
            </w:pPr>
          </w:p>
        </w:tc>
        <w:tc>
          <w:tcPr>
            <w:tcW w:w="1614" w:type="pct"/>
            <w:vAlign w:val="center"/>
            <w:hideMark/>
          </w:tcPr>
          <w:p w14:paraId="60233F53" w14:textId="77777777" w:rsidR="00000000" w:rsidRDefault="00405D16">
            <w:pPr>
              <w:spacing w:after="100"/>
              <w:rPr>
                <w:rFonts w:eastAsia="Times New Roman"/>
                <w:sz w:val="20"/>
                <w:szCs w:val="20"/>
              </w:rPr>
            </w:pPr>
          </w:p>
        </w:tc>
        <w:tc>
          <w:tcPr>
            <w:tcW w:w="5" w:type="pct"/>
            <w:vAlign w:val="center"/>
            <w:hideMark/>
          </w:tcPr>
          <w:p w14:paraId="43414C29" w14:textId="77777777" w:rsidR="00000000" w:rsidRDefault="00405D16">
            <w:pPr>
              <w:spacing w:after="100"/>
              <w:rPr>
                <w:rFonts w:eastAsia="Times New Roman"/>
                <w:sz w:val="20"/>
                <w:szCs w:val="20"/>
              </w:rPr>
            </w:pPr>
          </w:p>
        </w:tc>
        <w:tc>
          <w:tcPr>
            <w:tcW w:w="50" w:type="pct"/>
            <w:vAlign w:val="center"/>
            <w:hideMark/>
          </w:tcPr>
          <w:p w14:paraId="3B13A825" w14:textId="77777777" w:rsidR="00000000" w:rsidRDefault="00405D16">
            <w:pPr>
              <w:spacing w:after="100"/>
              <w:rPr>
                <w:rFonts w:eastAsia="Times New Roman"/>
                <w:sz w:val="20"/>
                <w:szCs w:val="20"/>
              </w:rPr>
            </w:pPr>
          </w:p>
        </w:tc>
        <w:tc>
          <w:tcPr>
            <w:tcW w:w="1614" w:type="pct"/>
            <w:vAlign w:val="center"/>
            <w:hideMark/>
          </w:tcPr>
          <w:p w14:paraId="7C2678D1" w14:textId="77777777" w:rsidR="00000000" w:rsidRDefault="00405D16">
            <w:pPr>
              <w:spacing w:after="100"/>
              <w:rPr>
                <w:rFonts w:eastAsia="Times New Roman"/>
                <w:sz w:val="20"/>
                <w:szCs w:val="20"/>
              </w:rPr>
            </w:pPr>
          </w:p>
        </w:tc>
        <w:tc>
          <w:tcPr>
            <w:tcW w:w="5" w:type="pct"/>
            <w:vAlign w:val="center"/>
            <w:hideMark/>
          </w:tcPr>
          <w:p w14:paraId="6AF5E0E9" w14:textId="77777777" w:rsidR="00000000" w:rsidRDefault="00405D16">
            <w:pPr>
              <w:spacing w:after="100"/>
              <w:rPr>
                <w:rFonts w:eastAsia="Times New Roman"/>
                <w:sz w:val="20"/>
                <w:szCs w:val="20"/>
              </w:rPr>
            </w:pPr>
          </w:p>
        </w:tc>
      </w:tr>
      <w:tr w:rsidR="00000000" w14:paraId="7B6FED3F" w14:textId="77777777">
        <w:trPr>
          <w:divId w:val="1153109134"/>
          <w:trHeight w:val="300"/>
          <w:jc w:val="center"/>
        </w:trPr>
        <w:tc>
          <w:tcPr>
            <w:tcW w:w="0" w:type="auto"/>
            <w:gridSpan w:val="9"/>
            <w:tcMar>
              <w:top w:w="0" w:type="dxa"/>
              <w:left w:w="20" w:type="dxa"/>
              <w:bottom w:w="0" w:type="dxa"/>
              <w:right w:w="20" w:type="dxa"/>
            </w:tcMar>
            <w:vAlign w:val="center"/>
            <w:hideMark/>
          </w:tcPr>
          <w:p w14:paraId="368DDD4F" w14:textId="77777777" w:rsidR="00000000" w:rsidRDefault="00405D16">
            <w:pPr>
              <w:spacing w:after="100"/>
              <w:rPr>
                <w:rFonts w:eastAsia="Times New Roman"/>
                <w:sz w:val="20"/>
                <w:szCs w:val="20"/>
              </w:rPr>
            </w:pPr>
          </w:p>
        </w:tc>
      </w:tr>
      <w:tr w:rsidR="00000000" w14:paraId="77E869A0" w14:textId="77777777">
        <w:trPr>
          <w:divId w:val="1153109134"/>
          <w:jc w:val="center"/>
        </w:trPr>
        <w:tc>
          <w:tcPr>
            <w:tcW w:w="0" w:type="auto"/>
            <w:gridSpan w:val="3"/>
            <w:tcMar>
              <w:top w:w="0" w:type="dxa"/>
              <w:left w:w="20" w:type="dxa"/>
              <w:bottom w:w="0" w:type="dxa"/>
              <w:right w:w="20" w:type="dxa"/>
            </w:tcMar>
            <w:vAlign w:val="center"/>
            <w:hideMark/>
          </w:tcPr>
          <w:p w14:paraId="0FED8A04"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6D4864F" w14:textId="77777777" w:rsidR="00000000" w:rsidRDefault="00405D16">
            <w:pPr>
              <w:spacing w:after="100"/>
              <w:jc w:val="center"/>
              <w:rPr>
                <w:rFonts w:eastAsia="Times New Roman"/>
              </w:rPr>
            </w:pPr>
            <w:r>
              <w:rPr>
                <w:rFonts w:eastAsia="Times New Roman"/>
                <w:color w:val="000000"/>
                <w:sz w:val="16"/>
                <w:szCs w:val="16"/>
              </w:rPr>
              <w:t>21</w:t>
            </w:r>
          </w:p>
        </w:tc>
        <w:tc>
          <w:tcPr>
            <w:tcW w:w="0" w:type="auto"/>
            <w:gridSpan w:val="3"/>
            <w:tcMar>
              <w:top w:w="30" w:type="dxa"/>
              <w:left w:w="20" w:type="dxa"/>
              <w:bottom w:w="30" w:type="dxa"/>
              <w:right w:w="20" w:type="dxa"/>
            </w:tcMar>
            <w:vAlign w:val="bottom"/>
            <w:hideMark/>
          </w:tcPr>
          <w:p w14:paraId="423149C9"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2A291583" w14:textId="77777777" w:rsidR="00000000" w:rsidRDefault="00405D16">
      <w:pPr>
        <w:rPr>
          <w:rFonts w:eastAsia="Times New Roman"/>
        </w:rPr>
      </w:pPr>
      <w:r>
        <w:rPr>
          <w:rFonts w:eastAsia="Times New Roman"/>
        </w:rPr>
        <w:pict w14:anchorId="28D8BCB3">
          <v:rect id="_x0000_i1046" style="width:0;height:1.5pt" o:hralign="center" o:hrstd="t" o:hr="t" fillcolor="#a0a0a0" stroked="f"/>
        </w:pict>
      </w:r>
    </w:p>
    <w:p w14:paraId="052B1C22" w14:textId="77777777" w:rsidR="00000000" w:rsidRDefault="00405D16">
      <w:pPr>
        <w:ind w:hanging="360"/>
        <w:jc w:val="both"/>
        <w:divId w:val="807093341"/>
        <w:rPr>
          <w:rFonts w:eastAsia="Times New Roman"/>
        </w:rPr>
      </w:pPr>
      <w:hyperlink w:anchor="idd54a04a485440b4ab4e56094c14d612_13" w:history="1">
        <w:r>
          <w:rPr>
            <w:rStyle w:val="a3"/>
            <w:rFonts w:eastAsia="Times New Roman"/>
            <w:sz w:val="16"/>
            <w:szCs w:val="16"/>
          </w:rPr>
          <w:t>Table of Contents</w:t>
        </w:r>
      </w:hyperlink>
    </w:p>
    <w:p w14:paraId="61E2FA26" w14:textId="77777777" w:rsidR="00000000" w:rsidRDefault="00405D16">
      <w:pPr>
        <w:jc w:val="both"/>
        <w:divId w:val="1287807743"/>
        <w:rPr>
          <w:rFonts w:eastAsia="Times New Roman"/>
        </w:rPr>
      </w:pPr>
      <w:r>
        <w:rPr>
          <w:rFonts w:eastAsia="Times New Roman"/>
          <w:color w:val="000000"/>
          <w:sz w:val="20"/>
          <w:szCs w:val="20"/>
        </w:rPr>
        <w:t>Key factors affecting the results of our Credit Card business for the third quarter and first nine months of 2021 compared to the third quarter</w:t>
      </w:r>
      <w:r>
        <w:rPr>
          <w:rFonts w:eastAsia="Times New Roman"/>
          <w:color w:val="000000"/>
          <w:sz w:val="20"/>
          <w:szCs w:val="20"/>
        </w:rPr>
        <w:t xml:space="preserve"> and first nine months of 2020, and changes in financial condition and credit performance between September 30, 2021 and December 31, 2020 include the following:</w:t>
      </w:r>
    </w:p>
    <w:p w14:paraId="5BA36DAD" w14:textId="77777777" w:rsidR="00000000" w:rsidRDefault="00405D16">
      <w:pPr>
        <w:ind w:hanging="360"/>
        <w:jc w:val="both"/>
        <w:divId w:val="1683316459"/>
        <w:rPr>
          <w:rFonts w:eastAsia="Times New Roman"/>
        </w:rPr>
      </w:pPr>
      <w:r>
        <w:rPr>
          <w:rFonts w:eastAsia="Times New Roman"/>
          <w:color w:val="000000"/>
          <w:sz w:val="20"/>
          <w:szCs w:val="20"/>
        </w:rPr>
        <w:t>•</w:t>
      </w:r>
      <w:r>
        <w:rPr>
          <w:rFonts w:eastAsia="Times New Roman"/>
          <w:i/>
          <w:iCs/>
          <w:color w:val="000000"/>
          <w:sz w:val="20"/>
          <w:szCs w:val="20"/>
        </w:rPr>
        <w:t>Net Interest Income:</w:t>
      </w:r>
      <w:r>
        <w:rPr>
          <w:rFonts w:eastAsia="Times New Roman"/>
          <w:color w:val="000000"/>
          <w:sz w:val="20"/>
          <w:szCs w:val="20"/>
        </w:rPr>
        <w:t xml:space="preserve"> Net interest income increased by $328 million to $3.6 billion in the thi</w:t>
      </w:r>
      <w:r>
        <w:rPr>
          <w:rFonts w:eastAsia="Times New Roman"/>
          <w:color w:val="000000"/>
          <w:sz w:val="20"/>
          <w:szCs w:val="20"/>
        </w:rPr>
        <w:t>rd quarter of 2021 primarily driven by higher margins and higher average loan balances. Net interest income decreased by $154 million to $10.2 billion in the first nine months of 2021 primarily driven by lower average loan balances.</w:t>
      </w:r>
    </w:p>
    <w:p w14:paraId="27B378F0" w14:textId="77777777" w:rsidR="00000000" w:rsidRDefault="00405D16">
      <w:pPr>
        <w:ind w:hanging="360"/>
        <w:jc w:val="both"/>
        <w:divId w:val="109739600"/>
        <w:rPr>
          <w:rFonts w:eastAsia="Times New Roman"/>
        </w:rPr>
      </w:pPr>
      <w:r>
        <w:rPr>
          <w:rFonts w:eastAsia="Times New Roman"/>
          <w:color w:val="000000"/>
          <w:sz w:val="18"/>
          <w:szCs w:val="18"/>
        </w:rPr>
        <w:t>•</w:t>
      </w:r>
      <w:r>
        <w:rPr>
          <w:rFonts w:eastAsia="Times New Roman"/>
          <w:i/>
          <w:iCs/>
          <w:color w:val="000000"/>
          <w:sz w:val="20"/>
          <w:szCs w:val="20"/>
        </w:rPr>
        <w:t xml:space="preserve">Non-Interest Income: </w:t>
      </w:r>
      <w:r>
        <w:rPr>
          <w:rFonts w:eastAsia="Times New Roman"/>
          <w:color w:val="000000"/>
          <w:sz w:val="20"/>
          <w:szCs w:val="20"/>
        </w:rPr>
        <w:t>N</w:t>
      </w:r>
      <w:r>
        <w:rPr>
          <w:rFonts w:eastAsia="Times New Roman"/>
          <w:color w:val="000000"/>
          <w:sz w:val="20"/>
          <w:szCs w:val="20"/>
        </w:rPr>
        <w:t>on-interest income increased by $250 million to $1.3 billion in the third quarter of 2021 and increased by $776 million to $3.5 billion in the first nine months of 2021 primarily driven by higher net interchange fees due to an increase in purchase volume.</w:t>
      </w:r>
    </w:p>
    <w:p w14:paraId="2B336907" w14:textId="77777777" w:rsidR="00000000" w:rsidRDefault="00405D16">
      <w:pPr>
        <w:ind w:hanging="360"/>
        <w:jc w:val="both"/>
        <w:divId w:val="1768771743"/>
        <w:rPr>
          <w:rFonts w:eastAsia="Times New Roman"/>
        </w:rPr>
      </w:pPr>
      <w:r>
        <w:rPr>
          <w:rFonts w:eastAsia="Times New Roman"/>
          <w:color w:val="000000"/>
          <w:sz w:val="20"/>
          <w:szCs w:val="20"/>
        </w:rPr>
        <w:t>•</w:t>
      </w:r>
      <w:r>
        <w:rPr>
          <w:rFonts w:eastAsia="Times New Roman"/>
          <w:i/>
          <w:iCs/>
          <w:color w:val="000000"/>
          <w:sz w:val="20"/>
          <w:szCs w:val="20"/>
        </w:rPr>
        <w:t>Provision for Credit Losses:</w:t>
      </w:r>
      <w:r>
        <w:rPr>
          <w:rFonts w:eastAsia="Times New Roman"/>
          <w:color w:val="000000"/>
          <w:sz w:val="20"/>
          <w:szCs w:val="20"/>
        </w:rPr>
        <w:t xml:space="preserve"> Provision for credit losses decreased by $648 million to a benefit of $198 million in the third quarter of 2021 driven by an allowance release primarily due to strong credit performance. Provision for credit losses decreased b</w:t>
      </w:r>
      <w:r>
        <w:rPr>
          <w:rFonts w:eastAsia="Times New Roman"/>
          <w:color w:val="000000"/>
          <w:sz w:val="20"/>
          <w:szCs w:val="20"/>
        </w:rPr>
        <w:t xml:space="preserve">y $8.4 billion to a benefit of $1.3 billion in the first nine months of 2021 resulting from allowance releases in 2021 due to continued strong credit performance and an improved economic outlook, compared to allowance builds in 2020 driven by expectations </w:t>
      </w:r>
      <w:r>
        <w:rPr>
          <w:rFonts w:eastAsia="Times New Roman"/>
          <w:color w:val="000000"/>
          <w:sz w:val="20"/>
          <w:szCs w:val="20"/>
        </w:rPr>
        <w:t>of economic worsening at the start of the COVID-19 pandemic.</w:t>
      </w:r>
    </w:p>
    <w:p w14:paraId="6E510336" w14:textId="77777777" w:rsidR="00000000" w:rsidRDefault="00405D16">
      <w:pPr>
        <w:ind w:hanging="360"/>
        <w:jc w:val="both"/>
        <w:divId w:val="2113042906"/>
        <w:rPr>
          <w:rFonts w:eastAsia="Times New Roman"/>
        </w:rPr>
      </w:pPr>
      <w:r>
        <w:rPr>
          <w:rFonts w:eastAsia="Times New Roman"/>
          <w:i/>
          <w:iCs/>
          <w:color w:val="000000"/>
          <w:sz w:val="20"/>
          <w:szCs w:val="20"/>
        </w:rPr>
        <w:t>•Non-Interest Expense:</w:t>
      </w:r>
      <w:r>
        <w:rPr>
          <w:rFonts w:eastAsia="Times New Roman"/>
          <w:color w:val="000000"/>
          <w:sz w:val="20"/>
          <w:szCs w:val="20"/>
        </w:rPr>
        <w:t xml:space="preserve"> Non-interest expense increased by $421 million to $2.4 billion in the third quarter of 2021 and increased by $642 million to $6.8 billion in the first nine months of 2021 p</w:t>
      </w:r>
      <w:r>
        <w:rPr>
          <w:rFonts w:eastAsia="Times New Roman"/>
          <w:color w:val="000000"/>
          <w:sz w:val="20"/>
          <w:szCs w:val="20"/>
        </w:rPr>
        <w:t>rimarily driven by increased marketing spend.</w:t>
      </w:r>
    </w:p>
    <w:p w14:paraId="34F52E5F" w14:textId="77777777" w:rsidR="00000000" w:rsidRDefault="00405D16">
      <w:pPr>
        <w:ind w:hanging="360"/>
        <w:divId w:val="1099720796"/>
        <w:rPr>
          <w:rFonts w:eastAsia="Times New Roman"/>
        </w:rPr>
      </w:pPr>
      <w:r>
        <w:rPr>
          <w:rFonts w:eastAsia="Times New Roman"/>
          <w:b/>
          <w:bCs/>
          <w:color w:val="000000"/>
          <w:sz w:val="18"/>
          <w:szCs w:val="18"/>
        </w:rPr>
        <w:t>•</w:t>
      </w:r>
      <w:r>
        <w:rPr>
          <w:rFonts w:eastAsia="Times New Roman"/>
          <w:i/>
          <w:iCs/>
          <w:color w:val="000000"/>
          <w:sz w:val="20"/>
          <w:szCs w:val="20"/>
        </w:rPr>
        <w:t>Loans Held for Investment:</w:t>
      </w:r>
      <w:r>
        <w:rPr>
          <w:rFonts w:eastAsia="Times New Roman"/>
          <w:color w:val="000000"/>
          <w:sz w:val="20"/>
          <w:szCs w:val="20"/>
        </w:rPr>
        <w:t xml:space="preserve"> </w:t>
      </w:r>
    </w:p>
    <w:p w14:paraId="3D00C0D0" w14:textId="77777777" w:rsidR="00000000" w:rsidRDefault="00405D16">
      <w:pPr>
        <w:spacing w:before="180" w:after="180"/>
        <w:ind w:hanging="360"/>
        <w:jc w:val="both"/>
        <w:divId w:val="1021512543"/>
        <w:rPr>
          <w:rFonts w:eastAsia="Times New Roman"/>
        </w:rPr>
      </w:pPr>
      <w:r>
        <w:rPr>
          <w:rFonts w:eastAsia="Times New Roman"/>
          <w:color w:val="000000"/>
          <w:sz w:val="20"/>
          <w:szCs w:val="20"/>
        </w:rPr>
        <w:t>◦</w:t>
      </w:r>
      <w:r>
        <w:rPr>
          <w:rFonts w:eastAsia="Times New Roman"/>
          <w:color w:val="000000"/>
          <w:sz w:val="20"/>
          <w:szCs w:val="20"/>
        </w:rPr>
        <w:t>Period-end loans held for investment decreased by $1.9 billion to $105.0 billion as of September 30, 2021 from December 31, 2020 primarily due to higher customer payments and the t</w:t>
      </w:r>
      <w:r>
        <w:rPr>
          <w:rFonts w:eastAsia="Times New Roman"/>
          <w:color w:val="000000"/>
          <w:sz w:val="20"/>
          <w:szCs w:val="20"/>
        </w:rPr>
        <w:t>ransfer of a $2.6 billion international card partnership portfolio to held for sale in the second quarter of 2021, partially offset by higher purchase volume.</w:t>
      </w:r>
    </w:p>
    <w:p w14:paraId="60F1BE48" w14:textId="77777777" w:rsidR="00000000" w:rsidRDefault="00405D16">
      <w:pPr>
        <w:spacing w:before="180" w:after="180"/>
        <w:ind w:hanging="360"/>
        <w:jc w:val="both"/>
        <w:divId w:val="1402286885"/>
        <w:rPr>
          <w:rFonts w:eastAsia="Times New Roman"/>
        </w:rPr>
      </w:pPr>
      <w:r>
        <w:rPr>
          <w:rFonts w:eastAsia="Times New Roman"/>
          <w:color w:val="000000"/>
          <w:sz w:val="20"/>
          <w:szCs w:val="20"/>
        </w:rPr>
        <w:t>◦</w:t>
      </w:r>
      <w:r>
        <w:rPr>
          <w:rFonts w:eastAsia="Times New Roman"/>
          <w:color w:val="000000"/>
          <w:sz w:val="20"/>
          <w:szCs w:val="20"/>
        </w:rPr>
        <w:t>Average loans held for investment decreased by $3.3 billion to $102.0 billion in the third quart</w:t>
      </w:r>
      <w:r>
        <w:rPr>
          <w:rFonts w:eastAsia="Times New Roman"/>
          <w:color w:val="000000"/>
          <w:sz w:val="20"/>
          <w:szCs w:val="20"/>
        </w:rPr>
        <w:t>er of 2021 compared to the third quarter of 2020 and decreased by $11.5 billion to $100.8 billion in the first nine months of 2021 compared to the first nine months of 2020 primarily due to higher customer payments and the transfer of a $2.6 billion intern</w:t>
      </w:r>
      <w:r>
        <w:rPr>
          <w:rFonts w:eastAsia="Times New Roman"/>
          <w:color w:val="000000"/>
          <w:sz w:val="20"/>
          <w:szCs w:val="20"/>
        </w:rPr>
        <w:t>ational card partnership portfolio to held for sale in the second quarter of 2021, partially offset by higher purchase volume.</w:t>
      </w:r>
    </w:p>
    <w:p w14:paraId="351DBE60" w14:textId="77777777" w:rsidR="00000000" w:rsidRDefault="00405D16">
      <w:pPr>
        <w:ind w:hanging="360"/>
        <w:jc w:val="both"/>
        <w:divId w:val="1000738711"/>
        <w:rPr>
          <w:rFonts w:eastAsia="Times New Roman"/>
        </w:rPr>
      </w:pPr>
      <w:r>
        <w:rPr>
          <w:rFonts w:eastAsia="Times New Roman"/>
          <w:i/>
          <w:iCs/>
          <w:color w:val="000000"/>
          <w:sz w:val="20"/>
          <w:szCs w:val="20"/>
        </w:rPr>
        <w:t>•Net Charge-Off and Delinquency Metrics:</w:t>
      </w:r>
      <w:r>
        <w:rPr>
          <w:rFonts w:eastAsia="Times New Roman"/>
          <w:color w:val="000000"/>
          <w:sz w:val="20"/>
          <w:szCs w:val="20"/>
        </w:rPr>
        <w:t xml:space="preserve"> The net charge-off rate decreased by 215 basis points to 1.43% in the third quarter of 2</w:t>
      </w:r>
      <w:r>
        <w:rPr>
          <w:rFonts w:eastAsia="Times New Roman"/>
          <w:color w:val="000000"/>
          <w:sz w:val="20"/>
          <w:szCs w:val="20"/>
        </w:rPr>
        <w:t>021 compared to the third quarter of 2020 and decreased by 218 basis points to 2.08% in the first nine months of 2021 compared to the first nine months of 2020 primarily driven by strong credit performance.</w:t>
      </w:r>
    </w:p>
    <w:p w14:paraId="511D4A22" w14:textId="77777777" w:rsidR="00000000" w:rsidRDefault="00405D16">
      <w:pPr>
        <w:jc w:val="both"/>
        <w:divId w:val="661856005"/>
        <w:rPr>
          <w:rFonts w:eastAsia="Times New Roman"/>
        </w:rPr>
      </w:pPr>
      <w:r>
        <w:rPr>
          <w:rFonts w:eastAsia="Times New Roman"/>
          <w:color w:val="000000"/>
          <w:sz w:val="20"/>
          <w:szCs w:val="20"/>
        </w:rPr>
        <w:t>The 30+ day delinquency rate decreased by 45 basi</w:t>
      </w:r>
      <w:r>
        <w:rPr>
          <w:rFonts w:eastAsia="Times New Roman"/>
          <w:color w:val="000000"/>
          <w:sz w:val="20"/>
          <w:szCs w:val="20"/>
        </w:rPr>
        <w:t>s points to 2.00% as of September 30, 2021 from December 31, 2020 driven by strong credit performance.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6CC13264" w14:textId="77777777">
        <w:trPr>
          <w:divId w:val="2045517987"/>
          <w:jc w:val="center"/>
        </w:trPr>
        <w:tc>
          <w:tcPr>
            <w:tcW w:w="50" w:type="pct"/>
            <w:vAlign w:val="center"/>
            <w:hideMark/>
          </w:tcPr>
          <w:p w14:paraId="6BB1CB59" w14:textId="77777777" w:rsidR="00000000" w:rsidRDefault="00405D16">
            <w:pPr>
              <w:jc w:val="both"/>
              <w:rPr>
                <w:rFonts w:eastAsia="Times New Roman"/>
              </w:rPr>
            </w:pPr>
          </w:p>
        </w:tc>
        <w:tc>
          <w:tcPr>
            <w:tcW w:w="1606" w:type="pct"/>
            <w:vAlign w:val="center"/>
            <w:hideMark/>
          </w:tcPr>
          <w:p w14:paraId="1ED2FCBC" w14:textId="77777777" w:rsidR="00000000" w:rsidRDefault="00405D16">
            <w:pPr>
              <w:spacing w:after="100"/>
              <w:rPr>
                <w:rFonts w:eastAsia="Times New Roman"/>
                <w:sz w:val="20"/>
                <w:szCs w:val="20"/>
              </w:rPr>
            </w:pPr>
          </w:p>
        </w:tc>
        <w:tc>
          <w:tcPr>
            <w:tcW w:w="5" w:type="pct"/>
            <w:vAlign w:val="center"/>
            <w:hideMark/>
          </w:tcPr>
          <w:p w14:paraId="1F368540" w14:textId="77777777" w:rsidR="00000000" w:rsidRDefault="00405D16">
            <w:pPr>
              <w:spacing w:after="100"/>
              <w:rPr>
                <w:rFonts w:eastAsia="Times New Roman"/>
                <w:sz w:val="20"/>
                <w:szCs w:val="20"/>
              </w:rPr>
            </w:pPr>
          </w:p>
        </w:tc>
        <w:tc>
          <w:tcPr>
            <w:tcW w:w="50" w:type="pct"/>
            <w:vAlign w:val="center"/>
            <w:hideMark/>
          </w:tcPr>
          <w:p w14:paraId="09A2B0A2" w14:textId="77777777" w:rsidR="00000000" w:rsidRDefault="00405D16">
            <w:pPr>
              <w:spacing w:after="100"/>
              <w:rPr>
                <w:rFonts w:eastAsia="Times New Roman"/>
                <w:sz w:val="20"/>
                <w:szCs w:val="20"/>
              </w:rPr>
            </w:pPr>
          </w:p>
        </w:tc>
        <w:tc>
          <w:tcPr>
            <w:tcW w:w="1614" w:type="pct"/>
            <w:vAlign w:val="center"/>
            <w:hideMark/>
          </w:tcPr>
          <w:p w14:paraId="415EFC29" w14:textId="77777777" w:rsidR="00000000" w:rsidRDefault="00405D16">
            <w:pPr>
              <w:spacing w:after="100"/>
              <w:rPr>
                <w:rFonts w:eastAsia="Times New Roman"/>
                <w:sz w:val="20"/>
                <w:szCs w:val="20"/>
              </w:rPr>
            </w:pPr>
          </w:p>
        </w:tc>
        <w:tc>
          <w:tcPr>
            <w:tcW w:w="5" w:type="pct"/>
            <w:vAlign w:val="center"/>
            <w:hideMark/>
          </w:tcPr>
          <w:p w14:paraId="73FC8B68" w14:textId="77777777" w:rsidR="00000000" w:rsidRDefault="00405D16">
            <w:pPr>
              <w:spacing w:after="100"/>
              <w:rPr>
                <w:rFonts w:eastAsia="Times New Roman"/>
                <w:sz w:val="20"/>
                <w:szCs w:val="20"/>
              </w:rPr>
            </w:pPr>
          </w:p>
        </w:tc>
        <w:tc>
          <w:tcPr>
            <w:tcW w:w="50" w:type="pct"/>
            <w:vAlign w:val="center"/>
            <w:hideMark/>
          </w:tcPr>
          <w:p w14:paraId="3A7CFECE" w14:textId="77777777" w:rsidR="00000000" w:rsidRDefault="00405D16">
            <w:pPr>
              <w:spacing w:after="100"/>
              <w:rPr>
                <w:rFonts w:eastAsia="Times New Roman"/>
                <w:sz w:val="20"/>
                <w:szCs w:val="20"/>
              </w:rPr>
            </w:pPr>
          </w:p>
        </w:tc>
        <w:tc>
          <w:tcPr>
            <w:tcW w:w="1614" w:type="pct"/>
            <w:vAlign w:val="center"/>
            <w:hideMark/>
          </w:tcPr>
          <w:p w14:paraId="6847FF92" w14:textId="77777777" w:rsidR="00000000" w:rsidRDefault="00405D16">
            <w:pPr>
              <w:spacing w:after="100"/>
              <w:rPr>
                <w:rFonts w:eastAsia="Times New Roman"/>
                <w:sz w:val="20"/>
                <w:szCs w:val="20"/>
              </w:rPr>
            </w:pPr>
          </w:p>
        </w:tc>
        <w:tc>
          <w:tcPr>
            <w:tcW w:w="5" w:type="pct"/>
            <w:vAlign w:val="center"/>
            <w:hideMark/>
          </w:tcPr>
          <w:p w14:paraId="2D2482F8" w14:textId="77777777" w:rsidR="00000000" w:rsidRDefault="00405D16">
            <w:pPr>
              <w:spacing w:after="100"/>
              <w:rPr>
                <w:rFonts w:eastAsia="Times New Roman"/>
                <w:sz w:val="20"/>
                <w:szCs w:val="20"/>
              </w:rPr>
            </w:pPr>
          </w:p>
        </w:tc>
      </w:tr>
      <w:tr w:rsidR="00000000" w14:paraId="6E3CED5D" w14:textId="77777777">
        <w:trPr>
          <w:divId w:val="2045517987"/>
          <w:trHeight w:val="300"/>
          <w:jc w:val="center"/>
        </w:trPr>
        <w:tc>
          <w:tcPr>
            <w:tcW w:w="0" w:type="auto"/>
            <w:gridSpan w:val="9"/>
            <w:tcMar>
              <w:top w:w="0" w:type="dxa"/>
              <w:left w:w="20" w:type="dxa"/>
              <w:bottom w:w="0" w:type="dxa"/>
              <w:right w:w="20" w:type="dxa"/>
            </w:tcMar>
            <w:vAlign w:val="center"/>
            <w:hideMark/>
          </w:tcPr>
          <w:p w14:paraId="4AB71F69" w14:textId="77777777" w:rsidR="00000000" w:rsidRDefault="00405D16">
            <w:pPr>
              <w:spacing w:after="100"/>
              <w:rPr>
                <w:rFonts w:eastAsia="Times New Roman"/>
                <w:sz w:val="20"/>
                <w:szCs w:val="20"/>
              </w:rPr>
            </w:pPr>
          </w:p>
        </w:tc>
      </w:tr>
      <w:tr w:rsidR="00000000" w14:paraId="40408095" w14:textId="77777777">
        <w:trPr>
          <w:divId w:val="2045517987"/>
          <w:jc w:val="center"/>
        </w:trPr>
        <w:tc>
          <w:tcPr>
            <w:tcW w:w="0" w:type="auto"/>
            <w:gridSpan w:val="3"/>
            <w:tcMar>
              <w:top w:w="0" w:type="dxa"/>
              <w:left w:w="20" w:type="dxa"/>
              <w:bottom w:w="0" w:type="dxa"/>
              <w:right w:w="20" w:type="dxa"/>
            </w:tcMar>
            <w:vAlign w:val="center"/>
            <w:hideMark/>
          </w:tcPr>
          <w:p w14:paraId="326AEA0B"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AA17925" w14:textId="77777777" w:rsidR="00000000" w:rsidRDefault="00405D16">
            <w:pPr>
              <w:spacing w:after="100"/>
              <w:jc w:val="center"/>
              <w:rPr>
                <w:rFonts w:eastAsia="Times New Roman"/>
              </w:rPr>
            </w:pPr>
            <w:r>
              <w:rPr>
                <w:rFonts w:eastAsia="Times New Roman"/>
                <w:color w:val="000000"/>
                <w:sz w:val="16"/>
                <w:szCs w:val="16"/>
              </w:rPr>
              <w:t>22</w:t>
            </w:r>
          </w:p>
        </w:tc>
        <w:tc>
          <w:tcPr>
            <w:tcW w:w="0" w:type="auto"/>
            <w:gridSpan w:val="3"/>
            <w:tcMar>
              <w:top w:w="30" w:type="dxa"/>
              <w:left w:w="20" w:type="dxa"/>
              <w:bottom w:w="30" w:type="dxa"/>
              <w:right w:w="20" w:type="dxa"/>
            </w:tcMar>
            <w:vAlign w:val="bottom"/>
            <w:hideMark/>
          </w:tcPr>
          <w:p w14:paraId="2FB14F6B"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05919D43" w14:textId="77777777" w:rsidR="00000000" w:rsidRDefault="00405D16">
      <w:pPr>
        <w:rPr>
          <w:rFonts w:eastAsia="Times New Roman"/>
        </w:rPr>
      </w:pPr>
      <w:r>
        <w:rPr>
          <w:rFonts w:eastAsia="Times New Roman"/>
        </w:rPr>
        <w:pict w14:anchorId="1DCBE251">
          <v:rect id="_x0000_i1047" style="width:0;height:1.5pt" o:hralign="center" o:hrstd="t" o:hr="t" fillcolor="#a0a0a0" stroked="f"/>
        </w:pict>
      </w:r>
    </w:p>
    <w:p w14:paraId="3E4AD19B" w14:textId="77777777" w:rsidR="00000000" w:rsidRDefault="00405D16">
      <w:pPr>
        <w:ind w:hanging="360"/>
        <w:jc w:val="both"/>
        <w:divId w:val="1056664120"/>
        <w:rPr>
          <w:rFonts w:eastAsia="Times New Roman"/>
        </w:rPr>
      </w:pPr>
      <w:hyperlink w:anchor="idd54a04a485440b4ab4e56094c14d612_13" w:history="1">
        <w:r>
          <w:rPr>
            <w:rStyle w:val="a3"/>
            <w:rFonts w:eastAsia="Times New Roman"/>
            <w:sz w:val="16"/>
            <w:szCs w:val="16"/>
          </w:rPr>
          <w:t>Table of Contents</w:t>
        </w:r>
      </w:hyperlink>
    </w:p>
    <w:p w14:paraId="5757FEF9" w14:textId="77777777" w:rsidR="00000000" w:rsidRDefault="00405D16">
      <w:pPr>
        <w:divId w:val="537473698"/>
        <w:rPr>
          <w:rFonts w:eastAsia="Times New Roman"/>
        </w:rPr>
      </w:pPr>
      <w:r>
        <w:rPr>
          <w:rFonts w:eastAsia="Times New Roman"/>
          <w:b/>
          <w:bCs/>
          <w:color w:val="000000"/>
          <w:sz w:val="20"/>
          <w:szCs w:val="20"/>
        </w:rPr>
        <w:t>Domestic Card Business</w:t>
      </w:r>
    </w:p>
    <w:p w14:paraId="65DD843A" w14:textId="77777777" w:rsidR="00000000" w:rsidRDefault="00405D16">
      <w:pPr>
        <w:jc w:val="both"/>
        <w:divId w:val="2032105428"/>
        <w:rPr>
          <w:rFonts w:eastAsia="Times New Roman"/>
        </w:rPr>
      </w:pPr>
      <w:r>
        <w:rPr>
          <w:rFonts w:eastAsia="Times New Roman"/>
          <w:color w:val="000000"/>
          <w:sz w:val="20"/>
          <w:szCs w:val="20"/>
        </w:rPr>
        <w:t>The Domestic Card business generated net income from continuing operations of $1.9 billion and $6.0 billion in the third quarter and first nine months of 2021, respectively, compared to net income of $1.3 billion in the third quarter of 2020 and net loss o</w:t>
      </w:r>
      <w:r>
        <w:rPr>
          <w:rFonts w:eastAsia="Times New Roman"/>
          <w:color w:val="000000"/>
          <w:sz w:val="20"/>
          <w:szCs w:val="20"/>
        </w:rPr>
        <w:t>f $192 million in the first nine months of 2020. In the third quarter and first nine months of 2021 and 2020, the Domestic Card business accounted for greater than 90% of total net revenue of our Credit Card business.</w:t>
      </w:r>
    </w:p>
    <w:p w14:paraId="7E2682E1" w14:textId="77777777" w:rsidR="00000000" w:rsidRDefault="00405D16">
      <w:pPr>
        <w:jc w:val="both"/>
        <w:divId w:val="988705189"/>
        <w:rPr>
          <w:rFonts w:eastAsia="Times New Roman"/>
        </w:rPr>
      </w:pPr>
      <w:r>
        <w:rPr>
          <w:rFonts w:eastAsia="Times New Roman"/>
          <w:color w:val="000000"/>
          <w:sz w:val="20"/>
          <w:szCs w:val="20"/>
        </w:rPr>
        <w:t>Table 10.1 summarizes the financial re</w:t>
      </w:r>
      <w:r>
        <w:rPr>
          <w:rFonts w:eastAsia="Times New Roman"/>
          <w:color w:val="000000"/>
          <w:sz w:val="20"/>
          <w:szCs w:val="20"/>
        </w:rPr>
        <w:t>sults for Domestic Card business and displays selected key metrics for the periods indicated.</w:t>
      </w:r>
    </w:p>
    <w:p w14:paraId="2677DB77" w14:textId="77777777" w:rsidR="00000000" w:rsidRDefault="00405D16">
      <w:pPr>
        <w:divId w:val="2122526608"/>
        <w:rPr>
          <w:rFonts w:eastAsia="Times New Roman"/>
        </w:rPr>
      </w:pPr>
      <w:r>
        <w:rPr>
          <w:rFonts w:eastAsia="Times New Roman"/>
          <w:b/>
          <w:bCs/>
          <w:color w:val="000000"/>
          <w:sz w:val="18"/>
          <w:szCs w:val="18"/>
        </w:rPr>
        <w:t>Table 10.1: Domestic Card Business Results</w:t>
      </w:r>
    </w:p>
    <w:tbl>
      <w:tblPr>
        <w:tblW w:w="5000" w:type="pct"/>
        <w:tblCellMar>
          <w:top w:w="15" w:type="dxa"/>
          <w:left w:w="15" w:type="dxa"/>
          <w:bottom w:w="15" w:type="dxa"/>
          <w:right w:w="15" w:type="dxa"/>
        </w:tblCellMar>
        <w:tblLook w:val="04A0" w:firstRow="1" w:lastRow="0" w:firstColumn="1" w:lastColumn="0" w:noHBand="0" w:noVBand="1"/>
      </w:tblPr>
      <w:tblGrid>
        <w:gridCol w:w="39"/>
        <w:gridCol w:w="2023"/>
        <w:gridCol w:w="38"/>
        <w:gridCol w:w="36"/>
        <w:gridCol w:w="36"/>
        <w:gridCol w:w="36"/>
        <w:gridCol w:w="110"/>
        <w:gridCol w:w="630"/>
        <w:gridCol w:w="200"/>
        <w:gridCol w:w="36"/>
        <w:gridCol w:w="36"/>
        <w:gridCol w:w="36"/>
        <w:gridCol w:w="110"/>
        <w:gridCol w:w="540"/>
        <w:gridCol w:w="170"/>
        <w:gridCol w:w="36"/>
        <w:gridCol w:w="36"/>
        <w:gridCol w:w="36"/>
        <w:gridCol w:w="70"/>
        <w:gridCol w:w="489"/>
        <w:gridCol w:w="271"/>
        <w:gridCol w:w="36"/>
        <w:gridCol w:w="36"/>
        <w:gridCol w:w="36"/>
        <w:gridCol w:w="110"/>
        <w:gridCol w:w="630"/>
        <w:gridCol w:w="200"/>
        <w:gridCol w:w="36"/>
        <w:gridCol w:w="36"/>
        <w:gridCol w:w="36"/>
        <w:gridCol w:w="110"/>
        <w:gridCol w:w="630"/>
        <w:gridCol w:w="170"/>
        <w:gridCol w:w="36"/>
        <w:gridCol w:w="36"/>
        <w:gridCol w:w="36"/>
        <w:gridCol w:w="36"/>
        <w:gridCol w:w="36"/>
        <w:gridCol w:w="70"/>
        <w:gridCol w:w="489"/>
        <w:gridCol w:w="271"/>
        <w:gridCol w:w="36"/>
        <w:gridCol w:w="36"/>
        <w:gridCol w:w="36"/>
        <w:gridCol w:w="36"/>
        <w:gridCol w:w="36"/>
        <w:gridCol w:w="36"/>
      </w:tblGrid>
      <w:tr w:rsidR="00000000" w14:paraId="1E00FAA1" w14:textId="77777777">
        <w:trPr>
          <w:divId w:val="2128575748"/>
        </w:trPr>
        <w:tc>
          <w:tcPr>
            <w:tcW w:w="50" w:type="pct"/>
            <w:vAlign w:val="center"/>
            <w:hideMark/>
          </w:tcPr>
          <w:p w14:paraId="5F2B2318" w14:textId="77777777" w:rsidR="00000000" w:rsidRDefault="00405D16">
            <w:pPr>
              <w:rPr>
                <w:rFonts w:eastAsia="Times New Roman"/>
              </w:rPr>
            </w:pPr>
          </w:p>
        </w:tc>
        <w:tc>
          <w:tcPr>
            <w:tcW w:w="1918" w:type="pct"/>
            <w:vAlign w:val="center"/>
            <w:hideMark/>
          </w:tcPr>
          <w:p w14:paraId="14EE38C5" w14:textId="77777777" w:rsidR="00000000" w:rsidRDefault="00405D16">
            <w:pPr>
              <w:spacing w:after="100"/>
              <w:rPr>
                <w:rFonts w:eastAsia="Times New Roman"/>
                <w:sz w:val="20"/>
                <w:szCs w:val="20"/>
              </w:rPr>
            </w:pPr>
          </w:p>
        </w:tc>
        <w:tc>
          <w:tcPr>
            <w:tcW w:w="5" w:type="pct"/>
            <w:vAlign w:val="center"/>
            <w:hideMark/>
          </w:tcPr>
          <w:p w14:paraId="1204AA5F" w14:textId="77777777" w:rsidR="00000000" w:rsidRDefault="00405D16">
            <w:pPr>
              <w:spacing w:after="100"/>
              <w:rPr>
                <w:rFonts w:eastAsia="Times New Roman"/>
                <w:sz w:val="20"/>
                <w:szCs w:val="20"/>
              </w:rPr>
            </w:pPr>
          </w:p>
        </w:tc>
        <w:tc>
          <w:tcPr>
            <w:tcW w:w="5" w:type="pct"/>
            <w:vAlign w:val="center"/>
            <w:hideMark/>
          </w:tcPr>
          <w:p w14:paraId="5808B8F4" w14:textId="77777777" w:rsidR="00000000" w:rsidRDefault="00405D16">
            <w:pPr>
              <w:spacing w:after="100"/>
              <w:rPr>
                <w:rFonts w:eastAsia="Times New Roman"/>
                <w:sz w:val="20"/>
                <w:szCs w:val="20"/>
              </w:rPr>
            </w:pPr>
          </w:p>
        </w:tc>
        <w:tc>
          <w:tcPr>
            <w:tcW w:w="26" w:type="pct"/>
            <w:vAlign w:val="center"/>
            <w:hideMark/>
          </w:tcPr>
          <w:p w14:paraId="61AC5C8E" w14:textId="77777777" w:rsidR="00000000" w:rsidRDefault="00405D16">
            <w:pPr>
              <w:spacing w:after="100"/>
              <w:rPr>
                <w:rFonts w:eastAsia="Times New Roman"/>
                <w:sz w:val="20"/>
                <w:szCs w:val="20"/>
              </w:rPr>
            </w:pPr>
          </w:p>
        </w:tc>
        <w:tc>
          <w:tcPr>
            <w:tcW w:w="5" w:type="pct"/>
            <w:vAlign w:val="center"/>
            <w:hideMark/>
          </w:tcPr>
          <w:p w14:paraId="2C678D5A" w14:textId="77777777" w:rsidR="00000000" w:rsidRDefault="00405D16">
            <w:pPr>
              <w:spacing w:after="100"/>
              <w:rPr>
                <w:rFonts w:eastAsia="Times New Roman"/>
                <w:sz w:val="20"/>
                <w:szCs w:val="20"/>
              </w:rPr>
            </w:pPr>
          </w:p>
        </w:tc>
        <w:tc>
          <w:tcPr>
            <w:tcW w:w="50" w:type="pct"/>
            <w:vAlign w:val="center"/>
            <w:hideMark/>
          </w:tcPr>
          <w:p w14:paraId="1BA68067" w14:textId="77777777" w:rsidR="00000000" w:rsidRDefault="00405D16">
            <w:pPr>
              <w:spacing w:after="100"/>
              <w:rPr>
                <w:rFonts w:eastAsia="Times New Roman"/>
                <w:sz w:val="20"/>
                <w:szCs w:val="20"/>
              </w:rPr>
            </w:pPr>
          </w:p>
        </w:tc>
        <w:tc>
          <w:tcPr>
            <w:tcW w:w="442" w:type="pct"/>
            <w:vAlign w:val="center"/>
            <w:hideMark/>
          </w:tcPr>
          <w:p w14:paraId="5D98A690" w14:textId="77777777" w:rsidR="00000000" w:rsidRDefault="00405D16">
            <w:pPr>
              <w:spacing w:after="100"/>
              <w:rPr>
                <w:rFonts w:eastAsia="Times New Roman"/>
                <w:sz w:val="20"/>
                <w:szCs w:val="20"/>
              </w:rPr>
            </w:pPr>
          </w:p>
        </w:tc>
        <w:tc>
          <w:tcPr>
            <w:tcW w:w="5" w:type="pct"/>
            <w:vAlign w:val="center"/>
            <w:hideMark/>
          </w:tcPr>
          <w:p w14:paraId="443AD687" w14:textId="77777777" w:rsidR="00000000" w:rsidRDefault="00405D16">
            <w:pPr>
              <w:spacing w:after="100"/>
              <w:rPr>
                <w:rFonts w:eastAsia="Times New Roman"/>
                <w:sz w:val="20"/>
                <w:szCs w:val="20"/>
              </w:rPr>
            </w:pPr>
          </w:p>
        </w:tc>
        <w:tc>
          <w:tcPr>
            <w:tcW w:w="5" w:type="pct"/>
            <w:vAlign w:val="center"/>
            <w:hideMark/>
          </w:tcPr>
          <w:p w14:paraId="2044C852" w14:textId="77777777" w:rsidR="00000000" w:rsidRDefault="00405D16">
            <w:pPr>
              <w:spacing w:after="100"/>
              <w:rPr>
                <w:rFonts w:eastAsia="Times New Roman"/>
                <w:sz w:val="20"/>
                <w:szCs w:val="20"/>
              </w:rPr>
            </w:pPr>
          </w:p>
        </w:tc>
        <w:tc>
          <w:tcPr>
            <w:tcW w:w="26" w:type="pct"/>
            <w:vAlign w:val="center"/>
            <w:hideMark/>
          </w:tcPr>
          <w:p w14:paraId="09C5AC03" w14:textId="77777777" w:rsidR="00000000" w:rsidRDefault="00405D16">
            <w:pPr>
              <w:spacing w:after="100"/>
              <w:rPr>
                <w:rFonts w:eastAsia="Times New Roman"/>
                <w:sz w:val="20"/>
                <w:szCs w:val="20"/>
              </w:rPr>
            </w:pPr>
          </w:p>
        </w:tc>
        <w:tc>
          <w:tcPr>
            <w:tcW w:w="5" w:type="pct"/>
            <w:vAlign w:val="center"/>
            <w:hideMark/>
          </w:tcPr>
          <w:p w14:paraId="7F64A7BB" w14:textId="77777777" w:rsidR="00000000" w:rsidRDefault="00405D16">
            <w:pPr>
              <w:spacing w:after="100"/>
              <w:rPr>
                <w:rFonts w:eastAsia="Times New Roman"/>
                <w:sz w:val="20"/>
                <w:szCs w:val="20"/>
              </w:rPr>
            </w:pPr>
          </w:p>
        </w:tc>
        <w:tc>
          <w:tcPr>
            <w:tcW w:w="50" w:type="pct"/>
            <w:vAlign w:val="center"/>
            <w:hideMark/>
          </w:tcPr>
          <w:p w14:paraId="5383BD6C" w14:textId="77777777" w:rsidR="00000000" w:rsidRDefault="00405D16">
            <w:pPr>
              <w:spacing w:after="100"/>
              <w:rPr>
                <w:rFonts w:eastAsia="Times New Roman"/>
                <w:sz w:val="20"/>
                <w:szCs w:val="20"/>
              </w:rPr>
            </w:pPr>
          </w:p>
        </w:tc>
        <w:tc>
          <w:tcPr>
            <w:tcW w:w="442" w:type="pct"/>
            <w:vAlign w:val="center"/>
            <w:hideMark/>
          </w:tcPr>
          <w:p w14:paraId="0006C842" w14:textId="77777777" w:rsidR="00000000" w:rsidRDefault="00405D16">
            <w:pPr>
              <w:spacing w:after="100"/>
              <w:rPr>
                <w:rFonts w:eastAsia="Times New Roman"/>
                <w:sz w:val="20"/>
                <w:szCs w:val="20"/>
              </w:rPr>
            </w:pPr>
          </w:p>
        </w:tc>
        <w:tc>
          <w:tcPr>
            <w:tcW w:w="5" w:type="pct"/>
            <w:vAlign w:val="center"/>
            <w:hideMark/>
          </w:tcPr>
          <w:p w14:paraId="1F3D2E4C" w14:textId="77777777" w:rsidR="00000000" w:rsidRDefault="00405D16">
            <w:pPr>
              <w:spacing w:after="100"/>
              <w:rPr>
                <w:rFonts w:eastAsia="Times New Roman"/>
                <w:sz w:val="20"/>
                <w:szCs w:val="20"/>
              </w:rPr>
            </w:pPr>
          </w:p>
        </w:tc>
        <w:tc>
          <w:tcPr>
            <w:tcW w:w="5" w:type="pct"/>
            <w:vAlign w:val="center"/>
            <w:hideMark/>
          </w:tcPr>
          <w:p w14:paraId="0925D46F" w14:textId="77777777" w:rsidR="00000000" w:rsidRDefault="00405D16">
            <w:pPr>
              <w:spacing w:after="100"/>
              <w:rPr>
                <w:rFonts w:eastAsia="Times New Roman"/>
                <w:sz w:val="20"/>
                <w:szCs w:val="20"/>
              </w:rPr>
            </w:pPr>
          </w:p>
        </w:tc>
        <w:tc>
          <w:tcPr>
            <w:tcW w:w="26" w:type="pct"/>
            <w:vAlign w:val="center"/>
            <w:hideMark/>
          </w:tcPr>
          <w:p w14:paraId="0B5357A1" w14:textId="77777777" w:rsidR="00000000" w:rsidRDefault="00405D16">
            <w:pPr>
              <w:spacing w:after="100"/>
              <w:rPr>
                <w:rFonts w:eastAsia="Times New Roman"/>
                <w:sz w:val="20"/>
                <w:szCs w:val="20"/>
              </w:rPr>
            </w:pPr>
          </w:p>
        </w:tc>
        <w:tc>
          <w:tcPr>
            <w:tcW w:w="5" w:type="pct"/>
            <w:vAlign w:val="center"/>
            <w:hideMark/>
          </w:tcPr>
          <w:p w14:paraId="175582E6" w14:textId="77777777" w:rsidR="00000000" w:rsidRDefault="00405D16">
            <w:pPr>
              <w:spacing w:after="100"/>
              <w:rPr>
                <w:rFonts w:eastAsia="Times New Roman"/>
                <w:sz w:val="20"/>
                <w:szCs w:val="20"/>
              </w:rPr>
            </w:pPr>
          </w:p>
        </w:tc>
        <w:tc>
          <w:tcPr>
            <w:tcW w:w="50" w:type="pct"/>
            <w:vAlign w:val="center"/>
            <w:hideMark/>
          </w:tcPr>
          <w:p w14:paraId="468B6900" w14:textId="77777777" w:rsidR="00000000" w:rsidRDefault="00405D16">
            <w:pPr>
              <w:spacing w:after="100"/>
              <w:rPr>
                <w:rFonts w:eastAsia="Times New Roman"/>
                <w:sz w:val="20"/>
                <w:szCs w:val="20"/>
              </w:rPr>
            </w:pPr>
          </w:p>
        </w:tc>
        <w:tc>
          <w:tcPr>
            <w:tcW w:w="354" w:type="pct"/>
            <w:vAlign w:val="center"/>
            <w:hideMark/>
          </w:tcPr>
          <w:p w14:paraId="6D480EB9" w14:textId="77777777" w:rsidR="00000000" w:rsidRDefault="00405D16">
            <w:pPr>
              <w:spacing w:after="100"/>
              <w:rPr>
                <w:rFonts w:eastAsia="Times New Roman"/>
                <w:sz w:val="20"/>
                <w:szCs w:val="20"/>
              </w:rPr>
            </w:pPr>
          </w:p>
        </w:tc>
        <w:tc>
          <w:tcPr>
            <w:tcW w:w="5" w:type="pct"/>
            <w:vAlign w:val="center"/>
            <w:hideMark/>
          </w:tcPr>
          <w:p w14:paraId="0069B45D" w14:textId="77777777" w:rsidR="00000000" w:rsidRDefault="00405D16">
            <w:pPr>
              <w:spacing w:after="100"/>
              <w:rPr>
                <w:rFonts w:eastAsia="Times New Roman"/>
                <w:sz w:val="20"/>
                <w:szCs w:val="20"/>
              </w:rPr>
            </w:pPr>
          </w:p>
        </w:tc>
        <w:tc>
          <w:tcPr>
            <w:tcW w:w="5" w:type="pct"/>
            <w:vAlign w:val="center"/>
            <w:hideMark/>
          </w:tcPr>
          <w:p w14:paraId="72390FA6" w14:textId="77777777" w:rsidR="00000000" w:rsidRDefault="00405D16">
            <w:pPr>
              <w:spacing w:after="100"/>
              <w:rPr>
                <w:rFonts w:eastAsia="Times New Roman"/>
                <w:sz w:val="20"/>
                <w:szCs w:val="20"/>
              </w:rPr>
            </w:pPr>
          </w:p>
        </w:tc>
        <w:tc>
          <w:tcPr>
            <w:tcW w:w="26" w:type="pct"/>
            <w:vAlign w:val="center"/>
            <w:hideMark/>
          </w:tcPr>
          <w:p w14:paraId="121A5888" w14:textId="77777777" w:rsidR="00000000" w:rsidRDefault="00405D16">
            <w:pPr>
              <w:spacing w:after="100"/>
              <w:rPr>
                <w:rFonts w:eastAsia="Times New Roman"/>
                <w:sz w:val="20"/>
                <w:szCs w:val="20"/>
              </w:rPr>
            </w:pPr>
          </w:p>
        </w:tc>
        <w:tc>
          <w:tcPr>
            <w:tcW w:w="5" w:type="pct"/>
            <w:vAlign w:val="center"/>
            <w:hideMark/>
          </w:tcPr>
          <w:p w14:paraId="17C3199F" w14:textId="77777777" w:rsidR="00000000" w:rsidRDefault="00405D16">
            <w:pPr>
              <w:spacing w:after="100"/>
              <w:rPr>
                <w:rFonts w:eastAsia="Times New Roman"/>
                <w:sz w:val="20"/>
                <w:szCs w:val="20"/>
              </w:rPr>
            </w:pPr>
          </w:p>
        </w:tc>
        <w:tc>
          <w:tcPr>
            <w:tcW w:w="50" w:type="pct"/>
            <w:vAlign w:val="center"/>
            <w:hideMark/>
          </w:tcPr>
          <w:p w14:paraId="32BAB5CA" w14:textId="77777777" w:rsidR="00000000" w:rsidRDefault="00405D16">
            <w:pPr>
              <w:spacing w:after="100"/>
              <w:rPr>
                <w:rFonts w:eastAsia="Times New Roman"/>
                <w:sz w:val="20"/>
                <w:szCs w:val="20"/>
              </w:rPr>
            </w:pPr>
          </w:p>
        </w:tc>
        <w:tc>
          <w:tcPr>
            <w:tcW w:w="442" w:type="pct"/>
            <w:vAlign w:val="center"/>
            <w:hideMark/>
          </w:tcPr>
          <w:p w14:paraId="3FDCD5BB" w14:textId="77777777" w:rsidR="00000000" w:rsidRDefault="00405D16">
            <w:pPr>
              <w:spacing w:after="100"/>
              <w:rPr>
                <w:rFonts w:eastAsia="Times New Roman"/>
                <w:sz w:val="20"/>
                <w:szCs w:val="20"/>
              </w:rPr>
            </w:pPr>
          </w:p>
        </w:tc>
        <w:tc>
          <w:tcPr>
            <w:tcW w:w="5" w:type="pct"/>
            <w:vAlign w:val="center"/>
            <w:hideMark/>
          </w:tcPr>
          <w:p w14:paraId="16004E7D" w14:textId="77777777" w:rsidR="00000000" w:rsidRDefault="00405D16">
            <w:pPr>
              <w:spacing w:after="100"/>
              <w:rPr>
                <w:rFonts w:eastAsia="Times New Roman"/>
                <w:sz w:val="20"/>
                <w:szCs w:val="20"/>
              </w:rPr>
            </w:pPr>
          </w:p>
        </w:tc>
        <w:tc>
          <w:tcPr>
            <w:tcW w:w="5" w:type="pct"/>
            <w:vAlign w:val="center"/>
            <w:hideMark/>
          </w:tcPr>
          <w:p w14:paraId="24CFC5F0" w14:textId="77777777" w:rsidR="00000000" w:rsidRDefault="00405D16">
            <w:pPr>
              <w:spacing w:after="100"/>
              <w:rPr>
                <w:rFonts w:eastAsia="Times New Roman"/>
                <w:sz w:val="20"/>
                <w:szCs w:val="20"/>
              </w:rPr>
            </w:pPr>
          </w:p>
        </w:tc>
        <w:tc>
          <w:tcPr>
            <w:tcW w:w="26" w:type="pct"/>
            <w:vAlign w:val="center"/>
            <w:hideMark/>
          </w:tcPr>
          <w:p w14:paraId="51E94853" w14:textId="77777777" w:rsidR="00000000" w:rsidRDefault="00405D16">
            <w:pPr>
              <w:spacing w:after="100"/>
              <w:rPr>
                <w:rFonts w:eastAsia="Times New Roman"/>
                <w:sz w:val="20"/>
                <w:szCs w:val="20"/>
              </w:rPr>
            </w:pPr>
          </w:p>
        </w:tc>
        <w:tc>
          <w:tcPr>
            <w:tcW w:w="5" w:type="pct"/>
            <w:vAlign w:val="center"/>
            <w:hideMark/>
          </w:tcPr>
          <w:p w14:paraId="7D888492" w14:textId="77777777" w:rsidR="00000000" w:rsidRDefault="00405D16">
            <w:pPr>
              <w:spacing w:after="100"/>
              <w:rPr>
                <w:rFonts w:eastAsia="Times New Roman"/>
                <w:sz w:val="20"/>
                <w:szCs w:val="20"/>
              </w:rPr>
            </w:pPr>
          </w:p>
        </w:tc>
        <w:tc>
          <w:tcPr>
            <w:tcW w:w="50" w:type="pct"/>
            <w:vAlign w:val="center"/>
            <w:hideMark/>
          </w:tcPr>
          <w:p w14:paraId="7952CEDF" w14:textId="77777777" w:rsidR="00000000" w:rsidRDefault="00405D16">
            <w:pPr>
              <w:spacing w:after="100"/>
              <w:rPr>
                <w:rFonts w:eastAsia="Times New Roman"/>
                <w:sz w:val="20"/>
                <w:szCs w:val="20"/>
              </w:rPr>
            </w:pPr>
          </w:p>
        </w:tc>
        <w:tc>
          <w:tcPr>
            <w:tcW w:w="442" w:type="pct"/>
            <w:vAlign w:val="center"/>
            <w:hideMark/>
          </w:tcPr>
          <w:p w14:paraId="78D72856" w14:textId="77777777" w:rsidR="00000000" w:rsidRDefault="00405D16">
            <w:pPr>
              <w:spacing w:after="100"/>
              <w:rPr>
                <w:rFonts w:eastAsia="Times New Roman"/>
                <w:sz w:val="20"/>
                <w:szCs w:val="20"/>
              </w:rPr>
            </w:pPr>
          </w:p>
        </w:tc>
        <w:tc>
          <w:tcPr>
            <w:tcW w:w="5" w:type="pct"/>
            <w:vAlign w:val="center"/>
            <w:hideMark/>
          </w:tcPr>
          <w:p w14:paraId="713357A9" w14:textId="77777777" w:rsidR="00000000" w:rsidRDefault="00405D16">
            <w:pPr>
              <w:spacing w:after="100"/>
              <w:rPr>
                <w:rFonts w:eastAsia="Times New Roman"/>
                <w:sz w:val="20"/>
                <w:szCs w:val="20"/>
              </w:rPr>
            </w:pPr>
          </w:p>
        </w:tc>
        <w:tc>
          <w:tcPr>
            <w:tcW w:w="0" w:type="auto"/>
            <w:vAlign w:val="center"/>
            <w:hideMark/>
          </w:tcPr>
          <w:p w14:paraId="59B6E84D" w14:textId="77777777" w:rsidR="00000000" w:rsidRDefault="00405D16">
            <w:pPr>
              <w:spacing w:after="100"/>
              <w:rPr>
                <w:rFonts w:eastAsia="Times New Roman"/>
                <w:sz w:val="20"/>
                <w:szCs w:val="20"/>
              </w:rPr>
            </w:pPr>
          </w:p>
        </w:tc>
        <w:tc>
          <w:tcPr>
            <w:tcW w:w="0" w:type="auto"/>
            <w:vAlign w:val="center"/>
            <w:hideMark/>
          </w:tcPr>
          <w:p w14:paraId="58FAC031" w14:textId="77777777" w:rsidR="00000000" w:rsidRDefault="00405D16">
            <w:pPr>
              <w:spacing w:after="100"/>
              <w:rPr>
                <w:rFonts w:eastAsia="Times New Roman"/>
                <w:sz w:val="20"/>
                <w:szCs w:val="20"/>
              </w:rPr>
            </w:pPr>
          </w:p>
        </w:tc>
        <w:tc>
          <w:tcPr>
            <w:tcW w:w="5" w:type="pct"/>
            <w:vAlign w:val="center"/>
            <w:hideMark/>
          </w:tcPr>
          <w:p w14:paraId="26ABF90F" w14:textId="77777777" w:rsidR="00000000" w:rsidRDefault="00405D16">
            <w:pPr>
              <w:spacing w:after="100"/>
              <w:rPr>
                <w:rFonts w:eastAsia="Times New Roman"/>
                <w:sz w:val="20"/>
                <w:szCs w:val="20"/>
              </w:rPr>
            </w:pPr>
          </w:p>
        </w:tc>
        <w:tc>
          <w:tcPr>
            <w:tcW w:w="26" w:type="pct"/>
            <w:vAlign w:val="center"/>
            <w:hideMark/>
          </w:tcPr>
          <w:p w14:paraId="2E7E8573" w14:textId="77777777" w:rsidR="00000000" w:rsidRDefault="00405D16">
            <w:pPr>
              <w:spacing w:after="100"/>
              <w:rPr>
                <w:rFonts w:eastAsia="Times New Roman"/>
                <w:sz w:val="20"/>
                <w:szCs w:val="20"/>
              </w:rPr>
            </w:pPr>
          </w:p>
        </w:tc>
        <w:tc>
          <w:tcPr>
            <w:tcW w:w="5" w:type="pct"/>
            <w:vAlign w:val="center"/>
            <w:hideMark/>
          </w:tcPr>
          <w:p w14:paraId="46D24DD1" w14:textId="77777777" w:rsidR="00000000" w:rsidRDefault="00405D16">
            <w:pPr>
              <w:spacing w:after="100"/>
              <w:rPr>
                <w:rFonts w:eastAsia="Times New Roman"/>
                <w:sz w:val="20"/>
                <w:szCs w:val="20"/>
              </w:rPr>
            </w:pPr>
          </w:p>
        </w:tc>
        <w:tc>
          <w:tcPr>
            <w:tcW w:w="50" w:type="pct"/>
            <w:vAlign w:val="center"/>
            <w:hideMark/>
          </w:tcPr>
          <w:p w14:paraId="0D0017E1" w14:textId="77777777" w:rsidR="00000000" w:rsidRDefault="00405D16">
            <w:pPr>
              <w:spacing w:after="100"/>
              <w:rPr>
                <w:rFonts w:eastAsia="Times New Roman"/>
                <w:sz w:val="20"/>
                <w:szCs w:val="20"/>
              </w:rPr>
            </w:pPr>
          </w:p>
        </w:tc>
        <w:tc>
          <w:tcPr>
            <w:tcW w:w="354" w:type="pct"/>
            <w:vAlign w:val="center"/>
            <w:hideMark/>
          </w:tcPr>
          <w:p w14:paraId="57A0DB1E" w14:textId="77777777" w:rsidR="00000000" w:rsidRDefault="00405D16">
            <w:pPr>
              <w:spacing w:after="100"/>
              <w:rPr>
                <w:rFonts w:eastAsia="Times New Roman"/>
                <w:sz w:val="20"/>
                <w:szCs w:val="20"/>
              </w:rPr>
            </w:pPr>
          </w:p>
        </w:tc>
        <w:tc>
          <w:tcPr>
            <w:tcW w:w="5" w:type="pct"/>
            <w:vAlign w:val="center"/>
            <w:hideMark/>
          </w:tcPr>
          <w:p w14:paraId="5102F992" w14:textId="77777777" w:rsidR="00000000" w:rsidRDefault="00405D16">
            <w:pPr>
              <w:spacing w:after="100"/>
              <w:rPr>
                <w:rFonts w:eastAsia="Times New Roman"/>
                <w:sz w:val="20"/>
                <w:szCs w:val="20"/>
              </w:rPr>
            </w:pPr>
          </w:p>
        </w:tc>
        <w:tc>
          <w:tcPr>
            <w:tcW w:w="0" w:type="auto"/>
            <w:gridSpan w:val="3"/>
            <w:vAlign w:val="center"/>
            <w:hideMark/>
          </w:tcPr>
          <w:p w14:paraId="7A2D308D" w14:textId="77777777" w:rsidR="00000000" w:rsidRDefault="00405D16">
            <w:pPr>
              <w:spacing w:after="100"/>
              <w:rPr>
                <w:rFonts w:eastAsia="Times New Roman"/>
                <w:sz w:val="20"/>
                <w:szCs w:val="20"/>
              </w:rPr>
            </w:pPr>
          </w:p>
        </w:tc>
        <w:tc>
          <w:tcPr>
            <w:tcW w:w="0" w:type="auto"/>
            <w:gridSpan w:val="3"/>
            <w:vAlign w:val="center"/>
            <w:hideMark/>
          </w:tcPr>
          <w:p w14:paraId="32AC7B3F" w14:textId="77777777" w:rsidR="00000000" w:rsidRDefault="00405D16">
            <w:pPr>
              <w:spacing w:after="100"/>
              <w:rPr>
                <w:rFonts w:eastAsia="Times New Roman"/>
                <w:sz w:val="20"/>
                <w:szCs w:val="20"/>
              </w:rPr>
            </w:pPr>
          </w:p>
        </w:tc>
      </w:tr>
      <w:tr w:rsidR="00000000" w14:paraId="08159656" w14:textId="77777777">
        <w:trPr>
          <w:divId w:val="2128575748"/>
        </w:trPr>
        <w:tc>
          <w:tcPr>
            <w:tcW w:w="0" w:type="auto"/>
            <w:gridSpan w:val="3"/>
            <w:tcMar>
              <w:top w:w="0" w:type="dxa"/>
              <w:left w:w="20" w:type="dxa"/>
              <w:bottom w:w="0" w:type="dxa"/>
              <w:right w:w="20" w:type="dxa"/>
            </w:tcMar>
            <w:vAlign w:val="center"/>
            <w:hideMark/>
          </w:tcPr>
          <w:p w14:paraId="269BA4B1"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C09E89A" w14:textId="77777777" w:rsidR="00000000" w:rsidRDefault="00405D16">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632D2EAA" w14:textId="77777777" w:rsidR="00000000" w:rsidRDefault="00405D16">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57641DFA" w14:textId="77777777" w:rsidR="00000000" w:rsidRDefault="00405D16">
            <w:pPr>
              <w:spacing w:after="100"/>
              <w:jc w:val="center"/>
              <w:rPr>
                <w:rFonts w:eastAsia="Times New Roman"/>
              </w:rPr>
            </w:pPr>
          </w:p>
        </w:tc>
        <w:tc>
          <w:tcPr>
            <w:tcW w:w="0" w:type="auto"/>
            <w:gridSpan w:val="11"/>
            <w:tcMar>
              <w:top w:w="30" w:type="dxa"/>
              <w:left w:w="20" w:type="dxa"/>
              <w:bottom w:w="30" w:type="dxa"/>
              <w:right w:w="20" w:type="dxa"/>
            </w:tcMar>
            <w:vAlign w:val="bottom"/>
            <w:hideMark/>
          </w:tcPr>
          <w:p w14:paraId="36DEE114" w14:textId="77777777" w:rsidR="00000000" w:rsidRDefault="00405D16">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1F6D8D44" w14:textId="77777777" w:rsidR="00000000" w:rsidRDefault="00405D16">
            <w:pPr>
              <w:spacing w:after="100"/>
              <w:rPr>
                <w:rFonts w:eastAsia="Times New Roman"/>
                <w:sz w:val="20"/>
                <w:szCs w:val="20"/>
              </w:rPr>
            </w:pPr>
          </w:p>
        </w:tc>
        <w:tc>
          <w:tcPr>
            <w:tcW w:w="0" w:type="auto"/>
            <w:vAlign w:val="center"/>
            <w:hideMark/>
          </w:tcPr>
          <w:p w14:paraId="48D12ABE" w14:textId="77777777" w:rsidR="00000000" w:rsidRDefault="00405D16">
            <w:pPr>
              <w:spacing w:after="100"/>
              <w:rPr>
                <w:rFonts w:eastAsia="Times New Roman"/>
                <w:sz w:val="20"/>
                <w:szCs w:val="20"/>
              </w:rPr>
            </w:pPr>
          </w:p>
        </w:tc>
        <w:tc>
          <w:tcPr>
            <w:tcW w:w="0" w:type="auto"/>
            <w:vAlign w:val="center"/>
            <w:hideMark/>
          </w:tcPr>
          <w:p w14:paraId="1B6187FA" w14:textId="77777777" w:rsidR="00000000" w:rsidRDefault="00405D16">
            <w:pPr>
              <w:spacing w:after="100"/>
              <w:rPr>
                <w:rFonts w:eastAsia="Times New Roman"/>
                <w:sz w:val="20"/>
                <w:szCs w:val="20"/>
              </w:rPr>
            </w:pPr>
          </w:p>
        </w:tc>
        <w:tc>
          <w:tcPr>
            <w:tcW w:w="0" w:type="auto"/>
            <w:vAlign w:val="center"/>
            <w:hideMark/>
          </w:tcPr>
          <w:p w14:paraId="07AA4A34" w14:textId="77777777" w:rsidR="00000000" w:rsidRDefault="00405D16">
            <w:pPr>
              <w:spacing w:after="100"/>
              <w:rPr>
                <w:rFonts w:eastAsia="Times New Roman"/>
                <w:sz w:val="20"/>
                <w:szCs w:val="20"/>
              </w:rPr>
            </w:pPr>
          </w:p>
        </w:tc>
        <w:tc>
          <w:tcPr>
            <w:tcW w:w="0" w:type="auto"/>
            <w:vAlign w:val="center"/>
            <w:hideMark/>
          </w:tcPr>
          <w:p w14:paraId="2AED7233" w14:textId="77777777" w:rsidR="00000000" w:rsidRDefault="00405D16">
            <w:pPr>
              <w:spacing w:after="100"/>
              <w:rPr>
                <w:rFonts w:eastAsia="Times New Roman"/>
                <w:sz w:val="20"/>
                <w:szCs w:val="20"/>
              </w:rPr>
            </w:pPr>
          </w:p>
        </w:tc>
        <w:tc>
          <w:tcPr>
            <w:tcW w:w="0" w:type="auto"/>
            <w:vAlign w:val="center"/>
            <w:hideMark/>
          </w:tcPr>
          <w:p w14:paraId="7242E90A" w14:textId="77777777" w:rsidR="00000000" w:rsidRDefault="00405D16">
            <w:pPr>
              <w:spacing w:after="100"/>
              <w:rPr>
                <w:rFonts w:eastAsia="Times New Roman"/>
                <w:sz w:val="20"/>
                <w:szCs w:val="20"/>
              </w:rPr>
            </w:pPr>
          </w:p>
        </w:tc>
        <w:tc>
          <w:tcPr>
            <w:tcW w:w="0" w:type="auto"/>
            <w:vAlign w:val="center"/>
            <w:hideMark/>
          </w:tcPr>
          <w:p w14:paraId="0BF30EA9" w14:textId="77777777" w:rsidR="00000000" w:rsidRDefault="00405D16">
            <w:pPr>
              <w:spacing w:after="100"/>
              <w:rPr>
                <w:rFonts w:eastAsia="Times New Roman"/>
                <w:sz w:val="20"/>
                <w:szCs w:val="20"/>
              </w:rPr>
            </w:pPr>
          </w:p>
        </w:tc>
        <w:tc>
          <w:tcPr>
            <w:tcW w:w="0" w:type="auto"/>
            <w:vAlign w:val="center"/>
            <w:hideMark/>
          </w:tcPr>
          <w:p w14:paraId="06861DC6" w14:textId="77777777" w:rsidR="00000000" w:rsidRDefault="00405D16">
            <w:pPr>
              <w:spacing w:after="100"/>
              <w:rPr>
                <w:rFonts w:eastAsia="Times New Roman"/>
                <w:sz w:val="20"/>
                <w:szCs w:val="20"/>
              </w:rPr>
            </w:pPr>
          </w:p>
        </w:tc>
        <w:tc>
          <w:tcPr>
            <w:tcW w:w="0" w:type="auto"/>
            <w:vAlign w:val="center"/>
            <w:hideMark/>
          </w:tcPr>
          <w:p w14:paraId="6230E721" w14:textId="77777777" w:rsidR="00000000" w:rsidRDefault="00405D16">
            <w:pPr>
              <w:spacing w:after="100"/>
              <w:rPr>
                <w:rFonts w:eastAsia="Times New Roman"/>
                <w:sz w:val="20"/>
                <w:szCs w:val="20"/>
              </w:rPr>
            </w:pPr>
          </w:p>
        </w:tc>
        <w:tc>
          <w:tcPr>
            <w:tcW w:w="0" w:type="auto"/>
            <w:vAlign w:val="center"/>
            <w:hideMark/>
          </w:tcPr>
          <w:p w14:paraId="091FD1A8" w14:textId="77777777" w:rsidR="00000000" w:rsidRDefault="00405D16">
            <w:pPr>
              <w:spacing w:after="100"/>
              <w:rPr>
                <w:rFonts w:eastAsia="Times New Roman"/>
                <w:sz w:val="20"/>
                <w:szCs w:val="20"/>
              </w:rPr>
            </w:pPr>
          </w:p>
        </w:tc>
        <w:tc>
          <w:tcPr>
            <w:tcW w:w="0" w:type="auto"/>
            <w:vAlign w:val="center"/>
            <w:hideMark/>
          </w:tcPr>
          <w:p w14:paraId="24BAC664" w14:textId="77777777" w:rsidR="00000000" w:rsidRDefault="00405D16">
            <w:pPr>
              <w:spacing w:after="100"/>
              <w:rPr>
                <w:rFonts w:eastAsia="Times New Roman"/>
                <w:sz w:val="20"/>
                <w:szCs w:val="20"/>
              </w:rPr>
            </w:pPr>
          </w:p>
        </w:tc>
        <w:tc>
          <w:tcPr>
            <w:tcW w:w="0" w:type="auto"/>
            <w:vAlign w:val="center"/>
            <w:hideMark/>
          </w:tcPr>
          <w:p w14:paraId="2C59B230" w14:textId="77777777" w:rsidR="00000000" w:rsidRDefault="00405D16">
            <w:pPr>
              <w:spacing w:after="100"/>
              <w:rPr>
                <w:rFonts w:eastAsia="Times New Roman"/>
                <w:sz w:val="20"/>
                <w:szCs w:val="20"/>
              </w:rPr>
            </w:pPr>
          </w:p>
        </w:tc>
      </w:tr>
      <w:tr w:rsidR="00000000" w14:paraId="78BEB983" w14:textId="77777777">
        <w:trPr>
          <w:divId w:val="2128575748"/>
        </w:trPr>
        <w:tc>
          <w:tcPr>
            <w:tcW w:w="0" w:type="auto"/>
            <w:gridSpan w:val="3"/>
            <w:tcMar>
              <w:top w:w="30" w:type="dxa"/>
              <w:left w:w="20" w:type="dxa"/>
              <w:bottom w:w="30" w:type="dxa"/>
              <w:right w:w="20" w:type="dxa"/>
            </w:tcMar>
            <w:vAlign w:val="bottom"/>
            <w:hideMark/>
          </w:tcPr>
          <w:p w14:paraId="3F350BE0" w14:textId="77777777" w:rsidR="00000000" w:rsidRDefault="00405D16">
            <w:pPr>
              <w:spacing w:after="100"/>
              <w:rPr>
                <w:rFonts w:eastAsia="Times New Roman"/>
              </w:rPr>
            </w:pPr>
            <w:r>
              <w:rPr>
                <w:rFonts w:eastAsia="Times New Roman"/>
                <w:i/>
                <w:iCs/>
                <w:color w:val="000000"/>
                <w:sz w:val="16"/>
                <w:szCs w:val="16"/>
              </w:rPr>
              <w:t>(Dollars in millions, except as noted)</w:t>
            </w:r>
          </w:p>
        </w:tc>
        <w:tc>
          <w:tcPr>
            <w:tcW w:w="0" w:type="auto"/>
            <w:gridSpan w:val="3"/>
            <w:tcMar>
              <w:top w:w="0" w:type="dxa"/>
              <w:left w:w="20" w:type="dxa"/>
              <w:bottom w:w="0" w:type="dxa"/>
              <w:right w:w="20" w:type="dxa"/>
            </w:tcMar>
            <w:vAlign w:val="center"/>
            <w:hideMark/>
          </w:tcPr>
          <w:p w14:paraId="711577C6"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FA0DA3E"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38E16B58"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ADFDB3F"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38EAD648"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42B4C31" w14:textId="77777777" w:rsidR="00000000" w:rsidRDefault="00405D16">
            <w:pPr>
              <w:spacing w:after="100"/>
              <w:jc w:val="center"/>
              <w:rPr>
                <w:rFonts w:eastAsia="Times New Roman"/>
              </w:rPr>
            </w:pPr>
            <w:r>
              <w:rPr>
                <w:rFonts w:eastAsia="Times New Roman"/>
                <w:b/>
                <w:bCs/>
                <w:color w:val="000000"/>
                <w:sz w:val="16"/>
                <w:szCs w:val="16"/>
              </w:rPr>
              <w:t>Change</w:t>
            </w:r>
          </w:p>
        </w:tc>
        <w:tc>
          <w:tcPr>
            <w:tcW w:w="0" w:type="auto"/>
            <w:gridSpan w:val="3"/>
            <w:tcMar>
              <w:top w:w="0" w:type="dxa"/>
              <w:left w:w="20" w:type="dxa"/>
              <w:bottom w:w="0" w:type="dxa"/>
              <w:right w:w="20" w:type="dxa"/>
            </w:tcMar>
            <w:vAlign w:val="center"/>
            <w:hideMark/>
          </w:tcPr>
          <w:p w14:paraId="2C16CAF2"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17462E9"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69033293"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AB81881"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vAlign w:val="center"/>
            <w:hideMark/>
          </w:tcPr>
          <w:p w14:paraId="4390EFC5" w14:textId="77777777" w:rsidR="00000000" w:rsidRDefault="00405D16">
            <w:pPr>
              <w:spacing w:after="100"/>
              <w:jc w:val="center"/>
              <w:rPr>
                <w:rFonts w:eastAsia="Times New Roman"/>
              </w:rPr>
            </w:pPr>
          </w:p>
        </w:tc>
        <w:tc>
          <w:tcPr>
            <w:tcW w:w="0" w:type="auto"/>
            <w:vAlign w:val="center"/>
            <w:hideMark/>
          </w:tcPr>
          <w:p w14:paraId="2A4B296A"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080A0F9"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1AC45A8" w14:textId="77777777" w:rsidR="00000000" w:rsidRDefault="00405D16">
            <w:pPr>
              <w:spacing w:after="100"/>
              <w:jc w:val="center"/>
              <w:rPr>
                <w:rFonts w:eastAsia="Times New Roman"/>
              </w:rPr>
            </w:pPr>
            <w:r>
              <w:rPr>
                <w:rFonts w:eastAsia="Times New Roman"/>
                <w:b/>
                <w:bCs/>
                <w:color w:val="000000"/>
                <w:sz w:val="16"/>
                <w:szCs w:val="16"/>
              </w:rPr>
              <w:t>Change</w:t>
            </w:r>
          </w:p>
        </w:tc>
        <w:tc>
          <w:tcPr>
            <w:tcW w:w="0" w:type="auto"/>
            <w:gridSpan w:val="3"/>
            <w:vAlign w:val="center"/>
            <w:hideMark/>
          </w:tcPr>
          <w:p w14:paraId="48F8DF4D" w14:textId="77777777" w:rsidR="00000000" w:rsidRDefault="00405D16">
            <w:pPr>
              <w:spacing w:after="100"/>
              <w:jc w:val="center"/>
              <w:rPr>
                <w:rFonts w:eastAsia="Times New Roman"/>
              </w:rPr>
            </w:pPr>
          </w:p>
        </w:tc>
        <w:tc>
          <w:tcPr>
            <w:tcW w:w="0" w:type="auto"/>
            <w:gridSpan w:val="3"/>
            <w:vAlign w:val="center"/>
            <w:hideMark/>
          </w:tcPr>
          <w:p w14:paraId="0E9B5955" w14:textId="77777777" w:rsidR="00000000" w:rsidRDefault="00405D16">
            <w:pPr>
              <w:spacing w:after="100"/>
              <w:rPr>
                <w:rFonts w:eastAsia="Times New Roman"/>
                <w:sz w:val="20"/>
                <w:szCs w:val="20"/>
              </w:rPr>
            </w:pPr>
          </w:p>
        </w:tc>
      </w:tr>
      <w:tr w:rsidR="00000000" w14:paraId="2E99A7A9" w14:textId="77777777">
        <w:trPr>
          <w:divId w:val="212857574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7DFDA2A" w14:textId="77777777" w:rsidR="00000000" w:rsidRDefault="00405D16">
            <w:pPr>
              <w:spacing w:after="100"/>
              <w:rPr>
                <w:rFonts w:eastAsia="Times New Roman"/>
              </w:rPr>
            </w:pPr>
            <w:r>
              <w:rPr>
                <w:rFonts w:eastAsia="Times New Roman"/>
                <w:b/>
                <w:bCs/>
                <w:color w:val="000000"/>
                <w:sz w:val="18"/>
                <w:szCs w:val="18"/>
              </w:rPr>
              <w:t>Selected income statement data:</w:t>
            </w:r>
          </w:p>
        </w:tc>
        <w:tc>
          <w:tcPr>
            <w:tcW w:w="0" w:type="auto"/>
            <w:gridSpan w:val="3"/>
            <w:shd w:val="clear" w:color="auto" w:fill="CCEEFF"/>
            <w:tcMar>
              <w:top w:w="0" w:type="dxa"/>
              <w:left w:w="20" w:type="dxa"/>
              <w:bottom w:w="0" w:type="dxa"/>
              <w:right w:w="20" w:type="dxa"/>
            </w:tcMar>
            <w:vAlign w:val="center"/>
            <w:hideMark/>
          </w:tcPr>
          <w:p w14:paraId="71C15598"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0FDAE5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161ED7"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EA9F2C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D37982"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3E9596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188555"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9C00CC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B82FA5"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008D3F6" w14:textId="77777777" w:rsidR="00000000" w:rsidRDefault="00405D16">
            <w:pPr>
              <w:spacing w:after="100"/>
              <w:rPr>
                <w:rFonts w:eastAsia="Times New Roman"/>
                <w:sz w:val="20"/>
                <w:szCs w:val="20"/>
              </w:rPr>
            </w:pPr>
          </w:p>
        </w:tc>
        <w:tc>
          <w:tcPr>
            <w:tcW w:w="0" w:type="auto"/>
            <w:vAlign w:val="center"/>
            <w:hideMark/>
          </w:tcPr>
          <w:p w14:paraId="1DB86A7F" w14:textId="77777777" w:rsidR="00000000" w:rsidRDefault="00405D16">
            <w:pPr>
              <w:spacing w:after="100"/>
              <w:rPr>
                <w:rFonts w:eastAsia="Times New Roman"/>
                <w:sz w:val="20"/>
                <w:szCs w:val="20"/>
              </w:rPr>
            </w:pPr>
          </w:p>
        </w:tc>
        <w:tc>
          <w:tcPr>
            <w:tcW w:w="0" w:type="auto"/>
            <w:vAlign w:val="center"/>
            <w:hideMark/>
          </w:tcPr>
          <w:p w14:paraId="46DA53C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CD5B6D"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13945C8" w14:textId="77777777" w:rsidR="00000000" w:rsidRDefault="00405D16">
            <w:pPr>
              <w:spacing w:after="100"/>
              <w:rPr>
                <w:rFonts w:eastAsia="Times New Roman"/>
                <w:sz w:val="20"/>
                <w:szCs w:val="20"/>
              </w:rPr>
            </w:pPr>
          </w:p>
        </w:tc>
        <w:tc>
          <w:tcPr>
            <w:tcW w:w="0" w:type="auto"/>
            <w:gridSpan w:val="3"/>
            <w:vAlign w:val="center"/>
            <w:hideMark/>
          </w:tcPr>
          <w:p w14:paraId="2D36D3B0" w14:textId="77777777" w:rsidR="00000000" w:rsidRDefault="00405D16">
            <w:pPr>
              <w:spacing w:after="100"/>
              <w:rPr>
                <w:rFonts w:eastAsia="Times New Roman"/>
                <w:sz w:val="20"/>
                <w:szCs w:val="20"/>
              </w:rPr>
            </w:pPr>
          </w:p>
        </w:tc>
        <w:tc>
          <w:tcPr>
            <w:tcW w:w="0" w:type="auto"/>
            <w:gridSpan w:val="3"/>
            <w:vAlign w:val="center"/>
            <w:hideMark/>
          </w:tcPr>
          <w:p w14:paraId="2B63CC19" w14:textId="77777777" w:rsidR="00000000" w:rsidRDefault="00405D16">
            <w:pPr>
              <w:spacing w:after="100"/>
              <w:rPr>
                <w:rFonts w:eastAsia="Times New Roman"/>
                <w:sz w:val="20"/>
                <w:szCs w:val="20"/>
              </w:rPr>
            </w:pPr>
          </w:p>
        </w:tc>
      </w:tr>
      <w:tr w:rsidR="00000000" w14:paraId="0DC0BFEC" w14:textId="77777777">
        <w:trPr>
          <w:divId w:val="2128575748"/>
        </w:trPr>
        <w:tc>
          <w:tcPr>
            <w:tcW w:w="0" w:type="auto"/>
            <w:gridSpan w:val="3"/>
            <w:shd w:val="clear" w:color="auto" w:fill="FFFFFF"/>
            <w:tcMar>
              <w:top w:w="30" w:type="dxa"/>
              <w:left w:w="20" w:type="dxa"/>
              <w:bottom w:w="30" w:type="dxa"/>
              <w:right w:w="20" w:type="dxa"/>
            </w:tcMar>
            <w:vAlign w:val="center"/>
            <w:hideMark/>
          </w:tcPr>
          <w:p w14:paraId="57C1CA4C" w14:textId="77777777" w:rsidR="00000000" w:rsidRDefault="00405D16">
            <w:pPr>
              <w:spacing w:after="100"/>
              <w:rPr>
                <w:rFonts w:eastAsia="Times New Roman"/>
              </w:rPr>
            </w:pPr>
            <w:r>
              <w:rPr>
                <w:rFonts w:eastAsia="Times New Roman"/>
                <w:color w:val="000000"/>
                <w:sz w:val="18"/>
                <w:szCs w:val="18"/>
              </w:rPr>
              <w:t>Net interest income</w:t>
            </w:r>
          </w:p>
        </w:tc>
        <w:tc>
          <w:tcPr>
            <w:tcW w:w="0" w:type="auto"/>
            <w:gridSpan w:val="3"/>
            <w:shd w:val="clear" w:color="auto" w:fill="FFFFFF"/>
            <w:tcMar>
              <w:top w:w="0" w:type="dxa"/>
              <w:left w:w="20" w:type="dxa"/>
              <w:bottom w:w="0" w:type="dxa"/>
              <w:right w:w="20" w:type="dxa"/>
            </w:tcMar>
            <w:vAlign w:val="center"/>
            <w:hideMark/>
          </w:tcPr>
          <w:p w14:paraId="407A9F86"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3B46B052"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21E70F0F" w14:textId="77777777" w:rsidR="00000000" w:rsidRDefault="00405D16">
            <w:pPr>
              <w:spacing w:after="100"/>
              <w:jc w:val="right"/>
              <w:rPr>
                <w:rFonts w:eastAsia="Times New Roman"/>
              </w:rPr>
            </w:pPr>
            <w:r>
              <w:rPr>
                <w:rFonts w:eastAsia="Times New Roman"/>
                <w:b/>
                <w:bCs/>
                <w:color w:val="000000"/>
                <w:sz w:val="18"/>
                <w:szCs w:val="18"/>
              </w:rPr>
              <w:t>3,319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839810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1897F5"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78A495F"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0F2DCAA2" w14:textId="77777777" w:rsidR="00000000" w:rsidRDefault="00405D16">
            <w:pPr>
              <w:spacing w:after="100"/>
              <w:jc w:val="right"/>
              <w:rPr>
                <w:rFonts w:eastAsia="Times New Roman"/>
              </w:rPr>
            </w:pPr>
            <w:r>
              <w:rPr>
                <w:rFonts w:eastAsia="Times New Roman"/>
                <w:color w:val="000000"/>
                <w:sz w:val="18"/>
                <w:szCs w:val="18"/>
              </w:rPr>
              <w:t>2,995 </w:t>
            </w:r>
          </w:p>
        </w:tc>
        <w:tc>
          <w:tcPr>
            <w:tcW w:w="0" w:type="auto"/>
            <w:shd w:val="clear" w:color="auto" w:fill="FFFFFF"/>
            <w:tcMar>
              <w:top w:w="30" w:type="dxa"/>
              <w:left w:w="0" w:type="dxa"/>
              <w:bottom w:w="30" w:type="dxa"/>
              <w:right w:w="20" w:type="dxa"/>
            </w:tcMar>
            <w:vAlign w:val="center"/>
            <w:hideMark/>
          </w:tcPr>
          <w:p w14:paraId="6AC36BE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0FB94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4441817" w14:textId="77777777" w:rsidR="00000000" w:rsidRDefault="00405D16">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center"/>
            <w:hideMark/>
          </w:tcPr>
          <w:p w14:paraId="435CD36B"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B277807" w14:textId="77777777" w:rsidR="00000000" w:rsidRDefault="00405D16">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14347B50"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3C6B6C94" w14:textId="77777777" w:rsidR="00000000" w:rsidRDefault="00405D16">
            <w:pPr>
              <w:spacing w:after="100"/>
              <w:jc w:val="right"/>
              <w:rPr>
                <w:rFonts w:eastAsia="Times New Roman"/>
              </w:rPr>
            </w:pPr>
            <w:r>
              <w:rPr>
                <w:rFonts w:eastAsia="Times New Roman"/>
                <w:b/>
                <w:bCs/>
                <w:color w:val="000000"/>
                <w:sz w:val="18"/>
                <w:szCs w:val="18"/>
              </w:rPr>
              <w:t>9,358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0312C4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7D6B33"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B866C94"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4F0044F4" w14:textId="77777777" w:rsidR="00000000" w:rsidRDefault="00405D16">
            <w:pPr>
              <w:spacing w:after="100"/>
              <w:jc w:val="right"/>
              <w:rPr>
                <w:rFonts w:eastAsia="Times New Roman"/>
              </w:rPr>
            </w:pPr>
            <w:r>
              <w:rPr>
                <w:rFonts w:eastAsia="Times New Roman"/>
                <w:color w:val="000000"/>
                <w:sz w:val="18"/>
                <w:szCs w:val="18"/>
              </w:rPr>
              <w:t>9,470 </w:t>
            </w:r>
          </w:p>
        </w:tc>
        <w:tc>
          <w:tcPr>
            <w:tcW w:w="0" w:type="auto"/>
            <w:shd w:val="clear" w:color="auto" w:fill="FFFFFF"/>
            <w:tcMar>
              <w:top w:w="30" w:type="dxa"/>
              <w:left w:w="0" w:type="dxa"/>
              <w:bottom w:w="30" w:type="dxa"/>
              <w:right w:w="20" w:type="dxa"/>
            </w:tcMar>
            <w:vAlign w:val="center"/>
            <w:hideMark/>
          </w:tcPr>
          <w:p w14:paraId="586220A7" w14:textId="77777777" w:rsidR="00000000" w:rsidRDefault="00405D16">
            <w:pPr>
              <w:spacing w:after="100"/>
              <w:jc w:val="right"/>
              <w:rPr>
                <w:rFonts w:eastAsia="Times New Roman"/>
              </w:rPr>
            </w:pPr>
          </w:p>
        </w:tc>
        <w:tc>
          <w:tcPr>
            <w:tcW w:w="0" w:type="auto"/>
            <w:vAlign w:val="center"/>
            <w:hideMark/>
          </w:tcPr>
          <w:p w14:paraId="478B829B" w14:textId="77777777" w:rsidR="00000000" w:rsidRDefault="00405D16">
            <w:pPr>
              <w:spacing w:after="100"/>
              <w:jc w:val="right"/>
              <w:rPr>
                <w:rFonts w:eastAsia="Times New Roman"/>
                <w:sz w:val="20"/>
                <w:szCs w:val="20"/>
              </w:rPr>
            </w:pPr>
          </w:p>
        </w:tc>
        <w:tc>
          <w:tcPr>
            <w:tcW w:w="0" w:type="auto"/>
            <w:vAlign w:val="center"/>
            <w:hideMark/>
          </w:tcPr>
          <w:p w14:paraId="4E1E494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EE01E1"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7CB13D2" w14:textId="77777777" w:rsidR="00000000" w:rsidRDefault="00405D16">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center"/>
            <w:hideMark/>
          </w:tcPr>
          <w:p w14:paraId="64C41529"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516CB6BC" w14:textId="77777777" w:rsidR="00000000" w:rsidRDefault="00405D16">
            <w:pPr>
              <w:spacing w:after="100"/>
              <w:jc w:val="right"/>
              <w:rPr>
                <w:rFonts w:eastAsia="Times New Roman"/>
              </w:rPr>
            </w:pPr>
          </w:p>
        </w:tc>
        <w:tc>
          <w:tcPr>
            <w:tcW w:w="0" w:type="auto"/>
            <w:gridSpan w:val="3"/>
            <w:vAlign w:val="center"/>
            <w:hideMark/>
          </w:tcPr>
          <w:p w14:paraId="52AB3944" w14:textId="77777777" w:rsidR="00000000" w:rsidRDefault="00405D16">
            <w:pPr>
              <w:spacing w:after="100"/>
              <w:rPr>
                <w:rFonts w:eastAsia="Times New Roman"/>
                <w:sz w:val="20"/>
                <w:szCs w:val="20"/>
              </w:rPr>
            </w:pPr>
          </w:p>
        </w:tc>
      </w:tr>
      <w:tr w:rsidR="00000000" w14:paraId="5FB99BF6" w14:textId="77777777">
        <w:trPr>
          <w:divId w:val="2128575748"/>
        </w:trPr>
        <w:tc>
          <w:tcPr>
            <w:tcW w:w="0" w:type="auto"/>
            <w:gridSpan w:val="3"/>
            <w:shd w:val="clear" w:color="auto" w:fill="CCEEFF"/>
            <w:tcMar>
              <w:top w:w="30" w:type="dxa"/>
              <w:left w:w="20" w:type="dxa"/>
              <w:bottom w:w="30" w:type="dxa"/>
              <w:right w:w="20" w:type="dxa"/>
            </w:tcMar>
            <w:vAlign w:val="center"/>
            <w:hideMark/>
          </w:tcPr>
          <w:p w14:paraId="368F6886" w14:textId="77777777" w:rsidR="00000000" w:rsidRDefault="00405D16">
            <w:pPr>
              <w:spacing w:after="100"/>
              <w:rPr>
                <w:rFonts w:eastAsia="Times New Roman"/>
              </w:rPr>
            </w:pPr>
            <w:r>
              <w:rPr>
                <w:rFonts w:eastAsia="Times New Roman"/>
                <w:color w:val="000000"/>
                <w:sz w:val="18"/>
                <w:szCs w:val="18"/>
              </w:rPr>
              <w:t>Non-interest income</w:t>
            </w:r>
          </w:p>
        </w:tc>
        <w:tc>
          <w:tcPr>
            <w:tcW w:w="0" w:type="auto"/>
            <w:gridSpan w:val="3"/>
            <w:shd w:val="clear" w:color="auto" w:fill="CCEEFF"/>
            <w:tcMar>
              <w:top w:w="0" w:type="dxa"/>
              <w:left w:w="20" w:type="dxa"/>
              <w:bottom w:w="0" w:type="dxa"/>
              <w:right w:w="20" w:type="dxa"/>
            </w:tcMar>
            <w:vAlign w:val="center"/>
            <w:hideMark/>
          </w:tcPr>
          <w:p w14:paraId="36A9A177"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4A42255" w14:textId="77777777" w:rsidR="00000000" w:rsidRDefault="00405D16">
            <w:pPr>
              <w:spacing w:after="100"/>
              <w:jc w:val="right"/>
              <w:rPr>
                <w:rFonts w:eastAsia="Times New Roman"/>
              </w:rPr>
            </w:pPr>
            <w:r>
              <w:rPr>
                <w:rFonts w:eastAsia="Times New Roman"/>
                <w:b/>
                <w:bCs/>
                <w:color w:val="000000"/>
                <w:sz w:val="18"/>
                <w:szCs w:val="18"/>
              </w:rPr>
              <w:t>1,200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7C5D10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F0AB3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DE56D97" w14:textId="77777777" w:rsidR="00000000" w:rsidRDefault="00405D16">
            <w:pPr>
              <w:spacing w:after="100"/>
              <w:jc w:val="right"/>
              <w:rPr>
                <w:rFonts w:eastAsia="Times New Roman"/>
              </w:rPr>
            </w:pPr>
            <w:r>
              <w:rPr>
                <w:rFonts w:eastAsia="Times New Roman"/>
                <w:color w:val="000000"/>
                <w:sz w:val="18"/>
                <w:szCs w:val="18"/>
              </w:rPr>
              <w:t>952 </w:t>
            </w:r>
          </w:p>
        </w:tc>
        <w:tc>
          <w:tcPr>
            <w:tcW w:w="0" w:type="auto"/>
            <w:shd w:val="clear" w:color="auto" w:fill="CCEEFF"/>
            <w:tcMar>
              <w:top w:w="30" w:type="dxa"/>
              <w:left w:w="0" w:type="dxa"/>
              <w:bottom w:w="30" w:type="dxa"/>
              <w:right w:w="20" w:type="dxa"/>
            </w:tcMar>
            <w:vAlign w:val="center"/>
            <w:hideMark/>
          </w:tcPr>
          <w:p w14:paraId="75AA296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03FFD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07A61EC" w14:textId="77777777" w:rsidR="00000000" w:rsidRDefault="00405D16">
            <w:pPr>
              <w:spacing w:after="100"/>
              <w:jc w:val="right"/>
              <w:rPr>
                <w:rFonts w:eastAsia="Times New Roman"/>
              </w:rPr>
            </w:pPr>
            <w:r>
              <w:rPr>
                <w:rFonts w:eastAsia="Times New Roman"/>
                <w:color w:val="000000"/>
                <w:sz w:val="18"/>
                <w:szCs w:val="18"/>
              </w:rPr>
              <w:t>26 </w:t>
            </w:r>
          </w:p>
        </w:tc>
        <w:tc>
          <w:tcPr>
            <w:tcW w:w="0" w:type="auto"/>
            <w:shd w:val="clear" w:color="auto" w:fill="CCEEFF"/>
            <w:tcMar>
              <w:top w:w="30" w:type="dxa"/>
              <w:left w:w="0" w:type="dxa"/>
              <w:bottom w:w="30" w:type="dxa"/>
              <w:right w:w="20" w:type="dxa"/>
            </w:tcMar>
            <w:vAlign w:val="center"/>
            <w:hideMark/>
          </w:tcPr>
          <w:p w14:paraId="520B88E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8EFA0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B1AB3A9" w14:textId="77777777" w:rsidR="00000000" w:rsidRDefault="00405D16">
            <w:pPr>
              <w:spacing w:after="100"/>
              <w:jc w:val="right"/>
              <w:rPr>
                <w:rFonts w:eastAsia="Times New Roman"/>
              </w:rPr>
            </w:pPr>
            <w:r>
              <w:rPr>
                <w:rFonts w:eastAsia="Times New Roman"/>
                <w:b/>
                <w:bCs/>
                <w:color w:val="000000"/>
                <w:sz w:val="18"/>
                <w:szCs w:val="18"/>
              </w:rPr>
              <w:t>3,342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A6B416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B99CB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EBDA8BD" w14:textId="77777777" w:rsidR="00000000" w:rsidRDefault="00405D16">
            <w:pPr>
              <w:spacing w:after="100"/>
              <w:jc w:val="right"/>
              <w:rPr>
                <w:rFonts w:eastAsia="Times New Roman"/>
              </w:rPr>
            </w:pPr>
            <w:r>
              <w:rPr>
                <w:rFonts w:eastAsia="Times New Roman"/>
                <w:color w:val="000000"/>
                <w:sz w:val="18"/>
                <w:szCs w:val="18"/>
              </w:rPr>
              <w:t>2,589 </w:t>
            </w:r>
          </w:p>
        </w:tc>
        <w:tc>
          <w:tcPr>
            <w:tcW w:w="0" w:type="auto"/>
            <w:shd w:val="clear" w:color="auto" w:fill="CCEEFF"/>
            <w:tcMar>
              <w:top w:w="30" w:type="dxa"/>
              <w:left w:w="0" w:type="dxa"/>
              <w:bottom w:w="30" w:type="dxa"/>
              <w:right w:w="20" w:type="dxa"/>
            </w:tcMar>
            <w:vAlign w:val="center"/>
            <w:hideMark/>
          </w:tcPr>
          <w:p w14:paraId="7CFF4475" w14:textId="77777777" w:rsidR="00000000" w:rsidRDefault="00405D16">
            <w:pPr>
              <w:spacing w:after="100"/>
              <w:jc w:val="right"/>
              <w:rPr>
                <w:rFonts w:eastAsia="Times New Roman"/>
              </w:rPr>
            </w:pPr>
          </w:p>
        </w:tc>
        <w:tc>
          <w:tcPr>
            <w:tcW w:w="0" w:type="auto"/>
            <w:vAlign w:val="center"/>
            <w:hideMark/>
          </w:tcPr>
          <w:p w14:paraId="67F228A0" w14:textId="77777777" w:rsidR="00000000" w:rsidRDefault="00405D16">
            <w:pPr>
              <w:spacing w:after="100"/>
              <w:jc w:val="right"/>
              <w:rPr>
                <w:rFonts w:eastAsia="Times New Roman"/>
                <w:sz w:val="20"/>
                <w:szCs w:val="20"/>
              </w:rPr>
            </w:pPr>
          </w:p>
        </w:tc>
        <w:tc>
          <w:tcPr>
            <w:tcW w:w="0" w:type="auto"/>
            <w:vAlign w:val="center"/>
            <w:hideMark/>
          </w:tcPr>
          <w:p w14:paraId="500D602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2EDD29"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CE746B0" w14:textId="77777777" w:rsidR="00000000" w:rsidRDefault="00405D16">
            <w:pPr>
              <w:spacing w:after="100"/>
              <w:jc w:val="right"/>
              <w:rPr>
                <w:rFonts w:eastAsia="Times New Roman"/>
              </w:rPr>
            </w:pPr>
            <w:r>
              <w:rPr>
                <w:rFonts w:eastAsia="Times New Roman"/>
                <w:color w:val="000000"/>
                <w:sz w:val="18"/>
                <w:szCs w:val="18"/>
              </w:rPr>
              <w:t>29 </w:t>
            </w:r>
          </w:p>
        </w:tc>
        <w:tc>
          <w:tcPr>
            <w:tcW w:w="0" w:type="auto"/>
            <w:shd w:val="clear" w:color="auto" w:fill="CCEEFF"/>
            <w:tcMar>
              <w:top w:w="30" w:type="dxa"/>
              <w:left w:w="0" w:type="dxa"/>
              <w:bottom w:w="30" w:type="dxa"/>
              <w:right w:w="20" w:type="dxa"/>
            </w:tcMar>
            <w:vAlign w:val="center"/>
            <w:hideMark/>
          </w:tcPr>
          <w:p w14:paraId="6F8F8AC7" w14:textId="77777777" w:rsidR="00000000" w:rsidRDefault="00405D16">
            <w:pPr>
              <w:spacing w:after="100"/>
              <w:jc w:val="right"/>
              <w:rPr>
                <w:rFonts w:eastAsia="Times New Roman"/>
              </w:rPr>
            </w:pPr>
          </w:p>
        </w:tc>
        <w:tc>
          <w:tcPr>
            <w:tcW w:w="0" w:type="auto"/>
            <w:gridSpan w:val="3"/>
            <w:vAlign w:val="center"/>
            <w:hideMark/>
          </w:tcPr>
          <w:p w14:paraId="70CBE103" w14:textId="77777777" w:rsidR="00000000" w:rsidRDefault="00405D16">
            <w:pPr>
              <w:spacing w:after="100"/>
              <w:jc w:val="right"/>
              <w:rPr>
                <w:rFonts w:eastAsia="Times New Roman"/>
                <w:sz w:val="20"/>
                <w:szCs w:val="20"/>
              </w:rPr>
            </w:pPr>
          </w:p>
        </w:tc>
        <w:tc>
          <w:tcPr>
            <w:tcW w:w="0" w:type="auto"/>
            <w:gridSpan w:val="3"/>
            <w:vAlign w:val="center"/>
            <w:hideMark/>
          </w:tcPr>
          <w:p w14:paraId="58841F82" w14:textId="77777777" w:rsidR="00000000" w:rsidRDefault="00405D16">
            <w:pPr>
              <w:spacing w:after="100"/>
              <w:rPr>
                <w:rFonts w:eastAsia="Times New Roman"/>
                <w:sz w:val="20"/>
                <w:szCs w:val="20"/>
              </w:rPr>
            </w:pPr>
          </w:p>
        </w:tc>
      </w:tr>
      <w:tr w:rsidR="00000000" w14:paraId="28ACA26E" w14:textId="77777777">
        <w:trPr>
          <w:divId w:val="2128575748"/>
        </w:trPr>
        <w:tc>
          <w:tcPr>
            <w:tcW w:w="0" w:type="auto"/>
            <w:gridSpan w:val="3"/>
            <w:shd w:val="clear" w:color="auto" w:fill="FFFFFF"/>
            <w:tcMar>
              <w:top w:w="30" w:type="dxa"/>
              <w:left w:w="20" w:type="dxa"/>
              <w:bottom w:w="30" w:type="dxa"/>
              <w:right w:w="20" w:type="dxa"/>
            </w:tcMar>
            <w:vAlign w:val="center"/>
            <w:hideMark/>
          </w:tcPr>
          <w:p w14:paraId="6EA10F1F" w14:textId="77777777" w:rsidR="00000000" w:rsidRDefault="00405D16">
            <w:pPr>
              <w:spacing w:after="100"/>
              <w:divId w:val="775488748"/>
              <w:rPr>
                <w:rFonts w:eastAsia="Times New Roman"/>
              </w:rPr>
            </w:pPr>
            <w:r>
              <w:rPr>
                <w:rFonts w:eastAsia="Times New Roman"/>
                <w:color w:val="000000"/>
                <w:sz w:val="18"/>
                <w:szCs w:val="18"/>
              </w:rPr>
              <w:t>Total net revenu</w:t>
            </w:r>
            <w:r>
              <w:rPr>
                <w:rFonts w:eastAsia="Times New Roman"/>
                <w:color w:val="000000"/>
                <w:sz w:val="18"/>
                <w:szCs w:val="18"/>
              </w:rPr>
              <w:t>e</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33CE0189"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11DC68E" w14:textId="77777777" w:rsidR="00000000" w:rsidRDefault="00405D16">
            <w:pPr>
              <w:spacing w:after="100"/>
              <w:jc w:val="right"/>
              <w:rPr>
                <w:rFonts w:eastAsia="Times New Roman"/>
              </w:rPr>
            </w:pPr>
            <w:r>
              <w:rPr>
                <w:rFonts w:eastAsia="Times New Roman"/>
                <w:b/>
                <w:bCs/>
                <w:color w:val="000000"/>
                <w:sz w:val="18"/>
                <w:szCs w:val="18"/>
              </w:rPr>
              <w:t>4,519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E56EAA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7439C6"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0D915C1" w14:textId="77777777" w:rsidR="00000000" w:rsidRDefault="00405D16">
            <w:pPr>
              <w:spacing w:after="100"/>
              <w:jc w:val="right"/>
              <w:rPr>
                <w:rFonts w:eastAsia="Times New Roman"/>
              </w:rPr>
            </w:pPr>
            <w:r>
              <w:rPr>
                <w:rFonts w:eastAsia="Times New Roman"/>
                <w:color w:val="000000"/>
                <w:sz w:val="18"/>
                <w:szCs w:val="18"/>
              </w:rPr>
              <w:t>3,947 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324692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E1CC9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F718549" w14:textId="77777777" w:rsidR="00000000" w:rsidRDefault="00405D16">
            <w:pPr>
              <w:spacing w:after="100"/>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center"/>
            <w:hideMark/>
          </w:tcPr>
          <w:p w14:paraId="01130B4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A365E6"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189059D" w14:textId="77777777" w:rsidR="00000000" w:rsidRDefault="00405D16">
            <w:pPr>
              <w:spacing w:after="100"/>
              <w:jc w:val="right"/>
              <w:rPr>
                <w:rFonts w:eastAsia="Times New Roman"/>
              </w:rPr>
            </w:pPr>
            <w:r>
              <w:rPr>
                <w:rFonts w:eastAsia="Times New Roman"/>
                <w:b/>
                <w:bCs/>
                <w:color w:val="000000"/>
                <w:sz w:val="18"/>
                <w:szCs w:val="18"/>
              </w:rPr>
              <w:t>12,700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0A9544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1294AF"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2DEF18F" w14:textId="77777777" w:rsidR="00000000" w:rsidRDefault="00405D16">
            <w:pPr>
              <w:spacing w:after="100"/>
              <w:jc w:val="right"/>
              <w:rPr>
                <w:rFonts w:eastAsia="Times New Roman"/>
              </w:rPr>
            </w:pPr>
            <w:r>
              <w:rPr>
                <w:rFonts w:eastAsia="Times New Roman"/>
                <w:color w:val="000000"/>
                <w:sz w:val="18"/>
                <w:szCs w:val="18"/>
              </w:rPr>
              <w:t>12,059 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DE6020B" w14:textId="77777777" w:rsidR="00000000" w:rsidRDefault="00405D16">
            <w:pPr>
              <w:spacing w:after="100"/>
              <w:jc w:val="right"/>
              <w:rPr>
                <w:rFonts w:eastAsia="Times New Roman"/>
              </w:rPr>
            </w:pPr>
          </w:p>
        </w:tc>
        <w:tc>
          <w:tcPr>
            <w:tcW w:w="0" w:type="auto"/>
            <w:vAlign w:val="center"/>
            <w:hideMark/>
          </w:tcPr>
          <w:p w14:paraId="2BE94D05" w14:textId="77777777" w:rsidR="00000000" w:rsidRDefault="00405D16">
            <w:pPr>
              <w:spacing w:after="100"/>
              <w:jc w:val="right"/>
              <w:rPr>
                <w:rFonts w:eastAsia="Times New Roman"/>
                <w:sz w:val="20"/>
                <w:szCs w:val="20"/>
              </w:rPr>
            </w:pPr>
          </w:p>
        </w:tc>
        <w:tc>
          <w:tcPr>
            <w:tcW w:w="0" w:type="auto"/>
            <w:vAlign w:val="center"/>
            <w:hideMark/>
          </w:tcPr>
          <w:p w14:paraId="303C776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BCB7C8"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4E32A94" w14:textId="77777777" w:rsidR="00000000" w:rsidRDefault="00405D16">
            <w:pPr>
              <w:spacing w:after="100"/>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14:paraId="29E54F13" w14:textId="77777777" w:rsidR="00000000" w:rsidRDefault="00405D16">
            <w:pPr>
              <w:spacing w:after="100"/>
              <w:jc w:val="right"/>
              <w:rPr>
                <w:rFonts w:eastAsia="Times New Roman"/>
              </w:rPr>
            </w:pPr>
          </w:p>
        </w:tc>
        <w:tc>
          <w:tcPr>
            <w:tcW w:w="0" w:type="auto"/>
            <w:gridSpan w:val="3"/>
            <w:vAlign w:val="center"/>
            <w:hideMark/>
          </w:tcPr>
          <w:p w14:paraId="5D17678A" w14:textId="77777777" w:rsidR="00000000" w:rsidRDefault="00405D16">
            <w:pPr>
              <w:spacing w:after="100"/>
              <w:jc w:val="right"/>
              <w:rPr>
                <w:rFonts w:eastAsia="Times New Roman"/>
                <w:sz w:val="20"/>
                <w:szCs w:val="20"/>
              </w:rPr>
            </w:pPr>
          </w:p>
        </w:tc>
        <w:tc>
          <w:tcPr>
            <w:tcW w:w="0" w:type="auto"/>
            <w:gridSpan w:val="3"/>
            <w:vAlign w:val="center"/>
            <w:hideMark/>
          </w:tcPr>
          <w:p w14:paraId="65EBF897" w14:textId="77777777" w:rsidR="00000000" w:rsidRDefault="00405D16">
            <w:pPr>
              <w:spacing w:after="100"/>
              <w:rPr>
                <w:rFonts w:eastAsia="Times New Roman"/>
                <w:sz w:val="20"/>
                <w:szCs w:val="20"/>
              </w:rPr>
            </w:pPr>
          </w:p>
        </w:tc>
      </w:tr>
      <w:tr w:rsidR="00000000" w14:paraId="4478E0C8" w14:textId="77777777">
        <w:trPr>
          <w:divId w:val="2128575748"/>
        </w:trPr>
        <w:tc>
          <w:tcPr>
            <w:tcW w:w="0" w:type="auto"/>
            <w:gridSpan w:val="3"/>
            <w:shd w:val="clear" w:color="auto" w:fill="CCEEFF"/>
            <w:tcMar>
              <w:top w:w="30" w:type="dxa"/>
              <w:left w:w="20" w:type="dxa"/>
              <w:bottom w:w="30" w:type="dxa"/>
              <w:right w:w="20" w:type="dxa"/>
            </w:tcMar>
            <w:vAlign w:val="center"/>
            <w:hideMark/>
          </w:tcPr>
          <w:p w14:paraId="01E02D2E" w14:textId="77777777" w:rsidR="00000000" w:rsidRDefault="00405D16">
            <w:pPr>
              <w:spacing w:after="100"/>
              <w:rPr>
                <w:rFonts w:eastAsia="Times New Roman"/>
              </w:rPr>
            </w:pPr>
            <w:r>
              <w:rPr>
                <w:rFonts w:eastAsia="Times New Roman"/>
                <w:color w:val="000000"/>
                <w:sz w:val="18"/>
                <w:szCs w:val="18"/>
              </w:rPr>
              <w:t>Provision (benefit) for credit losses</w:t>
            </w:r>
          </w:p>
        </w:tc>
        <w:tc>
          <w:tcPr>
            <w:tcW w:w="0" w:type="auto"/>
            <w:gridSpan w:val="3"/>
            <w:shd w:val="clear" w:color="auto" w:fill="CCEEFF"/>
            <w:tcMar>
              <w:top w:w="0" w:type="dxa"/>
              <w:left w:w="20" w:type="dxa"/>
              <w:bottom w:w="0" w:type="dxa"/>
              <w:right w:w="20" w:type="dxa"/>
            </w:tcMar>
            <w:vAlign w:val="center"/>
            <w:hideMark/>
          </w:tcPr>
          <w:p w14:paraId="103201AD"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976F3A8" w14:textId="77777777" w:rsidR="00000000" w:rsidRDefault="00405D16">
            <w:pPr>
              <w:spacing w:after="100"/>
              <w:jc w:val="right"/>
              <w:rPr>
                <w:rFonts w:eastAsia="Times New Roman"/>
              </w:rPr>
            </w:pPr>
            <w:r>
              <w:rPr>
                <w:rFonts w:eastAsia="Times New Roman"/>
                <w:b/>
                <w:bCs/>
                <w:color w:val="000000"/>
                <w:sz w:val="18"/>
                <w:szCs w:val="18"/>
              </w:rPr>
              <w:t>(200)</w:t>
            </w:r>
          </w:p>
        </w:tc>
        <w:tc>
          <w:tcPr>
            <w:tcW w:w="0" w:type="auto"/>
            <w:shd w:val="clear" w:color="auto" w:fill="CCEEFF"/>
            <w:tcMar>
              <w:top w:w="30" w:type="dxa"/>
              <w:left w:w="0" w:type="dxa"/>
              <w:bottom w:w="30" w:type="dxa"/>
              <w:right w:w="20" w:type="dxa"/>
            </w:tcMar>
            <w:vAlign w:val="center"/>
            <w:hideMark/>
          </w:tcPr>
          <w:p w14:paraId="136E728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2BD67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FCE9880" w14:textId="77777777" w:rsidR="00000000" w:rsidRDefault="00405D16">
            <w:pPr>
              <w:spacing w:after="100"/>
              <w:jc w:val="right"/>
              <w:rPr>
                <w:rFonts w:eastAsia="Times New Roman"/>
              </w:rPr>
            </w:pPr>
            <w:r>
              <w:rPr>
                <w:rFonts w:eastAsia="Times New Roman"/>
                <w:color w:val="000000"/>
                <w:sz w:val="18"/>
                <w:szCs w:val="18"/>
              </w:rPr>
              <w:t>378 </w:t>
            </w:r>
          </w:p>
        </w:tc>
        <w:tc>
          <w:tcPr>
            <w:tcW w:w="0" w:type="auto"/>
            <w:shd w:val="clear" w:color="auto" w:fill="CCEEFF"/>
            <w:tcMar>
              <w:top w:w="30" w:type="dxa"/>
              <w:left w:w="0" w:type="dxa"/>
              <w:bottom w:w="30" w:type="dxa"/>
              <w:right w:w="20" w:type="dxa"/>
            </w:tcMar>
            <w:vAlign w:val="center"/>
            <w:hideMark/>
          </w:tcPr>
          <w:p w14:paraId="53BD2C1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51FE33"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33919DB4"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45BDE8D"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375B11A" w14:textId="77777777" w:rsidR="00000000" w:rsidRDefault="00405D16">
            <w:pPr>
              <w:spacing w:after="100"/>
              <w:jc w:val="right"/>
              <w:rPr>
                <w:rFonts w:eastAsia="Times New Roman"/>
              </w:rPr>
            </w:pPr>
            <w:r>
              <w:rPr>
                <w:rFonts w:eastAsia="Times New Roman"/>
                <w:b/>
                <w:bCs/>
                <w:color w:val="000000"/>
                <w:sz w:val="18"/>
                <w:szCs w:val="18"/>
              </w:rPr>
              <w:t>(1,252)</w:t>
            </w:r>
          </w:p>
        </w:tc>
        <w:tc>
          <w:tcPr>
            <w:tcW w:w="0" w:type="auto"/>
            <w:shd w:val="clear" w:color="auto" w:fill="CCEEFF"/>
            <w:tcMar>
              <w:top w:w="30" w:type="dxa"/>
              <w:left w:w="0" w:type="dxa"/>
              <w:bottom w:w="30" w:type="dxa"/>
              <w:right w:w="20" w:type="dxa"/>
            </w:tcMar>
            <w:vAlign w:val="center"/>
            <w:hideMark/>
          </w:tcPr>
          <w:p w14:paraId="5517D8E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E836E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D8F5631" w14:textId="77777777" w:rsidR="00000000" w:rsidRDefault="00405D16">
            <w:pPr>
              <w:spacing w:after="100"/>
              <w:jc w:val="right"/>
              <w:rPr>
                <w:rFonts w:eastAsia="Times New Roman"/>
              </w:rPr>
            </w:pPr>
            <w:r>
              <w:rPr>
                <w:rFonts w:eastAsia="Times New Roman"/>
                <w:color w:val="000000"/>
                <w:sz w:val="18"/>
                <w:szCs w:val="18"/>
              </w:rPr>
              <w:t>6,748 </w:t>
            </w:r>
          </w:p>
        </w:tc>
        <w:tc>
          <w:tcPr>
            <w:tcW w:w="0" w:type="auto"/>
            <w:shd w:val="clear" w:color="auto" w:fill="CCEEFF"/>
            <w:tcMar>
              <w:top w:w="30" w:type="dxa"/>
              <w:left w:w="0" w:type="dxa"/>
              <w:bottom w:w="30" w:type="dxa"/>
              <w:right w:w="20" w:type="dxa"/>
            </w:tcMar>
            <w:vAlign w:val="center"/>
            <w:hideMark/>
          </w:tcPr>
          <w:p w14:paraId="7EEA95ED" w14:textId="77777777" w:rsidR="00000000" w:rsidRDefault="00405D16">
            <w:pPr>
              <w:spacing w:after="100"/>
              <w:jc w:val="right"/>
              <w:rPr>
                <w:rFonts w:eastAsia="Times New Roman"/>
              </w:rPr>
            </w:pPr>
          </w:p>
        </w:tc>
        <w:tc>
          <w:tcPr>
            <w:tcW w:w="0" w:type="auto"/>
            <w:vAlign w:val="center"/>
            <w:hideMark/>
          </w:tcPr>
          <w:p w14:paraId="08869651" w14:textId="77777777" w:rsidR="00000000" w:rsidRDefault="00405D16">
            <w:pPr>
              <w:spacing w:after="100"/>
              <w:jc w:val="right"/>
              <w:rPr>
                <w:rFonts w:eastAsia="Times New Roman"/>
                <w:sz w:val="20"/>
                <w:szCs w:val="20"/>
              </w:rPr>
            </w:pPr>
          </w:p>
        </w:tc>
        <w:tc>
          <w:tcPr>
            <w:tcW w:w="0" w:type="auto"/>
            <w:vAlign w:val="center"/>
            <w:hideMark/>
          </w:tcPr>
          <w:p w14:paraId="2E41669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095512" w14:textId="77777777" w:rsidR="00000000" w:rsidRDefault="00405D16">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67115F70"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20874BF8" w14:textId="77777777" w:rsidR="00000000" w:rsidRDefault="00405D16">
            <w:pPr>
              <w:spacing w:after="100"/>
              <w:jc w:val="right"/>
              <w:rPr>
                <w:rFonts w:eastAsia="Times New Roman"/>
              </w:rPr>
            </w:pPr>
          </w:p>
        </w:tc>
        <w:tc>
          <w:tcPr>
            <w:tcW w:w="0" w:type="auto"/>
            <w:gridSpan w:val="3"/>
            <w:vAlign w:val="center"/>
            <w:hideMark/>
          </w:tcPr>
          <w:p w14:paraId="017A1B60" w14:textId="77777777" w:rsidR="00000000" w:rsidRDefault="00405D16">
            <w:pPr>
              <w:spacing w:after="100"/>
              <w:rPr>
                <w:rFonts w:eastAsia="Times New Roman"/>
                <w:sz w:val="20"/>
                <w:szCs w:val="20"/>
              </w:rPr>
            </w:pPr>
          </w:p>
        </w:tc>
      </w:tr>
      <w:tr w:rsidR="00000000" w14:paraId="7A0CA10D" w14:textId="77777777">
        <w:trPr>
          <w:divId w:val="2128575748"/>
        </w:trPr>
        <w:tc>
          <w:tcPr>
            <w:tcW w:w="0" w:type="auto"/>
            <w:gridSpan w:val="3"/>
            <w:shd w:val="clear" w:color="auto" w:fill="FFFFFF"/>
            <w:tcMar>
              <w:top w:w="30" w:type="dxa"/>
              <w:left w:w="20" w:type="dxa"/>
              <w:bottom w:w="30" w:type="dxa"/>
              <w:right w:w="20" w:type="dxa"/>
            </w:tcMar>
            <w:vAlign w:val="center"/>
            <w:hideMark/>
          </w:tcPr>
          <w:p w14:paraId="6C542741" w14:textId="77777777" w:rsidR="00000000" w:rsidRDefault="00405D16">
            <w:pPr>
              <w:spacing w:after="100"/>
              <w:rPr>
                <w:rFonts w:eastAsia="Times New Roman"/>
              </w:rPr>
            </w:pPr>
            <w:r>
              <w:rPr>
                <w:rFonts w:eastAsia="Times New Roman"/>
                <w:color w:val="000000"/>
                <w:sz w:val="18"/>
                <w:szCs w:val="18"/>
              </w:rPr>
              <w:t>Non-interest expense</w:t>
            </w:r>
          </w:p>
        </w:tc>
        <w:tc>
          <w:tcPr>
            <w:tcW w:w="0" w:type="auto"/>
            <w:gridSpan w:val="3"/>
            <w:shd w:val="clear" w:color="auto" w:fill="FFFFFF"/>
            <w:tcMar>
              <w:top w:w="0" w:type="dxa"/>
              <w:left w:w="20" w:type="dxa"/>
              <w:bottom w:w="0" w:type="dxa"/>
              <w:right w:w="20" w:type="dxa"/>
            </w:tcMar>
            <w:vAlign w:val="center"/>
            <w:hideMark/>
          </w:tcPr>
          <w:p w14:paraId="7372E2AB"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96EB648" w14:textId="77777777" w:rsidR="00000000" w:rsidRDefault="00405D16">
            <w:pPr>
              <w:spacing w:after="100"/>
              <w:jc w:val="right"/>
              <w:rPr>
                <w:rFonts w:eastAsia="Times New Roman"/>
              </w:rPr>
            </w:pPr>
            <w:r>
              <w:rPr>
                <w:rFonts w:eastAsia="Times New Roman"/>
                <w:b/>
                <w:bCs/>
                <w:color w:val="000000"/>
                <w:sz w:val="18"/>
                <w:szCs w:val="18"/>
              </w:rPr>
              <w:t>2,191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7539AE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69A8D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97E362B" w14:textId="77777777" w:rsidR="00000000" w:rsidRDefault="00405D16">
            <w:pPr>
              <w:spacing w:after="100"/>
              <w:jc w:val="right"/>
              <w:rPr>
                <w:rFonts w:eastAsia="Times New Roman"/>
              </w:rPr>
            </w:pPr>
            <w:r>
              <w:rPr>
                <w:rFonts w:eastAsia="Times New Roman"/>
                <w:color w:val="000000"/>
                <w:sz w:val="18"/>
                <w:szCs w:val="18"/>
              </w:rPr>
              <w:t>1,802 </w:t>
            </w:r>
          </w:p>
        </w:tc>
        <w:tc>
          <w:tcPr>
            <w:tcW w:w="0" w:type="auto"/>
            <w:shd w:val="clear" w:color="auto" w:fill="FFFFFF"/>
            <w:tcMar>
              <w:top w:w="30" w:type="dxa"/>
              <w:left w:w="0" w:type="dxa"/>
              <w:bottom w:w="30" w:type="dxa"/>
              <w:right w:w="20" w:type="dxa"/>
            </w:tcMar>
            <w:vAlign w:val="center"/>
            <w:hideMark/>
          </w:tcPr>
          <w:p w14:paraId="49F0B3D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2F022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071CECF" w14:textId="77777777" w:rsidR="00000000" w:rsidRDefault="00405D16">
            <w:pPr>
              <w:spacing w:after="100"/>
              <w:jc w:val="right"/>
              <w:rPr>
                <w:rFonts w:eastAsia="Times New Roman"/>
              </w:rPr>
            </w:pPr>
            <w:r>
              <w:rPr>
                <w:rFonts w:eastAsia="Times New Roman"/>
                <w:color w:val="000000"/>
                <w:sz w:val="18"/>
                <w:szCs w:val="18"/>
              </w:rPr>
              <w:t>22 </w:t>
            </w:r>
          </w:p>
        </w:tc>
        <w:tc>
          <w:tcPr>
            <w:tcW w:w="0" w:type="auto"/>
            <w:shd w:val="clear" w:color="auto" w:fill="FFFFFF"/>
            <w:tcMar>
              <w:top w:w="30" w:type="dxa"/>
              <w:left w:w="0" w:type="dxa"/>
              <w:bottom w:w="30" w:type="dxa"/>
              <w:right w:w="20" w:type="dxa"/>
            </w:tcMar>
            <w:vAlign w:val="center"/>
            <w:hideMark/>
          </w:tcPr>
          <w:p w14:paraId="3917A9B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D705D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3079E3C" w14:textId="77777777" w:rsidR="00000000" w:rsidRDefault="00405D16">
            <w:pPr>
              <w:spacing w:after="100"/>
              <w:jc w:val="right"/>
              <w:rPr>
                <w:rFonts w:eastAsia="Times New Roman"/>
              </w:rPr>
            </w:pPr>
            <w:r>
              <w:rPr>
                <w:rFonts w:eastAsia="Times New Roman"/>
                <w:b/>
                <w:bCs/>
                <w:color w:val="000000"/>
                <w:sz w:val="18"/>
                <w:szCs w:val="18"/>
              </w:rPr>
              <w:t>6,148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64E462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E7192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3BC7065" w14:textId="77777777" w:rsidR="00000000" w:rsidRDefault="00405D16">
            <w:pPr>
              <w:spacing w:after="100"/>
              <w:jc w:val="right"/>
              <w:rPr>
                <w:rFonts w:eastAsia="Times New Roman"/>
              </w:rPr>
            </w:pPr>
            <w:r>
              <w:rPr>
                <w:rFonts w:eastAsia="Times New Roman"/>
                <w:color w:val="000000"/>
                <w:sz w:val="18"/>
                <w:szCs w:val="18"/>
              </w:rPr>
              <w:t>5,562 </w:t>
            </w:r>
          </w:p>
        </w:tc>
        <w:tc>
          <w:tcPr>
            <w:tcW w:w="0" w:type="auto"/>
            <w:shd w:val="clear" w:color="auto" w:fill="FFFFFF"/>
            <w:tcMar>
              <w:top w:w="30" w:type="dxa"/>
              <w:left w:w="0" w:type="dxa"/>
              <w:bottom w:w="30" w:type="dxa"/>
              <w:right w:w="20" w:type="dxa"/>
            </w:tcMar>
            <w:vAlign w:val="center"/>
            <w:hideMark/>
          </w:tcPr>
          <w:p w14:paraId="6F307EF9" w14:textId="77777777" w:rsidR="00000000" w:rsidRDefault="00405D16">
            <w:pPr>
              <w:spacing w:after="100"/>
              <w:jc w:val="right"/>
              <w:rPr>
                <w:rFonts w:eastAsia="Times New Roman"/>
              </w:rPr>
            </w:pPr>
          </w:p>
        </w:tc>
        <w:tc>
          <w:tcPr>
            <w:tcW w:w="0" w:type="auto"/>
            <w:vAlign w:val="center"/>
            <w:hideMark/>
          </w:tcPr>
          <w:p w14:paraId="3283FDB6" w14:textId="77777777" w:rsidR="00000000" w:rsidRDefault="00405D16">
            <w:pPr>
              <w:spacing w:after="100"/>
              <w:jc w:val="right"/>
              <w:rPr>
                <w:rFonts w:eastAsia="Times New Roman"/>
                <w:sz w:val="20"/>
                <w:szCs w:val="20"/>
              </w:rPr>
            </w:pPr>
          </w:p>
        </w:tc>
        <w:tc>
          <w:tcPr>
            <w:tcW w:w="0" w:type="auto"/>
            <w:vAlign w:val="center"/>
            <w:hideMark/>
          </w:tcPr>
          <w:p w14:paraId="0CA8EE4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CA1EB7"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009352A" w14:textId="77777777" w:rsidR="00000000" w:rsidRDefault="00405D16">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center"/>
            <w:hideMark/>
          </w:tcPr>
          <w:p w14:paraId="6C494833" w14:textId="77777777" w:rsidR="00000000" w:rsidRDefault="00405D16">
            <w:pPr>
              <w:spacing w:after="100"/>
              <w:jc w:val="right"/>
              <w:rPr>
                <w:rFonts w:eastAsia="Times New Roman"/>
              </w:rPr>
            </w:pPr>
          </w:p>
        </w:tc>
        <w:tc>
          <w:tcPr>
            <w:tcW w:w="0" w:type="auto"/>
            <w:gridSpan w:val="3"/>
            <w:vAlign w:val="center"/>
            <w:hideMark/>
          </w:tcPr>
          <w:p w14:paraId="5263B25B" w14:textId="77777777" w:rsidR="00000000" w:rsidRDefault="00405D16">
            <w:pPr>
              <w:spacing w:after="100"/>
              <w:jc w:val="right"/>
              <w:rPr>
                <w:rFonts w:eastAsia="Times New Roman"/>
                <w:sz w:val="20"/>
                <w:szCs w:val="20"/>
              </w:rPr>
            </w:pPr>
          </w:p>
        </w:tc>
        <w:tc>
          <w:tcPr>
            <w:tcW w:w="0" w:type="auto"/>
            <w:gridSpan w:val="3"/>
            <w:vAlign w:val="center"/>
            <w:hideMark/>
          </w:tcPr>
          <w:p w14:paraId="55BE2134" w14:textId="77777777" w:rsidR="00000000" w:rsidRDefault="00405D16">
            <w:pPr>
              <w:spacing w:after="100"/>
              <w:rPr>
                <w:rFonts w:eastAsia="Times New Roman"/>
                <w:sz w:val="20"/>
                <w:szCs w:val="20"/>
              </w:rPr>
            </w:pPr>
          </w:p>
        </w:tc>
      </w:tr>
      <w:tr w:rsidR="00000000" w14:paraId="074E66B9" w14:textId="77777777">
        <w:trPr>
          <w:divId w:val="2128575748"/>
        </w:trPr>
        <w:tc>
          <w:tcPr>
            <w:tcW w:w="0" w:type="auto"/>
            <w:gridSpan w:val="3"/>
            <w:shd w:val="clear" w:color="auto" w:fill="CCEEFF"/>
            <w:tcMar>
              <w:top w:w="30" w:type="dxa"/>
              <w:left w:w="20" w:type="dxa"/>
              <w:bottom w:w="30" w:type="dxa"/>
              <w:right w:w="20" w:type="dxa"/>
            </w:tcMar>
            <w:vAlign w:val="center"/>
            <w:hideMark/>
          </w:tcPr>
          <w:p w14:paraId="518B75C5" w14:textId="77777777" w:rsidR="00000000" w:rsidRDefault="00405D16">
            <w:pPr>
              <w:spacing w:after="100"/>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CCEEFF"/>
            <w:tcMar>
              <w:top w:w="0" w:type="dxa"/>
              <w:left w:w="20" w:type="dxa"/>
              <w:bottom w:w="0" w:type="dxa"/>
              <w:right w:w="20" w:type="dxa"/>
            </w:tcMar>
            <w:vAlign w:val="center"/>
            <w:hideMark/>
          </w:tcPr>
          <w:p w14:paraId="6E31DEC1"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A3B8A4D" w14:textId="77777777" w:rsidR="00000000" w:rsidRDefault="00405D16">
            <w:pPr>
              <w:spacing w:after="100"/>
              <w:jc w:val="right"/>
              <w:rPr>
                <w:rFonts w:eastAsia="Times New Roman"/>
              </w:rPr>
            </w:pPr>
            <w:r>
              <w:rPr>
                <w:rFonts w:eastAsia="Times New Roman"/>
                <w:b/>
                <w:bCs/>
                <w:color w:val="000000"/>
                <w:sz w:val="18"/>
                <w:szCs w:val="18"/>
              </w:rPr>
              <w:t>2,528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356CF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A0F92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783D97D" w14:textId="77777777" w:rsidR="00000000" w:rsidRDefault="00405D16">
            <w:pPr>
              <w:spacing w:after="100"/>
              <w:jc w:val="right"/>
              <w:rPr>
                <w:rFonts w:eastAsia="Times New Roman"/>
              </w:rPr>
            </w:pPr>
            <w:r>
              <w:rPr>
                <w:rFonts w:eastAsia="Times New Roman"/>
                <w:color w:val="000000"/>
                <w:sz w:val="18"/>
                <w:szCs w:val="18"/>
              </w:rPr>
              <w:t>1,767 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3B555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45FA8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2A80DD1" w14:textId="77777777" w:rsidR="00000000" w:rsidRDefault="00405D16">
            <w:pPr>
              <w:spacing w:after="100"/>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center"/>
            <w:hideMark/>
          </w:tcPr>
          <w:p w14:paraId="7426D46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B0611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988B299" w14:textId="77777777" w:rsidR="00000000" w:rsidRDefault="00405D16">
            <w:pPr>
              <w:spacing w:after="100"/>
              <w:jc w:val="right"/>
              <w:rPr>
                <w:rFonts w:eastAsia="Times New Roman"/>
              </w:rPr>
            </w:pPr>
            <w:r>
              <w:rPr>
                <w:rFonts w:eastAsia="Times New Roman"/>
                <w:b/>
                <w:bCs/>
                <w:color w:val="000000"/>
                <w:sz w:val="18"/>
                <w:szCs w:val="18"/>
              </w:rPr>
              <w:t>7,804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38873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A88846"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F80B4EF" w14:textId="77777777" w:rsidR="00000000" w:rsidRDefault="00405D16">
            <w:pPr>
              <w:spacing w:after="100"/>
              <w:jc w:val="right"/>
              <w:rPr>
                <w:rFonts w:eastAsia="Times New Roman"/>
              </w:rPr>
            </w:pPr>
            <w:r>
              <w:rPr>
                <w:rFonts w:eastAsia="Times New Roman"/>
                <w:color w:val="000000"/>
                <w:sz w:val="18"/>
                <w:szCs w:val="18"/>
              </w:rPr>
              <w:t>(251)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A9DD96" w14:textId="77777777" w:rsidR="00000000" w:rsidRDefault="00405D16">
            <w:pPr>
              <w:spacing w:after="100"/>
              <w:jc w:val="right"/>
              <w:rPr>
                <w:rFonts w:eastAsia="Times New Roman"/>
              </w:rPr>
            </w:pPr>
          </w:p>
        </w:tc>
        <w:tc>
          <w:tcPr>
            <w:tcW w:w="0" w:type="auto"/>
            <w:vAlign w:val="center"/>
            <w:hideMark/>
          </w:tcPr>
          <w:p w14:paraId="2AA69624" w14:textId="77777777" w:rsidR="00000000" w:rsidRDefault="00405D16">
            <w:pPr>
              <w:spacing w:after="100"/>
              <w:jc w:val="right"/>
              <w:rPr>
                <w:rFonts w:eastAsia="Times New Roman"/>
                <w:sz w:val="20"/>
                <w:szCs w:val="20"/>
              </w:rPr>
            </w:pPr>
          </w:p>
        </w:tc>
        <w:tc>
          <w:tcPr>
            <w:tcW w:w="0" w:type="auto"/>
            <w:vAlign w:val="center"/>
            <w:hideMark/>
          </w:tcPr>
          <w:p w14:paraId="53DAA3F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D1201D" w14:textId="77777777" w:rsidR="00000000" w:rsidRDefault="00405D16">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42C9A2CB"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4C7730AB" w14:textId="77777777" w:rsidR="00000000" w:rsidRDefault="00405D16">
            <w:pPr>
              <w:spacing w:after="100"/>
              <w:jc w:val="right"/>
              <w:rPr>
                <w:rFonts w:eastAsia="Times New Roman"/>
              </w:rPr>
            </w:pPr>
          </w:p>
        </w:tc>
        <w:tc>
          <w:tcPr>
            <w:tcW w:w="0" w:type="auto"/>
            <w:gridSpan w:val="3"/>
            <w:vAlign w:val="center"/>
            <w:hideMark/>
          </w:tcPr>
          <w:p w14:paraId="1392F1AE" w14:textId="77777777" w:rsidR="00000000" w:rsidRDefault="00405D16">
            <w:pPr>
              <w:spacing w:after="100"/>
              <w:rPr>
                <w:rFonts w:eastAsia="Times New Roman"/>
                <w:sz w:val="20"/>
                <w:szCs w:val="20"/>
              </w:rPr>
            </w:pPr>
          </w:p>
        </w:tc>
      </w:tr>
      <w:tr w:rsidR="00000000" w14:paraId="7CC39CFE" w14:textId="77777777">
        <w:trPr>
          <w:divId w:val="2128575748"/>
        </w:trPr>
        <w:tc>
          <w:tcPr>
            <w:tcW w:w="0" w:type="auto"/>
            <w:gridSpan w:val="3"/>
            <w:shd w:val="clear" w:color="auto" w:fill="FFFFFF"/>
            <w:tcMar>
              <w:top w:w="30" w:type="dxa"/>
              <w:left w:w="20" w:type="dxa"/>
              <w:bottom w:w="30" w:type="dxa"/>
              <w:right w:w="20" w:type="dxa"/>
            </w:tcMar>
            <w:vAlign w:val="center"/>
            <w:hideMark/>
          </w:tcPr>
          <w:p w14:paraId="65C777C2" w14:textId="77777777" w:rsidR="00000000" w:rsidRDefault="00405D16">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FFFFFF"/>
            <w:tcMar>
              <w:top w:w="0" w:type="dxa"/>
              <w:left w:w="20" w:type="dxa"/>
              <w:bottom w:w="0" w:type="dxa"/>
              <w:right w:w="20" w:type="dxa"/>
            </w:tcMar>
            <w:vAlign w:val="center"/>
            <w:hideMark/>
          </w:tcPr>
          <w:p w14:paraId="304A424B"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BDDF18B" w14:textId="77777777" w:rsidR="00000000" w:rsidRDefault="00405D16">
            <w:pPr>
              <w:spacing w:after="100"/>
              <w:jc w:val="right"/>
              <w:rPr>
                <w:rFonts w:eastAsia="Times New Roman"/>
              </w:rPr>
            </w:pPr>
            <w:r>
              <w:rPr>
                <w:rFonts w:eastAsia="Times New Roman"/>
                <w:b/>
                <w:bCs/>
                <w:color w:val="000000"/>
                <w:sz w:val="18"/>
                <w:szCs w:val="18"/>
              </w:rPr>
              <w:t>597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C88211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6B112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F7EDBAA" w14:textId="77777777" w:rsidR="00000000" w:rsidRDefault="00405D16">
            <w:pPr>
              <w:spacing w:after="100"/>
              <w:jc w:val="right"/>
              <w:rPr>
                <w:rFonts w:eastAsia="Times New Roman"/>
              </w:rPr>
            </w:pPr>
            <w:r>
              <w:rPr>
                <w:rFonts w:eastAsia="Times New Roman"/>
                <w:color w:val="000000"/>
                <w:sz w:val="18"/>
                <w:szCs w:val="18"/>
              </w:rPr>
              <w:t>419 </w:t>
            </w:r>
          </w:p>
        </w:tc>
        <w:tc>
          <w:tcPr>
            <w:tcW w:w="0" w:type="auto"/>
            <w:shd w:val="clear" w:color="auto" w:fill="FFFFFF"/>
            <w:tcMar>
              <w:top w:w="30" w:type="dxa"/>
              <w:left w:w="0" w:type="dxa"/>
              <w:bottom w:w="30" w:type="dxa"/>
              <w:right w:w="20" w:type="dxa"/>
            </w:tcMar>
            <w:vAlign w:val="center"/>
            <w:hideMark/>
          </w:tcPr>
          <w:p w14:paraId="20BDED5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45E6C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1B2925E" w14:textId="77777777" w:rsidR="00000000" w:rsidRDefault="00405D16">
            <w:pPr>
              <w:spacing w:after="100"/>
              <w:jc w:val="right"/>
              <w:rPr>
                <w:rFonts w:eastAsia="Times New Roman"/>
              </w:rPr>
            </w:pPr>
            <w:r>
              <w:rPr>
                <w:rFonts w:eastAsia="Times New Roman"/>
                <w:color w:val="000000"/>
                <w:sz w:val="18"/>
                <w:szCs w:val="18"/>
              </w:rPr>
              <w:t>42 </w:t>
            </w:r>
          </w:p>
        </w:tc>
        <w:tc>
          <w:tcPr>
            <w:tcW w:w="0" w:type="auto"/>
            <w:shd w:val="clear" w:color="auto" w:fill="FFFFFF"/>
            <w:tcMar>
              <w:top w:w="30" w:type="dxa"/>
              <w:left w:w="0" w:type="dxa"/>
              <w:bottom w:w="30" w:type="dxa"/>
              <w:right w:w="20" w:type="dxa"/>
            </w:tcMar>
            <w:vAlign w:val="center"/>
            <w:hideMark/>
          </w:tcPr>
          <w:p w14:paraId="1AA5FD9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FE2A5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DAC7845" w14:textId="77777777" w:rsidR="00000000" w:rsidRDefault="00405D16">
            <w:pPr>
              <w:spacing w:after="100"/>
              <w:jc w:val="right"/>
              <w:rPr>
                <w:rFonts w:eastAsia="Times New Roman"/>
              </w:rPr>
            </w:pPr>
            <w:r>
              <w:rPr>
                <w:rFonts w:eastAsia="Times New Roman"/>
                <w:b/>
                <w:bCs/>
                <w:color w:val="000000"/>
                <w:sz w:val="18"/>
                <w:szCs w:val="18"/>
              </w:rPr>
              <w:t>1,842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C8ECF5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B572E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5060580" w14:textId="77777777" w:rsidR="00000000" w:rsidRDefault="00405D16">
            <w:pPr>
              <w:spacing w:after="100"/>
              <w:jc w:val="right"/>
              <w:rPr>
                <w:rFonts w:eastAsia="Times New Roman"/>
              </w:rPr>
            </w:pPr>
            <w:r>
              <w:rPr>
                <w:rFonts w:eastAsia="Times New Roman"/>
                <w:color w:val="000000"/>
                <w:sz w:val="18"/>
                <w:szCs w:val="18"/>
              </w:rPr>
              <w:t>(59)</w:t>
            </w:r>
          </w:p>
        </w:tc>
        <w:tc>
          <w:tcPr>
            <w:tcW w:w="0" w:type="auto"/>
            <w:shd w:val="clear" w:color="auto" w:fill="FFFFFF"/>
            <w:tcMar>
              <w:top w:w="30" w:type="dxa"/>
              <w:left w:w="0" w:type="dxa"/>
              <w:bottom w:w="30" w:type="dxa"/>
              <w:right w:w="20" w:type="dxa"/>
            </w:tcMar>
            <w:vAlign w:val="center"/>
            <w:hideMark/>
          </w:tcPr>
          <w:p w14:paraId="230DC376" w14:textId="77777777" w:rsidR="00000000" w:rsidRDefault="00405D16">
            <w:pPr>
              <w:spacing w:after="100"/>
              <w:jc w:val="right"/>
              <w:rPr>
                <w:rFonts w:eastAsia="Times New Roman"/>
              </w:rPr>
            </w:pPr>
          </w:p>
        </w:tc>
        <w:tc>
          <w:tcPr>
            <w:tcW w:w="0" w:type="auto"/>
            <w:vAlign w:val="center"/>
            <w:hideMark/>
          </w:tcPr>
          <w:p w14:paraId="6210560A" w14:textId="77777777" w:rsidR="00000000" w:rsidRDefault="00405D16">
            <w:pPr>
              <w:spacing w:after="100"/>
              <w:jc w:val="right"/>
              <w:rPr>
                <w:rFonts w:eastAsia="Times New Roman"/>
                <w:sz w:val="20"/>
                <w:szCs w:val="20"/>
              </w:rPr>
            </w:pPr>
          </w:p>
        </w:tc>
        <w:tc>
          <w:tcPr>
            <w:tcW w:w="0" w:type="auto"/>
            <w:vAlign w:val="center"/>
            <w:hideMark/>
          </w:tcPr>
          <w:p w14:paraId="27C1A51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E7F717" w14:textId="77777777" w:rsidR="00000000" w:rsidRDefault="00405D16">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3FFF17FB"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3847BDDE" w14:textId="77777777" w:rsidR="00000000" w:rsidRDefault="00405D16">
            <w:pPr>
              <w:spacing w:after="100"/>
              <w:jc w:val="right"/>
              <w:rPr>
                <w:rFonts w:eastAsia="Times New Roman"/>
              </w:rPr>
            </w:pPr>
          </w:p>
        </w:tc>
        <w:tc>
          <w:tcPr>
            <w:tcW w:w="0" w:type="auto"/>
            <w:gridSpan w:val="3"/>
            <w:vAlign w:val="center"/>
            <w:hideMark/>
          </w:tcPr>
          <w:p w14:paraId="334BC4A4" w14:textId="77777777" w:rsidR="00000000" w:rsidRDefault="00405D16">
            <w:pPr>
              <w:spacing w:after="100"/>
              <w:rPr>
                <w:rFonts w:eastAsia="Times New Roman"/>
                <w:sz w:val="20"/>
                <w:szCs w:val="20"/>
              </w:rPr>
            </w:pPr>
          </w:p>
        </w:tc>
      </w:tr>
      <w:tr w:rsidR="00000000" w14:paraId="6D55905E" w14:textId="77777777">
        <w:trPr>
          <w:divId w:val="2128575748"/>
        </w:trPr>
        <w:tc>
          <w:tcPr>
            <w:tcW w:w="0" w:type="auto"/>
            <w:gridSpan w:val="3"/>
            <w:shd w:val="clear" w:color="auto" w:fill="CCEEFF"/>
            <w:tcMar>
              <w:top w:w="30" w:type="dxa"/>
              <w:left w:w="20" w:type="dxa"/>
              <w:bottom w:w="30" w:type="dxa"/>
              <w:right w:w="20" w:type="dxa"/>
            </w:tcMar>
            <w:vAlign w:val="center"/>
            <w:hideMark/>
          </w:tcPr>
          <w:p w14:paraId="776ABF2C" w14:textId="77777777" w:rsidR="00000000" w:rsidRDefault="00405D16">
            <w:pPr>
              <w:spacing w:after="100"/>
              <w:rPr>
                <w:rFonts w:eastAsia="Times New Roman"/>
              </w:rPr>
            </w:pPr>
            <w:r>
              <w:rPr>
                <w:rFonts w:eastAsia="Times New Roman"/>
                <w:color w:val="000000"/>
                <w:sz w:val="18"/>
                <w:szCs w:val="18"/>
              </w:rPr>
              <w:t>Income (loss) from continuing operations, net of tax</w:t>
            </w:r>
          </w:p>
        </w:tc>
        <w:tc>
          <w:tcPr>
            <w:tcW w:w="0" w:type="auto"/>
            <w:gridSpan w:val="3"/>
            <w:shd w:val="clear" w:color="auto" w:fill="CCEEFF"/>
            <w:tcMar>
              <w:top w:w="0" w:type="dxa"/>
              <w:left w:w="20" w:type="dxa"/>
              <w:bottom w:w="0" w:type="dxa"/>
              <w:right w:w="20" w:type="dxa"/>
            </w:tcMar>
            <w:vAlign w:val="center"/>
            <w:hideMark/>
          </w:tcPr>
          <w:p w14:paraId="5534E169"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8B85EAC"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414CB0C" w14:textId="77777777" w:rsidR="00000000" w:rsidRDefault="00405D16">
            <w:pPr>
              <w:spacing w:after="100"/>
              <w:jc w:val="right"/>
              <w:rPr>
                <w:rFonts w:eastAsia="Times New Roman"/>
              </w:rPr>
            </w:pPr>
            <w:r>
              <w:rPr>
                <w:rFonts w:eastAsia="Times New Roman"/>
                <w:b/>
                <w:bCs/>
                <w:color w:val="000000"/>
                <w:sz w:val="18"/>
                <w:szCs w:val="18"/>
              </w:rPr>
              <w:t>1,931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CBE47A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D09A28"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FB6AFFF"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E8A9DB5" w14:textId="77777777" w:rsidR="00000000" w:rsidRDefault="00405D16">
            <w:pPr>
              <w:spacing w:after="100"/>
              <w:jc w:val="right"/>
              <w:rPr>
                <w:rFonts w:eastAsia="Times New Roman"/>
              </w:rPr>
            </w:pPr>
            <w:r>
              <w:rPr>
                <w:rFonts w:eastAsia="Times New Roman"/>
                <w:color w:val="000000"/>
                <w:sz w:val="18"/>
                <w:szCs w:val="18"/>
              </w:rPr>
              <w:t>1,348 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6D0FAF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38201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6339D60" w14:textId="77777777" w:rsidR="00000000" w:rsidRDefault="00405D16">
            <w:pPr>
              <w:spacing w:after="100"/>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center"/>
            <w:hideMark/>
          </w:tcPr>
          <w:p w14:paraId="052913E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ECC528"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D545343"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70B3956" w14:textId="77777777" w:rsidR="00000000" w:rsidRDefault="00405D16">
            <w:pPr>
              <w:spacing w:after="100"/>
              <w:jc w:val="right"/>
              <w:rPr>
                <w:rFonts w:eastAsia="Times New Roman"/>
              </w:rPr>
            </w:pPr>
            <w:r>
              <w:rPr>
                <w:rFonts w:eastAsia="Times New Roman"/>
                <w:b/>
                <w:bCs/>
                <w:color w:val="000000"/>
                <w:sz w:val="18"/>
                <w:szCs w:val="18"/>
              </w:rPr>
              <w:t>5,962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4A365C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84F683"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6F1CA71"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4F03C80" w14:textId="77777777" w:rsidR="00000000" w:rsidRDefault="00405D16">
            <w:pPr>
              <w:spacing w:after="100"/>
              <w:jc w:val="right"/>
              <w:rPr>
                <w:rFonts w:eastAsia="Times New Roman"/>
              </w:rPr>
            </w:pPr>
            <w:r>
              <w:rPr>
                <w:rFonts w:eastAsia="Times New Roman"/>
                <w:color w:val="000000"/>
                <w:sz w:val="18"/>
                <w:szCs w:val="18"/>
              </w:rPr>
              <w:t>(192)</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F4DC041" w14:textId="77777777" w:rsidR="00000000" w:rsidRDefault="00405D16">
            <w:pPr>
              <w:spacing w:after="100"/>
              <w:jc w:val="right"/>
              <w:rPr>
                <w:rFonts w:eastAsia="Times New Roman"/>
              </w:rPr>
            </w:pPr>
          </w:p>
        </w:tc>
        <w:tc>
          <w:tcPr>
            <w:tcW w:w="0" w:type="auto"/>
            <w:vAlign w:val="center"/>
            <w:hideMark/>
          </w:tcPr>
          <w:p w14:paraId="64D581EF" w14:textId="77777777" w:rsidR="00000000" w:rsidRDefault="00405D16">
            <w:pPr>
              <w:spacing w:after="100"/>
              <w:jc w:val="right"/>
              <w:rPr>
                <w:rFonts w:eastAsia="Times New Roman"/>
                <w:sz w:val="20"/>
                <w:szCs w:val="20"/>
              </w:rPr>
            </w:pPr>
          </w:p>
        </w:tc>
        <w:tc>
          <w:tcPr>
            <w:tcW w:w="0" w:type="auto"/>
            <w:vAlign w:val="center"/>
            <w:hideMark/>
          </w:tcPr>
          <w:p w14:paraId="6DE6A5A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6D22B3" w14:textId="77777777" w:rsidR="00000000" w:rsidRDefault="00405D16">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29D907C4"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060BC2C6" w14:textId="77777777" w:rsidR="00000000" w:rsidRDefault="00405D16">
            <w:pPr>
              <w:spacing w:after="100"/>
              <w:jc w:val="right"/>
              <w:rPr>
                <w:rFonts w:eastAsia="Times New Roman"/>
              </w:rPr>
            </w:pPr>
          </w:p>
        </w:tc>
        <w:tc>
          <w:tcPr>
            <w:tcW w:w="0" w:type="auto"/>
            <w:gridSpan w:val="3"/>
            <w:vAlign w:val="center"/>
            <w:hideMark/>
          </w:tcPr>
          <w:p w14:paraId="0C3BCDDF" w14:textId="77777777" w:rsidR="00000000" w:rsidRDefault="00405D16">
            <w:pPr>
              <w:spacing w:after="100"/>
              <w:rPr>
                <w:rFonts w:eastAsia="Times New Roman"/>
                <w:sz w:val="20"/>
                <w:szCs w:val="20"/>
              </w:rPr>
            </w:pPr>
          </w:p>
        </w:tc>
      </w:tr>
      <w:tr w:rsidR="00000000" w14:paraId="5E1DE8EF" w14:textId="77777777">
        <w:trPr>
          <w:divId w:val="2128575748"/>
        </w:trPr>
        <w:tc>
          <w:tcPr>
            <w:tcW w:w="0" w:type="auto"/>
            <w:gridSpan w:val="3"/>
            <w:shd w:val="clear" w:color="auto" w:fill="FFFFFF"/>
            <w:tcMar>
              <w:top w:w="30" w:type="dxa"/>
              <w:left w:w="20" w:type="dxa"/>
              <w:bottom w:w="30" w:type="dxa"/>
              <w:right w:w="20" w:type="dxa"/>
            </w:tcMar>
            <w:vAlign w:val="center"/>
            <w:hideMark/>
          </w:tcPr>
          <w:p w14:paraId="0690545F" w14:textId="77777777" w:rsidR="00000000" w:rsidRDefault="00405D16">
            <w:pPr>
              <w:spacing w:after="100"/>
              <w:rPr>
                <w:rFonts w:eastAsia="Times New Roman"/>
              </w:rPr>
            </w:pPr>
            <w:r>
              <w:rPr>
                <w:rFonts w:eastAsia="Times New Roman"/>
                <w:b/>
                <w:bCs/>
                <w:color w:val="000000"/>
                <w:sz w:val="18"/>
                <w:szCs w:val="18"/>
              </w:rPr>
              <w:t>Selected performance metrics:</w:t>
            </w:r>
          </w:p>
        </w:tc>
        <w:tc>
          <w:tcPr>
            <w:tcW w:w="0" w:type="auto"/>
            <w:gridSpan w:val="3"/>
            <w:shd w:val="clear" w:color="auto" w:fill="FFFFFF"/>
            <w:tcMar>
              <w:top w:w="0" w:type="dxa"/>
              <w:left w:w="20" w:type="dxa"/>
              <w:bottom w:w="0" w:type="dxa"/>
              <w:right w:w="20" w:type="dxa"/>
            </w:tcMar>
            <w:vAlign w:val="center"/>
            <w:hideMark/>
          </w:tcPr>
          <w:p w14:paraId="6A017B7A" w14:textId="77777777" w:rsidR="00000000" w:rsidRDefault="00405D16">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5EAF5A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DEC496"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A287BD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22EC27"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CCA44D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C0FB66"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479508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13D231"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C7378A5" w14:textId="77777777" w:rsidR="00000000" w:rsidRDefault="00405D16">
            <w:pPr>
              <w:spacing w:after="100"/>
              <w:rPr>
                <w:rFonts w:eastAsia="Times New Roman"/>
                <w:sz w:val="20"/>
                <w:szCs w:val="20"/>
              </w:rPr>
            </w:pPr>
          </w:p>
        </w:tc>
        <w:tc>
          <w:tcPr>
            <w:tcW w:w="0" w:type="auto"/>
            <w:vAlign w:val="center"/>
            <w:hideMark/>
          </w:tcPr>
          <w:p w14:paraId="44E8196C" w14:textId="77777777" w:rsidR="00000000" w:rsidRDefault="00405D16">
            <w:pPr>
              <w:spacing w:after="100"/>
              <w:rPr>
                <w:rFonts w:eastAsia="Times New Roman"/>
                <w:sz w:val="20"/>
                <w:szCs w:val="20"/>
              </w:rPr>
            </w:pPr>
          </w:p>
        </w:tc>
        <w:tc>
          <w:tcPr>
            <w:tcW w:w="0" w:type="auto"/>
            <w:vAlign w:val="center"/>
            <w:hideMark/>
          </w:tcPr>
          <w:p w14:paraId="17242904"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463DB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B994D4" w14:textId="77777777" w:rsidR="00000000" w:rsidRDefault="00405D16">
            <w:pPr>
              <w:spacing w:after="100"/>
              <w:rPr>
                <w:rFonts w:eastAsia="Times New Roman"/>
                <w:sz w:val="20"/>
                <w:szCs w:val="20"/>
              </w:rPr>
            </w:pPr>
          </w:p>
        </w:tc>
        <w:tc>
          <w:tcPr>
            <w:tcW w:w="0" w:type="auto"/>
            <w:gridSpan w:val="3"/>
            <w:vAlign w:val="center"/>
            <w:hideMark/>
          </w:tcPr>
          <w:p w14:paraId="108F6794" w14:textId="77777777" w:rsidR="00000000" w:rsidRDefault="00405D16">
            <w:pPr>
              <w:spacing w:after="100"/>
              <w:rPr>
                <w:rFonts w:eastAsia="Times New Roman"/>
                <w:sz w:val="20"/>
                <w:szCs w:val="20"/>
              </w:rPr>
            </w:pPr>
          </w:p>
        </w:tc>
        <w:tc>
          <w:tcPr>
            <w:tcW w:w="0" w:type="auto"/>
            <w:gridSpan w:val="3"/>
            <w:vAlign w:val="center"/>
            <w:hideMark/>
          </w:tcPr>
          <w:p w14:paraId="68855515" w14:textId="77777777" w:rsidR="00000000" w:rsidRDefault="00405D16">
            <w:pPr>
              <w:spacing w:after="100"/>
              <w:rPr>
                <w:rFonts w:eastAsia="Times New Roman"/>
                <w:sz w:val="20"/>
                <w:szCs w:val="20"/>
              </w:rPr>
            </w:pPr>
          </w:p>
        </w:tc>
      </w:tr>
      <w:tr w:rsidR="00000000" w14:paraId="6F555B85" w14:textId="77777777">
        <w:trPr>
          <w:divId w:val="2128575748"/>
        </w:trPr>
        <w:tc>
          <w:tcPr>
            <w:tcW w:w="0" w:type="auto"/>
            <w:gridSpan w:val="3"/>
            <w:shd w:val="clear" w:color="auto" w:fill="CCEEFF"/>
            <w:tcMar>
              <w:top w:w="30" w:type="dxa"/>
              <w:left w:w="20" w:type="dxa"/>
              <w:bottom w:w="30" w:type="dxa"/>
              <w:right w:w="20" w:type="dxa"/>
            </w:tcMar>
            <w:vAlign w:val="center"/>
            <w:hideMark/>
          </w:tcPr>
          <w:p w14:paraId="3C7DFEA7" w14:textId="77777777" w:rsidR="00000000" w:rsidRDefault="00405D16">
            <w:pPr>
              <w:spacing w:after="100"/>
              <w:rPr>
                <w:rFonts w:eastAsia="Times New Roman"/>
              </w:rPr>
            </w:pPr>
            <w:r>
              <w:rPr>
                <w:rFonts w:eastAsia="Times New Roman"/>
                <w:color w:val="000000"/>
                <w:sz w:val="18"/>
                <w:szCs w:val="18"/>
              </w:rPr>
              <w:t>Average loans held for investment</w:t>
            </w:r>
          </w:p>
        </w:tc>
        <w:tc>
          <w:tcPr>
            <w:tcW w:w="0" w:type="auto"/>
            <w:gridSpan w:val="3"/>
            <w:shd w:val="clear" w:color="auto" w:fill="CCEEFF"/>
            <w:tcMar>
              <w:top w:w="0" w:type="dxa"/>
              <w:left w:w="20" w:type="dxa"/>
              <w:bottom w:w="0" w:type="dxa"/>
              <w:right w:w="20" w:type="dxa"/>
            </w:tcMar>
            <w:vAlign w:val="center"/>
            <w:hideMark/>
          </w:tcPr>
          <w:p w14:paraId="489F20BD" w14:textId="77777777" w:rsidR="00000000" w:rsidRDefault="00405D16">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1BB7C4DC"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7407E95C" w14:textId="77777777" w:rsidR="00000000" w:rsidRDefault="00405D16">
            <w:pPr>
              <w:spacing w:after="100"/>
              <w:jc w:val="right"/>
              <w:rPr>
                <w:rFonts w:eastAsia="Times New Roman"/>
              </w:rPr>
            </w:pPr>
            <w:r>
              <w:rPr>
                <w:rFonts w:eastAsia="Times New Roman"/>
                <w:b/>
                <w:bCs/>
                <w:color w:val="000000"/>
                <w:sz w:val="18"/>
                <w:szCs w:val="18"/>
              </w:rPr>
              <w:t>96,309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E906C8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A0457E"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6096D381"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153CE8D0" w14:textId="77777777" w:rsidR="00000000" w:rsidRDefault="00405D16">
            <w:pPr>
              <w:spacing w:after="100"/>
              <w:jc w:val="right"/>
              <w:rPr>
                <w:rFonts w:eastAsia="Times New Roman"/>
              </w:rPr>
            </w:pPr>
            <w:r>
              <w:rPr>
                <w:rFonts w:eastAsia="Times New Roman"/>
                <w:color w:val="000000"/>
                <w:sz w:val="18"/>
                <w:szCs w:val="18"/>
              </w:rPr>
              <w:t>97,306 </w:t>
            </w:r>
          </w:p>
        </w:tc>
        <w:tc>
          <w:tcPr>
            <w:tcW w:w="0" w:type="auto"/>
            <w:shd w:val="clear" w:color="auto" w:fill="CCEEFF"/>
            <w:tcMar>
              <w:top w:w="30" w:type="dxa"/>
              <w:left w:w="0" w:type="dxa"/>
              <w:bottom w:w="30" w:type="dxa"/>
              <w:right w:w="20" w:type="dxa"/>
            </w:tcMar>
            <w:vAlign w:val="center"/>
            <w:hideMark/>
          </w:tcPr>
          <w:p w14:paraId="5CBC2B1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CDB55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3B1EBD3" w14:textId="77777777" w:rsidR="00000000" w:rsidRDefault="00405D16">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center"/>
            <w:hideMark/>
          </w:tcPr>
          <w:p w14:paraId="7BB0B9B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D2A1CA"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3C958E49"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5080606F" w14:textId="77777777" w:rsidR="00000000" w:rsidRDefault="00405D16">
            <w:pPr>
              <w:spacing w:after="100"/>
              <w:jc w:val="right"/>
              <w:rPr>
                <w:rFonts w:eastAsia="Times New Roman"/>
              </w:rPr>
            </w:pPr>
            <w:r>
              <w:rPr>
                <w:rFonts w:eastAsia="Times New Roman"/>
                <w:b/>
                <w:bCs/>
                <w:color w:val="000000"/>
                <w:sz w:val="18"/>
                <w:szCs w:val="18"/>
              </w:rPr>
              <w:t>93,493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8005AF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AE8AFF"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73174D99"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6008D540" w14:textId="77777777" w:rsidR="00000000" w:rsidRDefault="00405D16">
            <w:pPr>
              <w:spacing w:after="100"/>
              <w:jc w:val="right"/>
              <w:rPr>
                <w:rFonts w:eastAsia="Times New Roman"/>
              </w:rPr>
            </w:pPr>
            <w:r>
              <w:rPr>
                <w:rFonts w:eastAsia="Times New Roman"/>
                <w:color w:val="000000"/>
                <w:sz w:val="18"/>
                <w:szCs w:val="18"/>
              </w:rPr>
              <w:t>103,980 </w:t>
            </w:r>
          </w:p>
        </w:tc>
        <w:tc>
          <w:tcPr>
            <w:tcW w:w="0" w:type="auto"/>
            <w:shd w:val="clear" w:color="auto" w:fill="CCEEFF"/>
            <w:tcMar>
              <w:top w:w="30" w:type="dxa"/>
              <w:left w:w="0" w:type="dxa"/>
              <w:bottom w:w="30" w:type="dxa"/>
              <w:right w:w="20" w:type="dxa"/>
            </w:tcMar>
            <w:vAlign w:val="center"/>
            <w:hideMark/>
          </w:tcPr>
          <w:p w14:paraId="4DE9DD07" w14:textId="77777777" w:rsidR="00000000" w:rsidRDefault="00405D16">
            <w:pPr>
              <w:spacing w:after="100"/>
              <w:jc w:val="right"/>
              <w:rPr>
                <w:rFonts w:eastAsia="Times New Roman"/>
              </w:rPr>
            </w:pPr>
          </w:p>
        </w:tc>
        <w:tc>
          <w:tcPr>
            <w:tcW w:w="0" w:type="auto"/>
            <w:vAlign w:val="center"/>
            <w:hideMark/>
          </w:tcPr>
          <w:p w14:paraId="1FD13B26" w14:textId="77777777" w:rsidR="00000000" w:rsidRDefault="00405D16">
            <w:pPr>
              <w:spacing w:after="100"/>
              <w:jc w:val="right"/>
              <w:rPr>
                <w:rFonts w:eastAsia="Times New Roman"/>
                <w:sz w:val="20"/>
                <w:szCs w:val="20"/>
              </w:rPr>
            </w:pPr>
          </w:p>
        </w:tc>
        <w:tc>
          <w:tcPr>
            <w:tcW w:w="0" w:type="auto"/>
            <w:vAlign w:val="center"/>
            <w:hideMark/>
          </w:tcPr>
          <w:p w14:paraId="38D6DFF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5B0BA8"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DDAE85A" w14:textId="77777777" w:rsidR="00000000" w:rsidRDefault="00405D16">
            <w:pPr>
              <w:spacing w:after="100"/>
              <w:jc w:val="right"/>
              <w:rPr>
                <w:rFonts w:eastAsia="Times New Roman"/>
              </w:rPr>
            </w:pPr>
            <w:r>
              <w:rPr>
                <w:rFonts w:eastAsia="Times New Roman"/>
                <w:color w:val="000000"/>
                <w:sz w:val="18"/>
                <w:szCs w:val="18"/>
              </w:rPr>
              <w:t>(10)</w:t>
            </w:r>
          </w:p>
        </w:tc>
        <w:tc>
          <w:tcPr>
            <w:tcW w:w="0" w:type="auto"/>
            <w:shd w:val="clear" w:color="auto" w:fill="CCEEFF"/>
            <w:tcMar>
              <w:top w:w="30" w:type="dxa"/>
              <w:left w:w="0" w:type="dxa"/>
              <w:bottom w:w="30" w:type="dxa"/>
              <w:right w:w="20" w:type="dxa"/>
            </w:tcMar>
            <w:vAlign w:val="center"/>
            <w:hideMark/>
          </w:tcPr>
          <w:p w14:paraId="221080A4" w14:textId="77777777" w:rsidR="00000000" w:rsidRDefault="00405D16">
            <w:pPr>
              <w:spacing w:after="100"/>
              <w:jc w:val="right"/>
              <w:rPr>
                <w:rFonts w:eastAsia="Times New Roman"/>
              </w:rPr>
            </w:pPr>
          </w:p>
        </w:tc>
        <w:tc>
          <w:tcPr>
            <w:tcW w:w="0" w:type="auto"/>
            <w:gridSpan w:val="3"/>
            <w:vAlign w:val="center"/>
            <w:hideMark/>
          </w:tcPr>
          <w:p w14:paraId="6E23D30A" w14:textId="77777777" w:rsidR="00000000" w:rsidRDefault="00405D16">
            <w:pPr>
              <w:spacing w:after="100"/>
              <w:jc w:val="right"/>
              <w:rPr>
                <w:rFonts w:eastAsia="Times New Roman"/>
                <w:sz w:val="20"/>
                <w:szCs w:val="20"/>
              </w:rPr>
            </w:pPr>
          </w:p>
        </w:tc>
        <w:tc>
          <w:tcPr>
            <w:tcW w:w="0" w:type="auto"/>
            <w:gridSpan w:val="3"/>
            <w:vAlign w:val="center"/>
            <w:hideMark/>
          </w:tcPr>
          <w:p w14:paraId="6F642110" w14:textId="77777777" w:rsidR="00000000" w:rsidRDefault="00405D16">
            <w:pPr>
              <w:spacing w:after="100"/>
              <w:rPr>
                <w:rFonts w:eastAsia="Times New Roman"/>
                <w:sz w:val="20"/>
                <w:szCs w:val="20"/>
              </w:rPr>
            </w:pPr>
          </w:p>
        </w:tc>
      </w:tr>
      <w:tr w:rsidR="00000000" w14:paraId="74F05E5D" w14:textId="77777777">
        <w:trPr>
          <w:divId w:val="2128575748"/>
        </w:trPr>
        <w:tc>
          <w:tcPr>
            <w:tcW w:w="0" w:type="auto"/>
            <w:gridSpan w:val="3"/>
            <w:shd w:val="clear" w:color="auto" w:fill="FFFFFF"/>
            <w:tcMar>
              <w:top w:w="30" w:type="dxa"/>
              <w:left w:w="20" w:type="dxa"/>
              <w:bottom w:w="30" w:type="dxa"/>
              <w:right w:w="20" w:type="dxa"/>
            </w:tcMar>
            <w:vAlign w:val="center"/>
            <w:hideMark/>
          </w:tcPr>
          <w:p w14:paraId="38A4EF22" w14:textId="77777777" w:rsidR="00000000" w:rsidRDefault="00405D16">
            <w:pPr>
              <w:spacing w:after="100"/>
              <w:divId w:val="1820346168"/>
              <w:rPr>
                <w:rFonts w:eastAsia="Times New Roman"/>
              </w:rPr>
            </w:pPr>
            <w:r>
              <w:rPr>
                <w:rFonts w:eastAsia="Times New Roman"/>
                <w:color w:val="000000"/>
                <w:sz w:val="18"/>
                <w:szCs w:val="18"/>
              </w:rPr>
              <w:t>Average yield on loan</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2A76C1E5"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8F9402A" w14:textId="77777777" w:rsidR="00000000" w:rsidRDefault="00405D16">
            <w:pPr>
              <w:spacing w:after="100"/>
              <w:jc w:val="right"/>
              <w:rPr>
                <w:rFonts w:eastAsia="Times New Roman"/>
              </w:rPr>
            </w:pPr>
            <w:r>
              <w:rPr>
                <w:rFonts w:eastAsia="Times New Roman"/>
                <w:b/>
                <w:bCs/>
                <w:color w:val="000000"/>
                <w:sz w:val="18"/>
                <w:szCs w:val="18"/>
              </w:rPr>
              <w:t>14.80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D1F5A27"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6D294A3"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79CFE77" w14:textId="77777777" w:rsidR="00000000" w:rsidRDefault="00405D16">
            <w:pPr>
              <w:spacing w:after="100"/>
              <w:jc w:val="right"/>
              <w:rPr>
                <w:rFonts w:eastAsia="Times New Roman"/>
              </w:rPr>
            </w:pPr>
            <w:r>
              <w:rPr>
                <w:rFonts w:eastAsia="Times New Roman"/>
                <w:color w:val="000000"/>
                <w:sz w:val="18"/>
                <w:szCs w:val="18"/>
              </w:rPr>
              <w:t>13.57 </w:t>
            </w:r>
          </w:p>
        </w:tc>
        <w:tc>
          <w:tcPr>
            <w:tcW w:w="0" w:type="auto"/>
            <w:shd w:val="clear" w:color="auto" w:fill="FFFFFF"/>
            <w:tcMar>
              <w:top w:w="30" w:type="dxa"/>
              <w:left w:w="0" w:type="dxa"/>
              <w:bottom w:w="30" w:type="dxa"/>
              <w:right w:w="20" w:type="dxa"/>
            </w:tcMar>
            <w:vAlign w:val="center"/>
            <w:hideMark/>
          </w:tcPr>
          <w:p w14:paraId="6CDAFF7B" w14:textId="77777777" w:rsidR="00000000" w:rsidRDefault="00405D16">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888133D"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756C0E3" w14:textId="77777777" w:rsidR="00000000" w:rsidRDefault="00405D16">
            <w:pPr>
              <w:spacing w:after="100"/>
              <w:jc w:val="right"/>
              <w:rPr>
                <w:rFonts w:eastAsia="Times New Roman"/>
              </w:rPr>
            </w:pPr>
            <w:r>
              <w:rPr>
                <w:rFonts w:eastAsia="Times New Roman"/>
                <w:color w:val="000000"/>
                <w:sz w:val="18"/>
                <w:szCs w:val="18"/>
              </w:rPr>
              <w:t>123 </w:t>
            </w:r>
          </w:p>
        </w:tc>
        <w:tc>
          <w:tcPr>
            <w:tcW w:w="0" w:type="auto"/>
            <w:shd w:val="clear" w:color="auto" w:fill="FFFFFF"/>
            <w:tcMar>
              <w:top w:w="30" w:type="dxa"/>
              <w:left w:w="0" w:type="dxa"/>
              <w:bottom w:w="30" w:type="dxa"/>
              <w:right w:w="20" w:type="dxa"/>
            </w:tcMar>
            <w:vAlign w:val="center"/>
            <w:hideMark/>
          </w:tcPr>
          <w:p w14:paraId="26328102" w14:textId="77777777" w:rsidR="00000000" w:rsidRDefault="00405D16">
            <w:pPr>
              <w:spacing w:after="100"/>
              <w:jc w:val="right"/>
              <w:rPr>
                <w:rFonts w:eastAsia="Times New Roman"/>
              </w:rPr>
            </w:pPr>
            <w:r>
              <w:rPr>
                <w:rFonts w:eastAsia="Times New Roman"/>
                <w:color w:val="000000"/>
                <w:sz w:val="18"/>
                <w:szCs w:val="18"/>
              </w:rPr>
              <w:t>bps</w:t>
            </w:r>
          </w:p>
        </w:tc>
        <w:tc>
          <w:tcPr>
            <w:tcW w:w="0" w:type="auto"/>
            <w:gridSpan w:val="3"/>
            <w:shd w:val="clear" w:color="auto" w:fill="FFFFFF"/>
            <w:tcMar>
              <w:top w:w="0" w:type="dxa"/>
              <w:left w:w="20" w:type="dxa"/>
              <w:bottom w:w="0" w:type="dxa"/>
              <w:right w:w="20" w:type="dxa"/>
            </w:tcMar>
            <w:vAlign w:val="center"/>
            <w:hideMark/>
          </w:tcPr>
          <w:p w14:paraId="7A8BFA92"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718B2DD" w14:textId="77777777" w:rsidR="00000000" w:rsidRDefault="00405D16">
            <w:pPr>
              <w:spacing w:after="100"/>
              <w:jc w:val="right"/>
              <w:rPr>
                <w:rFonts w:eastAsia="Times New Roman"/>
              </w:rPr>
            </w:pPr>
            <w:r>
              <w:rPr>
                <w:rFonts w:eastAsia="Times New Roman"/>
                <w:b/>
                <w:bCs/>
                <w:color w:val="000000"/>
                <w:sz w:val="18"/>
                <w:szCs w:val="18"/>
              </w:rPr>
              <w:t>14.36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992C3FE"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E75BCD7"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5DA6E95" w14:textId="77777777" w:rsidR="00000000" w:rsidRDefault="00405D16">
            <w:pPr>
              <w:spacing w:after="100"/>
              <w:jc w:val="right"/>
              <w:rPr>
                <w:rFonts w:eastAsia="Times New Roman"/>
              </w:rPr>
            </w:pPr>
            <w:r>
              <w:rPr>
                <w:rFonts w:eastAsia="Times New Roman"/>
                <w:color w:val="000000"/>
                <w:sz w:val="18"/>
                <w:szCs w:val="18"/>
              </w:rPr>
              <w:t>13.82 </w:t>
            </w:r>
          </w:p>
        </w:tc>
        <w:tc>
          <w:tcPr>
            <w:tcW w:w="0" w:type="auto"/>
            <w:shd w:val="clear" w:color="auto" w:fill="FFFFFF"/>
            <w:tcMar>
              <w:top w:w="30" w:type="dxa"/>
              <w:left w:w="0" w:type="dxa"/>
              <w:bottom w:w="30" w:type="dxa"/>
              <w:right w:w="20" w:type="dxa"/>
            </w:tcMar>
            <w:vAlign w:val="center"/>
            <w:hideMark/>
          </w:tcPr>
          <w:p w14:paraId="77D101DF" w14:textId="77777777" w:rsidR="00000000" w:rsidRDefault="00405D16">
            <w:pPr>
              <w:spacing w:after="100"/>
              <w:jc w:val="right"/>
              <w:rPr>
                <w:rFonts w:eastAsia="Times New Roman"/>
              </w:rPr>
            </w:pPr>
            <w:r>
              <w:rPr>
                <w:rFonts w:eastAsia="Times New Roman"/>
                <w:color w:val="000000"/>
                <w:sz w:val="18"/>
                <w:szCs w:val="18"/>
              </w:rPr>
              <w:t>%</w:t>
            </w:r>
          </w:p>
        </w:tc>
        <w:tc>
          <w:tcPr>
            <w:tcW w:w="0" w:type="auto"/>
            <w:vAlign w:val="center"/>
            <w:hideMark/>
          </w:tcPr>
          <w:p w14:paraId="2841CD9C" w14:textId="77777777" w:rsidR="00000000" w:rsidRDefault="00405D16">
            <w:pPr>
              <w:spacing w:after="100"/>
              <w:jc w:val="right"/>
              <w:rPr>
                <w:rFonts w:eastAsia="Times New Roman"/>
              </w:rPr>
            </w:pPr>
          </w:p>
        </w:tc>
        <w:tc>
          <w:tcPr>
            <w:tcW w:w="0" w:type="auto"/>
            <w:vAlign w:val="center"/>
            <w:hideMark/>
          </w:tcPr>
          <w:p w14:paraId="7F79AE6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25030D"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8F31550" w14:textId="77777777" w:rsidR="00000000" w:rsidRDefault="00405D16">
            <w:pPr>
              <w:spacing w:after="100"/>
              <w:jc w:val="right"/>
              <w:rPr>
                <w:rFonts w:eastAsia="Times New Roman"/>
              </w:rPr>
            </w:pPr>
            <w:r>
              <w:rPr>
                <w:rFonts w:eastAsia="Times New Roman"/>
                <w:color w:val="000000"/>
                <w:sz w:val="18"/>
                <w:szCs w:val="18"/>
              </w:rPr>
              <w:t>54 </w:t>
            </w:r>
          </w:p>
        </w:tc>
        <w:tc>
          <w:tcPr>
            <w:tcW w:w="0" w:type="auto"/>
            <w:shd w:val="clear" w:color="auto" w:fill="FFFFFF"/>
            <w:tcMar>
              <w:top w:w="30" w:type="dxa"/>
              <w:left w:w="0" w:type="dxa"/>
              <w:bottom w:w="30" w:type="dxa"/>
              <w:right w:w="20" w:type="dxa"/>
            </w:tcMar>
            <w:vAlign w:val="center"/>
            <w:hideMark/>
          </w:tcPr>
          <w:p w14:paraId="20858730" w14:textId="77777777" w:rsidR="00000000" w:rsidRDefault="00405D16">
            <w:pPr>
              <w:spacing w:after="100"/>
              <w:jc w:val="right"/>
              <w:rPr>
                <w:rFonts w:eastAsia="Times New Roman"/>
              </w:rPr>
            </w:pPr>
            <w:r>
              <w:rPr>
                <w:rFonts w:eastAsia="Times New Roman"/>
                <w:color w:val="000000"/>
                <w:sz w:val="18"/>
                <w:szCs w:val="18"/>
              </w:rPr>
              <w:t>bps</w:t>
            </w:r>
          </w:p>
        </w:tc>
        <w:tc>
          <w:tcPr>
            <w:tcW w:w="0" w:type="auto"/>
            <w:gridSpan w:val="3"/>
            <w:vAlign w:val="center"/>
            <w:hideMark/>
          </w:tcPr>
          <w:p w14:paraId="3DA01048" w14:textId="77777777" w:rsidR="00000000" w:rsidRDefault="00405D16">
            <w:pPr>
              <w:spacing w:after="100"/>
              <w:jc w:val="right"/>
              <w:rPr>
                <w:rFonts w:eastAsia="Times New Roman"/>
              </w:rPr>
            </w:pPr>
          </w:p>
        </w:tc>
        <w:tc>
          <w:tcPr>
            <w:tcW w:w="0" w:type="auto"/>
            <w:gridSpan w:val="3"/>
            <w:vAlign w:val="center"/>
            <w:hideMark/>
          </w:tcPr>
          <w:p w14:paraId="409D7DD0" w14:textId="77777777" w:rsidR="00000000" w:rsidRDefault="00405D16">
            <w:pPr>
              <w:spacing w:after="100"/>
              <w:rPr>
                <w:rFonts w:eastAsia="Times New Roman"/>
                <w:sz w:val="20"/>
                <w:szCs w:val="20"/>
              </w:rPr>
            </w:pPr>
          </w:p>
        </w:tc>
      </w:tr>
      <w:tr w:rsidR="00000000" w14:paraId="0011EC1F" w14:textId="77777777">
        <w:trPr>
          <w:divId w:val="2128575748"/>
        </w:trPr>
        <w:tc>
          <w:tcPr>
            <w:tcW w:w="0" w:type="auto"/>
            <w:gridSpan w:val="3"/>
            <w:shd w:val="clear" w:color="auto" w:fill="CCEEFF"/>
            <w:tcMar>
              <w:top w:w="30" w:type="dxa"/>
              <w:left w:w="20" w:type="dxa"/>
              <w:bottom w:w="30" w:type="dxa"/>
              <w:right w:w="20" w:type="dxa"/>
            </w:tcMar>
            <w:vAlign w:val="center"/>
            <w:hideMark/>
          </w:tcPr>
          <w:p w14:paraId="446112C4" w14:textId="77777777" w:rsidR="00000000" w:rsidRDefault="00405D16">
            <w:pPr>
              <w:spacing w:after="100"/>
              <w:divId w:val="1509372004"/>
              <w:rPr>
                <w:rFonts w:eastAsia="Times New Roman"/>
              </w:rPr>
            </w:pPr>
            <w:r>
              <w:rPr>
                <w:rFonts w:eastAsia="Times New Roman"/>
                <w:color w:val="000000"/>
                <w:sz w:val="18"/>
                <w:szCs w:val="18"/>
              </w:rPr>
              <w:t>Total net revenue margi</w:t>
            </w:r>
            <w:r>
              <w:rPr>
                <w:rFonts w:eastAsia="Times New Roman"/>
                <w:color w:val="000000"/>
                <w:sz w:val="18"/>
                <w:szCs w:val="18"/>
              </w:rPr>
              <w:t>n</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5B19C224"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639D039" w14:textId="77777777" w:rsidR="00000000" w:rsidRDefault="00405D16">
            <w:pPr>
              <w:spacing w:after="100"/>
              <w:jc w:val="right"/>
              <w:rPr>
                <w:rFonts w:eastAsia="Times New Roman"/>
              </w:rPr>
            </w:pPr>
            <w:r>
              <w:rPr>
                <w:rFonts w:eastAsia="Times New Roman"/>
                <w:b/>
                <w:bCs/>
                <w:color w:val="000000"/>
                <w:sz w:val="18"/>
                <w:szCs w:val="18"/>
              </w:rPr>
              <w:t>18.40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2F5D8D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8BE06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D2BDF3F" w14:textId="77777777" w:rsidR="00000000" w:rsidRDefault="00405D16">
            <w:pPr>
              <w:spacing w:after="100"/>
              <w:jc w:val="right"/>
              <w:rPr>
                <w:rFonts w:eastAsia="Times New Roman"/>
              </w:rPr>
            </w:pPr>
            <w:r>
              <w:rPr>
                <w:rFonts w:eastAsia="Times New Roman"/>
                <w:color w:val="000000"/>
                <w:sz w:val="18"/>
                <w:szCs w:val="18"/>
              </w:rPr>
              <w:t>16.22 </w:t>
            </w:r>
          </w:p>
        </w:tc>
        <w:tc>
          <w:tcPr>
            <w:tcW w:w="0" w:type="auto"/>
            <w:shd w:val="clear" w:color="auto" w:fill="CCEEFF"/>
            <w:tcMar>
              <w:top w:w="30" w:type="dxa"/>
              <w:left w:w="0" w:type="dxa"/>
              <w:bottom w:w="30" w:type="dxa"/>
              <w:right w:w="20" w:type="dxa"/>
            </w:tcMar>
            <w:vAlign w:val="center"/>
            <w:hideMark/>
          </w:tcPr>
          <w:p w14:paraId="1720775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8E029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A0736FA" w14:textId="77777777" w:rsidR="00000000" w:rsidRDefault="00405D16">
            <w:pPr>
              <w:spacing w:after="100"/>
              <w:jc w:val="right"/>
              <w:rPr>
                <w:rFonts w:eastAsia="Times New Roman"/>
              </w:rPr>
            </w:pPr>
            <w:r>
              <w:rPr>
                <w:rFonts w:eastAsia="Times New Roman"/>
                <w:color w:val="000000"/>
                <w:sz w:val="18"/>
                <w:szCs w:val="18"/>
              </w:rPr>
              <w:t>218 </w:t>
            </w:r>
          </w:p>
        </w:tc>
        <w:tc>
          <w:tcPr>
            <w:tcW w:w="0" w:type="auto"/>
            <w:shd w:val="clear" w:color="auto" w:fill="CCEEFF"/>
            <w:tcMar>
              <w:top w:w="30" w:type="dxa"/>
              <w:left w:w="0" w:type="dxa"/>
              <w:bottom w:w="30" w:type="dxa"/>
              <w:right w:w="20" w:type="dxa"/>
            </w:tcMar>
            <w:vAlign w:val="center"/>
            <w:hideMark/>
          </w:tcPr>
          <w:p w14:paraId="51D4C48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8523B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0B93E04" w14:textId="77777777" w:rsidR="00000000" w:rsidRDefault="00405D16">
            <w:pPr>
              <w:spacing w:after="100"/>
              <w:jc w:val="right"/>
              <w:rPr>
                <w:rFonts w:eastAsia="Times New Roman"/>
              </w:rPr>
            </w:pPr>
            <w:r>
              <w:rPr>
                <w:rFonts w:eastAsia="Times New Roman"/>
                <w:b/>
                <w:bCs/>
                <w:color w:val="000000"/>
                <w:sz w:val="18"/>
                <w:szCs w:val="18"/>
              </w:rPr>
              <w:t>17.74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D8CDAF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B8584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E20220B" w14:textId="77777777" w:rsidR="00000000" w:rsidRDefault="00405D16">
            <w:pPr>
              <w:spacing w:after="100"/>
              <w:jc w:val="right"/>
              <w:rPr>
                <w:rFonts w:eastAsia="Times New Roman"/>
              </w:rPr>
            </w:pPr>
            <w:r>
              <w:rPr>
                <w:rFonts w:eastAsia="Times New Roman"/>
                <w:color w:val="000000"/>
                <w:sz w:val="18"/>
                <w:szCs w:val="18"/>
              </w:rPr>
              <w:t>15.46 </w:t>
            </w:r>
          </w:p>
        </w:tc>
        <w:tc>
          <w:tcPr>
            <w:tcW w:w="0" w:type="auto"/>
            <w:shd w:val="clear" w:color="auto" w:fill="CCEEFF"/>
            <w:tcMar>
              <w:top w:w="30" w:type="dxa"/>
              <w:left w:w="0" w:type="dxa"/>
              <w:bottom w:w="30" w:type="dxa"/>
              <w:right w:w="20" w:type="dxa"/>
            </w:tcMar>
            <w:vAlign w:val="center"/>
            <w:hideMark/>
          </w:tcPr>
          <w:p w14:paraId="21C6CFF2" w14:textId="77777777" w:rsidR="00000000" w:rsidRDefault="00405D16">
            <w:pPr>
              <w:spacing w:after="100"/>
              <w:jc w:val="right"/>
              <w:rPr>
                <w:rFonts w:eastAsia="Times New Roman"/>
              </w:rPr>
            </w:pPr>
          </w:p>
        </w:tc>
        <w:tc>
          <w:tcPr>
            <w:tcW w:w="0" w:type="auto"/>
            <w:vAlign w:val="center"/>
            <w:hideMark/>
          </w:tcPr>
          <w:p w14:paraId="6324497C" w14:textId="77777777" w:rsidR="00000000" w:rsidRDefault="00405D16">
            <w:pPr>
              <w:spacing w:after="100"/>
              <w:jc w:val="right"/>
              <w:rPr>
                <w:rFonts w:eastAsia="Times New Roman"/>
                <w:sz w:val="20"/>
                <w:szCs w:val="20"/>
              </w:rPr>
            </w:pPr>
          </w:p>
        </w:tc>
        <w:tc>
          <w:tcPr>
            <w:tcW w:w="0" w:type="auto"/>
            <w:vAlign w:val="center"/>
            <w:hideMark/>
          </w:tcPr>
          <w:p w14:paraId="0223FA5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475204"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02233B5" w14:textId="77777777" w:rsidR="00000000" w:rsidRDefault="00405D16">
            <w:pPr>
              <w:spacing w:after="100"/>
              <w:jc w:val="right"/>
              <w:rPr>
                <w:rFonts w:eastAsia="Times New Roman"/>
              </w:rPr>
            </w:pPr>
            <w:r>
              <w:rPr>
                <w:rFonts w:eastAsia="Times New Roman"/>
                <w:color w:val="000000"/>
                <w:sz w:val="18"/>
                <w:szCs w:val="18"/>
              </w:rPr>
              <w:t>228 </w:t>
            </w:r>
          </w:p>
        </w:tc>
        <w:tc>
          <w:tcPr>
            <w:tcW w:w="0" w:type="auto"/>
            <w:shd w:val="clear" w:color="auto" w:fill="CCEEFF"/>
            <w:tcMar>
              <w:top w:w="30" w:type="dxa"/>
              <w:left w:w="0" w:type="dxa"/>
              <w:bottom w:w="30" w:type="dxa"/>
              <w:right w:w="20" w:type="dxa"/>
            </w:tcMar>
            <w:vAlign w:val="center"/>
            <w:hideMark/>
          </w:tcPr>
          <w:p w14:paraId="3B265F7A" w14:textId="77777777" w:rsidR="00000000" w:rsidRDefault="00405D16">
            <w:pPr>
              <w:spacing w:after="100"/>
              <w:jc w:val="right"/>
              <w:rPr>
                <w:rFonts w:eastAsia="Times New Roman"/>
              </w:rPr>
            </w:pPr>
          </w:p>
        </w:tc>
        <w:tc>
          <w:tcPr>
            <w:tcW w:w="0" w:type="auto"/>
            <w:gridSpan w:val="3"/>
            <w:vAlign w:val="center"/>
            <w:hideMark/>
          </w:tcPr>
          <w:p w14:paraId="4A29920E" w14:textId="77777777" w:rsidR="00000000" w:rsidRDefault="00405D16">
            <w:pPr>
              <w:spacing w:after="100"/>
              <w:jc w:val="right"/>
              <w:rPr>
                <w:rFonts w:eastAsia="Times New Roman"/>
                <w:sz w:val="20"/>
                <w:szCs w:val="20"/>
              </w:rPr>
            </w:pPr>
          </w:p>
        </w:tc>
        <w:tc>
          <w:tcPr>
            <w:tcW w:w="0" w:type="auto"/>
            <w:gridSpan w:val="3"/>
            <w:vAlign w:val="center"/>
            <w:hideMark/>
          </w:tcPr>
          <w:p w14:paraId="37D4F6EE" w14:textId="77777777" w:rsidR="00000000" w:rsidRDefault="00405D16">
            <w:pPr>
              <w:spacing w:after="100"/>
              <w:rPr>
                <w:rFonts w:eastAsia="Times New Roman"/>
                <w:sz w:val="20"/>
                <w:szCs w:val="20"/>
              </w:rPr>
            </w:pPr>
          </w:p>
        </w:tc>
      </w:tr>
      <w:tr w:rsidR="00000000" w14:paraId="00955CE9" w14:textId="77777777">
        <w:trPr>
          <w:divId w:val="2128575748"/>
        </w:trPr>
        <w:tc>
          <w:tcPr>
            <w:tcW w:w="0" w:type="auto"/>
            <w:gridSpan w:val="3"/>
            <w:shd w:val="clear" w:color="auto" w:fill="FFFFFF"/>
            <w:tcMar>
              <w:top w:w="30" w:type="dxa"/>
              <w:left w:w="20" w:type="dxa"/>
              <w:bottom w:w="30" w:type="dxa"/>
              <w:right w:w="20" w:type="dxa"/>
            </w:tcMar>
            <w:vAlign w:val="center"/>
            <w:hideMark/>
          </w:tcPr>
          <w:p w14:paraId="4A9C04B4" w14:textId="77777777" w:rsidR="00000000" w:rsidRDefault="00405D16">
            <w:pPr>
              <w:spacing w:after="100"/>
              <w:rPr>
                <w:rFonts w:eastAsia="Times New Roman"/>
              </w:rPr>
            </w:pPr>
            <w:r>
              <w:rPr>
                <w:rFonts w:eastAsia="Times New Roman"/>
                <w:color w:val="000000"/>
                <w:sz w:val="18"/>
                <w:szCs w:val="18"/>
              </w:rPr>
              <w:t>Net charge-offs</w:t>
            </w:r>
          </w:p>
        </w:tc>
        <w:tc>
          <w:tcPr>
            <w:tcW w:w="0" w:type="auto"/>
            <w:gridSpan w:val="3"/>
            <w:shd w:val="clear" w:color="auto" w:fill="FFFFFF"/>
            <w:tcMar>
              <w:top w:w="0" w:type="dxa"/>
              <w:left w:w="20" w:type="dxa"/>
              <w:bottom w:w="0" w:type="dxa"/>
              <w:right w:w="20" w:type="dxa"/>
            </w:tcMar>
            <w:vAlign w:val="center"/>
            <w:hideMark/>
          </w:tcPr>
          <w:p w14:paraId="5E6D4402"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20D6E74E"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6F74685C" w14:textId="77777777" w:rsidR="00000000" w:rsidRDefault="00405D16">
            <w:pPr>
              <w:spacing w:after="100"/>
              <w:jc w:val="right"/>
              <w:rPr>
                <w:rFonts w:eastAsia="Times New Roman"/>
              </w:rPr>
            </w:pPr>
            <w:r>
              <w:rPr>
                <w:rFonts w:eastAsia="Times New Roman"/>
                <w:b/>
                <w:bCs/>
                <w:color w:val="000000"/>
                <w:sz w:val="18"/>
                <w:szCs w:val="18"/>
              </w:rPr>
              <w:t>327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FD4872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510AF9"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B1EFAAC"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6E83A160" w14:textId="77777777" w:rsidR="00000000" w:rsidRDefault="00405D16">
            <w:pPr>
              <w:spacing w:after="100"/>
              <w:jc w:val="right"/>
              <w:rPr>
                <w:rFonts w:eastAsia="Times New Roman"/>
              </w:rPr>
            </w:pPr>
            <w:r>
              <w:rPr>
                <w:rFonts w:eastAsia="Times New Roman"/>
                <w:color w:val="000000"/>
                <w:sz w:val="18"/>
                <w:szCs w:val="18"/>
              </w:rPr>
              <w:t>885 </w:t>
            </w:r>
          </w:p>
        </w:tc>
        <w:tc>
          <w:tcPr>
            <w:tcW w:w="0" w:type="auto"/>
            <w:shd w:val="clear" w:color="auto" w:fill="FFFFFF"/>
            <w:tcMar>
              <w:top w:w="30" w:type="dxa"/>
              <w:left w:w="0" w:type="dxa"/>
              <w:bottom w:w="30" w:type="dxa"/>
              <w:right w:w="20" w:type="dxa"/>
            </w:tcMar>
            <w:vAlign w:val="center"/>
            <w:hideMark/>
          </w:tcPr>
          <w:p w14:paraId="4AD2DAA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1C3A5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3F65852" w14:textId="77777777" w:rsidR="00000000" w:rsidRDefault="00405D16">
            <w:pPr>
              <w:spacing w:after="100"/>
              <w:jc w:val="right"/>
              <w:rPr>
                <w:rFonts w:eastAsia="Times New Roman"/>
              </w:rPr>
            </w:pPr>
            <w:r>
              <w:rPr>
                <w:rFonts w:eastAsia="Times New Roman"/>
                <w:color w:val="000000"/>
                <w:sz w:val="18"/>
                <w:szCs w:val="18"/>
              </w:rPr>
              <w:t>(63)</w:t>
            </w:r>
          </w:p>
        </w:tc>
        <w:tc>
          <w:tcPr>
            <w:tcW w:w="0" w:type="auto"/>
            <w:shd w:val="clear" w:color="auto" w:fill="FFFFFF"/>
            <w:tcMar>
              <w:top w:w="30" w:type="dxa"/>
              <w:left w:w="0" w:type="dxa"/>
              <w:bottom w:w="30" w:type="dxa"/>
              <w:right w:w="20" w:type="dxa"/>
            </w:tcMar>
            <w:vAlign w:val="center"/>
            <w:hideMark/>
          </w:tcPr>
          <w:p w14:paraId="2CA71749"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13508AA" w14:textId="77777777" w:rsidR="00000000" w:rsidRDefault="00405D16">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0A9A1DA1"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556F61FC" w14:textId="77777777" w:rsidR="00000000" w:rsidRDefault="00405D16">
            <w:pPr>
              <w:spacing w:after="100"/>
              <w:jc w:val="right"/>
              <w:rPr>
                <w:rFonts w:eastAsia="Times New Roman"/>
              </w:rPr>
            </w:pPr>
            <w:r>
              <w:rPr>
                <w:rFonts w:eastAsia="Times New Roman"/>
                <w:b/>
                <w:bCs/>
                <w:color w:val="000000"/>
                <w:sz w:val="18"/>
                <w:szCs w:val="18"/>
              </w:rPr>
              <w:t>1,436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D0ED8B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9D9C7C"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2890203"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2D1EF313" w14:textId="77777777" w:rsidR="00000000" w:rsidRDefault="00405D16">
            <w:pPr>
              <w:spacing w:after="100"/>
              <w:jc w:val="right"/>
              <w:rPr>
                <w:rFonts w:eastAsia="Times New Roman"/>
              </w:rPr>
            </w:pPr>
            <w:r>
              <w:rPr>
                <w:rFonts w:eastAsia="Times New Roman"/>
                <w:color w:val="000000"/>
                <w:sz w:val="18"/>
                <w:szCs w:val="18"/>
              </w:rPr>
              <w:t>3,359 </w:t>
            </w:r>
          </w:p>
        </w:tc>
        <w:tc>
          <w:tcPr>
            <w:tcW w:w="0" w:type="auto"/>
            <w:shd w:val="clear" w:color="auto" w:fill="FFFFFF"/>
            <w:tcMar>
              <w:top w:w="30" w:type="dxa"/>
              <w:left w:w="0" w:type="dxa"/>
              <w:bottom w:w="30" w:type="dxa"/>
              <w:right w:w="20" w:type="dxa"/>
            </w:tcMar>
            <w:vAlign w:val="center"/>
            <w:hideMark/>
          </w:tcPr>
          <w:p w14:paraId="175FEC68" w14:textId="77777777" w:rsidR="00000000" w:rsidRDefault="00405D16">
            <w:pPr>
              <w:spacing w:after="100"/>
              <w:jc w:val="right"/>
              <w:rPr>
                <w:rFonts w:eastAsia="Times New Roman"/>
              </w:rPr>
            </w:pPr>
          </w:p>
        </w:tc>
        <w:tc>
          <w:tcPr>
            <w:tcW w:w="0" w:type="auto"/>
            <w:vAlign w:val="center"/>
            <w:hideMark/>
          </w:tcPr>
          <w:p w14:paraId="55FD16B7" w14:textId="77777777" w:rsidR="00000000" w:rsidRDefault="00405D16">
            <w:pPr>
              <w:spacing w:after="100"/>
              <w:jc w:val="right"/>
              <w:rPr>
                <w:rFonts w:eastAsia="Times New Roman"/>
                <w:sz w:val="20"/>
                <w:szCs w:val="20"/>
              </w:rPr>
            </w:pPr>
          </w:p>
        </w:tc>
        <w:tc>
          <w:tcPr>
            <w:tcW w:w="0" w:type="auto"/>
            <w:vAlign w:val="center"/>
            <w:hideMark/>
          </w:tcPr>
          <w:p w14:paraId="695D488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B3C838"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E14E523" w14:textId="77777777" w:rsidR="00000000" w:rsidRDefault="00405D16">
            <w:pPr>
              <w:spacing w:after="100"/>
              <w:jc w:val="right"/>
              <w:rPr>
                <w:rFonts w:eastAsia="Times New Roman"/>
              </w:rPr>
            </w:pPr>
            <w:r>
              <w:rPr>
                <w:rFonts w:eastAsia="Times New Roman"/>
                <w:color w:val="000000"/>
                <w:sz w:val="18"/>
                <w:szCs w:val="18"/>
              </w:rPr>
              <w:t>(57)</w:t>
            </w:r>
          </w:p>
        </w:tc>
        <w:tc>
          <w:tcPr>
            <w:tcW w:w="0" w:type="auto"/>
            <w:shd w:val="clear" w:color="auto" w:fill="FFFFFF"/>
            <w:tcMar>
              <w:top w:w="30" w:type="dxa"/>
              <w:left w:w="0" w:type="dxa"/>
              <w:bottom w:w="30" w:type="dxa"/>
              <w:right w:w="20" w:type="dxa"/>
            </w:tcMar>
            <w:vAlign w:val="center"/>
            <w:hideMark/>
          </w:tcPr>
          <w:p w14:paraId="22A72C8F"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02653050" w14:textId="77777777" w:rsidR="00000000" w:rsidRDefault="00405D16">
            <w:pPr>
              <w:spacing w:after="100"/>
              <w:jc w:val="right"/>
              <w:rPr>
                <w:rFonts w:eastAsia="Times New Roman"/>
              </w:rPr>
            </w:pPr>
          </w:p>
        </w:tc>
        <w:tc>
          <w:tcPr>
            <w:tcW w:w="0" w:type="auto"/>
            <w:gridSpan w:val="3"/>
            <w:vAlign w:val="center"/>
            <w:hideMark/>
          </w:tcPr>
          <w:p w14:paraId="7EFB0FAD" w14:textId="77777777" w:rsidR="00000000" w:rsidRDefault="00405D16">
            <w:pPr>
              <w:spacing w:after="100"/>
              <w:rPr>
                <w:rFonts w:eastAsia="Times New Roman"/>
                <w:sz w:val="20"/>
                <w:szCs w:val="20"/>
              </w:rPr>
            </w:pPr>
          </w:p>
        </w:tc>
      </w:tr>
      <w:tr w:rsidR="00000000" w14:paraId="77D5BCA8" w14:textId="77777777">
        <w:trPr>
          <w:divId w:val="2128575748"/>
        </w:trPr>
        <w:tc>
          <w:tcPr>
            <w:tcW w:w="0" w:type="auto"/>
            <w:gridSpan w:val="3"/>
            <w:shd w:val="clear" w:color="auto" w:fill="CCEEFF"/>
            <w:tcMar>
              <w:top w:w="30" w:type="dxa"/>
              <w:left w:w="20" w:type="dxa"/>
              <w:bottom w:w="30" w:type="dxa"/>
              <w:right w:w="20" w:type="dxa"/>
            </w:tcMar>
            <w:vAlign w:val="center"/>
            <w:hideMark/>
          </w:tcPr>
          <w:p w14:paraId="7D1A00D3" w14:textId="77777777" w:rsidR="00000000" w:rsidRDefault="00405D16">
            <w:pPr>
              <w:spacing w:after="100"/>
              <w:rPr>
                <w:rFonts w:eastAsia="Times New Roman"/>
              </w:rPr>
            </w:pPr>
            <w:r>
              <w:rPr>
                <w:rFonts w:eastAsia="Times New Roman"/>
                <w:color w:val="000000"/>
                <w:sz w:val="18"/>
                <w:szCs w:val="18"/>
              </w:rPr>
              <w:t>Net charge-off rate</w:t>
            </w:r>
          </w:p>
        </w:tc>
        <w:tc>
          <w:tcPr>
            <w:tcW w:w="0" w:type="auto"/>
            <w:gridSpan w:val="3"/>
            <w:shd w:val="clear" w:color="auto" w:fill="CCEEFF"/>
            <w:tcMar>
              <w:top w:w="0" w:type="dxa"/>
              <w:left w:w="20" w:type="dxa"/>
              <w:bottom w:w="0" w:type="dxa"/>
              <w:right w:w="20" w:type="dxa"/>
            </w:tcMar>
            <w:vAlign w:val="center"/>
            <w:hideMark/>
          </w:tcPr>
          <w:p w14:paraId="699EA8F8"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6C52350" w14:textId="77777777" w:rsidR="00000000" w:rsidRDefault="00405D16">
            <w:pPr>
              <w:spacing w:after="100"/>
              <w:jc w:val="right"/>
              <w:rPr>
                <w:rFonts w:eastAsia="Times New Roman"/>
              </w:rPr>
            </w:pPr>
            <w:r>
              <w:rPr>
                <w:rFonts w:eastAsia="Times New Roman"/>
                <w:b/>
                <w:bCs/>
                <w:color w:val="000000"/>
                <w:sz w:val="18"/>
                <w:szCs w:val="18"/>
              </w:rPr>
              <w:t>1.36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3E87925"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87C6C6A"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857EE87" w14:textId="77777777" w:rsidR="00000000" w:rsidRDefault="00405D16">
            <w:pPr>
              <w:spacing w:after="100"/>
              <w:jc w:val="right"/>
              <w:rPr>
                <w:rFonts w:eastAsia="Times New Roman"/>
              </w:rPr>
            </w:pPr>
            <w:r>
              <w:rPr>
                <w:rFonts w:eastAsia="Times New Roman"/>
                <w:color w:val="000000"/>
                <w:sz w:val="18"/>
                <w:szCs w:val="18"/>
              </w:rPr>
              <w:t>3.64 </w:t>
            </w:r>
          </w:p>
        </w:tc>
        <w:tc>
          <w:tcPr>
            <w:tcW w:w="0" w:type="auto"/>
            <w:shd w:val="clear" w:color="auto" w:fill="CCEEFF"/>
            <w:tcMar>
              <w:top w:w="30" w:type="dxa"/>
              <w:left w:w="0" w:type="dxa"/>
              <w:bottom w:w="30" w:type="dxa"/>
              <w:right w:w="20" w:type="dxa"/>
            </w:tcMar>
            <w:vAlign w:val="center"/>
            <w:hideMark/>
          </w:tcPr>
          <w:p w14:paraId="6066B0F2" w14:textId="77777777" w:rsidR="00000000" w:rsidRDefault="00405D16">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E9F1026"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73B72A6" w14:textId="77777777" w:rsidR="00000000" w:rsidRDefault="00405D16">
            <w:pPr>
              <w:spacing w:after="100"/>
              <w:jc w:val="right"/>
              <w:rPr>
                <w:rFonts w:eastAsia="Times New Roman"/>
              </w:rPr>
            </w:pPr>
            <w:r>
              <w:rPr>
                <w:rFonts w:eastAsia="Times New Roman"/>
                <w:color w:val="000000"/>
                <w:sz w:val="18"/>
                <w:szCs w:val="18"/>
              </w:rPr>
              <w:t>(228)</w:t>
            </w:r>
          </w:p>
        </w:tc>
        <w:tc>
          <w:tcPr>
            <w:tcW w:w="0" w:type="auto"/>
            <w:shd w:val="clear" w:color="auto" w:fill="CCEEFF"/>
            <w:tcMar>
              <w:top w:w="30" w:type="dxa"/>
              <w:left w:w="0" w:type="dxa"/>
              <w:bottom w:w="30" w:type="dxa"/>
              <w:right w:w="20" w:type="dxa"/>
            </w:tcMar>
            <w:vAlign w:val="center"/>
            <w:hideMark/>
          </w:tcPr>
          <w:p w14:paraId="5EAA12E9" w14:textId="77777777" w:rsidR="00000000" w:rsidRDefault="00405D16">
            <w:pPr>
              <w:spacing w:after="100"/>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14:paraId="3DA44EDC"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3721C12" w14:textId="77777777" w:rsidR="00000000" w:rsidRDefault="00405D16">
            <w:pPr>
              <w:spacing w:after="100"/>
              <w:jc w:val="right"/>
              <w:rPr>
                <w:rFonts w:eastAsia="Times New Roman"/>
              </w:rPr>
            </w:pPr>
            <w:r>
              <w:rPr>
                <w:rFonts w:eastAsia="Times New Roman"/>
                <w:b/>
                <w:bCs/>
                <w:color w:val="000000"/>
                <w:sz w:val="18"/>
                <w:szCs w:val="18"/>
              </w:rPr>
              <w:t>2.05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BABC9B0"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8653508"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DB07AC7" w14:textId="77777777" w:rsidR="00000000" w:rsidRDefault="00405D16">
            <w:pPr>
              <w:spacing w:after="100"/>
              <w:jc w:val="right"/>
              <w:rPr>
                <w:rFonts w:eastAsia="Times New Roman"/>
              </w:rPr>
            </w:pPr>
            <w:r>
              <w:rPr>
                <w:rFonts w:eastAsia="Times New Roman"/>
                <w:color w:val="000000"/>
                <w:sz w:val="18"/>
                <w:szCs w:val="18"/>
              </w:rPr>
              <w:t>4.31 </w:t>
            </w:r>
          </w:p>
        </w:tc>
        <w:tc>
          <w:tcPr>
            <w:tcW w:w="0" w:type="auto"/>
            <w:shd w:val="clear" w:color="auto" w:fill="CCEEFF"/>
            <w:tcMar>
              <w:top w:w="30" w:type="dxa"/>
              <w:left w:w="0" w:type="dxa"/>
              <w:bottom w:w="30" w:type="dxa"/>
              <w:right w:w="20" w:type="dxa"/>
            </w:tcMar>
            <w:vAlign w:val="center"/>
            <w:hideMark/>
          </w:tcPr>
          <w:p w14:paraId="5662FC55" w14:textId="77777777" w:rsidR="00000000" w:rsidRDefault="00405D16">
            <w:pPr>
              <w:spacing w:after="100"/>
              <w:jc w:val="right"/>
              <w:rPr>
                <w:rFonts w:eastAsia="Times New Roman"/>
              </w:rPr>
            </w:pPr>
            <w:r>
              <w:rPr>
                <w:rFonts w:eastAsia="Times New Roman"/>
                <w:color w:val="000000"/>
                <w:sz w:val="18"/>
                <w:szCs w:val="18"/>
              </w:rPr>
              <w:t>%</w:t>
            </w:r>
          </w:p>
        </w:tc>
        <w:tc>
          <w:tcPr>
            <w:tcW w:w="0" w:type="auto"/>
            <w:vAlign w:val="center"/>
            <w:hideMark/>
          </w:tcPr>
          <w:p w14:paraId="2E773321" w14:textId="77777777" w:rsidR="00000000" w:rsidRDefault="00405D16">
            <w:pPr>
              <w:spacing w:after="100"/>
              <w:jc w:val="right"/>
              <w:rPr>
                <w:rFonts w:eastAsia="Times New Roman"/>
              </w:rPr>
            </w:pPr>
          </w:p>
        </w:tc>
        <w:tc>
          <w:tcPr>
            <w:tcW w:w="0" w:type="auto"/>
            <w:vAlign w:val="center"/>
            <w:hideMark/>
          </w:tcPr>
          <w:p w14:paraId="2DF1423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853D66"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1914599" w14:textId="77777777" w:rsidR="00000000" w:rsidRDefault="00405D16">
            <w:pPr>
              <w:spacing w:after="100"/>
              <w:jc w:val="right"/>
              <w:rPr>
                <w:rFonts w:eastAsia="Times New Roman"/>
              </w:rPr>
            </w:pPr>
            <w:r>
              <w:rPr>
                <w:rFonts w:eastAsia="Times New Roman"/>
                <w:color w:val="000000"/>
                <w:sz w:val="18"/>
                <w:szCs w:val="18"/>
              </w:rPr>
              <w:t>(226)</w:t>
            </w:r>
          </w:p>
        </w:tc>
        <w:tc>
          <w:tcPr>
            <w:tcW w:w="0" w:type="auto"/>
            <w:shd w:val="clear" w:color="auto" w:fill="CCEEFF"/>
            <w:tcMar>
              <w:top w:w="30" w:type="dxa"/>
              <w:left w:w="0" w:type="dxa"/>
              <w:bottom w:w="30" w:type="dxa"/>
              <w:right w:w="20" w:type="dxa"/>
            </w:tcMar>
            <w:vAlign w:val="center"/>
            <w:hideMark/>
          </w:tcPr>
          <w:p w14:paraId="1D27ECBB" w14:textId="77777777" w:rsidR="00000000" w:rsidRDefault="00405D16">
            <w:pPr>
              <w:spacing w:after="100"/>
              <w:jc w:val="right"/>
              <w:rPr>
                <w:rFonts w:eastAsia="Times New Roman"/>
              </w:rPr>
            </w:pPr>
            <w:r>
              <w:rPr>
                <w:rFonts w:eastAsia="Times New Roman"/>
                <w:color w:val="000000"/>
                <w:sz w:val="18"/>
                <w:szCs w:val="18"/>
              </w:rPr>
              <w:t>bps</w:t>
            </w:r>
          </w:p>
        </w:tc>
        <w:tc>
          <w:tcPr>
            <w:tcW w:w="0" w:type="auto"/>
            <w:gridSpan w:val="3"/>
            <w:vAlign w:val="center"/>
            <w:hideMark/>
          </w:tcPr>
          <w:p w14:paraId="1FB175DC" w14:textId="77777777" w:rsidR="00000000" w:rsidRDefault="00405D16">
            <w:pPr>
              <w:spacing w:after="100"/>
              <w:jc w:val="right"/>
              <w:rPr>
                <w:rFonts w:eastAsia="Times New Roman"/>
              </w:rPr>
            </w:pPr>
          </w:p>
        </w:tc>
        <w:tc>
          <w:tcPr>
            <w:tcW w:w="0" w:type="auto"/>
            <w:gridSpan w:val="3"/>
            <w:vAlign w:val="center"/>
            <w:hideMark/>
          </w:tcPr>
          <w:p w14:paraId="76034E0A" w14:textId="77777777" w:rsidR="00000000" w:rsidRDefault="00405D16">
            <w:pPr>
              <w:spacing w:after="100"/>
              <w:rPr>
                <w:rFonts w:eastAsia="Times New Roman"/>
                <w:sz w:val="20"/>
                <w:szCs w:val="20"/>
              </w:rPr>
            </w:pPr>
          </w:p>
        </w:tc>
      </w:tr>
      <w:tr w:rsidR="00000000" w14:paraId="70B89217" w14:textId="77777777">
        <w:trPr>
          <w:divId w:val="2128575748"/>
        </w:trPr>
        <w:tc>
          <w:tcPr>
            <w:tcW w:w="0" w:type="auto"/>
            <w:gridSpan w:val="3"/>
            <w:shd w:val="clear" w:color="auto" w:fill="FFFFFF"/>
            <w:tcMar>
              <w:top w:w="30" w:type="dxa"/>
              <w:left w:w="20" w:type="dxa"/>
              <w:bottom w:w="30" w:type="dxa"/>
              <w:right w:w="20" w:type="dxa"/>
            </w:tcMar>
            <w:vAlign w:val="center"/>
            <w:hideMark/>
          </w:tcPr>
          <w:p w14:paraId="5DB36FF1" w14:textId="77777777" w:rsidR="00000000" w:rsidRDefault="00405D16">
            <w:pPr>
              <w:spacing w:after="100"/>
              <w:rPr>
                <w:rFonts w:eastAsia="Times New Roman"/>
              </w:rPr>
            </w:pPr>
            <w:r>
              <w:rPr>
                <w:rFonts w:eastAsia="Times New Roman"/>
                <w:color w:val="000000"/>
                <w:sz w:val="18"/>
                <w:szCs w:val="18"/>
              </w:rPr>
              <w:t>Purchase volume</w:t>
            </w:r>
          </w:p>
        </w:tc>
        <w:tc>
          <w:tcPr>
            <w:tcW w:w="0" w:type="auto"/>
            <w:gridSpan w:val="3"/>
            <w:shd w:val="clear" w:color="auto" w:fill="FFFFFF"/>
            <w:tcMar>
              <w:top w:w="0" w:type="dxa"/>
              <w:left w:w="20" w:type="dxa"/>
              <w:bottom w:w="0" w:type="dxa"/>
              <w:right w:w="20" w:type="dxa"/>
            </w:tcMar>
            <w:vAlign w:val="center"/>
            <w:hideMark/>
          </w:tcPr>
          <w:p w14:paraId="47DA5494"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1DEB9E6A"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73290A84" w14:textId="77777777" w:rsidR="00000000" w:rsidRDefault="00405D16">
            <w:pPr>
              <w:spacing w:after="100"/>
              <w:jc w:val="right"/>
              <w:rPr>
                <w:rFonts w:eastAsia="Times New Roman"/>
              </w:rPr>
            </w:pPr>
            <w:r>
              <w:rPr>
                <w:rFonts w:eastAsia="Times New Roman"/>
                <w:b/>
                <w:bCs/>
                <w:color w:val="000000"/>
                <w:sz w:val="18"/>
                <w:szCs w:val="18"/>
              </w:rPr>
              <w:t>126,057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8856B2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6BB087"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B5FCEDC"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458FA105" w14:textId="77777777" w:rsidR="00000000" w:rsidRDefault="00405D16">
            <w:pPr>
              <w:spacing w:after="100"/>
              <w:jc w:val="right"/>
              <w:rPr>
                <w:rFonts w:eastAsia="Times New Roman"/>
              </w:rPr>
            </w:pPr>
            <w:r>
              <w:rPr>
                <w:rFonts w:eastAsia="Times New Roman"/>
                <w:color w:val="000000"/>
                <w:sz w:val="18"/>
                <w:szCs w:val="18"/>
              </w:rPr>
              <w:t>98,107 </w:t>
            </w:r>
          </w:p>
        </w:tc>
        <w:tc>
          <w:tcPr>
            <w:tcW w:w="0" w:type="auto"/>
            <w:shd w:val="clear" w:color="auto" w:fill="FFFFFF"/>
            <w:tcMar>
              <w:top w:w="30" w:type="dxa"/>
              <w:left w:w="0" w:type="dxa"/>
              <w:bottom w:w="30" w:type="dxa"/>
              <w:right w:w="20" w:type="dxa"/>
            </w:tcMar>
            <w:vAlign w:val="center"/>
            <w:hideMark/>
          </w:tcPr>
          <w:p w14:paraId="32210CA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EF3DE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D27B671" w14:textId="77777777" w:rsidR="00000000" w:rsidRDefault="00405D16">
            <w:pPr>
              <w:spacing w:after="100"/>
              <w:jc w:val="right"/>
              <w:rPr>
                <w:rFonts w:eastAsia="Times New Roman"/>
              </w:rPr>
            </w:pPr>
            <w:r>
              <w:rPr>
                <w:rFonts w:eastAsia="Times New Roman"/>
                <w:color w:val="000000"/>
                <w:sz w:val="18"/>
                <w:szCs w:val="18"/>
              </w:rPr>
              <w:t>28 </w:t>
            </w:r>
          </w:p>
        </w:tc>
        <w:tc>
          <w:tcPr>
            <w:tcW w:w="0" w:type="auto"/>
            <w:shd w:val="clear" w:color="auto" w:fill="FFFFFF"/>
            <w:tcMar>
              <w:top w:w="30" w:type="dxa"/>
              <w:left w:w="0" w:type="dxa"/>
              <w:bottom w:w="30" w:type="dxa"/>
              <w:right w:w="20" w:type="dxa"/>
            </w:tcMar>
            <w:vAlign w:val="center"/>
            <w:hideMark/>
          </w:tcPr>
          <w:p w14:paraId="078EE4DF"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FEEEDFF" w14:textId="77777777" w:rsidR="00000000" w:rsidRDefault="00405D16">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5C2CFED7"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45396894" w14:textId="77777777" w:rsidR="00000000" w:rsidRDefault="00405D16">
            <w:pPr>
              <w:spacing w:after="100"/>
              <w:jc w:val="right"/>
              <w:rPr>
                <w:rFonts w:eastAsia="Times New Roman"/>
              </w:rPr>
            </w:pPr>
            <w:r>
              <w:rPr>
                <w:rFonts w:eastAsia="Times New Roman"/>
                <w:b/>
                <w:bCs/>
                <w:color w:val="000000"/>
                <w:sz w:val="18"/>
                <w:szCs w:val="18"/>
              </w:rPr>
              <w:t>348,472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66DD3E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66179B"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DA49058"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1D423D56" w14:textId="77777777" w:rsidR="00000000" w:rsidRDefault="00405D16">
            <w:pPr>
              <w:spacing w:after="100"/>
              <w:jc w:val="right"/>
              <w:rPr>
                <w:rFonts w:eastAsia="Times New Roman"/>
              </w:rPr>
            </w:pPr>
            <w:r>
              <w:rPr>
                <w:rFonts w:eastAsia="Times New Roman"/>
                <w:color w:val="000000"/>
                <w:sz w:val="18"/>
                <w:szCs w:val="18"/>
              </w:rPr>
              <w:t>273,215 </w:t>
            </w:r>
          </w:p>
        </w:tc>
        <w:tc>
          <w:tcPr>
            <w:tcW w:w="0" w:type="auto"/>
            <w:shd w:val="clear" w:color="auto" w:fill="FFFFFF"/>
            <w:tcMar>
              <w:top w:w="30" w:type="dxa"/>
              <w:left w:w="0" w:type="dxa"/>
              <w:bottom w:w="30" w:type="dxa"/>
              <w:right w:w="20" w:type="dxa"/>
            </w:tcMar>
            <w:vAlign w:val="center"/>
            <w:hideMark/>
          </w:tcPr>
          <w:p w14:paraId="1137DD05" w14:textId="77777777" w:rsidR="00000000" w:rsidRDefault="00405D16">
            <w:pPr>
              <w:spacing w:after="100"/>
              <w:jc w:val="right"/>
              <w:rPr>
                <w:rFonts w:eastAsia="Times New Roman"/>
              </w:rPr>
            </w:pPr>
          </w:p>
        </w:tc>
        <w:tc>
          <w:tcPr>
            <w:tcW w:w="0" w:type="auto"/>
            <w:vAlign w:val="center"/>
            <w:hideMark/>
          </w:tcPr>
          <w:p w14:paraId="2726B4F3" w14:textId="77777777" w:rsidR="00000000" w:rsidRDefault="00405D16">
            <w:pPr>
              <w:spacing w:after="100"/>
              <w:jc w:val="right"/>
              <w:rPr>
                <w:rFonts w:eastAsia="Times New Roman"/>
                <w:sz w:val="20"/>
                <w:szCs w:val="20"/>
              </w:rPr>
            </w:pPr>
          </w:p>
        </w:tc>
        <w:tc>
          <w:tcPr>
            <w:tcW w:w="0" w:type="auto"/>
            <w:vAlign w:val="center"/>
            <w:hideMark/>
          </w:tcPr>
          <w:p w14:paraId="12F8A79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423979"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FA3CD31" w14:textId="77777777" w:rsidR="00000000" w:rsidRDefault="00405D16">
            <w:pPr>
              <w:spacing w:after="100"/>
              <w:jc w:val="right"/>
              <w:rPr>
                <w:rFonts w:eastAsia="Times New Roman"/>
              </w:rPr>
            </w:pPr>
            <w:r>
              <w:rPr>
                <w:rFonts w:eastAsia="Times New Roman"/>
                <w:color w:val="000000"/>
                <w:sz w:val="18"/>
                <w:szCs w:val="18"/>
              </w:rPr>
              <w:t>28 </w:t>
            </w:r>
          </w:p>
        </w:tc>
        <w:tc>
          <w:tcPr>
            <w:tcW w:w="0" w:type="auto"/>
            <w:shd w:val="clear" w:color="auto" w:fill="FFFFFF"/>
            <w:tcMar>
              <w:top w:w="30" w:type="dxa"/>
              <w:left w:w="0" w:type="dxa"/>
              <w:bottom w:w="30" w:type="dxa"/>
              <w:right w:w="20" w:type="dxa"/>
            </w:tcMar>
            <w:vAlign w:val="center"/>
            <w:hideMark/>
          </w:tcPr>
          <w:p w14:paraId="5A03C2C4"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5D53BD9B" w14:textId="77777777" w:rsidR="00000000" w:rsidRDefault="00405D16">
            <w:pPr>
              <w:spacing w:after="100"/>
              <w:jc w:val="right"/>
              <w:rPr>
                <w:rFonts w:eastAsia="Times New Roman"/>
              </w:rPr>
            </w:pPr>
          </w:p>
        </w:tc>
        <w:tc>
          <w:tcPr>
            <w:tcW w:w="0" w:type="auto"/>
            <w:gridSpan w:val="3"/>
            <w:vAlign w:val="center"/>
            <w:hideMark/>
          </w:tcPr>
          <w:p w14:paraId="709DCC6E" w14:textId="77777777" w:rsidR="00000000" w:rsidRDefault="00405D16">
            <w:pPr>
              <w:spacing w:after="100"/>
              <w:rPr>
                <w:rFonts w:eastAsia="Times New Roman"/>
                <w:sz w:val="20"/>
                <w:szCs w:val="20"/>
              </w:rPr>
            </w:pPr>
          </w:p>
        </w:tc>
      </w:tr>
      <w:tr w:rsidR="00000000" w14:paraId="5E04993C" w14:textId="77777777">
        <w:trPr>
          <w:divId w:val="2128575748"/>
          <w:trHeight w:val="240"/>
        </w:trPr>
        <w:tc>
          <w:tcPr>
            <w:tcW w:w="0" w:type="auto"/>
            <w:gridSpan w:val="3"/>
            <w:tcMar>
              <w:top w:w="0" w:type="dxa"/>
              <w:left w:w="20" w:type="dxa"/>
              <w:bottom w:w="0" w:type="dxa"/>
              <w:right w:w="20" w:type="dxa"/>
            </w:tcMar>
            <w:vAlign w:val="center"/>
            <w:hideMark/>
          </w:tcPr>
          <w:p w14:paraId="73C97F8D"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42F4687"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4B157B8"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27F3444"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504E972"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87CA4F6"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0D15698"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9F3EE45"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E0899DE"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03BA76"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914E80E" w14:textId="77777777" w:rsidR="00000000" w:rsidRDefault="00405D16">
            <w:pPr>
              <w:spacing w:after="100"/>
              <w:rPr>
                <w:rFonts w:eastAsia="Times New Roman"/>
                <w:sz w:val="20"/>
                <w:szCs w:val="20"/>
              </w:rPr>
            </w:pPr>
          </w:p>
        </w:tc>
        <w:tc>
          <w:tcPr>
            <w:tcW w:w="0" w:type="auto"/>
            <w:vAlign w:val="center"/>
            <w:hideMark/>
          </w:tcPr>
          <w:p w14:paraId="22173ADA" w14:textId="77777777" w:rsidR="00000000" w:rsidRDefault="00405D16">
            <w:pPr>
              <w:spacing w:after="100"/>
              <w:rPr>
                <w:rFonts w:eastAsia="Times New Roman"/>
                <w:sz w:val="20"/>
                <w:szCs w:val="20"/>
              </w:rPr>
            </w:pPr>
          </w:p>
        </w:tc>
        <w:tc>
          <w:tcPr>
            <w:tcW w:w="0" w:type="auto"/>
            <w:vAlign w:val="center"/>
            <w:hideMark/>
          </w:tcPr>
          <w:p w14:paraId="703987E5"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A1F6010"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0B53A07" w14:textId="77777777" w:rsidR="00000000" w:rsidRDefault="00405D16">
            <w:pPr>
              <w:spacing w:after="100"/>
              <w:rPr>
                <w:rFonts w:eastAsia="Times New Roman"/>
                <w:sz w:val="20"/>
                <w:szCs w:val="20"/>
              </w:rPr>
            </w:pPr>
          </w:p>
        </w:tc>
        <w:tc>
          <w:tcPr>
            <w:tcW w:w="0" w:type="auto"/>
            <w:gridSpan w:val="3"/>
            <w:vAlign w:val="center"/>
            <w:hideMark/>
          </w:tcPr>
          <w:p w14:paraId="537FEDD1" w14:textId="77777777" w:rsidR="00000000" w:rsidRDefault="00405D16">
            <w:pPr>
              <w:spacing w:after="100"/>
              <w:rPr>
                <w:rFonts w:eastAsia="Times New Roman"/>
                <w:sz w:val="20"/>
                <w:szCs w:val="20"/>
              </w:rPr>
            </w:pPr>
          </w:p>
        </w:tc>
        <w:tc>
          <w:tcPr>
            <w:tcW w:w="0" w:type="auto"/>
            <w:gridSpan w:val="3"/>
            <w:vAlign w:val="center"/>
            <w:hideMark/>
          </w:tcPr>
          <w:p w14:paraId="6DD34B82" w14:textId="77777777" w:rsidR="00000000" w:rsidRDefault="00405D16">
            <w:pPr>
              <w:spacing w:after="100"/>
              <w:rPr>
                <w:rFonts w:eastAsia="Times New Roman"/>
                <w:sz w:val="20"/>
                <w:szCs w:val="20"/>
              </w:rPr>
            </w:pPr>
          </w:p>
        </w:tc>
      </w:tr>
      <w:tr w:rsidR="00000000" w14:paraId="23261D22" w14:textId="77777777">
        <w:trPr>
          <w:divId w:val="2128575748"/>
        </w:trPr>
        <w:tc>
          <w:tcPr>
            <w:tcW w:w="0" w:type="auto"/>
            <w:gridSpan w:val="3"/>
            <w:tcMar>
              <w:top w:w="30" w:type="dxa"/>
              <w:left w:w="20" w:type="dxa"/>
              <w:bottom w:w="30" w:type="dxa"/>
              <w:right w:w="20" w:type="dxa"/>
            </w:tcMar>
            <w:vAlign w:val="bottom"/>
            <w:hideMark/>
          </w:tcPr>
          <w:p w14:paraId="717778EC" w14:textId="77777777" w:rsidR="00000000" w:rsidRDefault="00405D16">
            <w:pPr>
              <w:spacing w:after="100"/>
              <w:rPr>
                <w:rFonts w:eastAsia="Times New Roman"/>
              </w:rPr>
            </w:pPr>
            <w:r>
              <w:rPr>
                <w:rFonts w:eastAsia="Times New Roman"/>
                <w:i/>
                <w:iCs/>
                <w:color w:val="000000"/>
                <w:sz w:val="16"/>
                <w:szCs w:val="16"/>
              </w:rPr>
              <w:t>(Dollars in millions, except as noted)</w:t>
            </w:r>
          </w:p>
        </w:tc>
        <w:tc>
          <w:tcPr>
            <w:tcW w:w="0" w:type="auto"/>
            <w:gridSpan w:val="3"/>
            <w:tcMar>
              <w:top w:w="0" w:type="dxa"/>
              <w:left w:w="20" w:type="dxa"/>
              <w:bottom w:w="0" w:type="dxa"/>
              <w:right w:w="20" w:type="dxa"/>
            </w:tcMar>
            <w:vAlign w:val="center"/>
            <w:hideMark/>
          </w:tcPr>
          <w:p w14:paraId="0F66E5AE" w14:textId="77777777" w:rsidR="00000000" w:rsidRDefault="00405D16">
            <w:pPr>
              <w:spacing w:after="100"/>
              <w:rPr>
                <w:rFonts w:eastAsia="Times New Roman"/>
              </w:rPr>
            </w:pPr>
          </w:p>
        </w:tc>
        <w:tc>
          <w:tcPr>
            <w:tcW w:w="0" w:type="auto"/>
            <w:gridSpan w:val="3"/>
            <w:tcMar>
              <w:top w:w="30" w:type="dxa"/>
              <w:left w:w="20" w:type="dxa"/>
              <w:bottom w:w="30" w:type="dxa"/>
              <w:right w:w="20" w:type="dxa"/>
            </w:tcMar>
            <w:vAlign w:val="bottom"/>
            <w:hideMark/>
          </w:tcPr>
          <w:p w14:paraId="79860612" w14:textId="77777777" w:rsidR="00000000" w:rsidRDefault="00405D16">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14:paraId="25A3D3C8"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9006139" w14:textId="77777777" w:rsidR="00000000" w:rsidRDefault="00405D16">
            <w:pPr>
              <w:spacing w:after="100"/>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14:paraId="3E9E78B6"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089B003" w14:textId="77777777" w:rsidR="00000000" w:rsidRDefault="00405D16">
            <w:pPr>
              <w:spacing w:after="100"/>
              <w:jc w:val="center"/>
              <w:rPr>
                <w:rFonts w:eastAsia="Times New Roman"/>
              </w:rPr>
            </w:pPr>
            <w:r>
              <w:rPr>
                <w:rFonts w:eastAsia="Times New Roman"/>
                <w:b/>
                <w:bCs/>
                <w:color w:val="000000"/>
                <w:sz w:val="16"/>
                <w:szCs w:val="16"/>
              </w:rPr>
              <w:t>Change</w:t>
            </w:r>
          </w:p>
        </w:tc>
        <w:tc>
          <w:tcPr>
            <w:tcW w:w="0" w:type="auto"/>
            <w:gridSpan w:val="3"/>
            <w:tcMar>
              <w:top w:w="0" w:type="dxa"/>
              <w:left w:w="20" w:type="dxa"/>
              <w:bottom w:w="0" w:type="dxa"/>
              <w:right w:w="20" w:type="dxa"/>
            </w:tcMar>
            <w:vAlign w:val="center"/>
            <w:hideMark/>
          </w:tcPr>
          <w:p w14:paraId="1D325163" w14:textId="77777777" w:rsidR="00000000" w:rsidRDefault="00405D1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E6904D4"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DEB05E5"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C4DE39B" w14:textId="77777777" w:rsidR="00000000" w:rsidRDefault="00405D16">
            <w:pPr>
              <w:spacing w:after="100"/>
              <w:rPr>
                <w:rFonts w:eastAsia="Times New Roman"/>
                <w:sz w:val="20"/>
                <w:szCs w:val="20"/>
              </w:rPr>
            </w:pPr>
          </w:p>
        </w:tc>
        <w:tc>
          <w:tcPr>
            <w:tcW w:w="0" w:type="auto"/>
            <w:vAlign w:val="center"/>
            <w:hideMark/>
          </w:tcPr>
          <w:p w14:paraId="23217ABE" w14:textId="77777777" w:rsidR="00000000" w:rsidRDefault="00405D16">
            <w:pPr>
              <w:spacing w:after="100"/>
              <w:rPr>
                <w:rFonts w:eastAsia="Times New Roman"/>
                <w:sz w:val="20"/>
                <w:szCs w:val="20"/>
              </w:rPr>
            </w:pPr>
          </w:p>
        </w:tc>
        <w:tc>
          <w:tcPr>
            <w:tcW w:w="0" w:type="auto"/>
            <w:vAlign w:val="center"/>
            <w:hideMark/>
          </w:tcPr>
          <w:p w14:paraId="566E7ECC"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80345A7"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09406EF" w14:textId="77777777" w:rsidR="00000000" w:rsidRDefault="00405D16">
            <w:pPr>
              <w:spacing w:after="100"/>
              <w:rPr>
                <w:rFonts w:eastAsia="Times New Roman"/>
                <w:sz w:val="20"/>
                <w:szCs w:val="20"/>
              </w:rPr>
            </w:pPr>
          </w:p>
        </w:tc>
        <w:tc>
          <w:tcPr>
            <w:tcW w:w="0" w:type="auto"/>
            <w:gridSpan w:val="3"/>
            <w:vAlign w:val="center"/>
            <w:hideMark/>
          </w:tcPr>
          <w:p w14:paraId="29DAF4EA" w14:textId="77777777" w:rsidR="00000000" w:rsidRDefault="00405D16">
            <w:pPr>
              <w:spacing w:after="100"/>
              <w:rPr>
                <w:rFonts w:eastAsia="Times New Roman"/>
                <w:sz w:val="20"/>
                <w:szCs w:val="20"/>
              </w:rPr>
            </w:pPr>
          </w:p>
        </w:tc>
        <w:tc>
          <w:tcPr>
            <w:tcW w:w="0" w:type="auto"/>
            <w:gridSpan w:val="3"/>
            <w:vAlign w:val="center"/>
            <w:hideMark/>
          </w:tcPr>
          <w:p w14:paraId="4FF272AC" w14:textId="77777777" w:rsidR="00000000" w:rsidRDefault="00405D16">
            <w:pPr>
              <w:spacing w:after="100"/>
              <w:rPr>
                <w:rFonts w:eastAsia="Times New Roman"/>
                <w:sz w:val="20"/>
                <w:szCs w:val="20"/>
              </w:rPr>
            </w:pPr>
          </w:p>
        </w:tc>
      </w:tr>
      <w:tr w:rsidR="00000000" w14:paraId="111F1A8E" w14:textId="77777777">
        <w:trPr>
          <w:divId w:val="212857574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838635E" w14:textId="77777777" w:rsidR="00000000" w:rsidRDefault="00405D16">
            <w:pPr>
              <w:spacing w:after="100"/>
              <w:rPr>
                <w:rFonts w:eastAsia="Times New Roman"/>
              </w:rPr>
            </w:pPr>
            <w:r>
              <w:rPr>
                <w:rFonts w:eastAsia="Times New Roman"/>
                <w:b/>
                <w:bCs/>
                <w:color w:val="000000"/>
                <w:sz w:val="18"/>
                <w:szCs w:val="18"/>
              </w:rPr>
              <w:t>Selected period-end data:</w:t>
            </w:r>
          </w:p>
        </w:tc>
        <w:tc>
          <w:tcPr>
            <w:tcW w:w="0" w:type="auto"/>
            <w:gridSpan w:val="3"/>
            <w:shd w:val="clear" w:color="auto" w:fill="CCEEFF"/>
            <w:tcMar>
              <w:top w:w="0" w:type="dxa"/>
              <w:left w:w="20" w:type="dxa"/>
              <w:bottom w:w="0" w:type="dxa"/>
              <w:right w:w="20" w:type="dxa"/>
            </w:tcMar>
            <w:vAlign w:val="center"/>
            <w:hideMark/>
          </w:tcPr>
          <w:p w14:paraId="7648C198"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037EA1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1D4B27"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AD8F13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AB4B03"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9697F3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41511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D1CF5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0BA4C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BD496D" w14:textId="77777777" w:rsidR="00000000" w:rsidRDefault="00405D16">
            <w:pPr>
              <w:spacing w:after="100"/>
              <w:rPr>
                <w:rFonts w:eastAsia="Times New Roman"/>
                <w:sz w:val="20"/>
                <w:szCs w:val="20"/>
              </w:rPr>
            </w:pPr>
          </w:p>
        </w:tc>
        <w:tc>
          <w:tcPr>
            <w:tcW w:w="0" w:type="auto"/>
            <w:vAlign w:val="center"/>
            <w:hideMark/>
          </w:tcPr>
          <w:p w14:paraId="0CB699FE" w14:textId="77777777" w:rsidR="00000000" w:rsidRDefault="00405D16">
            <w:pPr>
              <w:spacing w:after="100"/>
              <w:rPr>
                <w:rFonts w:eastAsia="Times New Roman"/>
                <w:sz w:val="20"/>
                <w:szCs w:val="20"/>
              </w:rPr>
            </w:pPr>
          </w:p>
        </w:tc>
        <w:tc>
          <w:tcPr>
            <w:tcW w:w="0" w:type="auto"/>
            <w:vAlign w:val="center"/>
            <w:hideMark/>
          </w:tcPr>
          <w:p w14:paraId="543E4C0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F6E56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CBAA36" w14:textId="77777777" w:rsidR="00000000" w:rsidRDefault="00405D16">
            <w:pPr>
              <w:spacing w:after="100"/>
              <w:rPr>
                <w:rFonts w:eastAsia="Times New Roman"/>
                <w:sz w:val="20"/>
                <w:szCs w:val="20"/>
              </w:rPr>
            </w:pPr>
          </w:p>
        </w:tc>
        <w:tc>
          <w:tcPr>
            <w:tcW w:w="0" w:type="auto"/>
            <w:gridSpan w:val="3"/>
            <w:vAlign w:val="center"/>
            <w:hideMark/>
          </w:tcPr>
          <w:p w14:paraId="264DB4F5" w14:textId="77777777" w:rsidR="00000000" w:rsidRDefault="00405D16">
            <w:pPr>
              <w:spacing w:after="100"/>
              <w:rPr>
                <w:rFonts w:eastAsia="Times New Roman"/>
                <w:sz w:val="20"/>
                <w:szCs w:val="20"/>
              </w:rPr>
            </w:pPr>
          </w:p>
        </w:tc>
        <w:tc>
          <w:tcPr>
            <w:tcW w:w="0" w:type="auto"/>
            <w:gridSpan w:val="3"/>
            <w:vAlign w:val="center"/>
            <w:hideMark/>
          </w:tcPr>
          <w:p w14:paraId="0E23DE98" w14:textId="77777777" w:rsidR="00000000" w:rsidRDefault="00405D16">
            <w:pPr>
              <w:spacing w:after="100"/>
              <w:rPr>
                <w:rFonts w:eastAsia="Times New Roman"/>
                <w:sz w:val="20"/>
                <w:szCs w:val="20"/>
              </w:rPr>
            </w:pPr>
          </w:p>
        </w:tc>
      </w:tr>
      <w:tr w:rsidR="00000000" w14:paraId="2EE41073" w14:textId="77777777">
        <w:trPr>
          <w:divId w:val="2128575748"/>
        </w:trPr>
        <w:tc>
          <w:tcPr>
            <w:tcW w:w="0" w:type="auto"/>
            <w:gridSpan w:val="3"/>
            <w:tcMar>
              <w:top w:w="30" w:type="dxa"/>
              <w:left w:w="20" w:type="dxa"/>
              <w:bottom w:w="30" w:type="dxa"/>
              <w:right w:w="20" w:type="dxa"/>
            </w:tcMar>
            <w:vAlign w:val="center"/>
            <w:hideMark/>
          </w:tcPr>
          <w:p w14:paraId="714A68F0" w14:textId="77777777" w:rsidR="00000000" w:rsidRDefault="00405D16">
            <w:pPr>
              <w:spacing w:after="100"/>
              <w:rPr>
                <w:rFonts w:eastAsia="Times New Roman"/>
              </w:rPr>
            </w:pPr>
            <w:r>
              <w:rPr>
                <w:rFonts w:eastAsia="Times New Roman"/>
                <w:color w:val="000000"/>
                <w:sz w:val="18"/>
                <w:szCs w:val="18"/>
              </w:rPr>
              <w:t>Loans held for investment</w:t>
            </w:r>
          </w:p>
        </w:tc>
        <w:tc>
          <w:tcPr>
            <w:tcW w:w="0" w:type="auto"/>
            <w:gridSpan w:val="3"/>
            <w:tcMar>
              <w:top w:w="0" w:type="dxa"/>
              <w:left w:w="20" w:type="dxa"/>
              <w:bottom w:w="0" w:type="dxa"/>
              <w:right w:w="20" w:type="dxa"/>
            </w:tcMar>
            <w:vAlign w:val="center"/>
            <w:hideMark/>
          </w:tcPr>
          <w:p w14:paraId="4EA8B799" w14:textId="77777777" w:rsidR="00000000" w:rsidRDefault="00405D16">
            <w:pPr>
              <w:spacing w:after="100"/>
              <w:rPr>
                <w:rFonts w:eastAsia="Times New Roman"/>
              </w:rPr>
            </w:pPr>
          </w:p>
        </w:tc>
        <w:tc>
          <w:tcPr>
            <w:tcW w:w="0" w:type="auto"/>
            <w:tcMar>
              <w:top w:w="30" w:type="dxa"/>
              <w:left w:w="20" w:type="dxa"/>
              <w:bottom w:w="30" w:type="dxa"/>
              <w:right w:w="0" w:type="dxa"/>
            </w:tcMar>
            <w:vAlign w:val="bottom"/>
            <w:hideMark/>
          </w:tcPr>
          <w:p w14:paraId="39983E87" w14:textId="77777777" w:rsidR="00000000" w:rsidRDefault="00405D16">
            <w:pPr>
              <w:spacing w:after="100"/>
              <w:rPr>
                <w:rFonts w:eastAsia="Times New Roman"/>
              </w:rPr>
            </w:pPr>
            <w:r>
              <w:rPr>
                <w:rFonts w:eastAsia="Times New Roman"/>
                <w:b/>
                <w:bCs/>
                <w:color w:val="000000"/>
                <w:sz w:val="18"/>
                <w:szCs w:val="18"/>
              </w:rPr>
              <w:t>$</w:t>
            </w:r>
          </w:p>
        </w:tc>
        <w:tc>
          <w:tcPr>
            <w:tcW w:w="0" w:type="auto"/>
            <w:tcMar>
              <w:top w:w="30" w:type="dxa"/>
              <w:left w:w="0" w:type="dxa"/>
              <w:bottom w:w="30" w:type="dxa"/>
              <w:right w:w="0" w:type="dxa"/>
            </w:tcMar>
            <w:vAlign w:val="bottom"/>
            <w:hideMark/>
          </w:tcPr>
          <w:p w14:paraId="20A381A2" w14:textId="77777777" w:rsidR="00000000" w:rsidRDefault="00405D16">
            <w:pPr>
              <w:spacing w:after="100"/>
              <w:jc w:val="right"/>
              <w:rPr>
                <w:rFonts w:eastAsia="Times New Roman"/>
              </w:rPr>
            </w:pPr>
            <w:r>
              <w:rPr>
                <w:rFonts w:eastAsia="Times New Roman"/>
                <w:b/>
                <w:bCs/>
                <w:color w:val="000000"/>
                <w:sz w:val="18"/>
                <w:szCs w:val="18"/>
              </w:rPr>
              <w:t>99,258</w:t>
            </w:r>
            <w:r>
              <w:rPr>
                <w:rFonts w:eastAsia="Times New Roman"/>
                <w:color w:val="000000"/>
                <w:sz w:val="18"/>
                <w:szCs w:val="18"/>
              </w:rPr>
              <w:t> </w:t>
            </w:r>
          </w:p>
        </w:tc>
        <w:tc>
          <w:tcPr>
            <w:tcW w:w="0" w:type="auto"/>
            <w:tcMar>
              <w:top w:w="30" w:type="dxa"/>
              <w:left w:w="0" w:type="dxa"/>
              <w:bottom w:w="30" w:type="dxa"/>
              <w:right w:w="20" w:type="dxa"/>
            </w:tcMar>
            <w:vAlign w:val="bottom"/>
            <w:hideMark/>
          </w:tcPr>
          <w:p w14:paraId="3BB0ED5B" w14:textId="77777777" w:rsidR="00000000" w:rsidRDefault="00405D16">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D8E9D2B" w14:textId="77777777" w:rsidR="00000000" w:rsidRDefault="00405D16">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33303DAF" w14:textId="77777777" w:rsidR="00000000" w:rsidRDefault="00405D16">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14:paraId="5CBB2BDA" w14:textId="77777777" w:rsidR="00000000" w:rsidRDefault="00405D16">
            <w:pPr>
              <w:spacing w:after="100"/>
              <w:jc w:val="right"/>
              <w:rPr>
                <w:rFonts w:eastAsia="Times New Roman"/>
              </w:rPr>
            </w:pPr>
            <w:r>
              <w:rPr>
                <w:rFonts w:eastAsia="Times New Roman"/>
                <w:color w:val="000000"/>
                <w:sz w:val="18"/>
                <w:szCs w:val="18"/>
              </w:rPr>
              <w:t>98,504 </w:t>
            </w:r>
          </w:p>
        </w:tc>
        <w:tc>
          <w:tcPr>
            <w:tcW w:w="0" w:type="auto"/>
            <w:tcMar>
              <w:top w:w="30" w:type="dxa"/>
              <w:left w:w="0" w:type="dxa"/>
              <w:bottom w:w="30" w:type="dxa"/>
              <w:right w:w="20" w:type="dxa"/>
            </w:tcMar>
            <w:vAlign w:val="bottom"/>
            <w:hideMark/>
          </w:tcPr>
          <w:p w14:paraId="138E3CC4" w14:textId="77777777" w:rsidR="00000000" w:rsidRDefault="00405D16">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2BDD443" w14:textId="77777777" w:rsidR="00000000" w:rsidRDefault="00405D16">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14:paraId="5784FCDC" w14:textId="77777777" w:rsidR="00000000" w:rsidRDefault="00405D16">
            <w:pPr>
              <w:spacing w:after="100"/>
              <w:jc w:val="right"/>
              <w:rPr>
                <w:rFonts w:eastAsia="Times New Roman"/>
              </w:rPr>
            </w:pPr>
            <w:r>
              <w:rPr>
                <w:rFonts w:eastAsia="Times New Roman"/>
                <w:color w:val="000000"/>
                <w:sz w:val="18"/>
                <w:szCs w:val="18"/>
              </w:rPr>
              <w:t>1 </w:t>
            </w:r>
          </w:p>
        </w:tc>
        <w:tc>
          <w:tcPr>
            <w:tcW w:w="0" w:type="auto"/>
            <w:tcMar>
              <w:top w:w="30" w:type="dxa"/>
              <w:left w:w="0" w:type="dxa"/>
              <w:bottom w:w="30" w:type="dxa"/>
              <w:right w:w="20" w:type="dxa"/>
            </w:tcMar>
            <w:vAlign w:val="center"/>
            <w:hideMark/>
          </w:tcPr>
          <w:p w14:paraId="23E55AB1"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14:paraId="30D4F8D1" w14:textId="77777777" w:rsidR="00000000" w:rsidRDefault="00405D16">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55A2C76"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F689019"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6CD1D9" w14:textId="77777777" w:rsidR="00000000" w:rsidRDefault="00405D16">
            <w:pPr>
              <w:spacing w:after="100"/>
              <w:rPr>
                <w:rFonts w:eastAsia="Times New Roman"/>
                <w:sz w:val="20"/>
                <w:szCs w:val="20"/>
              </w:rPr>
            </w:pPr>
          </w:p>
        </w:tc>
        <w:tc>
          <w:tcPr>
            <w:tcW w:w="0" w:type="auto"/>
            <w:vAlign w:val="center"/>
            <w:hideMark/>
          </w:tcPr>
          <w:p w14:paraId="2EBB1F3D" w14:textId="77777777" w:rsidR="00000000" w:rsidRDefault="00405D16">
            <w:pPr>
              <w:spacing w:after="100"/>
              <w:rPr>
                <w:rFonts w:eastAsia="Times New Roman"/>
                <w:sz w:val="20"/>
                <w:szCs w:val="20"/>
              </w:rPr>
            </w:pPr>
          </w:p>
        </w:tc>
        <w:tc>
          <w:tcPr>
            <w:tcW w:w="0" w:type="auto"/>
            <w:vAlign w:val="center"/>
            <w:hideMark/>
          </w:tcPr>
          <w:p w14:paraId="5BAA43D8"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DF9A9C2"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DF24DB8" w14:textId="77777777" w:rsidR="00000000" w:rsidRDefault="00405D16">
            <w:pPr>
              <w:spacing w:after="100"/>
              <w:rPr>
                <w:rFonts w:eastAsia="Times New Roman"/>
                <w:sz w:val="20"/>
                <w:szCs w:val="20"/>
              </w:rPr>
            </w:pPr>
          </w:p>
        </w:tc>
        <w:tc>
          <w:tcPr>
            <w:tcW w:w="0" w:type="auto"/>
            <w:gridSpan w:val="3"/>
            <w:vAlign w:val="center"/>
            <w:hideMark/>
          </w:tcPr>
          <w:p w14:paraId="339C684E" w14:textId="77777777" w:rsidR="00000000" w:rsidRDefault="00405D16">
            <w:pPr>
              <w:spacing w:after="100"/>
              <w:rPr>
                <w:rFonts w:eastAsia="Times New Roman"/>
                <w:sz w:val="20"/>
                <w:szCs w:val="20"/>
              </w:rPr>
            </w:pPr>
          </w:p>
        </w:tc>
        <w:tc>
          <w:tcPr>
            <w:tcW w:w="0" w:type="auto"/>
            <w:gridSpan w:val="3"/>
            <w:vAlign w:val="center"/>
            <w:hideMark/>
          </w:tcPr>
          <w:p w14:paraId="125A57B9" w14:textId="77777777" w:rsidR="00000000" w:rsidRDefault="00405D16">
            <w:pPr>
              <w:spacing w:after="100"/>
              <w:rPr>
                <w:rFonts w:eastAsia="Times New Roman"/>
                <w:sz w:val="20"/>
                <w:szCs w:val="20"/>
              </w:rPr>
            </w:pPr>
          </w:p>
        </w:tc>
      </w:tr>
      <w:tr w:rsidR="00000000" w14:paraId="639938F4" w14:textId="77777777">
        <w:trPr>
          <w:divId w:val="2128575748"/>
        </w:trPr>
        <w:tc>
          <w:tcPr>
            <w:tcW w:w="0" w:type="auto"/>
            <w:gridSpan w:val="3"/>
            <w:shd w:val="clear" w:color="auto" w:fill="CCEEFF"/>
            <w:tcMar>
              <w:top w:w="30" w:type="dxa"/>
              <w:left w:w="20" w:type="dxa"/>
              <w:bottom w:w="30" w:type="dxa"/>
              <w:right w:w="20" w:type="dxa"/>
            </w:tcMar>
            <w:vAlign w:val="center"/>
            <w:hideMark/>
          </w:tcPr>
          <w:p w14:paraId="7E57E71D" w14:textId="77777777" w:rsidR="00000000" w:rsidRDefault="00405D16">
            <w:pPr>
              <w:spacing w:after="100"/>
              <w:rPr>
                <w:rFonts w:eastAsia="Times New Roman"/>
              </w:rPr>
            </w:pPr>
            <w:r>
              <w:rPr>
                <w:rFonts w:eastAsia="Times New Roman"/>
                <w:color w:val="000000"/>
                <w:sz w:val="18"/>
                <w:szCs w:val="18"/>
              </w:rPr>
              <w:t>30+ day performing delinquency rate</w:t>
            </w:r>
          </w:p>
        </w:tc>
        <w:tc>
          <w:tcPr>
            <w:tcW w:w="0" w:type="auto"/>
            <w:gridSpan w:val="3"/>
            <w:shd w:val="clear" w:color="auto" w:fill="CCEEFF"/>
            <w:tcMar>
              <w:top w:w="0" w:type="dxa"/>
              <w:left w:w="20" w:type="dxa"/>
              <w:bottom w:w="0" w:type="dxa"/>
              <w:right w:w="20" w:type="dxa"/>
            </w:tcMar>
            <w:vAlign w:val="center"/>
            <w:hideMark/>
          </w:tcPr>
          <w:p w14:paraId="0D4A2D7D"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1BFC1E4" w14:textId="77777777" w:rsidR="00000000" w:rsidRDefault="00405D16">
            <w:pPr>
              <w:spacing w:after="100"/>
              <w:jc w:val="right"/>
              <w:rPr>
                <w:rFonts w:eastAsia="Times New Roman"/>
              </w:rPr>
            </w:pPr>
            <w:r>
              <w:rPr>
                <w:rFonts w:eastAsia="Times New Roman"/>
                <w:b/>
                <w:bCs/>
                <w:color w:val="000000"/>
                <w:sz w:val="18"/>
                <w:szCs w:val="18"/>
              </w:rPr>
              <w:t>1.93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47E2B7B"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756FE00"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F5B2A8E" w14:textId="77777777" w:rsidR="00000000" w:rsidRDefault="00405D16">
            <w:pPr>
              <w:spacing w:after="100"/>
              <w:jc w:val="right"/>
              <w:rPr>
                <w:rFonts w:eastAsia="Times New Roman"/>
              </w:rPr>
            </w:pPr>
            <w:r>
              <w:rPr>
                <w:rFonts w:eastAsia="Times New Roman"/>
                <w:color w:val="000000"/>
                <w:sz w:val="18"/>
                <w:szCs w:val="18"/>
              </w:rPr>
              <w:t>2.42 </w:t>
            </w:r>
          </w:p>
        </w:tc>
        <w:tc>
          <w:tcPr>
            <w:tcW w:w="0" w:type="auto"/>
            <w:shd w:val="clear" w:color="auto" w:fill="CCEEFF"/>
            <w:tcMar>
              <w:top w:w="30" w:type="dxa"/>
              <w:left w:w="0" w:type="dxa"/>
              <w:bottom w:w="30" w:type="dxa"/>
              <w:right w:w="20" w:type="dxa"/>
            </w:tcMar>
            <w:vAlign w:val="bottom"/>
            <w:hideMark/>
          </w:tcPr>
          <w:p w14:paraId="277C5A49"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8A06E0C"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DAA9FCB" w14:textId="77777777" w:rsidR="00000000" w:rsidRDefault="00405D16">
            <w:pPr>
              <w:spacing w:after="100"/>
              <w:jc w:val="right"/>
              <w:rPr>
                <w:rFonts w:eastAsia="Times New Roman"/>
              </w:rPr>
            </w:pPr>
            <w:r>
              <w:rPr>
                <w:rFonts w:eastAsia="Times New Roman"/>
                <w:color w:val="000000"/>
                <w:sz w:val="18"/>
                <w:szCs w:val="18"/>
              </w:rPr>
              <w:t>(49)</w:t>
            </w:r>
          </w:p>
        </w:tc>
        <w:tc>
          <w:tcPr>
            <w:tcW w:w="0" w:type="auto"/>
            <w:shd w:val="clear" w:color="auto" w:fill="CCEEFF"/>
            <w:tcMar>
              <w:top w:w="30" w:type="dxa"/>
              <w:left w:w="0" w:type="dxa"/>
              <w:bottom w:w="30" w:type="dxa"/>
              <w:right w:w="20" w:type="dxa"/>
            </w:tcMar>
            <w:vAlign w:val="bottom"/>
            <w:hideMark/>
          </w:tcPr>
          <w:p w14:paraId="45C11BFE" w14:textId="77777777" w:rsidR="00000000" w:rsidRDefault="00405D16">
            <w:pPr>
              <w:spacing w:after="100"/>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14:paraId="1C5BB2D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E7EA1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0B8ED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733022" w14:textId="77777777" w:rsidR="00000000" w:rsidRDefault="00405D16">
            <w:pPr>
              <w:spacing w:after="100"/>
              <w:rPr>
                <w:rFonts w:eastAsia="Times New Roman"/>
                <w:sz w:val="20"/>
                <w:szCs w:val="20"/>
              </w:rPr>
            </w:pPr>
          </w:p>
        </w:tc>
        <w:tc>
          <w:tcPr>
            <w:tcW w:w="0" w:type="auto"/>
            <w:vAlign w:val="center"/>
            <w:hideMark/>
          </w:tcPr>
          <w:p w14:paraId="6C0A6F60" w14:textId="77777777" w:rsidR="00000000" w:rsidRDefault="00405D16">
            <w:pPr>
              <w:spacing w:after="100"/>
              <w:rPr>
                <w:rFonts w:eastAsia="Times New Roman"/>
                <w:sz w:val="20"/>
                <w:szCs w:val="20"/>
              </w:rPr>
            </w:pPr>
          </w:p>
        </w:tc>
        <w:tc>
          <w:tcPr>
            <w:tcW w:w="0" w:type="auto"/>
            <w:vAlign w:val="center"/>
            <w:hideMark/>
          </w:tcPr>
          <w:p w14:paraId="675FACB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719F4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F751FD" w14:textId="77777777" w:rsidR="00000000" w:rsidRDefault="00405D16">
            <w:pPr>
              <w:spacing w:after="100"/>
              <w:rPr>
                <w:rFonts w:eastAsia="Times New Roman"/>
                <w:sz w:val="20"/>
                <w:szCs w:val="20"/>
              </w:rPr>
            </w:pPr>
          </w:p>
        </w:tc>
        <w:tc>
          <w:tcPr>
            <w:tcW w:w="0" w:type="auto"/>
            <w:gridSpan w:val="3"/>
            <w:vAlign w:val="center"/>
            <w:hideMark/>
          </w:tcPr>
          <w:p w14:paraId="6411146D" w14:textId="77777777" w:rsidR="00000000" w:rsidRDefault="00405D16">
            <w:pPr>
              <w:spacing w:after="100"/>
              <w:rPr>
                <w:rFonts w:eastAsia="Times New Roman"/>
                <w:sz w:val="20"/>
                <w:szCs w:val="20"/>
              </w:rPr>
            </w:pPr>
          </w:p>
        </w:tc>
        <w:tc>
          <w:tcPr>
            <w:tcW w:w="0" w:type="auto"/>
            <w:gridSpan w:val="3"/>
            <w:vAlign w:val="center"/>
            <w:hideMark/>
          </w:tcPr>
          <w:p w14:paraId="7E49784E" w14:textId="77777777" w:rsidR="00000000" w:rsidRDefault="00405D16">
            <w:pPr>
              <w:spacing w:after="100"/>
              <w:rPr>
                <w:rFonts w:eastAsia="Times New Roman"/>
                <w:sz w:val="20"/>
                <w:szCs w:val="20"/>
              </w:rPr>
            </w:pPr>
          </w:p>
        </w:tc>
      </w:tr>
      <w:tr w:rsidR="00000000" w14:paraId="6CBC5256" w14:textId="77777777">
        <w:trPr>
          <w:divId w:val="2128575748"/>
        </w:trPr>
        <w:tc>
          <w:tcPr>
            <w:tcW w:w="0" w:type="auto"/>
            <w:gridSpan w:val="3"/>
            <w:tcMar>
              <w:top w:w="30" w:type="dxa"/>
              <w:left w:w="20" w:type="dxa"/>
              <w:bottom w:w="30" w:type="dxa"/>
              <w:right w:w="20" w:type="dxa"/>
            </w:tcMar>
            <w:vAlign w:val="center"/>
            <w:hideMark/>
          </w:tcPr>
          <w:p w14:paraId="082AC2C8" w14:textId="77777777" w:rsidR="00000000" w:rsidRDefault="00405D16">
            <w:pPr>
              <w:spacing w:after="100"/>
              <w:rPr>
                <w:rFonts w:eastAsia="Times New Roman"/>
              </w:rPr>
            </w:pPr>
            <w:r>
              <w:rPr>
                <w:rFonts w:eastAsia="Times New Roman"/>
                <w:color w:val="000000"/>
                <w:sz w:val="18"/>
                <w:szCs w:val="18"/>
              </w:rPr>
              <w:t>Allowance for credit losses</w:t>
            </w:r>
          </w:p>
        </w:tc>
        <w:tc>
          <w:tcPr>
            <w:tcW w:w="0" w:type="auto"/>
            <w:gridSpan w:val="3"/>
            <w:tcMar>
              <w:top w:w="0" w:type="dxa"/>
              <w:left w:w="20" w:type="dxa"/>
              <w:bottom w:w="0" w:type="dxa"/>
              <w:right w:w="20" w:type="dxa"/>
            </w:tcMar>
            <w:vAlign w:val="center"/>
            <w:hideMark/>
          </w:tcPr>
          <w:p w14:paraId="6B7F39D6" w14:textId="77777777" w:rsidR="00000000" w:rsidRDefault="00405D16">
            <w:pPr>
              <w:spacing w:after="100"/>
              <w:rPr>
                <w:rFonts w:eastAsia="Times New Roman"/>
              </w:rPr>
            </w:pPr>
          </w:p>
        </w:tc>
        <w:tc>
          <w:tcPr>
            <w:tcW w:w="0" w:type="auto"/>
            <w:tcMar>
              <w:top w:w="30" w:type="dxa"/>
              <w:left w:w="20" w:type="dxa"/>
              <w:bottom w:w="30" w:type="dxa"/>
              <w:right w:w="0" w:type="dxa"/>
            </w:tcMar>
            <w:vAlign w:val="center"/>
            <w:hideMark/>
          </w:tcPr>
          <w:p w14:paraId="0ADAB604" w14:textId="77777777" w:rsidR="00000000" w:rsidRDefault="00405D16">
            <w:pPr>
              <w:spacing w:after="100"/>
              <w:rPr>
                <w:rFonts w:eastAsia="Times New Roman"/>
              </w:rPr>
            </w:pPr>
            <w:r>
              <w:rPr>
                <w:rFonts w:eastAsia="Times New Roman"/>
                <w:b/>
                <w:bCs/>
                <w:color w:val="000000"/>
                <w:sz w:val="18"/>
                <w:szCs w:val="18"/>
              </w:rPr>
              <w:t>$</w:t>
            </w:r>
          </w:p>
        </w:tc>
        <w:tc>
          <w:tcPr>
            <w:tcW w:w="0" w:type="auto"/>
            <w:tcMar>
              <w:top w:w="30" w:type="dxa"/>
              <w:left w:w="0" w:type="dxa"/>
              <w:bottom w:w="30" w:type="dxa"/>
              <w:right w:w="0" w:type="dxa"/>
            </w:tcMar>
            <w:vAlign w:val="center"/>
            <w:hideMark/>
          </w:tcPr>
          <w:p w14:paraId="038560E4" w14:textId="77777777" w:rsidR="00000000" w:rsidRDefault="00405D16">
            <w:pPr>
              <w:spacing w:after="100"/>
              <w:jc w:val="right"/>
              <w:rPr>
                <w:rFonts w:eastAsia="Times New Roman"/>
              </w:rPr>
            </w:pPr>
            <w:r>
              <w:rPr>
                <w:rFonts w:eastAsia="Times New Roman"/>
                <w:b/>
                <w:bCs/>
                <w:color w:val="000000"/>
                <w:sz w:val="18"/>
                <w:szCs w:val="18"/>
              </w:rPr>
              <w:t>7,968</w:t>
            </w:r>
            <w:r>
              <w:rPr>
                <w:rFonts w:eastAsia="Times New Roman"/>
                <w:color w:val="000000"/>
                <w:sz w:val="18"/>
                <w:szCs w:val="18"/>
              </w:rPr>
              <w:t> </w:t>
            </w:r>
          </w:p>
        </w:tc>
        <w:tc>
          <w:tcPr>
            <w:tcW w:w="0" w:type="auto"/>
            <w:tcMar>
              <w:top w:w="30" w:type="dxa"/>
              <w:left w:w="0" w:type="dxa"/>
              <w:bottom w:w="30" w:type="dxa"/>
              <w:right w:w="20" w:type="dxa"/>
            </w:tcMar>
            <w:vAlign w:val="center"/>
            <w:hideMark/>
          </w:tcPr>
          <w:p w14:paraId="2EE2CF77" w14:textId="77777777" w:rsidR="00000000" w:rsidRDefault="00405D16">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E3DCA64" w14:textId="77777777" w:rsidR="00000000" w:rsidRDefault="00405D16">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338A4714" w14:textId="77777777" w:rsidR="00000000" w:rsidRDefault="00405D16">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14:paraId="5AD5A18E" w14:textId="77777777" w:rsidR="00000000" w:rsidRDefault="00405D16">
            <w:pPr>
              <w:spacing w:after="100"/>
              <w:jc w:val="right"/>
              <w:rPr>
                <w:rFonts w:eastAsia="Times New Roman"/>
              </w:rPr>
            </w:pPr>
            <w:r>
              <w:rPr>
                <w:rFonts w:eastAsia="Times New Roman"/>
                <w:color w:val="000000"/>
                <w:sz w:val="18"/>
                <w:szCs w:val="18"/>
              </w:rPr>
              <w:t>10,650 </w:t>
            </w:r>
          </w:p>
        </w:tc>
        <w:tc>
          <w:tcPr>
            <w:tcW w:w="0" w:type="auto"/>
            <w:tcMar>
              <w:top w:w="30" w:type="dxa"/>
              <w:left w:w="0" w:type="dxa"/>
              <w:bottom w:w="30" w:type="dxa"/>
              <w:right w:w="20" w:type="dxa"/>
            </w:tcMar>
            <w:vAlign w:val="bottom"/>
            <w:hideMark/>
          </w:tcPr>
          <w:p w14:paraId="50A3B5E0" w14:textId="77777777" w:rsidR="00000000" w:rsidRDefault="00405D16">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38544CB" w14:textId="77777777" w:rsidR="00000000" w:rsidRDefault="00405D16">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14:paraId="1AACE13C" w14:textId="77777777" w:rsidR="00000000" w:rsidRDefault="00405D16">
            <w:pPr>
              <w:spacing w:after="100"/>
              <w:jc w:val="right"/>
              <w:rPr>
                <w:rFonts w:eastAsia="Times New Roman"/>
              </w:rPr>
            </w:pPr>
            <w:r>
              <w:rPr>
                <w:rFonts w:eastAsia="Times New Roman"/>
                <w:color w:val="000000"/>
                <w:sz w:val="18"/>
                <w:szCs w:val="18"/>
              </w:rPr>
              <w:t>(25)</w:t>
            </w:r>
          </w:p>
        </w:tc>
        <w:tc>
          <w:tcPr>
            <w:tcW w:w="0" w:type="auto"/>
            <w:tcMar>
              <w:top w:w="30" w:type="dxa"/>
              <w:left w:w="0" w:type="dxa"/>
              <w:bottom w:w="30" w:type="dxa"/>
              <w:right w:w="20" w:type="dxa"/>
            </w:tcMar>
            <w:vAlign w:val="center"/>
            <w:hideMark/>
          </w:tcPr>
          <w:p w14:paraId="75498B31"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14:paraId="216DD32F" w14:textId="77777777" w:rsidR="00000000" w:rsidRDefault="00405D16">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D4B79A2"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386013D"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6EA3C47" w14:textId="77777777" w:rsidR="00000000" w:rsidRDefault="00405D16">
            <w:pPr>
              <w:spacing w:after="100"/>
              <w:rPr>
                <w:rFonts w:eastAsia="Times New Roman"/>
                <w:sz w:val="20"/>
                <w:szCs w:val="20"/>
              </w:rPr>
            </w:pPr>
          </w:p>
        </w:tc>
        <w:tc>
          <w:tcPr>
            <w:tcW w:w="0" w:type="auto"/>
            <w:vAlign w:val="center"/>
            <w:hideMark/>
          </w:tcPr>
          <w:p w14:paraId="431755B2" w14:textId="77777777" w:rsidR="00000000" w:rsidRDefault="00405D16">
            <w:pPr>
              <w:spacing w:after="100"/>
              <w:rPr>
                <w:rFonts w:eastAsia="Times New Roman"/>
                <w:sz w:val="20"/>
                <w:szCs w:val="20"/>
              </w:rPr>
            </w:pPr>
          </w:p>
        </w:tc>
        <w:tc>
          <w:tcPr>
            <w:tcW w:w="0" w:type="auto"/>
            <w:vAlign w:val="center"/>
            <w:hideMark/>
          </w:tcPr>
          <w:p w14:paraId="713F68B3"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8A08F78"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2ACAC90" w14:textId="77777777" w:rsidR="00000000" w:rsidRDefault="00405D16">
            <w:pPr>
              <w:spacing w:after="100"/>
              <w:rPr>
                <w:rFonts w:eastAsia="Times New Roman"/>
                <w:sz w:val="20"/>
                <w:szCs w:val="20"/>
              </w:rPr>
            </w:pPr>
          </w:p>
        </w:tc>
        <w:tc>
          <w:tcPr>
            <w:tcW w:w="0" w:type="auto"/>
            <w:gridSpan w:val="3"/>
            <w:vAlign w:val="center"/>
            <w:hideMark/>
          </w:tcPr>
          <w:p w14:paraId="2564CC1B" w14:textId="77777777" w:rsidR="00000000" w:rsidRDefault="00405D16">
            <w:pPr>
              <w:spacing w:after="100"/>
              <w:rPr>
                <w:rFonts w:eastAsia="Times New Roman"/>
                <w:sz w:val="20"/>
                <w:szCs w:val="20"/>
              </w:rPr>
            </w:pPr>
          </w:p>
        </w:tc>
        <w:tc>
          <w:tcPr>
            <w:tcW w:w="0" w:type="auto"/>
            <w:gridSpan w:val="3"/>
            <w:vAlign w:val="center"/>
            <w:hideMark/>
          </w:tcPr>
          <w:p w14:paraId="26F6FFB4" w14:textId="77777777" w:rsidR="00000000" w:rsidRDefault="00405D16">
            <w:pPr>
              <w:spacing w:after="100"/>
              <w:rPr>
                <w:rFonts w:eastAsia="Times New Roman"/>
                <w:sz w:val="20"/>
                <w:szCs w:val="20"/>
              </w:rPr>
            </w:pPr>
          </w:p>
        </w:tc>
      </w:tr>
      <w:tr w:rsidR="00000000" w14:paraId="16DCD376" w14:textId="77777777">
        <w:trPr>
          <w:divId w:val="2128575748"/>
        </w:trPr>
        <w:tc>
          <w:tcPr>
            <w:tcW w:w="0" w:type="auto"/>
            <w:gridSpan w:val="3"/>
            <w:shd w:val="clear" w:color="auto" w:fill="CCEEFF"/>
            <w:tcMar>
              <w:top w:w="30" w:type="dxa"/>
              <w:left w:w="20" w:type="dxa"/>
              <w:bottom w:w="30" w:type="dxa"/>
              <w:right w:w="20" w:type="dxa"/>
            </w:tcMar>
            <w:vAlign w:val="center"/>
            <w:hideMark/>
          </w:tcPr>
          <w:p w14:paraId="0FAFA50E" w14:textId="77777777" w:rsidR="00000000" w:rsidRDefault="00405D16">
            <w:pPr>
              <w:spacing w:after="100"/>
              <w:rPr>
                <w:rFonts w:eastAsia="Times New Roman"/>
              </w:rPr>
            </w:pPr>
            <w:r>
              <w:rPr>
                <w:rFonts w:eastAsia="Times New Roman"/>
                <w:color w:val="000000"/>
                <w:sz w:val="18"/>
                <w:szCs w:val="18"/>
              </w:rPr>
              <w:t>Allowance coverage ratio</w:t>
            </w:r>
          </w:p>
        </w:tc>
        <w:tc>
          <w:tcPr>
            <w:tcW w:w="0" w:type="auto"/>
            <w:gridSpan w:val="3"/>
            <w:shd w:val="clear" w:color="auto" w:fill="CCEEFF"/>
            <w:tcMar>
              <w:top w:w="0" w:type="dxa"/>
              <w:left w:w="20" w:type="dxa"/>
              <w:bottom w:w="0" w:type="dxa"/>
              <w:right w:w="20" w:type="dxa"/>
            </w:tcMar>
            <w:vAlign w:val="center"/>
            <w:hideMark/>
          </w:tcPr>
          <w:p w14:paraId="605BCEA5"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D137180" w14:textId="77777777" w:rsidR="00000000" w:rsidRDefault="00405D16">
            <w:pPr>
              <w:spacing w:after="100"/>
              <w:jc w:val="right"/>
              <w:rPr>
                <w:rFonts w:eastAsia="Times New Roman"/>
              </w:rPr>
            </w:pPr>
            <w:r>
              <w:rPr>
                <w:rFonts w:eastAsia="Times New Roman"/>
                <w:b/>
                <w:bCs/>
                <w:color w:val="000000"/>
                <w:sz w:val="18"/>
                <w:szCs w:val="18"/>
              </w:rPr>
              <w:t>8.03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DF60202"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1B7DDA5"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5BED165" w14:textId="77777777" w:rsidR="00000000" w:rsidRDefault="00405D16">
            <w:pPr>
              <w:spacing w:after="100"/>
              <w:jc w:val="right"/>
              <w:rPr>
                <w:rFonts w:eastAsia="Times New Roman"/>
              </w:rPr>
            </w:pPr>
            <w:r>
              <w:rPr>
                <w:rFonts w:eastAsia="Times New Roman"/>
                <w:color w:val="000000"/>
                <w:sz w:val="18"/>
                <w:szCs w:val="18"/>
              </w:rPr>
              <w:t>10.81 </w:t>
            </w:r>
          </w:p>
        </w:tc>
        <w:tc>
          <w:tcPr>
            <w:tcW w:w="0" w:type="auto"/>
            <w:shd w:val="clear" w:color="auto" w:fill="CCEEFF"/>
            <w:tcMar>
              <w:top w:w="30" w:type="dxa"/>
              <w:left w:w="0" w:type="dxa"/>
              <w:bottom w:w="30" w:type="dxa"/>
              <w:right w:w="20" w:type="dxa"/>
            </w:tcMar>
            <w:vAlign w:val="bottom"/>
            <w:hideMark/>
          </w:tcPr>
          <w:p w14:paraId="5473C9FC"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918AE85"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2EC2CB0" w14:textId="77777777" w:rsidR="00000000" w:rsidRDefault="00405D16">
            <w:pPr>
              <w:spacing w:after="100"/>
              <w:jc w:val="right"/>
              <w:rPr>
                <w:rFonts w:eastAsia="Times New Roman"/>
              </w:rPr>
            </w:pPr>
            <w:r>
              <w:rPr>
                <w:rFonts w:eastAsia="Times New Roman"/>
                <w:color w:val="000000"/>
                <w:sz w:val="18"/>
                <w:szCs w:val="18"/>
              </w:rPr>
              <w:t>(278)</w:t>
            </w:r>
          </w:p>
        </w:tc>
        <w:tc>
          <w:tcPr>
            <w:tcW w:w="0" w:type="auto"/>
            <w:shd w:val="clear" w:color="auto" w:fill="CCEEFF"/>
            <w:tcMar>
              <w:top w:w="30" w:type="dxa"/>
              <w:left w:w="0" w:type="dxa"/>
              <w:bottom w:w="30" w:type="dxa"/>
              <w:right w:w="20" w:type="dxa"/>
            </w:tcMar>
            <w:vAlign w:val="bottom"/>
            <w:hideMark/>
          </w:tcPr>
          <w:p w14:paraId="797B25E3" w14:textId="77777777" w:rsidR="00000000" w:rsidRDefault="00405D16">
            <w:pPr>
              <w:spacing w:after="100"/>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14:paraId="0469806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6F007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71153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48C0B9" w14:textId="77777777" w:rsidR="00000000" w:rsidRDefault="00405D16">
            <w:pPr>
              <w:spacing w:after="100"/>
              <w:rPr>
                <w:rFonts w:eastAsia="Times New Roman"/>
                <w:sz w:val="20"/>
                <w:szCs w:val="20"/>
              </w:rPr>
            </w:pPr>
          </w:p>
        </w:tc>
        <w:tc>
          <w:tcPr>
            <w:tcW w:w="0" w:type="auto"/>
            <w:vAlign w:val="center"/>
            <w:hideMark/>
          </w:tcPr>
          <w:p w14:paraId="76161A79" w14:textId="77777777" w:rsidR="00000000" w:rsidRDefault="00405D16">
            <w:pPr>
              <w:spacing w:after="100"/>
              <w:rPr>
                <w:rFonts w:eastAsia="Times New Roman"/>
                <w:sz w:val="20"/>
                <w:szCs w:val="20"/>
              </w:rPr>
            </w:pPr>
          </w:p>
        </w:tc>
        <w:tc>
          <w:tcPr>
            <w:tcW w:w="0" w:type="auto"/>
            <w:vAlign w:val="center"/>
            <w:hideMark/>
          </w:tcPr>
          <w:p w14:paraId="490286A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F551E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54919D" w14:textId="77777777" w:rsidR="00000000" w:rsidRDefault="00405D16">
            <w:pPr>
              <w:spacing w:after="100"/>
              <w:rPr>
                <w:rFonts w:eastAsia="Times New Roman"/>
                <w:sz w:val="20"/>
                <w:szCs w:val="20"/>
              </w:rPr>
            </w:pPr>
          </w:p>
        </w:tc>
        <w:tc>
          <w:tcPr>
            <w:tcW w:w="0" w:type="auto"/>
            <w:gridSpan w:val="3"/>
            <w:vAlign w:val="center"/>
            <w:hideMark/>
          </w:tcPr>
          <w:p w14:paraId="6D632DCB" w14:textId="77777777" w:rsidR="00000000" w:rsidRDefault="00405D16">
            <w:pPr>
              <w:spacing w:after="100"/>
              <w:rPr>
                <w:rFonts w:eastAsia="Times New Roman"/>
                <w:sz w:val="20"/>
                <w:szCs w:val="20"/>
              </w:rPr>
            </w:pPr>
          </w:p>
        </w:tc>
        <w:tc>
          <w:tcPr>
            <w:tcW w:w="0" w:type="auto"/>
            <w:gridSpan w:val="3"/>
            <w:vAlign w:val="center"/>
            <w:hideMark/>
          </w:tcPr>
          <w:p w14:paraId="10E0B06C" w14:textId="77777777" w:rsidR="00000000" w:rsidRDefault="00405D16">
            <w:pPr>
              <w:spacing w:after="100"/>
              <w:rPr>
                <w:rFonts w:eastAsia="Times New Roman"/>
                <w:sz w:val="20"/>
                <w:szCs w:val="20"/>
              </w:rPr>
            </w:pPr>
          </w:p>
        </w:tc>
      </w:tr>
    </w:tbl>
    <w:p w14:paraId="30A9207F" w14:textId="77777777" w:rsidR="00000000" w:rsidRDefault="00405D16">
      <w:pPr>
        <w:divId w:val="864946480"/>
        <w:rPr>
          <w:rFonts w:eastAsia="Times New Roman"/>
        </w:rPr>
      </w:pPr>
      <w:r>
        <w:rPr>
          <w:rFonts w:eastAsia="Times New Roman"/>
          <w:color w:val="000000"/>
          <w:sz w:val="20"/>
          <w:szCs w:val="20"/>
        </w:rPr>
        <w:t>__________</w:t>
      </w:r>
    </w:p>
    <w:p w14:paraId="63507EAD" w14:textId="77777777" w:rsidR="00000000" w:rsidRDefault="00405D16">
      <w:pPr>
        <w:ind w:hanging="360"/>
        <w:jc w:val="both"/>
        <w:divId w:val="208695411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recognize finance charges and fee income on open-ended loans in accordance with the contractual provisions of the credit arrangements and ch</w:t>
      </w:r>
      <w:r>
        <w:rPr>
          <w:rFonts w:eastAsia="Times New Roman"/>
          <w:color w:val="000000"/>
          <w:sz w:val="16"/>
          <w:szCs w:val="16"/>
        </w:rPr>
        <w:t>arge off uncollectible amounts. Finance charges and fees charged off as uncollectible are reflected as a reduction in total net revenue.</w:t>
      </w:r>
    </w:p>
    <w:p w14:paraId="2218AB2F" w14:textId="77777777" w:rsidR="00000000" w:rsidRDefault="00405D16">
      <w:pPr>
        <w:ind w:hanging="360"/>
        <w:jc w:val="both"/>
        <w:divId w:val="1402287957"/>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Average yield is calculated based on annualized interest income for the period divided by average loans during the p</w:t>
      </w:r>
      <w:r>
        <w:rPr>
          <w:rFonts w:eastAsia="Times New Roman"/>
          <w:color w:val="000000"/>
          <w:sz w:val="16"/>
          <w:szCs w:val="16"/>
        </w:rPr>
        <w:t>eriod and does not include any allocations, such as funds transfer pricing.</w:t>
      </w:r>
    </w:p>
    <w:p w14:paraId="276BF8FA" w14:textId="77777777" w:rsidR="00000000" w:rsidRDefault="00405D16">
      <w:pPr>
        <w:ind w:hanging="360"/>
        <w:jc w:val="both"/>
        <w:divId w:val="1651325773"/>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Total net revenue margin is calculated based on annualized total net revenue for the period divided by average loans during the period.</w:t>
      </w:r>
    </w:p>
    <w:p w14:paraId="743B4C8F" w14:textId="77777777" w:rsidR="00000000" w:rsidRDefault="00405D16">
      <w:pPr>
        <w:ind w:hanging="360"/>
        <w:jc w:val="both"/>
        <w:divId w:val="593638033"/>
        <w:rPr>
          <w:rFonts w:eastAsia="Times New Roman"/>
        </w:rPr>
      </w:pPr>
      <w:r>
        <w:rPr>
          <w:rFonts w:eastAsia="Times New Roman"/>
          <w:color w:val="000000"/>
          <w:sz w:val="16"/>
          <w:szCs w:val="16"/>
        </w:rPr>
        <w:t>**    Not meaningful.</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0CDA0786" w14:textId="77777777">
        <w:trPr>
          <w:divId w:val="1807384563"/>
          <w:jc w:val="center"/>
        </w:trPr>
        <w:tc>
          <w:tcPr>
            <w:tcW w:w="50" w:type="pct"/>
            <w:vAlign w:val="center"/>
            <w:hideMark/>
          </w:tcPr>
          <w:p w14:paraId="21F4FD91" w14:textId="77777777" w:rsidR="00000000" w:rsidRDefault="00405D16">
            <w:pPr>
              <w:ind w:hanging="360"/>
              <w:jc w:val="both"/>
              <w:rPr>
                <w:rFonts w:eastAsia="Times New Roman"/>
              </w:rPr>
            </w:pPr>
          </w:p>
        </w:tc>
        <w:tc>
          <w:tcPr>
            <w:tcW w:w="1606" w:type="pct"/>
            <w:vAlign w:val="center"/>
            <w:hideMark/>
          </w:tcPr>
          <w:p w14:paraId="4EB061A4" w14:textId="77777777" w:rsidR="00000000" w:rsidRDefault="00405D16">
            <w:pPr>
              <w:spacing w:after="100"/>
              <w:rPr>
                <w:rFonts w:eastAsia="Times New Roman"/>
                <w:sz w:val="20"/>
                <w:szCs w:val="20"/>
              </w:rPr>
            </w:pPr>
          </w:p>
        </w:tc>
        <w:tc>
          <w:tcPr>
            <w:tcW w:w="5" w:type="pct"/>
            <w:vAlign w:val="center"/>
            <w:hideMark/>
          </w:tcPr>
          <w:p w14:paraId="5F9EB2BC" w14:textId="77777777" w:rsidR="00000000" w:rsidRDefault="00405D16">
            <w:pPr>
              <w:spacing w:after="100"/>
              <w:rPr>
                <w:rFonts w:eastAsia="Times New Roman"/>
                <w:sz w:val="20"/>
                <w:szCs w:val="20"/>
              </w:rPr>
            </w:pPr>
          </w:p>
        </w:tc>
        <w:tc>
          <w:tcPr>
            <w:tcW w:w="50" w:type="pct"/>
            <w:vAlign w:val="center"/>
            <w:hideMark/>
          </w:tcPr>
          <w:p w14:paraId="663BAE30" w14:textId="77777777" w:rsidR="00000000" w:rsidRDefault="00405D16">
            <w:pPr>
              <w:spacing w:after="100"/>
              <w:rPr>
                <w:rFonts w:eastAsia="Times New Roman"/>
                <w:sz w:val="20"/>
                <w:szCs w:val="20"/>
              </w:rPr>
            </w:pPr>
          </w:p>
        </w:tc>
        <w:tc>
          <w:tcPr>
            <w:tcW w:w="1614" w:type="pct"/>
            <w:vAlign w:val="center"/>
            <w:hideMark/>
          </w:tcPr>
          <w:p w14:paraId="1A9643C0" w14:textId="77777777" w:rsidR="00000000" w:rsidRDefault="00405D16">
            <w:pPr>
              <w:spacing w:after="100"/>
              <w:rPr>
                <w:rFonts w:eastAsia="Times New Roman"/>
                <w:sz w:val="20"/>
                <w:szCs w:val="20"/>
              </w:rPr>
            </w:pPr>
          </w:p>
        </w:tc>
        <w:tc>
          <w:tcPr>
            <w:tcW w:w="5" w:type="pct"/>
            <w:vAlign w:val="center"/>
            <w:hideMark/>
          </w:tcPr>
          <w:p w14:paraId="11B1EE33" w14:textId="77777777" w:rsidR="00000000" w:rsidRDefault="00405D16">
            <w:pPr>
              <w:spacing w:after="100"/>
              <w:rPr>
                <w:rFonts w:eastAsia="Times New Roman"/>
                <w:sz w:val="20"/>
                <w:szCs w:val="20"/>
              </w:rPr>
            </w:pPr>
          </w:p>
        </w:tc>
        <w:tc>
          <w:tcPr>
            <w:tcW w:w="50" w:type="pct"/>
            <w:vAlign w:val="center"/>
            <w:hideMark/>
          </w:tcPr>
          <w:p w14:paraId="720BDF02" w14:textId="77777777" w:rsidR="00000000" w:rsidRDefault="00405D16">
            <w:pPr>
              <w:spacing w:after="100"/>
              <w:rPr>
                <w:rFonts w:eastAsia="Times New Roman"/>
                <w:sz w:val="20"/>
                <w:szCs w:val="20"/>
              </w:rPr>
            </w:pPr>
          </w:p>
        </w:tc>
        <w:tc>
          <w:tcPr>
            <w:tcW w:w="1614" w:type="pct"/>
            <w:vAlign w:val="center"/>
            <w:hideMark/>
          </w:tcPr>
          <w:p w14:paraId="4C7750AD" w14:textId="77777777" w:rsidR="00000000" w:rsidRDefault="00405D16">
            <w:pPr>
              <w:spacing w:after="100"/>
              <w:rPr>
                <w:rFonts w:eastAsia="Times New Roman"/>
                <w:sz w:val="20"/>
                <w:szCs w:val="20"/>
              </w:rPr>
            </w:pPr>
          </w:p>
        </w:tc>
        <w:tc>
          <w:tcPr>
            <w:tcW w:w="5" w:type="pct"/>
            <w:vAlign w:val="center"/>
            <w:hideMark/>
          </w:tcPr>
          <w:p w14:paraId="185EEDEB" w14:textId="77777777" w:rsidR="00000000" w:rsidRDefault="00405D16">
            <w:pPr>
              <w:spacing w:after="100"/>
              <w:rPr>
                <w:rFonts w:eastAsia="Times New Roman"/>
                <w:sz w:val="20"/>
                <w:szCs w:val="20"/>
              </w:rPr>
            </w:pPr>
          </w:p>
        </w:tc>
      </w:tr>
      <w:tr w:rsidR="00000000" w14:paraId="193A0BE6" w14:textId="77777777">
        <w:trPr>
          <w:divId w:val="1807384563"/>
          <w:trHeight w:val="300"/>
          <w:jc w:val="center"/>
        </w:trPr>
        <w:tc>
          <w:tcPr>
            <w:tcW w:w="0" w:type="auto"/>
            <w:gridSpan w:val="9"/>
            <w:tcMar>
              <w:top w:w="0" w:type="dxa"/>
              <w:left w:w="20" w:type="dxa"/>
              <w:bottom w:w="0" w:type="dxa"/>
              <w:right w:w="20" w:type="dxa"/>
            </w:tcMar>
            <w:vAlign w:val="center"/>
            <w:hideMark/>
          </w:tcPr>
          <w:p w14:paraId="235F472B" w14:textId="77777777" w:rsidR="00000000" w:rsidRDefault="00405D16">
            <w:pPr>
              <w:spacing w:after="100"/>
              <w:rPr>
                <w:rFonts w:eastAsia="Times New Roman"/>
                <w:sz w:val="20"/>
                <w:szCs w:val="20"/>
              </w:rPr>
            </w:pPr>
          </w:p>
        </w:tc>
      </w:tr>
      <w:tr w:rsidR="00000000" w14:paraId="0AF38002" w14:textId="77777777">
        <w:trPr>
          <w:divId w:val="1807384563"/>
          <w:jc w:val="center"/>
        </w:trPr>
        <w:tc>
          <w:tcPr>
            <w:tcW w:w="0" w:type="auto"/>
            <w:gridSpan w:val="3"/>
            <w:tcMar>
              <w:top w:w="0" w:type="dxa"/>
              <w:left w:w="20" w:type="dxa"/>
              <w:bottom w:w="0" w:type="dxa"/>
              <w:right w:w="20" w:type="dxa"/>
            </w:tcMar>
            <w:vAlign w:val="center"/>
            <w:hideMark/>
          </w:tcPr>
          <w:p w14:paraId="62E730C6"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A46FAF0" w14:textId="77777777" w:rsidR="00000000" w:rsidRDefault="00405D16">
            <w:pPr>
              <w:spacing w:after="100"/>
              <w:jc w:val="center"/>
              <w:rPr>
                <w:rFonts w:eastAsia="Times New Roman"/>
              </w:rPr>
            </w:pPr>
            <w:r>
              <w:rPr>
                <w:rFonts w:eastAsia="Times New Roman"/>
                <w:color w:val="000000"/>
                <w:sz w:val="16"/>
                <w:szCs w:val="16"/>
              </w:rPr>
              <w:t>23</w:t>
            </w:r>
          </w:p>
        </w:tc>
        <w:tc>
          <w:tcPr>
            <w:tcW w:w="0" w:type="auto"/>
            <w:gridSpan w:val="3"/>
            <w:tcMar>
              <w:top w:w="30" w:type="dxa"/>
              <w:left w:w="20" w:type="dxa"/>
              <w:bottom w:w="30" w:type="dxa"/>
              <w:right w:w="20" w:type="dxa"/>
            </w:tcMar>
            <w:vAlign w:val="bottom"/>
            <w:hideMark/>
          </w:tcPr>
          <w:p w14:paraId="7015AF50"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3A828E97" w14:textId="77777777" w:rsidR="00000000" w:rsidRDefault="00405D16">
      <w:pPr>
        <w:rPr>
          <w:rFonts w:eastAsia="Times New Roman"/>
        </w:rPr>
      </w:pPr>
      <w:r>
        <w:rPr>
          <w:rFonts w:eastAsia="Times New Roman"/>
        </w:rPr>
        <w:pict w14:anchorId="31B5F540">
          <v:rect id="_x0000_i1048" style="width:0;height:1.5pt" o:hralign="center" o:hrstd="t" o:hr="t" fillcolor="#a0a0a0" stroked="f"/>
        </w:pict>
      </w:r>
    </w:p>
    <w:p w14:paraId="3DA503BB" w14:textId="77777777" w:rsidR="00000000" w:rsidRDefault="00405D16">
      <w:pPr>
        <w:ind w:hanging="360"/>
        <w:jc w:val="both"/>
        <w:divId w:val="2024670601"/>
        <w:rPr>
          <w:rFonts w:eastAsia="Times New Roman"/>
        </w:rPr>
      </w:pPr>
      <w:hyperlink w:anchor="idd54a04a485440b4ab4e56094c14d612_13" w:history="1">
        <w:r>
          <w:rPr>
            <w:rStyle w:val="a3"/>
            <w:rFonts w:eastAsia="Times New Roman"/>
            <w:sz w:val="16"/>
            <w:szCs w:val="16"/>
          </w:rPr>
          <w:t>Table of Contents</w:t>
        </w:r>
      </w:hyperlink>
    </w:p>
    <w:p w14:paraId="7E8D04B5" w14:textId="77777777" w:rsidR="00000000" w:rsidRDefault="00405D16">
      <w:pPr>
        <w:jc w:val="both"/>
        <w:divId w:val="305859723"/>
        <w:rPr>
          <w:rFonts w:eastAsia="Times New Roman"/>
        </w:rPr>
      </w:pPr>
      <w:r>
        <w:rPr>
          <w:rFonts w:eastAsia="Times New Roman"/>
          <w:color w:val="000000"/>
          <w:sz w:val="20"/>
          <w:szCs w:val="20"/>
        </w:rPr>
        <w:t>Because our Domestic Card business accounts for the substantial majority of our Credit Card business, the key factors driving the results are s</w:t>
      </w:r>
      <w:r>
        <w:rPr>
          <w:rFonts w:eastAsia="Times New Roman"/>
          <w:color w:val="000000"/>
          <w:sz w:val="20"/>
          <w:szCs w:val="20"/>
        </w:rPr>
        <w:t>imilar to the key factors affecting our total Credit Card business. Net income for our Domestic Card business increased in the third quarter of 2021 and in the first nine months of 2021 compared to the third quarter of 2020 and the first nine months of 202</w:t>
      </w:r>
      <w:r>
        <w:rPr>
          <w:rFonts w:eastAsia="Times New Roman"/>
          <w:color w:val="000000"/>
          <w:sz w:val="20"/>
          <w:szCs w:val="20"/>
        </w:rPr>
        <w:t xml:space="preserve">0 primarily driven by: </w:t>
      </w:r>
    </w:p>
    <w:p w14:paraId="02FA838D" w14:textId="77777777" w:rsidR="00000000" w:rsidRDefault="00405D16">
      <w:pPr>
        <w:ind w:hanging="360"/>
        <w:jc w:val="both"/>
        <w:divId w:val="1306543293"/>
        <w:rPr>
          <w:rFonts w:eastAsia="Times New Roman"/>
        </w:rPr>
      </w:pPr>
      <w:r>
        <w:rPr>
          <w:rFonts w:eastAsia="Times New Roman"/>
          <w:b/>
          <w:bCs/>
          <w:color w:val="000000"/>
          <w:sz w:val="19"/>
          <w:szCs w:val="19"/>
        </w:rPr>
        <w:t>•</w:t>
      </w:r>
      <w:r>
        <w:rPr>
          <w:rFonts w:eastAsia="Times New Roman"/>
          <w:color w:val="000000"/>
          <w:sz w:val="20"/>
          <w:szCs w:val="20"/>
        </w:rPr>
        <w:t>Lower provision for credit losses in the third quarter and first nine months of 2021 resulting from allowance releases in 2021 due to continued strong credit performance and an improved economic outlook, compared to allowance builds in 2020 driven by expec</w:t>
      </w:r>
      <w:r>
        <w:rPr>
          <w:rFonts w:eastAsia="Times New Roman"/>
          <w:color w:val="000000"/>
          <w:sz w:val="20"/>
          <w:szCs w:val="20"/>
        </w:rPr>
        <w:t>tations of economic worsening at the start of the COVID-19 pandemic.</w:t>
      </w:r>
    </w:p>
    <w:p w14:paraId="5F956BFF" w14:textId="77777777" w:rsidR="00000000" w:rsidRDefault="00405D16">
      <w:pPr>
        <w:ind w:hanging="360"/>
        <w:jc w:val="both"/>
        <w:divId w:val="894315066"/>
        <w:rPr>
          <w:rFonts w:eastAsia="Times New Roman"/>
        </w:rPr>
      </w:pPr>
      <w:r>
        <w:rPr>
          <w:rFonts w:eastAsia="Times New Roman"/>
          <w:b/>
          <w:bCs/>
          <w:color w:val="000000"/>
          <w:sz w:val="19"/>
          <w:szCs w:val="19"/>
        </w:rPr>
        <w:t>•</w:t>
      </w:r>
      <w:r>
        <w:rPr>
          <w:rFonts w:eastAsia="Times New Roman"/>
          <w:color w:val="000000"/>
          <w:sz w:val="20"/>
          <w:szCs w:val="20"/>
        </w:rPr>
        <w:t>Higher net interest income in the third quarter of 2021 primarily driven by higher margins and higher average loan balances.</w:t>
      </w:r>
    </w:p>
    <w:p w14:paraId="025D0330" w14:textId="77777777" w:rsidR="00000000" w:rsidRDefault="00405D16">
      <w:pPr>
        <w:ind w:hanging="360"/>
        <w:jc w:val="both"/>
        <w:divId w:val="2016179486"/>
        <w:rPr>
          <w:rFonts w:eastAsia="Times New Roman"/>
        </w:rPr>
      </w:pPr>
      <w:r>
        <w:rPr>
          <w:rFonts w:eastAsia="Times New Roman"/>
          <w:b/>
          <w:bCs/>
          <w:color w:val="000000"/>
          <w:sz w:val="19"/>
          <w:szCs w:val="19"/>
        </w:rPr>
        <w:t>•</w:t>
      </w:r>
      <w:r>
        <w:rPr>
          <w:rFonts w:eastAsia="Times New Roman"/>
          <w:color w:val="000000"/>
          <w:sz w:val="20"/>
          <w:szCs w:val="20"/>
        </w:rPr>
        <w:t>Higher non-interest income in the third quarter and first ni</w:t>
      </w:r>
      <w:r>
        <w:rPr>
          <w:rFonts w:eastAsia="Times New Roman"/>
          <w:color w:val="000000"/>
          <w:sz w:val="20"/>
          <w:szCs w:val="20"/>
        </w:rPr>
        <w:t xml:space="preserve">ne months of 2021 primarily due to higher net interchange fees from an increase in purchase volume. </w:t>
      </w:r>
    </w:p>
    <w:p w14:paraId="455001FC" w14:textId="77777777" w:rsidR="00000000" w:rsidRDefault="00405D16">
      <w:pPr>
        <w:divId w:val="830021674"/>
        <w:rPr>
          <w:rFonts w:eastAsia="Times New Roman"/>
        </w:rPr>
      </w:pPr>
      <w:r>
        <w:rPr>
          <w:rFonts w:eastAsia="Times New Roman"/>
          <w:color w:val="000000"/>
          <w:sz w:val="20"/>
          <w:szCs w:val="20"/>
        </w:rPr>
        <w:t>These drivers were partially offset by:</w:t>
      </w:r>
    </w:p>
    <w:p w14:paraId="2968E735" w14:textId="77777777" w:rsidR="00000000" w:rsidRDefault="00405D16">
      <w:pPr>
        <w:ind w:hanging="360"/>
        <w:jc w:val="both"/>
        <w:divId w:val="1949116147"/>
        <w:rPr>
          <w:rFonts w:eastAsia="Times New Roman"/>
        </w:rPr>
      </w:pPr>
      <w:r>
        <w:rPr>
          <w:rFonts w:eastAsia="Times New Roman"/>
          <w:color w:val="000000"/>
          <w:sz w:val="20"/>
          <w:szCs w:val="20"/>
        </w:rPr>
        <w:t>•Higher non-interest expense in the third quarter and first nine months of 2021 primarily driven by increased marke</w:t>
      </w:r>
      <w:r>
        <w:rPr>
          <w:rFonts w:eastAsia="Times New Roman"/>
          <w:color w:val="000000"/>
          <w:sz w:val="20"/>
          <w:szCs w:val="20"/>
        </w:rPr>
        <w:t>ting spend.</w:t>
      </w:r>
    </w:p>
    <w:p w14:paraId="387AB1BF" w14:textId="77777777" w:rsidR="00000000" w:rsidRDefault="00405D16">
      <w:pPr>
        <w:ind w:hanging="360"/>
        <w:jc w:val="both"/>
        <w:divId w:val="1358509883"/>
        <w:rPr>
          <w:rFonts w:eastAsia="Times New Roman"/>
        </w:rPr>
      </w:pPr>
      <w:r>
        <w:rPr>
          <w:rFonts w:eastAsia="Times New Roman"/>
          <w:color w:val="000000"/>
          <w:sz w:val="20"/>
          <w:szCs w:val="20"/>
        </w:rPr>
        <w:t>•Lower net interest income in the first nine months of 2021 driven by lower average loan balances.</w:t>
      </w:r>
    </w:p>
    <w:p w14:paraId="5601CFE4" w14:textId="77777777" w:rsidR="00000000" w:rsidRDefault="00405D16">
      <w:pPr>
        <w:jc w:val="both"/>
        <w:divId w:val="1483544168"/>
        <w:rPr>
          <w:rFonts w:eastAsia="Times New Roman"/>
        </w:rPr>
      </w:pPr>
    </w:p>
    <w:p w14:paraId="1E914010" w14:textId="77777777" w:rsidR="00000000" w:rsidRDefault="00405D16">
      <w:pPr>
        <w:jc w:val="both"/>
        <w:divId w:val="718089453"/>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2F0961AA" w14:textId="77777777">
        <w:trPr>
          <w:divId w:val="249394303"/>
          <w:jc w:val="center"/>
        </w:trPr>
        <w:tc>
          <w:tcPr>
            <w:tcW w:w="50" w:type="pct"/>
            <w:vAlign w:val="center"/>
            <w:hideMark/>
          </w:tcPr>
          <w:p w14:paraId="45535E4F" w14:textId="77777777" w:rsidR="00000000" w:rsidRDefault="00405D16">
            <w:pPr>
              <w:jc w:val="both"/>
              <w:rPr>
                <w:rFonts w:eastAsia="Times New Roman"/>
              </w:rPr>
            </w:pPr>
          </w:p>
        </w:tc>
        <w:tc>
          <w:tcPr>
            <w:tcW w:w="1606" w:type="pct"/>
            <w:vAlign w:val="center"/>
            <w:hideMark/>
          </w:tcPr>
          <w:p w14:paraId="2A55D4E4" w14:textId="77777777" w:rsidR="00000000" w:rsidRDefault="00405D16">
            <w:pPr>
              <w:spacing w:after="100"/>
              <w:rPr>
                <w:rFonts w:eastAsia="Times New Roman"/>
                <w:sz w:val="20"/>
                <w:szCs w:val="20"/>
              </w:rPr>
            </w:pPr>
          </w:p>
        </w:tc>
        <w:tc>
          <w:tcPr>
            <w:tcW w:w="5" w:type="pct"/>
            <w:vAlign w:val="center"/>
            <w:hideMark/>
          </w:tcPr>
          <w:p w14:paraId="39D500A7" w14:textId="77777777" w:rsidR="00000000" w:rsidRDefault="00405D16">
            <w:pPr>
              <w:spacing w:after="100"/>
              <w:rPr>
                <w:rFonts w:eastAsia="Times New Roman"/>
                <w:sz w:val="20"/>
                <w:szCs w:val="20"/>
              </w:rPr>
            </w:pPr>
          </w:p>
        </w:tc>
        <w:tc>
          <w:tcPr>
            <w:tcW w:w="50" w:type="pct"/>
            <w:vAlign w:val="center"/>
            <w:hideMark/>
          </w:tcPr>
          <w:p w14:paraId="3B86C7A2" w14:textId="77777777" w:rsidR="00000000" w:rsidRDefault="00405D16">
            <w:pPr>
              <w:spacing w:after="100"/>
              <w:rPr>
                <w:rFonts w:eastAsia="Times New Roman"/>
                <w:sz w:val="20"/>
                <w:szCs w:val="20"/>
              </w:rPr>
            </w:pPr>
          </w:p>
        </w:tc>
        <w:tc>
          <w:tcPr>
            <w:tcW w:w="1614" w:type="pct"/>
            <w:vAlign w:val="center"/>
            <w:hideMark/>
          </w:tcPr>
          <w:p w14:paraId="3CA557D6" w14:textId="77777777" w:rsidR="00000000" w:rsidRDefault="00405D16">
            <w:pPr>
              <w:spacing w:after="100"/>
              <w:rPr>
                <w:rFonts w:eastAsia="Times New Roman"/>
                <w:sz w:val="20"/>
                <w:szCs w:val="20"/>
              </w:rPr>
            </w:pPr>
          </w:p>
        </w:tc>
        <w:tc>
          <w:tcPr>
            <w:tcW w:w="5" w:type="pct"/>
            <w:vAlign w:val="center"/>
            <w:hideMark/>
          </w:tcPr>
          <w:p w14:paraId="2E27793F" w14:textId="77777777" w:rsidR="00000000" w:rsidRDefault="00405D16">
            <w:pPr>
              <w:spacing w:after="100"/>
              <w:rPr>
                <w:rFonts w:eastAsia="Times New Roman"/>
                <w:sz w:val="20"/>
                <w:szCs w:val="20"/>
              </w:rPr>
            </w:pPr>
          </w:p>
        </w:tc>
        <w:tc>
          <w:tcPr>
            <w:tcW w:w="50" w:type="pct"/>
            <w:vAlign w:val="center"/>
            <w:hideMark/>
          </w:tcPr>
          <w:p w14:paraId="3B632AD2" w14:textId="77777777" w:rsidR="00000000" w:rsidRDefault="00405D16">
            <w:pPr>
              <w:spacing w:after="100"/>
              <w:rPr>
                <w:rFonts w:eastAsia="Times New Roman"/>
                <w:sz w:val="20"/>
                <w:szCs w:val="20"/>
              </w:rPr>
            </w:pPr>
          </w:p>
        </w:tc>
        <w:tc>
          <w:tcPr>
            <w:tcW w:w="1614" w:type="pct"/>
            <w:vAlign w:val="center"/>
            <w:hideMark/>
          </w:tcPr>
          <w:p w14:paraId="666E9852" w14:textId="77777777" w:rsidR="00000000" w:rsidRDefault="00405D16">
            <w:pPr>
              <w:spacing w:after="100"/>
              <w:rPr>
                <w:rFonts w:eastAsia="Times New Roman"/>
                <w:sz w:val="20"/>
                <w:szCs w:val="20"/>
              </w:rPr>
            </w:pPr>
          </w:p>
        </w:tc>
        <w:tc>
          <w:tcPr>
            <w:tcW w:w="5" w:type="pct"/>
            <w:vAlign w:val="center"/>
            <w:hideMark/>
          </w:tcPr>
          <w:p w14:paraId="3BD6806B" w14:textId="77777777" w:rsidR="00000000" w:rsidRDefault="00405D16">
            <w:pPr>
              <w:spacing w:after="100"/>
              <w:rPr>
                <w:rFonts w:eastAsia="Times New Roman"/>
                <w:sz w:val="20"/>
                <w:szCs w:val="20"/>
              </w:rPr>
            </w:pPr>
          </w:p>
        </w:tc>
      </w:tr>
      <w:tr w:rsidR="00000000" w14:paraId="5E03A14D" w14:textId="77777777">
        <w:trPr>
          <w:divId w:val="249394303"/>
          <w:trHeight w:val="300"/>
          <w:jc w:val="center"/>
        </w:trPr>
        <w:tc>
          <w:tcPr>
            <w:tcW w:w="0" w:type="auto"/>
            <w:gridSpan w:val="9"/>
            <w:tcMar>
              <w:top w:w="0" w:type="dxa"/>
              <w:left w:w="20" w:type="dxa"/>
              <w:bottom w:w="0" w:type="dxa"/>
              <w:right w:w="20" w:type="dxa"/>
            </w:tcMar>
            <w:vAlign w:val="center"/>
            <w:hideMark/>
          </w:tcPr>
          <w:p w14:paraId="15F4739A" w14:textId="77777777" w:rsidR="00000000" w:rsidRDefault="00405D16">
            <w:pPr>
              <w:spacing w:after="100"/>
              <w:rPr>
                <w:rFonts w:eastAsia="Times New Roman"/>
                <w:sz w:val="20"/>
                <w:szCs w:val="20"/>
              </w:rPr>
            </w:pPr>
          </w:p>
        </w:tc>
      </w:tr>
      <w:tr w:rsidR="00000000" w14:paraId="795D09DA" w14:textId="77777777">
        <w:trPr>
          <w:divId w:val="249394303"/>
          <w:jc w:val="center"/>
        </w:trPr>
        <w:tc>
          <w:tcPr>
            <w:tcW w:w="0" w:type="auto"/>
            <w:gridSpan w:val="3"/>
            <w:tcMar>
              <w:top w:w="0" w:type="dxa"/>
              <w:left w:w="20" w:type="dxa"/>
              <w:bottom w:w="0" w:type="dxa"/>
              <w:right w:w="20" w:type="dxa"/>
            </w:tcMar>
            <w:vAlign w:val="center"/>
            <w:hideMark/>
          </w:tcPr>
          <w:p w14:paraId="4C4FF651"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2A9581E" w14:textId="77777777" w:rsidR="00000000" w:rsidRDefault="00405D16">
            <w:pPr>
              <w:spacing w:after="100"/>
              <w:jc w:val="center"/>
              <w:rPr>
                <w:rFonts w:eastAsia="Times New Roman"/>
              </w:rPr>
            </w:pPr>
            <w:r>
              <w:rPr>
                <w:rFonts w:eastAsia="Times New Roman"/>
                <w:color w:val="000000"/>
                <w:sz w:val="16"/>
                <w:szCs w:val="16"/>
              </w:rPr>
              <w:t>24</w:t>
            </w:r>
          </w:p>
        </w:tc>
        <w:tc>
          <w:tcPr>
            <w:tcW w:w="0" w:type="auto"/>
            <w:gridSpan w:val="3"/>
            <w:tcMar>
              <w:top w:w="30" w:type="dxa"/>
              <w:left w:w="20" w:type="dxa"/>
              <w:bottom w:w="30" w:type="dxa"/>
              <w:right w:w="20" w:type="dxa"/>
            </w:tcMar>
            <w:vAlign w:val="bottom"/>
            <w:hideMark/>
          </w:tcPr>
          <w:p w14:paraId="25A656CF"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014FFB6B" w14:textId="77777777" w:rsidR="00000000" w:rsidRDefault="00405D16">
      <w:pPr>
        <w:rPr>
          <w:rFonts w:eastAsia="Times New Roman"/>
        </w:rPr>
      </w:pPr>
      <w:r>
        <w:rPr>
          <w:rFonts w:eastAsia="Times New Roman"/>
        </w:rPr>
        <w:pict w14:anchorId="2C8E5817">
          <v:rect id="_x0000_i1049" style="width:0;height:1.5pt" o:hralign="center" o:hrstd="t" o:hr="t" fillcolor="#a0a0a0" stroked="f"/>
        </w:pict>
      </w:r>
    </w:p>
    <w:p w14:paraId="746CD7DD" w14:textId="77777777" w:rsidR="00000000" w:rsidRDefault="00405D16">
      <w:pPr>
        <w:ind w:hanging="360"/>
        <w:jc w:val="both"/>
        <w:divId w:val="768817849"/>
        <w:rPr>
          <w:rFonts w:eastAsia="Times New Roman"/>
        </w:rPr>
      </w:pPr>
      <w:hyperlink w:anchor="idd54a04a485440b4ab4e56094c14d612_13" w:history="1">
        <w:r>
          <w:rPr>
            <w:rStyle w:val="a3"/>
            <w:rFonts w:eastAsia="Times New Roman"/>
            <w:sz w:val="16"/>
            <w:szCs w:val="16"/>
          </w:rPr>
          <w:t>Table of Contents</w:t>
        </w:r>
      </w:hyperlink>
    </w:p>
    <w:p w14:paraId="0EA228A2" w14:textId="77777777" w:rsidR="00000000" w:rsidRDefault="00405D16">
      <w:pPr>
        <w:divId w:val="1671978553"/>
        <w:rPr>
          <w:rFonts w:eastAsia="Times New Roman"/>
        </w:rPr>
      </w:pPr>
      <w:r>
        <w:rPr>
          <w:rFonts w:eastAsia="Times New Roman"/>
          <w:b/>
          <w:bCs/>
          <w:color w:val="000000"/>
          <w:sz w:val="20"/>
          <w:szCs w:val="20"/>
        </w:rPr>
        <w:t>Consumer Banking Business</w:t>
      </w:r>
    </w:p>
    <w:p w14:paraId="7DFD8AB7" w14:textId="77777777" w:rsidR="00000000" w:rsidRDefault="00405D16">
      <w:pPr>
        <w:jc w:val="both"/>
        <w:divId w:val="1415200978"/>
        <w:rPr>
          <w:rFonts w:eastAsia="Times New Roman"/>
        </w:rPr>
      </w:pPr>
      <w:r>
        <w:rPr>
          <w:rFonts w:eastAsia="Times New Roman"/>
          <w:color w:val="000000"/>
          <w:sz w:val="20"/>
          <w:szCs w:val="20"/>
        </w:rPr>
        <w:t>The primary sources of revenue for our Consumer Banking business are net interest income from loans and deposits as w</w:t>
      </w:r>
      <w:r>
        <w:rPr>
          <w:rFonts w:eastAsia="Times New Roman"/>
          <w:color w:val="000000"/>
          <w:sz w:val="20"/>
          <w:szCs w:val="20"/>
        </w:rPr>
        <w:t>ell as service charges and customer-related fees. Expenses primarily consist of the provision for credit losses, operating costs and marketing expenses.</w:t>
      </w:r>
    </w:p>
    <w:p w14:paraId="02BF93B5" w14:textId="77777777" w:rsidR="00000000" w:rsidRDefault="00405D16">
      <w:pPr>
        <w:jc w:val="both"/>
        <w:divId w:val="1562399048"/>
        <w:rPr>
          <w:rFonts w:eastAsia="Times New Roman"/>
        </w:rPr>
      </w:pPr>
      <w:r>
        <w:rPr>
          <w:rFonts w:eastAsia="Times New Roman"/>
          <w:color w:val="000000"/>
          <w:sz w:val="20"/>
          <w:szCs w:val="20"/>
        </w:rPr>
        <w:t xml:space="preserve">Our Consumer Banking business generated net income from continuing operations of $909 million and $2.9 </w:t>
      </w:r>
      <w:r>
        <w:rPr>
          <w:rFonts w:eastAsia="Times New Roman"/>
          <w:color w:val="000000"/>
          <w:sz w:val="20"/>
          <w:szCs w:val="20"/>
        </w:rPr>
        <w:t>billion in the third quarter and first nine months of 2021, respectively, and $796 million and $630 million in the third quarter and first nine months of 2020, respectively.</w:t>
      </w:r>
    </w:p>
    <w:p w14:paraId="0A9238BC" w14:textId="77777777" w:rsidR="00000000" w:rsidRDefault="00405D16">
      <w:pPr>
        <w:jc w:val="both"/>
        <w:divId w:val="1207140045"/>
        <w:rPr>
          <w:rFonts w:eastAsia="Times New Roman"/>
        </w:rPr>
      </w:pPr>
      <w:r>
        <w:rPr>
          <w:rFonts w:eastAsia="Times New Roman"/>
          <w:color w:val="000000"/>
          <w:sz w:val="20"/>
          <w:szCs w:val="20"/>
        </w:rPr>
        <w:t>Table 11 summarizes the financial results of our Consumer Banking business and dis</w:t>
      </w:r>
      <w:r>
        <w:rPr>
          <w:rFonts w:eastAsia="Times New Roman"/>
          <w:color w:val="000000"/>
          <w:sz w:val="20"/>
          <w:szCs w:val="20"/>
        </w:rPr>
        <w:t>plays selected key metrics for the periods indicated.</w:t>
      </w:r>
    </w:p>
    <w:p w14:paraId="26973DB2" w14:textId="77777777" w:rsidR="00000000" w:rsidRDefault="00405D16">
      <w:pPr>
        <w:divId w:val="1062488357"/>
        <w:rPr>
          <w:rFonts w:eastAsia="Times New Roman"/>
        </w:rPr>
      </w:pPr>
      <w:r>
        <w:rPr>
          <w:rFonts w:eastAsia="Times New Roman"/>
          <w:b/>
          <w:bCs/>
          <w:color w:val="000000"/>
          <w:sz w:val="18"/>
          <w:szCs w:val="18"/>
        </w:rPr>
        <w:t>Table 11: Consumer Banking Business Results</w:t>
      </w:r>
    </w:p>
    <w:tbl>
      <w:tblPr>
        <w:tblW w:w="5000" w:type="pct"/>
        <w:tblCellMar>
          <w:top w:w="15" w:type="dxa"/>
          <w:left w:w="15" w:type="dxa"/>
          <w:bottom w:w="15" w:type="dxa"/>
          <w:right w:w="15" w:type="dxa"/>
        </w:tblCellMar>
        <w:tblLook w:val="04A0" w:firstRow="1" w:lastRow="0" w:firstColumn="1" w:lastColumn="0" w:noHBand="0" w:noVBand="1"/>
      </w:tblPr>
      <w:tblGrid>
        <w:gridCol w:w="41"/>
        <w:gridCol w:w="1928"/>
        <w:gridCol w:w="39"/>
        <w:gridCol w:w="36"/>
        <w:gridCol w:w="36"/>
        <w:gridCol w:w="36"/>
        <w:gridCol w:w="110"/>
        <w:gridCol w:w="630"/>
        <w:gridCol w:w="200"/>
        <w:gridCol w:w="36"/>
        <w:gridCol w:w="36"/>
        <w:gridCol w:w="36"/>
        <w:gridCol w:w="110"/>
        <w:gridCol w:w="630"/>
        <w:gridCol w:w="170"/>
        <w:gridCol w:w="36"/>
        <w:gridCol w:w="36"/>
        <w:gridCol w:w="36"/>
        <w:gridCol w:w="60"/>
        <w:gridCol w:w="500"/>
        <w:gridCol w:w="271"/>
        <w:gridCol w:w="36"/>
        <w:gridCol w:w="36"/>
        <w:gridCol w:w="36"/>
        <w:gridCol w:w="110"/>
        <w:gridCol w:w="630"/>
        <w:gridCol w:w="200"/>
        <w:gridCol w:w="36"/>
        <w:gridCol w:w="36"/>
        <w:gridCol w:w="36"/>
        <w:gridCol w:w="110"/>
        <w:gridCol w:w="630"/>
        <w:gridCol w:w="170"/>
        <w:gridCol w:w="36"/>
        <w:gridCol w:w="36"/>
        <w:gridCol w:w="36"/>
        <w:gridCol w:w="36"/>
        <w:gridCol w:w="36"/>
        <w:gridCol w:w="60"/>
        <w:gridCol w:w="500"/>
        <w:gridCol w:w="271"/>
        <w:gridCol w:w="36"/>
        <w:gridCol w:w="36"/>
        <w:gridCol w:w="36"/>
        <w:gridCol w:w="36"/>
        <w:gridCol w:w="36"/>
        <w:gridCol w:w="36"/>
      </w:tblGrid>
      <w:tr w:rsidR="00000000" w14:paraId="563FEB2D" w14:textId="77777777">
        <w:trPr>
          <w:divId w:val="1807164682"/>
        </w:trPr>
        <w:tc>
          <w:tcPr>
            <w:tcW w:w="50" w:type="pct"/>
            <w:vAlign w:val="center"/>
            <w:hideMark/>
          </w:tcPr>
          <w:p w14:paraId="1326A562" w14:textId="77777777" w:rsidR="00000000" w:rsidRDefault="00405D16">
            <w:pPr>
              <w:rPr>
                <w:rFonts w:eastAsia="Times New Roman"/>
              </w:rPr>
            </w:pPr>
          </w:p>
        </w:tc>
        <w:tc>
          <w:tcPr>
            <w:tcW w:w="1874" w:type="pct"/>
            <w:vAlign w:val="center"/>
            <w:hideMark/>
          </w:tcPr>
          <w:p w14:paraId="4CA34F05" w14:textId="77777777" w:rsidR="00000000" w:rsidRDefault="00405D16">
            <w:pPr>
              <w:spacing w:after="100"/>
              <w:rPr>
                <w:rFonts w:eastAsia="Times New Roman"/>
                <w:sz w:val="20"/>
                <w:szCs w:val="20"/>
              </w:rPr>
            </w:pPr>
          </w:p>
        </w:tc>
        <w:tc>
          <w:tcPr>
            <w:tcW w:w="5" w:type="pct"/>
            <w:vAlign w:val="center"/>
            <w:hideMark/>
          </w:tcPr>
          <w:p w14:paraId="301B4DAB" w14:textId="77777777" w:rsidR="00000000" w:rsidRDefault="00405D16">
            <w:pPr>
              <w:spacing w:after="100"/>
              <w:rPr>
                <w:rFonts w:eastAsia="Times New Roman"/>
                <w:sz w:val="20"/>
                <w:szCs w:val="20"/>
              </w:rPr>
            </w:pPr>
          </w:p>
        </w:tc>
        <w:tc>
          <w:tcPr>
            <w:tcW w:w="5" w:type="pct"/>
            <w:vAlign w:val="center"/>
            <w:hideMark/>
          </w:tcPr>
          <w:p w14:paraId="227F68FF" w14:textId="77777777" w:rsidR="00000000" w:rsidRDefault="00405D16">
            <w:pPr>
              <w:spacing w:after="100"/>
              <w:rPr>
                <w:rFonts w:eastAsia="Times New Roman"/>
                <w:sz w:val="20"/>
                <w:szCs w:val="20"/>
              </w:rPr>
            </w:pPr>
          </w:p>
        </w:tc>
        <w:tc>
          <w:tcPr>
            <w:tcW w:w="26" w:type="pct"/>
            <w:vAlign w:val="center"/>
            <w:hideMark/>
          </w:tcPr>
          <w:p w14:paraId="0CEBCA3E" w14:textId="77777777" w:rsidR="00000000" w:rsidRDefault="00405D16">
            <w:pPr>
              <w:spacing w:after="100"/>
              <w:rPr>
                <w:rFonts w:eastAsia="Times New Roman"/>
                <w:sz w:val="20"/>
                <w:szCs w:val="20"/>
              </w:rPr>
            </w:pPr>
          </w:p>
        </w:tc>
        <w:tc>
          <w:tcPr>
            <w:tcW w:w="5" w:type="pct"/>
            <w:vAlign w:val="center"/>
            <w:hideMark/>
          </w:tcPr>
          <w:p w14:paraId="4CBA6A90" w14:textId="77777777" w:rsidR="00000000" w:rsidRDefault="00405D16">
            <w:pPr>
              <w:spacing w:after="100"/>
              <w:rPr>
                <w:rFonts w:eastAsia="Times New Roman"/>
                <w:sz w:val="20"/>
                <w:szCs w:val="20"/>
              </w:rPr>
            </w:pPr>
          </w:p>
        </w:tc>
        <w:tc>
          <w:tcPr>
            <w:tcW w:w="50" w:type="pct"/>
            <w:vAlign w:val="center"/>
            <w:hideMark/>
          </w:tcPr>
          <w:p w14:paraId="2696FF70" w14:textId="77777777" w:rsidR="00000000" w:rsidRDefault="00405D16">
            <w:pPr>
              <w:spacing w:after="100"/>
              <w:rPr>
                <w:rFonts w:eastAsia="Times New Roman"/>
                <w:sz w:val="20"/>
                <w:szCs w:val="20"/>
              </w:rPr>
            </w:pPr>
          </w:p>
        </w:tc>
        <w:tc>
          <w:tcPr>
            <w:tcW w:w="420" w:type="pct"/>
            <w:vAlign w:val="center"/>
            <w:hideMark/>
          </w:tcPr>
          <w:p w14:paraId="09D23F76" w14:textId="77777777" w:rsidR="00000000" w:rsidRDefault="00405D16">
            <w:pPr>
              <w:spacing w:after="100"/>
              <w:rPr>
                <w:rFonts w:eastAsia="Times New Roman"/>
                <w:sz w:val="20"/>
                <w:szCs w:val="20"/>
              </w:rPr>
            </w:pPr>
          </w:p>
        </w:tc>
        <w:tc>
          <w:tcPr>
            <w:tcW w:w="5" w:type="pct"/>
            <w:vAlign w:val="center"/>
            <w:hideMark/>
          </w:tcPr>
          <w:p w14:paraId="61D94830" w14:textId="77777777" w:rsidR="00000000" w:rsidRDefault="00405D16">
            <w:pPr>
              <w:spacing w:after="100"/>
              <w:rPr>
                <w:rFonts w:eastAsia="Times New Roman"/>
                <w:sz w:val="20"/>
                <w:szCs w:val="20"/>
              </w:rPr>
            </w:pPr>
          </w:p>
        </w:tc>
        <w:tc>
          <w:tcPr>
            <w:tcW w:w="5" w:type="pct"/>
            <w:vAlign w:val="center"/>
            <w:hideMark/>
          </w:tcPr>
          <w:p w14:paraId="67B34DB9" w14:textId="77777777" w:rsidR="00000000" w:rsidRDefault="00405D16">
            <w:pPr>
              <w:spacing w:after="100"/>
              <w:rPr>
                <w:rFonts w:eastAsia="Times New Roman"/>
                <w:sz w:val="20"/>
                <w:szCs w:val="20"/>
              </w:rPr>
            </w:pPr>
          </w:p>
        </w:tc>
        <w:tc>
          <w:tcPr>
            <w:tcW w:w="26" w:type="pct"/>
            <w:vAlign w:val="center"/>
            <w:hideMark/>
          </w:tcPr>
          <w:p w14:paraId="64B9AED0" w14:textId="77777777" w:rsidR="00000000" w:rsidRDefault="00405D16">
            <w:pPr>
              <w:spacing w:after="100"/>
              <w:rPr>
                <w:rFonts w:eastAsia="Times New Roman"/>
                <w:sz w:val="20"/>
                <w:szCs w:val="20"/>
              </w:rPr>
            </w:pPr>
          </w:p>
        </w:tc>
        <w:tc>
          <w:tcPr>
            <w:tcW w:w="5" w:type="pct"/>
            <w:vAlign w:val="center"/>
            <w:hideMark/>
          </w:tcPr>
          <w:p w14:paraId="42743E06" w14:textId="77777777" w:rsidR="00000000" w:rsidRDefault="00405D16">
            <w:pPr>
              <w:spacing w:after="100"/>
              <w:rPr>
                <w:rFonts w:eastAsia="Times New Roman"/>
                <w:sz w:val="20"/>
                <w:szCs w:val="20"/>
              </w:rPr>
            </w:pPr>
          </w:p>
        </w:tc>
        <w:tc>
          <w:tcPr>
            <w:tcW w:w="50" w:type="pct"/>
            <w:vAlign w:val="center"/>
            <w:hideMark/>
          </w:tcPr>
          <w:p w14:paraId="007C4B91" w14:textId="77777777" w:rsidR="00000000" w:rsidRDefault="00405D16">
            <w:pPr>
              <w:spacing w:after="100"/>
              <w:rPr>
                <w:rFonts w:eastAsia="Times New Roman"/>
                <w:sz w:val="20"/>
                <w:szCs w:val="20"/>
              </w:rPr>
            </w:pPr>
          </w:p>
        </w:tc>
        <w:tc>
          <w:tcPr>
            <w:tcW w:w="420" w:type="pct"/>
            <w:vAlign w:val="center"/>
            <w:hideMark/>
          </w:tcPr>
          <w:p w14:paraId="3B6BB5EB" w14:textId="77777777" w:rsidR="00000000" w:rsidRDefault="00405D16">
            <w:pPr>
              <w:spacing w:after="100"/>
              <w:rPr>
                <w:rFonts w:eastAsia="Times New Roman"/>
                <w:sz w:val="20"/>
                <w:szCs w:val="20"/>
              </w:rPr>
            </w:pPr>
          </w:p>
        </w:tc>
        <w:tc>
          <w:tcPr>
            <w:tcW w:w="5" w:type="pct"/>
            <w:vAlign w:val="center"/>
            <w:hideMark/>
          </w:tcPr>
          <w:p w14:paraId="2E2ED3B6" w14:textId="77777777" w:rsidR="00000000" w:rsidRDefault="00405D16">
            <w:pPr>
              <w:spacing w:after="100"/>
              <w:rPr>
                <w:rFonts w:eastAsia="Times New Roman"/>
                <w:sz w:val="20"/>
                <w:szCs w:val="20"/>
              </w:rPr>
            </w:pPr>
          </w:p>
        </w:tc>
        <w:tc>
          <w:tcPr>
            <w:tcW w:w="5" w:type="pct"/>
            <w:vAlign w:val="center"/>
            <w:hideMark/>
          </w:tcPr>
          <w:p w14:paraId="557CBC2A" w14:textId="77777777" w:rsidR="00000000" w:rsidRDefault="00405D16">
            <w:pPr>
              <w:spacing w:after="100"/>
              <w:rPr>
                <w:rFonts w:eastAsia="Times New Roman"/>
                <w:sz w:val="20"/>
                <w:szCs w:val="20"/>
              </w:rPr>
            </w:pPr>
          </w:p>
        </w:tc>
        <w:tc>
          <w:tcPr>
            <w:tcW w:w="26" w:type="pct"/>
            <w:vAlign w:val="center"/>
            <w:hideMark/>
          </w:tcPr>
          <w:p w14:paraId="2D4B894D" w14:textId="77777777" w:rsidR="00000000" w:rsidRDefault="00405D16">
            <w:pPr>
              <w:spacing w:after="100"/>
              <w:rPr>
                <w:rFonts w:eastAsia="Times New Roman"/>
                <w:sz w:val="20"/>
                <w:szCs w:val="20"/>
              </w:rPr>
            </w:pPr>
          </w:p>
        </w:tc>
        <w:tc>
          <w:tcPr>
            <w:tcW w:w="5" w:type="pct"/>
            <w:vAlign w:val="center"/>
            <w:hideMark/>
          </w:tcPr>
          <w:p w14:paraId="45DF13FB" w14:textId="77777777" w:rsidR="00000000" w:rsidRDefault="00405D16">
            <w:pPr>
              <w:spacing w:after="100"/>
              <w:rPr>
                <w:rFonts w:eastAsia="Times New Roman"/>
                <w:sz w:val="20"/>
                <w:szCs w:val="20"/>
              </w:rPr>
            </w:pPr>
          </w:p>
        </w:tc>
        <w:tc>
          <w:tcPr>
            <w:tcW w:w="50" w:type="pct"/>
            <w:vAlign w:val="center"/>
            <w:hideMark/>
          </w:tcPr>
          <w:p w14:paraId="1A0E6931" w14:textId="77777777" w:rsidR="00000000" w:rsidRDefault="00405D16">
            <w:pPr>
              <w:spacing w:after="100"/>
              <w:rPr>
                <w:rFonts w:eastAsia="Times New Roman"/>
                <w:sz w:val="20"/>
                <w:szCs w:val="20"/>
              </w:rPr>
            </w:pPr>
          </w:p>
        </w:tc>
        <w:tc>
          <w:tcPr>
            <w:tcW w:w="420" w:type="pct"/>
            <w:vAlign w:val="center"/>
            <w:hideMark/>
          </w:tcPr>
          <w:p w14:paraId="35E62A95" w14:textId="77777777" w:rsidR="00000000" w:rsidRDefault="00405D16">
            <w:pPr>
              <w:spacing w:after="100"/>
              <w:rPr>
                <w:rFonts w:eastAsia="Times New Roman"/>
                <w:sz w:val="20"/>
                <w:szCs w:val="20"/>
              </w:rPr>
            </w:pPr>
          </w:p>
        </w:tc>
        <w:tc>
          <w:tcPr>
            <w:tcW w:w="5" w:type="pct"/>
            <w:vAlign w:val="center"/>
            <w:hideMark/>
          </w:tcPr>
          <w:p w14:paraId="59FC6F4B" w14:textId="77777777" w:rsidR="00000000" w:rsidRDefault="00405D16">
            <w:pPr>
              <w:spacing w:after="100"/>
              <w:rPr>
                <w:rFonts w:eastAsia="Times New Roman"/>
                <w:sz w:val="20"/>
                <w:szCs w:val="20"/>
              </w:rPr>
            </w:pPr>
          </w:p>
        </w:tc>
        <w:tc>
          <w:tcPr>
            <w:tcW w:w="5" w:type="pct"/>
            <w:vAlign w:val="center"/>
            <w:hideMark/>
          </w:tcPr>
          <w:p w14:paraId="44466FEE" w14:textId="77777777" w:rsidR="00000000" w:rsidRDefault="00405D16">
            <w:pPr>
              <w:spacing w:after="100"/>
              <w:rPr>
                <w:rFonts w:eastAsia="Times New Roman"/>
                <w:sz w:val="20"/>
                <w:szCs w:val="20"/>
              </w:rPr>
            </w:pPr>
          </w:p>
        </w:tc>
        <w:tc>
          <w:tcPr>
            <w:tcW w:w="26" w:type="pct"/>
            <w:vAlign w:val="center"/>
            <w:hideMark/>
          </w:tcPr>
          <w:p w14:paraId="5D40D593" w14:textId="77777777" w:rsidR="00000000" w:rsidRDefault="00405D16">
            <w:pPr>
              <w:spacing w:after="100"/>
              <w:rPr>
                <w:rFonts w:eastAsia="Times New Roman"/>
                <w:sz w:val="20"/>
                <w:szCs w:val="20"/>
              </w:rPr>
            </w:pPr>
          </w:p>
        </w:tc>
        <w:tc>
          <w:tcPr>
            <w:tcW w:w="5" w:type="pct"/>
            <w:vAlign w:val="center"/>
            <w:hideMark/>
          </w:tcPr>
          <w:p w14:paraId="1B4E599F" w14:textId="77777777" w:rsidR="00000000" w:rsidRDefault="00405D16">
            <w:pPr>
              <w:spacing w:after="100"/>
              <w:rPr>
                <w:rFonts w:eastAsia="Times New Roman"/>
                <w:sz w:val="20"/>
                <w:szCs w:val="20"/>
              </w:rPr>
            </w:pPr>
          </w:p>
        </w:tc>
        <w:tc>
          <w:tcPr>
            <w:tcW w:w="50" w:type="pct"/>
            <w:vAlign w:val="center"/>
            <w:hideMark/>
          </w:tcPr>
          <w:p w14:paraId="27D0EDD9" w14:textId="77777777" w:rsidR="00000000" w:rsidRDefault="00405D16">
            <w:pPr>
              <w:spacing w:after="100"/>
              <w:rPr>
                <w:rFonts w:eastAsia="Times New Roman"/>
                <w:sz w:val="20"/>
                <w:szCs w:val="20"/>
              </w:rPr>
            </w:pPr>
          </w:p>
        </w:tc>
        <w:tc>
          <w:tcPr>
            <w:tcW w:w="420" w:type="pct"/>
            <w:vAlign w:val="center"/>
            <w:hideMark/>
          </w:tcPr>
          <w:p w14:paraId="15416371" w14:textId="77777777" w:rsidR="00000000" w:rsidRDefault="00405D16">
            <w:pPr>
              <w:spacing w:after="100"/>
              <w:rPr>
                <w:rFonts w:eastAsia="Times New Roman"/>
                <w:sz w:val="20"/>
                <w:szCs w:val="20"/>
              </w:rPr>
            </w:pPr>
          </w:p>
        </w:tc>
        <w:tc>
          <w:tcPr>
            <w:tcW w:w="5" w:type="pct"/>
            <w:vAlign w:val="center"/>
            <w:hideMark/>
          </w:tcPr>
          <w:p w14:paraId="0890B614" w14:textId="77777777" w:rsidR="00000000" w:rsidRDefault="00405D16">
            <w:pPr>
              <w:spacing w:after="100"/>
              <w:rPr>
                <w:rFonts w:eastAsia="Times New Roman"/>
                <w:sz w:val="20"/>
                <w:szCs w:val="20"/>
              </w:rPr>
            </w:pPr>
          </w:p>
        </w:tc>
        <w:tc>
          <w:tcPr>
            <w:tcW w:w="5" w:type="pct"/>
            <w:vAlign w:val="center"/>
            <w:hideMark/>
          </w:tcPr>
          <w:p w14:paraId="32A5D071" w14:textId="77777777" w:rsidR="00000000" w:rsidRDefault="00405D16">
            <w:pPr>
              <w:spacing w:after="100"/>
              <w:rPr>
                <w:rFonts w:eastAsia="Times New Roman"/>
                <w:sz w:val="20"/>
                <w:szCs w:val="20"/>
              </w:rPr>
            </w:pPr>
          </w:p>
        </w:tc>
        <w:tc>
          <w:tcPr>
            <w:tcW w:w="26" w:type="pct"/>
            <w:vAlign w:val="center"/>
            <w:hideMark/>
          </w:tcPr>
          <w:p w14:paraId="1E3A5B37" w14:textId="77777777" w:rsidR="00000000" w:rsidRDefault="00405D16">
            <w:pPr>
              <w:spacing w:after="100"/>
              <w:rPr>
                <w:rFonts w:eastAsia="Times New Roman"/>
                <w:sz w:val="20"/>
                <w:szCs w:val="20"/>
              </w:rPr>
            </w:pPr>
          </w:p>
        </w:tc>
        <w:tc>
          <w:tcPr>
            <w:tcW w:w="5" w:type="pct"/>
            <w:vAlign w:val="center"/>
            <w:hideMark/>
          </w:tcPr>
          <w:p w14:paraId="3FCA107E" w14:textId="77777777" w:rsidR="00000000" w:rsidRDefault="00405D16">
            <w:pPr>
              <w:spacing w:after="100"/>
              <w:rPr>
                <w:rFonts w:eastAsia="Times New Roman"/>
                <w:sz w:val="20"/>
                <w:szCs w:val="20"/>
              </w:rPr>
            </w:pPr>
          </w:p>
        </w:tc>
        <w:tc>
          <w:tcPr>
            <w:tcW w:w="50" w:type="pct"/>
            <w:vAlign w:val="center"/>
            <w:hideMark/>
          </w:tcPr>
          <w:p w14:paraId="45E77E80" w14:textId="77777777" w:rsidR="00000000" w:rsidRDefault="00405D16">
            <w:pPr>
              <w:spacing w:after="100"/>
              <w:rPr>
                <w:rFonts w:eastAsia="Times New Roman"/>
                <w:sz w:val="20"/>
                <w:szCs w:val="20"/>
              </w:rPr>
            </w:pPr>
          </w:p>
        </w:tc>
        <w:tc>
          <w:tcPr>
            <w:tcW w:w="420" w:type="pct"/>
            <w:vAlign w:val="center"/>
            <w:hideMark/>
          </w:tcPr>
          <w:p w14:paraId="5CECCE56" w14:textId="77777777" w:rsidR="00000000" w:rsidRDefault="00405D16">
            <w:pPr>
              <w:spacing w:after="100"/>
              <w:rPr>
                <w:rFonts w:eastAsia="Times New Roman"/>
                <w:sz w:val="20"/>
                <w:szCs w:val="20"/>
              </w:rPr>
            </w:pPr>
          </w:p>
        </w:tc>
        <w:tc>
          <w:tcPr>
            <w:tcW w:w="5" w:type="pct"/>
            <w:vAlign w:val="center"/>
            <w:hideMark/>
          </w:tcPr>
          <w:p w14:paraId="03B4B148" w14:textId="77777777" w:rsidR="00000000" w:rsidRDefault="00405D16">
            <w:pPr>
              <w:spacing w:after="100"/>
              <w:rPr>
                <w:rFonts w:eastAsia="Times New Roman"/>
                <w:sz w:val="20"/>
                <w:szCs w:val="20"/>
              </w:rPr>
            </w:pPr>
          </w:p>
        </w:tc>
        <w:tc>
          <w:tcPr>
            <w:tcW w:w="0" w:type="auto"/>
            <w:vAlign w:val="center"/>
            <w:hideMark/>
          </w:tcPr>
          <w:p w14:paraId="4601CA2F" w14:textId="77777777" w:rsidR="00000000" w:rsidRDefault="00405D16">
            <w:pPr>
              <w:spacing w:after="100"/>
              <w:rPr>
                <w:rFonts w:eastAsia="Times New Roman"/>
                <w:sz w:val="20"/>
                <w:szCs w:val="20"/>
              </w:rPr>
            </w:pPr>
          </w:p>
        </w:tc>
        <w:tc>
          <w:tcPr>
            <w:tcW w:w="0" w:type="auto"/>
            <w:vAlign w:val="center"/>
            <w:hideMark/>
          </w:tcPr>
          <w:p w14:paraId="4DB63B4D" w14:textId="77777777" w:rsidR="00000000" w:rsidRDefault="00405D16">
            <w:pPr>
              <w:spacing w:after="100"/>
              <w:rPr>
                <w:rFonts w:eastAsia="Times New Roman"/>
                <w:sz w:val="20"/>
                <w:szCs w:val="20"/>
              </w:rPr>
            </w:pPr>
          </w:p>
        </w:tc>
        <w:tc>
          <w:tcPr>
            <w:tcW w:w="5" w:type="pct"/>
            <w:vAlign w:val="center"/>
            <w:hideMark/>
          </w:tcPr>
          <w:p w14:paraId="630DC4B9" w14:textId="77777777" w:rsidR="00000000" w:rsidRDefault="00405D16">
            <w:pPr>
              <w:spacing w:after="100"/>
              <w:rPr>
                <w:rFonts w:eastAsia="Times New Roman"/>
                <w:sz w:val="20"/>
                <w:szCs w:val="20"/>
              </w:rPr>
            </w:pPr>
          </w:p>
        </w:tc>
        <w:tc>
          <w:tcPr>
            <w:tcW w:w="26" w:type="pct"/>
            <w:vAlign w:val="center"/>
            <w:hideMark/>
          </w:tcPr>
          <w:p w14:paraId="2240DF8D" w14:textId="77777777" w:rsidR="00000000" w:rsidRDefault="00405D16">
            <w:pPr>
              <w:spacing w:after="100"/>
              <w:rPr>
                <w:rFonts w:eastAsia="Times New Roman"/>
                <w:sz w:val="20"/>
                <w:szCs w:val="20"/>
              </w:rPr>
            </w:pPr>
          </w:p>
        </w:tc>
        <w:tc>
          <w:tcPr>
            <w:tcW w:w="5" w:type="pct"/>
            <w:vAlign w:val="center"/>
            <w:hideMark/>
          </w:tcPr>
          <w:p w14:paraId="2DCCDEBE" w14:textId="77777777" w:rsidR="00000000" w:rsidRDefault="00405D16">
            <w:pPr>
              <w:spacing w:after="100"/>
              <w:rPr>
                <w:rFonts w:eastAsia="Times New Roman"/>
                <w:sz w:val="20"/>
                <w:szCs w:val="20"/>
              </w:rPr>
            </w:pPr>
          </w:p>
        </w:tc>
        <w:tc>
          <w:tcPr>
            <w:tcW w:w="50" w:type="pct"/>
            <w:vAlign w:val="center"/>
            <w:hideMark/>
          </w:tcPr>
          <w:p w14:paraId="2789F38B" w14:textId="77777777" w:rsidR="00000000" w:rsidRDefault="00405D16">
            <w:pPr>
              <w:spacing w:after="100"/>
              <w:rPr>
                <w:rFonts w:eastAsia="Times New Roman"/>
                <w:sz w:val="20"/>
                <w:szCs w:val="20"/>
              </w:rPr>
            </w:pPr>
          </w:p>
        </w:tc>
        <w:tc>
          <w:tcPr>
            <w:tcW w:w="420" w:type="pct"/>
            <w:vAlign w:val="center"/>
            <w:hideMark/>
          </w:tcPr>
          <w:p w14:paraId="7250F123" w14:textId="77777777" w:rsidR="00000000" w:rsidRDefault="00405D16">
            <w:pPr>
              <w:spacing w:after="100"/>
              <w:rPr>
                <w:rFonts w:eastAsia="Times New Roman"/>
                <w:sz w:val="20"/>
                <w:szCs w:val="20"/>
              </w:rPr>
            </w:pPr>
          </w:p>
        </w:tc>
        <w:tc>
          <w:tcPr>
            <w:tcW w:w="5" w:type="pct"/>
            <w:vAlign w:val="center"/>
            <w:hideMark/>
          </w:tcPr>
          <w:p w14:paraId="263FBD28" w14:textId="77777777" w:rsidR="00000000" w:rsidRDefault="00405D16">
            <w:pPr>
              <w:spacing w:after="100"/>
              <w:rPr>
                <w:rFonts w:eastAsia="Times New Roman"/>
                <w:sz w:val="20"/>
                <w:szCs w:val="20"/>
              </w:rPr>
            </w:pPr>
          </w:p>
        </w:tc>
        <w:tc>
          <w:tcPr>
            <w:tcW w:w="0" w:type="auto"/>
            <w:gridSpan w:val="3"/>
            <w:vAlign w:val="center"/>
            <w:hideMark/>
          </w:tcPr>
          <w:p w14:paraId="764881AB" w14:textId="77777777" w:rsidR="00000000" w:rsidRDefault="00405D16">
            <w:pPr>
              <w:spacing w:after="100"/>
              <w:rPr>
                <w:rFonts w:eastAsia="Times New Roman"/>
                <w:sz w:val="20"/>
                <w:szCs w:val="20"/>
              </w:rPr>
            </w:pPr>
          </w:p>
        </w:tc>
        <w:tc>
          <w:tcPr>
            <w:tcW w:w="0" w:type="auto"/>
            <w:gridSpan w:val="3"/>
            <w:vAlign w:val="center"/>
            <w:hideMark/>
          </w:tcPr>
          <w:p w14:paraId="56A36AAA" w14:textId="77777777" w:rsidR="00000000" w:rsidRDefault="00405D16">
            <w:pPr>
              <w:spacing w:after="100"/>
              <w:rPr>
                <w:rFonts w:eastAsia="Times New Roman"/>
                <w:sz w:val="20"/>
                <w:szCs w:val="20"/>
              </w:rPr>
            </w:pPr>
          </w:p>
        </w:tc>
      </w:tr>
      <w:tr w:rsidR="00000000" w14:paraId="2FD32FBE" w14:textId="77777777">
        <w:trPr>
          <w:divId w:val="1807164682"/>
        </w:trPr>
        <w:tc>
          <w:tcPr>
            <w:tcW w:w="0" w:type="auto"/>
            <w:gridSpan w:val="3"/>
            <w:tcMar>
              <w:top w:w="30" w:type="dxa"/>
              <w:left w:w="245" w:type="dxa"/>
              <w:bottom w:w="30" w:type="dxa"/>
              <w:right w:w="20" w:type="dxa"/>
            </w:tcMar>
            <w:vAlign w:val="bottom"/>
            <w:hideMark/>
          </w:tcPr>
          <w:p w14:paraId="6D2DFB01" w14:textId="77777777" w:rsidR="00000000" w:rsidRDefault="00405D16">
            <w:pPr>
              <w:spacing w:after="100"/>
              <w:rPr>
                <w:rFonts w:eastAsia="Times New Roman"/>
              </w:rPr>
            </w:pPr>
            <w:r>
              <w:rPr>
                <w:rFonts w:eastAsia="Times New Roman"/>
                <w:color w:val="000000"/>
                <w:sz w:val="14"/>
                <w:szCs w:val="14"/>
              </w:rPr>
              <w:t> </w:t>
            </w:r>
          </w:p>
        </w:tc>
        <w:tc>
          <w:tcPr>
            <w:tcW w:w="0" w:type="auto"/>
            <w:gridSpan w:val="3"/>
            <w:tcMar>
              <w:top w:w="0" w:type="dxa"/>
              <w:left w:w="20" w:type="dxa"/>
              <w:bottom w:w="0" w:type="dxa"/>
              <w:right w:w="20" w:type="dxa"/>
            </w:tcMar>
            <w:vAlign w:val="center"/>
            <w:hideMark/>
          </w:tcPr>
          <w:p w14:paraId="18035784" w14:textId="77777777" w:rsidR="00000000" w:rsidRDefault="00405D16">
            <w:pPr>
              <w:spacing w:after="100"/>
              <w:rPr>
                <w:rFonts w:eastAsia="Times New Roman"/>
              </w:rPr>
            </w:pPr>
          </w:p>
        </w:tc>
        <w:tc>
          <w:tcPr>
            <w:tcW w:w="0" w:type="auto"/>
            <w:gridSpan w:val="15"/>
            <w:tcMar>
              <w:top w:w="30" w:type="dxa"/>
              <w:left w:w="20" w:type="dxa"/>
              <w:bottom w:w="30" w:type="dxa"/>
              <w:right w:w="20" w:type="dxa"/>
            </w:tcMar>
            <w:vAlign w:val="bottom"/>
            <w:hideMark/>
          </w:tcPr>
          <w:p w14:paraId="53412A0F" w14:textId="77777777" w:rsidR="00000000" w:rsidRDefault="00405D16">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05F769C1" w14:textId="77777777" w:rsidR="00000000" w:rsidRDefault="00405D16">
            <w:pPr>
              <w:spacing w:after="100"/>
              <w:jc w:val="center"/>
              <w:rPr>
                <w:rFonts w:eastAsia="Times New Roman"/>
              </w:rPr>
            </w:pPr>
          </w:p>
        </w:tc>
        <w:tc>
          <w:tcPr>
            <w:tcW w:w="0" w:type="auto"/>
            <w:gridSpan w:val="11"/>
            <w:tcMar>
              <w:top w:w="30" w:type="dxa"/>
              <w:left w:w="20" w:type="dxa"/>
              <w:bottom w:w="30" w:type="dxa"/>
              <w:right w:w="20" w:type="dxa"/>
            </w:tcMar>
            <w:vAlign w:val="bottom"/>
            <w:hideMark/>
          </w:tcPr>
          <w:p w14:paraId="7FA0BE97" w14:textId="77777777" w:rsidR="00000000" w:rsidRDefault="00405D16">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54BCB0DF" w14:textId="77777777" w:rsidR="00000000" w:rsidRDefault="00405D16">
            <w:pPr>
              <w:spacing w:after="100"/>
              <w:rPr>
                <w:rFonts w:eastAsia="Times New Roman"/>
                <w:sz w:val="20"/>
                <w:szCs w:val="20"/>
              </w:rPr>
            </w:pPr>
          </w:p>
        </w:tc>
        <w:tc>
          <w:tcPr>
            <w:tcW w:w="0" w:type="auto"/>
            <w:vAlign w:val="center"/>
            <w:hideMark/>
          </w:tcPr>
          <w:p w14:paraId="65DA4B54" w14:textId="77777777" w:rsidR="00000000" w:rsidRDefault="00405D16">
            <w:pPr>
              <w:spacing w:after="100"/>
              <w:rPr>
                <w:rFonts w:eastAsia="Times New Roman"/>
                <w:sz w:val="20"/>
                <w:szCs w:val="20"/>
              </w:rPr>
            </w:pPr>
          </w:p>
        </w:tc>
        <w:tc>
          <w:tcPr>
            <w:tcW w:w="0" w:type="auto"/>
            <w:vAlign w:val="center"/>
            <w:hideMark/>
          </w:tcPr>
          <w:p w14:paraId="0288BA13" w14:textId="77777777" w:rsidR="00000000" w:rsidRDefault="00405D16">
            <w:pPr>
              <w:spacing w:after="100"/>
              <w:rPr>
                <w:rFonts w:eastAsia="Times New Roman"/>
                <w:sz w:val="20"/>
                <w:szCs w:val="20"/>
              </w:rPr>
            </w:pPr>
          </w:p>
        </w:tc>
        <w:tc>
          <w:tcPr>
            <w:tcW w:w="0" w:type="auto"/>
            <w:vAlign w:val="center"/>
            <w:hideMark/>
          </w:tcPr>
          <w:p w14:paraId="5257153C" w14:textId="77777777" w:rsidR="00000000" w:rsidRDefault="00405D16">
            <w:pPr>
              <w:spacing w:after="100"/>
              <w:rPr>
                <w:rFonts w:eastAsia="Times New Roman"/>
                <w:sz w:val="20"/>
                <w:szCs w:val="20"/>
              </w:rPr>
            </w:pPr>
          </w:p>
        </w:tc>
        <w:tc>
          <w:tcPr>
            <w:tcW w:w="0" w:type="auto"/>
            <w:vAlign w:val="center"/>
            <w:hideMark/>
          </w:tcPr>
          <w:p w14:paraId="71D690B0" w14:textId="77777777" w:rsidR="00000000" w:rsidRDefault="00405D16">
            <w:pPr>
              <w:spacing w:after="100"/>
              <w:rPr>
                <w:rFonts w:eastAsia="Times New Roman"/>
                <w:sz w:val="20"/>
                <w:szCs w:val="20"/>
              </w:rPr>
            </w:pPr>
          </w:p>
        </w:tc>
        <w:tc>
          <w:tcPr>
            <w:tcW w:w="0" w:type="auto"/>
            <w:vAlign w:val="center"/>
            <w:hideMark/>
          </w:tcPr>
          <w:p w14:paraId="4F79A460" w14:textId="77777777" w:rsidR="00000000" w:rsidRDefault="00405D16">
            <w:pPr>
              <w:spacing w:after="100"/>
              <w:rPr>
                <w:rFonts w:eastAsia="Times New Roman"/>
                <w:sz w:val="20"/>
                <w:szCs w:val="20"/>
              </w:rPr>
            </w:pPr>
          </w:p>
        </w:tc>
        <w:tc>
          <w:tcPr>
            <w:tcW w:w="0" w:type="auto"/>
            <w:vAlign w:val="center"/>
            <w:hideMark/>
          </w:tcPr>
          <w:p w14:paraId="08A3DB35" w14:textId="77777777" w:rsidR="00000000" w:rsidRDefault="00405D16">
            <w:pPr>
              <w:spacing w:after="100"/>
              <w:rPr>
                <w:rFonts w:eastAsia="Times New Roman"/>
                <w:sz w:val="20"/>
                <w:szCs w:val="20"/>
              </w:rPr>
            </w:pPr>
          </w:p>
        </w:tc>
        <w:tc>
          <w:tcPr>
            <w:tcW w:w="0" w:type="auto"/>
            <w:vAlign w:val="center"/>
            <w:hideMark/>
          </w:tcPr>
          <w:p w14:paraId="111D3C0D" w14:textId="77777777" w:rsidR="00000000" w:rsidRDefault="00405D16">
            <w:pPr>
              <w:spacing w:after="100"/>
              <w:rPr>
                <w:rFonts w:eastAsia="Times New Roman"/>
                <w:sz w:val="20"/>
                <w:szCs w:val="20"/>
              </w:rPr>
            </w:pPr>
          </w:p>
        </w:tc>
        <w:tc>
          <w:tcPr>
            <w:tcW w:w="0" w:type="auto"/>
            <w:vAlign w:val="center"/>
            <w:hideMark/>
          </w:tcPr>
          <w:p w14:paraId="29957041" w14:textId="77777777" w:rsidR="00000000" w:rsidRDefault="00405D16">
            <w:pPr>
              <w:spacing w:after="100"/>
              <w:rPr>
                <w:rFonts w:eastAsia="Times New Roman"/>
                <w:sz w:val="20"/>
                <w:szCs w:val="20"/>
              </w:rPr>
            </w:pPr>
          </w:p>
        </w:tc>
        <w:tc>
          <w:tcPr>
            <w:tcW w:w="0" w:type="auto"/>
            <w:vAlign w:val="center"/>
            <w:hideMark/>
          </w:tcPr>
          <w:p w14:paraId="6500238F" w14:textId="77777777" w:rsidR="00000000" w:rsidRDefault="00405D16">
            <w:pPr>
              <w:spacing w:after="100"/>
              <w:rPr>
                <w:rFonts w:eastAsia="Times New Roman"/>
                <w:sz w:val="20"/>
                <w:szCs w:val="20"/>
              </w:rPr>
            </w:pPr>
          </w:p>
        </w:tc>
        <w:tc>
          <w:tcPr>
            <w:tcW w:w="0" w:type="auto"/>
            <w:vAlign w:val="center"/>
            <w:hideMark/>
          </w:tcPr>
          <w:p w14:paraId="51611CC2" w14:textId="77777777" w:rsidR="00000000" w:rsidRDefault="00405D16">
            <w:pPr>
              <w:spacing w:after="100"/>
              <w:rPr>
                <w:rFonts w:eastAsia="Times New Roman"/>
                <w:sz w:val="20"/>
                <w:szCs w:val="20"/>
              </w:rPr>
            </w:pPr>
          </w:p>
        </w:tc>
        <w:tc>
          <w:tcPr>
            <w:tcW w:w="0" w:type="auto"/>
            <w:vAlign w:val="center"/>
            <w:hideMark/>
          </w:tcPr>
          <w:p w14:paraId="15992954" w14:textId="77777777" w:rsidR="00000000" w:rsidRDefault="00405D16">
            <w:pPr>
              <w:spacing w:after="100"/>
              <w:rPr>
                <w:rFonts w:eastAsia="Times New Roman"/>
                <w:sz w:val="20"/>
                <w:szCs w:val="20"/>
              </w:rPr>
            </w:pPr>
          </w:p>
        </w:tc>
      </w:tr>
      <w:tr w:rsidR="00000000" w14:paraId="4971003E" w14:textId="77777777">
        <w:trPr>
          <w:divId w:val="1807164682"/>
        </w:trPr>
        <w:tc>
          <w:tcPr>
            <w:tcW w:w="0" w:type="auto"/>
            <w:gridSpan w:val="3"/>
            <w:tcMar>
              <w:top w:w="30" w:type="dxa"/>
              <w:left w:w="20" w:type="dxa"/>
              <w:bottom w:w="30" w:type="dxa"/>
              <w:right w:w="20" w:type="dxa"/>
            </w:tcMar>
            <w:vAlign w:val="bottom"/>
            <w:hideMark/>
          </w:tcPr>
          <w:p w14:paraId="53DB56A7" w14:textId="77777777" w:rsidR="00000000" w:rsidRDefault="00405D16">
            <w:pPr>
              <w:spacing w:after="100"/>
              <w:rPr>
                <w:rFonts w:eastAsia="Times New Roman"/>
              </w:rPr>
            </w:pPr>
            <w:r>
              <w:rPr>
                <w:rFonts w:eastAsia="Times New Roman"/>
                <w:i/>
                <w:iCs/>
                <w:color w:val="000000"/>
                <w:sz w:val="16"/>
                <w:szCs w:val="16"/>
              </w:rPr>
              <w:t>(Dollars in millions, except as noted)</w:t>
            </w:r>
          </w:p>
        </w:tc>
        <w:tc>
          <w:tcPr>
            <w:tcW w:w="0" w:type="auto"/>
            <w:gridSpan w:val="3"/>
            <w:tcMar>
              <w:top w:w="0" w:type="dxa"/>
              <w:left w:w="20" w:type="dxa"/>
              <w:bottom w:w="0" w:type="dxa"/>
              <w:right w:w="20" w:type="dxa"/>
            </w:tcMar>
            <w:vAlign w:val="center"/>
            <w:hideMark/>
          </w:tcPr>
          <w:p w14:paraId="20981B36"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658B898"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14AE47C2"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D039B37"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0E668099"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D602B8D" w14:textId="77777777" w:rsidR="00000000" w:rsidRDefault="00405D16">
            <w:pPr>
              <w:spacing w:after="100"/>
              <w:jc w:val="center"/>
              <w:rPr>
                <w:rFonts w:eastAsia="Times New Roman"/>
              </w:rPr>
            </w:pPr>
            <w:r>
              <w:rPr>
                <w:rFonts w:eastAsia="Times New Roman"/>
                <w:b/>
                <w:bCs/>
                <w:color w:val="000000"/>
                <w:sz w:val="16"/>
                <w:szCs w:val="16"/>
              </w:rPr>
              <w:t>Change</w:t>
            </w:r>
          </w:p>
        </w:tc>
        <w:tc>
          <w:tcPr>
            <w:tcW w:w="0" w:type="auto"/>
            <w:gridSpan w:val="3"/>
            <w:tcMar>
              <w:top w:w="0" w:type="dxa"/>
              <w:left w:w="20" w:type="dxa"/>
              <w:bottom w:w="0" w:type="dxa"/>
              <w:right w:w="20" w:type="dxa"/>
            </w:tcMar>
            <w:vAlign w:val="center"/>
            <w:hideMark/>
          </w:tcPr>
          <w:p w14:paraId="3D737C04"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2697D59"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73FA7547"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A721C9A"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vAlign w:val="center"/>
            <w:hideMark/>
          </w:tcPr>
          <w:p w14:paraId="36C02ADE" w14:textId="77777777" w:rsidR="00000000" w:rsidRDefault="00405D16">
            <w:pPr>
              <w:spacing w:after="100"/>
              <w:jc w:val="center"/>
              <w:rPr>
                <w:rFonts w:eastAsia="Times New Roman"/>
              </w:rPr>
            </w:pPr>
          </w:p>
        </w:tc>
        <w:tc>
          <w:tcPr>
            <w:tcW w:w="0" w:type="auto"/>
            <w:vAlign w:val="center"/>
            <w:hideMark/>
          </w:tcPr>
          <w:p w14:paraId="05396836"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65F7FC4"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8B532C2" w14:textId="77777777" w:rsidR="00000000" w:rsidRDefault="00405D16">
            <w:pPr>
              <w:spacing w:after="100"/>
              <w:jc w:val="center"/>
              <w:rPr>
                <w:rFonts w:eastAsia="Times New Roman"/>
              </w:rPr>
            </w:pPr>
            <w:r>
              <w:rPr>
                <w:rFonts w:eastAsia="Times New Roman"/>
                <w:b/>
                <w:bCs/>
                <w:color w:val="000000"/>
                <w:sz w:val="16"/>
                <w:szCs w:val="16"/>
              </w:rPr>
              <w:t>Change</w:t>
            </w:r>
          </w:p>
        </w:tc>
        <w:tc>
          <w:tcPr>
            <w:tcW w:w="0" w:type="auto"/>
            <w:gridSpan w:val="3"/>
            <w:vAlign w:val="center"/>
            <w:hideMark/>
          </w:tcPr>
          <w:p w14:paraId="7A690AEC" w14:textId="77777777" w:rsidR="00000000" w:rsidRDefault="00405D16">
            <w:pPr>
              <w:spacing w:after="100"/>
              <w:jc w:val="center"/>
              <w:rPr>
                <w:rFonts w:eastAsia="Times New Roman"/>
              </w:rPr>
            </w:pPr>
          </w:p>
        </w:tc>
        <w:tc>
          <w:tcPr>
            <w:tcW w:w="0" w:type="auto"/>
            <w:gridSpan w:val="3"/>
            <w:vAlign w:val="center"/>
            <w:hideMark/>
          </w:tcPr>
          <w:p w14:paraId="2AD506C2" w14:textId="77777777" w:rsidR="00000000" w:rsidRDefault="00405D16">
            <w:pPr>
              <w:spacing w:after="100"/>
              <w:rPr>
                <w:rFonts w:eastAsia="Times New Roman"/>
                <w:sz w:val="20"/>
                <w:szCs w:val="20"/>
              </w:rPr>
            </w:pPr>
          </w:p>
        </w:tc>
      </w:tr>
      <w:tr w:rsidR="00000000" w14:paraId="2E0DB8B6" w14:textId="77777777">
        <w:trPr>
          <w:divId w:val="180716468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F23141B" w14:textId="77777777" w:rsidR="00000000" w:rsidRDefault="00405D16">
            <w:pPr>
              <w:spacing w:after="100"/>
              <w:rPr>
                <w:rFonts w:eastAsia="Times New Roman"/>
              </w:rPr>
            </w:pPr>
            <w:r>
              <w:rPr>
                <w:rFonts w:eastAsia="Times New Roman"/>
                <w:b/>
                <w:bCs/>
                <w:color w:val="000000"/>
                <w:sz w:val="18"/>
                <w:szCs w:val="18"/>
              </w:rPr>
              <w:t>Selected income statement data:</w:t>
            </w:r>
          </w:p>
        </w:tc>
        <w:tc>
          <w:tcPr>
            <w:tcW w:w="0" w:type="auto"/>
            <w:gridSpan w:val="3"/>
            <w:shd w:val="clear" w:color="auto" w:fill="CCEEFF"/>
            <w:tcMar>
              <w:top w:w="0" w:type="dxa"/>
              <w:left w:w="20" w:type="dxa"/>
              <w:bottom w:w="0" w:type="dxa"/>
              <w:right w:w="20" w:type="dxa"/>
            </w:tcMar>
            <w:vAlign w:val="center"/>
            <w:hideMark/>
          </w:tcPr>
          <w:p w14:paraId="4FC71185"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2F8009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3C9D6B"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36FDA8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203468"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F8743E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442797"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8AFBAA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994B21"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BE3E104" w14:textId="77777777" w:rsidR="00000000" w:rsidRDefault="00405D16">
            <w:pPr>
              <w:spacing w:after="100"/>
              <w:rPr>
                <w:rFonts w:eastAsia="Times New Roman"/>
                <w:sz w:val="20"/>
                <w:szCs w:val="20"/>
              </w:rPr>
            </w:pPr>
          </w:p>
        </w:tc>
        <w:tc>
          <w:tcPr>
            <w:tcW w:w="0" w:type="auto"/>
            <w:vAlign w:val="center"/>
            <w:hideMark/>
          </w:tcPr>
          <w:p w14:paraId="003C40DB" w14:textId="77777777" w:rsidR="00000000" w:rsidRDefault="00405D16">
            <w:pPr>
              <w:spacing w:after="100"/>
              <w:rPr>
                <w:rFonts w:eastAsia="Times New Roman"/>
                <w:sz w:val="20"/>
                <w:szCs w:val="20"/>
              </w:rPr>
            </w:pPr>
          </w:p>
        </w:tc>
        <w:tc>
          <w:tcPr>
            <w:tcW w:w="0" w:type="auto"/>
            <w:vAlign w:val="center"/>
            <w:hideMark/>
          </w:tcPr>
          <w:p w14:paraId="2290C25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7C409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7C71044" w14:textId="77777777" w:rsidR="00000000" w:rsidRDefault="00405D16">
            <w:pPr>
              <w:spacing w:after="100"/>
              <w:rPr>
                <w:rFonts w:eastAsia="Times New Roman"/>
                <w:sz w:val="20"/>
                <w:szCs w:val="20"/>
              </w:rPr>
            </w:pPr>
          </w:p>
        </w:tc>
        <w:tc>
          <w:tcPr>
            <w:tcW w:w="0" w:type="auto"/>
            <w:gridSpan w:val="3"/>
            <w:vAlign w:val="center"/>
            <w:hideMark/>
          </w:tcPr>
          <w:p w14:paraId="7AC7BCA4" w14:textId="77777777" w:rsidR="00000000" w:rsidRDefault="00405D16">
            <w:pPr>
              <w:spacing w:after="100"/>
              <w:rPr>
                <w:rFonts w:eastAsia="Times New Roman"/>
                <w:sz w:val="20"/>
                <w:szCs w:val="20"/>
              </w:rPr>
            </w:pPr>
          </w:p>
        </w:tc>
        <w:tc>
          <w:tcPr>
            <w:tcW w:w="0" w:type="auto"/>
            <w:gridSpan w:val="3"/>
            <w:vAlign w:val="center"/>
            <w:hideMark/>
          </w:tcPr>
          <w:p w14:paraId="5B9CEBC5" w14:textId="77777777" w:rsidR="00000000" w:rsidRDefault="00405D16">
            <w:pPr>
              <w:spacing w:after="100"/>
              <w:rPr>
                <w:rFonts w:eastAsia="Times New Roman"/>
                <w:sz w:val="20"/>
                <w:szCs w:val="20"/>
              </w:rPr>
            </w:pPr>
          </w:p>
        </w:tc>
      </w:tr>
      <w:tr w:rsidR="00000000" w14:paraId="7A54EBD6" w14:textId="77777777">
        <w:trPr>
          <w:divId w:val="1807164682"/>
        </w:trPr>
        <w:tc>
          <w:tcPr>
            <w:tcW w:w="0" w:type="auto"/>
            <w:gridSpan w:val="3"/>
            <w:shd w:val="clear" w:color="auto" w:fill="FFFFFF"/>
            <w:tcMar>
              <w:top w:w="30" w:type="dxa"/>
              <w:left w:w="20" w:type="dxa"/>
              <w:bottom w:w="30" w:type="dxa"/>
              <w:right w:w="20" w:type="dxa"/>
            </w:tcMar>
            <w:vAlign w:val="center"/>
            <w:hideMark/>
          </w:tcPr>
          <w:p w14:paraId="5F73F748" w14:textId="77777777" w:rsidR="00000000" w:rsidRDefault="00405D16">
            <w:pPr>
              <w:spacing w:after="100"/>
              <w:rPr>
                <w:rFonts w:eastAsia="Times New Roman"/>
              </w:rPr>
            </w:pPr>
            <w:r>
              <w:rPr>
                <w:rFonts w:eastAsia="Times New Roman"/>
                <w:color w:val="000000"/>
                <w:sz w:val="18"/>
                <w:szCs w:val="18"/>
              </w:rPr>
              <w:t>Net interest income</w:t>
            </w:r>
          </w:p>
        </w:tc>
        <w:tc>
          <w:tcPr>
            <w:tcW w:w="0" w:type="auto"/>
            <w:gridSpan w:val="3"/>
            <w:shd w:val="clear" w:color="auto" w:fill="FFFFFF"/>
            <w:tcMar>
              <w:top w:w="0" w:type="dxa"/>
              <w:left w:w="20" w:type="dxa"/>
              <w:bottom w:w="0" w:type="dxa"/>
              <w:right w:w="20" w:type="dxa"/>
            </w:tcMar>
            <w:vAlign w:val="center"/>
            <w:hideMark/>
          </w:tcPr>
          <w:p w14:paraId="7EE264D6"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4E436438"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0A68A990" w14:textId="77777777" w:rsidR="00000000" w:rsidRDefault="00405D16">
            <w:pPr>
              <w:spacing w:after="100"/>
              <w:jc w:val="right"/>
              <w:rPr>
                <w:rFonts w:eastAsia="Times New Roman"/>
              </w:rPr>
            </w:pPr>
            <w:r>
              <w:rPr>
                <w:rFonts w:eastAsia="Times New Roman"/>
                <w:b/>
                <w:bCs/>
                <w:color w:val="000000"/>
                <w:sz w:val="18"/>
                <w:szCs w:val="18"/>
              </w:rPr>
              <w:t>2,159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C3DBE6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BE14AA"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22B8DDA"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0BEDEB12" w14:textId="77777777" w:rsidR="00000000" w:rsidRDefault="00405D16">
            <w:pPr>
              <w:spacing w:after="100"/>
              <w:jc w:val="right"/>
              <w:rPr>
                <w:rFonts w:eastAsia="Times New Roman"/>
              </w:rPr>
            </w:pPr>
            <w:r>
              <w:rPr>
                <w:rFonts w:eastAsia="Times New Roman"/>
                <w:color w:val="000000"/>
                <w:sz w:val="18"/>
                <w:szCs w:val="18"/>
              </w:rPr>
              <w:t>1,904 </w:t>
            </w:r>
          </w:p>
        </w:tc>
        <w:tc>
          <w:tcPr>
            <w:tcW w:w="0" w:type="auto"/>
            <w:shd w:val="clear" w:color="auto" w:fill="FFFFFF"/>
            <w:tcMar>
              <w:top w:w="30" w:type="dxa"/>
              <w:left w:w="0" w:type="dxa"/>
              <w:bottom w:w="30" w:type="dxa"/>
              <w:right w:w="20" w:type="dxa"/>
            </w:tcMar>
            <w:vAlign w:val="center"/>
            <w:hideMark/>
          </w:tcPr>
          <w:p w14:paraId="415FC33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D0FF3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9DC43A4" w14:textId="77777777" w:rsidR="00000000" w:rsidRDefault="00405D16">
            <w:pPr>
              <w:spacing w:after="100"/>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center"/>
            <w:hideMark/>
          </w:tcPr>
          <w:p w14:paraId="321BAFD0"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B34921B" w14:textId="77777777" w:rsidR="00000000" w:rsidRDefault="00405D16">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5AD603F4"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5F628214" w14:textId="77777777" w:rsidR="00000000" w:rsidRDefault="00405D16">
            <w:pPr>
              <w:spacing w:after="100"/>
              <w:jc w:val="right"/>
              <w:rPr>
                <w:rFonts w:eastAsia="Times New Roman"/>
              </w:rPr>
            </w:pPr>
            <w:r>
              <w:rPr>
                <w:rFonts w:eastAsia="Times New Roman"/>
                <w:b/>
                <w:bCs/>
                <w:color w:val="000000"/>
                <w:sz w:val="18"/>
                <w:szCs w:val="18"/>
              </w:rPr>
              <w:t>6,290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1251C5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BC5492"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F055CA0"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4BBF3C11" w14:textId="77777777" w:rsidR="00000000" w:rsidRDefault="00405D16">
            <w:pPr>
              <w:spacing w:after="100"/>
              <w:jc w:val="right"/>
              <w:rPr>
                <w:rFonts w:eastAsia="Times New Roman"/>
              </w:rPr>
            </w:pPr>
            <w:r>
              <w:rPr>
                <w:rFonts w:eastAsia="Times New Roman"/>
                <w:color w:val="000000"/>
                <w:sz w:val="18"/>
                <w:szCs w:val="18"/>
              </w:rPr>
              <w:t>5,226 </w:t>
            </w:r>
          </w:p>
        </w:tc>
        <w:tc>
          <w:tcPr>
            <w:tcW w:w="0" w:type="auto"/>
            <w:shd w:val="clear" w:color="auto" w:fill="FFFFFF"/>
            <w:tcMar>
              <w:top w:w="30" w:type="dxa"/>
              <w:left w:w="0" w:type="dxa"/>
              <w:bottom w:w="30" w:type="dxa"/>
              <w:right w:w="20" w:type="dxa"/>
            </w:tcMar>
            <w:vAlign w:val="center"/>
            <w:hideMark/>
          </w:tcPr>
          <w:p w14:paraId="02703F22" w14:textId="77777777" w:rsidR="00000000" w:rsidRDefault="00405D16">
            <w:pPr>
              <w:spacing w:after="100"/>
              <w:jc w:val="right"/>
              <w:rPr>
                <w:rFonts w:eastAsia="Times New Roman"/>
              </w:rPr>
            </w:pPr>
          </w:p>
        </w:tc>
        <w:tc>
          <w:tcPr>
            <w:tcW w:w="0" w:type="auto"/>
            <w:vAlign w:val="center"/>
            <w:hideMark/>
          </w:tcPr>
          <w:p w14:paraId="27329E7F" w14:textId="77777777" w:rsidR="00000000" w:rsidRDefault="00405D16">
            <w:pPr>
              <w:spacing w:after="100"/>
              <w:jc w:val="right"/>
              <w:rPr>
                <w:rFonts w:eastAsia="Times New Roman"/>
                <w:sz w:val="20"/>
                <w:szCs w:val="20"/>
              </w:rPr>
            </w:pPr>
          </w:p>
        </w:tc>
        <w:tc>
          <w:tcPr>
            <w:tcW w:w="0" w:type="auto"/>
            <w:vAlign w:val="center"/>
            <w:hideMark/>
          </w:tcPr>
          <w:p w14:paraId="5BF728E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E8402B"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FF271D5" w14:textId="77777777" w:rsidR="00000000" w:rsidRDefault="00405D16">
            <w:pPr>
              <w:spacing w:after="100"/>
              <w:jc w:val="right"/>
              <w:rPr>
                <w:rFonts w:eastAsia="Times New Roman"/>
              </w:rPr>
            </w:pPr>
            <w:r>
              <w:rPr>
                <w:rFonts w:eastAsia="Times New Roman"/>
                <w:color w:val="000000"/>
                <w:sz w:val="18"/>
                <w:szCs w:val="18"/>
              </w:rPr>
              <w:t>20 </w:t>
            </w:r>
          </w:p>
        </w:tc>
        <w:tc>
          <w:tcPr>
            <w:tcW w:w="0" w:type="auto"/>
            <w:shd w:val="clear" w:color="auto" w:fill="FFFFFF"/>
            <w:tcMar>
              <w:top w:w="30" w:type="dxa"/>
              <w:left w:w="0" w:type="dxa"/>
              <w:bottom w:w="30" w:type="dxa"/>
              <w:right w:w="20" w:type="dxa"/>
            </w:tcMar>
            <w:vAlign w:val="center"/>
            <w:hideMark/>
          </w:tcPr>
          <w:p w14:paraId="4305EBC5"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5532B3EA" w14:textId="77777777" w:rsidR="00000000" w:rsidRDefault="00405D16">
            <w:pPr>
              <w:spacing w:after="100"/>
              <w:jc w:val="right"/>
              <w:rPr>
                <w:rFonts w:eastAsia="Times New Roman"/>
              </w:rPr>
            </w:pPr>
          </w:p>
        </w:tc>
        <w:tc>
          <w:tcPr>
            <w:tcW w:w="0" w:type="auto"/>
            <w:gridSpan w:val="3"/>
            <w:vAlign w:val="center"/>
            <w:hideMark/>
          </w:tcPr>
          <w:p w14:paraId="152CFF90" w14:textId="77777777" w:rsidR="00000000" w:rsidRDefault="00405D16">
            <w:pPr>
              <w:spacing w:after="100"/>
              <w:rPr>
                <w:rFonts w:eastAsia="Times New Roman"/>
                <w:sz w:val="20"/>
                <w:szCs w:val="20"/>
              </w:rPr>
            </w:pPr>
          </w:p>
        </w:tc>
      </w:tr>
      <w:tr w:rsidR="00000000" w14:paraId="05E8BABF" w14:textId="77777777">
        <w:trPr>
          <w:divId w:val="1807164682"/>
        </w:trPr>
        <w:tc>
          <w:tcPr>
            <w:tcW w:w="0" w:type="auto"/>
            <w:gridSpan w:val="3"/>
            <w:shd w:val="clear" w:color="auto" w:fill="CCEEFF"/>
            <w:tcMar>
              <w:top w:w="30" w:type="dxa"/>
              <w:left w:w="20" w:type="dxa"/>
              <w:bottom w:w="30" w:type="dxa"/>
              <w:right w:w="20" w:type="dxa"/>
            </w:tcMar>
            <w:vAlign w:val="center"/>
            <w:hideMark/>
          </w:tcPr>
          <w:p w14:paraId="26E8573F" w14:textId="77777777" w:rsidR="00000000" w:rsidRDefault="00405D16">
            <w:pPr>
              <w:spacing w:after="100"/>
              <w:rPr>
                <w:rFonts w:eastAsia="Times New Roman"/>
              </w:rPr>
            </w:pPr>
            <w:r>
              <w:rPr>
                <w:rFonts w:eastAsia="Times New Roman"/>
                <w:color w:val="000000"/>
                <w:sz w:val="18"/>
                <w:szCs w:val="18"/>
              </w:rPr>
              <w:t>Non-interest income</w:t>
            </w:r>
          </w:p>
        </w:tc>
        <w:tc>
          <w:tcPr>
            <w:tcW w:w="0" w:type="auto"/>
            <w:gridSpan w:val="3"/>
            <w:shd w:val="clear" w:color="auto" w:fill="CCEEFF"/>
            <w:tcMar>
              <w:top w:w="0" w:type="dxa"/>
              <w:left w:w="20" w:type="dxa"/>
              <w:bottom w:w="0" w:type="dxa"/>
              <w:right w:w="20" w:type="dxa"/>
            </w:tcMar>
            <w:vAlign w:val="center"/>
            <w:hideMark/>
          </w:tcPr>
          <w:p w14:paraId="3A67D1F2"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BEE0462" w14:textId="77777777" w:rsidR="00000000" w:rsidRDefault="00405D16">
            <w:pPr>
              <w:spacing w:after="100"/>
              <w:jc w:val="right"/>
              <w:rPr>
                <w:rFonts w:eastAsia="Times New Roman"/>
              </w:rPr>
            </w:pPr>
            <w:r>
              <w:rPr>
                <w:rFonts w:eastAsia="Times New Roman"/>
                <w:b/>
                <w:bCs/>
                <w:color w:val="000000"/>
                <w:sz w:val="18"/>
                <w:szCs w:val="18"/>
              </w:rPr>
              <w:t>127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52B0AC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4952B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AF69822" w14:textId="77777777" w:rsidR="00000000" w:rsidRDefault="00405D16">
            <w:pPr>
              <w:spacing w:after="100"/>
              <w:jc w:val="right"/>
              <w:rPr>
                <w:rFonts w:eastAsia="Times New Roman"/>
              </w:rPr>
            </w:pPr>
            <w:r>
              <w:rPr>
                <w:rFonts w:eastAsia="Times New Roman"/>
                <w:color w:val="000000"/>
                <w:sz w:val="18"/>
                <w:szCs w:val="18"/>
              </w:rPr>
              <w:t>107 </w:t>
            </w:r>
          </w:p>
        </w:tc>
        <w:tc>
          <w:tcPr>
            <w:tcW w:w="0" w:type="auto"/>
            <w:shd w:val="clear" w:color="auto" w:fill="CCEEFF"/>
            <w:tcMar>
              <w:top w:w="30" w:type="dxa"/>
              <w:left w:w="0" w:type="dxa"/>
              <w:bottom w:w="30" w:type="dxa"/>
              <w:right w:w="20" w:type="dxa"/>
            </w:tcMar>
            <w:vAlign w:val="center"/>
            <w:hideMark/>
          </w:tcPr>
          <w:p w14:paraId="71373AE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DB6EA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3301809" w14:textId="77777777" w:rsidR="00000000" w:rsidRDefault="00405D16">
            <w:pPr>
              <w:spacing w:after="100"/>
              <w:jc w:val="right"/>
              <w:rPr>
                <w:rFonts w:eastAsia="Times New Roman"/>
              </w:rPr>
            </w:pPr>
            <w:r>
              <w:rPr>
                <w:rFonts w:eastAsia="Times New Roman"/>
                <w:color w:val="000000"/>
                <w:sz w:val="18"/>
                <w:szCs w:val="18"/>
              </w:rPr>
              <w:t>19 </w:t>
            </w:r>
          </w:p>
        </w:tc>
        <w:tc>
          <w:tcPr>
            <w:tcW w:w="0" w:type="auto"/>
            <w:shd w:val="clear" w:color="auto" w:fill="CCEEFF"/>
            <w:tcMar>
              <w:top w:w="30" w:type="dxa"/>
              <w:left w:w="0" w:type="dxa"/>
              <w:bottom w:w="30" w:type="dxa"/>
              <w:right w:w="20" w:type="dxa"/>
            </w:tcMar>
            <w:vAlign w:val="center"/>
            <w:hideMark/>
          </w:tcPr>
          <w:p w14:paraId="171713B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5C5CD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161E278" w14:textId="77777777" w:rsidR="00000000" w:rsidRDefault="00405D16">
            <w:pPr>
              <w:spacing w:after="100"/>
              <w:jc w:val="right"/>
              <w:rPr>
                <w:rFonts w:eastAsia="Times New Roman"/>
              </w:rPr>
            </w:pPr>
            <w:r>
              <w:rPr>
                <w:rFonts w:eastAsia="Times New Roman"/>
                <w:b/>
                <w:bCs/>
                <w:color w:val="000000"/>
                <w:sz w:val="18"/>
                <w:szCs w:val="18"/>
              </w:rPr>
              <w:t>412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339EAF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F6CEC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A66AC96" w14:textId="77777777" w:rsidR="00000000" w:rsidRDefault="00405D16">
            <w:pPr>
              <w:spacing w:after="100"/>
              <w:jc w:val="right"/>
              <w:rPr>
                <w:rFonts w:eastAsia="Times New Roman"/>
              </w:rPr>
            </w:pPr>
            <w:r>
              <w:rPr>
                <w:rFonts w:eastAsia="Times New Roman"/>
                <w:color w:val="000000"/>
                <w:sz w:val="18"/>
                <w:szCs w:val="18"/>
              </w:rPr>
              <w:t>330 </w:t>
            </w:r>
          </w:p>
        </w:tc>
        <w:tc>
          <w:tcPr>
            <w:tcW w:w="0" w:type="auto"/>
            <w:shd w:val="clear" w:color="auto" w:fill="CCEEFF"/>
            <w:tcMar>
              <w:top w:w="30" w:type="dxa"/>
              <w:left w:w="0" w:type="dxa"/>
              <w:bottom w:w="30" w:type="dxa"/>
              <w:right w:w="20" w:type="dxa"/>
            </w:tcMar>
            <w:vAlign w:val="center"/>
            <w:hideMark/>
          </w:tcPr>
          <w:p w14:paraId="5FF7D49A" w14:textId="77777777" w:rsidR="00000000" w:rsidRDefault="00405D16">
            <w:pPr>
              <w:spacing w:after="100"/>
              <w:jc w:val="right"/>
              <w:rPr>
                <w:rFonts w:eastAsia="Times New Roman"/>
              </w:rPr>
            </w:pPr>
          </w:p>
        </w:tc>
        <w:tc>
          <w:tcPr>
            <w:tcW w:w="0" w:type="auto"/>
            <w:vAlign w:val="center"/>
            <w:hideMark/>
          </w:tcPr>
          <w:p w14:paraId="41A3F72E" w14:textId="77777777" w:rsidR="00000000" w:rsidRDefault="00405D16">
            <w:pPr>
              <w:spacing w:after="100"/>
              <w:jc w:val="right"/>
              <w:rPr>
                <w:rFonts w:eastAsia="Times New Roman"/>
                <w:sz w:val="20"/>
                <w:szCs w:val="20"/>
              </w:rPr>
            </w:pPr>
          </w:p>
        </w:tc>
        <w:tc>
          <w:tcPr>
            <w:tcW w:w="0" w:type="auto"/>
            <w:vAlign w:val="center"/>
            <w:hideMark/>
          </w:tcPr>
          <w:p w14:paraId="4A4E746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D390D2"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5678B20" w14:textId="77777777" w:rsidR="00000000" w:rsidRDefault="00405D16">
            <w:pPr>
              <w:spacing w:after="100"/>
              <w:jc w:val="right"/>
              <w:rPr>
                <w:rFonts w:eastAsia="Times New Roman"/>
              </w:rPr>
            </w:pPr>
            <w:r>
              <w:rPr>
                <w:rFonts w:eastAsia="Times New Roman"/>
                <w:color w:val="000000"/>
                <w:sz w:val="18"/>
                <w:szCs w:val="18"/>
              </w:rPr>
              <w:t>25 </w:t>
            </w:r>
          </w:p>
        </w:tc>
        <w:tc>
          <w:tcPr>
            <w:tcW w:w="0" w:type="auto"/>
            <w:shd w:val="clear" w:color="auto" w:fill="CCEEFF"/>
            <w:tcMar>
              <w:top w:w="30" w:type="dxa"/>
              <w:left w:w="0" w:type="dxa"/>
              <w:bottom w:w="30" w:type="dxa"/>
              <w:right w:w="20" w:type="dxa"/>
            </w:tcMar>
            <w:vAlign w:val="center"/>
            <w:hideMark/>
          </w:tcPr>
          <w:p w14:paraId="0051255E" w14:textId="77777777" w:rsidR="00000000" w:rsidRDefault="00405D16">
            <w:pPr>
              <w:spacing w:after="100"/>
              <w:jc w:val="right"/>
              <w:rPr>
                <w:rFonts w:eastAsia="Times New Roman"/>
              </w:rPr>
            </w:pPr>
          </w:p>
        </w:tc>
        <w:tc>
          <w:tcPr>
            <w:tcW w:w="0" w:type="auto"/>
            <w:gridSpan w:val="3"/>
            <w:vAlign w:val="center"/>
            <w:hideMark/>
          </w:tcPr>
          <w:p w14:paraId="4413395A" w14:textId="77777777" w:rsidR="00000000" w:rsidRDefault="00405D16">
            <w:pPr>
              <w:spacing w:after="100"/>
              <w:jc w:val="right"/>
              <w:rPr>
                <w:rFonts w:eastAsia="Times New Roman"/>
                <w:sz w:val="20"/>
                <w:szCs w:val="20"/>
              </w:rPr>
            </w:pPr>
          </w:p>
        </w:tc>
        <w:tc>
          <w:tcPr>
            <w:tcW w:w="0" w:type="auto"/>
            <w:gridSpan w:val="3"/>
            <w:vAlign w:val="center"/>
            <w:hideMark/>
          </w:tcPr>
          <w:p w14:paraId="308C0000" w14:textId="77777777" w:rsidR="00000000" w:rsidRDefault="00405D16">
            <w:pPr>
              <w:spacing w:after="100"/>
              <w:rPr>
                <w:rFonts w:eastAsia="Times New Roman"/>
                <w:sz w:val="20"/>
                <w:szCs w:val="20"/>
              </w:rPr>
            </w:pPr>
          </w:p>
        </w:tc>
      </w:tr>
      <w:tr w:rsidR="00000000" w14:paraId="689A9E9D" w14:textId="77777777">
        <w:trPr>
          <w:divId w:val="1807164682"/>
        </w:trPr>
        <w:tc>
          <w:tcPr>
            <w:tcW w:w="0" w:type="auto"/>
            <w:gridSpan w:val="3"/>
            <w:shd w:val="clear" w:color="auto" w:fill="FFFFFF"/>
            <w:tcMar>
              <w:top w:w="30" w:type="dxa"/>
              <w:left w:w="20" w:type="dxa"/>
              <w:bottom w:w="30" w:type="dxa"/>
              <w:right w:w="20" w:type="dxa"/>
            </w:tcMar>
            <w:vAlign w:val="center"/>
            <w:hideMark/>
          </w:tcPr>
          <w:p w14:paraId="4C50F472" w14:textId="77777777" w:rsidR="00000000" w:rsidRDefault="00405D16">
            <w:pPr>
              <w:spacing w:after="100"/>
              <w:rPr>
                <w:rFonts w:eastAsia="Times New Roman"/>
              </w:rPr>
            </w:pPr>
            <w:r>
              <w:rPr>
                <w:rFonts w:eastAsia="Times New Roman"/>
                <w:color w:val="000000"/>
                <w:sz w:val="18"/>
                <w:szCs w:val="18"/>
              </w:rPr>
              <w:t>Total net revenue</w:t>
            </w:r>
          </w:p>
        </w:tc>
        <w:tc>
          <w:tcPr>
            <w:tcW w:w="0" w:type="auto"/>
            <w:gridSpan w:val="3"/>
            <w:shd w:val="clear" w:color="auto" w:fill="FFFFFF"/>
            <w:tcMar>
              <w:top w:w="0" w:type="dxa"/>
              <w:left w:w="20" w:type="dxa"/>
              <w:bottom w:w="0" w:type="dxa"/>
              <w:right w:w="20" w:type="dxa"/>
            </w:tcMar>
            <w:vAlign w:val="center"/>
            <w:hideMark/>
          </w:tcPr>
          <w:p w14:paraId="58BEA90E"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56870A7" w14:textId="77777777" w:rsidR="00000000" w:rsidRDefault="00405D16">
            <w:pPr>
              <w:spacing w:after="100"/>
              <w:jc w:val="right"/>
              <w:rPr>
                <w:rFonts w:eastAsia="Times New Roman"/>
              </w:rPr>
            </w:pPr>
            <w:r>
              <w:rPr>
                <w:rFonts w:eastAsia="Times New Roman"/>
                <w:b/>
                <w:bCs/>
                <w:color w:val="000000"/>
                <w:sz w:val="18"/>
                <w:szCs w:val="18"/>
              </w:rPr>
              <w:t>2,286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2B6861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430EE1"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A9E7E24" w14:textId="77777777" w:rsidR="00000000" w:rsidRDefault="00405D16">
            <w:pPr>
              <w:spacing w:after="100"/>
              <w:jc w:val="right"/>
              <w:rPr>
                <w:rFonts w:eastAsia="Times New Roman"/>
              </w:rPr>
            </w:pPr>
            <w:r>
              <w:rPr>
                <w:rFonts w:eastAsia="Times New Roman"/>
                <w:color w:val="000000"/>
                <w:sz w:val="18"/>
                <w:szCs w:val="18"/>
              </w:rPr>
              <w:t>2,011 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D5A11F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6FA68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D54E15C" w14:textId="77777777" w:rsidR="00000000" w:rsidRDefault="00405D16">
            <w:pPr>
              <w:spacing w:after="100"/>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center"/>
            <w:hideMark/>
          </w:tcPr>
          <w:p w14:paraId="4C566F7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FF41C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D8A9049" w14:textId="77777777" w:rsidR="00000000" w:rsidRDefault="00405D16">
            <w:pPr>
              <w:spacing w:after="100"/>
              <w:jc w:val="right"/>
              <w:rPr>
                <w:rFonts w:eastAsia="Times New Roman"/>
              </w:rPr>
            </w:pPr>
            <w:r>
              <w:rPr>
                <w:rFonts w:eastAsia="Times New Roman"/>
                <w:b/>
                <w:bCs/>
                <w:color w:val="000000"/>
                <w:sz w:val="18"/>
                <w:szCs w:val="18"/>
              </w:rPr>
              <w:t>6,702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7CE0E1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FEA24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1A5550A" w14:textId="77777777" w:rsidR="00000000" w:rsidRDefault="00405D16">
            <w:pPr>
              <w:spacing w:after="100"/>
              <w:jc w:val="right"/>
              <w:rPr>
                <w:rFonts w:eastAsia="Times New Roman"/>
              </w:rPr>
            </w:pPr>
            <w:r>
              <w:rPr>
                <w:rFonts w:eastAsia="Times New Roman"/>
                <w:color w:val="000000"/>
                <w:sz w:val="18"/>
                <w:szCs w:val="18"/>
              </w:rPr>
              <w:t>5,556 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EBC3E25" w14:textId="77777777" w:rsidR="00000000" w:rsidRDefault="00405D16">
            <w:pPr>
              <w:spacing w:after="100"/>
              <w:jc w:val="right"/>
              <w:rPr>
                <w:rFonts w:eastAsia="Times New Roman"/>
              </w:rPr>
            </w:pPr>
          </w:p>
        </w:tc>
        <w:tc>
          <w:tcPr>
            <w:tcW w:w="0" w:type="auto"/>
            <w:vAlign w:val="center"/>
            <w:hideMark/>
          </w:tcPr>
          <w:p w14:paraId="26A8DF4B" w14:textId="77777777" w:rsidR="00000000" w:rsidRDefault="00405D16">
            <w:pPr>
              <w:spacing w:after="100"/>
              <w:jc w:val="right"/>
              <w:rPr>
                <w:rFonts w:eastAsia="Times New Roman"/>
                <w:sz w:val="20"/>
                <w:szCs w:val="20"/>
              </w:rPr>
            </w:pPr>
          </w:p>
        </w:tc>
        <w:tc>
          <w:tcPr>
            <w:tcW w:w="0" w:type="auto"/>
            <w:vAlign w:val="center"/>
            <w:hideMark/>
          </w:tcPr>
          <w:p w14:paraId="378B0F8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DF41E6"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BEFF390" w14:textId="77777777" w:rsidR="00000000" w:rsidRDefault="00405D16">
            <w:pPr>
              <w:spacing w:after="100"/>
              <w:jc w:val="right"/>
              <w:rPr>
                <w:rFonts w:eastAsia="Times New Roman"/>
              </w:rPr>
            </w:pPr>
            <w:r>
              <w:rPr>
                <w:rFonts w:eastAsia="Times New Roman"/>
                <w:color w:val="000000"/>
                <w:sz w:val="18"/>
                <w:szCs w:val="18"/>
              </w:rPr>
              <w:t>21 </w:t>
            </w:r>
          </w:p>
        </w:tc>
        <w:tc>
          <w:tcPr>
            <w:tcW w:w="0" w:type="auto"/>
            <w:shd w:val="clear" w:color="auto" w:fill="FFFFFF"/>
            <w:tcMar>
              <w:top w:w="30" w:type="dxa"/>
              <w:left w:w="0" w:type="dxa"/>
              <w:bottom w:w="30" w:type="dxa"/>
              <w:right w:w="20" w:type="dxa"/>
            </w:tcMar>
            <w:vAlign w:val="center"/>
            <w:hideMark/>
          </w:tcPr>
          <w:p w14:paraId="4F5FC170" w14:textId="77777777" w:rsidR="00000000" w:rsidRDefault="00405D16">
            <w:pPr>
              <w:spacing w:after="100"/>
              <w:jc w:val="right"/>
              <w:rPr>
                <w:rFonts w:eastAsia="Times New Roman"/>
              </w:rPr>
            </w:pPr>
          </w:p>
        </w:tc>
        <w:tc>
          <w:tcPr>
            <w:tcW w:w="0" w:type="auto"/>
            <w:gridSpan w:val="3"/>
            <w:vAlign w:val="center"/>
            <w:hideMark/>
          </w:tcPr>
          <w:p w14:paraId="278CD5A2" w14:textId="77777777" w:rsidR="00000000" w:rsidRDefault="00405D16">
            <w:pPr>
              <w:spacing w:after="100"/>
              <w:jc w:val="right"/>
              <w:rPr>
                <w:rFonts w:eastAsia="Times New Roman"/>
                <w:sz w:val="20"/>
                <w:szCs w:val="20"/>
              </w:rPr>
            </w:pPr>
          </w:p>
        </w:tc>
        <w:tc>
          <w:tcPr>
            <w:tcW w:w="0" w:type="auto"/>
            <w:gridSpan w:val="3"/>
            <w:vAlign w:val="center"/>
            <w:hideMark/>
          </w:tcPr>
          <w:p w14:paraId="60EC6990" w14:textId="77777777" w:rsidR="00000000" w:rsidRDefault="00405D16">
            <w:pPr>
              <w:spacing w:after="100"/>
              <w:rPr>
                <w:rFonts w:eastAsia="Times New Roman"/>
                <w:sz w:val="20"/>
                <w:szCs w:val="20"/>
              </w:rPr>
            </w:pPr>
          </w:p>
        </w:tc>
      </w:tr>
      <w:tr w:rsidR="00000000" w14:paraId="37AE111A" w14:textId="77777777">
        <w:trPr>
          <w:divId w:val="1807164682"/>
        </w:trPr>
        <w:tc>
          <w:tcPr>
            <w:tcW w:w="0" w:type="auto"/>
            <w:gridSpan w:val="3"/>
            <w:shd w:val="clear" w:color="auto" w:fill="CCEEFF"/>
            <w:tcMar>
              <w:top w:w="30" w:type="dxa"/>
              <w:left w:w="20" w:type="dxa"/>
              <w:bottom w:w="30" w:type="dxa"/>
              <w:right w:w="20" w:type="dxa"/>
            </w:tcMar>
            <w:vAlign w:val="center"/>
            <w:hideMark/>
          </w:tcPr>
          <w:p w14:paraId="0EC3DD0E" w14:textId="77777777" w:rsidR="00000000" w:rsidRDefault="00405D16">
            <w:pPr>
              <w:spacing w:after="100"/>
              <w:rPr>
                <w:rFonts w:eastAsia="Times New Roman"/>
              </w:rPr>
            </w:pPr>
            <w:r>
              <w:rPr>
                <w:rFonts w:eastAsia="Times New Roman"/>
                <w:color w:val="000000"/>
                <w:sz w:val="18"/>
                <w:szCs w:val="18"/>
              </w:rPr>
              <w:t>Provision (benefit) for credit losses</w:t>
            </w:r>
          </w:p>
        </w:tc>
        <w:tc>
          <w:tcPr>
            <w:tcW w:w="0" w:type="auto"/>
            <w:gridSpan w:val="3"/>
            <w:shd w:val="clear" w:color="auto" w:fill="CCEEFF"/>
            <w:tcMar>
              <w:top w:w="0" w:type="dxa"/>
              <w:left w:w="20" w:type="dxa"/>
              <w:bottom w:w="0" w:type="dxa"/>
              <w:right w:w="20" w:type="dxa"/>
            </w:tcMar>
            <w:vAlign w:val="center"/>
            <w:hideMark/>
          </w:tcPr>
          <w:p w14:paraId="0B042AC5"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9E98263" w14:textId="77777777" w:rsidR="00000000" w:rsidRDefault="00405D16">
            <w:pPr>
              <w:spacing w:after="100"/>
              <w:jc w:val="right"/>
              <w:rPr>
                <w:rFonts w:eastAsia="Times New Roman"/>
              </w:rPr>
            </w:pPr>
            <w:r>
              <w:rPr>
                <w:rFonts w:eastAsia="Times New Roman"/>
                <w:b/>
                <w:bCs/>
                <w:color w:val="000000"/>
                <w:sz w:val="18"/>
                <w:szCs w:val="18"/>
              </w:rPr>
              <w:t>(91)</w:t>
            </w:r>
          </w:p>
        </w:tc>
        <w:tc>
          <w:tcPr>
            <w:tcW w:w="0" w:type="auto"/>
            <w:shd w:val="clear" w:color="auto" w:fill="CCEEFF"/>
            <w:tcMar>
              <w:top w:w="30" w:type="dxa"/>
              <w:left w:w="0" w:type="dxa"/>
              <w:bottom w:w="30" w:type="dxa"/>
              <w:right w:w="20" w:type="dxa"/>
            </w:tcMar>
            <w:vAlign w:val="center"/>
            <w:hideMark/>
          </w:tcPr>
          <w:p w14:paraId="4E3BD9F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26D0C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124EEB0" w14:textId="77777777" w:rsidR="00000000" w:rsidRDefault="00405D16">
            <w:pPr>
              <w:spacing w:after="100"/>
              <w:jc w:val="right"/>
              <w:rPr>
                <w:rFonts w:eastAsia="Times New Roman"/>
              </w:rPr>
            </w:pPr>
            <w:r>
              <w:rPr>
                <w:rFonts w:eastAsia="Times New Roman"/>
                <w:color w:val="000000"/>
                <w:sz w:val="18"/>
                <w:szCs w:val="18"/>
              </w:rPr>
              <w:t>(43)</w:t>
            </w:r>
          </w:p>
        </w:tc>
        <w:tc>
          <w:tcPr>
            <w:tcW w:w="0" w:type="auto"/>
            <w:shd w:val="clear" w:color="auto" w:fill="CCEEFF"/>
            <w:tcMar>
              <w:top w:w="30" w:type="dxa"/>
              <w:left w:w="0" w:type="dxa"/>
              <w:bottom w:w="30" w:type="dxa"/>
              <w:right w:w="20" w:type="dxa"/>
            </w:tcMar>
            <w:vAlign w:val="center"/>
            <w:hideMark/>
          </w:tcPr>
          <w:p w14:paraId="50E5A1D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7E8F0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6418B75" w14:textId="77777777" w:rsidR="00000000" w:rsidRDefault="00405D16">
            <w:pPr>
              <w:spacing w:after="100"/>
              <w:jc w:val="right"/>
              <w:rPr>
                <w:rFonts w:eastAsia="Times New Roman"/>
              </w:rPr>
            </w:pPr>
            <w:r>
              <w:rPr>
                <w:rFonts w:eastAsia="Times New Roman"/>
                <w:color w:val="000000"/>
                <w:sz w:val="18"/>
                <w:szCs w:val="18"/>
              </w:rPr>
              <w:t>112 </w:t>
            </w:r>
          </w:p>
        </w:tc>
        <w:tc>
          <w:tcPr>
            <w:tcW w:w="0" w:type="auto"/>
            <w:shd w:val="clear" w:color="auto" w:fill="CCEEFF"/>
            <w:tcMar>
              <w:top w:w="30" w:type="dxa"/>
              <w:left w:w="0" w:type="dxa"/>
              <w:bottom w:w="30" w:type="dxa"/>
              <w:right w:w="20" w:type="dxa"/>
            </w:tcMar>
            <w:vAlign w:val="center"/>
            <w:hideMark/>
          </w:tcPr>
          <w:p w14:paraId="2B8FDCC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15668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50B37A3" w14:textId="77777777" w:rsidR="00000000" w:rsidRDefault="00405D16">
            <w:pPr>
              <w:spacing w:after="100"/>
              <w:jc w:val="right"/>
              <w:rPr>
                <w:rFonts w:eastAsia="Times New Roman"/>
              </w:rPr>
            </w:pPr>
            <w:r>
              <w:rPr>
                <w:rFonts w:eastAsia="Times New Roman"/>
                <w:b/>
                <w:bCs/>
                <w:color w:val="000000"/>
                <w:sz w:val="18"/>
                <w:szCs w:val="18"/>
              </w:rPr>
              <w:t>(523)</w:t>
            </w:r>
          </w:p>
        </w:tc>
        <w:tc>
          <w:tcPr>
            <w:tcW w:w="0" w:type="auto"/>
            <w:shd w:val="clear" w:color="auto" w:fill="CCEEFF"/>
            <w:tcMar>
              <w:top w:w="30" w:type="dxa"/>
              <w:left w:w="0" w:type="dxa"/>
              <w:bottom w:w="30" w:type="dxa"/>
              <w:right w:w="20" w:type="dxa"/>
            </w:tcMar>
            <w:vAlign w:val="center"/>
            <w:hideMark/>
          </w:tcPr>
          <w:p w14:paraId="2A6245F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225E0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C7E422F" w14:textId="77777777" w:rsidR="00000000" w:rsidRDefault="00405D16">
            <w:pPr>
              <w:spacing w:after="100"/>
              <w:jc w:val="right"/>
              <w:rPr>
                <w:rFonts w:eastAsia="Times New Roman"/>
              </w:rPr>
            </w:pPr>
            <w:r>
              <w:rPr>
                <w:rFonts w:eastAsia="Times New Roman"/>
                <w:color w:val="000000"/>
                <w:sz w:val="18"/>
                <w:szCs w:val="18"/>
              </w:rPr>
              <w:t>1,693 </w:t>
            </w:r>
          </w:p>
        </w:tc>
        <w:tc>
          <w:tcPr>
            <w:tcW w:w="0" w:type="auto"/>
            <w:shd w:val="clear" w:color="auto" w:fill="CCEEFF"/>
            <w:tcMar>
              <w:top w:w="30" w:type="dxa"/>
              <w:left w:w="0" w:type="dxa"/>
              <w:bottom w:w="30" w:type="dxa"/>
              <w:right w:w="20" w:type="dxa"/>
            </w:tcMar>
            <w:vAlign w:val="center"/>
            <w:hideMark/>
          </w:tcPr>
          <w:p w14:paraId="32BDC06B" w14:textId="77777777" w:rsidR="00000000" w:rsidRDefault="00405D16">
            <w:pPr>
              <w:spacing w:after="100"/>
              <w:jc w:val="right"/>
              <w:rPr>
                <w:rFonts w:eastAsia="Times New Roman"/>
              </w:rPr>
            </w:pPr>
          </w:p>
        </w:tc>
        <w:tc>
          <w:tcPr>
            <w:tcW w:w="0" w:type="auto"/>
            <w:vAlign w:val="center"/>
            <w:hideMark/>
          </w:tcPr>
          <w:p w14:paraId="348B9D51" w14:textId="77777777" w:rsidR="00000000" w:rsidRDefault="00405D16">
            <w:pPr>
              <w:spacing w:after="100"/>
              <w:jc w:val="right"/>
              <w:rPr>
                <w:rFonts w:eastAsia="Times New Roman"/>
                <w:sz w:val="20"/>
                <w:szCs w:val="20"/>
              </w:rPr>
            </w:pPr>
          </w:p>
        </w:tc>
        <w:tc>
          <w:tcPr>
            <w:tcW w:w="0" w:type="auto"/>
            <w:vAlign w:val="center"/>
            <w:hideMark/>
          </w:tcPr>
          <w:p w14:paraId="6B1EFB1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93E3A6" w14:textId="77777777" w:rsidR="00000000" w:rsidRDefault="00405D16">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2A910AA2"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1951AC97" w14:textId="77777777" w:rsidR="00000000" w:rsidRDefault="00405D16">
            <w:pPr>
              <w:spacing w:after="100"/>
              <w:jc w:val="right"/>
              <w:rPr>
                <w:rFonts w:eastAsia="Times New Roman"/>
              </w:rPr>
            </w:pPr>
          </w:p>
        </w:tc>
        <w:tc>
          <w:tcPr>
            <w:tcW w:w="0" w:type="auto"/>
            <w:gridSpan w:val="3"/>
            <w:vAlign w:val="center"/>
            <w:hideMark/>
          </w:tcPr>
          <w:p w14:paraId="6D56D81F" w14:textId="77777777" w:rsidR="00000000" w:rsidRDefault="00405D16">
            <w:pPr>
              <w:spacing w:after="100"/>
              <w:rPr>
                <w:rFonts w:eastAsia="Times New Roman"/>
                <w:sz w:val="20"/>
                <w:szCs w:val="20"/>
              </w:rPr>
            </w:pPr>
          </w:p>
        </w:tc>
      </w:tr>
      <w:tr w:rsidR="00000000" w14:paraId="139DCB3B" w14:textId="77777777">
        <w:trPr>
          <w:divId w:val="1807164682"/>
        </w:trPr>
        <w:tc>
          <w:tcPr>
            <w:tcW w:w="0" w:type="auto"/>
            <w:gridSpan w:val="3"/>
            <w:shd w:val="clear" w:color="auto" w:fill="FFFFFF"/>
            <w:tcMar>
              <w:top w:w="30" w:type="dxa"/>
              <w:left w:w="20" w:type="dxa"/>
              <w:bottom w:w="30" w:type="dxa"/>
              <w:right w:w="20" w:type="dxa"/>
            </w:tcMar>
            <w:vAlign w:val="center"/>
            <w:hideMark/>
          </w:tcPr>
          <w:p w14:paraId="2BD2E564" w14:textId="77777777" w:rsidR="00000000" w:rsidRDefault="00405D16">
            <w:pPr>
              <w:spacing w:after="100"/>
              <w:rPr>
                <w:rFonts w:eastAsia="Times New Roman"/>
              </w:rPr>
            </w:pPr>
            <w:r>
              <w:rPr>
                <w:rFonts w:eastAsia="Times New Roman"/>
                <w:color w:val="000000"/>
                <w:sz w:val="18"/>
                <w:szCs w:val="18"/>
              </w:rPr>
              <w:t>Non-interest expense</w:t>
            </w:r>
          </w:p>
        </w:tc>
        <w:tc>
          <w:tcPr>
            <w:tcW w:w="0" w:type="auto"/>
            <w:gridSpan w:val="3"/>
            <w:shd w:val="clear" w:color="auto" w:fill="FFFFFF"/>
            <w:tcMar>
              <w:top w:w="0" w:type="dxa"/>
              <w:left w:w="20" w:type="dxa"/>
              <w:bottom w:w="0" w:type="dxa"/>
              <w:right w:w="20" w:type="dxa"/>
            </w:tcMar>
            <w:vAlign w:val="center"/>
            <w:hideMark/>
          </w:tcPr>
          <w:p w14:paraId="54B70A17"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D0AE941" w14:textId="77777777" w:rsidR="00000000" w:rsidRDefault="00405D16">
            <w:pPr>
              <w:spacing w:after="100"/>
              <w:jc w:val="right"/>
              <w:rPr>
                <w:rFonts w:eastAsia="Times New Roman"/>
              </w:rPr>
            </w:pPr>
            <w:r>
              <w:rPr>
                <w:rFonts w:eastAsia="Times New Roman"/>
                <w:b/>
                <w:bCs/>
                <w:color w:val="000000"/>
                <w:sz w:val="18"/>
                <w:szCs w:val="18"/>
              </w:rPr>
              <w:t>1,186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6A30E5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6B2F5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3044544" w14:textId="77777777" w:rsidR="00000000" w:rsidRDefault="00405D16">
            <w:pPr>
              <w:spacing w:after="100"/>
              <w:jc w:val="right"/>
              <w:rPr>
                <w:rFonts w:eastAsia="Times New Roman"/>
              </w:rPr>
            </w:pPr>
            <w:r>
              <w:rPr>
                <w:rFonts w:eastAsia="Times New Roman"/>
                <w:color w:val="000000"/>
                <w:sz w:val="18"/>
                <w:szCs w:val="18"/>
              </w:rPr>
              <w:t>1,011 </w:t>
            </w:r>
          </w:p>
        </w:tc>
        <w:tc>
          <w:tcPr>
            <w:tcW w:w="0" w:type="auto"/>
            <w:shd w:val="clear" w:color="auto" w:fill="FFFFFF"/>
            <w:tcMar>
              <w:top w:w="30" w:type="dxa"/>
              <w:left w:w="0" w:type="dxa"/>
              <w:bottom w:w="30" w:type="dxa"/>
              <w:right w:w="20" w:type="dxa"/>
            </w:tcMar>
            <w:vAlign w:val="center"/>
            <w:hideMark/>
          </w:tcPr>
          <w:p w14:paraId="05E23D0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4C5B8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35F70E1" w14:textId="77777777" w:rsidR="00000000" w:rsidRDefault="00405D16">
            <w:pPr>
              <w:spacing w:after="100"/>
              <w:jc w:val="right"/>
              <w:rPr>
                <w:rFonts w:eastAsia="Times New Roman"/>
              </w:rPr>
            </w:pPr>
            <w:r>
              <w:rPr>
                <w:rFonts w:eastAsia="Times New Roman"/>
                <w:color w:val="000000"/>
                <w:sz w:val="18"/>
                <w:szCs w:val="18"/>
              </w:rPr>
              <w:t>17 </w:t>
            </w:r>
          </w:p>
        </w:tc>
        <w:tc>
          <w:tcPr>
            <w:tcW w:w="0" w:type="auto"/>
            <w:shd w:val="clear" w:color="auto" w:fill="FFFFFF"/>
            <w:tcMar>
              <w:top w:w="30" w:type="dxa"/>
              <w:left w:w="0" w:type="dxa"/>
              <w:bottom w:w="30" w:type="dxa"/>
              <w:right w:w="20" w:type="dxa"/>
            </w:tcMar>
            <w:vAlign w:val="center"/>
            <w:hideMark/>
          </w:tcPr>
          <w:p w14:paraId="6F7A3BB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52668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7340A9B" w14:textId="77777777" w:rsidR="00000000" w:rsidRDefault="00405D16">
            <w:pPr>
              <w:spacing w:after="100"/>
              <w:jc w:val="right"/>
              <w:rPr>
                <w:rFonts w:eastAsia="Times New Roman"/>
              </w:rPr>
            </w:pPr>
            <w:r>
              <w:rPr>
                <w:rFonts w:eastAsia="Times New Roman"/>
                <w:b/>
                <w:bCs/>
                <w:color w:val="000000"/>
                <w:sz w:val="18"/>
                <w:szCs w:val="18"/>
              </w:rPr>
              <w:t>3,426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287B3A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04C5B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122F851" w14:textId="77777777" w:rsidR="00000000" w:rsidRDefault="00405D16">
            <w:pPr>
              <w:spacing w:after="100"/>
              <w:jc w:val="right"/>
              <w:rPr>
                <w:rFonts w:eastAsia="Times New Roman"/>
              </w:rPr>
            </w:pPr>
            <w:r>
              <w:rPr>
                <w:rFonts w:eastAsia="Times New Roman"/>
                <w:color w:val="000000"/>
                <w:sz w:val="18"/>
                <w:szCs w:val="18"/>
              </w:rPr>
              <w:t>3,038 </w:t>
            </w:r>
          </w:p>
        </w:tc>
        <w:tc>
          <w:tcPr>
            <w:tcW w:w="0" w:type="auto"/>
            <w:shd w:val="clear" w:color="auto" w:fill="FFFFFF"/>
            <w:tcMar>
              <w:top w:w="30" w:type="dxa"/>
              <w:left w:w="0" w:type="dxa"/>
              <w:bottom w:w="30" w:type="dxa"/>
              <w:right w:w="20" w:type="dxa"/>
            </w:tcMar>
            <w:vAlign w:val="center"/>
            <w:hideMark/>
          </w:tcPr>
          <w:p w14:paraId="659D3AA7" w14:textId="77777777" w:rsidR="00000000" w:rsidRDefault="00405D16">
            <w:pPr>
              <w:spacing w:after="100"/>
              <w:jc w:val="right"/>
              <w:rPr>
                <w:rFonts w:eastAsia="Times New Roman"/>
              </w:rPr>
            </w:pPr>
          </w:p>
        </w:tc>
        <w:tc>
          <w:tcPr>
            <w:tcW w:w="0" w:type="auto"/>
            <w:vAlign w:val="center"/>
            <w:hideMark/>
          </w:tcPr>
          <w:p w14:paraId="5BE002FD" w14:textId="77777777" w:rsidR="00000000" w:rsidRDefault="00405D16">
            <w:pPr>
              <w:spacing w:after="100"/>
              <w:jc w:val="right"/>
              <w:rPr>
                <w:rFonts w:eastAsia="Times New Roman"/>
                <w:sz w:val="20"/>
                <w:szCs w:val="20"/>
              </w:rPr>
            </w:pPr>
          </w:p>
        </w:tc>
        <w:tc>
          <w:tcPr>
            <w:tcW w:w="0" w:type="auto"/>
            <w:vAlign w:val="center"/>
            <w:hideMark/>
          </w:tcPr>
          <w:p w14:paraId="3BDF9A7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34EEE5"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5BD74BF" w14:textId="77777777" w:rsidR="00000000" w:rsidRDefault="00405D16">
            <w:pPr>
              <w:spacing w:after="100"/>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center"/>
            <w:hideMark/>
          </w:tcPr>
          <w:p w14:paraId="3034AE03" w14:textId="77777777" w:rsidR="00000000" w:rsidRDefault="00405D16">
            <w:pPr>
              <w:spacing w:after="100"/>
              <w:jc w:val="right"/>
              <w:rPr>
                <w:rFonts w:eastAsia="Times New Roman"/>
              </w:rPr>
            </w:pPr>
          </w:p>
        </w:tc>
        <w:tc>
          <w:tcPr>
            <w:tcW w:w="0" w:type="auto"/>
            <w:gridSpan w:val="3"/>
            <w:vAlign w:val="center"/>
            <w:hideMark/>
          </w:tcPr>
          <w:p w14:paraId="70046EC5" w14:textId="77777777" w:rsidR="00000000" w:rsidRDefault="00405D16">
            <w:pPr>
              <w:spacing w:after="100"/>
              <w:jc w:val="right"/>
              <w:rPr>
                <w:rFonts w:eastAsia="Times New Roman"/>
                <w:sz w:val="20"/>
                <w:szCs w:val="20"/>
              </w:rPr>
            </w:pPr>
          </w:p>
        </w:tc>
        <w:tc>
          <w:tcPr>
            <w:tcW w:w="0" w:type="auto"/>
            <w:gridSpan w:val="3"/>
            <w:vAlign w:val="center"/>
            <w:hideMark/>
          </w:tcPr>
          <w:p w14:paraId="751A78EB" w14:textId="77777777" w:rsidR="00000000" w:rsidRDefault="00405D16">
            <w:pPr>
              <w:spacing w:after="100"/>
              <w:rPr>
                <w:rFonts w:eastAsia="Times New Roman"/>
                <w:sz w:val="20"/>
                <w:szCs w:val="20"/>
              </w:rPr>
            </w:pPr>
          </w:p>
        </w:tc>
      </w:tr>
      <w:tr w:rsidR="00000000" w14:paraId="3ACD9620" w14:textId="77777777">
        <w:trPr>
          <w:divId w:val="1807164682"/>
        </w:trPr>
        <w:tc>
          <w:tcPr>
            <w:tcW w:w="0" w:type="auto"/>
            <w:gridSpan w:val="3"/>
            <w:shd w:val="clear" w:color="auto" w:fill="CCEEFF"/>
            <w:tcMar>
              <w:top w:w="30" w:type="dxa"/>
              <w:left w:w="20" w:type="dxa"/>
              <w:bottom w:w="30" w:type="dxa"/>
              <w:right w:w="20" w:type="dxa"/>
            </w:tcMar>
            <w:vAlign w:val="center"/>
            <w:hideMark/>
          </w:tcPr>
          <w:p w14:paraId="278A53A7" w14:textId="77777777" w:rsidR="00000000" w:rsidRDefault="00405D16">
            <w:pPr>
              <w:spacing w:after="100"/>
              <w:rPr>
                <w:rFonts w:eastAsia="Times New Roman"/>
              </w:rPr>
            </w:pPr>
            <w:r>
              <w:rPr>
                <w:rFonts w:eastAsia="Times New Roman"/>
                <w:color w:val="000000"/>
                <w:sz w:val="18"/>
                <w:szCs w:val="18"/>
              </w:rPr>
              <w:t>Income from continuing operations before income taxes</w:t>
            </w:r>
          </w:p>
        </w:tc>
        <w:tc>
          <w:tcPr>
            <w:tcW w:w="0" w:type="auto"/>
            <w:gridSpan w:val="3"/>
            <w:shd w:val="clear" w:color="auto" w:fill="CCEEFF"/>
            <w:tcMar>
              <w:top w:w="0" w:type="dxa"/>
              <w:left w:w="20" w:type="dxa"/>
              <w:bottom w:w="0" w:type="dxa"/>
              <w:right w:w="20" w:type="dxa"/>
            </w:tcMar>
            <w:vAlign w:val="center"/>
            <w:hideMark/>
          </w:tcPr>
          <w:p w14:paraId="00B7F082"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B925F9A" w14:textId="77777777" w:rsidR="00000000" w:rsidRDefault="00405D16">
            <w:pPr>
              <w:spacing w:after="100"/>
              <w:jc w:val="right"/>
              <w:rPr>
                <w:rFonts w:eastAsia="Times New Roman"/>
              </w:rPr>
            </w:pPr>
            <w:r>
              <w:rPr>
                <w:rFonts w:eastAsia="Times New Roman"/>
                <w:b/>
                <w:bCs/>
                <w:color w:val="000000"/>
                <w:sz w:val="18"/>
                <w:szCs w:val="18"/>
              </w:rPr>
              <w:t>1,191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6A6F8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44CE6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1AEB3B3" w14:textId="77777777" w:rsidR="00000000" w:rsidRDefault="00405D16">
            <w:pPr>
              <w:spacing w:after="100"/>
              <w:jc w:val="right"/>
              <w:rPr>
                <w:rFonts w:eastAsia="Times New Roman"/>
              </w:rPr>
            </w:pPr>
            <w:r>
              <w:rPr>
                <w:rFonts w:eastAsia="Times New Roman"/>
                <w:color w:val="000000"/>
                <w:sz w:val="18"/>
                <w:szCs w:val="18"/>
              </w:rPr>
              <w:t>1,043 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30A25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D07B9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321E1C3" w14:textId="77777777" w:rsidR="00000000" w:rsidRDefault="00405D16">
            <w:pPr>
              <w:spacing w:after="100"/>
              <w:jc w:val="right"/>
              <w:rPr>
                <w:rFonts w:eastAsia="Times New Roman"/>
              </w:rPr>
            </w:pPr>
            <w:r>
              <w:rPr>
                <w:rFonts w:eastAsia="Times New Roman"/>
                <w:color w:val="000000"/>
                <w:sz w:val="18"/>
                <w:szCs w:val="18"/>
              </w:rPr>
              <w:t>14 </w:t>
            </w:r>
          </w:p>
        </w:tc>
        <w:tc>
          <w:tcPr>
            <w:tcW w:w="0" w:type="auto"/>
            <w:shd w:val="clear" w:color="auto" w:fill="CCEEFF"/>
            <w:tcMar>
              <w:top w:w="30" w:type="dxa"/>
              <w:left w:w="0" w:type="dxa"/>
              <w:bottom w:w="30" w:type="dxa"/>
              <w:right w:w="20" w:type="dxa"/>
            </w:tcMar>
            <w:vAlign w:val="center"/>
            <w:hideMark/>
          </w:tcPr>
          <w:p w14:paraId="75DEDF7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309CC0"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DFA193D" w14:textId="77777777" w:rsidR="00000000" w:rsidRDefault="00405D16">
            <w:pPr>
              <w:spacing w:after="100"/>
              <w:jc w:val="right"/>
              <w:rPr>
                <w:rFonts w:eastAsia="Times New Roman"/>
              </w:rPr>
            </w:pPr>
            <w:r>
              <w:rPr>
                <w:rFonts w:eastAsia="Times New Roman"/>
                <w:b/>
                <w:bCs/>
                <w:color w:val="000000"/>
                <w:sz w:val="18"/>
                <w:szCs w:val="18"/>
              </w:rPr>
              <w:t>3,799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A7087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FB81E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3B39D97" w14:textId="77777777" w:rsidR="00000000" w:rsidRDefault="00405D16">
            <w:pPr>
              <w:spacing w:after="100"/>
              <w:jc w:val="right"/>
              <w:rPr>
                <w:rFonts w:eastAsia="Times New Roman"/>
              </w:rPr>
            </w:pPr>
            <w:r>
              <w:rPr>
                <w:rFonts w:eastAsia="Times New Roman"/>
                <w:color w:val="000000"/>
                <w:sz w:val="18"/>
                <w:szCs w:val="18"/>
              </w:rPr>
              <w:t>825 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B16A72" w14:textId="77777777" w:rsidR="00000000" w:rsidRDefault="00405D16">
            <w:pPr>
              <w:spacing w:after="100"/>
              <w:jc w:val="right"/>
              <w:rPr>
                <w:rFonts w:eastAsia="Times New Roman"/>
              </w:rPr>
            </w:pPr>
          </w:p>
        </w:tc>
        <w:tc>
          <w:tcPr>
            <w:tcW w:w="0" w:type="auto"/>
            <w:vAlign w:val="center"/>
            <w:hideMark/>
          </w:tcPr>
          <w:p w14:paraId="0D4D60EC" w14:textId="77777777" w:rsidR="00000000" w:rsidRDefault="00405D16">
            <w:pPr>
              <w:spacing w:after="100"/>
              <w:jc w:val="right"/>
              <w:rPr>
                <w:rFonts w:eastAsia="Times New Roman"/>
                <w:sz w:val="20"/>
                <w:szCs w:val="20"/>
              </w:rPr>
            </w:pPr>
          </w:p>
        </w:tc>
        <w:tc>
          <w:tcPr>
            <w:tcW w:w="0" w:type="auto"/>
            <w:vAlign w:val="center"/>
            <w:hideMark/>
          </w:tcPr>
          <w:p w14:paraId="6C8BF87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C849BE" w14:textId="77777777" w:rsidR="00000000" w:rsidRDefault="00405D16">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2EC1EDBE"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60CA6531" w14:textId="77777777" w:rsidR="00000000" w:rsidRDefault="00405D16">
            <w:pPr>
              <w:spacing w:after="100"/>
              <w:jc w:val="right"/>
              <w:rPr>
                <w:rFonts w:eastAsia="Times New Roman"/>
              </w:rPr>
            </w:pPr>
          </w:p>
        </w:tc>
        <w:tc>
          <w:tcPr>
            <w:tcW w:w="0" w:type="auto"/>
            <w:gridSpan w:val="3"/>
            <w:vAlign w:val="center"/>
            <w:hideMark/>
          </w:tcPr>
          <w:p w14:paraId="4F98FA77" w14:textId="77777777" w:rsidR="00000000" w:rsidRDefault="00405D16">
            <w:pPr>
              <w:spacing w:after="100"/>
              <w:rPr>
                <w:rFonts w:eastAsia="Times New Roman"/>
                <w:sz w:val="20"/>
                <w:szCs w:val="20"/>
              </w:rPr>
            </w:pPr>
          </w:p>
        </w:tc>
      </w:tr>
      <w:tr w:rsidR="00000000" w14:paraId="08B5E955" w14:textId="77777777">
        <w:trPr>
          <w:divId w:val="1807164682"/>
        </w:trPr>
        <w:tc>
          <w:tcPr>
            <w:tcW w:w="0" w:type="auto"/>
            <w:gridSpan w:val="3"/>
            <w:shd w:val="clear" w:color="auto" w:fill="FFFFFF"/>
            <w:tcMar>
              <w:top w:w="30" w:type="dxa"/>
              <w:left w:w="20" w:type="dxa"/>
              <w:bottom w:w="30" w:type="dxa"/>
              <w:right w:w="20" w:type="dxa"/>
            </w:tcMar>
            <w:vAlign w:val="center"/>
            <w:hideMark/>
          </w:tcPr>
          <w:p w14:paraId="7C051CDE" w14:textId="77777777" w:rsidR="00000000" w:rsidRDefault="00405D16">
            <w:pPr>
              <w:spacing w:after="100"/>
              <w:rPr>
                <w:rFonts w:eastAsia="Times New Roman"/>
              </w:rPr>
            </w:pPr>
            <w:r>
              <w:rPr>
                <w:rFonts w:eastAsia="Times New Roman"/>
                <w:color w:val="000000"/>
                <w:sz w:val="18"/>
                <w:szCs w:val="18"/>
              </w:rPr>
              <w:t>Income tax provision</w:t>
            </w:r>
          </w:p>
        </w:tc>
        <w:tc>
          <w:tcPr>
            <w:tcW w:w="0" w:type="auto"/>
            <w:gridSpan w:val="3"/>
            <w:shd w:val="clear" w:color="auto" w:fill="FFFFFF"/>
            <w:tcMar>
              <w:top w:w="0" w:type="dxa"/>
              <w:left w:w="20" w:type="dxa"/>
              <w:bottom w:w="0" w:type="dxa"/>
              <w:right w:w="20" w:type="dxa"/>
            </w:tcMar>
            <w:vAlign w:val="center"/>
            <w:hideMark/>
          </w:tcPr>
          <w:p w14:paraId="6B316948"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1A0DA14" w14:textId="77777777" w:rsidR="00000000" w:rsidRDefault="00405D16">
            <w:pPr>
              <w:spacing w:after="100"/>
              <w:jc w:val="right"/>
              <w:rPr>
                <w:rFonts w:eastAsia="Times New Roman"/>
              </w:rPr>
            </w:pPr>
            <w:r>
              <w:rPr>
                <w:rFonts w:eastAsia="Times New Roman"/>
                <w:b/>
                <w:bCs/>
                <w:color w:val="000000"/>
                <w:sz w:val="18"/>
                <w:szCs w:val="18"/>
              </w:rPr>
              <w:t>282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2DB12E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70CF0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7C338DA" w14:textId="77777777" w:rsidR="00000000" w:rsidRDefault="00405D16">
            <w:pPr>
              <w:spacing w:after="100"/>
              <w:jc w:val="right"/>
              <w:rPr>
                <w:rFonts w:eastAsia="Times New Roman"/>
              </w:rPr>
            </w:pPr>
            <w:r>
              <w:rPr>
                <w:rFonts w:eastAsia="Times New Roman"/>
                <w:color w:val="000000"/>
                <w:sz w:val="18"/>
                <w:szCs w:val="18"/>
              </w:rPr>
              <w:t>247 </w:t>
            </w:r>
          </w:p>
        </w:tc>
        <w:tc>
          <w:tcPr>
            <w:tcW w:w="0" w:type="auto"/>
            <w:shd w:val="clear" w:color="auto" w:fill="FFFFFF"/>
            <w:tcMar>
              <w:top w:w="30" w:type="dxa"/>
              <w:left w:w="0" w:type="dxa"/>
              <w:bottom w:w="30" w:type="dxa"/>
              <w:right w:w="20" w:type="dxa"/>
            </w:tcMar>
            <w:vAlign w:val="center"/>
            <w:hideMark/>
          </w:tcPr>
          <w:p w14:paraId="7768DFF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648EE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5CADFC0" w14:textId="77777777" w:rsidR="00000000" w:rsidRDefault="00405D16">
            <w:pPr>
              <w:spacing w:after="100"/>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center"/>
            <w:hideMark/>
          </w:tcPr>
          <w:p w14:paraId="32F6AC8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469B5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BC1B3E3" w14:textId="77777777" w:rsidR="00000000" w:rsidRDefault="00405D16">
            <w:pPr>
              <w:spacing w:after="100"/>
              <w:jc w:val="right"/>
              <w:rPr>
                <w:rFonts w:eastAsia="Times New Roman"/>
              </w:rPr>
            </w:pPr>
            <w:r>
              <w:rPr>
                <w:rFonts w:eastAsia="Times New Roman"/>
                <w:b/>
                <w:bCs/>
                <w:color w:val="000000"/>
                <w:sz w:val="18"/>
                <w:szCs w:val="18"/>
              </w:rPr>
              <w:t>897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11F0B8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09B12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1DD013A" w14:textId="77777777" w:rsidR="00000000" w:rsidRDefault="00405D16">
            <w:pPr>
              <w:spacing w:after="100"/>
              <w:jc w:val="right"/>
              <w:rPr>
                <w:rFonts w:eastAsia="Times New Roman"/>
              </w:rPr>
            </w:pPr>
            <w:r>
              <w:rPr>
                <w:rFonts w:eastAsia="Times New Roman"/>
                <w:color w:val="000000"/>
                <w:sz w:val="18"/>
                <w:szCs w:val="18"/>
              </w:rPr>
              <w:t>195 </w:t>
            </w:r>
          </w:p>
        </w:tc>
        <w:tc>
          <w:tcPr>
            <w:tcW w:w="0" w:type="auto"/>
            <w:shd w:val="clear" w:color="auto" w:fill="FFFFFF"/>
            <w:tcMar>
              <w:top w:w="30" w:type="dxa"/>
              <w:left w:w="0" w:type="dxa"/>
              <w:bottom w:w="30" w:type="dxa"/>
              <w:right w:w="20" w:type="dxa"/>
            </w:tcMar>
            <w:vAlign w:val="center"/>
            <w:hideMark/>
          </w:tcPr>
          <w:p w14:paraId="3684D76D" w14:textId="77777777" w:rsidR="00000000" w:rsidRDefault="00405D16">
            <w:pPr>
              <w:spacing w:after="100"/>
              <w:jc w:val="right"/>
              <w:rPr>
                <w:rFonts w:eastAsia="Times New Roman"/>
              </w:rPr>
            </w:pPr>
          </w:p>
        </w:tc>
        <w:tc>
          <w:tcPr>
            <w:tcW w:w="0" w:type="auto"/>
            <w:vAlign w:val="center"/>
            <w:hideMark/>
          </w:tcPr>
          <w:p w14:paraId="214943C5" w14:textId="77777777" w:rsidR="00000000" w:rsidRDefault="00405D16">
            <w:pPr>
              <w:spacing w:after="100"/>
              <w:jc w:val="right"/>
              <w:rPr>
                <w:rFonts w:eastAsia="Times New Roman"/>
                <w:sz w:val="20"/>
                <w:szCs w:val="20"/>
              </w:rPr>
            </w:pPr>
          </w:p>
        </w:tc>
        <w:tc>
          <w:tcPr>
            <w:tcW w:w="0" w:type="auto"/>
            <w:vAlign w:val="center"/>
            <w:hideMark/>
          </w:tcPr>
          <w:p w14:paraId="12B9A7D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69DE8A" w14:textId="77777777" w:rsidR="00000000" w:rsidRDefault="00405D16">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338B4DBE"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02324460" w14:textId="77777777" w:rsidR="00000000" w:rsidRDefault="00405D16">
            <w:pPr>
              <w:spacing w:after="100"/>
              <w:jc w:val="right"/>
              <w:rPr>
                <w:rFonts w:eastAsia="Times New Roman"/>
              </w:rPr>
            </w:pPr>
          </w:p>
        </w:tc>
        <w:tc>
          <w:tcPr>
            <w:tcW w:w="0" w:type="auto"/>
            <w:gridSpan w:val="3"/>
            <w:vAlign w:val="center"/>
            <w:hideMark/>
          </w:tcPr>
          <w:p w14:paraId="5D75BBE3" w14:textId="77777777" w:rsidR="00000000" w:rsidRDefault="00405D16">
            <w:pPr>
              <w:spacing w:after="100"/>
              <w:rPr>
                <w:rFonts w:eastAsia="Times New Roman"/>
                <w:sz w:val="20"/>
                <w:szCs w:val="20"/>
              </w:rPr>
            </w:pPr>
          </w:p>
        </w:tc>
      </w:tr>
      <w:tr w:rsidR="00000000" w14:paraId="064A76BE" w14:textId="77777777">
        <w:trPr>
          <w:divId w:val="1807164682"/>
        </w:trPr>
        <w:tc>
          <w:tcPr>
            <w:tcW w:w="0" w:type="auto"/>
            <w:gridSpan w:val="3"/>
            <w:shd w:val="clear" w:color="auto" w:fill="CCEEFF"/>
            <w:tcMar>
              <w:top w:w="30" w:type="dxa"/>
              <w:left w:w="20" w:type="dxa"/>
              <w:bottom w:w="30" w:type="dxa"/>
              <w:right w:w="20" w:type="dxa"/>
            </w:tcMar>
            <w:vAlign w:val="center"/>
            <w:hideMark/>
          </w:tcPr>
          <w:p w14:paraId="45C521A5" w14:textId="77777777" w:rsidR="00000000" w:rsidRDefault="00405D16">
            <w:pPr>
              <w:spacing w:after="100"/>
              <w:rPr>
                <w:rFonts w:eastAsia="Times New Roman"/>
              </w:rPr>
            </w:pPr>
            <w:r>
              <w:rPr>
                <w:rFonts w:eastAsia="Times New Roman"/>
                <w:color w:val="000000"/>
                <w:sz w:val="18"/>
                <w:szCs w:val="18"/>
              </w:rPr>
              <w:t>Income from continuing operations, net of tax</w:t>
            </w:r>
          </w:p>
        </w:tc>
        <w:tc>
          <w:tcPr>
            <w:tcW w:w="0" w:type="auto"/>
            <w:gridSpan w:val="3"/>
            <w:shd w:val="clear" w:color="auto" w:fill="CCEEFF"/>
            <w:tcMar>
              <w:top w:w="0" w:type="dxa"/>
              <w:left w:w="20" w:type="dxa"/>
              <w:bottom w:w="0" w:type="dxa"/>
              <w:right w:w="20" w:type="dxa"/>
            </w:tcMar>
            <w:vAlign w:val="center"/>
            <w:hideMark/>
          </w:tcPr>
          <w:p w14:paraId="36A88086"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9575663"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69A1FA2" w14:textId="77777777" w:rsidR="00000000" w:rsidRDefault="00405D16">
            <w:pPr>
              <w:spacing w:after="100"/>
              <w:jc w:val="right"/>
              <w:rPr>
                <w:rFonts w:eastAsia="Times New Roman"/>
              </w:rPr>
            </w:pPr>
            <w:r>
              <w:rPr>
                <w:rFonts w:eastAsia="Times New Roman"/>
                <w:b/>
                <w:bCs/>
                <w:color w:val="000000"/>
                <w:sz w:val="18"/>
                <w:szCs w:val="18"/>
              </w:rPr>
              <w:t>909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1BC538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DC6AE9"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2FE2778"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B3CE143" w14:textId="77777777" w:rsidR="00000000" w:rsidRDefault="00405D16">
            <w:pPr>
              <w:spacing w:after="100"/>
              <w:jc w:val="right"/>
              <w:rPr>
                <w:rFonts w:eastAsia="Times New Roman"/>
              </w:rPr>
            </w:pPr>
            <w:r>
              <w:rPr>
                <w:rFonts w:eastAsia="Times New Roman"/>
                <w:color w:val="000000"/>
                <w:sz w:val="18"/>
                <w:szCs w:val="18"/>
              </w:rPr>
              <w:t>796 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99AA9C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70C48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A2FA16A" w14:textId="77777777" w:rsidR="00000000" w:rsidRDefault="00405D16">
            <w:pPr>
              <w:spacing w:after="100"/>
              <w:jc w:val="right"/>
              <w:rPr>
                <w:rFonts w:eastAsia="Times New Roman"/>
              </w:rPr>
            </w:pPr>
            <w:r>
              <w:rPr>
                <w:rFonts w:eastAsia="Times New Roman"/>
                <w:color w:val="000000"/>
                <w:sz w:val="18"/>
                <w:szCs w:val="18"/>
              </w:rPr>
              <w:t>14 </w:t>
            </w:r>
          </w:p>
        </w:tc>
        <w:tc>
          <w:tcPr>
            <w:tcW w:w="0" w:type="auto"/>
            <w:shd w:val="clear" w:color="auto" w:fill="CCEEFF"/>
            <w:tcMar>
              <w:top w:w="30" w:type="dxa"/>
              <w:left w:w="0" w:type="dxa"/>
              <w:bottom w:w="30" w:type="dxa"/>
              <w:right w:w="20" w:type="dxa"/>
            </w:tcMar>
            <w:vAlign w:val="center"/>
            <w:hideMark/>
          </w:tcPr>
          <w:p w14:paraId="705058D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6C26B0"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11502FB"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E20373F" w14:textId="77777777" w:rsidR="00000000" w:rsidRDefault="00405D16">
            <w:pPr>
              <w:spacing w:after="100"/>
              <w:jc w:val="right"/>
              <w:rPr>
                <w:rFonts w:eastAsia="Times New Roman"/>
              </w:rPr>
            </w:pPr>
            <w:r>
              <w:rPr>
                <w:rFonts w:eastAsia="Times New Roman"/>
                <w:b/>
                <w:bCs/>
                <w:color w:val="000000"/>
                <w:sz w:val="18"/>
                <w:szCs w:val="18"/>
              </w:rPr>
              <w:t>2,902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4F41A1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9ACD83"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4CAE18D"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63B9238" w14:textId="77777777" w:rsidR="00000000" w:rsidRDefault="00405D16">
            <w:pPr>
              <w:spacing w:after="100"/>
              <w:jc w:val="right"/>
              <w:rPr>
                <w:rFonts w:eastAsia="Times New Roman"/>
              </w:rPr>
            </w:pPr>
            <w:r>
              <w:rPr>
                <w:rFonts w:eastAsia="Times New Roman"/>
                <w:color w:val="000000"/>
                <w:sz w:val="18"/>
                <w:szCs w:val="18"/>
              </w:rPr>
              <w:t>630 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66570CB" w14:textId="77777777" w:rsidR="00000000" w:rsidRDefault="00405D16">
            <w:pPr>
              <w:spacing w:after="100"/>
              <w:jc w:val="right"/>
              <w:rPr>
                <w:rFonts w:eastAsia="Times New Roman"/>
              </w:rPr>
            </w:pPr>
          </w:p>
        </w:tc>
        <w:tc>
          <w:tcPr>
            <w:tcW w:w="0" w:type="auto"/>
            <w:vAlign w:val="center"/>
            <w:hideMark/>
          </w:tcPr>
          <w:p w14:paraId="5CA4FEBA" w14:textId="77777777" w:rsidR="00000000" w:rsidRDefault="00405D16">
            <w:pPr>
              <w:spacing w:after="100"/>
              <w:jc w:val="right"/>
              <w:rPr>
                <w:rFonts w:eastAsia="Times New Roman"/>
                <w:sz w:val="20"/>
                <w:szCs w:val="20"/>
              </w:rPr>
            </w:pPr>
          </w:p>
        </w:tc>
        <w:tc>
          <w:tcPr>
            <w:tcW w:w="0" w:type="auto"/>
            <w:vAlign w:val="center"/>
            <w:hideMark/>
          </w:tcPr>
          <w:p w14:paraId="40CCFD6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219450" w14:textId="77777777" w:rsidR="00000000" w:rsidRDefault="00405D16">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0A437045"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5836CB2D" w14:textId="77777777" w:rsidR="00000000" w:rsidRDefault="00405D16">
            <w:pPr>
              <w:spacing w:after="100"/>
              <w:jc w:val="right"/>
              <w:rPr>
                <w:rFonts w:eastAsia="Times New Roman"/>
              </w:rPr>
            </w:pPr>
          </w:p>
        </w:tc>
        <w:tc>
          <w:tcPr>
            <w:tcW w:w="0" w:type="auto"/>
            <w:gridSpan w:val="3"/>
            <w:vAlign w:val="center"/>
            <w:hideMark/>
          </w:tcPr>
          <w:p w14:paraId="491D5B75" w14:textId="77777777" w:rsidR="00000000" w:rsidRDefault="00405D16">
            <w:pPr>
              <w:spacing w:after="100"/>
              <w:rPr>
                <w:rFonts w:eastAsia="Times New Roman"/>
                <w:sz w:val="20"/>
                <w:szCs w:val="20"/>
              </w:rPr>
            </w:pPr>
          </w:p>
        </w:tc>
      </w:tr>
      <w:tr w:rsidR="00000000" w14:paraId="2BB85ED6" w14:textId="77777777">
        <w:trPr>
          <w:divId w:val="1807164682"/>
        </w:trPr>
        <w:tc>
          <w:tcPr>
            <w:tcW w:w="0" w:type="auto"/>
            <w:gridSpan w:val="3"/>
            <w:shd w:val="clear" w:color="auto" w:fill="FFFFFF"/>
            <w:tcMar>
              <w:top w:w="30" w:type="dxa"/>
              <w:left w:w="20" w:type="dxa"/>
              <w:bottom w:w="30" w:type="dxa"/>
              <w:right w:w="20" w:type="dxa"/>
            </w:tcMar>
            <w:vAlign w:val="center"/>
            <w:hideMark/>
          </w:tcPr>
          <w:p w14:paraId="71BA0554" w14:textId="77777777" w:rsidR="00000000" w:rsidRDefault="00405D16">
            <w:pPr>
              <w:spacing w:after="100"/>
              <w:rPr>
                <w:rFonts w:eastAsia="Times New Roman"/>
              </w:rPr>
            </w:pPr>
            <w:r>
              <w:rPr>
                <w:rFonts w:eastAsia="Times New Roman"/>
                <w:b/>
                <w:bCs/>
                <w:color w:val="000000"/>
                <w:sz w:val="18"/>
                <w:szCs w:val="18"/>
              </w:rPr>
              <w:t>Selected performance metrics:</w:t>
            </w:r>
          </w:p>
        </w:tc>
        <w:tc>
          <w:tcPr>
            <w:tcW w:w="0" w:type="auto"/>
            <w:gridSpan w:val="3"/>
            <w:shd w:val="clear" w:color="auto" w:fill="FFFFFF"/>
            <w:tcMar>
              <w:top w:w="0" w:type="dxa"/>
              <w:left w:w="20" w:type="dxa"/>
              <w:bottom w:w="0" w:type="dxa"/>
              <w:right w:w="20" w:type="dxa"/>
            </w:tcMar>
            <w:vAlign w:val="center"/>
            <w:hideMark/>
          </w:tcPr>
          <w:p w14:paraId="086B4B19" w14:textId="77777777" w:rsidR="00000000" w:rsidRDefault="00405D16">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72CC0F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F4B1FB"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85CBEA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09F52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0F1B7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9D311E"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D722F0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83054C"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D6F01DC" w14:textId="77777777" w:rsidR="00000000" w:rsidRDefault="00405D16">
            <w:pPr>
              <w:spacing w:after="100"/>
              <w:rPr>
                <w:rFonts w:eastAsia="Times New Roman"/>
                <w:sz w:val="20"/>
                <w:szCs w:val="20"/>
              </w:rPr>
            </w:pPr>
          </w:p>
        </w:tc>
        <w:tc>
          <w:tcPr>
            <w:tcW w:w="0" w:type="auto"/>
            <w:vAlign w:val="center"/>
            <w:hideMark/>
          </w:tcPr>
          <w:p w14:paraId="06A7392E" w14:textId="77777777" w:rsidR="00000000" w:rsidRDefault="00405D16">
            <w:pPr>
              <w:spacing w:after="100"/>
              <w:rPr>
                <w:rFonts w:eastAsia="Times New Roman"/>
                <w:sz w:val="20"/>
                <w:szCs w:val="20"/>
              </w:rPr>
            </w:pPr>
          </w:p>
        </w:tc>
        <w:tc>
          <w:tcPr>
            <w:tcW w:w="0" w:type="auto"/>
            <w:vAlign w:val="center"/>
            <w:hideMark/>
          </w:tcPr>
          <w:p w14:paraId="58494E8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56B9C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220999" w14:textId="77777777" w:rsidR="00000000" w:rsidRDefault="00405D16">
            <w:pPr>
              <w:spacing w:after="100"/>
              <w:rPr>
                <w:rFonts w:eastAsia="Times New Roman"/>
                <w:sz w:val="20"/>
                <w:szCs w:val="20"/>
              </w:rPr>
            </w:pPr>
          </w:p>
        </w:tc>
        <w:tc>
          <w:tcPr>
            <w:tcW w:w="0" w:type="auto"/>
            <w:gridSpan w:val="3"/>
            <w:vAlign w:val="center"/>
            <w:hideMark/>
          </w:tcPr>
          <w:p w14:paraId="6DD6E12F" w14:textId="77777777" w:rsidR="00000000" w:rsidRDefault="00405D16">
            <w:pPr>
              <w:spacing w:after="100"/>
              <w:rPr>
                <w:rFonts w:eastAsia="Times New Roman"/>
                <w:sz w:val="20"/>
                <w:szCs w:val="20"/>
              </w:rPr>
            </w:pPr>
          </w:p>
        </w:tc>
        <w:tc>
          <w:tcPr>
            <w:tcW w:w="0" w:type="auto"/>
            <w:gridSpan w:val="3"/>
            <w:vAlign w:val="center"/>
            <w:hideMark/>
          </w:tcPr>
          <w:p w14:paraId="6789C786" w14:textId="77777777" w:rsidR="00000000" w:rsidRDefault="00405D16">
            <w:pPr>
              <w:spacing w:after="100"/>
              <w:rPr>
                <w:rFonts w:eastAsia="Times New Roman"/>
                <w:sz w:val="20"/>
                <w:szCs w:val="20"/>
              </w:rPr>
            </w:pPr>
          </w:p>
        </w:tc>
      </w:tr>
      <w:tr w:rsidR="00000000" w14:paraId="735EC691" w14:textId="77777777">
        <w:trPr>
          <w:divId w:val="1807164682"/>
        </w:trPr>
        <w:tc>
          <w:tcPr>
            <w:tcW w:w="0" w:type="auto"/>
            <w:gridSpan w:val="3"/>
            <w:shd w:val="clear" w:color="auto" w:fill="CCEEFF"/>
            <w:tcMar>
              <w:top w:w="30" w:type="dxa"/>
              <w:left w:w="20" w:type="dxa"/>
              <w:bottom w:w="30" w:type="dxa"/>
              <w:right w:w="20" w:type="dxa"/>
            </w:tcMar>
            <w:vAlign w:val="center"/>
            <w:hideMark/>
          </w:tcPr>
          <w:p w14:paraId="5B1AF495" w14:textId="77777777" w:rsidR="00000000" w:rsidRDefault="00405D16">
            <w:pPr>
              <w:spacing w:after="100"/>
              <w:rPr>
                <w:rFonts w:eastAsia="Times New Roman"/>
              </w:rPr>
            </w:pPr>
            <w:r>
              <w:rPr>
                <w:rFonts w:eastAsia="Times New Roman"/>
                <w:color w:val="000000"/>
                <w:sz w:val="18"/>
                <w:szCs w:val="18"/>
              </w:rPr>
              <w:t>Average loans held for investment:</w:t>
            </w:r>
          </w:p>
        </w:tc>
        <w:tc>
          <w:tcPr>
            <w:tcW w:w="0" w:type="auto"/>
            <w:gridSpan w:val="3"/>
            <w:shd w:val="clear" w:color="auto" w:fill="CCEEFF"/>
            <w:tcMar>
              <w:top w:w="0" w:type="dxa"/>
              <w:left w:w="20" w:type="dxa"/>
              <w:bottom w:w="0" w:type="dxa"/>
              <w:right w:w="20" w:type="dxa"/>
            </w:tcMar>
            <w:vAlign w:val="center"/>
            <w:hideMark/>
          </w:tcPr>
          <w:p w14:paraId="3425E4DA"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C9482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E2BD0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7B088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03832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CB540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63308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49E71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341A3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DF02FB" w14:textId="77777777" w:rsidR="00000000" w:rsidRDefault="00405D16">
            <w:pPr>
              <w:spacing w:after="100"/>
              <w:rPr>
                <w:rFonts w:eastAsia="Times New Roman"/>
                <w:sz w:val="20"/>
                <w:szCs w:val="20"/>
              </w:rPr>
            </w:pPr>
          </w:p>
        </w:tc>
        <w:tc>
          <w:tcPr>
            <w:tcW w:w="0" w:type="auto"/>
            <w:vAlign w:val="center"/>
            <w:hideMark/>
          </w:tcPr>
          <w:p w14:paraId="3D821DD8" w14:textId="77777777" w:rsidR="00000000" w:rsidRDefault="00405D16">
            <w:pPr>
              <w:spacing w:after="100"/>
              <w:rPr>
                <w:rFonts w:eastAsia="Times New Roman"/>
                <w:sz w:val="20"/>
                <w:szCs w:val="20"/>
              </w:rPr>
            </w:pPr>
          </w:p>
        </w:tc>
        <w:tc>
          <w:tcPr>
            <w:tcW w:w="0" w:type="auto"/>
            <w:vAlign w:val="center"/>
            <w:hideMark/>
          </w:tcPr>
          <w:p w14:paraId="43BFBCF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C10CE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17A93E" w14:textId="77777777" w:rsidR="00000000" w:rsidRDefault="00405D16">
            <w:pPr>
              <w:spacing w:after="100"/>
              <w:rPr>
                <w:rFonts w:eastAsia="Times New Roman"/>
                <w:sz w:val="20"/>
                <w:szCs w:val="20"/>
              </w:rPr>
            </w:pPr>
          </w:p>
        </w:tc>
        <w:tc>
          <w:tcPr>
            <w:tcW w:w="0" w:type="auto"/>
            <w:gridSpan w:val="3"/>
            <w:vAlign w:val="center"/>
            <w:hideMark/>
          </w:tcPr>
          <w:p w14:paraId="40C48E62" w14:textId="77777777" w:rsidR="00000000" w:rsidRDefault="00405D16">
            <w:pPr>
              <w:spacing w:after="100"/>
              <w:rPr>
                <w:rFonts w:eastAsia="Times New Roman"/>
                <w:sz w:val="20"/>
                <w:szCs w:val="20"/>
              </w:rPr>
            </w:pPr>
          </w:p>
        </w:tc>
        <w:tc>
          <w:tcPr>
            <w:tcW w:w="0" w:type="auto"/>
            <w:gridSpan w:val="3"/>
            <w:vAlign w:val="center"/>
            <w:hideMark/>
          </w:tcPr>
          <w:p w14:paraId="4F971DCB" w14:textId="77777777" w:rsidR="00000000" w:rsidRDefault="00405D16">
            <w:pPr>
              <w:spacing w:after="100"/>
              <w:rPr>
                <w:rFonts w:eastAsia="Times New Roman"/>
                <w:sz w:val="20"/>
                <w:szCs w:val="20"/>
              </w:rPr>
            </w:pPr>
          </w:p>
        </w:tc>
      </w:tr>
      <w:tr w:rsidR="00000000" w14:paraId="7F27D6E0" w14:textId="77777777">
        <w:trPr>
          <w:divId w:val="1807164682"/>
        </w:trPr>
        <w:tc>
          <w:tcPr>
            <w:tcW w:w="0" w:type="auto"/>
            <w:gridSpan w:val="3"/>
            <w:shd w:val="clear" w:color="auto" w:fill="FFFFFF"/>
            <w:tcMar>
              <w:top w:w="30" w:type="dxa"/>
              <w:left w:w="245" w:type="dxa"/>
              <w:bottom w:w="30" w:type="dxa"/>
              <w:right w:w="20" w:type="dxa"/>
            </w:tcMar>
            <w:vAlign w:val="center"/>
            <w:hideMark/>
          </w:tcPr>
          <w:p w14:paraId="15F49001" w14:textId="77777777" w:rsidR="00000000" w:rsidRDefault="00405D16">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14:paraId="62453C6B"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152BCEB5"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4CA5B691" w14:textId="77777777" w:rsidR="00000000" w:rsidRDefault="00405D16">
            <w:pPr>
              <w:spacing w:after="100"/>
              <w:jc w:val="right"/>
              <w:rPr>
                <w:rFonts w:eastAsia="Times New Roman"/>
              </w:rPr>
            </w:pPr>
            <w:r>
              <w:rPr>
                <w:rFonts w:eastAsia="Times New Roman"/>
                <w:b/>
                <w:bCs/>
                <w:color w:val="000000"/>
                <w:sz w:val="18"/>
                <w:szCs w:val="18"/>
              </w:rPr>
              <w:t>73,296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C59B71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D19BBC"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C5065D8"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435FF48C" w14:textId="77777777" w:rsidR="00000000" w:rsidRDefault="00405D16">
            <w:pPr>
              <w:spacing w:after="100"/>
              <w:jc w:val="right"/>
              <w:rPr>
                <w:rFonts w:eastAsia="Times New Roman"/>
              </w:rPr>
            </w:pPr>
            <w:r>
              <w:rPr>
                <w:rFonts w:eastAsia="Times New Roman"/>
                <w:color w:val="000000"/>
                <w:sz w:val="18"/>
                <w:szCs w:val="18"/>
              </w:rPr>
              <w:t>64,476 </w:t>
            </w:r>
          </w:p>
        </w:tc>
        <w:tc>
          <w:tcPr>
            <w:tcW w:w="0" w:type="auto"/>
            <w:shd w:val="clear" w:color="auto" w:fill="FFFFFF"/>
            <w:tcMar>
              <w:top w:w="30" w:type="dxa"/>
              <w:left w:w="0" w:type="dxa"/>
              <w:bottom w:w="30" w:type="dxa"/>
              <w:right w:w="20" w:type="dxa"/>
            </w:tcMar>
            <w:vAlign w:val="center"/>
            <w:hideMark/>
          </w:tcPr>
          <w:p w14:paraId="533579F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951A8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4268090" w14:textId="77777777" w:rsidR="00000000" w:rsidRDefault="00405D16">
            <w:pPr>
              <w:spacing w:after="100"/>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center"/>
            <w:hideMark/>
          </w:tcPr>
          <w:p w14:paraId="541EC28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1A2B1C"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5F49820"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437D045A" w14:textId="77777777" w:rsidR="00000000" w:rsidRDefault="00405D16">
            <w:pPr>
              <w:spacing w:after="100"/>
              <w:jc w:val="right"/>
              <w:rPr>
                <w:rFonts w:eastAsia="Times New Roman"/>
              </w:rPr>
            </w:pPr>
            <w:r>
              <w:rPr>
                <w:rFonts w:eastAsia="Times New Roman"/>
                <w:b/>
                <w:bCs/>
                <w:color w:val="000000"/>
                <w:sz w:val="18"/>
                <w:szCs w:val="18"/>
              </w:rPr>
              <w:t>69,700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E1CCCE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EEB74E"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DFAF3F1"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7F6D3EC3" w14:textId="77777777" w:rsidR="00000000" w:rsidRDefault="00405D16">
            <w:pPr>
              <w:spacing w:after="100"/>
              <w:jc w:val="right"/>
              <w:rPr>
                <w:rFonts w:eastAsia="Times New Roman"/>
              </w:rPr>
            </w:pPr>
            <w:r>
              <w:rPr>
                <w:rFonts w:eastAsia="Times New Roman"/>
                <w:color w:val="000000"/>
                <w:sz w:val="18"/>
                <w:szCs w:val="18"/>
              </w:rPr>
              <w:t>62,434 </w:t>
            </w:r>
          </w:p>
        </w:tc>
        <w:tc>
          <w:tcPr>
            <w:tcW w:w="0" w:type="auto"/>
            <w:shd w:val="clear" w:color="auto" w:fill="FFFFFF"/>
            <w:tcMar>
              <w:top w:w="30" w:type="dxa"/>
              <w:left w:w="0" w:type="dxa"/>
              <w:bottom w:w="30" w:type="dxa"/>
              <w:right w:w="20" w:type="dxa"/>
            </w:tcMar>
            <w:vAlign w:val="center"/>
            <w:hideMark/>
          </w:tcPr>
          <w:p w14:paraId="1D0DB35B" w14:textId="77777777" w:rsidR="00000000" w:rsidRDefault="00405D16">
            <w:pPr>
              <w:spacing w:after="100"/>
              <w:jc w:val="right"/>
              <w:rPr>
                <w:rFonts w:eastAsia="Times New Roman"/>
              </w:rPr>
            </w:pPr>
          </w:p>
        </w:tc>
        <w:tc>
          <w:tcPr>
            <w:tcW w:w="0" w:type="auto"/>
            <w:vAlign w:val="center"/>
            <w:hideMark/>
          </w:tcPr>
          <w:p w14:paraId="31A66EEB" w14:textId="77777777" w:rsidR="00000000" w:rsidRDefault="00405D16">
            <w:pPr>
              <w:spacing w:after="100"/>
              <w:jc w:val="right"/>
              <w:rPr>
                <w:rFonts w:eastAsia="Times New Roman"/>
                <w:sz w:val="20"/>
                <w:szCs w:val="20"/>
              </w:rPr>
            </w:pPr>
          </w:p>
        </w:tc>
        <w:tc>
          <w:tcPr>
            <w:tcW w:w="0" w:type="auto"/>
            <w:vAlign w:val="center"/>
            <w:hideMark/>
          </w:tcPr>
          <w:p w14:paraId="58FA047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891914"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893C651" w14:textId="77777777" w:rsidR="00000000" w:rsidRDefault="00405D16">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center"/>
            <w:hideMark/>
          </w:tcPr>
          <w:p w14:paraId="682BF826" w14:textId="77777777" w:rsidR="00000000" w:rsidRDefault="00405D16">
            <w:pPr>
              <w:spacing w:after="100"/>
              <w:jc w:val="right"/>
              <w:rPr>
                <w:rFonts w:eastAsia="Times New Roman"/>
              </w:rPr>
            </w:pPr>
          </w:p>
        </w:tc>
        <w:tc>
          <w:tcPr>
            <w:tcW w:w="0" w:type="auto"/>
            <w:gridSpan w:val="3"/>
            <w:vAlign w:val="center"/>
            <w:hideMark/>
          </w:tcPr>
          <w:p w14:paraId="79DBCB21" w14:textId="77777777" w:rsidR="00000000" w:rsidRDefault="00405D16">
            <w:pPr>
              <w:spacing w:after="100"/>
              <w:jc w:val="right"/>
              <w:rPr>
                <w:rFonts w:eastAsia="Times New Roman"/>
                <w:sz w:val="20"/>
                <w:szCs w:val="20"/>
              </w:rPr>
            </w:pPr>
          </w:p>
        </w:tc>
        <w:tc>
          <w:tcPr>
            <w:tcW w:w="0" w:type="auto"/>
            <w:gridSpan w:val="3"/>
            <w:vAlign w:val="center"/>
            <w:hideMark/>
          </w:tcPr>
          <w:p w14:paraId="000C9E76" w14:textId="77777777" w:rsidR="00000000" w:rsidRDefault="00405D16">
            <w:pPr>
              <w:spacing w:after="100"/>
              <w:rPr>
                <w:rFonts w:eastAsia="Times New Roman"/>
                <w:sz w:val="20"/>
                <w:szCs w:val="20"/>
              </w:rPr>
            </w:pPr>
          </w:p>
        </w:tc>
      </w:tr>
      <w:tr w:rsidR="00000000" w14:paraId="4EF1DA49" w14:textId="77777777">
        <w:trPr>
          <w:divId w:val="1807164682"/>
        </w:trPr>
        <w:tc>
          <w:tcPr>
            <w:tcW w:w="0" w:type="auto"/>
            <w:gridSpan w:val="3"/>
            <w:shd w:val="clear" w:color="auto" w:fill="CCEEFF"/>
            <w:tcMar>
              <w:top w:w="30" w:type="dxa"/>
              <w:left w:w="245" w:type="dxa"/>
              <w:bottom w:w="30" w:type="dxa"/>
              <w:right w:w="20" w:type="dxa"/>
            </w:tcMar>
            <w:vAlign w:val="center"/>
            <w:hideMark/>
          </w:tcPr>
          <w:p w14:paraId="366B508E" w14:textId="77777777" w:rsidR="00000000" w:rsidRDefault="00405D16">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14:paraId="4DFE1E8B"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8E694DD" w14:textId="77777777" w:rsidR="00000000" w:rsidRDefault="00405D16">
            <w:pPr>
              <w:spacing w:after="100"/>
              <w:jc w:val="right"/>
              <w:rPr>
                <w:rFonts w:eastAsia="Times New Roman"/>
              </w:rPr>
            </w:pPr>
            <w:r>
              <w:rPr>
                <w:rFonts w:eastAsia="Times New Roman"/>
                <w:b/>
                <w:bCs/>
                <w:color w:val="000000"/>
                <w:sz w:val="18"/>
                <w:szCs w:val="18"/>
              </w:rPr>
              <w:t>2,700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0E9980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7967A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88982B3" w14:textId="77777777" w:rsidR="00000000" w:rsidRDefault="00405D16">
            <w:pPr>
              <w:spacing w:after="100"/>
              <w:jc w:val="right"/>
              <w:rPr>
                <w:rFonts w:eastAsia="Times New Roman"/>
              </w:rPr>
            </w:pPr>
            <w:r>
              <w:rPr>
                <w:rFonts w:eastAsia="Times New Roman"/>
                <w:color w:val="000000"/>
                <w:sz w:val="18"/>
                <w:szCs w:val="18"/>
              </w:rPr>
              <w:t>3,346 </w:t>
            </w:r>
          </w:p>
        </w:tc>
        <w:tc>
          <w:tcPr>
            <w:tcW w:w="0" w:type="auto"/>
            <w:shd w:val="clear" w:color="auto" w:fill="CCEEFF"/>
            <w:tcMar>
              <w:top w:w="30" w:type="dxa"/>
              <w:left w:w="0" w:type="dxa"/>
              <w:bottom w:w="30" w:type="dxa"/>
              <w:right w:w="20" w:type="dxa"/>
            </w:tcMar>
            <w:vAlign w:val="center"/>
            <w:hideMark/>
          </w:tcPr>
          <w:p w14:paraId="3E67E67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0244F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91CA5B9" w14:textId="77777777" w:rsidR="00000000" w:rsidRDefault="00405D16">
            <w:pPr>
              <w:spacing w:after="100"/>
              <w:jc w:val="right"/>
              <w:rPr>
                <w:rFonts w:eastAsia="Times New Roman"/>
              </w:rPr>
            </w:pPr>
            <w:r>
              <w:rPr>
                <w:rFonts w:eastAsia="Times New Roman"/>
                <w:color w:val="000000"/>
                <w:sz w:val="18"/>
                <w:szCs w:val="18"/>
              </w:rPr>
              <w:t>(19)</w:t>
            </w:r>
          </w:p>
        </w:tc>
        <w:tc>
          <w:tcPr>
            <w:tcW w:w="0" w:type="auto"/>
            <w:shd w:val="clear" w:color="auto" w:fill="CCEEFF"/>
            <w:tcMar>
              <w:top w:w="30" w:type="dxa"/>
              <w:left w:w="0" w:type="dxa"/>
              <w:bottom w:w="30" w:type="dxa"/>
              <w:right w:w="20" w:type="dxa"/>
            </w:tcMar>
            <w:vAlign w:val="center"/>
            <w:hideMark/>
          </w:tcPr>
          <w:p w14:paraId="5B0E9CE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A6E72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FFF49DE" w14:textId="77777777" w:rsidR="00000000" w:rsidRDefault="00405D16">
            <w:pPr>
              <w:spacing w:after="100"/>
              <w:jc w:val="right"/>
              <w:rPr>
                <w:rFonts w:eastAsia="Times New Roman"/>
              </w:rPr>
            </w:pPr>
            <w:r>
              <w:rPr>
                <w:rFonts w:eastAsia="Times New Roman"/>
                <w:b/>
                <w:bCs/>
                <w:color w:val="000000"/>
                <w:sz w:val="18"/>
                <w:szCs w:val="18"/>
              </w:rPr>
              <w:t>2,969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FC19D0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B28F3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A2CA06D" w14:textId="77777777" w:rsidR="00000000" w:rsidRDefault="00405D16">
            <w:pPr>
              <w:spacing w:after="100"/>
              <w:jc w:val="right"/>
              <w:rPr>
                <w:rFonts w:eastAsia="Times New Roman"/>
              </w:rPr>
            </w:pPr>
            <w:r>
              <w:rPr>
                <w:rFonts w:eastAsia="Times New Roman"/>
                <w:color w:val="000000"/>
                <w:sz w:val="18"/>
                <w:szCs w:val="18"/>
              </w:rPr>
              <w:t>3,023 </w:t>
            </w:r>
          </w:p>
        </w:tc>
        <w:tc>
          <w:tcPr>
            <w:tcW w:w="0" w:type="auto"/>
            <w:shd w:val="clear" w:color="auto" w:fill="CCEEFF"/>
            <w:tcMar>
              <w:top w:w="30" w:type="dxa"/>
              <w:left w:w="0" w:type="dxa"/>
              <w:bottom w:w="30" w:type="dxa"/>
              <w:right w:w="20" w:type="dxa"/>
            </w:tcMar>
            <w:vAlign w:val="center"/>
            <w:hideMark/>
          </w:tcPr>
          <w:p w14:paraId="6D13239A" w14:textId="77777777" w:rsidR="00000000" w:rsidRDefault="00405D16">
            <w:pPr>
              <w:spacing w:after="100"/>
              <w:jc w:val="right"/>
              <w:rPr>
                <w:rFonts w:eastAsia="Times New Roman"/>
              </w:rPr>
            </w:pPr>
          </w:p>
        </w:tc>
        <w:tc>
          <w:tcPr>
            <w:tcW w:w="0" w:type="auto"/>
            <w:vAlign w:val="center"/>
            <w:hideMark/>
          </w:tcPr>
          <w:p w14:paraId="1249B905" w14:textId="77777777" w:rsidR="00000000" w:rsidRDefault="00405D16">
            <w:pPr>
              <w:spacing w:after="100"/>
              <w:jc w:val="right"/>
              <w:rPr>
                <w:rFonts w:eastAsia="Times New Roman"/>
                <w:sz w:val="20"/>
                <w:szCs w:val="20"/>
              </w:rPr>
            </w:pPr>
          </w:p>
        </w:tc>
        <w:tc>
          <w:tcPr>
            <w:tcW w:w="0" w:type="auto"/>
            <w:vAlign w:val="center"/>
            <w:hideMark/>
          </w:tcPr>
          <w:p w14:paraId="314BA1D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8CE20A"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0C87C29" w14:textId="77777777" w:rsidR="00000000" w:rsidRDefault="00405D16">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center"/>
            <w:hideMark/>
          </w:tcPr>
          <w:p w14:paraId="06502BA2" w14:textId="77777777" w:rsidR="00000000" w:rsidRDefault="00405D16">
            <w:pPr>
              <w:spacing w:after="100"/>
              <w:jc w:val="right"/>
              <w:rPr>
                <w:rFonts w:eastAsia="Times New Roman"/>
              </w:rPr>
            </w:pPr>
          </w:p>
        </w:tc>
        <w:tc>
          <w:tcPr>
            <w:tcW w:w="0" w:type="auto"/>
            <w:gridSpan w:val="3"/>
            <w:vAlign w:val="center"/>
            <w:hideMark/>
          </w:tcPr>
          <w:p w14:paraId="4CA68732" w14:textId="77777777" w:rsidR="00000000" w:rsidRDefault="00405D16">
            <w:pPr>
              <w:spacing w:after="100"/>
              <w:jc w:val="right"/>
              <w:rPr>
                <w:rFonts w:eastAsia="Times New Roman"/>
                <w:sz w:val="20"/>
                <w:szCs w:val="20"/>
              </w:rPr>
            </w:pPr>
          </w:p>
        </w:tc>
        <w:tc>
          <w:tcPr>
            <w:tcW w:w="0" w:type="auto"/>
            <w:gridSpan w:val="3"/>
            <w:vAlign w:val="center"/>
            <w:hideMark/>
          </w:tcPr>
          <w:p w14:paraId="2B9D5C7C" w14:textId="77777777" w:rsidR="00000000" w:rsidRDefault="00405D16">
            <w:pPr>
              <w:spacing w:after="100"/>
              <w:rPr>
                <w:rFonts w:eastAsia="Times New Roman"/>
                <w:sz w:val="20"/>
                <w:szCs w:val="20"/>
              </w:rPr>
            </w:pPr>
          </w:p>
        </w:tc>
      </w:tr>
      <w:tr w:rsidR="00000000" w14:paraId="29A8B9BC" w14:textId="77777777">
        <w:trPr>
          <w:divId w:val="1807164682"/>
        </w:trPr>
        <w:tc>
          <w:tcPr>
            <w:tcW w:w="0" w:type="auto"/>
            <w:gridSpan w:val="3"/>
            <w:shd w:val="clear" w:color="auto" w:fill="FFFFFF"/>
            <w:tcMar>
              <w:top w:w="30" w:type="dxa"/>
              <w:left w:w="20" w:type="dxa"/>
              <w:bottom w:w="30" w:type="dxa"/>
              <w:right w:w="20" w:type="dxa"/>
            </w:tcMar>
            <w:vAlign w:val="center"/>
            <w:hideMark/>
          </w:tcPr>
          <w:p w14:paraId="2F50092C" w14:textId="77777777" w:rsidR="00000000" w:rsidRDefault="00405D16">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14:paraId="2C7CB0FB" w14:textId="77777777" w:rsidR="00000000" w:rsidRDefault="00405D16">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469E5869"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43B29C12" w14:textId="77777777" w:rsidR="00000000" w:rsidRDefault="00405D16">
            <w:pPr>
              <w:spacing w:after="100"/>
              <w:jc w:val="right"/>
              <w:rPr>
                <w:rFonts w:eastAsia="Times New Roman"/>
              </w:rPr>
            </w:pPr>
            <w:r>
              <w:rPr>
                <w:rFonts w:eastAsia="Times New Roman"/>
                <w:b/>
                <w:bCs/>
                <w:color w:val="000000"/>
                <w:sz w:val="18"/>
                <w:szCs w:val="18"/>
              </w:rPr>
              <w:t>75,996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61A35E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92D72E"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6A55C7A4"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77D8C6CD" w14:textId="77777777" w:rsidR="00000000" w:rsidRDefault="00405D16">
            <w:pPr>
              <w:spacing w:after="100"/>
              <w:jc w:val="right"/>
              <w:rPr>
                <w:rFonts w:eastAsia="Times New Roman"/>
              </w:rPr>
            </w:pPr>
            <w:r>
              <w:rPr>
                <w:rFonts w:eastAsia="Times New Roman"/>
                <w:color w:val="000000"/>
                <w:sz w:val="18"/>
                <w:szCs w:val="18"/>
              </w:rPr>
              <w:t>67,822 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24F99B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C8C30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AEF545C" w14:textId="77777777" w:rsidR="00000000" w:rsidRDefault="00405D16">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center"/>
            <w:hideMark/>
          </w:tcPr>
          <w:p w14:paraId="4A8445A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721294"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663FA6F5"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32F4F420" w14:textId="77777777" w:rsidR="00000000" w:rsidRDefault="00405D16">
            <w:pPr>
              <w:spacing w:after="100"/>
              <w:jc w:val="right"/>
              <w:rPr>
                <w:rFonts w:eastAsia="Times New Roman"/>
              </w:rPr>
            </w:pPr>
            <w:r>
              <w:rPr>
                <w:rFonts w:eastAsia="Times New Roman"/>
                <w:b/>
                <w:bCs/>
                <w:color w:val="000000"/>
                <w:sz w:val="18"/>
                <w:szCs w:val="18"/>
              </w:rPr>
              <w:t>72,669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A46316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E2756A"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17BF4F7B"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2158F1C9" w14:textId="77777777" w:rsidR="00000000" w:rsidRDefault="00405D16">
            <w:pPr>
              <w:spacing w:after="100"/>
              <w:jc w:val="right"/>
              <w:rPr>
                <w:rFonts w:eastAsia="Times New Roman"/>
              </w:rPr>
            </w:pPr>
            <w:r>
              <w:rPr>
                <w:rFonts w:eastAsia="Times New Roman"/>
                <w:color w:val="000000"/>
                <w:sz w:val="18"/>
                <w:szCs w:val="18"/>
              </w:rPr>
              <w:t>65,457 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C406629" w14:textId="77777777" w:rsidR="00000000" w:rsidRDefault="00405D16">
            <w:pPr>
              <w:spacing w:after="100"/>
              <w:jc w:val="right"/>
              <w:rPr>
                <w:rFonts w:eastAsia="Times New Roman"/>
              </w:rPr>
            </w:pPr>
          </w:p>
        </w:tc>
        <w:tc>
          <w:tcPr>
            <w:tcW w:w="0" w:type="auto"/>
            <w:vAlign w:val="center"/>
            <w:hideMark/>
          </w:tcPr>
          <w:p w14:paraId="7D9C314C" w14:textId="77777777" w:rsidR="00000000" w:rsidRDefault="00405D16">
            <w:pPr>
              <w:spacing w:after="100"/>
              <w:jc w:val="right"/>
              <w:rPr>
                <w:rFonts w:eastAsia="Times New Roman"/>
                <w:sz w:val="20"/>
                <w:szCs w:val="20"/>
              </w:rPr>
            </w:pPr>
          </w:p>
        </w:tc>
        <w:tc>
          <w:tcPr>
            <w:tcW w:w="0" w:type="auto"/>
            <w:vAlign w:val="center"/>
            <w:hideMark/>
          </w:tcPr>
          <w:p w14:paraId="6C1C1AE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421313"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AE2880F" w14:textId="77777777" w:rsidR="00000000" w:rsidRDefault="00405D16">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center"/>
            <w:hideMark/>
          </w:tcPr>
          <w:p w14:paraId="1F8A7E38" w14:textId="77777777" w:rsidR="00000000" w:rsidRDefault="00405D16">
            <w:pPr>
              <w:spacing w:after="100"/>
              <w:jc w:val="right"/>
              <w:rPr>
                <w:rFonts w:eastAsia="Times New Roman"/>
              </w:rPr>
            </w:pPr>
          </w:p>
        </w:tc>
        <w:tc>
          <w:tcPr>
            <w:tcW w:w="0" w:type="auto"/>
            <w:gridSpan w:val="3"/>
            <w:vAlign w:val="center"/>
            <w:hideMark/>
          </w:tcPr>
          <w:p w14:paraId="1F18EADC" w14:textId="77777777" w:rsidR="00000000" w:rsidRDefault="00405D16">
            <w:pPr>
              <w:spacing w:after="100"/>
              <w:jc w:val="right"/>
              <w:rPr>
                <w:rFonts w:eastAsia="Times New Roman"/>
                <w:sz w:val="20"/>
                <w:szCs w:val="20"/>
              </w:rPr>
            </w:pPr>
          </w:p>
        </w:tc>
        <w:tc>
          <w:tcPr>
            <w:tcW w:w="0" w:type="auto"/>
            <w:gridSpan w:val="3"/>
            <w:vAlign w:val="center"/>
            <w:hideMark/>
          </w:tcPr>
          <w:p w14:paraId="19F6BC76" w14:textId="77777777" w:rsidR="00000000" w:rsidRDefault="00405D16">
            <w:pPr>
              <w:spacing w:after="100"/>
              <w:rPr>
                <w:rFonts w:eastAsia="Times New Roman"/>
                <w:sz w:val="20"/>
                <w:szCs w:val="20"/>
              </w:rPr>
            </w:pPr>
          </w:p>
        </w:tc>
      </w:tr>
      <w:tr w:rsidR="00000000" w14:paraId="2224F346" w14:textId="77777777">
        <w:trPr>
          <w:divId w:val="1807164682"/>
        </w:trPr>
        <w:tc>
          <w:tcPr>
            <w:tcW w:w="0" w:type="auto"/>
            <w:gridSpan w:val="3"/>
            <w:shd w:val="clear" w:color="auto" w:fill="CCEEFF"/>
            <w:tcMar>
              <w:top w:w="30" w:type="dxa"/>
              <w:left w:w="20" w:type="dxa"/>
              <w:bottom w:w="30" w:type="dxa"/>
              <w:right w:w="20" w:type="dxa"/>
            </w:tcMar>
            <w:vAlign w:val="center"/>
            <w:hideMark/>
          </w:tcPr>
          <w:p w14:paraId="48EA23FC" w14:textId="77777777" w:rsidR="00000000" w:rsidRDefault="00405D16">
            <w:pPr>
              <w:spacing w:after="100"/>
              <w:divId w:val="610622639"/>
              <w:rPr>
                <w:rFonts w:eastAsia="Times New Roman"/>
              </w:rPr>
            </w:pPr>
            <w:r>
              <w:rPr>
                <w:rFonts w:eastAsia="Times New Roman"/>
                <w:color w:val="000000"/>
                <w:sz w:val="18"/>
                <w:szCs w:val="18"/>
              </w:rPr>
              <w:t>Average yield on loans held for investmen</w:t>
            </w:r>
            <w:r>
              <w:rPr>
                <w:rFonts w:eastAsia="Times New Roman"/>
                <w:color w:val="000000"/>
                <w:sz w:val="18"/>
                <w:szCs w:val="18"/>
              </w:rPr>
              <w:t>t</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59734759" w14:textId="77777777" w:rsidR="00000000" w:rsidRDefault="00405D16">
            <w:pPr>
              <w:spacing w:after="100"/>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center"/>
            <w:hideMark/>
          </w:tcPr>
          <w:p w14:paraId="36850224" w14:textId="77777777" w:rsidR="00000000" w:rsidRDefault="00405D16">
            <w:pPr>
              <w:spacing w:after="100"/>
              <w:jc w:val="right"/>
              <w:rPr>
                <w:rFonts w:eastAsia="Times New Roman"/>
              </w:rPr>
            </w:pPr>
            <w:r>
              <w:rPr>
                <w:rFonts w:eastAsia="Times New Roman"/>
                <w:b/>
                <w:bCs/>
                <w:color w:val="000000"/>
                <w:sz w:val="18"/>
                <w:szCs w:val="18"/>
              </w:rPr>
              <w:t>7.78</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27AFECA1"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315B641" w14:textId="77777777" w:rsidR="00000000" w:rsidRDefault="00405D16">
            <w:pPr>
              <w:spacing w:after="100"/>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center"/>
            <w:hideMark/>
          </w:tcPr>
          <w:p w14:paraId="12FDA652" w14:textId="77777777" w:rsidR="00000000" w:rsidRDefault="00405D16">
            <w:pPr>
              <w:spacing w:after="100"/>
              <w:jc w:val="right"/>
              <w:rPr>
                <w:rFonts w:eastAsia="Times New Roman"/>
              </w:rPr>
            </w:pPr>
            <w:r>
              <w:rPr>
                <w:rFonts w:eastAsia="Times New Roman"/>
                <w:color w:val="000000"/>
                <w:sz w:val="18"/>
                <w:szCs w:val="18"/>
              </w:rPr>
              <w:t>8.36 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27E24EF0" w14:textId="77777777" w:rsidR="00000000" w:rsidRDefault="00405D16">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FFB1B0A"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F491DE8" w14:textId="77777777" w:rsidR="00000000" w:rsidRDefault="00405D16">
            <w:pPr>
              <w:spacing w:after="100"/>
              <w:jc w:val="right"/>
              <w:rPr>
                <w:rFonts w:eastAsia="Times New Roman"/>
              </w:rPr>
            </w:pPr>
            <w:r>
              <w:rPr>
                <w:rFonts w:eastAsia="Times New Roman"/>
                <w:color w:val="000000"/>
                <w:sz w:val="18"/>
                <w:szCs w:val="18"/>
              </w:rPr>
              <w:t>(58)</w:t>
            </w:r>
          </w:p>
        </w:tc>
        <w:tc>
          <w:tcPr>
            <w:tcW w:w="0" w:type="auto"/>
            <w:shd w:val="clear" w:color="auto" w:fill="CCEEFF"/>
            <w:tcMar>
              <w:top w:w="30" w:type="dxa"/>
              <w:left w:w="0" w:type="dxa"/>
              <w:bottom w:w="30" w:type="dxa"/>
              <w:right w:w="20" w:type="dxa"/>
            </w:tcMar>
            <w:vAlign w:val="center"/>
            <w:hideMark/>
          </w:tcPr>
          <w:p w14:paraId="430D2DDD" w14:textId="77777777" w:rsidR="00000000" w:rsidRDefault="00405D16">
            <w:pPr>
              <w:spacing w:after="100"/>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14:paraId="6BA5564B" w14:textId="77777777" w:rsidR="00000000" w:rsidRDefault="00405D16">
            <w:pPr>
              <w:spacing w:after="100"/>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center"/>
            <w:hideMark/>
          </w:tcPr>
          <w:p w14:paraId="40EC6160" w14:textId="77777777" w:rsidR="00000000" w:rsidRDefault="00405D16">
            <w:pPr>
              <w:spacing w:after="100"/>
              <w:jc w:val="right"/>
              <w:rPr>
                <w:rFonts w:eastAsia="Times New Roman"/>
              </w:rPr>
            </w:pPr>
            <w:r>
              <w:rPr>
                <w:rFonts w:eastAsia="Times New Roman"/>
                <w:b/>
                <w:bCs/>
                <w:color w:val="000000"/>
                <w:sz w:val="18"/>
                <w:szCs w:val="18"/>
              </w:rPr>
              <w:t>7.97</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47606988"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8BD4F16" w14:textId="77777777" w:rsidR="00000000" w:rsidRDefault="00405D16">
            <w:pPr>
              <w:spacing w:after="100"/>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center"/>
            <w:hideMark/>
          </w:tcPr>
          <w:p w14:paraId="718FE02C" w14:textId="77777777" w:rsidR="00000000" w:rsidRDefault="00405D16">
            <w:pPr>
              <w:spacing w:after="100"/>
              <w:jc w:val="right"/>
              <w:rPr>
                <w:rFonts w:eastAsia="Times New Roman"/>
              </w:rPr>
            </w:pPr>
            <w:r>
              <w:rPr>
                <w:rFonts w:eastAsia="Times New Roman"/>
                <w:color w:val="000000"/>
                <w:sz w:val="18"/>
                <w:szCs w:val="18"/>
              </w:rPr>
              <w:t>8.41 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3797E861" w14:textId="77777777" w:rsidR="00000000" w:rsidRDefault="00405D16">
            <w:pPr>
              <w:spacing w:after="100"/>
              <w:jc w:val="right"/>
              <w:rPr>
                <w:rFonts w:eastAsia="Times New Roman"/>
              </w:rPr>
            </w:pPr>
            <w:r>
              <w:rPr>
                <w:rFonts w:eastAsia="Times New Roman"/>
                <w:color w:val="000000"/>
                <w:sz w:val="18"/>
                <w:szCs w:val="18"/>
              </w:rPr>
              <w:t>%</w:t>
            </w:r>
          </w:p>
        </w:tc>
        <w:tc>
          <w:tcPr>
            <w:tcW w:w="0" w:type="auto"/>
            <w:vAlign w:val="center"/>
            <w:hideMark/>
          </w:tcPr>
          <w:p w14:paraId="59BA9665" w14:textId="77777777" w:rsidR="00000000" w:rsidRDefault="00405D16">
            <w:pPr>
              <w:spacing w:after="100"/>
              <w:jc w:val="right"/>
              <w:rPr>
                <w:rFonts w:eastAsia="Times New Roman"/>
              </w:rPr>
            </w:pPr>
          </w:p>
        </w:tc>
        <w:tc>
          <w:tcPr>
            <w:tcW w:w="0" w:type="auto"/>
            <w:vAlign w:val="center"/>
            <w:hideMark/>
          </w:tcPr>
          <w:p w14:paraId="662893A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B479C1"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FAFBB07" w14:textId="77777777" w:rsidR="00000000" w:rsidRDefault="00405D16">
            <w:pPr>
              <w:spacing w:after="100"/>
              <w:jc w:val="right"/>
              <w:rPr>
                <w:rFonts w:eastAsia="Times New Roman"/>
              </w:rPr>
            </w:pPr>
            <w:r>
              <w:rPr>
                <w:rFonts w:eastAsia="Times New Roman"/>
                <w:color w:val="000000"/>
                <w:sz w:val="18"/>
                <w:szCs w:val="18"/>
              </w:rPr>
              <w:t>(44)</w:t>
            </w:r>
          </w:p>
        </w:tc>
        <w:tc>
          <w:tcPr>
            <w:tcW w:w="0" w:type="auto"/>
            <w:shd w:val="clear" w:color="auto" w:fill="CCEEFF"/>
            <w:tcMar>
              <w:top w:w="30" w:type="dxa"/>
              <w:left w:w="0" w:type="dxa"/>
              <w:bottom w:w="30" w:type="dxa"/>
              <w:right w:w="20" w:type="dxa"/>
            </w:tcMar>
            <w:vAlign w:val="center"/>
            <w:hideMark/>
          </w:tcPr>
          <w:p w14:paraId="23A6D42F" w14:textId="77777777" w:rsidR="00000000" w:rsidRDefault="00405D16">
            <w:pPr>
              <w:spacing w:after="100"/>
              <w:jc w:val="right"/>
              <w:rPr>
                <w:rFonts w:eastAsia="Times New Roman"/>
              </w:rPr>
            </w:pPr>
            <w:r>
              <w:rPr>
                <w:rFonts w:eastAsia="Times New Roman"/>
                <w:color w:val="000000"/>
                <w:sz w:val="18"/>
                <w:szCs w:val="18"/>
              </w:rPr>
              <w:t>bps</w:t>
            </w:r>
          </w:p>
        </w:tc>
        <w:tc>
          <w:tcPr>
            <w:tcW w:w="0" w:type="auto"/>
            <w:gridSpan w:val="3"/>
            <w:vAlign w:val="center"/>
            <w:hideMark/>
          </w:tcPr>
          <w:p w14:paraId="5226E458" w14:textId="77777777" w:rsidR="00000000" w:rsidRDefault="00405D16">
            <w:pPr>
              <w:spacing w:after="100"/>
              <w:jc w:val="right"/>
              <w:rPr>
                <w:rFonts w:eastAsia="Times New Roman"/>
              </w:rPr>
            </w:pPr>
          </w:p>
        </w:tc>
        <w:tc>
          <w:tcPr>
            <w:tcW w:w="0" w:type="auto"/>
            <w:gridSpan w:val="3"/>
            <w:vAlign w:val="center"/>
            <w:hideMark/>
          </w:tcPr>
          <w:p w14:paraId="3912D292" w14:textId="77777777" w:rsidR="00000000" w:rsidRDefault="00405D16">
            <w:pPr>
              <w:spacing w:after="100"/>
              <w:rPr>
                <w:rFonts w:eastAsia="Times New Roman"/>
                <w:sz w:val="20"/>
                <w:szCs w:val="20"/>
              </w:rPr>
            </w:pPr>
          </w:p>
        </w:tc>
      </w:tr>
      <w:tr w:rsidR="00000000" w14:paraId="31DDEEEC" w14:textId="77777777">
        <w:trPr>
          <w:divId w:val="1807164682"/>
        </w:trPr>
        <w:tc>
          <w:tcPr>
            <w:tcW w:w="0" w:type="auto"/>
            <w:gridSpan w:val="3"/>
            <w:shd w:val="clear" w:color="auto" w:fill="FFFFFF"/>
            <w:tcMar>
              <w:top w:w="30" w:type="dxa"/>
              <w:left w:w="20" w:type="dxa"/>
              <w:bottom w:w="30" w:type="dxa"/>
              <w:right w:w="20" w:type="dxa"/>
            </w:tcMar>
            <w:vAlign w:val="center"/>
            <w:hideMark/>
          </w:tcPr>
          <w:p w14:paraId="7E957BCC" w14:textId="77777777" w:rsidR="00000000" w:rsidRDefault="00405D16">
            <w:pPr>
              <w:spacing w:after="100"/>
              <w:rPr>
                <w:rFonts w:eastAsia="Times New Roman"/>
              </w:rPr>
            </w:pPr>
            <w:r>
              <w:rPr>
                <w:rFonts w:eastAsia="Times New Roman"/>
                <w:color w:val="000000"/>
                <w:sz w:val="18"/>
                <w:szCs w:val="18"/>
              </w:rPr>
              <w:t>Average deposits</w:t>
            </w:r>
          </w:p>
        </w:tc>
        <w:tc>
          <w:tcPr>
            <w:tcW w:w="0" w:type="auto"/>
            <w:gridSpan w:val="3"/>
            <w:shd w:val="clear" w:color="auto" w:fill="FFFFFF"/>
            <w:tcMar>
              <w:top w:w="0" w:type="dxa"/>
              <w:left w:w="20" w:type="dxa"/>
              <w:bottom w:w="0" w:type="dxa"/>
              <w:right w:w="20" w:type="dxa"/>
            </w:tcMar>
            <w:vAlign w:val="center"/>
            <w:hideMark/>
          </w:tcPr>
          <w:p w14:paraId="47BB4A3A"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771B7C7E"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7483DD6A" w14:textId="77777777" w:rsidR="00000000" w:rsidRDefault="00405D16">
            <w:pPr>
              <w:spacing w:after="100"/>
              <w:jc w:val="right"/>
              <w:rPr>
                <w:rFonts w:eastAsia="Times New Roman"/>
              </w:rPr>
            </w:pPr>
            <w:r>
              <w:rPr>
                <w:rFonts w:eastAsia="Times New Roman"/>
                <w:b/>
                <w:bCs/>
                <w:color w:val="000000"/>
                <w:sz w:val="18"/>
                <w:szCs w:val="18"/>
              </w:rPr>
              <w:t>251,307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1D21E3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DE4E24"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F68A854"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3D0E62A0" w14:textId="77777777" w:rsidR="00000000" w:rsidRDefault="00405D16">
            <w:pPr>
              <w:spacing w:after="100"/>
              <w:jc w:val="right"/>
              <w:rPr>
                <w:rFonts w:eastAsia="Times New Roman"/>
              </w:rPr>
            </w:pPr>
            <w:r>
              <w:rPr>
                <w:rFonts w:eastAsia="Times New Roman"/>
                <w:color w:val="000000"/>
                <w:sz w:val="18"/>
                <w:szCs w:val="18"/>
              </w:rPr>
              <w:t>248,418 </w:t>
            </w:r>
          </w:p>
        </w:tc>
        <w:tc>
          <w:tcPr>
            <w:tcW w:w="0" w:type="auto"/>
            <w:shd w:val="clear" w:color="auto" w:fill="FFFFFF"/>
            <w:tcMar>
              <w:top w:w="30" w:type="dxa"/>
              <w:left w:w="0" w:type="dxa"/>
              <w:bottom w:w="30" w:type="dxa"/>
              <w:right w:w="20" w:type="dxa"/>
            </w:tcMar>
            <w:vAlign w:val="center"/>
            <w:hideMark/>
          </w:tcPr>
          <w:p w14:paraId="6BEA723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2D470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00AD2A7" w14:textId="77777777" w:rsidR="00000000" w:rsidRDefault="00405D16">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14:paraId="0A4014DB"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76CD446" w14:textId="77777777" w:rsidR="00000000" w:rsidRDefault="00405D16">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05185C8C"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12A3158B" w14:textId="77777777" w:rsidR="00000000" w:rsidRDefault="00405D16">
            <w:pPr>
              <w:spacing w:after="100"/>
              <w:jc w:val="right"/>
              <w:rPr>
                <w:rFonts w:eastAsia="Times New Roman"/>
              </w:rPr>
            </w:pPr>
            <w:r>
              <w:rPr>
                <w:rFonts w:eastAsia="Times New Roman"/>
                <w:b/>
                <w:bCs/>
                <w:color w:val="000000"/>
                <w:sz w:val="18"/>
                <w:szCs w:val="18"/>
              </w:rPr>
              <w:t>251,105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57E2F3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E53F66"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9BDE24E"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549F914B" w14:textId="77777777" w:rsidR="00000000" w:rsidRDefault="00405D16">
            <w:pPr>
              <w:spacing w:after="100"/>
              <w:jc w:val="right"/>
              <w:rPr>
                <w:rFonts w:eastAsia="Times New Roman"/>
              </w:rPr>
            </w:pPr>
            <w:r>
              <w:rPr>
                <w:rFonts w:eastAsia="Times New Roman"/>
                <w:color w:val="000000"/>
                <w:sz w:val="18"/>
                <w:szCs w:val="18"/>
              </w:rPr>
              <w:t>231,988 </w:t>
            </w:r>
          </w:p>
        </w:tc>
        <w:tc>
          <w:tcPr>
            <w:tcW w:w="0" w:type="auto"/>
            <w:shd w:val="clear" w:color="auto" w:fill="FFFFFF"/>
            <w:tcMar>
              <w:top w:w="30" w:type="dxa"/>
              <w:left w:w="0" w:type="dxa"/>
              <w:bottom w:w="30" w:type="dxa"/>
              <w:right w:w="20" w:type="dxa"/>
            </w:tcMar>
            <w:vAlign w:val="center"/>
            <w:hideMark/>
          </w:tcPr>
          <w:p w14:paraId="0895C49D" w14:textId="77777777" w:rsidR="00000000" w:rsidRDefault="00405D16">
            <w:pPr>
              <w:spacing w:after="100"/>
              <w:jc w:val="right"/>
              <w:rPr>
                <w:rFonts w:eastAsia="Times New Roman"/>
              </w:rPr>
            </w:pPr>
          </w:p>
        </w:tc>
        <w:tc>
          <w:tcPr>
            <w:tcW w:w="0" w:type="auto"/>
            <w:vAlign w:val="center"/>
            <w:hideMark/>
          </w:tcPr>
          <w:p w14:paraId="74A470C1" w14:textId="77777777" w:rsidR="00000000" w:rsidRDefault="00405D16">
            <w:pPr>
              <w:spacing w:after="100"/>
              <w:jc w:val="right"/>
              <w:rPr>
                <w:rFonts w:eastAsia="Times New Roman"/>
                <w:sz w:val="20"/>
                <w:szCs w:val="20"/>
              </w:rPr>
            </w:pPr>
          </w:p>
        </w:tc>
        <w:tc>
          <w:tcPr>
            <w:tcW w:w="0" w:type="auto"/>
            <w:vAlign w:val="center"/>
            <w:hideMark/>
          </w:tcPr>
          <w:p w14:paraId="6386A56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837173"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0A4223E" w14:textId="77777777" w:rsidR="00000000" w:rsidRDefault="00405D16">
            <w:pPr>
              <w:spacing w:after="100"/>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center"/>
            <w:hideMark/>
          </w:tcPr>
          <w:p w14:paraId="23C279B8"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76C44F79" w14:textId="77777777" w:rsidR="00000000" w:rsidRDefault="00405D16">
            <w:pPr>
              <w:spacing w:after="100"/>
              <w:jc w:val="right"/>
              <w:rPr>
                <w:rFonts w:eastAsia="Times New Roman"/>
              </w:rPr>
            </w:pPr>
          </w:p>
        </w:tc>
        <w:tc>
          <w:tcPr>
            <w:tcW w:w="0" w:type="auto"/>
            <w:gridSpan w:val="3"/>
            <w:vAlign w:val="center"/>
            <w:hideMark/>
          </w:tcPr>
          <w:p w14:paraId="6429C7AC" w14:textId="77777777" w:rsidR="00000000" w:rsidRDefault="00405D16">
            <w:pPr>
              <w:spacing w:after="100"/>
              <w:rPr>
                <w:rFonts w:eastAsia="Times New Roman"/>
                <w:sz w:val="20"/>
                <w:szCs w:val="20"/>
              </w:rPr>
            </w:pPr>
          </w:p>
        </w:tc>
      </w:tr>
      <w:tr w:rsidR="00000000" w14:paraId="1CD76582" w14:textId="77777777">
        <w:trPr>
          <w:divId w:val="1807164682"/>
        </w:trPr>
        <w:tc>
          <w:tcPr>
            <w:tcW w:w="0" w:type="auto"/>
            <w:gridSpan w:val="3"/>
            <w:shd w:val="clear" w:color="auto" w:fill="CCEEFF"/>
            <w:tcMar>
              <w:top w:w="30" w:type="dxa"/>
              <w:left w:w="20" w:type="dxa"/>
              <w:bottom w:w="30" w:type="dxa"/>
              <w:right w:w="20" w:type="dxa"/>
            </w:tcMar>
            <w:vAlign w:val="center"/>
            <w:hideMark/>
          </w:tcPr>
          <w:p w14:paraId="2A239A9E" w14:textId="77777777" w:rsidR="00000000" w:rsidRDefault="00405D16">
            <w:pPr>
              <w:spacing w:after="100"/>
              <w:rPr>
                <w:rFonts w:eastAsia="Times New Roman"/>
              </w:rPr>
            </w:pPr>
            <w:r>
              <w:rPr>
                <w:rFonts w:eastAsia="Times New Roman"/>
                <w:color w:val="000000"/>
                <w:sz w:val="18"/>
                <w:szCs w:val="18"/>
              </w:rPr>
              <w:t>Average deposits interest rate</w:t>
            </w:r>
          </w:p>
        </w:tc>
        <w:tc>
          <w:tcPr>
            <w:tcW w:w="0" w:type="auto"/>
            <w:gridSpan w:val="3"/>
            <w:shd w:val="clear" w:color="auto" w:fill="CCEEFF"/>
            <w:tcMar>
              <w:top w:w="0" w:type="dxa"/>
              <w:left w:w="20" w:type="dxa"/>
              <w:bottom w:w="0" w:type="dxa"/>
              <w:right w:w="20" w:type="dxa"/>
            </w:tcMar>
            <w:vAlign w:val="center"/>
            <w:hideMark/>
          </w:tcPr>
          <w:p w14:paraId="32EF72CB"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713B5F5" w14:textId="77777777" w:rsidR="00000000" w:rsidRDefault="00405D16">
            <w:pPr>
              <w:spacing w:after="100"/>
              <w:jc w:val="right"/>
              <w:rPr>
                <w:rFonts w:eastAsia="Times New Roman"/>
              </w:rPr>
            </w:pPr>
            <w:r>
              <w:rPr>
                <w:rFonts w:eastAsia="Times New Roman"/>
                <w:b/>
                <w:bCs/>
                <w:color w:val="000000"/>
                <w:sz w:val="18"/>
                <w:szCs w:val="18"/>
              </w:rPr>
              <w:t>0.30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A38342C"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936505B"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3B57AC4" w14:textId="77777777" w:rsidR="00000000" w:rsidRDefault="00405D16">
            <w:pPr>
              <w:spacing w:after="100"/>
              <w:jc w:val="right"/>
              <w:rPr>
                <w:rFonts w:eastAsia="Times New Roman"/>
              </w:rPr>
            </w:pPr>
            <w:r>
              <w:rPr>
                <w:rFonts w:eastAsia="Times New Roman"/>
                <w:color w:val="000000"/>
                <w:sz w:val="18"/>
                <w:szCs w:val="18"/>
              </w:rPr>
              <w:t>0.66 </w:t>
            </w:r>
          </w:p>
        </w:tc>
        <w:tc>
          <w:tcPr>
            <w:tcW w:w="0" w:type="auto"/>
            <w:shd w:val="clear" w:color="auto" w:fill="CCEEFF"/>
            <w:tcMar>
              <w:top w:w="30" w:type="dxa"/>
              <w:left w:w="0" w:type="dxa"/>
              <w:bottom w:w="30" w:type="dxa"/>
              <w:right w:w="20" w:type="dxa"/>
            </w:tcMar>
            <w:vAlign w:val="center"/>
            <w:hideMark/>
          </w:tcPr>
          <w:p w14:paraId="74338485" w14:textId="77777777" w:rsidR="00000000" w:rsidRDefault="00405D16">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76FE1EB"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A3ADB1A" w14:textId="77777777" w:rsidR="00000000" w:rsidRDefault="00405D16">
            <w:pPr>
              <w:spacing w:after="100"/>
              <w:jc w:val="right"/>
              <w:rPr>
                <w:rFonts w:eastAsia="Times New Roman"/>
              </w:rPr>
            </w:pPr>
            <w:r>
              <w:rPr>
                <w:rFonts w:eastAsia="Times New Roman"/>
                <w:color w:val="000000"/>
                <w:sz w:val="18"/>
                <w:szCs w:val="18"/>
              </w:rPr>
              <w:t>(36)</w:t>
            </w:r>
          </w:p>
        </w:tc>
        <w:tc>
          <w:tcPr>
            <w:tcW w:w="0" w:type="auto"/>
            <w:shd w:val="clear" w:color="auto" w:fill="CCEEFF"/>
            <w:tcMar>
              <w:top w:w="30" w:type="dxa"/>
              <w:left w:w="0" w:type="dxa"/>
              <w:bottom w:w="30" w:type="dxa"/>
              <w:right w:w="20" w:type="dxa"/>
            </w:tcMar>
            <w:vAlign w:val="center"/>
            <w:hideMark/>
          </w:tcPr>
          <w:p w14:paraId="5EF4291E" w14:textId="77777777" w:rsidR="00000000" w:rsidRDefault="00405D16">
            <w:pPr>
              <w:spacing w:after="100"/>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14:paraId="57DA5856"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E7BBF6B" w14:textId="77777777" w:rsidR="00000000" w:rsidRDefault="00405D16">
            <w:pPr>
              <w:spacing w:after="100"/>
              <w:jc w:val="right"/>
              <w:rPr>
                <w:rFonts w:eastAsia="Times New Roman"/>
              </w:rPr>
            </w:pPr>
            <w:r>
              <w:rPr>
                <w:rFonts w:eastAsia="Times New Roman"/>
                <w:b/>
                <w:bCs/>
                <w:color w:val="000000"/>
                <w:sz w:val="18"/>
                <w:szCs w:val="18"/>
              </w:rPr>
              <w:t>0.32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C6B6675"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F465046"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78268FE" w14:textId="77777777" w:rsidR="00000000" w:rsidRDefault="00405D16">
            <w:pPr>
              <w:spacing w:after="100"/>
              <w:jc w:val="right"/>
              <w:rPr>
                <w:rFonts w:eastAsia="Times New Roman"/>
              </w:rPr>
            </w:pPr>
            <w:r>
              <w:rPr>
                <w:rFonts w:eastAsia="Times New Roman"/>
                <w:color w:val="000000"/>
                <w:sz w:val="18"/>
                <w:szCs w:val="18"/>
              </w:rPr>
              <w:t>0.86 </w:t>
            </w:r>
          </w:p>
        </w:tc>
        <w:tc>
          <w:tcPr>
            <w:tcW w:w="0" w:type="auto"/>
            <w:shd w:val="clear" w:color="auto" w:fill="CCEEFF"/>
            <w:tcMar>
              <w:top w:w="30" w:type="dxa"/>
              <w:left w:w="0" w:type="dxa"/>
              <w:bottom w:w="30" w:type="dxa"/>
              <w:right w:w="20" w:type="dxa"/>
            </w:tcMar>
            <w:vAlign w:val="center"/>
            <w:hideMark/>
          </w:tcPr>
          <w:p w14:paraId="5102B0C3" w14:textId="77777777" w:rsidR="00000000" w:rsidRDefault="00405D16">
            <w:pPr>
              <w:spacing w:after="100"/>
              <w:jc w:val="right"/>
              <w:rPr>
                <w:rFonts w:eastAsia="Times New Roman"/>
              </w:rPr>
            </w:pPr>
            <w:r>
              <w:rPr>
                <w:rFonts w:eastAsia="Times New Roman"/>
                <w:color w:val="000000"/>
                <w:sz w:val="18"/>
                <w:szCs w:val="18"/>
              </w:rPr>
              <w:t>%</w:t>
            </w:r>
          </w:p>
        </w:tc>
        <w:tc>
          <w:tcPr>
            <w:tcW w:w="0" w:type="auto"/>
            <w:vAlign w:val="center"/>
            <w:hideMark/>
          </w:tcPr>
          <w:p w14:paraId="6F441688" w14:textId="77777777" w:rsidR="00000000" w:rsidRDefault="00405D16">
            <w:pPr>
              <w:spacing w:after="100"/>
              <w:jc w:val="right"/>
              <w:rPr>
                <w:rFonts w:eastAsia="Times New Roman"/>
              </w:rPr>
            </w:pPr>
          </w:p>
        </w:tc>
        <w:tc>
          <w:tcPr>
            <w:tcW w:w="0" w:type="auto"/>
            <w:vAlign w:val="center"/>
            <w:hideMark/>
          </w:tcPr>
          <w:p w14:paraId="22215C9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EABA97"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C051E9A" w14:textId="77777777" w:rsidR="00000000" w:rsidRDefault="00405D16">
            <w:pPr>
              <w:spacing w:after="100"/>
              <w:jc w:val="right"/>
              <w:rPr>
                <w:rFonts w:eastAsia="Times New Roman"/>
              </w:rPr>
            </w:pPr>
            <w:r>
              <w:rPr>
                <w:rFonts w:eastAsia="Times New Roman"/>
                <w:color w:val="000000"/>
                <w:sz w:val="18"/>
                <w:szCs w:val="18"/>
              </w:rPr>
              <w:t>(54)</w:t>
            </w:r>
          </w:p>
        </w:tc>
        <w:tc>
          <w:tcPr>
            <w:tcW w:w="0" w:type="auto"/>
            <w:shd w:val="clear" w:color="auto" w:fill="CCEEFF"/>
            <w:tcMar>
              <w:top w:w="30" w:type="dxa"/>
              <w:left w:w="0" w:type="dxa"/>
              <w:bottom w:w="30" w:type="dxa"/>
              <w:right w:w="20" w:type="dxa"/>
            </w:tcMar>
            <w:vAlign w:val="center"/>
            <w:hideMark/>
          </w:tcPr>
          <w:p w14:paraId="1B73DB94" w14:textId="77777777" w:rsidR="00000000" w:rsidRDefault="00405D16">
            <w:pPr>
              <w:spacing w:after="100"/>
              <w:jc w:val="right"/>
              <w:rPr>
                <w:rFonts w:eastAsia="Times New Roman"/>
              </w:rPr>
            </w:pPr>
            <w:r>
              <w:rPr>
                <w:rFonts w:eastAsia="Times New Roman"/>
                <w:color w:val="000000"/>
                <w:sz w:val="18"/>
                <w:szCs w:val="18"/>
              </w:rPr>
              <w:t>bps</w:t>
            </w:r>
          </w:p>
        </w:tc>
        <w:tc>
          <w:tcPr>
            <w:tcW w:w="0" w:type="auto"/>
            <w:gridSpan w:val="3"/>
            <w:vAlign w:val="center"/>
            <w:hideMark/>
          </w:tcPr>
          <w:p w14:paraId="46BB8A51" w14:textId="77777777" w:rsidR="00000000" w:rsidRDefault="00405D16">
            <w:pPr>
              <w:spacing w:after="100"/>
              <w:jc w:val="right"/>
              <w:rPr>
                <w:rFonts w:eastAsia="Times New Roman"/>
              </w:rPr>
            </w:pPr>
          </w:p>
        </w:tc>
        <w:tc>
          <w:tcPr>
            <w:tcW w:w="0" w:type="auto"/>
            <w:gridSpan w:val="3"/>
            <w:vAlign w:val="center"/>
            <w:hideMark/>
          </w:tcPr>
          <w:p w14:paraId="23B61F31" w14:textId="77777777" w:rsidR="00000000" w:rsidRDefault="00405D16">
            <w:pPr>
              <w:spacing w:after="100"/>
              <w:rPr>
                <w:rFonts w:eastAsia="Times New Roman"/>
                <w:sz w:val="20"/>
                <w:szCs w:val="20"/>
              </w:rPr>
            </w:pPr>
          </w:p>
        </w:tc>
      </w:tr>
      <w:tr w:rsidR="00000000" w14:paraId="089CE9B6" w14:textId="77777777">
        <w:trPr>
          <w:divId w:val="1807164682"/>
        </w:trPr>
        <w:tc>
          <w:tcPr>
            <w:tcW w:w="0" w:type="auto"/>
            <w:gridSpan w:val="3"/>
            <w:shd w:val="clear" w:color="auto" w:fill="FFFFFF"/>
            <w:tcMar>
              <w:top w:w="30" w:type="dxa"/>
              <w:left w:w="20" w:type="dxa"/>
              <w:bottom w:w="30" w:type="dxa"/>
              <w:right w:w="20" w:type="dxa"/>
            </w:tcMar>
            <w:vAlign w:val="center"/>
            <w:hideMark/>
          </w:tcPr>
          <w:p w14:paraId="0E5DE361" w14:textId="77777777" w:rsidR="00000000" w:rsidRDefault="00405D16">
            <w:pPr>
              <w:spacing w:after="100"/>
              <w:rPr>
                <w:rFonts w:eastAsia="Times New Roman"/>
              </w:rPr>
            </w:pPr>
            <w:r>
              <w:rPr>
                <w:rFonts w:eastAsia="Times New Roman"/>
                <w:color w:val="000000"/>
                <w:sz w:val="18"/>
                <w:szCs w:val="18"/>
              </w:rPr>
              <w:t>Net charge-offs</w:t>
            </w:r>
          </w:p>
        </w:tc>
        <w:tc>
          <w:tcPr>
            <w:tcW w:w="0" w:type="auto"/>
            <w:gridSpan w:val="3"/>
            <w:shd w:val="clear" w:color="auto" w:fill="FFFFFF"/>
            <w:tcMar>
              <w:top w:w="0" w:type="dxa"/>
              <w:left w:w="20" w:type="dxa"/>
              <w:bottom w:w="0" w:type="dxa"/>
              <w:right w:w="20" w:type="dxa"/>
            </w:tcMar>
            <w:vAlign w:val="center"/>
            <w:hideMark/>
          </w:tcPr>
          <w:p w14:paraId="42E8A7BA"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727759D7"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67BE940D" w14:textId="77777777" w:rsidR="00000000" w:rsidRDefault="00405D16">
            <w:pPr>
              <w:spacing w:after="100"/>
              <w:jc w:val="right"/>
              <w:rPr>
                <w:rFonts w:eastAsia="Times New Roman"/>
              </w:rPr>
            </w:pPr>
            <w:r>
              <w:rPr>
                <w:rFonts w:eastAsia="Times New Roman"/>
                <w:b/>
                <w:bCs/>
                <w:color w:val="000000"/>
                <w:sz w:val="18"/>
                <w:szCs w:val="18"/>
              </w:rPr>
              <w:t>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54295C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79ECEF"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E835247"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0EF87C9C" w14:textId="77777777" w:rsidR="00000000" w:rsidRDefault="00405D16">
            <w:pPr>
              <w:spacing w:after="100"/>
              <w:jc w:val="right"/>
              <w:rPr>
                <w:rFonts w:eastAsia="Times New Roman"/>
              </w:rPr>
            </w:pPr>
            <w:r>
              <w:rPr>
                <w:rFonts w:eastAsia="Times New Roman"/>
                <w:color w:val="000000"/>
                <w:sz w:val="18"/>
                <w:szCs w:val="18"/>
              </w:rPr>
              <w:t>48 </w:t>
            </w:r>
          </w:p>
        </w:tc>
        <w:tc>
          <w:tcPr>
            <w:tcW w:w="0" w:type="auto"/>
            <w:shd w:val="clear" w:color="auto" w:fill="FFFFFF"/>
            <w:tcMar>
              <w:top w:w="30" w:type="dxa"/>
              <w:left w:w="0" w:type="dxa"/>
              <w:bottom w:w="30" w:type="dxa"/>
              <w:right w:w="20" w:type="dxa"/>
            </w:tcMar>
            <w:vAlign w:val="center"/>
            <w:hideMark/>
          </w:tcPr>
          <w:p w14:paraId="6DD1283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01958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3D1850D" w14:textId="77777777" w:rsidR="00000000" w:rsidRDefault="00405D16">
            <w:pPr>
              <w:spacing w:after="100"/>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center"/>
            <w:hideMark/>
          </w:tcPr>
          <w:p w14:paraId="07EA21FC"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C26875B" w14:textId="77777777" w:rsidR="00000000" w:rsidRDefault="00405D16">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2D237A7D"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451ECB60" w14:textId="77777777" w:rsidR="00000000" w:rsidRDefault="00405D16">
            <w:pPr>
              <w:spacing w:after="100"/>
              <w:jc w:val="right"/>
              <w:rPr>
                <w:rFonts w:eastAsia="Times New Roman"/>
              </w:rPr>
            </w:pPr>
            <w:r>
              <w:rPr>
                <w:rFonts w:eastAsia="Times New Roman"/>
                <w:b/>
                <w:bCs/>
                <w:color w:val="000000"/>
                <w:sz w:val="18"/>
                <w:szCs w:val="18"/>
              </w:rPr>
              <w:t>131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96D040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407ECB"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34D346C"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63E0E4AE" w14:textId="77777777" w:rsidR="00000000" w:rsidRDefault="00405D16">
            <w:pPr>
              <w:spacing w:after="100"/>
              <w:jc w:val="right"/>
              <w:rPr>
                <w:rFonts w:eastAsia="Times New Roman"/>
              </w:rPr>
            </w:pPr>
            <w:r>
              <w:rPr>
                <w:rFonts w:eastAsia="Times New Roman"/>
                <w:color w:val="000000"/>
                <w:sz w:val="18"/>
                <w:szCs w:val="18"/>
              </w:rPr>
              <w:t>486 </w:t>
            </w:r>
          </w:p>
        </w:tc>
        <w:tc>
          <w:tcPr>
            <w:tcW w:w="0" w:type="auto"/>
            <w:shd w:val="clear" w:color="auto" w:fill="FFFFFF"/>
            <w:tcMar>
              <w:top w:w="30" w:type="dxa"/>
              <w:left w:w="0" w:type="dxa"/>
              <w:bottom w:w="30" w:type="dxa"/>
              <w:right w:w="20" w:type="dxa"/>
            </w:tcMar>
            <w:vAlign w:val="center"/>
            <w:hideMark/>
          </w:tcPr>
          <w:p w14:paraId="45B1D20F" w14:textId="77777777" w:rsidR="00000000" w:rsidRDefault="00405D16">
            <w:pPr>
              <w:spacing w:after="100"/>
              <w:jc w:val="right"/>
              <w:rPr>
                <w:rFonts w:eastAsia="Times New Roman"/>
              </w:rPr>
            </w:pPr>
          </w:p>
        </w:tc>
        <w:tc>
          <w:tcPr>
            <w:tcW w:w="0" w:type="auto"/>
            <w:vAlign w:val="center"/>
            <w:hideMark/>
          </w:tcPr>
          <w:p w14:paraId="51D46409" w14:textId="77777777" w:rsidR="00000000" w:rsidRDefault="00405D16">
            <w:pPr>
              <w:spacing w:after="100"/>
              <w:jc w:val="right"/>
              <w:rPr>
                <w:rFonts w:eastAsia="Times New Roman"/>
                <w:sz w:val="20"/>
                <w:szCs w:val="20"/>
              </w:rPr>
            </w:pPr>
          </w:p>
        </w:tc>
        <w:tc>
          <w:tcPr>
            <w:tcW w:w="0" w:type="auto"/>
            <w:vAlign w:val="center"/>
            <w:hideMark/>
          </w:tcPr>
          <w:p w14:paraId="5C0E9E4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DA46E2"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BDE1E13" w14:textId="77777777" w:rsidR="00000000" w:rsidRDefault="00405D16">
            <w:pPr>
              <w:spacing w:after="100"/>
              <w:jc w:val="right"/>
              <w:rPr>
                <w:rFonts w:eastAsia="Times New Roman"/>
              </w:rPr>
            </w:pPr>
            <w:r>
              <w:rPr>
                <w:rFonts w:eastAsia="Times New Roman"/>
                <w:color w:val="000000"/>
                <w:sz w:val="18"/>
                <w:szCs w:val="18"/>
              </w:rPr>
              <w:t>(73)</w:t>
            </w:r>
          </w:p>
        </w:tc>
        <w:tc>
          <w:tcPr>
            <w:tcW w:w="0" w:type="auto"/>
            <w:shd w:val="clear" w:color="auto" w:fill="FFFFFF"/>
            <w:tcMar>
              <w:top w:w="30" w:type="dxa"/>
              <w:left w:w="0" w:type="dxa"/>
              <w:bottom w:w="30" w:type="dxa"/>
              <w:right w:w="20" w:type="dxa"/>
            </w:tcMar>
            <w:vAlign w:val="center"/>
            <w:hideMark/>
          </w:tcPr>
          <w:p w14:paraId="23348DCE"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3230D594" w14:textId="77777777" w:rsidR="00000000" w:rsidRDefault="00405D16">
            <w:pPr>
              <w:spacing w:after="100"/>
              <w:jc w:val="right"/>
              <w:rPr>
                <w:rFonts w:eastAsia="Times New Roman"/>
              </w:rPr>
            </w:pPr>
          </w:p>
        </w:tc>
        <w:tc>
          <w:tcPr>
            <w:tcW w:w="0" w:type="auto"/>
            <w:gridSpan w:val="3"/>
            <w:vAlign w:val="center"/>
            <w:hideMark/>
          </w:tcPr>
          <w:p w14:paraId="167E5C05" w14:textId="77777777" w:rsidR="00000000" w:rsidRDefault="00405D16">
            <w:pPr>
              <w:spacing w:after="100"/>
              <w:rPr>
                <w:rFonts w:eastAsia="Times New Roman"/>
                <w:sz w:val="20"/>
                <w:szCs w:val="20"/>
              </w:rPr>
            </w:pPr>
          </w:p>
        </w:tc>
      </w:tr>
      <w:tr w:rsidR="00000000" w14:paraId="34FC7948" w14:textId="77777777">
        <w:trPr>
          <w:divId w:val="1807164682"/>
        </w:trPr>
        <w:tc>
          <w:tcPr>
            <w:tcW w:w="0" w:type="auto"/>
            <w:gridSpan w:val="3"/>
            <w:shd w:val="clear" w:color="auto" w:fill="CCEEFF"/>
            <w:tcMar>
              <w:top w:w="30" w:type="dxa"/>
              <w:left w:w="20" w:type="dxa"/>
              <w:bottom w:w="30" w:type="dxa"/>
              <w:right w:w="20" w:type="dxa"/>
            </w:tcMar>
            <w:vAlign w:val="center"/>
            <w:hideMark/>
          </w:tcPr>
          <w:p w14:paraId="06BE9FF2" w14:textId="77777777" w:rsidR="00000000" w:rsidRDefault="00405D16">
            <w:pPr>
              <w:spacing w:after="100"/>
              <w:rPr>
                <w:rFonts w:eastAsia="Times New Roman"/>
              </w:rPr>
            </w:pPr>
            <w:r>
              <w:rPr>
                <w:rFonts w:eastAsia="Times New Roman"/>
                <w:color w:val="000000"/>
                <w:sz w:val="18"/>
                <w:szCs w:val="18"/>
              </w:rPr>
              <w:t>Net charge-off rate</w:t>
            </w:r>
          </w:p>
        </w:tc>
        <w:tc>
          <w:tcPr>
            <w:tcW w:w="0" w:type="auto"/>
            <w:gridSpan w:val="3"/>
            <w:shd w:val="clear" w:color="auto" w:fill="CCEEFF"/>
            <w:tcMar>
              <w:top w:w="0" w:type="dxa"/>
              <w:left w:w="20" w:type="dxa"/>
              <w:bottom w:w="0" w:type="dxa"/>
              <w:right w:w="20" w:type="dxa"/>
            </w:tcMar>
            <w:vAlign w:val="center"/>
            <w:hideMark/>
          </w:tcPr>
          <w:p w14:paraId="5A0ABC90"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8F0BC3F" w14:textId="77777777" w:rsidR="00000000" w:rsidRDefault="00405D16">
            <w:pPr>
              <w:spacing w:after="100"/>
              <w:jc w:val="right"/>
              <w:rPr>
                <w:rFonts w:eastAsia="Times New Roman"/>
              </w:rPr>
            </w:pPr>
            <w:r>
              <w:rPr>
                <w:rFonts w:eastAsia="Times New Roman"/>
                <w:b/>
                <w:bCs/>
                <w:color w:val="000000"/>
                <w:sz w:val="18"/>
                <w:szCs w:val="18"/>
              </w:rPr>
              <w:t>0.27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672B837"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A12156F"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2CD1C1E" w14:textId="77777777" w:rsidR="00000000" w:rsidRDefault="00405D16">
            <w:pPr>
              <w:spacing w:after="100"/>
              <w:jc w:val="right"/>
              <w:rPr>
                <w:rFonts w:eastAsia="Times New Roman"/>
              </w:rPr>
            </w:pPr>
            <w:r>
              <w:rPr>
                <w:rFonts w:eastAsia="Times New Roman"/>
                <w:color w:val="000000"/>
                <w:sz w:val="18"/>
                <w:szCs w:val="18"/>
              </w:rPr>
              <w:t>0.28 </w:t>
            </w:r>
          </w:p>
        </w:tc>
        <w:tc>
          <w:tcPr>
            <w:tcW w:w="0" w:type="auto"/>
            <w:shd w:val="clear" w:color="auto" w:fill="CCEEFF"/>
            <w:tcMar>
              <w:top w:w="30" w:type="dxa"/>
              <w:left w:w="0" w:type="dxa"/>
              <w:bottom w:w="30" w:type="dxa"/>
              <w:right w:w="20" w:type="dxa"/>
            </w:tcMar>
            <w:vAlign w:val="center"/>
            <w:hideMark/>
          </w:tcPr>
          <w:p w14:paraId="61BC67BD" w14:textId="77777777" w:rsidR="00000000" w:rsidRDefault="00405D16">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3E4AA62"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6693A95" w14:textId="77777777" w:rsidR="00000000" w:rsidRDefault="00405D16">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center"/>
            <w:hideMark/>
          </w:tcPr>
          <w:p w14:paraId="4DF93CD2" w14:textId="77777777" w:rsidR="00000000" w:rsidRDefault="00405D16">
            <w:pPr>
              <w:spacing w:after="100"/>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14:paraId="6D9F2432"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D3C7F30" w14:textId="77777777" w:rsidR="00000000" w:rsidRDefault="00405D16">
            <w:pPr>
              <w:spacing w:after="100"/>
              <w:jc w:val="right"/>
              <w:rPr>
                <w:rFonts w:eastAsia="Times New Roman"/>
              </w:rPr>
            </w:pPr>
            <w:r>
              <w:rPr>
                <w:rFonts w:eastAsia="Times New Roman"/>
                <w:b/>
                <w:bCs/>
                <w:color w:val="000000"/>
                <w:sz w:val="18"/>
                <w:szCs w:val="18"/>
              </w:rPr>
              <w:t>0.24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4E81300"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62DDA8A"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825BD6C" w14:textId="77777777" w:rsidR="00000000" w:rsidRDefault="00405D16">
            <w:pPr>
              <w:spacing w:after="100"/>
              <w:jc w:val="right"/>
              <w:rPr>
                <w:rFonts w:eastAsia="Times New Roman"/>
              </w:rPr>
            </w:pPr>
            <w:r>
              <w:rPr>
                <w:rFonts w:eastAsia="Times New Roman"/>
                <w:color w:val="000000"/>
                <w:sz w:val="18"/>
                <w:szCs w:val="18"/>
              </w:rPr>
              <w:t>0.99 </w:t>
            </w:r>
          </w:p>
        </w:tc>
        <w:tc>
          <w:tcPr>
            <w:tcW w:w="0" w:type="auto"/>
            <w:shd w:val="clear" w:color="auto" w:fill="CCEEFF"/>
            <w:tcMar>
              <w:top w:w="30" w:type="dxa"/>
              <w:left w:w="0" w:type="dxa"/>
              <w:bottom w:w="30" w:type="dxa"/>
              <w:right w:w="20" w:type="dxa"/>
            </w:tcMar>
            <w:vAlign w:val="center"/>
            <w:hideMark/>
          </w:tcPr>
          <w:p w14:paraId="7AE0912D" w14:textId="77777777" w:rsidR="00000000" w:rsidRDefault="00405D16">
            <w:pPr>
              <w:spacing w:after="100"/>
              <w:jc w:val="right"/>
              <w:rPr>
                <w:rFonts w:eastAsia="Times New Roman"/>
              </w:rPr>
            </w:pPr>
            <w:r>
              <w:rPr>
                <w:rFonts w:eastAsia="Times New Roman"/>
                <w:color w:val="000000"/>
                <w:sz w:val="18"/>
                <w:szCs w:val="18"/>
              </w:rPr>
              <w:t>%</w:t>
            </w:r>
          </w:p>
        </w:tc>
        <w:tc>
          <w:tcPr>
            <w:tcW w:w="0" w:type="auto"/>
            <w:vAlign w:val="center"/>
            <w:hideMark/>
          </w:tcPr>
          <w:p w14:paraId="142E6D5A" w14:textId="77777777" w:rsidR="00000000" w:rsidRDefault="00405D16">
            <w:pPr>
              <w:spacing w:after="100"/>
              <w:jc w:val="right"/>
              <w:rPr>
                <w:rFonts w:eastAsia="Times New Roman"/>
              </w:rPr>
            </w:pPr>
          </w:p>
        </w:tc>
        <w:tc>
          <w:tcPr>
            <w:tcW w:w="0" w:type="auto"/>
            <w:vAlign w:val="center"/>
            <w:hideMark/>
          </w:tcPr>
          <w:p w14:paraId="5425CED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7DE4D4"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DC06C1C" w14:textId="77777777" w:rsidR="00000000" w:rsidRDefault="00405D16">
            <w:pPr>
              <w:spacing w:after="100"/>
              <w:jc w:val="right"/>
              <w:rPr>
                <w:rFonts w:eastAsia="Times New Roman"/>
              </w:rPr>
            </w:pPr>
            <w:r>
              <w:rPr>
                <w:rFonts w:eastAsia="Times New Roman"/>
                <w:color w:val="000000"/>
                <w:sz w:val="18"/>
                <w:szCs w:val="18"/>
              </w:rPr>
              <w:t>(75)</w:t>
            </w:r>
          </w:p>
        </w:tc>
        <w:tc>
          <w:tcPr>
            <w:tcW w:w="0" w:type="auto"/>
            <w:shd w:val="clear" w:color="auto" w:fill="CCEEFF"/>
            <w:tcMar>
              <w:top w:w="30" w:type="dxa"/>
              <w:left w:w="0" w:type="dxa"/>
              <w:bottom w:w="30" w:type="dxa"/>
              <w:right w:w="20" w:type="dxa"/>
            </w:tcMar>
            <w:vAlign w:val="center"/>
            <w:hideMark/>
          </w:tcPr>
          <w:p w14:paraId="5A0058DE" w14:textId="77777777" w:rsidR="00000000" w:rsidRDefault="00405D16">
            <w:pPr>
              <w:spacing w:after="100"/>
              <w:jc w:val="right"/>
              <w:rPr>
                <w:rFonts w:eastAsia="Times New Roman"/>
              </w:rPr>
            </w:pPr>
            <w:r>
              <w:rPr>
                <w:rFonts w:eastAsia="Times New Roman"/>
                <w:color w:val="000000"/>
                <w:sz w:val="18"/>
                <w:szCs w:val="18"/>
              </w:rPr>
              <w:t>bps</w:t>
            </w:r>
          </w:p>
        </w:tc>
        <w:tc>
          <w:tcPr>
            <w:tcW w:w="0" w:type="auto"/>
            <w:gridSpan w:val="3"/>
            <w:vAlign w:val="center"/>
            <w:hideMark/>
          </w:tcPr>
          <w:p w14:paraId="5A5E2FA9" w14:textId="77777777" w:rsidR="00000000" w:rsidRDefault="00405D16">
            <w:pPr>
              <w:spacing w:after="100"/>
              <w:jc w:val="right"/>
              <w:rPr>
                <w:rFonts w:eastAsia="Times New Roman"/>
              </w:rPr>
            </w:pPr>
          </w:p>
        </w:tc>
        <w:tc>
          <w:tcPr>
            <w:tcW w:w="0" w:type="auto"/>
            <w:gridSpan w:val="3"/>
            <w:vAlign w:val="center"/>
            <w:hideMark/>
          </w:tcPr>
          <w:p w14:paraId="6A575FA0" w14:textId="77777777" w:rsidR="00000000" w:rsidRDefault="00405D16">
            <w:pPr>
              <w:spacing w:after="100"/>
              <w:rPr>
                <w:rFonts w:eastAsia="Times New Roman"/>
                <w:sz w:val="20"/>
                <w:szCs w:val="20"/>
              </w:rPr>
            </w:pPr>
          </w:p>
        </w:tc>
      </w:tr>
      <w:tr w:rsidR="00000000" w14:paraId="1B0BBB1B" w14:textId="77777777">
        <w:trPr>
          <w:divId w:val="1807164682"/>
        </w:trPr>
        <w:tc>
          <w:tcPr>
            <w:tcW w:w="0" w:type="auto"/>
            <w:gridSpan w:val="3"/>
            <w:shd w:val="clear" w:color="auto" w:fill="FFFFFF"/>
            <w:tcMar>
              <w:top w:w="30" w:type="dxa"/>
              <w:left w:w="20" w:type="dxa"/>
              <w:bottom w:w="30" w:type="dxa"/>
              <w:right w:w="20" w:type="dxa"/>
            </w:tcMar>
            <w:vAlign w:val="center"/>
            <w:hideMark/>
          </w:tcPr>
          <w:p w14:paraId="54C5982C" w14:textId="77777777" w:rsidR="00000000" w:rsidRDefault="00405D16">
            <w:pPr>
              <w:spacing w:after="100"/>
              <w:rPr>
                <w:rFonts w:eastAsia="Times New Roman"/>
              </w:rPr>
            </w:pPr>
            <w:r>
              <w:rPr>
                <w:rFonts w:eastAsia="Times New Roman"/>
                <w:color w:val="000000"/>
                <w:sz w:val="18"/>
                <w:szCs w:val="18"/>
              </w:rPr>
              <w:t>Auto loan originations</w:t>
            </w:r>
          </w:p>
        </w:tc>
        <w:tc>
          <w:tcPr>
            <w:tcW w:w="0" w:type="auto"/>
            <w:gridSpan w:val="3"/>
            <w:shd w:val="clear" w:color="auto" w:fill="FFFFFF"/>
            <w:tcMar>
              <w:top w:w="0" w:type="dxa"/>
              <w:left w:w="20" w:type="dxa"/>
              <w:bottom w:w="0" w:type="dxa"/>
              <w:right w:w="20" w:type="dxa"/>
            </w:tcMar>
            <w:vAlign w:val="center"/>
            <w:hideMark/>
          </w:tcPr>
          <w:p w14:paraId="3B6BA1BB"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2B28634B"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4775FE5A" w14:textId="77777777" w:rsidR="00000000" w:rsidRDefault="00405D16">
            <w:pPr>
              <w:spacing w:after="100"/>
              <w:jc w:val="right"/>
              <w:rPr>
                <w:rFonts w:eastAsia="Times New Roman"/>
              </w:rPr>
            </w:pPr>
            <w:r>
              <w:rPr>
                <w:rFonts w:eastAsia="Times New Roman"/>
                <w:b/>
                <w:bCs/>
                <w:color w:val="000000"/>
                <w:sz w:val="18"/>
                <w:szCs w:val="18"/>
              </w:rPr>
              <w:t>11,570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4AB8ED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92FD1C"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604E772"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652FFD2B" w14:textId="77777777" w:rsidR="00000000" w:rsidRDefault="00405D16">
            <w:pPr>
              <w:spacing w:after="100"/>
              <w:jc w:val="right"/>
              <w:rPr>
                <w:rFonts w:eastAsia="Times New Roman"/>
              </w:rPr>
            </w:pPr>
            <w:r>
              <w:rPr>
                <w:rFonts w:eastAsia="Times New Roman"/>
                <w:color w:val="000000"/>
                <w:sz w:val="18"/>
                <w:szCs w:val="18"/>
              </w:rPr>
              <w:t>8,979 </w:t>
            </w:r>
          </w:p>
        </w:tc>
        <w:tc>
          <w:tcPr>
            <w:tcW w:w="0" w:type="auto"/>
            <w:shd w:val="clear" w:color="auto" w:fill="FFFFFF"/>
            <w:tcMar>
              <w:top w:w="30" w:type="dxa"/>
              <w:left w:w="0" w:type="dxa"/>
              <w:bottom w:w="30" w:type="dxa"/>
              <w:right w:w="20" w:type="dxa"/>
            </w:tcMar>
            <w:vAlign w:val="center"/>
            <w:hideMark/>
          </w:tcPr>
          <w:p w14:paraId="7D10450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34A7F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31C4570" w14:textId="77777777" w:rsidR="00000000" w:rsidRDefault="00405D16">
            <w:pPr>
              <w:spacing w:after="100"/>
              <w:jc w:val="right"/>
              <w:rPr>
                <w:rFonts w:eastAsia="Times New Roman"/>
              </w:rPr>
            </w:pPr>
            <w:r>
              <w:rPr>
                <w:rFonts w:eastAsia="Times New Roman"/>
                <w:color w:val="000000"/>
                <w:sz w:val="18"/>
                <w:szCs w:val="18"/>
              </w:rPr>
              <w:t>29 </w:t>
            </w:r>
          </w:p>
        </w:tc>
        <w:tc>
          <w:tcPr>
            <w:tcW w:w="0" w:type="auto"/>
            <w:shd w:val="clear" w:color="auto" w:fill="FFFFFF"/>
            <w:tcMar>
              <w:top w:w="30" w:type="dxa"/>
              <w:left w:w="0" w:type="dxa"/>
              <w:bottom w:w="30" w:type="dxa"/>
              <w:right w:w="20" w:type="dxa"/>
            </w:tcMar>
            <w:vAlign w:val="center"/>
            <w:hideMark/>
          </w:tcPr>
          <w:p w14:paraId="0EA08EAA"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08DD358" w14:textId="77777777" w:rsidR="00000000" w:rsidRDefault="00405D16">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1BF1AAAB"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212D117A" w14:textId="77777777" w:rsidR="00000000" w:rsidRDefault="00405D16">
            <w:pPr>
              <w:spacing w:after="100"/>
              <w:jc w:val="right"/>
              <w:rPr>
                <w:rFonts w:eastAsia="Times New Roman"/>
              </w:rPr>
            </w:pPr>
            <w:r>
              <w:rPr>
                <w:rFonts w:eastAsia="Times New Roman"/>
                <w:b/>
                <w:bCs/>
                <w:color w:val="000000"/>
                <w:sz w:val="18"/>
                <w:szCs w:val="18"/>
              </w:rPr>
              <w:t>33,362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904475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32B705"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8A3F46F"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44E53A50" w14:textId="77777777" w:rsidR="00000000" w:rsidRDefault="00405D16">
            <w:pPr>
              <w:spacing w:after="100"/>
              <w:jc w:val="right"/>
              <w:rPr>
                <w:rFonts w:eastAsia="Times New Roman"/>
              </w:rPr>
            </w:pPr>
            <w:r>
              <w:rPr>
                <w:rFonts w:eastAsia="Times New Roman"/>
                <w:color w:val="000000"/>
                <w:sz w:val="18"/>
                <w:szCs w:val="18"/>
              </w:rPr>
              <w:t>24,910 </w:t>
            </w:r>
          </w:p>
        </w:tc>
        <w:tc>
          <w:tcPr>
            <w:tcW w:w="0" w:type="auto"/>
            <w:shd w:val="clear" w:color="auto" w:fill="FFFFFF"/>
            <w:tcMar>
              <w:top w:w="30" w:type="dxa"/>
              <w:left w:w="0" w:type="dxa"/>
              <w:bottom w:w="30" w:type="dxa"/>
              <w:right w:w="20" w:type="dxa"/>
            </w:tcMar>
            <w:vAlign w:val="center"/>
            <w:hideMark/>
          </w:tcPr>
          <w:p w14:paraId="28FAEFCC" w14:textId="77777777" w:rsidR="00000000" w:rsidRDefault="00405D16">
            <w:pPr>
              <w:spacing w:after="100"/>
              <w:jc w:val="right"/>
              <w:rPr>
                <w:rFonts w:eastAsia="Times New Roman"/>
              </w:rPr>
            </w:pPr>
          </w:p>
        </w:tc>
        <w:tc>
          <w:tcPr>
            <w:tcW w:w="0" w:type="auto"/>
            <w:vAlign w:val="center"/>
            <w:hideMark/>
          </w:tcPr>
          <w:p w14:paraId="3DCE2BB1" w14:textId="77777777" w:rsidR="00000000" w:rsidRDefault="00405D16">
            <w:pPr>
              <w:spacing w:after="100"/>
              <w:jc w:val="right"/>
              <w:rPr>
                <w:rFonts w:eastAsia="Times New Roman"/>
                <w:sz w:val="20"/>
                <w:szCs w:val="20"/>
              </w:rPr>
            </w:pPr>
          </w:p>
        </w:tc>
        <w:tc>
          <w:tcPr>
            <w:tcW w:w="0" w:type="auto"/>
            <w:vAlign w:val="center"/>
            <w:hideMark/>
          </w:tcPr>
          <w:p w14:paraId="296F033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DA12C5"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30ECA3D" w14:textId="77777777" w:rsidR="00000000" w:rsidRDefault="00405D16">
            <w:pPr>
              <w:spacing w:after="100"/>
              <w:jc w:val="right"/>
              <w:rPr>
                <w:rFonts w:eastAsia="Times New Roman"/>
              </w:rPr>
            </w:pPr>
            <w:r>
              <w:rPr>
                <w:rFonts w:eastAsia="Times New Roman"/>
                <w:color w:val="000000"/>
                <w:sz w:val="18"/>
                <w:szCs w:val="18"/>
              </w:rPr>
              <w:t>34 </w:t>
            </w:r>
          </w:p>
        </w:tc>
        <w:tc>
          <w:tcPr>
            <w:tcW w:w="0" w:type="auto"/>
            <w:shd w:val="clear" w:color="auto" w:fill="FFFFFF"/>
            <w:tcMar>
              <w:top w:w="30" w:type="dxa"/>
              <w:left w:w="0" w:type="dxa"/>
              <w:bottom w:w="30" w:type="dxa"/>
              <w:right w:w="20" w:type="dxa"/>
            </w:tcMar>
            <w:vAlign w:val="center"/>
            <w:hideMark/>
          </w:tcPr>
          <w:p w14:paraId="09714242"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59078503" w14:textId="77777777" w:rsidR="00000000" w:rsidRDefault="00405D16">
            <w:pPr>
              <w:spacing w:after="100"/>
              <w:jc w:val="right"/>
              <w:rPr>
                <w:rFonts w:eastAsia="Times New Roman"/>
              </w:rPr>
            </w:pPr>
          </w:p>
        </w:tc>
        <w:tc>
          <w:tcPr>
            <w:tcW w:w="0" w:type="auto"/>
            <w:gridSpan w:val="3"/>
            <w:vAlign w:val="center"/>
            <w:hideMark/>
          </w:tcPr>
          <w:p w14:paraId="1086B649" w14:textId="77777777" w:rsidR="00000000" w:rsidRDefault="00405D16">
            <w:pPr>
              <w:spacing w:after="100"/>
              <w:rPr>
                <w:rFonts w:eastAsia="Times New Roman"/>
                <w:sz w:val="20"/>
                <w:szCs w:val="20"/>
              </w:rPr>
            </w:pPr>
          </w:p>
        </w:tc>
      </w:tr>
      <w:tr w:rsidR="00000000" w14:paraId="328FE08C" w14:textId="77777777">
        <w:trPr>
          <w:divId w:val="1807164682"/>
          <w:trHeight w:val="240"/>
        </w:trPr>
        <w:tc>
          <w:tcPr>
            <w:tcW w:w="0" w:type="auto"/>
            <w:gridSpan w:val="3"/>
            <w:tcMar>
              <w:top w:w="0" w:type="dxa"/>
              <w:left w:w="20" w:type="dxa"/>
              <w:bottom w:w="0" w:type="dxa"/>
              <w:right w:w="20" w:type="dxa"/>
            </w:tcMar>
            <w:vAlign w:val="center"/>
            <w:hideMark/>
          </w:tcPr>
          <w:p w14:paraId="2C15B135"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3C1326"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6B76AED"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58DE2EF"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F47C6B0"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F9E1BF1"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FA2A367"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D635865"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742FA74"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F8EED02"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92760C3" w14:textId="77777777" w:rsidR="00000000" w:rsidRDefault="00405D16">
            <w:pPr>
              <w:spacing w:after="100"/>
              <w:rPr>
                <w:rFonts w:eastAsia="Times New Roman"/>
                <w:sz w:val="20"/>
                <w:szCs w:val="20"/>
              </w:rPr>
            </w:pPr>
          </w:p>
        </w:tc>
        <w:tc>
          <w:tcPr>
            <w:tcW w:w="0" w:type="auto"/>
            <w:vAlign w:val="center"/>
            <w:hideMark/>
          </w:tcPr>
          <w:p w14:paraId="66B7D634" w14:textId="77777777" w:rsidR="00000000" w:rsidRDefault="00405D16">
            <w:pPr>
              <w:spacing w:after="100"/>
              <w:rPr>
                <w:rFonts w:eastAsia="Times New Roman"/>
                <w:sz w:val="20"/>
                <w:szCs w:val="20"/>
              </w:rPr>
            </w:pPr>
          </w:p>
        </w:tc>
        <w:tc>
          <w:tcPr>
            <w:tcW w:w="0" w:type="auto"/>
            <w:vAlign w:val="center"/>
            <w:hideMark/>
          </w:tcPr>
          <w:p w14:paraId="35A18007"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FB95F0B"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57FDBF2" w14:textId="77777777" w:rsidR="00000000" w:rsidRDefault="00405D16">
            <w:pPr>
              <w:spacing w:after="100"/>
              <w:rPr>
                <w:rFonts w:eastAsia="Times New Roman"/>
                <w:sz w:val="20"/>
                <w:szCs w:val="20"/>
              </w:rPr>
            </w:pPr>
          </w:p>
        </w:tc>
        <w:tc>
          <w:tcPr>
            <w:tcW w:w="0" w:type="auto"/>
            <w:gridSpan w:val="3"/>
            <w:vAlign w:val="center"/>
            <w:hideMark/>
          </w:tcPr>
          <w:p w14:paraId="2525C089" w14:textId="77777777" w:rsidR="00000000" w:rsidRDefault="00405D16">
            <w:pPr>
              <w:spacing w:after="100"/>
              <w:rPr>
                <w:rFonts w:eastAsia="Times New Roman"/>
                <w:sz w:val="20"/>
                <w:szCs w:val="20"/>
              </w:rPr>
            </w:pPr>
          </w:p>
        </w:tc>
        <w:tc>
          <w:tcPr>
            <w:tcW w:w="0" w:type="auto"/>
            <w:gridSpan w:val="3"/>
            <w:vAlign w:val="center"/>
            <w:hideMark/>
          </w:tcPr>
          <w:p w14:paraId="345817A5" w14:textId="77777777" w:rsidR="00000000" w:rsidRDefault="00405D16">
            <w:pPr>
              <w:spacing w:after="100"/>
              <w:rPr>
                <w:rFonts w:eastAsia="Times New Roman"/>
                <w:sz w:val="20"/>
                <w:szCs w:val="20"/>
              </w:rPr>
            </w:pPr>
          </w:p>
        </w:tc>
      </w:tr>
      <w:tr w:rsidR="00000000" w14:paraId="0D783705" w14:textId="77777777">
        <w:trPr>
          <w:divId w:val="1807164682"/>
        </w:trPr>
        <w:tc>
          <w:tcPr>
            <w:tcW w:w="0" w:type="auto"/>
            <w:gridSpan w:val="3"/>
            <w:shd w:val="clear" w:color="auto" w:fill="FFFFFF"/>
            <w:tcMar>
              <w:top w:w="30" w:type="dxa"/>
              <w:left w:w="20" w:type="dxa"/>
              <w:bottom w:w="30" w:type="dxa"/>
              <w:right w:w="20" w:type="dxa"/>
            </w:tcMar>
            <w:vAlign w:val="bottom"/>
            <w:hideMark/>
          </w:tcPr>
          <w:p w14:paraId="54A618E6" w14:textId="77777777" w:rsidR="00000000" w:rsidRDefault="00405D16">
            <w:pPr>
              <w:spacing w:after="100"/>
              <w:rPr>
                <w:rFonts w:eastAsia="Times New Roman"/>
              </w:rPr>
            </w:pPr>
            <w:r>
              <w:rPr>
                <w:rFonts w:eastAsia="Times New Roman"/>
                <w:i/>
                <w:iCs/>
                <w:color w:val="000000"/>
                <w:sz w:val="16"/>
                <w:szCs w:val="16"/>
              </w:rPr>
              <w:t>(Dollars in millions, except as noted)</w:t>
            </w:r>
          </w:p>
        </w:tc>
        <w:tc>
          <w:tcPr>
            <w:tcW w:w="0" w:type="auto"/>
            <w:gridSpan w:val="3"/>
            <w:shd w:val="clear" w:color="auto" w:fill="FFFFFF"/>
            <w:tcMar>
              <w:top w:w="0" w:type="dxa"/>
              <w:left w:w="20" w:type="dxa"/>
              <w:bottom w:w="0" w:type="dxa"/>
              <w:right w:w="20" w:type="dxa"/>
            </w:tcMar>
            <w:vAlign w:val="center"/>
            <w:hideMark/>
          </w:tcPr>
          <w:p w14:paraId="031618AF" w14:textId="77777777" w:rsidR="00000000" w:rsidRDefault="00405D16">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1BD9EFC" w14:textId="77777777" w:rsidR="00000000" w:rsidRDefault="00405D16">
            <w:pPr>
              <w:spacing w:after="100"/>
              <w:jc w:val="center"/>
              <w:rPr>
                <w:rFonts w:eastAsia="Times New Roman"/>
              </w:rPr>
            </w:pPr>
            <w:r>
              <w:rPr>
                <w:rFonts w:eastAsia="Times New Roman"/>
                <w:b/>
                <w:bCs/>
                <w:color w:val="000000"/>
                <w:sz w:val="16"/>
                <w:szCs w:val="16"/>
              </w:rPr>
              <w:t>September 30, 2021</w:t>
            </w:r>
          </w:p>
        </w:tc>
        <w:tc>
          <w:tcPr>
            <w:tcW w:w="0" w:type="auto"/>
            <w:gridSpan w:val="3"/>
            <w:shd w:val="clear" w:color="auto" w:fill="FFFFFF"/>
            <w:tcMar>
              <w:top w:w="0" w:type="dxa"/>
              <w:left w:w="20" w:type="dxa"/>
              <w:bottom w:w="0" w:type="dxa"/>
              <w:right w:w="20" w:type="dxa"/>
            </w:tcMar>
            <w:vAlign w:val="center"/>
            <w:hideMark/>
          </w:tcPr>
          <w:p w14:paraId="6288DFDF" w14:textId="77777777" w:rsidR="00000000" w:rsidRDefault="00405D16">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80152F0" w14:textId="77777777" w:rsidR="00000000" w:rsidRDefault="00405D16">
            <w:pPr>
              <w:spacing w:after="100"/>
              <w:jc w:val="center"/>
              <w:rPr>
                <w:rFonts w:eastAsia="Times New Roman"/>
              </w:rPr>
            </w:pPr>
            <w:r>
              <w:rPr>
                <w:rFonts w:eastAsia="Times New Roman"/>
                <w:b/>
                <w:bCs/>
                <w:color w:val="000000"/>
                <w:sz w:val="16"/>
                <w:szCs w:val="16"/>
              </w:rPr>
              <w:t>December 31, 2020</w:t>
            </w:r>
          </w:p>
        </w:tc>
        <w:tc>
          <w:tcPr>
            <w:tcW w:w="0" w:type="auto"/>
            <w:gridSpan w:val="3"/>
            <w:shd w:val="clear" w:color="auto" w:fill="FFFFFF"/>
            <w:tcMar>
              <w:top w:w="0" w:type="dxa"/>
              <w:left w:w="20" w:type="dxa"/>
              <w:bottom w:w="0" w:type="dxa"/>
              <w:right w:w="20" w:type="dxa"/>
            </w:tcMar>
            <w:vAlign w:val="center"/>
            <w:hideMark/>
          </w:tcPr>
          <w:p w14:paraId="25D786B9" w14:textId="77777777" w:rsidR="00000000" w:rsidRDefault="00405D16">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8583043" w14:textId="77777777" w:rsidR="00000000" w:rsidRDefault="00405D16">
            <w:pPr>
              <w:spacing w:after="100"/>
              <w:jc w:val="center"/>
              <w:rPr>
                <w:rFonts w:eastAsia="Times New Roman"/>
              </w:rPr>
            </w:pPr>
            <w:r>
              <w:rPr>
                <w:rFonts w:eastAsia="Times New Roman"/>
                <w:b/>
                <w:bCs/>
                <w:color w:val="000000"/>
                <w:sz w:val="16"/>
                <w:szCs w:val="16"/>
              </w:rPr>
              <w:t>Change</w:t>
            </w:r>
          </w:p>
        </w:tc>
        <w:tc>
          <w:tcPr>
            <w:tcW w:w="0" w:type="auto"/>
            <w:gridSpan w:val="3"/>
            <w:shd w:val="clear" w:color="auto" w:fill="FFFFFF"/>
            <w:tcMar>
              <w:top w:w="0" w:type="dxa"/>
              <w:left w:w="20" w:type="dxa"/>
              <w:bottom w:w="0" w:type="dxa"/>
              <w:right w:w="20" w:type="dxa"/>
            </w:tcMar>
            <w:vAlign w:val="center"/>
            <w:hideMark/>
          </w:tcPr>
          <w:p w14:paraId="4A405800" w14:textId="77777777" w:rsidR="00000000" w:rsidRDefault="00405D16">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7CD3C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D5B36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50CAD7" w14:textId="77777777" w:rsidR="00000000" w:rsidRDefault="00405D16">
            <w:pPr>
              <w:spacing w:after="100"/>
              <w:rPr>
                <w:rFonts w:eastAsia="Times New Roman"/>
                <w:sz w:val="20"/>
                <w:szCs w:val="20"/>
              </w:rPr>
            </w:pPr>
          </w:p>
        </w:tc>
        <w:tc>
          <w:tcPr>
            <w:tcW w:w="0" w:type="auto"/>
            <w:vAlign w:val="center"/>
            <w:hideMark/>
          </w:tcPr>
          <w:p w14:paraId="5F827212" w14:textId="77777777" w:rsidR="00000000" w:rsidRDefault="00405D16">
            <w:pPr>
              <w:spacing w:after="100"/>
              <w:rPr>
                <w:rFonts w:eastAsia="Times New Roman"/>
                <w:sz w:val="20"/>
                <w:szCs w:val="20"/>
              </w:rPr>
            </w:pPr>
          </w:p>
        </w:tc>
        <w:tc>
          <w:tcPr>
            <w:tcW w:w="0" w:type="auto"/>
            <w:vAlign w:val="center"/>
            <w:hideMark/>
          </w:tcPr>
          <w:p w14:paraId="2A5EFFD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88E89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50BA42" w14:textId="77777777" w:rsidR="00000000" w:rsidRDefault="00405D16">
            <w:pPr>
              <w:spacing w:after="100"/>
              <w:rPr>
                <w:rFonts w:eastAsia="Times New Roman"/>
                <w:sz w:val="20"/>
                <w:szCs w:val="20"/>
              </w:rPr>
            </w:pPr>
          </w:p>
        </w:tc>
        <w:tc>
          <w:tcPr>
            <w:tcW w:w="0" w:type="auto"/>
            <w:gridSpan w:val="3"/>
            <w:vAlign w:val="center"/>
            <w:hideMark/>
          </w:tcPr>
          <w:p w14:paraId="18064D0C" w14:textId="77777777" w:rsidR="00000000" w:rsidRDefault="00405D16">
            <w:pPr>
              <w:spacing w:after="100"/>
              <w:rPr>
                <w:rFonts w:eastAsia="Times New Roman"/>
                <w:sz w:val="20"/>
                <w:szCs w:val="20"/>
              </w:rPr>
            </w:pPr>
          </w:p>
        </w:tc>
        <w:tc>
          <w:tcPr>
            <w:tcW w:w="0" w:type="auto"/>
            <w:gridSpan w:val="3"/>
            <w:vAlign w:val="center"/>
            <w:hideMark/>
          </w:tcPr>
          <w:p w14:paraId="44C67B62" w14:textId="77777777" w:rsidR="00000000" w:rsidRDefault="00405D16">
            <w:pPr>
              <w:spacing w:after="100"/>
              <w:rPr>
                <w:rFonts w:eastAsia="Times New Roman"/>
                <w:sz w:val="20"/>
                <w:szCs w:val="20"/>
              </w:rPr>
            </w:pPr>
          </w:p>
        </w:tc>
      </w:tr>
      <w:tr w:rsidR="00000000" w14:paraId="34166BD1" w14:textId="77777777">
        <w:trPr>
          <w:divId w:val="180716468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57E37B2E" w14:textId="77777777" w:rsidR="00000000" w:rsidRDefault="00405D16">
            <w:pPr>
              <w:spacing w:after="100"/>
              <w:rPr>
                <w:rFonts w:eastAsia="Times New Roman"/>
              </w:rPr>
            </w:pPr>
            <w:r>
              <w:rPr>
                <w:rFonts w:eastAsia="Times New Roman"/>
                <w:b/>
                <w:bCs/>
                <w:color w:val="000000"/>
                <w:sz w:val="18"/>
                <w:szCs w:val="18"/>
              </w:rPr>
              <w:t>Selected period-end data:</w:t>
            </w:r>
          </w:p>
        </w:tc>
        <w:tc>
          <w:tcPr>
            <w:tcW w:w="0" w:type="auto"/>
            <w:gridSpan w:val="3"/>
            <w:shd w:val="clear" w:color="auto" w:fill="CCEEFF"/>
            <w:tcMar>
              <w:top w:w="0" w:type="dxa"/>
              <w:left w:w="20" w:type="dxa"/>
              <w:bottom w:w="0" w:type="dxa"/>
              <w:right w:w="20" w:type="dxa"/>
            </w:tcMar>
            <w:vAlign w:val="center"/>
            <w:hideMark/>
          </w:tcPr>
          <w:p w14:paraId="4CF96EAC"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17A9F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DFDDF0"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523A6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971858"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8DD82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A98D5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9FCED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CE191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A485A8" w14:textId="77777777" w:rsidR="00000000" w:rsidRDefault="00405D16">
            <w:pPr>
              <w:spacing w:after="100"/>
              <w:rPr>
                <w:rFonts w:eastAsia="Times New Roman"/>
                <w:sz w:val="20"/>
                <w:szCs w:val="20"/>
              </w:rPr>
            </w:pPr>
          </w:p>
        </w:tc>
        <w:tc>
          <w:tcPr>
            <w:tcW w:w="0" w:type="auto"/>
            <w:vAlign w:val="center"/>
            <w:hideMark/>
          </w:tcPr>
          <w:p w14:paraId="54A847C2" w14:textId="77777777" w:rsidR="00000000" w:rsidRDefault="00405D16">
            <w:pPr>
              <w:spacing w:after="100"/>
              <w:rPr>
                <w:rFonts w:eastAsia="Times New Roman"/>
                <w:sz w:val="20"/>
                <w:szCs w:val="20"/>
              </w:rPr>
            </w:pPr>
          </w:p>
        </w:tc>
        <w:tc>
          <w:tcPr>
            <w:tcW w:w="0" w:type="auto"/>
            <w:vAlign w:val="center"/>
            <w:hideMark/>
          </w:tcPr>
          <w:p w14:paraId="56D5D37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1F3F7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D2CF5D" w14:textId="77777777" w:rsidR="00000000" w:rsidRDefault="00405D16">
            <w:pPr>
              <w:spacing w:after="100"/>
              <w:rPr>
                <w:rFonts w:eastAsia="Times New Roman"/>
                <w:sz w:val="20"/>
                <w:szCs w:val="20"/>
              </w:rPr>
            </w:pPr>
          </w:p>
        </w:tc>
        <w:tc>
          <w:tcPr>
            <w:tcW w:w="0" w:type="auto"/>
            <w:gridSpan w:val="3"/>
            <w:vAlign w:val="center"/>
            <w:hideMark/>
          </w:tcPr>
          <w:p w14:paraId="3B69E46C" w14:textId="77777777" w:rsidR="00000000" w:rsidRDefault="00405D16">
            <w:pPr>
              <w:spacing w:after="100"/>
              <w:rPr>
                <w:rFonts w:eastAsia="Times New Roman"/>
                <w:sz w:val="20"/>
                <w:szCs w:val="20"/>
              </w:rPr>
            </w:pPr>
          </w:p>
        </w:tc>
        <w:tc>
          <w:tcPr>
            <w:tcW w:w="0" w:type="auto"/>
            <w:gridSpan w:val="3"/>
            <w:vAlign w:val="center"/>
            <w:hideMark/>
          </w:tcPr>
          <w:p w14:paraId="686CE191" w14:textId="77777777" w:rsidR="00000000" w:rsidRDefault="00405D16">
            <w:pPr>
              <w:spacing w:after="100"/>
              <w:rPr>
                <w:rFonts w:eastAsia="Times New Roman"/>
                <w:sz w:val="20"/>
                <w:szCs w:val="20"/>
              </w:rPr>
            </w:pPr>
          </w:p>
        </w:tc>
      </w:tr>
      <w:tr w:rsidR="00000000" w14:paraId="27A9BFE8" w14:textId="77777777">
        <w:trPr>
          <w:divId w:val="1807164682"/>
        </w:trPr>
        <w:tc>
          <w:tcPr>
            <w:tcW w:w="0" w:type="auto"/>
            <w:gridSpan w:val="3"/>
            <w:shd w:val="clear" w:color="auto" w:fill="FFFFFF"/>
            <w:tcMar>
              <w:top w:w="30" w:type="dxa"/>
              <w:left w:w="20" w:type="dxa"/>
              <w:bottom w:w="30" w:type="dxa"/>
              <w:right w:w="20" w:type="dxa"/>
            </w:tcMar>
            <w:vAlign w:val="center"/>
            <w:hideMark/>
          </w:tcPr>
          <w:p w14:paraId="5B32F93B" w14:textId="77777777" w:rsidR="00000000" w:rsidRDefault="00405D16">
            <w:pPr>
              <w:spacing w:after="100"/>
              <w:rPr>
                <w:rFonts w:eastAsia="Times New Roman"/>
              </w:rPr>
            </w:pPr>
            <w:r>
              <w:rPr>
                <w:rFonts w:eastAsia="Times New Roman"/>
                <w:color w:val="000000"/>
                <w:sz w:val="18"/>
                <w:szCs w:val="18"/>
              </w:rPr>
              <w:t>Loans held for investment:</w:t>
            </w:r>
          </w:p>
        </w:tc>
        <w:tc>
          <w:tcPr>
            <w:tcW w:w="0" w:type="auto"/>
            <w:gridSpan w:val="3"/>
            <w:shd w:val="clear" w:color="auto" w:fill="FFFFFF"/>
            <w:tcMar>
              <w:top w:w="0" w:type="dxa"/>
              <w:left w:w="20" w:type="dxa"/>
              <w:bottom w:w="0" w:type="dxa"/>
              <w:right w:w="20" w:type="dxa"/>
            </w:tcMar>
            <w:vAlign w:val="center"/>
            <w:hideMark/>
          </w:tcPr>
          <w:p w14:paraId="4D903123"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B9EA5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6041F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D0185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43B45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6AB13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1E7B7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73DD0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F20F2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3B65CA" w14:textId="77777777" w:rsidR="00000000" w:rsidRDefault="00405D16">
            <w:pPr>
              <w:spacing w:after="100"/>
              <w:rPr>
                <w:rFonts w:eastAsia="Times New Roman"/>
                <w:sz w:val="20"/>
                <w:szCs w:val="20"/>
              </w:rPr>
            </w:pPr>
          </w:p>
        </w:tc>
        <w:tc>
          <w:tcPr>
            <w:tcW w:w="0" w:type="auto"/>
            <w:vAlign w:val="center"/>
            <w:hideMark/>
          </w:tcPr>
          <w:p w14:paraId="78BCD983" w14:textId="77777777" w:rsidR="00000000" w:rsidRDefault="00405D16">
            <w:pPr>
              <w:spacing w:after="100"/>
              <w:rPr>
                <w:rFonts w:eastAsia="Times New Roman"/>
                <w:sz w:val="20"/>
                <w:szCs w:val="20"/>
              </w:rPr>
            </w:pPr>
          </w:p>
        </w:tc>
        <w:tc>
          <w:tcPr>
            <w:tcW w:w="0" w:type="auto"/>
            <w:vAlign w:val="center"/>
            <w:hideMark/>
          </w:tcPr>
          <w:p w14:paraId="7FF15C5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70693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816DAD" w14:textId="77777777" w:rsidR="00000000" w:rsidRDefault="00405D16">
            <w:pPr>
              <w:spacing w:after="100"/>
              <w:rPr>
                <w:rFonts w:eastAsia="Times New Roman"/>
                <w:sz w:val="20"/>
                <w:szCs w:val="20"/>
              </w:rPr>
            </w:pPr>
          </w:p>
        </w:tc>
        <w:tc>
          <w:tcPr>
            <w:tcW w:w="0" w:type="auto"/>
            <w:gridSpan w:val="3"/>
            <w:vAlign w:val="center"/>
            <w:hideMark/>
          </w:tcPr>
          <w:p w14:paraId="385941A4" w14:textId="77777777" w:rsidR="00000000" w:rsidRDefault="00405D16">
            <w:pPr>
              <w:spacing w:after="100"/>
              <w:rPr>
                <w:rFonts w:eastAsia="Times New Roman"/>
                <w:sz w:val="20"/>
                <w:szCs w:val="20"/>
              </w:rPr>
            </w:pPr>
          </w:p>
        </w:tc>
        <w:tc>
          <w:tcPr>
            <w:tcW w:w="0" w:type="auto"/>
            <w:gridSpan w:val="3"/>
            <w:vAlign w:val="center"/>
            <w:hideMark/>
          </w:tcPr>
          <w:p w14:paraId="53380878" w14:textId="77777777" w:rsidR="00000000" w:rsidRDefault="00405D16">
            <w:pPr>
              <w:spacing w:after="100"/>
              <w:rPr>
                <w:rFonts w:eastAsia="Times New Roman"/>
                <w:sz w:val="20"/>
                <w:szCs w:val="20"/>
              </w:rPr>
            </w:pPr>
          </w:p>
        </w:tc>
      </w:tr>
      <w:tr w:rsidR="00000000" w14:paraId="598E827D" w14:textId="77777777">
        <w:trPr>
          <w:divId w:val="1807164682"/>
        </w:trPr>
        <w:tc>
          <w:tcPr>
            <w:tcW w:w="0" w:type="auto"/>
            <w:gridSpan w:val="3"/>
            <w:shd w:val="clear" w:color="auto" w:fill="CCEEFF"/>
            <w:tcMar>
              <w:top w:w="30" w:type="dxa"/>
              <w:left w:w="245" w:type="dxa"/>
              <w:bottom w:w="30" w:type="dxa"/>
              <w:right w:w="20" w:type="dxa"/>
            </w:tcMar>
            <w:vAlign w:val="center"/>
            <w:hideMark/>
          </w:tcPr>
          <w:p w14:paraId="3633F8BB" w14:textId="77777777" w:rsidR="00000000" w:rsidRDefault="00405D16">
            <w:pPr>
              <w:spacing w:after="100"/>
              <w:rPr>
                <w:rFonts w:eastAsia="Times New Roman"/>
              </w:rPr>
            </w:pPr>
            <w:r>
              <w:rPr>
                <w:rFonts w:eastAsia="Times New Roman"/>
                <w:color w:val="000000"/>
                <w:sz w:val="18"/>
                <w:szCs w:val="18"/>
              </w:rPr>
              <w:t>Auto</w:t>
            </w:r>
          </w:p>
        </w:tc>
        <w:tc>
          <w:tcPr>
            <w:tcW w:w="0" w:type="auto"/>
            <w:gridSpan w:val="3"/>
            <w:shd w:val="clear" w:color="auto" w:fill="CCEEFF"/>
            <w:tcMar>
              <w:top w:w="0" w:type="dxa"/>
              <w:left w:w="20" w:type="dxa"/>
              <w:bottom w:w="0" w:type="dxa"/>
              <w:right w:w="20" w:type="dxa"/>
            </w:tcMar>
            <w:vAlign w:val="center"/>
            <w:hideMark/>
          </w:tcPr>
          <w:p w14:paraId="02D9E26C" w14:textId="77777777" w:rsidR="00000000" w:rsidRDefault="00405D16">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7BCFFD75"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753B627F" w14:textId="77777777" w:rsidR="00000000" w:rsidRDefault="00405D16">
            <w:pPr>
              <w:spacing w:after="100"/>
              <w:jc w:val="right"/>
              <w:rPr>
                <w:rFonts w:eastAsia="Times New Roman"/>
              </w:rPr>
            </w:pPr>
            <w:r>
              <w:rPr>
                <w:rFonts w:eastAsia="Times New Roman"/>
                <w:b/>
                <w:bCs/>
                <w:color w:val="000000"/>
                <w:sz w:val="18"/>
                <w:szCs w:val="18"/>
              </w:rPr>
              <w:t>74,716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23E8FC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1DD56D"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5491892C"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6E482DE8" w14:textId="77777777" w:rsidR="00000000" w:rsidRDefault="00405D16">
            <w:pPr>
              <w:spacing w:after="100"/>
              <w:jc w:val="right"/>
              <w:rPr>
                <w:rFonts w:eastAsia="Times New Roman"/>
              </w:rPr>
            </w:pPr>
            <w:r>
              <w:rPr>
                <w:rFonts w:eastAsia="Times New Roman"/>
                <w:color w:val="000000"/>
                <w:sz w:val="18"/>
                <w:szCs w:val="18"/>
              </w:rPr>
              <w:t>65,762 </w:t>
            </w:r>
          </w:p>
        </w:tc>
        <w:tc>
          <w:tcPr>
            <w:tcW w:w="0" w:type="auto"/>
            <w:shd w:val="clear" w:color="auto" w:fill="CCEEFF"/>
            <w:tcMar>
              <w:top w:w="30" w:type="dxa"/>
              <w:left w:w="0" w:type="dxa"/>
              <w:bottom w:w="30" w:type="dxa"/>
              <w:right w:w="20" w:type="dxa"/>
            </w:tcMar>
            <w:vAlign w:val="center"/>
            <w:hideMark/>
          </w:tcPr>
          <w:p w14:paraId="6215FDB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B326A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3DDBD76" w14:textId="77777777" w:rsidR="00000000" w:rsidRDefault="00405D16">
            <w:pPr>
              <w:spacing w:after="100"/>
              <w:jc w:val="right"/>
              <w:rPr>
                <w:rFonts w:eastAsia="Times New Roman"/>
              </w:rPr>
            </w:pPr>
            <w:r>
              <w:rPr>
                <w:rFonts w:eastAsia="Times New Roman"/>
                <w:color w:val="000000"/>
                <w:sz w:val="18"/>
                <w:szCs w:val="18"/>
              </w:rPr>
              <w:t>14 </w:t>
            </w:r>
          </w:p>
        </w:tc>
        <w:tc>
          <w:tcPr>
            <w:tcW w:w="0" w:type="auto"/>
            <w:shd w:val="clear" w:color="auto" w:fill="CCEEFF"/>
            <w:tcMar>
              <w:top w:w="30" w:type="dxa"/>
              <w:left w:w="0" w:type="dxa"/>
              <w:bottom w:w="30" w:type="dxa"/>
              <w:right w:w="20" w:type="dxa"/>
            </w:tcMar>
            <w:vAlign w:val="center"/>
            <w:hideMark/>
          </w:tcPr>
          <w:p w14:paraId="1CBA42F2"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0A6EC4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C3E3C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06C7D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2CC4C3" w14:textId="77777777" w:rsidR="00000000" w:rsidRDefault="00405D16">
            <w:pPr>
              <w:spacing w:after="100"/>
              <w:rPr>
                <w:rFonts w:eastAsia="Times New Roman"/>
                <w:sz w:val="20"/>
                <w:szCs w:val="20"/>
              </w:rPr>
            </w:pPr>
          </w:p>
        </w:tc>
        <w:tc>
          <w:tcPr>
            <w:tcW w:w="0" w:type="auto"/>
            <w:vAlign w:val="center"/>
            <w:hideMark/>
          </w:tcPr>
          <w:p w14:paraId="7F85683E" w14:textId="77777777" w:rsidR="00000000" w:rsidRDefault="00405D16">
            <w:pPr>
              <w:spacing w:after="100"/>
              <w:rPr>
                <w:rFonts w:eastAsia="Times New Roman"/>
                <w:sz w:val="20"/>
                <w:szCs w:val="20"/>
              </w:rPr>
            </w:pPr>
          </w:p>
        </w:tc>
        <w:tc>
          <w:tcPr>
            <w:tcW w:w="0" w:type="auto"/>
            <w:vAlign w:val="center"/>
            <w:hideMark/>
          </w:tcPr>
          <w:p w14:paraId="3BFD190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B5B07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3F319A" w14:textId="77777777" w:rsidR="00000000" w:rsidRDefault="00405D16">
            <w:pPr>
              <w:spacing w:after="100"/>
              <w:rPr>
                <w:rFonts w:eastAsia="Times New Roman"/>
                <w:sz w:val="20"/>
                <w:szCs w:val="20"/>
              </w:rPr>
            </w:pPr>
          </w:p>
        </w:tc>
        <w:tc>
          <w:tcPr>
            <w:tcW w:w="0" w:type="auto"/>
            <w:gridSpan w:val="3"/>
            <w:vAlign w:val="center"/>
            <w:hideMark/>
          </w:tcPr>
          <w:p w14:paraId="635EA44E" w14:textId="77777777" w:rsidR="00000000" w:rsidRDefault="00405D16">
            <w:pPr>
              <w:spacing w:after="100"/>
              <w:rPr>
                <w:rFonts w:eastAsia="Times New Roman"/>
                <w:sz w:val="20"/>
                <w:szCs w:val="20"/>
              </w:rPr>
            </w:pPr>
          </w:p>
        </w:tc>
        <w:tc>
          <w:tcPr>
            <w:tcW w:w="0" w:type="auto"/>
            <w:gridSpan w:val="3"/>
            <w:vAlign w:val="center"/>
            <w:hideMark/>
          </w:tcPr>
          <w:p w14:paraId="40D2297D" w14:textId="77777777" w:rsidR="00000000" w:rsidRDefault="00405D16">
            <w:pPr>
              <w:spacing w:after="100"/>
              <w:rPr>
                <w:rFonts w:eastAsia="Times New Roman"/>
                <w:sz w:val="20"/>
                <w:szCs w:val="20"/>
              </w:rPr>
            </w:pPr>
          </w:p>
        </w:tc>
      </w:tr>
      <w:tr w:rsidR="00000000" w14:paraId="292D5A56" w14:textId="77777777">
        <w:trPr>
          <w:divId w:val="1807164682"/>
        </w:trPr>
        <w:tc>
          <w:tcPr>
            <w:tcW w:w="0" w:type="auto"/>
            <w:gridSpan w:val="3"/>
            <w:shd w:val="clear" w:color="auto" w:fill="FFFFFF"/>
            <w:tcMar>
              <w:top w:w="30" w:type="dxa"/>
              <w:left w:w="245" w:type="dxa"/>
              <w:bottom w:w="30" w:type="dxa"/>
              <w:right w:w="20" w:type="dxa"/>
            </w:tcMar>
            <w:vAlign w:val="center"/>
            <w:hideMark/>
          </w:tcPr>
          <w:p w14:paraId="4B30ECB2" w14:textId="77777777" w:rsidR="00000000" w:rsidRDefault="00405D16">
            <w:pPr>
              <w:spacing w:after="100"/>
              <w:rPr>
                <w:rFonts w:eastAsia="Times New Roman"/>
              </w:rPr>
            </w:pPr>
            <w:r>
              <w:rPr>
                <w:rFonts w:eastAsia="Times New Roman"/>
                <w:color w:val="000000"/>
                <w:sz w:val="18"/>
                <w:szCs w:val="18"/>
              </w:rPr>
              <w:t>Retail banking</w:t>
            </w:r>
          </w:p>
        </w:tc>
        <w:tc>
          <w:tcPr>
            <w:tcW w:w="0" w:type="auto"/>
            <w:gridSpan w:val="3"/>
            <w:shd w:val="clear" w:color="auto" w:fill="FFFFFF"/>
            <w:tcMar>
              <w:top w:w="0" w:type="dxa"/>
              <w:left w:w="20" w:type="dxa"/>
              <w:bottom w:w="0" w:type="dxa"/>
              <w:right w:w="20" w:type="dxa"/>
            </w:tcMar>
            <w:vAlign w:val="center"/>
            <w:hideMark/>
          </w:tcPr>
          <w:p w14:paraId="2EF54919"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3021528" w14:textId="77777777" w:rsidR="00000000" w:rsidRDefault="00405D16">
            <w:pPr>
              <w:spacing w:after="100"/>
              <w:jc w:val="right"/>
              <w:rPr>
                <w:rFonts w:eastAsia="Times New Roman"/>
              </w:rPr>
            </w:pPr>
            <w:r>
              <w:rPr>
                <w:rFonts w:eastAsia="Times New Roman"/>
                <w:b/>
                <w:bCs/>
                <w:color w:val="000000"/>
                <w:sz w:val="18"/>
                <w:szCs w:val="18"/>
              </w:rPr>
              <w:t>2,396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1F2678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7AE1F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43B897D" w14:textId="77777777" w:rsidR="00000000" w:rsidRDefault="00405D16">
            <w:pPr>
              <w:spacing w:after="100"/>
              <w:jc w:val="right"/>
              <w:rPr>
                <w:rFonts w:eastAsia="Times New Roman"/>
              </w:rPr>
            </w:pPr>
            <w:r>
              <w:rPr>
                <w:rFonts w:eastAsia="Times New Roman"/>
                <w:color w:val="000000"/>
                <w:sz w:val="18"/>
                <w:szCs w:val="18"/>
              </w:rPr>
              <w:t>3,126 </w:t>
            </w:r>
          </w:p>
        </w:tc>
        <w:tc>
          <w:tcPr>
            <w:tcW w:w="0" w:type="auto"/>
            <w:shd w:val="clear" w:color="auto" w:fill="FFFFFF"/>
            <w:tcMar>
              <w:top w:w="30" w:type="dxa"/>
              <w:left w:w="0" w:type="dxa"/>
              <w:bottom w:w="30" w:type="dxa"/>
              <w:right w:w="20" w:type="dxa"/>
            </w:tcMar>
            <w:vAlign w:val="center"/>
            <w:hideMark/>
          </w:tcPr>
          <w:p w14:paraId="4B16423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F6647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A77E239" w14:textId="77777777" w:rsidR="00000000" w:rsidRDefault="00405D16">
            <w:pPr>
              <w:spacing w:after="100"/>
              <w:jc w:val="right"/>
              <w:rPr>
                <w:rFonts w:eastAsia="Times New Roman"/>
              </w:rPr>
            </w:pPr>
            <w:r>
              <w:rPr>
                <w:rFonts w:eastAsia="Times New Roman"/>
                <w:color w:val="000000"/>
                <w:sz w:val="18"/>
                <w:szCs w:val="18"/>
              </w:rPr>
              <w:t>(23)</w:t>
            </w:r>
          </w:p>
        </w:tc>
        <w:tc>
          <w:tcPr>
            <w:tcW w:w="0" w:type="auto"/>
            <w:shd w:val="clear" w:color="auto" w:fill="FFFFFF"/>
            <w:tcMar>
              <w:top w:w="30" w:type="dxa"/>
              <w:left w:w="0" w:type="dxa"/>
              <w:bottom w:w="30" w:type="dxa"/>
              <w:right w:w="20" w:type="dxa"/>
            </w:tcMar>
            <w:vAlign w:val="center"/>
            <w:hideMark/>
          </w:tcPr>
          <w:p w14:paraId="042E6DC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35AF81" w14:textId="77777777" w:rsidR="00000000" w:rsidRDefault="00405D1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9A9D4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90E6E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F78057" w14:textId="77777777" w:rsidR="00000000" w:rsidRDefault="00405D16">
            <w:pPr>
              <w:spacing w:after="100"/>
              <w:rPr>
                <w:rFonts w:eastAsia="Times New Roman"/>
                <w:sz w:val="20"/>
                <w:szCs w:val="20"/>
              </w:rPr>
            </w:pPr>
          </w:p>
        </w:tc>
        <w:tc>
          <w:tcPr>
            <w:tcW w:w="0" w:type="auto"/>
            <w:vAlign w:val="center"/>
            <w:hideMark/>
          </w:tcPr>
          <w:p w14:paraId="17036193" w14:textId="77777777" w:rsidR="00000000" w:rsidRDefault="00405D16">
            <w:pPr>
              <w:spacing w:after="100"/>
              <w:rPr>
                <w:rFonts w:eastAsia="Times New Roman"/>
                <w:sz w:val="20"/>
                <w:szCs w:val="20"/>
              </w:rPr>
            </w:pPr>
          </w:p>
        </w:tc>
        <w:tc>
          <w:tcPr>
            <w:tcW w:w="0" w:type="auto"/>
            <w:vAlign w:val="center"/>
            <w:hideMark/>
          </w:tcPr>
          <w:p w14:paraId="77C3015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16741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7167C1" w14:textId="77777777" w:rsidR="00000000" w:rsidRDefault="00405D16">
            <w:pPr>
              <w:spacing w:after="100"/>
              <w:rPr>
                <w:rFonts w:eastAsia="Times New Roman"/>
                <w:sz w:val="20"/>
                <w:szCs w:val="20"/>
              </w:rPr>
            </w:pPr>
          </w:p>
        </w:tc>
        <w:tc>
          <w:tcPr>
            <w:tcW w:w="0" w:type="auto"/>
            <w:gridSpan w:val="3"/>
            <w:vAlign w:val="center"/>
            <w:hideMark/>
          </w:tcPr>
          <w:p w14:paraId="78A6548A" w14:textId="77777777" w:rsidR="00000000" w:rsidRDefault="00405D16">
            <w:pPr>
              <w:spacing w:after="100"/>
              <w:rPr>
                <w:rFonts w:eastAsia="Times New Roman"/>
                <w:sz w:val="20"/>
                <w:szCs w:val="20"/>
              </w:rPr>
            </w:pPr>
          </w:p>
        </w:tc>
        <w:tc>
          <w:tcPr>
            <w:tcW w:w="0" w:type="auto"/>
            <w:gridSpan w:val="3"/>
            <w:vAlign w:val="center"/>
            <w:hideMark/>
          </w:tcPr>
          <w:p w14:paraId="20063509" w14:textId="77777777" w:rsidR="00000000" w:rsidRDefault="00405D16">
            <w:pPr>
              <w:spacing w:after="100"/>
              <w:rPr>
                <w:rFonts w:eastAsia="Times New Roman"/>
                <w:sz w:val="20"/>
                <w:szCs w:val="20"/>
              </w:rPr>
            </w:pPr>
          </w:p>
        </w:tc>
      </w:tr>
      <w:tr w:rsidR="00000000" w14:paraId="456F77AC" w14:textId="77777777">
        <w:trPr>
          <w:divId w:val="1807164682"/>
        </w:trPr>
        <w:tc>
          <w:tcPr>
            <w:tcW w:w="0" w:type="auto"/>
            <w:gridSpan w:val="3"/>
            <w:shd w:val="clear" w:color="auto" w:fill="CCEEFF"/>
            <w:tcMar>
              <w:top w:w="30" w:type="dxa"/>
              <w:left w:w="20" w:type="dxa"/>
              <w:bottom w:w="30" w:type="dxa"/>
              <w:right w:w="20" w:type="dxa"/>
            </w:tcMar>
            <w:vAlign w:val="center"/>
            <w:hideMark/>
          </w:tcPr>
          <w:p w14:paraId="4BEF5455" w14:textId="77777777" w:rsidR="00000000" w:rsidRDefault="00405D16">
            <w:pPr>
              <w:spacing w:after="100"/>
              <w:rPr>
                <w:rFonts w:eastAsia="Times New Roman"/>
              </w:rPr>
            </w:pPr>
            <w:r>
              <w:rPr>
                <w:rFonts w:eastAsia="Times New Roman"/>
                <w:color w:val="000000"/>
                <w:sz w:val="18"/>
                <w:szCs w:val="18"/>
              </w:rPr>
              <w:t>Total consumer banking</w:t>
            </w:r>
          </w:p>
        </w:tc>
        <w:tc>
          <w:tcPr>
            <w:tcW w:w="0" w:type="auto"/>
            <w:gridSpan w:val="3"/>
            <w:shd w:val="clear" w:color="auto" w:fill="CCEEFF"/>
            <w:tcMar>
              <w:top w:w="0" w:type="dxa"/>
              <w:left w:w="20" w:type="dxa"/>
              <w:bottom w:w="0" w:type="dxa"/>
              <w:right w:w="20" w:type="dxa"/>
            </w:tcMar>
            <w:vAlign w:val="center"/>
            <w:hideMark/>
          </w:tcPr>
          <w:p w14:paraId="37831879"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B4E9A65"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185F69F" w14:textId="77777777" w:rsidR="00000000" w:rsidRDefault="00405D16">
            <w:pPr>
              <w:spacing w:after="100"/>
              <w:jc w:val="right"/>
              <w:rPr>
                <w:rFonts w:eastAsia="Times New Roman"/>
              </w:rPr>
            </w:pPr>
            <w:r>
              <w:rPr>
                <w:rFonts w:eastAsia="Times New Roman"/>
                <w:b/>
                <w:bCs/>
                <w:color w:val="000000"/>
                <w:sz w:val="18"/>
                <w:szCs w:val="18"/>
              </w:rPr>
              <w:t>77,112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B531B1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43E9D8"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E6EFA27"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27F9F95" w14:textId="77777777" w:rsidR="00000000" w:rsidRDefault="00405D16">
            <w:pPr>
              <w:spacing w:after="100"/>
              <w:jc w:val="right"/>
              <w:rPr>
                <w:rFonts w:eastAsia="Times New Roman"/>
              </w:rPr>
            </w:pPr>
            <w:r>
              <w:rPr>
                <w:rFonts w:eastAsia="Times New Roman"/>
                <w:color w:val="000000"/>
                <w:sz w:val="18"/>
                <w:szCs w:val="18"/>
              </w:rPr>
              <w:t>68,888 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519E2E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21C41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36C1427" w14:textId="77777777" w:rsidR="00000000" w:rsidRDefault="00405D16">
            <w:pPr>
              <w:spacing w:after="100"/>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center"/>
            <w:hideMark/>
          </w:tcPr>
          <w:p w14:paraId="644DCA5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57A7CC" w14:textId="77777777" w:rsidR="00000000" w:rsidRDefault="00405D1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CD083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BFF36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EA7C35" w14:textId="77777777" w:rsidR="00000000" w:rsidRDefault="00405D16">
            <w:pPr>
              <w:spacing w:after="100"/>
              <w:rPr>
                <w:rFonts w:eastAsia="Times New Roman"/>
                <w:sz w:val="20"/>
                <w:szCs w:val="20"/>
              </w:rPr>
            </w:pPr>
          </w:p>
        </w:tc>
        <w:tc>
          <w:tcPr>
            <w:tcW w:w="0" w:type="auto"/>
            <w:vAlign w:val="center"/>
            <w:hideMark/>
          </w:tcPr>
          <w:p w14:paraId="50ABCE67" w14:textId="77777777" w:rsidR="00000000" w:rsidRDefault="00405D16">
            <w:pPr>
              <w:spacing w:after="100"/>
              <w:rPr>
                <w:rFonts w:eastAsia="Times New Roman"/>
                <w:sz w:val="20"/>
                <w:szCs w:val="20"/>
              </w:rPr>
            </w:pPr>
          </w:p>
        </w:tc>
        <w:tc>
          <w:tcPr>
            <w:tcW w:w="0" w:type="auto"/>
            <w:vAlign w:val="center"/>
            <w:hideMark/>
          </w:tcPr>
          <w:p w14:paraId="6A1A146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8D2B6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C6D78D" w14:textId="77777777" w:rsidR="00000000" w:rsidRDefault="00405D16">
            <w:pPr>
              <w:spacing w:after="100"/>
              <w:rPr>
                <w:rFonts w:eastAsia="Times New Roman"/>
                <w:sz w:val="20"/>
                <w:szCs w:val="20"/>
              </w:rPr>
            </w:pPr>
          </w:p>
        </w:tc>
        <w:tc>
          <w:tcPr>
            <w:tcW w:w="0" w:type="auto"/>
            <w:gridSpan w:val="3"/>
            <w:vAlign w:val="center"/>
            <w:hideMark/>
          </w:tcPr>
          <w:p w14:paraId="4E47FA7D" w14:textId="77777777" w:rsidR="00000000" w:rsidRDefault="00405D16">
            <w:pPr>
              <w:spacing w:after="100"/>
              <w:rPr>
                <w:rFonts w:eastAsia="Times New Roman"/>
                <w:sz w:val="20"/>
                <w:szCs w:val="20"/>
              </w:rPr>
            </w:pPr>
          </w:p>
        </w:tc>
        <w:tc>
          <w:tcPr>
            <w:tcW w:w="0" w:type="auto"/>
            <w:gridSpan w:val="3"/>
            <w:vAlign w:val="center"/>
            <w:hideMark/>
          </w:tcPr>
          <w:p w14:paraId="3A616514" w14:textId="77777777" w:rsidR="00000000" w:rsidRDefault="00405D16">
            <w:pPr>
              <w:spacing w:after="100"/>
              <w:rPr>
                <w:rFonts w:eastAsia="Times New Roman"/>
                <w:sz w:val="20"/>
                <w:szCs w:val="20"/>
              </w:rPr>
            </w:pPr>
          </w:p>
        </w:tc>
      </w:tr>
      <w:tr w:rsidR="00000000" w14:paraId="7BFC6F17" w14:textId="77777777">
        <w:trPr>
          <w:divId w:val="1807164682"/>
        </w:trPr>
        <w:tc>
          <w:tcPr>
            <w:tcW w:w="0" w:type="auto"/>
            <w:gridSpan w:val="3"/>
            <w:shd w:val="clear" w:color="auto" w:fill="FFFFFF"/>
            <w:tcMar>
              <w:top w:w="30" w:type="dxa"/>
              <w:left w:w="20" w:type="dxa"/>
              <w:bottom w:w="30" w:type="dxa"/>
              <w:right w:w="20" w:type="dxa"/>
            </w:tcMar>
            <w:vAlign w:val="center"/>
            <w:hideMark/>
          </w:tcPr>
          <w:p w14:paraId="604EDF4B" w14:textId="77777777" w:rsidR="00000000" w:rsidRDefault="00405D16">
            <w:pPr>
              <w:spacing w:after="100"/>
              <w:rPr>
                <w:rFonts w:eastAsia="Times New Roman"/>
              </w:rPr>
            </w:pPr>
            <w:r>
              <w:rPr>
                <w:rFonts w:eastAsia="Times New Roman"/>
                <w:color w:val="000000"/>
                <w:sz w:val="18"/>
                <w:szCs w:val="18"/>
              </w:rPr>
              <w:t>30+ day performing delinquency rate</w:t>
            </w:r>
          </w:p>
        </w:tc>
        <w:tc>
          <w:tcPr>
            <w:tcW w:w="0" w:type="auto"/>
            <w:gridSpan w:val="3"/>
            <w:shd w:val="clear" w:color="auto" w:fill="FFFFFF"/>
            <w:tcMar>
              <w:top w:w="0" w:type="dxa"/>
              <w:left w:w="20" w:type="dxa"/>
              <w:bottom w:w="0" w:type="dxa"/>
              <w:right w:w="20" w:type="dxa"/>
            </w:tcMar>
            <w:vAlign w:val="center"/>
            <w:hideMark/>
          </w:tcPr>
          <w:p w14:paraId="4CD929F8" w14:textId="77777777" w:rsidR="00000000" w:rsidRDefault="00405D16">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14:paraId="422BF43F" w14:textId="77777777" w:rsidR="00000000" w:rsidRDefault="00405D16">
            <w:pPr>
              <w:spacing w:after="100"/>
              <w:jc w:val="right"/>
              <w:rPr>
                <w:rFonts w:eastAsia="Times New Roman"/>
              </w:rPr>
            </w:pPr>
            <w:r>
              <w:rPr>
                <w:rFonts w:eastAsia="Times New Roman"/>
                <w:b/>
                <w:bCs/>
                <w:color w:val="000000"/>
                <w:sz w:val="18"/>
                <w:szCs w:val="18"/>
              </w:rPr>
              <w:t>3.58</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2B45F6F8"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6205904" w14:textId="77777777" w:rsidR="00000000" w:rsidRDefault="00405D16">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14:paraId="1203CEE4" w14:textId="77777777" w:rsidR="00000000" w:rsidRDefault="00405D16">
            <w:pPr>
              <w:spacing w:after="100"/>
              <w:jc w:val="right"/>
              <w:rPr>
                <w:rFonts w:eastAsia="Times New Roman"/>
              </w:rPr>
            </w:pPr>
            <w:r>
              <w:rPr>
                <w:rFonts w:eastAsia="Times New Roman"/>
                <w:color w:val="000000"/>
                <w:sz w:val="18"/>
                <w:szCs w:val="18"/>
              </w:rPr>
              <w:t>4.62 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3724AB8A"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4D59524"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0C74EE8" w14:textId="77777777" w:rsidR="00000000" w:rsidRDefault="00405D16">
            <w:pPr>
              <w:spacing w:after="100"/>
              <w:jc w:val="right"/>
              <w:rPr>
                <w:rFonts w:eastAsia="Times New Roman"/>
              </w:rPr>
            </w:pPr>
            <w:r>
              <w:rPr>
                <w:rFonts w:eastAsia="Times New Roman"/>
                <w:color w:val="000000"/>
                <w:sz w:val="18"/>
                <w:szCs w:val="18"/>
              </w:rPr>
              <w:t>(104)</w:t>
            </w:r>
          </w:p>
        </w:tc>
        <w:tc>
          <w:tcPr>
            <w:tcW w:w="0" w:type="auto"/>
            <w:shd w:val="clear" w:color="auto" w:fill="FFFFFF"/>
            <w:tcMar>
              <w:top w:w="30" w:type="dxa"/>
              <w:left w:w="0" w:type="dxa"/>
              <w:bottom w:w="30" w:type="dxa"/>
              <w:right w:w="20" w:type="dxa"/>
            </w:tcMar>
            <w:vAlign w:val="center"/>
            <w:hideMark/>
          </w:tcPr>
          <w:p w14:paraId="592B0966" w14:textId="77777777" w:rsidR="00000000" w:rsidRDefault="00405D16">
            <w:pPr>
              <w:spacing w:after="100"/>
              <w:jc w:val="right"/>
              <w:rPr>
                <w:rFonts w:eastAsia="Times New Roman"/>
              </w:rPr>
            </w:pPr>
            <w:r>
              <w:rPr>
                <w:rFonts w:eastAsia="Times New Roman"/>
                <w:color w:val="000000"/>
                <w:sz w:val="18"/>
                <w:szCs w:val="18"/>
              </w:rPr>
              <w:t>bps</w:t>
            </w:r>
          </w:p>
        </w:tc>
        <w:tc>
          <w:tcPr>
            <w:tcW w:w="0" w:type="auto"/>
            <w:gridSpan w:val="3"/>
            <w:shd w:val="clear" w:color="auto" w:fill="FFFFFF"/>
            <w:tcMar>
              <w:top w:w="0" w:type="dxa"/>
              <w:left w:w="20" w:type="dxa"/>
              <w:bottom w:w="0" w:type="dxa"/>
              <w:right w:w="20" w:type="dxa"/>
            </w:tcMar>
            <w:vAlign w:val="center"/>
            <w:hideMark/>
          </w:tcPr>
          <w:p w14:paraId="6314763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07952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F231C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6D01CE" w14:textId="77777777" w:rsidR="00000000" w:rsidRDefault="00405D16">
            <w:pPr>
              <w:spacing w:after="100"/>
              <w:rPr>
                <w:rFonts w:eastAsia="Times New Roman"/>
                <w:sz w:val="20"/>
                <w:szCs w:val="20"/>
              </w:rPr>
            </w:pPr>
          </w:p>
        </w:tc>
        <w:tc>
          <w:tcPr>
            <w:tcW w:w="0" w:type="auto"/>
            <w:vAlign w:val="center"/>
            <w:hideMark/>
          </w:tcPr>
          <w:p w14:paraId="12EAF336" w14:textId="77777777" w:rsidR="00000000" w:rsidRDefault="00405D16">
            <w:pPr>
              <w:spacing w:after="100"/>
              <w:rPr>
                <w:rFonts w:eastAsia="Times New Roman"/>
                <w:sz w:val="20"/>
                <w:szCs w:val="20"/>
              </w:rPr>
            </w:pPr>
          </w:p>
        </w:tc>
        <w:tc>
          <w:tcPr>
            <w:tcW w:w="0" w:type="auto"/>
            <w:vAlign w:val="center"/>
            <w:hideMark/>
          </w:tcPr>
          <w:p w14:paraId="5A811B0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F6050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2AB2B4" w14:textId="77777777" w:rsidR="00000000" w:rsidRDefault="00405D16">
            <w:pPr>
              <w:spacing w:after="100"/>
              <w:rPr>
                <w:rFonts w:eastAsia="Times New Roman"/>
                <w:sz w:val="20"/>
                <w:szCs w:val="20"/>
              </w:rPr>
            </w:pPr>
          </w:p>
        </w:tc>
        <w:tc>
          <w:tcPr>
            <w:tcW w:w="0" w:type="auto"/>
            <w:gridSpan w:val="3"/>
            <w:vAlign w:val="center"/>
            <w:hideMark/>
          </w:tcPr>
          <w:p w14:paraId="03169E34" w14:textId="77777777" w:rsidR="00000000" w:rsidRDefault="00405D16">
            <w:pPr>
              <w:spacing w:after="100"/>
              <w:rPr>
                <w:rFonts w:eastAsia="Times New Roman"/>
                <w:sz w:val="20"/>
                <w:szCs w:val="20"/>
              </w:rPr>
            </w:pPr>
          </w:p>
        </w:tc>
        <w:tc>
          <w:tcPr>
            <w:tcW w:w="0" w:type="auto"/>
            <w:gridSpan w:val="3"/>
            <w:vAlign w:val="center"/>
            <w:hideMark/>
          </w:tcPr>
          <w:p w14:paraId="15BFD934" w14:textId="77777777" w:rsidR="00000000" w:rsidRDefault="00405D16">
            <w:pPr>
              <w:spacing w:after="100"/>
              <w:rPr>
                <w:rFonts w:eastAsia="Times New Roman"/>
                <w:sz w:val="20"/>
                <w:szCs w:val="20"/>
              </w:rPr>
            </w:pPr>
          </w:p>
        </w:tc>
      </w:tr>
      <w:tr w:rsidR="00000000" w14:paraId="237542F4" w14:textId="77777777">
        <w:trPr>
          <w:divId w:val="1807164682"/>
        </w:trPr>
        <w:tc>
          <w:tcPr>
            <w:tcW w:w="0" w:type="auto"/>
            <w:gridSpan w:val="3"/>
            <w:shd w:val="clear" w:color="auto" w:fill="CCEEFF"/>
            <w:tcMar>
              <w:top w:w="30" w:type="dxa"/>
              <w:left w:w="20" w:type="dxa"/>
              <w:bottom w:w="30" w:type="dxa"/>
              <w:right w:w="20" w:type="dxa"/>
            </w:tcMar>
            <w:vAlign w:val="center"/>
            <w:hideMark/>
          </w:tcPr>
          <w:p w14:paraId="1E3EB5FA" w14:textId="77777777" w:rsidR="00000000" w:rsidRDefault="00405D16">
            <w:pPr>
              <w:spacing w:after="100"/>
              <w:rPr>
                <w:rFonts w:eastAsia="Times New Roman"/>
              </w:rPr>
            </w:pPr>
            <w:r>
              <w:rPr>
                <w:rFonts w:eastAsia="Times New Roman"/>
                <w:color w:val="000000"/>
                <w:sz w:val="18"/>
                <w:szCs w:val="18"/>
              </w:rPr>
              <w:t>30+ day delinquency rate</w:t>
            </w:r>
          </w:p>
        </w:tc>
        <w:tc>
          <w:tcPr>
            <w:tcW w:w="0" w:type="auto"/>
            <w:gridSpan w:val="3"/>
            <w:shd w:val="clear" w:color="auto" w:fill="CCEEFF"/>
            <w:tcMar>
              <w:top w:w="0" w:type="dxa"/>
              <w:left w:w="20" w:type="dxa"/>
              <w:bottom w:w="0" w:type="dxa"/>
              <w:right w:w="20" w:type="dxa"/>
            </w:tcMar>
            <w:vAlign w:val="center"/>
            <w:hideMark/>
          </w:tcPr>
          <w:p w14:paraId="66D7EB98"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47613C5" w14:textId="77777777" w:rsidR="00000000" w:rsidRDefault="00405D16">
            <w:pPr>
              <w:spacing w:after="100"/>
              <w:jc w:val="right"/>
              <w:rPr>
                <w:rFonts w:eastAsia="Times New Roman"/>
              </w:rPr>
            </w:pPr>
            <w:r>
              <w:rPr>
                <w:rFonts w:eastAsia="Times New Roman"/>
                <w:b/>
                <w:bCs/>
                <w:color w:val="000000"/>
                <w:sz w:val="18"/>
                <w:szCs w:val="18"/>
              </w:rPr>
              <w:t>3.88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0E10F1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0D74E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04A5939" w14:textId="77777777" w:rsidR="00000000" w:rsidRDefault="00405D16">
            <w:pPr>
              <w:spacing w:after="100"/>
              <w:jc w:val="right"/>
              <w:rPr>
                <w:rFonts w:eastAsia="Times New Roman"/>
              </w:rPr>
            </w:pPr>
            <w:r>
              <w:rPr>
                <w:rFonts w:eastAsia="Times New Roman"/>
                <w:color w:val="000000"/>
                <w:sz w:val="18"/>
                <w:szCs w:val="18"/>
              </w:rPr>
              <w:t>5.00 </w:t>
            </w:r>
          </w:p>
        </w:tc>
        <w:tc>
          <w:tcPr>
            <w:tcW w:w="0" w:type="auto"/>
            <w:shd w:val="clear" w:color="auto" w:fill="CCEEFF"/>
            <w:tcMar>
              <w:top w:w="30" w:type="dxa"/>
              <w:left w:w="0" w:type="dxa"/>
              <w:bottom w:w="30" w:type="dxa"/>
              <w:right w:w="20" w:type="dxa"/>
            </w:tcMar>
            <w:vAlign w:val="center"/>
            <w:hideMark/>
          </w:tcPr>
          <w:p w14:paraId="7F4DA5F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E5C34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981A268" w14:textId="77777777" w:rsidR="00000000" w:rsidRDefault="00405D16">
            <w:pPr>
              <w:spacing w:after="100"/>
              <w:jc w:val="right"/>
              <w:rPr>
                <w:rFonts w:eastAsia="Times New Roman"/>
              </w:rPr>
            </w:pPr>
            <w:r>
              <w:rPr>
                <w:rFonts w:eastAsia="Times New Roman"/>
                <w:color w:val="000000"/>
                <w:sz w:val="18"/>
                <w:szCs w:val="18"/>
              </w:rPr>
              <w:t>(112)</w:t>
            </w:r>
          </w:p>
        </w:tc>
        <w:tc>
          <w:tcPr>
            <w:tcW w:w="0" w:type="auto"/>
            <w:shd w:val="clear" w:color="auto" w:fill="CCEEFF"/>
            <w:tcMar>
              <w:top w:w="30" w:type="dxa"/>
              <w:left w:w="0" w:type="dxa"/>
              <w:bottom w:w="30" w:type="dxa"/>
              <w:right w:w="20" w:type="dxa"/>
            </w:tcMar>
            <w:vAlign w:val="center"/>
            <w:hideMark/>
          </w:tcPr>
          <w:p w14:paraId="2D40564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3AF495" w14:textId="77777777" w:rsidR="00000000" w:rsidRDefault="00405D1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C5A53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60D5F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FD8FDE" w14:textId="77777777" w:rsidR="00000000" w:rsidRDefault="00405D16">
            <w:pPr>
              <w:spacing w:after="100"/>
              <w:rPr>
                <w:rFonts w:eastAsia="Times New Roman"/>
                <w:sz w:val="20"/>
                <w:szCs w:val="20"/>
              </w:rPr>
            </w:pPr>
          </w:p>
        </w:tc>
        <w:tc>
          <w:tcPr>
            <w:tcW w:w="0" w:type="auto"/>
            <w:vAlign w:val="center"/>
            <w:hideMark/>
          </w:tcPr>
          <w:p w14:paraId="2C850C65" w14:textId="77777777" w:rsidR="00000000" w:rsidRDefault="00405D16">
            <w:pPr>
              <w:spacing w:after="100"/>
              <w:rPr>
                <w:rFonts w:eastAsia="Times New Roman"/>
                <w:sz w:val="20"/>
                <w:szCs w:val="20"/>
              </w:rPr>
            </w:pPr>
          </w:p>
        </w:tc>
        <w:tc>
          <w:tcPr>
            <w:tcW w:w="0" w:type="auto"/>
            <w:vAlign w:val="center"/>
            <w:hideMark/>
          </w:tcPr>
          <w:p w14:paraId="073942E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C7707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31ED42" w14:textId="77777777" w:rsidR="00000000" w:rsidRDefault="00405D16">
            <w:pPr>
              <w:spacing w:after="100"/>
              <w:rPr>
                <w:rFonts w:eastAsia="Times New Roman"/>
                <w:sz w:val="20"/>
                <w:szCs w:val="20"/>
              </w:rPr>
            </w:pPr>
          </w:p>
        </w:tc>
        <w:tc>
          <w:tcPr>
            <w:tcW w:w="0" w:type="auto"/>
            <w:gridSpan w:val="3"/>
            <w:vAlign w:val="center"/>
            <w:hideMark/>
          </w:tcPr>
          <w:p w14:paraId="6667ABA8" w14:textId="77777777" w:rsidR="00000000" w:rsidRDefault="00405D16">
            <w:pPr>
              <w:spacing w:after="100"/>
              <w:rPr>
                <w:rFonts w:eastAsia="Times New Roman"/>
                <w:sz w:val="20"/>
                <w:szCs w:val="20"/>
              </w:rPr>
            </w:pPr>
          </w:p>
        </w:tc>
        <w:tc>
          <w:tcPr>
            <w:tcW w:w="0" w:type="auto"/>
            <w:gridSpan w:val="3"/>
            <w:vAlign w:val="center"/>
            <w:hideMark/>
          </w:tcPr>
          <w:p w14:paraId="32312C17" w14:textId="77777777" w:rsidR="00000000" w:rsidRDefault="00405D16">
            <w:pPr>
              <w:spacing w:after="100"/>
              <w:rPr>
                <w:rFonts w:eastAsia="Times New Roman"/>
                <w:sz w:val="20"/>
                <w:szCs w:val="20"/>
              </w:rPr>
            </w:pPr>
          </w:p>
        </w:tc>
      </w:tr>
      <w:tr w:rsidR="00000000" w14:paraId="59C626DE" w14:textId="77777777">
        <w:trPr>
          <w:divId w:val="1807164682"/>
        </w:trPr>
        <w:tc>
          <w:tcPr>
            <w:tcW w:w="0" w:type="auto"/>
            <w:gridSpan w:val="3"/>
            <w:shd w:val="clear" w:color="auto" w:fill="FFFFFF"/>
            <w:tcMar>
              <w:top w:w="30" w:type="dxa"/>
              <w:left w:w="20" w:type="dxa"/>
              <w:bottom w:w="30" w:type="dxa"/>
              <w:right w:w="20" w:type="dxa"/>
            </w:tcMar>
            <w:vAlign w:val="center"/>
            <w:hideMark/>
          </w:tcPr>
          <w:p w14:paraId="649640E3" w14:textId="77777777" w:rsidR="00000000" w:rsidRDefault="00405D16">
            <w:pPr>
              <w:spacing w:after="100"/>
              <w:rPr>
                <w:rFonts w:eastAsia="Times New Roman"/>
              </w:rPr>
            </w:pPr>
            <w:r>
              <w:rPr>
                <w:rFonts w:eastAsia="Times New Roman"/>
                <w:color w:val="000000"/>
                <w:sz w:val="18"/>
                <w:szCs w:val="18"/>
              </w:rPr>
              <w:t>Nonperforming loan rate</w:t>
            </w:r>
          </w:p>
        </w:tc>
        <w:tc>
          <w:tcPr>
            <w:tcW w:w="0" w:type="auto"/>
            <w:gridSpan w:val="3"/>
            <w:shd w:val="clear" w:color="auto" w:fill="FFFFFF"/>
            <w:tcMar>
              <w:top w:w="0" w:type="dxa"/>
              <w:left w:w="20" w:type="dxa"/>
              <w:bottom w:w="0" w:type="dxa"/>
              <w:right w:w="20" w:type="dxa"/>
            </w:tcMar>
            <w:vAlign w:val="center"/>
            <w:hideMark/>
          </w:tcPr>
          <w:p w14:paraId="734431C8"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A36C663" w14:textId="77777777" w:rsidR="00000000" w:rsidRDefault="00405D16">
            <w:pPr>
              <w:spacing w:after="100"/>
              <w:jc w:val="right"/>
              <w:rPr>
                <w:rFonts w:eastAsia="Times New Roman"/>
              </w:rPr>
            </w:pPr>
            <w:r>
              <w:rPr>
                <w:rFonts w:eastAsia="Times New Roman"/>
                <w:b/>
                <w:bCs/>
                <w:color w:val="000000"/>
                <w:sz w:val="18"/>
                <w:szCs w:val="18"/>
              </w:rPr>
              <w:t>0.42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26579D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FFF79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BC9FE18" w14:textId="77777777" w:rsidR="00000000" w:rsidRDefault="00405D16">
            <w:pPr>
              <w:spacing w:after="100"/>
              <w:jc w:val="right"/>
              <w:rPr>
                <w:rFonts w:eastAsia="Times New Roman"/>
              </w:rPr>
            </w:pPr>
            <w:r>
              <w:rPr>
                <w:rFonts w:eastAsia="Times New Roman"/>
                <w:color w:val="000000"/>
                <w:sz w:val="18"/>
                <w:szCs w:val="18"/>
              </w:rPr>
              <w:t>0.47 </w:t>
            </w:r>
          </w:p>
        </w:tc>
        <w:tc>
          <w:tcPr>
            <w:tcW w:w="0" w:type="auto"/>
            <w:shd w:val="clear" w:color="auto" w:fill="FFFFFF"/>
            <w:tcMar>
              <w:top w:w="30" w:type="dxa"/>
              <w:left w:w="0" w:type="dxa"/>
              <w:bottom w:w="30" w:type="dxa"/>
              <w:right w:w="20" w:type="dxa"/>
            </w:tcMar>
            <w:vAlign w:val="center"/>
            <w:hideMark/>
          </w:tcPr>
          <w:p w14:paraId="0F25DF4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F434C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598E1A0" w14:textId="77777777" w:rsidR="00000000" w:rsidRDefault="00405D16">
            <w:pPr>
              <w:spacing w:after="100"/>
              <w:jc w:val="right"/>
              <w:rPr>
                <w:rFonts w:eastAsia="Times New Roman"/>
              </w:rPr>
            </w:pPr>
            <w:r>
              <w:rPr>
                <w:rFonts w:eastAsia="Times New Roman"/>
                <w:color w:val="000000"/>
                <w:sz w:val="18"/>
                <w:szCs w:val="18"/>
              </w:rPr>
              <w:t>(5)</w:t>
            </w:r>
          </w:p>
        </w:tc>
        <w:tc>
          <w:tcPr>
            <w:tcW w:w="0" w:type="auto"/>
            <w:shd w:val="clear" w:color="auto" w:fill="FFFFFF"/>
            <w:tcMar>
              <w:top w:w="30" w:type="dxa"/>
              <w:left w:w="0" w:type="dxa"/>
              <w:bottom w:w="30" w:type="dxa"/>
              <w:right w:w="20" w:type="dxa"/>
            </w:tcMar>
            <w:vAlign w:val="center"/>
            <w:hideMark/>
          </w:tcPr>
          <w:p w14:paraId="1514873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947637" w14:textId="77777777" w:rsidR="00000000" w:rsidRDefault="00405D1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87F40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A94E1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24AB63" w14:textId="77777777" w:rsidR="00000000" w:rsidRDefault="00405D16">
            <w:pPr>
              <w:spacing w:after="100"/>
              <w:rPr>
                <w:rFonts w:eastAsia="Times New Roman"/>
                <w:sz w:val="20"/>
                <w:szCs w:val="20"/>
              </w:rPr>
            </w:pPr>
          </w:p>
        </w:tc>
        <w:tc>
          <w:tcPr>
            <w:tcW w:w="0" w:type="auto"/>
            <w:vAlign w:val="center"/>
            <w:hideMark/>
          </w:tcPr>
          <w:p w14:paraId="76CF93D5" w14:textId="77777777" w:rsidR="00000000" w:rsidRDefault="00405D16">
            <w:pPr>
              <w:spacing w:after="100"/>
              <w:rPr>
                <w:rFonts w:eastAsia="Times New Roman"/>
                <w:sz w:val="20"/>
                <w:szCs w:val="20"/>
              </w:rPr>
            </w:pPr>
          </w:p>
        </w:tc>
        <w:tc>
          <w:tcPr>
            <w:tcW w:w="0" w:type="auto"/>
            <w:vAlign w:val="center"/>
            <w:hideMark/>
          </w:tcPr>
          <w:p w14:paraId="14674C4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E6864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BA31FF" w14:textId="77777777" w:rsidR="00000000" w:rsidRDefault="00405D16">
            <w:pPr>
              <w:spacing w:after="100"/>
              <w:rPr>
                <w:rFonts w:eastAsia="Times New Roman"/>
                <w:sz w:val="20"/>
                <w:szCs w:val="20"/>
              </w:rPr>
            </w:pPr>
          </w:p>
        </w:tc>
        <w:tc>
          <w:tcPr>
            <w:tcW w:w="0" w:type="auto"/>
            <w:gridSpan w:val="3"/>
            <w:vAlign w:val="center"/>
            <w:hideMark/>
          </w:tcPr>
          <w:p w14:paraId="311D0C88" w14:textId="77777777" w:rsidR="00000000" w:rsidRDefault="00405D16">
            <w:pPr>
              <w:spacing w:after="100"/>
              <w:rPr>
                <w:rFonts w:eastAsia="Times New Roman"/>
                <w:sz w:val="20"/>
                <w:szCs w:val="20"/>
              </w:rPr>
            </w:pPr>
          </w:p>
        </w:tc>
        <w:tc>
          <w:tcPr>
            <w:tcW w:w="0" w:type="auto"/>
            <w:gridSpan w:val="3"/>
            <w:vAlign w:val="center"/>
            <w:hideMark/>
          </w:tcPr>
          <w:p w14:paraId="427691DA" w14:textId="77777777" w:rsidR="00000000" w:rsidRDefault="00405D16">
            <w:pPr>
              <w:spacing w:after="100"/>
              <w:rPr>
                <w:rFonts w:eastAsia="Times New Roman"/>
                <w:sz w:val="20"/>
                <w:szCs w:val="20"/>
              </w:rPr>
            </w:pPr>
          </w:p>
        </w:tc>
      </w:tr>
      <w:tr w:rsidR="00000000" w14:paraId="6159073C" w14:textId="77777777">
        <w:trPr>
          <w:divId w:val="1807164682"/>
        </w:trPr>
        <w:tc>
          <w:tcPr>
            <w:tcW w:w="0" w:type="auto"/>
            <w:gridSpan w:val="3"/>
            <w:shd w:val="clear" w:color="auto" w:fill="CCEEFF"/>
            <w:tcMar>
              <w:top w:w="30" w:type="dxa"/>
              <w:left w:w="20" w:type="dxa"/>
              <w:bottom w:w="30" w:type="dxa"/>
              <w:right w:w="20" w:type="dxa"/>
            </w:tcMar>
            <w:vAlign w:val="center"/>
            <w:hideMark/>
          </w:tcPr>
          <w:p w14:paraId="21CE0837" w14:textId="77777777" w:rsidR="00000000" w:rsidRDefault="00405D16">
            <w:pPr>
              <w:spacing w:after="100"/>
              <w:divId w:val="1167283483"/>
              <w:rPr>
                <w:rFonts w:eastAsia="Times New Roman"/>
              </w:rPr>
            </w:pPr>
            <w:r>
              <w:rPr>
                <w:rFonts w:eastAsia="Times New Roman"/>
                <w:color w:val="000000"/>
                <w:sz w:val="18"/>
                <w:szCs w:val="18"/>
              </w:rPr>
              <w:t>Nonperforming asset rat</w:t>
            </w:r>
            <w:r>
              <w:rPr>
                <w:rFonts w:eastAsia="Times New Roman"/>
                <w:color w:val="000000"/>
                <w:sz w:val="18"/>
                <w:szCs w:val="18"/>
              </w:rPr>
              <w:t>e</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781DD93A"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C238F91" w14:textId="77777777" w:rsidR="00000000" w:rsidRDefault="00405D16">
            <w:pPr>
              <w:spacing w:after="100"/>
              <w:jc w:val="right"/>
              <w:rPr>
                <w:rFonts w:eastAsia="Times New Roman"/>
              </w:rPr>
            </w:pPr>
            <w:r>
              <w:rPr>
                <w:rFonts w:eastAsia="Times New Roman"/>
                <w:b/>
                <w:bCs/>
                <w:color w:val="000000"/>
                <w:sz w:val="18"/>
                <w:szCs w:val="18"/>
              </w:rPr>
              <w:t>0.47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B476D2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32D22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EB4CE26" w14:textId="77777777" w:rsidR="00000000" w:rsidRDefault="00405D16">
            <w:pPr>
              <w:spacing w:after="100"/>
              <w:jc w:val="right"/>
              <w:rPr>
                <w:rFonts w:eastAsia="Times New Roman"/>
              </w:rPr>
            </w:pPr>
            <w:r>
              <w:rPr>
                <w:rFonts w:eastAsia="Times New Roman"/>
                <w:color w:val="000000"/>
                <w:sz w:val="18"/>
                <w:szCs w:val="18"/>
              </w:rPr>
              <w:t>0.54 </w:t>
            </w:r>
          </w:p>
        </w:tc>
        <w:tc>
          <w:tcPr>
            <w:tcW w:w="0" w:type="auto"/>
            <w:shd w:val="clear" w:color="auto" w:fill="CCEEFF"/>
            <w:tcMar>
              <w:top w:w="30" w:type="dxa"/>
              <w:left w:w="0" w:type="dxa"/>
              <w:bottom w:w="30" w:type="dxa"/>
              <w:right w:w="20" w:type="dxa"/>
            </w:tcMar>
            <w:vAlign w:val="center"/>
            <w:hideMark/>
          </w:tcPr>
          <w:p w14:paraId="2955798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24BF8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FD3BB49" w14:textId="77777777" w:rsidR="00000000" w:rsidRDefault="00405D16">
            <w:pPr>
              <w:spacing w:after="100"/>
              <w:jc w:val="right"/>
              <w:rPr>
                <w:rFonts w:eastAsia="Times New Roman"/>
              </w:rPr>
            </w:pPr>
            <w:r>
              <w:rPr>
                <w:rFonts w:eastAsia="Times New Roman"/>
                <w:color w:val="000000"/>
                <w:sz w:val="18"/>
                <w:szCs w:val="18"/>
              </w:rPr>
              <w:t>(7)</w:t>
            </w:r>
          </w:p>
        </w:tc>
        <w:tc>
          <w:tcPr>
            <w:tcW w:w="0" w:type="auto"/>
            <w:shd w:val="clear" w:color="auto" w:fill="CCEEFF"/>
            <w:tcMar>
              <w:top w:w="30" w:type="dxa"/>
              <w:left w:w="0" w:type="dxa"/>
              <w:bottom w:w="30" w:type="dxa"/>
              <w:right w:w="20" w:type="dxa"/>
            </w:tcMar>
            <w:vAlign w:val="center"/>
            <w:hideMark/>
          </w:tcPr>
          <w:p w14:paraId="08C4D04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776886" w14:textId="77777777" w:rsidR="00000000" w:rsidRDefault="00405D1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F194A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E0987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45212F" w14:textId="77777777" w:rsidR="00000000" w:rsidRDefault="00405D16">
            <w:pPr>
              <w:spacing w:after="100"/>
              <w:rPr>
                <w:rFonts w:eastAsia="Times New Roman"/>
                <w:sz w:val="20"/>
                <w:szCs w:val="20"/>
              </w:rPr>
            </w:pPr>
          </w:p>
        </w:tc>
        <w:tc>
          <w:tcPr>
            <w:tcW w:w="0" w:type="auto"/>
            <w:vAlign w:val="center"/>
            <w:hideMark/>
          </w:tcPr>
          <w:p w14:paraId="5816E4C2" w14:textId="77777777" w:rsidR="00000000" w:rsidRDefault="00405D16">
            <w:pPr>
              <w:spacing w:after="100"/>
              <w:rPr>
                <w:rFonts w:eastAsia="Times New Roman"/>
                <w:sz w:val="20"/>
                <w:szCs w:val="20"/>
              </w:rPr>
            </w:pPr>
          </w:p>
        </w:tc>
        <w:tc>
          <w:tcPr>
            <w:tcW w:w="0" w:type="auto"/>
            <w:vAlign w:val="center"/>
            <w:hideMark/>
          </w:tcPr>
          <w:p w14:paraId="0152DAC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9F677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505CE1" w14:textId="77777777" w:rsidR="00000000" w:rsidRDefault="00405D16">
            <w:pPr>
              <w:spacing w:after="100"/>
              <w:rPr>
                <w:rFonts w:eastAsia="Times New Roman"/>
                <w:sz w:val="20"/>
                <w:szCs w:val="20"/>
              </w:rPr>
            </w:pPr>
          </w:p>
        </w:tc>
        <w:tc>
          <w:tcPr>
            <w:tcW w:w="0" w:type="auto"/>
            <w:gridSpan w:val="3"/>
            <w:vAlign w:val="center"/>
            <w:hideMark/>
          </w:tcPr>
          <w:p w14:paraId="5E07E839" w14:textId="77777777" w:rsidR="00000000" w:rsidRDefault="00405D16">
            <w:pPr>
              <w:spacing w:after="100"/>
              <w:rPr>
                <w:rFonts w:eastAsia="Times New Roman"/>
                <w:sz w:val="20"/>
                <w:szCs w:val="20"/>
              </w:rPr>
            </w:pPr>
          </w:p>
        </w:tc>
        <w:tc>
          <w:tcPr>
            <w:tcW w:w="0" w:type="auto"/>
            <w:gridSpan w:val="3"/>
            <w:vAlign w:val="center"/>
            <w:hideMark/>
          </w:tcPr>
          <w:p w14:paraId="7064AD4B" w14:textId="77777777" w:rsidR="00000000" w:rsidRDefault="00405D16">
            <w:pPr>
              <w:spacing w:after="100"/>
              <w:rPr>
                <w:rFonts w:eastAsia="Times New Roman"/>
                <w:sz w:val="20"/>
                <w:szCs w:val="20"/>
              </w:rPr>
            </w:pPr>
          </w:p>
        </w:tc>
      </w:tr>
      <w:tr w:rsidR="00000000" w14:paraId="12DFC127" w14:textId="77777777">
        <w:trPr>
          <w:divId w:val="1807164682"/>
        </w:trPr>
        <w:tc>
          <w:tcPr>
            <w:tcW w:w="0" w:type="auto"/>
            <w:gridSpan w:val="3"/>
            <w:shd w:val="clear" w:color="auto" w:fill="FFFFFF"/>
            <w:tcMar>
              <w:top w:w="30" w:type="dxa"/>
              <w:left w:w="20" w:type="dxa"/>
              <w:bottom w:w="30" w:type="dxa"/>
              <w:right w:w="20" w:type="dxa"/>
            </w:tcMar>
            <w:vAlign w:val="center"/>
            <w:hideMark/>
          </w:tcPr>
          <w:p w14:paraId="2F7785B4" w14:textId="77777777" w:rsidR="00000000" w:rsidRDefault="00405D16">
            <w:pPr>
              <w:spacing w:after="100"/>
              <w:rPr>
                <w:rFonts w:eastAsia="Times New Roman"/>
              </w:rPr>
            </w:pPr>
            <w:r>
              <w:rPr>
                <w:rFonts w:eastAsia="Times New Roman"/>
                <w:color w:val="000000"/>
                <w:sz w:val="18"/>
                <w:szCs w:val="18"/>
              </w:rPr>
              <w:t>Allowance for credit losses</w:t>
            </w:r>
          </w:p>
        </w:tc>
        <w:tc>
          <w:tcPr>
            <w:tcW w:w="0" w:type="auto"/>
            <w:gridSpan w:val="3"/>
            <w:shd w:val="clear" w:color="auto" w:fill="FFFFFF"/>
            <w:tcMar>
              <w:top w:w="0" w:type="dxa"/>
              <w:left w:w="20" w:type="dxa"/>
              <w:bottom w:w="0" w:type="dxa"/>
              <w:right w:w="20" w:type="dxa"/>
            </w:tcMar>
            <w:vAlign w:val="center"/>
            <w:hideMark/>
          </w:tcPr>
          <w:p w14:paraId="17511C5D"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1DB9EAB0"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006D1FAF" w14:textId="77777777" w:rsidR="00000000" w:rsidRDefault="00405D16">
            <w:pPr>
              <w:spacing w:after="100"/>
              <w:jc w:val="right"/>
              <w:rPr>
                <w:rFonts w:eastAsia="Times New Roman"/>
              </w:rPr>
            </w:pPr>
            <w:r>
              <w:rPr>
                <w:rFonts w:eastAsia="Times New Roman"/>
                <w:b/>
                <w:bCs/>
                <w:color w:val="000000"/>
                <w:sz w:val="18"/>
                <w:szCs w:val="18"/>
              </w:rPr>
              <w:t>2,061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565237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0E4A1F"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33E6DFC"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3D0E5DE0" w14:textId="77777777" w:rsidR="00000000" w:rsidRDefault="00405D16">
            <w:pPr>
              <w:spacing w:after="100"/>
              <w:jc w:val="right"/>
              <w:rPr>
                <w:rFonts w:eastAsia="Times New Roman"/>
              </w:rPr>
            </w:pPr>
            <w:r>
              <w:rPr>
                <w:rFonts w:eastAsia="Times New Roman"/>
                <w:color w:val="000000"/>
                <w:sz w:val="18"/>
                <w:szCs w:val="18"/>
              </w:rPr>
              <w:t>2,715 </w:t>
            </w:r>
          </w:p>
        </w:tc>
        <w:tc>
          <w:tcPr>
            <w:tcW w:w="0" w:type="auto"/>
            <w:shd w:val="clear" w:color="auto" w:fill="FFFFFF"/>
            <w:tcMar>
              <w:top w:w="30" w:type="dxa"/>
              <w:left w:w="0" w:type="dxa"/>
              <w:bottom w:w="30" w:type="dxa"/>
              <w:right w:w="20" w:type="dxa"/>
            </w:tcMar>
            <w:vAlign w:val="center"/>
            <w:hideMark/>
          </w:tcPr>
          <w:p w14:paraId="6B3421A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FB13B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0309253" w14:textId="77777777" w:rsidR="00000000" w:rsidRDefault="00405D16">
            <w:pPr>
              <w:spacing w:after="100"/>
              <w:jc w:val="right"/>
              <w:rPr>
                <w:rFonts w:eastAsia="Times New Roman"/>
              </w:rPr>
            </w:pPr>
            <w:r>
              <w:rPr>
                <w:rFonts w:eastAsia="Times New Roman"/>
                <w:color w:val="000000"/>
                <w:sz w:val="18"/>
                <w:szCs w:val="18"/>
              </w:rPr>
              <w:t>(24)</w:t>
            </w:r>
          </w:p>
        </w:tc>
        <w:tc>
          <w:tcPr>
            <w:tcW w:w="0" w:type="auto"/>
            <w:shd w:val="clear" w:color="auto" w:fill="FFFFFF"/>
            <w:tcMar>
              <w:top w:w="30" w:type="dxa"/>
              <w:left w:w="0" w:type="dxa"/>
              <w:bottom w:w="30" w:type="dxa"/>
              <w:right w:w="20" w:type="dxa"/>
            </w:tcMar>
            <w:vAlign w:val="center"/>
            <w:hideMark/>
          </w:tcPr>
          <w:p w14:paraId="226A4622"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21140D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F27F8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135A0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726FCE" w14:textId="77777777" w:rsidR="00000000" w:rsidRDefault="00405D16">
            <w:pPr>
              <w:spacing w:after="100"/>
              <w:rPr>
                <w:rFonts w:eastAsia="Times New Roman"/>
                <w:sz w:val="20"/>
                <w:szCs w:val="20"/>
              </w:rPr>
            </w:pPr>
          </w:p>
        </w:tc>
        <w:tc>
          <w:tcPr>
            <w:tcW w:w="0" w:type="auto"/>
            <w:vAlign w:val="center"/>
            <w:hideMark/>
          </w:tcPr>
          <w:p w14:paraId="1237E577" w14:textId="77777777" w:rsidR="00000000" w:rsidRDefault="00405D16">
            <w:pPr>
              <w:spacing w:after="100"/>
              <w:rPr>
                <w:rFonts w:eastAsia="Times New Roman"/>
                <w:sz w:val="20"/>
                <w:szCs w:val="20"/>
              </w:rPr>
            </w:pPr>
          </w:p>
        </w:tc>
        <w:tc>
          <w:tcPr>
            <w:tcW w:w="0" w:type="auto"/>
            <w:vAlign w:val="center"/>
            <w:hideMark/>
          </w:tcPr>
          <w:p w14:paraId="056ABF7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407C7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F3D692" w14:textId="77777777" w:rsidR="00000000" w:rsidRDefault="00405D16">
            <w:pPr>
              <w:spacing w:after="100"/>
              <w:rPr>
                <w:rFonts w:eastAsia="Times New Roman"/>
                <w:sz w:val="20"/>
                <w:szCs w:val="20"/>
              </w:rPr>
            </w:pPr>
          </w:p>
        </w:tc>
        <w:tc>
          <w:tcPr>
            <w:tcW w:w="0" w:type="auto"/>
            <w:gridSpan w:val="3"/>
            <w:vAlign w:val="center"/>
            <w:hideMark/>
          </w:tcPr>
          <w:p w14:paraId="5C7B63E6" w14:textId="77777777" w:rsidR="00000000" w:rsidRDefault="00405D16">
            <w:pPr>
              <w:spacing w:after="100"/>
              <w:rPr>
                <w:rFonts w:eastAsia="Times New Roman"/>
                <w:sz w:val="20"/>
                <w:szCs w:val="20"/>
              </w:rPr>
            </w:pPr>
          </w:p>
        </w:tc>
        <w:tc>
          <w:tcPr>
            <w:tcW w:w="0" w:type="auto"/>
            <w:gridSpan w:val="3"/>
            <w:vAlign w:val="center"/>
            <w:hideMark/>
          </w:tcPr>
          <w:p w14:paraId="04B445A0" w14:textId="77777777" w:rsidR="00000000" w:rsidRDefault="00405D16">
            <w:pPr>
              <w:spacing w:after="100"/>
              <w:rPr>
                <w:rFonts w:eastAsia="Times New Roman"/>
                <w:sz w:val="20"/>
                <w:szCs w:val="20"/>
              </w:rPr>
            </w:pPr>
          </w:p>
        </w:tc>
      </w:tr>
      <w:tr w:rsidR="00000000" w14:paraId="34CE96FE" w14:textId="77777777">
        <w:trPr>
          <w:divId w:val="1807164682"/>
        </w:trPr>
        <w:tc>
          <w:tcPr>
            <w:tcW w:w="0" w:type="auto"/>
            <w:gridSpan w:val="3"/>
            <w:shd w:val="clear" w:color="auto" w:fill="CCEEFF"/>
            <w:tcMar>
              <w:top w:w="30" w:type="dxa"/>
              <w:left w:w="20" w:type="dxa"/>
              <w:bottom w:w="30" w:type="dxa"/>
              <w:right w:w="20" w:type="dxa"/>
            </w:tcMar>
            <w:vAlign w:val="center"/>
            <w:hideMark/>
          </w:tcPr>
          <w:p w14:paraId="2D01A739" w14:textId="77777777" w:rsidR="00000000" w:rsidRDefault="00405D16">
            <w:pPr>
              <w:spacing w:after="100"/>
              <w:rPr>
                <w:rFonts w:eastAsia="Times New Roman"/>
              </w:rPr>
            </w:pPr>
            <w:r>
              <w:rPr>
                <w:rFonts w:eastAsia="Times New Roman"/>
                <w:color w:val="000000"/>
                <w:sz w:val="18"/>
                <w:szCs w:val="18"/>
              </w:rPr>
              <w:t>Allowance coverage ratio</w:t>
            </w:r>
          </w:p>
        </w:tc>
        <w:tc>
          <w:tcPr>
            <w:tcW w:w="0" w:type="auto"/>
            <w:gridSpan w:val="3"/>
            <w:shd w:val="clear" w:color="auto" w:fill="CCEEFF"/>
            <w:tcMar>
              <w:top w:w="0" w:type="dxa"/>
              <w:left w:w="20" w:type="dxa"/>
              <w:bottom w:w="0" w:type="dxa"/>
              <w:right w:w="20" w:type="dxa"/>
            </w:tcMar>
            <w:vAlign w:val="center"/>
            <w:hideMark/>
          </w:tcPr>
          <w:p w14:paraId="3378F612"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284EB81" w14:textId="77777777" w:rsidR="00000000" w:rsidRDefault="00405D16">
            <w:pPr>
              <w:spacing w:after="100"/>
              <w:jc w:val="right"/>
              <w:rPr>
                <w:rFonts w:eastAsia="Times New Roman"/>
              </w:rPr>
            </w:pPr>
            <w:r>
              <w:rPr>
                <w:rFonts w:eastAsia="Times New Roman"/>
                <w:b/>
                <w:bCs/>
                <w:color w:val="000000"/>
                <w:sz w:val="18"/>
                <w:szCs w:val="18"/>
              </w:rPr>
              <w:t>2.67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04B7AF9"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AB96464"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54D4A89" w14:textId="77777777" w:rsidR="00000000" w:rsidRDefault="00405D16">
            <w:pPr>
              <w:spacing w:after="100"/>
              <w:jc w:val="right"/>
              <w:rPr>
                <w:rFonts w:eastAsia="Times New Roman"/>
              </w:rPr>
            </w:pPr>
            <w:r>
              <w:rPr>
                <w:rFonts w:eastAsia="Times New Roman"/>
                <w:color w:val="000000"/>
                <w:sz w:val="18"/>
                <w:szCs w:val="18"/>
              </w:rPr>
              <w:t>3.94 </w:t>
            </w:r>
          </w:p>
        </w:tc>
        <w:tc>
          <w:tcPr>
            <w:tcW w:w="0" w:type="auto"/>
            <w:shd w:val="clear" w:color="auto" w:fill="CCEEFF"/>
            <w:tcMar>
              <w:top w:w="30" w:type="dxa"/>
              <w:left w:w="0" w:type="dxa"/>
              <w:bottom w:w="30" w:type="dxa"/>
              <w:right w:w="20" w:type="dxa"/>
            </w:tcMar>
            <w:vAlign w:val="center"/>
            <w:hideMark/>
          </w:tcPr>
          <w:p w14:paraId="61315BCF"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D9BFF92"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4A8690B" w14:textId="77777777" w:rsidR="00000000" w:rsidRDefault="00405D16">
            <w:pPr>
              <w:spacing w:after="100"/>
              <w:jc w:val="right"/>
              <w:rPr>
                <w:rFonts w:eastAsia="Times New Roman"/>
              </w:rPr>
            </w:pPr>
            <w:r>
              <w:rPr>
                <w:rFonts w:eastAsia="Times New Roman"/>
                <w:color w:val="000000"/>
                <w:sz w:val="18"/>
                <w:szCs w:val="18"/>
              </w:rPr>
              <w:t>(127)</w:t>
            </w:r>
          </w:p>
        </w:tc>
        <w:tc>
          <w:tcPr>
            <w:tcW w:w="0" w:type="auto"/>
            <w:shd w:val="clear" w:color="auto" w:fill="CCEEFF"/>
            <w:tcMar>
              <w:top w:w="30" w:type="dxa"/>
              <w:left w:w="0" w:type="dxa"/>
              <w:bottom w:w="30" w:type="dxa"/>
              <w:right w:w="20" w:type="dxa"/>
            </w:tcMar>
            <w:vAlign w:val="center"/>
            <w:hideMark/>
          </w:tcPr>
          <w:p w14:paraId="6BD29F23" w14:textId="77777777" w:rsidR="00000000" w:rsidRDefault="00405D16">
            <w:pPr>
              <w:spacing w:after="100"/>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14:paraId="0A30013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AC875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D1941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2BDF4B" w14:textId="77777777" w:rsidR="00000000" w:rsidRDefault="00405D16">
            <w:pPr>
              <w:spacing w:after="100"/>
              <w:rPr>
                <w:rFonts w:eastAsia="Times New Roman"/>
                <w:sz w:val="20"/>
                <w:szCs w:val="20"/>
              </w:rPr>
            </w:pPr>
          </w:p>
        </w:tc>
        <w:tc>
          <w:tcPr>
            <w:tcW w:w="0" w:type="auto"/>
            <w:vAlign w:val="center"/>
            <w:hideMark/>
          </w:tcPr>
          <w:p w14:paraId="48223A74" w14:textId="77777777" w:rsidR="00000000" w:rsidRDefault="00405D16">
            <w:pPr>
              <w:spacing w:after="100"/>
              <w:rPr>
                <w:rFonts w:eastAsia="Times New Roman"/>
                <w:sz w:val="20"/>
                <w:szCs w:val="20"/>
              </w:rPr>
            </w:pPr>
          </w:p>
        </w:tc>
        <w:tc>
          <w:tcPr>
            <w:tcW w:w="0" w:type="auto"/>
            <w:vAlign w:val="center"/>
            <w:hideMark/>
          </w:tcPr>
          <w:p w14:paraId="642957C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19F6E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22459F" w14:textId="77777777" w:rsidR="00000000" w:rsidRDefault="00405D16">
            <w:pPr>
              <w:spacing w:after="100"/>
              <w:rPr>
                <w:rFonts w:eastAsia="Times New Roman"/>
                <w:sz w:val="20"/>
                <w:szCs w:val="20"/>
              </w:rPr>
            </w:pPr>
          </w:p>
        </w:tc>
        <w:tc>
          <w:tcPr>
            <w:tcW w:w="0" w:type="auto"/>
            <w:gridSpan w:val="3"/>
            <w:vAlign w:val="center"/>
            <w:hideMark/>
          </w:tcPr>
          <w:p w14:paraId="49D5E411" w14:textId="77777777" w:rsidR="00000000" w:rsidRDefault="00405D16">
            <w:pPr>
              <w:spacing w:after="100"/>
              <w:rPr>
                <w:rFonts w:eastAsia="Times New Roman"/>
                <w:sz w:val="20"/>
                <w:szCs w:val="20"/>
              </w:rPr>
            </w:pPr>
          </w:p>
        </w:tc>
        <w:tc>
          <w:tcPr>
            <w:tcW w:w="0" w:type="auto"/>
            <w:gridSpan w:val="3"/>
            <w:vAlign w:val="center"/>
            <w:hideMark/>
          </w:tcPr>
          <w:p w14:paraId="2D9B2B08" w14:textId="77777777" w:rsidR="00000000" w:rsidRDefault="00405D16">
            <w:pPr>
              <w:spacing w:after="100"/>
              <w:rPr>
                <w:rFonts w:eastAsia="Times New Roman"/>
                <w:sz w:val="20"/>
                <w:szCs w:val="20"/>
              </w:rPr>
            </w:pPr>
          </w:p>
        </w:tc>
      </w:tr>
      <w:tr w:rsidR="00000000" w14:paraId="3651621C" w14:textId="77777777">
        <w:trPr>
          <w:divId w:val="1807164682"/>
        </w:trPr>
        <w:tc>
          <w:tcPr>
            <w:tcW w:w="0" w:type="auto"/>
            <w:gridSpan w:val="3"/>
            <w:shd w:val="clear" w:color="auto" w:fill="FFFFFF"/>
            <w:tcMar>
              <w:top w:w="30" w:type="dxa"/>
              <w:left w:w="20" w:type="dxa"/>
              <w:bottom w:w="30" w:type="dxa"/>
              <w:right w:w="20" w:type="dxa"/>
            </w:tcMar>
            <w:vAlign w:val="center"/>
            <w:hideMark/>
          </w:tcPr>
          <w:p w14:paraId="748353E1" w14:textId="77777777" w:rsidR="00000000" w:rsidRDefault="00405D16">
            <w:pPr>
              <w:spacing w:after="100"/>
              <w:rPr>
                <w:rFonts w:eastAsia="Times New Roman"/>
              </w:rPr>
            </w:pPr>
            <w:r>
              <w:rPr>
                <w:rFonts w:eastAsia="Times New Roman"/>
                <w:color w:val="000000"/>
                <w:sz w:val="18"/>
                <w:szCs w:val="18"/>
              </w:rPr>
              <w:t>Deposits</w:t>
            </w:r>
          </w:p>
        </w:tc>
        <w:tc>
          <w:tcPr>
            <w:tcW w:w="0" w:type="auto"/>
            <w:gridSpan w:val="3"/>
            <w:shd w:val="clear" w:color="auto" w:fill="FFFFFF"/>
            <w:tcMar>
              <w:top w:w="0" w:type="dxa"/>
              <w:left w:w="20" w:type="dxa"/>
              <w:bottom w:w="0" w:type="dxa"/>
              <w:right w:w="20" w:type="dxa"/>
            </w:tcMar>
            <w:vAlign w:val="center"/>
            <w:hideMark/>
          </w:tcPr>
          <w:p w14:paraId="6D35D51F"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453E062A"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140" w:type="dxa"/>
            </w:tcMar>
            <w:vAlign w:val="center"/>
            <w:hideMark/>
          </w:tcPr>
          <w:p w14:paraId="777F557E" w14:textId="77777777" w:rsidR="00000000" w:rsidRDefault="00405D16">
            <w:pPr>
              <w:spacing w:after="100"/>
              <w:jc w:val="right"/>
              <w:rPr>
                <w:rFonts w:eastAsia="Times New Roman"/>
              </w:rPr>
            </w:pPr>
            <w:r>
              <w:rPr>
                <w:rFonts w:eastAsia="Times New Roman"/>
                <w:b/>
                <w:bCs/>
                <w:color w:val="000000"/>
                <w:sz w:val="18"/>
                <w:szCs w:val="18"/>
              </w:rPr>
              <w:t>252,387</w:t>
            </w:r>
          </w:p>
        </w:tc>
        <w:tc>
          <w:tcPr>
            <w:tcW w:w="0" w:type="auto"/>
            <w:gridSpan w:val="3"/>
            <w:shd w:val="clear" w:color="auto" w:fill="FFFFFF"/>
            <w:tcMar>
              <w:top w:w="0" w:type="dxa"/>
              <w:left w:w="20" w:type="dxa"/>
              <w:bottom w:w="0" w:type="dxa"/>
              <w:right w:w="20" w:type="dxa"/>
            </w:tcMar>
            <w:vAlign w:val="center"/>
            <w:hideMark/>
          </w:tcPr>
          <w:p w14:paraId="6AFFB39D" w14:textId="77777777" w:rsidR="00000000" w:rsidRDefault="00405D16">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6E9A7D27" w14:textId="77777777" w:rsidR="00000000" w:rsidRDefault="00405D16">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center"/>
            <w:hideMark/>
          </w:tcPr>
          <w:p w14:paraId="37C02965" w14:textId="77777777" w:rsidR="00000000" w:rsidRDefault="00405D16">
            <w:pPr>
              <w:spacing w:after="100"/>
              <w:jc w:val="right"/>
              <w:rPr>
                <w:rFonts w:eastAsia="Times New Roman"/>
              </w:rPr>
            </w:pPr>
            <w:r>
              <w:rPr>
                <w:rFonts w:eastAsia="Times New Roman"/>
                <w:color w:val="000000"/>
                <w:sz w:val="18"/>
                <w:szCs w:val="18"/>
              </w:rPr>
              <w:t>249,815</w:t>
            </w:r>
          </w:p>
        </w:tc>
        <w:tc>
          <w:tcPr>
            <w:tcW w:w="0" w:type="auto"/>
            <w:gridSpan w:val="3"/>
            <w:shd w:val="clear" w:color="auto" w:fill="FFFFFF"/>
            <w:tcMar>
              <w:top w:w="0" w:type="dxa"/>
              <w:left w:w="20" w:type="dxa"/>
              <w:bottom w:w="0" w:type="dxa"/>
              <w:right w:w="20" w:type="dxa"/>
            </w:tcMar>
            <w:vAlign w:val="center"/>
            <w:hideMark/>
          </w:tcPr>
          <w:p w14:paraId="6200D4A4"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4EA8652" w14:textId="77777777" w:rsidR="00000000" w:rsidRDefault="00405D16">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14:paraId="442FE376"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C36006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B9734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87AC1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E153D5" w14:textId="77777777" w:rsidR="00000000" w:rsidRDefault="00405D16">
            <w:pPr>
              <w:spacing w:after="100"/>
              <w:rPr>
                <w:rFonts w:eastAsia="Times New Roman"/>
                <w:sz w:val="20"/>
                <w:szCs w:val="20"/>
              </w:rPr>
            </w:pPr>
          </w:p>
        </w:tc>
        <w:tc>
          <w:tcPr>
            <w:tcW w:w="0" w:type="auto"/>
            <w:vAlign w:val="center"/>
            <w:hideMark/>
          </w:tcPr>
          <w:p w14:paraId="3559E0D4" w14:textId="77777777" w:rsidR="00000000" w:rsidRDefault="00405D16">
            <w:pPr>
              <w:spacing w:after="100"/>
              <w:rPr>
                <w:rFonts w:eastAsia="Times New Roman"/>
                <w:sz w:val="20"/>
                <w:szCs w:val="20"/>
              </w:rPr>
            </w:pPr>
          </w:p>
        </w:tc>
        <w:tc>
          <w:tcPr>
            <w:tcW w:w="0" w:type="auto"/>
            <w:vAlign w:val="center"/>
            <w:hideMark/>
          </w:tcPr>
          <w:p w14:paraId="541305A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CD7D7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52F9DF" w14:textId="77777777" w:rsidR="00000000" w:rsidRDefault="00405D16">
            <w:pPr>
              <w:spacing w:after="100"/>
              <w:rPr>
                <w:rFonts w:eastAsia="Times New Roman"/>
                <w:sz w:val="20"/>
                <w:szCs w:val="20"/>
              </w:rPr>
            </w:pPr>
          </w:p>
        </w:tc>
        <w:tc>
          <w:tcPr>
            <w:tcW w:w="0" w:type="auto"/>
            <w:gridSpan w:val="3"/>
            <w:vAlign w:val="center"/>
            <w:hideMark/>
          </w:tcPr>
          <w:p w14:paraId="5048D054" w14:textId="77777777" w:rsidR="00000000" w:rsidRDefault="00405D16">
            <w:pPr>
              <w:spacing w:after="100"/>
              <w:rPr>
                <w:rFonts w:eastAsia="Times New Roman"/>
                <w:sz w:val="20"/>
                <w:szCs w:val="20"/>
              </w:rPr>
            </w:pPr>
          </w:p>
        </w:tc>
        <w:tc>
          <w:tcPr>
            <w:tcW w:w="0" w:type="auto"/>
            <w:gridSpan w:val="3"/>
            <w:vAlign w:val="center"/>
            <w:hideMark/>
          </w:tcPr>
          <w:p w14:paraId="146D0B26" w14:textId="77777777" w:rsidR="00000000" w:rsidRDefault="00405D16">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7824AF30" w14:textId="77777777">
        <w:trPr>
          <w:jc w:val="center"/>
        </w:trPr>
        <w:tc>
          <w:tcPr>
            <w:tcW w:w="50" w:type="pct"/>
            <w:vAlign w:val="center"/>
            <w:hideMark/>
          </w:tcPr>
          <w:p w14:paraId="6B2D9394" w14:textId="77777777" w:rsidR="00000000" w:rsidRDefault="00405D16">
            <w:pPr>
              <w:rPr>
                <w:rFonts w:eastAsia="Times New Roman"/>
              </w:rPr>
            </w:pPr>
          </w:p>
        </w:tc>
        <w:tc>
          <w:tcPr>
            <w:tcW w:w="1606" w:type="pct"/>
            <w:vAlign w:val="center"/>
            <w:hideMark/>
          </w:tcPr>
          <w:p w14:paraId="4E837293" w14:textId="77777777" w:rsidR="00000000" w:rsidRDefault="00405D16">
            <w:pPr>
              <w:spacing w:after="100"/>
              <w:rPr>
                <w:rFonts w:eastAsia="Times New Roman"/>
                <w:sz w:val="20"/>
                <w:szCs w:val="20"/>
              </w:rPr>
            </w:pPr>
          </w:p>
        </w:tc>
        <w:tc>
          <w:tcPr>
            <w:tcW w:w="5" w:type="pct"/>
            <w:vAlign w:val="center"/>
            <w:hideMark/>
          </w:tcPr>
          <w:p w14:paraId="23CF5B21" w14:textId="77777777" w:rsidR="00000000" w:rsidRDefault="00405D16">
            <w:pPr>
              <w:spacing w:after="100"/>
              <w:rPr>
                <w:rFonts w:eastAsia="Times New Roman"/>
                <w:sz w:val="20"/>
                <w:szCs w:val="20"/>
              </w:rPr>
            </w:pPr>
          </w:p>
        </w:tc>
        <w:tc>
          <w:tcPr>
            <w:tcW w:w="50" w:type="pct"/>
            <w:vAlign w:val="center"/>
            <w:hideMark/>
          </w:tcPr>
          <w:p w14:paraId="64E7BFC7" w14:textId="77777777" w:rsidR="00000000" w:rsidRDefault="00405D16">
            <w:pPr>
              <w:spacing w:after="100"/>
              <w:rPr>
                <w:rFonts w:eastAsia="Times New Roman"/>
                <w:sz w:val="20"/>
                <w:szCs w:val="20"/>
              </w:rPr>
            </w:pPr>
          </w:p>
        </w:tc>
        <w:tc>
          <w:tcPr>
            <w:tcW w:w="1614" w:type="pct"/>
            <w:vAlign w:val="center"/>
            <w:hideMark/>
          </w:tcPr>
          <w:p w14:paraId="29B51760" w14:textId="77777777" w:rsidR="00000000" w:rsidRDefault="00405D16">
            <w:pPr>
              <w:spacing w:after="100"/>
              <w:rPr>
                <w:rFonts w:eastAsia="Times New Roman"/>
                <w:sz w:val="20"/>
                <w:szCs w:val="20"/>
              </w:rPr>
            </w:pPr>
          </w:p>
        </w:tc>
        <w:tc>
          <w:tcPr>
            <w:tcW w:w="5" w:type="pct"/>
            <w:vAlign w:val="center"/>
            <w:hideMark/>
          </w:tcPr>
          <w:p w14:paraId="234E8ECD" w14:textId="77777777" w:rsidR="00000000" w:rsidRDefault="00405D16">
            <w:pPr>
              <w:spacing w:after="100"/>
              <w:rPr>
                <w:rFonts w:eastAsia="Times New Roman"/>
                <w:sz w:val="20"/>
                <w:szCs w:val="20"/>
              </w:rPr>
            </w:pPr>
          </w:p>
        </w:tc>
        <w:tc>
          <w:tcPr>
            <w:tcW w:w="50" w:type="pct"/>
            <w:vAlign w:val="center"/>
            <w:hideMark/>
          </w:tcPr>
          <w:p w14:paraId="17C9088B" w14:textId="77777777" w:rsidR="00000000" w:rsidRDefault="00405D16">
            <w:pPr>
              <w:spacing w:after="100"/>
              <w:rPr>
                <w:rFonts w:eastAsia="Times New Roman"/>
                <w:sz w:val="20"/>
                <w:szCs w:val="20"/>
              </w:rPr>
            </w:pPr>
          </w:p>
        </w:tc>
        <w:tc>
          <w:tcPr>
            <w:tcW w:w="1614" w:type="pct"/>
            <w:vAlign w:val="center"/>
            <w:hideMark/>
          </w:tcPr>
          <w:p w14:paraId="16598D92" w14:textId="77777777" w:rsidR="00000000" w:rsidRDefault="00405D16">
            <w:pPr>
              <w:spacing w:after="100"/>
              <w:rPr>
                <w:rFonts w:eastAsia="Times New Roman"/>
                <w:sz w:val="20"/>
                <w:szCs w:val="20"/>
              </w:rPr>
            </w:pPr>
          </w:p>
        </w:tc>
        <w:tc>
          <w:tcPr>
            <w:tcW w:w="5" w:type="pct"/>
            <w:vAlign w:val="center"/>
            <w:hideMark/>
          </w:tcPr>
          <w:p w14:paraId="0498E20D" w14:textId="77777777" w:rsidR="00000000" w:rsidRDefault="00405D16">
            <w:pPr>
              <w:spacing w:after="100"/>
              <w:rPr>
                <w:rFonts w:eastAsia="Times New Roman"/>
                <w:sz w:val="20"/>
                <w:szCs w:val="20"/>
              </w:rPr>
            </w:pPr>
          </w:p>
        </w:tc>
      </w:tr>
      <w:tr w:rsidR="00000000" w14:paraId="693236CF" w14:textId="77777777">
        <w:trPr>
          <w:trHeight w:val="300"/>
          <w:jc w:val="center"/>
        </w:trPr>
        <w:tc>
          <w:tcPr>
            <w:tcW w:w="0" w:type="auto"/>
            <w:gridSpan w:val="9"/>
            <w:tcMar>
              <w:top w:w="0" w:type="dxa"/>
              <w:left w:w="20" w:type="dxa"/>
              <w:bottom w:w="0" w:type="dxa"/>
              <w:right w:w="20" w:type="dxa"/>
            </w:tcMar>
            <w:vAlign w:val="center"/>
            <w:hideMark/>
          </w:tcPr>
          <w:p w14:paraId="3261B38F" w14:textId="77777777" w:rsidR="00000000" w:rsidRDefault="00405D16">
            <w:pPr>
              <w:spacing w:after="100"/>
              <w:rPr>
                <w:rFonts w:eastAsia="Times New Roman"/>
                <w:sz w:val="20"/>
                <w:szCs w:val="20"/>
              </w:rPr>
            </w:pPr>
          </w:p>
        </w:tc>
      </w:tr>
      <w:tr w:rsidR="00000000" w14:paraId="254CB189" w14:textId="77777777">
        <w:trPr>
          <w:jc w:val="center"/>
        </w:trPr>
        <w:tc>
          <w:tcPr>
            <w:tcW w:w="0" w:type="auto"/>
            <w:gridSpan w:val="3"/>
            <w:tcMar>
              <w:top w:w="0" w:type="dxa"/>
              <w:left w:w="20" w:type="dxa"/>
              <w:bottom w:w="0" w:type="dxa"/>
              <w:right w:w="20" w:type="dxa"/>
            </w:tcMar>
            <w:vAlign w:val="center"/>
            <w:hideMark/>
          </w:tcPr>
          <w:p w14:paraId="466D9670"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5312E76" w14:textId="77777777" w:rsidR="00000000" w:rsidRDefault="00405D16">
            <w:pPr>
              <w:spacing w:after="100"/>
              <w:jc w:val="center"/>
              <w:rPr>
                <w:rFonts w:eastAsia="Times New Roman"/>
              </w:rPr>
            </w:pPr>
            <w:r>
              <w:rPr>
                <w:rFonts w:eastAsia="Times New Roman"/>
                <w:color w:val="000000"/>
                <w:sz w:val="16"/>
                <w:szCs w:val="16"/>
              </w:rPr>
              <w:t>25</w:t>
            </w:r>
          </w:p>
        </w:tc>
        <w:tc>
          <w:tcPr>
            <w:tcW w:w="0" w:type="auto"/>
            <w:gridSpan w:val="3"/>
            <w:tcMar>
              <w:top w:w="30" w:type="dxa"/>
              <w:left w:w="20" w:type="dxa"/>
              <w:bottom w:w="30" w:type="dxa"/>
              <w:right w:w="20" w:type="dxa"/>
            </w:tcMar>
            <w:vAlign w:val="bottom"/>
            <w:hideMark/>
          </w:tcPr>
          <w:p w14:paraId="7AD054A8"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0A439C08" w14:textId="77777777" w:rsidR="00000000" w:rsidRDefault="00405D16">
      <w:pPr>
        <w:rPr>
          <w:rFonts w:eastAsia="Times New Roman"/>
        </w:rPr>
      </w:pPr>
      <w:r>
        <w:rPr>
          <w:rFonts w:eastAsia="Times New Roman"/>
        </w:rPr>
        <w:pict w14:anchorId="6BD63AE7">
          <v:rect id="_x0000_i1050" style="width:0;height:1.5pt" o:hralign="center" o:hrstd="t" o:hr="t" fillcolor="#a0a0a0" stroked="f"/>
        </w:pict>
      </w:r>
    </w:p>
    <w:p w14:paraId="5EC5886A" w14:textId="77777777" w:rsidR="00000000" w:rsidRDefault="00405D16">
      <w:pPr>
        <w:ind w:hanging="360"/>
        <w:jc w:val="both"/>
        <w:divId w:val="1900440562"/>
        <w:rPr>
          <w:rFonts w:eastAsia="Times New Roman"/>
        </w:rPr>
      </w:pPr>
      <w:hyperlink w:anchor="idd54a04a485440b4ab4e56094c14d612_13" w:history="1">
        <w:r>
          <w:rPr>
            <w:rStyle w:val="a3"/>
            <w:rFonts w:eastAsia="Times New Roman"/>
            <w:sz w:val="16"/>
            <w:szCs w:val="16"/>
          </w:rPr>
          <w:t>Table of Contents</w:t>
        </w:r>
      </w:hyperlink>
    </w:p>
    <w:p w14:paraId="5B0F3C79" w14:textId="77777777" w:rsidR="00000000" w:rsidRDefault="00405D16">
      <w:pPr>
        <w:divId w:val="1465924892"/>
        <w:rPr>
          <w:rFonts w:eastAsia="Times New Roman"/>
        </w:rPr>
      </w:pPr>
      <w:r>
        <w:rPr>
          <w:rFonts w:eastAsia="Times New Roman"/>
          <w:color w:val="000000"/>
          <w:sz w:val="20"/>
          <w:szCs w:val="20"/>
        </w:rPr>
        <w:t>__________</w:t>
      </w:r>
    </w:p>
    <w:p w14:paraId="728FD25C" w14:textId="77777777" w:rsidR="00000000" w:rsidRDefault="00405D16">
      <w:pPr>
        <w:ind w:hanging="360"/>
        <w:jc w:val="both"/>
        <w:divId w:val="5852500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Average yield is calculated based on annualized interest income for the period divided by average loans during the period and doe</w:t>
      </w:r>
      <w:r>
        <w:rPr>
          <w:rFonts w:eastAsia="Times New Roman"/>
          <w:color w:val="000000"/>
          <w:sz w:val="16"/>
          <w:szCs w:val="16"/>
        </w:rPr>
        <w:t>s not include any allocations, such as funds transfer pricing.</w:t>
      </w:r>
    </w:p>
    <w:p w14:paraId="1285FC8D" w14:textId="77777777" w:rsidR="00000000" w:rsidRDefault="00405D16">
      <w:pPr>
        <w:ind w:hanging="360"/>
        <w:jc w:val="both"/>
        <w:divId w:val="1455714956"/>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Nonperforming assets primarily consist of nonperforming loans and repossessed assets. The total nonperforming asset rate is calculated based on total nonperforming assets divided by the comb</w:t>
      </w:r>
      <w:r>
        <w:rPr>
          <w:rFonts w:eastAsia="Times New Roman"/>
          <w:color w:val="000000"/>
          <w:sz w:val="16"/>
          <w:szCs w:val="16"/>
        </w:rPr>
        <w:t xml:space="preserve">ined period-end total loans held for investment and repossessed assets. </w:t>
      </w:r>
    </w:p>
    <w:p w14:paraId="39365AB4" w14:textId="77777777" w:rsidR="00000000" w:rsidRDefault="00405D16">
      <w:pPr>
        <w:ind w:hanging="360"/>
        <w:jc w:val="both"/>
        <w:divId w:val="178541707"/>
        <w:rPr>
          <w:rFonts w:eastAsia="Times New Roman"/>
        </w:rPr>
      </w:pPr>
      <w:r>
        <w:rPr>
          <w:rFonts w:eastAsia="Times New Roman"/>
          <w:color w:val="000000"/>
          <w:sz w:val="16"/>
          <w:szCs w:val="16"/>
        </w:rPr>
        <w:t>**    Not meaningful.</w:t>
      </w:r>
    </w:p>
    <w:p w14:paraId="75428F0B" w14:textId="77777777" w:rsidR="00000000" w:rsidRDefault="00405D16">
      <w:pPr>
        <w:jc w:val="both"/>
        <w:divId w:val="1779713584"/>
        <w:rPr>
          <w:rFonts w:eastAsia="Times New Roman"/>
        </w:rPr>
      </w:pPr>
      <w:r>
        <w:rPr>
          <w:rFonts w:eastAsia="Times New Roman"/>
          <w:color w:val="000000"/>
          <w:sz w:val="20"/>
          <w:szCs w:val="20"/>
        </w:rPr>
        <w:t>Key factors affecting the results of our Consumer Banking business for the third quarter and first nine months of 2021 compared to the third quarter and first ni</w:t>
      </w:r>
      <w:r>
        <w:rPr>
          <w:rFonts w:eastAsia="Times New Roman"/>
          <w:color w:val="000000"/>
          <w:sz w:val="20"/>
          <w:szCs w:val="20"/>
        </w:rPr>
        <w:t>ne months of 2020, and changes in financial condition and credit performance between September 30, 2021 and December 31, 2020 include the following:</w:t>
      </w:r>
    </w:p>
    <w:p w14:paraId="1576892B" w14:textId="77777777" w:rsidR="00000000" w:rsidRDefault="00405D16">
      <w:pPr>
        <w:ind w:hanging="360"/>
        <w:jc w:val="both"/>
        <w:divId w:val="766771303"/>
        <w:rPr>
          <w:rFonts w:eastAsia="Times New Roman"/>
        </w:rPr>
      </w:pPr>
      <w:r>
        <w:rPr>
          <w:rFonts w:eastAsia="Times New Roman"/>
          <w:color w:val="000000"/>
          <w:sz w:val="20"/>
          <w:szCs w:val="20"/>
        </w:rPr>
        <w:t>•</w:t>
      </w:r>
      <w:r>
        <w:rPr>
          <w:rFonts w:eastAsia="Times New Roman"/>
          <w:i/>
          <w:iCs/>
          <w:color w:val="000000"/>
          <w:sz w:val="20"/>
          <w:szCs w:val="20"/>
        </w:rPr>
        <w:t>Net Interest Income: </w:t>
      </w:r>
      <w:r>
        <w:rPr>
          <w:rFonts w:eastAsia="Times New Roman"/>
          <w:color w:val="000000"/>
          <w:sz w:val="20"/>
          <w:szCs w:val="20"/>
        </w:rPr>
        <w:t>Net interest income increased by $255 million to $2.2 billion in the third quarter of</w:t>
      </w:r>
      <w:r>
        <w:rPr>
          <w:rFonts w:eastAsia="Times New Roman"/>
          <w:color w:val="000000"/>
          <w:sz w:val="20"/>
          <w:szCs w:val="20"/>
        </w:rPr>
        <w:t xml:space="preserve"> 2021 and increased by $1.1 billion to $6.3 billion in the first nine months of 2021 primarily driven by higher margins and deposits in our Retail Banking business as well as growth in our auto loan portfolio.</w:t>
      </w:r>
    </w:p>
    <w:p w14:paraId="7F78E6F2" w14:textId="77777777" w:rsidR="00000000" w:rsidRDefault="00405D16">
      <w:pPr>
        <w:ind w:hanging="360"/>
        <w:divId w:val="58141592"/>
        <w:rPr>
          <w:rFonts w:eastAsia="Times New Roman"/>
        </w:rPr>
      </w:pPr>
      <w:r>
        <w:rPr>
          <w:rFonts w:ascii="Calibri" w:eastAsia="Times New Roman" w:hAnsi="Calibri" w:cs="Calibri"/>
          <w:color w:val="000000"/>
          <w:sz w:val="20"/>
          <w:szCs w:val="20"/>
        </w:rPr>
        <w:t>•</w:t>
      </w:r>
      <w:r>
        <w:rPr>
          <w:rFonts w:eastAsia="Times New Roman"/>
          <w:i/>
          <w:iCs/>
          <w:color w:val="000000"/>
          <w:sz w:val="20"/>
          <w:szCs w:val="20"/>
        </w:rPr>
        <w:t xml:space="preserve">Non-Interest Income: </w:t>
      </w:r>
      <w:r>
        <w:rPr>
          <w:rFonts w:eastAsia="Times New Roman"/>
          <w:color w:val="000000"/>
          <w:sz w:val="20"/>
          <w:szCs w:val="20"/>
        </w:rPr>
        <w:t>Non-interest income rema</w:t>
      </w:r>
      <w:r>
        <w:rPr>
          <w:rFonts w:eastAsia="Times New Roman"/>
          <w:color w:val="000000"/>
          <w:sz w:val="20"/>
          <w:szCs w:val="20"/>
        </w:rPr>
        <w:t>ined substantially flat at $127 million in the third quarter of 2021. Non-interest income increased by $82 million to $412 million in the first nine months of 2021 primarily driven by growth in our auto loan portfolio and higher interchange fees from an in</w:t>
      </w:r>
      <w:r>
        <w:rPr>
          <w:rFonts w:eastAsia="Times New Roman"/>
          <w:color w:val="000000"/>
          <w:sz w:val="20"/>
          <w:szCs w:val="20"/>
        </w:rPr>
        <w:t>crease in debit card purchase volume.</w:t>
      </w:r>
    </w:p>
    <w:p w14:paraId="5C40D82F" w14:textId="77777777" w:rsidR="00000000" w:rsidRDefault="00405D16">
      <w:pPr>
        <w:ind w:hanging="360"/>
        <w:jc w:val="both"/>
        <w:divId w:val="223151450"/>
        <w:rPr>
          <w:rFonts w:eastAsia="Times New Roman"/>
        </w:rPr>
      </w:pPr>
      <w:r>
        <w:rPr>
          <w:rFonts w:eastAsia="Times New Roman"/>
          <w:i/>
          <w:iCs/>
          <w:color w:val="000000"/>
          <w:sz w:val="20"/>
          <w:szCs w:val="20"/>
        </w:rPr>
        <w:t xml:space="preserve">•Provision for Credit Losses: </w:t>
      </w:r>
      <w:r>
        <w:rPr>
          <w:rFonts w:eastAsia="Times New Roman"/>
          <w:color w:val="000000"/>
          <w:sz w:val="20"/>
          <w:szCs w:val="20"/>
        </w:rPr>
        <w:t>Provision for credit losses decreased by $48 million to a benefit of $91 million in the third quarter of 2021 driven by an allowance release primarily due to strong credit performance in o</w:t>
      </w:r>
      <w:r>
        <w:rPr>
          <w:rFonts w:eastAsia="Times New Roman"/>
          <w:color w:val="000000"/>
          <w:sz w:val="20"/>
          <w:szCs w:val="20"/>
        </w:rPr>
        <w:t>ur auto loan portfolio. Provision for credit losses decreased by $2.2 billion to a benefit of $523 million in the first nine months of 2021 resulting from allowance releases in 2021 due to continued strong credit performance, an improved economic outlook a</w:t>
      </w:r>
      <w:r>
        <w:rPr>
          <w:rFonts w:eastAsia="Times New Roman"/>
          <w:color w:val="000000"/>
          <w:sz w:val="20"/>
          <w:szCs w:val="20"/>
        </w:rPr>
        <w:t>nd auction price favorability, compared to allowance builds in 2020 driven by expectations of economic worsening at the start of the COVID-19 pandemic.</w:t>
      </w:r>
    </w:p>
    <w:p w14:paraId="3EB27018" w14:textId="77777777" w:rsidR="00000000" w:rsidRDefault="00405D16">
      <w:pPr>
        <w:ind w:hanging="360"/>
        <w:jc w:val="both"/>
        <w:divId w:val="1508787833"/>
        <w:rPr>
          <w:rFonts w:eastAsia="Times New Roman"/>
        </w:rPr>
      </w:pPr>
      <w:r>
        <w:rPr>
          <w:rFonts w:eastAsia="Times New Roman"/>
          <w:i/>
          <w:iCs/>
          <w:color w:val="000000"/>
          <w:sz w:val="20"/>
          <w:szCs w:val="20"/>
        </w:rPr>
        <w:t>•Non-Interest Expense:</w:t>
      </w:r>
      <w:r>
        <w:rPr>
          <w:rFonts w:eastAsia="Times New Roman"/>
          <w:color w:val="000000"/>
          <w:sz w:val="20"/>
          <w:szCs w:val="20"/>
        </w:rPr>
        <w:t xml:space="preserve"> Non-interest expense increased by $175 million to $1.2 billion in the third quart</w:t>
      </w:r>
      <w:r>
        <w:rPr>
          <w:rFonts w:eastAsia="Times New Roman"/>
          <w:color w:val="000000"/>
          <w:sz w:val="20"/>
          <w:szCs w:val="20"/>
        </w:rPr>
        <w:t>er of 2021 and increased by $388 million to $3.4 billion in the first nine months of 2021 primarily driven by increased marketing spend, growth in our auto loan portfolio, as well as continued investment in infrastructure and technology.</w:t>
      </w:r>
    </w:p>
    <w:p w14:paraId="5E832D92" w14:textId="77777777" w:rsidR="00000000" w:rsidRDefault="00405D16">
      <w:pPr>
        <w:ind w:hanging="360"/>
        <w:jc w:val="both"/>
        <w:divId w:val="977493563"/>
        <w:rPr>
          <w:rFonts w:eastAsia="Times New Roman"/>
        </w:rPr>
      </w:pPr>
      <w:r>
        <w:rPr>
          <w:rFonts w:eastAsia="Times New Roman"/>
          <w:i/>
          <w:iCs/>
          <w:color w:val="000000"/>
          <w:sz w:val="20"/>
          <w:szCs w:val="20"/>
        </w:rPr>
        <w:t>•</w:t>
      </w:r>
      <w:r>
        <w:rPr>
          <w:rFonts w:eastAsia="Times New Roman"/>
          <w:i/>
          <w:iCs/>
          <w:color w:val="000000"/>
          <w:sz w:val="20"/>
          <w:szCs w:val="20"/>
        </w:rPr>
        <w:t>Loans Held for Investment:</w:t>
      </w:r>
      <w:r>
        <w:rPr>
          <w:rFonts w:eastAsia="Times New Roman"/>
          <w:color w:val="000000"/>
          <w:sz w:val="20"/>
          <w:szCs w:val="20"/>
        </w:rPr>
        <w:t> </w:t>
      </w:r>
    </w:p>
    <w:p w14:paraId="6978269C" w14:textId="77777777" w:rsidR="00000000" w:rsidRDefault="00405D16">
      <w:pPr>
        <w:spacing w:before="180" w:after="180"/>
        <w:ind w:hanging="360"/>
        <w:jc w:val="both"/>
        <w:divId w:val="879705970"/>
        <w:rPr>
          <w:rFonts w:eastAsia="Times New Roman"/>
        </w:rPr>
      </w:pPr>
      <w:r>
        <w:rPr>
          <w:rFonts w:eastAsia="Times New Roman"/>
          <w:color w:val="000000"/>
          <w:sz w:val="20"/>
          <w:szCs w:val="20"/>
        </w:rPr>
        <w:t>◦</w:t>
      </w:r>
      <w:r>
        <w:rPr>
          <w:rFonts w:eastAsia="Times New Roman"/>
          <w:color w:val="000000"/>
          <w:sz w:val="20"/>
          <w:szCs w:val="20"/>
        </w:rPr>
        <w:t>Period-end loans held for investment increased by $8.2 billion to $77.1 billion as of September 30, 2021 from December 31, 2020 primarily driven by growth in our auto loan portfolio due to higher originations.</w:t>
      </w:r>
    </w:p>
    <w:p w14:paraId="416E1014" w14:textId="77777777" w:rsidR="00000000" w:rsidRDefault="00405D16">
      <w:pPr>
        <w:spacing w:before="180" w:after="180"/>
        <w:ind w:hanging="360"/>
        <w:jc w:val="both"/>
        <w:divId w:val="576522868"/>
        <w:rPr>
          <w:rFonts w:eastAsia="Times New Roman"/>
        </w:rPr>
      </w:pPr>
      <w:r>
        <w:rPr>
          <w:rFonts w:eastAsia="Times New Roman"/>
          <w:color w:val="000000"/>
          <w:sz w:val="20"/>
          <w:szCs w:val="20"/>
        </w:rPr>
        <w:t>◦</w:t>
      </w:r>
      <w:r>
        <w:rPr>
          <w:rFonts w:eastAsia="Times New Roman"/>
          <w:color w:val="000000"/>
          <w:sz w:val="20"/>
          <w:szCs w:val="20"/>
        </w:rPr>
        <w:t>Average loans he</w:t>
      </w:r>
      <w:r>
        <w:rPr>
          <w:rFonts w:eastAsia="Times New Roman"/>
          <w:color w:val="000000"/>
          <w:sz w:val="20"/>
          <w:szCs w:val="20"/>
        </w:rPr>
        <w:t>ld for investment increased by $8.2 billion to $76.0 billion in the third quarter of 2021 compared to the third quarter of 2020 and increased by $7.2 billion to $72.7 billion in the first nine months of 2021 compared to the first nine months of 2020 primar</w:t>
      </w:r>
      <w:r>
        <w:rPr>
          <w:rFonts w:eastAsia="Times New Roman"/>
          <w:color w:val="000000"/>
          <w:sz w:val="20"/>
          <w:szCs w:val="20"/>
        </w:rPr>
        <w:t>ily driven by growth in our auto loan portfolio due to higher originations.</w:t>
      </w:r>
    </w:p>
    <w:p w14:paraId="366BAE33" w14:textId="77777777" w:rsidR="00000000" w:rsidRDefault="00405D16">
      <w:pPr>
        <w:ind w:hanging="360"/>
        <w:jc w:val="both"/>
        <w:divId w:val="104547083"/>
        <w:rPr>
          <w:rFonts w:eastAsia="Times New Roman"/>
        </w:rPr>
      </w:pPr>
      <w:r>
        <w:rPr>
          <w:rFonts w:eastAsia="Times New Roman"/>
          <w:i/>
          <w:iCs/>
          <w:color w:val="000000"/>
          <w:sz w:val="20"/>
          <w:szCs w:val="20"/>
        </w:rPr>
        <w:t>•Deposits:</w:t>
      </w:r>
      <w:r>
        <w:rPr>
          <w:rFonts w:eastAsia="Times New Roman"/>
          <w:color w:val="000000"/>
          <w:sz w:val="20"/>
          <w:szCs w:val="20"/>
        </w:rPr>
        <w:t> Period-end deposits increased by $2.6 billion to $252.4 billion as of September 30, 2021 from December 31, 2020 primarily driven by increased consumer savings</w:t>
      </w:r>
      <w:r>
        <w:rPr>
          <w:rFonts w:eastAsia="Times New Roman"/>
          <w:i/>
          <w:iCs/>
          <w:color w:val="000000"/>
          <w:sz w:val="20"/>
          <w:szCs w:val="20"/>
        </w:rPr>
        <w:t>.</w:t>
      </w:r>
    </w:p>
    <w:p w14:paraId="5C06B9AF" w14:textId="77777777" w:rsidR="00000000" w:rsidRDefault="00405D16">
      <w:pPr>
        <w:ind w:hanging="360"/>
        <w:jc w:val="both"/>
        <w:divId w:val="592083766"/>
        <w:rPr>
          <w:rFonts w:eastAsia="Times New Roman"/>
        </w:rPr>
      </w:pPr>
      <w:r>
        <w:rPr>
          <w:rFonts w:eastAsia="Times New Roman"/>
          <w:i/>
          <w:iCs/>
          <w:color w:val="000000"/>
          <w:sz w:val="20"/>
          <w:szCs w:val="20"/>
        </w:rPr>
        <w:t>•</w:t>
      </w:r>
      <w:r>
        <w:rPr>
          <w:rFonts w:eastAsia="Times New Roman"/>
          <w:i/>
          <w:iCs/>
          <w:color w:val="000000"/>
          <w:sz w:val="20"/>
          <w:szCs w:val="20"/>
        </w:rPr>
        <w:t>Net Charge-Off and Delinquency Metrics:</w:t>
      </w:r>
      <w:r>
        <w:rPr>
          <w:rFonts w:eastAsia="Times New Roman"/>
          <w:color w:val="000000"/>
          <w:sz w:val="20"/>
          <w:szCs w:val="20"/>
        </w:rPr>
        <w:t> The net charge-off rate remained substantially flat at 0.27% in the third quarter of 2021 compared to the third quarter of 2020 and decreased by 75 basis points to 0.24% in the first nine months of 2021 compared to t</w:t>
      </w:r>
      <w:r>
        <w:rPr>
          <w:rFonts w:eastAsia="Times New Roman"/>
          <w:color w:val="000000"/>
          <w:sz w:val="20"/>
          <w:szCs w:val="20"/>
        </w:rPr>
        <w:t>he first nine months of 2020 primarily driven by strong credit performance in our auto loan portfolio, including the impact of elevated auction prices.</w:t>
      </w:r>
    </w:p>
    <w:p w14:paraId="090E62A4" w14:textId="77777777" w:rsidR="00000000" w:rsidRDefault="00405D16">
      <w:pPr>
        <w:jc w:val="both"/>
        <w:divId w:val="1800103720"/>
        <w:rPr>
          <w:rFonts w:eastAsia="Times New Roman"/>
        </w:rPr>
      </w:pPr>
      <w:r>
        <w:rPr>
          <w:rFonts w:eastAsia="Times New Roman"/>
          <w:color w:val="000000"/>
          <w:sz w:val="20"/>
          <w:szCs w:val="20"/>
        </w:rPr>
        <w:t>The 30+ day delinquency rate decreased by 112 basis points to 3.88% as of September 30, 2021 from Decemb</w:t>
      </w:r>
      <w:r>
        <w:rPr>
          <w:rFonts w:eastAsia="Times New Roman"/>
          <w:color w:val="000000"/>
          <w:sz w:val="20"/>
          <w:szCs w:val="20"/>
        </w:rPr>
        <w:t>er 31, 2020 driven by lower delinquency inventories due to strong credit performance and growth in our auto loan portfolio.</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7F5F4C76" w14:textId="77777777">
        <w:trPr>
          <w:divId w:val="929656236"/>
          <w:jc w:val="center"/>
        </w:trPr>
        <w:tc>
          <w:tcPr>
            <w:tcW w:w="50" w:type="pct"/>
            <w:vAlign w:val="center"/>
            <w:hideMark/>
          </w:tcPr>
          <w:p w14:paraId="07EAEEEB" w14:textId="77777777" w:rsidR="00000000" w:rsidRDefault="00405D16">
            <w:pPr>
              <w:jc w:val="both"/>
              <w:rPr>
                <w:rFonts w:eastAsia="Times New Roman"/>
              </w:rPr>
            </w:pPr>
          </w:p>
        </w:tc>
        <w:tc>
          <w:tcPr>
            <w:tcW w:w="1606" w:type="pct"/>
            <w:vAlign w:val="center"/>
            <w:hideMark/>
          </w:tcPr>
          <w:p w14:paraId="5ADC6FD5" w14:textId="77777777" w:rsidR="00000000" w:rsidRDefault="00405D16">
            <w:pPr>
              <w:spacing w:after="100"/>
              <w:rPr>
                <w:rFonts w:eastAsia="Times New Roman"/>
                <w:sz w:val="20"/>
                <w:szCs w:val="20"/>
              </w:rPr>
            </w:pPr>
          </w:p>
        </w:tc>
        <w:tc>
          <w:tcPr>
            <w:tcW w:w="5" w:type="pct"/>
            <w:vAlign w:val="center"/>
            <w:hideMark/>
          </w:tcPr>
          <w:p w14:paraId="55BB1CA3" w14:textId="77777777" w:rsidR="00000000" w:rsidRDefault="00405D16">
            <w:pPr>
              <w:spacing w:after="100"/>
              <w:rPr>
                <w:rFonts w:eastAsia="Times New Roman"/>
                <w:sz w:val="20"/>
                <w:szCs w:val="20"/>
              </w:rPr>
            </w:pPr>
          </w:p>
        </w:tc>
        <w:tc>
          <w:tcPr>
            <w:tcW w:w="50" w:type="pct"/>
            <w:vAlign w:val="center"/>
            <w:hideMark/>
          </w:tcPr>
          <w:p w14:paraId="06468664" w14:textId="77777777" w:rsidR="00000000" w:rsidRDefault="00405D16">
            <w:pPr>
              <w:spacing w:after="100"/>
              <w:rPr>
                <w:rFonts w:eastAsia="Times New Roman"/>
                <w:sz w:val="20"/>
                <w:szCs w:val="20"/>
              </w:rPr>
            </w:pPr>
          </w:p>
        </w:tc>
        <w:tc>
          <w:tcPr>
            <w:tcW w:w="1614" w:type="pct"/>
            <w:vAlign w:val="center"/>
            <w:hideMark/>
          </w:tcPr>
          <w:p w14:paraId="5A9E5064" w14:textId="77777777" w:rsidR="00000000" w:rsidRDefault="00405D16">
            <w:pPr>
              <w:spacing w:after="100"/>
              <w:rPr>
                <w:rFonts w:eastAsia="Times New Roman"/>
                <w:sz w:val="20"/>
                <w:szCs w:val="20"/>
              </w:rPr>
            </w:pPr>
          </w:p>
        </w:tc>
        <w:tc>
          <w:tcPr>
            <w:tcW w:w="5" w:type="pct"/>
            <w:vAlign w:val="center"/>
            <w:hideMark/>
          </w:tcPr>
          <w:p w14:paraId="067EF0A9" w14:textId="77777777" w:rsidR="00000000" w:rsidRDefault="00405D16">
            <w:pPr>
              <w:spacing w:after="100"/>
              <w:rPr>
                <w:rFonts w:eastAsia="Times New Roman"/>
                <w:sz w:val="20"/>
                <w:szCs w:val="20"/>
              </w:rPr>
            </w:pPr>
          </w:p>
        </w:tc>
        <w:tc>
          <w:tcPr>
            <w:tcW w:w="50" w:type="pct"/>
            <w:vAlign w:val="center"/>
            <w:hideMark/>
          </w:tcPr>
          <w:p w14:paraId="4EE33F30" w14:textId="77777777" w:rsidR="00000000" w:rsidRDefault="00405D16">
            <w:pPr>
              <w:spacing w:after="100"/>
              <w:rPr>
                <w:rFonts w:eastAsia="Times New Roman"/>
                <w:sz w:val="20"/>
                <w:szCs w:val="20"/>
              </w:rPr>
            </w:pPr>
          </w:p>
        </w:tc>
        <w:tc>
          <w:tcPr>
            <w:tcW w:w="1614" w:type="pct"/>
            <w:vAlign w:val="center"/>
            <w:hideMark/>
          </w:tcPr>
          <w:p w14:paraId="7EFBEC53" w14:textId="77777777" w:rsidR="00000000" w:rsidRDefault="00405D16">
            <w:pPr>
              <w:spacing w:after="100"/>
              <w:rPr>
                <w:rFonts w:eastAsia="Times New Roman"/>
                <w:sz w:val="20"/>
                <w:szCs w:val="20"/>
              </w:rPr>
            </w:pPr>
          </w:p>
        </w:tc>
        <w:tc>
          <w:tcPr>
            <w:tcW w:w="5" w:type="pct"/>
            <w:vAlign w:val="center"/>
            <w:hideMark/>
          </w:tcPr>
          <w:p w14:paraId="21A62ED4" w14:textId="77777777" w:rsidR="00000000" w:rsidRDefault="00405D16">
            <w:pPr>
              <w:spacing w:after="100"/>
              <w:rPr>
                <w:rFonts w:eastAsia="Times New Roman"/>
                <w:sz w:val="20"/>
                <w:szCs w:val="20"/>
              </w:rPr>
            </w:pPr>
          </w:p>
        </w:tc>
      </w:tr>
      <w:tr w:rsidR="00000000" w14:paraId="10EA8839" w14:textId="77777777">
        <w:trPr>
          <w:divId w:val="929656236"/>
          <w:trHeight w:val="300"/>
          <w:jc w:val="center"/>
        </w:trPr>
        <w:tc>
          <w:tcPr>
            <w:tcW w:w="0" w:type="auto"/>
            <w:gridSpan w:val="9"/>
            <w:tcMar>
              <w:top w:w="0" w:type="dxa"/>
              <w:left w:w="20" w:type="dxa"/>
              <w:bottom w:w="0" w:type="dxa"/>
              <w:right w:w="20" w:type="dxa"/>
            </w:tcMar>
            <w:vAlign w:val="center"/>
            <w:hideMark/>
          </w:tcPr>
          <w:p w14:paraId="060535B8" w14:textId="77777777" w:rsidR="00000000" w:rsidRDefault="00405D16">
            <w:pPr>
              <w:spacing w:after="100"/>
              <w:rPr>
                <w:rFonts w:eastAsia="Times New Roman"/>
                <w:sz w:val="20"/>
                <w:szCs w:val="20"/>
              </w:rPr>
            </w:pPr>
          </w:p>
        </w:tc>
      </w:tr>
      <w:tr w:rsidR="00000000" w14:paraId="5F08DF12" w14:textId="77777777">
        <w:trPr>
          <w:divId w:val="929656236"/>
          <w:jc w:val="center"/>
        </w:trPr>
        <w:tc>
          <w:tcPr>
            <w:tcW w:w="0" w:type="auto"/>
            <w:gridSpan w:val="3"/>
            <w:tcMar>
              <w:top w:w="0" w:type="dxa"/>
              <w:left w:w="20" w:type="dxa"/>
              <w:bottom w:w="0" w:type="dxa"/>
              <w:right w:w="20" w:type="dxa"/>
            </w:tcMar>
            <w:vAlign w:val="center"/>
            <w:hideMark/>
          </w:tcPr>
          <w:p w14:paraId="1078A4EA"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F5B4CF1" w14:textId="77777777" w:rsidR="00000000" w:rsidRDefault="00405D16">
            <w:pPr>
              <w:spacing w:after="100"/>
              <w:jc w:val="center"/>
              <w:rPr>
                <w:rFonts w:eastAsia="Times New Roman"/>
              </w:rPr>
            </w:pPr>
            <w:r>
              <w:rPr>
                <w:rFonts w:eastAsia="Times New Roman"/>
                <w:color w:val="000000"/>
                <w:sz w:val="16"/>
                <w:szCs w:val="16"/>
              </w:rPr>
              <w:t>26</w:t>
            </w:r>
          </w:p>
        </w:tc>
        <w:tc>
          <w:tcPr>
            <w:tcW w:w="0" w:type="auto"/>
            <w:gridSpan w:val="3"/>
            <w:tcMar>
              <w:top w:w="30" w:type="dxa"/>
              <w:left w:w="20" w:type="dxa"/>
              <w:bottom w:w="30" w:type="dxa"/>
              <w:right w:w="20" w:type="dxa"/>
            </w:tcMar>
            <w:vAlign w:val="bottom"/>
            <w:hideMark/>
          </w:tcPr>
          <w:p w14:paraId="6CA3B2A2"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726296DE" w14:textId="77777777" w:rsidR="00000000" w:rsidRDefault="00405D16">
      <w:pPr>
        <w:rPr>
          <w:rFonts w:eastAsia="Times New Roman"/>
        </w:rPr>
      </w:pPr>
      <w:r>
        <w:rPr>
          <w:rFonts w:eastAsia="Times New Roman"/>
        </w:rPr>
        <w:pict w14:anchorId="149E93E0">
          <v:rect id="_x0000_i1051" style="width:0;height:1.5pt" o:hralign="center" o:hrstd="t" o:hr="t" fillcolor="#a0a0a0" stroked="f"/>
        </w:pict>
      </w:r>
    </w:p>
    <w:p w14:paraId="4B42C0FA" w14:textId="77777777" w:rsidR="00000000" w:rsidRDefault="00405D16">
      <w:pPr>
        <w:ind w:hanging="360"/>
        <w:jc w:val="both"/>
        <w:divId w:val="95296141"/>
        <w:rPr>
          <w:rFonts w:eastAsia="Times New Roman"/>
        </w:rPr>
      </w:pPr>
      <w:hyperlink w:anchor="idd54a04a485440b4ab4e56094c14d612_13" w:history="1">
        <w:r>
          <w:rPr>
            <w:rStyle w:val="a3"/>
            <w:rFonts w:eastAsia="Times New Roman"/>
            <w:sz w:val="16"/>
            <w:szCs w:val="16"/>
          </w:rPr>
          <w:t>Table of Contents</w:t>
        </w:r>
      </w:hyperlink>
    </w:p>
    <w:p w14:paraId="5AF21A40" w14:textId="77777777" w:rsidR="00000000" w:rsidRDefault="00405D16">
      <w:pPr>
        <w:divId w:val="249436631"/>
        <w:rPr>
          <w:rFonts w:eastAsia="Times New Roman"/>
        </w:rPr>
      </w:pPr>
      <w:r>
        <w:rPr>
          <w:rFonts w:eastAsia="Times New Roman"/>
          <w:b/>
          <w:bCs/>
          <w:color w:val="000000"/>
          <w:sz w:val="20"/>
          <w:szCs w:val="20"/>
        </w:rPr>
        <w:t>Commercial Banking Business</w:t>
      </w:r>
    </w:p>
    <w:p w14:paraId="14E5E484" w14:textId="77777777" w:rsidR="00000000" w:rsidRDefault="00405D16">
      <w:pPr>
        <w:jc w:val="both"/>
        <w:divId w:val="1835411211"/>
        <w:rPr>
          <w:rFonts w:eastAsia="Times New Roman"/>
        </w:rPr>
      </w:pPr>
      <w:r>
        <w:rPr>
          <w:rFonts w:eastAsia="Times New Roman"/>
          <w:color w:val="000000"/>
          <w:sz w:val="20"/>
          <w:szCs w:val="20"/>
        </w:rPr>
        <w:t xml:space="preserve">The primary sources of revenue for our Commercial Banking business are net interest income from loans and deposits </w:t>
      </w:r>
      <w:r>
        <w:rPr>
          <w:rFonts w:eastAsia="Times New Roman"/>
          <w:color w:val="000000"/>
          <w:sz w:val="20"/>
          <w:szCs w:val="20"/>
        </w:rPr>
        <w:t>and non-interest income earned from products and services provided to our clients such as capital markets and treasury management. Because our Commercial Banking business has loans and investments that generate tax-exempt income, tax credits or other tax b</w:t>
      </w:r>
      <w:r>
        <w:rPr>
          <w:rFonts w:eastAsia="Times New Roman"/>
          <w:color w:val="000000"/>
          <w:sz w:val="20"/>
          <w:szCs w:val="20"/>
        </w:rPr>
        <w:t>enefits, we present the revenues on a taxable-equivalent basis. Expenses primarily consist of the provision for credit losses and operating costs.</w:t>
      </w:r>
    </w:p>
    <w:p w14:paraId="527C5892" w14:textId="77777777" w:rsidR="00000000" w:rsidRDefault="00405D16">
      <w:pPr>
        <w:jc w:val="both"/>
        <w:divId w:val="1935165112"/>
        <w:rPr>
          <w:rFonts w:eastAsia="Times New Roman"/>
        </w:rPr>
      </w:pPr>
      <w:r>
        <w:rPr>
          <w:rFonts w:eastAsia="Times New Roman"/>
          <w:color w:val="000000"/>
          <w:sz w:val="20"/>
          <w:szCs w:val="20"/>
        </w:rPr>
        <w:t>Our Commercial Banking business generated net income from continuing operations of $365 million and $1.2 bill</w:t>
      </w:r>
      <w:r>
        <w:rPr>
          <w:rFonts w:eastAsia="Times New Roman"/>
          <w:color w:val="000000"/>
          <w:sz w:val="20"/>
          <w:szCs w:val="20"/>
        </w:rPr>
        <w:t>ion in the third quarter and first nine months of 2021, respectively, compared to net income of $309 million in the third quarter of 2020 and net loss of $220 million in the first nine months of 2020.</w:t>
      </w:r>
    </w:p>
    <w:p w14:paraId="075EB0DC" w14:textId="77777777" w:rsidR="00000000" w:rsidRDefault="00405D16">
      <w:pPr>
        <w:jc w:val="both"/>
        <w:divId w:val="199368873"/>
        <w:rPr>
          <w:rFonts w:eastAsia="Times New Roman"/>
        </w:rPr>
      </w:pPr>
      <w:r>
        <w:rPr>
          <w:rFonts w:eastAsia="Times New Roman"/>
          <w:color w:val="000000"/>
          <w:sz w:val="20"/>
          <w:szCs w:val="20"/>
        </w:rPr>
        <w:t>Table 12 summarizes the financial results of our Commer</w:t>
      </w:r>
      <w:r>
        <w:rPr>
          <w:rFonts w:eastAsia="Times New Roman"/>
          <w:color w:val="000000"/>
          <w:sz w:val="20"/>
          <w:szCs w:val="20"/>
        </w:rPr>
        <w:t>cial Banking business and displays selected key metrics for the periods indicated.</w:t>
      </w:r>
    </w:p>
    <w:p w14:paraId="56B396E7" w14:textId="77777777" w:rsidR="00000000" w:rsidRDefault="00405D16">
      <w:pPr>
        <w:divId w:val="14038908"/>
        <w:rPr>
          <w:rFonts w:eastAsia="Times New Roman"/>
        </w:rPr>
      </w:pPr>
      <w:r>
        <w:rPr>
          <w:rFonts w:eastAsia="Times New Roman"/>
          <w:b/>
          <w:bCs/>
          <w:color w:val="000000"/>
          <w:sz w:val="18"/>
          <w:szCs w:val="18"/>
        </w:rPr>
        <w:t>Table 12: Commercial Banking Business Results</w:t>
      </w:r>
    </w:p>
    <w:tbl>
      <w:tblPr>
        <w:tblW w:w="5000" w:type="pct"/>
        <w:tblCellMar>
          <w:top w:w="15" w:type="dxa"/>
          <w:left w:w="15" w:type="dxa"/>
          <w:bottom w:w="15" w:type="dxa"/>
          <w:right w:w="15" w:type="dxa"/>
        </w:tblCellMar>
        <w:tblLook w:val="04A0" w:firstRow="1" w:lastRow="0" w:firstColumn="1" w:lastColumn="0" w:noHBand="0" w:noVBand="1"/>
      </w:tblPr>
      <w:tblGrid>
        <w:gridCol w:w="40"/>
        <w:gridCol w:w="2291"/>
        <w:gridCol w:w="39"/>
        <w:gridCol w:w="36"/>
        <w:gridCol w:w="36"/>
        <w:gridCol w:w="36"/>
        <w:gridCol w:w="110"/>
        <w:gridCol w:w="540"/>
        <w:gridCol w:w="200"/>
        <w:gridCol w:w="36"/>
        <w:gridCol w:w="36"/>
        <w:gridCol w:w="36"/>
        <w:gridCol w:w="110"/>
        <w:gridCol w:w="540"/>
        <w:gridCol w:w="170"/>
        <w:gridCol w:w="36"/>
        <w:gridCol w:w="36"/>
        <w:gridCol w:w="36"/>
        <w:gridCol w:w="61"/>
        <w:gridCol w:w="498"/>
        <w:gridCol w:w="271"/>
        <w:gridCol w:w="36"/>
        <w:gridCol w:w="36"/>
        <w:gridCol w:w="36"/>
        <w:gridCol w:w="110"/>
        <w:gridCol w:w="540"/>
        <w:gridCol w:w="200"/>
        <w:gridCol w:w="36"/>
        <w:gridCol w:w="36"/>
        <w:gridCol w:w="36"/>
        <w:gridCol w:w="110"/>
        <w:gridCol w:w="540"/>
        <w:gridCol w:w="170"/>
        <w:gridCol w:w="36"/>
        <w:gridCol w:w="36"/>
        <w:gridCol w:w="36"/>
        <w:gridCol w:w="36"/>
        <w:gridCol w:w="36"/>
        <w:gridCol w:w="61"/>
        <w:gridCol w:w="498"/>
        <w:gridCol w:w="271"/>
        <w:gridCol w:w="36"/>
        <w:gridCol w:w="36"/>
        <w:gridCol w:w="36"/>
        <w:gridCol w:w="36"/>
        <w:gridCol w:w="36"/>
        <w:gridCol w:w="36"/>
      </w:tblGrid>
      <w:tr w:rsidR="00000000" w14:paraId="29C1F515" w14:textId="77777777">
        <w:trPr>
          <w:divId w:val="520245585"/>
        </w:trPr>
        <w:tc>
          <w:tcPr>
            <w:tcW w:w="50" w:type="pct"/>
            <w:vAlign w:val="center"/>
            <w:hideMark/>
          </w:tcPr>
          <w:p w14:paraId="42B0F17C" w14:textId="77777777" w:rsidR="00000000" w:rsidRDefault="00405D16">
            <w:pPr>
              <w:rPr>
                <w:rFonts w:eastAsia="Times New Roman"/>
              </w:rPr>
            </w:pPr>
          </w:p>
        </w:tc>
        <w:tc>
          <w:tcPr>
            <w:tcW w:w="1918" w:type="pct"/>
            <w:vAlign w:val="center"/>
            <w:hideMark/>
          </w:tcPr>
          <w:p w14:paraId="192D0C86" w14:textId="77777777" w:rsidR="00000000" w:rsidRDefault="00405D16">
            <w:pPr>
              <w:spacing w:after="100"/>
              <w:rPr>
                <w:rFonts w:eastAsia="Times New Roman"/>
                <w:sz w:val="20"/>
                <w:szCs w:val="20"/>
              </w:rPr>
            </w:pPr>
          </w:p>
        </w:tc>
        <w:tc>
          <w:tcPr>
            <w:tcW w:w="5" w:type="pct"/>
            <w:vAlign w:val="center"/>
            <w:hideMark/>
          </w:tcPr>
          <w:p w14:paraId="7046286C" w14:textId="77777777" w:rsidR="00000000" w:rsidRDefault="00405D16">
            <w:pPr>
              <w:spacing w:after="100"/>
              <w:rPr>
                <w:rFonts w:eastAsia="Times New Roman"/>
                <w:sz w:val="20"/>
                <w:szCs w:val="20"/>
              </w:rPr>
            </w:pPr>
          </w:p>
        </w:tc>
        <w:tc>
          <w:tcPr>
            <w:tcW w:w="5" w:type="pct"/>
            <w:vAlign w:val="center"/>
            <w:hideMark/>
          </w:tcPr>
          <w:p w14:paraId="4E89BCD5" w14:textId="77777777" w:rsidR="00000000" w:rsidRDefault="00405D16">
            <w:pPr>
              <w:spacing w:after="100"/>
              <w:rPr>
                <w:rFonts w:eastAsia="Times New Roman"/>
                <w:sz w:val="20"/>
                <w:szCs w:val="20"/>
              </w:rPr>
            </w:pPr>
          </w:p>
        </w:tc>
        <w:tc>
          <w:tcPr>
            <w:tcW w:w="26" w:type="pct"/>
            <w:vAlign w:val="center"/>
            <w:hideMark/>
          </w:tcPr>
          <w:p w14:paraId="151E0C20" w14:textId="77777777" w:rsidR="00000000" w:rsidRDefault="00405D16">
            <w:pPr>
              <w:spacing w:after="100"/>
              <w:rPr>
                <w:rFonts w:eastAsia="Times New Roman"/>
                <w:sz w:val="20"/>
                <w:szCs w:val="20"/>
              </w:rPr>
            </w:pPr>
          </w:p>
        </w:tc>
        <w:tc>
          <w:tcPr>
            <w:tcW w:w="5" w:type="pct"/>
            <w:vAlign w:val="center"/>
            <w:hideMark/>
          </w:tcPr>
          <w:p w14:paraId="3CC3EBCF" w14:textId="77777777" w:rsidR="00000000" w:rsidRDefault="00405D16">
            <w:pPr>
              <w:spacing w:after="100"/>
              <w:rPr>
                <w:rFonts w:eastAsia="Times New Roman"/>
                <w:sz w:val="20"/>
                <w:szCs w:val="20"/>
              </w:rPr>
            </w:pPr>
          </w:p>
        </w:tc>
        <w:tc>
          <w:tcPr>
            <w:tcW w:w="50" w:type="pct"/>
            <w:vAlign w:val="center"/>
            <w:hideMark/>
          </w:tcPr>
          <w:p w14:paraId="433A4947" w14:textId="77777777" w:rsidR="00000000" w:rsidRDefault="00405D16">
            <w:pPr>
              <w:spacing w:after="100"/>
              <w:rPr>
                <w:rFonts w:eastAsia="Times New Roman"/>
                <w:sz w:val="20"/>
                <w:szCs w:val="20"/>
              </w:rPr>
            </w:pPr>
          </w:p>
        </w:tc>
        <w:tc>
          <w:tcPr>
            <w:tcW w:w="412" w:type="pct"/>
            <w:vAlign w:val="center"/>
            <w:hideMark/>
          </w:tcPr>
          <w:p w14:paraId="2E1A03E8" w14:textId="77777777" w:rsidR="00000000" w:rsidRDefault="00405D16">
            <w:pPr>
              <w:spacing w:after="100"/>
              <w:rPr>
                <w:rFonts w:eastAsia="Times New Roman"/>
                <w:sz w:val="20"/>
                <w:szCs w:val="20"/>
              </w:rPr>
            </w:pPr>
          </w:p>
        </w:tc>
        <w:tc>
          <w:tcPr>
            <w:tcW w:w="5" w:type="pct"/>
            <w:vAlign w:val="center"/>
            <w:hideMark/>
          </w:tcPr>
          <w:p w14:paraId="3714B053" w14:textId="77777777" w:rsidR="00000000" w:rsidRDefault="00405D16">
            <w:pPr>
              <w:spacing w:after="100"/>
              <w:rPr>
                <w:rFonts w:eastAsia="Times New Roman"/>
                <w:sz w:val="20"/>
                <w:szCs w:val="20"/>
              </w:rPr>
            </w:pPr>
          </w:p>
        </w:tc>
        <w:tc>
          <w:tcPr>
            <w:tcW w:w="5" w:type="pct"/>
            <w:vAlign w:val="center"/>
            <w:hideMark/>
          </w:tcPr>
          <w:p w14:paraId="2FBD4036" w14:textId="77777777" w:rsidR="00000000" w:rsidRDefault="00405D16">
            <w:pPr>
              <w:spacing w:after="100"/>
              <w:rPr>
                <w:rFonts w:eastAsia="Times New Roman"/>
                <w:sz w:val="20"/>
                <w:szCs w:val="20"/>
              </w:rPr>
            </w:pPr>
          </w:p>
        </w:tc>
        <w:tc>
          <w:tcPr>
            <w:tcW w:w="26" w:type="pct"/>
            <w:vAlign w:val="center"/>
            <w:hideMark/>
          </w:tcPr>
          <w:p w14:paraId="0A552C37" w14:textId="77777777" w:rsidR="00000000" w:rsidRDefault="00405D16">
            <w:pPr>
              <w:spacing w:after="100"/>
              <w:rPr>
                <w:rFonts w:eastAsia="Times New Roman"/>
                <w:sz w:val="20"/>
                <w:szCs w:val="20"/>
              </w:rPr>
            </w:pPr>
          </w:p>
        </w:tc>
        <w:tc>
          <w:tcPr>
            <w:tcW w:w="5" w:type="pct"/>
            <w:vAlign w:val="center"/>
            <w:hideMark/>
          </w:tcPr>
          <w:p w14:paraId="008DF03C" w14:textId="77777777" w:rsidR="00000000" w:rsidRDefault="00405D16">
            <w:pPr>
              <w:spacing w:after="100"/>
              <w:rPr>
                <w:rFonts w:eastAsia="Times New Roman"/>
                <w:sz w:val="20"/>
                <w:szCs w:val="20"/>
              </w:rPr>
            </w:pPr>
          </w:p>
        </w:tc>
        <w:tc>
          <w:tcPr>
            <w:tcW w:w="50" w:type="pct"/>
            <w:vAlign w:val="center"/>
            <w:hideMark/>
          </w:tcPr>
          <w:p w14:paraId="6045CE64" w14:textId="77777777" w:rsidR="00000000" w:rsidRDefault="00405D16">
            <w:pPr>
              <w:spacing w:after="100"/>
              <w:rPr>
                <w:rFonts w:eastAsia="Times New Roman"/>
                <w:sz w:val="20"/>
                <w:szCs w:val="20"/>
              </w:rPr>
            </w:pPr>
          </w:p>
        </w:tc>
        <w:tc>
          <w:tcPr>
            <w:tcW w:w="412" w:type="pct"/>
            <w:vAlign w:val="center"/>
            <w:hideMark/>
          </w:tcPr>
          <w:p w14:paraId="710BACB1" w14:textId="77777777" w:rsidR="00000000" w:rsidRDefault="00405D16">
            <w:pPr>
              <w:spacing w:after="100"/>
              <w:rPr>
                <w:rFonts w:eastAsia="Times New Roman"/>
                <w:sz w:val="20"/>
                <w:szCs w:val="20"/>
              </w:rPr>
            </w:pPr>
          </w:p>
        </w:tc>
        <w:tc>
          <w:tcPr>
            <w:tcW w:w="5" w:type="pct"/>
            <w:vAlign w:val="center"/>
            <w:hideMark/>
          </w:tcPr>
          <w:p w14:paraId="67ECE9D9" w14:textId="77777777" w:rsidR="00000000" w:rsidRDefault="00405D16">
            <w:pPr>
              <w:spacing w:after="100"/>
              <w:rPr>
                <w:rFonts w:eastAsia="Times New Roman"/>
                <w:sz w:val="20"/>
                <w:szCs w:val="20"/>
              </w:rPr>
            </w:pPr>
          </w:p>
        </w:tc>
        <w:tc>
          <w:tcPr>
            <w:tcW w:w="5" w:type="pct"/>
            <w:vAlign w:val="center"/>
            <w:hideMark/>
          </w:tcPr>
          <w:p w14:paraId="06D42B3D" w14:textId="77777777" w:rsidR="00000000" w:rsidRDefault="00405D16">
            <w:pPr>
              <w:spacing w:after="100"/>
              <w:rPr>
                <w:rFonts w:eastAsia="Times New Roman"/>
                <w:sz w:val="20"/>
                <w:szCs w:val="20"/>
              </w:rPr>
            </w:pPr>
          </w:p>
        </w:tc>
        <w:tc>
          <w:tcPr>
            <w:tcW w:w="26" w:type="pct"/>
            <w:vAlign w:val="center"/>
            <w:hideMark/>
          </w:tcPr>
          <w:p w14:paraId="148B6AE0" w14:textId="77777777" w:rsidR="00000000" w:rsidRDefault="00405D16">
            <w:pPr>
              <w:spacing w:after="100"/>
              <w:rPr>
                <w:rFonts w:eastAsia="Times New Roman"/>
                <w:sz w:val="20"/>
                <w:szCs w:val="20"/>
              </w:rPr>
            </w:pPr>
          </w:p>
        </w:tc>
        <w:tc>
          <w:tcPr>
            <w:tcW w:w="5" w:type="pct"/>
            <w:vAlign w:val="center"/>
            <w:hideMark/>
          </w:tcPr>
          <w:p w14:paraId="438FD131" w14:textId="77777777" w:rsidR="00000000" w:rsidRDefault="00405D16">
            <w:pPr>
              <w:spacing w:after="100"/>
              <w:rPr>
                <w:rFonts w:eastAsia="Times New Roman"/>
                <w:sz w:val="20"/>
                <w:szCs w:val="20"/>
              </w:rPr>
            </w:pPr>
          </w:p>
        </w:tc>
        <w:tc>
          <w:tcPr>
            <w:tcW w:w="50" w:type="pct"/>
            <w:vAlign w:val="center"/>
            <w:hideMark/>
          </w:tcPr>
          <w:p w14:paraId="7F591904" w14:textId="77777777" w:rsidR="00000000" w:rsidRDefault="00405D16">
            <w:pPr>
              <w:spacing w:after="100"/>
              <w:rPr>
                <w:rFonts w:eastAsia="Times New Roman"/>
                <w:sz w:val="20"/>
                <w:szCs w:val="20"/>
              </w:rPr>
            </w:pPr>
          </w:p>
        </w:tc>
        <w:tc>
          <w:tcPr>
            <w:tcW w:w="412" w:type="pct"/>
            <w:vAlign w:val="center"/>
            <w:hideMark/>
          </w:tcPr>
          <w:p w14:paraId="1821B4F4" w14:textId="77777777" w:rsidR="00000000" w:rsidRDefault="00405D16">
            <w:pPr>
              <w:spacing w:after="100"/>
              <w:rPr>
                <w:rFonts w:eastAsia="Times New Roman"/>
                <w:sz w:val="20"/>
                <w:szCs w:val="20"/>
              </w:rPr>
            </w:pPr>
          </w:p>
        </w:tc>
        <w:tc>
          <w:tcPr>
            <w:tcW w:w="5" w:type="pct"/>
            <w:vAlign w:val="center"/>
            <w:hideMark/>
          </w:tcPr>
          <w:p w14:paraId="6027A9EA" w14:textId="77777777" w:rsidR="00000000" w:rsidRDefault="00405D16">
            <w:pPr>
              <w:spacing w:after="100"/>
              <w:rPr>
                <w:rFonts w:eastAsia="Times New Roman"/>
                <w:sz w:val="20"/>
                <w:szCs w:val="20"/>
              </w:rPr>
            </w:pPr>
          </w:p>
        </w:tc>
        <w:tc>
          <w:tcPr>
            <w:tcW w:w="5" w:type="pct"/>
            <w:vAlign w:val="center"/>
            <w:hideMark/>
          </w:tcPr>
          <w:p w14:paraId="6CAE5577" w14:textId="77777777" w:rsidR="00000000" w:rsidRDefault="00405D16">
            <w:pPr>
              <w:spacing w:after="100"/>
              <w:rPr>
                <w:rFonts w:eastAsia="Times New Roman"/>
                <w:sz w:val="20"/>
                <w:szCs w:val="20"/>
              </w:rPr>
            </w:pPr>
          </w:p>
        </w:tc>
        <w:tc>
          <w:tcPr>
            <w:tcW w:w="26" w:type="pct"/>
            <w:vAlign w:val="center"/>
            <w:hideMark/>
          </w:tcPr>
          <w:p w14:paraId="77119FCD" w14:textId="77777777" w:rsidR="00000000" w:rsidRDefault="00405D16">
            <w:pPr>
              <w:spacing w:after="100"/>
              <w:rPr>
                <w:rFonts w:eastAsia="Times New Roman"/>
                <w:sz w:val="20"/>
                <w:szCs w:val="20"/>
              </w:rPr>
            </w:pPr>
          </w:p>
        </w:tc>
        <w:tc>
          <w:tcPr>
            <w:tcW w:w="5" w:type="pct"/>
            <w:vAlign w:val="center"/>
            <w:hideMark/>
          </w:tcPr>
          <w:p w14:paraId="7A2C7920" w14:textId="77777777" w:rsidR="00000000" w:rsidRDefault="00405D16">
            <w:pPr>
              <w:spacing w:after="100"/>
              <w:rPr>
                <w:rFonts w:eastAsia="Times New Roman"/>
                <w:sz w:val="20"/>
                <w:szCs w:val="20"/>
              </w:rPr>
            </w:pPr>
          </w:p>
        </w:tc>
        <w:tc>
          <w:tcPr>
            <w:tcW w:w="50" w:type="pct"/>
            <w:vAlign w:val="center"/>
            <w:hideMark/>
          </w:tcPr>
          <w:p w14:paraId="172FB1FF" w14:textId="77777777" w:rsidR="00000000" w:rsidRDefault="00405D16">
            <w:pPr>
              <w:spacing w:after="100"/>
              <w:rPr>
                <w:rFonts w:eastAsia="Times New Roman"/>
                <w:sz w:val="20"/>
                <w:szCs w:val="20"/>
              </w:rPr>
            </w:pPr>
          </w:p>
        </w:tc>
        <w:tc>
          <w:tcPr>
            <w:tcW w:w="412" w:type="pct"/>
            <w:vAlign w:val="center"/>
            <w:hideMark/>
          </w:tcPr>
          <w:p w14:paraId="1BCC305F" w14:textId="77777777" w:rsidR="00000000" w:rsidRDefault="00405D16">
            <w:pPr>
              <w:spacing w:after="100"/>
              <w:rPr>
                <w:rFonts w:eastAsia="Times New Roman"/>
                <w:sz w:val="20"/>
                <w:szCs w:val="20"/>
              </w:rPr>
            </w:pPr>
          </w:p>
        </w:tc>
        <w:tc>
          <w:tcPr>
            <w:tcW w:w="5" w:type="pct"/>
            <w:vAlign w:val="center"/>
            <w:hideMark/>
          </w:tcPr>
          <w:p w14:paraId="036870DA" w14:textId="77777777" w:rsidR="00000000" w:rsidRDefault="00405D16">
            <w:pPr>
              <w:spacing w:after="100"/>
              <w:rPr>
                <w:rFonts w:eastAsia="Times New Roman"/>
                <w:sz w:val="20"/>
                <w:szCs w:val="20"/>
              </w:rPr>
            </w:pPr>
          </w:p>
        </w:tc>
        <w:tc>
          <w:tcPr>
            <w:tcW w:w="5" w:type="pct"/>
            <w:vAlign w:val="center"/>
            <w:hideMark/>
          </w:tcPr>
          <w:p w14:paraId="58BE017C" w14:textId="77777777" w:rsidR="00000000" w:rsidRDefault="00405D16">
            <w:pPr>
              <w:spacing w:after="100"/>
              <w:rPr>
                <w:rFonts w:eastAsia="Times New Roman"/>
                <w:sz w:val="20"/>
                <w:szCs w:val="20"/>
              </w:rPr>
            </w:pPr>
          </w:p>
        </w:tc>
        <w:tc>
          <w:tcPr>
            <w:tcW w:w="26" w:type="pct"/>
            <w:vAlign w:val="center"/>
            <w:hideMark/>
          </w:tcPr>
          <w:p w14:paraId="0C4BC4EC" w14:textId="77777777" w:rsidR="00000000" w:rsidRDefault="00405D16">
            <w:pPr>
              <w:spacing w:after="100"/>
              <w:rPr>
                <w:rFonts w:eastAsia="Times New Roman"/>
                <w:sz w:val="20"/>
                <w:szCs w:val="20"/>
              </w:rPr>
            </w:pPr>
          </w:p>
        </w:tc>
        <w:tc>
          <w:tcPr>
            <w:tcW w:w="5" w:type="pct"/>
            <w:vAlign w:val="center"/>
            <w:hideMark/>
          </w:tcPr>
          <w:p w14:paraId="51CE412A" w14:textId="77777777" w:rsidR="00000000" w:rsidRDefault="00405D16">
            <w:pPr>
              <w:spacing w:after="100"/>
              <w:rPr>
                <w:rFonts w:eastAsia="Times New Roman"/>
                <w:sz w:val="20"/>
                <w:szCs w:val="20"/>
              </w:rPr>
            </w:pPr>
          </w:p>
        </w:tc>
        <w:tc>
          <w:tcPr>
            <w:tcW w:w="50" w:type="pct"/>
            <w:vAlign w:val="center"/>
            <w:hideMark/>
          </w:tcPr>
          <w:p w14:paraId="70A6C145" w14:textId="77777777" w:rsidR="00000000" w:rsidRDefault="00405D16">
            <w:pPr>
              <w:spacing w:after="100"/>
              <w:rPr>
                <w:rFonts w:eastAsia="Times New Roman"/>
                <w:sz w:val="20"/>
                <w:szCs w:val="20"/>
              </w:rPr>
            </w:pPr>
          </w:p>
        </w:tc>
        <w:tc>
          <w:tcPr>
            <w:tcW w:w="412" w:type="pct"/>
            <w:vAlign w:val="center"/>
            <w:hideMark/>
          </w:tcPr>
          <w:p w14:paraId="48516C2D" w14:textId="77777777" w:rsidR="00000000" w:rsidRDefault="00405D16">
            <w:pPr>
              <w:spacing w:after="100"/>
              <w:rPr>
                <w:rFonts w:eastAsia="Times New Roman"/>
                <w:sz w:val="20"/>
                <w:szCs w:val="20"/>
              </w:rPr>
            </w:pPr>
          </w:p>
        </w:tc>
        <w:tc>
          <w:tcPr>
            <w:tcW w:w="5" w:type="pct"/>
            <w:vAlign w:val="center"/>
            <w:hideMark/>
          </w:tcPr>
          <w:p w14:paraId="76AFDAC7" w14:textId="77777777" w:rsidR="00000000" w:rsidRDefault="00405D16">
            <w:pPr>
              <w:spacing w:after="100"/>
              <w:rPr>
                <w:rFonts w:eastAsia="Times New Roman"/>
                <w:sz w:val="20"/>
                <w:szCs w:val="20"/>
              </w:rPr>
            </w:pPr>
          </w:p>
        </w:tc>
        <w:tc>
          <w:tcPr>
            <w:tcW w:w="0" w:type="auto"/>
            <w:vAlign w:val="center"/>
            <w:hideMark/>
          </w:tcPr>
          <w:p w14:paraId="5368FBBA" w14:textId="77777777" w:rsidR="00000000" w:rsidRDefault="00405D16">
            <w:pPr>
              <w:spacing w:after="100"/>
              <w:rPr>
                <w:rFonts w:eastAsia="Times New Roman"/>
                <w:sz w:val="20"/>
                <w:szCs w:val="20"/>
              </w:rPr>
            </w:pPr>
          </w:p>
        </w:tc>
        <w:tc>
          <w:tcPr>
            <w:tcW w:w="0" w:type="auto"/>
            <w:vAlign w:val="center"/>
            <w:hideMark/>
          </w:tcPr>
          <w:p w14:paraId="7D8DFD16" w14:textId="77777777" w:rsidR="00000000" w:rsidRDefault="00405D16">
            <w:pPr>
              <w:spacing w:after="100"/>
              <w:rPr>
                <w:rFonts w:eastAsia="Times New Roman"/>
                <w:sz w:val="20"/>
                <w:szCs w:val="20"/>
              </w:rPr>
            </w:pPr>
          </w:p>
        </w:tc>
        <w:tc>
          <w:tcPr>
            <w:tcW w:w="5" w:type="pct"/>
            <w:vAlign w:val="center"/>
            <w:hideMark/>
          </w:tcPr>
          <w:p w14:paraId="4B33321F" w14:textId="77777777" w:rsidR="00000000" w:rsidRDefault="00405D16">
            <w:pPr>
              <w:spacing w:after="100"/>
              <w:rPr>
                <w:rFonts w:eastAsia="Times New Roman"/>
                <w:sz w:val="20"/>
                <w:szCs w:val="20"/>
              </w:rPr>
            </w:pPr>
          </w:p>
        </w:tc>
        <w:tc>
          <w:tcPr>
            <w:tcW w:w="26" w:type="pct"/>
            <w:vAlign w:val="center"/>
            <w:hideMark/>
          </w:tcPr>
          <w:p w14:paraId="0616B64B" w14:textId="77777777" w:rsidR="00000000" w:rsidRDefault="00405D16">
            <w:pPr>
              <w:spacing w:after="100"/>
              <w:rPr>
                <w:rFonts w:eastAsia="Times New Roman"/>
                <w:sz w:val="20"/>
                <w:szCs w:val="20"/>
              </w:rPr>
            </w:pPr>
          </w:p>
        </w:tc>
        <w:tc>
          <w:tcPr>
            <w:tcW w:w="5" w:type="pct"/>
            <w:vAlign w:val="center"/>
            <w:hideMark/>
          </w:tcPr>
          <w:p w14:paraId="305C055B" w14:textId="77777777" w:rsidR="00000000" w:rsidRDefault="00405D16">
            <w:pPr>
              <w:spacing w:after="100"/>
              <w:rPr>
                <w:rFonts w:eastAsia="Times New Roman"/>
                <w:sz w:val="20"/>
                <w:szCs w:val="20"/>
              </w:rPr>
            </w:pPr>
          </w:p>
        </w:tc>
        <w:tc>
          <w:tcPr>
            <w:tcW w:w="50" w:type="pct"/>
            <w:vAlign w:val="center"/>
            <w:hideMark/>
          </w:tcPr>
          <w:p w14:paraId="5546510B" w14:textId="77777777" w:rsidR="00000000" w:rsidRDefault="00405D16">
            <w:pPr>
              <w:spacing w:after="100"/>
              <w:rPr>
                <w:rFonts w:eastAsia="Times New Roman"/>
                <w:sz w:val="20"/>
                <w:szCs w:val="20"/>
              </w:rPr>
            </w:pPr>
          </w:p>
        </w:tc>
        <w:tc>
          <w:tcPr>
            <w:tcW w:w="413" w:type="pct"/>
            <w:vAlign w:val="center"/>
            <w:hideMark/>
          </w:tcPr>
          <w:p w14:paraId="059FFCCC" w14:textId="77777777" w:rsidR="00000000" w:rsidRDefault="00405D16">
            <w:pPr>
              <w:spacing w:after="100"/>
              <w:rPr>
                <w:rFonts w:eastAsia="Times New Roman"/>
                <w:sz w:val="20"/>
                <w:szCs w:val="20"/>
              </w:rPr>
            </w:pPr>
          </w:p>
        </w:tc>
        <w:tc>
          <w:tcPr>
            <w:tcW w:w="5" w:type="pct"/>
            <w:vAlign w:val="center"/>
            <w:hideMark/>
          </w:tcPr>
          <w:p w14:paraId="65B1E3DE" w14:textId="77777777" w:rsidR="00000000" w:rsidRDefault="00405D16">
            <w:pPr>
              <w:spacing w:after="100"/>
              <w:rPr>
                <w:rFonts w:eastAsia="Times New Roman"/>
                <w:sz w:val="20"/>
                <w:szCs w:val="20"/>
              </w:rPr>
            </w:pPr>
          </w:p>
        </w:tc>
        <w:tc>
          <w:tcPr>
            <w:tcW w:w="0" w:type="auto"/>
            <w:gridSpan w:val="3"/>
            <w:vAlign w:val="center"/>
            <w:hideMark/>
          </w:tcPr>
          <w:p w14:paraId="747F999B" w14:textId="77777777" w:rsidR="00000000" w:rsidRDefault="00405D16">
            <w:pPr>
              <w:spacing w:after="100"/>
              <w:rPr>
                <w:rFonts w:eastAsia="Times New Roman"/>
                <w:sz w:val="20"/>
                <w:szCs w:val="20"/>
              </w:rPr>
            </w:pPr>
          </w:p>
        </w:tc>
        <w:tc>
          <w:tcPr>
            <w:tcW w:w="0" w:type="auto"/>
            <w:gridSpan w:val="3"/>
            <w:vAlign w:val="center"/>
            <w:hideMark/>
          </w:tcPr>
          <w:p w14:paraId="5E34C6F8" w14:textId="77777777" w:rsidR="00000000" w:rsidRDefault="00405D16">
            <w:pPr>
              <w:spacing w:after="100"/>
              <w:rPr>
                <w:rFonts w:eastAsia="Times New Roman"/>
                <w:sz w:val="20"/>
                <w:szCs w:val="20"/>
              </w:rPr>
            </w:pPr>
          </w:p>
        </w:tc>
      </w:tr>
      <w:tr w:rsidR="00000000" w14:paraId="472D3A4B" w14:textId="77777777">
        <w:trPr>
          <w:divId w:val="520245585"/>
        </w:trPr>
        <w:tc>
          <w:tcPr>
            <w:tcW w:w="0" w:type="auto"/>
            <w:gridSpan w:val="3"/>
            <w:tcMar>
              <w:top w:w="30" w:type="dxa"/>
              <w:left w:w="20" w:type="dxa"/>
              <w:bottom w:w="30" w:type="dxa"/>
              <w:right w:w="20" w:type="dxa"/>
            </w:tcMar>
            <w:vAlign w:val="bottom"/>
            <w:hideMark/>
          </w:tcPr>
          <w:p w14:paraId="10E3EA11" w14:textId="77777777" w:rsidR="00000000" w:rsidRDefault="00405D16">
            <w:pPr>
              <w:spacing w:after="100"/>
              <w:rPr>
                <w:rFonts w:eastAsia="Times New Roman"/>
              </w:rPr>
            </w:pPr>
            <w:r>
              <w:rPr>
                <w:rFonts w:eastAsia="Times New Roman"/>
                <w:color w:val="000000"/>
                <w:sz w:val="14"/>
                <w:szCs w:val="14"/>
              </w:rPr>
              <w:t> </w:t>
            </w:r>
          </w:p>
        </w:tc>
        <w:tc>
          <w:tcPr>
            <w:tcW w:w="0" w:type="auto"/>
            <w:gridSpan w:val="3"/>
            <w:tcMar>
              <w:top w:w="0" w:type="dxa"/>
              <w:left w:w="20" w:type="dxa"/>
              <w:bottom w:w="0" w:type="dxa"/>
              <w:right w:w="20" w:type="dxa"/>
            </w:tcMar>
            <w:vAlign w:val="center"/>
            <w:hideMark/>
          </w:tcPr>
          <w:p w14:paraId="129753F0" w14:textId="77777777" w:rsidR="00000000" w:rsidRDefault="00405D16">
            <w:pPr>
              <w:spacing w:after="100"/>
              <w:rPr>
                <w:rFonts w:eastAsia="Times New Roman"/>
              </w:rPr>
            </w:pPr>
          </w:p>
        </w:tc>
        <w:tc>
          <w:tcPr>
            <w:tcW w:w="0" w:type="auto"/>
            <w:gridSpan w:val="15"/>
            <w:tcMar>
              <w:top w:w="30" w:type="dxa"/>
              <w:left w:w="20" w:type="dxa"/>
              <w:bottom w:w="30" w:type="dxa"/>
              <w:right w:w="20" w:type="dxa"/>
            </w:tcMar>
            <w:vAlign w:val="bottom"/>
            <w:hideMark/>
          </w:tcPr>
          <w:p w14:paraId="527BD5C9" w14:textId="77777777" w:rsidR="00000000" w:rsidRDefault="00405D16">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73C55150" w14:textId="77777777" w:rsidR="00000000" w:rsidRDefault="00405D16">
            <w:pPr>
              <w:spacing w:after="100"/>
              <w:jc w:val="center"/>
              <w:rPr>
                <w:rFonts w:eastAsia="Times New Roman"/>
              </w:rPr>
            </w:pPr>
          </w:p>
        </w:tc>
        <w:tc>
          <w:tcPr>
            <w:tcW w:w="0" w:type="auto"/>
            <w:gridSpan w:val="11"/>
            <w:tcMar>
              <w:top w:w="30" w:type="dxa"/>
              <w:left w:w="20" w:type="dxa"/>
              <w:bottom w:w="30" w:type="dxa"/>
              <w:right w:w="20" w:type="dxa"/>
            </w:tcMar>
            <w:vAlign w:val="bottom"/>
            <w:hideMark/>
          </w:tcPr>
          <w:p w14:paraId="73CD6D56" w14:textId="77777777" w:rsidR="00000000" w:rsidRDefault="00405D16">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2AE85F13" w14:textId="77777777" w:rsidR="00000000" w:rsidRDefault="00405D16">
            <w:pPr>
              <w:spacing w:after="100"/>
              <w:rPr>
                <w:rFonts w:eastAsia="Times New Roman"/>
                <w:sz w:val="20"/>
                <w:szCs w:val="20"/>
              </w:rPr>
            </w:pPr>
          </w:p>
        </w:tc>
        <w:tc>
          <w:tcPr>
            <w:tcW w:w="0" w:type="auto"/>
            <w:vAlign w:val="center"/>
            <w:hideMark/>
          </w:tcPr>
          <w:p w14:paraId="2F9425DC" w14:textId="77777777" w:rsidR="00000000" w:rsidRDefault="00405D16">
            <w:pPr>
              <w:spacing w:after="100"/>
              <w:rPr>
                <w:rFonts w:eastAsia="Times New Roman"/>
                <w:sz w:val="20"/>
                <w:szCs w:val="20"/>
              </w:rPr>
            </w:pPr>
          </w:p>
        </w:tc>
        <w:tc>
          <w:tcPr>
            <w:tcW w:w="0" w:type="auto"/>
            <w:vAlign w:val="center"/>
            <w:hideMark/>
          </w:tcPr>
          <w:p w14:paraId="617D271C" w14:textId="77777777" w:rsidR="00000000" w:rsidRDefault="00405D16">
            <w:pPr>
              <w:spacing w:after="100"/>
              <w:rPr>
                <w:rFonts w:eastAsia="Times New Roman"/>
                <w:sz w:val="20"/>
                <w:szCs w:val="20"/>
              </w:rPr>
            </w:pPr>
          </w:p>
        </w:tc>
        <w:tc>
          <w:tcPr>
            <w:tcW w:w="0" w:type="auto"/>
            <w:vAlign w:val="center"/>
            <w:hideMark/>
          </w:tcPr>
          <w:p w14:paraId="1952543C" w14:textId="77777777" w:rsidR="00000000" w:rsidRDefault="00405D16">
            <w:pPr>
              <w:spacing w:after="100"/>
              <w:rPr>
                <w:rFonts w:eastAsia="Times New Roman"/>
                <w:sz w:val="20"/>
                <w:szCs w:val="20"/>
              </w:rPr>
            </w:pPr>
          </w:p>
        </w:tc>
        <w:tc>
          <w:tcPr>
            <w:tcW w:w="0" w:type="auto"/>
            <w:vAlign w:val="center"/>
            <w:hideMark/>
          </w:tcPr>
          <w:p w14:paraId="06764D54" w14:textId="77777777" w:rsidR="00000000" w:rsidRDefault="00405D16">
            <w:pPr>
              <w:spacing w:after="100"/>
              <w:rPr>
                <w:rFonts w:eastAsia="Times New Roman"/>
                <w:sz w:val="20"/>
                <w:szCs w:val="20"/>
              </w:rPr>
            </w:pPr>
          </w:p>
        </w:tc>
        <w:tc>
          <w:tcPr>
            <w:tcW w:w="0" w:type="auto"/>
            <w:vAlign w:val="center"/>
            <w:hideMark/>
          </w:tcPr>
          <w:p w14:paraId="03814698" w14:textId="77777777" w:rsidR="00000000" w:rsidRDefault="00405D16">
            <w:pPr>
              <w:spacing w:after="100"/>
              <w:rPr>
                <w:rFonts w:eastAsia="Times New Roman"/>
                <w:sz w:val="20"/>
                <w:szCs w:val="20"/>
              </w:rPr>
            </w:pPr>
          </w:p>
        </w:tc>
        <w:tc>
          <w:tcPr>
            <w:tcW w:w="0" w:type="auto"/>
            <w:vAlign w:val="center"/>
            <w:hideMark/>
          </w:tcPr>
          <w:p w14:paraId="117DD5BE" w14:textId="77777777" w:rsidR="00000000" w:rsidRDefault="00405D16">
            <w:pPr>
              <w:spacing w:after="100"/>
              <w:rPr>
                <w:rFonts w:eastAsia="Times New Roman"/>
                <w:sz w:val="20"/>
                <w:szCs w:val="20"/>
              </w:rPr>
            </w:pPr>
          </w:p>
        </w:tc>
        <w:tc>
          <w:tcPr>
            <w:tcW w:w="0" w:type="auto"/>
            <w:vAlign w:val="center"/>
            <w:hideMark/>
          </w:tcPr>
          <w:p w14:paraId="237D870F" w14:textId="77777777" w:rsidR="00000000" w:rsidRDefault="00405D16">
            <w:pPr>
              <w:spacing w:after="100"/>
              <w:rPr>
                <w:rFonts w:eastAsia="Times New Roman"/>
                <w:sz w:val="20"/>
                <w:szCs w:val="20"/>
              </w:rPr>
            </w:pPr>
          </w:p>
        </w:tc>
        <w:tc>
          <w:tcPr>
            <w:tcW w:w="0" w:type="auto"/>
            <w:vAlign w:val="center"/>
            <w:hideMark/>
          </w:tcPr>
          <w:p w14:paraId="21B3044C" w14:textId="77777777" w:rsidR="00000000" w:rsidRDefault="00405D16">
            <w:pPr>
              <w:spacing w:after="100"/>
              <w:rPr>
                <w:rFonts w:eastAsia="Times New Roman"/>
                <w:sz w:val="20"/>
                <w:szCs w:val="20"/>
              </w:rPr>
            </w:pPr>
          </w:p>
        </w:tc>
        <w:tc>
          <w:tcPr>
            <w:tcW w:w="0" w:type="auto"/>
            <w:vAlign w:val="center"/>
            <w:hideMark/>
          </w:tcPr>
          <w:p w14:paraId="6BB893C6" w14:textId="77777777" w:rsidR="00000000" w:rsidRDefault="00405D16">
            <w:pPr>
              <w:spacing w:after="100"/>
              <w:rPr>
                <w:rFonts w:eastAsia="Times New Roman"/>
                <w:sz w:val="20"/>
                <w:szCs w:val="20"/>
              </w:rPr>
            </w:pPr>
          </w:p>
        </w:tc>
        <w:tc>
          <w:tcPr>
            <w:tcW w:w="0" w:type="auto"/>
            <w:vAlign w:val="center"/>
            <w:hideMark/>
          </w:tcPr>
          <w:p w14:paraId="230A0DAA" w14:textId="77777777" w:rsidR="00000000" w:rsidRDefault="00405D16">
            <w:pPr>
              <w:spacing w:after="100"/>
              <w:rPr>
                <w:rFonts w:eastAsia="Times New Roman"/>
                <w:sz w:val="20"/>
                <w:szCs w:val="20"/>
              </w:rPr>
            </w:pPr>
          </w:p>
        </w:tc>
        <w:tc>
          <w:tcPr>
            <w:tcW w:w="0" w:type="auto"/>
            <w:vAlign w:val="center"/>
            <w:hideMark/>
          </w:tcPr>
          <w:p w14:paraId="53BAFA9D" w14:textId="77777777" w:rsidR="00000000" w:rsidRDefault="00405D16">
            <w:pPr>
              <w:spacing w:after="100"/>
              <w:rPr>
                <w:rFonts w:eastAsia="Times New Roman"/>
                <w:sz w:val="20"/>
                <w:szCs w:val="20"/>
              </w:rPr>
            </w:pPr>
          </w:p>
        </w:tc>
      </w:tr>
      <w:tr w:rsidR="00000000" w14:paraId="31AB999D" w14:textId="77777777">
        <w:trPr>
          <w:divId w:val="520245585"/>
        </w:trPr>
        <w:tc>
          <w:tcPr>
            <w:tcW w:w="0" w:type="auto"/>
            <w:gridSpan w:val="3"/>
            <w:tcMar>
              <w:top w:w="30" w:type="dxa"/>
              <w:left w:w="20" w:type="dxa"/>
              <w:bottom w:w="30" w:type="dxa"/>
              <w:right w:w="20" w:type="dxa"/>
            </w:tcMar>
            <w:vAlign w:val="bottom"/>
            <w:hideMark/>
          </w:tcPr>
          <w:p w14:paraId="2D22203F" w14:textId="77777777" w:rsidR="00000000" w:rsidRDefault="00405D16">
            <w:pPr>
              <w:spacing w:after="100"/>
              <w:rPr>
                <w:rFonts w:eastAsia="Times New Roman"/>
              </w:rPr>
            </w:pPr>
            <w:r>
              <w:rPr>
                <w:rFonts w:eastAsia="Times New Roman"/>
                <w:i/>
                <w:iCs/>
                <w:color w:val="000000"/>
                <w:sz w:val="16"/>
                <w:szCs w:val="16"/>
              </w:rPr>
              <w:t>(Dollars in millions, except as noted)</w:t>
            </w:r>
          </w:p>
        </w:tc>
        <w:tc>
          <w:tcPr>
            <w:tcW w:w="0" w:type="auto"/>
            <w:gridSpan w:val="3"/>
            <w:tcMar>
              <w:top w:w="0" w:type="dxa"/>
              <w:left w:w="20" w:type="dxa"/>
              <w:bottom w:w="0" w:type="dxa"/>
              <w:right w:w="20" w:type="dxa"/>
            </w:tcMar>
            <w:vAlign w:val="center"/>
            <w:hideMark/>
          </w:tcPr>
          <w:p w14:paraId="113BD1ED"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EF13E0D"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47E6411A"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75C6E1D"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5FF94F69"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A68592A" w14:textId="77777777" w:rsidR="00000000" w:rsidRDefault="00405D16">
            <w:pPr>
              <w:spacing w:after="100"/>
              <w:jc w:val="center"/>
              <w:rPr>
                <w:rFonts w:eastAsia="Times New Roman"/>
              </w:rPr>
            </w:pPr>
            <w:r>
              <w:rPr>
                <w:rFonts w:eastAsia="Times New Roman"/>
                <w:b/>
                <w:bCs/>
                <w:color w:val="000000"/>
                <w:sz w:val="16"/>
                <w:szCs w:val="16"/>
              </w:rPr>
              <w:t>Change</w:t>
            </w:r>
          </w:p>
        </w:tc>
        <w:tc>
          <w:tcPr>
            <w:tcW w:w="0" w:type="auto"/>
            <w:gridSpan w:val="3"/>
            <w:tcMar>
              <w:top w:w="0" w:type="dxa"/>
              <w:left w:w="20" w:type="dxa"/>
              <w:bottom w:w="0" w:type="dxa"/>
              <w:right w:w="20" w:type="dxa"/>
            </w:tcMar>
            <w:vAlign w:val="center"/>
            <w:hideMark/>
          </w:tcPr>
          <w:p w14:paraId="1031A14A"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B053F44"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7358F40F"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697D3EB"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vAlign w:val="center"/>
            <w:hideMark/>
          </w:tcPr>
          <w:p w14:paraId="79A9AA92" w14:textId="77777777" w:rsidR="00000000" w:rsidRDefault="00405D16">
            <w:pPr>
              <w:spacing w:after="100"/>
              <w:jc w:val="center"/>
              <w:rPr>
                <w:rFonts w:eastAsia="Times New Roman"/>
              </w:rPr>
            </w:pPr>
          </w:p>
        </w:tc>
        <w:tc>
          <w:tcPr>
            <w:tcW w:w="0" w:type="auto"/>
            <w:vAlign w:val="center"/>
            <w:hideMark/>
          </w:tcPr>
          <w:p w14:paraId="7D0198D3"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150C52C"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2A8FFD3" w14:textId="77777777" w:rsidR="00000000" w:rsidRDefault="00405D16">
            <w:pPr>
              <w:spacing w:after="100"/>
              <w:jc w:val="center"/>
              <w:rPr>
                <w:rFonts w:eastAsia="Times New Roman"/>
              </w:rPr>
            </w:pPr>
            <w:r>
              <w:rPr>
                <w:rFonts w:eastAsia="Times New Roman"/>
                <w:b/>
                <w:bCs/>
                <w:color w:val="000000"/>
                <w:sz w:val="16"/>
                <w:szCs w:val="16"/>
              </w:rPr>
              <w:t>Change</w:t>
            </w:r>
          </w:p>
        </w:tc>
        <w:tc>
          <w:tcPr>
            <w:tcW w:w="0" w:type="auto"/>
            <w:gridSpan w:val="3"/>
            <w:vAlign w:val="center"/>
            <w:hideMark/>
          </w:tcPr>
          <w:p w14:paraId="386B2F7F" w14:textId="77777777" w:rsidR="00000000" w:rsidRDefault="00405D16">
            <w:pPr>
              <w:spacing w:after="100"/>
              <w:jc w:val="center"/>
              <w:rPr>
                <w:rFonts w:eastAsia="Times New Roman"/>
              </w:rPr>
            </w:pPr>
          </w:p>
        </w:tc>
        <w:tc>
          <w:tcPr>
            <w:tcW w:w="0" w:type="auto"/>
            <w:gridSpan w:val="3"/>
            <w:vAlign w:val="center"/>
            <w:hideMark/>
          </w:tcPr>
          <w:p w14:paraId="0309FFEB" w14:textId="77777777" w:rsidR="00000000" w:rsidRDefault="00405D16">
            <w:pPr>
              <w:spacing w:after="100"/>
              <w:rPr>
                <w:rFonts w:eastAsia="Times New Roman"/>
                <w:sz w:val="20"/>
                <w:szCs w:val="20"/>
              </w:rPr>
            </w:pPr>
          </w:p>
        </w:tc>
      </w:tr>
      <w:tr w:rsidR="00000000" w14:paraId="508DAF3D" w14:textId="77777777">
        <w:trPr>
          <w:divId w:val="52024558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F30DB34" w14:textId="77777777" w:rsidR="00000000" w:rsidRDefault="00405D16">
            <w:pPr>
              <w:spacing w:after="100"/>
              <w:rPr>
                <w:rFonts w:eastAsia="Times New Roman"/>
              </w:rPr>
            </w:pPr>
            <w:r>
              <w:rPr>
                <w:rFonts w:eastAsia="Times New Roman"/>
                <w:b/>
                <w:bCs/>
                <w:color w:val="000000"/>
                <w:sz w:val="18"/>
                <w:szCs w:val="18"/>
              </w:rPr>
              <w:t>Selected income statement data:</w:t>
            </w:r>
          </w:p>
        </w:tc>
        <w:tc>
          <w:tcPr>
            <w:tcW w:w="0" w:type="auto"/>
            <w:gridSpan w:val="3"/>
            <w:shd w:val="clear" w:color="auto" w:fill="CCEEFF"/>
            <w:tcMar>
              <w:top w:w="0" w:type="dxa"/>
              <w:left w:w="20" w:type="dxa"/>
              <w:bottom w:w="0" w:type="dxa"/>
              <w:right w:w="20" w:type="dxa"/>
            </w:tcMar>
            <w:vAlign w:val="center"/>
            <w:hideMark/>
          </w:tcPr>
          <w:p w14:paraId="30562917"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47330F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2A7D3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312D98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3030D7"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CE914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A93814"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DD9097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4D0EE4"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94139EA" w14:textId="77777777" w:rsidR="00000000" w:rsidRDefault="00405D16">
            <w:pPr>
              <w:spacing w:after="100"/>
              <w:rPr>
                <w:rFonts w:eastAsia="Times New Roman"/>
                <w:sz w:val="20"/>
                <w:szCs w:val="20"/>
              </w:rPr>
            </w:pPr>
          </w:p>
        </w:tc>
        <w:tc>
          <w:tcPr>
            <w:tcW w:w="0" w:type="auto"/>
            <w:vAlign w:val="center"/>
            <w:hideMark/>
          </w:tcPr>
          <w:p w14:paraId="46578DDD" w14:textId="77777777" w:rsidR="00000000" w:rsidRDefault="00405D16">
            <w:pPr>
              <w:spacing w:after="100"/>
              <w:rPr>
                <w:rFonts w:eastAsia="Times New Roman"/>
                <w:sz w:val="20"/>
                <w:szCs w:val="20"/>
              </w:rPr>
            </w:pPr>
          </w:p>
        </w:tc>
        <w:tc>
          <w:tcPr>
            <w:tcW w:w="0" w:type="auto"/>
            <w:vAlign w:val="center"/>
            <w:hideMark/>
          </w:tcPr>
          <w:p w14:paraId="27EA388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87FD7E"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F14B22C" w14:textId="77777777" w:rsidR="00000000" w:rsidRDefault="00405D16">
            <w:pPr>
              <w:spacing w:after="100"/>
              <w:rPr>
                <w:rFonts w:eastAsia="Times New Roman"/>
                <w:sz w:val="20"/>
                <w:szCs w:val="20"/>
              </w:rPr>
            </w:pPr>
          </w:p>
        </w:tc>
        <w:tc>
          <w:tcPr>
            <w:tcW w:w="0" w:type="auto"/>
            <w:gridSpan w:val="3"/>
            <w:vAlign w:val="center"/>
            <w:hideMark/>
          </w:tcPr>
          <w:p w14:paraId="5804354C" w14:textId="77777777" w:rsidR="00000000" w:rsidRDefault="00405D16">
            <w:pPr>
              <w:spacing w:after="100"/>
              <w:rPr>
                <w:rFonts w:eastAsia="Times New Roman"/>
                <w:sz w:val="20"/>
                <w:szCs w:val="20"/>
              </w:rPr>
            </w:pPr>
          </w:p>
        </w:tc>
        <w:tc>
          <w:tcPr>
            <w:tcW w:w="0" w:type="auto"/>
            <w:gridSpan w:val="3"/>
            <w:vAlign w:val="center"/>
            <w:hideMark/>
          </w:tcPr>
          <w:p w14:paraId="347D936E" w14:textId="77777777" w:rsidR="00000000" w:rsidRDefault="00405D16">
            <w:pPr>
              <w:spacing w:after="100"/>
              <w:rPr>
                <w:rFonts w:eastAsia="Times New Roman"/>
                <w:sz w:val="20"/>
                <w:szCs w:val="20"/>
              </w:rPr>
            </w:pPr>
          </w:p>
        </w:tc>
      </w:tr>
      <w:tr w:rsidR="00000000" w14:paraId="2558D20A" w14:textId="77777777">
        <w:trPr>
          <w:divId w:val="520245585"/>
        </w:trPr>
        <w:tc>
          <w:tcPr>
            <w:tcW w:w="0" w:type="auto"/>
            <w:gridSpan w:val="3"/>
            <w:shd w:val="clear" w:color="auto" w:fill="FFFFFF"/>
            <w:tcMar>
              <w:top w:w="30" w:type="dxa"/>
              <w:left w:w="20" w:type="dxa"/>
              <w:bottom w:w="30" w:type="dxa"/>
              <w:right w:w="20" w:type="dxa"/>
            </w:tcMar>
            <w:vAlign w:val="center"/>
            <w:hideMark/>
          </w:tcPr>
          <w:p w14:paraId="66888D8D" w14:textId="77777777" w:rsidR="00000000" w:rsidRDefault="00405D16">
            <w:pPr>
              <w:spacing w:after="100"/>
              <w:rPr>
                <w:rFonts w:eastAsia="Times New Roman"/>
              </w:rPr>
            </w:pPr>
            <w:r>
              <w:rPr>
                <w:rFonts w:eastAsia="Times New Roman"/>
                <w:color w:val="000000"/>
                <w:sz w:val="18"/>
                <w:szCs w:val="18"/>
              </w:rPr>
              <w:t>Net interest income</w:t>
            </w:r>
          </w:p>
        </w:tc>
        <w:tc>
          <w:tcPr>
            <w:tcW w:w="0" w:type="auto"/>
            <w:gridSpan w:val="3"/>
            <w:shd w:val="clear" w:color="auto" w:fill="FFFFFF"/>
            <w:tcMar>
              <w:top w:w="0" w:type="dxa"/>
              <w:left w:w="20" w:type="dxa"/>
              <w:bottom w:w="0" w:type="dxa"/>
              <w:right w:w="20" w:type="dxa"/>
            </w:tcMar>
            <w:vAlign w:val="center"/>
            <w:hideMark/>
          </w:tcPr>
          <w:p w14:paraId="1FAB44A0"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08745EE8"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7369A745" w14:textId="77777777" w:rsidR="00000000" w:rsidRDefault="00405D16">
            <w:pPr>
              <w:spacing w:after="100"/>
              <w:jc w:val="right"/>
              <w:rPr>
                <w:rFonts w:eastAsia="Times New Roman"/>
              </w:rPr>
            </w:pPr>
            <w:r>
              <w:rPr>
                <w:rFonts w:eastAsia="Times New Roman"/>
                <w:b/>
                <w:bCs/>
                <w:color w:val="000000"/>
                <w:sz w:val="18"/>
                <w:szCs w:val="18"/>
              </w:rPr>
              <w:t>578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742FCB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E62C63"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C418A03"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595869D5" w14:textId="77777777" w:rsidR="00000000" w:rsidRDefault="00405D16">
            <w:pPr>
              <w:spacing w:after="100"/>
              <w:jc w:val="right"/>
              <w:rPr>
                <w:rFonts w:eastAsia="Times New Roman"/>
              </w:rPr>
            </w:pPr>
            <w:r>
              <w:rPr>
                <w:rFonts w:eastAsia="Times New Roman"/>
                <w:color w:val="000000"/>
                <w:sz w:val="18"/>
                <w:szCs w:val="18"/>
              </w:rPr>
              <w:t>517 </w:t>
            </w:r>
          </w:p>
        </w:tc>
        <w:tc>
          <w:tcPr>
            <w:tcW w:w="0" w:type="auto"/>
            <w:shd w:val="clear" w:color="auto" w:fill="FFFFFF"/>
            <w:tcMar>
              <w:top w:w="30" w:type="dxa"/>
              <w:left w:w="0" w:type="dxa"/>
              <w:bottom w:w="30" w:type="dxa"/>
              <w:right w:w="20" w:type="dxa"/>
            </w:tcMar>
            <w:vAlign w:val="center"/>
            <w:hideMark/>
          </w:tcPr>
          <w:p w14:paraId="2FE0FAE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073B2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1760875" w14:textId="77777777" w:rsidR="00000000" w:rsidRDefault="00405D16">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center"/>
            <w:hideMark/>
          </w:tcPr>
          <w:p w14:paraId="082F6BEA"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E4BA9B4" w14:textId="77777777" w:rsidR="00000000" w:rsidRDefault="00405D16">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57BA32FC"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1D42CA29" w14:textId="77777777" w:rsidR="00000000" w:rsidRDefault="00405D16">
            <w:pPr>
              <w:spacing w:after="100"/>
              <w:jc w:val="right"/>
              <w:rPr>
                <w:rFonts w:eastAsia="Times New Roman"/>
              </w:rPr>
            </w:pPr>
            <w:r>
              <w:rPr>
                <w:rFonts w:eastAsia="Times New Roman"/>
                <w:b/>
                <w:bCs/>
                <w:color w:val="000000"/>
                <w:sz w:val="18"/>
                <w:szCs w:val="18"/>
              </w:rPr>
              <w:t>1,558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6524DD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817E8F"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8E1100A"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3D310C2D" w14:textId="77777777" w:rsidR="00000000" w:rsidRDefault="00405D16">
            <w:pPr>
              <w:spacing w:after="100"/>
              <w:jc w:val="right"/>
              <w:rPr>
                <w:rFonts w:eastAsia="Times New Roman"/>
              </w:rPr>
            </w:pPr>
            <w:r>
              <w:rPr>
                <w:rFonts w:eastAsia="Times New Roman"/>
                <w:color w:val="000000"/>
                <w:sz w:val="18"/>
                <w:szCs w:val="18"/>
              </w:rPr>
              <w:t>1,526 </w:t>
            </w:r>
          </w:p>
        </w:tc>
        <w:tc>
          <w:tcPr>
            <w:tcW w:w="0" w:type="auto"/>
            <w:shd w:val="clear" w:color="auto" w:fill="FFFFFF"/>
            <w:tcMar>
              <w:top w:w="30" w:type="dxa"/>
              <w:left w:w="0" w:type="dxa"/>
              <w:bottom w:w="30" w:type="dxa"/>
              <w:right w:w="20" w:type="dxa"/>
            </w:tcMar>
            <w:vAlign w:val="center"/>
            <w:hideMark/>
          </w:tcPr>
          <w:p w14:paraId="1DACEB33" w14:textId="77777777" w:rsidR="00000000" w:rsidRDefault="00405D16">
            <w:pPr>
              <w:spacing w:after="100"/>
              <w:jc w:val="right"/>
              <w:rPr>
                <w:rFonts w:eastAsia="Times New Roman"/>
              </w:rPr>
            </w:pPr>
          </w:p>
        </w:tc>
        <w:tc>
          <w:tcPr>
            <w:tcW w:w="0" w:type="auto"/>
            <w:vAlign w:val="center"/>
            <w:hideMark/>
          </w:tcPr>
          <w:p w14:paraId="0DC7B6A2" w14:textId="77777777" w:rsidR="00000000" w:rsidRDefault="00405D16">
            <w:pPr>
              <w:spacing w:after="100"/>
              <w:jc w:val="right"/>
              <w:rPr>
                <w:rFonts w:eastAsia="Times New Roman"/>
                <w:sz w:val="20"/>
                <w:szCs w:val="20"/>
              </w:rPr>
            </w:pPr>
          </w:p>
        </w:tc>
        <w:tc>
          <w:tcPr>
            <w:tcW w:w="0" w:type="auto"/>
            <w:vAlign w:val="center"/>
            <w:hideMark/>
          </w:tcPr>
          <w:p w14:paraId="41B613A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1DE836"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362059A" w14:textId="77777777" w:rsidR="00000000" w:rsidRDefault="00405D16">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center"/>
            <w:hideMark/>
          </w:tcPr>
          <w:p w14:paraId="127DE8AC"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0353D9F1" w14:textId="77777777" w:rsidR="00000000" w:rsidRDefault="00405D16">
            <w:pPr>
              <w:spacing w:after="100"/>
              <w:jc w:val="right"/>
              <w:rPr>
                <w:rFonts w:eastAsia="Times New Roman"/>
              </w:rPr>
            </w:pPr>
          </w:p>
        </w:tc>
        <w:tc>
          <w:tcPr>
            <w:tcW w:w="0" w:type="auto"/>
            <w:gridSpan w:val="3"/>
            <w:vAlign w:val="center"/>
            <w:hideMark/>
          </w:tcPr>
          <w:p w14:paraId="42DCA2A8" w14:textId="77777777" w:rsidR="00000000" w:rsidRDefault="00405D16">
            <w:pPr>
              <w:spacing w:after="100"/>
              <w:rPr>
                <w:rFonts w:eastAsia="Times New Roman"/>
                <w:sz w:val="20"/>
                <w:szCs w:val="20"/>
              </w:rPr>
            </w:pPr>
          </w:p>
        </w:tc>
      </w:tr>
      <w:tr w:rsidR="00000000" w14:paraId="1D5246B2" w14:textId="77777777">
        <w:trPr>
          <w:divId w:val="520245585"/>
        </w:trPr>
        <w:tc>
          <w:tcPr>
            <w:tcW w:w="0" w:type="auto"/>
            <w:gridSpan w:val="3"/>
            <w:shd w:val="clear" w:color="auto" w:fill="CCEEFF"/>
            <w:tcMar>
              <w:top w:w="30" w:type="dxa"/>
              <w:left w:w="20" w:type="dxa"/>
              <w:bottom w:w="30" w:type="dxa"/>
              <w:right w:w="20" w:type="dxa"/>
            </w:tcMar>
            <w:vAlign w:val="center"/>
            <w:hideMark/>
          </w:tcPr>
          <w:p w14:paraId="5B7E8D4B" w14:textId="77777777" w:rsidR="00000000" w:rsidRDefault="00405D16">
            <w:pPr>
              <w:spacing w:after="100"/>
              <w:rPr>
                <w:rFonts w:eastAsia="Times New Roman"/>
              </w:rPr>
            </w:pPr>
            <w:r>
              <w:rPr>
                <w:rFonts w:eastAsia="Times New Roman"/>
                <w:color w:val="000000"/>
                <w:sz w:val="18"/>
                <w:szCs w:val="18"/>
              </w:rPr>
              <w:t>Non-interest income</w:t>
            </w:r>
          </w:p>
        </w:tc>
        <w:tc>
          <w:tcPr>
            <w:tcW w:w="0" w:type="auto"/>
            <w:gridSpan w:val="3"/>
            <w:shd w:val="clear" w:color="auto" w:fill="CCEEFF"/>
            <w:tcMar>
              <w:top w:w="0" w:type="dxa"/>
              <w:left w:w="20" w:type="dxa"/>
              <w:bottom w:w="0" w:type="dxa"/>
              <w:right w:w="20" w:type="dxa"/>
            </w:tcMar>
            <w:vAlign w:val="center"/>
            <w:hideMark/>
          </w:tcPr>
          <w:p w14:paraId="20FF50E9"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DCFCC3D" w14:textId="77777777" w:rsidR="00000000" w:rsidRDefault="00405D16">
            <w:pPr>
              <w:spacing w:after="100"/>
              <w:jc w:val="right"/>
              <w:rPr>
                <w:rFonts w:eastAsia="Times New Roman"/>
              </w:rPr>
            </w:pPr>
            <w:r>
              <w:rPr>
                <w:rFonts w:eastAsia="Times New Roman"/>
                <w:b/>
                <w:bCs/>
                <w:color w:val="000000"/>
                <w:sz w:val="18"/>
                <w:szCs w:val="18"/>
              </w:rPr>
              <w:t>306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7DB38F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246E4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0A6CBB8" w14:textId="77777777" w:rsidR="00000000" w:rsidRDefault="00405D16">
            <w:pPr>
              <w:spacing w:after="100"/>
              <w:jc w:val="right"/>
              <w:rPr>
                <w:rFonts w:eastAsia="Times New Roman"/>
              </w:rPr>
            </w:pPr>
            <w:r>
              <w:rPr>
                <w:rFonts w:eastAsia="Times New Roman"/>
                <w:color w:val="000000"/>
                <w:sz w:val="18"/>
                <w:szCs w:val="18"/>
              </w:rPr>
              <w:t>237 </w:t>
            </w:r>
          </w:p>
        </w:tc>
        <w:tc>
          <w:tcPr>
            <w:tcW w:w="0" w:type="auto"/>
            <w:shd w:val="clear" w:color="auto" w:fill="CCEEFF"/>
            <w:tcMar>
              <w:top w:w="30" w:type="dxa"/>
              <w:left w:w="0" w:type="dxa"/>
              <w:bottom w:w="30" w:type="dxa"/>
              <w:right w:w="20" w:type="dxa"/>
            </w:tcMar>
            <w:vAlign w:val="center"/>
            <w:hideMark/>
          </w:tcPr>
          <w:p w14:paraId="09E2215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25FC1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344F75E" w14:textId="77777777" w:rsidR="00000000" w:rsidRDefault="00405D16">
            <w:pPr>
              <w:spacing w:after="100"/>
              <w:jc w:val="right"/>
              <w:rPr>
                <w:rFonts w:eastAsia="Times New Roman"/>
              </w:rPr>
            </w:pPr>
            <w:r>
              <w:rPr>
                <w:rFonts w:eastAsia="Times New Roman"/>
                <w:color w:val="000000"/>
                <w:sz w:val="18"/>
                <w:szCs w:val="18"/>
              </w:rPr>
              <w:t>29 </w:t>
            </w:r>
          </w:p>
        </w:tc>
        <w:tc>
          <w:tcPr>
            <w:tcW w:w="0" w:type="auto"/>
            <w:shd w:val="clear" w:color="auto" w:fill="CCEEFF"/>
            <w:tcMar>
              <w:top w:w="30" w:type="dxa"/>
              <w:left w:w="0" w:type="dxa"/>
              <w:bottom w:w="30" w:type="dxa"/>
              <w:right w:w="20" w:type="dxa"/>
            </w:tcMar>
            <w:vAlign w:val="center"/>
            <w:hideMark/>
          </w:tcPr>
          <w:p w14:paraId="27D2920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3948A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4A4D8EE" w14:textId="77777777" w:rsidR="00000000" w:rsidRDefault="00405D16">
            <w:pPr>
              <w:spacing w:after="100"/>
              <w:jc w:val="right"/>
              <w:rPr>
                <w:rFonts w:eastAsia="Times New Roman"/>
              </w:rPr>
            </w:pPr>
            <w:r>
              <w:rPr>
                <w:rFonts w:eastAsia="Times New Roman"/>
                <w:b/>
                <w:bCs/>
                <w:color w:val="000000"/>
                <w:sz w:val="18"/>
                <w:szCs w:val="18"/>
              </w:rPr>
              <w:t>803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322E70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058C5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8E70562" w14:textId="77777777" w:rsidR="00000000" w:rsidRDefault="00405D16">
            <w:pPr>
              <w:spacing w:after="100"/>
              <w:jc w:val="right"/>
              <w:rPr>
                <w:rFonts w:eastAsia="Times New Roman"/>
              </w:rPr>
            </w:pPr>
            <w:r>
              <w:rPr>
                <w:rFonts w:eastAsia="Times New Roman"/>
                <w:color w:val="000000"/>
                <w:sz w:val="18"/>
                <w:szCs w:val="18"/>
              </w:rPr>
              <w:t>655 </w:t>
            </w:r>
          </w:p>
        </w:tc>
        <w:tc>
          <w:tcPr>
            <w:tcW w:w="0" w:type="auto"/>
            <w:shd w:val="clear" w:color="auto" w:fill="CCEEFF"/>
            <w:tcMar>
              <w:top w:w="30" w:type="dxa"/>
              <w:left w:w="0" w:type="dxa"/>
              <w:bottom w:w="30" w:type="dxa"/>
              <w:right w:w="20" w:type="dxa"/>
            </w:tcMar>
            <w:vAlign w:val="center"/>
            <w:hideMark/>
          </w:tcPr>
          <w:p w14:paraId="11C65786" w14:textId="77777777" w:rsidR="00000000" w:rsidRDefault="00405D16">
            <w:pPr>
              <w:spacing w:after="100"/>
              <w:jc w:val="right"/>
              <w:rPr>
                <w:rFonts w:eastAsia="Times New Roman"/>
              </w:rPr>
            </w:pPr>
          </w:p>
        </w:tc>
        <w:tc>
          <w:tcPr>
            <w:tcW w:w="0" w:type="auto"/>
            <w:vAlign w:val="center"/>
            <w:hideMark/>
          </w:tcPr>
          <w:p w14:paraId="011857C5" w14:textId="77777777" w:rsidR="00000000" w:rsidRDefault="00405D16">
            <w:pPr>
              <w:spacing w:after="100"/>
              <w:jc w:val="right"/>
              <w:rPr>
                <w:rFonts w:eastAsia="Times New Roman"/>
                <w:sz w:val="20"/>
                <w:szCs w:val="20"/>
              </w:rPr>
            </w:pPr>
          </w:p>
        </w:tc>
        <w:tc>
          <w:tcPr>
            <w:tcW w:w="0" w:type="auto"/>
            <w:vAlign w:val="center"/>
            <w:hideMark/>
          </w:tcPr>
          <w:p w14:paraId="1DEBDAD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380FE6"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DC6D811" w14:textId="77777777" w:rsidR="00000000" w:rsidRDefault="00405D16">
            <w:pPr>
              <w:spacing w:after="100"/>
              <w:jc w:val="right"/>
              <w:rPr>
                <w:rFonts w:eastAsia="Times New Roman"/>
              </w:rPr>
            </w:pPr>
            <w:r>
              <w:rPr>
                <w:rFonts w:eastAsia="Times New Roman"/>
                <w:color w:val="000000"/>
                <w:sz w:val="18"/>
                <w:szCs w:val="18"/>
              </w:rPr>
              <w:t>23 </w:t>
            </w:r>
          </w:p>
        </w:tc>
        <w:tc>
          <w:tcPr>
            <w:tcW w:w="0" w:type="auto"/>
            <w:shd w:val="clear" w:color="auto" w:fill="CCEEFF"/>
            <w:tcMar>
              <w:top w:w="30" w:type="dxa"/>
              <w:left w:w="0" w:type="dxa"/>
              <w:bottom w:w="30" w:type="dxa"/>
              <w:right w:w="20" w:type="dxa"/>
            </w:tcMar>
            <w:vAlign w:val="center"/>
            <w:hideMark/>
          </w:tcPr>
          <w:p w14:paraId="205BB674" w14:textId="77777777" w:rsidR="00000000" w:rsidRDefault="00405D16">
            <w:pPr>
              <w:spacing w:after="100"/>
              <w:jc w:val="right"/>
              <w:rPr>
                <w:rFonts w:eastAsia="Times New Roman"/>
              </w:rPr>
            </w:pPr>
          </w:p>
        </w:tc>
        <w:tc>
          <w:tcPr>
            <w:tcW w:w="0" w:type="auto"/>
            <w:gridSpan w:val="3"/>
            <w:vAlign w:val="center"/>
            <w:hideMark/>
          </w:tcPr>
          <w:p w14:paraId="79735568" w14:textId="77777777" w:rsidR="00000000" w:rsidRDefault="00405D16">
            <w:pPr>
              <w:spacing w:after="100"/>
              <w:jc w:val="right"/>
              <w:rPr>
                <w:rFonts w:eastAsia="Times New Roman"/>
                <w:sz w:val="20"/>
                <w:szCs w:val="20"/>
              </w:rPr>
            </w:pPr>
          </w:p>
        </w:tc>
        <w:tc>
          <w:tcPr>
            <w:tcW w:w="0" w:type="auto"/>
            <w:gridSpan w:val="3"/>
            <w:vAlign w:val="center"/>
            <w:hideMark/>
          </w:tcPr>
          <w:p w14:paraId="58A06BBE" w14:textId="77777777" w:rsidR="00000000" w:rsidRDefault="00405D16">
            <w:pPr>
              <w:spacing w:after="100"/>
              <w:rPr>
                <w:rFonts w:eastAsia="Times New Roman"/>
                <w:sz w:val="20"/>
                <w:szCs w:val="20"/>
              </w:rPr>
            </w:pPr>
          </w:p>
        </w:tc>
      </w:tr>
      <w:tr w:rsidR="00000000" w14:paraId="02F2862B" w14:textId="77777777">
        <w:trPr>
          <w:divId w:val="520245585"/>
        </w:trPr>
        <w:tc>
          <w:tcPr>
            <w:tcW w:w="0" w:type="auto"/>
            <w:gridSpan w:val="3"/>
            <w:shd w:val="clear" w:color="auto" w:fill="FFFFFF"/>
            <w:tcMar>
              <w:top w:w="30" w:type="dxa"/>
              <w:left w:w="20" w:type="dxa"/>
              <w:bottom w:w="30" w:type="dxa"/>
              <w:right w:w="20" w:type="dxa"/>
            </w:tcMar>
            <w:vAlign w:val="center"/>
            <w:hideMark/>
          </w:tcPr>
          <w:p w14:paraId="786ED900" w14:textId="77777777" w:rsidR="00000000" w:rsidRDefault="00405D16">
            <w:pPr>
              <w:spacing w:after="100"/>
              <w:divId w:val="883634858"/>
              <w:rPr>
                <w:rFonts w:eastAsia="Times New Roman"/>
              </w:rPr>
            </w:pPr>
            <w:r>
              <w:rPr>
                <w:rFonts w:eastAsia="Times New Roman"/>
                <w:color w:val="000000"/>
                <w:sz w:val="18"/>
                <w:szCs w:val="18"/>
              </w:rPr>
              <w:t>Total net revenu</w:t>
            </w:r>
            <w:r>
              <w:rPr>
                <w:rFonts w:eastAsia="Times New Roman"/>
                <w:color w:val="000000"/>
                <w:sz w:val="18"/>
                <w:szCs w:val="18"/>
              </w:rPr>
              <w:t>e</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4F87D9FF"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9C2F55D" w14:textId="77777777" w:rsidR="00000000" w:rsidRDefault="00405D16">
            <w:pPr>
              <w:spacing w:after="100"/>
              <w:jc w:val="right"/>
              <w:rPr>
                <w:rFonts w:eastAsia="Times New Roman"/>
              </w:rPr>
            </w:pPr>
            <w:r>
              <w:rPr>
                <w:rFonts w:eastAsia="Times New Roman"/>
                <w:b/>
                <w:bCs/>
                <w:color w:val="000000"/>
                <w:sz w:val="18"/>
                <w:szCs w:val="18"/>
              </w:rPr>
              <w:t>884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74BAF9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9B7C7B"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10371F9" w14:textId="77777777" w:rsidR="00000000" w:rsidRDefault="00405D16">
            <w:pPr>
              <w:spacing w:after="100"/>
              <w:jc w:val="right"/>
              <w:rPr>
                <w:rFonts w:eastAsia="Times New Roman"/>
              </w:rPr>
            </w:pPr>
            <w:r>
              <w:rPr>
                <w:rFonts w:eastAsia="Times New Roman"/>
                <w:color w:val="000000"/>
                <w:sz w:val="18"/>
                <w:szCs w:val="18"/>
              </w:rPr>
              <w:t>754 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C38178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EB671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7DFBD71" w14:textId="77777777" w:rsidR="00000000" w:rsidRDefault="00405D16">
            <w:pPr>
              <w:spacing w:after="100"/>
              <w:jc w:val="right"/>
              <w:rPr>
                <w:rFonts w:eastAsia="Times New Roman"/>
              </w:rPr>
            </w:pPr>
            <w:r>
              <w:rPr>
                <w:rFonts w:eastAsia="Times New Roman"/>
                <w:color w:val="000000"/>
                <w:sz w:val="18"/>
                <w:szCs w:val="18"/>
              </w:rPr>
              <w:t>17 </w:t>
            </w:r>
          </w:p>
        </w:tc>
        <w:tc>
          <w:tcPr>
            <w:tcW w:w="0" w:type="auto"/>
            <w:shd w:val="clear" w:color="auto" w:fill="FFFFFF"/>
            <w:tcMar>
              <w:top w:w="30" w:type="dxa"/>
              <w:left w:w="0" w:type="dxa"/>
              <w:bottom w:w="30" w:type="dxa"/>
              <w:right w:w="20" w:type="dxa"/>
            </w:tcMar>
            <w:vAlign w:val="center"/>
            <w:hideMark/>
          </w:tcPr>
          <w:p w14:paraId="5D73863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F0069B"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A3A2501" w14:textId="77777777" w:rsidR="00000000" w:rsidRDefault="00405D16">
            <w:pPr>
              <w:spacing w:after="100"/>
              <w:jc w:val="right"/>
              <w:rPr>
                <w:rFonts w:eastAsia="Times New Roman"/>
              </w:rPr>
            </w:pPr>
            <w:r>
              <w:rPr>
                <w:rFonts w:eastAsia="Times New Roman"/>
                <w:b/>
                <w:bCs/>
                <w:color w:val="000000"/>
                <w:sz w:val="18"/>
                <w:szCs w:val="18"/>
              </w:rPr>
              <w:t>2,361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3AA4FC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C3A33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75A5778" w14:textId="77777777" w:rsidR="00000000" w:rsidRDefault="00405D16">
            <w:pPr>
              <w:spacing w:after="100"/>
              <w:jc w:val="right"/>
              <w:rPr>
                <w:rFonts w:eastAsia="Times New Roman"/>
              </w:rPr>
            </w:pPr>
            <w:r>
              <w:rPr>
                <w:rFonts w:eastAsia="Times New Roman"/>
                <w:color w:val="000000"/>
                <w:sz w:val="18"/>
                <w:szCs w:val="18"/>
              </w:rPr>
              <w:t>2,181 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FDA5742" w14:textId="77777777" w:rsidR="00000000" w:rsidRDefault="00405D16">
            <w:pPr>
              <w:spacing w:after="100"/>
              <w:jc w:val="right"/>
              <w:rPr>
                <w:rFonts w:eastAsia="Times New Roman"/>
              </w:rPr>
            </w:pPr>
          </w:p>
        </w:tc>
        <w:tc>
          <w:tcPr>
            <w:tcW w:w="0" w:type="auto"/>
            <w:vAlign w:val="center"/>
            <w:hideMark/>
          </w:tcPr>
          <w:p w14:paraId="06524F74" w14:textId="77777777" w:rsidR="00000000" w:rsidRDefault="00405D16">
            <w:pPr>
              <w:spacing w:after="100"/>
              <w:jc w:val="right"/>
              <w:rPr>
                <w:rFonts w:eastAsia="Times New Roman"/>
                <w:sz w:val="20"/>
                <w:szCs w:val="20"/>
              </w:rPr>
            </w:pPr>
          </w:p>
        </w:tc>
        <w:tc>
          <w:tcPr>
            <w:tcW w:w="0" w:type="auto"/>
            <w:vAlign w:val="center"/>
            <w:hideMark/>
          </w:tcPr>
          <w:p w14:paraId="1EBECBC4"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9BE1A4"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F2C1656" w14:textId="77777777" w:rsidR="00000000" w:rsidRDefault="00405D16">
            <w:pPr>
              <w:spacing w:after="100"/>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center"/>
            <w:hideMark/>
          </w:tcPr>
          <w:p w14:paraId="4961BF34" w14:textId="77777777" w:rsidR="00000000" w:rsidRDefault="00405D16">
            <w:pPr>
              <w:spacing w:after="100"/>
              <w:jc w:val="right"/>
              <w:rPr>
                <w:rFonts w:eastAsia="Times New Roman"/>
              </w:rPr>
            </w:pPr>
          </w:p>
        </w:tc>
        <w:tc>
          <w:tcPr>
            <w:tcW w:w="0" w:type="auto"/>
            <w:gridSpan w:val="3"/>
            <w:vAlign w:val="center"/>
            <w:hideMark/>
          </w:tcPr>
          <w:p w14:paraId="45F0FF30" w14:textId="77777777" w:rsidR="00000000" w:rsidRDefault="00405D16">
            <w:pPr>
              <w:spacing w:after="100"/>
              <w:jc w:val="right"/>
              <w:rPr>
                <w:rFonts w:eastAsia="Times New Roman"/>
                <w:sz w:val="20"/>
                <w:szCs w:val="20"/>
              </w:rPr>
            </w:pPr>
          </w:p>
        </w:tc>
        <w:tc>
          <w:tcPr>
            <w:tcW w:w="0" w:type="auto"/>
            <w:gridSpan w:val="3"/>
            <w:vAlign w:val="center"/>
            <w:hideMark/>
          </w:tcPr>
          <w:p w14:paraId="497AB159" w14:textId="77777777" w:rsidR="00000000" w:rsidRDefault="00405D16">
            <w:pPr>
              <w:spacing w:after="100"/>
              <w:rPr>
                <w:rFonts w:eastAsia="Times New Roman"/>
                <w:sz w:val="20"/>
                <w:szCs w:val="20"/>
              </w:rPr>
            </w:pPr>
          </w:p>
        </w:tc>
      </w:tr>
      <w:tr w:rsidR="00000000" w14:paraId="5466EF73" w14:textId="77777777">
        <w:trPr>
          <w:divId w:val="520245585"/>
        </w:trPr>
        <w:tc>
          <w:tcPr>
            <w:tcW w:w="0" w:type="auto"/>
            <w:gridSpan w:val="3"/>
            <w:shd w:val="clear" w:color="auto" w:fill="CCEEFF"/>
            <w:tcMar>
              <w:top w:w="30" w:type="dxa"/>
              <w:left w:w="20" w:type="dxa"/>
              <w:bottom w:w="30" w:type="dxa"/>
              <w:right w:w="20" w:type="dxa"/>
            </w:tcMar>
            <w:vAlign w:val="center"/>
            <w:hideMark/>
          </w:tcPr>
          <w:p w14:paraId="2D11C323" w14:textId="77777777" w:rsidR="00000000" w:rsidRDefault="00405D16">
            <w:pPr>
              <w:spacing w:after="100"/>
              <w:divId w:val="791285844"/>
              <w:rPr>
                <w:rFonts w:eastAsia="Times New Roman"/>
              </w:rPr>
            </w:pPr>
            <w:r>
              <w:rPr>
                <w:rFonts w:eastAsia="Times New Roman"/>
                <w:color w:val="000000"/>
                <w:sz w:val="18"/>
                <w:szCs w:val="18"/>
              </w:rPr>
              <w:t>Provision (benefit) for credit losse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1D77F34E"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DBDBCCC" w14:textId="77777777" w:rsidR="00000000" w:rsidRDefault="00405D16">
            <w:pPr>
              <w:spacing w:after="100"/>
              <w:jc w:val="right"/>
              <w:rPr>
                <w:rFonts w:eastAsia="Times New Roman"/>
              </w:rPr>
            </w:pPr>
            <w:r>
              <w:rPr>
                <w:rFonts w:eastAsia="Times New Roman"/>
                <w:b/>
                <w:bCs/>
                <w:color w:val="000000"/>
                <w:sz w:val="18"/>
                <w:szCs w:val="18"/>
              </w:rPr>
              <w:t>(53)</w:t>
            </w:r>
          </w:p>
        </w:tc>
        <w:tc>
          <w:tcPr>
            <w:tcW w:w="0" w:type="auto"/>
            <w:shd w:val="clear" w:color="auto" w:fill="CCEEFF"/>
            <w:tcMar>
              <w:top w:w="30" w:type="dxa"/>
              <w:left w:w="0" w:type="dxa"/>
              <w:bottom w:w="30" w:type="dxa"/>
              <w:right w:w="20" w:type="dxa"/>
            </w:tcMar>
            <w:vAlign w:val="center"/>
            <w:hideMark/>
          </w:tcPr>
          <w:p w14:paraId="1300A03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0E7FF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94F4254" w14:textId="77777777" w:rsidR="00000000" w:rsidRDefault="00405D16">
            <w:pPr>
              <w:spacing w:after="100"/>
              <w:jc w:val="right"/>
              <w:rPr>
                <w:rFonts w:eastAsia="Times New Roman"/>
              </w:rPr>
            </w:pPr>
            <w:r>
              <w:rPr>
                <w:rFonts w:eastAsia="Times New Roman"/>
                <w:color w:val="000000"/>
                <w:sz w:val="18"/>
                <w:szCs w:val="18"/>
              </w:rPr>
              <w:t>(74)</w:t>
            </w:r>
          </w:p>
        </w:tc>
        <w:tc>
          <w:tcPr>
            <w:tcW w:w="0" w:type="auto"/>
            <w:shd w:val="clear" w:color="auto" w:fill="CCEEFF"/>
            <w:tcMar>
              <w:top w:w="30" w:type="dxa"/>
              <w:left w:w="0" w:type="dxa"/>
              <w:bottom w:w="30" w:type="dxa"/>
              <w:right w:w="20" w:type="dxa"/>
            </w:tcMar>
            <w:vAlign w:val="center"/>
            <w:hideMark/>
          </w:tcPr>
          <w:p w14:paraId="30B05B1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A2911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FA5DBA2" w14:textId="77777777" w:rsidR="00000000" w:rsidRDefault="00405D16">
            <w:pPr>
              <w:spacing w:after="100"/>
              <w:jc w:val="right"/>
              <w:rPr>
                <w:rFonts w:eastAsia="Times New Roman"/>
              </w:rPr>
            </w:pPr>
            <w:r>
              <w:rPr>
                <w:rFonts w:eastAsia="Times New Roman"/>
                <w:color w:val="000000"/>
                <w:sz w:val="18"/>
                <w:szCs w:val="18"/>
              </w:rPr>
              <w:t>(28)</w:t>
            </w:r>
          </w:p>
        </w:tc>
        <w:tc>
          <w:tcPr>
            <w:tcW w:w="0" w:type="auto"/>
            <w:shd w:val="clear" w:color="auto" w:fill="CCEEFF"/>
            <w:tcMar>
              <w:top w:w="30" w:type="dxa"/>
              <w:left w:w="0" w:type="dxa"/>
              <w:bottom w:w="30" w:type="dxa"/>
              <w:right w:w="20" w:type="dxa"/>
            </w:tcMar>
            <w:vAlign w:val="center"/>
            <w:hideMark/>
          </w:tcPr>
          <w:p w14:paraId="68E77E1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DD009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06C583B" w14:textId="77777777" w:rsidR="00000000" w:rsidRDefault="00405D16">
            <w:pPr>
              <w:spacing w:after="100"/>
              <w:jc w:val="right"/>
              <w:rPr>
                <w:rFonts w:eastAsia="Times New Roman"/>
              </w:rPr>
            </w:pPr>
            <w:r>
              <w:rPr>
                <w:rFonts w:eastAsia="Times New Roman"/>
                <w:b/>
                <w:bCs/>
                <w:color w:val="000000"/>
                <w:sz w:val="18"/>
                <w:szCs w:val="18"/>
              </w:rPr>
              <w:t>(475)</w:t>
            </w:r>
          </w:p>
        </w:tc>
        <w:tc>
          <w:tcPr>
            <w:tcW w:w="0" w:type="auto"/>
            <w:shd w:val="clear" w:color="auto" w:fill="CCEEFF"/>
            <w:tcMar>
              <w:top w:w="30" w:type="dxa"/>
              <w:left w:w="0" w:type="dxa"/>
              <w:bottom w:w="30" w:type="dxa"/>
              <w:right w:w="20" w:type="dxa"/>
            </w:tcMar>
            <w:vAlign w:val="center"/>
            <w:hideMark/>
          </w:tcPr>
          <w:p w14:paraId="77818BD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DE06E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3BC93E1" w14:textId="77777777" w:rsidR="00000000" w:rsidRDefault="00405D16">
            <w:pPr>
              <w:spacing w:after="100"/>
              <w:jc w:val="right"/>
              <w:rPr>
                <w:rFonts w:eastAsia="Times New Roman"/>
              </w:rPr>
            </w:pPr>
            <w:r>
              <w:rPr>
                <w:rFonts w:eastAsia="Times New Roman"/>
                <w:color w:val="000000"/>
                <w:sz w:val="18"/>
                <w:szCs w:val="18"/>
              </w:rPr>
              <w:t>1,209 </w:t>
            </w:r>
          </w:p>
        </w:tc>
        <w:tc>
          <w:tcPr>
            <w:tcW w:w="0" w:type="auto"/>
            <w:shd w:val="clear" w:color="auto" w:fill="CCEEFF"/>
            <w:tcMar>
              <w:top w:w="30" w:type="dxa"/>
              <w:left w:w="0" w:type="dxa"/>
              <w:bottom w:w="30" w:type="dxa"/>
              <w:right w:w="20" w:type="dxa"/>
            </w:tcMar>
            <w:vAlign w:val="center"/>
            <w:hideMark/>
          </w:tcPr>
          <w:p w14:paraId="3481FA27" w14:textId="77777777" w:rsidR="00000000" w:rsidRDefault="00405D16">
            <w:pPr>
              <w:spacing w:after="100"/>
              <w:jc w:val="right"/>
              <w:rPr>
                <w:rFonts w:eastAsia="Times New Roman"/>
              </w:rPr>
            </w:pPr>
          </w:p>
        </w:tc>
        <w:tc>
          <w:tcPr>
            <w:tcW w:w="0" w:type="auto"/>
            <w:vAlign w:val="center"/>
            <w:hideMark/>
          </w:tcPr>
          <w:p w14:paraId="796674B8" w14:textId="77777777" w:rsidR="00000000" w:rsidRDefault="00405D16">
            <w:pPr>
              <w:spacing w:after="100"/>
              <w:jc w:val="right"/>
              <w:rPr>
                <w:rFonts w:eastAsia="Times New Roman"/>
                <w:sz w:val="20"/>
                <w:szCs w:val="20"/>
              </w:rPr>
            </w:pPr>
          </w:p>
        </w:tc>
        <w:tc>
          <w:tcPr>
            <w:tcW w:w="0" w:type="auto"/>
            <w:vAlign w:val="center"/>
            <w:hideMark/>
          </w:tcPr>
          <w:p w14:paraId="6A98ACC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294AE5" w14:textId="77777777" w:rsidR="00000000" w:rsidRDefault="00405D16">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112B3605"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41C416FD" w14:textId="77777777" w:rsidR="00000000" w:rsidRDefault="00405D16">
            <w:pPr>
              <w:spacing w:after="100"/>
              <w:jc w:val="right"/>
              <w:rPr>
                <w:rFonts w:eastAsia="Times New Roman"/>
              </w:rPr>
            </w:pPr>
          </w:p>
        </w:tc>
        <w:tc>
          <w:tcPr>
            <w:tcW w:w="0" w:type="auto"/>
            <w:gridSpan w:val="3"/>
            <w:vAlign w:val="center"/>
            <w:hideMark/>
          </w:tcPr>
          <w:p w14:paraId="1AB2B217" w14:textId="77777777" w:rsidR="00000000" w:rsidRDefault="00405D16">
            <w:pPr>
              <w:spacing w:after="100"/>
              <w:rPr>
                <w:rFonts w:eastAsia="Times New Roman"/>
                <w:sz w:val="20"/>
                <w:szCs w:val="20"/>
              </w:rPr>
            </w:pPr>
          </w:p>
        </w:tc>
      </w:tr>
      <w:tr w:rsidR="00000000" w14:paraId="0FF0B46C" w14:textId="77777777">
        <w:trPr>
          <w:divId w:val="520245585"/>
        </w:trPr>
        <w:tc>
          <w:tcPr>
            <w:tcW w:w="0" w:type="auto"/>
            <w:gridSpan w:val="3"/>
            <w:shd w:val="clear" w:color="auto" w:fill="FFFFFF"/>
            <w:tcMar>
              <w:top w:w="30" w:type="dxa"/>
              <w:left w:w="20" w:type="dxa"/>
              <w:bottom w:w="30" w:type="dxa"/>
              <w:right w:w="20" w:type="dxa"/>
            </w:tcMar>
            <w:vAlign w:val="center"/>
            <w:hideMark/>
          </w:tcPr>
          <w:p w14:paraId="0BFCF97B" w14:textId="77777777" w:rsidR="00000000" w:rsidRDefault="00405D16">
            <w:pPr>
              <w:spacing w:after="100"/>
              <w:rPr>
                <w:rFonts w:eastAsia="Times New Roman"/>
              </w:rPr>
            </w:pPr>
            <w:r>
              <w:rPr>
                <w:rFonts w:eastAsia="Times New Roman"/>
                <w:color w:val="000000"/>
                <w:sz w:val="18"/>
                <w:szCs w:val="18"/>
              </w:rPr>
              <w:t>Non-interest expense</w:t>
            </w:r>
          </w:p>
        </w:tc>
        <w:tc>
          <w:tcPr>
            <w:tcW w:w="0" w:type="auto"/>
            <w:gridSpan w:val="3"/>
            <w:shd w:val="clear" w:color="auto" w:fill="FFFFFF"/>
            <w:tcMar>
              <w:top w:w="0" w:type="dxa"/>
              <w:left w:w="20" w:type="dxa"/>
              <w:bottom w:w="0" w:type="dxa"/>
              <w:right w:w="20" w:type="dxa"/>
            </w:tcMar>
            <w:vAlign w:val="center"/>
            <w:hideMark/>
          </w:tcPr>
          <w:p w14:paraId="02FB89FA"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6E8E855" w14:textId="77777777" w:rsidR="00000000" w:rsidRDefault="00405D16">
            <w:pPr>
              <w:spacing w:after="100"/>
              <w:jc w:val="right"/>
              <w:rPr>
                <w:rFonts w:eastAsia="Times New Roman"/>
              </w:rPr>
            </w:pPr>
            <w:r>
              <w:rPr>
                <w:rFonts w:eastAsia="Times New Roman"/>
                <w:b/>
                <w:bCs/>
                <w:color w:val="000000"/>
                <w:sz w:val="18"/>
                <w:szCs w:val="18"/>
              </w:rPr>
              <w:t>459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025B45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832AB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00A418E" w14:textId="77777777" w:rsidR="00000000" w:rsidRDefault="00405D16">
            <w:pPr>
              <w:spacing w:after="100"/>
              <w:jc w:val="right"/>
              <w:rPr>
                <w:rFonts w:eastAsia="Times New Roman"/>
              </w:rPr>
            </w:pPr>
            <w:r>
              <w:rPr>
                <w:rFonts w:eastAsia="Times New Roman"/>
                <w:color w:val="000000"/>
                <w:sz w:val="18"/>
                <w:szCs w:val="18"/>
              </w:rPr>
              <w:t>424 </w:t>
            </w:r>
          </w:p>
        </w:tc>
        <w:tc>
          <w:tcPr>
            <w:tcW w:w="0" w:type="auto"/>
            <w:shd w:val="clear" w:color="auto" w:fill="FFFFFF"/>
            <w:tcMar>
              <w:top w:w="30" w:type="dxa"/>
              <w:left w:w="0" w:type="dxa"/>
              <w:bottom w:w="30" w:type="dxa"/>
              <w:right w:w="20" w:type="dxa"/>
            </w:tcMar>
            <w:vAlign w:val="center"/>
            <w:hideMark/>
          </w:tcPr>
          <w:p w14:paraId="74818D9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22718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96A0DCE" w14:textId="77777777" w:rsidR="00000000" w:rsidRDefault="00405D16">
            <w:pPr>
              <w:spacing w:after="100"/>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center"/>
            <w:hideMark/>
          </w:tcPr>
          <w:p w14:paraId="64A04F6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14269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11A7EAD" w14:textId="77777777" w:rsidR="00000000" w:rsidRDefault="00405D16">
            <w:pPr>
              <w:spacing w:after="100"/>
              <w:jc w:val="right"/>
              <w:rPr>
                <w:rFonts w:eastAsia="Times New Roman"/>
              </w:rPr>
            </w:pPr>
            <w:r>
              <w:rPr>
                <w:rFonts w:eastAsia="Times New Roman"/>
                <w:b/>
                <w:bCs/>
                <w:color w:val="000000"/>
                <w:sz w:val="18"/>
                <w:szCs w:val="18"/>
              </w:rPr>
              <w:t>1,295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07A6F5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0D404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B68CDEC" w14:textId="77777777" w:rsidR="00000000" w:rsidRDefault="00405D16">
            <w:pPr>
              <w:spacing w:after="100"/>
              <w:jc w:val="right"/>
              <w:rPr>
                <w:rFonts w:eastAsia="Times New Roman"/>
              </w:rPr>
            </w:pPr>
            <w:r>
              <w:rPr>
                <w:rFonts w:eastAsia="Times New Roman"/>
                <w:color w:val="000000"/>
                <w:sz w:val="18"/>
                <w:szCs w:val="18"/>
              </w:rPr>
              <w:t>1,261 </w:t>
            </w:r>
          </w:p>
        </w:tc>
        <w:tc>
          <w:tcPr>
            <w:tcW w:w="0" w:type="auto"/>
            <w:shd w:val="clear" w:color="auto" w:fill="FFFFFF"/>
            <w:tcMar>
              <w:top w:w="30" w:type="dxa"/>
              <w:left w:w="0" w:type="dxa"/>
              <w:bottom w:w="30" w:type="dxa"/>
              <w:right w:w="20" w:type="dxa"/>
            </w:tcMar>
            <w:vAlign w:val="center"/>
            <w:hideMark/>
          </w:tcPr>
          <w:p w14:paraId="0EB0AB8E" w14:textId="77777777" w:rsidR="00000000" w:rsidRDefault="00405D16">
            <w:pPr>
              <w:spacing w:after="100"/>
              <w:jc w:val="right"/>
              <w:rPr>
                <w:rFonts w:eastAsia="Times New Roman"/>
              </w:rPr>
            </w:pPr>
          </w:p>
        </w:tc>
        <w:tc>
          <w:tcPr>
            <w:tcW w:w="0" w:type="auto"/>
            <w:vAlign w:val="center"/>
            <w:hideMark/>
          </w:tcPr>
          <w:p w14:paraId="2AB231BE" w14:textId="77777777" w:rsidR="00000000" w:rsidRDefault="00405D16">
            <w:pPr>
              <w:spacing w:after="100"/>
              <w:jc w:val="right"/>
              <w:rPr>
                <w:rFonts w:eastAsia="Times New Roman"/>
                <w:sz w:val="20"/>
                <w:szCs w:val="20"/>
              </w:rPr>
            </w:pPr>
          </w:p>
        </w:tc>
        <w:tc>
          <w:tcPr>
            <w:tcW w:w="0" w:type="auto"/>
            <w:vAlign w:val="center"/>
            <w:hideMark/>
          </w:tcPr>
          <w:p w14:paraId="112B009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C388E3"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D673DFD" w14:textId="77777777" w:rsidR="00000000" w:rsidRDefault="00405D16">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center"/>
            <w:hideMark/>
          </w:tcPr>
          <w:p w14:paraId="1CC1DE5E" w14:textId="77777777" w:rsidR="00000000" w:rsidRDefault="00405D16">
            <w:pPr>
              <w:spacing w:after="100"/>
              <w:jc w:val="right"/>
              <w:rPr>
                <w:rFonts w:eastAsia="Times New Roman"/>
              </w:rPr>
            </w:pPr>
          </w:p>
        </w:tc>
        <w:tc>
          <w:tcPr>
            <w:tcW w:w="0" w:type="auto"/>
            <w:gridSpan w:val="3"/>
            <w:vAlign w:val="center"/>
            <w:hideMark/>
          </w:tcPr>
          <w:p w14:paraId="547C6C40" w14:textId="77777777" w:rsidR="00000000" w:rsidRDefault="00405D16">
            <w:pPr>
              <w:spacing w:after="100"/>
              <w:jc w:val="right"/>
              <w:rPr>
                <w:rFonts w:eastAsia="Times New Roman"/>
                <w:sz w:val="20"/>
                <w:szCs w:val="20"/>
              </w:rPr>
            </w:pPr>
          </w:p>
        </w:tc>
        <w:tc>
          <w:tcPr>
            <w:tcW w:w="0" w:type="auto"/>
            <w:gridSpan w:val="3"/>
            <w:vAlign w:val="center"/>
            <w:hideMark/>
          </w:tcPr>
          <w:p w14:paraId="4451C49E" w14:textId="77777777" w:rsidR="00000000" w:rsidRDefault="00405D16">
            <w:pPr>
              <w:spacing w:after="100"/>
              <w:rPr>
                <w:rFonts w:eastAsia="Times New Roman"/>
                <w:sz w:val="20"/>
                <w:szCs w:val="20"/>
              </w:rPr>
            </w:pPr>
          </w:p>
        </w:tc>
      </w:tr>
      <w:tr w:rsidR="00000000" w14:paraId="16A95A34" w14:textId="77777777">
        <w:trPr>
          <w:divId w:val="520245585"/>
        </w:trPr>
        <w:tc>
          <w:tcPr>
            <w:tcW w:w="0" w:type="auto"/>
            <w:gridSpan w:val="3"/>
            <w:shd w:val="clear" w:color="auto" w:fill="CCEEFF"/>
            <w:tcMar>
              <w:top w:w="30" w:type="dxa"/>
              <w:left w:w="20" w:type="dxa"/>
              <w:bottom w:w="30" w:type="dxa"/>
              <w:right w:w="20" w:type="dxa"/>
            </w:tcMar>
            <w:vAlign w:val="center"/>
            <w:hideMark/>
          </w:tcPr>
          <w:p w14:paraId="2046509A" w14:textId="77777777" w:rsidR="00000000" w:rsidRDefault="00405D16">
            <w:pPr>
              <w:spacing w:after="100"/>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CCEEFF"/>
            <w:tcMar>
              <w:top w:w="0" w:type="dxa"/>
              <w:left w:w="20" w:type="dxa"/>
              <w:bottom w:w="0" w:type="dxa"/>
              <w:right w:w="20" w:type="dxa"/>
            </w:tcMar>
            <w:vAlign w:val="center"/>
            <w:hideMark/>
          </w:tcPr>
          <w:p w14:paraId="448EF4B8"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B4F0957" w14:textId="77777777" w:rsidR="00000000" w:rsidRDefault="00405D16">
            <w:pPr>
              <w:spacing w:after="100"/>
              <w:jc w:val="right"/>
              <w:rPr>
                <w:rFonts w:eastAsia="Times New Roman"/>
              </w:rPr>
            </w:pPr>
            <w:r>
              <w:rPr>
                <w:rFonts w:eastAsia="Times New Roman"/>
                <w:b/>
                <w:bCs/>
                <w:color w:val="000000"/>
                <w:sz w:val="18"/>
                <w:szCs w:val="18"/>
              </w:rPr>
              <w:t>478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2627E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D64FF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4C79325" w14:textId="77777777" w:rsidR="00000000" w:rsidRDefault="00405D16">
            <w:pPr>
              <w:spacing w:after="100"/>
              <w:jc w:val="right"/>
              <w:rPr>
                <w:rFonts w:eastAsia="Times New Roman"/>
              </w:rPr>
            </w:pPr>
            <w:r>
              <w:rPr>
                <w:rFonts w:eastAsia="Times New Roman"/>
                <w:color w:val="000000"/>
                <w:sz w:val="18"/>
                <w:szCs w:val="18"/>
              </w:rPr>
              <w:t>404 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64E48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A10E0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1A2FDDB" w14:textId="77777777" w:rsidR="00000000" w:rsidRDefault="00405D16">
            <w:pPr>
              <w:spacing w:after="100"/>
              <w:jc w:val="right"/>
              <w:rPr>
                <w:rFonts w:eastAsia="Times New Roman"/>
              </w:rPr>
            </w:pPr>
            <w:r>
              <w:rPr>
                <w:rFonts w:eastAsia="Times New Roman"/>
                <w:color w:val="000000"/>
                <w:sz w:val="18"/>
                <w:szCs w:val="18"/>
              </w:rPr>
              <w:t>18 </w:t>
            </w:r>
          </w:p>
        </w:tc>
        <w:tc>
          <w:tcPr>
            <w:tcW w:w="0" w:type="auto"/>
            <w:shd w:val="clear" w:color="auto" w:fill="CCEEFF"/>
            <w:tcMar>
              <w:top w:w="30" w:type="dxa"/>
              <w:left w:w="0" w:type="dxa"/>
              <w:bottom w:w="30" w:type="dxa"/>
              <w:right w:w="20" w:type="dxa"/>
            </w:tcMar>
            <w:vAlign w:val="center"/>
            <w:hideMark/>
          </w:tcPr>
          <w:p w14:paraId="34F1649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ACF13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4AF78B8" w14:textId="77777777" w:rsidR="00000000" w:rsidRDefault="00405D16">
            <w:pPr>
              <w:spacing w:after="100"/>
              <w:jc w:val="right"/>
              <w:rPr>
                <w:rFonts w:eastAsia="Times New Roman"/>
              </w:rPr>
            </w:pPr>
            <w:r>
              <w:rPr>
                <w:rFonts w:eastAsia="Times New Roman"/>
                <w:b/>
                <w:bCs/>
                <w:color w:val="000000"/>
                <w:sz w:val="18"/>
                <w:szCs w:val="18"/>
              </w:rPr>
              <w:t>1,541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B6F03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2AC28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E768134" w14:textId="77777777" w:rsidR="00000000" w:rsidRDefault="00405D16">
            <w:pPr>
              <w:spacing w:after="100"/>
              <w:jc w:val="right"/>
              <w:rPr>
                <w:rFonts w:eastAsia="Times New Roman"/>
              </w:rPr>
            </w:pPr>
            <w:r>
              <w:rPr>
                <w:rFonts w:eastAsia="Times New Roman"/>
                <w:color w:val="000000"/>
                <w:sz w:val="18"/>
                <w:szCs w:val="18"/>
              </w:rPr>
              <w:t>(289)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476389" w14:textId="77777777" w:rsidR="00000000" w:rsidRDefault="00405D16">
            <w:pPr>
              <w:spacing w:after="100"/>
              <w:jc w:val="right"/>
              <w:rPr>
                <w:rFonts w:eastAsia="Times New Roman"/>
              </w:rPr>
            </w:pPr>
          </w:p>
        </w:tc>
        <w:tc>
          <w:tcPr>
            <w:tcW w:w="0" w:type="auto"/>
            <w:vAlign w:val="center"/>
            <w:hideMark/>
          </w:tcPr>
          <w:p w14:paraId="24C248BA" w14:textId="77777777" w:rsidR="00000000" w:rsidRDefault="00405D16">
            <w:pPr>
              <w:spacing w:after="100"/>
              <w:jc w:val="right"/>
              <w:rPr>
                <w:rFonts w:eastAsia="Times New Roman"/>
                <w:sz w:val="20"/>
                <w:szCs w:val="20"/>
              </w:rPr>
            </w:pPr>
          </w:p>
        </w:tc>
        <w:tc>
          <w:tcPr>
            <w:tcW w:w="0" w:type="auto"/>
            <w:vAlign w:val="center"/>
            <w:hideMark/>
          </w:tcPr>
          <w:p w14:paraId="4C6CC5C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EB9A8B" w14:textId="77777777" w:rsidR="00000000" w:rsidRDefault="00405D16">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00946BAA"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58F30FD4" w14:textId="77777777" w:rsidR="00000000" w:rsidRDefault="00405D16">
            <w:pPr>
              <w:spacing w:after="100"/>
              <w:jc w:val="right"/>
              <w:rPr>
                <w:rFonts w:eastAsia="Times New Roman"/>
              </w:rPr>
            </w:pPr>
          </w:p>
        </w:tc>
        <w:tc>
          <w:tcPr>
            <w:tcW w:w="0" w:type="auto"/>
            <w:gridSpan w:val="3"/>
            <w:vAlign w:val="center"/>
            <w:hideMark/>
          </w:tcPr>
          <w:p w14:paraId="7FB32542" w14:textId="77777777" w:rsidR="00000000" w:rsidRDefault="00405D16">
            <w:pPr>
              <w:spacing w:after="100"/>
              <w:rPr>
                <w:rFonts w:eastAsia="Times New Roman"/>
                <w:sz w:val="20"/>
                <w:szCs w:val="20"/>
              </w:rPr>
            </w:pPr>
          </w:p>
        </w:tc>
      </w:tr>
      <w:tr w:rsidR="00000000" w14:paraId="477D2461" w14:textId="77777777">
        <w:trPr>
          <w:divId w:val="520245585"/>
        </w:trPr>
        <w:tc>
          <w:tcPr>
            <w:tcW w:w="0" w:type="auto"/>
            <w:gridSpan w:val="3"/>
            <w:shd w:val="clear" w:color="auto" w:fill="FFFFFF"/>
            <w:tcMar>
              <w:top w:w="30" w:type="dxa"/>
              <w:left w:w="20" w:type="dxa"/>
              <w:bottom w:w="30" w:type="dxa"/>
              <w:right w:w="20" w:type="dxa"/>
            </w:tcMar>
            <w:vAlign w:val="center"/>
            <w:hideMark/>
          </w:tcPr>
          <w:p w14:paraId="79F62EDD" w14:textId="77777777" w:rsidR="00000000" w:rsidRDefault="00405D16">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FFFFFF"/>
            <w:tcMar>
              <w:top w:w="0" w:type="dxa"/>
              <w:left w:w="20" w:type="dxa"/>
              <w:bottom w:w="0" w:type="dxa"/>
              <w:right w:w="20" w:type="dxa"/>
            </w:tcMar>
            <w:vAlign w:val="center"/>
            <w:hideMark/>
          </w:tcPr>
          <w:p w14:paraId="7470DA67"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877A704" w14:textId="77777777" w:rsidR="00000000" w:rsidRDefault="00405D16">
            <w:pPr>
              <w:spacing w:after="100"/>
              <w:jc w:val="right"/>
              <w:rPr>
                <w:rFonts w:eastAsia="Times New Roman"/>
              </w:rPr>
            </w:pPr>
            <w:r>
              <w:rPr>
                <w:rFonts w:eastAsia="Times New Roman"/>
                <w:b/>
                <w:bCs/>
                <w:color w:val="000000"/>
                <w:sz w:val="18"/>
                <w:szCs w:val="18"/>
              </w:rPr>
              <w:t>113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14F193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867DB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C919433" w14:textId="77777777" w:rsidR="00000000" w:rsidRDefault="00405D16">
            <w:pPr>
              <w:spacing w:after="100"/>
              <w:jc w:val="right"/>
              <w:rPr>
                <w:rFonts w:eastAsia="Times New Roman"/>
              </w:rPr>
            </w:pPr>
            <w:r>
              <w:rPr>
                <w:rFonts w:eastAsia="Times New Roman"/>
                <w:color w:val="000000"/>
                <w:sz w:val="18"/>
                <w:szCs w:val="18"/>
              </w:rPr>
              <w:t>95 </w:t>
            </w:r>
          </w:p>
        </w:tc>
        <w:tc>
          <w:tcPr>
            <w:tcW w:w="0" w:type="auto"/>
            <w:shd w:val="clear" w:color="auto" w:fill="FFFFFF"/>
            <w:tcMar>
              <w:top w:w="30" w:type="dxa"/>
              <w:left w:w="0" w:type="dxa"/>
              <w:bottom w:w="30" w:type="dxa"/>
              <w:right w:w="20" w:type="dxa"/>
            </w:tcMar>
            <w:vAlign w:val="center"/>
            <w:hideMark/>
          </w:tcPr>
          <w:p w14:paraId="17EF1D4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4301D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4AA4ECC" w14:textId="77777777" w:rsidR="00000000" w:rsidRDefault="00405D16">
            <w:pPr>
              <w:spacing w:after="100"/>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vAlign w:val="center"/>
            <w:hideMark/>
          </w:tcPr>
          <w:p w14:paraId="749DE31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1CDFC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6C20F57" w14:textId="77777777" w:rsidR="00000000" w:rsidRDefault="00405D16">
            <w:pPr>
              <w:spacing w:after="100"/>
              <w:jc w:val="right"/>
              <w:rPr>
                <w:rFonts w:eastAsia="Times New Roman"/>
              </w:rPr>
            </w:pPr>
            <w:r>
              <w:rPr>
                <w:rFonts w:eastAsia="Times New Roman"/>
                <w:b/>
                <w:bCs/>
                <w:color w:val="000000"/>
                <w:sz w:val="18"/>
                <w:szCs w:val="18"/>
              </w:rPr>
              <w:t>364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DD356F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BC442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4907B9E" w14:textId="77777777" w:rsidR="00000000" w:rsidRDefault="00405D16">
            <w:pPr>
              <w:spacing w:after="100"/>
              <w:jc w:val="right"/>
              <w:rPr>
                <w:rFonts w:eastAsia="Times New Roman"/>
              </w:rPr>
            </w:pPr>
            <w:r>
              <w:rPr>
                <w:rFonts w:eastAsia="Times New Roman"/>
                <w:color w:val="000000"/>
                <w:sz w:val="18"/>
                <w:szCs w:val="18"/>
              </w:rPr>
              <w:t>(69)</w:t>
            </w:r>
          </w:p>
        </w:tc>
        <w:tc>
          <w:tcPr>
            <w:tcW w:w="0" w:type="auto"/>
            <w:shd w:val="clear" w:color="auto" w:fill="FFFFFF"/>
            <w:tcMar>
              <w:top w:w="30" w:type="dxa"/>
              <w:left w:w="0" w:type="dxa"/>
              <w:bottom w:w="30" w:type="dxa"/>
              <w:right w:w="20" w:type="dxa"/>
            </w:tcMar>
            <w:vAlign w:val="center"/>
            <w:hideMark/>
          </w:tcPr>
          <w:p w14:paraId="25E32D3F" w14:textId="77777777" w:rsidR="00000000" w:rsidRDefault="00405D16">
            <w:pPr>
              <w:spacing w:after="100"/>
              <w:jc w:val="right"/>
              <w:rPr>
                <w:rFonts w:eastAsia="Times New Roman"/>
              </w:rPr>
            </w:pPr>
          </w:p>
        </w:tc>
        <w:tc>
          <w:tcPr>
            <w:tcW w:w="0" w:type="auto"/>
            <w:vAlign w:val="center"/>
            <w:hideMark/>
          </w:tcPr>
          <w:p w14:paraId="174BA35B" w14:textId="77777777" w:rsidR="00000000" w:rsidRDefault="00405D16">
            <w:pPr>
              <w:spacing w:after="100"/>
              <w:jc w:val="right"/>
              <w:rPr>
                <w:rFonts w:eastAsia="Times New Roman"/>
                <w:sz w:val="20"/>
                <w:szCs w:val="20"/>
              </w:rPr>
            </w:pPr>
          </w:p>
        </w:tc>
        <w:tc>
          <w:tcPr>
            <w:tcW w:w="0" w:type="auto"/>
            <w:vAlign w:val="center"/>
            <w:hideMark/>
          </w:tcPr>
          <w:p w14:paraId="4BC688E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7E5A76" w14:textId="77777777" w:rsidR="00000000" w:rsidRDefault="00405D16">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7C612D37"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37109AB5" w14:textId="77777777" w:rsidR="00000000" w:rsidRDefault="00405D16">
            <w:pPr>
              <w:spacing w:after="100"/>
              <w:jc w:val="right"/>
              <w:rPr>
                <w:rFonts w:eastAsia="Times New Roman"/>
              </w:rPr>
            </w:pPr>
          </w:p>
        </w:tc>
        <w:tc>
          <w:tcPr>
            <w:tcW w:w="0" w:type="auto"/>
            <w:gridSpan w:val="3"/>
            <w:vAlign w:val="center"/>
            <w:hideMark/>
          </w:tcPr>
          <w:p w14:paraId="130BD1D2" w14:textId="77777777" w:rsidR="00000000" w:rsidRDefault="00405D16">
            <w:pPr>
              <w:spacing w:after="100"/>
              <w:rPr>
                <w:rFonts w:eastAsia="Times New Roman"/>
                <w:sz w:val="20"/>
                <w:szCs w:val="20"/>
              </w:rPr>
            </w:pPr>
          </w:p>
        </w:tc>
      </w:tr>
      <w:tr w:rsidR="00000000" w14:paraId="20B6FA8B" w14:textId="77777777">
        <w:trPr>
          <w:divId w:val="520245585"/>
        </w:trPr>
        <w:tc>
          <w:tcPr>
            <w:tcW w:w="0" w:type="auto"/>
            <w:gridSpan w:val="3"/>
            <w:shd w:val="clear" w:color="auto" w:fill="CCEEFF"/>
            <w:tcMar>
              <w:top w:w="30" w:type="dxa"/>
              <w:left w:w="20" w:type="dxa"/>
              <w:bottom w:w="30" w:type="dxa"/>
              <w:right w:w="20" w:type="dxa"/>
            </w:tcMar>
            <w:vAlign w:val="center"/>
            <w:hideMark/>
          </w:tcPr>
          <w:p w14:paraId="26E974D5" w14:textId="77777777" w:rsidR="00000000" w:rsidRDefault="00405D16">
            <w:pPr>
              <w:spacing w:after="100"/>
              <w:rPr>
                <w:rFonts w:eastAsia="Times New Roman"/>
              </w:rPr>
            </w:pPr>
            <w:r>
              <w:rPr>
                <w:rFonts w:eastAsia="Times New Roman"/>
                <w:color w:val="000000"/>
                <w:sz w:val="18"/>
                <w:szCs w:val="18"/>
              </w:rPr>
              <w:t>Income (loss) from continuing operations, net of tax</w:t>
            </w:r>
          </w:p>
        </w:tc>
        <w:tc>
          <w:tcPr>
            <w:tcW w:w="0" w:type="auto"/>
            <w:gridSpan w:val="3"/>
            <w:shd w:val="clear" w:color="auto" w:fill="CCEEFF"/>
            <w:tcMar>
              <w:top w:w="0" w:type="dxa"/>
              <w:left w:w="20" w:type="dxa"/>
              <w:bottom w:w="0" w:type="dxa"/>
              <w:right w:w="20" w:type="dxa"/>
            </w:tcMar>
            <w:vAlign w:val="center"/>
            <w:hideMark/>
          </w:tcPr>
          <w:p w14:paraId="6533CFD1"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FB866DC"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04EC8E9" w14:textId="77777777" w:rsidR="00000000" w:rsidRDefault="00405D16">
            <w:pPr>
              <w:spacing w:after="100"/>
              <w:jc w:val="right"/>
              <w:rPr>
                <w:rFonts w:eastAsia="Times New Roman"/>
              </w:rPr>
            </w:pPr>
            <w:r>
              <w:rPr>
                <w:rFonts w:eastAsia="Times New Roman"/>
                <w:b/>
                <w:bCs/>
                <w:color w:val="000000"/>
                <w:sz w:val="18"/>
                <w:szCs w:val="18"/>
              </w:rPr>
              <w:t>365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97E54F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8E0B53"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A556492"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8FFDA5B" w14:textId="77777777" w:rsidR="00000000" w:rsidRDefault="00405D16">
            <w:pPr>
              <w:spacing w:after="100"/>
              <w:jc w:val="right"/>
              <w:rPr>
                <w:rFonts w:eastAsia="Times New Roman"/>
              </w:rPr>
            </w:pPr>
            <w:r>
              <w:rPr>
                <w:rFonts w:eastAsia="Times New Roman"/>
                <w:color w:val="000000"/>
                <w:sz w:val="18"/>
                <w:szCs w:val="18"/>
              </w:rPr>
              <w:t>309 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A689A1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EB632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648AFDB" w14:textId="77777777" w:rsidR="00000000" w:rsidRDefault="00405D16">
            <w:pPr>
              <w:spacing w:after="100"/>
              <w:jc w:val="right"/>
              <w:rPr>
                <w:rFonts w:eastAsia="Times New Roman"/>
              </w:rPr>
            </w:pPr>
            <w:r>
              <w:rPr>
                <w:rFonts w:eastAsia="Times New Roman"/>
                <w:color w:val="000000"/>
                <w:sz w:val="18"/>
                <w:szCs w:val="18"/>
              </w:rPr>
              <w:t>18 </w:t>
            </w:r>
          </w:p>
        </w:tc>
        <w:tc>
          <w:tcPr>
            <w:tcW w:w="0" w:type="auto"/>
            <w:shd w:val="clear" w:color="auto" w:fill="CCEEFF"/>
            <w:tcMar>
              <w:top w:w="30" w:type="dxa"/>
              <w:left w:w="0" w:type="dxa"/>
              <w:bottom w:w="30" w:type="dxa"/>
              <w:right w:w="20" w:type="dxa"/>
            </w:tcMar>
            <w:vAlign w:val="center"/>
            <w:hideMark/>
          </w:tcPr>
          <w:p w14:paraId="3D8F3DC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42A1C3"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64489D7"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E68A1F9" w14:textId="77777777" w:rsidR="00000000" w:rsidRDefault="00405D16">
            <w:pPr>
              <w:spacing w:after="100"/>
              <w:jc w:val="right"/>
              <w:rPr>
                <w:rFonts w:eastAsia="Times New Roman"/>
              </w:rPr>
            </w:pPr>
            <w:r>
              <w:rPr>
                <w:rFonts w:eastAsia="Times New Roman"/>
                <w:b/>
                <w:bCs/>
                <w:color w:val="000000"/>
                <w:sz w:val="18"/>
                <w:szCs w:val="18"/>
              </w:rPr>
              <w:t>1,177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F1A8F0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ED8A2F"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BDAFEF8"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B745E63" w14:textId="77777777" w:rsidR="00000000" w:rsidRDefault="00405D16">
            <w:pPr>
              <w:spacing w:after="100"/>
              <w:jc w:val="right"/>
              <w:rPr>
                <w:rFonts w:eastAsia="Times New Roman"/>
              </w:rPr>
            </w:pPr>
            <w:r>
              <w:rPr>
                <w:rFonts w:eastAsia="Times New Roman"/>
                <w:color w:val="000000"/>
                <w:sz w:val="18"/>
                <w:szCs w:val="18"/>
              </w:rPr>
              <w:t>(220)</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A55E431" w14:textId="77777777" w:rsidR="00000000" w:rsidRDefault="00405D16">
            <w:pPr>
              <w:spacing w:after="100"/>
              <w:jc w:val="right"/>
              <w:rPr>
                <w:rFonts w:eastAsia="Times New Roman"/>
              </w:rPr>
            </w:pPr>
          </w:p>
        </w:tc>
        <w:tc>
          <w:tcPr>
            <w:tcW w:w="0" w:type="auto"/>
            <w:vAlign w:val="center"/>
            <w:hideMark/>
          </w:tcPr>
          <w:p w14:paraId="5C1FF8AD" w14:textId="77777777" w:rsidR="00000000" w:rsidRDefault="00405D16">
            <w:pPr>
              <w:spacing w:after="100"/>
              <w:jc w:val="right"/>
              <w:rPr>
                <w:rFonts w:eastAsia="Times New Roman"/>
                <w:sz w:val="20"/>
                <w:szCs w:val="20"/>
              </w:rPr>
            </w:pPr>
          </w:p>
        </w:tc>
        <w:tc>
          <w:tcPr>
            <w:tcW w:w="0" w:type="auto"/>
            <w:vAlign w:val="center"/>
            <w:hideMark/>
          </w:tcPr>
          <w:p w14:paraId="5193EC9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E97F8E" w14:textId="77777777" w:rsidR="00000000" w:rsidRDefault="00405D16">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42CF44BA"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248C5AC1" w14:textId="77777777" w:rsidR="00000000" w:rsidRDefault="00405D16">
            <w:pPr>
              <w:spacing w:after="100"/>
              <w:jc w:val="right"/>
              <w:rPr>
                <w:rFonts w:eastAsia="Times New Roman"/>
              </w:rPr>
            </w:pPr>
          </w:p>
        </w:tc>
        <w:tc>
          <w:tcPr>
            <w:tcW w:w="0" w:type="auto"/>
            <w:gridSpan w:val="3"/>
            <w:vAlign w:val="center"/>
            <w:hideMark/>
          </w:tcPr>
          <w:p w14:paraId="37826705" w14:textId="77777777" w:rsidR="00000000" w:rsidRDefault="00405D16">
            <w:pPr>
              <w:spacing w:after="100"/>
              <w:rPr>
                <w:rFonts w:eastAsia="Times New Roman"/>
                <w:sz w:val="20"/>
                <w:szCs w:val="20"/>
              </w:rPr>
            </w:pPr>
          </w:p>
        </w:tc>
      </w:tr>
      <w:tr w:rsidR="00000000" w14:paraId="108751C9" w14:textId="77777777">
        <w:trPr>
          <w:divId w:val="520245585"/>
        </w:trPr>
        <w:tc>
          <w:tcPr>
            <w:tcW w:w="0" w:type="auto"/>
            <w:gridSpan w:val="3"/>
            <w:shd w:val="clear" w:color="auto" w:fill="FFFFFF"/>
            <w:tcMar>
              <w:top w:w="30" w:type="dxa"/>
              <w:left w:w="20" w:type="dxa"/>
              <w:bottom w:w="30" w:type="dxa"/>
              <w:right w:w="20" w:type="dxa"/>
            </w:tcMar>
            <w:vAlign w:val="center"/>
            <w:hideMark/>
          </w:tcPr>
          <w:p w14:paraId="26B6642A" w14:textId="77777777" w:rsidR="00000000" w:rsidRDefault="00405D16">
            <w:pPr>
              <w:spacing w:after="100"/>
              <w:rPr>
                <w:rFonts w:eastAsia="Times New Roman"/>
              </w:rPr>
            </w:pPr>
            <w:r>
              <w:rPr>
                <w:rFonts w:eastAsia="Times New Roman"/>
                <w:b/>
                <w:bCs/>
                <w:color w:val="000000"/>
                <w:sz w:val="18"/>
                <w:szCs w:val="18"/>
              </w:rPr>
              <w:t>Selected performance metrics:</w:t>
            </w:r>
          </w:p>
        </w:tc>
        <w:tc>
          <w:tcPr>
            <w:tcW w:w="0" w:type="auto"/>
            <w:gridSpan w:val="3"/>
            <w:shd w:val="clear" w:color="auto" w:fill="FFFFFF"/>
            <w:tcMar>
              <w:top w:w="0" w:type="dxa"/>
              <w:left w:w="20" w:type="dxa"/>
              <w:bottom w:w="0" w:type="dxa"/>
              <w:right w:w="20" w:type="dxa"/>
            </w:tcMar>
            <w:vAlign w:val="center"/>
            <w:hideMark/>
          </w:tcPr>
          <w:p w14:paraId="3E2D658A" w14:textId="77777777" w:rsidR="00000000" w:rsidRDefault="00405D16">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E9D478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CD210B"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2795C2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D1A7C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1F369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7D4374"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291666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1225CF"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6412602" w14:textId="77777777" w:rsidR="00000000" w:rsidRDefault="00405D16">
            <w:pPr>
              <w:spacing w:after="100"/>
              <w:rPr>
                <w:rFonts w:eastAsia="Times New Roman"/>
                <w:sz w:val="20"/>
                <w:szCs w:val="20"/>
              </w:rPr>
            </w:pPr>
          </w:p>
        </w:tc>
        <w:tc>
          <w:tcPr>
            <w:tcW w:w="0" w:type="auto"/>
            <w:vAlign w:val="center"/>
            <w:hideMark/>
          </w:tcPr>
          <w:p w14:paraId="5C5BE0DC" w14:textId="77777777" w:rsidR="00000000" w:rsidRDefault="00405D16">
            <w:pPr>
              <w:spacing w:after="100"/>
              <w:rPr>
                <w:rFonts w:eastAsia="Times New Roman"/>
                <w:sz w:val="20"/>
                <w:szCs w:val="20"/>
              </w:rPr>
            </w:pPr>
          </w:p>
        </w:tc>
        <w:tc>
          <w:tcPr>
            <w:tcW w:w="0" w:type="auto"/>
            <w:vAlign w:val="center"/>
            <w:hideMark/>
          </w:tcPr>
          <w:p w14:paraId="4BCE325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6ED67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26E51A" w14:textId="77777777" w:rsidR="00000000" w:rsidRDefault="00405D16">
            <w:pPr>
              <w:spacing w:after="100"/>
              <w:rPr>
                <w:rFonts w:eastAsia="Times New Roman"/>
                <w:sz w:val="20"/>
                <w:szCs w:val="20"/>
              </w:rPr>
            </w:pPr>
          </w:p>
        </w:tc>
        <w:tc>
          <w:tcPr>
            <w:tcW w:w="0" w:type="auto"/>
            <w:gridSpan w:val="3"/>
            <w:vAlign w:val="center"/>
            <w:hideMark/>
          </w:tcPr>
          <w:p w14:paraId="2A300E08" w14:textId="77777777" w:rsidR="00000000" w:rsidRDefault="00405D16">
            <w:pPr>
              <w:spacing w:after="100"/>
              <w:rPr>
                <w:rFonts w:eastAsia="Times New Roman"/>
                <w:sz w:val="20"/>
                <w:szCs w:val="20"/>
              </w:rPr>
            </w:pPr>
          </w:p>
        </w:tc>
        <w:tc>
          <w:tcPr>
            <w:tcW w:w="0" w:type="auto"/>
            <w:gridSpan w:val="3"/>
            <w:vAlign w:val="center"/>
            <w:hideMark/>
          </w:tcPr>
          <w:p w14:paraId="10971EDA" w14:textId="77777777" w:rsidR="00000000" w:rsidRDefault="00405D16">
            <w:pPr>
              <w:spacing w:after="100"/>
              <w:rPr>
                <w:rFonts w:eastAsia="Times New Roman"/>
                <w:sz w:val="20"/>
                <w:szCs w:val="20"/>
              </w:rPr>
            </w:pPr>
          </w:p>
        </w:tc>
      </w:tr>
      <w:tr w:rsidR="00000000" w14:paraId="79B043EF" w14:textId="77777777">
        <w:trPr>
          <w:divId w:val="520245585"/>
        </w:trPr>
        <w:tc>
          <w:tcPr>
            <w:tcW w:w="0" w:type="auto"/>
            <w:gridSpan w:val="3"/>
            <w:shd w:val="clear" w:color="auto" w:fill="CCEEFF"/>
            <w:tcMar>
              <w:top w:w="30" w:type="dxa"/>
              <w:left w:w="20" w:type="dxa"/>
              <w:bottom w:w="30" w:type="dxa"/>
              <w:right w:w="20" w:type="dxa"/>
            </w:tcMar>
            <w:vAlign w:val="center"/>
            <w:hideMark/>
          </w:tcPr>
          <w:p w14:paraId="32595586" w14:textId="77777777" w:rsidR="00000000" w:rsidRDefault="00405D16">
            <w:pPr>
              <w:spacing w:after="100"/>
              <w:rPr>
                <w:rFonts w:eastAsia="Times New Roman"/>
              </w:rPr>
            </w:pPr>
            <w:r>
              <w:rPr>
                <w:rFonts w:eastAsia="Times New Roman"/>
                <w:color w:val="000000"/>
                <w:sz w:val="18"/>
                <w:szCs w:val="18"/>
              </w:rPr>
              <w:t>Average loans held for investment:</w:t>
            </w:r>
          </w:p>
        </w:tc>
        <w:tc>
          <w:tcPr>
            <w:tcW w:w="0" w:type="auto"/>
            <w:gridSpan w:val="3"/>
            <w:shd w:val="clear" w:color="auto" w:fill="CCEEFF"/>
            <w:tcMar>
              <w:top w:w="0" w:type="dxa"/>
              <w:left w:w="20" w:type="dxa"/>
              <w:bottom w:w="0" w:type="dxa"/>
              <w:right w:w="20" w:type="dxa"/>
            </w:tcMar>
            <w:vAlign w:val="center"/>
            <w:hideMark/>
          </w:tcPr>
          <w:p w14:paraId="2832D6CA"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66C67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D7CCB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D494D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5FD81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F1190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5B2B3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95C3D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87917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E41ABC" w14:textId="77777777" w:rsidR="00000000" w:rsidRDefault="00405D16">
            <w:pPr>
              <w:spacing w:after="100"/>
              <w:rPr>
                <w:rFonts w:eastAsia="Times New Roman"/>
                <w:sz w:val="20"/>
                <w:szCs w:val="20"/>
              </w:rPr>
            </w:pPr>
          </w:p>
        </w:tc>
        <w:tc>
          <w:tcPr>
            <w:tcW w:w="0" w:type="auto"/>
            <w:vAlign w:val="center"/>
            <w:hideMark/>
          </w:tcPr>
          <w:p w14:paraId="38E260FC" w14:textId="77777777" w:rsidR="00000000" w:rsidRDefault="00405D16">
            <w:pPr>
              <w:spacing w:after="100"/>
              <w:rPr>
                <w:rFonts w:eastAsia="Times New Roman"/>
                <w:sz w:val="20"/>
                <w:szCs w:val="20"/>
              </w:rPr>
            </w:pPr>
          </w:p>
        </w:tc>
        <w:tc>
          <w:tcPr>
            <w:tcW w:w="0" w:type="auto"/>
            <w:vAlign w:val="center"/>
            <w:hideMark/>
          </w:tcPr>
          <w:p w14:paraId="5FAF705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75E72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311DA2" w14:textId="77777777" w:rsidR="00000000" w:rsidRDefault="00405D16">
            <w:pPr>
              <w:spacing w:after="100"/>
              <w:rPr>
                <w:rFonts w:eastAsia="Times New Roman"/>
                <w:sz w:val="20"/>
                <w:szCs w:val="20"/>
              </w:rPr>
            </w:pPr>
          </w:p>
        </w:tc>
        <w:tc>
          <w:tcPr>
            <w:tcW w:w="0" w:type="auto"/>
            <w:gridSpan w:val="3"/>
            <w:vAlign w:val="center"/>
            <w:hideMark/>
          </w:tcPr>
          <w:p w14:paraId="0D4A8341" w14:textId="77777777" w:rsidR="00000000" w:rsidRDefault="00405D16">
            <w:pPr>
              <w:spacing w:after="100"/>
              <w:rPr>
                <w:rFonts w:eastAsia="Times New Roman"/>
                <w:sz w:val="20"/>
                <w:szCs w:val="20"/>
              </w:rPr>
            </w:pPr>
          </w:p>
        </w:tc>
        <w:tc>
          <w:tcPr>
            <w:tcW w:w="0" w:type="auto"/>
            <w:gridSpan w:val="3"/>
            <w:vAlign w:val="center"/>
            <w:hideMark/>
          </w:tcPr>
          <w:p w14:paraId="7E9A1F50" w14:textId="77777777" w:rsidR="00000000" w:rsidRDefault="00405D16">
            <w:pPr>
              <w:spacing w:after="100"/>
              <w:rPr>
                <w:rFonts w:eastAsia="Times New Roman"/>
                <w:sz w:val="20"/>
                <w:szCs w:val="20"/>
              </w:rPr>
            </w:pPr>
          </w:p>
        </w:tc>
      </w:tr>
      <w:tr w:rsidR="00000000" w14:paraId="20580A75" w14:textId="77777777">
        <w:trPr>
          <w:divId w:val="520245585"/>
        </w:trPr>
        <w:tc>
          <w:tcPr>
            <w:tcW w:w="0" w:type="auto"/>
            <w:gridSpan w:val="3"/>
            <w:shd w:val="clear" w:color="auto" w:fill="FFFFFF"/>
            <w:tcMar>
              <w:top w:w="30" w:type="dxa"/>
              <w:left w:w="245" w:type="dxa"/>
              <w:bottom w:w="30" w:type="dxa"/>
              <w:right w:w="20" w:type="dxa"/>
            </w:tcMar>
            <w:vAlign w:val="center"/>
            <w:hideMark/>
          </w:tcPr>
          <w:p w14:paraId="7A2B1C09" w14:textId="77777777" w:rsidR="00000000" w:rsidRDefault="00405D16">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14:paraId="62DF7AFB"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327DD6D0"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20A6A50F" w14:textId="77777777" w:rsidR="00000000" w:rsidRDefault="00405D16">
            <w:pPr>
              <w:spacing w:after="100"/>
              <w:jc w:val="right"/>
              <w:rPr>
                <w:rFonts w:eastAsia="Times New Roman"/>
              </w:rPr>
            </w:pPr>
            <w:r>
              <w:rPr>
                <w:rFonts w:eastAsia="Times New Roman"/>
                <w:b/>
                <w:bCs/>
                <w:color w:val="000000"/>
                <w:sz w:val="18"/>
                <w:szCs w:val="18"/>
              </w:rPr>
              <w:t>30,314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416EC7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7A7E06"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C41A27D"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2D038E6C" w14:textId="77777777" w:rsidR="00000000" w:rsidRDefault="00405D16">
            <w:pPr>
              <w:spacing w:after="100"/>
              <w:jc w:val="right"/>
              <w:rPr>
                <w:rFonts w:eastAsia="Times New Roman"/>
              </w:rPr>
            </w:pPr>
            <w:r>
              <w:rPr>
                <w:rFonts w:eastAsia="Times New Roman"/>
                <w:color w:val="000000"/>
                <w:sz w:val="18"/>
                <w:szCs w:val="18"/>
              </w:rPr>
              <w:t>30,918 </w:t>
            </w:r>
          </w:p>
        </w:tc>
        <w:tc>
          <w:tcPr>
            <w:tcW w:w="0" w:type="auto"/>
            <w:shd w:val="clear" w:color="auto" w:fill="FFFFFF"/>
            <w:tcMar>
              <w:top w:w="30" w:type="dxa"/>
              <w:left w:w="0" w:type="dxa"/>
              <w:bottom w:w="30" w:type="dxa"/>
              <w:right w:w="20" w:type="dxa"/>
            </w:tcMar>
            <w:vAlign w:val="center"/>
            <w:hideMark/>
          </w:tcPr>
          <w:p w14:paraId="7C7B863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D8188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231263D" w14:textId="77777777" w:rsidR="00000000" w:rsidRDefault="00405D16">
            <w:pPr>
              <w:spacing w:after="100"/>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center"/>
            <w:hideMark/>
          </w:tcPr>
          <w:p w14:paraId="1294EB6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17577B"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884090F"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7C5C7C8E" w14:textId="77777777" w:rsidR="00000000" w:rsidRDefault="00405D16">
            <w:pPr>
              <w:spacing w:after="100"/>
              <w:jc w:val="right"/>
              <w:rPr>
                <w:rFonts w:eastAsia="Times New Roman"/>
              </w:rPr>
            </w:pPr>
            <w:r>
              <w:rPr>
                <w:rFonts w:eastAsia="Times New Roman"/>
                <w:b/>
                <w:bCs/>
                <w:color w:val="000000"/>
                <w:sz w:val="18"/>
                <w:szCs w:val="18"/>
              </w:rPr>
              <w:t>30,100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3235A6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4F32BF"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F5ABEBA"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1753C15C" w14:textId="77777777" w:rsidR="00000000" w:rsidRDefault="00405D16">
            <w:pPr>
              <w:spacing w:after="100"/>
              <w:jc w:val="right"/>
              <w:rPr>
                <w:rFonts w:eastAsia="Times New Roman"/>
              </w:rPr>
            </w:pPr>
            <w:r>
              <w:rPr>
                <w:rFonts w:eastAsia="Times New Roman"/>
                <w:color w:val="000000"/>
                <w:sz w:val="18"/>
                <w:szCs w:val="18"/>
              </w:rPr>
              <w:t>31,239 </w:t>
            </w:r>
          </w:p>
        </w:tc>
        <w:tc>
          <w:tcPr>
            <w:tcW w:w="0" w:type="auto"/>
            <w:shd w:val="clear" w:color="auto" w:fill="FFFFFF"/>
            <w:tcMar>
              <w:top w:w="30" w:type="dxa"/>
              <w:left w:w="0" w:type="dxa"/>
              <w:bottom w:w="30" w:type="dxa"/>
              <w:right w:w="20" w:type="dxa"/>
            </w:tcMar>
            <w:vAlign w:val="center"/>
            <w:hideMark/>
          </w:tcPr>
          <w:p w14:paraId="032DAD75" w14:textId="77777777" w:rsidR="00000000" w:rsidRDefault="00405D16">
            <w:pPr>
              <w:spacing w:after="100"/>
              <w:jc w:val="right"/>
              <w:rPr>
                <w:rFonts w:eastAsia="Times New Roman"/>
              </w:rPr>
            </w:pPr>
          </w:p>
        </w:tc>
        <w:tc>
          <w:tcPr>
            <w:tcW w:w="0" w:type="auto"/>
            <w:vAlign w:val="center"/>
            <w:hideMark/>
          </w:tcPr>
          <w:p w14:paraId="0A641C7A" w14:textId="77777777" w:rsidR="00000000" w:rsidRDefault="00405D16">
            <w:pPr>
              <w:spacing w:after="100"/>
              <w:jc w:val="right"/>
              <w:rPr>
                <w:rFonts w:eastAsia="Times New Roman"/>
                <w:sz w:val="20"/>
                <w:szCs w:val="20"/>
              </w:rPr>
            </w:pPr>
          </w:p>
        </w:tc>
        <w:tc>
          <w:tcPr>
            <w:tcW w:w="0" w:type="auto"/>
            <w:vAlign w:val="center"/>
            <w:hideMark/>
          </w:tcPr>
          <w:p w14:paraId="3DA525E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ACC903"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6A82D11" w14:textId="77777777" w:rsidR="00000000" w:rsidRDefault="00405D16">
            <w:pPr>
              <w:spacing w:after="100"/>
              <w:jc w:val="right"/>
              <w:rPr>
                <w:rFonts w:eastAsia="Times New Roman"/>
              </w:rPr>
            </w:pPr>
            <w:r>
              <w:rPr>
                <w:rFonts w:eastAsia="Times New Roman"/>
                <w:color w:val="000000"/>
                <w:sz w:val="18"/>
                <w:szCs w:val="18"/>
              </w:rPr>
              <w:t>(4)</w:t>
            </w:r>
          </w:p>
        </w:tc>
        <w:tc>
          <w:tcPr>
            <w:tcW w:w="0" w:type="auto"/>
            <w:shd w:val="clear" w:color="auto" w:fill="FFFFFF"/>
            <w:tcMar>
              <w:top w:w="30" w:type="dxa"/>
              <w:left w:w="0" w:type="dxa"/>
              <w:bottom w:w="30" w:type="dxa"/>
              <w:right w:w="20" w:type="dxa"/>
            </w:tcMar>
            <w:vAlign w:val="center"/>
            <w:hideMark/>
          </w:tcPr>
          <w:p w14:paraId="4CD5A8C3" w14:textId="77777777" w:rsidR="00000000" w:rsidRDefault="00405D16">
            <w:pPr>
              <w:spacing w:after="100"/>
              <w:jc w:val="right"/>
              <w:rPr>
                <w:rFonts w:eastAsia="Times New Roman"/>
              </w:rPr>
            </w:pPr>
          </w:p>
        </w:tc>
        <w:tc>
          <w:tcPr>
            <w:tcW w:w="0" w:type="auto"/>
            <w:gridSpan w:val="3"/>
            <w:vAlign w:val="center"/>
            <w:hideMark/>
          </w:tcPr>
          <w:p w14:paraId="3BB81489" w14:textId="77777777" w:rsidR="00000000" w:rsidRDefault="00405D16">
            <w:pPr>
              <w:spacing w:after="100"/>
              <w:jc w:val="right"/>
              <w:rPr>
                <w:rFonts w:eastAsia="Times New Roman"/>
                <w:sz w:val="20"/>
                <w:szCs w:val="20"/>
              </w:rPr>
            </w:pPr>
          </w:p>
        </w:tc>
        <w:tc>
          <w:tcPr>
            <w:tcW w:w="0" w:type="auto"/>
            <w:gridSpan w:val="3"/>
            <w:vAlign w:val="center"/>
            <w:hideMark/>
          </w:tcPr>
          <w:p w14:paraId="1FF8A17D" w14:textId="77777777" w:rsidR="00000000" w:rsidRDefault="00405D16">
            <w:pPr>
              <w:spacing w:after="100"/>
              <w:rPr>
                <w:rFonts w:eastAsia="Times New Roman"/>
                <w:sz w:val="20"/>
                <w:szCs w:val="20"/>
              </w:rPr>
            </w:pPr>
          </w:p>
        </w:tc>
      </w:tr>
      <w:tr w:rsidR="00000000" w14:paraId="7EB1DD18" w14:textId="77777777">
        <w:trPr>
          <w:divId w:val="520245585"/>
        </w:trPr>
        <w:tc>
          <w:tcPr>
            <w:tcW w:w="0" w:type="auto"/>
            <w:gridSpan w:val="3"/>
            <w:shd w:val="clear" w:color="auto" w:fill="CCEEFF"/>
            <w:tcMar>
              <w:top w:w="30" w:type="dxa"/>
              <w:left w:w="245" w:type="dxa"/>
              <w:bottom w:w="30" w:type="dxa"/>
              <w:right w:w="20" w:type="dxa"/>
            </w:tcMar>
            <w:vAlign w:val="center"/>
            <w:hideMark/>
          </w:tcPr>
          <w:p w14:paraId="6C96005F" w14:textId="77777777" w:rsidR="00000000" w:rsidRDefault="00405D16">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14:paraId="51991C7E"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9E701D6" w14:textId="77777777" w:rsidR="00000000" w:rsidRDefault="00405D16">
            <w:pPr>
              <w:spacing w:after="100"/>
              <w:jc w:val="right"/>
              <w:rPr>
                <w:rFonts w:eastAsia="Times New Roman"/>
              </w:rPr>
            </w:pPr>
            <w:r>
              <w:rPr>
                <w:rFonts w:eastAsia="Times New Roman"/>
                <w:b/>
                <w:bCs/>
                <w:color w:val="000000"/>
                <w:sz w:val="18"/>
                <w:szCs w:val="18"/>
              </w:rPr>
              <w:t>44,745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E3E567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8715E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15F10A2" w14:textId="77777777" w:rsidR="00000000" w:rsidRDefault="00405D16">
            <w:pPr>
              <w:spacing w:after="100"/>
              <w:jc w:val="right"/>
              <w:rPr>
                <w:rFonts w:eastAsia="Times New Roman"/>
              </w:rPr>
            </w:pPr>
            <w:r>
              <w:rPr>
                <w:rFonts w:eastAsia="Times New Roman"/>
                <w:color w:val="000000"/>
                <w:sz w:val="18"/>
                <w:szCs w:val="18"/>
              </w:rPr>
              <w:t>45,404 </w:t>
            </w:r>
          </w:p>
        </w:tc>
        <w:tc>
          <w:tcPr>
            <w:tcW w:w="0" w:type="auto"/>
            <w:shd w:val="clear" w:color="auto" w:fill="CCEEFF"/>
            <w:tcMar>
              <w:top w:w="30" w:type="dxa"/>
              <w:left w:w="0" w:type="dxa"/>
              <w:bottom w:w="30" w:type="dxa"/>
              <w:right w:w="20" w:type="dxa"/>
            </w:tcMar>
            <w:vAlign w:val="center"/>
            <w:hideMark/>
          </w:tcPr>
          <w:p w14:paraId="170E040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BD269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67EECA3" w14:textId="77777777" w:rsidR="00000000" w:rsidRDefault="00405D16">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center"/>
            <w:hideMark/>
          </w:tcPr>
          <w:p w14:paraId="2E490B5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46136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26332BA" w14:textId="77777777" w:rsidR="00000000" w:rsidRDefault="00405D16">
            <w:pPr>
              <w:spacing w:after="100"/>
              <w:jc w:val="right"/>
              <w:rPr>
                <w:rFonts w:eastAsia="Times New Roman"/>
              </w:rPr>
            </w:pPr>
            <w:r>
              <w:rPr>
                <w:rFonts w:eastAsia="Times New Roman"/>
                <w:b/>
                <w:bCs/>
                <w:color w:val="000000"/>
                <w:sz w:val="18"/>
                <w:szCs w:val="18"/>
              </w:rPr>
              <w:t>44,341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29E016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A7D12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B0FF373" w14:textId="77777777" w:rsidR="00000000" w:rsidRDefault="00405D16">
            <w:pPr>
              <w:spacing w:after="100"/>
              <w:jc w:val="right"/>
              <w:rPr>
                <w:rFonts w:eastAsia="Times New Roman"/>
              </w:rPr>
            </w:pPr>
            <w:r>
              <w:rPr>
                <w:rFonts w:eastAsia="Times New Roman"/>
                <w:color w:val="000000"/>
                <w:sz w:val="18"/>
                <w:szCs w:val="18"/>
              </w:rPr>
              <w:t>46,264 </w:t>
            </w:r>
          </w:p>
        </w:tc>
        <w:tc>
          <w:tcPr>
            <w:tcW w:w="0" w:type="auto"/>
            <w:shd w:val="clear" w:color="auto" w:fill="CCEEFF"/>
            <w:tcMar>
              <w:top w:w="30" w:type="dxa"/>
              <w:left w:w="0" w:type="dxa"/>
              <w:bottom w:w="30" w:type="dxa"/>
              <w:right w:w="20" w:type="dxa"/>
            </w:tcMar>
            <w:vAlign w:val="center"/>
            <w:hideMark/>
          </w:tcPr>
          <w:p w14:paraId="0DFB6FA7" w14:textId="77777777" w:rsidR="00000000" w:rsidRDefault="00405D16">
            <w:pPr>
              <w:spacing w:after="100"/>
              <w:jc w:val="right"/>
              <w:rPr>
                <w:rFonts w:eastAsia="Times New Roman"/>
              </w:rPr>
            </w:pPr>
          </w:p>
        </w:tc>
        <w:tc>
          <w:tcPr>
            <w:tcW w:w="0" w:type="auto"/>
            <w:vAlign w:val="center"/>
            <w:hideMark/>
          </w:tcPr>
          <w:p w14:paraId="01F70A3A" w14:textId="77777777" w:rsidR="00000000" w:rsidRDefault="00405D16">
            <w:pPr>
              <w:spacing w:after="100"/>
              <w:jc w:val="right"/>
              <w:rPr>
                <w:rFonts w:eastAsia="Times New Roman"/>
                <w:sz w:val="20"/>
                <w:szCs w:val="20"/>
              </w:rPr>
            </w:pPr>
          </w:p>
        </w:tc>
        <w:tc>
          <w:tcPr>
            <w:tcW w:w="0" w:type="auto"/>
            <w:vAlign w:val="center"/>
            <w:hideMark/>
          </w:tcPr>
          <w:p w14:paraId="7D4FFB2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630E32"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324447D" w14:textId="77777777" w:rsidR="00000000" w:rsidRDefault="00405D16">
            <w:pPr>
              <w:spacing w:after="100"/>
              <w:jc w:val="right"/>
              <w:rPr>
                <w:rFonts w:eastAsia="Times New Roman"/>
              </w:rPr>
            </w:pPr>
            <w:r>
              <w:rPr>
                <w:rFonts w:eastAsia="Times New Roman"/>
                <w:color w:val="000000"/>
                <w:sz w:val="18"/>
                <w:szCs w:val="18"/>
              </w:rPr>
              <w:t>(4)</w:t>
            </w:r>
          </w:p>
        </w:tc>
        <w:tc>
          <w:tcPr>
            <w:tcW w:w="0" w:type="auto"/>
            <w:shd w:val="clear" w:color="auto" w:fill="CCEEFF"/>
            <w:tcMar>
              <w:top w:w="30" w:type="dxa"/>
              <w:left w:w="0" w:type="dxa"/>
              <w:bottom w:w="30" w:type="dxa"/>
              <w:right w:w="20" w:type="dxa"/>
            </w:tcMar>
            <w:vAlign w:val="center"/>
            <w:hideMark/>
          </w:tcPr>
          <w:p w14:paraId="516475AF" w14:textId="77777777" w:rsidR="00000000" w:rsidRDefault="00405D16">
            <w:pPr>
              <w:spacing w:after="100"/>
              <w:jc w:val="right"/>
              <w:rPr>
                <w:rFonts w:eastAsia="Times New Roman"/>
              </w:rPr>
            </w:pPr>
          </w:p>
        </w:tc>
        <w:tc>
          <w:tcPr>
            <w:tcW w:w="0" w:type="auto"/>
            <w:gridSpan w:val="3"/>
            <w:vAlign w:val="center"/>
            <w:hideMark/>
          </w:tcPr>
          <w:p w14:paraId="16038F9F" w14:textId="77777777" w:rsidR="00000000" w:rsidRDefault="00405D16">
            <w:pPr>
              <w:spacing w:after="100"/>
              <w:jc w:val="right"/>
              <w:rPr>
                <w:rFonts w:eastAsia="Times New Roman"/>
                <w:sz w:val="20"/>
                <w:szCs w:val="20"/>
              </w:rPr>
            </w:pPr>
          </w:p>
        </w:tc>
        <w:tc>
          <w:tcPr>
            <w:tcW w:w="0" w:type="auto"/>
            <w:gridSpan w:val="3"/>
            <w:vAlign w:val="center"/>
            <w:hideMark/>
          </w:tcPr>
          <w:p w14:paraId="21A98075" w14:textId="77777777" w:rsidR="00000000" w:rsidRDefault="00405D16">
            <w:pPr>
              <w:spacing w:after="100"/>
              <w:rPr>
                <w:rFonts w:eastAsia="Times New Roman"/>
                <w:sz w:val="20"/>
                <w:szCs w:val="20"/>
              </w:rPr>
            </w:pPr>
          </w:p>
        </w:tc>
      </w:tr>
      <w:tr w:rsidR="00000000" w14:paraId="13CE9AB6" w14:textId="77777777">
        <w:trPr>
          <w:divId w:val="520245585"/>
        </w:trPr>
        <w:tc>
          <w:tcPr>
            <w:tcW w:w="0" w:type="auto"/>
            <w:gridSpan w:val="3"/>
            <w:shd w:val="clear" w:color="auto" w:fill="FFFFFF"/>
            <w:tcMar>
              <w:top w:w="30" w:type="dxa"/>
              <w:left w:w="20" w:type="dxa"/>
              <w:bottom w:w="30" w:type="dxa"/>
              <w:right w:w="20" w:type="dxa"/>
            </w:tcMar>
            <w:vAlign w:val="center"/>
            <w:hideMark/>
          </w:tcPr>
          <w:p w14:paraId="087BE4B2" w14:textId="77777777" w:rsidR="00000000" w:rsidRDefault="00405D16">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14:paraId="140147A0" w14:textId="77777777" w:rsidR="00000000" w:rsidRDefault="00405D16">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10257921"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08A49CB7" w14:textId="77777777" w:rsidR="00000000" w:rsidRDefault="00405D16">
            <w:pPr>
              <w:spacing w:after="100"/>
              <w:jc w:val="right"/>
              <w:rPr>
                <w:rFonts w:eastAsia="Times New Roman"/>
              </w:rPr>
            </w:pPr>
            <w:r>
              <w:rPr>
                <w:rFonts w:eastAsia="Times New Roman"/>
                <w:b/>
                <w:bCs/>
                <w:color w:val="000000"/>
                <w:sz w:val="18"/>
                <w:szCs w:val="18"/>
              </w:rPr>
              <w:t>75,059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E1CD50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251808"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61179E01"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621587EB" w14:textId="77777777" w:rsidR="00000000" w:rsidRDefault="00405D16">
            <w:pPr>
              <w:spacing w:after="100"/>
              <w:jc w:val="right"/>
              <w:rPr>
                <w:rFonts w:eastAsia="Times New Roman"/>
              </w:rPr>
            </w:pPr>
            <w:r>
              <w:rPr>
                <w:rFonts w:eastAsia="Times New Roman"/>
                <w:color w:val="000000"/>
                <w:sz w:val="18"/>
                <w:szCs w:val="18"/>
              </w:rPr>
              <w:t>76,322 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F0C305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A8528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171D5EF" w14:textId="77777777" w:rsidR="00000000" w:rsidRDefault="00405D16">
            <w:pPr>
              <w:spacing w:after="100"/>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center"/>
            <w:hideMark/>
          </w:tcPr>
          <w:p w14:paraId="37291F1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99C916"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09C418C7"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42F73E38" w14:textId="77777777" w:rsidR="00000000" w:rsidRDefault="00405D16">
            <w:pPr>
              <w:spacing w:after="100"/>
              <w:jc w:val="right"/>
              <w:rPr>
                <w:rFonts w:eastAsia="Times New Roman"/>
              </w:rPr>
            </w:pPr>
            <w:r>
              <w:rPr>
                <w:rFonts w:eastAsia="Times New Roman"/>
                <w:b/>
                <w:bCs/>
                <w:color w:val="000000"/>
                <w:sz w:val="18"/>
                <w:szCs w:val="18"/>
              </w:rPr>
              <w:t>74,441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21ABF7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2FF8E4"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066C39AB"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00ED0BE6" w14:textId="77777777" w:rsidR="00000000" w:rsidRDefault="00405D16">
            <w:pPr>
              <w:spacing w:after="100"/>
              <w:jc w:val="right"/>
              <w:rPr>
                <w:rFonts w:eastAsia="Times New Roman"/>
              </w:rPr>
            </w:pPr>
            <w:r>
              <w:rPr>
                <w:rFonts w:eastAsia="Times New Roman"/>
                <w:color w:val="000000"/>
                <w:sz w:val="18"/>
                <w:szCs w:val="18"/>
              </w:rPr>
              <w:t>77,503 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0EE2191" w14:textId="77777777" w:rsidR="00000000" w:rsidRDefault="00405D16">
            <w:pPr>
              <w:spacing w:after="100"/>
              <w:jc w:val="right"/>
              <w:rPr>
                <w:rFonts w:eastAsia="Times New Roman"/>
              </w:rPr>
            </w:pPr>
          </w:p>
        </w:tc>
        <w:tc>
          <w:tcPr>
            <w:tcW w:w="0" w:type="auto"/>
            <w:vAlign w:val="center"/>
            <w:hideMark/>
          </w:tcPr>
          <w:p w14:paraId="6A8A7531" w14:textId="77777777" w:rsidR="00000000" w:rsidRDefault="00405D16">
            <w:pPr>
              <w:spacing w:after="100"/>
              <w:jc w:val="right"/>
              <w:rPr>
                <w:rFonts w:eastAsia="Times New Roman"/>
                <w:sz w:val="20"/>
                <w:szCs w:val="20"/>
              </w:rPr>
            </w:pPr>
          </w:p>
        </w:tc>
        <w:tc>
          <w:tcPr>
            <w:tcW w:w="0" w:type="auto"/>
            <w:vAlign w:val="center"/>
            <w:hideMark/>
          </w:tcPr>
          <w:p w14:paraId="5CBEC30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4C22F5"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CE5D4D1" w14:textId="77777777" w:rsidR="00000000" w:rsidRDefault="00405D16">
            <w:pPr>
              <w:spacing w:after="100"/>
              <w:jc w:val="right"/>
              <w:rPr>
                <w:rFonts w:eastAsia="Times New Roman"/>
              </w:rPr>
            </w:pPr>
            <w:r>
              <w:rPr>
                <w:rFonts w:eastAsia="Times New Roman"/>
                <w:color w:val="000000"/>
                <w:sz w:val="18"/>
                <w:szCs w:val="18"/>
              </w:rPr>
              <w:t>(4)</w:t>
            </w:r>
          </w:p>
        </w:tc>
        <w:tc>
          <w:tcPr>
            <w:tcW w:w="0" w:type="auto"/>
            <w:shd w:val="clear" w:color="auto" w:fill="FFFFFF"/>
            <w:tcMar>
              <w:top w:w="30" w:type="dxa"/>
              <w:left w:w="0" w:type="dxa"/>
              <w:bottom w:w="30" w:type="dxa"/>
              <w:right w:w="20" w:type="dxa"/>
            </w:tcMar>
            <w:vAlign w:val="center"/>
            <w:hideMark/>
          </w:tcPr>
          <w:p w14:paraId="68221829" w14:textId="77777777" w:rsidR="00000000" w:rsidRDefault="00405D16">
            <w:pPr>
              <w:spacing w:after="100"/>
              <w:jc w:val="right"/>
              <w:rPr>
                <w:rFonts w:eastAsia="Times New Roman"/>
              </w:rPr>
            </w:pPr>
          </w:p>
        </w:tc>
        <w:tc>
          <w:tcPr>
            <w:tcW w:w="0" w:type="auto"/>
            <w:gridSpan w:val="3"/>
            <w:vAlign w:val="center"/>
            <w:hideMark/>
          </w:tcPr>
          <w:p w14:paraId="7F05CC9C" w14:textId="77777777" w:rsidR="00000000" w:rsidRDefault="00405D16">
            <w:pPr>
              <w:spacing w:after="100"/>
              <w:jc w:val="right"/>
              <w:rPr>
                <w:rFonts w:eastAsia="Times New Roman"/>
                <w:sz w:val="20"/>
                <w:szCs w:val="20"/>
              </w:rPr>
            </w:pPr>
          </w:p>
        </w:tc>
        <w:tc>
          <w:tcPr>
            <w:tcW w:w="0" w:type="auto"/>
            <w:gridSpan w:val="3"/>
            <w:vAlign w:val="center"/>
            <w:hideMark/>
          </w:tcPr>
          <w:p w14:paraId="1C877635" w14:textId="77777777" w:rsidR="00000000" w:rsidRDefault="00405D16">
            <w:pPr>
              <w:spacing w:after="100"/>
              <w:rPr>
                <w:rFonts w:eastAsia="Times New Roman"/>
                <w:sz w:val="20"/>
                <w:szCs w:val="20"/>
              </w:rPr>
            </w:pPr>
          </w:p>
        </w:tc>
      </w:tr>
      <w:tr w:rsidR="00000000" w14:paraId="244CE9AE" w14:textId="77777777">
        <w:trPr>
          <w:divId w:val="520245585"/>
        </w:trPr>
        <w:tc>
          <w:tcPr>
            <w:tcW w:w="0" w:type="auto"/>
            <w:gridSpan w:val="3"/>
            <w:shd w:val="clear" w:color="auto" w:fill="CCEEFF"/>
            <w:tcMar>
              <w:top w:w="30" w:type="dxa"/>
              <w:left w:w="20" w:type="dxa"/>
              <w:bottom w:w="30" w:type="dxa"/>
              <w:right w:w="20" w:type="dxa"/>
            </w:tcMar>
            <w:vAlign w:val="center"/>
            <w:hideMark/>
          </w:tcPr>
          <w:p w14:paraId="7811E838" w14:textId="77777777" w:rsidR="00000000" w:rsidRDefault="00405D16">
            <w:pPr>
              <w:spacing w:after="100"/>
              <w:divId w:val="2053650515"/>
              <w:rPr>
                <w:rFonts w:eastAsia="Times New Roman"/>
              </w:rPr>
            </w:pPr>
            <w:r>
              <w:rPr>
                <w:rFonts w:eastAsia="Times New Roman"/>
                <w:color w:val="000000"/>
                <w:sz w:val="18"/>
                <w:szCs w:val="18"/>
              </w:rPr>
              <w:t>Average yield on loans held for investmen</w:t>
            </w:r>
            <w:r>
              <w:rPr>
                <w:rFonts w:eastAsia="Times New Roman"/>
                <w:color w:val="000000"/>
                <w:sz w:val="18"/>
                <w:szCs w:val="18"/>
              </w:rPr>
              <w:t>t</w:t>
            </w:r>
            <w:r>
              <w:rPr>
                <w:rFonts w:eastAsia="Times New Roman"/>
                <w:color w:val="000000"/>
                <w:sz w:val="12"/>
                <w:szCs w:val="12"/>
              </w:rPr>
              <w:t>(1)(3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62069DB5" w14:textId="77777777" w:rsidR="00000000" w:rsidRDefault="00405D16">
            <w:pPr>
              <w:spacing w:after="100"/>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center"/>
            <w:hideMark/>
          </w:tcPr>
          <w:p w14:paraId="32DD2237" w14:textId="77777777" w:rsidR="00000000" w:rsidRDefault="00405D16">
            <w:pPr>
              <w:spacing w:after="100"/>
              <w:jc w:val="right"/>
              <w:rPr>
                <w:rFonts w:eastAsia="Times New Roman"/>
              </w:rPr>
            </w:pPr>
            <w:r>
              <w:rPr>
                <w:rFonts w:eastAsia="Times New Roman"/>
                <w:b/>
                <w:bCs/>
                <w:color w:val="000000"/>
                <w:sz w:val="18"/>
                <w:szCs w:val="18"/>
              </w:rPr>
              <w:t>2.77</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68765C50"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FC05C14" w14:textId="77777777" w:rsidR="00000000" w:rsidRDefault="00405D16">
            <w:pPr>
              <w:spacing w:after="100"/>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center"/>
            <w:hideMark/>
          </w:tcPr>
          <w:p w14:paraId="31993E23" w14:textId="77777777" w:rsidR="00000000" w:rsidRDefault="00405D16">
            <w:pPr>
              <w:spacing w:after="100"/>
              <w:jc w:val="right"/>
              <w:rPr>
                <w:rFonts w:eastAsia="Times New Roman"/>
              </w:rPr>
            </w:pPr>
            <w:r>
              <w:rPr>
                <w:rFonts w:eastAsia="Times New Roman"/>
                <w:color w:val="000000"/>
                <w:sz w:val="18"/>
                <w:szCs w:val="18"/>
              </w:rPr>
              <w:t>2.82 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5EF19A82" w14:textId="77777777" w:rsidR="00000000" w:rsidRDefault="00405D16">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5C1463D"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2B08A46" w14:textId="77777777" w:rsidR="00000000" w:rsidRDefault="00405D16">
            <w:pPr>
              <w:spacing w:after="100"/>
              <w:jc w:val="right"/>
              <w:rPr>
                <w:rFonts w:eastAsia="Times New Roman"/>
              </w:rPr>
            </w:pPr>
            <w:r>
              <w:rPr>
                <w:rFonts w:eastAsia="Times New Roman"/>
                <w:color w:val="000000"/>
                <w:sz w:val="18"/>
                <w:szCs w:val="18"/>
              </w:rPr>
              <w:t>(5)</w:t>
            </w:r>
          </w:p>
        </w:tc>
        <w:tc>
          <w:tcPr>
            <w:tcW w:w="0" w:type="auto"/>
            <w:shd w:val="clear" w:color="auto" w:fill="CCEEFF"/>
            <w:tcMar>
              <w:top w:w="30" w:type="dxa"/>
              <w:left w:w="0" w:type="dxa"/>
              <w:bottom w:w="30" w:type="dxa"/>
              <w:right w:w="20" w:type="dxa"/>
            </w:tcMar>
            <w:vAlign w:val="center"/>
            <w:hideMark/>
          </w:tcPr>
          <w:p w14:paraId="19B55980" w14:textId="77777777" w:rsidR="00000000" w:rsidRDefault="00405D16">
            <w:pPr>
              <w:spacing w:after="100"/>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14:paraId="5D375492" w14:textId="77777777" w:rsidR="00000000" w:rsidRDefault="00405D16">
            <w:pPr>
              <w:spacing w:after="100"/>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center"/>
            <w:hideMark/>
          </w:tcPr>
          <w:p w14:paraId="2EB45369" w14:textId="77777777" w:rsidR="00000000" w:rsidRDefault="00405D16">
            <w:pPr>
              <w:spacing w:after="100"/>
              <w:jc w:val="right"/>
              <w:rPr>
                <w:rFonts w:eastAsia="Times New Roman"/>
              </w:rPr>
            </w:pPr>
            <w:r>
              <w:rPr>
                <w:rFonts w:eastAsia="Times New Roman"/>
                <w:b/>
                <w:bCs/>
                <w:color w:val="000000"/>
                <w:sz w:val="18"/>
                <w:szCs w:val="18"/>
              </w:rPr>
              <w:t>2.75</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56F0ABF9"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A025E93" w14:textId="77777777" w:rsidR="00000000" w:rsidRDefault="00405D16">
            <w:pPr>
              <w:spacing w:after="100"/>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center"/>
            <w:hideMark/>
          </w:tcPr>
          <w:p w14:paraId="77F3158D" w14:textId="77777777" w:rsidR="00000000" w:rsidRDefault="00405D16">
            <w:pPr>
              <w:spacing w:after="100"/>
              <w:jc w:val="right"/>
              <w:rPr>
                <w:rFonts w:eastAsia="Times New Roman"/>
              </w:rPr>
            </w:pPr>
            <w:r>
              <w:rPr>
                <w:rFonts w:eastAsia="Times New Roman"/>
                <w:color w:val="000000"/>
                <w:sz w:val="18"/>
                <w:szCs w:val="18"/>
              </w:rPr>
              <w:t>3.23 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438EAE7F" w14:textId="77777777" w:rsidR="00000000" w:rsidRDefault="00405D16">
            <w:pPr>
              <w:spacing w:after="100"/>
              <w:jc w:val="right"/>
              <w:rPr>
                <w:rFonts w:eastAsia="Times New Roman"/>
              </w:rPr>
            </w:pPr>
            <w:r>
              <w:rPr>
                <w:rFonts w:eastAsia="Times New Roman"/>
                <w:color w:val="000000"/>
                <w:sz w:val="18"/>
                <w:szCs w:val="18"/>
              </w:rPr>
              <w:t>%</w:t>
            </w:r>
          </w:p>
        </w:tc>
        <w:tc>
          <w:tcPr>
            <w:tcW w:w="0" w:type="auto"/>
            <w:vAlign w:val="center"/>
            <w:hideMark/>
          </w:tcPr>
          <w:p w14:paraId="53C903BF" w14:textId="77777777" w:rsidR="00000000" w:rsidRDefault="00405D16">
            <w:pPr>
              <w:spacing w:after="100"/>
              <w:jc w:val="right"/>
              <w:rPr>
                <w:rFonts w:eastAsia="Times New Roman"/>
              </w:rPr>
            </w:pPr>
          </w:p>
        </w:tc>
        <w:tc>
          <w:tcPr>
            <w:tcW w:w="0" w:type="auto"/>
            <w:vAlign w:val="center"/>
            <w:hideMark/>
          </w:tcPr>
          <w:p w14:paraId="61A1866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AE43B0"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4676CBD" w14:textId="77777777" w:rsidR="00000000" w:rsidRDefault="00405D16">
            <w:pPr>
              <w:spacing w:after="100"/>
              <w:jc w:val="right"/>
              <w:rPr>
                <w:rFonts w:eastAsia="Times New Roman"/>
              </w:rPr>
            </w:pPr>
            <w:r>
              <w:rPr>
                <w:rFonts w:eastAsia="Times New Roman"/>
                <w:color w:val="000000"/>
                <w:sz w:val="18"/>
                <w:szCs w:val="18"/>
              </w:rPr>
              <w:t>(48)</w:t>
            </w:r>
          </w:p>
        </w:tc>
        <w:tc>
          <w:tcPr>
            <w:tcW w:w="0" w:type="auto"/>
            <w:shd w:val="clear" w:color="auto" w:fill="CCEEFF"/>
            <w:tcMar>
              <w:top w:w="30" w:type="dxa"/>
              <w:left w:w="0" w:type="dxa"/>
              <w:bottom w:w="30" w:type="dxa"/>
              <w:right w:w="20" w:type="dxa"/>
            </w:tcMar>
            <w:vAlign w:val="center"/>
            <w:hideMark/>
          </w:tcPr>
          <w:p w14:paraId="5EC3522B" w14:textId="77777777" w:rsidR="00000000" w:rsidRDefault="00405D16">
            <w:pPr>
              <w:spacing w:after="100"/>
              <w:jc w:val="right"/>
              <w:rPr>
                <w:rFonts w:eastAsia="Times New Roman"/>
              </w:rPr>
            </w:pPr>
            <w:r>
              <w:rPr>
                <w:rFonts w:eastAsia="Times New Roman"/>
                <w:color w:val="000000"/>
                <w:sz w:val="18"/>
                <w:szCs w:val="18"/>
              </w:rPr>
              <w:t>bps</w:t>
            </w:r>
          </w:p>
        </w:tc>
        <w:tc>
          <w:tcPr>
            <w:tcW w:w="0" w:type="auto"/>
            <w:gridSpan w:val="3"/>
            <w:vAlign w:val="center"/>
            <w:hideMark/>
          </w:tcPr>
          <w:p w14:paraId="06342EB7" w14:textId="77777777" w:rsidR="00000000" w:rsidRDefault="00405D16">
            <w:pPr>
              <w:spacing w:after="100"/>
              <w:jc w:val="right"/>
              <w:rPr>
                <w:rFonts w:eastAsia="Times New Roman"/>
              </w:rPr>
            </w:pPr>
          </w:p>
        </w:tc>
        <w:tc>
          <w:tcPr>
            <w:tcW w:w="0" w:type="auto"/>
            <w:gridSpan w:val="3"/>
            <w:vAlign w:val="center"/>
            <w:hideMark/>
          </w:tcPr>
          <w:p w14:paraId="1AF0D5F5" w14:textId="77777777" w:rsidR="00000000" w:rsidRDefault="00405D16">
            <w:pPr>
              <w:spacing w:after="100"/>
              <w:rPr>
                <w:rFonts w:eastAsia="Times New Roman"/>
                <w:sz w:val="20"/>
                <w:szCs w:val="20"/>
              </w:rPr>
            </w:pPr>
          </w:p>
        </w:tc>
      </w:tr>
      <w:tr w:rsidR="00000000" w14:paraId="65C2E45F" w14:textId="77777777">
        <w:trPr>
          <w:divId w:val="520245585"/>
        </w:trPr>
        <w:tc>
          <w:tcPr>
            <w:tcW w:w="0" w:type="auto"/>
            <w:gridSpan w:val="3"/>
            <w:shd w:val="clear" w:color="auto" w:fill="FFFFFF"/>
            <w:tcMar>
              <w:top w:w="30" w:type="dxa"/>
              <w:left w:w="20" w:type="dxa"/>
              <w:bottom w:w="30" w:type="dxa"/>
              <w:right w:w="20" w:type="dxa"/>
            </w:tcMar>
            <w:vAlign w:val="center"/>
            <w:hideMark/>
          </w:tcPr>
          <w:p w14:paraId="35AD6B3D" w14:textId="77777777" w:rsidR="00000000" w:rsidRDefault="00405D16">
            <w:pPr>
              <w:spacing w:after="100"/>
              <w:rPr>
                <w:rFonts w:eastAsia="Times New Roman"/>
              </w:rPr>
            </w:pPr>
            <w:r>
              <w:rPr>
                <w:rFonts w:eastAsia="Times New Roman"/>
                <w:color w:val="000000"/>
                <w:sz w:val="18"/>
                <w:szCs w:val="18"/>
              </w:rPr>
              <w:t>Average deposits</w:t>
            </w:r>
          </w:p>
        </w:tc>
        <w:tc>
          <w:tcPr>
            <w:tcW w:w="0" w:type="auto"/>
            <w:gridSpan w:val="3"/>
            <w:shd w:val="clear" w:color="auto" w:fill="FFFFFF"/>
            <w:tcMar>
              <w:top w:w="0" w:type="dxa"/>
              <w:left w:w="20" w:type="dxa"/>
              <w:bottom w:w="0" w:type="dxa"/>
              <w:right w:w="20" w:type="dxa"/>
            </w:tcMar>
            <w:vAlign w:val="center"/>
            <w:hideMark/>
          </w:tcPr>
          <w:p w14:paraId="58F7D162"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36288EB8"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4CF7F4D2" w14:textId="77777777" w:rsidR="00000000" w:rsidRDefault="00405D16">
            <w:pPr>
              <w:spacing w:after="100"/>
              <w:jc w:val="right"/>
              <w:rPr>
                <w:rFonts w:eastAsia="Times New Roman"/>
              </w:rPr>
            </w:pPr>
            <w:r>
              <w:rPr>
                <w:rFonts w:eastAsia="Times New Roman"/>
                <w:b/>
                <w:bCs/>
                <w:color w:val="000000"/>
                <w:sz w:val="18"/>
                <w:szCs w:val="18"/>
              </w:rPr>
              <w:t>42,729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F77FD2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385582"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1350B82"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0B07454F" w14:textId="77777777" w:rsidR="00000000" w:rsidRDefault="00405D16">
            <w:pPr>
              <w:spacing w:after="100"/>
              <w:jc w:val="right"/>
              <w:rPr>
                <w:rFonts w:eastAsia="Times New Roman"/>
              </w:rPr>
            </w:pPr>
            <w:r>
              <w:rPr>
                <w:rFonts w:eastAsia="Times New Roman"/>
                <w:color w:val="000000"/>
                <w:sz w:val="18"/>
                <w:szCs w:val="18"/>
              </w:rPr>
              <w:t>36,278 </w:t>
            </w:r>
          </w:p>
        </w:tc>
        <w:tc>
          <w:tcPr>
            <w:tcW w:w="0" w:type="auto"/>
            <w:shd w:val="clear" w:color="auto" w:fill="FFFFFF"/>
            <w:tcMar>
              <w:top w:w="30" w:type="dxa"/>
              <w:left w:w="0" w:type="dxa"/>
              <w:bottom w:w="30" w:type="dxa"/>
              <w:right w:w="20" w:type="dxa"/>
            </w:tcMar>
            <w:vAlign w:val="center"/>
            <w:hideMark/>
          </w:tcPr>
          <w:p w14:paraId="30FA9B5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259EC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3486FFD" w14:textId="77777777" w:rsidR="00000000" w:rsidRDefault="00405D16">
            <w:pPr>
              <w:spacing w:after="100"/>
              <w:jc w:val="right"/>
              <w:rPr>
                <w:rFonts w:eastAsia="Times New Roman"/>
              </w:rPr>
            </w:pPr>
            <w:r>
              <w:rPr>
                <w:rFonts w:eastAsia="Times New Roman"/>
                <w:color w:val="000000"/>
                <w:sz w:val="18"/>
                <w:szCs w:val="18"/>
              </w:rPr>
              <w:t>18 </w:t>
            </w:r>
          </w:p>
        </w:tc>
        <w:tc>
          <w:tcPr>
            <w:tcW w:w="0" w:type="auto"/>
            <w:shd w:val="clear" w:color="auto" w:fill="FFFFFF"/>
            <w:tcMar>
              <w:top w:w="30" w:type="dxa"/>
              <w:left w:w="0" w:type="dxa"/>
              <w:bottom w:w="30" w:type="dxa"/>
              <w:right w:w="20" w:type="dxa"/>
            </w:tcMar>
            <w:vAlign w:val="center"/>
            <w:hideMark/>
          </w:tcPr>
          <w:p w14:paraId="1CFD0BE3"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2BDC82D" w14:textId="77777777" w:rsidR="00000000" w:rsidRDefault="00405D16">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35B52F7B"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02EB3FF4" w14:textId="77777777" w:rsidR="00000000" w:rsidRDefault="00405D16">
            <w:pPr>
              <w:spacing w:after="100"/>
              <w:jc w:val="right"/>
              <w:rPr>
                <w:rFonts w:eastAsia="Times New Roman"/>
              </w:rPr>
            </w:pPr>
            <w:r>
              <w:rPr>
                <w:rFonts w:eastAsia="Times New Roman"/>
                <w:b/>
                <w:bCs/>
                <w:color w:val="000000"/>
                <w:sz w:val="18"/>
                <w:szCs w:val="18"/>
              </w:rPr>
              <w:t>41,725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60124F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F31F53"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E05819A"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7449D19A" w14:textId="77777777" w:rsidR="00000000" w:rsidRDefault="00405D16">
            <w:pPr>
              <w:spacing w:after="100"/>
              <w:jc w:val="right"/>
              <w:rPr>
                <w:rFonts w:eastAsia="Times New Roman"/>
              </w:rPr>
            </w:pPr>
            <w:r>
              <w:rPr>
                <w:rFonts w:eastAsia="Times New Roman"/>
                <w:color w:val="000000"/>
                <w:sz w:val="18"/>
                <w:szCs w:val="18"/>
              </w:rPr>
              <w:t>34,391 </w:t>
            </w:r>
          </w:p>
        </w:tc>
        <w:tc>
          <w:tcPr>
            <w:tcW w:w="0" w:type="auto"/>
            <w:shd w:val="clear" w:color="auto" w:fill="FFFFFF"/>
            <w:tcMar>
              <w:top w:w="30" w:type="dxa"/>
              <w:left w:w="0" w:type="dxa"/>
              <w:bottom w:w="30" w:type="dxa"/>
              <w:right w:w="20" w:type="dxa"/>
            </w:tcMar>
            <w:vAlign w:val="center"/>
            <w:hideMark/>
          </w:tcPr>
          <w:p w14:paraId="4EFAE6EC" w14:textId="77777777" w:rsidR="00000000" w:rsidRDefault="00405D16">
            <w:pPr>
              <w:spacing w:after="100"/>
              <w:jc w:val="right"/>
              <w:rPr>
                <w:rFonts w:eastAsia="Times New Roman"/>
              </w:rPr>
            </w:pPr>
          </w:p>
        </w:tc>
        <w:tc>
          <w:tcPr>
            <w:tcW w:w="0" w:type="auto"/>
            <w:vAlign w:val="center"/>
            <w:hideMark/>
          </w:tcPr>
          <w:p w14:paraId="0A79CDD2" w14:textId="77777777" w:rsidR="00000000" w:rsidRDefault="00405D16">
            <w:pPr>
              <w:spacing w:after="100"/>
              <w:jc w:val="right"/>
              <w:rPr>
                <w:rFonts w:eastAsia="Times New Roman"/>
                <w:sz w:val="20"/>
                <w:szCs w:val="20"/>
              </w:rPr>
            </w:pPr>
          </w:p>
        </w:tc>
        <w:tc>
          <w:tcPr>
            <w:tcW w:w="0" w:type="auto"/>
            <w:vAlign w:val="center"/>
            <w:hideMark/>
          </w:tcPr>
          <w:p w14:paraId="7DD99BD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3CB444"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3DC65D9" w14:textId="77777777" w:rsidR="00000000" w:rsidRDefault="00405D16">
            <w:pPr>
              <w:spacing w:after="100"/>
              <w:jc w:val="right"/>
              <w:rPr>
                <w:rFonts w:eastAsia="Times New Roman"/>
              </w:rPr>
            </w:pPr>
            <w:r>
              <w:rPr>
                <w:rFonts w:eastAsia="Times New Roman"/>
                <w:color w:val="000000"/>
                <w:sz w:val="18"/>
                <w:szCs w:val="18"/>
              </w:rPr>
              <w:t>21 </w:t>
            </w:r>
          </w:p>
        </w:tc>
        <w:tc>
          <w:tcPr>
            <w:tcW w:w="0" w:type="auto"/>
            <w:shd w:val="clear" w:color="auto" w:fill="FFFFFF"/>
            <w:tcMar>
              <w:top w:w="30" w:type="dxa"/>
              <w:left w:w="0" w:type="dxa"/>
              <w:bottom w:w="30" w:type="dxa"/>
              <w:right w:w="20" w:type="dxa"/>
            </w:tcMar>
            <w:vAlign w:val="center"/>
            <w:hideMark/>
          </w:tcPr>
          <w:p w14:paraId="493C2B2B"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2450FBB2" w14:textId="77777777" w:rsidR="00000000" w:rsidRDefault="00405D16">
            <w:pPr>
              <w:spacing w:after="100"/>
              <w:jc w:val="right"/>
              <w:rPr>
                <w:rFonts w:eastAsia="Times New Roman"/>
              </w:rPr>
            </w:pPr>
          </w:p>
        </w:tc>
        <w:tc>
          <w:tcPr>
            <w:tcW w:w="0" w:type="auto"/>
            <w:gridSpan w:val="3"/>
            <w:vAlign w:val="center"/>
            <w:hideMark/>
          </w:tcPr>
          <w:p w14:paraId="51D4A4CB" w14:textId="77777777" w:rsidR="00000000" w:rsidRDefault="00405D16">
            <w:pPr>
              <w:spacing w:after="100"/>
              <w:rPr>
                <w:rFonts w:eastAsia="Times New Roman"/>
                <w:sz w:val="20"/>
                <w:szCs w:val="20"/>
              </w:rPr>
            </w:pPr>
          </w:p>
        </w:tc>
      </w:tr>
      <w:tr w:rsidR="00000000" w14:paraId="7B003775" w14:textId="77777777">
        <w:trPr>
          <w:divId w:val="520245585"/>
        </w:trPr>
        <w:tc>
          <w:tcPr>
            <w:tcW w:w="0" w:type="auto"/>
            <w:gridSpan w:val="3"/>
            <w:shd w:val="clear" w:color="auto" w:fill="CCEEFF"/>
            <w:tcMar>
              <w:top w:w="30" w:type="dxa"/>
              <w:left w:w="20" w:type="dxa"/>
              <w:bottom w:w="30" w:type="dxa"/>
              <w:right w:w="20" w:type="dxa"/>
            </w:tcMar>
            <w:vAlign w:val="center"/>
            <w:hideMark/>
          </w:tcPr>
          <w:p w14:paraId="00C00E8C" w14:textId="77777777" w:rsidR="00000000" w:rsidRDefault="00405D16">
            <w:pPr>
              <w:spacing w:after="100"/>
              <w:rPr>
                <w:rFonts w:eastAsia="Times New Roman"/>
              </w:rPr>
            </w:pPr>
            <w:r>
              <w:rPr>
                <w:rFonts w:eastAsia="Times New Roman"/>
                <w:color w:val="000000"/>
                <w:sz w:val="18"/>
                <w:szCs w:val="18"/>
              </w:rPr>
              <w:t>Average deposits interest rate</w:t>
            </w:r>
          </w:p>
        </w:tc>
        <w:tc>
          <w:tcPr>
            <w:tcW w:w="0" w:type="auto"/>
            <w:gridSpan w:val="3"/>
            <w:shd w:val="clear" w:color="auto" w:fill="CCEEFF"/>
            <w:tcMar>
              <w:top w:w="0" w:type="dxa"/>
              <w:left w:w="20" w:type="dxa"/>
              <w:bottom w:w="0" w:type="dxa"/>
              <w:right w:w="20" w:type="dxa"/>
            </w:tcMar>
            <w:vAlign w:val="center"/>
            <w:hideMark/>
          </w:tcPr>
          <w:p w14:paraId="62FAB1E7"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687C8BB" w14:textId="77777777" w:rsidR="00000000" w:rsidRDefault="00405D16">
            <w:pPr>
              <w:spacing w:after="100"/>
              <w:jc w:val="right"/>
              <w:rPr>
                <w:rFonts w:eastAsia="Times New Roman"/>
              </w:rPr>
            </w:pPr>
            <w:r>
              <w:rPr>
                <w:rFonts w:eastAsia="Times New Roman"/>
                <w:b/>
                <w:bCs/>
                <w:color w:val="000000"/>
                <w:sz w:val="18"/>
                <w:szCs w:val="18"/>
              </w:rPr>
              <w:t>0.15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22C7CC2"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FBAFB9C"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3538769" w14:textId="77777777" w:rsidR="00000000" w:rsidRDefault="00405D16">
            <w:pPr>
              <w:spacing w:after="100"/>
              <w:jc w:val="right"/>
              <w:rPr>
                <w:rFonts w:eastAsia="Times New Roman"/>
              </w:rPr>
            </w:pPr>
            <w:r>
              <w:rPr>
                <w:rFonts w:eastAsia="Times New Roman"/>
                <w:color w:val="000000"/>
                <w:sz w:val="18"/>
                <w:szCs w:val="18"/>
              </w:rPr>
              <w:t>0.25 </w:t>
            </w:r>
          </w:p>
        </w:tc>
        <w:tc>
          <w:tcPr>
            <w:tcW w:w="0" w:type="auto"/>
            <w:shd w:val="clear" w:color="auto" w:fill="CCEEFF"/>
            <w:tcMar>
              <w:top w:w="30" w:type="dxa"/>
              <w:left w:w="0" w:type="dxa"/>
              <w:bottom w:w="30" w:type="dxa"/>
              <w:right w:w="20" w:type="dxa"/>
            </w:tcMar>
            <w:vAlign w:val="center"/>
            <w:hideMark/>
          </w:tcPr>
          <w:p w14:paraId="567E84A9" w14:textId="77777777" w:rsidR="00000000" w:rsidRDefault="00405D16">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EB4261A"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026A40F" w14:textId="77777777" w:rsidR="00000000" w:rsidRDefault="00405D16">
            <w:pPr>
              <w:spacing w:after="100"/>
              <w:jc w:val="right"/>
              <w:rPr>
                <w:rFonts w:eastAsia="Times New Roman"/>
              </w:rPr>
            </w:pPr>
            <w:r>
              <w:rPr>
                <w:rFonts w:eastAsia="Times New Roman"/>
                <w:color w:val="000000"/>
                <w:sz w:val="18"/>
                <w:szCs w:val="18"/>
              </w:rPr>
              <w:t>(10)</w:t>
            </w:r>
          </w:p>
        </w:tc>
        <w:tc>
          <w:tcPr>
            <w:tcW w:w="0" w:type="auto"/>
            <w:shd w:val="clear" w:color="auto" w:fill="CCEEFF"/>
            <w:tcMar>
              <w:top w:w="30" w:type="dxa"/>
              <w:left w:w="0" w:type="dxa"/>
              <w:bottom w:w="30" w:type="dxa"/>
              <w:right w:w="20" w:type="dxa"/>
            </w:tcMar>
            <w:vAlign w:val="center"/>
            <w:hideMark/>
          </w:tcPr>
          <w:p w14:paraId="1570D3E1" w14:textId="77777777" w:rsidR="00000000" w:rsidRDefault="00405D16">
            <w:pPr>
              <w:spacing w:after="100"/>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14:paraId="247D1F1B"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F1F0368" w14:textId="77777777" w:rsidR="00000000" w:rsidRDefault="00405D16">
            <w:pPr>
              <w:spacing w:after="100"/>
              <w:jc w:val="right"/>
              <w:rPr>
                <w:rFonts w:eastAsia="Times New Roman"/>
              </w:rPr>
            </w:pPr>
            <w:r>
              <w:rPr>
                <w:rFonts w:eastAsia="Times New Roman"/>
                <w:b/>
                <w:bCs/>
                <w:color w:val="000000"/>
                <w:sz w:val="18"/>
                <w:szCs w:val="18"/>
              </w:rPr>
              <w:t>0.15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3D29A41"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17471A1"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B37E1F0" w14:textId="77777777" w:rsidR="00000000" w:rsidRDefault="00405D16">
            <w:pPr>
              <w:spacing w:after="100"/>
              <w:jc w:val="right"/>
              <w:rPr>
                <w:rFonts w:eastAsia="Times New Roman"/>
              </w:rPr>
            </w:pPr>
            <w:r>
              <w:rPr>
                <w:rFonts w:eastAsia="Times New Roman"/>
                <w:color w:val="000000"/>
                <w:sz w:val="18"/>
                <w:szCs w:val="18"/>
              </w:rPr>
              <w:t>0.47 </w:t>
            </w:r>
          </w:p>
        </w:tc>
        <w:tc>
          <w:tcPr>
            <w:tcW w:w="0" w:type="auto"/>
            <w:shd w:val="clear" w:color="auto" w:fill="CCEEFF"/>
            <w:tcMar>
              <w:top w:w="30" w:type="dxa"/>
              <w:left w:w="0" w:type="dxa"/>
              <w:bottom w:w="30" w:type="dxa"/>
              <w:right w:w="20" w:type="dxa"/>
            </w:tcMar>
            <w:vAlign w:val="center"/>
            <w:hideMark/>
          </w:tcPr>
          <w:p w14:paraId="69E393B8" w14:textId="77777777" w:rsidR="00000000" w:rsidRDefault="00405D16">
            <w:pPr>
              <w:spacing w:after="100"/>
              <w:jc w:val="right"/>
              <w:rPr>
                <w:rFonts w:eastAsia="Times New Roman"/>
              </w:rPr>
            </w:pPr>
            <w:r>
              <w:rPr>
                <w:rFonts w:eastAsia="Times New Roman"/>
                <w:color w:val="000000"/>
                <w:sz w:val="18"/>
                <w:szCs w:val="18"/>
              </w:rPr>
              <w:t>%</w:t>
            </w:r>
          </w:p>
        </w:tc>
        <w:tc>
          <w:tcPr>
            <w:tcW w:w="0" w:type="auto"/>
            <w:vAlign w:val="center"/>
            <w:hideMark/>
          </w:tcPr>
          <w:p w14:paraId="5AA6EA62" w14:textId="77777777" w:rsidR="00000000" w:rsidRDefault="00405D16">
            <w:pPr>
              <w:spacing w:after="100"/>
              <w:jc w:val="right"/>
              <w:rPr>
                <w:rFonts w:eastAsia="Times New Roman"/>
              </w:rPr>
            </w:pPr>
          </w:p>
        </w:tc>
        <w:tc>
          <w:tcPr>
            <w:tcW w:w="0" w:type="auto"/>
            <w:vAlign w:val="center"/>
            <w:hideMark/>
          </w:tcPr>
          <w:p w14:paraId="507AAB0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014927"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5600376" w14:textId="77777777" w:rsidR="00000000" w:rsidRDefault="00405D16">
            <w:pPr>
              <w:spacing w:after="100"/>
              <w:jc w:val="right"/>
              <w:rPr>
                <w:rFonts w:eastAsia="Times New Roman"/>
              </w:rPr>
            </w:pPr>
            <w:r>
              <w:rPr>
                <w:rFonts w:eastAsia="Times New Roman"/>
                <w:color w:val="000000"/>
                <w:sz w:val="18"/>
                <w:szCs w:val="18"/>
              </w:rPr>
              <w:t>(32)</w:t>
            </w:r>
          </w:p>
        </w:tc>
        <w:tc>
          <w:tcPr>
            <w:tcW w:w="0" w:type="auto"/>
            <w:shd w:val="clear" w:color="auto" w:fill="CCEEFF"/>
            <w:tcMar>
              <w:top w:w="30" w:type="dxa"/>
              <w:left w:w="0" w:type="dxa"/>
              <w:bottom w:w="30" w:type="dxa"/>
              <w:right w:w="20" w:type="dxa"/>
            </w:tcMar>
            <w:vAlign w:val="center"/>
            <w:hideMark/>
          </w:tcPr>
          <w:p w14:paraId="4F717260" w14:textId="77777777" w:rsidR="00000000" w:rsidRDefault="00405D16">
            <w:pPr>
              <w:spacing w:after="100"/>
              <w:jc w:val="right"/>
              <w:rPr>
                <w:rFonts w:eastAsia="Times New Roman"/>
              </w:rPr>
            </w:pPr>
            <w:r>
              <w:rPr>
                <w:rFonts w:eastAsia="Times New Roman"/>
                <w:color w:val="000000"/>
                <w:sz w:val="18"/>
                <w:szCs w:val="18"/>
              </w:rPr>
              <w:t>bps</w:t>
            </w:r>
          </w:p>
        </w:tc>
        <w:tc>
          <w:tcPr>
            <w:tcW w:w="0" w:type="auto"/>
            <w:gridSpan w:val="3"/>
            <w:vAlign w:val="center"/>
            <w:hideMark/>
          </w:tcPr>
          <w:p w14:paraId="4E3DA2AB" w14:textId="77777777" w:rsidR="00000000" w:rsidRDefault="00405D16">
            <w:pPr>
              <w:spacing w:after="100"/>
              <w:jc w:val="right"/>
              <w:rPr>
                <w:rFonts w:eastAsia="Times New Roman"/>
              </w:rPr>
            </w:pPr>
          </w:p>
        </w:tc>
        <w:tc>
          <w:tcPr>
            <w:tcW w:w="0" w:type="auto"/>
            <w:gridSpan w:val="3"/>
            <w:vAlign w:val="center"/>
            <w:hideMark/>
          </w:tcPr>
          <w:p w14:paraId="2D965323" w14:textId="77777777" w:rsidR="00000000" w:rsidRDefault="00405D16">
            <w:pPr>
              <w:spacing w:after="100"/>
              <w:rPr>
                <w:rFonts w:eastAsia="Times New Roman"/>
                <w:sz w:val="20"/>
                <w:szCs w:val="20"/>
              </w:rPr>
            </w:pPr>
          </w:p>
        </w:tc>
      </w:tr>
      <w:tr w:rsidR="00000000" w14:paraId="2CDA961C" w14:textId="77777777">
        <w:trPr>
          <w:divId w:val="520245585"/>
        </w:trPr>
        <w:tc>
          <w:tcPr>
            <w:tcW w:w="0" w:type="auto"/>
            <w:gridSpan w:val="3"/>
            <w:shd w:val="clear" w:color="auto" w:fill="FFFFFF"/>
            <w:tcMar>
              <w:top w:w="30" w:type="dxa"/>
              <w:left w:w="20" w:type="dxa"/>
              <w:bottom w:w="30" w:type="dxa"/>
              <w:right w:w="20" w:type="dxa"/>
            </w:tcMar>
            <w:vAlign w:val="center"/>
            <w:hideMark/>
          </w:tcPr>
          <w:p w14:paraId="525C8A39" w14:textId="77777777" w:rsidR="00000000" w:rsidRDefault="00405D16">
            <w:pPr>
              <w:spacing w:after="100"/>
              <w:rPr>
                <w:rFonts w:eastAsia="Times New Roman"/>
              </w:rPr>
            </w:pPr>
            <w:r>
              <w:rPr>
                <w:rFonts w:eastAsia="Times New Roman"/>
                <w:color w:val="000000"/>
                <w:sz w:val="18"/>
                <w:szCs w:val="18"/>
              </w:rPr>
              <w:t>Net charge-offs</w:t>
            </w:r>
          </w:p>
        </w:tc>
        <w:tc>
          <w:tcPr>
            <w:tcW w:w="0" w:type="auto"/>
            <w:gridSpan w:val="3"/>
            <w:shd w:val="clear" w:color="auto" w:fill="FFFFFF"/>
            <w:tcMar>
              <w:top w:w="0" w:type="dxa"/>
              <w:left w:w="20" w:type="dxa"/>
              <w:bottom w:w="0" w:type="dxa"/>
              <w:right w:w="20" w:type="dxa"/>
            </w:tcMar>
            <w:vAlign w:val="center"/>
            <w:hideMark/>
          </w:tcPr>
          <w:p w14:paraId="432F9D53"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14B35338"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3E8C4B8F" w14:textId="77777777" w:rsidR="00000000" w:rsidRDefault="00405D16">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73B79F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C33B2C"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FC1C82B"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78291ADF" w14:textId="77777777" w:rsidR="00000000" w:rsidRDefault="00405D16">
            <w:pPr>
              <w:spacing w:after="100"/>
              <w:jc w:val="right"/>
              <w:rPr>
                <w:rFonts w:eastAsia="Times New Roman"/>
              </w:rPr>
            </w:pPr>
            <w:r>
              <w:rPr>
                <w:rFonts w:eastAsia="Times New Roman"/>
                <w:color w:val="000000"/>
                <w:sz w:val="18"/>
                <w:szCs w:val="18"/>
              </w:rPr>
              <w:t>82 </w:t>
            </w:r>
          </w:p>
        </w:tc>
        <w:tc>
          <w:tcPr>
            <w:tcW w:w="0" w:type="auto"/>
            <w:shd w:val="clear" w:color="auto" w:fill="FFFFFF"/>
            <w:tcMar>
              <w:top w:w="30" w:type="dxa"/>
              <w:left w:w="0" w:type="dxa"/>
              <w:bottom w:w="30" w:type="dxa"/>
              <w:right w:w="20" w:type="dxa"/>
            </w:tcMar>
            <w:vAlign w:val="center"/>
            <w:hideMark/>
          </w:tcPr>
          <w:p w14:paraId="5BF8C39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7444F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4864153" w14:textId="77777777" w:rsidR="00000000" w:rsidRDefault="00405D16">
            <w:pPr>
              <w:spacing w:after="100"/>
              <w:jc w:val="right"/>
              <w:rPr>
                <w:rFonts w:eastAsia="Times New Roman"/>
              </w:rPr>
            </w:pPr>
            <w:r>
              <w:rPr>
                <w:rFonts w:eastAsia="Times New Roman"/>
                <w:color w:val="000000"/>
                <w:sz w:val="18"/>
                <w:szCs w:val="18"/>
              </w:rPr>
              <w:t>(89)</w:t>
            </w:r>
          </w:p>
        </w:tc>
        <w:tc>
          <w:tcPr>
            <w:tcW w:w="0" w:type="auto"/>
            <w:shd w:val="clear" w:color="auto" w:fill="FFFFFF"/>
            <w:tcMar>
              <w:top w:w="30" w:type="dxa"/>
              <w:left w:w="0" w:type="dxa"/>
              <w:bottom w:w="30" w:type="dxa"/>
              <w:right w:w="20" w:type="dxa"/>
            </w:tcMar>
            <w:vAlign w:val="center"/>
            <w:hideMark/>
          </w:tcPr>
          <w:p w14:paraId="7D84CA37"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A4EA19B" w14:textId="77777777" w:rsidR="00000000" w:rsidRDefault="00405D16">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659A9A70"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7723A070" w14:textId="77777777" w:rsidR="00000000" w:rsidRDefault="00405D16">
            <w:pPr>
              <w:spacing w:after="100"/>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CCEDC2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E09A90"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1964A59"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3DAF0F79" w14:textId="77777777" w:rsidR="00000000" w:rsidRDefault="00405D16">
            <w:pPr>
              <w:spacing w:after="100"/>
              <w:jc w:val="right"/>
              <w:rPr>
                <w:rFonts w:eastAsia="Times New Roman"/>
              </w:rPr>
            </w:pPr>
            <w:r>
              <w:rPr>
                <w:rFonts w:eastAsia="Times New Roman"/>
                <w:color w:val="000000"/>
                <w:sz w:val="18"/>
                <w:szCs w:val="18"/>
              </w:rPr>
              <w:t>293 </w:t>
            </w:r>
          </w:p>
        </w:tc>
        <w:tc>
          <w:tcPr>
            <w:tcW w:w="0" w:type="auto"/>
            <w:shd w:val="clear" w:color="auto" w:fill="FFFFFF"/>
            <w:tcMar>
              <w:top w:w="30" w:type="dxa"/>
              <w:left w:w="0" w:type="dxa"/>
              <w:bottom w:w="30" w:type="dxa"/>
              <w:right w:w="20" w:type="dxa"/>
            </w:tcMar>
            <w:vAlign w:val="center"/>
            <w:hideMark/>
          </w:tcPr>
          <w:p w14:paraId="7FF1784F" w14:textId="77777777" w:rsidR="00000000" w:rsidRDefault="00405D16">
            <w:pPr>
              <w:spacing w:after="100"/>
              <w:jc w:val="right"/>
              <w:rPr>
                <w:rFonts w:eastAsia="Times New Roman"/>
              </w:rPr>
            </w:pPr>
          </w:p>
        </w:tc>
        <w:tc>
          <w:tcPr>
            <w:tcW w:w="0" w:type="auto"/>
            <w:vAlign w:val="center"/>
            <w:hideMark/>
          </w:tcPr>
          <w:p w14:paraId="6DA1695B" w14:textId="77777777" w:rsidR="00000000" w:rsidRDefault="00405D16">
            <w:pPr>
              <w:spacing w:after="100"/>
              <w:jc w:val="right"/>
              <w:rPr>
                <w:rFonts w:eastAsia="Times New Roman"/>
                <w:sz w:val="20"/>
                <w:szCs w:val="20"/>
              </w:rPr>
            </w:pPr>
          </w:p>
        </w:tc>
        <w:tc>
          <w:tcPr>
            <w:tcW w:w="0" w:type="auto"/>
            <w:vAlign w:val="center"/>
            <w:hideMark/>
          </w:tcPr>
          <w:p w14:paraId="6453AF3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766F47"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F97F8DE" w14:textId="77777777" w:rsidR="00000000" w:rsidRDefault="00405D16">
            <w:pPr>
              <w:spacing w:after="100"/>
              <w:jc w:val="right"/>
              <w:rPr>
                <w:rFonts w:eastAsia="Times New Roman"/>
              </w:rPr>
            </w:pPr>
            <w:r>
              <w:rPr>
                <w:rFonts w:eastAsia="Times New Roman"/>
                <w:color w:val="000000"/>
                <w:sz w:val="18"/>
                <w:szCs w:val="18"/>
              </w:rPr>
              <w:t>(98)</w:t>
            </w:r>
          </w:p>
        </w:tc>
        <w:tc>
          <w:tcPr>
            <w:tcW w:w="0" w:type="auto"/>
            <w:shd w:val="clear" w:color="auto" w:fill="FFFFFF"/>
            <w:tcMar>
              <w:top w:w="30" w:type="dxa"/>
              <w:left w:w="0" w:type="dxa"/>
              <w:bottom w:w="30" w:type="dxa"/>
              <w:right w:w="20" w:type="dxa"/>
            </w:tcMar>
            <w:vAlign w:val="center"/>
            <w:hideMark/>
          </w:tcPr>
          <w:p w14:paraId="14334314"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0DA1155C" w14:textId="77777777" w:rsidR="00000000" w:rsidRDefault="00405D16">
            <w:pPr>
              <w:spacing w:after="100"/>
              <w:jc w:val="right"/>
              <w:rPr>
                <w:rFonts w:eastAsia="Times New Roman"/>
              </w:rPr>
            </w:pPr>
          </w:p>
        </w:tc>
        <w:tc>
          <w:tcPr>
            <w:tcW w:w="0" w:type="auto"/>
            <w:gridSpan w:val="3"/>
            <w:vAlign w:val="center"/>
            <w:hideMark/>
          </w:tcPr>
          <w:p w14:paraId="77BD1BA6" w14:textId="77777777" w:rsidR="00000000" w:rsidRDefault="00405D16">
            <w:pPr>
              <w:spacing w:after="100"/>
              <w:rPr>
                <w:rFonts w:eastAsia="Times New Roman"/>
                <w:sz w:val="20"/>
                <w:szCs w:val="20"/>
              </w:rPr>
            </w:pPr>
          </w:p>
        </w:tc>
      </w:tr>
      <w:tr w:rsidR="00000000" w14:paraId="3A724B71" w14:textId="77777777">
        <w:trPr>
          <w:divId w:val="520245585"/>
        </w:trPr>
        <w:tc>
          <w:tcPr>
            <w:tcW w:w="0" w:type="auto"/>
            <w:gridSpan w:val="3"/>
            <w:shd w:val="clear" w:color="auto" w:fill="CCEEFF"/>
            <w:tcMar>
              <w:top w:w="30" w:type="dxa"/>
              <w:left w:w="20" w:type="dxa"/>
              <w:bottom w:w="30" w:type="dxa"/>
              <w:right w:w="20" w:type="dxa"/>
            </w:tcMar>
            <w:vAlign w:val="center"/>
            <w:hideMark/>
          </w:tcPr>
          <w:p w14:paraId="58BD6BBD" w14:textId="77777777" w:rsidR="00000000" w:rsidRDefault="00405D16">
            <w:pPr>
              <w:spacing w:after="100"/>
              <w:rPr>
                <w:rFonts w:eastAsia="Times New Roman"/>
              </w:rPr>
            </w:pPr>
            <w:r>
              <w:rPr>
                <w:rFonts w:eastAsia="Times New Roman"/>
                <w:color w:val="000000"/>
                <w:sz w:val="18"/>
                <w:szCs w:val="18"/>
              </w:rPr>
              <w:t xml:space="preserve">Net charge-off rate </w:t>
            </w:r>
          </w:p>
        </w:tc>
        <w:tc>
          <w:tcPr>
            <w:tcW w:w="0" w:type="auto"/>
            <w:gridSpan w:val="3"/>
            <w:shd w:val="clear" w:color="auto" w:fill="CCEEFF"/>
            <w:tcMar>
              <w:top w:w="0" w:type="dxa"/>
              <w:left w:w="20" w:type="dxa"/>
              <w:bottom w:w="0" w:type="dxa"/>
              <w:right w:w="20" w:type="dxa"/>
            </w:tcMar>
            <w:vAlign w:val="center"/>
            <w:hideMark/>
          </w:tcPr>
          <w:p w14:paraId="75DB1B02"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1A80466" w14:textId="77777777" w:rsidR="00000000" w:rsidRDefault="00405D16">
            <w:pPr>
              <w:spacing w:after="100"/>
              <w:jc w:val="right"/>
              <w:rPr>
                <w:rFonts w:eastAsia="Times New Roman"/>
              </w:rPr>
            </w:pPr>
            <w:r>
              <w:rPr>
                <w:rFonts w:eastAsia="Times New Roman"/>
                <w:b/>
                <w:bCs/>
                <w:color w:val="000000"/>
                <w:sz w:val="18"/>
                <w:szCs w:val="18"/>
              </w:rPr>
              <w:t>0.05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5BDB3D1"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9A82F04"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420A157" w14:textId="77777777" w:rsidR="00000000" w:rsidRDefault="00405D16">
            <w:pPr>
              <w:spacing w:after="100"/>
              <w:jc w:val="right"/>
              <w:rPr>
                <w:rFonts w:eastAsia="Times New Roman"/>
              </w:rPr>
            </w:pPr>
            <w:r>
              <w:rPr>
                <w:rFonts w:eastAsia="Times New Roman"/>
                <w:color w:val="000000"/>
                <w:sz w:val="18"/>
                <w:szCs w:val="18"/>
              </w:rPr>
              <w:t>0.43 </w:t>
            </w:r>
          </w:p>
        </w:tc>
        <w:tc>
          <w:tcPr>
            <w:tcW w:w="0" w:type="auto"/>
            <w:shd w:val="clear" w:color="auto" w:fill="CCEEFF"/>
            <w:tcMar>
              <w:top w:w="30" w:type="dxa"/>
              <w:left w:w="0" w:type="dxa"/>
              <w:bottom w:w="30" w:type="dxa"/>
              <w:right w:w="20" w:type="dxa"/>
            </w:tcMar>
            <w:vAlign w:val="center"/>
            <w:hideMark/>
          </w:tcPr>
          <w:p w14:paraId="22DA6E3C" w14:textId="77777777" w:rsidR="00000000" w:rsidRDefault="00405D16">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0C3AF5E"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E2B6C22" w14:textId="77777777" w:rsidR="00000000" w:rsidRDefault="00405D16">
            <w:pPr>
              <w:spacing w:after="100"/>
              <w:jc w:val="right"/>
              <w:rPr>
                <w:rFonts w:eastAsia="Times New Roman"/>
              </w:rPr>
            </w:pPr>
            <w:r>
              <w:rPr>
                <w:rFonts w:eastAsia="Times New Roman"/>
                <w:color w:val="000000"/>
                <w:sz w:val="18"/>
                <w:szCs w:val="18"/>
              </w:rPr>
              <w:t>(38)</w:t>
            </w:r>
          </w:p>
        </w:tc>
        <w:tc>
          <w:tcPr>
            <w:tcW w:w="0" w:type="auto"/>
            <w:shd w:val="clear" w:color="auto" w:fill="CCEEFF"/>
            <w:tcMar>
              <w:top w:w="30" w:type="dxa"/>
              <w:left w:w="0" w:type="dxa"/>
              <w:bottom w:w="30" w:type="dxa"/>
              <w:right w:w="20" w:type="dxa"/>
            </w:tcMar>
            <w:vAlign w:val="center"/>
            <w:hideMark/>
          </w:tcPr>
          <w:p w14:paraId="42E03D07" w14:textId="77777777" w:rsidR="00000000" w:rsidRDefault="00405D16">
            <w:pPr>
              <w:spacing w:after="100"/>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14:paraId="2F9205DE"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FF7E4B3" w14:textId="77777777" w:rsidR="00000000" w:rsidRDefault="00405D16">
            <w:pPr>
              <w:spacing w:after="100"/>
              <w:jc w:val="right"/>
              <w:rPr>
                <w:rFonts w:eastAsia="Times New Roman"/>
              </w:rPr>
            </w:pPr>
            <w:r>
              <w:rPr>
                <w:rFonts w:eastAsia="Times New Roman"/>
                <w:b/>
                <w:bCs/>
                <w:color w:val="000000"/>
                <w:sz w:val="18"/>
                <w:szCs w:val="18"/>
              </w:rPr>
              <w:t>0.01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40D72B5"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2F64EC4"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E3873D8" w14:textId="77777777" w:rsidR="00000000" w:rsidRDefault="00405D16">
            <w:pPr>
              <w:spacing w:after="100"/>
              <w:jc w:val="right"/>
              <w:rPr>
                <w:rFonts w:eastAsia="Times New Roman"/>
              </w:rPr>
            </w:pPr>
            <w:r>
              <w:rPr>
                <w:rFonts w:eastAsia="Times New Roman"/>
                <w:color w:val="000000"/>
                <w:sz w:val="18"/>
                <w:szCs w:val="18"/>
              </w:rPr>
              <w:t>0.50 </w:t>
            </w:r>
          </w:p>
        </w:tc>
        <w:tc>
          <w:tcPr>
            <w:tcW w:w="0" w:type="auto"/>
            <w:shd w:val="clear" w:color="auto" w:fill="CCEEFF"/>
            <w:tcMar>
              <w:top w:w="30" w:type="dxa"/>
              <w:left w:w="0" w:type="dxa"/>
              <w:bottom w:w="30" w:type="dxa"/>
              <w:right w:w="20" w:type="dxa"/>
            </w:tcMar>
            <w:vAlign w:val="center"/>
            <w:hideMark/>
          </w:tcPr>
          <w:p w14:paraId="16C0F99E" w14:textId="77777777" w:rsidR="00000000" w:rsidRDefault="00405D16">
            <w:pPr>
              <w:spacing w:after="100"/>
              <w:jc w:val="right"/>
              <w:rPr>
                <w:rFonts w:eastAsia="Times New Roman"/>
              </w:rPr>
            </w:pPr>
            <w:r>
              <w:rPr>
                <w:rFonts w:eastAsia="Times New Roman"/>
                <w:color w:val="000000"/>
                <w:sz w:val="18"/>
                <w:szCs w:val="18"/>
              </w:rPr>
              <w:t>%</w:t>
            </w:r>
          </w:p>
        </w:tc>
        <w:tc>
          <w:tcPr>
            <w:tcW w:w="0" w:type="auto"/>
            <w:vAlign w:val="center"/>
            <w:hideMark/>
          </w:tcPr>
          <w:p w14:paraId="0434EC35" w14:textId="77777777" w:rsidR="00000000" w:rsidRDefault="00405D16">
            <w:pPr>
              <w:spacing w:after="100"/>
              <w:jc w:val="right"/>
              <w:rPr>
                <w:rFonts w:eastAsia="Times New Roman"/>
              </w:rPr>
            </w:pPr>
          </w:p>
        </w:tc>
        <w:tc>
          <w:tcPr>
            <w:tcW w:w="0" w:type="auto"/>
            <w:vAlign w:val="center"/>
            <w:hideMark/>
          </w:tcPr>
          <w:p w14:paraId="7D565D8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4E1D2A"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0C1C579" w14:textId="77777777" w:rsidR="00000000" w:rsidRDefault="00405D16">
            <w:pPr>
              <w:spacing w:after="100"/>
              <w:jc w:val="right"/>
              <w:rPr>
                <w:rFonts w:eastAsia="Times New Roman"/>
              </w:rPr>
            </w:pPr>
            <w:r>
              <w:rPr>
                <w:rFonts w:eastAsia="Times New Roman"/>
                <w:color w:val="000000"/>
                <w:sz w:val="18"/>
                <w:szCs w:val="18"/>
              </w:rPr>
              <w:t>(49)</w:t>
            </w:r>
          </w:p>
        </w:tc>
        <w:tc>
          <w:tcPr>
            <w:tcW w:w="0" w:type="auto"/>
            <w:shd w:val="clear" w:color="auto" w:fill="CCEEFF"/>
            <w:tcMar>
              <w:top w:w="30" w:type="dxa"/>
              <w:left w:w="0" w:type="dxa"/>
              <w:bottom w:w="30" w:type="dxa"/>
              <w:right w:w="20" w:type="dxa"/>
            </w:tcMar>
            <w:vAlign w:val="center"/>
            <w:hideMark/>
          </w:tcPr>
          <w:p w14:paraId="34C19E7B" w14:textId="77777777" w:rsidR="00000000" w:rsidRDefault="00405D16">
            <w:pPr>
              <w:spacing w:after="100"/>
              <w:jc w:val="right"/>
              <w:rPr>
                <w:rFonts w:eastAsia="Times New Roman"/>
              </w:rPr>
            </w:pPr>
            <w:r>
              <w:rPr>
                <w:rFonts w:eastAsia="Times New Roman"/>
                <w:color w:val="000000"/>
                <w:sz w:val="18"/>
                <w:szCs w:val="18"/>
              </w:rPr>
              <w:t>bps</w:t>
            </w:r>
          </w:p>
        </w:tc>
        <w:tc>
          <w:tcPr>
            <w:tcW w:w="0" w:type="auto"/>
            <w:gridSpan w:val="3"/>
            <w:vAlign w:val="center"/>
            <w:hideMark/>
          </w:tcPr>
          <w:p w14:paraId="02E9A144" w14:textId="77777777" w:rsidR="00000000" w:rsidRDefault="00405D16">
            <w:pPr>
              <w:spacing w:after="100"/>
              <w:jc w:val="right"/>
              <w:rPr>
                <w:rFonts w:eastAsia="Times New Roman"/>
              </w:rPr>
            </w:pPr>
          </w:p>
        </w:tc>
        <w:tc>
          <w:tcPr>
            <w:tcW w:w="0" w:type="auto"/>
            <w:gridSpan w:val="3"/>
            <w:vAlign w:val="center"/>
            <w:hideMark/>
          </w:tcPr>
          <w:p w14:paraId="57DC533E" w14:textId="77777777" w:rsidR="00000000" w:rsidRDefault="00405D16">
            <w:pPr>
              <w:spacing w:after="100"/>
              <w:rPr>
                <w:rFonts w:eastAsia="Times New Roman"/>
                <w:sz w:val="20"/>
                <w:szCs w:val="20"/>
              </w:rPr>
            </w:pPr>
          </w:p>
        </w:tc>
      </w:tr>
      <w:tr w:rsidR="00000000" w14:paraId="3B929DFC" w14:textId="77777777">
        <w:trPr>
          <w:divId w:val="520245585"/>
          <w:trHeight w:val="240"/>
        </w:trPr>
        <w:tc>
          <w:tcPr>
            <w:tcW w:w="0" w:type="auto"/>
            <w:gridSpan w:val="3"/>
            <w:tcMar>
              <w:top w:w="0" w:type="dxa"/>
              <w:left w:w="20" w:type="dxa"/>
              <w:bottom w:w="0" w:type="dxa"/>
              <w:right w:w="20" w:type="dxa"/>
            </w:tcMar>
            <w:vAlign w:val="center"/>
            <w:hideMark/>
          </w:tcPr>
          <w:p w14:paraId="4DC4F755"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8514415"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ADA90F"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13B463E"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A028F4A"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F3FFC43"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4BD67A3"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13DB520"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75A6F75"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372A561"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3F7E31" w14:textId="77777777" w:rsidR="00000000" w:rsidRDefault="00405D16">
            <w:pPr>
              <w:spacing w:after="100"/>
              <w:rPr>
                <w:rFonts w:eastAsia="Times New Roman"/>
                <w:sz w:val="20"/>
                <w:szCs w:val="20"/>
              </w:rPr>
            </w:pPr>
          </w:p>
        </w:tc>
        <w:tc>
          <w:tcPr>
            <w:tcW w:w="0" w:type="auto"/>
            <w:vAlign w:val="center"/>
            <w:hideMark/>
          </w:tcPr>
          <w:p w14:paraId="6ED8CC54" w14:textId="77777777" w:rsidR="00000000" w:rsidRDefault="00405D16">
            <w:pPr>
              <w:spacing w:after="100"/>
              <w:rPr>
                <w:rFonts w:eastAsia="Times New Roman"/>
                <w:sz w:val="20"/>
                <w:szCs w:val="20"/>
              </w:rPr>
            </w:pPr>
          </w:p>
        </w:tc>
        <w:tc>
          <w:tcPr>
            <w:tcW w:w="0" w:type="auto"/>
            <w:vAlign w:val="center"/>
            <w:hideMark/>
          </w:tcPr>
          <w:p w14:paraId="0E23AB01"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63FBD7"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BC11C9A" w14:textId="77777777" w:rsidR="00000000" w:rsidRDefault="00405D16">
            <w:pPr>
              <w:spacing w:after="100"/>
              <w:rPr>
                <w:rFonts w:eastAsia="Times New Roman"/>
                <w:sz w:val="20"/>
                <w:szCs w:val="20"/>
              </w:rPr>
            </w:pPr>
          </w:p>
        </w:tc>
        <w:tc>
          <w:tcPr>
            <w:tcW w:w="0" w:type="auto"/>
            <w:gridSpan w:val="3"/>
            <w:vAlign w:val="center"/>
            <w:hideMark/>
          </w:tcPr>
          <w:p w14:paraId="1A733450" w14:textId="77777777" w:rsidR="00000000" w:rsidRDefault="00405D16">
            <w:pPr>
              <w:spacing w:after="100"/>
              <w:rPr>
                <w:rFonts w:eastAsia="Times New Roman"/>
                <w:sz w:val="20"/>
                <w:szCs w:val="20"/>
              </w:rPr>
            </w:pPr>
          </w:p>
        </w:tc>
        <w:tc>
          <w:tcPr>
            <w:tcW w:w="0" w:type="auto"/>
            <w:gridSpan w:val="3"/>
            <w:vAlign w:val="center"/>
            <w:hideMark/>
          </w:tcPr>
          <w:p w14:paraId="50AA97E9" w14:textId="77777777" w:rsidR="00000000" w:rsidRDefault="00405D16">
            <w:pPr>
              <w:spacing w:after="100"/>
              <w:rPr>
                <w:rFonts w:eastAsia="Times New Roman"/>
                <w:sz w:val="20"/>
                <w:szCs w:val="20"/>
              </w:rPr>
            </w:pPr>
          </w:p>
        </w:tc>
      </w:tr>
      <w:tr w:rsidR="00000000" w14:paraId="1F7FDDB7" w14:textId="77777777">
        <w:trPr>
          <w:divId w:val="520245585"/>
        </w:trPr>
        <w:tc>
          <w:tcPr>
            <w:tcW w:w="0" w:type="auto"/>
            <w:gridSpan w:val="3"/>
            <w:shd w:val="clear" w:color="auto" w:fill="FFFFFF"/>
            <w:tcMar>
              <w:top w:w="30" w:type="dxa"/>
              <w:left w:w="20" w:type="dxa"/>
              <w:bottom w:w="30" w:type="dxa"/>
              <w:right w:w="20" w:type="dxa"/>
            </w:tcMar>
            <w:vAlign w:val="bottom"/>
            <w:hideMark/>
          </w:tcPr>
          <w:p w14:paraId="02C3AC4F" w14:textId="77777777" w:rsidR="00000000" w:rsidRDefault="00405D16">
            <w:pPr>
              <w:spacing w:after="100"/>
              <w:rPr>
                <w:rFonts w:eastAsia="Times New Roman"/>
              </w:rPr>
            </w:pPr>
            <w:r>
              <w:rPr>
                <w:rFonts w:eastAsia="Times New Roman"/>
                <w:i/>
                <w:iCs/>
                <w:color w:val="000000"/>
                <w:sz w:val="16"/>
                <w:szCs w:val="16"/>
              </w:rPr>
              <w:t>(Dollars in millions, except as noted)</w:t>
            </w:r>
          </w:p>
        </w:tc>
        <w:tc>
          <w:tcPr>
            <w:tcW w:w="0" w:type="auto"/>
            <w:gridSpan w:val="3"/>
            <w:shd w:val="clear" w:color="auto" w:fill="FFFFFF"/>
            <w:tcMar>
              <w:top w:w="0" w:type="dxa"/>
              <w:left w:w="20" w:type="dxa"/>
              <w:bottom w:w="0" w:type="dxa"/>
              <w:right w:w="20" w:type="dxa"/>
            </w:tcMar>
            <w:vAlign w:val="center"/>
            <w:hideMark/>
          </w:tcPr>
          <w:p w14:paraId="27B60B6C" w14:textId="77777777" w:rsidR="00000000" w:rsidRDefault="00405D16">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DE0F4F9" w14:textId="77777777" w:rsidR="00000000" w:rsidRDefault="00405D16">
            <w:pPr>
              <w:spacing w:after="100"/>
              <w:jc w:val="center"/>
              <w:rPr>
                <w:rFonts w:eastAsia="Times New Roman"/>
              </w:rPr>
            </w:pPr>
            <w:r>
              <w:rPr>
                <w:rFonts w:eastAsia="Times New Roman"/>
                <w:b/>
                <w:bCs/>
                <w:color w:val="000000"/>
                <w:sz w:val="16"/>
                <w:szCs w:val="16"/>
              </w:rPr>
              <w:t>September 30, 2021</w:t>
            </w:r>
          </w:p>
        </w:tc>
        <w:tc>
          <w:tcPr>
            <w:tcW w:w="0" w:type="auto"/>
            <w:gridSpan w:val="3"/>
            <w:shd w:val="clear" w:color="auto" w:fill="FFFFFF"/>
            <w:tcMar>
              <w:top w:w="0" w:type="dxa"/>
              <w:left w:w="20" w:type="dxa"/>
              <w:bottom w:w="0" w:type="dxa"/>
              <w:right w:w="20" w:type="dxa"/>
            </w:tcMar>
            <w:vAlign w:val="center"/>
            <w:hideMark/>
          </w:tcPr>
          <w:p w14:paraId="0A22AA8F"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EF5E8F8" w14:textId="77777777" w:rsidR="00000000" w:rsidRDefault="00405D16">
            <w:pPr>
              <w:spacing w:after="100"/>
              <w:jc w:val="center"/>
              <w:rPr>
                <w:rFonts w:eastAsia="Times New Roman"/>
              </w:rPr>
            </w:pPr>
            <w:r>
              <w:rPr>
                <w:rFonts w:eastAsia="Times New Roman"/>
                <w:b/>
                <w:bCs/>
                <w:color w:val="000000"/>
                <w:sz w:val="16"/>
                <w:szCs w:val="16"/>
              </w:rPr>
              <w:t>December 31, 2020</w:t>
            </w:r>
          </w:p>
        </w:tc>
        <w:tc>
          <w:tcPr>
            <w:tcW w:w="0" w:type="auto"/>
            <w:gridSpan w:val="3"/>
            <w:shd w:val="clear" w:color="auto" w:fill="FFFFFF"/>
            <w:tcMar>
              <w:top w:w="0" w:type="dxa"/>
              <w:left w:w="20" w:type="dxa"/>
              <w:bottom w:w="0" w:type="dxa"/>
              <w:right w:w="20" w:type="dxa"/>
            </w:tcMar>
            <w:vAlign w:val="center"/>
            <w:hideMark/>
          </w:tcPr>
          <w:p w14:paraId="6AF754B2"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D79325E" w14:textId="77777777" w:rsidR="00000000" w:rsidRDefault="00405D16">
            <w:pPr>
              <w:spacing w:after="100"/>
              <w:jc w:val="center"/>
              <w:rPr>
                <w:rFonts w:eastAsia="Times New Roman"/>
              </w:rPr>
            </w:pPr>
            <w:r>
              <w:rPr>
                <w:rFonts w:eastAsia="Times New Roman"/>
                <w:b/>
                <w:bCs/>
                <w:color w:val="000000"/>
                <w:sz w:val="16"/>
                <w:szCs w:val="16"/>
              </w:rPr>
              <w:t>Change</w:t>
            </w:r>
          </w:p>
        </w:tc>
        <w:tc>
          <w:tcPr>
            <w:tcW w:w="0" w:type="auto"/>
            <w:gridSpan w:val="3"/>
            <w:shd w:val="clear" w:color="auto" w:fill="FFFFFF"/>
            <w:tcMar>
              <w:top w:w="0" w:type="dxa"/>
              <w:left w:w="20" w:type="dxa"/>
              <w:bottom w:w="0" w:type="dxa"/>
              <w:right w:w="20" w:type="dxa"/>
            </w:tcMar>
            <w:vAlign w:val="center"/>
            <w:hideMark/>
          </w:tcPr>
          <w:p w14:paraId="1D8E03D0" w14:textId="77777777" w:rsidR="00000000" w:rsidRDefault="00405D16">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34F6D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EF4DE2"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58BA998" w14:textId="77777777" w:rsidR="00000000" w:rsidRDefault="00405D16">
            <w:pPr>
              <w:spacing w:after="100"/>
              <w:rPr>
                <w:rFonts w:eastAsia="Times New Roman"/>
                <w:sz w:val="20"/>
                <w:szCs w:val="20"/>
              </w:rPr>
            </w:pPr>
          </w:p>
        </w:tc>
        <w:tc>
          <w:tcPr>
            <w:tcW w:w="0" w:type="auto"/>
            <w:vAlign w:val="center"/>
            <w:hideMark/>
          </w:tcPr>
          <w:p w14:paraId="39F62BE6" w14:textId="77777777" w:rsidR="00000000" w:rsidRDefault="00405D16">
            <w:pPr>
              <w:spacing w:after="100"/>
              <w:rPr>
                <w:rFonts w:eastAsia="Times New Roman"/>
                <w:sz w:val="20"/>
                <w:szCs w:val="20"/>
              </w:rPr>
            </w:pPr>
          </w:p>
        </w:tc>
        <w:tc>
          <w:tcPr>
            <w:tcW w:w="0" w:type="auto"/>
            <w:vAlign w:val="center"/>
            <w:hideMark/>
          </w:tcPr>
          <w:p w14:paraId="33FEDDD0"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90446F"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09E484A" w14:textId="77777777" w:rsidR="00000000" w:rsidRDefault="00405D16">
            <w:pPr>
              <w:spacing w:after="100"/>
              <w:rPr>
                <w:rFonts w:eastAsia="Times New Roman"/>
                <w:sz w:val="20"/>
                <w:szCs w:val="20"/>
              </w:rPr>
            </w:pPr>
          </w:p>
        </w:tc>
        <w:tc>
          <w:tcPr>
            <w:tcW w:w="0" w:type="auto"/>
            <w:gridSpan w:val="3"/>
            <w:vAlign w:val="center"/>
            <w:hideMark/>
          </w:tcPr>
          <w:p w14:paraId="3348234A" w14:textId="77777777" w:rsidR="00000000" w:rsidRDefault="00405D16">
            <w:pPr>
              <w:spacing w:after="100"/>
              <w:rPr>
                <w:rFonts w:eastAsia="Times New Roman"/>
                <w:sz w:val="20"/>
                <w:szCs w:val="20"/>
              </w:rPr>
            </w:pPr>
          </w:p>
        </w:tc>
        <w:tc>
          <w:tcPr>
            <w:tcW w:w="0" w:type="auto"/>
            <w:gridSpan w:val="3"/>
            <w:vAlign w:val="center"/>
            <w:hideMark/>
          </w:tcPr>
          <w:p w14:paraId="717E90A4" w14:textId="77777777" w:rsidR="00000000" w:rsidRDefault="00405D16">
            <w:pPr>
              <w:spacing w:after="100"/>
              <w:rPr>
                <w:rFonts w:eastAsia="Times New Roman"/>
                <w:sz w:val="20"/>
                <w:szCs w:val="20"/>
              </w:rPr>
            </w:pPr>
          </w:p>
        </w:tc>
      </w:tr>
      <w:tr w:rsidR="00000000" w14:paraId="51DE1B4C" w14:textId="77777777">
        <w:trPr>
          <w:divId w:val="52024558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7696BF5" w14:textId="77777777" w:rsidR="00000000" w:rsidRDefault="00405D16">
            <w:pPr>
              <w:spacing w:after="100"/>
              <w:rPr>
                <w:rFonts w:eastAsia="Times New Roman"/>
              </w:rPr>
            </w:pPr>
            <w:r>
              <w:rPr>
                <w:rFonts w:eastAsia="Times New Roman"/>
                <w:b/>
                <w:bCs/>
                <w:color w:val="000000"/>
                <w:sz w:val="18"/>
                <w:szCs w:val="18"/>
              </w:rPr>
              <w:t>Selected period-end data:</w:t>
            </w:r>
          </w:p>
        </w:tc>
        <w:tc>
          <w:tcPr>
            <w:tcW w:w="0" w:type="auto"/>
            <w:gridSpan w:val="3"/>
            <w:shd w:val="clear" w:color="auto" w:fill="CCEEFF"/>
            <w:tcMar>
              <w:top w:w="0" w:type="dxa"/>
              <w:left w:w="20" w:type="dxa"/>
              <w:bottom w:w="0" w:type="dxa"/>
              <w:right w:w="20" w:type="dxa"/>
            </w:tcMar>
            <w:vAlign w:val="center"/>
            <w:hideMark/>
          </w:tcPr>
          <w:p w14:paraId="725F4B80"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CE061D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173892"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0E2185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CCE9F8"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C38AE8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8D40F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01691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28936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ABDBA4" w14:textId="77777777" w:rsidR="00000000" w:rsidRDefault="00405D16">
            <w:pPr>
              <w:spacing w:after="100"/>
              <w:rPr>
                <w:rFonts w:eastAsia="Times New Roman"/>
                <w:sz w:val="20"/>
                <w:szCs w:val="20"/>
              </w:rPr>
            </w:pPr>
          </w:p>
        </w:tc>
        <w:tc>
          <w:tcPr>
            <w:tcW w:w="0" w:type="auto"/>
            <w:vAlign w:val="center"/>
            <w:hideMark/>
          </w:tcPr>
          <w:p w14:paraId="6B15FAC4" w14:textId="77777777" w:rsidR="00000000" w:rsidRDefault="00405D16">
            <w:pPr>
              <w:spacing w:after="100"/>
              <w:rPr>
                <w:rFonts w:eastAsia="Times New Roman"/>
                <w:sz w:val="20"/>
                <w:szCs w:val="20"/>
              </w:rPr>
            </w:pPr>
          </w:p>
        </w:tc>
        <w:tc>
          <w:tcPr>
            <w:tcW w:w="0" w:type="auto"/>
            <w:vAlign w:val="center"/>
            <w:hideMark/>
          </w:tcPr>
          <w:p w14:paraId="4542296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3AA24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70DD3A" w14:textId="77777777" w:rsidR="00000000" w:rsidRDefault="00405D16">
            <w:pPr>
              <w:spacing w:after="100"/>
              <w:rPr>
                <w:rFonts w:eastAsia="Times New Roman"/>
                <w:sz w:val="20"/>
                <w:szCs w:val="20"/>
              </w:rPr>
            </w:pPr>
          </w:p>
        </w:tc>
        <w:tc>
          <w:tcPr>
            <w:tcW w:w="0" w:type="auto"/>
            <w:gridSpan w:val="3"/>
            <w:vAlign w:val="center"/>
            <w:hideMark/>
          </w:tcPr>
          <w:p w14:paraId="1EE3ECF0" w14:textId="77777777" w:rsidR="00000000" w:rsidRDefault="00405D16">
            <w:pPr>
              <w:spacing w:after="100"/>
              <w:rPr>
                <w:rFonts w:eastAsia="Times New Roman"/>
                <w:sz w:val="20"/>
                <w:szCs w:val="20"/>
              </w:rPr>
            </w:pPr>
          </w:p>
        </w:tc>
        <w:tc>
          <w:tcPr>
            <w:tcW w:w="0" w:type="auto"/>
            <w:gridSpan w:val="3"/>
            <w:vAlign w:val="center"/>
            <w:hideMark/>
          </w:tcPr>
          <w:p w14:paraId="29057820" w14:textId="77777777" w:rsidR="00000000" w:rsidRDefault="00405D16">
            <w:pPr>
              <w:spacing w:after="100"/>
              <w:rPr>
                <w:rFonts w:eastAsia="Times New Roman"/>
                <w:sz w:val="20"/>
                <w:szCs w:val="20"/>
              </w:rPr>
            </w:pPr>
          </w:p>
        </w:tc>
      </w:tr>
      <w:tr w:rsidR="00000000" w14:paraId="1647EAB7" w14:textId="77777777">
        <w:trPr>
          <w:divId w:val="520245585"/>
        </w:trPr>
        <w:tc>
          <w:tcPr>
            <w:tcW w:w="0" w:type="auto"/>
            <w:gridSpan w:val="3"/>
            <w:shd w:val="clear" w:color="auto" w:fill="FFFFFF"/>
            <w:tcMar>
              <w:top w:w="30" w:type="dxa"/>
              <w:left w:w="20" w:type="dxa"/>
              <w:bottom w:w="30" w:type="dxa"/>
              <w:right w:w="20" w:type="dxa"/>
            </w:tcMar>
            <w:vAlign w:val="center"/>
            <w:hideMark/>
          </w:tcPr>
          <w:p w14:paraId="50CA0AE0" w14:textId="77777777" w:rsidR="00000000" w:rsidRDefault="00405D16">
            <w:pPr>
              <w:spacing w:after="100"/>
              <w:rPr>
                <w:rFonts w:eastAsia="Times New Roman"/>
              </w:rPr>
            </w:pPr>
            <w:r>
              <w:rPr>
                <w:rFonts w:eastAsia="Times New Roman"/>
                <w:color w:val="000000"/>
                <w:sz w:val="18"/>
                <w:szCs w:val="18"/>
              </w:rPr>
              <w:t>Loans held for investment:</w:t>
            </w:r>
          </w:p>
        </w:tc>
        <w:tc>
          <w:tcPr>
            <w:tcW w:w="0" w:type="auto"/>
            <w:gridSpan w:val="3"/>
            <w:shd w:val="clear" w:color="auto" w:fill="FFFFFF"/>
            <w:tcMar>
              <w:top w:w="0" w:type="dxa"/>
              <w:left w:w="20" w:type="dxa"/>
              <w:bottom w:w="0" w:type="dxa"/>
              <w:right w:w="20" w:type="dxa"/>
            </w:tcMar>
            <w:vAlign w:val="center"/>
            <w:hideMark/>
          </w:tcPr>
          <w:p w14:paraId="72100C2A"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AF8A7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5FBD9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F912E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57524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FD562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DDD0A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9A9E5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BA2DC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7A022F" w14:textId="77777777" w:rsidR="00000000" w:rsidRDefault="00405D16">
            <w:pPr>
              <w:spacing w:after="100"/>
              <w:rPr>
                <w:rFonts w:eastAsia="Times New Roman"/>
                <w:sz w:val="20"/>
                <w:szCs w:val="20"/>
              </w:rPr>
            </w:pPr>
          </w:p>
        </w:tc>
        <w:tc>
          <w:tcPr>
            <w:tcW w:w="0" w:type="auto"/>
            <w:vAlign w:val="center"/>
            <w:hideMark/>
          </w:tcPr>
          <w:p w14:paraId="31B279FA" w14:textId="77777777" w:rsidR="00000000" w:rsidRDefault="00405D16">
            <w:pPr>
              <w:spacing w:after="100"/>
              <w:rPr>
                <w:rFonts w:eastAsia="Times New Roman"/>
                <w:sz w:val="20"/>
                <w:szCs w:val="20"/>
              </w:rPr>
            </w:pPr>
          </w:p>
        </w:tc>
        <w:tc>
          <w:tcPr>
            <w:tcW w:w="0" w:type="auto"/>
            <w:vAlign w:val="center"/>
            <w:hideMark/>
          </w:tcPr>
          <w:p w14:paraId="26FE287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62288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B8B234" w14:textId="77777777" w:rsidR="00000000" w:rsidRDefault="00405D16">
            <w:pPr>
              <w:spacing w:after="100"/>
              <w:rPr>
                <w:rFonts w:eastAsia="Times New Roman"/>
                <w:sz w:val="20"/>
                <w:szCs w:val="20"/>
              </w:rPr>
            </w:pPr>
          </w:p>
        </w:tc>
        <w:tc>
          <w:tcPr>
            <w:tcW w:w="0" w:type="auto"/>
            <w:gridSpan w:val="3"/>
            <w:vAlign w:val="center"/>
            <w:hideMark/>
          </w:tcPr>
          <w:p w14:paraId="0F9970E6" w14:textId="77777777" w:rsidR="00000000" w:rsidRDefault="00405D16">
            <w:pPr>
              <w:spacing w:after="100"/>
              <w:rPr>
                <w:rFonts w:eastAsia="Times New Roman"/>
                <w:sz w:val="20"/>
                <w:szCs w:val="20"/>
              </w:rPr>
            </w:pPr>
          </w:p>
        </w:tc>
        <w:tc>
          <w:tcPr>
            <w:tcW w:w="0" w:type="auto"/>
            <w:gridSpan w:val="3"/>
            <w:vAlign w:val="center"/>
            <w:hideMark/>
          </w:tcPr>
          <w:p w14:paraId="0C8CF2B6" w14:textId="77777777" w:rsidR="00000000" w:rsidRDefault="00405D16">
            <w:pPr>
              <w:spacing w:after="100"/>
              <w:rPr>
                <w:rFonts w:eastAsia="Times New Roman"/>
                <w:sz w:val="20"/>
                <w:szCs w:val="20"/>
              </w:rPr>
            </w:pPr>
          </w:p>
        </w:tc>
      </w:tr>
      <w:tr w:rsidR="00000000" w14:paraId="4DB85251" w14:textId="77777777">
        <w:trPr>
          <w:divId w:val="520245585"/>
        </w:trPr>
        <w:tc>
          <w:tcPr>
            <w:tcW w:w="0" w:type="auto"/>
            <w:gridSpan w:val="3"/>
            <w:shd w:val="clear" w:color="auto" w:fill="CCEEFF"/>
            <w:tcMar>
              <w:top w:w="30" w:type="dxa"/>
              <w:left w:w="245" w:type="dxa"/>
              <w:bottom w:w="30" w:type="dxa"/>
              <w:right w:w="20" w:type="dxa"/>
            </w:tcMar>
            <w:vAlign w:val="center"/>
            <w:hideMark/>
          </w:tcPr>
          <w:p w14:paraId="6004239A" w14:textId="77777777" w:rsidR="00000000" w:rsidRDefault="00405D16">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CCEEFF"/>
            <w:tcMar>
              <w:top w:w="0" w:type="dxa"/>
              <w:left w:w="20" w:type="dxa"/>
              <w:bottom w:w="0" w:type="dxa"/>
              <w:right w:w="20" w:type="dxa"/>
            </w:tcMar>
            <w:vAlign w:val="center"/>
            <w:hideMark/>
          </w:tcPr>
          <w:p w14:paraId="19D6C2D5" w14:textId="77777777" w:rsidR="00000000" w:rsidRDefault="00405D16">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5EFD30D5"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324731D9" w14:textId="77777777" w:rsidR="00000000" w:rsidRDefault="00405D16">
            <w:pPr>
              <w:spacing w:after="100"/>
              <w:jc w:val="right"/>
              <w:rPr>
                <w:rFonts w:eastAsia="Times New Roman"/>
              </w:rPr>
            </w:pPr>
            <w:r>
              <w:rPr>
                <w:rFonts w:eastAsia="Times New Roman"/>
                <w:b/>
                <w:bCs/>
                <w:color w:val="000000"/>
                <w:sz w:val="18"/>
                <w:szCs w:val="18"/>
              </w:rPr>
              <w:t>33,096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0501CD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6F10C3"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5BE2EC91"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2B9A6DD0" w14:textId="77777777" w:rsidR="00000000" w:rsidRDefault="00405D16">
            <w:pPr>
              <w:spacing w:after="100"/>
              <w:jc w:val="right"/>
              <w:rPr>
                <w:rFonts w:eastAsia="Times New Roman"/>
              </w:rPr>
            </w:pPr>
            <w:r>
              <w:rPr>
                <w:rFonts w:eastAsia="Times New Roman"/>
                <w:color w:val="000000"/>
                <w:sz w:val="18"/>
                <w:szCs w:val="18"/>
              </w:rPr>
              <w:t>30,681 </w:t>
            </w:r>
          </w:p>
        </w:tc>
        <w:tc>
          <w:tcPr>
            <w:tcW w:w="0" w:type="auto"/>
            <w:shd w:val="clear" w:color="auto" w:fill="CCEEFF"/>
            <w:tcMar>
              <w:top w:w="30" w:type="dxa"/>
              <w:left w:w="0" w:type="dxa"/>
              <w:bottom w:w="30" w:type="dxa"/>
              <w:right w:w="20" w:type="dxa"/>
            </w:tcMar>
            <w:vAlign w:val="center"/>
            <w:hideMark/>
          </w:tcPr>
          <w:p w14:paraId="5E73970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76F3C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5726D75" w14:textId="77777777" w:rsidR="00000000" w:rsidRDefault="00405D16">
            <w:pPr>
              <w:spacing w:after="100"/>
              <w:jc w:val="right"/>
              <w:rPr>
                <w:rFonts w:eastAsia="Times New Roman"/>
              </w:rPr>
            </w:pPr>
            <w:r>
              <w:rPr>
                <w:rFonts w:eastAsia="Times New Roman"/>
                <w:color w:val="000000"/>
                <w:sz w:val="18"/>
                <w:szCs w:val="18"/>
              </w:rPr>
              <w:t>8 </w:t>
            </w:r>
          </w:p>
        </w:tc>
        <w:tc>
          <w:tcPr>
            <w:tcW w:w="0" w:type="auto"/>
            <w:shd w:val="clear" w:color="auto" w:fill="CCEEFF"/>
            <w:tcMar>
              <w:top w:w="30" w:type="dxa"/>
              <w:left w:w="0" w:type="dxa"/>
              <w:bottom w:w="30" w:type="dxa"/>
              <w:right w:w="20" w:type="dxa"/>
            </w:tcMar>
            <w:vAlign w:val="center"/>
            <w:hideMark/>
          </w:tcPr>
          <w:p w14:paraId="21DE17BE"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0419FA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95A18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62A12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CDC264" w14:textId="77777777" w:rsidR="00000000" w:rsidRDefault="00405D16">
            <w:pPr>
              <w:spacing w:after="100"/>
              <w:rPr>
                <w:rFonts w:eastAsia="Times New Roman"/>
                <w:sz w:val="20"/>
                <w:szCs w:val="20"/>
              </w:rPr>
            </w:pPr>
          </w:p>
        </w:tc>
        <w:tc>
          <w:tcPr>
            <w:tcW w:w="0" w:type="auto"/>
            <w:vAlign w:val="center"/>
            <w:hideMark/>
          </w:tcPr>
          <w:p w14:paraId="19A75304" w14:textId="77777777" w:rsidR="00000000" w:rsidRDefault="00405D16">
            <w:pPr>
              <w:spacing w:after="100"/>
              <w:rPr>
                <w:rFonts w:eastAsia="Times New Roman"/>
                <w:sz w:val="20"/>
                <w:szCs w:val="20"/>
              </w:rPr>
            </w:pPr>
          </w:p>
        </w:tc>
        <w:tc>
          <w:tcPr>
            <w:tcW w:w="0" w:type="auto"/>
            <w:vAlign w:val="center"/>
            <w:hideMark/>
          </w:tcPr>
          <w:p w14:paraId="43288E6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EAF57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D84C26" w14:textId="77777777" w:rsidR="00000000" w:rsidRDefault="00405D16">
            <w:pPr>
              <w:spacing w:after="100"/>
              <w:rPr>
                <w:rFonts w:eastAsia="Times New Roman"/>
                <w:sz w:val="20"/>
                <w:szCs w:val="20"/>
              </w:rPr>
            </w:pPr>
          </w:p>
        </w:tc>
        <w:tc>
          <w:tcPr>
            <w:tcW w:w="0" w:type="auto"/>
            <w:gridSpan w:val="3"/>
            <w:vAlign w:val="center"/>
            <w:hideMark/>
          </w:tcPr>
          <w:p w14:paraId="01EE06D4" w14:textId="77777777" w:rsidR="00000000" w:rsidRDefault="00405D16">
            <w:pPr>
              <w:spacing w:after="100"/>
              <w:rPr>
                <w:rFonts w:eastAsia="Times New Roman"/>
                <w:sz w:val="20"/>
                <w:szCs w:val="20"/>
              </w:rPr>
            </w:pPr>
          </w:p>
        </w:tc>
        <w:tc>
          <w:tcPr>
            <w:tcW w:w="0" w:type="auto"/>
            <w:gridSpan w:val="3"/>
            <w:vAlign w:val="center"/>
            <w:hideMark/>
          </w:tcPr>
          <w:p w14:paraId="2388AF43" w14:textId="77777777" w:rsidR="00000000" w:rsidRDefault="00405D16">
            <w:pPr>
              <w:spacing w:after="100"/>
              <w:rPr>
                <w:rFonts w:eastAsia="Times New Roman"/>
                <w:sz w:val="20"/>
                <w:szCs w:val="20"/>
              </w:rPr>
            </w:pPr>
          </w:p>
        </w:tc>
      </w:tr>
      <w:tr w:rsidR="00000000" w14:paraId="0EB9C4C7" w14:textId="77777777">
        <w:trPr>
          <w:divId w:val="520245585"/>
        </w:trPr>
        <w:tc>
          <w:tcPr>
            <w:tcW w:w="0" w:type="auto"/>
            <w:gridSpan w:val="3"/>
            <w:shd w:val="clear" w:color="auto" w:fill="FFFFFF"/>
            <w:tcMar>
              <w:top w:w="30" w:type="dxa"/>
              <w:left w:w="245" w:type="dxa"/>
              <w:bottom w:w="30" w:type="dxa"/>
              <w:right w:w="20" w:type="dxa"/>
            </w:tcMar>
            <w:vAlign w:val="center"/>
            <w:hideMark/>
          </w:tcPr>
          <w:p w14:paraId="333AC804" w14:textId="77777777" w:rsidR="00000000" w:rsidRDefault="00405D16">
            <w:pPr>
              <w:spacing w:after="100"/>
              <w:rPr>
                <w:rFonts w:eastAsia="Times New Roman"/>
              </w:rPr>
            </w:pPr>
            <w:r>
              <w:rPr>
                <w:rFonts w:eastAsia="Times New Roman"/>
                <w:color w:val="000000"/>
                <w:sz w:val="18"/>
                <w:szCs w:val="18"/>
              </w:rPr>
              <w:t>Commercial and industrial</w:t>
            </w:r>
          </w:p>
        </w:tc>
        <w:tc>
          <w:tcPr>
            <w:tcW w:w="0" w:type="auto"/>
            <w:gridSpan w:val="3"/>
            <w:shd w:val="clear" w:color="auto" w:fill="FFFFFF"/>
            <w:tcMar>
              <w:top w:w="0" w:type="dxa"/>
              <w:left w:w="20" w:type="dxa"/>
              <w:bottom w:w="0" w:type="dxa"/>
              <w:right w:w="20" w:type="dxa"/>
            </w:tcMar>
            <w:vAlign w:val="center"/>
            <w:hideMark/>
          </w:tcPr>
          <w:p w14:paraId="71180C14"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294582C" w14:textId="77777777" w:rsidR="00000000" w:rsidRDefault="00405D16">
            <w:pPr>
              <w:spacing w:after="100"/>
              <w:jc w:val="right"/>
              <w:rPr>
                <w:rFonts w:eastAsia="Times New Roman"/>
              </w:rPr>
            </w:pPr>
            <w:r>
              <w:rPr>
                <w:rFonts w:eastAsia="Times New Roman"/>
                <w:b/>
                <w:bCs/>
                <w:color w:val="000000"/>
                <w:sz w:val="18"/>
                <w:szCs w:val="18"/>
              </w:rPr>
              <w:t>46,152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007620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48A2C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B9965E9" w14:textId="77777777" w:rsidR="00000000" w:rsidRDefault="00405D16">
            <w:pPr>
              <w:spacing w:after="100"/>
              <w:jc w:val="right"/>
              <w:rPr>
                <w:rFonts w:eastAsia="Times New Roman"/>
              </w:rPr>
            </w:pPr>
            <w:r>
              <w:rPr>
                <w:rFonts w:eastAsia="Times New Roman"/>
                <w:color w:val="000000"/>
                <w:sz w:val="18"/>
                <w:szCs w:val="18"/>
              </w:rPr>
              <w:t>45,099 </w:t>
            </w:r>
          </w:p>
        </w:tc>
        <w:tc>
          <w:tcPr>
            <w:tcW w:w="0" w:type="auto"/>
            <w:shd w:val="clear" w:color="auto" w:fill="FFFFFF"/>
            <w:tcMar>
              <w:top w:w="30" w:type="dxa"/>
              <w:left w:w="0" w:type="dxa"/>
              <w:bottom w:w="30" w:type="dxa"/>
              <w:right w:w="20" w:type="dxa"/>
            </w:tcMar>
            <w:vAlign w:val="center"/>
            <w:hideMark/>
          </w:tcPr>
          <w:p w14:paraId="76E78FA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7E1A9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CCEB325" w14:textId="77777777" w:rsidR="00000000" w:rsidRDefault="00405D16">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center"/>
            <w:hideMark/>
          </w:tcPr>
          <w:p w14:paraId="20BB9DA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9C22C0" w14:textId="77777777" w:rsidR="00000000" w:rsidRDefault="00405D1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EE0F1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C5E26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8BB621" w14:textId="77777777" w:rsidR="00000000" w:rsidRDefault="00405D16">
            <w:pPr>
              <w:spacing w:after="100"/>
              <w:rPr>
                <w:rFonts w:eastAsia="Times New Roman"/>
                <w:sz w:val="20"/>
                <w:szCs w:val="20"/>
              </w:rPr>
            </w:pPr>
          </w:p>
        </w:tc>
        <w:tc>
          <w:tcPr>
            <w:tcW w:w="0" w:type="auto"/>
            <w:vAlign w:val="center"/>
            <w:hideMark/>
          </w:tcPr>
          <w:p w14:paraId="1BD6DD9E" w14:textId="77777777" w:rsidR="00000000" w:rsidRDefault="00405D16">
            <w:pPr>
              <w:spacing w:after="100"/>
              <w:rPr>
                <w:rFonts w:eastAsia="Times New Roman"/>
                <w:sz w:val="20"/>
                <w:szCs w:val="20"/>
              </w:rPr>
            </w:pPr>
          </w:p>
        </w:tc>
        <w:tc>
          <w:tcPr>
            <w:tcW w:w="0" w:type="auto"/>
            <w:vAlign w:val="center"/>
            <w:hideMark/>
          </w:tcPr>
          <w:p w14:paraId="1D00B0C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8A3C2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325BB0" w14:textId="77777777" w:rsidR="00000000" w:rsidRDefault="00405D16">
            <w:pPr>
              <w:spacing w:after="100"/>
              <w:rPr>
                <w:rFonts w:eastAsia="Times New Roman"/>
                <w:sz w:val="20"/>
                <w:szCs w:val="20"/>
              </w:rPr>
            </w:pPr>
          </w:p>
        </w:tc>
        <w:tc>
          <w:tcPr>
            <w:tcW w:w="0" w:type="auto"/>
            <w:gridSpan w:val="3"/>
            <w:vAlign w:val="center"/>
            <w:hideMark/>
          </w:tcPr>
          <w:p w14:paraId="1EF45FA2" w14:textId="77777777" w:rsidR="00000000" w:rsidRDefault="00405D16">
            <w:pPr>
              <w:spacing w:after="100"/>
              <w:rPr>
                <w:rFonts w:eastAsia="Times New Roman"/>
                <w:sz w:val="20"/>
                <w:szCs w:val="20"/>
              </w:rPr>
            </w:pPr>
          </w:p>
        </w:tc>
        <w:tc>
          <w:tcPr>
            <w:tcW w:w="0" w:type="auto"/>
            <w:gridSpan w:val="3"/>
            <w:vAlign w:val="center"/>
            <w:hideMark/>
          </w:tcPr>
          <w:p w14:paraId="20058486" w14:textId="77777777" w:rsidR="00000000" w:rsidRDefault="00405D16">
            <w:pPr>
              <w:spacing w:after="100"/>
              <w:rPr>
                <w:rFonts w:eastAsia="Times New Roman"/>
                <w:sz w:val="20"/>
                <w:szCs w:val="20"/>
              </w:rPr>
            </w:pPr>
          </w:p>
        </w:tc>
      </w:tr>
      <w:tr w:rsidR="00000000" w14:paraId="23582988" w14:textId="77777777">
        <w:trPr>
          <w:divId w:val="520245585"/>
        </w:trPr>
        <w:tc>
          <w:tcPr>
            <w:tcW w:w="0" w:type="auto"/>
            <w:gridSpan w:val="3"/>
            <w:shd w:val="clear" w:color="auto" w:fill="CCEEFF"/>
            <w:tcMar>
              <w:top w:w="30" w:type="dxa"/>
              <w:left w:w="20" w:type="dxa"/>
              <w:bottom w:w="30" w:type="dxa"/>
              <w:right w:w="20" w:type="dxa"/>
            </w:tcMar>
            <w:vAlign w:val="center"/>
            <w:hideMark/>
          </w:tcPr>
          <w:p w14:paraId="07BEAD56" w14:textId="77777777" w:rsidR="00000000" w:rsidRDefault="00405D16">
            <w:pPr>
              <w:spacing w:after="100"/>
              <w:rPr>
                <w:rFonts w:eastAsia="Times New Roman"/>
              </w:rPr>
            </w:pPr>
            <w:r>
              <w:rPr>
                <w:rFonts w:eastAsia="Times New Roman"/>
                <w:color w:val="000000"/>
                <w:sz w:val="18"/>
                <w:szCs w:val="18"/>
              </w:rPr>
              <w:t>Total commercial banking</w:t>
            </w:r>
          </w:p>
        </w:tc>
        <w:tc>
          <w:tcPr>
            <w:tcW w:w="0" w:type="auto"/>
            <w:gridSpan w:val="3"/>
            <w:shd w:val="clear" w:color="auto" w:fill="CCEEFF"/>
            <w:tcMar>
              <w:top w:w="0" w:type="dxa"/>
              <w:left w:w="20" w:type="dxa"/>
              <w:bottom w:w="0" w:type="dxa"/>
              <w:right w:w="20" w:type="dxa"/>
            </w:tcMar>
            <w:vAlign w:val="center"/>
            <w:hideMark/>
          </w:tcPr>
          <w:p w14:paraId="390C61B5"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B0D2FB3"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3EBC2CA" w14:textId="77777777" w:rsidR="00000000" w:rsidRDefault="00405D16">
            <w:pPr>
              <w:spacing w:after="100"/>
              <w:jc w:val="right"/>
              <w:rPr>
                <w:rFonts w:eastAsia="Times New Roman"/>
              </w:rPr>
            </w:pPr>
            <w:r>
              <w:rPr>
                <w:rFonts w:eastAsia="Times New Roman"/>
                <w:b/>
                <w:bCs/>
                <w:color w:val="000000"/>
                <w:sz w:val="18"/>
                <w:szCs w:val="18"/>
              </w:rPr>
              <w:t>79,248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69C944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F139E9"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447A2D9"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B3F1469" w14:textId="77777777" w:rsidR="00000000" w:rsidRDefault="00405D16">
            <w:pPr>
              <w:spacing w:after="100"/>
              <w:jc w:val="right"/>
              <w:rPr>
                <w:rFonts w:eastAsia="Times New Roman"/>
              </w:rPr>
            </w:pPr>
            <w:r>
              <w:rPr>
                <w:rFonts w:eastAsia="Times New Roman"/>
                <w:color w:val="000000"/>
                <w:sz w:val="18"/>
                <w:szCs w:val="18"/>
              </w:rPr>
              <w:t>75,780 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DFEAEC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82D4D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C2C14D2" w14:textId="77777777" w:rsidR="00000000" w:rsidRDefault="00405D16">
            <w:pPr>
              <w:spacing w:after="100"/>
              <w:jc w:val="right"/>
              <w:rPr>
                <w:rFonts w:eastAsia="Times New Roman"/>
              </w:rPr>
            </w:pPr>
            <w:r>
              <w:rPr>
                <w:rFonts w:eastAsia="Times New Roman"/>
                <w:color w:val="000000"/>
                <w:sz w:val="18"/>
                <w:szCs w:val="18"/>
              </w:rPr>
              <w:t>5 </w:t>
            </w:r>
          </w:p>
        </w:tc>
        <w:tc>
          <w:tcPr>
            <w:tcW w:w="0" w:type="auto"/>
            <w:shd w:val="clear" w:color="auto" w:fill="CCEEFF"/>
            <w:tcMar>
              <w:top w:w="30" w:type="dxa"/>
              <w:left w:w="0" w:type="dxa"/>
              <w:bottom w:w="30" w:type="dxa"/>
              <w:right w:w="20" w:type="dxa"/>
            </w:tcMar>
            <w:vAlign w:val="center"/>
            <w:hideMark/>
          </w:tcPr>
          <w:p w14:paraId="5227988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133D85" w14:textId="77777777" w:rsidR="00000000" w:rsidRDefault="00405D1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2C064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F9F8B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C81272" w14:textId="77777777" w:rsidR="00000000" w:rsidRDefault="00405D16">
            <w:pPr>
              <w:spacing w:after="100"/>
              <w:rPr>
                <w:rFonts w:eastAsia="Times New Roman"/>
                <w:sz w:val="20"/>
                <w:szCs w:val="20"/>
              </w:rPr>
            </w:pPr>
          </w:p>
        </w:tc>
        <w:tc>
          <w:tcPr>
            <w:tcW w:w="0" w:type="auto"/>
            <w:vAlign w:val="center"/>
            <w:hideMark/>
          </w:tcPr>
          <w:p w14:paraId="7678960F" w14:textId="77777777" w:rsidR="00000000" w:rsidRDefault="00405D16">
            <w:pPr>
              <w:spacing w:after="100"/>
              <w:rPr>
                <w:rFonts w:eastAsia="Times New Roman"/>
                <w:sz w:val="20"/>
                <w:szCs w:val="20"/>
              </w:rPr>
            </w:pPr>
          </w:p>
        </w:tc>
        <w:tc>
          <w:tcPr>
            <w:tcW w:w="0" w:type="auto"/>
            <w:vAlign w:val="center"/>
            <w:hideMark/>
          </w:tcPr>
          <w:p w14:paraId="0B21C28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3058E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D0A2E3" w14:textId="77777777" w:rsidR="00000000" w:rsidRDefault="00405D16">
            <w:pPr>
              <w:spacing w:after="100"/>
              <w:rPr>
                <w:rFonts w:eastAsia="Times New Roman"/>
                <w:sz w:val="20"/>
                <w:szCs w:val="20"/>
              </w:rPr>
            </w:pPr>
          </w:p>
        </w:tc>
        <w:tc>
          <w:tcPr>
            <w:tcW w:w="0" w:type="auto"/>
            <w:gridSpan w:val="3"/>
            <w:vAlign w:val="center"/>
            <w:hideMark/>
          </w:tcPr>
          <w:p w14:paraId="6505C50A" w14:textId="77777777" w:rsidR="00000000" w:rsidRDefault="00405D16">
            <w:pPr>
              <w:spacing w:after="100"/>
              <w:rPr>
                <w:rFonts w:eastAsia="Times New Roman"/>
                <w:sz w:val="20"/>
                <w:szCs w:val="20"/>
              </w:rPr>
            </w:pPr>
          </w:p>
        </w:tc>
        <w:tc>
          <w:tcPr>
            <w:tcW w:w="0" w:type="auto"/>
            <w:gridSpan w:val="3"/>
            <w:vAlign w:val="center"/>
            <w:hideMark/>
          </w:tcPr>
          <w:p w14:paraId="29650406" w14:textId="77777777" w:rsidR="00000000" w:rsidRDefault="00405D16">
            <w:pPr>
              <w:spacing w:after="100"/>
              <w:rPr>
                <w:rFonts w:eastAsia="Times New Roman"/>
                <w:sz w:val="20"/>
                <w:szCs w:val="20"/>
              </w:rPr>
            </w:pPr>
          </w:p>
        </w:tc>
      </w:tr>
      <w:tr w:rsidR="00000000" w14:paraId="78119149" w14:textId="77777777">
        <w:trPr>
          <w:divId w:val="520245585"/>
        </w:trPr>
        <w:tc>
          <w:tcPr>
            <w:tcW w:w="0" w:type="auto"/>
            <w:gridSpan w:val="3"/>
            <w:shd w:val="clear" w:color="auto" w:fill="FFFFFF"/>
            <w:tcMar>
              <w:top w:w="30" w:type="dxa"/>
              <w:left w:w="20" w:type="dxa"/>
              <w:bottom w:w="30" w:type="dxa"/>
              <w:right w:w="20" w:type="dxa"/>
            </w:tcMar>
            <w:vAlign w:val="center"/>
            <w:hideMark/>
          </w:tcPr>
          <w:p w14:paraId="083E0799" w14:textId="77777777" w:rsidR="00000000" w:rsidRDefault="00405D16">
            <w:pPr>
              <w:spacing w:after="100"/>
              <w:rPr>
                <w:rFonts w:eastAsia="Times New Roman"/>
              </w:rPr>
            </w:pPr>
            <w:r>
              <w:rPr>
                <w:rFonts w:eastAsia="Times New Roman"/>
                <w:color w:val="000000"/>
                <w:sz w:val="18"/>
                <w:szCs w:val="18"/>
              </w:rPr>
              <w:t>Nonperforming loan rate</w:t>
            </w:r>
          </w:p>
        </w:tc>
        <w:tc>
          <w:tcPr>
            <w:tcW w:w="0" w:type="auto"/>
            <w:gridSpan w:val="3"/>
            <w:shd w:val="clear" w:color="auto" w:fill="FFFFFF"/>
            <w:tcMar>
              <w:top w:w="0" w:type="dxa"/>
              <w:left w:w="20" w:type="dxa"/>
              <w:bottom w:w="0" w:type="dxa"/>
              <w:right w:w="20" w:type="dxa"/>
            </w:tcMar>
            <w:vAlign w:val="center"/>
            <w:hideMark/>
          </w:tcPr>
          <w:p w14:paraId="4EB62D1B" w14:textId="77777777" w:rsidR="00000000" w:rsidRDefault="00405D16">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14:paraId="3DED4B50" w14:textId="77777777" w:rsidR="00000000" w:rsidRDefault="00405D16">
            <w:pPr>
              <w:spacing w:after="100"/>
              <w:jc w:val="right"/>
              <w:rPr>
                <w:rFonts w:eastAsia="Times New Roman"/>
              </w:rPr>
            </w:pPr>
            <w:r>
              <w:rPr>
                <w:rFonts w:eastAsia="Times New Roman"/>
                <w:b/>
                <w:bCs/>
                <w:color w:val="000000"/>
                <w:sz w:val="18"/>
                <w:szCs w:val="18"/>
              </w:rPr>
              <w:t>0.76</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536F021F"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4B132BB" w14:textId="77777777" w:rsidR="00000000" w:rsidRDefault="00405D16">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14:paraId="7CF4171B" w14:textId="77777777" w:rsidR="00000000" w:rsidRDefault="00405D16">
            <w:pPr>
              <w:spacing w:after="100"/>
              <w:jc w:val="right"/>
              <w:rPr>
                <w:rFonts w:eastAsia="Times New Roman"/>
              </w:rPr>
            </w:pPr>
            <w:r>
              <w:rPr>
                <w:rFonts w:eastAsia="Times New Roman"/>
                <w:color w:val="000000"/>
                <w:sz w:val="18"/>
                <w:szCs w:val="18"/>
              </w:rPr>
              <w:t>0.86 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3B276B95"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25707DF"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FD5E090" w14:textId="77777777" w:rsidR="00000000" w:rsidRDefault="00405D16">
            <w:pPr>
              <w:spacing w:after="100"/>
              <w:jc w:val="right"/>
              <w:rPr>
                <w:rFonts w:eastAsia="Times New Roman"/>
              </w:rPr>
            </w:pPr>
            <w:r>
              <w:rPr>
                <w:rFonts w:eastAsia="Times New Roman"/>
                <w:color w:val="000000"/>
                <w:sz w:val="18"/>
                <w:szCs w:val="18"/>
              </w:rPr>
              <w:t>(10)</w:t>
            </w:r>
          </w:p>
        </w:tc>
        <w:tc>
          <w:tcPr>
            <w:tcW w:w="0" w:type="auto"/>
            <w:shd w:val="clear" w:color="auto" w:fill="FFFFFF"/>
            <w:tcMar>
              <w:top w:w="30" w:type="dxa"/>
              <w:left w:w="0" w:type="dxa"/>
              <w:bottom w:w="30" w:type="dxa"/>
              <w:right w:w="20" w:type="dxa"/>
            </w:tcMar>
            <w:vAlign w:val="center"/>
            <w:hideMark/>
          </w:tcPr>
          <w:p w14:paraId="1B14B32E" w14:textId="77777777" w:rsidR="00000000" w:rsidRDefault="00405D16">
            <w:pPr>
              <w:spacing w:after="100"/>
              <w:jc w:val="right"/>
              <w:rPr>
                <w:rFonts w:eastAsia="Times New Roman"/>
              </w:rPr>
            </w:pPr>
            <w:r>
              <w:rPr>
                <w:rFonts w:eastAsia="Times New Roman"/>
                <w:color w:val="000000"/>
                <w:sz w:val="18"/>
                <w:szCs w:val="18"/>
              </w:rPr>
              <w:t>bps</w:t>
            </w:r>
          </w:p>
        </w:tc>
        <w:tc>
          <w:tcPr>
            <w:tcW w:w="0" w:type="auto"/>
            <w:gridSpan w:val="3"/>
            <w:shd w:val="clear" w:color="auto" w:fill="FFFFFF"/>
            <w:tcMar>
              <w:top w:w="0" w:type="dxa"/>
              <w:left w:w="20" w:type="dxa"/>
              <w:bottom w:w="0" w:type="dxa"/>
              <w:right w:w="20" w:type="dxa"/>
            </w:tcMar>
            <w:vAlign w:val="center"/>
            <w:hideMark/>
          </w:tcPr>
          <w:p w14:paraId="042AAE6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714BD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77F15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7370B3" w14:textId="77777777" w:rsidR="00000000" w:rsidRDefault="00405D16">
            <w:pPr>
              <w:spacing w:after="100"/>
              <w:rPr>
                <w:rFonts w:eastAsia="Times New Roman"/>
                <w:sz w:val="20"/>
                <w:szCs w:val="20"/>
              </w:rPr>
            </w:pPr>
          </w:p>
        </w:tc>
        <w:tc>
          <w:tcPr>
            <w:tcW w:w="0" w:type="auto"/>
            <w:vAlign w:val="center"/>
            <w:hideMark/>
          </w:tcPr>
          <w:p w14:paraId="6CB75CCA" w14:textId="77777777" w:rsidR="00000000" w:rsidRDefault="00405D16">
            <w:pPr>
              <w:spacing w:after="100"/>
              <w:rPr>
                <w:rFonts w:eastAsia="Times New Roman"/>
                <w:sz w:val="20"/>
                <w:szCs w:val="20"/>
              </w:rPr>
            </w:pPr>
          </w:p>
        </w:tc>
        <w:tc>
          <w:tcPr>
            <w:tcW w:w="0" w:type="auto"/>
            <w:vAlign w:val="center"/>
            <w:hideMark/>
          </w:tcPr>
          <w:p w14:paraId="516FA27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B7F35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000B9B" w14:textId="77777777" w:rsidR="00000000" w:rsidRDefault="00405D16">
            <w:pPr>
              <w:spacing w:after="100"/>
              <w:rPr>
                <w:rFonts w:eastAsia="Times New Roman"/>
                <w:sz w:val="20"/>
                <w:szCs w:val="20"/>
              </w:rPr>
            </w:pPr>
          </w:p>
        </w:tc>
        <w:tc>
          <w:tcPr>
            <w:tcW w:w="0" w:type="auto"/>
            <w:gridSpan w:val="3"/>
            <w:vAlign w:val="center"/>
            <w:hideMark/>
          </w:tcPr>
          <w:p w14:paraId="6ACA0476" w14:textId="77777777" w:rsidR="00000000" w:rsidRDefault="00405D16">
            <w:pPr>
              <w:spacing w:after="100"/>
              <w:rPr>
                <w:rFonts w:eastAsia="Times New Roman"/>
                <w:sz w:val="20"/>
                <w:szCs w:val="20"/>
              </w:rPr>
            </w:pPr>
          </w:p>
        </w:tc>
        <w:tc>
          <w:tcPr>
            <w:tcW w:w="0" w:type="auto"/>
            <w:gridSpan w:val="3"/>
            <w:vAlign w:val="center"/>
            <w:hideMark/>
          </w:tcPr>
          <w:p w14:paraId="631A03D3" w14:textId="77777777" w:rsidR="00000000" w:rsidRDefault="00405D16">
            <w:pPr>
              <w:spacing w:after="100"/>
              <w:rPr>
                <w:rFonts w:eastAsia="Times New Roman"/>
                <w:sz w:val="20"/>
                <w:szCs w:val="20"/>
              </w:rPr>
            </w:pPr>
          </w:p>
        </w:tc>
      </w:tr>
      <w:tr w:rsidR="00000000" w14:paraId="4B85B2CA" w14:textId="77777777">
        <w:trPr>
          <w:divId w:val="520245585"/>
        </w:trPr>
        <w:tc>
          <w:tcPr>
            <w:tcW w:w="0" w:type="auto"/>
            <w:gridSpan w:val="3"/>
            <w:shd w:val="clear" w:color="auto" w:fill="CCEEFF"/>
            <w:tcMar>
              <w:top w:w="30" w:type="dxa"/>
              <w:left w:w="20" w:type="dxa"/>
              <w:bottom w:w="30" w:type="dxa"/>
              <w:right w:w="20" w:type="dxa"/>
            </w:tcMar>
            <w:vAlign w:val="center"/>
            <w:hideMark/>
          </w:tcPr>
          <w:p w14:paraId="54FFA357" w14:textId="77777777" w:rsidR="00000000" w:rsidRDefault="00405D16">
            <w:pPr>
              <w:spacing w:after="100"/>
              <w:divId w:val="1877043561"/>
              <w:rPr>
                <w:rFonts w:eastAsia="Times New Roman"/>
              </w:rPr>
            </w:pPr>
            <w:r>
              <w:rPr>
                <w:rFonts w:eastAsia="Times New Roman"/>
                <w:color w:val="000000"/>
                <w:sz w:val="18"/>
                <w:szCs w:val="18"/>
              </w:rPr>
              <w:t>Nonperforming asset rat</w:t>
            </w:r>
            <w:r>
              <w:rPr>
                <w:rFonts w:eastAsia="Times New Roman"/>
                <w:color w:val="000000"/>
                <w:sz w:val="18"/>
                <w:szCs w:val="18"/>
              </w:rPr>
              <w:t>e</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6E2A2A54"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2A6BDAB" w14:textId="77777777" w:rsidR="00000000" w:rsidRDefault="00405D16">
            <w:pPr>
              <w:spacing w:after="100"/>
              <w:jc w:val="right"/>
              <w:rPr>
                <w:rFonts w:eastAsia="Times New Roman"/>
              </w:rPr>
            </w:pPr>
            <w:r>
              <w:rPr>
                <w:rFonts w:eastAsia="Times New Roman"/>
                <w:b/>
                <w:bCs/>
                <w:color w:val="000000"/>
                <w:sz w:val="18"/>
                <w:szCs w:val="18"/>
              </w:rPr>
              <w:t>0.76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1C72B5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D6FA8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256F1C8" w14:textId="77777777" w:rsidR="00000000" w:rsidRDefault="00405D16">
            <w:pPr>
              <w:spacing w:after="100"/>
              <w:jc w:val="right"/>
              <w:rPr>
                <w:rFonts w:eastAsia="Times New Roman"/>
              </w:rPr>
            </w:pPr>
            <w:r>
              <w:rPr>
                <w:rFonts w:eastAsia="Times New Roman"/>
                <w:color w:val="000000"/>
                <w:sz w:val="18"/>
                <w:szCs w:val="18"/>
              </w:rPr>
              <w:t>0.86 </w:t>
            </w:r>
          </w:p>
        </w:tc>
        <w:tc>
          <w:tcPr>
            <w:tcW w:w="0" w:type="auto"/>
            <w:shd w:val="clear" w:color="auto" w:fill="CCEEFF"/>
            <w:tcMar>
              <w:top w:w="30" w:type="dxa"/>
              <w:left w:w="0" w:type="dxa"/>
              <w:bottom w:w="30" w:type="dxa"/>
              <w:right w:w="20" w:type="dxa"/>
            </w:tcMar>
            <w:vAlign w:val="center"/>
            <w:hideMark/>
          </w:tcPr>
          <w:p w14:paraId="2C86311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170CD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6554045" w14:textId="77777777" w:rsidR="00000000" w:rsidRDefault="00405D16">
            <w:pPr>
              <w:spacing w:after="100"/>
              <w:jc w:val="right"/>
              <w:rPr>
                <w:rFonts w:eastAsia="Times New Roman"/>
              </w:rPr>
            </w:pPr>
            <w:r>
              <w:rPr>
                <w:rFonts w:eastAsia="Times New Roman"/>
                <w:color w:val="000000"/>
                <w:sz w:val="18"/>
                <w:szCs w:val="18"/>
              </w:rPr>
              <w:t>(10)</w:t>
            </w:r>
          </w:p>
        </w:tc>
        <w:tc>
          <w:tcPr>
            <w:tcW w:w="0" w:type="auto"/>
            <w:shd w:val="clear" w:color="auto" w:fill="CCEEFF"/>
            <w:tcMar>
              <w:top w:w="30" w:type="dxa"/>
              <w:left w:w="0" w:type="dxa"/>
              <w:bottom w:w="30" w:type="dxa"/>
              <w:right w:w="20" w:type="dxa"/>
            </w:tcMar>
            <w:vAlign w:val="center"/>
            <w:hideMark/>
          </w:tcPr>
          <w:p w14:paraId="5F8F639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EB9CFA" w14:textId="77777777" w:rsidR="00000000" w:rsidRDefault="00405D1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F1DA7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57EC0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07146D" w14:textId="77777777" w:rsidR="00000000" w:rsidRDefault="00405D16">
            <w:pPr>
              <w:spacing w:after="100"/>
              <w:rPr>
                <w:rFonts w:eastAsia="Times New Roman"/>
                <w:sz w:val="20"/>
                <w:szCs w:val="20"/>
              </w:rPr>
            </w:pPr>
          </w:p>
        </w:tc>
        <w:tc>
          <w:tcPr>
            <w:tcW w:w="0" w:type="auto"/>
            <w:vAlign w:val="center"/>
            <w:hideMark/>
          </w:tcPr>
          <w:p w14:paraId="7AA75670" w14:textId="77777777" w:rsidR="00000000" w:rsidRDefault="00405D16">
            <w:pPr>
              <w:spacing w:after="100"/>
              <w:rPr>
                <w:rFonts w:eastAsia="Times New Roman"/>
                <w:sz w:val="20"/>
                <w:szCs w:val="20"/>
              </w:rPr>
            </w:pPr>
          </w:p>
        </w:tc>
        <w:tc>
          <w:tcPr>
            <w:tcW w:w="0" w:type="auto"/>
            <w:vAlign w:val="center"/>
            <w:hideMark/>
          </w:tcPr>
          <w:p w14:paraId="00ABF36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A5CC3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979E30" w14:textId="77777777" w:rsidR="00000000" w:rsidRDefault="00405D16">
            <w:pPr>
              <w:spacing w:after="100"/>
              <w:rPr>
                <w:rFonts w:eastAsia="Times New Roman"/>
                <w:sz w:val="20"/>
                <w:szCs w:val="20"/>
              </w:rPr>
            </w:pPr>
          </w:p>
        </w:tc>
        <w:tc>
          <w:tcPr>
            <w:tcW w:w="0" w:type="auto"/>
            <w:gridSpan w:val="3"/>
            <w:vAlign w:val="center"/>
            <w:hideMark/>
          </w:tcPr>
          <w:p w14:paraId="319C7EB1" w14:textId="77777777" w:rsidR="00000000" w:rsidRDefault="00405D16">
            <w:pPr>
              <w:spacing w:after="100"/>
              <w:rPr>
                <w:rFonts w:eastAsia="Times New Roman"/>
                <w:sz w:val="20"/>
                <w:szCs w:val="20"/>
              </w:rPr>
            </w:pPr>
          </w:p>
        </w:tc>
        <w:tc>
          <w:tcPr>
            <w:tcW w:w="0" w:type="auto"/>
            <w:gridSpan w:val="3"/>
            <w:vAlign w:val="center"/>
            <w:hideMark/>
          </w:tcPr>
          <w:p w14:paraId="5BB50B77" w14:textId="77777777" w:rsidR="00000000" w:rsidRDefault="00405D16">
            <w:pPr>
              <w:spacing w:after="100"/>
              <w:rPr>
                <w:rFonts w:eastAsia="Times New Roman"/>
                <w:sz w:val="20"/>
                <w:szCs w:val="20"/>
              </w:rPr>
            </w:pPr>
          </w:p>
        </w:tc>
      </w:tr>
      <w:tr w:rsidR="00000000" w14:paraId="4252CB74" w14:textId="77777777">
        <w:trPr>
          <w:divId w:val="520245585"/>
        </w:trPr>
        <w:tc>
          <w:tcPr>
            <w:tcW w:w="0" w:type="auto"/>
            <w:gridSpan w:val="3"/>
            <w:shd w:val="clear" w:color="auto" w:fill="FFFFFF"/>
            <w:tcMar>
              <w:top w:w="30" w:type="dxa"/>
              <w:left w:w="20" w:type="dxa"/>
              <w:bottom w:w="30" w:type="dxa"/>
              <w:right w:w="20" w:type="dxa"/>
            </w:tcMar>
            <w:vAlign w:val="center"/>
            <w:hideMark/>
          </w:tcPr>
          <w:p w14:paraId="6328D210" w14:textId="77777777" w:rsidR="00000000" w:rsidRDefault="00405D16">
            <w:pPr>
              <w:spacing w:after="100"/>
              <w:divId w:val="396779981"/>
              <w:rPr>
                <w:rFonts w:eastAsia="Times New Roman"/>
              </w:rPr>
            </w:pPr>
            <w:r>
              <w:rPr>
                <w:rFonts w:eastAsia="Times New Roman"/>
                <w:color w:val="000000"/>
                <w:sz w:val="18"/>
                <w:szCs w:val="18"/>
              </w:rPr>
              <w:t>Allowance for credit losse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300F921F"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60656EB9"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2E55A9A4" w14:textId="77777777" w:rsidR="00000000" w:rsidRDefault="00405D16">
            <w:pPr>
              <w:spacing w:after="100"/>
              <w:jc w:val="right"/>
              <w:rPr>
                <w:rFonts w:eastAsia="Times New Roman"/>
              </w:rPr>
            </w:pPr>
            <w:r>
              <w:rPr>
                <w:rFonts w:eastAsia="Times New Roman"/>
                <w:b/>
                <w:bCs/>
                <w:color w:val="000000"/>
                <w:sz w:val="18"/>
                <w:szCs w:val="18"/>
              </w:rPr>
              <w:t>1,206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759CAC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C4F1BC"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07A910A"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691AFB01" w14:textId="77777777" w:rsidR="00000000" w:rsidRDefault="00405D16">
            <w:pPr>
              <w:spacing w:after="100"/>
              <w:jc w:val="right"/>
              <w:rPr>
                <w:rFonts w:eastAsia="Times New Roman"/>
              </w:rPr>
            </w:pPr>
            <w:r>
              <w:rPr>
                <w:rFonts w:eastAsia="Times New Roman"/>
                <w:color w:val="000000"/>
                <w:sz w:val="18"/>
                <w:szCs w:val="18"/>
              </w:rPr>
              <w:t>1,658 </w:t>
            </w:r>
          </w:p>
        </w:tc>
        <w:tc>
          <w:tcPr>
            <w:tcW w:w="0" w:type="auto"/>
            <w:shd w:val="clear" w:color="auto" w:fill="FFFFFF"/>
            <w:tcMar>
              <w:top w:w="30" w:type="dxa"/>
              <w:left w:w="0" w:type="dxa"/>
              <w:bottom w:w="30" w:type="dxa"/>
              <w:right w:w="20" w:type="dxa"/>
            </w:tcMar>
            <w:vAlign w:val="center"/>
            <w:hideMark/>
          </w:tcPr>
          <w:p w14:paraId="4B1C556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05AD9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9E1F4F2" w14:textId="77777777" w:rsidR="00000000" w:rsidRDefault="00405D16">
            <w:pPr>
              <w:spacing w:after="100"/>
              <w:jc w:val="right"/>
              <w:rPr>
                <w:rFonts w:eastAsia="Times New Roman"/>
              </w:rPr>
            </w:pPr>
            <w:r>
              <w:rPr>
                <w:rFonts w:eastAsia="Times New Roman"/>
                <w:color w:val="000000"/>
                <w:sz w:val="18"/>
                <w:szCs w:val="18"/>
              </w:rPr>
              <w:t>(27)</w:t>
            </w:r>
          </w:p>
        </w:tc>
        <w:tc>
          <w:tcPr>
            <w:tcW w:w="0" w:type="auto"/>
            <w:shd w:val="clear" w:color="auto" w:fill="FFFFFF"/>
            <w:tcMar>
              <w:top w:w="30" w:type="dxa"/>
              <w:left w:w="0" w:type="dxa"/>
              <w:bottom w:w="30" w:type="dxa"/>
              <w:right w:w="20" w:type="dxa"/>
            </w:tcMar>
            <w:vAlign w:val="center"/>
            <w:hideMark/>
          </w:tcPr>
          <w:p w14:paraId="3C7E8F07"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E41D25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2F226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48B31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0B9775" w14:textId="77777777" w:rsidR="00000000" w:rsidRDefault="00405D16">
            <w:pPr>
              <w:spacing w:after="100"/>
              <w:rPr>
                <w:rFonts w:eastAsia="Times New Roman"/>
                <w:sz w:val="20"/>
                <w:szCs w:val="20"/>
              </w:rPr>
            </w:pPr>
          </w:p>
        </w:tc>
        <w:tc>
          <w:tcPr>
            <w:tcW w:w="0" w:type="auto"/>
            <w:vAlign w:val="center"/>
            <w:hideMark/>
          </w:tcPr>
          <w:p w14:paraId="30BE2105" w14:textId="77777777" w:rsidR="00000000" w:rsidRDefault="00405D16">
            <w:pPr>
              <w:spacing w:after="100"/>
              <w:rPr>
                <w:rFonts w:eastAsia="Times New Roman"/>
                <w:sz w:val="20"/>
                <w:szCs w:val="20"/>
              </w:rPr>
            </w:pPr>
          </w:p>
        </w:tc>
        <w:tc>
          <w:tcPr>
            <w:tcW w:w="0" w:type="auto"/>
            <w:vAlign w:val="center"/>
            <w:hideMark/>
          </w:tcPr>
          <w:p w14:paraId="09059B8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2C544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AAC1AD" w14:textId="77777777" w:rsidR="00000000" w:rsidRDefault="00405D16">
            <w:pPr>
              <w:spacing w:after="100"/>
              <w:rPr>
                <w:rFonts w:eastAsia="Times New Roman"/>
                <w:sz w:val="20"/>
                <w:szCs w:val="20"/>
              </w:rPr>
            </w:pPr>
          </w:p>
        </w:tc>
        <w:tc>
          <w:tcPr>
            <w:tcW w:w="0" w:type="auto"/>
            <w:gridSpan w:val="3"/>
            <w:vAlign w:val="center"/>
            <w:hideMark/>
          </w:tcPr>
          <w:p w14:paraId="43D4CA10" w14:textId="77777777" w:rsidR="00000000" w:rsidRDefault="00405D16">
            <w:pPr>
              <w:spacing w:after="100"/>
              <w:rPr>
                <w:rFonts w:eastAsia="Times New Roman"/>
                <w:sz w:val="20"/>
                <w:szCs w:val="20"/>
              </w:rPr>
            </w:pPr>
          </w:p>
        </w:tc>
        <w:tc>
          <w:tcPr>
            <w:tcW w:w="0" w:type="auto"/>
            <w:gridSpan w:val="3"/>
            <w:vAlign w:val="center"/>
            <w:hideMark/>
          </w:tcPr>
          <w:p w14:paraId="555894D6" w14:textId="77777777" w:rsidR="00000000" w:rsidRDefault="00405D16">
            <w:pPr>
              <w:spacing w:after="100"/>
              <w:rPr>
                <w:rFonts w:eastAsia="Times New Roman"/>
                <w:sz w:val="20"/>
                <w:szCs w:val="20"/>
              </w:rPr>
            </w:pPr>
          </w:p>
        </w:tc>
      </w:tr>
      <w:tr w:rsidR="00000000" w14:paraId="4A13D2AD" w14:textId="77777777">
        <w:trPr>
          <w:divId w:val="520245585"/>
        </w:trPr>
        <w:tc>
          <w:tcPr>
            <w:tcW w:w="0" w:type="auto"/>
            <w:gridSpan w:val="3"/>
            <w:shd w:val="clear" w:color="auto" w:fill="CCEEFF"/>
            <w:tcMar>
              <w:top w:w="30" w:type="dxa"/>
              <w:left w:w="20" w:type="dxa"/>
              <w:bottom w:w="30" w:type="dxa"/>
              <w:right w:w="20" w:type="dxa"/>
            </w:tcMar>
            <w:vAlign w:val="center"/>
            <w:hideMark/>
          </w:tcPr>
          <w:p w14:paraId="7D5408B0" w14:textId="77777777" w:rsidR="00000000" w:rsidRDefault="00405D16">
            <w:pPr>
              <w:spacing w:after="100"/>
              <w:rPr>
                <w:rFonts w:eastAsia="Times New Roman"/>
              </w:rPr>
            </w:pPr>
            <w:r>
              <w:rPr>
                <w:rFonts w:eastAsia="Times New Roman"/>
                <w:color w:val="000000"/>
                <w:sz w:val="18"/>
                <w:szCs w:val="18"/>
              </w:rPr>
              <w:t>Allowance coverage ratio</w:t>
            </w:r>
          </w:p>
        </w:tc>
        <w:tc>
          <w:tcPr>
            <w:tcW w:w="0" w:type="auto"/>
            <w:gridSpan w:val="3"/>
            <w:shd w:val="clear" w:color="auto" w:fill="CCEEFF"/>
            <w:tcMar>
              <w:top w:w="0" w:type="dxa"/>
              <w:left w:w="20" w:type="dxa"/>
              <w:bottom w:w="0" w:type="dxa"/>
              <w:right w:w="20" w:type="dxa"/>
            </w:tcMar>
            <w:vAlign w:val="center"/>
            <w:hideMark/>
          </w:tcPr>
          <w:p w14:paraId="1BDE4931"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9AA9D04" w14:textId="77777777" w:rsidR="00000000" w:rsidRDefault="00405D16">
            <w:pPr>
              <w:spacing w:after="100"/>
              <w:jc w:val="right"/>
              <w:rPr>
                <w:rFonts w:eastAsia="Times New Roman"/>
              </w:rPr>
            </w:pPr>
            <w:r>
              <w:rPr>
                <w:rFonts w:eastAsia="Times New Roman"/>
                <w:b/>
                <w:bCs/>
                <w:color w:val="000000"/>
                <w:sz w:val="18"/>
                <w:szCs w:val="18"/>
              </w:rPr>
              <w:t>1.52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1566F7A"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BFF9108"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66BC776" w14:textId="77777777" w:rsidR="00000000" w:rsidRDefault="00405D16">
            <w:pPr>
              <w:spacing w:after="100"/>
              <w:jc w:val="right"/>
              <w:rPr>
                <w:rFonts w:eastAsia="Times New Roman"/>
              </w:rPr>
            </w:pPr>
            <w:r>
              <w:rPr>
                <w:rFonts w:eastAsia="Times New Roman"/>
                <w:color w:val="000000"/>
                <w:sz w:val="18"/>
                <w:szCs w:val="18"/>
              </w:rPr>
              <w:t>2.19 </w:t>
            </w:r>
          </w:p>
        </w:tc>
        <w:tc>
          <w:tcPr>
            <w:tcW w:w="0" w:type="auto"/>
            <w:shd w:val="clear" w:color="auto" w:fill="CCEEFF"/>
            <w:tcMar>
              <w:top w:w="30" w:type="dxa"/>
              <w:left w:w="0" w:type="dxa"/>
              <w:bottom w:w="30" w:type="dxa"/>
              <w:right w:w="20" w:type="dxa"/>
            </w:tcMar>
            <w:vAlign w:val="center"/>
            <w:hideMark/>
          </w:tcPr>
          <w:p w14:paraId="0FCFAE65"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D6218D5"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75F6970" w14:textId="77777777" w:rsidR="00000000" w:rsidRDefault="00405D16">
            <w:pPr>
              <w:spacing w:after="100"/>
              <w:jc w:val="right"/>
              <w:rPr>
                <w:rFonts w:eastAsia="Times New Roman"/>
              </w:rPr>
            </w:pPr>
            <w:r>
              <w:rPr>
                <w:rFonts w:eastAsia="Times New Roman"/>
                <w:color w:val="000000"/>
                <w:sz w:val="18"/>
                <w:szCs w:val="18"/>
              </w:rPr>
              <w:t>(67)</w:t>
            </w:r>
          </w:p>
        </w:tc>
        <w:tc>
          <w:tcPr>
            <w:tcW w:w="0" w:type="auto"/>
            <w:shd w:val="clear" w:color="auto" w:fill="CCEEFF"/>
            <w:tcMar>
              <w:top w:w="30" w:type="dxa"/>
              <w:left w:w="0" w:type="dxa"/>
              <w:bottom w:w="30" w:type="dxa"/>
              <w:right w:w="20" w:type="dxa"/>
            </w:tcMar>
            <w:vAlign w:val="center"/>
            <w:hideMark/>
          </w:tcPr>
          <w:p w14:paraId="125CC129" w14:textId="77777777" w:rsidR="00000000" w:rsidRDefault="00405D16">
            <w:pPr>
              <w:spacing w:after="100"/>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14:paraId="0B6B02B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53B82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CCF80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53028D" w14:textId="77777777" w:rsidR="00000000" w:rsidRDefault="00405D16">
            <w:pPr>
              <w:spacing w:after="100"/>
              <w:rPr>
                <w:rFonts w:eastAsia="Times New Roman"/>
                <w:sz w:val="20"/>
                <w:szCs w:val="20"/>
              </w:rPr>
            </w:pPr>
          </w:p>
        </w:tc>
        <w:tc>
          <w:tcPr>
            <w:tcW w:w="0" w:type="auto"/>
            <w:vAlign w:val="center"/>
            <w:hideMark/>
          </w:tcPr>
          <w:p w14:paraId="5A9599F0" w14:textId="77777777" w:rsidR="00000000" w:rsidRDefault="00405D16">
            <w:pPr>
              <w:spacing w:after="100"/>
              <w:rPr>
                <w:rFonts w:eastAsia="Times New Roman"/>
                <w:sz w:val="20"/>
                <w:szCs w:val="20"/>
              </w:rPr>
            </w:pPr>
          </w:p>
        </w:tc>
        <w:tc>
          <w:tcPr>
            <w:tcW w:w="0" w:type="auto"/>
            <w:vAlign w:val="center"/>
            <w:hideMark/>
          </w:tcPr>
          <w:p w14:paraId="383F674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6ACA0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D4DB82" w14:textId="77777777" w:rsidR="00000000" w:rsidRDefault="00405D16">
            <w:pPr>
              <w:spacing w:after="100"/>
              <w:rPr>
                <w:rFonts w:eastAsia="Times New Roman"/>
                <w:sz w:val="20"/>
                <w:szCs w:val="20"/>
              </w:rPr>
            </w:pPr>
          </w:p>
        </w:tc>
        <w:tc>
          <w:tcPr>
            <w:tcW w:w="0" w:type="auto"/>
            <w:gridSpan w:val="3"/>
            <w:vAlign w:val="center"/>
            <w:hideMark/>
          </w:tcPr>
          <w:p w14:paraId="1AF60556" w14:textId="77777777" w:rsidR="00000000" w:rsidRDefault="00405D16">
            <w:pPr>
              <w:spacing w:after="100"/>
              <w:rPr>
                <w:rFonts w:eastAsia="Times New Roman"/>
                <w:sz w:val="20"/>
                <w:szCs w:val="20"/>
              </w:rPr>
            </w:pPr>
          </w:p>
        </w:tc>
        <w:tc>
          <w:tcPr>
            <w:tcW w:w="0" w:type="auto"/>
            <w:gridSpan w:val="3"/>
            <w:vAlign w:val="center"/>
            <w:hideMark/>
          </w:tcPr>
          <w:p w14:paraId="6B37786D" w14:textId="77777777" w:rsidR="00000000" w:rsidRDefault="00405D16">
            <w:pPr>
              <w:spacing w:after="100"/>
              <w:rPr>
                <w:rFonts w:eastAsia="Times New Roman"/>
                <w:sz w:val="20"/>
                <w:szCs w:val="20"/>
              </w:rPr>
            </w:pPr>
          </w:p>
        </w:tc>
      </w:tr>
      <w:tr w:rsidR="00000000" w14:paraId="59005D6D" w14:textId="77777777">
        <w:trPr>
          <w:divId w:val="520245585"/>
        </w:trPr>
        <w:tc>
          <w:tcPr>
            <w:tcW w:w="0" w:type="auto"/>
            <w:gridSpan w:val="3"/>
            <w:shd w:val="clear" w:color="auto" w:fill="FFFFFF"/>
            <w:tcMar>
              <w:top w:w="30" w:type="dxa"/>
              <w:left w:w="20" w:type="dxa"/>
              <w:bottom w:w="30" w:type="dxa"/>
              <w:right w:w="20" w:type="dxa"/>
            </w:tcMar>
            <w:vAlign w:val="center"/>
            <w:hideMark/>
          </w:tcPr>
          <w:p w14:paraId="75861208" w14:textId="77777777" w:rsidR="00000000" w:rsidRDefault="00405D16">
            <w:pPr>
              <w:spacing w:after="100"/>
              <w:rPr>
                <w:rFonts w:eastAsia="Times New Roman"/>
              </w:rPr>
            </w:pPr>
            <w:r>
              <w:rPr>
                <w:rFonts w:eastAsia="Times New Roman"/>
                <w:color w:val="000000"/>
                <w:sz w:val="18"/>
                <w:szCs w:val="18"/>
              </w:rPr>
              <w:t>Deposits</w:t>
            </w:r>
          </w:p>
        </w:tc>
        <w:tc>
          <w:tcPr>
            <w:tcW w:w="0" w:type="auto"/>
            <w:gridSpan w:val="3"/>
            <w:shd w:val="clear" w:color="auto" w:fill="FFFFFF"/>
            <w:tcMar>
              <w:top w:w="0" w:type="dxa"/>
              <w:left w:w="20" w:type="dxa"/>
              <w:bottom w:w="0" w:type="dxa"/>
              <w:right w:w="20" w:type="dxa"/>
            </w:tcMar>
            <w:vAlign w:val="center"/>
            <w:hideMark/>
          </w:tcPr>
          <w:p w14:paraId="336EBF48"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3AAD0918"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140" w:type="dxa"/>
            </w:tcMar>
            <w:vAlign w:val="center"/>
            <w:hideMark/>
          </w:tcPr>
          <w:p w14:paraId="1B42B2B1" w14:textId="77777777" w:rsidR="00000000" w:rsidRDefault="00405D16">
            <w:pPr>
              <w:spacing w:after="100"/>
              <w:jc w:val="right"/>
              <w:rPr>
                <w:rFonts w:eastAsia="Times New Roman"/>
              </w:rPr>
            </w:pPr>
            <w:r>
              <w:rPr>
                <w:rFonts w:eastAsia="Times New Roman"/>
                <w:b/>
                <w:bCs/>
                <w:color w:val="000000"/>
                <w:sz w:val="18"/>
                <w:szCs w:val="18"/>
              </w:rPr>
              <w:t>43,347</w:t>
            </w:r>
          </w:p>
        </w:tc>
        <w:tc>
          <w:tcPr>
            <w:tcW w:w="0" w:type="auto"/>
            <w:gridSpan w:val="3"/>
            <w:shd w:val="clear" w:color="auto" w:fill="FFFFFF"/>
            <w:tcMar>
              <w:top w:w="0" w:type="dxa"/>
              <w:left w:w="20" w:type="dxa"/>
              <w:bottom w:w="0" w:type="dxa"/>
              <w:right w:w="20" w:type="dxa"/>
            </w:tcMar>
            <w:vAlign w:val="center"/>
            <w:hideMark/>
          </w:tcPr>
          <w:p w14:paraId="68CDE306" w14:textId="77777777" w:rsidR="00000000" w:rsidRDefault="00405D16">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3D8B5C42"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265F2C37" w14:textId="77777777" w:rsidR="00000000" w:rsidRDefault="00405D16">
            <w:pPr>
              <w:spacing w:after="100"/>
              <w:jc w:val="right"/>
              <w:rPr>
                <w:rFonts w:eastAsia="Times New Roman"/>
              </w:rPr>
            </w:pPr>
            <w:r>
              <w:rPr>
                <w:rFonts w:eastAsia="Times New Roman"/>
                <w:color w:val="000000"/>
                <w:sz w:val="18"/>
                <w:szCs w:val="18"/>
              </w:rPr>
              <w:t>39,590 </w:t>
            </w:r>
          </w:p>
        </w:tc>
        <w:tc>
          <w:tcPr>
            <w:tcW w:w="0" w:type="auto"/>
            <w:shd w:val="clear" w:color="auto" w:fill="FFFFFF"/>
            <w:tcMar>
              <w:top w:w="30" w:type="dxa"/>
              <w:left w:w="0" w:type="dxa"/>
              <w:bottom w:w="30" w:type="dxa"/>
              <w:right w:w="20" w:type="dxa"/>
            </w:tcMar>
            <w:vAlign w:val="center"/>
            <w:hideMark/>
          </w:tcPr>
          <w:p w14:paraId="2C30047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27EB7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B815B2C" w14:textId="77777777" w:rsidR="00000000" w:rsidRDefault="00405D16">
            <w:pPr>
              <w:spacing w:after="100"/>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center"/>
            <w:hideMark/>
          </w:tcPr>
          <w:p w14:paraId="4C937522"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001848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44F29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1BB81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722266" w14:textId="77777777" w:rsidR="00000000" w:rsidRDefault="00405D16">
            <w:pPr>
              <w:spacing w:after="100"/>
              <w:rPr>
                <w:rFonts w:eastAsia="Times New Roman"/>
                <w:sz w:val="20"/>
                <w:szCs w:val="20"/>
              </w:rPr>
            </w:pPr>
          </w:p>
        </w:tc>
        <w:tc>
          <w:tcPr>
            <w:tcW w:w="0" w:type="auto"/>
            <w:vAlign w:val="center"/>
            <w:hideMark/>
          </w:tcPr>
          <w:p w14:paraId="189E66F1" w14:textId="77777777" w:rsidR="00000000" w:rsidRDefault="00405D16">
            <w:pPr>
              <w:spacing w:after="100"/>
              <w:rPr>
                <w:rFonts w:eastAsia="Times New Roman"/>
                <w:sz w:val="20"/>
                <w:szCs w:val="20"/>
              </w:rPr>
            </w:pPr>
          </w:p>
        </w:tc>
        <w:tc>
          <w:tcPr>
            <w:tcW w:w="0" w:type="auto"/>
            <w:vAlign w:val="center"/>
            <w:hideMark/>
          </w:tcPr>
          <w:p w14:paraId="0FDFF4C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BD7BB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3FC8AA" w14:textId="77777777" w:rsidR="00000000" w:rsidRDefault="00405D16">
            <w:pPr>
              <w:spacing w:after="100"/>
              <w:rPr>
                <w:rFonts w:eastAsia="Times New Roman"/>
                <w:sz w:val="20"/>
                <w:szCs w:val="20"/>
              </w:rPr>
            </w:pPr>
          </w:p>
        </w:tc>
        <w:tc>
          <w:tcPr>
            <w:tcW w:w="0" w:type="auto"/>
            <w:gridSpan w:val="3"/>
            <w:vAlign w:val="center"/>
            <w:hideMark/>
          </w:tcPr>
          <w:p w14:paraId="6F01E989" w14:textId="77777777" w:rsidR="00000000" w:rsidRDefault="00405D16">
            <w:pPr>
              <w:spacing w:after="100"/>
              <w:rPr>
                <w:rFonts w:eastAsia="Times New Roman"/>
                <w:sz w:val="20"/>
                <w:szCs w:val="20"/>
              </w:rPr>
            </w:pPr>
          </w:p>
        </w:tc>
        <w:tc>
          <w:tcPr>
            <w:tcW w:w="0" w:type="auto"/>
            <w:gridSpan w:val="3"/>
            <w:vAlign w:val="center"/>
            <w:hideMark/>
          </w:tcPr>
          <w:p w14:paraId="37692D6C" w14:textId="77777777" w:rsidR="00000000" w:rsidRDefault="00405D16">
            <w:pPr>
              <w:spacing w:after="100"/>
              <w:rPr>
                <w:rFonts w:eastAsia="Times New Roman"/>
                <w:sz w:val="20"/>
                <w:szCs w:val="20"/>
              </w:rPr>
            </w:pPr>
          </w:p>
        </w:tc>
      </w:tr>
      <w:tr w:rsidR="00000000" w14:paraId="56B39A06" w14:textId="77777777">
        <w:trPr>
          <w:divId w:val="520245585"/>
        </w:trPr>
        <w:tc>
          <w:tcPr>
            <w:tcW w:w="0" w:type="auto"/>
            <w:gridSpan w:val="3"/>
            <w:shd w:val="clear" w:color="auto" w:fill="CCEEFF"/>
            <w:tcMar>
              <w:top w:w="30" w:type="dxa"/>
              <w:left w:w="20" w:type="dxa"/>
              <w:bottom w:w="30" w:type="dxa"/>
              <w:right w:w="20" w:type="dxa"/>
            </w:tcMar>
            <w:vAlign w:val="center"/>
            <w:hideMark/>
          </w:tcPr>
          <w:p w14:paraId="7E0D0C97" w14:textId="77777777" w:rsidR="00000000" w:rsidRDefault="00405D16">
            <w:pPr>
              <w:spacing w:after="100"/>
              <w:rPr>
                <w:rFonts w:eastAsia="Times New Roman"/>
              </w:rPr>
            </w:pPr>
            <w:r>
              <w:rPr>
                <w:rFonts w:eastAsia="Times New Roman"/>
                <w:color w:val="000000"/>
                <w:sz w:val="18"/>
                <w:szCs w:val="18"/>
              </w:rPr>
              <w:t>Loans serviced for others</w:t>
            </w:r>
          </w:p>
        </w:tc>
        <w:tc>
          <w:tcPr>
            <w:tcW w:w="0" w:type="auto"/>
            <w:gridSpan w:val="3"/>
            <w:shd w:val="clear" w:color="auto" w:fill="CCEEFF"/>
            <w:tcMar>
              <w:top w:w="0" w:type="dxa"/>
              <w:left w:w="20" w:type="dxa"/>
              <w:bottom w:w="0" w:type="dxa"/>
              <w:right w:w="20" w:type="dxa"/>
            </w:tcMar>
            <w:vAlign w:val="center"/>
            <w:hideMark/>
          </w:tcPr>
          <w:p w14:paraId="55A8EF92" w14:textId="77777777" w:rsidR="00000000" w:rsidRDefault="00405D16">
            <w:pPr>
              <w:spacing w:after="100"/>
              <w:rPr>
                <w:rFonts w:eastAsia="Times New Roman"/>
              </w:rPr>
            </w:pPr>
          </w:p>
        </w:tc>
        <w:tc>
          <w:tcPr>
            <w:tcW w:w="0" w:type="auto"/>
            <w:gridSpan w:val="3"/>
            <w:shd w:val="clear" w:color="auto" w:fill="CCEEFF"/>
            <w:tcMar>
              <w:top w:w="30" w:type="dxa"/>
              <w:left w:w="20" w:type="dxa"/>
              <w:bottom w:w="30" w:type="dxa"/>
              <w:right w:w="140" w:type="dxa"/>
            </w:tcMar>
            <w:vAlign w:val="center"/>
            <w:hideMark/>
          </w:tcPr>
          <w:p w14:paraId="4CFB9179" w14:textId="77777777" w:rsidR="00000000" w:rsidRDefault="00405D16">
            <w:pPr>
              <w:spacing w:after="100"/>
              <w:jc w:val="right"/>
              <w:rPr>
                <w:rFonts w:eastAsia="Times New Roman"/>
              </w:rPr>
            </w:pPr>
            <w:r>
              <w:rPr>
                <w:rFonts w:eastAsia="Times New Roman"/>
                <w:b/>
                <w:bCs/>
                <w:color w:val="000000"/>
                <w:sz w:val="18"/>
                <w:szCs w:val="18"/>
              </w:rPr>
              <w:t>47,393</w:t>
            </w:r>
          </w:p>
        </w:tc>
        <w:tc>
          <w:tcPr>
            <w:tcW w:w="0" w:type="auto"/>
            <w:gridSpan w:val="3"/>
            <w:shd w:val="clear" w:color="auto" w:fill="CCEEFF"/>
            <w:tcMar>
              <w:top w:w="0" w:type="dxa"/>
              <w:left w:w="20" w:type="dxa"/>
              <w:bottom w:w="0" w:type="dxa"/>
              <w:right w:w="20" w:type="dxa"/>
            </w:tcMar>
            <w:vAlign w:val="center"/>
            <w:hideMark/>
          </w:tcPr>
          <w:p w14:paraId="6A08BC33"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C28EA49" w14:textId="77777777" w:rsidR="00000000" w:rsidRDefault="00405D16">
            <w:pPr>
              <w:spacing w:after="100"/>
              <w:jc w:val="right"/>
              <w:rPr>
                <w:rFonts w:eastAsia="Times New Roman"/>
              </w:rPr>
            </w:pPr>
            <w:r>
              <w:rPr>
                <w:rFonts w:eastAsia="Times New Roman"/>
                <w:color w:val="000000"/>
                <w:sz w:val="18"/>
                <w:szCs w:val="18"/>
              </w:rPr>
              <w:t>44,162 </w:t>
            </w:r>
          </w:p>
        </w:tc>
        <w:tc>
          <w:tcPr>
            <w:tcW w:w="0" w:type="auto"/>
            <w:shd w:val="clear" w:color="auto" w:fill="CCEEFF"/>
            <w:tcMar>
              <w:top w:w="30" w:type="dxa"/>
              <w:left w:w="0" w:type="dxa"/>
              <w:bottom w:w="30" w:type="dxa"/>
              <w:right w:w="20" w:type="dxa"/>
            </w:tcMar>
            <w:vAlign w:val="center"/>
            <w:hideMark/>
          </w:tcPr>
          <w:p w14:paraId="78B0D2B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910C1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18A15E5" w14:textId="77777777" w:rsidR="00000000" w:rsidRDefault="00405D16">
            <w:pPr>
              <w:spacing w:after="100"/>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center"/>
            <w:hideMark/>
          </w:tcPr>
          <w:p w14:paraId="29769A8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121610" w14:textId="77777777" w:rsidR="00000000" w:rsidRDefault="00405D1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E548E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2B9DD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53109C" w14:textId="77777777" w:rsidR="00000000" w:rsidRDefault="00405D16">
            <w:pPr>
              <w:spacing w:after="100"/>
              <w:rPr>
                <w:rFonts w:eastAsia="Times New Roman"/>
                <w:sz w:val="20"/>
                <w:szCs w:val="20"/>
              </w:rPr>
            </w:pPr>
          </w:p>
        </w:tc>
        <w:tc>
          <w:tcPr>
            <w:tcW w:w="0" w:type="auto"/>
            <w:vAlign w:val="center"/>
            <w:hideMark/>
          </w:tcPr>
          <w:p w14:paraId="46B0D982" w14:textId="77777777" w:rsidR="00000000" w:rsidRDefault="00405D16">
            <w:pPr>
              <w:spacing w:after="100"/>
              <w:rPr>
                <w:rFonts w:eastAsia="Times New Roman"/>
                <w:sz w:val="20"/>
                <w:szCs w:val="20"/>
              </w:rPr>
            </w:pPr>
          </w:p>
        </w:tc>
        <w:tc>
          <w:tcPr>
            <w:tcW w:w="0" w:type="auto"/>
            <w:vAlign w:val="center"/>
            <w:hideMark/>
          </w:tcPr>
          <w:p w14:paraId="099529D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73003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DCE38C" w14:textId="77777777" w:rsidR="00000000" w:rsidRDefault="00405D16">
            <w:pPr>
              <w:spacing w:after="100"/>
              <w:rPr>
                <w:rFonts w:eastAsia="Times New Roman"/>
                <w:sz w:val="20"/>
                <w:szCs w:val="20"/>
              </w:rPr>
            </w:pPr>
          </w:p>
        </w:tc>
        <w:tc>
          <w:tcPr>
            <w:tcW w:w="0" w:type="auto"/>
            <w:gridSpan w:val="3"/>
            <w:vAlign w:val="center"/>
            <w:hideMark/>
          </w:tcPr>
          <w:p w14:paraId="7D126552" w14:textId="77777777" w:rsidR="00000000" w:rsidRDefault="00405D16">
            <w:pPr>
              <w:spacing w:after="100"/>
              <w:rPr>
                <w:rFonts w:eastAsia="Times New Roman"/>
                <w:sz w:val="20"/>
                <w:szCs w:val="20"/>
              </w:rPr>
            </w:pPr>
          </w:p>
        </w:tc>
        <w:tc>
          <w:tcPr>
            <w:tcW w:w="0" w:type="auto"/>
            <w:gridSpan w:val="3"/>
            <w:vAlign w:val="center"/>
            <w:hideMark/>
          </w:tcPr>
          <w:p w14:paraId="45C5F778" w14:textId="77777777" w:rsidR="00000000" w:rsidRDefault="00405D16">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12F76627" w14:textId="77777777">
        <w:trPr>
          <w:jc w:val="center"/>
        </w:trPr>
        <w:tc>
          <w:tcPr>
            <w:tcW w:w="50" w:type="pct"/>
            <w:vAlign w:val="center"/>
            <w:hideMark/>
          </w:tcPr>
          <w:p w14:paraId="4328B371" w14:textId="77777777" w:rsidR="00000000" w:rsidRDefault="00405D16">
            <w:pPr>
              <w:rPr>
                <w:rFonts w:eastAsia="Times New Roman"/>
              </w:rPr>
            </w:pPr>
          </w:p>
        </w:tc>
        <w:tc>
          <w:tcPr>
            <w:tcW w:w="1606" w:type="pct"/>
            <w:vAlign w:val="center"/>
            <w:hideMark/>
          </w:tcPr>
          <w:p w14:paraId="0B78D909" w14:textId="77777777" w:rsidR="00000000" w:rsidRDefault="00405D16">
            <w:pPr>
              <w:spacing w:after="100"/>
              <w:rPr>
                <w:rFonts w:eastAsia="Times New Roman"/>
                <w:sz w:val="20"/>
                <w:szCs w:val="20"/>
              </w:rPr>
            </w:pPr>
          </w:p>
        </w:tc>
        <w:tc>
          <w:tcPr>
            <w:tcW w:w="5" w:type="pct"/>
            <w:vAlign w:val="center"/>
            <w:hideMark/>
          </w:tcPr>
          <w:p w14:paraId="362ADFB9" w14:textId="77777777" w:rsidR="00000000" w:rsidRDefault="00405D16">
            <w:pPr>
              <w:spacing w:after="100"/>
              <w:rPr>
                <w:rFonts w:eastAsia="Times New Roman"/>
                <w:sz w:val="20"/>
                <w:szCs w:val="20"/>
              </w:rPr>
            </w:pPr>
          </w:p>
        </w:tc>
        <w:tc>
          <w:tcPr>
            <w:tcW w:w="50" w:type="pct"/>
            <w:vAlign w:val="center"/>
            <w:hideMark/>
          </w:tcPr>
          <w:p w14:paraId="25D5918D" w14:textId="77777777" w:rsidR="00000000" w:rsidRDefault="00405D16">
            <w:pPr>
              <w:spacing w:after="100"/>
              <w:rPr>
                <w:rFonts w:eastAsia="Times New Roman"/>
                <w:sz w:val="20"/>
                <w:szCs w:val="20"/>
              </w:rPr>
            </w:pPr>
          </w:p>
        </w:tc>
        <w:tc>
          <w:tcPr>
            <w:tcW w:w="1614" w:type="pct"/>
            <w:vAlign w:val="center"/>
            <w:hideMark/>
          </w:tcPr>
          <w:p w14:paraId="0D3DA3CB" w14:textId="77777777" w:rsidR="00000000" w:rsidRDefault="00405D16">
            <w:pPr>
              <w:spacing w:after="100"/>
              <w:rPr>
                <w:rFonts w:eastAsia="Times New Roman"/>
                <w:sz w:val="20"/>
                <w:szCs w:val="20"/>
              </w:rPr>
            </w:pPr>
          </w:p>
        </w:tc>
        <w:tc>
          <w:tcPr>
            <w:tcW w:w="5" w:type="pct"/>
            <w:vAlign w:val="center"/>
            <w:hideMark/>
          </w:tcPr>
          <w:p w14:paraId="10C166DC" w14:textId="77777777" w:rsidR="00000000" w:rsidRDefault="00405D16">
            <w:pPr>
              <w:spacing w:after="100"/>
              <w:rPr>
                <w:rFonts w:eastAsia="Times New Roman"/>
                <w:sz w:val="20"/>
                <w:szCs w:val="20"/>
              </w:rPr>
            </w:pPr>
          </w:p>
        </w:tc>
        <w:tc>
          <w:tcPr>
            <w:tcW w:w="50" w:type="pct"/>
            <w:vAlign w:val="center"/>
            <w:hideMark/>
          </w:tcPr>
          <w:p w14:paraId="6693BDAB" w14:textId="77777777" w:rsidR="00000000" w:rsidRDefault="00405D16">
            <w:pPr>
              <w:spacing w:after="100"/>
              <w:rPr>
                <w:rFonts w:eastAsia="Times New Roman"/>
                <w:sz w:val="20"/>
                <w:szCs w:val="20"/>
              </w:rPr>
            </w:pPr>
          </w:p>
        </w:tc>
        <w:tc>
          <w:tcPr>
            <w:tcW w:w="1614" w:type="pct"/>
            <w:vAlign w:val="center"/>
            <w:hideMark/>
          </w:tcPr>
          <w:p w14:paraId="4CE0285B" w14:textId="77777777" w:rsidR="00000000" w:rsidRDefault="00405D16">
            <w:pPr>
              <w:spacing w:after="100"/>
              <w:rPr>
                <w:rFonts w:eastAsia="Times New Roman"/>
                <w:sz w:val="20"/>
                <w:szCs w:val="20"/>
              </w:rPr>
            </w:pPr>
          </w:p>
        </w:tc>
        <w:tc>
          <w:tcPr>
            <w:tcW w:w="5" w:type="pct"/>
            <w:vAlign w:val="center"/>
            <w:hideMark/>
          </w:tcPr>
          <w:p w14:paraId="4E78FFBA" w14:textId="77777777" w:rsidR="00000000" w:rsidRDefault="00405D16">
            <w:pPr>
              <w:spacing w:after="100"/>
              <w:rPr>
                <w:rFonts w:eastAsia="Times New Roman"/>
                <w:sz w:val="20"/>
                <w:szCs w:val="20"/>
              </w:rPr>
            </w:pPr>
          </w:p>
        </w:tc>
      </w:tr>
      <w:tr w:rsidR="00000000" w14:paraId="585E661A" w14:textId="77777777">
        <w:trPr>
          <w:trHeight w:val="300"/>
          <w:jc w:val="center"/>
        </w:trPr>
        <w:tc>
          <w:tcPr>
            <w:tcW w:w="0" w:type="auto"/>
            <w:gridSpan w:val="9"/>
            <w:tcMar>
              <w:top w:w="0" w:type="dxa"/>
              <w:left w:w="20" w:type="dxa"/>
              <w:bottom w:w="0" w:type="dxa"/>
              <w:right w:w="20" w:type="dxa"/>
            </w:tcMar>
            <w:vAlign w:val="center"/>
            <w:hideMark/>
          </w:tcPr>
          <w:p w14:paraId="3816A901" w14:textId="77777777" w:rsidR="00000000" w:rsidRDefault="00405D16">
            <w:pPr>
              <w:spacing w:after="100"/>
              <w:rPr>
                <w:rFonts w:eastAsia="Times New Roman"/>
                <w:sz w:val="20"/>
                <w:szCs w:val="20"/>
              </w:rPr>
            </w:pPr>
          </w:p>
        </w:tc>
      </w:tr>
      <w:tr w:rsidR="00000000" w14:paraId="3026F295" w14:textId="77777777">
        <w:trPr>
          <w:jc w:val="center"/>
        </w:trPr>
        <w:tc>
          <w:tcPr>
            <w:tcW w:w="0" w:type="auto"/>
            <w:gridSpan w:val="3"/>
            <w:tcMar>
              <w:top w:w="0" w:type="dxa"/>
              <w:left w:w="20" w:type="dxa"/>
              <w:bottom w:w="0" w:type="dxa"/>
              <w:right w:w="20" w:type="dxa"/>
            </w:tcMar>
            <w:vAlign w:val="center"/>
            <w:hideMark/>
          </w:tcPr>
          <w:p w14:paraId="387FCC03"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9C25D64" w14:textId="77777777" w:rsidR="00000000" w:rsidRDefault="00405D16">
            <w:pPr>
              <w:spacing w:after="100"/>
              <w:jc w:val="center"/>
              <w:rPr>
                <w:rFonts w:eastAsia="Times New Roman"/>
              </w:rPr>
            </w:pPr>
            <w:r>
              <w:rPr>
                <w:rFonts w:eastAsia="Times New Roman"/>
                <w:color w:val="000000"/>
                <w:sz w:val="16"/>
                <w:szCs w:val="16"/>
              </w:rPr>
              <w:t>27</w:t>
            </w:r>
          </w:p>
        </w:tc>
        <w:tc>
          <w:tcPr>
            <w:tcW w:w="0" w:type="auto"/>
            <w:gridSpan w:val="3"/>
            <w:tcMar>
              <w:top w:w="30" w:type="dxa"/>
              <w:left w:w="20" w:type="dxa"/>
              <w:bottom w:w="30" w:type="dxa"/>
              <w:right w:w="20" w:type="dxa"/>
            </w:tcMar>
            <w:vAlign w:val="bottom"/>
            <w:hideMark/>
          </w:tcPr>
          <w:p w14:paraId="5085980C"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6134F905" w14:textId="77777777" w:rsidR="00000000" w:rsidRDefault="00405D16">
      <w:pPr>
        <w:rPr>
          <w:rFonts w:eastAsia="Times New Roman"/>
        </w:rPr>
      </w:pPr>
      <w:r>
        <w:rPr>
          <w:rFonts w:eastAsia="Times New Roman"/>
        </w:rPr>
        <w:pict w14:anchorId="229BB7D7">
          <v:rect id="_x0000_i1052" style="width:0;height:1.5pt" o:hralign="center" o:hrstd="t" o:hr="t" fillcolor="#a0a0a0" stroked="f"/>
        </w:pict>
      </w:r>
    </w:p>
    <w:p w14:paraId="48422C2D" w14:textId="77777777" w:rsidR="00000000" w:rsidRDefault="00405D16">
      <w:pPr>
        <w:ind w:hanging="360"/>
        <w:jc w:val="both"/>
        <w:divId w:val="744493185"/>
        <w:rPr>
          <w:rFonts w:eastAsia="Times New Roman"/>
        </w:rPr>
      </w:pPr>
      <w:hyperlink w:anchor="idd54a04a485440b4ab4e56094c14d612_13" w:history="1">
        <w:r>
          <w:rPr>
            <w:rStyle w:val="a3"/>
            <w:rFonts w:eastAsia="Times New Roman"/>
            <w:sz w:val="16"/>
            <w:szCs w:val="16"/>
          </w:rPr>
          <w:t>Table of Contents</w:t>
        </w:r>
      </w:hyperlink>
    </w:p>
    <w:p w14:paraId="2DA5A1C0" w14:textId="77777777" w:rsidR="00000000" w:rsidRDefault="00405D16">
      <w:pPr>
        <w:divId w:val="1621691546"/>
        <w:rPr>
          <w:rFonts w:eastAsia="Times New Roman"/>
        </w:rPr>
      </w:pPr>
      <w:r>
        <w:rPr>
          <w:rFonts w:eastAsia="Times New Roman"/>
          <w:color w:val="000000"/>
          <w:sz w:val="20"/>
          <w:szCs w:val="20"/>
        </w:rPr>
        <w:t>__________</w:t>
      </w:r>
    </w:p>
    <w:p w14:paraId="463B0FB4" w14:textId="77777777" w:rsidR="00000000" w:rsidRDefault="00405D16">
      <w:pPr>
        <w:ind w:hanging="360"/>
        <w:jc w:val="both"/>
        <w:divId w:val="22229869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Some of our commercial investments generate tax-exempt income, tax credits or other tax benefits. Accordingly, we present our Commercial Banking revenue and yields on a taxable-equivalent basis, calculated using the federal statutory tax rate of 21% and st</w:t>
      </w:r>
      <w:r>
        <w:rPr>
          <w:rFonts w:eastAsia="Times New Roman"/>
          <w:color w:val="000000"/>
          <w:sz w:val="16"/>
          <w:szCs w:val="16"/>
        </w:rPr>
        <w:t>ate taxes where applicable, with offsetting reductions to the Other category.</w:t>
      </w:r>
    </w:p>
    <w:p w14:paraId="62D634C5" w14:textId="77777777" w:rsidR="00000000" w:rsidRDefault="00405D16">
      <w:pPr>
        <w:ind w:hanging="360"/>
        <w:jc w:val="both"/>
        <w:divId w:val="198222563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The provision for losses on unfunded lending commitments is included in the provision for credit losses in our consolidated statements of income and the related reserve is inc</w:t>
      </w:r>
      <w:r>
        <w:rPr>
          <w:rFonts w:eastAsia="Times New Roman"/>
          <w:color w:val="000000"/>
          <w:sz w:val="16"/>
          <w:szCs w:val="16"/>
        </w:rPr>
        <w:t>luded in other liabilities on our consolidated balance sheets. Our reserve for unfunded lending commitments totaled $166 million and $195 million as of September 30, 2021 and December 31, 2020, respectively.</w:t>
      </w:r>
    </w:p>
    <w:p w14:paraId="4EB3553D" w14:textId="77777777" w:rsidR="00000000" w:rsidRDefault="00405D16">
      <w:pPr>
        <w:ind w:hanging="360"/>
        <w:jc w:val="both"/>
        <w:divId w:val="168519271"/>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Average yield is calculated based on annualiz</w:t>
      </w:r>
      <w:r>
        <w:rPr>
          <w:rFonts w:eastAsia="Times New Roman"/>
          <w:color w:val="000000"/>
          <w:sz w:val="16"/>
          <w:szCs w:val="16"/>
        </w:rPr>
        <w:t>ed interest income for the period divided by average loans during the period and does not include any allocations, such as funds transfer pricing.</w:t>
      </w:r>
    </w:p>
    <w:p w14:paraId="50D9DFAC" w14:textId="77777777" w:rsidR="00000000" w:rsidRDefault="00405D16">
      <w:pPr>
        <w:ind w:hanging="360"/>
        <w:jc w:val="both"/>
        <w:divId w:val="408966910"/>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Nonperforming assets consist of nonperforming loans and other foreclosed assets. The total nonperforming a</w:t>
      </w:r>
      <w:r>
        <w:rPr>
          <w:rFonts w:eastAsia="Times New Roman"/>
          <w:color w:val="000000"/>
          <w:sz w:val="16"/>
          <w:szCs w:val="16"/>
        </w:rPr>
        <w:t>sset rate is calculated based on total nonperforming assets divided by the combined period-end total loans held for investment and other foreclosed assets.</w:t>
      </w:r>
    </w:p>
    <w:p w14:paraId="5166B382" w14:textId="77777777" w:rsidR="00000000" w:rsidRDefault="00405D16">
      <w:pPr>
        <w:ind w:hanging="360"/>
        <w:jc w:val="both"/>
        <w:divId w:val="2120297738"/>
        <w:rPr>
          <w:rFonts w:eastAsia="Times New Roman"/>
        </w:rPr>
      </w:pPr>
      <w:r>
        <w:rPr>
          <w:rFonts w:eastAsia="Times New Roman"/>
          <w:color w:val="000000"/>
          <w:sz w:val="16"/>
          <w:szCs w:val="16"/>
        </w:rPr>
        <w:t>**    Not meaningful.</w:t>
      </w:r>
    </w:p>
    <w:p w14:paraId="6C015CE3" w14:textId="77777777" w:rsidR="00000000" w:rsidRDefault="00405D16">
      <w:pPr>
        <w:jc w:val="both"/>
        <w:divId w:val="2098405469"/>
        <w:rPr>
          <w:rFonts w:eastAsia="Times New Roman"/>
        </w:rPr>
      </w:pPr>
      <w:r>
        <w:rPr>
          <w:rFonts w:eastAsia="Times New Roman"/>
          <w:color w:val="000000"/>
          <w:sz w:val="20"/>
          <w:szCs w:val="20"/>
        </w:rPr>
        <w:t>Key factors affecting the results of our Commercial Banking business for the t</w:t>
      </w:r>
      <w:r>
        <w:rPr>
          <w:rFonts w:eastAsia="Times New Roman"/>
          <w:color w:val="000000"/>
          <w:sz w:val="20"/>
          <w:szCs w:val="20"/>
        </w:rPr>
        <w:t>hird quarter and first nine months of 2021 compared to the third quarter and first nine months of 2020, and changes in financial condition and credit performance between September 30, 2021 and December 31, 2020 include the following:</w:t>
      </w:r>
    </w:p>
    <w:p w14:paraId="0B55686E" w14:textId="77777777" w:rsidR="00000000" w:rsidRDefault="00405D16">
      <w:pPr>
        <w:ind w:hanging="360"/>
        <w:jc w:val="both"/>
        <w:divId w:val="581794069"/>
        <w:rPr>
          <w:rFonts w:eastAsia="Times New Roman"/>
        </w:rPr>
      </w:pPr>
      <w:r>
        <w:rPr>
          <w:rFonts w:eastAsia="Times New Roman"/>
          <w:i/>
          <w:iCs/>
          <w:color w:val="000000"/>
          <w:sz w:val="20"/>
          <w:szCs w:val="20"/>
        </w:rPr>
        <w:t>•Net Interest Income:</w:t>
      </w:r>
      <w:r>
        <w:rPr>
          <w:rFonts w:eastAsia="Times New Roman"/>
          <w:color w:val="000000"/>
          <w:sz w:val="20"/>
          <w:szCs w:val="20"/>
        </w:rPr>
        <w:t xml:space="preserve"> </w:t>
      </w:r>
      <w:r>
        <w:rPr>
          <w:rFonts w:eastAsia="Times New Roman"/>
          <w:color w:val="000000"/>
          <w:sz w:val="20"/>
          <w:szCs w:val="20"/>
        </w:rPr>
        <w:t>Net interest income increased by $61 million to $578 million in the third quarter of 2021 primarily driven by higher margins. Net interest income increased by $32 million to $1.6 billion in the first nine months of 2021 primarily driven by higher average d</w:t>
      </w:r>
      <w:r>
        <w:rPr>
          <w:rFonts w:eastAsia="Times New Roman"/>
          <w:color w:val="000000"/>
          <w:sz w:val="20"/>
          <w:szCs w:val="20"/>
        </w:rPr>
        <w:t>eposit balances, partially offset by a one-time charge for unwinding the internal funding related to moving $1.5 billion in loans to held for sale in the second quarter of 2021.</w:t>
      </w:r>
    </w:p>
    <w:p w14:paraId="6693F017" w14:textId="77777777" w:rsidR="00000000" w:rsidRDefault="00405D16">
      <w:pPr>
        <w:ind w:hanging="360"/>
        <w:jc w:val="both"/>
        <w:divId w:val="1012535314"/>
        <w:rPr>
          <w:rFonts w:eastAsia="Times New Roman"/>
        </w:rPr>
      </w:pPr>
      <w:r>
        <w:rPr>
          <w:rFonts w:eastAsia="Times New Roman"/>
          <w:i/>
          <w:iCs/>
          <w:color w:val="000000"/>
          <w:sz w:val="20"/>
          <w:szCs w:val="20"/>
        </w:rPr>
        <w:t xml:space="preserve">•Non-Interest Income: </w:t>
      </w:r>
      <w:r>
        <w:rPr>
          <w:rFonts w:eastAsia="Times New Roman"/>
          <w:color w:val="000000"/>
          <w:sz w:val="20"/>
          <w:szCs w:val="20"/>
        </w:rPr>
        <w:t>Non-interest income increased by $69 million to $306 mil</w:t>
      </w:r>
      <w:r>
        <w:rPr>
          <w:rFonts w:eastAsia="Times New Roman"/>
          <w:color w:val="000000"/>
          <w:sz w:val="20"/>
          <w:szCs w:val="20"/>
        </w:rPr>
        <w:t>lion in the third quarter of 2021 and increased by $148 million to $803 million in the first nine months of 2021 driven by higher activity in our capital markets business.</w:t>
      </w:r>
    </w:p>
    <w:p w14:paraId="546EA208" w14:textId="77777777" w:rsidR="00000000" w:rsidRDefault="00405D16">
      <w:pPr>
        <w:ind w:hanging="360"/>
        <w:jc w:val="both"/>
        <w:divId w:val="90391859"/>
        <w:rPr>
          <w:rFonts w:eastAsia="Times New Roman"/>
        </w:rPr>
      </w:pPr>
      <w:r>
        <w:rPr>
          <w:rFonts w:eastAsia="Times New Roman"/>
          <w:i/>
          <w:iCs/>
          <w:color w:val="000000"/>
          <w:sz w:val="20"/>
          <w:szCs w:val="20"/>
        </w:rPr>
        <w:t>•Provision for Credit Losses:</w:t>
      </w:r>
      <w:r>
        <w:rPr>
          <w:rFonts w:eastAsia="Times New Roman"/>
          <w:color w:val="000000"/>
          <w:sz w:val="20"/>
          <w:szCs w:val="20"/>
        </w:rPr>
        <w:t xml:space="preserve"> </w:t>
      </w:r>
      <w:r>
        <w:rPr>
          <w:rFonts w:eastAsia="Times New Roman"/>
          <w:color w:val="000000"/>
          <w:sz w:val="20"/>
          <w:szCs w:val="20"/>
        </w:rPr>
        <w:t>Provision for credit losses was a benefit of $53 million in the third quarter of 2021 resulting from an improvement in our energy loan portfolio, compared to a benefit of $74 million in the third quarter of 2020 driven by an allowance release primarily due</w:t>
      </w:r>
      <w:r>
        <w:rPr>
          <w:rFonts w:eastAsia="Times New Roman"/>
          <w:color w:val="000000"/>
          <w:sz w:val="20"/>
          <w:szCs w:val="20"/>
        </w:rPr>
        <w:t xml:space="preserve"> to lower loan balances. Provision for credit losses decreased by $1.7 billion to a benefit of $475 million in the first nine months of 2021 resulting from allowance releases due to an improved economic outlook and improvement in our energy loan portfolio,</w:t>
      </w:r>
      <w:r>
        <w:rPr>
          <w:rFonts w:eastAsia="Times New Roman"/>
          <w:color w:val="000000"/>
          <w:sz w:val="20"/>
          <w:szCs w:val="20"/>
        </w:rPr>
        <w:t xml:space="preserve"> compared to allowance builds in 2020 driven by expectations of economic worsening at the start of the COVID-19 pandemic as well as credit deterioration in our energy loan portfolio. </w:t>
      </w:r>
    </w:p>
    <w:p w14:paraId="334AFA87" w14:textId="77777777" w:rsidR="00000000" w:rsidRDefault="00405D16">
      <w:pPr>
        <w:ind w:hanging="360"/>
        <w:jc w:val="both"/>
        <w:divId w:val="1101947433"/>
        <w:rPr>
          <w:rFonts w:eastAsia="Times New Roman"/>
        </w:rPr>
      </w:pPr>
      <w:r>
        <w:rPr>
          <w:rFonts w:eastAsia="Times New Roman"/>
          <w:color w:val="000000"/>
          <w:sz w:val="20"/>
          <w:szCs w:val="20"/>
        </w:rPr>
        <w:t>•</w:t>
      </w:r>
      <w:r>
        <w:rPr>
          <w:rFonts w:eastAsia="Times New Roman"/>
          <w:i/>
          <w:iCs/>
          <w:color w:val="000000"/>
          <w:sz w:val="20"/>
          <w:szCs w:val="20"/>
        </w:rPr>
        <w:t xml:space="preserve">Non-Interest Expense: </w:t>
      </w:r>
      <w:r>
        <w:rPr>
          <w:rFonts w:eastAsia="Times New Roman"/>
          <w:color w:val="000000"/>
          <w:sz w:val="20"/>
          <w:szCs w:val="20"/>
        </w:rPr>
        <w:t xml:space="preserve">Non-interest expense increased by $35 million to </w:t>
      </w:r>
      <w:r>
        <w:rPr>
          <w:rFonts w:eastAsia="Times New Roman"/>
          <w:color w:val="000000"/>
          <w:sz w:val="20"/>
          <w:szCs w:val="20"/>
        </w:rPr>
        <w:t>$459 million in the third quarter of 2021 and increased by $34 million to $1.3 billion in the first nine months of 2021 primarily driven by continued investment in infrastructure and technology.</w:t>
      </w:r>
    </w:p>
    <w:p w14:paraId="5E79DCEA" w14:textId="77777777" w:rsidR="00000000" w:rsidRDefault="00405D16">
      <w:pPr>
        <w:ind w:hanging="360"/>
        <w:divId w:val="1607927943"/>
        <w:rPr>
          <w:rFonts w:eastAsia="Times New Roman"/>
        </w:rPr>
      </w:pPr>
      <w:r>
        <w:rPr>
          <w:rFonts w:eastAsia="Times New Roman"/>
          <w:b/>
          <w:bCs/>
          <w:color w:val="000000"/>
          <w:sz w:val="18"/>
          <w:szCs w:val="18"/>
        </w:rPr>
        <w:t>•</w:t>
      </w:r>
      <w:r>
        <w:rPr>
          <w:rFonts w:eastAsia="Times New Roman"/>
          <w:i/>
          <w:iCs/>
          <w:color w:val="000000"/>
          <w:sz w:val="20"/>
          <w:szCs w:val="20"/>
        </w:rPr>
        <w:t>Loans Held for Investment:</w:t>
      </w:r>
      <w:r>
        <w:rPr>
          <w:rFonts w:eastAsia="Times New Roman"/>
          <w:color w:val="000000"/>
          <w:sz w:val="20"/>
          <w:szCs w:val="20"/>
        </w:rPr>
        <w:t xml:space="preserve"> </w:t>
      </w:r>
    </w:p>
    <w:p w14:paraId="041CEEFA" w14:textId="77777777" w:rsidR="00000000" w:rsidRDefault="00405D16">
      <w:pPr>
        <w:spacing w:before="180" w:after="180"/>
        <w:ind w:hanging="360"/>
        <w:jc w:val="both"/>
        <w:divId w:val="523519836"/>
        <w:rPr>
          <w:rFonts w:eastAsia="Times New Roman"/>
        </w:rPr>
      </w:pPr>
      <w:r>
        <w:rPr>
          <w:rFonts w:eastAsia="Times New Roman"/>
          <w:color w:val="000000"/>
          <w:sz w:val="20"/>
          <w:szCs w:val="20"/>
        </w:rPr>
        <w:t>◦</w:t>
      </w:r>
      <w:r>
        <w:rPr>
          <w:rFonts w:eastAsia="Times New Roman"/>
          <w:color w:val="000000"/>
          <w:sz w:val="20"/>
          <w:szCs w:val="20"/>
        </w:rPr>
        <w:t>Period-end loans held for inves</w:t>
      </w:r>
      <w:r>
        <w:rPr>
          <w:rFonts w:eastAsia="Times New Roman"/>
          <w:color w:val="000000"/>
          <w:sz w:val="20"/>
          <w:szCs w:val="20"/>
        </w:rPr>
        <w:t>tment increased by $3.5 billion to $79.2 billion as of September 30, 2021 from December 31, 2020 driven by growth across our commercial loan portfolio.</w:t>
      </w:r>
    </w:p>
    <w:p w14:paraId="6508AADC" w14:textId="77777777" w:rsidR="00000000" w:rsidRDefault="00405D16">
      <w:pPr>
        <w:spacing w:before="180" w:after="180"/>
        <w:ind w:hanging="360"/>
        <w:jc w:val="both"/>
        <w:divId w:val="1144153196"/>
        <w:rPr>
          <w:rFonts w:eastAsia="Times New Roman"/>
        </w:rPr>
      </w:pPr>
      <w:r>
        <w:rPr>
          <w:rFonts w:eastAsia="Times New Roman"/>
          <w:color w:val="000000"/>
          <w:sz w:val="20"/>
          <w:szCs w:val="20"/>
        </w:rPr>
        <w:t>◦</w:t>
      </w:r>
      <w:r>
        <w:rPr>
          <w:rFonts w:eastAsia="Times New Roman"/>
          <w:color w:val="000000"/>
          <w:sz w:val="20"/>
          <w:szCs w:val="20"/>
        </w:rPr>
        <w:t>Average loans held for investment decreased by $1.3 billion to $75.1 billion in the third quarter of 20</w:t>
      </w:r>
      <w:r>
        <w:rPr>
          <w:rFonts w:eastAsia="Times New Roman"/>
          <w:color w:val="000000"/>
          <w:sz w:val="20"/>
          <w:szCs w:val="20"/>
        </w:rPr>
        <w:t>21 compared to the third quarter of 2020 and decreased by $3.1 billion to $74.4 billion in the first nine months of 2021 compared to the first nine months of 2020 driven by higher utilization of credit lines in 2020 due to the COVID-19 pandemic.</w:t>
      </w:r>
    </w:p>
    <w:p w14:paraId="188FA30D" w14:textId="77777777" w:rsidR="00000000" w:rsidRDefault="00405D16">
      <w:pPr>
        <w:ind w:hanging="360"/>
        <w:jc w:val="both"/>
        <w:divId w:val="532958440"/>
        <w:rPr>
          <w:rFonts w:eastAsia="Times New Roman"/>
        </w:rPr>
      </w:pPr>
      <w:r>
        <w:rPr>
          <w:rFonts w:eastAsia="Times New Roman"/>
          <w:color w:val="000000"/>
          <w:sz w:val="20"/>
          <w:szCs w:val="20"/>
        </w:rPr>
        <w:t>•</w:t>
      </w:r>
      <w:r>
        <w:rPr>
          <w:rFonts w:eastAsia="Times New Roman"/>
          <w:i/>
          <w:iCs/>
          <w:color w:val="000000"/>
          <w:sz w:val="20"/>
          <w:szCs w:val="20"/>
        </w:rPr>
        <w:t>Deposits:</w:t>
      </w:r>
      <w:r>
        <w:rPr>
          <w:rFonts w:eastAsia="Times New Roman"/>
          <w:color w:val="000000"/>
          <w:sz w:val="20"/>
          <w:szCs w:val="20"/>
        </w:rPr>
        <w:t xml:space="preserve"> Period-end deposits increased by $3.8 billion to $43.3 billion as of September 30, 2021 from December 31, 2020 primarily driven by elevated client liquidity.</w:t>
      </w:r>
    </w:p>
    <w:p w14:paraId="596ED721" w14:textId="77777777" w:rsidR="00000000" w:rsidRDefault="00405D16">
      <w:pPr>
        <w:ind w:hanging="360"/>
        <w:jc w:val="both"/>
        <w:divId w:val="167138822"/>
        <w:rPr>
          <w:rFonts w:eastAsia="Times New Roman"/>
        </w:rPr>
      </w:pPr>
      <w:r>
        <w:rPr>
          <w:rFonts w:eastAsia="Times New Roman"/>
          <w:i/>
          <w:iCs/>
          <w:color w:val="000000"/>
          <w:sz w:val="20"/>
          <w:szCs w:val="20"/>
        </w:rPr>
        <w:t>•Net Charge-Off and Nonperforming Metrics:</w:t>
      </w:r>
      <w:r>
        <w:rPr>
          <w:rFonts w:eastAsia="Times New Roman"/>
          <w:color w:val="000000"/>
          <w:sz w:val="20"/>
          <w:szCs w:val="20"/>
        </w:rPr>
        <w:t xml:space="preserve"> The net charge-off rate decreased by 38 basis points t</w:t>
      </w:r>
      <w:r>
        <w:rPr>
          <w:rFonts w:eastAsia="Times New Roman"/>
          <w:color w:val="000000"/>
          <w:sz w:val="20"/>
          <w:szCs w:val="20"/>
        </w:rPr>
        <w:t xml:space="preserve">o 0.05% in the third quarter of 2021 driven by lower net charge-offs in our energy and real estate loan portfolios. The net charge-off rate decreased by 49 basis points to 0.01% in the first nine months of 2021 primarily driven by lower net charge-offs in </w:t>
      </w:r>
      <w:r>
        <w:rPr>
          <w:rFonts w:eastAsia="Times New Roman"/>
          <w:color w:val="000000"/>
          <w:sz w:val="20"/>
          <w:szCs w:val="20"/>
        </w:rPr>
        <w:t>our energy loan portfolio.</w:t>
      </w:r>
    </w:p>
    <w:p w14:paraId="0C3FE9AE" w14:textId="77777777" w:rsidR="00000000" w:rsidRDefault="00405D16">
      <w:pPr>
        <w:jc w:val="both"/>
        <w:divId w:val="1079059861"/>
        <w:rPr>
          <w:rFonts w:eastAsia="Times New Roman"/>
        </w:rPr>
      </w:pPr>
      <w:r>
        <w:rPr>
          <w:rFonts w:eastAsia="Times New Roman"/>
          <w:color w:val="000000"/>
          <w:sz w:val="20"/>
          <w:szCs w:val="20"/>
        </w:rPr>
        <w:t>The nonperforming loan rate decreased by 10 basis points to 0.76% as of September 30, 2021 from December 31, 2020 driven by improvements in our energy loan portfolio, partially offset by isolated credit downgrades in our real est</w:t>
      </w:r>
      <w:r>
        <w:rPr>
          <w:rFonts w:eastAsia="Times New Roman"/>
          <w:color w:val="000000"/>
          <w:sz w:val="20"/>
          <w:szCs w:val="20"/>
        </w:rPr>
        <w:t>ate portfolio.</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53003DCE" w14:textId="77777777">
        <w:trPr>
          <w:divId w:val="1448508347"/>
          <w:jc w:val="center"/>
        </w:trPr>
        <w:tc>
          <w:tcPr>
            <w:tcW w:w="50" w:type="pct"/>
            <w:vAlign w:val="center"/>
            <w:hideMark/>
          </w:tcPr>
          <w:p w14:paraId="0AF45FC7" w14:textId="77777777" w:rsidR="00000000" w:rsidRDefault="00405D16">
            <w:pPr>
              <w:jc w:val="both"/>
              <w:rPr>
                <w:rFonts w:eastAsia="Times New Roman"/>
              </w:rPr>
            </w:pPr>
          </w:p>
        </w:tc>
        <w:tc>
          <w:tcPr>
            <w:tcW w:w="1606" w:type="pct"/>
            <w:vAlign w:val="center"/>
            <w:hideMark/>
          </w:tcPr>
          <w:p w14:paraId="5C0B052C" w14:textId="77777777" w:rsidR="00000000" w:rsidRDefault="00405D16">
            <w:pPr>
              <w:spacing w:after="100"/>
              <w:rPr>
                <w:rFonts w:eastAsia="Times New Roman"/>
                <w:sz w:val="20"/>
                <w:szCs w:val="20"/>
              </w:rPr>
            </w:pPr>
          </w:p>
        </w:tc>
        <w:tc>
          <w:tcPr>
            <w:tcW w:w="5" w:type="pct"/>
            <w:vAlign w:val="center"/>
            <w:hideMark/>
          </w:tcPr>
          <w:p w14:paraId="2DD24573" w14:textId="77777777" w:rsidR="00000000" w:rsidRDefault="00405D16">
            <w:pPr>
              <w:spacing w:after="100"/>
              <w:rPr>
                <w:rFonts w:eastAsia="Times New Roman"/>
                <w:sz w:val="20"/>
                <w:szCs w:val="20"/>
              </w:rPr>
            </w:pPr>
          </w:p>
        </w:tc>
        <w:tc>
          <w:tcPr>
            <w:tcW w:w="50" w:type="pct"/>
            <w:vAlign w:val="center"/>
            <w:hideMark/>
          </w:tcPr>
          <w:p w14:paraId="76BF05CB" w14:textId="77777777" w:rsidR="00000000" w:rsidRDefault="00405D16">
            <w:pPr>
              <w:spacing w:after="100"/>
              <w:rPr>
                <w:rFonts w:eastAsia="Times New Roman"/>
                <w:sz w:val="20"/>
                <w:szCs w:val="20"/>
              </w:rPr>
            </w:pPr>
          </w:p>
        </w:tc>
        <w:tc>
          <w:tcPr>
            <w:tcW w:w="1614" w:type="pct"/>
            <w:vAlign w:val="center"/>
            <w:hideMark/>
          </w:tcPr>
          <w:p w14:paraId="194E45B8" w14:textId="77777777" w:rsidR="00000000" w:rsidRDefault="00405D16">
            <w:pPr>
              <w:spacing w:after="100"/>
              <w:rPr>
                <w:rFonts w:eastAsia="Times New Roman"/>
                <w:sz w:val="20"/>
                <w:szCs w:val="20"/>
              </w:rPr>
            </w:pPr>
          </w:p>
        </w:tc>
        <w:tc>
          <w:tcPr>
            <w:tcW w:w="5" w:type="pct"/>
            <w:vAlign w:val="center"/>
            <w:hideMark/>
          </w:tcPr>
          <w:p w14:paraId="6AD558D1" w14:textId="77777777" w:rsidR="00000000" w:rsidRDefault="00405D16">
            <w:pPr>
              <w:spacing w:after="100"/>
              <w:rPr>
                <w:rFonts w:eastAsia="Times New Roman"/>
                <w:sz w:val="20"/>
                <w:szCs w:val="20"/>
              </w:rPr>
            </w:pPr>
          </w:p>
        </w:tc>
        <w:tc>
          <w:tcPr>
            <w:tcW w:w="50" w:type="pct"/>
            <w:vAlign w:val="center"/>
            <w:hideMark/>
          </w:tcPr>
          <w:p w14:paraId="15BD33E1" w14:textId="77777777" w:rsidR="00000000" w:rsidRDefault="00405D16">
            <w:pPr>
              <w:spacing w:after="100"/>
              <w:rPr>
                <w:rFonts w:eastAsia="Times New Roman"/>
                <w:sz w:val="20"/>
                <w:szCs w:val="20"/>
              </w:rPr>
            </w:pPr>
          </w:p>
        </w:tc>
        <w:tc>
          <w:tcPr>
            <w:tcW w:w="1614" w:type="pct"/>
            <w:vAlign w:val="center"/>
            <w:hideMark/>
          </w:tcPr>
          <w:p w14:paraId="167BEC39" w14:textId="77777777" w:rsidR="00000000" w:rsidRDefault="00405D16">
            <w:pPr>
              <w:spacing w:after="100"/>
              <w:rPr>
                <w:rFonts w:eastAsia="Times New Roman"/>
                <w:sz w:val="20"/>
                <w:szCs w:val="20"/>
              </w:rPr>
            </w:pPr>
          </w:p>
        </w:tc>
        <w:tc>
          <w:tcPr>
            <w:tcW w:w="5" w:type="pct"/>
            <w:vAlign w:val="center"/>
            <w:hideMark/>
          </w:tcPr>
          <w:p w14:paraId="2B220400" w14:textId="77777777" w:rsidR="00000000" w:rsidRDefault="00405D16">
            <w:pPr>
              <w:spacing w:after="100"/>
              <w:rPr>
                <w:rFonts w:eastAsia="Times New Roman"/>
                <w:sz w:val="20"/>
                <w:szCs w:val="20"/>
              </w:rPr>
            </w:pPr>
          </w:p>
        </w:tc>
      </w:tr>
      <w:tr w:rsidR="00000000" w14:paraId="5215E114" w14:textId="77777777">
        <w:trPr>
          <w:divId w:val="1448508347"/>
          <w:trHeight w:val="300"/>
          <w:jc w:val="center"/>
        </w:trPr>
        <w:tc>
          <w:tcPr>
            <w:tcW w:w="0" w:type="auto"/>
            <w:gridSpan w:val="9"/>
            <w:tcMar>
              <w:top w:w="0" w:type="dxa"/>
              <w:left w:w="20" w:type="dxa"/>
              <w:bottom w:w="0" w:type="dxa"/>
              <w:right w:w="20" w:type="dxa"/>
            </w:tcMar>
            <w:vAlign w:val="center"/>
            <w:hideMark/>
          </w:tcPr>
          <w:p w14:paraId="4B4FDE74" w14:textId="77777777" w:rsidR="00000000" w:rsidRDefault="00405D16">
            <w:pPr>
              <w:spacing w:after="100"/>
              <w:rPr>
                <w:rFonts w:eastAsia="Times New Roman"/>
                <w:sz w:val="20"/>
                <w:szCs w:val="20"/>
              </w:rPr>
            </w:pPr>
          </w:p>
        </w:tc>
      </w:tr>
      <w:tr w:rsidR="00000000" w14:paraId="6773B130" w14:textId="77777777">
        <w:trPr>
          <w:divId w:val="1448508347"/>
          <w:jc w:val="center"/>
        </w:trPr>
        <w:tc>
          <w:tcPr>
            <w:tcW w:w="0" w:type="auto"/>
            <w:gridSpan w:val="3"/>
            <w:tcMar>
              <w:top w:w="0" w:type="dxa"/>
              <w:left w:w="20" w:type="dxa"/>
              <w:bottom w:w="0" w:type="dxa"/>
              <w:right w:w="20" w:type="dxa"/>
            </w:tcMar>
            <w:vAlign w:val="center"/>
            <w:hideMark/>
          </w:tcPr>
          <w:p w14:paraId="2C68AD69"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6D15343" w14:textId="77777777" w:rsidR="00000000" w:rsidRDefault="00405D16">
            <w:pPr>
              <w:spacing w:after="100"/>
              <w:jc w:val="center"/>
              <w:rPr>
                <w:rFonts w:eastAsia="Times New Roman"/>
              </w:rPr>
            </w:pPr>
            <w:r>
              <w:rPr>
                <w:rFonts w:eastAsia="Times New Roman"/>
                <w:color w:val="000000"/>
                <w:sz w:val="16"/>
                <w:szCs w:val="16"/>
              </w:rPr>
              <w:t>28</w:t>
            </w:r>
          </w:p>
        </w:tc>
        <w:tc>
          <w:tcPr>
            <w:tcW w:w="0" w:type="auto"/>
            <w:gridSpan w:val="3"/>
            <w:tcMar>
              <w:top w:w="30" w:type="dxa"/>
              <w:left w:w="20" w:type="dxa"/>
              <w:bottom w:w="30" w:type="dxa"/>
              <w:right w:w="20" w:type="dxa"/>
            </w:tcMar>
            <w:vAlign w:val="bottom"/>
            <w:hideMark/>
          </w:tcPr>
          <w:p w14:paraId="6773FB11"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5C615B7F" w14:textId="77777777" w:rsidR="00000000" w:rsidRDefault="00405D16">
      <w:pPr>
        <w:rPr>
          <w:rFonts w:eastAsia="Times New Roman"/>
        </w:rPr>
      </w:pPr>
      <w:r>
        <w:rPr>
          <w:rFonts w:eastAsia="Times New Roman"/>
        </w:rPr>
        <w:pict w14:anchorId="4AE8872D">
          <v:rect id="_x0000_i1053" style="width:0;height:1.5pt" o:hralign="center" o:hrstd="t" o:hr="t" fillcolor="#a0a0a0" stroked="f"/>
        </w:pict>
      </w:r>
    </w:p>
    <w:p w14:paraId="1E0007E8" w14:textId="77777777" w:rsidR="00000000" w:rsidRDefault="00405D16">
      <w:pPr>
        <w:ind w:hanging="360"/>
        <w:jc w:val="both"/>
        <w:divId w:val="609552364"/>
        <w:rPr>
          <w:rFonts w:eastAsia="Times New Roman"/>
        </w:rPr>
      </w:pPr>
      <w:hyperlink w:anchor="idd54a04a485440b4ab4e56094c14d612_13" w:history="1">
        <w:r>
          <w:rPr>
            <w:rStyle w:val="a3"/>
            <w:rFonts w:eastAsia="Times New Roman"/>
            <w:sz w:val="16"/>
            <w:szCs w:val="16"/>
          </w:rPr>
          <w:t>Table of Contents</w:t>
        </w:r>
      </w:hyperlink>
    </w:p>
    <w:p w14:paraId="023C10EC" w14:textId="77777777" w:rsidR="00000000" w:rsidRDefault="00405D16">
      <w:pPr>
        <w:divId w:val="1467088979"/>
        <w:rPr>
          <w:rFonts w:eastAsia="Times New Roman"/>
        </w:rPr>
      </w:pPr>
      <w:r>
        <w:rPr>
          <w:rFonts w:eastAsia="Times New Roman"/>
          <w:b/>
          <w:bCs/>
          <w:color w:val="000000"/>
          <w:sz w:val="20"/>
          <w:szCs w:val="20"/>
        </w:rPr>
        <w:t>Other Category</w:t>
      </w:r>
    </w:p>
    <w:p w14:paraId="5561E5B4" w14:textId="77777777" w:rsidR="00000000" w:rsidRDefault="00405D16">
      <w:pPr>
        <w:jc w:val="both"/>
        <w:divId w:val="1902789455"/>
        <w:rPr>
          <w:rFonts w:eastAsia="Times New Roman"/>
        </w:rPr>
      </w:pPr>
      <w:r>
        <w:rPr>
          <w:rFonts w:eastAsia="Times New Roman"/>
          <w:color w:val="000000"/>
          <w:sz w:val="20"/>
          <w:szCs w:val="20"/>
        </w:rPr>
        <w:t>Other includes unallocated amounts related to our centralized Corporate Treasury group activities, such as management of our corporate investment securities portfolio, asset/liability management and certain capital management activities. Other also include</w:t>
      </w:r>
      <w:r>
        <w:rPr>
          <w:rFonts w:eastAsia="Times New Roman"/>
          <w:color w:val="000000"/>
          <w:sz w:val="20"/>
          <w:szCs w:val="20"/>
        </w:rPr>
        <w:t>s:</w:t>
      </w:r>
    </w:p>
    <w:p w14:paraId="27B61E89" w14:textId="77777777" w:rsidR="00000000" w:rsidRDefault="00405D16">
      <w:pPr>
        <w:ind w:hanging="360"/>
        <w:jc w:val="both"/>
        <w:divId w:val="1272470233"/>
        <w:rPr>
          <w:rFonts w:eastAsia="Times New Roman"/>
        </w:rPr>
      </w:pPr>
      <w:r>
        <w:rPr>
          <w:rFonts w:eastAsia="Times New Roman"/>
          <w:color w:val="000000"/>
          <w:sz w:val="20"/>
          <w:szCs w:val="20"/>
        </w:rPr>
        <w:t>•unallocated corporate revenue and expenses that do not directly support the operations of the business segments or for which the business segments are not considered financially accountable in evaluating their performance, such as certain restructuring</w:t>
      </w:r>
      <w:r>
        <w:rPr>
          <w:rFonts w:eastAsia="Times New Roman"/>
          <w:color w:val="000000"/>
          <w:sz w:val="20"/>
          <w:szCs w:val="20"/>
        </w:rPr>
        <w:t xml:space="preserve"> charges;</w:t>
      </w:r>
    </w:p>
    <w:p w14:paraId="10BE26B8" w14:textId="77777777" w:rsidR="00000000" w:rsidRDefault="00405D16">
      <w:pPr>
        <w:ind w:hanging="360"/>
        <w:jc w:val="both"/>
        <w:divId w:val="1264417070"/>
        <w:rPr>
          <w:rFonts w:eastAsia="Times New Roman"/>
        </w:rPr>
      </w:pPr>
      <w:r>
        <w:rPr>
          <w:rFonts w:eastAsia="Times New Roman"/>
          <w:color w:val="000000"/>
          <w:sz w:val="20"/>
          <w:szCs w:val="20"/>
        </w:rPr>
        <w:t>•offsets related to certain line-item reclassifications;</w:t>
      </w:r>
    </w:p>
    <w:p w14:paraId="69E0161E" w14:textId="77777777" w:rsidR="00000000" w:rsidRDefault="00405D16">
      <w:pPr>
        <w:ind w:hanging="360"/>
        <w:jc w:val="both"/>
        <w:divId w:val="241988668"/>
        <w:rPr>
          <w:rFonts w:eastAsia="Times New Roman"/>
        </w:rPr>
      </w:pPr>
      <w:r>
        <w:rPr>
          <w:rFonts w:eastAsia="Times New Roman"/>
          <w:color w:val="000000"/>
          <w:sz w:val="20"/>
          <w:szCs w:val="20"/>
        </w:rPr>
        <w:t>•residual tax expense or benefit to arrive at the consolidated effective tax rate that is not assessed to our primary business segments; and</w:t>
      </w:r>
    </w:p>
    <w:p w14:paraId="54BD5C5B" w14:textId="77777777" w:rsidR="00000000" w:rsidRDefault="00405D16">
      <w:pPr>
        <w:ind w:hanging="360"/>
        <w:jc w:val="both"/>
        <w:divId w:val="1601524372"/>
        <w:rPr>
          <w:rFonts w:eastAsia="Times New Roman"/>
        </w:rPr>
      </w:pPr>
      <w:r>
        <w:rPr>
          <w:rFonts w:eastAsia="Times New Roman"/>
          <w:color w:val="000000"/>
          <w:sz w:val="20"/>
          <w:szCs w:val="20"/>
        </w:rPr>
        <w:t>•foreign exchange-rate fluctuations on foreign c</w:t>
      </w:r>
      <w:r>
        <w:rPr>
          <w:rFonts w:eastAsia="Times New Roman"/>
          <w:color w:val="000000"/>
          <w:sz w:val="20"/>
          <w:szCs w:val="20"/>
        </w:rPr>
        <w:t>urrency-denominated balances.</w:t>
      </w:r>
    </w:p>
    <w:p w14:paraId="7F8CF8A1" w14:textId="77777777" w:rsidR="00000000" w:rsidRDefault="00405D16">
      <w:pPr>
        <w:jc w:val="both"/>
        <w:divId w:val="115373215"/>
        <w:rPr>
          <w:rFonts w:eastAsia="Times New Roman"/>
        </w:rPr>
      </w:pPr>
      <w:r>
        <w:rPr>
          <w:rFonts w:eastAsia="Times New Roman"/>
          <w:color w:val="000000"/>
          <w:sz w:val="20"/>
          <w:szCs w:val="20"/>
        </w:rPr>
        <w:t>Table 13 summarizes the financial results of our Other category for the periods indicated.</w:t>
      </w:r>
    </w:p>
    <w:p w14:paraId="5E2B3611" w14:textId="77777777" w:rsidR="00000000" w:rsidRDefault="00405D16">
      <w:pPr>
        <w:divId w:val="268660723"/>
        <w:rPr>
          <w:rFonts w:eastAsia="Times New Roman"/>
        </w:rPr>
      </w:pPr>
      <w:r>
        <w:rPr>
          <w:rFonts w:eastAsia="Times New Roman"/>
          <w:b/>
          <w:bCs/>
          <w:color w:val="000000"/>
          <w:sz w:val="18"/>
          <w:szCs w:val="18"/>
        </w:rPr>
        <w:t>Table 13: Other Category Results</w:t>
      </w:r>
    </w:p>
    <w:tbl>
      <w:tblPr>
        <w:tblW w:w="5000" w:type="pct"/>
        <w:tblCellMar>
          <w:top w:w="15" w:type="dxa"/>
          <w:left w:w="15" w:type="dxa"/>
          <w:bottom w:w="15" w:type="dxa"/>
          <w:right w:w="15" w:type="dxa"/>
        </w:tblCellMar>
        <w:tblLook w:val="04A0" w:firstRow="1" w:lastRow="0" w:firstColumn="1" w:lastColumn="0" w:noHBand="0" w:noVBand="1"/>
      </w:tblPr>
      <w:tblGrid>
        <w:gridCol w:w="38"/>
        <w:gridCol w:w="3076"/>
        <w:gridCol w:w="37"/>
        <w:gridCol w:w="36"/>
        <w:gridCol w:w="36"/>
        <w:gridCol w:w="36"/>
        <w:gridCol w:w="110"/>
        <w:gridCol w:w="540"/>
        <w:gridCol w:w="36"/>
        <w:gridCol w:w="36"/>
        <w:gridCol w:w="36"/>
        <w:gridCol w:w="36"/>
        <w:gridCol w:w="110"/>
        <w:gridCol w:w="540"/>
        <w:gridCol w:w="36"/>
        <w:gridCol w:w="36"/>
        <w:gridCol w:w="36"/>
        <w:gridCol w:w="36"/>
        <w:gridCol w:w="62"/>
        <w:gridCol w:w="503"/>
        <w:gridCol w:w="170"/>
        <w:gridCol w:w="36"/>
        <w:gridCol w:w="36"/>
        <w:gridCol w:w="36"/>
        <w:gridCol w:w="110"/>
        <w:gridCol w:w="542"/>
        <w:gridCol w:w="36"/>
        <w:gridCol w:w="36"/>
        <w:gridCol w:w="36"/>
        <w:gridCol w:w="36"/>
        <w:gridCol w:w="110"/>
        <w:gridCol w:w="542"/>
        <w:gridCol w:w="36"/>
        <w:gridCol w:w="36"/>
        <w:gridCol w:w="36"/>
        <w:gridCol w:w="36"/>
        <w:gridCol w:w="36"/>
        <w:gridCol w:w="36"/>
        <w:gridCol w:w="62"/>
        <w:gridCol w:w="504"/>
        <w:gridCol w:w="170"/>
        <w:gridCol w:w="36"/>
        <w:gridCol w:w="36"/>
        <w:gridCol w:w="36"/>
        <w:gridCol w:w="36"/>
        <w:gridCol w:w="36"/>
        <w:gridCol w:w="36"/>
      </w:tblGrid>
      <w:tr w:rsidR="00000000" w14:paraId="69A338D6" w14:textId="77777777">
        <w:trPr>
          <w:divId w:val="1576624870"/>
        </w:trPr>
        <w:tc>
          <w:tcPr>
            <w:tcW w:w="50" w:type="pct"/>
            <w:vAlign w:val="center"/>
            <w:hideMark/>
          </w:tcPr>
          <w:p w14:paraId="3AC61480" w14:textId="77777777" w:rsidR="00000000" w:rsidRDefault="00405D16">
            <w:pPr>
              <w:rPr>
                <w:rFonts w:eastAsia="Times New Roman"/>
              </w:rPr>
            </w:pPr>
          </w:p>
        </w:tc>
        <w:tc>
          <w:tcPr>
            <w:tcW w:w="1962" w:type="pct"/>
            <w:vAlign w:val="center"/>
            <w:hideMark/>
          </w:tcPr>
          <w:p w14:paraId="5C0D42AC" w14:textId="77777777" w:rsidR="00000000" w:rsidRDefault="00405D16">
            <w:pPr>
              <w:spacing w:after="100"/>
              <w:rPr>
                <w:rFonts w:eastAsia="Times New Roman"/>
                <w:sz w:val="20"/>
                <w:szCs w:val="20"/>
              </w:rPr>
            </w:pPr>
          </w:p>
        </w:tc>
        <w:tc>
          <w:tcPr>
            <w:tcW w:w="5" w:type="pct"/>
            <w:vAlign w:val="center"/>
            <w:hideMark/>
          </w:tcPr>
          <w:p w14:paraId="03C3A7F7" w14:textId="77777777" w:rsidR="00000000" w:rsidRDefault="00405D16">
            <w:pPr>
              <w:spacing w:after="100"/>
              <w:rPr>
                <w:rFonts w:eastAsia="Times New Roman"/>
                <w:sz w:val="20"/>
                <w:szCs w:val="20"/>
              </w:rPr>
            </w:pPr>
          </w:p>
        </w:tc>
        <w:tc>
          <w:tcPr>
            <w:tcW w:w="5" w:type="pct"/>
            <w:vAlign w:val="center"/>
            <w:hideMark/>
          </w:tcPr>
          <w:p w14:paraId="040F5C4A" w14:textId="77777777" w:rsidR="00000000" w:rsidRDefault="00405D16">
            <w:pPr>
              <w:spacing w:after="100"/>
              <w:rPr>
                <w:rFonts w:eastAsia="Times New Roman"/>
                <w:sz w:val="20"/>
                <w:szCs w:val="20"/>
              </w:rPr>
            </w:pPr>
          </w:p>
        </w:tc>
        <w:tc>
          <w:tcPr>
            <w:tcW w:w="26" w:type="pct"/>
            <w:vAlign w:val="center"/>
            <w:hideMark/>
          </w:tcPr>
          <w:p w14:paraId="5C544724" w14:textId="77777777" w:rsidR="00000000" w:rsidRDefault="00405D16">
            <w:pPr>
              <w:spacing w:after="100"/>
              <w:rPr>
                <w:rFonts w:eastAsia="Times New Roman"/>
                <w:sz w:val="20"/>
                <w:szCs w:val="20"/>
              </w:rPr>
            </w:pPr>
          </w:p>
        </w:tc>
        <w:tc>
          <w:tcPr>
            <w:tcW w:w="5" w:type="pct"/>
            <w:vAlign w:val="center"/>
            <w:hideMark/>
          </w:tcPr>
          <w:p w14:paraId="283A1C20" w14:textId="77777777" w:rsidR="00000000" w:rsidRDefault="00405D16">
            <w:pPr>
              <w:spacing w:after="100"/>
              <w:rPr>
                <w:rFonts w:eastAsia="Times New Roman"/>
                <w:sz w:val="20"/>
                <w:szCs w:val="20"/>
              </w:rPr>
            </w:pPr>
          </w:p>
        </w:tc>
        <w:tc>
          <w:tcPr>
            <w:tcW w:w="50" w:type="pct"/>
            <w:vAlign w:val="center"/>
            <w:hideMark/>
          </w:tcPr>
          <w:p w14:paraId="5855CE9E" w14:textId="77777777" w:rsidR="00000000" w:rsidRDefault="00405D16">
            <w:pPr>
              <w:spacing w:after="100"/>
              <w:rPr>
                <w:rFonts w:eastAsia="Times New Roman"/>
                <w:sz w:val="20"/>
                <w:szCs w:val="20"/>
              </w:rPr>
            </w:pPr>
          </w:p>
        </w:tc>
        <w:tc>
          <w:tcPr>
            <w:tcW w:w="405" w:type="pct"/>
            <w:vAlign w:val="center"/>
            <w:hideMark/>
          </w:tcPr>
          <w:p w14:paraId="6EE458D0" w14:textId="77777777" w:rsidR="00000000" w:rsidRDefault="00405D16">
            <w:pPr>
              <w:spacing w:after="100"/>
              <w:rPr>
                <w:rFonts w:eastAsia="Times New Roman"/>
                <w:sz w:val="20"/>
                <w:szCs w:val="20"/>
              </w:rPr>
            </w:pPr>
          </w:p>
        </w:tc>
        <w:tc>
          <w:tcPr>
            <w:tcW w:w="5" w:type="pct"/>
            <w:vAlign w:val="center"/>
            <w:hideMark/>
          </w:tcPr>
          <w:p w14:paraId="49302676" w14:textId="77777777" w:rsidR="00000000" w:rsidRDefault="00405D16">
            <w:pPr>
              <w:spacing w:after="100"/>
              <w:rPr>
                <w:rFonts w:eastAsia="Times New Roman"/>
                <w:sz w:val="20"/>
                <w:szCs w:val="20"/>
              </w:rPr>
            </w:pPr>
          </w:p>
        </w:tc>
        <w:tc>
          <w:tcPr>
            <w:tcW w:w="5" w:type="pct"/>
            <w:vAlign w:val="center"/>
            <w:hideMark/>
          </w:tcPr>
          <w:p w14:paraId="5740634B" w14:textId="77777777" w:rsidR="00000000" w:rsidRDefault="00405D16">
            <w:pPr>
              <w:spacing w:after="100"/>
              <w:rPr>
                <w:rFonts w:eastAsia="Times New Roman"/>
                <w:sz w:val="20"/>
                <w:szCs w:val="20"/>
              </w:rPr>
            </w:pPr>
          </w:p>
        </w:tc>
        <w:tc>
          <w:tcPr>
            <w:tcW w:w="26" w:type="pct"/>
            <w:vAlign w:val="center"/>
            <w:hideMark/>
          </w:tcPr>
          <w:p w14:paraId="5C2E19B3" w14:textId="77777777" w:rsidR="00000000" w:rsidRDefault="00405D16">
            <w:pPr>
              <w:spacing w:after="100"/>
              <w:rPr>
                <w:rFonts w:eastAsia="Times New Roman"/>
                <w:sz w:val="20"/>
                <w:szCs w:val="20"/>
              </w:rPr>
            </w:pPr>
          </w:p>
        </w:tc>
        <w:tc>
          <w:tcPr>
            <w:tcW w:w="5" w:type="pct"/>
            <w:vAlign w:val="center"/>
            <w:hideMark/>
          </w:tcPr>
          <w:p w14:paraId="6F9CBF9E" w14:textId="77777777" w:rsidR="00000000" w:rsidRDefault="00405D16">
            <w:pPr>
              <w:spacing w:after="100"/>
              <w:rPr>
                <w:rFonts w:eastAsia="Times New Roman"/>
                <w:sz w:val="20"/>
                <w:szCs w:val="20"/>
              </w:rPr>
            </w:pPr>
          </w:p>
        </w:tc>
        <w:tc>
          <w:tcPr>
            <w:tcW w:w="50" w:type="pct"/>
            <w:vAlign w:val="center"/>
            <w:hideMark/>
          </w:tcPr>
          <w:p w14:paraId="6B6FF733" w14:textId="77777777" w:rsidR="00000000" w:rsidRDefault="00405D16">
            <w:pPr>
              <w:spacing w:after="100"/>
              <w:rPr>
                <w:rFonts w:eastAsia="Times New Roman"/>
                <w:sz w:val="20"/>
                <w:szCs w:val="20"/>
              </w:rPr>
            </w:pPr>
          </w:p>
        </w:tc>
        <w:tc>
          <w:tcPr>
            <w:tcW w:w="405" w:type="pct"/>
            <w:vAlign w:val="center"/>
            <w:hideMark/>
          </w:tcPr>
          <w:p w14:paraId="416B4175" w14:textId="77777777" w:rsidR="00000000" w:rsidRDefault="00405D16">
            <w:pPr>
              <w:spacing w:after="100"/>
              <w:rPr>
                <w:rFonts w:eastAsia="Times New Roman"/>
                <w:sz w:val="20"/>
                <w:szCs w:val="20"/>
              </w:rPr>
            </w:pPr>
          </w:p>
        </w:tc>
        <w:tc>
          <w:tcPr>
            <w:tcW w:w="5" w:type="pct"/>
            <w:vAlign w:val="center"/>
            <w:hideMark/>
          </w:tcPr>
          <w:p w14:paraId="4ABB0EED" w14:textId="77777777" w:rsidR="00000000" w:rsidRDefault="00405D16">
            <w:pPr>
              <w:spacing w:after="100"/>
              <w:rPr>
                <w:rFonts w:eastAsia="Times New Roman"/>
                <w:sz w:val="20"/>
                <w:szCs w:val="20"/>
              </w:rPr>
            </w:pPr>
          </w:p>
        </w:tc>
        <w:tc>
          <w:tcPr>
            <w:tcW w:w="5" w:type="pct"/>
            <w:vAlign w:val="center"/>
            <w:hideMark/>
          </w:tcPr>
          <w:p w14:paraId="053889BF" w14:textId="77777777" w:rsidR="00000000" w:rsidRDefault="00405D16">
            <w:pPr>
              <w:spacing w:after="100"/>
              <w:rPr>
                <w:rFonts w:eastAsia="Times New Roman"/>
                <w:sz w:val="20"/>
                <w:szCs w:val="20"/>
              </w:rPr>
            </w:pPr>
          </w:p>
        </w:tc>
        <w:tc>
          <w:tcPr>
            <w:tcW w:w="26" w:type="pct"/>
            <w:vAlign w:val="center"/>
            <w:hideMark/>
          </w:tcPr>
          <w:p w14:paraId="65090A39" w14:textId="77777777" w:rsidR="00000000" w:rsidRDefault="00405D16">
            <w:pPr>
              <w:spacing w:after="100"/>
              <w:rPr>
                <w:rFonts w:eastAsia="Times New Roman"/>
                <w:sz w:val="20"/>
                <w:szCs w:val="20"/>
              </w:rPr>
            </w:pPr>
          </w:p>
        </w:tc>
        <w:tc>
          <w:tcPr>
            <w:tcW w:w="5" w:type="pct"/>
            <w:vAlign w:val="center"/>
            <w:hideMark/>
          </w:tcPr>
          <w:p w14:paraId="26DA227F" w14:textId="77777777" w:rsidR="00000000" w:rsidRDefault="00405D16">
            <w:pPr>
              <w:spacing w:after="100"/>
              <w:rPr>
                <w:rFonts w:eastAsia="Times New Roman"/>
                <w:sz w:val="20"/>
                <w:szCs w:val="20"/>
              </w:rPr>
            </w:pPr>
          </w:p>
        </w:tc>
        <w:tc>
          <w:tcPr>
            <w:tcW w:w="50" w:type="pct"/>
            <w:vAlign w:val="center"/>
            <w:hideMark/>
          </w:tcPr>
          <w:p w14:paraId="196A2A4C" w14:textId="77777777" w:rsidR="00000000" w:rsidRDefault="00405D16">
            <w:pPr>
              <w:spacing w:after="100"/>
              <w:rPr>
                <w:rFonts w:eastAsia="Times New Roman"/>
                <w:sz w:val="20"/>
                <w:szCs w:val="20"/>
              </w:rPr>
            </w:pPr>
          </w:p>
        </w:tc>
        <w:tc>
          <w:tcPr>
            <w:tcW w:w="405" w:type="pct"/>
            <w:vAlign w:val="center"/>
            <w:hideMark/>
          </w:tcPr>
          <w:p w14:paraId="18E55604" w14:textId="77777777" w:rsidR="00000000" w:rsidRDefault="00405D16">
            <w:pPr>
              <w:spacing w:after="100"/>
              <w:rPr>
                <w:rFonts w:eastAsia="Times New Roman"/>
                <w:sz w:val="20"/>
                <w:szCs w:val="20"/>
              </w:rPr>
            </w:pPr>
          </w:p>
        </w:tc>
        <w:tc>
          <w:tcPr>
            <w:tcW w:w="5" w:type="pct"/>
            <w:vAlign w:val="center"/>
            <w:hideMark/>
          </w:tcPr>
          <w:p w14:paraId="312197F8" w14:textId="77777777" w:rsidR="00000000" w:rsidRDefault="00405D16">
            <w:pPr>
              <w:spacing w:after="100"/>
              <w:rPr>
                <w:rFonts w:eastAsia="Times New Roman"/>
                <w:sz w:val="20"/>
                <w:szCs w:val="20"/>
              </w:rPr>
            </w:pPr>
          </w:p>
        </w:tc>
        <w:tc>
          <w:tcPr>
            <w:tcW w:w="5" w:type="pct"/>
            <w:vAlign w:val="center"/>
            <w:hideMark/>
          </w:tcPr>
          <w:p w14:paraId="70CFC7A1" w14:textId="77777777" w:rsidR="00000000" w:rsidRDefault="00405D16">
            <w:pPr>
              <w:spacing w:after="100"/>
              <w:rPr>
                <w:rFonts w:eastAsia="Times New Roman"/>
                <w:sz w:val="20"/>
                <w:szCs w:val="20"/>
              </w:rPr>
            </w:pPr>
          </w:p>
        </w:tc>
        <w:tc>
          <w:tcPr>
            <w:tcW w:w="26" w:type="pct"/>
            <w:vAlign w:val="center"/>
            <w:hideMark/>
          </w:tcPr>
          <w:p w14:paraId="6E2A50B7" w14:textId="77777777" w:rsidR="00000000" w:rsidRDefault="00405D16">
            <w:pPr>
              <w:spacing w:after="100"/>
              <w:rPr>
                <w:rFonts w:eastAsia="Times New Roman"/>
                <w:sz w:val="20"/>
                <w:szCs w:val="20"/>
              </w:rPr>
            </w:pPr>
          </w:p>
        </w:tc>
        <w:tc>
          <w:tcPr>
            <w:tcW w:w="5" w:type="pct"/>
            <w:vAlign w:val="center"/>
            <w:hideMark/>
          </w:tcPr>
          <w:p w14:paraId="6867659A" w14:textId="77777777" w:rsidR="00000000" w:rsidRDefault="00405D16">
            <w:pPr>
              <w:spacing w:after="100"/>
              <w:rPr>
                <w:rFonts w:eastAsia="Times New Roman"/>
                <w:sz w:val="20"/>
                <w:szCs w:val="20"/>
              </w:rPr>
            </w:pPr>
          </w:p>
        </w:tc>
        <w:tc>
          <w:tcPr>
            <w:tcW w:w="50" w:type="pct"/>
            <w:vAlign w:val="center"/>
            <w:hideMark/>
          </w:tcPr>
          <w:p w14:paraId="61B1BF27" w14:textId="77777777" w:rsidR="00000000" w:rsidRDefault="00405D16">
            <w:pPr>
              <w:spacing w:after="100"/>
              <w:rPr>
                <w:rFonts w:eastAsia="Times New Roman"/>
                <w:sz w:val="20"/>
                <w:szCs w:val="20"/>
              </w:rPr>
            </w:pPr>
          </w:p>
        </w:tc>
        <w:tc>
          <w:tcPr>
            <w:tcW w:w="405" w:type="pct"/>
            <w:vAlign w:val="center"/>
            <w:hideMark/>
          </w:tcPr>
          <w:p w14:paraId="7AFF1ED2" w14:textId="77777777" w:rsidR="00000000" w:rsidRDefault="00405D16">
            <w:pPr>
              <w:spacing w:after="100"/>
              <w:rPr>
                <w:rFonts w:eastAsia="Times New Roman"/>
                <w:sz w:val="20"/>
                <w:szCs w:val="20"/>
              </w:rPr>
            </w:pPr>
          </w:p>
        </w:tc>
        <w:tc>
          <w:tcPr>
            <w:tcW w:w="5" w:type="pct"/>
            <w:vAlign w:val="center"/>
            <w:hideMark/>
          </w:tcPr>
          <w:p w14:paraId="284E4E75" w14:textId="77777777" w:rsidR="00000000" w:rsidRDefault="00405D16">
            <w:pPr>
              <w:spacing w:after="100"/>
              <w:rPr>
                <w:rFonts w:eastAsia="Times New Roman"/>
                <w:sz w:val="20"/>
                <w:szCs w:val="20"/>
              </w:rPr>
            </w:pPr>
          </w:p>
        </w:tc>
        <w:tc>
          <w:tcPr>
            <w:tcW w:w="5" w:type="pct"/>
            <w:vAlign w:val="center"/>
            <w:hideMark/>
          </w:tcPr>
          <w:p w14:paraId="5F24B532" w14:textId="77777777" w:rsidR="00000000" w:rsidRDefault="00405D16">
            <w:pPr>
              <w:spacing w:after="100"/>
              <w:rPr>
                <w:rFonts w:eastAsia="Times New Roman"/>
                <w:sz w:val="20"/>
                <w:szCs w:val="20"/>
              </w:rPr>
            </w:pPr>
          </w:p>
        </w:tc>
        <w:tc>
          <w:tcPr>
            <w:tcW w:w="26" w:type="pct"/>
            <w:vAlign w:val="center"/>
            <w:hideMark/>
          </w:tcPr>
          <w:p w14:paraId="1E481F13" w14:textId="77777777" w:rsidR="00000000" w:rsidRDefault="00405D16">
            <w:pPr>
              <w:spacing w:after="100"/>
              <w:rPr>
                <w:rFonts w:eastAsia="Times New Roman"/>
                <w:sz w:val="20"/>
                <w:szCs w:val="20"/>
              </w:rPr>
            </w:pPr>
          </w:p>
        </w:tc>
        <w:tc>
          <w:tcPr>
            <w:tcW w:w="5" w:type="pct"/>
            <w:vAlign w:val="center"/>
            <w:hideMark/>
          </w:tcPr>
          <w:p w14:paraId="4FDCE28F" w14:textId="77777777" w:rsidR="00000000" w:rsidRDefault="00405D16">
            <w:pPr>
              <w:spacing w:after="100"/>
              <w:rPr>
                <w:rFonts w:eastAsia="Times New Roman"/>
                <w:sz w:val="20"/>
                <w:szCs w:val="20"/>
              </w:rPr>
            </w:pPr>
          </w:p>
        </w:tc>
        <w:tc>
          <w:tcPr>
            <w:tcW w:w="50" w:type="pct"/>
            <w:vAlign w:val="center"/>
            <w:hideMark/>
          </w:tcPr>
          <w:p w14:paraId="67EC6CCD" w14:textId="77777777" w:rsidR="00000000" w:rsidRDefault="00405D16">
            <w:pPr>
              <w:spacing w:after="100"/>
              <w:rPr>
                <w:rFonts w:eastAsia="Times New Roman"/>
                <w:sz w:val="20"/>
                <w:szCs w:val="20"/>
              </w:rPr>
            </w:pPr>
          </w:p>
        </w:tc>
        <w:tc>
          <w:tcPr>
            <w:tcW w:w="405" w:type="pct"/>
            <w:vAlign w:val="center"/>
            <w:hideMark/>
          </w:tcPr>
          <w:p w14:paraId="7416E10A" w14:textId="77777777" w:rsidR="00000000" w:rsidRDefault="00405D16">
            <w:pPr>
              <w:spacing w:after="100"/>
              <w:rPr>
                <w:rFonts w:eastAsia="Times New Roman"/>
                <w:sz w:val="20"/>
                <w:szCs w:val="20"/>
              </w:rPr>
            </w:pPr>
          </w:p>
        </w:tc>
        <w:tc>
          <w:tcPr>
            <w:tcW w:w="5" w:type="pct"/>
            <w:vAlign w:val="center"/>
            <w:hideMark/>
          </w:tcPr>
          <w:p w14:paraId="2CC44468" w14:textId="77777777" w:rsidR="00000000" w:rsidRDefault="00405D16">
            <w:pPr>
              <w:spacing w:after="100"/>
              <w:rPr>
                <w:rFonts w:eastAsia="Times New Roman"/>
                <w:sz w:val="20"/>
                <w:szCs w:val="20"/>
              </w:rPr>
            </w:pPr>
          </w:p>
        </w:tc>
        <w:tc>
          <w:tcPr>
            <w:tcW w:w="0" w:type="auto"/>
            <w:vAlign w:val="center"/>
            <w:hideMark/>
          </w:tcPr>
          <w:p w14:paraId="0081025B" w14:textId="77777777" w:rsidR="00000000" w:rsidRDefault="00405D16">
            <w:pPr>
              <w:spacing w:after="100"/>
              <w:rPr>
                <w:rFonts w:eastAsia="Times New Roman"/>
                <w:sz w:val="20"/>
                <w:szCs w:val="20"/>
              </w:rPr>
            </w:pPr>
          </w:p>
        </w:tc>
        <w:tc>
          <w:tcPr>
            <w:tcW w:w="0" w:type="auto"/>
            <w:vAlign w:val="center"/>
            <w:hideMark/>
          </w:tcPr>
          <w:p w14:paraId="704415DA" w14:textId="77777777" w:rsidR="00000000" w:rsidRDefault="00405D16">
            <w:pPr>
              <w:spacing w:after="100"/>
              <w:rPr>
                <w:rFonts w:eastAsia="Times New Roman"/>
                <w:sz w:val="20"/>
                <w:szCs w:val="20"/>
              </w:rPr>
            </w:pPr>
          </w:p>
        </w:tc>
        <w:tc>
          <w:tcPr>
            <w:tcW w:w="5" w:type="pct"/>
            <w:vAlign w:val="center"/>
            <w:hideMark/>
          </w:tcPr>
          <w:p w14:paraId="7F074042" w14:textId="77777777" w:rsidR="00000000" w:rsidRDefault="00405D16">
            <w:pPr>
              <w:spacing w:after="100"/>
              <w:rPr>
                <w:rFonts w:eastAsia="Times New Roman"/>
                <w:sz w:val="20"/>
                <w:szCs w:val="20"/>
              </w:rPr>
            </w:pPr>
          </w:p>
        </w:tc>
        <w:tc>
          <w:tcPr>
            <w:tcW w:w="26" w:type="pct"/>
            <w:vAlign w:val="center"/>
            <w:hideMark/>
          </w:tcPr>
          <w:p w14:paraId="5439174A" w14:textId="77777777" w:rsidR="00000000" w:rsidRDefault="00405D16">
            <w:pPr>
              <w:spacing w:after="100"/>
              <w:rPr>
                <w:rFonts w:eastAsia="Times New Roman"/>
                <w:sz w:val="20"/>
                <w:szCs w:val="20"/>
              </w:rPr>
            </w:pPr>
          </w:p>
        </w:tc>
        <w:tc>
          <w:tcPr>
            <w:tcW w:w="5" w:type="pct"/>
            <w:vAlign w:val="center"/>
            <w:hideMark/>
          </w:tcPr>
          <w:p w14:paraId="2D3F60B4" w14:textId="77777777" w:rsidR="00000000" w:rsidRDefault="00405D16">
            <w:pPr>
              <w:spacing w:after="100"/>
              <w:rPr>
                <w:rFonts w:eastAsia="Times New Roman"/>
                <w:sz w:val="20"/>
                <w:szCs w:val="20"/>
              </w:rPr>
            </w:pPr>
          </w:p>
        </w:tc>
        <w:tc>
          <w:tcPr>
            <w:tcW w:w="50" w:type="pct"/>
            <w:vAlign w:val="center"/>
            <w:hideMark/>
          </w:tcPr>
          <w:p w14:paraId="736DA5AA" w14:textId="77777777" w:rsidR="00000000" w:rsidRDefault="00405D16">
            <w:pPr>
              <w:spacing w:after="100"/>
              <w:rPr>
                <w:rFonts w:eastAsia="Times New Roman"/>
                <w:sz w:val="20"/>
                <w:szCs w:val="20"/>
              </w:rPr>
            </w:pPr>
          </w:p>
        </w:tc>
        <w:tc>
          <w:tcPr>
            <w:tcW w:w="406" w:type="pct"/>
            <w:vAlign w:val="center"/>
            <w:hideMark/>
          </w:tcPr>
          <w:p w14:paraId="50796783" w14:textId="77777777" w:rsidR="00000000" w:rsidRDefault="00405D16">
            <w:pPr>
              <w:spacing w:after="100"/>
              <w:rPr>
                <w:rFonts w:eastAsia="Times New Roman"/>
                <w:sz w:val="20"/>
                <w:szCs w:val="20"/>
              </w:rPr>
            </w:pPr>
          </w:p>
        </w:tc>
        <w:tc>
          <w:tcPr>
            <w:tcW w:w="5" w:type="pct"/>
            <w:vAlign w:val="center"/>
            <w:hideMark/>
          </w:tcPr>
          <w:p w14:paraId="5C84F710" w14:textId="77777777" w:rsidR="00000000" w:rsidRDefault="00405D16">
            <w:pPr>
              <w:spacing w:after="100"/>
              <w:rPr>
                <w:rFonts w:eastAsia="Times New Roman"/>
                <w:sz w:val="20"/>
                <w:szCs w:val="20"/>
              </w:rPr>
            </w:pPr>
          </w:p>
        </w:tc>
        <w:tc>
          <w:tcPr>
            <w:tcW w:w="0" w:type="auto"/>
            <w:gridSpan w:val="3"/>
            <w:vAlign w:val="center"/>
            <w:hideMark/>
          </w:tcPr>
          <w:p w14:paraId="7406FEEB" w14:textId="77777777" w:rsidR="00000000" w:rsidRDefault="00405D16">
            <w:pPr>
              <w:spacing w:after="100"/>
              <w:rPr>
                <w:rFonts w:eastAsia="Times New Roman"/>
                <w:sz w:val="20"/>
                <w:szCs w:val="20"/>
              </w:rPr>
            </w:pPr>
          </w:p>
        </w:tc>
        <w:tc>
          <w:tcPr>
            <w:tcW w:w="0" w:type="auto"/>
            <w:gridSpan w:val="3"/>
            <w:vAlign w:val="center"/>
            <w:hideMark/>
          </w:tcPr>
          <w:p w14:paraId="4B6E82F8" w14:textId="77777777" w:rsidR="00000000" w:rsidRDefault="00405D16">
            <w:pPr>
              <w:spacing w:after="100"/>
              <w:rPr>
                <w:rFonts w:eastAsia="Times New Roman"/>
                <w:sz w:val="20"/>
                <w:szCs w:val="20"/>
              </w:rPr>
            </w:pPr>
          </w:p>
        </w:tc>
      </w:tr>
      <w:tr w:rsidR="00000000" w14:paraId="57FA6F5B" w14:textId="77777777">
        <w:trPr>
          <w:divId w:val="1576624870"/>
        </w:trPr>
        <w:tc>
          <w:tcPr>
            <w:tcW w:w="0" w:type="auto"/>
            <w:gridSpan w:val="3"/>
            <w:tcMar>
              <w:top w:w="30" w:type="dxa"/>
              <w:left w:w="20" w:type="dxa"/>
              <w:bottom w:w="30" w:type="dxa"/>
              <w:right w:w="20" w:type="dxa"/>
            </w:tcMar>
            <w:vAlign w:val="bottom"/>
            <w:hideMark/>
          </w:tcPr>
          <w:p w14:paraId="35C8544B" w14:textId="77777777" w:rsidR="00000000" w:rsidRDefault="00405D16">
            <w:pPr>
              <w:spacing w:after="100"/>
              <w:rPr>
                <w:rFonts w:eastAsia="Times New Roman"/>
              </w:rPr>
            </w:pPr>
            <w:r>
              <w:rPr>
                <w:rFonts w:eastAsia="Times New Roman"/>
                <w:color w:val="000000"/>
                <w:sz w:val="14"/>
                <w:szCs w:val="14"/>
              </w:rPr>
              <w:t> </w:t>
            </w:r>
          </w:p>
        </w:tc>
        <w:tc>
          <w:tcPr>
            <w:tcW w:w="0" w:type="auto"/>
            <w:gridSpan w:val="3"/>
            <w:tcMar>
              <w:top w:w="0" w:type="dxa"/>
              <w:left w:w="20" w:type="dxa"/>
              <w:bottom w:w="0" w:type="dxa"/>
              <w:right w:w="20" w:type="dxa"/>
            </w:tcMar>
            <w:vAlign w:val="center"/>
            <w:hideMark/>
          </w:tcPr>
          <w:p w14:paraId="61567FF6" w14:textId="77777777" w:rsidR="00000000" w:rsidRDefault="00405D16">
            <w:pPr>
              <w:spacing w:after="100"/>
              <w:rPr>
                <w:rFonts w:eastAsia="Times New Roman"/>
              </w:rPr>
            </w:pPr>
          </w:p>
        </w:tc>
        <w:tc>
          <w:tcPr>
            <w:tcW w:w="0" w:type="auto"/>
            <w:gridSpan w:val="15"/>
            <w:tcMar>
              <w:top w:w="30" w:type="dxa"/>
              <w:left w:w="20" w:type="dxa"/>
              <w:bottom w:w="30" w:type="dxa"/>
              <w:right w:w="20" w:type="dxa"/>
            </w:tcMar>
            <w:vAlign w:val="bottom"/>
            <w:hideMark/>
          </w:tcPr>
          <w:p w14:paraId="4E77DB7B" w14:textId="77777777" w:rsidR="00000000" w:rsidRDefault="00405D16">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672BD2BA" w14:textId="77777777" w:rsidR="00000000" w:rsidRDefault="00405D16">
            <w:pPr>
              <w:spacing w:after="100"/>
              <w:jc w:val="center"/>
              <w:rPr>
                <w:rFonts w:eastAsia="Times New Roman"/>
              </w:rPr>
            </w:pPr>
          </w:p>
        </w:tc>
        <w:tc>
          <w:tcPr>
            <w:tcW w:w="0" w:type="auto"/>
            <w:gridSpan w:val="11"/>
            <w:tcMar>
              <w:top w:w="30" w:type="dxa"/>
              <w:left w:w="20" w:type="dxa"/>
              <w:bottom w:w="30" w:type="dxa"/>
              <w:right w:w="20" w:type="dxa"/>
            </w:tcMar>
            <w:vAlign w:val="bottom"/>
            <w:hideMark/>
          </w:tcPr>
          <w:p w14:paraId="174009A2" w14:textId="77777777" w:rsidR="00000000" w:rsidRDefault="00405D16">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0EBE3A16" w14:textId="77777777" w:rsidR="00000000" w:rsidRDefault="00405D16">
            <w:pPr>
              <w:spacing w:after="100"/>
              <w:rPr>
                <w:rFonts w:eastAsia="Times New Roman"/>
                <w:sz w:val="20"/>
                <w:szCs w:val="20"/>
              </w:rPr>
            </w:pPr>
          </w:p>
        </w:tc>
        <w:tc>
          <w:tcPr>
            <w:tcW w:w="0" w:type="auto"/>
            <w:vAlign w:val="center"/>
            <w:hideMark/>
          </w:tcPr>
          <w:p w14:paraId="32C7143E" w14:textId="77777777" w:rsidR="00000000" w:rsidRDefault="00405D16">
            <w:pPr>
              <w:spacing w:after="100"/>
              <w:rPr>
                <w:rFonts w:eastAsia="Times New Roman"/>
                <w:sz w:val="20"/>
                <w:szCs w:val="20"/>
              </w:rPr>
            </w:pPr>
          </w:p>
        </w:tc>
        <w:tc>
          <w:tcPr>
            <w:tcW w:w="0" w:type="auto"/>
            <w:vAlign w:val="center"/>
            <w:hideMark/>
          </w:tcPr>
          <w:p w14:paraId="1A60557C" w14:textId="77777777" w:rsidR="00000000" w:rsidRDefault="00405D16">
            <w:pPr>
              <w:spacing w:after="100"/>
              <w:rPr>
                <w:rFonts w:eastAsia="Times New Roman"/>
                <w:sz w:val="20"/>
                <w:szCs w:val="20"/>
              </w:rPr>
            </w:pPr>
          </w:p>
        </w:tc>
        <w:tc>
          <w:tcPr>
            <w:tcW w:w="0" w:type="auto"/>
            <w:vAlign w:val="center"/>
            <w:hideMark/>
          </w:tcPr>
          <w:p w14:paraId="7CBC2A0B" w14:textId="77777777" w:rsidR="00000000" w:rsidRDefault="00405D16">
            <w:pPr>
              <w:spacing w:after="100"/>
              <w:rPr>
                <w:rFonts w:eastAsia="Times New Roman"/>
                <w:sz w:val="20"/>
                <w:szCs w:val="20"/>
              </w:rPr>
            </w:pPr>
          </w:p>
        </w:tc>
        <w:tc>
          <w:tcPr>
            <w:tcW w:w="0" w:type="auto"/>
            <w:vAlign w:val="center"/>
            <w:hideMark/>
          </w:tcPr>
          <w:p w14:paraId="59A5EA72" w14:textId="77777777" w:rsidR="00000000" w:rsidRDefault="00405D16">
            <w:pPr>
              <w:spacing w:after="100"/>
              <w:rPr>
                <w:rFonts w:eastAsia="Times New Roman"/>
                <w:sz w:val="20"/>
                <w:szCs w:val="20"/>
              </w:rPr>
            </w:pPr>
          </w:p>
        </w:tc>
        <w:tc>
          <w:tcPr>
            <w:tcW w:w="0" w:type="auto"/>
            <w:vAlign w:val="center"/>
            <w:hideMark/>
          </w:tcPr>
          <w:p w14:paraId="4D1FFA65" w14:textId="77777777" w:rsidR="00000000" w:rsidRDefault="00405D16">
            <w:pPr>
              <w:spacing w:after="100"/>
              <w:rPr>
                <w:rFonts w:eastAsia="Times New Roman"/>
                <w:sz w:val="20"/>
                <w:szCs w:val="20"/>
              </w:rPr>
            </w:pPr>
          </w:p>
        </w:tc>
        <w:tc>
          <w:tcPr>
            <w:tcW w:w="0" w:type="auto"/>
            <w:vAlign w:val="center"/>
            <w:hideMark/>
          </w:tcPr>
          <w:p w14:paraId="5ED5CC81" w14:textId="77777777" w:rsidR="00000000" w:rsidRDefault="00405D16">
            <w:pPr>
              <w:spacing w:after="100"/>
              <w:rPr>
                <w:rFonts w:eastAsia="Times New Roman"/>
                <w:sz w:val="20"/>
                <w:szCs w:val="20"/>
              </w:rPr>
            </w:pPr>
          </w:p>
        </w:tc>
        <w:tc>
          <w:tcPr>
            <w:tcW w:w="0" w:type="auto"/>
            <w:vAlign w:val="center"/>
            <w:hideMark/>
          </w:tcPr>
          <w:p w14:paraId="4B136C92" w14:textId="77777777" w:rsidR="00000000" w:rsidRDefault="00405D16">
            <w:pPr>
              <w:spacing w:after="100"/>
              <w:rPr>
                <w:rFonts w:eastAsia="Times New Roman"/>
                <w:sz w:val="20"/>
                <w:szCs w:val="20"/>
              </w:rPr>
            </w:pPr>
          </w:p>
        </w:tc>
        <w:tc>
          <w:tcPr>
            <w:tcW w:w="0" w:type="auto"/>
            <w:vAlign w:val="center"/>
            <w:hideMark/>
          </w:tcPr>
          <w:p w14:paraId="4338F29B" w14:textId="77777777" w:rsidR="00000000" w:rsidRDefault="00405D16">
            <w:pPr>
              <w:spacing w:after="100"/>
              <w:rPr>
                <w:rFonts w:eastAsia="Times New Roman"/>
                <w:sz w:val="20"/>
                <w:szCs w:val="20"/>
              </w:rPr>
            </w:pPr>
          </w:p>
        </w:tc>
        <w:tc>
          <w:tcPr>
            <w:tcW w:w="0" w:type="auto"/>
            <w:vAlign w:val="center"/>
            <w:hideMark/>
          </w:tcPr>
          <w:p w14:paraId="7AC00EC7" w14:textId="77777777" w:rsidR="00000000" w:rsidRDefault="00405D16">
            <w:pPr>
              <w:spacing w:after="100"/>
              <w:rPr>
                <w:rFonts w:eastAsia="Times New Roman"/>
                <w:sz w:val="20"/>
                <w:szCs w:val="20"/>
              </w:rPr>
            </w:pPr>
          </w:p>
        </w:tc>
        <w:tc>
          <w:tcPr>
            <w:tcW w:w="0" w:type="auto"/>
            <w:vAlign w:val="center"/>
            <w:hideMark/>
          </w:tcPr>
          <w:p w14:paraId="3503ECC4" w14:textId="77777777" w:rsidR="00000000" w:rsidRDefault="00405D16">
            <w:pPr>
              <w:spacing w:after="100"/>
              <w:rPr>
                <w:rFonts w:eastAsia="Times New Roman"/>
                <w:sz w:val="20"/>
                <w:szCs w:val="20"/>
              </w:rPr>
            </w:pPr>
          </w:p>
        </w:tc>
        <w:tc>
          <w:tcPr>
            <w:tcW w:w="0" w:type="auto"/>
            <w:vAlign w:val="center"/>
            <w:hideMark/>
          </w:tcPr>
          <w:p w14:paraId="729EFA6F" w14:textId="77777777" w:rsidR="00000000" w:rsidRDefault="00405D16">
            <w:pPr>
              <w:spacing w:after="100"/>
              <w:rPr>
                <w:rFonts w:eastAsia="Times New Roman"/>
                <w:sz w:val="20"/>
                <w:szCs w:val="20"/>
              </w:rPr>
            </w:pPr>
          </w:p>
        </w:tc>
      </w:tr>
      <w:tr w:rsidR="00000000" w14:paraId="4D75E789" w14:textId="77777777">
        <w:trPr>
          <w:divId w:val="1576624870"/>
        </w:trPr>
        <w:tc>
          <w:tcPr>
            <w:tcW w:w="0" w:type="auto"/>
            <w:gridSpan w:val="3"/>
            <w:tcMar>
              <w:top w:w="30" w:type="dxa"/>
              <w:left w:w="20" w:type="dxa"/>
              <w:bottom w:w="30" w:type="dxa"/>
              <w:right w:w="20" w:type="dxa"/>
            </w:tcMar>
            <w:vAlign w:val="bottom"/>
            <w:hideMark/>
          </w:tcPr>
          <w:p w14:paraId="3D8ED9CA"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2C45EB28"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15B3008"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724E55DB"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240A02E"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444DD4A9"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8E429F6" w14:textId="77777777" w:rsidR="00000000" w:rsidRDefault="00405D16">
            <w:pPr>
              <w:spacing w:after="100"/>
              <w:jc w:val="center"/>
              <w:rPr>
                <w:rFonts w:eastAsia="Times New Roman"/>
              </w:rPr>
            </w:pPr>
            <w:r>
              <w:rPr>
                <w:rFonts w:eastAsia="Times New Roman"/>
                <w:b/>
                <w:bCs/>
                <w:color w:val="000000"/>
                <w:sz w:val="16"/>
                <w:szCs w:val="16"/>
              </w:rPr>
              <w:t>Change</w:t>
            </w:r>
          </w:p>
        </w:tc>
        <w:tc>
          <w:tcPr>
            <w:tcW w:w="0" w:type="auto"/>
            <w:gridSpan w:val="3"/>
            <w:tcMar>
              <w:top w:w="0" w:type="dxa"/>
              <w:left w:w="20" w:type="dxa"/>
              <w:bottom w:w="0" w:type="dxa"/>
              <w:right w:w="20" w:type="dxa"/>
            </w:tcMar>
            <w:vAlign w:val="center"/>
            <w:hideMark/>
          </w:tcPr>
          <w:p w14:paraId="642AC903"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86E61AA"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1DA58DFA"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34473C7"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vAlign w:val="center"/>
            <w:hideMark/>
          </w:tcPr>
          <w:p w14:paraId="241A8FD5" w14:textId="77777777" w:rsidR="00000000" w:rsidRDefault="00405D16">
            <w:pPr>
              <w:spacing w:after="100"/>
              <w:jc w:val="center"/>
              <w:rPr>
                <w:rFonts w:eastAsia="Times New Roman"/>
              </w:rPr>
            </w:pPr>
          </w:p>
        </w:tc>
        <w:tc>
          <w:tcPr>
            <w:tcW w:w="0" w:type="auto"/>
            <w:vAlign w:val="center"/>
            <w:hideMark/>
          </w:tcPr>
          <w:p w14:paraId="2A0C9FA5"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155386F"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D62DCB4" w14:textId="77777777" w:rsidR="00000000" w:rsidRDefault="00405D16">
            <w:pPr>
              <w:spacing w:after="100"/>
              <w:jc w:val="center"/>
              <w:rPr>
                <w:rFonts w:eastAsia="Times New Roman"/>
              </w:rPr>
            </w:pPr>
            <w:r>
              <w:rPr>
                <w:rFonts w:eastAsia="Times New Roman"/>
                <w:b/>
                <w:bCs/>
                <w:color w:val="000000"/>
                <w:sz w:val="16"/>
                <w:szCs w:val="16"/>
              </w:rPr>
              <w:t>Change</w:t>
            </w:r>
          </w:p>
        </w:tc>
        <w:tc>
          <w:tcPr>
            <w:tcW w:w="0" w:type="auto"/>
            <w:gridSpan w:val="3"/>
            <w:vAlign w:val="center"/>
            <w:hideMark/>
          </w:tcPr>
          <w:p w14:paraId="54B9D230" w14:textId="77777777" w:rsidR="00000000" w:rsidRDefault="00405D16">
            <w:pPr>
              <w:spacing w:after="100"/>
              <w:jc w:val="center"/>
              <w:rPr>
                <w:rFonts w:eastAsia="Times New Roman"/>
              </w:rPr>
            </w:pPr>
          </w:p>
        </w:tc>
        <w:tc>
          <w:tcPr>
            <w:tcW w:w="0" w:type="auto"/>
            <w:gridSpan w:val="3"/>
            <w:vAlign w:val="center"/>
            <w:hideMark/>
          </w:tcPr>
          <w:p w14:paraId="77C14B62" w14:textId="77777777" w:rsidR="00000000" w:rsidRDefault="00405D16">
            <w:pPr>
              <w:spacing w:after="100"/>
              <w:rPr>
                <w:rFonts w:eastAsia="Times New Roman"/>
                <w:sz w:val="20"/>
                <w:szCs w:val="20"/>
              </w:rPr>
            </w:pPr>
          </w:p>
        </w:tc>
      </w:tr>
      <w:tr w:rsidR="00000000" w14:paraId="0CCC798A" w14:textId="77777777">
        <w:trPr>
          <w:divId w:val="157662487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F405334" w14:textId="77777777" w:rsidR="00000000" w:rsidRDefault="00405D16">
            <w:pPr>
              <w:spacing w:after="100"/>
              <w:rPr>
                <w:rFonts w:eastAsia="Times New Roman"/>
              </w:rPr>
            </w:pPr>
            <w:r>
              <w:rPr>
                <w:rFonts w:eastAsia="Times New Roman"/>
                <w:b/>
                <w:bCs/>
                <w:color w:val="000000"/>
                <w:sz w:val="18"/>
                <w:szCs w:val="18"/>
              </w:rPr>
              <w:t>Selected income statement data:</w:t>
            </w:r>
          </w:p>
        </w:tc>
        <w:tc>
          <w:tcPr>
            <w:tcW w:w="0" w:type="auto"/>
            <w:gridSpan w:val="3"/>
            <w:shd w:val="clear" w:color="auto" w:fill="CCEEFF"/>
            <w:tcMar>
              <w:top w:w="0" w:type="dxa"/>
              <w:left w:w="20" w:type="dxa"/>
              <w:bottom w:w="0" w:type="dxa"/>
              <w:right w:w="20" w:type="dxa"/>
            </w:tcMar>
            <w:vAlign w:val="center"/>
            <w:hideMark/>
          </w:tcPr>
          <w:p w14:paraId="21C4C2F7"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47845B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182C7D"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B6FA68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547132"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387513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43CB2D"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8D6648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DB472B"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45F1F8" w14:textId="77777777" w:rsidR="00000000" w:rsidRDefault="00405D16">
            <w:pPr>
              <w:spacing w:after="100"/>
              <w:rPr>
                <w:rFonts w:eastAsia="Times New Roman"/>
                <w:sz w:val="20"/>
                <w:szCs w:val="20"/>
              </w:rPr>
            </w:pPr>
          </w:p>
        </w:tc>
        <w:tc>
          <w:tcPr>
            <w:tcW w:w="0" w:type="auto"/>
            <w:vAlign w:val="center"/>
            <w:hideMark/>
          </w:tcPr>
          <w:p w14:paraId="3C609D85" w14:textId="77777777" w:rsidR="00000000" w:rsidRDefault="00405D16">
            <w:pPr>
              <w:spacing w:after="100"/>
              <w:rPr>
                <w:rFonts w:eastAsia="Times New Roman"/>
                <w:sz w:val="20"/>
                <w:szCs w:val="20"/>
              </w:rPr>
            </w:pPr>
          </w:p>
        </w:tc>
        <w:tc>
          <w:tcPr>
            <w:tcW w:w="0" w:type="auto"/>
            <w:vAlign w:val="center"/>
            <w:hideMark/>
          </w:tcPr>
          <w:p w14:paraId="6187DCC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2D4929"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85C6A55" w14:textId="77777777" w:rsidR="00000000" w:rsidRDefault="00405D16">
            <w:pPr>
              <w:spacing w:after="100"/>
              <w:rPr>
                <w:rFonts w:eastAsia="Times New Roman"/>
                <w:sz w:val="20"/>
                <w:szCs w:val="20"/>
              </w:rPr>
            </w:pPr>
          </w:p>
        </w:tc>
        <w:tc>
          <w:tcPr>
            <w:tcW w:w="0" w:type="auto"/>
            <w:gridSpan w:val="3"/>
            <w:vAlign w:val="center"/>
            <w:hideMark/>
          </w:tcPr>
          <w:p w14:paraId="1C6820D0" w14:textId="77777777" w:rsidR="00000000" w:rsidRDefault="00405D16">
            <w:pPr>
              <w:spacing w:after="100"/>
              <w:rPr>
                <w:rFonts w:eastAsia="Times New Roman"/>
                <w:sz w:val="20"/>
                <w:szCs w:val="20"/>
              </w:rPr>
            </w:pPr>
          </w:p>
        </w:tc>
        <w:tc>
          <w:tcPr>
            <w:tcW w:w="0" w:type="auto"/>
            <w:gridSpan w:val="3"/>
            <w:vAlign w:val="center"/>
            <w:hideMark/>
          </w:tcPr>
          <w:p w14:paraId="61BF8E8C" w14:textId="77777777" w:rsidR="00000000" w:rsidRDefault="00405D16">
            <w:pPr>
              <w:spacing w:after="100"/>
              <w:rPr>
                <w:rFonts w:eastAsia="Times New Roman"/>
                <w:sz w:val="20"/>
                <w:szCs w:val="20"/>
              </w:rPr>
            </w:pPr>
          </w:p>
        </w:tc>
      </w:tr>
      <w:tr w:rsidR="00000000" w14:paraId="14996C31" w14:textId="77777777">
        <w:trPr>
          <w:divId w:val="1576624870"/>
        </w:trPr>
        <w:tc>
          <w:tcPr>
            <w:tcW w:w="0" w:type="auto"/>
            <w:gridSpan w:val="3"/>
            <w:shd w:val="clear" w:color="auto" w:fill="FFFFFF"/>
            <w:tcMar>
              <w:top w:w="30" w:type="dxa"/>
              <w:left w:w="20" w:type="dxa"/>
              <w:bottom w:w="30" w:type="dxa"/>
              <w:right w:w="20" w:type="dxa"/>
            </w:tcMar>
            <w:vAlign w:val="center"/>
            <w:hideMark/>
          </w:tcPr>
          <w:p w14:paraId="1B5F4D18" w14:textId="77777777" w:rsidR="00000000" w:rsidRDefault="00405D16">
            <w:pPr>
              <w:spacing w:after="100"/>
              <w:rPr>
                <w:rFonts w:eastAsia="Times New Roman"/>
              </w:rPr>
            </w:pPr>
            <w:r>
              <w:rPr>
                <w:rFonts w:eastAsia="Times New Roman"/>
                <w:color w:val="000000"/>
                <w:sz w:val="18"/>
                <w:szCs w:val="18"/>
              </w:rPr>
              <w:t>Net interest loss</w:t>
            </w:r>
          </w:p>
        </w:tc>
        <w:tc>
          <w:tcPr>
            <w:tcW w:w="0" w:type="auto"/>
            <w:gridSpan w:val="3"/>
            <w:shd w:val="clear" w:color="auto" w:fill="FFFFFF"/>
            <w:tcMar>
              <w:top w:w="0" w:type="dxa"/>
              <w:left w:w="20" w:type="dxa"/>
              <w:bottom w:w="0" w:type="dxa"/>
              <w:right w:w="20" w:type="dxa"/>
            </w:tcMar>
            <w:vAlign w:val="center"/>
            <w:hideMark/>
          </w:tcPr>
          <w:p w14:paraId="321D60C5"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2C16313F"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6A6C02E5" w14:textId="77777777" w:rsidR="00000000" w:rsidRDefault="00405D16">
            <w:pPr>
              <w:spacing w:after="100"/>
              <w:jc w:val="right"/>
              <w:rPr>
                <w:rFonts w:eastAsia="Times New Roman"/>
              </w:rPr>
            </w:pPr>
            <w:r>
              <w:rPr>
                <w:rFonts w:eastAsia="Times New Roman"/>
                <w:b/>
                <w:bCs/>
                <w:color w:val="000000"/>
                <w:sz w:val="18"/>
                <w:szCs w:val="18"/>
              </w:rPr>
              <w:t>(201)</w:t>
            </w:r>
          </w:p>
        </w:tc>
        <w:tc>
          <w:tcPr>
            <w:tcW w:w="0" w:type="auto"/>
            <w:shd w:val="clear" w:color="auto" w:fill="FFFFFF"/>
            <w:tcMar>
              <w:top w:w="30" w:type="dxa"/>
              <w:left w:w="0" w:type="dxa"/>
              <w:bottom w:w="30" w:type="dxa"/>
              <w:right w:w="20" w:type="dxa"/>
            </w:tcMar>
            <w:vAlign w:val="center"/>
            <w:hideMark/>
          </w:tcPr>
          <w:p w14:paraId="4CB7F03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86824F"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E41E9DE"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11B5A2F9" w14:textId="77777777" w:rsidR="00000000" w:rsidRDefault="00405D16">
            <w:pPr>
              <w:spacing w:after="100"/>
              <w:jc w:val="right"/>
              <w:rPr>
                <w:rFonts w:eastAsia="Times New Roman"/>
              </w:rPr>
            </w:pPr>
            <w:r>
              <w:rPr>
                <w:rFonts w:eastAsia="Times New Roman"/>
                <w:color w:val="000000"/>
                <w:sz w:val="18"/>
                <w:szCs w:val="18"/>
              </w:rPr>
              <w:t>(158)</w:t>
            </w:r>
          </w:p>
        </w:tc>
        <w:tc>
          <w:tcPr>
            <w:tcW w:w="0" w:type="auto"/>
            <w:shd w:val="clear" w:color="auto" w:fill="FFFFFF"/>
            <w:tcMar>
              <w:top w:w="30" w:type="dxa"/>
              <w:left w:w="0" w:type="dxa"/>
              <w:bottom w:w="30" w:type="dxa"/>
              <w:right w:w="20" w:type="dxa"/>
            </w:tcMar>
            <w:vAlign w:val="center"/>
            <w:hideMark/>
          </w:tcPr>
          <w:p w14:paraId="0039DC3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C1CE78" w14:textId="77777777" w:rsidR="00000000" w:rsidRDefault="00405D16">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14:paraId="141ABD0C" w14:textId="77777777" w:rsidR="00000000" w:rsidRDefault="00405D16">
            <w:pPr>
              <w:spacing w:after="100"/>
              <w:jc w:val="right"/>
              <w:rPr>
                <w:rFonts w:eastAsia="Times New Roman"/>
              </w:rPr>
            </w:pPr>
            <w:r>
              <w:rPr>
                <w:rFonts w:eastAsia="Times New Roman"/>
                <w:color w:val="000000"/>
                <w:sz w:val="18"/>
                <w:szCs w:val="18"/>
              </w:rPr>
              <w:t>27 </w:t>
            </w:r>
          </w:p>
        </w:tc>
        <w:tc>
          <w:tcPr>
            <w:tcW w:w="0" w:type="auto"/>
            <w:tcMar>
              <w:top w:w="30" w:type="dxa"/>
              <w:left w:w="0" w:type="dxa"/>
              <w:bottom w:w="30" w:type="dxa"/>
              <w:right w:w="20" w:type="dxa"/>
            </w:tcMar>
            <w:vAlign w:val="center"/>
            <w:hideMark/>
          </w:tcPr>
          <w:p w14:paraId="60D322FD"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EF23581" w14:textId="77777777" w:rsidR="00000000" w:rsidRDefault="00405D16">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4CFB576D"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6155C7F6" w14:textId="77777777" w:rsidR="00000000" w:rsidRDefault="00405D16">
            <w:pPr>
              <w:spacing w:after="100"/>
              <w:jc w:val="right"/>
              <w:rPr>
                <w:rFonts w:eastAsia="Times New Roman"/>
              </w:rPr>
            </w:pPr>
            <w:r>
              <w:rPr>
                <w:rFonts w:eastAsia="Times New Roman"/>
                <w:b/>
                <w:bCs/>
                <w:color w:val="000000"/>
                <w:sz w:val="18"/>
                <w:szCs w:val="18"/>
              </w:rPr>
              <w:t>(336)</w:t>
            </w:r>
          </w:p>
        </w:tc>
        <w:tc>
          <w:tcPr>
            <w:tcW w:w="0" w:type="auto"/>
            <w:shd w:val="clear" w:color="auto" w:fill="FFFFFF"/>
            <w:tcMar>
              <w:top w:w="30" w:type="dxa"/>
              <w:left w:w="0" w:type="dxa"/>
              <w:bottom w:w="30" w:type="dxa"/>
              <w:right w:w="20" w:type="dxa"/>
            </w:tcMar>
            <w:vAlign w:val="center"/>
            <w:hideMark/>
          </w:tcPr>
          <w:p w14:paraId="32E520A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21886C"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07B5918"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4715E0F5" w14:textId="77777777" w:rsidR="00000000" w:rsidRDefault="00405D16">
            <w:pPr>
              <w:spacing w:after="100"/>
              <w:jc w:val="right"/>
              <w:rPr>
                <w:rFonts w:eastAsia="Times New Roman"/>
              </w:rPr>
            </w:pPr>
            <w:r>
              <w:rPr>
                <w:rFonts w:eastAsia="Times New Roman"/>
                <w:color w:val="000000"/>
                <w:sz w:val="18"/>
                <w:szCs w:val="18"/>
              </w:rPr>
              <w:t>(75)</w:t>
            </w:r>
          </w:p>
        </w:tc>
        <w:tc>
          <w:tcPr>
            <w:tcW w:w="0" w:type="auto"/>
            <w:shd w:val="clear" w:color="auto" w:fill="FFFFFF"/>
            <w:tcMar>
              <w:top w:w="30" w:type="dxa"/>
              <w:left w:w="0" w:type="dxa"/>
              <w:bottom w:w="30" w:type="dxa"/>
              <w:right w:w="20" w:type="dxa"/>
            </w:tcMar>
            <w:vAlign w:val="center"/>
            <w:hideMark/>
          </w:tcPr>
          <w:p w14:paraId="2D63FEEE" w14:textId="77777777" w:rsidR="00000000" w:rsidRDefault="00405D16">
            <w:pPr>
              <w:spacing w:after="100"/>
              <w:jc w:val="right"/>
              <w:rPr>
                <w:rFonts w:eastAsia="Times New Roman"/>
              </w:rPr>
            </w:pPr>
          </w:p>
        </w:tc>
        <w:tc>
          <w:tcPr>
            <w:tcW w:w="0" w:type="auto"/>
            <w:vAlign w:val="center"/>
            <w:hideMark/>
          </w:tcPr>
          <w:p w14:paraId="7037C7D3" w14:textId="77777777" w:rsidR="00000000" w:rsidRDefault="00405D16">
            <w:pPr>
              <w:spacing w:after="100"/>
              <w:jc w:val="right"/>
              <w:rPr>
                <w:rFonts w:eastAsia="Times New Roman"/>
                <w:sz w:val="20"/>
                <w:szCs w:val="20"/>
              </w:rPr>
            </w:pPr>
          </w:p>
        </w:tc>
        <w:tc>
          <w:tcPr>
            <w:tcW w:w="0" w:type="auto"/>
            <w:vAlign w:val="center"/>
            <w:hideMark/>
          </w:tcPr>
          <w:p w14:paraId="26F9E1E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5C9603"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60" w:type="dxa"/>
            </w:tcMar>
            <w:vAlign w:val="center"/>
            <w:hideMark/>
          </w:tcPr>
          <w:p w14:paraId="09F3E049"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6BF01946" w14:textId="77777777" w:rsidR="00000000" w:rsidRDefault="00405D16">
            <w:pPr>
              <w:spacing w:after="100"/>
              <w:jc w:val="right"/>
              <w:rPr>
                <w:rFonts w:eastAsia="Times New Roman"/>
              </w:rPr>
            </w:pPr>
          </w:p>
        </w:tc>
        <w:tc>
          <w:tcPr>
            <w:tcW w:w="0" w:type="auto"/>
            <w:gridSpan w:val="3"/>
            <w:vAlign w:val="center"/>
            <w:hideMark/>
          </w:tcPr>
          <w:p w14:paraId="75067A94" w14:textId="77777777" w:rsidR="00000000" w:rsidRDefault="00405D16">
            <w:pPr>
              <w:spacing w:after="100"/>
              <w:rPr>
                <w:rFonts w:eastAsia="Times New Roman"/>
                <w:sz w:val="20"/>
                <w:szCs w:val="20"/>
              </w:rPr>
            </w:pPr>
          </w:p>
        </w:tc>
      </w:tr>
      <w:tr w:rsidR="00000000" w14:paraId="5F6A33AC" w14:textId="77777777">
        <w:trPr>
          <w:divId w:val="1576624870"/>
        </w:trPr>
        <w:tc>
          <w:tcPr>
            <w:tcW w:w="0" w:type="auto"/>
            <w:gridSpan w:val="3"/>
            <w:shd w:val="clear" w:color="auto" w:fill="CCEEFF"/>
            <w:tcMar>
              <w:top w:w="30" w:type="dxa"/>
              <w:left w:w="20" w:type="dxa"/>
              <w:bottom w:w="30" w:type="dxa"/>
              <w:right w:w="20" w:type="dxa"/>
            </w:tcMar>
            <w:vAlign w:val="center"/>
            <w:hideMark/>
          </w:tcPr>
          <w:p w14:paraId="5CD840FB" w14:textId="77777777" w:rsidR="00000000" w:rsidRDefault="00405D16">
            <w:pPr>
              <w:spacing w:after="100"/>
              <w:rPr>
                <w:rFonts w:eastAsia="Times New Roman"/>
              </w:rPr>
            </w:pPr>
            <w:r>
              <w:rPr>
                <w:rFonts w:eastAsia="Times New Roman"/>
                <w:color w:val="000000"/>
                <w:sz w:val="18"/>
                <w:szCs w:val="18"/>
              </w:rPr>
              <w:t>Non-interest income (loss)</w:t>
            </w:r>
          </w:p>
        </w:tc>
        <w:tc>
          <w:tcPr>
            <w:tcW w:w="0" w:type="auto"/>
            <w:gridSpan w:val="3"/>
            <w:shd w:val="clear" w:color="auto" w:fill="CCEEFF"/>
            <w:tcMar>
              <w:top w:w="0" w:type="dxa"/>
              <w:left w:w="20" w:type="dxa"/>
              <w:bottom w:w="0" w:type="dxa"/>
              <w:right w:w="20" w:type="dxa"/>
            </w:tcMar>
            <w:vAlign w:val="center"/>
            <w:hideMark/>
          </w:tcPr>
          <w:p w14:paraId="6F41CB53"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A222FCE" w14:textId="77777777" w:rsidR="00000000" w:rsidRDefault="00405D16">
            <w:pPr>
              <w:spacing w:after="100"/>
              <w:jc w:val="right"/>
              <w:rPr>
                <w:rFonts w:eastAsia="Times New Roman"/>
              </w:rPr>
            </w:pPr>
            <w:r>
              <w:rPr>
                <w:rFonts w:eastAsia="Times New Roman"/>
                <w:b/>
                <w:bCs/>
                <w:color w:val="000000"/>
                <w:sz w:val="18"/>
                <w:szCs w:val="18"/>
              </w:rPr>
              <w:t>(22)</w:t>
            </w:r>
          </w:p>
        </w:tc>
        <w:tc>
          <w:tcPr>
            <w:tcW w:w="0" w:type="auto"/>
            <w:shd w:val="clear" w:color="auto" w:fill="CCEEFF"/>
            <w:tcMar>
              <w:top w:w="30" w:type="dxa"/>
              <w:left w:w="0" w:type="dxa"/>
              <w:bottom w:w="30" w:type="dxa"/>
              <w:right w:w="20" w:type="dxa"/>
            </w:tcMar>
            <w:vAlign w:val="center"/>
            <w:hideMark/>
          </w:tcPr>
          <w:p w14:paraId="1C90C70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30458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BE88B7C" w14:textId="77777777" w:rsidR="00000000" w:rsidRDefault="00405D16">
            <w:pPr>
              <w:spacing w:after="100"/>
              <w:jc w:val="right"/>
              <w:rPr>
                <w:rFonts w:eastAsia="Times New Roman"/>
              </w:rPr>
            </w:pPr>
            <w:r>
              <w:rPr>
                <w:rFonts w:eastAsia="Times New Roman"/>
                <w:color w:val="000000"/>
                <w:sz w:val="18"/>
                <w:szCs w:val="18"/>
              </w:rPr>
              <w:t>469 </w:t>
            </w:r>
          </w:p>
        </w:tc>
        <w:tc>
          <w:tcPr>
            <w:tcW w:w="0" w:type="auto"/>
            <w:shd w:val="clear" w:color="auto" w:fill="CCEEFF"/>
            <w:tcMar>
              <w:top w:w="30" w:type="dxa"/>
              <w:left w:w="0" w:type="dxa"/>
              <w:bottom w:w="30" w:type="dxa"/>
              <w:right w:w="20" w:type="dxa"/>
            </w:tcMar>
            <w:vAlign w:val="center"/>
            <w:hideMark/>
          </w:tcPr>
          <w:p w14:paraId="333BF17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ABE8EE"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6713C5DB"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C9A42C3"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5003BBC" w14:textId="77777777" w:rsidR="00000000" w:rsidRDefault="00405D16">
            <w:pPr>
              <w:spacing w:after="100"/>
              <w:jc w:val="right"/>
              <w:rPr>
                <w:rFonts w:eastAsia="Times New Roman"/>
              </w:rPr>
            </w:pPr>
            <w:r>
              <w:rPr>
                <w:rFonts w:eastAsia="Times New Roman"/>
                <w:b/>
                <w:bCs/>
                <w:color w:val="000000"/>
                <w:sz w:val="18"/>
                <w:szCs w:val="18"/>
              </w:rPr>
              <w:t>(164)</w:t>
            </w:r>
          </w:p>
        </w:tc>
        <w:tc>
          <w:tcPr>
            <w:tcW w:w="0" w:type="auto"/>
            <w:shd w:val="clear" w:color="auto" w:fill="CCEEFF"/>
            <w:tcMar>
              <w:top w:w="30" w:type="dxa"/>
              <w:left w:w="0" w:type="dxa"/>
              <w:bottom w:w="30" w:type="dxa"/>
              <w:right w:w="20" w:type="dxa"/>
            </w:tcMar>
            <w:vAlign w:val="center"/>
            <w:hideMark/>
          </w:tcPr>
          <w:p w14:paraId="35006FB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CB9AB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9FA943A" w14:textId="77777777" w:rsidR="00000000" w:rsidRDefault="00405D16">
            <w:pPr>
              <w:spacing w:after="100"/>
              <w:jc w:val="right"/>
              <w:rPr>
                <w:rFonts w:eastAsia="Times New Roman"/>
              </w:rPr>
            </w:pPr>
            <w:r>
              <w:rPr>
                <w:rFonts w:eastAsia="Times New Roman"/>
                <w:color w:val="000000"/>
                <w:sz w:val="18"/>
                <w:szCs w:val="18"/>
              </w:rPr>
              <w:t>392 </w:t>
            </w:r>
          </w:p>
        </w:tc>
        <w:tc>
          <w:tcPr>
            <w:tcW w:w="0" w:type="auto"/>
            <w:shd w:val="clear" w:color="auto" w:fill="CCEEFF"/>
            <w:tcMar>
              <w:top w:w="30" w:type="dxa"/>
              <w:left w:w="0" w:type="dxa"/>
              <w:bottom w:w="30" w:type="dxa"/>
              <w:right w:w="20" w:type="dxa"/>
            </w:tcMar>
            <w:vAlign w:val="center"/>
            <w:hideMark/>
          </w:tcPr>
          <w:p w14:paraId="7D154EC2" w14:textId="77777777" w:rsidR="00000000" w:rsidRDefault="00405D16">
            <w:pPr>
              <w:spacing w:after="100"/>
              <w:jc w:val="right"/>
              <w:rPr>
                <w:rFonts w:eastAsia="Times New Roman"/>
              </w:rPr>
            </w:pPr>
          </w:p>
        </w:tc>
        <w:tc>
          <w:tcPr>
            <w:tcW w:w="0" w:type="auto"/>
            <w:vAlign w:val="center"/>
            <w:hideMark/>
          </w:tcPr>
          <w:p w14:paraId="357B5293" w14:textId="77777777" w:rsidR="00000000" w:rsidRDefault="00405D16">
            <w:pPr>
              <w:spacing w:after="100"/>
              <w:jc w:val="right"/>
              <w:rPr>
                <w:rFonts w:eastAsia="Times New Roman"/>
                <w:sz w:val="20"/>
                <w:szCs w:val="20"/>
              </w:rPr>
            </w:pPr>
          </w:p>
        </w:tc>
        <w:tc>
          <w:tcPr>
            <w:tcW w:w="0" w:type="auto"/>
            <w:vAlign w:val="center"/>
            <w:hideMark/>
          </w:tcPr>
          <w:p w14:paraId="571BB30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B02DBE" w14:textId="77777777" w:rsidR="00000000" w:rsidRDefault="00405D16">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6DD7CB2E"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0A9A98E7" w14:textId="77777777" w:rsidR="00000000" w:rsidRDefault="00405D16">
            <w:pPr>
              <w:spacing w:after="100"/>
              <w:jc w:val="right"/>
              <w:rPr>
                <w:rFonts w:eastAsia="Times New Roman"/>
              </w:rPr>
            </w:pPr>
          </w:p>
        </w:tc>
        <w:tc>
          <w:tcPr>
            <w:tcW w:w="0" w:type="auto"/>
            <w:gridSpan w:val="3"/>
            <w:vAlign w:val="center"/>
            <w:hideMark/>
          </w:tcPr>
          <w:p w14:paraId="67E88CB0" w14:textId="77777777" w:rsidR="00000000" w:rsidRDefault="00405D16">
            <w:pPr>
              <w:spacing w:after="100"/>
              <w:rPr>
                <w:rFonts w:eastAsia="Times New Roman"/>
                <w:sz w:val="20"/>
                <w:szCs w:val="20"/>
              </w:rPr>
            </w:pPr>
          </w:p>
        </w:tc>
      </w:tr>
      <w:tr w:rsidR="00000000" w14:paraId="1742251D" w14:textId="77777777">
        <w:trPr>
          <w:divId w:val="1576624870"/>
        </w:trPr>
        <w:tc>
          <w:tcPr>
            <w:tcW w:w="0" w:type="auto"/>
            <w:gridSpan w:val="3"/>
            <w:shd w:val="clear" w:color="auto" w:fill="FFFFFF"/>
            <w:tcMar>
              <w:top w:w="30" w:type="dxa"/>
              <w:left w:w="20" w:type="dxa"/>
              <w:bottom w:w="30" w:type="dxa"/>
              <w:right w:w="20" w:type="dxa"/>
            </w:tcMar>
            <w:vAlign w:val="center"/>
            <w:hideMark/>
          </w:tcPr>
          <w:p w14:paraId="084D315E" w14:textId="77777777" w:rsidR="00000000" w:rsidRDefault="00405D16">
            <w:pPr>
              <w:spacing w:after="100"/>
              <w:divId w:val="1626813678"/>
              <w:rPr>
                <w:rFonts w:eastAsia="Times New Roman"/>
              </w:rPr>
            </w:pPr>
            <w:r>
              <w:rPr>
                <w:rFonts w:eastAsia="Times New Roman"/>
                <w:color w:val="000000"/>
                <w:sz w:val="18"/>
                <w:szCs w:val="18"/>
              </w:rPr>
              <w:t>Total net revenue (loss</w:t>
            </w:r>
            <w:r>
              <w:rPr>
                <w:rFonts w:eastAsia="Times New Roman"/>
                <w:color w:val="000000"/>
                <w:sz w:val="18"/>
                <w:szCs w:val="18"/>
              </w:rPr>
              <w:t>)</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146B9B7F"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F392163" w14:textId="77777777" w:rsidR="00000000" w:rsidRDefault="00405D16">
            <w:pPr>
              <w:spacing w:after="100"/>
              <w:jc w:val="right"/>
              <w:rPr>
                <w:rFonts w:eastAsia="Times New Roman"/>
              </w:rPr>
            </w:pPr>
            <w:r>
              <w:rPr>
                <w:rFonts w:eastAsia="Times New Roman"/>
                <w:b/>
                <w:bCs/>
                <w:color w:val="000000"/>
                <w:sz w:val="18"/>
                <w:szCs w:val="18"/>
              </w:rPr>
              <w:t>(223)</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DC2D36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348A0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8A1160C" w14:textId="77777777" w:rsidR="00000000" w:rsidRDefault="00405D16">
            <w:pPr>
              <w:spacing w:after="100"/>
              <w:jc w:val="right"/>
              <w:rPr>
                <w:rFonts w:eastAsia="Times New Roman"/>
              </w:rPr>
            </w:pPr>
            <w:r>
              <w:rPr>
                <w:rFonts w:eastAsia="Times New Roman"/>
                <w:color w:val="000000"/>
                <w:sz w:val="18"/>
                <w:szCs w:val="18"/>
              </w:rPr>
              <w:t>311 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6D7B7D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B42851" w14:textId="77777777" w:rsidR="00000000" w:rsidRDefault="00405D16">
            <w:pPr>
              <w:spacing w:after="100"/>
              <w:jc w:val="right"/>
              <w:rPr>
                <w:rFonts w:eastAsia="Times New Roman"/>
                <w:sz w:val="20"/>
                <w:szCs w:val="20"/>
              </w:rPr>
            </w:pPr>
          </w:p>
        </w:tc>
        <w:tc>
          <w:tcPr>
            <w:tcW w:w="0" w:type="auto"/>
            <w:gridSpan w:val="3"/>
            <w:tcMar>
              <w:top w:w="30" w:type="dxa"/>
              <w:left w:w="20" w:type="dxa"/>
              <w:bottom w:w="30" w:type="dxa"/>
              <w:right w:w="260" w:type="dxa"/>
            </w:tcMar>
            <w:vAlign w:val="center"/>
            <w:hideMark/>
          </w:tcPr>
          <w:p w14:paraId="467B7F45"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ACE5DB9" w14:textId="77777777" w:rsidR="00000000" w:rsidRDefault="00405D16">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9EE4C03" w14:textId="77777777" w:rsidR="00000000" w:rsidRDefault="00405D16">
            <w:pPr>
              <w:spacing w:after="100"/>
              <w:jc w:val="right"/>
              <w:rPr>
                <w:rFonts w:eastAsia="Times New Roman"/>
              </w:rPr>
            </w:pPr>
            <w:r>
              <w:rPr>
                <w:rFonts w:eastAsia="Times New Roman"/>
                <w:b/>
                <w:bCs/>
                <w:color w:val="000000"/>
                <w:sz w:val="18"/>
                <w:szCs w:val="18"/>
              </w:rPr>
              <w:t>(500)</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5E6E5B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0729B1"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BD75C72" w14:textId="77777777" w:rsidR="00000000" w:rsidRDefault="00405D16">
            <w:pPr>
              <w:spacing w:after="100"/>
              <w:jc w:val="right"/>
              <w:rPr>
                <w:rFonts w:eastAsia="Times New Roman"/>
              </w:rPr>
            </w:pPr>
            <w:r>
              <w:rPr>
                <w:rFonts w:eastAsia="Times New Roman"/>
                <w:color w:val="000000"/>
                <w:sz w:val="18"/>
                <w:szCs w:val="18"/>
              </w:rPr>
              <w:t>317 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0023FAE" w14:textId="77777777" w:rsidR="00000000" w:rsidRDefault="00405D16">
            <w:pPr>
              <w:spacing w:after="100"/>
              <w:jc w:val="right"/>
              <w:rPr>
                <w:rFonts w:eastAsia="Times New Roman"/>
              </w:rPr>
            </w:pPr>
          </w:p>
        </w:tc>
        <w:tc>
          <w:tcPr>
            <w:tcW w:w="0" w:type="auto"/>
            <w:vAlign w:val="center"/>
            <w:hideMark/>
          </w:tcPr>
          <w:p w14:paraId="5151CDE0" w14:textId="77777777" w:rsidR="00000000" w:rsidRDefault="00405D16">
            <w:pPr>
              <w:spacing w:after="100"/>
              <w:jc w:val="right"/>
              <w:rPr>
                <w:rFonts w:eastAsia="Times New Roman"/>
                <w:sz w:val="20"/>
                <w:szCs w:val="20"/>
              </w:rPr>
            </w:pPr>
          </w:p>
        </w:tc>
        <w:tc>
          <w:tcPr>
            <w:tcW w:w="0" w:type="auto"/>
            <w:vAlign w:val="center"/>
            <w:hideMark/>
          </w:tcPr>
          <w:p w14:paraId="4A53F82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638141"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60" w:type="dxa"/>
            </w:tcMar>
            <w:vAlign w:val="center"/>
            <w:hideMark/>
          </w:tcPr>
          <w:p w14:paraId="0E625DFA"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6EBBFE9C" w14:textId="77777777" w:rsidR="00000000" w:rsidRDefault="00405D16">
            <w:pPr>
              <w:spacing w:after="100"/>
              <w:jc w:val="right"/>
              <w:rPr>
                <w:rFonts w:eastAsia="Times New Roman"/>
              </w:rPr>
            </w:pPr>
          </w:p>
        </w:tc>
        <w:tc>
          <w:tcPr>
            <w:tcW w:w="0" w:type="auto"/>
            <w:gridSpan w:val="3"/>
            <w:vAlign w:val="center"/>
            <w:hideMark/>
          </w:tcPr>
          <w:p w14:paraId="3D2388C1" w14:textId="77777777" w:rsidR="00000000" w:rsidRDefault="00405D16">
            <w:pPr>
              <w:spacing w:after="100"/>
              <w:rPr>
                <w:rFonts w:eastAsia="Times New Roman"/>
                <w:sz w:val="20"/>
                <w:szCs w:val="20"/>
              </w:rPr>
            </w:pPr>
          </w:p>
        </w:tc>
      </w:tr>
      <w:tr w:rsidR="00000000" w14:paraId="54C56FF3" w14:textId="77777777">
        <w:trPr>
          <w:divId w:val="1576624870"/>
        </w:trPr>
        <w:tc>
          <w:tcPr>
            <w:tcW w:w="0" w:type="auto"/>
            <w:gridSpan w:val="3"/>
            <w:shd w:val="clear" w:color="auto" w:fill="CCEEFF"/>
            <w:tcMar>
              <w:top w:w="30" w:type="dxa"/>
              <w:left w:w="20" w:type="dxa"/>
              <w:bottom w:w="30" w:type="dxa"/>
              <w:right w:w="20" w:type="dxa"/>
            </w:tcMar>
            <w:vAlign w:val="center"/>
            <w:hideMark/>
          </w:tcPr>
          <w:p w14:paraId="5F968A92" w14:textId="77777777" w:rsidR="00000000" w:rsidRDefault="00405D16">
            <w:pPr>
              <w:spacing w:after="100"/>
              <w:rPr>
                <w:rFonts w:eastAsia="Times New Roman"/>
              </w:rPr>
            </w:pPr>
            <w:r>
              <w:rPr>
                <w:rFonts w:eastAsia="Times New Roman"/>
                <w:color w:val="000000"/>
                <w:sz w:val="18"/>
                <w:szCs w:val="18"/>
              </w:rPr>
              <w:t>Provision (benefit) for credit losses</w:t>
            </w:r>
          </w:p>
        </w:tc>
        <w:tc>
          <w:tcPr>
            <w:tcW w:w="0" w:type="auto"/>
            <w:gridSpan w:val="3"/>
            <w:shd w:val="clear" w:color="auto" w:fill="CCEEFF"/>
            <w:tcMar>
              <w:top w:w="0" w:type="dxa"/>
              <w:left w:w="20" w:type="dxa"/>
              <w:bottom w:w="0" w:type="dxa"/>
              <w:right w:w="20" w:type="dxa"/>
            </w:tcMar>
            <w:vAlign w:val="center"/>
            <w:hideMark/>
          </w:tcPr>
          <w:p w14:paraId="2D4EF65B"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94DC970" w14:textId="77777777" w:rsidR="00000000" w:rsidRDefault="00405D16">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835B95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14D8E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AD332D9" w14:textId="77777777" w:rsidR="00000000" w:rsidRDefault="00405D16">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center"/>
            <w:hideMark/>
          </w:tcPr>
          <w:p w14:paraId="2352897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719EBC"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11E364B9"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B9BB930"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01C582F" w14:textId="77777777" w:rsidR="00000000" w:rsidRDefault="00405D16">
            <w:pPr>
              <w:spacing w:after="100"/>
              <w:jc w:val="right"/>
              <w:rPr>
                <w:rFonts w:eastAsia="Times New Roman"/>
              </w:rPr>
            </w:pPr>
            <w:r>
              <w:rPr>
                <w:rFonts w:eastAsia="Times New Roman"/>
                <w:b/>
                <w:bCs/>
                <w:color w:val="000000"/>
                <w:sz w:val="18"/>
                <w:szCs w:val="18"/>
              </w:rPr>
              <w:t>(2)</w:t>
            </w:r>
          </w:p>
        </w:tc>
        <w:tc>
          <w:tcPr>
            <w:tcW w:w="0" w:type="auto"/>
            <w:shd w:val="clear" w:color="auto" w:fill="CCEEFF"/>
            <w:tcMar>
              <w:top w:w="30" w:type="dxa"/>
              <w:left w:w="0" w:type="dxa"/>
              <w:bottom w:w="30" w:type="dxa"/>
              <w:right w:w="20" w:type="dxa"/>
            </w:tcMar>
            <w:vAlign w:val="center"/>
            <w:hideMark/>
          </w:tcPr>
          <w:p w14:paraId="5A6FAC3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2E62B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38EF40E" w14:textId="77777777" w:rsidR="00000000" w:rsidRDefault="00405D16">
            <w:pPr>
              <w:spacing w:after="100"/>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center"/>
            <w:hideMark/>
          </w:tcPr>
          <w:p w14:paraId="2E359F8B" w14:textId="77777777" w:rsidR="00000000" w:rsidRDefault="00405D16">
            <w:pPr>
              <w:spacing w:after="100"/>
              <w:jc w:val="right"/>
              <w:rPr>
                <w:rFonts w:eastAsia="Times New Roman"/>
              </w:rPr>
            </w:pPr>
          </w:p>
        </w:tc>
        <w:tc>
          <w:tcPr>
            <w:tcW w:w="0" w:type="auto"/>
            <w:vAlign w:val="center"/>
            <w:hideMark/>
          </w:tcPr>
          <w:p w14:paraId="5A3664E5" w14:textId="77777777" w:rsidR="00000000" w:rsidRDefault="00405D16">
            <w:pPr>
              <w:spacing w:after="100"/>
              <w:jc w:val="right"/>
              <w:rPr>
                <w:rFonts w:eastAsia="Times New Roman"/>
                <w:sz w:val="20"/>
                <w:szCs w:val="20"/>
              </w:rPr>
            </w:pPr>
          </w:p>
        </w:tc>
        <w:tc>
          <w:tcPr>
            <w:tcW w:w="0" w:type="auto"/>
            <w:vAlign w:val="center"/>
            <w:hideMark/>
          </w:tcPr>
          <w:p w14:paraId="73C9976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C15D8D" w14:textId="77777777" w:rsidR="00000000" w:rsidRDefault="00405D16">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702EA0B1"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47D7A887" w14:textId="77777777" w:rsidR="00000000" w:rsidRDefault="00405D16">
            <w:pPr>
              <w:spacing w:after="100"/>
              <w:jc w:val="right"/>
              <w:rPr>
                <w:rFonts w:eastAsia="Times New Roman"/>
              </w:rPr>
            </w:pPr>
          </w:p>
        </w:tc>
        <w:tc>
          <w:tcPr>
            <w:tcW w:w="0" w:type="auto"/>
            <w:gridSpan w:val="3"/>
            <w:vAlign w:val="center"/>
            <w:hideMark/>
          </w:tcPr>
          <w:p w14:paraId="37691132" w14:textId="77777777" w:rsidR="00000000" w:rsidRDefault="00405D16">
            <w:pPr>
              <w:spacing w:after="100"/>
              <w:rPr>
                <w:rFonts w:eastAsia="Times New Roman"/>
                <w:sz w:val="20"/>
                <w:szCs w:val="20"/>
              </w:rPr>
            </w:pPr>
          </w:p>
        </w:tc>
      </w:tr>
      <w:tr w:rsidR="00000000" w14:paraId="4EDABB51" w14:textId="77777777">
        <w:trPr>
          <w:divId w:val="1576624870"/>
        </w:trPr>
        <w:tc>
          <w:tcPr>
            <w:tcW w:w="0" w:type="auto"/>
            <w:gridSpan w:val="3"/>
            <w:shd w:val="clear" w:color="auto" w:fill="FFFFFF"/>
            <w:tcMar>
              <w:top w:w="30" w:type="dxa"/>
              <w:left w:w="20" w:type="dxa"/>
              <w:bottom w:w="30" w:type="dxa"/>
              <w:right w:w="20" w:type="dxa"/>
            </w:tcMar>
            <w:vAlign w:val="center"/>
            <w:hideMark/>
          </w:tcPr>
          <w:p w14:paraId="35648D60" w14:textId="77777777" w:rsidR="00000000" w:rsidRDefault="00405D16">
            <w:pPr>
              <w:spacing w:after="100"/>
              <w:rPr>
                <w:rFonts w:eastAsia="Times New Roman"/>
              </w:rPr>
            </w:pPr>
            <w:r>
              <w:rPr>
                <w:rFonts w:eastAsia="Times New Roman"/>
                <w:color w:val="000000"/>
                <w:sz w:val="18"/>
                <w:szCs w:val="18"/>
              </w:rPr>
              <w:t>Non-interest expense</w:t>
            </w:r>
          </w:p>
        </w:tc>
        <w:tc>
          <w:tcPr>
            <w:tcW w:w="0" w:type="auto"/>
            <w:gridSpan w:val="3"/>
            <w:shd w:val="clear" w:color="auto" w:fill="FFFFFF"/>
            <w:tcMar>
              <w:top w:w="0" w:type="dxa"/>
              <w:left w:w="20" w:type="dxa"/>
              <w:bottom w:w="0" w:type="dxa"/>
              <w:right w:w="20" w:type="dxa"/>
            </w:tcMar>
            <w:vAlign w:val="center"/>
            <w:hideMark/>
          </w:tcPr>
          <w:p w14:paraId="6D907C61"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B0093A4" w14:textId="77777777" w:rsidR="00000000" w:rsidRDefault="00405D16">
            <w:pPr>
              <w:spacing w:after="100"/>
              <w:jc w:val="right"/>
              <w:rPr>
                <w:rFonts w:eastAsia="Times New Roman"/>
              </w:rPr>
            </w:pPr>
            <w:r>
              <w:rPr>
                <w:rFonts w:eastAsia="Times New Roman"/>
                <w:b/>
                <w:bCs/>
                <w:color w:val="000000"/>
                <w:sz w:val="18"/>
                <w:szCs w:val="18"/>
              </w:rPr>
              <w:t>117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02CE4E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56421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93253D5" w14:textId="77777777" w:rsidR="00000000" w:rsidRDefault="00405D16">
            <w:pPr>
              <w:spacing w:after="100"/>
              <w:jc w:val="right"/>
              <w:rPr>
                <w:rFonts w:eastAsia="Times New Roman"/>
              </w:rPr>
            </w:pPr>
            <w:r>
              <w:rPr>
                <w:rFonts w:eastAsia="Times New Roman"/>
                <w:color w:val="000000"/>
                <w:sz w:val="18"/>
                <w:szCs w:val="18"/>
              </w:rPr>
              <w:t>110 </w:t>
            </w:r>
          </w:p>
        </w:tc>
        <w:tc>
          <w:tcPr>
            <w:tcW w:w="0" w:type="auto"/>
            <w:shd w:val="clear" w:color="auto" w:fill="FFFFFF"/>
            <w:tcMar>
              <w:top w:w="30" w:type="dxa"/>
              <w:left w:w="0" w:type="dxa"/>
              <w:bottom w:w="30" w:type="dxa"/>
              <w:right w:w="20" w:type="dxa"/>
            </w:tcMar>
            <w:vAlign w:val="center"/>
            <w:hideMark/>
          </w:tcPr>
          <w:p w14:paraId="0AC6E64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7DDC3C" w14:textId="77777777" w:rsidR="00000000" w:rsidRDefault="00405D16">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14:paraId="7676AF7A" w14:textId="77777777" w:rsidR="00000000" w:rsidRDefault="00405D16">
            <w:pPr>
              <w:spacing w:after="100"/>
              <w:jc w:val="right"/>
              <w:rPr>
                <w:rFonts w:eastAsia="Times New Roman"/>
              </w:rPr>
            </w:pPr>
            <w:r>
              <w:rPr>
                <w:rFonts w:eastAsia="Times New Roman"/>
                <w:color w:val="000000"/>
                <w:sz w:val="18"/>
                <w:szCs w:val="18"/>
              </w:rPr>
              <w:t>6 </w:t>
            </w:r>
          </w:p>
        </w:tc>
        <w:tc>
          <w:tcPr>
            <w:tcW w:w="0" w:type="auto"/>
            <w:tcMar>
              <w:top w:w="30" w:type="dxa"/>
              <w:left w:w="0" w:type="dxa"/>
              <w:bottom w:w="30" w:type="dxa"/>
              <w:right w:w="20" w:type="dxa"/>
            </w:tcMar>
            <w:vAlign w:val="center"/>
            <w:hideMark/>
          </w:tcPr>
          <w:p w14:paraId="4236D8A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233A5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B81FF1C" w14:textId="77777777" w:rsidR="00000000" w:rsidRDefault="00405D16">
            <w:pPr>
              <w:spacing w:after="100"/>
              <w:jc w:val="right"/>
              <w:rPr>
                <w:rFonts w:eastAsia="Times New Roman"/>
              </w:rPr>
            </w:pPr>
            <w:r>
              <w:rPr>
                <w:rFonts w:eastAsia="Times New Roman"/>
                <w:b/>
                <w:bCs/>
                <w:color w:val="000000"/>
                <w:sz w:val="18"/>
                <w:szCs w:val="18"/>
              </w:rPr>
              <w:t>349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524B76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9CC94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5E280FB" w14:textId="77777777" w:rsidR="00000000" w:rsidRDefault="00405D16">
            <w:pPr>
              <w:spacing w:after="100"/>
              <w:jc w:val="right"/>
              <w:rPr>
                <w:rFonts w:eastAsia="Times New Roman"/>
              </w:rPr>
            </w:pPr>
            <w:r>
              <w:rPr>
                <w:rFonts w:eastAsia="Times New Roman"/>
                <w:color w:val="000000"/>
                <w:sz w:val="18"/>
                <w:szCs w:val="18"/>
              </w:rPr>
              <w:t>568 </w:t>
            </w:r>
          </w:p>
        </w:tc>
        <w:tc>
          <w:tcPr>
            <w:tcW w:w="0" w:type="auto"/>
            <w:shd w:val="clear" w:color="auto" w:fill="FFFFFF"/>
            <w:tcMar>
              <w:top w:w="30" w:type="dxa"/>
              <w:left w:w="0" w:type="dxa"/>
              <w:bottom w:w="30" w:type="dxa"/>
              <w:right w:w="20" w:type="dxa"/>
            </w:tcMar>
            <w:vAlign w:val="center"/>
            <w:hideMark/>
          </w:tcPr>
          <w:p w14:paraId="0D7B155F" w14:textId="77777777" w:rsidR="00000000" w:rsidRDefault="00405D16">
            <w:pPr>
              <w:spacing w:after="100"/>
              <w:jc w:val="right"/>
              <w:rPr>
                <w:rFonts w:eastAsia="Times New Roman"/>
              </w:rPr>
            </w:pPr>
          </w:p>
        </w:tc>
        <w:tc>
          <w:tcPr>
            <w:tcW w:w="0" w:type="auto"/>
            <w:vAlign w:val="center"/>
            <w:hideMark/>
          </w:tcPr>
          <w:p w14:paraId="45EF9E79" w14:textId="77777777" w:rsidR="00000000" w:rsidRDefault="00405D16">
            <w:pPr>
              <w:spacing w:after="100"/>
              <w:jc w:val="right"/>
              <w:rPr>
                <w:rFonts w:eastAsia="Times New Roman"/>
                <w:sz w:val="20"/>
                <w:szCs w:val="20"/>
              </w:rPr>
            </w:pPr>
          </w:p>
        </w:tc>
        <w:tc>
          <w:tcPr>
            <w:tcW w:w="0" w:type="auto"/>
            <w:vAlign w:val="center"/>
            <w:hideMark/>
          </w:tcPr>
          <w:p w14:paraId="149F744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3DA0D6"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B501D0B" w14:textId="77777777" w:rsidR="00000000" w:rsidRDefault="00405D16">
            <w:pPr>
              <w:spacing w:after="100"/>
              <w:jc w:val="right"/>
              <w:rPr>
                <w:rFonts w:eastAsia="Times New Roman"/>
              </w:rPr>
            </w:pPr>
            <w:r>
              <w:rPr>
                <w:rFonts w:eastAsia="Times New Roman"/>
                <w:color w:val="000000"/>
                <w:sz w:val="18"/>
                <w:szCs w:val="18"/>
              </w:rPr>
              <w:t>(39)</w:t>
            </w:r>
          </w:p>
        </w:tc>
        <w:tc>
          <w:tcPr>
            <w:tcW w:w="0" w:type="auto"/>
            <w:shd w:val="clear" w:color="auto" w:fill="FFFFFF"/>
            <w:tcMar>
              <w:top w:w="30" w:type="dxa"/>
              <w:left w:w="0" w:type="dxa"/>
              <w:bottom w:w="30" w:type="dxa"/>
              <w:right w:w="20" w:type="dxa"/>
            </w:tcMar>
            <w:vAlign w:val="center"/>
            <w:hideMark/>
          </w:tcPr>
          <w:p w14:paraId="1B76E6AC"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3B7C0663" w14:textId="77777777" w:rsidR="00000000" w:rsidRDefault="00405D16">
            <w:pPr>
              <w:spacing w:after="100"/>
              <w:jc w:val="right"/>
              <w:rPr>
                <w:rFonts w:eastAsia="Times New Roman"/>
              </w:rPr>
            </w:pPr>
          </w:p>
        </w:tc>
        <w:tc>
          <w:tcPr>
            <w:tcW w:w="0" w:type="auto"/>
            <w:gridSpan w:val="3"/>
            <w:vAlign w:val="center"/>
            <w:hideMark/>
          </w:tcPr>
          <w:p w14:paraId="200DDCC2" w14:textId="77777777" w:rsidR="00000000" w:rsidRDefault="00405D16">
            <w:pPr>
              <w:spacing w:after="100"/>
              <w:rPr>
                <w:rFonts w:eastAsia="Times New Roman"/>
                <w:sz w:val="20"/>
                <w:szCs w:val="20"/>
              </w:rPr>
            </w:pPr>
          </w:p>
        </w:tc>
      </w:tr>
      <w:tr w:rsidR="00000000" w14:paraId="44340D39" w14:textId="77777777">
        <w:trPr>
          <w:divId w:val="1576624870"/>
        </w:trPr>
        <w:tc>
          <w:tcPr>
            <w:tcW w:w="0" w:type="auto"/>
            <w:gridSpan w:val="3"/>
            <w:shd w:val="clear" w:color="auto" w:fill="CCEEFF"/>
            <w:tcMar>
              <w:top w:w="30" w:type="dxa"/>
              <w:left w:w="20" w:type="dxa"/>
              <w:bottom w:w="30" w:type="dxa"/>
              <w:right w:w="20" w:type="dxa"/>
            </w:tcMar>
            <w:vAlign w:val="center"/>
            <w:hideMark/>
          </w:tcPr>
          <w:p w14:paraId="3850FF26" w14:textId="77777777" w:rsidR="00000000" w:rsidRDefault="00405D16">
            <w:pPr>
              <w:spacing w:after="100"/>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CCEEFF"/>
            <w:tcMar>
              <w:top w:w="0" w:type="dxa"/>
              <w:left w:w="20" w:type="dxa"/>
              <w:bottom w:w="0" w:type="dxa"/>
              <w:right w:w="20" w:type="dxa"/>
            </w:tcMar>
            <w:vAlign w:val="center"/>
            <w:hideMark/>
          </w:tcPr>
          <w:p w14:paraId="16591DCA"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3D87EB5" w14:textId="77777777" w:rsidR="00000000" w:rsidRDefault="00405D16">
            <w:pPr>
              <w:spacing w:after="100"/>
              <w:jc w:val="right"/>
              <w:rPr>
                <w:rFonts w:eastAsia="Times New Roman"/>
              </w:rPr>
            </w:pPr>
            <w:r>
              <w:rPr>
                <w:rFonts w:eastAsia="Times New Roman"/>
                <w:b/>
                <w:bCs/>
                <w:color w:val="000000"/>
                <w:sz w:val="18"/>
                <w:szCs w:val="18"/>
              </w:rPr>
              <w:t>(340)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81EC0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488F3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CAA7C62" w14:textId="77777777" w:rsidR="00000000" w:rsidRDefault="00405D16">
            <w:pPr>
              <w:spacing w:after="100"/>
              <w:jc w:val="right"/>
              <w:rPr>
                <w:rFonts w:eastAsia="Times New Roman"/>
              </w:rPr>
            </w:pPr>
            <w:r>
              <w:rPr>
                <w:rFonts w:eastAsia="Times New Roman"/>
                <w:color w:val="000000"/>
                <w:sz w:val="18"/>
                <w:szCs w:val="18"/>
              </w:rPr>
              <w:t>203 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7281D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EAC39B"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7B5EF03D"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43359B0" w14:textId="77777777" w:rsidR="00000000" w:rsidRDefault="00405D16">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1045C6D" w14:textId="77777777" w:rsidR="00000000" w:rsidRDefault="00405D16">
            <w:pPr>
              <w:spacing w:after="100"/>
              <w:jc w:val="right"/>
              <w:rPr>
                <w:rFonts w:eastAsia="Times New Roman"/>
              </w:rPr>
            </w:pPr>
            <w:r>
              <w:rPr>
                <w:rFonts w:eastAsia="Times New Roman"/>
                <w:b/>
                <w:bCs/>
                <w:color w:val="000000"/>
                <w:sz w:val="18"/>
                <w:szCs w:val="18"/>
              </w:rPr>
              <w:t>(847)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5A90D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749B98"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481F53B" w14:textId="77777777" w:rsidR="00000000" w:rsidRDefault="00405D16">
            <w:pPr>
              <w:spacing w:after="100"/>
              <w:jc w:val="right"/>
              <w:rPr>
                <w:rFonts w:eastAsia="Times New Roman"/>
              </w:rPr>
            </w:pPr>
            <w:r>
              <w:rPr>
                <w:rFonts w:eastAsia="Times New Roman"/>
                <w:color w:val="000000"/>
                <w:sz w:val="18"/>
                <w:szCs w:val="18"/>
              </w:rPr>
              <w:t>(253)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A99834" w14:textId="77777777" w:rsidR="00000000" w:rsidRDefault="00405D16">
            <w:pPr>
              <w:spacing w:after="100"/>
              <w:jc w:val="right"/>
              <w:rPr>
                <w:rFonts w:eastAsia="Times New Roman"/>
              </w:rPr>
            </w:pPr>
          </w:p>
        </w:tc>
        <w:tc>
          <w:tcPr>
            <w:tcW w:w="0" w:type="auto"/>
            <w:vAlign w:val="center"/>
            <w:hideMark/>
          </w:tcPr>
          <w:p w14:paraId="6D40A61B" w14:textId="77777777" w:rsidR="00000000" w:rsidRDefault="00405D16">
            <w:pPr>
              <w:spacing w:after="100"/>
              <w:jc w:val="right"/>
              <w:rPr>
                <w:rFonts w:eastAsia="Times New Roman"/>
                <w:sz w:val="20"/>
                <w:szCs w:val="20"/>
              </w:rPr>
            </w:pPr>
          </w:p>
        </w:tc>
        <w:tc>
          <w:tcPr>
            <w:tcW w:w="0" w:type="auto"/>
            <w:vAlign w:val="center"/>
            <w:hideMark/>
          </w:tcPr>
          <w:p w14:paraId="643141E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B9607B" w14:textId="77777777" w:rsidR="00000000" w:rsidRDefault="00405D16">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72B71F4E"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7638DE41" w14:textId="77777777" w:rsidR="00000000" w:rsidRDefault="00405D16">
            <w:pPr>
              <w:spacing w:after="100"/>
              <w:jc w:val="right"/>
              <w:rPr>
                <w:rFonts w:eastAsia="Times New Roman"/>
              </w:rPr>
            </w:pPr>
          </w:p>
        </w:tc>
        <w:tc>
          <w:tcPr>
            <w:tcW w:w="0" w:type="auto"/>
            <w:gridSpan w:val="3"/>
            <w:vAlign w:val="center"/>
            <w:hideMark/>
          </w:tcPr>
          <w:p w14:paraId="7EB36B9B" w14:textId="77777777" w:rsidR="00000000" w:rsidRDefault="00405D16">
            <w:pPr>
              <w:spacing w:after="100"/>
              <w:rPr>
                <w:rFonts w:eastAsia="Times New Roman"/>
                <w:sz w:val="20"/>
                <w:szCs w:val="20"/>
              </w:rPr>
            </w:pPr>
          </w:p>
        </w:tc>
      </w:tr>
      <w:tr w:rsidR="00000000" w14:paraId="5FC4FB8E" w14:textId="77777777">
        <w:trPr>
          <w:divId w:val="1576624870"/>
        </w:trPr>
        <w:tc>
          <w:tcPr>
            <w:tcW w:w="0" w:type="auto"/>
            <w:gridSpan w:val="3"/>
            <w:shd w:val="clear" w:color="auto" w:fill="FFFFFF"/>
            <w:tcMar>
              <w:top w:w="30" w:type="dxa"/>
              <w:left w:w="20" w:type="dxa"/>
              <w:bottom w:w="30" w:type="dxa"/>
              <w:right w:w="20" w:type="dxa"/>
            </w:tcMar>
            <w:vAlign w:val="center"/>
            <w:hideMark/>
          </w:tcPr>
          <w:p w14:paraId="1BEC1D8C" w14:textId="77777777" w:rsidR="00000000" w:rsidRDefault="00405D16">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FFFFFF"/>
            <w:tcMar>
              <w:top w:w="0" w:type="dxa"/>
              <w:left w:w="20" w:type="dxa"/>
              <w:bottom w:w="0" w:type="dxa"/>
              <w:right w:w="20" w:type="dxa"/>
            </w:tcMar>
            <w:vAlign w:val="center"/>
            <w:hideMark/>
          </w:tcPr>
          <w:p w14:paraId="4C365588"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B7C1BCB" w14:textId="77777777" w:rsidR="00000000" w:rsidRDefault="00405D16">
            <w:pPr>
              <w:spacing w:after="100"/>
              <w:jc w:val="right"/>
              <w:rPr>
                <w:rFonts w:eastAsia="Times New Roman"/>
              </w:rPr>
            </w:pPr>
            <w:r>
              <w:rPr>
                <w:rFonts w:eastAsia="Times New Roman"/>
                <w:b/>
                <w:bCs/>
                <w:color w:val="000000"/>
                <w:sz w:val="18"/>
                <w:szCs w:val="18"/>
              </w:rPr>
              <w:t>(140)</w:t>
            </w:r>
          </w:p>
        </w:tc>
        <w:tc>
          <w:tcPr>
            <w:tcW w:w="0" w:type="auto"/>
            <w:shd w:val="clear" w:color="auto" w:fill="FFFFFF"/>
            <w:tcMar>
              <w:top w:w="30" w:type="dxa"/>
              <w:left w:w="0" w:type="dxa"/>
              <w:bottom w:w="30" w:type="dxa"/>
              <w:right w:w="20" w:type="dxa"/>
            </w:tcMar>
            <w:vAlign w:val="center"/>
            <w:hideMark/>
          </w:tcPr>
          <w:p w14:paraId="43432F5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7BC20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DCE1F9D" w14:textId="77777777" w:rsidR="00000000" w:rsidRDefault="00405D16">
            <w:pPr>
              <w:spacing w:after="100"/>
              <w:jc w:val="right"/>
              <w:rPr>
                <w:rFonts w:eastAsia="Times New Roman"/>
              </w:rPr>
            </w:pPr>
            <w:r>
              <w:rPr>
                <w:rFonts w:eastAsia="Times New Roman"/>
                <w:color w:val="000000"/>
                <w:sz w:val="18"/>
                <w:szCs w:val="18"/>
              </w:rPr>
              <w:t>316 </w:t>
            </w:r>
          </w:p>
        </w:tc>
        <w:tc>
          <w:tcPr>
            <w:tcW w:w="0" w:type="auto"/>
            <w:shd w:val="clear" w:color="auto" w:fill="FFFFFF"/>
            <w:tcMar>
              <w:top w:w="30" w:type="dxa"/>
              <w:left w:w="0" w:type="dxa"/>
              <w:bottom w:w="30" w:type="dxa"/>
              <w:right w:w="20" w:type="dxa"/>
            </w:tcMar>
            <w:vAlign w:val="center"/>
            <w:hideMark/>
          </w:tcPr>
          <w:p w14:paraId="279FAAE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6CCDE4"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70237978"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BF7E20A"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FA74D69" w14:textId="77777777" w:rsidR="00000000" w:rsidRDefault="00405D16">
            <w:pPr>
              <w:spacing w:after="100"/>
              <w:jc w:val="right"/>
              <w:rPr>
                <w:rFonts w:eastAsia="Times New Roman"/>
              </w:rPr>
            </w:pPr>
            <w:r>
              <w:rPr>
                <w:rFonts w:eastAsia="Times New Roman"/>
                <w:b/>
                <w:bCs/>
                <w:color w:val="000000"/>
                <w:sz w:val="18"/>
                <w:szCs w:val="18"/>
              </w:rPr>
              <w:t>(431)</w:t>
            </w:r>
          </w:p>
        </w:tc>
        <w:tc>
          <w:tcPr>
            <w:tcW w:w="0" w:type="auto"/>
            <w:shd w:val="clear" w:color="auto" w:fill="FFFFFF"/>
            <w:tcMar>
              <w:top w:w="30" w:type="dxa"/>
              <w:left w:w="0" w:type="dxa"/>
              <w:bottom w:w="30" w:type="dxa"/>
              <w:right w:w="20" w:type="dxa"/>
            </w:tcMar>
            <w:vAlign w:val="center"/>
            <w:hideMark/>
          </w:tcPr>
          <w:p w14:paraId="20517C5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1B6B6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3F4DDF5" w14:textId="77777777" w:rsidR="00000000" w:rsidRDefault="00405D16">
            <w:pPr>
              <w:spacing w:after="100"/>
              <w:jc w:val="right"/>
              <w:rPr>
                <w:rFonts w:eastAsia="Times New Roman"/>
              </w:rPr>
            </w:pPr>
            <w:r>
              <w:rPr>
                <w:rFonts w:eastAsia="Times New Roman"/>
                <w:color w:val="000000"/>
                <w:sz w:val="18"/>
                <w:szCs w:val="18"/>
              </w:rPr>
              <w:t>(102)</w:t>
            </w:r>
          </w:p>
        </w:tc>
        <w:tc>
          <w:tcPr>
            <w:tcW w:w="0" w:type="auto"/>
            <w:shd w:val="clear" w:color="auto" w:fill="FFFFFF"/>
            <w:tcMar>
              <w:top w:w="30" w:type="dxa"/>
              <w:left w:w="0" w:type="dxa"/>
              <w:bottom w:w="30" w:type="dxa"/>
              <w:right w:w="20" w:type="dxa"/>
            </w:tcMar>
            <w:vAlign w:val="center"/>
            <w:hideMark/>
          </w:tcPr>
          <w:p w14:paraId="23F3E409" w14:textId="77777777" w:rsidR="00000000" w:rsidRDefault="00405D16">
            <w:pPr>
              <w:spacing w:after="100"/>
              <w:jc w:val="right"/>
              <w:rPr>
                <w:rFonts w:eastAsia="Times New Roman"/>
              </w:rPr>
            </w:pPr>
          </w:p>
        </w:tc>
        <w:tc>
          <w:tcPr>
            <w:tcW w:w="0" w:type="auto"/>
            <w:vAlign w:val="center"/>
            <w:hideMark/>
          </w:tcPr>
          <w:p w14:paraId="5E7FF38D" w14:textId="77777777" w:rsidR="00000000" w:rsidRDefault="00405D16">
            <w:pPr>
              <w:spacing w:after="100"/>
              <w:jc w:val="right"/>
              <w:rPr>
                <w:rFonts w:eastAsia="Times New Roman"/>
                <w:sz w:val="20"/>
                <w:szCs w:val="20"/>
              </w:rPr>
            </w:pPr>
          </w:p>
        </w:tc>
        <w:tc>
          <w:tcPr>
            <w:tcW w:w="0" w:type="auto"/>
            <w:vAlign w:val="center"/>
            <w:hideMark/>
          </w:tcPr>
          <w:p w14:paraId="6DAF509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B3D864" w14:textId="77777777" w:rsidR="00000000" w:rsidRDefault="00405D16">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03817A3B"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vAlign w:val="center"/>
            <w:hideMark/>
          </w:tcPr>
          <w:p w14:paraId="193ACD54" w14:textId="77777777" w:rsidR="00000000" w:rsidRDefault="00405D16">
            <w:pPr>
              <w:spacing w:after="100"/>
              <w:jc w:val="right"/>
              <w:rPr>
                <w:rFonts w:eastAsia="Times New Roman"/>
              </w:rPr>
            </w:pPr>
          </w:p>
        </w:tc>
        <w:tc>
          <w:tcPr>
            <w:tcW w:w="0" w:type="auto"/>
            <w:gridSpan w:val="3"/>
            <w:vAlign w:val="center"/>
            <w:hideMark/>
          </w:tcPr>
          <w:p w14:paraId="7FE3C336" w14:textId="77777777" w:rsidR="00000000" w:rsidRDefault="00405D16">
            <w:pPr>
              <w:spacing w:after="100"/>
              <w:rPr>
                <w:rFonts w:eastAsia="Times New Roman"/>
                <w:sz w:val="20"/>
                <w:szCs w:val="20"/>
              </w:rPr>
            </w:pPr>
          </w:p>
        </w:tc>
      </w:tr>
      <w:tr w:rsidR="00000000" w14:paraId="0379AD4F" w14:textId="77777777">
        <w:trPr>
          <w:divId w:val="1576624870"/>
        </w:trPr>
        <w:tc>
          <w:tcPr>
            <w:tcW w:w="0" w:type="auto"/>
            <w:gridSpan w:val="3"/>
            <w:shd w:val="clear" w:color="auto" w:fill="CCEEFF"/>
            <w:tcMar>
              <w:top w:w="30" w:type="dxa"/>
              <w:left w:w="20" w:type="dxa"/>
              <w:bottom w:w="30" w:type="dxa"/>
              <w:right w:w="20" w:type="dxa"/>
            </w:tcMar>
            <w:vAlign w:val="center"/>
            <w:hideMark/>
          </w:tcPr>
          <w:p w14:paraId="22F36A0D" w14:textId="77777777" w:rsidR="00000000" w:rsidRDefault="00405D16">
            <w:pPr>
              <w:spacing w:after="100"/>
              <w:rPr>
                <w:rFonts w:eastAsia="Times New Roman"/>
              </w:rPr>
            </w:pPr>
            <w:r>
              <w:rPr>
                <w:rFonts w:eastAsia="Times New Roman"/>
                <w:color w:val="000000"/>
                <w:sz w:val="18"/>
                <w:szCs w:val="18"/>
              </w:rPr>
              <w:t>Loss from continuing operations, net of tax</w:t>
            </w:r>
          </w:p>
        </w:tc>
        <w:tc>
          <w:tcPr>
            <w:tcW w:w="0" w:type="auto"/>
            <w:gridSpan w:val="3"/>
            <w:shd w:val="clear" w:color="auto" w:fill="CCEEFF"/>
            <w:tcMar>
              <w:top w:w="0" w:type="dxa"/>
              <w:left w:w="20" w:type="dxa"/>
              <w:bottom w:w="0" w:type="dxa"/>
              <w:right w:w="20" w:type="dxa"/>
            </w:tcMar>
            <w:vAlign w:val="center"/>
            <w:hideMark/>
          </w:tcPr>
          <w:p w14:paraId="6F384B0A"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DA3A210"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98D1B26" w14:textId="77777777" w:rsidR="00000000" w:rsidRDefault="00405D16">
            <w:pPr>
              <w:spacing w:after="100"/>
              <w:jc w:val="right"/>
              <w:rPr>
                <w:rFonts w:eastAsia="Times New Roman"/>
              </w:rPr>
            </w:pPr>
            <w:r>
              <w:rPr>
                <w:rFonts w:eastAsia="Times New Roman"/>
                <w:b/>
                <w:bCs/>
                <w:color w:val="000000"/>
                <w:sz w:val="18"/>
                <w:szCs w:val="18"/>
              </w:rPr>
              <w:t>(200)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5576AC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A741CE"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C9477EA"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6C9446B" w14:textId="77777777" w:rsidR="00000000" w:rsidRDefault="00405D16">
            <w:pPr>
              <w:spacing w:after="100"/>
              <w:jc w:val="right"/>
              <w:rPr>
                <w:rFonts w:eastAsia="Times New Roman"/>
              </w:rPr>
            </w:pPr>
            <w:r>
              <w:rPr>
                <w:rFonts w:eastAsia="Times New Roman"/>
                <w:color w:val="000000"/>
                <w:sz w:val="18"/>
                <w:szCs w:val="18"/>
              </w:rPr>
              <w:t>(113)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25292B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D43CA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D275390" w14:textId="77777777" w:rsidR="00000000" w:rsidRDefault="00405D16">
            <w:pPr>
              <w:spacing w:after="100"/>
              <w:jc w:val="right"/>
              <w:rPr>
                <w:rFonts w:eastAsia="Times New Roman"/>
              </w:rPr>
            </w:pPr>
            <w:r>
              <w:rPr>
                <w:rFonts w:eastAsia="Times New Roman"/>
                <w:color w:val="000000"/>
                <w:sz w:val="18"/>
                <w:szCs w:val="18"/>
              </w:rPr>
              <w:t>77 </w:t>
            </w:r>
          </w:p>
        </w:tc>
        <w:tc>
          <w:tcPr>
            <w:tcW w:w="0" w:type="auto"/>
            <w:shd w:val="clear" w:color="auto" w:fill="CCEEFF"/>
            <w:tcMar>
              <w:top w:w="30" w:type="dxa"/>
              <w:left w:w="0" w:type="dxa"/>
              <w:bottom w:w="30" w:type="dxa"/>
              <w:right w:w="20" w:type="dxa"/>
            </w:tcMar>
            <w:vAlign w:val="center"/>
            <w:hideMark/>
          </w:tcPr>
          <w:p w14:paraId="68BDC26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D7FCCD"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30A2954"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7E041B8" w14:textId="77777777" w:rsidR="00000000" w:rsidRDefault="00405D16">
            <w:pPr>
              <w:spacing w:after="100"/>
              <w:jc w:val="right"/>
              <w:rPr>
                <w:rFonts w:eastAsia="Times New Roman"/>
              </w:rPr>
            </w:pPr>
            <w:r>
              <w:rPr>
                <w:rFonts w:eastAsia="Times New Roman"/>
                <w:b/>
                <w:bCs/>
                <w:color w:val="000000"/>
                <w:sz w:val="18"/>
                <w:szCs w:val="18"/>
              </w:rPr>
              <w:t>(416)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146379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D060F9"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E24E954"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918102F" w14:textId="77777777" w:rsidR="00000000" w:rsidRDefault="00405D16">
            <w:pPr>
              <w:spacing w:after="100"/>
              <w:jc w:val="right"/>
              <w:rPr>
                <w:rFonts w:eastAsia="Times New Roman"/>
              </w:rPr>
            </w:pPr>
            <w:r>
              <w:rPr>
                <w:rFonts w:eastAsia="Times New Roman"/>
                <w:color w:val="000000"/>
                <w:sz w:val="18"/>
                <w:szCs w:val="18"/>
              </w:rPr>
              <w:t>(151)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B31BEA8" w14:textId="77777777" w:rsidR="00000000" w:rsidRDefault="00405D16">
            <w:pPr>
              <w:spacing w:after="100"/>
              <w:jc w:val="right"/>
              <w:rPr>
                <w:rFonts w:eastAsia="Times New Roman"/>
              </w:rPr>
            </w:pPr>
          </w:p>
        </w:tc>
        <w:tc>
          <w:tcPr>
            <w:tcW w:w="0" w:type="auto"/>
            <w:vAlign w:val="center"/>
            <w:hideMark/>
          </w:tcPr>
          <w:p w14:paraId="0E6BF5DF" w14:textId="77777777" w:rsidR="00000000" w:rsidRDefault="00405D16">
            <w:pPr>
              <w:spacing w:after="100"/>
              <w:jc w:val="right"/>
              <w:rPr>
                <w:rFonts w:eastAsia="Times New Roman"/>
                <w:sz w:val="20"/>
                <w:szCs w:val="20"/>
              </w:rPr>
            </w:pPr>
          </w:p>
        </w:tc>
        <w:tc>
          <w:tcPr>
            <w:tcW w:w="0" w:type="auto"/>
            <w:vAlign w:val="center"/>
            <w:hideMark/>
          </w:tcPr>
          <w:p w14:paraId="5EC4206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1B4E88"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3A085B5" w14:textId="77777777" w:rsidR="00000000" w:rsidRDefault="00405D16">
            <w:pPr>
              <w:spacing w:after="100"/>
              <w:jc w:val="right"/>
              <w:rPr>
                <w:rFonts w:eastAsia="Times New Roman"/>
              </w:rPr>
            </w:pPr>
            <w:r>
              <w:rPr>
                <w:rFonts w:eastAsia="Times New Roman"/>
                <w:color w:val="000000"/>
                <w:sz w:val="18"/>
                <w:szCs w:val="18"/>
              </w:rPr>
              <w:t>175 </w:t>
            </w:r>
          </w:p>
        </w:tc>
        <w:tc>
          <w:tcPr>
            <w:tcW w:w="0" w:type="auto"/>
            <w:shd w:val="clear" w:color="auto" w:fill="CCEEFF"/>
            <w:tcMar>
              <w:top w:w="30" w:type="dxa"/>
              <w:left w:w="0" w:type="dxa"/>
              <w:bottom w:w="30" w:type="dxa"/>
              <w:right w:w="20" w:type="dxa"/>
            </w:tcMar>
            <w:vAlign w:val="center"/>
            <w:hideMark/>
          </w:tcPr>
          <w:p w14:paraId="60364379" w14:textId="77777777" w:rsidR="00000000" w:rsidRDefault="00405D16">
            <w:pPr>
              <w:spacing w:after="100"/>
              <w:jc w:val="right"/>
              <w:rPr>
                <w:rFonts w:eastAsia="Times New Roman"/>
              </w:rPr>
            </w:pPr>
          </w:p>
        </w:tc>
        <w:tc>
          <w:tcPr>
            <w:tcW w:w="0" w:type="auto"/>
            <w:gridSpan w:val="3"/>
            <w:vAlign w:val="center"/>
            <w:hideMark/>
          </w:tcPr>
          <w:p w14:paraId="1CC7672E" w14:textId="77777777" w:rsidR="00000000" w:rsidRDefault="00405D16">
            <w:pPr>
              <w:spacing w:after="100"/>
              <w:jc w:val="right"/>
              <w:rPr>
                <w:rFonts w:eastAsia="Times New Roman"/>
                <w:sz w:val="20"/>
                <w:szCs w:val="20"/>
              </w:rPr>
            </w:pPr>
          </w:p>
        </w:tc>
        <w:tc>
          <w:tcPr>
            <w:tcW w:w="0" w:type="auto"/>
            <w:gridSpan w:val="3"/>
            <w:vAlign w:val="center"/>
            <w:hideMark/>
          </w:tcPr>
          <w:p w14:paraId="28CE0A9B" w14:textId="77777777" w:rsidR="00000000" w:rsidRDefault="00405D16">
            <w:pPr>
              <w:spacing w:after="100"/>
              <w:rPr>
                <w:rFonts w:eastAsia="Times New Roman"/>
                <w:sz w:val="20"/>
                <w:szCs w:val="20"/>
              </w:rPr>
            </w:pPr>
          </w:p>
        </w:tc>
      </w:tr>
    </w:tbl>
    <w:p w14:paraId="6DFA70BC" w14:textId="77777777" w:rsidR="00000000" w:rsidRDefault="00405D16">
      <w:pPr>
        <w:divId w:val="878473836"/>
        <w:rPr>
          <w:rFonts w:eastAsia="Times New Roman"/>
        </w:rPr>
      </w:pPr>
      <w:r>
        <w:rPr>
          <w:rFonts w:eastAsia="Times New Roman"/>
          <w:color w:val="000000"/>
          <w:sz w:val="20"/>
          <w:szCs w:val="20"/>
        </w:rPr>
        <w:t>__________</w:t>
      </w:r>
    </w:p>
    <w:p w14:paraId="3BC3CF9D" w14:textId="77777777" w:rsidR="00000000" w:rsidRDefault="00405D16">
      <w:pPr>
        <w:ind w:hanging="360"/>
        <w:jc w:val="both"/>
        <w:divId w:val="87708358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Some of our commercial investments generate tax-exempt income, tax credits or other tax benefits. Accordingly, we present our Commercial Banking revenue and yields on a taxable-equivalent basis, calculated using the federal </w:t>
      </w:r>
      <w:r>
        <w:rPr>
          <w:rFonts w:eastAsia="Times New Roman"/>
          <w:color w:val="000000"/>
          <w:sz w:val="16"/>
          <w:szCs w:val="16"/>
        </w:rPr>
        <w:t>statutory tax rate of 21% and state taxes where applicable, with offsetting reductions to the Other category.</w:t>
      </w:r>
    </w:p>
    <w:p w14:paraId="6200827D" w14:textId="77777777" w:rsidR="00000000" w:rsidRDefault="00405D16">
      <w:pPr>
        <w:ind w:hanging="360"/>
        <w:jc w:val="both"/>
        <w:divId w:val="523329497"/>
        <w:rPr>
          <w:rFonts w:eastAsia="Times New Roman"/>
        </w:rPr>
      </w:pPr>
      <w:r>
        <w:rPr>
          <w:rFonts w:eastAsia="Times New Roman"/>
          <w:color w:val="000000"/>
          <w:sz w:val="16"/>
          <w:szCs w:val="16"/>
        </w:rPr>
        <w:t>**    Not meaningful.</w:t>
      </w:r>
    </w:p>
    <w:p w14:paraId="489AE80D" w14:textId="77777777" w:rsidR="00000000" w:rsidRDefault="00405D16">
      <w:pPr>
        <w:jc w:val="both"/>
        <w:divId w:val="726534501"/>
        <w:rPr>
          <w:rFonts w:eastAsia="Times New Roman"/>
        </w:rPr>
      </w:pPr>
      <w:r>
        <w:rPr>
          <w:rFonts w:eastAsia="Times New Roman"/>
          <w:color w:val="000000"/>
          <w:sz w:val="20"/>
          <w:szCs w:val="20"/>
        </w:rPr>
        <w:t>Loss from continuing operations increased by $87 million to a loss of $200 million in the third quarter of 2021, primarily d</w:t>
      </w:r>
      <w:r>
        <w:rPr>
          <w:rFonts w:eastAsia="Times New Roman"/>
          <w:color w:val="000000"/>
          <w:sz w:val="20"/>
          <w:szCs w:val="20"/>
        </w:rPr>
        <w:t>riven by the absence of a gain on our equity investment in Snowflake Inc. in the third quarter of 2020, partially offset by an increase in income tax benefit due to a change from pre-tax income in 2020 to pre-tax loss in 2021, and the relative impact of th</w:t>
      </w:r>
      <w:r>
        <w:rPr>
          <w:rFonts w:eastAsia="Times New Roman"/>
          <w:color w:val="000000"/>
          <w:sz w:val="20"/>
          <w:szCs w:val="20"/>
        </w:rPr>
        <w:t>e tax credits.</w:t>
      </w:r>
    </w:p>
    <w:p w14:paraId="79C5111D" w14:textId="77777777" w:rsidR="00000000" w:rsidRDefault="00405D16">
      <w:pPr>
        <w:jc w:val="both"/>
        <w:divId w:val="1773162865"/>
        <w:rPr>
          <w:rFonts w:eastAsia="Times New Roman"/>
        </w:rPr>
      </w:pPr>
      <w:r>
        <w:rPr>
          <w:rFonts w:eastAsia="Times New Roman"/>
          <w:color w:val="000000"/>
          <w:sz w:val="20"/>
          <w:szCs w:val="20"/>
        </w:rPr>
        <w:t>Loss from continuing operations increased by $265 million to a loss of $416 million in the first nine months of 2021, primarily driven by the absence of a gain on our equity investment in Snowflake Inc. in the third quarter of 2020, and redu</w:t>
      </w:r>
      <w:r>
        <w:rPr>
          <w:rFonts w:eastAsia="Times New Roman"/>
          <w:color w:val="000000"/>
          <w:sz w:val="20"/>
          <w:szCs w:val="20"/>
        </w:rPr>
        <w:t>ced funding needs of our business segments in the first nine months of 2021. These drivers were partially offset by an increase in income tax benefit due to a higher pre-tax loss and the relative impact of the tax credits, as well as lower legal reserve bu</w:t>
      </w:r>
      <w:r>
        <w:rPr>
          <w:rFonts w:eastAsia="Times New Roman"/>
          <w:color w:val="000000"/>
          <w:sz w:val="20"/>
          <w:szCs w:val="20"/>
        </w:rPr>
        <w:t>ilds in non-interest expense.</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7E995548" w14:textId="77777777">
        <w:trPr>
          <w:divId w:val="999774592"/>
        </w:trPr>
        <w:tc>
          <w:tcPr>
            <w:tcW w:w="50" w:type="pct"/>
            <w:vAlign w:val="center"/>
            <w:hideMark/>
          </w:tcPr>
          <w:p w14:paraId="182E6FF0" w14:textId="77777777" w:rsidR="00000000" w:rsidRDefault="00405D16">
            <w:pPr>
              <w:jc w:val="both"/>
              <w:rPr>
                <w:rFonts w:eastAsia="Times New Roman"/>
              </w:rPr>
            </w:pPr>
          </w:p>
        </w:tc>
        <w:tc>
          <w:tcPr>
            <w:tcW w:w="4945" w:type="pct"/>
            <w:vAlign w:val="center"/>
            <w:hideMark/>
          </w:tcPr>
          <w:p w14:paraId="4888FAF7" w14:textId="77777777" w:rsidR="00000000" w:rsidRDefault="00405D16">
            <w:pPr>
              <w:spacing w:after="100"/>
              <w:rPr>
                <w:rFonts w:eastAsia="Times New Roman"/>
                <w:sz w:val="20"/>
                <w:szCs w:val="20"/>
              </w:rPr>
            </w:pPr>
          </w:p>
        </w:tc>
        <w:tc>
          <w:tcPr>
            <w:tcW w:w="5" w:type="pct"/>
            <w:vAlign w:val="center"/>
            <w:hideMark/>
          </w:tcPr>
          <w:p w14:paraId="4A10B916" w14:textId="77777777" w:rsidR="00000000" w:rsidRDefault="00405D16">
            <w:pPr>
              <w:spacing w:after="100"/>
              <w:rPr>
                <w:rFonts w:eastAsia="Times New Roman"/>
                <w:sz w:val="20"/>
                <w:szCs w:val="20"/>
              </w:rPr>
            </w:pPr>
          </w:p>
        </w:tc>
      </w:tr>
      <w:tr w:rsidR="00000000" w14:paraId="01DC8335" w14:textId="77777777">
        <w:trPr>
          <w:divId w:val="999774592"/>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5B69B89F" w14:textId="77777777" w:rsidR="00000000" w:rsidRDefault="00405D16">
            <w:pPr>
              <w:spacing w:after="100"/>
              <w:rPr>
                <w:rFonts w:eastAsia="Times New Roman"/>
              </w:rPr>
            </w:pPr>
            <w:r>
              <w:rPr>
                <w:rFonts w:eastAsia="Times New Roman"/>
                <w:b/>
                <w:bCs/>
                <w:color w:val="000000"/>
                <w:sz w:val="20"/>
                <w:szCs w:val="20"/>
              </w:rPr>
              <w:t>CRITICAL ACCOUNTING POLICIES AND ESTIMATES</w:t>
            </w:r>
          </w:p>
        </w:tc>
      </w:tr>
    </w:tbl>
    <w:p w14:paraId="03A23AC2" w14:textId="77777777" w:rsidR="00000000" w:rsidRDefault="00405D16">
      <w:pPr>
        <w:jc w:val="both"/>
        <w:divId w:val="388918988"/>
        <w:rPr>
          <w:rFonts w:eastAsia="Times New Roman"/>
        </w:rPr>
      </w:pPr>
      <w:r>
        <w:rPr>
          <w:rFonts w:eastAsia="Times New Roman"/>
          <w:color w:val="000000"/>
          <w:sz w:val="20"/>
          <w:szCs w:val="20"/>
        </w:rPr>
        <w:t>The preparation of financial statements in accordance with U.S. GAAP requires management to make a number of judgments, estimates and assumptions that affect the amount of assets, liabilities, income and expenses on the consolidated financial statements. U</w:t>
      </w:r>
      <w:r>
        <w:rPr>
          <w:rFonts w:eastAsia="Times New Roman"/>
          <w:color w:val="000000"/>
          <w:sz w:val="20"/>
          <w:szCs w:val="20"/>
        </w:rPr>
        <w:t xml:space="preserve">nderstanding our accounting policies and the extent to which we use management judgment and estimates in applying these policies is integral to understanding our financial statements. We provide a summary of our significant accounting policies under “Note </w:t>
      </w:r>
      <w:r>
        <w:rPr>
          <w:rFonts w:eastAsia="Times New Roman"/>
          <w:color w:val="000000"/>
          <w:sz w:val="20"/>
          <w:szCs w:val="20"/>
        </w:rPr>
        <w:t>1—Summary of Significant Accounting Policies” in our 2020 Form 10-K.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36DAC632" w14:textId="77777777">
        <w:trPr>
          <w:divId w:val="492262512"/>
          <w:jc w:val="center"/>
        </w:trPr>
        <w:tc>
          <w:tcPr>
            <w:tcW w:w="50" w:type="pct"/>
            <w:vAlign w:val="center"/>
            <w:hideMark/>
          </w:tcPr>
          <w:p w14:paraId="01B4E84B" w14:textId="77777777" w:rsidR="00000000" w:rsidRDefault="00405D16">
            <w:pPr>
              <w:jc w:val="both"/>
              <w:rPr>
                <w:rFonts w:eastAsia="Times New Roman"/>
              </w:rPr>
            </w:pPr>
          </w:p>
        </w:tc>
        <w:tc>
          <w:tcPr>
            <w:tcW w:w="1606" w:type="pct"/>
            <w:vAlign w:val="center"/>
            <w:hideMark/>
          </w:tcPr>
          <w:p w14:paraId="1440381E" w14:textId="77777777" w:rsidR="00000000" w:rsidRDefault="00405D16">
            <w:pPr>
              <w:spacing w:after="100"/>
              <w:rPr>
                <w:rFonts w:eastAsia="Times New Roman"/>
                <w:sz w:val="20"/>
                <w:szCs w:val="20"/>
              </w:rPr>
            </w:pPr>
          </w:p>
        </w:tc>
        <w:tc>
          <w:tcPr>
            <w:tcW w:w="5" w:type="pct"/>
            <w:vAlign w:val="center"/>
            <w:hideMark/>
          </w:tcPr>
          <w:p w14:paraId="7EB587EE" w14:textId="77777777" w:rsidR="00000000" w:rsidRDefault="00405D16">
            <w:pPr>
              <w:spacing w:after="100"/>
              <w:rPr>
                <w:rFonts w:eastAsia="Times New Roman"/>
                <w:sz w:val="20"/>
                <w:szCs w:val="20"/>
              </w:rPr>
            </w:pPr>
          </w:p>
        </w:tc>
        <w:tc>
          <w:tcPr>
            <w:tcW w:w="50" w:type="pct"/>
            <w:vAlign w:val="center"/>
            <w:hideMark/>
          </w:tcPr>
          <w:p w14:paraId="152CA5C3" w14:textId="77777777" w:rsidR="00000000" w:rsidRDefault="00405D16">
            <w:pPr>
              <w:spacing w:after="100"/>
              <w:rPr>
                <w:rFonts w:eastAsia="Times New Roman"/>
                <w:sz w:val="20"/>
                <w:szCs w:val="20"/>
              </w:rPr>
            </w:pPr>
          </w:p>
        </w:tc>
        <w:tc>
          <w:tcPr>
            <w:tcW w:w="1614" w:type="pct"/>
            <w:vAlign w:val="center"/>
            <w:hideMark/>
          </w:tcPr>
          <w:p w14:paraId="6CDFEFE5" w14:textId="77777777" w:rsidR="00000000" w:rsidRDefault="00405D16">
            <w:pPr>
              <w:spacing w:after="100"/>
              <w:rPr>
                <w:rFonts w:eastAsia="Times New Roman"/>
                <w:sz w:val="20"/>
                <w:szCs w:val="20"/>
              </w:rPr>
            </w:pPr>
          </w:p>
        </w:tc>
        <w:tc>
          <w:tcPr>
            <w:tcW w:w="5" w:type="pct"/>
            <w:vAlign w:val="center"/>
            <w:hideMark/>
          </w:tcPr>
          <w:p w14:paraId="66031E06" w14:textId="77777777" w:rsidR="00000000" w:rsidRDefault="00405D16">
            <w:pPr>
              <w:spacing w:after="100"/>
              <w:rPr>
                <w:rFonts w:eastAsia="Times New Roman"/>
                <w:sz w:val="20"/>
                <w:szCs w:val="20"/>
              </w:rPr>
            </w:pPr>
          </w:p>
        </w:tc>
        <w:tc>
          <w:tcPr>
            <w:tcW w:w="50" w:type="pct"/>
            <w:vAlign w:val="center"/>
            <w:hideMark/>
          </w:tcPr>
          <w:p w14:paraId="20A3B382" w14:textId="77777777" w:rsidR="00000000" w:rsidRDefault="00405D16">
            <w:pPr>
              <w:spacing w:after="100"/>
              <w:rPr>
                <w:rFonts w:eastAsia="Times New Roman"/>
                <w:sz w:val="20"/>
                <w:szCs w:val="20"/>
              </w:rPr>
            </w:pPr>
          </w:p>
        </w:tc>
        <w:tc>
          <w:tcPr>
            <w:tcW w:w="1614" w:type="pct"/>
            <w:vAlign w:val="center"/>
            <w:hideMark/>
          </w:tcPr>
          <w:p w14:paraId="432A4836" w14:textId="77777777" w:rsidR="00000000" w:rsidRDefault="00405D16">
            <w:pPr>
              <w:spacing w:after="100"/>
              <w:rPr>
                <w:rFonts w:eastAsia="Times New Roman"/>
                <w:sz w:val="20"/>
                <w:szCs w:val="20"/>
              </w:rPr>
            </w:pPr>
          </w:p>
        </w:tc>
        <w:tc>
          <w:tcPr>
            <w:tcW w:w="5" w:type="pct"/>
            <w:vAlign w:val="center"/>
            <w:hideMark/>
          </w:tcPr>
          <w:p w14:paraId="48210C1E" w14:textId="77777777" w:rsidR="00000000" w:rsidRDefault="00405D16">
            <w:pPr>
              <w:spacing w:after="100"/>
              <w:rPr>
                <w:rFonts w:eastAsia="Times New Roman"/>
                <w:sz w:val="20"/>
                <w:szCs w:val="20"/>
              </w:rPr>
            </w:pPr>
          </w:p>
        </w:tc>
      </w:tr>
      <w:tr w:rsidR="00000000" w14:paraId="47155ECB" w14:textId="77777777">
        <w:trPr>
          <w:divId w:val="492262512"/>
          <w:trHeight w:val="300"/>
          <w:jc w:val="center"/>
        </w:trPr>
        <w:tc>
          <w:tcPr>
            <w:tcW w:w="0" w:type="auto"/>
            <w:gridSpan w:val="9"/>
            <w:tcMar>
              <w:top w:w="0" w:type="dxa"/>
              <w:left w:w="20" w:type="dxa"/>
              <w:bottom w:w="0" w:type="dxa"/>
              <w:right w:w="20" w:type="dxa"/>
            </w:tcMar>
            <w:vAlign w:val="center"/>
            <w:hideMark/>
          </w:tcPr>
          <w:p w14:paraId="01F24A34" w14:textId="77777777" w:rsidR="00000000" w:rsidRDefault="00405D16">
            <w:pPr>
              <w:spacing w:after="100"/>
              <w:rPr>
                <w:rFonts w:eastAsia="Times New Roman"/>
                <w:sz w:val="20"/>
                <w:szCs w:val="20"/>
              </w:rPr>
            </w:pPr>
          </w:p>
        </w:tc>
      </w:tr>
      <w:tr w:rsidR="00000000" w14:paraId="008D1F21" w14:textId="77777777">
        <w:trPr>
          <w:divId w:val="492262512"/>
          <w:jc w:val="center"/>
        </w:trPr>
        <w:tc>
          <w:tcPr>
            <w:tcW w:w="0" w:type="auto"/>
            <w:gridSpan w:val="3"/>
            <w:tcMar>
              <w:top w:w="0" w:type="dxa"/>
              <w:left w:w="20" w:type="dxa"/>
              <w:bottom w:w="0" w:type="dxa"/>
              <w:right w:w="20" w:type="dxa"/>
            </w:tcMar>
            <w:vAlign w:val="center"/>
            <w:hideMark/>
          </w:tcPr>
          <w:p w14:paraId="19E26A8B"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E1E03FB" w14:textId="77777777" w:rsidR="00000000" w:rsidRDefault="00405D16">
            <w:pPr>
              <w:spacing w:after="100"/>
              <w:jc w:val="center"/>
              <w:rPr>
                <w:rFonts w:eastAsia="Times New Roman"/>
              </w:rPr>
            </w:pPr>
            <w:r>
              <w:rPr>
                <w:rFonts w:eastAsia="Times New Roman"/>
                <w:color w:val="000000"/>
                <w:sz w:val="16"/>
                <w:szCs w:val="16"/>
              </w:rPr>
              <w:t>29</w:t>
            </w:r>
          </w:p>
        </w:tc>
        <w:tc>
          <w:tcPr>
            <w:tcW w:w="0" w:type="auto"/>
            <w:gridSpan w:val="3"/>
            <w:tcMar>
              <w:top w:w="30" w:type="dxa"/>
              <w:left w:w="20" w:type="dxa"/>
              <w:bottom w:w="30" w:type="dxa"/>
              <w:right w:w="20" w:type="dxa"/>
            </w:tcMar>
            <w:vAlign w:val="bottom"/>
            <w:hideMark/>
          </w:tcPr>
          <w:p w14:paraId="008B717B"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40EFE53E" w14:textId="77777777" w:rsidR="00000000" w:rsidRDefault="00405D16">
      <w:pPr>
        <w:rPr>
          <w:rFonts w:eastAsia="Times New Roman"/>
        </w:rPr>
      </w:pPr>
      <w:r>
        <w:rPr>
          <w:rFonts w:eastAsia="Times New Roman"/>
        </w:rPr>
        <w:pict w14:anchorId="55969B8B">
          <v:rect id="_x0000_i1054" style="width:0;height:1.5pt" o:hralign="center" o:hrstd="t" o:hr="t" fillcolor="#a0a0a0" stroked="f"/>
        </w:pict>
      </w:r>
    </w:p>
    <w:p w14:paraId="4E3A5FF6" w14:textId="77777777" w:rsidR="00000000" w:rsidRDefault="00405D16">
      <w:pPr>
        <w:ind w:hanging="360"/>
        <w:jc w:val="both"/>
        <w:divId w:val="1216548537"/>
        <w:rPr>
          <w:rFonts w:eastAsia="Times New Roman"/>
        </w:rPr>
      </w:pPr>
      <w:hyperlink w:anchor="idd54a04a485440b4ab4e56094c14d612_13" w:history="1">
        <w:r>
          <w:rPr>
            <w:rStyle w:val="a3"/>
            <w:rFonts w:eastAsia="Times New Roman"/>
            <w:sz w:val="16"/>
            <w:szCs w:val="16"/>
          </w:rPr>
          <w:t>Table of Contents</w:t>
        </w:r>
      </w:hyperlink>
    </w:p>
    <w:p w14:paraId="30804931" w14:textId="77777777" w:rsidR="00000000" w:rsidRDefault="00405D16">
      <w:pPr>
        <w:jc w:val="both"/>
        <w:divId w:val="747309000"/>
        <w:rPr>
          <w:rFonts w:eastAsia="Times New Roman"/>
        </w:rPr>
      </w:pPr>
      <w:r>
        <w:rPr>
          <w:rFonts w:eastAsia="Times New Roman"/>
          <w:color w:val="000000"/>
          <w:sz w:val="20"/>
          <w:szCs w:val="20"/>
        </w:rPr>
        <w:t>We have identified the following accounting estimates as critical because they require significant judgments and assumptions about highly complex and inherently uncertain matters and the use of reasonably different estimates and assumptions could have a ma</w:t>
      </w:r>
      <w:r>
        <w:rPr>
          <w:rFonts w:eastAsia="Times New Roman"/>
          <w:color w:val="000000"/>
          <w:sz w:val="20"/>
          <w:szCs w:val="20"/>
        </w:rPr>
        <w:t>terial impact on our results of operations or financial condition. Our critical accounting policies and estimates are as follows:</w:t>
      </w:r>
    </w:p>
    <w:p w14:paraId="4484BB10" w14:textId="77777777" w:rsidR="00000000" w:rsidRDefault="00405D16">
      <w:pPr>
        <w:ind w:hanging="360"/>
        <w:divId w:val="172889383"/>
        <w:rPr>
          <w:rFonts w:eastAsia="Times New Roman"/>
        </w:rPr>
      </w:pPr>
      <w:r>
        <w:rPr>
          <w:rFonts w:eastAsia="Times New Roman"/>
          <w:color w:val="000000"/>
          <w:sz w:val="20"/>
          <w:szCs w:val="20"/>
        </w:rPr>
        <w:t>•Loan loss reserves</w:t>
      </w:r>
    </w:p>
    <w:p w14:paraId="33091B9F" w14:textId="77777777" w:rsidR="00000000" w:rsidRDefault="00405D16">
      <w:pPr>
        <w:ind w:hanging="360"/>
        <w:divId w:val="2050497097"/>
        <w:rPr>
          <w:rFonts w:eastAsia="Times New Roman"/>
        </w:rPr>
      </w:pPr>
      <w:r>
        <w:rPr>
          <w:rFonts w:eastAsia="Times New Roman"/>
          <w:color w:val="000000"/>
          <w:sz w:val="20"/>
          <w:szCs w:val="20"/>
        </w:rPr>
        <w:t>•Asset impairment</w:t>
      </w:r>
    </w:p>
    <w:p w14:paraId="7F756F2F" w14:textId="77777777" w:rsidR="00000000" w:rsidRDefault="00405D16">
      <w:pPr>
        <w:ind w:hanging="360"/>
        <w:divId w:val="2063745821"/>
        <w:rPr>
          <w:rFonts w:eastAsia="Times New Roman"/>
        </w:rPr>
      </w:pPr>
      <w:r>
        <w:rPr>
          <w:rFonts w:eastAsia="Times New Roman"/>
          <w:color w:val="000000"/>
          <w:sz w:val="20"/>
          <w:szCs w:val="20"/>
        </w:rPr>
        <w:t>•Fair value of financial instruments</w:t>
      </w:r>
    </w:p>
    <w:p w14:paraId="573768C4" w14:textId="77777777" w:rsidR="00000000" w:rsidRDefault="00405D16">
      <w:pPr>
        <w:ind w:hanging="360"/>
        <w:divId w:val="1168330627"/>
        <w:rPr>
          <w:rFonts w:eastAsia="Times New Roman"/>
        </w:rPr>
      </w:pPr>
      <w:r>
        <w:rPr>
          <w:rFonts w:eastAsia="Times New Roman"/>
          <w:color w:val="000000"/>
          <w:sz w:val="20"/>
          <w:szCs w:val="20"/>
        </w:rPr>
        <w:t>•Customer rewards reserve</w:t>
      </w:r>
    </w:p>
    <w:p w14:paraId="03BB0970" w14:textId="77777777" w:rsidR="00000000" w:rsidRDefault="00405D16">
      <w:pPr>
        <w:jc w:val="both"/>
        <w:divId w:val="52630972"/>
        <w:rPr>
          <w:rFonts w:eastAsia="Times New Roman"/>
        </w:rPr>
      </w:pPr>
      <w:r>
        <w:rPr>
          <w:rFonts w:eastAsia="Times New Roman"/>
          <w:color w:val="000000"/>
          <w:sz w:val="20"/>
          <w:szCs w:val="20"/>
        </w:rPr>
        <w:t>We evaluate our critical accounting estimates and judgments on an ongoing basis and update them as necessary, based on changing conditions. There have been no changes to our critical accounting policies and estimates described in our December 31, 2020 Form</w:t>
      </w:r>
      <w:r>
        <w:rPr>
          <w:rFonts w:eastAsia="Times New Roman"/>
          <w:color w:val="000000"/>
          <w:sz w:val="20"/>
          <w:szCs w:val="20"/>
        </w:rPr>
        <w:t xml:space="preserve"> 10-K under “MD&amp;A—Critical Accounting Policies and Estimates.”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7EA9CF01" w14:textId="77777777">
        <w:trPr>
          <w:divId w:val="567544925"/>
        </w:trPr>
        <w:tc>
          <w:tcPr>
            <w:tcW w:w="50" w:type="pct"/>
            <w:vAlign w:val="center"/>
            <w:hideMark/>
          </w:tcPr>
          <w:p w14:paraId="3965C62F" w14:textId="77777777" w:rsidR="00000000" w:rsidRDefault="00405D16">
            <w:pPr>
              <w:jc w:val="both"/>
              <w:rPr>
                <w:rFonts w:eastAsia="Times New Roman"/>
              </w:rPr>
            </w:pPr>
          </w:p>
        </w:tc>
        <w:tc>
          <w:tcPr>
            <w:tcW w:w="4945" w:type="pct"/>
            <w:vAlign w:val="center"/>
            <w:hideMark/>
          </w:tcPr>
          <w:p w14:paraId="1070D145" w14:textId="77777777" w:rsidR="00000000" w:rsidRDefault="00405D16">
            <w:pPr>
              <w:spacing w:after="100"/>
              <w:rPr>
                <w:rFonts w:eastAsia="Times New Roman"/>
                <w:sz w:val="20"/>
                <w:szCs w:val="20"/>
              </w:rPr>
            </w:pPr>
          </w:p>
        </w:tc>
        <w:tc>
          <w:tcPr>
            <w:tcW w:w="5" w:type="pct"/>
            <w:vAlign w:val="center"/>
            <w:hideMark/>
          </w:tcPr>
          <w:p w14:paraId="5318EF86" w14:textId="77777777" w:rsidR="00000000" w:rsidRDefault="00405D16">
            <w:pPr>
              <w:spacing w:after="100"/>
              <w:rPr>
                <w:rFonts w:eastAsia="Times New Roman"/>
                <w:sz w:val="20"/>
                <w:szCs w:val="20"/>
              </w:rPr>
            </w:pPr>
          </w:p>
        </w:tc>
      </w:tr>
      <w:tr w:rsidR="00000000" w14:paraId="21BA23C5" w14:textId="77777777">
        <w:trPr>
          <w:divId w:val="567544925"/>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537745B5" w14:textId="77777777" w:rsidR="00000000" w:rsidRDefault="00405D16">
            <w:pPr>
              <w:spacing w:after="100"/>
              <w:rPr>
                <w:rFonts w:eastAsia="Times New Roman"/>
              </w:rPr>
            </w:pPr>
            <w:r>
              <w:rPr>
                <w:rFonts w:eastAsia="Times New Roman"/>
                <w:b/>
                <w:bCs/>
                <w:color w:val="000000"/>
                <w:sz w:val="20"/>
                <w:szCs w:val="20"/>
              </w:rPr>
              <w:t>ACCOUNTING CHANGES AND DEVELOPMENTS</w:t>
            </w:r>
          </w:p>
        </w:tc>
      </w:tr>
    </w:tbl>
    <w:p w14:paraId="7CFB0F6F" w14:textId="77777777" w:rsidR="00000000" w:rsidRDefault="00405D16">
      <w:pPr>
        <w:divId w:val="1345783533"/>
        <w:rPr>
          <w:rFonts w:eastAsia="Times New Roman"/>
        </w:rPr>
      </w:pPr>
      <w:r>
        <w:rPr>
          <w:rFonts w:eastAsia="Times New Roman"/>
          <w:b/>
          <w:bCs/>
          <w:color w:val="000000"/>
          <w:sz w:val="20"/>
          <w:szCs w:val="20"/>
        </w:rPr>
        <w:t xml:space="preserve">Accounting Standards Issued but Not Adopted as of September 30, 2021 </w:t>
      </w:r>
    </w:p>
    <w:p w14:paraId="468C117B" w14:textId="77777777" w:rsidR="00000000" w:rsidRDefault="00405D16">
      <w:pPr>
        <w:jc w:val="both"/>
        <w:divId w:val="1057322426"/>
        <w:rPr>
          <w:rFonts w:eastAsia="Times New Roman"/>
        </w:rPr>
      </w:pPr>
      <w:r>
        <w:rPr>
          <w:rFonts w:eastAsia="Times New Roman"/>
          <w:color w:val="000000"/>
          <w:sz w:val="20"/>
          <w:szCs w:val="20"/>
        </w:rPr>
        <w:t>There were no relevant new accounting standards issued but not adopted as of September 30, 2021. See “Note 1—Summary of Significant Accounting Policies” for information on the accounting standards we adopted in 2021.</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4F1A1530" w14:textId="77777777">
        <w:trPr>
          <w:divId w:val="861626905"/>
        </w:trPr>
        <w:tc>
          <w:tcPr>
            <w:tcW w:w="50" w:type="pct"/>
            <w:vAlign w:val="center"/>
            <w:hideMark/>
          </w:tcPr>
          <w:p w14:paraId="068774C7" w14:textId="77777777" w:rsidR="00000000" w:rsidRDefault="00405D16">
            <w:pPr>
              <w:jc w:val="both"/>
              <w:rPr>
                <w:rFonts w:eastAsia="Times New Roman"/>
              </w:rPr>
            </w:pPr>
          </w:p>
        </w:tc>
        <w:tc>
          <w:tcPr>
            <w:tcW w:w="4945" w:type="pct"/>
            <w:vAlign w:val="center"/>
            <w:hideMark/>
          </w:tcPr>
          <w:p w14:paraId="1597A8A6" w14:textId="77777777" w:rsidR="00000000" w:rsidRDefault="00405D16">
            <w:pPr>
              <w:spacing w:after="100"/>
              <w:rPr>
                <w:rFonts w:eastAsia="Times New Roman"/>
                <w:sz w:val="20"/>
                <w:szCs w:val="20"/>
              </w:rPr>
            </w:pPr>
          </w:p>
        </w:tc>
        <w:tc>
          <w:tcPr>
            <w:tcW w:w="5" w:type="pct"/>
            <w:vAlign w:val="center"/>
            <w:hideMark/>
          </w:tcPr>
          <w:p w14:paraId="762D9E2D" w14:textId="77777777" w:rsidR="00000000" w:rsidRDefault="00405D16">
            <w:pPr>
              <w:spacing w:after="100"/>
              <w:rPr>
                <w:rFonts w:eastAsia="Times New Roman"/>
                <w:sz w:val="20"/>
                <w:szCs w:val="20"/>
              </w:rPr>
            </w:pPr>
          </w:p>
        </w:tc>
      </w:tr>
      <w:tr w:rsidR="00000000" w14:paraId="762D4CBC" w14:textId="77777777">
        <w:trPr>
          <w:divId w:val="861626905"/>
        </w:trPr>
        <w:tc>
          <w:tcPr>
            <w:tcW w:w="0" w:type="auto"/>
            <w:gridSpan w:val="3"/>
            <w:tcBorders>
              <w:top w:val="single" w:sz="18" w:space="0" w:color="000000"/>
              <w:bottom w:val="single" w:sz="18" w:space="0" w:color="000000"/>
            </w:tcBorders>
            <w:tcMar>
              <w:top w:w="30" w:type="dxa"/>
              <w:left w:w="20" w:type="dxa"/>
              <w:bottom w:w="30" w:type="dxa"/>
              <w:right w:w="20" w:type="dxa"/>
            </w:tcMar>
            <w:vAlign w:val="center"/>
            <w:hideMark/>
          </w:tcPr>
          <w:p w14:paraId="36ABC18F" w14:textId="77777777" w:rsidR="00000000" w:rsidRDefault="00405D16">
            <w:pPr>
              <w:spacing w:after="100"/>
              <w:rPr>
                <w:rFonts w:eastAsia="Times New Roman"/>
              </w:rPr>
            </w:pPr>
            <w:r>
              <w:rPr>
                <w:rFonts w:eastAsia="Times New Roman"/>
                <w:b/>
                <w:bCs/>
                <w:color w:val="000000"/>
                <w:sz w:val="20"/>
                <w:szCs w:val="20"/>
              </w:rPr>
              <w:t>CAPITAL MANAGEMENT</w:t>
            </w:r>
          </w:p>
        </w:tc>
      </w:tr>
    </w:tbl>
    <w:p w14:paraId="42E5B492" w14:textId="77777777" w:rsidR="00000000" w:rsidRDefault="00405D16">
      <w:pPr>
        <w:jc w:val="both"/>
        <w:divId w:val="185992811"/>
        <w:rPr>
          <w:rFonts w:eastAsia="Times New Roman"/>
        </w:rPr>
      </w:pPr>
      <w:r>
        <w:rPr>
          <w:rFonts w:eastAsia="Times New Roman"/>
          <w:color w:val="000000"/>
          <w:sz w:val="20"/>
          <w:szCs w:val="20"/>
        </w:rPr>
        <w:t>The level and composition of our capital are determined by multiple factors, including our consolidated regulatory capital requirements as described in more detail below and internal risk-based capital assessments such as internal stress testing and econom</w:t>
      </w:r>
      <w:r>
        <w:rPr>
          <w:rFonts w:eastAsia="Times New Roman"/>
          <w:color w:val="000000"/>
          <w:sz w:val="20"/>
          <w:szCs w:val="20"/>
        </w:rPr>
        <w:t>ic capital. The level and composition of our capital may also be influenced by rating agency guidelines, subsidiary capital requirements, business environment, conditions in the financial markets and assessments of potential future losses due to adverse ch</w:t>
      </w:r>
      <w:r>
        <w:rPr>
          <w:rFonts w:eastAsia="Times New Roman"/>
          <w:color w:val="000000"/>
          <w:sz w:val="20"/>
          <w:szCs w:val="20"/>
        </w:rPr>
        <w:t xml:space="preserve">anges in our business and market environments. </w:t>
      </w:r>
    </w:p>
    <w:p w14:paraId="014D0AA7" w14:textId="77777777" w:rsidR="00000000" w:rsidRDefault="00405D16">
      <w:pPr>
        <w:divId w:val="864632612"/>
        <w:rPr>
          <w:rFonts w:eastAsia="Times New Roman"/>
        </w:rPr>
      </w:pPr>
      <w:r>
        <w:rPr>
          <w:rFonts w:eastAsia="Times New Roman"/>
          <w:b/>
          <w:bCs/>
          <w:color w:val="000000"/>
          <w:sz w:val="20"/>
          <w:szCs w:val="20"/>
        </w:rPr>
        <w:t>Capital Standards and Prompt Corrective Action</w:t>
      </w:r>
    </w:p>
    <w:p w14:paraId="039E5255" w14:textId="77777777" w:rsidR="00000000" w:rsidRDefault="00405D16">
      <w:pPr>
        <w:jc w:val="both"/>
        <w:divId w:val="1612324727"/>
        <w:rPr>
          <w:rFonts w:eastAsia="Times New Roman"/>
        </w:rPr>
      </w:pPr>
      <w:r>
        <w:rPr>
          <w:rFonts w:eastAsia="Times New Roman"/>
          <w:color w:val="000000"/>
          <w:sz w:val="20"/>
          <w:szCs w:val="20"/>
        </w:rPr>
        <w:t xml:space="preserve">The Company and the Banks are subject to the Basel III Capital Rules established by the Board of Governors of the Federal Reserve System (“Federal Reserve”) and </w:t>
      </w:r>
      <w:r>
        <w:rPr>
          <w:rFonts w:eastAsia="Times New Roman"/>
          <w:color w:val="000000"/>
          <w:sz w:val="20"/>
          <w:szCs w:val="20"/>
        </w:rPr>
        <w:t>the Office of the Comptroller of the Currency (“OCC”) respectively (the “Basel III Capital Rules”). The Basel III Capital Rules implement certain capital requirements published by the Basel Committee on Banking Supervision (“Basel Committee”), along with c</w:t>
      </w:r>
      <w:r>
        <w:rPr>
          <w:rFonts w:eastAsia="Times New Roman"/>
          <w:color w:val="000000"/>
          <w:sz w:val="20"/>
          <w:szCs w:val="20"/>
        </w:rPr>
        <w:t xml:space="preserve">ertain provisions of the Dodd-Frank Wall Street Reform and Consumer Protection Act of 2010 (“Dodd-Frank Act”) and other capital provisions. </w:t>
      </w:r>
    </w:p>
    <w:p w14:paraId="6BC93A0E" w14:textId="77777777" w:rsidR="00000000" w:rsidRDefault="00405D16">
      <w:pPr>
        <w:jc w:val="both"/>
        <w:divId w:val="812869199"/>
        <w:rPr>
          <w:rFonts w:eastAsia="Times New Roman"/>
        </w:rPr>
      </w:pPr>
      <w:r>
        <w:rPr>
          <w:rFonts w:eastAsia="Times New Roman"/>
          <w:color w:val="000000"/>
          <w:sz w:val="20"/>
          <w:szCs w:val="20"/>
        </w:rPr>
        <w:t>Following the tailoring of the Basel III Capital Rules, the Company, as a bank holding company (“BHC”) with total c</w:t>
      </w:r>
      <w:r>
        <w:rPr>
          <w:rFonts w:eastAsia="Times New Roman"/>
          <w:color w:val="000000"/>
          <w:sz w:val="20"/>
          <w:szCs w:val="20"/>
        </w:rPr>
        <w:t>onsolidated assets of at least $250 billion but less than $700 billion and not exceeding any of the applicable risk-based thresholds, is a Category III institution.</w:t>
      </w:r>
    </w:p>
    <w:p w14:paraId="21C512BF" w14:textId="77777777" w:rsidR="00000000" w:rsidRDefault="00405D16">
      <w:pPr>
        <w:jc w:val="both"/>
        <w:divId w:val="506209644"/>
        <w:rPr>
          <w:rFonts w:eastAsia="Times New Roman"/>
        </w:rPr>
      </w:pPr>
      <w:r>
        <w:rPr>
          <w:rFonts w:eastAsia="Times New Roman"/>
          <w:color w:val="000000"/>
          <w:sz w:val="20"/>
          <w:szCs w:val="20"/>
        </w:rPr>
        <w:t>The Banks, as subsidiaries of a Category III institution, are Category III banks. Moreover,</w:t>
      </w:r>
      <w:r>
        <w:rPr>
          <w:rFonts w:eastAsia="Times New Roman"/>
          <w:color w:val="000000"/>
          <w:sz w:val="20"/>
          <w:szCs w:val="20"/>
        </w:rPr>
        <w:t xml:space="preserve"> the Banks, as insured depository institutions, are subject to prompt corrective action (“PCA”) capital regulations.</w:t>
      </w:r>
    </w:p>
    <w:p w14:paraId="206CF3F1" w14:textId="77777777" w:rsidR="00000000" w:rsidRDefault="00405D16">
      <w:pPr>
        <w:jc w:val="both"/>
        <w:divId w:val="997227757"/>
        <w:rPr>
          <w:rFonts w:eastAsia="Times New Roman"/>
        </w:rPr>
      </w:pPr>
      <w:r>
        <w:rPr>
          <w:rFonts w:eastAsia="Times New Roman"/>
          <w:b/>
          <w:bCs/>
          <w:i/>
          <w:iCs/>
          <w:color w:val="000000"/>
          <w:sz w:val="20"/>
          <w:szCs w:val="20"/>
        </w:rPr>
        <w:t>Basel III and United States Capital Rules</w:t>
      </w:r>
    </w:p>
    <w:p w14:paraId="0ED73421" w14:textId="77777777" w:rsidR="00000000" w:rsidRDefault="00405D16">
      <w:pPr>
        <w:jc w:val="both"/>
        <w:divId w:val="821045185"/>
        <w:rPr>
          <w:rFonts w:eastAsia="Times New Roman"/>
        </w:rPr>
      </w:pPr>
      <w:r>
        <w:rPr>
          <w:rFonts w:eastAsia="Times New Roman"/>
          <w:color w:val="000000"/>
          <w:sz w:val="20"/>
          <w:szCs w:val="20"/>
        </w:rPr>
        <w:t>Under the Basel III Capital Rules, we must maintain a minimum common equity Tier 1 (“CET1”) capit</w:t>
      </w:r>
      <w:r>
        <w:rPr>
          <w:rFonts w:eastAsia="Times New Roman"/>
          <w:color w:val="000000"/>
          <w:sz w:val="20"/>
          <w:szCs w:val="20"/>
        </w:rPr>
        <w:t xml:space="preserve">al ratio of </w:t>
      </w:r>
      <w:r>
        <w:rPr>
          <w:rFonts w:eastAsia="Times New Roman"/>
          <w:color w:val="000000"/>
          <w:sz w:val="20"/>
          <w:szCs w:val="20"/>
          <w:shd w:val="clear" w:color="auto" w:fill="FFFFFF"/>
        </w:rPr>
        <w:t>4.5%</w:t>
      </w:r>
      <w:r>
        <w:rPr>
          <w:rFonts w:eastAsia="Times New Roman"/>
          <w:color w:val="000000"/>
          <w:sz w:val="20"/>
          <w:szCs w:val="20"/>
        </w:rPr>
        <w:t xml:space="preserve">, a Tier 1 capital ratio of </w:t>
      </w:r>
      <w:r>
        <w:rPr>
          <w:rFonts w:eastAsia="Times New Roman"/>
          <w:color w:val="000000"/>
          <w:sz w:val="20"/>
          <w:szCs w:val="20"/>
          <w:shd w:val="clear" w:color="auto" w:fill="FFFFFF"/>
        </w:rPr>
        <w:t>6.0%,</w:t>
      </w:r>
      <w:r>
        <w:rPr>
          <w:rFonts w:eastAsia="Times New Roman"/>
          <w:color w:val="000000"/>
          <w:sz w:val="20"/>
          <w:szCs w:val="20"/>
        </w:rPr>
        <w:t xml:space="preserve"> and a total capital ratio of </w:t>
      </w:r>
      <w:r>
        <w:rPr>
          <w:rFonts w:eastAsia="Times New Roman"/>
          <w:color w:val="000000"/>
          <w:sz w:val="20"/>
          <w:szCs w:val="20"/>
          <w:shd w:val="clear" w:color="auto" w:fill="FFFFFF"/>
        </w:rPr>
        <w:t>8.0%,</w:t>
      </w:r>
      <w:r>
        <w:rPr>
          <w:rFonts w:eastAsia="Times New Roman"/>
          <w:color w:val="000000"/>
          <w:sz w:val="20"/>
          <w:szCs w:val="20"/>
        </w:rPr>
        <w:t xml:space="preserve"> in each case in relation to risk-weighted assets. In addition, we must maintain a minimum leverage ratio of </w:t>
      </w:r>
      <w:r>
        <w:rPr>
          <w:rFonts w:eastAsia="Times New Roman"/>
          <w:color w:val="000000"/>
          <w:sz w:val="20"/>
          <w:szCs w:val="20"/>
          <w:shd w:val="clear" w:color="auto" w:fill="FFFFFF"/>
        </w:rPr>
        <w:t>4.0%</w:t>
      </w:r>
      <w:r>
        <w:rPr>
          <w:rFonts w:eastAsia="Times New Roman"/>
          <w:color w:val="000000"/>
          <w:sz w:val="20"/>
          <w:szCs w:val="20"/>
        </w:rPr>
        <w:t xml:space="preserve"> and a minimum supplementary leverage ratio of </w:t>
      </w:r>
      <w:r>
        <w:rPr>
          <w:rFonts w:eastAsia="Times New Roman"/>
          <w:color w:val="000000"/>
          <w:sz w:val="20"/>
          <w:szCs w:val="20"/>
          <w:shd w:val="clear" w:color="auto" w:fill="FFFFFF"/>
        </w:rPr>
        <w:t>3.0%</w:t>
      </w:r>
      <w:r>
        <w:rPr>
          <w:rFonts w:eastAsia="Times New Roman"/>
          <w:color w:val="000000"/>
          <w:sz w:val="20"/>
          <w:szCs w:val="20"/>
        </w:rPr>
        <w:t>. We are</w:t>
      </w:r>
      <w:r>
        <w:rPr>
          <w:rFonts w:eastAsia="Times New Roman"/>
          <w:color w:val="000000"/>
          <w:sz w:val="20"/>
          <w:szCs w:val="20"/>
        </w:rPr>
        <w:t xml:space="preserve"> also subject to the capital conservation buffer and countercyclical capital buffer requirements, as described below.</w:t>
      </w:r>
    </w:p>
    <w:p w14:paraId="70F785B7" w14:textId="77777777" w:rsidR="00000000" w:rsidRDefault="00405D16">
      <w:pPr>
        <w:jc w:val="both"/>
        <w:divId w:val="519977040"/>
        <w:rPr>
          <w:rFonts w:eastAsia="Times New Roman"/>
        </w:rPr>
      </w:pPr>
      <w:r>
        <w:rPr>
          <w:rFonts w:eastAsia="Times New Roman"/>
          <w:color w:val="000000"/>
          <w:sz w:val="20"/>
          <w:szCs w:val="20"/>
        </w:rPr>
        <w:t>As a Category III institution, effective January 1, 2020, we are no longer subject to the Basel III Advanced Approaches framework and cert</w:t>
      </w:r>
      <w:r>
        <w:rPr>
          <w:rFonts w:eastAsia="Times New Roman"/>
          <w:color w:val="000000"/>
          <w:sz w:val="20"/>
          <w:szCs w:val="20"/>
        </w:rPr>
        <w:t xml:space="preserve">ain associated capital requirements, and we have elected to exclude certain elements of accumulated other comprehensive income (“AOCI”) from our regulatory capital as permitted for a Category III institution. We remain subject to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31473F57" w14:textId="77777777">
        <w:trPr>
          <w:divId w:val="664210184"/>
          <w:jc w:val="center"/>
        </w:trPr>
        <w:tc>
          <w:tcPr>
            <w:tcW w:w="50" w:type="pct"/>
            <w:vAlign w:val="center"/>
            <w:hideMark/>
          </w:tcPr>
          <w:p w14:paraId="62D1B25E" w14:textId="77777777" w:rsidR="00000000" w:rsidRDefault="00405D16">
            <w:pPr>
              <w:jc w:val="both"/>
              <w:rPr>
                <w:rFonts w:eastAsia="Times New Roman"/>
              </w:rPr>
            </w:pPr>
          </w:p>
        </w:tc>
        <w:tc>
          <w:tcPr>
            <w:tcW w:w="1606" w:type="pct"/>
            <w:vAlign w:val="center"/>
            <w:hideMark/>
          </w:tcPr>
          <w:p w14:paraId="21B4A7C7" w14:textId="77777777" w:rsidR="00000000" w:rsidRDefault="00405D16">
            <w:pPr>
              <w:spacing w:after="100"/>
              <w:rPr>
                <w:rFonts w:eastAsia="Times New Roman"/>
                <w:sz w:val="20"/>
                <w:szCs w:val="20"/>
              </w:rPr>
            </w:pPr>
          </w:p>
        </w:tc>
        <w:tc>
          <w:tcPr>
            <w:tcW w:w="5" w:type="pct"/>
            <w:vAlign w:val="center"/>
            <w:hideMark/>
          </w:tcPr>
          <w:p w14:paraId="2A9538CA" w14:textId="77777777" w:rsidR="00000000" w:rsidRDefault="00405D16">
            <w:pPr>
              <w:spacing w:after="100"/>
              <w:rPr>
                <w:rFonts w:eastAsia="Times New Roman"/>
                <w:sz w:val="20"/>
                <w:szCs w:val="20"/>
              </w:rPr>
            </w:pPr>
          </w:p>
        </w:tc>
        <w:tc>
          <w:tcPr>
            <w:tcW w:w="50" w:type="pct"/>
            <w:vAlign w:val="center"/>
            <w:hideMark/>
          </w:tcPr>
          <w:p w14:paraId="39B05967" w14:textId="77777777" w:rsidR="00000000" w:rsidRDefault="00405D16">
            <w:pPr>
              <w:spacing w:after="100"/>
              <w:rPr>
                <w:rFonts w:eastAsia="Times New Roman"/>
                <w:sz w:val="20"/>
                <w:szCs w:val="20"/>
              </w:rPr>
            </w:pPr>
          </w:p>
        </w:tc>
        <w:tc>
          <w:tcPr>
            <w:tcW w:w="1614" w:type="pct"/>
            <w:vAlign w:val="center"/>
            <w:hideMark/>
          </w:tcPr>
          <w:p w14:paraId="3D628ADA" w14:textId="77777777" w:rsidR="00000000" w:rsidRDefault="00405D16">
            <w:pPr>
              <w:spacing w:after="100"/>
              <w:rPr>
                <w:rFonts w:eastAsia="Times New Roman"/>
                <w:sz w:val="20"/>
                <w:szCs w:val="20"/>
              </w:rPr>
            </w:pPr>
          </w:p>
        </w:tc>
        <w:tc>
          <w:tcPr>
            <w:tcW w:w="5" w:type="pct"/>
            <w:vAlign w:val="center"/>
            <w:hideMark/>
          </w:tcPr>
          <w:p w14:paraId="08759D26" w14:textId="77777777" w:rsidR="00000000" w:rsidRDefault="00405D16">
            <w:pPr>
              <w:spacing w:after="100"/>
              <w:rPr>
                <w:rFonts w:eastAsia="Times New Roman"/>
                <w:sz w:val="20"/>
                <w:szCs w:val="20"/>
              </w:rPr>
            </w:pPr>
          </w:p>
        </w:tc>
        <w:tc>
          <w:tcPr>
            <w:tcW w:w="50" w:type="pct"/>
            <w:vAlign w:val="center"/>
            <w:hideMark/>
          </w:tcPr>
          <w:p w14:paraId="231A6704" w14:textId="77777777" w:rsidR="00000000" w:rsidRDefault="00405D16">
            <w:pPr>
              <w:spacing w:after="100"/>
              <w:rPr>
                <w:rFonts w:eastAsia="Times New Roman"/>
                <w:sz w:val="20"/>
                <w:szCs w:val="20"/>
              </w:rPr>
            </w:pPr>
          </w:p>
        </w:tc>
        <w:tc>
          <w:tcPr>
            <w:tcW w:w="1614" w:type="pct"/>
            <w:vAlign w:val="center"/>
            <w:hideMark/>
          </w:tcPr>
          <w:p w14:paraId="46EEBE5F" w14:textId="77777777" w:rsidR="00000000" w:rsidRDefault="00405D16">
            <w:pPr>
              <w:spacing w:after="100"/>
              <w:rPr>
                <w:rFonts w:eastAsia="Times New Roman"/>
                <w:sz w:val="20"/>
                <w:szCs w:val="20"/>
              </w:rPr>
            </w:pPr>
          </w:p>
        </w:tc>
        <w:tc>
          <w:tcPr>
            <w:tcW w:w="5" w:type="pct"/>
            <w:vAlign w:val="center"/>
            <w:hideMark/>
          </w:tcPr>
          <w:p w14:paraId="500A2C03" w14:textId="77777777" w:rsidR="00000000" w:rsidRDefault="00405D16">
            <w:pPr>
              <w:spacing w:after="100"/>
              <w:rPr>
                <w:rFonts w:eastAsia="Times New Roman"/>
                <w:sz w:val="20"/>
                <w:szCs w:val="20"/>
              </w:rPr>
            </w:pPr>
          </w:p>
        </w:tc>
      </w:tr>
      <w:tr w:rsidR="00000000" w14:paraId="140193BD" w14:textId="77777777">
        <w:trPr>
          <w:divId w:val="664210184"/>
          <w:trHeight w:val="300"/>
          <w:jc w:val="center"/>
        </w:trPr>
        <w:tc>
          <w:tcPr>
            <w:tcW w:w="0" w:type="auto"/>
            <w:gridSpan w:val="9"/>
            <w:tcMar>
              <w:top w:w="0" w:type="dxa"/>
              <w:left w:w="20" w:type="dxa"/>
              <w:bottom w:w="0" w:type="dxa"/>
              <w:right w:w="20" w:type="dxa"/>
            </w:tcMar>
            <w:vAlign w:val="center"/>
            <w:hideMark/>
          </w:tcPr>
          <w:p w14:paraId="1555B4B0" w14:textId="77777777" w:rsidR="00000000" w:rsidRDefault="00405D16">
            <w:pPr>
              <w:spacing w:after="100"/>
              <w:rPr>
                <w:rFonts w:eastAsia="Times New Roman"/>
                <w:sz w:val="20"/>
                <w:szCs w:val="20"/>
              </w:rPr>
            </w:pPr>
          </w:p>
        </w:tc>
      </w:tr>
      <w:tr w:rsidR="00000000" w14:paraId="685073B7" w14:textId="77777777">
        <w:trPr>
          <w:divId w:val="664210184"/>
          <w:jc w:val="center"/>
        </w:trPr>
        <w:tc>
          <w:tcPr>
            <w:tcW w:w="0" w:type="auto"/>
            <w:gridSpan w:val="3"/>
            <w:tcMar>
              <w:top w:w="0" w:type="dxa"/>
              <w:left w:w="20" w:type="dxa"/>
              <w:bottom w:w="0" w:type="dxa"/>
              <w:right w:w="20" w:type="dxa"/>
            </w:tcMar>
            <w:vAlign w:val="center"/>
            <w:hideMark/>
          </w:tcPr>
          <w:p w14:paraId="1B8D7E4C"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E32EBC6" w14:textId="77777777" w:rsidR="00000000" w:rsidRDefault="00405D16">
            <w:pPr>
              <w:spacing w:after="100"/>
              <w:jc w:val="center"/>
              <w:rPr>
                <w:rFonts w:eastAsia="Times New Roman"/>
              </w:rPr>
            </w:pPr>
            <w:r>
              <w:rPr>
                <w:rFonts w:eastAsia="Times New Roman"/>
                <w:color w:val="000000"/>
                <w:sz w:val="16"/>
                <w:szCs w:val="16"/>
              </w:rPr>
              <w:t>30</w:t>
            </w:r>
          </w:p>
        </w:tc>
        <w:tc>
          <w:tcPr>
            <w:tcW w:w="0" w:type="auto"/>
            <w:gridSpan w:val="3"/>
            <w:tcMar>
              <w:top w:w="30" w:type="dxa"/>
              <w:left w:w="20" w:type="dxa"/>
              <w:bottom w:w="30" w:type="dxa"/>
              <w:right w:w="20" w:type="dxa"/>
            </w:tcMar>
            <w:vAlign w:val="bottom"/>
            <w:hideMark/>
          </w:tcPr>
          <w:p w14:paraId="228BCD51"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717424C5" w14:textId="77777777" w:rsidR="00000000" w:rsidRDefault="00405D16">
      <w:pPr>
        <w:rPr>
          <w:rFonts w:eastAsia="Times New Roman"/>
        </w:rPr>
      </w:pPr>
      <w:r>
        <w:rPr>
          <w:rFonts w:eastAsia="Times New Roman"/>
        </w:rPr>
        <w:pict w14:anchorId="0DDA074E">
          <v:rect id="_x0000_i1055" style="width:0;height:1.5pt" o:hralign="center" o:hrstd="t" o:hr="t" fillcolor="#a0a0a0" stroked="f"/>
        </w:pict>
      </w:r>
    </w:p>
    <w:p w14:paraId="0FB38BFC" w14:textId="77777777" w:rsidR="00000000" w:rsidRDefault="00405D16">
      <w:pPr>
        <w:ind w:hanging="360"/>
        <w:jc w:val="both"/>
        <w:divId w:val="1197162059"/>
        <w:rPr>
          <w:rFonts w:eastAsia="Times New Roman"/>
        </w:rPr>
      </w:pPr>
      <w:hyperlink w:anchor="idd54a04a485440b4ab4e56094c14d612_13" w:history="1">
        <w:r>
          <w:rPr>
            <w:rStyle w:val="a3"/>
            <w:rFonts w:eastAsia="Times New Roman"/>
            <w:sz w:val="16"/>
            <w:szCs w:val="16"/>
          </w:rPr>
          <w:t>Table of Contents</w:t>
        </w:r>
      </w:hyperlink>
    </w:p>
    <w:p w14:paraId="760E041B" w14:textId="77777777" w:rsidR="00000000" w:rsidRDefault="00405D16">
      <w:pPr>
        <w:jc w:val="both"/>
        <w:divId w:val="484467734"/>
        <w:rPr>
          <w:rFonts w:eastAsia="Times New Roman"/>
        </w:rPr>
      </w:pPr>
      <w:r>
        <w:rPr>
          <w:rFonts w:eastAsia="Times New Roman"/>
          <w:color w:val="000000"/>
          <w:sz w:val="20"/>
          <w:szCs w:val="20"/>
        </w:rPr>
        <w:t xml:space="preserve">the countercyclical capital buffer requirement (which is currently set at </w:t>
      </w:r>
      <w:r>
        <w:rPr>
          <w:rFonts w:eastAsia="Times New Roman"/>
          <w:color w:val="000000"/>
          <w:sz w:val="20"/>
          <w:szCs w:val="20"/>
          <w:shd w:val="clear" w:color="auto" w:fill="FFFFFF"/>
        </w:rPr>
        <w:t>0%)</w:t>
      </w:r>
      <w:r>
        <w:rPr>
          <w:rFonts w:eastAsia="Times New Roman"/>
          <w:color w:val="000000"/>
          <w:sz w:val="20"/>
          <w:szCs w:val="20"/>
        </w:rPr>
        <w:t xml:space="preserve"> and supplementary leverage ratio requirement of 3.0%.</w:t>
      </w:r>
    </w:p>
    <w:p w14:paraId="12C07D8B" w14:textId="77777777" w:rsidR="00000000" w:rsidRDefault="00405D16">
      <w:pPr>
        <w:jc w:val="both"/>
        <w:divId w:val="904534047"/>
        <w:rPr>
          <w:rFonts w:eastAsia="Times New Roman"/>
        </w:rPr>
      </w:pPr>
      <w:r>
        <w:rPr>
          <w:rFonts w:eastAsia="Times New Roman"/>
          <w:color w:val="000000"/>
          <w:sz w:val="20"/>
          <w:szCs w:val="20"/>
        </w:rPr>
        <w:t>Global syst</w:t>
      </w:r>
      <w:r>
        <w:rPr>
          <w:rFonts w:eastAsia="Times New Roman"/>
          <w:color w:val="000000"/>
          <w:sz w:val="20"/>
          <w:szCs w:val="20"/>
        </w:rPr>
        <w:t>emically important banks (“G-SIBs”) that are based in the U.S. are subject to an additional CET1 capital requirement known as the G-SIB Surcharge. We are not a G-SIB based on the most recent available data and thus we are not subject to a G-SIB Surcharge.</w:t>
      </w:r>
    </w:p>
    <w:p w14:paraId="7D9CE92D" w14:textId="77777777" w:rsidR="00000000" w:rsidRDefault="00405D16">
      <w:pPr>
        <w:jc w:val="both"/>
        <w:divId w:val="1637029047"/>
        <w:rPr>
          <w:rFonts w:eastAsia="Times New Roman"/>
        </w:rPr>
      </w:pPr>
      <w:r>
        <w:rPr>
          <w:rFonts w:eastAsia="Times New Roman"/>
          <w:b/>
          <w:bCs/>
          <w:i/>
          <w:iCs/>
          <w:color w:val="000000"/>
          <w:sz w:val="20"/>
          <w:szCs w:val="20"/>
        </w:rPr>
        <w:t>Stress Capital Buffer Rule</w:t>
      </w:r>
    </w:p>
    <w:p w14:paraId="07AA5F95" w14:textId="77777777" w:rsidR="00000000" w:rsidRDefault="00405D16">
      <w:pPr>
        <w:jc w:val="both"/>
        <w:divId w:val="935947245"/>
        <w:rPr>
          <w:rFonts w:eastAsia="Times New Roman"/>
        </w:rPr>
      </w:pPr>
      <w:r>
        <w:rPr>
          <w:rFonts w:eastAsia="Times New Roman"/>
          <w:color w:val="000000"/>
          <w:sz w:val="20"/>
          <w:szCs w:val="20"/>
        </w:rPr>
        <w:t>The Basel III Capital Rules require banking institutions to maintain a capital conservation buffer, composed of CET1 capital, above the regulatory minimum ratios. The capital conservation buffer for BHCs was previously fixed at</w:t>
      </w:r>
      <w:r>
        <w:rPr>
          <w:rFonts w:eastAsia="Times New Roman"/>
          <w:color w:val="000000"/>
          <w:sz w:val="20"/>
          <w:szCs w:val="20"/>
          <w:shd w:val="clear" w:color="auto" w:fill="FFFFFF"/>
        </w:rPr>
        <w:t xml:space="preserve"> 2.5%</w:t>
      </w:r>
      <w:r>
        <w:rPr>
          <w:rFonts w:eastAsia="Times New Roman"/>
          <w:color w:val="000000"/>
          <w:sz w:val="20"/>
          <w:szCs w:val="20"/>
        </w:rPr>
        <w:t>. In March 2020, the Fed</w:t>
      </w:r>
      <w:r>
        <w:rPr>
          <w:rFonts w:eastAsia="Times New Roman"/>
          <w:color w:val="000000"/>
          <w:sz w:val="20"/>
          <w:szCs w:val="20"/>
        </w:rPr>
        <w:t xml:space="preserve">eral Reserve issued a final rule to implement the stress capital buffer requirement (the “Stress Capital Buffer Rule”). The stress capital buffer requirement is institution-specific and replaces the fixed </w:t>
      </w:r>
      <w:r>
        <w:rPr>
          <w:rFonts w:eastAsia="Times New Roman"/>
          <w:color w:val="000000"/>
          <w:sz w:val="20"/>
          <w:szCs w:val="20"/>
          <w:shd w:val="clear" w:color="auto" w:fill="FFFFFF"/>
        </w:rPr>
        <w:t>2.5%</w:t>
      </w:r>
      <w:r>
        <w:rPr>
          <w:rFonts w:eastAsia="Times New Roman"/>
          <w:color w:val="000000"/>
          <w:sz w:val="20"/>
          <w:szCs w:val="20"/>
        </w:rPr>
        <w:t xml:space="preserve"> capital conservation buffer for BHCs.</w:t>
      </w:r>
    </w:p>
    <w:p w14:paraId="2E2190E6" w14:textId="77777777" w:rsidR="00000000" w:rsidRDefault="00405D16">
      <w:pPr>
        <w:jc w:val="both"/>
        <w:divId w:val="1864571"/>
        <w:rPr>
          <w:rFonts w:eastAsia="Times New Roman"/>
        </w:rPr>
      </w:pPr>
      <w:r>
        <w:rPr>
          <w:rFonts w:eastAsia="Times New Roman"/>
          <w:color w:val="000000"/>
          <w:sz w:val="20"/>
          <w:szCs w:val="20"/>
        </w:rPr>
        <w:t>Pursuant</w:t>
      </w:r>
      <w:r>
        <w:rPr>
          <w:rFonts w:eastAsia="Times New Roman"/>
          <w:color w:val="000000"/>
          <w:sz w:val="20"/>
          <w:szCs w:val="20"/>
        </w:rPr>
        <w:t xml:space="preserve"> to the Stress Capital Buffer Rule, the Federal Reserve uses the results of its supervisory stress test to determine the size of a BHC’s stress capital buffer requirement. In particular, a BHC’s stress capital buffer requirement equals, subject to a floor </w:t>
      </w:r>
      <w:r>
        <w:rPr>
          <w:rFonts w:eastAsia="Times New Roman"/>
          <w:color w:val="000000"/>
          <w:sz w:val="20"/>
          <w:szCs w:val="20"/>
        </w:rPr>
        <w:t xml:space="preserve">of </w:t>
      </w:r>
      <w:r>
        <w:rPr>
          <w:rFonts w:eastAsia="Times New Roman"/>
          <w:color w:val="000000"/>
          <w:sz w:val="20"/>
          <w:szCs w:val="20"/>
          <w:shd w:val="clear" w:color="auto" w:fill="FFFFFF"/>
        </w:rPr>
        <w:t>2.5%</w:t>
      </w:r>
      <w:r>
        <w:rPr>
          <w:rFonts w:eastAsia="Times New Roman"/>
          <w:color w:val="000000"/>
          <w:sz w:val="20"/>
          <w:szCs w:val="20"/>
        </w:rPr>
        <w:t>, the sum of (i) the difference between the BHC’s starting CET1 capital ratio and its lowest projected CET1 capital ratio under the severely adverse scenario of the Federal Reserve’s supervisory stress test plus (ii) the ratio of the BHC’s projected</w:t>
      </w:r>
      <w:r>
        <w:rPr>
          <w:rFonts w:eastAsia="Times New Roman"/>
          <w:color w:val="000000"/>
          <w:sz w:val="20"/>
          <w:szCs w:val="20"/>
        </w:rPr>
        <w:t xml:space="preserve"> four quarters of common stock dividends (for the fourth to seventh quarters of the planning horizon) to the projected risk-weighted assets for the quarter in which the BHC’s projected CET1 capital ratio reaches its minimum under the supervisory stress tes</w:t>
      </w:r>
      <w:r>
        <w:rPr>
          <w:rFonts w:eastAsia="Times New Roman"/>
          <w:color w:val="000000"/>
          <w:sz w:val="20"/>
          <w:szCs w:val="20"/>
        </w:rPr>
        <w:t>t.</w:t>
      </w:r>
    </w:p>
    <w:p w14:paraId="58C0A31E" w14:textId="77777777" w:rsidR="00000000" w:rsidRDefault="00405D16">
      <w:pPr>
        <w:jc w:val="both"/>
        <w:divId w:val="1478183507"/>
        <w:rPr>
          <w:rFonts w:eastAsia="Times New Roman"/>
        </w:rPr>
      </w:pPr>
      <w:r>
        <w:rPr>
          <w:rFonts w:eastAsia="Times New Roman"/>
          <w:color w:val="000000"/>
          <w:sz w:val="20"/>
          <w:szCs w:val="20"/>
        </w:rPr>
        <w:t>Under the Stress Capital Buffer Rule framework, the Company’s “standardized approach capital conservation buffer” includes its stress capital buffer requirement (which will be recalibrated every year based on the Company’s supervisory stress test result</w:t>
      </w:r>
      <w:r>
        <w:rPr>
          <w:rFonts w:eastAsia="Times New Roman"/>
          <w:color w:val="000000"/>
          <w:sz w:val="20"/>
          <w:szCs w:val="20"/>
        </w:rPr>
        <w:t xml:space="preserve">s), any G-SIB surcharge (which is not applicable to us) and the countercyclical capital buffer requirement (which is currently set at </w:t>
      </w:r>
      <w:r>
        <w:rPr>
          <w:rFonts w:eastAsia="Times New Roman"/>
          <w:color w:val="000000"/>
          <w:sz w:val="20"/>
          <w:szCs w:val="20"/>
          <w:shd w:val="clear" w:color="auto" w:fill="FFFFFF"/>
        </w:rPr>
        <w:t>0%</w:t>
      </w:r>
      <w:r>
        <w:rPr>
          <w:rFonts w:eastAsia="Times New Roman"/>
          <w:color w:val="000000"/>
          <w:sz w:val="20"/>
          <w:szCs w:val="20"/>
        </w:rPr>
        <w:t>). Any determination to increase the countercyclical capital buffer generally would be effective twelve months after the</w:t>
      </w:r>
      <w:r>
        <w:rPr>
          <w:rFonts w:eastAsia="Times New Roman"/>
          <w:color w:val="000000"/>
          <w:sz w:val="20"/>
          <w:szCs w:val="20"/>
        </w:rPr>
        <w:t xml:space="preserve"> announcement of such an increase, unless the Federal Reserve, OCC and Federal Deposit Insurance Corporation (the “FDIC”), hereafter collectively referred to as the “Federal Banking Agencies”, set an earlier effective date.</w:t>
      </w:r>
    </w:p>
    <w:p w14:paraId="713E8E63" w14:textId="77777777" w:rsidR="00000000" w:rsidRDefault="00405D16">
      <w:pPr>
        <w:jc w:val="both"/>
        <w:divId w:val="1597441519"/>
        <w:rPr>
          <w:rFonts w:eastAsia="Times New Roman"/>
        </w:rPr>
      </w:pPr>
      <w:r>
        <w:rPr>
          <w:rFonts w:eastAsia="Times New Roman"/>
          <w:color w:val="000000"/>
          <w:sz w:val="20"/>
          <w:szCs w:val="20"/>
        </w:rPr>
        <w:t>Based on the Company’s 2020 supe</w:t>
      </w:r>
      <w:r>
        <w:rPr>
          <w:rFonts w:eastAsia="Times New Roman"/>
          <w:color w:val="000000"/>
          <w:sz w:val="20"/>
          <w:szCs w:val="20"/>
        </w:rPr>
        <w:t xml:space="preserve">rvisory stress testing results, the Company’s stress capital buffer requirement was </w:t>
      </w:r>
      <w:r>
        <w:rPr>
          <w:rFonts w:eastAsia="Times New Roman"/>
          <w:color w:val="000000"/>
          <w:sz w:val="20"/>
          <w:szCs w:val="20"/>
          <w:shd w:val="clear" w:color="auto" w:fill="FFFFFF"/>
        </w:rPr>
        <w:t>5.6%</w:t>
      </w:r>
      <w:r>
        <w:rPr>
          <w:rFonts w:eastAsia="Times New Roman"/>
          <w:color w:val="000000"/>
          <w:sz w:val="20"/>
          <w:szCs w:val="20"/>
        </w:rPr>
        <w:t xml:space="preserve"> for the period from October 1, 2020 through September 30, 2021. Therefore, the Company’s minimum capital requirements plus the standardized approach capital conservati</w:t>
      </w:r>
      <w:r>
        <w:rPr>
          <w:rFonts w:eastAsia="Times New Roman"/>
          <w:color w:val="000000"/>
          <w:sz w:val="20"/>
          <w:szCs w:val="20"/>
        </w:rPr>
        <w:t xml:space="preserve">on buffer for CET1 capital, Tier 1 capital and total capital ratios under the stress capital buffer framework were </w:t>
      </w:r>
      <w:r>
        <w:rPr>
          <w:rFonts w:eastAsia="Times New Roman"/>
          <w:color w:val="000000"/>
          <w:sz w:val="20"/>
          <w:szCs w:val="20"/>
          <w:shd w:val="clear" w:color="auto" w:fill="FFFFFF"/>
        </w:rPr>
        <w:t>10.1%</w:t>
      </w:r>
      <w:r>
        <w:rPr>
          <w:rFonts w:eastAsia="Times New Roman"/>
          <w:color w:val="000000"/>
          <w:sz w:val="20"/>
          <w:szCs w:val="20"/>
        </w:rPr>
        <w:t xml:space="preserve">, </w:t>
      </w:r>
      <w:r>
        <w:rPr>
          <w:rFonts w:eastAsia="Times New Roman"/>
          <w:color w:val="000000"/>
          <w:sz w:val="20"/>
          <w:szCs w:val="20"/>
          <w:shd w:val="clear" w:color="auto" w:fill="FFFFFF"/>
        </w:rPr>
        <w:t>11.6%</w:t>
      </w:r>
      <w:r>
        <w:rPr>
          <w:rFonts w:eastAsia="Times New Roman"/>
          <w:color w:val="000000"/>
          <w:sz w:val="20"/>
          <w:szCs w:val="20"/>
        </w:rPr>
        <w:t xml:space="preserve"> and </w:t>
      </w:r>
      <w:r>
        <w:rPr>
          <w:rFonts w:eastAsia="Times New Roman"/>
          <w:color w:val="000000"/>
          <w:sz w:val="20"/>
          <w:szCs w:val="20"/>
          <w:shd w:val="clear" w:color="auto" w:fill="FFFFFF"/>
        </w:rPr>
        <w:t>13.6%</w:t>
      </w:r>
      <w:r>
        <w:rPr>
          <w:rFonts w:eastAsia="Times New Roman"/>
          <w:color w:val="000000"/>
          <w:sz w:val="20"/>
          <w:szCs w:val="20"/>
        </w:rPr>
        <w:t>, respectively, for the period from October 1, 2020 through September 30, 2021.</w:t>
      </w:r>
    </w:p>
    <w:p w14:paraId="07E959AA" w14:textId="77777777" w:rsidR="00000000" w:rsidRDefault="00405D16">
      <w:pPr>
        <w:jc w:val="both"/>
        <w:divId w:val="469060338"/>
        <w:rPr>
          <w:rFonts w:eastAsia="Times New Roman"/>
        </w:rPr>
      </w:pPr>
      <w:r>
        <w:rPr>
          <w:rFonts w:eastAsia="Times New Roman"/>
          <w:color w:val="000000"/>
          <w:sz w:val="20"/>
          <w:szCs w:val="20"/>
        </w:rPr>
        <w:t>Based on the Company’s 2021 supervisory</w:t>
      </w:r>
      <w:r>
        <w:rPr>
          <w:rFonts w:eastAsia="Times New Roman"/>
          <w:color w:val="000000"/>
          <w:sz w:val="20"/>
          <w:szCs w:val="20"/>
        </w:rPr>
        <w:t xml:space="preserve"> stress testing results, the Company’s stress capital buffer requirement for the period beginning on October 1, 2021 through September 30, 2022 is</w:t>
      </w:r>
      <w:r>
        <w:rPr>
          <w:rFonts w:eastAsia="Times New Roman"/>
          <w:color w:val="000000"/>
          <w:sz w:val="20"/>
          <w:szCs w:val="20"/>
          <w:shd w:val="clear" w:color="auto" w:fill="FFFFFF"/>
        </w:rPr>
        <w:t xml:space="preserve"> 2.5%</w:t>
      </w:r>
      <w:r>
        <w:rPr>
          <w:rFonts w:eastAsia="Times New Roman"/>
          <w:color w:val="000000"/>
          <w:sz w:val="20"/>
          <w:szCs w:val="20"/>
        </w:rPr>
        <w:t>. Therefore, the Company’s minimum capital requirements plus the standardized approach capital conservati</w:t>
      </w:r>
      <w:r>
        <w:rPr>
          <w:rFonts w:eastAsia="Times New Roman"/>
          <w:color w:val="000000"/>
          <w:sz w:val="20"/>
          <w:szCs w:val="20"/>
        </w:rPr>
        <w:t xml:space="preserve">on buffer for CET1 capital, Tier 1 capital and total capital ratios under the stress capital buffer framework are </w:t>
      </w:r>
      <w:r>
        <w:rPr>
          <w:rFonts w:eastAsia="Times New Roman"/>
          <w:color w:val="000000"/>
          <w:sz w:val="20"/>
          <w:szCs w:val="20"/>
          <w:shd w:val="clear" w:color="auto" w:fill="FFFFFF"/>
        </w:rPr>
        <w:t>7.0%, 8.5%</w:t>
      </w:r>
      <w:r>
        <w:rPr>
          <w:rFonts w:eastAsia="Times New Roman"/>
          <w:color w:val="000000"/>
          <w:sz w:val="20"/>
          <w:szCs w:val="20"/>
        </w:rPr>
        <w:t xml:space="preserve"> and </w:t>
      </w:r>
      <w:r>
        <w:rPr>
          <w:rFonts w:eastAsia="Times New Roman"/>
          <w:color w:val="000000"/>
          <w:sz w:val="20"/>
          <w:szCs w:val="20"/>
          <w:shd w:val="clear" w:color="auto" w:fill="FFFFFF"/>
        </w:rPr>
        <w:t>10.5%,</w:t>
      </w:r>
      <w:r>
        <w:rPr>
          <w:rFonts w:eastAsia="Times New Roman"/>
          <w:color w:val="000000"/>
          <w:sz w:val="20"/>
          <w:szCs w:val="20"/>
        </w:rPr>
        <w:t xml:space="preserve"> respectively, for the period from October 1, 2021 through September 30, 2022.</w:t>
      </w:r>
    </w:p>
    <w:p w14:paraId="1E217F3D" w14:textId="77777777" w:rsidR="00000000" w:rsidRDefault="00405D16">
      <w:pPr>
        <w:jc w:val="both"/>
        <w:divId w:val="1132140398"/>
        <w:rPr>
          <w:rFonts w:eastAsia="Times New Roman"/>
        </w:rPr>
      </w:pPr>
      <w:r>
        <w:rPr>
          <w:rFonts w:eastAsia="Times New Roman"/>
          <w:color w:val="000000"/>
          <w:sz w:val="20"/>
          <w:szCs w:val="20"/>
        </w:rPr>
        <w:t>The Stress Capital Buffer Rule does not ap</w:t>
      </w:r>
      <w:r>
        <w:rPr>
          <w:rFonts w:eastAsia="Times New Roman"/>
          <w:color w:val="000000"/>
          <w:sz w:val="20"/>
          <w:szCs w:val="20"/>
        </w:rPr>
        <w:t xml:space="preserve">ply to the Banks. The capital conservation buffer for the Banks continues to be fixed at </w:t>
      </w:r>
      <w:r>
        <w:rPr>
          <w:rFonts w:eastAsia="Times New Roman"/>
          <w:color w:val="000000"/>
          <w:sz w:val="20"/>
          <w:szCs w:val="20"/>
          <w:shd w:val="clear" w:color="auto" w:fill="FFFFFF"/>
        </w:rPr>
        <w:t>2.5%</w:t>
      </w:r>
      <w:r>
        <w:rPr>
          <w:rFonts w:eastAsia="Times New Roman"/>
          <w:color w:val="000000"/>
          <w:sz w:val="20"/>
          <w:szCs w:val="20"/>
        </w:rPr>
        <w:t xml:space="preserve">. Accordingly, each Bank’s minimum capital requirements plus its capital conservation buffer for CET1 capital, Tier 1 capital and total capital ratios are </w:t>
      </w:r>
      <w:r>
        <w:rPr>
          <w:rFonts w:eastAsia="Times New Roman"/>
          <w:color w:val="000000"/>
          <w:sz w:val="20"/>
          <w:szCs w:val="20"/>
          <w:shd w:val="clear" w:color="auto" w:fill="FFFFFF"/>
        </w:rPr>
        <w:t>7.0%, 8.</w:t>
      </w:r>
      <w:r>
        <w:rPr>
          <w:rFonts w:eastAsia="Times New Roman"/>
          <w:color w:val="000000"/>
          <w:sz w:val="20"/>
          <w:szCs w:val="20"/>
          <w:shd w:val="clear" w:color="auto" w:fill="FFFFFF"/>
        </w:rPr>
        <w:t>5%</w:t>
      </w:r>
      <w:r>
        <w:rPr>
          <w:rFonts w:eastAsia="Times New Roman"/>
          <w:color w:val="000000"/>
          <w:sz w:val="20"/>
          <w:szCs w:val="20"/>
        </w:rPr>
        <w:t xml:space="preserve"> and </w:t>
      </w:r>
      <w:r>
        <w:rPr>
          <w:rFonts w:eastAsia="Times New Roman"/>
          <w:color w:val="000000"/>
          <w:sz w:val="20"/>
          <w:szCs w:val="20"/>
          <w:shd w:val="clear" w:color="auto" w:fill="FFFFFF"/>
        </w:rPr>
        <w:t>10.5%</w:t>
      </w:r>
      <w:r>
        <w:rPr>
          <w:rFonts w:eastAsia="Times New Roman"/>
          <w:color w:val="000000"/>
          <w:sz w:val="20"/>
          <w:szCs w:val="20"/>
        </w:rPr>
        <w:t xml:space="preserve"> respectively.</w:t>
      </w:r>
    </w:p>
    <w:p w14:paraId="061B0EA5" w14:textId="77777777" w:rsidR="00000000" w:rsidRDefault="00405D16">
      <w:pPr>
        <w:jc w:val="both"/>
        <w:divId w:val="1742941764"/>
        <w:rPr>
          <w:rFonts w:eastAsia="Times New Roman"/>
        </w:rPr>
      </w:pPr>
      <w:r>
        <w:rPr>
          <w:rFonts w:eastAsia="Times New Roman"/>
          <w:color w:val="000000"/>
          <w:sz w:val="20"/>
          <w:szCs w:val="20"/>
        </w:rPr>
        <w:t xml:space="preserve">If we fail to maintain our capital ratios above the minimum capital requirements plus the applicable buffer requirements, we will face increasingly strict automatic limitations on capital distributions and discretionary bonus payments to certain executive </w:t>
      </w:r>
      <w:r>
        <w:rPr>
          <w:rFonts w:eastAsia="Times New Roman"/>
          <w:color w:val="000000"/>
          <w:sz w:val="20"/>
          <w:szCs w:val="20"/>
        </w:rPr>
        <w:t>officers.</w:t>
      </w:r>
    </w:p>
    <w:p w14:paraId="570D8E5B" w14:textId="77777777" w:rsidR="00000000" w:rsidRDefault="00405D16">
      <w:pPr>
        <w:divId w:val="1957567189"/>
        <w:rPr>
          <w:rFonts w:eastAsia="Times New Roman"/>
        </w:rPr>
      </w:pPr>
      <w:r>
        <w:rPr>
          <w:rFonts w:eastAsia="Times New Roman"/>
          <w:color w:val="000000"/>
          <w:sz w:val="20"/>
          <w:szCs w:val="20"/>
        </w:rPr>
        <w:t>As of September 30, 2021 and December 31, 2020, respectively, each of the Company and the Banks exceeded the minimum capital requirements and the buffer requirements applicable to them, and each of the Banks was “well capitalized” under PCA requi</w:t>
      </w:r>
      <w:r>
        <w:rPr>
          <w:rFonts w:eastAsia="Times New Roman"/>
          <w:color w:val="000000"/>
          <w:sz w:val="20"/>
          <w:szCs w:val="20"/>
        </w:rPr>
        <w:t>rements.</w:t>
      </w:r>
    </w:p>
    <w:p w14:paraId="3E1B1EA9" w14:textId="77777777" w:rsidR="00000000" w:rsidRDefault="00405D16">
      <w:pPr>
        <w:jc w:val="both"/>
        <w:divId w:val="1942713685"/>
        <w:rPr>
          <w:rFonts w:eastAsia="Times New Roman"/>
        </w:rPr>
      </w:pPr>
      <w:r>
        <w:rPr>
          <w:rFonts w:eastAsia="Times New Roman"/>
          <w:b/>
          <w:bCs/>
          <w:i/>
          <w:iCs/>
          <w:color w:val="000000"/>
          <w:sz w:val="20"/>
          <w:szCs w:val="20"/>
        </w:rPr>
        <w:t>Market Risk Rule</w:t>
      </w:r>
    </w:p>
    <w:p w14:paraId="31741EEC" w14:textId="77777777" w:rsidR="00000000" w:rsidRDefault="00405D16">
      <w:pPr>
        <w:jc w:val="both"/>
        <w:divId w:val="2032873777"/>
        <w:rPr>
          <w:rFonts w:eastAsia="Times New Roman"/>
        </w:rPr>
      </w:pPr>
      <w:r>
        <w:rPr>
          <w:rFonts w:eastAsia="Times New Roman"/>
          <w:color w:val="000000"/>
          <w:sz w:val="20"/>
          <w:szCs w:val="20"/>
        </w:rPr>
        <w:t>The “Market Risk Rule” supplements the Basel III Capital Rules by requiring institutions subject to the rule to adjust their risk-based capital ratios to reflect the market risk in their trading book. The Market Risk Rule generall</w:t>
      </w:r>
      <w:r>
        <w:rPr>
          <w:rFonts w:eastAsia="Times New Roman"/>
          <w:color w:val="000000"/>
          <w:sz w:val="20"/>
          <w:szCs w:val="20"/>
        </w:rPr>
        <w:t xml:space="preserve">y applies to institutions with aggregate trading assets and liabilities equal to 10% or more of total assets or $1 billion or more. As of September 30, 2021, the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066B5F68" w14:textId="77777777">
        <w:trPr>
          <w:divId w:val="148979782"/>
          <w:jc w:val="center"/>
        </w:trPr>
        <w:tc>
          <w:tcPr>
            <w:tcW w:w="50" w:type="pct"/>
            <w:vAlign w:val="center"/>
            <w:hideMark/>
          </w:tcPr>
          <w:p w14:paraId="4ED3224B" w14:textId="77777777" w:rsidR="00000000" w:rsidRDefault="00405D16">
            <w:pPr>
              <w:jc w:val="both"/>
              <w:rPr>
                <w:rFonts w:eastAsia="Times New Roman"/>
              </w:rPr>
            </w:pPr>
          </w:p>
        </w:tc>
        <w:tc>
          <w:tcPr>
            <w:tcW w:w="1606" w:type="pct"/>
            <w:vAlign w:val="center"/>
            <w:hideMark/>
          </w:tcPr>
          <w:p w14:paraId="14D779EE" w14:textId="77777777" w:rsidR="00000000" w:rsidRDefault="00405D16">
            <w:pPr>
              <w:spacing w:after="100"/>
              <w:rPr>
                <w:rFonts w:eastAsia="Times New Roman"/>
                <w:sz w:val="20"/>
                <w:szCs w:val="20"/>
              </w:rPr>
            </w:pPr>
          </w:p>
        </w:tc>
        <w:tc>
          <w:tcPr>
            <w:tcW w:w="5" w:type="pct"/>
            <w:vAlign w:val="center"/>
            <w:hideMark/>
          </w:tcPr>
          <w:p w14:paraId="296D5B68" w14:textId="77777777" w:rsidR="00000000" w:rsidRDefault="00405D16">
            <w:pPr>
              <w:spacing w:after="100"/>
              <w:rPr>
                <w:rFonts w:eastAsia="Times New Roman"/>
                <w:sz w:val="20"/>
                <w:szCs w:val="20"/>
              </w:rPr>
            </w:pPr>
          </w:p>
        </w:tc>
        <w:tc>
          <w:tcPr>
            <w:tcW w:w="50" w:type="pct"/>
            <w:vAlign w:val="center"/>
            <w:hideMark/>
          </w:tcPr>
          <w:p w14:paraId="6358643E" w14:textId="77777777" w:rsidR="00000000" w:rsidRDefault="00405D16">
            <w:pPr>
              <w:spacing w:after="100"/>
              <w:rPr>
                <w:rFonts w:eastAsia="Times New Roman"/>
                <w:sz w:val="20"/>
                <w:szCs w:val="20"/>
              </w:rPr>
            </w:pPr>
          </w:p>
        </w:tc>
        <w:tc>
          <w:tcPr>
            <w:tcW w:w="1614" w:type="pct"/>
            <w:vAlign w:val="center"/>
            <w:hideMark/>
          </w:tcPr>
          <w:p w14:paraId="510A98F5" w14:textId="77777777" w:rsidR="00000000" w:rsidRDefault="00405D16">
            <w:pPr>
              <w:spacing w:after="100"/>
              <w:rPr>
                <w:rFonts w:eastAsia="Times New Roman"/>
                <w:sz w:val="20"/>
                <w:szCs w:val="20"/>
              </w:rPr>
            </w:pPr>
          </w:p>
        </w:tc>
        <w:tc>
          <w:tcPr>
            <w:tcW w:w="5" w:type="pct"/>
            <w:vAlign w:val="center"/>
            <w:hideMark/>
          </w:tcPr>
          <w:p w14:paraId="1E9AC134" w14:textId="77777777" w:rsidR="00000000" w:rsidRDefault="00405D16">
            <w:pPr>
              <w:spacing w:after="100"/>
              <w:rPr>
                <w:rFonts w:eastAsia="Times New Roman"/>
                <w:sz w:val="20"/>
                <w:szCs w:val="20"/>
              </w:rPr>
            </w:pPr>
          </w:p>
        </w:tc>
        <w:tc>
          <w:tcPr>
            <w:tcW w:w="50" w:type="pct"/>
            <w:vAlign w:val="center"/>
            <w:hideMark/>
          </w:tcPr>
          <w:p w14:paraId="31F2A555" w14:textId="77777777" w:rsidR="00000000" w:rsidRDefault="00405D16">
            <w:pPr>
              <w:spacing w:after="100"/>
              <w:rPr>
                <w:rFonts w:eastAsia="Times New Roman"/>
                <w:sz w:val="20"/>
                <w:szCs w:val="20"/>
              </w:rPr>
            </w:pPr>
          </w:p>
        </w:tc>
        <w:tc>
          <w:tcPr>
            <w:tcW w:w="1614" w:type="pct"/>
            <w:vAlign w:val="center"/>
            <w:hideMark/>
          </w:tcPr>
          <w:p w14:paraId="44BD859F" w14:textId="77777777" w:rsidR="00000000" w:rsidRDefault="00405D16">
            <w:pPr>
              <w:spacing w:after="100"/>
              <w:rPr>
                <w:rFonts w:eastAsia="Times New Roman"/>
                <w:sz w:val="20"/>
                <w:szCs w:val="20"/>
              </w:rPr>
            </w:pPr>
          </w:p>
        </w:tc>
        <w:tc>
          <w:tcPr>
            <w:tcW w:w="5" w:type="pct"/>
            <w:vAlign w:val="center"/>
            <w:hideMark/>
          </w:tcPr>
          <w:p w14:paraId="35BBF323" w14:textId="77777777" w:rsidR="00000000" w:rsidRDefault="00405D16">
            <w:pPr>
              <w:spacing w:after="100"/>
              <w:rPr>
                <w:rFonts w:eastAsia="Times New Roman"/>
                <w:sz w:val="20"/>
                <w:szCs w:val="20"/>
              </w:rPr>
            </w:pPr>
          </w:p>
        </w:tc>
      </w:tr>
      <w:tr w:rsidR="00000000" w14:paraId="5A139595" w14:textId="77777777">
        <w:trPr>
          <w:divId w:val="148979782"/>
          <w:trHeight w:val="300"/>
          <w:jc w:val="center"/>
        </w:trPr>
        <w:tc>
          <w:tcPr>
            <w:tcW w:w="0" w:type="auto"/>
            <w:gridSpan w:val="9"/>
            <w:tcMar>
              <w:top w:w="0" w:type="dxa"/>
              <w:left w:w="20" w:type="dxa"/>
              <w:bottom w:w="0" w:type="dxa"/>
              <w:right w:w="20" w:type="dxa"/>
            </w:tcMar>
            <w:vAlign w:val="center"/>
            <w:hideMark/>
          </w:tcPr>
          <w:p w14:paraId="6037DC84" w14:textId="77777777" w:rsidR="00000000" w:rsidRDefault="00405D16">
            <w:pPr>
              <w:spacing w:after="100"/>
              <w:rPr>
                <w:rFonts w:eastAsia="Times New Roman"/>
                <w:sz w:val="20"/>
                <w:szCs w:val="20"/>
              </w:rPr>
            </w:pPr>
          </w:p>
        </w:tc>
      </w:tr>
      <w:tr w:rsidR="00000000" w14:paraId="608F3CCD" w14:textId="77777777">
        <w:trPr>
          <w:divId w:val="148979782"/>
          <w:jc w:val="center"/>
        </w:trPr>
        <w:tc>
          <w:tcPr>
            <w:tcW w:w="0" w:type="auto"/>
            <w:gridSpan w:val="3"/>
            <w:tcMar>
              <w:top w:w="0" w:type="dxa"/>
              <w:left w:w="20" w:type="dxa"/>
              <w:bottom w:w="0" w:type="dxa"/>
              <w:right w:w="20" w:type="dxa"/>
            </w:tcMar>
            <w:vAlign w:val="center"/>
            <w:hideMark/>
          </w:tcPr>
          <w:p w14:paraId="3C5E68F8"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CEDC4E5" w14:textId="77777777" w:rsidR="00000000" w:rsidRDefault="00405D16">
            <w:pPr>
              <w:spacing w:after="100"/>
              <w:jc w:val="center"/>
              <w:rPr>
                <w:rFonts w:eastAsia="Times New Roman"/>
              </w:rPr>
            </w:pPr>
            <w:r>
              <w:rPr>
                <w:rFonts w:eastAsia="Times New Roman"/>
                <w:color w:val="000000"/>
                <w:sz w:val="16"/>
                <w:szCs w:val="16"/>
              </w:rPr>
              <w:t>31</w:t>
            </w:r>
          </w:p>
        </w:tc>
        <w:tc>
          <w:tcPr>
            <w:tcW w:w="0" w:type="auto"/>
            <w:gridSpan w:val="3"/>
            <w:tcMar>
              <w:top w:w="30" w:type="dxa"/>
              <w:left w:w="20" w:type="dxa"/>
              <w:bottom w:w="30" w:type="dxa"/>
              <w:right w:w="20" w:type="dxa"/>
            </w:tcMar>
            <w:vAlign w:val="bottom"/>
            <w:hideMark/>
          </w:tcPr>
          <w:p w14:paraId="18A72DA8"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721C7C35" w14:textId="77777777" w:rsidR="00000000" w:rsidRDefault="00405D16">
      <w:pPr>
        <w:rPr>
          <w:rFonts w:eastAsia="Times New Roman"/>
        </w:rPr>
      </w:pPr>
      <w:r>
        <w:rPr>
          <w:rFonts w:eastAsia="Times New Roman"/>
        </w:rPr>
        <w:pict w14:anchorId="0056ECB8">
          <v:rect id="_x0000_i1056" style="width:0;height:1.5pt" o:hralign="center" o:hrstd="t" o:hr="t" fillcolor="#a0a0a0" stroked="f"/>
        </w:pict>
      </w:r>
    </w:p>
    <w:p w14:paraId="49D5E122" w14:textId="77777777" w:rsidR="00000000" w:rsidRDefault="00405D16">
      <w:pPr>
        <w:ind w:hanging="360"/>
        <w:jc w:val="both"/>
        <w:divId w:val="1242763388"/>
        <w:rPr>
          <w:rFonts w:eastAsia="Times New Roman"/>
        </w:rPr>
      </w:pPr>
      <w:hyperlink w:anchor="idd54a04a485440b4ab4e56094c14d612_13" w:history="1">
        <w:r>
          <w:rPr>
            <w:rStyle w:val="a3"/>
            <w:rFonts w:eastAsia="Times New Roman"/>
            <w:sz w:val="16"/>
            <w:szCs w:val="16"/>
          </w:rPr>
          <w:t>Table of Contents</w:t>
        </w:r>
      </w:hyperlink>
    </w:p>
    <w:p w14:paraId="2D2AB423" w14:textId="77777777" w:rsidR="00000000" w:rsidRDefault="00405D16">
      <w:pPr>
        <w:jc w:val="both"/>
        <w:divId w:val="1553888760"/>
        <w:rPr>
          <w:rFonts w:eastAsia="Times New Roman"/>
        </w:rPr>
      </w:pPr>
      <w:r>
        <w:rPr>
          <w:rFonts w:eastAsia="Times New Roman"/>
          <w:color w:val="000000"/>
          <w:sz w:val="20"/>
          <w:szCs w:val="20"/>
        </w:rPr>
        <w:t xml:space="preserve">Company and CONA are subject to the Market Risk Rule. See “MD&amp;A—Market Risk Profile” below for additional information. </w:t>
      </w:r>
    </w:p>
    <w:p w14:paraId="5A4D73F0" w14:textId="77777777" w:rsidR="00000000" w:rsidRDefault="00405D16">
      <w:pPr>
        <w:jc w:val="both"/>
        <w:divId w:val="1439981385"/>
        <w:rPr>
          <w:rFonts w:eastAsia="Times New Roman"/>
        </w:rPr>
      </w:pPr>
      <w:r>
        <w:rPr>
          <w:rFonts w:eastAsia="Times New Roman"/>
          <w:b/>
          <w:bCs/>
          <w:i/>
          <w:iCs/>
          <w:color w:val="000000"/>
          <w:sz w:val="20"/>
          <w:szCs w:val="20"/>
        </w:rPr>
        <w:t>CECL Transition Rule</w:t>
      </w:r>
    </w:p>
    <w:p w14:paraId="68659421" w14:textId="77777777" w:rsidR="00000000" w:rsidRDefault="00405D16">
      <w:pPr>
        <w:jc w:val="both"/>
        <w:divId w:val="249392645"/>
        <w:rPr>
          <w:rFonts w:eastAsia="Times New Roman"/>
        </w:rPr>
      </w:pPr>
      <w:r>
        <w:rPr>
          <w:rFonts w:eastAsia="Times New Roman"/>
          <w:color w:val="000000"/>
          <w:sz w:val="20"/>
          <w:szCs w:val="20"/>
        </w:rPr>
        <w:t>Th</w:t>
      </w:r>
      <w:r>
        <w:rPr>
          <w:rFonts w:eastAsia="Times New Roman"/>
          <w:color w:val="000000"/>
          <w:sz w:val="20"/>
          <w:szCs w:val="20"/>
        </w:rPr>
        <w:t>e Federal Banking Agencies adopted a final rule (the “2020 CECL Transition Rule”) that provides banking institutions an optional five-year transition period to phase in the impact of the current expected credit loss (“CECL”) standard on their regulatory ca</w:t>
      </w:r>
      <w:r>
        <w:rPr>
          <w:rFonts w:eastAsia="Times New Roman"/>
          <w:color w:val="000000"/>
          <w:sz w:val="20"/>
          <w:szCs w:val="20"/>
        </w:rPr>
        <w:t>pital (the “2020 CECL Transition Election”).</w:t>
      </w:r>
    </w:p>
    <w:p w14:paraId="1BF09CF1" w14:textId="77777777" w:rsidR="00000000" w:rsidRDefault="00405D16">
      <w:pPr>
        <w:jc w:val="both"/>
        <w:divId w:val="1297299247"/>
        <w:rPr>
          <w:rFonts w:eastAsia="Times New Roman"/>
        </w:rPr>
      </w:pPr>
      <w:r>
        <w:rPr>
          <w:rFonts w:eastAsia="Times New Roman"/>
          <w:color w:val="000000"/>
          <w:sz w:val="20"/>
          <w:szCs w:val="20"/>
        </w:rPr>
        <w:t>Pursuant to the 2020 CECL Transition Rule, a banking institution may elect to delay the estimated impact of adopting CECL on its regulatory capital through December 31, 2021 and then phase in the estimated cumul</w:t>
      </w:r>
      <w:r>
        <w:rPr>
          <w:rFonts w:eastAsia="Times New Roman"/>
          <w:color w:val="000000"/>
          <w:sz w:val="20"/>
          <w:szCs w:val="20"/>
        </w:rPr>
        <w:t xml:space="preserve">ative impact from January 1, 2022 through December 31, 2024. For the “day 2” ongoing impact of CECL during the initial two years, the Federal Banking Agencies use a uniform “scaling factor” of 25% as an approximation of the increase in the allowance under </w:t>
      </w:r>
      <w:r>
        <w:rPr>
          <w:rFonts w:eastAsia="Times New Roman"/>
          <w:color w:val="000000"/>
          <w:sz w:val="20"/>
          <w:szCs w:val="20"/>
        </w:rPr>
        <w:t xml:space="preserve">the CECL standard compared to the prior incurred loss methodology. Accordingly, from January 1, 2020 through December 31, 2021, electing banking institutions are permitted to add back to their regulatory capital an amount equal to the sum of the after-tax </w:t>
      </w:r>
      <w:r>
        <w:rPr>
          <w:rFonts w:eastAsia="Times New Roman"/>
          <w:color w:val="000000"/>
          <w:sz w:val="20"/>
          <w:szCs w:val="20"/>
        </w:rPr>
        <w:t>“day 1” CECL adoption impact and 25% of the increase in the allowance since the adoption of the CECL standard. Beginning January 1, 2022 through December 31, 2024, the after-tax “day 1” CECL adoption impact and the cumulative “day 2” ongoing impact will be</w:t>
      </w:r>
      <w:r>
        <w:rPr>
          <w:rFonts w:eastAsia="Times New Roman"/>
          <w:color w:val="000000"/>
          <w:sz w:val="20"/>
          <w:szCs w:val="20"/>
        </w:rPr>
        <w:t xml:space="preserve"> phased in to regulatory capital at 25% per year. The following table summarizes the capital impact delay and phase in period on our regulatory capital from years 2020 to 2025.</w:t>
      </w:r>
    </w:p>
    <w:tbl>
      <w:tblPr>
        <w:tblW w:w="4963" w:type="pct"/>
        <w:tblCellMar>
          <w:top w:w="15" w:type="dxa"/>
          <w:left w:w="15" w:type="dxa"/>
          <w:bottom w:w="15" w:type="dxa"/>
          <w:right w:w="15" w:type="dxa"/>
        </w:tblCellMar>
        <w:tblLook w:val="04A0" w:firstRow="1" w:lastRow="0" w:firstColumn="1" w:lastColumn="0" w:noHBand="0" w:noVBand="1"/>
      </w:tblPr>
      <w:tblGrid>
        <w:gridCol w:w="53"/>
        <w:gridCol w:w="2299"/>
        <w:gridCol w:w="37"/>
        <w:gridCol w:w="36"/>
        <w:gridCol w:w="36"/>
        <w:gridCol w:w="36"/>
        <w:gridCol w:w="48"/>
        <w:gridCol w:w="775"/>
        <w:gridCol w:w="39"/>
        <w:gridCol w:w="38"/>
        <w:gridCol w:w="38"/>
        <w:gridCol w:w="38"/>
        <w:gridCol w:w="48"/>
        <w:gridCol w:w="773"/>
        <w:gridCol w:w="38"/>
        <w:gridCol w:w="36"/>
        <w:gridCol w:w="36"/>
        <w:gridCol w:w="36"/>
        <w:gridCol w:w="50"/>
        <w:gridCol w:w="775"/>
        <w:gridCol w:w="36"/>
        <w:gridCol w:w="36"/>
        <w:gridCol w:w="36"/>
        <w:gridCol w:w="36"/>
        <w:gridCol w:w="50"/>
        <w:gridCol w:w="776"/>
        <w:gridCol w:w="36"/>
        <w:gridCol w:w="36"/>
        <w:gridCol w:w="36"/>
        <w:gridCol w:w="36"/>
        <w:gridCol w:w="50"/>
        <w:gridCol w:w="789"/>
        <w:gridCol w:w="36"/>
        <w:gridCol w:w="36"/>
        <w:gridCol w:w="36"/>
        <w:gridCol w:w="36"/>
        <w:gridCol w:w="54"/>
        <w:gridCol w:w="793"/>
        <w:gridCol w:w="36"/>
      </w:tblGrid>
      <w:tr w:rsidR="00000000" w14:paraId="4ECC9D81" w14:textId="77777777">
        <w:trPr>
          <w:divId w:val="1357462171"/>
        </w:trPr>
        <w:tc>
          <w:tcPr>
            <w:tcW w:w="50" w:type="pct"/>
            <w:vAlign w:val="center"/>
            <w:hideMark/>
          </w:tcPr>
          <w:p w14:paraId="78C1930D" w14:textId="77777777" w:rsidR="00000000" w:rsidRDefault="00405D16">
            <w:pPr>
              <w:jc w:val="both"/>
              <w:rPr>
                <w:rFonts w:eastAsia="Times New Roman"/>
              </w:rPr>
            </w:pPr>
          </w:p>
        </w:tc>
        <w:tc>
          <w:tcPr>
            <w:tcW w:w="1410" w:type="pct"/>
            <w:vAlign w:val="center"/>
            <w:hideMark/>
          </w:tcPr>
          <w:p w14:paraId="35336132" w14:textId="77777777" w:rsidR="00000000" w:rsidRDefault="00405D16">
            <w:pPr>
              <w:spacing w:after="100"/>
              <w:rPr>
                <w:rFonts w:eastAsia="Times New Roman"/>
                <w:sz w:val="20"/>
                <w:szCs w:val="20"/>
              </w:rPr>
            </w:pPr>
          </w:p>
        </w:tc>
        <w:tc>
          <w:tcPr>
            <w:tcW w:w="5" w:type="pct"/>
            <w:vAlign w:val="center"/>
            <w:hideMark/>
          </w:tcPr>
          <w:p w14:paraId="0F247E3A" w14:textId="77777777" w:rsidR="00000000" w:rsidRDefault="00405D16">
            <w:pPr>
              <w:spacing w:after="100"/>
              <w:rPr>
                <w:rFonts w:eastAsia="Times New Roman"/>
                <w:sz w:val="20"/>
                <w:szCs w:val="20"/>
              </w:rPr>
            </w:pPr>
          </w:p>
        </w:tc>
        <w:tc>
          <w:tcPr>
            <w:tcW w:w="5" w:type="pct"/>
            <w:vAlign w:val="center"/>
            <w:hideMark/>
          </w:tcPr>
          <w:p w14:paraId="060B405B" w14:textId="77777777" w:rsidR="00000000" w:rsidRDefault="00405D16">
            <w:pPr>
              <w:spacing w:after="100"/>
              <w:rPr>
                <w:rFonts w:eastAsia="Times New Roman"/>
                <w:sz w:val="20"/>
                <w:szCs w:val="20"/>
              </w:rPr>
            </w:pPr>
          </w:p>
        </w:tc>
        <w:tc>
          <w:tcPr>
            <w:tcW w:w="26" w:type="pct"/>
            <w:vAlign w:val="center"/>
            <w:hideMark/>
          </w:tcPr>
          <w:p w14:paraId="78B088E5" w14:textId="77777777" w:rsidR="00000000" w:rsidRDefault="00405D16">
            <w:pPr>
              <w:spacing w:after="100"/>
              <w:rPr>
                <w:rFonts w:eastAsia="Times New Roman"/>
                <w:sz w:val="20"/>
                <w:szCs w:val="20"/>
              </w:rPr>
            </w:pPr>
          </w:p>
        </w:tc>
        <w:tc>
          <w:tcPr>
            <w:tcW w:w="5" w:type="pct"/>
            <w:vAlign w:val="center"/>
            <w:hideMark/>
          </w:tcPr>
          <w:p w14:paraId="2780AEFB" w14:textId="77777777" w:rsidR="00000000" w:rsidRDefault="00405D16">
            <w:pPr>
              <w:spacing w:after="100"/>
              <w:rPr>
                <w:rFonts w:eastAsia="Times New Roman"/>
                <w:sz w:val="20"/>
                <w:szCs w:val="20"/>
              </w:rPr>
            </w:pPr>
          </w:p>
        </w:tc>
        <w:tc>
          <w:tcPr>
            <w:tcW w:w="50" w:type="pct"/>
            <w:vAlign w:val="center"/>
            <w:hideMark/>
          </w:tcPr>
          <w:p w14:paraId="0EC59B58" w14:textId="77777777" w:rsidR="00000000" w:rsidRDefault="00405D16">
            <w:pPr>
              <w:spacing w:after="100"/>
              <w:rPr>
                <w:rFonts w:eastAsia="Times New Roman"/>
                <w:sz w:val="20"/>
                <w:szCs w:val="20"/>
              </w:rPr>
            </w:pPr>
          </w:p>
        </w:tc>
        <w:tc>
          <w:tcPr>
            <w:tcW w:w="497" w:type="pct"/>
            <w:vAlign w:val="center"/>
            <w:hideMark/>
          </w:tcPr>
          <w:p w14:paraId="4DE52F5F" w14:textId="77777777" w:rsidR="00000000" w:rsidRDefault="00405D16">
            <w:pPr>
              <w:spacing w:after="100"/>
              <w:rPr>
                <w:rFonts w:eastAsia="Times New Roman"/>
                <w:sz w:val="20"/>
                <w:szCs w:val="20"/>
              </w:rPr>
            </w:pPr>
          </w:p>
        </w:tc>
        <w:tc>
          <w:tcPr>
            <w:tcW w:w="5" w:type="pct"/>
            <w:vAlign w:val="center"/>
            <w:hideMark/>
          </w:tcPr>
          <w:p w14:paraId="6C573663" w14:textId="77777777" w:rsidR="00000000" w:rsidRDefault="00405D16">
            <w:pPr>
              <w:spacing w:after="100"/>
              <w:rPr>
                <w:rFonts w:eastAsia="Times New Roman"/>
                <w:sz w:val="20"/>
                <w:szCs w:val="20"/>
              </w:rPr>
            </w:pPr>
          </w:p>
        </w:tc>
        <w:tc>
          <w:tcPr>
            <w:tcW w:w="5" w:type="pct"/>
            <w:vAlign w:val="center"/>
            <w:hideMark/>
          </w:tcPr>
          <w:p w14:paraId="68CE5CDD" w14:textId="77777777" w:rsidR="00000000" w:rsidRDefault="00405D16">
            <w:pPr>
              <w:spacing w:after="100"/>
              <w:rPr>
                <w:rFonts w:eastAsia="Times New Roman"/>
                <w:sz w:val="20"/>
                <w:szCs w:val="20"/>
              </w:rPr>
            </w:pPr>
          </w:p>
        </w:tc>
        <w:tc>
          <w:tcPr>
            <w:tcW w:w="26" w:type="pct"/>
            <w:vAlign w:val="center"/>
            <w:hideMark/>
          </w:tcPr>
          <w:p w14:paraId="4FCD6F83" w14:textId="77777777" w:rsidR="00000000" w:rsidRDefault="00405D16">
            <w:pPr>
              <w:spacing w:after="100"/>
              <w:rPr>
                <w:rFonts w:eastAsia="Times New Roman"/>
                <w:sz w:val="20"/>
                <w:szCs w:val="20"/>
              </w:rPr>
            </w:pPr>
          </w:p>
        </w:tc>
        <w:tc>
          <w:tcPr>
            <w:tcW w:w="5" w:type="pct"/>
            <w:vAlign w:val="center"/>
            <w:hideMark/>
          </w:tcPr>
          <w:p w14:paraId="173BDDA4" w14:textId="77777777" w:rsidR="00000000" w:rsidRDefault="00405D16">
            <w:pPr>
              <w:spacing w:after="100"/>
              <w:rPr>
                <w:rFonts w:eastAsia="Times New Roman"/>
                <w:sz w:val="20"/>
                <w:szCs w:val="20"/>
              </w:rPr>
            </w:pPr>
          </w:p>
        </w:tc>
        <w:tc>
          <w:tcPr>
            <w:tcW w:w="50" w:type="pct"/>
            <w:vAlign w:val="center"/>
            <w:hideMark/>
          </w:tcPr>
          <w:p w14:paraId="6EB2A961" w14:textId="77777777" w:rsidR="00000000" w:rsidRDefault="00405D16">
            <w:pPr>
              <w:spacing w:after="100"/>
              <w:rPr>
                <w:rFonts w:eastAsia="Times New Roman"/>
                <w:sz w:val="20"/>
                <w:szCs w:val="20"/>
              </w:rPr>
            </w:pPr>
          </w:p>
        </w:tc>
        <w:tc>
          <w:tcPr>
            <w:tcW w:w="497" w:type="pct"/>
            <w:vAlign w:val="center"/>
            <w:hideMark/>
          </w:tcPr>
          <w:p w14:paraId="5718CF0B" w14:textId="77777777" w:rsidR="00000000" w:rsidRDefault="00405D16">
            <w:pPr>
              <w:spacing w:after="100"/>
              <w:rPr>
                <w:rFonts w:eastAsia="Times New Roman"/>
                <w:sz w:val="20"/>
                <w:szCs w:val="20"/>
              </w:rPr>
            </w:pPr>
          </w:p>
        </w:tc>
        <w:tc>
          <w:tcPr>
            <w:tcW w:w="5" w:type="pct"/>
            <w:vAlign w:val="center"/>
            <w:hideMark/>
          </w:tcPr>
          <w:p w14:paraId="6DCBCCE8" w14:textId="77777777" w:rsidR="00000000" w:rsidRDefault="00405D16">
            <w:pPr>
              <w:spacing w:after="100"/>
              <w:rPr>
                <w:rFonts w:eastAsia="Times New Roman"/>
                <w:sz w:val="20"/>
                <w:szCs w:val="20"/>
              </w:rPr>
            </w:pPr>
          </w:p>
        </w:tc>
        <w:tc>
          <w:tcPr>
            <w:tcW w:w="5" w:type="pct"/>
            <w:vAlign w:val="center"/>
            <w:hideMark/>
          </w:tcPr>
          <w:p w14:paraId="3E80E069" w14:textId="77777777" w:rsidR="00000000" w:rsidRDefault="00405D16">
            <w:pPr>
              <w:spacing w:after="100"/>
              <w:rPr>
                <w:rFonts w:eastAsia="Times New Roman"/>
                <w:sz w:val="20"/>
                <w:szCs w:val="20"/>
              </w:rPr>
            </w:pPr>
          </w:p>
        </w:tc>
        <w:tc>
          <w:tcPr>
            <w:tcW w:w="26" w:type="pct"/>
            <w:vAlign w:val="center"/>
            <w:hideMark/>
          </w:tcPr>
          <w:p w14:paraId="712DE6FF" w14:textId="77777777" w:rsidR="00000000" w:rsidRDefault="00405D16">
            <w:pPr>
              <w:spacing w:after="100"/>
              <w:rPr>
                <w:rFonts w:eastAsia="Times New Roman"/>
                <w:sz w:val="20"/>
                <w:szCs w:val="20"/>
              </w:rPr>
            </w:pPr>
          </w:p>
        </w:tc>
        <w:tc>
          <w:tcPr>
            <w:tcW w:w="5" w:type="pct"/>
            <w:vAlign w:val="center"/>
            <w:hideMark/>
          </w:tcPr>
          <w:p w14:paraId="0903B016" w14:textId="77777777" w:rsidR="00000000" w:rsidRDefault="00405D16">
            <w:pPr>
              <w:spacing w:after="100"/>
              <w:rPr>
                <w:rFonts w:eastAsia="Times New Roman"/>
                <w:sz w:val="20"/>
                <w:szCs w:val="20"/>
              </w:rPr>
            </w:pPr>
          </w:p>
        </w:tc>
        <w:tc>
          <w:tcPr>
            <w:tcW w:w="50" w:type="pct"/>
            <w:vAlign w:val="center"/>
            <w:hideMark/>
          </w:tcPr>
          <w:p w14:paraId="6D8701BF" w14:textId="77777777" w:rsidR="00000000" w:rsidRDefault="00405D16">
            <w:pPr>
              <w:spacing w:after="100"/>
              <w:rPr>
                <w:rFonts w:eastAsia="Times New Roman"/>
                <w:sz w:val="20"/>
                <w:szCs w:val="20"/>
              </w:rPr>
            </w:pPr>
          </w:p>
        </w:tc>
        <w:tc>
          <w:tcPr>
            <w:tcW w:w="497" w:type="pct"/>
            <w:vAlign w:val="center"/>
            <w:hideMark/>
          </w:tcPr>
          <w:p w14:paraId="6F5B00B5" w14:textId="77777777" w:rsidR="00000000" w:rsidRDefault="00405D16">
            <w:pPr>
              <w:spacing w:after="100"/>
              <w:rPr>
                <w:rFonts w:eastAsia="Times New Roman"/>
                <w:sz w:val="20"/>
                <w:szCs w:val="20"/>
              </w:rPr>
            </w:pPr>
          </w:p>
        </w:tc>
        <w:tc>
          <w:tcPr>
            <w:tcW w:w="5" w:type="pct"/>
            <w:vAlign w:val="center"/>
            <w:hideMark/>
          </w:tcPr>
          <w:p w14:paraId="11371791" w14:textId="77777777" w:rsidR="00000000" w:rsidRDefault="00405D16">
            <w:pPr>
              <w:spacing w:after="100"/>
              <w:rPr>
                <w:rFonts w:eastAsia="Times New Roman"/>
                <w:sz w:val="20"/>
                <w:szCs w:val="20"/>
              </w:rPr>
            </w:pPr>
          </w:p>
        </w:tc>
        <w:tc>
          <w:tcPr>
            <w:tcW w:w="5" w:type="pct"/>
            <w:vAlign w:val="center"/>
            <w:hideMark/>
          </w:tcPr>
          <w:p w14:paraId="098FDA3D" w14:textId="77777777" w:rsidR="00000000" w:rsidRDefault="00405D16">
            <w:pPr>
              <w:spacing w:after="100"/>
              <w:rPr>
                <w:rFonts w:eastAsia="Times New Roman"/>
                <w:sz w:val="20"/>
                <w:szCs w:val="20"/>
              </w:rPr>
            </w:pPr>
          </w:p>
        </w:tc>
        <w:tc>
          <w:tcPr>
            <w:tcW w:w="26" w:type="pct"/>
            <w:vAlign w:val="center"/>
            <w:hideMark/>
          </w:tcPr>
          <w:p w14:paraId="6EB4115A" w14:textId="77777777" w:rsidR="00000000" w:rsidRDefault="00405D16">
            <w:pPr>
              <w:spacing w:after="100"/>
              <w:rPr>
                <w:rFonts w:eastAsia="Times New Roman"/>
                <w:sz w:val="20"/>
                <w:szCs w:val="20"/>
              </w:rPr>
            </w:pPr>
          </w:p>
        </w:tc>
        <w:tc>
          <w:tcPr>
            <w:tcW w:w="5" w:type="pct"/>
            <w:vAlign w:val="center"/>
            <w:hideMark/>
          </w:tcPr>
          <w:p w14:paraId="0D0A9692" w14:textId="77777777" w:rsidR="00000000" w:rsidRDefault="00405D16">
            <w:pPr>
              <w:spacing w:after="100"/>
              <w:rPr>
                <w:rFonts w:eastAsia="Times New Roman"/>
                <w:sz w:val="20"/>
                <w:szCs w:val="20"/>
              </w:rPr>
            </w:pPr>
          </w:p>
        </w:tc>
        <w:tc>
          <w:tcPr>
            <w:tcW w:w="50" w:type="pct"/>
            <w:vAlign w:val="center"/>
            <w:hideMark/>
          </w:tcPr>
          <w:p w14:paraId="6A3F0FAA" w14:textId="77777777" w:rsidR="00000000" w:rsidRDefault="00405D16">
            <w:pPr>
              <w:spacing w:after="100"/>
              <w:rPr>
                <w:rFonts w:eastAsia="Times New Roman"/>
                <w:sz w:val="20"/>
                <w:szCs w:val="20"/>
              </w:rPr>
            </w:pPr>
          </w:p>
        </w:tc>
        <w:tc>
          <w:tcPr>
            <w:tcW w:w="497" w:type="pct"/>
            <w:vAlign w:val="center"/>
            <w:hideMark/>
          </w:tcPr>
          <w:p w14:paraId="1048E88B" w14:textId="77777777" w:rsidR="00000000" w:rsidRDefault="00405D16">
            <w:pPr>
              <w:spacing w:after="100"/>
              <w:rPr>
                <w:rFonts w:eastAsia="Times New Roman"/>
                <w:sz w:val="20"/>
                <w:szCs w:val="20"/>
              </w:rPr>
            </w:pPr>
          </w:p>
        </w:tc>
        <w:tc>
          <w:tcPr>
            <w:tcW w:w="5" w:type="pct"/>
            <w:vAlign w:val="center"/>
            <w:hideMark/>
          </w:tcPr>
          <w:p w14:paraId="580DD2AB" w14:textId="77777777" w:rsidR="00000000" w:rsidRDefault="00405D16">
            <w:pPr>
              <w:spacing w:after="100"/>
              <w:rPr>
                <w:rFonts w:eastAsia="Times New Roman"/>
                <w:sz w:val="20"/>
                <w:szCs w:val="20"/>
              </w:rPr>
            </w:pPr>
          </w:p>
        </w:tc>
        <w:tc>
          <w:tcPr>
            <w:tcW w:w="5" w:type="pct"/>
            <w:vAlign w:val="center"/>
            <w:hideMark/>
          </w:tcPr>
          <w:p w14:paraId="2557D07A" w14:textId="77777777" w:rsidR="00000000" w:rsidRDefault="00405D16">
            <w:pPr>
              <w:spacing w:after="100"/>
              <w:rPr>
                <w:rFonts w:eastAsia="Times New Roman"/>
                <w:sz w:val="20"/>
                <w:szCs w:val="20"/>
              </w:rPr>
            </w:pPr>
          </w:p>
        </w:tc>
        <w:tc>
          <w:tcPr>
            <w:tcW w:w="34" w:type="pct"/>
            <w:vAlign w:val="center"/>
            <w:hideMark/>
          </w:tcPr>
          <w:p w14:paraId="34E59071" w14:textId="77777777" w:rsidR="00000000" w:rsidRDefault="00405D16">
            <w:pPr>
              <w:spacing w:after="100"/>
              <w:rPr>
                <w:rFonts w:eastAsia="Times New Roman"/>
                <w:sz w:val="20"/>
                <w:szCs w:val="20"/>
              </w:rPr>
            </w:pPr>
          </w:p>
        </w:tc>
        <w:tc>
          <w:tcPr>
            <w:tcW w:w="5" w:type="pct"/>
            <w:vAlign w:val="center"/>
            <w:hideMark/>
          </w:tcPr>
          <w:p w14:paraId="65E31AC3" w14:textId="77777777" w:rsidR="00000000" w:rsidRDefault="00405D16">
            <w:pPr>
              <w:spacing w:after="100"/>
              <w:rPr>
                <w:rFonts w:eastAsia="Times New Roman"/>
                <w:sz w:val="20"/>
                <w:szCs w:val="20"/>
              </w:rPr>
            </w:pPr>
          </w:p>
        </w:tc>
        <w:tc>
          <w:tcPr>
            <w:tcW w:w="50" w:type="pct"/>
            <w:vAlign w:val="center"/>
            <w:hideMark/>
          </w:tcPr>
          <w:p w14:paraId="54869144" w14:textId="77777777" w:rsidR="00000000" w:rsidRDefault="00405D16">
            <w:pPr>
              <w:spacing w:after="100"/>
              <w:rPr>
                <w:rFonts w:eastAsia="Times New Roman"/>
                <w:sz w:val="20"/>
                <w:szCs w:val="20"/>
              </w:rPr>
            </w:pPr>
          </w:p>
        </w:tc>
        <w:tc>
          <w:tcPr>
            <w:tcW w:w="497" w:type="pct"/>
            <w:vAlign w:val="center"/>
            <w:hideMark/>
          </w:tcPr>
          <w:p w14:paraId="497FC328" w14:textId="77777777" w:rsidR="00000000" w:rsidRDefault="00405D16">
            <w:pPr>
              <w:spacing w:after="100"/>
              <w:rPr>
                <w:rFonts w:eastAsia="Times New Roman"/>
                <w:sz w:val="20"/>
                <w:szCs w:val="20"/>
              </w:rPr>
            </w:pPr>
          </w:p>
        </w:tc>
        <w:tc>
          <w:tcPr>
            <w:tcW w:w="5" w:type="pct"/>
            <w:vAlign w:val="center"/>
            <w:hideMark/>
          </w:tcPr>
          <w:p w14:paraId="456EAD1F" w14:textId="77777777" w:rsidR="00000000" w:rsidRDefault="00405D16">
            <w:pPr>
              <w:spacing w:after="100"/>
              <w:rPr>
                <w:rFonts w:eastAsia="Times New Roman"/>
                <w:sz w:val="20"/>
                <w:szCs w:val="20"/>
              </w:rPr>
            </w:pPr>
          </w:p>
        </w:tc>
        <w:tc>
          <w:tcPr>
            <w:tcW w:w="5" w:type="pct"/>
            <w:vAlign w:val="center"/>
            <w:hideMark/>
          </w:tcPr>
          <w:p w14:paraId="41F46510" w14:textId="77777777" w:rsidR="00000000" w:rsidRDefault="00405D16">
            <w:pPr>
              <w:spacing w:after="100"/>
              <w:rPr>
                <w:rFonts w:eastAsia="Times New Roman"/>
                <w:sz w:val="20"/>
                <w:szCs w:val="20"/>
              </w:rPr>
            </w:pPr>
          </w:p>
        </w:tc>
        <w:tc>
          <w:tcPr>
            <w:tcW w:w="19" w:type="pct"/>
            <w:vAlign w:val="center"/>
            <w:hideMark/>
          </w:tcPr>
          <w:p w14:paraId="57D5F8BE" w14:textId="77777777" w:rsidR="00000000" w:rsidRDefault="00405D16">
            <w:pPr>
              <w:spacing w:after="100"/>
              <w:rPr>
                <w:rFonts w:eastAsia="Times New Roman"/>
                <w:sz w:val="20"/>
                <w:szCs w:val="20"/>
              </w:rPr>
            </w:pPr>
          </w:p>
        </w:tc>
        <w:tc>
          <w:tcPr>
            <w:tcW w:w="5" w:type="pct"/>
            <w:vAlign w:val="center"/>
            <w:hideMark/>
          </w:tcPr>
          <w:p w14:paraId="46B47A5F" w14:textId="77777777" w:rsidR="00000000" w:rsidRDefault="00405D16">
            <w:pPr>
              <w:spacing w:after="100"/>
              <w:rPr>
                <w:rFonts w:eastAsia="Times New Roman"/>
                <w:sz w:val="20"/>
                <w:szCs w:val="20"/>
              </w:rPr>
            </w:pPr>
          </w:p>
        </w:tc>
        <w:tc>
          <w:tcPr>
            <w:tcW w:w="50" w:type="pct"/>
            <w:vAlign w:val="center"/>
            <w:hideMark/>
          </w:tcPr>
          <w:p w14:paraId="14C77731" w14:textId="77777777" w:rsidR="00000000" w:rsidRDefault="00405D16">
            <w:pPr>
              <w:spacing w:after="100"/>
              <w:rPr>
                <w:rFonts w:eastAsia="Times New Roman"/>
                <w:sz w:val="20"/>
                <w:szCs w:val="20"/>
              </w:rPr>
            </w:pPr>
          </w:p>
        </w:tc>
        <w:tc>
          <w:tcPr>
            <w:tcW w:w="497" w:type="pct"/>
            <w:vAlign w:val="center"/>
            <w:hideMark/>
          </w:tcPr>
          <w:p w14:paraId="43343CC3" w14:textId="77777777" w:rsidR="00000000" w:rsidRDefault="00405D16">
            <w:pPr>
              <w:spacing w:after="100"/>
              <w:rPr>
                <w:rFonts w:eastAsia="Times New Roman"/>
                <w:sz w:val="20"/>
                <w:szCs w:val="20"/>
              </w:rPr>
            </w:pPr>
          </w:p>
        </w:tc>
        <w:tc>
          <w:tcPr>
            <w:tcW w:w="5" w:type="pct"/>
            <w:vAlign w:val="center"/>
            <w:hideMark/>
          </w:tcPr>
          <w:p w14:paraId="460BD3E4" w14:textId="77777777" w:rsidR="00000000" w:rsidRDefault="00405D16">
            <w:pPr>
              <w:spacing w:after="100"/>
              <w:rPr>
                <w:rFonts w:eastAsia="Times New Roman"/>
                <w:sz w:val="20"/>
                <w:szCs w:val="20"/>
              </w:rPr>
            </w:pPr>
          </w:p>
        </w:tc>
      </w:tr>
      <w:tr w:rsidR="00000000" w14:paraId="3ECFDEC1" w14:textId="77777777">
        <w:trPr>
          <w:divId w:val="1357462171"/>
        </w:trPr>
        <w:tc>
          <w:tcPr>
            <w:tcW w:w="0" w:type="auto"/>
            <w:gridSpan w:val="3"/>
            <w:tcMar>
              <w:top w:w="0" w:type="dxa"/>
              <w:left w:w="20" w:type="dxa"/>
              <w:bottom w:w="0" w:type="dxa"/>
              <w:right w:w="20" w:type="dxa"/>
            </w:tcMar>
            <w:vAlign w:val="center"/>
            <w:hideMark/>
          </w:tcPr>
          <w:p w14:paraId="1AC3493D"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0DD67CD" w14:textId="77777777" w:rsidR="00000000" w:rsidRDefault="00405D1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8E3F79E" w14:textId="77777777" w:rsidR="00000000" w:rsidRDefault="00405D16">
            <w:pPr>
              <w:spacing w:after="100"/>
              <w:jc w:val="center"/>
              <w:rPr>
                <w:rFonts w:eastAsia="Times New Roman"/>
              </w:rPr>
            </w:pPr>
            <w:r>
              <w:rPr>
                <w:rFonts w:eastAsia="Times New Roman"/>
                <w:b/>
                <w:bCs/>
                <w:color w:val="000000"/>
                <w:sz w:val="18"/>
                <w:szCs w:val="18"/>
              </w:rPr>
              <w:t>Capital Impact Delayed</w:t>
            </w:r>
          </w:p>
        </w:tc>
        <w:tc>
          <w:tcPr>
            <w:tcW w:w="0" w:type="auto"/>
            <w:gridSpan w:val="3"/>
            <w:tcMar>
              <w:top w:w="0" w:type="dxa"/>
              <w:left w:w="20" w:type="dxa"/>
              <w:bottom w:w="0" w:type="dxa"/>
              <w:right w:w="20" w:type="dxa"/>
            </w:tcMar>
            <w:vAlign w:val="center"/>
            <w:hideMark/>
          </w:tcPr>
          <w:p w14:paraId="3C9F4190" w14:textId="77777777" w:rsidR="00000000" w:rsidRDefault="00405D16">
            <w:pPr>
              <w:spacing w:after="100"/>
              <w:jc w:val="center"/>
              <w:rPr>
                <w:rFonts w:eastAsia="Times New Roman"/>
              </w:rPr>
            </w:pPr>
          </w:p>
        </w:tc>
        <w:tc>
          <w:tcPr>
            <w:tcW w:w="0" w:type="auto"/>
            <w:gridSpan w:val="21"/>
            <w:tcMar>
              <w:top w:w="30" w:type="dxa"/>
              <w:left w:w="20" w:type="dxa"/>
              <w:bottom w:w="30" w:type="dxa"/>
              <w:right w:w="20" w:type="dxa"/>
            </w:tcMar>
            <w:vAlign w:val="bottom"/>
            <w:hideMark/>
          </w:tcPr>
          <w:p w14:paraId="44A310FF" w14:textId="77777777" w:rsidR="00000000" w:rsidRDefault="00405D16">
            <w:pPr>
              <w:spacing w:after="100"/>
              <w:jc w:val="center"/>
              <w:rPr>
                <w:rFonts w:eastAsia="Times New Roman"/>
              </w:rPr>
            </w:pPr>
            <w:r>
              <w:rPr>
                <w:rFonts w:eastAsia="Times New Roman"/>
                <w:b/>
                <w:bCs/>
                <w:color w:val="000000"/>
                <w:sz w:val="18"/>
                <w:szCs w:val="18"/>
              </w:rPr>
              <w:t>Phase In Period</w:t>
            </w:r>
          </w:p>
        </w:tc>
      </w:tr>
      <w:tr w:rsidR="00000000" w14:paraId="22B6AC39" w14:textId="77777777">
        <w:trPr>
          <w:divId w:val="1357462171"/>
        </w:trPr>
        <w:tc>
          <w:tcPr>
            <w:tcW w:w="0" w:type="auto"/>
            <w:gridSpan w:val="3"/>
            <w:tcMar>
              <w:top w:w="0" w:type="dxa"/>
              <w:left w:w="20" w:type="dxa"/>
              <w:bottom w:w="0" w:type="dxa"/>
              <w:right w:w="20" w:type="dxa"/>
            </w:tcMar>
            <w:vAlign w:val="center"/>
            <w:hideMark/>
          </w:tcPr>
          <w:p w14:paraId="47A15CF7" w14:textId="77777777" w:rsidR="00000000" w:rsidRDefault="00405D1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4785B2E"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84EB951" w14:textId="77777777" w:rsidR="00000000" w:rsidRDefault="00405D16">
            <w:pPr>
              <w:spacing w:after="100"/>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14:paraId="2F284ED0" w14:textId="77777777" w:rsidR="00000000" w:rsidRDefault="00405D1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8645B1A" w14:textId="77777777" w:rsidR="00000000" w:rsidRDefault="00405D16">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7D07D09B"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FDAB42F" w14:textId="77777777" w:rsidR="00000000" w:rsidRDefault="00405D16">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743F3BDF"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8E8E12F" w14:textId="77777777" w:rsidR="00000000" w:rsidRDefault="00405D16">
            <w:pPr>
              <w:spacing w:after="100"/>
              <w:jc w:val="center"/>
              <w:rPr>
                <w:rFonts w:eastAsia="Times New Roman"/>
              </w:rPr>
            </w:pPr>
            <w:r>
              <w:rPr>
                <w:rFonts w:eastAsia="Times New Roman"/>
                <w:b/>
                <w:bCs/>
                <w:color w:val="000000"/>
                <w:sz w:val="18"/>
                <w:szCs w:val="18"/>
              </w:rPr>
              <w:t>2023</w:t>
            </w:r>
          </w:p>
        </w:tc>
        <w:tc>
          <w:tcPr>
            <w:tcW w:w="0" w:type="auto"/>
            <w:gridSpan w:val="3"/>
            <w:tcBorders>
              <w:top w:val="single" w:sz="8" w:space="0" w:color="000000"/>
            </w:tcBorders>
            <w:tcMar>
              <w:top w:w="0" w:type="dxa"/>
              <w:left w:w="20" w:type="dxa"/>
              <w:bottom w:w="0" w:type="dxa"/>
              <w:right w:w="20" w:type="dxa"/>
            </w:tcMar>
            <w:vAlign w:val="center"/>
            <w:hideMark/>
          </w:tcPr>
          <w:p w14:paraId="591395A0"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F5FF4E3" w14:textId="77777777" w:rsidR="00000000" w:rsidRDefault="00405D16">
            <w:pPr>
              <w:spacing w:after="100"/>
              <w:jc w:val="center"/>
              <w:rPr>
                <w:rFonts w:eastAsia="Times New Roman"/>
              </w:rPr>
            </w:pPr>
            <w:r>
              <w:rPr>
                <w:rFonts w:eastAsia="Times New Roman"/>
                <w:b/>
                <w:bCs/>
                <w:color w:val="000000"/>
                <w:sz w:val="18"/>
                <w:szCs w:val="18"/>
              </w:rPr>
              <w:t>2024</w:t>
            </w:r>
          </w:p>
        </w:tc>
        <w:tc>
          <w:tcPr>
            <w:tcW w:w="0" w:type="auto"/>
            <w:gridSpan w:val="3"/>
            <w:tcBorders>
              <w:top w:val="single" w:sz="8" w:space="0" w:color="000000"/>
            </w:tcBorders>
            <w:tcMar>
              <w:top w:w="0" w:type="dxa"/>
              <w:left w:w="20" w:type="dxa"/>
              <w:bottom w:w="0" w:type="dxa"/>
              <w:right w:w="20" w:type="dxa"/>
            </w:tcMar>
            <w:vAlign w:val="center"/>
            <w:hideMark/>
          </w:tcPr>
          <w:p w14:paraId="7F429987"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908D3EB" w14:textId="77777777" w:rsidR="00000000" w:rsidRDefault="00405D16">
            <w:pPr>
              <w:spacing w:after="100"/>
              <w:jc w:val="center"/>
              <w:rPr>
                <w:rFonts w:eastAsia="Times New Roman"/>
              </w:rPr>
            </w:pPr>
            <w:r>
              <w:rPr>
                <w:rFonts w:eastAsia="Times New Roman"/>
                <w:b/>
                <w:bCs/>
                <w:color w:val="000000"/>
                <w:sz w:val="18"/>
                <w:szCs w:val="18"/>
              </w:rPr>
              <w:t>2025</w:t>
            </w:r>
          </w:p>
        </w:tc>
      </w:tr>
      <w:tr w:rsidR="00000000" w14:paraId="7BD5320D" w14:textId="77777777">
        <w:trPr>
          <w:divId w:val="1357462171"/>
          <w:trHeight w:val="480"/>
        </w:trPr>
        <w:tc>
          <w:tcPr>
            <w:tcW w:w="0" w:type="auto"/>
            <w:gridSpan w:val="3"/>
            <w:tcBorders>
              <w:top w:val="single" w:sz="8" w:space="0" w:color="000000"/>
            </w:tcBorders>
            <w:tcMar>
              <w:top w:w="30" w:type="dxa"/>
              <w:left w:w="20" w:type="dxa"/>
              <w:bottom w:w="30" w:type="dxa"/>
              <w:right w:w="20" w:type="dxa"/>
            </w:tcMar>
            <w:vAlign w:val="center"/>
            <w:hideMark/>
          </w:tcPr>
          <w:p w14:paraId="54F9D5FB" w14:textId="77777777" w:rsidR="00000000" w:rsidRDefault="00405D16">
            <w:pPr>
              <w:spacing w:after="100"/>
              <w:rPr>
                <w:rFonts w:eastAsia="Times New Roman"/>
              </w:rPr>
            </w:pPr>
            <w:r>
              <w:rPr>
                <w:rFonts w:eastAsia="Times New Roman"/>
                <w:color w:val="000000"/>
                <w:sz w:val="18"/>
                <w:szCs w:val="18"/>
              </w:rPr>
              <w:t>“Day 1” CECL adoption impact</w:t>
            </w:r>
          </w:p>
        </w:tc>
        <w:tc>
          <w:tcPr>
            <w:tcW w:w="0" w:type="auto"/>
            <w:gridSpan w:val="3"/>
            <w:tcMar>
              <w:top w:w="0" w:type="dxa"/>
              <w:left w:w="20" w:type="dxa"/>
              <w:bottom w:w="0" w:type="dxa"/>
              <w:right w:w="20" w:type="dxa"/>
            </w:tcMar>
            <w:vAlign w:val="center"/>
            <w:hideMark/>
          </w:tcPr>
          <w:p w14:paraId="0F92DEC5" w14:textId="77777777" w:rsidR="00000000" w:rsidRDefault="00405D16">
            <w:pPr>
              <w:spacing w:after="100"/>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center"/>
            <w:hideMark/>
          </w:tcPr>
          <w:p w14:paraId="1078E437" w14:textId="77777777" w:rsidR="00000000" w:rsidRDefault="00405D16">
            <w:pPr>
              <w:spacing w:after="100"/>
              <w:jc w:val="center"/>
              <w:rPr>
                <w:rFonts w:eastAsia="Times New Roman"/>
              </w:rPr>
            </w:pPr>
            <w:r>
              <w:rPr>
                <w:rFonts w:eastAsia="Times New Roman"/>
                <w:color w:val="000000"/>
                <w:sz w:val="18"/>
                <w:szCs w:val="18"/>
              </w:rPr>
              <w:t>Capital impact delayed to 2022</w:t>
            </w:r>
          </w:p>
        </w:tc>
        <w:tc>
          <w:tcPr>
            <w:tcW w:w="0" w:type="auto"/>
            <w:gridSpan w:val="3"/>
            <w:tcMar>
              <w:top w:w="0" w:type="dxa"/>
              <w:left w:w="20" w:type="dxa"/>
              <w:bottom w:w="0" w:type="dxa"/>
              <w:right w:w="20" w:type="dxa"/>
            </w:tcMar>
            <w:vAlign w:val="center"/>
            <w:hideMark/>
          </w:tcPr>
          <w:p w14:paraId="08D7D1C0" w14:textId="77777777" w:rsidR="00000000" w:rsidRDefault="00405D16">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14:paraId="5A9655F7" w14:textId="77777777" w:rsidR="00000000" w:rsidRDefault="00405D16">
            <w:pPr>
              <w:spacing w:after="100"/>
              <w:jc w:val="center"/>
              <w:rPr>
                <w:rFonts w:eastAsia="Times New Roman"/>
              </w:rPr>
            </w:pPr>
            <w:r>
              <w:rPr>
                <w:rFonts w:eastAsia="Times New Roman"/>
                <w:color w:val="000000"/>
                <w:sz w:val="18"/>
                <w:szCs w:val="18"/>
              </w:rPr>
              <w:t>25% Phased In</w:t>
            </w:r>
          </w:p>
        </w:tc>
        <w:tc>
          <w:tcPr>
            <w:tcW w:w="0" w:type="auto"/>
            <w:gridSpan w:val="3"/>
            <w:tcMar>
              <w:top w:w="0" w:type="dxa"/>
              <w:left w:w="20" w:type="dxa"/>
              <w:bottom w:w="0" w:type="dxa"/>
              <w:right w:w="20" w:type="dxa"/>
            </w:tcMar>
            <w:vAlign w:val="center"/>
            <w:hideMark/>
          </w:tcPr>
          <w:p w14:paraId="546CCCCE" w14:textId="77777777" w:rsidR="00000000" w:rsidRDefault="00405D16">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14:paraId="6CF9E023" w14:textId="77777777" w:rsidR="00000000" w:rsidRDefault="00405D16">
            <w:pPr>
              <w:spacing w:after="100"/>
              <w:jc w:val="center"/>
              <w:rPr>
                <w:rFonts w:eastAsia="Times New Roman"/>
              </w:rPr>
            </w:pPr>
            <w:r>
              <w:rPr>
                <w:rFonts w:eastAsia="Times New Roman"/>
                <w:color w:val="000000"/>
                <w:sz w:val="18"/>
                <w:szCs w:val="18"/>
              </w:rPr>
              <w:t>50% Phased In</w:t>
            </w:r>
          </w:p>
        </w:tc>
        <w:tc>
          <w:tcPr>
            <w:tcW w:w="0" w:type="auto"/>
            <w:gridSpan w:val="3"/>
            <w:tcMar>
              <w:top w:w="0" w:type="dxa"/>
              <w:left w:w="20" w:type="dxa"/>
              <w:bottom w:w="0" w:type="dxa"/>
              <w:right w:w="20" w:type="dxa"/>
            </w:tcMar>
            <w:vAlign w:val="center"/>
            <w:hideMark/>
          </w:tcPr>
          <w:p w14:paraId="49188EBB" w14:textId="77777777" w:rsidR="00000000" w:rsidRDefault="00405D16">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14:paraId="4E288B0D" w14:textId="77777777" w:rsidR="00000000" w:rsidRDefault="00405D16">
            <w:pPr>
              <w:spacing w:after="100"/>
              <w:jc w:val="center"/>
              <w:rPr>
                <w:rFonts w:eastAsia="Times New Roman"/>
              </w:rPr>
            </w:pPr>
            <w:r>
              <w:rPr>
                <w:rFonts w:eastAsia="Times New Roman"/>
                <w:color w:val="000000"/>
                <w:sz w:val="18"/>
                <w:szCs w:val="18"/>
              </w:rPr>
              <w:t>75% Phased In</w:t>
            </w:r>
          </w:p>
        </w:tc>
        <w:tc>
          <w:tcPr>
            <w:tcW w:w="0" w:type="auto"/>
            <w:gridSpan w:val="3"/>
            <w:tcMar>
              <w:top w:w="0" w:type="dxa"/>
              <w:left w:w="20" w:type="dxa"/>
              <w:bottom w:w="0" w:type="dxa"/>
              <w:right w:w="20" w:type="dxa"/>
            </w:tcMar>
            <w:vAlign w:val="center"/>
            <w:hideMark/>
          </w:tcPr>
          <w:p w14:paraId="046B59E0" w14:textId="77777777" w:rsidR="00000000" w:rsidRDefault="00405D16">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14:paraId="2563AC49" w14:textId="77777777" w:rsidR="00000000" w:rsidRDefault="00405D16">
            <w:pPr>
              <w:spacing w:after="100"/>
              <w:jc w:val="center"/>
              <w:rPr>
                <w:rFonts w:eastAsia="Times New Roman"/>
              </w:rPr>
            </w:pPr>
            <w:r>
              <w:rPr>
                <w:rFonts w:eastAsia="Times New Roman"/>
                <w:color w:val="000000"/>
                <w:sz w:val="18"/>
                <w:szCs w:val="18"/>
              </w:rPr>
              <w:t>Fully Phased In</w:t>
            </w:r>
          </w:p>
        </w:tc>
      </w:tr>
      <w:tr w:rsidR="00000000" w14:paraId="0859FA8C" w14:textId="77777777">
        <w:trPr>
          <w:divId w:val="1357462171"/>
          <w:trHeight w:val="640"/>
        </w:trPr>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14:paraId="3CEE0C24" w14:textId="77777777" w:rsidR="00000000" w:rsidRDefault="00405D16">
            <w:pPr>
              <w:spacing w:after="100"/>
              <w:rPr>
                <w:rFonts w:eastAsia="Times New Roman"/>
              </w:rPr>
            </w:pPr>
            <w:r>
              <w:rPr>
                <w:rFonts w:eastAsia="Times New Roman"/>
                <w:color w:val="000000"/>
                <w:sz w:val="18"/>
                <w:szCs w:val="18"/>
              </w:rPr>
              <w:t>Cumulative “day 2” ongoing impact</w:t>
            </w:r>
          </w:p>
        </w:tc>
        <w:tc>
          <w:tcPr>
            <w:tcW w:w="0" w:type="auto"/>
            <w:gridSpan w:val="3"/>
            <w:tcBorders>
              <w:bottom w:val="single" w:sz="8" w:space="0" w:color="000000"/>
            </w:tcBorders>
            <w:tcMar>
              <w:top w:w="0" w:type="dxa"/>
              <w:left w:w="20" w:type="dxa"/>
              <w:bottom w:w="0" w:type="dxa"/>
              <w:right w:w="20" w:type="dxa"/>
            </w:tcMar>
            <w:vAlign w:val="center"/>
            <w:hideMark/>
          </w:tcPr>
          <w:p w14:paraId="13549ED1" w14:textId="77777777" w:rsidR="00000000" w:rsidRDefault="00405D16">
            <w:pPr>
              <w:spacing w:after="100"/>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center"/>
            <w:hideMark/>
          </w:tcPr>
          <w:p w14:paraId="305D7452" w14:textId="77777777" w:rsidR="00000000" w:rsidRDefault="00405D16">
            <w:pPr>
              <w:spacing w:after="100"/>
              <w:jc w:val="center"/>
              <w:rPr>
                <w:rFonts w:eastAsia="Times New Roman"/>
              </w:rPr>
            </w:pPr>
            <w:r>
              <w:rPr>
                <w:rFonts w:eastAsia="Times New Roman"/>
                <w:color w:val="000000"/>
                <w:sz w:val="18"/>
                <w:szCs w:val="18"/>
              </w:rPr>
              <w:t> 25% scaling factor as an approximation of the increase in allowance under CECL</w:t>
            </w:r>
          </w:p>
        </w:tc>
        <w:tc>
          <w:tcPr>
            <w:tcW w:w="0" w:type="auto"/>
            <w:gridSpan w:val="3"/>
            <w:tcBorders>
              <w:bottom w:val="single" w:sz="8" w:space="0" w:color="000000"/>
            </w:tcBorders>
            <w:tcMar>
              <w:top w:w="0" w:type="dxa"/>
              <w:left w:w="20" w:type="dxa"/>
              <w:bottom w:w="0" w:type="dxa"/>
              <w:right w:w="20" w:type="dxa"/>
            </w:tcMar>
            <w:vAlign w:val="center"/>
            <w:hideMark/>
          </w:tcPr>
          <w:p w14:paraId="0C4430B4" w14:textId="77777777" w:rsidR="00000000" w:rsidRDefault="00405D16">
            <w:pPr>
              <w:spacing w:after="100"/>
              <w:jc w:val="center"/>
              <w:rPr>
                <w:rFonts w:eastAsia="Times New Roman"/>
              </w:rPr>
            </w:pPr>
          </w:p>
        </w:tc>
        <w:tc>
          <w:tcPr>
            <w:tcW w:w="0" w:type="auto"/>
            <w:gridSpan w:val="3"/>
            <w:vMerge/>
            <w:tcBorders>
              <w:top w:val="single" w:sz="8" w:space="0" w:color="000000"/>
              <w:bottom w:val="single" w:sz="8" w:space="0" w:color="000000"/>
            </w:tcBorders>
            <w:vAlign w:val="center"/>
            <w:hideMark/>
          </w:tcPr>
          <w:p w14:paraId="2F0D24BC" w14:textId="77777777" w:rsidR="00000000" w:rsidRDefault="00405D16">
            <w:pPr>
              <w:spacing w:after="100"/>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14:paraId="264714BE" w14:textId="77777777" w:rsidR="00000000" w:rsidRDefault="00405D16">
            <w:pPr>
              <w:spacing w:after="100"/>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14:paraId="0FF38BB4" w14:textId="77777777" w:rsidR="00000000" w:rsidRDefault="00405D16">
            <w:pPr>
              <w:spacing w:after="100"/>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14:paraId="0D43213B" w14:textId="77777777" w:rsidR="00000000" w:rsidRDefault="00405D16">
            <w:pPr>
              <w:spacing w:after="100"/>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14:paraId="635E87AF" w14:textId="77777777" w:rsidR="00000000" w:rsidRDefault="00405D16">
            <w:pPr>
              <w:spacing w:after="100"/>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14:paraId="3C8827B4" w14:textId="77777777" w:rsidR="00000000" w:rsidRDefault="00405D16">
            <w:pPr>
              <w:spacing w:after="100"/>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14:paraId="4E680A25" w14:textId="77777777" w:rsidR="00000000" w:rsidRDefault="00405D16">
            <w:pPr>
              <w:spacing w:after="100"/>
              <w:rPr>
                <w:rFonts w:eastAsia="Times New Roman"/>
              </w:rPr>
            </w:pPr>
          </w:p>
        </w:tc>
      </w:tr>
    </w:tbl>
    <w:p w14:paraId="7EED7CCF" w14:textId="77777777" w:rsidR="00000000" w:rsidRDefault="00405D16">
      <w:pPr>
        <w:jc w:val="both"/>
        <w:divId w:val="1954049579"/>
        <w:rPr>
          <w:rFonts w:eastAsia="Times New Roman"/>
        </w:rPr>
      </w:pPr>
      <w:r>
        <w:rPr>
          <w:rFonts w:eastAsia="Times New Roman"/>
          <w:color w:val="000000"/>
          <w:sz w:val="20"/>
          <w:szCs w:val="20"/>
        </w:rPr>
        <w:t>We adopted the CECL standard (for accounting purposes) as of January 1, 2020, and made the 2020 CECL Transition Election (for regulatory capital purposes) in the first quarter of 2020. Therefore, the applicable amounts presented in this Report reflect such</w:t>
      </w:r>
      <w:r>
        <w:rPr>
          <w:rFonts w:eastAsia="Times New Roman"/>
          <w:color w:val="000000"/>
          <w:sz w:val="20"/>
          <w:szCs w:val="20"/>
        </w:rPr>
        <w:t xml:space="preserve"> election. </w:t>
      </w:r>
    </w:p>
    <w:p w14:paraId="77DA1AFD" w14:textId="77777777" w:rsidR="00000000" w:rsidRDefault="00405D16">
      <w:pPr>
        <w:jc w:val="both"/>
        <w:divId w:val="514267643"/>
        <w:rPr>
          <w:rFonts w:eastAsia="Times New Roman"/>
        </w:rPr>
      </w:pPr>
      <w:r>
        <w:rPr>
          <w:rFonts w:eastAsia="Times New Roman"/>
          <w:color w:val="000000"/>
          <w:sz w:val="20"/>
          <w:szCs w:val="20"/>
        </w:rPr>
        <w:t>For the description of the regulatory capital rules we are subject to, see “MD&amp;A—Supervision and Regulation” in this Report as well as “Part I—Item 1. Business—Supervision and Regulation” in our 2020 Form 10-K.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09ECCD14" w14:textId="77777777">
        <w:trPr>
          <w:divId w:val="1215895847"/>
          <w:jc w:val="center"/>
        </w:trPr>
        <w:tc>
          <w:tcPr>
            <w:tcW w:w="50" w:type="pct"/>
            <w:vAlign w:val="center"/>
            <w:hideMark/>
          </w:tcPr>
          <w:p w14:paraId="054A5D9D" w14:textId="77777777" w:rsidR="00000000" w:rsidRDefault="00405D16">
            <w:pPr>
              <w:jc w:val="both"/>
              <w:rPr>
                <w:rFonts w:eastAsia="Times New Roman"/>
              </w:rPr>
            </w:pPr>
          </w:p>
        </w:tc>
        <w:tc>
          <w:tcPr>
            <w:tcW w:w="1606" w:type="pct"/>
            <w:vAlign w:val="center"/>
            <w:hideMark/>
          </w:tcPr>
          <w:p w14:paraId="10F613B3" w14:textId="77777777" w:rsidR="00000000" w:rsidRDefault="00405D16">
            <w:pPr>
              <w:spacing w:after="100"/>
              <w:rPr>
                <w:rFonts w:eastAsia="Times New Roman"/>
                <w:sz w:val="20"/>
                <w:szCs w:val="20"/>
              </w:rPr>
            </w:pPr>
          </w:p>
        </w:tc>
        <w:tc>
          <w:tcPr>
            <w:tcW w:w="5" w:type="pct"/>
            <w:vAlign w:val="center"/>
            <w:hideMark/>
          </w:tcPr>
          <w:p w14:paraId="4B5E6E54" w14:textId="77777777" w:rsidR="00000000" w:rsidRDefault="00405D16">
            <w:pPr>
              <w:spacing w:after="100"/>
              <w:rPr>
                <w:rFonts w:eastAsia="Times New Roman"/>
                <w:sz w:val="20"/>
                <w:szCs w:val="20"/>
              </w:rPr>
            </w:pPr>
          </w:p>
        </w:tc>
        <w:tc>
          <w:tcPr>
            <w:tcW w:w="50" w:type="pct"/>
            <w:vAlign w:val="center"/>
            <w:hideMark/>
          </w:tcPr>
          <w:p w14:paraId="00BB5E1E" w14:textId="77777777" w:rsidR="00000000" w:rsidRDefault="00405D16">
            <w:pPr>
              <w:spacing w:after="100"/>
              <w:rPr>
                <w:rFonts w:eastAsia="Times New Roman"/>
                <w:sz w:val="20"/>
                <w:szCs w:val="20"/>
              </w:rPr>
            </w:pPr>
          </w:p>
        </w:tc>
        <w:tc>
          <w:tcPr>
            <w:tcW w:w="1614" w:type="pct"/>
            <w:vAlign w:val="center"/>
            <w:hideMark/>
          </w:tcPr>
          <w:p w14:paraId="2F1650F5" w14:textId="77777777" w:rsidR="00000000" w:rsidRDefault="00405D16">
            <w:pPr>
              <w:spacing w:after="100"/>
              <w:rPr>
                <w:rFonts w:eastAsia="Times New Roman"/>
                <w:sz w:val="20"/>
                <w:szCs w:val="20"/>
              </w:rPr>
            </w:pPr>
          </w:p>
        </w:tc>
        <w:tc>
          <w:tcPr>
            <w:tcW w:w="5" w:type="pct"/>
            <w:vAlign w:val="center"/>
            <w:hideMark/>
          </w:tcPr>
          <w:p w14:paraId="062C995B" w14:textId="77777777" w:rsidR="00000000" w:rsidRDefault="00405D16">
            <w:pPr>
              <w:spacing w:after="100"/>
              <w:rPr>
                <w:rFonts w:eastAsia="Times New Roman"/>
                <w:sz w:val="20"/>
                <w:szCs w:val="20"/>
              </w:rPr>
            </w:pPr>
          </w:p>
        </w:tc>
        <w:tc>
          <w:tcPr>
            <w:tcW w:w="50" w:type="pct"/>
            <w:vAlign w:val="center"/>
            <w:hideMark/>
          </w:tcPr>
          <w:p w14:paraId="7803E892" w14:textId="77777777" w:rsidR="00000000" w:rsidRDefault="00405D16">
            <w:pPr>
              <w:spacing w:after="100"/>
              <w:rPr>
                <w:rFonts w:eastAsia="Times New Roman"/>
                <w:sz w:val="20"/>
                <w:szCs w:val="20"/>
              </w:rPr>
            </w:pPr>
          </w:p>
        </w:tc>
        <w:tc>
          <w:tcPr>
            <w:tcW w:w="1614" w:type="pct"/>
            <w:vAlign w:val="center"/>
            <w:hideMark/>
          </w:tcPr>
          <w:p w14:paraId="48FE2D8D" w14:textId="77777777" w:rsidR="00000000" w:rsidRDefault="00405D16">
            <w:pPr>
              <w:spacing w:after="100"/>
              <w:rPr>
                <w:rFonts w:eastAsia="Times New Roman"/>
                <w:sz w:val="20"/>
                <w:szCs w:val="20"/>
              </w:rPr>
            </w:pPr>
          </w:p>
        </w:tc>
        <w:tc>
          <w:tcPr>
            <w:tcW w:w="5" w:type="pct"/>
            <w:vAlign w:val="center"/>
            <w:hideMark/>
          </w:tcPr>
          <w:p w14:paraId="5A2649DF" w14:textId="77777777" w:rsidR="00000000" w:rsidRDefault="00405D16">
            <w:pPr>
              <w:spacing w:after="100"/>
              <w:rPr>
                <w:rFonts w:eastAsia="Times New Roman"/>
                <w:sz w:val="20"/>
                <w:szCs w:val="20"/>
              </w:rPr>
            </w:pPr>
          </w:p>
        </w:tc>
      </w:tr>
      <w:tr w:rsidR="00000000" w14:paraId="533EC456" w14:textId="77777777">
        <w:trPr>
          <w:divId w:val="1215895847"/>
          <w:trHeight w:val="300"/>
          <w:jc w:val="center"/>
        </w:trPr>
        <w:tc>
          <w:tcPr>
            <w:tcW w:w="0" w:type="auto"/>
            <w:gridSpan w:val="9"/>
            <w:tcMar>
              <w:top w:w="0" w:type="dxa"/>
              <w:left w:w="20" w:type="dxa"/>
              <w:bottom w:w="0" w:type="dxa"/>
              <w:right w:w="20" w:type="dxa"/>
            </w:tcMar>
            <w:vAlign w:val="center"/>
            <w:hideMark/>
          </w:tcPr>
          <w:p w14:paraId="5C841C4E" w14:textId="77777777" w:rsidR="00000000" w:rsidRDefault="00405D16">
            <w:pPr>
              <w:spacing w:after="100"/>
              <w:rPr>
                <w:rFonts w:eastAsia="Times New Roman"/>
                <w:sz w:val="20"/>
                <w:szCs w:val="20"/>
              </w:rPr>
            </w:pPr>
          </w:p>
        </w:tc>
      </w:tr>
      <w:tr w:rsidR="00000000" w14:paraId="4AB2252D" w14:textId="77777777">
        <w:trPr>
          <w:divId w:val="1215895847"/>
          <w:jc w:val="center"/>
        </w:trPr>
        <w:tc>
          <w:tcPr>
            <w:tcW w:w="0" w:type="auto"/>
            <w:gridSpan w:val="3"/>
            <w:tcMar>
              <w:top w:w="0" w:type="dxa"/>
              <w:left w:w="20" w:type="dxa"/>
              <w:bottom w:w="0" w:type="dxa"/>
              <w:right w:w="20" w:type="dxa"/>
            </w:tcMar>
            <w:vAlign w:val="center"/>
            <w:hideMark/>
          </w:tcPr>
          <w:p w14:paraId="29FEF594"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51FFC8B" w14:textId="77777777" w:rsidR="00000000" w:rsidRDefault="00405D16">
            <w:pPr>
              <w:spacing w:after="100"/>
              <w:jc w:val="center"/>
              <w:rPr>
                <w:rFonts w:eastAsia="Times New Roman"/>
              </w:rPr>
            </w:pPr>
            <w:r>
              <w:rPr>
                <w:rFonts w:eastAsia="Times New Roman"/>
                <w:color w:val="000000"/>
                <w:sz w:val="16"/>
                <w:szCs w:val="16"/>
              </w:rPr>
              <w:t>32</w:t>
            </w:r>
          </w:p>
        </w:tc>
        <w:tc>
          <w:tcPr>
            <w:tcW w:w="0" w:type="auto"/>
            <w:gridSpan w:val="3"/>
            <w:tcMar>
              <w:top w:w="30" w:type="dxa"/>
              <w:left w:w="20" w:type="dxa"/>
              <w:bottom w:w="30" w:type="dxa"/>
              <w:right w:w="20" w:type="dxa"/>
            </w:tcMar>
            <w:vAlign w:val="bottom"/>
            <w:hideMark/>
          </w:tcPr>
          <w:p w14:paraId="272828CE" w14:textId="77777777" w:rsidR="00000000" w:rsidRDefault="00405D16">
            <w:pPr>
              <w:spacing w:after="100"/>
              <w:jc w:val="right"/>
              <w:rPr>
                <w:rFonts w:eastAsia="Times New Roman"/>
              </w:rPr>
            </w:pPr>
            <w:r>
              <w:rPr>
                <w:rFonts w:eastAsia="Times New Roman"/>
                <w:color w:val="000000"/>
                <w:sz w:val="16"/>
                <w:szCs w:val="16"/>
              </w:rPr>
              <w:t>Ca</w:t>
            </w:r>
            <w:r>
              <w:rPr>
                <w:rFonts w:eastAsia="Times New Roman"/>
                <w:color w:val="000000"/>
                <w:sz w:val="16"/>
                <w:szCs w:val="16"/>
              </w:rPr>
              <w:t>pital One Financial Corporation (COF)</w:t>
            </w:r>
          </w:p>
        </w:tc>
      </w:tr>
    </w:tbl>
    <w:p w14:paraId="2F490DFC" w14:textId="77777777" w:rsidR="00000000" w:rsidRDefault="00405D16">
      <w:pPr>
        <w:rPr>
          <w:rFonts w:eastAsia="Times New Roman"/>
        </w:rPr>
      </w:pPr>
      <w:r>
        <w:rPr>
          <w:rFonts w:eastAsia="Times New Roman"/>
        </w:rPr>
        <w:pict w14:anchorId="21C3F6DC">
          <v:rect id="_x0000_i1057" style="width:0;height:1.5pt" o:hralign="center" o:hrstd="t" o:hr="t" fillcolor="#a0a0a0" stroked="f"/>
        </w:pict>
      </w:r>
    </w:p>
    <w:p w14:paraId="20AA3FD6" w14:textId="77777777" w:rsidR="00000000" w:rsidRDefault="00405D16">
      <w:pPr>
        <w:ind w:hanging="360"/>
        <w:jc w:val="both"/>
        <w:divId w:val="1679501320"/>
        <w:rPr>
          <w:rFonts w:eastAsia="Times New Roman"/>
        </w:rPr>
      </w:pPr>
      <w:hyperlink w:anchor="idd54a04a485440b4ab4e56094c14d612_13" w:history="1">
        <w:r>
          <w:rPr>
            <w:rStyle w:val="a3"/>
            <w:rFonts w:eastAsia="Times New Roman"/>
            <w:sz w:val="16"/>
            <w:szCs w:val="16"/>
          </w:rPr>
          <w:t>Table of Contents</w:t>
        </w:r>
      </w:hyperlink>
    </w:p>
    <w:p w14:paraId="3E5FAC90" w14:textId="77777777" w:rsidR="00000000" w:rsidRDefault="00405D16">
      <w:pPr>
        <w:jc w:val="both"/>
        <w:divId w:val="1072431513"/>
        <w:rPr>
          <w:rFonts w:eastAsia="Times New Roman"/>
        </w:rPr>
      </w:pPr>
      <w:r>
        <w:rPr>
          <w:rFonts w:eastAsia="Times New Roman"/>
          <w:color w:val="000000"/>
          <w:sz w:val="20"/>
          <w:szCs w:val="20"/>
        </w:rPr>
        <w:t>Table 14 provides a comparison of our regulatory capital ratios under the Basel III Standardized Approach, the regulatory minimum capital adequ</w:t>
      </w:r>
      <w:r>
        <w:rPr>
          <w:rFonts w:eastAsia="Times New Roman"/>
          <w:color w:val="000000"/>
          <w:sz w:val="20"/>
          <w:szCs w:val="20"/>
        </w:rPr>
        <w:t>acy ratios and the PCA well-capitalized level for each ratio, where applicable, as of September 30, 2021 and December 31, 2020.</w:t>
      </w:r>
    </w:p>
    <w:p w14:paraId="776BF683" w14:textId="77777777" w:rsidR="00000000" w:rsidRDefault="00405D16">
      <w:pPr>
        <w:divId w:val="1674795352"/>
        <w:rPr>
          <w:rFonts w:eastAsia="Times New Roman"/>
        </w:rPr>
      </w:pPr>
      <w:r>
        <w:rPr>
          <w:rFonts w:eastAsia="Times New Roman"/>
          <w:b/>
          <w:bCs/>
          <w:color w:val="000000"/>
          <w:sz w:val="18"/>
          <w:szCs w:val="18"/>
        </w:rPr>
        <w:t>Table 14: Capital Ratios Under Basel II</w:t>
      </w:r>
      <w:r>
        <w:rPr>
          <w:rFonts w:eastAsia="Times New Roman"/>
          <w:b/>
          <w:bCs/>
          <w:color w:val="000000"/>
          <w:sz w:val="18"/>
          <w:szCs w:val="18"/>
        </w:rPr>
        <w:t>I</w:t>
      </w:r>
      <w:r>
        <w:rPr>
          <w:rFonts w:eastAsia="Times New Roman"/>
          <w:b/>
          <w:bCs/>
          <w:color w:val="000000"/>
          <w:sz w:val="12"/>
          <w:szCs w:val="12"/>
        </w:rPr>
        <w:t>(1)(2</w:t>
      </w:r>
      <w:r>
        <w:rPr>
          <w:rFonts w:eastAsia="Times New Roman"/>
          <w:b/>
          <w:bCs/>
          <w:color w:val="000000"/>
          <w:sz w:val="12"/>
          <w:szCs w:val="12"/>
        </w:rPr>
        <w:t>)</w:t>
      </w:r>
    </w:p>
    <w:tbl>
      <w:tblPr>
        <w:tblW w:w="4978" w:type="pct"/>
        <w:tblCellMar>
          <w:top w:w="15" w:type="dxa"/>
          <w:left w:w="15" w:type="dxa"/>
          <w:bottom w:w="15" w:type="dxa"/>
          <w:right w:w="15" w:type="dxa"/>
        </w:tblCellMar>
        <w:tblLook w:val="04A0" w:firstRow="1" w:lastRow="0" w:firstColumn="1" w:lastColumn="0" w:noHBand="0" w:noVBand="1"/>
      </w:tblPr>
      <w:tblGrid>
        <w:gridCol w:w="39"/>
        <w:gridCol w:w="2554"/>
        <w:gridCol w:w="38"/>
        <w:gridCol w:w="36"/>
        <w:gridCol w:w="36"/>
        <w:gridCol w:w="36"/>
        <w:gridCol w:w="52"/>
        <w:gridCol w:w="357"/>
        <w:gridCol w:w="200"/>
        <w:gridCol w:w="36"/>
        <w:gridCol w:w="36"/>
        <w:gridCol w:w="36"/>
        <w:gridCol w:w="87"/>
        <w:gridCol w:w="630"/>
        <w:gridCol w:w="200"/>
        <w:gridCol w:w="36"/>
        <w:gridCol w:w="36"/>
        <w:gridCol w:w="36"/>
        <w:gridCol w:w="93"/>
        <w:gridCol w:w="721"/>
        <w:gridCol w:w="200"/>
        <w:gridCol w:w="36"/>
        <w:gridCol w:w="36"/>
        <w:gridCol w:w="36"/>
        <w:gridCol w:w="52"/>
        <w:gridCol w:w="357"/>
        <w:gridCol w:w="170"/>
        <w:gridCol w:w="36"/>
        <w:gridCol w:w="36"/>
        <w:gridCol w:w="36"/>
        <w:gridCol w:w="87"/>
        <w:gridCol w:w="630"/>
        <w:gridCol w:w="170"/>
        <w:gridCol w:w="36"/>
        <w:gridCol w:w="36"/>
        <w:gridCol w:w="36"/>
        <w:gridCol w:w="92"/>
        <w:gridCol w:w="722"/>
        <w:gridCol w:w="170"/>
      </w:tblGrid>
      <w:tr w:rsidR="00000000" w14:paraId="734B28DF" w14:textId="77777777">
        <w:trPr>
          <w:divId w:val="870728879"/>
        </w:trPr>
        <w:tc>
          <w:tcPr>
            <w:tcW w:w="50" w:type="pct"/>
            <w:vAlign w:val="center"/>
            <w:hideMark/>
          </w:tcPr>
          <w:p w14:paraId="03DCF681" w14:textId="77777777" w:rsidR="00000000" w:rsidRDefault="00405D16">
            <w:pPr>
              <w:rPr>
                <w:rFonts w:eastAsia="Times New Roman"/>
              </w:rPr>
            </w:pPr>
          </w:p>
        </w:tc>
        <w:tc>
          <w:tcPr>
            <w:tcW w:w="2184" w:type="pct"/>
            <w:vAlign w:val="center"/>
            <w:hideMark/>
          </w:tcPr>
          <w:p w14:paraId="4EE97087" w14:textId="77777777" w:rsidR="00000000" w:rsidRDefault="00405D16">
            <w:pPr>
              <w:spacing w:after="100"/>
              <w:rPr>
                <w:rFonts w:eastAsia="Times New Roman"/>
                <w:sz w:val="20"/>
                <w:szCs w:val="20"/>
              </w:rPr>
            </w:pPr>
          </w:p>
        </w:tc>
        <w:tc>
          <w:tcPr>
            <w:tcW w:w="5" w:type="pct"/>
            <w:vAlign w:val="center"/>
            <w:hideMark/>
          </w:tcPr>
          <w:p w14:paraId="6C8ED7B0" w14:textId="77777777" w:rsidR="00000000" w:rsidRDefault="00405D16">
            <w:pPr>
              <w:spacing w:after="100"/>
              <w:rPr>
                <w:rFonts w:eastAsia="Times New Roman"/>
                <w:sz w:val="20"/>
                <w:szCs w:val="20"/>
              </w:rPr>
            </w:pPr>
          </w:p>
        </w:tc>
        <w:tc>
          <w:tcPr>
            <w:tcW w:w="5" w:type="pct"/>
            <w:vAlign w:val="center"/>
            <w:hideMark/>
          </w:tcPr>
          <w:p w14:paraId="3EF56350" w14:textId="77777777" w:rsidR="00000000" w:rsidRDefault="00405D16">
            <w:pPr>
              <w:spacing w:after="100"/>
              <w:rPr>
                <w:rFonts w:eastAsia="Times New Roman"/>
                <w:sz w:val="20"/>
                <w:szCs w:val="20"/>
              </w:rPr>
            </w:pPr>
          </w:p>
        </w:tc>
        <w:tc>
          <w:tcPr>
            <w:tcW w:w="26" w:type="pct"/>
            <w:vAlign w:val="center"/>
            <w:hideMark/>
          </w:tcPr>
          <w:p w14:paraId="66EFCEF3" w14:textId="77777777" w:rsidR="00000000" w:rsidRDefault="00405D16">
            <w:pPr>
              <w:spacing w:after="100"/>
              <w:rPr>
                <w:rFonts w:eastAsia="Times New Roman"/>
                <w:sz w:val="20"/>
                <w:szCs w:val="20"/>
              </w:rPr>
            </w:pPr>
          </w:p>
        </w:tc>
        <w:tc>
          <w:tcPr>
            <w:tcW w:w="5" w:type="pct"/>
            <w:vAlign w:val="center"/>
            <w:hideMark/>
          </w:tcPr>
          <w:p w14:paraId="18E326C8" w14:textId="77777777" w:rsidR="00000000" w:rsidRDefault="00405D16">
            <w:pPr>
              <w:spacing w:after="100"/>
              <w:rPr>
                <w:rFonts w:eastAsia="Times New Roman"/>
                <w:sz w:val="20"/>
                <w:szCs w:val="20"/>
              </w:rPr>
            </w:pPr>
          </w:p>
        </w:tc>
        <w:tc>
          <w:tcPr>
            <w:tcW w:w="50" w:type="pct"/>
            <w:vAlign w:val="center"/>
            <w:hideMark/>
          </w:tcPr>
          <w:p w14:paraId="5D538CB6" w14:textId="77777777" w:rsidR="00000000" w:rsidRDefault="00405D16">
            <w:pPr>
              <w:spacing w:after="100"/>
              <w:rPr>
                <w:rFonts w:eastAsia="Times New Roman"/>
                <w:sz w:val="20"/>
                <w:szCs w:val="20"/>
              </w:rPr>
            </w:pPr>
          </w:p>
        </w:tc>
        <w:tc>
          <w:tcPr>
            <w:tcW w:w="348" w:type="pct"/>
            <w:vAlign w:val="center"/>
            <w:hideMark/>
          </w:tcPr>
          <w:p w14:paraId="694A1BF3" w14:textId="77777777" w:rsidR="00000000" w:rsidRDefault="00405D16">
            <w:pPr>
              <w:spacing w:after="100"/>
              <w:rPr>
                <w:rFonts w:eastAsia="Times New Roman"/>
                <w:sz w:val="20"/>
                <w:szCs w:val="20"/>
              </w:rPr>
            </w:pPr>
          </w:p>
        </w:tc>
        <w:tc>
          <w:tcPr>
            <w:tcW w:w="5" w:type="pct"/>
            <w:vAlign w:val="center"/>
            <w:hideMark/>
          </w:tcPr>
          <w:p w14:paraId="5B1F2074" w14:textId="77777777" w:rsidR="00000000" w:rsidRDefault="00405D16">
            <w:pPr>
              <w:spacing w:after="100"/>
              <w:rPr>
                <w:rFonts w:eastAsia="Times New Roman"/>
                <w:sz w:val="20"/>
                <w:szCs w:val="20"/>
              </w:rPr>
            </w:pPr>
          </w:p>
        </w:tc>
        <w:tc>
          <w:tcPr>
            <w:tcW w:w="5" w:type="pct"/>
            <w:vAlign w:val="center"/>
            <w:hideMark/>
          </w:tcPr>
          <w:p w14:paraId="542CE08D" w14:textId="77777777" w:rsidR="00000000" w:rsidRDefault="00405D16">
            <w:pPr>
              <w:spacing w:after="100"/>
              <w:rPr>
                <w:rFonts w:eastAsia="Times New Roman"/>
                <w:sz w:val="20"/>
                <w:szCs w:val="20"/>
              </w:rPr>
            </w:pPr>
          </w:p>
        </w:tc>
        <w:tc>
          <w:tcPr>
            <w:tcW w:w="26" w:type="pct"/>
            <w:vAlign w:val="center"/>
            <w:hideMark/>
          </w:tcPr>
          <w:p w14:paraId="58AF55F7" w14:textId="77777777" w:rsidR="00000000" w:rsidRDefault="00405D16">
            <w:pPr>
              <w:spacing w:after="100"/>
              <w:rPr>
                <w:rFonts w:eastAsia="Times New Roman"/>
                <w:sz w:val="20"/>
                <w:szCs w:val="20"/>
              </w:rPr>
            </w:pPr>
          </w:p>
        </w:tc>
        <w:tc>
          <w:tcPr>
            <w:tcW w:w="5" w:type="pct"/>
            <w:vAlign w:val="center"/>
            <w:hideMark/>
          </w:tcPr>
          <w:p w14:paraId="5981CF47" w14:textId="77777777" w:rsidR="00000000" w:rsidRDefault="00405D16">
            <w:pPr>
              <w:spacing w:after="100"/>
              <w:rPr>
                <w:rFonts w:eastAsia="Times New Roman"/>
                <w:sz w:val="20"/>
                <w:szCs w:val="20"/>
              </w:rPr>
            </w:pPr>
          </w:p>
        </w:tc>
        <w:tc>
          <w:tcPr>
            <w:tcW w:w="50" w:type="pct"/>
            <w:vAlign w:val="center"/>
            <w:hideMark/>
          </w:tcPr>
          <w:p w14:paraId="63F9BBDF" w14:textId="77777777" w:rsidR="00000000" w:rsidRDefault="00405D16">
            <w:pPr>
              <w:spacing w:after="100"/>
              <w:rPr>
                <w:rFonts w:eastAsia="Times New Roman"/>
                <w:sz w:val="20"/>
                <w:szCs w:val="20"/>
              </w:rPr>
            </w:pPr>
          </w:p>
        </w:tc>
        <w:tc>
          <w:tcPr>
            <w:tcW w:w="363" w:type="pct"/>
            <w:vAlign w:val="center"/>
            <w:hideMark/>
          </w:tcPr>
          <w:p w14:paraId="7EA9351F" w14:textId="77777777" w:rsidR="00000000" w:rsidRDefault="00405D16">
            <w:pPr>
              <w:spacing w:after="100"/>
              <w:rPr>
                <w:rFonts w:eastAsia="Times New Roman"/>
                <w:sz w:val="20"/>
                <w:szCs w:val="20"/>
              </w:rPr>
            </w:pPr>
          </w:p>
        </w:tc>
        <w:tc>
          <w:tcPr>
            <w:tcW w:w="5" w:type="pct"/>
            <w:vAlign w:val="center"/>
            <w:hideMark/>
          </w:tcPr>
          <w:p w14:paraId="3C67E1AB" w14:textId="77777777" w:rsidR="00000000" w:rsidRDefault="00405D16">
            <w:pPr>
              <w:spacing w:after="100"/>
              <w:rPr>
                <w:rFonts w:eastAsia="Times New Roman"/>
                <w:sz w:val="20"/>
                <w:szCs w:val="20"/>
              </w:rPr>
            </w:pPr>
          </w:p>
        </w:tc>
        <w:tc>
          <w:tcPr>
            <w:tcW w:w="5" w:type="pct"/>
            <w:vAlign w:val="center"/>
            <w:hideMark/>
          </w:tcPr>
          <w:p w14:paraId="78493D40" w14:textId="77777777" w:rsidR="00000000" w:rsidRDefault="00405D16">
            <w:pPr>
              <w:spacing w:after="100"/>
              <w:rPr>
                <w:rFonts w:eastAsia="Times New Roman"/>
                <w:sz w:val="20"/>
                <w:szCs w:val="20"/>
              </w:rPr>
            </w:pPr>
          </w:p>
        </w:tc>
        <w:tc>
          <w:tcPr>
            <w:tcW w:w="26" w:type="pct"/>
            <w:vAlign w:val="center"/>
            <w:hideMark/>
          </w:tcPr>
          <w:p w14:paraId="2CBFC22D" w14:textId="77777777" w:rsidR="00000000" w:rsidRDefault="00405D16">
            <w:pPr>
              <w:spacing w:after="100"/>
              <w:rPr>
                <w:rFonts w:eastAsia="Times New Roman"/>
                <w:sz w:val="20"/>
                <w:szCs w:val="20"/>
              </w:rPr>
            </w:pPr>
          </w:p>
        </w:tc>
        <w:tc>
          <w:tcPr>
            <w:tcW w:w="5" w:type="pct"/>
            <w:vAlign w:val="center"/>
            <w:hideMark/>
          </w:tcPr>
          <w:p w14:paraId="538910FD" w14:textId="77777777" w:rsidR="00000000" w:rsidRDefault="00405D16">
            <w:pPr>
              <w:spacing w:after="100"/>
              <w:rPr>
                <w:rFonts w:eastAsia="Times New Roman"/>
                <w:sz w:val="20"/>
                <w:szCs w:val="20"/>
              </w:rPr>
            </w:pPr>
          </w:p>
        </w:tc>
        <w:tc>
          <w:tcPr>
            <w:tcW w:w="50" w:type="pct"/>
            <w:vAlign w:val="center"/>
            <w:hideMark/>
          </w:tcPr>
          <w:p w14:paraId="4C5D8F2E" w14:textId="77777777" w:rsidR="00000000" w:rsidRDefault="00405D16">
            <w:pPr>
              <w:spacing w:after="100"/>
              <w:rPr>
                <w:rFonts w:eastAsia="Times New Roman"/>
                <w:sz w:val="20"/>
                <w:szCs w:val="20"/>
              </w:rPr>
            </w:pPr>
          </w:p>
        </w:tc>
        <w:tc>
          <w:tcPr>
            <w:tcW w:w="392" w:type="pct"/>
            <w:vAlign w:val="center"/>
            <w:hideMark/>
          </w:tcPr>
          <w:p w14:paraId="3C4AA650" w14:textId="77777777" w:rsidR="00000000" w:rsidRDefault="00405D16">
            <w:pPr>
              <w:spacing w:after="100"/>
              <w:rPr>
                <w:rFonts w:eastAsia="Times New Roman"/>
                <w:sz w:val="20"/>
                <w:szCs w:val="20"/>
              </w:rPr>
            </w:pPr>
          </w:p>
        </w:tc>
        <w:tc>
          <w:tcPr>
            <w:tcW w:w="5" w:type="pct"/>
            <w:vAlign w:val="center"/>
            <w:hideMark/>
          </w:tcPr>
          <w:p w14:paraId="16DB134C" w14:textId="77777777" w:rsidR="00000000" w:rsidRDefault="00405D16">
            <w:pPr>
              <w:spacing w:after="100"/>
              <w:rPr>
                <w:rFonts w:eastAsia="Times New Roman"/>
                <w:sz w:val="20"/>
                <w:szCs w:val="20"/>
              </w:rPr>
            </w:pPr>
          </w:p>
        </w:tc>
        <w:tc>
          <w:tcPr>
            <w:tcW w:w="5" w:type="pct"/>
            <w:vAlign w:val="center"/>
            <w:hideMark/>
          </w:tcPr>
          <w:p w14:paraId="6D8001FB" w14:textId="77777777" w:rsidR="00000000" w:rsidRDefault="00405D16">
            <w:pPr>
              <w:spacing w:after="100"/>
              <w:rPr>
                <w:rFonts w:eastAsia="Times New Roman"/>
                <w:sz w:val="20"/>
                <w:szCs w:val="20"/>
              </w:rPr>
            </w:pPr>
          </w:p>
        </w:tc>
        <w:tc>
          <w:tcPr>
            <w:tcW w:w="26" w:type="pct"/>
            <w:vAlign w:val="center"/>
            <w:hideMark/>
          </w:tcPr>
          <w:p w14:paraId="62D8DCF0" w14:textId="77777777" w:rsidR="00000000" w:rsidRDefault="00405D16">
            <w:pPr>
              <w:spacing w:after="100"/>
              <w:rPr>
                <w:rFonts w:eastAsia="Times New Roman"/>
                <w:sz w:val="20"/>
                <w:szCs w:val="20"/>
              </w:rPr>
            </w:pPr>
          </w:p>
        </w:tc>
        <w:tc>
          <w:tcPr>
            <w:tcW w:w="5" w:type="pct"/>
            <w:vAlign w:val="center"/>
            <w:hideMark/>
          </w:tcPr>
          <w:p w14:paraId="34A0CC9D" w14:textId="77777777" w:rsidR="00000000" w:rsidRDefault="00405D16">
            <w:pPr>
              <w:spacing w:after="100"/>
              <w:rPr>
                <w:rFonts w:eastAsia="Times New Roman"/>
                <w:sz w:val="20"/>
                <w:szCs w:val="20"/>
              </w:rPr>
            </w:pPr>
          </w:p>
        </w:tc>
        <w:tc>
          <w:tcPr>
            <w:tcW w:w="50" w:type="pct"/>
            <w:vAlign w:val="center"/>
            <w:hideMark/>
          </w:tcPr>
          <w:p w14:paraId="17D66C51" w14:textId="77777777" w:rsidR="00000000" w:rsidRDefault="00405D16">
            <w:pPr>
              <w:spacing w:after="100"/>
              <w:rPr>
                <w:rFonts w:eastAsia="Times New Roman"/>
                <w:sz w:val="20"/>
                <w:szCs w:val="20"/>
              </w:rPr>
            </w:pPr>
          </w:p>
        </w:tc>
        <w:tc>
          <w:tcPr>
            <w:tcW w:w="348" w:type="pct"/>
            <w:vAlign w:val="center"/>
            <w:hideMark/>
          </w:tcPr>
          <w:p w14:paraId="18062BA1" w14:textId="77777777" w:rsidR="00000000" w:rsidRDefault="00405D16">
            <w:pPr>
              <w:spacing w:after="100"/>
              <w:rPr>
                <w:rFonts w:eastAsia="Times New Roman"/>
                <w:sz w:val="20"/>
                <w:szCs w:val="20"/>
              </w:rPr>
            </w:pPr>
          </w:p>
        </w:tc>
        <w:tc>
          <w:tcPr>
            <w:tcW w:w="5" w:type="pct"/>
            <w:vAlign w:val="center"/>
            <w:hideMark/>
          </w:tcPr>
          <w:p w14:paraId="3FC48EEA" w14:textId="77777777" w:rsidR="00000000" w:rsidRDefault="00405D16">
            <w:pPr>
              <w:spacing w:after="100"/>
              <w:rPr>
                <w:rFonts w:eastAsia="Times New Roman"/>
                <w:sz w:val="20"/>
                <w:szCs w:val="20"/>
              </w:rPr>
            </w:pPr>
          </w:p>
        </w:tc>
        <w:tc>
          <w:tcPr>
            <w:tcW w:w="5" w:type="pct"/>
            <w:vAlign w:val="center"/>
            <w:hideMark/>
          </w:tcPr>
          <w:p w14:paraId="72AB6F29" w14:textId="77777777" w:rsidR="00000000" w:rsidRDefault="00405D16">
            <w:pPr>
              <w:spacing w:after="100"/>
              <w:rPr>
                <w:rFonts w:eastAsia="Times New Roman"/>
                <w:sz w:val="20"/>
                <w:szCs w:val="20"/>
              </w:rPr>
            </w:pPr>
          </w:p>
        </w:tc>
        <w:tc>
          <w:tcPr>
            <w:tcW w:w="26" w:type="pct"/>
            <w:vAlign w:val="center"/>
            <w:hideMark/>
          </w:tcPr>
          <w:p w14:paraId="35D47507" w14:textId="77777777" w:rsidR="00000000" w:rsidRDefault="00405D16">
            <w:pPr>
              <w:spacing w:after="100"/>
              <w:rPr>
                <w:rFonts w:eastAsia="Times New Roman"/>
                <w:sz w:val="20"/>
                <w:szCs w:val="20"/>
              </w:rPr>
            </w:pPr>
          </w:p>
        </w:tc>
        <w:tc>
          <w:tcPr>
            <w:tcW w:w="5" w:type="pct"/>
            <w:vAlign w:val="center"/>
            <w:hideMark/>
          </w:tcPr>
          <w:p w14:paraId="329A4E35" w14:textId="77777777" w:rsidR="00000000" w:rsidRDefault="00405D16">
            <w:pPr>
              <w:spacing w:after="100"/>
              <w:rPr>
                <w:rFonts w:eastAsia="Times New Roman"/>
                <w:sz w:val="20"/>
                <w:szCs w:val="20"/>
              </w:rPr>
            </w:pPr>
          </w:p>
        </w:tc>
        <w:tc>
          <w:tcPr>
            <w:tcW w:w="50" w:type="pct"/>
            <w:vAlign w:val="center"/>
            <w:hideMark/>
          </w:tcPr>
          <w:p w14:paraId="64B717BA" w14:textId="77777777" w:rsidR="00000000" w:rsidRDefault="00405D16">
            <w:pPr>
              <w:spacing w:after="100"/>
              <w:rPr>
                <w:rFonts w:eastAsia="Times New Roman"/>
                <w:sz w:val="20"/>
                <w:szCs w:val="20"/>
              </w:rPr>
            </w:pPr>
          </w:p>
        </w:tc>
        <w:tc>
          <w:tcPr>
            <w:tcW w:w="363" w:type="pct"/>
            <w:vAlign w:val="center"/>
            <w:hideMark/>
          </w:tcPr>
          <w:p w14:paraId="5F16178E" w14:textId="77777777" w:rsidR="00000000" w:rsidRDefault="00405D16">
            <w:pPr>
              <w:spacing w:after="100"/>
              <w:rPr>
                <w:rFonts w:eastAsia="Times New Roman"/>
                <w:sz w:val="20"/>
                <w:szCs w:val="20"/>
              </w:rPr>
            </w:pPr>
          </w:p>
        </w:tc>
        <w:tc>
          <w:tcPr>
            <w:tcW w:w="5" w:type="pct"/>
            <w:vAlign w:val="center"/>
            <w:hideMark/>
          </w:tcPr>
          <w:p w14:paraId="6D928C62" w14:textId="77777777" w:rsidR="00000000" w:rsidRDefault="00405D16">
            <w:pPr>
              <w:spacing w:after="100"/>
              <w:rPr>
                <w:rFonts w:eastAsia="Times New Roman"/>
                <w:sz w:val="20"/>
                <w:szCs w:val="20"/>
              </w:rPr>
            </w:pPr>
          </w:p>
        </w:tc>
        <w:tc>
          <w:tcPr>
            <w:tcW w:w="5" w:type="pct"/>
            <w:vAlign w:val="center"/>
            <w:hideMark/>
          </w:tcPr>
          <w:p w14:paraId="2A2077BA" w14:textId="77777777" w:rsidR="00000000" w:rsidRDefault="00405D16">
            <w:pPr>
              <w:spacing w:after="100"/>
              <w:rPr>
                <w:rFonts w:eastAsia="Times New Roman"/>
                <w:sz w:val="20"/>
                <w:szCs w:val="20"/>
              </w:rPr>
            </w:pPr>
          </w:p>
        </w:tc>
        <w:tc>
          <w:tcPr>
            <w:tcW w:w="26" w:type="pct"/>
            <w:vAlign w:val="center"/>
            <w:hideMark/>
          </w:tcPr>
          <w:p w14:paraId="3A9DD23E" w14:textId="77777777" w:rsidR="00000000" w:rsidRDefault="00405D16">
            <w:pPr>
              <w:spacing w:after="100"/>
              <w:rPr>
                <w:rFonts w:eastAsia="Times New Roman"/>
                <w:sz w:val="20"/>
                <w:szCs w:val="20"/>
              </w:rPr>
            </w:pPr>
          </w:p>
        </w:tc>
        <w:tc>
          <w:tcPr>
            <w:tcW w:w="5" w:type="pct"/>
            <w:vAlign w:val="center"/>
            <w:hideMark/>
          </w:tcPr>
          <w:p w14:paraId="53976CCA" w14:textId="77777777" w:rsidR="00000000" w:rsidRDefault="00405D16">
            <w:pPr>
              <w:spacing w:after="100"/>
              <w:rPr>
                <w:rFonts w:eastAsia="Times New Roman"/>
                <w:sz w:val="20"/>
                <w:szCs w:val="20"/>
              </w:rPr>
            </w:pPr>
          </w:p>
        </w:tc>
        <w:tc>
          <w:tcPr>
            <w:tcW w:w="50" w:type="pct"/>
            <w:vAlign w:val="center"/>
            <w:hideMark/>
          </w:tcPr>
          <w:p w14:paraId="73355A2C" w14:textId="77777777" w:rsidR="00000000" w:rsidRDefault="00405D16">
            <w:pPr>
              <w:spacing w:after="100"/>
              <w:rPr>
                <w:rFonts w:eastAsia="Times New Roman"/>
                <w:sz w:val="20"/>
                <w:szCs w:val="20"/>
              </w:rPr>
            </w:pPr>
          </w:p>
        </w:tc>
        <w:tc>
          <w:tcPr>
            <w:tcW w:w="393" w:type="pct"/>
            <w:vAlign w:val="center"/>
            <w:hideMark/>
          </w:tcPr>
          <w:p w14:paraId="60D12D30" w14:textId="77777777" w:rsidR="00000000" w:rsidRDefault="00405D16">
            <w:pPr>
              <w:spacing w:after="100"/>
              <w:rPr>
                <w:rFonts w:eastAsia="Times New Roman"/>
                <w:sz w:val="20"/>
                <w:szCs w:val="20"/>
              </w:rPr>
            </w:pPr>
          </w:p>
        </w:tc>
        <w:tc>
          <w:tcPr>
            <w:tcW w:w="5" w:type="pct"/>
            <w:vAlign w:val="center"/>
            <w:hideMark/>
          </w:tcPr>
          <w:p w14:paraId="53BF7728" w14:textId="77777777" w:rsidR="00000000" w:rsidRDefault="00405D16">
            <w:pPr>
              <w:spacing w:after="100"/>
              <w:rPr>
                <w:rFonts w:eastAsia="Times New Roman"/>
                <w:sz w:val="20"/>
                <w:szCs w:val="20"/>
              </w:rPr>
            </w:pPr>
          </w:p>
        </w:tc>
      </w:tr>
      <w:tr w:rsidR="00000000" w14:paraId="35246039" w14:textId="77777777">
        <w:trPr>
          <w:divId w:val="870728879"/>
        </w:trPr>
        <w:tc>
          <w:tcPr>
            <w:tcW w:w="0" w:type="auto"/>
            <w:gridSpan w:val="3"/>
            <w:tcMar>
              <w:top w:w="30" w:type="dxa"/>
              <w:left w:w="20" w:type="dxa"/>
              <w:bottom w:w="30" w:type="dxa"/>
              <w:right w:w="20" w:type="dxa"/>
            </w:tcMar>
            <w:vAlign w:val="bottom"/>
            <w:hideMark/>
          </w:tcPr>
          <w:p w14:paraId="256BF012"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8E59C29" w14:textId="77777777" w:rsidR="00000000" w:rsidRDefault="00405D16">
            <w:pPr>
              <w:spacing w:after="100"/>
              <w:rPr>
                <w:rFonts w:eastAsia="Times New Roman"/>
              </w:rPr>
            </w:pPr>
          </w:p>
        </w:tc>
        <w:tc>
          <w:tcPr>
            <w:tcW w:w="0" w:type="auto"/>
            <w:gridSpan w:val="15"/>
            <w:tcMar>
              <w:top w:w="30" w:type="dxa"/>
              <w:left w:w="20" w:type="dxa"/>
              <w:bottom w:w="30" w:type="dxa"/>
              <w:right w:w="20" w:type="dxa"/>
            </w:tcMar>
            <w:vAlign w:val="bottom"/>
            <w:hideMark/>
          </w:tcPr>
          <w:p w14:paraId="5BA49E85" w14:textId="77777777" w:rsidR="00000000" w:rsidRDefault="00405D16">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14:paraId="5562350C" w14:textId="77777777" w:rsidR="00000000" w:rsidRDefault="00405D16">
            <w:pPr>
              <w:spacing w:after="100"/>
              <w:jc w:val="center"/>
              <w:rPr>
                <w:rFonts w:eastAsia="Times New Roman"/>
              </w:rPr>
            </w:pPr>
          </w:p>
        </w:tc>
        <w:tc>
          <w:tcPr>
            <w:tcW w:w="0" w:type="auto"/>
            <w:gridSpan w:val="15"/>
            <w:tcMar>
              <w:top w:w="30" w:type="dxa"/>
              <w:left w:w="20" w:type="dxa"/>
              <w:bottom w:w="30" w:type="dxa"/>
              <w:right w:w="20" w:type="dxa"/>
            </w:tcMar>
            <w:vAlign w:val="bottom"/>
            <w:hideMark/>
          </w:tcPr>
          <w:p w14:paraId="3399FA4E" w14:textId="77777777" w:rsidR="00000000" w:rsidRDefault="00405D16">
            <w:pPr>
              <w:spacing w:after="100"/>
              <w:jc w:val="center"/>
              <w:rPr>
                <w:rFonts w:eastAsia="Times New Roman"/>
              </w:rPr>
            </w:pPr>
            <w:r>
              <w:rPr>
                <w:rFonts w:eastAsia="Times New Roman"/>
                <w:b/>
                <w:bCs/>
                <w:color w:val="000000"/>
                <w:sz w:val="16"/>
                <w:szCs w:val="16"/>
              </w:rPr>
              <w:t>December 31, 2020</w:t>
            </w:r>
          </w:p>
        </w:tc>
      </w:tr>
      <w:tr w:rsidR="00000000" w14:paraId="1C0C42E7" w14:textId="77777777">
        <w:trPr>
          <w:divId w:val="870728879"/>
        </w:trPr>
        <w:tc>
          <w:tcPr>
            <w:tcW w:w="0" w:type="auto"/>
            <w:gridSpan w:val="3"/>
            <w:tcMar>
              <w:top w:w="0" w:type="dxa"/>
              <w:left w:w="20" w:type="dxa"/>
              <w:bottom w:w="0" w:type="dxa"/>
              <w:right w:w="20" w:type="dxa"/>
            </w:tcMar>
            <w:vAlign w:val="center"/>
            <w:hideMark/>
          </w:tcPr>
          <w:p w14:paraId="4F8C3509" w14:textId="77777777" w:rsidR="00000000" w:rsidRDefault="00405D1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0DB7B4D"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F161B6F" w14:textId="77777777" w:rsidR="00000000" w:rsidRDefault="00405D16">
            <w:pPr>
              <w:spacing w:after="100"/>
              <w:jc w:val="center"/>
              <w:rPr>
                <w:rFonts w:eastAsia="Times New Roman"/>
              </w:rPr>
            </w:pPr>
            <w:r>
              <w:rPr>
                <w:rFonts w:eastAsia="Times New Roman"/>
                <w:b/>
                <w:bCs/>
                <w:color w:val="000000"/>
                <w:sz w:val="16"/>
                <w:szCs w:val="16"/>
              </w:rPr>
              <w:t>Ratio</w:t>
            </w:r>
          </w:p>
        </w:tc>
        <w:tc>
          <w:tcPr>
            <w:tcW w:w="0" w:type="auto"/>
            <w:gridSpan w:val="3"/>
            <w:tcBorders>
              <w:top w:val="single" w:sz="8" w:space="0" w:color="000000"/>
            </w:tcBorders>
            <w:tcMar>
              <w:top w:w="0" w:type="dxa"/>
              <w:left w:w="20" w:type="dxa"/>
              <w:bottom w:w="0" w:type="dxa"/>
              <w:right w:w="20" w:type="dxa"/>
            </w:tcMar>
            <w:vAlign w:val="center"/>
            <w:hideMark/>
          </w:tcPr>
          <w:p w14:paraId="5E27185C"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CDE739D" w14:textId="77777777" w:rsidR="00000000" w:rsidRDefault="00405D16">
            <w:pPr>
              <w:spacing w:after="100"/>
              <w:jc w:val="center"/>
              <w:rPr>
                <w:rFonts w:eastAsia="Times New Roman"/>
              </w:rPr>
            </w:pPr>
            <w:r>
              <w:rPr>
                <w:rFonts w:eastAsia="Times New Roman"/>
                <w:b/>
                <w:bCs/>
                <w:color w:val="000000"/>
                <w:sz w:val="16"/>
                <w:szCs w:val="16"/>
              </w:rPr>
              <w:t>Minimum</w:t>
            </w:r>
            <w:r>
              <w:rPr>
                <w:rFonts w:eastAsia="Times New Roman"/>
                <w:b/>
                <w:bCs/>
                <w:color w:val="000000"/>
                <w:sz w:val="16"/>
                <w:szCs w:val="16"/>
              </w:rPr>
              <w:br/>
              <w:t>Capital</w:t>
            </w:r>
            <w:r>
              <w:rPr>
                <w:rFonts w:eastAsia="Times New Roman"/>
                <w:b/>
                <w:bCs/>
                <w:color w:val="000000"/>
                <w:sz w:val="16"/>
                <w:szCs w:val="16"/>
              </w:rPr>
              <w:br/>
              <w:t>Adequacy</w:t>
            </w:r>
          </w:p>
        </w:tc>
        <w:tc>
          <w:tcPr>
            <w:tcW w:w="0" w:type="auto"/>
            <w:gridSpan w:val="3"/>
            <w:tcBorders>
              <w:top w:val="single" w:sz="8" w:space="0" w:color="000000"/>
            </w:tcBorders>
            <w:tcMar>
              <w:top w:w="0" w:type="dxa"/>
              <w:left w:w="20" w:type="dxa"/>
              <w:bottom w:w="0" w:type="dxa"/>
              <w:right w:w="20" w:type="dxa"/>
            </w:tcMar>
            <w:vAlign w:val="center"/>
            <w:hideMark/>
          </w:tcPr>
          <w:p w14:paraId="1D0620FC"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F2C19F3" w14:textId="77777777" w:rsidR="00000000" w:rsidRDefault="00405D16">
            <w:pPr>
              <w:spacing w:after="100"/>
              <w:jc w:val="center"/>
              <w:rPr>
                <w:rFonts w:eastAsia="Times New Roman"/>
              </w:rPr>
            </w:pPr>
            <w:r>
              <w:rPr>
                <w:rFonts w:eastAsia="Times New Roman"/>
                <w:b/>
                <w:bCs/>
                <w:color w:val="000000"/>
                <w:sz w:val="16"/>
                <w:szCs w:val="16"/>
              </w:rPr>
              <w:t>Well-</w:t>
            </w:r>
            <w:r>
              <w:rPr>
                <w:rFonts w:eastAsia="Times New Roman"/>
                <w:b/>
                <w:bCs/>
                <w:color w:val="000000"/>
                <w:sz w:val="16"/>
                <w:szCs w:val="16"/>
              </w:rPr>
              <w:br/>
              <w:t>Capitalized</w:t>
            </w:r>
          </w:p>
        </w:tc>
        <w:tc>
          <w:tcPr>
            <w:tcW w:w="0" w:type="auto"/>
            <w:gridSpan w:val="3"/>
            <w:tcMar>
              <w:top w:w="0" w:type="dxa"/>
              <w:left w:w="20" w:type="dxa"/>
              <w:bottom w:w="0" w:type="dxa"/>
              <w:right w:w="20" w:type="dxa"/>
            </w:tcMar>
            <w:vAlign w:val="center"/>
            <w:hideMark/>
          </w:tcPr>
          <w:p w14:paraId="29EC2DCF"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4A63052" w14:textId="77777777" w:rsidR="00000000" w:rsidRDefault="00405D16">
            <w:pPr>
              <w:spacing w:after="100"/>
              <w:jc w:val="center"/>
              <w:rPr>
                <w:rFonts w:eastAsia="Times New Roman"/>
              </w:rPr>
            </w:pPr>
            <w:r>
              <w:rPr>
                <w:rFonts w:eastAsia="Times New Roman"/>
                <w:b/>
                <w:bCs/>
                <w:color w:val="000000"/>
                <w:sz w:val="16"/>
                <w:szCs w:val="16"/>
              </w:rPr>
              <w:t>Ratio</w:t>
            </w:r>
          </w:p>
        </w:tc>
        <w:tc>
          <w:tcPr>
            <w:tcW w:w="0" w:type="auto"/>
            <w:gridSpan w:val="3"/>
            <w:tcBorders>
              <w:top w:val="single" w:sz="8" w:space="0" w:color="000000"/>
            </w:tcBorders>
            <w:tcMar>
              <w:top w:w="0" w:type="dxa"/>
              <w:left w:w="20" w:type="dxa"/>
              <w:bottom w:w="0" w:type="dxa"/>
              <w:right w:w="20" w:type="dxa"/>
            </w:tcMar>
            <w:vAlign w:val="center"/>
            <w:hideMark/>
          </w:tcPr>
          <w:p w14:paraId="569896A0"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6D753FD" w14:textId="77777777" w:rsidR="00000000" w:rsidRDefault="00405D16">
            <w:pPr>
              <w:spacing w:after="100"/>
              <w:jc w:val="center"/>
              <w:rPr>
                <w:rFonts w:eastAsia="Times New Roman"/>
              </w:rPr>
            </w:pPr>
            <w:r>
              <w:rPr>
                <w:rFonts w:eastAsia="Times New Roman"/>
                <w:b/>
                <w:bCs/>
                <w:color w:val="000000"/>
                <w:sz w:val="16"/>
                <w:szCs w:val="16"/>
              </w:rPr>
              <w:t>Minimum</w:t>
            </w:r>
            <w:r>
              <w:rPr>
                <w:rFonts w:eastAsia="Times New Roman"/>
                <w:b/>
                <w:bCs/>
                <w:color w:val="000000"/>
                <w:sz w:val="16"/>
                <w:szCs w:val="16"/>
              </w:rPr>
              <w:br/>
              <w:t>Capital</w:t>
            </w:r>
            <w:r>
              <w:rPr>
                <w:rFonts w:eastAsia="Times New Roman"/>
                <w:b/>
                <w:bCs/>
                <w:color w:val="000000"/>
                <w:sz w:val="16"/>
                <w:szCs w:val="16"/>
              </w:rPr>
              <w:br/>
              <w:t>Adequacy</w:t>
            </w:r>
          </w:p>
        </w:tc>
        <w:tc>
          <w:tcPr>
            <w:tcW w:w="0" w:type="auto"/>
            <w:gridSpan w:val="3"/>
            <w:tcBorders>
              <w:top w:val="single" w:sz="8" w:space="0" w:color="000000"/>
            </w:tcBorders>
            <w:tcMar>
              <w:top w:w="0" w:type="dxa"/>
              <w:left w:w="20" w:type="dxa"/>
              <w:bottom w:w="0" w:type="dxa"/>
              <w:right w:w="20" w:type="dxa"/>
            </w:tcMar>
            <w:vAlign w:val="center"/>
            <w:hideMark/>
          </w:tcPr>
          <w:p w14:paraId="7DBDDEE8"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81D6DDA" w14:textId="77777777" w:rsidR="00000000" w:rsidRDefault="00405D16">
            <w:pPr>
              <w:spacing w:after="100"/>
              <w:jc w:val="center"/>
              <w:rPr>
                <w:rFonts w:eastAsia="Times New Roman"/>
              </w:rPr>
            </w:pPr>
            <w:r>
              <w:rPr>
                <w:rFonts w:eastAsia="Times New Roman"/>
                <w:b/>
                <w:bCs/>
                <w:color w:val="000000"/>
                <w:sz w:val="16"/>
                <w:szCs w:val="16"/>
              </w:rPr>
              <w:t>Well-</w:t>
            </w:r>
            <w:r>
              <w:rPr>
                <w:rFonts w:eastAsia="Times New Roman"/>
                <w:b/>
                <w:bCs/>
                <w:color w:val="000000"/>
                <w:sz w:val="16"/>
                <w:szCs w:val="16"/>
              </w:rPr>
              <w:br/>
              <w:t>Capitalized</w:t>
            </w:r>
          </w:p>
        </w:tc>
      </w:tr>
      <w:tr w:rsidR="00000000" w14:paraId="4CD7F8A6" w14:textId="77777777">
        <w:trPr>
          <w:divId w:val="87072887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D6F5164" w14:textId="77777777" w:rsidR="00000000" w:rsidRDefault="00405D16">
            <w:pPr>
              <w:spacing w:after="100"/>
              <w:rPr>
                <w:rFonts w:eastAsia="Times New Roman"/>
              </w:rPr>
            </w:pPr>
            <w:r>
              <w:rPr>
                <w:rFonts w:eastAsia="Times New Roman"/>
                <w:b/>
                <w:bCs/>
                <w:color w:val="000000"/>
                <w:sz w:val="16"/>
                <w:szCs w:val="16"/>
              </w:rPr>
              <w:t>Capital One Financial Corp:</w:t>
            </w:r>
          </w:p>
        </w:tc>
        <w:tc>
          <w:tcPr>
            <w:tcW w:w="0" w:type="auto"/>
            <w:gridSpan w:val="3"/>
            <w:shd w:val="clear" w:color="auto" w:fill="CCEEFF"/>
            <w:tcMar>
              <w:top w:w="0" w:type="dxa"/>
              <w:left w:w="20" w:type="dxa"/>
              <w:bottom w:w="0" w:type="dxa"/>
              <w:right w:w="20" w:type="dxa"/>
            </w:tcMar>
            <w:vAlign w:val="center"/>
            <w:hideMark/>
          </w:tcPr>
          <w:p w14:paraId="52922904"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C3C676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58ACCB"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E9CCA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5DD606"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E8817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BB9189"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6CB36C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01031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AE0C6A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30BB39"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48B3E0A" w14:textId="77777777" w:rsidR="00000000" w:rsidRDefault="00405D16">
            <w:pPr>
              <w:spacing w:after="100"/>
              <w:rPr>
                <w:rFonts w:eastAsia="Times New Roman"/>
                <w:sz w:val="20"/>
                <w:szCs w:val="20"/>
              </w:rPr>
            </w:pPr>
          </w:p>
        </w:tc>
      </w:tr>
      <w:tr w:rsidR="00000000" w14:paraId="4918BC0B" w14:textId="77777777">
        <w:trPr>
          <w:divId w:val="870728879"/>
        </w:trPr>
        <w:tc>
          <w:tcPr>
            <w:tcW w:w="0" w:type="auto"/>
            <w:gridSpan w:val="3"/>
            <w:shd w:val="clear" w:color="auto" w:fill="FFFFFF"/>
            <w:tcMar>
              <w:top w:w="30" w:type="dxa"/>
              <w:left w:w="20" w:type="dxa"/>
              <w:bottom w:w="30" w:type="dxa"/>
              <w:right w:w="20" w:type="dxa"/>
            </w:tcMar>
            <w:vAlign w:val="center"/>
            <w:hideMark/>
          </w:tcPr>
          <w:p w14:paraId="146ACB2E" w14:textId="77777777" w:rsidR="00000000" w:rsidRDefault="00405D16">
            <w:pPr>
              <w:spacing w:after="100"/>
              <w:divId w:val="888035324"/>
              <w:rPr>
                <w:rFonts w:eastAsia="Times New Roman"/>
              </w:rPr>
            </w:pPr>
            <w:r>
              <w:rPr>
                <w:rFonts w:eastAsia="Times New Roman"/>
                <w:color w:val="000000"/>
                <w:sz w:val="18"/>
                <w:szCs w:val="18"/>
              </w:rPr>
              <w:t>Common equity Tier 1 capita</w:t>
            </w:r>
            <w:r>
              <w:rPr>
                <w:rFonts w:eastAsia="Times New Roman"/>
                <w:color w:val="000000"/>
                <w:sz w:val="18"/>
                <w:szCs w:val="18"/>
              </w:rPr>
              <w:t>l</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60015324"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DDF6518" w14:textId="77777777" w:rsidR="00000000" w:rsidRDefault="00405D16">
            <w:pPr>
              <w:spacing w:after="100"/>
              <w:jc w:val="right"/>
              <w:rPr>
                <w:rFonts w:eastAsia="Times New Roman"/>
              </w:rPr>
            </w:pPr>
            <w:r>
              <w:rPr>
                <w:rFonts w:eastAsia="Times New Roman"/>
                <w:b/>
                <w:bCs/>
                <w:color w:val="000000"/>
                <w:sz w:val="18"/>
                <w:szCs w:val="18"/>
              </w:rPr>
              <w:t>13.8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E361B77"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CC88497"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3935F1D" w14:textId="77777777" w:rsidR="00000000" w:rsidRDefault="00405D16">
            <w:pPr>
              <w:spacing w:after="100"/>
              <w:jc w:val="right"/>
              <w:rPr>
                <w:rFonts w:eastAsia="Times New Roman"/>
              </w:rPr>
            </w:pPr>
            <w:r>
              <w:rPr>
                <w:rFonts w:eastAsia="Times New Roman"/>
                <w:b/>
                <w:bCs/>
                <w:color w:val="000000"/>
                <w:sz w:val="18"/>
                <w:szCs w:val="18"/>
              </w:rPr>
              <w:t>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7B48F3C"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4E7D760" w14:textId="77777777" w:rsidR="00000000" w:rsidRDefault="00405D16">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14:paraId="1D3E4AE7" w14:textId="77777777" w:rsidR="00000000" w:rsidRDefault="00405D16">
            <w:pPr>
              <w:spacing w:after="100"/>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14:paraId="79CC4F44"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E09CB41" w14:textId="77777777" w:rsidR="00000000" w:rsidRDefault="00405D16">
            <w:pPr>
              <w:spacing w:after="100"/>
              <w:jc w:val="right"/>
              <w:rPr>
                <w:rFonts w:eastAsia="Times New Roman"/>
              </w:rPr>
            </w:pPr>
            <w:r>
              <w:rPr>
                <w:rFonts w:eastAsia="Times New Roman"/>
                <w:color w:val="000000"/>
                <w:sz w:val="18"/>
                <w:szCs w:val="18"/>
              </w:rPr>
              <w:t>13.7 </w:t>
            </w:r>
          </w:p>
        </w:tc>
        <w:tc>
          <w:tcPr>
            <w:tcW w:w="0" w:type="auto"/>
            <w:shd w:val="clear" w:color="auto" w:fill="FFFFFF"/>
            <w:tcMar>
              <w:top w:w="30" w:type="dxa"/>
              <w:left w:w="0" w:type="dxa"/>
              <w:bottom w:w="30" w:type="dxa"/>
              <w:right w:w="20" w:type="dxa"/>
            </w:tcMar>
            <w:vAlign w:val="center"/>
            <w:hideMark/>
          </w:tcPr>
          <w:p w14:paraId="48C757A7"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27A6FBF"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E1DB034" w14:textId="77777777" w:rsidR="00000000" w:rsidRDefault="00405D16">
            <w:pPr>
              <w:spacing w:after="100"/>
              <w:jc w:val="right"/>
              <w:rPr>
                <w:rFonts w:eastAsia="Times New Roman"/>
              </w:rPr>
            </w:pPr>
            <w:r>
              <w:rPr>
                <w:rFonts w:eastAsia="Times New Roman"/>
                <w:color w:val="000000"/>
                <w:sz w:val="18"/>
                <w:szCs w:val="18"/>
              </w:rPr>
              <w:t>4.5 </w:t>
            </w:r>
          </w:p>
        </w:tc>
        <w:tc>
          <w:tcPr>
            <w:tcW w:w="0" w:type="auto"/>
            <w:shd w:val="clear" w:color="auto" w:fill="FFFFFF"/>
            <w:tcMar>
              <w:top w:w="30" w:type="dxa"/>
              <w:left w:w="0" w:type="dxa"/>
              <w:bottom w:w="30" w:type="dxa"/>
              <w:right w:w="20" w:type="dxa"/>
            </w:tcMar>
            <w:vAlign w:val="center"/>
            <w:hideMark/>
          </w:tcPr>
          <w:p w14:paraId="63FD8F1C" w14:textId="77777777" w:rsidR="00000000" w:rsidRDefault="00405D16">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168054F" w14:textId="77777777" w:rsidR="00000000" w:rsidRDefault="00405D16">
            <w:pPr>
              <w:spacing w:after="100"/>
              <w:rPr>
                <w:rFonts w:eastAsia="Times New Roman"/>
              </w:rPr>
            </w:pPr>
          </w:p>
        </w:tc>
        <w:tc>
          <w:tcPr>
            <w:tcW w:w="0" w:type="auto"/>
            <w:gridSpan w:val="3"/>
            <w:shd w:val="clear" w:color="auto" w:fill="FFFFFF"/>
            <w:tcMar>
              <w:top w:w="30" w:type="dxa"/>
              <w:left w:w="20" w:type="dxa"/>
              <w:bottom w:w="30" w:type="dxa"/>
              <w:right w:w="260" w:type="dxa"/>
            </w:tcMar>
            <w:vAlign w:val="center"/>
            <w:hideMark/>
          </w:tcPr>
          <w:p w14:paraId="5EA05CE6" w14:textId="77777777" w:rsidR="00000000" w:rsidRDefault="00405D16">
            <w:pPr>
              <w:spacing w:after="100"/>
              <w:jc w:val="right"/>
              <w:rPr>
                <w:rFonts w:eastAsia="Times New Roman"/>
              </w:rPr>
            </w:pPr>
            <w:r>
              <w:rPr>
                <w:rFonts w:eastAsia="Times New Roman"/>
                <w:color w:val="000000"/>
                <w:sz w:val="18"/>
                <w:szCs w:val="18"/>
              </w:rPr>
              <w:t>N/A</w:t>
            </w:r>
          </w:p>
        </w:tc>
      </w:tr>
      <w:tr w:rsidR="00000000" w14:paraId="4D3F3653" w14:textId="77777777">
        <w:trPr>
          <w:divId w:val="870728879"/>
        </w:trPr>
        <w:tc>
          <w:tcPr>
            <w:tcW w:w="0" w:type="auto"/>
            <w:gridSpan w:val="3"/>
            <w:shd w:val="clear" w:color="auto" w:fill="CCEEFF"/>
            <w:tcMar>
              <w:top w:w="30" w:type="dxa"/>
              <w:left w:w="20" w:type="dxa"/>
              <w:bottom w:w="30" w:type="dxa"/>
              <w:right w:w="20" w:type="dxa"/>
            </w:tcMar>
            <w:vAlign w:val="center"/>
            <w:hideMark/>
          </w:tcPr>
          <w:p w14:paraId="54F2DFB1" w14:textId="77777777" w:rsidR="00000000" w:rsidRDefault="00405D16">
            <w:pPr>
              <w:spacing w:after="100"/>
              <w:divId w:val="226647964"/>
              <w:rPr>
                <w:rFonts w:eastAsia="Times New Roman"/>
              </w:rPr>
            </w:pPr>
            <w:r>
              <w:rPr>
                <w:rFonts w:eastAsia="Times New Roman"/>
                <w:color w:val="000000"/>
                <w:sz w:val="18"/>
                <w:szCs w:val="18"/>
              </w:rPr>
              <w:t>Tier 1 capita</w:t>
            </w:r>
            <w:r>
              <w:rPr>
                <w:rFonts w:eastAsia="Times New Roman"/>
                <w:color w:val="000000"/>
                <w:sz w:val="18"/>
                <w:szCs w:val="18"/>
              </w:rPr>
              <w:t>l</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047C6026"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28132ED" w14:textId="77777777" w:rsidR="00000000" w:rsidRDefault="00405D16">
            <w:pPr>
              <w:spacing w:after="100"/>
              <w:jc w:val="right"/>
              <w:rPr>
                <w:rFonts w:eastAsia="Times New Roman"/>
              </w:rPr>
            </w:pPr>
            <w:r>
              <w:rPr>
                <w:rFonts w:eastAsia="Times New Roman"/>
                <w:b/>
                <w:bCs/>
                <w:color w:val="000000"/>
                <w:sz w:val="18"/>
                <w:szCs w:val="18"/>
              </w:rPr>
              <w:t>15.7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18B6C8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CEC33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3231455" w14:textId="77777777" w:rsidR="00000000" w:rsidRDefault="00405D16">
            <w:pPr>
              <w:spacing w:after="100"/>
              <w:jc w:val="right"/>
              <w:rPr>
                <w:rFonts w:eastAsia="Times New Roman"/>
              </w:rPr>
            </w:pPr>
            <w:r>
              <w:rPr>
                <w:rFonts w:eastAsia="Times New Roman"/>
                <w:b/>
                <w:bCs/>
                <w:color w:val="000000"/>
                <w:sz w:val="18"/>
                <w:szCs w:val="18"/>
              </w:rPr>
              <w:t>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3CFB92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FED07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48FD054" w14:textId="77777777" w:rsidR="00000000" w:rsidRDefault="00405D16">
            <w:pPr>
              <w:spacing w:after="100"/>
              <w:jc w:val="right"/>
              <w:rPr>
                <w:rFonts w:eastAsia="Times New Roman"/>
              </w:rPr>
            </w:pPr>
            <w:r>
              <w:rPr>
                <w:rFonts w:eastAsia="Times New Roman"/>
                <w:b/>
                <w:bCs/>
                <w:color w:val="000000"/>
                <w:sz w:val="18"/>
                <w:szCs w:val="18"/>
              </w:rPr>
              <w:t>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C37E65B"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78D019B"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7837B44" w14:textId="77777777" w:rsidR="00000000" w:rsidRDefault="00405D16">
            <w:pPr>
              <w:spacing w:after="100"/>
              <w:jc w:val="right"/>
              <w:rPr>
                <w:rFonts w:eastAsia="Times New Roman"/>
              </w:rPr>
            </w:pPr>
            <w:r>
              <w:rPr>
                <w:rFonts w:eastAsia="Times New Roman"/>
                <w:color w:val="000000"/>
                <w:sz w:val="18"/>
                <w:szCs w:val="18"/>
              </w:rPr>
              <w:t>15.3 </w:t>
            </w:r>
          </w:p>
        </w:tc>
        <w:tc>
          <w:tcPr>
            <w:tcW w:w="0" w:type="auto"/>
            <w:shd w:val="clear" w:color="auto" w:fill="CCEEFF"/>
            <w:tcMar>
              <w:top w:w="30" w:type="dxa"/>
              <w:left w:w="0" w:type="dxa"/>
              <w:bottom w:w="30" w:type="dxa"/>
              <w:right w:w="20" w:type="dxa"/>
            </w:tcMar>
            <w:vAlign w:val="center"/>
            <w:hideMark/>
          </w:tcPr>
          <w:p w14:paraId="5A1C9F0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0D48F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3B46CB7" w14:textId="77777777" w:rsidR="00000000" w:rsidRDefault="00405D16">
            <w:pPr>
              <w:spacing w:after="100"/>
              <w:jc w:val="right"/>
              <w:rPr>
                <w:rFonts w:eastAsia="Times New Roman"/>
              </w:rPr>
            </w:pPr>
            <w:r>
              <w:rPr>
                <w:rFonts w:eastAsia="Times New Roman"/>
                <w:color w:val="000000"/>
                <w:sz w:val="18"/>
                <w:szCs w:val="18"/>
              </w:rPr>
              <w:t>6.0 </w:t>
            </w:r>
          </w:p>
        </w:tc>
        <w:tc>
          <w:tcPr>
            <w:tcW w:w="0" w:type="auto"/>
            <w:shd w:val="clear" w:color="auto" w:fill="CCEEFF"/>
            <w:tcMar>
              <w:top w:w="30" w:type="dxa"/>
              <w:left w:w="0" w:type="dxa"/>
              <w:bottom w:w="30" w:type="dxa"/>
              <w:right w:w="20" w:type="dxa"/>
            </w:tcMar>
            <w:vAlign w:val="center"/>
            <w:hideMark/>
          </w:tcPr>
          <w:p w14:paraId="6BBB8B8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E4E5B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C4D09A0" w14:textId="77777777" w:rsidR="00000000" w:rsidRDefault="00405D16">
            <w:pPr>
              <w:spacing w:after="100"/>
              <w:jc w:val="right"/>
              <w:rPr>
                <w:rFonts w:eastAsia="Times New Roman"/>
              </w:rPr>
            </w:pPr>
            <w:r>
              <w:rPr>
                <w:rFonts w:eastAsia="Times New Roman"/>
                <w:color w:val="000000"/>
                <w:sz w:val="18"/>
                <w:szCs w:val="18"/>
              </w:rPr>
              <w:t>6.0 </w:t>
            </w:r>
          </w:p>
        </w:tc>
        <w:tc>
          <w:tcPr>
            <w:tcW w:w="0" w:type="auto"/>
            <w:shd w:val="clear" w:color="auto" w:fill="CCEEFF"/>
            <w:tcMar>
              <w:top w:w="30" w:type="dxa"/>
              <w:left w:w="0" w:type="dxa"/>
              <w:bottom w:w="30" w:type="dxa"/>
              <w:right w:w="20" w:type="dxa"/>
            </w:tcMar>
            <w:vAlign w:val="center"/>
            <w:hideMark/>
          </w:tcPr>
          <w:p w14:paraId="227713CC" w14:textId="77777777" w:rsidR="00000000" w:rsidRDefault="00405D16">
            <w:pPr>
              <w:spacing w:after="100"/>
              <w:jc w:val="right"/>
              <w:rPr>
                <w:rFonts w:eastAsia="Times New Roman"/>
              </w:rPr>
            </w:pPr>
            <w:r>
              <w:rPr>
                <w:rFonts w:eastAsia="Times New Roman"/>
                <w:color w:val="000000"/>
                <w:sz w:val="18"/>
                <w:szCs w:val="18"/>
              </w:rPr>
              <w:t>%</w:t>
            </w:r>
          </w:p>
        </w:tc>
      </w:tr>
      <w:tr w:rsidR="00000000" w14:paraId="5E0EE0BD" w14:textId="77777777">
        <w:trPr>
          <w:divId w:val="870728879"/>
        </w:trPr>
        <w:tc>
          <w:tcPr>
            <w:tcW w:w="0" w:type="auto"/>
            <w:gridSpan w:val="3"/>
            <w:shd w:val="clear" w:color="auto" w:fill="FFFFFF"/>
            <w:tcMar>
              <w:top w:w="30" w:type="dxa"/>
              <w:left w:w="20" w:type="dxa"/>
              <w:bottom w:w="30" w:type="dxa"/>
              <w:right w:w="20" w:type="dxa"/>
            </w:tcMar>
            <w:vAlign w:val="center"/>
            <w:hideMark/>
          </w:tcPr>
          <w:p w14:paraId="0D13F75B" w14:textId="77777777" w:rsidR="00000000" w:rsidRDefault="00405D16">
            <w:pPr>
              <w:spacing w:after="100"/>
              <w:divId w:val="287400266"/>
              <w:rPr>
                <w:rFonts w:eastAsia="Times New Roman"/>
              </w:rPr>
            </w:pPr>
            <w:r>
              <w:rPr>
                <w:rFonts w:eastAsia="Times New Roman"/>
                <w:color w:val="000000"/>
                <w:sz w:val="18"/>
                <w:szCs w:val="18"/>
              </w:rPr>
              <w:t>Total capita</w:t>
            </w:r>
            <w:r>
              <w:rPr>
                <w:rFonts w:eastAsia="Times New Roman"/>
                <w:color w:val="000000"/>
                <w:sz w:val="18"/>
                <w:szCs w:val="18"/>
              </w:rPr>
              <w:t>l</w:t>
            </w:r>
            <w:r>
              <w:rPr>
                <w:rFonts w:eastAsia="Times New Roman"/>
                <w:color w:val="000000"/>
                <w:sz w:val="12"/>
                <w:szCs w:val="12"/>
              </w:rPr>
              <w:t>(5</w:t>
            </w:r>
            <w:r>
              <w:rPr>
                <w:rFonts w:eastAsia="Times New Roman"/>
                <w:color w:val="000000"/>
                <w:sz w:val="12"/>
                <w:szCs w:val="12"/>
              </w:rPr>
              <w:t>)</w:t>
            </w:r>
            <w:r>
              <w:rPr>
                <w:rFonts w:eastAsia="Times New Roman"/>
                <w:color w:val="000000"/>
                <w:sz w:val="18"/>
                <w:szCs w:val="18"/>
              </w:rPr>
              <w:t xml:space="preserve"> </w:t>
            </w:r>
          </w:p>
        </w:tc>
        <w:tc>
          <w:tcPr>
            <w:tcW w:w="0" w:type="auto"/>
            <w:gridSpan w:val="3"/>
            <w:shd w:val="clear" w:color="auto" w:fill="FFFFFF"/>
            <w:tcMar>
              <w:top w:w="0" w:type="dxa"/>
              <w:left w:w="20" w:type="dxa"/>
              <w:bottom w:w="0" w:type="dxa"/>
              <w:right w:w="20" w:type="dxa"/>
            </w:tcMar>
            <w:vAlign w:val="center"/>
            <w:hideMark/>
          </w:tcPr>
          <w:p w14:paraId="5205126F"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7A104E4" w14:textId="77777777" w:rsidR="00000000" w:rsidRDefault="00405D16">
            <w:pPr>
              <w:spacing w:after="100"/>
              <w:jc w:val="right"/>
              <w:rPr>
                <w:rFonts w:eastAsia="Times New Roman"/>
              </w:rPr>
            </w:pPr>
            <w:r>
              <w:rPr>
                <w:rFonts w:eastAsia="Times New Roman"/>
                <w:b/>
                <w:bCs/>
                <w:color w:val="000000"/>
                <w:sz w:val="18"/>
                <w:szCs w:val="18"/>
              </w:rPr>
              <w:t>18.2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7456D2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785DB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DAFD6F9" w14:textId="77777777" w:rsidR="00000000" w:rsidRDefault="00405D16">
            <w:pPr>
              <w:spacing w:after="100"/>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DD6EFC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B9F05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D46699D" w14:textId="77777777" w:rsidR="00000000" w:rsidRDefault="00405D16">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14E795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92A9A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782F602" w14:textId="77777777" w:rsidR="00000000" w:rsidRDefault="00405D16">
            <w:pPr>
              <w:spacing w:after="100"/>
              <w:jc w:val="right"/>
              <w:rPr>
                <w:rFonts w:eastAsia="Times New Roman"/>
              </w:rPr>
            </w:pPr>
            <w:r>
              <w:rPr>
                <w:rFonts w:eastAsia="Times New Roman"/>
                <w:color w:val="000000"/>
                <w:sz w:val="18"/>
                <w:szCs w:val="18"/>
              </w:rPr>
              <w:t>17.7 </w:t>
            </w:r>
          </w:p>
        </w:tc>
        <w:tc>
          <w:tcPr>
            <w:tcW w:w="0" w:type="auto"/>
            <w:shd w:val="clear" w:color="auto" w:fill="FFFFFF"/>
            <w:tcMar>
              <w:top w:w="30" w:type="dxa"/>
              <w:left w:w="0" w:type="dxa"/>
              <w:bottom w:w="30" w:type="dxa"/>
              <w:right w:w="20" w:type="dxa"/>
            </w:tcMar>
            <w:vAlign w:val="center"/>
            <w:hideMark/>
          </w:tcPr>
          <w:p w14:paraId="0624871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603BF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0E8C002" w14:textId="77777777" w:rsidR="00000000" w:rsidRDefault="00405D16">
            <w:pPr>
              <w:spacing w:after="100"/>
              <w:jc w:val="right"/>
              <w:rPr>
                <w:rFonts w:eastAsia="Times New Roman"/>
              </w:rPr>
            </w:pPr>
            <w:r>
              <w:rPr>
                <w:rFonts w:eastAsia="Times New Roman"/>
                <w:color w:val="000000"/>
                <w:sz w:val="18"/>
                <w:szCs w:val="18"/>
              </w:rPr>
              <w:t>8.0 </w:t>
            </w:r>
          </w:p>
        </w:tc>
        <w:tc>
          <w:tcPr>
            <w:tcW w:w="0" w:type="auto"/>
            <w:shd w:val="clear" w:color="auto" w:fill="FFFFFF"/>
            <w:tcMar>
              <w:top w:w="30" w:type="dxa"/>
              <w:left w:w="0" w:type="dxa"/>
              <w:bottom w:w="30" w:type="dxa"/>
              <w:right w:w="20" w:type="dxa"/>
            </w:tcMar>
            <w:vAlign w:val="center"/>
            <w:hideMark/>
          </w:tcPr>
          <w:p w14:paraId="7C1AC15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777AA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7A819AC" w14:textId="77777777" w:rsidR="00000000" w:rsidRDefault="00405D16">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14:paraId="36EDDB9D" w14:textId="77777777" w:rsidR="00000000" w:rsidRDefault="00405D16">
            <w:pPr>
              <w:spacing w:after="100"/>
              <w:jc w:val="right"/>
              <w:rPr>
                <w:rFonts w:eastAsia="Times New Roman"/>
              </w:rPr>
            </w:pPr>
          </w:p>
        </w:tc>
      </w:tr>
      <w:tr w:rsidR="00000000" w14:paraId="705F5F72" w14:textId="77777777">
        <w:trPr>
          <w:divId w:val="870728879"/>
        </w:trPr>
        <w:tc>
          <w:tcPr>
            <w:tcW w:w="0" w:type="auto"/>
            <w:gridSpan w:val="3"/>
            <w:shd w:val="clear" w:color="auto" w:fill="CCEEFF"/>
            <w:tcMar>
              <w:top w:w="30" w:type="dxa"/>
              <w:left w:w="20" w:type="dxa"/>
              <w:bottom w:w="30" w:type="dxa"/>
              <w:right w:w="20" w:type="dxa"/>
            </w:tcMar>
            <w:vAlign w:val="center"/>
            <w:hideMark/>
          </w:tcPr>
          <w:p w14:paraId="7BD0902B" w14:textId="77777777" w:rsidR="00000000" w:rsidRDefault="00405D16">
            <w:pPr>
              <w:spacing w:after="100"/>
              <w:divId w:val="168645852"/>
              <w:rPr>
                <w:rFonts w:eastAsia="Times New Roman"/>
              </w:rPr>
            </w:pPr>
            <w:r>
              <w:rPr>
                <w:rFonts w:eastAsia="Times New Roman"/>
                <w:color w:val="000000"/>
                <w:sz w:val="18"/>
                <w:szCs w:val="18"/>
              </w:rPr>
              <w:t>Tier 1 leverag</w:t>
            </w:r>
            <w:r>
              <w:rPr>
                <w:rFonts w:eastAsia="Times New Roman"/>
                <w:color w:val="000000"/>
                <w:sz w:val="18"/>
                <w:szCs w:val="18"/>
              </w:rPr>
              <w:t>e</w:t>
            </w:r>
            <w:r>
              <w:rPr>
                <w:rFonts w:eastAsia="Times New Roman"/>
                <w:color w:val="000000"/>
                <w:sz w:val="12"/>
                <w:szCs w:val="12"/>
              </w:rPr>
              <w:t>(6</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0B37B5D7"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347A217" w14:textId="77777777" w:rsidR="00000000" w:rsidRDefault="00405D16">
            <w:pPr>
              <w:spacing w:after="100"/>
              <w:jc w:val="right"/>
              <w:rPr>
                <w:rFonts w:eastAsia="Times New Roman"/>
              </w:rPr>
            </w:pPr>
            <w:r>
              <w:rPr>
                <w:rFonts w:eastAsia="Times New Roman"/>
                <w:b/>
                <w:bCs/>
                <w:color w:val="000000"/>
                <w:sz w:val="18"/>
                <w:szCs w:val="18"/>
              </w:rPr>
              <w:t>12.2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E2233E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2E265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280E5DE" w14:textId="77777777" w:rsidR="00000000" w:rsidRDefault="00405D16">
            <w:pPr>
              <w:spacing w:after="100"/>
              <w:jc w:val="right"/>
              <w:rPr>
                <w:rFonts w:eastAsia="Times New Roman"/>
              </w:rPr>
            </w:pPr>
            <w:r>
              <w:rPr>
                <w:rFonts w:eastAsia="Times New Roman"/>
                <w:b/>
                <w:bCs/>
                <w:color w:val="000000"/>
                <w:sz w:val="18"/>
                <w:szCs w:val="18"/>
              </w:rPr>
              <w:t>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5FF337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663074"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4D5DA2EA" w14:textId="77777777" w:rsidR="00000000" w:rsidRDefault="00405D16">
            <w:pPr>
              <w:spacing w:after="100"/>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14:paraId="1C3FBD82"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455D72D" w14:textId="77777777" w:rsidR="00000000" w:rsidRDefault="00405D16">
            <w:pPr>
              <w:spacing w:after="100"/>
              <w:jc w:val="right"/>
              <w:rPr>
                <w:rFonts w:eastAsia="Times New Roman"/>
              </w:rPr>
            </w:pPr>
            <w:r>
              <w:rPr>
                <w:rFonts w:eastAsia="Times New Roman"/>
                <w:color w:val="000000"/>
                <w:sz w:val="18"/>
                <w:szCs w:val="18"/>
              </w:rPr>
              <w:t>11.2 </w:t>
            </w:r>
          </w:p>
        </w:tc>
        <w:tc>
          <w:tcPr>
            <w:tcW w:w="0" w:type="auto"/>
            <w:shd w:val="clear" w:color="auto" w:fill="CCEEFF"/>
            <w:tcMar>
              <w:top w:w="30" w:type="dxa"/>
              <w:left w:w="0" w:type="dxa"/>
              <w:bottom w:w="30" w:type="dxa"/>
              <w:right w:w="20" w:type="dxa"/>
            </w:tcMar>
            <w:vAlign w:val="center"/>
            <w:hideMark/>
          </w:tcPr>
          <w:p w14:paraId="7C2CC6F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D9E7F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EA4E0D9" w14:textId="77777777" w:rsidR="00000000" w:rsidRDefault="00405D16">
            <w:pPr>
              <w:spacing w:after="100"/>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center"/>
            <w:hideMark/>
          </w:tcPr>
          <w:p w14:paraId="0652B0D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55D615"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5102B826" w14:textId="77777777" w:rsidR="00000000" w:rsidRDefault="00405D16">
            <w:pPr>
              <w:spacing w:after="100"/>
              <w:jc w:val="right"/>
              <w:rPr>
                <w:rFonts w:eastAsia="Times New Roman"/>
              </w:rPr>
            </w:pPr>
            <w:r>
              <w:rPr>
                <w:rFonts w:eastAsia="Times New Roman"/>
                <w:color w:val="000000"/>
                <w:sz w:val="18"/>
                <w:szCs w:val="18"/>
              </w:rPr>
              <w:t>N/A</w:t>
            </w:r>
          </w:p>
        </w:tc>
      </w:tr>
      <w:tr w:rsidR="00000000" w14:paraId="0EFE9363" w14:textId="77777777">
        <w:trPr>
          <w:divId w:val="870728879"/>
        </w:trPr>
        <w:tc>
          <w:tcPr>
            <w:tcW w:w="0" w:type="auto"/>
            <w:gridSpan w:val="3"/>
            <w:shd w:val="clear" w:color="auto" w:fill="FFFFFF"/>
            <w:tcMar>
              <w:top w:w="30" w:type="dxa"/>
              <w:left w:w="20" w:type="dxa"/>
              <w:bottom w:w="30" w:type="dxa"/>
              <w:right w:w="20" w:type="dxa"/>
            </w:tcMar>
            <w:vAlign w:val="center"/>
            <w:hideMark/>
          </w:tcPr>
          <w:p w14:paraId="15DD89DC" w14:textId="77777777" w:rsidR="00000000" w:rsidRDefault="00405D16">
            <w:pPr>
              <w:spacing w:after="100"/>
              <w:divId w:val="761728713"/>
              <w:rPr>
                <w:rFonts w:eastAsia="Times New Roman"/>
              </w:rPr>
            </w:pPr>
            <w:r>
              <w:rPr>
                <w:rFonts w:eastAsia="Times New Roman"/>
                <w:color w:val="000000"/>
                <w:sz w:val="18"/>
                <w:szCs w:val="18"/>
              </w:rPr>
              <w:t>Supplementary leverag</w:t>
            </w:r>
            <w:r>
              <w:rPr>
                <w:rFonts w:eastAsia="Times New Roman"/>
                <w:color w:val="000000"/>
                <w:sz w:val="18"/>
                <w:szCs w:val="18"/>
              </w:rPr>
              <w:t>e</w:t>
            </w:r>
            <w:r>
              <w:rPr>
                <w:rFonts w:eastAsia="Times New Roman"/>
                <w:color w:val="000000"/>
                <w:sz w:val="12"/>
                <w:szCs w:val="12"/>
              </w:rPr>
              <w:t>(7)(8</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6EFE70B2"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2364A36" w14:textId="77777777" w:rsidR="00000000" w:rsidRDefault="00405D16">
            <w:pPr>
              <w:spacing w:after="100"/>
              <w:jc w:val="right"/>
              <w:rPr>
                <w:rFonts w:eastAsia="Times New Roman"/>
              </w:rPr>
            </w:pPr>
            <w:r>
              <w:rPr>
                <w:rFonts w:eastAsia="Times New Roman"/>
                <w:b/>
                <w:bCs/>
                <w:color w:val="000000"/>
                <w:sz w:val="18"/>
                <w:szCs w:val="18"/>
              </w:rPr>
              <w:t>10.4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7C9C2A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3E1E2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4174D3A" w14:textId="77777777" w:rsidR="00000000" w:rsidRDefault="00405D16">
            <w:pPr>
              <w:spacing w:after="100"/>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CFA977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91918F"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3F8A195B" w14:textId="77777777" w:rsidR="00000000" w:rsidRDefault="00405D16">
            <w:pPr>
              <w:spacing w:after="100"/>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14:paraId="2FFB7BF2"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DCEBC1E" w14:textId="77777777" w:rsidR="00000000" w:rsidRDefault="00405D16">
            <w:pPr>
              <w:spacing w:after="100"/>
              <w:jc w:val="right"/>
              <w:rPr>
                <w:rFonts w:eastAsia="Times New Roman"/>
              </w:rPr>
            </w:pPr>
            <w:r>
              <w:rPr>
                <w:rFonts w:eastAsia="Times New Roman"/>
                <w:color w:val="000000"/>
                <w:sz w:val="18"/>
                <w:szCs w:val="18"/>
              </w:rPr>
              <w:t>10.7 </w:t>
            </w:r>
          </w:p>
        </w:tc>
        <w:tc>
          <w:tcPr>
            <w:tcW w:w="0" w:type="auto"/>
            <w:shd w:val="clear" w:color="auto" w:fill="FFFFFF"/>
            <w:tcMar>
              <w:top w:w="30" w:type="dxa"/>
              <w:left w:w="0" w:type="dxa"/>
              <w:bottom w:w="30" w:type="dxa"/>
              <w:right w:w="20" w:type="dxa"/>
            </w:tcMar>
            <w:vAlign w:val="center"/>
            <w:hideMark/>
          </w:tcPr>
          <w:p w14:paraId="5F13B67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4CF9A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E13765B" w14:textId="77777777" w:rsidR="00000000" w:rsidRDefault="00405D16">
            <w:pPr>
              <w:spacing w:after="100"/>
              <w:jc w:val="right"/>
              <w:rPr>
                <w:rFonts w:eastAsia="Times New Roman"/>
              </w:rPr>
            </w:pPr>
            <w:r>
              <w:rPr>
                <w:rFonts w:eastAsia="Times New Roman"/>
                <w:color w:val="000000"/>
                <w:sz w:val="18"/>
                <w:szCs w:val="18"/>
              </w:rPr>
              <w:t>3.0 </w:t>
            </w:r>
          </w:p>
        </w:tc>
        <w:tc>
          <w:tcPr>
            <w:tcW w:w="0" w:type="auto"/>
            <w:shd w:val="clear" w:color="auto" w:fill="FFFFFF"/>
            <w:tcMar>
              <w:top w:w="30" w:type="dxa"/>
              <w:left w:w="0" w:type="dxa"/>
              <w:bottom w:w="30" w:type="dxa"/>
              <w:right w:w="20" w:type="dxa"/>
            </w:tcMar>
            <w:vAlign w:val="center"/>
            <w:hideMark/>
          </w:tcPr>
          <w:p w14:paraId="3BB05B5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AD3A73"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4BA834CE" w14:textId="77777777" w:rsidR="00000000" w:rsidRDefault="00405D16">
            <w:pPr>
              <w:spacing w:after="100"/>
              <w:jc w:val="right"/>
              <w:rPr>
                <w:rFonts w:eastAsia="Times New Roman"/>
              </w:rPr>
            </w:pPr>
            <w:r>
              <w:rPr>
                <w:rFonts w:eastAsia="Times New Roman"/>
                <w:color w:val="000000"/>
                <w:sz w:val="18"/>
                <w:szCs w:val="18"/>
              </w:rPr>
              <w:t>N/A</w:t>
            </w:r>
          </w:p>
        </w:tc>
      </w:tr>
      <w:tr w:rsidR="00000000" w14:paraId="49233F00" w14:textId="77777777">
        <w:trPr>
          <w:divId w:val="870728879"/>
        </w:trPr>
        <w:tc>
          <w:tcPr>
            <w:tcW w:w="0" w:type="auto"/>
            <w:gridSpan w:val="3"/>
            <w:shd w:val="clear" w:color="auto" w:fill="CCEEFF"/>
            <w:tcMar>
              <w:top w:w="30" w:type="dxa"/>
              <w:left w:w="20" w:type="dxa"/>
              <w:bottom w:w="30" w:type="dxa"/>
              <w:right w:w="20" w:type="dxa"/>
            </w:tcMar>
            <w:vAlign w:val="center"/>
            <w:hideMark/>
          </w:tcPr>
          <w:p w14:paraId="5768FA8E" w14:textId="77777777" w:rsidR="00000000" w:rsidRDefault="00405D16">
            <w:pPr>
              <w:spacing w:after="100"/>
              <w:rPr>
                <w:rFonts w:eastAsia="Times New Roman"/>
              </w:rPr>
            </w:pPr>
            <w:r>
              <w:rPr>
                <w:rFonts w:eastAsia="Times New Roman"/>
                <w:b/>
                <w:bCs/>
                <w:color w:val="000000"/>
                <w:sz w:val="16"/>
                <w:szCs w:val="16"/>
              </w:rPr>
              <w:t>COBNA:</w:t>
            </w:r>
          </w:p>
        </w:tc>
        <w:tc>
          <w:tcPr>
            <w:tcW w:w="0" w:type="auto"/>
            <w:gridSpan w:val="3"/>
            <w:shd w:val="clear" w:color="auto" w:fill="CCEEFF"/>
            <w:tcMar>
              <w:top w:w="0" w:type="dxa"/>
              <w:left w:w="20" w:type="dxa"/>
              <w:bottom w:w="0" w:type="dxa"/>
              <w:right w:w="20" w:type="dxa"/>
            </w:tcMar>
            <w:vAlign w:val="center"/>
            <w:hideMark/>
          </w:tcPr>
          <w:p w14:paraId="7160FF43"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2D99D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73812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2FA4C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D0D1F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14A82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82F64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2F823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A2A80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151C0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E0888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E1F93D" w14:textId="77777777" w:rsidR="00000000" w:rsidRDefault="00405D16">
            <w:pPr>
              <w:spacing w:after="100"/>
              <w:rPr>
                <w:rFonts w:eastAsia="Times New Roman"/>
                <w:sz w:val="20"/>
                <w:szCs w:val="20"/>
              </w:rPr>
            </w:pPr>
          </w:p>
        </w:tc>
      </w:tr>
      <w:tr w:rsidR="00000000" w14:paraId="477232CF" w14:textId="77777777">
        <w:trPr>
          <w:divId w:val="870728879"/>
        </w:trPr>
        <w:tc>
          <w:tcPr>
            <w:tcW w:w="0" w:type="auto"/>
            <w:gridSpan w:val="3"/>
            <w:shd w:val="clear" w:color="auto" w:fill="FFFFFF"/>
            <w:tcMar>
              <w:top w:w="30" w:type="dxa"/>
              <w:left w:w="20" w:type="dxa"/>
              <w:bottom w:w="30" w:type="dxa"/>
              <w:right w:w="20" w:type="dxa"/>
            </w:tcMar>
            <w:vAlign w:val="center"/>
            <w:hideMark/>
          </w:tcPr>
          <w:p w14:paraId="6834B26C" w14:textId="77777777" w:rsidR="00000000" w:rsidRDefault="00405D16">
            <w:pPr>
              <w:spacing w:after="100"/>
              <w:divId w:val="859976936"/>
              <w:rPr>
                <w:rFonts w:eastAsia="Times New Roman"/>
              </w:rPr>
            </w:pPr>
            <w:r>
              <w:rPr>
                <w:rFonts w:eastAsia="Times New Roman"/>
                <w:color w:val="000000"/>
                <w:sz w:val="18"/>
                <w:szCs w:val="18"/>
              </w:rPr>
              <w:t>Common equity Tier 1 capita</w:t>
            </w:r>
            <w:r>
              <w:rPr>
                <w:rFonts w:eastAsia="Times New Roman"/>
                <w:color w:val="000000"/>
                <w:sz w:val="18"/>
                <w:szCs w:val="18"/>
              </w:rPr>
              <w:t>l</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48ADC7C1"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DD50DE1" w14:textId="77777777" w:rsidR="00000000" w:rsidRDefault="00405D16">
            <w:pPr>
              <w:spacing w:after="100"/>
              <w:jc w:val="right"/>
              <w:rPr>
                <w:rFonts w:eastAsia="Times New Roman"/>
              </w:rPr>
            </w:pPr>
            <w:r>
              <w:rPr>
                <w:rFonts w:eastAsia="Times New Roman"/>
                <w:b/>
                <w:bCs/>
                <w:color w:val="000000"/>
                <w:sz w:val="18"/>
                <w:szCs w:val="18"/>
              </w:rPr>
              <w:t>18.3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182579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680AF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278580E" w14:textId="77777777" w:rsidR="00000000" w:rsidRDefault="00405D16">
            <w:pPr>
              <w:spacing w:after="100"/>
              <w:jc w:val="right"/>
              <w:rPr>
                <w:rFonts w:eastAsia="Times New Roman"/>
              </w:rPr>
            </w:pPr>
            <w:r>
              <w:rPr>
                <w:rFonts w:eastAsia="Times New Roman"/>
                <w:b/>
                <w:bCs/>
                <w:color w:val="000000"/>
                <w:sz w:val="18"/>
                <w:szCs w:val="18"/>
              </w:rPr>
              <w:t>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DD6DF4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4047C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80DDAAF" w14:textId="77777777" w:rsidR="00000000" w:rsidRDefault="00405D16">
            <w:pPr>
              <w:spacing w:after="100"/>
              <w:jc w:val="right"/>
              <w:rPr>
                <w:rFonts w:eastAsia="Times New Roman"/>
              </w:rPr>
            </w:pPr>
            <w:r>
              <w:rPr>
                <w:rFonts w:eastAsia="Times New Roman"/>
                <w:b/>
                <w:bCs/>
                <w:color w:val="000000"/>
                <w:sz w:val="18"/>
                <w:szCs w:val="18"/>
              </w:rPr>
              <w:t>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68B330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3284D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E1FF7E4" w14:textId="77777777" w:rsidR="00000000" w:rsidRDefault="00405D16">
            <w:pPr>
              <w:spacing w:after="100"/>
              <w:jc w:val="right"/>
              <w:rPr>
                <w:rFonts w:eastAsia="Times New Roman"/>
              </w:rPr>
            </w:pPr>
            <w:r>
              <w:rPr>
                <w:rFonts w:eastAsia="Times New Roman"/>
                <w:color w:val="000000"/>
                <w:sz w:val="18"/>
                <w:szCs w:val="18"/>
              </w:rPr>
              <w:t>21.5 </w:t>
            </w:r>
          </w:p>
        </w:tc>
        <w:tc>
          <w:tcPr>
            <w:tcW w:w="0" w:type="auto"/>
            <w:shd w:val="clear" w:color="auto" w:fill="FFFFFF"/>
            <w:tcMar>
              <w:top w:w="30" w:type="dxa"/>
              <w:left w:w="0" w:type="dxa"/>
              <w:bottom w:w="30" w:type="dxa"/>
              <w:right w:w="20" w:type="dxa"/>
            </w:tcMar>
            <w:vAlign w:val="center"/>
            <w:hideMark/>
          </w:tcPr>
          <w:p w14:paraId="1B75A4F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4782D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173080F" w14:textId="77777777" w:rsidR="00000000" w:rsidRDefault="00405D16">
            <w:pPr>
              <w:spacing w:after="100"/>
              <w:jc w:val="right"/>
              <w:rPr>
                <w:rFonts w:eastAsia="Times New Roman"/>
              </w:rPr>
            </w:pPr>
            <w:r>
              <w:rPr>
                <w:rFonts w:eastAsia="Times New Roman"/>
                <w:color w:val="000000"/>
                <w:sz w:val="18"/>
                <w:szCs w:val="18"/>
              </w:rPr>
              <w:t>4.5 </w:t>
            </w:r>
          </w:p>
        </w:tc>
        <w:tc>
          <w:tcPr>
            <w:tcW w:w="0" w:type="auto"/>
            <w:shd w:val="clear" w:color="auto" w:fill="FFFFFF"/>
            <w:tcMar>
              <w:top w:w="30" w:type="dxa"/>
              <w:left w:w="0" w:type="dxa"/>
              <w:bottom w:w="30" w:type="dxa"/>
              <w:right w:w="20" w:type="dxa"/>
            </w:tcMar>
            <w:vAlign w:val="center"/>
            <w:hideMark/>
          </w:tcPr>
          <w:p w14:paraId="450909C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C816F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524EF9F" w14:textId="77777777" w:rsidR="00000000" w:rsidRDefault="00405D16">
            <w:pPr>
              <w:spacing w:after="100"/>
              <w:jc w:val="right"/>
              <w:rPr>
                <w:rFonts w:eastAsia="Times New Roman"/>
              </w:rPr>
            </w:pPr>
            <w:r>
              <w:rPr>
                <w:rFonts w:eastAsia="Times New Roman"/>
                <w:color w:val="000000"/>
                <w:sz w:val="18"/>
                <w:szCs w:val="18"/>
              </w:rPr>
              <w:t>6.5 </w:t>
            </w:r>
          </w:p>
        </w:tc>
        <w:tc>
          <w:tcPr>
            <w:tcW w:w="0" w:type="auto"/>
            <w:shd w:val="clear" w:color="auto" w:fill="FFFFFF"/>
            <w:tcMar>
              <w:top w:w="30" w:type="dxa"/>
              <w:left w:w="0" w:type="dxa"/>
              <w:bottom w:w="30" w:type="dxa"/>
              <w:right w:w="20" w:type="dxa"/>
            </w:tcMar>
            <w:vAlign w:val="center"/>
            <w:hideMark/>
          </w:tcPr>
          <w:p w14:paraId="350978F6" w14:textId="77777777" w:rsidR="00000000" w:rsidRDefault="00405D16">
            <w:pPr>
              <w:spacing w:after="100"/>
              <w:jc w:val="right"/>
              <w:rPr>
                <w:rFonts w:eastAsia="Times New Roman"/>
              </w:rPr>
            </w:pPr>
          </w:p>
        </w:tc>
      </w:tr>
      <w:tr w:rsidR="00000000" w14:paraId="17E21A92" w14:textId="77777777">
        <w:trPr>
          <w:divId w:val="870728879"/>
        </w:trPr>
        <w:tc>
          <w:tcPr>
            <w:tcW w:w="0" w:type="auto"/>
            <w:gridSpan w:val="3"/>
            <w:shd w:val="clear" w:color="auto" w:fill="CCEEFF"/>
            <w:tcMar>
              <w:top w:w="30" w:type="dxa"/>
              <w:left w:w="20" w:type="dxa"/>
              <w:bottom w:w="30" w:type="dxa"/>
              <w:right w:w="20" w:type="dxa"/>
            </w:tcMar>
            <w:vAlign w:val="center"/>
            <w:hideMark/>
          </w:tcPr>
          <w:p w14:paraId="031406F2" w14:textId="77777777" w:rsidR="00000000" w:rsidRDefault="00405D16">
            <w:pPr>
              <w:spacing w:after="100"/>
              <w:divId w:val="772626414"/>
              <w:rPr>
                <w:rFonts w:eastAsia="Times New Roman"/>
              </w:rPr>
            </w:pPr>
            <w:r>
              <w:rPr>
                <w:rFonts w:eastAsia="Times New Roman"/>
                <w:color w:val="000000"/>
                <w:sz w:val="18"/>
                <w:szCs w:val="18"/>
              </w:rPr>
              <w:t>Tier 1 capita</w:t>
            </w:r>
            <w:r>
              <w:rPr>
                <w:rFonts w:eastAsia="Times New Roman"/>
                <w:color w:val="000000"/>
                <w:sz w:val="18"/>
                <w:szCs w:val="18"/>
              </w:rPr>
              <w:t>l</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325B19ED"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BFE72C9" w14:textId="77777777" w:rsidR="00000000" w:rsidRDefault="00405D16">
            <w:pPr>
              <w:spacing w:after="100"/>
              <w:jc w:val="right"/>
              <w:rPr>
                <w:rFonts w:eastAsia="Times New Roman"/>
              </w:rPr>
            </w:pPr>
            <w:r>
              <w:rPr>
                <w:rFonts w:eastAsia="Times New Roman"/>
                <w:b/>
                <w:bCs/>
                <w:color w:val="000000"/>
                <w:sz w:val="18"/>
                <w:szCs w:val="18"/>
              </w:rPr>
              <w:t>18.3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B868A2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6D9FE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F9C362F" w14:textId="77777777" w:rsidR="00000000" w:rsidRDefault="00405D16">
            <w:pPr>
              <w:spacing w:after="100"/>
              <w:jc w:val="right"/>
              <w:rPr>
                <w:rFonts w:eastAsia="Times New Roman"/>
              </w:rPr>
            </w:pPr>
            <w:r>
              <w:rPr>
                <w:rFonts w:eastAsia="Times New Roman"/>
                <w:b/>
                <w:bCs/>
                <w:color w:val="000000"/>
                <w:sz w:val="18"/>
                <w:szCs w:val="18"/>
              </w:rPr>
              <w:t>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6D79E0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D6ADF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EDBB4E4" w14:textId="77777777" w:rsidR="00000000" w:rsidRDefault="00405D16">
            <w:pPr>
              <w:spacing w:after="100"/>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DB76D7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EF318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34B7323" w14:textId="77777777" w:rsidR="00000000" w:rsidRDefault="00405D16">
            <w:pPr>
              <w:spacing w:after="100"/>
              <w:jc w:val="right"/>
              <w:rPr>
                <w:rFonts w:eastAsia="Times New Roman"/>
              </w:rPr>
            </w:pPr>
            <w:r>
              <w:rPr>
                <w:rFonts w:eastAsia="Times New Roman"/>
                <w:color w:val="000000"/>
                <w:sz w:val="18"/>
                <w:szCs w:val="18"/>
              </w:rPr>
              <w:t>21.5 </w:t>
            </w:r>
          </w:p>
        </w:tc>
        <w:tc>
          <w:tcPr>
            <w:tcW w:w="0" w:type="auto"/>
            <w:shd w:val="clear" w:color="auto" w:fill="CCEEFF"/>
            <w:tcMar>
              <w:top w:w="30" w:type="dxa"/>
              <w:left w:w="0" w:type="dxa"/>
              <w:bottom w:w="30" w:type="dxa"/>
              <w:right w:w="20" w:type="dxa"/>
            </w:tcMar>
            <w:vAlign w:val="center"/>
            <w:hideMark/>
          </w:tcPr>
          <w:p w14:paraId="108CEBE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4366E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9D02952" w14:textId="77777777" w:rsidR="00000000" w:rsidRDefault="00405D16">
            <w:pPr>
              <w:spacing w:after="100"/>
              <w:jc w:val="right"/>
              <w:rPr>
                <w:rFonts w:eastAsia="Times New Roman"/>
              </w:rPr>
            </w:pPr>
            <w:r>
              <w:rPr>
                <w:rFonts w:eastAsia="Times New Roman"/>
                <w:color w:val="000000"/>
                <w:sz w:val="18"/>
                <w:szCs w:val="18"/>
              </w:rPr>
              <w:t>6.0 </w:t>
            </w:r>
          </w:p>
        </w:tc>
        <w:tc>
          <w:tcPr>
            <w:tcW w:w="0" w:type="auto"/>
            <w:shd w:val="clear" w:color="auto" w:fill="CCEEFF"/>
            <w:tcMar>
              <w:top w:w="30" w:type="dxa"/>
              <w:left w:w="0" w:type="dxa"/>
              <w:bottom w:w="30" w:type="dxa"/>
              <w:right w:w="20" w:type="dxa"/>
            </w:tcMar>
            <w:vAlign w:val="center"/>
            <w:hideMark/>
          </w:tcPr>
          <w:p w14:paraId="41CE3AD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B3C39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E6332E6" w14:textId="77777777" w:rsidR="00000000" w:rsidRDefault="00405D16">
            <w:pPr>
              <w:spacing w:after="100"/>
              <w:jc w:val="right"/>
              <w:rPr>
                <w:rFonts w:eastAsia="Times New Roman"/>
              </w:rPr>
            </w:pPr>
            <w:r>
              <w:rPr>
                <w:rFonts w:eastAsia="Times New Roman"/>
                <w:color w:val="000000"/>
                <w:sz w:val="18"/>
                <w:szCs w:val="18"/>
              </w:rPr>
              <w:t>8.0 </w:t>
            </w:r>
          </w:p>
        </w:tc>
        <w:tc>
          <w:tcPr>
            <w:tcW w:w="0" w:type="auto"/>
            <w:shd w:val="clear" w:color="auto" w:fill="CCEEFF"/>
            <w:tcMar>
              <w:top w:w="30" w:type="dxa"/>
              <w:left w:w="0" w:type="dxa"/>
              <w:bottom w:w="30" w:type="dxa"/>
              <w:right w:w="20" w:type="dxa"/>
            </w:tcMar>
            <w:vAlign w:val="center"/>
            <w:hideMark/>
          </w:tcPr>
          <w:p w14:paraId="4EA4807D" w14:textId="77777777" w:rsidR="00000000" w:rsidRDefault="00405D16">
            <w:pPr>
              <w:spacing w:after="100"/>
              <w:jc w:val="right"/>
              <w:rPr>
                <w:rFonts w:eastAsia="Times New Roman"/>
              </w:rPr>
            </w:pPr>
          </w:p>
        </w:tc>
      </w:tr>
      <w:tr w:rsidR="00000000" w14:paraId="748F6D09" w14:textId="77777777">
        <w:trPr>
          <w:divId w:val="870728879"/>
        </w:trPr>
        <w:tc>
          <w:tcPr>
            <w:tcW w:w="0" w:type="auto"/>
            <w:gridSpan w:val="3"/>
            <w:shd w:val="clear" w:color="auto" w:fill="FFFFFF"/>
            <w:tcMar>
              <w:top w:w="30" w:type="dxa"/>
              <w:left w:w="20" w:type="dxa"/>
              <w:bottom w:w="30" w:type="dxa"/>
              <w:right w:w="20" w:type="dxa"/>
            </w:tcMar>
            <w:vAlign w:val="center"/>
            <w:hideMark/>
          </w:tcPr>
          <w:p w14:paraId="582220BD" w14:textId="77777777" w:rsidR="00000000" w:rsidRDefault="00405D16">
            <w:pPr>
              <w:spacing w:after="100"/>
              <w:divId w:val="2055737076"/>
              <w:rPr>
                <w:rFonts w:eastAsia="Times New Roman"/>
              </w:rPr>
            </w:pPr>
            <w:r>
              <w:rPr>
                <w:rFonts w:eastAsia="Times New Roman"/>
                <w:color w:val="000000"/>
                <w:sz w:val="18"/>
                <w:szCs w:val="18"/>
              </w:rPr>
              <w:t>Total capita</w:t>
            </w:r>
            <w:r>
              <w:rPr>
                <w:rFonts w:eastAsia="Times New Roman"/>
                <w:color w:val="000000"/>
                <w:sz w:val="18"/>
                <w:szCs w:val="18"/>
              </w:rPr>
              <w:t>l</w:t>
            </w:r>
            <w:r>
              <w:rPr>
                <w:rFonts w:eastAsia="Times New Roman"/>
                <w:color w:val="000000"/>
                <w:sz w:val="12"/>
                <w:szCs w:val="12"/>
              </w:rPr>
              <w:t>(5</w:t>
            </w:r>
            <w:r>
              <w:rPr>
                <w:rFonts w:eastAsia="Times New Roman"/>
                <w:color w:val="000000"/>
                <w:sz w:val="12"/>
                <w:szCs w:val="12"/>
              </w:rPr>
              <w:t>)</w:t>
            </w:r>
            <w:r>
              <w:rPr>
                <w:rFonts w:eastAsia="Times New Roman"/>
                <w:color w:val="000000"/>
                <w:sz w:val="18"/>
                <w:szCs w:val="18"/>
              </w:rPr>
              <w:t xml:space="preserve"> </w:t>
            </w:r>
          </w:p>
        </w:tc>
        <w:tc>
          <w:tcPr>
            <w:tcW w:w="0" w:type="auto"/>
            <w:gridSpan w:val="3"/>
            <w:shd w:val="clear" w:color="auto" w:fill="FFFFFF"/>
            <w:tcMar>
              <w:top w:w="0" w:type="dxa"/>
              <w:left w:w="20" w:type="dxa"/>
              <w:bottom w:w="0" w:type="dxa"/>
              <w:right w:w="20" w:type="dxa"/>
            </w:tcMar>
            <w:vAlign w:val="center"/>
            <w:hideMark/>
          </w:tcPr>
          <w:p w14:paraId="304EDA5D"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C1BE43F" w14:textId="77777777" w:rsidR="00000000" w:rsidRDefault="00405D16">
            <w:pPr>
              <w:spacing w:after="100"/>
              <w:jc w:val="right"/>
              <w:rPr>
                <w:rFonts w:eastAsia="Times New Roman"/>
              </w:rPr>
            </w:pPr>
            <w:r>
              <w:rPr>
                <w:rFonts w:eastAsia="Times New Roman"/>
                <w:b/>
                <w:bCs/>
                <w:color w:val="000000"/>
                <w:sz w:val="18"/>
                <w:szCs w:val="18"/>
              </w:rPr>
              <w:t>19.9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510232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212F9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F2C6676" w14:textId="77777777" w:rsidR="00000000" w:rsidRDefault="00405D16">
            <w:pPr>
              <w:spacing w:after="100"/>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563A13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2BDD5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FD66AAF" w14:textId="77777777" w:rsidR="00000000" w:rsidRDefault="00405D16">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FC7718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5AF32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92DFD8C" w14:textId="77777777" w:rsidR="00000000" w:rsidRDefault="00405D16">
            <w:pPr>
              <w:spacing w:after="100"/>
              <w:jc w:val="right"/>
              <w:rPr>
                <w:rFonts w:eastAsia="Times New Roman"/>
              </w:rPr>
            </w:pPr>
            <w:r>
              <w:rPr>
                <w:rFonts w:eastAsia="Times New Roman"/>
                <w:color w:val="000000"/>
                <w:sz w:val="18"/>
                <w:szCs w:val="18"/>
              </w:rPr>
              <w:t>23.4 </w:t>
            </w:r>
          </w:p>
        </w:tc>
        <w:tc>
          <w:tcPr>
            <w:tcW w:w="0" w:type="auto"/>
            <w:shd w:val="clear" w:color="auto" w:fill="FFFFFF"/>
            <w:tcMar>
              <w:top w:w="30" w:type="dxa"/>
              <w:left w:w="0" w:type="dxa"/>
              <w:bottom w:w="30" w:type="dxa"/>
              <w:right w:w="20" w:type="dxa"/>
            </w:tcMar>
            <w:vAlign w:val="center"/>
            <w:hideMark/>
          </w:tcPr>
          <w:p w14:paraId="3464C56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F6606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EDC4028" w14:textId="77777777" w:rsidR="00000000" w:rsidRDefault="00405D16">
            <w:pPr>
              <w:spacing w:after="100"/>
              <w:jc w:val="right"/>
              <w:rPr>
                <w:rFonts w:eastAsia="Times New Roman"/>
              </w:rPr>
            </w:pPr>
            <w:r>
              <w:rPr>
                <w:rFonts w:eastAsia="Times New Roman"/>
                <w:color w:val="000000"/>
                <w:sz w:val="18"/>
                <w:szCs w:val="18"/>
              </w:rPr>
              <w:t>8.0 </w:t>
            </w:r>
          </w:p>
        </w:tc>
        <w:tc>
          <w:tcPr>
            <w:tcW w:w="0" w:type="auto"/>
            <w:shd w:val="clear" w:color="auto" w:fill="FFFFFF"/>
            <w:tcMar>
              <w:top w:w="30" w:type="dxa"/>
              <w:left w:w="0" w:type="dxa"/>
              <w:bottom w:w="30" w:type="dxa"/>
              <w:right w:w="20" w:type="dxa"/>
            </w:tcMar>
            <w:vAlign w:val="center"/>
            <w:hideMark/>
          </w:tcPr>
          <w:p w14:paraId="22960CF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7CD9D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DBDF315" w14:textId="77777777" w:rsidR="00000000" w:rsidRDefault="00405D16">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14:paraId="5B234EB5" w14:textId="77777777" w:rsidR="00000000" w:rsidRDefault="00405D16">
            <w:pPr>
              <w:spacing w:after="100"/>
              <w:jc w:val="right"/>
              <w:rPr>
                <w:rFonts w:eastAsia="Times New Roman"/>
              </w:rPr>
            </w:pPr>
          </w:p>
        </w:tc>
      </w:tr>
      <w:tr w:rsidR="00000000" w14:paraId="19C3B2B9" w14:textId="77777777">
        <w:trPr>
          <w:divId w:val="870728879"/>
        </w:trPr>
        <w:tc>
          <w:tcPr>
            <w:tcW w:w="0" w:type="auto"/>
            <w:gridSpan w:val="3"/>
            <w:shd w:val="clear" w:color="auto" w:fill="CCEEFF"/>
            <w:tcMar>
              <w:top w:w="30" w:type="dxa"/>
              <w:left w:w="20" w:type="dxa"/>
              <w:bottom w:w="30" w:type="dxa"/>
              <w:right w:w="20" w:type="dxa"/>
            </w:tcMar>
            <w:vAlign w:val="center"/>
            <w:hideMark/>
          </w:tcPr>
          <w:p w14:paraId="3D56F911" w14:textId="77777777" w:rsidR="00000000" w:rsidRDefault="00405D16">
            <w:pPr>
              <w:spacing w:after="100"/>
              <w:divId w:val="687875106"/>
              <w:rPr>
                <w:rFonts w:eastAsia="Times New Roman"/>
              </w:rPr>
            </w:pPr>
            <w:r>
              <w:rPr>
                <w:rFonts w:eastAsia="Times New Roman"/>
                <w:color w:val="000000"/>
                <w:sz w:val="18"/>
                <w:szCs w:val="18"/>
              </w:rPr>
              <w:t>Tier 1 leverag</w:t>
            </w:r>
            <w:r>
              <w:rPr>
                <w:rFonts w:eastAsia="Times New Roman"/>
                <w:color w:val="000000"/>
                <w:sz w:val="18"/>
                <w:szCs w:val="18"/>
              </w:rPr>
              <w:t>e</w:t>
            </w:r>
            <w:r>
              <w:rPr>
                <w:rFonts w:eastAsia="Times New Roman"/>
                <w:color w:val="000000"/>
                <w:sz w:val="12"/>
                <w:szCs w:val="12"/>
              </w:rPr>
              <w:t>(6</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4C9DD253"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D9A8920" w14:textId="77777777" w:rsidR="00000000" w:rsidRDefault="00405D16">
            <w:pPr>
              <w:spacing w:after="100"/>
              <w:jc w:val="right"/>
              <w:rPr>
                <w:rFonts w:eastAsia="Times New Roman"/>
              </w:rPr>
            </w:pPr>
            <w:r>
              <w:rPr>
                <w:rFonts w:eastAsia="Times New Roman"/>
                <w:b/>
                <w:bCs/>
                <w:color w:val="000000"/>
                <w:sz w:val="18"/>
                <w:szCs w:val="18"/>
              </w:rPr>
              <w:t>16.1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C8B7BB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154B2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1F12228" w14:textId="77777777" w:rsidR="00000000" w:rsidRDefault="00405D16">
            <w:pPr>
              <w:spacing w:after="100"/>
              <w:jc w:val="right"/>
              <w:rPr>
                <w:rFonts w:eastAsia="Times New Roman"/>
              </w:rPr>
            </w:pPr>
            <w:r>
              <w:rPr>
                <w:rFonts w:eastAsia="Times New Roman"/>
                <w:b/>
                <w:bCs/>
                <w:color w:val="000000"/>
                <w:sz w:val="18"/>
                <w:szCs w:val="18"/>
              </w:rPr>
              <w:t>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AB8568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DD99D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C64C564" w14:textId="77777777" w:rsidR="00000000" w:rsidRDefault="00405D16">
            <w:pPr>
              <w:spacing w:after="100"/>
              <w:jc w:val="right"/>
              <w:rPr>
                <w:rFonts w:eastAsia="Times New Roman"/>
              </w:rPr>
            </w:pPr>
            <w:r>
              <w:rPr>
                <w:rFonts w:eastAsia="Times New Roman"/>
                <w:b/>
                <w:bCs/>
                <w:color w:val="000000"/>
                <w:sz w:val="18"/>
                <w:szCs w:val="18"/>
              </w:rPr>
              <w:t>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0F5952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689EF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0A7255F" w14:textId="77777777" w:rsidR="00000000" w:rsidRDefault="00405D16">
            <w:pPr>
              <w:spacing w:after="100"/>
              <w:jc w:val="right"/>
              <w:rPr>
                <w:rFonts w:eastAsia="Times New Roman"/>
              </w:rPr>
            </w:pPr>
            <w:r>
              <w:rPr>
                <w:rFonts w:eastAsia="Times New Roman"/>
                <w:color w:val="000000"/>
                <w:sz w:val="18"/>
                <w:szCs w:val="18"/>
              </w:rPr>
              <w:t>18.3 </w:t>
            </w:r>
          </w:p>
        </w:tc>
        <w:tc>
          <w:tcPr>
            <w:tcW w:w="0" w:type="auto"/>
            <w:shd w:val="clear" w:color="auto" w:fill="CCEEFF"/>
            <w:tcMar>
              <w:top w:w="30" w:type="dxa"/>
              <w:left w:w="0" w:type="dxa"/>
              <w:bottom w:w="30" w:type="dxa"/>
              <w:right w:w="20" w:type="dxa"/>
            </w:tcMar>
            <w:vAlign w:val="center"/>
            <w:hideMark/>
          </w:tcPr>
          <w:p w14:paraId="37519DD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20B29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E6F5BBC" w14:textId="77777777" w:rsidR="00000000" w:rsidRDefault="00405D16">
            <w:pPr>
              <w:spacing w:after="100"/>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center"/>
            <w:hideMark/>
          </w:tcPr>
          <w:p w14:paraId="411F2D3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1567D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43EC342" w14:textId="77777777" w:rsidR="00000000" w:rsidRDefault="00405D16">
            <w:pPr>
              <w:spacing w:after="100"/>
              <w:jc w:val="right"/>
              <w:rPr>
                <w:rFonts w:eastAsia="Times New Roman"/>
              </w:rPr>
            </w:pPr>
            <w:r>
              <w:rPr>
                <w:rFonts w:eastAsia="Times New Roman"/>
                <w:color w:val="000000"/>
                <w:sz w:val="18"/>
                <w:szCs w:val="18"/>
              </w:rPr>
              <w:t>5.0 </w:t>
            </w:r>
          </w:p>
        </w:tc>
        <w:tc>
          <w:tcPr>
            <w:tcW w:w="0" w:type="auto"/>
            <w:shd w:val="clear" w:color="auto" w:fill="CCEEFF"/>
            <w:tcMar>
              <w:top w:w="30" w:type="dxa"/>
              <w:left w:w="0" w:type="dxa"/>
              <w:bottom w:w="30" w:type="dxa"/>
              <w:right w:w="20" w:type="dxa"/>
            </w:tcMar>
            <w:vAlign w:val="center"/>
            <w:hideMark/>
          </w:tcPr>
          <w:p w14:paraId="16D58E60" w14:textId="77777777" w:rsidR="00000000" w:rsidRDefault="00405D16">
            <w:pPr>
              <w:spacing w:after="100"/>
              <w:jc w:val="right"/>
              <w:rPr>
                <w:rFonts w:eastAsia="Times New Roman"/>
              </w:rPr>
            </w:pPr>
          </w:p>
        </w:tc>
      </w:tr>
      <w:tr w:rsidR="00000000" w14:paraId="57D972F3" w14:textId="77777777">
        <w:trPr>
          <w:divId w:val="870728879"/>
        </w:trPr>
        <w:tc>
          <w:tcPr>
            <w:tcW w:w="0" w:type="auto"/>
            <w:gridSpan w:val="3"/>
            <w:shd w:val="clear" w:color="auto" w:fill="FFFFFF"/>
            <w:tcMar>
              <w:top w:w="30" w:type="dxa"/>
              <w:left w:w="20" w:type="dxa"/>
              <w:bottom w:w="30" w:type="dxa"/>
              <w:right w:w="20" w:type="dxa"/>
            </w:tcMar>
            <w:vAlign w:val="center"/>
            <w:hideMark/>
          </w:tcPr>
          <w:p w14:paraId="03AC1F61" w14:textId="77777777" w:rsidR="00000000" w:rsidRDefault="00405D16">
            <w:pPr>
              <w:spacing w:after="100"/>
              <w:divId w:val="1201671822"/>
              <w:rPr>
                <w:rFonts w:eastAsia="Times New Roman"/>
              </w:rPr>
            </w:pPr>
            <w:r>
              <w:rPr>
                <w:rFonts w:eastAsia="Times New Roman"/>
                <w:color w:val="000000"/>
                <w:sz w:val="18"/>
                <w:szCs w:val="18"/>
              </w:rPr>
              <w:t>Supplementary leverag</w:t>
            </w:r>
            <w:r>
              <w:rPr>
                <w:rFonts w:eastAsia="Times New Roman"/>
                <w:color w:val="000000"/>
                <w:sz w:val="18"/>
                <w:szCs w:val="18"/>
              </w:rPr>
              <w:t>e</w:t>
            </w:r>
            <w:r>
              <w:rPr>
                <w:rFonts w:eastAsia="Times New Roman"/>
                <w:color w:val="000000"/>
                <w:sz w:val="12"/>
                <w:szCs w:val="12"/>
              </w:rPr>
              <w:t>(7</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7D3C7A3E"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42A8A99" w14:textId="77777777" w:rsidR="00000000" w:rsidRDefault="00405D16">
            <w:pPr>
              <w:spacing w:after="100"/>
              <w:jc w:val="right"/>
              <w:rPr>
                <w:rFonts w:eastAsia="Times New Roman"/>
              </w:rPr>
            </w:pPr>
            <w:r>
              <w:rPr>
                <w:rFonts w:eastAsia="Times New Roman"/>
                <w:b/>
                <w:bCs/>
                <w:color w:val="000000"/>
                <w:sz w:val="18"/>
                <w:szCs w:val="18"/>
              </w:rPr>
              <w:t>12.9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F13BC9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37B33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AE4340E" w14:textId="77777777" w:rsidR="00000000" w:rsidRDefault="00405D16">
            <w:pPr>
              <w:spacing w:after="100"/>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FADD18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4C1D15"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45047DD4" w14:textId="77777777" w:rsidR="00000000" w:rsidRDefault="00405D16">
            <w:pPr>
              <w:spacing w:after="100"/>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14:paraId="585C07A1"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D9D8E9E" w14:textId="77777777" w:rsidR="00000000" w:rsidRDefault="00405D16">
            <w:pPr>
              <w:spacing w:after="100"/>
              <w:jc w:val="right"/>
              <w:rPr>
                <w:rFonts w:eastAsia="Times New Roman"/>
              </w:rPr>
            </w:pPr>
            <w:r>
              <w:rPr>
                <w:rFonts w:eastAsia="Times New Roman"/>
                <w:color w:val="000000"/>
                <w:sz w:val="18"/>
                <w:szCs w:val="18"/>
              </w:rPr>
              <w:t>14.7 </w:t>
            </w:r>
          </w:p>
        </w:tc>
        <w:tc>
          <w:tcPr>
            <w:tcW w:w="0" w:type="auto"/>
            <w:shd w:val="clear" w:color="auto" w:fill="FFFFFF"/>
            <w:tcMar>
              <w:top w:w="30" w:type="dxa"/>
              <w:left w:w="0" w:type="dxa"/>
              <w:bottom w:w="30" w:type="dxa"/>
              <w:right w:w="20" w:type="dxa"/>
            </w:tcMar>
            <w:vAlign w:val="center"/>
            <w:hideMark/>
          </w:tcPr>
          <w:p w14:paraId="0075292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B88A4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79D4F63" w14:textId="77777777" w:rsidR="00000000" w:rsidRDefault="00405D16">
            <w:pPr>
              <w:spacing w:after="100"/>
              <w:jc w:val="right"/>
              <w:rPr>
                <w:rFonts w:eastAsia="Times New Roman"/>
              </w:rPr>
            </w:pPr>
            <w:r>
              <w:rPr>
                <w:rFonts w:eastAsia="Times New Roman"/>
                <w:color w:val="000000"/>
                <w:sz w:val="18"/>
                <w:szCs w:val="18"/>
              </w:rPr>
              <w:t>3.0 </w:t>
            </w:r>
          </w:p>
        </w:tc>
        <w:tc>
          <w:tcPr>
            <w:tcW w:w="0" w:type="auto"/>
            <w:shd w:val="clear" w:color="auto" w:fill="FFFFFF"/>
            <w:tcMar>
              <w:top w:w="30" w:type="dxa"/>
              <w:left w:w="0" w:type="dxa"/>
              <w:bottom w:w="30" w:type="dxa"/>
              <w:right w:w="20" w:type="dxa"/>
            </w:tcMar>
            <w:vAlign w:val="center"/>
            <w:hideMark/>
          </w:tcPr>
          <w:p w14:paraId="58FB518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73B851"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3E72DEC8" w14:textId="77777777" w:rsidR="00000000" w:rsidRDefault="00405D16">
            <w:pPr>
              <w:spacing w:after="100"/>
              <w:jc w:val="right"/>
              <w:rPr>
                <w:rFonts w:eastAsia="Times New Roman"/>
              </w:rPr>
            </w:pPr>
            <w:r>
              <w:rPr>
                <w:rFonts w:eastAsia="Times New Roman"/>
                <w:color w:val="000000"/>
                <w:sz w:val="18"/>
                <w:szCs w:val="18"/>
              </w:rPr>
              <w:t>N/A</w:t>
            </w:r>
          </w:p>
        </w:tc>
      </w:tr>
      <w:tr w:rsidR="00000000" w14:paraId="22BCBB1B" w14:textId="77777777">
        <w:trPr>
          <w:divId w:val="870728879"/>
        </w:trPr>
        <w:tc>
          <w:tcPr>
            <w:tcW w:w="0" w:type="auto"/>
            <w:gridSpan w:val="3"/>
            <w:shd w:val="clear" w:color="auto" w:fill="CCEEFF"/>
            <w:tcMar>
              <w:top w:w="30" w:type="dxa"/>
              <w:left w:w="20" w:type="dxa"/>
              <w:bottom w:w="30" w:type="dxa"/>
              <w:right w:w="20" w:type="dxa"/>
            </w:tcMar>
            <w:vAlign w:val="center"/>
            <w:hideMark/>
          </w:tcPr>
          <w:p w14:paraId="4C1BBB61" w14:textId="77777777" w:rsidR="00000000" w:rsidRDefault="00405D16">
            <w:pPr>
              <w:spacing w:after="100"/>
              <w:rPr>
                <w:rFonts w:eastAsia="Times New Roman"/>
              </w:rPr>
            </w:pPr>
            <w:r>
              <w:rPr>
                <w:rFonts w:eastAsia="Times New Roman"/>
                <w:b/>
                <w:bCs/>
                <w:color w:val="000000"/>
                <w:sz w:val="16"/>
                <w:szCs w:val="16"/>
              </w:rPr>
              <w:t>CONA:</w:t>
            </w:r>
          </w:p>
        </w:tc>
        <w:tc>
          <w:tcPr>
            <w:tcW w:w="0" w:type="auto"/>
            <w:gridSpan w:val="3"/>
            <w:shd w:val="clear" w:color="auto" w:fill="CCEEFF"/>
            <w:tcMar>
              <w:top w:w="0" w:type="dxa"/>
              <w:left w:w="20" w:type="dxa"/>
              <w:bottom w:w="0" w:type="dxa"/>
              <w:right w:w="20" w:type="dxa"/>
            </w:tcMar>
            <w:vAlign w:val="center"/>
            <w:hideMark/>
          </w:tcPr>
          <w:p w14:paraId="5EF04FAE"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2D9F1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3C861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F06F8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F2713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EE448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C7474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05778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C6897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94B93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92D0D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62C216" w14:textId="77777777" w:rsidR="00000000" w:rsidRDefault="00405D16">
            <w:pPr>
              <w:spacing w:after="100"/>
              <w:rPr>
                <w:rFonts w:eastAsia="Times New Roman"/>
                <w:sz w:val="20"/>
                <w:szCs w:val="20"/>
              </w:rPr>
            </w:pPr>
          </w:p>
        </w:tc>
      </w:tr>
      <w:tr w:rsidR="00000000" w14:paraId="16C855F3" w14:textId="77777777">
        <w:trPr>
          <w:divId w:val="870728879"/>
        </w:trPr>
        <w:tc>
          <w:tcPr>
            <w:tcW w:w="0" w:type="auto"/>
            <w:gridSpan w:val="3"/>
            <w:shd w:val="clear" w:color="auto" w:fill="FFFFFF"/>
            <w:tcMar>
              <w:top w:w="30" w:type="dxa"/>
              <w:left w:w="20" w:type="dxa"/>
              <w:bottom w:w="30" w:type="dxa"/>
              <w:right w:w="20" w:type="dxa"/>
            </w:tcMar>
            <w:vAlign w:val="center"/>
            <w:hideMark/>
          </w:tcPr>
          <w:p w14:paraId="3D62D10D" w14:textId="77777777" w:rsidR="00000000" w:rsidRDefault="00405D16">
            <w:pPr>
              <w:spacing w:after="100"/>
              <w:divId w:val="1956016206"/>
              <w:rPr>
                <w:rFonts w:eastAsia="Times New Roman"/>
              </w:rPr>
            </w:pPr>
            <w:r>
              <w:rPr>
                <w:rFonts w:eastAsia="Times New Roman"/>
                <w:color w:val="000000"/>
                <w:sz w:val="18"/>
                <w:szCs w:val="18"/>
              </w:rPr>
              <w:t>Common equity Tier 1 capita</w:t>
            </w:r>
            <w:r>
              <w:rPr>
                <w:rFonts w:eastAsia="Times New Roman"/>
                <w:color w:val="000000"/>
                <w:sz w:val="18"/>
                <w:szCs w:val="18"/>
              </w:rPr>
              <w:t>l</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12FABC30"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8123675" w14:textId="77777777" w:rsidR="00000000" w:rsidRDefault="00405D16">
            <w:pPr>
              <w:spacing w:after="100"/>
              <w:jc w:val="right"/>
              <w:rPr>
                <w:rFonts w:eastAsia="Times New Roman"/>
              </w:rPr>
            </w:pPr>
            <w:r>
              <w:rPr>
                <w:rFonts w:eastAsia="Times New Roman"/>
                <w:b/>
                <w:bCs/>
                <w:color w:val="000000"/>
                <w:sz w:val="18"/>
                <w:szCs w:val="18"/>
              </w:rPr>
              <w:t>11.7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DC0091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2A528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1AC2F2C" w14:textId="77777777" w:rsidR="00000000" w:rsidRDefault="00405D16">
            <w:pPr>
              <w:spacing w:after="100"/>
              <w:jc w:val="right"/>
              <w:rPr>
                <w:rFonts w:eastAsia="Times New Roman"/>
              </w:rPr>
            </w:pPr>
            <w:r>
              <w:rPr>
                <w:rFonts w:eastAsia="Times New Roman"/>
                <w:b/>
                <w:bCs/>
                <w:color w:val="000000"/>
                <w:sz w:val="18"/>
                <w:szCs w:val="18"/>
              </w:rPr>
              <w:t>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59AA50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BA6CB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2E97A86" w14:textId="77777777" w:rsidR="00000000" w:rsidRDefault="00405D16">
            <w:pPr>
              <w:spacing w:after="100"/>
              <w:jc w:val="right"/>
              <w:rPr>
                <w:rFonts w:eastAsia="Times New Roman"/>
              </w:rPr>
            </w:pPr>
            <w:r>
              <w:rPr>
                <w:rFonts w:eastAsia="Times New Roman"/>
                <w:b/>
                <w:bCs/>
                <w:color w:val="000000"/>
                <w:sz w:val="18"/>
                <w:szCs w:val="18"/>
              </w:rPr>
              <w:t>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20E62E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F564A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D22421E" w14:textId="77777777" w:rsidR="00000000" w:rsidRDefault="00405D16">
            <w:pPr>
              <w:spacing w:after="100"/>
              <w:jc w:val="right"/>
              <w:rPr>
                <w:rFonts w:eastAsia="Times New Roman"/>
              </w:rPr>
            </w:pPr>
            <w:r>
              <w:rPr>
                <w:rFonts w:eastAsia="Times New Roman"/>
                <w:color w:val="000000"/>
                <w:sz w:val="18"/>
                <w:szCs w:val="18"/>
              </w:rPr>
              <w:t>12.4 </w:t>
            </w:r>
          </w:p>
        </w:tc>
        <w:tc>
          <w:tcPr>
            <w:tcW w:w="0" w:type="auto"/>
            <w:shd w:val="clear" w:color="auto" w:fill="FFFFFF"/>
            <w:tcMar>
              <w:top w:w="30" w:type="dxa"/>
              <w:left w:w="0" w:type="dxa"/>
              <w:bottom w:w="30" w:type="dxa"/>
              <w:right w:w="20" w:type="dxa"/>
            </w:tcMar>
            <w:vAlign w:val="center"/>
            <w:hideMark/>
          </w:tcPr>
          <w:p w14:paraId="464F334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6EA4A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AAF5231" w14:textId="77777777" w:rsidR="00000000" w:rsidRDefault="00405D16">
            <w:pPr>
              <w:spacing w:after="100"/>
              <w:jc w:val="right"/>
              <w:rPr>
                <w:rFonts w:eastAsia="Times New Roman"/>
              </w:rPr>
            </w:pPr>
            <w:r>
              <w:rPr>
                <w:rFonts w:eastAsia="Times New Roman"/>
                <w:color w:val="000000"/>
                <w:sz w:val="18"/>
                <w:szCs w:val="18"/>
              </w:rPr>
              <w:t>4.5 </w:t>
            </w:r>
          </w:p>
        </w:tc>
        <w:tc>
          <w:tcPr>
            <w:tcW w:w="0" w:type="auto"/>
            <w:shd w:val="clear" w:color="auto" w:fill="FFFFFF"/>
            <w:tcMar>
              <w:top w:w="30" w:type="dxa"/>
              <w:left w:w="0" w:type="dxa"/>
              <w:bottom w:w="30" w:type="dxa"/>
              <w:right w:w="20" w:type="dxa"/>
            </w:tcMar>
            <w:vAlign w:val="center"/>
            <w:hideMark/>
          </w:tcPr>
          <w:p w14:paraId="52F0EC2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9F8F0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73E9546" w14:textId="77777777" w:rsidR="00000000" w:rsidRDefault="00405D16">
            <w:pPr>
              <w:spacing w:after="100"/>
              <w:jc w:val="right"/>
              <w:rPr>
                <w:rFonts w:eastAsia="Times New Roman"/>
              </w:rPr>
            </w:pPr>
            <w:r>
              <w:rPr>
                <w:rFonts w:eastAsia="Times New Roman"/>
                <w:color w:val="000000"/>
                <w:sz w:val="18"/>
                <w:szCs w:val="18"/>
              </w:rPr>
              <w:t>6.5 </w:t>
            </w:r>
          </w:p>
        </w:tc>
        <w:tc>
          <w:tcPr>
            <w:tcW w:w="0" w:type="auto"/>
            <w:shd w:val="clear" w:color="auto" w:fill="FFFFFF"/>
            <w:tcMar>
              <w:top w:w="30" w:type="dxa"/>
              <w:left w:w="0" w:type="dxa"/>
              <w:bottom w:w="30" w:type="dxa"/>
              <w:right w:w="20" w:type="dxa"/>
            </w:tcMar>
            <w:vAlign w:val="center"/>
            <w:hideMark/>
          </w:tcPr>
          <w:p w14:paraId="26F16BFB" w14:textId="77777777" w:rsidR="00000000" w:rsidRDefault="00405D16">
            <w:pPr>
              <w:spacing w:after="100"/>
              <w:jc w:val="right"/>
              <w:rPr>
                <w:rFonts w:eastAsia="Times New Roman"/>
              </w:rPr>
            </w:pPr>
          </w:p>
        </w:tc>
      </w:tr>
      <w:tr w:rsidR="00000000" w14:paraId="20FF9E8E" w14:textId="77777777">
        <w:trPr>
          <w:divId w:val="870728879"/>
        </w:trPr>
        <w:tc>
          <w:tcPr>
            <w:tcW w:w="0" w:type="auto"/>
            <w:gridSpan w:val="3"/>
            <w:shd w:val="clear" w:color="auto" w:fill="CCEEFF"/>
            <w:tcMar>
              <w:top w:w="30" w:type="dxa"/>
              <w:left w:w="20" w:type="dxa"/>
              <w:bottom w:w="30" w:type="dxa"/>
              <w:right w:w="20" w:type="dxa"/>
            </w:tcMar>
            <w:vAlign w:val="center"/>
            <w:hideMark/>
          </w:tcPr>
          <w:p w14:paraId="1E9615FC" w14:textId="77777777" w:rsidR="00000000" w:rsidRDefault="00405D16">
            <w:pPr>
              <w:spacing w:after="100"/>
              <w:divId w:val="248386848"/>
              <w:rPr>
                <w:rFonts w:eastAsia="Times New Roman"/>
              </w:rPr>
            </w:pPr>
            <w:r>
              <w:rPr>
                <w:rFonts w:eastAsia="Times New Roman"/>
                <w:color w:val="000000"/>
                <w:sz w:val="18"/>
                <w:szCs w:val="18"/>
              </w:rPr>
              <w:t>Tier 1 capita</w:t>
            </w:r>
            <w:r>
              <w:rPr>
                <w:rFonts w:eastAsia="Times New Roman"/>
                <w:color w:val="000000"/>
                <w:sz w:val="18"/>
                <w:szCs w:val="18"/>
              </w:rPr>
              <w:t>l</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7ED61BB1"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6F14983" w14:textId="77777777" w:rsidR="00000000" w:rsidRDefault="00405D16">
            <w:pPr>
              <w:spacing w:after="100"/>
              <w:jc w:val="right"/>
              <w:rPr>
                <w:rFonts w:eastAsia="Times New Roman"/>
              </w:rPr>
            </w:pPr>
            <w:r>
              <w:rPr>
                <w:rFonts w:eastAsia="Times New Roman"/>
                <w:b/>
                <w:bCs/>
                <w:color w:val="000000"/>
                <w:sz w:val="18"/>
                <w:szCs w:val="18"/>
              </w:rPr>
              <w:t>11.7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19E1C4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B09D9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79AD871" w14:textId="77777777" w:rsidR="00000000" w:rsidRDefault="00405D16">
            <w:pPr>
              <w:spacing w:after="100"/>
              <w:jc w:val="right"/>
              <w:rPr>
                <w:rFonts w:eastAsia="Times New Roman"/>
              </w:rPr>
            </w:pPr>
            <w:r>
              <w:rPr>
                <w:rFonts w:eastAsia="Times New Roman"/>
                <w:b/>
                <w:bCs/>
                <w:color w:val="000000"/>
                <w:sz w:val="18"/>
                <w:szCs w:val="18"/>
              </w:rPr>
              <w:t>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A6E231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442FF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8F13367" w14:textId="77777777" w:rsidR="00000000" w:rsidRDefault="00405D16">
            <w:pPr>
              <w:spacing w:after="100"/>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84DEF5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E4302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D173310" w14:textId="77777777" w:rsidR="00000000" w:rsidRDefault="00405D16">
            <w:pPr>
              <w:spacing w:after="100"/>
              <w:jc w:val="right"/>
              <w:rPr>
                <w:rFonts w:eastAsia="Times New Roman"/>
              </w:rPr>
            </w:pPr>
            <w:r>
              <w:rPr>
                <w:rFonts w:eastAsia="Times New Roman"/>
                <w:color w:val="000000"/>
                <w:sz w:val="18"/>
                <w:szCs w:val="18"/>
              </w:rPr>
              <w:t>12.4 </w:t>
            </w:r>
          </w:p>
        </w:tc>
        <w:tc>
          <w:tcPr>
            <w:tcW w:w="0" w:type="auto"/>
            <w:shd w:val="clear" w:color="auto" w:fill="CCEEFF"/>
            <w:tcMar>
              <w:top w:w="30" w:type="dxa"/>
              <w:left w:w="0" w:type="dxa"/>
              <w:bottom w:w="30" w:type="dxa"/>
              <w:right w:w="20" w:type="dxa"/>
            </w:tcMar>
            <w:vAlign w:val="center"/>
            <w:hideMark/>
          </w:tcPr>
          <w:p w14:paraId="4E0EB4D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3BA51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C3A5F04" w14:textId="77777777" w:rsidR="00000000" w:rsidRDefault="00405D16">
            <w:pPr>
              <w:spacing w:after="100"/>
              <w:jc w:val="right"/>
              <w:rPr>
                <w:rFonts w:eastAsia="Times New Roman"/>
              </w:rPr>
            </w:pPr>
            <w:r>
              <w:rPr>
                <w:rFonts w:eastAsia="Times New Roman"/>
                <w:color w:val="000000"/>
                <w:sz w:val="18"/>
                <w:szCs w:val="18"/>
              </w:rPr>
              <w:t>6.0 </w:t>
            </w:r>
          </w:p>
        </w:tc>
        <w:tc>
          <w:tcPr>
            <w:tcW w:w="0" w:type="auto"/>
            <w:shd w:val="clear" w:color="auto" w:fill="CCEEFF"/>
            <w:tcMar>
              <w:top w:w="30" w:type="dxa"/>
              <w:left w:w="0" w:type="dxa"/>
              <w:bottom w:w="30" w:type="dxa"/>
              <w:right w:w="20" w:type="dxa"/>
            </w:tcMar>
            <w:vAlign w:val="center"/>
            <w:hideMark/>
          </w:tcPr>
          <w:p w14:paraId="665C049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29745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8620D9F" w14:textId="77777777" w:rsidR="00000000" w:rsidRDefault="00405D16">
            <w:pPr>
              <w:spacing w:after="100"/>
              <w:jc w:val="right"/>
              <w:rPr>
                <w:rFonts w:eastAsia="Times New Roman"/>
              </w:rPr>
            </w:pPr>
            <w:r>
              <w:rPr>
                <w:rFonts w:eastAsia="Times New Roman"/>
                <w:color w:val="000000"/>
                <w:sz w:val="18"/>
                <w:szCs w:val="18"/>
              </w:rPr>
              <w:t>8.0 </w:t>
            </w:r>
          </w:p>
        </w:tc>
        <w:tc>
          <w:tcPr>
            <w:tcW w:w="0" w:type="auto"/>
            <w:shd w:val="clear" w:color="auto" w:fill="CCEEFF"/>
            <w:tcMar>
              <w:top w:w="30" w:type="dxa"/>
              <w:left w:w="0" w:type="dxa"/>
              <w:bottom w:w="30" w:type="dxa"/>
              <w:right w:w="20" w:type="dxa"/>
            </w:tcMar>
            <w:vAlign w:val="center"/>
            <w:hideMark/>
          </w:tcPr>
          <w:p w14:paraId="04B14DBA" w14:textId="77777777" w:rsidR="00000000" w:rsidRDefault="00405D16">
            <w:pPr>
              <w:spacing w:after="100"/>
              <w:jc w:val="right"/>
              <w:rPr>
                <w:rFonts w:eastAsia="Times New Roman"/>
              </w:rPr>
            </w:pPr>
          </w:p>
        </w:tc>
      </w:tr>
      <w:tr w:rsidR="00000000" w14:paraId="36493F4D" w14:textId="77777777">
        <w:trPr>
          <w:divId w:val="870728879"/>
        </w:trPr>
        <w:tc>
          <w:tcPr>
            <w:tcW w:w="0" w:type="auto"/>
            <w:gridSpan w:val="3"/>
            <w:shd w:val="clear" w:color="auto" w:fill="FFFFFF"/>
            <w:tcMar>
              <w:top w:w="30" w:type="dxa"/>
              <w:left w:w="20" w:type="dxa"/>
              <w:bottom w:w="30" w:type="dxa"/>
              <w:right w:w="20" w:type="dxa"/>
            </w:tcMar>
            <w:vAlign w:val="center"/>
            <w:hideMark/>
          </w:tcPr>
          <w:p w14:paraId="09727A17" w14:textId="77777777" w:rsidR="00000000" w:rsidRDefault="00405D16">
            <w:pPr>
              <w:spacing w:after="100"/>
              <w:divId w:val="1925337304"/>
              <w:rPr>
                <w:rFonts w:eastAsia="Times New Roman"/>
              </w:rPr>
            </w:pPr>
            <w:r>
              <w:rPr>
                <w:rFonts w:eastAsia="Times New Roman"/>
                <w:color w:val="000000"/>
                <w:sz w:val="18"/>
                <w:szCs w:val="18"/>
              </w:rPr>
              <w:t>Total capita</w:t>
            </w:r>
            <w:r>
              <w:rPr>
                <w:rFonts w:eastAsia="Times New Roman"/>
                <w:color w:val="000000"/>
                <w:sz w:val="18"/>
                <w:szCs w:val="18"/>
              </w:rPr>
              <w:t>l</w:t>
            </w:r>
            <w:r>
              <w:rPr>
                <w:rFonts w:eastAsia="Times New Roman"/>
                <w:color w:val="000000"/>
                <w:sz w:val="12"/>
                <w:szCs w:val="12"/>
              </w:rPr>
              <w:t>(5</w:t>
            </w:r>
            <w:r>
              <w:rPr>
                <w:rFonts w:eastAsia="Times New Roman"/>
                <w:color w:val="000000"/>
                <w:sz w:val="12"/>
                <w:szCs w:val="12"/>
              </w:rPr>
              <w:t>)</w:t>
            </w:r>
            <w:r>
              <w:rPr>
                <w:rFonts w:eastAsia="Times New Roman"/>
                <w:color w:val="000000"/>
                <w:sz w:val="18"/>
                <w:szCs w:val="18"/>
              </w:rPr>
              <w:t xml:space="preserve"> </w:t>
            </w:r>
          </w:p>
        </w:tc>
        <w:tc>
          <w:tcPr>
            <w:tcW w:w="0" w:type="auto"/>
            <w:gridSpan w:val="3"/>
            <w:shd w:val="clear" w:color="auto" w:fill="FFFFFF"/>
            <w:tcMar>
              <w:top w:w="0" w:type="dxa"/>
              <w:left w:w="20" w:type="dxa"/>
              <w:bottom w:w="0" w:type="dxa"/>
              <w:right w:w="20" w:type="dxa"/>
            </w:tcMar>
            <w:vAlign w:val="center"/>
            <w:hideMark/>
          </w:tcPr>
          <w:p w14:paraId="07C2894B"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D19B9EB" w14:textId="77777777" w:rsidR="00000000" w:rsidRDefault="00405D16">
            <w:pPr>
              <w:spacing w:after="100"/>
              <w:jc w:val="right"/>
              <w:rPr>
                <w:rFonts w:eastAsia="Times New Roman"/>
              </w:rPr>
            </w:pPr>
            <w:r>
              <w:rPr>
                <w:rFonts w:eastAsia="Times New Roman"/>
                <w:b/>
                <w:bCs/>
                <w:color w:val="000000"/>
                <w:sz w:val="18"/>
                <w:szCs w:val="18"/>
              </w:rPr>
              <w:t>12.9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EFE44A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9BFA0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9D2DBA5" w14:textId="77777777" w:rsidR="00000000" w:rsidRDefault="00405D16">
            <w:pPr>
              <w:spacing w:after="100"/>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941164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0019E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BEF702A" w14:textId="77777777" w:rsidR="00000000" w:rsidRDefault="00405D16">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BAED7A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93AD5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56E62C9" w14:textId="77777777" w:rsidR="00000000" w:rsidRDefault="00405D16">
            <w:pPr>
              <w:spacing w:after="100"/>
              <w:jc w:val="right"/>
              <w:rPr>
                <w:rFonts w:eastAsia="Times New Roman"/>
              </w:rPr>
            </w:pPr>
            <w:r>
              <w:rPr>
                <w:rFonts w:eastAsia="Times New Roman"/>
                <w:color w:val="000000"/>
                <w:sz w:val="18"/>
                <w:szCs w:val="18"/>
              </w:rPr>
              <w:t>13.7 </w:t>
            </w:r>
          </w:p>
        </w:tc>
        <w:tc>
          <w:tcPr>
            <w:tcW w:w="0" w:type="auto"/>
            <w:shd w:val="clear" w:color="auto" w:fill="FFFFFF"/>
            <w:tcMar>
              <w:top w:w="30" w:type="dxa"/>
              <w:left w:w="0" w:type="dxa"/>
              <w:bottom w:w="30" w:type="dxa"/>
              <w:right w:w="20" w:type="dxa"/>
            </w:tcMar>
            <w:vAlign w:val="center"/>
            <w:hideMark/>
          </w:tcPr>
          <w:p w14:paraId="66D093F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C9F1A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0487BF7" w14:textId="77777777" w:rsidR="00000000" w:rsidRDefault="00405D16">
            <w:pPr>
              <w:spacing w:after="100"/>
              <w:jc w:val="right"/>
              <w:rPr>
                <w:rFonts w:eastAsia="Times New Roman"/>
              </w:rPr>
            </w:pPr>
            <w:r>
              <w:rPr>
                <w:rFonts w:eastAsia="Times New Roman"/>
                <w:color w:val="000000"/>
                <w:sz w:val="18"/>
                <w:szCs w:val="18"/>
              </w:rPr>
              <w:t>8.0 </w:t>
            </w:r>
          </w:p>
        </w:tc>
        <w:tc>
          <w:tcPr>
            <w:tcW w:w="0" w:type="auto"/>
            <w:shd w:val="clear" w:color="auto" w:fill="FFFFFF"/>
            <w:tcMar>
              <w:top w:w="30" w:type="dxa"/>
              <w:left w:w="0" w:type="dxa"/>
              <w:bottom w:w="30" w:type="dxa"/>
              <w:right w:w="20" w:type="dxa"/>
            </w:tcMar>
            <w:vAlign w:val="center"/>
            <w:hideMark/>
          </w:tcPr>
          <w:p w14:paraId="57C8ACF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9F56D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3D36646" w14:textId="77777777" w:rsidR="00000000" w:rsidRDefault="00405D16">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14:paraId="0007620D" w14:textId="77777777" w:rsidR="00000000" w:rsidRDefault="00405D16">
            <w:pPr>
              <w:spacing w:after="100"/>
              <w:jc w:val="right"/>
              <w:rPr>
                <w:rFonts w:eastAsia="Times New Roman"/>
              </w:rPr>
            </w:pPr>
          </w:p>
        </w:tc>
      </w:tr>
      <w:tr w:rsidR="00000000" w14:paraId="3A3AA303" w14:textId="77777777">
        <w:trPr>
          <w:divId w:val="870728879"/>
        </w:trPr>
        <w:tc>
          <w:tcPr>
            <w:tcW w:w="0" w:type="auto"/>
            <w:gridSpan w:val="3"/>
            <w:shd w:val="clear" w:color="auto" w:fill="CCEEFF"/>
            <w:tcMar>
              <w:top w:w="30" w:type="dxa"/>
              <w:left w:w="20" w:type="dxa"/>
              <w:bottom w:w="30" w:type="dxa"/>
              <w:right w:w="20" w:type="dxa"/>
            </w:tcMar>
            <w:vAlign w:val="center"/>
            <w:hideMark/>
          </w:tcPr>
          <w:p w14:paraId="330E37C1" w14:textId="77777777" w:rsidR="00000000" w:rsidRDefault="00405D16">
            <w:pPr>
              <w:spacing w:after="100"/>
              <w:divId w:val="72242481"/>
              <w:rPr>
                <w:rFonts w:eastAsia="Times New Roman"/>
              </w:rPr>
            </w:pPr>
            <w:r>
              <w:rPr>
                <w:rFonts w:eastAsia="Times New Roman"/>
                <w:color w:val="000000"/>
                <w:sz w:val="18"/>
                <w:szCs w:val="18"/>
              </w:rPr>
              <w:t>Tier 1 leverag</w:t>
            </w:r>
            <w:r>
              <w:rPr>
                <w:rFonts w:eastAsia="Times New Roman"/>
                <w:color w:val="000000"/>
                <w:sz w:val="18"/>
                <w:szCs w:val="18"/>
              </w:rPr>
              <w:t>e</w:t>
            </w:r>
            <w:r>
              <w:rPr>
                <w:rFonts w:eastAsia="Times New Roman"/>
                <w:color w:val="000000"/>
                <w:sz w:val="12"/>
                <w:szCs w:val="12"/>
              </w:rPr>
              <w:t>(6</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437DB2DE"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843BAA0" w14:textId="77777777" w:rsidR="00000000" w:rsidRDefault="00405D16">
            <w:pPr>
              <w:spacing w:after="100"/>
              <w:jc w:val="right"/>
              <w:rPr>
                <w:rFonts w:eastAsia="Times New Roman"/>
              </w:rPr>
            </w:pPr>
            <w:r>
              <w:rPr>
                <w:rFonts w:eastAsia="Times New Roman"/>
                <w:b/>
                <w:bCs/>
                <w:color w:val="000000"/>
                <w:sz w:val="18"/>
                <w:szCs w:val="18"/>
              </w:rPr>
              <w:t>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95B6D0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71BA3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D02D887" w14:textId="77777777" w:rsidR="00000000" w:rsidRDefault="00405D16">
            <w:pPr>
              <w:spacing w:after="100"/>
              <w:jc w:val="right"/>
              <w:rPr>
                <w:rFonts w:eastAsia="Times New Roman"/>
              </w:rPr>
            </w:pPr>
            <w:r>
              <w:rPr>
                <w:rFonts w:eastAsia="Times New Roman"/>
                <w:b/>
                <w:bCs/>
                <w:color w:val="000000"/>
                <w:sz w:val="18"/>
                <w:szCs w:val="18"/>
              </w:rPr>
              <w:t>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139A49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6AE2F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E9299A5" w14:textId="77777777" w:rsidR="00000000" w:rsidRDefault="00405D16">
            <w:pPr>
              <w:spacing w:after="100"/>
              <w:jc w:val="right"/>
              <w:rPr>
                <w:rFonts w:eastAsia="Times New Roman"/>
              </w:rPr>
            </w:pPr>
            <w:r>
              <w:rPr>
                <w:rFonts w:eastAsia="Times New Roman"/>
                <w:b/>
                <w:bCs/>
                <w:color w:val="000000"/>
                <w:sz w:val="18"/>
                <w:szCs w:val="18"/>
              </w:rPr>
              <w:t>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91CF5F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156A0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B90C808" w14:textId="77777777" w:rsidR="00000000" w:rsidRDefault="00405D16">
            <w:pPr>
              <w:spacing w:after="100"/>
              <w:jc w:val="right"/>
              <w:rPr>
                <w:rFonts w:eastAsia="Times New Roman"/>
              </w:rPr>
            </w:pPr>
            <w:r>
              <w:rPr>
                <w:rFonts w:eastAsia="Times New Roman"/>
                <w:color w:val="000000"/>
                <w:sz w:val="18"/>
                <w:szCs w:val="18"/>
              </w:rPr>
              <w:t>7.6 </w:t>
            </w:r>
          </w:p>
        </w:tc>
        <w:tc>
          <w:tcPr>
            <w:tcW w:w="0" w:type="auto"/>
            <w:shd w:val="clear" w:color="auto" w:fill="CCEEFF"/>
            <w:tcMar>
              <w:top w:w="30" w:type="dxa"/>
              <w:left w:w="0" w:type="dxa"/>
              <w:bottom w:w="30" w:type="dxa"/>
              <w:right w:w="20" w:type="dxa"/>
            </w:tcMar>
            <w:vAlign w:val="center"/>
            <w:hideMark/>
          </w:tcPr>
          <w:p w14:paraId="2C56DE0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90ADF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86E2357" w14:textId="77777777" w:rsidR="00000000" w:rsidRDefault="00405D16">
            <w:pPr>
              <w:spacing w:after="100"/>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center"/>
            <w:hideMark/>
          </w:tcPr>
          <w:p w14:paraId="544E6ED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FEE45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08B3E04" w14:textId="77777777" w:rsidR="00000000" w:rsidRDefault="00405D16">
            <w:pPr>
              <w:spacing w:after="100"/>
              <w:jc w:val="right"/>
              <w:rPr>
                <w:rFonts w:eastAsia="Times New Roman"/>
              </w:rPr>
            </w:pPr>
            <w:r>
              <w:rPr>
                <w:rFonts w:eastAsia="Times New Roman"/>
                <w:color w:val="000000"/>
                <w:sz w:val="18"/>
                <w:szCs w:val="18"/>
              </w:rPr>
              <w:t>5.0 </w:t>
            </w:r>
          </w:p>
        </w:tc>
        <w:tc>
          <w:tcPr>
            <w:tcW w:w="0" w:type="auto"/>
            <w:shd w:val="clear" w:color="auto" w:fill="CCEEFF"/>
            <w:tcMar>
              <w:top w:w="30" w:type="dxa"/>
              <w:left w:w="0" w:type="dxa"/>
              <w:bottom w:w="30" w:type="dxa"/>
              <w:right w:w="20" w:type="dxa"/>
            </w:tcMar>
            <w:vAlign w:val="center"/>
            <w:hideMark/>
          </w:tcPr>
          <w:p w14:paraId="08D6F9D2" w14:textId="77777777" w:rsidR="00000000" w:rsidRDefault="00405D16">
            <w:pPr>
              <w:spacing w:after="100"/>
              <w:jc w:val="right"/>
              <w:rPr>
                <w:rFonts w:eastAsia="Times New Roman"/>
              </w:rPr>
            </w:pPr>
          </w:p>
        </w:tc>
      </w:tr>
      <w:tr w:rsidR="00000000" w14:paraId="08FA5567" w14:textId="77777777">
        <w:trPr>
          <w:divId w:val="870728879"/>
        </w:trPr>
        <w:tc>
          <w:tcPr>
            <w:tcW w:w="0" w:type="auto"/>
            <w:gridSpan w:val="3"/>
            <w:shd w:val="clear" w:color="auto" w:fill="FFFFFF"/>
            <w:tcMar>
              <w:top w:w="30" w:type="dxa"/>
              <w:left w:w="20" w:type="dxa"/>
              <w:bottom w:w="30" w:type="dxa"/>
              <w:right w:w="20" w:type="dxa"/>
            </w:tcMar>
            <w:vAlign w:val="center"/>
            <w:hideMark/>
          </w:tcPr>
          <w:p w14:paraId="768C8CFE" w14:textId="77777777" w:rsidR="00000000" w:rsidRDefault="00405D16">
            <w:pPr>
              <w:spacing w:after="100"/>
              <w:divId w:val="1783573555"/>
              <w:rPr>
                <w:rFonts w:eastAsia="Times New Roman"/>
              </w:rPr>
            </w:pPr>
            <w:r>
              <w:rPr>
                <w:rFonts w:eastAsia="Times New Roman"/>
                <w:color w:val="000000"/>
                <w:sz w:val="18"/>
                <w:szCs w:val="18"/>
              </w:rPr>
              <w:t>Supplementary leverag</w:t>
            </w:r>
            <w:r>
              <w:rPr>
                <w:rFonts w:eastAsia="Times New Roman"/>
                <w:color w:val="000000"/>
                <w:sz w:val="18"/>
                <w:szCs w:val="18"/>
              </w:rPr>
              <w:t>e</w:t>
            </w:r>
            <w:r>
              <w:rPr>
                <w:rFonts w:eastAsia="Times New Roman"/>
                <w:color w:val="000000"/>
                <w:sz w:val="12"/>
                <w:szCs w:val="12"/>
              </w:rPr>
              <w:t>(7</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0909E37D"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B68E596" w14:textId="77777777" w:rsidR="00000000" w:rsidRDefault="00405D16">
            <w:pPr>
              <w:spacing w:after="100"/>
              <w:jc w:val="right"/>
              <w:rPr>
                <w:rFonts w:eastAsia="Times New Roman"/>
              </w:rPr>
            </w:pPr>
            <w:r>
              <w:rPr>
                <w:rFonts w:eastAsia="Times New Roman"/>
                <w:b/>
                <w:bCs/>
                <w:color w:val="000000"/>
                <w:sz w:val="18"/>
                <w:szCs w:val="18"/>
              </w:rPr>
              <w:t>6.8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23C87A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2CFB8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3BAD03A" w14:textId="77777777" w:rsidR="00000000" w:rsidRDefault="00405D16">
            <w:pPr>
              <w:spacing w:after="100"/>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0D2F48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FC7088"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3A75EACC" w14:textId="77777777" w:rsidR="00000000" w:rsidRDefault="00405D16">
            <w:pPr>
              <w:spacing w:after="100"/>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14:paraId="58BD6255"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47248FE" w14:textId="77777777" w:rsidR="00000000" w:rsidRDefault="00405D16">
            <w:pPr>
              <w:spacing w:after="100"/>
              <w:jc w:val="right"/>
              <w:rPr>
                <w:rFonts w:eastAsia="Times New Roman"/>
              </w:rPr>
            </w:pPr>
            <w:r>
              <w:rPr>
                <w:rFonts w:eastAsia="Times New Roman"/>
                <w:color w:val="000000"/>
                <w:sz w:val="18"/>
                <w:szCs w:val="18"/>
              </w:rPr>
              <w:t>6.9 </w:t>
            </w:r>
          </w:p>
        </w:tc>
        <w:tc>
          <w:tcPr>
            <w:tcW w:w="0" w:type="auto"/>
            <w:shd w:val="clear" w:color="auto" w:fill="FFFFFF"/>
            <w:tcMar>
              <w:top w:w="30" w:type="dxa"/>
              <w:left w:w="0" w:type="dxa"/>
              <w:bottom w:w="30" w:type="dxa"/>
              <w:right w:w="20" w:type="dxa"/>
            </w:tcMar>
            <w:vAlign w:val="center"/>
            <w:hideMark/>
          </w:tcPr>
          <w:p w14:paraId="5F672A9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DAAA1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6BB30A2" w14:textId="77777777" w:rsidR="00000000" w:rsidRDefault="00405D16">
            <w:pPr>
              <w:spacing w:after="100"/>
              <w:jc w:val="right"/>
              <w:rPr>
                <w:rFonts w:eastAsia="Times New Roman"/>
              </w:rPr>
            </w:pPr>
            <w:r>
              <w:rPr>
                <w:rFonts w:eastAsia="Times New Roman"/>
                <w:color w:val="000000"/>
                <w:sz w:val="18"/>
                <w:szCs w:val="18"/>
              </w:rPr>
              <w:t>3.0 </w:t>
            </w:r>
          </w:p>
        </w:tc>
        <w:tc>
          <w:tcPr>
            <w:tcW w:w="0" w:type="auto"/>
            <w:shd w:val="clear" w:color="auto" w:fill="FFFFFF"/>
            <w:tcMar>
              <w:top w:w="30" w:type="dxa"/>
              <w:left w:w="0" w:type="dxa"/>
              <w:bottom w:w="30" w:type="dxa"/>
              <w:right w:w="20" w:type="dxa"/>
            </w:tcMar>
            <w:vAlign w:val="center"/>
            <w:hideMark/>
          </w:tcPr>
          <w:p w14:paraId="1645844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EF7D72"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15AC2B00" w14:textId="77777777" w:rsidR="00000000" w:rsidRDefault="00405D16">
            <w:pPr>
              <w:spacing w:after="100"/>
              <w:jc w:val="right"/>
              <w:rPr>
                <w:rFonts w:eastAsia="Times New Roman"/>
              </w:rPr>
            </w:pPr>
            <w:r>
              <w:rPr>
                <w:rFonts w:eastAsia="Times New Roman"/>
                <w:color w:val="000000"/>
                <w:sz w:val="18"/>
                <w:szCs w:val="18"/>
              </w:rPr>
              <w:t>N/A</w:t>
            </w:r>
          </w:p>
        </w:tc>
      </w:tr>
    </w:tbl>
    <w:p w14:paraId="06AAFEF4" w14:textId="77777777" w:rsidR="00000000" w:rsidRDefault="00405D16">
      <w:pPr>
        <w:divId w:val="870728879"/>
        <w:rPr>
          <w:rFonts w:eastAsia="Times New Roman"/>
        </w:rPr>
      </w:pPr>
      <w:r>
        <w:rPr>
          <w:rFonts w:eastAsia="Times New Roman"/>
          <w:color w:val="000000"/>
          <w:sz w:val="20"/>
          <w:szCs w:val="20"/>
        </w:rPr>
        <w:t>__________</w:t>
      </w:r>
    </w:p>
    <w:p w14:paraId="69038266" w14:textId="77777777" w:rsidR="00000000" w:rsidRDefault="00405D16">
      <w:pPr>
        <w:ind w:hanging="360"/>
        <w:jc w:val="both"/>
        <w:divId w:val="19026715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Capital requirements that are not applicable are denoted by “N/A.”</w:t>
      </w:r>
    </w:p>
    <w:p w14:paraId="46AE5FE4" w14:textId="77777777" w:rsidR="00000000" w:rsidRDefault="00405D16">
      <w:pPr>
        <w:ind w:hanging="360"/>
        <w:jc w:val="both"/>
        <w:divId w:val="992028341"/>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Ratios as of September 30, 2021 are preliminary. As we continue to validate our data, the calculations are subject to change until we file our S</w:t>
      </w:r>
      <w:r>
        <w:rPr>
          <w:rFonts w:eastAsia="Times New Roman"/>
          <w:color w:val="000000"/>
          <w:sz w:val="16"/>
          <w:szCs w:val="16"/>
        </w:rPr>
        <w:t>eptember 30, 2021 Form FR Y-9C—Consolidated Financial Statements for Holding Companies and Call Reports.</w:t>
      </w:r>
    </w:p>
    <w:p w14:paraId="2AA189B1" w14:textId="77777777" w:rsidR="00000000" w:rsidRDefault="00405D16">
      <w:pPr>
        <w:ind w:hanging="360"/>
        <w:jc w:val="both"/>
        <w:divId w:val="306866082"/>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Common equity Tier 1 capital ratio is a regulatory capital measure calculated based on common equity Tier 1 capital divided by risk-weighted assets.</w:t>
      </w:r>
    </w:p>
    <w:p w14:paraId="122C194E" w14:textId="77777777" w:rsidR="00000000" w:rsidRDefault="00405D16">
      <w:pPr>
        <w:ind w:hanging="360"/>
        <w:jc w:val="both"/>
        <w:divId w:val="1647398370"/>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Tier 1 capital ratio is a regulatory capital measure calculated based on Tier 1 capital divided by risk-weighted assets.</w:t>
      </w:r>
    </w:p>
    <w:p w14:paraId="40D37C2F" w14:textId="77777777" w:rsidR="00000000" w:rsidRDefault="00405D16">
      <w:pPr>
        <w:ind w:hanging="360"/>
        <w:jc w:val="both"/>
        <w:divId w:val="17119925"/>
        <w:rPr>
          <w:rFonts w:eastAsia="Times New Roman"/>
        </w:rPr>
      </w:pPr>
      <w:r>
        <w:rPr>
          <w:rFonts w:eastAsia="Times New Roman"/>
          <w:color w:val="000000"/>
          <w:sz w:val="10"/>
          <w:szCs w:val="10"/>
        </w:rPr>
        <w:t>(5</w:t>
      </w:r>
      <w:r>
        <w:rPr>
          <w:rFonts w:eastAsia="Times New Roman"/>
          <w:color w:val="000000"/>
          <w:sz w:val="10"/>
          <w:szCs w:val="10"/>
        </w:rPr>
        <w:t>)</w:t>
      </w:r>
      <w:r>
        <w:rPr>
          <w:rFonts w:eastAsia="Times New Roman"/>
          <w:color w:val="000000"/>
          <w:sz w:val="16"/>
          <w:szCs w:val="16"/>
        </w:rPr>
        <w:t>Total capital ratio is a regulatory capital measure calculated based on total capital divided by risk-weighted assets.</w:t>
      </w:r>
    </w:p>
    <w:p w14:paraId="0C4FEF6B" w14:textId="77777777" w:rsidR="00000000" w:rsidRDefault="00405D16">
      <w:pPr>
        <w:ind w:hanging="360"/>
        <w:jc w:val="both"/>
        <w:divId w:val="948704086"/>
        <w:rPr>
          <w:rFonts w:eastAsia="Times New Roman"/>
        </w:rPr>
      </w:pPr>
      <w:r>
        <w:rPr>
          <w:rFonts w:eastAsia="Times New Roman"/>
          <w:color w:val="000000"/>
          <w:sz w:val="10"/>
          <w:szCs w:val="10"/>
        </w:rPr>
        <w:t>(6</w:t>
      </w:r>
      <w:r>
        <w:rPr>
          <w:rFonts w:eastAsia="Times New Roman"/>
          <w:color w:val="000000"/>
          <w:sz w:val="10"/>
          <w:szCs w:val="10"/>
        </w:rPr>
        <w:t>)</w:t>
      </w:r>
      <w:r>
        <w:rPr>
          <w:rFonts w:eastAsia="Times New Roman"/>
          <w:color w:val="000000"/>
          <w:sz w:val="16"/>
          <w:szCs w:val="16"/>
        </w:rPr>
        <w:t>Tier 1</w:t>
      </w:r>
      <w:r>
        <w:rPr>
          <w:rFonts w:eastAsia="Times New Roman"/>
          <w:color w:val="000000"/>
          <w:sz w:val="16"/>
          <w:szCs w:val="16"/>
        </w:rPr>
        <w:t xml:space="preserve"> leverage ratio is a regulatory capital measure calculated based on Tier 1 capital divided by adjusted average assets.</w:t>
      </w:r>
    </w:p>
    <w:p w14:paraId="71A09543" w14:textId="77777777" w:rsidR="00000000" w:rsidRDefault="00405D16">
      <w:pPr>
        <w:ind w:hanging="360"/>
        <w:jc w:val="both"/>
        <w:divId w:val="1609654454"/>
        <w:rPr>
          <w:rFonts w:eastAsia="Times New Roman"/>
        </w:rPr>
      </w:pPr>
      <w:r>
        <w:rPr>
          <w:rFonts w:eastAsia="Times New Roman"/>
          <w:color w:val="000000"/>
          <w:sz w:val="10"/>
          <w:szCs w:val="10"/>
        </w:rPr>
        <w:t>(7</w:t>
      </w:r>
      <w:r>
        <w:rPr>
          <w:rFonts w:eastAsia="Times New Roman"/>
          <w:color w:val="000000"/>
          <w:sz w:val="10"/>
          <w:szCs w:val="10"/>
        </w:rPr>
        <w:t>)</w:t>
      </w:r>
      <w:r>
        <w:rPr>
          <w:rFonts w:eastAsia="Times New Roman"/>
          <w:color w:val="000000"/>
          <w:sz w:val="16"/>
          <w:szCs w:val="16"/>
        </w:rPr>
        <w:t xml:space="preserve">Supplementary leverage ratio is a regulatory capital measure calculated based on Tier 1 capital divided by total leverage exposure. </w:t>
      </w:r>
    </w:p>
    <w:p w14:paraId="388B30CA" w14:textId="77777777" w:rsidR="00000000" w:rsidRDefault="00405D16">
      <w:pPr>
        <w:ind w:hanging="360"/>
        <w:jc w:val="both"/>
        <w:divId w:val="1451630700"/>
        <w:rPr>
          <w:rFonts w:eastAsia="Times New Roman"/>
        </w:rPr>
      </w:pPr>
      <w:r>
        <w:rPr>
          <w:rFonts w:eastAsia="Times New Roman"/>
          <w:color w:val="000000"/>
          <w:sz w:val="10"/>
          <w:szCs w:val="10"/>
        </w:rPr>
        <w:t>(</w:t>
      </w:r>
      <w:r>
        <w:rPr>
          <w:rFonts w:eastAsia="Times New Roman"/>
          <w:color w:val="000000"/>
          <w:sz w:val="10"/>
          <w:szCs w:val="10"/>
        </w:rPr>
        <w:t>8</w:t>
      </w:r>
      <w:r>
        <w:rPr>
          <w:rFonts w:eastAsia="Times New Roman"/>
          <w:color w:val="000000"/>
          <w:sz w:val="10"/>
          <w:szCs w:val="10"/>
        </w:rPr>
        <w:t>)</w:t>
      </w:r>
      <w:r>
        <w:rPr>
          <w:rFonts w:eastAsia="Times New Roman"/>
          <w:color w:val="000000"/>
          <w:sz w:val="16"/>
          <w:szCs w:val="16"/>
        </w:rPr>
        <w:t>The Company’s supplementary leverage ratio as of December 31, 2020 reflected the temporary exclusions of U.S Treasury securities and deposits at Federal Reserve Banks from the denominator of the supplementary leverage ratio. See “Part I—Item 1. Business—</w:t>
      </w:r>
      <w:r>
        <w:rPr>
          <w:rFonts w:eastAsia="Times New Roman"/>
          <w:color w:val="000000"/>
          <w:sz w:val="16"/>
          <w:szCs w:val="16"/>
        </w:rPr>
        <w:t>Supervision and Regulation—Capital and Liquidity Regulation” in our 2020 Form 10-K for additional details.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3B80FA7F" w14:textId="77777777">
        <w:trPr>
          <w:divId w:val="543255224"/>
          <w:jc w:val="center"/>
        </w:trPr>
        <w:tc>
          <w:tcPr>
            <w:tcW w:w="50" w:type="pct"/>
            <w:vAlign w:val="center"/>
            <w:hideMark/>
          </w:tcPr>
          <w:p w14:paraId="4EDB7C31" w14:textId="77777777" w:rsidR="00000000" w:rsidRDefault="00405D16">
            <w:pPr>
              <w:ind w:hanging="360"/>
              <w:jc w:val="both"/>
              <w:rPr>
                <w:rFonts w:eastAsia="Times New Roman"/>
              </w:rPr>
            </w:pPr>
          </w:p>
        </w:tc>
        <w:tc>
          <w:tcPr>
            <w:tcW w:w="1606" w:type="pct"/>
            <w:vAlign w:val="center"/>
            <w:hideMark/>
          </w:tcPr>
          <w:p w14:paraId="5538303A" w14:textId="77777777" w:rsidR="00000000" w:rsidRDefault="00405D16">
            <w:pPr>
              <w:spacing w:after="100"/>
              <w:rPr>
                <w:rFonts w:eastAsia="Times New Roman"/>
                <w:sz w:val="20"/>
                <w:szCs w:val="20"/>
              </w:rPr>
            </w:pPr>
          </w:p>
        </w:tc>
        <w:tc>
          <w:tcPr>
            <w:tcW w:w="5" w:type="pct"/>
            <w:vAlign w:val="center"/>
            <w:hideMark/>
          </w:tcPr>
          <w:p w14:paraId="679F0566" w14:textId="77777777" w:rsidR="00000000" w:rsidRDefault="00405D16">
            <w:pPr>
              <w:spacing w:after="100"/>
              <w:rPr>
                <w:rFonts w:eastAsia="Times New Roman"/>
                <w:sz w:val="20"/>
                <w:szCs w:val="20"/>
              </w:rPr>
            </w:pPr>
          </w:p>
        </w:tc>
        <w:tc>
          <w:tcPr>
            <w:tcW w:w="50" w:type="pct"/>
            <w:vAlign w:val="center"/>
            <w:hideMark/>
          </w:tcPr>
          <w:p w14:paraId="5A9EFC36" w14:textId="77777777" w:rsidR="00000000" w:rsidRDefault="00405D16">
            <w:pPr>
              <w:spacing w:after="100"/>
              <w:rPr>
                <w:rFonts w:eastAsia="Times New Roman"/>
                <w:sz w:val="20"/>
                <w:szCs w:val="20"/>
              </w:rPr>
            </w:pPr>
          </w:p>
        </w:tc>
        <w:tc>
          <w:tcPr>
            <w:tcW w:w="1614" w:type="pct"/>
            <w:vAlign w:val="center"/>
            <w:hideMark/>
          </w:tcPr>
          <w:p w14:paraId="203E7B83" w14:textId="77777777" w:rsidR="00000000" w:rsidRDefault="00405D16">
            <w:pPr>
              <w:spacing w:after="100"/>
              <w:rPr>
                <w:rFonts w:eastAsia="Times New Roman"/>
                <w:sz w:val="20"/>
                <w:szCs w:val="20"/>
              </w:rPr>
            </w:pPr>
          </w:p>
        </w:tc>
        <w:tc>
          <w:tcPr>
            <w:tcW w:w="5" w:type="pct"/>
            <w:vAlign w:val="center"/>
            <w:hideMark/>
          </w:tcPr>
          <w:p w14:paraId="1815068A" w14:textId="77777777" w:rsidR="00000000" w:rsidRDefault="00405D16">
            <w:pPr>
              <w:spacing w:after="100"/>
              <w:rPr>
                <w:rFonts w:eastAsia="Times New Roman"/>
                <w:sz w:val="20"/>
                <w:szCs w:val="20"/>
              </w:rPr>
            </w:pPr>
          </w:p>
        </w:tc>
        <w:tc>
          <w:tcPr>
            <w:tcW w:w="50" w:type="pct"/>
            <w:vAlign w:val="center"/>
            <w:hideMark/>
          </w:tcPr>
          <w:p w14:paraId="79A8AD94" w14:textId="77777777" w:rsidR="00000000" w:rsidRDefault="00405D16">
            <w:pPr>
              <w:spacing w:after="100"/>
              <w:rPr>
                <w:rFonts w:eastAsia="Times New Roman"/>
                <w:sz w:val="20"/>
                <w:szCs w:val="20"/>
              </w:rPr>
            </w:pPr>
          </w:p>
        </w:tc>
        <w:tc>
          <w:tcPr>
            <w:tcW w:w="1614" w:type="pct"/>
            <w:vAlign w:val="center"/>
            <w:hideMark/>
          </w:tcPr>
          <w:p w14:paraId="5717F19D" w14:textId="77777777" w:rsidR="00000000" w:rsidRDefault="00405D16">
            <w:pPr>
              <w:spacing w:after="100"/>
              <w:rPr>
                <w:rFonts w:eastAsia="Times New Roman"/>
                <w:sz w:val="20"/>
                <w:szCs w:val="20"/>
              </w:rPr>
            </w:pPr>
          </w:p>
        </w:tc>
        <w:tc>
          <w:tcPr>
            <w:tcW w:w="5" w:type="pct"/>
            <w:vAlign w:val="center"/>
            <w:hideMark/>
          </w:tcPr>
          <w:p w14:paraId="4C9CEEC6" w14:textId="77777777" w:rsidR="00000000" w:rsidRDefault="00405D16">
            <w:pPr>
              <w:spacing w:after="100"/>
              <w:rPr>
                <w:rFonts w:eastAsia="Times New Roman"/>
                <w:sz w:val="20"/>
                <w:szCs w:val="20"/>
              </w:rPr>
            </w:pPr>
          </w:p>
        </w:tc>
      </w:tr>
      <w:tr w:rsidR="00000000" w14:paraId="2648A369" w14:textId="77777777">
        <w:trPr>
          <w:divId w:val="543255224"/>
          <w:trHeight w:val="300"/>
          <w:jc w:val="center"/>
        </w:trPr>
        <w:tc>
          <w:tcPr>
            <w:tcW w:w="0" w:type="auto"/>
            <w:gridSpan w:val="9"/>
            <w:tcMar>
              <w:top w:w="0" w:type="dxa"/>
              <w:left w:w="20" w:type="dxa"/>
              <w:bottom w:w="0" w:type="dxa"/>
              <w:right w:w="20" w:type="dxa"/>
            </w:tcMar>
            <w:vAlign w:val="center"/>
            <w:hideMark/>
          </w:tcPr>
          <w:p w14:paraId="5E16A86F" w14:textId="77777777" w:rsidR="00000000" w:rsidRDefault="00405D16">
            <w:pPr>
              <w:spacing w:after="100"/>
              <w:rPr>
                <w:rFonts w:eastAsia="Times New Roman"/>
                <w:sz w:val="20"/>
                <w:szCs w:val="20"/>
              </w:rPr>
            </w:pPr>
          </w:p>
        </w:tc>
      </w:tr>
      <w:tr w:rsidR="00000000" w14:paraId="64F3EBEE" w14:textId="77777777">
        <w:trPr>
          <w:divId w:val="543255224"/>
          <w:jc w:val="center"/>
        </w:trPr>
        <w:tc>
          <w:tcPr>
            <w:tcW w:w="0" w:type="auto"/>
            <w:gridSpan w:val="3"/>
            <w:tcMar>
              <w:top w:w="0" w:type="dxa"/>
              <w:left w:w="20" w:type="dxa"/>
              <w:bottom w:w="0" w:type="dxa"/>
              <w:right w:w="20" w:type="dxa"/>
            </w:tcMar>
            <w:vAlign w:val="center"/>
            <w:hideMark/>
          </w:tcPr>
          <w:p w14:paraId="4BB1BB00"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C5FD041" w14:textId="77777777" w:rsidR="00000000" w:rsidRDefault="00405D16">
            <w:pPr>
              <w:spacing w:after="100"/>
              <w:jc w:val="center"/>
              <w:rPr>
                <w:rFonts w:eastAsia="Times New Roman"/>
              </w:rPr>
            </w:pPr>
            <w:r>
              <w:rPr>
                <w:rFonts w:eastAsia="Times New Roman"/>
                <w:color w:val="000000"/>
                <w:sz w:val="16"/>
                <w:szCs w:val="16"/>
              </w:rPr>
              <w:t>33</w:t>
            </w:r>
          </w:p>
        </w:tc>
        <w:tc>
          <w:tcPr>
            <w:tcW w:w="0" w:type="auto"/>
            <w:gridSpan w:val="3"/>
            <w:tcMar>
              <w:top w:w="30" w:type="dxa"/>
              <w:left w:w="20" w:type="dxa"/>
              <w:bottom w:w="30" w:type="dxa"/>
              <w:right w:w="20" w:type="dxa"/>
            </w:tcMar>
            <w:vAlign w:val="bottom"/>
            <w:hideMark/>
          </w:tcPr>
          <w:p w14:paraId="02C544FA"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7CAF03BE" w14:textId="77777777" w:rsidR="00000000" w:rsidRDefault="00405D16">
      <w:pPr>
        <w:rPr>
          <w:rFonts w:eastAsia="Times New Roman"/>
        </w:rPr>
      </w:pPr>
      <w:r>
        <w:rPr>
          <w:rFonts w:eastAsia="Times New Roman"/>
        </w:rPr>
        <w:pict w14:anchorId="75E2093F">
          <v:rect id="_x0000_i1058" style="width:0;height:1.5pt" o:hralign="center" o:hrstd="t" o:hr="t" fillcolor="#a0a0a0" stroked="f"/>
        </w:pict>
      </w:r>
    </w:p>
    <w:p w14:paraId="612F91A6" w14:textId="77777777" w:rsidR="00000000" w:rsidRDefault="00405D16">
      <w:pPr>
        <w:ind w:hanging="360"/>
        <w:jc w:val="both"/>
        <w:divId w:val="662860150"/>
        <w:rPr>
          <w:rFonts w:eastAsia="Times New Roman"/>
        </w:rPr>
      </w:pPr>
      <w:hyperlink w:anchor="idd54a04a485440b4ab4e56094c14d612_13" w:history="1">
        <w:r>
          <w:rPr>
            <w:rStyle w:val="a3"/>
            <w:rFonts w:eastAsia="Times New Roman"/>
            <w:sz w:val="16"/>
            <w:szCs w:val="16"/>
          </w:rPr>
          <w:t>Table of Contents</w:t>
        </w:r>
      </w:hyperlink>
    </w:p>
    <w:p w14:paraId="78F3706F" w14:textId="77777777" w:rsidR="00000000" w:rsidRDefault="00405D16">
      <w:pPr>
        <w:jc w:val="both"/>
        <w:divId w:val="1440878468"/>
        <w:rPr>
          <w:rFonts w:eastAsia="Times New Roman"/>
        </w:rPr>
      </w:pPr>
      <w:r>
        <w:rPr>
          <w:rFonts w:eastAsia="Times New Roman"/>
          <w:color w:val="000000"/>
          <w:sz w:val="20"/>
          <w:szCs w:val="20"/>
        </w:rPr>
        <w:t>Table 15 presents regulatory capital under the Basel III Standardized Approach and regulatory capital metrics as of September 30, 2021 and Dece</w:t>
      </w:r>
      <w:r>
        <w:rPr>
          <w:rFonts w:eastAsia="Times New Roman"/>
          <w:color w:val="000000"/>
          <w:sz w:val="20"/>
          <w:szCs w:val="20"/>
        </w:rPr>
        <w:t xml:space="preserve">mber 31, 2020. </w:t>
      </w:r>
    </w:p>
    <w:p w14:paraId="2E2D3814" w14:textId="77777777" w:rsidR="00000000" w:rsidRDefault="00405D16">
      <w:pPr>
        <w:divId w:val="1405638677"/>
        <w:rPr>
          <w:rFonts w:eastAsia="Times New Roman"/>
        </w:rPr>
      </w:pPr>
      <w:r>
        <w:rPr>
          <w:rFonts w:eastAsia="Times New Roman"/>
          <w:b/>
          <w:bCs/>
          <w:color w:val="000000"/>
          <w:sz w:val="18"/>
          <w:szCs w:val="18"/>
        </w:rPr>
        <w:t>Table 15: Regulatory Risk-Based Capital Components and Regulatory Capital Metrics</w:t>
      </w:r>
    </w:p>
    <w:tbl>
      <w:tblPr>
        <w:tblW w:w="4970" w:type="pct"/>
        <w:tblCellMar>
          <w:top w:w="15" w:type="dxa"/>
          <w:left w:w="15" w:type="dxa"/>
          <w:bottom w:w="15" w:type="dxa"/>
          <w:right w:w="15" w:type="dxa"/>
        </w:tblCellMar>
        <w:tblLook w:val="04A0" w:firstRow="1" w:lastRow="0" w:firstColumn="1" w:lastColumn="0" w:noHBand="0" w:noVBand="1"/>
      </w:tblPr>
      <w:tblGrid>
        <w:gridCol w:w="41"/>
        <w:gridCol w:w="5650"/>
        <w:gridCol w:w="37"/>
        <w:gridCol w:w="36"/>
        <w:gridCol w:w="36"/>
        <w:gridCol w:w="36"/>
        <w:gridCol w:w="110"/>
        <w:gridCol w:w="1033"/>
        <w:gridCol w:w="36"/>
        <w:gridCol w:w="36"/>
        <w:gridCol w:w="36"/>
        <w:gridCol w:w="36"/>
        <w:gridCol w:w="110"/>
        <w:gridCol w:w="987"/>
        <w:gridCol w:w="36"/>
      </w:tblGrid>
      <w:tr w:rsidR="00000000" w14:paraId="0FCE8A2C" w14:textId="77777777">
        <w:trPr>
          <w:divId w:val="1349602452"/>
        </w:trPr>
        <w:tc>
          <w:tcPr>
            <w:tcW w:w="50" w:type="pct"/>
            <w:vAlign w:val="center"/>
            <w:hideMark/>
          </w:tcPr>
          <w:p w14:paraId="17CD2485" w14:textId="77777777" w:rsidR="00000000" w:rsidRDefault="00405D16">
            <w:pPr>
              <w:rPr>
                <w:rFonts w:eastAsia="Times New Roman"/>
              </w:rPr>
            </w:pPr>
          </w:p>
        </w:tc>
        <w:tc>
          <w:tcPr>
            <w:tcW w:w="3445" w:type="pct"/>
            <w:vAlign w:val="center"/>
            <w:hideMark/>
          </w:tcPr>
          <w:p w14:paraId="33FEC035" w14:textId="77777777" w:rsidR="00000000" w:rsidRDefault="00405D16">
            <w:pPr>
              <w:spacing w:after="100"/>
              <w:rPr>
                <w:rFonts w:eastAsia="Times New Roman"/>
                <w:sz w:val="20"/>
                <w:szCs w:val="20"/>
              </w:rPr>
            </w:pPr>
          </w:p>
        </w:tc>
        <w:tc>
          <w:tcPr>
            <w:tcW w:w="5" w:type="pct"/>
            <w:vAlign w:val="center"/>
            <w:hideMark/>
          </w:tcPr>
          <w:p w14:paraId="4F208C71" w14:textId="77777777" w:rsidR="00000000" w:rsidRDefault="00405D16">
            <w:pPr>
              <w:spacing w:after="100"/>
              <w:rPr>
                <w:rFonts w:eastAsia="Times New Roman"/>
                <w:sz w:val="20"/>
                <w:szCs w:val="20"/>
              </w:rPr>
            </w:pPr>
          </w:p>
        </w:tc>
        <w:tc>
          <w:tcPr>
            <w:tcW w:w="5" w:type="pct"/>
            <w:vAlign w:val="center"/>
            <w:hideMark/>
          </w:tcPr>
          <w:p w14:paraId="2EB8A710" w14:textId="77777777" w:rsidR="00000000" w:rsidRDefault="00405D16">
            <w:pPr>
              <w:spacing w:after="100"/>
              <w:rPr>
                <w:rFonts w:eastAsia="Times New Roman"/>
                <w:sz w:val="20"/>
                <w:szCs w:val="20"/>
              </w:rPr>
            </w:pPr>
          </w:p>
        </w:tc>
        <w:tc>
          <w:tcPr>
            <w:tcW w:w="26" w:type="pct"/>
            <w:vAlign w:val="center"/>
            <w:hideMark/>
          </w:tcPr>
          <w:p w14:paraId="7CEDECBF" w14:textId="77777777" w:rsidR="00000000" w:rsidRDefault="00405D16">
            <w:pPr>
              <w:spacing w:after="100"/>
              <w:rPr>
                <w:rFonts w:eastAsia="Times New Roman"/>
                <w:sz w:val="20"/>
                <w:szCs w:val="20"/>
              </w:rPr>
            </w:pPr>
          </w:p>
        </w:tc>
        <w:tc>
          <w:tcPr>
            <w:tcW w:w="5" w:type="pct"/>
            <w:vAlign w:val="center"/>
            <w:hideMark/>
          </w:tcPr>
          <w:p w14:paraId="4EA056B8" w14:textId="77777777" w:rsidR="00000000" w:rsidRDefault="00405D16">
            <w:pPr>
              <w:spacing w:after="100"/>
              <w:rPr>
                <w:rFonts w:eastAsia="Times New Roman"/>
                <w:sz w:val="20"/>
                <w:szCs w:val="20"/>
              </w:rPr>
            </w:pPr>
          </w:p>
        </w:tc>
        <w:tc>
          <w:tcPr>
            <w:tcW w:w="50" w:type="pct"/>
            <w:vAlign w:val="center"/>
            <w:hideMark/>
          </w:tcPr>
          <w:p w14:paraId="782BAA15" w14:textId="77777777" w:rsidR="00000000" w:rsidRDefault="00405D16">
            <w:pPr>
              <w:spacing w:after="100"/>
              <w:rPr>
                <w:rFonts w:eastAsia="Times New Roman"/>
                <w:sz w:val="20"/>
                <w:szCs w:val="20"/>
              </w:rPr>
            </w:pPr>
          </w:p>
        </w:tc>
        <w:tc>
          <w:tcPr>
            <w:tcW w:w="672" w:type="pct"/>
            <w:vAlign w:val="center"/>
            <w:hideMark/>
          </w:tcPr>
          <w:p w14:paraId="3E28CE48" w14:textId="77777777" w:rsidR="00000000" w:rsidRDefault="00405D16">
            <w:pPr>
              <w:spacing w:after="100"/>
              <w:rPr>
                <w:rFonts w:eastAsia="Times New Roman"/>
                <w:sz w:val="20"/>
                <w:szCs w:val="20"/>
              </w:rPr>
            </w:pPr>
          </w:p>
        </w:tc>
        <w:tc>
          <w:tcPr>
            <w:tcW w:w="5" w:type="pct"/>
            <w:vAlign w:val="center"/>
            <w:hideMark/>
          </w:tcPr>
          <w:p w14:paraId="3E7E744D" w14:textId="77777777" w:rsidR="00000000" w:rsidRDefault="00405D16">
            <w:pPr>
              <w:spacing w:after="100"/>
              <w:rPr>
                <w:rFonts w:eastAsia="Times New Roman"/>
                <w:sz w:val="20"/>
                <w:szCs w:val="20"/>
              </w:rPr>
            </w:pPr>
          </w:p>
        </w:tc>
        <w:tc>
          <w:tcPr>
            <w:tcW w:w="5" w:type="pct"/>
            <w:vAlign w:val="center"/>
            <w:hideMark/>
          </w:tcPr>
          <w:p w14:paraId="14408724" w14:textId="77777777" w:rsidR="00000000" w:rsidRDefault="00405D16">
            <w:pPr>
              <w:spacing w:after="100"/>
              <w:rPr>
                <w:rFonts w:eastAsia="Times New Roman"/>
                <w:sz w:val="20"/>
                <w:szCs w:val="20"/>
              </w:rPr>
            </w:pPr>
          </w:p>
        </w:tc>
        <w:tc>
          <w:tcPr>
            <w:tcW w:w="26" w:type="pct"/>
            <w:vAlign w:val="center"/>
            <w:hideMark/>
          </w:tcPr>
          <w:p w14:paraId="0A8D2967" w14:textId="77777777" w:rsidR="00000000" w:rsidRDefault="00405D16">
            <w:pPr>
              <w:spacing w:after="100"/>
              <w:rPr>
                <w:rFonts w:eastAsia="Times New Roman"/>
                <w:sz w:val="20"/>
                <w:szCs w:val="20"/>
              </w:rPr>
            </w:pPr>
          </w:p>
        </w:tc>
        <w:tc>
          <w:tcPr>
            <w:tcW w:w="5" w:type="pct"/>
            <w:vAlign w:val="center"/>
            <w:hideMark/>
          </w:tcPr>
          <w:p w14:paraId="647A062B" w14:textId="77777777" w:rsidR="00000000" w:rsidRDefault="00405D16">
            <w:pPr>
              <w:spacing w:after="100"/>
              <w:rPr>
                <w:rFonts w:eastAsia="Times New Roman"/>
                <w:sz w:val="20"/>
                <w:szCs w:val="20"/>
              </w:rPr>
            </w:pPr>
          </w:p>
        </w:tc>
        <w:tc>
          <w:tcPr>
            <w:tcW w:w="50" w:type="pct"/>
            <w:vAlign w:val="center"/>
            <w:hideMark/>
          </w:tcPr>
          <w:p w14:paraId="384B90D7" w14:textId="77777777" w:rsidR="00000000" w:rsidRDefault="00405D16">
            <w:pPr>
              <w:spacing w:after="100"/>
              <w:rPr>
                <w:rFonts w:eastAsia="Times New Roman"/>
                <w:sz w:val="20"/>
                <w:szCs w:val="20"/>
              </w:rPr>
            </w:pPr>
          </w:p>
        </w:tc>
        <w:tc>
          <w:tcPr>
            <w:tcW w:w="643" w:type="pct"/>
            <w:vAlign w:val="center"/>
            <w:hideMark/>
          </w:tcPr>
          <w:p w14:paraId="46004D30" w14:textId="77777777" w:rsidR="00000000" w:rsidRDefault="00405D16">
            <w:pPr>
              <w:spacing w:after="100"/>
              <w:rPr>
                <w:rFonts w:eastAsia="Times New Roman"/>
                <w:sz w:val="20"/>
                <w:szCs w:val="20"/>
              </w:rPr>
            </w:pPr>
          </w:p>
        </w:tc>
        <w:tc>
          <w:tcPr>
            <w:tcW w:w="5" w:type="pct"/>
            <w:vAlign w:val="center"/>
            <w:hideMark/>
          </w:tcPr>
          <w:p w14:paraId="149E166A" w14:textId="77777777" w:rsidR="00000000" w:rsidRDefault="00405D16">
            <w:pPr>
              <w:spacing w:after="100"/>
              <w:rPr>
                <w:rFonts w:eastAsia="Times New Roman"/>
                <w:sz w:val="20"/>
                <w:szCs w:val="20"/>
              </w:rPr>
            </w:pPr>
          </w:p>
        </w:tc>
      </w:tr>
      <w:tr w:rsidR="00000000" w14:paraId="64C265E0" w14:textId="77777777">
        <w:trPr>
          <w:divId w:val="1349602452"/>
        </w:trPr>
        <w:tc>
          <w:tcPr>
            <w:tcW w:w="0" w:type="auto"/>
            <w:gridSpan w:val="3"/>
            <w:shd w:val="clear" w:color="auto" w:fill="FFFFFF"/>
            <w:tcMar>
              <w:top w:w="30" w:type="dxa"/>
              <w:left w:w="20" w:type="dxa"/>
              <w:bottom w:w="30" w:type="dxa"/>
              <w:right w:w="20" w:type="dxa"/>
            </w:tcMar>
            <w:vAlign w:val="bottom"/>
            <w:hideMark/>
          </w:tcPr>
          <w:p w14:paraId="01976D2A"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shd w:val="clear" w:color="auto" w:fill="FFFFFF"/>
            <w:tcMar>
              <w:top w:w="0" w:type="dxa"/>
              <w:left w:w="20" w:type="dxa"/>
              <w:bottom w:w="0" w:type="dxa"/>
              <w:right w:w="20" w:type="dxa"/>
            </w:tcMar>
            <w:vAlign w:val="center"/>
            <w:hideMark/>
          </w:tcPr>
          <w:p w14:paraId="29439A0F" w14:textId="77777777" w:rsidR="00000000" w:rsidRDefault="00405D16">
            <w:pPr>
              <w:spacing w:after="100"/>
              <w:rPr>
                <w:rFonts w:eastAsia="Times New Roman"/>
              </w:rPr>
            </w:pPr>
          </w:p>
        </w:tc>
        <w:tc>
          <w:tcPr>
            <w:tcW w:w="0" w:type="auto"/>
            <w:gridSpan w:val="3"/>
            <w:tcMar>
              <w:top w:w="30" w:type="dxa"/>
              <w:left w:w="20" w:type="dxa"/>
              <w:bottom w:w="30" w:type="dxa"/>
              <w:right w:w="20" w:type="dxa"/>
            </w:tcMar>
            <w:vAlign w:val="center"/>
            <w:hideMark/>
          </w:tcPr>
          <w:p w14:paraId="2179F4F7" w14:textId="77777777" w:rsidR="00000000" w:rsidRDefault="00405D16">
            <w:pPr>
              <w:spacing w:after="100"/>
              <w:jc w:val="center"/>
              <w:rPr>
                <w:rFonts w:eastAsia="Times New Roman"/>
              </w:rPr>
            </w:pPr>
            <w:r>
              <w:rPr>
                <w:rFonts w:eastAsia="Times New Roman"/>
                <w:b/>
                <w:bCs/>
                <w:color w:val="000000"/>
                <w:sz w:val="16"/>
                <w:szCs w:val="16"/>
              </w:rPr>
              <w:t>September 30, 2021</w:t>
            </w:r>
          </w:p>
        </w:tc>
        <w:tc>
          <w:tcPr>
            <w:tcW w:w="0" w:type="auto"/>
            <w:gridSpan w:val="3"/>
            <w:shd w:val="clear" w:color="auto" w:fill="FFFFFF"/>
            <w:tcMar>
              <w:top w:w="0" w:type="dxa"/>
              <w:left w:w="20" w:type="dxa"/>
              <w:bottom w:w="0" w:type="dxa"/>
              <w:right w:w="20" w:type="dxa"/>
            </w:tcMar>
            <w:vAlign w:val="center"/>
            <w:hideMark/>
          </w:tcPr>
          <w:p w14:paraId="5EB75998"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3AF504B5" w14:textId="77777777" w:rsidR="00000000" w:rsidRDefault="00405D16">
            <w:pPr>
              <w:spacing w:after="100"/>
              <w:jc w:val="center"/>
              <w:rPr>
                <w:rFonts w:eastAsia="Times New Roman"/>
              </w:rPr>
            </w:pPr>
            <w:r>
              <w:rPr>
                <w:rFonts w:eastAsia="Times New Roman"/>
                <w:b/>
                <w:bCs/>
                <w:color w:val="000000"/>
                <w:sz w:val="16"/>
                <w:szCs w:val="16"/>
              </w:rPr>
              <w:t>December 31, 2020</w:t>
            </w:r>
          </w:p>
        </w:tc>
      </w:tr>
      <w:tr w:rsidR="00000000" w14:paraId="0679EC2F" w14:textId="77777777">
        <w:trPr>
          <w:divId w:val="134960245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0CB1F37" w14:textId="77777777" w:rsidR="00000000" w:rsidRDefault="00405D16">
            <w:pPr>
              <w:spacing w:after="100"/>
              <w:rPr>
                <w:rFonts w:eastAsia="Times New Roman"/>
              </w:rPr>
            </w:pPr>
            <w:r>
              <w:rPr>
                <w:rFonts w:eastAsia="Times New Roman"/>
                <w:b/>
                <w:bCs/>
                <w:color w:val="000000"/>
                <w:sz w:val="18"/>
                <w:szCs w:val="18"/>
              </w:rPr>
              <w:t>Regulatory Capital Under Basel III Standardized Approach</w:t>
            </w:r>
          </w:p>
        </w:tc>
        <w:tc>
          <w:tcPr>
            <w:tcW w:w="0" w:type="auto"/>
            <w:gridSpan w:val="3"/>
            <w:shd w:val="clear" w:color="auto" w:fill="CCEEFF"/>
            <w:tcMar>
              <w:top w:w="0" w:type="dxa"/>
              <w:left w:w="20" w:type="dxa"/>
              <w:bottom w:w="0" w:type="dxa"/>
              <w:right w:w="20" w:type="dxa"/>
            </w:tcMar>
            <w:vAlign w:val="center"/>
            <w:hideMark/>
          </w:tcPr>
          <w:p w14:paraId="5B79367A"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2BDAA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7148C9"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2021F5C" w14:textId="77777777" w:rsidR="00000000" w:rsidRDefault="00405D16">
            <w:pPr>
              <w:spacing w:after="100"/>
              <w:rPr>
                <w:rFonts w:eastAsia="Times New Roman"/>
                <w:sz w:val="20"/>
                <w:szCs w:val="20"/>
              </w:rPr>
            </w:pPr>
          </w:p>
        </w:tc>
      </w:tr>
      <w:tr w:rsidR="00000000" w14:paraId="6FD4CCCD" w14:textId="77777777">
        <w:trPr>
          <w:divId w:val="1349602452"/>
        </w:trPr>
        <w:tc>
          <w:tcPr>
            <w:tcW w:w="0" w:type="auto"/>
            <w:gridSpan w:val="3"/>
            <w:shd w:val="clear" w:color="auto" w:fill="FFFFFF"/>
            <w:tcMar>
              <w:top w:w="30" w:type="dxa"/>
              <w:left w:w="20" w:type="dxa"/>
              <w:bottom w:w="30" w:type="dxa"/>
              <w:right w:w="20" w:type="dxa"/>
            </w:tcMar>
            <w:vAlign w:val="bottom"/>
            <w:hideMark/>
          </w:tcPr>
          <w:p w14:paraId="0E667FCC" w14:textId="77777777" w:rsidR="00000000" w:rsidRDefault="00405D16">
            <w:pPr>
              <w:spacing w:after="100"/>
              <w:rPr>
                <w:rFonts w:eastAsia="Times New Roman"/>
              </w:rPr>
            </w:pPr>
            <w:r>
              <w:rPr>
                <w:rFonts w:eastAsia="Times New Roman"/>
                <w:color w:val="000000"/>
                <w:sz w:val="18"/>
                <w:szCs w:val="18"/>
              </w:rPr>
              <w:t>Common equity excluding AOCI</w:t>
            </w:r>
          </w:p>
        </w:tc>
        <w:tc>
          <w:tcPr>
            <w:tcW w:w="0" w:type="auto"/>
            <w:gridSpan w:val="3"/>
            <w:shd w:val="clear" w:color="auto" w:fill="FFFFFF"/>
            <w:tcMar>
              <w:top w:w="0" w:type="dxa"/>
              <w:left w:w="20" w:type="dxa"/>
              <w:bottom w:w="0" w:type="dxa"/>
              <w:right w:w="20" w:type="dxa"/>
            </w:tcMar>
            <w:vAlign w:val="center"/>
            <w:hideMark/>
          </w:tcPr>
          <w:p w14:paraId="0D417BD8"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2438D2EE"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3300B68C" w14:textId="77777777" w:rsidR="00000000" w:rsidRDefault="00405D16">
            <w:pPr>
              <w:spacing w:after="100"/>
              <w:jc w:val="right"/>
              <w:rPr>
                <w:rFonts w:eastAsia="Times New Roman"/>
              </w:rPr>
            </w:pPr>
            <w:r>
              <w:rPr>
                <w:rFonts w:eastAsia="Times New Roman"/>
                <w:b/>
                <w:bCs/>
                <w:color w:val="000000"/>
                <w:sz w:val="18"/>
                <w:szCs w:val="18"/>
              </w:rPr>
              <w:t>58,705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D67FAA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0740FD"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6551AD5"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09F30698" w14:textId="77777777" w:rsidR="00000000" w:rsidRDefault="00405D16">
            <w:pPr>
              <w:spacing w:after="100"/>
              <w:jc w:val="right"/>
              <w:rPr>
                <w:rFonts w:eastAsia="Times New Roman"/>
              </w:rPr>
            </w:pPr>
            <w:r>
              <w:rPr>
                <w:rFonts w:eastAsia="Times New Roman"/>
                <w:color w:val="000000"/>
                <w:sz w:val="18"/>
                <w:szCs w:val="18"/>
              </w:rPr>
              <w:t>55,299 </w:t>
            </w:r>
          </w:p>
        </w:tc>
        <w:tc>
          <w:tcPr>
            <w:tcW w:w="0" w:type="auto"/>
            <w:shd w:val="clear" w:color="auto" w:fill="FFFFFF"/>
            <w:tcMar>
              <w:top w:w="30" w:type="dxa"/>
              <w:left w:w="0" w:type="dxa"/>
              <w:bottom w:w="30" w:type="dxa"/>
              <w:right w:w="20" w:type="dxa"/>
            </w:tcMar>
            <w:vAlign w:val="center"/>
            <w:hideMark/>
          </w:tcPr>
          <w:p w14:paraId="4B50A4F3" w14:textId="77777777" w:rsidR="00000000" w:rsidRDefault="00405D16">
            <w:pPr>
              <w:spacing w:after="100"/>
              <w:jc w:val="right"/>
              <w:rPr>
                <w:rFonts w:eastAsia="Times New Roman"/>
              </w:rPr>
            </w:pPr>
          </w:p>
        </w:tc>
      </w:tr>
      <w:tr w:rsidR="00000000" w14:paraId="242E0339" w14:textId="77777777">
        <w:trPr>
          <w:divId w:val="1349602452"/>
        </w:trPr>
        <w:tc>
          <w:tcPr>
            <w:tcW w:w="0" w:type="auto"/>
            <w:gridSpan w:val="3"/>
            <w:shd w:val="clear" w:color="auto" w:fill="CCEEFF"/>
            <w:tcMar>
              <w:top w:w="30" w:type="dxa"/>
              <w:left w:w="20" w:type="dxa"/>
              <w:bottom w:w="30" w:type="dxa"/>
              <w:right w:w="20" w:type="dxa"/>
            </w:tcMar>
            <w:vAlign w:val="bottom"/>
            <w:hideMark/>
          </w:tcPr>
          <w:p w14:paraId="51C1BC19" w14:textId="77777777" w:rsidR="00000000" w:rsidRDefault="00405D16">
            <w:pPr>
              <w:spacing w:after="100"/>
              <w:rPr>
                <w:rFonts w:eastAsia="Times New Roman"/>
              </w:rPr>
            </w:pPr>
            <w:r>
              <w:rPr>
                <w:rFonts w:eastAsia="Times New Roman"/>
                <w:color w:val="000000"/>
                <w:sz w:val="18"/>
                <w:szCs w:val="18"/>
              </w:rPr>
              <w:t>Adjustments:</w:t>
            </w:r>
          </w:p>
        </w:tc>
        <w:tc>
          <w:tcPr>
            <w:tcW w:w="0" w:type="auto"/>
            <w:gridSpan w:val="3"/>
            <w:shd w:val="clear" w:color="auto" w:fill="CCEEFF"/>
            <w:tcMar>
              <w:top w:w="0" w:type="dxa"/>
              <w:left w:w="20" w:type="dxa"/>
              <w:bottom w:w="0" w:type="dxa"/>
              <w:right w:w="20" w:type="dxa"/>
            </w:tcMar>
            <w:vAlign w:val="center"/>
            <w:hideMark/>
          </w:tcPr>
          <w:p w14:paraId="1059ED04"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E6757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34325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7CEA1D" w14:textId="77777777" w:rsidR="00000000" w:rsidRDefault="00405D16">
            <w:pPr>
              <w:spacing w:after="100"/>
              <w:rPr>
                <w:rFonts w:eastAsia="Times New Roman"/>
                <w:sz w:val="20"/>
                <w:szCs w:val="20"/>
              </w:rPr>
            </w:pPr>
          </w:p>
        </w:tc>
      </w:tr>
      <w:tr w:rsidR="00000000" w14:paraId="1455A5A4" w14:textId="77777777">
        <w:trPr>
          <w:divId w:val="1349602452"/>
        </w:trPr>
        <w:tc>
          <w:tcPr>
            <w:tcW w:w="0" w:type="auto"/>
            <w:gridSpan w:val="3"/>
            <w:shd w:val="clear" w:color="auto" w:fill="FFFFFF"/>
            <w:tcMar>
              <w:top w:w="30" w:type="dxa"/>
              <w:left w:w="20" w:type="dxa"/>
              <w:bottom w:w="30" w:type="dxa"/>
              <w:right w:w="20" w:type="dxa"/>
            </w:tcMar>
            <w:vAlign w:val="bottom"/>
            <w:hideMark/>
          </w:tcPr>
          <w:p w14:paraId="143E6D63" w14:textId="77777777" w:rsidR="00000000" w:rsidRDefault="00405D16">
            <w:pPr>
              <w:spacing w:after="100"/>
              <w:divId w:val="1197083820"/>
              <w:rPr>
                <w:rFonts w:eastAsia="Times New Roman"/>
              </w:rPr>
            </w:pPr>
            <w:r>
              <w:rPr>
                <w:rFonts w:eastAsia="Times New Roman"/>
                <w:color w:val="000000"/>
                <w:sz w:val="18"/>
                <w:szCs w:val="18"/>
              </w:rPr>
              <w:t>AOCI, net of ta</w:t>
            </w:r>
            <w:r>
              <w:rPr>
                <w:rFonts w:eastAsia="Times New Roman"/>
                <w:color w:val="000000"/>
                <w:sz w:val="18"/>
                <w:szCs w:val="18"/>
              </w:rPr>
              <w:t>x</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39F733F9"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B91BC76" w14:textId="77777777" w:rsidR="00000000" w:rsidRDefault="00405D16">
            <w:pPr>
              <w:spacing w:after="100"/>
              <w:jc w:val="right"/>
              <w:rPr>
                <w:rFonts w:eastAsia="Times New Roman"/>
              </w:rPr>
            </w:pPr>
            <w:r>
              <w:rPr>
                <w:rFonts w:eastAsia="Times New Roman"/>
                <w:b/>
                <w:bCs/>
                <w:color w:val="000000"/>
                <w:sz w:val="18"/>
                <w:szCs w:val="18"/>
              </w:rPr>
              <w:t>(33)</w:t>
            </w:r>
          </w:p>
        </w:tc>
        <w:tc>
          <w:tcPr>
            <w:tcW w:w="0" w:type="auto"/>
            <w:shd w:val="clear" w:color="auto" w:fill="FFFFFF"/>
            <w:tcMar>
              <w:top w:w="30" w:type="dxa"/>
              <w:left w:w="0" w:type="dxa"/>
              <w:bottom w:w="30" w:type="dxa"/>
              <w:right w:w="20" w:type="dxa"/>
            </w:tcMar>
            <w:vAlign w:val="center"/>
            <w:hideMark/>
          </w:tcPr>
          <w:p w14:paraId="00F7CF0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CD7F4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F97C04D" w14:textId="77777777" w:rsidR="00000000" w:rsidRDefault="00405D16">
            <w:pPr>
              <w:spacing w:after="100"/>
              <w:jc w:val="right"/>
              <w:rPr>
                <w:rFonts w:eastAsia="Times New Roman"/>
              </w:rPr>
            </w:pPr>
            <w:r>
              <w:rPr>
                <w:rFonts w:eastAsia="Times New Roman"/>
                <w:color w:val="000000"/>
                <w:sz w:val="18"/>
                <w:szCs w:val="18"/>
              </w:rPr>
              <w:t>(29)</w:t>
            </w:r>
          </w:p>
        </w:tc>
        <w:tc>
          <w:tcPr>
            <w:tcW w:w="0" w:type="auto"/>
            <w:shd w:val="clear" w:color="auto" w:fill="FFFFFF"/>
            <w:tcMar>
              <w:top w:w="30" w:type="dxa"/>
              <w:left w:w="0" w:type="dxa"/>
              <w:bottom w:w="30" w:type="dxa"/>
              <w:right w:w="20" w:type="dxa"/>
            </w:tcMar>
            <w:vAlign w:val="center"/>
            <w:hideMark/>
          </w:tcPr>
          <w:p w14:paraId="4BB90730" w14:textId="77777777" w:rsidR="00000000" w:rsidRDefault="00405D16">
            <w:pPr>
              <w:spacing w:after="100"/>
              <w:jc w:val="right"/>
              <w:rPr>
                <w:rFonts w:eastAsia="Times New Roman"/>
              </w:rPr>
            </w:pPr>
          </w:p>
        </w:tc>
      </w:tr>
      <w:tr w:rsidR="00000000" w14:paraId="48BD33A2" w14:textId="77777777">
        <w:trPr>
          <w:divId w:val="1349602452"/>
        </w:trPr>
        <w:tc>
          <w:tcPr>
            <w:tcW w:w="0" w:type="auto"/>
            <w:gridSpan w:val="3"/>
            <w:shd w:val="clear" w:color="auto" w:fill="CCEEFF"/>
            <w:tcMar>
              <w:top w:w="30" w:type="dxa"/>
              <w:left w:w="245" w:type="dxa"/>
              <w:bottom w:w="30" w:type="dxa"/>
              <w:right w:w="20" w:type="dxa"/>
            </w:tcMar>
            <w:vAlign w:val="bottom"/>
            <w:hideMark/>
          </w:tcPr>
          <w:p w14:paraId="34C038F4" w14:textId="77777777" w:rsidR="00000000" w:rsidRDefault="00405D16">
            <w:pPr>
              <w:spacing w:after="100"/>
              <w:rPr>
                <w:rFonts w:eastAsia="Times New Roman"/>
              </w:rPr>
            </w:pPr>
            <w:r>
              <w:rPr>
                <w:rFonts w:eastAsia="Times New Roman"/>
                <w:color w:val="000000"/>
                <w:sz w:val="18"/>
                <w:szCs w:val="18"/>
              </w:rPr>
              <w:t>Goodwill, net of related deferred tax liabilities</w:t>
            </w:r>
          </w:p>
        </w:tc>
        <w:tc>
          <w:tcPr>
            <w:tcW w:w="0" w:type="auto"/>
            <w:gridSpan w:val="3"/>
            <w:shd w:val="clear" w:color="auto" w:fill="CCEEFF"/>
            <w:tcMar>
              <w:top w:w="0" w:type="dxa"/>
              <w:left w:w="20" w:type="dxa"/>
              <w:bottom w:w="0" w:type="dxa"/>
              <w:right w:w="20" w:type="dxa"/>
            </w:tcMar>
            <w:vAlign w:val="center"/>
            <w:hideMark/>
          </w:tcPr>
          <w:p w14:paraId="4D55C135"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DE1DC8D" w14:textId="77777777" w:rsidR="00000000" w:rsidRDefault="00405D16">
            <w:pPr>
              <w:spacing w:after="100"/>
              <w:jc w:val="right"/>
              <w:rPr>
                <w:rFonts w:eastAsia="Times New Roman"/>
              </w:rPr>
            </w:pPr>
            <w:r>
              <w:rPr>
                <w:rFonts w:eastAsia="Times New Roman"/>
                <w:b/>
                <w:bCs/>
                <w:color w:val="000000"/>
                <w:sz w:val="18"/>
                <w:szCs w:val="18"/>
              </w:rPr>
              <w:t>(14,435)</w:t>
            </w:r>
          </w:p>
        </w:tc>
        <w:tc>
          <w:tcPr>
            <w:tcW w:w="0" w:type="auto"/>
            <w:shd w:val="clear" w:color="auto" w:fill="CCEEFF"/>
            <w:tcMar>
              <w:top w:w="30" w:type="dxa"/>
              <w:left w:w="0" w:type="dxa"/>
              <w:bottom w:w="30" w:type="dxa"/>
              <w:right w:w="20" w:type="dxa"/>
            </w:tcMar>
            <w:vAlign w:val="center"/>
            <w:hideMark/>
          </w:tcPr>
          <w:p w14:paraId="0CD7064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19CC8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8C944D7" w14:textId="77777777" w:rsidR="00000000" w:rsidRDefault="00405D16">
            <w:pPr>
              <w:spacing w:after="100"/>
              <w:jc w:val="right"/>
              <w:rPr>
                <w:rFonts w:eastAsia="Times New Roman"/>
              </w:rPr>
            </w:pPr>
            <w:r>
              <w:rPr>
                <w:rFonts w:eastAsia="Times New Roman"/>
                <w:color w:val="000000"/>
                <w:sz w:val="18"/>
                <w:szCs w:val="18"/>
              </w:rPr>
              <w:t>(14,448)</w:t>
            </w:r>
          </w:p>
        </w:tc>
        <w:tc>
          <w:tcPr>
            <w:tcW w:w="0" w:type="auto"/>
            <w:shd w:val="clear" w:color="auto" w:fill="CCEEFF"/>
            <w:tcMar>
              <w:top w:w="30" w:type="dxa"/>
              <w:left w:w="0" w:type="dxa"/>
              <w:bottom w:w="30" w:type="dxa"/>
              <w:right w:w="20" w:type="dxa"/>
            </w:tcMar>
            <w:vAlign w:val="center"/>
            <w:hideMark/>
          </w:tcPr>
          <w:p w14:paraId="0C62E378" w14:textId="77777777" w:rsidR="00000000" w:rsidRDefault="00405D16">
            <w:pPr>
              <w:spacing w:after="100"/>
              <w:jc w:val="right"/>
              <w:rPr>
                <w:rFonts w:eastAsia="Times New Roman"/>
              </w:rPr>
            </w:pPr>
          </w:p>
        </w:tc>
      </w:tr>
      <w:tr w:rsidR="00000000" w14:paraId="690F5F26" w14:textId="77777777">
        <w:trPr>
          <w:divId w:val="1349602452"/>
        </w:trPr>
        <w:tc>
          <w:tcPr>
            <w:tcW w:w="0" w:type="auto"/>
            <w:gridSpan w:val="3"/>
            <w:shd w:val="clear" w:color="auto" w:fill="FFFFFF"/>
            <w:tcMar>
              <w:top w:w="30" w:type="dxa"/>
              <w:left w:w="245" w:type="dxa"/>
              <w:bottom w:w="30" w:type="dxa"/>
              <w:right w:w="20" w:type="dxa"/>
            </w:tcMar>
            <w:vAlign w:val="bottom"/>
            <w:hideMark/>
          </w:tcPr>
          <w:p w14:paraId="1D729ACE" w14:textId="77777777" w:rsidR="00000000" w:rsidRDefault="00405D16">
            <w:pPr>
              <w:spacing w:after="100"/>
              <w:rPr>
                <w:rFonts w:eastAsia="Times New Roman"/>
              </w:rPr>
            </w:pPr>
            <w:r>
              <w:rPr>
                <w:rFonts w:eastAsia="Times New Roman"/>
                <w:color w:val="000000"/>
                <w:sz w:val="18"/>
                <w:szCs w:val="18"/>
              </w:rPr>
              <w:t>Intangible assets, net of related deferred tax liabilities</w:t>
            </w:r>
          </w:p>
        </w:tc>
        <w:tc>
          <w:tcPr>
            <w:tcW w:w="0" w:type="auto"/>
            <w:gridSpan w:val="3"/>
            <w:shd w:val="clear" w:color="auto" w:fill="FFFFFF"/>
            <w:tcMar>
              <w:top w:w="0" w:type="dxa"/>
              <w:left w:w="20" w:type="dxa"/>
              <w:bottom w:w="0" w:type="dxa"/>
              <w:right w:w="20" w:type="dxa"/>
            </w:tcMar>
            <w:vAlign w:val="center"/>
            <w:hideMark/>
          </w:tcPr>
          <w:p w14:paraId="50A99937"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567BEA8" w14:textId="77777777" w:rsidR="00000000" w:rsidRDefault="00405D16">
            <w:pPr>
              <w:spacing w:after="100"/>
              <w:jc w:val="right"/>
              <w:rPr>
                <w:rFonts w:eastAsia="Times New Roman"/>
              </w:rPr>
            </w:pPr>
            <w:r>
              <w:rPr>
                <w:rFonts w:eastAsia="Times New Roman"/>
                <w:b/>
                <w:bCs/>
                <w:color w:val="000000"/>
                <w:sz w:val="18"/>
                <w:szCs w:val="18"/>
              </w:rPr>
              <w:t>(84)</w:t>
            </w:r>
          </w:p>
        </w:tc>
        <w:tc>
          <w:tcPr>
            <w:tcW w:w="0" w:type="auto"/>
            <w:shd w:val="clear" w:color="auto" w:fill="FFFFFF"/>
            <w:tcMar>
              <w:top w:w="30" w:type="dxa"/>
              <w:left w:w="0" w:type="dxa"/>
              <w:bottom w:w="30" w:type="dxa"/>
              <w:right w:w="20" w:type="dxa"/>
            </w:tcMar>
            <w:vAlign w:val="center"/>
            <w:hideMark/>
          </w:tcPr>
          <w:p w14:paraId="4809E72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F6B9B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A403BF6" w14:textId="77777777" w:rsidR="00000000" w:rsidRDefault="00405D16">
            <w:pPr>
              <w:spacing w:after="100"/>
              <w:jc w:val="right"/>
              <w:rPr>
                <w:rFonts w:eastAsia="Times New Roman"/>
              </w:rPr>
            </w:pPr>
            <w:r>
              <w:rPr>
                <w:rFonts w:eastAsia="Times New Roman"/>
                <w:color w:val="000000"/>
                <w:sz w:val="18"/>
                <w:szCs w:val="18"/>
              </w:rPr>
              <w:t>(86)</w:t>
            </w:r>
          </w:p>
        </w:tc>
        <w:tc>
          <w:tcPr>
            <w:tcW w:w="0" w:type="auto"/>
            <w:shd w:val="clear" w:color="auto" w:fill="FFFFFF"/>
            <w:tcMar>
              <w:top w:w="30" w:type="dxa"/>
              <w:left w:w="0" w:type="dxa"/>
              <w:bottom w:w="30" w:type="dxa"/>
              <w:right w:w="20" w:type="dxa"/>
            </w:tcMar>
            <w:vAlign w:val="center"/>
            <w:hideMark/>
          </w:tcPr>
          <w:p w14:paraId="2D491DF7" w14:textId="77777777" w:rsidR="00000000" w:rsidRDefault="00405D16">
            <w:pPr>
              <w:spacing w:after="100"/>
              <w:jc w:val="right"/>
              <w:rPr>
                <w:rFonts w:eastAsia="Times New Roman"/>
              </w:rPr>
            </w:pPr>
          </w:p>
        </w:tc>
      </w:tr>
      <w:tr w:rsidR="00000000" w14:paraId="70BB6FA0" w14:textId="77777777">
        <w:trPr>
          <w:divId w:val="1349602452"/>
        </w:trPr>
        <w:tc>
          <w:tcPr>
            <w:tcW w:w="0" w:type="auto"/>
            <w:gridSpan w:val="3"/>
            <w:shd w:val="clear" w:color="auto" w:fill="CCEEFF"/>
            <w:tcMar>
              <w:top w:w="30" w:type="dxa"/>
              <w:left w:w="20" w:type="dxa"/>
              <w:bottom w:w="30" w:type="dxa"/>
              <w:right w:w="20" w:type="dxa"/>
            </w:tcMar>
            <w:vAlign w:val="bottom"/>
            <w:hideMark/>
          </w:tcPr>
          <w:p w14:paraId="0DC22D84" w14:textId="77777777" w:rsidR="00000000" w:rsidRDefault="00405D16">
            <w:pPr>
              <w:spacing w:after="100"/>
              <w:divId w:val="799567471"/>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6D58EC54"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76F4862" w14:textId="77777777" w:rsidR="00000000" w:rsidRDefault="00405D16">
            <w:pPr>
              <w:spacing w:after="100"/>
              <w:jc w:val="right"/>
              <w:rPr>
                <w:rFonts w:eastAsia="Times New Roman"/>
              </w:rPr>
            </w:pPr>
            <w:r>
              <w:rPr>
                <w:rFonts w:eastAsia="Times New Roman"/>
                <w:b/>
                <w:bCs/>
                <w:color w:val="000000"/>
                <w:sz w:val="18"/>
                <w:szCs w:val="18"/>
              </w:rPr>
              <w:t>(15)</w:t>
            </w:r>
          </w:p>
        </w:tc>
        <w:tc>
          <w:tcPr>
            <w:tcW w:w="0" w:type="auto"/>
            <w:shd w:val="clear" w:color="auto" w:fill="CCEEFF"/>
            <w:tcMar>
              <w:top w:w="30" w:type="dxa"/>
              <w:left w:w="0" w:type="dxa"/>
              <w:bottom w:w="30" w:type="dxa"/>
              <w:right w:w="20" w:type="dxa"/>
            </w:tcMar>
            <w:vAlign w:val="center"/>
            <w:hideMark/>
          </w:tcPr>
          <w:p w14:paraId="5338807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A4224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8C4C71A" w14:textId="77777777" w:rsidR="00000000" w:rsidRDefault="00405D16">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0171632" w14:textId="77777777" w:rsidR="00000000" w:rsidRDefault="00405D16">
            <w:pPr>
              <w:spacing w:after="100"/>
              <w:jc w:val="right"/>
              <w:rPr>
                <w:rFonts w:eastAsia="Times New Roman"/>
              </w:rPr>
            </w:pPr>
          </w:p>
        </w:tc>
      </w:tr>
      <w:tr w:rsidR="00000000" w14:paraId="75E0B1E8" w14:textId="77777777">
        <w:trPr>
          <w:divId w:val="1349602452"/>
        </w:trPr>
        <w:tc>
          <w:tcPr>
            <w:tcW w:w="0" w:type="auto"/>
            <w:gridSpan w:val="3"/>
            <w:shd w:val="clear" w:color="auto" w:fill="FFFFFF"/>
            <w:tcMar>
              <w:top w:w="30" w:type="dxa"/>
              <w:left w:w="20" w:type="dxa"/>
              <w:bottom w:w="30" w:type="dxa"/>
              <w:right w:w="20" w:type="dxa"/>
            </w:tcMar>
            <w:vAlign w:val="bottom"/>
            <w:hideMark/>
          </w:tcPr>
          <w:p w14:paraId="61B649CE" w14:textId="77777777" w:rsidR="00000000" w:rsidRDefault="00405D16">
            <w:pPr>
              <w:spacing w:after="100"/>
              <w:rPr>
                <w:rFonts w:eastAsia="Times New Roman"/>
              </w:rPr>
            </w:pPr>
            <w:r>
              <w:rPr>
                <w:rFonts w:eastAsia="Times New Roman"/>
                <w:color w:val="000000"/>
                <w:sz w:val="18"/>
                <w:szCs w:val="18"/>
              </w:rPr>
              <w:t>Common equity Tier 1 capital</w:t>
            </w:r>
          </w:p>
        </w:tc>
        <w:tc>
          <w:tcPr>
            <w:tcW w:w="0" w:type="auto"/>
            <w:gridSpan w:val="3"/>
            <w:shd w:val="clear" w:color="auto" w:fill="FFFFFF"/>
            <w:tcMar>
              <w:top w:w="0" w:type="dxa"/>
              <w:left w:w="20" w:type="dxa"/>
              <w:bottom w:w="0" w:type="dxa"/>
              <w:right w:w="20" w:type="dxa"/>
            </w:tcMar>
            <w:vAlign w:val="center"/>
            <w:hideMark/>
          </w:tcPr>
          <w:p w14:paraId="293A4744"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BCCD6F7" w14:textId="77777777" w:rsidR="00000000" w:rsidRDefault="00405D16">
            <w:pPr>
              <w:spacing w:after="100"/>
              <w:jc w:val="right"/>
              <w:rPr>
                <w:rFonts w:eastAsia="Times New Roman"/>
              </w:rPr>
            </w:pPr>
            <w:r>
              <w:rPr>
                <w:rFonts w:eastAsia="Times New Roman"/>
                <w:b/>
                <w:bCs/>
                <w:color w:val="000000"/>
                <w:sz w:val="18"/>
                <w:szCs w:val="18"/>
              </w:rPr>
              <w:t>44,138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C5FA4B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3EB1EF"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C3CF32B" w14:textId="77777777" w:rsidR="00000000" w:rsidRDefault="00405D16">
            <w:pPr>
              <w:spacing w:after="100"/>
              <w:jc w:val="right"/>
              <w:rPr>
                <w:rFonts w:eastAsia="Times New Roman"/>
              </w:rPr>
            </w:pPr>
            <w:r>
              <w:rPr>
                <w:rFonts w:eastAsia="Times New Roman"/>
                <w:color w:val="000000"/>
                <w:sz w:val="18"/>
                <w:szCs w:val="18"/>
              </w:rPr>
              <w:t>40,736 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9498E30" w14:textId="77777777" w:rsidR="00000000" w:rsidRDefault="00405D16">
            <w:pPr>
              <w:spacing w:after="100"/>
              <w:jc w:val="right"/>
              <w:rPr>
                <w:rFonts w:eastAsia="Times New Roman"/>
              </w:rPr>
            </w:pPr>
          </w:p>
        </w:tc>
      </w:tr>
      <w:tr w:rsidR="00000000" w14:paraId="63A26131" w14:textId="77777777">
        <w:trPr>
          <w:divId w:val="1349602452"/>
        </w:trPr>
        <w:tc>
          <w:tcPr>
            <w:tcW w:w="0" w:type="auto"/>
            <w:gridSpan w:val="3"/>
            <w:shd w:val="clear" w:color="auto" w:fill="CCEEFF"/>
            <w:tcMar>
              <w:top w:w="30" w:type="dxa"/>
              <w:left w:w="20" w:type="dxa"/>
              <w:bottom w:w="30" w:type="dxa"/>
              <w:right w:w="20" w:type="dxa"/>
            </w:tcMar>
            <w:vAlign w:val="bottom"/>
            <w:hideMark/>
          </w:tcPr>
          <w:p w14:paraId="481615C1" w14:textId="77777777" w:rsidR="00000000" w:rsidRDefault="00405D16">
            <w:pPr>
              <w:spacing w:after="100"/>
              <w:rPr>
                <w:rFonts w:eastAsia="Times New Roman"/>
              </w:rPr>
            </w:pPr>
            <w:r>
              <w:rPr>
                <w:rFonts w:eastAsia="Times New Roman"/>
                <w:color w:val="000000"/>
                <w:sz w:val="18"/>
                <w:szCs w:val="18"/>
              </w:rPr>
              <w:t>Tier 1 capital instruments</w:t>
            </w:r>
          </w:p>
        </w:tc>
        <w:tc>
          <w:tcPr>
            <w:tcW w:w="0" w:type="auto"/>
            <w:gridSpan w:val="3"/>
            <w:shd w:val="clear" w:color="auto" w:fill="CCEEFF"/>
            <w:tcMar>
              <w:top w:w="0" w:type="dxa"/>
              <w:left w:w="20" w:type="dxa"/>
              <w:bottom w:w="0" w:type="dxa"/>
              <w:right w:w="20" w:type="dxa"/>
            </w:tcMar>
            <w:vAlign w:val="center"/>
            <w:hideMark/>
          </w:tcPr>
          <w:p w14:paraId="124D6C5A"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F426700" w14:textId="77777777" w:rsidR="00000000" w:rsidRDefault="00405D16">
            <w:pPr>
              <w:spacing w:after="100"/>
              <w:jc w:val="right"/>
              <w:rPr>
                <w:rFonts w:eastAsia="Times New Roman"/>
              </w:rPr>
            </w:pPr>
            <w:r>
              <w:rPr>
                <w:rFonts w:eastAsia="Times New Roman"/>
                <w:b/>
                <w:bCs/>
                <w:color w:val="000000"/>
                <w:sz w:val="18"/>
                <w:szCs w:val="18"/>
              </w:rPr>
              <w:t>5,911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1764E9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B16CF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BAE1A78" w14:textId="77777777" w:rsidR="00000000" w:rsidRDefault="00405D16">
            <w:pPr>
              <w:spacing w:after="100"/>
              <w:jc w:val="right"/>
              <w:rPr>
                <w:rFonts w:eastAsia="Times New Roman"/>
              </w:rPr>
            </w:pPr>
            <w:r>
              <w:rPr>
                <w:rFonts w:eastAsia="Times New Roman"/>
                <w:color w:val="000000"/>
                <w:sz w:val="18"/>
                <w:szCs w:val="18"/>
              </w:rPr>
              <w:t>4,847 </w:t>
            </w:r>
          </w:p>
        </w:tc>
        <w:tc>
          <w:tcPr>
            <w:tcW w:w="0" w:type="auto"/>
            <w:shd w:val="clear" w:color="auto" w:fill="CCEEFF"/>
            <w:tcMar>
              <w:top w:w="30" w:type="dxa"/>
              <w:left w:w="0" w:type="dxa"/>
              <w:bottom w:w="30" w:type="dxa"/>
              <w:right w:w="20" w:type="dxa"/>
            </w:tcMar>
            <w:vAlign w:val="center"/>
            <w:hideMark/>
          </w:tcPr>
          <w:p w14:paraId="713A4628" w14:textId="77777777" w:rsidR="00000000" w:rsidRDefault="00405D16">
            <w:pPr>
              <w:spacing w:after="100"/>
              <w:jc w:val="right"/>
              <w:rPr>
                <w:rFonts w:eastAsia="Times New Roman"/>
              </w:rPr>
            </w:pPr>
          </w:p>
        </w:tc>
      </w:tr>
      <w:tr w:rsidR="00000000" w14:paraId="58E57BC4" w14:textId="77777777">
        <w:trPr>
          <w:divId w:val="1349602452"/>
        </w:trPr>
        <w:tc>
          <w:tcPr>
            <w:tcW w:w="0" w:type="auto"/>
            <w:gridSpan w:val="3"/>
            <w:vAlign w:val="center"/>
            <w:hideMark/>
          </w:tcPr>
          <w:p w14:paraId="67778DF5" w14:textId="77777777" w:rsidR="00000000" w:rsidRDefault="00405D16">
            <w:pPr>
              <w:spacing w:after="100"/>
              <w:jc w:val="right"/>
              <w:rPr>
                <w:rFonts w:eastAsia="Times New Roman"/>
                <w:sz w:val="20"/>
                <w:szCs w:val="20"/>
              </w:rPr>
            </w:pPr>
          </w:p>
        </w:tc>
        <w:tc>
          <w:tcPr>
            <w:tcW w:w="0" w:type="auto"/>
            <w:gridSpan w:val="3"/>
            <w:vAlign w:val="center"/>
            <w:hideMark/>
          </w:tcPr>
          <w:p w14:paraId="708DE530" w14:textId="77777777" w:rsidR="00000000" w:rsidRDefault="00405D16">
            <w:pPr>
              <w:spacing w:after="100"/>
              <w:rPr>
                <w:rFonts w:eastAsia="Times New Roman"/>
                <w:sz w:val="20"/>
                <w:szCs w:val="20"/>
              </w:rPr>
            </w:pPr>
          </w:p>
        </w:tc>
        <w:tc>
          <w:tcPr>
            <w:tcW w:w="0" w:type="auto"/>
            <w:gridSpan w:val="3"/>
            <w:vAlign w:val="center"/>
            <w:hideMark/>
          </w:tcPr>
          <w:p w14:paraId="0E9E65F1" w14:textId="77777777" w:rsidR="00000000" w:rsidRDefault="00405D16">
            <w:pPr>
              <w:spacing w:after="100"/>
              <w:rPr>
                <w:rFonts w:eastAsia="Times New Roman"/>
                <w:sz w:val="20"/>
                <w:szCs w:val="20"/>
              </w:rPr>
            </w:pPr>
          </w:p>
        </w:tc>
        <w:tc>
          <w:tcPr>
            <w:tcW w:w="0" w:type="auto"/>
            <w:gridSpan w:val="3"/>
            <w:vAlign w:val="center"/>
            <w:hideMark/>
          </w:tcPr>
          <w:p w14:paraId="6DB979A2" w14:textId="77777777" w:rsidR="00000000" w:rsidRDefault="00405D16">
            <w:pPr>
              <w:spacing w:after="100"/>
              <w:rPr>
                <w:rFonts w:eastAsia="Times New Roman"/>
                <w:sz w:val="20"/>
                <w:szCs w:val="20"/>
              </w:rPr>
            </w:pPr>
          </w:p>
        </w:tc>
        <w:tc>
          <w:tcPr>
            <w:tcW w:w="0" w:type="auto"/>
            <w:gridSpan w:val="3"/>
            <w:vAlign w:val="center"/>
            <w:hideMark/>
          </w:tcPr>
          <w:p w14:paraId="7F7C26B2" w14:textId="77777777" w:rsidR="00000000" w:rsidRDefault="00405D16">
            <w:pPr>
              <w:spacing w:after="100"/>
              <w:rPr>
                <w:rFonts w:eastAsia="Times New Roman"/>
                <w:sz w:val="20"/>
                <w:szCs w:val="20"/>
              </w:rPr>
            </w:pPr>
          </w:p>
        </w:tc>
      </w:tr>
      <w:tr w:rsidR="00000000" w14:paraId="7DB3BC3D" w14:textId="77777777">
        <w:trPr>
          <w:divId w:val="1349602452"/>
        </w:trPr>
        <w:tc>
          <w:tcPr>
            <w:tcW w:w="0" w:type="auto"/>
            <w:gridSpan w:val="3"/>
            <w:shd w:val="clear" w:color="auto" w:fill="FFFFFF"/>
            <w:tcMar>
              <w:top w:w="30" w:type="dxa"/>
              <w:left w:w="20" w:type="dxa"/>
              <w:bottom w:w="30" w:type="dxa"/>
              <w:right w:w="20" w:type="dxa"/>
            </w:tcMar>
            <w:vAlign w:val="bottom"/>
            <w:hideMark/>
          </w:tcPr>
          <w:p w14:paraId="76C9E6D7" w14:textId="77777777" w:rsidR="00000000" w:rsidRDefault="00405D16">
            <w:pPr>
              <w:spacing w:after="100"/>
              <w:rPr>
                <w:rFonts w:eastAsia="Times New Roman"/>
              </w:rPr>
            </w:pPr>
            <w:r>
              <w:rPr>
                <w:rFonts w:eastAsia="Times New Roman"/>
                <w:color w:val="000000"/>
                <w:sz w:val="18"/>
                <w:szCs w:val="18"/>
              </w:rPr>
              <w:t>Tier 1 capital</w:t>
            </w:r>
          </w:p>
        </w:tc>
        <w:tc>
          <w:tcPr>
            <w:tcW w:w="0" w:type="auto"/>
            <w:gridSpan w:val="3"/>
            <w:shd w:val="clear" w:color="auto" w:fill="FFFFFF"/>
            <w:tcMar>
              <w:top w:w="0" w:type="dxa"/>
              <w:left w:w="20" w:type="dxa"/>
              <w:bottom w:w="0" w:type="dxa"/>
              <w:right w:w="20" w:type="dxa"/>
            </w:tcMar>
            <w:vAlign w:val="center"/>
            <w:hideMark/>
          </w:tcPr>
          <w:p w14:paraId="3AA9C1BD"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D7A3E6A" w14:textId="77777777" w:rsidR="00000000" w:rsidRDefault="00405D16">
            <w:pPr>
              <w:spacing w:after="100"/>
              <w:jc w:val="right"/>
              <w:rPr>
                <w:rFonts w:eastAsia="Times New Roman"/>
              </w:rPr>
            </w:pPr>
            <w:r>
              <w:rPr>
                <w:rFonts w:eastAsia="Times New Roman"/>
                <w:b/>
                <w:bCs/>
                <w:color w:val="000000"/>
                <w:sz w:val="18"/>
                <w:szCs w:val="18"/>
              </w:rPr>
              <w:t>50,049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5B9184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E68A8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F5E4D2B" w14:textId="77777777" w:rsidR="00000000" w:rsidRDefault="00405D16">
            <w:pPr>
              <w:spacing w:after="100"/>
              <w:jc w:val="right"/>
              <w:rPr>
                <w:rFonts w:eastAsia="Times New Roman"/>
              </w:rPr>
            </w:pPr>
            <w:r>
              <w:rPr>
                <w:rFonts w:eastAsia="Times New Roman"/>
                <w:color w:val="000000"/>
                <w:sz w:val="18"/>
                <w:szCs w:val="18"/>
              </w:rPr>
              <w:t>45,583 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FC32D74" w14:textId="77777777" w:rsidR="00000000" w:rsidRDefault="00405D16">
            <w:pPr>
              <w:spacing w:after="100"/>
              <w:jc w:val="right"/>
              <w:rPr>
                <w:rFonts w:eastAsia="Times New Roman"/>
              </w:rPr>
            </w:pPr>
          </w:p>
        </w:tc>
      </w:tr>
      <w:tr w:rsidR="00000000" w14:paraId="1EA34C54" w14:textId="77777777">
        <w:trPr>
          <w:divId w:val="1349602452"/>
        </w:trPr>
        <w:tc>
          <w:tcPr>
            <w:tcW w:w="0" w:type="auto"/>
            <w:gridSpan w:val="3"/>
            <w:shd w:val="clear" w:color="auto" w:fill="CCEEFF"/>
            <w:tcMar>
              <w:top w:w="30" w:type="dxa"/>
              <w:left w:w="20" w:type="dxa"/>
              <w:bottom w:w="30" w:type="dxa"/>
              <w:right w:w="20" w:type="dxa"/>
            </w:tcMar>
            <w:vAlign w:val="bottom"/>
            <w:hideMark/>
          </w:tcPr>
          <w:p w14:paraId="73496F29" w14:textId="77777777" w:rsidR="00000000" w:rsidRDefault="00405D16">
            <w:pPr>
              <w:spacing w:after="100"/>
              <w:rPr>
                <w:rFonts w:eastAsia="Times New Roman"/>
              </w:rPr>
            </w:pPr>
            <w:r>
              <w:rPr>
                <w:rFonts w:eastAsia="Times New Roman"/>
                <w:color w:val="000000"/>
                <w:sz w:val="18"/>
                <w:szCs w:val="18"/>
              </w:rPr>
              <w:t>Tier 2 capital instruments</w:t>
            </w:r>
          </w:p>
        </w:tc>
        <w:tc>
          <w:tcPr>
            <w:tcW w:w="0" w:type="auto"/>
            <w:gridSpan w:val="3"/>
            <w:shd w:val="clear" w:color="auto" w:fill="CCEEFF"/>
            <w:tcMar>
              <w:top w:w="0" w:type="dxa"/>
              <w:left w:w="20" w:type="dxa"/>
              <w:bottom w:w="0" w:type="dxa"/>
              <w:right w:w="20" w:type="dxa"/>
            </w:tcMar>
            <w:vAlign w:val="center"/>
            <w:hideMark/>
          </w:tcPr>
          <w:p w14:paraId="633A7399"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471B096" w14:textId="77777777" w:rsidR="00000000" w:rsidRDefault="00405D16">
            <w:pPr>
              <w:spacing w:after="100"/>
              <w:jc w:val="right"/>
              <w:rPr>
                <w:rFonts w:eastAsia="Times New Roman"/>
              </w:rPr>
            </w:pPr>
            <w:r>
              <w:rPr>
                <w:rFonts w:eastAsia="Times New Roman"/>
                <w:b/>
                <w:bCs/>
                <w:color w:val="000000"/>
                <w:sz w:val="18"/>
                <w:szCs w:val="18"/>
              </w:rPr>
              <w:t>3,762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8905BE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23B9D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69C402D" w14:textId="77777777" w:rsidR="00000000" w:rsidRDefault="00405D16">
            <w:pPr>
              <w:spacing w:after="100"/>
              <w:jc w:val="right"/>
              <w:rPr>
                <w:rFonts w:eastAsia="Times New Roman"/>
              </w:rPr>
            </w:pPr>
            <w:r>
              <w:rPr>
                <w:rFonts w:eastAsia="Times New Roman"/>
                <w:color w:val="000000"/>
                <w:sz w:val="18"/>
                <w:szCs w:val="18"/>
              </w:rPr>
              <w:t>3,385 </w:t>
            </w:r>
          </w:p>
        </w:tc>
        <w:tc>
          <w:tcPr>
            <w:tcW w:w="0" w:type="auto"/>
            <w:shd w:val="clear" w:color="auto" w:fill="CCEEFF"/>
            <w:tcMar>
              <w:top w:w="30" w:type="dxa"/>
              <w:left w:w="0" w:type="dxa"/>
              <w:bottom w:w="30" w:type="dxa"/>
              <w:right w:w="20" w:type="dxa"/>
            </w:tcMar>
            <w:vAlign w:val="center"/>
            <w:hideMark/>
          </w:tcPr>
          <w:p w14:paraId="3356A922" w14:textId="77777777" w:rsidR="00000000" w:rsidRDefault="00405D16">
            <w:pPr>
              <w:spacing w:after="100"/>
              <w:jc w:val="right"/>
              <w:rPr>
                <w:rFonts w:eastAsia="Times New Roman"/>
              </w:rPr>
            </w:pPr>
          </w:p>
        </w:tc>
      </w:tr>
      <w:tr w:rsidR="00000000" w14:paraId="76C0C98E" w14:textId="77777777">
        <w:trPr>
          <w:divId w:val="1349602452"/>
        </w:trPr>
        <w:tc>
          <w:tcPr>
            <w:tcW w:w="0" w:type="auto"/>
            <w:gridSpan w:val="3"/>
            <w:shd w:val="clear" w:color="auto" w:fill="FFFFFF"/>
            <w:tcMar>
              <w:top w:w="30" w:type="dxa"/>
              <w:left w:w="20" w:type="dxa"/>
              <w:bottom w:w="30" w:type="dxa"/>
              <w:right w:w="20" w:type="dxa"/>
            </w:tcMar>
            <w:vAlign w:val="bottom"/>
            <w:hideMark/>
          </w:tcPr>
          <w:p w14:paraId="79B3F739" w14:textId="77777777" w:rsidR="00000000" w:rsidRDefault="00405D16">
            <w:pPr>
              <w:spacing w:after="100"/>
              <w:rPr>
                <w:rFonts w:eastAsia="Times New Roman"/>
              </w:rPr>
            </w:pPr>
            <w:r>
              <w:rPr>
                <w:rFonts w:eastAsia="Times New Roman"/>
                <w:color w:val="000000"/>
                <w:sz w:val="18"/>
                <w:szCs w:val="18"/>
              </w:rPr>
              <w:t>Qualifying allowance for credit losses</w:t>
            </w:r>
          </w:p>
        </w:tc>
        <w:tc>
          <w:tcPr>
            <w:tcW w:w="0" w:type="auto"/>
            <w:gridSpan w:val="3"/>
            <w:shd w:val="clear" w:color="auto" w:fill="FFFFFF"/>
            <w:tcMar>
              <w:top w:w="0" w:type="dxa"/>
              <w:left w:w="20" w:type="dxa"/>
              <w:bottom w:w="0" w:type="dxa"/>
              <w:right w:w="20" w:type="dxa"/>
            </w:tcMar>
            <w:vAlign w:val="center"/>
            <w:hideMark/>
          </w:tcPr>
          <w:p w14:paraId="08203534"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6A5CA28" w14:textId="77777777" w:rsidR="00000000" w:rsidRDefault="00405D16">
            <w:pPr>
              <w:spacing w:after="100"/>
              <w:jc w:val="right"/>
              <w:rPr>
                <w:rFonts w:eastAsia="Times New Roman"/>
              </w:rPr>
            </w:pPr>
            <w:r>
              <w:rPr>
                <w:rFonts w:eastAsia="Times New Roman"/>
                <w:b/>
                <w:bCs/>
                <w:color w:val="000000"/>
                <w:sz w:val="18"/>
                <w:szCs w:val="18"/>
              </w:rPr>
              <w:t>4,040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149383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FDC3E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25285A3" w14:textId="77777777" w:rsidR="00000000" w:rsidRDefault="00405D16">
            <w:pPr>
              <w:spacing w:after="100"/>
              <w:jc w:val="right"/>
              <w:rPr>
                <w:rFonts w:eastAsia="Times New Roman"/>
              </w:rPr>
            </w:pPr>
            <w:r>
              <w:rPr>
                <w:rFonts w:eastAsia="Times New Roman"/>
                <w:color w:val="000000"/>
                <w:sz w:val="18"/>
                <w:szCs w:val="18"/>
              </w:rPr>
              <w:t>3,820 </w:t>
            </w:r>
          </w:p>
        </w:tc>
        <w:tc>
          <w:tcPr>
            <w:tcW w:w="0" w:type="auto"/>
            <w:shd w:val="clear" w:color="auto" w:fill="FFFFFF"/>
            <w:tcMar>
              <w:top w:w="30" w:type="dxa"/>
              <w:left w:w="0" w:type="dxa"/>
              <w:bottom w:w="30" w:type="dxa"/>
              <w:right w:w="20" w:type="dxa"/>
            </w:tcMar>
            <w:vAlign w:val="center"/>
            <w:hideMark/>
          </w:tcPr>
          <w:p w14:paraId="32DD8194" w14:textId="77777777" w:rsidR="00000000" w:rsidRDefault="00405D16">
            <w:pPr>
              <w:spacing w:after="100"/>
              <w:jc w:val="right"/>
              <w:rPr>
                <w:rFonts w:eastAsia="Times New Roman"/>
              </w:rPr>
            </w:pPr>
          </w:p>
        </w:tc>
      </w:tr>
      <w:tr w:rsidR="00000000" w14:paraId="45ECA448" w14:textId="77777777">
        <w:trPr>
          <w:divId w:val="1349602452"/>
        </w:trPr>
        <w:tc>
          <w:tcPr>
            <w:tcW w:w="0" w:type="auto"/>
            <w:gridSpan w:val="3"/>
            <w:shd w:val="clear" w:color="auto" w:fill="CCEEFF"/>
            <w:tcMar>
              <w:top w:w="30" w:type="dxa"/>
              <w:left w:w="20" w:type="dxa"/>
              <w:bottom w:w="30" w:type="dxa"/>
              <w:right w:w="20" w:type="dxa"/>
            </w:tcMar>
            <w:vAlign w:val="bottom"/>
            <w:hideMark/>
          </w:tcPr>
          <w:p w14:paraId="5D0145AB" w14:textId="77777777" w:rsidR="00000000" w:rsidRDefault="00405D16">
            <w:pPr>
              <w:spacing w:after="100"/>
              <w:rPr>
                <w:rFonts w:eastAsia="Times New Roman"/>
              </w:rPr>
            </w:pPr>
            <w:r>
              <w:rPr>
                <w:rFonts w:eastAsia="Times New Roman"/>
                <w:color w:val="000000"/>
                <w:sz w:val="18"/>
                <w:szCs w:val="18"/>
              </w:rPr>
              <w:t>Tier 2 capital</w:t>
            </w:r>
          </w:p>
        </w:tc>
        <w:tc>
          <w:tcPr>
            <w:tcW w:w="0" w:type="auto"/>
            <w:gridSpan w:val="3"/>
            <w:shd w:val="clear" w:color="auto" w:fill="CCEEFF"/>
            <w:tcMar>
              <w:top w:w="0" w:type="dxa"/>
              <w:left w:w="20" w:type="dxa"/>
              <w:bottom w:w="0" w:type="dxa"/>
              <w:right w:w="20" w:type="dxa"/>
            </w:tcMar>
            <w:vAlign w:val="center"/>
            <w:hideMark/>
          </w:tcPr>
          <w:p w14:paraId="14DA9F58"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21FADDD" w14:textId="77777777" w:rsidR="00000000" w:rsidRDefault="00405D16">
            <w:pPr>
              <w:spacing w:after="100"/>
              <w:jc w:val="right"/>
              <w:rPr>
                <w:rFonts w:eastAsia="Times New Roman"/>
              </w:rPr>
            </w:pPr>
            <w:r>
              <w:rPr>
                <w:rFonts w:eastAsia="Times New Roman"/>
                <w:b/>
                <w:bCs/>
                <w:color w:val="000000"/>
                <w:sz w:val="18"/>
                <w:szCs w:val="18"/>
              </w:rPr>
              <w:t>7,802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45DC84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D95990"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94D8FE7" w14:textId="77777777" w:rsidR="00000000" w:rsidRDefault="00405D16">
            <w:pPr>
              <w:spacing w:after="100"/>
              <w:jc w:val="right"/>
              <w:rPr>
                <w:rFonts w:eastAsia="Times New Roman"/>
              </w:rPr>
            </w:pPr>
            <w:r>
              <w:rPr>
                <w:rFonts w:eastAsia="Times New Roman"/>
                <w:color w:val="000000"/>
                <w:sz w:val="18"/>
                <w:szCs w:val="18"/>
              </w:rPr>
              <w:t>7,205 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F96594C" w14:textId="77777777" w:rsidR="00000000" w:rsidRDefault="00405D16">
            <w:pPr>
              <w:spacing w:after="100"/>
              <w:jc w:val="right"/>
              <w:rPr>
                <w:rFonts w:eastAsia="Times New Roman"/>
              </w:rPr>
            </w:pPr>
          </w:p>
        </w:tc>
      </w:tr>
      <w:tr w:rsidR="00000000" w14:paraId="53A3E819" w14:textId="77777777">
        <w:trPr>
          <w:divId w:val="1349602452"/>
        </w:trPr>
        <w:tc>
          <w:tcPr>
            <w:tcW w:w="0" w:type="auto"/>
            <w:gridSpan w:val="3"/>
            <w:shd w:val="clear" w:color="auto" w:fill="FFFFFF"/>
            <w:tcMar>
              <w:top w:w="30" w:type="dxa"/>
              <w:left w:w="20" w:type="dxa"/>
              <w:bottom w:w="30" w:type="dxa"/>
              <w:right w:w="20" w:type="dxa"/>
            </w:tcMar>
            <w:vAlign w:val="bottom"/>
            <w:hideMark/>
          </w:tcPr>
          <w:p w14:paraId="226738BF" w14:textId="77777777" w:rsidR="00000000" w:rsidRDefault="00405D16">
            <w:pPr>
              <w:spacing w:after="100"/>
              <w:rPr>
                <w:rFonts w:eastAsia="Times New Roman"/>
              </w:rPr>
            </w:pPr>
            <w:r>
              <w:rPr>
                <w:rFonts w:eastAsia="Times New Roman"/>
                <w:color w:val="000000"/>
                <w:sz w:val="18"/>
                <w:szCs w:val="18"/>
              </w:rPr>
              <w:t>Total capital</w:t>
            </w:r>
          </w:p>
        </w:tc>
        <w:tc>
          <w:tcPr>
            <w:tcW w:w="0" w:type="auto"/>
            <w:gridSpan w:val="3"/>
            <w:shd w:val="clear" w:color="auto" w:fill="FFFFFF"/>
            <w:tcMar>
              <w:top w:w="0" w:type="dxa"/>
              <w:left w:w="20" w:type="dxa"/>
              <w:bottom w:w="0" w:type="dxa"/>
              <w:right w:w="20" w:type="dxa"/>
            </w:tcMar>
            <w:vAlign w:val="center"/>
            <w:hideMark/>
          </w:tcPr>
          <w:p w14:paraId="6CF8C203" w14:textId="77777777" w:rsidR="00000000" w:rsidRDefault="00405D16">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1E37E9FF"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6218ADAE" w14:textId="77777777" w:rsidR="00000000" w:rsidRDefault="00405D16">
            <w:pPr>
              <w:spacing w:after="100"/>
              <w:jc w:val="right"/>
              <w:rPr>
                <w:rFonts w:eastAsia="Times New Roman"/>
              </w:rPr>
            </w:pPr>
            <w:r>
              <w:rPr>
                <w:rFonts w:eastAsia="Times New Roman"/>
                <w:b/>
                <w:bCs/>
                <w:color w:val="000000"/>
                <w:sz w:val="18"/>
                <w:szCs w:val="18"/>
              </w:rPr>
              <w:t>57,851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7CBE87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A11709"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02FD81E6"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26D0EEC" w14:textId="77777777" w:rsidR="00000000" w:rsidRDefault="00405D16">
            <w:pPr>
              <w:spacing w:after="100"/>
              <w:jc w:val="right"/>
              <w:rPr>
                <w:rFonts w:eastAsia="Times New Roman"/>
              </w:rPr>
            </w:pPr>
            <w:r>
              <w:rPr>
                <w:rFonts w:eastAsia="Times New Roman"/>
                <w:color w:val="000000"/>
                <w:sz w:val="18"/>
                <w:szCs w:val="18"/>
              </w:rPr>
              <w:t>52,788 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CE260AF" w14:textId="77777777" w:rsidR="00000000" w:rsidRDefault="00405D16">
            <w:pPr>
              <w:spacing w:after="100"/>
              <w:jc w:val="right"/>
              <w:rPr>
                <w:rFonts w:eastAsia="Times New Roman"/>
              </w:rPr>
            </w:pPr>
          </w:p>
        </w:tc>
      </w:tr>
      <w:tr w:rsidR="00000000" w14:paraId="61709646" w14:textId="77777777">
        <w:trPr>
          <w:divId w:val="1349602452"/>
          <w:trHeight w:val="280"/>
        </w:trPr>
        <w:tc>
          <w:tcPr>
            <w:tcW w:w="0" w:type="auto"/>
            <w:gridSpan w:val="3"/>
            <w:shd w:val="clear" w:color="auto" w:fill="CCEEFF"/>
            <w:tcMar>
              <w:top w:w="0" w:type="dxa"/>
              <w:left w:w="20" w:type="dxa"/>
              <w:bottom w:w="0" w:type="dxa"/>
              <w:right w:w="20" w:type="dxa"/>
            </w:tcMar>
            <w:vAlign w:val="center"/>
            <w:hideMark/>
          </w:tcPr>
          <w:p w14:paraId="520BEEB5" w14:textId="77777777" w:rsidR="00000000" w:rsidRDefault="00405D1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D1779D"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4E67E0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7EA586"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AA0AF43" w14:textId="77777777" w:rsidR="00000000" w:rsidRDefault="00405D16">
            <w:pPr>
              <w:spacing w:after="100"/>
              <w:rPr>
                <w:rFonts w:eastAsia="Times New Roman"/>
                <w:sz w:val="20"/>
                <w:szCs w:val="20"/>
              </w:rPr>
            </w:pPr>
          </w:p>
        </w:tc>
      </w:tr>
      <w:tr w:rsidR="00000000" w14:paraId="1873F5E1" w14:textId="77777777">
        <w:trPr>
          <w:divId w:val="1349602452"/>
        </w:trPr>
        <w:tc>
          <w:tcPr>
            <w:tcW w:w="0" w:type="auto"/>
            <w:gridSpan w:val="3"/>
            <w:shd w:val="clear" w:color="auto" w:fill="FFFFFF"/>
            <w:tcMar>
              <w:top w:w="30" w:type="dxa"/>
              <w:left w:w="20" w:type="dxa"/>
              <w:bottom w:w="30" w:type="dxa"/>
              <w:right w:w="20" w:type="dxa"/>
            </w:tcMar>
            <w:vAlign w:val="bottom"/>
            <w:hideMark/>
          </w:tcPr>
          <w:p w14:paraId="3741DBB7" w14:textId="77777777" w:rsidR="00000000" w:rsidRDefault="00405D16">
            <w:pPr>
              <w:spacing w:after="100"/>
              <w:rPr>
                <w:rFonts w:eastAsia="Times New Roman"/>
              </w:rPr>
            </w:pPr>
            <w:r>
              <w:rPr>
                <w:rFonts w:eastAsia="Times New Roman"/>
                <w:b/>
                <w:bCs/>
                <w:color w:val="000000"/>
                <w:sz w:val="18"/>
                <w:szCs w:val="18"/>
              </w:rPr>
              <w:t>Regulatory Capital Metrics</w:t>
            </w:r>
          </w:p>
        </w:tc>
        <w:tc>
          <w:tcPr>
            <w:tcW w:w="0" w:type="auto"/>
            <w:gridSpan w:val="3"/>
            <w:shd w:val="clear" w:color="auto" w:fill="FFFFFF"/>
            <w:tcMar>
              <w:top w:w="0" w:type="dxa"/>
              <w:left w:w="20" w:type="dxa"/>
              <w:bottom w:w="0" w:type="dxa"/>
              <w:right w:w="20" w:type="dxa"/>
            </w:tcMar>
            <w:vAlign w:val="center"/>
            <w:hideMark/>
          </w:tcPr>
          <w:p w14:paraId="7496BE9D"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1B83A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963F7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0D68A3" w14:textId="77777777" w:rsidR="00000000" w:rsidRDefault="00405D16">
            <w:pPr>
              <w:spacing w:after="100"/>
              <w:rPr>
                <w:rFonts w:eastAsia="Times New Roman"/>
                <w:sz w:val="20"/>
                <w:szCs w:val="20"/>
              </w:rPr>
            </w:pPr>
          </w:p>
        </w:tc>
      </w:tr>
      <w:tr w:rsidR="00000000" w14:paraId="10BF3FB9" w14:textId="77777777">
        <w:trPr>
          <w:divId w:val="1349602452"/>
        </w:trPr>
        <w:tc>
          <w:tcPr>
            <w:tcW w:w="0" w:type="auto"/>
            <w:gridSpan w:val="3"/>
            <w:shd w:val="clear" w:color="auto" w:fill="CCEEFF"/>
            <w:tcMar>
              <w:top w:w="30" w:type="dxa"/>
              <w:left w:w="20" w:type="dxa"/>
              <w:bottom w:w="30" w:type="dxa"/>
              <w:right w:w="20" w:type="dxa"/>
            </w:tcMar>
            <w:vAlign w:val="bottom"/>
            <w:hideMark/>
          </w:tcPr>
          <w:p w14:paraId="33AC8936" w14:textId="77777777" w:rsidR="00000000" w:rsidRDefault="00405D16">
            <w:pPr>
              <w:spacing w:after="100"/>
              <w:rPr>
                <w:rFonts w:eastAsia="Times New Roman"/>
              </w:rPr>
            </w:pPr>
            <w:r>
              <w:rPr>
                <w:rFonts w:eastAsia="Times New Roman"/>
                <w:color w:val="000000"/>
                <w:sz w:val="18"/>
                <w:szCs w:val="18"/>
              </w:rPr>
              <w:t>Risk-weighted assets</w:t>
            </w:r>
          </w:p>
        </w:tc>
        <w:tc>
          <w:tcPr>
            <w:tcW w:w="0" w:type="auto"/>
            <w:gridSpan w:val="3"/>
            <w:shd w:val="clear" w:color="auto" w:fill="CCEEFF"/>
            <w:tcMar>
              <w:top w:w="0" w:type="dxa"/>
              <w:left w:w="20" w:type="dxa"/>
              <w:bottom w:w="0" w:type="dxa"/>
              <w:right w:w="20" w:type="dxa"/>
            </w:tcMar>
            <w:vAlign w:val="center"/>
            <w:hideMark/>
          </w:tcPr>
          <w:p w14:paraId="7D18B99A" w14:textId="77777777" w:rsidR="00000000" w:rsidRDefault="00405D16">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389532BF"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4EC88F25" w14:textId="77777777" w:rsidR="00000000" w:rsidRDefault="00405D16">
            <w:pPr>
              <w:spacing w:after="100"/>
              <w:jc w:val="right"/>
              <w:rPr>
                <w:rFonts w:eastAsia="Times New Roman"/>
              </w:rPr>
            </w:pPr>
            <w:r>
              <w:rPr>
                <w:rFonts w:eastAsia="Times New Roman"/>
                <w:b/>
                <w:bCs/>
                <w:color w:val="000000"/>
                <w:sz w:val="18"/>
                <w:szCs w:val="18"/>
              </w:rPr>
              <w:t>318,729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F285C6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6DACB7"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6C87C577"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2FAF5008" w14:textId="77777777" w:rsidR="00000000" w:rsidRDefault="00405D16">
            <w:pPr>
              <w:spacing w:after="100"/>
              <w:jc w:val="right"/>
              <w:rPr>
                <w:rFonts w:eastAsia="Times New Roman"/>
              </w:rPr>
            </w:pPr>
            <w:r>
              <w:rPr>
                <w:rFonts w:eastAsia="Times New Roman"/>
                <w:color w:val="000000"/>
                <w:sz w:val="18"/>
                <w:szCs w:val="18"/>
              </w:rPr>
              <w:t>297,903 </w:t>
            </w:r>
          </w:p>
        </w:tc>
        <w:tc>
          <w:tcPr>
            <w:tcW w:w="0" w:type="auto"/>
            <w:shd w:val="clear" w:color="auto" w:fill="CCEEFF"/>
            <w:tcMar>
              <w:top w:w="30" w:type="dxa"/>
              <w:left w:w="0" w:type="dxa"/>
              <w:bottom w:w="30" w:type="dxa"/>
              <w:right w:w="20" w:type="dxa"/>
            </w:tcMar>
            <w:vAlign w:val="center"/>
            <w:hideMark/>
          </w:tcPr>
          <w:p w14:paraId="739E08A9" w14:textId="77777777" w:rsidR="00000000" w:rsidRDefault="00405D16">
            <w:pPr>
              <w:spacing w:after="100"/>
              <w:jc w:val="right"/>
              <w:rPr>
                <w:rFonts w:eastAsia="Times New Roman"/>
              </w:rPr>
            </w:pPr>
          </w:p>
        </w:tc>
      </w:tr>
      <w:tr w:rsidR="00000000" w14:paraId="61DE105F" w14:textId="77777777">
        <w:trPr>
          <w:divId w:val="1349602452"/>
        </w:trPr>
        <w:tc>
          <w:tcPr>
            <w:tcW w:w="0" w:type="auto"/>
            <w:gridSpan w:val="3"/>
            <w:shd w:val="clear" w:color="auto" w:fill="FFFFFF"/>
            <w:tcMar>
              <w:top w:w="30" w:type="dxa"/>
              <w:left w:w="20" w:type="dxa"/>
              <w:bottom w:w="30" w:type="dxa"/>
              <w:right w:w="20" w:type="dxa"/>
            </w:tcMar>
            <w:vAlign w:val="bottom"/>
            <w:hideMark/>
          </w:tcPr>
          <w:p w14:paraId="13FC474B" w14:textId="77777777" w:rsidR="00000000" w:rsidRDefault="00405D16">
            <w:pPr>
              <w:spacing w:after="100"/>
              <w:rPr>
                <w:rFonts w:eastAsia="Times New Roman"/>
              </w:rPr>
            </w:pPr>
            <w:r>
              <w:rPr>
                <w:rFonts w:eastAsia="Times New Roman"/>
                <w:color w:val="000000"/>
                <w:sz w:val="18"/>
                <w:szCs w:val="18"/>
              </w:rPr>
              <w:t>Adjusted average assets</w:t>
            </w:r>
          </w:p>
        </w:tc>
        <w:tc>
          <w:tcPr>
            <w:tcW w:w="0" w:type="auto"/>
            <w:gridSpan w:val="3"/>
            <w:shd w:val="clear" w:color="auto" w:fill="FFFFFF"/>
            <w:tcMar>
              <w:top w:w="0" w:type="dxa"/>
              <w:left w:w="20" w:type="dxa"/>
              <w:bottom w:w="0" w:type="dxa"/>
              <w:right w:w="20" w:type="dxa"/>
            </w:tcMar>
            <w:vAlign w:val="center"/>
            <w:hideMark/>
          </w:tcPr>
          <w:p w14:paraId="5047CCBB"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D85FC85" w14:textId="77777777" w:rsidR="00000000" w:rsidRDefault="00405D16">
            <w:pPr>
              <w:spacing w:after="100"/>
              <w:jc w:val="right"/>
              <w:rPr>
                <w:rFonts w:eastAsia="Times New Roman"/>
              </w:rPr>
            </w:pPr>
            <w:r>
              <w:rPr>
                <w:rFonts w:eastAsia="Times New Roman"/>
                <w:b/>
                <w:bCs/>
                <w:color w:val="000000"/>
                <w:sz w:val="18"/>
                <w:szCs w:val="18"/>
              </w:rPr>
              <w:t>411,216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8356B4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628C3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3AAF87F" w14:textId="77777777" w:rsidR="00000000" w:rsidRDefault="00405D16">
            <w:pPr>
              <w:spacing w:after="100"/>
              <w:jc w:val="right"/>
              <w:rPr>
                <w:rFonts w:eastAsia="Times New Roman"/>
              </w:rPr>
            </w:pPr>
            <w:r>
              <w:rPr>
                <w:rFonts w:eastAsia="Times New Roman"/>
                <w:color w:val="000000"/>
                <w:sz w:val="18"/>
                <w:szCs w:val="18"/>
              </w:rPr>
              <w:t>406,762 </w:t>
            </w:r>
          </w:p>
        </w:tc>
        <w:tc>
          <w:tcPr>
            <w:tcW w:w="0" w:type="auto"/>
            <w:shd w:val="clear" w:color="auto" w:fill="FFFFFF"/>
            <w:tcMar>
              <w:top w:w="30" w:type="dxa"/>
              <w:left w:w="0" w:type="dxa"/>
              <w:bottom w:w="30" w:type="dxa"/>
              <w:right w:w="20" w:type="dxa"/>
            </w:tcMar>
            <w:vAlign w:val="center"/>
            <w:hideMark/>
          </w:tcPr>
          <w:p w14:paraId="210BEF0A" w14:textId="77777777" w:rsidR="00000000" w:rsidRDefault="00405D16">
            <w:pPr>
              <w:spacing w:after="100"/>
              <w:jc w:val="right"/>
              <w:rPr>
                <w:rFonts w:eastAsia="Times New Roman"/>
              </w:rPr>
            </w:pPr>
          </w:p>
        </w:tc>
      </w:tr>
      <w:tr w:rsidR="00000000" w14:paraId="5D473669" w14:textId="77777777">
        <w:trPr>
          <w:divId w:val="1349602452"/>
        </w:trPr>
        <w:tc>
          <w:tcPr>
            <w:tcW w:w="0" w:type="auto"/>
            <w:gridSpan w:val="3"/>
            <w:shd w:val="clear" w:color="auto" w:fill="CCEEFF"/>
            <w:tcMar>
              <w:top w:w="30" w:type="dxa"/>
              <w:left w:w="20" w:type="dxa"/>
              <w:bottom w:w="30" w:type="dxa"/>
              <w:right w:w="20" w:type="dxa"/>
            </w:tcMar>
            <w:vAlign w:val="bottom"/>
            <w:hideMark/>
          </w:tcPr>
          <w:p w14:paraId="1F270021" w14:textId="77777777" w:rsidR="00000000" w:rsidRDefault="00405D16">
            <w:pPr>
              <w:spacing w:after="100"/>
              <w:rPr>
                <w:rFonts w:eastAsia="Times New Roman"/>
              </w:rPr>
            </w:pPr>
            <w:r>
              <w:rPr>
                <w:rFonts w:eastAsia="Times New Roman"/>
                <w:color w:val="000000"/>
                <w:sz w:val="18"/>
                <w:szCs w:val="18"/>
              </w:rPr>
              <w:t>Total leverage exposure</w:t>
            </w:r>
          </w:p>
        </w:tc>
        <w:tc>
          <w:tcPr>
            <w:tcW w:w="0" w:type="auto"/>
            <w:gridSpan w:val="3"/>
            <w:shd w:val="clear" w:color="auto" w:fill="CCEEFF"/>
            <w:tcMar>
              <w:top w:w="0" w:type="dxa"/>
              <w:left w:w="20" w:type="dxa"/>
              <w:bottom w:w="0" w:type="dxa"/>
              <w:right w:w="20" w:type="dxa"/>
            </w:tcMar>
            <w:vAlign w:val="center"/>
            <w:hideMark/>
          </w:tcPr>
          <w:p w14:paraId="363CAFE1"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13425ED" w14:textId="77777777" w:rsidR="00000000" w:rsidRDefault="00405D16">
            <w:pPr>
              <w:spacing w:after="100"/>
              <w:jc w:val="right"/>
              <w:rPr>
                <w:rFonts w:eastAsia="Times New Roman"/>
              </w:rPr>
            </w:pPr>
            <w:r>
              <w:rPr>
                <w:rFonts w:eastAsia="Times New Roman"/>
                <w:b/>
                <w:bCs/>
                <w:color w:val="000000"/>
                <w:sz w:val="18"/>
                <w:szCs w:val="18"/>
              </w:rPr>
              <w:t>480,232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89FD11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25FB1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A1F3623" w14:textId="77777777" w:rsidR="00000000" w:rsidRDefault="00405D16">
            <w:pPr>
              <w:spacing w:after="100"/>
              <w:jc w:val="right"/>
              <w:rPr>
                <w:rFonts w:eastAsia="Times New Roman"/>
              </w:rPr>
            </w:pPr>
            <w:r>
              <w:rPr>
                <w:rFonts w:eastAsia="Times New Roman"/>
                <w:color w:val="000000"/>
                <w:sz w:val="18"/>
                <w:szCs w:val="18"/>
              </w:rPr>
              <w:t>427,522 </w:t>
            </w:r>
          </w:p>
        </w:tc>
        <w:tc>
          <w:tcPr>
            <w:tcW w:w="0" w:type="auto"/>
            <w:shd w:val="clear" w:color="auto" w:fill="CCEEFF"/>
            <w:tcMar>
              <w:top w:w="30" w:type="dxa"/>
              <w:left w:w="0" w:type="dxa"/>
              <w:bottom w:w="30" w:type="dxa"/>
              <w:right w:w="20" w:type="dxa"/>
            </w:tcMar>
            <w:vAlign w:val="center"/>
            <w:hideMark/>
          </w:tcPr>
          <w:p w14:paraId="1A6CDC2C" w14:textId="77777777" w:rsidR="00000000" w:rsidRDefault="00405D16">
            <w:pPr>
              <w:spacing w:after="100"/>
              <w:jc w:val="right"/>
              <w:rPr>
                <w:rFonts w:eastAsia="Times New Roman"/>
              </w:rPr>
            </w:pPr>
          </w:p>
        </w:tc>
      </w:tr>
    </w:tbl>
    <w:p w14:paraId="0FFF3D5A" w14:textId="77777777" w:rsidR="00000000" w:rsidRDefault="00405D16">
      <w:pPr>
        <w:jc w:val="both"/>
        <w:divId w:val="1349602452"/>
        <w:rPr>
          <w:rFonts w:eastAsia="Times New Roman"/>
        </w:rPr>
      </w:pPr>
      <w:r>
        <w:rPr>
          <w:rFonts w:eastAsia="Times New Roman"/>
          <w:color w:val="000000"/>
          <w:sz w:val="20"/>
          <w:szCs w:val="20"/>
        </w:rPr>
        <w:t>__________</w:t>
      </w:r>
    </w:p>
    <w:p w14:paraId="4DE16C0D" w14:textId="77777777" w:rsidR="00000000" w:rsidRDefault="00405D16">
      <w:pPr>
        <w:ind w:hanging="360"/>
        <w:jc w:val="both"/>
        <w:divId w:val="195960162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Excludes certain components of AOCI as permitted under the Tailoring Rules.</w:t>
      </w:r>
    </w:p>
    <w:p w14:paraId="5BFB1E11" w14:textId="77777777" w:rsidR="00000000" w:rsidRDefault="00405D16">
      <w:pPr>
        <w:ind w:hanging="360"/>
        <w:jc w:val="both"/>
        <w:divId w:val="1686129213"/>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deferred tax assets deducted from regulatory capital.</w:t>
      </w:r>
    </w:p>
    <w:p w14:paraId="4BBD48DE" w14:textId="77777777" w:rsidR="00000000" w:rsidRDefault="00405D16">
      <w:pPr>
        <w:divId w:val="734549070"/>
        <w:rPr>
          <w:rFonts w:eastAsia="Times New Roman"/>
        </w:rPr>
      </w:pPr>
      <w:r>
        <w:rPr>
          <w:rFonts w:eastAsia="Times New Roman"/>
          <w:b/>
          <w:bCs/>
          <w:color w:val="000000"/>
          <w:sz w:val="20"/>
          <w:szCs w:val="20"/>
        </w:rPr>
        <w:t>Capital Planning and Regulatory Stress Testing</w:t>
      </w:r>
    </w:p>
    <w:p w14:paraId="37A14C8F" w14:textId="77777777" w:rsidR="00000000" w:rsidRDefault="00405D16">
      <w:pPr>
        <w:jc w:val="both"/>
        <w:divId w:val="1208227670"/>
        <w:rPr>
          <w:rFonts w:eastAsia="Times New Roman"/>
        </w:rPr>
      </w:pPr>
      <w:r>
        <w:rPr>
          <w:rFonts w:eastAsia="Times New Roman"/>
          <w:color w:val="000000"/>
          <w:sz w:val="20"/>
          <w:szCs w:val="20"/>
        </w:rPr>
        <w:t>On June 24, 2021, the Federal Reserve released the results of its supervisory stress tests for the 2021 cycle. Based on the results, all participating BHCs, including the Company, remained above their risk-based minimum capital requirements in the hypothet</w:t>
      </w:r>
      <w:r>
        <w:rPr>
          <w:rFonts w:eastAsia="Times New Roman"/>
          <w:color w:val="000000"/>
          <w:sz w:val="20"/>
          <w:szCs w:val="20"/>
        </w:rPr>
        <w:t>ical stress scenario. Accordingly, as laid out previously by the Federal Reserve, the temporary capital distribution restrictions put in place in the third quarter of 2020 following the outbreak of COVID-19 ended for all participating BHCs, including the C</w:t>
      </w:r>
      <w:r>
        <w:rPr>
          <w:rFonts w:eastAsia="Times New Roman"/>
          <w:color w:val="000000"/>
          <w:sz w:val="20"/>
          <w:szCs w:val="20"/>
        </w:rPr>
        <w:t>ompany, after the second quarter of 2021. All participating BHCs, including the Company, remain subject to the normal capital distribution restrictions of the stress capital buffer framework.</w:t>
      </w:r>
    </w:p>
    <w:p w14:paraId="4202D09B" w14:textId="77777777" w:rsidR="00000000" w:rsidRDefault="00405D16">
      <w:pPr>
        <w:jc w:val="both"/>
        <w:divId w:val="1446000401"/>
        <w:rPr>
          <w:rFonts w:eastAsia="Times New Roman"/>
        </w:rPr>
      </w:pPr>
      <w:r>
        <w:rPr>
          <w:rFonts w:eastAsia="Times New Roman"/>
          <w:color w:val="000000"/>
          <w:sz w:val="20"/>
          <w:szCs w:val="20"/>
          <w:shd w:val="clear" w:color="auto" w:fill="FFFFFF"/>
        </w:rPr>
        <w:t>On January 25, 2021, our Board of Directors authorized the repur</w:t>
      </w:r>
      <w:r>
        <w:rPr>
          <w:rFonts w:eastAsia="Times New Roman"/>
          <w:color w:val="000000"/>
          <w:sz w:val="20"/>
          <w:szCs w:val="20"/>
          <w:shd w:val="clear" w:color="auto" w:fill="FFFFFF"/>
        </w:rPr>
        <w:t>chase of up to $7.5 billion of shares of our common stock. We repurchased approximately $2.7 billion of shares of our common stock during the third quarter of 2021 and $4.9 billion during the first nine months of 2021.</w:t>
      </w:r>
      <w:r>
        <w:rPr>
          <w:rFonts w:eastAsia="Times New Roman"/>
          <w:color w:val="000000"/>
          <w:sz w:val="20"/>
          <w:szCs w:val="20"/>
        </w:rPr>
        <w:t xml:space="preserve"> </w:t>
      </w:r>
      <w:r>
        <w:rPr>
          <w:rFonts w:eastAsia="Times New Roman"/>
          <w:color w:val="000000"/>
          <w:sz w:val="20"/>
          <w:szCs w:val="20"/>
          <w:shd w:val="clear" w:color="auto" w:fill="FFFFFF"/>
        </w:rPr>
        <w:t>On July 28, 2021, our Board of Direct</w:t>
      </w:r>
      <w:r>
        <w:rPr>
          <w:rFonts w:eastAsia="Times New Roman"/>
          <w:color w:val="000000"/>
          <w:sz w:val="20"/>
          <w:szCs w:val="20"/>
          <w:shd w:val="clear" w:color="auto" w:fill="FFFFFF"/>
        </w:rPr>
        <w:t>ors authorized a special dividend of $0.60 per share of common stock payable in the third quarter of 2021. In addition to the special dividend, the Board of Directors authorized an increase to our quarterly common stock dividend from $0.40 per share to $0.</w:t>
      </w:r>
      <w:r>
        <w:rPr>
          <w:rFonts w:eastAsia="Times New Roman"/>
          <w:color w:val="000000"/>
          <w:sz w:val="20"/>
          <w:szCs w:val="20"/>
          <w:shd w:val="clear" w:color="auto" w:fill="FFFFFF"/>
        </w:rPr>
        <w:t>60 per share beginning with our dividend payable in the third quarter of 2021.</w:t>
      </w:r>
    </w:p>
    <w:p w14:paraId="0109AF2B" w14:textId="77777777" w:rsidR="00000000" w:rsidRDefault="00405D16">
      <w:pPr>
        <w:jc w:val="both"/>
        <w:divId w:val="267588905"/>
        <w:rPr>
          <w:rFonts w:eastAsia="Times New Roman"/>
        </w:rPr>
      </w:pPr>
      <w:r>
        <w:rPr>
          <w:rFonts w:eastAsia="Times New Roman"/>
          <w:color w:val="000000"/>
          <w:sz w:val="20"/>
          <w:szCs w:val="20"/>
        </w:rPr>
        <w:t>For the description of the regulatory capital planning rules we are subject to, see “MD&amp;A—Supervision and Regulation” in this Report as well as “Part I—</w:t>
      </w:r>
      <w:r>
        <w:rPr>
          <w:rFonts w:eastAsia="Times New Roman"/>
          <w:color w:val="000000"/>
          <w:sz w:val="20"/>
          <w:szCs w:val="20"/>
        </w:rPr>
        <w:t>Item 1. Business—Supervision and Regulation” in our 2020 Form 10-K.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3AE1D28F" w14:textId="77777777">
        <w:trPr>
          <w:divId w:val="1758208985"/>
          <w:jc w:val="center"/>
        </w:trPr>
        <w:tc>
          <w:tcPr>
            <w:tcW w:w="50" w:type="pct"/>
            <w:vAlign w:val="center"/>
            <w:hideMark/>
          </w:tcPr>
          <w:p w14:paraId="6B91A477" w14:textId="77777777" w:rsidR="00000000" w:rsidRDefault="00405D16">
            <w:pPr>
              <w:jc w:val="both"/>
              <w:rPr>
                <w:rFonts w:eastAsia="Times New Roman"/>
              </w:rPr>
            </w:pPr>
          </w:p>
        </w:tc>
        <w:tc>
          <w:tcPr>
            <w:tcW w:w="1606" w:type="pct"/>
            <w:vAlign w:val="center"/>
            <w:hideMark/>
          </w:tcPr>
          <w:p w14:paraId="4D5F4AA3" w14:textId="77777777" w:rsidR="00000000" w:rsidRDefault="00405D16">
            <w:pPr>
              <w:spacing w:after="100"/>
              <w:rPr>
                <w:rFonts w:eastAsia="Times New Roman"/>
                <w:sz w:val="20"/>
                <w:szCs w:val="20"/>
              </w:rPr>
            </w:pPr>
          </w:p>
        </w:tc>
        <w:tc>
          <w:tcPr>
            <w:tcW w:w="5" w:type="pct"/>
            <w:vAlign w:val="center"/>
            <w:hideMark/>
          </w:tcPr>
          <w:p w14:paraId="5BBF39B0" w14:textId="77777777" w:rsidR="00000000" w:rsidRDefault="00405D16">
            <w:pPr>
              <w:spacing w:after="100"/>
              <w:rPr>
                <w:rFonts w:eastAsia="Times New Roman"/>
                <w:sz w:val="20"/>
                <w:szCs w:val="20"/>
              </w:rPr>
            </w:pPr>
          </w:p>
        </w:tc>
        <w:tc>
          <w:tcPr>
            <w:tcW w:w="50" w:type="pct"/>
            <w:vAlign w:val="center"/>
            <w:hideMark/>
          </w:tcPr>
          <w:p w14:paraId="5214F30C" w14:textId="77777777" w:rsidR="00000000" w:rsidRDefault="00405D16">
            <w:pPr>
              <w:spacing w:after="100"/>
              <w:rPr>
                <w:rFonts w:eastAsia="Times New Roman"/>
                <w:sz w:val="20"/>
                <w:szCs w:val="20"/>
              </w:rPr>
            </w:pPr>
          </w:p>
        </w:tc>
        <w:tc>
          <w:tcPr>
            <w:tcW w:w="1614" w:type="pct"/>
            <w:vAlign w:val="center"/>
            <w:hideMark/>
          </w:tcPr>
          <w:p w14:paraId="08BCF299" w14:textId="77777777" w:rsidR="00000000" w:rsidRDefault="00405D16">
            <w:pPr>
              <w:spacing w:after="100"/>
              <w:rPr>
                <w:rFonts w:eastAsia="Times New Roman"/>
                <w:sz w:val="20"/>
                <w:szCs w:val="20"/>
              </w:rPr>
            </w:pPr>
          </w:p>
        </w:tc>
        <w:tc>
          <w:tcPr>
            <w:tcW w:w="5" w:type="pct"/>
            <w:vAlign w:val="center"/>
            <w:hideMark/>
          </w:tcPr>
          <w:p w14:paraId="53B385E3" w14:textId="77777777" w:rsidR="00000000" w:rsidRDefault="00405D16">
            <w:pPr>
              <w:spacing w:after="100"/>
              <w:rPr>
                <w:rFonts w:eastAsia="Times New Roman"/>
                <w:sz w:val="20"/>
                <w:szCs w:val="20"/>
              </w:rPr>
            </w:pPr>
          </w:p>
        </w:tc>
        <w:tc>
          <w:tcPr>
            <w:tcW w:w="50" w:type="pct"/>
            <w:vAlign w:val="center"/>
            <w:hideMark/>
          </w:tcPr>
          <w:p w14:paraId="2924390C" w14:textId="77777777" w:rsidR="00000000" w:rsidRDefault="00405D16">
            <w:pPr>
              <w:spacing w:after="100"/>
              <w:rPr>
                <w:rFonts w:eastAsia="Times New Roman"/>
                <w:sz w:val="20"/>
                <w:szCs w:val="20"/>
              </w:rPr>
            </w:pPr>
          </w:p>
        </w:tc>
        <w:tc>
          <w:tcPr>
            <w:tcW w:w="1614" w:type="pct"/>
            <w:vAlign w:val="center"/>
            <w:hideMark/>
          </w:tcPr>
          <w:p w14:paraId="6DAD4431" w14:textId="77777777" w:rsidR="00000000" w:rsidRDefault="00405D16">
            <w:pPr>
              <w:spacing w:after="100"/>
              <w:rPr>
                <w:rFonts w:eastAsia="Times New Roman"/>
                <w:sz w:val="20"/>
                <w:szCs w:val="20"/>
              </w:rPr>
            </w:pPr>
          </w:p>
        </w:tc>
        <w:tc>
          <w:tcPr>
            <w:tcW w:w="5" w:type="pct"/>
            <w:vAlign w:val="center"/>
            <w:hideMark/>
          </w:tcPr>
          <w:p w14:paraId="2B1E0CE7" w14:textId="77777777" w:rsidR="00000000" w:rsidRDefault="00405D16">
            <w:pPr>
              <w:spacing w:after="100"/>
              <w:rPr>
                <w:rFonts w:eastAsia="Times New Roman"/>
                <w:sz w:val="20"/>
                <w:szCs w:val="20"/>
              </w:rPr>
            </w:pPr>
          </w:p>
        </w:tc>
      </w:tr>
      <w:tr w:rsidR="00000000" w14:paraId="2DD16BF2" w14:textId="77777777">
        <w:trPr>
          <w:divId w:val="1758208985"/>
          <w:trHeight w:val="300"/>
          <w:jc w:val="center"/>
        </w:trPr>
        <w:tc>
          <w:tcPr>
            <w:tcW w:w="0" w:type="auto"/>
            <w:gridSpan w:val="9"/>
            <w:tcMar>
              <w:top w:w="0" w:type="dxa"/>
              <w:left w:w="20" w:type="dxa"/>
              <w:bottom w:w="0" w:type="dxa"/>
              <w:right w:w="20" w:type="dxa"/>
            </w:tcMar>
            <w:vAlign w:val="center"/>
            <w:hideMark/>
          </w:tcPr>
          <w:p w14:paraId="04578D39" w14:textId="77777777" w:rsidR="00000000" w:rsidRDefault="00405D16">
            <w:pPr>
              <w:spacing w:after="100"/>
              <w:rPr>
                <w:rFonts w:eastAsia="Times New Roman"/>
                <w:sz w:val="20"/>
                <w:szCs w:val="20"/>
              </w:rPr>
            </w:pPr>
          </w:p>
        </w:tc>
      </w:tr>
      <w:tr w:rsidR="00000000" w14:paraId="526C53B8" w14:textId="77777777">
        <w:trPr>
          <w:divId w:val="1758208985"/>
          <w:jc w:val="center"/>
        </w:trPr>
        <w:tc>
          <w:tcPr>
            <w:tcW w:w="0" w:type="auto"/>
            <w:gridSpan w:val="3"/>
            <w:tcMar>
              <w:top w:w="0" w:type="dxa"/>
              <w:left w:w="20" w:type="dxa"/>
              <w:bottom w:w="0" w:type="dxa"/>
              <w:right w:w="20" w:type="dxa"/>
            </w:tcMar>
            <w:vAlign w:val="center"/>
            <w:hideMark/>
          </w:tcPr>
          <w:p w14:paraId="5626EB25"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E17C82E" w14:textId="77777777" w:rsidR="00000000" w:rsidRDefault="00405D16">
            <w:pPr>
              <w:spacing w:after="100"/>
              <w:jc w:val="center"/>
              <w:rPr>
                <w:rFonts w:eastAsia="Times New Roman"/>
              </w:rPr>
            </w:pPr>
            <w:r>
              <w:rPr>
                <w:rFonts w:eastAsia="Times New Roman"/>
                <w:color w:val="000000"/>
                <w:sz w:val="16"/>
                <w:szCs w:val="16"/>
              </w:rPr>
              <w:t>34</w:t>
            </w:r>
          </w:p>
        </w:tc>
        <w:tc>
          <w:tcPr>
            <w:tcW w:w="0" w:type="auto"/>
            <w:gridSpan w:val="3"/>
            <w:tcMar>
              <w:top w:w="30" w:type="dxa"/>
              <w:left w:w="20" w:type="dxa"/>
              <w:bottom w:w="30" w:type="dxa"/>
              <w:right w:w="20" w:type="dxa"/>
            </w:tcMar>
            <w:vAlign w:val="bottom"/>
            <w:hideMark/>
          </w:tcPr>
          <w:p w14:paraId="6167491A"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20D49B8D" w14:textId="77777777" w:rsidR="00000000" w:rsidRDefault="00405D16">
      <w:pPr>
        <w:rPr>
          <w:rFonts w:eastAsia="Times New Roman"/>
        </w:rPr>
      </w:pPr>
      <w:r>
        <w:rPr>
          <w:rFonts w:eastAsia="Times New Roman"/>
        </w:rPr>
        <w:pict w14:anchorId="7B89AE5E">
          <v:rect id="_x0000_i1059" style="width:0;height:1.5pt" o:hralign="center" o:hrstd="t" o:hr="t" fillcolor="#a0a0a0" stroked="f"/>
        </w:pict>
      </w:r>
    </w:p>
    <w:p w14:paraId="176044AB" w14:textId="77777777" w:rsidR="00000000" w:rsidRDefault="00405D16">
      <w:pPr>
        <w:ind w:hanging="360"/>
        <w:jc w:val="both"/>
        <w:divId w:val="147745953"/>
        <w:rPr>
          <w:rFonts w:eastAsia="Times New Roman"/>
        </w:rPr>
      </w:pPr>
      <w:hyperlink w:anchor="idd54a04a485440b4ab4e56094c14d612_13" w:history="1">
        <w:r>
          <w:rPr>
            <w:rStyle w:val="a3"/>
            <w:rFonts w:eastAsia="Times New Roman"/>
            <w:sz w:val="16"/>
            <w:szCs w:val="16"/>
          </w:rPr>
          <w:t>Table of Contents</w:t>
        </w:r>
      </w:hyperlink>
    </w:p>
    <w:p w14:paraId="633722CB" w14:textId="77777777" w:rsidR="00000000" w:rsidRDefault="00405D16">
      <w:pPr>
        <w:divId w:val="1766417792"/>
        <w:rPr>
          <w:rFonts w:eastAsia="Times New Roman"/>
        </w:rPr>
      </w:pPr>
      <w:r>
        <w:rPr>
          <w:rFonts w:eastAsia="Times New Roman"/>
          <w:b/>
          <w:bCs/>
          <w:color w:val="000000"/>
          <w:sz w:val="20"/>
          <w:szCs w:val="20"/>
        </w:rPr>
        <w:t>Equity Offerings and Transactions</w:t>
      </w:r>
    </w:p>
    <w:p w14:paraId="553EBB4F" w14:textId="77777777" w:rsidR="00000000" w:rsidRDefault="00405D16">
      <w:pPr>
        <w:jc w:val="both"/>
        <w:divId w:val="1949701735"/>
        <w:rPr>
          <w:rFonts w:eastAsia="Times New Roman"/>
        </w:rPr>
      </w:pPr>
      <w:r>
        <w:rPr>
          <w:rFonts w:eastAsia="Times New Roman"/>
          <w:color w:val="000000"/>
          <w:sz w:val="20"/>
          <w:szCs w:val="20"/>
        </w:rPr>
        <w:t>On May 4, 2021, we issued 27,000,000 depositary shares, each representing a 1/40th interest in a share of Fix</w:t>
      </w:r>
      <w:r>
        <w:rPr>
          <w:rFonts w:eastAsia="Times New Roman"/>
          <w:color w:val="000000"/>
          <w:sz w:val="20"/>
          <w:szCs w:val="20"/>
        </w:rPr>
        <w:t>ed Rate Non-Cumulative Perpetual Preferred Stock, Series L, $0.01 par value, with a liquidation preference of $25 per depositary share (“Series L Preferred Stock”). The net proceeds of the offering of Series L Preferred Stock were approximately $653 millio</w:t>
      </w:r>
      <w:r>
        <w:rPr>
          <w:rFonts w:eastAsia="Times New Roman"/>
          <w:color w:val="000000"/>
          <w:sz w:val="20"/>
          <w:szCs w:val="20"/>
        </w:rPr>
        <w:t>n after deducting underwriting commissions and offering expenses. Dividends on the Series L Preferred Stock are payable quarterly in arrears at a rate of 4.375% per annum.</w:t>
      </w:r>
    </w:p>
    <w:p w14:paraId="62A49F50" w14:textId="77777777" w:rsidR="00000000" w:rsidRDefault="00405D16">
      <w:pPr>
        <w:jc w:val="both"/>
        <w:divId w:val="2071226858"/>
        <w:rPr>
          <w:rFonts w:eastAsia="Times New Roman"/>
        </w:rPr>
      </w:pPr>
      <w:r>
        <w:rPr>
          <w:rFonts w:eastAsia="Times New Roman"/>
          <w:color w:val="000000"/>
          <w:sz w:val="20"/>
          <w:szCs w:val="20"/>
        </w:rPr>
        <w:t>On June 10, 2021, we issued 1,000,000 shares of Fixed Rate Reset Non-Cumulative Perp</w:t>
      </w:r>
      <w:r>
        <w:rPr>
          <w:rFonts w:eastAsia="Times New Roman"/>
          <w:color w:val="000000"/>
          <w:sz w:val="20"/>
          <w:szCs w:val="20"/>
        </w:rPr>
        <w:t>etual Preferred Stock, Series M, $0.01 par value, with a liquidation preference of $1,000 per share (the “Series M Preferred Stock”). The net proceeds of the offering of Series M Preferred Stock were approximately $988 million, after deducting underwriting</w:t>
      </w:r>
      <w:r>
        <w:rPr>
          <w:rFonts w:eastAsia="Times New Roman"/>
          <w:color w:val="000000"/>
          <w:sz w:val="20"/>
          <w:szCs w:val="20"/>
        </w:rPr>
        <w:t xml:space="preserve"> commissions and offering expenses. Dividends on the Series M Preferred Stock are payable quarterly in arrears at a rate of 3.950% per annum through August 31, 2026. Effective September 1, 2026, and at every subsequent five-year anniversary, the dividend r</w:t>
      </w:r>
      <w:r>
        <w:rPr>
          <w:rFonts w:eastAsia="Times New Roman"/>
          <w:color w:val="000000"/>
          <w:sz w:val="20"/>
          <w:szCs w:val="20"/>
        </w:rPr>
        <w:t xml:space="preserve">ate resets to the 5-Year Treasury Rate plus 3.157% per annum. </w:t>
      </w:r>
    </w:p>
    <w:p w14:paraId="6080A331" w14:textId="77777777" w:rsidR="00000000" w:rsidRDefault="00405D16">
      <w:pPr>
        <w:jc w:val="both"/>
        <w:divId w:val="1425759539"/>
        <w:rPr>
          <w:rFonts w:eastAsia="Times New Roman"/>
        </w:rPr>
      </w:pPr>
      <w:r>
        <w:rPr>
          <w:rFonts w:eastAsia="Times New Roman"/>
          <w:color w:val="000000"/>
          <w:sz w:val="20"/>
          <w:szCs w:val="20"/>
        </w:rPr>
        <w:t xml:space="preserve">On July 29, 2021, we issued 17,000,000 depositary shares, each representing a 1/40th interest in a share of Fixed Rate Non-Cumulative Perpetual Preferred Stock, Series N, $0.01 par value, with </w:t>
      </w:r>
      <w:r>
        <w:rPr>
          <w:rFonts w:eastAsia="Times New Roman"/>
          <w:color w:val="000000"/>
          <w:sz w:val="20"/>
          <w:szCs w:val="20"/>
        </w:rPr>
        <w:t>a liquidation preference of $25 per depositary share (“Series N Preferred Stock”). The net proceeds of the offering of Series N Preferred Stock were approximately $412 million after deducting underwriting commissions and offering expenses. Dividends on the</w:t>
      </w:r>
      <w:r>
        <w:rPr>
          <w:rFonts w:eastAsia="Times New Roman"/>
          <w:color w:val="000000"/>
          <w:sz w:val="20"/>
          <w:szCs w:val="20"/>
        </w:rPr>
        <w:t xml:space="preserve"> Series N Preferred Stock are payable quarterly in arrears at a rate of 4.25% per annum.</w:t>
      </w:r>
    </w:p>
    <w:p w14:paraId="4201748E" w14:textId="77777777" w:rsidR="00000000" w:rsidRDefault="00405D16">
      <w:pPr>
        <w:jc w:val="both"/>
        <w:divId w:val="292247367"/>
        <w:rPr>
          <w:rFonts w:eastAsia="Times New Roman"/>
        </w:rPr>
      </w:pPr>
      <w:r>
        <w:rPr>
          <w:rFonts w:eastAsia="Times New Roman"/>
          <w:color w:val="000000"/>
          <w:sz w:val="20"/>
          <w:szCs w:val="20"/>
        </w:rPr>
        <w:t>On September 1, 2021, we redeemed all outstanding shares of our Fixed-to-Floating Rate Non-Cumulative Perpetual Preferred Stock, Series E for $1.0 billion. The redempt</w:t>
      </w:r>
      <w:r>
        <w:rPr>
          <w:rFonts w:eastAsia="Times New Roman"/>
          <w:color w:val="000000"/>
          <w:sz w:val="20"/>
          <w:szCs w:val="20"/>
        </w:rPr>
        <w:t>ion reduced our net income available to common shareholders by $12 million in the third quarter of 2021 as we recognized the previously deferred issuance costs associated with this series.</w:t>
      </w:r>
    </w:p>
    <w:p w14:paraId="4CE138B0" w14:textId="77777777" w:rsidR="00000000" w:rsidRDefault="00405D16">
      <w:pPr>
        <w:jc w:val="both"/>
        <w:divId w:val="1603493979"/>
        <w:rPr>
          <w:rFonts w:eastAsia="Times New Roman"/>
        </w:rPr>
      </w:pPr>
      <w:r>
        <w:rPr>
          <w:rFonts w:eastAsia="Times New Roman"/>
          <w:color w:val="000000"/>
          <w:sz w:val="20"/>
          <w:szCs w:val="20"/>
          <w:shd w:val="clear" w:color="auto" w:fill="FFFFFF"/>
        </w:rPr>
        <w:t>On October 18, 2021, we announced that we will redeem all outstandi</w:t>
      </w:r>
      <w:r>
        <w:rPr>
          <w:rFonts w:eastAsia="Times New Roman"/>
          <w:color w:val="000000"/>
          <w:sz w:val="20"/>
          <w:szCs w:val="20"/>
          <w:shd w:val="clear" w:color="auto" w:fill="FFFFFF"/>
        </w:rPr>
        <w:t>ng shares of our Fixed Rate 5.20% Non-Cumulative Perpetual Preferred Stock, Series G, and our Fixed Rate 6.00% Non-Cumulative Perpetual Preferred Stock, Series H, on December 1, 2021 for an aggregate redemption price of $1.1 billion. We expect these redemp</w:t>
      </w:r>
      <w:r>
        <w:rPr>
          <w:rFonts w:eastAsia="Times New Roman"/>
          <w:color w:val="000000"/>
          <w:sz w:val="20"/>
          <w:szCs w:val="20"/>
          <w:shd w:val="clear" w:color="auto" w:fill="FFFFFF"/>
        </w:rPr>
        <w:t xml:space="preserve">tions will reduce our net income available to common shareholders by approximately $34 million in the fourth quarter of 2021 as we recognize the previously deferred issuance costs associated with these series. </w:t>
      </w:r>
      <w:r>
        <w:rPr>
          <w:rFonts w:eastAsia="Times New Roman"/>
          <w:color w:val="000000"/>
          <w:sz w:val="20"/>
          <w:szCs w:val="20"/>
        </w:rPr>
        <w:t>For additional information on the expected pre</w:t>
      </w:r>
      <w:r>
        <w:rPr>
          <w:rFonts w:eastAsia="Times New Roman"/>
          <w:color w:val="000000"/>
          <w:sz w:val="20"/>
          <w:szCs w:val="20"/>
        </w:rPr>
        <w:t>ferred stock dividends to be paid in the fourth quarter of 2021 and per quarter in 2022, see “MD&amp;A—Executive Summary and Business Outlook—Business Outlook—Total Company Expectations” in this Report.</w:t>
      </w:r>
    </w:p>
    <w:p w14:paraId="77488E40" w14:textId="77777777" w:rsidR="00000000" w:rsidRDefault="00405D16">
      <w:pPr>
        <w:divId w:val="780340769"/>
        <w:rPr>
          <w:rFonts w:eastAsia="Times New Roman"/>
        </w:rPr>
      </w:pPr>
    </w:p>
    <w:p w14:paraId="3586370B" w14:textId="77777777" w:rsidR="00000000" w:rsidRDefault="00405D16">
      <w:pPr>
        <w:jc w:val="both"/>
        <w:divId w:val="54932187"/>
        <w:rPr>
          <w:rFonts w:eastAsia="Times New Roman"/>
        </w:rPr>
      </w:pPr>
    </w:p>
    <w:p w14:paraId="78FA7C55" w14:textId="77777777" w:rsidR="00000000" w:rsidRDefault="00405D16">
      <w:pPr>
        <w:jc w:val="both"/>
        <w:divId w:val="543368616"/>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302BD13C" w14:textId="77777777">
        <w:trPr>
          <w:divId w:val="852761031"/>
          <w:jc w:val="center"/>
        </w:trPr>
        <w:tc>
          <w:tcPr>
            <w:tcW w:w="50" w:type="pct"/>
            <w:vAlign w:val="center"/>
            <w:hideMark/>
          </w:tcPr>
          <w:p w14:paraId="3C80B2D4" w14:textId="77777777" w:rsidR="00000000" w:rsidRDefault="00405D16">
            <w:pPr>
              <w:jc w:val="both"/>
              <w:rPr>
                <w:rFonts w:eastAsia="Times New Roman"/>
              </w:rPr>
            </w:pPr>
          </w:p>
        </w:tc>
        <w:tc>
          <w:tcPr>
            <w:tcW w:w="1606" w:type="pct"/>
            <w:vAlign w:val="center"/>
            <w:hideMark/>
          </w:tcPr>
          <w:p w14:paraId="305942DD" w14:textId="77777777" w:rsidR="00000000" w:rsidRDefault="00405D16">
            <w:pPr>
              <w:spacing w:after="100"/>
              <w:rPr>
                <w:rFonts w:eastAsia="Times New Roman"/>
                <w:sz w:val="20"/>
                <w:szCs w:val="20"/>
              </w:rPr>
            </w:pPr>
          </w:p>
        </w:tc>
        <w:tc>
          <w:tcPr>
            <w:tcW w:w="5" w:type="pct"/>
            <w:vAlign w:val="center"/>
            <w:hideMark/>
          </w:tcPr>
          <w:p w14:paraId="6B66D593" w14:textId="77777777" w:rsidR="00000000" w:rsidRDefault="00405D16">
            <w:pPr>
              <w:spacing w:after="100"/>
              <w:rPr>
                <w:rFonts w:eastAsia="Times New Roman"/>
                <w:sz w:val="20"/>
                <w:szCs w:val="20"/>
              </w:rPr>
            </w:pPr>
          </w:p>
        </w:tc>
        <w:tc>
          <w:tcPr>
            <w:tcW w:w="50" w:type="pct"/>
            <w:vAlign w:val="center"/>
            <w:hideMark/>
          </w:tcPr>
          <w:p w14:paraId="631C5891" w14:textId="77777777" w:rsidR="00000000" w:rsidRDefault="00405D16">
            <w:pPr>
              <w:spacing w:after="100"/>
              <w:rPr>
                <w:rFonts w:eastAsia="Times New Roman"/>
                <w:sz w:val="20"/>
                <w:szCs w:val="20"/>
              </w:rPr>
            </w:pPr>
          </w:p>
        </w:tc>
        <w:tc>
          <w:tcPr>
            <w:tcW w:w="1614" w:type="pct"/>
            <w:vAlign w:val="center"/>
            <w:hideMark/>
          </w:tcPr>
          <w:p w14:paraId="517EAFBB" w14:textId="77777777" w:rsidR="00000000" w:rsidRDefault="00405D16">
            <w:pPr>
              <w:spacing w:after="100"/>
              <w:rPr>
                <w:rFonts w:eastAsia="Times New Roman"/>
                <w:sz w:val="20"/>
                <w:szCs w:val="20"/>
              </w:rPr>
            </w:pPr>
          </w:p>
        </w:tc>
        <w:tc>
          <w:tcPr>
            <w:tcW w:w="5" w:type="pct"/>
            <w:vAlign w:val="center"/>
            <w:hideMark/>
          </w:tcPr>
          <w:p w14:paraId="042878D9" w14:textId="77777777" w:rsidR="00000000" w:rsidRDefault="00405D16">
            <w:pPr>
              <w:spacing w:after="100"/>
              <w:rPr>
                <w:rFonts w:eastAsia="Times New Roman"/>
                <w:sz w:val="20"/>
                <w:szCs w:val="20"/>
              </w:rPr>
            </w:pPr>
          </w:p>
        </w:tc>
        <w:tc>
          <w:tcPr>
            <w:tcW w:w="50" w:type="pct"/>
            <w:vAlign w:val="center"/>
            <w:hideMark/>
          </w:tcPr>
          <w:p w14:paraId="1FB0BD21" w14:textId="77777777" w:rsidR="00000000" w:rsidRDefault="00405D16">
            <w:pPr>
              <w:spacing w:after="100"/>
              <w:rPr>
                <w:rFonts w:eastAsia="Times New Roman"/>
                <w:sz w:val="20"/>
                <w:szCs w:val="20"/>
              </w:rPr>
            </w:pPr>
          </w:p>
        </w:tc>
        <w:tc>
          <w:tcPr>
            <w:tcW w:w="1614" w:type="pct"/>
            <w:vAlign w:val="center"/>
            <w:hideMark/>
          </w:tcPr>
          <w:p w14:paraId="5A54597A" w14:textId="77777777" w:rsidR="00000000" w:rsidRDefault="00405D16">
            <w:pPr>
              <w:spacing w:after="100"/>
              <w:rPr>
                <w:rFonts w:eastAsia="Times New Roman"/>
                <w:sz w:val="20"/>
                <w:szCs w:val="20"/>
              </w:rPr>
            </w:pPr>
          </w:p>
        </w:tc>
        <w:tc>
          <w:tcPr>
            <w:tcW w:w="5" w:type="pct"/>
            <w:vAlign w:val="center"/>
            <w:hideMark/>
          </w:tcPr>
          <w:p w14:paraId="70F989E4" w14:textId="77777777" w:rsidR="00000000" w:rsidRDefault="00405D16">
            <w:pPr>
              <w:spacing w:after="100"/>
              <w:rPr>
                <w:rFonts w:eastAsia="Times New Roman"/>
                <w:sz w:val="20"/>
                <w:szCs w:val="20"/>
              </w:rPr>
            </w:pPr>
          </w:p>
        </w:tc>
      </w:tr>
      <w:tr w:rsidR="00000000" w14:paraId="4B75EA18" w14:textId="77777777">
        <w:trPr>
          <w:divId w:val="852761031"/>
          <w:trHeight w:val="300"/>
          <w:jc w:val="center"/>
        </w:trPr>
        <w:tc>
          <w:tcPr>
            <w:tcW w:w="0" w:type="auto"/>
            <w:gridSpan w:val="9"/>
            <w:tcMar>
              <w:top w:w="0" w:type="dxa"/>
              <w:left w:w="20" w:type="dxa"/>
              <w:bottom w:w="0" w:type="dxa"/>
              <w:right w:w="20" w:type="dxa"/>
            </w:tcMar>
            <w:vAlign w:val="center"/>
            <w:hideMark/>
          </w:tcPr>
          <w:p w14:paraId="1C06C9BC" w14:textId="77777777" w:rsidR="00000000" w:rsidRDefault="00405D16">
            <w:pPr>
              <w:spacing w:after="100"/>
              <w:rPr>
                <w:rFonts w:eastAsia="Times New Roman"/>
                <w:sz w:val="20"/>
                <w:szCs w:val="20"/>
              </w:rPr>
            </w:pPr>
          </w:p>
        </w:tc>
      </w:tr>
      <w:tr w:rsidR="00000000" w14:paraId="0CFB798C" w14:textId="77777777">
        <w:trPr>
          <w:divId w:val="852761031"/>
          <w:jc w:val="center"/>
        </w:trPr>
        <w:tc>
          <w:tcPr>
            <w:tcW w:w="0" w:type="auto"/>
            <w:gridSpan w:val="3"/>
            <w:tcMar>
              <w:top w:w="0" w:type="dxa"/>
              <w:left w:w="20" w:type="dxa"/>
              <w:bottom w:w="0" w:type="dxa"/>
              <w:right w:w="20" w:type="dxa"/>
            </w:tcMar>
            <w:vAlign w:val="center"/>
            <w:hideMark/>
          </w:tcPr>
          <w:p w14:paraId="05A2686C"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28CB892" w14:textId="77777777" w:rsidR="00000000" w:rsidRDefault="00405D16">
            <w:pPr>
              <w:spacing w:after="100"/>
              <w:jc w:val="center"/>
              <w:rPr>
                <w:rFonts w:eastAsia="Times New Roman"/>
              </w:rPr>
            </w:pPr>
            <w:r>
              <w:rPr>
                <w:rFonts w:eastAsia="Times New Roman"/>
                <w:color w:val="000000"/>
                <w:sz w:val="16"/>
                <w:szCs w:val="16"/>
              </w:rPr>
              <w:t>35</w:t>
            </w:r>
          </w:p>
        </w:tc>
        <w:tc>
          <w:tcPr>
            <w:tcW w:w="0" w:type="auto"/>
            <w:gridSpan w:val="3"/>
            <w:tcMar>
              <w:top w:w="30" w:type="dxa"/>
              <w:left w:w="20" w:type="dxa"/>
              <w:bottom w:w="30" w:type="dxa"/>
              <w:right w:w="20" w:type="dxa"/>
            </w:tcMar>
            <w:vAlign w:val="bottom"/>
            <w:hideMark/>
          </w:tcPr>
          <w:p w14:paraId="2B91A1DE"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2672B6AB" w14:textId="77777777" w:rsidR="00000000" w:rsidRDefault="00405D16">
      <w:pPr>
        <w:rPr>
          <w:rFonts w:eastAsia="Times New Roman"/>
        </w:rPr>
      </w:pPr>
      <w:r>
        <w:rPr>
          <w:rFonts w:eastAsia="Times New Roman"/>
        </w:rPr>
        <w:pict w14:anchorId="6BF34F58">
          <v:rect id="_x0000_i1060" style="width:0;height:1.5pt" o:hralign="center" o:hrstd="t" o:hr="t" fillcolor="#a0a0a0" stroked="f"/>
        </w:pict>
      </w:r>
    </w:p>
    <w:p w14:paraId="19D68A8D" w14:textId="77777777" w:rsidR="00000000" w:rsidRDefault="00405D16">
      <w:pPr>
        <w:ind w:hanging="360"/>
        <w:jc w:val="both"/>
        <w:divId w:val="2143040408"/>
        <w:rPr>
          <w:rFonts w:eastAsia="Times New Roman"/>
        </w:rPr>
      </w:pPr>
      <w:hyperlink w:anchor="idd54a04a485440b4ab4e56094c14d612_13" w:history="1">
        <w:r>
          <w:rPr>
            <w:rStyle w:val="a3"/>
            <w:rFonts w:eastAsia="Times New Roman"/>
            <w:sz w:val="16"/>
            <w:szCs w:val="16"/>
          </w:rPr>
          <w:t>Table of Contents</w:t>
        </w:r>
      </w:hyperlink>
    </w:p>
    <w:p w14:paraId="568E0130" w14:textId="77777777" w:rsidR="00000000" w:rsidRDefault="00405D16">
      <w:pPr>
        <w:divId w:val="1640500236"/>
        <w:rPr>
          <w:rFonts w:eastAsia="Times New Roman"/>
        </w:rPr>
      </w:pPr>
      <w:r>
        <w:rPr>
          <w:rFonts w:eastAsia="Times New Roman"/>
          <w:b/>
          <w:bCs/>
          <w:color w:val="000000"/>
          <w:sz w:val="20"/>
          <w:szCs w:val="20"/>
        </w:rPr>
        <w:t xml:space="preserve">Dividend Policy and Stock Purchases </w:t>
      </w:r>
    </w:p>
    <w:p w14:paraId="20D07099" w14:textId="77777777" w:rsidR="00000000" w:rsidRDefault="00405D16">
      <w:pPr>
        <w:jc w:val="both"/>
        <w:divId w:val="791754706"/>
        <w:rPr>
          <w:rFonts w:eastAsia="Times New Roman"/>
        </w:rPr>
      </w:pPr>
      <w:r>
        <w:rPr>
          <w:rFonts w:eastAsia="Times New Roman"/>
          <w:color w:val="000000"/>
          <w:sz w:val="20"/>
          <w:szCs w:val="20"/>
        </w:rPr>
        <w:t>In the first nine months of 2021, we declared and paid common stock dividends of $897 million, or $2.00 per share, and preferred stock dividends of $200 million. The following table summarizes the dividends paid per share on our various preferred stock ser</w:t>
      </w:r>
      <w:r>
        <w:rPr>
          <w:rFonts w:eastAsia="Times New Roman"/>
          <w:color w:val="000000"/>
          <w:sz w:val="20"/>
          <w:szCs w:val="20"/>
        </w:rPr>
        <w:t>ies in the first nine months of 2021.</w:t>
      </w:r>
    </w:p>
    <w:p w14:paraId="777C4F1B" w14:textId="77777777" w:rsidR="00000000" w:rsidRDefault="00405D16">
      <w:pPr>
        <w:divId w:val="2141220986"/>
        <w:rPr>
          <w:rFonts w:eastAsia="Times New Roman"/>
        </w:rPr>
      </w:pPr>
      <w:r>
        <w:rPr>
          <w:rFonts w:eastAsia="Times New Roman"/>
          <w:b/>
          <w:bCs/>
          <w:color w:val="000000"/>
          <w:sz w:val="18"/>
          <w:szCs w:val="18"/>
        </w:rPr>
        <w:t xml:space="preserve">Table 16: Preferred Stock Dividends Paid Per Share </w:t>
      </w:r>
    </w:p>
    <w:tbl>
      <w:tblPr>
        <w:tblW w:w="4948" w:type="pct"/>
        <w:tblCellMar>
          <w:top w:w="15" w:type="dxa"/>
          <w:left w:w="15" w:type="dxa"/>
          <w:bottom w:w="15" w:type="dxa"/>
          <w:right w:w="15" w:type="dxa"/>
        </w:tblCellMar>
        <w:tblLook w:val="04A0" w:firstRow="1" w:lastRow="0" w:firstColumn="1" w:lastColumn="0" w:noHBand="0" w:noVBand="1"/>
      </w:tblPr>
      <w:tblGrid>
        <w:gridCol w:w="59"/>
        <w:gridCol w:w="625"/>
        <w:gridCol w:w="36"/>
        <w:gridCol w:w="36"/>
        <w:gridCol w:w="36"/>
        <w:gridCol w:w="36"/>
        <w:gridCol w:w="67"/>
        <w:gridCol w:w="1018"/>
        <w:gridCol w:w="36"/>
        <w:gridCol w:w="36"/>
        <w:gridCol w:w="36"/>
        <w:gridCol w:w="36"/>
        <w:gridCol w:w="58"/>
        <w:gridCol w:w="1090"/>
        <w:gridCol w:w="37"/>
        <w:gridCol w:w="36"/>
        <w:gridCol w:w="36"/>
        <w:gridCol w:w="36"/>
        <w:gridCol w:w="54"/>
        <w:gridCol w:w="1336"/>
        <w:gridCol w:w="38"/>
        <w:gridCol w:w="36"/>
        <w:gridCol w:w="36"/>
        <w:gridCol w:w="36"/>
        <w:gridCol w:w="65"/>
        <w:gridCol w:w="975"/>
        <w:gridCol w:w="37"/>
        <w:gridCol w:w="36"/>
        <w:gridCol w:w="36"/>
        <w:gridCol w:w="36"/>
        <w:gridCol w:w="77"/>
        <w:gridCol w:w="506"/>
        <w:gridCol w:w="37"/>
        <w:gridCol w:w="37"/>
        <w:gridCol w:w="37"/>
        <w:gridCol w:w="37"/>
        <w:gridCol w:w="77"/>
        <w:gridCol w:w="506"/>
        <w:gridCol w:w="36"/>
        <w:gridCol w:w="36"/>
        <w:gridCol w:w="36"/>
        <w:gridCol w:w="36"/>
        <w:gridCol w:w="77"/>
        <w:gridCol w:w="506"/>
        <w:gridCol w:w="36"/>
        <w:gridCol w:w="36"/>
        <w:gridCol w:w="36"/>
      </w:tblGrid>
      <w:tr w:rsidR="00000000" w14:paraId="22BB5B2E" w14:textId="77777777">
        <w:trPr>
          <w:divId w:val="2003771939"/>
        </w:trPr>
        <w:tc>
          <w:tcPr>
            <w:tcW w:w="50" w:type="pct"/>
            <w:vAlign w:val="center"/>
            <w:hideMark/>
          </w:tcPr>
          <w:p w14:paraId="76F3C17B" w14:textId="77777777" w:rsidR="00000000" w:rsidRDefault="00405D16">
            <w:pPr>
              <w:rPr>
                <w:rFonts w:eastAsia="Times New Roman"/>
              </w:rPr>
            </w:pPr>
          </w:p>
        </w:tc>
        <w:tc>
          <w:tcPr>
            <w:tcW w:w="417" w:type="pct"/>
            <w:vAlign w:val="center"/>
            <w:hideMark/>
          </w:tcPr>
          <w:p w14:paraId="00528380" w14:textId="77777777" w:rsidR="00000000" w:rsidRDefault="00405D16">
            <w:pPr>
              <w:spacing w:after="100"/>
              <w:rPr>
                <w:rFonts w:eastAsia="Times New Roman"/>
                <w:sz w:val="20"/>
                <w:szCs w:val="20"/>
              </w:rPr>
            </w:pPr>
          </w:p>
        </w:tc>
        <w:tc>
          <w:tcPr>
            <w:tcW w:w="5" w:type="pct"/>
            <w:vAlign w:val="center"/>
            <w:hideMark/>
          </w:tcPr>
          <w:p w14:paraId="788B63B1" w14:textId="77777777" w:rsidR="00000000" w:rsidRDefault="00405D16">
            <w:pPr>
              <w:spacing w:after="100"/>
              <w:rPr>
                <w:rFonts w:eastAsia="Times New Roman"/>
                <w:sz w:val="20"/>
                <w:szCs w:val="20"/>
              </w:rPr>
            </w:pPr>
          </w:p>
        </w:tc>
        <w:tc>
          <w:tcPr>
            <w:tcW w:w="5" w:type="pct"/>
            <w:vAlign w:val="center"/>
            <w:hideMark/>
          </w:tcPr>
          <w:p w14:paraId="167C853A" w14:textId="77777777" w:rsidR="00000000" w:rsidRDefault="00405D16">
            <w:pPr>
              <w:spacing w:after="100"/>
              <w:rPr>
                <w:rFonts w:eastAsia="Times New Roman"/>
                <w:sz w:val="20"/>
                <w:szCs w:val="20"/>
              </w:rPr>
            </w:pPr>
          </w:p>
        </w:tc>
        <w:tc>
          <w:tcPr>
            <w:tcW w:w="26" w:type="pct"/>
            <w:vAlign w:val="center"/>
            <w:hideMark/>
          </w:tcPr>
          <w:p w14:paraId="420FB09A" w14:textId="77777777" w:rsidR="00000000" w:rsidRDefault="00405D16">
            <w:pPr>
              <w:spacing w:after="100"/>
              <w:rPr>
                <w:rFonts w:eastAsia="Times New Roman"/>
                <w:sz w:val="20"/>
                <w:szCs w:val="20"/>
              </w:rPr>
            </w:pPr>
          </w:p>
        </w:tc>
        <w:tc>
          <w:tcPr>
            <w:tcW w:w="5" w:type="pct"/>
            <w:vAlign w:val="center"/>
            <w:hideMark/>
          </w:tcPr>
          <w:p w14:paraId="6EF6D610" w14:textId="77777777" w:rsidR="00000000" w:rsidRDefault="00405D16">
            <w:pPr>
              <w:spacing w:after="100"/>
              <w:rPr>
                <w:rFonts w:eastAsia="Times New Roman"/>
                <w:sz w:val="20"/>
                <w:szCs w:val="20"/>
              </w:rPr>
            </w:pPr>
          </w:p>
        </w:tc>
        <w:tc>
          <w:tcPr>
            <w:tcW w:w="50" w:type="pct"/>
            <w:vAlign w:val="center"/>
            <w:hideMark/>
          </w:tcPr>
          <w:p w14:paraId="0E7F2704" w14:textId="77777777" w:rsidR="00000000" w:rsidRDefault="00405D16">
            <w:pPr>
              <w:spacing w:after="100"/>
              <w:rPr>
                <w:rFonts w:eastAsia="Times New Roman"/>
                <w:sz w:val="20"/>
                <w:szCs w:val="20"/>
              </w:rPr>
            </w:pPr>
          </w:p>
        </w:tc>
        <w:tc>
          <w:tcPr>
            <w:tcW w:w="676" w:type="pct"/>
            <w:vAlign w:val="center"/>
            <w:hideMark/>
          </w:tcPr>
          <w:p w14:paraId="3F087A07" w14:textId="77777777" w:rsidR="00000000" w:rsidRDefault="00405D16">
            <w:pPr>
              <w:spacing w:after="100"/>
              <w:rPr>
                <w:rFonts w:eastAsia="Times New Roman"/>
                <w:sz w:val="20"/>
                <w:szCs w:val="20"/>
              </w:rPr>
            </w:pPr>
          </w:p>
        </w:tc>
        <w:tc>
          <w:tcPr>
            <w:tcW w:w="5" w:type="pct"/>
            <w:vAlign w:val="center"/>
            <w:hideMark/>
          </w:tcPr>
          <w:p w14:paraId="433E3383" w14:textId="77777777" w:rsidR="00000000" w:rsidRDefault="00405D16">
            <w:pPr>
              <w:spacing w:after="100"/>
              <w:rPr>
                <w:rFonts w:eastAsia="Times New Roman"/>
                <w:sz w:val="20"/>
                <w:szCs w:val="20"/>
              </w:rPr>
            </w:pPr>
          </w:p>
        </w:tc>
        <w:tc>
          <w:tcPr>
            <w:tcW w:w="5" w:type="pct"/>
            <w:vAlign w:val="center"/>
            <w:hideMark/>
          </w:tcPr>
          <w:p w14:paraId="444B01AE" w14:textId="77777777" w:rsidR="00000000" w:rsidRDefault="00405D16">
            <w:pPr>
              <w:spacing w:after="100"/>
              <w:rPr>
                <w:rFonts w:eastAsia="Times New Roman"/>
                <w:sz w:val="20"/>
                <w:szCs w:val="20"/>
              </w:rPr>
            </w:pPr>
          </w:p>
        </w:tc>
        <w:tc>
          <w:tcPr>
            <w:tcW w:w="26" w:type="pct"/>
            <w:vAlign w:val="center"/>
            <w:hideMark/>
          </w:tcPr>
          <w:p w14:paraId="0C8C48EE" w14:textId="77777777" w:rsidR="00000000" w:rsidRDefault="00405D16">
            <w:pPr>
              <w:spacing w:after="100"/>
              <w:rPr>
                <w:rFonts w:eastAsia="Times New Roman"/>
                <w:sz w:val="20"/>
                <w:szCs w:val="20"/>
              </w:rPr>
            </w:pPr>
          </w:p>
        </w:tc>
        <w:tc>
          <w:tcPr>
            <w:tcW w:w="5" w:type="pct"/>
            <w:vAlign w:val="center"/>
            <w:hideMark/>
          </w:tcPr>
          <w:p w14:paraId="7CD68855" w14:textId="77777777" w:rsidR="00000000" w:rsidRDefault="00405D16">
            <w:pPr>
              <w:spacing w:after="100"/>
              <w:rPr>
                <w:rFonts w:eastAsia="Times New Roman"/>
                <w:sz w:val="20"/>
                <w:szCs w:val="20"/>
              </w:rPr>
            </w:pPr>
          </w:p>
        </w:tc>
        <w:tc>
          <w:tcPr>
            <w:tcW w:w="50" w:type="pct"/>
            <w:vAlign w:val="center"/>
            <w:hideMark/>
          </w:tcPr>
          <w:p w14:paraId="4D3915B8" w14:textId="77777777" w:rsidR="00000000" w:rsidRDefault="00405D16">
            <w:pPr>
              <w:spacing w:after="100"/>
              <w:rPr>
                <w:rFonts w:eastAsia="Times New Roman"/>
                <w:sz w:val="20"/>
                <w:szCs w:val="20"/>
              </w:rPr>
            </w:pPr>
          </w:p>
        </w:tc>
        <w:tc>
          <w:tcPr>
            <w:tcW w:w="713" w:type="pct"/>
            <w:vAlign w:val="center"/>
            <w:hideMark/>
          </w:tcPr>
          <w:p w14:paraId="220322F7" w14:textId="77777777" w:rsidR="00000000" w:rsidRDefault="00405D16">
            <w:pPr>
              <w:spacing w:after="100"/>
              <w:rPr>
                <w:rFonts w:eastAsia="Times New Roman"/>
                <w:sz w:val="20"/>
                <w:szCs w:val="20"/>
              </w:rPr>
            </w:pPr>
          </w:p>
        </w:tc>
        <w:tc>
          <w:tcPr>
            <w:tcW w:w="5" w:type="pct"/>
            <w:vAlign w:val="center"/>
            <w:hideMark/>
          </w:tcPr>
          <w:p w14:paraId="6D611F84" w14:textId="77777777" w:rsidR="00000000" w:rsidRDefault="00405D16">
            <w:pPr>
              <w:spacing w:after="100"/>
              <w:rPr>
                <w:rFonts w:eastAsia="Times New Roman"/>
                <w:sz w:val="20"/>
                <w:szCs w:val="20"/>
              </w:rPr>
            </w:pPr>
          </w:p>
        </w:tc>
        <w:tc>
          <w:tcPr>
            <w:tcW w:w="5" w:type="pct"/>
            <w:vAlign w:val="center"/>
            <w:hideMark/>
          </w:tcPr>
          <w:p w14:paraId="4202F73A" w14:textId="77777777" w:rsidR="00000000" w:rsidRDefault="00405D16">
            <w:pPr>
              <w:spacing w:after="100"/>
              <w:rPr>
                <w:rFonts w:eastAsia="Times New Roman"/>
                <w:sz w:val="20"/>
                <w:szCs w:val="20"/>
              </w:rPr>
            </w:pPr>
          </w:p>
        </w:tc>
        <w:tc>
          <w:tcPr>
            <w:tcW w:w="26" w:type="pct"/>
            <w:vAlign w:val="center"/>
            <w:hideMark/>
          </w:tcPr>
          <w:p w14:paraId="06D331AF" w14:textId="77777777" w:rsidR="00000000" w:rsidRDefault="00405D16">
            <w:pPr>
              <w:spacing w:after="100"/>
              <w:rPr>
                <w:rFonts w:eastAsia="Times New Roman"/>
                <w:sz w:val="20"/>
                <w:szCs w:val="20"/>
              </w:rPr>
            </w:pPr>
          </w:p>
        </w:tc>
        <w:tc>
          <w:tcPr>
            <w:tcW w:w="5" w:type="pct"/>
            <w:vAlign w:val="center"/>
            <w:hideMark/>
          </w:tcPr>
          <w:p w14:paraId="6F25B03B" w14:textId="77777777" w:rsidR="00000000" w:rsidRDefault="00405D16">
            <w:pPr>
              <w:spacing w:after="100"/>
              <w:rPr>
                <w:rFonts w:eastAsia="Times New Roman"/>
                <w:sz w:val="20"/>
                <w:szCs w:val="20"/>
              </w:rPr>
            </w:pPr>
          </w:p>
        </w:tc>
        <w:tc>
          <w:tcPr>
            <w:tcW w:w="50" w:type="pct"/>
            <w:vAlign w:val="center"/>
            <w:hideMark/>
          </w:tcPr>
          <w:p w14:paraId="13E6C757" w14:textId="77777777" w:rsidR="00000000" w:rsidRDefault="00405D16">
            <w:pPr>
              <w:spacing w:after="100"/>
              <w:rPr>
                <w:rFonts w:eastAsia="Times New Roman"/>
                <w:sz w:val="20"/>
                <w:szCs w:val="20"/>
              </w:rPr>
            </w:pPr>
          </w:p>
        </w:tc>
        <w:tc>
          <w:tcPr>
            <w:tcW w:w="860" w:type="pct"/>
            <w:vAlign w:val="center"/>
            <w:hideMark/>
          </w:tcPr>
          <w:p w14:paraId="177A0A7B" w14:textId="77777777" w:rsidR="00000000" w:rsidRDefault="00405D16">
            <w:pPr>
              <w:spacing w:after="100"/>
              <w:rPr>
                <w:rFonts w:eastAsia="Times New Roman"/>
                <w:sz w:val="20"/>
                <w:szCs w:val="20"/>
              </w:rPr>
            </w:pPr>
          </w:p>
        </w:tc>
        <w:tc>
          <w:tcPr>
            <w:tcW w:w="5" w:type="pct"/>
            <w:vAlign w:val="center"/>
            <w:hideMark/>
          </w:tcPr>
          <w:p w14:paraId="3FF0DB2A" w14:textId="77777777" w:rsidR="00000000" w:rsidRDefault="00405D16">
            <w:pPr>
              <w:spacing w:after="100"/>
              <w:rPr>
                <w:rFonts w:eastAsia="Times New Roman"/>
                <w:sz w:val="20"/>
                <w:szCs w:val="20"/>
              </w:rPr>
            </w:pPr>
          </w:p>
        </w:tc>
        <w:tc>
          <w:tcPr>
            <w:tcW w:w="5" w:type="pct"/>
            <w:vAlign w:val="center"/>
            <w:hideMark/>
          </w:tcPr>
          <w:p w14:paraId="1614A2DE" w14:textId="77777777" w:rsidR="00000000" w:rsidRDefault="00405D16">
            <w:pPr>
              <w:spacing w:after="100"/>
              <w:rPr>
                <w:rFonts w:eastAsia="Times New Roman"/>
                <w:sz w:val="20"/>
                <w:szCs w:val="20"/>
              </w:rPr>
            </w:pPr>
          </w:p>
        </w:tc>
        <w:tc>
          <w:tcPr>
            <w:tcW w:w="26" w:type="pct"/>
            <w:vAlign w:val="center"/>
            <w:hideMark/>
          </w:tcPr>
          <w:p w14:paraId="30B8D280" w14:textId="77777777" w:rsidR="00000000" w:rsidRDefault="00405D16">
            <w:pPr>
              <w:spacing w:after="100"/>
              <w:rPr>
                <w:rFonts w:eastAsia="Times New Roman"/>
                <w:sz w:val="20"/>
                <w:szCs w:val="20"/>
              </w:rPr>
            </w:pPr>
          </w:p>
        </w:tc>
        <w:tc>
          <w:tcPr>
            <w:tcW w:w="5" w:type="pct"/>
            <w:vAlign w:val="center"/>
            <w:hideMark/>
          </w:tcPr>
          <w:p w14:paraId="3D7046A7" w14:textId="77777777" w:rsidR="00000000" w:rsidRDefault="00405D16">
            <w:pPr>
              <w:spacing w:after="100"/>
              <w:rPr>
                <w:rFonts w:eastAsia="Times New Roman"/>
                <w:sz w:val="20"/>
                <w:szCs w:val="20"/>
              </w:rPr>
            </w:pPr>
          </w:p>
        </w:tc>
        <w:tc>
          <w:tcPr>
            <w:tcW w:w="50" w:type="pct"/>
            <w:vAlign w:val="center"/>
            <w:hideMark/>
          </w:tcPr>
          <w:p w14:paraId="17533974" w14:textId="77777777" w:rsidR="00000000" w:rsidRDefault="00405D16">
            <w:pPr>
              <w:spacing w:after="100"/>
              <w:rPr>
                <w:rFonts w:eastAsia="Times New Roman"/>
                <w:sz w:val="20"/>
                <w:szCs w:val="20"/>
              </w:rPr>
            </w:pPr>
          </w:p>
        </w:tc>
        <w:tc>
          <w:tcPr>
            <w:tcW w:w="646" w:type="pct"/>
            <w:vAlign w:val="center"/>
            <w:hideMark/>
          </w:tcPr>
          <w:p w14:paraId="6ECFE73D" w14:textId="77777777" w:rsidR="00000000" w:rsidRDefault="00405D16">
            <w:pPr>
              <w:spacing w:after="100"/>
              <w:rPr>
                <w:rFonts w:eastAsia="Times New Roman"/>
                <w:sz w:val="20"/>
                <w:szCs w:val="20"/>
              </w:rPr>
            </w:pPr>
          </w:p>
        </w:tc>
        <w:tc>
          <w:tcPr>
            <w:tcW w:w="5" w:type="pct"/>
            <w:vAlign w:val="center"/>
            <w:hideMark/>
          </w:tcPr>
          <w:p w14:paraId="38E6EFAB" w14:textId="77777777" w:rsidR="00000000" w:rsidRDefault="00405D16">
            <w:pPr>
              <w:spacing w:after="100"/>
              <w:rPr>
                <w:rFonts w:eastAsia="Times New Roman"/>
                <w:sz w:val="20"/>
                <w:szCs w:val="20"/>
              </w:rPr>
            </w:pPr>
          </w:p>
        </w:tc>
        <w:tc>
          <w:tcPr>
            <w:tcW w:w="5" w:type="pct"/>
            <w:vAlign w:val="center"/>
            <w:hideMark/>
          </w:tcPr>
          <w:p w14:paraId="0E854B2A" w14:textId="77777777" w:rsidR="00000000" w:rsidRDefault="00405D16">
            <w:pPr>
              <w:spacing w:after="100"/>
              <w:rPr>
                <w:rFonts w:eastAsia="Times New Roman"/>
                <w:sz w:val="20"/>
                <w:szCs w:val="20"/>
              </w:rPr>
            </w:pPr>
          </w:p>
        </w:tc>
        <w:tc>
          <w:tcPr>
            <w:tcW w:w="26" w:type="pct"/>
            <w:vAlign w:val="center"/>
            <w:hideMark/>
          </w:tcPr>
          <w:p w14:paraId="2AA14E25" w14:textId="77777777" w:rsidR="00000000" w:rsidRDefault="00405D16">
            <w:pPr>
              <w:spacing w:after="100"/>
              <w:rPr>
                <w:rFonts w:eastAsia="Times New Roman"/>
                <w:sz w:val="20"/>
                <w:szCs w:val="20"/>
              </w:rPr>
            </w:pPr>
          </w:p>
        </w:tc>
        <w:tc>
          <w:tcPr>
            <w:tcW w:w="5" w:type="pct"/>
            <w:vAlign w:val="center"/>
            <w:hideMark/>
          </w:tcPr>
          <w:p w14:paraId="093FAAA6" w14:textId="77777777" w:rsidR="00000000" w:rsidRDefault="00405D16">
            <w:pPr>
              <w:spacing w:after="100"/>
              <w:rPr>
                <w:rFonts w:eastAsia="Times New Roman"/>
                <w:sz w:val="20"/>
                <w:szCs w:val="20"/>
              </w:rPr>
            </w:pPr>
          </w:p>
        </w:tc>
        <w:tc>
          <w:tcPr>
            <w:tcW w:w="50" w:type="pct"/>
            <w:vAlign w:val="center"/>
            <w:hideMark/>
          </w:tcPr>
          <w:p w14:paraId="6A826789" w14:textId="77777777" w:rsidR="00000000" w:rsidRDefault="00405D16">
            <w:pPr>
              <w:spacing w:after="100"/>
              <w:rPr>
                <w:rFonts w:eastAsia="Times New Roman"/>
                <w:sz w:val="20"/>
                <w:szCs w:val="20"/>
              </w:rPr>
            </w:pPr>
          </w:p>
        </w:tc>
        <w:tc>
          <w:tcPr>
            <w:tcW w:w="329" w:type="pct"/>
            <w:vAlign w:val="center"/>
            <w:hideMark/>
          </w:tcPr>
          <w:p w14:paraId="27CAECAE" w14:textId="77777777" w:rsidR="00000000" w:rsidRDefault="00405D16">
            <w:pPr>
              <w:spacing w:after="100"/>
              <w:rPr>
                <w:rFonts w:eastAsia="Times New Roman"/>
                <w:sz w:val="20"/>
                <w:szCs w:val="20"/>
              </w:rPr>
            </w:pPr>
          </w:p>
        </w:tc>
        <w:tc>
          <w:tcPr>
            <w:tcW w:w="5" w:type="pct"/>
            <w:vAlign w:val="center"/>
            <w:hideMark/>
          </w:tcPr>
          <w:p w14:paraId="2EE696FE" w14:textId="77777777" w:rsidR="00000000" w:rsidRDefault="00405D16">
            <w:pPr>
              <w:spacing w:after="100"/>
              <w:rPr>
                <w:rFonts w:eastAsia="Times New Roman"/>
                <w:sz w:val="20"/>
                <w:szCs w:val="20"/>
              </w:rPr>
            </w:pPr>
          </w:p>
        </w:tc>
        <w:tc>
          <w:tcPr>
            <w:tcW w:w="5" w:type="pct"/>
            <w:vAlign w:val="center"/>
            <w:hideMark/>
          </w:tcPr>
          <w:p w14:paraId="5F3B688F" w14:textId="77777777" w:rsidR="00000000" w:rsidRDefault="00405D16">
            <w:pPr>
              <w:spacing w:after="100"/>
              <w:rPr>
                <w:rFonts w:eastAsia="Times New Roman"/>
                <w:sz w:val="20"/>
                <w:szCs w:val="20"/>
              </w:rPr>
            </w:pPr>
          </w:p>
        </w:tc>
        <w:tc>
          <w:tcPr>
            <w:tcW w:w="26" w:type="pct"/>
            <w:vAlign w:val="center"/>
            <w:hideMark/>
          </w:tcPr>
          <w:p w14:paraId="0527316F" w14:textId="77777777" w:rsidR="00000000" w:rsidRDefault="00405D16">
            <w:pPr>
              <w:spacing w:after="100"/>
              <w:rPr>
                <w:rFonts w:eastAsia="Times New Roman"/>
                <w:sz w:val="20"/>
                <w:szCs w:val="20"/>
              </w:rPr>
            </w:pPr>
          </w:p>
        </w:tc>
        <w:tc>
          <w:tcPr>
            <w:tcW w:w="5" w:type="pct"/>
            <w:vAlign w:val="center"/>
            <w:hideMark/>
          </w:tcPr>
          <w:p w14:paraId="4BA02FFD" w14:textId="77777777" w:rsidR="00000000" w:rsidRDefault="00405D16">
            <w:pPr>
              <w:spacing w:after="100"/>
              <w:rPr>
                <w:rFonts w:eastAsia="Times New Roman"/>
                <w:sz w:val="20"/>
                <w:szCs w:val="20"/>
              </w:rPr>
            </w:pPr>
          </w:p>
        </w:tc>
        <w:tc>
          <w:tcPr>
            <w:tcW w:w="50" w:type="pct"/>
            <w:vAlign w:val="center"/>
            <w:hideMark/>
          </w:tcPr>
          <w:p w14:paraId="5B5DCD62" w14:textId="77777777" w:rsidR="00000000" w:rsidRDefault="00405D16">
            <w:pPr>
              <w:spacing w:after="100"/>
              <w:rPr>
                <w:rFonts w:eastAsia="Times New Roman"/>
                <w:sz w:val="20"/>
                <w:szCs w:val="20"/>
              </w:rPr>
            </w:pPr>
          </w:p>
        </w:tc>
        <w:tc>
          <w:tcPr>
            <w:tcW w:w="329" w:type="pct"/>
            <w:vAlign w:val="center"/>
            <w:hideMark/>
          </w:tcPr>
          <w:p w14:paraId="389D0597" w14:textId="77777777" w:rsidR="00000000" w:rsidRDefault="00405D16">
            <w:pPr>
              <w:spacing w:after="100"/>
              <w:rPr>
                <w:rFonts w:eastAsia="Times New Roman"/>
                <w:sz w:val="20"/>
                <w:szCs w:val="20"/>
              </w:rPr>
            </w:pPr>
          </w:p>
        </w:tc>
        <w:tc>
          <w:tcPr>
            <w:tcW w:w="5" w:type="pct"/>
            <w:vAlign w:val="center"/>
            <w:hideMark/>
          </w:tcPr>
          <w:p w14:paraId="7AEC354A" w14:textId="77777777" w:rsidR="00000000" w:rsidRDefault="00405D16">
            <w:pPr>
              <w:spacing w:after="100"/>
              <w:rPr>
                <w:rFonts w:eastAsia="Times New Roman"/>
                <w:sz w:val="20"/>
                <w:szCs w:val="20"/>
              </w:rPr>
            </w:pPr>
          </w:p>
        </w:tc>
        <w:tc>
          <w:tcPr>
            <w:tcW w:w="5" w:type="pct"/>
            <w:vAlign w:val="center"/>
            <w:hideMark/>
          </w:tcPr>
          <w:p w14:paraId="52C54401" w14:textId="77777777" w:rsidR="00000000" w:rsidRDefault="00405D16">
            <w:pPr>
              <w:spacing w:after="100"/>
              <w:rPr>
                <w:rFonts w:eastAsia="Times New Roman"/>
                <w:sz w:val="20"/>
                <w:szCs w:val="20"/>
              </w:rPr>
            </w:pPr>
          </w:p>
        </w:tc>
        <w:tc>
          <w:tcPr>
            <w:tcW w:w="26" w:type="pct"/>
            <w:vAlign w:val="center"/>
            <w:hideMark/>
          </w:tcPr>
          <w:p w14:paraId="74CEB865" w14:textId="77777777" w:rsidR="00000000" w:rsidRDefault="00405D16">
            <w:pPr>
              <w:spacing w:after="100"/>
              <w:rPr>
                <w:rFonts w:eastAsia="Times New Roman"/>
                <w:sz w:val="20"/>
                <w:szCs w:val="20"/>
              </w:rPr>
            </w:pPr>
          </w:p>
        </w:tc>
        <w:tc>
          <w:tcPr>
            <w:tcW w:w="5" w:type="pct"/>
            <w:vAlign w:val="center"/>
            <w:hideMark/>
          </w:tcPr>
          <w:p w14:paraId="3984F952" w14:textId="77777777" w:rsidR="00000000" w:rsidRDefault="00405D16">
            <w:pPr>
              <w:spacing w:after="100"/>
              <w:rPr>
                <w:rFonts w:eastAsia="Times New Roman"/>
                <w:sz w:val="20"/>
                <w:szCs w:val="20"/>
              </w:rPr>
            </w:pPr>
          </w:p>
        </w:tc>
        <w:tc>
          <w:tcPr>
            <w:tcW w:w="50" w:type="pct"/>
            <w:vAlign w:val="center"/>
            <w:hideMark/>
          </w:tcPr>
          <w:p w14:paraId="3D5D97BB" w14:textId="77777777" w:rsidR="00000000" w:rsidRDefault="00405D16">
            <w:pPr>
              <w:spacing w:after="100"/>
              <w:rPr>
                <w:rFonts w:eastAsia="Times New Roman"/>
                <w:sz w:val="20"/>
                <w:szCs w:val="20"/>
              </w:rPr>
            </w:pPr>
          </w:p>
        </w:tc>
        <w:tc>
          <w:tcPr>
            <w:tcW w:w="329" w:type="pct"/>
            <w:vAlign w:val="center"/>
            <w:hideMark/>
          </w:tcPr>
          <w:p w14:paraId="4A92ABB6" w14:textId="77777777" w:rsidR="00000000" w:rsidRDefault="00405D16">
            <w:pPr>
              <w:spacing w:after="100"/>
              <w:rPr>
                <w:rFonts w:eastAsia="Times New Roman"/>
                <w:sz w:val="20"/>
                <w:szCs w:val="20"/>
              </w:rPr>
            </w:pPr>
          </w:p>
        </w:tc>
        <w:tc>
          <w:tcPr>
            <w:tcW w:w="5" w:type="pct"/>
            <w:vAlign w:val="center"/>
            <w:hideMark/>
          </w:tcPr>
          <w:p w14:paraId="77D24998" w14:textId="77777777" w:rsidR="00000000" w:rsidRDefault="00405D16">
            <w:pPr>
              <w:spacing w:after="100"/>
              <w:rPr>
                <w:rFonts w:eastAsia="Times New Roman"/>
                <w:sz w:val="20"/>
                <w:szCs w:val="20"/>
              </w:rPr>
            </w:pPr>
          </w:p>
        </w:tc>
        <w:tc>
          <w:tcPr>
            <w:tcW w:w="0" w:type="auto"/>
            <w:vAlign w:val="center"/>
            <w:hideMark/>
          </w:tcPr>
          <w:p w14:paraId="595E3C4F" w14:textId="77777777" w:rsidR="00000000" w:rsidRDefault="00405D16">
            <w:pPr>
              <w:spacing w:after="100"/>
              <w:rPr>
                <w:rFonts w:eastAsia="Times New Roman"/>
                <w:sz w:val="20"/>
                <w:szCs w:val="20"/>
              </w:rPr>
            </w:pPr>
          </w:p>
        </w:tc>
        <w:tc>
          <w:tcPr>
            <w:tcW w:w="0" w:type="auto"/>
            <w:vAlign w:val="center"/>
            <w:hideMark/>
          </w:tcPr>
          <w:p w14:paraId="0F3C98B7" w14:textId="77777777" w:rsidR="00000000" w:rsidRDefault="00405D16">
            <w:pPr>
              <w:spacing w:after="100"/>
              <w:rPr>
                <w:rFonts w:eastAsia="Times New Roman"/>
                <w:sz w:val="20"/>
                <w:szCs w:val="20"/>
              </w:rPr>
            </w:pPr>
          </w:p>
        </w:tc>
      </w:tr>
      <w:tr w:rsidR="00000000" w14:paraId="6A4FBB65" w14:textId="77777777">
        <w:trPr>
          <w:divId w:val="2003771939"/>
          <w:trHeight w:val="280"/>
        </w:trPr>
        <w:tc>
          <w:tcPr>
            <w:tcW w:w="0" w:type="auto"/>
            <w:gridSpan w:val="3"/>
            <w:vMerge w:val="restart"/>
            <w:tcMar>
              <w:top w:w="30" w:type="dxa"/>
              <w:left w:w="20" w:type="dxa"/>
              <w:bottom w:w="30" w:type="dxa"/>
              <w:right w:w="20" w:type="dxa"/>
            </w:tcMar>
            <w:vAlign w:val="bottom"/>
            <w:hideMark/>
          </w:tcPr>
          <w:p w14:paraId="08A5BE1E" w14:textId="77777777" w:rsidR="00000000" w:rsidRDefault="00405D16">
            <w:pPr>
              <w:spacing w:after="100"/>
              <w:jc w:val="center"/>
              <w:rPr>
                <w:rFonts w:eastAsia="Times New Roman"/>
              </w:rPr>
            </w:pPr>
            <w:r>
              <w:rPr>
                <w:rFonts w:eastAsia="Times New Roman"/>
                <w:b/>
                <w:bCs/>
                <w:color w:val="000000"/>
                <w:sz w:val="18"/>
                <w:szCs w:val="18"/>
              </w:rPr>
              <w:t>Series</w:t>
            </w:r>
          </w:p>
        </w:tc>
        <w:tc>
          <w:tcPr>
            <w:tcW w:w="0" w:type="auto"/>
            <w:gridSpan w:val="3"/>
            <w:vMerge w:val="restart"/>
            <w:tcMar>
              <w:top w:w="0" w:type="dxa"/>
              <w:left w:w="20" w:type="dxa"/>
              <w:bottom w:w="0" w:type="dxa"/>
              <w:right w:w="20" w:type="dxa"/>
            </w:tcMar>
            <w:vAlign w:val="center"/>
            <w:hideMark/>
          </w:tcPr>
          <w:p w14:paraId="597B4689" w14:textId="77777777" w:rsidR="00000000" w:rsidRDefault="00405D1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694DD41A" w14:textId="77777777" w:rsidR="00000000" w:rsidRDefault="00405D16">
            <w:pPr>
              <w:spacing w:after="100"/>
              <w:jc w:val="center"/>
              <w:rPr>
                <w:rFonts w:eastAsia="Times New Roman"/>
              </w:rPr>
            </w:pPr>
            <w:r>
              <w:rPr>
                <w:rFonts w:eastAsia="Times New Roman"/>
                <w:b/>
                <w:bCs/>
                <w:color w:val="000000"/>
                <w:sz w:val="18"/>
                <w:szCs w:val="18"/>
              </w:rPr>
              <w:t>Description</w:t>
            </w:r>
          </w:p>
        </w:tc>
        <w:tc>
          <w:tcPr>
            <w:tcW w:w="0" w:type="auto"/>
            <w:gridSpan w:val="3"/>
            <w:vMerge w:val="restart"/>
            <w:tcMar>
              <w:top w:w="0" w:type="dxa"/>
              <w:left w:w="20" w:type="dxa"/>
              <w:bottom w:w="0" w:type="dxa"/>
              <w:right w:w="20" w:type="dxa"/>
            </w:tcMar>
            <w:vAlign w:val="center"/>
            <w:hideMark/>
          </w:tcPr>
          <w:p w14:paraId="69CEDD95" w14:textId="77777777" w:rsidR="00000000" w:rsidRDefault="00405D1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40178BCC" w14:textId="77777777" w:rsidR="00000000" w:rsidRDefault="00405D16">
            <w:pPr>
              <w:spacing w:after="100"/>
              <w:jc w:val="center"/>
              <w:rPr>
                <w:rFonts w:eastAsia="Times New Roman"/>
              </w:rPr>
            </w:pPr>
            <w:r>
              <w:rPr>
                <w:rFonts w:eastAsia="Times New Roman"/>
                <w:b/>
                <w:bCs/>
                <w:color w:val="000000"/>
                <w:sz w:val="18"/>
                <w:szCs w:val="18"/>
              </w:rPr>
              <w:t>Issuance Date</w:t>
            </w:r>
          </w:p>
        </w:tc>
        <w:tc>
          <w:tcPr>
            <w:tcW w:w="0" w:type="auto"/>
            <w:gridSpan w:val="3"/>
            <w:vMerge w:val="restart"/>
            <w:tcMar>
              <w:top w:w="0" w:type="dxa"/>
              <w:left w:w="20" w:type="dxa"/>
              <w:bottom w:w="0" w:type="dxa"/>
              <w:right w:w="20" w:type="dxa"/>
            </w:tcMar>
            <w:vAlign w:val="center"/>
            <w:hideMark/>
          </w:tcPr>
          <w:p w14:paraId="625AF5D0" w14:textId="77777777" w:rsidR="00000000" w:rsidRDefault="00405D1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56950B32" w14:textId="77777777" w:rsidR="00000000" w:rsidRDefault="00405D16">
            <w:pPr>
              <w:spacing w:after="100"/>
              <w:jc w:val="center"/>
              <w:rPr>
                <w:rFonts w:eastAsia="Times New Roman"/>
              </w:rPr>
            </w:pPr>
            <w:r>
              <w:rPr>
                <w:rFonts w:eastAsia="Times New Roman"/>
                <w:b/>
                <w:bCs/>
                <w:color w:val="000000"/>
                <w:sz w:val="18"/>
                <w:szCs w:val="18"/>
              </w:rPr>
              <w:t xml:space="preserve">Per Annum </w:t>
            </w:r>
            <w:r>
              <w:rPr>
                <w:rFonts w:eastAsia="Times New Roman"/>
                <w:b/>
                <w:bCs/>
                <w:color w:val="000000"/>
                <w:sz w:val="18"/>
                <w:szCs w:val="18"/>
              </w:rPr>
              <w:br/>
              <w:t>Dividend Rate</w:t>
            </w:r>
          </w:p>
        </w:tc>
        <w:tc>
          <w:tcPr>
            <w:tcW w:w="0" w:type="auto"/>
            <w:gridSpan w:val="3"/>
            <w:vMerge w:val="restart"/>
            <w:tcMar>
              <w:top w:w="0" w:type="dxa"/>
              <w:left w:w="20" w:type="dxa"/>
              <w:bottom w:w="0" w:type="dxa"/>
              <w:right w:w="20" w:type="dxa"/>
            </w:tcMar>
            <w:vAlign w:val="center"/>
            <w:hideMark/>
          </w:tcPr>
          <w:p w14:paraId="2EDB66D0" w14:textId="77777777" w:rsidR="00000000" w:rsidRDefault="00405D1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320417C0" w14:textId="77777777" w:rsidR="00000000" w:rsidRDefault="00405D16">
            <w:pPr>
              <w:spacing w:after="100"/>
              <w:jc w:val="center"/>
              <w:rPr>
                <w:rFonts w:eastAsia="Times New Roman"/>
              </w:rPr>
            </w:pPr>
            <w:r>
              <w:rPr>
                <w:rFonts w:eastAsia="Times New Roman"/>
                <w:b/>
                <w:bCs/>
                <w:color w:val="000000"/>
                <w:sz w:val="18"/>
                <w:szCs w:val="18"/>
              </w:rPr>
              <w:t>Dividend Frequency</w:t>
            </w:r>
          </w:p>
        </w:tc>
        <w:tc>
          <w:tcPr>
            <w:tcW w:w="0" w:type="auto"/>
            <w:gridSpan w:val="3"/>
            <w:vMerge w:val="restart"/>
            <w:tcMar>
              <w:top w:w="0" w:type="dxa"/>
              <w:left w:w="20" w:type="dxa"/>
              <w:bottom w:w="0" w:type="dxa"/>
              <w:right w:w="20" w:type="dxa"/>
            </w:tcMar>
            <w:vAlign w:val="center"/>
            <w:hideMark/>
          </w:tcPr>
          <w:p w14:paraId="620FE096" w14:textId="77777777" w:rsidR="00000000" w:rsidRDefault="00405D1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627D168" w14:textId="77777777" w:rsidR="00000000" w:rsidRDefault="00405D16">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10994060" w14:textId="77777777" w:rsidR="00000000" w:rsidRDefault="00405D1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2476230" w14:textId="77777777" w:rsidR="00000000" w:rsidRDefault="00405D16">
            <w:pPr>
              <w:spacing w:after="100"/>
              <w:rPr>
                <w:rFonts w:eastAsia="Times New Roman"/>
                <w:sz w:val="20"/>
                <w:szCs w:val="20"/>
              </w:rPr>
            </w:pPr>
          </w:p>
        </w:tc>
        <w:tc>
          <w:tcPr>
            <w:tcW w:w="0" w:type="auto"/>
            <w:vAlign w:val="center"/>
            <w:hideMark/>
          </w:tcPr>
          <w:p w14:paraId="678EB7EE" w14:textId="77777777" w:rsidR="00000000" w:rsidRDefault="00405D16">
            <w:pPr>
              <w:spacing w:after="100"/>
              <w:rPr>
                <w:rFonts w:eastAsia="Times New Roman"/>
                <w:sz w:val="20"/>
                <w:szCs w:val="20"/>
              </w:rPr>
            </w:pPr>
          </w:p>
        </w:tc>
        <w:tc>
          <w:tcPr>
            <w:tcW w:w="0" w:type="auto"/>
            <w:vAlign w:val="center"/>
            <w:hideMark/>
          </w:tcPr>
          <w:p w14:paraId="69332643" w14:textId="77777777" w:rsidR="00000000" w:rsidRDefault="00405D16">
            <w:pPr>
              <w:spacing w:after="100"/>
              <w:rPr>
                <w:rFonts w:eastAsia="Times New Roman"/>
                <w:sz w:val="20"/>
                <w:szCs w:val="20"/>
              </w:rPr>
            </w:pPr>
          </w:p>
        </w:tc>
      </w:tr>
      <w:tr w:rsidR="00000000" w14:paraId="7313F7A2" w14:textId="77777777">
        <w:trPr>
          <w:divId w:val="2003771939"/>
          <w:trHeight w:val="280"/>
        </w:trPr>
        <w:tc>
          <w:tcPr>
            <w:tcW w:w="0" w:type="auto"/>
            <w:gridSpan w:val="3"/>
            <w:vMerge/>
            <w:vAlign w:val="center"/>
            <w:hideMark/>
          </w:tcPr>
          <w:p w14:paraId="0FD4F07B" w14:textId="77777777" w:rsidR="00000000" w:rsidRDefault="00405D16">
            <w:pPr>
              <w:spacing w:after="100"/>
              <w:rPr>
                <w:rFonts w:eastAsia="Times New Roman"/>
              </w:rPr>
            </w:pPr>
          </w:p>
        </w:tc>
        <w:tc>
          <w:tcPr>
            <w:tcW w:w="0" w:type="auto"/>
            <w:gridSpan w:val="3"/>
            <w:vMerge/>
            <w:vAlign w:val="center"/>
            <w:hideMark/>
          </w:tcPr>
          <w:p w14:paraId="771A498A" w14:textId="77777777" w:rsidR="00000000" w:rsidRDefault="00405D16">
            <w:pPr>
              <w:spacing w:after="100"/>
              <w:rPr>
                <w:rFonts w:eastAsia="Times New Roman"/>
              </w:rPr>
            </w:pPr>
          </w:p>
        </w:tc>
        <w:tc>
          <w:tcPr>
            <w:tcW w:w="0" w:type="auto"/>
            <w:gridSpan w:val="3"/>
            <w:vMerge/>
            <w:vAlign w:val="center"/>
            <w:hideMark/>
          </w:tcPr>
          <w:p w14:paraId="46842F70" w14:textId="77777777" w:rsidR="00000000" w:rsidRDefault="00405D16">
            <w:pPr>
              <w:spacing w:after="100"/>
              <w:rPr>
                <w:rFonts w:eastAsia="Times New Roman"/>
              </w:rPr>
            </w:pPr>
          </w:p>
        </w:tc>
        <w:tc>
          <w:tcPr>
            <w:tcW w:w="0" w:type="auto"/>
            <w:gridSpan w:val="3"/>
            <w:vMerge/>
            <w:vAlign w:val="center"/>
            <w:hideMark/>
          </w:tcPr>
          <w:p w14:paraId="581CC2B6" w14:textId="77777777" w:rsidR="00000000" w:rsidRDefault="00405D16">
            <w:pPr>
              <w:spacing w:after="100"/>
              <w:rPr>
                <w:rFonts w:eastAsia="Times New Roman"/>
              </w:rPr>
            </w:pPr>
          </w:p>
        </w:tc>
        <w:tc>
          <w:tcPr>
            <w:tcW w:w="0" w:type="auto"/>
            <w:gridSpan w:val="3"/>
            <w:vMerge/>
            <w:vAlign w:val="center"/>
            <w:hideMark/>
          </w:tcPr>
          <w:p w14:paraId="6266B6F4" w14:textId="77777777" w:rsidR="00000000" w:rsidRDefault="00405D16">
            <w:pPr>
              <w:spacing w:after="100"/>
              <w:rPr>
                <w:rFonts w:eastAsia="Times New Roman"/>
              </w:rPr>
            </w:pPr>
          </w:p>
        </w:tc>
        <w:tc>
          <w:tcPr>
            <w:tcW w:w="0" w:type="auto"/>
            <w:gridSpan w:val="3"/>
            <w:vMerge/>
            <w:vAlign w:val="center"/>
            <w:hideMark/>
          </w:tcPr>
          <w:p w14:paraId="19858BA1" w14:textId="77777777" w:rsidR="00000000" w:rsidRDefault="00405D16">
            <w:pPr>
              <w:spacing w:after="100"/>
              <w:rPr>
                <w:rFonts w:eastAsia="Times New Roman"/>
              </w:rPr>
            </w:pPr>
          </w:p>
        </w:tc>
        <w:tc>
          <w:tcPr>
            <w:tcW w:w="0" w:type="auto"/>
            <w:gridSpan w:val="3"/>
            <w:vMerge/>
            <w:vAlign w:val="center"/>
            <w:hideMark/>
          </w:tcPr>
          <w:p w14:paraId="334A62ED" w14:textId="77777777" w:rsidR="00000000" w:rsidRDefault="00405D16">
            <w:pPr>
              <w:spacing w:after="100"/>
              <w:rPr>
                <w:rFonts w:eastAsia="Times New Roman"/>
              </w:rPr>
            </w:pPr>
          </w:p>
        </w:tc>
        <w:tc>
          <w:tcPr>
            <w:tcW w:w="0" w:type="auto"/>
            <w:gridSpan w:val="3"/>
            <w:vMerge/>
            <w:vAlign w:val="center"/>
            <w:hideMark/>
          </w:tcPr>
          <w:p w14:paraId="47C1E3DB" w14:textId="77777777" w:rsidR="00000000" w:rsidRDefault="00405D16">
            <w:pPr>
              <w:spacing w:after="100"/>
              <w:rPr>
                <w:rFonts w:eastAsia="Times New Roman"/>
              </w:rPr>
            </w:pPr>
          </w:p>
        </w:tc>
        <w:tc>
          <w:tcPr>
            <w:tcW w:w="0" w:type="auto"/>
            <w:gridSpan w:val="3"/>
            <w:vMerge/>
            <w:vAlign w:val="center"/>
            <w:hideMark/>
          </w:tcPr>
          <w:p w14:paraId="744F2684" w14:textId="77777777" w:rsidR="00000000" w:rsidRDefault="00405D16">
            <w:pPr>
              <w:spacing w:after="100"/>
              <w:rPr>
                <w:rFonts w:eastAsia="Times New Roman"/>
              </w:rPr>
            </w:pPr>
          </w:p>
        </w:tc>
        <w:tc>
          <w:tcPr>
            <w:tcW w:w="0" w:type="auto"/>
            <w:gridSpan w:val="3"/>
            <w:vMerge/>
            <w:vAlign w:val="center"/>
            <w:hideMark/>
          </w:tcPr>
          <w:p w14:paraId="1B858D9E"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D969D05" w14:textId="77777777" w:rsidR="00000000" w:rsidRDefault="00405D16">
            <w:pPr>
              <w:spacing w:after="100"/>
              <w:jc w:val="center"/>
              <w:rPr>
                <w:rFonts w:eastAsia="Times New Roman"/>
              </w:rPr>
            </w:pPr>
            <w:r>
              <w:rPr>
                <w:rFonts w:eastAsia="Times New Roman"/>
                <w:b/>
                <w:bCs/>
                <w:color w:val="000000"/>
                <w:sz w:val="18"/>
                <w:szCs w:val="18"/>
              </w:rPr>
              <w:t>Q3</w:t>
            </w:r>
          </w:p>
        </w:tc>
        <w:tc>
          <w:tcPr>
            <w:tcW w:w="0" w:type="auto"/>
            <w:gridSpan w:val="3"/>
            <w:tcBorders>
              <w:top w:val="single" w:sz="8" w:space="0" w:color="000000"/>
            </w:tcBorders>
            <w:tcMar>
              <w:top w:w="0" w:type="dxa"/>
              <w:left w:w="20" w:type="dxa"/>
              <w:bottom w:w="0" w:type="dxa"/>
              <w:right w:w="20" w:type="dxa"/>
            </w:tcMar>
            <w:vAlign w:val="center"/>
            <w:hideMark/>
          </w:tcPr>
          <w:p w14:paraId="4612B29D"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65B1D28" w14:textId="77777777" w:rsidR="00000000" w:rsidRDefault="00405D16">
            <w:pPr>
              <w:spacing w:after="100"/>
              <w:jc w:val="center"/>
              <w:rPr>
                <w:rFonts w:eastAsia="Times New Roman"/>
              </w:rPr>
            </w:pPr>
            <w:r>
              <w:rPr>
                <w:rFonts w:eastAsia="Times New Roman"/>
                <w:b/>
                <w:bCs/>
                <w:color w:val="000000"/>
                <w:sz w:val="18"/>
                <w:szCs w:val="18"/>
              </w:rPr>
              <w:t>Q2</w:t>
            </w:r>
          </w:p>
        </w:tc>
        <w:tc>
          <w:tcPr>
            <w:tcW w:w="0" w:type="auto"/>
            <w:gridSpan w:val="3"/>
            <w:tcBorders>
              <w:top w:val="single" w:sz="8" w:space="0" w:color="000000"/>
            </w:tcBorders>
            <w:tcMar>
              <w:top w:w="0" w:type="dxa"/>
              <w:left w:w="20" w:type="dxa"/>
              <w:bottom w:w="0" w:type="dxa"/>
              <w:right w:w="20" w:type="dxa"/>
            </w:tcMar>
            <w:vAlign w:val="center"/>
            <w:hideMark/>
          </w:tcPr>
          <w:p w14:paraId="007A657F"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2946411" w14:textId="77777777" w:rsidR="00000000" w:rsidRDefault="00405D16">
            <w:pPr>
              <w:spacing w:after="100"/>
              <w:jc w:val="center"/>
              <w:rPr>
                <w:rFonts w:eastAsia="Times New Roman"/>
              </w:rPr>
            </w:pPr>
            <w:r>
              <w:rPr>
                <w:rFonts w:eastAsia="Times New Roman"/>
                <w:b/>
                <w:bCs/>
                <w:color w:val="000000"/>
                <w:sz w:val="18"/>
                <w:szCs w:val="18"/>
              </w:rPr>
              <w:t>Q1</w:t>
            </w:r>
          </w:p>
        </w:tc>
        <w:tc>
          <w:tcPr>
            <w:tcW w:w="0" w:type="auto"/>
            <w:vAlign w:val="center"/>
            <w:hideMark/>
          </w:tcPr>
          <w:p w14:paraId="41CFE374" w14:textId="77777777" w:rsidR="00000000" w:rsidRDefault="00405D16">
            <w:pPr>
              <w:spacing w:after="100"/>
              <w:jc w:val="center"/>
              <w:rPr>
                <w:rFonts w:eastAsia="Times New Roman"/>
              </w:rPr>
            </w:pPr>
          </w:p>
        </w:tc>
        <w:tc>
          <w:tcPr>
            <w:tcW w:w="0" w:type="auto"/>
            <w:vAlign w:val="center"/>
            <w:hideMark/>
          </w:tcPr>
          <w:p w14:paraId="5F55A125" w14:textId="77777777" w:rsidR="00000000" w:rsidRDefault="00405D16">
            <w:pPr>
              <w:spacing w:after="100"/>
              <w:rPr>
                <w:rFonts w:eastAsia="Times New Roman"/>
                <w:sz w:val="20"/>
                <w:szCs w:val="20"/>
              </w:rPr>
            </w:pPr>
          </w:p>
        </w:tc>
      </w:tr>
      <w:tr w:rsidR="00000000" w14:paraId="4697AE89" w14:textId="77777777">
        <w:trPr>
          <w:divId w:val="2003771939"/>
        </w:trPr>
        <w:tc>
          <w:tcPr>
            <w:tcW w:w="0" w:type="auto"/>
            <w:gridSpan w:val="3"/>
            <w:tcBorders>
              <w:top w:val="single" w:sz="8" w:space="0" w:color="000000"/>
            </w:tcBorders>
            <w:shd w:val="clear" w:color="auto" w:fill="CCEEFF"/>
            <w:tcMar>
              <w:top w:w="30" w:type="dxa"/>
              <w:left w:w="20" w:type="dxa"/>
              <w:bottom w:w="30" w:type="dxa"/>
              <w:right w:w="20" w:type="dxa"/>
            </w:tcMar>
            <w:hideMark/>
          </w:tcPr>
          <w:p w14:paraId="600FF0F8" w14:textId="77777777" w:rsidR="00000000" w:rsidRDefault="00405D16">
            <w:pPr>
              <w:spacing w:after="100"/>
              <w:divId w:val="424227298"/>
              <w:rPr>
                <w:rFonts w:eastAsia="Times New Roman"/>
              </w:rPr>
            </w:pPr>
            <w:r>
              <w:rPr>
                <w:rFonts w:eastAsia="Times New Roman"/>
                <w:b/>
                <w:bCs/>
                <w:color w:val="000000"/>
                <w:sz w:val="20"/>
                <w:szCs w:val="20"/>
              </w:rPr>
              <w:t xml:space="preserve">Series </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5E9C4251"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2BA910AB" w14:textId="77777777" w:rsidR="00000000" w:rsidRDefault="00405D16">
            <w:pPr>
              <w:spacing w:after="100"/>
              <w:jc w:val="center"/>
              <w:rPr>
                <w:rFonts w:eastAsia="Times New Roman"/>
              </w:rPr>
            </w:pPr>
            <w:r>
              <w:rPr>
                <w:rFonts w:eastAsia="Times New Roman"/>
                <w:color w:val="000000"/>
                <w:sz w:val="20"/>
                <w:szCs w:val="20"/>
              </w:rPr>
              <w:t>Fixed-to-Floating Rate</w:t>
            </w:r>
            <w:r>
              <w:rPr>
                <w:rFonts w:eastAsia="Times New Roman"/>
                <w:color w:val="000000"/>
                <w:sz w:val="20"/>
                <w:szCs w:val="20"/>
              </w:rPr>
              <w:br/>
              <w:t>Non-Cumulative</w:t>
            </w:r>
          </w:p>
        </w:tc>
        <w:tc>
          <w:tcPr>
            <w:tcW w:w="0" w:type="auto"/>
            <w:gridSpan w:val="3"/>
            <w:shd w:val="clear" w:color="auto" w:fill="CCEEFF"/>
            <w:tcMar>
              <w:top w:w="0" w:type="dxa"/>
              <w:left w:w="20" w:type="dxa"/>
              <w:bottom w:w="0" w:type="dxa"/>
              <w:right w:w="20" w:type="dxa"/>
            </w:tcMar>
            <w:vAlign w:val="center"/>
            <w:hideMark/>
          </w:tcPr>
          <w:p w14:paraId="0FF13189" w14:textId="77777777" w:rsidR="00000000" w:rsidRDefault="00405D16">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33061E33" w14:textId="77777777" w:rsidR="00000000" w:rsidRDefault="00405D16">
            <w:pPr>
              <w:spacing w:after="100"/>
              <w:jc w:val="center"/>
              <w:rPr>
                <w:rFonts w:eastAsia="Times New Roman"/>
              </w:rPr>
            </w:pPr>
            <w:r>
              <w:rPr>
                <w:rFonts w:eastAsia="Times New Roman"/>
                <w:color w:val="000000"/>
                <w:sz w:val="20"/>
                <w:szCs w:val="20"/>
              </w:rPr>
              <w:t>May 14, 2015</w:t>
            </w:r>
          </w:p>
        </w:tc>
        <w:tc>
          <w:tcPr>
            <w:tcW w:w="0" w:type="auto"/>
            <w:gridSpan w:val="3"/>
            <w:shd w:val="clear" w:color="auto" w:fill="CCEEFF"/>
            <w:tcMar>
              <w:top w:w="0" w:type="dxa"/>
              <w:left w:w="20" w:type="dxa"/>
              <w:bottom w:w="0" w:type="dxa"/>
              <w:right w:w="20" w:type="dxa"/>
            </w:tcMar>
            <w:vAlign w:val="center"/>
            <w:hideMark/>
          </w:tcPr>
          <w:p w14:paraId="0CC164AB" w14:textId="77777777" w:rsidR="00000000" w:rsidRDefault="00405D16">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723FBB4D" w14:textId="77777777" w:rsidR="00000000" w:rsidRDefault="00405D16">
            <w:pPr>
              <w:spacing w:after="100"/>
              <w:jc w:val="center"/>
              <w:rPr>
                <w:rFonts w:eastAsia="Times New Roman"/>
              </w:rPr>
            </w:pPr>
            <w:r>
              <w:rPr>
                <w:rFonts w:eastAsia="Times New Roman"/>
                <w:color w:val="000000"/>
                <w:sz w:val="20"/>
                <w:szCs w:val="20"/>
              </w:rPr>
              <w:t xml:space="preserve">5.550% through 5/31/2020; </w:t>
            </w:r>
            <w:r>
              <w:rPr>
                <w:rFonts w:eastAsia="Times New Roman"/>
                <w:color w:val="000000"/>
                <w:sz w:val="20"/>
                <w:szCs w:val="20"/>
              </w:rPr>
              <w:br/>
              <w:t>3-mo. LIBOR + 380 bps thereafter</w:t>
            </w:r>
          </w:p>
        </w:tc>
        <w:tc>
          <w:tcPr>
            <w:tcW w:w="0" w:type="auto"/>
            <w:gridSpan w:val="3"/>
            <w:shd w:val="clear" w:color="auto" w:fill="CCEEFF"/>
            <w:tcMar>
              <w:top w:w="0" w:type="dxa"/>
              <w:left w:w="20" w:type="dxa"/>
              <w:bottom w:w="0" w:type="dxa"/>
              <w:right w:w="20" w:type="dxa"/>
            </w:tcMar>
            <w:vAlign w:val="center"/>
            <w:hideMark/>
          </w:tcPr>
          <w:p w14:paraId="1201683F" w14:textId="77777777" w:rsidR="00000000" w:rsidRDefault="00405D16">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5B08E252" w14:textId="77777777" w:rsidR="00000000" w:rsidRDefault="00405D16">
            <w:pPr>
              <w:spacing w:after="100"/>
              <w:jc w:val="center"/>
              <w:rPr>
                <w:rFonts w:eastAsia="Times New Roman"/>
              </w:rPr>
            </w:pPr>
            <w:r>
              <w:rPr>
                <w:rFonts w:eastAsia="Times New Roman"/>
                <w:color w:val="000000"/>
                <w:sz w:val="20"/>
                <w:szCs w:val="20"/>
              </w:rPr>
              <w:t>Semi-Annually through 5/31/2020;</w:t>
            </w:r>
            <w:r>
              <w:rPr>
                <w:rFonts w:eastAsia="Times New Roman"/>
                <w:color w:val="000000"/>
                <w:sz w:val="20"/>
                <w:szCs w:val="20"/>
              </w:rPr>
              <w:br/>
              <w:t>Quarterly thereafter</w:t>
            </w:r>
          </w:p>
        </w:tc>
        <w:tc>
          <w:tcPr>
            <w:tcW w:w="0" w:type="auto"/>
            <w:gridSpan w:val="3"/>
            <w:shd w:val="clear" w:color="auto" w:fill="CCEEFF"/>
            <w:tcMar>
              <w:top w:w="0" w:type="dxa"/>
              <w:left w:w="20" w:type="dxa"/>
              <w:bottom w:w="0" w:type="dxa"/>
              <w:right w:w="20" w:type="dxa"/>
            </w:tcMar>
            <w:vAlign w:val="center"/>
            <w:hideMark/>
          </w:tcPr>
          <w:p w14:paraId="7EDF4EC8" w14:textId="77777777" w:rsidR="00000000" w:rsidRDefault="00405D16">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57DE5D8B" w14:textId="77777777" w:rsidR="00000000" w:rsidRDefault="00405D16">
            <w:pPr>
              <w:spacing w:after="100"/>
              <w:jc w:val="center"/>
              <w:rPr>
                <w:rFonts w:eastAsia="Times New Roman"/>
              </w:rPr>
            </w:pPr>
            <w:r>
              <w:rPr>
                <w:rFonts w:eastAsia="Times New Roman"/>
                <w:b/>
                <w:bCs/>
                <w:color w:val="000000"/>
                <w:sz w:val="20"/>
                <w:szCs w:val="20"/>
              </w:rPr>
              <w:t>$10.06</w:t>
            </w:r>
          </w:p>
        </w:tc>
        <w:tc>
          <w:tcPr>
            <w:tcW w:w="0" w:type="auto"/>
            <w:gridSpan w:val="3"/>
            <w:shd w:val="clear" w:color="auto" w:fill="CCEEFF"/>
            <w:tcMar>
              <w:top w:w="0" w:type="dxa"/>
              <w:left w:w="20" w:type="dxa"/>
              <w:bottom w:w="0" w:type="dxa"/>
              <w:right w:w="20" w:type="dxa"/>
            </w:tcMar>
            <w:vAlign w:val="center"/>
            <w:hideMark/>
          </w:tcPr>
          <w:p w14:paraId="08B78653" w14:textId="77777777" w:rsidR="00000000" w:rsidRDefault="00405D16">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03A8D60E" w14:textId="77777777" w:rsidR="00000000" w:rsidRDefault="00405D16">
            <w:pPr>
              <w:spacing w:after="100"/>
              <w:jc w:val="center"/>
              <w:rPr>
                <w:rFonts w:eastAsia="Times New Roman"/>
              </w:rPr>
            </w:pPr>
            <w:r>
              <w:rPr>
                <w:rFonts w:eastAsia="Times New Roman"/>
                <w:color w:val="000000"/>
                <w:sz w:val="20"/>
                <w:szCs w:val="20"/>
              </w:rPr>
              <w:t>$10.20</w:t>
            </w:r>
          </w:p>
        </w:tc>
        <w:tc>
          <w:tcPr>
            <w:tcW w:w="0" w:type="auto"/>
            <w:gridSpan w:val="3"/>
            <w:shd w:val="clear" w:color="auto" w:fill="CCEEFF"/>
            <w:tcMar>
              <w:top w:w="0" w:type="dxa"/>
              <w:left w:w="20" w:type="dxa"/>
              <w:bottom w:w="0" w:type="dxa"/>
              <w:right w:w="20" w:type="dxa"/>
            </w:tcMar>
            <w:vAlign w:val="center"/>
            <w:hideMark/>
          </w:tcPr>
          <w:p w14:paraId="7F287787" w14:textId="77777777" w:rsidR="00000000" w:rsidRDefault="00405D16">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4E7E68D5" w14:textId="77777777" w:rsidR="00000000" w:rsidRDefault="00405D16">
            <w:pPr>
              <w:spacing w:after="100"/>
              <w:jc w:val="center"/>
              <w:rPr>
                <w:rFonts w:eastAsia="Times New Roman"/>
              </w:rPr>
            </w:pPr>
            <w:r>
              <w:rPr>
                <w:rFonts w:eastAsia="Times New Roman"/>
                <w:color w:val="000000"/>
                <w:sz w:val="20"/>
                <w:szCs w:val="20"/>
              </w:rPr>
              <w:t>$10.06</w:t>
            </w:r>
          </w:p>
        </w:tc>
        <w:tc>
          <w:tcPr>
            <w:tcW w:w="0" w:type="auto"/>
            <w:vAlign w:val="center"/>
            <w:hideMark/>
          </w:tcPr>
          <w:p w14:paraId="628897B5" w14:textId="77777777" w:rsidR="00000000" w:rsidRDefault="00405D16">
            <w:pPr>
              <w:spacing w:after="100"/>
              <w:jc w:val="center"/>
              <w:rPr>
                <w:rFonts w:eastAsia="Times New Roman"/>
              </w:rPr>
            </w:pPr>
          </w:p>
        </w:tc>
        <w:tc>
          <w:tcPr>
            <w:tcW w:w="0" w:type="auto"/>
            <w:vAlign w:val="center"/>
            <w:hideMark/>
          </w:tcPr>
          <w:p w14:paraId="2D30DCE9" w14:textId="77777777" w:rsidR="00000000" w:rsidRDefault="00405D16">
            <w:pPr>
              <w:spacing w:after="100"/>
              <w:rPr>
                <w:rFonts w:eastAsia="Times New Roman"/>
                <w:sz w:val="20"/>
                <w:szCs w:val="20"/>
              </w:rPr>
            </w:pPr>
          </w:p>
        </w:tc>
      </w:tr>
      <w:tr w:rsidR="00000000" w14:paraId="4E387ABB" w14:textId="77777777">
        <w:trPr>
          <w:divId w:val="2003771939"/>
        </w:trPr>
        <w:tc>
          <w:tcPr>
            <w:tcW w:w="0" w:type="auto"/>
            <w:gridSpan w:val="3"/>
            <w:shd w:val="clear" w:color="auto" w:fill="FFFFFF"/>
            <w:tcMar>
              <w:top w:w="30" w:type="dxa"/>
              <w:left w:w="20" w:type="dxa"/>
              <w:bottom w:w="30" w:type="dxa"/>
              <w:right w:w="20" w:type="dxa"/>
            </w:tcMar>
            <w:hideMark/>
          </w:tcPr>
          <w:p w14:paraId="440F9A15" w14:textId="77777777" w:rsidR="00000000" w:rsidRDefault="00405D16">
            <w:pPr>
              <w:spacing w:after="100"/>
              <w:rPr>
                <w:rFonts w:eastAsia="Times New Roman"/>
              </w:rPr>
            </w:pPr>
            <w:r>
              <w:rPr>
                <w:rFonts w:eastAsia="Times New Roman"/>
                <w:b/>
                <w:bCs/>
                <w:color w:val="000000"/>
                <w:sz w:val="20"/>
                <w:szCs w:val="20"/>
              </w:rPr>
              <w:t>Series G</w:t>
            </w:r>
          </w:p>
        </w:tc>
        <w:tc>
          <w:tcPr>
            <w:tcW w:w="0" w:type="auto"/>
            <w:gridSpan w:val="3"/>
            <w:shd w:val="clear" w:color="auto" w:fill="FFFFFF"/>
            <w:tcMar>
              <w:top w:w="0" w:type="dxa"/>
              <w:left w:w="20" w:type="dxa"/>
              <w:bottom w:w="0" w:type="dxa"/>
              <w:right w:w="20" w:type="dxa"/>
            </w:tcMar>
            <w:vAlign w:val="center"/>
            <w:hideMark/>
          </w:tcPr>
          <w:p w14:paraId="2596E914" w14:textId="77777777" w:rsidR="00000000" w:rsidRDefault="00405D1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297868C0" w14:textId="77777777" w:rsidR="00000000" w:rsidRDefault="00405D16">
            <w:pPr>
              <w:spacing w:after="100"/>
              <w:jc w:val="center"/>
              <w:rPr>
                <w:rFonts w:eastAsia="Times New Roman"/>
              </w:rPr>
            </w:pPr>
            <w:r>
              <w:rPr>
                <w:rFonts w:eastAsia="Times New Roman"/>
                <w:color w:val="000000"/>
                <w:sz w:val="20"/>
                <w:szCs w:val="20"/>
              </w:rPr>
              <w:t>5.200%</w:t>
            </w:r>
            <w:r>
              <w:rPr>
                <w:rFonts w:eastAsia="Times New Roman"/>
                <w:color w:val="000000"/>
                <w:sz w:val="20"/>
                <w:szCs w:val="20"/>
              </w:rPr>
              <w:br/>
              <w:t>Non-Cumulative</w:t>
            </w:r>
          </w:p>
        </w:tc>
        <w:tc>
          <w:tcPr>
            <w:tcW w:w="0" w:type="auto"/>
            <w:gridSpan w:val="3"/>
            <w:shd w:val="clear" w:color="auto" w:fill="FFFFFF"/>
            <w:tcMar>
              <w:top w:w="0" w:type="dxa"/>
              <w:left w:w="20" w:type="dxa"/>
              <w:bottom w:w="0" w:type="dxa"/>
              <w:right w:w="20" w:type="dxa"/>
            </w:tcMar>
            <w:vAlign w:val="center"/>
            <w:hideMark/>
          </w:tcPr>
          <w:p w14:paraId="0B576858" w14:textId="77777777" w:rsidR="00000000" w:rsidRDefault="00405D16">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334A9C3C" w14:textId="77777777" w:rsidR="00000000" w:rsidRDefault="00405D16">
            <w:pPr>
              <w:spacing w:after="100"/>
              <w:jc w:val="center"/>
              <w:rPr>
                <w:rFonts w:eastAsia="Times New Roman"/>
              </w:rPr>
            </w:pPr>
            <w:r>
              <w:rPr>
                <w:rFonts w:eastAsia="Times New Roman"/>
                <w:color w:val="000000"/>
                <w:sz w:val="20"/>
                <w:szCs w:val="20"/>
              </w:rPr>
              <w:t>July 29, 2016</w:t>
            </w:r>
          </w:p>
        </w:tc>
        <w:tc>
          <w:tcPr>
            <w:tcW w:w="0" w:type="auto"/>
            <w:gridSpan w:val="3"/>
            <w:shd w:val="clear" w:color="auto" w:fill="FFFFFF"/>
            <w:tcMar>
              <w:top w:w="0" w:type="dxa"/>
              <w:left w:w="20" w:type="dxa"/>
              <w:bottom w:w="0" w:type="dxa"/>
              <w:right w:w="20" w:type="dxa"/>
            </w:tcMar>
            <w:vAlign w:val="center"/>
            <w:hideMark/>
          </w:tcPr>
          <w:p w14:paraId="50588057" w14:textId="77777777" w:rsidR="00000000" w:rsidRDefault="00405D16">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6E405B93" w14:textId="77777777" w:rsidR="00000000" w:rsidRDefault="00405D16">
            <w:pPr>
              <w:spacing w:after="100"/>
              <w:jc w:val="center"/>
              <w:rPr>
                <w:rFonts w:eastAsia="Times New Roman"/>
              </w:rPr>
            </w:pPr>
            <w:r>
              <w:rPr>
                <w:rFonts w:eastAsia="Times New Roman"/>
                <w:color w:val="000000"/>
                <w:sz w:val="20"/>
                <w:szCs w:val="20"/>
              </w:rPr>
              <w:t>5.200%</w:t>
            </w:r>
          </w:p>
        </w:tc>
        <w:tc>
          <w:tcPr>
            <w:tcW w:w="0" w:type="auto"/>
            <w:gridSpan w:val="3"/>
            <w:shd w:val="clear" w:color="auto" w:fill="FFFFFF"/>
            <w:tcMar>
              <w:top w:w="0" w:type="dxa"/>
              <w:left w:w="20" w:type="dxa"/>
              <w:bottom w:w="0" w:type="dxa"/>
              <w:right w:w="20" w:type="dxa"/>
            </w:tcMar>
            <w:vAlign w:val="center"/>
            <w:hideMark/>
          </w:tcPr>
          <w:p w14:paraId="36060BAB" w14:textId="77777777" w:rsidR="00000000" w:rsidRDefault="00405D16">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20FA5CF0" w14:textId="77777777" w:rsidR="00000000" w:rsidRDefault="00405D16">
            <w:pPr>
              <w:spacing w:after="100"/>
              <w:jc w:val="center"/>
              <w:rPr>
                <w:rFonts w:eastAsia="Times New Roman"/>
              </w:rPr>
            </w:pPr>
            <w:r>
              <w:rPr>
                <w:rFonts w:eastAsia="Times New Roman"/>
                <w:color w:val="000000"/>
                <w:sz w:val="20"/>
                <w:szCs w:val="20"/>
              </w:rPr>
              <w:t>Quarterly</w:t>
            </w:r>
          </w:p>
        </w:tc>
        <w:tc>
          <w:tcPr>
            <w:tcW w:w="0" w:type="auto"/>
            <w:gridSpan w:val="3"/>
            <w:shd w:val="clear" w:color="auto" w:fill="FFFFFF"/>
            <w:tcMar>
              <w:top w:w="0" w:type="dxa"/>
              <w:left w:w="20" w:type="dxa"/>
              <w:bottom w:w="0" w:type="dxa"/>
              <w:right w:w="20" w:type="dxa"/>
            </w:tcMar>
            <w:vAlign w:val="center"/>
            <w:hideMark/>
          </w:tcPr>
          <w:p w14:paraId="3FCC3768" w14:textId="77777777" w:rsidR="00000000" w:rsidRDefault="00405D16">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187670EB" w14:textId="77777777" w:rsidR="00000000" w:rsidRDefault="00405D16">
            <w:pPr>
              <w:spacing w:after="100"/>
              <w:jc w:val="center"/>
              <w:rPr>
                <w:rFonts w:eastAsia="Times New Roman"/>
              </w:rPr>
            </w:pPr>
            <w:r>
              <w:rPr>
                <w:rFonts w:eastAsia="Times New Roman"/>
                <w:b/>
                <w:bCs/>
                <w:color w:val="000000"/>
                <w:sz w:val="20"/>
                <w:szCs w:val="20"/>
              </w:rPr>
              <w:t>13.00</w:t>
            </w:r>
          </w:p>
        </w:tc>
        <w:tc>
          <w:tcPr>
            <w:tcW w:w="0" w:type="auto"/>
            <w:gridSpan w:val="3"/>
            <w:shd w:val="clear" w:color="auto" w:fill="FFFFFF"/>
            <w:tcMar>
              <w:top w:w="0" w:type="dxa"/>
              <w:left w:w="20" w:type="dxa"/>
              <w:bottom w:w="0" w:type="dxa"/>
              <w:right w:w="20" w:type="dxa"/>
            </w:tcMar>
            <w:vAlign w:val="center"/>
            <w:hideMark/>
          </w:tcPr>
          <w:p w14:paraId="12D69C93" w14:textId="77777777" w:rsidR="00000000" w:rsidRDefault="00405D16">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4E416587" w14:textId="77777777" w:rsidR="00000000" w:rsidRDefault="00405D16">
            <w:pPr>
              <w:spacing w:after="100"/>
              <w:jc w:val="center"/>
              <w:rPr>
                <w:rFonts w:eastAsia="Times New Roman"/>
              </w:rPr>
            </w:pPr>
            <w:r>
              <w:rPr>
                <w:rFonts w:eastAsia="Times New Roman"/>
                <w:color w:val="000000"/>
                <w:sz w:val="20"/>
                <w:szCs w:val="20"/>
              </w:rPr>
              <w:t>13.00</w:t>
            </w:r>
          </w:p>
        </w:tc>
        <w:tc>
          <w:tcPr>
            <w:tcW w:w="0" w:type="auto"/>
            <w:gridSpan w:val="3"/>
            <w:shd w:val="clear" w:color="auto" w:fill="FFFFFF"/>
            <w:tcMar>
              <w:top w:w="0" w:type="dxa"/>
              <w:left w:w="20" w:type="dxa"/>
              <w:bottom w:w="0" w:type="dxa"/>
              <w:right w:w="20" w:type="dxa"/>
            </w:tcMar>
            <w:vAlign w:val="center"/>
            <w:hideMark/>
          </w:tcPr>
          <w:p w14:paraId="3DE0D9BD" w14:textId="77777777" w:rsidR="00000000" w:rsidRDefault="00405D16">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760DFE80" w14:textId="77777777" w:rsidR="00000000" w:rsidRDefault="00405D16">
            <w:pPr>
              <w:spacing w:after="100"/>
              <w:jc w:val="center"/>
              <w:rPr>
                <w:rFonts w:eastAsia="Times New Roman"/>
              </w:rPr>
            </w:pPr>
            <w:r>
              <w:rPr>
                <w:rFonts w:eastAsia="Times New Roman"/>
                <w:color w:val="000000"/>
                <w:sz w:val="20"/>
                <w:szCs w:val="20"/>
              </w:rPr>
              <w:t>13.00</w:t>
            </w:r>
          </w:p>
        </w:tc>
        <w:tc>
          <w:tcPr>
            <w:tcW w:w="0" w:type="auto"/>
            <w:vAlign w:val="center"/>
            <w:hideMark/>
          </w:tcPr>
          <w:p w14:paraId="11E96259" w14:textId="77777777" w:rsidR="00000000" w:rsidRDefault="00405D16">
            <w:pPr>
              <w:spacing w:after="100"/>
              <w:jc w:val="center"/>
              <w:rPr>
                <w:rFonts w:eastAsia="Times New Roman"/>
              </w:rPr>
            </w:pPr>
          </w:p>
        </w:tc>
        <w:tc>
          <w:tcPr>
            <w:tcW w:w="0" w:type="auto"/>
            <w:vAlign w:val="center"/>
            <w:hideMark/>
          </w:tcPr>
          <w:p w14:paraId="416EAEE6" w14:textId="77777777" w:rsidR="00000000" w:rsidRDefault="00405D16">
            <w:pPr>
              <w:spacing w:after="100"/>
              <w:rPr>
                <w:rFonts w:eastAsia="Times New Roman"/>
                <w:sz w:val="20"/>
                <w:szCs w:val="20"/>
              </w:rPr>
            </w:pPr>
          </w:p>
        </w:tc>
      </w:tr>
      <w:tr w:rsidR="00000000" w14:paraId="42598427" w14:textId="77777777">
        <w:trPr>
          <w:divId w:val="2003771939"/>
        </w:trPr>
        <w:tc>
          <w:tcPr>
            <w:tcW w:w="0" w:type="auto"/>
            <w:gridSpan w:val="3"/>
            <w:shd w:val="clear" w:color="auto" w:fill="CCEEFF"/>
            <w:tcMar>
              <w:top w:w="30" w:type="dxa"/>
              <w:left w:w="20" w:type="dxa"/>
              <w:bottom w:w="30" w:type="dxa"/>
              <w:right w:w="20" w:type="dxa"/>
            </w:tcMar>
            <w:hideMark/>
          </w:tcPr>
          <w:p w14:paraId="67C93538" w14:textId="77777777" w:rsidR="00000000" w:rsidRDefault="00405D16">
            <w:pPr>
              <w:spacing w:after="100"/>
              <w:rPr>
                <w:rFonts w:eastAsia="Times New Roman"/>
              </w:rPr>
            </w:pPr>
            <w:r>
              <w:rPr>
                <w:rFonts w:eastAsia="Times New Roman"/>
                <w:b/>
                <w:bCs/>
                <w:color w:val="000000"/>
                <w:sz w:val="20"/>
                <w:szCs w:val="20"/>
              </w:rPr>
              <w:t>Series H</w:t>
            </w:r>
          </w:p>
        </w:tc>
        <w:tc>
          <w:tcPr>
            <w:tcW w:w="0" w:type="auto"/>
            <w:gridSpan w:val="3"/>
            <w:shd w:val="clear" w:color="auto" w:fill="CCEEFF"/>
            <w:tcMar>
              <w:top w:w="0" w:type="dxa"/>
              <w:left w:w="20" w:type="dxa"/>
              <w:bottom w:w="0" w:type="dxa"/>
              <w:right w:w="20" w:type="dxa"/>
            </w:tcMar>
            <w:vAlign w:val="center"/>
            <w:hideMark/>
          </w:tcPr>
          <w:p w14:paraId="2D0B84A7" w14:textId="77777777" w:rsidR="00000000" w:rsidRDefault="00405D16">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2DECD64F" w14:textId="77777777" w:rsidR="00000000" w:rsidRDefault="00405D16">
            <w:pPr>
              <w:spacing w:after="100"/>
              <w:jc w:val="center"/>
              <w:rPr>
                <w:rFonts w:eastAsia="Times New Roman"/>
              </w:rPr>
            </w:pPr>
            <w:r>
              <w:rPr>
                <w:rFonts w:eastAsia="Times New Roman"/>
                <w:color w:val="000000"/>
                <w:sz w:val="20"/>
                <w:szCs w:val="20"/>
              </w:rPr>
              <w:t xml:space="preserve">6.000% </w:t>
            </w:r>
            <w:r>
              <w:rPr>
                <w:rFonts w:eastAsia="Times New Roman"/>
                <w:color w:val="000000"/>
                <w:sz w:val="20"/>
                <w:szCs w:val="20"/>
              </w:rPr>
              <w:br/>
            </w:r>
            <w:r>
              <w:rPr>
                <w:rFonts w:eastAsia="Times New Roman"/>
                <w:color w:val="000000"/>
                <w:sz w:val="20"/>
                <w:szCs w:val="20"/>
              </w:rPr>
              <w:t>Non-Cumulative</w:t>
            </w:r>
          </w:p>
        </w:tc>
        <w:tc>
          <w:tcPr>
            <w:tcW w:w="0" w:type="auto"/>
            <w:gridSpan w:val="3"/>
            <w:shd w:val="clear" w:color="auto" w:fill="CCEEFF"/>
            <w:tcMar>
              <w:top w:w="0" w:type="dxa"/>
              <w:left w:w="20" w:type="dxa"/>
              <w:bottom w:w="0" w:type="dxa"/>
              <w:right w:w="20" w:type="dxa"/>
            </w:tcMar>
            <w:vAlign w:val="center"/>
            <w:hideMark/>
          </w:tcPr>
          <w:p w14:paraId="71E64DCB" w14:textId="77777777" w:rsidR="00000000" w:rsidRDefault="00405D16">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2B434E52" w14:textId="77777777" w:rsidR="00000000" w:rsidRDefault="00405D16">
            <w:pPr>
              <w:spacing w:after="100"/>
              <w:jc w:val="center"/>
              <w:rPr>
                <w:rFonts w:eastAsia="Times New Roman"/>
              </w:rPr>
            </w:pPr>
            <w:r>
              <w:rPr>
                <w:rFonts w:eastAsia="Times New Roman"/>
                <w:color w:val="000000"/>
                <w:sz w:val="20"/>
                <w:szCs w:val="20"/>
              </w:rPr>
              <w:t>November 29, 2016</w:t>
            </w:r>
          </w:p>
        </w:tc>
        <w:tc>
          <w:tcPr>
            <w:tcW w:w="0" w:type="auto"/>
            <w:gridSpan w:val="3"/>
            <w:shd w:val="clear" w:color="auto" w:fill="CCEEFF"/>
            <w:tcMar>
              <w:top w:w="0" w:type="dxa"/>
              <w:left w:w="20" w:type="dxa"/>
              <w:bottom w:w="0" w:type="dxa"/>
              <w:right w:w="20" w:type="dxa"/>
            </w:tcMar>
            <w:vAlign w:val="center"/>
            <w:hideMark/>
          </w:tcPr>
          <w:p w14:paraId="50207714" w14:textId="77777777" w:rsidR="00000000" w:rsidRDefault="00405D16">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08852B90" w14:textId="77777777" w:rsidR="00000000" w:rsidRDefault="00405D16">
            <w:pPr>
              <w:spacing w:after="100"/>
              <w:jc w:val="center"/>
              <w:rPr>
                <w:rFonts w:eastAsia="Times New Roman"/>
              </w:rPr>
            </w:pPr>
            <w:r>
              <w:rPr>
                <w:rFonts w:eastAsia="Times New Roman"/>
                <w:color w:val="000000"/>
                <w:sz w:val="20"/>
                <w:szCs w:val="20"/>
              </w:rPr>
              <w:t>6.000</w:t>
            </w:r>
          </w:p>
        </w:tc>
        <w:tc>
          <w:tcPr>
            <w:tcW w:w="0" w:type="auto"/>
            <w:gridSpan w:val="3"/>
            <w:shd w:val="clear" w:color="auto" w:fill="CCEEFF"/>
            <w:tcMar>
              <w:top w:w="0" w:type="dxa"/>
              <w:left w:w="20" w:type="dxa"/>
              <w:bottom w:w="0" w:type="dxa"/>
              <w:right w:w="20" w:type="dxa"/>
            </w:tcMar>
            <w:vAlign w:val="center"/>
            <w:hideMark/>
          </w:tcPr>
          <w:p w14:paraId="77E4D900" w14:textId="77777777" w:rsidR="00000000" w:rsidRDefault="00405D16">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2165BCDA" w14:textId="77777777" w:rsidR="00000000" w:rsidRDefault="00405D16">
            <w:pPr>
              <w:spacing w:after="100"/>
              <w:jc w:val="center"/>
              <w:rPr>
                <w:rFonts w:eastAsia="Times New Roman"/>
              </w:rPr>
            </w:pPr>
            <w:r>
              <w:rPr>
                <w:rFonts w:eastAsia="Times New Roman"/>
                <w:color w:val="000000"/>
                <w:sz w:val="20"/>
                <w:szCs w:val="20"/>
              </w:rPr>
              <w:t>Quarterly</w:t>
            </w:r>
          </w:p>
        </w:tc>
        <w:tc>
          <w:tcPr>
            <w:tcW w:w="0" w:type="auto"/>
            <w:gridSpan w:val="3"/>
            <w:shd w:val="clear" w:color="auto" w:fill="CCEEFF"/>
            <w:tcMar>
              <w:top w:w="0" w:type="dxa"/>
              <w:left w:w="20" w:type="dxa"/>
              <w:bottom w:w="0" w:type="dxa"/>
              <w:right w:w="20" w:type="dxa"/>
            </w:tcMar>
            <w:vAlign w:val="center"/>
            <w:hideMark/>
          </w:tcPr>
          <w:p w14:paraId="570AC7BE" w14:textId="77777777" w:rsidR="00000000" w:rsidRDefault="00405D16">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539DA7FA" w14:textId="77777777" w:rsidR="00000000" w:rsidRDefault="00405D16">
            <w:pPr>
              <w:spacing w:after="100"/>
              <w:jc w:val="center"/>
              <w:rPr>
                <w:rFonts w:eastAsia="Times New Roman"/>
              </w:rPr>
            </w:pPr>
            <w:r>
              <w:rPr>
                <w:rFonts w:eastAsia="Times New Roman"/>
                <w:b/>
                <w:bCs/>
                <w:color w:val="000000"/>
                <w:sz w:val="20"/>
                <w:szCs w:val="20"/>
              </w:rPr>
              <w:t>15.00</w:t>
            </w:r>
          </w:p>
        </w:tc>
        <w:tc>
          <w:tcPr>
            <w:tcW w:w="0" w:type="auto"/>
            <w:gridSpan w:val="3"/>
            <w:shd w:val="clear" w:color="auto" w:fill="CCEEFF"/>
            <w:tcMar>
              <w:top w:w="0" w:type="dxa"/>
              <w:left w:w="20" w:type="dxa"/>
              <w:bottom w:w="0" w:type="dxa"/>
              <w:right w:w="20" w:type="dxa"/>
            </w:tcMar>
            <w:vAlign w:val="center"/>
            <w:hideMark/>
          </w:tcPr>
          <w:p w14:paraId="6242077F" w14:textId="77777777" w:rsidR="00000000" w:rsidRDefault="00405D16">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1A267FA3" w14:textId="77777777" w:rsidR="00000000" w:rsidRDefault="00405D16">
            <w:pPr>
              <w:spacing w:after="100"/>
              <w:jc w:val="center"/>
              <w:rPr>
                <w:rFonts w:eastAsia="Times New Roman"/>
              </w:rPr>
            </w:pPr>
            <w:r>
              <w:rPr>
                <w:rFonts w:eastAsia="Times New Roman"/>
                <w:color w:val="000000"/>
                <w:sz w:val="20"/>
                <w:szCs w:val="20"/>
              </w:rPr>
              <w:t>15.00</w:t>
            </w:r>
          </w:p>
        </w:tc>
        <w:tc>
          <w:tcPr>
            <w:tcW w:w="0" w:type="auto"/>
            <w:gridSpan w:val="3"/>
            <w:shd w:val="clear" w:color="auto" w:fill="CCEEFF"/>
            <w:tcMar>
              <w:top w:w="0" w:type="dxa"/>
              <w:left w:w="20" w:type="dxa"/>
              <w:bottom w:w="0" w:type="dxa"/>
              <w:right w:w="20" w:type="dxa"/>
            </w:tcMar>
            <w:vAlign w:val="center"/>
            <w:hideMark/>
          </w:tcPr>
          <w:p w14:paraId="51FB444A" w14:textId="77777777" w:rsidR="00000000" w:rsidRDefault="00405D16">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2F77ADF0" w14:textId="77777777" w:rsidR="00000000" w:rsidRDefault="00405D16">
            <w:pPr>
              <w:spacing w:after="100"/>
              <w:jc w:val="center"/>
              <w:rPr>
                <w:rFonts w:eastAsia="Times New Roman"/>
              </w:rPr>
            </w:pPr>
            <w:r>
              <w:rPr>
                <w:rFonts w:eastAsia="Times New Roman"/>
                <w:color w:val="000000"/>
                <w:sz w:val="20"/>
                <w:szCs w:val="20"/>
              </w:rPr>
              <w:t>15.00</w:t>
            </w:r>
          </w:p>
        </w:tc>
        <w:tc>
          <w:tcPr>
            <w:tcW w:w="0" w:type="auto"/>
            <w:vAlign w:val="center"/>
            <w:hideMark/>
          </w:tcPr>
          <w:p w14:paraId="1D58AEF9" w14:textId="77777777" w:rsidR="00000000" w:rsidRDefault="00405D16">
            <w:pPr>
              <w:spacing w:after="100"/>
              <w:jc w:val="center"/>
              <w:rPr>
                <w:rFonts w:eastAsia="Times New Roman"/>
              </w:rPr>
            </w:pPr>
          </w:p>
        </w:tc>
        <w:tc>
          <w:tcPr>
            <w:tcW w:w="0" w:type="auto"/>
            <w:vAlign w:val="center"/>
            <w:hideMark/>
          </w:tcPr>
          <w:p w14:paraId="6E3D57AD" w14:textId="77777777" w:rsidR="00000000" w:rsidRDefault="00405D16">
            <w:pPr>
              <w:spacing w:after="100"/>
              <w:rPr>
                <w:rFonts w:eastAsia="Times New Roman"/>
                <w:sz w:val="20"/>
                <w:szCs w:val="20"/>
              </w:rPr>
            </w:pPr>
          </w:p>
        </w:tc>
      </w:tr>
      <w:tr w:rsidR="00000000" w14:paraId="5201166D" w14:textId="77777777">
        <w:trPr>
          <w:divId w:val="2003771939"/>
        </w:trPr>
        <w:tc>
          <w:tcPr>
            <w:tcW w:w="0" w:type="auto"/>
            <w:gridSpan w:val="3"/>
            <w:shd w:val="clear" w:color="auto" w:fill="FFFFFF"/>
            <w:tcMar>
              <w:top w:w="30" w:type="dxa"/>
              <w:left w:w="20" w:type="dxa"/>
              <w:bottom w:w="30" w:type="dxa"/>
              <w:right w:w="20" w:type="dxa"/>
            </w:tcMar>
            <w:hideMark/>
          </w:tcPr>
          <w:p w14:paraId="7F2FB331" w14:textId="77777777" w:rsidR="00000000" w:rsidRDefault="00405D16">
            <w:pPr>
              <w:spacing w:after="100"/>
              <w:rPr>
                <w:rFonts w:eastAsia="Times New Roman"/>
              </w:rPr>
            </w:pPr>
            <w:r>
              <w:rPr>
                <w:rFonts w:eastAsia="Times New Roman"/>
                <w:b/>
                <w:bCs/>
                <w:color w:val="000000"/>
                <w:sz w:val="20"/>
                <w:szCs w:val="20"/>
              </w:rPr>
              <w:t>Series I</w:t>
            </w:r>
          </w:p>
        </w:tc>
        <w:tc>
          <w:tcPr>
            <w:tcW w:w="0" w:type="auto"/>
            <w:gridSpan w:val="3"/>
            <w:shd w:val="clear" w:color="auto" w:fill="FFFFFF"/>
            <w:tcMar>
              <w:top w:w="0" w:type="dxa"/>
              <w:left w:w="20" w:type="dxa"/>
              <w:bottom w:w="0" w:type="dxa"/>
              <w:right w:w="20" w:type="dxa"/>
            </w:tcMar>
            <w:vAlign w:val="center"/>
            <w:hideMark/>
          </w:tcPr>
          <w:p w14:paraId="63FA55A3" w14:textId="77777777" w:rsidR="00000000" w:rsidRDefault="00405D1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15B42B5B" w14:textId="77777777" w:rsidR="00000000" w:rsidRDefault="00405D16">
            <w:pPr>
              <w:spacing w:after="100"/>
              <w:jc w:val="center"/>
              <w:rPr>
                <w:rFonts w:eastAsia="Times New Roman"/>
              </w:rPr>
            </w:pPr>
            <w:r>
              <w:rPr>
                <w:rFonts w:eastAsia="Times New Roman"/>
                <w:color w:val="000000"/>
                <w:sz w:val="20"/>
                <w:szCs w:val="20"/>
              </w:rPr>
              <w:t xml:space="preserve">5.000% </w:t>
            </w:r>
            <w:r>
              <w:rPr>
                <w:rFonts w:eastAsia="Times New Roman"/>
                <w:color w:val="000000"/>
                <w:sz w:val="20"/>
                <w:szCs w:val="20"/>
              </w:rPr>
              <w:br/>
              <w:t>Non-Cumulative</w:t>
            </w:r>
          </w:p>
        </w:tc>
        <w:tc>
          <w:tcPr>
            <w:tcW w:w="0" w:type="auto"/>
            <w:gridSpan w:val="3"/>
            <w:shd w:val="clear" w:color="auto" w:fill="FFFFFF"/>
            <w:tcMar>
              <w:top w:w="0" w:type="dxa"/>
              <w:left w:w="20" w:type="dxa"/>
              <w:bottom w:w="0" w:type="dxa"/>
              <w:right w:w="20" w:type="dxa"/>
            </w:tcMar>
            <w:vAlign w:val="center"/>
            <w:hideMark/>
          </w:tcPr>
          <w:p w14:paraId="3BEFED11" w14:textId="77777777" w:rsidR="00000000" w:rsidRDefault="00405D16">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7E66890D" w14:textId="77777777" w:rsidR="00000000" w:rsidRDefault="00405D16">
            <w:pPr>
              <w:spacing w:after="100"/>
              <w:jc w:val="center"/>
              <w:rPr>
                <w:rFonts w:eastAsia="Times New Roman"/>
              </w:rPr>
            </w:pPr>
            <w:r>
              <w:rPr>
                <w:rFonts w:eastAsia="Times New Roman"/>
                <w:color w:val="000000"/>
                <w:sz w:val="20"/>
                <w:szCs w:val="20"/>
              </w:rPr>
              <w:t>September 11, 2019</w:t>
            </w:r>
          </w:p>
        </w:tc>
        <w:tc>
          <w:tcPr>
            <w:tcW w:w="0" w:type="auto"/>
            <w:gridSpan w:val="3"/>
            <w:shd w:val="clear" w:color="auto" w:fill="FFFFFF"/>
            <w:tcMar>
              <w:top w:w="0" w:type="dxa"/>
              <w:left w:w="20" w:type="dxa"/>
              <w:bottom w:w="0" w:type="dxa"/>
              <w:right w:w="20" w:type="dxa"/>
            </w:tcMar>
            <w:vAlign w:val="center"/>
            <w:hideMark/>
          </w:tcPr>
          <w:p w14:paraId="3EA4BCCC" w14:textId="77777777" w:rsidR="00000000" w:rsidRDefault="00405D16">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50EBA85D" w14:textId="77777777" w:rsidR="00000000" w:rsidRDefault="00405D16">
            <w:pPr>
              <w:spacing w:after="100"/>
              <w:jc w:val="center"/>
              <w:rPr>
                <w:rFonts w:eastAsia="Times New Roman"/>
              </w:rPr>
            </w:pPr>
            <w:r>
              <w:rPr>
                <w:rFonts w:eastAsia="Times New Roman"/>
                <w:color w:val="000000"/>
                <w:sz w:val="20"/>
                <w:szCs w:val="20"/>
              </w:rPr>
              <w:t>5.000</w:t>
            </w:r>
          </w:p>
        </w:tc>
        <w:tc>
          <w:tcPr>
            <w:tcW w:w="0" w:type="auto"/>
            <w:gridSpan w:val="3"/>
            <w:shd w:val="clear" w:color="auto" w:fill="FFFFFF"/>
            <w:tcMar>
              <w:top w:w="0" w:type="dxa"/>
              <w:left w:w="20" w:type="dxa"/>
              <w:bottom w:w="0" w:type="dxa"/>
              <w:right w:w="20" w:type="dxa"/>
            </w:tcMar>
            <w:vAlign w:val="center"/>
            <w:hideMark/>
          </w:tcPr>
          <w:p w14:paraId="7BA6D1D8" w14:textId="77777777" w:rsidR="00000000" w:rsidRDefault="00405D16">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49CD5869" w14:textId="77777777" w:rsidR="00000000" w:rsidRDefault="00405D16">
            <w:pPr>
              <w:spacing w:after="100"/>
              <w:jc w:val="center"/>
              <w:rPr>
                <w:rFonts w:eastAsia="Times New Roman"/>
              </w:rPr>
            </w:pPr>
            <w:r>
              <w:rPr>
                <w:rFonts w:eastAsia="Times New Roman"/>
                <w:color w:val="000000"/>
                <w:sz w:val="20"/>
                <w:szCs w:val="20"/>
              </w:rPr>
              <w:t>Quarterly</w:t>
            </w:r>
          </w:p>
        </w:tc>
        <w:tc>
          <w:tcPr>
            <w:tcW w:w="0" w:type="auto"/>
            <w:gridSpan w:val="3"/>
            <w:shd w:val="clear" w:color="auto" w:fill="FFFFFF"/>
            <w:tcMar>
              <w:top w:w="0" w:type="dxa"/>
              <w:left w:w="20" w:type="dxa"/>
              <w:bottom w:w="0" w:type="dxa"/>
              <w:right w:w="20" w:type="dxa"/>
            </w:tcMar>
            <w:vAlign w:val="center"/>
            <w:hideMark/>
          </w:tcPr>
          <w:p w14:paraId="65C5813E" w14:textId="77777777" w:rsidR="00000000" w:rsidRDefault="00405D16">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64FC2434" w14:textId="77777777" w:rsidR="00000000" w:rsidRDefault="00405D16">
            <w:pPr>
              <w:spacing w:after="100"/>
              <w:jc w:val="center"/>
              <w:rPr>
                <w:rFonts w:eastAsia="Times New Roman"/>
              </w:rPr>
            </w:pPr>
            <w:r>
              <w:rPr>
                <w:rFonts w:eastAsia="Times New Roman"/>
                <w:b/>
                <w:bCs/>
                <w:color w:val="000000"/>
                <w:sz w:val="20"/>
                <w:szCs w:val="20"/>
              </w:rPr>
              <w:t>12.50</w:t>
            </w:r>
          </w:p>
        </w:tc>
        <w:tc>
          <w:tcPr>
            <w:tcW w:w="0" w:type="auto"/>
            <w:gridSpan w:val="3"/>
            <w:shd w:val="clear" w:color="auto" w:fill="FFFFFF"/>
            <w:tcMar>
              <w:top w:w="0" w:type="dxa"/>
              <w:left w:w="20" w:type="dxa"/>
              <w:bottom w:w="0" w:type="dxa"/>
              <w:right w:w="20" w:type="dxa"/>
            </w:tcMar>
            <w:vAlign w:val="center"/>
            <w:hideMark/>
          </w:tcPr>
          <w:p w14:paraId="3805C252" w14:textId="77777777" w:rsidR="00000000" w:rsidRDefault="00405D16">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4FFC9F0D" w14:textId="77777777" w:rsidR="00000000" w:rsidRDefault="00405D16">
            <w:pPr>
              <w:spacing w:after="100"/>
              <w:jc w:val="center"/>
              <w:rPr>
                <w:rFonts w:eastAsia="Times New Roman"/>
              </w:rPr>
            </w:pPr>
            <w:r>
              <w:rPr>
                <w:rFonts w:eastAsia="Times New Roman"/>
                <w:color w:val="000000"/>
                <w:sz w:val="20"/>
                <w:szCs w:val="20"/>
              </w:rPr>
              <w:t>12.50</w:t>
            </w:r>
          </w:p>
        </w:tc>
        <w:tc>
          <w:tcPr>
            <w:tcW w:w="0" w:type="auto"/>
            <w:gridSpan w:val="3"/>
            <w:shd w:val="clear" w:color="auto" w:fill="FFFFFF"/>
            <w:tcMar>
              <w:top w:w="0" w:type="dxa"/>
              <w:left w:w="20" w:type="dxa"/>
              <w:bottom w:w="0" w:type="dxa"/>
              <w:right w:w="20" w:type="dxa"/>
            </w:tcMar>
            <w:vAlign w:val="center"/>
            <w:hideMark/>
          </w:tcPr>
          <w:p w14:paraId="296E98B4" w14:textId="77777777" w:rsidR="00000000" w:rsidRDefault="00405D16">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12E50936" w14:textId="77777777" w:rsidR="00000000" w:rsidRDefault="00405D16">
            <w:pPr>
              <w:spacing w:after="100"/>
              <w:jc w:val="center"/>
              <w:rPr>
                <w:rFonts w:eastAsia="Times New Roman"/>
              </w:rPr>
            </w:pPr>
            <w:r>
              <w:rPr>
                <w:rFonts w:eastAsia="Times New Roman"/>
                <w:color w:val="000000"/>
                <w:sz w:val="20"/>
                <w:szCs w:val="20"/>
              </w:rPr>
              <w:t>12.50</w:t>
            </w:r>
          </w:p>
        </w:tc>
        <w:tc>
          <w:tcPr>
            <w:tcW w:w="0" w:type="auto"/>
            <w:vAlign w:val="center"/>
            <w:hideMark/>
          </w:tcPr>
          <w:p w14:paraId="779F0B98" w14:textId="77777777" w:rsidR="00000000" w:rsidRDefault="00405D16">
            <w:pPr>
              <w:spacing w:after="100"/>
              <w:jc w:val="center"/>
              <w:rPr>
                <w:rFonts w:eastAsia="Times New Roman"/>
              </w:rPr>
            </w:pPr>
          </w:p>
        </w:tc>
        <w:tc>
          <w:tcPr>
            <w:tcW w:w="0" w:type="auto"/>
            <w:vAlign w:val="center"/>
            <w:hideMark/>
          </w:tcPr>
          <w:p w14:paraId="2B8CC227" w14:textId="77777777" w:rsidR="00000000" w:rsidRDefault="00405D16">
            <w:pPr>
              <w:spacing w:after="100"/>
              <w:rPr>
                <w:rFonts w:eastAsia="Times New Roman"/>
                <w:sz w:val="20"/>
                <w:szCs w:val="20"/>
              </w:rPr>
            </w:pPr>
          </w:p>
        </w:tc>
      </w:tr>
      <w:tr w:rsidR="00000000" w14:paraId="40C543EC" w14:textId="77777777">
        <w:trPr>
          <w:divId w:val="2003771939"/>
        </w:trPr>
        <w:tc>
          <w:tcPr>
            <w:tcW w:w="0" w:type="auto"/>
            <w:gridSpan w:val="3"/>
            <w:shd w:val="clear" w:color="auto" w:fill="CCEEFF"/>
            <w:tcMar>
              <w:top w:w="30" w:type="dxa"/>
              <w:left w:w="20" w:type="dxa"/>
              <w:bottom w:w="30" w:type="dxa"/>
              <w:right w:w="20" w:type="dxa"/>
            </w:tcMar>
            <w:hideMark/>
          </w:tcPr>
          <w:p w14:paraId="0EC63FA6" w14:textId="77777777" w:rsidR="00000000" w:rsidRDefault="00405D16">
            <w:pPr>
              <w:spacing w:after="100"/>
              <w:rPr>
                <w:rFonts w:eastAsia="Times New Roman"/>
              </w:rPr>
            </w:pPr>
            <w:r>
              <w:rPr>
                <w:rFonts w:eastAsia="Times New Roman"/>
                <w:b/>
                <w:bCs/>
                <w:color w:val="000000"/>
                <w:sz w:val="20"/>
                <w:szCs w:val="20"/>
              </w:rPr>
              <w:t>Series J</w:t>
            </w:r>
          </w:p>
        </w:tc>
        <w:tc>
          <w:tcPr>
            <w:tcW w:w="0" w:type="auto"/>
            <w:gridSpan w:val="3"/>
            <w:shd w:val="clear" w:color="auto" w:fill="CCEEFF"/>
            <w:tcMar>
              <w:top w:w="0" w:type="dxa"/>
              <w:left w:w="20" w:type="dxa"/>
              <w:bottom w:w="0" w:type="dxa"/>
              <w:right w:w="20" w:type="dxa"/>
            </w:tcMar>
            <w:vAlign w:val="center"/>
            <w:hideMark/>
          </w:tcPr>
          <w:p w14:paraId="668473EE" w14:textId="77777777" w:rsidR="00000000" w:rsidRDefault="00405D16">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02606D3F" w14:textId="77777777" w:rsidR="00000000" w:rsidRDefault="00405D16">
            <w:pPr>
              <w:spacing w:after="100"/>
              <w:jc w:val="center"/>
              <w:rPr>
                <w:rFonts w:eastAsia="Times New Roman"/>
              </w:rPr>
            </w:pPr>
            <w:r>
              <w:rPr>
                <w:rFonts w:eastAsia="Times New Roman"/>
                <w:color w:val="000000"/>
                <w:sz w:val="20"/>
                <w:szCs w:val="20"/>
              </w:rPr>
              <w:t xml:space="preserve">4.800% </w:t>
            </w:r>
            <w:r>
              <w:rPr>
                <w:rFonts w:eastAsia="Times New Roman"/>
                <w:color w:val="000000"/>
                <w:sz w:val="20"/>
                <w:szCs w:val="20"/>
              </w:rPr>
              <w:br/>
              <w:t>Non-Cumulative</w:t>
            </w:r>
          </w:p>
        </w:tc>
        <w:tc>
          <w:tcPr>
            <w:tcW w:w="0" w:type="auto"/>
            <w:gridSpan w:val="3"/>
            <w:shd w:val="clear" w:color="auto" w:fill="CCEEFF"/>
            <w:tcMar>
              <w:top w:w="0" w:type="dxa"/>
              <w:left w:w="20" w:type="dxa"/>
              <w:bottom w:w="0" w:type="dxa"/>
              <w:right w:w="20" w:type="dxa"/>
            </w:tcMar>
            <w:vAlign w:val="center"/>
            <w:hideMark/>
          </w:tcPr>
          <w:p w14:paraId="484BC00F" w14:textId="77777777" w:rsidR="00000000" w:rsidRDefault="00405D16">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1D13E5CE" w14:textId="77777777" w:rsidR="00000000" w:rsidRDefault="00405D16">
            <w:pPr>
              <w:spacing w:after="100"/>
              <w:jc w:val="center"/>
              <w:rPr>
                <w:rFonts w:eastAsia="Times New Roman"/>
              </w:rPr>
            </w:pPr>
            <w:r>
              <w:rPr>
                <w:rFonts w:eastAsia="Times New Roman"/>
                <w:color w:val="000000"/>
                <w:sz w:val="20"/>
                <w:szCs w:val="20"/>
              </w:rPr>
              <w:t>January 31, 2020</w:t>
            </w:r>
          </w:p>
        </w:tc>
        <w:tc>
          <w:tcPr>
            <w:tcW w:w="0" w:type="auto"/>
            <w:gridSpan w:val="3"/>
            <w:shd w:val="clear" w:color="auto" w:fill="CCEEFF"/>
            <w:tcMar>
              <w:top w:w="0" w:type="dxa"/>
              <w:left w:w="20" w:type="dxa"/>
              <w:bottom w:w="0" w:type="dxa"/>
              <w:right w:w="20" w:type="dxa"/>
            </w:tcMar>
            <w:vAlign w:val="center"/>
            <w:hideMark/>
          </w:tcPr>
          <w:p w14:paraId="1F63DEF6" w14:textId="77777777" w:rsidR="00000000" w:rsidRDefault="00405D16">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556D5603" w14:textId="77777777" w:rsidR="00000000" w:rsidRDefault="00405D16">
            <w:pPr>
              <w:spacing w:after="100"/>
              <w:jc w:val="center"/>
              <w:rPr>
                <w:rFonts w:eastAsia="Times New Roman"/>
              </w:rPr>
            </w:pPr>
            <w:r>
              <w:rPr>
                <w:rFonts w:eastAsia="Times New Roman"/>
                <w:color w:val="000000"/>
                <w:sz w:val="20"/>
                <w:szCs w:val="20"/>
              </w:rPr>
              <w:t>4.800</w:t>
            </w:r>
          </w:p>
        </w:tc>
        <w:tc>
          <w:tcPr>
            <w:tcW w:w="0" w:type="auto"/>
            <w:gridSpan w:val="3"/>
            <w:shd w:val="clear" w:color="auto" w:fill="CCEEFF"/>
            <w:tcMar>
              <w:top w:w="0" w:type="dxa"/>
              <w:left w:w="20" w:type="dxa"/>
              <w:bottom w:w="0" w:type="dxa"/>
              <w:right w:w="20" w:type="dxa"/>
            </w:tcMar>
            <w:vAlign w:val="center"/>
            <w:hideMark/>
          </w:tcPr>
          <w:p w14:paraId="5E899857" w14:textId="77777777" w:rsidR="00000000" w:rsidRDefault="00405D16">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5FA626FB" w14:textId="77777777" w:rsidR="00000000" w:rsidRDefault="00405D16">
            <w:pPr>
              <w:spacing w:after="100"/>
              <w:jc w:val="center"/>
              <w:rPr>
                <w:rFonts w:eastAsia="Times New Roman"/>
              </w:rPr>
            </w:pPr>
            <w:r>
              <w:rPr>
                <w:rFonts w:eastAsia="Times New Roman"/>
                <w:color w:val="000000"/>
                <w:sz w:val="20"/>
                <w:szCs w:val="20"/>
              </w:rPr>
              <w:t>Quarterly</w:t>
            </w:r>
          </w:p>
        </w:tc>
        <w:tc>
          <w:tcPr>
            <w:tcW w:w="0" w:type="auto"/>
            <w:gridSpan w:val="3"/>
            <w:shd w:val="clear" w:color="auto" w:fill="CCEEFF"/>
            <w:tcMar>
              <w:top w:w="0" w:type="dxa"/>
              <w:left w:w="20" w:type="dxa"/>
              <w:bottom w:w="0" w:type="dxa"/>
              <w:right w:w="20" w:type="dxa"/>
            </w:tcMar>
            <w:vAlign w:val="center"/>
            <w:hideMark/>
          </w:tcPr>
          <w:p w14:paraId="0432622C" w14:textId="77777777" w:rsidR="00000000" w:rsidRDefault="00405D16">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1BECF68C" w14:textId="77777777" w:rsidR="00000000" w:rsidRDefault="00405D16">
            <w:pPr>
              <w:spacing w:after="100"/>
              <w:jc w:val="center"/>
              <w:rPr>
                <w:rFonts w:eastAsia="Times New Roman"/>
              </w:rPr>
            </w:pPr>
            <w:r>
              <w:rPr>
                <w:rFonts w:eastAsia="Times New Roman"/>
                <w:b/>
                <w:bCs/>
                <w:color w:val="000000"/>
                <w:sz w:val="20"/>
                <w:szCs w:val="20"/>
              </w:rPr>
              <w:t>12.00</w:t>
            </w:r>
          </w:p>
        </w:tc>
        <w:tc>
          <w:tcPr>
            <w:tcW w:w="0" w:type="auto"/>
            <w:gridSpan w:val="3"/>
            <w:shd w:val="clear" w:color="auto" w:fill="CCEEFF"/>
            <w:tcMar>
              <w:top w:w="0" w:type="dxa"/>
              <w:left w:w="20" w:type="dxa"/>
              <w:bottom w:w="0" w:type="dxa"/>
              <w:right w:w="20" w:type="dxa"/>
            </w:tcMar>
            <w:vAlign w:val="center"/>
            <w:hideMark/>
          </w:tcPr>
          <w:p w14:paraId="6CBB140D" w14:textId="77777777" w:rsidR="00000000" w:rsidRDefault="00405D16">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5FFD2398" w14:textId="77777777" w:rsidR="00000000" w:rsidRDefault="00405D16">
            <w:pPr>
              <w:spacing w:after="100"/>
              <w:jc w:val="center"/>
              <w:rPr>
                <w:rFonts w:eastAsia="Times New Roman"/>
              </w:rPr>
            </w:pPr>
            <w:r>
              <w:rPr>
                <w:rFonts w:eastAsia="Times New Roman"/>
                <w:color w:val="000000"/>
                <w:sz w:val="20"/>
                <w:szCs w:val="20"/>
              </w:rPr>
              <w:t>12.00</w:t>
            </w:r>
          </w:p>
        </w:tc>
        <w:tc>
          <w:tcPr>
            <w:tcW w:w="0" w:type="auto"/>
            <w:gridSpan w:val="3"/>
            <w:shd w:val="clear" w:color="auto" w:fill="CCEEFF"/>
            <w:tcMar>
              <w:top w:w="0" w:type="dxa"/>
              <w:left w:w="20" w:type="dxa"/>
              <w:bottom w:w="0" w:type="dxa"/>
              <w:right w:w="20" w:type="dxa"/>
            </w:tcMar>
            <w:vAlign w:val="center"/>
            <w:hideMark/>
          </w:tcPr>
          <w:p w14:paraId="0D4B5537" w14:textId="77777777" w:rsidR="00000000" w:rsidRDefault="00405D16">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1E10CE0A" w14:textId="77777777" w:rsidR="00000000" w:rsidRDefault="00405D16">
            <w:pPr>
              <w:spacing w:after="100"/>
              <w:jc w:val="center"/>
              <w:rPr>
                <w:rFonts w:eastAsia="Times New Roman"/>
              </w:rPr>
            </w:pPr>
            <w:r>
              <w:rPr>
                <w:rFonts w:eastAsia="Times New Roman"/>
                <w:color w:val="000000"/>
                <w:sz w:val="20"/>
                <w:szCs w:val="20"/>
              </w:rPr>
              <w:t>12.00</w:t>
            </w:r>
          </w:p>
        </w:tc>
        <w:tc>
          <w:tcPr>
            <w:tcW w:w="0" w:type="auto"/>
            <w:vAlign w:val="center"/>
            <w:hideMark/>
          </w:tcPr>
          <w:p w14:paraId="05BD0BCF" w14:textId="77777777" w:rsidR="00000000" w:rsidRDefault="00405D16">
            <w:pPr>
              <w:spacing w:after="100"/>
              <w:jc w:val="center"/>
              <w:rPr>
                <w:rFonts w:eastAsia="Times New Roman"/>
              </w:rPr>
            </w:pPr>
          </w:p>
        </w:tc>
        <w:tc>
          <w:tcPr>
            <w:tcW w:w="0" w:type="auto"/>
            <w:vAlign w:val="center"/>
            <w:hideMark/>
          </w:tcPr>
          <w:p w14:paraId="407AC430" w14:textId="77777777" w:rsidR="00000000" w:rsidRDefault="00405D16">
            <w:pPr>
              <w:spacing w:after="100"/>
              <w:rPr>
                <w:rFonts w:eastAsia="Times New Roman"/>
                <w:sz w:val="20"/>
                <w:szCs w:val="20"/>
              </w:rPr>
            </w:pPr>
          </w:p>
        </w:tc>
      </w:tr>
      <w:tr w:rsidR="00000000" w14:paraId="022191C3" w14:textId="77777777">
        <w:trPr>
          <w:divId w:val="2003771939"/>
        </w:trPr>
        <w:tc>
          <w:tcPr>
            <w:tcW w:w="0" w:type="auto"/>
            <w:gridSpan w:val="3"/>
            <w:shd w:val="clear" w:color="auto" w:fill="FFFFFF"/>
            <w:tcMar>
              <w:top w:w="30" w:type="dxa"/>
              <w:left w:w="20" w:type="dxa"/>
              <w:bottom w:w="30" w:type="dxa"/>
              <w:right w:w="20" w:type="dxa"/>
            </w:tcMar>
            <w:hideMark/>
          </w:tcPr>
          <w:p w14:paraId="6ACB9072" w14:textId="77777777" w:rsidR="00000000" w:rsidRDefault="00405D16">
            <w:pPr>
              <w:spacing w:after="100"/>
              <w:rPr>
                <w:rFonts w:eastAsia="Times New Roman"/>
              </w:rPr>
            </w:pPr>
            <w:r>
              <w:rPr>
                <w:rFonts w:eastAsia="Times New Roman"/>
                <w:b/>
                <w:bCs/>
                <w:color w:val="000000"/>
                <w:sz w:val="20"/>
                <w:szCs w:val="20"/>
              </w:rPr>
              <w:t>Series K</w:t>
            </w:r>
          </w:p>
        </w:tc>
        <w:tc>
          <w:tcPr>
            <w:tcW w:w="0" w:type="auto"/>
            <w:gridSpan w:val="3"/>
            <w:shd w:val="clear" w:color="auto" w:fill="FFFFFF"/>
            <w:tcMar>
              <w:top w:w="0" w:type="dxa"/>
              <w:left w:w="20" w:type="dxa"/>
              <w:bottom w:w="0" w:type="dxa"/>
              <w:right w:w="20" w:type="dxa"/>
            </w:tcMar>
            <w:vAlign w:val="center"/>
            <w:hideMark/>
          </w:tcPr>
          <w:p w14:paraId="1E714BD8" w14:textId="77777777" w:rsidR="00000000" w:rsidRDefault="00405D1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7B775CA1" w14:textId="77777777" w:rsidR="00000000" w:rsidRDefault="00405D16">
            <w:pPr>
              <w:spacing w:after="100"/>
              <w:jc w:val="center"/>
              <w:rPr>
                <w:rFonts w:eastAsia="Times New Roman"/>
              </w:rPr>
            </w:pPr>
            <w:r>
              <w:rPr>
                <w:rFonts w:eastAsia="Times New Roman"/>
                <w:color w:val="000000"/>
                <w:sz w:val="20"/>
                <w:szCs w:val="20"/>
              </w:rPr>
              <w:t>4.625%</w:t>
            </w:r>
            <w:r>
              <w:rPr>
                <w:rFonts w:eastAsia="Times New Roman"/>
                <w:color w:val="000000"/>
                <w:sz w:val="20"/>
                <w:szCs w:val="20"/>
              </w:rPr>
              <w:br/>
              <w:t>Non-Cumulative</w:t>
            </w:r>
          </w:p>
        </w:tc>
        <w:tc>
          <w:tcPr>
            <w:tcW w:w="0" w:type="auto"/>
            <w:gridSpan w:val="3"/>
            <w:shd w:val="clear" w:color="auto" w:fill="FFFFFF"/>
            <w:tcMar>
              <w:top w:w="0" w:type="dxa"/>
              <w:left w:w="20" w:type="dxa"/>
              <w:bottom w:w="0" w:type="dxa"/>
              <w:right w:w="20" w:type="dxa"/>
            </w:tcMar>
            <w:vAlign w:val="center"/>
            <w:hideMark/>
          </w:tcPr>
          <w:p w14:paraId="2D29916A" w14:textId="77777777" w:rsidR="00000000" w:rsidRDefault="00405D16">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2EBC4BFA" w14:textId="77777777" w:rsidR="00000000" w:rsidRDefault="00405D16">
            <w:pPr>
              <w:spacing w:after="100"/>
              <w:jc w:val="center"/>
              <w:rPr>
                <w:rFonts w:eastAsia="Times New Roman"/>
              </w:rPr>
            </w:pPr>
            <w:r>
              <w:rPr>
                <w:rFonts w:eastAsia="Times New Roman"/>
                <w:color w:val="000000"/>
                <w:sz w:val="20"/>
                <w:szCs w:val="20"/>
              </w:rPr>
              <w:t>September 17, 2020</w:t>
            </w:r>
          </w:p>
        </w:tc>
        <w:tc>
          <w:tcPr>
            <w:tcW w:w="0" w:type="auto"/>
            <w:gridSpan w:val="3"/>
            <w:shd w:val="clear" w:color="auto" w:fill="FFFFFF"/>
            <w:tcMar>
              <w:top w:w="0" w:type="dxa"/>
              <w:left w:w="20" w:type="dxa"/>
              <w:bottom w:w="0" w:type="dxa"/>
              <w:right w:w="20" w:type="dxa"/>
            </w:tcMar>
            <w:vAlign w:val="center"/>
            <w:hideMark/>
          </w:tcPr>
          <w:p w14:paraId="08BB7FB4" w14:textId="77777777" w:rsidR="00000000" w:rsidRDefault="00405D16">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1C1ED39E" w14:textId="77777777" w:rsidR="00000000" w:rsidRDefault="00405D16">
            <w:pPr>
              <w:spacing w:after="100"/>
              <w:jc w:val="center"/>
              <w:rPr>
                <w:rFonts w:eastAsia="Times New Roman"/>
              </w:rPr>
            </w:pPr>
            <w:r>
              <w:rPr>
                <w:rFonts w:eastAsia="Times New Roman"/>
                <w:color w:val="000000"/>
                <w:sz w:val="20"/>
                <w:szCs w:val="20"/>
              </w:rPr>
              <w:t>4.625</w:t>
            </w:r>
          </w:p>
        </w:tc>
        <w:tc>
          <w:tcPr>
            <w:tcW w:w="0" w:type="auto"/>
            <w:gridSpan w:val="3"/>
            <w:shd w:val="clear" w:color="auto" w:fill="FFFFFF"/>
            <w:tcMar>
              <w:top w:w="0" w:type="dxa"/>
              <w:left w:w="20" w:type="dxa"/>
              <w:bottom w:w="0" w:type="dxa"/>
              <w:right w:w="20" w:type="dxa"/>
            </w:tcMar>
            <w:vAlign w:val="center"/>
            <w:hideMark/>
          </w:tcPr>
          <w:p w14:paraId="65A902DA" w14:textId="77777777" w:rsidR="00000000" w:rsidRDefault="00405D16">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1FDF56B7" w14:textId="77777777" w:rsidR="00000000" w:rsidRDefault="00405D16">
            <w:pPr>
              <w:spacing w:after="100"/>
              <w:jc w:val="center"/>
              <w:rPr>
                <w:rFonts w:eastAsia="Times New Roman"/>
              </w:rPr>
            </w:pPr>
            <w:r>
              <w:rPr>
                <w:rFonts w:eastAsia="Times New Roman"/>
                <w:color w:val="000000"/>
                <w:sz w:val="20"/>
                <w:szCs w:val="20"/>
              </w:rPr>
              <w:t>Quarterly</w:t>
            </w:r>
          </w:p>
        </w:tc>
        <w:tc>
          <w:tcPr>
            <w:tcW w:w="0" w:type="auto"/>
            <w:gridSpan w:val="3"/>
            <w:shd w:val="clear" w:color="auto" w:fill="FFFFFF"/>
            <w:tcMar>
              <w:top w:w="0" w:type="dxa"/>
              <w:left w:w="20" w:type="dxa"/>
              <w:bottom w:w="0" w:type="dxa"/>
              <w:right w:w="20" w:type="dxa"/>
            </w:tcMar>
            <w:vAlign w:val="center"/>
            <w:hideMark/>
          </w:tcPr>
          <w:p w14:paraId="560E6513" w14:textId="77777777" w:rsidR="00000000" w:rsidRDefault="00405D16">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01486565" w14:textId="77777777" w:rsidR="00000000" w:rsidRDefault="00405D16">
            <w:pPr>
              <w:spacing w:after="100"/>
              <w:jc w:val="center"/>
              <w:rPr>
                <w:rFonts w:eastAsia="Times New Roman"/>
              </w:rPr>
            </w:pPr>
            <w:r>
              <w:rPr>
                <w:rFonts w:eastAsia="Times New Roman"/>
                <w:b/>
                <w:bCs/>
                <w:color w:val="000000"/>
                <w:sz w:val="20"/>
                <w:szCs w:val="20"/>
              </w:rPr>
              <w:t>11.56</w:t>
            </w:r>
          </w:p>
        </w:tc>
        <w:tc>
          <w:tcPr>
            <w:tcW w:w="0" w:type="auto"/>
            <w:gridSpan w:val="3"/>
            <w:shd w:val="clear" w:color="auto" w:fill="FFFFFF"/>
            <w:tcMar>
              <w:top w:w="0" w:type="dxa"/>
              <w:left w:w="20" w:type="dxa"/>
              <w:bottom w:w="0" w:type="dxa"/>
              <w:right w:w="20" w:type="dxa"/>
            </w:tcMar>
            <w:vAlign w:val="center"/>
            <w:hideMark/>
          </w:tcPr>
          <w:p w14:paraId="51667ED9" w14:textId="77777777" w:rsidR="00000000" w:rsidRDefault="00405D16">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641D3CA6" w14:textId="77777777" w:rsidR="00000000" w:rsidRDefault="00405D16">
            <w:pPr>
              <w:spacing w:after="100"/>
              <w:jc w:val="center"/>
              <w:rPr>
                <w:rFonts w:eastAsia="Times New Roman"/>
              </w:rPr>
            </w:pPr>
            <w:r>
              <w:rPr>
                <w:rFonts w:eastAsia="Times New Roman"/>
                <w:color w:val="000000"/>
                <w:sz w:val="20"/>
                <w:szCs w:val="20"/>
              </w:rPr>
              <w:t>11.56</w:t>
            </w:r>
          </w:p>
        </w:tc>
        <w:tc>
          <w:tcPr>
            <w:tcW w:w="0" w:type="auto"/>
            <w:gridSpan w:val="3"/>
            <w:shd w:val="clear" w:color="auto" w:fill="FFFFFF"/>
            <w:tcMar>
              <w:top w:w="0" w:type="dxa"/>
              <w:left w:w="20" w:type="dxa"/>
              <w:bottom w:w="0" w:type="dxa"/>
              <w:right w:w="20" w:type="dxa"/>
            </w:tcMar>
            <w:vAlign w:val="center"/>
            <w:hideMark/>
          </w:tcPr>
          <w:p w14:paraId="50AC8E3C" w14:textId="77777777" w:rsidR="00000000" w:rsidRDefault="00405D16">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06D97D26" w14:textId="77777777" w:rsidR="00000000" w:rsidRDefault="00405D16">
            <w:pPr>
              <w:spacing w:after="100"/>
              <w:jc w:val="center"/>
              <w:rPr>
                <w:rFonts w:eastAsia="Times New Roman"/>
              </w:rPr>
            </w:pPr>
            <w:r>
              <w:rPr>
                <w:rFonts w:eastAsia="Times New Roman"/>
                <w:color w:val="000000"/>
                <w:sz w:val="20"/>
                <w:szCs w:val="20"/>
              </w:rPr>
              <w:t>11.56</w:t>
            </w:r>
          </w:p>
        </w:tc>
        <w:tc>
          <w:tcPr>
            <w:tcW w:w="0" w:type="auto"/>
            <w:vAlign w:val="center"/>
            <w:hideMark/>
          </w:tcPr>
          <w:p w14:paraId="60A2DD1D" w14:textId="77777777" w:rsidR="00000000" w:rsidRDefault="00405D16">
            <w:pPr>
              <w:spacing w:after="100"/>
              <w:jc w:val="center"/>
              <w:rPr>
                <w:rFonts w:eastAsia="Times New Roman"/>
              </w:rPr>
            </w:pPr>
          </w:p>
        </w:tc>
        <w:tc>
          <w:tcPr>
            <w:tcW w:w="0" w:type="auto"/>
            <w:vAlign w:val="center"/>
            <w:hideMark/>
          </w:tcPr>
          <w:p w14:paraId="63099838" w14:textId="77777777" w:rsidR="00000000" w:rsidRDefault="00405D16">
            <w:pPr>
              <w:spacing w:after="100"/>
              <w:rPr>
                <w:rFonts w:eastAsia="Times New Roman"/>
                <w:sz w:val="20"/>
                <w:szCs w:val="20"/>
              </w:rPr>
            </w:pPr>
          </w:p>
        </w:tc>
      </w:tr>
      <w:tr w:rsidR="00000000" w14:paraId="2961773D" w14:textId="77777777">
        <w:trPr>
          <w:divId w:val="2003771939"/>
        </w:trPr>
        <w:tc>
          <w:tcPr>
            <w:tcW w:w="0" w:type="auto"/>
            <w:gridSpan w:val="3"/>
            <w:shd w:val="clear" w:color="auto" w:fill="CCEEFF"/>
            <w:tcMar>
              <w:top w:w="30" w:type="dxa"/>
              <w:left w:w="20" w:type="dxa"/>
              <w:bottom w:w="30" w:type="dxa"/>
              <w:right w:w="20" w:type="dxa"/>
            </w:tcMar>
            <w:hideMark/>
          </w:tcPr>
          <w:p w14:paraId="5CE18B27" w14:textId="77777777" w:rsidR="00000000" w:rsidRDefault="00405D16">
            <w:pPr>
              <w:spacing w:after="100"/>
              <w:rPr>
                <w:rFonts w:eastAsia="Times New Roman"/>
              </w:rPr>
            </w:pPr>
            <w:r>
              <w:rPr>
                <w:rFonts w:eastAsia="Times New Roman"/>
                <w:b/>
                <w:bCs/>
                <w:color w:val="000000"/>
                <w:sz w:val="20"/>
                <w:szCs w:val="20"/>
              </w:rPr>
              <w:t>Series L</w:t>
            </w:r>
          </w:p>
        </w:tc>
        <w:tc>
          <w:tcPr>
            <w:tcW w:w="0" w:type="auto"/>
            <w:gridSpan w:val="3"/>
            <w:shd w:val="clear" w:color="auto" w:fill="CCEEFF"/>
            <w:tcMar>
              <w:top w:w="0" w:type="dxa"/>
              <w:left w:w="20" w:type="dxa"/>
              <w:bottom w:w="0" w:type="dxa"/>
              <w:right w:w="20" w:type="dxa"/>
            </w:tcMar>
            <w:vAlign w:val="center"/>
            <w:hideMark/>
          </w:tcPr>
          <w:p w14:paraId="53A4428B" w14:textId="77777777" w:rsidR="00000000" w:rsidRDefault="00405D16">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5F99A423" w14:textId="77777777" w:rsidR="00000000" w:rsidRDefault="00405D16">
            <w:pPr>
              <w:spacing w:after="100"/>
              <w:jc w:val="center"/>
              <w:rPr>
                <w:rFonts w:eastAsia="Times New Roman"/>
              </w:rPr>
            </w:pPr>
            <w:r>
              <w:rPr>
                <w:rFonts w:eastAsia="Times New Roman"/>
                <w:color w:val="000000"/>
                <w:sz w:val="20"/>
                <w:szCs w:val="20"/>
              </w:rPr>
              <w:t>4.375%</w:t>
            </w:r>
            <w:r>
              <w:rPr>
                <w:rFonts w:eastAsia="Times New Roman"/>
                <w:color w:val="000000"/>
                <w:sz w:val="20"/>
                <w:szCs w:val="20"/>
              </w:rPr>
              <w:br/>
              <w:t>Non-Cumulative</w:t>
            </w:r>
          </w:p>
        </w:tc>
        <w:tc>
          <w:tcPr>
            <w:tcW w:w="0" w:type="auto"/>
            <w:gridSpan w:val="3"/>
            <w:shd w:val="clear" w:color="auto" w:fill="CCEEFF"/>
            <w:tcMar>
              <w:top w:w="0" w:type="dxa"/>
              <w:left w:w="20" w:type="dxa"/>
              <w:bottom w:w="0" w:type="dxa"/>
              <w:right w:w="20" w:type="dxa"/>
            </w:tcMar>
            <w:vAlign w:val="center"/>
            <w:hideMark/>
          </w:tcPr>
          <w:p w14:paraId="243AC429" w14:textId="77777777" w:rsidR="00000000" w:rsidRDefault="00405D16">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7D840C84" w14:textId="77777777" w:rsidR="00000000" w:rsidRDefault="00405D16">
            <w:pPr>
              <w:spacing w:after="100"/>
              <w:jc w:val="center"/>
              <w:rPr>
                <w:rFonts w:eastAsia="Times New Roman"/>
              </w:rPr>
            </w:pPr>
            <w:r>
              <w:rPr>
                <w:rFonts w:eastAsia="Times New Roman"/>
                <w:color w:val="000000"/>
                <w:sz w:val="20"/>
                <w:szCs w:val="20"/>
              </w:rPr>
              <w:t>May 4, 2021</w:t>
            </w:r>
          </w:p>
        </w:tc>
        <w:tc>
          <w:tcPr>
            <w:tcW w:w="0" w:type="auto"/>
            <w:gridSpan w:val="3"/>
            <w:shd w:val="clear" w:color="auto" w:fill="CCEEFF"/>
            <w:tcMar>
              <w:top w:w="0" w:type="dxa"/>
              <w:left w:w="20" w:type="dxa"/>
              <w:bottom w:w="0" w:type="dxa"/>
              <w:right w:w="20" w:type="dxa"/>
            </w:tcMar>
            <w:vAlign w:val="center"/>
            <w:hideMark/>
          </w:tcPr>
          <w:p w14:paraId="4DE129ED" w14:textId="77777777" w:rsidR="00000000" w:rsidRDefault="00405D16">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52123A3F" w14:textId="77777777" w:rsidR="00000000" w:rsidRDefault="00405D16">
            <w:pPr>
              <w:spacing w:after="100"/>
              <w:jc w:val="center"/>
              <w:rPr>
                <w:rFonts w:eastAsia="Times New Roman"/>
              </w:rPr>
            </w:pPr>
            <w:r>
              <w:rPr>
                <w:rFonts w:eastAsia="Times New Roman"/>
                <w:color w:val="000000"/>
                <w:sz w:val="20"/>
                <w:szCs w:val="20"/>
              </w:rPr>
              <w:t>4.375</w:t>
            </w:r>
          </w:p>
        </w:tc>
        <w:tc>
          <w:tcPr>
            <w:tcW w:w="0" w:type="auto"/>
            <w:gridSpan w:val="3"/>
            <w:shd w:val="clear" w:color="auto" w:fill="CCEEFF"/>
            <w:tcMar>
              <w:top w:w="0" w:type="dxa"/>
              <w:left w:w="20" w:type="dxa"/>
              <w:bottom w:w="0" w:type="dxa"/>
              <w:right w:w="20" w:type="dxa"/>
            </w:tcMar>
            <w:vAlign w:val="center"/>
            <w:hideMark/>
          </w:tcPr>
          <w:p w14:paraId="205151DD" w14:textId="77777777" w:rsidR="00000000" w:rsidRDefault="00405D16">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6ABE4FFE" w14:textId="77777777" w:rsidR="00000000" w:rsidRDefault="00405D16">
            <w:pPr>
              <w:spacing w:after="100"/>
              <w:jc w:val="center"/>
              <w:rPr>
                <w:rFonts w:eastAsia="Times New Roman"/>
              </w:rPr>
            </w:pPr>
            <w:r>
              <w:rPr>
                <w:rFonts w:eastAsia="Times New Roman"/>
                <w:color w:val="000000"/>
                <w:sz w:val="20"/>
                <w:szCs w:val="20"/>
              </w:rPr>
              <w:t>Quarterly</w:t>
            </w:r>
          </w:p>
        </w:tc>
        <w:tc>
          <w:tcPr>
            <w:tcW w:w="0" w:type="auto"/>
            <w:gridSpan w:val="3"/>
            <w:shd w:val="clear" w:color="auto" w:fill="CCEEFF"/>
            <w:tcMar>
              <w:top w:w="0" w:type="dxa"/>
              <w:left w:w="20" w:type="dxa"/>
              <w:bottom w:w="0" w:type="dxa"/>
              <w:right w:w="20" w:type="dxa"/>
            </w:tcMar>
            <w:vAlign w:val="center"/>
            <w:hideMark/>
          </w:tcPr>
          <w:p w14:paraId="220FB2C5" w14:textId="77777777" w:rsidR="00000000" w:rsidRDefault="00405D16">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4F49EDD5" w14:textId="77777777" w:rsidR="00000000" w:rsidRDefault="00405D16">
            <w:pPr>
              <w:spacing w:after="100"/>
              <w:jc w:val="center"/>
              <w:rPr>
                <w:rFonts w:eastAsia="Times New Roman"/>
              </w:rPr>
            </w:pPr>
            <w:r>
              <w:rPr>
                <w:rFonts w:eastAsia="Times New Roman"/>
                <w:b/>
                <w:bCs/>
                <w:color w:val="000000"/>
                <w:sz w:val="20"/>
                <w:szCs w:val="20"/>
              </w:rPr>
              <w:t>14.22</w:t>
            </w:r>
          </w:p>
        </w:tc>
        <w:tc>
          <w:tcPr>
            <w:tcW w:w="0" w:type="auto"/>
            <w:gridSpan w:val="3"/>
            <w:shd w:val="clear" w:color="auto" w:fill="CCEEFF"/>
            <w:tcMar>
              <w:top w:w="0" w:type="dxa"/>
              <w:left w:w="20" w:type="dxa"/>
              <w:bottom w:w="0" w:type="dxa"/>
              <w:right w:w="20" w:type="dxa"/>
            </w:tcMar>
            <w:vAlign w:val="center"/>
            <w:hideMark/>
          </w:tcPr>
          <w:p w14:paraId="6235DC0B" w14:textId="77777777" w:rsidR="00000000" w:rsidRDefault="00405D16">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47477FC4" w14:textId="77777777" w:rsidR="00000000" w:rsidRDefault="00405D16">
            <w:pPr>
              <w:spacing w:after="100"/>
              <w:jc w:val="center"/>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CFD6004" w14:textId="77777777" w:rsidR="00000000" w:rsidRDefault="00405D16">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3F593CD0" w14:textId="77777777" w:rsidR="00000000" w:rsidRDefault="00405D16">
            <w:pPr>
              <w:spacing w:after="100"/>
              <w:jc w:val="center"/>
              <w:rPr>
                <w:rFonts w:eastAsia="Times New Roman"/>
              </w:rPr>
            </w:pPr>
            <w:r>
              <w:rPr>
                <w:rFonts w:eastAsia="Times New Roman"/>
                <w:color w:val="000000"/>
                <w:sz w:val="20"/>
                <w:szCs w:val="20"/>
              </w:rPr>
              <w:t>—</w:t>
            </w:r>
          </w:p>
        </w:tc>
        <w:tc>
          <w:tcPr>
            <w:tcW w:w="0" w:type="auto"/>
            <w:vAlign w:val="center"/>
            <w:hideMark/>
          </w:tcPr>
          <w:p w14:paraId="5D7EDCB7" w14:textId="77777777" w:rsidR="00000000" w:rsidRDefault="00405D16">
            <w:pPr>
              <w:spacing w:after="100"/>
              <w:jc w:val="center"/>
              <w:rPr>
                <w:rFonts w:eastAsia="Times New Roman"/>
              </w:rPr>
            </w:pPr>
          </w:p>
        </w:tc>
        <w:tc>
          <w:tcPr>
            <w:tcW w:w="0" w:type="auto"/>
            <w:vAlign w:val="center"/>
            <w:hideMark/>
          </w:tcPr>
          <w:p w14:paraId="66E63A8F" w14:textId="77777777" w:rsidR="00000000" w:rsidRDefault="00405D16">
            <w:pPr>
              <w:spacing w:after="100"/>
              <w:rPr>
                <w:rFonts w:eastAsia="Times New Roman"/>
                <w:sz w:val="20"/>
                <w:szCs w:val="20"/>
              </w:rPr>
            </w:pPr>
          </w:p>
        </w:tc>
      </w:tr>
      <w:tr w:rsidR="00000000" w14:paraId="0A6151A0" w14:textId="77777777">
        <w:trPr>
          <w:divId w:val="2003771939"/>
        </w:trPr>
        <w:tc>
          <w:tcPr>
            <w:tcW w:w="0" w:type="auto"/>
            <w:gridSpan w:val="3"/>
            <w:shd w:val="clear" w:color="auto" w:fill="FFFFFF"/>
            <w:tcMar>
              <w:top w:w="30" w:type="dxa"/>
              <w:left w:w="20" w:type="dxa"/>
              <w:bottom w:w="30" w:type="dxa"/>
              <w:right w:w="20" w:type="dxa"/>
            </w:tcMar>
            <w:hideMark/>
          </w:tcPr>
          <w:p w14:paraId="1B28193B" w14:textId="77777777" w:rsidR="00000000" w:rsidRDefault="00405D16">
            <w:pPr>
              <w:spacing w:after="100"/>
              <w:rPr>
                <w:rFonts w:eastAsia="Times New Roman"/>
              </w:rPr>
            </w:pPr>
            <w:r>
              <w:rPr>
                <w:rFonts w:eastAsia="Times New Roman"/>
                <w:b/>
                <w:bCs/>
                <w:color w:val="000000"/>
                <w:sz w:val="20"/>
                <w:szCs w:val="20"/>
              </w:rPr>
              <w:t>Series M</w:t>
            </w:r>
          </w:p>
        </w:tc>
        <w:tc>
          <w:tcPr>
            <w:tcW w:w="0" w:type="auto"/>
            <w:gridSpan w:val="3"/>
            <w:shd w:val="clear" w:color="auto" w:fill="FFFFFF"/>
            <w:tcMar>
              <w:top w:w="0" w:type="dxa"/>
              <w:left w:w="20" w:type="dxa"/>
              <w:bottom w:w="0" w:type="dxa"/>
              <w:right w:w="20" w:type="dxa"/>
            </w:tcMar>
            <w:vAlign w:val="center"/>
            <w:hideMark/>
          </w:tcPr>
          <w:p w14:paraId="6C5CBD81" w14:textId="77777777" w:rsidR="00000000" w:rsidRDefault="00405D1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3CDEEC3C" w14:textId="77777777" w:rsidR="00000000" w:rsidRDefault="00405D16">
            <w:pPr>
              <w:spacing w:after="100"/>
              <w:jc w:val="center"/>
              <w:rPr>
                <w:rFonts w:eastAsia="Times New Roman"/>
              </w:rPr>
            </w:pPr>
            <w:r>
              <w:rPr>
                <w:rFonts w:eastAsia="Times New Roman"/>
                <w:color w:val="000000"/>
                <w:sz w:val="20"/>
                <w:szCs w:val="20"/>
              </w:rPr>
              <w:t>3.950% Fixed Rate Reset</w:t>
            </w:r>
            <w:r>
              <w:rPr>
                <w:rFonts w:eastAsia="Times New Roman"/>
                <w:color w:val="000000"/>
                <w:sz w:val="20"/>
                <w:szCs w:val="20"/>
              </w:rPr>
              <w:br/>
              <w:t>Non-Cumulative</w:t>
            </w:r>
          </w:p>
        </w:tc>
        <w:tc>
          <w:tcPr>
            <w:tcW w:w="0" w:type="auto"/>
            <w:gridSpan w:val="3"/>
            <w:shd w:val="clear" w:color="auto" w:fill="FFFFFF"/>
            <w:tcMar>
              <w:top w:w="0" w:type="dxa"/>
              <w:left w:w="20" w:type="dxa"/>
              <w:bottom w:w="0" w:type="dxa"/>
              <w:right w:w="20" w:type="dxa"/>
            </w:tcMar>
            <w:vAlign w:val="center"/>
            <w:hideMark/>
          </w:tcPr>
          <w:p w14:paraId="4F1982B4" w14:textId="77777777" w:rsidR="00000000" w:rsidRDefault="00405D16">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20B8031E" w14:textId="77777777" w:rsidR="00000000" w:rsidRDefault="00405D16">
            <w:pPr>
              <w:spacing w:after="100"/>
              <w:jc w:val="center"/>
              <w:rPr>
                <w:rFonts w:eastAsia="Times New Roman"/>
              </w:rPr>
            </w:pPr>
            <w:r>
              <w:rPr>
                <w:rFonts w:eastAsia="Times New Roman"/>
                <w:color w:val="000000"/>
                <w:sz w:val="20"/>
                <w:szCs w:val="20"/>
              </w:rPr>
              <w:t>June 10, 2021</w:t>
            </w:r>
          </w:p>
        </w:tc>
        <w:tc>
          <w:tcPr>
            <w:tcW w:w="0" w:type="auto"/>
            <w:gridSpan w:val="3"/>
            <w:shd w:val="clear" w:color="auto" w:fill="FFFFFF"/>
            <w:tcMar>
              <w:top w:w="0" w:type="dxa"/>
              <w:left w:w="20" w:type="dxa"/>
              <w:bottom w:w="0" w:type="dxa"/>
              <w:right w:w="20" w:type="dxa"/>
            </w:tcMar>
            <w:vAlign w:val="center"/>
            <w:hideMark/>
          </w:tcPr>
          <w:p w14:paraId="4E5C5390" w14:textId="77777777" w:rsidR="00000000" w:rsidRDefault="00405D16">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46FEA7F5" w14:textId="77777777" w:rsidR="00000000" w:rsidRDefault="00405D16">
            <w:pPr>
              <w:spacing w:after="100"/>
              <w:jc w:val="center"/>
              <w:rPr>
                <w:rFonts w:eastAsia="Times New Roman"/>
              </w:rPr>
            </w:pPr>
            <w:r>
              <w:rPr>
                <w:rFonts w:eastAsia="Times New Roman"/>
                <w:color w:val="000000"/>
                <w:sz w:val="20"/>
                <w:szCs w:val="20"/>
              </w:rPr>
              <w:t>3.950% through 8/31/2026; resets 9/1/2026 and every subsequent 5 year anniversary at 5-Year Treasury +3.157%</w:t>
            </w:r>
          </w:p>
        </w:tc>
        <w:tc>
          <w:tcPr>
            <w:tcW w:w="0" w:type="auto"/>
            <w:gridSpan w:val="3"/>
            <w:shd w:val="clear" w:color="auto" w:fill="FFFFFF"/>
            <w:tcMar>
              <w:top w:w="0" w:type="dxa"/>
              <w:left w:w="20" w:type="dxa"/>
              <w:bottom w:w="0" w:type="dxa"/>
              <w:right w:w="20" w:type="dxa"/>
            </w:tcMar>
            <w:vAlign w:val="center"/>
            <w:hideMark/>
          </w:tcPr>
          <w:p w14:paraId="327E4A61" w14:textId="77777777" w:rsidR="00000000" w:rsidRDefault="00405D16">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31F8460D" w14:textId="77777777" w:rsidR="00000000" w:rsidRDefault="00405D16">
            <w:pPr>
              <w:spacing w:after="100"/>
              <w:jc w:val="center"/>
              <w:rPr>
                <w:rFonts w:eastAsia="Times New Roman"/>
              </w:rPr>
            </w:pPr>
            <w:r>
              <w:rPr>
                <w:rFonts w:eastAsia="Times New Roman"/>
                <w:color w:val="000000"/>
                <w:sz w:val="20"/>
                <w:szCs w:val="20"/>
              </w:rPr>
              <w:t>Quarterly</w:t>
            </w:r>
          </w:p>
        </w:tc>
        <w:tc>
          <w:tcPr>
            <w:tcW w:w="0" w:type="auto"/>
            <w:gridSpan w:val="3"/>
            <w:shd w:val="clear" w:color="auto" w:fill="FFFFFF"/>
            <w:tcMar>
              <w:top w:w="0" w:type="dxa"/>
              <w:left w:w="20" w:type="dxa"/>
              <w:bottom w:w="0" w:type="dxa"/>
              <w:right w:w="20" w:type="dxa"/>
            </w:tcMar>
            <w:vAlign w:val="center"/>
            <w:hideMark/>
          </w:tcPr>
          <w:p w14:paraId="1CA44042" w14:textId="77777777" w:rsidR="00000000" w:rsidRDefault="00405D16">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6441EE27" w14:textId="77777777" w:rsidR="00000000" w:rsidRDefault="00405D16">
            <w:pPr>
              <w:spacing w:after="100"/>
              <w:jc w:val="center"/>
              <w:rPr>
                <w:rFonts w:eastAsia="Times New Roman"/>
              </w:rPr>
            </w:pPr>
            <w:r>
              <w:rPr>
                <w:rFonts w:eastAsia="Times New Roman"/>
                <w:b/>
                <w:bCs/>
                <w:color w:val="000000"/>
                <w:sz w:val="20"/>
                <w:szCs w:val="20"/>
              </w:rPr>
              <w:t>8.89</w:t>
            </w:r>
          </w:p>
        </w:tc>
        <w:tc>
          <w:tcPr>
            <w:tcW w:w="0" w:type="auto"/>
            <w:gridSpan w:val="3"/>
            <w:shd w:val="clear" w:color="auto" w:fill="FFFFFF"/>
            <w:tcMar>
              <w:top w:w="0" w:type="dxa"/>
              <w:left w:w="20" w:type="dxa"/>
              <w:bottom w:w="0" w:type="dxa"/>
              <w:right w:w="20" w:type="dxa"/>
            </w:tcMar>
            <w:vAlign w:val="center"/>
            <w:hideMark/>
          </w:tcPr>
          <w:p w14:paraId="505A47A0" w14:textId="77777777" w:rsidR="00000000" w:rsidRDefault="00405D16">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327AAFD3" w14:textId="77777777" w:rsidR="00000000" w:rsidRDefault="00405D16">
            <w:pPr>
              <w:spacing w:after="100"/>
              <w:jc w:val="center"/>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7B7FE4E" w14:textId="77777777" w:rsidR="00000000" w:rsidRDefault="00405D16">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58A3C935" w14:textId="77777777" w:rsidR="00000000" w:rsidRDefault="00405D16">
            <w:pPr>
              <w:spacing w:after="100"/>
              <w:jc w:val="center"/>
              <w:rPr>
                <w:rFonts w:eastAsia="Times New Roman"/>
              </w:rPr>
            </w:pPr>
            <w:r>
              <w:rPr>
                <w:rFonts w:eastAsia="Times New Roman"/>
                <w:color w:val="000000"/>
                <w:sz w:val="20"/>
                <w:szCs w:val="20"/>
              </w:rPr>
              <w:t>—</w:t>
            </w:r>
          </w:p>
        </w:tc>
        <w:tc>
          <w:tcPr>
            <w:tcW w:w="0" w:type="auto"/>
            <w:vAlign w:val="center"/>
            <w:hideMark/>
          </w:tcPr>
          <w:p w14:paraId="1E6ACC0D" w14:textId="77777777" w:rsidR="00000000" w:rsidRDefault="00405D16">
            <w:pPr>
              <w:spacing w:after="100"/>
              <w:jc w:val="center"/>
              <w:rPr>
                <w:rFonts w:eastAsia="Times New Roman"/>
              </w:rPr>
            </w:pPr>
          </w:p>
        </w:tc>
        <w:tc>
          <w:tcPr>
            <w:tcW w:w="0" w:type="auto"/>
            <w:vAlign w:val="center"/>
            <w:hideMark/>
          </w:tcPr>
          <w:p w14:paraId="0222C161" w14:textId="77777777" w:rsidR="00000000" w:rsidRDefault="00405D16">
            <w:pPr>
              <w:spacing w:after="100"/>
              <w:rPr>
                <w:rFonts w:eastAsia="Times New Roman"/>
                <w:sz w:val="20"/>
                <w:szCs w:val="20"/>
              </w:rPr>
            </w:pPr>
          </w:p>
        </w:tc>
      </w:tr>
      <w:tr w:rsidR="00000000" w14:paraId="214FA152" w14:textId="77777777">
        <w:trPr>
          <w:divId w:val="2003771939"/>
        </w:trPr>
        <w:tc>
          <w:tcPr>
            <w:tcW w:w="0" w:type="auto"/>
            <w:gridSpan w:val="3"/>
            <w:shd w:val="clear" w:color="auto" w:fill="CCEEFF"/>
            <w:tcMar>
              <w:top w:w="30" w:type="dxa"/>
              <w:left w:w="20" w:type="dxa"/>
              <w:bottom w:w="30" w:type="dxa"/>
              <w:right w:w="20" w:type="dxa"/>
            </w:tcMar>
            <w:hideMark/>
          </w:tcPr>
          <w:p w14:paraId="5285211F" w14:textId="77777777" w:rsidR="00000000" w:rsidRDefault="00405D16">
            <w:pPr>
              <w:spacing w:after="100"/>
              <w:rPr>
                <w:rFonts w:eastAsia="Times New Roman"/>
              </w:rPr>
            </w:pPr>
            <w:r>
              <w:rPr>
                <w:rFonts w:eastAsia="Times New Roman"/>
                <w:b/>
                <w:bCs/>
                <w:color w:val="000000"/>
                <w:sz w:val="20"/>
                <w:szCs w:val="20"/>
              </w:rPr>
              <w:t>Series N</w:t>
            </w:r>
          </w:p>
        </w:tc>
        <w:tc>
          <w:tcPr>
            <w:tcW w:w="0" w:type="auto"/>
            <w:gridSpan w:val="3"/>
            <w:shd w:val="clear" w:color="auto" w:fill="CCEEFF"/>
            <w:tcMar>
              <w:top w:w="0" w:type="dxa"/>
              <w:left w:w="20" w:type="dxa"/>
              <w:bottom w:w="0" w:type="dxa"/>
              <w:right w:w="20" w:type="dxa"/>
            </w:tcMar>
            <w:vAlign w:val="center"/>
            <w:hideMark/>
          </w:tcPr>
          <w:p w14:paraId="5854835C" w14:textId="77777777" w:rsidR="00000000" w:rsidRDefault="00405D16">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3D403A90" w14:textId="77777777" w:rsidR="00000000" w:rsidRDefault="00405D16">
            <w:pPr>
              <w:spacing w:after="100"/>
              <w:jc w:val="center"/>
              <w:rPr>
                <w:rFonts w:eastAsia="Times New Roman"/>
              </w:rPr>
            </w:pPr>
            <w:r>
              <w:rPr>
                <w:rFonts w:eastAsia="Times New Roman"/>
                <w:color w:val="000000"/>
                <w:sz w:val="20"/>
                <w:szCs w:val="20"/>
              </w:rPr>
              <w:t>4.250%</w:t>
            </w:r>
            <w:r>
              <w:rPr>
                <w:rFonts w:eastAsia="Times New Roman"/>
                <w:color w:val="000000"/>
                <w:sz w:val="20"/>
                <w:szCs w:val="20"/>
              </w:rPr>
              <w:br/>
              <w:t>Non-Cumulative</w:t>
            </w:r>
          </w:p>
        </w:tc>
        <w:tc>
          <w:tcPr>
            <w:tcW w:w="0" w:type="auto"/>
            <w:gridSpan w:val="3"/>
            <w:shd w:val="clear" w:color="auto" w:fill="CCEEFF"/>
            <w:tcMar>
              <w:top w:w="0" w:type="dxa"/>
              <w:left w:w="20" w:type="dxa"/>
              <w:bottom w:w="0" w:type="dxa"/>
              <w:right w:w="20" w:type="dxa"/>
            </w:tcMar>
            <w:vAlign w:val="center"/>
            <w:hideMark/>
          </w:tcPr>
          <w:p w14:paraId="64136D7E" w14:textId="77777777" w:rsidR="00000000" w:rsidRDefault="00405D16">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585C6A0A" w14:textId="77777777" w:rsidR="00000000" w:rsidRDefault="00405D16">
            <w:pPr>
              <w:spacing w:after="100"/>
              <w:jc w:val="center"/>
              <w:rPr>
                <w:rFonts w:eastAsia="Times New Roman"/>
              </w:rPr>
            </w:pPr>
            <w:r>
              <w:rPr>
                <w:rFonts w:eastAsia="Times New Roman"/>
                <w:color w:val="000000"/>
                <w:sz w:val="20"/>
                <w:szCs w:val="20"/>
              </w:rPr>
              <w:t>July 29, 2021</w:t>
            </w:r>
          </w:p>
        </w:tc>
        <w:tc>
          <w:tcPr>
            <w:tcW w:w="0" w:type="auto"/>
            <w:gridSpan w:val="3"/>
            <w:shd w:val="clear" w:color="auto" w:fill="CCEEFF"/>
            <w:tcMar>
              <w:top w:w="0" w:type="dxa"/>
              <w:left w:w="20" w:type="dxa"/>
              <w:bottom w:w="0" w:type="dxa"/>
              <w:right w:w="20" w:type="dxa"/>
            </w:tcMar>
            <w:vAlign w:val="center"/>
            <w:hideMark/>
          </w:tcPr>
          <w:p w14:paraId="6C5CF7B8" w14:textId="77777777" w:rsidR="00000000" w:rsidRDefault="00405D16">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459831DF" w14:textId="77777777" w:rsidR="00000000" w:rsidRDefault="00405D16">
            <w:pPr>
              <w:spacing w:after="100"/>
              <w:jc w:val="center"/>
              <w:rPr>
                <w:rFonts w:eastAsia="Times New Roman"/>
              </w:rPr>
            </w:pPr>
            <w:r>
              <w:rPr>
                <w:rFonts w:eastAsia="Times New Roman"/>
                <w:color w:val="000000"/>
                <w:sz w:val="20"/>
                <w:szCs w:val="20"/>
              </w:rPr>
              <w:t>4.250</w:t>
            </w:r>
          </w:p>
        </w:tc>
        <w:tc>
          <w:tcPr>
            <w:tcW w:w="0" w:type="auto"/>
            <w:gridSpan w:val="3"/>
            <w:shd w:val="clear" w:color="auto" w:fill="CCEEFF"/>
            <w:tcMar>
              <w:top w:w="0" w:type="dxa"/>
              <w:left w:w="20" w:type="dxa"/>
              <w:bottom w:w="0" w:type="dxa"/>
              <w:right w:w="20" w:type="dxa"/>
            </w:tcMar>
            <w:vAlign w:val="center"/>
            <w:hideMark/>
          </w:tcPr>
          <w:p w14:paraId="7ABE24BB" w14:textId="77777777" w:rsidR="00000000" w:rsidRDefault="00405D16">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6B940946" w14:textId="77777777" w:rsidR="00000000" w:rsidRDefault="00405D16">
            <w:pPr>
              <w:spacing w:after="100"/>
              <w:jc w:val="center"/>
              <w:rPr>
                <w:rFonts w:eastAsia="Times New Roman"/>
              </w:rPr>
            </w:pPr>
            <w:r>
              <w:rPr>
                <w:rFonts w:eastAsia="Times New Roman"/>
                <w:color w:val="000000"/>
                <w:sz w:val="20"/>
                <w:szCs w:val="20"/>
              </w:rPr>
              <w:t>Quarterly</w:t>
            </w:r>
          </w:p>
        </w:tc>
        <w:tc>
          <w:tcPr>
            <w:tcW w:w="0" w:type="auto"/>
            <w:gridSpan w:val="3"/>
            <w:shd w:val="clear" w:color="auto" w:fill="CCEEFF"/>
            <w:tcMar>
              <w:top w:w="0" w:type="dxa"/>
              <w:left w:w="20" w:type="dxa"/>
              <w:bottom w:w="0" w:type="dxa"/>
              <w:right w:w="20" w:type="dxa"/>
            </w:tcMar>
            <w:vAlign w:val="center"/>
            <w:hideMark/>
          </w:tcPr>
          <w:p w14:paraId="2934BFA3" w14:textId="77777777" w:rsidR="00000000" w:rsidRDefault="00405D16">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67A897C5" w14:textId="77777777" w:rsidR="00000000" w:rsidRDefault="00405D16">
            <w:pPr>
              <w:spacing w:after="100"/>
              <w:jc w:val="center"/>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9D34C50" w14:textId="77777777" w:rsidR="00000000" w:rsidRDefault="00405D16">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4A237A8B" w14:textId="77777777" w:rsidR="00000000" w:rsidRDefault="00405D16">
            <w:pPr>
              <w:spacing w:after="100"/>
              <w:jc w:val="center"/>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E210C66" w14:textId="77777777" w:rsidR="00000000" w:rsidRDefault="00405D16">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64E58017" w14:textId="77777777" w:rsidR="00000000" w:rsidRDefault="00405D16">
            <w:pPr>
              <w:spacing w:after="100"/>
              <w:jc w:val="center"/>
              <w:rPr>
                <w:rFonts w:eastAsia="Times New Roman"/>
              </w:rPr>
            </w:pPr>
            <w:r>
              <w:rPr>
                <w:rFonts w:eastAsia="Times New Roman"/>
                <w:color w:val="000000"/>
                <w:sz w:val="20"/>
                <w:szCs w:val="20"/>
              </w:rPr>
              <w:t>—</w:t>
            </w:r>
          </w:p>
        </w:tc>
        <w:tc>
          <w:tcPr>
            <w:tcW w:w="0" w:type="auto"/>
            <w:vAlign w:val="center"/>
            <w:hideMark/>
          </w:tcPr>
          <w:p w14:paraId="536FE6CB" w14:textId="77777777" w:rsidR="00000000" w:rsidRDefault="00405D16">
            <w:pPr>
              <w:spacing w:after="100"/>
              <w:jc w:val="center"/>
              <w:rPr>
                <w:rFonts w:eastAsia="Times New Roman"/>
              </w:rPr>
            </w:pPr>
          </w:p>
        </w:tc>
        <w:tc>
          <w:tcPr>
            <w:tcW w:w="0" w:type="auto"/>
            <w:vAlign w:val="center"/>
            <w:hideMark/>
          </w:tcPr>
          <w:p w14:paraId="06F5DDEE" w14:textId="77777777" w:rsidR="00000000" w:rsidRDefault="00405D16">
            <w:pPr>
              <w:spacing w:after="100"/>
              <w:rPr>
                <w:rFonts w:eastAsia="Times New Roman"/>
                <w:sz w:val="20"/>
                <w:szCs w:val="20"/>
              </w:rPr>
            </w:pPr>
          </w:p>
        </w:tc>
      </w:tr>
    </w:tbl>
    <w:p w14:paraId="06EC8090" w14:textId="77777777" w:rsidR="00000000" w:rsidRDefault="00405D16">
      <w:pPr>
        <w:divId w:val="635139113"/>
        <w:rPr>
          <w:rFonts w:eastAsia="Times New Roman"/>
        </w:rPr>
      </w:pPr>
      <w:r>
        <w:rPr>
          <w:rFonts w:eastAsia="Times New Roman"/>
          <w:color w:val="000000"/>
          <w:sz w:val="20"/>
          <w:szCs w:val="20"/>
        </w:rPr>
        <w:t>__________</w:t>
      </w:r>
    </w:p>
    <w:p w14:paraId="3A0CC983" w14:textId="77777777" w:rsidR="00000000" w:rsidRDefault="00405D16">
      <w:pPr>
        <w:ind w:hanging="360"/>
        <w:jc w:val="both"/>
        <w:divId w:val="191334369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On September 1, 2021, we redeemed all outstanding shares of our preferred stock Series E.</w:t>
      </w:r>
    </w:p>
    <w:p w14:paraId="179B7F15" w14:textId="77777777" w:rsidR="00000000" w:rsidRDefault="00405D16">
      <w:pPr>
        <w:jc w:val="both"/>
        <w:divId w:val="1855148173"/>
        <w:rPr>
          <w:rFonts w:eastAsia="Times New Roman"/>
        </w:rPr>
      </w:pPr>
      <w:r>
        <w:rPr>
          <w:rFonts w:eastAsia="Times New Roman"/>
          <w:color w:val="000000"/>
          <w:sz w:val="20"/>
          <w:szCs w:val="20"/>
        </w:rPr>
        <w:t>The declaration and payment of dividends to our stockholders, as well as the amount thereof, are subject to the discretion of our Board of Directors and depend upon our results of operations, financial condition, capital levels, cash requirements, future p</w:t>
      </w:r>
      <w:r>
        <w:rPr>
          <w:rFonts w:eastAsia="Times New Roman"/>
          <w:color w:val="000000"/>
          <w:sz w:val="20"/>
          <w:szCs w:val="20"/>
        </w:rPr>
        <w:t>rospects, regulatory requirements and other factors deemed relevant by the Board of Directors. As a BHC, our ability to pay dividends is largely dependent upon the receipt of dividends or other payments from our subsidiaries. The Banks are subject to regul</w:t>
      </w:r>
      <w:r>
        <w:rPr>
          <w:rFonts w:eastAsia="Times New Roman"/>
          <w:color w:val="000000"/>
          <w:sz w:val="20"/>
          <w:szCs w:val="20"/>
        </w:rPr>
        <w:t>atory restrictions that limit their ability to transfer funds to our BHC. As of September 30, 2021, funds available for dividend payments from COBNA and CONA were $1.1 billion and $715 million, respectively. There can be no assurance that we will declare a</w:t>
      </w:r>
      <w:r>
        <w:rPr>
          <w:rFonts w:eastAsia="Times New Roman"/>
          <w:color w:val="000000"/>
          <w:sz w:val="20"/>
          <w:szCs w:val="20"/>
        </w:rPr>
        <w:t>nd pay any dividends to stockholders.</w:t>
      </w:r>
    </w:p>
    <w:p w14:paraId="43670FF6" w14:textId="77777777" w:rsidR="00000000" w:rsidRDefault="00405D16">
      <w:pPr>
        <w:jc w:val="both"/>
        <w:divId w:val="1604729761"/>
        <w:rPr>
          <w:rFonts w:eastAsia="Times New Roman"/>
        </w:rPr>
      </w:pPr>
      <w:r>
        <w:rPr>
          <w:rFonts w:eastAsia="Times New Roman"/>
          <w:color w:val="000000"/>
          <w:sz w:val="20"/>
          <w:szCs w:val="20"/>
          <w:shd w:val="clear" w:color="auto" w:fill="FFFFFF"/>
        </w:rPr>
        <w:t>On January 25, 2021, our Board of Directors authorized the repurchase of up to $7.5 billion of shares of our common stock. We repurchased approximately $2.7 billion of shares of our common stock during the third quarte</w:t>
      </w:r>
      <w:r>
        <w:rPr>
          <w:rFonts w:eastAsia="Times New Roman"/>
          <w:color w:val="000000"/>
          <w:sz w:val="20"/>
          <w:szCs w:val="20"/>
          <w:shd w:val="clear" w:color="auto" w:fill="FFFFFF"/>
        </w:rPr>
        <w:t>r of 2021 and $4.9 billion during the first nine months of 2021.</w:t>
      </w:r>
      <w:r>
        <w:rPr>
          <w:rFonts w:eastAsia="Times New Roman"/>
          <w:color w:val="000000"/>
          <w:sz w:val="20"/>
          <w:szCs w:val="20"/>
        </w:rPr>
        <w:t xml:space="preserve"> </w:t>
      </w:r>
    </w:p>
    <w:p w14:paraId="63DC2735" w14:textId="77777777" w:rsidR="00000000" w:rsidRDefault="00405D16">
      <w:pPr>
        <w:jc w:val="both"/>
        <w:divId w:val="661810013"/>
        <w:rPr>
          <w:rFonts w:eastAsia="Times New Roman"/>
        </w:rPr>
      </w:pPr>
      <w:r>
        <w:rPr>
          <w:rFonts w:eastAsia="Times New Roman"/>
          <w:color w:val="000000"/>
          <w:sz w:val="20"/>
          <w:szCs w:val="20"/>
        </w:rPr>
        <w:t>The timing and exact amount of any future common stock repurchases will depend on various factors, including regulatory approval, market conditions, opportunities for growth, our capital pos</w:t>
      </w:r>
      <w:r>
        <w:rPr>
          <w:rFonts w:eastAsia="Times New Roman"/>
          <w:color w:val="000000"/>
          <w:sz w:val="20"/>
          <w:szCs w:val="20"/>
        </w:rPr>
        <w:t>ition and the amount of retained earnings. Our stock repurchase program does not include specific price targets, may be executed through open market purchases or privately negotiated transactions, including utilizing Rule 10b5-1 programs, and may be suspen</w:t>
      </w:r>
      <w:r>
        <w:rPr>
          <w:rFonts w:eastAsia="Times New Roman"/>
          <w:color w:val="000000"/>
          <w:sz w:val="20"/>
          <w:szCs w:val="20"/>
        </w:rPr>
        <w:t xml:space="preserve">ded at any time. For additional information on dividends and stock repurchases, see “MD&amp;A—Capital Management—Capital Planning and Regulatory Stress Testing” and “Part I—Item 1. Business—Supervision and Regulation—Dividends, Stock Repurchases and Transfers </w:t>
      </w:r>
      <w:r>
        <w:rPr>
          <w:rFonts w:eastAsia="Times New Roman"/>
          <w:color w:val="000000"/>
          <w:sz w:val="20"/>
          <w:szCs w:val="20"/>
        </w:rPr>
        <w:t>of Funds” in our 2020 Form 10-K.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20730155" w14:textId="77777777">
        <w:trPr>
          <w:divId w:val="1000505100"/>
          <w:jc w:val="center"/>
        </w:trPr>
        <w:tc>
          <w:tcPr>
            <w:tcW w:w="50" w:type="pct"/>
            <w:vAlign w:val="center"/>
            <w:hideMark/>
          </w:tcPr>
          <w:p w14:paraId="0FD90A1A" w14:textId="77777777" w:rsidR="00000000" w:rsidRDefault="00405D16">
            <w:pPr>
              <w:jc w:val="both"/>
              <w:rPr>
                <w:rFonts w:eastAsia="Times New Roman"/>
              </w:rPr>
            </w:pPr>
          </w:p>
        </w:tc>
        <w:tc>
          <w:tcPr>
            <w:tcW w:w="1606" w:type="pct"/>
            <w:vAlign w:val="center"/>
            <w:hideMark/>
          </w:tcPr>
          <w:p w14:paraId="146545DD" w14:textId="77777777" w:rsidR="00000000" w:rsidRDefault="00405D16">
            <w:pPr>
              <w:spacing w:after="100"/>
              <w:rPr>
                <w:rFonts w:eastAsia="Times New Roman"/>
                <w:sz w:val="20"/>
                <w:szCs w:val="20"/>
              </w:rPr>
            </w:pPr>
          </w:p>
        </w:tc>
        <w:tc>
          <w:tcPr>
            <w:tcW w:w="5" w:type="pct"/>
            <w:vAlign w:val="center"/>
            <w:hideMark/>
          </w:tcPr>
          <w:p w14:paraId="0C35EE87" w14:textId="77777777" w:rsidR="00000000" w:rsidRDefault="00405D16">
            <w:pPr>
              <w:spacing w:after="100"/>
              <w:rPr>
                <w:rFonts w:eastAsia="Times New Roman"/>
                <w:sz w:val="20"/>
                <w:szCs w:val="20"/>
              </w:rPr>
            </w:pPr>
          </w:p>
        </w:tc>
        <w:tc>
          <w:tcPr>
            <w:tcW w:w="50" w:type="pct"/>
            <w:vAlign w:val="center"/>
            <w:hideMark/>
          </w:tcPr>
          <w:p w14:paraId="0C0C7036" w14:textId="77777777" w:rsidR="00000000" w:rsidRDefault="00405D16">
            <w:pPr>
              <w:spacing w:after="100"/>
              <w:rPr>
                <w:rFonts w:eastAsia="Times New Roman"/>
                <w:sz w:val="20"/>
                <w:szCs w:val="20"/>
              </w:rPr>
            </w:pPr>
          </w:p>
        </w:tc>
        <w:tc>
          <w:tcPr>
            <w:tcW w:w="1614" w:type="pct"/>
            <w:vAlign w:val="center"/>
            <w:hideMark/>
          </w:tcPr>
          <w:p w14:paraId="54397FD0" w14:textId="77777777" w:rsidR="00000000" w:rsidRDefault="00405D16">
            <w:pPr>
              <w:spacing w:after="100"/>
              <w:rPr>
                <w:rFonts w:eastAsia="Times New Roman"/>
                <w:sz w:val="20"/>
                <w:szCs w:val="20"/>
              </w:rPr>
            </w:pPr>
          </w:p>
        </w:tc>
        <w:tc>
          <w:tcPr>
            <w:tcW w:w="5" w:type="pct"/>
            <w:vAlign w:val="center"/>
            <w:hideMark/>
          </w:tcPr>
          <w:p w14:paraId="3CE9313E" w14:textId="77777777" w:rsidR="00000000" w:rsidRDefault="00405D16">
            <w:pPr>
              <w:spacing w:after="100"/>
              <w:rPr>
                <w:rFonts w:eastAsia="Times New Roman"/>
                <w:sz w:val="20"/>
                <w:szCs w:val="20"/>
              </w:rPr>
            </w:pPr>
          </w:p>
        </w:tc>
        <w:tc>
          <w:tcPr>
            <w:tcW w:w="50" w:type="pct"/>
            <w:vAlign w:val="center"/>
            <w:hideMark/>
          </w:tcPr>
          <w:p w14:paraId="5912F9D4" w14:textId="77777777" w:rsidR="00000000" w:rsidRDefault="00405D16">
            <w:pPr>
              <w:spacing w:after="100"/>
              <w:rPr>
                <w:rFonts w:eastAsia="Times New Roman"/>
                <w:sz w:val="20"/>
                <w:szCs w:val="20"/>
              </w:rPr>
            </w:pPr>
          </w:p>
        </w:tc>
        <w:tc>
          <w:tcPr>
            <w:tcW w:w="1614" w:type="pct"/>
            <w:vAlign w:val="center"/>
            <w:hideMark/>
          </w:tcPr>
          <w:p w14:paraId="48071FD8" w14:textId="77777777" w:rsidR="00000000" w:rsidRDefault="00405D16">
            <w:pPr>
              <w:spacing w:after="100"/>
              <w:rPr>
                <w:rFonts w:eastAsia="Times New Roman"/>
                <w:sz w:val="20"/>
                <w:szCs w:val="20"/>
              </w:rPr>
            </w:pPr>
          </w:p>
        </w:tc>
        <w:tc>
          <w:tcPr>
            <w:tcW w:w="5" w:type="pct"/>
            <w:vAlign w:val="center"/>
            <w:hideMark/>
          </w:tcPr>
          <w:p w14:paraId="545D758A" w14:textId="77777777" w:rsidR="00000000" w:rsidRDefault="00405D16">
            <w:pPr>
              <w:spacing w:after="100"/>
              <w:rPr>
                <w:rFonts w:eastAsia="Times New Roman"/>
                <w:sz w:val="20"/>
                <w:szCs w:val="20"/>
              </w:rPr>
            </w:pPr>
          </w:p>
        </w:tc>
      </w:tr>
      <w:tr w:rsidR="00000000" w14:paraId="5C7F3C87" w14:textId="77777777">
        <w:trPr>
          <w:divId w:val="1000505100"/>
          <w:trHeight w:val="300"/>
          <w:jc w:val="center"/>
        </w:trPr>
        <w:tc>
          <w:tcPr>
            <w:tcW w:w="0" w:type="auto"/>
            <w:gridSpan w:val="9"/>
            <w:tcMar>
              <w:top w:w="0" w:type="dxa"/>
              <w:left w:w="20" w:type="dxa"/>
              <w:bottom w:w="0" w:type="dxa"/>
              <w:right w:w="20" w:type="dxa"/>
            </w:tcMar>
            <w:vAlign w:val="center"/>
            <w:hideMark/>
          </w:tcPr>
          <w:p w14:paraId="7706D751" w14:textId="77777777" w:rsidR="00000000" w:rsidRDefault="00405D16">
            <w:pPr>
              <w:spacing w:after="100"/>
              <w:rPr>
                <w:rFonts w:eastAsia="Times New Roman"/>
                <w:sz w:val="20"/>
                <w:szCs w:val="20"/>
              </w:rPr>
            </w:pPr>
          </w:p>
        </w:tc>
      </w:tr>
      <w:tr w:rsidR="00000000" w14:paraId="5CBDF902" w14:textId="77777777">
        <w:trPr>
          <w:divId w:val="1000505100"/>
          <w:jc w:val="center"/>
        </w:trPr>
        <w:tc>
          <w:tcPr>
            <w:tcW w:w="0" w:type="auto"/>
            <w:gridSpan w:val="3"/>
            <w:tcMar>
              <w:top w:w="0" w:type="dxa"/>
              <w:left w:w="20" w:type="dxa"/>
              <w:bottom w:w="0" w:type="dxa"/>
              <w:right w:w="20" w:type="dxa"/>
            </w:tcMar>
            <w:vAlign w:val="center"/>
            <w:hideMark/>
          </w:tcPr>
          <w:p w14:paraId="1841FBDC"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667E138" w14:textId="77777777" w:rsidR="00000000" w:rsidRDefault="00405D16">
            <w:pPr>
              <w:spacing w:after="100"/>
              <w:jc w:val="center"/>
              <w:rPr>
                <w:rFonts w:eastAsia="Times New Roman"/>
              </w:rPr>
            </w:pPr>
            <w:r>
              <w:rPr>
                <w:rFonts w:eastAsia="Times New Roman"/>
                <w:color w:val="000000"/>
                <w:sz w:val="16"/>
                <w:szCs w:val="16"/>
              </w:rPr>
              <w:t>36</w:t>
            </w:r>
          </w:p>
        </w:tc>
        <w:tc>
          <w:tcPr>
            <w:tcW w:w="0" w:type="auto"/>
            <w:gridSpan w:val="3"/>
            <w:tcMar>
              <w:top w:w="30" w:type="dxa"/>
              <w:left w:w="20" w:type="dxa"/>
              <w:bottom w:w="30" w:type="dxa"/>
              <w:right w:w="20" w:type="dxa"/>
            </w:tcMar>
            <w:vAlign w:val="bottom"/>
            <w:hideMark/>
          </w:tcPr>
          <w:p w14:paraId="4A37E0F5"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7F06B20A" w14:textId="77777777" w:rsidR="00000000" w:rsidRDefault="00405D16">
      <w:pPr>
        <w:rPr>
          <w:rFonts w:eastAsia="Times New Roman"/>
        </w:rPr>
      </w:pPr>
      <w:r>
        <w:rPr>
          <w:rFonts w:eastAsia="Times New Roman"/>
        </w:rPr>
        <w:pict w14:anchorId="7037E544">
          <v:rect id="_x0000_i1061" style="width:0;height:1.5pt" o:hralign="center" o:hrstd="t" o:hr="t" fillcolor="#a0a0a0" stroked="f"/>
        </w:pict>
      </w:r>
    </w:p>
    <w:p w14:paraId="3EE9348D" w14:textId="77777777" w:rsidR="00000000" w:rsidRDefault="00405D16">
      <w:pPr>
        <w:ind w:hanging="360"/>
        <w:jc w:val="both"/>
        <w:divId w:val="1277785408"/>
        <w:rPr>
          <w:rFonts w:eastAsia="Times New Roman"/>
        </w:rPr>
      </w:pPr>
      <w:hyperlink w:anchor="idd54a04a485440b4ab4e56094c14d612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3CB57E95" w14:textId="77777777">
        <w:trPr>
          <w:divId w:val="1232616241"/>
        </w:trPr>
        <w:tc>
          <w:tcPr>
            <w:tcW w:w="50" w:type="pct"/>
            <w:vAlign w:val="center"/>
            <w:hideMark/>
          </w:tcPr>
          <w:p w14:paraId="1391D613" w14:textId="77777777" w:rsidR="00000000" w:rsidRDefault="00405D16">
            <w:pPr>
              <w:ind w:hanging="360"/>
              <w:jc w:val="both"/>
              <w:rPr>
                <w:rFonts w:eastAsia="Times New Roman"/>
              </w:rPr>
            </w:pPr>
          </w:p>
        </w:tc>
        <w:tc>
          <w:tcPr>
            <w:tcW w:w="4945" w:type="pct"/>
            <w:vAlign w:val="center"/>
            <w:hideMark/>
          </w:tcPr>
          <w:p w14:paraId="5CCE4A01" w14:textId="77777777" w:rsidR="00000000" w:rsidRDefault="00405D16">
            <w:pPr>
              <w:spacing w:after="100"/>
              <w:rPr>
                <w:rFonts w:eastAsia="Times New Roman"/>
                <w:sz w:val="20"/>
                <w:szCs w:val="20"/>
              </w:rPr>
            </w:pPr>
          </w:p>
        </w:tc>
        <w:tc>
          <w:tcPr>
            <w:tcW w:w="5" w:type="pct"/>
            <w:vAlign w:val="center"/>
            <w:hideMark/>
          </w:tcPr>
          <w:p w14:paraId="70F9DD8E" w14:textId="77777777" w:rsidR="00000000" w:rsidRDefault="00405D16">
            <w:pPr>
              <w:spacing w:after="100"/>
              <w:rPr>
                <w:rFonts w:eastAsia="Times New Roman"/>
                <w:sz w:val="20"/>
                <w:szCs w:val="20"/>
              </w:rPr>
            </w:pPr>
          </w:p>
        </w:tc>
      </w:tr>
      <w:tr w:rsidR="00000000" w14:paraId="5827DA0B" w14:textId="77777777">
        <w:trPr>
          <w:divId w:val="1232616241"/>
        </w:trPr>
        <w:tc>
          <w:tcPr>
            <w:tcW w:w="0" w:type="auto"/>
            <w:gridSpan w:val="3"/>
            <w:tcBorders>
              <w:top w:val="single" w:sz="18" w:space="0" w:color="000000"/>
              <w:bottom w:val="single" w:sz="18" w:space="0" w:color="000000"/>
            </w:tcBorders>
            <w:tcMar>
              <w:top w:w="30" w:type="dxa"/>
              <w:left w:w="20" w:type="dxa"/>
              <w:bottom w:w="30" w:type="dxa"/>
              <w:right w:w="20" w:type="dxa"/>
            </w:tcMar>
            <w:vAlign w:val="center"/>
            <w:hideMark/>
          </w:tcPr>
          <w:p w14:paraId="19C5E67C" w14:textId="77777777" w:rsidR="00000000" w:rsidRDefault="00405D16">
            <w:pPr>
              <w:spacing w:after="100"/>
              <w:rPr>
                <w:rFonts w:eastAsia="Times New Roman"/>
              </w:rPr>
            </w:pPr>
            <w:r>
              <w:rPr>
                <w:rFonts w:eastAsia="Times New Roman"/>
                <w:b/>
                <w:bCs/>
                <w:color w:val="000000"/>
                <w:sz w:val="20"/>
                <w:szCs w:val="20"/>
              </w:rPr>
              <w:t>RISK MANAGEMENT</w:t>
            </w:r>
          </w:p>
        </w:tc>
      </w:tr>
    </w:tbl>
    <w:p w14:paraId="0BE4BE47" w14:textId="77777777" w:rsidR="00000000" w:rsidRDefault="00405D16">
      <w:pPr>
        <w:divId w:val="1463108171"/>
        <w:rPr>
          <w:rFonts w:eastAsia="Times New Roman"/>
        </w:rPr>
      </w:pPr>
      <w:r>
        <w:rPr>
          <w:rFonts w:eastAsia="Times New Roman"/>
          <w:b/>
          <w:bCs/>
          <w:color w:val="000000"/>
          <w:sz w:val="20"/>
          <w:szCs w:val="20"/>
        </w:rPr>
        <w:t>Risk Management Framework</w:t>
      </w:r>
    </w:p>
    <w:p w14:paraId="61645AF2" w14:textId="77777777" w:rsidR="00000000" w:rsidRDefault="00405D16">
      <w:pPr>
        <w:jc w:val="both"/>
        <w:divId w:val="1452047113"/>
        <w:rPr>
          <w:rFonts w:eastAsia="Times New Roman"/>
        </w:rPr>
      </w:pPr>
      <w:r>
        <w:rPr>
          <w:rFonts w:eastAsia="Times New Roman"/>
          <w:color w:val="000000"/>
          <w:sz w:val="20"/>
          <w:szCs w:val="20"/>
        </w:rPr>
        <w:t>Our Risk Management Framework (the “Framework”</w:t>
      </w:r>
      <w:r>
        <w:rPr>
          <w:rFonts w:eastAsia="Times New Roman"/>
          <w:color w:val="000000"/>
          <w:sz w:val="20"/>
          <w:szCs w:val="20"/>
        </w:rPr>
        <w:t>) sets consistent expectations for risk management across the Company. It also sets expectations for our “Three Lines of Defense” model, which defines the roles, responsibilities and accountabilities for taking and managing risk across the Company. Account</w:t>
      </w:r>
      <w:r>
        <w:rPr>
          <w:rFonts w:eastAsia="Times New Roman"/>
          <w:color w:val="000000"/>
          <w:sz w:val="20"/>
          <w:szCs w:val="20"/>
        </w:rPr>
        <w:t xml:space="preserve">ability for overseeing an effective Framework resides with our Board of Directors either directly or through its committees. </w:t>
      </w:r>
    </w:p>
    <w:p w14:paraId="6201D5BF" w14:textId="77777777" w:rsidR="00000000" w:rsidRDefault="00405D16">
      <w:pPr>
        <w:jc w:val="both"/>
        <w:divId w:val="653491889"/>
        <w:rPr>
          <w:rFonts w:eastAsia="Times New Roman"/>
        </w:rPr>
      </w:pPr>
      <w:r>
        <w:rPr>
          <w:rFonts w:eastAsia="Times New Roman"/>
          <w:color w:val="000000"/>
          <w:sz w:val="20"/>
          <w:szCs w:val="20"/>
        </w:rPr>
        <w:t>The “First Line of Defense” consists of any line of business or function that is accountable for risk taking and is responsible fo</w:t>
      </w:r>
      <w:r>
        <w:rPr>
          <w:rFonts w:eastAsia="Times New Roman"/>
          <w:color w:val="000000"/>
          <w:sz w:val="20"/>
          <w:szCs w:val="20"/>
        </w:rPr>
        <w:t xml:space="preserve">r: (i) engaging in activities designed to generate revenue or reduce expenses; (ii) providing operational support or servicing to any business function for the delivery of products or services to customers; or (iii) providing technology services in direct </w:t>
      </w:r>
      <w:r>
        <w:rPr>
          <w:rFonts w:eastAsia="Times New Roman"/>
          <w:color w:val="000000"/>
          <w:sz w:val="20"/>
          <w:szCs w:val="20"/>
        </w:rPr>
        <w:t>support of first line business areas. Each line of business or first line function is responsible for managing the risks associated with their activities, including identifying, assessing, measuring, monitoring, controlling and reporting the risks within i</w:t>
      </w:r>
      <w:r>
        <w:rPr>
          <w:rFonts w:eastAsia="Times New Roman"/>
          <w:color w:val="000000"/>
          <w:sz w:val="20"/>
          <w:szCs w:val="20"/>
        </w:rPr>
        <w:t>ts business activities, consistent with the risk framework. The “Second Line of Defense” consists of two types of functions: Independent Risk Management (“IRM”) and Support Functions. IRM oversees risk-taking activities and assesses risks and issues indepe</w:t>
      </w:r>
      <w:r>
        <w:rPr>
          <w:rFonts w:eastAsia="Times New Roman"/>
          <w:color w:val="000000"/>
          <w:sz w:val="20"/>
          <w:szCs w:val="20"/>
        </w:rPr>
        <w:t xml:space="preserve">ndent from the first line of defense. Support Functions are centers of specialized expertise (e.g., Human Resources, Accounting, Legal) that provide support services to the Company. The “Third Line of Defense” is comprised of the Internal Audit and Credit </w:t>
      </w:r>
      <w:r>
        <w:rPr>
          <w:rFonts w:eastAsia="Times New Roman"/>
          <w:color w:val="000000"/>
          <w:sz w:val="20"/>
          <w:szCs w:val="20"/>
        </w:rPr>
        <w:t>Review functions. The third line provides independent and objective assurance to senior management and to the Board of Directors that the first and second lines of defense have systems and governance processes which are well-designed and working as intende</w:t>
      </w:r>
      <w:r>
        <w:rPr>
          <w:rFonts w:eastAsia="Times New Roman"/>
          <w:color w:val="000000"/>
          <w:sz w:val="20"/>
          <w:szCs w:val="20"/>
        </w:rPr>
        <w:t xml:space="preserve">d, and that the Framework is appropriate for our size, complexity and risk profile. </w:t>
      </w:r>
    </w:p>
    <w:p w14:paraId="7B71E670" w14:textId="77777777" w:rsidR="00000000" w:rsidRDefault="00405D16">
      <w:pPr>
        <w:jc w:val="both"/>
        <w:divId w:val="1790080844"/>
        <w:rPr>
          <w:rFonts w:eastAsia="Times New Roman"/>
        </w:rPr>
      </w:pPr>
      <w:r>
        <w:rPr>
          <w:rFonts w:eastAsia="Times New Roman"/>
          <w:color w:val="000000"/>
          <w:sz w:val="20"/>
          <w:szCs w:val="20"/>
        </w:rPr>
        <w:t xml:space="preserve">Our Framework consists of the following nine elements: </w:t>
      </w:r>
    </w:p>
    <w:tbl>
      <w:tblPr>
        <w:tblW w:w="4992" w:type="pct"/>
        <w:tblCellMar>
          <w:top w:w="15" w:type="dxa"/>
          <w:left w:w="15" w:type="dxa"/>
          <w:bottom w:w="15" w:type="dxa"/>
          <w:right w:w="15" w:type="dxa"/>
        </w:tblCellMar>
        <w:tblLook w:val="04A0" w:firstRow="1" w:lastRow="0" w:firstColumn="1" w:lastColumn="0" w:noHBand="0" w:noVBand="1"/>
      </w:tblPr>
      <w:tblGrid>
        <w:gridCol w:w="57"/>
        <w:gridCol w:w="1911"/>
        <w:gridCol w:w="37"/>
        <w:gridCol w:w="37"/>
        <w:gridCol w:w="37"/>
        <w:gridCol w:w="37"/>
        <w:gridCol w:w="46"/>
        <w:gridCol w:w="1903"/>
        <w:gridCol w:w="36"/>
        <w:gridCol w:w="36"/>
        <w:gridCol w:w="36"/>
        <w:gridCol w:w="36"/>
        <w:gridCol w:w="40"/>
        <w:gridCol w:w="1912"/>
        <w:gridCol w:w="36"/>
        <w:gridCol w:w="36"/>
        <w:gridCol w:w="36"/>
        <w:gridCol w:w="36"/>
        <w:gridCol w:w="43"/>
        <w:gridCol w:w="1909"/>
        <w:gridCol w:w="36"/>
      </w:tblGrid>
      <w:tr w:rsidR="00000000" w14:paraId="5F67C3FF" w14:textId="77777777">
        <w:trPr>
          <w:divId w:val="851261501"/>
        </w:trPr>
        <w:tc>
          <w:tcPr>
            <w:tcW w:w="50" w:type="pct"/>
            <w:vAlign w:val="center"/>
            <w:hideMark/>
          </w:tcPr>
          <w:p w14:paraId="5BA23FA9" w14:textId="77777777" w:rsidR="00000000" w:rsidRDefault="00405D16">
            <w:pPr>
              <w:jc w:val="both"/>
              <w:rPr>
                <w:rFonts w:eastAsia="Times New Roman"/>
              </w:rPr>
            </w:pPr>
          </w:p>
        </w:tc>
        <w:tc>
          <w:tcPr>
            <w:tcW w:w="1167" w:type="pct"/>
            <w:vAlign w:val="center"/>
            <w:hideMark/>
          </w:tcPr>
          <w:p w14:paraId="7A7122AA" w14:textId="77777777" w:rsidR="00000000" w:rsidRDefault="00405D16">
            <w:pPr>
              <w:spacing w:after="100"/>
              <w:rPr>
                <w:rFonts w:eastAsia="Times New Roman"/>
                <w:sz w:val="20"/>
                <w:szCs w:val="20"/>
              </w:rPr>
            </w:pPr>
          </w:p>
        </w:tc>
        <w:tc>
          <w:tcPr>
            <w:tcW w:w="5" w:type="pct"/>
            <w:vAlign w:val="center"/>
            <w:hideMark/>
          </w:tcPr>
          <w:p w14:paraId="614BBFA7" w14:textId="77777777" w:rsidR="00000000" w:rsidRDefault="00405D16">
            <w:pPr>
              <w:spacing w:after="100"/>
              <w:rPr>
                <w:rFonts w:eastAsia="Times New Roman"/>
                <w:sz w:val="20"/>
                <w:szCs w:val="20"/>
              </w:rPr>
            </w:pPr>
          </w:p>
        </w:tc>
        <w:tc>
          <w:tcPr>
            <w:tcW w:w="5" w:type="pct"/>
            <w:vAlign w:val="center"/>
            <w:hideMark/>
          </w:tcPr>
          <w:p w14:paraId="32045916" w14:textId="77777777" w:rsidR="00000000" w:rsidRDefault="00405D16">
            <w:pPr>
              <w:spacing w:after="100"/>
              <w:rPr>
                <w:rFonts w:eastAsia="Times New Roman"/>
                <w:sz w:val="20"/>
                <w:szCs w:val="20"/>
              </w:rPr>
            </w:pPr>
          </w:p>
        </w:tc>
        <w:tc>
          <w:tcPr>
            <w:tcW w:w="26" w:type="pct"/>
            <w:vAlign w:val="center"/>
            <w:hideMark/>
          </w:tcPr>
          <w:p w14:paraId="6BDA7EA6" w14:textId="77777777" w:rsidR="00000000" w:rsidRDefault="00405D16">
            <w:pPr>
              <w:spacing w:after="100"/>
              <w:rPr>
                <w:rFonts w:eastAsia="Times New Roman"/>
                <w:sz w:val="20"/>
                <w:szCs w:val="20"/>
              </w:rPr>
            </w:pPr>
          </w:p>
        </w:tc>
        <w:tc>
          <w:tcPr>
            <w:tcW w:w="5" w:type="pct"/>
            <w:vAlign w:val="center"/>
            <w:hideMark/>
          </w:tcPr>
          <w:p w14:paraId="3839A875" w14:textId="77777777" w:rsidR="00000000" w:rsidRDefault="00405D16">
            <w:pPr>
              <w:spacing w:after="100"/>
              <w:rPr>
                <w:rFonts w:eastAsia="Times New Roman"/>
                <w:sz w:val="20"/>
                <w:szCs w:val="20"/>
              </w:rPr>
            </w:pPr>
          </w:p>
        </w:tc>
        <w:tc>
          <w:tcPr>
            <w:tcW w:w="50" w:type="pct"/>
            <w:vAlign w:val="center"/>
            <w:hideMark/>
          </w:tcPr>
          <w:p w14:paraId="1700579D" w14:textId="77777777" w:rsidR="00000000" w:rsidRDefault="00405D16">
            <w:pPr>
              <w:spacing w:after="100"/>
              <w:rPr>
                <w:rFonts w:eastAsia="Times New Roman"/>
                <w:sz w:val="20"/>
                <w:szCs w:val="20"/>
              </w:rPr>
            </w:pPr>
          </w:p>
        </w:tc>
        <w:tc>
          <w:tcPr>
            <w:tcW w:w="1167" w:type="pct"/>
            <w:vAlign w:val="center"/>
            <w:hideMark/>
          </w:tcPr>
          <w:p w14:paraId="032DE3FA" w14:textId="77777777" w:rsidR="00000000" w:rsidRDefault="00405D16">
            <w:pPr>
              <w:spacing w:after="100"/>
              <w:rPr>
                <w:rFonts w:eastAsia="Times New Roman"/>
                <w:sz w:val="20"/>
                <w:szCs w:val="20"/>
              </w:rPr>
            </w:pPr>
          </w:p>
        </w:tc>
        <w:tc>
          <w:tcPr>
            <w:tcW w:w="5" w:type="pct"/>
            <w:vAlign w:val="center"/>
            <w:hideMark/>
          </w:tcPr>
          <w:p w14:paraId="128F9B4E" w14:textId="77777777" w:rsidR="00000000" w:rsidRDefault="00405D16">
            <w:pPr>
              <w:spacing w:after="100"/>
              <w:rPr>
                <w:rFonts w:eastAsia="Times New Roman"/>
                <w:sz w:val="20"/>
                <w:szCs w:val="20"/>
              </w:rPr>
            </w:pPr>
          </w:p>
        </w:tc>
        <w:tc>
          <w:tcPr>
            <w:tcW w:w="5" w:type="pct"/>
            <w:vAlign w:val="center"/>
            <w:hideMark/>
          </w:tcPr>
          <w:p w14:paraId="2A45BCA2" w14:textId="77777777" w:rsidR="00000000" w:rsidRDefault="00405D16">
            <w:pPr>
              <w:spacing w:after="100"/>
              <w:rPr>
                <w:rFonts w:eastAsia="Times New Roman"/>
                <w:sz w:val="20"/>
                <w:szCs w:val="20"/>
              </w:rPr>
            </w:pPr>
          </w:p>
        </w:tc>
        <w:tc>
          <w:tcPr>
            <w:tcW w:w="26" w:type="pct"/>
            <w:vAlign w:val="center"/>
            <w:hideMark/>
          </w:tcPr>
          <w:p w14:paraId="50624D4C" w14:textId="77777777" w:rsidR="00000000" w:rsidRDefault="00405D16">
            <w:pPr>
              <w:spacing w:after="100"/>
              <w:rPr>
                <w:rFonts w:eastAsia="Times New Roman"/>
                <w:sz w:val="20"/>
                <w:szCs w:val="20"/>
              </w:rPr>
            </w:pPr>
          </w:p>
        </w:tc>
        <w:tc>
          <w:tcPr>
            <w:tcW w:w="5" w:type="pct"/>
            <w:vAlign w:val="center"/>
            <w:hideMark/>
          </w:tcPr>
          <w:p w14:paraId="663C2A28" w14:textId="77777777" w:rsidR="00000000" w:rsidRDefault="00405D16">
            <w:pPr>
              <w:spacing w:after="100"/>
              <w:rPr>
                <w:rFonts w:eastAsia="Times New Roman"/>
                <w:sz w:val="20"/>
                <w:szCs w:val="20"/>
              </w:rPr>
            </w:pPr>
          </w:p>
        </w:tc>
        <w:tc>
          <w:tcPr>
            <w:tcW w:w="50" w:type="pct"/>
            <w:vAlign w:val="center"/>
            <w:hideMark/>
          </w:tcPr>
          <w:p w14:paraId="2D2A40A9" w14:textId="77777777" w:rsidR="00000000" w:rsidRDefault="00405D16">
            <w:pPr>
              <w:spacing w:after="100"/>
              <w:rPr>
                <w:rFonts w:eastAsia="Times New Roman"/>
                <w:sz w:val="20"/>
                <w:szCs w:val="20"/>
              </w:rPr>
            </w:pPr>
          </w:p>
        </w:tc>
        <w:tc>
          <w:tcPr>
            <w:tcW w:w="1167" w:type="pct"/>
            <w:vAlign w:val="center"/>
            <w:hideMark/>
          </w:tcPr>
          <w:p w14:paraId="48FF5E19" w14:textId="77777777" w:rsidR="00000000" w:rsidRDefault="00405D16">
            <w:pPr>
              <w:spacing w:after="100"/>
              <w:rPr>
                <w:rFonts w:eastAsia="Times New Roman"/>
                <w:sz w:val="20"/>
                <w:szCs w:val="20"/>
              </w:rPr>
            </w:pPr>
          </w:p>
        </w:tc>
        <w:tc>
          <w:tcPr>
            <w:tcW w:w="5" w:type="pct"/>
            <w:vAlign w:val="center"/>
            <w:hideMark/>
          </w:tcPr>
          <w:p w14:paraId="07C9C299" w14:textId="77777777" w:rsidR="00000000" w:rsidRDefault="00405D16">
            <w:pPr>
              <w:spacing w:after="100"/>
              <w:rPr>
                <w:rFonts w:eastAsia="Times New Roman"/>
                <w:sz w:val="20"/>
                <w:szCs w:val="20"/>
              </w:rPr>
            </w:pPr>
          </w:p>
        </w:tc>
        <w:tc>
          <w:tcPr>
            <w:tcW w:w="5" w:type="pct"/>
            <w:vAlign w:val="center"/>
            <w:hideMark/>
          </w:tcPr>
          <w:p w14:paraId="623B0F11" w14:textId="77777777" w:rsidR="00000000" w:rsidRDefault="00405D16">
            <w:pPr>
              <w:spacing w:after="100"/>
              <w:rPr>
                <w:rFonts w:eastAsia="Times New Roman"/>
                <w:sz w:val="20"/>
                <w:szCs w:val="20"/>
              </w:rPr>
            </w:pPr>
          </w:p>
        </w:tc>
        <w:tc>
          <w:tcPr>
            <w:tcW w:w="26" w:type="pct"/>
            <w:vAlign w:val="center"/>
            <w:hideMark/>
          </w:tcPr>
          <w:p w14:paraId="0EBDF4D1" w14:textId="77777777" w:rsidR="00000000" w:rsidRDefault="00405D16">
            <w:pPr>
              <w:spacing w:after="100"/>
              <w:rPr>
                <w:rFonts w:eastAsia="Times New Roman"/>
                <w:sz w:val="20"/>
                <w:szCs w:val="20"/>
              </w:rPr>
            </w:pPr>
          </w:p>
        </w:tc>
        <w:tc>
          <w:tcPr>
            <w:tcW w:w="5" w:type="pct"/>
            <w:vAlign w:val="center"/>
            <w:hideMark/>
          </w:tcPr>
          <w:p w14:paraId="2865B026" w14:textId="77777777" w:rsidR="00000000" w:rsidRDefault="00405D16">
            <w:pPr>
              <w:spacing w:after="100"/>
              <w:rPr>
                <w:rFonts w:eastAsia="Times New Roman"/>
                <w:sz w:val="20"/>
                <w:szCs w:val="20"/>
              </w:rPr>
            </w:pPr>
          </w:p>
        </w:tc>
        <w:tc>
          <w:tcPr>
            <w:tcW w:w="50" w:type="pct"/>
            <w:vAlign w:val="center"/>
            <w:hideMark/>
          </w:tcPr>
          <w:p w14:paraId="60235A73" w14:textId="77777777" w:rsidR="00000000" w:rsidRDefault="00405D16">
            <w:pPr>
              <w:spacing w:after="100"/>
              <w:rPr>
                <w:rFonts w:eastAsia="Times New Roman"/>
                <w:sz w:val="20"/>
                <w:szCs w:val="20"/>
              </w:rPr>
            </w:pPr>
          </w:p>
        </w:tc>
        <w:tc>
          <w:tcPr>
            <w:tcW w:w="1167" w:type="pct"/>
            <w:vAlign w:val="center"/>
            <w:hideMark/>
          </w:tcPr>
          <w:p w14:paraId="4751D3E8" w14:textId="77777777" w:rsidR="00000000" w:rsidRDefault="00405D16">
            <w:pPr>
              <w:spacing w:after="100"/>
              <w:rPr>
                <w:rFonts w:eastAsia="Times New Roman"/>
                <w:sz w:val="20"/>
                <w:szCs w:val="20"/>
              </w:rPr>
            </w:pPr>
          </w:p>
        </w:tc>
        <w:tc>
          <w:tcPr>
            <w:tcW w:w="5" w:type="pct"/>
            <w:vAlign w:val="center"/>
            <w:hideMark/>
          </w:tcPr>
          <w:p w14:paraId="293B34DD" w14:textId="77777777" w:rsidR="00000000" w:rsidRDefault="00405D16">
            <w:pPr>
              <w:spacing w:after="100"/>
              <w:rPr>
                <w:rFonts w:eastAsia="Times New Roman"/>
                <w:sz w:val="20"/>
                <w:szCs w:val="20"/>
              </w:rPr>
            </w:pPr>
          </w:p>
        </w:tc>
      </w:tr>
      <w:tr w:rsidR="00000000" w14:paraId="0B610002" w14:textId="77777777">
        <w:trPr>
          <w:divId w:val="851261501"/>
        </w:trPr>
        <w:tc>
          <w:tcPr>
            <w:tcW w:w="0" w:type="auto"/>
            <w:gridSpan w:val="21"/>
            <w:shd w:val="clear" w:color="auto" w:fill="004977"/>
            <w:tcMar>
              <w:top w:w="30" w:type="dxa"/>
              <w:left w:w="20" w:type="dxa"/>
              <w:bottom w:w="30" w:type="dxa"/>
              <w:right w:w="20" w:type="dxa"/>
            </w:tcMar>
            <w:vAlign w:val="center"/>
            <w:hideMark/>
          </w:tcPr>
          <w:p w14:paraId="2AD6F2F1" w14:textId="77777777" w:rsidR="00000000" w:rsidRDefault="00405D16">
            <w:pPr>
              <w:spacing w:after="100"/>
              <w:jc w:val="center"/>
              <w:rPr>
                <w:rFonts w:eastAsia="Times New Roman"/>
              </w:rPr>
            </w:pPr>
          </w:p>
          <w:p w14:paraId="1332D135" w14:textId="77777777" w:rsidR="00000000" w:rsidRDefault="00405D16">
            <w:pPr>
              <w:spacing w:after="100"/>
              <w:jc w:val="center"/>
              <w:rPr>
                <w:rFonts w:eastAsia="Times New Roman"/>
              </w:rPr>
            </w:pPr>
            <w:r>
              <w:rPr>
                <w:rFonts w:eastAsia="Times New Roman"/>
                <w:b/>
                <w:bCs/>
                <w:color w:val="FFFFFF"/>
                <w:sz w:val="18"/>
                <w:szCs w:val="18"/>
              </w:rPr>
              <w:t> Governance and Accountability</w:t>
            </w:r>
          </w:p>
          <w:p w14:paraId="1F90A6F0" w14:textId="77777777" w:rsidR="00000000" w:rsidRDefault="00405D16">
            <w:pPr>
              <w:spacing w:after="100"/>
              <w:jc w:val="center"/>
              <w:rPr>
                <w:rFonts w:eastAsia="Times New Roman"/>
              </w:rPr>
            </w:pPr>
          </w:p>
        </w:tc>
      </w:tr>
      <w:tr w:rsidR="00000000" w14:paraId="6C57D5A2" w14:textId="77777777">
        <w:trPr>
          <w:divId w:val="851261501"/>
          <w:trHeight w:val="60"/>
        </w:trPr>
        <w:tc>
          <w:tcPr>
            <w:tcW w:w="0" w:type="auto"/>
            <w:gridSpan w:val="21"/>
            <w:tcMar>
              <w:top w:w="0" w:type="dxa"/>
              <w:left w:w="20" w:type="dxa"/>
              <w:bottom w:w="0" w:type="dxa"/>
              <w:right w:w="20" w:type="dxa"/>
            </w:tcMar>
            <w:vAlign w:val="center"/>
            <w:hideMark/>
          </w:tcPr>
          <w:p w14:paraId="234A16C2" w14:textId="77777777" w:rsidR="00000000" w:rsidRDefault="00405D16">
            <w:pPr>
              <w:spacing w:after="100"/>
              <w:jc w:val="center"/>
              <w:rPr>
                <w:rFonts w:eastAsia="Times New Roman"/>
              </w:rPr>
            </w:pPr>
          </w:p>
        </w:tc>
      </w:tr>
      <w:tr w:rsidR="00000000" w14:paraId="3525DF3B" w14:textId="77777777">
        <w:trPr>
          <w:divId w:val="851261501"/>
        </w:trPr>
        <w:tc>
          <w:tcPr>
            <w:tcW w:w="0" w:type="auto"/>
            <w:gridSpan w:val="21"/>
            <w:shd w:val="clear" w:color="auto" w:fill="004977"/>
            <w:tcMar>
              <w:top w:w="30" w:type="dxa"/>
              <w:left w:w="20" w:type="dxa"/>
              <w:bottom w:w="30" w:type="dxa"/>
              <w:right w:w="20" w:type="dxa"/>
            </w:tcMar>
            <w:vAlign w:val="center"/>
            <w:hideMark/>
          </w:tcPr>
          <w:p w14:paraId="00AB9ACC" w14:textId="77777777" w:rsidR="00000000" w:rsidRDefault="00405D16">
            <w:pPr>
              <w:spacing w:after="100"/>
              <w:jc w:val="center"/>
              <w:rPr>
                <w:rFonts w:eastAsia="Times New Roman"/>
              </w:rPr>
            </w:pPr>
          </w:p>
          <w:p w14:paraId="525E29CC" w14:textId="77777777" w:rsidR="00000000" w:rsidRDefault="00405D16">
            <w:pPr>
              <w:spacing w:after="100"/>
              <w:jc w:val="center"/>
              <w:rPr>
                <w:rFonts w:eastAsia="Times New Roman"/>
              </w:rPr>
            </w:pPr>
            <w:r>
              <w:rPr>
                <w:rFonts w:eastAsia="Times New Roman"/>
                <w:b/>
                <w:bCs/>
                <w:color w:val="FFFFFF"/>
                <w:sz w:val="18"/>
                <w:szCs w:val="18"/>
              </w:rPr>
              <w:t>Strategy and Risk Alignment</w:t>
            </w:r>
          </w:p>
          <w:p w14:paraId="01765EF7" w14:textId="77777777" w:rsidR="00000000" w:rsidRDefault="00405D16">
            <w:pPr>
              <w:spacing w:after="100"/>
              <w:jc w:val="center"/>
              <w:rPr>
                <w:rFonts w:eastAsia="Times New Roman"/>
              </w:rPr>
            </w:pPr>
          </w:p>
        </w:tc>
      </w:tr>
      <w:tr w:rsidR="00000000" w14:paraId="01FA7AC5" w14:textId="77777777">
        <w:trPr>
          <w:divId w:val="851261501"/>
          <w:trHeight w:val="60"/>
        </w:trPr>
        <w:tc>
          <w:tcPr>
            <w:tcW w:w="0" w:type="auto"/>
            <w:gridSpan w:val="3"/>
            <w:tcMar>
              <w:top w:w="0" w:type="dxa"/>
              <w:left w:w="20" w:type="dxa"/>
              <w:bottom w:w="0" w:type="dxa"/>
              <w:right w:w="20" w:type="dxa"/>
            </w:tcMar>
            <w:vAlign w:val="center"/>
            <w:hideMark/>
          </w:tcPr>
          <w:p w14:paraId="08F1A870" w14:textId="77777777" w:rsidR="00000000" w:rsidRDefault="00405D1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9D7930A"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E30A743"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B8D6F2F"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EF409C"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48E4EAD"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26D30EC" w14:textId="77777777" w:rsidR="00000000" w:rsidRDefault="00405D16">
            <w:pPr>
              <w:spacing w:after="100"/>
              <w:rPr>
                <w:rFonts w:eastAsia="Times New Roman"/>
                <w:sz w:val="20"/>
                <w:szCs w:val="20"/>
              </w:rPr>
            </w:pPr>
          </w:p>
        </w:tc>
      </w:tr>
      <w:tr w:rsidR="00000000" w14:paraId="68CC7B0B" w14:textId="77777777">
        <w:trPr>
          <w:divId w:val="851261501"/>
        </w:trPr>
        <w:tc>
          <w:tcPr>
            <w:tcW w:w="0" w:type="auto"/>
            <w:gridSpan w:val="3"/>
            <w:shd w:val="clear" w:color="auto" w:fill="004977"/>
            <w:tcMar>
              <w:top w:w="30" w:type="dxa"/>
              <w:left w:w="20" w:type="dxa"/>
              <w:bottom w:w="30" w:type="dxa"/>
              <w:right w:w="20" w:type="dxa"/>
            </w:tcMar>
            <w:vAlign w:val="center"/>
            <w:hideMark/>
          </w:tcPr>
          <w:p w14:paraId="0144916A" w14:textId="77777777" w:rsidR="00000000" w:rsidRDefault="00405D16">
            <w:pPr>
              <w:spacing w:after="100"/>
              <w:jc w:val="center"/>
              <w:rPr>
                <w:rFonts w:eastAsia="Times New Roman"/>
              </w:rPr>
            </w:pPr>
            <w:r>
              <w:rPr>
                <w:rFonts w:eastAsia="Times New Roman"/>
                <w:b/>
                <w:bCs/>
                <w:sz w:val="18"/>
                <w:szCs w:val="18"/>
              </w:rPr>
              <w:br/>
            </w:r>
            <w:r>
              <w:rPr>
                <w:rFonts w:eastAsia="Times New Roman"/>
                <w:b/>
                <w:bCs/>
                <w:color w:val="FFFFFF"/>
                <w:sz w:val="18"/>
                <w:szCs w:val="18"/>
              </w:rPr>
              <w:t>Risk Identification</w:t>
            </w:r>
          </w:p>
        </w:tc>
        <w:tc>
          <w:tcPr>
            <w:tcW w:w="0" w:type="auto"/>
            <w:gridSpan w:val="3"/>
            <w:tcMar>
              <w:top w:w="0" w:type="dxa"/>
              <w:left w:w="20" w:type="dxa"/>
              <w:bottom w:w="0" w:type="dxa"/>
              <w:right w:w="20" w:type="dxa"/>
            </w:tcMar>
            <w:vAlign w:val="center"/>
            <w:hideMark/>
          </w:tcPr>
          <w:p w14:paraId="3E8B4BAE" w14:textId="77777777" w:rsidR="00000000" w:rsidRDefault="00405D16">
            <w:pPr>
              <w:spacing w:after="100"/>
              <w:jc w:val="center"/>
              <w:rPr>
                <w:rFonts w:eastAsia="Times New Roman"/>
              </w:rPr>
            </w:pPr>
          </w:p>
        </w:tc>
        <w:tc>
          <w:tcPr>
            <w:tcW w:w="0" w:type="auto"/>
            <w:gridSpan w:val="3"/>
            <w:shd w:val="clear" w:color="auto" w:fill="004977"/>
            <w:tcMar>
              <w:top w:w="30" w:type="dxa"/>
              <w:left w:w="20" w:type="dxa"/>
              <w:bottom w:w="30" w:type="dxa"/>
              <w:right w:w="20" w:type="dxa"/>
            </w:tcMar>
            <w:vAlign w:val="center"/>
            <w:hideMark/>
          </w:tcPr>
          <w:p w14:paraId="00E31738" w14:textId="77777777" w:rsidR="00000000" w:rsidRDefault="00405D16">
            <w:pPr>
              <w:spacing w:after="100"/>
              <w:jc w:val="center"/>
              <w:rPr>
                <w:rFonts w:eastAsia="Times New Roman"/>
              </w:rPr>
            </w:pPr>
          </w:p>
          <w:p w14:paraId="22FE6AE1" w14:textId="77777777" w:rsidR="00000000" w:rsidRDefault="00405D16">
            <w:pPr>
              <w:spacing w:after="100"/>
              <w:jc w:val="center"/>
              <w:rPr>
                <w:rFonts w:eastAsia="Times New Roman"/>
              </w:rPr>
            </w:pPr>
            <w:r>
              <w:rPr>
                <w:rFonts w:eastAsia="Times New Roman"/>
                <w:b/>
                <w:bCs/>
                <w:color w:val="FFFFFF"/>
                <w:sz w:val="18"/>
                <w:szCs w:val="18"/>
              </w:rPr>
              <w:t>Assessment, Measurement</w:t>
            </w:r>
          </w:p>
          <w:p w14:paraId="155701AC" w14:textId="77777777" w:rsidR="00000000" w:rsidRDefault="00405D16">
            <w:pPr>
              <w:spacing w:after="100"/>
              <w:jc w:val="center"/>
              <w:rPr>
                <w:rFonts w:eastAsia="Times New Roman"/>
              </w:rPr>
            </w:pPr>
            <w:r>
              <w:rPr>
                <w:rFonts w:eastAsia="Times New Roman"/>
                <w:b/>
                <w:bCs/>
                <w:color w:val="FFFFFF"/>
                <w:sz w:val="18"/>
                <w:szCs w:val="18"/>
              </w:rPr>
              <w:t>and Response</w:t>
            </w:r>
          </w:p>
          <w:p w14:paraId="45E7F0D9" w14:textId="77777777" w:rsidR="00000000" w:rsidRDefault="00405D1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E0F905B" w14:textId="77777777" w:rsidR="00000000" w:rsidRDefault="00405D16">
            <w:pPr>
              <w:spacing w:after="100"/>
              <w:jc w:val="center"/>
              <w:rPr>
                <w:rFonts w:eastAsia="Times New Roman"/>
              </w:rPr>
            </w:pPr>
          </w:p>
        </w:tc>
        <w:tc>
          <w:tcPr>
            <w:tcW w:w="0" w:type="auto"/>
            <w:gridSpan w:val="3"/>
            <w:shd w:val="clear" w:color="auto" w:fill="004977"/>
            <w:tcMar>
              <w:top w:w="30" w:type="dxa"/>
              <w:left w:w="20" w:type="dxa"/>
              <w:bottom w:w="30" w:type="dxa"/>
              <w:right w:w="20" w:type="dxa"/>
            </w:tcMar>
            <w:vAlign w:val="center"/>
            <w:hideMark/>
          </w:tcPr>
          <w:p w14:paraId="6621DB35" w14:textId="77777777" w:rsidR="00000000" w:rsidRDefault="00405D16">
            <w:pPr>
              <w:spacing w:after="100"/>
              <w:jc w:val="center"/>
              <w:rPr>
                <w:rFonts w:eastAsia="Times New Roman"/>
              </w:rPr>
            </w:pPr>
          </w:p>
          <w:p w14:paraId="3BE36CAD" w14:textId="77777777" w:rsidR="00000000" w:rsidRDefault="00405D16">
            <w:pPr>
              <w:spacing w:after="100"/>
              <w:jc w:val="center"/>
              <w:rPr>
                <w:rFonts w:eastAsia="Times New Roman"/>
              </w:rPr>
            </w:pPr>
            <w:r>
              <w:rPr>
                <w:rFonts w:eastAsia="Times New Roman"/>
                <w:b/>
                <w:bCs/>
                <w:color w:val="FFFFFF"/>
                <w:sz w:val="18"/>
                <w:szCs w:val="18"/>
              </w:rPr>
              <w:t>Monitoring and Testing</w:t>
            </w:r>
          </w:p>
          <w:p w14:paraId="1ECCFC52" w14:textId="77777777" w:rsidR="00000000" w:rsidRDefault="00405D1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8F8969A" w14:textId="77777777" w:rsidR="00000000" w:rsidRDefault="00405D16">
            <w:pPr>
              <w:spacing w:after="100"/>
              <w:jc w:val="center"/>
              <w:rPr>
                <w:rFonts w:eastAsia="Times New Roman"/>
              </w:rPr>
            </w:pPr>
          </w:p>
        </w:tc>
        <w:tc>
          <w:tcPr>
            <w:tcW w:w="0" w:type="auto"/>
            <w:gridSpan w:val="3"/>
            <w:shd w:val="clear" w:color="auto" w:fill="004977"/>
            <w:tcMar>
              <w:top w:w="30" w:type="dxa"/>
              <w:left w:w="20" w:type="dxa"/>
              <w:bottom w:w="30" w:type="dxa"/>
              <w:right w:w="20" w:type="dxa"/>
            </w:tcMar>
            <w:vAlign w:val="center"/>
            <w:hideMark/>
          </w:tcPr>
          <w:p w14:paraId="33B6705B" w14:textId="77777777" w:rsidR="00000000" w:rsidRDefault="00405D16">
            <w:pPr>
              <w:spacing w:after="100"/>
              <w:jc w:val="center"/>
              <w:rPr>
                <w:rFonts w:eastAsia="Times New Roman"/>
              </w:rPr>
            </w:pPr>
          </w:p>
          <w:p w14:paraId="790127CD" w14:textId="77777777" w:rsidR="00000000" w:rsidRDefault="00405D16">
            <w:pPr>
              <w:spacing w:after="100"/>
              <w:jc w:val="center"/>
              <w:rPr>
                <w:rFonts w:eastAsia="Times New Roman"/>
              </w:rPr>
            </w:pPr>
            <w:r>
              <w:rPr>
                <w:rFonts w:eastAsia="Times New Roman"/>
                <w:b/>
                <w:bCs/>
                <w:color w:val="FFFFFF"/>
                <w:sz w:val="18"/>
                <w:szCs w:val="18"/>
              </w:rPr>
              <w:t>Aggregation, Reporting and Escalation</w:t>
            </w:r>
          </w:p>
          <w:p w14:paraId="3C60CE05" w14:textId="77777777" w:rsidR="00000000" w:rsidRDefault="00405D16">
            <w:pPr>
              <w:spacing w:after="100"/>
              <w:jc w:val="center"/>
              <w:rPr>
                <w:rFonts w:eastAsia="Times New Roman"/>
              </w:rPr>
            </w:pPr>
          </w:p>
        </w:tc>
      </w:tr>
      <w:tr w:rsidR="00000000" w14:paraId="78AF7EA0" w14:textId="77777777">
        <w:trPr>
          <w:divId w:val="851261501"/>
          <w:trHeight w:val="60"/>
        </w:trPr>
        <w:tc>
          <w:tcPr>
            <w:tcW w:w="0" w:type="auto"/>
            <w:gridSpan w:val="3"/>
            <w:tcMar>
              <w:top w:w="0" w:type="dxa"/>
              <w:left w:w="20" w:type="dxa"/>
              <w:bottom w:w="0" w:type="dxa"/>
              <w:right w:w="20" w:type="dxa"/>
            </w:tcMar>
            <w:vAlign w:val="center"/>
            <w:hideMark/>
          </w:tcPr>
          <w:p w14:paraId="07993E0D" w14:textId="77777777" w:rsidR="00000000" w:rsidRDefault="00405D1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CEE1F2A"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62E48B3"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8A7EEF0"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D866D65"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91F66FF"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4BF4464" w14:textId="77777777" w:rsidR="00000000" w:rsidRDefault="00405D16">
            <w:pPr>
              <w:spacing w:after="100"/>
              <w:rPr>
                <w:rFonts w:eastAsia="Times New Roman"/>
                <w:sz w:val="20"/>
                <w:szCs w:val="20"/>
              </w:rPr>
            </w:pPr>
          </w:p>
        </w:tc>
      </w:tr>
      <w:tr w:rsidR="00000000" w14:paraId="2E5CB9DA" w14:textId="77777777">
        <w:trPr>
          <w:divId w:val="851261501"/>
        </w:trPr>
        <w:tc>
          <w:tcPr>
            <w:tcW w:w="0" w:type="auto"/>
            <w:gridSpan w:val="21"/>
            <w:shd w:val="clear" w:color="auto" w:fill="004977"/>
            <w:tcMar>
              <w:top w:w="30" w:type="dxa"/>
              <w:left w:w="20" w:type="dxa"/>
              <w:bottom w:w="30" w:type="dxa"/>
              <w:right w:w="20" w:type="dxa"/>
            </w:tcMar>
            <w:vAlign w:val="center"/>
            <w:hideMark/>
          </w:tcPr>
          <w:p w14:paraId="7F99B935" w14:textId="77777777" w:rsidR="00000000" w:rsidRDefault="00405D16">
            <w:pPr>
              <w:spacing w:after="100"/>
              <w:jc w:val="center"/>
              <w:rPr>
                <w:rFonts w:eastAsia="Times New Roman"/>
              </w:rPr>
            </w:pPr>
          </w:p>
          <w:p w14:paraId="47631479" w14:textId="77777777" w:rsidR="00000000" w:rsidRDefault="00405D16">
            <w:pPr>
              <w:spacing w:after="100"/>
              <w:jc w:val="center"/>
              <w:rPr>
                <w:rFonts w:eastAsia="Times New Roman"/>
              </w:rPr>
            </w:pPr>
            <w:r>
              <w:rPr>
                <w:rFonts w:eastAsia="Times New Roman"/>
                <w:b/>
                <w:bCs/>
                <w:color w:val="FFFFFF"/>
                <w:sz w:val="18"/>
                <w:szCs w:val="18"/>
              </w:rPr>
              <w:t>Capital and Liquidity Management (including Stress Testing)</w:t>
            </w:r>
          </w:p>
          <w:p w14:paraId="3F15474A" w14:textId="77777777" w:rsidR="00000000" w:rsidRDefault="00405D16">
            <w:pPr>
              <w:spacing w:after="100"/>
              <w:jc w:val="center"/>
              <w:rPr>
                <w:rFonts w:eastAsia="Times New Roman"/>
              </w:rPr>
            </w:pPr>
          </w:p>
        </w:tc>
      </w:tr>
      <w:tr w:rsidR="00000000" w14:paraId="1A622EDD" w14:textId="77777777">
        <w:trPr>
          <w:divId w:val="851261501"/>
          <w:trHeight w:val="60"/>
        </w:trPr>
        <w:tc>
          <w:tcPr>
            <w:tcW w:w="0" w:type="auto"/>
            <w:gridSpan w:val="21"/>
            <w:tcMar>
              <w:top w:w="0" w:type="dxa"/>
              <w:left w:w="20" w:type="dxa"/>
              <w:bottom w:w="0" w:type="dxa"/>
              <w:right w:w="20" w:type="dxa"/>
            </w:tcMar>
            <w:vAlign w:val="center"/>
            <w:hideMark/>
          </w:tcPr>
          <w:p w14:paraId="36529D1D" w14:textId="77777777" w:rsidR="00000000" w:rsidRDefault="00405D16">
            <w:pPr>
              <w:spacing w:after="100"/>
              <w:jc w:val="center"/>
              <w:rPr>
                <w:rFonts w:eastAsia="Times New Roman"/>
              </w:rPr>
            </w:pPr>
          </w:p>
        </w:tc>
      </w:tr>
      <w:tr w:rsidR="00000000" w14:paraId="797DE973" w14:textId="77777777">
        <w:trPr>
          <w:divId w:val="851261501"/>
        </w:trPr>
        <w:tc>
          <w:tcPr>
            <w:tcW w:w="0" w:type="auto"/>
            <w:gridSpan w:val="21"/>
            <w:shd w:val="clear" w:color="auto" w:fill="004977"/>
            <w:tcMar>
              <w:top w:w="30" w:type="dxa"/>
              <w:left w:w="20" w:type="dxa"/>
              <w:bottom w:w="30" w:type="dxa"/>
              <w:right w:w="20" w:type="dxa"/>
            </w:tcMar>
            <w:vAlign w:val="center"/>
            <w:hideMark/>
          </w:tcPr>
          <w:p w14:paraId="43AC9925" w14:textId="77777777" w:rsidR="00000000" w:rsidRDefault="00405D16">
            <w:pPr>
              <w:spacing w:after="100"/>
              <w:jc w:val="center"/>
              <w:rPr>
                <w:rFonts w:eastAsia="Times New Roman"/>
              </w:rPr>
            </w:pPr>
          </w:p>
          <w:p w14:paraId="4F7BF782" w14:textId="77777777" w:rsidR="00000000" w:rsidRDefault="00405D16">
            <w:pPr>
              <w:spacing w:after="100"/>
              <w:jc w:val="center"/>
              <w:rPr>
                <w:rFonts w:eastAsia="Times New Roman"/>
              </w:rPr>
            </w:pPr>
            <w:r>
              <w:rPr>
                <w:rFonts w:eastAsia="Times New Roman"/>
                <w:b/>
                <w:bCs/>
                <w:color w:val="FFFFFF"/>
                <w:sz w:val="18"/>
                <w:szCs w:val="18"/>
              </w:rPr>
              <w:t>Risk Data and Enabling Technology</w:t>
            </w:r>
          </w:p>
          <w:p w14:paraId="61D3129D" w14:textId="77777777" w:rsidR="00000000" w:rsidRDefault="00405D16">
            <w:pPr>
              <w:spacing w:after="100"/>
              <w:jc w:val="center"/>
              <w:rPr>
                <w:rFonts w:eastAsia="Times New Roman"/>
              </w:rPr>
            </w:pPr>
          </w:p>
        </w:tc>
      </w:tr>
      <w:tr w:rsidR="00000000" w14:paraId="1DFF7AE7" w14:textId="77777777">
        <w:trPr>
          <w:divId w:val="851261501"/>
          <w:trHeight w:val="60"/>
        </w:trPr>
        <w:tc>
          <w:tcPr>
            <w:tcW w:w="0" w:type="auto"/>
            <w:gridSpan w:val="21"/>
            <w:tcMar>
              <w:top w:w="0" w:type="dxa"/>
              <w:left w:w="20" w:type="dxa"/>
              <w:bottom w:w="0" w:type="dxa"/>
              <w:right w:w="20" w:type="dxa"/>
            </w:tcMar>
            <w:vAlign w:val="center"/>
            <w:hideMark/>
          </w:tcPr>
          <w:p w14:paraId="6E71C780" w14:textId="77777777" w:rsidR="00000000" w:rsidRDefault="00405D16">
            <w:pPr>
              <w:spacing w:after="100"/>
              <w:jc w:val="center"/>
              <w:rPr>
                <w:rFonts w:eastAsia="Times New Roman"/>
              </w:rPr>
            </w:pPr>
          </w:p>
        </w:tc>
      </w:tr>
      <w:tr w:rsidR="00000000" w14:paraId="45BD9C80" w14:textId="77777777">
        <w:trPr>
          <w:divId w:val="851261501"/>
        </w:trPr>
        <w:tc>
          <w:tcPr>
            <w:tcW w:w="0" w:type="auto"/>
            <w:gridSpan w:val="21"/>
            <w:shd w:val="clear" w:color="auto" w:fill="004977"/>
            <w:tcMar>
              <w:top w:w="30" w:type="dxa"/>
              <w:left w:w="20" w:type="dxa"/>
              <w:bottom w:w="30" w:type="dxa"/>
              <w:right w:w="20" w:type="dxa"/>
            </w:tcMar>
            <w:vAlign w:val="center"/>
            <w:hideMark/>
          </w:tcPr>
          <w:p w14:paraId="6D1ABE11" w14:textId="77777777" w:rsidR="00000000" w:rsidRDefault="00405D16">
            <w:pPr>
              <w:spacing w:after="100"/>
              <w:jc w:val="center"/>
              <w:rPr>
                <w:rFonts w:eastAsia="Times New Roman"/>
              </w:rPr>
            </w:pPr>
          </w:p>
          <w:p w14:paraId="35FA7D53" w14:textId="77777777" w:rsidR="00000000" w:rsidRDefault="00405D16">
            <w:pPr>
              <w:spacing w:after="100"/>
              <w:jc w:val="center"/>
              <w:rPr>
                <w:rFonts w:eastAsia="Times New Roman"/>
              </w:rPr>
            </w:pPr>
            <w:r>
              <w:rPr>
                <w:rFonts w:eastAsia="Times New Roman"/>
                <w:b/>
                <w:bCs/>
                <w:color w:val="FFFFFF"/>
                <w:sz w:val="18"/>
                <w:szCs w:val="18"/>
              </w:rPr>
              <w:t>Culture and Talent Management</w:t>
            </w:r>
          </w:p>
          <w:p w14:paraId="65A6A966" w14:textId="77777777" w:rsidR="00000000" w:rsidRDefault="00405D16">
            <w:pPr>
              <w:spacing w:after="100"/>
              <w:jc w:val="center"/>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5E7F0373" w14:textId="77777777">
        <w:trPr>
          <w:jc w:val="center"/>
        </w:trPr>
        <w:tc>
          <w:tcPr>
            <w:tcW w:w="50" w:type="pct"/>
            <w:vAlign w:val="center"/>
            <w:hideMark/>
          </w:tcPr>
          <w:p w14:paraId="1629AA4D" w14:textId="77777777" w:rsidR="00000000" w:rsidRDefault="00405D16">
            <w:pPr>
              <w:rPr>
                <w:rFonts w:eastAsia="Times New Roman"/>
              </w:rPr>
            </w:pPr>
          </w:p>
        </w:tc>
        <w:tc>
          <w:tcPr>
            <w:tcW w:w="1606" w:type="pct"/>
            <w:vAlign w:val="center"/>
            <w:hideMark/>
          </w:tcPr>
          <w:p w14:paraId="5777109B" w14:textId="77777777" w:rsidR="00000000" w:rsidRDefault="00405D16">
            <w:pPr>
              <w:spacing w:after="100"/>
              <w:rPr>
                <w:rFonts w:eastAsia="Times New Roman"/>
                <w:sz w:val="20"/>
                <w:szCs w:val="20"/>
              </w:rPr>
            </w:pPr>
          </w:p>
        </w:tc>
        <w:tc>
          <w:tcPr>
            <w:tcW w:w="5" w:type="pct"/>
            <w:vAlign w:val="center"/>
            <w:hideMark/>
          </w:tcPr>
          <w:p w14:paraId="0DC4F2D6" w14:textId="77777777" w:rsidR="00000000" w:rsidRDefault="00405D16">
            <w:pPr>
              <w:spacing w:after="100"/>
              <w:rPr>
                <w:rFonts w:eastAsia="Times New Roman"/>
                <w:sz w:val="20"/>
                <w:szCs w:val="20"/>
              </w:rPr>
            </w:pPr>
          </w:p>
        </w:tc>
        <w:tc>
          <w:tcPr>
            <w:tcW w:w="50" w:type="pct"/>
            <w:vAlign w:val="center"/>
            <w:hideMark/>
          </w:tcPr>
          <w:p w14:paraId="57A4BE21" w14:textId="77777777" w:rsidR="00000000" w:rsidRDefault="00405D16">
            <w:pPr>
              <w:spacing w:after="100"/>
              <w:rPr>
                <w:rFonts w:eastAsia="Times New Roman"/>
                <w:sz w:val="20"/>
                <w:szCs w:val="20"/>
              </w:rPr>
            </w:pPr>
          </w:p>
        </w:tc>
        <w:tc>
          <w:tcPr>
            <w:tcW w:w="1614" w:type="pct"/>
            <w:vAlign w:val="center"/>
            <w:hideMark/>
          </w:tcPr>
          <w:p w14:paraId="661ECF47" w14:textId="77777777" w:rsidR="00000000" w:rsidRDefault="00405D16">
            <w:pPr>
              <w:spacing w:after="100"/>
              <w:rPr>
                <w:rFonts w:eastAsia="Times New Roman"/>
                <w:sz w:val="20"/>
                <w:szCs w:val="20"/>
              </w:rPr>
            </w:pPr>
          </w:p>
        </w:tc>
        <w:tc>
          <w:tcPr>
            <w:tcW w:w="5" w:type="pct"/>
            <w:vAlign w:val="center"/>
            <w:hideMark/>
          </w:tcPr>
          <w:p w14:paraId="4702C816" w14:textId="77777777" w:rsidR="00000000" w:rsidRDefault="00405D16">
            <w:pPr>
              <w:spacing w:after="100"/>
              <w:rPr>
                <w:rFonts w:eastAsia="Times New Roman"/>
                <w:sz w:val="20"/>
                <w:szCs w:val="20"/>
              </w:rPr>
            </w:pPr>
          </w:p>
        </w:tc>
        <w:tc>
          <w:tcPr>
            <w:tcW w:w="50" w:type="pct"/>
            <w:vAlign w:val="center"/>
            <w:hideMark/>
          </w:tcPr>
          <w:p w14:paraId="50C2C00B" w14:textId="77777777" w:rsidR="00000000" w:rsidRDefault="00405D16">
            <w:pPr>
              <w:spacing w:after="100"/>
              <w:rPr>
                <w:rFonts w:eastAsia="Times New Roman"/>
                <w:sz w:val="20"/>
                <w:szCs w:val="20"/>
              </w:rPr>
            </w:pPr>
          </w:p>
        </w:tc>
        <w:tc>
          <w:tcPr>
            <w:tcW w:w="1614" w:type="pct"/>
            <w:vAlign w:val="center"/>
            <w:hideMark/>
          </w:tcPr>
          <w:p w14:paraId="5A4E4DD8" w14:textId="77777777" w:rsidR="00000000" w:rsidRDefault="00405D16">
            <w:pPr>
              <w:spacing w:after="100"/>
              <w:rPr>
                <w:rFonts w:eastAsia="Times New Roman"/>
                <w:sz w:val="20"/>
                <w:szCs w:val="20"/>
              </w:rPr>
            </w:pPr>
          </w:p>
        </w:tc>
        <w:tc>
          <w:tcPr>
            <w:tcW w:w="5" w:type="pct"/>
            <w:vAlign w:val="center"/>
            <w:hideMark/>
          </w:tcPr>
          <w:p w14:paraId="090D4E3C" w14:textId="77777777" w:rsidR="00000000" w:rsidRDefault="00405D16">
            <w:pPr>
              <w:spacing w:after="100"/>
              <w:rPr>
                <w:rFonts w:eastAsia="Times New Roman"/>
                <w:sz w:val="20"/>
                <w:szCs w:val="20"/>
              </w:rPr>
            </w:pPr>
          </w:p>
        </w:tc>
      </w:tr>
      <w:tr w:rsidR="00000000" w14:paraId="2322D86A" w14:textId="77777777">
        <w:trPr>
          <w:trHeight w:val="300"/>
          <w:jc w:val="center"/>
        </w:trPr>
        <w:tc>
          <w:tcPr>
            <w:tcW w:w="0" w:type="auto"/>
            <w:gridSpan w:val="9"/>
            <w:tcMar>
              <w:top w:w="0" w:type="dxa"/>
              <w:left w:w="20" w:type="dxa"/>
              <w:bottom w:w="0" w:type="dxa"/>
              <w:right w:w="20" w:type="dxa"/>
            </w:tcMar>
            <w:vAlign w:val="center"/>
            <w:hideMark/>
          </w:tcPr>
          <w:p w14:paraId="49B440B2" w14:textId="77777777" w:rsidR="00000000" w:rsidRDefault="00405D16">
            <w:pPr>
              <w:spacing w:after="100"/>
              <w:rPr>
                <w:rFonts w:eastAsia="Times New Roman"/>
                <w:sz w:val="20"/>
                <w:szCs w:val="20"/>
              </w:rPr>
            </w:pPr>
          </w:p>
        </w:tc>
      </w:tr>
      <w:tr w:rsidR="00000000" w14:paraId="265F5635" w14:textId="77777777">
        <w:trPr>
          <w:jc w:val="center"/>
        </w:trPr>
        <w:tc>
          <w:tcPr>
            <w:tcW w:w="0" w:type="auto"/>
            <w:gridSpan w:val="3"/>
            <w:tcMar>
              <w:top w:w="0" w:type="dxa"/>
              <w:left w:w="20" w:type="dxa"/>
              <w:bottom w:w="0" w:type="dxa"/>
              <w:right w:w="20" w:type="dxa"/>
            </w:tcMar>
            <w:vAlign w:val="center"/>
            <w:hideMark/>
          </w:tcPr>
          <w:p w14:paraId="0AD515A1"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BAB8107" w14:textId="77777777" w:rsidR="00000000" w:rsidRDefault="00405D16">
            <w:pPr>
              <w:spacing w:after="100"/>
              <w:jc w:val="center"/>
              <w:rPr>
                <w:rFonts w:eastAsia="Times New Roman"/>
              </w:rPr>
            </w:pPr>
            <w:r>
              <w:rPr>
                <w:rFonts w:eastAsia="Times New Roman"/>
                <w:color w:val="000000"/>
                <w:sz w:val="16"/>
                <w:szCs w:val="16"/>
              </w:rPr>
              <w:t>37</w:t>
            </w:r>
          </w:p>
        </w:tc>
        <w:tc>
          <w:tcPr>
            <w:tcW w:w="0" w:type="auto"/>
            <w:gridSpan w:val="3"/>
            <w:tcMar>
              <w:top w:w="30" w:type="dxa"/>
              <w:left w:w="20" w:type="dxa"/>
              <w:bottom w:w="30" w:type="dxa"/>
              <w:right w:w="20" w:type="dxa"/>
            </w:tcMar>
            <w:vAlign w:val="bottom"/>
            <w:hideMark/>
          </w:tcPr>
          <w:p w14:paraId="6D81C494"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327AED39" w14:textId="77777777" w:rsidR="00000000" w:rsidRDefault="00405D16">
      <w:pPr>
        <w:rPr>
          <w:rFonts w:eastAsia="Times New Roman"/>
        </w:rPr>
      </w:pPr>
      <w:r>
        <w:rPr>
          <w:rFonts w:eastAsia="Times New Roman"/>
        </w:rPr>
        <w:pict w14:anchorId="2B635D1D">
          <v:rect id="_x0000_i1062" style="width:0;height:1.5pt" o:hralign="center" o:hrstd="t" o:hr="t" fillcolor="#a0a0a0" stroked="f"/>
        </w:pict>
      </w:r>
    </w:p>
    <w:p w14:paraId="30EB5F80" w14:textId="77777777" w:rsidR="00000000" w:rsidRDefault="00405D16">
      <w:pPr>
        <w:ind w:hanging="360"/>
        <w:jc w:val="both"/>
        <w:divId w:val="1629509271"/>
        <w:rPr>
          <w:rFonts w:eastAsia="Times New Roman"/>
        </w:rPr>
      </w:pPr>
      <w:hyperlink w:anchor="idd54a04a485440b4ab4e56094c14d612_13" w:history="1">
        <w:r>
          <w:rPr>
            <w:rStyle w:val="a3"/>
            <w:rFonts w:eastAsia="Times New Roman"/>
            <w:sz w:val="16"/>
            <w:szCs w:val="16"/>
          </w:rPr>
          <w:t>Table of Contents</w:t>
        </w:r>
      </w:hyperlink>
    </w:p>
    <w:p w14:paraId="50BB8964" w14:textId="77777777" w:rsidR="00000000" w:rsidRDefault="00405D16">
      <w:pPr>
        <w:jc w:val="both"/>
        <w:divId w:val="1709210743"/>
        <w:rPr>
          <w:rFonts w:eastAsia="Times New Roman"/>
        </w:rPr>
      </w:pPr>
      <w:r>
        <w:rPr>
          <w:rFonts w:eastAsia="Times New Roman"/>
          <w:color w:val="000000"/>
          <w:sz w:val="20"/>
          <w:szCs w:val="20"/>
        </w:rPr>
        <w:t>We provide additional discussion of our risk management principles, roles and responsibilities, framework and risk appetite under “MD&amp;A—Risk Ma</w:t>
      </w:r>
      <w:r>
        <w:rPr>
          <w:rFonts w:eastAsia="Times New Roman"/>
          <w:color w:val="000000"/>
          <w:sz w:val="20"/>
          <w:szCs w:val="20"/>
        </w:rPr>
        <w:t>nagement” in our 2020 Form 10-K.</w:t>
      </w:r>
    </w:p>
    <w:p w14:paraId="45929DA4" w14:textId="77777777" w:rsidR="00000000" w:rsidRDefault="00405D16">
      <w:pPr>
        <w:divId w:val="18313136"/>
        <w:rPr>
          <w:rFonts w:eastAsia="Times New Roman"/>
        </w:rPr>
      </w:pPr>
      <w:r>
        <w:rPr>
          <w:rFonts w:eastAsia="Times New Roman"/>
          <w:b/>
          <w:bCs/>
          <w:color w:val="000000"/>
          <w:sz w:val="20"/>
          <w:szCs w:val="20"/>
        </w:rPr>
        <w:t>Risk Categories</w:t>
      </w:r>
    </w:p>
    <w:p w14:paraId="24B66E07" w14:textId="77777777" w:rsidR="00000000" w:rsidRDefault="00405D16">
      <w:pPr>
        <w:jc w:val="both"/>
        <w:divId w:val="1823546884"/>
        <w:rPr>
          <w:rFonts w:eastAsia="Times New Roman"/>
        </w:rPr>
      </w:pPr>
      <w:r>
        <w:rPr>
          <w:rFonts w:eastAsia="Times New Roman"/>
          <w:color w:val="000000"/>
          <w:sz w:val="20"/>
          <w:szCs w:val="20"/>
        </w:rPr>
        <w:t>We apply our Framework to protect the Company from the major categories of risk that we are exposed to through our business activities. We have seven major categories of risk as noted below. We provide a des</w:t>
      </w:r>
      <w:r>
        <w:rPr>
          <w:rFonts w:eastAsia="Times New Roman"/>
          <w:color w:val="000000"/>
          <w:sz w:val="20"/>
          <w:szCs w:val="20"/>
        </w:rPr>
        <w:t>cription of these categories and how we manage them under “MD&amp;A—Risk Management” in our 2020 Form 10-K.</w:t>
      </w:r>
    </w:p>
    <w:p w14:paraId="05A7C708" w14:textId="77777777" w:rsidR="00000000" w:rsidRDefault="00405D16">
      <w:pPr>
        <w:ind w:hanging="360"/>
        <w:jc w:val="both"/>
        <w:divId w:val="477114944"/>
        <w:rPr>
          <w:rFonts w:eastAsia="Times New Roman"/>
        </w:rPr>
      </w:pPr>
      <w:r>
        <w:rPr>
          <w:rFonts w:eastAsia="Times New Roman"/>
          <w:color w:val="000000"/>
          <w:sz w:val="20"/>
          <w:szCs w:val="20"/>
        </w:rPr>
        <w:t>•Compliance risk</w:t>
      </w:r>
    </w:p>
    <w:p w14:paraId="108B3222" w14:textId="77777777" w:rsidR="00000000" w:rsidRDefault="00405D16">
      <w:pPr>
        <w:ind w:hanging="360"/>
        <w:jc w:val="both"/>
        <w:divId w:val="1350571758"/>
        <w:rPr>
          <w:rFonts w:eastAsia="Times New Roman"/>
        </w:rPr>
      </w:pPr>
      <w:r>
        <w:rPr>
          <w:rFonts w:eastAsia="Times New Roman"/>
          <w:color w:val="000000"/>
          <w:sz w:val="20"/>
          <w:szCs w:val="20"/>
        </w:rPr>
        <w:t>•Credit risk</w:t>
      </w:r>
    </w:p>
    <w:p w14:paraId="470F0CFB" w14:textId="77777777" w:rsidR="00000000" w:rsidRDefault="00405D16">
      <w:pPr>
        <w:ind w:hanging="360"/>
        <w:jc w:val="both"/>
        <w:divId w:val="1025325023"/>
        <w:rPr>
          <w:rFonts w:eastAsia="Times New Roman"/>
        </w:rPr>
      </w:pPr>
      <w:r>
        <w:rPr>
          <w:rFonts w:eastAsia="Times New Roman"/>
          <w:color w:val="000000"/>
          <w:sz w:val="20"/>
          <w:szCs w:val="20"/>
        </w:rPr>
        <w:t>•Liquidity risk</w:t>
      </w:r>
    </w:p>
    <w:p w14:paraId="2771CFBA" w14:textId="77777777" w:rsidR="00000000" w:rsidRDefault="00405D16">
      <w:pPr>
        <w:ind w:hanging="360"/>
        <w:jc w:val="both"/>
        <w:divId w:val="60060880"/>
        <w:rPr>
          <w:rFonts w:eastAsia="Times New Roman"/>
        </w:rPr>
      </w:pPr>
      <w:r>
        <w:rPr>
          <w:rFonts w:eastAsia="Times New Roman"/>
          <w:color w:val="000000"/>
          <w:sz w:val="20"/>
          <w:szCs w:val="20"/>
        </w:rPr>
        <w:t>•Market risk</w:t>
      </w:r>
    </w:p>
    <w:p w14:paraId="543AE48A" w14:textId="77777777" w:rsidR="00000000" w:rsidRDefault="00405D16">
      <w:pPr>
        <w:ind w:hanging="360"/>
        <w:jc w:val="both"/>
        <w:divId w:val="2031373608"/>
        <w:rPr>
          <w:rFonts w:eastAsia="Times New Roman"/>
        </w:rPr>
      </w:pPr>
      <w:r>
        <w:rPr>
          <w:rFonts w:eastAsia="Times New Roman"/>
          <w:color w:val="000000"/>
          <w:sz w:val="20"/>
          <w:szCs w:val="20"/>
        </w:rPr>
        <w:t>•Operational risk</w:t>
      </w:r>
    </w:p>
    <w:p w14:paraId="725E7765" w14:textId="77777777" w:rsidR="00000000" w:rsidRDefault="00405D16">
      <w:pPr>
        <w:ind w:hanging="360"/>
        <w:jc w:val="both"/>
        <w:divId w:val="614335869"/>
        <w:rPr>
          <w:rFonts w:eastAsia="Times New Roman"/>
        </w:rPr>
      </w:pPr>
      <w:r>
        <w:rPr>
          <w:rFonts w:eastAsia="Times New Roman"/>
          <w:color w:val="000000"/>
          <w:sz w:val="20"/>
          <w:szCs w:val="20"/>
        </w:rPr>
        <w:t>•Reputation risk</w:t>
      </w:r>
    </w:p>
    <w:p w14:paraId="2D1741CC" w14:textId="77777777" w:rsidR="00000000" w:rsidRDefault="00405D16">
      <w:pPr>
        <w:ind w:hanging="360"/>
        <w:jc w:val="both"/>
        <w:divId w:val="562957707"/>
        <w:rPr>
          <w:rFonts w:eastAsia="Times New Roman"/>
        </w:rPr>
      </w:pPr>
      <w:r>
        <w:rPr>
          <w:rFonts w:eastAsia="Times New Roman"/>
          <w:color w:val="000000"/>
          <w:sz w:val="20"/>
          <w:szCs w:val="20"/>
        </w:rPr>
        <w:t>•Strategic risk</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48B95E19" w14:textId="77777777">
        <w:trPr>
          <w:divId w:val="1259486756"/>
        </w:trPr>
        <w:tc>
          <w:tcPr>
            <w:tcW w:w="50" w:type="pct"/>
            <w:vAlign w:val="center"/>
            <w:hideMark/>
          </w:tcPr>
          <w:p w14:paraId="7043FC5C" w14:textId="77777777" w:rsidR="00000000" w:rsidRDefault="00405D16">
            <w:pPr>
              <w:ind w:hanging="360"/>
              <w:jc w:val="both"/>
              <w:rPr>
                <w:rFonts w:eastAsia="Times New Roman"/>
              </w:rPr>
            </w:pPr>
          </w:p>
        </w:tc>
        <w:tc>
          <w:tcPr>
            <w:tcW w:w="4945" w:type="pct"/>
            <w:vAlign w:val="center"/>
            <w:hideMark/>
          </w:tcPr>
          <w:p w14:paraId="7B3539AC" w14:textId="77777777" w:rsidR="00000000" w:rsidRDefault="00405D16">
            <w:pPr>
              <w:spacing w:after="100"/>
              <w:rPr>
                <w:rFonts w:eastAsia="Times New Roman"/>
                <w:sz w:val="20"/>
                <w:szCs w:val="20"/>
              </w:rPr>
            </w:pPr>
          </w:p>
        </w:tc>
        <w:tc>
          <w:tcPr>
            <w:tcW w:w="5" w:type="pct"/>
            <w:vAlign w:val="center"/>
            <w:hideMark/>
          </w:tcPr>
          <w:p w14:paraId="43F27D2F" w14:textId="77777777" w:rsidR="00000000" w:rsidRDefault="00405D16">
            <w:pPr>
              <w:spacing w:after="100"/>
              <w:rPr>
                <w:rFonts w:eastAsia="Times New Roman"/>
                <w:sz w:val="20"/>
                <w:szCs w:val="20"/>
              </w:rPr>
            </w:pPr>
          </w:p>
        </w:tc>
      </w:tr>
      <w:tr w:rsidR="00000000" w14:paraId="7CD7D3FB" w14:textId="77777777">
        <w:trPr>
          <w:divId w:val="1259486756"/>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0A5BBFC0" w14:textId="77777777" w:rsidR="00000000" w:rsidRDefault="00405D16">
            <w:pPr>
              <w:spacing w:after="100"/>
              <w:rPr>
                <w:rFonts w:eastAsia="Times New Roman"/>
              </w:rPr>
            </w:pPr>
            <w:r>
              <w:rPr>
                <w:rFonts w:eastAsia="Times New Roman"/>
                <w:b/>
                <w:bCs/>
                <w:color w:val="000000"/>
                <w:sz w:val="20"/>
                <w:szCs w:val="20"/>
              </w:rPr>
              <w:t>CREDIT RISK PROFILE</w:t>
            </w:r>
          </w:p>
        </w:tc>
      </w:tr>
    </w:tbl>
    <w:p w14:paraId="7EEC3CF7" w14:textId="77777777" w:rsidR="00000000" w:rsidRDefault="00405D16">
      <w:pPr>
        <w:jc w:val="both"/>
        <w:divId w:val="380712710"/>
        <w:rPr>
          <w:rFonts w:eastAsia="Times New Roman"/>
        </w:rPr>
      </w:pPr>
      <w:r>
        <w:rPr>
          <w:rFonts w:eastAsia="Times New Roman"/>
          <w:color w:val="000000"/>
          <w:sz w:val="20"/>
          <w:szCs w:val="20"/>
        </w:rPr>
        <w:t xml:space="preserve">Our loan portfolio accounts for the substantial majority of our credit risk exposure. Our lending activities are governed under our credit policy and are subject to independent review and approval. Below we provide information about the composition of our </w:t>
      </w:r>
      <w:r>
        <w:rPr>
          <w:rFonts w:eastAsia="Times New Roman"/>
          <w:color w:val="000000"/>
          <w:sz w:val="20"/>
          <w:szCs w:val="20"/>
        </w:rPr>
        <w:t>loan portfolio, key concentrations and credit performance metrics.</w:t>
      </w:r>
    </w:p>
    <w:p w14:paraId="47EBC871" w14:textId="77777777" w:rsidR="00000000" w:rsidRDefault="00405D16">
      <w:pPr>
        <w:jc w:val="both"/>
        <w:divId w:val="2053730964"/>
        <w:rPr>
          <w:rFonts w:eastAsia="Times New Roman"/>
        </w:rPr>
      </w:pPr>
      <w:r>
        <w:rPr>
          <w:rFonts w:eastAsia="Times New Roman"/>
          <w:color w:val="000000"/>
          <w:sz w:val="20"/>
          <w:szCs w:val="20"/>
        </w:rPr>
        <w:t>We also engage in certain non-lending activities that may give rise to ongoing credit and counterparty settlement risk, including purchasing securities for our investment securities portfol</w:t>
      </w:r>
      <w:r>
        <w:rPr>
          <w:rFonts w:eastAsia="Times New Roman"/>
          <w:color w:val="000000"/>
          <w:sz w:val="20"/>
          <w:szCs w:val="20"/>
        </w:rPr>
        <w:t>io, entering into derivative transactions to manage our market risk exposure and to accommodate customers, extending short-term advances on syndication activity including bridge financing transactions we have underwritten, depositing certain operational ca</w:t>
      </w:r>
      <w:r>
        <w:rPr>
          <w:rFonts w:eastAsia="Times New Roman"/>
          <w:color w:val="000000"/>
          <w:sz w:val="20"/>
          <w:szCs w:val="20"/>
        </w:rPr>
        <w:t>sh balances in other financial institutions, executing certain foreign exchange transactions and extending customer overdrafts. We provide additional information related to our investment securities portfolio under “MD&amp;A—Consolidated Balance Sheets Analysi</w:t>
      </w:r>
      <w:r>
        <w:rPr>
          <w:rFonts w:eastAsia="Times New Roman"/>
          <w:color w:val="000000"/>
          <w:sz w:val="20"/>
          <w:szCs w:val="20"/>
        </w:rPr>
        <w:t>s—Investment Securities” and credit risk related to derivative transactions in “Note 8—Derivative Instruments and Hedging Activities.”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49F786D8" w14:textId="77777777">
        <w:trPr>
          <w:divId w:val="430708476"/>
          <w:jc w:val="center"/>
        </w:trPr>
        <w:tc>
          <w:tcPr>
            <w:tcW w:w="50" w:type="pct"/>
            <w:vAlign w:val="center"/>
            <w:hideMark/>
          </w:tcPr>
          <w:p w14:paraId="3B756281" w14:textId="77777777" w:rsidR="00000000" w:rsidRDefault="00405D16">
            <w:pPr>
              <w:jc w:val="both"/>
              <w:rPr>
                <w:rFonts w:eastAsia="Times New Roman"/>
              </w:rPr>
            </w:pPr>
          </w:p>
        </w:tc>
        <w:tc>
          <w:tcPr>
            <w:tcW w:w="1606" w:type="pct"/>
            <w:vAlign w:val="center"/>
            <w:hideMark/>
          </w:tcPr>
          <w:p w14:paraId="2150C555" w14:textId="77777777" w:rsidR="00000000" w:rsidRDefault="00405D16">
            <w:pPr>
              <w:spacing w:after="100"/>
              <w:rPr>
                <w:rFonts w:eastAsia="Times New Roman"/>
                <w:sz w:val="20"/>
                <w:szCs w:val="20"/>
              </w:rPr>
            </w:pPr>
          </w:p>
        </w:tc>
        <w:tc>
          <w:tcPr>
            <w:tcW w:w="5" w:type="pct"/>
            <w:vAlign w:val="center"/>
            <w:hideMark/>
          </w:tcPr>
          <w:p w14:paraId="32AF18E2" w14:textId="77777777" w:rsidR="00000000" w:rsidRDefault="00405D16">
            <w:pPr>
              <w:spacing w:after="100"/>
              <w:rPr>
                <w:rFonts w:eastAsia="Times New Roman"/>
                <w:sz w:val="20"/>
                <w:szCs w:val="20"/>
              </w:rPr>
            </w:pPr>
          </w:p>
        </w:tc>
        <w:tc>
          <w:tcPr>
            <w:tcW w:w="50" w:type="pct"/>
            <w:vAlign w:val="center"/>
            <w:hideMark/>
          </w:tcPr>
          <w:p w14:paraId="025A6920" w14:textId="77777777" w:rsidR="00000000" w:rsidRDefault="00405D16">
            <w:pPr>
              <w:spacing w:after="100"/>
              <w:rPr>
                <w:rFonts w:eastAsia="Times New Roman"/>
                <w:sz w:val="20"/>
                <w:szCs w:val="20"/>
              </w:rPr>
            </w:pPr>
          </w:p>
        </w:tc>
        <w:tc>
          <w:tcPr>
            <w:tcW w:w="1614" w:type="pct"/>
            <w:vAlign w:val="center"/>
            <w:hideMark/>
          </w:tcPr>
          <w:p w14:paraId="617FADFD" w14:textId="77777777" w:rsidR="00000000" w:rsidRDefault="00405D16">
            <w:pPr>
              <w:spacing w:after="100"/>
              <w:rPr>
                <w:rFonts w:eastAsia="Times New Roman"/>
                <w:sz w:val="20"/>
                <w:szCs w:val="20"/>
              </w:rPr>
            </w:pPr>
          </w:p>
        </w:tc>
        <w:tc>
          <w:tcPr>
            <w:tcW w:w="5" w:type="pct"/>
            <w:vAlign w:val="center"/>
            <w:hideMark/>
          </w:tcPr>
          <w:p w14:paraId="7A42BA0C" w14:textId="77777777" w:rsidR="00000000" w:rsidRDefault="00405D16">
            <w:pPr>
              <w:spacing w:after="100"/>
              <w:rPr>
                <w:rFonts w:eastAsia="Times New Roman"/>
                <w:sz w:val="20"/>
                <w:szCs w:val="20"/>
              </w:rPr>
            </w:pPr>
          </w:p>
        </w:tc>
        <w:tc>
          <w:tcPr>
            <w:tcW w:w="50" w:type="pct"/>
            <w:vAlign w:val="center"/>
            <w:hideMark/>
          </w:tcPr>
          <w:p w14:paraId="6CE847DB" w14:textId="77777777" w:rsidR="00000000" w:rsidRDefault="00405D16">
            <w:pPr>
              <w:spacing w:after="100"/>
              <w:rPr>
                <w:rFonts w:eastAsia="Times New Roman"/>
                <w:sz w:val="20"/>
                <w:szCs w:val="20"/>
              </w:rPr>
            </w:pPr>
          </w:p>
        </w:tc>
        <w:tc>
          <w:tcPr>
            <w:tcW w:w="1614" w:type="pct"/>
            <w:vAlign w:val="center"/>
            <w:hideMark/>
          </w:tcPr>
          <w:p w14:paraId="2619932C" w14:textId="77777777" w:rsidR="00000000" w:rsidRDefault="00405D16">
            <w:pPr>
              <w:spacing w:after="100"/>
              <w:rPr>
                <w:rFonts w:eastAsia="Times New Roman"/>
                <w:sz w:val="20"/>
                <w:szCs w:val="20"/>
              </w:rPr>
            </w:pPr>
          </w:p>
        </w:tc>
        <w:tc>
          <w:tcPr>
            <w:tcW w:w="5" w:type="pct"/>
            <w:vAlign w:val="center"/>
            <w:hideMark/>
          </w:tcPr>
          <w:p w14:paraId="3E2FC724" w14:textId="77777777" w:rsidR="00000000" w:rsidRDefault="00405D16">
            <w:pPr>
              <w:spacing w:after="100"/>
              <w:rPr>
                <w:rFonts w:eastAsia="Times New Roman"/>
                <w:sz w:val="20"/>
                <w:szCs w:val="20"/>
              </w:rPr>
            </w:pPr>
          </w:p>
        </w:tc>
      </w:tr>
      <w:tr w:rsidR="00000000" w14:paraId="7E105FDD" w14:textId="77777777">
        <w:trPr>
          <w:divId w:val="430708476"/>
          <w:trHeight w:val="300"/>
          <w:jc w:val="center"/>
        </w:trPr>
        <w:tc>
          <w:tcPr>
            <w:tcW w:w="0" w:type="auto"/>
            <w:gridSpan w:val="9"/>
            <w:tcMar>
              <w:top w:w="0" w:type="dxa"/>
              <w:left w:w="20" w:type="dxa"/>
              <w:bottom w:w="0" w:type="dxa"/>
              <w:right w:w="20" w:type="dxa"/>
            </w:tcMar>
            <w:vAlign w:val="center"/>
            <w:hideMark/>
          </w:tcPr>
          <w:p w14:paraId="37FCF359" w14:textId="77777777" w:rsidR="00000000" w:rsidRDefault="00405D16">
            <w:pPr>
              <w:spacing w:after="100"/>
              <w:rPr>
                <w:rFonts w:eastAsia="Times New Roman"/>
                <w:sz w:val="20"/>
                <w:szCs w:val="20"/>
              </w:rPr>
            </w:pPr>
          </w:p>
        </w:tc>
      </w:tr>
      <w:tr w:rsidR="00000000" w14:paraId="281913C1" w14:textId="77777777">
        <w:trPr>
          <w:divId w:val="430708476"/>
          <w:jc w:val="center"/>
        </w:trPr>
        <w:tc>
          <w:tcPr>
            <w:tcW w:w="0" w:type="auto"/>
            <w:gridSpan w:val="3"/>
            <w:tcMar>
              <w:top w:w="0" w:type="dxa"/>
              <w:left w:w="20" w:type="dxa"/>
              <w:bottom w:w="0" w:type="dxa"/>
              <w:right w:w="20" w:type="dxa"/>
            </w:tcMar>
            <w:vAlign w:val="center"/>
            <w:hideMark/>
          </w:tcPr>
          <w:p w14:paraId="553AACE0"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706F680" w14:textId="77777777" w:rsidR="00000000" w:rsidRDefault="00405D16">
            <w:pPr>
              <w:spacing w:after="100"/>
              <w:jc w:val="center"/>
              <w:rPr>
                <w:rFonts w:eastAsia="Times New Roman"/>
              </w:rPr>
            </w:pPr>
            <w:r>
              <w:rPr>
                <w:rFonts w:eastAsia="Times New Roman"/>
                <w:color w:val="000000"/>
                <w:sz w:val="16"/>
                <w:szCs w:val="16"/>
              </w:rPr>
              <w:t>38</w:t>
            </w:r>
          </w:p>
        </w:tc>
        <w:tc>
          <w:tcPr>
            <w:tcW w:w="0" w:type="auto"/>
            <w:gridSpan w:val="3"/>
            <w:tcMar>
              <w:top w:w="30" w:type="dxa"/>
              <w:left w:w="20" w:type="dxa"/>
              <w:bottom w:w="30" w:type="dxa"/>
              <w:right w:w="20" w:type="dxa"/>
            </w:tcMar>
            <w:vAlign w:val="bottom"/>
            <w:hideMark/>
          </w:tcPr>
          <w:p w14:paraId="712B6044"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6517A11D" w14:textId="77777777" w:rsidR="00000000" w:rsidRDefault="00405D16">
      <w:pPr>
        <w:rPr>
          <w:rFonts w:eastAsia="Times New Roman"/>
        </w:rPr>
      </w:pPr>
      <w:r>
        <w:rPr>
          <w:rFonts w:eastAsia="Times New Roman"/>
        </w:rPr>
        <w:pict w14:anchorId="1DF7DB4F">
          <v:rect id="_x0000_i1063" style="width:0;height:1.5pt" o:hralign="center" o:hrstd="t" o:hr="t" fillcolor="#a0a0a0" stroked="f"/>
        </w:pict>
      </w:r>
    </w:p>
    <w:p w14:paraId="568CB2BF" w14:textId="77777777" w:rsidR="00000000" w:rsidRDefault="00405D16">
      <w:pPr>
        <w:ind w:hanging="360"/>
        <w:jc w:val="both"/>
        <w:divId w:val="1598517067"/>
        <w:rPr>
          <w:rFonts w:eastAsia="Times New Roman"/>
        </w:rPr>
      </w:pPr>
      <w:hyperlink w:anchor="idd54a04a485440b4ab4e56094c14d612_13" w:history="1">
        <w:r>
          <w:rPr>
            <w:rStyle w:val="a3"/>
            <w:rFonts w:eastAsia="Times New Roman"/>
            <w:sz w:val="16"/>
            <w:szCs w:val="16"/>
          </w:rPr>
          <w:t>Table of Contents</w:t>
        </w:r>
      </w:hyperlink>
    </w:p>
    <w:p w14:paraId="6EB221BA" w14:textId="77777777" w:rsidR="00000000" w:rsidRDefault="00405D16">
      <w:pPr>
        <w:divId w:val="875046439"/>
        <w:rPr>
          <w:rFonts w:eastAsia="Times New Roman"/>
        </w:rPr>
      </w:pPr>
      <w:r>
        <w:rPr>
          <w:rFonts w:eastAsia="Times New Roman"/>
          <w:b/>
          <w:bCs/>
          <w:color w:val="000000"/>
          <w:sz w:val="20"/>
          <w:szCs w:val="20"/>
        </w:rPr>
        <w:t>Portfolio Composition of Loans Held for Investment</w:t>
      </w:r>
    </w:p>
    <w:p w14:paraId="42C4BC54" w14:textId="77777777" w:rsidR="00000000" w:rsidRDefault="00405D16">
      <w:pPr>
        <w:jc w:val="both"/>
        <w:divId w:val="1090273921"/>
        <w:rPr>
          <w:rFonts w:eastAsia="Times New Roman"/>
        </w:rPr>
      </w:pPr>
      <w:r>
        <w:rPr>
          <w:rFonts w:eastAsia="Times New Roman"/>
          <w:color w:val="000000"/>
          <w:sz w:val="20"/>
          <w:szCs w:val="20"/>
        </w:rPr>
        <w:t>We provide a variety of lending products. Our primary products include credit cards, auto lo</w:t>
      </w:r>
      <w:r>
        <w:rPr>
          <w:rFonts w:eastAsia="Times New Roman"/>
          <w:color w:val="000000"/>
          <w:sz w:val="20"/>
          <w:szCs w:val="20"/>
        </w:rPr>
        <w:t>ans and commercial lending products. For information on our lending policies and procedures, including our underwriting criteria for our primary loan products, see “MD&amp;A—Credit Risk Profile” in our 2020 Form 10-K.</w:t>
      </w:r>
    </w:p>
    <w:p w14:paraId="1079C1C1" w14:textId="77777777" w:rsidR="00000000" w:rsidRDefault="00405D16">
      <w:pPr>
        <w:jc w:val="both"/>
        <w:divId w:val="1572347815"/>
        <w:rPr>
          <w:rFonts w:eastAsia="Times New Roman"/>
        </w:rPr>
      </w:pPr>
      <w:r>
        <w:rPr>
          <w:rFonts w:eastAsia="Times New Roman"/>
          <w:color w:val="000000"/>
          <w:sz w:val="20"/>
          <w:szCs w:val="20"/>
        </w:rPr>
        <w:t xml:space="preserve">Our loan portfolio consists of loans held </w:t>
      </w:r>
      <w:r>
        <w:rPr>
          <w:rFonts w:eastAsia="Times New Roman"/>
          <w:color w:val="000000"/>
          <w:sz w:val="20"/>
          <w:szCs w:val="20"/>
        </w:rPr>
        <w:t>for investment, including loans held in our consolidated trusts, and loans held for sale. The information presented in this section excludes loans held for sale, which totaled $6.3 billion and $2.7 billion as of September 30, 2021 and December 31, 2020, re</w:t>
      </w:r>
      <w:r>
        <w:rPr>
          <w:rFonts w:eastAsia="Times New Roman"/>
          <w:color w:val="000000"/>
          <w:sz w:val="20"/>
          <w:szCs w:val="20"/>
        </w:rPr>
        <w:t xml:space="preserve">spectively. </w:t>
      </w:r>
    </w:p>
    <w:p w14:paraId="2A0AB76C" w14:textId="77777777" w:rsidR="00000000" w:rsidRDefault="00405D16">
      <w:pPr>
        <w:jc w:val="both"/>
        <w:divId w:val="1825852055"/>
        <w:rPr>
          <w:rFonts w:eastAsia="Times New Roman"/>
        </w:rPr>
      </w:pPr>
      <w:r>
        <w:rPr>
          <w:rFonts w:eastAsia="Times New Roman"/>
          <w:color w:val="000000"/>
          <w:sz w:val="20"/>
          <w:szCs w:val="20"/>
        </w:rPr>
        <w:t xml:space="preserve">Table 17 presents the composition of our portfolio of loans held for investment by portfolio segment as of September 30, 2021 and December 31, 2020. </w:t>
      </w:r>
    </w:p>
    <w:p w14:paraId="782B6773" w14:textId="77777777" w:rsidR="00000000" w:rsidRDefault="00405D16">
      <w:pPr>
        <w:divId w:val="487866843"/>
        <w:rPr>
          <w:rFonts w:eastAsia="Times New Roman"/>
        </w:rPr>
      </w:pPr>
      <w:r>
        <w:rPr>
          <w:rFonts w:eastAsia="Times New Roman"/>
          <w:b/>
          <w:bCs/>
          <w:color w:val="000000"/>
          <w:sz w:val="18"/>
          <w:szCs w:val="18"/>
        </w:rPr>
        <w:t xml:space="preserve">Table 17: Portfolio Composition of Loans Held for Investment </w:t>
      </w:r>
    </w:p>
    <w:tbl>
      <w:tblPr>
        <w:tblW w:w="4992" w:type="pct"/>
        <w:tblCellMar>
          <w:top w:w="15" w:type="dxa"/>
          <w:left w:w="15" w:type="dxa"/>
          <w:bottom w:w="15" w:type="dxa"/>
          <w:right w:w="15" w:type="dxa"/>
        </w:tblCellMar>
        <w:tblLook w:val="04A0" w:firstRow="1" w:lastRow="0" w:firstColumn="1" w:lastColumn="0" w:noHBand="0" w:noVBand="1"/>
      </w:tblPr>
      <w:tblGrid>
        <w:gridCol w:w="39"/>
        <w:gridCol w:w="4757"/>
        <w:gridCol w:w="38"/>
        <w:gridCol w:w="36"/>
        <w:gridCol w:w="36"/>
        <w:gridCol w:w="36"/>
        <w:gridCol w:w="110"/>
        <w:gridCol w:w="630"/>
        <w:gridCol w:w="36"/>
        <w:gridCol w:w="36"/>
        <w:gridCol w:w="36"/>
        <w:gridCol w:w="36"/>
        <w:gridCol w:w="51"/>
        <w:gridCol w:w="482"/>
        <w:gridCol w:w="200"/>
        <w:gridCol w:w="36"/>
        <w:gridCol w:w="36"/>
        <w:gridCol w:w="36"/>
        <w:gridCol w:w="110"/>
        <w:gridCol w:w="630"/>
        <w:gridCol w:w="36"/>
        <w:gridCol w:w="36"/>
        <w:gridCol w:w="36"/>
        <w:gridCol w:w="36"/>
        <w:gridCol w:w="51"/>
        <w:gridCol w:w="485"/>
        <w:gridCol w:w="170"/>
        <w:gridCol w:w="36"/>
      </w:tblGrid>
      <w:tr w:rsidR="00000000" w14:paraId="06489662" w14:textId="77777777">
        <w:trPr>
          <w:divId w:val="1345863260"/>
        </w:trPr>
        <w:tc>
          <w:tcPr>
            <w:tcW w:w="50" w:type="pct"/>
            <w:vAlign w:val="center"/>
            <w:hideMark/>
          </w:tcPr>
          <w:p w14:paraId="342C8FFA" w14:textId="77777777" w:rsidR="00000000" w:rsidRDefault="00405D16">
            <w:pPr>
              <w:rPr>
                <w:rFonts w:eastAsia="Times New Roman"/>
              </w:rPr>
            </w:pPr>
          </w:p>
        </w:tc>
        <w:tc>
          <w:tcPr>
            <w:tcW w:w="2924" w:type="pct"/>
            <w:vAlign w:val="center"/>
            <w:hideMark/>
          </w:tcPr>
          <w:p w14:paraId="2C9C448F" w14:textId="77777777" w:rsidR="00000000" w:rsidRDefault="00405D16">
            <w:pPr>
              <w:spacing w:after="100"/>
              <w:rPr>
                <w:rFonts w:eastAsia="Times New Roman"/>
                <w:sz w:val="20"/>
                <w:szCs w:val="20"/>
              </w:rPr>
            </w:pPr>
          </w:p>
        </w:tc>
        <w:tc>
          <w:tcPr>
            <w:tcW w:w="5" w:type="pct"/>
            <w:vAlign w:val="center"/>
            <w:hideMark/>
          </w:tcPr>
          <w:p w14:paraId="01FEFA85" w14:textId="77777777" w:rsidR="00000000" w:rsidRDefault="00405D16">
            <w:pPr>
              <w:spacing w:after="100"/>
              <w:rPr>
                <w:rFonts w:eastAsia="Times New Roman"/>
                <w:sz w:val="20"/>
                <w:szCs w:val="20"/>
              </w:rPr>
            </w:pPr>
          </w:p>
        </w:tc>
        <w:tc>
          <w:tcPr>
            <w:tcW w:w="5" w:type="pct"/>
            <w:vAlign w:val="center"/>
            <w:hideMark/>
          </w:tcPr>
          <w:p w14:paraId="2DDD6841" w14:textId="77777777" w:rsidR="00000000" w:rsidRDefault="00405D16">
            <w:pPr>
              <w:spacing w:after="100"/>
              <w:rPr>
                <w:rFonts w:eastAsia="Times New Roman"/>
                <w:sz w:val="20"/>
                <w:szCs w:val="20"/>
              </w:rPr>
            </w:pPr>
          </w:p>
        </w:tc>
        <w:tc>
          <w:tcPr>
            <w:tcW w:w="26" w:type="pct"/>
            <w:vAlign w:val="center"/>
            <w:hideMark/>
          </w:tcPr>
          <w:p w14:paraId="21F55857" w14:textId="77777777" w:rsidR="00000000" w:rsidRDefault="00405D16">
            <w:pPr>
              <w:spacing w:after="100"/>
              <w:rPr>
                <w:rFonts w:eastAsia="Times New Roman"/>
                <w:sz w:val="20"/>
                <w:szCs w:val="20"/>
              </w:rPr>
            </w:pPr>
          </w:p>
        </w:tc>
        <w:tc>
          <w:tcPr>
            <w:tcW w:w="5" w:type="pct"/>
            <w:vAlign w:val="center"/>
            <w:hideMark/>
          </w:tcPr>
          <w:p w14:paraId="5C4ABA1A" w14:textId="77777777" w:rsidR="00000000" w:rsidRDefault="00405D16">
            <w:pPr>
              <w:spacing w:after="100"/>
              <w:rPr>
                <w:rFonts w:eastAsia="Times New Roman"/>
                <w:sz w:val="20"/>
                <w:szCs w:val="20"/>
              </w:rPr>
            </w:pPr>
          </w:p>
        </w:tc>
        <w:tc>
          <w:tcPr>
            <w:tcW w:w="50" w:type="pct"/>
            <w:vAlign w:val="center"/>
            <w:hideMark/>
          </w:tcPr>
          <w:p w14:paraId="39D24FA3" w14:textId="77777777" w:rsidR="00000000" w:rsidRDefault="00405D16">
            <w:pPr>
              <w:spacing w:after="100"/>
              <w:rPr>
                <w:rFonts w:eastAsia="Times New Roman"/>
                <w:sz w:val="20"/>
                <w:szCs w:val="20"/>
              </w:rPr>
            </w:pPr>
          </w:p>
        </w:tc>
        <w:tc>
          <w:tcPr>
            <w:tcW w:w="413" w:type="pct"/>
            <w:vAlign w:val="center"/>
            <w:hideMark/>
          </w:tcPr>
          <w:p w14:paraId="5445F209" w14:textId="77777777" w:rsidR="00000000" w:rsidRDefault="00405D16">
            <w:pPr>
              <w:spacing w:after="100"/>
              <w:rPr>
                <w:rFonts w:eastAsia="Times New Roman"/>
                <w:sz w:val="20"/>
                <w:szCs w:val="20"/>
              </w:rPr>
            </w:pPr>
          </w:p>
        </w:tc>
        <w:tc>
          <w:tcPr>
            <w:tcW w:w="5" w:type="pct"/>
            <w:vAlign w:val="center"/>
            <w:hideMark/>
          </w:tcPr>
          <w:p w14:paraId="1A632A99" w14:textId="77777777" w:rsidR="00000000" w:rsidRDefault="00405D16">
            <w:pPr>
              <w:spacing w:after="100"/>
              <w:rPr>
                <w:rFonts w:eastAsia="Times New Roman"/>
                <w:sz w:val="20"/>
                <w:szCs w:val="20"/>
              </w:rPr>
            </w:pPr>
          </w:p>
        </w:tc>
        <w:tc>
          <w:tcPr>
            <w:tcW w:w="5" w:type="pct"/>
            <w:vAlign w:val="center"/>
            <w:hideMark/>
          </w:tcPr>
          <w:p w14:paraId="6965F590" w14:textId="77777777" w:rsidR="00000000" w:rsidRDefault="00405D16">
            <w:pPr>
              <w:spacing w:after="100"/>
              <w:rPr>
                <w:rFonts w:eastAsia="Times New Roman"/>
                <w:sz w:val="20"/>
                <w:szCs w:val="20"/>
              </w:rPr>
            </w:pPr>
          </w:p>
        </w:tc>
        <w:tc>
          <w:tcPr>
            <w:tcW w:w="26" w:type="pct"/>
            <w:vAlign w:val="center"/>
            <w:hideMark/>
          </w:tcPr>
          <w:p w14:paraId="078A882E" w14:textId="77777777" w:rsidR="00000000" w:rsidRDefault="00405D16">
            <w:pPr>
              <w:spacing w:after="100"/>
              <w:rPr>
                <w:rFonts w:eastAsia="Times New Roman"/>
                <w:sz w:val="20"/>
                <w:szCs w:val="20"/>
              </w:rPr>
            </w:pPr>
          </w:p>
        </w:tc>
        <w:tc>
          <w:tcPr>
            <w:tcW w:w="5" w:type="pct"/>
            <w:vAlign w:val="center"/>
            <w:hideMark/>
          </w:tcPr>
          <w:p w14:paraId="689711A5" w14:textId="77777777" w:rsidR="00000000" w:rsidRDefault="00405D16">
            <w:pPr>
              <w:spacing w:after="100"/>
              <w:rPr>
                <w:rFonts w:eastAsia="Times New Roman"/>
                <w:sz w:val="20"/>
                <w:szCs w:val="20"/>
              </w:rPr>
            </w:pPr>
          </w:p>
        </w:tc>
        <w:tc>
          <w:tcPr>
            <w:tcW w:w="50" w:type="pct"/>
            <w:vAlign w:val="center"/>
            <w:hideMark/>
          </w:tcPr>
          <w:p w14:paraId="068CC4FB" w14:textId="77777777" w:rsidR="00000000" w:rsidRDefault="00405D16">
            <w:pPr>
              <w:spacing w:after="100"/>
              <w:rPr>
                <w:rFonts w:eastAsia="Times New Roman"/>
                <w:sz w:val="20"/>
                <w:szCs w:val="20"/>
              </w:rPr>
            </w:pPr>
          </w:p>
        </w:tc>
        <w:tc>
          <w:tcPr>
            <w:tcW w:w="413" w:type="pct"/>
            <w:vAlign w:val="center"/>
            <w:hideMark/>
          </w:tcPr>
          <w:p w14:paraId="616D8316" w14:textId="77777777" w:rsidR="00000000" w:rsidRDefault="00405D16">
            <w:pPr>
              <w:spacing w:after="100"/>
              <w:rPr>
                <w:rFonts w:eastAsia="Times New Roman"/>
                <w:sz w:val="20"/>
                <w:szCs w:val="20"/>
              </w:rPr>
            </w:pPr>
          </w:p>
        </w:tc>
        <w:tc>
          <w:tcPr>
            <w:tcW w:w="5" w:type="pct"/>
            <w:vAlign w:val="center"/>
            <w:hideMark/>
          </w:tcPr>
          <w:p w14:paraId="414ABBC8" w14:textId="77777777" w:rsidR="00000000" w:rsidRDefault="00405D16">
            <w:pPr>
              <w:spacing w:after="100"/>
              <w:rPr>
                <w:rFonts w:eastAsia="Times New Roman"/>
                <w:sz w:val="20"/>
                <w:szCs w:val="20"/>
              </w:rPr>
            </w:pPr>
          </w:p>
        </w:tc>
        <w:tc>
          <w:tcPr>
            <w:tcW w:w="5" w:type="pct"/>
            <w:vAlign w:val="center"/>
            <w:hideMark/>
          </w:tcPr>
          <w:p w14:paraId="6B12CADC" w14:textId="77777777" w:rsidR="00000000" w:rsidRDefault="00405D16">
            <w:pPr>
              <w:spacing w:after="100"/>
              <w:rPr>
                <w:rFonts w:eastAsia="Times New Roman"/>
                <w:sz w:val="20"/>
                <w:szCs w:val="20"/>
              </w:rPr>
            </w:pPr>
          </w:p>
        </w:tc>
        <w:tc>
          <w:tcPr>
            <w:tcW w:w="26" w:type="pct"/>
            <w:vAlign w:val="center"/>
            <w:hideMark/>
          </w:tcPr>
          <w:p w14:paraId="4AFD46A4" w14:textId="77777777" w:rsidR="00000000" w:rsidRDefault="00405D16">
            <w:pPr>
              <w:spacing w:after="100"/>
              <w:rPr>
                <w:rFonts w:eastAsia="Times New Roman"/>
                <w:sz w:val="20"/>
                <w:szCs w:val="20"/>
              </w:rPr>
            </w:pPr>
          </w:p>
        </w:tc>
        <w:tc>
          <w:tcPr>
            <w:tcW w:w="5" w:type="pct"/>
            <w:vAlign w:val="center"/>
            <w:hideMark/>
          </w:tcPr>
          <w:p w14:paraId="718BF0FE" w14:textId="77777777" w:rsidR="00000000" w:rsidRDefault="00405D16">
            <w:pPr>
              <w:spacing w:after="100"/>
              <w:rPr>
                <w:rFonts w:eastAsia="Times New Roman"/>
                <w:sz w:val="20"/>
                <w:szCs w:val="20"/>
              </w:rPr>
            </w:pPr>
          </w:p>
        </w:tc>
        <w:tc>
          <w:tcPr>
            <w:tcW w:w="50" w:type="pct"/>
            <w:vAlign w:val="center"/>
            <w:hideMark/>
          </w:tcPr>
          <w:p w14:paraId="20A9444D" w14:textId="77777777" w:rsidR="00000000" w:rsidRDefault="00405D16">
            <w:pPr>
              <w:spacing w:after="100"/>
              <w:rPr>
                <w:rFonts w:eastAsia="Times New Roman"/>
                <w:sz w:val="20"/>
                <w:szCs w:val="20"/>
              </w:rPr>
            </w:pPr>
          </w:p>
        </w:tc>
        <w:tc>
          <w:tcPr>
            <w:tcW w:w="413" w:type="pct"/>
            <w:vAlign w:val="center"/>
            <w:hideMark/>
          </w:tcPr>
          <w:p w14:paraId="18ADF38D" w14:textId="77777777" w:rsidR="00000000" w:rsidRDefault="00405D16">
            <w:pPr>
              <w:spacing w:after="100"/>
              <w:rPr>
                <w:rFonts w:eastAsia="Times New Roman"/>
                <w:sz w:val="20"/>
                <w:szCs w:val="20"/>
              </w:rPr>
            </w:pPr>
          </w:p>
        </w:tc>
        <w:tc>
          <w:tcPr>
            <w:tcW w:w="5" w:type="pct"/>
            <w:vAlign w:val="center"/>
            <w:hideMark/>
          </w:tcPr>
          <w:p w14:paraId="646516D3" w14:textId="77777777" w:rsidR="00000000" w:rsidRDefault="00405D16">
            <w:pPr>
              <w:spacing w:after="100"/>
              <w:rPr>
                <w:rFonts w:eastAsia="Times New Roman"/>
                <w:sz w:val="20"/>
                <w:szCs w:val="20"/>
              </w:rPr>
            </w:pPr>
          </w:p>
        </w:tc>
        <w:tc>
          <w:tcPr>
            <w:tcW w:w="5" w:type="pct"/>
            <w:vAlign w:val="center"/>
            <w:hideMark/>
          </w:tcPr>
          <w:p w14:paraId="15299C1C" w14:textId="77777777" w:rsidR="00000000" w:rsidRDefault="00405D16">
            <w:pPr>
              <w:spacing w:after="100"/>
              <w:rPr>
                <w:rFonts w:eastAsia="Times New Roman"/>
                <w:sz w:val="20"/>
                <w:szCs w:val="20"/>
              </w:rPr>
            </w:pPr>
          </w:p>
        </w:tc>
        <w:tc>
          <w:tcPr>
            <w:tcW w:w="26" w:type="pct"/>
            <w:vAlign w:val="center"/>
            <w:hideMark/>
          </w:tcPr>
          <w:p w14:paraId="78569085" w14:textId="77777777" w:rsidR="00000000" w:rsidRDefault="00405D16">
            <w:pPr>
              <w:spacing w:after="100"/>
              <w:rPr>
                <w:rFonts w:eastAsia="Times New Roman"/>
                <w:sz w:val="20"/>
                <w:szCs w:val="20"/>
              </w:rPr>
            </w:pPr>
          </w:p>
        </w:tc>
        <w:tc>
          <w:tcPr>
            <w:tcW w:w="5" w:type="pct"/>
            <w:vAlign w:val="center"/>
            <w:hideMark/>
          </w:tcPr>
          <w:p w14:paraId="2BF340EB" w14:textId="77777777" w:rsidR="00000000" w:rsidRDefault="00405D16">
            <w:pPr>
              <w:spacing w:after="100"/>
              <w:rPr>
                <w:rFonts w:eastAsia="Times New Roman"/>
                <w:sz w:val="20"/>
                <w:szCs w:val="20"/>
              </w:rPr>
            </w:pPr>
          </w:p>
        </w:tc>
        <w:tc>
          <w:tcPr>
            <w:tcW w:w="50" w:type="pct"/>
            <w:vAlign w:val="center"/>
            <w:hideMark/>
          </w:tcPr>
          <w:p w14:paraId="2E0E41ED" w14:textId="77777777" w:rsidR="00000000" w:rsidRDefault="00405D16">
            <w:pPr>
              <w:spacing w:after="100"/>
              <w:rPr>
                <w:rFonts w:eastAsia="Times New Roman"/>
                <w:sz w:val="20"/>
                <w:szCs w:val="20"/>
              </w:rPr>
            </w:pPr>
          </w:p>
        </w:tc>
        <w:tc>
          <w:tcPr>
            <w:tcW w:w="413" w:type="pct"/>
            <w:vAlign w:val="center"/>
            <w:hideMark/>
          </w:tcPr>
          <w:p w14:paraId="7403F0AB" w14:textId="77777777" w:rsidR="00000000" w:rsidRDefault="00405D16">
            <w:pPr>
              <w:spacing w:after="100"/>
              <w:rPr>
                <w:rFonts w:eastAsia="Times New Roman"/>
                <w:sz w:val="20"/>
                <w:szCs w:val="20"/>
              </w:rPr>
            </w:pPr>
          </w:p>
        </w:tc>
        <w:tc>
          <w:tcPr>
            <w:tcW w:w="5" w:type="pct"/>
            <w:vAlign w:val="center"/>
            <w:hideMark/>
          </w:tcPr>
          <w:p w14:paraId="5634CC93" w14:textId="77777777" w:rsidR="00000000" w:rsidRDefault="00405D16">
            <w:pPr>
              <w:spacing w:after="100"/>
              <w:rPr>
                <w:rFonts w:eastAsia="Times New Roman"/>
                <w:sz w:val="20"/>
                <w:szCs w:val="20"/>
              </w:rPr>
            </w:pPr>
          </w:p>
        </w:tc>
        <w:tc>
          <w:tcPr>
            <w:tcW w:w="0" w:type="auto"/>
            <w:vAlign w:val="center"/>
            <w:hideMark/>
          </w:tcPr>
          <w:p w14:paraId="4299185E" w14:textId="77777777" w:rsidR="00000000" w:rsidRDefault="00405D16">
            <w:pPr>
              <w:spacing w:after="100"/>
              <w:rPr>
                <w:rFonts w:eastAsia="Times New Roman"/>
                <w:sz w:val="20"/>
                <w:szCs w:val="20"/>
              </w:rPr>
            </w:pPr>
          </w:p>
        </w:tc>
      </w:tr>
      <w:tr w:rsidR="00000000" w14:paraId="6C9813E1" w14:textId="77777777">
        <w:trPr>
          <w:divId w:val="1345863260"/>
        </w:trPr>
        <w:tc>
          <w:tcPr>
            <w:tcW w:w="0" w:type="auto"/>
            <w:gridSpan w:val="3"/>
            <w:tcMar>
              <w:top w:w="0" w:type="dxa"/>
              <w:left w:w="20" w:type="dxa"/>
              <w:bottom w:w="0" w:type="dxa"/>
              <w:right w:w="20" w:type="dxa"/>
            </w:tcMar>
            <w:vAlign w:val="center"/>
            <w:hideMark/>
          </w:tcPr>
          <w:p w14:paraId="29BDE4FA"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5060736" w14:textId="77777777" w:rsidR="00000000" w:rsidRDefault="00405D1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34F8BE5" w14:textId="77777777" w:rsidR="00000000" w:rsidRDefault="00405D16">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14:paraId="1DB68B9D" w14:textId="77777777" w:rsidR="00000000" w:rsidRDefault="00405D1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7F16BB15" w14:textId="77777777" w:rsidR="00000000" w:rsidRDefault="00405D16">
            <w:pPr>
              <w:spacing w:after="100"/>
              <w:jc w:val="center"/>
              <w:rPr>
                <w:rFonts w:eastAsia="Times New Roman"/>
              </w:rPr>
            </w:pPr>
            <w:r>
              <w:rPr>
                <w:rFonts w:eastAsia="Times New Roman"/>
                <w:b/>
                <w:bCs/>
                <w:color w:val="000000"/>
                <w:sz w:val="16"/>
                <w:szCs w:val="16"/>
              </w:rPr>
              <w:t>December 31, 2020</w:t>
            </w:r>
          </w:p>
        </w:tc>
        <w:tc>
          <w:tcPr>
            <w:tcW w:w="0" w:type="auto"/>
            <w:vAlign w:val="center"/>
            <w:hideMark/>
          </w:tcPr>
          <w:p w14:paraId="26141C8D" w14:textId="77777777" w:rsidR="00000000" w:rsidRDefault="00405D16">
            <w:pPr>
              <w:spacing w:after="100"/>
              <w:jc w:val="center"/>
              <w:rPr>
                <w:rFonts w:eastAsia="Times New Roman"/>
              </w:rPr>
            </w:pPr>
          </w:p>
        </w:tc>
      </w:tr>
      <w:tr w:rsidR="00000000" w14:paraId="6848B08C" w14:textId="77777777">
        <w:trPr>
          <w:divId w:val="1345863260"/>
        </w:trPr>
        <w:tc>
          <w:tcPr>
            <w:tcW w:w="0" w:type="auto"/>
            <w:gridSpan w:val="3"/>
            <w:tcMar>
              <w:top w:w="30" w:type="dxa"/>
              <w:left w:w="20" w:type="dxa"/>
              <w:bottom w:w="30" w:type="dxa"/>
              <w:right w:w="20" w:type="dxa"/>
            </w:tcMar>
            <w:vAlign w:val="bottom"/>
            <w:hideMark/>
          </w:tcPr>
          <w:p w14:paraId="213F8398"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1CA82494"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9900ABE" w14:textId="77777777" w:rsidR="00000000" w:rsidRDefault="00405D16">
            <w:pPr>
              <w:spacing w:after="100"/>
              <w:jc w:val="center"/>
              <w:rPr>
                <w:rFonts w:eastAsia="Times New Roman"/>
              </w:rPr>
            </w:pPr>
            <w:r>
              <w:rPr>
                <w:rFonts w:eastAsia="Times New Roman"/>
                <w:b/>
                <w:bCs/>
                <w:color w:val="000000"/>
                <w:sz w:val="16"/>
                <w:szCs w:val="16"/>
              </w:rPr>
              <w:t>Loans</w:t>
            </w:r>
          </w:p>
        </w:tc>
        <w:tc>
          <w:tcPr>
            <w:tcW w:w="0" w:type="auto"/>
            <w:gridSpan w:val="3"/>
            <w:tcBorders>
              <w:top w:val="single" w:sz="8" w:space="0" w:color="000000"/>
            </w:tcBorders>
            <w:tcMar>
              <w:top w:w="0" w:type="dxa"/>
              <w:left w:w="20" w:type="dxa"/>
              <w:bottom w:w="0" w:type="dxa"/>
              <w:right w:w="20" w:type="dxa"/>
            </w:tcMar>
            <w:vAlign w:val="center"/>
            <w:hideMark/>
          </w:tcPr>
          <w:p w14:paraId="25F91815"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01D973F" w14:textId="77777777" w:rsidR="00000000" w:rsidRDefault="00405D16">
            <w:pPr>
              <w:spacing w:after="100"/>
              <w:jc w:val="center"/>
              <w:rPr>
                <w:rFonts w:eastAsia="Times New Roman"/>
              </w:rPr>
            </w:pPr>
            <w:r>
              <w:rPr>
                <w:rFonts w:eastAsia="Times New Roman"/>
                <w:b/>
                <w:bCs/>
                <w:color w:val="000000"/>
                <w:sz w:val="16"/>
                <w:szCs w:val="16"/>
              </w:rPr>
              <w:t>% of Total</w:t>
            </w:r>
          </w:p>
        </w:tc>
        <w:tc>
          <w:tcPr>
            <w:tcW w:w="0" w:type="auto"/>
            <w:gridSpan w:val="3"/>
            <w:tcMar>
              <w:top w:w="0" w:type="dxa"/>
              <w:left w:w="20" w:type="dxa"/>
              <w:bottom w:w="0" w:type="dxa"/>
              <w:right w:w="20" w:type="dxa"/>
            </w:tcMar>
            <w:vAlign w:val="center"/>
            <w:hideMark/>
          </w:tcPr>
          <w:p w14:paraId="6A403FE0"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DDF551C" w14:textId="77777777" w:rsidR="00000000" w:rsidRDefault="00405D16">
            <w:pPr>
              <w:spacing w:after="100"/>
              <w:jc w:val="center"/>
              <w:rPr>
                <w:rFonts w:eastAsia="Times New Roman"/>
              </w:rPr>
            </w:pPr>
            <w:r>
              <w:rPr>
                <w:rFonts w:eastAsia="Times New Roman"/>
                <w:b/>
                <w:bCs/>
                <w:color w:val="000000"/>
                <w:sz w:val="16"/>
                <w:szCs w:val="16"/>
              </w:rPr>
              <w:t>Loans</w:t>
            </w:r>
          </w:p>
        </w:tc>
        <w:tc>
          <w:tcPr>
            <w:tcW w:w="0" w:type="auto"/>
            <w:gridSpan w:val="3"/>
            <w:tcBorders>
              <w:top w:val="single" w:sz="8" w:space="0" w:color="000000"/>
            </w:tcBorders>
            <w:tcMar>
              <w:top w:w="0" w:type="dxa"/>
              <w:left w:w="20" w:type="dxa"/>
              <w:bottom w:w="0" w:type="dxa"/>
              <w:right w:w="20" w:type="dxa"/>
            </w:tcMar>
            <w:vAlign w:val="center"/>
            <w:hideMark/>
          </w:tcPr>
          <w:p w14:paraId="3BD0D9C1"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63E9EFF" w14:textId="77777777" w:rsidR="00000000" w:rsidRDefault="00405D16">
            <w:pPr>
              <w:spacing w:after="100"/>
              <w:jc w:val="center"/>
              <w:rPr>
                <w:rFonts w:eastAsia="Times New Roman"/>
              </w:rPr>
            </w:pPr>
            <w:r>
              <w:rPr>
                <w:rFonts w:eastAsia="Times New Roman"/>
                <w:b/>
                <w:bCs/>
                <w:color w:val="000000"/>
                <w:sz w:val="16"/>
                <w:szCs w:val="16"/>
              </w:rPr>
              <w:t>% of Total</w:t>
            </w:r>
          </w:p>
        </w:tc>
        <w:tc>
          <w:tcPr>
            <w:tcW w:w="0" w:type="auto"/>
            <w:vAlign w:val="center"/>
            <w:hideMark/>
          </w:tcPr>
          <w:p w14:paraId="3B668D54" w14:textId="77777777" w:rsidR="00000000" w:rsidRDefault="00405D16">
            <w:pPr>
              <w:spacing w:after="100"/>
              <w:jc w:val="center"/>
              <w:rPr>
                <w:rFonts w:eastAsia="Times New Roman"/>
              </w:rPr>
            </w:pPr>
          </w:p>
        </w:tc>
      </w:tr>
      <w:tr w:rsidR="00000000" w14:paraId="4253DCF6" w14:textId="77777777">
        <w:trPr>
          <w:divId w:val="134586326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7A9CD51" w14:textId="77777777" w:rsidR="00000000" w:rsidRDefault="00405D16">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14:paraId="583669D3"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A86B5D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FAF26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232A94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9490F7"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A89FF7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1B3B3F"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EBCBBC0" w14:textId="77777777" w:rsidR="00000000" w:rsidRDefault="00405D16">
            <w:pPr>
              <w:spacing w:after="100"/>
              <w:rPr>
                <w:rFonts w:eastAsia="Times New Roman"/>
                <w:sz w:val="20"/>
                <w:szCs w:val="20"/>
              </w:rPr>
            </w:pPr>
          </w:p>
        </w:tc>
        <w:tc>
          <w:tcPr>
            <w:tcW w:w="0" w:type="auto"/>
            <w:vAlign w:val="center"/>
            <w:hideMark/>
          </w:tcPr>
          <w:p w14:paraId="697B82C0" w14:textId="77777777" w:rsidR="00000000" w:rsidRDefault="00405D16">
            <w:pPr>
              <w:spacing w:after="100"/>
              <w:rPr>
                <w:rFonts w:eastAsia="Times New Roman"/>
                <w:sz w:val="20"/>
                <w:szCs w:val="20"/>
              </w:rPr>
            </w:pPr>
          </w:p>
        </w:tc>
      </w:tr>
      <w:tr w:rsidR="00000000" w14:paraId="72B6B67C" w14:textId="77777777">
        <w:trPr>
          <w:divId w:val="1345863260"/>
        </w:trPr>
        <w:tc>
          <w:tcPr>
            <w:tcW w:w="0" w:type="auto"/>
            <w:gridSpan w:val="3"/>
            <w:shd w:val="clear" w:color="auto" w:fill="FFFFFF"/>
            <w:tcMar>
              <w:top w:w="30" w:type="dxa"/>
              <w:left w:w="245" w:type="dxa"/>
              <w:bottom w:w="30" w:type="dxa"/>
              <w:right w:w="20" w:type="dxa"/>
            </w:tcMar>
            <w:vAlign w:val="center"/>
            <w:hideMark/>
          </w:tcPr>
          <w:p w14:paraId="2650A1B6" w14:textId="77777777" w:rsidR="00000000" w:rsidRDefault="00405D16">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14:paraId="7E587C82"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23AD8CAD"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53FA8FA7" w14:textId="77777777" w:rsidR="00000000" w:rsidRDefault="00405D16">
            <w:pPr>
              <w:spacing w:after="100"/>
              <w:jc w:val="right"/>
              <w:rPr>
                <w:rFonts w:eastAsia="Times New Roman"/>
              </w:rPr>
            </w:pPr>
            <w:r>
              <w:rPr>
                <w:rFonts w:eastAsia="Times New Roman"/>
                <w:b/>
                <w:bCs/>
                <w:color w:val="000000"/>
                <w:sz w:val="18"/>
                <w:szCs w:val="18"/>
              </w:rPr>
              <w:t>99,258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E65EC7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2D28D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A845589" w14:textId="77777777" w:rsidR="00000000" w:rsidRDefault="00405D16">
            <w:pPr>
              <w:spacing w:after="100"/>
              <w:jc w:val="right"/>
              <w:rPr>
                <w:rFonts w:eastAsia="Times New Roman"/>
              </w:rPr>
            </w:pPr>
            <w:r>
              <w:rPr>
                <w:rFonts w:eastAsia="Times New Roman"/>
                <w:b/>
                <w:bCs/>
                <w:color w:val="000000"/>
                <w:sz w:val="18"/>
                <w:szCs w:val="18"/>
              </w:rPr>
              <w:t>38.0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1D240AA"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A076FB5" w14:textId="77777777" w:rsidR="00000000" w:rsidRDefault="00405D16">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2A554434"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24264361" w14:textId="77777777" w:rsidR="00000000" w:rsidRDefault="00405D16">
            <w:pPr>
              <w:spacing w:after="100"/>
              <w:jc w:val="right"/>
              <w:rPr>
                <w:rFonts w:eastAsia="Times New Roman"/>
              </w:rPr>
            </w:pPr>
            <w:r>
              <w:rPr>
                <w:rFonts w:eastAsia="Times New Roman"/>
                <w:color w:val="000000"/>
                <w:sz w:val="18"/>
                <w:szCs w:val="18"/>
              </w:rPr>
              <w:t>98,504 </w:t>
            </w:r>
          </w:p>
        </w:tc>
        <w:tc>
          <w:tcPr>
            <w:tcW w:w="0" w:type="auto"/>
            <w:shd w:val="clear" w:color="auto" w:fill="FFFFFF"/>
            <w:tcMar>
              <w:top w:w="30" w:type="dxa"/>
              <w:left w:w="0" w:type="dxa"/>
              <w:bottom w:w="30" w:type="dxa"/>
              <w:right w:w="20" w:type="dxa"/>
            </w:tcMar>
            <w:vAlign w:val="center"/>
            <w:hideMark/>
          </w:tcPr>
          <w:p w14:paraId="6AF3947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9363D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A6AC577" w14:textId="77777777" w:rsidR="00000000" w:rsidRDefault="00405D16">
            <w:pPr>
              <w:spacing w:after="100"/>
              <w:jc w:val="right"/>
              <w:rPr>
                <w:rFonts w:eastAsia="Times New Roman"/>
              </w:rPr>
            </w:pPr>
            <w:r>
              <w:rPr>
                <w:rFonts w:eastAsia="Times New Roman"/>
                <w:color w:val="000000"/>
                <w:sz w:val="18"/>
                <w:szCs w:val="18"/>
              </w:rPr>
              <w:t>39.1 </w:t>
            </w:r>
          </w:p>
        </w:tc>
        <w:tc>
          <w:tcPr>
            <w:tcW w:w="0" w:type="auto"/>
            <w:shd w:val="clear" w:color="auto" w:fill="FFFFFF"/>
            <w:tcMar>
              <w:top w:w="30" w:type="dxa"/>
              <w:left w:w="0" w:type="dxa"/>
              <w:bottom w:w="30" w:type="dxa"/>
              <w:right w:w="20" w:type="dxa"/>
            </w:tcMar>
            <w:vAlign w:val="center"/>
            <w:hideMark/>
          </w:tcPr>
          <w:p w14:paraId="2D263834" w14:textId="77777777" w:rsidR="00000000" w:rsidRDefault="00405D16">
            <w:pPr>
              <w:spacing w:after="100"/>
              <w:jc w:val="right"/>
              <w:rPr>
                <w:rFonts w:eastAsia="Times New Roman"/>
              </w:rPr>
            </w:pPr>
            <w:r>
              <w:rPr>
                <w:rFonts w:eastAsia="Times New Roman"/>
                <w:color w:val="000000"/>
                <w:sz w:val="18"/>
                <w:szCs w:val="18"/>
              </w:rPr>
              <w:t>%</w:t>
            </w:r>
          </w:p>
        </w:tc>
        <w:tc>
          <w:tcPr>
            <w:tcW w:w="0" w:type="auto"/>
            <w:vAlign w:val="center"/>
            <w:hideMark/>
          </w:tcPr>
          <w:p w14:paraId="2E46F1CB" w14:textId="77777777" w:rsidR="00000000" w:rsidRDefault="00405D16">
            <w:pPr>
              <w:spacing w:after="100"/>
              <w:jc w:val="right"/>
              <w:rPr>
                <w:rFonts w:eastAsia="Times New Roman"/>
              </w:rPr>
            </w:pPr>
          </w:p>
        </w:tc>
      </w:tr>
      <w:tr w:rsidR="00000000" w14:paraId="71C9AD4D" w14:textId="77777777">
        <w:trPr>
          <w:divId w:val="1345863260"/>
        </w:trPr>
        <w:tc>
          <w:tcPr>
            <w:tcW w:w="0" w:type="auto"/>
            <w:gridSpan w:val="3"/>
            <w:shd w:val="clear" w:color="auto" w:fill="CCEEFF"/>
            <w:tcMar>
              <w:top w:w="30" w:type="dxa"/>
              <w:left w:w="245" w:type="dxa"/>
              <w:bottom w:w="30" w:type="dxa"/>
              <w:right w:w="20" w:type="dxa"/>
            </w:tcMar>
            <w:vAlign w:val="center"/>
            <w:hideMark/>
          </w:tcPr>
          <w:p w14:paraId="6683A6A9" w14:textId="77777777" w:rsidR="00000000" w:rsidRDefault="00405D16">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14:paraId="639D85B9"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D1FEC5D" w14:textId="77777777" w:rsidR="00000000" w:rsidRDefault="00405D16">
            <w:pPr>
              <w:spacing w:after="100"/>
              <w:jc w:val="right"/>
              <w:rPr>
                <w:rFonts w:eastAsia="Times New Roman"/>
              </w:rPr>
            </w:pPr>
            <w:r>
              <w:rPr>
                <w:rFonts w:eastAsia="Times New Roman"/>
                <w:b/>
                <w:bCs/>
                <w:color w:val="000000"/>
                <w:sz w:val="18"/>
                <w:szCs w:val="18"/>
              </w:rPr>
              <w:t>5,772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CBB83A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B7602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5F0D658" w14:textId="77777777" w:rsidR="00000000" w:rsidRDefault="00405D16">
            <w:pPr>
              <w:spacing w:after="100"/>
              <w:jc w:val="right"/>
              <w:rPr>
                <w:rFonts w:eastAsia="Times New Roman"/>
              </w:rPr>
            </w:pPr>
            <w:r>
              <w:rPr>
                <w:rFonts w:eastAsia="Times New Roman"/>
                <w:b/>
                <w:bCs/>
                <w:color w:val="000000"/>
                <w:sz w:val="18"/>
                <w:szCs w:val="18"/>
              </w:rPr>
              <w:t>2.2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35BB27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D9F23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72E9ABF" w14:textId="77777777" w:rsidR="00000000" w:rsidRDefault="00405D16">
            <w:pPr>
              <w:spacing w:after="100"/>
              <w:jc w:val="right"/>
              <w:rPr>
                <w:rFonts w:eastAsia="Times New Roman"/>
              </w:rPr>
            </w:pPr>
            <w:r>
              <w:rPr>
                <w:rFonts w:eastAsia="Times New Roman"/>
                <w:color w:val="000000"/>
                <w:sz w:val="18"/>
                <w:szCs w:val="18"/>
              </w:rPr>
              <w:t>8,452 </w:t>
            </w:r>
          </w:p>
        </w:tc>
        <w:tc>
          <w:tcPr>
            <w:tcW w:w="0" w:type="auto"/>
            <w:shd w:val="clear" w:color="auto" w:fill="CCEEFF"/>
            <w:tcMar>
              <w:top w:w="30" w:type="dxa"/>
              <w:left w:w="0" w:type="dxa"/>
              <w:bottom w:w="30" w:type="dxa"/>
              <w:right w:w="20" w:type="dxa"/>
            </w:tcMar>
            <w:vAlign w:val="center"/>
            <w:hideMark/>
          </w:tcPr>
          <w:p w14:paraId="01F37F0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5C3F9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F00C28C" w14:textId="77777777" w:rsidR="00000000" w:rsidRDefault="00405D16">
            <w:pPr>
              <w:spacing w:after="100"/>
              <w:jc w:val="right"/>
              <w:rPr>
                <w:rFonts w:eastAsia="Times New Roman"/>
              </w:rPr>
            </w:pPr>
            <w:r>
              <w:rPr>
                <w:rFonts w:eastAsia="Times New Roman"/>
                <w:color w:val="000000"/>
                <w:sz w:val="18"/>
                <w:szCs w:val="18"/>
              </w:rPr>
              <w:t>3.4 </w:t>
            </w:r>
          </w:p>
        </w:tc>
        <w:tc>
          <w:tcPr>
            <w:tcW w:w="0" w:type="auto"/>
            <w:shd w:val="clear" w:color="auto" w:fill="CCEEFF"/>
            <w:tcMar>
              <w:top w:w="30" w:type="dxa"/>
              <w:left w:w="0" w:type="dxa"/>
              <w:bottom w:w="30" w:type="dxa"/>
              <w:right w:w="20" w:type="dxa"/>
            </w:tcMar>
            <w:vAlign w:val="center"/>
            <w:hideMark/>
          </w:tcPr>
          <w:p w14:paraId="0B347045" w14:textId="77777777" w:rsidR="00000000" w:rsidRDefault="00405D16">
            <w:pPr>
              <w:spacing w:after="100"/>
              <w:jc w:val="right"/>
              <w:rPr>
                <w:rFonts w:eastAsia="Times New Roman"/>
              </w:rPr>
            </w:pPr>
          </w:p>
        </w:tc>
        <w:tc>
          <w:tcPr>
            <w:tcW w:w="0" w:type="auto"/>
            <w:vAlign w:val="center"/>
            <w:hideMark/>
          </w:tcPr>
          <w:p w14:paraId="75C3C0D5" w14:textId="77777777" w:rsidR="00000000" w:rsidRDefault="00405D16">
            <w:pPr>
              <w:spacing w:after="100"/>
              <w:jc w:val="right"/>
              <w:rPr>
                <w:rFonts w:eastAsia="Times New Roman"/>
                <w:sz w:val="20"/>
                <w:szCs w:val="20"/>
              </w:rPr>
            </w:pPr>
          </w:p>
        </w:tc>
      </w:tr>
      <w:tr w:rsidR="00000000" w14:paraId="26B4A85E" w14:textId="77777777">
        <w:trPr>
          <w:divId w:val="1345863260"/>
        </w:trPr>
        <w:tc>
          <w:tcPr>
            <w:tcW w:w="0" w:type="auto"/>
            <w:gridSpan w:val="3"/>
            <w:shd w:val="clear" w:color="auto" w:fill="FFFFFF"/>
            <w:tcMar>
              <w:top w:w="30" w:type="dxa"/>
              <w:left w:w="20" w:type="dxa"/>
              <w:bottom w:w="30" w:type="dxa"/>
              <w:right w:w="20" w:type="dxa"/>
            </w:tcMar>
            <w:vAlign w:val="center"/>
            <w:hideMark/>
          </w:tcPr>
          <w:p w14:paraId="610A61F9" w14:textId="77777777" w:rsidR="00000000" w:rsidRDefault="00405D16">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14:paraId="665D8929"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D63E5D4" w14:textId="77777777" w:rsidR="00000000" w:rsidRDefault="00405D16">
            <w:pPr>
              <w:spacing w:after="100"/>
              <w:jc w:val="right"/>
              <w:rPr>
                <w:rFonts w:eastAsia="Times New Roman"/>
              </w:rPr>
            </w:pPr>
            <w:r>
              <w:rPr>
                <w:rFonts w:eastAsia="Times New Roman"/>
                <w:b/>
                <w:bCs/>
                <w:color w:val="000000"/>
                <w:sz w:val="18"/>
                <w:szCs w:val="18"/>
              </w:rPr>
              <w:t>105,030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C74BA2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153BBC"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AA17A88" w14:textId="77777777" w:rsidR="00000000" w:rsidRDefault="00405D16">
            <w:pPr>
              <w:spacing w:after="100"/>
              <w:jc w:val="right"/>
              <w:rPr>
                <w:rFonts w:eastAsia="Times New Roman"/>
              </w:rPr>
            </w:pPr>
            <w:r>
              <w:rPr>
                <w:rFonts w:eastAsia="Times New Roman"/>
                <w:b/>
                <w:bCs/>
                <w:color w:val="000000"/>
                <w:sz w:val="18"/>
                <w:szCs w:val="18"/>
              </w:rPr>
              <w:t>40.2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FE6881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FF247C"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C276BE1" w14:textId="77777777" w:rsidR="00000000" w:rsidRDefault="00405D16">
            <w:pPr>
              <w:spacing w:after="100"/>
              <w:jc w:val="right"/>
              <w:rPr>
                <w:rFonts w:eastAsia="Times New Roman"/>
              </w:rPr>
            </w:pPr>
            <w:r>
              <w:rPr>
                <w:rFonts w:eastAsia="Times New Roman"/>
                <w:color w:val="000000"/>
                <w:sz w:val="18"/>
                <w:szCs w:val="18"/>
              </w:rPr>
              <w:t>106,956 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F6297D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67EBBF"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1CBD3A7" w14:textId="77777777" w:rsidR="00000000" w:rsidRDefault="00405D16">
            <w:pPr>
              <w:spacing w:after="100"/>
              <w:jc w:val="right"/>
              <w:rPr>
                <w:rFonts w:eastAsia="Times New Roman"/>
              </w:rPr>
            </w:pPr>
            <w:r>
              <w:rPr>
                <w:rFonts w:eastAsia="Times New Roman"/>
                <w:color w:val="000000"/>
                <w:sz w:val="18"/>
                <w:szCs w:val="18"/>
              </w:rPr>
              <w:t>42.5 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383A2A1" w14:textId="77777777" w:rsidR="00000000" w:rsidRDefault="00405D16">
            <w:pPr>
              <w:spacing w:after="100"/>
              <w:jc w:val="right"/>
              <w:rPr>
                <w:rFonts w:eastAsia="Times New Roman"/>
              </w:rPr>
            </w:pPr>
          </w:p>
        </w:tc>
        <w:tc>
          <w:tcPr>
            <w:tcW w:w="0" w:type="auto"/>
            <w:vAlign w:val="center"/>
            <w:hideMark/>
          </w:tcPr>
          <w:p w14:paraId="4C02E915" w14:textId="77777777" w:rsidR="00000000" w:rsidRDefault="00405D16">
            <w:pPr>
              <w:spacing w:after="100"/>
              <w:jc w:val="right"/>
              <w:rPr>
                <w:rFonts w:eastAsia="Times New Roman"/>
                <w:sz w:val="20"/>
                <w:szCs w:val="20"/>
              </w:rPr>
            </w:pPr>
          </w:p>
        </w:tc>
      </w:tr>
      <w:tr w:rsidR="00000000" w14:paraId="56526AFD" w14:textId="77777777">
        <w:trPr>
          <w:divId w:val="1345863260"/>
        </w:trPr>
        <w:tc>
          <w:tcPr>
            <w:tcW w:w="0" w:type="auto"/>
            <w:gridSpan w:val="3"/>
            <w:shd w:val="clear" w:color="auto" w:fill="CCEEFF"/>
            <w:tcMar>
              <w:top w:w="30" w:type="dxa"/>
              <w:left w:w="20" w:type="dxa"/>
              <w:bottom w:w="30" w:type="dxa"/>
              <w:right w:w="20" w:type="dxa"/>
            </w:tcMar>
            <w:vAlign w:val="center"/>
            <w:hideMark/>
          </w:tcPr>
          <w:p w14:paraId="7BABDA8A" w14:textId="77777777" w:rsidR="00000000" w:rsidRDefault="00405D16">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14:paraId="0AEBC969"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29A7C9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A97BB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FFC592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F3F033"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F52AA9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68644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CDC2C25" w14:textId="77777777" w:rsidR="00000000" w:rsidRDefault="00405D16">
            <w:pPr>
              <w:spacing w:after="100"/>
              <w:rPr>
                <w:rFonts w:eastAsia="Times New Roman"/>
                <w:sz w:val="20"/>
                <w:szCs w:val="20"/>
              </w:rPr>
            </w:pPr>
          </w:p>
        </w:tc>
        <w:tc>
          <w:tcPr>
            <w:tcW w:w="0" w:type="auto"/>
            <w:vAlign w:val="center"/>
            <w:hideMark/>
          </w:tcPr>
          <w:p w14:paraId="6596694C" w14:textId="77777777" w:rsidR="00000000" w:rsidRDefault="00405D16">
            <w:pPr>
              <w:spacing w:after="100"/>
              <w:rPr>
                <w:rFonts w:eastAsia="Times New Roman"/>
                <w:sz w:val="20"/>
                <w:szCs w:val="20"/>
              </w:rPr>
            </w:pPr>
          </w:p>
        </w:tc>
      </w:tr>
      <w:tr w:rsidR="00000000" w14:paraId="4283A83B" w14:textId="77777777">
        <w:trPr>
          <w:divId w:val="1345863260"/>
        </w:trPr>
        <w:tc>
          <w:tcPr>
            <w:tcW w:w="0" w:type="auto"/>
            <w:gridSpan w:val="3"/>
            <w:shd w:val="clear" w:color="auto" w:fill="FFFFFF"/>
            <w:tcMar>
              <w:top w:w="30" w:type="dxa"/>
              <w:left w:w="245" w:type="dxa"/>
              <w:bottom w:w="30" w:type="dxa"/>
              <w:right w:w="20" w:type="dxa"/>
            </w:tcMar>
            <w:vAlign w:val="center"/>
            <w:hideMark/>
          </w:tcPr>
          <w:p w14:paraId="32DF58B5" w14:textId="77777777" w:rsidR="00000000" w:rsidRDefault="00405D16">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14:paraId="3D5AE7B4"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377B6F6" w14:textId="77777777" w:rsidR="00000000" w:rsidRDefault="00405D16">
            <w:pPr>
              <w:spacing w:after="100"/>
              <w:jc w:val="right"/>
              <w:rPr>
                <w:rFonts w:eastAsia="Times New Roman"/>
              </w:rPr>
            </w:pPr>
            <w:r>
              <w:rPr>
                <w:rFonts w:eastAsia="Times New Roman"/>
                <w:b/>
                <w:bCs/>
                <w:color w:val="000000"/>
                <w:sz w:val="18"/>
                <w:szCs w:val="18"/>
              </w:rPr>
              <w:t>74,716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2B2DBA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A158C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2D8A717" w14:textId="77777777" w:rsidR="00000000" w:rsidRDefault="00405D16">
            <w:pPr>
              <w:spacing w:after="100"/>
              <w:jc w:val="right"/>
              <w:rPr>
                <w:rFonts w:eastAsia="Times New Roman"/>
              </w:rPr>
            </w:pPr>
            <w:r>
              <w:rPr>
                <w:rFonts w:eastAsia="Times New Roman"/>
                <w:b/>
                <w:bCs/>
                <w:color w:val="000000"/>
                <w:sz w:val="18"/>
                <w:szCs w:val="18"/>
              </w:rPr>
              <w:t>28.6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C8ED61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B7840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14FB976" w14:textId="77777777" w:rsidR="00000000" w:rsidRDefault="00405D16">
            <w:pPr>
              <w:spacing w:after="100"/>
              <w:jc w:val="right"/>
              <w:rPr>
                <w:rFonts w:eastAsia="Times New Roman"/>
              </w:rPr>
            </w:pPr>
            <w:r>
              <w:rPr>
                <w:rFonts w:eastAsia="Times New Roman"/>
                <w:color w:val="000000"/>
                <w:sz w:val="18"/>
                <w:szCs w:val="18"/>
              </w:rPr>
              <w:t>65,762 </w:t>
            </w:r>
          </w:p>
        </w:tc>
        <w:tc>
          <w:tcPr>
            <w:tcW w:w="0" w:type="auto"/>
            <w:shd w:val="clear" w:color="auto" w:fill="FFFFFF"/>
            <w:tcMar>
              <w:top w:w="30" w:type="dxa"/>
              <w:left w:w="0" w:type="dxa"/>
              <w:bottom w:w="30" w:type="dxa"/>
              <w:right w:w="20" w:type="dxa"/>
            </w:tcMar>
            <w:vAlign w:val="center"/>
            <w:hideMark/>
          </w:tcPr>
          <w:p w14:paraId="0A8AA5F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0D636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0AC01A6" w14:textId="77777777" w:rsidR="00000000" w:rsidRDefault="00405D16">
            <w:pPr>
              <w:spacing w:after="100"/>
              <w:jc w:val="right"/>
              <w:rPr>
                <w:rFonts w:eastAsia="Times New Roman"/>
              </w:rPr>
            </w:pPr>
            <w:r>
              <w:rPr>
                <w:rFonts w:eastAsia="Times New Roman"/>
                <w:color w:val="000000"/>
                <w:sz w:val="18"/>
                <w:szCs w:val="18"/>
              </w:rPr>
              <w:t>26.2 </w:t>
            </w:r>
          </w:p>
        </w:tc>
        <w:tc>
          <w:tcPr>
            <w:tcW w:w="0" w:type="auto"/>
            <w:shd w:val="clear" w:color="auto" w:fill="FFFFFF"/>
            <w:tcMar>
              <w:top w:w="30" w:type="dxa"/>
              <w:left w:w="0" w:type="dxa"/>
              <w:bottom w:w="30" w:type="dxa"/>
              <w:right w:w="20" w:type="dxa"/>
            </w:tcMar>
            <w:vAlign w:val="center"/>
            <w:hideMark/>
          </w:tcPr>
          <w:p w14:paraId="31C807DC" w14:textId="77777777" w:rsidR="00000000" w:rsidRDefault="00405D16">
            <w:pPr>
              <w:spacing w:after="100"/>
              <w:jc w:val="right"/>
              <w:rPr>
                <w:rFonts w:eastAsia="Times New Roman"/>
              </w:rPr>
            </w:pPr>
          </w:p>
        </w:tc>
        <w:tc>
          <w:tcPr>
            <w:tcW w:w="0" w:type="auto"/>
            <w:vAlign w:val="center"/>
            <w:hideMark/>
          </w:tcPr>
          <w:p w14:paraId="61E2527E" w14:textId="77777777" w:rsidR="00000000" w:rsidRDefault="00405D16">
            <w:pPr>
              <w:spacing w:after="100"/>
              <w:jc w:val="right"/>
              <w:rPr>
                <w:rFonts w:eastAsia="Times New Roman"/>
                <w:sz w:val="20"/>
                <w:szCs w:val="20"/>
              </w:rPr>
            </w:pPr>
          </w:p>
        </w:tc>
      </w:tr>
      <w:tr w:rsidR="00000000" w14:paraId="41B64871" w14:textId="77777777">
        <w:trPr>
          <w:divId w:val="1345863260"/>
        </w:trPr>
        <w:tc>
          <w:tcPr>
            <w:tcW w:w="0" w:type="auto"/>
            <w:gridSpan w:val="3"/>
            <w:shd w:val="clear" w:color="auto" w:fill="CCEEFF"/>
            <w:tcMar>
              <w:top w:w="30" w:type="dxa"/>
              <w:left w:w="20" w:type="dxa"/>
              <w:bottom w:w="30" w:type="dxa"/>
              <w:right w:w="20" w:type="dxa"/>
            </w:tcMar>
            <w:vAlign w:val="center"/>
            <w:hideMark/>
          </w:tcPr>
          <w:p w14:paraId="4FD9ADF5" w14:textId="77777777" w:rsidR="00000000" w:rsidRDefault="00405D16">
            <w:pPr>
              <w:spacing w:after="100"/>
              <w:divId w:val="418528266"/>
              <w:rPr>
                <w:rFonts w:eastAsia="Times New Roman"/>
              </w:rPr>
            </w:pPr>
            <w:r>
              <w:rPr>
                <w:rFonts w:eastAsia="Times New Roman"/>
                <w:color w:val="000000"/>
                <w:sz w:val="18"/>
                <w:szCs w:val="18"/>
              </w:rPr>
              <w:t>Retail bankin</w:t>
            </w:r>
            <w:r>
              <w:rPr>
                <w:rFonts w:eastAsia="Times New Roman"/>
                <w:color w:val="000000"/>
                <w:sz w:val="18"/>
                <w:szCs w:val="18"/>
              </w:rPr>
              <w:t>g</w:t>
            </w: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w:t>
            </w:r>
          </w:p>
        </w:tc>
        <w:tc>
          <w:tcPr>
            <w:tcW w:w="0" w:type="auto"/>
            <w:gridSpan w:val="3"/>
            <w:shd w:val="clear" w:color="auto" w:fill="CCEEFF"/>
            <w:tcMar>
              <w:top w:w="0" w:type="dxa"/>
              <w:left w:w="20" w:type="dxa"/>
              <w:bottom w:w="0" w:type="dxa"/>
              <w:right w:w="20" w:type="dxa"/>
            </w:tcMar>
            <w:vAlign w:val="center"/>
            <w:hideMark/>
          </w:tcPr>
          <w:p w14:paraId="6CF377A1"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3413D58" w14:textId="77777777" w:rsidR="00000000" w:rsidRDefault="00405D16">
            <w:pPr>
              <w:spacing w:after="100"/>
              <w:jc w:val="right"/>
              <w:rPr>
                <w:rFonts w:eastAsia="Times New Roman"/>
              </w:rPr>
            </w:pPr>
            <w:r>
              <w:rPr>
                <w:rFonts w:eastAsia="Times New Roman"/>
                <w:b/>
                <w:bCs/>
                <w:color w:val="000000"/>
                <w:sz w:val="18"/>
                <w:szCs w:val="18"/>
              </w:rPr>
              <w:t>2,396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8DB3B8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8671D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9CB3FB9" w14:textId="77777777" w:rsidR="00000000" w:rsidRDefault="00405D16">
            <w:pPr>
              <w:spacing w:after="100"/>
              <w:jc w:val="right"/>
              <w:rPr>
                <w:rFonts w:eastAsia="Times New Roman"/>
              </w:rPr>
            </w:pPr>
            <w:r>
              <w:rPr>
                <w:rFonts w:eastAsia="Times New Roman"/>
                <w:b/>
                <w:bCs/>
                <w:color w:val="000000"/>
                <w:sz w:val="18"/>
                <w:szCs w:val="18"/>
              </w:rPr>
              <w:t>0.9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558492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FBA98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FA253C9" w14:textId="77777777" w:rsidR="00000000" w:rsidRDefault="00405D16">
            <w:pPr>
              <w:spacing w:after="100"/>
              <w:jc w:val="right"/>
              <w:rPr>
                <w:rFonts w:eastAsia="Times New Roman"/>
              </w:rPr>
            </w:pPr>
            <w:r>
              <w:rPr>
                <w:rFonts w:eastAsia="Times New Roman"/>
                <w:color w:val="000000"/>
                <w:sz w:val="18"/>
                <w:szCs w:val="18"/>
              </w:rPr>
              <w:t>3,126 </w:t>
            </w:r>
          </w:p>
        </w:tc>
        <w:tc>
          <w:tcPr>
            <w:tcW w:w="0" w:type="auto"/>
            <w:shd w:val="clear" w:color="auto" w:fill="CCEEFF"/>
            <w:tcMar>
              <w:top w:w="30" w:type="dxa"/>
              <w:left w:w="0" w:type="dxa"/>
              <w:bottom w:w="30" w:type="dxa"/>
              <w:right w:w="20" w:type="dxa"/>
            </w:tcMar>
            <w:vAlign w:val="center"/>
            <w:hideMark/>
          </w:tcPr>
          <w:p w14:paraId="4175406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33948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7D66107" w14:textId="77777777" w:rsidR="00000000" w:rsidRDefault="00405D16">
            <w:pPr>
              <w:spacing w:after="100"/>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center"/>
            <w:hideMark/>
          </w:tcPr>
          <w:p w14:paraId="36551CCA" w14:textId="77777777" w:rsidR="00000000" w:rsidRDefault="00405D16">
            <w:pPr>
              <w:spacing w:after="100"/>
              <w:jc w:val="right"/>
              <w:rPr>
                <w:rFonts w:eastAsia="Times New Roman"/>
              </w:rPr>
            </w:pPr>
          </w:p>
        </w:tc>
        <w:tc>
          <w:tcPr>
            <w:tcW w:w="0" w:type="auto"/>
            <w:vAlign w:val="center"/>
            <w:hideMark/>
          </w:tcPr>
          <w:p w14:paraId="7A3E43A7" w14:textId="77777777" w:rsidR="00000000" w:rsidRDefault="00405D16">
            <w:pPr>
              <w:spacing w:after="100"/>
              <w:jc w:val="right"/>
              <w:rPr>
                <w:rFonts w:eastAsia="Times New Roman"/>
                <w:sz w:val="20"/>
                <w:szCs w:val="20"/>
              </w:rPr>
            </w:pPr>
          </w:p>
        </w:tc>
      </w:tr>
      <w:tr w:rsidR="00000000" w14:paraId="54F41CD8" w14:textId="77777777">
        <w:trPr>
          <w:divId w:val="1345863260"/>
        </w:trPr>
        <w:tc>
          <w:tcPr>
            <w:tcW w:w="0" w:type="auto"/>
            <w:gridSpan w:val="3"/>
            <w:shd w:val="clear" w:color="auto" w:fill="FFFFFF"/>
            <w:tcMar>
              <w:top w:w="30" w:type="dxa"/>
              <w:left w:w="20" w:type="dxa"/>
              <w:bottom w:w="30" w:type="dxa"/>
              <w:right w:w="20" w:type="dxa"/>
            </w:tcMar>
            <w:vAlign w:val="center"/>
            <w:hideMark/>
          </w:tcPr>
          <w:p w14:paraId="0905EAC0" w14:textId="77777777" w:rsidR="00000000" w:rsidRDefault="00405D16">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14:paraId="430B771B"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9E518DB" w14:textId="77777777" w:rsidR="00000000" w:rsidRDefault="00405D16">
            <w:pPr>
              <w:spacing w:after="100"/>
              <w:jc w:val="right"/>
              <w:rPr>
                <w:rFonts w:eastAsia="Times New Roman"/>
              </w:rPr>
            </w:pPr>
            <w:r>
              <w:rPr>
                <w:rFonts w:eastAsia="Times New Roman"/>
                <w:b/>
                <w:bCs/>
                <w:color w:val="000000"/>
                <w:sz w:val="18"/>
                <w:szCs w:val="18"/>
              </w:rPr>
              <w:t>77,112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4F75F6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14B895"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2F9F9C2" w14:textId="77777777" w:rsidR="00000000" w:rsidRDefault="00405D16">
            <w:pPr>
              <w:spacing w:after="100"/>
              <w:jc w:val="right"/>
              <w:rPr>
                <w:rFonts w:eastAsia="Times New Roman"/>
              </w:rPr>
            </w:pPr>
            <w:r>
              <w:rPr>
                <w:rFonts w:eastAsia="Times New Roman"/>
                <w:b/>
                <w:bCs/>
                <w:color w:val="000000"/>
                <w:sz w:val="18"/>
                <w:szCs w:val="18"/>
              </w:rPr>
              <w:t>29.5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AEF41D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BDE86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B8A1F66" w14:textId="77777777" w:rsidR="00000000" w:rsidRDefault="00405D16">
            <w:pPr>
              <w:spacing w:after="100"/>
              <w:jc w:val="right"/>
              <w:rPr>
                <w:rFonts w:eastAsia="Times New Roman"/>
              </w:rPr>
            </w:pPr>
            <w:r>
              <w:rPr>
                <w:rFonts w:eastAsia="Times New Roman"/>
                <w:color w:val="000000"/>
                <w:sz w:val="18"/>
                <w:szCs w:val="18"/>
              </w:rPr>
              <w:t>68,888 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CE34D5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19FE48"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B3CF2AF" w14:textId="77777777" w:rsidR="00000000" w:rsidRDefault="00405D16">
            <w:pPr>
              <w:spacing w:after="100"/>
              <w:jc w:val="right"/>
              <w:rPr>
                <w:rFonts w:eastAsia="Times New Roman"/>
              </w:rPr>
            </w:pPr>
            <w:r>
              <w:rPr>
                <w:rFonts w:eastAsia="Times New Roman"/>
                <w:color w:val="000000"/>
                <w:sz w:val="18"/>
                <w:szCs w:val="18"/>
              </w:rPr>
              <w:t>27.4 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C371E4F" w14:textId="77777777" w:rsidR="00000000" w:rsidRDefault="00405D16">
            <w:pPr>
              <w:spacing w:after="100"/>
              <w:jc w:val="right"/>
              <w:rPr>
                <w:rFonts w:eastAsia="Times New Roman"/>
              </w:rPr>
            </w:pPr>
          </w:p>
        </w:tc>
        <w:tc>
          <w:tcPr>
            <w:tcW w:w="0" w:type="auto"/>
            <w:vAlign w:val="center"/>
            <w:hideMark/>
          </w:tcPr>
          <w:p w14:paraId="0992848F" w14:textId="77777777" w:rsidR="00000000" w:rsidRDefault="00405D16">
            <w:pPr>
              <w:spacing w:after="100"/>
              <w:jc w:val="right"/>
              <w:rPr>
                <w:rFonts w:eastAsia="Times New Roman"/>
                <w:sz w:val="20"/>
                <w:szCs w:val="20"/>
              </w:rPr>
            </w:pPr>
          </w:p>
        </w:tc>
      </w:tr>
      <w:tr w:rsidR="00000000" w14:paraId="322BE9F5" w14:textId="77777777">
        <w:trPr>
          <w:divId w:val="1345863260"/>
        </w:trPr>
        <w:tc>
          <w:tcPr>
            <w:tcW w:w="0" w:type="auto"/>
            <w:gridSpan w:val="3"/>
            <w:shd w:val="clear" w:color="auto" w:fill="CCEEFF"/>
            <w:tcMar>
              <w:top w:w="30" w:type="dxa"/>
              <w:left w:w="20" w:type="dxa"/>
              <w:bottom w:w="30" w:type="dxa"/>
              <w:right w:w="20" w:type="dxa"/>
            </w:tcMar>
            <w:vAlign w:val="center"/>
            <w:hideMark/>
          </w:tcPr>
          <w:p w14:paraId="34035B78" w14:textId="77777777" w:rsidR="00000000" w:rsidRDefault="00405D16">
            <w:pPr>
              <w:spacing w:after="100"/>
              <w:divId w:val="1521433253"/>
              <w:rPr>
                <w:rFonts w:eastAsia="Times New Roman"/>
              </w:rPr>
            </w:pPr>
            <w:r>
              <w:rPr>
                <w:rFonts w:eastAsia="Times New Roman"/>
                <w:b/>
                <w:bCs/>
                <w:color w:val="000000"/>
                <w:sz w:val="18"/>
                <w:szCs w:val="18"/>
              </w:rPr>
              <w:t>Commercial Banking</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7FD8CBA1"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B08D2C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8BF14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FB4968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FF6912"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A6EC20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15CB33"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D2142C2" w14:textId="77777777" w:rsidR="00000000" w:rsidRDefault="00405D16">
            <w:pPr>
              <w:spacing w:after="100"/>
              <w:rPr>
                <w:rFonts w:eastAsia="Times New Roman"/>
                <w:sz w:val="20"/>
                <w:szCs w:val="20"/>
              </w:rPr>
            </w:pPr>
          </w:p>
        </w:tc>
        <w:tc>
          <w:tcPr>
            <w:tcW w:w="0" w:type="auto"/>
            <w:vAlign w:val="center"/>
            <w:hideMark/>
          </w:tcPr>
          <w:p w14:paraId="300B0783" w14:textId="77777777" w:rsidR="00000000" w:rsidRDefault="00405D16">
            <w:pPr>
              <w:spacing w:after="100"/>
              <w:rPr>
                <w:rFonts w:eastAsia="Times New Roman"/>
                <w:sz w:val="20"/>
                <w:szCs w:val="20"/>
              </w:rPr>
            </w:pPr>
          </w:p>
        </w:tc>
      </w:tr>
      <w:tr w:rsidR="00000000" w14:paraId="42102FE6" w14:textId="77777777">
        <w:trPr>
          <w:divId w:val="1345863260"/>
        </w:trPr>
        <w:tc>
          <w:tcPr>
            <w:tcW w:w="0" w:type="auto"/>
            <w:gridSpan w:val="3"/>
            <w:shd w:val="clear" w:color="auto" w:fill="FFFFFF"/>
            <w:tcMar>
              <w:top w:w="30" w:type="dxa"/>
              <w:left w:w="245" w:type="dxa"/>
              <w:bottom w:w="30" w:type="dxa"/>
              <w:right w:w="20" w:type="dxa"/>
            </w:tcMar>
            <w:vAlign w:val="center"/>
            <w:hideMark/>
          </w:tcPr>
          <w:p w14:paraId="59BB2CC6" w14:textId="77777777" w:rsidR="00000000" w:rsidRDefault="00405D16">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14:paraId="7CB1A0C9"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5723EB3" w14:textId="77777777" w:rsidR="00000000" w:rsidRDefault="00405D16">
            <w:pPr>
              <w:spacing w:after="100"/>
              <w:jc w:val="right"/>
              <w:rPr>
                <w:rFonts w:eastAsia="Times New Roman"/>
              </w:rPr>
            </w:pPr>
            <w:r>
              <w:rPr>
                <w:rFonts w:eastAsia="Times New Roman"/>
                <w:b/>
                <w:bCs/>
                <w:color w:val="000000"/>
                <w:sz w:val="18"/>
                <w:szCs w:val="18"/>
              </w:rPr>
              <w:t>33,096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ADC204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CF606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3B1CE4C" w14:textId="77777777" w:rsidR="00000000" w:rsidRDefault="00405D16">
            <w:pPr>
              <w:spacing w:after="100"/>
              <w:jc w:val="right"/>
              <w:rPr>
                <w:rFonts w:eastAsia="Times New Roman"/>
              </w:rPr>
            </w:pPr>
            <w:r>
              <w:rPr>
                <w:rFonts w:eastAsia="Times New Roman"/>
                <w:b/>
                <w:bCs/>
                <w:color w:val="000000"/>
                <w:sz w:val="18"/>
                <w:szCs w:val="18"/>
              </w:rPr>
              <w:t>12.7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743F7B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83644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CABADA0" w14:textId="77777777" w:rsidR="00000000" w:rsidRDefault="00405D16">
            <w:pPr>
              <w:spacing w:after="100"/>
              <w:jc w:val="right"/>
              <w:rPr>
                <w:rFonts w:eastAsia="Times New Roman"/>
              </w:rPr>
            </w:pPr>
            <w:r>
              <w:rPr>
                <w:rFonts w:eastAsia="Times New Roman"/>
                <w:color w:val="000000"/>
                <w:sz w:val="18"/>
                <w:szCs w:val="18"/>
              </w:rPr>
              <w:t>30,681 </w:t>
            </w:r>
          </w:p>
        </w:tc>
        <w:tc>
          <w:tcPr>
            <w:tcW w:w="0" w:type="auto"/>
            <w:shd w:val="clear" w:color="auto" w:fill="FFFFFF"/>
            <w:tcMar>
              <w:top w:w="30" w:type="dxa"/>
              <w:left w:w="0" w:type="dxa"/>
              <w:bottom w:w="30" w:type="dxa"/>
              <w:right w:w="20" w:type="dxa"/>
            </w:tcMar>
            <w:vAlign w:val="center"/>
            <w:hideMark/>
          </w:tcPr>
          <w:p w14:paraId="013089D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242E0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D07B717" w14:textId="77777777" w:rsidR="00000000" w:rsidRDefault="00405D16">
            <w:pPr>
              <w:spacing w:after="100"/>
              <w:jc w:val="right"/>
              <w:rPr>
                <w:rFonts w:eastAsia="Times New Roman"/>
              </w:rPr>
            </w:pPr>
            <w:r>
              <w:rPr>
                <w:rFonts w:eastAsia="Times New Roman"/>
                <w:color w:val="000000"/>
                <w:sz w:val="18"/>
                <w:szCs w:val="18"/>
              </w:rPr>
              <w:t>12.2 </w:t>
            </w:r>
          </w:p>
        </w:tc>
        <w:tc>
          <w:tcPr>
            <w:tcW w:w="0" w:type="auto"/>
            <w:shd w:val="clear" w:color="auto" w:fill="FFFFFF"/>
            <w:tcMar>
              <w:top w:w="30" w:type="dxa"/>
              <w:left w:w="0" w:type="dxa"/>
              <w:bottom w:w="30" w:type="dxa"/>
              <w:right w:w="20" w:type="dxa"/>
            </w:tcMar>
            <w:vAlign w:val="center"/>
            <w:hideMark/>
          </w:tcPr>
          <w:p w14:paraId="7C07B0CA" w14:textId="77777777" w:rsidR="00000000" w:rsidRDefault="00405D16">
            <w:pPr>
              <w:spacing w:after="100"/>
              <w:jc w:val="right"/>
              <w:rPr>
                <w:rFonts w:eastAsia="Times New Roman"/>
              </w:rPr>
            </w:pPr>
          </w:p>
        </w:tc>
        <w:tc>
          <w:tcPr>
            <w:tcW w:w="0" w:type="auto"/>
            <w:vAlign w:val="center"/>
            <w:hideMark/>
          </w:tcPr>
          <w:p w14:paraId="4E162181" w14:textId="77777777" w:rsidR="00000000" w:rsidRDefault="00405D16">
            <w:pPr>
              <w:spacing w:after="100"/>
              <w:jc w:val="right"/>
              <w:rPr>
                <w:rFonts w:eastAsia="Times New Roman"/>
                <w:sz w:val="20"/>
                <w:szCs w:val="20"/>
              </w:rPr>
            </w:pPr>
          </w:p>
        </w:tc>
      </w:tr>
      <w:tr w:rsidR="00000000" w14:paraId="75055B7E" w14:textId="77777777">
        <w:trPr>
          <w:divId w:val="1345863260"/>
        </w:trPr>
        <w:tc>
          <w:tcPr>
            <w:tcW w:w="0" w:type="auto"/>
            <w:gridSpan w:val="3"/>
            <w:shd w:val="clear" w:color="auto" w:fill="CCEEFF"/>
            <w:tcMar>
              <w:top w:w="30" w:type="dxa"/>
              <w:left w:w="245" w:type="dxa"/>
              <w:bottom w:w="30" w:type="dxa"/>
              <w:right w:w="20" w:type="dxa"/>
            </w:tcMar>
            <w:vAlign w:val="center"/>
            <w:hideMark/>
          </w:tcPr>
          <w:p w14:paraId="020A62D3" w14:textId="77777777" w:rsidR="00000000" w:rsidRDefault="00405D16">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14:paraId="637DEB14"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0B04178" w14:textId="77777777" w:rsidR="00000000" w:rsidRDefault="00405D16">
            <w:pPr>
              <w:spacing w:after="100"/>
              <w:jc w:val="right"/>
              <w:rPr>
                <w:rFonts w:eastAsia="Times New Roman"/>
              </w:rPr>
            </w:pPr>
            <w:r>
              <w:rPr>
                <w:rFonts w:eastAsia="Times New Roman"/>
                <w:b/>
                <w:bCs/>
                <w:color w:val="000000"/>
                <w:sz w:val="18"/>
                <w:szCs w:val="18"/>
              </w:rPr>
              <w:t>46,152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4CC9C5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95B5D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26E51A7" w14:textId="77777777" w:rsidR="00000000" w:rsidRDefault="00405D16">
            <w:pPr>
              <w:spacing w:after="100"/>
              <w:jc w:val="right"/>
              <w:rPr>
                <w:rFonts w:eastAsia="Times New Roman"/>
              </w:rPr>
            </w:pPr>
            <w:r>
              <w:rPr>
                <w:rFonts w:eastAsia="Times New Roman"/>
                <w:b/>
                <w:bCs/>
                <w:color w:val="000000"/>
                <w:sz w:val="18"/>
                <w:szCs w:val="18"/>
              </w:rPr>
              <w:t>17.6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D3F24E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774BF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DAB3134" w14:textId="77777777" w:rsidR="00000000" w:rsidRDefault="00405D16">
            <w:pPr>
              <w:spacing w:after="100"/>
              <w:jc w:val="right"/>
              <w:rPr>
                <w:rFonts w:eastAsia="Times New Roman"/>
              </w:rPr>
            </w:pPr>
            <w:r>
              <w:rPr>
                <w:rFonts w:eastAsia="Times New Roman"/>
                <w:color w:val="000000"/>
                <w:sz w:val="18"/>
                <w:szCs w:val="18"/>
              </w:rPr>
              <w:t>45,099 </w:t>
            </w:r>
          </w:p>
        </w:tc>
        <w:tc>
          <w:tcPr>
            <w:tcW w:w="0" w:type="auto"/>
            <w:shd w:val="clear" w:color="auto" w:fill="CCEEFF"/>
            <w:tcMar>
              <w:top w:w="30" w:type="dxa"/>
              <w:left w:w="0" w:type="dxa"/>
              <w:bottom w:w="30" w:type="dxa"/>
              <w:right w:w="20" w:type="dxa"/>
            </w:tcMar>
            <w:vAlign w:val="center"/>
            <w:hideMark/>
          </w:tcPr>
          <w:p w14:paraId="2B8B813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E9E9F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5C246CF" w14:textId="77777777" w:rsidR="00000000" w:rsidRDefault="00405D16">
            <w:pPr>
              <w:spacing w:after="100"/>
              <w:jc w:val="right"/>
              <w:rPr>
                <w:rFonts w:eastAsia="Times New Roman"/>
              </w:rPr>
            </w:pPr>
            <w:r>
              <w:rPr>
                <w:rFonts w:eastAsia="Times New Roman"/>
                <w:color w:val="000000"/>
                <w:sz w:val="18"/>
                <w:szCs w:val="18"/>
              </w:rPr>
              <w:t>17.9 </w:t>
            </w:r>
          </w:p>
        </w:tc>
        <w:tc>
          <w:tcPr>
            <w:tcW w:w="0" w:type="auto"/>
            <w:shd w:val="clear" w:color="auto" w:fill="CCEEFF"/>
            <w:tcMar>
              <w:top w:w="30" w:type="dxa"/>
              <w:left w:w="0" w:type="dxa"/>
              <w:bottom w:w="30" w:type="dxa"/>
              <w:right w:w="20" w:type="dxa"/>
            </w:tcMar>
            <w:vAlign w:val="center"/>
            <w:hideMark/>
          </w:tcPr>
          <w:p w14:paraId="29233A02" w14:textId="77777777" w:rsidR="00000000" w:rsidRDefault="00405D16">
            <w:pPr>
              <w:spacing w:after="100"/>
              <w:jc w:val="right"/>
              <w:rPr>
                <w:rFonts w:eastAsia="Times New Roman"/>
              </w:rPr>
            </w:pPr>
          </w:p>
        </w:tc>
        <w:tc>
          <w:tcPr>
            <w:tcW w:w="0" w:type="auto"/>
            <w:vAlign w:val="center"/>
            <w:hideMark/>
          </w:tcPr>
          <w:p w14:paraId="47752B27" w14:textId="77777777" w:rsidR="00000000" w:rsidRDefault="00405D16">
            <w:pPr>
              <w:spacing w:after="100"/>
              <w:jc w:val="right"/>
              <w:rPr>
                <w:rFonts w:eastAsia="Times New Roman"/>
                <w:sz w:val="20"/>
                <w:szCs w:val="20"/>
              </w:rPr>
            </w:pPr>
          </w:p>
        </w:tc>
      </w:tr>
      <w:tr w:rsidR="00000000" w14:paraId="7D743753" w14:textId="77777777">
        <w:trPr>
          <w:divId w:val="1345863260"/>
        </w:trPr>
        <w:tc>
          <w:tcPr>
            <w:tcW w:w="0" w:type="auto"/>
            <w:gridSpan w:val="3"/>
            <w:shd w:val="clear" w:color="auto" w:fill="FFFFFF"/>
            <w:tcMar>
              <w:top w:w="30" w:type="dxa"/>
              <w:left w:w="20" w:type="dxa"/>
              <w:bottom w:w="30" w:type="dxa"/>
              <w:right w:w="20" w:type="dxa"/>
            </w:tcMar>
            <w:vAlign w:val="center"/>
            <w:hideMark/>
          </w:tcPr>
          <w:p w14:paraId="6993F94A" w14:textId="77777777" w:rsidR="00000000" w:rsidRDefault="00405D16">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14:paraId="6CCF8A49"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0F8FCC4" w14:textId="77777777" w:rsidR="00000000" w:rsidRDefault="00405D16">
            <w:pPr>
              <w:spacing w:after="100"/>
              <w:jc w:val="right"/>
              <w:rPr>
                <w:rFonts w:eastAsia="Times New Roman"/>
              </w:rPr>
            </w:pPr>
            <w:r>
              <w:rPr>
                <w:rFonts w:eastAsia="Times New Roman"/>
                <w:b/>
                <w:bCs/>
                <w:color w:val="000000"/>
                <w:sz w:val="18"/>
                <w:szCs w:val="18"/>
              </w:rPr>
              <w:t>79,248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B05DAE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AC62FB"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25E0974" w14:textId="77777777" w:rsidR="00000000" w:rsidRDefault="00405D16">
            <w:pPr>
              <w:spacing w:after="100"/>
              <w:jc w:val="right"/>
              <w:rPr>
                <w:rFonts w:eastAsia="Times New Roman"/>
              </w:rPr>
            </w:pPr>
            <w:r>
              <w:rPr>
                <w:rFonts w:eastAsia="Times New Roman"/>
                <w:b/>
                <w:bCs/>
                <w:color w:val="000000"/>
                <w:sz w:val="18"/>
                <w:szCs w:val="18"/>
              </w:rPr>
              <w:t>30.3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C9D91E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F391A1"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2269C3C" w14:textId="77777777" w:rsidR="00000000" w:rsidRDefault="00405D16">
            <w:pPr>
              <w:spacing w:after="100"/>
              <w:jc w:val="right"/>
              <w:rPr>
                <w:rFonts w:eastAsia="Times New Roman"/>
              </w:rPr>
            </w:pPr>
            <w:r>
              <w:rPr>
                <w:rFonts w:eastAsia="Times New Roman"/>
                <w:color w:val="000000"/>
                <w:sz w:val="18"/>
                <w:szCs w:val="18"/>
              </w:rPr>
              <w:t>75,780 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E44A65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ADBA29"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5CB81F9" w14:textId="77777777" w:rsidR="00000000" w:rsidRDefault="00405D16">
            <w:pPr>
              <w:spacing w:after="100"/>
              <w:jc w:val="right"/>
              <w:rPr>
                <w:rFonts w:eastAsia="Times New Roman"/>
              </w:rPr>
            </w:pPr>
            <w:r>
              <w:rPr>
                <w:rFonts w:eastAsia="Times New Roman"/>
                <w:color w:val="000000"/>
                <w:sz w:val="18"/>
                <w:szCs w:val="18"/>
              </w:rPr>
              <w:t>30.1 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B460772" w14:textId="77777777" w:rsidR="00000000" w:rsidRDefault="00405D16">
            <w:pPr>
              <w:spacing w:after="100"/>
              <w:jc w:val="right"/>
              <w:rPr>
                <w:rFonts w:eastAsia="Times New Roman"/>
              </w:rPr>
            </w:pPr>
          </w:p>
        </w:tc>
        <w:tc>
          <w:tcPr>
            <w:tcW w:w="0" w:type="auto"/>
            <w:vAlign w:val="center"/>
            <w:hideMark/>
          </w:tcPr>
          <w:p w14:paraId="28988006" w14:textId="77777777" w:rsidR="00000000" w:rsidRDefault="00405D16">
            <w:pPr>
              <w:spacing w:after="100"/>
              <w:jc w:val="right"/>
              <w:rPr>
                <w:rFonts w:eastAsia="Times New Roman"/>
                <w:sz w:val="20"/>
                <w:szCs w:val="20"/>
              </w:rPr>
            </w:pPr>
          </w:p>
        </w:tc>
      </w:tr>
      <w:tr w:rsidR="00000000" w14:paraId="73D9EA8B" w14:textId="77777777">
        <w:trPr>
          <w:divId w:val="1345863260"/>
        </w:trPr>
        <w:tc>
          <w:tcPr>
            <w:tcW w:w="0" w:type="auto"/>
            <w:gridSpan w:val="3"/>
            <w:shd w:val="clear" w:color="auto" w:fill="CCEEFF"/>
            <w:tcMar>
              <w:top w:w="30" w:type="dxa"/>
              <w:left w:w="20" w:type="dxa"/>
              <w:bottom w:w="30" w:type="dxa"/>
              <w:right w:w="20" w:type="dxa"/>
            </w:tcMar>
            <w:vAlign w:val="center"/>
            <w:hideMark/>
          </w:tcPr>
          <w:p w14:paraId="6E7B607D" w14:textId="77777777" w:rsidR="00000000" w:rsidRDefault="00405D16">
            <w:pPr>
              <w:spacing w:after="100"/>
              <w:rPr>
                <w:rFonts w:eastAsia="Times New Roman"/>
              </w:rPr>
            </w:pPr>
            <w:r>
              <w:rPr>
                <w:rFonts w:eastAsia="Times New Roman"/>
                <w:color w:val="000000"/>
                <w:sz w:val="18"/>
                <w:szCs w:val="18"/>
              </w:rPr>
              <w:t>Total loans held for investment</w:t>
            </w:r>
          </w:p>
        </w:tc>
        <w:tc>
          <w:tcPr>
            <w:tcW w:w="0" w:type="auto"/>
            <w:gridSpan w:val="3"/>
            <w:shd w:val="clear" w:color="auto" w:fill="CCEEFF"/>
            <w:tcMar>
              <w:top w:w="0" w:type="dxa"/>
              <w:left w:w="20" w:type="dxa"/>
              <w:bottom w:w="0" w:type="dxa"/>
              <w:right w:w="20" w:type="dxa"/>
            </w:tcMar>
            <w:vAlign w:val="center"/>
            <w:hideMark/>
          </w:tcPr>
          <w:p w14:paraId="0E3186A3"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D06CBFF"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8CCB2A1" w14:textId="77777777" w:rsidR="00000000" w:rsidRDefault="00405D16">
            <w:pPr>
              <w:spacing w:after="100"/>
              <w:jc w:val="right"/>
              <w:rPr>
                <w:rFonts w:eastAsia="Times New Roman"/>
              </w:rPr>
            </w:pPr>
            <w:r>
              <w:rPr>
                <w:rFonts w:eastAsia="Times New Roman"/>
                <w:b/>
                <w:bCs/>
                <w:color w:val="000000"/>
                <w:sz w:val="18"/>
                <w:szCs w:val="18"/>
              </w:rPr>
              <w:t>261,390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FED9EC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F145C1" w14:textId="77777777" w:rsidR="00000000" w:rsidRDefault="00405D1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80DFAEA" w14:textId="77777777" w:rsidR="00000000" w:rsidRDefault="00405D16">
            <w:pPr>
              <w:spacing w:after="100"/>
              <w:jc w:val="right"/>
              <w:rPr>
                <w:rFonts w:eastAsia="Times New Roman"/>
              </w:rPr>
            </w:pPr>
            <w:r>
              <w:rPr>
                <w:rFonts w:eastAsia="Times New Roman"/>
                <w:b/>
                <w:bCs/>
                <w:color w:val="000000"/>
                <w:sz w:val="18"/>
                <w:szCs w:val="18"/>
              </w:rPr>
              <w:t>100.0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B5FE23C"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87701F9" w14:textId="77777777" w:rsidR="00000000" w:rsidRDefault="00405D16">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8936FC4"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B33A8E4" w14:textId="77777777" w:rsidR="00000000" w:rsidRDefault="00405D16">
            <w:pPr>
              <w:spacing w:after="100"/>
              <w:jc w:val="right"/>
              <w:rPr>
                <w:rFonts w:eastAsia="Times New Roman"/>
              </w:rPr>
            </w:pPr>
            <w:r>
              <w:rPr>
                <w:rFonts w:eastAsia="Times New Roman"/>
                <w:color w:val="000000"/>
                <w:sz w:val="18"/>
                <w:szCs w:val="18"/>
              </w:rPr>
              <w:t>251,624 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7E301E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CBE06A" w14:textId="77777777" w:rsidR="00000000" w:rsidRDefault="00405D1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A6D2DE0" w14:textId="77777777" w:rsidR="00000000" w:rsidRDefault="00405D16">
            <w:pPr>
              <w:spacing w:after="100"/>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985F5D1" w14:textId="77777777" w:rsidR="00000000" w:rsidRDefault="00405D16">
            <w:pPr>
              <w:spacing w:after="100"/>
              <w:jc w:val="right"/>
              <w:rPr>
                <w:rFonts w:eastAsia="Times New Roman"/>
              </w:rPr>
            </w:pPr>
            <w:r>
              <w:rPr>
                <w:rFonts w:eastAsia="Times New Roman"/>
                <w:color w:val="000000"/>
                <w:sz w:val="18"/>
                <w:szCs w:val="18"/>
              </w:rPr>
              <w:t>%</w:t>
            </w:r>
          </w:p>
        </w:tc>
        <w:tc>
          <w:tcPr>
            <w:tcW w:w="0" w:type="auto"/>
            <w:vAlign w:val="center"/>
            <w:hideMark/>
          </w:tcPr>
          <w:p w14:paraId="33342E1D" w14:textId="77777777" w:rsidR="00000000" w:rsidRDefault="00405D16">
            <w:pPr>
              <w:spacing w:after="100"/>
              <w:jc w:val="right"/>
              <w:rPr>
                <w:rFonts w:eastAsia="Times New Roman"/>
              </w:rPr>
            </w:pPr>
          </w:p>
        </w:tc>
      </w:tr>
    </w:tbl>
    <w:p w14:paraId="0A07D8CD" w14:textId="77777777" w:rsidR="00000000" w:rsidRDefault="00405D16">
      <w:pPr>
        <w:divId w:val="1345863260"/>
        <w:rPr>
          <w:rFonts w:eastAsia="Times New Roman"/>
        </w:rPr>
      </w:pPr>
      <w:r>
        <w:rPr>
          <w:rFonts w:eastAsia="Times New Roman"/>
          <w:color w:val="000000"/>
          <w:sz w:val="20"/>
          <w:szCs w:val="20"/>
        </w:rPr>
        <w:t>__________</w:t>
      </w:r>
    </w:p>
    <w:p w14:paraId="6A14DF27" w14:textId="77777777" w:rsidR="00000000" w:rsidRDefault="00405D16">
      <w:pPr>
        <w:ind w:hanging="360"/>
        <w:jc w:val="both"/>
        <w:divId w:val="154147559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Paycheck Protection Program (“PPP”) loans of $538 million and $182 million in our retail and comm</w:t>
      </w:r>
      <w:r>
        <w:rPr>
          <w:rFonts w:eastAsia="Times New Roman"/>
          <w:color w:val="000000"/>
          <w:sz w:val="16"/>
          <w:szCs w:val="16"/>
        </w:rPr>
        <w:t xml:space="preserve">ercial loan portfolios, respectively, as of September 30, 2021 and $919 million and $238 million as of December 31, 2020, respectively.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77528250" w14:textId="77777777">
        <w:trPr>
          <w:divId w:val="945116359"/>
          <w:jc w:val="center"/>
        </w:trPr>
        <w:tc>
          <w:tcPr>
            <w:tcW w:w="50" w:type="pct"/>
            <w:vAlign w:val="center"/>
            <w:hideMark/>
          </w:tcPr>
          <w:p w14:paraId="3DC1BB3A" w14:textId="77777777" w:rsidR="00000000" w:rsidRDefault="00405D16">
            <w:pPr>
              <w:ind w:hanging="360"/>
              <w:jc w:val="both"/>
              <w:rPr>
                <w:rFonts w:eastAsia="Times New Roman"/>
              </w:rPr>
            </w:pPr>
          </w:p>
        </w:tc>
        <w:tc>
          <w:tcPr>
            <w:tcW w:w="1606" w:type="pct"/>
            <w:vAlign w:val="center"/>
            <w:hideMark/>
          </w:tcPr>
          <w:p w14:paraId="4C3874AA" w14:textId="77777777" w:rsidR="00000000" w:rsidRDefault="00405D16">
            <w:pPr>
              <w:spacing w:after="100"/>
              <w:rPr>
                <w:rFonts w:eastAsia="Times New Roman"/>
                <w:sz w:val="20"/>
                <w:szCs w:val="20"/>
              </w:rPr>
            </w:pPr>
          </w:p>
        </w:tc>
        <w:tc>
          <w:tcPr>
            <w:tcW w:w="5" w:type="pct"/>
            <w:vAlign w:val="center"/>
            <w:hideMark/>
          </w:tcPr>
          <w:p w14:paraId="2CE07A5F" w14:textId="77777777" w:rsidR="00000000" w:rsidRDefault="00405D16">
            <w:pPr>
              <w:spacing w:after="100"/>
              <w:rPr>
                <w:rFonts w:eastAsia="Times New Roman"/>
                <w:sz w:val="20"/>
                <w:szCs w:val="20"/>
              </w:rPr>
            </w:pPr>
          </w:p>
        </w:tc>
        <w:tc>
          <w:tcPr>
            <w:tcW w:w="50" w:type="pct"/>
            <w:vAlign w:val="center"/>
            <w:hideMark/>
          </w:tcPr>
          <w:p w14:paraId="3AC35578" w14:textId="77777777" w:rsidR="00000000" w:rsidRDefault="00405D16">
            <w:pPr>
              <w:spacing w:after="100"/>
              <w:rPr>
                <w:rFonts w:eastAsia="Times New Roman"/>
                <w:sz w:val="20"/>
                <w:szCs w:val="20"/>
              </w:rPr>
            </w:pPr>
          </w:p>
        </w:tc>
        <w:tc>
          <w:tcPr>
            <w:tcW w:w="1614" w:type="pct"/>
            <w:vAlign w:val="center"/>
            <w:hideMark/>
          </w:tcPr>
          <w:p w14:paraId="72B2B6F4" w14:textId="77777777" w:rsidR="00000000" w:rsidRDefault="00405D16">
            <w:pPr>
              <w:spacing w:after="100"/>
              <w:rPr>
                <w:rFonts w:eastAsia="Times New Roman"/>
                <w:sz w:val="20"/>
                <w:szCs w:val="20"/>
              </w:rPr>
            </w:pPr>
          </w:p>
        </w:tc>
        <w:tc>
          <w:tcPr>
            <w:tcW w:w="5" w:type="pct"/>
            <w:vAlign w:val="center"/>
            <w:hideMark/>
          </w:tcPr>
          <w:p w14:paraId="4D21B117" w14:textId="77777777" w:rsidR="00000000" w:rsidRDefault="00405D16">
            <w:pPr>
              <w:spacing w:after="100"/>
              <w:rPr>
                <w:rFonts w:eastAsia="Times New Roman"/>
                <w:sz w:val="20"/>
                <w:szCs w:val="20"/>
              </w:rPr>
            </w:pPr>
          </w:p>
        </w:tc>
        <w:tc>
          <w:tcPr>
            <w:tcW w:w="50" w:type="pct"/>
            <w:vAlign w:val="center"/>
            <w:hideMark/>
          </w:tcPr>
          <w:p w14:paraId="2093A257" w14:textId="77777777" w:rsidR="00000000" w:rsidRDefault="00405D16">
            <w:pPr>
              <w:spacing w:after="100"/>
              <w:rPr>
                <w:rFonts w:eastAsia="Times New Roman"/>
                <w:sz w:val="20"/>
                <w:szCs w:val="20"/>
              </w:rPr>
            </w:pPr>
          </w:p>
        </w:tc>
        <w:tc>
          <w:tcPr>
            <w:tcW w:w="1614" w:type="pct"/>
            <w:vAlign w:val="center"/>
            <w:hideMark/>
          </w:tcPr>
          <w:p w14:paraId="5AC7950F" w14:textId="77777777" w:rsidR="00000000" w:rsidRDefault="00405D16">
            <w:pPr>
              <w:spacing w:after="100"/>
              <w:rPr>
                <w:rFonts w:eastAsia="Times New Roman"/>
                <w:sz w:val="20"/>
                <w:szCs w:val="20"/>
              </w:rPr>
            </w:pPr>
          </w:p>
        </w:tc>
        <w:tc>
          <w:tcPr>
            <w:tcW w:w="5" w:type="pct"/>
            <w:vAlign w:val="center"/>
            <w:hideMark/>
          </w:tcPr>
          <w:p w14:paraId="35AE35CB" w14:textId="77777777" w:rsidR="00000000" w:rsidRDefault="00405D16">
            <w:pPr>
              <w:spacing w:after="100"/>
              <w:rPr>
                <w:rFonts w:eastAsia="Times New Roman"/>
                <w:sz w:val="20"/>
                <w:szCs w:val="20"/>
              </w:rPr>
            </w:pPr>
          </w:p>
        </w:tc>
      </w:tr>
      <w:tr w:rsidR="00000000" w14:paraId="3D3962F4" w14:textId="77777777">
        <w:trPr>
          <w:divId w:val="945116359"/>
          <w:trHeight w:val="300"/>
          <w:jc w:val="center"/>
        </w:trPr>
        <w:tc>
          <w:tcPr>
            <w:tcW w:w="0" w:type="auto"/>
            <w:gridSpan w:val="9"/>
            <w:tcMar>
              <w:top w:w="0" w:type="dxa"/>
              <w:left w:w="20" w:type="dxa"/>
              <w:bottom w:w="0" w:type="dxa"/>
              <w:right w:w="20" w:type="dxa"/>
            </w:tcMar>
            <w:vAlign w:val="center"/>
            <w:hideMark/>
          </w:tcPr>
          <w:p w14:paraId="335E2189" w14:textId="77777777" w:rsidR="00000000" w:rsidRDefault="00405D16">
            <w:pPr>
              <w:spacing w:after="100"/>
              <w:rPr>
                <w:rFonts w:eastAsia="Times New Roman"/>
                <w:sz w:val="20"/>
                <w:szCs w:val="20"/>
              </w:rPr>
            </w:pPr>
          </w:p>
        </w:tc>
      </w:tr>
      <w:tr w:rsidR="00000000" w14:paraId="732C1B75" w14:textId="77777777">
        <w:trPr>
          <w:divId w:val="945116359"/>
          <w:jc w:val="center"/>
        </w:trPr>
        <w:tc>
          <w:tcPr>
            <w:tcW w:w="0" w:type="auto"/>
            <w:gridSpan w:val="3"/>
            <w:tcMar>
              <w:top w:w="0" w:type="dxa"/>
              <w:left w:w="20" w:type="dxa"/>
              <w:bottom w:w="0" w:type="dxa"/>
              <w:right w:w="20" w:type="dxa"/>
            </w:tcMar>
            <w:vAlign w:val="center"/>
            <w:hideMark/>
          </w:tcPr>
          <w:p w14:paraId="5D9610D7"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110FF04" w14:textId="77777777" w:rsidR="00000000" w:rsidRDefault="00405D16">
            <w:pPr>
              <w:spacing w:after="100"/>
              <w:jc w:val="center"/>
              <w:rPr>
                <w:rFonts w:eastAsia="Times New Roman"/>
              </w:rPr>
            </w:pPr>
            <w:r>
              <w:rPr>
                <w:rFonts w:eastAsia="Times New Roman"/>
                <w:color w:val="000000"/>
                <w:sz w:val="16"/>
                <w:szCs w:val="16"/>
              </w:rPr>
              <w:t>39</w:t>
            </w:r>
          </w:p>
        </w:tc>
        <w:tc>
          <w:tcPr>
            <w:tcW w:w="0" w:type="auto"/>
            <w:gridSpan w:val="3"/>
            <w:tcMar>
              <w:top w:w="30" w:type="dxa"/>
              <w:left w:w="20" w:type="dxa"/>
              <w:bottom w:w="30" w:type="dxa"/>
              <w:right w:w="20" w:type="dxa"/>
            </w:tcMar>
            <w:vAlign w:val="bottom"/>
            <w:hideMark/>
          </w:tcPr>
          <w:p w14:paraId="64142068"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7E2643FF" w14:textId="77777777" w:rsidR="00000000" w:rsidRDefault="00405D16">
      <w:pPr>
        <w:rPr>
          <w:rFonts w:eastAsia="Times New Roman"/>
        </w:rPr>
      </w:pPr>
      <w:r>
        <w:rPr>
          <w:rFonts w:eastAsia="Times New Roman"/>
        </w:rPr>
        <w:pict w14:anchorId="48A51AE6">
          <v:rect id="_x0000_i1064" style="width:0;height:1.5pt" o:hralign="center" o:hrstd="t" o:hr="t" fillcolor="#a0a0a0" stroked="f"/>
        </w:pict>
      </w:r>
    </w:p>
    <w:p w14:paraId="1D0B8E71" w14:textId="77777777" w:rsidR="00000000" w:rsidRDefault="00405D16">
      <w:pPr>
        <w:ind w:hanging="360"/>
        <w:jc w:val="both"/>
        <w:divId w:val="1069379097"/>
        <w:rPr>
          <w:rFonts w:eastAsia="Times New Roman"/>
        </w:rPr>
      </w:pPr>
      <w:hyperlink w:anchor="idd54a04a485440b4ab4e56094c14d612_13" w:history="1">
        <w:r>
          <w:rPr>
            <w:rStyle w:val="a3"/>
            <w:rFonts w:eastAsia="Times New Roman"/>
            <w:sz w:val="16"/>
            <w:szCs w:val="16"/>
          </w:rPr>
          <w:t>Table of Contents</w:t>
        </w:r>
      </w:hyperlink>
    </w:p>
    <w:p w14:paraId="5F6441D1" w14:textId="77777777" w:rsidR="00000000" w:rsidRDefault="00405D16">
      <w:pPr>
        <w:divId w:val="1695690273"/>
        <w:rPr>
          <w:rFonts w:eastAsia="Times New Roman"/>
        </w:rPr>
      </w:pPr>
      <w:r>
        <w:rPr>
          <w:rFonts w:eastAsia="Times New Roman"/>
          <w:b/>
          <w:bCs/>
          <w:color w:val="000000"/>
          <w:sz w:val="20"/>
          <w:szCs w:val="20"/>
        </w:rPr>
        <w:t>Geographic Composition</w:t>
      </w:r>
    </w:p>
    <w:p w14:paraId="243DD4AE" w14:textId="77777777" w:rsidR="00000000" w:rsidRDefault="00405D16">
      <w:pPr>
        <w:jc w:val="both"/>
        <w:divId w:val="1003052017"/>
        <w:rPr>
          <w:rFonts w:eastAsia="Times New Roman"/>
        </w:rPr>
      </w:pPr>
      <w:r>
        <w:rPr>
          <w:rFonts w:eastAsia="Times New Roman"/>
          <w:color w:val="000000"/>
          <w:sz w:val="20"/>
          <w:szCs w:val="20"/>
        </w:rPr>
        <w:t>We market our credit card products throughout the United States, Canada and the United Kingdom. Our credit card loan por</w:t>
      </w:r>
      <w:r>
        <w:rPr>
          <w:rFonts w:eastAsia="Times New Roman"/>
          <w:color w:val="000000"/>
          <w:sz w:val="20"/>
          <w:szCs w:val="20"/>
        </w:rPr>
        <w:t>tfolio is geographically diversified due to our product and marketing approach. The table below presents the geographic profile of our credit card loan portfolio as of September 30, 2021 and December 31, 2020.</w:t>
      </w:r>
    </w:p>
    <w:p w14:paraId="7314E44F" w14:textId="77777777" w:rsidR="00000000" w:rsidRDefault="00405D16">
      <w:pPr>
        <w:divId w:val="1119178625"/>
        <w:rPr>
          <w:rFonts w:eastAsia="Times New Roman"/>
        </w:rPr>
      </w:pPr>
      <w:r>
        <w:rPr>
          <w:rFonts w:eastAsia="Times New Roman"/>
          <w:b/>
          <w:bCs/>
          <w:color w:val="000000"/>
          <w:sz w:val="18"/>
          <w:szCs w:val="18"/>
        </w:rPr>
        <w:t xml:space="preserve">Table 18: Credit Card Portfolio by Geographic </w:t>
      </w:r>
      <w:r>
        <w:rPr>
          <w:rFonts w:eastAsia="Times New Roman"/>
          <w:b/>
          <w:bCs/>
          <w:color w:val="000000"/>
          <w:sz w:val="18"/>
          <w:szCs w:val="18"/>
        </w:rPr>
        <w:t xml:space="preserve">Region </w:t>
      </w:r>
    </w:p>
    <w:tbl>
      <w:tblPr>
        <w:tblW w:w="4992" w:type="pct"/>
        <w:tblCellMar>
          <w:top w:w="15" w:type="dxa"/>
          <w:left w:w="15" w:type="dxa"/>
          <w:bottom w:w="15" w:type="dxa"/>
          <w:right w:w="15" w:type="dxa"/>
        </w:tblCellMar>
        <w:tblLook w:val="04A0" w:firstRow="1" w:lastRow="0" w:firstColumn="1" w:lastColumn="0" w:noHBand="0" w:noVBand="1"/>
      </w:tblPr>
      <w:tblGrid>
        <w:gridCol w:w="40"/>
        <w:gridCol w:w="4778"/>
        <w:gridCol w:w="39"/>
        <w:gridCol w:w="36"/>
        <w:gridCol w:w="36"/>
        <w:gridCol w:w="36"/>
        <w:gridCol w:w="110"/>
        <w:gridCol w:w="630"/>
        <w:gridCol w:w="36"/>
        <w:gridCol w:w="36"/>
        <w:gridCol w:w="36"/>
        <w:gridCol w:w="36"/>
        <w:gridCol w:w="51"/>
        <w:gridCol w:w="489"/>
        <w:gridCol w:w="200"/>
        <w:gridCol w:w="36"/>
        <w:gridCol w:w="36"/>
        <w:gridCol w:w="36"/>
        <w:gridCol w:w="110"/>
        <w:gridCol w:w="630"/>
        <w:gridCol w:w="36"/>
        <w:gridCol w:w="36"/>
        <w:gridCol w:w="36"/>
        <w:gridCol w:w="36"/>
        <w:gridCol w:w="51"/>
        <w:gridCol w:w="491"/>
        <w:gridCol w:w="170"/>
      </w:tblGrid>
      <w:tr w:rsidR="00000000" w14:paraId="3311BB81" w14:textId="77777777">
        <w:trPr>
          <w:divId w:val="339429874"/>
        </w:trPr>
        <w:tc>
          <w:tcPr>
            <w:tcW w:w="50" w:type="pct"/>
            <w:vAlign w:val="center"/>
            <w:hideMark/>
          </w:tcPr>
          <w:p w14:paraId="0387A762" w14:textId="77777777" w:rsidR="00000000" w:rsidRDefault="00405D16">
            <w:pPr>
              <w:rPr>
                <w:rFonts w:eastAsia="Times New Roman"/>
              </w:rPr>
            </w:pPr>
          </w:p>
        </w:tc>
        <w:tc>
          <w:tcPr>
            <w:tcW w:w="2924" w:type="pct"/>
            <w:vAlign w:val="center"/>
            <w:hideMark/>
          </w:tcPr>
          <w:p w14:paraId="062D17AC" w14:textId="77777777" w:rsidR="00000000" w:rsidRDefault="00405D16">
            <w:pPr>
              <w:spacing w:after="100"/>
              <w:rPr>
                <w:rFonts w:eastAsia="Times New Roman"/>
                <w:sz w:val="20"/>
                <w:szCs w:val="20"/>
              </w:rPr>
            </w:pPr>
          </w:p>
        </w:tc>
        <w:tc>
          <w:tcPr>
            <w:tcW w:w="5" w:type="pct"/>
            <w:vAlign w:val="center"/>
            <w:hideMark/>
          </w:tcPr>
          <w:p w14:paraId="0AF1D663" w14:textId="77777777" w:rsidR="00000000" w:rsidRDefault="00405D16">
            <w:pPr>
              <w:spacing w:after="100"/>
              <w:rPr>
                <w:rFonts w:eastAsia="Times New Roman"/>
                <w:sz w:val="20"/>
                <w:szCs w:val="20"/>
              </w:rPr>
            </w:pPr>
          </w:p>
        </w:tc>
        <w:tc>
          <w:tcPr>
            <w:tcW w:w="5" w:type="pct"/>
            <w:vAlign w:val="center"/>
            <w:hideMark/>
          </w:tcPr>
          <w:p w14:paraId="7ABA5094" w14:textId="77777777" w:rsidR="00000000" w:rsidRDefault="00405D16">
            <w:pPr>
              <w:spacing w:after="100"/>
              <w:rPr>
                <w:rFonts w:eastAsia="Times New Roman"/>
                <w:sz w:val="20"/>
                <w:szCs w:val="20"/>
              </w:rPr>
            </w:pPr>
          </w:p>
        </w:tc>
        <w:tc>
          <w:tcPr>
            <w:tcW w:w="26" w:type="pct"/>
            <w:vAlign w:val="center"/>
            <w:hideMark/>
          </w:tcPr>
          <w:p w14:paraId="58B23BF2" w14:textId="77777777" w:rsidR="00000000" w:rsidRDefault="00405D16">
            <w:pPr>
              <w:spacing w:after="100"/>
              <w:rPr>
                <w:rFonts w:eastAsia="Times New Roman"/>
                <w:sz w:val="20"/>
                <w:szCs w:val="20"/>
              </w:rPr>
            </w:pPr>
          </w:p>
        </w:tc>
        <w:tc>
          <w:tcPr>
            <w:tcW w:w="5" w:type="pct"/>
            <w:vAlign w:val="center"/>
            <w:hideMark/>
          </w:tcPr>
          <w:p w14:paraId="48B28842" w14:textId="77777777" w:rsidR="00000000" w:rsidRDefault="00405D16">
            <w:pPr>
              <w:spacing w:after="100"/>
              <w:rPr>
                <w:rFonts w:eastAsia="Times New Roman"/>
                <w:sz w:val="20"/>
                <w:szCs w:val="20"/>
              </w:rPr>
            </w:pPr>
          </w:p>
        </w:tc>
        <w:tc>
          <w:tcPr>
            <w:tcW w:w="50" w:type="pct"/>
            <w:vAlign w:val="center"/>
            <w:hideMark/>
          </w:tcPr>
          <w:p w14:paraId="0422218C" w14:textId="77777777" w:rsidR="00000000" w:rsidRDefault="00405D16">
            <w:pPr>
              <w:spacing w:after="100"/>
              <w:rPr>
                <w:rFonts w:eastAsia="Times New Roman"/>
                <w:sz w:val="20"/>
                <w:szCs w:val="20"/>
              </w:rPr>
            </w:pPr>
          </w:p>
        </w:tc>
        <w:tc>
          <w:tcPr>
            <w:tcW w:w="413" w:type="pct"/>
            <w:vAlign w:val="center"/>
            <w:hideMark/>
          </w:tcPr>
          <w:p w14:paraId="2C6DBBF9" w14:textId="77777777" w:rsidR="00000000" w:rsidRDefault="00405D16">
            <w:pPr>
              <w:spacing w:after="100"/>
              <w:rPr>
                <w:rFonts w:eastAsia="Times New Roman"/>
                <w:sz w:val="20"/>
                <w:szCs w:val="20"/>
              </w:rPr>
            </w:pPr>
          </w:p>
        </w:tc>
        <w:tc>
          <w:tcPr>
            <w:tcW w:w="5" w:type="pct"/>
            <w:vAlign w:val="center"/>
            <w:hideMark/>
          </w:tcPr>
          <w:p w14:paraId="08D0F735" w14:textId="77777777" w:rsidR="00000000" w:rsidRDefault="00405D16">
            <w:pPr>
              <w:spacing w:after="100"/>
              <w:rPr>
                <w:rFonts w:eastAsia="Times New Roman"/>
                <w:sz w:val="20"/>
                <w:szCs w:val="20"/>
              </w:rPr>
            </w:pPr>
          </w:p>
        </w:tc>
        <w:tc>
          <w:tcPr>
            <w:tcW w:w="5" w:type="pct"/>
            <w:vAlign w:val="center"/>
            <w:hideMark/>
          </w:tcPr>
          <w:p w14:paraId="53A86520" w14:textId="77777777" w:rsidR="00000000" w:rsidRDefault="00405D16">
            <w:pPr>
              <w:spacing w:after="100"/>
              <w:rPr>
                <w:rFonts w:eastAsia="Times New Roman"/>
                <w:sz w:val="20"/>
                <w:szCs w:val="20"/>
              </w:rPr>
            </w:pPr>
          </w:p>
        </w:tc>
        <w:tc>
          <w:tcPr>
            <w:tcW w:w="26" w:type="pct"/>
            <w:vAlign w:val="center"/>
            <w:hideMark/>
          </w:tcPr>
          <w:p w14:paraId="7E3C514A" w14:textId="77777777" w:rsidR="00000000" w:rsidRDefault="00405D16">
            <w:pPr>
              <w:spacing w:after="100"/>
              <w:rPr>
                <w:rFonts w:eastAsia="Times New Roman"/>
                <w:sz w:val="20"/>
                <w:szCs w:val="20"/>
              </w:rPr>
            </w:pPr>
          </w:p>
        </w:tc>
        <w:tc>
          <w:tcPr>
            <w:tcW w:w="5" w:type="pct"/>
            <w:vAlign w:val="center"/>
            <w:hideMark/>
          </w:tcPr>
          <w:p w14:paraId="6B078DD3" w14:textId="77777777" w:rsidR="00000000" w:rsidRDefault="00405D16">
            <w:pPr>
              <w:spacing w:after="100"/>
              <w:rPr>
                <w:rFonts w:eastAsia="Times New Roman"/>
                <w:sz w:val="20"/>
                <w:szCs w:val="20"/>
              </w:rPr>
            </w:pPr>
          </w:p>
        </w:tc>
        <w:tc>
          <w:tcPr>
            <w:tcW w:w="50" w:type="pct"/>
            <w:vAlign w:val="center"/>
            <w:hideMark/>
          </w:tcPr>
          <w:p w14:paraId="1BD8C0EE" w14:textId="77777777" w:rsidR="00000000" w:rsidRDefault="00405D16">
            <w:pPr>
              <w:spacing w:after="100"/>
              <w:rPr>
                <w:rFonts w:eastAsia="Times New Roman"/>
                <w:sz w:val="20"/>
                <w:szCs w:val="20"/>
              </w:rPr>
            </w:pPr>
          </w:p>
        </w:tc>
        <w:tc>
          <w:tcPr>
            <w:tcW w:w="413" w:type="pct"/>
            <w:vAlign w:val="center"/>
            <w:hideMark/>
          </w:tcPr>
          <w:p w14:paraId="656E25E1" w14:textId="77777777" w:rsidR="00000000" w:rsidRDefault="00405D16">
            <w:pPr>
              <w:spacing w:after="100"/>
              <w:rPr>
                <w:rFonts w:eastAsia="Times New Roman"/>
                <w:sz w:val="20"/>
                <w:szCs w:val="20"/>
              </w:rPr>
            </w:pPr>
          </w:p>
        </w:tc>
        <w:tc>
          <w:tcPr>
            <w:tcW w:w="5" w:type="pct"/>
            <w:vAlign w:val="center"/>
            <w:hideMark/>
          </w:tcPr>
          <w:p w14:paraId="4DB00426" w14:textId="77777777" w:rsidR="00000000" w:rsidRDefault="00405D16">
            <w:pPr>
              <w:spacing w:after="100"/>
              <w:rPr>
                <w:rFonts w:eastAsia="Times New Roman"/>
                <w:sz w:val="20"/>
                <w:szCs w:val="20"/>
              </w:rPr>
            </w:pPr>
          </w:p>
        </w:tc>
        <w:tc>
          <w:tcPr>
            <w:tcW w:w="5" w:type="pct"/>
            <w:vAlign w:val="center"/>
            <w:hideMark/>
          </w:tcPr>
          <w:p w14:paraId="749C16B8" w14:textId="77777777" w:rsidR="00000000" w:rsidRDefault="00405D16">
            <w:pPr>
              <w:spacing w:after="100"/>
              <w:rPr>
                <w:rFonts w:eastAsia="Times New Roman"/>
                <w:sz w:val="20"/>
                <w:szCs w:val="20"/>
              </w:rPr>
            </w:pPr>
          </w:p>
        </w:tc>
        <w:tc>
          <w:tcPr>
            <w:tcW w:w="26" w:type="pct"/>
            <w:vAlign w:val="center"/>
            <w:hideMark/>
          </w:tcPr>
          <w:p w14:paraId="232086C8" w14:textId="77777777" w:rsidR="00000000" w:rsidRDefault="00405D16">
            <w:pPr>
              <w:spacing w:after="100"/>
              <w:rPr>
                <w:rFonts w:eastAsia="Times New Roman"/>
                <w:sz w:val="20"/>
                <w:szCs w:val="20"/>
              </w:rPr>
            </w:pPr>
          </w:p>
        </w:tc>
        <w:tc>
          <w:tcPr>
            <w:tcW w:w="5" w:type="pct"/>
            <w:vAlign w:val="center"/>
            <w:hideMark/>
          </w:tcPr>
          <w:p w14:paraId="31DF7CE6" w14:textId="77777777" w:rsidR="00000000" w:rsidRDefault="00405D16">
            <w:pPr>
              <w:spacing w:after="100"/>
              <w:rPr>
                <w:rFonts w:eastAsia="Times New Roman"/>
                <w:sz w:val="20"/>
                <w:szCs w:val="20"/>
              </w:rPr>
            </w:pPr>
          </w:p>
        </w:tc>
        <w:tc>
          <w:tcPr>
            <w:tcW w:w="50" w:type="pct"/>
            <w:vAlign w:val="center"/>
            <w:hideMark/>
          </w:tcPr>
          <w:p w14:paraId="65C76004" w14:textId="77777777" w:rsidR="00000000" w:rsidRDefault="00405D16">
            <w:pPr>
              <w:spacing w:after="100"/>
              <w:rPr>
                <w:rFonts w:eastAsia="Times New Roman"/>
                <w:sz w:val="20"/>
                <w:szCs w:val="20"/>
              </w:rPr>
            </w:pPr>
          </w:p>
        </w:tc>
        <w:tc>
          <w:tcPr>
            <w:tcW w:w="413" w:type="pct"/>
            <w:vAlign w:val="center"/>
            <w:hideMark/>
          </w:tcPr>
          <w:p w14:paraId="2CBB58D7" w14:textId="77777777" w:rsidR="00000000" w:rsidRDefault="00405D16">
            <w:pPr>
              <w:spacing w:after="100"/>
              <w:rPr>
                <w:rFonts w:eastAsia="Times New Roman"/>
                <w:sz w:val="20"/>
                <w:szCs w:val="20"/>
              </w:rPr>
            </w:pPr>
          </w:p>
        </w:tc>
        <w:tc>
          <w:tcPr>
            <w:tcW w:w="5" w:type="pct"/>
            <w:vAlign w:val="center"/>
            <w:hideMark/>
          </w:tcPr>
          <w:p w14:paraId="2A4BEC59" w14:textId="77777777" w:rsidR="00000000" w:rsidRDefault="00405D16">
            <w:pPr>
              <w:spacing w:after="100"/>
              <w:rPr>
                <w:rFonts w:eastAsia="Times New Roman"/>
                <w:sz w:val="20"/>
                <w:szCs w:val="20"/>
              </w:rPr>
            </w:pPr>
          </w:p>
        </w:tc>
        <w:tc>
          <w:tcPr>
            <w:tcW w:w="5" w:type="pct"/>
            <w:vAlign w:val="center"/>
            <w:hideMark/>
          </w:tcPr>
          <w:p w14:paraId="3DB6EDAC" w14:textId="77777777" w:rsidR="00000000" w:rsidRDefault="00405D16">
            <w:pPr>
              <w:spacing w:after="100"/>
              <w:rPr>
                <w:rFonts w:eastAsia="Times New Roman"/>
                <w:sz w:val="20"/>
                <w:szCs w:val="20"/>
              </w:rPr>
            </w:pPr>
          </w:p>
        </w:tc>
        <w:tc>
          <w:tcPr>
            <w:tcW w:w="26" w:type="pct"/>
            <w:vAlign w:val="center"/>
            <w:hideMark/>
          </w:tcPr>
          <w:p w14:paraId="2DC8A312" w14:textId="77777777" w:rsidR="00000000" w:rsidRDefault="00405D16">
            <w:pPr>
              <w:spacing w:after="100"/>
              <w:rPr>
                <w:rFonts w:eastAsia="Times New Roman"/>
                <w:sz w:val="20"/>
                <w:szCs w:val="20"/>
              </w:rPr>
            </w:pPr>
          </w:p>
        </w:tc>
        <w:tc>
          <w:tcPr>
            <w:tcW w:w="5" w:type="pct"/>
            <w:vAlign w:val="center"/>
            <w:hideMark/>
          </w:tcPr>
          <w:p w14:paraId="0524BD3D" w14:textId="77777777" w:rsidR="00000000" w:rsidRDefault="00405D16">
            <w:pPr>
              <w:spacing w:after="100"/>
              <w:rPr>
                <w:rFonts w:eastAsia="Times New Roman"/>
                <w:sz w:val="20"/>
                <w:szCs w:val="20"/>
              </w:rPr>
            </w:pPr>
          </w:p>
        </w:tc>
        <w:tc>
          <w:tcPr>
            <w:tcW w:w="50" w:type="pct"/>
            <w:vAlign w:val="center"/>
            <w:hideMark/>
          </w:tcPr>
          <w:p w14:paraId="6D7C7C83" w14:textId="77777777" w:rsidR="00000000" w:rsidRDefault="00405D16">
            <w:pPr>
              <w:spacing w:after="100"/>
              <w:rPr>
                <w:rFonts w:eastAsia="Times New Roman"/>
                <w:sz w:val="20"/>
                <w:szCs w:val="20"/>
              </w:rPr>
            </w:pPr>
          </w:p>
        </w:tc>
        <w:tc>
          <w:tcPr>
            <w:tcW w:w="413" w:type="pct"/>
            <w:vAlign w:val="center"/>
            <w:hideMark/>
          </w:tcPr>
          <w:p w14:paraId="5BC1A600" w14:textId="77777777" w:rsidR="00000000" w:rsidRDefault="00405D16">
            <w:pPr>
              <w:spacing w:after="100"/>
              <w:rPr>
                <w:rFonts w:eastAsia="Times New Roman"/>
                <w:sz w:val="20"/>
                <w:szCs w:val="20"/>
              </w:rPr>
            </w:pPr>
          </w:p>
        </w:tc>
        <w:tc>
          <w:tcPr>
            <w:tcW w:w="5" w:type="pct"/>
            <w:vAlign w:val="center"/>
            <w:hideMark/>
          </w:tcPr>
          <w:p w14:paraId="2F0A23F2" w14:textId="77777777" w:rsidR="00000000" w:rsidRDefault="00405D16">
            <w:pPr>
              <w:spacing w:after="100"/>
              <w:rPr>
                <w:rFonts w:eastAsia="Times New Roman"/>
                <w:sz w:val="20"/>
                <w:szCs w:val="20"/>
              </w:rPr>
            </w:pPr>
          </w:p>
        </w:tc>
      </w:tr>
      <w:tr w:rsidR="00000000" w14:paraId="61A814EE" w14:textId="77777777">
        <w:trPr>
          <w:divId w:val="339429874"/>
        </w:trPr>
        <w:tc>
          <w:tcPr>
            <w:tcW w:w="0" w:type="auto"/>
            <w:gridSpan w:val="3"/>
            <w:tcMar>
              <w:top w:w="0" w:type="dxa"/>
              <w:left w:w="20" w:type="dxa"/>
              <w:bottom w:w="0" w:type="dxa"/>
              <w:right w:w="20" w:type="dxa"/>
            </w:tcMar>
            <w:vAlign w:val="center"/>
            <w:hideMark/>
          </w:tcPr>
          <w:p w14:paraId="4A530D5E"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F34B041" w14:textId="77777777" w:rsidR="00000000" w:rsidRDefault="00405D1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35A9709" w14:textId="77777777" w:rsidR="00000000" w:rsidRDefault="00405D16">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14:paraId="556123FD" w14:textId="77777777" w:rsidR="00000000" w:rsidRDefault="00405D1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AAE7416" w14:textId="77777777" w:rsidR="00000000" w:rsidRDefault="00405D16">
            <w:pPr>
              <w:spacing w:after="100"/>
              <w:jc w:val="center"/>
              <w:rPr>
                <w:rFonts w:eastAsia="Times New Roman"/>
              </w:rPr>
            </w:pPr>
            <w:r>
              <w:rPr>
                <w:rFonts w:eastAsia="Times New Roman"/>
                <w:b/>
                <w:bCs/>
                <w:color w:val="000000"/>
                <w:sz w:val="16"/>
                <w:szCs w:val="16"/>
              </w:rPr>
              <w:t>December 31, 2020</w:t>
            </w:r>
          </w:p>
        </w:tc>
      </w:tr>
      <w:tr w:rsidR="00000000" w14:paraId="6F018EC5" w14:textId="77777777">
        <w:trPr>
          <w:divId w:val="339429874"/>
        </w:trPr>
        <w:tc>
          <w:tcPr>
            <w:tcW w:w="0" w:type="auto"/>
            <w:gridSpan w:val="3"/>
            <w:tcBorders>
              <w:bottom w:val="single" w:sz="8" w:space="0" w:color="000000"/>
            </w:tcBorders>
            <w:tcMar>
              <w:top w:w="30" w:type="dxa"/>
              <w:left w:w="20" w:type="dxa"/>
              <w:bottom w:w="30" w:type="dxa"/>
              <w:right w:w="20" w:type="dxa"/>
            </w:tcMar>
            <w:vAlign w:val="bottom"/>
            <w:hideMark/>
          </w:tcPr>
          <w:p w14:paraId="0837DD5C"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6233BF4D" w14:textId="77777777" w:rsidR="00000000" w:rsidRDefault="00405D16">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63EE59B" w14:textId="77777777" w:rsidR="00000000" w:rsidRDefault="00405D16">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14:paraId="65FB5614" w14:textId="77777777" w:rsidR="00000000" w:rsidRDefault="00405D1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6223752" w14:textId="77777777" w:rsidR="00000000" w:rsidRDefault="00405D16">
            <w:pPr>
              <w:spacing w:after="100"/>
              <w:jc w:val="center"/>
              <w:rPr>
                <w:rFonts w:eastAsia="Times New Roman"/>
              </w:rPr>
            </w:pPr>
            <w:r>
              <w:rPr>
                <w:rFonts w:eastAsia="Times New Roman"/>
                <w:b/>
                <w:bCs/>
                <w:color w:val="000000"/>
                <w:sz w:val="16"/>
                <w:szCs w:val="16"/>
              </w:rPr>
              <w:t>% of Total</w:t>
            </w:r>
          </w:p>
        </w:tc>
        <w:tc>
          <w:tcPr>
            <w:tcW w:w="0" w:type="auto"/>
            <w:gridSpan w:val="3"/>
            <w:tcMar>
              <w:top w:w="0" w:type="dxa"/>
              <w:left w:w="20" w:type="dxa"/>
              <w:bottom w:w="0" w:type="dxa"/>
              <w:right w:w="20" w:type="dxa"/>
            </w:tcMar>
            <w:vAlign w:val="center"/>
            <w:hideMark/>
          </w:tcPr>
          <w:p w14:paraId="19B140DF" w14:textId="77777777" w:rsidR="00000000" w:rsidRDefault="00405D1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0127D0F" w14:textId="77777777" w:rsidR="00000000" w:rsidRDefault="00405D16">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14:paraId="20547E52" w14:textId="77777777" w:rsidR="00000000" w:rsidRDefault="00405D1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47EC968" w14:textId="77777777" w:rsidR="00000000" w:rsidRDefault="00405D16">
            <w:pPr>
              <w:spacing w:after="100"/>
              <w:jc w:val="center"/>
              <w:rPr>
                <w:rFonts w:eastAsia="Times New Roman"/>
              </w:rPr>
            </w:pPr>
            <w:r>
              <w:rPr>
                <w:rFonts w:eastAsia="Times New Roman"/>
                <w:b/>
                <w:bCs/>
                <w:color w:val="000000"/>
                <w:sz w:val="16"/>
                <w:szCs w:val="16"/>
              </w:rPr>
              <w:t>% of Total</w:t>
            </w:r>
          </w:p>
        </w:tc>
      </w:tr>
      <w:tr w:rsidR="00000000" w14:paraId="36B449FE" w14:textId="77777777">
        <w:trPr>
          <w:divId w:val="33942987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9CEFC4D" w14:textId="77777777" w:rsidR="00000000" w:rsidRDefault="00405D16">
            <w:pPr>
              <w:spacing w:after="100"/>
              <w:rPr>
                <w:rFonts w:eastAsia="Times New Roman"/>
              </w:rPr>
            </w:pPr>
            <w:r>
              <w:rPr>
                <w:rFonts w:eastAsia="Times New Roman"/>
                <w:b/>
                <w:bCs/>
                <w:color w:val="000000"/>
                <w:sz w:val="18"/>
                <w:szCs w:val="18"/>
              </w:rPr>
              <w:t>Domestic credit card:</w:t>
            </w:r>
          </w:p>
        </w:tc>
        <w:tc>
          <w:tcPr>
            <w:tcW w:w="0" w:type="auto"/>
            <w:gridSpan w:val="3"/>
            <w:shd w:val="clear" w:color="auto" w:fill="CCEEFF"/>
            <w:tcMar>
              <w:top w:w="0" w:type="dxa"/>
              <w:left w:w="20" w:type="dxa"/>
              <w:bottom w:w="0" w:type="dxa"/>
              <w:right w:w="20" w:type="dxa"/>
            </w:tcMar>
            <w:vAlign w:val="center"/>
            <w:hideMark/>
          </w:tcPr>
          <w:p w14:paraId="04B1DCA2"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669F15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5C832E"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D2136C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3E690C"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B50D08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5C4C04"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DD1D27" w14:textId="77777777" w:rsidR="00000000" w:rsidRDefault="00405D16">
            <w:pPr>
              <w:spacing w:after="100"/>
              <w:rPr>
                <w:rFonts w:eastAsia="Times New Roman"/>
                <w:sz w:val="20"/>
                <w:szCs w:val="20"/>
              </w:rPr>
            </w:pPr>
          </w:p>
        </w:tc>
      </w:tr>
      <w:tr w:rsidR="00000000" w14:paraId="090CA681" w14:textId="77777777">
        <w:trPr>
          <w:divId w:val="339429874"/>
        </w:trPr>
        <w:tc>
          <w:tcPr>
            <w:tcW w:w="0" w:type="auto"/>
            <w:gridSpan w:val="3"/>
            <w:shd w:val="clear" w:color="auto" w:fill="FFFFFF"/>
            <w:tcMar>
              <w:top w:w="30" w:type="dxa"/>
              <w:left w:w="245" w:type="dxa"/>
              <w:bottom w:w="30" w:type="dxa"/>
              <w:right w:w="20" w:type="dxa"/>
            </w:tcMar>
            <w:vAlign w:val="center"/>
            <w:hideMark/>
          </w:tcPr>
          <w:p w14:paraId="3D877389" w14:textId="77777777" w:rsidR="00000000" w:rsidRDefault="00405D16">
            <w:pPr>
              <w:spacing w:after="100"/>
              <w:rPr>
                <w:rFonts w:eastAsia="Times New Roman"/>
              </w:rPr>
            </w:pPr>
            <w:r>
              <w:rPr>
                <w:rFonts w:eastAsia="Times New Roman"/>
                <w:color w:val="000000"/>
                <w:sz w:val="18"/>
                <w:szCs w:val="18"/>
              </w:rPr>
              <w:t>California</w:t>
            </w:r>
          </w:p>
        </w:tc>
        <w:tc>
          <w:tcPr>
            <w:tcW w:w="0" w:type="auto"/>
            <w:gridSpan w:val="3"/>
            <w:shd w:val="clear" w:color="auto" w:fill="FFFFFF"/>
            <w:tcMar>
              <w:top w:w="0" w:type="dxa"/>
              <w:left w:w="20" w:type="dxa"/>
              <w:bottom w:w="0" w:type="dxa"/>
              <w:right w:w="20" w:type="dxa"/>
            </w:tcMar>
            <w:vAlign w:val="center"/>
            <w:hideMark/>
          </w:tcPr>
          <w:p w14:paraId="10681594"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04109B32"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0C1E8B22" w14:textId="77777777" w:rsidR="00000000" w:rsidRDefault="00405D16">
            <w:pPr>
              <w:spacing w:after="100"/>
              <w:jc w:val="right"/>
              <w:rPr>
                <w:rFonts w:eastAsia="Times New Roman"/>
              </w:rPr>
            </w:pPr>
            <w:r>
              <w:rPr>
                <w:rFonts w:eastAsia="Times New Roman"/>
                <w:b/>
                <w:bCs/>
                <w:color w:val="000000"/>
                <w:sz w:val="18"/>
                <w:szCs w:val="18"/>
              </w:rPr>
              <w:t>10,066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ACC532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9E8A5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C2DBB30" w14:textId="77777777" w:rsidR="00000000" w:rsidRDefault="00405D16">
            <w:pPr>
              <w:spacing w:after="100"/>
              <w:jc w:val="right"/>
              <w:rPr>
                <w:rFonts w:eastAsia="Times New Roman"/>
              </w:rPr>
            </w:pPr>
            <w:r>
              <w:rPr>
                <w:rFonts w:eastAsia="Times New Roman"/>
                <w:b/>
                <w:bCs/>
                <w:color w:val="000000"/>
                <w:sz w:val="18"/>
                <w:szCs w:val="18"/>
              </w:rPr>
              <w:t>9.6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1731840"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77613D0" w14:textId="77777777" w:rsidR="00000000" w:rsidRDefault="00405D16">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77E2CDC1"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52FC51FC" w14:textId="77777777" w:rsidR="00000000" w:rsidRDefault="00405D16">
            <w:pPr>
              <w:spacing w:after="100"/>
              <w:jc w:val="right"/>
              <w:rPr>
                <w:rFonts w:eastAsia="Times New Roman"/>
              </w:rPr>
            </w:pPr>
            <w:r>
              <w:rPr>
                <w:rFonts w:eastAsia="Times New Roman"/>
                <w:color w:val="000000"/>
                <w:sz w:val="18"/>
                <w:szCs w:val="18"/>
              </w:rPr>
              <w:t>9,943 </w:t>
            </w:r>
          </w:p>
        </w:tc>
        <w:tc>
          <w:tcPr>
            <w:tcW w:w="0" w:type="auto"/>
            <w:shd w:val="clear" w:color="auto" w:fill="FFFFFF"/>
            <w:tcMar>
              <w:top w:w="30" w:type="dxa"/>
              <w:left w:w="0" w:type="dxa"/>
              <w:bottom w:w="30" w:type="dxa"/>
              <w:right w:w="20" w:type="dxa"/>
            </w:tcMar>
            <w:vAlign w:val="center"/>
            <w:hideMark/>
          </w:tcPr>
          <w:p w14:paraId="34E2078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480E8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D6313C3" w14:textId="77777777" w:rsidR="00000000" w:rsidRDefault="00405D16">
            <w:pPr>
              <w:spacing w:after="100"/>
              <w:jc w:val="right"/>
              <w:rPr>
                <w:rFonts w:eastAsia="Times New Roman"/>
              </w:rPr>
            </w:pPr>
            <w:r>
              <w:rPr>
                <w:rFonts w:eastAsia="Times New Roman"/>
                <w:color w:val="000000"/>
                <w:sz w:val="18"/>
                <w:szCs w:val="18"/>
              </w:rPr>
              <w:t>9.3 </w:t>
            </w:r>
          </w:p>
        </w:tc>
        <w:tc>
          <w:tcPr>
            <w:tcW w:w="0" w:type="auto"/>
            <w:shd w:val="clear" w:color="auto" w:fill="FFFFFF"/>
            <w:tcMar>
              <w:top w:w="30" w:type="dxa"/>
              <w:left w:w="0" w:type="dxa"/>
              <w:bottom w:w="30" w:type="dxa"/>
              <w:right w:w="20" w:type="dxa"/>
            </w:tcMar>
            <w:vAlign w:val="center"/>
            <w:hideMark/>
          </w:tcPr>
          <w:p w14:paraId="2CF9DFD5" w14:textId="77777777" w:rsidR="00000000" w:rsidRDefault="00405D16">
            <w:pPr>
              <w:spacing w:after="100"/>
              <w:jc w:val="right"/>
              <w:rPr>
                <w:rFonts w:eastAsia="Times New Roman"/>
              </w:rPr>
            </w:pPr>
            <w:r>
              <w:rPr>
                <w:rFonts w:eastAsia="Times New Roman"/>
                <w:color w:val="000000"/>
                <w:sz w:val="18"/>
                <w:szCs w:val="18"/>
              </w:rPr>
              <w:t>%</w:t>
            </w:r>
          </w:p>
        </w:tc>
      </w:tr>
      <w:tr w:rsidR="00000000" w14:paraId="54056EC7" w14:textId="77777777">
        <w:trPr>
          <w:divId w:val="339429874"/>
        </w:trPr>
        <w:tc>
          <w:tcPr>
            <w:tcW w:w="0" w:type="auto"/>
            <w:gridSpan w:val="3"/>
            <w:shd w:val="clear" w:color="auto" w:fill="CCEEFF"/>
            <w:tcMar>
              <w:top w:w="30" w:type="dxa"/>
              <w:left w:w="245" w:type="dxa"/>
              <w:bottom w:w="30" w:type="dxa"/>
              <w:right w:w="20" w:type="dxa"/>
            </w:tcMar>
            <w:vAlign w:val="center"/>
            <w:hideMark/>
          </w:tcPr>
          <w:p w14:paraId="455C5836" w14:textId="77777777" w:rsidR="00000000" w:rsidRDefault="00405D16">
            <w:pPr>
              <w:spacing w:after="100"/>
              <w:rPr>
                <w:rFonts w:eastAsia="Times New Roman"/>
              </w:rPr>
            </w:pPr>
            <w:r>
              <w:rPr>
                <w:rFonts w:eastAsia="Times New Roman"/>
                <w:color w:val="000000"/>
                <w:sz w:val="18"/>
                <w:szCs w:val="18"/>
              </w:rPr>
              <w:t>Texas</w:t>
            </w:r>
          </w:p>
        </w:tc>
        <w:tc>
          <w:tcPr>
            <w:tcW w:w="0" w:type="auto"/>
            <w:gridSpan w:val="3"/>
            <w:shd w:val="clear" w:color="auto" w:fill="CCEEFF"/>
            <w:tcMar>
              <w:top w:w="0" w:type="dxa"/>
              <w:left w:w="20" w:type="dxa"/>
              <w:bottom w:w="0" w:type="dxa"/>
              <w:right w:w="20" w:type="dxa"/>
            </w:tcMar>
            <w:vAlign w:val="center"/>
            <w:hideMark/>
          </w:tcPr>
          <w:p w14:paraId="02B0F60C"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9DBE973" w14:textId="77777777" w:rsidR="00000000" w:rsidRDefault="00405D16">
            <w:pPr>
              <w:spacing w:after="100"/>
              <w:jc w:val="right"/>
              <w:rPr>
                <w:rFonts w:eastAsia="Times New Roman"/>
              </w:rPr>
            </w:pPr>
            <w:r>
              <w:rPr>
                <w:rFonts w:eastAsia="Times New Roman"/>
                <w:b/>
                <w:bCs/>
                <w:color w:val="000000"/>
                <w:sz w:val="18"/>
                <w:szCs w:val="18"/>
              </w:rPr>
              <w:t>8,278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497B85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88EBF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ED0C882" w14:textId="77777777" w:rsidR="00000000" w:rsidRDefault="00405D16">
            <w:pPr>
              <w:spacing w:after="100"/>
              <w:jc w:val="right"/>
              <w:rPr>
                <w:rFonts w:eastAsia="Times New Roman"/>
              </w:rPr>
            </w:pPr>
            <w:r>
              <w:rPr>
                <w:rFonts w:eastAsia="Times New Roman"/>
                <w:b/>
                <w:bCs/>
                <w:color w:val="000000"/>
                <w:sz w:val="18"/>
                <w:szCs w:val="18"/>
              </w:rPr>
              <w:t>7.9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AA8E70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B42CD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72A305E" w14:textId="77777777" w:rsidR="00000000" w:rsidRDefault="00405D16">
            <w:pPr>
              <w:spacing w:after="100"/>
              <w:jc w:val="right"/>
              <w:rPr>
                <w:rFonts w:eastAsia="Times New Roman"/>
              </w:rPr>
            </w:pPr>
            <w:r>
              <w:rPr>
                <w:rFonts w:eastAsia="Times New Roman"/>
                <w:color w:val="000000"/>
                <w:sz w:val="18"/>
                <w:szCs w:val="18"/>
              </w:rPr>
              <w:t>8,090 </w:t>
            </w:r>
          </w:p>
        </w:tc>
        <w:tc>
          <w:tcPr>
            <w:tcW w:w="0" w:type="auto"/>
            <w:shd w:val="clear" w:color="auto" w:fill="CCEEFF"/>
            <w:tcMar>
              <w:top w:w="30" w:type="dxa"/>
              <w:left w:w="0" w:type="dxa"/>
              <w:bottom w:w="30" w:type="dxa"/>
              <w:right w:w="20" w:type="dxa"/>
            </w:tcMar>
            <w:vAlign w:val="center"/>
            <w:hideMark/>
          </w:tcPr>
          <w:p w14:paraId="088E596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0849F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10A4D24" w14:textId="77777777" w:rsidR="00000000" w:rsidRDefault="00405D16">
            <w:pPr>
              <w:spacing w:after="100"/>
              <w:jc w:val="right"/>
              <w:rPr>
                <w:rFonts w:eastAsia="Times New Roman"/>
              </w:rPr>
            </w:pPr>
            <w:r>
              <w:rPr>
                <w:rFonts w:eastAsia="Times New Roman"/>
                <w:color w:val="000000"/>
                <w:sz w:val="18"/>
                <w:szCs w:val="18"/>
              </w:rPr>
              <w:t>7.6 </w:t>
            </w:r>
          </w:p>
        </w:tc>
        <w:tc>
          <w:tcPr>
            <w:tcW w:w="0" w:type="auto"/>
            <w:shd w:val="clear" w:color="auto" w:fill="CCEEFF"/>
            <w:tcMar>
              <w:top w:w="30" w:type="dxa"/>
              <w:left w:w="0" w:type="dxa"/>
              <w:bottom w:w="30" w:type="dxa"/>
              <w:right w:w="20" w:type="dxa"/>
            </w:tcMar>
            <w:vAlign w:val="center"/>
            <w:hideMark/>
          </w:tcPr>
          <w:p w14:paraId="133E31B3" w14:textId="77777777" w:rsidR="00000000" w:rsidRDefault="00405D16">
            <w:pPr>
              <w:spacing w:after="100"/>
              <w:jc w:val="right"/>
              <w:rPr>
                <w:rFonts w:eastAsia="Times New Roman"/>
              </w:rPr>
            </w:pPr>
          </w:p>
        </w:tc>
      </w:tr>
      <w:tr w:rsidR="00000000" w14:paraId="5198A420" w14:textId="77777777">
        <w:trPr>
          <w:divId w:val="339429874"/>
        </w:trPr>
        <w:tc>
          <w:tcPr>
            <w:tcW w:w="0" w:type="auto"/>
            <w:gridSpan w:val="3"/>
            <w:shd w:val="clear" w:color="auto" w:fill="FFFFFF"/>
            <w:tcMar>
              <w:top w:w="30" w:type="dxa"/>
              <w:left w:w="245" w:type="dxa"/>
              <w:bottom w:w="30" w:type="dxa"/>
              <w:right w:w="20" w:type="dxa"/>
            </w:tcMar>
            <w:vAlign w:val="center"/>
            <w:hideMark/>
          </w:tcPr>
          <w:p w14:paraId="6F779E75" w14:textId="77777777" w:rsidR="00000000" w:rsidRDefault="00405D16">
            <w:pPr>
              <w:spacing w:after="100"/>
              <w:rPr>
                <w:rFonts w:eastAsia="Times New Roman"/>
              </w:rPr>
            </w:pPr>
            <w:r>
              <w:rPr>
                <w:rFonts w:eastAsia="Times New Roman"/>
                <w:color w:val="000000"/>
                <w:sz w:val="18"/>
                <w:szCs w:val="18"/>
              </w:rPr>
              <w:t>Florida</w:t>
            </w:r>
          </w:p>
        </w:tc>
        <w:tc>
          <w:tcPr>
            <w:tcW w:w="0" w:type="auto"/>
            <w:gridSpan w:val="3"/>
            <w:shd w:val="clear" w:color="auto" w:fill="FFFFFF"/>
            <w:tcMar>
              <w:top w:w="0" w:type="dxa"/>
              <w:left w:w="20" w:type="dxa"/>
              <w:bottom w:w="0" w:type="dxa"/>
              <w:right w:w="20" w:type="dxa"/>
            </w:tcMar>
            <w:vAlign w:val="center"/>
            <w:hideMark/>
          </w:tcPr>
          <w:p w14:paraId="5B06EA5C"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359AF01" w14:textId="77777777" w:rsidR="00000000" w:rsidRDefault="00405D16">
            <w:pPr>
              <w:spacing w:after="100"/>
              <w:jc w:val="right"/>
              <w:rPr>
                <w:rFonts w:eastAsia="Times New Roman"/>
              </w:rPr>
            </w:pPr>
            <w:r>
              <w:rPr>
                <w:rFonts w:eastAsia="Times New Roman"/>
                <w:b/>
                <w:bCs/>
                <w:color w:val="000000"/>
                <w:sz w:val="18"/>
                <w:szCs w:val="18"/>
              </w:rPr>
              <w:t>6,989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29B7C3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F88B4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7038844" w14:textId="77777777" w:rsidR="00000000" w:rsidRDefault="00405D16">
            <w:pPr>
              <w:spacing w:after="100"/>
              <w:jc w:val="right"/>
              <w:rPr>
                <w:rFonts w:eastAsia="Times New Roman"/>
              </w:rPr>
            </w:pPr>
            <w:r>
              <w:rPr>
                <w:rFonts w:eastAsia="Times New Roman"/>
                <w:b/>
                <w:bCs/>
                <w:color w:val="000000"/>
                <w:sz w:val="18"/>
                <w:szCs w:val="18"/>
              </w:rPr>
              <w:t>6.7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D8F8D8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34E19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2C003A7" w14:textId="77777777" w:rsidR="00000000" w:rsidRDefault="00405D16">
            <w:pPr>
              <w:spacing w:after="100"/>
              <w:jc w:val="right"/>
              <w:rPr>
                <w:rFonts w:eastAsia="Times New Roman"/>
              </w:rPr>
            </w:pPr>
            <w:r>
              <w:rPr>
                <w:rFonts w:eastAsia="Times New Roman"/>
                <w:color w:val="000000"/>
                <w:sz w:val="18"/>
                <w:szCs w:val="18"/>
              </w:rPr>
              <w:t>6,910 </w:t>
            </w:r>
          </w:p>
        </w:tc>
        <w:tc>
          <w:tcPr>
            <w:tcW w:w="0" w:type="auto"/>
            <w:shd w:val="clear" w:color="auto" w:fill="FFFFFF"/>
            <w:tcMar>
              <w:top w:w="30" w:type="dxa"/>
              <w:left w:w="0" w:type="dxa"/>
              <w:bottom w:w="30" w:type="dxa"/>
              <w:right w:w="20" w:type="dxa"/>
            </w:tcMar>
            <w:vAlign w:val="center"/>
            <w:hideMark/>
          </w:tcPr>
          <w:p w14:paraId="3B58D95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959C0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88F2A02" w14:textId="77777777" w:rsidR="00000000" w:rsidRDefault="00405D16">
            <w:pPr>
              <w:spacing w:after="100"/>
              <w:jc w:val="right"/>
              <w:rPr>
                <w:rFonts w:eastAsia="Times New Roman"/>
              </w:rPr>
            </w:pPr>
            <w:r>
              <w:rPr>
                <w:rFonts w:eastAsia="Times New Roman"/>
                <w:color w:val="000000"/>
                <w:sz w:val="18"/>
                <w:szCs w:val="18"/>
              </w:rPr>
              <w:t>6.5 </w:t>
            </w:r>
          </w:p>
        </w:tc>
        <w:tc>
          <w:tcPr>
            <w:tcW w:w="0" w:type="auto"/>
            <w:shd w:val="clear" w:color="auto" w:fill="FFFFFF"/>
            <w:tcMar>
              <w:top w:w="30" w:type="dxa"/>
              <w:left w:w="0" w:type="dxa"/>
              <w:bottom w:w="30" w:type="dxa"/>
              <w:right w:w="20" w:type="dxa"/>
            </w:tcMar>
            <w:vAlign w:val="center"/>
            <w:hideMark/>
          </w:tcPr>
          <w:p w14:paraId="674B5F6C" w14:textId="77777777" w:rsidR="00000000" w:rsidRDefault="00405D16">
            <w:pPr>
              <w:spacing w:after="100"/>
              <w:jc w:val="right"/>
              <w:rPr>
                <w:rFonts w:eastAsia="Times New Roman"/>
              </w:rPr>
            </w:pPr>
          </w:p>
        </w:tc>
      </w:tr>
      <w:tr w:rsidR="00000000" w14:paraId="2052499B" w14:textId="77777777">
        <w:trPr>
          <w:divId w:val="339429874"/>
        </w:trPr>
        <w:tc>
          <w:tcPr>
            <w:tcW w:w="0" w:type="auto"/>
            <w:gridSpan w:val="3"/>
            <w:shd w:val="clear" w:color="auto" w:fill="CCEEFF"/>
            <w:tcMar>
              <w:top w:w="30" w:type="dxa"/>
              <w:left w:w="245" w:type="dxa"/>
              <w:bottom w:w="30" w:type="dxa"/>
              <w:right w:w="20" w:type="dxa"/>
            </w:tcMar>
            <w:vAlign w:val="center"/>
            <w:hideMark/>
          </w:tcPr>
          <w:p w14:paraId="67DD3D0F" w14:textId="77777777" w:rsidR="00000000" w:rsidRDefault="00405D16">
            <w:pPr>
              <w:spacing w:after="100"/>
              <w:rPr>
                <w:rFonts w:eastAsia="Times New Roman"/>
              </w:rPr>
            </w:pPr>
            <w:r>
              <w:rPr>
                <w:rFonts w:eastAsia="Times New Roman"/>
                <w:color w:val="000000"/>
                <w:sz w:val="18"/>
                <w:szCs w:val="18"/>
              </w:rPr>
              <w:t>New York</w:t>
            </w:r>
          </w:p>
        </w:tc>
        <w:tc>
          <w:tcPr>
            <w:tcW w:w="0" w:type="auto"/>
            <w:gridSpan w:val="3"/>
            <w:shd w:val="clear" w:color="auto" w:fill="CCEEFF"/>
            <w:tcMar>
              <w:top w:w="0" w:type="dxa"/>
              <w:left w:w="20" w:type="dxa"/>
              <w:bottom w:w="0" w:type="dxa"/>
              <w:right w:w="20" w:type="dxa"/>
            </w:tcMar>
            <w:vAlign w:val="center"/>
            <w:hideMark/>
          </w:tcPr>
          <w:p w14:paraId="2D7C55B2"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5F06110" w14:textId="77777777" w:rsidR="00000000" w:rsidRDefault="00405D16">
            <w:pPr>
              <w:spacing w:after="100"/>
              <w:jc w:val="right"/>
              <w:rPr>
                <w:rFonts w:eastAsia="Times New Roman"/>
              </w:rPr>
            </w:pPr>
            <w:r>
              <w:rPr>
                <w:rFonts w:eastAsia="Times New Roman"/>
                <w:b/>
                <w:bCs/>
                <w:color w:val="000000"/>
                <w:sz w:val="18"/>
                <w:szCs w:val="18"/>
              </w:rPr>
              <w:t>6,384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1C85CA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977B9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46C17AE" w14:textId="77777777" w:rsidR="00000000" w:rsidRDefault="00405D16">
            <w:pPr>
              <w:spacing w:after="100"/>
              <w:jc w:val="right"/>
              <w:rPr>
                <w:rFonts w:eastAsia="Times New Roman"/>
              </w:rPr>
            </w:pPr>
            <w:r>
              <w:rPr>
                <w:rFonts w:eastAsia="Times New Roman"/>
                <w:b/>
                <w:bCs/>
                <w:color w:val="000000"/>
                <w:sz w:val="18"/>
                <w:szCs w:val="18"/>
              </w:rPr>
              <w:t>6.1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1D55C4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42097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D72668F" w14:textId="77777777" w:rsidR="00000000" w:rsidRDefault="00405D16">
            <w:pPr>
              <w:spacing w:after="100"/>
              <w:jc w:val="right"/>
              <w:rPr>
                <w:rFonts w:eastAsia="Times New Roman"/>
              </w:rPr>
            </w:pPr>
            <w:r>
              <w:rPr>
                <w:rFonts w:eastAsia="Times New Roman"/>
                <w:color w:val="000000"/>
                <w:sz w:val="18"/>
                <w:szCs w:val="18"/>
              </w:rPr>
              <w:t>6,327 </w:t>
            </w:r>
          </w:p>
        </w:tc>
        <w:tc>
          <w:tcPr>
            <w:tcW w:w="0" w:type="auto"/>
            <w:shd w:val="clear" w:color="auto" w:fill="CCEEFF"/>
            <w:tcMar>
              <w:top w:w="30" w:type="dxa"/>
              <w:left w:w="0" w:type="dxa"/>
              <w:bottom w:w="30" w:type="dxa"/>
              <w:right w:w="20" w:type="dxa"/>
            </w:tcMar>
            <w:vAlign w:val="center"/>
            <w:hideMark/>
          </w:tcPr>
          <w:p w14:paraId="08D5629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348D6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42191FD" w14:textId="77777777" w:rsidR="00000000" w:rsidRDefault="00405D16">
            <w:pPr>
              <w:spacing w:after="100"/>
              <w:jc w:val="right"/>
              <w:rPr>
                <w:rFonts w:eastAsia="Times New Roman"/>
              </w:rPr>
            </w:pPr>
            <w:r>
              <w:rPr>
                <w:rFonts w:eastAsia="Times New Roman"/>
                <w:color w:val="000000"/>
                <w:sz w:val="18"/>
                <w:szCs w:val="18"/>
              </w:rPr>
              <w:t>5.9 </w:t>
            </w:r>
          </w:p>
        </w:tc>
        <w:tc>
          <w:tcPr>
            <w:tcW w:w="0" w:type="auto"/>
            <w:shd w:val="clear" w:color="auto" w:fill="CCEEFF"/>
            <w:tcMar>
              <w:top w:w="30" w:type="dxa"/>
              <w:left w:w="0" w:type="dxa"/>
              <w:bottom w:w="30" w:type="dxa"/>
              <w:right w:w="20" w:type="dxa"/>
            </w:tcMar>
            <w:vAlign w:val="center"/>
            <w:hideMark/>
          </w:tcPr>
          <w:p w14:paraId="76EA9490" w14:textId="77777777" w:rsidR="00000000" w:rsidRDefault="00405D16">
            <w:pPr>
              <w:spacing w:after="100"/>
              <w:jc w:val="right"/>
              <w:rPr>
                <w:rFonts w:eastAsia="Times New Roman"/>
              </w:rPr>
            </w:pPr>
          </w:p>
        </w:tc>
      </w:tr>
      <w:tr w:rsidR="00000000" w14:paraId="2806E959" w14:textId="77777777">
        <w:trPr>
          <w:divId w:val="339429874"/>
        </w:trPr>
        <w:tc>
          <w:tcPr>
            <w:tcW w:w="0" w:type="auto"/>
            <w:gridSpan w:val="3"/>
            <w:shd w:val="clear" w:color="auto" w:fill="FFFFFF"/>
            <w:tcMar>
              <w:top w:w="30" w:type="dxa"/>
              <w:left w:w="245" w:type="dxa"/>
              <w:bottom w:w="30" w:type="dxa"/>
              <w:right w:w="20" w:type="dxa"/>
            </w:tcMar>
            <w:vAlign w:val="center"/>
            <w:hideMark/>
          </w:tcPr>
          <w:p w14:paraId="0FDE8B5D" w14:textId="77777777" w:rsidR="00000000" w:rsidRDefault="00405D16">
            <w:pPr>
              <w:spacing w:after="100"/>
              <w:rPr>
                <w:rFonts w:eastAsia="Times New Roman"/>
              </w:rPr>
            </w:pPr>
            <w:r>
              <w:rPr>
                <w:rFonts w:eastAsia="Times New Roman"/>
                <w:color w:val="000000"/>
                <w:sz w:val="18"/>
                <w:szCs w:val="18"/>
              </w:rPr>
              <w:t>Pennsylvania</w:t>
            </w:r>
          </w:p>
        </w:tc>
        <w:tc>
          <w:tcPr>
            <w:tcW w:w="0" w:type="auto"/>
            <w:gridSpan w:val="3"/>
            <w:shd w:val="clear" w:color="auto" w:fill="FFFFFF"/>
            <w:tcMar>
              <w:top w:w="0" w:type="dxa"/>
              <w:left w:w="20" w:type="dxa"/>
              <w:bottom w:w="0" w:type="dxa"/>
              <w:right w:w="20" w:type="dxa"/>
            </w:tcMar>
            <w:vAlign w:val="center"/>
            <w:hideMark/>
          </w:tcPr>
          <w:p w14:paraId="67953045"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169BDD3" w14:textId="77777777" w:rsidR="00000000" w:rsidRDefault="00405D16">
            <w:pPr>
              <w:spacing w:after="100"/>
              <w:jc w:val="right"/>
              <w:rPr>
                <w:rFonts w:eastAsia="Times New Roman"/>
              </w:rPr>
            </w:pPr>
            <w:r>
              <w:rPr>
                <w:rFonts w:eastAsia="Times New Roman"/>
                <w:b/>
                <w:bCs/>
                <w:color w:val="000000"/>
                <w:sz w:val="18"/>
                <w:szCs w:val="18"/>
              </w:rPr>
              <w:t>4,147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0A4440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D2D4D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B3B8E66" w14:textId="77777777" w:rsidR="00000000" w:rsidRDefault="00405D16">
            <w:pPr>
              <w:spacing w:after="100"/>
              <w:jc w:val="right"/>
              <w:rPr>
                <w:rFonts w:eastAsia="Times New Roman"/>
              </w:rPr>
            </w:pPr>
            <w:r>
              <w:rPr>
                <w:rFonts w:eastAsia="Times New Roman"/>
                <w:b/>
                <w:bCs/>
                <w:color w:val="000000"/>
                <w:sz w:val="18"/>
                <w:szCs w:val="18"/>
              </w:rPr>
              <w:t>3.9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6D2C08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312DA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FB1FA87" w14:textId="77777777" w:rsidR="00000000" w:rsidRDefault="00405D16">
            <w:pPr>
              <w:spacing w:after="100"/>
              <w:jc w:val="right"/>
              <w:rPr>
                <w:rFonts w:eastAsia="Times New Roman"/>
              </w:rPr>
            </w:pPr>
            <w:r>
              <w:rPr>
                <w:rFonts w:eastAsia="Times New Roman"/>
                <w:color w:val="000000"/>
                <w:sz w:val="18"/>
                <w:szCs w:val="18"/>
              </w:rPr>
              <w:t>4,158 </w:t>
            </w:r>
          </w:p>
        </w:tc>
        <w:tc>
          <w:tcPr>
            <w:tcW w:w="0" w:type="auto"/>
            <w:shd w:val="clear" w:color="auto" w:fill="FFFFFF"/>
            <w:tcMar>
              <w:top w:w="30" w:type="dxa"/>
              <w:left w:w="0" w:type="dxa"/>
              <w:bottom w:w="30" w:type="dxa"/>
              <w:right w:w="20" w:type="dxa"/>
            </w:tcMar>
            <w:vAlign w:val="center"/>
            <w:hideMark/>
          </w:tcPr>
          <w:p w14:paraId="39E4B4C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F7344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79DF577" w14:textId="77777777" w:rsidR="00000000" w:rsidRDefault="00405D16">
            <w:pPr>
              <w:spacing w:after="100"/>
              <w:jc w:val="right"/>
              <w:rPr>
                <w:rFonts w:eastAsia="Times New Roman"/>
              </w:rPr>
            </w:pPr>
            <w:r>
              <w:rPr>
                <w:rFonts w:eastAsia="Times New Roman"/>
                <w:color w:val="000000"/>
                <w:sz w:val="18"/>
                <w:szCs w:val="18"/>
              </w:rPr>
              <w:t>3.9 </w:t>
            </w:r>
          </w:p>
        </w:tc>
        <w:tc>
          <w:tcPr>
            <w:tcW w:w="0" w:type="auto"/>
            <w:shd w:val="clear" w:color="auto" w:fill="FFFFFF"/>
            <w:tcMar>
              <w:top w:w="30" w:type="dxa"/>
              <w:left w:w="0" w:type="dxa"/>
              <w:bottom w:w="30" w:type="dxa"/>
              <w:right w:w="20" w:type="dxa"/>
            </w:tcMar>
            <w:vAlign w:val="center"/>
            <w:hideMark/>
          </w:tcPr>
          <w:p w14:paraId="11DEB65E" w14:textId="77777777" w:rsidR="00000000" w:rsidRDefault="00405D16">
            <w:pPr>
              <w:spacing w:after="100"/>
              <w:jc w:val="right"/>
              <w:rPr>
                <w:rFonts w:eastAsia="Times New Roman"/>
              </w:rPr>
            </w:pPr>
          </w:p>
        </w:tc>
      </w:tr>
      <w:tr w:rsidR="00000000" w14:paraId="5501530A" w14:textId="77777777">
        <w:trPr>
          <w:divId w:val="339429874"/>
        </w:trPr>
        <w:tc>
          <w:tcPr>
            <w:tcW w:w="0" w:type="auto"/>
            <w:gridSpan w:val="3"/>
            <w:shd w:val="clear" w:color="auto" w:fill="CCEEFF"/>
            <w:tcMar>
              <w:top w:w="30" w:type="dxa"/>
              <w:left w:w="245" w:type="dxa"/>
              <w:bottom w:w="30" w:type="dxa"/>
              <w:right w:w="20" w:type="dxa"/>
            </w:tcMar>
            <w:vAlign w:val="center"/>
            <w:hideMark/>
          </w:tcPr>
          <w:p w14:paraId="2C32D3D3" w14:textId="77777777" w:rsidR="00000000" w:rsidRDefault="00405D16">
            <w:pPr>
              <w:spacing w:after="100"/>
              <w:rPr>
                <w:rFonts w:eastAsia="Times New Roman"/>
              </w:rPr>
            </w:pPr>
            <w:r>
              <w:rPr>
                <w:rFonts w:eastAsia="Times New Roman"/>
                <w:color w:val="000000"/>
                <w:sz w:val="18"/>
                <w:szCs w:val="18"/>
              </w:rPr>
              <w:t>Illinois</w:t>
            </w:r>
          </w:p>
        </w:tc>
        <w:tc>
          <w:tcPr>
            <w:tcW w:w="0" w:type="auto"/>
            <w:gridSpan w:val="3"/>
            <w:shd w:val="clear" w:color="auto" w:fill="CCEEFF"/>
            <w:tcMar>
              <w:top w:w="0" w:type="dxa"/>
              <w:left w:w="20" w:type="dxa"/>
              <w:bottom w:w="0" w:type="dxa"/>
              <w:right w:w="20" w:type="dxa"/>
            </w:tcMar>
            <w:vAlign w:val="center"/>
            <w:hideMark/>
          </w:tcPr>
          <w:p w14:paraId="34F50CFC"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7FFF664" w14:textId="77777777" w:rsidR="00000000" w:rsidRDefault="00405D16">
            <w:pPr>
              <w:spacing w:after="100"/>
              <w:jc w:val="right"/>
              <w:rPr>
                <w:rFonts w:eastAsia="Times New Roman"/>
              </w:rPr>
            </w:pPr>
            <w:r>
              <w:rPr>
                <w:rFonts w:eastAsia="Times New Roman"/>
                <w:b/>
                <w:bCs/>
                <w:color w:val="000000"/>
                <w:sz w:val="18"/>
                <w:szCs w:val="18"/>
              </w:rPr>
              <w:t>4,103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19C21C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C9E6F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5AEEA80" w14:textId="77777777" w:rsidR="00000000" w:rsidRDefault="00405D16">
            <w:pPr>
              <w:spacing w:after="100"/>
              <w:jc w:val="right"/>
              <w:rPr>
                <w:rFonts w:eastAsia="Times New Roman"/>
              </w:rPr>
            </w:pPr>
            <w:r>
              <w:rPr>
                <w:rFonts w:eastAsia="Times New Roman"/>
                <w:b/>
                <w:bCs/>
                <w:color w:val="000000"/>
                <w:sz w:val="18"/>
                <w:szCs w:val="18"/>
              </w:rPr>
              <w:t>3.9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266F6A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107F4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AF01D03" w14:textId="77777777" w:rsidR="00000000" w:rsidRDefault="00405D16">
            <w:pPr>
              <w:spacing w:after="100"/>
              <w:jc w:val="right"/>
              <w:rPr>
                <w:rFonts w:eastAsia="Times New Roman"/>
              </w:rPr>
            </w:pPr>
            <w:r>
              <w:rPr>
                <w:rFonts w:eastAsia="Times New Roman"/>
                <w:color w:val="000000"/>
                <w:sz w:val="18"/>
                <w:szCs w:val="18"/>
              </w:rPr>
              <w:t>4,149 </w:t>
            </w:r>
          </w:p>
        </w:tc>
        <w:tc>
          <w:tcPr>
            <w:tcW w:w="0" w:type="auto"/>
            <w:shd w:val="clear" w:color="auto" w:fill="CCEEFF"/>
            <w:tcMar>
              <w:top w:w="30" w:type="dxa"/>
              <w:left w:w="0" w:type="dxa"/>
              <w:bottom w:w="30" w:type="dxa"/>
              <w:right w:w="20" w:type="dxa"/>
            </w:tcMar>
            <w:vAlign w:val="center"/>
            <w:hideMark/>
          </w:tcPr>
          <w:p w14:paraId="4895E1E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08C87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0FE6940" w14:textId="77777777" w:rsidR="00000000" w:rsidRDefault="00405D16">
            <w:pPr>
              <w:spacing w:after="100"/>
              <w:jc w:val="right"/>
              <w:rPr>
                <w:rFonts w:eastAsia="Times New Roman"/>
              </w:rPr>
            </w:pPr>
            <w:r>
              <w:rPr>
                <w:rFonts w:eastAsia="Times New Roman"/>
                <w:color w:val="000000"/>
                <w:sz w:val="18"/>
                <w:szCs w:val="18"/>
              </w:rPr>
              <w:t>3.9 </w:t>
            </w:r>
          </w:p>
        </w:tc>
        <w:tc>
          <w:tcPr>
            <w:tcW w:w="0" w:type="auto"/>
            <w:shd w:val="clear" w:color="auto" w:fill="CCEEFF"/>
            <w:tcMar>
              <w:top w:w="30" w:type="dxa"/>
              <w:left w:w="0" w:type="dxa"/>
              <w:bottom w:w="30" w:type="dxa"/>
              <w:right w:w="20" w:type="dxa"/>
            </w:tcMar>
            <w:vAlign w:val="center"/>
            <w:hideMark/>
          </w:tcPr>
          <w:p w14:paraId="5B1879B1" w14:textId="77777777" w:rsidR="00000000" w:rsidRDefault="00405D16">
            <w:pPr>
              <w:spacing w:after="100"/>
              <w:jc w:val="right"/>
              <w:rPr>
                <w:rFonts w:eastAsia="Times New Roman"/>
              </w:rPr>
            </w:pPr>
          </w:p>
        </w:tc>
      </w:tr>
      <w:tr w:rsidR="00000000" w14:paraId="608CBF61" w14:textId="77777777">
        <w:trPr>
          <w:divId w:val="339429874"/>
        </w:trPr>
        <w:tc>
          <w:tcPr>
            <w:tcW w:w="0" w:type="auto"/>
            <w:gridSpan w:val="3"/>
            <w:shd w:val="clear" w:color="auto" w:fill="FFFFFF"/>
            <w:tcMar>
              <w:top w:w="30" w:type="dxa"/>
              <w:left w:w="245" w:type="dxa"/>
              <w:bottom w:w="30" w:type="dxa"/>
              <w:right w:w="20" w:type="dxa"/>
            </w:tcMar>
            <w:vAlign w:val="center"/>
            <w:hideMark/>
          </w:tcPr>
          <w:p w14:paraId="2EDB9B5F" w14:textId="77777777" w:rsidR="00000000" w:rsidRDefault="00405D16">
            <w:pPr>
              <w:spacing w:after="100"/>
              <w:rPr>
                <w:rFonts w:eastAsia="Times New Roman"/>
              </w:rPr>
            </w:pPr>
            <w:r>
              <w:rPr>
                <w:rFonts w:eastAsia="Times New Roman"/>
                <w:color w:val="000000"/>
                <w:sz w:val="18"/>
                <w:szCs w:val="18"/>
              </w:rPr>
              <w:t>Ohio</w:t>
            </w:r>
          </w:p>
        </w:tc>
        <w:tc>
          <w:tcPr>
            <w:tcW w:w="0" w:type="auto"/>
            <w:gridSpan w:val="3"/>
            <w:shd w:val="clear" w:color="auto" w:fill="FFFFFF"/>
            <w:tcMar>
              <w:top w:w="0" w:type="dxa"/>
              <w:left w:w="20" w:type="dxa"/>
              <w:bottom w:w="0" w:type="dxa"/>
              <w:right w:w="20" w:type="dxa"/>
            </w:tcMar>
            <w:vAlign w:val="center"/>
            <w:hideMark/>
          </w:tcPr>
          <w:p w14:paraId="39E46534"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A0B3FA1" w14:textId="77777777" w:rsidR="00000000" w:rsidRDefault="00405D16">
            <w:pPr>
              <w:spacing w:after="100"/>
              <w:jc w:val="right"/>
              <w:rPr>
                <w:rFonts w:eastAsia="Times New Roman"/>
              </w:rPr>
            </w:pPr>
            <w:r>
              <w:rPr>
                <w:rFonts w:eastAsia="Times New Roman"/>
                <w:b/>
                <w:bCs/>
                <w:color w:val="000000"/>
                <w:sz w:val="18"/>
                <w:szCs w:val="18"/>
              </w:rPr>
              <w:t>3,590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C94BEC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66E5F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3909497" w14:textId="77777777" w:rsidR="00000000" w:rsidRDefault="00405D16">
            <w:pPr>
              <w:spacing w:after="100"/>
              <w:jc w:val="right"/>
              <w:rPr>
                <w:rFonts w:eastAsia="Times New Roman"/>
              </w:rPr>
            </w:pPr>
            <w:r>
              <w:rPr>
                <w:rFonts w:eastAsia="Times New Roman"/>
                <w:b/>
                <w:bCs/>
                <w:color w:val="000000"/>
                <w:sz w:val="18"/>
                <w:szCs w:val="18"/>
              </w:rPr>
              <w:t>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CA11B4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9F618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C6C8A5A" w14:textId="77777777" w:rsidR="00000000" w:rsidRDefault="00405D16">
            <w:pPr>
              <w:spacing w:after="100"/>
              <w:jc w:val="right"/>
              <w:rPr>
                <w:rFonts w:eastAsia="Times New Roman"/>
              </w:rPr>
            </w:pPr>
            <w:r>
              <w:rPr>
                <w:rFonts w:eastAsia="Times New Roman"/>
                <w:color w:val="000000"/>
                <w:sz w:val="18"/>
                <w:szCs w:val="18"/>
              </w:rPr>
              <w:t>3,645 </w:t>
            </w:r>
          </w:p>
        </w:tc>
        <w:tc>
          <w:tcPr>
            <w:tcW w:w="0" w:type="auto"/>
            <w:shd w:val="clear" w:color="auto" w:fill="FFFFFF"/>
            <w:tcMar>
              <w:top w:w="30" w:type="dxa"/>
              <w:left w:w="0" w:type="dxa"/>
              <w:bottom w:w="30" w:type="dxa"/>
              <w:right w:w="20" w:type="dxa"/>
            </w:tcMar>
            <w:vAlign w:val="center"/>
            <w:hideMark/>
          </w:tcPr>
          <w:p w14:paraId="0B04552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442E7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2B8190D" w14:textId="77777777" w:rsidR="00000000" w:rsidRDefault="00405D16">
            <w:pPr>
              <w:spacing w:after="100"/>
              <w:jc w:val="right"/>
              <w:rPr>
                <w:rFonts w:eastAsia="Times New Roman"/>
              </w:rPr>
            </w:pPr>
            <w:r>
              <w:rPr>
                <w:rFonts w:eastAsia="Times New Roman"/>
                <w:color w:val="000000"/>
                <w:sz w:val="18"/>
                <w:szCs w:val="18"/>
              </w:rPr>
              <w:t>3.4 </w:t>
            </w:r>
          </w:p>
        </w:tc>
        <w:tc>
          <w:tcPr>
            <w:tcW w:w="0" w:type="auto"/>
            <w:shd w:val="clear" w:color="auto" w:fill="FFFFFF"/>
            <w:tcMar>
              <w:top w:w="30" w:type="dxa"/>
              <w:left w:w="0" w:type="dxa"/>
              <w:bottom w:w="30" w:type="dxa"/>
              <w:right w:w="20" w:type="dxa"/>
            </w:tcMar>
            <w:vAlign w:val="center"/>
            <w:hideMark/>
          </w:tcPr>
          <w:p w14:paraId="3BA5BE92" w14:textId="77777777" w:rsidR="00000000" w:rsidRDefault="00405D16">
            <w:pPr>
              <w:spacing w:after="100"/>
              <w:jc w:val="right"/>
              <w:rPr>
                <w:rFonts w:eastAsia="Times New Roman"/>
              </w:rPr>
            </w:pPr>
          </w:p>
        </w:tc>
      </w:tr>
      <w:tr w:rsidR="00000000" w14:paraId="6072D8A8" w14:textId="77777777">
        <w:trPr>
          <w:divId w:val="339429874"/>
        </w:trPr>
        <w:tc>
          <w:tcPr>
            <w:tcW w:w="0" w:type="auto"/>
            <w:gridSpan w:val="3"/>
            <w:shd w:val="clear" w:color="auto" w:fill="CCEEFF"/>
            <w:tcMar>
              <w:top w:w="30" w:type="dxa"/>
              <w:left w:w="245" w:type="dxa"/>
              <w:bottom w:w="30" w:type="dxa"/>
              <w:right w:w="20" w:type="dxa"/>
            </w:tcMar>
            <w:vAlign w:val="center"/>
            <w:hideMark/>
          </w:tcPr>
          <w:p w14:paraId="1296CC00" w14:textId="77777777" w:rsidR="00000000" w:rsidRDefault="00405D16">
            <w:pPr>
              <w:spacing w:after="100"/>
              <w:rPr>
                <w:rFonts w:eastAsia="Times New Roman"/>
              </w:rPr>
            </w:pPr>
            <w:r>
              <w:rPr>
                <w:rFonts w:eastAsia="Times New Roman"/>
                <w:color w:val="000000"/>
                <w:sz w:val="18"/>
                <w:szCs w:val="18"/>
              </w:rPr>
              <w:t>New Jersey</w:t>
            </w:r>
          </w:p>
        </w:tc>
        <w:tc>
          <w:tcPr>
            <w:tcW w:w="0" w:type="auto"/>
            <w:gridSpan w:val="3"/>
            <w:shd w:val="clear" w:color="auto" w:fill="CCEEFF"/>
            <w:tcMar>
              <w:top w:w="0" w:type="dxa"/>
              <w:left w:w="20" w:type="dxa"/>
              <w:bottom w:w="0" w:type="dxa"/>
              <w:right w:w="20" w:type="dxa"/>
            </w:tcMar>
            <w:vAlign w:val="center"/>
            <w:hideMark/>
          </w:tcPr>
          <w:p w14:paraId="3E1CD4B9"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31983F0" w14:textId="77777777" w:rsidR="00000000" w:rsidRDefault="00405D16">
            <w:pPr>
              <w:spacing w:after="100"/>
              <w:jc w:val="right"/>
              <w:rPr>
                <w:rFonts w:eastAsia="Times New Roman"/>
              </w:rPr>
            </w:pPr>
            <w:r>
              <w:rPr>
                <w:rFonts w:eastAsia="Times New Roman"/>
                <w:b/>
                <w:bCs/>
                <w:color w:val="000000"/>
                <w:sz w:val="18"/>
                <w:szCs w:val="18"/>
              </w:rPr>
              <w:t>3,219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4E77A0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40874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9918B00" w14:textId="77777777" w:rsidR="00000000" w:rsidRDefault="00405D16">
            <w:pPr>
              <w:spacing w:after="100"/>
              <w:jc w:val="right"/>
              <w:rPr>
                <w:rFonts w:eastAsia="Times New Roman"/>
              </w:rPr>
            </w:pPr>
            <w:r>
              <w:rPr>
                <w:rFonts w:eastAsia="Times New Roman"/>
                <w:b/>
                <w:bCs/>
                <w:color w:val="000000"/>
                <w:sz w:val="18"/>
                <w:szCs w:val="18"/>
              </w:rPr>
              <w:t>3.1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F8E564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91462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A3DF867" w14:textId="77777777" w:rsidR="00000000" w:rsidRDefault="00405D16">
            <w:pPr>
              <w:spacing w:after="100"/>
              <w:jc w:val="right"/>
              <w:rPr>
                <w:rFonts w:eastAsia="Times New Roman"/>
              </w:rPr>
            </w:pPr>
            <w:r>
              <w:rPr>
                <w:rFonts w:eastAsia="Times New Roman"/>
                <w:color w:val="000000"/>
                <w:sz w:val="18"/>
                <w:szCs w:val="18"/>
              </w:rPr>
              <w:t>3,179 </w:t>
            </w:r>
          </w:p>
        </w:tc>
        <w:tc>
          <w:tcPr>
            <w:tcW w:w="0" w:type="auto"/>
            <w:shd w:val="clear" w:color="auto" w:fill="CCEEFF"/>
            <w:tcMar>
              <w:top w:w="30" w:type="dxa"/>
              <w:left w:w="0" w:type="dxa"/>
              <w:bottom w:w="30" w:type="dxa"/>
              <w:right w:w="20" w:type="dxa"/>
            </w:tcMar>
            <w:vAlign w:val="center"/>
            <w:hideMark/>
          </w:tcPr>
          <w:p w14:paraId="266F48E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4CBCA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8EF353B" w14:textId="77777777" w:rsidR="00000000" w:rsidRDefault="00405D16">
            <w:pPr>
              <w:spacing w:after="100"/>
              <w:jc w:val="right"/>
              <w:rPr>
                <w:rFonts w:eastAsia="Times New Roman"/>
              </w:rPr>
            </w:pPr>
            <w:r>
              <w:rPr>
                <w:rFonts w:eastAsia="Times New Roman"/>
                <w:color w:val="000000"/>
                <w:sz w:val="18"/>
                <w:szCs w:val="18"/>
              </w:rPr>
              <w:t>3.0 </w:t>
            </w:r>
          </w:p>
        </w:tc>
        <w:tc>
          <w:tcPr>
            <w:tcW w:w="0" w:type="auto"/>
            <w:shd w:val="clear" w:color="auto" w:fill="CCEEFF"/>
            <w:tcMar>
              <w:top w:w="30" w:type="dxa"/>
              <w:left w:w="0" w:type="dxa"/>
              <w:bottom w:w="30" w:type="dxa"/>
              <w:right w:w="20" w:type="dxa"/>
            </w:tcMar>
            <w:vAlign w:val="center"/>
            <w:hideMark/>
          </w:tcPr>
          <w:p w14:paraId="2BD9DFFE" w14:textId="77777777" w:rsidR="00000000" w:rsidRDefault="00405D16">
            <w:pPr>
              <w:spacing w:after="100"/>
              <w:jc w:val="right"/>
              <w:rPr>
                <w:rFonts w:eastAsia="Times New Roman"/>
              </w:rPr>
            </w:pPr>
          </w:p>
        </w:tc>
      </w:tr>
      <w:tr w:rsidR="00000000" w14:paraId="71033B8F" w14:textId="77777777">
        <w:trPr>
          <w:divId w:val="339429874"/>
        </w:trPr>
        <w:tc>
          <w:tcPr>
            <w:tcW w:w="0" w:type="auto"/>
            <w:gridSpan w:val="3"/>
            <w:shd w:val="clear" w:color="auto" w:fill="FFFFFF"/>
            <w:tcMar>
              <w:top w:w="30" w:type="dxa"/>
              <w:left w:w="245" w:type="dxa"/>
              <w:bottom w:w="30" w:type="dxa"/>
              <w:right w:w="20" w:type="dxa"/>
            </w:tcMar>
            <w:vAlign w:val="center"/>
            <w:hideMark/>
          </w:tcPr>
          <w:p w14:paraId="30EE8684" w14:textId="77777777" w:rsidR="00000000" w:rsidRDefault="00405D16">
            <w:pPr>
              <w:spacing w:after="100"/>
              <w:rPr>
                <w:rFonts w:eastAsia="Times New Roman"/>
              </w:rPr>
            </w:pPr>
            <w:r>
              <w:rPr>
                <w:rFonts w:eastAsia="Times New Roman"/>
                <w:color w:val="000000"/>
                <w:sz w:val="18"/>
                <w:szCs w:val="18"/>
              </w:rPr>
              <w:t>Georgia</w:t>
            </w:r>
          </w:p>
        </w:tc>
        <w:tc>
          <w:tcPr>
            <w:tcW w:w="0" w:type="auto"/>
            <w:gridSpan w:val="3"/>
            <w:shd w:val="clear" w:color="auto" w:fill="FFFFFF"/>
            <w:tcMar>
              <w:top w:w="0" w:type="dxa"/>
              <w:left w:w="20" w:type="dxa"/>
              <w:bottom w:w="0" w:type="dxa"/>
              <w:right w:w="20" w:type="dxa"/>
            </w:tcMar>
            <w:vAlign w:val="center"/>
            <w:hideMark/>
          </w:tcPr>
          <w:p w14:paraId="49AB357E"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82FFDD0" w14:textId="77777777" w:rsidR="00000000" w:rsidRDefault="00405D16">
            <w:pPr>
              <w:spacing w:after="100"/>
              <w:jc w:val="right"/>
              <w:rPr>
                <w:rFonts w:eastAsia="Times New Roman"/>
              </w:rPr>
            </w:pPr>
            <w:r>
              <w:rPr>
                <w:rFonts w:eastAsia="Times New Roman"/>
                <w:b/>
                <w:bCs/>
                <w:color w:val="000000"/>
                <w:sz w:val="18"/>
                <w:szCs w:val="18"/>
              </w:rPr>
              <w:t>3,099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428E2A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8B6B6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2A3D5FD" w14:textId="77777777" w:rsidR="00000000" w:rsidRDefault="00405D16">
            <w:pPr>
              <w:spacing w:after="100"/>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2550BA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ACB6B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3EBAD41" w14:textId="77777777" w:rsidR="00000000" w:rsidRDefault="00405D16">
            <w:pPr>
              <w:spacing w:after="100"/>
              <w:jc w:val="right"/>
              <w:rPr>
                <w:rFonts w:eastAsia="Times New Roman"/>
              </w:rPr>
            </w:pPr>
            <w:r>
              <w:rPr>
                <w:rFonts w:eastAsia="Times New Roman"/>
                <w:color w:val="000000"/>
                <w:sz w:val="18"/>
                <w:szCs w:val="18"/>
              </w:rPr>
              <w:t>3,046 </w:t>
            </w:r>
          </w:p>
        </w:tc>
        <w:tc>
          <w:tcPr>
            <w:tcW w:w="0" w:type="auto"/>
            <w:shd w:val="clear" w:color="auto" w:fill="FFFFFF"/>
            <w:tcMar>
              <w:top w:w="30" w:type="dxa"/>
              <w:left w:w="0" w:type="dxa"/>
              <w:bottom w:w="30" w:type="dxa"/>
              <w:right w:w="20" w:type="dxa"/>
            </w:tcMar>
            <w:vAlign w:val="center"/>
            <w:hideMark/>
          </w:tcPr>
          <w:p w14:paraId="436277C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9A972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CA5053D" w14:textId="77777777" w:rsidR="00000000" w:rsidRDefault="00405D16">
            <w:pPr>
              <w:spacing w:after="100"/>
              <w:jc w:val="right"/>
              <w:rPr>
                <w:rFonts w:eastAsia="Times New Roman"/>
              </w:rPr>
            </w:pPr>
            <w:r>
              <w:rPr>
                <w:rFonts w:eastAsia="Times New Roman"/>
                <w:color w:val="000000"/>
                <w:sz w:val="18"/>
                <w:szCs w:val="18"/>
              </w:rPr>
              <w:t>2.8 </w:t>
            </w:r>
          </w:p>
        </w:tc>
        <w:tc>
          <w:tcPr>
            <w:tcW w:w="0" w:type="auto"/>
            <w:shd w:val="clear" w:color="auto" w:fill="FFFFFF"/>
            <w:tcMar>
              <w:top w:w="30" w:type="dxa"/>
              <w:left w:w="0" w:type="dxa"/>
              <w:bottom w:w="30" w:type="dxa"/>
              <w:right w:w="20" w:type="dxa"/>
            </w:tcMar>
            <w:vAlign w:val="center"/>
            <w:hideMark/>
          </w:tcPr>
          <w:p w14:paraId="71C6C1BC" w14:textId="77777777" w:rsidR="00000000" w:rsidRDefault="00405D16">
            <w:pPr>
              <w:spacing w:after="100"/>
              <w:jc w:val="right"/>
              <w:rPr>
                <w:rFonts w:eastAsia="Times New Roman"/>
              </w:rPr>
            </w:pPr>
          </w:p>
        </w:tc>
      </w:tr>
      <w:tr w:rsidR="00000000" w14:paraId="6419427C" w14:textId="77777777">
        <w:trPr>
          <w:divId w:val="339429874"/>
        </w:trPr>
        <w:tc>
          <w:tcPr>
            <w:tcW w:w="0" w:type="auto"/>
            <w:gridSpan w:val="3"/>
            <w:shd w:val="clear" w:color="auto" w:fill="CCEEFF"/>
            <w:tcMar>
              <w:top w:w="30" w:type="dxa"/>
              <w:left w:w="245" w:type="dxa"/>
              <w:bottom w:w="30" w:type="dxa"/>
              <w:right w:w="20" w:type="dxa"/>
            </w:tcMar>
            <w:vAlign w:val="center"/>
            <w:hideMark/>
          </w:tcPr>
          <w:p w14:paraId="2410DD4E" w14:textId="77777777" w:rsidR="00000000" w:rsidRDefault="00405D16">
            <w:pPr>
              <w:spacing w:after="100"/>
              <w:rPr>
                <w:rFonts w:eastAsia="Times New Roman"/>
              </w:rPr>
            </w:pPr>
            <w:r>
              <w:rPr>
                <w:rFonts w:eastAsia="Times New Roman"/>
                <w:color w:val="000000"/>
                <w:sz w:val="18"/>
                <w:szCs w:val="18"/>
              </w:rPr>
              <w:t>Michigan</w:t>
            </w:r>
          </w:p>
        </w:tc>
        <w:tc>
          <w:tcPr>
            <w:tcW w:w="0" w:type="auto"/>
            <w:gridSpan w:val="3"/>
            <w:shd w:val="clear" w:color="auto" w:fill="CCEEFF"/>
            <w:tcMar>
              <w:top w:w="0" w:type="dxa"/>
              <w:left w:w="20" w:type="dxa"/>
              <w:bottom w:w="0" w:type="dxa"/>
              <w:right w:w="20" w:type="dxa"/>
            </w:tcMar>
            <w:vAlign w:val="center"/>
            <w:hideMark/>
          </w:tcPr>
          <w:p w14:paraId="3606B2A8"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A00AF26" w14:textId="77777777" w:rsidR="00000000" w:rsidRDefault="00405D16">
            <w:pPr>
              <w:spacing w:after="100"/>
              <w:jc w:val="right"/>
              <w:rPr>
                <w:rFonts w:eastAsia="Times New Roman"/>
              </w:rPr>
            </w:pPr>
            <w:r>
              <w:rPr>
                <w:rFonts w:eastAsia="Times New Roman"/>
                <w:b/>
                <w:bCs/>
                <w:color w:val="000000"/>
                <w:sz w:val="18"/>
                <w:szCs w:val="18"/>
              </w:rPr>
              <w:t>3,028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74C0FA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018B7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250B34A" w14:textId="77777777" w:rsidR="00000000" w:rsidRDefault="00405D16">
            <w:pPr>
              <w:spacing w:after="100"/>
              <w:jc w:val="right"/>
              <w:rPr>
                <w:rFonts w:eastAsia="Times New Roman"/>
              </w:rPr>
            </w:pPr>
            <w:r>
              <w:rPr>
                <w:rFonts w:eastAsia="Times New Roman"/>
                <w:b/>
                <w:bCs/>
                <w:color w:val="000000"/>
                <w:sz w:val="18"/>
                <w:szCs w:val="18"/>
              </w:rPr>
              <w:t>2.9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CFB144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45749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E973A78" w14:textId="77777777" w:rsidR="00000000" w:rsidRDefault="00405D16">
            <w:pPr>
              <w:spacing w:after="100"/>
              <w:jc w:val="right"/>
              <w:rPr>
                <w:rFonts w:eastAsia="Times New Roman"/>
              </w:rPr>
            </w:pPr>
            <w:r>
              <w:rPr>
                <w:rFonts w:eastAsia="Times New Roman"/>
                <w:color w:val="000000"/>
                <w:sz w:val="18"/>
                <w:szCs w:val="18"/>
              </w:rPr>
              <w:t>3,010 </w:t>
            </w:r>
          </w:p>
        </w:tc>
        <w:tc>
          <w:tcPr>
            <w:tcW w:w="0" w:type="auto"/>
            <w:shd w:val="clear" w:color="auto" w:fill="CCEEFF"/>
            <w:tcMar>
              <w:top w:w="30" w:type="dxa"/>
              <w:left w:w="0" w:type="dxa"/>
              <w:bottom w:w="30" w:type="dxa"/>
              <w:right w:w="20" w:type="dxa"/>
            </w:tcMar>
            <w:vAlign w:val="center"/>
            <w:hideMark/>
          </w:tcPr>
          <w:p w14:paraId="3AAAF77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E4836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8919A80" w14:textId="77777777" w:rsidR="00000000" w:rsidRDefault="00405D16">
            <w:pPr>
              <w:spacing w:after="100"/>
              <w:jc w:val="right"/>
              <w:rPr>
                <w:rFonts w:eastAsia="Times New Roman"/>
              </w:rPr>
            </w:pPr>
            <w:r>
              <w:rPr>
                <w:rFonts w:eastAsia="Times New Roman"/>
                <w:color w:val="000000"/>
                <w:sz w:val="18"/>
                <w:szCs w:val="18"/>
              </w:rPr>
              <w:t>2.8 </w:t>
            </w:r>
          </w:p>
        </w:tc>
        <w:tc>
          <w:tcPr>
            <w:tcW w:w="0" w:type="auto"/>
            <w:shd w:val="clear" w:color="auto" w:fill="CCEEFF"/>
            <w:tcMar>
              <w:top w:w="30" w:type="dxa"/>
              <w:left w:w="0" w:type="dxa"/>
              <w:bottom w:w="30" w:type="dxa"/>
              <w:right w:w="20" w:type="dxa"/>
            </w:tcMar>
            <w:vAlign w:val="center"/>
            <w:hideMark/>
          </w:tcPr>
          <w:p w14:paraId="24E0EE0E" w14:textId="77777777" w:rsidR="00000000" w:rsidRDefault="00405D16">
            <w:pPr>
              <w:spacing w:after="100"/>
              <w:jc w:val="right"/>
              <w:rPr>
                <w:rFonts w:eastAsia="Times New Roman"/>
              </w:rPr>
            </w:pPr>
          </w:p>
        </w:tc>
      </w:tr>
      <w:tr w:rsidR="00000000" w14:paraId="0409F4F6" w14:textId="77777777">
        <w:trPr>
          <w:divId w:val="339429874"/>
        </w:trPr>
        <w:tc>
          <w:tcPr>
            <w:tcW w:w="0" w:type="auto"/>
            <w:gridSpan w:val="3"/>
            <w:shd w:val="clear" w:color="auto" w:fill="FFFFFF"/>
            <w:tcMar>
              <w:top w:w="30" w:type="dxa"/>
              <w:left w:w="245" w:type="dxa"/>
              <w:bottom w:w="30" w:type="dxa"/>
              <w:right w:w="20" w:type="dxa"/>
            </w:tcMar>
            <w:vAlign w:val="center"/>
            <w:hideMark/>
          </w:tcPr>
          <w:p w14:paraId="3818801D" w14:textId="77777777" w:rsidR="00000000" w:rsidRDefault="00405D16">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14:paraId="1EF7B60C"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00FB836" w14:textId="77777777" w:rsidR="00000000" w:rsidRDefault="00405D16">
            <w:pPr>
              <w:spacing w:after="100"/>
              <w:jc w:val="right"/>
              <w:rPr>
                <w:rFonts w:eastAsia="Times New Roman"/>
              </w:rPr>
            </w:pPr>
            <w:r>
              <w:rPr>
                <w:rFonts w:eastAsia="Times New Roman"/>
                <w:b/>
                <w:bCs/>
                <w:color w:val="000000"/>
                <w:sz w:val="18"/>
                <w:szCs w:val="18"/>
              </w:rPr>
              <w:t>46,355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61ABEE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1A116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21AC827" w14:textId="77777777" w:rsidR="00000000" w:rsidRDefault="00405D16">
            <w:pPr>
              <w:spacing w:after="100"/>
              <w:jc w:val="right"/>
              <w:rPr>
                <w:rFonts w:eastAsia="Times New Roman"/>
              </w:rPr>
            </w:pPr>
            <w:r>
              <w:rPr>
                <w:rFonts w:eastAsia="Times New Roman"/>
                <w:b/>
                <w:bCs/>
                <w:color w:val="000000"/>
                <w:sz w:val="18"/>
                <w:szCs w:val="18"/>
              </w:rPr>
              <w:t>44.0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87D664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CA3B3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24D8883" w14:textId="77777777" w:rsidR="00000000" w:rsidRDefault="00405D16">
            <w:pPr>
              <w:spacing w:after="100"/>
              <w:jc w:val="right"/>
              <w:rPr>
                <w:rFonts w:eastAsia="Times New Roman"/>
              </w:rPr>
            </w:pPr>
            <w:r>
              <w:rPr>
                <w:rFonts w:eastAsia="Times New Roman"/>
                <w:color w:val="000000"/>
                <w:sz w:val="18"/>
                <w:szCs w:val="18"/>
              </w:rPr>
              <w:t>46,047 </w:t>
            </w:r>
          </w:p>
        </w:tc>
        <w:tc>
          <w:tcPr>
            <w:tcW w:w="0" w:type="auto"/>
            <w:shd w:val="clear" w:color="auto" w:fill="FFFFFF"/>
            <w:tcMar>
              <w:top w:w="30" w:type="dxa"/>
              <w:left w:w="0" w:type="dxa"/>
              <w:bottom w:w="30" w:type="dxa"/>
              <w:right w:w="20" w:type="dxa"/>
            </w:tcMar>
            <w:vAlign w:val="center"/>
            <w:hideMark/>
          </w:tcPr>
          <w:p w14:paraId="337AEEE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2B90D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8609D83" w14:textId="77777777" w:rsidR="00000000" w:rsidRDefault="00405D16">
            <w:pPr>
              <w:spacing w:after="100"/>
              <w:jc w:val="right"/>
              <w:rPr>
                <w:rFonts w:eastAsia="Times New Roman"/>
              </w:rPr>
            </w:pPr>
            <w:r>
              <w:rPr>
                <w:rFonts w:eastAsia="Times New Roman"/>
                <w:color w:val="000000"/>
                <w:sz w:val="18"/>
                <w:szCs w:val="18"/>
              </w:rPr>
              <w:t>43.0 </w:t>
            </w:r>
          </w:p>
        </w:tc>
        <w:tc>
          <w:tcPr>
            <w:tcW w:w="0" w:type="auto"/>
            <w:shd w:val="clear" w:color="auto" w:fill="FFFFFF"/>
            <w:tcMar>
              <w:top w:w="30" w:type="dxa"/>
              <w:left w:w="0" w:type="dxa"/>
              <w:bottom w:w="30" w:type="dxa"/>
              <w:right w:w="20" w:type="dxa"/>
            </w:tcMar>
            <w:vAlign w:val="center"/>
            <w:hideMark/>
          </w:tcPr>
          <w:p w14:paraId="6D878BC5" w14:textId="77777777" w:rsidR="00000000" w:rsidRDefault="00405D16">
            <w:pPr>
              <w:spacing w:after="100"/>
              <w:jc w:val="right"/>
              <w:rPr>
                <w:rFonts w:eastAsia="Times New Roman"/>
              </w:rPr>
            </w:pPr>
          </w:p>
        </w:tc>
      </w:tr>
      <w:tr w:rsidR="00000000" w14:paraId="2FBF71E2" w14:textId="77777777">
        <w:trPr>
          <w:divId w:val="339429874"/>
        </w:trPr>
        <w:tc>
          <w:tcPr>
            <w:tcW w:w="0" w:type="auto"/>
            <w:gridSpan w:val="3"/>
            <w:shd w:val="clear" w:color="auto" w:fill="CCEEFF"/>
            <w:tcMar>
              <w:top w:w="30" w:type="dxa"/>
              <w:left w:w="20" w:type="dxa"/>
              <w:bottom w:w="30" w:type="dxa"/>
              <w:right w:w="20" w:type="dxa"/>
            </w:tcMar>
            <w:vAlign w:val="center"/>
            <w:hideMark/>
          </w:tcPr>
          <w:p w14:paraId="0D074688" w14:textId="77777777" w:rsidR="00000000" w:rsidRDefault="00405D16">
            <w:pPr>
              <w:spacing w:after="100"/>
              <w:rPr>
                <w:rFonts w:eastAsia="Times New Roman"/>
              </w:rPr>
            </w:pPr>
            <w:r>
              <w:rPr>
                <w:rFonts w:eastAsia="Times New Roman"/>
                <w:color w:val="000000"/>
                <w:sz w:val="18"/>
                <w:szCs w:val="18"/>
              </w:rPr>
              <w:t>Total domestic credit card</w:t>
            </w:r>
          </w:p>
        </w:tc>
        <w:tc>
          <w:tcPr>
            <w:tcW w:w="0" w:type="auto"/>
            <w:gridSpan w:val="3"/>
            <w:shd w:val="clear" w:color="auto" w:fill="CCEEFF"/>
            <w:tcMar>
              <w:top w:w="0" w:type="dxa"/>
              <w:left w:w="20" w:type="dxa"/>
              <w:bottom w:w="0" w:type="dxa"/>
              <w:right w:w="20" w:type="dxa"/>
            </w:tcMar>
            <w:vAlign w:val="center"/>
            <w:hideMark/>
          </w:tcPr>
          <w:p w14:paraId="6B29759E"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09220AA" w14:textId="77777777" w:rsidR="00000000" w:rsidRDefault="00405D16">
            <w:pPr>
              <w:spacing w:after="100"/>
              <w:jc w:val="right"/>
              <w:rPr>
                <w:rFonts w:eastAsia="Times New Roman"/>
              </w:rPr>
            </w:pPr>
            <w:r>
              <w:rPr>
                <w:rFonts w:eastAsia="Times New Roman"/>
                <w:b/>
                <w:bCs/>
                <w:color w:val="000000"/>
                <w:sz w:val="18"/>
                <w:szCs w:val="18"/>
              </w:rPr>
              <w:t>99,258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0FBF3B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C2C600"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73298C9" w14:textId="77777777" w:rsidR="00000000" w:rsidRDefault="00405D16">
            <w:pPr>
              <w:spacing w:after="100"/>
              <w:jc w:val="right"/>
              <w:rPr>
                <w:rFonts w:eastAsia="Times New Roman"/>
              </w:rPr>
            </w:pPr>
            <w:r>
              <w:rPr>
                <w:rFonts w:eastAsia="Times New Roman"/>
                <w:b/>
                <w:bCs/>
                <w:color w:val="000000"/>
                <w:sz w:val="18"/>
                <w:szCs w:val="18"/>
              </w:rPr>
              <w:t>94.5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B1C25F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EA6C58"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94B5B75" w14:textId="77777777" w:rsidR="00000000" w:rsidRDefault="00405D16">
            <w:pPr>
              <w:spacing w:after="100"/>
              <w:jc w:val="right"/>
              <w:rPr>
                <w:rFonts w:eastAsia="Times New Roman"/>
              </w:rPr>
            </w:pPr>
            <w:r>
              <w:rPr>
                <w:rFonts w:eastAsia="Times New Roman"/>
                <w:color w:val="000000"/>
                <w:sz w:val="18"/>
                <w:szCs w:val="18"/>
              </w:rPr>
              <w:t>98,504 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B00A27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66B9E1"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9F5BB1C" w14:textId="77777777" w:rsidR="00000000" w:rsidRDefault="00405D16">
            <w:pPr>
              <w:spacing w:after="100"/>
              <w:jc w:val="right"/>
              <w:rPr>
                <w:rFonts w:eastAsia="Times New Roman"/>
              </w:rPr>
            </w:pPr>
            <w:r>
              <w:rPr>
                <w:rFonts w:eastAsia="Times New Roman"/>
                <w:color w:val="000000"/>
                <w:sz w:val="18"/>
                <w:szCs w:val="18"/>
              </w:rPr>
              <w:t>92.1 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3182139" w14:textId="77777777" w:rsidR="00000000" w:rsidRDefault="00405D16">
            <w:pPr>
              <w:spacing w:after="100"/>
              <w:jc w:val="right"/>
              <w:rPr>
                <w:rFonts w:eastAsia="Times New Roman"/>
              </w:rPr>
            </w:pPr>
          </w:p>
        </w:tc>
      </w:tr>
      <w:tr w:rsidR="00000000" w14:paraId="7C96DC77" w14:textId="77777777">
        <w:trPr>
          <w:divId w:val="339429874"/>
        </w:trPr>
        <w:tc>
          <w:tcPr>
            <w:tcW w:w="0" w:type="auto"/>
            <w:gridSpan w:val="3"/>
            <w:shd w:val="clear" w:color="auto" w:fill="FFFFFF"/>
            <w:tcMar>
              <w:top w:w="30" w:type="dxa"/>
              <w:left w:w="20" w:type="dxa"/>
              <w:bottom w:w="30" w:type="dxa"/>
              <w:right w:w="20" w:type="dxa"/>
            </w:tcMar>
            <w:vAlign w:val="center"/>
            <w:hideMark/>
          </w:tcPr>
          <w:p w14:paraId="5E80AD56" w14:textId="77777777" w:rsidR="00000000" w:rsidRDefault="00405D16">
            <w:pPr>
              <w:spacing w:after="100"/>
              <w:rPr>
                <w:rFonts w:eastAsia="Times New Roman"/>
              </w:rPr>
            </w:pPr>
            <w:r>
              <w:rPr>
                <w:rFonts w:eastAsia="Times New Roman"/>
                <w:b/>
                <w:bCs/>
                <w:color w:val="000000"/>
                <w:sz w:val="18"/>
                <w:szCs w:val="18"/>
              </w:rPr>
              <w:t>International card businesses:</w:t>
            </w:r>
          </w:p>
        </w:tc>
        <w:tc>
          <w:tcPr>
            <w:tcW w:w="0" w:type="auto"/>
            <w:gridSpan w:val="3"/>
            <w:shd w:val="clear" w:color="auto" w:fill="FFFFFF"/>
            <w:tcMar>
              <w:top w:w="0" w:type="dxa"/>
              <w:left w:w="20" w:type="dxa"/>
              <w:bottom w:w="0" w:type="dxa"/>
              <w:right w:w="20" w:type="dxa"/>
            </w:tcMar>
            <w:vAlign w:val="center"/>
            <w:hideMark/>
          </w:tcPr>
          <w:p w14:paraId="0986ABF7" w14:textId="77777777" w:rsidR="00000000" w:rsidRDefault="00405D16">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E7FCF8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49AC6F"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D690D3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2CF096"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116A32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7CED67"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FAC35C0" w14:textId="77777777" w:rsidR="00000000" w:rsidRDefault="00405D16">
            <w:pPr>
              <w:spacing w:after="100"/>
              <w:rPr>
                <w:rFonts w:eastAsia="Times New Roman"/>
                <w:sz w:val="20"/>
                <w:szCs w:val="20"/>
              </w:rPr>
            </w:pPr>
          </w:p>
        </w:tc>
      </w:tr>
      <w:tr w:rsidR="00000000" w14:paraId="59A9FA93" w14:textId="77777777">
        <w:trPr>
          <w:divId w:val="339429874"/>
        </w:trPr>
        <w:tc>
          <w:tcPr>
            <w:tcW w:w="0" w:type="auto"/>
            <w:gridSpan w:val="3"/>
            <w:shd w:val="clear" w:color="auto" w:fill="CCEEFF"/>
            <w:tcMar>
              <w:top w:w="30" w:type="dxa"/>
              <w:left w:w="245" w:type="dxa"/>
              <w:bottom w:w="30" w:type="dxa"/>
              <w:right w:w="20" w:type="dxa"/>
            </w:tcMar>
            <w:vAlign w:val="center"/>
            <w:hideMark/>
          </w:tcPr>
          <w:p w14:paraId="4294B9A4" w14:textId="77777777" w:rsidR="00000000" w:rsidRDefault="00405D16">
            <w:pPr>
              <w:spacing w:after="100"/>
              <w:rPr>
                <w:rFonts w:eastAsia="Times New Roman"/>
              </w:rPr>
            </w:pPr>
            <w:r>
              <w:rPr>
                <w:rFonts w:eastAsia="Times New Roman"/>
                <w:color w:val="000000"/>
                <w:sz w:val="18"/>
                <w:szCs w:val="18"/>
              </w:rPr>
              <w:t>Canada</w:t>
            </w:r>
          </w:p>
        </w:tc>
        <w:tc>
          <w:tcPr>
            <w:tcW w:w="0" w:type="auto"/>
            <w:gridSpan w:val="3"/>
            <w:shd w:val="clear" w:color="auto" w:fill="CCEEFF"/>
            <w:tcMar>
              <w:top w:w="0" w:type="dxa"/>
              <w:left w:w="20" w:type="dxa"/>
              <w:bottom w:w="0" w:type="dxa"/>
              <w:right w:w="20" w:type="dxa"/>
            </w:tcMar>
            <w:vAlign w:val="center"/>
            <w:hideMark/>
          </w:tcPr>
          <w:p w14:paraId="5EA29E85"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FA83B45" w14:textId="77777777" w:rsidR="00000000" w:rsidRDefault="00405D16">
            <w:pPr>
              <w:spacing w:after="100"/>
              <w:jc w:val="right"/>
              <w:rPr>
                <w:rFonts w:eastAsia="Times New Roman"/>
              </w:rPr>
            </w:pPr>
            <w:r>
              <w:rPr>
                <w:rFonts w:eastAsia="Times New Roman"/>
                <w:b/>
                <w:bCs/>
                <w:color w:val="000000"/>
                <w:sz w:val="18"/>
                <w:szCs w:val="18"/>
              </w:rPr>
              <w:t>2,947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3F68F9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EEB52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4A835DF" w14:textId="77777777" w:rsidR="00000000" w:rsidRDefault="00405D16">
            <w:pPr>
              <w:spacing w:after="100"/>
              <w:jc w:val="right"/>
              <w:rPr>
                <w:rFonts w:eastAsia="Times New Roman"/>
              </w:rPr>
            </w:pPr>
            <w:r>
              <w:rPr>
                <w:rFonts w:eastAsia="Times New Roman"/>
                <w:b/>
                <w:bCs/>
                <w:color w:val="000000"/>
                <w:sz w:val="18"/>
                <w:szCs w:val="18"/>
              </w:rPr>
              <w:t>2.8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4274F0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0EAC8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4FDCF12" w14:textId="77777777" w:rsidR="00000000" w:rsidRDefault="00405D16">
            <w:pPr>
              <w:spacing w:after="100"/>
              <w:jc w:val="right"/>
              <w:rPr>
                <w:rFonts w:eastAsia="Times New Roman"/>
              </w:rPr>
            </w:pPr>
            <w:r>
              <w:rPr>
                <w:rFonts w:eastAsia="Times New Roman"/>
                <w:color w:val="000000"/>
                <w:sz w:val="18"/>
                <w:szCs w:val="18"/>
              </w:rPr>
              <w:t>5,728 </w:t>
            </w:r>
          </w:p>
        </w:tc>
        <w:tc>
          <w:tcPr>
            <w:tcW w:w="0" w:type="auto"/>
            <w:shd w:val="clear" w:color="auto" w:fill="CCEEFF"/>
            <w:tcMar>
              <w:top w:w="30" w:type="dxa"/>
              <w:left w:w="0" w:type="dxa"/>
              <w:bottom w:w="30" w:type="dxa"/>
              <w:right w:w="20" w:type="dxa"/>
            </w:tcMar>
            <w:vAlign w:val="center"/>
            <w:hideMark/>
          </w:tcPr>
          <w:p w14:paraId="27FDD46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CB799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C03A84F" w14:textId="77777777" w:rsidR="00000000" w:rsidRDefault="00405D16">
            <w:pPr>
              <w:spacing w:after="100"/>
              <w:jc w:val="right"/>
              <w:rPr>
                <w:rFonts w:eastAsia="Times New Roman"/>
              </w:rPr>
            </w:pPr>
            <w:r>
              <w:rPr>
                <w:rFonts w:eastAsia="Times New Roman"/>
                <w:color w:val="000000"/>
                <w:sz w:val="18"/>
                <w:szCs w:val="18"/>
              </w:rPr>
              <w:t>5.4 </w:t>
            </w:r>
          </w:p>
        </w:tc>
        <w:tc>
          <w:tcPr>
            <w:tcW w:w="0" w:type="auto"/>
            <w:shd w:val="clear" w:color="auto" w:fill="CCEEFF"/>
            <w:tcMar>
              <w:top w:w="30" w:type="dxa"/>
              <w:left w:w="0" w:type="dxa"/>
              <w:bottom w:w="30" w:type="dxa"/>
              <w:right w:w="20" w:type="dxa"/>
            </w:tcMar>
            <w:vAlign w:val="center"/>
            <w:hideMark/>
          </w:tcPr>
          <w:p w14:paraId="435CC979" w14:textId="77777777" w:rsidR="00000000" w:rsidRDefault="00405D16">
            <w:pPr>
              <w:spacing w:after="100"/>
              <w:jc w:val="right"/>
              <w:rPr>
                <w:rFonts w:eastAsia="Times New Roman"/>
              </w:rPr>
            </w:pPr>
          </w:p>
        </w:tc>
      </w:tr>
      <w:tr w:rsidR="00000000" w14:paraId="3B70C7B5" w14:textId="77777777">
        <w:trPr>
          <w:divId w:val="339429874"/>
        </w:trPr>
        <w:tc>
          <w:tcPr>
            <w:tcW w:w="0" w:type="auto"/>
            <w:gridSpan w:val="3"/>
            <w:shd w:val="clear" w:color="auto" w:fill="FFFFFF"/>
            <w:tcMar>
              <w:top w:w="30" w:type="dxa"/>
              <w:left w:w="245" w:type="dxa"/>
              <w:bottom w:w="30" w:type="dxa"/>
              <w:right w:w="20" w:type="dxa"/>
            </w:tcMar>
            <w:vAlign w:val="center"/>
            <w:hideMark/>
          </w:tcPr>
          <w:p w14:paraId="68FECE83" w14:textId="77777777" w:rsidR="00000000" w:rsidRDefault="00405D16">
            <w:pPr>
              <w:spacing w:after="100"/>
              <w:rPr>
                <w:rFonts w:eastAsia="Times New Roman"/>
              </w:rPr>
            </w:pPr>
            <w:r>
              <w:rPr>
                <w:rFonts w:eastAsia="Times New Roman"/>
                <w:color w:val="000000"/>
                <w:sz w:val="18"/>
                <w:szCs w:val="18"/>
              </w:rPr>
              <w:t>United Kingdom</w:t>
            </w:r>
          </w:p>
        </w:tc>
        <w:tc>
          <w:tcPr>
            <w:tcW w:w="0" w:type="auto"/>
            <w:gridSpan w:val="3"/>
            <w:shd w:val="clear" w:color="auto" w:fill="FFFFFF"/>
            <w:tcMar>
              <w:top w:w="0" w:type="dxa"/>
              <w:left w:w="20" w:type="dxa"/>
              <w:bottom w:w="0" w:type="dxa"/>
              <w:right w:w="20" w:type="dxa"/>
            </w:tcMar>
            <w:vAlign w:val="center"/>
            <w:hideMark/>
          </w:tcPr>
          <w:p w14:paraId="12457420"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D849EC2" w14:textId="77777777" w:rsidR="00000000" w:rsidRDefault="00405D16">
            <w:pPr>
              <w:spacing w:after="100"/>
              <w:jc w:val="right"/>
              <w:rPr>
                <w:rFonts w:eastAsia="Times New Roman"/>
              </w:rPr>
            </w:pPr>
            <w:r>
              <w:rPr>
                <w:rFonts w:eastAsia="Times New Roman"/>
                <w:b/>
                <w:bCs/>
                <w:color w:val="000000"/>
                <w:sz w:val="18"/>
                <w:szCs w:val="18"/>
              </w:rPr>
              <w:t>2,825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3CB359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D4D0A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0548F5A" w14:textId="77777777" w:rsidR="00000000" w:rsidRDefault="00405D16">
            <w:pPr>
              <w:spacing w:after="100"/>
              <w:jc w:val="right"/>
              <w:rPr>
                <w:rFonts w:eastAsia="Times New Roman"/>
              </w:rPr>
            </w:pPr>
            <w:r>
              <w:rPr>
                <w:rFonts w:eastAsia="Times New Roman"/>
                <w:b/>
                <w:bCs/>
                <w:color w:val="000000"/>
                <w:sz w:val="18"/>
                <w:szCs w:val="18"/>
              </w:rPr>
              <w:t>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70C218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6EE38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41A8CD3" w14:textId="77777777" w:rsidR="00000000" w:rsidRDefault="00405D16">
            <w:pPr>
              <w:spacing w:after="100"/>
              <w:jc w:val="right"/>
              <w:rPr>
                <w:rFonts w:eastAsia="Times New Roman"/>
              </w:rPr>
            </w:pPr>
            <w:r>
              <w:rPr>
                <w:rFonts w:eastAsia="Times New Roman"/>
                <w:color w:val="000000"/>
                <w:sz w:val="18"/>
                <w:szCs w:val="18"/>
              </w:rPr>
              <w:t>2,724 </w:t>
            </w:r>
          </w:p>
        </w:tc>
        <w:tc>
          <w:tcPr>
            <w:tcW w:w="0" w:type="auto"/>
            <w:shd w:val="clear" w:color="auto" w:fill="FFFFFF"/>
            <w:tcMar>
              <w:top w:w="30" w:type="dxa"/>
              <w:left w:w="0" w:type="dxa"/>
              <w:bottom w:w="30" w:type="dxa"/>
              <w:right w:w="20" w:type="dxa"/>
            </w:tcMar>
            <w:vAlign w:val="center"/>
            <w:hideMark/>
          </w:tcPr>
          <w:p w14:paraId="1999670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11378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88B14CD" w14:textId="77777777" w:rsidR="00000000" w:rsidRDefault="00405D16">
            <w:pPr>
              <w:spacing w:after="100"/>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center"/>
            <w:hideMark/>
          </w:tcPr>
          <w:p w14:paraId="5AA9B425" w14:textId="77777777" w:rsidR="00000000" w:rsidRDefault="00405D16">
            <w:pPr>
              <w:spacing w:after="100"/>
              <w:jc w:val="right"/>
              <w:rPr>
                <w:rFonts w:eastAsia="Times New Roman"/>
              </w:rPr>
            </w:pPr>
          </w:p>
        </w:tc>
      </w:tr>
      <w:tr w:rsidR="00000000" w14:paraId="46BC437D" w14:textId="77777777">
        <w:trPr>
          <w:divId w:val="339429874"/>
        </w:trPr>
        <w:tc>
          <w:tcPr>
            <w:tcW w:w="0" w:type="auto"/>
            <w:gridSpan w:val="3"/>
            <w:shd w:val="clear" w:color="auto" w:fill="CCEEFF"/>
            <w:tcMar>
              <w:top w:w="30" w:type="dxa"/>
              <w:left w:w="20" w:type="dxa"/>
              <w:bottom w:w="30" w:type="dxa"/>
              <w:right w:w="20" w:type="dxa"/>
            </w:tcMar>
            <w:vAlign w:val="center"/>
            <w:hideMark/>
          </w:tcPr>
          <w:p w14:paraId="70AA438B" w14:textId="77777777" w:rsidR="00000000" w:rsidRDefault="00405D16">
            <w:pPr>
              <w:spacing w:after="100"/>
              <w:rPr>
                <w:rFonts w:eastAsia="Times New Roman"/>
              </w:rPr>
            </w:pPr>
            <w:r>
              <w:rPr>
                <w:rFonts w:eastAsia="Times New Roman"/>
                <w:color w:val="000000"/>
                <w:sz w:val="18"/>
                <w:szCs w:val="18"/>
              </w:rPr>
              <w:t>Total international card businesses</w:t>
            </w:r>
          </w:p>
        </w:tc>
        <w:tc>
          <w:tcPr>
            <w:tcW w:w="0" w:type="auto"/>
            <w:gridSpan w:val="3"/>
            <w:shd w:val="clear" w:color="auto" w:fill="CCEEFF"/>
            <w:tcMar>
              <w:top w:w="0" w:type="dxa"/>
              <w:left w:w="20" w:type="dxa"/>
              <w:bottom w:w="0" w:type="dxa"/>
              <w:right w:w="20" w:type="dxa"/>
            </w:tcMar>
            <w:vAlign w:val="center"/>
            <w:hideMark/>
          </w:tcPr>
          <w:p w14:paraId="4EEE0EB3"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DB6D5C0" w14:textId="77777777" w:rsidR="00000000" w:rsidRDefault="00405D16">
            <w:pPr>
              <w:spacing w:after="100"/>
              <w:jc w:val="right"/>
              <w:rPr>
                <w:rFonts w:eastAsia="Times New Roman"/>
              </w:rPr>
            </w:pPr>
            <w:r>
              <w:rPr>
                <w:rFonts w:eastAsia="Times New Roman"/>
                <w:b/>
                <w:bCs/>
                <w:color w:val="000000"/>
                <w:sz w:val="18"/>
                <w:szCs w:val="18"/>
              </w:rPr>
              <w:t>5,772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A32EFB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23AFA0"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7156D08" w14:textId="77777777" w:rsidR="00000000" w:rsidRDefault="00405D16">
            <w:pPr>
              <w:spacing w:after="100"/>
              <w:jc w:val="right"/>
              <w:rPr>
                <w:rFonts w:eastAsia="Times New Roman"/>
              </w:rPr>
            </w:pPr>
            <w:r>
              <w:rPr>
                <w:rFonts w:eastAsia="Times New Roman"/>
                <w:b/>
                <w:bCs/>
                <w:color w:val="000000"/>
                <w:sz w:val="18"/>
                <w:szCs w:val="18"/>
              </w:rPr>
              <w:t>5.5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C04B8E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374107"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EC676B8" w14:textId="77777777" w:rsidR="00000000" w:rsidRDefault="00405D16">
            <w:pPr>
              <w:spacing w:after="100"/>
              <w:jc w:val="right"/>
              <w:rPr>
                <w:rFonts w:eastAsia="Times New Roman"/>
              </w:rPr>
            </w:pPr>
            <w:r>
              <w:rPr>
                <w:rFonts w:eastAsia="Times New Roman"/>
                <w:color w:val="000000"/>
                <w:sz w:val="18"/>
                <w:szCs w:val="18"/>
              </w:rPr>
              <w:t>8,452 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EC54E2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53274B"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B176A3E" w14:textId="77777777" w:rsidR="00000000" w:rsidRDefault="00405D16">
            <w:pPr>
              <w:spacing w:after="100"/>
              <w:jc w:val="right"/>
              <w:rPr>
                <w:rFonts w:eastAsia="Times New Roman"/>
              </w:rPr>
            </w:pPr>
            <w:r>
              <w:rPr>
                <w:rFonts w:eastAsia="Times New Roman"/>
                <w:color w:val="000000"/>
                <w:sz w:val="18"/>
                <w:szCs w:val="18"/>
              </w:rPr>
              <w:t>7.9 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C53D26B" w14:textId="77777777" w:rsidR="00000000" w:rsidRDefault="00405D16">
            <w:pPr>
              <w:spacing w:after="100"/>
              <w:jc w:val="right"/>
              <w:rPr>
                <w:rFonts w:eastAsia="Times New Roman"/>
              </w:rPr>
            </w:pPr>
          </w:p>
        </w:tc>
      </w:tr>
      <w:tr w:rsidR="00000000" w14:paraId="7FAB5E23" w14:textId="77777777">
        <w:trPr>
          <w:divId w:val="339429874"/>
        </w:trPr>
        <w:tc>
          <w:tcPr>
            <w:tcW w:w="0" w:type="auto"/>
            <w:gridSpan w:val="3"/>
            <w:shd w:val="clear" w:color="auto" w:fill="FFFFFF"/>
            <w:tcMar>
              <w:top w:w="30" w:type="dxa"/>
              <w:left w:w="20" w:type="dxa"/>
              <w:bottom w:w="30" w:type="dxa"/>
              <w:right w:w="20" w:type="dxa"/>
            </w:tcMar>
            <w:vAlign w:val="center"/>
            <w:hideMark/>
          </w:tcPr>
          <w:p w14:paraId="3F75EC79" w14:textId="77777777" w:rsidR="00000000" w:rsidRDefault="00405D16">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14:paraId="29FDC489"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76988CD"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6B1C975" w14:textId="77777777" w:rsidR="00000000" w:rsidRDefault="00405D16">
            <w:pPr>
              <w:spacing w:after="100"/>
              <w:jc w:val="right"/>
              <w:rPr>
                <w:rFonts w:eastAsia="Times New Roman"/>
              </w:rPr>
            </w:pPr>
            <w:r>
              <w:rPr>
                <w:rFonts w:eastAsia="Times New Roman"/>
                <w:b/>
                <w:bCs/>
                <w:color w:val="000000"/>
                <w:sz w:val="18"/>
                <w:szCs w:val="18"/>
              </w:rPr>
              <w:t>105,030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D8A750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B9751F" w14:textId="77777777" w:rsidR="00000000" w:rsidRDefault="00405D1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CCF1AB3" w14:textId="77777777" w:rsidR="00000000" w:rsidRDefault="00405D16">
            <w:pPr>
              <w:spacing w:after="100"/>
              <w:jc w:val="right"/>
              <w:rPr>
                <w:rFonts w:eastAsia="Times New Roman"/>
              </w:rPr>
            </w:pPr>
            <w:r>
              <w:rPr>
                <w:rFonts w:eastAsia="Times New Roman"/>
                <w:b/>
                <w:bCs/>
                <w:color w:val="000000"/>
                <w:sz w:val="18"/>
                <w:szCs w:val="18"/>
              </w:rPr>
              <w:t>100.0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0402936"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879AA7A" w14:textId="77777777" w:rsidR="00000000" w:rsidRDefault="00405D16">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E8DC417"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FA881EB" w14:textId="77777777" w:rsidR="00000000" w:rsidRDefault="00405D16">
            <w:pPr>
              <w:spacing w:after="100"/>
              <w:jc w:val="right"/>
              <w:rPr>
                <w:rFonts w:eastAsia="Times New Roman"/>
              </w:rPr>
            </w:pPr>
            <w:r>
              <w:rPr>
                <w:rFonts w:eastAsia="Times New Roman"/>
                <w:color w:val="000000"/>
                <w:sz w:val="18"/>
                <w:szCs w:val="18"/>
              </w:rPr>
              <w:t>106,956 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E8CECD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67A19E" w14:textId="77777777" w:rsidR="00000000" w:rsidRDefault="00405D1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5B0013E" w14:textId="77777777" w:rsidR="00000000" w:rsidRDefault="00405D16">
            <w:pPr>
              <w:spacing w:after="100"/>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C2C6F01" w14:textId="77777777" w:rsidR="00000000" w:rsidRDefault="00405D16">
            <w:pPr>
              <w:spacing w:after="100"/>
              <w:jc w:val="right"/>
              <w:rPr>
                <w:rFonts w:eastAsia="Times New Roman"/>
              </w:rPr>
            </w:pPr>
            <w:r>
              <w:rPr>
                <w:rFonts w:eastAsia="Times New Roman"/>
                <w:color w:val="000000"/>
                <w:sz w:val="18"/>
                <w:szCs w:val="18"/>
              </w:rPr>
              <w:t>%</w:t>
            </w: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4574A0B7" w14:textId="77777777">
        <w:trPr>
          <w:jc w:val="center"/>
        </w:trPr>
        <w:tc>
          <w:tcPr>
            <w:tcW w:w="50" w:type="pct"/>
            <w:vAlign w:val="center"/>
            <w:hideMark/>
          </w:tcPr>
          <w:p w14:paraId="6C4770C1" w14:textId="77777777" w:rsidR="00000000" w:rsidRDefault="00405D16">
            <w:pPr>
              <w:rPr>
                <w:rFonts w:eastAsia="Times New Roman"/>
              </w:rPr>
            </w:pPr>
          </w:p>
        </w:tc>
        <w:tc>
          <w:tcPr>
            <w:tcW w:w="1606" w:type="pct"/>
            <w:vAlign w:val="center"/>
            <w:hideMark/>
          </w:tcPr>
          <w:p w14:paraId="0BBD88B0" w14:textId="77777777" w:rsidR="00000000" w:rsidRDefault="00405D16">
            <w:pPr>
              <w:spacing w:after="100"/>
              <w:rPr>
                <w:rFonts w:eastAsia="Times New Roman"/>
                <w:sz w:val="20"/>
                <w:szCs w:val="20"/>
              </w:rPr>
            </w:pPr>
          </w:p>
        </w:tc>
        <w:tc>
          <w:tcPr>
            <w:tcW w:w="5" w:type="pct"/>
            <w:vAlign w:val="center"/>
            <w:hideMark/>
          </w:tcPr>
          <w:p w14:paraId="0131830F" w14:textId="77777777" w:rsidR="00000000" w:rsidRDefault="00405D16">
            <w:pPr>
              <w:spacing w:after="100"/>
              <w:rPr>
                <w:rFonts w:eastAsia="Times New Roman"/>
                <w:sz w:val="20"/>
                <w:szCs w:val="20"/>
              </w:rPr>
            </w:pPr>
          </w:p>
        </w:tc>
        <w:tc>
          <w:tcPr>
            <w:tcW w:w="50" w:type="pct"/>
            <w:vAlign w:val="center"/>
            <w:hideMark/>
          </w:tcPr>
          <w:p w14:paraId="637D95FD" w14:textId="77777777" w:rsidR="00000000" w:rsidRDefault="00405D16">
            <w:pPr>
              <w:spacing w:after="100"/>
              <w:rPr>
                <w:rFonts w:eastAsia="Times New Roman"/>
                <w:sz w:val="20"/>
                <w:szCs w:val="20"/>
              </w:rPr>
            </w:pPr>
          </w:p>
        </w:tc>
        <w:tc>
          <w:tcPr>
            <w:tcW w:w="1614" w:type="pct"/>
            <w:vAlign w:val="center"/>
            <w:hideMark/>
          </w:tcPr>
          <w:p w14:paraId="63EFE5F3" w14:textId="77777777" w:rsidR="00000000" w:rsidRDefault="00405D16">
            <w:pPr>
              <w:spacing w:after="100"/>
              <w:rPr>
                <w:rFonts w:eastAsia="Times New Roman"/>
                <w:sz w:val="20"/>
                <w:szCs w:val="20"/>
              </w:rPr>
            </w:pPr>
          </w:p>
        </w:tc>
        <w:tc>
          <w:tcPr>
            <w:tcW w:w="5" w:type="pct"/>
            <w:vAlign w:val="center"/>
            <w:hideMark/>
          </w:tcPr>
          <w:p w14:paraId="055574D2" w14:textId="77777777" w:rsidR="00000000" w:rsidRDefault="00405D16">
            <w:pPr>
              <w:spacing w:after="100"/>
              <w:rPr>
                <w:rFonts w:eastAsia="Times New Roman"/>
                <w:sz w:val="20"/>
                <w:szCs w:val="20"/>
              </w:rPr>
            </w:pPr>
          </w:p>
        </w:tc>
        <w:tc>
          <w:tcPr>
            <w:tcW w:w="50" w:type="pct"/>
            <w:vAlign w:val="center"/>
            <w:hideMark/>
          </w:tcPr>
          <w:p w14:paraId="3A6F5217" w14:textId="77777777" w:rsidR="00000000" w:rsidRDefault="00405D16">
            <w:pPr>
              <w:spacing w:after="100"/>
              <w:rPr>
                <w:rFonts w:eastAsia="Times New Roman"/>
                <w:sz w:val="20"/>
                <w:szCs w:val="20"/>
              </w:rPr>
            </w:pPr>
          </w:p>
        </w:tc>
        <w:tc>
          <w:tcPr>
            <w:tcW w:w="1614" w:type="pct"/>
            <w:vAlign w:val="center"/>
            <w:hideMark/>
          </w:tcPr>
          <w:p w14:paraId="5BACFFDD" w14:textId="77777777" w:rsidR="00000000" w:rsidRDefault="00405D16">
            <w:pPr>
              <w:spacing w:after="100"/>
              <w:rPr>
                <w:rFonts w:eastAsia="Times New Roman"/>
                <w:sz w:val="20"/>
                <w:szCs w:val="20"/>
              </w:rPr>
            </w:pPr>
          </w:p>
        </w:tc>
        <w:tc>
          <w:tcPr>
            <w:tcW w:w="5" w:type="pct"/>
            <w:vAlign w:val="center"/>
            <w:hideMark/>
          </w:tcPr>
          <w:p w14:paraId="16E0B461" w14:textId="77777777" w:rsidR="00000000" w:rsidRDefault="00405D16">
            <w:pPr>
              <w:spacing w:after="100"/>
              <w:rPr>
                <w:rFonts w:eastAsia="Times New Roman"/>
                <w:sz w:val="20"/>
                <w:szCs w:val="20"/>
              </w:rPr>
            </w:pPr>
          </w:p>
        </w:tc>
      </w:tr>
      <w:tr w:rsidR="00000000" w14:paraId="7496D78E" w14:textId="77777777">
        <w:trPr>
          <w:trHeight w:val="300"/>
          <w:jc w:val="center"/>
        </w:trPr>
        <w:tc>
          <w:tcPr>
            <w:tcW w:w="0" w:type="auto"/>
            <w:gridSpan w:val="9"/>
            <w:tcMar>
              <w:top w:w="0" w:type="dxa"/>
              <w:left w:w="20" w:type="dxa"/>
              <w:bottom w:w="0" w:type="dxa"/>
              <w:right w:w="20" w:type="dxa"/>
            </w:tcMar>
            <w:vAlign w:val="center"/>
            <w:hideMark/>
          </w:tcPr>
          <w:p w14:paraId="26465E27" w14:textId="77777777" w:rsidR="00000000" w:rsidRDefault="00405D16">
            <w:pPr>
              <w:spacing w:after="100"/>
              <w:rPr>
                <w:rFonts w:eastAsia="Times New Roman"/>
                <w:sz w:val="20"/>
                <w:szCs w:val="20"/>
              </w:rPr>
            </w:pPr>
          </w:p>
        </w:tc>
      </w:tr>
      <w:tr w:rsidR="00000000" w14:paraId="09DE6A1F" w14:textId="77777777">
        <w:trPr>
          <w:jc w:val="center"/>
        </w:trPr>
        <w:tc>
          <w:tcPr>
            <w:tcW w:w="0" w:type="auto"/>
            <w:gridSpan w:val="3"/>
            <w:tcMar>
              <w:top w:w="0" w:type="dxa"/>
              <w:left w:w="20" w:type="dxa"/>
              <w:bottom w:w="0" w:type="dxa"/>
              <w:right w:w="20" w:type="dxa"/>
            </w:tcMar>
            <w:vAlign w:val="center"/>
            <w:hideMark/>
          </w:tcPr>
          <w:p w14:paraId="59D8572C"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B952519" w14:textId="77777777" w:rsidR="00000000" w:rsidRDefault="00405D16">
            <w:pPr>
              <w:spacing w:after="100"/>
              <w:jc w:val="center"/>
              <w:rPr>
                <w:rFonts w:eastAsia="Times New Roman"/>
              </w:rPr>
            </w:pPr>
            <w:r>
              <w:rPr>
                <w:rFonts w:eastAsia="Times New Roman"/>
                <w:color w:val="000000"/>
                <w:sz w:val="16"/>
                <w:szCs w:val="16"/>
              </w:rPr>
              <w:t>40</w:t>
            </w:r>
          </w:p>
        </w:tc>
        <w:tc>
          <w:tcPr>
            <w:tcW w:w="0" w:type="auto"/>
            <w:gridSpan w:val="3"/>
            <w:tcMar>
              <w:top w:w="30" w:type="dxa"/>
              <w:left w:w="20" w:type="dxa"/>
              <w:bottom w:w="30" w:type="dxa"/>
              <w:right w:w="20" w:type="dxa"/>
            </w:tcMar>
            <w:vAlign w:val="bottom"/>
            <w:hideMark/>
          </w:tcPr>
          <w:p w14:paraId="03BD226D"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3499D56B" w14:textId="77777777" w:rsidR="00000000" w:rsidRDefault="00405D16">
      <w:pPr>
        <w:rPr>
          <w:rFonts w:eastAsia="Times New Roman"/>
        </w:rPr>
      </w:pPr>
      <w:r>
        <w:rPr>
          <w:rFonts w:eastAsia="Times New Roman"/>
        </w:rPr>
        <w:pict w14:anchorId="0105C20D">
          <v:rect id="_x0000_i1065" style="width:0;height:1.5pt" o:hralign="center" o:hrstd="t" o:hr="t" fillcolor="#a0a0a0" stroked="f"/>
        </w:pict>
      </w:r>
    </w:p>
    <w:p w14:paraId="0C9D3F85" w14:textId="77777777" w:rsidR="00000000" w:rsidRDefault="00405D16">
      <w:pPr>
        <w:ind w:hanging="360"/>
        <w:jc w:val="both"/>
        <w:divId w:val="178617999"/>
        <w:rPr>
          <w:rFonts w:eastAsia="Times New Roman"/>
        </w:rPr>
      </w:pPr>
      <w:hyperlink w:anchor="idd54a04a485440b4ab4e56094c14d612_13" w:history="1">
        <w:r>
          <w:rPr>
            <w:rStyle w:val="a3"/>
            <w:rFonts w:eastAsia="Times New Roman"/>
            <w:sz w:val="16"/>
            <w:szCs w:val="16"/>
          </w:rPr>
          <w:t>Table of Contents</w:t>
        </w:r>
      </w:hyperlink>
    </w:p>
    <w:p w14:paraId="079A7609" w14:textId="77777777" w:rsidR="00000000" w:rsidRDefault="00405D16">
      <w:pPr>
        <w:jc w:val="both"/>
        <w:divId w:val="783814940"/>
        <w:rPr>
          <w:rFonts w:eastAsia="Times New Roman"/>
        </w:rPr>
      </w:pPr>
      <w:r>
        <w:rPr>
          <w:rFonts w:eastAsia="Times New Roman"/>
          <w:color w:val="000000"/>
          <w:sz w:val="20"/>
          <w:szCs w:val="20"/>
        </w:rPr>
        <w:t>Our auto loan portfolio is geographically diversified in the United States due to our product and marketing approach. Retail banking includes s</w:t>
      </w:r>
      <w:r>
        <w:rPr>
          <w:rFonts w:eastAsia="Times New Roman"/>
          <w:color w:val="000000"/>
          <w:sz w:val="20"/>
          <w:szCs w:val="20"/>
        </w:rPr>
        <w:t>mall business loans and other consumer lending products originated through our branch network. The table below presents the geographic profile of our auto loan and retail banking portfolios as of September 30, 2021 and December 31, 2020.</w:t>
      </w:r>
    </w:p>
    <w:p w14:paraId="4BAEEAE5" w14:textId="77777777" w:rsidR="00000000" w:rsidRDefault="00405D16">
      <w:pPr>
        <w:divId w:val="1794210321"/>
        <w:rPr>
          <w:rFonts w:eastAsia="Times New Roman"/>
        </w:rPr>
      </w:pPr>
      <w:r>
        <w:rPr>
          <w:rFonts w:eastAsia="Times New Roman"/>
          <w:b/>
          <w:bCs/>
          <w:color w:val="000000"/>
          <w:sz w:val="18"/>
          <w:szCs w:val="18"/>
        </w:rPr>
        <w:t>Table 19: Consumer</w:t>
      </w:r>
      <w:r>
        <w:rPr>
          <w:rFonts w:eastAsia="Times New Roman"/>
          <w:b/>
          <w:bCs/>
          <w:color w:val="000000"/>
          <w:sz w:val="18"/>
          <w:szCs w:val="18"/>
        </w:rPr>
        <w:t xml:space="preserve"> Banking Portfolio by Geographic Region </w:t>
      </w:r>
    </w:p>
    <w:tbl>
      <w:tblPr>
        <w:tblW w:w="4992" w:type="pct"/>
        <w:tblCellMar>
          <w:top w:w="15" w:type="dxa"/>
          <w:left w:w="15" w:type="dxa"/>
          <w:bottom w:w="15" w:type="dxa"/>
          <w:right w:w="15" w:type="dxa"/>
        </w:tblCellMar>
        <w:tblLook w:val="04A0" w:firstRow="1" w:lastRow="0" w:firstColumn="1" w:lastColumn="0" w:noHBand="0" w:noVBand="1"/>
      </w:tblPr>
      <w:tblGrid>
        <w:gridCol w:w="40"/>
        <w:gridCol w:w="4789"/>
        <w:gridCol w:w="39"/>
        <w:gridCol w:w="36"/>
        <w:gridCol w:w="36"/>
        <w:gridCol w:w="36"/>
        <w:gridCol w:w="110"/>
        <w:gridCol w:w="561"/>
        <w:gridCol w:w="36"/>
        <w:gridCol w:w="36"/>
        <w:gridCol w:w="36"/>
        <w:gridCol w:w="36"/>
        <w:gridCol w:w="51"/>
        <w:gridCol w:w="547"/>
        <w:gridCol w:w="200"/>
        <w:gridCol w:w="36"/>
        <w:gridCol w:w="36"/>
        <w:gridCol w:w="36"/>
        <w:gridCol w:w="110"/>
        <w:gridCol w:w="574"/>
        <w:gridCol w:w="36"/>
        <w:gridCol w:w="36"/>
        <w:gridCol w:w="36"/>
        <w:gridCol w:w="36"/>
        <w:gridCol w:w="51"/>
        <w:gridCol w:w="547"/>
        <w:gridCol w:w="170"/>
      </w:tblGrid>
      <w:tr w:rsidR="00000000" w14:paraId="3B9DCCE2" w14:textId="77777777">
        <w:trPr>
          <w:divId w:val="1743402650"/>
        </w:trPr>
        <w:tc>
          <w:tcPr>
            <w:tcW w:w="50" w:type="pct"/>
            <w:vAlign w:val="center"/>
            <w:hideMark/>
          </w:tcPr>
          <w:p w14:paraId="107632CE" w14:textId="77777777" w:rsidR="00000000" w:rsidRDefault="00405D16">
            <w:pPr>
              <w:rPr>
                <w:rFonts w:eastAsia="Times New Roman"/>
              </w:rPr>
            </w:pPr>
          </w:p>
        </w:tc>
        <w:tc>
          <w:tcPr>
            <w:tcW w:w="2931" w:type="pct"/>
            <w:vAlign w:val="center"/>
            <w:hideMark/>
          </w:tcPr>
          <w:p w14:paraId="2187B39F" w14:textId="77777777" w:rsidR="00000000" w:rsidRDefault="00405D16">
            <w:pPr>
              <w:spacing w:after="100"/>
              <w:rPr>
                <w:rFonts w:eastAsia="Times New Roman"/>
                <w:sz w:val="20"/>
                <w:szCs w:val="20"/>
              </w:rPr>
            </w:pPr>
          </w:p>
        </w:tc>
        <w:tc>
          <w:tcPr>
            <w:tcW w:w="5" w:type="pct"/>
            <w:vAlign w:val="center"/>
            <w:hideMark/>
          </w:tcPr>
          <w:p w14:paraId="6E02A9BC" w14:textId="77777777" w:rsidR="00000000" w:rsidRDefault="00405D16">
            <w:pPr>
              <w:spacing w:after="100"/>
              <w:rPr>
                <w:rFonts w:eastAsia="Times New Roman"/>
                <w:sz w:val="20"/>
                <w:szCs w:val="20"/>
              </w:rPr>
            </w:pPr>
          </w:p>
        </w:tc>
        <w:tc>
          <w:tcPr>
            <w:tcW w:w="5" w:type="pct"/>
            <w:vAlign w:val="center"/>
            <w:hideMark/>
          </w:tcPr>
          <w:p w14:paraId="77367C5E" w14:textId="77777777" w:rsidR="00000000" w:rsidRDefault="00405D16">
            <w:pPr>
              <w:spacing w:after="100"/>
              <w:rPr>
                <w:rFonts w:eastAsia="Times New Roman"/>
                <w:sz w:val="20"/>
                <w:szCs w:val="20"/>
              </w:rPr>
            </w:pPr>
          </w:p>
        </w:tc>
        <w:tc>
          <w:tcPr>
            <w:tcW w:w="26" w:type="pct"/>
            <w:vAlign w:val="center"/>
            <w:hideMark/>
          </w:tcPr>
          <w:p w14:paraId="004E11B9" w14:textId="77777777" w:rsidR="00000000" w:rsidRDefault="00405D16">
            <w:pPr>
              <w:spacing w:after="100"/>
              <w:rPr>
                <w:rFonts w:eastAsia="Times New Roman"/>
                <w:sz w:val="20"/>
                <w:szCs w:val="20"/>
              </w:rPr>
            </w:pPr>
          </w:p>
        </w:tc>
        <w:tc>
          <w:tcPr>
            <w:tcW w:w="5" w:type="pct"/>
            <w:vAlign w:val="center"/>
            <w:hideMark/>
          </w:tcPr>
          <w:p w14:paraId="4E0A8527" w14:textId="77777777" w:rsidR="00000000" w:rsidRDefault="00405D16">
            <w:pPr>
              <w:spacing w:after="100"/>
              <w:rPr>
                <w:rFonts w:eastAsia="Times New Roman"/>
                <w:sz w:val="20"/>
                <w:szCs w:val="20"/>
              </w:rPr>
            </w:pPr>
          </w:p>
        </w:tc>
        <w:tc>
          <w:tcPr>
            <w:tcW w:w="50" w:type="pct"/>
            <w:vAlign w:val="center"/>
            <w:hideMark/>
          </w:tcPr>
          <w:p w14:paraId="04A303B0" w14:textId="77777777" w:rsidR="00000000" w:rsidRDefault="00405D16">
            <w:pPr>
              <w:spacing w:after="100"/>
              <w:rPr>
                <w:rFonts w:eastAsia="Times New Roman"/>
                <w:sz w:val="20"/>
                <w:szCs w:val="20"/>
              </w:rPr>
            </w:pPr>
          </w:p>
        </w:tc>
        <w:tc>
          <w:tcPr>
            <w:tcW w:w="406" w:type="pct"/>
            <w:vAlign w:val="center"/>
            <w:hideMark/>
          </w:tcPr>
          <w:p w14:paraId="7CD1229E" w14:textId="77777777" w:rsidR="00000000" w:rsidRDefault="00405D16">
            <w:pPr>
              <w:spacing w:after="100"/>
              <w:rPr>
                <w:rFonts w:eastAsia="Times New Roman"/>
                <w:sz w:val="20"/>
                <w:szCs w:val="20"/>
              </w:rPr>
            </w:pPr>
          </w:p>
        </w:tc>
        <w:tc>
          <w:tcPr>
            <w:tcW w:w="5" w:type="pct"/>
            <w:vAlign w:val="center"/>
            <w:hideMark/>
          </w:tcPr>
          <w:p w14:paraId="7E2A03A0" w14:textId="77777777" w:rsidR="00000000" w:rsidRDefault="00405D16">
            <w:pPr>
              <w:spacing w:after="100"/>
              <w:rPr>
                <w:rFonts w:eastAsia="Times New Roman"/>
                <w:sz w:val="20"/>
                <w:szCs w:val="20"/>
              </w:rPr>
            </w:pPr>
          </w:p>
        </w:tc>
        <w:tc>
          <w:tcPr>
            <w:tcW w:w="5" w:type="pct"/>
            <w:vAlign w:val="center"/>
            <w:hideMark/>
          </w:tcPr>
          <w:p w14:paraId="2CDA179F" w14:textId="77777777" w:rsidR="00000000" w:rsidRDefault="00405D16">
            <w:pPr>
              <w:spacing w:after="100"/>
              <w:rPr>
                <w:rFonts w:eastAsia="Times New Roman"/>
                <w:sz w:val="20"/>
                <w:szCs w:val="20"/>
              </w:rPr>
            </w:pPr>
          </w:p>
        </w:tc>
        <w:tc>
          <w:tcPr>
            <w:tcW w:w="26" w:type="pct"/>
            <w:vAlign w:val="center"/>
            <w:hideMark/>
          </w:tcPr>
          <w:p w14:paraId="45C90A66" w14:textId="77777777" w:rsidR="00000000" w:rsidRDefault="00405D16">
            <w:pPr>
              <w:spacing w:after="100"/>
              <w:rPr>
                <w:rFonts w:eastAsia="Times New Roman"/>
                <w:sz w:val="20"/>
                <w:szCs w:val="20"/>
              </w:rPr>
            </w:pPr>
          </w:p>
        </w:tc>
        <w:tc>
          <w:tcPr>
            <w:tcW w:w="5" w:type="pct"/>
            <w:vAlign w:val="center"/>
            <w:hideMark/>
          </w:tcPr>
          <w:p w14:paraId="4CA0CA83" w14:textId="77777777" w:rsidR="00000000" w:rsidRDefault="00405D16">
            <w:pPr>
              <w:spacing w:after="100"/>
              <w:rPr>
                <w:rFonts w:eastAsia="Times New Roman"/>
                <w:sz w:val="20"/>
                <w:szCs w:val="20"/>
              </w:rPr>
            </w:pPr>
          </w:p>
        </w:tc>
        <w:tc>
          <w:tcPr>
            <w:tcW w:w="50" w:type="pct"/>
            <w:vAlign w:val="center"/>
            <w:hideMark/>
          </w:tcPr>
          <w:p w14:paraId="4F85ED2A" w14:textId="77777777" w:rsidR="00000000" w:rsidRDefault="00405D16">
            <w:pPr>
              <w:spacing w:after="100"/>
              <w:rPr>
                <w:rFonts w:eastAsia="Times New Roman"/>
                <w:sz w:val="20"/>
                <w:szCs w:val="20"/>
              </w:rPr>
            </w:pPr>
          </w:p>
        </w:tc>
        <w:tc>
          <w:tcPr>
            <w:tcW w:w="413" w:type="pct"/>
            <w:vAlign w:val="center"/>
            <w:hideMark/>
          </w:tcPr>
          <w:p w14:paraId="5FE83B79" w14:textId="77777777" w:rsidR="00000000" w:rsidRDefault="00405D16">
            <w:pPr>
              <w:spacing w:after="100"/>
              <w:rPr>
                <w:rFonts w:eastAsia="Times New Roman"/>
                <w:sz w:val="20"/>
                <w:szCs w:val="20"/>
              </w:rPr>
            </w:pPr>
          </w:p>
        </w:tc>
        <w:tc>
          <w:tcPr>
            <w:tcW w:w="5" w:type="pct"/>
            <w:vAlign w:val="center"/>
            <w:hideMark/>
          </w:tcPr>
          <w:p w14:paraId="6B3E7B47" w14:textId="77777777" w:rsidR="00000000" w:rsidRDefault="00405D16">
            <w:pPr>
              <w:spacing w:after="100"/>
              <w:rPr>
                <w:rFonts w:eastAsia="Times New Roman"/>
                <w:sz w:val="20"/>
                <w:szCs w:val="20"/>
              </w:rPr>
            </w:pPr>
          </w:p>
        </w:tc>
        <w:tc>
          <w:tcPr>
            <w:tcW w:w="5" w:type="pct"/>
            <w:vAlign w:val="center"/>
            <w:hideMark/>
          </w:tcPr>
          <w:p w14:paraId="570C4954" w14:textId="77777777" w:rsidR="00000000" w:rsidRDefault="00405D16">
            <w:pPr>
              <w:spacing w:after="100"/>
              <w:rPr>
                <w:rFonts w:eastAsia="Times New Roman"/>
                <w:sz w:val="20"/>
                <w:szCs w:val="20"/>
              </w:rPr>
            </w:pPr>
          </w:p>
        </w:tc>
        <w:tc>
          <w:tcPr>
            <w:tcW w:w="26" w:type="pct"/>
            <w:vAlign w:val="center"/>
            <w:hideMark/>
          </w:tcPr>
          <w:p w14:paraId="0D660325" w14:textId="77777777" w:rsidR="00000000" w:rsidRDefault="00405D16">
            <w:pPr>
              <w:spacing w:after="100"/>
              <w:rPr>
                <w:rFonts w:eastAsia="Times New Roman"/>
                <w:sz w:val="20"/>
                <w:szCs w:val="20"/>
              </w:rPr>
            </w:pPr>
          </w:p>
        </w:tc>
        <w:tc>
          <w:tcPr>
            <w:tcW w:w="5" w:type="pct"/>
            <w:vAlign w:val="center"/>
            <w:hideMark/>
          </w:tcPr>
          <w:p w14:paraId="1D935DF0" w14:textId="77777777" w:rsidR="00000000" w:rsidRDefault="00405D16">
            <w:pPr>
              <w:spacing w:after="100"/>
              <w:rPr>
                <w:rFonts w:eastAsia="Times New Roman"/>
                <w:sz w:val="20"/>
                <w:szCs w:val="20"/>
              </w:rPr>
            </w:pPr>
          </w:p>
        </w:tc>
        <w:tc>
          <w:tcPr>
            <w:tcW w:w="50" w:type="pct"/>
            <w:vAlign w:val="center"/>
            <w:hideMark/>
          </w:tcPr>
          <w:p w14:paraId="39877C35" w14:textId="77777777" w:rsidR="00000000" w:rsidRDefault="00405D16">
            <w:pPr>
              <w:spacing w:after="100"/>
              <w:rPr>
                <w:rFonts w:eastAsia="Times New Roman"/>
                <w:sz w:val="20"/>
                <w:szCs w:val="20"/>
              </w:rPr>
            </w:pPr>
          </w:p>
        </w:tc>
        <w:tc>
          <w:tcPr>
            <w:tcW w:w="413" w:type="pct"/>
            <w:vAlign w:val="center"/>
            <w:hideMark/>
          </w:tcPr>
          <w:p w14:paraId="1DB4C3B0" w14:textId="77777777" w:rsidR="00000000" w:rsidRDefault="00405D16">
            <w:pPr>
              <w:spacing w:after="100"/>
              <w:rPr>
                <w:rFonts w:eastAsia="Times New Roman"/>
                <w:sz w:val="20"/>
                <w:szCs w:val="20"/>
              </w:rPr>
            </w:pPr>
          </w:p>
        </w:tc>
        <w:tc>
          <w:tcPr>
            <w:tcW w:w="5" w:type="pct"/>
            <w:vAlign w:val="center"/>
            <w:hideMark/>
          </w:tcPr>
          <w:p w14:paraId="3AC406E3" w14:textId="77777777" w:rsidR="00000000" w:rsidRDefault="00405D16">
            <w:pPr>
              <w:spacing w:after="100"/>
              <w:rPr>
                <w:rFonts w:eastAsia="Times New Roman"/>
                <w:sz w:val="20"/>
                <w:szCs w:val="20"/>
              </w:rPr>
            </w:pPr>
          </w:p>
        </w:tc>
        <w:tc>
          <w:tcPr>
            <w:tcW w:w="5" w:type="pct"/>
            <w:vAlign w:val="center"/>
            <w:hideMark/>
          </w:tcPr>
          <w:p w14:paraId="0D49050A" w14:textId="77777777" w:rsidR="00000000" w:rsidRDefault="00405D16">
            <w:pPr>
              <w:spacing w:after="100"/>
              <w:rPr>
                <w:rFonts w:eastAsia="Times New Roman"/>
                <w:sz w:val="20"/>
                <w:szCs w:val="20"/>
              </w:rPr>
            </w:pPr>
          </w:p>
        </w:tc>
        <w:tc>
          <w:tcPr>
            <w:tcW w:w="26" w:type="pct"/>
            <w:vAlign w:val="center"/>
            <w:hideMark/>
          </w:tcPr>
          <w:p w14:paraId="45530A8D" w14:textId="77777777" w:rsidR="00000000" w:rsidRDefault="00405D16">
            <w:pPr>
              <w:spacing w:after="100"/>
              <w:rPr>
                <w:rFonts w:eastAsia="Times New Roman"/>
                <w:sz w:val="20"/>
                <w:szCs w:val="20"/>
              </w:rPr>
            </w:pPr>
          </w:p>
        </w:tc>
        <w:tc>
          <w:tcPr>
            <w:tcW w:w="5" w:type="pct"/>
            <w:vAlign w:val="center"/>
            <w:hideMark/>
          </w:tcPr>
          <w:p w14:paraId="1DC8ACB9" w14:textId="77777777" w:rsidR="00000000" w:rsidRDefault="00405D16">
            <w:pPr>
              <w:spacing w:after="100"/>
              <w:rPr>
                <w:rFonts w:eastAsia="Times New Roman"/>
                <w:sz w:val="20"/>
                <w:szCs w:val="20"/>
              </w:rPr>
            </w:pPr>
          </w:p>
        </w:tc>
        <w:tc>
          <w:tcPr>
            <w:tcW w:w="50" w:type="pct"/>
            <w:vAlign w:val="center"/>
            <w:hideMark/>
          </w:tcPr>
          <w:p w14:paraId="36970575" w14:textId="77777777" w:rsidR="00000000" w:rsidRDefault="00405D16">
            <w:pPr>
              <w:spacing w:after="100"/>
              <w:rPr>
                <w:rFonts w:eastAsia="Times New Roman"/>
                <w:sz w:val="20"/>
                <w:szCs w:val="20"/>
              </w:rPr>
            </w:pPr>
          </w:p>
        </w:tc>
        <w:tc>
          <w:tcPr>
            <w:tcW w:w="413" w:type="pct"/>
            <w:vAlign w:val="center"/>
            <w:hideMark/>
          </w:tcPr>
          <w:p w14:paraId="5AB92195" w14:textId="77777777" w:rsidR="00000000" w:rsidRDefault="00405D16">
            <w:pPr>
              <w:spacing w:after="100"/>
              <w:rPr>
                <w:rFonts w:eastAsia="Times New Roman"/>
                <w:sz w:val="20"/>
                <w:szCs w:val="20"/>
              </w:rPr>
            </w:pPr>
          </w:p>
        </w:tc>
        <w:tc>
          <w:tcPr>
            <w:tcW w:w="5" w:type="pct"/>
            <w:vAlign w:val="center"/>
            <w:hideMark/>
          </w:tcPr>
          <w:p w14:paraId="0B4A474B" w14:textId="77777777" w:rsidR="00000000" w:rsidRDefault="00405D16">
            <w:pPr>
              <w:spacing w:after="100"/>
              <w:rPr>
                <w:rFonts w:eastAsia="Times New Roman"/>
                <w:sz w:val="20"/>
                <w:szCs w:val="20"/>
              </w:rPr>
            </w:pPr>
          </w:p>
        </w:tc>
      </w:tr>
      <w:tr w:rsidR="00000000" w14:paraId="336D90AF" w14:textId="77777777">
        <w:trPr>
          <w:divId w:val="1743402650"/>
        </w:trPr>
        <w:tc>
          <w:tcPr>
            <w:tcW w:w="0" w:type="auto"/>
            <w:gridSpan w:val="3"/>
            <w:tcMar>
              <w:top w:w="30" w:type="dxa"/>
              <w:left w:w="20" w:type="dxa"/>
              <w:bottom w:w="30" w:type="dxa"/>
              <w:right w:w="20" w:type="dxa"/>
            </w:tcMar>
            <w:vAlign w:val="bottom"/>
            <w:hideMark/>
          </w:tcPr>
          <w:p w14:paraId="2FC9BC44"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9483F16" w14:textId="77777777" w:rsidR="00000000" w:rsidRDefault="00405D16">
            <w:pPr>
              <w:spacing w:after="100"/>
              <w:rPr>
                <w:rFonts w:eastAsia="Times New Roman"/>
              </w:rPr>
            </w:pPr>
          </w:p>
        </w:tc>
        <w:tc>
          <w:tcPr>
            <w:tcW w:w="0" w:type="auto"/>
            <w:gridSpan w:val="9"/>
            <w:tcMar>
              <w:top w:w="30" w:type="dxa"/>
              <w:left w:w="20" w:type="dxa"/>
              <w:bottom w:w="30" w:type="dxa"/>
              <w:right w:w="20" w:type="dxa"/>
            </w:tcMar>
            <w:vAlign w:val="bottom"/>
            <w:hideMark/>
          </w:tcPr>
          <w:p w14:paraId="13A92CA6" w14:textId="77777777" w:rsidR="00000000" w:rsidRDefault="00405D16">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14:paraId="5C22A73B" w14:textId="77777777" w:rsidR="00000000" w:rsidRDefault="00405D1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87674DA" w14:textId="77777777" w:rsidR="00000000" w:rsidRDefault="00405D16">
            <w:pPr>
              <w:spacing w:after="100"/>
              <w:jc w:val="center"/>
              <w:rPr>
                <w:rFonts w:eastAsia="Times New Roman"/>
              </w:rPr>
            </w:pPr>
            <w:r>
              <w:rPr>
                <w:rFonts w:eastAsia="Times New Roman"/>
                <w:b/>
                <w:bCs/>
                <w:color w:val="000000"/>
                <w:sz w:val="16"/>
                <w:szCs w:val="16"/>
              </w:rPr>
              <w:t>December 31, 2020</w:t>
            </w:r>
          </w:p>
        </w:tc>
      </w:tr>
      <w:tr w:rsidR="00000000" w14:paraId="0F4DEBB1" w14:textId="77777777">
        <w:trPr>
          <w:divId w:val="1743402650"/>
        </w:trPr>
        <w:tc>
          <w:tcPr>
            <w:tcW w:w="0" w:type="auto"/>
            <w:gridSpan w:val="3"/>
            <w:tcMar>
              <w:top w:w="30" w:type="dxa"/>
              <w:left w:w="20" w:type="dxa"/>
              <w:bottom w:w="30" w:type="dxa"/>
              <w:right w:w="20" w:type="dxa"/>
            </w:tcMar>
            <w:vAlign w:val="bottom"/>
            <w:hideMark/>
          </w:tcPr>
          <w:p w14:paraId="0D5459FA"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780C7B79"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1E9BEE1" w14:textId="77777777" w:rsidR="00000000" w:rsidRDefault="00405D16">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14:paraId="4F4C8332"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551FD9D" w14:textId="77777777" w:rsidR="00000000" w:rsidRDefault="00405D16">
            <w:pPr>
              <w:spacing w:after="100"/>
              <w:jc w:val="center"/>
              <w:rPr>
                <w:rFonts w:eastAsia="Times New Roman"/>
              </w:rPr>
            </w:pPr>
            <w:r>
              <w:rPr>
                <w:rFonts w:eastAsia="Times New Roman"/>
                <w:b/>
                <w:bCs/>
                <w:color w:val="000000"/>
                <w:sz w:val="16"/>
                <w:szCs w:val="16"/>
              </w:rPr>
              <w:t>% of Total</w:t>
            </w:r>
          </w:p>
        </w:tc>
        <w:tc>
          <w:tcPr>
            <w:tcW w:w="0" w:type="auto"/>
            <w:gridSpan w:val="3"/>
            <w:tcMar>
              <w:top w:w="0" w:type="dxa"/>
              <w:left w:w="20" w:type="dxa"/>
              <w:bottom w:w="0" w:type="dxa"/>
              <w:right w:w="20" w:type="dxa"/>
            </w:tcMar>
            <w:vAlign w:val="center"/>
            <w:hideMark/>
          </w:tcPr>
          <w:p w14:paraId="757B51D0"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6FE9A57" w14:textId="77777777" w:rsidR="00000000" w:rsidRDefault="00405D16">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14:paraId="4073C629"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485E278" w14:textId="77777777" w:rsidR="00000000" w:rsidRDefault="00405D16">
            <w:pPr>
              <w:spacing w:after="100"/>
              <w:jc w:val="center"/>
              <w:rPr>
                <w:rFonts w:eastAsia="Times New Roman"/>
              </w:rPr>
            </w:pPr>
            <w:r>
              <w:rPr>
                <w:rFonts w:eastAsia="Times New Roman"/>
                <w:b/>
                <w:bCs/>
                <w:color w:val="000000"/>
                <w:sz w:val="16"/>
                <w:szCs w:val="16"/>
              </w:rPr>
              <w:t>% of Total</w:t>
            </w:r>
          </w:p>
        </w:tc>
      </w:tr>
      <w:tr w:rsidR="00000000" w14:paraId="412D7CB4" w14:textId="77777777">
        <w:trPr>
          <w:divId w:val="174340265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B578D77" w14:textId="77777777" w:rsidR="00000000" w:rsidRDefault="00405D16">
            <w:pPr>
              <w:spacing w:after="100"/>
              <w:rPr>
                <w:rFonts w:eastAsia="Times New Roman"/>
              </w:rPr>
            </w:pPr>
            <w:r>
              <w:rPr>
                <w:rFonts w:eastAsia="Times New Roman"/>
                <w:b/>
                <w:bCs/>
                <w:color w:val="000000"/>
                <w:sz w:val="18"/>
                <w:szCs w:val="18"/>
              </w:rPr>
              <w:t>Auto:</w:t>
            </w:r>
          </w:p>
        </w:tc>
        <w:tc>
          <w:tcPr>
            <w:tcW w:w="0" w:type="auto"/>
            <w:gridSpan w:val="3"/>
            <w:shd w:val="clear" w:color="auto" w:fill="CCEEFF"/>
            <w:tcMar>
              <w:top w:w="0" w:type="dxa"/>
              <w:left w:w="20" w:type="dxa"/>
              <w:bottom w:w="0" w:type="dxa"/>
              <w:right w:w="20" w:type="dxa"/>
            </w:tcMar>
            <w:vAlign w:val="center"/>
            <w:hideMark/>
          </w:tcPr>
          <w:p w14:paraId="28DACF7F"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D56F6A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4060DF"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CD1118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99F23C"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BEEB63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D26F8B"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70E0DA1" w14:textId="77777777" w:rsidR="00000000" w:rsidRDefault="00405D16">
            <w:pPr>
              <w:spacing w:after="100"/>
              <w:rPr>
                <w:rFonts w:eastAsia="Times New Roman"/>
                <w:sz w:val="20"/>
                <w:szCs w:val="20"/>
              </w:rPr>
            </w:pPr>
          </w:p>
        </w:tc>
      </w:tr>
      <w:tr w:rsidR="00000000" w14:paraId="288758DC" w14:textId="77777777">
        <w:trPr>
          <w:divId w:val="1743402650"/>
        </w:trPr>
        <w:tc>
          <w:tcPr>
            <w:tcW w:w="0" w:type="auto"/>
            <w:gridSpan w:val="3"/>
            <w:shd w:val="clear" w:color="auto" w:fill="FFFFFF"/>
            <w:tcMar>
              <w:top w:w="30" w:type="dxa"/>
              <w:left w:w="245" w:type="dxa"/>
              <w:bottom w:w="30" w:type="dxa"/>
              <w:right w:w="20" w:type="dxa"/>
            </w:tcMar>
            <w:vAlign w:val="center"/>
            <w:hideMark/>
          </w:tcPr>
          <w:p w14:paraId="0915ED78" w14:textId="77777777" w:rsidR="00000000" w:rsidRDefault="00405D16">
            <w:pPr>
              <w:spacing w:after="100"/>
              <w:rPr>
                <w:rFonts w:eastAsia="Times New Roman"/>
              </w:rPr>
            </w:pPr>
            <w:r>
              <w:rPr>
                <w:rFonts w:eastAsia="Times New Roman"/>
                <w:color w:val="000000"/>
                <w:sz w:val="18"/>
                <w:szCs w:val="18"/>
              </w:rPr>
              <w:t>Texas</w:t>
            </w:r>
          </w:p>
        </w:tc>
        <w:tc>
          <w:tcPr>
            <w:tcW w:w="0" w:type="auto"/>
            <w:gridSpan w:val="3"/>
            <w:shd w:val="clear" w:color="auto" w:fill="FFFFFF"/>
            <w:tcMar>
              <w:top w:w="0" w:type="dxa"/>
              <w:left w:w="20" w:type="dxa"/>
              <w:bottom w:w="0" w:type="dxa"/>
              <w:right w:w="20" w:type="dxa"/>
            </w:tcMar>
            <w:vAlign w:val="center"/>
            <w:hideMark/>
          </w:tcPr>
          <w:p w14:paraId="2943D389"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2A16F86D"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4E453647" w14:textId="77777777" w:rsidR="00000000" w:rsidRDefault="00405D16">
            <w:pPr>
              <w:spacing w:after="100"/>
              <w:jc w:val="right"/>
              <w:rPr>
                <w:rFonts w:eastAsia="Times New Roman"/>
              </w:rPr>
            </w:pPr>
            <w:r>
              <w:rPr>
                <w:rFonts w:eastAsia="Times New Roman"/>
                <w:b/>
                <w:bCs/>
                <w:color w:val="000000"/>
                <w:sz w:val="18"/>
                <w:szCs w:val="18"/>
              </w:rPr>
              <w:t>9,173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04022F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8A9AD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B63625B" w14:textId="77777777" w:rsidR="00000000" w:rsidRDefault="00405D16">
            <w:pPr>
              <w:spacing w:after="100"/>
              <w:jc w:val="right"/>
              <w:rPr>
                <w:rFonts w:eastAsia="Times New Roman"/>
              </w:rPr>
            </w:pPr>
            <w:r>
              <w:rPr>
                <w:rFonts w:eastAsia="Times New Roman"/>
                <w:b/>
                <w:bCs/>
                <w:color w:val="000000"/>
                <w:sz w:val="18"/>
                <w:szCs w:val="18"/>
              </w:rPr>
              <w:t>11.9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EC109A3"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E9B7E1D" w14:textId="77777777" w:rsidR="00000000" w:rsidRDefault="00405D16">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5E421ED0"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29A4EA34" w14:textId="77777777" w:rsidR="00000000" w:rsidRDefault="00405D16">
            <w:pPr>
              <w:spacing w:after="100"/>
              <w:jc w:val="right"/>
              <w:rPr>
                <w:rFonts w:eastAsia="Times New Roman"/>
              </w:rPr>
            </w:pPr>
            <w:r>
              <w:rPr>
                <w:rFonts w:eastAsia="Times New Roman"/>
                <w:color w:val="000000"/>
                <w:sz w:val="18"/>
                <w:szCs w:val="18"/>
              </w:rPr>
              <w:t>8,207 </w:t>
            </w:r>
          </w:p>
        </w:tc>
        <w:tc>
          <w:tcPr>
            <w:tcW w:w="0" w:type="auto"/>
            <w:shd w:val="clear" w:color="auto" w:fill="FFFFFF"/>
            <w:tcMar>
              <w:top w:w="30" w:type="dxa"/>
              <w:left w:w="0" w:type="dxa"/>
              <w:bottom w:w="30" w:type="dxa"/>
              <w:right w:w="20" w:type="dxa"/>
            </w:tcMar>
            <w:vAlign w:val="center"/>
            <w:hideMark/>
          </w:tcPr>
          <w:p w14:paraId="36B9A22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8ECD7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36E495F" w14:textId="77777777" w:rsidR="00000000" w:rsidRDefault="00405D16">
            <w:pPr>
              <w:spacing w:after="100"/>
              <w:jc w:val="right"/>
              <w:rPr>
                <w:rFonts w:eastAsia="Times New Roman"/>
              </w:rPr>
            </w:pPr>
            <w:r>
              <w:rPr>
                <w:rFonts w:eastAsia="Times New Roman"/>
                <w:color w:val="000000"/>
                <w:sz w:val="18"/>
                <w:szCs w:val="18"/>
              </w:rPr>
              <w:t>11.9 </w:t>
            </w:r>
          </w:p>
        </w:tc>
        <w:tc>
          <w:tcPr>
            <w:tcW w:w="0" w:type="auto"/>
            <w:shd w:val="clear" w:color="auto" w:fill="FFFFFF"/>
            <w:tcMar>
              <w:top w:w="30" w:type="dxa"/>
              <w:left w:w="0" w:type="dxa"/>
              <w:bottom w:w="30" w:type="dxa"/>
              <w:right w:w="20" w:type="dxa"/>
            </w:tcMar>
            <w:vAlign w:val="center"/>
            <w:hideMark/>
          </w:tcPr>
          <w:p w14:paraId="590178E2" w14:textId="77777777" w:rsidR="00000000" w:rsidRDefault="00405D16">
            <w:pPr>
              <w:spacing w:after="100"/>
              <w:jc w:val="right"/>
              <w:rPr>
                <w:rFonts w:eastAsia="Times New Roman"/>
              </w:rPr>
            </w:pPr>
            <w:r>
              <w:rPr>
                <w:rFonts w:eastAsia="Times New Roman"/>
                <w:color w:val="000000"/>
                <w:sz w:val="18"/>
                <w:szCs w:val="18"/>
              </w:rPr>
              <w:t>%</w:t>
            </w:r>
          </w:p>
        </w:tc>
      </w:tr>
      <w:tr w:rsidR="00000000" w14:paraId="739E724A" w14:textId="77777777">
        <w:trPr>
          <w:divId w:val="1743402650"/>
        </w:trPr>
        <w:tc>
          <w:tcPr>
            <w:tcW w:w="0" w:type="auto"/>
            <w:gridSpan w:val="3"/>
            <w:shd w:val="clear" w:color="auto" w:fill="CCEEFF"/>
            <w:tcMar>
              <w:top w:w="30" w:type="dxa"/>
              <w:left w:w="245" w:type="dxa"/>
              <w:bottom w:w="30" w:type="dxa"/>
              <w:right w:w="20" w:type="dxa"/>
            </w:tcMar>
            <w:vAlign w:val="center"/>
            <w:hideMark/>
          </w:tcPr>
          <w:p w14:paraId="6B68B2D5" w14:textId="77777777" w:rsidR="00000000" w:rsidRDefault="00405D16">
            <w:pPr>
              <w:spacing w:after="100"/>
              <w:rPr>
                <w:rFonts w:eastAsia="Times New Roman"/>
              </w:rPr>
            </w:pPr>
            <w:r>
              <w:rPr>
                <w:rFonts w:eastAsia="Times New Roman"/>
                <w:color w:val="000000"/>
                <w:sz w:val="18"/>
                <w:szCs w:val="18"/>
              </w:rPr>
              <w:t>California</w:t>
            </w:r>
          </w:p>
        </w:tc>
        <w:tc>
          <w:tcPr>
            <w:tcW w:w="0" w:type="auto"/>
            <w:gridSpan w:val="3"/>
            <w:shd w:val="clear" w:color="auto" w:fill="CCEEFF"/>
            <w:tcMar>
              <w:top w:w="0" w:type="dxa"/>
              <w:left w:w="20" w:type="dxa"/>
              <w:bottom w:w="0" w:type="dxa"/>
              <w:right w:w="20" w:type="dxa"/>
            </w:tcMar>
            <w:vAlign w:val="center"/>
            <w:hideMark/>
          </w:tcPr>
          <w:p w14:paraId="2AA17716"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F625B71" w14:textId="77777777" w:rsidR="00000000" w:rsidRDefault="00405D16">
            <w:pPr>
              <w:spacing w:after="100"/>
              <w:jc w:val="right"/>
              <w:rPr>
                <w:rFonts w:eastAsia="Times New Roman"/>
              </w:rPr>
            </w:pPr>
            <w:r>
              <w:rPr>
                <w:rFonts w:eastAsia="Times New Roman"/>
                <w:b/>
                <w:bCs/>
                <w:color w:val="000000"/>
                <w:sz w:val="18"/>
                <w:szCs w:val="18"/>
              </w:rPr>
              <w:t>8,896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B5AA65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AD0CF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CD7F929" w14:textId="77777777" w:rsidR="00000000" w:rsidRDefault="00405D16">
            <w:pPr>
              <w:spacing w:after="100"/>
              <w:jc w:val="right"/>
              <w:rPr>
                <w:rFonts w:eastAsia="Times New Roman"/>
              </w:rPr>
            </w:pPr>
            <w:r>
              <w:rPr>
                <w:rFonts w:eastAsia="Times New Roman"/>
                <w:b/>
                <w:bCs/>
                <w:color w:val="000000"/>
                <w:sz w:val="18"/>
                <w:szCs w:val="18"/>
              </w:rPr>
              <w:t>11.5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47E7D0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8F34E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7EE81EE" w14:textId="77777777" w:rsidR="00000000" w:rsidRDefault="00405D16">
            <w:pPr>
              <w:spacing w:after="100"/>
              <w:jc w:val="right"/>
              <w:rPr>
                <w:rFonts w:eastAsia="Times New Roman"/>
              </w:rPr>
            </w:pPr>
            <w:r>
              <w:rPr>
                <w:rFonts w:eastAsia="Times New Roman"/>
                <w:color w:val="000000"/>
                <w:sz w:val="18"/>
                <w:szCs w:val="18"/>
              </w:rPr>
              <w:t>7,573 </w:t>
            </w:r>
          </w:p>
        </w:tc>
        <w:tc>
          <w:tcPr>
            <w:tcW w:w="0" w:type="auto"/>
            <w:shd w:val="clear" w:color="auto" w:fill="CCEEFF"/>
            <w:tcMar>
              <w:top w:w="30" w:type="dxa"/>
              <w:left w:w="0" w:type="dxa"/>
              <w:bottom w:w="30" w:type="dxa"/>
              <w:right w:w="20" w:type="dxa"/>
            </w:tcMar>
            <w:vAlign w:val="center"/>
            <w:hideMark/>
          </w:tcPr>
          <w:p w14:paraId="63FB376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89C0F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ABB9273" w14:textId="77777777" w:rsidR="00000000" w:rsidRDefault="00405D16">
            <w:pPr>
              <w:spacing w:after="100"/>
              <w:jc w:val="right"/>
              <w:rPr>
                <w:rFonts w:eastAsia="Times New Roman"/>
              </w:rPr>
            </w:pPr>
            <w:r>
              <w:rPr>
                <w:rFonts w:eastAsia="Times New Roman"/>
                <w:color w:val="000000"/>
                <w:sz w:val="18"/>
                <w:szCs w:val="18"/>
              </w:rPr>
              <w:t>11.0 </w:t>
            </w:r>
          </w:p>
        </w:tc>
        <w:tc>
          <w:tcPr>
            <w:tcW w:w="0" w:type="auto"/>
            <w:shd w:val="clear" w:color="auto" w:fill="CCEEFF"/>
            <w:tcMar>
              <w:top w:w="30" w:type="dxa"/>
              <w:left w:w="0" w:type="dxa"/>
              <w:bottom w:w="30" w:type="dxa"/>
              <w:right w:w="20" w:type="dxa"/>
            </w:tcMar>
            <w:vAlign w:val="center"/>
            <w:hideMark/>
          </w:tcPr>
          <w:p w14:paraId="48EE28C2" w14:textId="77777777" w:rsidR="00000000" w:rsidRDefault="00405D16">
            <w:pPr>
              <w:spacing w:after="100"/>
              <w:jc w:val="right"/>
              <w:rPr>
                <w:rFonts w:eastAsia="Times New Roman"/>
              </w:rPr>
            </w:pPr>
          </w:p>
        </w:tc>
      </w:tr>
      <w:tr w:rsidR="00000000" w14:paraId="15AAEBA1" w14:textId="77777777">
        <w:trPr>
          <w:divId w:val="1743402650"/>
        </w:trPr>
        <w:tc>
          <w:tcPr>
            <w:tcW w:w="0" w:type="auto"/>
            <w:gridSpan w:val="3"/>
            <w:shd w:val="clear" w:color="auto" w:fill="FFFFFF"/>
            <w:tcMar>
              <w:top w:w="30" w:type="dxa"/>
              <w:left w:w="245" w:type="dxa"/>
              <w:bottom w:w="30" w:type="dxa"/>
              <w:right w:w="20" w:type="dxa"/>
            </w:tcMar>
            <w:vAlign w:val="center"/>
            <w:hideMark/>
          </w:tcPr>
          <w:p w14:paraId="20937C97" w14:textId="77777777" w:rsidR="00000000" w:rsidRDefault="00405D16">
            <w:pPr>
              <w:spacing w:after="100"/>
              <w:rPr>
                <w:rFonts w:eastAsia="Times New Roman"/>
              </w:rPr>
            </w:pPr>
            <w:r>
              <w:rPr>
                <w:rFonts w:eastAsia="Times New Roman"/>
                <w:color w:val="000000"/>
                <w:sz w:val="18"/>
                <w:szCs w:val="18"/>
              </w:rPr>
              <w:t>Florida</w:t>
            </w:r>
          </w:p>
        </w:tc>
        <w:tc>
          <w:tcPr>
            <w:tcW w:w="0" w:type="auto"/>
            <w:gridSpan w:val="3"/>
            <w:shd w:val="clear" w:color="auto" w:fill="FFFFFF"/>
            <w:tcMar>
              <w:top w:w="0" w:type="dxa"/>
              <w:left w:w="20" w:type="dxa"/>
              <w:bottom w:w="0" w:type="dxa"/>
              <w:right w:w="20" w:type="dxa"/>
            </w:tcMar>
            <w:vAlign w:val="center"/>
            <w:hideMark/>
          </w:tcPr>
          <w:p w14:paraId="551F827F"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4DE3394" w14:textId="77777777" w:rsidR="00000000" w:rsidRDefault="00405D16">
            <w:pPr>
              <w:spacing w:after="100"/>
              <w:jc w:val="right"/>
              <w:rPr>
                <w:rFonts w:eastAsia="Times New Roman"/>
              </w:rPr>
            </w:pPr>
            <w:r>
              <w:rPr>
                <w:rFonts w:eastAsia="Times New Roman"/>
                <w:b/>
                <w:bCs/>
                <w:color w:val="000000"/>
                <w:sz w:val="18"/>
                <w:szCs w:val="18"/>
              </w:rPr>
              <w:t>6,354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B6D8EC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0A61B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A53C75B" w14:textId="77777777" w:rsidR="00000000" w:rsidRDefault="00405D16">
            <w:pPr>
              <w:spacing w:after="100"/>
              <w:jc w:val="right"/>
              <w:rPr>
                <w:rFonts w:eastAsia="Times New Roman"/>
              </w:rPr>
            </w:pPr>
            <w:r>
              <w:rPr>
                <w:rFonts w:eastAsia="Times New Roman"/>
                <w:b/>
                <w:bCs/>
                <w:color w:val="000000"/>
                <w:sz w:val="18"/>
                <w:szCs w:val="18"/>
              </w:rPr>
              <w:t>8.2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B13BD0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47C6F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FA9544F" w14:textId="77777777" w:rsidR="00000000" w:rsidRDefault="00405D16">
            <w:pPr>
              <w:spacing w:after="100"/>
              <w:jc w:val="right"/>
              <w:rPr>
                <w:rFonts w:eastAsia="Times New Roman"/>
              </w:rPr>
            </w:pPr>
            <w:r>
              <w:rPr>
                <w:rFonts w:eastAsia="Times New Roman"/>
                <w:color w:val="000000"/>
                <w:sz w:val="18"/>
                <w:szCs w:val="18"/>
              </w:rPr>
              <w:t>5,544 </w:t>
            </w:r>
          </w:p>
        </w:tc>
        <w:tc>
          <w:tcPr>
            <w:tcW w:w="0" w:type="auto"/>
            <w:shd w:val="clear" w:color="auto" w:fill="FFFFFF"/>
            <w:tcMar>
              <w:top w:w="30" w:type="dxa"/>
              <w:left w:w="0" w:type="dxa"/>
              <w:bottom w:w="30" w:type="dxa"/>
              <w:right w:w="20" w:type="dxa"/>
            </w:tcMar>
            <w:vAlign w:val="center"/>
            <w:hideMark/>
          </w:tcPr>
          <w:p w14:paraId="1E1465B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8E0F0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7E3E75F" w14:textId="77777777" w:rsidR="00000000" w:rsidRDefault="00405D16">
            <w:pPr>
              <w:spacing w:after="100"/>
              <w:jc w:val="right"/>
              <w:rPr>
                <w:rFonts w:eastAsia="Times New Roman"/>
              </w:rPr>
            </w:pPr>
            <w:r>
              <w:rPr>
                <w:rFonts w:eastAsia="Times New Roman"/>
                <w:color w:val="000000"/>
                <w:sz w:val="18"/>
                <w:szCs w:val="18"/>
              </w:rPr>
              <w:t>8.1 </w:t>
            </w:r>
          </w:p>
        </w:tc>
        <w:tc>
          <w:tcPr>
            <w:tcW w:w="0" w:type="auto"/>
            <w:shd w:val="clear" w:color="auto" w:fill="FFFFFF"/>
            <w:tcMar>
              <w:top w:w="30" w:type="dxa"/>
              <w:left w:w="0" w:type="dxa"/>
              <w:bottom w:w="30" w:type="dxa"/>
              <w:right w:w="20" w:type="dxa"/>
            </w:tcMar>
            <w:vAlign w:val="center"/>
            <w:hideMark/>
          </w:tcPr>
          <w:p w14:paraId="5D300133" w14:textId="77777777" w:rsidR="00000000" w:rsidRDefault="00405D16">
            <w:pPr>
              <w:spacing w:after="100"/>
              <w:jc w:val="right"/>
              <w:rPr>
                <w:rFonts w:eastAsia="Times New Roman"/>
              </w:rPr>
            </w:pPr>
          </w:p>
        </w:tc>
      </w:tr>
      <w:tr w:rsidR="00000000" w14:paraId="11E90650" w14:textId="77777777">
        <w:trPr>
          <w:divId w:val="1743402650"/>
        </w:trPr>
        <w:tc>
          <w:tcPr>
            <w:tcW w:w="0" w:type="auto"/>
            <w:gridSpan w:val="3"/>
            <w:shd w:val="clear" w:color="auto" w:fill="CCEEFF"/>
            <w:tcMar>
              <w:top w:w="30" w:type="dxa"/>
              <w:left w:w="245" w:type="dxa"/>
              <w:bottom w:w="30" w:type="dxa"/>
              <w:right w:w="20" w:type="dxa"/>
            </w:tcMar>
            <w:vAlign w:val="center"/>
            <w:hideMark/>
          </w:tcPr>
          <w:p w14:paraId="591E3AC1" w14:textId="77777777" w:rsidR="00000000" w:rsidRDefault="00405D16">
            <w:pPr>
              <w:spacing w:after="100"/>
              <w:rPr>
                <w:rFonts w:eastAsia="Times New Roman"/>
              </w:rPr>
            </w:pPr>
            <w:r>
              <w:rPr>
                <w:rFonts w:eastAsia="Times New Roman"/>
                <w:color w:val="000000"/>
                <w:sz w:val="18"/>
                <w:szCs w:val="18"/>
              </w:rPr>
              <w:t>Georgia</w:t>
            </w:r>
          </w:p>
        </w:tc>
        <w:tc>
          <w:tcPr>
            <w:tcW w:w="0" w:type="auto"/>
            <w:gridSpan w:val="3"/>
            <w:shd w:val="clear" w:color="auto" w:fill="CCEEFF"/>
            <w:tcMar>
              <w:top w:w="0" w:type="dxa"/>
              <w:left w:w="20" w:type="dxa"/>
              <w:bottom w:w="0" w:type="dxa"/>
              <w:right w:w="20" w:type="dxa"/>
            </w:tcMar>
            <w:vAlign w:val="center"/>
            <w:hideMark/>
          </w:tcPr>
          <w:p w14:paraId="77C0F1F3"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00EF070" w14:textId="77777777" w:rsidR="00000000" w:rsidRDefault="00405D16">
            <w:pPr>
              <w:spacing w:after="100"/>
              <w:jc w:val="right"/>
              <w:rPr>
                <w:rFonts w:eastAsia="Times New Roman"/>
              </w:rPr>
            </w:pPr>
            <w:r>
              <w:rPr>
                <w:rFonts w:eastAsia="Times New Roman"/>
                <w:b/>
                <w:bCs/>
                <w:color w:val="000000"/>
                <w:sz w:val="18"/>
                <w:szCs w:val="18"/>
              </w:rPr>
              <w:t>3,292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82AC79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37A99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E721FD5" w14:textId="77777777" w:rsidR="00000000" w:rsidRDefault="00405D16">
            <w:pPr>
              <w:spacing w:after="100"/>
              <w:jc w:val="right"/>
              <w:rPr>
                <w:rFonts w:eastAsia="Times New Roman"/>
              </w:rPr>
            </w:pPr>
            <w:r>
              <w:rPr>
                <w:rFonts w:eastAsia="Times New Roman"/>
                <w:b/>
                <w:bCs/>
                <w:color w:val="000000"/>
                <w:sz w:val="18"/>
                <w:szCs w:val="18"/>
              </w:rPr>
              <w:t>4.3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B3C12A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A3AC0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40BD7A5" w14:textId="77777777" w:rsidR="00000000" w:rsidRDefault="00405D16">
            <w:pPr>
              <w:spacing w:after="100"/>
              <w:jc w:val="right"/>
              <w:rPr>
                <w:rFonts w:eastAsia="Times New Roman"/>
              </w:rPr>
            </w:pPr>
            <w:r>
              <w:rPr>
                <w:rFonts w:eastAsia="Times New Roman"/>
                <w:color w:val="000000"/>
                <w:sz w:val="18"/>
                <w:szCs w:val="18"/>
              </w:rPr>
              <w:t>2,989 </w:t>
            </w:r>
          </w:p>
        </w:tc>
        <w:tc>
          <w:tcPr>
            <w:tcW w:w="0" w:type="auto"/>
            <w:shd w:val="clear" w:color="auto" w:fill="CCEEFF"/>
            <w:tcMar>
              <w:top w:w="30" w:type="dxa"/>
              <w:left w:w="0" w:type="dxa"/>
              <w:bottom w:w="30" w:type="dxa"/>
              <w:right w:w="20" w:type="dxa"/>
            </w:tcMar>
            <w:vAlign w:val="center"/>
            <w:hideMark/>
          </w:tcPr>
          <w:p w14:paraId="155CB0E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FA7CB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78F04D7" w14:textId="77777777" w:rsidR="00000000" w:rsidRDefault="00405D16">
            <w:pPr>
              <w:spacing w:after="100"/>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center"/>
            <w:hideMark/>
          </w:tcPr>
          <w:p w14:paraId="74B9AB2E" w14:textId="77777777" w:rsidR="00000000" w:rsidRDefault="00405D16">
            <w:pPr>
              <w:spacing w:after="100"/>
              <w:jc w:val="right"/>
              <w:rPr>
                <w:rFonts w:eastAsia="Times New Roman"/>
              </w:rPr>
            </w:pPr>
          </w:p>
        </w:tc>
      </w:tr>
      <w:tr w:rsidR="00000000" w14:paraId="5B0E9F78" w14:textId="77777777">
        <w:trPr>
          <w:divId w:val="1743402650"/>
        </w:trPr>
        <w:tc>
          <w:tcPr>
            <w:tcW w:w="0" w:type="auto"/>
            <w:gridSpan w:val="3"/>
            <w:shd w:val="clear" w:color="auto" w:fill="FFFFFF"/>
            <w:tcMar>
              <w:top w:w="30" w:type="dxa"/>
              <w:left w:w="245" w:type="dxa"/>
              <w:bottom w:w="30" w:type="dxa"/>
              <w:right w:w="20" w:type="dxa"/>
            </w:tcMar>
            <w:vAlign w:val="center"/>
            <w:hideMark/>
          </w:tcPr>
          <w:p w14:paraId="33A3F59E" w14:textId="77777777" w:rsidR="00000000" w:rsidRDefault="00405D16">
            <w:pPr>
              <w:spacing w:after="100"/>
              <w:rPr>
                <w:rFonts w:eastAsia="Times New Roman"/>
              </w:rPr>
            </w:pPr>
            <w:r>
              <w:rPr>
                <w:rFonts w:eastAsia="Times New Roman"/>
                <w:color w:val="000000"/>
                <w:sz w:val="18"/>
                <w:szCs w:val="18"/>
              </w:rPr>
              <w:t>Pennsylvania</w:t>
            </w:r>
          </w:p>
        </w:tc>
        <w:tc>
          <w:tcPr>
            <w:tcW w:w="0" w:type="auto"/>
            <w:gridSpan w:val="3"/>
            <w:shd w:val="clear" w:color="auto" w:fill="FFFFFF"/>
            <w:tcMar>
              <w:top w:w="0" w:type="dxa"/>
              <w:left w:w="20" w:type="dxa"/>
              <w:bottom w:w="0" w:type="dxa"/>
              <w:right w:w="20" w:type="dxa"/>
            </w:tcMar>
            <w:vAlign w:val="center"/>
            <w:hideMark/>
          </w:tcPr>
          <w:p w14:paraId="34127DF9"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4778F8D" w14:textId="77777777" w:rsidR="00000000" w:rsidRDefault="00405D16">
            <w:pPr>
              <w:spacing w:after="100"/>
              <w:jc w:val="right"/>
              <w:rPr>
                <w:rFonts w:eastAsia="Times New Roman"/>
              </w:rPr>
            </w:pPr>
            <w:r>
              <w:rPr>
                <w:rFonts w:eastAsia="Times New Roman"/>
                <w:b/>
                <w:bCs/>
                <w:color w:val="000000"/>
                <w:sz w:val="18"/>
                <w:szCs w:val="18"/>
              </w:rPr>
              <w:t>3,061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9CAE2C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69A10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A52D1F2" w14:textId="77777777" w:rsidR="00000000" w:rsidRDefault="00405D16">
            <w:pPr>
              <w:spacing w:after="100"/>
              <w:jc w:val="right"/>
              <w:rPr>
                <w:rFonts w:eastAsia="Times New Roman"/>
              </w:rPr>
            </w:pPr>
            <w:r>
              <w:rPr>
                <w:rFonts w:eastAsia="Times New Roman"/>
                <w:b/>
                <w:bCs/>
                <w:color w:val="000000"/>
                <w:sz w:val="18"/>
                <w:szCs w:val="18"/>
              </w:rPr>
              <w:t>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64D134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EA110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F9CA2F3" w14:textId="77777777" w:rsidR="00000000" w:rsidRDefault="00405D16">
            <w:pPr>
              <w:spacing w:after="100"/>
              <w:jc w:val="right"/>
              <w:rPr>
                <w:rFonts w:eastAsia="Times New Roman"/>
              </w:rPr>
            </w:pPr>
            <w:r>
              <w:rPr>
                <w:rFonts w:eastAsia="Times New Roman"/>
                <w:color w:val="000000"/>
                <w:sz w:val="18"/>
                <w:szCs w:val="18"/>
              </w:rPr>
              <w:t>2,569 </w:t>
            </w:r>
          </w:p>
        </w:tc>
        <w:tc>
          <w:tcPr>
            <w:tcW w:w="0" w:type="auto"/>
            <w:shd w:val="clear" w:color="auto" w:fill="FFFFFF"/>
            <w:tcMar>
              <w:top w:w="30" w:type="dxa"/>
              <w:left w:w="0" w:type="dxa"/>
              <w:bottom w:w="30" w:type="dxa"/>
              <w:right w:w="20" w:type="dxa"/>
            </w:tcMar>
            <w:vAlign w:val="center"/>
            <w:hideMark/>
          </w:tcPr>
          <w:p w14:paraId="0723F07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CDA55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44C7104" w14:textId="77777777" w:rsidR="00000000" w:rsidRDefault="00405D16">
            <w:pPr>
              <w:spacing w:after="100"/>
              <w:jc w:val="right"/>
              <w:rPr>
                <w:rFonts w:eastAsia="Times New Roman"/>
              </w:rPr>
            </w:pPr>
            <w:r>
              <w:rPr>
                <w:rFonts w:eastAsia="Times New Roman"/>
                <w:color w:val="000000"/>
                <w:sz w:val="18"/>
                <w:szCs w:val="18"/>
              </w:rPr>
              <w:t>3.7 </w:t>
            </w:r>
          </w:p>
        </w:tc>
        <w:tc>
          <w:tcPr>
            <w:tcW w:w="0" w:type="auto"/>
            <w:shd w:val="clear" w:color="auto" w:fill="FFFFFF"/>
            <w:tcMar>
              <w:top w:w="30" w:type="dxa"/>
              <w:left w:w="0" w:type="dxa"/>
              <w:bottom w:w="30" w:type="dxa"/>
              <w:right w:w="20" w:type="dxa"/>
            </w:tcMar>
            <w:vAlign w:val="center"/>
            <w:hideMark/>
          </w:tcPr>
          <w:p w14:paraId="139876B4" w14:textId="77777777" w:rsidR="00000000" w:rsidRDefault="00405D16">
            <w:pPr>
              <w:spacing w:after="100"/>
              <w:jc w:val="right"/>
              <w:rPr>
                <w:rFonts w:eastAsia="Times New Roman"/>
              </w:rPr>
            </w:pPr>
          </w:p>
        </w:tc>
      </w:tr>
      <w:tr w:rsidR="00000000" w14:paraId="1FB381E2" w14:textId="77777777">
        <w:trPr>
          <w:divId w:val="1743402650"/>
        </w:trPr>
        <w:tc>
          <w:tcPr>
            <w:tcW w:w="0" w:type="auto"/>
            <w:gridSpan w:val="3"/>
            <w:shd w:val="clear" w:color="auto" w:fill="CCEEFF"/>
            <w:tcMar>
              <w:top w:w="30" w:type="dxa"/>
              <w:left w:w="245" w:type="dxa"/>
              <w:bottom w:w="30" w:type="dxa"/>
              <w:right w:w="20" w:type="dxa"/>
            </w:tcMar>
            <w:vAlign w:val="center"/>
            <w:hideMark/>
          </w:tcPr>
          <w:p w14:paraId="5B08B4C1" w14:textId="77777777" w:rsidR="00000000" w:rsidRDefault="00405D16">
            <w:pPr>
              <w:spacing w:after="100"/>
              <w:rPr>
                <w:rFonts w:eastAsia="Times New Roman"/>
              </w:rPr>
            </w:pPr>
            <w:r>
              <w:rPr>
                <w:rFonts w:eastAsia="Times New Roman"/>
                <w:color w:val="000000"/>
                <w:sz w:val="18"/>
                <w:szCs w:val="18"/>
              </w:rPr>
              <w:t>Ohio</w:t>
            </w:r>
          </w:p>
        </w:tc>
        <w:tc>
          <w:tcPr>
            <w:tcW w:w="0" w:type="auto"/>
            <w:gridSpan w:val="3"/>
            <w:shd w:val="clear" w:color="auto" w:fill="CCEEFF"/>
            <w:tcMar>
              <w:top w:w="0" w:type="dxa"/>
              <w:left w:w="20" w:type="dxa"/>
              <w:bottom w:w="0" w:type="dxa"/>
              <w:right w:w="20" w:type="dxa"/>
            </w:tcMar>
            <w:vAlign w:val="center"/>
            <w:hideMark/>
          </w:tcPr>
          <w:p w14:paraId="780B3B1C"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1E789B2" w14:textId="77777777" w:rsidR="00000000" w:rsidRDefault="00405D16">
            <w:pPr>
              <w:spacing w:after="100"/>
              <w:jc w:val="right"/>
              <w:rPr>
                <w:rFonts w:eastAsia="Times New Roman"/>
              </w:rPr>
            </w:pPr>
            <w:r>
              <w:rPr>
                <w:rFonts w:eastAsia="Times New Roman"/>
                <w:b/>
                <w:bCs/>
                <w:color w:val="000000"/>
                <w:sz w:val="18"/>
                <w:szCs w:val="18"/>
              </w:rPr>
              <w:t>3,051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A9A5A7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8E4BA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3F9CC4B" w14:textId="77777777" w:rsidR="00000000" w:rsidRDefault="00405D16">
            <w:pPr>
              <w:spacing w:after="100"/>
              <w:jc w:val="right"/>
              <w:rPr>
                <w:rFonts w:eastAsia="Times New Roman"/>
              </w:rPr>
            </w:pPr>
            <w:r>
              <w:rPr>
                <w:rFonts w:eastAsia="Times New Roman"/>
                <w:b/>
                <w:bCs/>
                <w:color w:val="000000"/>
                <w:sz w:val="18"/>
                <w:szCs w:val="18"/>
              </w:rPr>
              <w:t>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11F25A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F51BD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038DCCC" w14:textId="77777777" w:rsidR="00000000" w:rsidRDefault="00405D16">
            <w:pPr>
              <w:spacing w:after="100"/>
              <w:jc w:val="right"/>
              <w:rPr>
                <w:rFonts w:eastAsia="Times New Roman"/>
              </w:rPr>
            </w:pPr>
            <w:r>
              <w:rPr>
                <w:rFonts w:eastAsia="Times New Roman"/>
                <w:color w:val="000000"/>
                <w:sz w:val="18"/>
                <w:szCs w:val="18"/>
              </w:rPr>
              <w:t>2,770 </w:t>
            </w:r>
          </w:p>
        </w:tc>
        <w:tc>
          <w:tcPr>
            <w:tcW w:w="0" w:type="auto"/>
            <w:shd w:val="clear" w:color="auto" w:fill="CCEEFF"/>
            <w:tcMar>
              <w:top w:w="30" w:type="dxa"/>
              <w:left w:w="0" w:type="dxa"/>
              <w:bottom w:w="30" w:type="dxa"/>
              <w:right w:w="20" w:type="dxa"/>
            </w:tcMar>
            <w:vAlign w:val="center"/>
            <w:hideMark/>
          </w:tcPr>
          <w:p w14:paraId="407B369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EAB08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381F053" w14:textId="77777777" w:rsidR="00000000" w:rsidRDefault="00405D16">
            <w:pPr>
              <w:spacing w:after="100"/>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center"/>
            <w:hideMark/>
          </w:tcPr>
          <w:p w14:paraId="1AED611E" w14:textId="77777777" w:rsidR="00000000" w:rsidRDefault="00405D16">
            <w:pPr>
              <w:spacing w:after="100"/>
              <w:jc w:val="right"/>
              <w:rPr>
                <w:rFonts w:eastAsia="Times New Roman"/>
              </w:rPr>
            </w:pPr>
          </w:p>
        </w:tc>
      </w:tr>
      <w:tr w:rsidR="00000000" w14:paraId="098C1F4E" w14:textId="77777777">
        <w:trPr>
          <w:divId w:val="1743402650"/>
        </w:trPr>
        <w:tc>
          <w:tcPr>
            <w:tcW w:w="0" w:type="auto"/>
            <w:gridSpan w:val="3"/>
            <w:shd w:val="clear" w:color="auto" w:fill="FFFFFF"/>
            <w:tcMar>
              <w:top w:w="30" w:type="dxa"/>
              <w:left w:w="245" w:type="dxa"/>
              <w:bottom w:w="30" w:type="dxa"/>
              <w:right w:w="20" w:type="dxa"/>
            </w:tcMar>
            <w:vAlign w:val="center"/>
            <w:hideMark/>
          </w:tcPr>
          <w:p w14:paraId="448A879A" w14:textId="77777777" w:rsidR="00000000" w:rsidRDefault="00405D16">
            <w:pPr>
              <w:spacing w:after="100"/>
              <w:rPr>
                <w:rFonts w:eastAsia="Times New Roman"/>
              </w:rPr>
            </w:pPr>
            <w:r>
              <w:rPr>
                <w:rFonts w:eastAsia="Times New Roman"/>
                <w:color w:val="000000"/>
                <w:sz w:val="18"/>
                <w:szCs w:val="18"/>
              </w:rPr>
              <w:t>Illinois</w:t>
            </w:r>
          </w:p>
        </w:tc>
        <w:tc>
          <w:tcPr>
            <w:tcW w:w="0" w:type="auto"/>
            <w:gridSpan w:val="3"/>
            <w:shd w:val="clear" w:color="auto" w:fill="FFFFFF"/>
            <w:tcMar>
              <w:top w:w="0" w:type="dxa"/>
              <w:left w:w="20" w:type="dxa"/>
              <w:bottom w:w="0" w:type="dxa"/>
              <w:right w:w="20" w:type="dxa"/>
            </w:tcMar>
            <w:vAlign w:val="center"/>
            <w:hideMark/>
          </w:tcPr>
          <w:p w14:paraId="11810A3F"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E72CA90" w14:textId="77777777" w:rsidR="00000000" w:rsidRDefault="00405D16">
            <w:pPr>
              <w:spacing w:after="100"/>
              <w:jc w:val="right"/>
              <w:rPr>
                <w:rFonts w:eastAsia="Times New Roman"/>
              </w:rPr>
            </w:pPr>
            <w:r>
              <w:rPr>
                <w:rFonts w:eastAsia="Times New Roman"/>
                <w:b/>
                <w:bCs/>
                <w:color w:val="000000"/>
                <w:sz w:val="18"/>
                <w:szCs w:val="18"/>
              </w:rPr>
              <w:t>2,840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4D1A83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2F1EC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CBC4EC6" w14:textId="77777777" w:rsidR="00000000" w:rsidRDefault="00405D16">
            <w:pPr>
              <w:spacing w:after="100"/>
              <w:jc w:val="right"/>
              <w:rPr>
                <w:rFonts w:eastAsia="Times New Roman"/>
              </w:rPr>
            </w:pPr>
            <w:r>
              <w:rPr>
                <w:rFonts w:eastAsia="Times New Roman"/>
                <w:b/>
                <w:bCs/>
                <w:color w:val="000000"/>
                <w:sz w:val="18"/>
                <w:szCs w:val="18"/>
              </w:rPr>
              <w:t>3.7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F26C84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DE87D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D0EFFF9" w14:textId="77777777" w:rsidR="00000000" w:rsidRDefault="00405D16">
            <w:pPr>
              <w:spacing w:after="100"/>
              <w:jc w:val="right"/>
              <w:rPr>
                <w:rFonts w:eastAsia="Times New Roman"/>
              </w:rPr>
            </w:pPr>
            <w:r>
              <w:rPr>
                <w:rFonts w:eastAsia="Times New Roman"/>
                <w:color w:val="000000"/>
                <w:sz w:val="18"/>
                <w:szCs w:val="18"/>
              </w:rPr>
              <w:t>2,431 </w:t>
            </w:r>
          </w:p>
        </w:tc>
        <w:tc>
          <w:tcPr>
            <w:tcW w:w="0" w:type="auto"/>
            <w:shd w:val="clear" w:color="auto" w:fill="FFFFFF"/>
            <w:tcMar>
              <w:top w:w="30" w:type="dxa"/>
              <w:left w:w="0" w:type="dxa"/>
              <w:bottom w:w="30" w:type="dxa"/>
              <w:right w:w="20" w:type="dxa"/>
            </w:tcMar>
            <w:vAlign w:val="center"/>
            <w:hideMark/>
          </w:tcPr>
          <w:p w14:paraId="437EF9B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3F419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AC422B6" w14:textId="77777777" w:rsidR="00000000" w:rsidRDefault="00405D16">
            <w:pPr>
              <w:spacing w:after="100"/>
              <w:jc w:val="right"/>
              <w:rPr>
                <w:rFonts w:eastAsia="Times New Roman"/>
              </w:rPr>
            </w:pPr>
            <w:r>
              <w:rPr>
                <w:rFonts w:eastAsia="Times New Roman"/>
                <w:color w:val="000000"/>
                <w:sz w:val="18"/>
                <w:szCs w:val="18"/>
              </w:rPr>
              <w:t>3.5 </w:t>
            </w:r>
          </w:p>
        </w:tc>
        <w:tc>
          <w:tcPr>
            <w:tcW w:w="0" w:type="auto"/>
            <w:shd w:val="clear" w:color="auto" w:fill="FFFFFF"/>
            <w:tcMar>
              <w:top w:w="30" w:type="dxa"/>
              <w:left w:w="0" w:type="dxa"/>
              <w:bottom w:w="30" w:type="dxa"/>
              <w:right w:w="20" w:type="dxa"/>
            </w:tcMar>
            <w:vAlign w:val="center"/>
            <w:hideMark/>
          </w:tcPr>
          <w:p w14:paraId="2174667A" w14:textId="77777777" w:rsidR="00000000" w:rsidRDefault="00405D16">
            <w:pPr>
              <w:spacing w:after="100"/>
              <w:jc w:val="right"/>
              <w:rPr>
                <w:rFonts w:eastAsia="Times New Roman"/>
              </w:rPr>
            </w:pPr>
          </w:p>
        </w:tc>
      </w:tr>
      <w:tr w:rsidR="00000000" w14:paraId="399934B9" w14:textId="77777777">
        <w:trPr>
          <w:divId w:val="1743402650"/>
        </w:trPr>
        <w:tc>
          <w:tcPr>
            <w:tcW w:w="0" w:type="auto"/>
            <w:gridSpan w:val="3"/>
            <w:shd w:val="clear" w:color="auto" w:fill="CCEEFF"/>
            <w:tcMar>
              <w:top w:w="30" w:type="dxa"/>
              <w:left w:w="245" w:type="dxa"/>
              <w:bottom w:w="30" w:type="dxa"/>
              <w:right w:w="20" w:type="dxa"/>
            </w:tcMar>
            <w:vAlign w:val="center"/>
            <w:hideMark/>
          </w:tcPr>
          <w:p w14:paraId="5F99A3AA" w14:textId="77777777" w:rsidR="00000000" w:rsidRDefault="00405D16">
            <w:pPr>
              <w:spacing w:after="100"/>
              <w:rPr>
                <w:rFonts w:eastAsia="Times New Roman"/>
              </w:rPr>
            </w:pPr>
            <w:r>
              <w:rPr>
                <w:rFonts w:eastAsia="Times New Roman"/>
                <w:color w:val="000000"/>
                <w:sz w:val="18"/>
                <w:szCs w:val="18"/>
              </w:rPr>
              <w:t>New York</w:t>
            </w:r>
          </w:p>
        </w:tc>
        <w:tc>
          <w:tcPr>
            <w:tcW w:w="0" w:type="auto"/>
            <w:gridSpan w:val="3"/>
            <w:shd w:val="clear" w:color="auto" w:fill="CCEEFF"/>
            <w:tcMar>
              <w:top w:w="0" w:type="dxa"/>
              <w:left w:w="20" w:type="dxa"/>
              <w:bottom w:w="0" w:type="dxa"/>
              <w:right w:w="20" w:type="dxa"/>
            </w:tcMar>
            <w:vAlign w:val="center"/>
            <w:hideMark/>
          </w:tcPr>
          <w:p w14:paraId="242890AB"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342B6C7" w14:textId="77777777" w:rsidR="00000000" w:rsidRDefault="00405D16">
            <w:pPr>
              <w:spacing w:after="100"/>
              <w:jc w:val="right"/>
              <w:rPr>
                <w:rFonts w:eastAsia="Times New Roman"/>
              </w:rPr>
            </w:pPr>
            <w:r>
              <w:rPr>
                <w:rFonts w:eastAsia="Times New Roman"/>
                <w:b/>
                <w:bCs/>
                <w:color w:val="000000"/>
                <w:sz w:val="18"/>
                <w:szCs w:val="18"/>
              </w:rPr>
              <w:t>2,510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16AD52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7FD90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5B52993" w14:textId="77777777" w:rsidR="00000000" w:rsidRDefault="00405D16">
            <w:pPr>
              <w:spacing w:after="100"/>
              <w:jc w:val="right"/>
              <w:rPr>
                <w:rFonts w:eastAsia="Times New Roman"/>
              </w:rPr>
            </w:pPr>
            <w:r>
              <w:rPr>
                <w:rFonts w:eastAsia="Times New Roman"/>
                <w:b/>
                <w:bCs/>
                <w:color w:val="000000"/>
                <w:sz w:val="18"/>
                <w:szCs w:val="18"/>
              </w:rPr>
              <w:t>3.3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208ABF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B9179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4CAC9EE" w14:textId="77777777" w:rsidR="00000000" w:rsidRDefault="00405D16">
            <w:pPr>
              <w:spacing w:after="100"/>
              <w:jc w:val="right"/>
              <w:rPr>
                <w:rFonts w:eastAsia="Times New Roman"/>
              </w:rPr>
            </w:pPr>
            <w:r>
              <w:rPr>
                <w:rFonts w:eastAsia="Times New Roman"/>
                <w:color w:val="000000"/>
                <w:sz w:val="18"/>
                <w:szCs w:val="18"/>
              </w:rPr>
              <w:t>2,267 </w:t>
            </w:r>
          </w:p>
        </w:tc>
        <w:tc>
          <w:tcPr>
            <w:tcW w:w="0" w:type="auto"/>
            <w:shd w:val="clear" w:color="auto" w:fill="CCEEFF"/>
            <w:tcMar>
              <w:top w:w="30" w:type="dxa"/>
              <w:left w:w="0" w:type="dxa"/>
              <w:bottom w:w="30" w:type="dxa"/>
              <w:right w:w="20" w:type="dxa"/>
            </w:tcMar>
            <w:vAlign w:val="center"/>
            <w:hideMark/>
          </w:tcPr>
          <w:p w14:paraId="52B193C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7F8E8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58C1C07" w14:textId="77777777" w:rsidR="00000000" w:rsidRDefault="00405D16">
            <w:pPr>
              <w:spacing w:after="100"/>
              <w:jc w:val="right"/>
              <w:rPr>
                <w:rFonts w:eastAsia="Times New Roman"/>
              </w:rPr>
            </w:pPr>
            <w:r>
              <w:rPr>
                <w:rFonts w:eastAsia="Times New Roman"/>
                <w:color w:val="000000"/>
                <w:sz w:val="18"/>
                <w:szCs w:val="18"/>
              </w:rPr>
              <w:t>3.3 </w:t>
            </w:r>
          </w:p>
        </w:tc>
        <w:tc>
          <w:tcPr>
            <w:tcW w:w="0" w:type="auto"/>
            <w:shd w:val="clear" w:color="auto" w:fill="CCEEFF"/>
            <w:tcMar>
              <w:top w:w="30" w:type="dxa"/>
              <w:left w:w="0" w:type="dxa"/>
              <w:bottom w:w="30" w:type="dxa"/>
              <w:right w:w="20" w:type="dxa"/>
            </w:tcMar>
            <w:vAlign w:val="center"/>
            <w:hideMark/>
          </w:tcPr>
          <w:p w14:paraId="3B1BEE7E" w14:textId="77777777" w:rsidR="00000000" w:rsidRDefault="00405D16">
            <w:pPr>
              <w:spacing w:after="100"/>
              <w:jc w:val="right"/>
              <w:rPr>
                <w:rFonts w:eastAsia="Times New Roman"/>
              </w:rPr>
            </w:pPr>
          </w:p>
        </w:tc>
      </w:tr>
      <w:tr w:rsidR="00000000" w14:paraId="4ABDEE79" w14:textId="77777777">
        <w:trPr>
          <w:divId w:val="1743402650"/>
        </w:trPr>
        <w:tc>
          <w:tcPr>
            <w:tcW w:w="0" w:type="auto"/>
            <w:gridSpan w:val="3"/>
            <w:shd w:val="clear" w:color="auto" w:fill="FFFFFF"/>
            <w:tcMar>
              <w:top w:w="30" w:type="dxa"/>
              <w:left w:w="245" w:type="dxa"/>
              <w:bottom w:w="30" w:type="dxa"/>
              <w:right w:w="20" w:type="dxa"/>
            </w:tcMar>
            <w:vAlign w:val="center"/>
            <w:hideMark/>
          </w:tcPr>
          <w:p w14:paraId="45887061" w14:textId="77777777" w:rsidR="00000000" w:rsidRDefault="00405D16">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14:paraId="1E4C048B"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5571106" w14:textId="77777777" w:rsidR="00000000" w:rsidRDefault="00405D16">
            <w:pPr>
              <w:spacing w:after="100"/>
              <w:jc w:val="right"/>
              <w:rPr>
                <w:rFonts w:eastAsia="Times New Roman"/>
              </w:rPr>
            </w:pPr>
            <w:r>
              <w:rPr>
                <w:rFonts w:eastAsia="Times New Roman"/>
                <w:b/>
                <w:bCs/>
                <w:color w:val="000000"/>
                <w:sz w:val="18"/>
                <w:szCs w:val="18"/>
              </w:rPr>
              <w:t>35,539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8350CC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3873A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EB9B871" w14:textId="77777777" w:rsidR="00000000" w:rsidRDefault="00405D16">
            <w:pPr>
              <w:spacing w:after="100"/>
              <w:jc w:val="right"/>
              <w:rPr>
                <w:rFonts w:eastAsia="Times New Roman"/>
              </w:rPr>
            </w:pPr>
            <w:r>
              <w:rPr>
                <w:rFonts w:eastAsia="Times New Roman"/>
                <w:b/>
                <w:bCs/>
                <w:color w:val="000000"/>
                <w:sz w:val="18"/>
                <w:szCs w:val="18"/>
              </w:rPr>
              <w:t>46.0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5E59AA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6B873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C2FDF0A" w14:textId="77777777" w:rsidR="00000000" w:rsidRDefault="00405D16">
            <w:pPr>
              <w:spacing w:after="100"/>
              <w:jc w:val="right"/>
              <w:rPr>
                <w:rFonts w:eastAsia="Times New Roman"/>
              </w:rPr>
            </w:pPr>
            <w:r>
              <w:rPr>
                <w:rFonts w:eastAsia="Times New Roman"/>
                <w:color w:val="000000"/>
                <w:sz w:val="18"/>
                <w:szCs w:val="18"/>
              </w:rPr>
              <w:t>31,412 </w:t>
            </w:r>
          </w:p>
        </w:tc>
        <w:tc>
          <w:tcPr>
            <w:tcW w:w="0" w:type="auto"/>
            <w:shd w:val="clear" w:color="auto" w:fill="FFFFFF"/>
            <w:tcMar>
              <w:top w:w="30" w:type="dxa"/>
              <w:left w:w="0" w:type="dxa"/>
              <w:bottom w:w="30" w:type="dxa"/>
              <w:right w:w="20" w:type="dxa"/>
            </w:tcMar>
            <w:vAlign w:val="center"/>
            <w:hideMark/>
          </w:tcPr>
          <w:p w14:paraId="438C5F1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28FB1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E35F70C" w14:textId="77777777" w:rsidR="00000000" w:rsidRDefault="00405D16">
            <w:pPr>
              <w:spacing w:after="100"/>
              <w:jc w:val="right"/>
              <w:rPr>
                <w:rFonts w:eastAsia="Times New Roman"/>
              </w:rPr>
            </w:pPr>
            <w:r>
              <w:rPr>
                <w:rFonts w:eastAsia="Times New Roman"/>
                <w:color w:val="000000"/>
                <w:sz w:val="18"/>
                <w:szCs w:val="18"/>
              </w:rPr>
              <w:t>45.7 </w:t>
            </w:r>
          </w:p>
        </w:tc>
        <w:tc>
          <w:tcPr>
            <w:tcW w:w="0" w:type="auto"/>
            <w:shd w:val="clear" w:color="auto" w:fill="FFFFFF"/>
            <w:tcMar>
              <w:top w:w="30" w:type="dxa"/>
              <w:left w:w="0" w:type="dxa"/>
              <w:bottom w:w="30" w:type="dxa"/>
              <w:right w:w="20" w:type="dxa"/>
            </w:tcMar>
            <w:vAlign w:val="center"/>
            <w:hideMark/>
          </w:tcPr>
          <w:p w14:paraId="27538910" w14:textId="77777777" w:rsidR="00000000" w:rsidRDefault="00405D16">
            <w:pPr>
              <w:spacing w:after="100"/>
              <w:jc w:val="right"/>
              <w:rPr>
                <w:rFonts w:eastAsia="Times New Roman"/>
              </w:rPr>
            </w:pPr>
          </w:p>
        </w:tc>
      </w:tr>
      <w:tr w:rsidR="00000000" w14:paraId="64AE5BA5" w14:textId="77777777">
        <w:trPr>
          <w:divId w:val="1743402650"/>
        </w:trPr>
        <w:tc>
          <w:tcPr>
            <w:tcW w:w="0" w:type="auto"/>
            <w:gridSpan w:val="3"/>
            <w:shd w:val="clear" w:color="auto" w:fill="CCEEFF"/>
            <w:tcMar>
              <w:top w:w="30" w:type="dxa"/>
              <w:left w:w="20" w:type="dxa"/>
              <w:bottom w:w="30" w:type="dxa"/>
              <w:right w:w="20" w:type="dxa"/>
            </w:tcMar>
            <w:vAlign w:val="center"/>
            <w:hideMark/>
          </w:tcPr>
          <w:p w14:paraId="7372729E" w14:textId="77777777" w:rsidR="00000000" w:rsidRDefault="00405D16">
            <w:pPr>
              <w:spacing w:after="100"/>
              <w:rPr>
                <w:rFonts w:eastAsia="Times New Roman"/>
              </w:rPr>
            </w:pPr>
            <w:r>
              <w:rPr>
                <w:rFonts w:eastAsia="Times New Roman"/>
                <w:color w:val="000000"/>
                <w:sz w:val="18"/>
                <w:szCs w:val="18"/>
              </w:rPr>
              <w:t>Total auto</w:t>
            </w:r>
          </w:p>
        </w:tc>
        <w:tc>
          <w:tcPr>
            <w:tcW w:w="0" w:type="auto"/>
            <w:gridSpan w:val="3"/>
            <w:shd w:val="clear" w:color="auto" w:fill="CCEEFF"/>
            <w:tcMar>
              <w:top w:w="0" w:type="dxa"/>
              <w:left w:w="20" w:type="dxa"/>
              <w:bottom w:w="0" w:type="dxa"/>
              <w:right w:w="20" w:type="dxa"/>
            </w:tcMar>
            <w:vAlign w:val="center"/>
            <w:hideMark/>
          </w:tcPr>
          <w:p w14:paraId="08A40F5D"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8EE0EEC" w14:textId="77777777" w:rsidR="00000000" w:rsidRDefault="00405D16">
            <w:pPr>
              <w:spacing w:after="100"/>
              <w:jc w:val="right"/>
              <w:rPr>
                <w:rFonts w:eastAsia="Times New Roman"/>
              </w:rPr>
            </w:pPr>
            <w:r>
              <w:rPr>
                <w:rFonts w:eastAsia="Times New Roman"/>
                <w:b/>
                <w:bCs/>
                <w:color w:val="000000"/>
                <w:sz w:val="18"/>
                <w:szCs w:val="18"/>
              </w:rPr>
              <w:t>74,716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FBF26A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3BF531"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E3A4F1E" w14:textId="77777777" w:rsidR="00000000" w:rsidRDefault="00405D16">
            <w:pPr>
              <w:spacing w:after="100"/>
              <w:jc w:val="right"/>
              <w:rPr>
                <w:rFonts w:eastAsia="Times New Roman"/>
              </w:rPr>
            </w:pPr>
            <w:r>
              <w:rPr>
                <w:rFonts w:eastAsia="Times New Roman"/>
                <w:b/>
                <w:bCs/>
                <w:color w:val="000000"/>
                <w:sz w:val="18"/>
                <w:szCs w:val="18"/>
              </w:rPr>
              <w:t>96.9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DF9DE1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CA9218"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75365ED" w14:textId="77777777" w:rsidR="00000000" w:rsidRDefault="00405D16">
            <w:pPr>
              <w:spacing w:after="100"/>
              <w:jc w:val="right"/>
              <w:rPr>
                <w:rFonts w:eastAsia="Times New Roman"/>
              </w:rPr>
            </w:pPr>
            <w:r>
              <w:rPr>
                <w:rFonts w:eastAsia="Times New Roman"/>
                <w:color w:val="000000"/>
                <w:sz w:val="18"/>
                <w:szCs w:val="18"/>
              </w:rPr>
              <w:t>65,762 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57A32A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F7012C"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DF4C529" w14:textId="77777777" w:rsidR="00000000" w:rsidRDefault="00405D16">
            <w:pPr>
              <w:spacing w:after="100"/>
              <w:jc w:val="right"/>
              <w:rPr>
                <w:rFonts w:eastAsia="Times New Roman"/>
              </w:rPr>
            </w:pPr>
            <w:r>
              <w:rPr>
                <w:rFonts w:eastAsia="Times New Roman"/>
                <w:color w:val="000000"/>
                <w:sz w:val="18"/>
                <w:szCs w:val="18"/>
              </w:rPr>
              <w:t>95.5 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23C7703" w14:textId="77777777" w:rsidR="00000000" w:rsidRDefault="00405D16">
            <w:pPr>
              <w:spacing w:after="100"/>
              <w:jc w:val="right"/>
              <w:rPr>
                <w:rFonts w:eastAsia="Times New Roman"/>
              </w:rPr>
            </w:pPr>
          </w:p>
        </w:tc>
      </w:tr>
      <w:tr w:rsidR="00000000" w14:paraId="626D0EE8" w14:textId="77777777">
        <w:trPr>
          <w:divId w:val="1743402650"/>
        </w:trPr>
        <w:tc>
          <w:tcPr>
            <w:tcW w:w="0" w:type="auto"/>
            <w:gridSpan w:val="3"/>
            <w:shd w:val="clear" w:color="auto" w:fill="FFFFFF"/>
            <w:tcMar>
              <w:top w:w="30" w:type="dxa"/>
              <w:left w:w="20" w:type="dxa"/>
              <w:bottom w:w="30" w:type="dxa"/>
              <w:right w:w="20" w:type="dxa"/>
            </w:tcMar>
            <w:vAlign w:val="center"/>
            <w:hideMark/>
          </w:tcPr>
          <w:p w14:paraId="0FFEB392" w14:textId="77777777" w:rsidR="00000000" w:rsidRDefault="00405D16">
            <w:pPr>
              <w:spacing w:after="100"/>
              <w:rPr>
                <w:rFonts w:eastAsia="Times New Roman"/>
              </w:rPr>
            </w:pPr>
            <w:r>
              <w:rPr>
                <w:rFonts w:eastAsia="Times New Roman"/>
                <w:b/>
                <w:bCs/>
                <w:color w:val="000000"/>
                <w:sz w:val="18"/>
                <w:szCs w:val="18"/>
              </w:rPr>
              <w:t>Retail banking:</w:t>
            </w:r>
          </w:p>
        </w:tc>
        <w:tc>
          <w:tcPr>
            <w:tcW w:w="0" w:type="auto"/>
            <w:gridSpan w:val="3"/>
            <w:shd w:val="clear" w:color="auto" w:fill="FFFFFF"/>
            <w:tcMar>
              <w:top w:w="0" w:type="dxa"/>
              <w:left w:w="20" w:type="dxa"/>
              <w:bottom w:w="0" w:type="dxa"/>
              <w:right w:w="20" w:type="dxa"/>
            </w:tcMar>
            <w:vAlign w:val="center"/>
            <w:hideMark/>
          </w:tcPr>
          <w:p w14:paraId="393B9E5D" w14:textId="77777777" w:rsidR="00000000" w:rsidRDefault="00405D16">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F3723B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61D35C"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0F64CE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F0597C"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6A5CCA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A8FE01"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B25564F" w14:textId="77777777" w:rsidR="00000000" w:rsidRDefault="00405D16">
            <w:pPr>
              <w:spacing w:after="100"/>
              <w:rPr>
                <w:rFonts w:eastAsia="Times New Roman"/>
                <w:sz w:val="20"/>
                <w:szCs w:val="20"/>
              </w:rPr>
            </w:pPr>
          </w:p>
        </w:tc>
      </w:tr>
      <w:tr w:rsidR="00000000" w14:paraId="2F5BA7F6" w14:textId="77777777">
        <w:trPr>
          <w:divId w:val="1743402650"/>
        </w:trPr>
        <w:tc>
          <w:tcPr>
            <w:tcW w:w="0" w:type="auto"/>
            <w:gridSpan w:val="3"/>
            <w:shd w:val="clear" w:color="auto" w:fill="CCEEFF"/>
            <w:tcMar>
              <w:top w:w="30" w:type="dxa"/>
              <w:left w:w="245" w:type="dxa"/>
              <w:bottom w:w="30" w:type="dxa"/>
              <w:right w:w="20" w:type="dxa"/>
            </w:tcMar>
            <w:vAlign w:val="center"/>
            <w:hideMark/>
          </w:tcPr>
          <w:p w14:paraId="0CE1BE04" w14:textId="77777777" w:rsidR="00000000" w:rsidRDefault="00405D16">
            <w:pPr>
              <w:spacing w:after="100"/>
              <w:rPr>
                <w:rFonts w:eastAsia="Times New Roman"/>
              </w:rPr>
            </w:pPr>
            <w:r>
              <w:rPr>
                <w:rFonts w:eastAsia="Times New Roman"/>
                <w:color w:val="000000"/>
                <w:sz w:val="18"/>
                <w:szCs w:val="18"/>
              </w:rPr>
              <w:t>New York</w:t>
            </w:r>
          </w:p>
        </w:tc>
        <w:tc>
          <w:tcPr>
            <w:tcW w:w="0" w:type="auto"/>
            <w:gridSpan w:val="3"/>
            <w:shd w:val="clear" w:color="auto" w:fill="CCEEFF"/>
            <w:tcMar>
              <w:top w:w="0" w:type="dxa"/>
              <w:left w:w="20" w:type="dxa"/>
              <w:bottom w:w="0" w:type="dxa"/>
              <w:right w:w="20" w:type="dxa"/>
            </w:tcMar>
            <w:vAlign w:val="center"/>
            <w:hideMark/>
          </w:tcPr>
          <w:p w14:paraId="4B4349DD"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F7575C7" w14:textId="77777777" w:rsidR="00000000" w:rsidRDefault="00405D16">
            <w:pPr>
              <w:spacing w:after="100"/>
              <w:jc w:val="right"/>
              <w:rPr>
                <w:rFonts w:eastAsia="Times New Roman"/>
              </w:rPr>
            </w:pPr>
            <w:r>
              <w:rPr>
                <w:rFonts w:eastAsia="Times New Roman"/>
                <w:b/>
                <w:bCs/>
                <w:color w:val="000000"/>
                <w:sz w:val="18"/>
                <w:szCs w:val="18"/>
              </w:rPr>
              <w:t>830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83452F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5FE1B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B62F95B" w14:textId="77777777" w:rsidR="00000000" w:rsidRDefault="00405D16">
            <w:pPr>
              <w:spacing w:after="100"/>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F04E3A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9EAEC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7A4B13B" w14:textId="77777777" w:rsidR="00000000" w:rsidRDefault="00405D16">
            <w:pPr>
              <w:spacing w:after="100"/>
              <w:jc w:val="right"/>
              <w:rPr>
                <w:rFonts w:eastAsia="Times New Roman"/>
              </w:rPr>
            </w:pPr>
            <w:r>
              <w:rPr>
                <w:rFonts w:eastAsia="Times New Roman"/>
                <w:color w:val="000000"/>
                <w:sz w:val="18"/>
                <w:szCs w:val="18"/>
              </w:rPr>
              <w:t>1,081 </w:t>
            </w:r>
          </w:p>
        </w:tc>
        <w:tc>
          <w:tcPr>
            <w:tcW w:w="0" w:type="auto"/>
            <w:shd w:val="clear" w:color="auto" w:fill="CCEEFF"/>
            <w:tcMar>
              <w:top w:w="30" w:type="dxa"/>
              <w:left w:w="0" w:type="dxa"/>
              <w:bottom w:w="30" w:type="dxa"/>
              <w:right w:w="20" w:type="dxa"/>
            </w:tcMar>
            <w:vAlign w:val="center"/>
            <w:hideMark/>
          </w:tcPr>
          <w:p w14:paraId="34301E9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117D5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B0326B5" w14:textId="77777777" w:rsidR="00000000" w:rsidRDefault="00405D16">
            <w:pPr>
              <w:spacing w:after="100"/>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center"/>
            <w:hideMark/>
          </w:tcPr>
          <w:p w14:paraId="42F0EA5C" w14:textId="77777777" w:rsidR="00000000" w:rsidRDefault="00405D16">
            <w:pPr>
              <w:spacing w:after="100"/>
              <w:jc w:val="right"/>
              <w:rPr>
                <w:rFonts w:eastAsia="Times New Roman"/>
              </w:rPr>
            </w:pPr>
          </w:p>
        </w:tc>
      </w:tr>
      <w:tr w:rsidR="00000000" w14:paraId="29B52BA0" w14:textId="77777777">
        <w:trPr>
          <w:divId w:val="1743402650"/>
        </w:trPr>
        <w:tc>
          <w:tcPr>
            <w:tcW w:w="0" w:type="auto"/>
            <w:gridSpan w:val="3"/>
            <w:shd w:val="clear" w:color="auto" w:fill="FFFFFF"/>
            <w:tcMar>
              <w:top w:w="30" w:type="dxa"/>
              <w:left w:w="245" w:type="dxa"/>
              <w:bottom w:w="30" w:type="dxa"/>
              <w:right w:w="20" w:type="dxa"/>
            </w:tcMar>
            <w:vAlign w:val="center"/>
            <w:hideMark/>
          </w:tcPr>
          <w:p w14:paraId="6A47485B" w14:textId="77777777" w:rsidR="00000000" w:rsidRDefault="00405D16">
            <w:pPr>
              <w:spacing w:after="100"/>
              <w:rPr>
                <w:rFonts w:eastAsia="Times New Roman"/>
              </w:rPr>
            </w:pPr>
            <w:r>
              <w:rPr>
                <w:rFonts w:eastAsia="Times New Roman"/>
                <w:color w:val="000000"/>
                <w:sz w:val="18"/>
                <w:szCs w:val="18"/>
              </w:rPr>
              <w:t>Louisiana</w:t>
            </w:r>
          </w:p>
        </w:tc>
        <w:tc>
          <w:tcPr>
            <w:tcW w:w="0" w:type="auto"/>
            <w:gridSpan w:val="3"/>
            <w:shd w:val="clear" w:color="auto" w:fill="FFFFFF"/>
            <w:tcMar>
              <w:top w:w="0" w:type="dxa"/>
              <w:left w:w="20" w:type="dxa"/>
              <w:bottom w:w="0" w:type="dxa"/>
              <w:right w:w="20" w:type="dxa"/>
            </w:tcMar>
            <w:vAlign w:val="center"/>
            <w:hideMark/>
          </w:tcPr>
          <w:p w14:paraId="4BAFA98B"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D081536" w14:textId="77777777" w:rsidR="00000000" w:rsidRDefault="00405D16">
            <w:pPr>
              <w:spacing w:after="100"/>
              <w:jc w:val="right"/>
              <w:rPr>
                <w:rFonts w:eastAsia="Times New Roman"/>
              </w:rPr>
            </w:pPr>
            <w:r>
              <w:rPr>
                <w:rFonts w:eastAsia="Times New Roman"/>
                <w:b/>
                <w:bCs/>
                <w:color w:val="000000"/>
                <w:sz w:val="18"/>
                <w:szCs w:val="18"/>
              </w:rPr>
              <w:t>471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A2278A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7C90A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0C6A159" w14:textId="77777777" w:rsidR="00000000" w:rsidRDefault="00405D16">
            <w:pPr>
              <w:spacing w:after="100"/>
              <w:jc w:val="right"/>
              <w:rPr>
                <w:rFonts w:eastAsia="Times New Roman"/>
              </w:rPr>
            </w:pPr>
            <w:r>
              <w:rPr>
                <w:rFonts w:eastAsia="Times New Roman"/>
                <w:b/>
                <w:bCs/>
                <w:color w:val="000000"/>
                <w:sz w:val="18"/>
                <w:szCs w:val="18"/>
              </w:rPr>
              <w:t>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F28BA2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798C4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A078F95" w14:textId="77777777" w:rsidR="00000000" w:rsidRDefault="00405D16">
            <w:pPr>
              <w:spacing w:after="100"/>
              <w:jc w:val="right"/>
              <w:rPr>
                <w:rFonts w:eastAsia="Times New Roman"/>
              </w:rPr>
            </w:pPr>
            <w:r>
              <w:rPr>
                <w:rFonts w:eastAsia="Times New Roman"/>
                <w:color w:val="000000"/>
                <w:sz w:val="18"/>
                <w:szCs w:val="18"/>
              </w:rPr>
              <w:t>634 </w:t>
            </w:r>
          </w:p>
        </w:tc>
        <w:tc>
          <w:tcPr>
            <w:tcW w:w="0" w:type="auto"/>
            <w:shd w:val="clear" w:color="auto" w:fill="FFFFFF"/>
            <w:tcMar>
              <w:top w:w="30" w:type="dxa"/>
              <w:left w:w="0" w:type="dxa"/>
              <w:bottom w:w="30" w:type="dxa"/>
              <w:right w:w="20" w:type="dxa"/>
            </w:tcMar>
            <w:vAlign w:val="center"/>
            <w:hideMark/>
          </w:tcPr>
          <w:p w14:paraId="4F1C106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AE585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5801DC1" w14:textId="77777777" w:rsidR="00000000" w:rsidRDefault="00405D16">
            <w:pPr>
              <w:spacing w:after="100"/>
              <w:jc w:val="right"/>
              <w:rPr>
                <w:rFonts w:eastAsia="Times New Roman"/>
              </w:rPr>
            </w:pPr>
            <w:r>
              <w:rPr>
                <w:rFonts w:eastAsia="Times New Roman"/>
                <w:color w:val="000000"/>
                <w:sz w:val="18"/>
                <w:szCs w:val="18"/>
              </w:rPr>
              <w:t>0.9 </w:t>
            </w:r>
          </w:p>
        </w:tc>
        <w:tc>
          <w:tcPr>
            <w:tcW w:w="0" w:type="auto"/>
            <w:shd w:val="clear" w:color="auto" w:fill="FFFFFF"/>
            <w:tcMar>
              <w:top w:w="30" w:type="dxa"/>
              <w:left w:w="0" w:type="dxa"/>
              <w:bottom w:w="30" w:type="dxa"/>
              <w:right w:w="20" w:type="dxa"/>
            </w:tcMar>
            <w:vAlign w:val="center"/>
            <w:hideMark/>
          </w:tcPr>
          <w:p w14:paraId="4F0263A2" w14:textId="77777777" w:rsidR="00000000" w:rsidRDefault="00405D16">
            <w:pPr>
              <w:spacing w:after="100"/>
              <w:jc w:val="right"/>
              <w:rPr>
                <w:rFonts w:eastAsia="Times New Roman"/>
              </w:rPr>
            </w:pPr>
          </w:p>
        </w:tc>
      </w:tr>
      <w:tr w:rsidR="00000000" w14:paraId="008AE229" w14:textId="77777777">
        <w:trPr>
          <w:divId w:val="1743402650"/>
        </w:trPr>
        <w:tc>
          <w:tcPr>
            <w:tcW w:w="0" w:type="auto"/>
            <w:gridSpan w:val="3"/>
            <w:shd w:val="clear" w:color="auto" w:fill="CCEEFF"/>
            <w:tcMar>
              <w:top w:w="30" w:type="dxa"/>
              <w:left w:w="245" w:type="dxa"/>
              <w:bottom w:w="30" w:type="dxa"/>
              <w:right w:w="20" w:type="dxa"/>
            </w:tcMar>
            <w:vAlign w:val="center"/>
            <w:hideMark/>
          </w:tcPr>
          <w:p w14:paraId="26575093" w14:textId="77777777" w:rsidR="00000000" w:rsidRDefault="00405D16">
            <w:pPr>
              <w:spacing w:after="100"/>
              <w:rPr>
                <w:rFonts w:eastAsia="Times New Roman"/>
              </w:rPr>
            </w:pPr>
            <w:r>
              <w:rPr>
                <w:rFonts w:eastAsia="Times New Roman"/>
                <w:color w:val="000000"/>
                <w:sz w:val="18"/>
                <w:szCs w:val="18"/>
              </w:rPr>
              <w:t>Texas</w:t>
            </w:r>
          </w:p>
        </w:tc>
        <w:tc>
          <w:tcPr>
            <w:tcW w:w="0" w:type="auto"/>
            <w:gridSpan w:val="3"/>
            <w:shd w:val="clear" w:color="auto" w:fill="CCEEFF"/>
            <w:tcMar>
              <w:top w:w="0" w:type="dxa"/>
              <w:left w:w="20" w:type="dxa"/>
              <w:bottom w:w="0" w:type="dxa"/>
              <w:right w:w="20" w:type="dxa"/>
            </w:tcMar>
            <w:vAlign w:val="center"/>
            <w:hideMark/>
          </w:tcPr>
          <w:p w14:paraId="7EBADAC2"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1674FFE" w14:textId="77777777" w:rsidR="00000000" w:rsidRDefault="00405D16">
            <w:pPr>
              <w:spacing w:after="100"/>
              <w:jc w:val="right"/>
              <w:rPr>
                <w:rFonts w:eastAsia="Times New Roman"/>
              </w:rPr>
            </w:pPr>
            <w:r>
              <w:rPr>
                <w:rFonts w:eastAsia="Times New Roman"/>
                <w:b/>
                <w:bCs/>
                <w:color w:val="000000"/>
                <w:sz w:val="18"/>
                <w:szCs w:val="18"/>
              </w:rPr>
              <w:t>459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374A58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FE24B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CD3A565" w14:textId="77777777" w:rsidR="00000000" w:rsidRDefault="00405D16">
            <w:pPr>
              <w:spacing w:after="100"/>
              <w:jc w:val="right"/>
              <w:rPr>
                <w:rFonts w:eastAsia="Times New Roman"/>
              </w:rPr>
            </w:pPr>
            <w:r>
              <w:rPr>
                <w:rFonts w:eastAsia="Times New Roman"/>
                <w:b/>
                <w:bCs/>
                <w:color w:val="000000"/>
                <w:sz w:val="18"/>
                <w:szCs w:val="18"/>
              </w:rPr>
              <w:t>0.6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E7D0BE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3D77B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725FA60" w14:textId="77777777" w:rsidR="00000000" w:rsidRDefault="00405D16">
            <w:pPr>
              <w:spacing w:after="100"/>
              <w:jc w:val="right"/>
              <w:rPr>
                <w:rFonts w:eastAsia="Times New Roman"/>
              </w:rPr>
            </w:pPr>
            <w:r>
              <w:rPr>
                <w:rFonts w:eastAsia="Times New Roman"/>
                <w:color w:val="000000"/>
                <w:sz w:val="18"/>
                <w:szCs w:val="18"/>
              </w:rPr>
              <w:t>576 </w:t>
            </w:r>
          </w:p>
        </w:tc>
        <w:tc>
          <w:tcPr>
            <w:tcW w:w="0" w:type="auto"/>
            <w:shd w:val="clear" w:color="auto" w:fill="CCEEFF"/>
            <w:tcMar>
              <w:top w:w="30" w:type="dxa"/>
              <w:left w:w="0" w:type="dxa"/>
              <w:bottom w:w="30" w:type="dxa"/>
              <w:right w:w="20" w:type="dxa"/>
            </w:tcMar>
            <w:vAlign w:val="center"/>
            <w:hideMark/>
          </w:tcPr>
          <w:p w14:paraId="2703018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5E6AE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63868CC" w14:textId="77777777" w:rsidR="00000000" w:rsidRDefault="00405D16">
            <w:pPr>
              <w:spacing w:after="100"/>
              <w:jc w:val="right"/>
              <w:rPr>
                <w:rFonts w:eastAsia="Times New Roman"/>
              </w:rPr>
            </w:pPr>
            <w:r>
              <w:rPr>
                <w:rFonts w:eastAsia="Times New Roman"/>
                <w:color w:val="000000"/>
                <w:sz w:val="18"/>
                <w:szCs w:val="18"/>
              </w:rPr>
              <w:t>0.8 </w:t>
            </w:r>
          </w:p>
        </w:tc>
        <w:tc>
          <w:tcPr>
            <w:tcW w:w="0" w:type="auto"/>
            <w:shd w:val="clear" w:color="auto" w:fill="CCEEFF"/>
            <w:tcMar>
              <w:top w:w="30" w:type="dxa"/>
              <w:left w:w="0" w:type="dxa"/>
              <w:bottom w:w="30" w:type="dxa"/>
              <w:right w:w="20" w:type="dxa"/>
            </w:tcMar>
            <w:vAlign w:val="center"/>
            <w:hideMark/>
          </w:tcPr>
          <w:p w14:paraId="6D19597C" w14:textId="77777777" w:rsidR="00000000" w:rsidRDefault="00405D16">
            <w:pPr>
              <w:spacing w:after="100"/>
              <w:jc w:val="right"/>
              <w:rPr>
                <w:rFonts w:eastAsia="Times New Roman"/>
              </w:rPr>
            </w:pPr>
          </w:p>
        </w:tc>
      </w:tr>
      <w:tr w:rsidR="00000000" w14:paraId="19B24210" w14:textId="77777777">
        <w:trPr>
          <w:divId w:val="1743402650"/>
        </w:trPr>
        <w:tc>
          <w:tcPr>
            <w:tcW w:w="0" w:type="auto"/>
            <w:gridSpan w:val="3"/>
            <w:shd w:val="clear" w:color="auto" w:fill="FFFFFF"/>
            <w:tcMar>
              <w:top w:w="30" w:type="dxa"/>
              <w:left w:w="245" w:type="dxa"/>
              <w:bottom w:w="30" w:type="dxa"/>
              <w:right w:w="20" w:type="dxa"/>
            </w:tcMar>
            <w:vAlign w:val="center"/>
            <w:hideMark/>
          </w:tcPr>
          <w:p w14:paraId="6B12F8F6" w14:textId="77777777" w:rsidR="00000000" w:rsidRDefault="00405D16">
            <w:pPr>
              <w:spacing w:after="100"/>
              <w:rPr>
                <w:rFonts w:eastAsia="Times New Roman"/>
              </w:rPr>
            </w:pPr>
            <w:r>
              <w:rPr>
                <w:rFonts w:eastAsia="Times New Roman"/>
                <w:color w:val="000000"/>
                <w:sz w:val="18"/>
                <w:szCs w:val="18"/>
              </w:rPr>
              <w:t>New Jersey</w:t>
            </w:r>
          </w:p>
        </w:tc>
        <w:tc>
          <w:tcPr>
            <w:tcW w:w="0" w:type="auto"/>
            <w:gridSpan w:val="3"/>
            <w:shd w:val="clear" w:color="auto" w:fill="FFFFFF"/>
            <w:tcMar>
              <w:top w:w="0" w:type="dxa"/>
              <w:left w:w="20" w:type="dxa"/>
              <w:bottom w:w="0" w:type="dxa"/>
              <w:right w:w="20" w:type="dxa"/>
            </w:tcMar>
            <w:vAlign w:val="center"/>
            <w:hideMark/>
          </w:tcPr>
          <w:p w14:paraId="51E5ECCE"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CBA6E61" w14:textId="77777777" w:rsidR="00000000" w:rsidRDefault="00405D16">
            <w:pPr>
              <w:spacing w:after="100"/>
              <w:jc w:val="right"/>
              <w:rPr>
                <w:rFonts w:eastAsia="Times New Roman"/>
              </w:rPr>
            </w:pPr>
            <w:r>
              <w:rPr>
                <w:rFonts w:eastAsia="Times New Roman"/>
                <w:b/>
                <w:bCs/>
                <w:color w:val="000000"/>
                <w:sz w:val="18"/>
                <w:szCs w:val="18"/>
              </w:rPr>
              <w:t>170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7296D6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56230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28B19B1" w14:textId="77777777" w:rsidR="00000000" w:rsidRDefault="00405D16">
            <w:pPr>
              <w:spacing w:after="100"/>
              <w:jc w:val="right"/>
              <w:rPr>
                <w:rFonts w:eastAsia="Times New Roman"/>
              </w:rPr>
            </w:pPr>
            <w:r>
              <w:rPr>
                <w:rFonts w:eastAsia="Times New Roman"/>
                <w:b/>
                <w:bCs/>
                <w:color w:val="000000"/>
                <w:sz w:val="18"/>
                <w:szCs w:val="18"/>
              </w:rPr>
              <w:t>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D6553B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49B16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D289EE6" w14:textId="77777777" w:rsidR="00000000" w:rsidRDefault="00405D16">
            <w:pPr>
              <w:spacing w:after="100"/>
              <w:jc w:val="right"/>
              <w:rPr>
                <w:rFonts w:eastAsia="Times New Roman"/>
              </w:rPr>
            </w:pPr>
            <w:r>
              <w:rPr>
                <w:rFonts w:eastAsia="Times New Roman"/>
                <w:color w:val="000000"/>
                <w:sz w:val="18"/>
                <w:szCs w:val="18"/>
              </w:rPr>
              <w:t>222 </w:t>
            </w:r>
          </w:p>
        </w:tc>
        <w:tc>
          <w:tcPr>
            <w:tcW w:w="0" w:type="auto"/>
            <w:shd w:val="clear" w:color="auto" w:fill="FFFFFF"/>
            <w:tcMar>
              <w:top w:w="30" w:type="dxa"/>
              <w:left w:w="0" w:type="dxa"/>
              <w:bottom w:w="30" w:type="dxa"/>
              <w:right w:w="20" w:type="dxa"/>
            </w:tcMar>
            <w:vAlign w:val="center"/>
            <w:hideMark/>
          </w:tcPr>
          <w:p w14:paraId="1A64EAD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9336A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6A506CE" w14:textId="77777777" w:rsidR="00000000" w:rsidRDefault="00405D16">
            <w:pPr>
              <w:spacing w:after="100"/>
              <w:jc w:val="right"/>
              <w:rPr>
                <w:rFonts w:eastAsia="Times New Roman"/>
              </w:rPr>
            </w:pPr>
            <w:r>
              <w:rPr>
                <w:rFonts w:eastAsia="Times New Roman"/>
                <w:color w:val="000000"/>
                <w:sz w:val="18"/>
                <w:szCs w:val="18"/>
              </w:rPr>
              <w:t>0.3 </w:t>
            </w:r>
          </w:p>
        </w:tc>
        <w:tc>
          <w:tcPr>
            <w:tcW w:w="0" w:type="auto"/>
            <w:shd w:val="clear" w:color="auto" w:fill="FFFFFF"/>
            <w:tcMar>
              <w:top w:w="30" w:type="dxa"/>
              <w:left w:w="0" w:type="dxa"/>
              <w:bottom w:w="30" w:type="dxa"/>
              <w:right w:w="20" w:type="dxa"/>
            </w:tcMar>
            <w:vAlign w:val="center"/>
            <w:hideMark/>
          </w:tcPr>
          <w:p w14:paraId="2402C7A8" w14:textId="77777777" w:rsidR="00000000" w:rsidRDefault="00405D16">
            <w:pPr>
              <w:spacing w:after="100"/>
              <w:jc w:val="right"/>
              <w:rPr>
                <w:rFonts w:eastAsia="Times New Roman"/>
              </w:rPr>
            </w:pPr>
          </w:p>
        </w:tc>
      </w:tr>
      <w:tr w:rsidR="00000000" w14:paraId="70B27C2E" w14:textId="77777777">
        <w:trPr>
          <w:divId w:val="1743402650"/>
        </w:trPr>
        <w:tc>
          <w:tcPr>
            <w:tcW w:w="0" w:type="auto"/>
            <w:gridSpan w:val="3"/>
            <w:shd w:val="clear" w:color="auto" w:fill="CCEEFF"/>
            <w:tcMar>
              <w:top w:w="30" w:type="dxa"/>
              <w:left w:w="245" w:type="dxa"/>
              <w:bottom w:w="30" w:type="dxa"/>
              <w:right w:w="20" w:type="dxa"/>
            </w:tcMar>
            <w:vAlign w:val="center"/>
            <w:hideMark/>
          </w:tcPr>
          <w:p w14:paraId="669D24F8" w14:textId="77777777" w:rsidR="00000000" w:rsidRDefault="00405D16">
            <w:pPr>
              <w:spacing w:after="100"/>
              <w:rPr>
                <w:rFonts w:eastAsia="Times New Roman"/>
              </w:rPr>
            </w:pPr>
            <w:r>
              <w:rPr>
                <w:rFonts w:eastAsia="Times New Roman"/>
                <w:color w:val="000000"/>
                <w:sz w:val="18"/>
                <w:szCs w:val="18"/>
              </w:rPr>
              <w:t>Maryland</w:t>
            </w:r>
          </w:p>
        </w:tc>
        <w:tc>
          <w:tcPr>
            <w:tcW w:w="0" w:type="auto"/>
            <w:gridSpan w:val="3"/>
            <w:shd w:val="clear" w:color="auto" w:fill="CCEEFF"/>
            <w:tcMar>
              <w:top w:w="0" w:type="dxa"/>
              <w:left w:w="20" w:type="dxa"/>
              <w:bottom w:w="0" w:type="dxa"/>
              <w:right w:w="20" w:type="dxa"/>
            </w:tcMar>
            <w:vAlign w:val="center"/>
            <w:hideMark/>
          </w:tcPr>
          <w:p w14:paraId="35A03109"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D85F22C" w14:textId="77777777" w:rsidR="00000000" w:rsidRDefault="00405D16">
            <w:pPr>
              <w:spacing w:after="100"/>
              <w:jc w:val="right"/>
              <w:rPr>
                <w:rFonts w:eastAsia="Times New Roman"/>
              </w:rPr>
            </w:pPr>
            <w:r>
              <w:rPr>
                <w:rFonts w:eastAsia="Times New Roman"/>
                <w:b/>
                <w:bCs/>
                <w:color w:val="000000"/>
                <w:sz w:val="18"/>
                <w:szCs w:val="18"/>
              </w:rPr>
              <w:t>167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6A85BE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DA5F3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B82D682" w14:textId="77777777" w:rsidR="00000000" w:rsidRDefault="00405D16">
            <w:pPr>
              <w:spacing w:after="100"/>
              <w:jc w:val="right"/>
              <w:rPr>
                <w:rFonts w:eastAsia="Times New Roman"/>
              </w:rPr>
            </w:pPr>
            <w:r>
              <w:rPr>
                <w:rFonts w:eastAsia="Times New Roman"/>
                <w:b/>
                <w:bCs/>
                <w:color w:val="000000"/>
                <w:sz w:val="18"/>
                <w:szCs w:val="18"/>
              </w:rPr>
              <w:t>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56C0EC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806C3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2C47E75" w14:textId="77777777" w:rsidR="00000000" w:rsidRDefault="00405D16">
            <w:pPr>
              <w:spacing w:after="100"/>
              <w:jc w:val="right"/>
              <w:rPr>
                <w:rFonts w:eastAsia="Times New Roman"/>
              </w:rPr>
            </w:pPr>
            <w:r>
              <w:rPr>
                <w:rFonts w:eastAsia="Times New Roman"/>
                <w:color w:val="000000"/>
                <w:sz w:val="18"/>
                <w:szCs w:val="18"/>
              </w:rPr>
              <w:t>224 </w:t>
            </w:r>
          </w:p>
        </w:tc>
        <w:tc>
          <w:tcPr>
            <w:tcW w:w="0" w:type="auto"/>
            <w:shd w:val="clear" w:color="auto" w:fill="CCEEFF"/>
            <w:tcMar>
              <w:top w:w="30" w:type="dxa"/>
              <w:left w:w="0" w:type="dxa"/>
              <w:bottom w:w="30" w:type="dxa"/>
              <w:right w:w="20" w:type="dxa"/>
            </w:tcMar>
            <w:vAlign w:val="center"/>
            <w:hideMark/>
          </w:tcPr>
          <w:p w14:paraId="6734075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0BC28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8333214" w14:textId="77777777" w:rsidR="00000000" w:rsidRDefault="00405D16">
            <w:pPr>
              <w:spacing w:after="100"/>
              <w:jc w:val="right"/>
              <w:rPr>
                <w:rFonts w:eastAsia="Times New Roman"/>
              </w:rPr>
            </w:pPr>
            <w:r>
              <w:rPr>
                <w:rFonts w:eastAsia="Times New Roman"/>
                <w:color w:val="000000"/>
                <w:sz w:val="18"/>
                <w:szCs w:val="18"/>
              </w:rPr>
              <w:t>0.3 </w:t>
            </w:r>
          </w:p>
        </w:tc>
        <w:tc>
          <w:tcPr>
            <w:tcW w:w="0" w:type="auto"/>
            <w:shd w:val="clear" w:color="auto" w:fill="CCEEFF"/>
            <w:tcMar>
              <w:top w:w="30" w:type="dxa"/>
              <w:left w:w="0" w:type="dxa"/>
              <w:bottom w:w="30" w:type="dxa"/>
              <w:right w:w="20" w:type="dxa"/>
            </w:tcMar>
            <w:vAlign w:val="center"/>
            <w:hideMark/>
          </w:tcPr>
          <w:p w14:paraId="4F14EC1A" w14:textId="77777777" w:rsidR="00000000" w:rsidRDefault="00405D16">
            <w:pPr>
              <w:spacing w:after="100"/>
              <w:jc w:val="right"/>
              <w:rPr>
                <w:rFonts w:eastAsia="Times New Roman"/>
              </w:rPr>
            </w:pPr>
          </w:p>
        </w:tc>
      </w:tr>
      <w:tr w:rsidR="00000000" w14:paraId="5EC4A296" w14:textId="77777777">
        <w:trPr>
          <w:divId w:val="1743402650"/>
        </w:trPr>
        <w:tc>
          <w:tcPr>
            <w:tcW w:w="0" w:type="auto"/>
            <w:gridSpan w:val="3"/>
            <w:shd w:val="clear" w:color="auto" w:fill="FFFFFF"/>
            <w:tcMar>
              <w:top w:w="30" w:type="dxa"/>
              <w:left w:w="245" w:type="dxa"/>
              <w:bottom w:w="30" w:type="dxa"/>
              <w:right w:w="20" w:type="dxa"/>
            </w:tcMar>
            <w:vAlign w:val="center"/>
            <w:hideMark/>
          </w:tcPr>
          <w:p w14:paraId="0A52EFA5" w14:textId="77777777" w:rsidR="00000000" w:rsidRDefault="00405D16">
            <w:pPr>
              <w:spacing w:after="100"/>
              <w:rPr>
                <w:rFonts w:eastAsia="Times New Roman"/>
              </w:rPr>
            </w:pPr>
            <w:r>
              <w:rPr>
                <w:rFonts w:eastAsia="Times New Roman"/>
                <w:color w:val="000000"/>
                <w:sz w:val="18"/>
                <w:szCs w:val="18"/>
              </w:rPr>
              <w:t>Virginia</w:t>
            </w:r>
          </w:p>
        </w:tc>
        <w:tc>
          <w:tcPr>
            <w:tcW w:w="0" w:type="auto"/>
            <w:gridSpan w:val="3"/>
            <w:shd w:val="clear" w:color="auto" w:fill="FFFFFF"/>
            <w:tcMar>
              <w:top w:w="0" w:type="dxa"/>
              <w:left w:w="20" w:type="dxa"/>
              <w:bottom w:w="0" w:type="dxa"/>
              <w:right w:w="20" w:type="dxa"/>
            </w:tcMar>
            <w:vAlign w:val="center"/>
            <w:hideMark/>
          </w:tcPr>
          <w:p w14:paraId="2AC03508"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ABF2E34" w14:textId="77777777" w:rsidR="00000000" w:rsidRDefault="00405D16">
            <w:pPr>
              <w:spacing w:after="100"/>
              <w:jc w:val="right"/>
              <w:rPr>
                <w:rFonts w:eastAsia="Times New Roman"/>
              </w:rPr>
            </w:pPr>
            <w:r>
              <w:rPr>
                <w:rFonts w:eastAsia="Times New Roman"/>
                <w:b/>
                <w:bCs/>
                <w:color w:val="000000"/>
                <w:sz w:val="18"/>
                <w:szCs w:val="18"/>
              </w:rPr>
              <w:t>125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35C408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2376E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C9412F7" w14:textId="77777777" w:rsidR="00000000" w:rsidRDefault="00405D16">
            <w:pPr>
              <w:spacing w:after="100"/>
              <w:jc w:val="right"/>
              <w:rPr>
                <w:rFonts w:eastAsia="Times New Roman"/>
              </w:rPr>
            </w:pPr>
            <w:r>
              <w:rPr>
                <w:rFonts w:eastAsia="Times New Roman"/>
                <w:b/>
                <w:bCs/>
                <w:color w:val="000000"/>
                <w:sz w:val="18"/>
                <w:szCs w:val="18"/>
              </w:rPr>
              <w:t>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7A8724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352B3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6C7CEDE" w14:textId="77777777" w:rsidR="00000000" w:rsidRDefault="00405D16">
            <w:pPr>
              <w:spacing w:after="100"/>
              <w:jc w:val="right"/>
              <w:rPr>
                <w:rFonts w:eastAsia="Times New Roman"/>
              </w:rPr>
            </w:pPr>
            <w:r>
              <w:rPr>
                <w:rFonts w:eastAsia="Times New Roman"/>
                <w:color w:val="000000"/>
                <w:sz w:val="18"/>
                <w:szCs w:val="18"/>
              </w:rPr>
              <w:t>179 </w:t>
            </w:r>
          </w:p>
        </w:tc>
        <w:tc>
          <w:tcPr>
            <w:tcW w:w="0" w:type="auto"/>
            <w:shd w:val="clear" w:color="auto" w:fill="FFFFFF"/>
            <w:tcMar>
              <w:top w:w="30" w:type="dxa"/>
              <w:left w:w="0" w:type="dxa"/>
              <w:bottom w:w="30" w:type="dxa"/>
              <w:right w:w="20" w:type="dxa"/>
            </w:tcMar>
            <w:vAlign w:val="center"/>
            <w:hideMark/>
          </w:tcPr>
          <w:p w14:paraId="6A581E7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94E8B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8B14EA9" w14:textId="77777777" w:rsidR="00000000" w:rsidRDefault="00405D16">
            <w:pPr>
              <w:spacing w:after="100"/>
              <w:jc w:val="right"/>
              <w:rPr>
                <w:rFonts w:eastAsia="Times New Roman"/>
              </w:rPr>
            </w:pPr>
            <w:r>
              <w:rPr>
                <w:rFonts w:eastAsia="Times New Roman"/>
                <w:color w:val="000000"/>
                <w:sz w:val="18"/>
                <w:szCs w:val="18"/>
              </w:rPr>
              <w:t>0.3 </w:t>
            </w:r>
          </w:p>
        </w:tc>
        <w:tc>
          <w:tcPr>
            <w:tcW w:w="0" w:type="auto"/>
            <w:shd w:val="clear" w:color="auto" w:fill="FFFFFF"/>
            <w:tcMar>
              <w:top w:w="30" w:type="dxa"/>
              <w:left w:w="0" w:type="dxa"/>
              <w:bottom w:w="30" w:type="dxa"/>
              <w:right w:w="20" w:type="dxa"/>
            </w:tcMar>
            <w:vAlign w:val="center"/>
            <w:hideMark/>
          </w:tcPr>
          <w:p w14:paraId="2523857C" w14:textId="77777777" w:rsidR="00000000" w:rsidRDefault="00405D16">
            <w:pPr>
              <w:spacing w:after="100"/>
              <w:jc w:val="right"/>
              <w:rPr>
                <w:rFonts w:eastAsia="Times New Roman"/>
              </w:rPr>
            </w:pPr>
          </w:p>
        </w:tc>
      </w:tr>
      <w:tr w:rsidR="00000000" w14:paraId="60BE1A6C" w14:textId="77777777">
        <w:trPr>
          <w:divId w:val="1743402650"/>
        </w:trPr>
        <w:tc>
          <w:tcPr>
            <w:tcW w:w="0" w:type="auto"/>
            <w:gridSpan w:val="3"/>
            <w:shd w:val="clear" w:color="auto" w:fill="CCEEFF"/>
            <w:tcMar>
              <w:top w:w="30" w:type="dxa"/>
              <w:left w:w="245" w:type="dxa"/>
              <w:bottom w:w="30" w:type="dxa"/>
              <w:right w:w="20" w:type="dxa"/>
            </w:tcMar>
            <w:vAlign w:val="center"/>
            <w:hideMark/>
          </w:tcPr>
          <w:p w14:paraId="389E4BB4" w14:textId="77777777" w:rsidR="00000000" w:rsidRDefault="00405D16">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14:paraId="2BCB11DB"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878D3C1" w14:textId="77777777" w:rsidR="00000000" w:rsidRDefault="00405D16">
            <w:pPr>
              <w:spacing w:after="100"/>
              <w:jc w:val="right"/>
              <w:rPr>
                <w:rFonts w:eastAsia="Times New Roman"/>
              </w:rPr>
            </w:pPr>
            <w:r>
              <w:rPr>
                <w:rFonts w:eastAsia="Times New Roman"/>
                <w:b/>
                <w:bCs/>
                <w:color w:val="000000"/>
                <w:sz w:val="18"/>
                <w:szCs w:val="18"/>
              </w:rPr>
              <w:t>174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E605AB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861DB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12FB905" w14:textId="77777777" w:rsidR="00000000" w:rsidRDefault="00405D16">
            <w:pPr>
              <w:spacing w:after="100"/>
              <w:jc w:val="right"/>
              <w:rPr>
                <w:rFonts w:eastAsia="Times New Roman"/>
              </w:rPr>
            </w:pPr>
            <w:r>
              <w:rPr>
                <w:rFonts w:eastAsia="Times New Roman"/>
                <w:b/>
                <w:bCs/>
                <w:color w:val="000000"/>
                <w:sz w:val="18"/>
                <w:szCs w:val="18"/>
              </w:rPr>
              <w:t>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ED9DB1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B6FF3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56A80A2" w14:textId="77777777" w:rsidR="00000000" w:rsidRDefault="00405D16">
            <w:pPr>
              <w:spacing w:after="100"/>
              <w:jc w:val="right"/>
              <w:rPr>
                <w:rFonts w:eastAsia="Times New Roman"/>
              </w:rPr>
            </w:pPr>
            <w:r>
              <w:rPr>
                <w:rFonts w:eastAsia="Times New Roman"/>
                <w:color w:val="000000"/>
                <w:sz w:val="18"/>
                <w:szCs w:val="18"/>
              </w:rPr>
              <w:t>210 </w:t>
            </w:r>
          </w:p>
        </w:tc>
        <w:tc>
          <w:tcPr>
            <w:tcW w:w="0" w:type="auto"/>
            <w:shd w:val="clear" w:color="auto" w:fill="CCEEFF"/>
            <w:tcMar>
              <w:top w:w="30" w:type="dxa"/>
              <w:left w:w="0" w:type="dxa"/>
              <w:bottom w:w="30" w:type="dxa"/>
              <w:right w:w="20" w:type="dxa"/>
            </w:tcMar>
            <w:vAlign w:val="center"/>
            <w:hideMark/>
          </w:tcPr>
          <w:p w14:paraId="51D5868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97451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1430901" w14:textId="77777777" w:rsidR="00000000" w:rsidRDefault="00405D16">
            <w:pPr>
              <w:spacing w:after="100"/>
              <w:jc w:val="right"/>
              <w:rPr>
                <w:rFonts w:eastAsia="Times New Roman"/>
              </w:rPr>
            </w:pPr>
            <w:r>
              <w:rPr>
                <w:rFonts w:eastAsia="Times New Roman"/>
                <w:color w:val="000000"/>
                <w:sz w:val="18"/>
                <w:szCs w:val="18"/>
              </w:rPr>
              <w:t>0.3 </w:t>
            </w:r>
          </w:p>
        </w:tc>
        <w:tc>
          <w:tcPr>
            <w:tcW w:w="0" w:type="auto"/>
            <w:shd w:val="clear" w:color="auto" w:fill="CCEEFF"/>
            <w:tcMar>
              <w:top w:w="30" w:type="dxa"/>
              <w:left w:w="0" w:type="dxa"/>
              <w:bottom w:w="30" w:type="dxa"/>
              <w:right w:w="20" w:type="dxa"/>
            </w:tcMar>
            <w:vAlign w:val="center"/>
            <w:hideMark/>
          </w:tcPr>
          <w:p w14:paraId="13BD504B" w14:textId="77777777" w:rsidR="00000000" w:rsidRDefault="00405D16">
            <w:pPr>
              <w:spacing w:after="100"/>
              <w:jc w:val="right"/>
              <w:rPr>
                <w:rFonts w:eastAsia="Times New Roman"/>
              </w:rPr>
            </w:pPr>
          </w:p>
        </w:tc>
      </w:tr>
      <w:tr w:rsidR="00000000" w14:paraId="23A0E398" w14:textId="77777777">
        <w:trPr>
          <w:divId w:val="1743402650"/>
        </w:trPr>
        <w:tc>
          <w:tcPr>
            <w:tcW w:w="0" w:type="auto"/>
            <w:gridSpan w:val="3"/>
            <w:shd w:val="clear" w:color="auto" w:fill="FFFFFF"/>
            <w:tcMar>
              <w:top w:w="30" w:type="dxa"/>
              <w:left w:w="20" w:type="dxa"/>
              <w:bottom w:w="30" w:type="dxa"/>
              <w:right w:w="20" w:type="dxa"/>
            </w:tcMar>
            <w:vAlign w:val="center"/>
            <w:hideMark/>
          </w:tcPr>
          <w:p w14:paraId="78087E84" w14:textId="77777777" w:rsidR="00000000" w:rsidRDefault="00405D16">
            <w:pPr>
              <w:spacing w:after="100"/>
              <w:rPr>
                <w:rFonts w:eastAsia="Times New Roman"/>
              </w:rPr>
            </w:pPr>
            <w:r>
              <w:rPr>
                <w:rFonts w:eastAsia="Times New Roman"/>
                <w:color w:val="000000"/>
                <w:sz w:val="18"/>
                <w:szCs w:val="18"/>
              </w:rPr>
              <w:t>Total retail banking</w:t>
            </w:r>
          </w:p>
        </w:tc>
        <w:tc>
          <w:tcPr>
            <w:tcW w:w="0" w:type="auto"/>
            <w:gridSpan w:val="3"/>
            <w:shd w:val="clear" w:color="auto" w:fill="FFFFFF"/>
            <w:tcMar>
              <w:top w:w="0" w:type="dxa"/>
              <w:left w:w="20" w:type="dxa"/>
              <w:bottom w:w="0" w:type="dxa"/>
              <w:right w:w="20" w:type="dxa"/>
            </w:tcMar>
            <w:vAlign w:val="center"/>
            <w:hideMark/>
          </w:tcPr>
          <w:p w14:paraId="78EA939F"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A2E3CC3" w14:textId="77777777" w:rsidR="00000000" w:rsidRDefault="00405D16">
            <w:pPr>
              <w:spacing w:after="100"/>
              <w:jc w:val="right"/>
              <w:rPr>
                <w:rFonts w:eastAsia="Times New Roman"/>
              </w:rPr>
            </w:pPr>
            <w:r>
              <w:rPr>
                <w:rFonts w:eastAsia="Times New Roman"/>
                <w:b/>
                <w:bCs/>
                <w:color w:val="000000"/>
                <w:sz w:val="18"/>
                <w:szCs w:val="18"/>
              </w:rPr>
              <w:t>2,396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ADDE46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8F010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228492F" w14:textId="77777777" w:rsidR="00000000" w:rsidRDefault="00405D16">
            <w:pPr>
              <w:spacing w:after="100"/>
              <w:jc w:val="right"/>
              <w:rPr>
                <w:rFonts w:eastAsia="Times New Roman"/>
              </w:rPr>
            </w:pPr>
            <w:r>
              <w:rPr>
                <w:rFonts w:eastAsia="Times New Roman"/>
                <w:b/>
                <w:bCs/>
                <w:color w:val="000000"/>
                <w:sz w:val="18"/>
                <w:szCs w:val="18"/>
              </w:rPr>
              <w:t>3.1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E8C547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91ECA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1312ADF" w14:textId="77777777" w:rsidR="00000000" w:rsidRDefault="00405D16">
            <w:pPr>
              <w:spacing w:after="100"/>
              <w:jc w:val="right"/>
              <w:rPr>
                <w:rFonts w:eastAsia="Times New Roman"/>
              </w:rPr>
            </w:pPr>
            <w:r>
              <w:rPr>
                <w:rFonts w:eastAsia="Times New Roman"/>
                <w:color w:val="000000"/>
                <w:sz w:val="18"/>
                <w:szCs w:val="18"/>
              </w:rPr>
              <w:t>3,126 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646832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235135"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7EF1B66" w14:textId="77777777" w:rsidR="00000000" w:rsidRDefault="00405D16">
            <w:pPr>
              <w:spacing w:after="100"/>
              <w:jc w:val="right"/>
              <w:rPr>
                <w:rFonts w:eastAsia="Times New Roman"/>
              </w:rPr>
            </w:pPr>
            <w:r>
              <w:rPr>
                <w:rFonts w:eastAsia="Times New Roman"/>
                <w:color w:val="000000"/>
                <w:sz w:val="18"/>
                <w:szCs w:val="18"/>
              </w:rPr>
              <w:t>4.5 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AFAD3ED" w14:textId="77777777" w:rsidR="00000000" w:rsidRDefault="00405D16">
            <w:pPr>
              <w:spacing w:after="100"/>
              <w:jc w:val="right"/>
              <w:rPr>
                <w:rFonts w:eastAsia="Times New Roman"/>
              </w:rPr>
            </w:pPr>
          </w:p>
        </w:tc>
      </w:tr>
      <w:tr w:rsidR="00000000" w14:paraId="6A779C28" w14:textId="77777777">
        <w:trPr>
          <w:divId w:val="1743402650"/>
        </w:trPr>
        <w:tc>
          <w:tcPr>
            <w:tcW w:w="0" w:type="auto"/>
            <w:gridSpan w:val="3"/>
            <w:shd w:val="clear" w:color="auto" w:fill="CCEEFF"/>
            <w:tcMar>
              <w:top w:w="30" w:type="dxa"/>
              <w:left w:w="20" w:type="dxa"/>
              <w:bottom w:w="30" w:type="dxa"/>
              <w:right w:w="20" w:type="dxa"/>
            </w:tcMar>
            <w:vAlign w:val="center"/>
            <w:hideMark/>
          </w:tcPr>
          <w:p w14:paraId="6E481668" w14:textId="77777777" w:rsidR="00000000" w:rsidRDefault="00405D16">
            <w:pPr>
              <w:spacing w:after="100"/>
              <w:rPr>
                <w:rFonts w:eastAsia="Times New Roman"/>
              </w:rPr>
            </w:pPr>
            <w:r>
              <w:rPr>
                <w:rFonts w:eastAsia="Times New Roman"/>
                <w:color w:val="000000"/>
                <w:sz w:val="18"/>
                <w:szCs w:val="18"/>
              </w:rPr>
              <w:t>Total consumer banking</w:t>
            </w:r>
          </w:p>
        </w:tc>
        <w:tc>
          <w:tcPr>
            <w:tcW w:w="0" w:type="auto"/>
            <w:gridSpan w:val="3"/>
            <w:shd w:val="clear" w:color="auto" w:fill="CCEEFF"/>
            <w:tcMar>
              <w:top w:w="0" w:type="dxa"/>
              <w:left w:w="20" w:type="dxa"/>
              <w:bottom w:w="0" w:type="dxa"/>
              <w:right w:w="20" w:type="dxa"/>
            </w:tcMar>
            <w:vAlign w:val="center"/>
            <w:hideMark/>
          </w:tcPr>
          <w:p w14:paraId="5E908BF7"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A566A0E"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02F876F" w14:textId="77777777" w:rsidR="00000000" w:rsidRDefault="00405D16">
            <w:pPr>
              <w:spacing w:after="100"/>
              <w:jc w:val="right"/>
              <w:rPr>
                <w:rFonts w:eastAsia="Times New Roman"/>
              </w:rPr>
            </w:pPr>
            <w:r>
              <w:rPr>
                <w:rFonts w:eastAsia="Times New Roman"/>
                <w:b/>
                <w:bCs/>
                <w:color w:val="000000"/>
                <w:sz w:val="18"/>
                <w:szCs w:val="18"/>
              </w:rPr>
              <w:t>77,112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A6B79D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2D7EF3" w14:textId="77777777" w:rsidR="00000000" w:rsidRDefault="00405D1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46C0E4F" w14:textId="77777777" w:rsidR="00000000" w:rsidRDefault="00405D16">
            <w:pPr>
              <w:spacing w:after="100"/>
              <w:jc w:val="right"/>
              <w:rPr>
                <w:rFonts w:eastAsia="Times New Roman"/>
              </w:rPr>
            </w:pPr>
            <w:r>
              <w:rPr>
                <w:rFonts w:eastAsia="Times New Roman"/>
                <w:b/>
                <w:bCs/>
                <w:color w:val="000000"/>
                <w:sz w:val="18"/>
                <w:szCs w:val="18"/>
              </w:rPr>
              <w:t>100.0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06DEB55"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3E9CE4F" w14:textId="77777777" w:rsidR="00000000" w:rsidRDefault="00405D16">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B9C698B"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A89BFDB" w14:textId="77777777" w:rsidR="00000000" w:rsidRDefault="00405D16">
            <w:pPr>
              <w:spacing w:after="100"/>
              <w:jc w:val="right"/>
              <w:rPr>
                <w:rFonts w:eastAsia="Times New Roman"/>
              </w:rPr>
            </w:pPr>
            <w:r>
              <w:rPr>
                <w:rFonts w:eastAsia="Times New Roman"/>
                <w:color w:val="000000"/>
                <w:sz w:val="18"/>
                <w:szCs w:val="18"/>
              </w:rPr>
              <w:t>68,888 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191FD8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B86DD3" w14:textId="77777777" w:rsidR="00000000" w:rsidRDefault="00405D1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65A1790" w14:textId="77777777" w:rsidR="00000000" w:rsidRDefault="00405D16">
            <w:pPr>
              <w:spacing w:after="100"/>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946C16F" w14:textId="77777777" w:rsidR="00000000" w:rsidRDefault="00405D16">
            <w:pPr>
              <w:spacing w:after="100"/>
              <w:jc w:val="right"/>
              <w:rPr>
                <w:rFonts w:eastAsia="Times New Roman"/>
              </w:rPr>
            </w:pPr>
            <w:r>
              <w:rPr>
                <w:rFonts w:eastAsia="Times New Roman"/>
                <w:color w:val="000000"/>
                <w:sz w:val="18"/>
                <w:szCs w:val="18"/>
              </w:rPr>
              <w:t>%</w:t>
            </w:r>
          </w:p>
        </w:tc>
      </w:tr>
    </w:tbl>
    <w:p w14:paraId="09AEACC3" w14:textId="77777777" w:rsidR="00000000" w:rsidRDefault="00405D16">
      <w:pPr>
        <w:jc w:val="both"/>
        <w:divId w:val="1555042800"/>
        <w:rPr>
          <w:rFonts w:eastAsia="Times New Roman"/>
        </w:rPr>
      </w:pPr>
      <w:r>
        <w:rPr>
          <w:rFonts w:eastAsia="Times New Roman"/>
          <w:color w:val="000000"/>
          <w:sz w:val="20"/>
          <w:szCs w:val="20"/>
        </w:rPr>
        <w:t>We originate commercial and multifamily real estate loans in most r</w:t>
      </w:r>
      <w:r>
        <w:rPr>
          <w:rFonts w:eastAsia="Times New Roman"/>
          <w:color w:val="000000"/>
          <w:sz w:val="20"/>
          <w:szCs w:val="20"/>
        </w:rPr>
        <w:t>egions of the United States. The table below presents the geographic profile of our commercial real estate portfolio of September 30, 2021 and December 31, 2020.</w:t>
      </w:r>
    </w:p>
    <w:p w14:paraId="0D265C7B" w14:textId="77777777" w:rsidR="00000000" w:rsidRDefault="00405D16">
      <w:pPr>
        <w:jc w:val="both"/>
        <w:divId w:val="1129981870"/>
        <w:rPr>
          <w:rFonts w:eastAsia="Times New Roman"/>
        </w:rPr>
      </w:pPr>
      <w:r>
        <w:rPr>
          <w:rFonts w:eastAsia="Times New Roman"/>
          <w:b/>
          <w:bCs/>
          <w:color w:val="000000"/>
          <w:sz w:val="18"/>
          <w:szCs w:val="18"/>
        </w:rPr>
        <w:t>Table 20: Commercial Real Estate Portfolio by Region</w:t>
      </w:r>
    </w:p>
    <w:tbl>
      <w:tblPr>
        <w:tblW w:w="5000" w:type="pct"/>
        <w:tblCellMar>
          <w:top w:w="15" w:type="dxa"/>
          <w:left w:w="15" w:type="dxa"/>
          <w:bottom w:w="15" w:type="dxa"/>
          <w:right w:w="15" w:type="dxa"/>
        </w:tblCellMar>
        <w:tblLook w:val="04A0" w:firstRow="1" w:lastRow="0" w:firstColumn="1" w:lastColumn="0" w:noHBand="0" w:noVBand="1"/>
      </w:tblPr>
      <w:tblGrid>
        <w:gridCol w:w="41"/>
        <w:gridCol w:w="4401"/>
        <w:gridCol w:w="36"/>
        <w:gridCol w:w="36"/>
        <w:gridCol w:w="36"/>
        <w:gridCol w:w="36"/>
        <w:gridCol w:w="110"/>
        <w:gridCol w:w="659"/>
        <w:gridCol w:w="36"/>
        <w:gridCol w:w="36"/>
        <w:gridCol w:w="36"/>
        <w:gridCol w:w="36"/>
        <w:gridCol w:w="54"/>
        <w:gridCol w:w="623"/>
        <w:gridCol w:w="200"/>
        <w:gridCol w:w="36"/>
        <w:gridCol w:w="36"/>
        <w:gridCol w:w="36"/>
        <w:gridCol w:w="110"/>
        <w:gridCol w:w="718"/>
        <w:gridCol w:w="36"/>
        <w:gridCol w:w="36"/>
        <w:gridCol w:w="36"/>
        <w:gridCol w:w="36"/>
        <w:gridCol w:w="54"/>
        <w:gridCol w:w="626"/>
        <w:gridCol w:w="170"/>
      </w:tblGrid>
      <w:tr w:rsidR="00000000" w14:paraId="05E5807B" w14:textId="77777777">
        <w:trPr>
          <w:divId w:val="538125589"/>
        </w:trPr>
        <w:tc>
          <w:tcPr>
            <w:tcW w:w="50" w:type="pct"/>
            <w:vAlign w:val="center"/>
            <w:hideMark/>
          </w:tcPr>
          <w:p w14:paraId="13B69189" w14:textId="77777777" w:rsidR="00000000" w:rsidRDefault="00405D16">
            <w:pPr>
              <w:jc w:val="both"/>
              <w:rPr>
                <w:rFonts w:eastAsia="Times New Roman"/>
              </w:rPr>
            </w:pPr>
          </w:p>
        </w:tc>
        <w:tc>
          <w:tcPr>
            <w:tcW w:w="2700" w:type="pct"/>
            <w:vAlign w:val="center"/>
            <w:hideMark/>
          </w:tcPr>
          <w:p w14:paraId="5DF9E6BF" w14:textId="77777777" w:rsidR="00000000" w:rsidRDefault="00405D16">
            <w:pPr>
              <w:spacing w:after="100"/>
              <w:rPr>
                <w:rFonts w:eastAsia="Times New Roman"/>
                <w:sz w:val="20"/>
                <w:szCs w:val="20"/>
              </w:rPr>
            </w:pPr>
          </w:p>
        </w:tc>
        <w:tc>
          <w:tcPr>
            <w:tcW w:w="5" w:type="pct"/>
            <w:vAlign w:val="center"/>
            <w:hideMark/>
          </w:tcPr>
          <w:p w14:paraId="57160D25" w14:textId="77777777" w:rsidR="00000000" w:rsidRDefault="00405D16">
            <w:pPr>
              <w:spacing w:after="100"/>
              <w:rPr>
                <w:rFonts w:eastAsia="Times New Roman"/>
                <w:sz w:val="20"/>
                <w:szCs w:val="20"/>
              </w:rPr>
            </w:pPr>
          </w:p>
        </w:tc>
        <w:tc>
          <w:tcPr>
            <w:tcW w:w="5" w:type="pct"/>
            <w:vAlign w:val="center"/>
            <w:hideMark/>
          </w:tcPr>
          <w:p w14:paraId="04032388" w14:textId="77777777" w:rsidR="00000000" w:rsidRDefault="00405D16">
            <w:pPr>
              <w:spacing w:after="100"/>
              <w:rPr>
                <w:rFonts w:eastAsia="Times New Roman"/>
                <w:sz w:val="20"/>
                <w:szCs w:val="20"/>
              </w:rPr>
            </w:pPr>
          </w:p>
        </w:tc>
        <w:tc>
          <w:tcPr>
            <w:tcW w:w="26" w:type="pct"/>
            <w:vAlign w:val="center"/>
            <w:hideMark/>
          </w:tcPr>
          <w:p w14:paraId="0776B8C7" w14:textId="77777777" w:rsidR="00000000" w:rsidRDefault="00405D16">
            <w:pPr>
              <w:spacing w:after="100"/>
              <w:rPr>
                <w:rFonts w:eastAsia="Times New Roman"/>
                <w:sz w:val="20"/>
                <w:szCs w:val="20"/>
              </w:rPr>
            </w:pPr>
          </w:p>
        </w:tc>
        <w:tc>
          <w:tcPr>
            <w:tcW w:w="5" w:type="pct"/>
            <w:vAlign w:val="center"/>
            <w:hideMark/>
          </w:tcPr>
          <w:p w14:paraId="709B6FC0" w14:textId="77777777" w:rsidR="00000000" w:rsidRDefault="00405D16">
            <w:pPr>
              <w:spacing w:after="100"/>
              <w:rPr>
                <w:rFonts w:eastAsia="Times New Roman"/>
                <w:sz w:val="20"/>
                <w:szCs w:val="20"/>
              </w:rPr>
            </w:pPr>
          </w:p>
        </w:tc>
        <w:tc>
          <w:tcPr>
            <w:tcW w:w="50" w:type="pct"/>
            <w:vAlign w:val="center"/>
            <w:hideMark/>
          </w:tcPr>
          <w:p w14:paraId="161B0134" w14:textId="77777777" w:rsidR="00000000" w:rsidRDefault="00405D16">
            <w:pPr>
              <w:spacing w:after="100"/>
              <w:rPr>
                <w:rFonts w:eastAsia="Times New Roman"/>
                <w:sz w:val="20"/>
                <w:szCs w:val="20"/>
              </w:rPr>
            </w:pPr>
          </w:p>
        </w:tc>
        <w:tc>
          <w:tcPr>
            <w:tcW w:w="471" w:type="pct"/>
            <w:vAlign w:val="center"/>
            <w:hideMark/>
          </w:tcPr>
          <w:p w14:paraId="2509E376" w14:textId="77777777" w:rsidR="00000000" w:rsidRDefault="00405D16">
            <w:pPr>
              <w:spacing w:after="100"/>
              <w:rPr>
                <w:rFonts w:eastAsia="Times New Roman"/>
                <w:sz w:val="20"/>
                <w:szCs w:val="20"/>
              </w:rPr>
            </w:pPr>
          </w:p>
        </w:tc>
        <w:tc>
          <w:tcPr>
            <w:tcW w:w="5" w:type="pct"/>
            <w:vAlign w:val="center"/>
            <w:hideMark/>
          </w:tcPr>
          <w:p w14:paraId="0767E8DB" w14:textId="77777777" w:rsidR="00000000" w:rsidRDefault="00405D16">
            <w:pPr>
              <w:spacing w:after="100"/>
              <w:rPr>
                <w:rFonts w:eastAsia="Times New Roman"/>
                <w:sz w:val="20"/>
                <w:szCs w:val="20"/>
              </w:rPr>
            </w:pPr>
          </w:p>
        </w:tc>
        <w:tc>
          <w:tcPr>
            <w:tcW w:w="5" w:type="pct"/>
            <w:vAlign w:val="center"/>
            <w:hideMark/>
          </w:tcPr>
          <w:p w14:paraId="385CDBDF" w14:textId="77777777" w:rsidR="00000000" w:rsidRDefault="00405D16">
            <w:pPr>
              <w:spacing w:after="100"/>
              <w:rPr>
                <w:rFonts w:eastAsia="Times New Roman"/>
                <w:sz w:val="20"/>
                <w:szCs w:val="20"/>
              </w:rPr>
            </w:pPr>
          </w:p>
        </w:tc>
        <w:tc>
          <w:tcPr>
            <w:tcW w:w="26" w:type="pct"/>
            <w:vAlign w:val="center"/>
            <w:hideMark/>
          </w:tcPr>
          <w:p w14:paraId="5D6BCA55" w14:textId="77777777" w:rsidR="00000000" w:rsidRDefault="00405D16">
            <w:pPr>
              <w:spacing w:after="100"/>
              <w:rPr>
                <w:rFonts w:eastAsia="Times New Roman"/>
                <w:sz w:val="20"/>
                <w:szCs w:val="20"/>
              </w:rPr>
            </w:pPr>
          </w:p>
        </w:tc>
        <w:tc>
          <w:tcPr>
            <w:tcW w:w="5" w:type="pct"/>
            <w:vAlign w:val="center"/>
            <w:hideMark/>
          </w:tcPr>
          <w:p w14:paraId="0B3E144C" w14:textId="77777777" w:rsidR="00000000" w:rsidRDefault="00405D16">
            <w:pPr>
              <w:spacing w:after="100"/>
              <w:rPr>
                <w:rFonts w:eastAsia="Times New Roman"/>
                <w:sz w:val="20"/>
                <w:szCs w:val="20"/>
              </w:rPr>
            </w:pPr>
          </w:p>
        </w:tc>
        <w:tc>
          <w:tcPr>
            <w:tcW w:w="50" w:type="pct"/>
            <w:vAlign w:val="center"/>
            <w:hideMark/>
          </w:tcPr>
          <w:p w14:paraId="679D4CEC" w14:textId="77777777" w:rsidR="00000000" w:rsidRDefault="00405D16">
            <w:pPr>
              <w:spacing w:after="100"/>
              <w:rPr>
                <w:rFonts w:eastAsia="Times New Roman"/>
                <w:sz w:val="20"/>
                <w:szCs w:val="20"/>
              </w:rPr>
            </w:pPr>
          </w:p>
        </w:tc>
        <w:tc>
          <w:tcPr>
            <w:tcW w:w="471" w:type="pct"/>
            <w:vAlign w:val="center"/>
            <w:hideMark/>
          </w:tcPr>
          <w:p w14:paraId="189CE51C" w14:textId="77777777" w:rsidR="00000000" w:rsidRDefault="00405D16">
            <w:pPr>
              <w:spacing w:after="100"/>
              <w:rPr>
                <w:rFonts w:eastAsia="Times New Roman"/>
                <w:sz w:val="20"/>
                <w:szCs w:val="20"/>
              </w:rPr>
            </w:pPr>
          </w:p>
        </w:tc>
        <w:tc>
          <w:tcPr>
            <w:tcW w:w="5" w:type="pct"/>
            <w:vAlign w:val="center"/>
            <w:hideMark/>
          </w:tcPr>
          <w:p w14:paraId="560E21D0" w14:textId="77777777" w:rsidR="00000000" w:rsidRDefault="00405D16">
            <w:pPr>
              <w:spacing w:after="100"/>
              <w:rPr>
                <w:rFonts w:eastAsia="Times New Roman"/>
                <w:sz w:val="20"/>
                <w:szCs w:val="20"/>
              </w:rPr>
            </w:pPr>
          </w:p>
        </w:tc>
        <w:tc>
          <w:tcPr>
            <w:tcW w:w="5" w:type="pct"/>
            <w:vAlign w:val="center"/>
            <w:hideMark/>
          </w:tcPr>
          <w:p w14:paraId="7733FCB4" w14:textId="77777777" w:rsidR="00000000" w:rsidRDefault="00405D16">
            <w:pPr>
              <w:spacing w:after="100"/>
              <w:rPr>
                <w:rFonts w:eastAsia="Times New Roman"/>
                <w:sz w:val="20"/>
                <w:szCs w:val="20"/>
              </w:rPr>
            </w:pPr>
          </w:p>
        </w:tc>
        <w:tc>
          <w:tcPr>
            <w:tcW w:w="19" w:type="pct"/>
            <w:vAlign w:val="center"/>
            <w:hideMark/>
          </w:tcPr>
          <w:p w14:paraId="207284EC" w14:textId="77777777" w:rsidR="00000000" w:rsidRDefault="00405D16">
            <w:pPr>
              <w:spacing w:after="100"/>
              <w:rPr>
                <w:rFonts w:eastAsia="Times New Roman"/>
                <w:sz w:val="20"/>
                <w:szCs w:val="20"/>
              </w:rPr>
            </w:pPr>
          </w:p>
        </w:tc>
        <w:tc>
          <w:tcPr>
            <w:tcW w:w="5" w:type="pct"/>
            <w:vAlign w:val="center"/>
            <w:hideMark/>
          </w:tcPr>
          <w:p w14:paraId="64620B34" w14:textId="77777777" w:rsidR="00000000" w:rsidRDefault="00405D16">
            <w:pPr>
              <w:spacing w:after="100"/>
              <w:rPr>
                <w:rFonts w:eastAsia="Times New Roman"/>
                <w:sz w:val="20"/>
                <w:szCs w:val="20"/>
              </w:rPr>
            </w:pPr>
          </w:p>
        </w:tc>
        <w:tc>
          <w:tcPr>
            <w:tcW w:w="50" w:type="pct"/>
            <w:vAlign w:val="center"/>
            <w:hideMark/>
          </w:tcPr>
          <w:p w14:paraId="2054AFF2" w14:textId="77777777" w:rsidR="00000000" w:rsidRDefault="00405D16">
            <w:pPr>
              <w:spacing w:after="100"/>
              <w:rPr>
                <w:rFonts w:eastAsia="Times New Roman"/>
                <w:sz w:val="20"/>
                <w:szCs w:val="20"/>
              </w:rPr>
            </w:pPr>
          </w:p>
        </w:tc>
        <w:tc>
          <w:tcPr>
            <w:tcW w:w="471" w:type="pct"/>
            <w:vAlign w:val="center"/>
            <w:hideMark/>
          </w:tcPr>
          <w:p w14:paraId="6BEE9986" w14:textId="77777777" w:rsidR="00000000" w:rsidRDefault="00405D16">
            <w:pPr>
              <w:spacing w:after="100"/>
              <w:rPr>
                <w:rFonts w:eastAsia="Times New Roman"/>
                <w:sz w:val="20"/>
                <w:szCs w:val="20"/>
              </w:rPr>
            </w:pPr>
          </w:p>
        </w:tc>
        <w:tc>
          <w:tcPr>
            <w:tcW w:w="5" w:type="pct"/>
            <w:vAlign w:val="center"/>
            <w:hideMark/>
          </w:tcPr>
          <w:p w14:paraId="3B8495E0" w14:textId="77777777" w:rsidR="00000000" w:rsidRDefault="00405D16">
            <w:pPr>
              <w:spacing w:after="100"/>
              <w:rPr>
                <w:rFonts w:eastAsia="Times New Roman"/>
                <w:sz w:val="20"/>
                <w:szCs w:val="20"/>
              </w:rPr>
            </w:pPr>
          </w:p>
        </w:tc>
        <w:tc>
          <w:tcPr>
            <w:tcW w:w="5" w:type="pct"/>
            <w:vAlign w:val="center"/>
            <w:hideMark/>
          </w:tcPr>
          <w:p w14:paraId="6876974D" w14:textId="77777777" w:rsidR="00000000" w:rsidRDefault="00405D16">
            <w:pPr>
              <w:spacing w:after="100"/>
              <w:rPr>
                <w:rFonts w:eastAsia="Times New Roman"/>
                <w:sz w:val="20"/>
                <w:szCs w:val="20"/>
              </w:rPr>
            </w:pPr>
          </w:p>
        </w:tc>
        <w:tc>
          <w:tcPr>
            <w:tcW w:w="26" w:type="pct"/>
            <w:vAlign w:val="center"/>
            <w:hideMark/>
          </w:tcPr>
          <w:p w14:paraId="28975884" w14:textId="77777777" w:rsidR="00000000" w:rsidRDefault="00405D16">
            <w:pPr>
              <w:spacing w:after="100"/>
              <w:rPr>
                <w:rFonts w:eastAsia="Times New Roman"/>
                <w:sz w:val="20"/>
                <w:szCs w:val="20"/>
              </w:rPr>
            </w:pPr>
          </w:p>
        </w:tc>
        <w:tc>
          <w:tcPr>
            <w:tcW w:w="5" w:type="pct"/>
            <w:vAlign w:val="center"/>
            <w:hideMark/>
          </w:tcPr>
          <w:p w14:paraId="512B76E0" w14:textId="77777777" w:rsidR="00000000" w:rsidRDefault="00405D16">
            <w:pPr>
              <w:spacing w:after="100"/>
              <w:rPr>
                <w:rFonts w:eastAsia="Times New Roman"/>
                <w:sz w:val="20"/>
                <w:szCs w:val="20"/>
              </w:rPr>
            </w:pPr>
          </w:p>
        </w:tc>
        <w:tc>
          <w:tcPr>
            <w:tcW w:w="50" w:type="pct"/>
            <w:vAlign w:val="center"/>
            <w:hideMark/>
          </w:tcPr>
          <w:p w14:paraId="0B7C4EB0" w14:textId="77777777" w:rsidR="00000000" w:rsidRDefault="00405D16">
            <w:pPr>
              <w:spacing w:after="100"/>
              <w:rPr>
                <w:rFonts w:eastAsia="Times New Roman"/>
                <w:sz w:val="20"/>
                <w:szCs w:val="20"/>
              </w:rPr>
            </w:pPr>
          </w:p>
        </w:tc>
        <w:tc>
          <w:tcPr>
            <w:tcW w:w="471" w:type="pct"/>
            <w:vAlign w:val="center"/>
            <w:hideMark/>
          </w:tcPr>
          <w:p w14:paraId="3AE36B36" w14:textId="77777777" w:rsidR="00000000" w:rsidRDefault="00405D16">
            <w:pPr>
              <w:spacing w:after="100"/>
              <w:rPr>
                <w:rFonts w:eastAsia="Times New Roman"/>
                <w:sz w:val="20"/>
                <w:szCs w:val="20"/>
              </w:rPr>
            </w:pPr>
          </w:p>
        </w:tc>
        <w:tc>
          <w:tcPr>
            <w:tcW w:w="5" w:type="pct"/>
            <w:vAlign w:val="center"/>
            <w:hideMark/>
          </w:tcPr>
          <w:p w14:paraId="4194D613" w14:textId="77777777" w:rsidR="00000000" w:rsidRDefault="00405D16">
            <w:pPr>
              <w:spacing w:after="100"/>
              <w:rPr>
                <w:rFonts w:eastAsia="Times New Roman"/>
                <w:sz w:val="20"/>
                <w:szCs w:val="20"/>
              </w:rPr>
            </w:pPr>
          </w:p>
        </w:tc>
      </w:tr>
      <w:tr w:rsidR="00000000" w14:paraId="7CB1E60D" w14:textId="77777777">
        <w:trPr>
          <w:divId w:val="538125589"/>
        </w:trPr>
        <w:tc>
          <w:tcPr>
            <w:tcW w:w="0" w:type="auto"/>
            <w:gridSpan w:val="3"/>
            <w:vAlign w:val="center"/>
            <w:hideMark/>
          </w:tcPr>
          <w:p w14:paraId="507E9F89" w14:textId="77777777" w:rsidR="00000000" w:rsidRDefault="00405D16">
            <w:pPr>
              <w:spacing w:after="100"/>
              <w:rPr>
                <w:rFonts w:eastAsia="Times New Roman"/>
                <w:sz w:val="20"/>
                <w:szCs w:val="20"/>
              </w:rPr>
            </w:pPr>
          </w:p>
        </w:tc>
        <w:tc>
          <w:tcPr>
            <w:tcW w:w="0" w:type="auto"/>
            <w:gridSpan w:val="3"/>
            <w:vAlign w:val="center"/>
            <w:hideMark/>
          </w:tcPr>
          <w:p w14:paraId="24BB3518" w14:textId="77777777" w:rsidR="00000000" w:rsidRDefault="00405D16">
            <w:pPr>
              <w:spacing w:after="100"/>
              <w:rPr>
                <w:rFonts w:eastAsia="Times New Roman"/>
                <w:sz w:val="20"/>
                <w:szCs w:val="20"/>
              </w:rPr>
            </w:pPr>
          </w:p>
        </w:tc>
        <w:tc>
          <w:tcPr>
            <w:tcW w:w="0" w:type="auto"/>
            <w:gridSpan w:val="3"/>
            <w:vAlign w:val="center"/>
            <w:hideMark/>
          </w:tcPr>
          <w:p w14:paraId="3CF0A9E4" w14:textId="77777777" w:rsidR="00000000" w:rsidRDefault="00405D16">
            <w:pPr>
              <w:spacing w:after="100"/>
              <w:rPr>
                <w:rFonts w:eastAsia="Times New Roman"/>
                <w:sz w:val="20"/>
                <w:szCs w:val="20"/>
              </w:rPr>
            </w:pPr>
          </w:p>
        </w:tc>
        <w:tc>
          <w:tcPr>
            <w:tcW w:w="0" w:type="auto"/>
            <w:gridSpan w:val="3"/>
            <w:vAlign w:val="center"/>
            <w:hideMark/>
          </w:tcPr>
          <w:p w14:paraId="77B2774D" w14:textId="77777777" w:rsidR="00000000" w:rsidRDefault="00405D16">
            <w:pPr>
              <w:spacing w:after="100"/>
              <w:rPr>
                <w:rFonts w:eastAsia="Times New Roman"/>
                <w:sz w:val="20"/>
                <w:szCs w:val="20"/>
              </w:rPr>
            </w:pPr>
          </w:p>
        </w:tc>
        <w:tc>
          <w:tcPr>
            <w:tcW w:w="0" w:type="auto"/>
            <w:gridSpan w:val="3"/>
            <w:vAlign w:val="center"/>
            <w:hideMark/>
          </w:tcPr>
          <w:p w14:paraId="1497BF42" w14:textId="77777777" w:rsidR="00000000" w:rsidRDefault="00405D16">
            <w:pPr>
              <w:spacing w:after="100"/>
              <w:rPr>
                <w:rFonts w:eastAsia="Times New Roman"/>
                <w:sz w:val="20"/>
                <w:szCs w:val="20"/>
              </w:rPr>
            </w:pPr>
          </w:p>
        </w:tc>
        <w:tc>
          <w:tcPr>
            <w:tcW w:w="0" w:type="auto"/>
            <w:gridSpan w:val="3"/>
            <w:vAlign w:val="center"/>
            <w:hideMark/>
          </w:tcPr>
          <w:p w14:paraId="1C910B3D" w14:textId="77777777" w:rsidR="00000000" w:rsidRDefault="00405D16">
            <w:pPr>
              <w:spacing w:after="100"/>
              <w:rPr>
                <w:rFonts w:eastAsia="Times New Roman"/>
                <w:sz w:val="20"/>
                <w:szCs w:val="20"/>
              </w:rPr>
            </w:pPr>
          </w:p>
        </w:tc>
        <w:tc>
          <w:tcPr>
            <w:tcW w:w="0" w:type="auto"/>
            <w:gridSpan w:val="3"/>
            <w:vAlign w:val="center"/>
            <w:hideMark/>
          </w:tcPr>
          <w:p w14:paraId="0368E8D9" w14:textId="77777777" w:rsidR="00000000" w:rsidRDefault="00405D16">
            <w:pPr>
              <w:spacing w:after="100"/>
              <w:rPr>
                <w:rFonts w:eastAsia="Times New Roman"/>
                <w:sz w:val="20"/>
                <w:szCs w:val="20"/>
              </w:rPr>
            </w:pPr>
          </w:p>
        </w:tc>
        <w:tc>
          <w:tcPr>
            <w:tcW w:w="0" w:type="auto"/>
            <w:gridSpan w:val="3"/>
            <w:vAlign w:val="center"/>
            <w:hideMark/>
          </w:tcPr>
          <w:p w14:paraId="6AB97D75" w14:textId="77777777" w:rsidR="00000000" w:rsidRDefault="00405D16">
            <w:pPr>
              <w:spacing w:after="100"/>
              <w:rPr>
                <w:rFonts w:eastAsia="Times New Roman"/>
                <w:sz w:val="20"/>
                <w:szCs w:val="20"/>
              </w:rPr>
            </w:pPr>
          </w:p>
        </w:tc>
        <w:tc>
          <w:tcPr>
            <w:tcW w:w="0" w:type="auto"/>
            <w:gridSpan w:val="3"/>
            <w:vAlign w:val="center"/>
            <w:hideMark/>
          </w:tcPr>
          <w:p w14:paraId="690EED49" w14:textId="77777777" w:rsidR="00000000" w:rsidRDefault="00405D16">
            <w:pPr>
              <w:spacing w:after="100"/>
              <w:rPr>
                <w:rFonts w:eastAsia="Times New Roman"/>
                <w:sz w:val="20"/>
                <w:szCs w:val="20"/>
              </w:rPr>
            </w:pPr>
          </w:p>
        </w:tc>
      </w:tr>
      <w:tr w:rsidR="00000000" w14:paraId="305828D4" w14:textId="77777777">
        <w:trPr>
          <w:divId w:val="538125589"/>
        </w:trPr>
        <w:tc>
          <w:tcPr>
            <w:tcW w:w="0" w:type="auto"/>
            <w:gridSpan w:val="3"/>
            <w:tcMar>
              <w:top w:w="0" w:type="dxa"/>
              <w:left w:w="20" w:type="dxa"/>
              <w:bottom w:w="0" w:type="dxa"/>
              <w:right w:w="20" w:type="dxa"/>
            </w:tcMar>
            <w:vAlign w:val="center"/>
            <w:hideMark/>
          </w:tcPr>
          <w:p w14:paraId="4FD38D70"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1E5E053" w14:textId="77777777" w:rsidR="00000000" w:rsidRDefault="00405D1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ADB9370" w14:textId="77777777" w:rsidR="00000000" w:rsidRDefault="00405D16">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14:paraId="04B40DE1" w14:textId="77777777" w:rsidR="00000000" w:rsidRDefault="00405D1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A852138" w14:textId="77777777" w:rsidR="00000000" w:rsidRDefault="00405D16">
            <w:pPr>
              <w:spacing w:after="100"/>
              <w:jc w:val="center"/>
              <w:rPr>
                <w:rFonts w:eastAsia="Times New Roman"/>
              </w:rPr>
            </w:pPr>
            <w:r>
              <w:rPr>
                <w:rFonts w:eastAsia="Times New Roman"/>
                <w:b/>
                <w:bCs/>
                <w:color w:val="000000"/>
                <w:sz w:val="16"/>
                <w:szCs w:val="16"/>
              </w:rPr>
              <w:t>December 31, 2020</w:t>
            </w:r>
          </w:p>
        </w:tc>
      </w:tr>
      <w:tr w:rsidR="00000000" w14:paraId="24D9BFC4" w14:textId="77777777">
        <w:trPr>
          <w:divId w:val="538125589"/>
        </w:trPr>
        <w:tc>
          <w:tcPr>
            <w:tcW w:w="0" w:type="auto"/>
            <w:gridSpan w:val="3"/>
            <w:tcMar>
              <w:top w:w="30" w:type="dxa"/>
              <w:left w:w="20" w:type="dxa"/>
              <w:bottom w:w="30" w:type="dxa"/>
              <w:right w:w="20" w:type="dxa"/>
            </w:tcMar>
            <w:vAlign w:val="bottom"/>
            <w:hideMark/>
          </w:tcPr>
          <w:p w14:paraId="41230B6E"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787A6090"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9D759D8" w14:textId="77777777" w:rsidR="00000000" w:rsidRDefault="00405D16">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14:paraId="259E6BBE"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9981B4F" w14:textId="77777777" w:rsidR="00000000" w:rsidRDefault="00405D16">
            <w:pPr>
              <w:spacing w:after="100"/>
              <w:jc w:val="center"/>
              <w:rPr>
                <w:rFonts w:eastAsia="Times New Roman"/>
              </w:rPr>
            </w:pPr>
            <w:r>
              <w:rPr>
                <w:rFonts w:eastAsia="Times New Roman"/>
                <w:b/>
                <w:bCs/>
                <w:color w:val="000000"/>
                <w:sz w:val="16"/>
                <w:szCs w:val="16"/>
              </w:rPr>
              <w:t>% of Total</w:t>
            </w:r>
          </w:p>
        </w:tc>
        <w:tc>
          <w:tcPr>
            <w:tcW w:w="0" w:type="auto"/>
            <w:gridSpan w:val="3"/>
            <w:tcMar>
              <w:top w:w="0" w:type="dxa"/>
              <w:left w:w="20" w:type="dxa"/>
              <w:bottom w:w="0" w:type="dxa"/>
              <w:right w:w="20" w:type="dxa"/>
            </w:tcMar>
            <w:vAlign w:val="center"/>
            <w:hideMark/>
          </w:tcPr>
          <w:p w14:paraId="6B5C83E2"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73C5B4D" w14:textId="77777777" w:rsidR="00000000" w:rsidRDefault="00405D16">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14:paraId="41878FE2"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8A7B50F" w14:textId="77777777" w:rsidR="00000000" w:rsidRDefault="00405D16">
            <w:pPr>
              <w:spacing w:after="100"/>
              <w:jc w:val="center"/>
              <w:rPr>
                <w:rFonts w:eastAsia="Times New Roman"/>
              </w:rPr>
            </w:pPr>
            <w:r>
              <w:rPr>
                <w:rFonts w:eastAsia="Times New Roman"/>
                <w:b/>
                <w:bCs/>
                <w:color w:val="000000"/>
                <w:sz w:val="16"/>
                <w:szCs w:val="16"/>
              </w:rPr>
              <w:t>% of Total</w:t>
            </w:r>
          </w:p>
        </w:tc>
      </w:tr>
      <w:tr w:rsidR="00000000" w14:paraId="45BB79C2" w14:textId="77777777">
        <w:trPr>
          <w:divId w:val="53812558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509E8856" w14:textId="77777777" w:rsidR="00000000" w:rsidRDefault="00405D16">
            <w:pPr>
              <w:spacing w:after="100"/>
              <w:divId w:val="1547911227"/>
              <w:rPr>
                <w:rFonts w:eastAsia="Times New Roman"/>
              </w:rPr>
            </w:pPr>
            <w:r>
              <w:rPr>
                <w:rFonts w:eastAsia="Times New Roman"/>
                <w:b/>
                <w:bCs/>
                <w:color w:val="000000"/>
                <w:sz w:val="18"/>
                <w:szCs w:val="18"/>
              </w:rPr>
              <w:t>Geographic concentration</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6CE125AE"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46F674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D97AA4"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2429E6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C29693"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176D1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C17E46"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71618A0" w14:textId="77777777" w:rsidR="00000000" w:rsidRDefault="00405D16">
            <w:pPr>
              <w:spacing w:after="100"/>
              <w:rPr>
                <w:rFonts w:eastAsia="Times New Roman"/>
                <w:sz w:val="20"/>
                <w:szCs w:val="20"/>
              </w:rPr>
            </w:pPr>
          </w:p>
        </w:tc>
      </w:tr>
      <w:tr w:rsidR="00000000" w14:paraId="11AC6CF3" w14:textId="77777777">
        <w:trPr>
          <w:divId w:val="538125589"/>
        </w:trPr>
        <w:tc>
          <w:tcPr>
            <w:tcW w:w="0" w:type="auto"/>
            <w:gridSpan w:val="3"/>
            <w:shd w:val="clear" w:color="auto" w:fill="FFFFFF"/>
            <w:tcMar>
              <w:top w:w="30" w:type="dxa"/>
              <w:left w:w="245" w:type="dxa"/>
              <w:bottom w:w="30" w:type="dxa"/>
              <w:right w:w="20" w:type="dxa"/>
            </w:tcMar>
            <w:vAlign w:val="center"/>
            <w:hideMark/>
          </w:tcPr>
          <w:p w14:paraId="443AD3D4" w14:textId="77777777" w:rsidR="00000000" w:rsidRDefault="00405D16">
            <w:pPr>
              <w:spacing w:after="100"/>
              <w:rPr>
                <w:rFonts w:eastAsia="Times New Roman"/>
              </w:rPr>
            </w:pPr>
            <w:r>
              <w:rPr>
                <w:rFonts w:eastAsia="Times New Roman"/>
                <w:color w:val="000000"/>
                <w:sz w:val="18"/>
                <w:szCs w:val="18"/>
              </w:rPr>
              <w:t>Northeast</w:t>
            </w:r>
          </w:p>
        </w:tc>
        <w:tc>
          <w:tcPr>
            <w:tcW w:w="0" w:type="auto"/>
            <w:gridSpan w:val="3"/>
            <w:shd w:val="clear" w:color="auto" w:fill="FFFFFF"/>
            <w:tcMar>
              <w:top w:w="0" w:type="dxa"/>
              <w:left w:w="20" w:type="dxa"/>
              <w:bottom w:w="0" w:type="dxa"/>
              <w:right w:w="20" w:type="dxa"/>
            </w:tcMar>
            <w:vAlign w:val="center"/>
            <w:hideMark/>
          </w:tcPr>
          <w:p w14:paraId="1FDD4961"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0754CE28"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5B7585AF" w14:textId="77777777" w:rsidR="00000000" w:rsidRDefault="00405D16">
            <w:pPr>
              <w:spacing w:after="100"/>
              <w:jc w:val="right"/>
              <w:rPr>
                <w:rFonts w:eastAsia="Times New Roman"/>
              </w:rPr>
            </w:pPr>
            <w:r>
              <w:rPr>
                <w:rFonts w:eastAsia="Times New Roman"/>
                <w:b/>
                <w:bCs/>
                <w:color w:val="000000"/>
                <w:sz w:val="18"/>
                <w:szCs w:val="18"/>
              </w:rPr>
              <w:t>15,590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6966A6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7CFDD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D22BD5B" w14:textId="77777777" w:rsidR="00000000" w:rsidRDefault="00405D16">
            <w:pPr>
              <w:spacing w:after="100"/>
              <w:jc w:val="right"/>
              <w:rPr>
                <w:rFonts w:eastAsia="Times New Roman"/>
              </w:rPr>
            </w:pPr>
            <w:r>
              <w:rPr>
                <w:rFonts w:eastAsia="Times New Roman"/>
                <w:b/>
                <w:bCs/>
                <w:color w:val="000000"/>
                <w:sz w:val="18"/>
                <w:szCs w:val="18"/>
              </w:rPr>
              <w:t>47.10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8C711E3"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8063CC3" w14:textId="77777777" w:rsidR="00000000" w:rsidRDefault="00405D16">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7255ABBA"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5BA9E2D3" w14:textId="77777777" w:rsidR="00000000" w:rsidRDefault="00405D16">
            <w:pPr>
              <w:spacing w:after="100"/>
              <w:jc w:val="right"/>
              <w:rPr>
                <w:rFonts w:eastAsia="Times New Roman"/>
              </w:rPr>
            </w:pPr>
            <w:r>
              <w:rPr>
                <w:rFonts w:eastAsia="Times New Roman"/>
                <w:color w:val="000000"/>
                <w:sz w:val="18"/>
                <w:szCs w:val="18"/>
              </w:rPr>
              <w:t>17,290 </w:t>
            </w:r>
          </w:p>
        </w:tc>
        <w:tc>
          <w:tcPr>
            <w:tcW w:w="0" w:type="auto"/>
            <w:shd w:val="clear" w:color="auto" w:fill="FFFFFF"/>
            <w:tcMar>
              <w:top w:w="30" w:type="dxa"/>
              <w:left w:w="0" w:type="dxa"/>
              <w:bottom w:w="30" w:type="dxa"/>
              <w:right w:w="20" w:type="dxa"/>
            </w:tcMar>
            <w:vAlign w:val="center"/>
            <w:hideMark/>
          </w:tcPr>
          <w:p w14:paraId="1F6F93F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8D3AD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317DD9E" w14:textId="77777777" w:rsidR="00000000" w:rsidRDefault="00405D16">
            <w:pPr>
              <w:spacing w:after="100"/>
              <w:jc w:val="right"/>
              <w:rPr>
                <w:rFonts w:eastAsia="Times New Roman"/>
              </w:rPr>
            </w:pPr>
            <w:r>
              <w:rPr>
                <w:rFonts w:eastAsia="Times New Roman"/>
                <w:color w:val="000000"/>
                <w:sz w:val="18"/>
                <w:szCs w:val="18"/>
              </w:rPr>
              <w:t>56.35 </w:t>
            </w:r>
          </w:p>
        </w:tc>
        <w:tc>
          <w:tcPr>
            <w:tcW w:w="0" w:type="auto"/>
            <w:shd w:val="clear" w:color="auto" w:fill="FFFFFF"/>
            <w:tcMar>
              <w:top w:w="30" w:type="dxa"/>
              <w:left w:w="0" w:type="dxa"/>
              <w:bottom w:w="30" w:type="dxa"/>
              <w:right w:w="20" w:type="dxa"/>
            </w:tcMar>
            <w:vAlign w:val="center"/>
            <w:hideMark/>
          </w:tcPr>
          <w:p w14:paraId="059DCC1F" w14:textId="77777777" w:rsidR="00000000" w:rsidRDefault="00405D16">
            <w:pPr>
              <w:spacing w:after="100"/>
              <w:jc w:val="right"/>
              <w:rPr>
                <w:rFonts w:eastAsia="Times New Roman"/>
              </w:rPr>
            </w:pPr>
            <w:r>
              <w:rPr>
                <w:rFonts w:eastAsia="Times New Roman"/>
                <w:color w:val="000000"/>
                <w:sz w:val="18"/>
                <w:szCs w:val="18"/>
              </w:rPr>
              <w:t>%</w:t>
            </w:r>
          </w:p>
        </w:tc>
      </w:tr>
      <w:tr w:rsidR="00000000" w14:paraId="41BED2B2" w14:textId="77777777">
        <w:trPr>
          <w:divId w:val="538125589"/>
        </w:trPr>
        <w:tc>
          <w:tcPr>
            <w:tcW w:w="0" w:type="auto"/>
            <w:gridSpan w:val="3"/>
            <w:shd w:val="clear" w:color="auto" w:fill="CCEEFF"/>
            <w:tcMar>
              <w:top w:w="30" w:type="dxa"/>
              <w:left w:w="245" w:type="dxa"/>
              <w:bottom w:w="30" w:type="dxa"/>
              <w:right w:w="20" w:type="dxa"/>
            </w:tcMar>
            <w:vAlign w:val="center"/>
            <w:hideMark/>
          </w:tcPr>
          <w:p w14:paraId="1EDC55C9" w14:textId="77777777" w:rsidR="00000000" w:rsidRDefault="00405D16">
            <w:pPr>
              <w:spacing w:after="100"/>
              <w:rPr>
                <w:rFonts w:eastAsia="Times New Roman"/>
              </w:rPr>
            </w:pPr>
            <w:r>
              <w:rPr>
                <w:rFonts w:eastAsia="Times New Roman"/>
                <w:color w:val="000000"/>
                <w:sz w:val="18"/>
                <w:szCs w:val="18"/>
              </w:rPr>
              <w:t>South</w:t>
            </w:r>
          </w:p>
        </w:tc>
        <w:tc>
          <w:tcPr>
            <w:tcW w:w="0" w:type="auto"/>
            <w:gridSpan w:val="3"/>
            <w:shd w:val="clear" w:color="auto" w:fill="CCEEFF"/>
            <w:tcMar>
              <w:top w:w="0" w:type="dxa"/>
              <w:left w:w="20" w:type="dxa"/>
              <w:bottom w:w="0" w:type="dxa"/>
              <w:right w:w="20" w:type="dxa"/>
            </w:tcMar>
            <w:vAlign w:val="center"/>
            <w:hideMark/>
          </w:tcPr>
          <w:p w14:paraId="05D3B9A5"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6859635" w14:textId="77777777" w:rsidR="00000000" w:rsidRDefault="00405D16">
            <w:pPr>
              <w:spacing w:after="100"/>
              <w:jc w:val="right"/>
              <w:rPr>
                <w:rFonts w:eastAsia="Times New Roman"/>
              </w:rPr>
            </w:pPr>
            <w:r>
              <w:rPr>
                <w:rFonts w:eastAsia="Times New Roman"/>
                <w:b/>
                <w:bCs/>
                <w:color w:val="000000"/>
                <w:sz w:val="18"/>
                <w:szCs w:val="18"/>
              </w:rPr>
              <w:t>5,460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DE0299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A9A5B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646EECA" w14:textId="77777777" w:rsidR="00000000" w:rsidRDefault="00405D16">
            <w:pPr>
              <w:spacing w:after="100"/>
              <w:jc w:val="right"/>
              <w:rPr>
                <w:rFonts w:eastAsia="Times New Roman"/>
              </w:rPr>
            </w:pPr>
            <w:r>
              <w:rPr>
                <w:rFonts w:eastAsia="Times New Roman"/>
                <w:b/>
                <w:bCs/>
                <w:color w:val="000000"/>
                <w:sz w:val="18"/>
                <w:szCs w:val="18"/>
              </w:rPr>
              <w:t>16.50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A4393A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84201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0D01BEC" w14:textId="77777777" w:rsidR="00000000" w:rsidRDefault="00405D16">
            <w:pPr>
              <w:spacing w:after="100"/>
              <w:jc w:val="right"/>
              <w:rPr>
                <w:rFonts w:eastAsia="Times New Roman"/>
              </w:rPr>
            </w:pPr>
            <w:r>
              <w:rPr>
                <w:rFonts w:eastAsia="Times New Roman"/>
                <w:color w:val="000000"/>
                <w:sz w:val="18"/>
                <w:szCs w:val="18"/>
              </w:rPr>
              <w:t>3,806 </w:t>
            </w:r>
          </w:p>
        </w:tc>
        <w:tc>
          <w:tcPr>
            <w:tcW w:w="0" w:type="auto"/>
            <w:shd w:val="clear" w:color="auto" w:fill="CCEEFF"/>
            <w:tcMar>
              <w:top w:w="30" w:type="dxa"/>
              <w:left w:w="0" w:type="dxa"/>
              <w:bottom w:w="30" w:type="dxa"/>
              <w:right w:w="20" w:type="dxa"/>
            </w:tcMar>
            <w:vAlign w:val="center"/>
            <w:hideMark/>
          </w:tcPr>
          <w:p w14:paraId="5ACC197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F9667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4DD79BE" w14:textId="77777777" w:rsidR="00000000" w:rsidRDefault="00405D16">
            <w:pPr>
              <w:spacing w:after="100"/>
              <w:jc w:val="right"/>
              <w:rPr>
                <w:rFonts w:eastAsia="Times New Roman"/>
              </w:rPr>
            </w:pPr>
            <w:r>
              <w:rPr>
                <w:rFonts w:eastAsia="Times New Roman"/>
                <w:color w:val="000000"/>
                <w:sz w:val="18"/>
                <w:szCs w:val="18"/>
              </w:rPr>
              <w:t>12.40 </w:t>
            </w:r>
          </w:p>
        </w:tc>
        <w:tc>
          <w:tcPr>
            <w:tcW w:w="0" w:type="auto"/>
            <w:shd w:val="clear" w:color="auto" w:fill="CCEEFF"/>
            <w:tcMar>
              <w:top w:w="30" w:type="dxa"/>
              <w:left w:w="0" w:type="dxa"/>
              <w:bottom w:w="30" w:type="dxa"/>
              <w:right w:w="20" w:type="dxa"/>
            </w:tcMar>
            <w:vAlign w:val="center"/>
            <w:hideMark/>
          </w:tcPr>
          <w:p w14:paraId="0F942792" w14:textId="77777777" w:rsidR="00000000" w:rsidRDefault="00405D16">
            <w:pPr>
              <w:spacing w:after="100"/>
              <w:jc w:val="right"/>
              <w:rPr>
                <w:rFonts w:eastAsia="Times New Roman"/>
              </w:rPr>
            </w:pPr>
          </w:p>
        </w:tc>
      </w:tr>
      <w:tr w:rsidR="00000000" w14:paraId="29C5F9FC" w14:textId="77777777">
        <w:trPr>
          <w:divId w:val="538125589"/>
        </w:trPr>
        <w:tc>
          <w:tcPr>
            <w:tcW w:w="0" w:type="auto"/>
            <w:gridSpan w:val="3"/>
            <w:shd w:val="clear" w:color="auto" w:fill="FFFFFF"/>
            <w:tcMar>
              <w:top w:w="30" w:type="dxa"/>
              <w:left w:w="245" w:type="dxa"/>
              <w:bottom w:w="30" w:type="dxa"/>
              <w:right w:w="20" w:type="dxa"/>
            </w:tcMar>
            <w:vAlign w:val="center"/>
            <w:hideMark/>
          </w:tcPr>
          <w:p w14:paraId="50A5DB84" w14:textId="77777777" w:rsidR="00000000" w:rsidRDefault="00405D16">
            <w:pPr>
              <w:spacing w:after="100"/>
              <w:rPr>
                <w:rFonts w:eastAsia="Times New Roman"/>
              </w:rPr>
            </w:pPr>
            <w:r>
              <w:rPr>
                <w:rFonts w:eastAsia="Times New Roman"/>
                <w:color w:val="000000"/>
                <w:sz w:val="18"/>
                <w:szCs w:val="18"/>
              </w:rPr>
              <w:t>Pacific West</w:t>
            </w:r>
          </w:p>
        </w:tc>
        <w:tc>
          <w:tcPr>
            <w:tcW w:w="0" w:type="auto"/>
            <w:gridSpan w:val="3"/>
            <w:shd w:val="clear" w:color="auto" w:fill="FFFFFF"/>
            <w:tcMar>
              <w:top w:w="0" w:type="dxa"/>
              <w:left w:w="20" w:type="dxa"/>
              <w:bottom w:w="0" w:type="dxa"/>
              <w:right w:w="20" w:type="dxa"/>
            </w:tcMar>
            <w:vAlign w:val="center"/>
            <w:hideMark/>
          </w:tcPr>
          <w:p w14:paraId="05E34387"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AA24D15" w14:textId="77777777" w:rsidR="00000000" w:rsidRDefault="00405D16">
            <w:pPr>
              <w:spacing w:after="100"/>
              <w:jc w:val="right"/>
              <w:rPr>
                <w:rFonts w:eastAsia="Times New Roman"/>
              </w:rPr>
            </w:pPr>
            <w:r>
              <w:rPr>
                <w:rFonts w:eastAsia="Times New Roman"/>
                <w:b/>
                <w:bCs/>
                <w:color w:val="000000"/>
                <w:sz w:val="18"/>
                <w:szCs w:val="18"/>
              </w:rPr>
              <w:t>5,086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F7423E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931A5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766038C" w14:textId="77777777" w:rsidR="00000000" w:rsidRDefault="00405D16">
            <w:pPr>
              <w:spacing w:after="100"/>
              <w:jc w:val="right"/>
              <w:rPr>
                <w:rFonts w:eastAsia="Times New Roman"/>
              </w:rPr>
            </w:pPr>
            <w:r>
              <w:rPr>
                <w:rFonts w:eastAsia="Times New Roman"/>
                <w:b/>
                <w:bCs/>
                <w:color w:val="000000"/>
                <w:sz w:val="18"/>
                <w:szCs w:val="18"/>
              </w:rPr>
              <w:t>15.37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FA2F56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AEB2E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E118934" w14:textId="77777777" w:rsidR="00000000" w:rsidRDefault="00405D16">
            <w:pPr>
              <w:spacing w:after="100"/>
              <w:jc w:val="right"/>
              <w:rPr>
                <w:rFonts w:eastAsia="Times New Roman"/>
              </w:rPr>
            </w:pPr>
            <w:r>
              <w:rPr>
                <w:rFonts w:eastAsia="Times New Roman"/>
                <w:color w:val="000000"/>
                <w:sz w:val="18"/>
                <w:szCs w:val="18"/>
              </w:rPr>
              <w:t>3,424 </w:t>
            </w:r>
          </w:p>
        </w:tc>
        <w:tc>
          <w:tcPr>
            <w:tcW w:w="0" w:type="auto"/>
            <w:shd w:val="clear" w:color="auto" w:fill="FFFFFF"/>
            <w:tcMar>
              <w:top w:w="30" w:type="dxa"/>
              <w:left w:w="0" w:type="dxa"/>
              <w:bottom w:w="30" w:type="dxa"/>
              <w:right w:w="20" w:type="dxa"/>
            </w:tcMar>
            <w:vAlign w:val="center"/>
            <w:hideMark/>
          </w:tcPr>
          <w:p w14:paraId="71C9687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B91EC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6DF97A2" w14:textId="77777777" w:rsidR="00000000" w:rsidRDefault="00405D16">
            <w:pPr>
              <w:spacing w:after="100"/>
              <w:jc w:val="right"/>
              <w:rPr>
                <w:rFonts w:eastAsia="Times New Roman"/>
              </w:rPr>
            </w:pPr>
            <w:r>
              <w:rPr>
                <w:rFonts w:eastAsia="Times New Roman"/>
                <w:color w:val="000000"/>
                <w:sz w:val="18"/>
                <w:szCs w:val="18"/>
              </w:rPr>
              <w:t>11.16 </w:t>
            </w:r>
          </w:p>
        </w:tc>
        <w:tc>
          <w:tcPr>
            <w:tcW w:w="0" w:type="auto"/>
            <w:shd w:val="clear" w:color="auto" w:fill="FFFFFF"/>
            <w:tcMar>
              <w:top w:w="30" w:type="dxa"/>
              <w:left w:w="0" w:type="dxa"/>
              <w:bottom w:w="30" w:type="dxa"/>
              <w:right w:w="20" w:type="dxa"/>
            </w:tcMar>
            <w:vAlign w:val="center"/>
            <w:hideMark/>
          </w:tcPr>
          <w:p w14:paraId="1AC8F0AE" w14:textId="77777777" w:rsidR="00000000" w:rsidRDefault="00405D16">
            <w:pPr>
              <w:spacing w:after="100"/>
              <w:jc w:val="right"/>
              <w:rPr>
                <w:rFonts w:eastAsia="Times New Roman"/>
              </w:rPr>
            </w:pPr>
          </w:p>
        </w:tc>
      </w:tr>
      <w:tr w:rsidR="00000000" w14:paraId="511690E5" w14:textId="77777777">
        <w:trPr>
          <w:divId w:val="538125589"/>
        </w:trPr>
        <w:tc>
          <w:tcPr>
            <w:tcW w:w="0" w:type="auto"/>
            <w:gridSpan w:val="3"/>
            <w:shd w:val="clear" w:color="auto" w:fill="CCEEFF"/>
            <w:tcMar>
              <w:top w:w="30" w:type="dxa"/>
              <w:left w:w="245" w:type="dxa"/>
              <w:bottom w:w="30" w:type="dxa"/>
              <w:right w:w="20" w:type="dxa"/>
            </w:tcMar>
            <w:vAlign w:val="center"/>
            <w:hideMark/>
          </w:tcPr>
          <w:p w14:paraId="2B1409EC" w14:textId="77777777" w:rsidR="00000000" w:rsidRDefault="00405D16">
            <w:pPr>
              <w:spacing w:after="100"/>
              <w:rPr>
                <w:rFonts w:eastAsia="Times New Roman"/>
              </w:rPr>
            </w:pPr>
            <w:r>
              <w:rPr>
                <w:rFonts w:eastAsia="Times New Roman"/>
                <w:color w:val="000000"/>
                <w:sz w:val="18"/>
                <w:szCs w:val="18"/>
              </w:rPr>
              <w:t>Mid-Atlantic</w:t>
            </w:r>
          </w:p>
        </w:tc>
        <w:tc>
          <w:tcPr>
            <w:tcW w:w="0" w:type="auto"/>
            <w:gridSpan w:val="3"/>
            <w:shd w:val="clear" w:color="auto" w:fill="CCEEFF"/>
            <w:tcMar>
              <w:top w:w="0" w:type="dxa"/>
              <w:left w:w="20" w:type="dxa"/>
              <w:bottom w:w="0" w:type="dxa"/>
              <w:right w:w="20" w:type="dxa"/>
            </w:tcMar>
            <w:vAlign w:val="center"/>
            <w:hideMark/>
          </w:tcPr>
          <w:p w14:paraId="3ACD6040"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3F255F5" w14:textId="77777777" w:rsidR="00000000" w:rsidRDefault="00405D16">
            <w:pPr>
              <w:spacing w:after="100"/>
              <w:jc w:val="right"/>
              <w:rPr>
                <w:rFonts w:eastAsia="Times New Roman"/>
              </w:rPr>
            </w:pPr>
            <w:r>
              <w:rPr>
                <w:rFonts w:eastAsia="Times New Roman"/>
                <w:b/>
                <w:bCs/>
                <w:color w:val="000000"/>
                <w:sz w:val="18"/>
                <w:szCs w:val="18"/>
              </w:rPr>
              <w:t>3,462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2D8889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FE15E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99B061A" w14:textId="77777777" w:rsidR="00000000" w:rsidRDefault="00405D16">
            <w:pPr>
              <w:spacing w:after="100"/>
              <w:jc w:val="right"/>
              <w:rPr>
                <w:rFonts w:eastAsia="Times New Roman"/>
              </w:rPr>
            </w:pPr>
            <w:r>
              <w:rPr>
                <w:rFonts w:eastAsia="Times New Roman"/>
                <w:b/>
                <w:bCs/>
                <w:color w:val="000000"/>
                <w:sz w:val="18"/>
                <w:szCs w:val="18"/>
              </w:rPr>
              <w:t>10.46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B45DC5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23386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C3844E7" w14:textId="77777777" w:rsidR="00000000" w:rsidRDefault="00405D16">
            <w:pPr>
              <w:spacing w:after="100"/>
              <w:jc w:val="right"/>
              <w:rPr>
                <w:rFonts w:eastAsia="Times New Roman"/>
              </w:rPr>
            </w:pPr>
            <w:r>
              <w:rPr>
                <w:rFonts w:eastAsia="Times New Roman"/>
                <w:color w:val="000000"/>
                <w:sz w:val="18"/>
                <w:szCs w:val="18"/>
              </w:rPr>
              <w:t>3,344 </w:t>
            </w:r>
          </w:p>
        </w:tc>
        <w:tc>
          <w:tcPr>
            <w:tcW w:w="0" w:type="auto"/>
            <w:shd w:val="clear" w:color="auto" w:fill="CCEEFF"/>
            <w:tcMar>
              <w:top w:w="30" w:type="dxa"/>
              <w:left w:w="0" w:type="dxa"/>
              <w:bottom w:w="30" w:type="dxa"/>
              <w:right w:w="20" w:type="dxa"/>
            </w:tcMar>
            <w:vAlign w:val="center"/>
            <w:hideMark/>
          </w:tcPr>
          <w:p w14:paraId="35B8183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855BE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123A508" w14:textId="77777777" w:rsidR="00000000" w:rsidRDefault="00405D16">
            <w:pPr>
              <w:spacing w:after="100"/>
              <w:jc w:val="right"/>
              <w:rPr>
                <w:rFonts w:eastAsia="Times New Roman"/>
              </w:rPr>
            </w:pPr>
            <w:r>
              <w:rPr>
                <w:rFonts w:eastAsia="Times New Roman"/>
                <w:color w:val="000000"/>
                <w:sz w:val="18"/>
                <w:szCs w:val="18"/>
              </w:rPr>
              <w:t>10.90 </w:t>
            </w:r>
          </w:p>
        </w:tc>
        <w:tc>
          <w:tcPr>
            <w:tcW w:w="0" w:type="auto"/>
            <w:shd w:val="clear" w:color="auto" w:fill="CCEEFF"/>
            <w:tcMar>
              <w:top w:w="30" w:type="dxa"/>
              <w:left w:w="0" w:type="dxa"/>
              <w:bottom w:w="30" w:type="dxa"/>
              <w:right w:w="20" w:type="dxa"/>
            </w:tcMar>
            <w:vAlign w:val="center"/>
            <w:hideMark/>
          </w:tcPr>
          <w:p w14:paraId="4F7EDDFA" w14:textId="77777777" w:rsidR="00000000" w:rsidRDefault="00405D16">
            <w:pPr>
              <w:spacing w:after="100"/>
              <w:jc w:val="right"/>
              <w:rPr>
                <w:rFonts w:eastAsia="Times New Roman"/>
              </w:rPr>
            </w:pPr>
          </w:p>
        </w:tc>
      </w:tr>
      <w:tr w:rsidR="00000000" w14:paraId="6268975F" w14:textId="77777777">
        <w:trPr>
          <w:divId w:val="538125589"/>
        </w:trPr>
        <w:tc>
          <w:tcPr>
            <w:tcW w:w="0" w:type="auto"/>
            <w:gridSpan w:val="3"/>
            <w:shd w:val="clear" w:color="auto" w:fill="FFFFFF"/>
            <w:tcMar>
              <w:top w:w="30" w:type="dxa"/>
              <w:left w:w="245" w:type="dxa"/>
              <w:bottom w:w="30" w:type="dxa"/>
              <w:right w:w="20" w:type="dxa"/>
            </w:tcMar>
            <w:vAlign w:val="center"/>
            <w:hideMark/>
          </w:tcPr>
          <w:p w14:paraId="69C174A9" w14:textId="77777777" w:rsidR="00000000" w:rsidRDefault="00405D16">
            <w:pPr>
              <w:spacing w:after="100"/>
              <w:rPr>
                <w:rFonts w:eastAsia="Times New Roman"/>
              </w:rPr>
            </w:pPr>
            <w:r>
              <w:rPr>
                <w:rFonts w:eastAsia="Times New Roman"/>
                <w:color w:val="000000"/>
                <w:sz w:val="18"/>
                <w:szCs w:val="18"/>
              </w:rPr>
              <w:t>Midwest</w:t>
            </w:r>
          </w:p>
        </w:tc>
        <w:tc>
          <w:tcPr>
            <w:tcW w:w="0" w:type="auto"/>
            <w:gridSpan w:val="3"/>
            <w:shd w:val="clear" w:color="auto" w:fill="FFFFFF"/>
            <w:tcMar>
              <w:top w:w="0" w:type="dxa"/>
              <w:left w:w="20" w:type="dxa"/>
              <w:bottom w:w="0" w:type="dxa"/>
              <w:right w:w="20" w:type="dxa"/>
            </w:tcMar>
            <w:vAlign w:val="center"/>
            <w:hideMark/>
          </w:tcPr>
          <w:p w14:paraId="3DA55E92"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C29E574" w14:textId="77777777" w:rsidR="00000000" w:rsidRDefault="00405D16">
            <w:pPr>
              <w:spacing w:after="100"/>
              <w:jc w:val="right"/>
              <w:rPr>
                <w:rFonts w:eastAsia="Times New Roman"/>
              </w:rPr>
            </w:pPr>
            <w:r>
              <w:rPr>
                <w:rFonts w:eastAsia="Times New Roman"/>
                <w:b/>
                <w:bCs/>
                <w:color w:val="000000"/>
                <w:sz w:val="18"/>
                <w:szCs w:val="18"/>
              </w:rPr>
              <w:t>2,351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E54418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6275D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950845C" w14:textId="77777777" w:rsidR="00000000" w:rsidRDefault="00405D16">
            <w:pPr>
              <w:spacing w:after="100"/>
              <w:jc w:val="right"/>
              <w:rPr>
                <w:rFonts w:eastAsia="Times New Roman"/>
              </w:rPr>
            </w:pPr>
            <w:r>
              <w:rPr>
                <w:rFonts w:eastAsia="Times New Roman"/>
                <w:b/>
                <w:bCs/>
                <w:color w:val="000000"/>
                <w:sz w:val="18"/>
                <w:szCs w:val="18"/>
              </w:rPr>
              <w:t>7.10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0F2BEE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92529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77797A4" w14:textId="77777777" w:rsidR="00000000" w:rsidRDefault="00405D16">
            <w:pPr>
              <w:spacing w:after="100"/>
              <w:jc w:val="right"/>
              <w:rPr>
                <w:rFonts w:eastAsia="Times New Roman"/>
              </w:rPr>
            </w:pPr>
            <w:r>
              <w:rPr>
                <w:rFonts w:eastAsia="Times New Roman"/>
                <w:color w:val="000000"/>
                <w:sz w:val="18"/>
                <w:szCs w:val="18"/>
              </w:rPr>
              <w:t>1,993 </w:t>
            </w:r>
          </w:p>
        </w:tc>
        <w:tc>
          <w:tcPr>
            <w:tcW w:w="0" w:type="auto"/>
            <w:shd w:val="clear" w:color="auto" w:fill="FFFFFF"/>
            <w:tcMar>
              <w:top w:w="30" w:type="dxa"/>
              <w:left w:w="0" w:type="dxa"/>
              <w:bottom w:w="30" w:type="dxa"/>
              <w:right w:w="20" w:type="dxa"/>
            </w:tcMar>
            <w:vAlign w:val="center"/>
            <w:hideMark/>
          </w:tcPr>
          <w:p w14:paraId="2201432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7ACB9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2E17389" w14:textId="77777777" w:rsidR="00000000" w:rsidRDefault="00405D16">
            <w:pPr>
              <w:spacing w:after="100"/>
              <w:jc w:val="right"/>
              <w:rPr>
                <w:rFonts w:eastAsia="Times New Roman"/>
              </w:rPr>
            </w:pPr>
            <w:r>
              <w:rPr>
                <w:rFonts w:eastAsia="Times New Roman"/>
                <w:color w:val="000000"/>
                <w:sz w:val="18"/>
                <w:szCs w:val="18"/>
              </w:rPr>
              <w:t>6.50 </w:t>
            </w:r>
          </w:p>
        </w:tc>
        <w:tc>
          <w:tcPr>
            <w:tcW w:w="0" w:type="auto"/>
            <w:shd w:val="clear" w:color="auto" w:fill="FFFFFF"/>
            <w:tcMar>
              <w:top w:w="30" w:type="dxa"/>
              <w:left w:w="0" w:type="dxa"/>
              <w:bottom w:w="30" w:type="dxa"/>
              <w:right w:w="20" w:type="dxa"/>
            </w:tcMar>
            <w:vAlign w:val="center"/>
            <w:hideMark/>
          </w:tcPr>
          <w:p w14:paraId="4E1A4F7F" w14:textId="77777777" w:rsidR="00000000" w:rsidRDefault="00405D16">
            <w:pPr>
              <w:spacing w:after="100"/>
              <w:jc w:val="right"/>
              <w:rPr>
                <w:rFonts w:eastAsia="Times New Roman"/>
              </w:rPr>
            </w:pPr>
          </w:p>
        </w:tc>
      </w:tr>
      <w:tr w:rsidR="00000000" w14:paraId="00CAF8A6" w14:textId="77777777">
        <w:trPr>
          <w:divId w:val="538125589"/>
        </w:trPr>
        <w:tc>
          <w:tcPr>
            <w:tcW w:w="0" w:type="auto"/>
            <w:gridSpan w:val="3"/>
            <w:shd w:val="clear" w:color="auto" w:fill="CCEEFF"/>
            <w:tcMar>
              <w:top w:w="30" w:type="dxa"/>
              <w:left w:w="245" w:type="dxa"/>
              <w:bottom w:w="30" w:type="dxa"/>
              <w:right w:w="20" w:type="dxa"/>
            </w:tcMar>
            <w:vAlign w:val="center"/>
            <w:hideMark/>
          </w:tcPr>
          <w:p w14:paraId="6184085A" w14:textId="77777777" w:rsidR="00000000" w:rsidRDefault="00405D16">
            <w:pPr>
              <w:spacing w:after="100"/>
              <w:rPr>
                <w:rFonts w:eastAsia="Times New Roman"/>
              </w:rPr>
            </w:pPr>
            <w:r>
              <w:rPr>
                <w:rFonts w:eastAsia="Times New Roman"/>
                <w:color w:val="000000"/>
                <w:sz w:val="18"/>
                <w:szCs w:val="18"/>
              </w:rPr>
              <w:t>Mountain</w:t>
            </w:r>
          </w:p>
        </w:tc>
        <w:tc>
          <w:tcPr>
            <w:tcW w:w="0" w:type="auto"/>
            <w:gridSpan w:val="3"/>
            <w:shd w:val="clear" w:color="auto" w:fill="CCEEFF"/>
            <w:tcMar>
              <w:top w:w="0" w:type="dxa"/>
              <w:left w:w="20" w:type="dxa"/>
              <w:bottom w:w="0" w:type="dxa"/>
              <w:right w:w="20" w:type="dxa"/>
            </w:tcMar>
            <w:vAlign w:val="center"/>
            <w:hideMark/>
          </w:tcPr>
          <w:p w14:paraId="214153AB"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2337AF8" w14:textId="77777777" w:rsidR="00000000" w:rsidRDefault="00405D16">
            <w:pPr>
              <w:spacing w:after="100"/>
              <w:jc w:val="right"/>
              <w:rPr>
                <w:rFonts w:eastAsia="Times New Roman"/>
              </w:rPr>
            </w:pPr>
            <w:r>
              <w:rPr>
                <w:rFonts w:eastAsia="Times New Roman"/>
                <w:b/>
                <w:bCs/>
                <w:color w:val="000000"/>
                <w:sz w:val="18"/>
                <w:szCs w:val="18"/>
              </w:rPr>
              <w:t>1,147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C01709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49D57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18EB9C1" w14:textId="77777777" w:rsidR="00000000" w:rsidRDefault="00405D16">
            <w:pPr>
              <w:spacing w:after="100"/>
              <w:jc w:val="right"/>
              <w:rPr>
                <w:rFonts w:eastAsia="Times New Roman"/>
              </w:rPr>
            </w:pPr>
            <w:r>
              <w:rPr>
                <w:rFonts w:eastAsia="Times New Roman"/>
                <w:b/>
                <w:bCs/>
                <w:color w:val="000000"/>
                <w:sz w:val="18"/>
                <w:szCs w:val="18"/>
              </w:rPr>
              <w:t>3.47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B78E93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96F2F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1F3B25E" w14:textId="77777777" w:rsidR="00000000" w:rsidRDefault="00405D16">
            <w:pPr>
              <w:spacing w:after="100"/>
              <w:jc w:val="right"/>
              <w:rPr>
                <w:rFonts w:eastAsia="Times New Roman"/>
              </w:rPr>
            </w:pPr>
            <w:r>
              <w:rPr>
                <w:rFonts w:eastAsia="Times New Roman"/>
                <w:color w:val="000000"/>
                <w:sz w:val="18"/>
                <w:szCs w:val="18"/>
              </w:rPr>
              <w:t>824 </w:t>
            </w:r>
          </w:p>
        </w:tc>
        <w:tc>
          <w:tcPr>
            <w:tcW w:w="0" w:type="auto"/>
            <w:shd w:val="clear" w:color="auto" w:fill="CCEEFF"/>
            <w:tcMar>
              <w:top w:w="30" w:type="dxa"/>
              <w:left w:w="0" w:type="dxa"/>
              <w:bottom w:w="30" w:type="dxa"/>
              <w:right w:w="20" w:type="dxa"/>
            </w:tcMar>
            <w:vAlign w:val="center"/>
            <w:hideMark/>
          </w:tcPr>
          <w:p w14:paraId="1D0E825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A9F97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3D38812" w14:textId="77777777" w:rsidR="00000000" w:rsidRDefault="00405D16">
            <w:pPr>
              <w:spacing w:after="100"/>
              <w:jc w:val="right"/>
              <w:rPr>
                <w:rFonts w:eastAsia="Times New Roman"/>
              </w:rPr>
            </w:pPr>
            <w:r>
              <w:rPr>
                <w:rFonts w:eastAsia="Times New Roman"/>
                <w:color w:val="000000"/>
                <w:sz w:val="18"/>
                <w:szCs w:val="18"/>
              </w:rPr>
              <w:t>2.69 </w:t>
            </w:r>
          </w:p>
        </w:tc>
        <w:tc>
          <w:tcPr>
            <w:tcW w:w="0" w:type="auto"/>
            <w:shd w:val="clear" w:color="auto" w:fill="CCEEFF"/>
            <w:tcMar>
              <w:top w:w="30" w:type="dxa"/>
              <w:left w:w="0" w:type="dxa"/>
              <w:bottom w:w="30" w:type="dxa"/>
              <w:right w:w="20" w:type="dxa"/>
            </w:tcMar>
            <w:vAlign w:val="center"/>
            <w:hideMark/>
          </w:tcPr>
          <w:p w14:paraId="0517E579" w14:textId="77777777" w:rsidR="00000000" w:rsidRDefault="00405D16">
            <w:pPr>
              <w:spacing w:after="100"/>
              <w:jc w:val="right"/>
              <w:rPr>
                <w:rFonts w:eastAsia="Times New Roman"/>
              </w:rPr>
            </w:pPr>
          </w:p>
        </w:tc>
      </w:tr>
      <w:tr w:rsidR="00000000" w14:paraId="57418350" w14:textId="77777777">
        <w:trPr>
          <w:divId w:val="538125589"/>
        </w:trPr>
        <w:tc>
          <w:tcPr>
            <w:tcW w:w="0" w:type="auto"/>
            <w:gridSpan w:val="3"/>
            <w:shd w:val="clear" w:color="auto" w:fill="FFFFFF"/>
            <w:tcMar>
              <w:top w:w="30" w:type="dxa"/>
              <w:left w:w="20" w:type="dxa"/>
              <w:bottom w:w="30" w:type="dxa"/>
              <w:right w:w="20" w:type="dxa"/>
            </w:tcMar>
            <w:vAlign w:val="center"/>
            <w:hideMark/>
          </w:tcPr>
          <w:p w14:paraId="05B1B9CC" w14:textId="77777777" w:rsidR="00000000" w:rsidRDefault="00405D16">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0E317126"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9CE79F5"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1297A96" w14:textId="77777777" w:rsidR="00000000" w:rsidRDefault="00405D16">
            <w:pPr>
              <w:spacing w:after="100"/>
              <w:jc w:val="right"/>
              <w:rPr>
                <w:rFonts w:eastAsia="Times New Roman"/>
              </w:rPr>
            </w:pPr>
            <w:r>
              <w:rPr>
                <w:rFonts w:eastAsia="Times New Roman"/>
                <w:b/>
                <w:bCs/>
                <w:color w:val="000000"/>
                <w:sz w:val="18"/>
                <w:szCs w:val="18"/>
              </w:rPr>
              <w:t>33,096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F509C9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93756A" w14:textId="77777777" w:rsidR="00000000" w:rsidRDefault="00405D1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E0C3E52" w14:textId="77777777" w:rsidR="00000000" w:rsidRDefault="00405D16">
            <w:pPr>
              <w:spacing w:after="100"/>
              <w:jc w:val="right"/>
              <w:rPr>
                <w:rFonts w:eastAsia="Times New Roman"/>
              </w:rPr>
            </w:pPr>
            <w:r>
              <w:rPr>
                <w:rFonts w:eastAsia="Times New Roman"/>
                <w:b/>
                <w:bCs/>
                <w:color w:val="000000"/>
                <w:sz w:val="18"/>
                <w:szCs w:val="18"/>
              </w:rPr>
              <w:t>100.00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6BFAF53"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2B5CD55" w14:textId="77777777" w:rsidR="00000000" w:rsidRDefault="00405D16">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39308F9"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ACC2328" w14:textId="77777777" w:rsidR="00000000" w:rsidRDefault="00405D16">
            <w:pPr>
              <w:spacing w:after="100"/>
              <w:jc w:val="right"/>
              <w:rPr>
                <w:rFonts w:eastAsia="Times New Roman"/>
              </w:rPr>
            </w:pPr>
            <w:r>
              <w:rPr>
                <w:rFonts w:eastAsia="Times New Roman"/>
                <w:color w:val="000000"/>
                <w:sz w:val="18"/>
                <w:szCs w:val="18"/>
              </w:rPr>
              <w:t>30,681 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46D823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2817F2" w14:textId="77777777" w:rsidR="00000000" w:rsidRDefault="00405D1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52B74B5" w14:textId="77777777" w:rsidR="00000000" w:rsidRDefault="00405D16">
            <w:pPr>
              <w:spacing w:after="100"/>
              <w:jc w:val="right"/>
              <w:rPr>
                <w:rFonts w:eastAsia="Times New Roman"/>
              </w:rPr>
            </w:pPr>
            <w:r>
              <w:rPr>
                <w:rFonts w:eastAsia="Times New Roman"/>
                <w:color w:val="000000"/>
                <w:sz w:val="18"/>
                <w:szCs w:val="18"/>
              </w:rPr>
              <w:t>100.00 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F291CC5" w14:textId="77777777" w:rsidR="00000000" w:rsidRDefault="00405D16">
            <w:pPr>
              <w:spacing w:after="100"/>
              <w:jc w:val="right"/>
              <w:rPr>
                <w:rFonts w:eastAsia="Times New Roman"/>
              </w:rPr>
            </w:pPr>
            <w:r>
              <w:rPr>
                <w:rFonts w:eastAsia="Times New Roman"/>
                <w:color w:val="000000"/>
                <w:sz w:val="18"/>
                <w:szCs w:val="18"/>
              </w:rPr>
              <w:t>%</w:t>
            </w:r>
          </w:p>
        </w:tc>
      </w:tr>
    </w:tbl>
    <w:p w14:paraId="0757746D" w14:textId="77777777" w:rsidR="00000000" w:rsidRDefault="00405D16">
      <w:pPr>
        <w:jc w:val="both"/>
        <w:divId w:val="538125589"/>
        <w:rPr>
          <w:rFonts w:eastAsia="Times New Roman"/>
        </w:rPr>
      </w:pPr>
      <w:r>
        <w:rPr>
          <w:rFonts w:eastAsia="Times New Roman"/>
          <w:color w:val="000000"/>
          <w:sz w:val="20"/>
          <w:szCs w:val="20"/>
        </w:rPr>
        <w:t>__________</w:t>
      </w:r>
    </w:p>
    <w:p w14:paraId="411A1D57" w14:textId="77777777" w:rsidR="00000000" w:rsidRDefault="00405D16">
      <w:pPr>
        <w:ind w:hanging="360"/>
        <w:jc w:val="both"/>
        <w:divId w:val="101843243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Geographic concentration is generally determined by the location of the borrower’s business or the location o</w:t>
      </w:r>
      <w:r>
        <w:rPr>
          <w:rFonts w:eastAsia="Times New Roman"/>
          <w:color w:val="000000"/>
          <w:sz w:val="16"/>
          <w:szCs w:val="16"/>
        </w:rPr>
        <w:t>f the collateral associated with the loan. Northeast consists of CT, MA, ME, NH, NJ, NY, PA, RI and VT. South consists of AL, AR, FL, GA, KY, LA, MS, NC, OK, SC, TN and TX. Pacific West consists of: AK, CA, HI, OR and WA. Mid-Atlantic consists of DC, DE, M</w:t>
      </w:r>
      <w:r>
        <w:rPr>
          <w:rFonts w:eastAsia="Times New Roman"/>
          <w:color w:val="000000"/>
          <w:sz w:val="16"/>
          <w:szCs w:val="16"/>
        </w:rPr>
        <w:t>D, VA and WV. Midwest consists of: IA, IL, IN, KS, MI, MN, MO, ND, NE, OH, SD and WI. Mountain consists of: AZ, CO, ID, MT, NM, NV, UT and WY.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1C9E1D9F" w14:textId="77777777">
        <w:trPr>
          <w:divId w:val="1172182127"/>
          <w:jc w:val="center"/>
        </w:trPr>
        <w:tc>
          <w:tcPr>
            <w:tcW w:w="50" w:type="pct"/>
            <w:vAlign w:val="center"/>
            <w:hideMark/>
          </w:tcPr>
          <w:p w14:paraId="21E45EBC" w14:textId="77777777" w:rsidR="00000000" w:rsidRDefault="00405D16">
            <w:pPr>
              <w:ind w:hanging="360"/>
              <w:jc w:val="both"/>
              <w:rPr>
                <w:rFonts w:eastAsia="Times New Roman"/>
              </w:rPr>
            </w:pPr>
          </w:p>
        </w:tc>
        <w:tc>
          <w:tcPr>
            <w:tcW w:w="1606" w:type="pct"/>
            <w:vAlign w:val="center"/>
            <w:hideMark/>
          </w:tcPr>
          <w:p w14:paraId="51131AC0" w14:textId="77777777" w:rsidR="00000000" w:rsidRDefault="00405D16">
            <w:pPr>
              <w:spacing w:after="100"/>
              <w:rPr>
                <w:rFonts w:eastAsia="Times New Roman"/>
                <w:sz w:val="20"/>
                <w:szCs w:val="20"/>
              </w:rPr>
            </w:pPr>
          </w:p>
        </w:tc>
        <w:tc>
          <w:tcPr>
            <w:tcW w:w="5" w:type="pct"/>
            <w:vAlign w:val="center"/>
            <w:hideMark/>
          </w:tcPr>
          <w:p w14:paraId="64F62A63" w14:textId="77777777" w:rsidR="00000000" w:rsidRDefault="00405D16">
            <w:pPr>
              <w:spacing w:after="100"/>
              <w:rPr>
                <w:rFonts w:eastAsia="Times New Roman"/>
                <w:sz w:val="20"/>
                <w:szCs w:val="20"/>
              </w:rPr>
            </w:pPr>
          </w:p>
        </w:tc>
        <w:tc>
          <w:tcPr>
            <w:tcW w:w="50" w:type="pct"/>
            <w:vAlign w:val="center"/>
            <w:hideMark/>
          </w:tcPr>
          <w:p w14:paraId="52C514B8" w14:textId="77777777" w:rsidR="00000000" w:rsidRDefault="00405D16">
            <w:pPr>
              <w:spacing w:after="100"/>
              <w:rPr>
                <w:rFonts w:eastAsia="Times New Roman"/>
                <w:sz w:val="20"/>
                <w:szCs w:val="20"/>
              </w:rPr>
            </w:pPr>
          </w:p>
        </w:tc>
        <w:tc>
          <w:tcPr>
            <w:tcW w:w="1614" w:type="pct"/>
            <w:vAlign w:val="center"/>
            <w:hideMark/>
          </w:tcPr>
          <w:p w14:paraId="6DB8C13D" w14:textId="77777777" w:rsidR="00000000" w:rsidRDefault="00405D16">
            <w:pPr>
              <w:spacing w:after="100"/>
              <w:rPr>
                <w:rFonts w:eastAsia="Times New Roman"/>
                <w:sz w:val="20"/>
                <w:szCs w:val="20"/>
              </w:rPr>
            </w:pPr>
          </w:p>
        </w:tc>
        <w:tc>
          <w:tcPr>
            <w:tcW w:w="5" w:type="pct"/>
            <w:vAlign w:val="center"/>
            <w:hideMark/>
          </w:tcPr>
          <w:p w14:paraId="63DA3EAA" w14:textId="77777777" w:rsidR="00000000" w:rsidRDefault="00405D16">
            <w:pPr>
              <w:spacing w:after="100"/>
              <w:rPr>
                <w:rFonts w:eastAsia="Times New Roman"/>
                <w:sz w:val="20"/>
                <w:szCs w:val="20"/>
              </w:rPr>
            </w:pPr>
          </w:p>
        </w:tc>
        <w:tc>
          <w:tcPr>
            <w:tcW w:w="50" w:type="pct"/>
            <w:vAlign w:val="center"/>
            <w:hideMark/>
          </w:tcPr>
          <w:p w14:paraId="46A2E330" w14:textId="77777777" w:rsidR="00000000" w:rsidRDefault="00405D16">
            <w:pPr>
              <w:spacing w:after="100"/>
              <w:rPr>
                <w:rFonts w:eastAsia="Times New Roman"/>
                <w:sz w:val="20"/>
                <w:szCs w:val="20"/>
              </w:rPr>
            </w:pPr>
          </w:p>
        </w:tc>
        <w:tc>
          <w:tcPr>
            <w:tcW w:w="1614" w:type="pct"/>
            <w:vAlign w:val="center"/>
            <w:hideMark/>
          </w:tcPr>
          <w:p w14:paraId="71F283B3" w14:textId="77777777" w:rsidR="00000000" w:rsidRDefault="00405D16">
            <w:pPr>
              <w:spacing w:after="100"/>
              <w:rPr>
                <w:rFonts w:eastAsia="Times New Roman"/>
                <w:sz w:val="20"/>
                <w:szCs w:val="20"/>
              </w:rPr>
            </w:pPr>
          </w:p>
        </w:tc>
        <w:tc>
          <w:tcPr>
            <w:tcW w:w="5" w:type="pct"/>
            <w:vAlign w:val="center"/>
            <w:hideMark/>
          </w:tcPr>
          <w:p w14:paraId="7FB34D01" w14:textId="77777777" w:rsidR="00000000" w:rsidRDefault="00405D16">
            <w:pPr>
              <w:spacing w:after="100"/>
              <w:rPr>
                <w:rFonts w:eastAsia="Times New Roman"/>
                <w:sz w:val="20"/>
                <w:szCs w:val="20"/>
              </w:rPr>
            </w:pPr>
          </w:p>
        </w:tc>
      </w:tr>
      <w:tr w:rsidR="00000000" w14:paraId="3A548170" w14:textId="77777777">
        <w:trPr>
          <w:divId w:val="1172182127"/>
          <w:trHeight w:val="300"/>
          <w:jc w:val="center"/>
        </w:trPr>
        <w:tc>
          <w:tcPr>
            <w:tcW w:w="0" w:type="auto"/>
            <w:gridSpan w:val="9"/>
            <w:tcMar>
              <w:top w:w="0" w:type="dxa"/>
              <w:left w:w="20" w:type="dxa"/>
              <w:bottom w:w="0" w:type="dxa"/>
              <w:right w:w="20" w:type="dxa"/>
            </w:tcMar>
            <w:vAlign w:val="center"/>
            <w:hideMark/>
          </w:tcPr>
          <w:p w14:paraId="78E312C8" w14:textId="77777777" w:rsidR="00000000" w:rsidRDefault="00405D16">
            <w:pPr>
              <w:spacing w:after="100"/>
              <w:rPr>
                <w:rFonts w:eastAsia="Times New Roman"/>
                <w:sz w:val="20"/>
                <w:szCs w:val="20"/>
              </w:rPr>
            </w:pPr>
          </w:p>
        </w:tc>
      </w:tr>
      <w:tr w:rsidR="00000000" w14:paraId="2B89AC4C" w14:textId="77777777">
        <w:trPr>
          <w:divId w:val="1172182127"/>
          <w:jc w:val="center"/>
        </w:trPr>
        <w:tc>
          <w:tcPr>
            <w:tcW w:w="0" w:type="auto"/>
            <w:gridSpan w:val="3"/>
            <w:tcMar>
              <w:top w:w="0" w:type="dxa"/>
              <w:left w:w="20" w:type="dxa"/>
              <w:bottom w:w="0" w:type="dxa"/>
              <w:right w:w="20" w:type="dxa"/>
            </w:tcMar>
            <w:vAlign w:val="center"/>
            <w:hideMark/>
          </w:tcPr>
          <w:p w14:paraId="56F6660D"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5B5DBB0" w14:textId="77777777" w:rsidR="00000000" w:rsidRDefault="00405D16">
            <w:pPr>
              <w:spacing w:after="100"/>
              <w:jc w:val="center"/>
              <w:rPr>
                <w:rFonts w:eastAsia="Times New Roman"/>
              </w:rPr>
            </w:pPr>
            <w:r>
              <w:rPr>
                <w:rFonts w:eastAsia="Times New Roman"/>
                <w:color w:val="000000"/>
                <w:sz w:val="16"/>
                <w:szCs w:val="16"/>
              </w:rPr>
              <w:t>41</w:t>
            </w:r>
          </w:p>
        </w:tc>
        <w:tc>
          <w:tcPr>
            <w:tcW w:w="0" w:type="auto"/>
            <w:gridSpan w:val="3"/>
            <w:tcMar>
              <w:top w:w="30" w:type="dxa"/>
              <w:left w:w="20" w:type="dxa"/>
              <w:bottom w:w="30" w:type="dxa"/>
              <w:right w:w="20" w:type="dxa"/>
            </w:tcMar>
            <w:vAlign w:val="bottom"/>
            <w:hideMark/>
          </w:tcPr>
          <w:p w14:paraId="6CB9B60B"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5BA3B374" w14:textId="77777777" w:rsidR="00000000" w:rsidRDefault="00405D16">
      <w:pPr>
        <w:rPr>
          <w:rFonts w:eastAsia="Times New Roman"/>
        </w:rPr>
      </w:pPr>
      <w:r>
        <w:rPr>
          <w:rFonts w:eastAsia="Times New Roman"/>
        </w:rPr>
        <w:pict w14:anchorId="54F20DB1">
          <v:rect id="_x0000_i1066" style="width:0;height:1.5pt" o:hralign="center" o:hrstd="t" o:hr="t" fillcolor="#a0a0a0" stroked="f"/>
        </w:pict>
      </w:r>
    </w:p>
    <w:p w14:paraId="32284CCC" w14:textId="77777777" w:rsidR="00000000" w:rsidRDefault="00405D16">
      <w:pPr>
        <w:ind w:hanging="360"/>
        <w:jc w:val="both"/>
        <w:divId w:val="343286646"/>
        <w:rPr>
          <w:rFonts w:eastAsia="Times New Roman"/>
        </w:rPr>
      </w:pPr>
      <w:hyperlink w:anchor="idd54a04a485440b4ab4e56094c14d612_13" w:history="1">
        <w:r>
          <w:rPr>
            <w:rStyle w:val="a3"/>
            <w:rFonts w:eastAsia="Times New Roman"/>
            <w:sz w:val="16"/>
            <w:szCs w:val="16"/>
          </w:rPr>
          <w:t>Table of Contents</w:t>
        </w:r>
      </w:hyperlink>
    </w:p>
    <w:p w14:paraId="4F16F7EA" w14:textId="77777777" w:rsidR="00000000" w:rsidRDefault="00405D16">
      <w:pPr>
        <w:divId w:val="759526919"/>
        <w:rPr>
          <w:rFonts w:eastAsia="Times New Roman"/>
        </w:rPr>
      </w:pPr>
      <w:r>
        <w:rPr>
          <w:rFonts w:eastAsia="Times New Roman"/>
          <w:b/>
          <w:bCs/>
          <w:color w:val="000000"/>
          <w:sz w:val="20"/>
          <w:szCs w:val="20"/>
        </w:rPr>
        <w:t>Commercial Loans by Industry</w:t>
      </w:r>
    </w:p>
    <w:p w14:paraId="3F31A2A0" w14:textId="77777777" w:rsidR="00000000" w:rsidRDefault="00405D16">
      <w:pPr>
        <w:jc w:val="both"/>
        <w:divId w:val="355816134"/>
        <w:rPr>
          <w:rFonts w:eastAsia="Times New Roman"/>
        </w:rPr>
      </w:pPr>
      <w:r>
        <w:rPr>
          <w:rFonts w:eastAsia="Times New Roman"/>
          <w:color w:val="000000"/>
          <w:sz w:val="20"/>
          <w:szCs w:val="20"/>
        </w:rPr>
        <w:t>Table 21 summarizes our commercial loans held for investment portfolio by industry classification as of September 30, 2021 and December 31, 2020. Industry classifications below are based on our interpretation of the North American Industry Classification S</w:t>
      </w:r>
      <w:r>
        <w:rPr>
          <w:rFonts w:eastAsia="Times New Roman"/>
          <w:color w:val="000000"/>
          <w:sz w:val="20"/>
          <w:szCs w:val="20"/>
        </w:rPr>
        <w:t xml:space="preserve">ystem codes as they pertain to each individual loan. </w:t>
      </w:r>
    </w:p>
    <w:p w14:paraId="6E38AD10" w14:textId="77777777" w:rsidR="00000000" w:rsidRDefault="00405D16">
      <w:pPr>
        <w:divId w:val="525605321"/>
        <w:rPr>
          <w:rFonts w:eastAsia="Times New Roman"/>
        </w:rPr>
      </w:pPr>
      <w:r>
        <w:rPr>
          <w:rFonts w:eastAsia="Times New Roman"/>
          <w:b/>
          <w:bCs/>
          <w:color w:val="000000"/>
          <w:sz w:val="18"/>
          <w:szCs w:val="18"/>
        </w:rPr>
        <w:t>Table 21: Commercial Loans by Industry</w:t>
      </w:r>
    </w:p>
    <w:tbl>
      <w:tblPr>
        <w:tblW w:w="5000" w:type="pct"/>
        <w:tblCellMar>
          <w:top w:w="15" w:type="dxa"/>
          <w:left w:w="15" w:type="dxa"/>
          <w:bottom w:w="15" w:type="dxa"/>
          <w:right w:w="15" w:type="dxa"/>
        </w:tblCellMar>
        <w:tblLook w:val="04A0" w:firstRow="1" w:lastRow="0" w:firstColumn="1" w:lastColumn="0" w:noHBand="0" w:noVBand="1"/>
      </w:tblPr>
      <w:tblGrid>
        <w:gridCol w:w="39"/>
        <w:gridCol w:w="5415"/>
        <w:gridCol w:w="38"/>
        <w:gridCol w:w="36"/>
        <w:gridCol w:w="36"/>
        <w:gridCol w:w="36"/>
        <w:gridCol w:w="50"/>
        <w:gridCol w:w="1063"/>
        <w:gridCol w:w="200"/>
        <w:gridCol w:w="36"/>
        <w:gridCol w:w="36"/>
        <w:gridCol w:w="36"/>
        <w:gridCol w:w="47"/>
        <w:gridCol w:w="1068"/>
        <w:gridCol w:w="170"/>
      </w:tblGrid>
      <w:tr w:rsidR="00000000" w14:paraId="5545E168" w14:textId="77777777">
        <w:trPr>
          <w:divId w:val="1033917410"/>
        </w:trPr>
        <w:tc>
          <w:tcPr>
            <w:tcW w:w="50" w:type="pct"/>
            <w:vAlign w:val="center"/>
            <w:hideMark/>
          </w:tcPr>
          <w:p w14:paraId="0F542FF5" w14:textId="77777777" w:rsidR="00000000" w:rsidRDefault="00405D16">
            <w:pPr>
              <w:rPr>
                <w:rFonts w:eastAsia="Times New Roman"/>
              </w:rPr>
            </w:pPr>
          </w:p>
        </w:tc>
        <w:tc>
          <w:tcPr>
            <w:tcW w:w="3307" w:type="pct"/>
            <w:vAlign w:val="center"/>
            <w:hideMark/>
          </w:tcPr>
          <w:p w14:paraId="2BC08845" w14:textId="77777777" w:rsidR="00000000" w:rsidRDefault="00405D16">
            <w:pPr>
              <w:spacing w:after="100"/>
              <w:rPr>
                <w:rFonts w:eastAsia="Times New Roman"/>
                <w:sz w:val="20"/>
                <w:szCs w:val="20"/>
              </w:rPr>
            </w:pPr>
          </w:p>
        </w:tc>
        <w:tc>
          <w:tcPr>
            <w:tcW w:w="5" w:type="pct"/>
            <w:vAlign w:val="center"/>
            <w:hideMark/>
          </w:tcPr>
          <w:p w14:paraId="143896BC" w14:textId="77777777" w:rsidR="00000000" w:rsidRDefault="00405D16">
            <w:pPr>
              <w:spacing w:after="100"/>
              <w:rPr>
                <w:rFonts w:eastAsia="Times New Roman"/>
                <w:sz w:val="20"/>
                <w:szCs w:val="20"/>
              </w:rPr>
            </w:pPr>
          </w:p>
        </w:tc>
        <w:tc>
          <w:tcPr>
            <w:tcW w:w="5" w:type="pct"/>
            <w:vAlign w:val="center"/>
            <w:hideMark/>
          </w:tcPr>
          <w:p w14:paraId="59FB71B4" w14:textId="77777777" w:rsidR="00000000" w:rsidRDefault="00405D16">
            <w:pPr>
              <w:spacing w:after="100"/>
              <w:rPr>
                <w:rFonts w:eastAsia="Times New Roman"/>
                <w:sz w:val="20"/>
                <w:szCs w:val="20"/>
              </w:rPr>
            </w:pPr>
          </w:p>
        </w:tc>
        <w:tc>
          <w:tcPr>
            <w:tcW w:w="26" w:type="pct"/>
            <w:vAlign w:val="center"/>
            <w:hideMark/>
          </w:tcPr>
          <w:p w14:paraId="1E45E434" w14:textId="77777777" w:rsidR="00000000" w:rsidRDefault="00405D16">
            <w:pPr>
              <w:spacing w:after="100"/>
              <w:rPr>
                <w:rFonts w:eastAsia="Times New Roman"/>
                <w:sz w:val="20"/>
                <w:szCs w:val="20"/>
              </w:rPr>
            </w:pPr>
          </w:p>
        </w:tc>
        <w:tc>
          <w:tcPr>
            <w:tcW w:w="5" w:type="pct"/>
            <w:vAlign w:val="center"/>
            <w:hideMark/>
          </w:tcPr>
          <w:p w14:paraId="7A50623F" w14:textId="77777777" w:rsidR="00000000" w:rsidRDefault="00405D16">
            <w:pPr>
              <w:spacing w:after="100"/>
              <w:rPr>
                <w:rFonts w:eastAsia="Times New Roman"/>
                <w:sz w:val="20"/>
                <w:szCs w:val="20"/>
              </w:rPr>
            </w:pPr>
          </w:p>
        </w:tc>
        <w:tc>
          <w:tcPr>
            <w:tcW w:w="50" w:type="pct"/>
            <w:vAlign w:val="center"/>
            <w:hideMark/>
          </w:tcPr>
          <w:p w14:paraId="78D61666" w14:textId="77777777" w:rsidR="00000000" w:rsidRDefault="00405D16">
            <w:pPr>
              <w:spacing w:after="100"/>
              <w:rPr>
                <w:rFonts w:eastAsia="Times New Roman"/>
                <w:sz w:val="20"/>
                <w:szCs w:val="20"/>
              </w:rPr>
            </w:pPr>
          </w:p>
        </w:tc>
        <w:tc>
          <w:tcPr>
            <w:tcW w:w="727" w:type="pct"/>
            <w:vAlign w:val="center"/>
            <w:hideMark/>
          </w:tcPr>
          <w:p w14:paraId="48264FA6" w14:textId="77777777" w:rsidR="00000000" w:rsidRDefault="00405D16">
            <w:pPr>
              <w:spacing w:after="100"/>
              <w:rPr>
                <w:rFonts w:eastAsia="Times New Roman"/>
                <w:sz w:val="20"/>
                <w:szCs w:val="20"/>
              </w:rPr>
            </w:pPr>
          </w:p>
        </w:tc>
        <w:tc>
          <w:tcPr>
            <w:tcW w:w="5" w:type="pct"/>
            <w:vAlign w:val="center"/>
            <w:hideMark/>
          </w:tcPr>
          <w:p w14:paraId="00CA723E" w14:textId="77777777" w:rsidR="00000000" w:rsidRDefault="00405D16">
            <w:pPr>
              <w:spacing w:after="100"/>
              <w:rPr>
                <w:rFonts w:eastAsia="Times New Roman"/>
                <w:sz w:val="20"/>
                <w:szCs w:val="20"/>
              </w:rPr>
            </w:pPr>
          </w:p>
        </w:tc>
        <w:tc>
          <w:tcPr>
            <w:tcW w:w="5" w:type="pct"/>
            <w:vAlign w:val="center"/>
            <w:hideMark/>
          </w:tcPr>
          <w:p w14:paraId="718D6D51" w14:textId="77777777" w:rsidR="00000000" w:rsidRDefault="00405D16">
            <w:pPr>
              <w:spacing w:after="100"/>
              <w:rPr>
                <w:rFonts w:eastAsia="Times New Roman"/>
                <w:sz w:val="20"/>
                <w:szCs w:val="20"/>
              </w:rPr>
            </w:pPr>
          </w:p>
        </w:tc>
        <w:tc>
          <w:tcPr>
            <w:tcW w:w="26" w:type="pct"/>
            <w:vAlign w:val="center"/>
            <w:hideMark/>
          </w:tcPr>
          <w:p w14:paraId="59A7B07D" w14:textId="77777777" w:rsidR="00000000" w:rsidRDefault="00405D16">
            <w:pPr>
              <w:spacing w:after="100"/>
              <w:rPr>
                <w:rFonts w:eastAsia="Times New Roman"/>
                <w:sz w:val="20"/>
                <w:szCs w:val="20"/>
              </w:rPr>
            </w:pPr>
          </w:p>
        </w:tc>
        <w:tc>
          <w:tcPr>
            <w:tcW w:w="5" w:type="pct"/>
            <w:vAlign w:val="center"/>
            <w:hideMark/>
          </w:tcPr>
          <w:p w14:paraId="112A9EBA" w14:textId="77777777" w:rsidR="00000000" w:rsidRDefault="00405D16">
            <w:pPr>
              <w:spacing w:after="100"/>
              <w:rPr>
                <w:rFonts w:eastAsia="Times New Roman"/>
                <w:sz w:val="20"/>
                <w:szCs w:val="20"/>
              </w:rPr>
            </w:pPr>
          </w:p>
        </w:tc>
        <w:tc>
          <w:tcPr>
            <w:tcW w:w="50" w:type="pct"/>
            <w:vAlign w:val="center"/>
            <w:hideMark/>
          </w:tcPr>
          <w:p w14:paraId="2B180DF4" w14:textId="77777777" w:rsidR="00000000" w:rsidRDefault="00405D16">
            <w:pPr>
              <w:spacing w:after="100"/>
              <w:rPr>
                <w:rFonts w:eastAsia="Times New Roman"/>
                <w:sz w:val="20"/>
                <w:szCs w:val="20"/>
              </w:rPr>
            </w:pPr>
          </w:p>
        </w:tc>
        <w:tc>
          <w:tcPr>
            <w:tcW w:w="727" w:type="pct"/>
            <w:vAlign w:val="center"/>
            <w:hideMark/>
          </w:tcPr>
          <w:p w14:paraId="54DC0EF3" w14:textId="77777777" w:rsidR="00000000" w:rsidRDefault="00405D16">
            <w:pPr>
              <w:spacing w:after="100"/>
              <w:rPr>
                <w:rFonts w:eastAsia="Times New Roman"/>
                <w:sz w:val="20"/>
                <w:szCs w:val="20"/>
              </w:rPr>
            </w:pPr>
          </w:p>
        </w:tc>
        <w:tc>
          <w:tcPr>
            <w:tcW w:w="5" w:type="pct"/>
            <w:vAlign w:val="center"/>
            <w:hideMark/>
          </w:tcPr>
          <w:p w14:paraId="19365ACB" w14:textId="77777777" w:rsidR="00000000" w:rsidRDefault="00405D16">
            <w:pPr>
              <w:spacing w:after="100"/>
              <w:rPr>
                <w:rFonts w:eastAsia="Times New Roman"/>
                <w:sz w:val="20"/>
                <w:szCs w:val="20"/>
              </w:rPr>
            </w:pPr>
          </w:p>
        </w:tc>
      </w:tr>
      <w:tr w:rsidR="00000000" w14:paraId="350E3861" w14:textId="77777777">
        <w:trPr>
          <w:divId w:val="1033917410"/>
        </w:trPr>
        <w:tc>
          <w:tcPr>
            <w:tcW w:w="0" w:type="auto"/>
            <w:gridSpan w:val="3"/>
            <w:tcMar>
              <w:top w:w="30" w:type="dxa"/>
              <w:left w:w="20" w:type="dxa"/>
              <w:bottom w:w="30" w:type="dxa"/>
              <w:right w:w="20" w:type="dxa"/>
            </w:tcMar>
            <w:vAlign w:val="bottom"/>
            <w:hideMark/>
          </w:tcPr>
          <w:p w14:paraId="74E52D71" w14:textId="77777777" w:rsidR="00000000" w:rsidRDefault="00405D16">
            <w:pPr>
              <w:spacing w:after="100"/>
              <w:rPr>
                <w:rFonts w:eastAsia="Times New Roman"/>
              </w:rPr>
            </w:pPr>
            <w:r>
              <w:rPr>
                <w:rFonts w:eastAsia="Times New Roman"/>
                <w:i/>
                <w:iCs/>
                <w:color w:val="000000"/>
                <w:sz w:val="16"/>
                <w:szCs w:val="16"/>
              </w:rPr>
              <w:t>(Percentage of portfolio)</w:t>
            </w:r>
          </w:p>
        </w:tc>
        <w:tc>
          <w:tcPr>
            <w:tcW w:w="0" w:type="auto"/>
            <w:gridSpan w:val="3"/>
            <w:tcMar>
              <w:top w:w="0" w:type="dxa"/>
              <w:left w:w="20" w:type="dxa"/>
              <w:bottom w:w="0" w:type="dxa"/>
              <w:right w:w="20" w:type="dxa"/>
            </w:tcMar>
            <w:vAlign w:val="center"/>
            <w:hideMark/>
          </w:tcPr>
          <w:p w14:paraId="170D4004" w14:textId="77777777" w:rsidR="00000000" w:rsidRDefault="00405D16">
            <w:pPr>
              <w:spacing w:after="100"/>
              <w:rPr>
                <w:rFonts w:eastAsia="Times New Roman"/>
              </w:rPr>
            </w:pPr>
          </w:p>
        </w:tc>
        <w:tc>
          <w:tcPr>
            <w:tcW w:w="0" w:type="auto"/>
            <w:gridSpan w:val="3"/>
            <w:tcMar>
              <w:top w:w="30" w:type="dxa"/>
              <w:left w:w="20" w:type="dxa"/>
              <w:bottom w:w="30" w:type="dxa"/>
              <w:right w:w="20" w:type="dxa"/>
            </w:tcMar>
            <w:vAlign w:val="bottom"/>
            <w:hideMark/>
          </w:tcPr>
          <w:p w14:paraId="725D8595" w14:textId="77777777" w:rsidR="00000000" w:rsidRDefault="00405D16">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14:paraId="08DAA4CF"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6F16075" w14:textId="77777777" w:rsidR="00000000" w:rsidRDefault="00405D16">
            <w:pPr>
              <w:spacing w:after="100"/>
              <w:jc w:val="center"/>
              <w:rPr>
                <w:rFonts w:eastAsia="Times New Roman"/>
              </w:rPr>
            </w:pPr>
            <w:r>
              <w:rPr>
                <w:rFonts w:eastAsia="Times New Roman"/>
                <w:b/>
                <w:bCs/>
                <w:color w:val="000000"/>
                <w:sz w:val="16"/>
                <w:szCs w:val="16"/>
              </w:rPr>
              <w:t>December 31, 2020</w:t>
            </w:r>
          </w:p>
        </w:tc>
      </w:tr>
      <w:tr w:rsidR="00000000" w14:paraId="04559857" w14:textId="77777777">
        <w:trPr>
          <w:divId w:val="103391741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D95ACD6" w14:textId="77777777" w:rsidR="00000000" w:rsidRDefault="00405D16">
            <w:pPr>
              <w:spacing w:after="100"/>
              <w:rPr>
                <w:rFonts w:eastAsia="Times New Roman"/>
              </w:rPr>
            </w:pPr>
            <w:r>
              <w:rPr>
                <w:rFonts w:eastAsia="Times New Roman"/>
                <w:b/>
                <w:bCs/>
                <w:color w:val="000000"/>
                <w:sz w:val="18"/>
                <w:szCs w:val="18"/>
              </w:rPr>
              <w:t>Industry Classification:</w:t>
            </w:r>
          </w:p>
        </w:tc>
        <w:tc>
          <w:tcPr>
            <w:tcW w:w="0" w:type="auto"/>
            <w:gridSpan w:val="3"/>
            <w:shd w:val="clear" w:color="auto" w:fill="CCEEFF"/>
            <w:tcMar>
              <w:top w:w="0" w:type="dxa"/>
              <w:left w:w="20" w:type="dxa"/>
              <w:bottom w:w="0" w:type="dxa"/>
              <w:right w:w="20" w:type="dxa"/>
            </w:tcMar>
            <w:vAlign w:val="center"/>
            <w:hideMark/>
          </w:tcPr>
          <w:p w14:paraId="72149882"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B2B9C5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19FC8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6FA1DCA" w14:textId="77777777" w:rsidR="00000000" w:rsidRDefault="00405D16">
            <w:pPr>
              <w:spacing w:after="100"/>
              <w:rPr>
                <w:rFonts w:eastAsia="Times New Roman"/>
                <w:sz w:val="20"/>
                <w:szCs w:val="20"/>
              </w:rPr>
            </w:pPr>
          </w:p>
        </w:tc>
      </w:tr>
      <w:tr w:rsidR="00000000" w14:paraId="2708AB56" w14:textId="77777777">
        <w:trPr>
          <w:divId w:val="1033917410"/>
        </w:trPr>
        <w:tc>
          <w:tcPr>
            <w:tcW w:w="0" w:type="auto"/>
            <w:gridSpan w:val="3"/>
            <w:shd w:val="clear" w:color="auto" w:fill="FFFFFF"/>
            <w:tcMar>
              <w:top w:w="30" w:type="dxa"/>
              <w:left w:w="245" w:type="dxa"/>
              <w:bottom w:w="30" w:type="dxa"/>
              <w:right w:w="20" w:type="dxa"/>
            </w:tcMar>
            <w:vAlign w:val="center"/>
            <w:hideMark/>
          </w:tcPr>
          <w:p w14:paraId="62C1FFCB" w14:textId="77777777" w:rsidR="00000000" w:rsidRDefault="00405D16">
            <w:pPr>
              <w:spacing w:after="100"/>
              <w:rPr>
                <w:rFonts w:eastAsia="Times New Roman"/>
              </w:rPr>
            </w:pPr>
            <w:r>
              <w:rPr>
                <w:rFonts w:eastAsia="Times New Roman"/>
                <w:color w:val="000000"/>
                <w:sz w:val="18"/>
                <w:szCs w:val="18"/>
              </w:rPr>
              <w:t>Real estate</w:t>
            </w:r>
          </w:p>
        </w:tc>
        <w:tc>
          <w:tcPr>
            <w:tcW w:w="0" w:type="auto"/>
            <w:gridSpan w:val="3"/>
            <w:shd w:val="clear" w:color="auto" w:fill="FFFFFF"/>
            <w:tcMar>
              <w:top w:w="0" w:type="dxa"/>
              <w:left w:w="20" w:type="dxa"/>
              <w:bottom w:w="0" w:type="dxa"/>
              <w:right w:w="20" w:type="dxa"/>
            </w:tcMar>
            <w:vAlign w:val="center"/>
            <w:hideMark/>
          </w:tcPr>
          <w:p w14:paraId="477F05CF"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F0EA1B9" w14:textId="77777777" w:rsidR="00000000" w:rsidRDefault="00405D16">
            <w:pPr>
              <w:spacing w:after="100"/>
              <w:jc w:val="right"/>
              <w:rPr>
                <w:rFonts w:eastAsia="Times New Roman"/>
              </w:rPr>
            </w:pPr>
            <w:r>
              <w:rPr>
                <w:rFonts w:eastAsia="Times New Roman"/>
                <w:b/>
                <w:bCs/>
                <w:color w:val="000000"/>
                <w:sz w:val="18"/>
                <w:szCs w:val="18"/>
              </w:rPr>
              <w:t>36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F5F3A02"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34125B0"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54F84F1" w14:textId="77777777" w:rsidR="00000000" w:rsidRDefault="00405D16">
            <w:pPr>
              <w:spacing w:after="100"/>
              <w:jc w:val="right"/>
              <w:rPr>
                <w:rFonts w:eastAsia="Times New Roman"/>
              </w:rPr>
            </w:pPr>
            <w:r>
              <w:rPr>
                <w:rFonts w:eastAsia="Times New Roman"/>
                <w:color w:val="000000"/>
                <w:sz w:val="18"/>
                <w:szCs w:val="18"/>
              </w:rPr>
              <w:t>39 </w:t>
            </w:r>
          </w:p>
        </w:tc>
        <w:tc>
          <w:tcPr>
            <w:tcW w:w="0" w:type="auto"/>
            <w:shd w:val="clear" w:color="auto" w:fill="FFFFFF"/>
            <w:tcMar>
              <w:top w:w="30" w:type="dxa"/>
              <w:left w:w="0" w:type="dxa"/>
              <w:bottom w:w="30" w:type="dxa"/>
              <w:right w:w="20" w:type="dxa"/>
            </w:tcMar>
            <w:vAlign w:val="center"/>
            <w:hideMark/>
          </w:tcPr>
          <w:p w14:paraId="26ABC747" w14:textId="77777777" w:rsidR="00000000" w:rsidRDefault="00405D16">
            <w:pPr>
              <w:spacing w:after="100"/>
              <w:jc w:val="right"/>
              <w:rPr>
                <w:rFonts w:eastAsia="Times New Roman"/>
              </w:rPr>
            </w:pPr>
            <w:r>
              <w:rPr>
                <w:rFonts w:eastAsia="Times New Roman"/>
                <w:color w:val="000000"/>
                <w:sz w:val="18"/>
                <w:szCs w:val="18"/>
              </w:rPr>
              <w:t>%</w:t>
            </w:r>
          </w:p>
        </w:tc>
      </w:tr>
      <w:tr w:rsidR="00000000" w14:paraId="7A8F1165" w14:textId="77777777">
        <w:trPr>
          <w:divId w:val="1033917410"/>
        </w:trPr>
        <w:tc>
          <w:tcPr>
            <w:tcW w:w="0" w:type="auto"/>
            <w:gridSpan w:val="3"/>
            <w:shd w:val="clear" w:color="auto" w:fill="CCEEFF"/>
            <w:tcMar>
              <w:top w:w="30" w:type="dxa"/>
              <w:left w:w="245" w:type="dxa"/>
              <w:bottom w:w="30" w:type="dxa"/>
              <w:right w:w="20" w:type="dxa"/>
            </w:tcMar>
            <w:vAlign w:val="center"/>
            <w:hideMark/>
          </w:tcPr>
          <w:p w14:paraId="12A1D318" w14:textId="77777777" w:rsidR="00000000" w:rsidRDefault="00405D16">
            <w:pPr>
              <w:spacing w:after="100"/>
              <w:rPr>
                <w:rFonts w:eastAsia="Times New Roman"/>
              </w:rPr>
            </w:pPr>
            <w:r>
              <w:rPr>
                <w:rFonts w:eastAsia="Times New Roman"/>
                <w:color w:val="000000"/>
                <w:sz w:val="18"/>
                <w:szCs w:val="18"/>
              </w:rPr>
              <w:t>Finance</w:t>
            </w:r>
          </w:p>
        </w:tc>
        <w:tc>
          <w:tcPr>
            <w:tcW w:w="0" w:type="auto"/>
            <w:gridSpan w:val="3"/>
            <w:shd w:val="clear" w:color="auto" w:fill="CCEEFF"/>
            <w:tcMar>
              <w:top w:w="0" w:type="dxa"/>
              <w:left w:w="20" w:type="dxa"/>
              <w:bottom w:w="0" w:type="dxa"/>
              <w:right w:w="20" w:type="dxa"/>
            </w:tcMar>
            <w:vAlign w:val="center"/>
            <w:hideMark/>
          </w:tcPr>
          <w:p w14:paraId="652BF2D1"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20F377B" w14:textId="77777777" w:rsidR="00000000" w:rsidRDefault="00405D16">
            <w:pPr>
              <w:spacing w:after="100"/>
              <w:jc w:val="right"/>
              <w:rPr>
                <w:rFonts w:eastAsia="Times New Roman"/>
              </w:rPr>
            </w:pPr>
            <w:r>
              <w:rPr>
                <w:rFonts w:eastAsia="Times New Roman"/>
                <w:b/>
                <w:bCs/>
                <w:color w:val="000000"/>
                <w:sz w:val="18"/>
                <w:szCs w:val="18"/>
              </w:rPr>
              <w:t>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CD057A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C07A9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62AC3BF" w14:textId="77777777" w:rsidR="00000000" w:rsidRDefault="00405D16">
            <w:pPr>
              <w:spacing w:after="100"/>
              <w:jc w:val="right"/>
              <w:rPr>
                <w:rFonts w:eastAsia="Times New Roman"/>
              </w:rPr>
            </w:pPr>
            <w:r>
              <w:rPr>
                <w:rFonts w:eastAsia="Times New Roman"/>
                <w:color w:val="000000"/>
                <w:sz w:val="18"/>
                <w:szCs w:val="18"/>
              </w:rPr>
              <w:t>17 </w:t>
            </w:r>
          </w:p>
        </w:tc>
        <w:tc>
          <w:tcPr>
            <w:tcW w:w="0" w:type="auto"/>
            <w:shd w:val="clear" w:color="auto" w:fill="CCEEFF"/>
            <w:tcMar>
              <w:top w:w="30" w:type="dxa"/>
              <w:left w:w="0" w:type="dxa"/>
              <w:bottom w:w="30" w:type="dxa"/>
              <w:right w:w="20" w:type="dxa"/>
            </w:tcMar>
            <w:vAlign w:val="center"/>
            <w:hideMark/>
          </w:tcPr>
          <w:p w14:paraId="61A463A1" w14:textId="77777777" w:rsidR="00000000" w:rsidRDefault="00405D16">
            <w:pPr>
              <w:spacing w:after="100"/>
              <w:jc w:val="right"/>
              <w:rPr>
                <w:rFonts w:eastAsia="Times New Roman"/>
              </w:rPr>
            </w:pPr>
          </w:p>
        </w:tc>
      </w:tr>
      <w:tr w:rsidR="00000000" w14:paraId="613D1C2E" w14:textId="77777777">
        <w:trPr>
          <w:divId w:val="1033917410"/>
        </w:trPr>
        <w:tc>
          <w:tcPr>
            <w:tcW w:w="0" w:type="auto"/>
            <w:gridSpan w:val="3"/>
            <w:shd w:val="clear" w:color="auto" w:fill="FFFFFF"/>
            <w:tcMar>
              <w:top w:w="30" w:type="dxa"/>
              <w:left w:w="245" w:type="dxa"/>
              <w:bottom w:w="30" w:type="dxa"/>
              <w:right w:w="20" w:type="dxa"/>
            </w:tcMar>
            <w:vAlign w:val="center"/>
            <w:hideMark/>
          </w:tcPr>
          <w:p w14:paraId="5D9B3DD6" w14:textId="77777777" w:rsidR="00000000" w:rsidRDefault="00405D16">
            <w:pPr>
              <w:spacing w:after="100"/>
              <w:rPr>
                <w:rFonts w:eastAsia="Times New Roman"/>
              </w:rPr>
            </w:pPr>
            <w:r>
              <w:rPr>
                <w:rFonts w:eastAsia="Times New Roman"/>
                <w:color w:val="000000"/>
                <w:sz w:val="18"/>
                <w:szCs w:val="18"/>
              </w:rPr>
              <w:t>Healthcare</w:t>
            </w:r>
          </w:p>
        </w:tc>
        <w:tc>
          <w:tcPr>
            <w:tcW w:w="0" w:type="auto"/>
            <w:gridSpan w:val="3"/>
            <w:shd w:val="clear" w:color="auto" w:fill="FFFFFF"/>
            <w:tcMar>
              <w:top w:w="0" w:type="dxa"/>
              <w:left w:w="20" w:type="dxa"/>
              <w:bottom w:w="0" w:type="dxa"/>
              <w:right w:w="20" w:type="dxa"/>
            </w:tcMar>
            <w:vAlign w:val="center"/>
            <w:hideMark/>
          </w:tcPr>
          <w:p w14:paraId="27A0152F"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35968C4" w14:textId="77777777" w:rsidR="00000000" w:rsidRDefault="00405D16">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81505F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938C2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C73CA4B" w14:textId="77777777" w:rsidR="00000000" w:rsidRDefault="00405D16">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center"/>
            <w:hideMark/>
          </w:tcPr>
          <w:p w14:paraId="31248633" w14:textId="77777777" w:rsidR="00000000" w:rsidRDefault="00405D16">
            <w:pPr>
              <w:spacing w:after="100"/>
              <w:jc w:val="right"/>
              <w:rPr>
                <w:rFonts w:eastAsia="Times New Roman"/>
              </w:rPr>
            </w:pPr>
          </w:p>
        </w:tc>
      </w:tr>
      <w:tr w:rsidR="00000000" w14:paraId="695FCEAA" w14:textId="77777777">
        <w:trPr>
          <w:divId w:val="1033917410"/>
        </w:trPr>
        <w:tc>
          <w:tcPr>
            <w:tcW w:w="0" w:type="auto"/>
            <w:gridSpan w:val="3"/>
            <w:shd w:val="clear" w:color="auto" w:fill="CCEEFF"/>
            <w:tcMar>
              <w:top w:w="30" w:type="dxa"/>
              <w:left w:w="245" w:type="dxa"/>
              <w:bottom w:w="30" w:type="dxa"/>
              <w:right w:w="20" w:type="dxa"/>
            </w:tcMar>
            <w:vAlign w:val="center"/>
            <w:hideMark/>
          </w:tcPr>
          <w:p w14:paraId="006EFFC2" w14:textId="77777777" w:rsidR="00000000" w:rsidRDefault="00405D16">
            <w:pPr>
              <w:spacing w:after="100"/>
              <w:rPr>
                <w:rFonts w:eastAsia="Times New Roman"/>
              </w:rPr>
            </w:pPr>
            <w:r>
              <w:rPr>
                <w:rFonts w:eastAsia="Times New Roman"/>
                <w:color w:val="000000"/>
                <w:sz w:val="18"/>
                <w:szCs w:val="18"/>
              </w:rPr>
              <w:t>Business services</w:t>
            </w:r>
          </w:p>
        </w:tc>
        <w:tc>
          <w:tcPr>
            <w:tcW w:w="0" w:type="auto"/>
            <w:gridSpan w:val="3"/>
            <w:shd w:val="clear" w:color="auto" w:fill="CCEEFF"/>
            <w:tcMar>
              <w:top w:w="0" w:type="dxa"/>
              <w:left w:w="20" w:type="dxa"/>
              <w:bottom w:w="0" w:type="dxa"/>
              <w:right w:w="20" w:type="dxa"/>
            </w:tcMar>
            <w:vAlign w:val="center"/>
            <w:hideMark/>
          </w:tcPr>
          <w:p w14:paraId="3D56704C"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81EDDA4" w14:textId="77777777" w:rsidR="00000000" w:rsidRDefault="00405D16">
            <w:pPr>
              <w:spacing w:after="100"/>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329AD3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E6687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241E555" w14:textId="77777777" w:rsidR="00000000" w:rsidRDefault="00405D16">
            <w:pPr>
              <w:spacing w:after="100"/>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center"/>
            <w:hideMark/>
          </w:tcPr>
          <w:p w14:paraId="1507DAC1" w14:textId="77777777" w:rsidR="00000000" w:rsidRDefault="00405D16">
            <w:pPr>
              <w:spacing w:after="100"/>
              <w:jc w:val="right"/>
              <w:rPr>
                <w:rFonts w:eastAsia="Times New Roman"/>
              </w:rPr>
            </w:pPr>
          </w:p>
        </w:tc>
      </w:tr>
      <w:tr w:rsidR="00000000" w14:paraId="7C7CFA45" w14:textId="77777777">
        <w:trPr>
          <w:divId w:val="1033917410"/>
        </w:trPr>
        <w:tc>
          <w:tcPr>
            <w:tcW w:w="0" w:type="auto"/>
            <w:gridSpan w:val="3"/>
            <w:shd w:val="clear" w:color="auto" w:fill="FFFFFF"/>
            <w:tcMar>
              <w:top w:w="30" w:type="dxa"/>
              <w:left w:w="245" w:type="dxa"/>
              <w:bottom w:w="30" w:type="dxa"/>
              <w:right w:w="20" w:type="dxa"/>
            </w:tcMar>
            <w:vAlign w:val="center"/>
            <w:hideMark/>
          </w:tcPr>
          <w:p w14:paraId="1B884493" w14:textId="77777777" w:rsidR="00000000" w:rsidRDefault="00405D16">
            <w:pPr>
              <w:spacing w:after="100"/>
              <w:rPr>
                <w:rFonts w:eastAsia="Times New Roman"/>
              </w:rPr>
            </w:pPr>
            <w:r>
              <w:rPr>
                <w:rFonts w:eastAsia="Times New Roman"/>
                <w:color w:val="000000"/>
                <w:sz w:val="18"/>
                <w:szCs w:val="18"/>
              </w:rPr>
              <w:t>Educational services</w:t>
            </w:r>
          </w:p>
        </w:tc>
        <w:tc>
          <w:tcPr>
            <w:tcW w:w="0" w:type="auto"/>
            <w:gridSpan w:val="3"/>
            <w:shd w:val="clear" w:color="auto" w:fill="FFFFFF"/>
            <w:tcMar>
              <w:top w:w="0" w:type="dxa"/>
              <w:left w:w="20" w:type="dxa"/>
              <w:bottom w:w="0" w:type="dxa"/>
              <w:right w:w="20" w:type="dxa"/>
            </w:tcMar>
            <w:vAlign w:val="center"/>
            <w:hideMark/>
          </w:tcPr>
          <w:p w14:paraId="55BB75B2"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39F13A5" w14:textId="77777777" w:rsidR="00000000" w:rsidRDefault="00405D16">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8C15C9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09B07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7C2E9F8" w14:textId="77777777" w:rsidR="00000000" w:rsidRDefault="00405D16">
            <w:pPr>
              <w:spacing w:after="100"/>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14:paraId="1B969FCB" w14:textId="77777777" w:rsidR="00000000" w:rsidRDefault="00405D16">
            <w:pPr>
              <w:spacing w:after="100"/>
              <w:jc w:val="right"/>
              <w:rPr>
                <w:rFonts w:eastAsia="Times New Roman"/>
              </w:rPr>
            </w:pPr>
          </w:p>
        </w:tc>
      </w:tr>
      <w:tr w:rsidR="00000000" w14:paraId="15A58A34" w14:textId="77777777">
        <w:trPr>
          <w:divId w:val="1033917410"/>
        </w:trPr>
        <w:tc>
          <w:tcPr>
            <w:tcW w:w="0" w:type="auto"/>
            <w:gridSpan w:val="3"/>
            <w:shd w:val="clear" w:color="auto" w:fill="CCEEFF"/>
            <w:tcMar>
              <w:top w:w="30" w:type="dxa"/>
              <w:left w:w="245" w:type="dxa"/>
              <w:bottom w:w="30" w:type="dxa"/>
              <w:right w:w="20" w:type="dxa"/>
            </w:tcMar>
            <w:vAlign w:val="center"/>
            <w:hideMark/>
          </w:tcPr>
          <w:p w14:paraId="619A2CDD" w14:textId="77777777" w:rsidR="00000000" w:rsidRDefault="00405D16">
            <w:pPr>
              <w:spacing w:after="100"/>
              <w:rPr>
                <w:rFonts w:eastAsia="Times New Roman"/>
              </w:rPr>
            </w:pPr>
            <w:r>
              <w:rPr>
                <w:rFonts w:eastAsia="Times New Roman"/>
                <w:color w:val="000000"/>
                <w:sz w:val="18"/>
                <w:szCs w:val="18"/>
              </w:rPr>
              <w:t>Public administration</w:t>
            </w:r>
          </w:p>
        </w:tc>
        <w:tc>
          <w:tcPr>
            <w:tcW w:w="0" w:type="auto"/>
            <w:gridSpan w:val="3"/>
            <w:shd w:val="clear" w:color="auto" w:fill="CCEEFF"/>
            <w:tcMar>
              <w:top w:w="0" w:type="dxa"/>
              <w:left w:w="20" w:type="dxa"/>
              <w:bottom w:w="0" w:type="dxa"/>
              <w:right w:w="20" w:type="dxa"/>
            </w:tcMar>
            <w:vAlign w:val="center"/>
            <w:hideMark/>
          </w:tcPr>
          <w:p w14:paraId="72B8079A"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9089FAD" w14:textId="77777777" w:rsidR="00000000" w:rsidRDefault="00405D16">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AE265B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6534A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7A30CB1" w14:textId="77777777" w:rsidR="00000000" w:rsidRDefault="00405D16">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center"/>
            <w:hideMark/>
          </w:tcPr>
          <w:p w14:paraId="452ACA73" w14:textId="77777777" w:rsidR="00000000" w:rsidRDefault="00405D16">
            <w:pPr>
              <w:spacing w:after="100"/>
              <w:jc w:val="right"/>
              <w:rPr>
                <w:rFonts w:eastAsia="Times New Roman"/>
              </w:rPr>
            </w:pPr>
          </w:p>
        </w:tc>
      </w:tr>
      <w:tr w:rsidR="00000000" w14:paraId="79F7CC85" w14:textId="77777777">
        <w:trPr>
          <w:divId w:val="1033917410"/>
        </w:trPr>
        <w:tc>
          <w:tcPr>
            <w:tcW w:w="0" w:type="auto"/>
            <w:gridSpan w:val="3"/>
            <w:shd w:val="clear" w:color="auto" w:fill="FFFFFF"/>
            <w:tcMar>
              <w:top w:w="30" w:type="dxa"/>
              <w:left w:w="245" w:type="dxa"/>
              <w:bottom w:w="30" w:type="dxa"/>
              <w:right w:w="20" w:type="dxa"/>
            </w:tcMar>
            <w:vAlign w:val="center"/>
            <w:hideMark/>
          </w:tcPr>
          <w:p w14:paraId="0AB39A00" w14:textId="77777777" w:rsidR="00000000" w:rsidRDefault="00405D16">
            <w:pPr>
              <w:spacing w:after="100"/>
              <w:rPr>
                <w:rFonts w:eastAsia="Times New Roman"/>
              </w:rPr>
            </w:pPr>
            <w:r>
              <w:rPr>
                <w:rFonts w:eastAsia="Times New Roman"/>
                <w:color w:val="000000"/>
                <w:sz w:val="18"/>
                <w:szCs w:val="18"/>
              </w:rPr>
              <w:t>Construction and land</w:t>
            </w:r>
          </w:p>
        </w:tc>
        <w:tc>
          <w:tcPr>
            <w:tcW w:w="0" w:type="auto"/>
            <w:gridSpan w:val="3"/>
            <w:shd w:val="clear" w:color="auto" w:fill="FFFFFF"/>
            <w:tcMar>
              <w:top w:w="0" w:type="dxa"/>
              <w:left w:w="20" w:type="dxa"/>
              <w:bottom w:w="0" w:type="dxa"/>
              <w:right w:w="20" w:type="dxa"/>
            </w:tcMar>
            <w:vAlign w:val="center"/>
            <w:hideMark/>
          </w:tcPr>
          <w:p w14:paraId="2727B2D1"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903B3F9" w14:textId="77777777" w:rsidR="00000000" w:rsidRDefault="00405D16">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E1C2C3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D88B1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35C3CFC" w14:textId="77777777" w:rsidR="00000000" w:rsidRDefault="00405D16">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center"/>
            <w:hideMark/>
          </w:tcPr>
          <w:p w14:paraId="049C4460" w14:textId="77777777" w:rsidR="00000000" w:rsidRDefault="00405D16">
            <w:pPr>
              <w:spacing w:after="100"/>
              <w:jc w:val="right"/>
              <w:rPr>
                <w:rFonts w:eastAsia="Times New Roman"/>
              </w:rPr>
            </w:pPr>
          </w:p>
        </w:tc>
      </w:tr>
      <w:tr w:rsidR="00000000" w14:paraId="3281BF52" w14:textId="77777777">
        <w:trPr>
          <w:divId w:val="1033917410"/>
        </w:trPr>
        <w:tc>
          <w:tcPr>
            <w:tcW w:w="0" w:type="auto"/>
            <w:gridSpan w:val="3"/>
            <w:shd w:val="clear" w:color="auto" w:fill="CCEEFF"/>
            <w:tcMar>
              <w:top w:w="30" w:type="dxa"/>
              <w:left w:w="245" w:type="dxa"/>
              <w:bottom w:w="30" w:type="dxa"/>
              <w:right w:w="20" w:type="dxa"/>
            </w:tcMar>
            <w:vAlign w:val="center"/>
            <w:hideMark/>
          </w:tcPr>
          <w:p w14:paraId="326E0C9E" w14:textId="77777777" w:rsidR="00000000" w:rsidRDefault="00405D16">
            <w:pPr>
              <w:spacing w:after="100"/>
              <w:rPr>
                <w:rFonts w:eastAsia="Times New Roman"/>
              </w:rPr>
            </w:pPr>
            <w:r>
              <w:rPr>
                <w:rFonts w:eastAsia="Times New Roman"/>
                <w:color w:val="000000"/>
                <w:sz w:val="18"/>
                <w:szCs w:val="18"/>
              </w:rPr>
              <w:t>Retail trade</w:t>
            </w:r>
          </w:p>
        </w:tc>
        <w:tc>
          <w:tcPr>
            <w:tcW w:w="0" w:type="auto"/>
            <w:gridSpan w:val="3"/>
            <w:shd w:val="clear" w:color="auto" w:fill="CCEEFF"/>
            <w:tcMar>
              <w:top w:w="0" w:type="dxa"/>
              <w:left w:w="20" w:type="dxa"/>
              <w:bottom w:w="0" w:type="dxa"/>
              <w:right w:w="20" w:type="dxa"/>
            </w:tcMar>
            <w:vAlign w:val="center"/>
            <w:hideMark/>
          </w:tcPr>
          <w:p w14:paraId="42E6DE71"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DF0751C" w14:textId="77777777" w:rsidR="00000000" w:rsidRDefault="00405D16">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CC987C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6A46D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A2B86E2" w14:textId="77777777" w:rsidR="00000000" w:rsidRDefault="00405D16">
            <w:pPr>
              <w:spacing w:after="100"/>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center"/>
            <w:hideMark/>
          </w:tcPr>
          <w:p w14:paraId="32E26677" w14:textId="77777777" w:rsidR="00000000" w:rsidRDefault="00405D16">
            <w:pPr>
              <w:spacing w:after="100"/>
              <w:jc w:val="right"/>
              <w:rPr>
                <w:rFonts w:eastAsia="Times New Roman"/>
              </w:rPr>
            </w:pPr>
          </w:p>
        </w:tc>
      </w:tr>
      <w:tr w:rsidR="00000000" w14:paraId="6D51AA8D" w14:textId="77777777">
        <w:trPr>
          <w:divId w:val="1033917410"/>
        </w:trPr>
        <w:tc>
          <w:tcPr>
            <w:tcW w:w="0" w:type="auto"/>
            <w:gridSpan w:val="3"/>
            <w:shd w:val="clear" w:color="auto" w:fill="FFFFFF"/>
            <w:tcMar>
              <w:top w:w="30" w:type="dxa"/>
              <w:left w:w="245" w:type="dxa"/>
              <w:bottom w:w="30" w:type="dxa"/>
              <w:right w:w="20" w:type="dxa"/>
            </w:tcMar>
            <w:vAlign w:val="center"/>
            <w:hideMark/>
          </w:tcPr>
          <w:p w14:paraId="36956955" w14:textId="77777777" w:rsidR="00000000" w:rsidRDefault="00405D16">
            <w:pPr>
              <w:spacing w:after="100"/>
              <w:rPr>
                <w:rFonts w:eastAsia="Times New Roman"/>
              </w:rPr>
            </w:pPr>
            <w:r>
              <w:rPr>
                <w:rFonts w:eastAsia="Times New Roman"/>
                <w:color w:val="000000"/>
                <w:sz w:val="18"/>
                <w:szCs w:val="18"/>
              </w:rPr>
              <w:t>Oil and gas</w:t>
            </w:r>
          </w:p>
        </w:tc>
        <w:tc>
          <w:tcPr>
            <w:tcW w:w="0" w:type="auto"/>
            <w:gridSpan w:val="3"/>
            <w:shd w:val="clear" w:color="auto" w:fill="FFFFFF"/>
            <w:tcMar>
              <w:top w:w="0" w:type="dxa"/>
              <w:left w:w="20" w:type="dxa"/>
              <w:bottom w:w="0" w:type="dxa"/>
              <w:right w:w="20" w:type="dxa"/>
            </w:tcMar>
            <w:vAlign w:val="center"/>
            <w:hideMark/>
          </w:tcPr>
          <w:p w14:paraId="1CF6B2BB"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F336309" w14:textId="77777777" w:rsidR="00000000" w:rsidRDefault="00405D16">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16B257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890DD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2E5A3A4" w14:textId="77777777" w:rsidR="00000000" w:rsidRDefault="00405D16">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center"/>
            <w:hideMark/>
          </w:tcPr>
          <w:p w14:paraId="3EC381A7" w14:textId="77777777" w:rsidR="00000000" w:rsidRDefault="00405D16">
            <w:pPr>
              <w:spacing w:after="100"/>
              <w:jc w:val="right"/>
              <w:rPr>
                <w:rFonts w:eastAsia="Times New Roman"/>
              </w:rPr>
            </w:pPr>
          </w:p>
        </w:tc>
      </w:tr>
      <w:tr w:rsidR="00000000" w14:paraId="058F0201" w14:textId="77777777">
        <w:trPr>
          <w:divId w:val="1033917410"/>
        </w:trPr>
        <w:tc>
          <w:tcPr>
            <w:tcW w:w="0" w:type="auto"/>
            <w:gridSpan w:val="3"/>
            <w:shd w:val="clear" w:color="auto" w:fill="CCEEFF"/>
            <w:tcMar>
              <w:top w:w="30" w:type="dxa"/>
              <w:left w:w="245" w:type="dxa"/>
              <w:bottom w:w="30" w:type="dxa"/>
              <w:right w:w="20" w:type="dxa"/>
            </w:tcMar>
            <w:vAlign w:val="center"/>
            <w:hideMark/>
          </w:tcPr>
          <w:p w14:paraId="7108CD9E" w14:textId="77777777" w:rsidR="00000000" w:rsidRDefault="00405D16">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14:paraId="79C523E6"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AFF385A" w14:textId="77777777" w:rsidR="00000000" w:rsidRDefault="00405D16">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C2189A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AB4F1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005393B" w14:textId="77777777" w:rsidR="00000000" w:rsidRDefault="00405D16">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center"/>
            <w:hideMark/>
          </w:tcPr>
          <w:p w14:paraId="13718885" w14:textId="77777777" w:rsidR="00000000" w:rsidRDefault="00405D16">
            <w:pPr>
              <w:spacing w:after="100"/>
              <w:jc w:val="right"/>
              <w:rPr>
                <w:rFonts w:eastAsia="Times New Roman"/>
              </w:rPr>
            </w:pPr>
          </w:p>
        </w:tc>
      </w:tr>
      <w:tr w:rsidR="00000000" w14:paraId="37652A52" w14:textId="77777777">
        <w:trPr>
          <w:divId w:val="1033917410"/>
        </w:trPr>
        <w:tc>
          <w:tcPr>
            <w:tcW w:w="0" w:type="auto"/>
            <w:gridSpan w:val="3"/>
            <w:shd w:val="clear" w:color="auto" w:fill="FFFFFF"/>
            <w:tcMar>
              <w:top w:w="30" w:type="dxa"/>
              <w:left w:w="20" w:type="dxa"/>
              <w:bottom w:w="30" w:type="dxa"/>
              <w:right w:w="20" w:type="dxa"/>
            </w:tcMar>
            <w:vAlign w:val="center"/>
            <w:hideMark/>
          </w:tcPr>
          <w:p w14:paraId="5A4C8FDE" w14:textId="77777777" w:rsidR="00000000" w:rsidRDefault="00405D16">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463817A2" w14:textId="77777777" w:rsidR="00000000" w:rsidRDefault="00405D16">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0EF6F7A" w14:textId="77777777" w:rsidR="00000000" w:rsidRDefault="00405D16">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C947C0E"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767EBBE" w14:textId="77777777" w:rsidR="00000000" w:rsidRDefault="00405D16">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8CBBCE0" w14:textId="77777777" w:rsidR="00000000" w:rsidRDefault="00405D16">
            <w:pPr>
              <w:spacing w:after="100"/>
              <w:jc w:val="right"/>
              <w:rPr>
                <w:rFonts w:eastAsia="Times New Roman"/>
              </w:rPr>
            </w:pPr>
            <w:r>
              <w:rPr>
                <w:rFonts w:eastAsia="Times New Roman"/>
                <w:color w:val="000000"/>
                <w:sz w:val="18"/>
                <w:szCs w:val="18"/>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B19C9F2" w14:textId="77777777" w:rsidR="00000000" w:rsidRDefault="00405D16">
            <w:pPr>
              <w:spacing w:after="100"/>
              <w:jc w:val="right"/>
              <w:rPr>
                <w:rFonts w:eastAsia="Times New Roman"/>
              </w:rPr>
            </w:pPr>
            <w:r>
              <w:rPr>
                <w:rFonts w:eastAsia="Times New Roman"/>
                <w:color w:val="000000"/>
                <w:sz w:val="18"/>
                <w:szCs w:val="18"/>
              </w:rPr>
              <w:t>%</w:t>
            </w: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2C96BF7D" w14:textId="77777777">
        <w:trPr>
          <w:jc w:val="center"/>
        </w:trPr>
        <w:tc>
          <w:tcPr>
            <w:tcW w:w="50" w:type="pct"/>
            <w:vAlign w:val="center"/>
            <w:hideMark/>
          </w:tcPr>
          <w:p w14:paraId="3F156AB9" w14:textId="77777777" w:rsidR="00000000" w:rsidRDefault="00405D16">
            <w:pPr>
              <w:jc w:val="both"/>
              <w:rPr>
                <w:rFonts w:eastAsia="Times New Roman"/>
              </w:rPr>
            </w:pPr>
          </w:p>
        </w:tc>
        <w:tc>
          <w:tcPr>
            <w:tcW w:w="1606" w:type="pct"/>
            <w:vAlign w:val="center"/>
            <w:hideMark/>
          </w:tcPr>
          <w:p w14:paraId="33AC1A5E" w14:textId="77777777" w:rsidR="00000000" w:rsidRDefault="00405D16">
            <w:pPr>
              <w:spacing w:after="100"/>
              <w:rPr>
                <w:rFonts w:eastAsia="Times New Roman"/>
                <w:sz w:val="20"/>
                <w:szCs w:val="20"/>
              </w:rPr>
            </w:pPr>
          </w:p>
        </w:tc>
        <w:tc>
          <w:tcPr>
            <w:tcW w:w="5" w:type="pct"/>
            <w:vAlign w:val="center"/>
            <w:hideMark/>
          </w:tcPr>
          <w:p w14:paraId="6C7C55D9" w14:textId="77777777" w:rsidR="00000000" w:rsidRDefault="00405D16">
            <w:pPr>
              <w:spacing w:after="100"/>
              <w:rPr>
                <w:rFonts w:eastAsia="Times New Roman"/>
                <w:sz w:val="20"/>
                <w:szCs w:val="20"/>
              </w:rPr>
            </w:pPr>
          </w:p>
        </w:tc>
        <w:tc>
          <w:tcPr>
            <w:tcW w:w="50" w:type="pct"/>
            <w:vAlign w:val="center"/>
            <w:hideMark/>
          </w:tcPr>
          <w:p w14:paraId="78F64D88" w14:textId="77777777" w:rsidR="00000000" w:rsidRDefault="00405D16">
            <w:pPr>
              <w:spacing w:after="100"/>
              <w:rPr>
                <w:rFonts w:eastAsia="Times New Roman"/>
                <w:sz w:val="20"/>
                <w:szCs w:val="20"/>
              </w:rPr>
            </w:pPr>
          </w:p>
        </w:tc>
        <w:tc>
          <w:tcPr>
            <w:tcW w:w="1614" w:type="pct"/>
            <w:vAlign w:val="center"/>
            <w:hideMark/>
          </w:tcPr>
          <w:p w14:paraId="1C09433C" w14:textId="77777777" w:rsidR="00000000" w:rsidRDefault="00405D16">
            <w:pPr>
              <w:spacing w:after="100"/>
              <w:rPr>
                <w:rFonts w:eastAsia="Times New Roman"/>
                <w:sz w:val="20"/>
                <w:szCs w:val="20"/>
              </w:rPr>
            </w:pPr>
          </w:p>
        </w:tc>
        <w:tc>
          <w:tcPr>
            <w:tcW w:w="5" w:type="pct"/>
            <w:vAlign w:val="center"/>
            <w:hideMark/>
          </w:tcPr>
          <w:p w14:paraId="2A650CC5" w14:textId="77777777" w:rsidR="00000000" w:rsidRDefault="00405D16">
            <w:pPr>
              <w:spacing w:after="100"/>
              <w:rPr>
                <w:rFonts w:eastAsia="Times New Roman"/>
                <w:sz w:val="20"/>
                <w:szCs w:val="20"/>
              </w:rPr>
            </w:pPr>
          </w:p>
        </w:tc>
        <w:tc>
          <w:tcPr>
            <w:tcW w:w="50" w:type="pct"/>
            <w:vAlign w:val="center"/>
            <w:hideMark/>
          </w:tcPr>
          <w:p w14:paraId="01A7AF59" w14:textId="77777777" w:rsidR="00000000" w:rsidRDefault="00405D16">
            <w:pPr>
              <w:spacing w:after="100"/>
              <w:rPr>
                <w:rFonts w:eastAsia="Times New Roman"/>
                <w:sz w:val="20"/>
                <w:szCs w:val="20"/>
              </w:rPr>
            </w:pPr>
          </w:p>
        </w:tc>
        <w:tc>
          <w:tcPr>
            <w:tcW w:w="1614" w:type="pct"/>
            <w:vAlign w:val="center"/>
            <w:hideMark/>
          </w:tcPr>
          <w:p w14:paraId="18FE8B47" w14:textId="77777777" w:rsidR="00000000" w:rsidRDefault="00405D16">
            <w:pPr>
              <w:spacing w:after="100"/>
              <w:rPr>
                <w:rFonts w:eastAsia="Times New Roman"/>
                <w:sz w:val="20"/>
                <w:szCs w:val="20"/>
              </w:rPr>
            </w:pPr>
          </w:p>
        </w:tc>
        <w:tc>
          <w:tcPr>
            <w:tcW w:w="5" w:type="pct"/>
            <w:vAlign w:val="center"/>
            <w:hideMark/>
          </w:tcPr>
          <w:p w14:paraId="7831E122" w14:textId="77777777" w:rsidR="00000000" w:rsidRDefault="00405D16">
            <w:pPr>
              <w:spacing w:after="100"/>
              <w:rPr>
                <w:rFonts w:eastAsia="Times New Roman"/>
                <w:sz w:val="20"/>
                <w:szCs w:val="20"/>
              </w:rPr>
            </w:pPr>
          </w:p>
        </w:tc>
      </w:tr>
      <w:tr w:rsidR="00000000" w14:paraId="72E18E5E" w14:textId="77777777">
        <w:trPr>
          <w:trHeight w:val="300"/>
          <w:jc w:val="center"/>
        </w:trPr>
        <w:tc>
          <w:tcPr>
            <w:tcW w:w="0" w:type="auto"/>
            <w:gridSpan w:val="9"/>
            <w:tcMar>
              <w:top w:w="0" w:type="dxa"/>
              <w:left w:w="20" w:type="dxa"/>
              <w:bottom w:w="0" w:type="dxa"/>
              <w:right w:w="20" w:type="dxa"/>
            </w:tcMar>
            <w:vAlign w:val="center"/>
            <w:hideMark/>
          </w:tcPr>
          <w:p w14:paraId="2E3CF075" w14:textId="77777777" w:rsidR="00000000" w:rsidRDefault="00405D16">
            <w:pPr>
              <w:spacing w:after="100"/>
              <w:rPr>
                <w:rFonts w:eastAsia="Times New Roman"/>
                <w:sz w:val="20"/>
                <w:szCs w:val="20"/>
              </w:rPr>
            </w:pPr>
          </w:p>
        </w:tc>
      </w:tr>
      <w:tr w:rsidR="00000000" w14:paraId="725803DF" w14:textId="77777777">
        <w:trPr>
          <w:jc w:val="center"/>
        </w:trPr>
        <w:tc>
          <w:tcPr>
            <w:tcW w:w="0" w:type="auto"/>
            <w:gridSpan w:val="3"/>
            <w:tcMar>
              <w:top w:w="0" w:type="dxa"/>
              <w:left w:w="20" w:type="dxa"/>
              <w:bottom w:w="0" w:type="dxa"/>
              <w:right w:w="20" w:type="dxa"/>
            </w:tcMar>
            <w:vAlign w:val="center"/>
            <w:hideMark/>
          </w:tcPr>
          <w:p w14:paraId="521FB27E"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50F7FD7" w14:textId="77777777" w:rsidR="00000000" w:rsidRDefault="00405D16">
            <w:pPr>
              <w:spacing w:after="100"/>
              <w:jc w:val="center"/>
              <w:rPr>
                <w:rFonts w:eastAsia="Times New Roman"/>
              </w:rPr>
            </w:pPr>
            <w:r>
              <w:rPr>
                <w:rFonts w:eastAsia="Times New Roman"/>
                <w:color w:val="000000"/>
                <w:sz w:val="16"/>
                <w:szCs w:val="16"/>
              </w:rPr>
              <w:t>42</w:t>
            </w:r>
          </w:p>
        </w:tc>
        <w:tc>
          <w:tcPr>
            <w:tcW w:w="0" w:type="auto"/>
            <w:gridSpan w:val="3"/>
            <w:tcMar>
              <w:top w:w="30" w:type="dxa"/>
              <w:left w:w="20" w:type="dxa"/>
              <w:bottom w:w="30" w:type="dxa"/>
              <w:right w:w="20" w:type="dxa"/>
            </w:tcMar>
            <w:vAlign w:val="bottom"/>
            <w:hideMark/>
          </w:tcPr>
          <w:p w14:paraId="5EA81C71"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359986A3" w14:textId="77777777" w:rsidR="00000000" w:rsidRDefault="00405D16">
      <w:pPr>
        <w:rPr>
          <w:rFonts w:eastAsia="Times New Roman"/>
        </w:rPr>
      </w:pPr>
      <w:r>
        <w:rPr>
          <w:rFonts w:eastAsia="Times New Roman"/>
        </w:rPr>
        <w:pict w14:anchorId="65041624">
          <v:rect id="_x0000_i1067" style="width:0;height:1.5pt" o:hralign="center" o:hrstd="t" o:hr="t" fillcolor="#a0a0a0" stroked="f"/>
        </w:pict>
      </w:r>
    </w:p>
    <w:p w14:paraId="5DCEE22C" w14:textId="77777777" w:rsidR="00000000" w:rsidRDefault="00405D16">
      <w:pPr>
        <w:ind w:hanging="360"/>
        <w:jc w:val="both"/>
        <w:divId w:val="1447850646"/>
        <w:rPr>
          <w:rFonts w:eastAsia="Times New Roman"/>
        </w:rPr>
      </w:pPr>
      <w:hyperlink w:anchor="idd54a04a485440b4ab4e56094c14d612_13" w:history="1">
        <w:r>
          <w:rPr>
            <w:rStyle w:val="a3"/>
            <w:rFonts w:eastAsia="Times New Roman"/>
            <w:sz w:val="16"/>
            <w:szCs w:val="16"/>
          </w:rPr>
          <w:t>Table of Contents</w:t>
        </w:r>
      </w:hyperlink>
    </w:p>
    <w:p w14:paraId="64C78C59" w14:textId="77777777" w:rsidR="00000000" w:rsidRDefault="00405D16">
      <w:pPr>
        <w:divId w:val="1949460314"/>
        <w:rPr>
          <w:rFonts w:eastAsia="Times New Roman"/>
        </w:rPr>
      </w:pPr>
      <w:r>
        <w:rPr>
          <w:rFonts w:eastAsia="Times New Roman"/>
          <w:b/>
          <w:bCs/>
          <w:color w:val="000000"/>
          <w:sz w:val="20"/>
          <w:szCs w:val="20"/>
        </w:rPr>
        <w:t>Credit Risk Measurement</w:t>
      </w:r>
    </w:p>
    <w:p w14:paraId="56600E6B" w14:textId="77777777" w:rsidR="00000000" w:rsidRDefault="00405D16">
      <w:pPr>
        <w:jc w:val="both"/>
        <w:divId w:val="342322052"/>
        <w:rPr>
          <w:rFonts w:eastAsia="Times New Roman"/>
        </w:rPr>
      </w:pPr>
      <w:r>
        <w:rPr>
          <w:rFonts w:eastAsia="Times New Roman"/>
          <w:color w:val="000000"/>
          <w:sz w:val="20"/>
          <w:szCs w:val="20"/>
        </w:rPr>
        <w:t>We closely monitor economic conditions and loan performance trends to assess and manage our exposure to credit risk. Tr</w:t>
      </w:r>
      <w:r>
        <w:rPr>
          <w:rFonts w:eastAsia="Times New Roman"/>
          <w:color w:val="000000"/>
          <w:sz w:val="20"/>
          <w:szCs w:val="20"/>
        </w:rPr>
        <w:t>ends in delinquency rates are the key credit quality indicator for our credit card and retail banking loan portfolios as changes in delinquency rates can provide an early warning of changes in potential future credit losses. The key indicator we monitor wh</w:t>
      </w:r>
      <w:r>
        <w:rPr>
          <w:rFonts w:eastAsia="Times New Roman"/>
          <w:color w:val="000000"/>
          <w:sz w:val="20"/>
          <w:szCs w:val="20"/>
        </w:rPr>
        <w:t>en assessing the credit quality and risk of our auto loan portfolio is borrower credit scores as they provide insight into borrower risk profiles, which give indications of potential future credit losses. The key credit quality indicator for our commercial</w:t>
      </w:r>
      <w:r>
        <w:rPr>
          <w:rFonts w:eastAsia="Times New Roman"/>
          <w:color w:val="000000"/>
          <w:sz w:val="20"/>
          <w:szCs w:val="20"/>
        </w:rPr>
        <w:t xml:space="preserve"> loan portfolios is our internal risk ratings as we generally classify loans that have been delinquent for an extended period of time and other loans with significant risk of loss as nonperforming. In addition to these credit quality indicators, we also ma</w:t>
      </w:r>
      <w:r>
        <w:rPr>
          <w:rFonts w:eastAsia="Times New Roman"/>
          <w:color w:val="000000"/>
          <w:sz w:val="20"/>
          <w:szCs w:val="20"/>
        </w:rPr>
        <w:t xml:space="preserve">nage and monitor other credit quality metrics such as level of nonperforming loans and net charge-off rates. </w:t>
      </w:r>
    </w:p>
    <w:p w14:paraId="3E1601C7" w14:textId="77777777" w:rsidR="00000000" w:rsidRDefault="00405D16">
      <w:pPr>
        <w:jc w:val="both"/>
        <w:divId w:val="1465855250"/>
        <w:rPr>
          <w:rFonts w:eastAsia="Times New Roman"/>
        </w:rPr>
      </w:pPr>
      <w:r>
        <w:rPr>
          <w:rFonts w:eastAsia="Times New Roman"/>
          <w:color w:val="000000"/>
          <w:sz w:val="20"/>
          <w:szCs w:val="20"/>
        </w:rPr>
        <w:t>We underwrite most consumer loans using proprietary models, which typically include credit bureau data, such as borrower credit scores, applicatio</w:t>
      </w:r>
      <w:r>
        <w:rPr>
          <w:rFonts w:eastAsia="Times New Roman"/>
          <w:color w:val="000000"/>
          <w:sz w:val="20"/>
          <w:szCs w:val="20"/>
        </w:rPr>
        <w:t>n information and, where applicable, collateral and deal structure data. We continuously adjust our management of credit lines and collection strategies based on customer behavior and risk profile changes. We also use borrower credit scores for subprime cl</w:t>
      </w:r>
      <w:r>
        <w:rPr>
          <w:rFonts w:eastAsia="Times New Roman"/>
          <w:color w:val="000000"/>
          <w:sz w:val="20"/>
          <w:szCs w:val="20"/>
        </w:rPr>
        <w:t>assification, for competitive benchmarking and, in some cases, to drive product segmentation decisions. </w:t>
      </w:r>
    </w:p>
    <w:p w14:paraId="6D4F0023" w14:textId="77777777" w:rsidR="00000000" w:rsidRDefault="00405D16">
      <w:pPr>
        <w:jc w:val="both"/>
        <w:divId w:val="831724539"/>
        <w:rPr>
          <w:rFonts w:eastAsia="Times New Roman"/>
        </w:rPr>
      </w:pPr>
      <w:r>
        <w:rPr>
          <w:rFonts w:eastAsia="Times New Roman"/>
          <w:color w:val="000000"/>
          <w:sz w:val="20"/>
          <w:szCs w:val="20"/>
        </w:rPr>
        <w:t>Table 22 provides details on the credit scores of our domestic credit card and auto loan portfolios as of September 30, 2021 and December 31, 2020.</w:t>
      </w:r>
    </w:p>
    <w:p w14:paraId="0AC53E8C" w14:textId="77777777" w:rsidR="00000000" w:rsidRDefault="00405D16">
      <w:pPr>
        <w:divId w:val="2098743998"/>
        <w:rPr>
          <w:rFonts w:eastAsia="Times New Roman"/>
        </w:rPr>
      </w:pPr>
      <w:r>
        <w:rPr>
          <w:rFonts w:eastAsia="Times New Roman"/>
          <w:b/>
          <w:bCs/>
          <w:color w:val="000000"/>
          <w:sz w:val="18"/>
          <w:szCs w:val="18"/>
        </w:rPr>
        <w:t>Tab</w:t>
      </w:r>
      <w:r>
        <w:rPr>
          <w:rFonts w:eastAsia="Times New Roman"/>
          <w:b/>
          <w:bCs/>
          <w:color w:val="000000"/>
          <w:sz w:val="18"/>
          <w:szCs w:val="18"/>
        </w:rPr>
        <w:t>le 22: Credit Score Distribution</w:t>
      </w:r>
    </w:p>
    <w:tbl>
      <w:tblPr>
        <w:tblW w:w="5000" w:type="pct"/>
        <w:tblCellMar>
          <w:top w:w="15" w:type="dxa"/>
          <w:left w:w="15" w:type="dxa"/>
          <w:bottom w:w="15" w:type="dxa"/>
          <w:right w:w="15" w:type="dxa"/>
        </w:tblCellMar>
        <w:tblLook w:val="04A0" w:firstRow="1" w:lastRow="0" w:firstColumn="1" w:lastColumn="0" w:noHBand="0" w:noVBand="1"/>
      </w:tblPr>
      <w:tblGrid>
        <w:gridCol w:w="38"/>
        <w:gridCol w:w="5369"/>
        <w:gridCol w:w="37"/>
        <w:gridCol w:w="36"/>
        <w:gridCol w:w="36"/>
        <w:gridCol w:w="36"/>
        <w:gridCol w:w="50"/>
        <w:gridCol w:w="1052"/>
        <w:gridCol w:w="200"/>
        <w:gridCol w:w="36"/>
        <w:gridCol w:w="36"/>
        <w:gridCol w:w="36"/>
        <w:gridCol w:w="47"/>
        <w:gridCol w:w="1055"/>
        <w:gridCol w:w="170"/>
        <w:gridCol w:w="36"/>
        <w:gridCol w:w="36"/>
      </w:tblGrid>
      <w:tr w:rsidR="00000000" w14:paraId="7F1B743A" w14:textId="77777777">
        <w:trPr>
          <w:divId w:val="1739597558"/>
        </w:trPr>
        <w:tc>
          <w:tcPr>
            <w:tcW w:w="50" w:type="pct"/>
            <w:vAlign w:val="center"/>
            <w:hideMark/>
          </w:tcPr>
          <w:p w14:paraId="4BFD2FD7" w14:textId="77777777" w:rsidR="00000000" w:rsidRDefault="00405D16">
            <w:pPr>
              <w:rPr>
                <w:rFonts w:eastAsia="Times New Roman"/>
              </w:rPr>
            </w:pPr>
          </w:p>
        </w:tc>
        <w:tc>
          <w:tcPr>
            <w:tcW w:w="3307" w:type="pct"/>
            <w:vAlign w:val="center"/>
            <w:hideMark/>
          </w:tcPr>
          <w:p w14:paraId="4B2120AC" w14:textId="77777777" w:rsidR="00000000" w:rsidRDefault="00405D16">
            <w:pPr>
              <w:spacing w:after="100"/>
              <w:rPr>
                <w:rFonts w:eastAsia="Times New Roman"/>
                <w:sz w:val="20"/>
                <w:szCs w:val="20"/>
              </w:rPr>
            </w:pPr>
          </w:p>
        </w:tc>
        <w:tc>
          <w:tcPr>
            <w:tcW w:w="5" w:type="pct"/>
            <w:vAlign w:val="center"/>
            <w:hideMark/>
          </w:tcPr>
          <w:p w14:paraId="50EF50F5" w14:textId="77777777" w:rsidR="00000000" w:rsidRDefault="00405D16">
            <w:pPr>
              <w:spacing w:after="100"/>
              <w:rPr>
                <w:rFonts w:eastAsia="Times New Roman"/>
                <w:sz w:val="20"/>
                <w:szCs w:val="20"/>
              </w:rPr>
            </w:pPr>
          </w:p>
        </w:tc>
        <w:tc>
          <w:tcPr>
            <w:tcW w:w="5" w:type="pct"/>
            <w:vAlign w:val="center"/>
            <w:hideMark/>
          </w:tcPr>
          <w:p w14:paraId="0801A51E" w14:textId="77777777" w:rsidR="00000000" w:rsidRDefault="00405D16">
            <w:pPr>
              <w:spacing w:after="100"/>
              <w:rPr>
                <w:rFonts w:eastAsia="Times New Roman"/>
                <w:sz w:val="20"/>
                <w:szCs w:val="20"/>
              </w:rPr>
            </w:pPr>
          </w:p>
        </w:tc>
        <w:tc>
          <w:tcPr>
            <w:tcW w:w="26" w:type="pct"/>
            <w:vAlign w:val="center"/>
            <w:hideMark/>
          </w:tcPr>
          <w:p w14:paraId="422828C5" w14:textId="77777777" w:rsidR="00000000" w:rsidRDefault="00405D16">
            <w:pPr>
              <w:spacing w:after="100"/>
              <w:rPr>
                <w:rFonts w:eastAsia="Times New Roman"/>
                <w:sz w:val="20"/>
                <w:szCs w:val="20"/>
              </w:rPr>
            </w:pPr>
          </w:p>
        </w:tc>
        <w:tc>
          <w:tcPr>
            <w:tcW w:w="5" w:type="pct"/>
            <w:vAlign w:val="center"/>
            <w:hideMark/>
          </w:tcPr>
          <w:p w14:paraId="19B0E23D" w14:textId="77777777" w:rsidR="00000000" w:rsidRDefault="00405D16">
            <w:pPr>
              <w:spacing w:after="100"/>
              <w:rPr>
                <w:rFonts w:eastAsia="Times New Roman"/>
                <w:sz w:val="20"/>
                <w:szCs w:val="20"/>
              </w:rPr>
            </w:pPr>
          </w:p>
        </w:tc>
        <w:tc>
          <w:tcPr>
            <w:tcW w:w="50" w:type="pct"/>
            <w:vAlign w:val="center"/>
            <w:hideMark/>
          </w:tcPr>
          <w:p w14:paraId="31E3FB61" w14:textId="77777777" w:rsidR="00000000" w:rsidRDefault="00405D16">
            <w:pPr>
              <w:spacing w:after="100"/>
              <w:rPr>
                <w:rFonts w:eastAsia="Times New Roman"/>
                <w:sz w:val="20"/>
                <w:szCs w:val="20"/>
              </w:rPr>
            </w:pPr>
          </w:p>
        </w:tc>
        <w:tc>
          <w:tcPr>
            <w:tcW w:w="727" w:type="pct"/>
            <w:vAlign w:val="center"/>
            <w:hideMark/>
          </w:tcPr>
          <w:p w14:paraId="122F7B14" w14:textId="77777777" w:rsidR="00000000" w:rsidRDefault="00405D16">
            <w:pPr>
              <w:spacing w:after="100"/>
              <w:rPr>
                <w:rFonts w:eastAsia="Times New Roman"/>
                <w:sz w:val="20"/>
                <w:szCs w:val="20"/>
              </w:rPr>
            </w:pPr>
          </w:p>
        </w:tc>
        <w:tc>
          <w:tcPr>
            <w:tcW w:w="5" w:type="pct"/>
            <w:vAlign w:val="center"/>
            <w:hideMark/>
          </w:tcPr>
          <w:p w14:paraId="429162A4" w14:textId="77777777" w:rsidR="00000000" w:rsidRDefault="00405D16">
            <w:pPr>
              <w:spacing w:after="100"/>
              <w:rPr>
                <w:rFonts w:eastAsia="Times New Roman"/>
                <w:sz w:val="20"/>
                <w:szCs w:val="20"/>
              </w:rPr>
            </w:pPr>
          </w:p>
        </w:tc>
        <w:tc>
          <w:tcPr>
            <w:tcW w:w="5" w:type="pct"/>
            <w:vAlign w:val="center"/>
            <w:hideMark/>
          </w:tcPr>
          <w:p w14:paraId="5E820624" w14:textId="77777777" w:rsidR="00000000" w:rsidRDefault="00405D16">
            <w:pPr>
              <w:spacing w:after="100"/>
              <w:rPr>
                <w:rFonts w:eastAsia="Times New Roman"/>
                <w:sz w:val="20"/>
                <w:szCs w:val="20"/>
              </w:rPr>
            </w:pPr>
          </w:p>
        </w:tc>
        <w:tc>
          <w:tcPr>
            <w:tcW w:w="26" w:type="pct"/>
            <w:vAlign w:val="center"/>
            <w:hideMark/>
          </w:tcPr>
          <w:p w14:paraId="3D3287BE" w14:textId="77777777" w:rsidR="00000000" w:rsidRDefault="00405D16">
            <w:pPr>
              <w:spacing w:after="100"/>
              <w:rPr>
                <w:rFonts w:eastAsia="Times New Roman"/>
                <w:sz w:val="20"/>
                <w:szCs w:val="20"/>
              </w:rPr>
            </w:pPr>
          </w:p>
        </w:tc>
        <w:tc>
          <w:tcPr>
            <w:tcW w:w="5" w:type="pct"/>
            <w:vAlign w:val="center"/>
            <w:hideMark/>
          </w:tcPr>
          <w:p w14:paraId="568E56BE" w14:textId="77777777" w:rsidR="00000000" w:rsidRDefault="00405D16">
            <w:pPr>
              <w:spacing w:after="100"/>
              <w:rPr>
                <w:rFonts w:eastAsia="Times New Roman"/>
                <w:sz w:val="20"/>
                <w:szCs w:val="20"/>
              </w:rPr>
            </w:pPr>
          </w:p>
        </w:tc>
        <w:tc>
          <w:tcPr>
            <w:tcW w:w="50" w:type="pct"/>
            <w:vAlign w:val="center"/>
            <w:hideMark/>
          </w:tcPr>
          <w:p w14:paraId="2DA2A53F" w14:textId="77777777" w:rsidR="00000000" w:rsidRDefault="00405D16">
            <w:pPr>
              <w:spacing w:after="100"/>
              <w:rPr>
                <w:rFonts w:eastAsia="Times New Roman"/>
                <w:sz w:val="20"/>
                <w:szCs w:val="20"/>
              </w:rPr>
            </w:pPr>
          </w:p>
        </w:tc>
        <w:tc>
          <w:tcPr>
            <w:tcW w:w="727" w:type="pct"/>
            <w:vAlign w:val="center"/>
            <w:hideMark/>
          </w:tcPr>
          <w:p w14:paraId="53AA1CC8" w14:textId="77777777" w:rsidR="00000000" w:rsidRDefault="00405D16">
            <w:pPr>
              <w:spacing w:after="100"/>
              <w:rPr>
                <w:rFonts w:eastAsia="Times New Roman"/>
                <w:sz w:val="20"/>
                <w:szCs w:val="20"/>
              </w:rPr>
            </w:pPr>
          </w:p>
        </w:tc>
        <w:tc>
          <w:tcPr>
            <w:tcW w:w="5" w:type="pct"/>
            <w:vAlign w:val="center"/>
            <w:hideMark/>
          </w:tcPr>
          <w:p w14:paraId="401EF5A7" w14:textId="77777777" w:rsidR="00000000" w:rsidRDefault="00405D16">
            <w:pPr>
              <w:spacing w:after="100"/>
              <w:rPr>
                <w:rFonts w:eastAsia="Times New Roman"/>
                <w:sz w:val="20"/>
                <w:szCs w:val="20"/>
              </w:rPr>
            </w:pPr>
          </w:p>
        </w:tc>
        <w:tc>
          <w:tcPr>
            <w:tcW w:w="0" w:type="auto"/>
            <w:vAlign w:val="center"/>
            <w:hideMark/>
          </w:tcPr>
          <w:p w14:paraId="7EC2EF11" w14:textId="77777777" w:rsidR="00000000" w:rsidRDefault="00405D16">
            <w:pPr>
              <w:spacing w:after="100"/>
              <w:rPr>
                <w:rFonts w:eastAsia="Times New Roman"/>
                <w:sz w:val="20"/>
                <w:szCs w:val="20"/>
              </w:rPr>
            </w:pPr>
          </w:p>
        </w:tc>
        <w:tc>
          <w:tcPr>
            <w:tcW w:w="0" w:type="auto"/>
            <w:vAlign w:val="center"/>
            <w:hideMark/>
          </w:tcPr>
          <w:p w14:paraId="175A527E" w14:textId="77777777" w:rsidR="00000000" w:rsidRDefault="00405D16">
            <w:pPr>
              <w:spacing w:after="100"/>
              <w:rPr>
                <w:rFonts w:eastAsia="Times New Roman"/>
                <w:sz w:val="20"/>
                <w:szCs w:val="20"/>
              </w:rPr>
            </w:pPr>
          </w:p>
        </w:tc>
      </w:tr>
      <w:tr w:rsidR="00000000" w14:paraId="6FA48386" w14:textId="77777777">
        <w:trPr>
          <w:divId w:val="1739597558"/>
        </w:trPr>
        <w:tc>
          <w:tcPr>
            <w:tcW w:w="0" w:type="auto"/>
            <w:gridSpan w:val="3"/>
            <w:tcMar>
              <w:top w:w="30" w:type="dxa"/>
              <w:left w:w="20" w:type="dxa"/>
              <w:bottom w:w="30" w:type="dxa"/>
              <w:right w:w="20" w:type="dxa"/>
            </w:tcMar>
            <w:vAlign w:val="bottom"/>
            <w:hideMark/>
          </w:tcPr>
          <w:p w14:paraId="5B46C7B6" w14:textId="77777777" w:rsidR="00000000" w:rsidRDefault="00405D16">
            <w:pPr>
              <w:spacing w:after="100"/>
              <w:rPr>
                <w:rFonts w:eastAsia="Times New Roman"/>
              </w:rPr>
            </w:pPr>
            <w:r>
              <w:rPr>
                <w:rFonts w:eastAsia="Times New Roman"/>
                <w:i/>
                <w:iCs/>
                <w:color w:val="000000"/>
                <w:sz w:val="16"/>
                <w:szCs w:val="16"/>
              </w:rPr>
              <w:t>(Percentage of portfolio)</w:t>
            </w:r>
          </w:p>
        </w:tc>
        <w:tc>
          <w:tcPr>
            <w:tcW w:w="0" w:type="auto"/>
            <w:gridSpan w:val="3"/>
            <w:tcMar>
              <w:top w:w="0" w:type="dxa"/>
              <w:left w:w="20" w:type="dxa"/>
              <w:bottom w:w="0" w:type="dxa"/>
              <w:right w:w="20" w:type="dxa"/>
            </w:tcMar>
            <w:vAlign w:val="center"/>
            <w:hideMark/>
          </w:tcPr>
          <w:p w14:paraId="456867A9" w14:textId="77777777" w:rsidR="00000000" w:rsidRDefault="00405D16">
            <w:pPr>
              <w:spacing w:after="100"/>
              <w:rPr>
                <w:rFonts w:eastAsia="Times New Roman"/>
              </w:rPr>
            </w:pPr>
          </w:p>
        </w:tc>
        <w:tc>
          <w:tcPr>
            <w:tcW w:w="0" w:type="auto"/>
            <w:gridSpan w:val="3"/>
            <w:tcMar>
              <w:top w:w="30" w:type="dxa"/>
              <w:left w:w="20" w:type="dxa"/>
              <w:bottom w:w="30" w:type="dxa"/>
              <w:right w:w="20" w:type="dxa"/>
            </w:tcMar>
            <w:vAlign w:val="bottom"/>
            <w:hideMark/>
          </w:tcPr>
          <w:p w14:paraId="515D905E" w14:textId="77777777" w:rsidR="00000000" w:rsidRDefault="00405D16">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14:paraId="0D78350D"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797F176" w14:textId="77777777" w:rsidR="00000000" w:rsidRDefault="00405D16">
            <w:pPr>
              <w:spacing w:after="100"/>
              <w:jc w:val="center"/>
              <w:rPr>
                <w:rFonts w:eastAsia="Times New Roman"/>
              </w:rPr>
            </w:pPr>
            <w:r>
              <w:rPr>
                <w:rFonts w:eastAsia="Times New Roman"/>
                <w:b/>
                <w:bCs/>
                <w:color w:val="000000"/>
                <w:sz w:val="16"/>
                <w:szCs w:val="16"/>
              </w:rPr>
              <w:t>December 31, 2020</w:t>
            </w:r>
          </w:p>
        </w:tc>
        <w:tc>
          <w:tcPr>
            <w:tcW w:w="0" w:type="auto"/>
            <w:vAlign w:val="center"/>
            <w:hideMark/>
          </w:tcPr>
          <w:p w14:paraId="7B172F7A" w14:textId="77777777" w:rsidR="00000000" w:rsidRDefault="00405D16">
            <w:pPr>
              <w:spacing w:after="100"/>
              <w:jc w:val="center"/>
              <w:rPr>
                <w:rFonts w:eastAsia="Times New Roman"/>
              </w:rPr>
            </w:pPr>
          </w:p>
        </w:tc>
        <w:tc>
          <w:tcPr>
            <w:tcW w:w="0" w:type="auto"/>
            <w:vAlign w:val="center"/>
            <w:hideMark/>
          </w:tcPr>
          <w:p w14:paraId="438565F0" w14:textId="77777777" w:rsidR="00000000" w:rsidRDefault="00405D16">
            <w:pPr>
              <w:spacing w:after="100"/>
              <w:rPr>
                <w:rFonts w:eastAsia="Times New Roman"/>
                <w:sz w:val="20"/>
                <w:szCs w:val="20"/>
              </w:rPr>
            </w:pPr>
          </w:p>
        </w:tc>
      </w:tr>
      <w:tr w:rsidR="00000000" w14:paraId="5D10E717" w14:textId="77777777">
        <w:trPr>
          <w:divId w:val="173959755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55695A2" w14:textId="77777777" w:rsidR="00000000" w:rsidRDefault="00405D16">
            <w:pPr>
              <w:spacing w:after="100"/>
              <w:divId w:val="1725642344"/>
              <w:rPr>
                <w:rFonts w:eastAsia="Times New Roman"/>
              </w:rPr>
            </w:pPr>
            <w:r>
              <w:rPr>
                <w:rFonts w:eastAsia="Times New Roman"/>
                <w:b/>
                <w:bCs/>
                <w:color w:val="000000"/>
                <w:sz w:val="18"/>
                <w:szCs w:val="18"/>
              </w:rPr>
              <w:t>Domestic credit card—Refreshed FICO scores</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35B71556"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BBA418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70EE93"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7D5405" w14:textId="77777777" w:rsidR="00000000" w:rsidRDefault="00405D16">
            <w:pPr>
              <w:spacing w:after="100"/>
              <w:rPr>
                <w:rFonts w:eastAsia="Times New Roman"/>
                <w:sz w:val="20"/>
                <w:szCs w:val="20"/>
              </w:rPr>
            </w:pPr>
          </w:p>
        </w:tc>
        <w:tc>
          <w:tcPr>
            <w:tcW w:w="0" w:type="auto"/>
            <w:vAlign w:val="center"/>
            <w:hideMark/>
          </w:tcPr>
          <w:p w14:paraId="090D1CC3" w14:textId="77777777" w:rsidR="00000000" w:rsidRDefault="00405D16">
            <w:pPr>
              <w:spacing w:after="100"/>
              <w:rPr>
                <w:rFonts w:eastAsia="Times New Roman"/>
                <w:sz w:val="20"/>
                <w:szCs w:val="20"/>
              </w:rPr>
            </w:pPr>
          </w:p>
        </w:tc>
        <w:tc>
          <w:tcPr>
            <w:tcW w:w="0" w:type="auto"/>
            <w:vAlign w:val="center"/>
            <w:hideMark/>
          </w:tcPr>
          <w:p w14:paraId="57150941" w14:textId="77777777" w:rsidR="00000000" w:rsidRDefault="00405D16">
            <w:pPr>
              <w:spacing w:after="100"/>
              <w:rPr>
                <w:rFonts w:eastAsia="Times New Roman"/>
                <w:sz w:val="20"/>
                <w:szCs w:val="20"/>
              </w:rPr>
            </w:pPr>
          </w:p>
        </w:tc>
      </w:tr>
      <w:tr w:rsidR="00000000" w14:paraId="643ADE35" w14:textId="77777777">
        <w:trPr>
          <w:divId w:val="1739597558"/>
        </w:trPr>
        <w:tc>
          <w:tcPr>
            <w:tcW w:w="0" w:type="auto"/>
            <w:gridSpan w:val="3"/>
            <w:shd w:val="clear" w:color="auto" w:fill="FFFFFF"/>
            <w:tcMar>
              <w:top w:w="30" w:type="dxa"/>
              <w:left w:w="245" w:type="dxa"/>
              <w:bottom w:w="30" w:type="dxa"/>
              <w:right w:w="20" w:type="dxa"/>
            </w:tcMar>
            <w:vAlign w:val="center"/>
            <w:hideMark/>
          </w:tcPr>
          <w:p w14:paraId="6C7E4D72" w14:textId="77777777" w:rsidR="00000000" w:rsidRDefault="00405D16">
            <w:pPr>
              <w:spacing w:after="100"/>
              <w:rPr>
                <w:rFonts w:eastAsia="Times New Roman"/>
              </w:rPr>
            </w:pPr>
            <w:r>
              <w:rPr>
                <w:rFonts w:eastAsia="Times New Roman"/>
                <w:color w:val="000000"/>
                <w:sz w:val="18"/>
                <w:szCs w:val="18"/>
              </w:rPr>
              <w:t>Greater than 660</w:t>
            </w:r>
          </w:p>
        </w:tc>
        <w:tc>
          <w:tcPr>
            <w:tcW w:w="0" w:type="auto"/>
            <w:gridSpan w:val="3"/>
            <w:shd w:val="clear" w:color="auto" w:fill="FFFFFF"/>
            <w:tcMar>
              <w:top w:w="0" w:type="dxa"/>
              <w:left w:w="20" w:type="dxa"/>
              <w:bottom w:w="0" w:type="dxa"/>
              <w:right w:w="20" w:type="dxa"/>
            </w:tcMar>
            <w:vAlign w:val="center"/>
            <w:hideMark/>
          </w:tcPr>
          <w:p w14:paraId="446E046D"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BACA6BC" w14:textId="77777777" w:rsidR="00000000" w:rsidRDefault="00405D16">
            <w:pPr>
              <w:spacing w:after="100"/>
              <w:jc w:val="right"/>
              <w:rPr>
                <w:rFonts w:eastAsia="Times New Roman"/>
              </w:rPr>
            </w:pPr>
            <w:r>
              <w:rPr>
                <w:rFonts w:eastAsia="Times New Roman"/>
                <w:b/>
                <w:bCs/>
                <w:color w:val="000000"/>
                <w:sz w:val="18"/>
                <w:szCs w:val="18"/>
              </w:rPr>
              <w:t>71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9854BAB"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9B4C300"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6A9B5B6" w14:textId="77777777" w:rsidR="00000000" w:rsidRDefault="00405D16">
            <w:pPr>
              <w:spacing w:after="100"/>
              <w:jc w:val="right"/>
              <w:rPr>
                <w:rFonts w:eastAsia="Times New Roman"/>
              </w:rPr>
            </w:pPr>
            <w:r>
              <w:rPr>
                <w:rFonts w:eastAsia="Times New Roman"/>
                <w:color w:val="000000"/>
                <w:sz w:val="18"/>
                <w:szCs w:val="18"/>
              </w:rPr>
              <w:t>69 </w:t>
            </w:r>
          </w:p>
        </w:tc>
        <w:tc>
          <w:tcPr>
            <w:tcW w:w="0" w:type="auto"/>
            <w:shd w:val="clear" w:color="auto" w:fill="FFFFFF"/>
            <w:tcMar>
              <w:top w:w="30" w:type="dxa"/>
              <w:left w:w="0" w:type="dxa"/>
              <w:bottom w:w="30" w:type="dxa"/>
              <w:right w:w="20" w:type="dxa"/>
            </w:tcMar>
            <w:vAlign w:val="center"/>
            <w:hideMark/>
          </w:tcPr>
          <w:p w14:paraId="27ACD15F" w14:textId="77777777" w:rsidR="00000000" w:rsidRDefault="00405D16">
            <w:pPr>
              <w:spacing w:after="100"/>
              <w:jc w:val="right"/>
              <w:rPr>
                <w:rFonts w:eastAsia="Times New Roman"/>
              </w:rPr>
            </w:pPr>
            <w:r>
              <w:rPr>
                <w:rFonts w:eastAsia="Times New Roman"/>
                <w:color w:val="000000"/>
                <w:sz w:val="18"/>
                <w:szCs w:val="18"/>
              </w:rPr>
              <w:t>%</w:t>
            </w:r>
          </w:p>
        </w:tc>
        <w:tc>
          <w:tcPr>
            <w:tcW w:w="0" w:type="auto"/>
            <w:vAlign w:val="center"/>
            <w:hideMark/>
          </w:tcPr>
          <w:p w14:paraId="2BE90394" w14:textId="77777777" w:rsidR="00000000" w:rsidRDefault="00405D16">
            <w:pPr>
              <w:spacing w:after="100"/>
              <w:jc w:val="right"/>
              <w:rPr>
                <w:rFonts w:eastAsia="Times New Roman"/>
              </w:rPr>
            </w:pPr>
          </w:p>
        </w:tc>
        <w:tc>
          <w:tcPr>
            <w:tcW w:w="0" w:type="auto"/>
            <w:vAlign w:val="center"/>
            <w:hideMark/>
          </w:tcPr>
          <w:p w14:paraId="253B04FB" w14:textId="77777777" w:rsidR="00000000" w:rsidRDefault="00405D16">
            <w:pPr>
              <w:spacing w:after="100"/>
              <w:rPr>
                <w:rFonts w:eastAsia="Times New Roman"/>
                <w:sz w:val="20"/>
                <w:szCs w:val="20"/>
              </w:rPr>
            </w:pPr>
          </w:p>
        </w:tc>
      </w:tr>
      <w:tr w:rsidR="00000000" w14:paraId="7A6E5822" w14:textId="77777777">
        <w:trPr>
          <w:divId w:val="1739597558"/>
        </w:trPr>
        <w:tc>
          <w:tcPr>
            <w:tcW w:w="0" w:type="auto"/>
            <w:gridSpan w:val="3"/>
            <w:shd w:val="clear" w:color="auto" w:fill="CCEEFF"/>
            <w:tcMar>
              <w:top w:w="30" w:type="dxa"/>
              <w:left w:w="245" w:type="dxa"/>
              <w:bottom w:w="30" w:type="dxa"/>
              <w:right w:w="20" w:type="dxa"/>
            </w:tcMar>
            <w:vAlign w:val="center"/>
            <w:hideMark/>
          </w:tcPr>
          <w:p w14:paraId="416B8CF7" w14:textId="77777777" w:rsidR="00000000" w:rsidRDefault="00405D16">
            <w:pPr>
              <w:spacing w:after="100"/>
              <w:rPr>
                <w:rFonts w:eastAsia="Times New Roman"/>
              </w:rPr>
            </w:pPr>
            <w:r>
              <w:rPr>
                <w:rFonts w:eastAsia="Times New Roman"/>
                <w:color w:val="000000"/>
                <w:sz w:val="18"/>
                <w:szCs w:val="18"/>
              </w:rPr>
              <w:t>660 or below</w:t>
            </w:r>
          </w:p>
        </w:tc>
        <w:tc>
          <w:tcPr>
            <w:tcW w:w="0" w:type="auto"/>
            <w:gridSpan w:val="3"/>
            <w:shd w:val="clear" w:color="auto" w:fill="CCEEFF"/>
            <w:tcMar>
              <w:top w:w="0" w:type="dxa"/>
              <w:left w:w="20" w:type="dxa"/>
              <w:bottom w:w="0" w:type="dxa"/>
              <w:right w:w="20" w:type="dxa"/>
            </w:tcMar>
            <w:vAlign w:val="center"/>
            <w:hideMark/>
          </w:tcPr>
          <w:p w14:paraId="560BC748"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CE8F00C" w14:textId="77777777" w:rsidR="00000000" w:rsidRDefault="00405D16">
            <w:pPr>
              <w:spacing w:after="100"/>
              <w:jc w:val="right"/>
              <w:rPr>
                <w:rFonts w:eastAsia="Times New Roman"/>
              </w:rPr>
            </w:pPr>
            <w:r>
              <w:rPr>
                <w:rFonts w:eastAsia="Times New Roman"/>
                <w:b/>
                <w:bCs/>
                <w:color w:val="000000"/>
                <w:sz w:val="18"/>
                <w:szCs w:val="18"/>
              </w:rPr>
              <w:t>29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F4DBC8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45408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FCA816A" w14:textId="77777777" w:rsidR="00000000" w:rsidRDefault="00405D16">
            <w:pPr>
              <w:spacing w:after="100"/>
              <w:jc w:val="right"/>
              <w:rPr>
                <w:rFonts w:eastAsia="Times New Roman"/>
              </w:rPr>
            </w:pPr>
            <w:r>
              <w:rPr>
                <w:rFonts w:eastAsia="Times New Roman"/>
                <w:color w:val="000000"/>
                <w:sz w:val="18"/>
                <w:szCs w:val="18"/>
              </w:rPr>
              <w:t>31 </w:t>
            </w:r>
          </w:p>
        </w:tc>
        <w:tc>
          <w:tcPr>
            <w:tcW w:w="0" w:type="auto"/>
            <w:shd w:val="clear" w:color="auto" w:fill="CCEEFF"/>
            <w:tcMar>
              <w:top w:w="30" w:type="dxa"/>
              <w:left w:w="0" w:type="dxa"/>
              <w:bottom w:w="30" w:type="dxa"/>
              <w:right w:w="20" w:type="dxa"/>
            </w:tcMar>
            <w:vAlign w:val="center"/>
            <w:hideMark/>
          </w:tcPr>
          <w:p w14:paraId="16D3CD0D" w14:textId="77777777" w:rsidR="00000000" w:rsidRDefault="00405D16">
            <w:pPr>
              <w:spacing w:after="100"/>
              <w:jc w:val="right"/>
              <w:rPr>
                <w:rFonts w:eastAsia="Times New Roman"/>
              </w:rPr>
            </w:pPr>
          </w:p>
        </w:tc>
        <w:tc>
          <w:tcPr>
            <w:tcW w:w="0" w:type="auto"/>
            <w:vAlign w:val="center"/>
            <w:hideMark/>
          </w:tcPr>
          <w:p w14:paraId="566E23D8" w14:textId="77777777" w:rsidR="00000000" w:rsidRDefault="00405D16">
            <w:pPr>
              <w:spacing w:after="100"/>
              <w:jc w:val="right"/>
              <w:rPr>
                <w:rFonts w:eastAsia="Times New Roman"/>
                <w:sz w:val="20"/>
                <w:szCs w:val="20"/>
              </w:rPr>
            </w:pPr>
          </w:p>
        </w:tc>
        <w:tc>
          <w:tcPr>
            <w:tcW w:w="0" w:type="auto"/>
            <w:vAlign w:val="center"/>
            <w:hideMark/>
          </w:tcPr>
          <w:p w14:paraId="5A61F12E" w14:textId="77777777" w:rsidR="00000000" w:rsidRDefault="00405D16">
            <w:pPr>
              <w:spacing w:after="100"/>
              <w:rPr>
                <w:rFonts w:eastAsia="Times New Roman"/>
                <w:sz w:val="20"/>
                <w:szCs w:val="20"/>
              </w:rPr>
            </w:pPr>
          </w:p>
        </w:tc>
      </w:tr>
      <w:tr w:rsidR="00000000" w14:paraId="329793B0" w14:textId="77777777">
        <w:trPr>
          <w:divId w:val="1739597558"/>
        </w:trPr>
        <w:tc>
          <w:tcPr>
            <w:tcW w:w="0" w:type="auto"/>
            <w:gridSpan w:val="3"/>
            <w:shd w:val="clear" w:color="auto" w:fill="FFFFFF"/>
            <w:tcMar>
              <w:top w:w="30" w:type="dxa"/>
              <w:left w:w="20" w:type="dxa"/>
              <w:bottom w:w="30" w:type="dxa"/>
              <w:right w:w="20" w:type="dxa"/>
            </w:tcMar>
            <w:vAlign w:val="center"/>
            <w:hideMark/>
          </w:tcPr>
          <w:p w14:paraId="76381C2A" w14:textId="77777777" w:rsidR="00000000" w:rsidRDefault="00405D16">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619D755C"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0AC3F3C" w14:textId="77777777" w:rsidR="00000000" w:rsidRDefault="00405D16">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B02C175"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3C46544" w14:textId="77777777" w:rsidR="00000000" w:rsidRDefault="00405D16">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06DD1A6" w14:textId="77777777" w:rsidR="00000000" w:rsidRDefault="00405D16">
            <w:pPr>
              <w:spacing w:after="100"/>
              <w:jc w:val="right"/>
              <w:rPr>
                <w:rFonts w:eastAsia="Times New Roman"/>
              </w:rPr>
            </w:pPr>
            <w:r>
              <w:rPr>
                <w:rFonts w:eastAsia="Times New Roman"/>
                <w:color w:val="000000"/>
                <w:sz w:val="18"/>
                <w:szCs w:val="18"/>
              </w:rPr>
              <w:t>100 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0108F05" w14:textId="77777777" w:rsidR="00000000" w:rsidRDefault="00405D16">
            <w:pPr>
              <w:spacing w:after="100"/>
              <w:jc w:val="right"/>
              <w:rPr>
                <w:rFonts w:eastAsia="Times New Roman"/>
              </w:rPr>
            </w:pPr>
            <w:r>
              <w:rPr>
                <w:rFonts w:eastAsia="Times New Roman"/>
                <w:color w:val="000000"/>
                <w:sz w:val="18"/>
                <w:szCs w:val="18"/>
              </w:rPr>
              <w:t>%</w:t>
            </w:r>
          </w:p>
        </w:tc>
        <w:tc>
          <w:tcPr>
            <w:tcW w:w="0" w:type="auto"/>
            <w:vAlign w:val="center"/>
            <w:hideMark/>
          </w:tcPr>
          <w:p w14:paraId="164B71C2" w14:textId="77777777" w:rsidR="00000000" w:rsidRDefault="00405D16">
            <w:pPr>
              <w:spacing w:after="100"/>
              <w:jc w:val="right"/>
              <w:rPr>
                <w:rFonts w:eastAsia="Times New Roman"/>
              </w:rPr>
            </w:pPr>
          </w:p>
        </w:tc>
        <w:tc>
          <w:tcPr>
            <w:tcW w:w="0" w:type="auto"/>
            <w:vAlign w:val="center"/>
            <w:hideMark/>
          </w:tcPr>
          <w:p w14:paraId="6757E921" w14:textId="77777777" w:rsidR="00000000" w:rsidRDefault="00405D16">
            <w:pPr>
              <w:spacing w:after="100"/>
              <w:rPr>
                <w:rFonts w:eastAsia="Times New Roman"/>
                <w:sz w:val="20"/>
                <w:szCs w:val="20"/>
              </w:rPr>
            </w:pPr>
          </w:p>
        </w:tc>
      </w:tr>
      <w:tr w:rsidR="00000000" w14:paraId="36EFDCA1" w14:textId="77777777">
        <w:trPr>
          <w:divId w:val="1739597558"/>
        </w:trPr>
        <w:tc>
          <w:tcPr>
            <w:tcW w:w="0" w:type="auto"/>
            <w:gridSpan w:val="3"/>
            <w:shd w:val="clear" w:color="auto" w:fill="CCEEFF"/>
            <w:tcMar>
              <w:top w:w="30" w:type="dxa"/>
              <w:left w:w="20" w:type="dxa"/>
              <w:bottom w:w="30" w:type="dxa"/>
              <w:right w:w="20" w:type="dxa"/>
            </w:tcMar>
            <w:vAlign w:val="center"/>
            <w:hideMark/>
          </w:tcPr>
          <w:p w14:paraId="7C09A27F" w14:textId="77777777" w:rsidR="00000000" w:rsidRDefault="00405D16">
            <w:pPr>
              <w:spacing w:after="100"/>
              <w:divId w:val="1580167910"/>
              <w:rPr>
                <w:rFonts w:eastAsia="Times New Roman"/>
              </w:rPr>
            </w:pPr>
            <w:r>
              <w:rPr>
                <w:rFonts w:eastAsia="Times New Roman"/>
                <w:b/>
                <w:bCs/>
                <w:color w:val="000000"/>
                <w:sz w:val="18"/>
                <w:szCs w:val="18"/>
              </w:rPr>
              <w:t>Auto</w:t>
            </w:r>
            <w:r>
              <w:rPr>
                <w:rFonts w:eastAsia="Times New Roman"/>
                <w:color w:val="000000"/>
                <w:sz w:val="18"/>
                <w:szCs w:val="18"/>
              </w:rPr>
              <w:t>—</w:t>
            </w:r>
            <w:r>
              <w:rPr>
                <w:rFonts w:eastAsia="Times New Roman"/>
                <w:b/>
                <w:bCs/>
                <w:color w:val="000000"/>
                <w:sz w:val="18"/>
                <w:szCs w:val="18"/>
              </w:rPr>
              <w:t>At origination FICO scores</w:t>
            </w:r>
            <w:r>
              <w:rPr>
                <w:rFonts w:eastAsia="Times New Roman"/>
                <w:b/>
                <w:bCs/>
                <w:color w:val="000000"/>
                <w:sz w:val="18"/>
                <w:szCs w:val="18"/>
              </w:rPr>
              <w:t>:</w:t>
            </w:r>
            <w:r>
              <w:rPr>
                <w:rFonts w:eastAsia="Times New Roman"/>
                <w:b/>
                <w:bCs/>
                <w:color w:val="000000"/>
                <w:sz w:val="12"/>
                <w:szCs w:val="12"/>
              </w:rPr>
              <w:t>(2</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18ABE0FE" w14:textId="77777777" w:rsidR="00000000" w:rsidRDefault="00405D16">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4E337A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DBEC05"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EFA658A" w14:textId="77777777" w:rsidR="00000000" w:rsidRDefault="00405D16">
            <w:pPr>
              <w:spacing w:after="100"/>
              <w:rPr>
                <w:rFonts w:eastAsia="Times New Roman"/>
                <w:sz w:val="20"/>
                <w:szCs w:val="20"/>
              </w:rPr>
            </w:pPr>
          </w:p>
        </w:tc>
        <w:tc>
          <w:tcPr>
            <w:tcW w:w="0" w:type="auto"/>
            <w:vAlign w:val="center"/>
            <w:hideMark/>
          </w:tcPr>
          <w:p w14:paraId="1716445D" w14:textId="77777777" w:rsidR="00000000" w:rsidRDefault="00405D16">
            <w:pPr>
              <w:spacing w:after="100"/>
              <w:rPr>
                <w:rFonts w:eastAsia="Times New Roman"/>
                <w:sz w:val="20"/>
                <w:szCs w:val="20"/>
              </w:rPr>
            </w:pPr>
          </w:p>
        </w:tc>
        <w:tc>
          <w:tcPr>
            <w:tcW w:w="0" w:type="auto"/>
            <w:vAlign w:val="center"/>
            <w:hideMark/>
          </w:tcPr>
          <w:p w14:paraId="4C49668C" w14:textId="77777777" w:rsidR="00000000" w:rsidRDefault="00405D16">
            <w:pPr>
              <w:spacing w:after="100"/>
              <w:rPr>
                <w:rFonts w:eastAsia="Times New Roman"/>
                <w:sz w:val="20"/>
                <w:szCs w:val="20"/>
              </w:rPr>
            </w:pPr>
          </w:p>
        </w:tc>
      </w:tr>
      <w:tr w:rsidR="00000000" w14:paraId="2F866FA6" w14:textId="77777777">
        <w:trPr>
          <w:divId w:val="1739597558"/>
        </w:trPr>
        <w:tc>
          <w:tcPr>
            <w:tcW w:w="0" w:type="auto"/>
            <w:gridSpan w:val="3"/>
            <w:shd w:val="clear" w:color="auto" w:fill="FFFFFF"/>
            <w:tcMar>
              <w:top w:w="30" w:type="dxa"/>
              <w:left w:w="245" w:type="dxa"/>
              <w:bottom w:w="30" w:type="dxa"/>
              <w:right w:w="20" w:type="dxa"/>
            </w:tcMar>
            <w:vAlign w:val="center"/>
            <w:hideMark/>
          </w:tcPr>
          <w:p w14:paraId="2AEFE92D" w14:textId="77777777" w:rsidR="00000000" w:rsidRDefault="00405D16">
            <w:pPr>
              <w:spacing w:after="100"/>
              <w:rPr>
                <w:rFonts w:eastAsia="Times New Roman"/>
              </w:rPr>
            </w:pPr>
            <w:r>
              <w:rPr>
                <w:rFonts w:eastAsia="Times New Roman"/>
                <w:color w:val="000000"/>
                <w:sz w:val="18"/>
                <w:szCs w:val="18"/>
              </w:rPr>
              <w:t>Greater than 660</w:t>
            </w:r>
          </w:p>
        </w:tc>
        <w:tc>
          <w:tcPr>
            <w:tcW w:w="0" w:type="auto"/>
            <w:gridSpan w:val="3"/>
            <w:shd w:val="clear" w:color="auto" w:fill="FFFFFF"/>
            <w:tcMar>
              <w:top w:w="0" w:type="dxa"/>
              <w:left w:w="20" w:type="dxa"/>
              <w:bottom w:w="0" w:type="dxa"/>
              <w:right w:w="20" w:type="dxa"/>
            </w:tcMar>
            <w:vAlign w:val="center"/>
            <w:hideMark/>
          </w:tcPr>
          <w:p w14:paraId="50D13146"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45C20AD" w14:textId="77777777" w:rsidR="00000000" w:rsidRDefault="00405D16">
            <w:pPr>
              <w:spacing w:after="100"/>
              <w:jc w:val="right"/>
              <w:rPr>
                <w:rFonts w:eastAsia="Times New Roman"/>
              </w:rPr>
            </w:pPr>
            <w:r>
              <w:rPr>
                <w:rFonts w:eastAsia="Times New Roman"/>
                <w:b/>
                <w:bCs/>
                <w:color w:val="000000"/>
                <w:sz w:val="18"/>
                <w:szCs w:val="18"/>
              </w:rPr>
              <w:t>49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D5E42F2"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43B1D4D"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ADFCF36" w14:textId="77777777" w:rsidR="00000000" w:rsidRDefault="00405D16">
            <w:pPr>
              <w:spacing w:after="100"/>
              <w:jc w:val="right"/>
              <w:rPr>
                <w:rFonts w:eastAsia="Times New Roman"/>
              </w:rPr>
            </w:pPr>
            <w:r>
              <w:rPr>
                <w:rFonts w:eastAsia="Times New Roman"/>
                <w:color w:val="000000"/>
                <w:sz w:val="18"/>
                <w:szCs w:val="18"/>
              </w:rPr>
              <w:t>46 </w:t>
            </w:r>
          </w:p>
        </w:tc>
        <w:tc>
          <w:tcPr>
            <w:tcW w:w="0" w:type="auto"/>
            <w:shd w:val="clear" w:color="auto" w:fill="FFFFFF"/>
            <w:tcMar>
              <w:top w:w="30" w:type="dxa"/>
              <w:left w:w="0" w:type="dxa"/>
              <w:bottom w:w="30" w:type="dxa"/>
              <w:right w:w="20" w:type="dxa"/>
            </w:tcMar>
            <w:vAlign w:val="center"/>
            <w:hideMark/>
          </w:tcPr>
          <w:p w14:paraId="271D4C52" w14:textId="77777777" w:rsidR="00000000" w:rsidRDefault="00405D16">
            <w:pPr>
              <w:spacing w:after="100"/>
              <w:jc w:val="right"/>
              <w:rPr>
                <w:rFonts w:eastAsia="Times New Roman"/>
              </w:rPr>
            </w:pPr>
            <w:r>
              <w:rPr>
                <w:rFonts w:eastAsia="Times New Roman"/>
                <w:color w:val="000000"/>
                <w:sz w:val="18"/>
                <w:szCs w:val="18"/>
              </w:rPr>
              <w:t>%</w:t>
            </w:r>
          </w:p>
        </w:tc>
        <w:tc>
          <w:tcPr>
            <w:tcW w:w="0" w:type="auto"/>
            <w:vAlign w:val="center"/>
            <w:hideMark/>
          </w:tcPr>
          <w:p w14:paraId="2A05A973" w14:textId="77777777" w:rsidR="00000000" w:rsidRDefault="00405D16">
            <w:pPr>
              <w:spacing w:after="100"/>
              <w:jc w:val="right"/>
              <w:rPr>
                <w:rFonts w:eastAsia="Times New Roman"/>
              </w:rPr>
            </w:pPr>
          </w:p>
        </w:tc>
        <w:tc>
          <w:tcPr>
            <w:tcW w:w="0" w:type="auto"/>
            <w:vAlign w:val="center"/>
            <w:hideMark/>
          </w:tcPr>
          <w:p w14:paraId="36427B71" w14:textId="77777777" w:rsidR="00000000" w:rsidRDefault="00405D16">
            <w:pPr>
              <w:spacing w:after="100"/>
              <w:rPr>
                <w:rFonts w:eastAsia="Times New Roman"/>
                <w:sz w:val="20"/>
                <w:szCs w:val="20"/>
              </w:rPr>
            </w:pPr>
          </w:p>
        </w:tc>
      </w:tr>
      <w:tr w:rsidR="00000000" w14:paraId="5555B398" w14:textId="77777777">
        <w:trPr>
          <w:divId w:val="1739597558"/>
        </w:trPr>
        <w:tc>
          <w:tcPr>
            <w:tcW w:w="0" w:type="auto"/>
            <w:gridSpan w:val="3"/>
            <w:shd w:val="clear" w:color="auto" w:fill="CCEEFF"/>
            <w:tcMar>
              <w:top w:w="30" w:type="dxa"/>
              <w:left w:w="245" w:type="dxa"/>
              <w:bottom w:w="30" w:type="dxa"/>
              <w:right w:w="20" w:type="dxa"/>
            </w:tcMar>
            <w:vAlign w:val="center"/>
            <w:hideMark/>
          </w:tcPr>
          <w:p w14:paraId="537605BA" w14:textId="77777777" w:rsidR="00000000" w:rsidRDefault="00405D16">
            <w:pPr>
              <w:spacing w:after="100"/>
              <w:rPr>
                <w:rFonts w:eastAsia="Times New Roman"/>
              </w:rPr>
            </w:pPr>
            <w:r>
              <w:rPr>
                <w:rFonts w:eastAsia="Times New Roman"/>
                <w:color w:val="000000"/>
                <w:sz w:val="18"/>
                <w:szCs w:val="18"/>
              </w:rPr>
              <w:t>621 - 660</w:t>
            </w:r>
          </w:p>
        </w:tc>
        <w:tc>
          <w:tcPr>
            <w:tcW w:w="0" w:type="auto"/>
            <w:gridSpan w:val="3"/>
            <w:shd w:val="clear" w:color="auto" w:fill="CCEEFF"/>
            <w:tcMar>
              <w:top w:w="0" w:type="dxa"/>
              <w:left w:w="20" w:type="dxa"/>
              <w:bottom w:w="0" w:type="dxa"/>
              <w:right w:w="20" w:type="dxa"/>
            </w:tcMar>
            <w:vAlign w:val="center"/>
            <w:hideMark/>
          </w:tcPr>
          <w:p w14:paraId="71C682EA"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7993CBF" w14:textId="77777777" w:rsidR="00000000" w:rsidRDefault="00405D16">
            <w:pPr>
              <w:spacing w:after="100"/>
              <w:jc w:val="right"/>
              <w:rPr>
                <w:rFonts w:eastAsia="Times New Roman"/>
              </w:rPr>
            </w:pPr>
            <w:r>
              <w:rPr>
                <w:rFonts w:eastAsia="Times New Roman"/>
                <w:b/>
                <w:bCs/>
                <w:color w:val="000000"/>
                <w:sz w:val="18"/>
                <w:szCs w:val="18"/>
              </w:rPr>
              <w:t>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CBC616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F1631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4744075" w14:textId="77777777" w:rsidR="00000000" w:rsidRDefault="00405D16">
            <w:pPr>
              <w:spacing w:after="100"/>
              <w:jc w:val="right"/>
              <w:rPr>
                <w:rFonts w:eastAsia="Times New Roman"/>
              </w:rPr>
            </w:pPr>
            <w:r>
              <w:rPr>
                <w:rFonts w:eastAsia="Times New Roman"/>
                <w:color w:val="000000"/>
                <w:sz w:val="18"/>
                <w:szCs w:val="18"/>
              </w:rPr>
              <w:t>20 </w:t>
            </w:r>
          </w:p>
        </w:tc>
        <w:tc>
          <w:tcPr>
            <w:tcW w:w="0" w:type="auto"/>
            <w:shd w:val="clear" w:color="auto" w:fill="CCEEFF"/>
            <w:tcMar>
              <w:top w:w="30" w:type="dxa"/>
              <w:left w:w="0" w:type="dxa"/>
              <w:bottom w:w="30" w:type="dxa"/>
              <w:right w:w="20" w:type="dxa"/>
            </w:tcMar>
            <w:vAlign w:val="center"/>
            <w:hideMark/>
          </w:tcPr>
          <w:p w14:paraId="7AD971B6" w14:textId="77777777" w:rsidR="00000000" w:rsidRDefault="00405D16">
            <w:pPr>
              <w:spacing w:after="100"/>
              <w:jc w:val="right"/>
              <w:rPr>
                <w:rFonts w:eastAsia="Times New Roman"/>
              </w:rPr>
            </w:pPr>
          </w:p>
        </w:tc>
        <w:tc>
          <w:tcPr>
            <w:tcW w:w="0" w:type="auto"/>
            <w:vAlign w:val="center"/>
            <w:hideMark/>
          </w:tcPr>
          <w:p w14:paraId="02EC4F94" w14:textId="77777777" w:rsidR="00000000" w:rsidRDefault="00405D16">
            <w:pPr>
              <w:spacing w:after="100"/>
              <w:jc w:val="right"/>
              <w:rPr>
                <w:rFonts w:eastAsia="Times New Roman"/>
                <w:sz w:val="20"/>
                <w:szCs w:val="20"/>
              </w:rPr>
            </w:pPr>
          </w:p>
        </w:tc>
        <w:tc>
          <w:tcPr>
            <w:tcW w:w="0" w:type="auto"/>
            <w:vAlign w:val="center"/>
            <w:hideMark/>
          </w:tcPr>
          <w:p w14:paraId="3EB58901" w14:textId="77777777" w:rsidR="00000000" w:rsidRDefault="00405D16">
            <w:pPr>
              <w:spacing w:after="100"/>
              <w:rPr>
                <w:rFonts w:eastAsia="Times New Roman"/>
                <w:sz w:val="20"/>
                <w:szCs w:val="20"/>
              </w:rPr>
            </w:pPr>
          </w:p>
        </w:tc>
      </w:tr>
      <w:tr w:rsidR="00000000" w14:paraId="0E57EA9F" w14:textId="77777777">
        <w:trPr>
          <w:divId w:val="1739597558"/>
        </w:trPr>
        <w:tc>
          <w:tcPr>
            <w:tcW w:w="0" w:type="auto"/>
            <w:gridSpan w:val="3"/>
            <w:shd w:val="clear" w:color="auto" w:fill="FFFFFF"/>
            <w:tcMar>
              <w:top w:w="30" w:type="dxa"/>
              <w:left w:w="245" w:type="dxa"/>
              <w:bottom w:w="30" w:type="dxa"/>
              <w:right w:w="20" w:type="dxa"/>
            </w:tcMar>
            <w:vAlign w:val="center"/>
            <w:hideMark/>
          </w:tcPr>
          <w:p w14:paraId="53D7C2F5" w14:textId="77777777" w:rsidR="00000000" w:rsidRDefault="00405D16">
            <w:pPr>
              <w:spacing w:after="100"/>
              <w:rPr>
                <w:rFonts w:eastAsia="Times New Roman"/>
              </w:rPr>
            </w:pPr>
            <w:r>
              <w:rPr>
                <w:rFonts w:eastAsia="Times New Roman"/>
                <w:color w:val="000000"/>
                <w:sz w:val="18"/>
                <w:szCs w:val="18"/>
              </w:rPr>
              <w:t>620 or below</w:t>
            </w:r>
          </w:p>
        </w:tc>
        <w:tc>
          <w:tcPr>
            <w:tcW w:w="0" w:type="auto"/>
            <w:gridSpan w:val="3"/>
            <w:shd w:val="clear" w:color="auto" w:fill="FFFFFF"/>
            <w:tcMar>
              <w:top w:w="0" w:type="dxa"/>
              <w:left w:w="20" w:type="dxa"/>
              <w:bottom w:w="0" w:type="dxa"/>
              <w:right w:w="20" w:type="dxa"/>
            </w:tcMar>
            <w:vAlign w:val="center"/>
            <w:hideMark/>
          </w:tcPr>
          <w:p w14:paraId="175F0AB2"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42A1266" w14:textId="77777777" w:rsidR="00000000" w:rsidRDefault="00405D16">
            <w:pPr>
              <w:spacing w:after="100"/>
              <w:jc w:val="right"/>
              <w:rPr>
                <w:rFonts w:eastAsia="Times New Roman"/>
              </w:rPr>
            </w:pPr>
            <w:r>
              <w:rPr>
                <w:rFonts w:eastAsia="Times New Roman"/>
                <w:b/>
                <w:bCs/>
                <w:color w:val="000000"/>
                <w:sz w:val="18"/>
                <w:szCs w:val="18"/>
              </w:rPr>
              <w:t>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D10B4B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F0916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C07624D" w14:textId="77777777" w:rsidR="00000000" w:rsidRDefault="00405D16">
            <w:pPr>
              <w:spacing w:after="100"/>
              <w:jc w:val="right"/>
              <w:rPr>
                <w:rFonts w:eastAsia="Times New Roman"/>
              </w:rPr>
            </w:pPr>
            <w:r>
              <w:rPr>
                <w:rFonts w:eastAsia="Times New Roman"/>
                <w:color w:val="000000"/>
                <w:sz w:val="18"/>
                <w:szCs w:val="18"/>
              </w:rPr>
              <w:t>34 </w:t>
            </w:r>
          </w:p>
        </w:tc>
        <w:tc>
          <w:tcPr>
            <w:tcW w:w="0" w:type="auto"/>
            <w:shd w:val="clear" w:color="auto" w:fill="FFFFFF"/>
            <w:tcMar>
              <w:top w:w="30" w:type="dxa"/>
              <w:left w:w="0" w:type="dxa"/>
              <w:bottom w:w="30" w:type="dxa"/>
              <w:right w:w="20" w:type="dxa"/>
            </w:tcMar>
            <w:vAlign w:val="center"/>
            <w:hideMark/>
          </w:tcPr>
          <w:p w14:paraId="72531928" w14:textId="77777777" w:rsidR="00000000" w:rsidRDefault="00405D16">
            <w:pPr>
              <w:spacing w:after="100"/>
              <w:jc w:val="right"/>
              <w:rPr>
                <w:rFonts w:eastAsia="Times New Roman"/>
              </w:rPr>
            </w:pPr>
          </w:p>
        </w:tc>
        <w:tc>
          <w:tcPr>
            <w:tcW w:w="0" w:type="auto"/>
            <w:vAlign w:val="center"/>
            <w:hideMark/>
          </w:tcPr>
          <w:p w14:paraId="78F91707" w14:textId="77777777" w:rsidR="00000000" w:rsidRDefault="00405D16">
            <w:pPr>
              <w:spacing w:after="100"/>
              <w:jc w:val="right"/>
              <w:rPr>
                <w:rFonts w:eastAsia="Times New Roman"/>
                <w:sz w:val="20"/>
                <w:szCs w:val="20"/>
              </w:rPr>
            </w:pPr>
          </w:p>
        </w:tc>
        <w:tc>
          <w:tcPr>
            <w:tcW w:w="0" w:type="auto"/>
            <w:vAlign w:val="center"/>
            <w:hideMark/>
          </w:tcPr>
          <w:p w14:paraId="06F55F5B" w14:textId="77777777" w:rsidR="00000000" w:rsidRDefault="00405D16">
            <w:pPr>
              <w:spacing w:after="100"/>
              <w:rPr>
                <w:rFonts w:eastAsia="Times New Roman"/>
                <w:sz w:val="20"/>
                <w:szCs w:val="20"/>
              </w:rPr>
            </w:pPr>
          </w:p>
        </w:tc>
      </w:tr>
      <w:tr w:rsidR="00000000" w14:paraId="243BD495" w14:textId="77777777">
        <w:trPr>
          <w:divId w:val="1739597558"/>
        </w:trPr>
        <w:tc>
          <w:tcPr>
            <w:tcW w:w="0" w:type="auto"/>
            <w:gridSpan w:val="3"/>
            <w:shd w:val="clear" w:color="auto" w:fill="CCEEFF"/>
            <w:tcMar>
              <w:top w:w="30" w:type="dxa"/>
              <w:left w:w="20" w:type="dxa"/>
              <w:bottom w:w="30" w:type="dxa"/>
              <w:right w:w="20" w:type="dxa"/>
            </w:tcMar>
            <w:vAlign w:val="center"/>
            <w:hideMark/>
          </w:tcPr>
          <w:p w14:paraId="5DD090F4" w14:textId="77777777" w:rsidR="00000000" w:rsidRDefault="00405D16">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2555CD83" w14:textId="77777777" w:rsidR="00000000" w:rsidRDefault="00405D16">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7B9F181" w14:textId="77777777" w:rsidR="00000000" w:rsidRDefault="00405D16">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372D6AD"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7A28B81" w14:textId="77777777" w:rsidR="00000000" w:rsidRDefault="00405D16">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1CEB9D7" w14:textId="77777777" w:rsidR="00000000" w:rsidRDefault="00405D16">
            <w:pPr>
              <w:spacing w:after="100"/>
              <w:jc w:val="right"/>
              <w:rPr>
                <w:rFonts w:eastAsia="Times New Roman"/>
              </w:rPr>
            </w:pPr>
            <w:r>
              <w:rPr>
                <w:rFonts w:eastAsia="Times New Roman"/>
                <w:color w:val="000000"/>
                <w:sz w:val="18"/>
                <w:szCs w:val="18"/>
              </w:rPr>
              <w:t>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2BC4F1D" w14:textId="77777777" w:rsidR="00000000" w:rsidRDefault="00405D16">
            <w:pPr>
              <w:spacing w:after="100"/>
              <w:jc w:val="right"/>
              <w:rPr>
                <w:rFonts w:eastAsia="Times New Roman"/>
              </w:rPr>
            </w:pPr>
            <w:r>
              <w:rPr>
                <w:rFonts w:eastAsia="Times New Roman"/>
                <w:color w:val="000000"/>
                <w:sz w:val="18"/>
                <w:szCs w:val="18"/>
              </w:rPr>
              <w:t>%</w:t>
            </w:r>
          </w:p>
        </w:tc>
        <w:tc>
          <w:tcPr>
            <w:tcW w:w="0" w:type="auto"/>
            <w:vAlign w:val="center"/>
            <w:hideMark/>
          </w:tcPr>
          <w:p w14:paraId="7D33D57C" w14:textId="77777777" w:rsidR="00000000" w:rsidRDefault="00405D16">
            <w:pPr>
              <w:spacing w:after="100"/>
              <w:jc w:val="right"/>
              <w:rPr>
                <w:rFonts w:eastAsia="Times New Roman"/>
              </w:rPr>
            </w:pPr>
          </w:p>
        </w:tc>
        <w:tc>
          <w:tcPr>
            <w:tcW w:w="0" w:type="auto"/>
            <w:vAlign w:val="center"/>
            <w:hideMark/>
          </w:tcPr>
          <w:p w14:paraId="489200F7" w14:textId="77777777" w:rsidR="00000000" w:rsidRDefault="00405D16">
            <w:pPr>
              <w:spacing w:after="100"/>
              <w:rPr>
                <w:rFonts w:eastAsia="Times New Roman"/>
                <w:sz w:val="20"/>
                <w:szCs w:val="20"/>
              </w:rPr>
            </w:pPr>
          </w:p>
        </w:tc>
      </w:tr>
    </w:tbl>
    <w:p w14:paraId="26570B3B" w14:textId="77777777" w:rsidR="00000000" w:rsidRDefault="00405D16">
      <w:pPr>
        <w:divId w:val="1739597558"/>
        <w:rPr>
          <w:rFonts w:eastAsia="Times New Roman"/>
        </w:rPr>
      </w:pPr>
      <w:r>
        <w:rPr>
          <w:rFonts w:eastAsia="Times New Roman"/>
          <w:color w:val="000000"/>
          <w:sz w:val="20"/>
          <w:szCs w:val="20"/>
        </w:rPr>
        <w:t>__________</w:t>
      </w:r>
    </w:p>
    <w:p w14:paraId="7456ABA0" w14:textId="77777777" w:rsidR="00000000" w:rsidRDefault="00405D16">
      <w:pPr>
        <w:ind w:hanging="360"/>
        <w:jc w:val="both"/>
        <w:divId w:val="134979320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Percentages represent period-end loans held for investment in each credit score category. Domestic card credit scores generally represent FICO scores. These scores are obtained from one of the major credit bureaus at origination and are refreshed monthly t</w:t>
      </w:r>
      <w:r>
        <w:rPr>
          <w:rFonts w:eastAsia="Times New Roman"/>
          <w:color w:val="000000"/>
          <w:sz w:val="16"/>
          <w:szCs w:val="16"/>
        </w:rPr>
        <w:t>hereafter. We approximate non-FICO credit scores to comparable FICO scores for consistency purposes. Balances for which no credit score is available or the credit score is invalid are included in the 660 or below category.</w:t>
      </w:r>
    </w:p>
    <w:p w14:paraId="3C03071F" w14:textId="77777777" w:rsidR="00000000" w:rsidRDefault="00405D16">
      <w:pPr>
        <w:ind w:hanging="360"/>
        <w:jc w:val="both"/>
        <w:divId w:val="6352862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Percentages represent period-e</w:t>
      </w:r>
      <w:r>
        <w:rPr>
          <w:rFonts w:eastAsia="Times New Roman"/>
          <w:color w:val="000000"/>
          <w:sz w:val="16"/>
          <w:szCs w:val="16"/>
        </w:rPr>
        <w:t>nd loans held for investment in each credit score category. Auto credit scores generally represent average FICO scores obtained from three credit bureaus at the time of application and are not refreshed thereafter. Balances for which no credit score is ava</w:t>
      </w:r>
      <w:r>
        <w:rPr>
          <w:rFonts w:eastAsia="Times New Roman"/>
          <w:color w:val="000000"/>
          <w:sz w:val="16"/>
          <w:szCs w:val="16"/>
        </w:rPr>
        <w:t>ilable or the credit score is invalid are included in the 620 or below category.</w:t>
      </w:r>
    </w:p>
    <w:p w14:paraId="5B34FC9D" w14:textId="77777777" w:rsidR="00000000" w:rsidRDefault="00405D16">
      <w:pPr>
        <w:jc w:val="both"/>
        <w:divId w:val="1006902042"/>
        <w:rPr>
          <w:rFonts w:eastAsia="Times New Roman"/>
        </w:rPr>
      </w:pPr>
      <w:r>
        <w:rPr>
          <w:rFonts w:eastAsia="Times New Roman"/>
          <w:color w:val="000000"/>
          <w:sz w:val="20"/>
          <w:szCs w:val="20"/>
        </w:rPr>
        <w:t xml:space="preserve">We present information in the section below on the credit performance of our loan portfolio, including the key metrics we use in tracking changes in the credit quality of our loan portfolio. See “Note 3—Loans” for additional credit quality information and </w:t>
      </w:r>
      <w:r>
        <w:rPr>
          <w:rFonts w:eastAsia="Times New Roman"/>
          <w:color w:val="000000"/>
          <w:sz w:val="20"/>
          <w:szCs w:val="20"/>
        </w:rPr>
        <w:t>see “Note 1—Summary of Significant Accounting Policies” for information on our accounting policies for delinquent and nonperforming loans, charge-offs and troubled debt restructurings (“TDRs”) for each of our loan categories.</w:t>
      </w:r>
    </w:p>
    <w:p w14:paraId="1ACBF066" w14:textId="77777777" w:rsidR="00000000" w:rsidRDefault="00405D16">
      <w:pPr>
        <w:divId w:val="1230772213"/>
        <w:rPr>
          <w:rFonts w:eastAsia="Times New Roman"/>
        </w:rPr>
      </w:pPr>
      <w:r>
        <w:rPr>
          <w:rFonts w:eastAsia="Times New Roman"/>
          <w:b/>
          <w:bCs/>
          <w:i/>
          <w:iCs/>
          <w:color w:val="000000"/>
          <w:sz w:val="20"/>
          <w:szCs w:val="20"/>
        </w:rPr>
        <w:t>Delinquency Rates</w:t>
      </w:r>
    </w:p>
    <w:p w14:paraId="1CD238F9" w14:textId="77777777" w:rsidR="00000000" w:rsidRDefault="00405D16">
      <w:pPr>
        <w:jc w:val="both"/>
        <w:divId w:val="633681632"/>
        <w:rPr>
          <w:rFonts w:eastAsia="Times New Roman"/>
        </w:rPr>
      </w:pPr>
      <w:r>
        <w:rPr>
          <w:rFonts w:eastAsia="Times New Roman"/>
          <w:color w:val="000000"/>
          <w:sz w:val="20"/>
          <w:szCs w:val="20"/>
        </w:rPr>
        <w:t xml:space="preserve">We consider </w:t>
      </w:r>
      <w:r>
        <w:rPr>
          <w:rFonts w:eastAsia="Times New Roman"/>
          <w:color w:val="000000"/>
          <w:sz w:val="20"/>
          <w:szCs w:val="20"/>
        </w:rPr>
        <w:t>the entire balance of an account to be delinquent if the minimum required payment is not received by the customer’s due date, measured at each balance sheet date. Our 30+ day delinquency metrics include all loans held for investment that are 30 or more day</w:t>
      </w:r>
      <w:r>
        <w:rPr>
          <w:rFonts w:eastAsia="Times New Roman"/>
          <w:color w:val="000000"/>
          <w:sz w:val="20"/>
          <w:szCs w:val="20"/>
        </w:rPr>
        <w:t>s past due, whereas our 30+ day performing delinquency metrics include all loans held for investment that are 30 or more days past due but are currently classified as performing and accruing interest. The 30+ day delinquency and 30+ day performing delinque</w:t>
      </w:r>
      <w:r>
        <w:rPr>
          <w:rFonts w:eastAsia="Times New Roman"/>
          <w:color w:val="000000"/>
          <w:sz w:val="20"/>
          <w:szCs w:val="20"/>
        </w:rPr>
        <w:t xml:space="preserve">ncy metrics are the same for domestic credit card loans, as we continue to classify these loans as performing until the account is charged off, typically when the account is 180 days past due. See “Note 1—Summary of Significant Accounting Policies” in our </w:t>
      </w:r>
      <w:r>
        <w:rPr>
          <w:rFonts w:eastAsia="Times New Roman"/>
          <w:color w:val="000000"/>
          <w:sz w:val="20"/>
          <w:szCs w:val="20"/>
        </w:rPr>
        <w:t xml:space="preserve">2020 Form 10-K for information on our policies for classifying loans as nonperforming for each of our loan categories. We provide additional information on our credit quality metrics in “MD&amp;A—Business Segment Financial Performance.”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43285DA3" w14:textId="77777777">
        <w:trPr>
          <w:divId w:val="1361083241"/>
          <w:jc w:val="center"/>
        </w:trPr>
        <w:tc>
          <w:tcPr>
            <w:tcW w:w="50" w:type="pct"/>
            <w:vAlign w:val="center"/>
            <w:hideMark/>
          </w:tcPr>
          <w:p w14:paraId="47E0599C" w14:textId="77777777" w:rsidR="00000000" w:rsidRDefault="00405D16">
            <w:pPr>
              <w:jc w:val="both"/>
              <w:rPr>
                <w:rFonts w:eastAsia="Times New Roman"/>
              </w:rPr>
            </w:pPr>
          </w:p>
        </w:tc>
        <w:tc>
          <w:tcPr>
            <w:tcW w:w="1606" w:type="pct"/>
            <w:vAlign w:val="center"/>
            <w:hideMark/>
          </w:tcPr>
          <w:p w14:paraId="04DA9582" w14:textId="77777777" w:rsidR="00000000" w:rsidRDefault="00405D16">
            <w:pPr>
              <w:spacing w:after="100"/>
              <w:rPr>
                <w:rFonts w:eastAsia="Times New Roman"/>
                <w:sz w:val="20"/>
                <w:szCs w:val="20"/>
              </w:rPr>
            </w:pPr>
          </w:p>
        </w:tc>
        <w:tc>
          <w:tcPr>
            <w:tcW w:w="5" w:type="pct"/>
            <w:vAlign w:val="center"/>
            <w:hideMark/>
          </w:tcPr>
          <w:p w14:paraId="50A65BEA" w14:textId="77777777" w:rsidR="00000000" w:rsidRDefault="00405D16">
            <w:pPr>
              <w:spacing w:after="100"/>
              <w:rPr>
                <w:rFonts w:eastAsia="Times New Roman"/>
                <w:sz w:val="20"/>
                <w:szCs w:val="20"/>
              </w:rPr>
            </w:pPr>
          </w:p>
        </w:tc>
        <w:tc>
          <w:tcPr>
            <w:tcW w:w="50" w:type="pct"/>
            <w:vAlign w:val="center"/>
            <w:hideMark/>
          </w:tcPr>
          <w:p w14:paraId="192108FC" w14:textId="77777777" w:rsidR="00000000" w:rsidRDefault="00405D16">
            <w:pPr>
              <w:spacing w:after="100"/>
              <w:rPr>
                <w:rFonts w:eastAsia="Times New Roman"/>
                <w:sz w:val="20"/>
                <w:szCs w:val="20"/>
              </w:rPr>
            </w:pPr>
          </w:p>
        </w:tc>
        <w:tc>
          <w:tcPr>
            <w:tcW w:w="1614" w:type="pct"/>
            <w:vAlign w:val="center"/>
            <w:hideMark/>
          </w:tcPr>
          <w:p w14:paraId="23627162" w14:textId="77777777" w:rsidR="00000000" w:rsidRDefault="00405D16">
            <w:pPr>
              <w:spacing w:after="100"/>
              <w:rPr>
                <w:rFonts w:eastAsia="Times New Roman"/>
                <w:sz w:val="20"/>
                <w:szCs w:val="20"/>
              </w:rPr>
            </w:pPr>
          </w:p>
        </w:tc>
        <w:tc>
          <w:tcPr>
            <w:tcW w:w="5" w:type="pct"/>
            <w:vAlign w:val="center"/>
            <w:hideMark/>
          </w:tcPr>
          <w:p w14:paraId="12A47B2B" w14:textId="77777777" w:rsidR="00000000" w:rsidRDefault="00405D16">
            <w:pPr>
              <w:spacing w:after="100"/>
              <w:rPr>
                <w:rFonts w:eastAsia="Times New Roman"/>
                <w:sz w:val="20"/>
                <w:szCs w:val="20"/>
              </w:rPr>
            </w:pPr>
          </w:p>
        </w:tc>
        <w:tc>
          <w:tcPr>
            <w:tcW w:w="50" w:type="pct"/>
            <w:vAlign w:val="center"/>
            <w:hideMark/>
          </w:tcPr>
          <w:p w14:paraId="4B15EDCC" w14:textId="77777777" w:rsidR="00000000" w:rsidRDefault="00405D16">
            <w:pPr>
              <w:spacing w:after="100"/>
              <w:rPr>
                <w:rFonts w:eastAsia="Times New Roman"/>
                <w:sz w:val="20"/>
                <w:szCs w:val="20"/>
              </w:rPr>
            </w:pPr>
          </w:p>
        </w:tc>
        <w:tc>
          <w:tcPr>
            <w:tcW w:w="1614" w:type="pct"/>
            <w:vAlign w:val="center"/>
            <w:hideMark/>
          </w:tcPr>
          <w:p w14:paraId="23508866" w14:textId="77777777" w:rsidR="00000000" w:rsidRDefault="00405D16">
            <w:pPr>
              <w:spacing w:after="100"/>
              <w:rPr>
                <w:rFonts w:eastAsia="Times New Roman"/>
                <w:sz w:val="20"/>
                <w:szCs w:val="20"/>
              </w:rPr>
            </w:pPr>
          </w:p>
        </w:tc>
        <w:tc>
          <w:tcPr>
            <w:tcW w:w="5" w:type="pct"/>
            <w:vAlign w:val="center"/>
            <w:hideMark/>
          </w:tcPr>
          <w:p w14:paraId="638D6A00" w14:textId="77777777" w:rsidR="00000000" w:rsidRDefault="00405D16">
            <w:pPr>
              <w:spacing w:after="100"/>
              <w:rPr>
                <w:rFonts w:eastAsia="Times New Roman"/>
                <w:sz w:val="20"/>
                <w:szCs w:val="20"/>
              </w:rPr>
            </w:pPr>
          </w:p>
        </w:tc>
      </w:tr>
      <w:tr w:rsidR="00000000" w14:paraId="6B55510E" w14:textId="77777777">
        <w:trPr>
          <w:divId w:val="1361083241"/>
          <w:trHeight w:val="300"/>
          <w:jc w:val="center"/>
        </w:trPr>
        <w:tc>
          <w:tcPr>
            <w:tcW w:w="0" w:type="auto"/>
            <w:gridSpan w:val="9"/>
            <w:tcMar>
              <w:top w:w="0" w:type="dxa"/>
              <w:left w:w="20" w:type="dxa"/>
              <w:bottom w:w="0" w:type="dxa"/>
              <w:right w:w="20" w:type="dxa"/>
            </w:tcMar>
            <w:vAlign w:val="center"/>
            <w:hideMark/>
          </w:tcPr>
          <w:p w14:paraId="7E9D15AC" w14:textId="77777777" w:rsidR="00000000" w:rsidRDefault="00405D16">
            <w:pPr>
              <w:spacing w:after="100"/>
              <w:rPr>
                <w:rFonts w:eastAsia="Times New Roman"/>
                <w:sz w:val="20"/>
                <w:szCs w:val="20"/>
              </w:rPr>
            </w:pPr>
          </w:p>
        </w:tc>
      </w:tr>
      <w:tr w:rsidR="00000000" w14:paraId="0B9A6E0C" w14:textId="77777777">
        <w:trPr>
          <w:divId w:val="1361083241"/>
          <w:jc w:val="center"/>
        </w:trPr>
        <w:tc>
          <w:tcPr>
            <w:tcW w:w="0" w:type="auto"/>
            <w:gridSpan w:val="3"/>
            <w:tcMar>
              <w:top w:w="0" w:type="dxa"/>
              <w:left w:w="20" w:type="dxa"/>
              <w:bottom w:w="0" w:type="dxa"/>
              <w:right w:w="20" w:type="dxa"/>
            </w:tcMar>
            <w:vAlign w:val="center"/>
            <w:hideMark/>
          </w:tcPr>
          <w:p w14:paraId="431383BE"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EB1DB06" w14:textId="77777777" w:rsidR="00000000" w:rsidRDefault="00405D16">
            <w:pPr>
              <w:spacing w:after="100"/>
              <w:jc w:val="center"/>
              <w:rPr>
                <w:rFonts w:eastAsia="Times New Roman"/>
              </w:rPr>
            </w:pPr>
            <w:r>
              <w:rPr>
                <w:rFonts w:eastAsia="Times New Roman"/>
                <w:color w:val="000000"/>
                <w:sz w:val="16"/>
                <w:szCs w:val="16"/>
              </w:rPr>
              <w:t>43</w:t>
            </w:r>
          </w:p>
        </w:tc>
        <w:tc>
          <w:tcPr>
            <w:tcW w:w="0" w:type="auto"/>
            <w:gridSpan w:val="3"/>
            <w:tcMar>
              <w:top w:w="30" w:type="dxa"/>
              <w:left w:w="20" w:type="dxa"/>
              <w:bottom w:w="30" w:type="dxa"/>
              <w:right w:w="20" w:type="dxa"/>
            </w:tcMar>
            <w:vAlign w:val="bottom"/>
            <w:hideMark/>
          </w:tcPr>
          <w:p w14:paraId="682C6E90"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3E7C6CC5" w14:textId="77777777" w:rsidR="00000000" w:rsidRDefault="00405D16">
      <w:pPr>
        <w:rPr>
          <w:rFonts w:eastAsia="Times New Roman"/>
        </w:rPr>
      </w:pPr>
      <w:r>
        <w:rPr>
          <w:rFonts w:eastAsia="Times New Roman"/>
        </w:rPr>
        <w:pict w14:anchorId="68D25C63">
          <v:rect id="_x0000_i1068" style="width:0;height:1.5pt" o:hralign="center" o:hrstd="t" o:hr="t" fillcolor="#a0a0a0" stroked="f"/>
        </w:pict>
      </w:r>
    </w:p>
    <w:p w14:paraId="46659410" w14:textId="77777777" w:rsidR="00000000" w:rsidRDefault="00405D16">
      <w:pPr>
        <w:ind w:hanging="360"/>
        <w:jc w:val="both"/>
        <w:divId w:val="630017602"/>
        <w:rPr>
          <w:rFonts w:eastAsia="Times New Roman"/>
        </w:rPr>
      </w:pPr>
      <w:hyperlink w:anchor="idd54a04a485440b4ab4e56094c14d612_13" w:history="1">
        <w:r>
          <w:rPr>
            <w:rStyle w:val="a3"/>
            <w:rFonts w:eastAsia="Times New Roman"/>
            <w:sz w:val="16"/>
            <w:szCs w:val="16"/>
          </w:rPr>
          <w:t>Table of Contents</w:t>
        </w:r>
      </w:hyperlink>
    </w:p>
    <w:p w14:paraId="41EE0321" w14:textId="77777777" w:rsidR="00000000" w:rsidRDefault="00405D16">
      <w:pPr>
        <w:jc w:val="both"/>
        <w:divId w:val="1761750188"/>
        <w:rPr>
          <w:rFonts w:eastAsia="Times New Roman"/>
        </w:rPr>
      </w:pPr>
      <w:r>
        <w:rPr>
          <w:rFonts w:eastAsia="Times New Roman"/>
          <w:color w:val="000000"/>
          <w:sz w:val="20"/>
          <w:szCs w:val="20"/>
        </w:rPr>
        <w:t>Table 23 presents our 30+ day performing delinquency rates and 30+ day delinquency rates of our portfolio of loans held for investment, by portfolio segment, as of September 30, 2021 and December 31, 2020.</w:t>
      </w:r>
    </w:p>
    <w:p w14:paraId="62FAD03E" w14:textId="77777777" w:rsidR="00000000" w:rsidRDefault="00405D16">
      <w:pPr>
        <w:divId w:val="1568958934"/>
        <w:rPr>
          <w:rFonts w:eastAsia="Times New Roman"/>
        </w:rPr>
      </w:pPr>
      <w:r>
        <w:rPr>
          <w:rFonts w:eastAsia="Times New Roman"/>
          <w:b/>
          <w:bCs/>
          <w:color w:val="000000"/>
          <w:sz w:val="18"/>
          <w:szCs w:val="18"/>
        </w:rPr>
        <w:t>Table 23: 30+ Day Delinquencies</w:t>
      </w:r>
    </w:p>
    <w:tbl>
      <w:tblPr>
        <w:tblW w:w="4978" w:type="pct"/>
        <w:tblCellMar>
          <w:top w:w="15" w:type="dxa"/>
          <w:left w:w="15" w:type="dxa"/>
          <w:bottom w:w="15" w:type="dxa"/>
          <w:right w:w="15" w:type="dxa"/>
        </w:tblCellMar>
        <w:tblLook w:val="04A0" w:firstRow="1" w:lastRow="0" w:firstColumn="1" w:lastColumn="0" w:noHBand="0" w:noVBand="1"/>
      </w:tblPr>
      <w:tblGrid>
        <w:gridCol w:w="39"/>
        <w:gridCol w:w="2092"/>
        <w:gridCol w:w="38"/>
        <w:gridCol w:w="36"/>
        <w:gridCol w:w="36"/>
        <w:gridCol w:w="36"/>
        <w:gridCol w:w="112"/>
        <w:gridCol w:w="508"/>
        <w:gridCol w:w="38"/>
        <w:gridCol w:w="37"/>
        <w:gridCol w:w="36"/>
        <w:gridCol w:w="36"/>
        <w:gridCol w:w="67"/>
        <w:gridCol w:w="398"/>
        <w:gridCol w:w="200"/>
        <w:gridCol w:w="36"/>
        <w:gridCol w:w="36"/>
        <w:gridCol w:w="36"/>
        <w:gridCol w:w="112"/>
        <w:gridCol w:w="508"/>
        <w:gridCol w:w="38"/>
        <w:gridCol w:w="37"/>
        <w:gridCol w:w="36"/>
        <w:gridCol w:w="36"/>
        <w:gridCol w:w="67"/>
        <w:gridCol w:w="398"/>
        <w:gridCol w:w="200"/>
        <w:gridCol w:w="36"/>
        <w:gridCol w:w="36"/>
        <w:gridCol w:w="36"/>
        <w:gridCol w:w="112"/>
        <w:gridCol w:w="508"/>
        <w:gridCol w:w="38"/>
        <w:gridCol w:w="37"/>
        <w:gridCol w:w="36"/>
        <w:gridCol w:w="36"/>
        <w:gridCol w:w="67"/>
        <w:gridCol w:w="398"/>
        <w:gridCol w:w="170"/>
        <w:gridCol w:w="36"/>
        <w:gridCol w:w="36"/>
        <w:gridCol w:w="36"/>
        <w:gridCol w:w="112"/>
        <w:gridCol w:w="508"/>
        <w:gridCol w:w="38"/>
        <w:gridCol w:w="37"/>
        <w:gridCol w:w="36"/>
        <w:gridCol w:w="36"/>
        <w:gridCol w:w="67"/>
        <w:gridCol w:w="398"/>
        <w:gridCol w:w="170"/>
      </w:tblGrid>
      <w:tr w:rsidR="00000000" w14:paraId="560D8FC4" w14:textId="77777777">
        <w:trPr>
          <w:divId w:val="1088112559"/>
        </w:trPr>
        <w:tc>
          <w:tcPr>
            <w:tcW w:w="50" w:type="pct"/>
            <w:vAlign w:val="center"/>
            <w:hideMark/>
          </w:tcPr>
          <w:p w14:paraId="4B13D0C3" w14:textId="77777777" w:rsidR="00000000" w:rsidRDefault="00405D16">
            <w:pPr>
              <w:rPr>
                <w:rFonts w:eastAsia="Times New Roman"/>
              </w:rPr>
            </w:pPr>
          </w:p>
        </w:tc>
        <w:tc>
          <w:tcPr>
            <w:tcW w:w="1831" w:type="pct"/>
            <w:vAlign w:val="center"/>
            <w:hideMark/>
          </w:tcPr>
          <w:p w14:paraId="523C9471" w14:textId="77777777" w:rsidR="00000000" w:rsidRDefault="00405D16">
            <w:pPr>
              <w:spacing w:after="100"/>
              <w:rPr>
                <w:rFonts w:eastAsia="Times New Roman"/>
                <w:sz w:val="20"/>
                <w:szCs w:val="20"/>
              </w:rPr>
            </w:pPr>
          </w:p>
        </w:tc>
        <w:tc>
          <w:tcPr>
            <w:tcW w:w="5" w:type="pct"/>
            <w:vAlign w:val="center"/>
            <w:hideMark/>
          </w:tcPr>
          <w:p w14:paraId="79179774" w14:textId="77777777" w:rsidR="00000000" w:rsidRDefault="00405D16">
            <w:pPr>
              <w:spacing w:after="100"/>
              <w:rPr>
                <w:rFonts w:eastAsia="Times New Roman"/>
                <w:sz w:val="20"/>
                <w:szCs w:val="20"/>
              </w:rPr>
            </w:pPr>
          </w:p>
        </w:tc>
        <w:tc>
          <w:tcPr>
            <w:tcW w:w="5" w:type="pct"/>
            <w:vAlign w:val="center"/>
            <w:hideMark/>
          </w:tcPr>
          <w:p w14:paraId="191A2645" w14:textId="77777777" w:rsidR="00000000" w:rsidRDefault="00405D16">
            <w:pPr>
              <w:spacing w:after="100"/>
              <w:rPr>
                <w:rFonts w:eastAsia="Times New Roman"/>
                <w:sz w:val="20"/>
                <w:szCs w:val="20"/>
              </w:rPr>
            </w:pPr>
          </w:p>
        </w:tc>
        <w:tc>
          <w:tcPr>
            <w:tcW w:w="26" w:type="pct"/>
            <w:vAlign w:val="center"/>
            <w:hideMark/>
          </w:tcPr>
          <w:p w14:paraId="1B3AD28D" w14:textId="77777777" w:rsidR="00000000" w:rsidRDefault="00405D16">
            <w:pPr>
              <w:spacing w:after="100"/>
              <w:rPr>
                <w:rFonts w:eastAsia="Times New Roman"/>
                <w:sz w:val="20"/>
                <w:szCs w:val="20"/>
              </w:rPr>
            </w:pPr>
          </w:p>
        </w:tc>
        <w:tc>
          <w:tcPr>
            <w:tcW w:w="5" w:type="pct"/>
            <w:vAlign w:val="center"/>
            <w:hideMark/>
          </w:tcPr>
          <w:p w14:paraId="3AAC2884" w14:textId="77777777" w:rsidR="00000000" w:rsidRDefault="00405D16">
            <w:pPr>
              <w:spacing w:after="100"/>
              <w:rPr>
                <w:rFonts w:eastAsia="Times New Roman"/>
                <w:sz w:val="20"/>
                <w:szCs w:val="20"/>
              </w:rPr>
            </w:pPr>
          </w:p>
        </w:tc>
        <w:tc>
          <w:tcPr>
            <w:tcW w:w="50" w:type="pct"/>
            <w:vAlign w:val="center"/>
            <w:hideMark/>
          </w:tcPr>
          <w:p w14:paraId="799B19C1" w14:textId="77777777" w:rsidR="00000000" w:rsidRDefault="00405D16">
            <w:pPr>
              <w:spacing w:after="100"/>
              <w:rPr>
                <w:rFonts w:eastAsia="Times New Roman"/>
                <w:sz w:val="20"/>
                <w:szCs w:val="20"/>
              </w:rPr>
            </w:pPr>
          </w:p>
        </w:tc>
        <w:tc>
          <w:tcPr>
            <w:tcW w:w="297" w:type="pct"/>
            <w:vAlign w:val="center"/>
            <w:hideMark/>
          </w:tcPr>
          <w:p w14:paraId="4E37FE18" w14:textId="77777777" w:rsidR="00000000" w:rsidRDefault="00405D16">
            <w:pPr>
              <w:spacing w:after="100"/>
              <w:rPr>
                <w:rFonts w:eastAsia="Times New Roman"/>
                <w:sz w:val="20"/>
                <w:szCs w:val="20"/>
              </w:rPr>
            </w:pPr>
          </w:p>
        </w:tc>
        <w:tc>
          <w:tcPr>
            <w:tcW w:w="5" w:type="pct"/>
            <w:vAlign w:val="center"/>
            <w:hideMark/>
          </w:tcPr>
          <w:p w14:paraId="551BB7A8" w14:textId="77777777" w:rsidR="00000000" w:rsidRDefault="00405D16">
            <w:pPr>
              <w:spacing w:after="100"/>
              <w:rPr>
                <w:rFonts w:eastAsia="Times New Roman"/>
                <w:sz w:val="20"/>
                <w:szCs w:val="20"/>
              </w:rPr>
            </w:pPr>
          </w:p>
        </w:tc>
        <w:tc>
          <w:tcPr>
            <w:tcW w:w="5" w:type="pct"/>
            <w:vAlign w:val="center"/>
            <w:hideMark/>
          </w:tcPr>
          <w:p w14:paraId="2361992D" w14:textId="77777777" w:rsidR="00000000" w:rsidRDefault="00405D16">
            <w:pPr>
              <w:spacing w:after="100"/>
              <w:rPr>
                <w:rFonts w:eastAsia="Times New Roman"/>
                <w:sz w:val="20"/>
                <w:szCs w:val="20"/>
              </w:rPr>
            </w:pPr>
          </w:p>
        </w:tc>
        <w:tc>
          <w:tcPr>
            <w:tcW w:w="26" w:type="pct"/>
            <w:vAlign w:val="center"/>
            <w:hideMark/>
          </w:tcPr>
          <w:p w14:paraId="723E1176" w14:textId="77777777" w:rsidR="00000000" w:rsidRDefault="00405D16">
            <w:pPr>
              <w:spacing w:after="100"/>
              <w:rPr>
                <w:rFonts w:eastAsia="Times New Roman"/>
                <w:sz w:val="20"/>
                <w:szCs w:val="20"/>
              </w:rPr>
            </w:pPr>
          </w:p>
        </w:tc>
        <w:tc>
          <w:tcPr>
            <w:tcW w:w="5" w:type="pct"/>
            <w:vAlign w:val="center"/>
            <w:hideMark/>
          </w:tcPr>
          <w:p w14:paraId="5230CBF6" w14:textId="77777777" w:rsidR="00000000" w:rsidRDefault="00405D16">
            <w:pPr>
              <w:spacing w:after="100"/>
              <w:rPr>
                <w:rFonts w:eastAsia="Times New Roman"/>
                <w:sz w:val="20"/>
                <w:szCs w:val="20"/>
              </w:rPr>
            </w:pPr>
          </w:p>
        </w:tc>
        <w:tc>
          <w:tcPr>
            <w:tcW w:w="50" w:type="pct"/>
            <w:vAlign w:val="center"/>
            <w:hideMark/>
          </w:tcPr>
          <w:p w14:paraId="350D6C04" w14:textId="77777777" w:rsidR="00000000" w:rsidRDefault="00405D16">
            <w:pPr>
              <w:spacing w:after="100"/>
              <w:rPr>
                <w:rFonts w:eastAsia="Times New Roman"/>
                <w:sz w:val="20"/>
                <w:szCs w:val="20"/>
              </w:rPr>
            </w:pPr>
          </w:p>
        </w:tc>
        <w:tc>
          <w:tcPr>
            <w:tcW w:w="297" w:type="pct"/>
            <w:vAlign w:val="center"/>
            <w:hideMark/>
          </w:tcPr>
          <w:p w14:paraId="5EF5B283" w14:textId="77777777" w:rsidR="00000000" w:rsidRDefault="00405D16">
            <w:pPr>
              <w:spacing w:after="100"/>
              <w:rPr>
                <w:rFonts w:eastAsia="Times New Roman"/>
                <w:sz w:val="20"/>
                <w:szCs w:val="20"/>
              </w:rPr>
            </w:pPr>
          </w:p>
        </w:tc>
        <w:tc>
          <w:tcPr>
            <w:tcW w:w="5" w:type="pct"/>
            <w:vAlign w:val="center"/>
            <w:hideMark/>
          </w:tcPr>
          <w:p w14:paraId="12CE3C5C" w14:textId="77777777" w:rsidR="00000000" w:rsidRDefault="00405D16">
            <w:pPr>
              <w:spacing w:after="100"/>
              <w:rPr>
                <w:rFonts w:eastAsia="Times New Roman"/>
                <w:sz w:val="20"/>
                <w:szCs w:val="20"/>
              </w:rPr>
            </w:pPr>
          </w:p>
        </w:tc>
        <w:tc>
          <w:tcPr>
            <w:tcW w:w="5" w:type="pct"/>
            <w:vAlign w:val="center"/>
            <w:hideMark/>
          </w:tcPr>
          <w:p w14:paraId="0CEE5710" w14:textId="77777777" w:rsidR="00000000" w:rsidRDefault="00405D16">
            <w:pPr>
              <w:spacing w:after="100"/>
              <w:rPr>
                <w:rFonts w:eastAsia="Times New Roman"/>
                <w:sz w:val="20"/>
                <w:szCs w:val="20"/>
              </w:rPr>
            </w:pPr>
          </w:p>
        </w:tc>
        <w:tc>
          <w:tcPr>
            <w:tcW w:w="26" w:type="pct"/>
            <w:vAlign w:val="center"/>
            <w:hideMark/>
          </w:tcPr>
          <w:p w14:paraId="2E8EB8C9" w14:textId="77777777" w:rsidR="00000000" w:rsidRDefault="00405D16">
            <w:pPr>
              <w:spacing w:after="100"/>
              <w:rPr>
                <w:rFonts w:eastAsia="Times New Roman"/>
                <w:sz w:val="20"/>
                <w:szCs w:val="20"/>
              </w:rPr>
            </w:pPr>
          </w:p>
        </w:tc>
        <w:tc>
          <w:tcPr>
            <w:tcW w:w="5" w:type="pct"/>
            <w:vAlign w:val="center"/>
            <w:hideMark/>
          </w:tcPr>
          <w:p w14:paraId="3453C4CC" w14:textId="77777777" w:rsidR="00000000" w:rsidRDefault="00405D16">
            <w:pPr>
              <w:spacing w:after="100"/>
              <w:rPr>
                <w:rFonts w:eastAsia="Times New Roman"/>
                <w:sz w:val="20"/>
                <w:szCs w:val="20"/>
              </w:rPr>
            </w:pPr>
          </w:p>
        </w:tc>
        <w:tc>
          <w:tcPr>
            <w:tcW w:w="50" w:type="pct"/>
            <w:vAlign w:val="center"/>
            <w:hideMark/>
          </w:tcPr>
          <w:p w14:paraId="0CB18E6B" w14:textId="77777777" w:rsidR="00000000" w:rsidRDefault="00405D16">
            <w:pPr>
              <w:spacing w:after="100"/>
              <w:rPr>
                <w:rFonts w:eastAsia="Times New Roman"/>
                <w:sz w:val="20"/>
                <w:szCs w:val="20"/>
              </w:rPr>
            </w:pPr>
          </w:p>
        </w:tc>
        <w:tc>
          <w:tcPr>
            <w:tcW w:w="297" w:type="pct"/>
            <w:vAlign w:val="center"/>
            <w:hideMark/>
          </w:tcPr>
          <w:p w14:paraId="12B15D37" w14:textId="77777777" w:rsidR="00000000" w:rsidRDefault="00405D16">
            <w:pPr>
              <w:spacing w:after="100"/>
              <w:rPr>
                <w:rFonts w:eastAsia="Times New Roman"/>
                <w:sz w:val="20"/>
                <w:szCs w:val="20"/>
              </w:rPr>
            </w:pPr>
          </w:p>
        </w:tc>
        <w:tc>
          <w:tcPr>
            <w:tcW w:w="5" w:type="pct"/>
            <w:vAlign w:val="center"/>
            <w:hideMark/>
          </w:tcPr>
          <w:p w14:paraId="3951BF41" w14:textId="77777777" w:rsidR="00000000" w:rsidRDefault="00405D16">
            <w:pPr>
              <w:spacing w:after="100"/>
              <w:rPr>
                <w:rFonts w:eastAsia="Times New Roman"/>
                <w:sz w:val="20"/>
                <w:szCs w:val="20"/>
              </w:rPr>
            </w:pPr>
          </w:p>
        </w:tc>
        <w:tc>
          <w:tcPr>
            <w:tcW w:w="5" w:type="pct"/>
            <w:vAlign w:val="center"/>
            <w:hideMark/>
          </w:tcPr>
          <w:p w14:paraId="1022E3E7" w14:textId="77777777" w:rsidR="00000000" w:rsidRDefault="00405D16">
            <w:pPr>
              <w:spacing w:after="100"/>
              <w:rPr>
                <w:rFonts w:eastAsia="Times New Roman"/>
                <w:sz w:val="20"/>
                <w:szCs w:val="20"/>
              </w:rPr>
            </w:pPr>
          </w:p>
        </w:tc>
        <w:tc>
          <w:tcPr>
            <w:tcW w:w="26" w:type="pct"/>
            <w:vAlign w:val="center"/>
            <w:hideMark/>
          </w:tcPr>
          <w:p w14:paraId="258DCCBE" w14:textId="77777777" w:rsidR="00000000" w:rsidRDefault="00405D16">
            <w:pPr>
              <w:spacing w:after="100"/>
              <w:rPr>
                <w:rFonts w:eastAsia="Times New Roman"/>
                <w:sz w:val="20"/>
                <w:szCs w:val="20"/>
              </w:rPr>
            </w:pPr>
          </w:p>
        </w:tc>
        <w:tc>
          <w:tcPr>
            <w:tcW w:w="5" w:type="pct"/>
            <w:vAlign w:val="center"/>
            <w:hideMark/>
          </w:tcPr>
          <w:p w14:paraId="4BF454DD" w14:textId="77777777" w:rsidR="00000000" w:rsidRDefault="00405D16">
            <w:pPr>
              <w:spacing w:after="100"/>
              <w:rPr>
                <w:rFonts w:eastAsia="Times New Roman"/>
                <w:sz w:val="20"/>
                <w:szCs w:val="20"/>
              </w:rPr>
            </w:pPr>
          </w:p>
        </w:tc>
        <w:tc>
          <w:tcPr>
            <w:tcW w:w="50" w:type="pct"/>
            <w:vAlign w:val="center"/>
            <w:hideMark/>
          </w:tcPr>
          <w:p w14:paraId="776872D4" w14:textId="77777777" w:rsidR="00000000" w:rsidRDefault="00405D16">
            <w:pPr>
              <w:spacing w:after="100"/>
              <w:rPr>
                <w:rFonts w:eastAsia="Times New Roman"/>
                <w:sz w:val="20"/>
                <w:szCs w:val="20"/>
              </w:rPr>
            </w:pPr>
          </w:p>
        </w:tc>
        <w:tc>
          <w:tcPr>
            <w:tcW w:w="297" w:type="pct"/>
            <w:vAlign w:val="center"/>
            <w:hideMark/>
          </w:tcPr>
          <w:p w14:paraId="7D0A3954" w14:textId="77777777" w:rsidR="00000000" w:rsidRDefault="00405D16">
            <w:pPr>
              <w:spacing w:after="100"/>
              <w:rPr>
                <w:rFonts w:eastAsia="Times New Roman"/>
                <w:sz w:val="20"/>
                <w:szCs w:val="20"/>
              </w:rPr>
            </w:pPr>
          </w:p>
        </w:tc>
        <w:tc>
          <w:tcPr>
            <w:tcW w:w="5" w:type="pct"/>
            <w:vAlign w:val="center"/>
            <w:hideMark/>
          </w:tcPr>
          <w:p w14:paraId="0C4657B6" w14:textId="77777777" w:rsidR="00000000" w:rsidRDefault="00405D16">
            <w:pPr>
              <w:spacing w:after="100"/>
              <w:rPr>
                <w:rFonts w:eastAsia="Times New Roman"/>
                <w:sz w:val="20"/>
                <w:szCs w:val="20"/>
              </w:rPr>
            </w:pPr>
          </w:p>
        </w:tc>
        <w:tc>
          <w:tcPr>
            <w:tcW w:w="5" w:type="pct"/>
            <w:vAlign w:val="center"/>
            <w:hideMark/>
          </w:tcPr>
          <w:p w14:paraId="019F8EE7" w14:textId="77777777" w:rsidR="00000000" w:rsidRDefault="00405D16">
            <w:pPr>
              <w:spacing w:after="100"/>
              <w:rPr>
                <w:rFonts w:eastAsia="Times New Roman"/>
                <w:sz w:val="20"/>
                <w:szCs w:val="20"/>
              </w:rPr>
            </w:pPr>
          </w:p>
        </w:tc>
        <w:tc>
          <w:tcPr>
            <w:tcW w:w="26" w:type="pct"/>
            <w:vAlign w:val="center"/>
            <w:hideMark/>
          </w:tcPr>
          <w:p w14:paraId="6139E6B8" w14:textId="77777777" w:rsidR="00000000" w:rsidRDefault="00405D16">
            <w:pPr>
              <w:spacing w:after="100"/>
              <w:rPr>
                <w:rFonts w:eastAsia="Times New Roman"/>
                <w:sz w:val="20"/>
                <w:szCs w:val="20"/>
              </w:rPr>
            </w:pPr>
          </w:p>
        </w:tc>
        <w:tc>
          <w:tcPr>
            <w:tcW w:w="5" w:type="pct"/>
            <w:vAlign w:val="center"/>
            <w:hideMark/>
          </w:tcPr>
          <w:p w14:paraId="05550088" w14:textId="77777777" w:rsidR="00000000" w:rsidRDefault="00405D16">
            <w:pPr>
              <w:spacing w:after="100"/>
              <w:rPr>
                <w:rFonts w:eastAsia="Times New Roman"/>
                <w:sz w:val="20"/>
                <w:szCs w:val="20"/>
              </w:rPr>
            </w:pPr>
          </w:p>
        </w:tc>
        <w:tc>
          <w:tcPr>
            <w:tcW w:w="50" w:type="pct"/>
            <w:vAlign w:val="center"/>
            <w:hideMark/>
          </w:tcPr>
          <w:p w14:paraId="29021EA0" w14:textId="77777777" w:rsidR="00000000" w:rsidRDefault="00405D16">
            <w:pPr>
              <w:spacing w:after="100"/>
              <w:rPr>
                <w:rFonts w:eastAsia="Times New Roman"/>
                <w:sz w:val="20"/>
                <w:szCs w:val="20"/>
              </w:rPr>
            </w:pPr>
          </w:p>
        </w:tc>
        <w:tc>
          <w:tcPr>
            <w:tcW w:w="297" w:type="pct"/>
            <w:vAlign w:val="center"/>
            <w:hideMark/>
          </w:tcPr>
          <w:p w14:paraId="515DA2F6" w14:textId="77777777" w:rsidR="00000000" w:rsidRDefault="00405D16">
            <w:pPr>
              <w:spacing w:after="100"/>
              <w:rPr>
                <w:rFonts w:eastAsia="Times New Roman"/>
                <w:sz w:val="20"/>
                <w:szCs w:val="20"/>
              </w:rPr>
            </w:pPr>
          </w:p>
        </w:tc>
        <w:tc>
          <w:tcPr>
            <w:tcW w:w="5" w:type="pct"/>
            <w:vAlign w:val="center"/>
            <w:hideMark/>
          </w:tcPr>
          <w:p w14:paraId="1041921C" w14:textId="77777777" w:rsidR="00000000" w:rsidRDefault="00405D16">
            <w:pPr>
              <w:spacing w:after="100"/>
              <w:rPr>
                <w:rFonts w:eastAsia="Times New Roman"/>
                <w:sz w:val="20"/>
                <w:szCs w:val="20"/>
              </w:rPr>
            </w:pPr>
          </w:p>
        </w:tc>
        <w:tc>
          <w:tcPr>
            <w:tcW w:w="5" w:type="pct"/>
            <w:vAlign w:val="center"/>
            <w:hideMark/>
          </w:tcPr>
          <w:p w14:paraId="3E8EEE60" w14:textId="77777777" w:rsidR="00000000" w:rsidRDefault="00405D16">
            <w:pPr>
              <w:spacing w:after="100"/>
              <w:rPr>
                <w:rFonts w:eastAsia="Times New Roman"/>
                <w:sz w:val="20"/>
                <w:szCs w:val="20"/>
              </w:rPr>
            </w:pPr>
          </w:p>
        </w:tc>
        <w:tc>
          <w:tcPr>
            <w:tcW w:w="26" w:type="pct"/>
            <w:vAlign w:val="center"/>
            <w:hideMark/>
          </w:tcPr>
          <w:p w14:paraId="0C5BA72E" w14:textId="77777777" w:rsidR="00000000" w:rsidRDefault="00405D16">
            <w:pPr>
              <w:spacing w:after="100"/>
              <w:rPr>
                <w:rFonts w:eastAsia="Times New Roman"/>
                <w:sz w:val="20"/>
                <w:szCs w:val="20"/>
              </w:rPr>
            </w:pPr>
          </w:p>
        </w:tc>
        <w:tc>
          <w:tcPr>
            <w:tcW w:w="5" w:type="pct"/>
            <w:vAlign w:val="center"/>
            <w:hideMark/>
          </w:tcPr>
          <w:p w14:paraId="33293C12" w14:textId="77777777" w:rsidR="00000000" w:rsidRDefault="00405D16">
            <w:pPr>
              <w:spacing w:after="100"/>
              <w:rPr>
                <w:rFonts w:eastAsia="Times New Roman"/>
                <w:sz w:val="20"/>
                <w:szCs w:val="20"/>
              </w:rPr>
            </w:pPr>
          </w:p>
        </w:tc>
        <w:tc>
          <w:tcPr>
            <w:tcW w:w="50" w:type="pct"/>
            <w:vAlign w:val="center"/>
            <w:hideMark/>
          </w:tcPr>
          <w:p w14:paraId="4FF24665" w14:textId="77777777" w:rsidR="00000000" w:rsidRDefault="00405D16">
            <w:pPr>
              <w:spacing w:after="100"/>
              <w:rPr>
                <w:rFonts w:eastAsia="Times New Roman"/>
                <w:sz w:val="20"/>
                <w:szCs w:val="20"/>
              </w:rPr>
            </w:pPr>
          </w:p>
        </w:tc>
        <w:tc>
          <w:tcPr>
            <w:tcW w:w="297" w:type="pct"/>
            <w:vAlign w:val="center"/>
            <w:hideMark/>
          </w:tcPr>
          <w:p w14:paraId="1C8371F3" w14:textId="77777777" w:rsidR="00000000" w:rsidRDefault="00405D16">
            <w:pPr>
              <w:spacing w:after="100"/>
              <w:rPr>
                <w:rFonts w:eastAsia="Times New Roman"/>
                <w:sz w:val="20"/>
                <w:szCs w:val="20"/>
              </w:rPr>
            </w:pPr>
          </w:p>
        </w:tc>
        <w:tc>
          <w:tcPr>
            <w:tcW w:w="5" w:type="pct"/>
            <w:vAlign w:val="center"/>
            <w:hideMark/>
          </w:tcPr>
          <w:p w14:paraId="79B74846" w14:textId="77777777" w:rsidR="00000000" w:rsidRDefault="00405D16">
            <w:pPr>
              <w:spacing w:after="100"/>
              <w:rPr>
                <w:rFonts w:eastAsia="Times New Roman"/>
                <w:sz w:val="20"/>
                <w:szCs w:val="20"/>
              </w:rPr>
            </w:pPr>
          </w:p>
        </w:tc>
        <w:tc>
          <w:tcPr>
            <w:tcW w:w="5" w:type="pct"/>
            <w:vAlign w:val="center"/>
            <w:hideMark/>
          </w:tcPr>
          <w:p w14:paraId="075C8CD6" w14:textId="77777777" w:rsidR="00000000" w:rsidRDefault="00405D16">
            <w:pPr>
              <w:spacing w:after="100"/>
              <w:rPr>
                <w:rFonts w:eastAsia="Times New Roman"/>
                <w:sz w:val="20"/>
                <w:szCs w:val="20"/>
              </w:rPr>
            </w:pPr>
          </w:p>
        </w:tc>
        <w:tc>
          <w:tcPr>
            <w:tcW w:w="26" w:type="pct"/>
            <w:vAlign w:val="center"/>
            <w:hideMark/>
          </w:tcPr>
          <w:p w14:paraId="04939456" w14:textId="77777777" w:rsidR="00000000" w:rsidRDefault="00405D16">
            <w:pPr>
              <w:spacing w:after="100"/>
              <w:rPr>
                <w:rFonts w:eastAsia="Times New Roman"/>
                <w:sz w:val="20"/>
                <w:szCs w:val="20"/>
              </w:rPr>
            </w:pPr>
          </w:p>
        </w:tc>
        <w:tc>
          <w:tcPr>
            <w:tcW w:w="5" w:type="pct"/>
            <w:vAlign w:val="center"/>
            <w:hideMark/>
          </w:tcPr>
          <w:p w14:paraId="2CAE4943" w14:textId="77777777" w:rsidR="00000000" w:rsidRDefault="00405D16">
            <w:pPr>
              <w:spacing w:after="100"/>
              <w:rPr>
                <w:rFonts w:eastAsia="Times New Roman"/>
                <w:sz w:val="20"/>
                <w:szCs w:val="20"/>
              </w:rPr>
            </w:pPr>
          </w:p>
        </w:tc>
        <w:tc>
          <w:tcPr>
            <w:tcW w:w="50" w:type="pct"/>
            <w:vAlign w:val="center"/>
            <w:hideMark/>
          </w:tcPr>
          <w:p w14:paraId="353D54A6" w14:textId="77777777" w:rsidR="00000000" w:rsidRDefault="00405D16">
            <w:pPr>
              <w:spacing w:after="100"/>
              <w:rPr>
                <w:rFonts w:eastAsia="Times New Roman"/>
                <w:sz w:val="20"/>
                <w:szCs w:val="20"/>
              </w:rPr>
            </w:pPr>
          </w:p>
        </w:tc>
        <w:tc>
          <w:tcPr>
            <w:tcW w:w="297" w:type="pct"/>
            <w:vAlign w:val="center"/>
            <w:hideMark/>
          </w:tcPr>
          <w:p w14:paraId="0CE53ED2" w14:textId="77777777" w:rsidR="00000000" w:rsidRDefault="00405D16">
            <w:pPr>
              <w:spacing w:after="100"/>
              <w:rPr>
                <w:rFonts w:eastAsia="Times New Roman"/>
                <w:sz w:val="20"/>
                <w:szCs w:val="20"/>
              </w:rPr>
            </w:pPr>
          </w:p>
        </w:tc>
        <w:tc>
          <w:tcPr>
            <w:tcW w:w="5" w:type="pct"/>
            <w:vAlign w:val="center"/>
            <w:hideMark/>
          </w:tcPr>
          <w:p w14:paraId="51A7C1F3" w14:textId="77777777" w:rsidR="00000000" w:rsidRDefault="00405D16">
            <w:pPr>
              <w:spacing w:after="100"/>
              <w:rPr>
                <w:rFonts w:eastAsia="Times New Roman"/>
                <w:sz w:val="20"/>
                <w:szCs w:val="20"/>
              </w:rPr>
            </w:pPr>
          </w:p>
        </w:tc>
        <w:tc>
          <w:tcPr>
            <w:tcW w:w="5" w:type="pct"/>
            <w:vAlign w:val="center"/>
            <w:hideMark/>
          </w:tcPr>
          <w:p w14:paraId="2BC861F1" w14:textId="77777777" w:rsidR="00000000" w:rsidRDefault="00405D16">
            <w:pPr>
              <w:spacing w:after="100"/>
              <w:rPr>
                <w:rFonts w:eastAsia="Times New Roman"/>
                <w:sz w:val="20"/>
                <w:szCs w:val="20"/>
              </w:rPr>
            </w:pPr>
          </w:p>
        </w:tc>
        <w:tc>
          <w:tcPr>
            <w:tcW w:w="26" w:type="pct"/>
            <w:vAlign w:val="center"/>
            <w:hideMark/>
          </w:tcPr>
          <w:p w14:paraId="41622C26" w14:textId="77777777" w:rsidR="00000000" w:rsidRDefault="00405D16">
            <w:pPr>
              <w:spacing w:after="100"/>
              <w:rPr>
                <w:rFonts w:eastAsia="Times New Roman"/>
                <w:sz w:val="20"/>
                <w:szCs w:val="20"/>
              </w:rPr>
            </w:pPr>
          </w:p>
        </w:tc>
        <w:tc>
          <w:tcPr>
            <w:tcW w:w="5" w:type="pct"/>
            <w:vAlign w:val="center"/>
            <w:hideMark/>
          </w:tcPr>
          <w:p w14:paraId="6E448039" w14:textId="77777777" w:rsidR="00000000" w:rsidRDefault="00405D16">
            <w:pPr>
              <w:spacing w:after="100"/>
              <w:rPr>
                <w:rFonts w:eastAsia="Times New Roman"/>
                <w:sz w:val="20"/>
                <w:szCs w:val="20"/>
              </w:rPr>
            </w:pPr>
          </w:p>
        </w:tc>
        <w:tc>
          <w:tcPr>
            <w:tcW w:w="50" w:type="pct"/>
            <w:vAlign w:val="center"/>
            <w:hideMark/>
          </w:tcPr>
          <w:p w14:paraId="54F8036A" w14:textId="77777777" w:rsidR="00000000" w:rsidRDefault="00405D16">
            <w:pPr>
              <w:spacing w:after="100"/>
              <w:rPr>
                <w:rFonts w:eastAsia="Times New Roman"/>
                <w:sz w:val="20"/>
                <w:szCs w:val="20"/>
              </w:rPr>
            </w:pPr>
          </w:p>
        </w:tc>
        <w:tc>
          <w:tcPr>
            <w:tcW w:w="297" w:type="pct"/>
            <w:vAlign w:val="center"/>
            <w:hideMark/>
          </w:tcPr>
          <w:p w14:paraId="49A7EB53" w14:textId="77777777" w:rsidR="00000000" w:rsidRDefault="00405D16">
            <w:pPr>
              <w:spacing w:after="100"/>
              <w:rPr>
                <w:rFonts w:eastAsia="Times New Roman"/>
                <w:sz w:val="20"/>
                <w:szCs w:val="20"/>
              </w:rPr>
            </w:pPr>
          </w:p>
        </w:tc>
        <w:tc>
          <w:tcPr>
            <w:tcW w:w="5" w:type="pct"/>
            <w:vAlign w:val="center"/>
            <w:hideMark/>
          </w:tcPr>
          <w:p w14:paraId="49FBA59F" w14:textId="77777777" w:rsidR="00000000" w:rsidRDefault="00405D16">
            <w:pPr>
              <w:spacing w:after="100"/>
              <w:rPr>
                <w:rFonts w:eastAsia="Times New Roman"/>
                <w:sz w:val="20"/>
                <w:szCs w:val="20"/>
              </w:rPr>
            </w:pPr>
          </w:p>
        </w:tc>
      </w:tr>
      <w:tr w:rsidR="00000000" w14:paraId="11B342D1" w14:textId="77777777">
        <w:trPr>
          <w:divId w:val="1088112559"/>
        </w:trPr>
        <w:tc>
          <w:tcPr>
            <w:tcW w:w="0" w:type="auto"/>
            <w:gridSpan w:val="3"/>
            <w:tcMar>
              <w:top w:w="30" w:type="dxa"/>
              <w:left w:w="20" w:type="dxa"/>
              <w:bottom w:w="30" w:type="dxa"/>
              <w:right w:w="20" w:type="dxa"/>
            </w:tcMar>
            <w:vAlign w:val="bottom"/>
            <w:hideMark/>
          </w:tcPr>
          <w:p w14:paraId="61512539"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010DDF71" w14:textId="77777777" w:rsidR="00000000" w:rsidRDefault="00405D16">
            <w:pPr>
              <w:spacing w:after="100"/>
              <w:rPr>
                <w:rFonts w:eastAsia="Times New Roman"/>
              </w:rPr>
            </w:pPr>
          </w:p>
        </w:tc>
        <w:tc>
          <w:tcPr>
            <w:tcW w:w="0" w:type="auto"/>
            <w:gridSpan w:val="21"/>
            <w:tcBorders>
              <w:bottom w:val="single" w:sz="8" w:space="0" w:color="000000"/>
            </w:tcBorders>
            <w:tcMar>
              <w:top w:w="30" w:type="dxa"/>
              <w:left w:w="20" w:type="dxa"/>
              <w:bottom w:w="30" w:type="dxa"/>
              <w:right w:w="20" w:type="dxa"/>
            </w:tcMar>
            <w:vAlign w:val="center"/>
            <w:hideMark/>
          </w:tcPr>
          <w:p w14:paraId="0C419C77" w14:textId="77777777" w:rsidR="00000000" w:rsidRDefault="00405D16">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14:paraId="4C1C2D5D" w14:textId="77777777" w:rsidR="00000000" w:rsidRDefault="00405D16">
            <w:pPr>
              <w:spacing w:after="100"/>
              <w:jc w:val="center"/>
              <w:rPr>
                <w:rFonts w:eastAsia="Times New Roman"/>
              </w:rPr>
            </w:pPr>
          </w:p>
        </w:tc>
        <w:tc>
          <w:tcPr>
            <w:tcW w:w="0" w:type="auto"/>
            <w:gridSpan w:val="21"/>
            <w:tcBorders>
              <w:bottom w:val="single" w:sz="8" w:space="0" w:color="000000"/>
            </w:tcBorders>
            <w:tcMar>
              <w:top w:w="30" w:type="dxa"/>
              <w:left w:w="20" w:type="dxa"/>
              <w:bottom w:w="30" w:type="dxa"/>
              <w:right w:w="20" w:type="dxa"/>
            </w:tcMar>
            <w:vAlign w:val="center"/>
            <w:hideMark/>
          </w:tcPr>
          <w:p w14:paraId="70052D99" w14:textId="77777777" w:rsidR="00000000" w:rsidRDefault="00405D16">
            <w:pPr>
              <w:spacing w:after="100"/>
              <w:jc w:val="center"/>
              <w:rPr>
                <w:rFonts w:eastAsia="Times New Roman"/>
              </w:rPr>
            </w:pPr>
            <w:r>
              <w:rPr>
                <w:rFonts w:eastAsia="Times New Roman"/>
                <w:b/>
                <w:bCs/>
                <w:color w:val="000000"/>
                <w:sz w:val="16"/>
                <w:szCs w:val="16"/>
              </w:rPr>
              <w:t>December 31, 2020</w:t>
            </w:r>
          </w:p>
        </w:tc>
      </w:tr>
      <w:tr w:rsidR="00000000" w14:paraId="26DF0A0F" w14:textId="77777777">
        <w:trPr>
          <w:divId w:val="1088112559"/>
        </w:trPr>
        <w:tc>
          <w:tcPr>
            <w:tcW w:w="0" w:type="auto"/>
            <w:gridSpan w:val="3"/>
            <w:tcMar>
              <w:top w:w="30" w:type="dxa"/>
              <w:left w:w="20" w:type="dxa"/>
              <w:bottom w:w="30" w:type="dxa"/>
              <w:right w:w="20" w:type="dxa"/>
            </w:tcMar>
            <w:vAlign w:val="bottom"/>
            <w:hideMark/>
          </w:tcPr>
          <w:p w14:paraId="251705B3"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F425939" w14:textId="77777777" w:rsidR="00000000" w:rsidRDefault="00405D16">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center"/>
            <w:hideMark/>
          </w:tcPr>
          <w:p w14:paraId="2F65DE90" w14:textId="77777777" w:rsidR="00000000" w:rsidRDefault="00405D16">
            <w:pPr>
              <w:spacing w:after="100"/>
              <w:jc w:val="center"/>
              <w:rPr>
                <w:rFonts w:eastAsia="Times New Roman"/>
              </w:rPr>
            </w:pPr>
            <w:r>
              <w:rPr>
                <w:rFonts w:eastAsia="Times New Roman"/>
                <w:b/>
                <w:bCs/>
                <w:color w:val="000000"/>
                <w:sz w:val="16"/>
                <w:szCs w:val="16"/>
              </w:rPr>
              <w:t>30+ Day Performing Delinquencies</w:t>
            </w:r>
          </w:p>
        </w:tc>
        <w:tc>
          <w:tcPr>
            <w:tcW w:w="0" w:type="auto"/>
            <w:gridSpan w:val="3"/>
            <w:tcBorders>
              <w:top w:val="single" w:sz="8" w:space="0" w:color="000000"/>
            </w:tcBorders>
            <w:tcMar>
              <w:top w:w="0" w:type="dxa"/>
              <w:left w:w="20" w:type="dxa"/>
              <w:bottom w:w="0" w:type="dxa"/>
              <w:right w:w="20" w:type="dxa"/>
            </w:tcMar>
            <w:vAlign w:val="center"/>
            <w:hideMark/>
          </w:tcPr>
          <w:p w14:paraId="721801B7" w14:textId="77777777" w:rsidR="00000000" w:rsidRDefault="00405D16">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center"/>
            <w:hideMark/>
          </w:tcPr>
          <w:p w14:paraId="1E06CDA8" w14:textId="77777777" w:rsidR="00000000" w:rsidRDefault="00405D16">
            <w:pPr>
              <w:spacing w:after="100"/>
              <w:jc w:val="center"/>
              <w:rPr>
                <w:rFonts w:eastAsia="Times New Roman"/>
              </w:rPr>
            </w:pPr>
            <w:r>
              <w:rPr>
                <w:rFonts w:eastAsia="Times New Roman"/>
                <w:b/>
                <w:bCs/>
                <w:color w:val="000000"/>
                <w:sz w:val="16"/>
                <w:szCs w:val="16"/>
              </w:rPr>
              <w:t>30+ Day Delinquencies</w:t>
            </w:r>
          </w:p>
        </w:tc>
        <w:tc>
          <w:tcPr>
            <w:tcW w:w="0" w:type="auto"/>
            <w:gridSpan w:val="3"/>
            <w:tcMar>
              <w:top w:w="0" w:type="dxa"/>
              <w:left w:w="20" w:type="dxa"/>
              <w:bottom w:w="0" w:type="dxa"/>
              <w:right w:w="20" w:type="dxa"/>
            </w:tcMar>
            <w:vAlign w:val="center"/>
            <w:hideMark/>
          </w:tcPr>
          <w:p w14:paraId="060C6965" w14:textId="77777777" w:rsidR="00000000" w:rsidRDefault="00405D16">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center"/>
            <w:hideMark/>
          </w:tcPr>
          <w:p w14:paraId="2534067C" w14:textId="77777777" w:rsidR="00000000" w:rsidRDefault="00405D16">
            <w:pPr>
              <w:spacing w:after="100"/>
              <w:jc w:val="center"/>
              <w:rPr>
                <w:rFonts w:eastAsia="Times New Roman"/>
              </w:rPr>
            </w:pPr>
            <w:r>
              <w:rPr>
                <w:rFonts w:eastAsia="Times New Roman"/>
                <w:b/>
                <w:bCs/>
                <w:color w:val="000000"/>
                <w:sz w:val="16"/>
                <w:szCs w:val="16"/>
              </w:rPr>
              <w:t>30+ Day Performing Delinquencies</w:t>
            </w:r>
          </w:p>
        </w:tc>
        <w:tc>
          <w:tcPr>
            <w:tcW w:w="0" w:type="auto"/>
            <w:gridSpan w:val="3"/>
            <w:tcBorders>
              <w:top w:val="single" w:sz="8" w:space="0" w:color="000000"/>
            </w:tcBorders>
            <w:tcMar>
              <w:top w:w="0" w:type="dxa"/>
              <w:left w:w="20" w:type="dxa"/>
              <w:bottom w:w="0" w:type="dxa"/>
              <w:right w:w="20" w:type="dxa"/>
            </w:tcMar>
            <w:vAlign w:val="center"/>
            <w:hideMark/>
          </w:tcPr>
          <w:p w14:paraId="57E97EC3" w14:textId="77777777" w:rsidR="00000000" w:rsidRDefault="00405D16">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center"/>
            <w:hideMark/>
          </w:tcPr>
          <w:p w14:paraId="33B0F620" w14:textId="77777777" w:rsidR="00000000" w:rsidRDefault="00405D16">
            <w:pPr>
              <w:spacing w:after="100"/>
              <w:jc w:val="center"/>
              <w:rPr>
                <w:rFonts w:eastAsia="Times New Roman"/>
              </w:rPr>
            </w:pPr>
            <w:r>
              <w:rPr>
                <w:rFonts w:eastAsia="Times New Roman"/>
                <w:b/>
                <w:bCs/>
                <w:color w:val="000000"/>
                <w:sz w:val="16"/>
                <w:szCs w:val="16"/>
              </w:rPr>
              <w:t>30+ Day Delinquencies</w:t>
            </w:r>
          </w:p>
        </w:tc>
      </w:tr>
      <w:tr w:rsidR="00000000" w14:paraId="7C64A869" w14:textId="77777777">
        <w:trPr>
          <w:divId w:val="1088112559"/>
        </w:trPr>
        <w:tc>
          <w:tcPr>
            <w:tcW w:w="0" w:type="auto"/>
            <w:gridSpan w:val="3"/>
            <w:tcMar>
              <w:top w:w="30" w:type="dxa"/>
              <w:left w:w="20" w:type="dxa"/>
              <w:bottom w:w="30" w:type="dxa"/>
              <w:right w:w="20" w:type="dxa"/>
            </w:tcMar>
            <w:vAlign w:val="bottom"/>
            <w:hideMark/>
          </w:tcPr>
          <w:p w14:paraId="5591B285"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517A86AF"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648DD6C4" w14:textId="77777777" w:rsidR="00000000" w:rsidRDefault="00405D16">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14:paraId="30750C53"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15668DF1" w14:textId="77777777" w:rsidR="00000000" w:rsidRDefault="00405D16">
            <w:pPr>
              <w:spacing w:after="100"/>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1A601C76"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7430A066" w14:textId="77777777" w:rsidR="00000000" w:rsidRDefault="00405D16">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14:paraId="0886587A"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24FCF7B2" w14:textId="77777777" w:rsidR="00000000" w:rsidRDefault="00405D16">
            <w:pPr>
              <w:spacing w:after="100"/>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17B7240F"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67EF165C" w14:textId="77777777" w:rsidR="00000000" w:rsidRDefault="00405D16">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14:paraId="5A39A921"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711A2B6E" w14:textId="77777777" w:rsidR="00000000" w:rsidRDefault="00405D16">
            <w:pPr>
              <w:spacing w:after="100"/>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14011000"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07CF9F5A" w14:textId="77777777" w:rsidR="00000000" w:rsidRDefault="00405D16">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14:paraId="432100E2"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642BB8FD" w14:textId="77777777" w:rsidR="00000000" w:rsidRDefault="00405D16">
            <w:pPr>
              <w:spacing w:after="100"/>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r>
      <w:tr w:rsidR="00000000" w14:paraId="5AF7BA7F" w14:textId="77777777">
        <w:trPr>
          <w:divId w:val="108811255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C9DB091" w14:textId="77777777" w:rsidR="00000000" w:rsidRDefault="00405D16">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14:paraId="088B7E39"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A76187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964DB3"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2FA12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45EF78"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0009F1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E32C2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0220AB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01146D"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579683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9F34C1"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FB7D43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54FE73"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9B24BA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0D499D"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0CE0737" w14:textId="77777777" w:rsidR="00000000" w:rsidRDefault="00405D16">
            <w:pPr>
              <w:spacing w:after="100"/>
              <w:rPr>
                <w:rFonts w:eastAsia="Times New Roman"/>
                <w:sz w:val="20"/>
                <w:szCs w:val="20"/>
              </w:rPr>
            </w:pPr>
          </w:p>
        </w:tc>
      </w:tr>
      <w:tr w:rsidR="00405D16" w14:paraId="4D0E632F" w14:textId="77777777">
        <w:trPr>
          <w:divId w:val="1088112559"/>
        </w:trPr>
        <w:tc>
          <w:tcPr>
            <w:tcW w:w="0" w:type="auto"/>
            <w:gridSpan w:val="3"/>
            <w:shd w:val="clear" w:color="auto" w:fill="FFFFFF"/>
            <w:tcMar>
              <w:top w:w="30" w:type="dxa"/>
              <w:left w:w="245" w:type="dxa"/>
              <w:bottom w:w="30" w:type="dxa"/>
              <w:right w:w="20" w:type="dxa"/>
            </w:tcMar>
            <w:vAlign w:val="center"/>
            <w:hideMark/>
          </w:tcPr>
          <w:p w14:paraId="6CBA7B17" w14:textId="77777777" w:rsidR="00000000" w:rsidRDefault="00405D16">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14:paraId="49112335"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318079DA"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28CF729E" w14:textId="77777777" w:rsidR="00000000" w:rsidRDefault="00405D16">
            <w:pPr>
              <w:spacing w:after="100"/>
              <w:jc w:val="right"/>
              <w:rPr>
                <w:rFonts w:eastAsia="Times New Roman"/>
              </w:rPr>
            </w:pPr>
            <w:r>
              <w:rPr>
                <w:rFonts w:eastAsia="Times New Roman"/>
                <w:b/>
                <w:bCs/>
                <w:color w:val="000000"/>
                <w:sz w:val="18"/>
                <w:szCs w:val="18"/>
              </w:rPr>
              <w:t>1,912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96CE9B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500FC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479A1B3" w14:textId="77777777" w:rsidR="00000000" w:rsidRDefault="00405D16">
            <w:pPr>
              <w:spacing w:after="100"/>
              <w:jc w:val="right"/>
              <w:rPr>
                <w:rFonts w:eastAsia="Times New Roman"/>
              </w:rPr>
            </w:pPr>
            <w:r>
              <w:rPr>
                <w:rFonts w:eastAsia="Times New Roman"/>
                <w:b/>
                <w:bCs/>
                <w:color w:val="000000"/>
                <w:sz w:val="18"/>
                <w:szCs w:val="18"/>
              </w:rPr>
              <w:t>1.93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93D4583"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EA0AB99" w14:textId="77777777" w:rsidR="00000000" w:rsidRDefault="00405D16">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34E3F3E9"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2810F7A1" w14:textId="77777777" w:rsidR="00000000" w:rsidRDefault="00405D16">
            <w:pPr>
              <w:spacing w:after="100"/>
              <w:jc w:val="right"/>
              <w:rPr>
                <w:rFonts w:eastAsia="Times New Roman"/>
              </w:rPr>
            </w:pPr>
            <w:r>
              <w:rPr>
                <w:rFonts w:eastAsia="Times New Roman"/>
                <w:b/>
                <w:bCs/>
                <w:color w:val="000000"/>
                <w:sz w:val="18"/>
                <w:szCs w:val="18"/>
              </w:rPr>
              <w:t>1,912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DF8A7F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51803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CB04F4A" w14:textId="77777777" w:rsidR="00000000" w:rsidRDefault="00405D16">
            <w:pPr>
              <w:spacing w:after="100"/>
              <w:jc w:val="right"/>
              <w:rPr>
                <w:rFonts w:eastAsia="Times New Roman"/>
              </w:rPr>
            </w:pPr>
            <w:r>
              <w:rPr>
                <w:rFonts w:eastAsia="Times New Roman"/>
                <w:b/>
                <w:bCs/>
                <w:color w:val="000000"/>
                <w:sz w:val="18"/>
                <w:szCs w:val="18"/>
              </w:rPr>
              <w:t>1.93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2DEA227"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1FF6498" w14:textId="77777777" w:rsidR="00000000" w:rsidRDefault="00405D16">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4DC2FE6C"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4CA761F4" w14:textId="77777777" w:rsidR="00000000" w:rsidRDefault="00405D16">
            <w:pPr>
              <w:spacing w:after="100"/>
              <w:jc w:val="right"/>
              <w:rPr>
                <w:rFonts w:eastAsia="Times New Roman"/>
              </w:rPr>
            </w:pPr>
            <w:r>
              <w:rPr>
                <w:rFonts w:eastAsia="Times New Roman"/>
                <w:color w:val="000000"/>
                <w:sz w:val="18"/>
                <w:szCs w:val="18"/>
              </w:rPr>
              <w:t>2,388 </w:t>
            </w:r>
          </w:p>
        </w:tc>
        <w:tc>
          <w:tcPr>
            <w:tcW w:w="0" w:type="auto"/>
            <w:shd w:val="clear" w:color="auto" w:fill="FFFFFF"/>
            <w:tcMar>
              <w:top w:w="30" w:type="dxa"/>
              <w:left w:w="0" w:type="dxa"/>
              <w:bottom w:w="30" w:type="dxa"/>
              <w:right w:w="20" w:type="dxa"/>
            </w:tcMar>
            <w:vAlign w:val="center"/>
            <w:hideMark/>
          </w:tcPr>
          <w:p w14:paraId="4C65BCF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0FE63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B009211" w14:textId="77777777" w:rsidR="00000000" w:rsidRDefault="00405D16">
            <w:pPr>
              <w:spacing w:after="100"/>
              <w:jc w:val="right"/>
              <w:rPr>
                <w:rFonts w:eastAsia="Times New Roman"/>
              </w:rPr>
            </w:pPr>
            <w:r>
              <w:rPr>
                <w:rFonts w:eastAsia="Times New Roman"/>
                <w:color w:val="000000"/>
                <w:sz w:val="18"/>
                <w:szCs w:val="18"/>
              </w:rPr>
              <w:t>2.42 </w:t>
            </w:r>
          </w:p>
        </w:tc>
        <w:tc>
          <w:tcPr>
            <w:tcW w:w="0" w:type="auto"/>
            <w:shd w:val="clear" w:color="auto" w:fill="FFFFFF"/>
            <w:tcMar>
              <w:top w:w="30" w:type="dxa"/>
              <w:left w:w="0" w:type="dxa"/>
              <w:bottom w:w="30" w:type="dxa"/>
              <w:right w:w="20" w:type="dxa"/>
            </w:tcMar>
            <w:vAlign w:val="center"/>
            <w:hideMark/>
          </w:tcPr>
          <w:p w14:paraId="3FF08332"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8E5FA05" w14:textId="77777777" w:rsidR="00000000" w:rsidRDefault="00405D16">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79B55805"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3CFEBF96" w14:textId="77777777" w:rsidR="00000000" w:rsidRDefault="00405D16">
            <w:pPr>
              <w:spacing w:after="100"/>
              <w:jc w:val="right"/>
              <w:rPr>
                <w:rFonts w:eastAsia="Times New Roman"/>
              </w:rPr>
            </w:pPr>
            <w:r>
              <w:rPr>
                <w:rFonts w:eastAsia="Times New Roman"/>
                <w:color w:val="000000"/>
                <w:sz w:val="18"/>
                <w:szCs w:val="18"/>
              </w:rPr>
              <w:t>2,388 </w:t>
            </w:r>
          </w:p>
        </w:tc>
        <w:tc>
          <w:tcPr>
            <w:tcW w:w="0" w:type="auto"/>
            <w:shd w:val="clear" w:color="auto" w:fill="FFFFFF"/>
            <w:tcMar>
              <w:top w:w="30" w:type="dxa"/>
              <w:left w:w="0" w:type="dxa"/>
              <w:bottom w:w="30" w:type="dxa"/>
              <w:right w:w="20" w:type="dxa"/>
            </w:tcMar>
            <w:vAlign w:val="center"/>
            <w:hideMark/>
          </w:tcPr>
          <w:p w14:paraId="1408BC6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3180C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C25602E" w14:textId="77777777" w:rsidR="00000000" w:rsidRDefault="00405D16">
            <w:pPr>
              <w:spacing w:after="100"/>
              <w:jc w:val="right"/>
              <w:rPr>
                <w:rFonts w:eastAsia="Times New Roman"/>
              </w:rPr>
            </w:pPr>
            <w:r>
              <w:rPr>
                <w:rFonts w:eastAsia="Times New Roman"/>
                <w:color w:val="000000"/>
                <w:sz w:val="18"/>
                <w:szCs w:val="18"/>
              </w:rPr>
              <w:t>2.42 </w:t>
            </w:r>
          </w:p>
        </w:tc>
        <w:tc>
          <w:tcPr>
            <w:tcW w:w="0" w:type="auto"/>
            <w:shd w:val="clear" w:color="auto" w:fill="FFFFFF"/>
            <w:tcMar>
              <w:top w:w="30" w:type="dxa"/>
              <w:left w:w="0" w:type="dxa"/>
              <w:bottom w:w="30" w:type="dxa"/>
              <w:right w:w="20" w:type="dxa"/>
            </w:tcMar>
            <w:vAlign w:val="center"/>
            <w:hideMark/>
          </w:tcPr>
          <w:p w14:paraId="00E7860D" w14:textId="77777777" w:rsidR="00000000" w:rsidRDefault="00405D16">
            <w:pPr>
              <w:spacing w:after="100"/>
              <w:jc w:val="right"/>
              <w:rPr>
                <w:rFonts w:eastAsia="Times New Roman"/>
              </w:rPr>
            </w:pPr>
            <w:r>
              <w:rPr>
                <w:rFonts w:eastAsia="Times New Roman"/>
                <w:color w:val="000000"/>
                <w:sz w:val="18"/>
                <w:szCs w:val="18"/>
              </w:rPr>
              <w:t>%</w:t>
            </w:r>
          </w:p>
        </w:tc>
      </w:tr>
      <w:tr w:rsidR="00000000" w14:paraId="60B9366A" w14:textId="77777777">
        <w:trPr>
          <w:divId w:val="1088112559"/>
        </w:trPr>
        <w:tc>
          <w:tcPr>
            <w:tcW w:w="0" w:type="auto"/>
            <w:gridSpan w:val="3"/>
            <w:shd w:val="clear" w:color="auto" w:fill="CCEEFF"/>
            <w:tcMar>
              <w:top w:w="30" w:type="dxa"/>
              <w:left w:w="245" w:type="dxa"/>
              <w:bottom w:w="30" w:type="dxa"/>
              <w:right w:w="20" w:type="dxa"/>
            </w:tcMar>
            <w:vAlign w:val="center"/>
            <w:hideMark/>
          </w:tcPr>
          <w:p w14:paraId="3BFFE056" w14:textId="77777777" w:rsidR="00000000" w:rsidRDefault="00405D16">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14:paraId="624E1583"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89C2D5C" w14:textId="77777777" w:rsidR="00000000" w:rsidRDefault="00405D16">
            <w:pPr>
              <w:spacing w:after="100"/>
              <w:jc w:val="right"/>
              <w:rPr>
                <w:rFonts w:eastAsia="Times New Roman"/>
              </w:rPr>
            </w:pPr>
            <w:r>
              <w:rPr>
                <w:rFonts w:eastAsia="Times New Roman"/>
                <w:b/>
                <w:bCs/>
                <w:color w:val="000000"/>
                <w:sz w:val="18"/>
                <w:szCs w:val="18"/>
              </w:rPr>
              <w:t>189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A851C6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9F908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7788793" w14:textId="77777777" w:rsidR="00000000" w:rsidRDefault="00405D16">
            <w:pPr>
              <w:spacing w:after="100"/>
              <w:jc w:val="right"/>
              <w:rPr>
                <w:rFonts w:eastAsia="Times New Roman"/>
              </w:rPr>
            </w:pPr>
            <w:r>
              <w:rPr>
                <w:rFonts w:eastAsia="Times New Roman"/>
                <w:b/>
                <w:bCs/>
                <w:color w:val="000000"/>
                <w:sz w:val="18"/>
                <w:szCs w:val="18"/>
              </w:rPr>
              <w:t>3.27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5F5E80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D3DF7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C2FA5AE" w14:textId="77777777" w:rsidR="00000000" w:rsidRDefault="00405D16">
            <w:pPr>
              <w:spacing w:after="100"/>
              <w:jc w:val="right"/>
              <w:rPr>
                <w:rFonts w:eastAsia="Times New Roman"/>
              </w:rPr>
            </w:pPr>
            <w:r>
              <w:rPr>
                <w:rFonts w:eastAsia="Times New Roman"/>
                <w:b/>
                <w:bCs/>
                <w:color w:val="000000"/>
                <w:sz w:val="18"/>
                <w:szCs w:val="18"/>
              </w:rPr>
              <w:t>193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AF3BD7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B802A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54A8FA5" w14:textId="77777777" w:rsidR="00000000" w:rsidRDefault="00405D16">
            <w:pPr>
              <w:spacing w:after="100"/>
              <w:jc w:val="right"/>
              <w:rPr>
                <w:rFonts w:eastAsia="Times New Roman"/>
              </w:rPr>
            </w:pPr>
            <w:r>
              <w:rPr>
                <w:rFonts w:eastAsia="Times New Roman"/>
                <w:b/>
                <w:bCs/>
                <w:color w:val="000000"/>
                <w:sz w:val="18"/>
                <w:szCs w:val="18"/>
              </w:rPr>
              <w:t>3.35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87571A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95DCC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C4462BD" w14:textId="77777777" w:rsidR="00000000" w:rsidRDefault="00405D16">
            <w:pPr>
              <w:spacing w:after="100"/>
              <w:jc w:val="right"/>
              <w:rPr>
                <w:rFonts w:eastAsia="Times New Roman"/>
              </w:rPr>
            </w:pPr>
            <w:r>
              <w:rPr>
                <w:rFonts w:eastAsia="Times New Roman"/>
                <w:color w:val="000000"/>
                <w:sz w:val="18"/>
                <w:szCs w:val="18"/>
              </w:rPr>
              <w:t>221 </w:t>
            </w:r>
          </w:p>
        </w:tc>
        <w:tc>
          <w:tcPr>
            <w:tcW w:w="0" w:type="auto"/>
            <w:shd w:val="clear" w:color="auto" w:fill="CCEEFF"/>
            <w:tcMar>
              <w:top w:w="30" w:type="dxa"/>
              <w:left w:w="0" w:type="dxa"/>
              <w:bottom w:w="30" w:type="dxa"/>
              <w:right w:w="20" w:type="dxa"/>
            </w:tcMar>
            <w:vAlign w:val="center"/>
            <w:hideMark/>
          </w:tcPr>
          <w:p w14:paraId="268CC45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5491E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46EE88C" w14:textId="77777777" w:rsidR="00000000" w:rsidRDefault="00405D16">
            <w:pPr>
              <w:spacing w:after="100"/>
              <w:jc w:val="right"/>
              <w:rPr>
                <w:rFonts w:eastAsia="Times New Roman"/>
              </w:rPr>
            </w:pPr>
            <w:r>
              <w:rPr>
                <w:rFonts w:eastAsia="Times New Roman"/>
                <w:color w:val="000000"/>
                <w:sz w:val="18"/>
                <w:szCs w:val="18"/>
              </w:rPr>
              <w:t>2.61 </w:t>
            </w:r>
          </w:p>
        </w:tc>
        <w:tc>
          <w:tcPr>
            <w:tcW w:w="0" w:type="auto"/>
            <w:shd w:val="clear" w:color="auto" w:fill="CCEEFF"/>
            <w:tcMar>
              <w:top w:w="30" w:type="dxa"/>
              <w:left w:w="0" w:type="dxa"/>
              <w:bottom w:w="30" w:type="dxa"/>
              <w:right w:w="20" w:type="dxa"/>
            </w:tcMar>
            <w:vAlign w:val="center"/>
            <w:hideMark/>
          </w:tcPr>
          <w:p w14:paraId="4DDC063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E7830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8996155" w14:textId="77777777" w:rsidR="00000000" w:rsidRDefault="00405D16">
            <w:pPr>
              <w:spacing w:after="100"/>
              <w:jc w:val="right"/>
              <w:rPr>
                <w:rFonts w:eastAsia="Times New Roman"/>
              </w:rPr>
            </w:pPr>
            <w:r>
              <w:rPr>
                <w:rFonts w:eastAsia="Times New Roman"/>
                <w:color w:val="000000"/>
                <w:sz w:val="18"/>
                <w:szCs w:val="18"/>
              </w:rPr>
              <w:t>234 </w:t>
            </w:r>
          </w:p>
        </w:tc>
        <w:tc>
          <w:tcPr>
            <w:tcW w:w="0" w:type="auto"/>
            <w:shd w:val="clear" w:color="auto" w:fill="CCEEFF"/>
            <w:tcMar>
              <w:top w:w="30" w:type="dxa"/>
              <w:left w:w="0" w:type="dxa"/>
              <w:bottom w:w="30" w:type="dxa"/>
              <w:right w:w="20" w:type="dxa"/>
            </w:tcMar>
            <w:vAlign w:val="center"/>
            <w:hideMark/>
          </w:tcPr>
          <w:p w14:paraId="1F37B48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16415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BD48DD3" w14:textId="77777777" w:rsidR="00000000" w:rsidRDefault="00405D16">
            <w:pPr>
              <w:spacing w:after="100"/>
              <w:jc w:val="right"/>
              <w:rPr>
                <w:rFonts w:eastAsia="Times New Roman"/>
              </w:rPr>
            </w:pPr>
            <w:r>
              <w:rPr>
                <w:rFonts w:eastAsia="Times New Roman"/>
                <w:color w:val="000000"/>
                <w:sz w:val="18"/>
                <w:szCs w:val="18"/>
              </w:rPr>
              <w:t>2.77 </w:t>
            </w:r>
          </w:p>
        </w:tc>
        <w:tc>
          <w:tcPr>
            <w:tcW w:w="0" w:type="auto"/>
            <w:shd w:val="clear" w:color="auto" w:fill="CCEEFF"/>
            <w:tcMar>
              <w:top w:w="30" w:type="dxa"/>
              <w:left w:w="0" w:type="dxa"/>
              <w:bottom w:w="30" w:type="dxa"/>
              <w:right w:w="20" w:type="dxa"/>
            </w:tcMar>
            <w:vAlign w:val="center"/>
            <w:hideMark/>
          </w:tcPr>
          <w:p w14:paraId="5451C9D8" w14:textId="77777777" w:rsidR="00000000" w:rsidRDefault="00405D16">
            <w:pPr>
              <w:spacing w:after="100"/>
              <w:jc w:val="right"/>
              <w:rPr>
                <w:rFonts w:eastAsia="Times New Roman"/>
              </w:rPr>
            </w:pPr>
          </w:p>
        </w:tc>
      </w:tr>
      <w:tr w:rsidR="00000000" w14:paraId="5CED57D1" w14:textId="77777777">
        <w:trPr>
          <w:divId w:val="1088112559"/>
        </w:trPr>
        <w:tc>
          <w:tcPr>
            <w:tcW w:w="0" w:type="auto"/>
            <w:gridSpan w:val="3"/>
            <w:shd w:val="clear" w:color="auto" w:fill="FFFFFF"/>
            <w:tcMar>
              <w:top w:w="30" w:type="dxa"/>
              <w:left w:w="20" w:type="dxa"/>
              <w:bottom w:w="30" w:type="dxa"/>
              <w:right w:w="20" w:type="dxa"/>
            </w:tcMar>
            <w:vAlign w:val="center"/>
            <w:hideMark/>
          </w:tcPr>
          <w:p w14:paraId="3C695D45" w14:textId="77777777" w:rsidR="00000000" w:rsidRDefault="00405D16">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14:paraId="312BF4F6"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E61537C" w14:textId="77777777" w:rsidR="00000000" w:rsidRDefault="00405D16">
            <w:pPr>
              <w:spacing w:after="100"/>
              <w:jc w:val="right"/>
              <w:rPr>
                <w:rFonts w:eastAsia="Times New Roman"/>
              </w:rPr>
            </w:pPr>
            <w:r>
              <w:rPr>
                <w:rFonts w:eastAsia="Times New Roman"/>
                <w:b/>
                <w:bCs/>
                <w:color w:val="000000"/>
                <w:sz w:val="18"/>
                <w:szCs w:val="18"/>
              </w:rPr>
              <w:t>2,101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6CCBF3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D1AFD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25306B2" w14:textId="77777777" w:rsidR="00000000" w:rsidRDefault="00405D16">
            <w:pPr>
              <w:spacing w:after="100"/>
              <w:jc w:val="right"/>
              <w:rPr>
                <w:rFonts w:eastAsia="Times New Roman"/>
              </w:rPr>
            </w:pPr>
            <w:r>
              <w:rPr>
                <w:rFonts w:eastAsia="Times New Roman"/>
                <w:b/>
                <w:bCs/>
                <w:color w:val="000000"/>
                <w:sz w:val="18"/>
                <w:szCs w:val="18"/>
              </w:rPr>
              <w:t>2.00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634BAB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EC1FC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08CD816" w14:textId="77777777" w:rsidR="00000000" w:rsidRDefault="00405D16">
            <w:pPr>
              <w:spacing w:after="100"/>
              <w:jc w:val="right"/>
              <w:rPr>
                <w:rFonts w:eastAsia="Times New Roman"/>
              </w:rPr>
            </w:pPr>
            <w:r>
              <w:rPr>
                <w:rFonts w:eastAsia="Times New Roman"/>
                <w:b/>
                <w:bCs/>
                <w:color w:val="000000"/>
                <w:sz w:val="18"/>
                <w:szCs w:val="18"/>
              </w:rPr>
              <w:t>2,105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64A8AF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C166A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A8B7DD1" w14:textId="77777777" w:rsidR="00000000" w:rsidRDefault="00405D16">
            <w:pPr>
              <w:spacing w:after="100"/>
              <w:jc w:val="right"/>
              <w:rPr>
                <w:rFonts w:eastAsia="Times New Roman"/>
              </w:rPr>
            </w:pPr>
            <w:r>
              <w:rPr>
                <w:rFonts w:eastAsia="Times New Roman"/>
                <w:b/>
                <w:bCs/>
                <w:color w:val="000000"/>
                <w:sz w:val="18"/>
                <w:szCs w:val="18"/>
              </w:rPr>
              <w:t>2.00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466856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18AF6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A0D432E" w14:textId="77777777" w:rsidR="00000000" w:rsidRDefault="00405D16">
            <w:pPr>
              <w:spacing w:after="100"/>
              <w:jc w:val="right"/>
              <w:rPr>
                <w:rFonts w:eastAsia="Times New Roman"/>
              </w:rPr>
            </w:pPr>
            <w:r>
              <w:rPr>
                <w:rFonts w:eastAsia="Times New Roman"/>
                <w:color w:val="000000"/>
                <w:sz w:val="18"/>
                <w:szCs w:val="18"/>
              </w:rPr>
              <w:t>2,609 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9D709D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A2281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CE80AC9" w14:textId="77777777" w:rsidR="00000000" w:rsidRDefault="00405D16">
            <w:pPr>
              <w:spacing w:after="100"/>
              <w:jc w:val="right"/>
              <w:rPr>
                <w:rFonts w:eastAsia="Times New Roman"/>
              </w:rPr>
            </w:pPr>
            <w:r>
              <w:rPr>
                <w:rFonts w:eastAsia="Times New Roman"/>
                <w:color w:val="000000"/>
                <w:sz w:val="18"/>
                <w:szCs w:val="18"/>
              </w:rPr>
              <w:t>2.44 </w:t>
            </w:r>
          </w:p>
        </w:tc>
        <w:tc>
          <w:tcPr>
            <w:tcW w:w="0" w:type="auto"/>
            <w:shd w:val="clear" w:color="auto" w:fill="FFFFFF"/>
            <w:tcMar>
              <w:top w:w="30" w:type="dxa"/>
              <w:left w:w="0" w:type="dxa"/>
              <w:bottom w:w="30" w:type="dxa"/>
              <w:right w:w="20" w:type="dxa"/>
            </w:tcMar>
            <w:vAlign w:val="center"/>
            <w:hideMark/>
          </w:tcPr>
          <w:p w14:paraId="1CF2AF7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42382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8720F47" w14:textId="77777777" w:rsidR="00000000" w:rsidRDefault="00405D16">
            <w:pPr>
              <w:spacing w:after="100"/>
              <w:jc w:val="right"/>
              <w:rPr>
                <w:rFonts w:eastAsia="Times New Roman"/>
              </w:rPr>
            </w:pPr>
            <w:r>
              <w:rPr>
                <w:rFonts w:eastAsia="Times New Roman"/>
                <w:color w:val="000000"/>
                <w:sz w:val="18"/>
                <w:szCs w:val="18"/>
              </w:rPr>
              <w:t>2,622 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AC11D7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933B4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455508E" w14:textId="77777777" w:rsidR="00000000" w:rsidRDefault="00405D16">
            <w:pPr>
              <w:spacing w:after="100"/>
              <w:jc w:val="right"/>
              <w:rPr>
                <w:rFonts w:eastAsia="Times New Roman"/>
              </w:rPr>
            </w:pPr>
            <w:r>
              <w:rPr>
                <w:rFonts w:eastAsia="Times New Roman"/>
                <w:color w:val="000000"/>
                <w:sz w:val="18"/>
                <w:szCs w:val="18"/>
              </w:rPr>
              <w:t>2.45 </w:t>
            </w:r>
          </w:p>
        </w:tc>
        <w:tc>
          <w:tcPr>
            <w:tcW w:w="0" w:type="auto"/>
            <w:shd w:val="clear" w:color="auto" w:fill="FFFFFF"/>
            <w:tcMar>
              <w:top w:w="30" w:type="dxa"/>
              <w:left w:w="0" w:type="dxa"/>
              <w:bottom w:w="30" w:type="dxa"/>
              <w:right w:w="20" w:type="dxa"/>
            </w:tcMar>
            <w:vAlign w:val="center"/>
            <w:hideMark/>
          </w:tcPr>
          <w:p w14:paraId="180041E9" w14:textId="77777777" w:rsidR="00000000" w:rsidRDefault="00405D16">
            <w:pPr>
              <w:spacing w:after="100"/>
              <w:jc w:val="right"/>
              <w:rPr>
                <w:rFonts w:eastAsia="Times New Roman"/>
              </w:rPr>
            </w:pPr>
          </w:p>
        </w:tc>
      </w:tr>
      <w:tr w:rsidR="00000000" w14:paraId="5298B06A" w14:textId="77777777">
        <w:trPr>
          <w:divId w:val="1088112559"/>
        </w:trPr>
        <w:tc>
          <w:tcPr>
            <w:tcW w:w="0" w:type="auto"/>
            <w:gridSpan w:val="3"/>
            <w:shd w:val="clear" w:color="auto" w:fill="CCEEFF"/>
            <w:tcMar>
              <w:top w:w="30" w:type="dxa"/>
              <w:left w:w="20" w:type="dxa"/>
              <w:bottom w:w="30" w:type="dxa"/>
              <w:right w:w="20" w:type="dxa"/>
            </w:tcMar>
            <w:vAlign w:val="center"/>
            <w:hideMark/>
          </w:tcPr>
          <w:p w14:paraId="184ED468" w14:textId="77777777" w:rsidR="00000000" w:rsidRDefault="00405D16">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14:paraId="23374757"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AB898D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CD425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768DD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2D796F"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1984D8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E1E77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7A84E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492C5F"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C37F09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1472B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80DAD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589BE9"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46214C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C32B8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696D73" w14:textId="77777777" w:rsidR="00000000" w:rsidRDefault="00405D16">
            <w:pPr>
              <w:spacing w:after="100"/>
              <w:rPr>
                <w:rFonts w:eastAsia="Times New Roman"/>
                <w:sz w:val="20"/>
                <w:szCs w:val="20"/>
              </w:rPr>
            </w:pPr>
          </w:p>
        </w:tc>
      </w:tr>
      <w:tr w:rsidR="00000000" w14:paraId="67DFF26E" w14:textId="77777777">
        <w:trPr>
          <w:divId w:val="1088112559"/>
        </w:trPr>
        <w:tc>
          <w:tcPr>
            <w:tcW w:w="0" w:type="auto"/>
            <w:gridSpan w:val="3"/>
            <w:shd w:val="clear" w:color="auto" w:fill="FFFFFF"/>
            <w:tcMar>
              <w:top w:w="30" w:type="dxa"/>
              <w:left w:w="245" w:type="dxa"/>
              <w:bottom w:w="30" w:type="dxa"/>
              <w:right w:w="20" w:type="dxa"/>
            </w:tcMar>
            <w:vAlign w:val="center"/>
            <w:hideMark/>
          </w:tcPr>
          <w:p w14:paraId="46B4B1F7" w14:textId="77777777" w:rsidR="00000000" w:rsidRDefault="00405D16">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14:paraId="1D1C3A4F"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EF5998D" w14:textId="77777777" w:rsidR="00000000" w:rsidRDefault="00405D16">
            <w:pPr>
              <w:spacing w:after="100"/>
              <w:jc w:val="right"/>
              <w:rPr>
                <w:rFonts w:eastAsia="Times New Roman"/>
              </w:rPr>
            </w:pPr>
            <w:r>
              <w:rPr>
                <w:rFonts w:eastAsia="Times New Roman"/>
                <w:b/>
                <w:bCs/>
                <w:color w:val="000000"/>
                <w:sz w:val="18"/>
                <w:szCs w:val="18"/>
              </w:rPr>
              <w:t>2,730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F10A08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EBEB0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4A47961" w14:textId="77777777" w:rsidR="00000000" w:rsidRDefault="00405D16">
            <w:pPr>
              <w:spacing w:after="100"/>
              <w:jc w:val="right"/>
              <w:rPr>
                <w:rFonts w:eastAsia="Times New Roman"/>
              </w:rPr>
            </w:pPr>
            <w:r>
              <w:rPr>
                <w:rFonts w:eastAsia="Times New Roman"/>
                <w:b/>
                <w:bCs/>
                <w:color w:val="000000"/>
                <w:sz w:val="18"/>
                <w:szCs w:val="18"/>
              </w:rPr>
              <w:t>3.65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4D1788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0970F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C3E933C" w14:textId="77777777" w:rsidR="00000000" w:rsidRDefault="00405D16">
            <w:pPr>
              <w:spacing w:after="100"/>
              <w:jc w:val="right"/>
              <w:rPr>
                <w:rFonts w:eastAsia="Times New Roman"/>
              </w:rPr>
            </w:pPr>
            <w:r>
              <w:rPr>
                <w:rFonts w:eastAsia="Times New Roman"/>
                <w:b/>
                <w:bCs/>
                <w:color w:val="000000"/>
                <w:sz w:val="18"/>
                <w:szCs w:val="18"/>
              </w:rPr>
              <w:t>2,946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7A33BC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3989C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6685A02" w14:textId="77777777" w:rsidR="00000000" w:rsidRDefault="00405D16">
            <w:pPr>
              <w:spacing w:after="100"/>
              <w:jc w:val="right"/>
              <w:rPr>
                <w:rFonts w:eastAsia="Times New Roman"/>
              </w:rPr>
            </w:pPr>
            <w:r>
              <w:rPr>
                <w:rFonts w:eastAsia="Times New Roman"/>
                <w:b/>
                <w:bCs/>
                <w:color w:val="000000"/>
                <w:sz w:val="18"/>
                <w:szCs w:val="18"/>
              </w:rPr>
              <w:t>3.94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C51E51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CE0EB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818B78A" w14:textId="77777777" w:rsidR="00000000" w:rsidRDefault="00405D16">
            <w:pPr>
              <w:spacing w:after="100"/>
              <w:jc w:val="right"/>
              <w:rPr>
                <w:rFonts w:eastAsia="Times New Roman"/>
              </w:rPr>
            </w:pPr>
            <w:r>
              <w:rPr>
                <w:rFonts w:eastAsia="Times New Roman"/>
                <w:color w:val="000000"/>
                <w:sz w:val="18"/>
                <w:szCs w:val="18"/>
              </w:rPr>
              <w:t>3,140 </w:t>
            </w:r>
          </w:p>
        </w:tc>
        <w:tc>
          <w:tcPr>
            <w:tcW w:w="0" w:type="auto"/>
            <w:shd w:val="clear" w:color="auto" w:fill="FFFFFF"/>
            <w:tcMar>
              <w:top w:w="30" w:type="dxa"/>
              <w:left w:w="0" w:type="dxa"/>
              <w:bottom w:w="30" w:type="dxa"/>
              <w:right w:w="20" w:type="dxa"/>
            </w:tcMar>
            <w:vAlign w:val="center"/>
            <w:hideMark/>
          </w:tcPr>
          <w:p w14:paraId="2745F03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1E3C7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0024EB6" w14:textId="77777777" w:rsidR="00000000" w:rsidRDefault="00405D16">
            <w:pPr>
              <w:spacing w:after="100"/>
              <w:jc w:val="right"/>
              <w:rPr>
                <w:rFonts w:eastAsia="Times New Roman"/>
              </w:rPr>
            </w:pPr>
            <w:r>
              <w:rPr>
                <w:rFonts w:eastAsia="Times New Roman"/>
                <w:color w:val="000000"/>
                <w:sz w:val="18"/>
                <w:szCs w:val="18"/>
              </w:rPr>
              <w:t>4.78 </w:t>
            </w:r>
          </w:p>
        </w:tc>
        <w:tc>
          <w:tcPr>
            <w:tcW w:w="0" w:type="auto"/>
            <w:shd w:val="clear" w:color="auto" w:fill="FFFFFF"/>
            <w:tcMar>
              <w:top w:w="30" w:type="dxa"/>
              <w:left w:w="0" w:type="dxa"/>
              <w:bottom w:w="30" w:type="dxa"/>
              <w:right w:w="20" w:type="dxa"/>
            </w:tcMar>
            <w:vAlign w:val="center"/>
            <w:hideMark/>
          </w:tcPr>
          <w:p w14:paraId="33927FC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3C98B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DBC3AEA" w14:textId="77777777" w:rsidR="00000000" w:rsidRDefault="00405D16">
            <w:pPr>
              <w:spacing w:after="100"/>
              <w:jc w:val="right"/>
              <w:rPr>
                <w:rFonts w:eastAsia="Times New Roman"/>
              </w:rPr>
            </w:pPr>
            <w:r>
              <w:rPr>
                <w:rFonts w:eastAsia="Times New Roman"/>
                <w:color w:val="000000"/>
                <w:sz w:val="18"/>
                <w:szCs w:val="18"/>
              </w:rPr>
              <w:t>3,381 </w:t>
            </w:r>
          </w:p>
        </w:tc>
        <w:tc>
          <w:tcPr>
            <w:tcW w:w="0" w:type="auto"/>
            <w:shd w:val="clear" w:color="auto" w:fill="FFFFFF"/>
            <w:tcMar>
              <w:top w:w="30" w:type="dxa"/>
              <w:left w:w="0" w:type="dxa"/>
              <w:bottom w:w="30" w:type="dxa"/>
              <w:right w:w="20" w:type="dxa"/>
            </w:tcMar>
            <w:vAlign w:val="center"/>
            <w:hideMark/>
          </w:tcPr>
          <w:p w14:paraId="292CFBF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CA640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86D5191" w14:textId="77777777" w:rsidR="00000000" w:rsidRDefault="00405D16">
            <w:pPr>
              <w:spacing w:after="100"/>
              <w:jc w:val="right"/>
              <w:rPr>
                <w:rFonts w:eastAsia="Times New Roman"/>
              </w:rPr>
            </w:pPr>
            <w:r>
              <w:rPr>
                <w:rFonts w:eastAsia="Times New Roman"/>
                <w:color w:val="000000"/>
                <w:sz w:val="18"/>
                <w:szCs w:val="18"/>
              </w:rPr>
              <w:t>5.14 </w:t>
            </w:r>
          </w:p>
        </w:tc>
        <w:tc>
          <w:tcPr>
            <w:tcW w:w="0" w:type="auto"/>
            <w:shd w:val="clear" w:color="auto" w:fill="FFFFFF"/>
            <w:tcMar>
              <w:top w:w="30" w:type="dxa"/>
              <w:left w:w="0" w:type="dxa"/>
              <w:bottom w:w="30" w:type="dxa"/>
              <w:right w:w="20" w:type="dxa"/>
            </w:tcMar>
            <w:vAlign w:val="center"/>
            <w:hideMark/>
          </w:tcPr>
          <w:p w14:paraId="34DEF168" w14:textId="77777777" w:rsidR="00000000" w:rsidRDefault="00405D16">
            <w:pPr>
              <w:spacing w:after="100"/>
              <w:jc w:val="right"/>
              <w:rPr>
                <w:rFonts w:eastAsia="Times New Roman"/>
              </w:rPr>
            </w:pPr>
          </w:p>
        </w:tc>
      </w:tr>
      <w:tr w:rsidR="00000000" w14:paraId="022D4E16" w14:textId="77777777">
        <w:trPr>
          <w:divId w:val="1088112559"/>
        </w:trPr>
        <w:tc>
          <w:tcPr>
            <w:tcW w:w="0" w:type="auto"/>
            <w:gridSpan w:val="3"/>
            <w:shd w:val="clear" w:color="auto" w:fill="CCEEFF"/>
            <w:tcMar>
              <w:top w:w="30" w:type="dxa"/>
              <w:left w:w="245" w:type="dxa"/>
              <w:bottom w:w="30" w:type="dxa"/>
              <w:right w:w="20" w:type="dxa"/>
            </w:tcMar>
            <w:vAlign w:val="center"/>
            <w:hideMark/>
          </w:tcPr>
          <w:p w14:paraId="15644306" w14:textId="77777777" w:rsidR="00000000" w:rsidRDefault="00405D16">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14:paraId="426C0795"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56BC721" w14:textId="77777777" w:rsidR="00000000" w:rsidRDefault="00405D16">
            <w:pPr>
              <w:spacing w:after="100"/>
              <w:jc w:val="right"/>
              <w:rPr>
                <w:rFonts w:eastAsia="Times New Roman"/>
              </w:rPr>
            </w:pPr>
            <w:r>
              <w:rPr>
                <w:rFonts w:eastAsia="Times New Roman"/>
                <w:b/>
                <w:bCs/>
                <w:color w:val="000000"/>
                <w:sz w:val="18"/>
                <w:szCs w:val="18"/>
              </w:rPr>
              <w:t>27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2C31B5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FC0CE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D88CEC4" w14:textId="77777777" w:rsidR="00000000" w:rsidRDefault="00405D16">
            <w:pPr>
              <w:spacing w:after="100"/>
              <w:jc w:val="right"/>
              <w:rPr>
                <w:rFonts w:eastAsia="Times New Roman"/>
              </w:rPr>
            </w:pPr>
            <w:r>
              <w:rPr>
                <w:rFonts w:eastAsia="Times New Roman"/>
                <w:b/>
                <w:bCs/>
                <w:color w:val="000000"/>
                <w:sz w:val="18"/>
                <w:szCs w:val="18"/>
              </w:rPr>
              <w:t>1.15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47119E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FBB7E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0CB75A9" w14:textId="77777777" w:rsidR="00000000" w:rsidRDefault="00405D16">
            <w:pPr>
              <w:spacing w:after="100"/>
              <w:jc w:val="right"/>
              <w:rPr>
                <w:rFonts w:eastAsia="Times New Roman"/>
              </w:rPr>
            </w:pPr>
            <w:r>
              <w:rPr>
                <w:rFonts w:eastAsia="Times New Roman"/>
                <w:b/>
                <w:bCs/>
                <w:color w:val="000000"/>
                <w:sz w:val="18"/>
                <w:szCs w:val="18"/>
              </w:rPr>
              <w:t>49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86D8C3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A9002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778DB9F" w14:textId="77777777" w:rsidR="00000000" w:rsidRDefault="00405D16">
            <w:pPr>
              <w:spacing w:after="100"/>
              <w:jc w:val="right"/>
              <w:rPr>
                <w:rFonts w:eastAsia="Times New Roman"/>
              </w:rPr>
            </w:pPr>
            <w:r>
              <w:rPr>
                <w:rFonts w:eastAsia="Times New Roman"/>
                <w:b/>
                <w:bCs/>
                <w:color w:val="000000"/>
                <w:sz w:val="18"/>
                <w:szCs w:val="18"/>
              </w:rPr>
              <w:t>2.05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28E46B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3BC02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A47AB07" w14:textId="77777777" w:rsidR="00000000" w:rsidRDefault="00405D16">
            <w:pPr>
              <w:spacing w:after="100"/>
              <w:jc w:val="right"/>
              <w:rPr>
                <w:rFonts w:eastAsia="Times New Roman"/>
              </w:rPr>
            </w:pPr>
            <w:r>
              <w:rPr>
                <w:rFonts w:eastAsia="Times New Roman"/>
                <w:color w:val="000000"/>
                <w:sz w:val="18"/>
                <w:szCs w:val="18"/>
              </w:rPr>
              <w:t>41 </w:t>
            </w:r>
          </w:p>
        </w:tc>
        <w:tc>
          <w:tcPr>
            <w:tcW w:w="0" w:type="auto"/>
            <w:shd w:val="clear" w:color="auto" w:fill="CCEEFF"/>
            <w:tcMar>
              <w:top w:w="30" w:type="dxa"/>
              <w:left w:w="0" w:type="dxa"/>
              <w:bottom w:w="30" w:type="dxa"/>
              <w:right w:w="20" w:type="dxa"/>
            </w:tcMar>
            <w:vAlign w:val="center"/>
            <w:hideMark/>
          </w:tcPr>
          <w:p w14:paraId="0A7905F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E7513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8246FF2" w14:textId="77777777" w:rsidR="00000000" w:rsidRDefault="00405D16">
            <w:pPr>
              <w:spacing w:after="100"/>
              <w:jc w:val="right"/>
              <w:rPr>
                <w:rFonts w:eastAsia="Times New Roman"/>
              </w:rPr>
            </w:pPr>
            <w:r>
              <w:rPr>
                <w:rFonts w:eastAsia="Times New Roman"/>
                <w:color w:val="000000"/>
                <w:sz w:val="18"/>
                <w:szCs w:val="18"/>
              </w:rPr>
              <w:t>1.32 </w:t>
            </w:r>
          </w:p>
        </w:tc>
        <w:tc>
          <w:tcPr>
            <w:tcW w:w="0" w:type="auto"/>
            <w:shd w:val="clear" w:color="auto" w:fill="CCEEFF"/>
            <w:tcMar>
              <w:top w:w="30" w:type="dxa"/>
              <w:left w:w="0" w:type="dxa"/>
              <w:bottom w:w="30" w:type="dxa"/>
              <w:right w:w="20" w:type="dxa"/>
            </w:tcMar>
            <w:vAlign w:val="center"/>
            <w:hideMark/>
          </w:tcPr>
          <w:p w14:paraId="38E7682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92DCA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D27FFFC" w14:textId="77777777" w:rsidR="00000000" w:rsidRDefault="00405D16">
            <w:pPr>
              <w:spacing w:after="100"/>
              <w:jc w:val="right"/>
              <w:rPr>
                <w:rFonts w:eastAsia="Times New Roman"/>
              </w:rPr>
            </w:pPr>
            <w:r>
              <w:rPr>
                <w:rFonts w:eastAsia="Times New Roman"/>
                <w:color w:val="000000"/>
                <w:sz w:val="18"/>
                <w:szCs w:val="18"/>
              </w:rPr>
              <w:t>62 </w:t>
            </w:r>
          </w:p>
        </w:tc>
        <w:tc>
          <w:tcPr>
            <w:tcW w:w="0" w:type="auto"/>
            <w:shd w:val="clear" w:color="auto" w:fill="CCEEFF"/>
            <w:tcMar>
              <w:top w:w="30" w:type="dxa"/>
              <w:left w:w="0" w:type="dxa"/>
              <w:bottom w:w="30" w:type="dxa"/>
              <w:right w:w="20" w:type="dxa"/>
            </w:tcMar>
            <w:vAlign w:val="center"/>
            <w:hideMark/>
          </w:tcPr>
          <w:p w14:paraId="4294300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0443D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0AB0571" w14:textId="77777777" w:rsidR="00000000" w:rsidRDefault="00405D16">
            <w:pPr>
              <w:spacing w:after="100"/>
              <w:jc w:val="right"/>
              <w:rPr>
                <w:rFonts w:eastAsia="Times New Roman"/>
              </w:rPr>
            </w:pPr>
            <w:r>
              <w:rPr>
                <w:rFonts w:eastAsia="Times New Roman"/>
                <w:color w:val="000000"/>
                <w:sz w:val="18"/>
                <w:szCs w:val="18"/>
              </w:rPr>
              <w:t>1.99 </w:t>
            </w:r>
          </w:p>
        </w:tc>
        <w:tc>
          <w:tcPr>
            <w:tcW w:w="0" w:type="auto"/>
            <w:shd w:val="clear" w:color="auto" w:fill="CCEEFF"/>
            <w:tcMar>
              <w:top w:w="30" w:type="dxa"/>
              <w:left w:w="0" w:type="dxa"/>
              <w:bottom w:w="30" w:type="dxa"/>
              <w:right w:w="20" w:type="dxa"/>
            </w:tcMar>
            <w:vAlign w:val="center"/>
            <w:hideMark/>
          </w:tcPr>
          <w:p w14:paraId="5BFC8954" w14:textId="77777777" w:rsidR="00000000" w:rsidRDefault="00405D16">
            <w:pPr>
              <w:spacing w:after="100"/>
              <w:jc w:val="right"/>
              <w:rPr>
                <w:rFonts w:eastAsia="Times New Roman"/>
              </w:rPr>
            </w:pPr>
          </w:p>
        </w:tc>
      </w:tr>
      <w:tr w:rsidR="00000000" w14:paraId="28043ABB" w14:textId="77777777">
        <w:trPr>
          <w:divId w:val="1088112559"/>
        </w:trPr>
        <w:tc>
          <w:tcPr>
            <w:tcW w:w="0" w:type="auto"/>
            <w:gridSpan w:val="3"/>
            <w:shd w:val="clear" w:color="auto" w:fill="FFFFFF"/>
            <w:tcMar>
              <w:top w:w="30" w:type="dxa"/>
              <w:left w:w="20" w:type="dxa"/>
              <w:bottom w:w="30" w:type="dxa"/>
              <w:right w:w="20" w:type="dxa"/>
            </w:tcMar>
            <w:vAlign w:val="center"/>
            <w:hideMark/>
          </w:tcPr>
          <w:p w14:paraId="1F194B0E" w14:textId="77777777" w:rsidR="00000000" w:rsidRDefault="00405D16">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14:paraId="2861203F"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11ED84B" w14:textId="77777777" w:rsidR="00000000" w:rsidRDefault="00405D16">
            <w:pPr>
              <w:spacing w:after="100"/>
              <w:jc w:val="right"/>
              <w:rPr>
                <w:rFonts w:eastAsia="Times New Roman"/>
              </w:rPr>
            </w:pPr>
            <w:r>
              <w:rPr>
                <w:rFonts w:eastAsia="Times New Roman"/>
                <w:b/>
                <w:bCs/>
                <w:color w:val="000000"/>
                <w:sz w:val="18"/>
                <w:szCs w:val="18"/>
              </w:rPr>
              <w:t>2,757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75C930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8269D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7220F59" w14:textId="77777777" w:rsidR="00000000" w:rsidRDefault="00405D16">
            <w:pPr>
              <w:spacing w:after="100"/>
              <w:jc w:val="right"/>
              <w:rPr>
                <w:rFonts w:eastAsia="Times New Roman"/>
              </w:rPr>
            </w:pPr>
            <w:r>
              <w:rPr>
                <w:rFonts w:eastAsia="Times New Roman"/>
                <w:b/>
                <w:bCs/>
                <w:color w:val="000000"/>
                <w:sz w:val="18"/>
                <w:szCs w:val="18"/>
              </w:rPr>
              <w:t>3.58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0B3D1C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83904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B434E5B" w14:textId="77777777" w:rsidR="00000000" w:rsidRDefault="00405D16">
            <w:pPr>
              <w:spacing w:after="100"/>
              <w:jc w:val="right"/>
              <w:rPr>
                <w:rFonts w:eastAsia="Times New Roman"/>
              </w:rPr>
            </w:pPr>
            <w:r>
              <w:rPr>
                <w:rFonts w:eastAsia="Times New Roman"/>
                <w:b/>
                <w:bCs/>
                <w:color w:val="000000"/>
                <w:sz w:val="18"/>
                <w:szCs w:val="18"/>
              </w:rPr>
              <w:t>2,995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021F35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813B3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5CA0C1E" w14:textId="77777777" w:rsidR="00000000" w:rsidRDefault="00405D16">
            <w:pPr>
              <w:spacing w:after="100"/>
              <w:jc w:val="right"/>
              <w:rPr>
                <w:rFonts w:eastAsia="Times New Roman"/>
              </w:rPr>
            </w:pPr>
            <w:r>
              <w:rPr>
                <w:rFonts w:eastAsia="Times New Roman"/>
                <w:b/>
                <w:bCs/>
                <w:color w:val="000000"/>
                <w:sz w:val="18"/>
                <w:szCs w:val="18"/>
              </w:rPr>
              <w:t>3.88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33FB1E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984D3F"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6D8466C" w14:textId="77777777" w:rsidR="00000000" w:rsidRDefault="00405D16">
            <w:pPr>
              <w:spacing w:after="100"/>
              <w:jc w:val="right"/>
              <w:rPr>
                <w:rFonts w:eastAsia="Times New Roman"/>
              </w:rPr>
            </w:pPr>
            <w:r>
              <w:rPr>
                <w:rFonts w:eastAsia="Times New Roman"/>
                <w:color w:val="000000"/>
                <w:sz w:val="18"/>
                <w:szCs w:val="18"/>
              </w:rPr>
              <w:t>3,181 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212839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4EEFF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E592588" w14:textId="77777777" w:rsidR="00000000" w:rsidRDefault="00405D16">
            <w:pPr>
              <w:spacing w:after="100"/>
              <w:jc w:val="right"/>
              <w:rPr>
                <w:rFonts w:eastAsia="Times New Roman"/>
              </w:rPr>
            </w:pPr>
            <w:r>
              <w:rPr>
                <w:rFonts w:eastAsia="Times New Roman"/>
                <w:color w:val="000000"/>
                <w:sz w:val="18"/>
                <w:szCs w:val="18"/>
              </w:rPr>
              <w:t>4.62 </w:t>
            </w:r>
          </w:p>
        </w:tc>
        <w:tc>
          <w:tcPr>
            <w:tcW w:w="0" w:type="auto"/>
            <w:shd w:val="clear" w:color="auto" w:fill="FFFFFF"/>
            <w:tcMar>
              <w:top w:w="30" w:type="dxa"/>
              <w:left w:w="0" w:type="dxa"/>
              <w:bottom w:w="30" w:type="dxa"/>
              <w:right w:w="20" w:type="dxa"/>
            </w:tcMar>
            <w:vAlign w:val="center"/>
            <w:hideMark/>
          </w:tcPr>
          <w:p w14:paraId="4D01B8D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1CA8D5"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485CAF9" w14:textId="77777777" w:rsidR="00000000" w:rsidRDefault="00405D16">
            <w:pPr>
              <w:spacing w:after="100"/>
              <w:jc w:val="right"/>
              <w:rPr>
                <w:rFonts w:eastAsia="Times New Roman"/>
              </w:rPr>
            </w:pPr>
            <w:r>
              <w:rPr>
                <w:rFonts w:eastAsia="Times New Roman"/>
                <w:color w:val="000000"/>
                <w:sz w:val="18"/>
                <w:szCs w:val="18"/>
              </w:rPr>
              <w:t>3,443 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BC872E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EC9D2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754979C" w14:textId="77777777" w:rsidR="00000000" w:rsidRDefault="00405D16">
            <w:pPr>
              <w:spacing w:after="100"/>
              <w:jc w:val="right"/>
              <w:rPr>
                <w:rFonts w:eastAsia="Times New Roman"/>
              </w:rPr>
            </w:pPr>
            <w:r>
              <w:rPr>
                <w:rFonts w:eastAsia="Times New Roman"/>
                <w:color w:val="000000"/>
                <w:sz w:val="18"/>
                <w:szCs w:val="18"/>
              </w:rPr>
              <w:t>5.00 </w:t>
            </w:r>
          </w:p>
        </w:tc>
        <w:tc>
          <w:tcPr>
            <w:tcW w:w="0" w:type="auto"/>
            <w:shd w:val="clear" w:color="auto" w:fill="FFFFFF"/>
            <w:tcMar>
              <w:top w:w="30" w:type="dxa"/>
              <w:left w:w="0" w:type="dxa"/>
              <w:bottom w:w="30" w:type="dxa"/>
              <w:right w:w="20" w:type="dxa"/>
            </w:tcMar>
            <w:vAlign w:val="center"/>
            <w:hideMark/>
          </w:tcPr>
          <w:p w14:paraId="0349245A" w14:textId="77777777" w:rsidR="00000000" w:rsidRDefault="00405D16">
            <w:pPr>
              <w:spacing w:after="100"/>
              <w:jc w:val="right"/>
              <w:rPr>
                <w:rFonts w:eastAsia="Times New Roman"/>
              </w:rPr>
            </w:pPr>
          </w:p>
        </w:tc>
      </w:tr>
      <w:tr w:rsidR="00000000" w14:paraId="1DC07534" w14:textId="77777777">
        <w:trPr>
          <w:divId w:val="1088112559"/>
        </w:trPr>
        <w:tc>
          <w:tcPr>
            <w:tcW w:w="0" w:type="auto"/>
            <w:gridSpan w:val="3"/>
            <w:shd w:val="clear" w:color="auto" w:fill="CCEEFF"/>
            <w:tcMar>
              <w:top w:w="30" w:type="dxa"/>
              <w:left w:w="20" w:type="dxa"/>
              <w:bottom w:w="30" w:type="dxa"/>
              <w:right w:w="20" w:type="dxa"/>
            </w:tcMar>
            <w:vAlign w:val="center"/>
            <w:hideMark/>
          </w:tcPr>
          <w:p w14:paraId="454DEDF4" w14:textId="77777777" w:rsidR="00000000" w:rsidRDefault="00405D16">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14:paraId="59AE8833"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7ABEF3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04A68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76A1C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29235C"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63E78F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B418F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2F79A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5ACA0B"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F05E1D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B5A06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D7DBE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1BD4D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7C1A84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619A0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5E466C" w14:textId="77777777" w:rsidR="00000000" w:rsidRDefault="00405D16">
            <w:pPr>
              <w:spacing w:after="100"/>
              <w:rPr>
                <w:rFonts w:eastAsia="Times New Roman"/>
                <w:sz w:val="20"/>
                <w:szCs w:val="20"/>
              </w:rPr>
            </w:pPr>
          </w:p>
        </w:tc>
      </w:tr>
      <w:tr w:rsidR="00000000" w14:paraId="000212E4" w14:textId="77777777">
        <w:trPr>
          <w:divId w:val="1088112559"/>
        </w:trPr>
        <w:tc>
          <w:tcPr>
            <w:tcW w:w="0" w:type="auto"/>
            <w:gridSpan w:val="3"/>
            <w:shd w:val="clear" w:color="auto" w:fill="FFFFFF"/>
            <w:tcMar>
              <w:top w:w="30" w:type="dxa"/>
              <w:left w:w="245" w:type="dxa"/>
              <w:bottom w:w="30" w:type="dxa"/>
              <w:right w:w="20" w:type="dxa"/>
            </w:tcMar>
            <w:vAlign w:val="center"/>
            <w:hideMark/>
          </w:tcPr>
          <w:p w14:paraId="7B5D08CE" w14:textId="77777777" w:rsidR="00000000" w:rsidRDefault="00405D16">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14:paraId="3B27BA87"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E2B91E6" w14:textId="77777777" w:rsidR="00000000" w:rsidRDefault="00405D16">
            <w:pPr>
              <w:spacing w:after="100"/>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88921F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E99D1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03C14FA" w14:textId="77777777" w:rsidR="00000000" w:rsidRDefault="00405D16">
            <w:pPr>
              <w:spacing w:after="100"/>
              <w:jc w:val="right"/>
              <w:rPr>
                <w:rFonts w:eastAsia="Times New Roman"/>
              </w:rPr>
            </w:pPr>
            <w:r>
              <w:rPr>
                <w:rFonts w:eastAsia="Times New Roman"/>
                <w:b/>
                <w:bCs/>
                <w:color w:val="000000"/>
                <w:sz w:val="18"/>
                <w:szCs w:val="18"/>
              </w:rPr>
              <w:t>0.02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BFDBFD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B49EA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C372B76" w14:textId="77777777" w:rsidR="00000000" w:rsidRDefault="00405D16">
            <w:pPr>
              <w:spacing w:after="100"/>
              <w:jc w:val="right"/>
              <w:rPr>
                <w:rFonts w:eastAsia="Times New Roman"/>
              </w:rPr>
            </w:pPr>
            <w:r>
              <w:rPr>
                <w:rFonts w:eastAsia="Times New Roman"/>
                <w:b/>
                <w:bCs/>
                <w:color w:val="000000"/>
                <w:sz w:val="18"/>
                <w:szCs w:val="18"/>
              </w:rPr>
              <w:t>123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B8B099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FB906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0E012F1" w14:textId="77777777" w:rsidR="00000000" w:rsidRDefault="00405D16">
            <w:pPr>
              <w:spacing w:after="100"/>
              <w:jc w:val="right"/>
              <w:rPr>
                <w:rFonts w:eastAsia="Times New Roman"/>
              </w:rPr>
            </w:pPr>
            <w:r>
              <w:rPr>
                <w:rFonts w:eastAsia="Times New Roman"/>
                <w:b/>
                <w:bCs/>
                <w:color w:val="000000"/>
                <w:sz w:val="18"/>
                <w:szCs w:val="18"/>
              </w:rPr>
              <w:t>0.37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F4378A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775A2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FC9932E" w14:textId="77777777" w:rsidR="00000000" w:rsidRDefault="00405D16">
            <w:pPr>
              <w:spacing w:after="100"/>
              <w:jc w:val="right"/>
              <w:rPr>
                <w:rFonts w:eastAsia="Times New Roman"/>
              </w:rPr>
            </w:pPr>
            <w:r>
              <w:rPr>
                <w:rFonts w:eastAsia="Times New Roman"/>
                <w:color w:val="000000"/>
                <w:sz w:val="18"/>
                <w:szCs w:val="18"/>
              </w:rPr>
              <w:t>202 </w:t>
            </w:r>
          </w:p>
        </w:tc>
        <w:tc>
          <w:tcPr>
            <w:tcW w:w="0" w:type="auto"/>
            <w:shd w:val="clear" w:color="auto" w:fill="FFFFFF"/>
            <w:tcMar>
              <w:top w:w="30" w:type="dxa"/>
              <w:left w:w="0" w:type="dxa"/>
              <w:bottom w:w="30" w:type="dxa"/>
              <w:right w:w="20" w:type="dxa"/>
            </w:tcMar>
            <w:vAlign w:val="center"/>
            <w:hideMark/>
          </w:tcPr>
          <w:p w14:paraId="23203AD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7DBF3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11E7A66" w14:textId="77777777" w:rsidR="00000000" w:rsidRDefault="00405D16">
            <w:pPr>
              <w:spacing w:after="100"/>
              <w:jc w:val="right"/>
              <w:rPr>
                <w:rFonts w:eastAsia="Times New Roman"/>
              </w:rPr>
            </w:pPr>
            <w:r>
              <w:rPr>
                <w:rFonts w:eastAsia="Times New Roman"/>
                <w:color w:val="000000"/>
                <w:sz w:val="18"/>
                <w:szCs w:val="18"/>
              </w:rPr>
              <w:t>0.66 </w:t>
            </w:r>
          </w:p>
        </w:tc>
        <w:tc>
          <w:tcPr>
            <w:tcW w:w="0" w:type="auto"/>
            <w:shd w:val="clear" w:color="auto" w:fill="FFFFFF"/>
            <w:tcMar>
              <w:top w:w="30" w:type="dxa"/>
              <w:left w:w="0" w:type="dxa"/>
              <w:bottom w:w="30" w:type="dxa"/>
              <w:right w:w="20" w:type="dxa"/>
            </w:tcMar>
            <w:vAlign w:val="center"/>
            <w:hideMark/>
          </w:tcPr>
          <w:p w14:paraId="494A82D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89EEC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89B5557" w14:textId="77777777" w:rsidR="00000000" w:rsidRDefault="00405D16">
            <w:pPr>
              <w:spacing w:after="100"/>
              <w:jc w:val="right"/>
              <w:rPr>
                <w:rFonts w:eastAsia="Times New Roman"/>
              </w:rPr>
            </w:pPr>
            <w:r>
              <w:rPr>
                <w:rFonts w:eastAsia="Times New Roman"/>
                <w:color w:val="000000"/>
                <w:sz w:val="18"/>
                <w:szCs w:val="18"/>
              </w:rPr>
              <w:t>341 </w:t>
            </w:r>
          </w:p>
        </w:tc>
        <w:tc>
          <w:tcPr>
            <w:tcW w:w="0" w:type="auto"/>
            <w:shd w:val="clear" w:color="auto" w:fill="FFFFFF"/>
            <w:tcMar>
              <w:top w:w="30" w:type="dxa"/>
              <w:left w:w="0" w:type="dxa"/>
              <w:bottom w:w="30" w:type="dxa"/>
              <w:right w:w="20" w:type="dxa"/>
            </w:tcMar>
            <w:vAlign w:val="center"/>
            <w:hideMark/>
          </w:tcPr>
          <w:p w14:paraId="6A25B1C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225B4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814F59C" w14:textId="77777777" w:rsidR="00000000" w:rsidRDefault="00405D16">
            <w:pPr>
              <w:spacing w:after="100"/>
              <w:jc w:val="right"/>
              <w:rPr>
                <w:rFonts w:eastAsia="Times New Roman"/>
              </w:rPr>
            </w:pPr>
            <w:r>
              <w:rPr>
                <w:rFonts w:eastAsia="Times New Roman"/>
                <w:color w:val="000000"/>
                <w:sz w:val="18"/>
                <w:szCs w:val="18"/>
              </w:rPr>
              <w:t>1.11 </w:t>
            </w:r>
          </w:p>
        </w:tc>
        <w:tc>
          <w:tcPr>
            <w:tcW w:w="0" w:type="auto"/>
            <w:shd w:val="clear" w:color="auto" w:fill="FFFFFF"/>
            <w:tcMar>
              <w:top w:w="30" w:type="dxa"/>
              <w:left w:w="0" w:type="dxa"/>
              <w:bottom w:w="30" w:type="dxa"/>
              <w:right w:w="20" w:type="dxa"/>
            </w:tcMar>
            <w:vAlign w:val="center"/>
            <w:hideMark/>
          </w:tcPr>
          <w:p w14:paraId="771F1F56" w14:textId="77777777" w:rsidR="00000000" w:rsidRDefault="00405D16">
            <w:pPr>
              <w:spacing w:after="100"/>
              <w:jc w:val="right"/>
              <w:rPr>
                <w:rFonts w:eastAsia="Times New Roman"/>
              </w:rPr>
            </w:pPr>
          </w:p>
        </w:tc>
      </w:tr>
      <w:tr w:rsidR="00000000" w14:paraId="76F8E8C4" w14:textId="77777777">
        <w:trPr>
          <w:divId w:val="1088112559"/>
        </w:trPr>
        <w:tc>
          <w:tcPr>
            <w:tcW w:w="0" w:type="auto"/>
            <w:gridSpan w:val="3"/>
            <w:shd w:val="clear" w:color="auto" w:fill="CCEEFF"/>
            <w:tcMar>
              <w:top w:w="30" w:type="dxa"/>
              <w:left w:w="245" w:type="dxa"/>
              <w:bottom w:w="30" w:type="dxa"/>
              <w:right w:w="20" w:type="dxa"/>
            </w:tcMar>
            <w:vAlign w:val="center"/>
            <w:hideMark/>
          </w:tcPr>
          <w:p w14:paraId="6A9B76FD" w14:textId="77777777" w:rsidR="00000000" w:rsidRDefault="00405D16">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14:paraId="6930B0A9"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BF6288D" w14:textId="77777777" w:rsidR="00000000" w:rsidRDefault="00405D16">
            <w:pPr>
              <w:spacing w:after="100"/>
              <w:jc w:val="right"/>
              <w:rPr>
                <w:rFonts w:eastAsia="Times New Roman"/>
              </w:rPr>
            </w:pPr>
            <w:r>
              <w:rPr>
                <w:rFonts w:eastAsia="Times New Roman"/>
                <w:b/>
                <w:bCs/>
                <w:color w:val="000000"/>
                <w:sz w:val="18"/>
                <w:szCs w:val="18"/>
              </w:rPr>
              <w:t>282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D7E64F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F3427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349FC64" w14:textId="77777777" w:rsidR="00000000" w:rsidRDefault="00405D16">
            <w:pPr>
              <w:spacing w:after="100"/>
              <w:jc w:val="right"/>
              <w:rPr>
                <w:rFonts w:eastAsia="Times New Roman"/>
              </w:rPr>
            </w:pPr>
            <w:r>
              <w:rPr>
                <w:rFonts w:eastAsia="Times New Roman"/>
                <w:b/>
                <w:bCs/>
                <w:color w:val="000000"/>
                <w:sz w:val="18"/>
                <w:szCs w:val="18"/>
              </w:rPr>
              <w:t>0.61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864597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C96C4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64C6451" w14:textId="77777777" w:rsidR="00000000" w:rsidRDefault="00405D16">
            <w:pPr>
              <w:spacing w:after="100"/>
              <w:jc w:val="right"/>
              <w:rPr>
                <w:rFonts w:eastAsia="Times New Roman"/>
              </w:rPr>
            </w:pPr>
            <w:r>
              <w:rPr>
                <w:rFonts w:eastAsia="Times New Roman"/>
                <w:b/>
                <w:bCs/>
                <w:color w:val="000000"/>
                <w:sz w:val="18"/>
                <w:szCs w:val="18"/>
              </w:rPr>
              <w:t>344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BB166F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C909D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E8C838F" w14:textId="77777777" w:rsidR="00000000" w:rsidRDefault="00405D16">
            <w:pPr>
              <w:spacing w:after="100"/>
              <w:jc w:val="right"/>
              <w:rPr>
                <w:rFonts w:eastAsia="Times New Roman"/>
              </w:rPr>
            </w:pPr>
            <w:r>
              <w:rPr>
                <w:rFonts w:eastAsia="Times New Roman"/>
                <w:b/>
                <w:bCs/>
                <w:color w:val="000000"/>
                <w:sz w:val="18"/>
                <w:szCs w:val="18"/>
              </w:rPr>
              <w:t>0.75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F9FCCC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80DC1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A8855B8" w14:textId="77777777" w:rsidR="00000000" w:rsidRDefault="00405D16">
            <w:pPr>
              <w:spacing w:after="100"/>
              <w:jc w:val="right"/>
              <w:rPr>
                <w:rFonts w:eastAsia="Times New Roman"/>
              </w:rPr>
            </w:pPr>
            <w:r>
              <w:rPr>
                <w:rFonts w:eastAsia="Times New Roman"/>
                <w:color w:val="000000"/>
                <w:sz w:val="18"/>
                <w:szCs w:val="18"/>
              </w:rPr>
              <w:t>84 </w:t>
            </w:r>
          </w:p>
        </w:tc>
        <w:tc>
          <w:tcPr>
            <w:tcW w:w="0" w:type="auto"/>
            <w:shd w:val="clear" w:color="auto" w:fill="CCEEFF"/>
            <w:tcMar>
              <w:top w:w="30" w:type="dxa"/>
              <w:left w:w="0" w:type="dxa"/>
              <w:bottom w:w="30" w:type="dxa"/>
              <w:right w:w="20" w:type="dxa"/>
            </w:tcMar>
            <w:vAlign w:val="center"/>
            <w:hideMark/>
          </w:tcPr>
          <w:p w14:paraId="7B4D34F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F56EE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1AD3E5B" w14:textId="77777777" w:rsidR="00000000" w:rsidRDefault="00405D16">
            <w:pPr>
              <w:spacing w:after="100"/>
              <w:jc w:val="right"/>
              <w:rPr>
                <w:rFonts w:eastAsia="Times New Roman"/>
              </w:rPr>
            </w:pPr>
            <w:r>
              <w:rPr>
                <w:rFonts w:eastAsia="Times New Roman"/>
                <w:color w:val="000000"/>
                <w:sz w:val="18"/>
                <w:szCs w:val="18"/>
              </w:rPr>
              <w:t>0.19 </w:t>
            </w:r>
          </w:p>
        </w:tc>
        <w:tc>
          <w:tcPr>
            <w:tcW w:w="0" w:type="auto"/>
            <w:shd w:val="clear" w:color="auto" w:fill="CCEEFF"/>
            <w:tcMar>
              <w:top w:w="30" w:type="dxa"/>
              <w:left w:w="0" w:type="dxa"/>
              <w:bottom w:w="30" w:type="dxa"/>
              <w:right w:w="20" w:type="dxa"/>
            </w:tcMar>
            <w:vAlign w:val="center"/>
            <w:hideMark/>
          </w:tcPr>
          <w:p w14:paraId="1E3E151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BC83F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11EE4A2" w14:textId="77777777" w:rsidR="00000000" w:rsidRDefault="00405D16">
            <w:pPr>
              <w:spacing w:after="100"/>
              <w:jc w:val="right"/>
              <w:rPr>
                <w:rFonts w:eastAsia="Times New Roman"/>
              </w:rPr>
            </w:pPr>
            <w:r>
              <w:rPr>
                <w:rFonts w:eastAsia="Times New Roman"/>
                <w:color w:val="000000"/>
                <w:sz w:val="18"/>
                <w:szCs w:val="18"/>
              </w:rPr>
              <w:t>158 </w:t>
            </w:r>
          </w:p>
        </w:tc>
        <w:tc>
          <w:tcPr>
            <w:tcW w:w="0" w:type="auto"/>
            <w:shd w:val="clear" w:color="auto" w:fill="CCEEFF"/>
            <w:tcMar>
              <w:top w:w="30" w:type="dxa"/>
              <w:left w:w="0" w:type="dxa"/>
              <w:bottom w:w="30" w:type="dxa"/>
              <w:right w:w="20" w:type="dxa"/>
            </w:tcMar>
            <w:vAlign w:val="center"/>
            <w:hideMark/>
          </w:tcPr>
          <w:p w14:paraId="0935EF2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24458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B8CBCF1" w14:textId="77777777" w:rsidR="00000000" w:rsidRDefault="00405D16">
            <w:pPr>
              <w:spacing w:after="100"/>
              <w:jc w:val="right"/>
              <w:rPr>
                <w:rFonts w:eastAsia="Times New Roman"/>
              </w:rPr>
            </w:pPr>
            <w:r>
              <w:rPr>
                <w:rFonts w:eastAsia="Times New Roman"/>
                <w:color w:val="000000"/>
                <w:sz w:val="18"/>
                <w:szCs w:val="18"/>
              </w:rPr>
              <w:t>0.35 </w:t>
            </w:r>
          </w:p>
        </w:tc>
        <w:tc>
          <w:tcPr>
            <w:tcW w:w="0" w:type="auto"/>
            <w:shd w:val="clear" w:color="auto" w:fill="CCEEFF"/>
            <w:tcMar>
              <w:top w:w="30" w:type="dxa"/>
              <w:left w:w="0" w:type="dxa"/>
              <w:bottom w:w="30" w:type="dxa"/>
              <w:right w:w="20" w:type="dxa"/>
            </w:tcMar>
            <w:vAlign w:val="center"/>
            <w:hideMark/>
          </w:tcPr>
          <w:p w14:paraId="31391C21" w14:textId="77777777" w:rsidR="00000000" w:rsidRDefault="00405D16">
            <w:pPr>
              <w:spacing w:after="100"/>
              <w:jc w:val="right"/>
              <w:rPr>
                <w:rFonts w:eastAsia="Times New Roman"/>
              </w:rPr>
            </w:pPr>
          </w:p>
        </w:tc>
      </w:tr>
      <w:tr w:rsidR="00000000" w14:paraId="4E472132" w14:textId="77777777">
        <w:trPr>
          <w:divId w:val="1088112559"/>
        </w:trPr>
        <w:tc>
          <w:tcPr>
            <w:tcW w:w="0" w:type="auto"/>
            <w:gridSpan w:val="3"/>
            <w:shd w:val="clear" w:color="auto" w:fill="FFFFFF"/>
            <w:tcMar>
              <w:top w:w="30" w:type="dxa"/>
              <w:left w:w="20" w:type="dxa"/>
              <w:bottom w:w="30" w:type="dxa"/>
              <w:right w:w="20" w:type="dxa"/>
            </w:tcMar>
            <w:vAlign w:val="center"/>
            <w:hideMark/>
          </w:tcPr>
          <w:p w14:paraId="46068BAF" w14:textId="77777777" w:rsidR="00000000" w:rsidRDefault="00405D16">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14:paraId="04298262"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77B99DB" w14:textId="77777777" w:rsidR="00000000" w:rsidRDefault="00405D16">
            <w:pPr>
              <w:spacing w:after="100"/>
              <w:jc w:val="right"/>
              <w:rPr>
                <w:rFonts w:eastAsia="Times New Roman"/>
              </w:rPr>
            </w:pPr>
            <w:r>
              <w:rPr>
                <w:rFonts w:eastAsia="Times New Roman"/>
                <w:b/>
                <w:bCs/>
                <w:color w:val="000000"/>
                <w:sz w:val="18"/>
                <w:szCs w:val="18"/>
              </w:rPr>
              <w:t>288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BCA3F7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F2DC4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7F9746C" w14:textId="77777777" w:rsidR="00000000" w:rsidRDefault="00405D16">
            <w:pPr>
              <w:spacing w:after="100"/>
              <w:jc w:val="right"/>
              <w:rPr>
                <w:rFonts w:eastAsia="Times New Roman"/>
              </w:rPr>
            </w:pPr>
            <w:r>
              <w:rPr>
                <w:rFonts w:eastAsia="Times New Roman"/>
                <w:b/>
                <w:bCs/>
                <w:color w:val="000000"/>
                <w:sz w:val="18"/>
                <w:szCs w:val="18"/>
              </w:rPr>
              <w:t>0.36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7F42AE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1EA75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C05F8F6" w14:textId="77777777" w:rsidR="00000000" w:rsidRDefault="00405D16">
            <w:pPr>
              <w:spacing w:after="100"/>
              <w:jc w:val="right"/>
              <w:rPr>
                <w:rFonts w:eastAsia="Times New Roman"/>
              </w:rPr>
            </w:pPr>
            <w:r>
              <w:rPr>
                <w:rFonts w:eastAsia="Times New Roman"/>
                <w:b/>
                <w:bCs/>
                <w:color w:val="000000"/>
                <w:sz w:val="18"/>
                <w:szCs w:val="18"/>
              </w:rPr>
              <w:t>467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C2CDF1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775A9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DDAEF2D" w14:textId="77777777" w:rsidR="00000000" w:rsidRDefault="00405D16">
            <w:pPr>
              <w:spacing w:after="100"/>
              <w:jc w:val="right"/>
              <w:rPr>
                <w:rFonts w:eastAsia="Times New Roman"/>
              </w:rPr>
            </w:pPr>
            <w:r>
              <w:rPr>
                <w:rFonts w:eastAsia="Times New Roman"/>
                <w:b/>
                <w:bCs/>
                <w:color w:val="000000"/>
                <w:sz w:val="18"/>
                <w:szCs w:val="18"/>
              </w:rPr>
              <w:t>0.59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316848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E6767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15BD47A" w14:textId="77777777" w:rsidR="00000000" w:rsidRDefault="00405D16">
            <w:pPr>
              <w:spacing w:after="100"/>
              <w:jc w:val="right"/>
              <w:rPr>
                <w:rFonts w:eastAsia="Times New Roman"/>
              </w:rPr>
            </w:pPr>
            <w:r>
              <w:rPr>
                <w:rFonts w:eastAsia="Times New Roman"/>
                <w:color w:val="000000"/>
                <w:sz w:val="18"/>
                <w:szCs w:val="18"/>
              </w:rPr>
              <w:t>286 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AF338F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DD441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68A9AA0" w14:textId="77777777" w:rsidR="00000000" w:rsidRDefault="00405D16">
            <w:pPr>
              <w:spacing w:after="100"/>
              <w:jc w:val="right"/>
              <w:rPr>
                <w:rFonts w:eastAsia="Times New Roman"/>
              </w:rPr>
            </w:pPr>
            <w:r>
              <w:rPr>
                <w:rFonts w:eastAsia="Times New Roman"/>
                <w:color w:val="000000"/>
                <w:sz w:val="18"/>
                <w:szCs w:val="18"/>
              </w:rPr>
              <w:t>0.38 </w:t>
            </w:r>
          </w:p>
        </w:tc>
        <w:tc>
          <w:tcPr>
            <w:tcW w:w="0" w:type="auto"/>
            <w:shd w:val="clear" w:color="auto" w:fill="FFFFFF"/>
            <w:tcMar>
              <w:top w:w="30" w:type="dxa"/>
              <w:left w:w="0" w:type="dxa"/>
              <w:bottom w:w="30" w:type="dxa"/>
              <w:right w:w="20" w:type="dxa"/>
            </w:tcMar>
            <w:vAlign w:val="center"/>
            <w:hideMark/>
          </w:tcPr>
          <w:p w14:paraId="5E5AA54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841EC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59DFE7B" w14:textId="77777777" w:rsidR="00000000" w:rsidRDefault="00405D16">
            <w:pPr>
              <w:spacing w:after="100"/>
              <w:jc w:val="right"/>
              <w:rPr>
                <w:rFonts w:eastAsia="Times New Roman"/>
              </w:rPr>
            </w:pPr>
            <w:r>
              <w:rPr>
                <w:rFonts w:eastAsia="Times New Roman"/>
                <w:color w:val="000000"/>
                <w:sz w:val="18"/>
                <w:szCs w:val="18"/>
              </w:rPr>
              <w:t>499 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938790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87817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77EAB77" w14:textId="77777777" w:rsidR="00000000" w:rsidRDefault="00405D16">
            <w:pPr>
              <w:spacing w:after="100"/>
              <w:jc w:val="right"/>
              <w:rPr>
                <w:rFonts w:eastAsia="Times New Roman"/>
              </w:rPr>
            </w:pPr>
            <w:r>
              <w:rPr>
                <w:rFonts w:eastAsia="Times New Roman"/>
                <w:color w:val="000000"/>
                <w:sz w:val="18"/>
                <w:szCs w:val="18"/>
              </w:rPr>
              <w:t>0.66 </w:t>
            </w:r>
          </w:p>
        </w:tc>
        <w:tc>
          <w:tcPr>
            <w:tcW w:w="0" w:type="auto"/>
            <w:shd w:val="clear" w:color="auto" w:fill="FFFFFF"/>
            <w:tcMar>
              <w:top w:w="30" w:type="dxa"/>
              <w:left w:w="0" w:type="dxa"/>
              <w:bottom w:w="30" w:type="dxa"/>
              <w:right w:w="20" w:type="dxa"/>
            </w:tcMar>
            <w:vAlign w:val="center"/>
            <w:hideMark/>
          </w:tcPr>
          <w:p w14:paraId="3184CA06" w14:textId="77777777" w:rsidR="00000000" w:rsidRDefault="00405D16">
            <w:pPr>
              <w:spacing w:after="100"/>
              <w:jc w:val="right"/>
              <w:rPr>
                <w:rFonts w:eastAsia="Times New Roman"/>
              </w:rPr>
            </w:pPr>
          </w:p>
        </w:tc>
      </w:tr>
      <w:tr w:rsidR="00405D16" w14:paraId="0D74C933" w14:textId="77777777">
        <w:trPr>
          <w:divId w:val="1088112559"/>
        </w:trPr>
        <w:tc>
          <w:tcPr>
            <w:tcW w:w="0" w:type="auto"/>
            <w:gridSpan w:val="3"/>
            <w:shd w:val="clear" w:color="auto" w:fill="CCEEFF"/>
            <w:tcMar>
              <w:top w:w="30" w:type="dxa"/>
              <w:left w:w="20" w:type="dxa"/>
              <w:bottom w:w="30" w:type="dxa"/>
              <w:right w:w="20" w:type="dxa"/>
            </w:tcMar>
            <w:vAlign w:val="center"/>
            <w:hideMark/>
          </w:tcPr>
          <w:p w14:paraId="19D14CEA" w14:textId="77777777" w:rsidR="00000000" w:rsidRDefault="00405D16">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0D806701"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1FC5B78"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94DD6B9" w14:textId="77777777" w:rsidR="00000000" w:rsidRDefault="00405D16">
            <w:pPr>
              <w:spacing w:after="100"/>
              <w:jc w:val="right"/>
              <w:rPr>
                <w:rFonts w:eastAsia="Times New Roman"/>
              </w:rPr>
            </w:pPr>
            <w:r>
              <w:rPr>
                <w:rFonts w:eastAsia="Times New Roman"/>
                <w:b/>
                <w:bCs/>
                <w:color w:val="000000"/>
                <w:sz w:val="18"/>
                <w:szCs w:val="18"/>
              </w:rPr>
              <w:t>5,146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A333FA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1E290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F1914A9" w14:textId="77777777" w:rsidR="00000000" w:rsidRDefault="00405D16">
            <w:pPr>
              <w:spacing w:after="100"/>
              <w:jc w:val="right"/>
              <w:rPr>
                <w:rFonts w:eastAsia="Times New Roman"/>
              </w:rPr>
            </w:pPr>
            <w:r>
              <w:rPr>
                <w:rFonts w:eastAsia="Times New Roman"/>
                <w:b/>
                <w:bCs/>
                <w:color w:val="000000"/>
                <w:sz w:val="18"/>
                <w:szCs w:val="18"/>
              </w:rPr>
              <w:t>1.97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03A81D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94FFC2"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022494B7"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069DEC9" w14:textId="77777777" w:rsidR="00000000" w:rsidRDefault="00405D16">
            <w:pPr>
              <w:spacing w:after="100"/>
              <w:jc w:val="right"/>
              <w:rPr>
                <w:rFonts w:eastAsia="Times New Roman"/>
              </w:rPr>
            </w:pPr>
            <w:r>
              <w:rPr>
                <w:rFonts w:eastAsia="Times New Roman"/>
                <w:b/>
                <w:bCs/>
                <w:color w:val="000000"/>
                <w:sz w:val="18"/>
                <w:szCs w:val="18"/>
              </w:rPr>
              <w:t>5,567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894A89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14F5C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125F1B2" w14:textId="77777777" w:rsidR="00000000" w:rsidRDefault="00405D16">
            <w:pPr>
              <w:spacing w:after="100"/>
              <w:jc w:val="right"/>
              <w:rPr>
                <w:rFonts w:eastAsia="Times New Roman"/>
              </w:rPr>
            </w:pPr>
            <w:r>
              <w:rPr>
                <w:rFonts w:eastAsia="Times New Roman"/>
                <w:b/>
                <w:bCs/>
                <w:color w:val="000000"/>
                <w:sz w:val="18"/>
                <w:szCs w:val="18"/>
              </w:rPr>
              <w:t>2.13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7B5ECB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461087"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FF4D6CB"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EE11C16" w14:textId="77777777" w:rsidR="00000000" w:rsidRDefault="00405D16">
            <w:pPr>
              <w:spacing w:after="100"/>
              <w:jc w:val="right"/>
              <w:rPr>
                <w:rFonts w:eastAsia="Times New Roman"/>
              </w:rPr>
            </w:pPr>
            <w:r>
              <w:rPr>
                <w:rFonts w:eastAsia="Times New Roman"/>
                <w:color w:val="000000"/>
                <w:sz w:val="18"/>
                <w:szCs w:val="18"/>
              </w:rPr>
              <w:t>6,076 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CFF590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071DB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B0BA37C" w14:textId="77777777" w:rsidR="00000000" w:rsidRDefault="00405D16">
            <w:pPr>
              <w:spacing w:after="100"/>
              <w:jc w:val="right"/>
              <w:rPr>
                <w:rFonts w:eastAsia="Times New Roman"/>
              </w:rPr>
            </w:pPr>
            <w:r>
              <w:rPr>
                <w:rFonts w:eastAsia="Times New Roman"/>
                <w:color w:val="000000"/>
                <w:sz w:val="18"/>
                <w:szCs w:val="18"/>
              </w:rPr>
              <w:t>2.41 </w:t>
            </w:r>
          </w:p>
        </w:tc>
        <w:tc>
          <w:tcPr>
            <w:tcW w:w="0" w:type="auto"/>
            <w:shd w:val="clear" w:color="auto" w:fill="CCEEFF"/>
            <w:tcMar>
              <w:top w:w="30" w:type="dxa"/>
              <w:left w:w="0" w:type="dxa"/>
              <w:bottom w:w="30" w:type="dxa"/>
              <w:right w:w="20" w:type="dxa"/>
            </w:tcMar>
            <w:vAlign w:val="center"/>
            <w:hideMark/>
          </w:tcPr>
          <w:p w14:paraId="688BBA4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75A3F6"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31FE55D"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9AF082F" w14:textId="77777777" w:rsidR="00000000" w:rsidRDefault="00405D16">
            <w:pPr>
              <w:spacing w:after="100"/>
              <w:jc w:val="right"/>
              <w:rPr>
                <w:rFonts w:eastAsia="Times New Roman"/>
              </w:rPr>
            </w:pPr>
            <w:r>
              <w:rPr>
                <w:rFonts w:eastAsia="Times New Roman"/>
                <w:color w:val="000000"/>
                <w:sz w:val="18"/>
                <w:szCs w:val="18"/>
              </w:rPr>
              <w:t>6,564 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AD9E66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6852B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139D56D" w14:textId="77777777" w:rsidR="00000000" w:rsidRDefault="00405D16">
            <w:pPr>
              <w:spacing w:after="100"/>
              <w:jc w:val="right"/>
              <w:rPr>
                <w:rFonts w:eastAsia="Times New Roman"/>
              </w:rPr>
            </w:pPr>
            <w:r>
              <w:rPr>
                <w:rFonts w:eastAsia="Times New Roman"/>
                <w:color w:val="000000"/>
                <w:sz w:val="18"/>
                <w:szCs w:val="18"/>
              </w:rPr>
              <w:t>2.61 </w:t>
            </w:r>
          </w:p>
        </w:tc>
        <w:tc>
          <w:tcPr>
            <w:tcW w:w="0" w:type="auto"/>
            <w:shd w:val="clear" w:color="auto" w:fill="CCEEFF"/>
            <w:tcMar>
              <w:top w:w="30" w:type="dxa"/>
              <w:left w:w="0" w:type="dxa"/>
              <w:bottom w:w="30" w:type="dxa"/>
              <w:right w:w="20" w:type="dxa"/>
            </w:tcMar>
            <w:vAlign w:val="center"/>
            <w:hideMark/>
          </w:tcPr>
          <w:p w14:paraId="12BD911D" w14:textId="77777777" w:rsidR="00000000" w:rsidRDefault="00405D16">
            <w:pPr>
              <w:spacing w:after="100"/>
              <w:jc w:val="right"/>
              <w:rPr>
                <w:rFonts w:eastAsia="Times New Roman"/>
              </w:rPr>
            </w:pPr>
          </w:p>
        </w:tc>
      </w:tr>
    </w:tbl>
    <w:p w14:paraId="54575DD4" w14:textId="77777777" w:rsidR="00000000" w:rsidRDefault="00405D16">
      <w:pPr>
        <w:divId w:val="1088112559"/>
        <w:rPr>
          <w:rFonts w:eastAsia="Times New Roman"/>
        </w:rPr>
      </w:pPr>
      <w:r>
        <w:rPr>
          <w:rFonts w:eastAsia="Times New Roman"/>
          <w:color w:val="000000"/>
          <w:sz w:val="20"/>
          <w:szCs w:val="20"/>
        </w:rPr>
        <w:t>__________</w:t>
      </w:r>
    </w:p>
    <w:p w14:paraId="36B75F9D" w14:textId="77777777" w:rsidR="00000000" w:rsidRDefault="00405D16">
      <w:pPr>
        <w:ind w:hanging="360"/>
        <w:jc w:val="both"/>
        <w:divId w:val="57304974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Delinquency rates are calculated </w:t>
      </w:r>
      <w:r>
        <w:rPr>
          <w:rFonts w:eastAsia="Times New Roman"/>
          <w:color w:val="000000"/>
          <w:sz w:val="16"/>
          <w:szCs w:val="16"/>
        </w:rPr>
        <w:t>by dividing delinquency amounts by period-end loans held for investment for each specified loan category.</w:t>
      </w:r>
    </w:p>
    <w:p w14:paraId="33DBDC75" w14:textId="77777777" w:rsidR="00000000" w:rsidRDefault="00405D16">
      <w:pPr>
        <w:jc w:val="both"/>
        <w:divId w:val="376858209"/>
        <w:rPr>
          <w:rFonts w:eastAsia="Times New Roman"/>
        </w:rPr>
      </w:pPr>
      <w:r>
        <w:rPr>
          <w:rFonts w:eastAsia="Times New Roman"/>
          <w:color w:val="000000"/>
          <w:sz w:val="20"/>
          <w:szCs w:val="20"/>
        </w:rPr>
        <w:t>Table 24 presents our 30+ day delinquent loans, by aging and geography, as of September 30, 2021 and December 31, 2020.</w:t>
      </w:r>
    </w:p>
    <w:p w14:paraId="14A546DA" w14:textId="77777777" w:rsidR="00000000" w:rsidRDefault="00405D16">
      <w:pPr>
        <w:divId w:val="1209337899"/>
        <w:rPr>
          <w:rFonts w:eastAsia="Times New Roman"/>
        </w:rPr>
      </w:pPr>
      <w:r>
        <w:rPr>
          <w:rFonts w:eastAsia="Times New Roman"/>
          <w:b/>
          <w:bCs/>
          <w:color w:val="000000"/>
          <w:sz w:val="18"/>
          <w:szCs w:val="18"/>
        </w:rPr>
        <w:t xml:space="preserve">Table 24: Aging and Geography </w:t>
      </w:r>
      <w:r>
        <w:rPr>
          <w:rFonts w:eastAsia="Times New Roman"/>
          <w:b/>
          <w:bCs/>
          <w:color w:val="000000"/>
          <w:sz w:val="18"/>
          <w:szCs w:val="18"/>
        </w:rPr>
        <w:t>of 30+ Day Delinquent Loans</w:t>
      </w:r>
      <w:r>
        <w:rPr>
          <w:rFonts w:eastAsia="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9"/>
        <w:gridCol w:w="4449"/>
        <w:gridCol w:w="38"/>
        <w:gridCol w:w="36"/>
        <w:gridCol w:w="36"/>
        <w:gridCol w:w="36"/>
        <w:gridCol w:w="111"/>
        <w:gridCol w:w="658"/>
        <w:gridCol w:w="37"/>
        <w:gridCol w:w="36"/>
        <w:gridCol w:w="36"/>
        <w:gridCol w:w="36"/>
        <w:gridCol w:w="46"/>
        <w:gridCol w:w="635"/>
        <w:gridCol w:w="200"/>
        <w:gridCol w:w="36"/>
        <w:gridCol w:w="36"/>
        <w:gridCol w:w="36"/>
        <w:gridCol w:w="111"/>
        <w:gridCol w:w="659"/>
        <w:gridCol w:w="37"/>
        <w:gridCol w:w="36"/>
        <w:gridCol w:w="36"/>
        <w:gridCol w:w="36"/>
        <w:gridCol w:w="46"/>
        <w:gridCol w:w="638"/>
        <w:gridCol w:w="170"/>
      </w:tblGrid>
      <w:tr w:rsidR="00000000" w14:paraId="1CFE4228" w14:textId="77777777">
        <w:trPr>
          <w:divId w:val="903296115"/>
        </w:trPr>
        <w:tc>
          <w:tcPr>
            <w:tcW w:w="50" w:type="pct"/>
            <w:vAlign w:val="center"/>
            <w:hideMark/>
          </w:tcPr>
          <w:p w14:paraId="239BE493" w14:textId="77777777" w:rsidR="00000000" w:rsidRDefault="00405D16">
            <w:pPr>
              <w:rPr>
                <w:rFonts w:eastAsia="Times New Roman"/>
              </w:rPr>
            </w:pPr>
          </w:p>
        </w:tc>
        <w:tc>
          <w:tcPr>
            <w:tcW w:w="2722" w:type="pct"/>
            <w:vAlign w:val="center"/>
            <w:hideMark/>
          </w:tcPr>
          <w:p w14:paraId="2E9CAAE7" w14:textId="77777777" w:rsidR="00000000" w:rsidRDefault="00405D16">
            <w:pPr>
              <w:spacing w:after="100"/>
              <w:rPr>
                <w:rFonts w:eastAsia="Times New Roman"/>
                <w:sz w:val="20"/>
                <w:szCs w:val="20"/>
              </w:rPr>
            </w:pPr>
          </w:p>
        </w:tc>
        <w:tc>
          <w:tcPr>
            <w:tcW w:w="5" w:type="pct"/>
            <w:vAlign w:val="center"/>
            <w:hideMark/>
          </w:tcPr>
          <w:p w14:paraId="4B552F0B" w14:textId="77777777" w:rsidR="00000000" w:rsidRDefault="00405D16">
            <w:pPr>
              <w:spacing w:after="100"/>
              <w:rPr>
                <w:rFonts w:eastAsia="Times New Roman"/>
                <w:sz w:val="20"/>
                <w:szCs w:val="20"/>
              </w:rPr>
            </w:pPr>
          </w:p>
        </w:tc>
        <w:tc>
          <w:tcPr>
            <w:tcW w:w="5" w:type="pct"/>
            <w:vAlign w:val="center"/>
            <w:hideMark/>
          </w:tcPr>
          <w:p w14:paraId="1DFA8BA5" w14:textId="77777777" w:rsidR="00000000" w:rsidRDefault="00405D16">
            <w:pPr>
              <w:spacing w:after="100"/>
              <w:rPr>
                <w:rFonts w:eastAsia="Times New Roman"/>
                <w:sz w:val="20"/>
                <w:szCs w:val="20"/>
              </w:rPr>
            </w:pPr>
          </w:p>
        </w:tc>
        <w:tc>
          <w:tcPr>
            <w:tcW w:w="26" w:type="pct"/>
            <w:vAlign w:val="center"/>
            <w:hideMark/>
          </w:tcPr>
          <w:p w14:paraId="2FCBF9D5" w14:textId="77777777" w:rsidR="00000000" w:rsidRDefault="00405D16">
            <w:pPr>
              <w:spacing w:after="100"/>
              <w:rPr>
                <w:rFonts w:eastAsia="Times New Roman"/>
                <w:sz w:val="20"/>
                <w:szCs w:val="20"/>
              </w:rPr>
            </w:pPr>
          </w:p>
        </w:tc>
        <w:tc>
          <w:tcPr>
            <w:tcW w:w="5" w:type="pct"/>
            <w:vAlign w:val="center"/>
            <w:hideMark/>
          </w:tcPr>
          <w:p w14:paraId="3F3C1F65" w14:textId="77777777" w:rsidR="00000000" w:rsidRDefault="00405D16">
            <w:pPr>
              <w:spacing w:after="100"/>
              <w:rPr>
                <w:rFonts w:eastAsia="Times New Roman"/>
                <w:sz w:val="20"/>
                <w:szCs w:val="20"/>
              </w:rPr>
            </w:pPr>
          </w:p>
        </w:tc>
        <w:tc>
          <w:tcPr>
            <w:tcW w:w="50" w:type="pct"/>
            <w:vAlign w:val="center"/>
            <w:hideMark/>
          </w:tcPr>
          <w:p w14:paraId="008D3652" w14:textId="77777777" w:rsidR="00000000" w:rsidRDefault="00405D16">
            <w:pPr>
              <w:spacing w:after="100"/>
              <w:rPr>
                <w:rFonts w:eastAsia="Times New Roman"/>
                <w:sz w:val="20"/>
                <w:szCs w:val="20"/>
              </w:rPr>
            </w:pPr>
          </w:p>
        </w:tc>
        <w:tc>
          <w:tcPr>
            <w:tcW w:w="464" w:type="pct"/>
            <w:vAlign w:val="center"/>
            <w:hideMark/>
          </w:tcPr>
          <w:p w14:paraId="446985FC" w14:textId="77777777" w:rsidR="00000000" w:rsidRDefault="00405D16">
            <w:pPr>
              <w:spacing w:after="100"/>
              <w:rPr>
                <w:rFonts w:eastAsia="Times New Roman"/>
                <w:sz w:val="20"/>
                <w:szCs w:val="20"/>
              </w:rPr>
            </w:pPr>
          </w:p>
        </w:tc>
        <w:tc>
          <w:tcPr>
            <w:tcW w:w="5" w:type="pct"/>
            <w:vAlign w:val="center"/>
            <w:hideMark/>
          </w:tcPr>
          <w:p w14:paraId="1F45F61B" w14:textId="77777777" w:rsidR="00000000" w:rsidRDefault="00405D16">
            <w:pPr>
              <w:spacing w:after="100"/>
              <w:rPr>
                <w:rFonts w:eastAsia="Times New Roman"/>
                <w:sz w:val="20"/>
                <w:szCs w:val="20"/>
              </w:rPr>
            </w:pPr>
          </w:p>
        </w:tc>
        <w:tc>
          <w:tcPr>
            <w:tcW w:w="5" w:type="pct"/>
            <w:vAlign w:val="center"/>
            <w:hideMark/>
          </w:tcPr>
          <w:p w14:paraId="59FF3BC7" w14:textId="77777777" w:rsidR="00000000" w:rsidRDefault="00405D16">
            <w:pPr>
              <w:spacing w:after="100"/>
              <w:rPr>
                <w:rFonts w:eastAsia="Times New Roman"/>
                <w:sz w:val="20"/>
                <w:szCs w:val="20"/>
              </w:rPr>
            </w:pPr>
          </w:p>
        </w:tc>
        <w:tc>
          <w:tcPr>
            <w:tcW w:w="26" w:type="pct"/>
            <w:vAlign w:val="center"/>
            <w:hideMark/>
          </w:tcPr>
          <w:p w14:paraId="2FA5368F" w14:textId="77777777" w:rsidR="00000000" w:rsidRDefault="00405D16">
            <w:pPr>
              <w:spacing w:after="100"/>
              <w:rPr>
                <w:rFonts w:eastAsia="Times New Roman"/>
                <w:sz w:val="20"/>
                <w:szCs w:val="20"/>
              </w:rPr>
            </w:pPr>
          </w:p>
        </w:tc>
        <w:tc>
          <w:tcPr>
            <w:tcW w:w="5" w:type="pct"/>
            <w:vAlign w:val="center"/>
            <w:hideMark/>
          </w:tcPr>
          <w:p w14:paraId="702AC9B0" w14:textId="77777777" w:rsidR="00000000" w:rsidRDefault="00405D16">
            <w:pPr>
              <w:spacing w:after="100"/>
              <w:rPr>
                <w:rFonts w:eastAsia="Times New Roman"/>
                <w:sz w:val="20"/>
                <w:szCs w:val="20"/>
              </w:rPr>
            </w:pPr>
          </w:p>
        </w:tc>
        <w:tc>
          <w:tcPr>
            <w:tcW w:w="50" w:type="pct"/>
            <w:vAlign w:val="center"/>
            <w:hideMark/>
          </w:tcPr>
          <w:p w14:paraId="3488588E" w14:textId="77777777" w:rsidR="00000000" w:rsidRDefault="00405D16">
            <w:pPr>
              <w:spacing w:after="100"/>
              <w:rPr>
                <w:rFonts w:eastAsia="Times New Roman"/>
                <w:sz w:val="20"/>
                <w:szCs w:val="20"/>
              </w:rPr>
            </w:pPr>
          </w:p>
        </w:tc>
        <w:tc>
          <w:tcPr>
            <w:tcW w:w="464" w:type="pct"/>
            <w:vAlign w:val="center"/>
            <w:hideMark/>
          </w:tcPr>
          <w:p w14:paraId="6DB9FD8D" w14:textId="77777777" w:rsidR="00000000" w:rsidRDefault="00405D16">
            <w:pPr>
              <w:spacing w:after="100"/>
              <w:rPr>
                <w:rFonts w:eastAsia="Times New Roman"/>
                <w:sz w:val="20"/>
                <w:szCs w:val="20"/>
              </w:rPr>
            </w:pPr>
          </w:p>
        </w:tc>
        <w:tc>
          <w:tcPr>
            <w:tcW w:w="5" w:type="pct"/>
            <w:vAlign w:val="center"/>
            <w:hideMark/>
          </w:tcPr>
          <w:p w14:paraId="1340EC62" w14:textId="77777777" w:rsidR="00000000" w:rsidRDefault="00405D16">
            <w:pPr>
              <w:spacing w:after="100"/>
              <w:rPr>
                <w:rFonts w:eastAsia="Times New Roman"/>
                <w:sz w:val="20"/>
                <w:szCs w:val="20"/>
              </w:rPr>
            </w:pPr>
          </w:p>
        </w:tc>
        <w:tc>
          <w:tcPr>
            <w:tcW w:w="5" w:type="pct"/>
            <w:vAlign w:val="center"/>
            <w:hideMark/>
          </w:tcPr>
          <w:p w14:paraId="3CB91D48" w14:textId="77777777" w:rsidR="00000000" w:rsidRDefault="00405D16">
            <w:pPr>
              <w:spacing w:after="100"/>
              <w:rPr>
                <w:rFonts w:eastAsia="Times New Roman"/>
                <w:sz w:val="20"/>
                <w:szCs w:val="20"/>
              </w:rPr>
            </w:pPr>
          </w:p>
        </w:tc>
        <w:tc>
          <w:tcPr>
            <w:tcW w:w="26" w:type="pct"/>
            <w:vAlign w:val="center"/>
            <w:hideMark/>
          </w:tcPr>
          <w:p w14:paraId="24A5170B" w14:textId="77777777" w:rsidR="00000000" w:rsidRDefault="00405D16">
            <w:pPr>
              <w:spacing w:after="100"/>
              <w:rPr>
                <w:rFonts w:eastAsia="Times New Roman"/>
                <w:sz w:val="20"/>
                <w:szCs w:val="20"/>
              </w:rPr>
            </w:pPr>
          </w:p>
        </w:tc>
        <w:tc>
          <w:tcPr>
            <w:tcW w:w="5" w:type="pct"/>
            <w:vAlign w:val="center"/>
            <w:hideMark/>
          </w:tcPr>
          <w:p w14:paraId="6C71CA33" w14:textId="77777777" w:rsidR="00000000" w:rsidRDefault="00405D16">
            <w:pPr>
              <w:spacing w:after="100"/>
              <w:rPr>
                <w:rFonts w:eastAsia="Times New Roman"/>
                <w:sz w:val="20"/>
                <w:szCs w:val="20"/>
              </w:rPr>
            </w:pPr>
          </w:p>
        </w:tc>
        <w:tc>
          <w:tcPr>
            <w:tcW w:w="50" w:type="pct"/>
            <w:vAlign w:val="center"/>
            <w:hideMark/>
          </w:tcPr>
          <w:p w14:paraId="6466F21F" w14:textId="77777777" w:rsidR="00000000" w:rsidRDefault="00405D16">
            <w:pPr>
              <w:spacing w:after="100"/>
              <w:rPr>
                <w:rFonts w:eastAsia="Times New Roman"/>
                <w:sz w:val="20"/>
                <w:szCs w:val="20"/>
              </w:rPr>
            </w:pPr>
          </w:p>
        </w:tc>
        <w:tc>
          <w:tcPr>
            <w:tcW w:w="464" w:type="pct"/>
            <w:vAlign w:val="center"/>
            <w:hideMark/>
          </w:tcPr>
          <w:p w14:paraId="5C63892B" w14:textId="77777777" w:rsidR="00000000" w:rsidRDefault="00405D16">
            <w:pPr>
              <w:spacing w:after="100"/>
              <w:rPr>
                <w:rFonts w:eastAsia="Times New Roman"/>
                <w:sz w:val="20"/>
                <w:szCs w:val="20"/>
              </w:rPr>
            </w:pPr>
          </w:p>
        </w:tc>
        <w:tc>
          <w:tcPr>
            <w:tcW w:w="5" w:type="pct"/>
            <w:vAlign w:val="center"/>
            <w:hideMark/>
          </w:tcPr>
          <w:p w14:paraId="719224C3" w14:textId="77777777" w:rsidR="00000000" w:rsidRDefault="00405D16">
            <w:pPr>
              <w:spacing w:after="100"/>
              <w:rPr>
                <w:rFonts w:eastAsia="Times New Roman"/>
                <w:sz w:val="20"/>
                <w:szCs w:val="20"/>
              </w:rPr>
            </w:pPr>
          </w:p>
        </w:tc>
        <w:tc>
          <w:tcPr>
            <w:tcW w:w="5" w:type="pct"/>
            <w:vAlign w:val="center"/>
            <w:hideMark/>
          </w:tcPr>
          <w:p w14:paraId="0E994D7F" w14:textId="77777777" w:rsidR="00000000" w:rsidRDefault="00405D16">
            <w:pPr>
              <w:spacing w:after="100"/>
              <w:rPr>
                <w:rFonts w:eastAsia="Times New Roman"/>
                <w:sz w:val="20"/>
                <w:szCs w:val="20"/>
              </w:rPr>
            </w:pPr>
          </w:p>
        </w:tc>
        <w:tc>
          <w:tcPr>
            <w:tcW w:w="26" w:type="pct"/>
            <w:vAlign w:val="center"/>
            <w:hideMark/>
          </w:tcPr>
          <w:p w14:paraId="2A3EAFF8" w14:textId="77777777" w:rsidR="00000000" w:rsidRDefault="00405D16">
            <w:pPr>
              <w:spacing w:after="100"/>
              <w:rPr>
                <w:rFonts w:eastAsia="Times New Roman"/>
                <w:sz w:val="20"/>
                <w:szCs w:val="20"/>
              </w:rPr>
            </w:pPr>
          </w:p>
        </w:tc>
        <w:tc>
          <w:tcPr>
            <w:tcW w:w="5" w:type="pct"/>
            <w:vAlign w:val="center"/>
            <w:hideMark/>
          </w:tcPr>
          <w:p w14:paraId="41F184BA" w14:textId="77777777" w:rsidR="00000000" w:rsidRDefault="00405D16">
            <w:pPr>
              <w:spacing w:after="100"/>
              <w:rPr>
                <w:rFonts w:eastAsia="Times New Roman"/>
                <w:sz w:val="20"/>
                <w:szCs w:val="20"/>
              </w:rPr>
            </w:pPr>
          </w:p>
        </w:tc>
        <w:tc>
          <w:tcPr>
            <w:tcW w:w="50" w:type="pct"/>
            <w:vAlign w:val="center"/>
            <w:hideMark/>
          </w:tcPr>
          <w:p w14:paraId="697D9FEC" w14:textId="77777777" w:rsidR="00000000" w:rsidRDefault="00405D16">
            <w:pPr>
              <w:spacing w:after="100"/>
              <w:rPr>
                <w:rFonts w:eastAsia="Times New Roman"/>
                <w:sz w:val="20"/>
                <w:szCs w:val="20"/>
              </w:rPr>
            </w:pPr>
          </w:p>
        </w:tc>
        <w:tc>
          <w:tcPr>
            <w:tcW w:w="464" w:type="pct"/>
            <w:vAlign w:val="center"/>
            <w:hideMark/>
          </w:tcPr>
          <w:p w14:paraId="136CFE19" w14:textId="77777777" w:rsidR="00000000" w:rsidRDefault="00405D16">
            <w:pPr>
              <w:spacing w:after="100"/>
              <w:rPr>
                <w:rFonts w:eastAsia="Times New Roman"/>
                <w:sz w:val="20"/>
                <w:szCs w:val="20"/>
              </w:rPr>
            </w:pPr>
          </w:p>
        </w:tc>
        <w:tc>
          <w:tcPr>
            <w:tcW w:w="5" w:type="pct"/>
            <w:vAlign w:val="center"/>
            <w:hideMark/>
          </w:tcPr>
          <w:p w14:paraId="575CC4FF" w14:textId="77777777" w:rsidR="00000000" w:rsidRDefault="00405D16">
            <w:pPr>
              <w:spacing w:after="100"/>
              <w:rPr>
                <w:rFonts w:eastAsia="Times New Roman"/>
                <w:sz w:val="20"/>
                <w:szCs w:val="20"/>
              </w:rPr>
            </w:pPr>
          </w:p>
        </w:tc>
      </w:tr>
      <w:tr w:rsidR="00000000" w14:paraId="6A6FFD43" w14:textId="77777777">
        <w:trPr>
          <w:divId w:val="903296115"/>
        </w:trPr>
        <w:tc>
          <w:tcPr>
            <w:tcW w:w="0" w:type="auto"/>
            <w:gridSpan w:val="3"/>
            <w:tcMar>
              <w:top w:w="30" w:type="dxa"/>
              <w:left w:w="20" w:type="dxa"/>
              <w:bottom w:w="30" w:type="dxa"/>
              <w:right w:w="20" w:type="dxa"/>
            </w:tcMar>
            <w:vAlign w:val="bottom"/>
            <w:hideMark/>
          </w:tcPr>
          <w:p w14:paraId="613CB200" w14:textId="77777777" w:rsidR="00000000" w:rsidRDefault="00405D16">
            <w:pPr>
              <w:spacing w:after="100"/>
              <w:jc w:val="cente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085900D" w14:textId="77777777" w:rsidR="00000000" w:rsidRDefault="00405D16">
            <w:pPr>
              <w:spacing w:after="100"/>
              <w:jc w:val="center"/>
              <w:rPr>
                <w:rFonts w:eastAsia="Times New Roman"/>
              </w:rPr>
            </w:pPr>
          </w:p>
        </w:tc>
        <w:tc>
          <w:tcPr>
            <w:tcW w:w="0" w:type="auto"/>
            <w:gridSpan w:val="9"/>
            <w:tcMar>
              <w:top w:w="30" w:type="dxa"/>
              <w:left w:w="20" w:type="dxa"/>
              <w:bottom w:w="30" w:type="dxa"/>
              <w:right w:w="20" w:type="dxa"/>
            </w:tcMar>
            <w:vAlign w:val="center"/>
            <w:hideMark/>
          </w:tcPr>
          <w:p w14:paraId="4EF42BB2" w14:textId="77777777" w:rsidR="00000000" w:rsidRDefault="00405D16">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14:paraId="083D37F0" w14:textId="77777777" w:rsidR="00000000" w:rsidRDefault="00405D16">
            <w:pPr>
              <w:spacing w:after="100"/>
              <w:jc w:val="center"/>
              <w:rPr>
                <w:rFonts w:eastAsia="Times New Roman"/>
              </w:rPr>
            </w:pPr>
          </w:p>
        </w:tc>
        <w:tc>
          <w:tcPr>
            <w:tcW w:w="0" w:type="auto"/>
            <w:gridSpan w:val="9"/>
            <w:tcMar>
              <w:top w:w="30" w:type="dxa"/>
              <w:left w:w="20" w:type="dxa"/>
              <w:bottom w:w="30" w:type="dxa"/>
              <w:right w:w="20" w:type="dxa"/>
            </w:tcMar>
            <w:vAlign w:val="center"/>
            <w:hideMark/>
          </w:tcPr>
          <w:p w14:paraId="2F97B7B9" w14:textId="77777777" w:rsidR="00000000" w:rsidRDefault="00405D16">
            <w:pPr>
              <w:spacing w:after="100"/>
              <w:jc w:val="center"/>
              <w:rPr>
                <w:rFonts w:eastAsia="Times New Roman"/>
              </w:rPr>
            </w:pPr>
            <w:r>
              <w:rPr>
                <w:rFonts w:eastAsia="Times New Roman"/>
                <w:b/>
                <w:bCs/>
                <w:color w:val="000000"/>
                <w:sz w:val="16"/>
                <w:szCs w:val="16"/>
              </w:rPr>
              <w:t>December 31, 2020</w:t>
            </w:r>
          </w:p>
        </w:tc>
      </w:tr>
      <w:tr w:rsidR="00000000" w14:paraId="036CE0AA" w14:textId="77777777">
        <w:trPr>
          <w:divId w:val="903296115"/>
        </w:trPr>
        <w:tc>
          <w:tcPr>
            <w:tcW w:w="0" w:type="auto"/>
            <w:gridSpan w:val="3"/>
            <w:tcMar>
              <w:top w:w="30" w:type="dxa"/>
              <w:left w:w="20" w:type="dxa"/>
              <w:bottom w:w="30" w:type="dxa"/>
              <w:right w:w="20" w:type="dxa"/>
            </w:tcMar>
            <w:vAlign w:val="bottom"/>
            <w:hideMark/>
          </w:tcPr>
          <w:p w14:paraId="6553D100"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5B85C8C9"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3674B46A" w14:textId="77777777" w:rsidR="00000000" w:rsidRDefault="00405D16">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14:paraId="363A27D7"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70173B12" w14:textId="77777777" w:rsidR="00000000" w:rsidRDefault="00405D16">
            <w:pPr>
              <w:spacing w:after="100"/>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464204D2"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6DBFB9B0" w14:textId="77777777" w:rsidR="00000000" w:rsidRDefault="00405D16">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14:paraId="6F438720"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0CA3CFF0" w14:textId="77777777" w:rsidR="00000000" w:rsidRDefault="00405D16">
            <w:pPr>
              <w:spacing w:after="100"/>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r>
      <w:tr w:rsidR="00000000" w14:paraId="7790AAF7" w14:textId="77777777">
        <w:trPr>
          <w:divId w:val="90329611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2F38F43" w14:textId="77777777" w:rsidR="00000000" w:rsidRDefault="00405D16">
            <w:pPr>
              <w:spacing w:after="100"/>
              <w:rPr>
                <w:rFonts w:eastAsia="Times New Roman"/>
              </w:rPr>
            </w:pPr>
            <w:r>
              <w:rPr>
                <w:rFonts w:eastAsia="Times New Roman"/>
                <w:b/>
                <w:bCs/>
                <w:color w:val="000000"/>
                <w:sz w:val="18"/>
                <w:szCs w:val="18"/>
              </w:rPr>
              <w:t>Delinquency status:</w:t>
            </w:r>
          </w:p>
        </w:tc>
        <w:tc>
          <w:tcPr>
            <w:tcW w:w="0" w:type="auto"/>
            <w:gridSpan w:val="3"/>
            <w:shd w:val="clear" w:color="auto" w:fill="CCEEFF"/>
            <w:tcMar>
              <w:top w:w="0" w:type="dxa"/>
              <w:left w:w="20" w:type="dxa"/>
              <w:bottom w:w="0" w:type="dxa"/>
              <w:right w:w="20" w:type="dxa"/>
            </w:tcMar>
            <w:vAlign w:val="center"/>
            <w:hideMark/>
          </w:tcPr>
          <w:p w14:paraId="54CBA4FA"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384E80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C66A40"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2E6EFF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8FD076"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3D058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09CA88"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AABB021" w14:textId="77777777" w:rsidR="00000000" w:rsidRDefault="00405D16">
            <w:pPr>
              <w:spacing w:after="100"/>
              <w:rPr>
                <w:rFonts w:eastAsia="Times New Roman"/>
                <w:sz w:val="20"/>
                <w:szCs w:val="20"/>
              </w:rPr>
            </w:pPr>
          </w:p>
        </w:tc>
      </w:tr>
      <w:tr w:rsidR="00000000" w14:paraId="42BCF71D" w14:textId="77777777">
        <w:trPr>
          <w:divId w:val="903296115"/>
        </w:trPr>
        <w:tc>
          <w:tcPr>
            <w:tcW w:w="0" w:type="auto"/>
            <w:gridSpan w:val="3"/>
            <w:shd w:val="clear" w:color="auto" w:fill="FFFFFF"/>
            <w:tcMar>
              <w:top w:w="30" w:type="dxa"/>
              <w:left w:w="245" w:type="dxa"/>
              <w:bottom w:w="30" w:type="dxa"/>
              <w:right w:w="20" w:type="dxa"/>
            </w:tcMar>
            <w:vAlign w:val="center"/>
            <w:hideMark/>
          </w:tcPr>
          <w:p w14:paraId="03FBC2CA" w14:textId="77777777" w:rsidR="00000000" w:rsidRDefault="00405D16">
            <w:pPr>
              <w:spacing w:after="100"/>
              <w:rPr>
                <w:rFonts w:eastAsia="Times New Roman"/>
              </w:rPr>
            </w:pPr>
            <w:r>
              <w:rPr>
                <w:rFonts w:eastAsia="Times New Roman"/>
                <w:color w:val="000000"/>
                <w:sz w:val="18"/>
                <w:szCs w:val="18"/>
              </w:rPr>
              <w:t xml:space="preserve">30 – </w:t>
            </w:r>
            <w:r>
              <w:rPr>
                <w:rFonts w:eastAsia="Times New Roman"/>
                <w:color w:val="000000"/>
                <w:sz w:val="18"/>
                <w:szCs w:val="18"/>
              </w:rPr>
              <w:t>59 days</w:t>
            </w:r>
          </w:p>
        </w:tc>
        <w:tc>
          <w:tcPr>
            <w:tcW w:w="0" w:type="auto"/>
            <w:gridSpan w:val="3"/>
            <w:shd w:val="clear" w:color="auto" w:fill="FFFFFF"/>
            <w:tcMar>
              <w:top w:w="0" w:type="dxa"/>
              <w:left w:w="20" w:type="dxa"/>
              <w:bottom w:w="0" w:type="dxa"/>
              <w:right w:w="20" w:type="dxa"/>
            </w:tcMar>
            <w:vAlign w:val="center"/>
            <w:hideMark/>
          </w:tcPr>
          <w:p w14:paraId="6C6C7900"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186AE8FE"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587912A4" w14:textId="77777777" w:rsidR="00000000" w:rsidRDefault="00405D16">
            <w:pPr>
              <w:spacing w:after="100"/>
              <w:jc w:val="right"/>
              <w:rPr>
                <w:rFonts w:eastAsia="Times New Roman"/>
              </w:rPr>
            </w:pPr>
            <w:r>
              <w:rPr>
                <w:rFonts w:eastAsia="Times New Roman"/>
                <w:b/>
                <w:bCs/>
                <w:color w:val="000000"/>
                <w:sz w:val="18"/>
                <w:szCs w:val="18"/>
              </w:rPr>
              <w:t>2,993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7CD0A8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19949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0654902" w14:textId="77777777" w:rsidR="00000000" w:rsidRDefault="00405D16">
            <w:pPr>
              <w:spacing w:after="100"/>
              <w:jc w:val="right"/>
              <w:rPr>
                <w:rFonts w:eastAsia="Times New Roman"/>
              </w:rPr>
            </w:pPr>
            <w:r>
              <w:rPr>
                <w:rFonts w:eastAsia="Times New Roman"/>
                <w:b/>
                <w:bCs/>
                <w:color w:val="000000"/>
                <w:sz w:val="18"/>
                <w:szCs w:val="18"/>
              </w:rPr>
              <w:t>1.14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8AE8C65"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B4CE125" w14:textId="77777777" w:rsidR="00000000" w:rsidRDefault="00405D16">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7F664A97"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12487054" w14:textId="77777777" w:rsidR="00000000" w:rsidRDefault="00405D16">
            <w:pPr>
              <w:spacing w:after="100"/>
              <w:jc w:val="right"/>
              <w:rPr>
                <w:rFonts w:eastAsia="Times New Roman"/>
              </w:rPr>
            </w:pPr>
            <w:r>
              <w:rPr>
                <w:rFonts w:eastAsia="Times New Roman"/>
                <w:color w:val="000000"/>
                <w:sz w:val="18"/>
                <w:szCs w:val="18"/>
              </w:rPr>
              <w:t>3,330 </w:t>
            </w:r>
          </w:p>
        </w:tc>
        <w:tc>
          <w:tcPr>
            <w:tcW w:w="0" w:type="auto"/>
            <w:shd w:val="clear" w:color="auto" w:fill="FFFFFF"/>
            <w:tcMar>
              <w:top w:w="30" w:type="dxa"/>
              <w:left w:w="0" w:type="dxa"/>
              <w:bottom w:w="30" w:type="dxa"/>
              <w:right w:w="20" w:type="dxa"/>
            </w:tcMar>
            <w:vAlign w:val="center"/>
            <w:hideMark/>
          </w:tcPr>
          <w:p w14:paraId="000A088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F5FDD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7189A18" w14:textId="77777777" w:rsidR="00000000" w:rsidRDefault="00405D16">
            <w:pPr>
              <w:spacing w:after="100"/>
              <w:jc w:val="right"/>
              <w:rPr>
                <w:rFonts w:eastAsia="Times New Roman"/>
              </w:rPr>
            </w:pPr>
            <w:r>
              <w:rPr>
                <w:rFonts w:eastAsia="Times New Roman"/>
                <w:color w:val="000000"/>
                <w:sz w:val="18"/>
                <w:szCs w:val="18"/>
              </w:rPr>
              <w:t>1.32 </w:t>
            </w:r>
          </w:p>
        </w:tc>
        <w:tc>
          <w:tcPr>
            <w:tcW w:w="0" w:type="auto"/>
            <w:shd w:val="clear" w:color="auto" w:fill="FFFFFF"/>
            <w:tcMar>
              <w:top w:w="30" w:type="dxa"/>
              <w:left w:w="0" w:type="dxa"/>
              <w:bottom w:w="30" w:type="dxa"/>
              <w:right w:w="20" w:type="dxa"/>
            </w:tcMar>
            <w:vAlign w:val="center"/>
            <w:hideMark/>
          </w:tcPr>
          <w:p w14:paraId="15DC628A" w14:textId="77777777" w:rsidR="00000000" w:rsidRDefault="00405D16">
            <w:pPr>
              <w:spacing w:after="100"/>
              <w:jc w:val="right"/>
              <w:rPr>
                <w:rFonts w:eastAsia="Times New Roman"/>
              </w:rPr>
            </w:pPr>
            <w:r>
              <w:rPr>
                <w:rFonts w:eastAsia="Times New Roman"/>
                <w:color w:val="000000"/>
                <w:sz w:val="18"/>
                <w:szCs w:val="18"/>
              </w:rPr>
              <w:t>%</w:t>
            </w:r>
          </w:p>
        </w:tc>
      </w:tr>
      <w:tr w:rsidR="00000000" w14:paraId="43ABCD25" w14:textId="77777777">
        <w:trPr>
          <w:divId w:val="903296115"/>
        </w:trPr>
        <w:tc>
          <w:tcPr>
            <w:tcW w:w="0" w:type="auto"/>
            <w:gridSpan w:val="3"/>
            <w:shd w:val="clear" w:color="auto" w:fill="CCEEFF"/>
            <w:tcMar>
              <w:top w:w="30" w:type="dxa"/>
              <w:left w:w="245" w:type="dxa"/>
              <w:bottom w:w="30" w:type="dxa"/>
              <w:right w:w="20" w:type="dxa"/>
            </w:tcMar>
            <w:vAlign w:val="center"/>
            <w:hideMark/>
          </w:tcPr>
          <w:p w14:paraId="6660E91A" w14:textId="77777777" w:rsidR="00000000" w:rsidRDefault="00405D16">
            <w:pPr>
              <w:spacing w:after="100"/>
              <w:rPr>
                <w:rFonts w:eastAsia="Times New Roman"/>
              </w:rPr>
            </w:pPr>
            <w:r>
              <w:rPr>
                <w:rFonts w:eastAsia="Times New Roman"/>
                <w:color w:val="000000"/>
                <w:sz w:val="18"/>
                <w:szCs w:val="18"/>
              </w:rPr>
              <w:t>60 – 89 days</w:t>
            </w:r>
          </w:p>
        </w:tc>
        <w:tc>
          <w:tcPr>
            <w:tcW w:w="0" w:type="auto"/>
            <w:gridSpan w:val="3"/>
            <w:shd w:val="clear" w:color="auto" w:fill="CCEEFF"/>
            <w:tcMar>
              <w:top w:w="0" w:type="dxa"/>
              <w:left w:w="20" w:type="dxa"/>
              <w:bottom w:w="0" w:type="dxa"/>
              <w:right w:w="20" w:type="dxa"/>
            </w:tcMar>
            <w:vAlign w:val="center"/>
            <w:hideMark/>
          </w:tcPr>
          <w:p w14:paraId="2EDB74EB"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421397B" w14:textId="77777777" w:rsidR="00000000" w:rsidRDefault="00405D16">
            <w:pPr>
              <w:spacing w:after="100"/>
              <w:jc w:val="right"/>
              <w:rPr>
                <w:rFonts w:eastAsia="Times New Roman"/>
              </w:rPr>
            </w:pPr>
            <w:r>
              <w:rPr>
                <w:rFonts w:eastAsia="Times New Roman"/>
                <w:b/>
                <w:bCs/>
                <w:color w:val="000000"/>
                <w:sz w:val="18"/>
                <w:szCs w:val="18"/>
              </w:rPr>
              <w:t>1,379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9A702E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27C60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BE5515C" w14:textId="77777777" w:rsidR="00000000" w:rsidRDefault="00405D16">
            <w:pPr>
              <w:spacing w:after="100"/>
              <w:jc w:val="right"/>
              <w:rPr>
                <w:rFonts w:eastAsia="Times New Roman"/>
              </w:rPr>
            </w:pPr>
            <w:r>
              <w:rPr>
                <w:rFonts w:eastAsia="Times New Roman"/>
                <w:b/>
                <w:bCs/>
                <w:color w:val="000000"/>
                <w:sz w:val="18"/>
                <w:szCs w:val="18"/>
              </w:rPr>
              <w:t>0.53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76F2D8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33999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9984378" w14:textId="77777777" w:rsidR="00000000" w:rsidRDefault="00405D16">
            <w:pPr>
              <w:spacing w:after="100"/>
              <w:jc w:val="right"/>
              <w:rPr>
                <w:rFonts w:eastAsia="Times New Roman"/>
              </w:rPr>
            </w:pPr>
            <w:r>
              <w:rPr>
                <w:rFonts w:eastAsia="Times New Roman"/>
                <w:color w:val="000000"/>
                <w:sz w:val="18"/>
                <w:szCs w:val="18"/>
              </w:rPr>
              <w:t>1,485 </w:t>
            </w:r>
          </w:p>
        </w:tc>
        <w:tc>
          <w:tcPr>
            <w:tcW w:w="0" w:type="auto"/>
            <w:shd w:val="clear" w:color="auto" w:fill="CCEEFF"/>
            <w:tcMar>
              <w:top w:w="30" w:type="dxa"/>
              <w:left w:w="0" w:type="dxa"/>
              <w:bottom w:w="30" w:type="dxa"/>
              <w:right w:w="20" w:type="dxa"/>
            </w:tcMar>
            <w:vAlign w:val="center"/>
            <w:hideMark/>
          </w:tcPr>
          <w:p w14:paraId="416137F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AD1C1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11B1631" w14:textId="77777777" w:rsidR="00000000" w:rsidRDefault="00405D16">
            <w:pPr>
              <w:spacing w:after="100"/>
              <w:jc w:val="right"/>
              <w:rPr>
                <w:rFonts w:eastAsia="Times New Roman"/>
              </w:rPr>
            </w:pPr>
            <w:r>
              <w:rPr>
                <w:rFonts w:eastAsia="Times New Roman"/>
                <w:color w:val="000000"/>
                <w:sz w:val="18"/>
                <w:szCs w:val="18"/>
              </w:rPr>
              <w:t>0.59 </w:t>
            </w:r>
          </w:p>
        </w:tc>
        <w:tc>
          <w:tcPr>
            <w:tcW w:w="0" w:type="auto"/>
            <w:shd w:val="clear" w:color="auto" w:fill="CCEEFF"/>
            <w:tcMar>
              <w:top w:w="30" w:type="dxa"/>
              <w:left w:w="0" w:type="dxa"/>
              <w:bottom w:w="30" w:type="dxa"/>
              <w:right w:w="20" w:type="dxa"/>
            </w:tcMar>
            <w:vAlign w:val="center"/>
            <w:hideMark/>
          </w:tcPr>
          <w:p w14:paraId="572F10FE" w14:textId="77777777" w:rsidR="00000000" w:rsidRDefault="00405D16">
            <w:pPr>
              <w:spacing w:after="100"/>
              <w:jc w:val="right"/>
              <w:rPr>
                <w:rFonts w:eastAsia="Times New Roman"/>
              </w:rPr>
            </w:pPr>
          </w:p>
        </w:tc>
      </w:tr>
      <w:tr w:rsidR="00000000" w14:paraId="126DC2BC" w14:textId="77777777">
        <w:trPr>
          <w:divId w:val="903296115"/>
        </w:trPr>
        <w:tc>
          <w:tcPr>
            <w:tcW w:w="0" w:type="auto"/>
            <w:gridSpan w:val="3"/>
            <w:shd w:val="clear" w:color="auto" w:fill="FFFFFF"/>
            <w:tcMar>
              <w:top w:w="30" w:type="dxa"/>
              <w:left w:w="20" w:type="dxa"/>
              <w:bottom w:w="30" w:type="dxa"/>
              <w:right w:w="20" w:type="dxa"/>
            </w:tcMar>
            <w:vAlign w:val="center"/>
            <w:hideMark/>
          </w:tcPr>
          <w:p w14:paraId="30E9DB5C" w14:textId="77777777" w:rsidR="00000000" w:rsidRDefault="00405D16">
            <w:pPr>
              <w:spacing w:after="100"/>
              <w:divId w:val="1953053076"/>
              <w:rPr>
                <w:rFonts w:eastAsia="Times New Roman"/>
              </w:rPr>
            </w:pPr>
            <w:r>
              <w:rPr>
                <w:rFonts w:eastAsia="Times New Roman"/>
                <w:color w:val="000000"/>
                <w:sz w:val="18"/>
                <w:szCs w:val="18"/>
                <w:u w:val="single"/>
              </w:rPr>
              <w:t>&gt;</w:t>
            </w:r>
            <w:r>
              <w:rPr>
                <w:rFonts w:eastAsia="Times New Roman"/>
                <w:color w:val="000000"/>
                <w:sz w:val="18"/>
                <w:szCs w:val="18"/>
              </w:rPr>
              <w:t xml:space="preserve"> 90 days</w:t>
            </w:r>
          </w:p>
        </w:tc>
        <w:tc>
          <w:tcPr>
            <w:tcW w:w="0" w:type="auto"/>
            <w:gridSpan w:val="3"/>
            <w:shd w:val="clear" w:color="auto" w:fill="FFFFFF"/>
            <w:tcMar>
              <w:top w:w="0" w:type="dxa"/>
              <w:left w:w="20" w:type="dxa"/>
              <w:bottom w:w="0" w:type="dxa"/>
              <w:right w:w="20" w:type="dxa"/>
            </w:tcMar>
            <w:vAlign w:val="center"/>
            <w:hideMark/>
          </w:tcPr>
          <w:p w14:paraId="169126E0"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98D19AB" w14:textId="77777777" w:rsidR="00000000" w:rsidRDefault="00405D16">
            <w:pPr>
              <w:spacing w:after="100"/>
              <w:jc w:val="right"/>
              <w:rPr>
                <w:rFonts w:eastAsia="Times New Roman"/>
              </w:rPr>
            </w:pPr>
            <w:r>
              <w:rPr>
                <w:rFonts w:eastAsia="Times New Roman"/>
                <w:b/>
                <w:bCs/>
                <w:color w:val="000000"/>
                <w:sz w:val="18"/>
                <w:szCs w:val="18"/>
              </w:rPr>
              <w:t>1,195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51E9B1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30F01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A776C4F" w14:textId="77777777" w:rsidR="00000000" w:rsidRDefault="00405D16">
            <w:pPr>
              <w:spacing w:after="100"/>
              <w:jc w:val="right"/>
              <w:rPr>
                <w:rFonts w:eastAsia="Times New Roman"/>
              </w:rPr>
            </w:pPr>
            <w:r>
              <w:rPr>
                <w:rFonts w:eastAsia="Times New Roman"/>
                <w:b/>
                <w:bCs/>
                <w:color w:val="000000"/>
                <w:sz w:val="18"/>
                <w:szCs w:val="18"/>
              </w:rPr>
              <w:t>0.46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282F74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54495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D8D4D97" w14:textId="77777777" w:rsidR="00000000" w:rsidRDefault="00405D16">
            <w:pPr>
              <w:spacing w:after="100"/>
              <w:jc w:val="right"/>
              <w:rPr>
                <w:rFonts w:eastAsia="Times New Roman"/>
              </w:rPr>
            </w:pPr>
            <w:r>
              <w:rPr>
                <w:rFonts w:eastAsia="Times New Roman"/>
                <w:color w:val="000000"/>
                <w:sz w:val="18"/>
                <w:szCs w:val="18"/>
              </w:rPr>
              <w:t>1,749 </w:t>
            </w:r>
          </w:p>
        </w:tc>
        <w:tc>
          <w:tcPr>
            <w:tcW w:w="0" w:type="auto"/>
            <w:shd w:val="clear" w:color="auto" w:fill="FFFFFF"/>
            <w:tcMar>
              <w:top w:w="30" w:type="dxa"/>
              <w:left w:w="0" w:type="dxa"/>
              <w:bottom w:w="30" w:type="dxa"/>
              <w:right w:w="20" w:type="dxa"/>
            </w:tcMar>
            <w:vAlign w:val="center"/>
            <w:hideMark/>
          </w:tcPr>
          <w:p w14:paraId="40E6774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7B3F2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731A862" w14:textId="77777777" w:rsidR="00000000" w:rsidRDefault="00405D16">
            <w:pPr>
              <w:spacing w:after="100"/>
              <w:jc w:val="right"/>
              <w:rPr>
                <w:rFonts w:eastAsia="Times New Roman"/>
              </w:rPr>
            </w:pPr>
            <w:r>
              <w:rPr>
                <w:rFonts w:eastAsia="Times New Roman"/>
                <w:color w:val="000000"/>
                <w:sz w:val="18"/>
                <w:szCs w:val="18"/>
              </w:rPr>
              <w:t>0.70 </w:t>
            </w:r>
          </w:p>
        </w:tc>
        <w:tc>
          <w:tcPr>
            <w:tcW w:w="0" w:type="auto"/>
            <w:shd w:val="clear" w:color="auto" w:fill="FFFFFF"/>
            <w:tcMar>
              <w:top w:w="30" w:type="dxa"/>
              <w:left w:w="0" w:type="dxa"/>
              <w:bottom w:w="30" w:type="dxa"/>
              <w:right w:w="20" w:type="dxa"/>
            </w:tcMar>
            <w:vAlign w:val="center"/>
            <w:hideMark/>
          </w:tcPr>
          <w:p w14:paraId="771597CE" w14:textId="77777777" w:rsidR="00000000" w:rsidRDefault="00405D16">
            <w:pPr>
              <w:spacing w:after="100"/>
              <w:jc w:val="right"/>
              <w:rPr>
                <w:rFonts w:eastAsia="Times New Roman"/>
              </w:rPr>
            </w:pPr>
          </w:p>
        </w:tc>
      </w:tr>
      <w:tr w:rsidR="00000000" w14:paraId="54916892" w14:textId="77777777">
        <w:trPr>
          <w:divId w:val="903296115"/>
        </w:trPr>
        <w:tc>
          <w:tcPr>
            <w:tcW w:w="0" w:type="auto"/>
            <w:gridSpan w:val="3"/>
            <w:shd w:val="clear" w:color="auto" w:fill="CCEEFF"/>
            <w:tcMar>
              <w:top w:w="30" w:type="dxa"/>
              <w:left w:w="20" w:type="dxa"/>
              <w:bottom w:w="30" w:type="dxa"/>
              <w:right w:w="20" w:type="dxa"/>
            </w:tcMar>
            <w:vAlign w:val="center"/>
            <w:hideMark/>
          </w:tcPr>
          <w:p w14:paraId="17D45461" w14:textId="77777777" w:rsidR="00000000" w:rsidRDefault="00405D16">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47B5DBEA"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6C26F35"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C311DDF" w14:textId="77777777" w:rsidR="00000000" w:rsidRDefault="00405D16">
            <w:pPr>
              <w:spacing w:after="100"/>
              <w:jc w:val="right"/>
              <w:rPr>
                <w:rFonts w:eastAsia="Times New Roman"/>
              </w:rPr>
            </w:pPr>
            <w:r>
              <w:rPr>
                <w:rFonts w:eastAsia="Times New Roman"/>
                <w:b/>
                <w:bCs/>
                <w:color w:val="000000"/>
                <w:sz w:val="18"/>
                <w:szCs w:val="18"/>
              </w:rPr>
              <w:t>5,567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353B0C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B1A80C"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688A176" w14:textId="77777777" w:rsidR="00000000" w:rsidRDefault="00405D16">
            <w:pPr>
              <w:spacing w:after="100"/>
              <w:jc w:val="right"/>
              <w:rPr>
                <w:rFonts w:eastAsia="Times New Roman"/>
              </w:rPr>
            </w:pPr>
            <w:r>
              <w:rPr>
                <w:rFonts w:eastAsia="Times New Roman"/>
                <w:b/>
                <w:bCs/>
                <w:color w:val="000000"/>
                <w:sz w:val="18"/>
                <w:szCs w:val="18"/>
              </w:rPr>
              <w:t>2.13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2A7022F"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C0BA880" w14:textId="77777777" w:rsidR="00000000" w:rsidRDefault="00405D16">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64C3821"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51206C2" w14:textId="77777777" w:rsidR="00000000" w:rsidRDefault="00405D16">
            <w:pPr>
              <w:spacing w:after="100"/>
              <w:jc w:val="right"/>
              <w:rPr>
                <w:rFonts w:eastAsia="Times New Roman"/>
              </w:rPr>
            </w:pPr>
            <w:r>
              <w:rPr>
                <w:rFonts w:eastAsia="Times New Roman"/>
                <w:color w:val="000000"/>
                <w:sz w:val="18"/>
                <w:szCs w:val="18"/>
              </w:rPr>
              <w:t>6,564 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F99FFD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F9B4BF"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3980012" w14:textId="77777777" w:rsidR="00000000" w:rsidRDefault="00405D16">
            <w:pPr>
              <w:spacing w:after="100"/>
              <w:jc w:val="right"/>
              <w:rPr>
                <w:rFonts w:eastAsia="Times New Roman"/>
              </w:rPr>
            </w:pPr>
            <w:r>
              <w:rPr>
                <w:rFonts w:eastAsia="Times New Roman"/>
                <w:color w:val="000000"/>
                <w:sz w:val="18"/>
                <w:szCs w:val="18"/>
              </w:rPr>
              <w:t>2.61 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9476F9B" w14:textId="77777777" w:rsidR="00000000" w:rsidRDefault="00405D16">
            <w:pPr>
              <w:spacing w:after="100"/>
              <w:jc w:val="right"/>
              <w:rPr>
                <w:rFonts w:eastAsia="Times New Roman"/>
              </w:rPr>
            </w:pPr>
            <w:r>
              <w:rPr>
                <w:rFonts w:eastAsia="Times New Roman"/>
                <w:color w:val="000000"/>
                <w:sz w:val="18"/>
                <w:szCs w:val="18"/>
              </w:rPr>
              <w:t>%</w:t>
            </w:r>
          </w:p>
        </w:tc>
      </w:tr>
      <w:tr w:rsidR="00000000" w14:paraId="5F5BD2E8" w14:textId="77777777">
        <w:trPr>
          <w:divId w:val="903296115"/>
        </w:trPr>
        <w:tc>
          <w:tcPr>
            <w:tcW w:w="0" w:type="auto"/>
            <w:gridSpan w:val="3"/>
            <w:shd w:val="clear" w:color="auto" w:fill="FFFFFF"/>
            <w:tcMar>
              <w:top w:w="30" w:type="dxa"/>
              <w:left w:w="20" w:type="dxa"/>
              <w:bottom w:w="30" w:type="dxa"/>
              <w:right w:w="20" w:type="dxa"/>
            </w:tcMar>
            <w:vAlign w:val="center"/>
            <w:hideMark/>
          </w:tcPr>
          <w:p w14:paraId="69658C04" w14:textId="77777777" w:rsidR="00000000" w:rsidRDefault="00405D16">
            <w:pPr>
              <w:spacing w:after="100"/>
              <w:rPr>
                <w:rFonts w:eastAsia="Times New Roman"/>
              </w:rPr>
            </w:pPr>
            <w:r>
              <w:rPr>
                <w:rFonts w:eastAsia="Times New Roman"/>
                <w:b/>
                <w:bCs/>
                <w:color w:val="000000"/>
                <w:sz w:val="18"/>
                <w:szCs w:val="18"/>
              </w:rPr>
              <w:t>Geographic region:</w:t>
            </w:r>
          </w:p>
        </w:tc>
        <w:tc>
          <w:tcPr>
            <w:tcW w:w="0" w:type="auto"/>
            <w:gridSpan w:val="3"/>
            <w:shd w:val="clear" w:color="auto" w:fill="FFFFFF"/>
            <w:tcMar>
              <w:top w:w="0" w:type="dxa"/>
              <w:left w:w="20" w:type="dxa"/>
              <w:bottom w:w="0" w:type="dxa"/>
              <w:right w:w="20" w:type="dxa"/>
            </w:tcMar>
            <w:vAlign w:val="center"/>
            <w:hideMark/>
          </w:tcPr>
          <w:p w14:paraId="77B973A1" w14:textId="77777777" w:rsidR="00000000" w:rsidRDefault="00405D16">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095E33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39CACF"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126324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63A7C9"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728834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4098DB"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134BDA3" w14:textId="77777777" w:rsidR="00000000" w:rsidRDefault="00405D16">
            <w:pPr>
              <w:spacing w:after="100"/>
              <w:rPr>
                <w:rFonts w:eastAsia="Times New Roman"/>
                <w:sz w:val="20"/>
                <w:szCs w:val="20"/>
              </w:rPr>
            </w:pPr>
          </w:p>
        </w:tc>
      </w:tr>
      <w:tr w:rsidR="00000000" w14:paraId="71051DA3" w14:textId="77777777">
        <w:trPr>
          <w:divId w:val="903296115"/>
        </w:trPr>
        <w:tc>
          <w:tcPr>
            <w:tcW w:w="0" w:type="auto"/>
            <w:gridSpan w:val="3"/>
            <w:shd w:val="clear" w:color="auto" w:fill="CCEEFF"/>
            <w:tcMar>
              <w:top w:w="30" w:type="dxa"/>
              <w:left w:w="245" w:type="dxa"/>
              <w:bottom w:w="30" w:type="dxa"/>
              <w:right w:w="20" w:type="dxa"/>
            </w:tcMar>
            <w:vAlign w:val="center"/>
            <w:hideMark/>
          </w:tcPr>
          <w:p w14:paraId="60B6ED11" w14:textId="77777777" w:rsidR="00000000" w:rsidRDefault="00405D16">
            <w:pPr>
              <w:spacing w:after="100"/>
              <w:rPr>
                <w:rFonts w:eastAsia="Times New Roman"/>
              </w:rPr>
            </w:pPr>
            <w:r>
              <w:rPr>
                <w:rFonts w:eastAsia="Times New Roman"/>
                <w:color w:val="000000"/>
                <w:sz w:val="18"/>
                <w:szCs w:val="18"/>
              </w:rPr>
              <w:t>Domestic</w:t>
            </w:r>
          </w:p>
        </w:tc>
        <w:tc>
          <w:tcPr>
            <w:tcW w:w="0" w:type="auto"/>
            <w:gridSpan w:val="3"/>
            <w:shd w:val="clear" w:color="auto" w:fill="CCEEFF"/>
            <w:tcMar>
              <w:top w:w="0" w:type="dxa"/>
              <w:left w:w="20" w:type="dxa"/>
              <w:bottom w:w="0" w:type="dxa"/>
              <w:right w:w="20" w:type="dxa"/>
            </w:tcMar>
            <w:vAlign w:val="center"/>
            <w:hideMark/>
          </w:tcPr>
          <w:p w14:paraId="64B181DC" w14:textId="77777777" w:rsidR="00000000" w:rsidRDefault="00405D16">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08CFC937"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2666F2DD" w14:textId="77777777" w:rsidR="00000000" w:rsidRDefault="00405D16">
            <w:pPr>
              <w:spacing w:after="100"/>
              <w:jc w:val="right"/>
              <w:rPr>
                <w:rFonts w:eastAsia="Times New Roman"/>
              </w:rPr>
            </w:pPr>
            <w:r>
              <w:rPr>
                <w:rFonts w:eastAsia="Times New Roman"/>
                <w:b/>
                <w:bCs/>
                <w:color w:val="000000"/>
                <w:sz w:val="18"/>
                <w:szCs w:val="18"/>
              </w:rPr>
              <w:t>5,374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67FBE6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B794F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6DB6A28" w14:textId="77777777" w:rsidR="00000000" w:rsidRDefault="00405D16">
            <w:pPr>
              <w:spacing w:after="100"/>
              <w:jc w:val="right"/>
              <w:rPr>
                <w:rFonts w:eastAsia="Times New Roman"/>
              </w:rPr>
            </w:pPr>
            <w:r>
              <w:rPr>
                <w:rFonts w:eastAsia="Times New Roman"/>
                <w:b/>
                <w:bCs/>
                <w:color w:val="000000"/>
                <w:sz w:val="18"/>
                <w:szCs w:val="18"/>
              </w:rPr>
              <w:t>2.06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A843582"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D057FD0" w14:textId="77777777" w:rsidR="00000000" w:rsidRDefault="00405D16">
            <w:pPr>
              <w:spacing w:after="100"/>
              <w:jc w:val="right"/>
              <w:rPr>
                <w:rFonts w:eastAsia="Times New Roman"/>
              </w:rPr>
            </w:pPr>
          </w:p>
        </w:tc>
        <w:tc>
          <w:tcPr>
            <w:tcW w:w="0" w:type="auto"/>
            <w:shd w:val="clear" w:color="auto" w:fill="CCEEFF"/>
            <w:tcMar>
              <w:top w:w="30" w:type="dxa"/>
              <w:left w:w="20" w:type="dxa"/>
              <w:bottom w:w="30" w:type="dxa"/>
              <w:right w:w="0" w:type="dxa"/>
            </w:tcMar>
            <w:vAlign w:val="center"/>
            <w:hideMark/>
          </w:tcPr>
          <w:p w14:paraId="47052242"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2B0013B2" w14:textId="77777777" w:rsidR="00000000" w:rsidRDefault="00405D16">
            <w:pPr>
              <w:spacing w:after="100"/>
              <w:jc w:val="right"/>
              <w:rPr>
                <w:rFonts w:eastAsia="Times New Roman"/>
              </w:rPr>
            </w:pPr>
            <w:r>
              <w:rPr>
                <w:rFonts w:eastAsia="Times New Roman"/>
                <w:color w:val="000000"/>
                <w:sz w:val="18"/>
                <w:szCs w:val="18"/>
              </w:rPr>
              <w:t>6,330 </w:t>
            </w:r>
          </w:p>
        </w:tc>
        <w:tc>
          <w:tcPr>
            <w:tcW w:w="0" w:type="auto"/>
            <w:shd w:val="clear" w:color="auto" w:fill="CCEEFF"/>
            <w:tcMar>
              <w:top w:w="30" w:type="dxa"/>
              <w:left w:w="0" w:type="dxa"/>
              <w:bottom w:w="30" w:type="dxa"/>
              <w:right w:w="20" w:type="dxa"/>
            </w:tcMar>
            <w:vAlign w:val="center"/>
            <w:hideMark/>
          </w:tcPr>
          <w:p w14:paraId="3D0065B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4ACCF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7A6BF87" w14:textId="77777777" w:rsidR="00000000" w:rsidRDefault="00405D16">
            <w:pPr>
              <w:spacing w:after="100"/>
              <w:jc w:val="right"/>
              <w:rPr>
                <w:rFonts w:eastAsia="Times New Roman"/>
              </w:rPr>
            </w:pPr>
            <w:r>
              <w:rPr>
                <w:rFonts w:eastAsia="Times New Roman"/>
                <w:color w:val="000000"/>
                <w:sz w:val="18"/>
                <w:szCs w:val="18"/>
              </w:rPr>
              <w:t>2.52 </w:t>
            </w:r>
          </w:p>
        </w:tc>
        <w:tc>
          <w:tcPr>
            <w:tcW w:w="0" w:type="auto"/>
            <w:shd w:val="clear" w:color="auto" w:fill="CCEEFF"/>
            <w:tcMar>
              <w:top w:w="30" w:type="dxa"/>
              <w:left w:w="0" w:type="dxa"/>
              <w:bottom w:w="30" w:type="dxa"/>
              <w:right w:w="20" w:type="dxa"/>
            </w:tcMar>
            <w:vAlign w:val="center"/>
            <w:hideMark/>
          </w:tcPr>
          <w:p w14:paraId="530E9208" w14:textId="77777777" w:rsidR="00000000" w:rsidRDefault="00405D16">
            <w:pPr>
              <w:spacing w:after="100"/>
              <w:jc w:val="right"/>
              <w:rPr>
                <w:rFonts w:eastAsia="Times New Roman"/>
              </w:rPr>
            </w:pPr>
            <w:r>
              <w:rPr>
                <w:rFonts w:eastAsia="Times New Roman"/>
                <w:color w:val="000000"/>
                <w:sz w:val="18"/>
                <w:szCs w:val="18"/>
              </w:rPr>
              <w:t>%</w:t>
            </w:r>
          </w:p>
        </w:tc>
      </w:tr>
      <w:tr w:rsidR="00000000" w14:paraId="0B29E823" w14:textId="77777777">
        <w:trPr>
          <w:divId w:val="903296115"/>
        </w:trPr>
        <w:tc>
          <w:tcPr>
            <w:tcW w:w="0" w:type="auto"/>
            <w:gridSpan w:val="3"/>
            <w:shd w:val="clear" w:color="auto" w:fill="FFFFFF"/>
            <w:tcMar>
              <w:top w:w="30" w:type="dxa"/>
              <w:left w:w="245" w:type="dxa"/>
              <w:bottom w:w="30" w:type="dxa"/>
              <w:right w:w="20" w:type="dxa"/>
            </w:tcMar>
            <w:vAlign w:val="center"/>
            <w:hideMark/>
          </w:tcPr>
          <w:p w14:paraId="6C4EE329" w14:textId="77777777" w:rsidR="00000000" w:rsidRDefault="00405D16">
            <w:pPr>
              <w:spacing w:after="100"/>
              <w:rPr>
                <w:rFonts w:eastAsia="Times New Roman"/>
              </w:rPr>
            </w:pPr>
            <w:r>
              <w:rPr>
                <w:rFonts w:eastAsia="Times New Roman"/>
                <w:color w:val="000000"/>
                <w:sz w:val="18"/>
                <w:szCs w:val="18"/>
              </w:rPr>
              <w:t>International</w:t>
            </w:r>
          </w:p>
        </w:tc>
        <w:tc>
          <w:tcPr>
            <w:tcW w:w="0" w:type="auto"/>
            <w:gridSpan w:val="3"/>
            <w:shd w:val="clear" w:color="auto" w:fill="FFFFFF"/>
            <w:tcMar>
              <w:top w:w="0" w:type="dxa"/>
              <w:left w:w="20" w:type="dxa"/>
              <w:bottom w:w="0" w:type="dxa"/>
              <w:right w:w="20" w:type="dxa"/>
            </w:tcMar>
            <w:vAlign w:val="center"/>
            <w:hideMark/>
          </w:tcPr>
          <w:p w14:paraId="296D79EE"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7EB77CD" w14:textId="77777777" w:rsidR="00000000" w:rsidRDefault="00405D16">
            <w:pPr>
              <w:spacing w:after="100"/>
              <w:jc w:val="right"/>
              <w:rPr>
                <w:rFonts w:eastAsia="Times New Roman"/>
              </w:rPr>
            </w:pPr>
            <w:r>
              <w:rPr>
                <w:rFonts w:eastAsia="Times New Roman"/>
                <w:b/>
                <w:bCs/>
                <w:color w:val="000000"/>
                <w:sz w:val="18"/>
                <w:szCs w:val="18"/>
              </w:rPr>
              <w:t>193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F5FD33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375D8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90B7E0D" w14:textId="77777777" w:rsidR="00000000" w:rsidRDefault="00405D16">
            <w:pPr>
              <w:spacing w:after="100"/>
              <w:jc w:val="right"/>
              <w:rPr>
                <w:rFonts w:eastAsia="Times New Roman"/>
              </w:rPr>
            </w:pPr>
            <w:r>
              <w:rPr>
                <w:rFonts w:eastAsia="Times New Roman"/>
                <w:b/>
                <w:bCs/>
                <w:color w:val="000000"/>
                <w:sz w:val="18"/>
                <w:szCs w:val="18"/>
              </w:rPr>
              <w:t>0.07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8EF7E2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C8932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7C26DAD" w14:textId="77777777" w:rsidR="00000000" w:rsidRDefault="00405D16">
            <w:pPr>
              <w:spacing w:after="100"/>
              <w:jc w:val="right"/>
              <w:rPr>
                <w:rFonts w:eastAsia="Times New Roman"/>
              </w:rPr>
            </w:pPr>
            <w:r>
              <w:rPr>
                <w:rFonts w:eastAsia="Times New Roman"/>
                <w:color w:val="000000"/>
                <w:sz w:val="18"/>
                <w:szCs w:val="18"/>
              </w:rPr>
              <w:t>234 </w:t>
            </w:r>
          </w:p>
        </w:tc>
        <w:tc>
          <w:tcPr>
            <w:tcW w:w="0" w:type="auto"/>
            <w:shd w:val="clear" w:color="auto" w:fill="FFFFFF"/>
            <w:tcMar>
              <w:top w:w="30" w:type="dxa"/>
              <w:left w:w="0" w:type="dxa"/>
              <w:bottom w:w="30" w:type="dxa"/>
              <w:right w:w="20" w:type="dxa"/>
            </w:tcMar>
            <w:vAlign w:val="center"/>
            <w:hideMark/>
          </w:tcPr>
          <w:p w14:paraId="28F6614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FE11E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4014DC4" w14:textId="77777777" w:rsidR="00000000" w:rsidRDefault="00405D16">
            <w:pPr>
              <w:spacing w:after="100"/>
              <w:jc w:val="right"/>
              <w:rPr>
                <w:rFonts w:eastAsia="Times New Roman"/>
              </w:rPr>
            </w:pPr>
            <w:r>
              <w:rPr>
                <w:rFonts w:eastAsia="Times New Roman"/>
                <w:color w:val="000000"/>
                <w:sz w:val="18"/>
                <w:szCs w:val="18"/>
              </w:rPr>
              <w:t>0.09 </w:t>
            </w:r>
          </w:p>
        </w:tc>
        <w:tc>
          <w:tcPr>
            <w:tcW w:w="0" w:type="auto"/>
            <w:shd w:val="clear" w:color="auto" w:fill="FFFFFF"/>
            <w:tcMar>
              <w:top w:w="30" w:type="dxa"/>
              <w:left w:w="0" w:type="dxa"/>
              <w:bottom w:w="30" w:type="dxa"/>
              <w:right w:w="20" w:type="dxa"/>
            </w:tcMar>
            <w:vAlign w:val="center"/>
            <w:hideMark/>
          </w:tcPr>
          <w:p w14:paraId="01112E4D" w14:textId="77777777" w:rsidR="00000000" w:rsidRDefault="00405D16">
            <w:pPr>
              <w:spacing w:after="100"/>
              <w:jc w:val="right"/>
              <w:rPr>
                <w:rFonts w:eastAsia="Times New Roman"/>
              </w:rPr>
            </w:pPr>
          </w:p>
        </w:tc>
      </w:tr>
      <w:tr w:rsidR="00000000" w14:paraId="68A53B27" w14:textId="77777777">
        <w:trPr>
          <w:divId w:val="903296115"/>
        </w:trPr>
        <w:tc>
          <w:tcPr>
            <w:tcW w:w="0" w:type="auto"/>
            <w:gridSpan w:val="3"/>
            <w:shd w:val="clear" w:color="auto" w:fill="CCEEFF"/>
            <w:tcMar>
              <w:top w:w="30" w:type="dxa"/>
              <w:left w:w="20" w:type="dxa"/>
              <w:bottom w:w="30" w:type="dxa"/>
              <w:right w:w="20" w:type="dxa"/>
            </w:tcMar>
            <w:vAlign w:val="center"/>
            <w:hideMark/>
          </w:tcPr>
          <w:p w14:paraId="61BB47FA" w14:textId="77777777" w:rsidR="00000000" w:rsidRDefault="00405D16">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68C52F2D"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FAFC256"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4BF5A26" w14:textId="77777777" w:rsidR="00000000" w:rsidRDefault="00405D16">
            <w:pPr>
              <w:spacing w:after="100"/>
              <w:jc w:val="right"/>
              <w:rPr>
                <w:rFonts w:eastAsia="Times New Roman"/>
              </w:rPr>
            </w:pPr>
            <w:r>
              <w:rPr>
                <w:rFonts w:eastAsia="Times New Roman"/>
                <w:b/>
                <w:bCs/>
                <w:color w:val="000000"/>
                <w:sz w:val="18"/>
                <w:szCs w:val="18"/>
              </w:rPr>
              <w:t>5,567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BF235D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08C211" w14:textId="77777777" w:rsidR="00000000" w:rsidRDefault="00405D1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909BFF1" w14:textId="77777777" w:rsidR="00000000" w:rsidRDefault="00405D16">
            <w:pPr>
              <w:spacing w:after="100"/>
              <w:jc w:val="right"/>
              <w:rPr>
                <w:rFonts w:eastAsia="Times New Roman"/>
              </w:rPr>
            </w:pPr>
            <w:r>
              <w:rPr>
                <w:rFonts w:eastAsia="Times New Roman"/>
                <w:b/>
                <w:bCs/>
                <w:color w:val="000000"/>
                <w:sz w:val="18"/>
                <w:szCs w:val="18"/>
              </w:rPr>
              <w:t>2.13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615827A"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23B5ACF" w14:textId="77777777" w:rsidR="00000000" w:rsidRDefault="00405D16">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A17A4E4"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81DBC09" w14:textId="77777777" w:rsidR="00000000" w:rsidRDefault="00405D16">
            <w:pPr>
              <w:spacing w:after="100"/>
              <w:jc w:val="right"/>
              <w:rPr>
                <w:rFonts w:eastAsia="Times New Roman"/>
              </w:rPr>
            </w:pPr>
            <w:r>
              <w:rPr>
                <w:rFonts w:eastAsia="Times New Roman"/>
                <w:color w:val="000000"/>
                <w:sz w:val="18"/>
                <w:szCs w:val="18"/>
              </w:rPr>
              <w:t>6,564 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7C36CC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2FE687" w14:textId="77777777" w:rsidR="00000000" w:rsidRDefault="00405D1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BABAEA6" w14:textId="77777777" w:rsidR="00000000" w:rsidRDefault="00405D16">
            <w:pPr>
              <w:spacing w:after="100"/>
              <w:jc w:val="right"/>
              <w:rPr>
                <w:rFonts w:eastAsia="Times New Roman"/>
              </w:rPr>
            </w:pPr>
            <w:r>
              <w:rPr>
                <w:rFonts w:eastAsia="Times New Roman"/>
                <w:color w:val="000000"/>
                <w:sz w:val="18"/>
                <w:szCs w:val="18"/>
              </w:rPr>
              <w:t>2.61 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457D577" w14:textId="77777777" w:rsidR="00000000" w:rsidRDefault="00405D16">
            <w:pPr>
              <w:spacing w:after="100"/>
              <w:jc w:val="right"/>
              <w:rPr>
                <w:rFonts w:eastAsia="Times New Roman"/>
              </w:rPr>
            </w:pPr>
            <w:r>
              <w:rPr>
                <w:rFonts w:eastAsia="Times New Roman"/>
                <w:color w:val="000000"/>
                <w:sz w:val="18"/>
                <w:szCs w:val="18"/>
              </w:rPr>
              <w:t>%</w:t>
            </w:r>
          </w:p>
        </w:tc>
      </w:tr>
    </w:tbl>
    <w:p w14:paraId="25DB2A00" w14:textId="77777777" w:rsidR="00000000" w:rsidRDefault="00405D16">
      <w:pPr>
        <w:jc w:val="both"/>
        <w:divId w:val="903296115"/>
        <w:rPr>
          <w:rFonts w:eastAsia="Times New Roman"/>
        </w:rPr>
      </w:pPr>
      <w:r>
        <w:rPr>
          <w:rFonts w:eastAsia="Times New Roman"/>
          <w:color w:val="000000"/>
          <w:sz w:val="20"/>
          <w:szCs w:val="20"/>
        </w:rPr>
        <w:t>__________</w:t>
      </w:r>
    </w:p>
    <w:p w14:paraId="63E70BE1" w14:textId="77777777" w:rsidR="00000000" w:rsidRDefault="00405D16">
      <w:pPr>
        <w:ind w:hanging="360"/>
        <w:jc w:val="both"/>
        <w:divId w:val="74345498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Delinquency rates are calculated by dividing delinquency amounts by total period-end loans held for investment.</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50C9BCB6" w14:textId="77777777">
        <w:trPr>
          <w:divId w:val="40138178"/>
          <w:jc w:val="center"/>
        </w:trPr>
        <w:tc>
          <w:tcPr>
            <w:tcW w:w="50" w:type="pct"/>
            <w:vAlign w:val="center"/>
            <w:hideMark/>
          </w:tcPr>
          <w:p w14:paraId="31BF9453" w14:textId="77777777" w:rsidR="00000000" w:rsidRDefault="00405D16">
            <w:pPr>
              <w:ind w:hanging="360"/>
              <w:jc w:val="both"/>
              <w:rPr>
                <w:rFonts w:eastAsia="Times New Roman"/>
              </w:rPr>
            </w:pPr>
          </w:p>
        </w:tc>
        <w:tc>
          <w:tcPr>
            <w:tcW w:w="1606" w:type="pct"/>
            <w:vAlign w:val="center"/>
            <w:hideMark/>
          </w:tcPr>
          <w:p w14:paraId="1DAA08F9" w14:textId="77777777" w:rsidR="00000000" w:rsidRDefault="00405D16">
            <w:pPr>
              <w:spacing w:after="100"/>
              <w:rPr>
                <w:rFonts w:eastAsia="Times New Roman"/>
                <w:sz w:val="20"/>
                <w:szCs w:val="20"/>
              </w:rPr>
            </w:pPr>
          </w:p>
        </w:tc>
        <w:tc>
          <w:tcPr>
            <w:tcW w:w="5" w:type="pct"/>
            <w:vAlign w:val="center"/>
            <w:hideMark/>
          </w:tcPr>
          <w:p w14:paraId="1F27039D" w14:textId="77777777" w:rsidR="00000000" w:rsidRDefault="00405D16">
            <w:pPr>
              <w:spacing w:after="100"/>
              <w:rPr>
                <w:rFonts w:eastAsia="Times New Roman"/>
                <w:sz w:val="20"/>
                <w:szCs w:val="20"/>
              </w:rPr>
            </w:pPr>
          </w:p>
        </w:tc>
        <w:tc>
          <w:tcPr>
            <w:tcW w:w="50" w:type="pct"/>
            <w:vAlign w:val="center"/>
            <w:hideMark/>
          </w:tcPr>
          <w:p w14:paraId="36C258A1" w14:textId="77777777" w:rsidR="00000000" w:rsidRDefault="00405D16">
            <w:pPr>
              <w:spacing w:after="100"/>
              <w:rPr>
                <w:rFonts w:eastAsia="Times New Roman"/>
                <w:sz w:val="20"/>
                <w:szCs w:val="20"/>
              </w:rPr>
            </w:pPr>
          </w:p>
        </w:tc>
        <w:tc>
          <w:tcPr>
            <w:tcW w:w="1614" w:type="pct"/>
            <w:vAlign w:val="center"/>
            <w:hideMark/>
          </w:tcPr>
          <w:p w14:paraId="58CEF3F9" w14:textId="77777777" w:rsidR="00000000" w:rsidRDefault="00405D16">
            <w:pPr>
              <w:spacing w:after="100"/>
              <w:rPr>
                <w:rFonts w:eastAsia="Times New Roman"/>
                <w:sz w:val="20"/>
                <w:szCs w:val="20"/>
              </w:rPr>
            </w:pPr>
          </w:p>
        </w:tc>
        <w:tc>
          <w:tcPr>
            <w:tcW w:w="5" w:type="pct"/>
            <w:vAlign w:val="center"/>
            <w:hideMark/>
          </w:tcPr>
          <w:p w14:paraId="16728F58" w14:textId="77777777" w:rsidR="00000000" w:rsidRDefault="00405D16">
            <w:pPr>
              <w:spacing w:after="100"/>
              <w:rPr>
                <w:rFonts w:eastAsia="Times New Roman"/>
                <w:sz w:val="20"/>
                <w:szCs w:val="20"/>
              </w:rPr>
            </w:pPr>
          </w:p>
        </w:tc>
        <w:tc>
          <w:tcPr>
            <w:tcW w:w="50" w:type="pct"/>
            <w:vAlign w:val="center"/>
            <w:hideMark/>
          </w:tcPr>
          <w:p w14:paraId="43F1EE6C" w14:textId="77777777" w:rsidR="00000000" w:rsidRDefault="00405D16">
            <w:pPr>
              <w:spacing w:after="100"/>
              <w:rPr>
                <w:rFonts w:eastAsia="Times New Roman"/>
                <w:sz w:val="20"/>
                <w:szCs w:val="20"/>
              </w:rPr>
            </w:pPr>
          </w:p>
        </w:tc>
        <w:tc>
          <w:tcPr>
            <w:tcW w:w="1614" w:type="pct"/>
            <w:vAlign w:val="center"/>
            <w:hideMark/>
          </w:tcPr>
          <w:p w14:paraId="33547BB4" w14:textId="77777777" w:rsidR="00000000" w:rsidRDefault="00405D16">
            <w:pPr>
              <w:spacing w:after="100"/>
              <w:rPr>
                <w:rFonts w:eastAsia="Times New Roman"/>
                <w:sz w:val="20"/>
                <w:szCs w:val="20"/>
              </w:rPr>
            </w:pPr>
          </w:p>
        </w:tc>
        <w:tc>
          <w:tcPr>
            <w:tcW w:w="5" w:type="pct"/>
            <w:vAlign w:val="center"/>
            <w:hideMark/>
          </w:tcPr>
          <w:p w14:paraId="4B1A7365" w14:textId="77777777" w:rsidR="00000000" w:rsidRDefault="00405D16">
            <w:pPr>
              <w:spacing w:after="100"/>
              <w:rPr>
                <w:rFonts w:eastAsia="Times New Roman"/>
                <w:sz w:val="20"/>
                <w:szCs w:val="20"/>
              </w:rPr>
            </w:pPr>
          </w:p>
        </w:tc>
      </w:tr>
      <w:tr w:rsidR="00000000" w14:paraId="110AD69C" w14:textId="77777777">
        <w:trPr>
          <w:divId w:val="40138178"/>
          <w:trHeight w:val="300"/>
          <w:jc w:val="center"/>
        </w:trPr>
        <w:tc>
          <w:tcPr>
            <w:tcW w:w="0" w:type="auto"/>
            <w:gridSpan w:val="9"/>
            <w:tcMar>
              <w:top w:w="0" w:type="dxa"/>
              <w:left w:w="20" w:type="dxa"/>
              <w:bottom w:w="0" w:type="dxa"/>
              <w:right w:w="20" w:type="dxa"/>
            </w:tcMar>
            <w:vAlign w:val="center"/>
            <w:hideMark/>
          </w:tcPr>
          <w:p w14:paraId="665975D8" w14:textId="77777777" w:rsidR="00000000" w:rsidRDefault="00405D16">
            <w:pPr>
              <w:spacing w:after="100"/>
              <w:rPr>
                <w:rFonts w:eastAsia="Times New Roman"/>
                <w:sz w:val="20"/>
                <w:szCs w:val="20"/>
              </w:rPr>
            </w:pPr>
          </w:p>
        </w:tc>
      </w:tr>
      <w:tr w:rsidR="00000000" w14:paraId="33AD5279" w14:textId="77777777">
        <w:trPr>
          <w:divId w:val="40138178"/>
          <w:jc w:val="center"/>
        </w:trPr>
        <w:tc>
          <w:tcPr>
            <w:tcW w:w="0" w:type="auto"/>
            <w:gridSpan w:val="3"/>
            <w:tcMar>
              <w:top w:w="0" w:type="dxa"/>
              <w:left w:w="20" w:type="dxa"/>
              <w:bottom w:w="0" w:type="dxa"/>
              <w:right w:w="20" w:type="dxa"/>
            </w:tcMar>
            <w:vAlign w:val="center"/>
            <w:hideMark/>
          </w:tcPr>
          <w:p w14:paraId="67D7CACD"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C8C1A26" w14:textId="77777777" w:rsidR="00000000" w:rsidRDefault="00405D16">
            <w:pPr>
              <w:spacing w:after="100"/>
              <w:jc w:val="center"/>
              <w:rPr>
                <w:rFonts w:eastAsia="Times New Roman"/>
              </w:rPr>
            </w:pPr>
            <w:r>
              <w:rPr>
                <w:rFonts w:eastAsia="Times New Roman"/>
                <w:color w:val="000000"/>
                <w:sz w:val="16"/>
                <w:szCs w:val="16"/>
              </w:rPr>
              <w:t>44</w:t>
            </w:r>
          </w:p>
        </w:tc>
        <w:tc>
          <w:tcPr>
            <w:tcW w:w="0" w:type="auto"/>
            <w:gridSpan w:val="3"/>
            <w:tcMar>
              <w:top w:w="30" w:type="dxa"/>
              <w:left w:w="20" w:type="dxa"/>
              <w:bottom w:w="30" w:type="dxa"/>
              <w:right w:w="20" w:type="dxa"/>
            </w:tcMar>
            <w:vAlign w:val="bottom"/>
            <w:hideMark/>
          </w:tcPr>
          <w:p w14:paraId="05D4116E"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1B41B790" w14:textId="77777777" w:rsidR="00000000" w:rsidRDefault="00405D16">
      <w:pPr>
        <w:rPr>
          <w:rFonts w:eastAsia="Times New Roman"/>
        </w:rPr>
      </w:pPr>
      <w:r>
        <w:rPr>
          <w:rFonts w:eastAsia="Times New Roman"/>
        </w:rPr>
        <w:pict w14:anchorId="692F1EB9">
          <v:rect id="_x0000_i1069" style="width:0;height:1.5pt" o:hralign="center" o:hrstd="t" o:hr="t" fillcolor="#a0a0a0" stroked="f"/>
        </w:pict>
      </w:r>
    </w:p>
    <w:p w14:paraId="432BCD5A" w14:textId="77777777" w:rsidR="00000000" w:rsidRDefault="00405D16">
      <w:pPr>
        <w:ind w:hanging="360"/>
        <w:jc w:val="both"/>
        <w:divId w:val="1062828119"/>
        <w:rPr>
          <w:rFonts w:eastAsia="Times New Roman"/>
        </w:rPr>
      </w:pPr>
      <w:hyperlink w:anchor="idd54a04a485440b4ab4e56094c14d612_13" w:history="1">
        <w:r>
          <w:rPr>
            <w:rStyle w:val="a3"/>
            <w:rFonts w:eastAsia="Times New Roman"/>
            <w:sz w:val="16"/>
            <w:szCs w:val="16"/>
          </w:rPr>
          <w:t>Table of Contents</w:t>
        </w:r>
      </w:hyperlink>
    </w:p>
    <w:p w14:paraId="0271DED3" w14:textId="77777777" w:rsidR="00000000" w:rsidRDefault="00405D16">
      <w:pPr>
        <w:jc w:val="both"/>
        <w:divId w:val="1895963858"/>
        <w:rPr>
          <w:rFonts w:eastAsia="Times New Roman"/>
        </w:rPr>
      </w:pPr>
      <w:r>
        <w:rPr>
          <w:rFonts w:eastAsia="Times New Roman"/>
          <w:color w:val="000000"/>
          <w:sz w:val="20"/>
          <w:szCs w:val="20"/>
        </w:rPr>
        <w:t>Table 25 summarizes loans that were 90+ days delinquent as to interest or principal, and still accruing interest as of September 30, 2021 and D</w:t>
      </w:r>
      <w:r>
        <w:rPr>
          <w:rFonts w:eastAsia="Times New Roman"/>
          <w:color w:val="000000"/>
          <w:sz w:val="20"/>
          <w:szCs w:val="20"/>
        </w:rPr>
        <w:t xml:space="preserve">ecember 31, 2020. These loans consist primarily of credit card accounts between 90 days and 179 days past due. As permitted by regulatory guidance issued by the Federal Financial Institutions Examination Council, we continue to accrue interest and fees on </w:t>
      </w:r>
      <w:r>
        <w:rPr>
          <w:rFonts w:eastAsia="Times New Roman"/>
          <w:color w:val="000000"/>
          <w:sz w:val="20"/>
          <w:szCs w:val="20"/>
        </w:rPr>
        <w:t>domestic credit card loans through the date of charge off, which is typically in the period the account becomes 180 days past due.</w:t>
      </w:r>
    </w:p>
    <w:p w14:paraId="657DF20F" w14:textId="77777777" w:rsidR="00000000" w:rsidRDefault="00405D16">
      <w:pPr>
        <w:divId w:val="856653260"/>
        <w:rPr>
          <w:rFonts w:eastAsia="Times New Roman"/>
        </w:rPr>
      </w:pPr>
      <w:r>
        <w:rPr>
          <w:rFonts w:eastAsia="Times New Roman"/>
          <w:b/>
          <w:bCs/>
          <w:color w:val="000000"/>
          <w:sz w:val="18"/>
          <w:szCs w:val="18"/>
        </w:rPr>
        <w:t>Table 25: 90+ Day Delinquent Loans Accruing Interest</w:t>
      </w:r>
      <w:r>
        <w:rPr>
          <w:rFonts w:eastAsia="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0"/>
        <w:gridCol w:w="4448"/>
        <w:gridCol w:w="38"/>
        <w:gridCol w:w="36"/>
        <w:gridCol w:w="36"/>
        <w:gridCol w:w="36"/>
        <w:gridCol w:w="111"/>
        <w:gridCol w:w="658"/>
        <w:gridCol w:w="37"/>
        <w:gridCol w:w="36"/>
        <w:gridCol w:w="36"/>
        <w:gridCol w:w="36"/>
        <w:gridCol w:w="46"/>
        <w:gridCol w:w="635"/>
        <w:gridCol w:w="200"/>
        <w:gridCol w:w="36"/>
        <w:gridCol w:w="36"/>
        <w:gridCol w:w="36"/>
        <w:gridCol w:w="111"/>
        <w:gridCol w:w="659"/>
        <w:gridCol w:w="37"/>
        <w:gridCol w:w="36"/>
        <w:gridCol w:w="36"/>
        <w:gridCol w:w="36"/>
        <w:gridCol w:w="46"/>
        <w:gridCol w:w="638"/>
        <w:gridCol w:w="170"/>
      </w:tblGrid>
      <w:tr w:rsidR="00000000" w14:paraId="50A51DE2" w14:textId="77777777">
        <w:trPr>
          <w:divId w:val="2027558842"/>
        </w:trPr>
        <w:tc>
          <w:tcPr>
            <w:tcW w:w="50" w:type="pct"/>
            <w:vAlign w:val="center"/>
            <w:hideMark/>
          </w:tcPr>
          <w:p w14:paraId="2BBC0624" w14:textId="77777777" w:rsidR="00000000" w:rsidRDefault="00405D16">
            <w:pPr>
              <w:rPr>
                <w:rFonts w:eastAsia="Times New Roman"/>
              </w:rPr>
            </w:pPr>
          </w:p>
        </w:tc>
        <w:tc>
          <w:tcPr>
            <w:tcW w:w="2722" w:type="pct"/>
            <w:vAlign w:val="center"/>
            <w:hideMark/>
          </w:tcPr>
          <w:p w14:paraId="674451A4" w14:textId="77777777" w:rsidR="00000000" w:rsidRDefault="00405D16">
            <w:pPr>
              <w:spacing w:after="100"/>
              <w:rPr>
                <w:rFonts w:eastAsia="Times New Roman"/>
                <w:sz w:val="20"/>
                <w:szCs w:val="20"/>
              </w:rPr>
            </w:pPr>
          </w:p>
        </w:tc>
        <w:tc>
          <w:tcPr>
            <w:tcW w:w="5" w:type="pct"/>
            <w:vAlign w:val="center"/>
            <w:hideMark/>
          </w:tcPr>
          <w:p w14:paraId="42FCF41E" w14:textId="77777777" w:rsidR="00000000" w:rsidRDefault="00405D16">
            <w:pPr>
              <w:spacing w:after="100"/>
              <w:rPr>
                <w:rFonts w:eastAsia="Times New Roman"/>
                <w:sz w:val="20"/>
                <w:szCs w:val="20"/>
              </w:rPr>
            </w:pPr>
          </w:p>
        </w:tc>
        <w:tc>
          <w:tcPr>
            <w:tcW w:w="5" w:type="pct"/>
            <w:vAlign w:val="center"/>
            <w:hideMark/>
          </w:tcPr>
          <w:p w14:paraId="7D2E002E" w14:textId="77777777" w:rsidR="00000000" w:rsidRDefault="00405D16">
            <w:pPr>
              <w:spacing w:after="100"/>
              <w:rPr>
                <w:rFonts w:eastAsia="Times New Roman"/>
                <w:sz w:val="20"/>
                <w:szCs w:val="20"/>
              </w:rPr>
            </w:pPr>
          </w:p>
        </w:tc>
        <w:tc>
          <w:tcPr>
            <w:tcW w:w="26" w:type="pct"/>
            <w:vAlign w:val="center"/>
            <w:hideMark/>
          </w:tcPr>
          <w:p w14:paraId="68C9EA61" w14:textId="77777777" w:rsidR="00000000" w:rsidRDefault="00405D16">
            <w:pPr>
              <w:spacing w:after="100"/>
              <w:rPr>
                <w:rFonts w:eastAsia="Times New Roman"/>
                <w:sz w:val="20"/>
                <w:szCs w:val="20"/>
              </w:rPr>
            </w:pPr>
          </w:p>
        </w:tc>
        <w:tc>
          <w:tcPr>
            <w:tcW w:w="5" w:type="pct"/>
            <w:vAlign w:val="center"/>
            <w:hideMark/>
          </w:tcPr>
          <w:p w14:paraId="25318D3E" w14:textId="77777777" w:rsidR="00000000" w:rsidRDefault="00405D16">
            <w:pPr>
              <w:spacing w:after="100"/>
              <w:rPr>
                <w:rFonts w:eastAsia="Times New Roman"/>
                <w:sz w:val="20"/>
                <w:szCs w:val="20"/>
              </w:rPr>
            </w:pPr>
          </w:p>
        </w:tc>
        <w:tc>
          <w:tcPr>
            <w:tcW w:w="50" w:type="pct"/>
            <w:vAlign w:val="center"/>
            <w:hideMark/>
          </w:tcPr>
          <w:p w14:paraId="79043C9E" w14:textId="77777777" w:rsidR="00000000" w:rsidRDefault="00405D16">
            <w:pPr>
              <w:spacing w:after="100"/>
              <w:rPr>
                <w:rFonts w:eastAsia="Times New Roman"/>
                <w:sz w:val="20"/>
                <w:szCs w:val="20"/>
              </w:rPr>
            </w:pPr>
          </w:p>
        </w:tc>
        <w:tc>
          <w:tcPr>
            <w:tcW w:w="464" w:type="pct"/>
            <w:vAlign w:val="center"/>
            <w:hideMark/>
          </w:tcPr>
          <w:p w14:paraId="329662F9" w14:textId="77777777" w:rsidR="00000000" w:rsidRDefault="00405D16">
            <w:pPr>
              <w:spacing w:after="100"/>
              <w:rPr>
                <w:rFonts w:eastAsia="Times New Roman"/>
                <w:sz w:val="20"/>
                <w:szCs w:val="20"/>
              </w:rPr>
            </w:pPr>
          </w:p>
        </w:tc>
        <w:tc>
          <w:tcPr>
            <w:tcW w:w="5" w:type="pct"/>
            <w:vAlign w:val="center"/>
            <w:hideMark/>
          </w:tcPr>
          <w:p w14:paraId="4E5FC1BF" w14:textId="77777777" w:rsidR="00000000" w:rsidRDefault="00405D16">
            <w:pPr>
              <w:spacing w:after="100"/>
              <w:rPr>
                <w:rFonts w:eastAsia="Times New Roman"/>
                <w:sz w:val="20"/>
                <w:szCs w:val="20"/>
              </w:rPr>
            </w:pPr>
          </w:p>
        </w:tc>
        <w:tc>
          <w:tcPr>
            <w:tcW w:w="5" w:type="pct"/>
            <w:vAlign w:val="center"/>
            <w:hideMark/>
          </w:tcPr>
          <w:p w14:paraId="4A98ADAE" w14:textId="77777777" w:rsidR="00000000" w:rsidRDefault="00405D16">
            <w:pPr>
              <w:spacing w:after="100"/>
              <w:rPr>
                <w:rFonts w:eastAsia="Times New Roman"/>
                <w:sz w:val="20"/>
                <w:szCs w:val="20"/>
              </w:rPr>
            </w:pPr>
          </w:p>
        </w:tc>
        <w:tc>
          <w:tcPr>
            <w:tcW w:w="26" w:type="pct"/>
            <w:vAlign w:val="center"/>
            <w:hideMark/>
          </w:tcPr>
          <w:p w14:paraId="5E4BB843" w14:textId="77777777" w:rsidR="00000000" w:rsidRDefault="00405D16">
            <w:pPr>
              <w:spacing w:after="100"/>
              <w:rPr>
                <w:rFonts w:eastAsia="Times New Roman"/>
                <w:sz w:val="20"/>
                <w:szCs w:val="20"/>
              </w:rPr>
            </w:pPr>
          </w:p>
        </w:tc>
        <w:tc>
          <w:tcPr>
            <w:tcW w:w="5" w:type="pct"/>
            <w:vAlign w:val="center"/>
            <w:hideMark/>
          </w:tcPr>
          <w:p w14:paraId="19E8CA31" w14:textId="77777777" w:rsidR="00000000" w:rsidRDefault="00405D16">
            <w:pPr>
              <w:spacing w:after="100"/>
              <w:rPr>
                <w:rFonts w:eastAsia="Times New Roman"/>
                <w:sz w:val="20"/>
                <w:szCs w:val="20"/>
              </w:rPr>
            </w:pPr>
          </w:p>
        </w:tc>
        <w:tc>
          <w:tcPr>
            <w:tcW w:w="50" w:type="pct"/>
            <w:vAlign w:val="center"/>
            <w:hideMark/>
          </w:tcPr>
          <w:p w14:paraId="12A18A34" w14:textId="77777777" w:rsidR="00000000" w:rsidRDefault="00405D16">
            <w:pPr>
              <w:spacing w:after="100"/>
              <w:rPr>
                <w:rFonts w:eastAsia="Times New Roman"/>
                <w:sz w:val="20"/>
                <w:szCs w:val="20"/>
              </w:rPr>
            </w:pPr>
          </w:p>
        </w:tc>
        <w:tc>
          <w:tcPr>
            <w:tcW w:w="464" w:type="pct"/>
            <w:vAlign w:val="center"/>
            <w:hideMark/>
          </w:tcPr>
          <w:p w14:paraId="5A3F9C8B" w14:textId="77777777" w:rsidR="00000000" w:rsidRDefault="00405D16">
            <w:pPr>
              <w:spacing w:after="100"/>
              <w:rPr>
                <w:rFonts w:eastAsia="Times New Roman"/>
                <w:sz w:val="20"/>
                <w:szCs w:val="20"/>
              </w:rPr>
            </w:pPr>
          </w:p>
        </w:tc>
        <w:tc>
          <w:tcPr>
            <w:tcW w:w="5" w:type="pct"/>
            <w:vAlign w:val="center"/>
            <w:hideMark/>
          </w:tcPr>
          <w:p w14:paraId="55656E6A" w14:textId="77777777" w:rsidR="00000000" w:rsidRDefault="00405D16">
            <w:pPr>
              <w:spacing w:after="100"/>
              <w:rPr>
                <w:rFonts w:eastAsia="Times New Roman"/>
                <w:sz w:val="20"/>
                <w:szCs w:val="20"/>
              </w:rPr>
            </w:pPr>
          </w:p>
        </w:tc>
        <w:tc>
          <w:tcPr>
            <w:tcW w:w="5" w:type="pct"/>
            <w:vAlign w:val="center"/>
            <w:hideMark/>
          </w:tcPr>
          <w:p w14:paraId="2F49C442" w14:textId="77777777" w:rsidR="00000000" w:rsidRDefault="00405D16">
            <w:pPr>
              <w:spacing w:after="100"/>
              <w:rPr>
                <w:rFonts w:eastAsia="Times New Roman"/>
                <w:sz w:val="20"/>
                <w:szCs w:val="20"/>
              </w:rPr>
            </w:pPr>
          </w:p>
        </w:tc>
        <w:tc>
          <w:tcPr>
            <w:tcW w:w="26" w:type="pct"/>
            <w:vAlign w:val="center"/>
            <w:hideMark/>
          </w:tcPr>
          <w:p w14:paraId="3BFAD318" w14:textId="77777777" w:rsidR="00000000" w:rsidRDefault="00405D16">
            <w:pPr>
              <w:spacing w:after="100"/>
              <w:rPr>
                <w:rFonts w:eastAsia="Times New Roman"/>
                <w:sz w:val="20"/>
                <w:szCs w:val="20"/>
              </w:rPr>
            </w:pPr>
          </w:p>
        </w:tc>
        <w:tc>
          <w:tcPr>
            <w:tcW w:w="5" w:type="pct"/>
            <w:vAlign w:val="center"/>
            <w:hideMark/>
          </w:tcPr>
          <w:p w14:paraId="208125A0" w14:textId="77777777" w:rsidR="00000000" w:rsidRDefault="00405D16">
            <w:pPr>
              <w:spacing w:after="100"/>
              <w:rPr>
                <w:rFonts w:eastAsia="Times New Roman"/>
                <w:sz w:val="20"/>
                <w:szCs w:val="20"/>
              </w:rPr>
            </w:pPr>
          </w:p>
        </w:tc>
        <w:tc>
          <w:tcPr>
            <w:tcW w:w="50" w:type="pct"/>
            <w:vAlign w:val="center"/>
            <w:hideMark/>
          </w:tcPr>
          <w:p w14:paraId="158D1FCD" w14:textId="77777777" w:rsidR="00000000" w:rsidRDefault="00405D16">
            <w:pPr>
              <w:spacing w:after="100"/>
              <w:rPr>
                <w:rFonts w:eastAsia="Times New Roman"/>
                <w:sz w:val="20"/>
                <w:szCs w:val="20"/>
              </w:rPr>
            </w:pPr>
          </w:p>
        </w:tc>
        <w:tc>
          <w:tcPr>
            <w:tcW w:w="464" w:type="pct"/>
            <w:vAlign w:val="center"/>
            <w:hideMark/>
          </w:tcPr>
          <w:p w14:paraId="6209C98C" w14:textId="77777777" w:rsidR="00000000" w:rsidRDefault="00405D16">
            <w:pPr>
              <w:spacing w:after="100"/>
              <w:rPr>
                <w:rFonts w:eastAsia="Times New Roman"/>
                <w:sz w:val="20"/>
                <w:szCs w:val="20"/>
              </w:rPr>
            </w:pPr>
          </w:p>
        </w:tc>
        <w:tc>
          <w:tcPr>
            <w:tcW w:w="5" w:type="pct"/>
            <w:vAlign w:val="center"/>
            <w:hideMark/>
          </w:tcPr>
          <w:p w14:paraId="2C85E40A" w14:textId="77777777" w:rsidR="00000000" w:rsidRDefault="00405D16">
            <w:pPr>
              <w:spacing w:after="100"/>
              <w:rPr>
                <w:rFonts w:eastAsia="Times New Roman"/>
                <w:sz w:val="20"/>
                <w:szCs w:val="20"/>
              </w:rPr>
            </w:pPr>
          </w:p>
        </w:tc>
        <w:tc>
          <w:tcPr>
            <w:tcW w:w="5" w:type="pct"/>
            <w:vAlign w:val="center"/>
            <w:hideMark/>
          </w:tcPr>
          <w:p w14:paraId="278A27DB" w14:textId="77777777" w:rsidR="00000000" w:rsidRDefault="00405D16">
            <w:pPr>
              <w:spacing w:after="100"/>
              <w:rPr>
                <w:rFonts w:eastAsia="Times New Roman"/>
                <w:sz w:val="20"/>
                <w:szCs w:val="20"/>
              </w:rPr>
            </w:pPr>
          </w:p>
        </w:tc>
        <w:tc>
          <w:tcPr>
            <w:tcW w:w="26" w:type="pct"/>
            <w:vAlign w:val="center"/>
            <w:hideMark/>
          </w:tcPr>
          <w:p w14:paraId="7A27B653" w14:textId="77777777" w:rsidR="00000000" w:rsidRDefault="00405D16">
            <w:pPr>
              <w:spacing w:after="100"/>
              <w:rPr>
                <w:rFonts w:eastAsia="Times New Roman"/>
                <w:sz w:val="20"/>
                <w:szCs w:val="20"/>
              </w:rPr>
            </w:pPr>
          </w:p>
        </w:tc>
        <w:tc>
          <w:tcPr>
            <w:tcW w:w="5" w:type="pct"/>
            <w:vAlign w:val="center"/>
            <w:hideMark/>
          </w:tcPr>
          <w:p w14:paraId="608A9014" w14:textId="77777777" w:rsidR="00000000" w:rsidRDefault="00405D16">
            <w:pPr>
              <w:spacing w:after="100"/>
              <w:rPr>
                <w:rFonts w:eastAsia="Times New Roman"/>
                <w:sz w:val="20"/>
                <w:szCs w:val="20"/>
              </w:rPr>
            </w:pPr>
          </w:p>
        </w:tc>
        <w:tc>
          <w:tcPr>
            <w:tcW w:w="50" w:type="pct"/>
            <w:vAlign w:val="center"/>
            <w:hideMark/>
          </w:tcPr>
          <w:p w14:paraId="3EC627E8" w14:textId="77777777" w:rsidR="00000000" w:rsidRDefault="00405D16">
            <w:pPr>
              <w:spacing w:after="100"/>
              <w:rPr>
                <w:rFonts w:eastAsia="Times New Roman"/>
                <w:sz w:val="20"/>
                <w:szCs w:val="20"/>
              </w:rPr>
            </w:pPr>
          </w:p>
        </w:tc>
        <w:tc>
          <w:tcPr>
            <w:tcW w:w="464" w:type="pct"/>
            <w:vAlign w:val="center"/>
            <w:hideMark/>
          </w:tcPr>
          <w:p w14:paraId="52F5C48C" w14:textId="77777777" w:rsidR="00000000" w:rsidRDefault="00405D16">
            <w:pPr>
              <w:spacing w:after="100"/>
              <w:rPr>
                <w:rFonts w:eastAsia="Times New Roman"/>
                <w:sz w:val="20"/>
                <w:szCs w:val="20"/>
              </w:rPr>
            </w:pPr>
          </w:p>
        </w:tc>
        <w:tc>
          <w:tcPr>
            <w:tcW w:w="5" w:type="pct"/>
            <w:vAlign w:val="center"/>
            <w:hideMark/>
          </w:tcPr>
          <w:p w14:paraId="398223D3" w14:textId="77777777" w:rsidR="00000000" w:rsidRDefault="00405D16">
            <w:pPr>
              <w:spacing w:after="100"/>
              <w:rPr>
                <w:rFonts w:eastAsia="Times New Roman"/>
                <w:sz w:val="20"/>
                <w:szCs w:val="20"/>
              </w:rPr>
            </w:pPr>
          </w:p>
        </w:tc>
      </w:tr>
      <w:tr w:rsidR="00000000" w14:paraId="5AF4A740" w14:textId="77777777">
        <w:trPr>
          <w:divId w:val="2027558842"/>
        </w:trPr>
        <w:tc>
          <w:tcPr>
            <w:tcW w:w="0" w:type="auto"/>
            <w:gridSpan w:val="3"/>
            <w:tcMar>
              <w:top w:w="30" w:type="dxa"/>
              <w:left w:w="245" w:type="dxa"/>
              <w:bottom w:w="30" w:type="dxa"/>
              <w:right w:w="20" w:type="dxa"/>
            </w:tcMar>
            <w:vAlign w:val="bottom"/>
            <w:hideMark/>
          </w:tcPr>
          <w:p w14:paraId="697844D6"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45F5A87F" w14:textId="77777777" w:rsidR="00000000" w:rsidRDefault="00405D16">
            <w:pPr>
              <w:spacing w:after="100"/>
              <w:rPr>
                <w:rFonts w:eastAsia="Times New Roman"/>
              </w:rPr>
            </w:pPr>
          </w:p>
        </w:tc>
        <w:tc>
          <w:tcPr>
            <w:tcW w:w="0" w:type="auto"/>
            <w:gridSpan w:val="9"/>
            <w:tcMar>
              <w:top w:w="30" w:type="dxa"/>
              <w:left w:w="20" w:type="dxa"/>
              <w:bottom w:w="30" w:type="dxa"/>
              <w:right w:w="20" w:type="dxa"/>
            </w:tcMar>
            <w:vAlign w:val="center"/>
            <w:hideMark/>
          </w:tcPr>
          <w:p w14:paraId="7C4DF968" w14:textId="77777777" w:rsidR="00000000" w:rsidRDefault="00405D16">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14:paraId="566612DA" w14:textId="77777777" w:rsidR="00000000" w:rsidRDefault="00405D16">
            <w:pPr>
              <w:spacing w:after="100"/>
              <w:jc w:val="center"/>
              <w:rPr>
                <w:rFonts w:eastAsia="Times New Roman"/>
              </w:rPr>
            </w:pPr>
          </w:p>
        </w:tc>
        <w:tc>
          <w:tcPr>
            <w:tcW w:w="0" w:type="auto"/>
            <w:gridSpan w:val="9"/>
            <w:tcMar>
              <w:top w:w="30" w:type="dxa"/>
              <w:left w:w="20" w:type="dxa"/>
              <w:bottom w:w="30" w:type="dxa"/>
              <w:right w:w="20" w:type="dxa"/>
            </w:tcMar>
            <w:vAlign w:val="center"/>
            <w:hideMark/>
          </w:tcPr>
          <w:p w14:paraId="24EE09A4" w14:textId="77777777" w:rsidR="00000000" w:rsidRDefault="00405D16">
            <w:pPr>
              <w:spacing w:after="100"/>
              <w:jc w:val="center"/>
              <w:rPr>
                <w:rFonts w:eastAsia="Times New Roman"/>
              </w:rPr>
            </w:pPr>
            <w:r>
              <w:rPr>
                <w:rFonts w:eastAsia="Times New Roman"/>
                <w:b/>
                <w:bCs/>
                <w:color w:val="000000"/>
                <w:sz w:val="16"/>
                <w:szCs w:val="16"/>
              </w:rPr>
              <w:t>December 31, 2020</w:t>
            </w:r>
          </w:p>
        </w:tc>
      </w:tr>
      <w:tr w:rsidR="00000000" w14:paraId="4F7C3EF1" w14:textId="77777777">
        <w:trPr>
          <w:divId w:val="2027558842"/>
        </w:trPr>
        <w:tc>
          <w:tcPr>
            <w:tcW w:w="0" w:type="auto"/>
            <w:gridSpan w:val="3"/>
            <w:tcMar>
              <w:top w:w="30" w:type="dxa"/>
              <w:left w:w="20" w:type="dxa"/>
              <w:bottom w:w="30" w:type="dxa"/>
              <w:right w:w="20" w:type="dxa"/>
            </w:tcMar>
            <w:vAlign w:val="bottom"/>
            <w:hideMark/>
          </w:tcPr>
          <w:p w14:paraId="76C137CF"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6D87002D"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6F1EA17A" w14:textId="77777777" w:rsidR="00000000" w:rsidRDefault="00405D16">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14:paraId="0525AB27"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1123A4F4" w14:textId="77777777" w:rsidR="00000000" w:rsidRDefault="00405D16">
            <w:pPr>
              <w:spacing w:after="100"/>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1F7BD772"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6D04E9BB" w14:textId="77777777" w:rsidR="00000000" w:rsidRDefault="00405D16">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14:paraId="7087A969"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1F7B125D" w14:textId="77777777" w:rsidR="00000000" w:rsidRDefault="00405D16">
            <w:pPr>
              <w:spacing w:after="100"/>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r>
      <w:tr w:rsidR="00000000" w14:paraId="08B62EB1" w14:textId="77777777">
        <w:trPr>
          <w:divId w:val="202755884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6C87967D" w14:textId="77777777" w:rsidR="00000000" w:rsidRDefault="00405D16">
            <w:pPr>
              <w:spacing w:after="100"/>
              <w:rPr>
                <w:rFonts w:eastAsia="Times New Roman"/>
              </w:rPr>
            </w:pPr>
            <w:r>
              <w:rPr>
                <w:rFonts w:eastAsia="Times New Roman"/>
                <w:b/>
                <w:bCs/>
                <w:color w:val="000000"/>
                <w:sz w:val="18"/>
                <w:szCs w:val="18"/>
              </w:rPr>
              <w:t>Loan category:</w:t>
            </w:r>
          </w:p>
        </w:tc>
        <w:tc>
          <w:tcPr>
            <w:tcW w:w="0" w:type="auto"/>
            <w:gridSpan w:val="3"/>
            <w:shd w:val="clear" w:color="auto" w:fill="CCEEFF"/>
            <w:tcMar>
              <w:top w:w="0" w:type="dxa"/>
              <w:left w:w="20" w:type="dxa"/>
              <w:bottom w:w="0" w:type="dxa"/>
              <w:right w:w="20" w:type="dxa"/>
            </w:tcMar>
            <w:vAlign w:val="center"/>
            <w:hideMark/>
          </w:tcPr>
          <w:p w14:paraId="28A52BAD"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38965D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14A25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7A527D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F65872"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6ABD22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A8DEC1"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17676BF" w14:textId="77777777" w:rsidR="00000000" w:rsidRDefault="00405D16">
            <w:pPr>
              <w:spacing w:after="100"/>
              <w:rPr>
                <w:rFonts w:eastAsia="Times New Roman"/>
                <w:sz w:val="20"/>
                <w:szCs w:val="20"/>
              </w:rPr>
            </w:pPr>
          </w:p>
        </w:tc>
      </w:tr>
      <w:tr w:rsidR="00000000" w14:paraId="2685DDE4" w14:textId="77777777">
        <w:trPr>
          <w:divId w:val="2027558842"/>
        </w:trPr>
        <w:tc>
          <w:tcPr>
            <w:tcW w:w="0" w:type="auto"/>
            <w:gridSpan w:val="3"/>
            <w:shd w:val="clear" w:color="auto" w:fill="FFFFFF"/>
            <w:tcMar>
              <w:top w:w="30" w:type="dxa"/>
              <w:left w:w="245" w:type="dxa"/>
              <w:bottom w:w="30" w:type="dxa"/>
              <w:right w:w="20" w:type="dxa"/>
            </w:tcMar>
            <w:vAlign w:val="center"/>
            <w:hideMark/>
          </w:tcPr>
          <w:p w14:paraId="502A03B5" w14:textId="77777777" w:rsidR="00000000" w:rsidRDefault="00405D16">
            <w:pPr>
              <w:spacing w:after="100"/>
              <w:rPr>
                <w:rFonts w:eastAsia="Times New Roman"/>
              </w:rPr>
            </w:pPr>
            <w:r>
              <w:rPr>
                <w:rFonts w:eastAsia="Times New Roman"/>
                <w:color w:val="000000"/>
                <w:sz w:val="18"/>
                <w:szCs w:val="18"/>
              </w:rPr>
              <w:t>Credit card</w:t>
            </w:r>
          </w:p>
        </w:tc>
        <w:tc>
          <w:tcPr>
            <w:tcW w:w="0" w:type="auto"/>
            <w:gridSpan w:val="3"/>
            <w:shd w:val="clear" w:color="auto" w:fill="FFFFFF"/>
            <w:tcMar>
              <w:top w:w="0" w:type="dxa"/>
              <w:left w:w="20" w:type="dxa"/>
              <w:bottom w:w="0" w:type="dxa"/>
              <w:right w:w="20" w:type="dxa"/>
            </w:tcMar>
            <w:vAlign w:val="center"/>
            <w:hideMark/>
          </w:tcPr>
          <w:p w14:paraId="76DD1490"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1A6AC20A"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0CA2B880" w14:textId="77777777" w:rsidR="00000000" w:rsidRDefault="00405D16">
            <w:pPr>
              <w:spacing w:after="100"/>
              <w:jc w:val="right"/>
              <w:rPr>
                <w:rFonts w:eastAsia="Times New Roman"/>
              </w:rPr>
            </w:pPr>
            <w:r>
              <w:rPr>
                <w:rFonts w:eastAsia="Times New Roman"/>
                <w:b/>
                <w:bCs/>
                <w:color w:val="000000"/>
                <w:sz w:val="18"/>
                <w:szCs w:val="18"/>
              </w:rPr>
              <w:t>915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98CC92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0F033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FFC1BF8" w14:textId="77777777" w:rsidR="00000000" w:rsidRDefault="00405D16">
            <w:pPr>
              <w:spacing w:after="100"/>
              <w:jc w:val="right"/>
              <w:rPr>
                <w:rFonts w:eastAsia="Times New Roman"/>
              </w:rPr>
            </w:pPr>
            <w:r>
              <w:rPr>
                <w:rFonts w:eastAsia="Times New Roman"/>
                <w:b/>
                <w:bCs/>
                <w:color w:val="000000"/>
                <w:sz w:val="18"/>
                <w:szCs w:val="18"/>
              </w:rPr>
              <w:t>0.87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5C9C6A5"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8D681B5" w14:textId="77777777" w:rsidR="00000000" w:rsidRDefault="00405D16">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683AC775"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3202B104" w14:textId="77777777" w:rsidR="00000000" w:rsidRDefault="00405D16">
            <w:pPr>
              <w:spacing w:after="100"/>
              <w:jc w:val="right"/>
              <w:rPr>
                <w:rFonts w:eastAsia="Times New Roman"/>
              </w:rPr>
            </w:pPr>
            <w:r>
              <w:rPr>
                <w:rFonts w:eastAsia="Times New Roman"/>
                <w:color w:val="000000"/>
                <w:sz w:val="18"/>
                <w:szCs w:val="18"/>
              </w:rPr>
              <w:t>1,251 </w:t>
            </w:r>
          </w:p>
        </w:tc>
        <w:tc>
          <w:tcPr>
            <w:tcW w:w="0" w:type="auto"/>
            <w:shd w:val="clear" w:color="auto" w:fill="FFFFFF"/>
            <w:tcMar>
              <w:top w:w="30" w:type="dxa"/>
              <w:left w:w="0" w:type="dxa"/>
              <w:bottom w:w="30" w:type="dxa"/>
              <w:right w:w="20" w:type="dxa"/>
            </w:tcMar>
            <w:vAlign w:val="center"/>
            <w:hideMark/>
          </w:tcPr>
          <w:p w14:paraId="2C4DB44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0AE39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8CAB842" w14:textId="77777777" w:rsidR="00000000" w:rsidRDefault="00405D16">
            <w:pPr>
              <w:spacing w:after="100"/>
              <w:jc w:val="right"/>
              <w:rPr>
                <w:rFonts w:eastAsia="Times New Roman"/>
              </w:rPr>
            </w:pPr>
            <w:r>
              <w:rPr>
                <w:rFonts w:eastAsia="Times New Roman"/>
                <w:color w:val="000000"/>
                <w:sz w:val="18"/>
                <w:szCs w:val="18"/>
              </w:rPr>
              <w:t>1.17 </w:t>
            </w:r>
          </w:p>
        </w:tc>
        <w:tc>
          <w:tcPr>
            <w:tcW w:w="0" w:type="auto"/>
            <w:shd w:val="clear" w:color="auto" w:fill="FFFFFF"/>
            <w:tcMar>
              <w:top w:w="30" w:type="dxa"/>
              <w:left w:w="0" w:type="dxa"/>
              <w:bottom w:w="30" w:type="dxa"/>
              <w:right w:w="20" w:type="dxa"/>
            </w:tcMar>
            <w:vAlign w:val="center"/>
            <w:hideMark/>
          </w:tcPr>
          <w:p w14:paraId="640B749F" w14:textId="77777777" w:rsidR="00000000" w:rsidRDefault="00405D16">
            <w:pPr>
              <w:spacing w:after="100"/>
              <w:jc w:val="right"/>
              <w:rPr>
                <w:rFonts w:eastAsia="Times New Roman"/>
              </w:rPr>
            </w:pPr>
            <w:r>
              <w:rPr>
                <w:rFonts w:eastAsia="Times New Roman"/>
                <w:color w:val="000000"/>
                <w:sz w:val="18"/>
                <w:szCs w:val="18"/>
              </w:rPr>
              <w:t>%</w:t>
            </w:r>
          </w:p>
        </w:tc>
      </w:tr>
      <w:tr w:rsidR="00000000" w14:paraId="4E885352" w14:textId="77777777">
        <w:trPr>
          <w:divId w:val="2027558842"/>
        </w:trPr>
        <w:tc>
          <w:tcPr>
            <w:tcW w:w="0" w:type="auto"/>
            <w:gridSpan w:val="3"/>
            <w:shd w:val="clear" w:color="auto" w:fill="CCEEFF"/>
            <w:tcMar>
              <w:top w:w="30" w:type="dxa"/>
              <w:left w:w="245" w:type="dxa"/>
              <w:bottom w:w="30" w:type="dxa"/>
              <w:right w:w="20" w:type="dxa"/>
            </w:tcMar>
            <w:vAlign w:val="center"/>
            <w:hideMark/>
          </w:tcPr>
          <w:p w14:paraId="789E3D68" w14:textId="77777777" w:rsidR="00000000" w:rsidRDefault="00405D16">
            <w:pPr>
              <w:spacing w:after="100"/>
              <w:rPr>
                <w:rFonts w:eastAsia="Times New Roman"/>
              </w:rPr>
            </w:pPr>
            <w:r>
              <w:rPr>
                <w:rFonts w:eastAsia="Times New Roman"/>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14:paraId="69A6A6DB"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95C04F0" w14:textId="77777777" w:rsidR="00000000" w:rsidRDefault="00405D16">
            <w:pPr>
              <w:spacing w:after="100"/>
              <w:jc w:val="right"/>
              <w:rPr>
                <w:rFonts w:eastAsia="Times New Roman"/>
              </w:rPr>
            </w:pPr>
            <w:r>
              <w:rPr>
                <w:rFonts w:eastAsia="Times New Roman"/>
                <w:b/>
                <w:bCs/>
                <w:color w:val="000000"/>
                <w:sz w:val="18"/>
                <w:szCs w:val="18"/>
              </w:rPr>
              <w:t>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A363BD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A15F2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2CB09D2" w14:textId="77777777" w:rsidR="00000000" w:rsidRDefault="00405D16">
            <w:pPr>
              <w:spacing w:after="100"/>
              <w:jc w:val="right"/>
              <w:rPr>
                <w:rFonts w:eastAsia="Times New Roman"/>
              </w:rPr>
            </w:pPr>
            <w:r>
              <w:rPr>
                <w:rFonts w:eastAsia="Times New Roman"/>
                <w:b/>
                <w:bCs/>
                <w:color w:val="000000"/>
                <w:sz w:val="18"/>
                <w:szCs w:val="18"/>
              </w:rPr>
              <w:t>0.01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24483C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81000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4EADAFE" w14:textId="77777777" w:rsidR="00000000" w:rsidRDefault="00405D16">
            <w:pPr>
              <w:spacing w:after="100"/>
              <w:jc w:val="right"/>
              <w:rPr>
                <w:rFonts w:eastAsia="Times New Roman"/>
              </w:rPr>
            </w:pPr>
            <w:r>
              <w:rPr>
                <w:rFonts w:eastAsia="Times New Roman"/>
                <w:color w:val="000000"/>
                <w:sz w:val="18"/>
                <w:szCs w:val="18"/>
              </w:rPr>
              <w:t>51 </w:t>
            </w:r>
          </w:p>
        </w:tc>
        <w:tc>
          <w:tcPr>
            <w:tcW w:w="0" w:type="auto"/>
            <w:shd w:val="clear" w:color="auto" w:fill="CCEEFF"/>
            <w:tcMar>
              <w:top w:w="30" w:type="dxa"/>
              <w:left w:w="0" w:type="dxa"/>
              <w:bottom w:w="30" w:type="dxa"/>
              <w:right w:w="20" w:type="dxa"/>
            </w:tcMar>
            <w:vAlign w:val="center"/>
            <w:hideMark/>
          </w:tcPr>
          <w:p w14:paraId="20E0230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ABCA4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67D1696" w14:textId="77777777" w:rsidR="00000000" w:rsidRDefault="00405D16">
            <w:pPr>
              <w:spacing w:after="100"/>
              <w:jc w:val="right"/>
              <w:rPr>
                <w:rFonts w:eastAsia="Times New Roman"/>
              </w:rPr>
            </w:pPr>
            <w:r>
              <w:rPr>
                <w:rFonts w:eastAsia="Times New Roman"/>
                <w:color w:val="000000"/>
                <w:sz w:val="18"/>
                <w:szCs w:val="18"/>
              </w:rPr>
              <w:t>0.07 </w:t>
            </w:r>
          </w:p>
        </w:tc>
        <w:tc>
          <w:tcPr>
            <w:tcW w:w="0" w:type="auto"/>
            <w:shd w:val="clear" w:color="auto" w:fill="CCEEFF"/>
            <w:tcMar>
              <w:top w:w="30" w:type="dxa"/>
              <w:left w:w="0" w:type="dxa"/>
              <w:bottom w:w="30" w:type="dxa"/>
              <w:right w:w="20" w:type="dxa"/>
            </w:tcMar>
            <w:vAlign w:val="center"/>
            <w:hideMark/>
          </w:tcPr>
          <w:p w14:paraId="47D842D2" w14:textId="77777777" w:rsidR="00000000" w:rsidRDefault="00405D16">
            <w:pPr>
              <w:spacing w:after="100"/>
              <w:jc w:val="right"/>
              <w:rPr>
                <w:rFonts w:eastAsia="Times New Roman"/>
              </w:rPr>
            </w:pPr>
          </w:p>
        </w:tc>
      </w:tr>
      <w:tr w:rsidR="00000000" w14:paraId="5E23DA3A" w14:textId="77777777">
        <w:trPr>
          <w:divId w:val="2027558842"/>
        </w:trPr>
        <w:tc>
          <w:tcPr>
            <w:tcW w:w="0" w:type="auto"/>
            <w:gridSpan w:val="3"/>
            <w:shd w:val="clear" w:color="auto" w:fill="FFFFFF"/>
            <w:tcMar>
              <w:top w:w="30" w:type="dxa"/>
              <w:left w:w="20" w:type="dxa"/>
              <w:bottom w:w="30" w:type="dxa"/>
              <w:right w:w="20" w:type="dxa"/>
            </w:tcMar>
            <w:vAlign w:val="center"/>
            <w:hideMark/>
          </w:tcPr>
          <w:p w14:paraId="5EF1533E" w14:textId="77777777" w:rsidR="00000000" w:rsidRDefault="00405D16">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6B136549" w14:textId="77777777" w:rsidR="00000000" w:rsidRDefault="00405D16">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622193B5"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3D2C8010" w14:textId="77777777" w:rsidR="00000000" w:rsidRDefault="00405D16">
            <w:pPr>
              <w:spacing w:after="100"/>
              <w:jc w:val="right"/>
              <w:rPr>
                <w:rFonts w:eastAsia="Times New Roman"/>
              </w:rPr>
            </w:pPr>
            <w:r>
              <w:rPr>
                <w:rFonts w:eastAsia="Times New Roman"/>
                <w:b/>
                <w:bCs/>
                <w:color w:val="000000"/>
                <w:sz w:val="18"/>
                <w:szCs w:val="18"/>
              </w:rPr>
              <w:t>922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F39C29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EA564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9FD73CE" w14:textId="77777777" w:rsidR="00000000" w:rsidRDefault="00405D16">
            <w:pPr>
              <w:spacing w:after="100"/>
              <w:jc w:val="right"/>
              <w:rPr>
                <w:rFonts w:eastAsia="Times New Roman"/>
              </w:rPr>
            </w:pPr>
            <w:r>
              <w:rPr>
                <w:rFonts w:eastAsia="Times New Roman"/>
                <w:b/>
                <w:bCs/>
                <w:color w:val="000000"/>
                <w:sz w:val="18"/>
                <w:szCs w:val="18"/>
              </w:rPr>
              <w:t>0.35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B5089A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BD3053"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73F3883C"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60BE6CD1" w14:textId="77777777" w:rsidR="00000000" w:rsidRDefault="00405D16">
            <w:pPr>
              <w:spacing w:after="100"/>
              <w:jc w:val="right"/>
              <w:rPr>
                <w:rFonts w:eastAsia="Times New Roman"/>
              </w:rPr>
            </w:pPr>
            <w:r>
              <w:rPr>
                <w:rFonts w:eastAsia="Times New Roman"/>
                <w:color w:val="000000"/>
                <w:sz w:val="18"/>
                <w:szCs w:val="18"/>
              </w:rPr>
              <w:t>1,302 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461740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AE06A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4428FD6" w14:textId="77777777" w:rsidR="00000000" w:rsidRDefault="00405D16">
            <w:pPr>
              <w:spacing w:after="100"/>
              <w:jc w:val="right"/>
              <w:rPr>
                <w:rFonts w:eastAsia="Times New Roman"/>
              </w:rPr>
            </w:pPr>
            <w:r>
              <w:rPr>
                <w:rFonts w:eastAsia="Times New Roman"/>
                <w:color w:val="000000"/>
                <w:sz w:val="18"/>
                <w:szCs w:val="18"/>
              </w:rPr>
              <w:t>0.52 </w:t>
            </w:r>
          </w:p>
        </w:tc>
        <w:tc>
          <w:tcPr>
            <w:tcW w:w="0" w:type="auto"/>
            <w:shd w:val="clear" w:color="auto" w:fill="FFFFFF"/>
            <w:tcMar>
              <w:top w:w="30" w:type="dxa"/>
              <w:left w:w="0" w:type="dxa"/>
              <w:bottom w:w="30" w:type="dxa"/>
              <w:right w:w="20" w:type="dxa"/>
            </w:tcMar>
            <w:vAlign w:val="center"/>
            <w:hideMark/>
          </w:tcPr>
          <w:p w14:paraId="5894C3AE" w14:textId="77777777" w:rsidR="00000000" w:rsidRDefault="00405D16">
            <w:pPr>
              <w:spacing w:after="100"/>
              <w:jc w:val="right"/>
              <w:rPr>
                <w:rFonts w:eastAsia="Times New Roman"/>
              </w:rPr>
            </w:pPr>
          </w:p>
        </w:tc>
      </w:tr>
      <w:tr w:rsidR="00000000" w14:paraId="727E0BFD" w14:textId="77777777">
        <w:trPr>
          <w:divId w:val="2027558842"/>
        </w:trPr>
        <w:tc>
          <w:tcPr>
            <w:tcW w:w="0" w:type="auto"/>
            <w:gridSpan w:val="3"/>
            <w:shd w:val="clear" w:color="auto" w:fill="CCEEFF"/>
            <w:tcMar>
              <w:top w:w="30" w:type="dxa"/>
              <w:left w:w="20" w:type="dxa"/>
              <w:bottom w:w="30" w:type="dxa"/>
              <w:right w:w="20" w:type="dxa"/>
            </w:tcMar>
            <w:vAlign w:val="center"/>
            <w:hideMark/>
          </w:tcPr>
          <w:p w14:paraId="2077D21E" w14:textId="77777777" w:rsidR="00000000" w:rsidRDefault="00405D16">
            <w:pPr>
              <w:spacing w:after="100"/>
              <w:rPr>
                <w:rFonts w:eastAsia="Times New Roman"/>
              </w:rPr>
            </w:pPr>
            <w:r>
              <w:rPr>
                <w:rFonts w:eastAsia="Times New Roman"/>
                <w:b/>
                <w:bCs/>
                <w:color w:val="000000"/>
                <w:sz w:val="18"/>
                <w:szCs w:val="18"/>
              </w:rPr>
              <w:t>Geographic region:</w:t>
            </w:r>
          </w:p>
        </w:tc>
        <w:tc>
          <w:tcPr>
            <w:tcW w:w="0" w:type="auto"/>
            <w:gridSpan w:val="3"/>
            <w:shd w:val="clear" w:color="auto" w:fill="CCEEFF"/>
            <w:tcMar>
              <w:top w:w="0" w:type="dxa"/>
              <w:left w:w="20" w:type="dxa"/>
              <w:bottom w:w="0" w:type="dxa"/>
              <w:right w:w="20" w:type="dxa"/>
            </w:tcMar>
            <w:vAlign w:val="center"/>
            <w:hideMark/>
          </w:tcPr>
          <w:p w14:paraId="2FC483B8" w14:textId="77777777" w:rsidR="00000000" w:rsidRDefault="00405D16">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0FDF3E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819D8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855D5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5AEB3B"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1FF36B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E2BCC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7033C0" w14:textId="77777777" w:rsidR="00000000" w:rsidRDefault="00405D16">
            <w:pPr>
              <w:spacing w:after="100"/>
              <w:rPr>
                <w:rFonts w:eastAsia="Times New Roman"/>
                <w:sz w:val="20"/>
                <w:szCs w:val="20"/>
              </w:rPr>
            </w:pPr>
          </w:p>
        </w:tc>
      </w:tr>
      <w:tr w:rsidR="00000000" w14:paraId="7FA36CAC" w14:textId="77777777">
        <w:trPr>
          <w:divId w:val="2027558842"/>
        </w:trPr>
        <w:tc>
          <w:tcPr>
            <w:tcW w:w="0" w:type="auto"/>
            <w:gridSpan w:val="3"/>
            <w:shd w:val="clear" w:color="auto" w:fill="FFFFFF"/>
            <w:tcMar>
              <w:top w:w="30" w:type="dxa"/>
              <w:left w:w="245" w:type="dxa"/>
              <w:bottom w:w="30" w:type="dxa"/>
              <w:right w:w="20" w:type="dxa"/>
            </w:tcMar>
            <w:vAlign w:val="center"/>
            <w:hideMark/>
          </w:tcPr>
          <w:p w14:paraId="689ECE70" w14:textId="77777777" w:rsidR="00000000" w:rsidRDefault="00405D16">
            <w:pPr>
              <w:spacing w:after="100"/>
              <w:rPr>
                <w:rFonts w:eastAsia="Times New Roman"/>
              </w:rPr>
            </w:pPr>
            <w:r>
              <w:rPr>
                <w:rFonts w:eastAsia="Times New Roman"/>
                <w:color w:val="000000"/>
                <w:sz w:val="18"/>
                <w:szCs w:val="18"/>
              </w:rPr>
              <w:t>Domestic</w:t>
            </w:r>
          </w:p>
        </w:tc>
        <w:tc>
          <w:tcPr>
            <w:tcW w:w="0" w:type="auto"/>
            <w:gridSpan w:val="3"/>
            <w:shd w:val="clear" w:color="auto" w:fill="FFFFFF"/>
            <w:tcMar>
              <w:top w:w="0" w:type="dxa"/>
              <w:left w:w="20" w:type="dxa"/>
              <w:bottom w:w="0" w:type="dxa"/>
              <w:right w:w="20" w:type="dxa"/>
            </w:tcMar>
            <w:vAlign w:val="center"/>
            <w:hideMark/>
          </w:tcPr>
          <w:p w14:paraId="2F627D53"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706E9C6F"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5E7452DF" w14:textId="77777777" w:rsidR="00000000" w:rsidRDefault="00405D16">
            <w:pPr>
              <w:spacing w:after="100"/>
              <w:jc w:val="right"/>
              <w:rPr>
                <w:rFonts w:eastAsia="Times New Roman"/>
              </w:rPr>
            </w:pPr>
            <w:r>
              <w:rPr>
                <w:rFonts w:eastAsia="Times New Roman"/>
                <w:b/>
                <w:bCs/>
                <w:color w:val="000000"/>
                <w:sz w:val="18"/>
                <w:szCs w:val="18"/>
              </w:rPr>
              <w:t>848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F9C1B4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CFBD6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6A1D1E3" w14:textId="77777777" w:rsidR="00000000" w:rsidRDefault="00405D16">
            <w:pPr>
              <w:spacing w:after="100"/>
              <w:jc w:val="right"/>
              <w:rPr>
                <w:rFonts w:eastAsia="Times New Roman"/>
              </w:rPr>
            </w:pPr>
            <w:r>
              <w:rPr>
                <w:rFonts w:eastAsia="Times New Roman"/>
                <w:b/>
                <w:bCs/>
                <w:color w:val="000000"/>
                <w:sz w:val="18"/>
                <w:szCs w:val="18"/>
              </w:rPr>
              <w:t>0.33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8FDD784"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D41CBED" w14:textId="77777777" w:rsidR="00000000" w:rsidRDefault="00405D16">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70392F4B"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5CD8352C" w14:textId="77777777" w:rsidR="00000000" w:rsidRDefault="00405D16">
            <w:pPr>
              <w:spacing w:after="100"/>
              <w:jc w:val="right"/>
              <w:rPr>
                <w:rFonts w:eastAsia="Times New Roman"/>
              </w:rPr>
            </w:pPr>
            <w:r>
              <w:rPr>
                <w:rFonts w:eastAsia="Times New Roman"/>
                <w:color w:val="000000"/>
                <w:sz w:val="18"/>
                <w:szCs w:val="18"/>
              </w:rPr>
              <w:t>1,220 </w:t>
            </w:r>
          </w:p>
        </w:tc>
        <w:tc>
          <w:tcPr>
            <w:tcW w:w="0" w:type="auto"/>
            <w:shd w:val="clear" w:color="auto" w:fill="FFFFFF"/>
            <w:tcMar>
              <w:top w:w="30" w:type="dxa"/>
              <w:left w:w="0" w:type="dxa"/>
              <w:bottom w:w="30" w:type="dxa"/>
              <w:right w:w="20" w:type="dxa"/>
            </w:tcMar>
            <w:vAlign w:val="center"/>
            <w:hideMark/>
          </w:tcPr>
          <w:p w14:paraId="6D7CCC9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C1EDD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5CE0615" w14:textId="77777777" w:rsidR="00000000" w:rsidRDefault="00405D16">
            <w:pPr>
              <w:spacing w:after="100"/>
              <w:jc w:val="right"/>
              <w:rPr>
                <w:rFonts w:eastAsia="Times New Roman"/>
              </w:rPr>
            </w:pPr>
            <w:r>
              <w:rPr>
                <w:rFonts w:eastAsia="Times New Roman"/>
                <w:color w:val="000000"/>
                <w:sz w:val="18"/>
                <w:szCs w:val="18"/>
              </w:rPr>
              <w:t>0.50 </w:t>
            </w:r>
          </w:p>
        </w:tc>
        <w:tc>
          <w:tcPr>
            <w:tcW w:w="0" w:type="auto"/>
            <w:shd w:val="clear" w:color="auto" w:fill="FFFFFF"/>
            <w:tcMar>
              <w:top w:w="30" w:type="dxa"/>
              <w:left w:w="0" w:type="dxa"/>
              <w:bottom w:w="30" w:type="dxa"/>
              <w:right w:w="20" w:type="dxa"/>
            </w:tcMar>
            <w:vAlign w:val="center"/>
            <w:hideMark/>
          </w:tcPr>
          <w:p w14:paraId="1BCC1737" w14:textId="77777777" w:rsidR="00000000" w:rsidRDefault="00405D16">
            <w:pPr>
              <w:spacing w:after="100"/>
              <w:jc w:val="right"/>
              <w:rPr>
                <w:rFonts w:eastAsia="Times New Roman"/>
              </w:rPr>
            </w:pPr>
            <w:r>
              <w:rPr>
                <w:rFonts w:eastAsia="Times New Roman"/>
                <w:color w:val="000000"/>
                <w:sz w:val="18"/>
                <w:szCs w:val="18"/>
              </w:rPr>
              <w:t>%</w:t>
            </w:r>
          </w:p>
        </w:tc>
      </w:tr>
      <w:tr w:rsidR="00000000" w14:paraId="761A2CB5" w14:textId="77777777">
        <w:trPr>
          <w:divId w:val="2027558842"/>
        </w:trPr>
        <w:tc>
          <w:tcPr>
            <w:tcW w:w="0" w:type="auto"/>
            <w:gridSpan w:val="3"/>
            <w:shd w:val="clear" w:color="auto" w:fill="CCEEFF"/>
            <w:tcMar>
              <w:top w:w="30" w:type="dxa"/>
              <w:left w:w="245" w:type="dxa"/>
              <w:bottom w:w="30" w:type="dxa"/>
              <w:right w:w="20" w:type="dxa"/>
            </w:tcMar>
            <w:vAlign w:val="center"/>
            <w:hideMark/>
          </w:tcPr>
          <w:p w14:paraId="3B8CFE91" w14:textId="77777777" w:rsidR="00000000" w:rsidRDefault="00405D16">
            <w:pPr>
              <w:spacing w:after="100"/>
              <w:rPr>
                <w:rFonts w:eastAsia="Times New Roman"/>
              </w:rPr>
            </w:pPr>
            <w:r>
              <w:rPr>
                <w:rFonts w:eastAsia="Times New Roman"/>
                <w:color w:val="000000"/>
                <w:sz w:val="18"/>
                <w:szCs w:val="18"/>
              </w:rPr>
              <w:t>International</w:t>
            </w:r>
          </w:p>
        </w:tc>
        <w:tc>
          <w:tcPr>
            <w:tcW w:w="0" w:type="auto"/>
            <w:gridSpan w:val="3"/>
            <w:shd w:val="clear" w:color="auto" w:fill="CCEEFF"/>
            <w:tcMar>
              <w:top w:w="0" w:type="dxa"/>
              <w:left w:w="20" w:type="dxa"/>
              <w:bottom w:w="0" w:type="dxa"/>
              <w:right w:w="20" w:type="dxa"/>
            </w:tcMar>
            <w:vAlign w:val="center"/>
            <w:hideMark/>
          </w:tcPr>
          <w:p w14:paraId="2B0ED2B9"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2B6D912" w14:textId="77777777" w:rsidR="00000000" w:rsidRDefault="00405D16">
            <w:pPr>
              <w:spacing w:after="100"/>
              <w:jc w:val="right"/>
              <w:rPr>
                <w:rFonts w:eastAsia="Times New Roman"/>
              </w:rPr>
            </w:pPr>
            <w:r>
              <w:rPr>
                <w:rFonts w:eastAsia="Times New Roman"/>
                <w:b/>
                <w:bCs/>
                <w:color w:val="000000"/>
                <w:sz w:val="18"/>
                <w:szCs w:val="18"/>
              </w:rPr>
              <w:t>74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BB28DE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FA0B2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28B320A" w14:textId="77777777" w:rsidR="00000000" w:rsidRDefault="00405D16">
            <w:pPr>
              <w:spacing w:after="100"/>
              <w:jc w:val="right"/>
              <w:rPr>
                <w:rFonts w:eastAsia="Times New Roman"/>
              </w:rPr>
            </w:pPr>
            <w:r>
              <w:rPr>
                <w:rFonts w:eastAsia="Times New Roman"/>
                <w:b/>
                <w:bCs/>
                <w:color w:val="000000"/>
                <w:sz w:val="18"/>
                <w:szCs w:val="18"/>
              </w:rPr>
              <w:t>1.28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10B4CB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8A492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925D4CE" w14:textId="77777777" w:rsidR="00000000" w:rsidRDefault="00405D16">
            <w:pPr>
              <w:spacing w:after="100"/>
              <w:jc w:val="right"/>
              <w:rPr>
                <w:rFonts w:eastAsia="Times New Roman"/>
              </w:rPr>
            </w:pPr>
            <w:r>
              <w:rPr>
                <w:rFonts w:eastAsia="Times New Roman"/>
                <w:color w:val="000000"/>
                <w:sz w:val="18"/>
                <w:szCs w:val="18"/>
              </w:rPr>
              <w:t>82 </w:t>
            </w:r>
          </w:p>
        </w:tc>
        <w:tc>
          <w:tcPr>
            <w:tcW w:w="0" w:type="auto"/>
            <w:shd w:val="clear" w:color="auto" w:fill="CCEEFF"/>
            <w:tcMar>
              <w:top w:w="30" w:type="dxa"/>
              <w:left w:w="0" w:type="dxa"/>
              <w:bottom w:w="30" w:type="dxa"/>
              <w:right w:w="20" w:type="dxa"/>
            </w:tcMar>
            <w:vAlign w:val="center"/>
            <w:hideMark/>
          </w:tcPr>
          <w:p w14:paraId="6B61C90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6A552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752A9BE" w14:textId="77777777" w:rsidR="00000000" w:rsidRDefault="00405D16">
            <w:pPr>
              <w:spacing w:after="100"/>
              <w:jc w:val="right"/>
              <w:rPr>
                <w:rFonts w:eastAsia="Times New Roman"/>
              </w:rPr>
            </w:pPr>
            <w:r>
              <w:rPr>
                <w:rFonts w:eastAsia="Times New Roman"/>
                <w:color w:val="000000"/>
                <w:sz w:val="18"/>
                <w:szCs w:val="18"/>
              </w:rPr>
              <w:t>0.97 </w:t>
            </w:r>
          </w:p>
        </w:tc>
        <w:tc>
          <w:tcPr>
            <w:tcW w:w="0" w:type="auto"/>
            <w:shd w:val="clear" w:color="auto" w:fill="CCEEFF"/>
            <w:tcMar>
              <w:top w:w="30" w:type="dxa"/>
              <w:left w:w="0" w:type="dxa"/>
              <w:bottom w:w="30" w:type="dxa"/>
              <w:right w:w="20" w:type="dxa"/>
            </w:tcMar>
            <w:vAlign w:val="center"/>
            <w:hideMark/>
          </w:tcPr>
          <w:p w14:paraId="0946A44F" w14:textId="77777777" w:rsidR="00000000" w:rsidRDefault="00405D16">
            <w:pPr>
              <w:spacing w:after="100"/>
              <w:jc w:val="right"/>
              <w:rPr>
                <w:rFonts w:eastAsia="Times New Roman"/>
              </w:rPr>
            </w:pPr>
          </w:p>
        </w:tc>
      </w:tr>
      <w:tr w:rsidR="00000000" w14:paraId="094787D1" w14:textId="77777777">
        <w:trPr>
          <w:divId w:val="2027558842"/>
        </w:trPr>
        <w:tc>
          <w:tcPr>
            <w:tcW w:w="0" w:type="auto"/>
            <w:gridSpan w:val="3"/>
            <w:shd w:val="clear" w:color="auto" w:fill="FFFFFF"/>
            <w:tcMar>
              <w:top w:w="30" w:type="dxa"/>
              <w:left w:w="20" w:type="dxa"/>
              <w:bottom w:w="30" w:type="dxa"/>
              <w:right w:w="20" w:type="dxa"/>
            </w:tcMar>
            <w:vAlign w:val="center"/>
            <w:hideMark/>
          </w:tcPr>
          <w:p w14:paraId="65321CEE" w14:textId="77777777" w:rsidR="00000000" w:rsidRDefault="00405D16">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4E8CB5FE"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72EC1D2"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7CE4206" w14:textId="77777777" w:rsidR="00000000" w:rsidRDefault="00405D16">
            <w:pPr>
              <w:spacing w:after="100"/>
              <w:jc w:val="right"/>
              <w:rPr>
                <w:rFonts w:eastAsia="Times New Roman"/>
              </w:rPr>
            </w:pPr>
            <w:r>
              <w:rPr>
                <w:rFonts w:eastAsia="Times New Roman"/>
                <w:b/>
                <w:bCs/>
                <w:color w:val="000000"/>
                <w:sz w:val="18"/>
                <w:szCs w:val="18"/>
              </w:rPr>
              <w:t>922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EC7A48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FF289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6C5952E" w14:textId="77777777" w:rsidR="00000000" w:rsidRDefault="00405D16">
            <w:pPr>
              <w:spacing w:after="100"/>
              <w:jc w:val="right"/>
              <w:rPr>
                <w:rFonts w:eastAsia="Times New Roman"/>
              </w:rPr>
            </w:pPr>
            <w:r>
              <w:rPr>
                <w:rFonts w:eastAsia="Times New Roman"/>
                <w:b/>
                <w:bCs/>
                <w:color w:val="000000"/>
                <w:sz w:val="18"/>
                <w:szCs w:val="18"/>
              </w:rPr>
              <w:t>0.35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4F8DB8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09BCE0"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29FD57C"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8CDD67B" w14:textId="77777777" w:rsidR="00000000" w:rsidRDefault="00405D16">
            <w:pPr>
              <w:spacing w:after="100"/>
              <w:jc w:val="right"/>
              <w:rPr>
                <w:rFonts w:eastAsia="Times New Roman"/>
              </w:rPr>
            </w:pPr>
            <w:r>
              <w:rPr>
                <w:rFonts w:eastAsia="Times New Roman"/>
                <w:color w:val="000000"/>
                <w:sz w:val="18"/>
                <w:szCs w:val="18"/>
              </w:rPr>
              <w:t>1,302 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BA9FDC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78C37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AF034F5" w14:textId="77777777" w:rsidR="00000000" w:rsidRDefault="00405D16">
            <w:pPr>
              <w:spacing w:after="100"/>
              <w:jc w:val="right"/>
              <w:rPr>
                <w:rFonts w:eastAsia="Times New Roman"/>
              </w:rPr>
            </w:pPr>
            <w:r>
              <w:rPr>
                <w:rFonts w:eastAsia="Times New Roman"/>
                <w:color w:val="000000"/>
                <w:sz w:val="18"/>
                <w:szCs w:val="18"/>
              </w:rPr>
              <w:t>0.52 </w:t>
            </w:r>
          </w:p>
        </w:tc>
        <w:tc>
          <w:tcPr>
            <w:tcW w:w="0" w:type="auto"/>
            <w:shd w:val="clear" w:color="auto" w:fill="FFFFFF"/>
            <w:tcMar>
              <w:top w:w="30" w:type="dxa"/>
              <w:left w:w="0" w:type="dxa"/>
              <w:bottom w:w="30" w:type="dxa"/>
              <w:right w:w="20" w:type="dxa"/>
            </w:tcMar>
            <w:vAlign w:val="center"/>
            <w:hideMark/>
          </w:tcPr>
          <w:p w14:paraId="3C2C445D" w14:textId="77777777" w:rsidR="00000000" w:rsidRDefault="00405D16">
            <w:pPr>
              <w:spacing w:after="100"/>
              <w:jc w:val="right"/>
              <w:rPr>
                <w:rFonts w:eastAsia="Times New Roman"/>
              </w:rPr>
            </w:pPr>
          </w:p>
        </w:tc>
      </w:tr>
    </w:tbl>
    <w:p w14:paraId="18322336" w14:textId="77777777" w:rsidR="00000000" w:rsidRDefault="00405D16">
      <w:pPr>
        <w:divId w:val="2027558842"/>
        <w:rPr>
          <w:rFonts w:eastAsia="Times New Roman"/>
        </w:rPr>
      </w:pPr>
      <w:r>
        <w:rPr>
          <w:rFonts w:eastAsia="Times New Roman"/>
          <w:color w:val="000000"/>
          <w:sz w:val="20"/>
          <w:szCs w:val="20"/>
        </w:rPr>
        <w:t>__________</w:t>
      </w:r>
    </w:p>
    <w:p w14:paraId="567D90A1" w14:textId="77777777" w:rsidR="00000000" w:rsidRDefault="00405D16">
      <w:pPr>
        <w:ind w:hanging="360"/>
        <w:jc w:val="both"/>
        <w:divId w:val="107616683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Delinquency rates are calculated by dividing delinquency amounts by period-end loans held for investment for each specified loan category.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704704C6" w14:textId="77777777">
        <w:trPr>
          <w:divId w:val="1900549851"/>
          <w:jc w:val="center"/>
        </w:trPr>
        <w:tc>
          <w:tcPr>
            <w:tcW w:w="50" w:type="pct"/>
            <w:vAlign w:val="center"/>
            <w:hideMark/>
          </w:tcPr>
          <w:p w14:paraId="2A224B4E" w14:textId="77777777" w:rsidR="00000000" w:rsidRDefault="00405D16">
            <w:pPr>
              <w:ind w:hanging="360"/>
              <w:jc w:val="both"/>
              <w:rPr>
                <w:rFonts w:eastAsia="Times New Roman"/>
              </w:rPr>
            </w:pPr>
          </w:p>
        </w:tc>
        <w:tc>
          <w:tcPr>
            <w:tcW w:w="1606" w:type="pct"/>
            <w:vAlign w:val="center"/>
            <w:hideMark/>
          </w:tcPr>
          <w:p w14:paraId="00AFA883" w14:textId="77777777" w:rsidR="00000000" w:rsidRDefault="00405D16">
            <w:pPr>
              <w:spacing w:after="100"/>
              <w:rPr>
                <w:rFonts w:eastAsia="Times New Roman"/>
                <w:sz w:val="20"/>
                <w:szCs w:val="20"/>
              </w:rPr>
            </w:pPr>
          </w:p>
        </w:tc>
        <w:tc>
          <w:tcPr>
            <w:tcW w:w="5" w:type="pct"/>
            <w:vAlign w:val="center"/>
            <w:hideMark/>
          </w:tcPr>
          <w:p w14:paraId="6DE04D67" w14:textId="77777777" w:rsidR="00000000" w:rsidRDefault="00405D16">
            <w:pPr>
              <w:spacing w:after="100"/>
              <w:rPr>
                <w:rFonts w:eastAsia="Times New Roman"/>
                <w:sz w:val="20"/>
                <w:szCs w:val="20"/>
              </w:rPr>
            </w:pPr>
          </w:p>
        </w:tc>
        <w:tc>
          <w:tcPr>
            <w:tcW w:w="50" w:type="pct"/>
            <w:vAlign w:val="center"/>
            <w:hideMark/>
          </w:tcPr>
          <w:p w14:paraId="510661E1" w14:textId="77777777" w:rsidR="00000000" w:rsidRDefault="00405D16">
            <w:pPr>
              <w:spacing w:after="100"/>
              <w:rPr>
                <w:rFonts w:eastAsia="Times New Roman"/>
                <w:sz w:val="20"/>
                <w:szCs w:val="20"/>
              </w:rPr>
            </w:pPr>
          </w:p>
        </w:tc>
        <w:tc>
          <w:tcPr>
            <w:tcW w:w="1614" w:type="pct"/>
            <w:vAlign w:val="center"/>
            <w:hideMark/>
          </w:tcPr>
          <w:p w14:paraId="7CE5C4AF" w14:textId="77777777" w:rsidR="00000000" w:rsidRDefault="00405D16">
            <w:pPr>
              <w:spacing w:after="100"/>
              <w:rPr>
                <w:rFonts w:eastAsia="Times New Roman"/>
                <w:sz w:val="20"/>
                <w:szCs w:val="20"/>
              </w:rPr>
            </w:pPr>
          </w:p>
        </w:tc>
        <w:tc>
          <w:tcPr>
            <w:tcW w:w="5" w:type="pct"/>
            <w:vAlign w:val="center"/>
            <w:hideMark/>
          </w:tcPr>
          <w:p w14:paraId="15B76683" w14:textId="77777777" w:rsidR="00000000" w:rsidRDefault="00405D16">
            <w:pPr>
              <w:spacing w:after="100"/>
              <w:rPr>
                <w:rFonts w:eastAsia="Times New Roman"/>
                <w:sz w:val="20"/>
                <w:szCs w:val="20"/>
              </w:rPr>
            </w:pPr>
          </w:p>
        </w:tc>
        <w:tc>
          <w:tcPr>
            <w:tcW w:w="50" w:type="pct"/>
            <w:vAlign w:val="center"/>
            <w:hideMark/>
          </w:tcPr>
          <w:p w14:paraId="37E469A9" w14:textId="77777777" w:rsidR="00000000" w:rsidRDefault="00405D16">
            <w:pPr>
              <w:spacing w:after="100"/>
              <w:rPr>
                <w:rFonts w:eastAsia="Times New Roman"/>
                <w:sz w:val="20"/>
                <w:szCs w:val="20"/>
              </w:rPr>
            </w:pPr>
          </w:p>
        </w:tc>
        <w:tc>
          <w:tcPr>
            <w:tcW w:w="1614" w:type="pct"/>
            <w:vAlign w:val="center"/>
            <w:hideMark/>
          </w:tcPr>
          <w:p w14:paraId="50B64977" w14:textId="77777777" w:rsidR="00000000" w:rsidRDefault="00405D16">
            <w:pPr>
              <w:spacing w:after="100"/>
              <w:rPr>
                <w:rFonts w:eastAsia="Times New Roman"/>
                <w:sz w:val="20"/>
                <w:szCs w:val="20"/>
              </w:rPr>
            </w:pPr>
          </w:p>
        </w:tc>
        <w:tc>
          <w:tcPr>
            <w:tcW w:w="5" w:type="pct"/>
            <w:vAlign w:val="center"/>
            <w:hideMark/>
          </w:tcPr>
          <w:p w14:paraId="7C2D4899" w14:textId="77777777" w:rsidR="00000000" w:rsidRDefault="00405D16">
            <w:pPr>
              <w:spacing w:after="100"/>
              <w:rPr>
                <w:rFonts w:eastAsia="Times New Roman"/>
                <w:sz w:val="20"/>
                <w:szCs w:val="20"/>
              </w:rPr>
            </w:pPr>
          </w:p>
        </w:tc>
      </w:tr>
      <w:tr w:rsidR="00000000" w14:paraId="5E412795" w14:textId="77777777">
        <w:trPr>
          <w:divId w:val="1900549851"/>
          <w:trHeight w:val="300"/>
          <w:jc w:val="center"/>
        </w:trPr>
        <w:tc>
          <w:tcPr>
            <w:tcW w:w="0" w:type="auto"/>
            <w:gridSpan w:val="9"/>
            <w:tcMar>
              <w:top w:w="0" w:type="dxa"/>
              <w:left w:w="20" w:type="dxa"/>
              <w:bottom w:w="0" w:type="dxa"/>
              <w:right w:w="20" w:type="dxa"/>
            </w:tcMar>
            <w:vAlign w:val="center"/>
            <w:hideMark/>
          </w:tcPr>
          <w:p w14:paraId="6F8F0F0C" w14:textId="77777777" w:rsidR="00000000" w:rsidRDefault="00405D16">
            <w:pPr>
              <w:spacing w:after="100"/>
              <w:rPr>
                <w:rFonts w:eastAsia="Times New Roman"/>
                <w:sz w:val="20"/>
                <w:szCs w:val="20"/>
              </w:rPr>
            </w:pPr>
          </w:p>
        </w:tc>
      </w:tr>
      <w:tr w:rsidR="00000000" w14:paraId="486B3D62" w14:textId="77777777">
        <w:trPr>
          <w:divId w:val="1900549851"/>
          <w:jc w:val="center"/>
        </w:trPr>
        <w:tc>
          <w:tcPr>
            <w:tcW w:w="0" w:type="auto"/>
            <w:gridSpan w:val="3"/>
            <w:tcMar>
              <w:top w:w="0" w:type="dxa"/>
              <w:left w:w="20" w:type="dxa"/>
              <w:bottom w:w="0" w:type="dxa"/>
              <w:right w:w="20" w:type="dxa"/>
            </w:tcMar>
            <w:vAlign w:val="center"/>
            <w:hideMark/>
          </w:tcPr>
          <w:p w14:paraId="04987273"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76B47CB" w14:textId="77777777" w:rsidR="00000000" w:rsidRDefault="00405D16">
            <w:pPr>
              <w:spacing w:after="100"/>
              <w:jc w:val="center"/>
              <w:rPr>
                <w:rFonts w:eastAsia="Times New Roman"/>
              </w:rPr>
            </w:pPr>
            <w:r>
              <w:rPr>
                <w:rFonts w:eastAsia="Times New Roman"/>
                <w:color w:val="000000"/>
                <w:sz w:val="16"/>
                <w:szCs w:val="16"/>
              </w:rPr>
              <w:t>45</w:t>
            </w:r>
          </w:p>
        </w:tc>
        <w:tc>
          <w:tcPr>
            <w:tcW w:w="0" w:type="auto"/>
            <w:gridSpan w:val="3"/>
            <w:tcMar>
              <w:top w:w="30" w:type="dxa"/>
              <w:left w:w="20" w:type="dxa"/>
              <w:bottom w:w="30" w:type="dxa"/>
              <w:right w:w="20" w:type="dxa"/>
            </w:tcMar>
            <w:vAlign w:val="bottom"/>
            <w:hideMark/>
          </w:tcPr>
          <w:p w14:paraId="19AE226C"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551EC2A0" w14:textId="77777777" w:rsidR="00000000" w:rsidRDefault="00405D16">
      <w:pPr>
        <w:rPr>
          <w:rFonts w:eastAsia="Times New Roman"/>
        </w:rPr>
      </w:pPr>
      <w:r>
        <w:rPr>
          <w:rFonts w:eastAsia="Times New Roman"/>
        </w:rPr>
        <w:pict w14:anchorId="4FBA9A77">
          <v:rect id="_x0000_i1070" style="width:0;height:1.5pt" o:hralign="center" o:hrstd="t" o:hr="t" fillcolor="#a0a0a0" stroked="f"/>
        </w:pict>
      </w:r>
    </w:p>
    <w:p w14:paraId="181D4ECA" w14:textId="77777777" w:rsidR="00000000" w:rsidRDefault="00405D16">
      <w:pPr>
        <w:ind w:hanging="360"/>
        <w:jc w:val="both"/>
        <w:divId w:val="2100179124"/>
        <w:rPr>
          <w:rFonts w:eastAsia="Times New Roman"/>
        </w:rPr>
      </w:pPr>
      <w:hyperlink w:anchor="idd54a04a485440b4ab4e56094c14d612_13" w:history="1">
        <w:r>
          <w:rPr>
            <w:rStyle w:val="a3"/>
            <w:rFonts w:eastAsia="Times New Roman"/>
            <w:sz w:val="16"/>
            <w:szCs w:val="16"/>
          </w:rPr>
          <w:t>Table of Contents</w:t>
        </w:r>
      </w:hyperlink>
    </w:p>
    <w:p w14:paraId="37646CFB" w14:textId="77777777" w:rsidR="00000000" w:rsidRDefault="00405D16">
      <w:pPr>
        <w:divId w:val="2121144192"/>
        <w:rPr>
          <w:rFonts w:eastAsia="Times New Roman"/>
        </w:rPr>
      </w:pPr>
      <w:r>
        <w:rPr>
          <w:rFonts w:eastAsia="Times New Roman"/>
          <w:b/>
          <w:bCs/>
          <w:i/>
          <w:iCs/>
          <w:color w:val="000000"/>
          <w:sz w:val="20"/>
          <w:szCs w:val="20"/>
        </w:rPr>
        <w:t>Nonperforming Loans and Nonperforming Assets</w:t>
      </w:r>
    </w:p>
    <w:p w14:paraId="22B5AB9B" w14:textId="77777777" w:rsidR="00000000" w:rsidRDefault="00405D16">
      <w:pPr>
        <w:jc w:val="both"/>
        <w:divId w:val="585455833"/>
        <w:rPr>
          <w:rFonts w:eastAsia="Times New Roman"/>
        </w:rPr>
      </w:pPr>
      <w:r>
        <w:rPr>
          <w:rFonts w:eastAsia="Times New Roman"/>
          <w:color w:val="000000"/>
          <w:sz w:val="20"/>
          <w:szCs w:val="20"/>
        </w:rPr>
        <w:t>Nonperforming assets consist of nonperforming loans, repossessed assets and other foreclosed assets. Nonperforming loans include loans that have been placed on nonaccrual status. See “Note 1—Summary of Significant Accounting Policies” in our 2020 Form 10-K</w:t>
      </w:r>
      <w:r>
        <w:rPr>
          <w:rFonts w:eastAsia="Times New Roman"/>
          <w:color w:val="000000"/>
          <w:sz w:val="20"/>
          <w:szCs w:val="20"/>
        </w:rPr>
        <w:t xml:space="preserve"> for information on our policies for classifying loans as nonperforming for each of our loan categories.</w:t>
      </w:r>
    </w:p>
    <w:p w14:paraId="2E852BA8" w14:textId="77777777" w:rsidR="00000000" w:rsidRDefault="00405D16">
      <w:pPr>
        <w:jc w:val="both"/>
        <w:divId w:val="785319875"/>
        <w:rPr>
          <w:rFonts w:eastAsia="Times New Roman"/>
        </w:rPr>
      </w:pPr>
      <w:r>
        <w:rPr>
          <w:rFonts w:eastAsia="Times New Roman"/>
          <w:color w:val="000000"/>
          <w:sz w:val="20"/>
          <w:szCs w:val="20"/>
        </w:rPr>
        <w:t>Table 26 presents our nonperforming loans, by portfolio segment, and other nonperforming assets as of September 30, 2021 and December 31, 2020. We do n</w:t>
      </w:r>
      <w:r>
        <w:rPr>
          <w:rFonts w:eastAsia="Times New Roman"/>
          <w:color w:val="000000"/>
          <w:sz w:val="20"/>
          <w:szCs w:val="20"/>
        </w:rPr>
        <w:t>ot classify loans held for sale as nonperforming. We provide additional information on our credit quality metrics in “MD&amp;A—Business Segment Financial Performance.”</w:t>
      </w:r>
    </w:p>
    <w:p w14:paraId="45E89769" w14:textId="77777777" w:rsidR="00000000" w:rsidRDefault="00405D16">
      <w:pPr>
        <w:divId w:val="1121418613"/>
        <w:rPr>
          <w:rFonts w:eastAsia="Times New Roman"/>
        </w:rPr>
      </w:pPr>
      <w:r>
        <w:rPr>
          <w:rFonts w:eastAsia="Times New Roman"/>
          <w:b/>
          <w:bCs/>
          <w:color w:val="000000"/>
          <w:sz w:val="18"/>
          <w:szCs w:val="18"/>
        </w:rPr>
        <w:t>Table 26: Nonperforming Loans and Other Nonperforming Asset</w:t>
      </w:r>
      <w:r>
        <w:rPr>
          <w:rFonts w:eastAsia="Times New Roman"/>
          <w:b/>
          <w:bCs/>
          <w:color w:val="000000"/>
          <w:sz w:val="18"/>
          <w:szCs w:val="18"/>
        </w:rPr>
        <w:t>s</w:t>
      </w:r>
      <w:r>
        <w:rPr>
          <w:rFonts w:eastAsia="Times New Roman"/>
          <w:b/>
          <w:bCs/>
          <w:color w:val="000000"/>
          <w:sz w:val="12"/>
          <w:szCs w:val="12"/>
        </w:rPr>
        <w:t>(1</w:t>
      </w:r>
      <w:r>
        <w:rPr>
          <w:rFonts w:eastAsia="Times New Roman"/>
          <w:b/>
          <w:bCs/>
          <w:color w:val="000000"/>
          <w:sz w:val="12"/>
          <w:szCs w:val="12"/>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4646"/>
        <w:gridCol w:w="37"/>
        <w:gridCol w:w="36"/>
        <w:gridCol w:w="36"/>
        <w:gridCol w:w="36"/>
        <w:gridCol w:w="111"/>
        <w:gridCol w:w="608"/>
        <w:gridCol w:w="37"/>
        <w:gridCol w:w="36"/>
        <w:gridCol w:w="36"/>
        <w:gridCol w:w="36"/>
        <w:gridCol w:w="41"/>
        <w:gridCol w:w="591"/>
        <w:gridCol w:w="201"/>
        <w:gridCol w:w="36"/>
        <w:gridCol w:w="36"/>
        <w:gridCol w:w="36"/>
        <w:gridCol w:w="111"/>
        <w:gridCol w:w="610"/>
        <w:gridCol w:w="37"/>
        <w:gridCol w:w="36"/>
        <w:gridCol w:w="36"/>
        <w:gridCol w:w="36"/>
        <w:gridCol w:w="40"/>
        <w:gridCol w:w="596"/>
        <w:gridCol w:w="170"/>
      </w:tblGrid>
      <w:tr w:rsidR="00000000" w14:paraId="21075EAC" w14:textId="77777777">
        <w:trPr>
          <w:divId w:val="384186517"/>
        </w:trPr>
        <w:tc>
          <w:tcPr>
            <w:tcW w:w="50" w:type="pct"/>
            <w:vAlign w:val="center"/>
            <w:hideMark/>
          </w:tcPr>
          <w:p w14:paraId="070566A6" w14:textId="77777777" w:rsidR="00000000" w:rsidRDefault="00405D16">
            <w:pPr>
              <w:rPr>
                <w:rFonts w:eastAsia="Times New Roman"/>
              </w:rPr>
            </w:pPr>
          </w:p>
        </w:tc>
        <w:tc>
          <w:tcPr>
            <w:tcW w:w="2839" w:type="pct"/>
            <w:vAlign w:val="center"/>
            <w:hideMark/>
          </w:tcPr>
          <w:p w14:paraId="753F9710" w14:textId="77777777" w:rsidR="00000000" w:rsidRDefault="00405D16">
            <w:pPr>
              <w:spacing w:after="100"/>
              <w:rPr>
                <w:rFonts w:eastAsia="Times New Roman"/>
                <w:sz w:val="20"/>
                <w:szCs w:val="20"/>
              </w:rPr>
            </w:pPr>
          </w:p>
        </w:tc>
        <w:tc>
          <w:tcPr>
            <w:tcW w:w="5" w:type="pct"/>
            <w:vAlign w:val="center"/>
            <w:hideMark/>
          </w:tcPr>
          <w:p w14:paraId="239339D3" w14:textId="77777777" w:rsidR="00000000" w:rsidRDefault="00405D16">
            <w:pPr>
              <w:spacing w:after="100"/>
              <w:rPr>
                <w:rFonts w:eastAsia="Times New Roman"/>
                <w:sz w:val="20"/>
                <w:szCs w:val="20"/>
              </w:rPr>
            </w:pPr>
          </w:p>
        </w:tc>
        <w:tc>
          <w:tcPr>
            <w:tcW w:w="5" w:type="pct"/>
            <w:vAlign w:val="center"/>
            <w:hideMark/>
          </w:tcPr>
          <w:p w14:paraId="621E149D" w14:textId="77777777" w:rsidR="00000000" w:rsidRDefault="00405D16">
            <w:pPr>
              <w:spacing w:after="100"/>
              <w:rPr>
                <w:rFonts w:eastAsia="Times New Roman"/>
                <w:sz w:val="20"/>
                <w:szCs w:val="20"/>
              </w:rPr>
            </w:pPr>
          </w:p>
        </w:tc>
        <w:tc>
          <w:tcPr>
            <w:tcW w:w="26" w:type="pct"/>
            <w:vAlign w:val="center"/>
            <w:hideMark/>
          </w:tcPr>
          <w:p w14:paraId="3709B762" w14:textId="77777777" w:rsidR="00000000" w:rsidRDefault="00405D16">
            <w:pPr>
              <w:spacing w:after="100"/>
              <w:rPr>
                <w:rFonts w:eastAsia="Times New Roman"/>
                <w:sz w:val="20"/>
                <w:szCs w:val="20"/>
              </w:rPr>
            </w:pPr>
          </w:p>
        </w:tc>
        <w:tc>
          <w:tcPr>
            <w:tcW w:w="5" w:type="pct"/>
            <w:vAlign w:val="center"/>
            <w:hideMark/>
          </w:tcPr>
          <w:p w14:paraId="0ACCF71B" w14:textId="77777777" w:rsidR="00000000" w:rsidRDefault="00405D16">
            <w:pPr>
              <w:spacing w:after="100"/>
              <w:rPr>
                <w:rFonts w:eastAsia="Times New Roman"/>
                <w:sz w:val="20"/>
                <w:szCs w:val="20"/>
              </w:rPr>
            </w:pPr>
          </w:p>
        </w:tc>
        <w:tc>
          <w:tcPr>
            <w:tcW w:w="50" w:type="pct"/>
            <w:vAlign w:val="center"/>
            <w:hideMark/>
          </w:tcPr>
          <w:p w14:paraId="74308BBD" w14:textId="77777777" w:rsidR="00000000" w:rsidRDefault="00405D16">
            <w:pPr>
              <w:spacing w:after="100"/>
              <w:rPr>
                <w:rFonts w:eastAsia="Times New Roman"/>
                <w:sz w:val="20"/>
                <w:szCs w:val="20"/>
              </w:rPr>
            </w:pPr>
          </w:p>
        </w:tc>
        <w:tc>
          <w:tcPr>
            <w:tcW w:w="434" w:type="pct"/>
            <w:vAlign w:val="center"/>
            <w:hideMark/>
          </w:tcPr>
          <w:p w14:paraId="056DD610" w14:textId="77777777" w:rsidR="00000000" w:rsidRDefault="00405D16">
            <w:pPr>
              <w:spacing w:after="100"/>
              <w:rPr>
                <w:rFonts w:eastAsia="Times New Roman"/>
                <w:sz w:val="20"/>
                <w:szCs w:val="20"/>
              </w:rPr>
            </w:pPr>
          </w:p>
        </w:tc>
        <w:tc>
          <w:tcPr>
            <w:tcW w:w="5" w:type="pct"/>
            <w:vAlign w:val="center"/>
            <w:hideMark/>
          </w:tcPr>
          <w:p w14:paraId="61B9D5CA" w14:textId="77777777" w:rsidR="00000000" w:rsidRDefault="00405D16">
            <w:pPr>
              <w:spacing w:after="100"/>
              <w:rPr>
                <w:rFonts w:eastAsia="Times New Roman"/>
                <w:sz w:val="20"/>
                <w:szCs w:val="20"/>
              </w:rPr>
            </w:pPr>
          </w:p>
        </w:tc>
        <w:tc>
          <w:tcPr>
            <w:tcW w:w="5" w:type="pct"/>
            <w:vAlign w:val="center"/>
            <w:hideMark/>
          </w:tcPr>
          <w:p w14:paraId="314B8624" w14:textId="77777777" w:rsidR="00000000" w:rsidRDefault="00405D16">
            <w:pPr>
              <w:spacing w:after="100"/>
              <w:rPr>
                <w:rFonts w:eastAsia="Times New Roman"/>
                <w:sz w:val="20"/>
                <w:szCs w:val="20"/>
              </w:rPr>
            </w:pPr>
          </w:p>
        </w:tc>
        <w:tc>
          <w:tcPr>
            <w:tcW w:w="26" w:type="pct"/>
            <w:vAlign w:val="center"/>
            <w:hideMark/>
          </w:tcPr>
          <w:p w14:paraId="3965F22A" w14:textId="77777777" w:rsidR="00000000" w:rsidRDefault="00405D16">
            <w:pPr>
              <w:spacing w:after="100"/>
              <w:rPr>
                <w:rFonts w:eastAsia="Times New Roman"/>
                <w:sz w:val="20"/>
                <w:szCs w:val="20"/>
              </w:rPr>
            </w:pPr>
          </w:p>
        </w:tc>
        <w:tc>
          <w:tcPr>
            <w:tcW w:w="5" w:type="pct"/>
            <w:vAlign w:val="center"/>
            <w:hideMark/>
          </w:tcPr>
          <w:p w14:paraId="1707FBFE" w14:textId="77777777" w:rsidR="00000000" w:rsidRDefault="00405D16">
            <w:pPr>
              <w:spacing w:after="100"/>
              <w:rPr>
                <w:rFonts w:eastAsia="Times New Roman"/>
                <w:sz w:val="20"/>
                <w:szCs w:val="20"/>
              </w:rPr>
            </w:pPr>
          </w:p>
        </w:tc>
        <w:tc>
          <w:tcPr>
            <w:tcW w:w="50" w:type="pct"/>
            <w:vAlign w:val="center"/>
            <w:hideMark/>
          </w:tcPr>
          <w:p w14:paraId="285B04BC" w14:textId="77777777" w:rsidR="00000000" w:rsidRDefault="00405D16">
            <w:pPr>
              <w:spacing w:after="100"/>
              <w:rPr>
                <w:rFonts w:eastAsia="Times New Roman"/>
                <w:sz w:val="20"/>
                <w:szCs w:val="20"/>
              </w:rPr>
            </w:pPr>
          </w:p>
        </w:tc>
        <w:tc>
          <w:tcPr>
            <w:tcW w:w="434" w:type="pct"/>
            <w:vAlign w:val="center"/>
            <w:hideMark/>
          </w:tcPr>
          <w:p w14:paraId="46D16262" w14:textId="77777777" w:rsidR="00000000" w:rsidRDefault="00405D16">
            <w:pPr>
              <w:spacing w:after="100"/>
              <w:rPr>
                <w:rFonts w:eastAsia="Times New Roman"/>
                <w:sz w:val="20"/>
                <w:szCs w:val="20"/>
              </w:rPr>
            </w:pPr>
          </w:p>
        </w:tc>
        <w:tc>
          <w:tcPr>
            <w:tcW w:w="5" w:type="pct"/>
            <w:vAlign w:val="center"/>
            <w:hideMark/>
          </w:tcPr>
          <w:p w14:paraId="69B82B61" w14:textId="77777777" w:rsidR="00000000" w:rsidRDefault="00405D16">
            <w:pPr>
              <w:spacing w:after="100"/>
              <w:rPr>
                <w:rFonts w:eastAsia="Times New Roman"/>
                <w:sz w:val="20"/>
                <w:szCs w:val="20"/>
              </w:rPr>
            </w:pPr>
          </w:p>
        </w:tc>
        <w:tc>
          <w:tcPr>
            <w:tcW w:w="5" w:type="pct"/>
            <w:vAlign w:val="center"/>
            <w:hideMark/>
          </w:tcPr>
          <w:p w14:paraId="59652A03" w14:textId="77777777" w:rsidR="00000000" w:rsidRDefault="00405D16">
            <w:pPr>
              <w:spacing w:after="100"/>
              <w:rPr>
                <w:rFonts w:eastAsia="Times New Roman"/>
                <w:sz w:val="20"/>
                <w:szCs w:val="20"/>
              </w:rPr>
            </w:pPr>
          </w:p>
        </w:tc>
        <w:tc>
          <w:tcPr>
            <w:tcW w:w="26" w:type="pct"/>
            <w:vAlign w:val="center"/>
            <w:hideMark/>
          </w:tcPr>
          <w:p w14:paraId="1909A602" w14:textId="77777777" w:rsidR="00000000" w:rsidRDefault="00405D16">
            <w:pPr>
              <w:spacing w:after="100"/>
              <w:rPr>
                <w:rFonts w:eastAsia="Times New Roman"/>
                <w:sz w:val="20"/>
                <w:szCs w:val="20"/>
              </w:rPr>
            </w:pPr>
          </w:p>
        </w:tc>
        <w:tc>
          <w:tcPr>
            <w:tcW w:w="5" w:type="pct"/>
            <w:vAlign w:val="center"/>
            <w:hideMark/>
          </w:tcPr>
          <w:p w14:paraId="22326A4D" w14:textId="77777777" w:rsidR="00000000" w:rsidRDefault="00405D16">
            <w:pPr>
              <w:spacing w:after="100"/>
              <w:rPr>
                <w:rFonts w:eastAsia="Times New Roman"/>
                <w:sz w:val="20"/>
                <w:szCs w:val="20"/>
              </w:rPr>
            </w:pPr>
          </w:p>
        </w:tc>
        <w:tc>
          <w:tcPr>
            <w:tcW w:w="50" w:type="pct"/>
            <w:vAlign w:val="center"/>
            <w:hideMark/>
          </w:tcPr>
          <w:p w14:paraId="0324E212" w14:textId="77777777" w:rsidR="00000000" w:rsidRDefault="00405D16">
            <w:pPr>
              <w:spacing w:after="100"/>
              <w:rPr>
                <w:rFonts w:eastAsia="Times New Roman"/>
                <w:sz w:val="20"/>
                <w:szCs w:val="20"/>
              </w:rPr>
            </w:pPr>
          </w:p>
        </w:tc>
        <w:tc>
          <w:tcPr>
            <w:tcW w:w="434" w:type="pct"/>
            <w:vAlign w:val="center"/>
            <w:hideMark/>
          </w:tcPr>
          <w:p w14:paraId="390174B4" w14:textId="77777777" w:rsidR="00000000" w:rsidRDefault="00405D16">
            <w:pPr>
              <w:spacing w:after="100"/>
              <w:rPr>
                <w:rFonts w:eastAsia="Times New Roman"/>
                <w:sz w:val="20"/>
                <w:szCs w:val="20"/>
              </w:rPr>
            </w:pPr>
          </w:p>
        </w:tc>
        <w:tc>
          <w:tcPr>
            <w:tcW w:w="5" w:type="pct"/>
            <w:vAlign w:val="center"/>
            <w:hideMark/>
          </w:tcPr>
          <w:p w14:paraId="07E6DEA9" w14:textId="77777777" w:rsidR="00000000" w:rsidRDefault="00405D16">
            <w:pPr>
              <w:spacing w:after="100"/>
              <w:rPr>
                <w:rFonts w:eastAsia="Times New Roman"/>
                <w:sz w:val="20"/>
                <w:szCs w:val="20"/>
              </w:rPr>
            </w:pPr>
          </w:p>
        </w:tc>
        <w:tc>
          <w:tcPr>
            <w:tcW w:w="5" w:type="pct"/>
            <w:vAlign w:val="center"/>
            <w:hideMark/>
          </w:tcPr>
          <w:p w14:paraId="3EF8A587" w14:textId="77777777" w:rsidR="00000000" w:rsidRDefault="00405D16">
            <w:pPr>
              <w:spacing w:after="100"/>
              <w:rPr>
                <w:rFonts w:eastAsia="Times New Roman"/>
                <w:sz w:val="20"/>
                <w:szCs w:val="20"/>
              </w:rPr>
            </w:pPr>
          </w:p>
        </w:tc>
        <w:tc>
          <w:tcPr>
            <w:tcW w:w="26" w:type="pct"/>
            <w:vAlign w:val="center"/>
            <w:hideMark/>
          </w:tcPr>
          <w:p w14:paraId="63F3055B" w14:textId="77777777" w:rsidR="00000000" w:rsidRDefault="00405D16">
            <w:pPr>
              <w:spacing w:after="100"/>
              <w:rPr>
                <w:rFonts w:eastAsia="Times New Roman"/>
                <w:sz w:val="20"/>
                <w:szCs w:val="20"/>
              </w:rPr>
            </w:pPr>
          </w:p>
        </w:tc>
        <w:tc>
          <w:tcPr>
            <w:tcW w:w="5" w:type="pct"/>
            <w:vAlign w:val="center"/>
            <w:hideMark/>
          </w:tcPr>
          <w:p w14:paraId="7D2161AD" w14:textId="77777777" w:rsidR="00000000" w:rsidRDefault="00405D16">
            <w:pPr>
              <w:spacing w:after="100"/>
              <w:rPr>
                <w:rFonts w:eastAsia="Times New Roman"/>
                <w:sz w:val="20"/>
                <w:szCs w:val="20"/>
              </w:rPr>
            </w:pPr>
          </w:p>
        </w:tc>
        <w:tc>
          <w:tcPr>
            <w:tcW w:w="50" w:type="pct"/>
            <w:vAlign w:val="center"/>
            <w:hideMark/>
          </w:tcPr>
          <w:p w14:paraId="04AD2017" w14:textId="77777777" w:rsidR="00000000" w:rsidRDefault="00405D16">
            <w:pPr>
              <w:spacing w:after="100"/>
              <w:rPr>
                <w:rFonts w:eastAsia="Times New Roman"/>
                <w:sz w:val="20"/>
                <w:szCs w:val="20"/>
              </w:rPr>
            </w:pPr>
          </w:p>
        </w:tc>
        <w:tc>
          <w:tcPr>
            <w:tcW w:w="435" w:type="pct"/>
            <w:vAlign w:val="center"/>
            <w:hideMark/>
          </w:tcPr>
          <w:p w14:paraId="00B4B7C0" w14:textId="77777777" w:rsidR="00000000" w:rsidRDefault="00405D16">
            <w:pPr>
              <w:spacing w:after="100"/>
              <w:rPr>
                <w:rFonts w:eastAsia="Times New Roman"/>
                <w:sz w:val="20"/>
                <w:szCs w:val="20"/>
              </w:rPr>
            </w:pPr>
          </w:p>
        </w:tc>
        <w:tc>
          <w:tcPr>
            <w:tcW w:w="5" w:type="pct"/>
            <w:vAlign w:val="center"/>
            <w:hideMark/>
          </w:tcPr>
          <w:p w14:paraId="2FF9E65E" w14:textId="77777777" w:rsidR="00000000" w:rsidRDefault="00405D16">
            <w:pPr>
              <w:spacing w:after="100"/>
              <w:rPr>
                <w:rFonts w:eastAsia="Times New Roman"/>
                <w:sz w:val="20"/>
                <w:szCs w:val="20"/>
              </w:rPr>
            </w:pPr>
          </w:p>
        </w:tc>
      </w:tr>
      <w:tr w:rsidR="00000000" w14:paraId="7DCDB39C" w14:textId="77777777">
        <w:trPr>
          <w:divId w:val="384186517"/>
        </w:trPr>
        <w:tc>
          <w:tcPr>
            <w:tcW w:w="0" w:type="auto"/>
            <w:gridSpan w:val="3"/>
            <w:tcMar>
              <w:top w:w="30" w:type="dxa"/>
              <w:left w:w="20" w:type="dxa"/>
              <w:bottom w:w="30" w:type="dxa"/>
              <w:right w:w="20" w:type="dxa"/>
            </w:tcMar>
            <w:vAlign w:val="center"/>
            <w:hideMark/>
          </w:tcPr>
          <w:p w14:paraId="32C7A625"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03D975F" w14:textId="77777777" w:rsidR="00000000" w:rsidRDefault="00405D16">
            <w:pPr>
              <w:spacing w:after="100"/>
              <w:rPr>
                <w:rFonts w:eastAsia="Times New Roman"/>
              </w:rPr>
            </w:pPr>
          </w:p>
        </w:tc>
        <w:tc>
          <w:tcPr>
            <w:tcW w:w="0" w:type="auto"/>
            <w:gridSpan w:val="9"/>
            <w:tcMar>
              <w:top w:w="30" w:type="dxa"/>
              <w:left w:w="20" w:type="dxa"/>
              <w:bottom w:w="30" w:type="dxa"/>
              <w:right w:w="20" w:type="dxa"/>
            </w:tcMar>
            <w:vAlign w:val="bottom"/>
            <w:hideMark/>
          </w:tcPr>
          <w:p w14:paraId="45E4E300" w14:textId="77777777" w:rsidR="00000000" w:rsidRDefault="00405D16">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14:paraId="78E56421" w14:textId="77777777" w:rsidR="00000000" w:rsidRDefault="00405D1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33F4884" w14:textId="77777777" w:rsidR="00000000" w:rsidRDefault="00405D16">
            <w:pPr>
              <w:spacing w:after="100"/>
              <w:jc w:val="center"/>
              <w:rPr>
                <w:rFonts w:eastAsia="Times New Roman"/>
              </w:rPr>
            </w:pPr>
            <w:r>
              <w:rPr>
                <w:rFonts w:eastAsia="Times New Roman"/>
                <w:b/>
                <w:bCs/>
                <w:color w:val="000000"/>
                <w:sz w:val="16"/>
                <w:szCs w:val="16"/>
              </w:rPr>
              <w:t>December 31, 2020</w:t>
            </w:r>
          </w:p>
        </w:tc>
      </w:tr>
      <w:tr w:rsidR="00000000" w14:paraId="1C7DBE4B" w14:textId="77777777">
        <w:trPr>
          <w:divId w:val="384186517"/>
        </w:trPr>
        <w:tc>
          <w:tcPr>
            <w:tcW w:w="0" w:type="auto"/>
            <w:gridSpan w:val="3"/>
            <w:tcMar>
              <w:top w:w="30" w:type="dxa"/>
              <w:left w:w="20" w:type="dxa"/>
              <w:bottom w:w="30" w:type="dxa"/>
              <w:right w:w="20" w:type="dxa"/>
            </w:tcMar>
            <w:vAlign w:val="bottom"/>
            <w:hideMark/>
          </w:tcPr>
          <w:p w14:paraId="577068B3"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0E6D6CC7"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6F2C84A" w14:textId="77777777" w:rsidR="00000000" w:rsidRDefault="00405D16">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14:paraId="7AFA88FC"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8661E09" w14:textId="77777777" w:rsidR="00000000" w:rsidRDefault="00405D16">
            <w:pPr>
              <w:spacing w:after="100"/>
              <w:jc w:val="center"/>
              <w:rPr>
                <w:rFonts w:eastAsia="Times New Roman"/>
              </w:rPr>
            </w:pPr>
            <w:r>
              <w:rPr>
                <w:rFonts w:eastAsia="Times New Roman"/>
                <w:b/>
                <w:bCs/>
                <w:color w:val="000000"/>
                <w:sz w:val="16"/>
                <w:szCs w:val="16"/>
              </w:rPr>
              <w:t>Rate</w:t>
            </w:r>
          </w:p>
        </w:tc>
        <w:tc>
          <w:tcPr>
            <w:tcW w:w="0" w:type="auto"/>
            <w:gridSpan w:val="3"/>
            <w:tcMar>
              <w:top w:w="0" w:type="dxa"/>
              <w:left w:w="20" w:type="dxa"/>
              <w:bottom w:w="0" w:type="dxa"/>
              <w:right w:w="20" w:type="dxa"/>
            </w:tcMar>
            <w:vAlign w:val="center"/>
            <w:hideMark/>
          </w:tcPr>
          <w:p w14:paraId="009B2E18"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C43F4B5" w14:textId="77777777" w:rsidR="00000000" w:rsidRDefault="00405D16">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14:paraId="360FA11E"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0A4C748" w14:textId="77777777" w:rsidR="00000000" w:rsidRDefault="00405D16">
            <w:pPr>
              <w:spacing w:after="100"/>
              <w:jc w:val="center"/>
              <w:rPr>
                <w:rFonts w:eastAsia="Times New Roman"/>
              </w:rPr>
            </w:pPr>
            <w:r>
              <w:rPr>
                <w:rFonts w:eastAsia="Times New Roman"/>
                <w:b/>
                <w:bCs/>
                <w:color w:val="000000"/>
                <w:sz w:val="16"/>
                <w:szCs w:val="16"/>
              </w:rPr>
              <w:t>Rate</w:t>
            </w:r>
          </w:p>
        </w:tc>
      </w:tr>
      <w:tr w:rsidR="00000000" w14:paraId="25BD2CD1" w14:textId="77777777">
        <w:trPr>
          <w:divId w:val="38418651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EFA125F" w14:textId="77777777" w:rsidR="00000000" w:rsidRDefault="00405D16">
            <w:pPr>
              <w:spacing w:after="100"/>
              <w:divId w:val="411506776"/>
              <w:rPr>
                <w:rFonts w:eastAsia="Times New Roman"/>
              </w:rPr>
            </w:pPr>
            <w:r>
              <w:rPr>
                <w:rFonts w:eastAsia="Times New Roman"/>
                <w:b/>
                <w:bCs/>
                <w:color w:val="000000"/>
                <w:sz w:val="18"/>
                <w:szCs w:val="18"/>
              </w:rPr>
              <w:t>Nonperforming loans held for investment</w:t>
            </w:r>
            <w:r>
              <w:rPr>
                <w:rFonts w:eastAsia="Times New Roman"/>
                <w:b/>
                <w:bCs/>
                <w:color w:val="000000"/>
                <w:sz w:val="18"/>
                <w:szCs w:val="18"/>
              </w:rPr>
              <w:t>:</w:t>
            </w:r>
            <w:r>
              <w:rPr>
                <w:rFonts w:eastAsia="Times New Roman"/>
                <w:b/>
                <w:bCs/>
                <w:color w:val="000000"/>
                <w:sz w:val="12"/>
                <w:szCs w:val="12"/>
              </w:rPr>
              <w:t>(2</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7A9F9928"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C37AC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4A3030"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2759A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A67E88"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51153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A7AD21"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CA9B623" w14:textId="77777777" w:rsidR="00000000" w:rsidRDefault="00405D16">
            <w:pPr>
              <w:spacing w:after="100"/>
              <w:rPr>
                <w:rFonts w:eastAsia="Times New Roman"/>
                <w:sz w:val="20"/>
                <w:szCs w:val="20"/>
              </w:rPr>
            </w:pPr>
          </w:p>
        </w:tc>
      </w:tr>
      <w:tr w:rsidR="00000000" w14:paraId="70444247" w14:textId="77777777">
        <w:trPr>
          <w:divId w:val="384186517"/>
        </w:trPr>
        <w:tc>
          <w:tcPr>
            <w:tcW w:w="0" w:type="auto"/>
            <w:gridSpan w:val="3"/>
            <w:shd w:val="clear" w:color="auto" w:fill="FFFFFF"/>
            <w:tcMar>
              <w:top w:w="30" w:type="dxa"/>
              <w:left w:w="20" w:type="dxa"/>
              <w:bottom w:w="30" w:type="dxa"/>
              <w:right w:w="20" w:type="dxa"/>
            </w:tcMar>
            <w:vAlign w:val="center"/>
            <w:hideMark/>
          </w:tcPr>
          <w:p w14:paraId="656D0811" w14:textId="77777777" w:rsidR="00000000" w:rsidRDefault="00405D16">
            <w:pPr>
              <w:spacing w:after="100"/>
              <w:rPr>
                <w:rFonts w:eastAsia="Times New Roman"/>
              </w:rPr>
            </w:pPr>
            <w:r>
              <w:rPr>
                <w:rFonts w:eastAsia="Times New Roman"/>
                <w:b/>
                <w:bCs/>
                <w:color w:val="000000"/>
                <w:sz w:val="18"/>
                <w:szCs w:val="18"/>
              </w:rPr>
              <w:t>Credit Card:</w:t>
            </w:r>
          </w:p>
        </w:tc>
        <w:tc>
          <w:tcPr>
            <w:tcW w:w="0" w:type="auto"/>
            <w:gridSpan w:val="3"/>
            <w:shd w:val="clear" w:color="auto" w:fill="FFFFFF"/>
            <w:tcMar>
              <w:top w:w="0" w:type="dxa"/>
              <w:left w:w="20" w:type="dxa"/>
              <w:bottom w:w="0" w:type="dxa"/>
              <w:right w:w="20" w:type="dxa"/>
            </w:tcMar>
            <w:vAlign w:val="center"/>
            <w:hideMark/>
          </w:tcPr>
          <w:p w14:paraId="22DB7295"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C7820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D39CA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2DC4A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DD280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55A90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433204"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E27236" w14:textId="77777777" w:rsidR="00000000" w:rsidRDefault="00405D16">
            <w:pPr>
              <w:spacing w:after="100"/>
              <w:rPr>
                <w:rFonts w:eastAsia="Times New Roman"/>
                <w:sz w:val="20"/>
                <w:szCs w:val="20"/>
              </w:rPr>
            </w:pPr>
          </w:p>
        </w:tc>
      </w:tr>
      <w:tr w:rsidR="00000000" w14:paraId="6D5B8ECC" w14:textId="77777777">
        <w:trPr>
          <w:divId w:val="384186517"/>
        </w:trPr>
        <w:tc>
          <w:tcPr>
            <w:tcW w:w="0" w:type="auto"/>
            <w:gridSpan w:val="3"/>
            <w:shd w:val="clear" w:color="auto" w:fill="CCEEFF"/>
            <w:tcMar>
              <w:top w:w="30" w:type="dxa"/>
              <w:left w:w="245" w:type="dxa"/>
              <w:bottom w:w="30" w:type="dxa"/>
              <w:right w:w="20" w:type="dxa"/>
            </w:tcMar>
            <w:vAlign w:val="center"/>
            <w:hideMark/>
          </w:tcPr>
          <w:p w14:paraId="05AF94A2" w14:textId="77777777" w:rsidR="00000000" w:rsidRDefault="00405D16">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14:paraId="3BE5C1A0" w14:textId="77777777" w:rsidR="00000000" w:rsidRDefault="00405D16">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7841E87E"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13813405" w14:textId="77777777" w:rsidR="00000000" w:rsidRDefault="00405D16">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EB55C3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A0616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9C4C28C" w14:textId="77777777" w:rsidR="00000000" w:rsidRDefault="00405D16">
            <w:pPr>
              <w:spacing w:after="100"/>
              <w:jc w:val="right"/>
              <w:rPr>
                <w:rFonts w:eastAsia="Times New Roman"/>
              </w:rPr>
            </w:pPr>
            <w:r>
              <w:rPr>
                <w:rFonts w:eastAsia="Times New Roman"/>
                <w:b/>
                <w:bCs/>
                <w:color w:val="000000"/>
                <w:sz w:val="18"/>
                <w:szCs w:val="18"/>
              </w:rPr>
              <w:t>0.16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C683586"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4DA2627" w14:textId="77777777" w:rsidR="00000000" w:rsidRDefault="00405D16">
            <w:pPr>
              <w:spacing w:after="100"/>
              <w:jc w:val="right"/>
              <w:rPr>
                <w:rFonts w:eastAsia="Times New Roman"/>
              </w:rPr>
            </w:pPr>
          </w:p>
        </w:tc>
        <w:tc>
          <w:tcPr>
            <w:tcW w:w="0" w:type="auto"/>
            <w:shd w:val="clear" w:color="auto" w:fill="CCEEFF"/>
            <w:tcMar>
              <w:top w:w="30" w:type="dxa"/>
              <w:left w:w="20" w:type="dxa"/>
              <w:bottom w:w="30" w:type="dxa"/>
              <w:right w:w="0" w:type="dxa"/>
            </w:tcMar>
            <w:vAlign w:val="center"/>
            <w:hideMark/>
          </w:tcPr>
          <w:p w14:paraId="2FF68328"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1F1258F8" w14:textId="77777777" w:rsidR="00000000" w:rsidRDefault="00405D16">
            <w:pPr>
              <w:spacing w:after="100"/>
              <w:jc w:val="right"/>
              <w:rPr>
                <w:rFonts w:eastAsia="Times New Roman"/>
              </w:rPr>
            </w:pPr>
            <w:r>
              <w:rPr>
                <w:rFonts w:eastAsia="Times New Roman"/>
                <w:color w:val="000000"/>
                <w:sz w:val="18"/>
                <w:szCs w:val="18"/>
              </w:rPr>
              <w:t>21 </w:t>
            </w:r>
          </w:p>
        </w:tc>
        <w:tc>
          <w:tcPr>
            <w:tcW w:w="0" w:type="auto"/>
            <w:shd w:val="clear" w:color="auto" w:fill="CCEEFF"/>
            <w:tcMar>
              <w:top w:w="30" w:type="dxa"/>
              <w:left w:w="0" w:type="dxa"/>
              <w:bottom w:w="30" w:type="dxa"/>
              <w:right w:w="20" w:type="dxa"/>
            </w:tcMar>
            <w:vAlign w:val="center"/>
            <w:hideMark/>
          </w:tcPr>
          <w:p w14:paraId="1DEBE7D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2A742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DB6F3D4" w14:textId="77777777" w:rsidR="00000000" w:rsidRDefault="00405D16">
            <w:pPr>
              <w:spacing w:after="100"/>
              <w:jc w:val="right"/>
              <w:rPr>
                <w:rFonts w:eastAsia="Times New Roman"/>
              </w:rPr>
            </w:pPr>
            <w:r>
              <w:rPr>
                <w:rFonts w:eastAsia="Times New Roman"/>
                <w:color w:val="000000"/>
                <w:sz w:val="18"/>
                <w:szCs w:val="18"/>
              </w:rPr>
              <w:t>0.24 </w:t>
            </w:r>
          </w:p>
        </w:tc>
        <w:tc>
          <w:tcPr>
            <w:tcW w:w="0" w:type="auto"/>
            <w:shd w:val="clear" w:color="auto" w:fill="CCEEFF"/>
            <w:tcMar>
              <w:top w:w="30" w:type="dxa"/>
              <w:left w:w="0" w:type="dxa"/>
              <w:bottom w:w="30" w:type="dxa"/>
              <w:right w:w="20" w:type="dxa"/>
            </w:tcMar>
            <w:vAlign w:val="center"/>
            <w:hideMark/>
          </w:tcPr>
          <w:p w14:paraId="2EB4E901" w14:textId="77777777" w:rsidR="00000000" w:rsidRDefault="00405D16">
            <w:pPr>
              <w:spacing w:after="100"/>
              <w:jc w:val="right"/>
              <w:rPr>
                <w:rFonts w:eastAsia="Times New Roman"/>
              </w:rPr>
            </w:pPr>
            <w:r>
              <w:rPr>
                <w:rFonts w:eastAsia="Times New Roman"/>
                <w:color w:val="000000"/>
                <w:sz w:val="18"/>
                <w:szCs w:val="18"/>
              </w:rPr>
              <w:t>%</w:t>
            </w:r>
          </w:p>
        </w:tc>
      </w:tr>
      <w:tr w:rsidR="00000000" w14:paraId="5ABC880C" w14:textId="77777777">
        <w:trPr>
          <w:divId w:val="384186517"/>
        </w:trPr>
        <w:tc>
          <w:tcPr>
            <w:tcW w:w="0" w:type="auto"/>
            <w:gridSpan w:val="3"/>
            <w:shd w:val="clear" w:color="auto" w:fill="FFFFFF"/>
            <w:tcMar>
              <w:top w:w="30" w:type="dxa"/>
              <w:left w:w="20" w:type="dxa"/>
              <w:bottom w:w="30" w:type="dxa"/>
              <w:right w:w="20" w:type="dxa"/>
            </w:tcMar>
            <w:vAlign w:val="center"/>
            <w:hideMark/>
          </w:tcPr>
          <w:p w14:paraId="6C82143A" w14:textId="77777777" w:rsidR="00000000" w:rsidRDefault="00405D16">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14:paraId="554EF978"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1C548EF" w14:textId="77777777" w:rsidR="00000000" w:rsidRDefault="00405D16">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88BD89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00AB3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CB523B6" w14:textId="77777777" w:rsidR="00000000" w:rsidRDefault="00405D16">
            <w:pPr>
              <w:spacing w:after="100"/>
              <w:jc w:val="right"/>
              <w:rPr>
                <w:rFonts w:eastAsia="Times New Roman"/>
              </w:rPr>
            </w:pPr>
            <w:r>
              <w:rPr>
                <w:rFonts w:eastAsia="Times New Roman"/>
                <w:b/>
                <w:bCs/>
                <w:color w:val="000000"/>
                <w:sz w:val="18"/>
                <w:szCs w:val="18"/>
              </w:rPr>
              <w:t>0.01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C27E8F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2027A4"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69D79FE" w14:textId="77777777" w:rsidR="00000000" w:rsidRDefault="00405D16">
            <w:pPr>
              <w:spacing w:after="100"/>
              <w:jc w:val="right"/>
              <w:rPr>
                <w:rFonts w:eastAsia="Times New Roman"/>
              </w:rPr>
            </w:pPr>
            <w:r>
              <w:rPr>
                <w:rFonts w:eastAsia="Times New Roman"/>
                <w:color w:val="000000"/>
                <w:sz w:val="18"/>
                <w:szCs w:val="18"/>
              </w:rPr>
              <w:t>21 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25E070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41484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F7E9B5E" w14:textId="77777777" w:rsidR="00000000" w:rsidRDefault="00405D16">
            <w:pPr>
              <w:spacing w:after="100"/>
              <w:jc w:val="right"/>
              <w:rPr>
                <w:rFonts w:eastAsia="Times New Roman"/>
              </w:rPr>
            </w:pPr>
            <w:r>
              <w:rPr>
                <w:rFonts w:eastAsia="Times New Roman"/>
                <w:color w:val="000000"/>
                <w:sz w:val="18"/>
                <w:szCs w:val="18"/>
              </w:rPr>
              <w:t>0.02 </w:t>
            </w:r>
          </w:p>
        </w:tc>
        <w:tc>
          <w:tcPr>
            <w:tcW w:w="0" w:type="auto"/>
            <w:shd w:val="clear" w:color="auto" w:fill="FFFFFF"/>
            <w:tcMar>
              <w:top w:w="30" w:type="dxa"/>
              <w:left w:w="0" w:type="dxa"/>
              <w:bottom w:w="30" w:type="dxa"/>
              <w:right w:w="20" w:type="dxa"/>
            </w:tcMar>
            <w:vAlign w:val="center"/>
            <w:hideMark/>
          </w:tcPr>
          <w:p w14:paraId="271B3B3E" w14:textId="77777777" w:rsidR="00000000" w:rsidRDefault="00405D16">
            <w:pPr>
              <w:spacing w:after="100"/>
              <w:jc w:val="right"/>
              <w:rPr>
                <w:rFonts w:eastAsia="Times New Roman"/>
              </w:rPr>
            </w:pPr>
          </w:p>
        </w:tc>
      </w:tr>
      <w:tr w:rsidR="00000000" w14:paraId="78B8AA9F" w14:textId="77777777">
        <w:trPr>
          <w:divId w:val="384186517"/>
        </w:trPr>
        <w:tc>
          <w:tcPr>
            <w:tcW w:w="0" w:type="auto"/>
            <w:gridSpan w:val="3"/>
            <w:shd w:val="clear" w:color="auto" w:fill="CCEEFF"/>
            <w:tcMar>
              <w:top w:w="30" w:type="dxa"/>
              <w:left w:w="20" w:type="dxa"/>
              <w:bottom w:w="30" w:type="dxa"/>
              <w:right w:w="20" w:type="dxa"/>
            </w:tcMar>
            <w:vAlign w:val="center"/>
            <w:hideMark/>
          </w:tcPr>
          <w:p w14:paraId="0DBC1BFD" w14:textId="77777777" w:rsidR="00000000" w:rsidRDefault="00405D16">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14:paraId="048A7468"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EA075C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D3FFE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0D373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0CA514"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A25D79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CCA83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5D9F64" w14:textId="77777777" w:rsidR="00000000" w:rsidRDefault="00405D16">
            <w:pPr>
              <w:spacing w:after="100"/>
              <w:rPr>
                <w:rFonts w:eastAsia="Times New Roman"/>
                <w:sz w:val="20"/>
                <w:szCs w:val="20"/>
              </w:rPr>
            </w:pPr>
          </w:p>
        </w:tc>
      </w:tr>
      <w:tr w:rsidR="00000000" w14:paraId="384B3DF9" w14:textId="77777777">
        <w:trPr>
          <w:divId w:val="384186517"/>
        </w:trPr>
        <w:tc>
          <w:tcPr>
            <w:tcW w:w="0" w:type="auto"/>
            <w:gridSpan w:val="3"/>
            <w:shd w:val="clear" w:color="auto" w:fill="FFFFFF"/>
            <w:tcMar>
              <w:top w:w="30" w:type="dxa"/>
              <w:left w:w="245" w:type="dxa"/>
              <w:bottom w:w="30" w:type="dxa"/>
              <w:right w:w="20" w:type="dxa"/>
            </w:tcMar>
            <w:vAlign w:val="center"/>
            <w:hideMark/>
          </w:tcPr>
          <w:p w14:paraId="5F769A29" w14:textId="77777777" w:rsidR="00000000" w:rsidRDefault="00405D16">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14:paraId="6404EF3C"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C5AB08F" w14:textId="77777777" w:rsidR="00000000" w:rsidRDefault="00405D16">
            <w:pPr>
              <w:spacing w:after="100"/>
              <w:jc w:val="right"/>
              <w:rPr>
                <w:rFonts w:eastAsia="Times New Roman"/>
              </w:rPr>
            </w:pPr>
            <w:r>
              <w:rPr>
                <w:rFonts w:eastAsia="Times New Roman"/>
                <w:b/>
                <w:bCs/>
                <w:color w:val="000000"/>
                <w:sz w:val="18"/>
                <w:szCs w:val="18"/>
              </w:rPr>
              <w:t>270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E3416A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568B3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627A8CD" w14:textId="77777777" w:rsidR="00000000" w:rsidRDefault="00405D16">
            <w:pPr>
              <w:spacing w:after="100"/>
              <w:jc w:val="right"/>
              <w:rPr>
                <w:rFonts w:eastAsia="Times New Roman"/>
              </w:rPr>
            </w:pPr>
            <w:r>
              <w:rPr>
                <w:rFonts w:eastAsia="Times New Roman"/>
                <w:b/>
                <w:bCs/>
                <w:color w:val="000000"/>
                <w:sz w:val="18"/>
                <w:szCs w:val="18"/>
              </w:rPr>
              <w:t>0.36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A83A8E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F4478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1686E5E" w14:textId="77777777" w:rsidR="00000000" w:rsidRDefault="00405D16">
            <w:pPr>
              <w:spacing w:after="100"/>
              <w:jc w:val="right"/>
              <w:rPr>
                <w:rFonts w:eastAsia="Times New Roman"/>
              </w:rPr>
            </w:pPr>
            <w:r>
              <w:rPr>
                <w:rFonts w:eastAsia="Times New Roman"/>
                <w:color w:val="000000"/>
                <w:sz w:val="18"/>
                <w:szCs w:val="18"/>
              </w:rPr>
              <w:t>294 </w:t>
            </w:r>
          </w:p>
        </w:tc>
        <w:tc>
          <w:tcPr>
            <w:tcW w:w="0" w:type="auto"/>
            <w:shd w:val="clear" w:color="auto" w:fill="FFFFFF"/>
            <w:tcMar>
              <w:top w:w="30" w:type="dxa"/>
              <w:left w:w="0" w:type="dxa"/>
              <w:bottom w:w="30" w:type="dxa"/>
              <w:right w:w="20" w:type="dxa"/>
            </w:tcMar>
            <w:vAlign w:val="center"/>
            <w:hideMark/>
          </w:tcPr>
          <w:p w14:paraId="0E5ED6B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5F86F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6C987D2" w14:textId="77777777" w:rsidR="00000000" w:rsidRDefault="00405D16">
            <w:pPr>
              <w:spacing w:after="100"/>
              <w:jc w:val="right"/>
              <w:rPr>
                <w:rFonts w:eastAsia="Times New Roman"/>
              </w:rPr>
            </w:pPr>
            <w:r>
              <w:rPr>
                <w:rFonts w:eastAsia="Times New Roman"/>
                <w:color w:val="000000"/>
                <w:sz w:val="18"/>
                <w:szCs w:val="18"/>
              </w:rPr>
              <w:t>0.45 </w:t>
            </w:r>
          </w:p>
        </w:tc>
        <w:tc>
          <w:tcPr>
            <w:tcW w:w="0" w:type="auto"/>
            <w:shd w:val="clear" w:color="auto" w:fill="FFFFFF"/>
            <w:tcMar>
              <w:top w:w="30" w:type="dxa"/>
              <w:left w:w="0" w:type="dxa"/>
              <w:bottom w:w="30" w:type="dxa"/>
              <w:right w:w="20" w:type="dxa"/>
            </w:tcMar>
            <w:vAlign w:val="center"/>
            <w:hideMark/>
          </w:tcPr>
          <w:p w14:paraId="0C6C782E" w14:textId="77777777" w:rsidR="00000000" w:rsidRDefault="00405D16">
            <w:pPr>
              <w:spacing w:after="100"/>
              <w:jc w:val="right"/>
              <w:rPr>
                <w:rFonts w:eastAsia="Times New Roman"/>
              </w:rPr>
            </w:pPr>
          </w:p>
        </w:tc>
      </w:tr>
      <w:tr w:rsidR="00000000" w14:paraId="3FADD9BE" w14:textId="77777777">
        <w:trPr>
          <w:divId w:val="384186517"/>
        </w:trPr>
        <w:tc>
          <w:tcPr>
            <w:tcW w:w="0" w:type="auto"/>
            <w:gridSpan w:val="3"/>
            <w:shd w:val="clear" w:color="auto" w:fill="CCEEFF"/>
            <w:tcMar>
              <w:top w:w="30" w:type="dxa"/>
              <w:left w:w="245" w:type="dxa"/>
              <w:bottom w:w="30" w:type="dxa"/>
              <w:right w:w="20" w:type="dxa"/>
            </w:tcMar>
            <w:vAlign w:val="center"/>
            <w:hideMark/>
          </w:tcPr>
          <w:p w14:paraId="39955B50" w14:textId="77777777" w:rsidR="00000000" w:rsidRDefault="00405D16">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14:paraId="31DCEE72"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3B451DA" w14:textId="77777777" w:rsidR="00000000" w:rsidRDefault="00405D16">
            <w:pPr>
              <w:spacing w:after="100"/>
              <w:jc w:val="right"/>
              <w:rPr>
                <w:rFonts w:eastAsia="Times New Roman"/>
              </w:rPr>
            </w:pPr>
            <w:r>
              <w:rPr>
                <w:rFonts w:eastAsia="Times New Roman"/>
                <w:b/>
                <w:bCs/>
                <w:color w:val="000000"/>
                <w:sz w:val="18"/>
                <w:szCs w:val="18"/>
              </w:rPr>
              <w:t>53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7B4C1C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7AE83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22BD95B" w14:textId="77777777" w:rsidR="00000000" w:rsidRDefault="00405D16">
            <w:pPr>
              <w:spacing w:after="100"/>
              <w:jc w:val="right"/>
              <w:rPr>
                <w:rFonts w:eastAsia="Times New Roman"/>
              </w:rPr>
            </w:pPr>
            <w:r>
              <w:rPr>
                <w:rFonts w:eastAsia="Times New Roman"/>
                <w:b/>
                <w:bCs/>
                <w:color w:val="000000"/>
                <w:sz w:val="18"/>
                <w:szCs w:val="18"/>
              </w:rPr>
              <w:t>2.20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73E3B3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71BD6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B7C6A97" w14:textId="77777777" w:rsidR="00000000" w:rsidRDefault="00405D16">
            <w:pPr>
              <w:spacing w:after="100"/>
              <w:jc w:val="right"/>
              <w:rPr>
                <w:rFonts w:eastAsia="Times New Roman"/>
              </w:rPr>
            </w:pPr>
            <w:r>
              <w:rPr>
                <w:rFonts w:eastAsia="Times New Roman"/>
                <w:color w:val="000000"/>
                <w:sz w:val="18"/>
                <w:szCs w:val="18"/>
              </w:rPr>
              <w:t>30 </w:t>
            </w:r>
          </w:p>
        </w:tc>
        <w:tc>
          <w:tcPr>
            <w:tcW w:w="0" w:type="auto"/>
            <w:shd w:val="clear" w:color="auto" w:fill="CCEEFF"/>
            <w:tcMar>
              <w:top w:w="30" w:type="dxa"/>
              <w:left w:w="0" w:type="dxa"/>
              <w:bottom w:w="30" w:type="dxa"/>
              <w:right w:w="20" w:type="dxa"/>
            </w:tcMar>
            <w:vAlign w:val="center"/>
            <w:hideMark/>
          </w:tcPr>
          <w:p w14:paraId="6F120FF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FAC91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A01AC9C" w14:textId="77777777" w:rsidR="00000000" w:rsidRDefault="00405D16">
            <w:pPr>
              <w:spacing w:after="100"/>
              <w:jc w:val="right"/>
              <w:rPr>
                <w:rFonts w:eastAsia="Times New Roman"/>
              </w:rPr>
            </w:pPr>
            <w:r>
              <w:rPr>
                <w:rFonts w:eastAsia="Times New Roman"/>
                <w:color w:val="000000"/>
                <w:sz w:val="18"/>
                <w:szCs w:val="18"/>
              </w:rPr>
              <w:t>0.96 </w:t>
            </w:r>
          </w:p>
        </w:tc>
        <w:tc>
          <w:tcPr>
            <w:tcW w:w="0" w:type="auto"/>
            <w:shd w:val="clear" w:color="auto" w:fill="CCEEFF"/>
            <w:tcMar>
              <w:top w:w="30" w:type="dxa"/>
              <w:left w:w="0" w:type="dxa"/>
              <w:bottom w:w="30" w:type="dxa"/>
              <w:right w:w="20" w:type="dxa"/>
            </w:tcMar>
            <w:vAlign w:val="center"/>
            <w:hideMark/>
          </w:tcPr>
          <w:p w14:paraId="7D479F0E" w14:textId="77777777" w:rsidR="00000000" w:rsidRDefault="00405D16">
            <w:pPr>
              <w:spacing w:after="100"/>
              <w:jc w:val="right"/>
              <w:rPr>
                <w:rFonts w:eastAsia="Times New Roman"/>
              </w:rPr>
            </w:pPr>
          </w:p>
        </w:tc>
      </w:tr>
      <w:tr w:rsidR="00000000" w14:paraId="684F527C" w14:textId="77777777">
        <w:trPr>
          <w:divId w:val="384186517"/>
        </w:trPr>
        <w:tc>
          <w:tcPr>
            <w:tcW w:w="0" w:type="auto"/>
            <w:gridSpan w:val="3"/>
            <w:shd w:val="clear" w:color="auto" w:fill="FFFFFF"/>
            <w:tcMar>
              <w:top w:w="30" w:type="dxa"/>
              <w:left w:w="20" w:type="dxa"/>
              <w:bottom w:w="30" w:type="dxa"/>
              <w:right w:w="20" w:type="dxa"/>
            </w:tcMar>
            <w:vAlign w:val="center"/>
            <w:hideMark/>
          </w:tcPr>
          <w:p w14:paraId="0B871908" w14:textId="77777777" w:rsidR="00000000" w:rsidRDefault="00405D16">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14:paraId="58D7F490"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FCE1C0A" w14:textId="77777777" w:rsidR="00000000" w:rsidRDefault="00405D16">
            <w:pPr>
              <w:spacing w:after="100"/>
              <w:jc w:val="right"/>
              <w:rPr>
                <w:rFonts w:eastAsia="Times New Roman"/>
              </w:rPr>
            </w:pPr>
            <w:r>
              <w:rPr>
                <w:rFonts w:eastAsia="Times New Roman"/>
                <w:b/>
                <w:bCs/>
                <w:color w:val="000000"/>
                <w:sz w:val="18"/>
                <w:szCs w:val="18"/>
              </w:rPr>
              <w:t>323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116A2C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6F323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0E628DF" w14:textId="77777777" w:rsidR="00000000" w:rsidRDefault="00405D16">
            <w:pPr>
              <w:spacing w:after="100"/>
              <w:jc w:val="right"/>
              <w:rPr>
                <w:rFonts w:eastAsia="Times New Roman"/>
              </w:rPr>
            </w:pPr>
            <w:r>
              <w:rPr>
                <w:rFonts w:eastAsia="Times New Roman"/>
                <w:b/>
                <w:bCs/>
                <w:color w:val="000000"/>
                <w:sz w:val="18"/>
                <w:szCs w:val="18"/>
              </w:rPr>
              <w:t>0.42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8BAB22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5246E8"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8772076" w14:textId="77777777" w:rsidR="00000000" w:rsidRDefault="00405D16">
            <w:pPr>
              <w:spacing w:after="100"/>
              <w:jc w:val="right"/>
              <w:rPr>
                <w:rFonts w:eastAsia="Times New Roman"/>
              </w:rPr>
            </w:pPr>
            <w:r>
              <w:rPr>
                <w:rFonts w:eastAsia="Times New Roman"/>
                <w:color w:val="000000"/>
                <w:sz w:val="18"/>
                <w:szCs w:val="18"/>
              </w:rPr>
              <w:t>324 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D253FD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0FB17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A17F434" w14:textId="77777777" w:rsidR="00000000" w:rsidRDefault="00405D16">
            <w:pPr>
              <w:spacing w:after="100"/>
              <w:jc w:val="right"/>
              <w:rPr>
                <w:rFonts w:eastAsia="Times New Roman"/>
              </w:rPr>
            </w:pPr>
            <w:r>
              <w:rPr>
                <w:rFonts w:eastAsia="Times New Roman"/>
                <w:color w:val="000000"/>
                <w:sz w:val="18"/>
                <w:szCs w:val="18"/>
              </w:rPr>
              <w:t>0.47 </w:t>
            </w:r>
          </w:p>
        </w:tc>
        <w:tc>
          <w:tcPr>
            <w:tcW w:w="0" w:type="auto"/>
            <w:shd w:val="clear" w:color="auto" w:fill="FFFFFF"/>
            <w:tcMar>
              <w:top w:w="30" w:type="dxa"/>
              <w:left w:w="0" w:type="dxa"/>
              <w:bottom w:w="30" w:type="dxa"/>
              <w:right w:w="20" w:type="dxa"/>
            </w:tcMar>
            <w:vAlign w:val="center"/>
            <w:hideMark/>
          </w:tcPr>
          <w:p w14:paraId="14003DCB" w14:textId="77777777" w:rsidR="00000000" w:rsidRDefault="00405D16">
            <w:pPr>
              <w:spacing w:after="100"/>
              <w:jc w:val="right"/>
              <w:rPr>
                <w:rFonts w:eastAsia="Times New Roman"/>
              </w:rPr>
            </w:pPr>
          </w:p>
        </w:tc>
      </w:tr>
      <w:tr w:rsidR="00000000" w14:paraId="08A1478A" w14:textId="77777777">
        <w:trPr>
          <w:divId w:val="384186517"/>
        </w:trPr>
        <w:tc>
          <w:tcPr>
            <w:tcW w:w="0" w:type="auto"/>
            <w:gridSpan w:val="3"/>
            <w:shd w:val="clear" w:color="auto" w:fill="CCEEFF"/>
            <w:tcMar>
              <w:top w:w="30" w:type="dxa"/>
              <w:left w:w="20" w:type="dxa"/>
              <w:bottom w:w="30" w:type="dxa"/>
              <w:right w:w="20" w:type="dxa"/>
            </w:tcMar>
            <w:vAlign w:val="center"/>
            <w:hideMark/>
          </w:tcPr>
          <w:p w14:paraId="461C52A9" w14:textId="77777777" w:rsidR="00000000" w:rsidRDefault="00405D16">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14:paraId="479C01A6"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6F8187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D075C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437BF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F73AF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89E3BB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65025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16B16C" w14:textId="77777777" w:rsidR="00000000" w:rsidRDefault="00405D16">
            <w:pPr>
              <w:spacing w:after="100"/>
              <w:rPr>
                <w:rFonts w:eastAsia="Times New Roman"/>
                <w:sz w:val="20"/>
                <w:szCs w:val="20"/>
              </w:rPr>
            </w:pPr>
          </w:p>
        </w:tc>
      </w:tr>
      <w:tr w:rsidR="00000000" w14:paraId="0D6EBC07" w14:textId="77777777">
        <w:trPr>
          <w:divId w:val="384186517"/>
        </w:trPr>
        <w:tc>
          <w:tcPr>
            <w:tcW w:w="0" w:type="auto"/>
            <w:gridSpan w:val="3"/>
            <w:shd w:val="clear" w:color="auto" w:fill="FFFFFF"/>
            <w:tcMar>
              <w:top w:w="30" w:type="dxa"/>
              <w:left w:w="245" w:type="dxa"/>
              <w:bottom w:w="30" w:type="dxa"/>
              <w:right w:w="20" w:type="dxa"/>
            </w:tcMar>
            <w:vAlign w:val="center"/>
            <w:hideMark/>
          </w:tcPr>
          <w:p w14:paraId="2E4241AA" w14:textId="77777777" w:rsidR="00000000" w:rsidRDefault="00405D16">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14:paraId="3EDDEA01"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266FAA2" w14:textId="77777777" w:rsidR="00000000" w:rsidRDefault="00405D16">
            <w:pPr>
              <w:spacing w:after="100"/>
              <w:jc w:val="right"/>
              <w:rPr>
                <w:rFonts w:eastAsia="Times New Roman"/>
              </w:rPr>
            </w:pPr>
            <w:r>
              <w:rPr>
                <w:rFonts w:eastAsia="Times New Roman"/>
                <w:b/>
                <w:bCs/>
                <w:color w:val="000000"/>
                <w:sz w:val="18"/>
                <w:szCs w:val="18"/>
              </w:rPr>
              <w:t>287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3AA03A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59E4B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FA94223" w14:textId="77777777" w:rsidR="00000000" w:rsidRDefault="00405D16">
            <w:pPr>
              <w:spacing w:after="100"/>
              <w:jc w:val="right"/>
              <w:rPr>
                <w:rFonts w:eastAsia="Times New Roman"/>
              </w:rPr>
            </w:pPr>
            <w:r>
              <w:rPr>
                <w:rFonts w:eastAsia="Times New Roman"/>
                <w:b/>
                <w:bCs/>
                <w:color w:val="000000"/>
                <w:sz w:val="18"/>
                <w:szCs w:val="18"/>
              </w:rPr>
              <w:t>0.87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B5B0EE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56C99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F80AFB8" w14:textId="77777777" w:rsidR="00000000" w:rsidRDefault="00405D16">
            <w:pPr>
              <w:spacing w:after="100"/>
              <w:jc w:val="right"/>
              <w:rPr>
                <w:rFonts w:eastAsia="Times New Roman"/>
              </w:rPr>
            </w:pPr>
            <w:r>
              <w:rPr>
                <w:rFonts w:eastAsia="Times New Roman"/>
                <w:color w:val="000000"/>
                <w:sz w:val="18"/>
                <w:szCs w:val="18"/>
              </w:rPr>
              <w:t>200 </w:t>
            </w:r>
          </w:p>
        </w:tc>
        <w:tc>
          <w:tcPr>
            <w:tcW w:w="0" w:type="auto"/>
            <w:shd w:val="clear" w:color="auto" w:fill="FFFFFF"/>
            <w:tcMar>
              <w:top w:w="30" w:type="dxa"/>
              <w:left w:w="0" w:type="dxa"/>
              <w:bottom w:w="30" w:type="dxa"/>
              <w:right w:w="20" w:type="dxa"/>
            </w:tcMar>
            <w:vAlign w:val="center"/>
            <w:hideMark/>
          </w:tcPr>
          <w:p w14:paraId="06E22E7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1C5DA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1407BEC" w14:textId="77777777" w:rsidR="00000000" w:rsidRDefault="00405D16">
            <w:pPr>
              <w:spacing w:after="100"/>
              <w:jc w:val="right"/>
              <w:rPr>
                <w:rFonts w:eastAsia="Times New Roman"/>
              </w:rPr>
            </w:pPr>
            <w:r>
              <w:rPr>
                <w:rFonts w:eastAsia="Times New Roman"/>
                <w:color w:val="000000"/>
                <w:sz w:val="18"/>
                <w:szCs w:val="18"/>
              </w:rPr>
              <w:t>0.65 </w:t>
            </w:r>
          </w:p>
        </w:tc>
        <w:tc>
          <w:tcPr>
            <w:tcW w:w="0" w:type="auto"/>
            <w:shd w:val="clear" w:color="auto" w:fill="FFFFFF"/>
            <w:tcMar>
              <w:top w:w="30" w:type="dxa"/>
              <w:left w:w="0" w:type="dxa"/>
              <w:bottom w:w="30" w:type="dxa"/>
              <w:right w:w="20" w:type="dxa"/>
            </w:tcMar>
            <w:vAlign w:val="center"/>
            <w:hideMark/>
          </w:tcPr>
          <w:p w14:paraId="71DEDA6F" w14:textId="77777777" w:rsidR="00000000" w:rsidRDefault="00405D16">
            <w:pPr>
              <w:spacing w:after="100"/>
              <w:jc w:val="right"/>
              <w:rPr>
                <w:rFonts w:eastAsia="Times New Roman"/>
              </w:rPr>
            </w:pPr>
          </w:p>
        </w:tc>
      </w:tr>
      <w:tr w:rsidR="00000000" w14:paraId="278F0B20" w14:textId="77777777">
        <w:trPr>
          <w:divId w:val="384186517"/>
        </w:trPr>
        <w:tc>
          <w:tcPr>
            <w:tcW w:w="0" w:type="auto"/>
            <w:gridSpan w:val="3"/>
            <w:shd w:val="clear" w:color="auto" w:fill="CCEEFF"/>
            <w:tcMar>
              <w:top w:w="30" w:type="dxa"/>
              <w:left w:w="245" w:type="dxa"/>
              <w:bottom w:w="30" w:type="dxa"/>
              <w:right w:w="20" w:type="dxa"/>
            </w:tcMar>
            <w:vAlign w:val="center"/>
            <w:hideMark/>
          </w:tcPr>
          <w:p w14:paraId="6C301B01" w14:textId="77777777" w:rsidR="00000000" w:rsidRDefault="00405D16">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14:paraId="0C88D3A0"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82B6814" w14:textId="77777777" w:rsidR="00000000" w:rsidRDefault="00405D16">
            <w:pPr>
              <w:spacing w:after="100"/>
              <w:jc w:val="right"/>
              <w:rPr>
                <w:rFonts w:eastAsia="Times New Roman"/>
              </w:rPr>
            </w:pPr>
            <w:r>
              <w:rPr>
                <w:rFonts w:eastAsia="Times New Roman"/>
                <w:b/>
                <w:bCs/>
                <w:color w:val="000000"/>
                <w:sz w:val="18"/>
                <w:szCs w:val="18"/>
              </w:rPr>
              <w:t>314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444C7F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B9378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5936711" w14:textId="77777777" w:rsidR="00000000" w:rsidRDefault="00405D16">
            <w:pPr>
              <w:spacing w:after="100"/>
              <w:jc w:val="right"/>
              <w:rPr>
                <w:rFonts w:eastAsia="Times New Roman"/>
              </w:rPr>
            </w:pPr>
            <w:r>
              <w:rPr>
                <w:rFonts w:eastAsia="Times New Roman"/>
                <w:b/>
                <w:bCs/>
                <w:color w:val="000000"/>
                <w:sz w:val="18"/>
                <w:szCs w:val="18"/>
              </w:rPr>
              <w:t>0.68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2E5E62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BAF3A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722422E" w14:textId="77777777" w:rsidR="00000000" w:rsidRDefault="00405D16">
            <w:pPr>
              <w:spacing w:after="100"/>
              <w:jc w:val="right"/>
              <w:rPr>
                <w:rFonts w:eastAsia="Times New Roman"/>
              </w:rPr>
            </w:pPr>
            <w:r>
              <w:rPr>
                <w:rFonts w:eastAsia="Times New Roman"/>
                <w:color w:val="000000"/>
                <w:sz w:val="18"/>
                <w:szCs w:val="18"/>
              </w:rPr>
              <w:t>450 </w:t>
            </w:r>
          </w:p>
        </w:tc>
        <w:tc>
          <w:tcPr>
            <w:tcW w:w="0" w:type="auto"/>
            <w:shd w:val="clear" w:color="auto" w:fill="CCEEFF"/>
            <w:tcMar>
              <w:top w:w="30" w:type="dxa"/>
              <w:left w:w="0" w:type="dxa"/>
              <w:bottom w:w="30" w:type="dxa"/>
              <w:right w:w="20" w:type="dxa"/>
            </w:tcMar>
            <w:vAlign w:val="center"/>
            <w:hideMark/>
          </w:tcPr>
          <w:p w14:paraId="5851C9D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B9CD0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6FB1952" w14:textId="77777777" w:rsidR="00000000" w:rsidRDefault="00405D16">
            <w:pPr>
              <w:spacing w:after="100"/>
              <w:jc w:val="right"/>
              <w:rPr>
                <w:rFonts w:eastAsia="Times New Roman"/>
              </w:rPr>
            </w:pPr>
            <w:r>
              <w:rPr>
                <w:rFonts w:eastAsia="Times New Roman"/>
                <w:color w:val="000000"/>
                <w:sz w:val="18"/>
                <w:szCs w:val="18"/>
              </w:rPr>
              <w:t>1.00 </w:t>
            </w:r>
          </w:p>
        </w:tc>
        <w:tc>
          <w:tcPr>
            <w:tcW w:w="0" w:type="auto"/>
            <w:shd w:val="clear" w:color="auto" w:fill="CCEEFF"/>
            <w:tcMar>
              <w:top w:w="30" w:type="dxa"/>
              <w:left w:w="0" w:type="dxa"/>
              <w:bottom w:w="30" w:type="dxa"/>
              <w:right w:w="20" w:type="dxa"/>
            </w:tcMar>
            <w:vAlign w:val="center"/>
            <w:hideMark/>
          </w:tcPr>
          <w:p w14:paraId="1A075D32" w14:textId="77777777" w:rsidR="00000000" w:rsidRDefault="00405D16">
            <w:pPr>
              <w:spacing w:after="100"/>
              <w:jc w:val="right"/>
              <w:rPr>
                <w:rFonts w:eastAsia="Times New Roman"/>
              </w:rPr>
            </w:pPr>
          </w:p>
        </w:tc>
      </w:tr>
      <w:tr w:rsidR="00000000" w14:paraId="6AEFB5C6" w14:textId="77777777">
        <w:trPr>
          <w:divId w:val="384186517"/>
        </w:trPr>
        <w:tc>
          <w:tcPr>
            <w:tcW w:w="0" w:type="auto"/>
            <w:gridSpan w:val="3"/>
            <w:shd w:val="clear" w:color="auto" w:fill="FFFFFF"/>
            <w:tcMar>
              <w:top w:w="30" w:type="dxa"/>
              <w:left w:w="20" w:type="dxa"/>
              <w:bottom w:w="30" w:type="dxa"/>
              <w:right w:w="20" w:type="dxa"/>
            </w:tcMar>
            <w:vAlign w:val="center"/>
            <w:hideMark/>
          </w:tcPr>
          <w:p w14:paraId="35AA9ACD" w14:textId="77777777" w:rsidR="00000000" w:rsidRDefault="00405D16">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14:paraId="6D016B95"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A892D69" w14:textId="77777777" w:rsidR="00000000" w:rsidRDefault="00405D16">
            <w:pPr>
              <w:spacing w:after="100"/>
              <w:jc w:val="right"/>
              <w:rPr>
                <w:rFonts w:eastAsia="Times New Roman"/>
              </w:rPr>
            </w:pPr>
            <w:r>
              <w:rPr>
                <w:rFonts w:eastAsia="Times New Roman"/>
                <w:b/>
                <w:bCs/>
                <w:color w:val="000000"/>
                <w:sz w:val="18"/>
                <w:szCs w:val="18"/>
              </w:rPr>
              <w:t>601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B9FFFC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23EE4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177E43D" w14:textId="77777777" w:rsidR="00000000" w:rsidRDefault="00405D16">
            <w:pPr>
              <w:spacing w:after="100"/>
              <w:jc w:val="right"/>
              <w:rPr>
                <w:rFonts w:eastAsia="Times New Roman"/>
              </w:rPr>
            </w:pPr>
            <w:r>
              <w:rPr>
                <w:rFonts w:eastAsia="Times New Roman"/>
                <w:b/>
                <w:bCs/>
                <w:color w:val="000000"/>
                <w:sz w:val="18"/>
                <w:szCs w:val="18"/>
              </w:rPr>
              <w:t>0.76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F7BF3F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4A4116"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8AFCF57" w14:textId="77777777" w:rsidR="00000000" w:rsidRDefault="00405D16">
            <w:pPr>
              <w:spacing w:after="100"/>
              <w:jc w:val="right"/>
              <w:rPr>
                <w:rFonts w:eastAsia="Times New Roman"/>
              </w:rPr>
            </w:pPr>
            <w:r>
              <w:rPr>
                <w:rFonts w:eastAsia="Times New Roman"/>
                <w:color w:val="000000"/>
                <w:sz w:val="18"/>
                <w:szCs w:val="18"/>
              </w:rPr>
              <w:t>650 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BB2417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85DAE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A2CA37E" w14:textId="77777777" w:rsidR="00000000" w:rsidRDefault="00405D16">
            <w:pPr>
              <w:spacing w:after="100"/>
              <w:jc w:val="right"/>
              <w:rPr>
                <w:rFonts w:eastAsia="Times New Roman"/>
              </w:rPr>
            </w:pPr>
            <w:r>
              <w:rPr>
                <w:rFonts w:eastAsia="Times New Roman"/>
                <w:color w:val="000000"/>
                <w:sz w:val="18"/>
                <w:szCs w:val="18"/>
              </w:rPr>
              <w:t>0.86 </w:t>
            </w:r>
          </w:p>
        </w:tc>
        <w:tc>
          <w:tcPr>
            <w:tcW w:w="0" w:type="auto"/>
            <w:shd w:val="clear" w:color="auto" w:fill="FFFFFF"/>
            <w:tcMar>
              <w:top w:w="30" w:type="dxa"/>
              <w:left w:w="0" w:type="dxa"/>
              <w:bottom w:w="30" w:type="dxa"/>
              <w:right w:w="20" w:type="dxa"/>
            </w:tcMar>
            <w:vAlign w:val="center"/>
            <w:hideMark/>
          </w:tcPr>
          <w:p w14:paraId="5D88FA1B" w14:textId="77777777" w:rsidR="00000000" w:rsidRDefault="00405D16">
            <w:pPr>
              <w:spacing w:after="100"/>
              <w:jc w:val="right"/>
              <w:rPr>
                <w:rFonts w:eastAsia="Times New Roman"/>
              </w:rPr>
            </w:pPr>
          </w:p>
        </w:tc>
      </w:tr>
      <w:tr w:rsidR="00000000" w14:paraId="0D24523C" w14:textId="77777777">
        <w:trPr>
          <w:divId w:val="384186517"/>
        </w:trPr>
        <w:tc>
          <w:tcPr>
            <w:tcW w:w="0" w:type="auto"/>
            <w:gridSpan w:val="3"/>
            <w:shd w:val="clear" w:color="auto" w:fill="CCEEFF"/>
            <w:tcMar>
              <w:top w:w="30" w:type="dxa"/>
              <w:left w:w="20" w:type="dxa"/>
              <w:bottom w:w="30" w:type="dxa"/>
              <w:right w:w="20" w:type="dxa"/>
            </w:tcMar>
            <w:vAlign w:val="center"/>
            <w:hideMark/>
          </w:tcPr>
          <w:p w14:paraId="091D5037" w14:textId="77777777" w:rsidR="00000000" w:rsidRDefault="00405D16">
            <w:pPr>
              <w:spacing w:after="100"/>
              <w:divId w:val="1700206169"/>
              <w:rPr>
                <w:rFonts w:eastAsia="Times New Roman"/>
              </w:rPr>
            </w:pPr>
            <w:r>
              <w:rPr>
                <w:rFonts w:eastAsia="Times New Roman"/>
                <w:color w:val="000000"/>
                <w:sz w:val="18"/>
                <w:szCs w:val="18"/>
              </w:rPr>
              <w:t>Total nonperforming loans held for investmen</w:t>
            </w:r>
            <w:r>
              <w:rPr>
                <w:rFonts w:eastAsia="Times New Roman"/>
                <w:color w:val="000000"/>
                <w:sz w:val="18"/>
                <w:szCs w:val="18"/>
              </w:rPr>
              <w:t>t</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449AF505"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7B68CA6"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13E68E4" w14:textId="77777777" w:rsidR="00000000" w:rsidRDefault="00405D16">
            <w:pPr>
              <w:spacing w:after="100"/>
              <w:jc w:val="right"/>
              <w:rPr>
                <w:rFonts w:eastAsia="Times New Roman"/>
              </w:rPr>
            </w:pPr>
            <w:r>
              <w:rPr>
                <w:rFonts w:eastAsia="Times New Roman"/>
                <w:b/>
                <w:bCs/>
                <w:color w:val="000000"/>
                <w:sz w:val="18"/>
                <w:szCs w:val="18"/>
              </w:rPr>
              <w:t>933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24AA93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4AEAF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624E350" w14:textId="77777777" w:rsidR="00000000" w:rsidRDefault="00405D16">
            <w:pPr>
              <w:spacing w:after="100"/>
              <w:jc w:val="right"/>
              <w:rPr>
                <w:rFonts w:eastAsia="Times New Roman"/>
              </w:rPr>
            </w:pPr>
            <w:r>
              <w:rPr>
                <w:rFonts w:eastAsia="Times New Roman"/>
                <w:b/>
                <w:bCs/>
                <w:color w:val="000000"/>
                <w:sz w:val="18"/>
                <w:szCs w:val="18"/>
              </w:rPr>
              <w:t>0.35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0316F4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858F0B"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5CD5398"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10CB1B8" w14:textId="77777777" w:rsidR="00000000" w:rsidRDefault="00405D16">
            <w:pPr>
              <w:spacing w:after="100"/>
              <w:jc w:val="right"/>
              <w:rPr>
                <w:rFonts w:eastAsia="Times New Roman"/>
              </w:rPr>
            </w:pPr>
            <w:r>
              <w:rPr>
                <w:rFonts w:eastAsia="Times New Roman"/>
                <w:color w:val="000000"/>
                <w:sz w:val="18"/>
                <w:szCs w:val="18"/>
              </w:rPr>
              <w:t>995 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F0A95B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1E7E5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0E0FEE9" w14:textId="77777777" w:rsidR="00000000" w:rsidRDefault="00405D16">
            <w:pPr>
              <w:spacing w:after="100"/>
              <w:jc w:val="right"/>
              <w:rPr>
                <w:rFonts w:eastAsia="Times New Roman"/>
              </w:rPr>
            </w:pPr>
            <w:r>
              <w:rPr>
                <w:rFonts w:eastAsia="Times New Roman"/>
                <w:color w:val="000000"/>
                <w:sz w:val="18"/>
                <w:szCs w:val="18"/>
              </w:rPr>
              <w:t>0.40 </w:t>
            </w:r>
          </w:p>
        </w:tc>
        <w:tc>
          <w:tcPr>
            <w:tcW w:w="0" w:type="auto"/>
            <w:shd w:val="clear" w:color="auto" w:fill="CCEEFF"/>
            <w:tcMar>
              <w:top w:w="30" w:type="dxa"/>
              <w:left w:w="0" w:type="dxa"/>
              <w:bottom w:w="30" w:type="dxa"/>
              <w:right w:w="20" w:type="dxa"/>
            </w:tcMar>
            <w:vAlign w:val="center"/>
            <w:hideMark/>
          </w:tcPr>
          <w:p w14:paraId="429FF26F" w14:textId="77777777" w:rsidR="00000000" w:rsidRDefault="00405D16">
            <w:pPr>
              <w:spacing w:after="100"/>
              <w:jc w:val="right"/>
              <w:rPr>
                <w:rFonts w:eastAsia="Times New Roman"/>
              </w:rPr>
            </w:pPr>
          </w:p>
        </w:tc>
      </w:tr>
      <w:tr w:rsidR="00000000" w14:paraId="2E63B692" w14:textId="77777777">
        <w:trPr>
          <w:divId w:val="384186517"/>
        </w:trPr>
        <w:tc>
          <w:tcPr>
            <w:tcW w:w="0" w:type="auto"/>
            <w:gridSpan w:val="3"/>
            <w:shd w:val="clear" w:color="auto" w:fill="FFFFFF"/>
            <w:tcMar>
              <w:top w:w="30" w:type="dxa"/>
              <w:left w:w="20" w:type="dxa"/>
              <w:bottom w:w="30" w:type="dxa"/>
              <w:right w:w="20" w:type="dxa"/>
            </w:tcMar>
            <w:vAlign w:val="center"/>
            <w:hideMark/>
          </w:tcPr>
          <w:p w14:paraId="45738D55" w14:textId="77777777" w:rsidR="00000000" w:rsidRDefault="00405D16">
            <w:pPr>
              <w:spacing w:after="100"/>
              <w:divId w:val="1347249919"/>
              <w:rPr>
                <w:rFonts w:eastAsia="Times New Roman"/>
              </w:rPr>
            </w:pPr>
            <w:r>
              <w:rPr>
                <w:rFonts w:eastAsia="Times New Roman"/>
                <w:color w:val="000000"/>
                <w:sz w:val="18"/>
                <w:szCs w:val="18"/>
              </w:rPr>
              <w:t>Other nonperforming asset</w:t>
            </w:r>
            <w:r>
              <w:rPr>
                <w:rFonts w:eastAsia="Times New Roman"/>
                <w:color w:val="000000"/>
                <w:sz w:val="18"/>
                <w:szCs w:val="18"/>
              </w:rPr>
              <w:t>s</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7D01BEEE" w14:textId="77777777" w:rsidR="00000000" w:rsidRDefault="00405D16">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14:paraId="4706B47C" w14:textId="77777777" w:rsidR="00000000" w:rsidRDefault="00405D16">
            <w:pPr>
              <w:spacing w:after="100"/>
              <w:jc w:val="right"/>
              <w:rPr>
                <w:rFonts w:eastAsia="Times New Roman"/>
              </w:rPr>
            </w:pPr>
            <w:r>
              <w:rPr>
                <w:rFonts w:eastAsia="Times New Roman"/>
                <w:b/>
                <w:bCs/>
                <w:color w:val="000000"/>
                <w:sz w:val="18"/>
                <w:szCs w:val="18"/>
              </w:rPr>
              <w:t>42</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6746D4F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659C8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C324D0C" w14:textId="77777777" w:rsidR="00000000" w:rsidRDefault="00405D16">
            <w:pPr>
              <w:spacing w:after="100"/>
              <w:jc w:val="right"/>
              <w:rPr>
                <w:rFonts w:eastAsia="Times New Roman"/>
              </w:rPr>
            </w:pPr>
            <w:r>
              <w:rPr>
                <w:rFonts w:eastAsia="Times New Roman"/>
                <w:b/>
                <w:bCs/>
                <w:color w:val="000000"/>
                <w:sz w:val="18"/>
                <w:szCs w:val="18"/>
              </w:rPr>
              <w:t>0.02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0C277B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775D5B" w14:textId="77777777" w:rsidR="00000000" w:rsidRDefault="00405D16">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14:paraId="61453689" w14:textId="77777777" w:rsidR="00000000" w:rsidRDefault="00405D16">
            <w:pPr>
              <w:spacing w:after="100"/>
              <w:jc w:val="right"/>
              <w:rPr>
                <w:rFonts w:eastAsia="Times New Roman"/>
              </w:rPr>
            </w:pPr>
            <w:r>
              <w:rPr>
                <w:rFonts w:eastAsia="Times New Roman"/>
                <w:color w:val="000000"/>
                <w:sz w:val="18"/>
                <w:szCs w:val="18"/>
              </w:rPr>
              <w:t>45 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374A203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C23D1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3AE58CD" w14:textId="77777777" w:rsidR="00000000" w:rsidRDefault="00405D16">
            <w:pPr>
              <w:spacing w:after="100"/>
              <w:jc w:val="right"/>
              <w:rPr>
                <w:rFonts w:eastAsia="Times New Roman"/>
              </w:rPr>
            </w:pPr>
            <w:r>
              <w:rPr>
                <w:rFonts w:eastAsia="Times New Roman"/>
                <w:color w:val="000000"/>
                <w:sz w:val="18"/>
                <w:szCs w:val="18"/>
              </w:rPr>
              <w:t>0.01 </w:t>
            </w:r>
          </w:p>
        </w:tc>
        <w:tc>
          <w:tcPr>
            <w:tcW w:w="0" w:type="auto"/>
            <w:shd w:val="clear" w:color="auto" w:fill="FFFFFF"/>
            <w:tcMar>
              <w:top w:w="30" w:type="dxa"/>
              <w:left w:w="0" w:type="dxa"/>
              <w:bottom w:w="30" w:type="dxa"/>
              <w:right w:w="20" w:type="dxa"/>
            </w:tcMar>
            <w:vAlign w:val="center"/>
            <w:hideMark/>
          </w:tcPr>
          <w:p w14:paraId="529161D9" w14:textId="77777777" w:rsidR="00000000" w:rsidRDefault="00405D16">
            <w:pPr>
              <w:spacing w:after="100"/>
              <w:jc w:val="right"/>
              <w:rPr>
                <w:rFonts w:eastAsia="Times New Roman"/>
              </w:rPr>
            </w:pPr>
          </w:p>
        </w:tc>
      </w:tr>
      <w:tr w:rsidR="00000000" w14:paraId="7B3A1D9E" w14:textId="77777777">
        <w:trPr>
          <w:divId w:val="384186517"/>
        </w:trPr>
        <w:tc>
          <w:tcPr>
            <w:tcW w:w="0" w:type="auto"/>
            <w:gridSpan w:val="3"/>
            <w:shd w:val="clear" w:color="auto" w:fill="CCEEFF"/>
            <w:tcMar>
              <w:top w:w="30" w:type="dxa"/>
              <w:left w:w="20" w:type="dxa"/>
              <w:bottom w:w="30" w:type="dxa"/>
              <w:right w:w="20" w:type="dxa"/>
            </w:tcMar>
            <w:vAlign w:val="center"/>
            <w:hideMark/>
          </w:tcPr>
          <w:p w14:paraId="425FD8BA" w14:textId="77777777" w:rsidR="00000000" w:rsidRDefault="00405D16">
            <w:pPr>
              <w:spacing w:after="100"/>
              <w:rPr>
                <w:rFonts w:eastAsia="Times New Roman"/>
              </w:rPr>
            </w:pPr>
            <w:r>
              <w:rPr>
                <w:rFonts w:eastAsia="Times New Roman"/>
                <w:color w:val="000000"/>
                <w:sz w:val="18"/>
                <w:szCs w:val="18"/>
              </w:rPr>
              <w:t>Total nonperforming assets</w:t>
            </w:r>
          </w:p>
        </w:tc>
        <w:tc>
          <w:tcPr>
            <w:tcW w:w="0" w:type="auto"/>
            <w:gridSpan w:val="3"/>
            <w:shd w:val="clear" w:color="auto" w:fill="CCEEFF"/>
            <w:tcMar>
              <w:top w:w="0" w:type="dxa"/>
              <w:left w:w="20" w:type="dxa"/>
              <w:bottom w:w="0" w:type="dxa"/>
              <w:right w:w="20" w:type="dxa"/>
            </w:tcMar>
            <w:vAlign w:val="center"/>
            <w:hideMark/>
          </w:tcPr>
          <w:p w14:paraId="720A41AB"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0E861EC2"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A569FAA" w14:textId="77777777" w:rsidR="00000000" w:rsidRDefault="00405D16">
            <w:pPr>
              <w:spacing w:after="100"/>
              <w:jc w:val="right"/>
              <w:rPr>
                <w:rFonts w:eastAsia="Times New Roman"/>
              </w:rPr>
            </w:pPr>
            <w:r>
              <w:rPr>
                <w:rFonts w:eastAsia="Times New Roman"/>
                <w:b/>
                <w:bCs/>
                <w:color w:val="000000"/>
                <w:sz w:val="18"/>
                <w:szCs w:val="18"/>
              </w:rPr>
              <w:t>975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838168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C4DD6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D6DD631" w14:textId="77777777" w:rsidR="00000000" w:rsidRDefault="00405D16">
            <w:pPr>
              <w:spacing w:after="100"/>
              <w:jc w:val="right"/>
              <w:rPr>
                <w:rFonts w:eastAsia="Times New Roman"/>
              </w:rPr>
            </w:pPr>
            <w:r>
              <w:rPr>
                <w:rFonts w:eastAsia="Times New Roman"/>
                <w:b/>
                <w:bCs/>
                <w:color w:val="000000"/>
                <w:sz w:val="18"/>
                <w:szCs w:val="18"/>
              </w:rPr>
              <w:t>0.37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9BEC44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7BE321"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9C549F2"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30B2A467" w14:textId="77777777" w:rsidR="00000000" w:rsidRDefault="00405D16">
            <w:pPr>
              <w:spacing w:after="100"/>
              <w:jc w:val="right"/>
              <w:rPr>
                <w:rFonts w:eastAsia="Times New Roman"/>
              </w:rPr>
            </w:pPr>
            <w:r>
              <w:rPr>
                <w:rFonts w:eastAsia="Times New Roman"/>
                <w:color w:val="000000"/>
                <w:sz w:val="18"/>
                <w:szCs w:val="18"/>
              </w:rPr>
              <w:t>1,040 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059D4F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4AED0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27315D4" w14:textId="77777777" w:rsidR="00000000" w:rsidRDefault="00405D16">
            <w:pPr>
              <w:spacing w:after="100"/>
              <w:jc w:val="right"/>
              <w:rPr>
                <w:rFonts w:eastAsia="Times New Roman"/>
              </w:rPr>
            </w:pPr>
            <w:r>
              <w:rPr>
                <w:rFonts w:eastAsia="Times New Roman"/>
                <w:color w:val="000000"/>
                <w:sz w:val="18"/>
                <w:szCs w:val="18"/>
              </w:rPr>
              <w:t>0.41 </w:t>
            </w:r>
          </w:p>
        </w:tc>
        <w:tc>
          <w:tcPr>
            <w:tcW w:w="0" w:type="auto"/>
            <w:shd w:val="clear" w:color="auto" w:fill="CCEEFF"/>
            <w:tcMar>
              <w:top w:w="30" w:type="dxa"/>
              <w:left w:w="0" w:type="dxa"/>
              <w:bottom w:w="30" w:type="dxa"/>
              <w:right w:w="20" w:type="dxa"/>
            </w:tcMar>
            <w:vAlign w:val="center"/>
            <w:hideMark/>
          </w:tcPr>
          <w:p w14:paraId="24195762" w14:textId="77777777" w:rsidR="00000000" w:rsidRDefault="00405D16">
            <w:pPr>
              <w:spacing w:after="100"/>
              <w:jc w:val="right"/>
              <w:rPr>
                <w:rFonts w:eastAsia="Times New Roman"/>
              </w:rPr>
            </w:pPr>
          </w:p>
        </w:tc>
      </w:tr>
    </w:tbl>
    <w:p w14:paraId="7F8F407D" w14:textId="77777777" w:rsidR="00000000" w:rsidRDefault="00405D16">
      <w:pPr>
        <w:divId w:val="384186517"/>
        <w:rPr>
          <w:rFonts w:eastAsia="Times New Roman"/>
        </w:rPr>
      </w:pPr>
      <w:r>
        <w:rPr>
          <w:rFonts w:eastAsia="Times New Roman"/>
          <w:color w:val="000000"/>
          <w:sz w:val="20"/>
          <w:szCs w:val="20"/>
        </w:rPr>
        <w:t>__________</w:t>
      </w:r>
    </w:p>
    <w:p w14:paraId="35A9F29F" w14:textId="77777777" w:rsidR="00000000" w:rsidRDefault="00405D16">
      <w:pPr>
        <w:ind w:hanging="360"/>
        <w:jc w:val="both"/>
        <w:divId w:val="100574186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recognized interest income for loans classified as nonperforming of $21 million and $22 million in the first nine months of 2021 and 2020, respectively. Interest income foregone related to nonperforming loans was $40 million and $40 million in the first</w:t>
      </w:r>
      <w:r>
        <w:rPr>
          <w:rFonts w:eastAsia="Times New Roman"/>
          <w:color w:val="000000"/>
          <w:sz w:val="16"/>
          <w:szCs w:val="16"/>
        </w:rPr>
        <w:t xml:space="preserve"> nine months of 2021 and 2020, respectively. Foregone interest income represents the amount of interest income in excess of recognized interest income that would have been recorded during the period for nonperforming loans as of the end of the period had t</w:t>
      </w:r>
      <w:r>
        <w:rPr>
          <w:rFonts w:eastAsia="Times New Roman"/>
          <w:color w:val="000000"/>
          <w:sz w:val="16"/>
          <w:szCs w:val="16"/>
        </w:rPr>
        <w:t>he loans performed according to their contractual terms.</w:t>
      </w:r>
    </w:p>
    <w:p w14:paraId="53CD974D" w14:textId="77777777" w:rsidR="00000000" w:rsidRDefault="00405D16">
      <w:pPr>
        <w:ind w:hanging="360"/>
        <w:jc w:val="both"/>
        <w:divId w:val="1109591122"/>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Nonperforming loan rates are calculated based on nonperforming loans for each category divided by period-end total loans held for investment for each respective category.</w:t>
      </w:r>
    </w:p>
    <w:p w14:paraId="11324123" w14:textId="77777777" w:rsidR="00000000" w:rsidRDefault="00405D16">
      <w:pPr>
        <w:ind w:hanging="360"/>
        <w:jc w:val="both"/>
        <w:divId w:val="1509520115"/>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Excluding the impact o</w:t>
      </w:r>
      <w:r>
        <w:rPr>
          <w:rFonts w:eastAsia="Times New Roman"/>
          <w:color w:val="000000"/>
          <w:sz w:val="16"/>
          <w:szCs w:val="16"/>
        </w:rPr>
        <w:t>f domestic credit card loans, nonperforming loans as a percentage of total loans held for investment was 0.58% and 0.65% as of September 30, 2021 and December 31, 2020, respectively.</w:t>
      </w:r>
    </w:p>
    <w:p w14:paraId="4FF99F39" w14:textId="77777777" w:rsidR="00000000" w:rsidRDefault="00405D16">
      <w:pPr>
        <w:ind w:hanging="360"/>
        <w:jc w:val="both"/>
        <w:divId w:val="238180434"/>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The denominators used in calculating nonperforming asset rates consist</w:t>
      </w:r>
      <w:r>
        <w:rPr>
          <w:rFonts w:eastAsia="Times New Roman"/>
          <w:color w:val="000000"/>
          <w:sz w:val="16"/>
          <w:szCs w:val="16"/>
        </w:rPr>
        <w:t xml:space="preserve"> of total loans held for investment and other nonperforming assets.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30425ABA" w14:textId="77777777">
        <w:trPr>
          <w:divId w:val="1147478763"/>
          <w:jc w:val="center"/>
        </w:trPr>
        <w:tc>
          <w:tcPr>
            <w:tcW w:w="50" w:type="pct"/>
            <w:vAlign w:val="center"/>
            <w:hideMark/>
          </w:tcPr>
          <w:p w14:paraId="365E40CC" w14:textId="77777777" w:rsidR="00000000" w:rsidRDefault="00405D16">
            <w:pPr>
              <w:ind w:hanging="360"/>
              <w:jc w:val="both"/>
              <w:rPr>
                <w:rFonts w:eastAsia="Times New Roman"/>
              </w:rPr>
            </w:pPr>
          </w:p>
        </w:tc>
        <w:tc>
          <w:tcPr>
            <w:tcW w:w="1606" w:type="pct"/>
            <w:vAlign w:val="center"/>
            <w:hideMark/>
          </w:tcPr>
          <w:p w14:paraId="58E8ABF2" w14:textId="77777777" w:rsidR="00000000" w:rsidRDefault="00405D16">
            <w:pPr>
              <w:spacing w:after="100"/>
              <w:rPr>
                <w:rFonts w:eastAsia="Times New Roman"/>
                <w:sz w:val="20"/>
                <w:szCs w:val="20"/>
              </w:rPr>
            </w:pPr>
          </w:p>
        </w:tc>
        <w:tc>
          <w:tcPr>
            <w:tcW w:w="5" w:type="pct"/>
            <w:vAlign w:val="center"/>
            <w:hideMark/>
          </w:tcPr>
          <w:p w14:paraId="71195AF2" w14:textId="77777777" w:rsidR="00000000" w:rsidRDefault="00405D16">
            <w:pPr>
              <w:spacing w:after="100"/>
              <w:rPr>
                <w:rFonts w:eastAsia="Times New Roman"/>
                <w:sz w:val="20"/>
                <w:szCs w:val="20"/>
              </w:rPr>
            </w:pPr>
          </w:p>
        </w:tc>
        <w:tc>
          <w:tcPr>
            <w:tcW w:w="50" w:type="pct"/>
            <w:vAlign w:val="center"/>
            <w:hideMark/>
          </w:tcPr>
          <w:p w14:paraId="74C2F5AA" w14:textId="77777777" w:rsidR="00000000" w:rsidRDefault="00405D16">
            <w:pPr>
              <w:spacing w:after="100"/>
              <w:rPr>
                <w:rFonts w:eastAsia="Times New Roman"/>
                <w:sz w:val="20"/>
                <w:szCs w:val="20"/>
              </w:rPr>
            </w:pPr>
          </w:p>
        </w:tc>
        <w:tc>
          <w:tcPr>
            <w:tcW w:w="1614" w:type="pct"/>
            <w:vAlign w:val="center"/>
            <w:hideMark/>
          </w:tcPr>
          <w:p w14:paraId="76576F6B" w14:textId="77777777" w:rsidR="00000000" w:rsidRDefault="00405D16">
            <w:pPr>
              <w:spacing w:after="100"/>
              <w:rPr>
                <w:rFonts w:eastAsia="Times New Roman"/>
                <w:sz w:val="20"/>
                <w:szCs w:val="20"/>
              </w:rPr>
            </w:pPr>
          </w:p>
        </w:tc>
        <w:tc>
          <w:tcPr>
            <w:tcW w:w="5" w:type="pct"/>
            <w:vAlign w:val="center"/>
            <w:hideMark/>
          </w:tcPr>
          <w:p w14:paraId="135A5508" w14:textId="77777777" w:rsidR="00000000" w:rsidRDefault="00405D16">
            <w:pPr>
              <w:spacing w:after="100"/>
              <w:rPr>
                <w:rFonts w:eastAsia="Times New Roman"/>
                <w:sz w:val="20"/>
                <w:szCs w:val="20"/>
              </w:rPr>
            </w:pPr>
          </w:p>
        </w:tc>
        <w:tc>
          <w:tcPr>
            <w:tcW w:w="50" w:type="pct"/>
            <w:vAlign w:val="center"/>
            <w:hideMark/>
          </w:tcPr>
          <w:p w14:paraId="0B7CE2CF" w14:textId="77777777" w:rsidR="00000000" w:rsidRDefault="00405D16">
            <w:pPr>
              <w:spacing w:after="100"/>
              <w:rPr>
                <w:rFonts w:eastAsia="Times New Roman"/>
                <w:sz w:val="20"/>
                <w:szCs w:val="20"/>
              </w:rPr>
            </w:pPr>
          </w:p>
        </w:tc>
        <w:tc>
          <w:tcPr>
            <w:tcW w:w="1614" w:type="pct"/>
            <w:vAlign w:val="center"/>
            <w:hideMark/>
          </w:tcPr>
          <w:p w14:paraId="5115DCF0" w14:textId="77777777" w:rsidR="00000000" w:rsidRDefault="00405D16">
            <w:pPr>
              <w:spacing w:after="100"/>
              <w:rPr>
                <w:rFonts w:eastAsia="Times New Roman"/>
                <w:sz w:val="20"/>
                <w:szCs w:val="20"/>
              </w:rPr>
            </w:pPr>
          </w:p>
        </w:tc>
        <w:tc>
          <w:tcPr>
            <w:tcW w:w="5" w:type="pct"/>
            <w:vAlign w:val="center"/>
            <w:hideMark/>
          </w:tcPr>
          <w:p w14:paraId="4EC9D6CD" w14:textId="77777777" w:rsidR="00000000" w:rsidRDefault="00405D16">
            <w:pPr>
              <w:spacing w:after="100"/>
              <w:rPr>
                <w:rFonts w:eastAsia="Times New Roman"/>
                <w:sz w:val="20"/>
                <w:szCs w:val="20"/>
              </w:rPr>
            </w:pPr>
          </w:p>
        </w:tc>
      </w:tr>
      <w:tr w:rsidR="00000000" w14:paraId="0B1C2A7E" w14:textId="77777777">
        <w:trPr>
          <w:divId w:val="1147478763"/>
          <w:trHeight w:val="300"/>
          <w:jc w:val="center"/>
        </w:trPr>
        <w:tc>
          <w:tcPr>
            <w:tcW w:w="0" w:type="auto"/>
            <w:gridSpan w:val="9"/>
            <w:tcMar>
              <w:top w:w="0" w:type="dxa"/>
              <w:left w:w="20" w:type="dxa"/>
              <w:bottom w:w="0" w:type="dxa"/>
              <w:right w:w="20" w:type="dxa"/>
            </w:tcMar>
            <w:vAlign w:val="center"/>
            <w:hideMark/>
          </w:tcPr>
          <w:p w14:paraId="7C9F6CC1" w14:textId="77777777" w:rsidR="00000000" w:rsidRDefault="00405D16">
            <w:pPr>
              <w:spacing w:after="100"/>
              <w:rPr>
                <w:rFonts w:eastAsia="Times New Roman"/>
                <w:sz w:val="20"/>
                <w:szCs w:val="20"/>
              </w:rPr>
            </w:pPr>
          </w:p>
        </w:tc>
      </w:tr>
      <w:tr w:rsidR="00000000" w14:paraId="11623588" w14:textId="77777777">
        <w:trPr>
          <w:divId w:val="1147478763"/>
          <w:jc w:val="center"/>
        </w:trPr>
        <w:tc>
          <w:tcPr>
            <w:tcW w:w="0" w:type="auto"/>
            <w:gridSpan w:val="3"/>
            <w:tcMar>
              <w:top w:w="0" w:type="dxa"/>
              <w:left w:w="20" w:type="dxa"/>
              <w:bottom w:w="0" w:type="dxa"/>
              <w:right w:w="20" w:type="dxa"/>
            </w:tcMar>
            <w:vAlign w:val="center"/>
            <w:hideMark/>
          </w:tcPr>
          <w:p w14:paraId="5296D959"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01D004E" w14:textId="77777777" w:rsidR="00000000" w:rsidRDefault="00405D16">
            <w:pPr>
              <w:spacing w:after="100"/>
              <w:jc w:val="center"/>
              <w:rPr>
                <w:rFonts w:eastAsia="Times New Roman"/>
              </w:rPr>
            </w:pPr>
            <w:r>
              <w:rPr>
                <w:rFonts w:eastAsia="Times New Roman"/>
                <w:color w:val="000000"/>
                <w:sz w:val="16"/>
                <w:szCs w:val="16"/>
              </w:rPr>
              <w:t>46</w:t>
            </w:r>
          </w:p>
        </w:tc>
        <w:tc>
          <w:tcPr>
            <w:tcW w:w="0" w:type="auto"/>
            <w:gridSpan w:val="3"/>
            <w:tcMar>
              <w:top w:w="30" w:type="dxa"/>
              <w:left w:w="20" w:type="dxa"/>
              <w:bottom w:w="30" w:type="dxa"/>
              <w:right w:w="20" w:type="dxa"/>
            </w:tcMar>
            <w:vAlign w:val="bottom"/>
            <w:hideMark/>
          </w:tcPr>
          <w:p w14:paraId="73A1630F"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7FAC66AA" w14:textId="77777777" w:rsidR="00000000" w:rsidRDefault="00405D16">
      <w:pPr>
        <w:rPr>
          <w:rFonts w:eastAsia="Times New Roman"/>
        </w:rPr>
      </w:pPr>
      <w:r>
        <w:rPr>
          <w:rFonts w:eastAsia="Times New Roman"/>
        </w:rPr>
        <w:pict w14:anchorId="44C4995A">
          <v:rect id="_x0000_i1071" style="width:0;height:1.5pt" o:hralign="center" o:hrstd="t" o:hr="t" fillcolor="#a0a0a0" stroked="f"/>
        </w:pict>
      </w:r>
    </w:p>
    <w:p w14:paraId="13EB73CF" w14:textId="77777777" w:rsidR="00000000" w:rsidRDefault="00405D16">
      <w:pPr>
        <w:ind w:hanging="360"/>
        <w:jc w:val="both"/>
        <w:divId w:val="1477450462"/>
        <w:rPr>
          <w:rFonts w:eastAsia="Times New Roman"/>
        </w:rPr>
      </w:pPr>
      <w:hyperlink w:anchor="idd54a04a485440b4ab4e56094c14d612_13" w:history="1">
        <w:r>
          <w:rPr>
            <w:rStyle w:val="a3"/>
            <w:rFonts w:eastAsia="Times New Roman"/>
            <w:sz w:val="16"/>
            <w:szCs w:val="16"/>
          </w:rPr>
          <w:t>Table of Contents</w:t>
        </w:r>
      </w:hyperlink>
    </w:p>
    <w:p w14:paraId="4AC67CFA" w14:textId="77777777" w:rsidR="00000000" w:rsidRDefault="00405D16">
      <w:pPr>
        <w:divId w:val="1351646021"/>
        <w:rPr>
          <w:rFonts w:eastAsia="Times New Roman"/>
        </w:rPr>
      </w:pPr>
      <w:r>
        <w:rPr>
          <w:rFonts w:eastAsia="Times New Roman"/>
          <w:b/>
          <w:bCs/>
          <w:i/>
          <w:iCs/>
          <w:color w:val="000000"/>
          <w:sz w:val="20"/>
          <w:szCs w:val="20"/>
        </w:rPr>
        <w:t>Net Charge-Offs</w:t>
      </w:r>
    </w:p>
    <w:p w14:paraId="3BB5662D" w14:textId="77777777" w:rsidR="00000000" w:rsidRDefault="00405D16">
      <w:pPr>
        <w:jc w:val="both"/>
        <w:divId w:val="1112746942"/>
        <w:rPr>
          <w:rFonts w:eastAsia="Times New Roman"/>
        </w:rPr>
      </w:pPr>
      <w:r>
        <w:rPr>
          <w:rFonts w:eastAsia="Times New Roman"/>
          <w:color w:val="000000"/>
          <w:sz w:val="20"/>
          <w:szCs w:val="20"/>
        </w:rPr>
        <w:t>Net charge-offs consist of the amortized cost basis, excluding accrued interest, of loans held for investment that we determine</w:t>
      </w:r>
      <w:r>
        <w:rPr>
          <w:rFonts w:eastAsia="Times New Roman"/>
          <w:color w:val="000000"/>
          <w:sz w:val="20"/>
          <w:szCs w:val="20"/>
        </w:rPr>
        <w:t xml:space="preserve"> to be uncollectible, net of recovered amounts. We charge off loans as a reduction to the allowance for credit losses when we determine the loan is uncollectible and record subsequent recoveries of previously charged off amounts as increases to the allowan</w:t>
      </w:r>
      <w:r>
        <w:rPr>
          <w:rFonts w:eastAsia="Times New Roman"/>
          <w:color w:val="000000"/>
          <w:sz w:val="20"/>
          <w:szCs w:val="20"/>
        </w:rPr>
        <w:t>ce for credit losses. Uncollectible finance charges and fees are reversed through revenue and certain fraud losses are recorded in other non-interest expense. Generally, costs to recover charged off loans are recorded as collection expenses as incurred and</w:t>
      </w:r>
      <w:r>
        <w:rPr>
          <w:rFonts w:eastAsia="Times New Roman"/>
          <w:color w:val="000000"/>
          <w:sz w:val="20"/>
          <w:szCs w:val="20"/>
        </w:rPr>
        <w:t xml:space="preserve"> included in our consolidated statements of income as a component of other non-interest expense. Our charge-off policy for loans varies based on the loan type. See “Note 1—Summary of Significant Accounting Policies” in our 2020 Form 10-K for information on</w:t>
      </w:r>
      <w:r>
        <w:rPr>
          <w:rFonts w:eastAsia="Times New Roman"/>
          <w:color w:val="000000"/>
          <w:sz w:val="20"/>
          <w:szCs w:val="20"/>
        </w:rPr>
        <w:t xml:space="preserve"> our charge-off policy for each of our loan categories.</w:t>
      </w:r>
    </w:p>
    <w:p w14:paraId="391DA0A5" w14:textId="77777777" w:rsidR="00000000" w:rsidRDefault="00405D16">
      <w:pPr>
        <w:jc w:val="both"/>
        <w:divId w:val="578684016"/>
        <w:rPr>
          <w:rFonts w:eastAsia="Times New Roman"/>
        </w:rPr>
      </w:pPr>
      <w:r>
        <w:rPr>
          <w:rFonts w:eastAsia="Times New Roman"/>
          <w:color w:val="000000"/>
          <w:sz w:val="20"/>
          <w:szCs w:val="20"/>
        </w:rPr>
        <w:t>Table 27 presents our net charge-off amounts and rates, by portfolio segment, in the third quarter and first nine months of 2021 and 2020.</w:t>
      </w:r>
    </w:p>
    <w:p w14:paraId="40A89AAE" w14:textId="77777777" w:rsidR="00000000" w:rsidRDefault="00405D16">
      <w:pPr>
        <w:divId w:val="1173226800"/>
        <w:rPr>
          <w:rFonts w:eastAsia="Times New Roman"/>
        </w:rPr>
      </w:pPr>
      <w:r>
        <w:rPr>
          <w:rFonts w:eastAsia="Times New Roman"/>
          <w:b/>
          <w:bCs/>
          <w:color w:val="000000"/>
          <w:sz w:val="18"/>
          <w:szCs w:val="18"/>
        </w:rPr>
        <w:t>Table 27: Net Charge-Offs (Recoveries)</w:t>
      </w:r>
    </w:p>
    <w:tbl>
      <w:tblPr>
        <w:tblW w:w="5000" w:type="pct"/>
        <w:tblCellMar>
          <w:top w:w="15" w:type="dxa"/>
          <w:left w:w="15" w:type="dxa"/>
          <w:bottom w:w="15" w:type="dxa"/>
          <w:right w:w="15" w:type="dxa"/>
        </w:tblCellMar>
        <w:tblLook w:val="04A0" w:firstRow="1" w:lastRow="0" w:firstColumn="1" w:lastColumn="0" w:noHBand="0" w:noVBand="1"/>
      </w:tblPr>
      <w:tblGrid>
        <w:gridCol w:w="39"/>
        <w:gridCol w:w="1385"/>
        <w:gridCol w:w="38"/>
        <w:gridCol w:w="36"/>
        <w:gridCol w:w="36"/>
        <w:gridCol w:w="36"/>
        <w:gridCol w:w="110"/>
        <w:gridCol w:w="630"/>
        <w:gridCol w:w="36"/>
        <w:gridCol w:w="36"/>
        <w:gridCol w:w="36"/>
        <w:gridCol w:w="36"/>
        <w:gridCol w:w="62"/>
        <w:gridCol w:w="409"/>
        <w:gridCol w:w="200"/>
        <w:gridCol w:w="36"/>
        <w:gridCol w:w="36"/>
        <w:gridCol w:w="36"/>
        <w:gridCol w:w="110"/>
        <w:gridCol w:w="630"/>
        <w:gridCol w:w="36"/>
        <w:gridCol w:w="36"/>
        <w:gridCol w:w="36"/>
        <w:gridCol w:w="36"/>
        <w:gridCol w:w="62"/>
        <w:gridCol w:w="409"/>
        <w:gridCol w:w="170"/>
        <w:gridCol w:w="36"/>
        <w:gridCol w:w="36"/>
        <w:gridCol w:w="36"/>
        <w:gridCol w:w="110"/>
        <w:gridCol w:w="630"/>
        <w:gridCol w:w="36"/>
        <w:gridCol w:w="36"/>
        <w:gridCol w:w="36"/>
        <w:gridCol w:w="36"/>
        <w:gridCol w:w="62"/>
        <w:gridCol w:w="409"/>
        <w:gridCol w:w="200"/>
        <w:gridCol w:w="36"/>
        <w:gridCol w:w="36"/>
        <w:gridCol w:w="36"/>
        <w:gridCol w:w="110"/>
        <w:gridCol w:w="630"/>
        <w:gridCol w:w="36"/>
        <w:gridCol w:w="36"/>
        <w:gridCol w:w="36"/>
        <w:gridCol w:w="36"/>
        <w:gridCol w:w="62"/>
        <w:gridCol w:w="409"/>
        <w:gridCol w:w="170"/>
        <w:gridCol w:w="36"/>
        <w:gridCol w:w="36"/>
        <w:gridCol w:w="36"/>
        <w:gridCol w:w="36"/>
        <w:gridCol w:w="36"/>
        <w:gridCol w:w="36"/>
        <w:gridCol w:w="36"/>
      </w:tblGrid>
      <w:tr w:rsidR="00000000" w14:paraId="0C0B3423" w14:textId="77777777">
        <w:trPr>
          <w:divId w:val="936329312"/>
        </w:trPr>
        <w:tc>
          <w:tcPr>
            <w:tcW w:w="50" w:type="pct"/>
            <w:vAlign w:val="center"/>
            <w:hideMark/>
          </w:tcPr>
          <w:p w14:paraId="1F42DCA8" w14:textId="77777777" w:rsidR="00000000" w:rsidRDefault="00405D16">
            <w:pPr>
              <w:rPr>
                <w:rFonts w:eastAsia="Times New Roman"/>
              </w:rPr>
            </w:pPr>
          </w:p>
        </w:tc>
        <w:tc>
          <w:tcPr>
            <w:tcW w:w="1560" w:type="pct"/>
            <w:vAlign w:val="center"/>
            <w:hideMark/>
          </w:tcPr>
          <w:p w14:paraId="6317CB88" w14:textId="77777777" w:rsidR="00000000" w:rsidRDefault="00405D16">
            <w:pPr>
              <w:spacing w:after="100"/>
              <w:rPr>
                <w:rFonts w:eastAsia="Times New Roman"/>
                <w:sz w:val="20"/>
                <w:szCs w:val="20"/>
              </w:rPr>
            </w:pPr>
          </w:p>
        </w:tc>
        <w:tc>
          <w:tcPr>
            <w:tcW w:w="5" w:type="pct"/>
            <w:vAlign w:val="center"/>
            <w:hideMark/>
          </w:tcPr>
          <w:p w14:paraId="22E80A95" w14:textId="77777777" w:rsidR="00000000" w:rsidRDefault="00405D16">
            <w:pPr>
              <w:spacing w:after="100"/>
              <w:rPr>
                <w:rFonts w:eastAsia="Times New Roman"/>
                <w:sz w:val="20"/>
                <w:szCs w:val="20"/>
              </w:rPr>
            </w:pPr>
          </w:p>
        </w:tc>
        <w:tc>
          <w:tcPr>
            <w:tcW w:w="5" w:type="pct"/>
            <w:vAlign w:val="center"/>
            <w:hideMark/>
          </w:tcPr>
          <w:p w14:paraId="3AEAB85E" w14:textId="77777777" w:rsidR="00000000" w:rsidRDefault="00405D16">
            <w:pPr>
              <w:spacing w:after="100"/>
              <w:rPr>
                <w:rFonts w:eastAsia="Times New Roman"/>
                <w:sz w:val="20"/>
                <w:szCs w:val="20"/>
              </w:rPr>
            </w:pPr>
          </w:p>
        </w:tc>
        <w:tc>
          <w:tcPr>
            <w:tcW w:w="26" w:type="pct"/>
            <w:vAlign w:val="center"/>
            <w:hideMark/>
          </w:tcPr>
          <w:p w14:paraId="59AFB781" w14:textId="77777777" w:rsidR="00000000" w:rsidRDefault="00405D16">
            <w:pPr>
              <w:spacing w:after="100"/>
              <w:rPr>
                <w:rFonts w:eastAsia="Times New Roman"/>
                <w:sz w:val="20"/>
                <w:szCs w:val="20"/>
              </w:rPr>
            </w:pPr>
          </w:p>
        </w:tc>
        <w:tc>
          <w:tcPr>
            <w:tcW w:w="5" w:type="pct"/>
            <w:vAlign w:val="center"/>
            <w:hideMark/>
          </w:tcPr>
          <w:p w14:paraId="451FA309" w14:textId="77777777" w:rsidR="00000000" w:rsidRDefault="00405D16">
            <w:pPr>
              <w:spacing w:after="100"/>
              <w:rPr>
                <w:rFonts w:eastAsia="Times New Roman"/>
                <w:sz w:val="20"/>
                <w:szCs w:val="20"/>
              </w:rPr>
            </w:pPr>
          </w:p>
        </w:tc>
        <w:tc>
          <w:tcPr>
            <w:tcW w:w="50" w:type="pct"/>
            <w:vAlign w:val="center"/>
            <w:hideMark/>
          </w:tcPr>
          <w:p w14:paraId="69BE5B92" w14:textId="77777777" w:rsidR="00000000" w:rsidRDefault="00405D16">
            <w:pPr>
              <w:spacing w:after="100"/>
              <w:rPr>
                <w:rFonts w:eastAsia="Times New Roman"/>
                <w:sz w:val="20"/>
                <w:szCs w:val="20"/>
              </w:rPr>
            </w:pPr>
          </w:p>
        </w:tc>
        <w:tc>
          <w:tcPr>
            <w:tcW w:w="332" w:type="pct"/>
            <w:vAlign w:val="center"/>
            <w:hideMark/>
          </w:tcPr>
          <w:p w14:paraId="46CBDEEF" w14:textId="77777777" w:rsidR="00000000" w:rsidRDefault="00405D16">
            <w:pPr>
              <w:spacing w:after="100"/>
              <w:rPr>
                <w:rFonts w:eastAsia="Times New Roman"/>
                <w:sz w:val="20"/>
                <w:szCs w:val="20"/>
              </w:rPr>
            </w:pPr>
          </w:p>
        </w:tc>
        <w:tc>
          <w:tcPr>
            <w:tcW w:w="5" w:type="pct"/>
            <w:vAlign w:val="center"/>
            <w:hideMark/>
          </w:tcPr>
          <w:p w14:paraId="16344A13" w14:textId="77777777" w:rsidR="00000000" w:rsidRDefault="00405D16">
            <w:pPr>
              <w:spacing w:after="100"/>
              <w:rPr>
                <w:rFonts w:eastAsia="Times New Roman"/>
                <w:sz w:val="20"/>
                <w:szCs w:val="20"/>
              </w:rPr>
            </w:pPr>
          </w:p>
        </w:tc>
        <w:tc>
          <w:tcPr>
            <w:tcW w:w="5" w:type="pct"/>
            <w:vAlign w:val="center"/>
            <w:hideMark/>
          </w:tcPr>
          <w:p w14:paraId="6F0A66CF" w14:textId="77777777" w:rsidR="00000000" w:rsidRDefault="00405D16">
            <w:pPr>
              <w:spacing w:after="100"/>
              <w:rPr>
                <w:rFonts w:eastAsia="Times New Roman"/>
                <w:sz w:val="20"/>
                <w:szCs w:val="20"/>
              </w:rPr>
            </w:pPr>
          </w:p>
        </w:tc>
        <w:tc>
          <w:tcPr>
            <w:tcW w:w="26" w:type="pct"/>
            <w:vAlign w:val="center"/>
            <w:hideMark/>
          </w:tcPr>
          <w:p w14:paraId="7D16FDF8" w14:textId="77777777" w:rsidR="00000000" w:rsidRDefault="00405D16">
            <w:pPr>
              <w:spacing w:after="100"/>
              <w:rPr>
                <w:rFonts w:eastAsia="Times New Roman"/>
                <w:sz w:val="20"/>
                <w:szCs w:val="20"/>
              </w:rPr>
            </w:pPr>
          </w:p>
        </w:tc>
        <w:tc>
          <w:tcPr>
            <w:tcW w:w="5" w:type="pct"/>
            <w:vAlign w:val="center"/>
            <w:hideMark/>
          </w:tcPr>
          <w:p w14:paraId="761A0D26" w14:textId="77777777" w:rsidR="00000000" w:rsidRDefault="00405D16">
            <w:pPr>
              <w:spacing w:after="100"/>
              <w:rPr>
                <w:rFonts w:eastAsia="Times New Roman"/>
                <w:sz w:val="20"/>
                <w:szCs w:val="20"/>
              </w:rPr>
            </w:pPr>
          </w:p>
        </w:tc>
        <w:tc>
          <w:tcPr>
            <w:tcW w:w="50" w:type="pct"/>
            <w:vAlign w:val="center"/>
            <w:hideMark/>
          </w:tcPr>
          <w:p w14:paraId="607766F6" w14:textId="77777777" w:rsidR="00000000" w:rsidRDefault="00405D16">
            <w:pPr>
              <w:spacing w:after="100"/>
              <w:rPr>
                <w:rFonts w:eastAsia="Times New Roman"/>
                <w:sz w:val="20"/>
                <w:szCs w:val="20"/>
              </w:rPr>
            </w:pPr>
          </w:p>
        </w:tc>
        <w:tc>
          <w:tcPr>
            <w:tcW w:w="332" w:type="pct"/>
            <w:vAlign w:val="center"/>
            <w:hideMark/>
          </w:tcPr>
          <w:p w14:paraId="5FB5C475" w14:textId="77777777" w:rsidR="00000000" w:rsidRDefault="00405D16">
            <w:pPr>
              <w:spacing w:after="100"/>
              <w:rPr>
                <w:rFonts w:eastAsia="Times New Roman"/>
                <w:sz w:val="20"/>
                <w:szCs w:val="20"/>
              </w:rPr>
            </w:pPr>
          </w:p>
        </w:tc>
        <w:tc>
          <w:tcPr>
            <w:tcW w:w="5" w:type="pct"/>
            <w:vAlign w:val="center"/>
            <w:hideMark/>
          </w:tcPr>
          <w:p w14:paraId="5B3E9538" w14:textId="77777777" w:rsidR="00000000" w:rsidRDefault="00405D16">
            <w:pPr>
              <w:spacing w:after="100"/>
              <w:rPr>
                <w:rFonts w:eastAsia="Times New Roman"/>
                <w:sz w:val="20"/>
                <w:szCs w:val="20"/>
              </w:rPr>
            </w:pPr>
          </w:p>
        </w:tc>
        <w:tc>
          <w:tcPr>
            <w:tcW w:w="5" w:type="pct"/>
            <w:vAlign w:val="center"/>
            <w:hideMark/>
          </w:tcPr>
          <w:p w14:paraId="0AEF6196" w14:textId="77777777" w:rsidR="00000000" w:rsidRDefault="00405D16">
            <w:pPr>
              <w:spacing w:after="100"/>
              <w:rPr>
                <w:rFonts w:eastAsia="Times New Roman"/>
                <w:sz w:val="20"/>
                <w:szCs w:val="20"/>
              </w:rPr>
            </w:pPr>
          </w:p>
        </w:tc>
        <w:tc>
          <w:tcPr>
            <w:tcW w:w="26" w:type="pct"/>
            <w:vAlign w:val="center"/>
            <w:hideMark/>
          </w:tcPr>
          <w:p w14:paraId="1C7F5B9C" w14:textId="77777777" w:rsidR="00000000" w:rsidRDefault="00405D16">
            <w:pPr>
              <w:spacing w:after="100"/>
              <w:rPr>
                <w:rFonts w:eastAsia="Times New Roman"/>
                <w:sz w:val="20"/>
                <w:szCs w:val="20"/>
              </w:rPr>
            </w:pPr>
          </w:p>
        </w:tc>
        <w:tc>
          <w:tcPr>
            <w:tcW w:w="5" w:type="pct"/>
            <w:vAlign w:val="center"/>
            <w:hideMark/>
          </w:tcPr>
          <w:p w14:paraId="5CEA3847" w14:textId="77777777" w:rsidR="00000000" w:rsidRDefault="00405D16">
            <w:pPr>
              <w:spacing w:after="100"/>
              <w:rPr>
                <w:rFonts w:eastAsia="Times New Roman"/>
                <w:sz w:val="20"/>
                <w:szCs w:val="20"/>
              </w:rPr>
            </w:pPr>
          </w:p>
        </w:tc>
        <w:tc>
          <w:tcPr>
            <w:tcW w:w="50" w:type="pct"/>
            <w:vAlign w:val="center"/>
            <w:hideMark/>
          </w:tcPr>
          <w:p w14:paraId="207DD602" w14:textId="77777777" w:rsidR="00000000" w:rsidRDefault="00405D16">
            <w:pPr>
              <w:spacing w:after="100"/>
              <w:rPr>
                <w:rFonts w:eastAsia="Times New Roman"/>
                <w:sz w:val="20"/>
                <w:szCs w:val="20"/>
              </w:rPr>
            </w:pPr>
          </w:p>
        </w:tc>
        <w:tc>
          <w:tcPr>
            <w:tcW w:w="332" w:type="pct"/>
            <w:vAlign w:val="center"/>
            <w:hideMark/>
          </w:tcPr>
          <w:p w14:paraId="1687D8E1" w14:textId="77777777" w:rsidR="00000000" w:rsidRDefault="00405D16">
            <w:pPr>
              <w:spacing w:after="100"/>
              <w:rPr>
                <w:rFonts w:eastAsia="Times New Roman"/>
                <w:sz w:val="20"/>
                <w:szCs w:val="20"/>
              </w:rPr>
            </w:pPr>
          </w:p>
        </w:tc>
        <w:tc>
          <w:tcPr>
            <w:tcW w:w="5" w:type="pct"/>
            <w:vAlign w:val="center"/>
            <w:hideMark/>
          </w:tcPr>
          <w:p w14:paraId="7497F485" w14:textId="77777777" w:rsidR="00000000" w:rsidRDefault="00405D16">
            <w:pPr>
              <w:spacing w:after="100"/>
              <w:rPr>
                <w:rFonts w:eastAsia="Times New Roman"/>
                <w:sz w:val="20"/>
                <w:szCs w:val="20"/>
              </w:rPr>
            </w:pPr>
          </w:p>
        </w:tc>
        <w:tc>
          <w:tcPr>
            <w:tcW w:w="5" w:type="pct"/>
            <w:vAlign w:val="center"/>
            <w:hideMark/>
          </w:tcPr>
          <w:p w14:paraId="048C88C8" w14:textId="77777777" w:rsidR="00000000" w:rsidRDefault="00405D16">
            <w:pPr>
              <w:spacing w:after="100"/>
              <w:rPr>
                <w:rFonts w:eastAsia="Times New Roman"/>
                <w:sz w:val="20"/>
                <w:szCs w:val="20"/>
              </w:rPr>
            </w:pPr>
          </w:p>
        </w:tc>
        <w:tc>
          <w:tcPr>
            <w:tcW w:w="26" w:type="pct"/>
            <w:vAlign w:val="center"/>
            <w:hideMark/>
          </w:tcPr>
          <w:p w14:paraId="1E681AE1" w14:textId="77777777" w:rsidR="00000000" w:rsidRDefault="00405D16">
            <w:pPr>
              <w:spacing w:after="100"/>
              <w:rPr>
                <w:rFonts w:eastAsia="Times New Roman"/>
                <w:sz w:val="20"/>
                <w:szCs w:val="20"/>
              </w:rPr>
            </w:pPr>
          </w:p>
        </w:tc>
        <w:tc>
          <w:tcPr>
            <w:tcW w:w="5" w:type="pct"/>
            <w:vAlign w:val="center"/>
            <w:hideMark/>
          </w:tcPr>
          <w:p w14:paraId="1ADBE263" w14:textId="77777777" w:rsidR="00000000" w:rsidRDefault="00405D16">
            <w:pPr>
              <w:spacing w:after="100"/>
              <w:rPr>
                <w:rFonts w:eastAsia="Times New Roman"/>
                <w:sz w:val="20"/>
                <w:szCs w:val="20"/>
              </w:rPr>
            </w:pPr>
          </w:p>
        </w:tc>
        <w:tc>
          <w:tcPr>
            <w:tcW w:w="50" w:type="pct"/>
            <w:vAlign w:val="center"/>
            <w:hideMark/>
          </w:tcPr>
          <w:p w14:paraId="0088AFBC" w14:textId="77777777" w:rsidR="00000000" w:rsidRDefault="00405D16">
            <w:pPr>
              <w:spacing w:after="100"/>
              <w:rPr>
                <w:rFonts w:eastAsia="Times New Roman"/>
                <w:sz w:val="20"/>
                <w:szCs w:val="20"/>
              </w:rPr>
            </w:pPr>
          </w:p>
        </w:tc>
        <w:tc>
          <w:tcPr>
            <w:tcW w:w="332" w:type="pct"/>
            <w:vAlign w:val="center"/>
            <w:hideMark/>
          </w:tcPr>
          <w:p w14:paraId="16CA6284" w14:textId="77777777" w:rsidR="00000000" w:rsidRDefault="00405D16">
            <w:pPr>
              <w:spacing w:after="100"/>
              <w:rPr>
                <w:rFonts w:eastAsia="Times New Roman"/>
                <w:sz w:val="20"/>
                <w:szCs w:val="20"/>
              </w:rPr>
            </w:pPr>
          </w:p>
        </w:tc>
        <w:tc>
          <w:tcPr>
            <w:tcW w:w="5" w:type="pct"/>
            <w:vAlign w:val="center"/>
            <w:hideMark/>
          </w:tcPr>
          <w:p w14:paraId="6D3223AA" w14:textId="77777777" w:rsidR="00000000" w:rsidRDefault="00405D16">
            <w:pPr>
              <w:spacing w:after="100"/>
              <w:rPr>
                <w:rFonts w:eastAsia="Times New Roman"/>
                <w:sz w:val="20"/>
                <w:szCs w:val="20"/>
              </w:rPr>
            </w:pPr>
          </w:p>
        </w:tc>
        <w:tc>
          <w:tcPr>
            <w:tcW w:w="5" w:type="pct"/>
            <w:vAlign w:val="center"/>
            <w:hideMark/>
          </w:tcPr>
          <w:p w14:paraId="378F2190" w14:textId="77777777" w:rsidR="00000000" w:rsidRDefault="00405D16">
            <w:pPr>
              <w:spacing w:after="100"/>
              <w:rPr>
                <w:rFonts w:eastAsia="Times New Roman"/>
                <w:sz w:val="20"/>
                <w:szCs w:val="20"/>
              </w:rPr>
            </w:pPr>
          </w:p>
        </w:tc>
        <w:tc>
          <w:tcPr>
            <w:tcW w:w="19" w:type="pct"/>
            <w:vAlign w:val="center"/>
            <w:hideMark/>
          </w:tcPr>
          <w:p w14:paraId="090769A8" w14:textId="77777777" w:rsidR="00000000" w:rsidRDefault="00405D16">
            <w:pPr>
              <w:spacing w:after="100"/>
              <w:rPr>
                <w:rFonts w:eastAsia="Times New Roman"/>
                <w:sz w:val="20"/>
                <w:szCs w:val="20"/>
              </w:rPr>
            </w:pPr>
          </w:p>
        </w:tc>
        <w:tc>
          <w:tcPr>
            <w:tcW w:w="5" w:type="pct"/>
            <w:vAlign w:val="center"/>
            <w:hideMark/>
          </w:tcPr>
          <w:p w14:paraId="7C6D0B6C" w14:textId="77777777" w:rsidR="00000000" w:rsidRDefault="00405D16">
            <w:pPr>
              <w:spacing w:after="100"/>
              <w:rPr>
                <w:rFonts w:eastAsia="Times New Roman"/>
                <w:sz w:val="20"/>
                <w:szCs w:val="20"/>
              </w:rPr>
            </w:pPr>
          </w:p>
        </w:tc>
        <w:tc>
          <w:tcPr>
            <w:tcW w:w="50" w:type="pct"/>
            <w:vAlign w:val="center"/>
            <w:hideMark/>
          </w:tcPr>
          <w:p w14:paraId="7E5C33AE" w14:textId="77777777" w:rsidR="00000000" w:rsidRDefault="00405D16">
            <w:pPr>
              <w:spacing w:after="100"/>
              <w:rPr>
                <w:rFonts w:eastAsia="Times New Roman"/>
                <w:sz w:val="20"/>
                <w:szCs w:val="20"/>
              </w:rPr>
            </w:pPr>
          </w:p>
        </w:tc>
        <w:tc>
          <w:tcPr>
            <w:tcW w:w="332" w:type="pct"/>
            <w:vAlign w:val="center"/>
            <w:hideMark/>
          </w:tcPr>
          <w:p w14:paraId="32378762" w14:textId="77777777" w:rsidR="00000000" w:rsidRDefault="00405D16">
            <w:pPr>
              <w:spacing w:after="100"/>
              <w:rPr>
                <w:rFonts w:eastAsia="Times New Roman"/>
                <w:sz w:val="20"/>
                <w:szCs w:val="20"/>
              </w:rPr>
            </w:pPr>
          </w:p>
        </w:tc>
        <w:tc>
          <w:tcPr>
            <w:tcW w:w="5" w:type="pct"/>
            <w:vAlign w:val="center"/>
            <w:hideMark/>
          </w:tcPr>
          <w:p w14:paraId="1751871B" w14:textId="77777777" w:rsidR="00000000" w:rsidRDefault="00405D16">
            <w:pPr>
              <w:spacing w:after="100"/>
              <w:rPr>
                <w:rFonts w:eastAsia="Times New Roman"/>
                <w:sz w:val="20"/>
                <w:szCs w:val="20"/>
              </w:rPr>
            </w:pPr>
          </w:p>
        </w:tc>
        <w:tc>
          <w:tcPr>
            <w:tcW w:w="5" w:type="pct"/>
            <w:vAlign w:val="center"/>
            <w:hideMark/>
          </w:tcPr>
          <w:p w14:paraId="2DB8DBBE" w14:textId="77777777" w:rsidR="00000000" w:rsidRDefault="00405D16">
            <w:pPr>
              <w:spacing w:after="100"/>
              <w:rPr>
                <w:rFonts w:eastAsia="Times New Roman"/>
                <w:sz w:val="20"/>
                <w:szCs w:val="20"/>
              </w:rPr>
            </w:pPr>
          </w:p>
        </w:tc>
        <w:tc>
          <w:tcPr>
            <w:tcW w:w="26" w:type="pct"/>
            <w:vAlign w:val="center"/>
            <w:hideMark/>
          </w:tcPr>
          <w:p w14:paraId="27D2E60F" w14:textId="77777777" w:rsidR="00000000" w:rsidRDefault="00405D16">
            <w:pPr>
              <w:spacing w:after="100"/>
              <w:rPr>
                <w:rFonts w:eastAsia="Times New Roman"/>
                <w:sz w:val="20"/>
                <w:szCs w:val="20"/>
              </w:rPr>
            </w:pPr>
          </w:p>
        </w:tc>
        <w:tc>
          <w:tcPr>
            <w:tcW w:w="5" w:type="pct"/>
            <w:vAlign w:val="center"/>
            <w:hideMark/>
          </w:tcPr>
          <w:p w14:paraId="60D0A5B7" w14:textId="77777777" w:rsidR="00000000" w:rsidRDefault="00405D16">
            <w:pPr>
              <w:spacing w:after="100"/>
              <w:rPr>
                <w:rFonts w:eastAsia="Times New Roman"/>
                <w:sz w:val="20"/>
                <w:szCs w:val="20"/>
              </w:rPr>
            </w:pPr>
          </w:p>
        </w:tc>
        <w:tc>
          <w:tcPr>
            <w:tcW w:w="50" w:type="pct"/>
            <w:vAlign w:val="center"/>
            <w:hideMark/>
          </w:tcPr>
          <w:p w14:paraId="3F723645" w14:textId="77777777" w:rsidR="00000000" w:rsidRDefault="00405D16">
            <w:pPr>
              <w:spacing w:after="100"/>
              <w:rPr>
                <w:rFonts w:eastAsia="Times New Roman"/>
                <w:sz w:val="20"/>
                <w:szCs w:val="20"/>
              </w:rPr>
            </w:pPr>
          </w:p>
        </w:tc>
        <w:tc>
          <w:tcPr>
            <w:tcW w:w="332" w:type="pct"/>
            <w:vAlign w:val="center"/>
            <w:hideMark/>
          </w:tcPr>
          <w:p w14:paraId="1B98D846" w14:textId="77777777" w:rsidR="00000000" w:rsidRDefault="00405D16">
            <w:pPr>
              <w:spacing w:after="100"/>
              <w:rPr>
                <w:rFonts w:eastAsia="Times New Roman"/>
                <w:sz w:val="20"/>
                <w:szCs w:val="20"/>
              </w:rPr>
            </w:pPr>
          </w:p>
        </w:tc>
        <w:tc>
          <w:tcPr>
            <w:tcW w:w="5" w:type="pct"/>
            <w:vAlign w:val="center"/>
            <w:hideMark/>
          </w:tcPr>
          <w:p w14:paraId="51ADBBC9" w14:textId="77777777" w:rsidR="00000000" w:rsidRDefault="00405D16">
            <w:pPr>
              <w:spacing w:after="100"/>
              <w:rPr>
                <w:rFonts w:eastAsia="Times New Roman"/>
                <w:sz w:val="20"/>
                <w:szCs w:val="20"/>
              </w:rPr>
            </w:pPr>
          </w:p>
        </w:tc>
        <w:tc>
          <w:tcPr>
            <w:tcW w:w="5" w:type="pct"/>
            <w:vAlign w:val="center"/>
            <w:hideMark/>
          </w:tcPr>
          <w:p w14:paraId="1109FD5E" w14:textId="77777777" w:rsidR="00000000" w:rsidRDefault="00405D16">
            <w:pPr>
              <w:spacing w:after="100"/>
              <w:rPr>
                <w:rFonts w:eastAsia="Times New Roman"/>
                <w:sz w:val="20"/>
                <w:szCs w:val="20"/>
              </w:rPr>
            </w:pPr>
          </w:p>
        </w:tc>
        <w:tc>
          <w:tcPr>
            <w:tcW w:w="26" w:type="pct"/>
            <w:vAlign w:val="center"/>
            <w:hideMark/>
          </w:tcPr>
          <w:p w14:paraId="4749AF7A" w14:textId="77777777" w:rsidR="00000000" w:rsidRDefault="00405D16">
            <w:pPr>
              <w:spacing w:after="100"/>
              <w:rPr>
                <w:rFonts w:eastAsia="Times New Roman"/>
                <w:sz w:val="20"/>
                <w:szCs w:val="20"/>
              </w:rPr>
            </w:pPr>
          </w:p>
        </w:tc>
        <w:tc>
          <w:tcPr>
            <w:tcW w:w="5" w:type="pct"/>
            <w:vAlign w:val="center"/>
            <w:hideMark/>
          </w:tcPr>
          <w:p w14:paraId="70DDBB3A" w14:textId="77777777" w:rsidR="00000000" w:rsidRDefault="00405D16">
            <w:pPr>
              <w:spacing w:after="100"/>
              <w:rPr>
                <w:rFonts w:eastAsia="Times New Roman"/>
                <w:sz w:val="20"/>
                <w:szCs w:val="20"/>
              </w:rPr>
            </w:pPr>
          </w:p>
        </w:tc>
        <w:tc>
          <w:tcPr>
            <w:tcW w:w="50" w:type="pct"/>
            <w:vAlign w:val="center"/>
            <w:hideMark/>
          </w:tcPr>
          <w:p w14:paraId="05648D18" w14:textId="77777777" w:rsidR="00000000" w:rsidRDefault="00405D16">
            <w:pPr>
              <w:spacing w:after="100"/>
              <w:rPr>
                <w:rFonts w:eastAsia="Times New Roman"/>
                <w:sz w:val="20"/>
                <w:szCs w:val="20"/>
              </w:rPr>
            </w:pPr>
          </w:p>
        </w:tc>
        <w:tc>
          <w:tcPr>
            <w:tcW w:w="332" w:type="pct"/>
            <w:vAlign w:val="center"/>
            <w:hideMark/>
          </w:tcPr>
          <w:p w14:paraId="7D859048" w14:textId="77777777" w:rsidR="00000000" w:rsidRDefault="00405D16">
            <w:pPr>
              <w:spacing w:after="100"/>
              <w:rPr>
                <w:rFonts w:eastAsia="Times New Roman"/>
                <w:sz w:val="20"/>
                <w:szCs w:val="20"/>
              </w:rPr>
            </w:pPr>
          </w:p>
        </w:tc>
        <w:tc>
          <w:tcPr>
            <w:tcW w:w="5" w:type="pct"/>
            <w:vAlign w:val="center"/>
            <w:hideMark/>
          </w:tcPr>
          <w:p w14:paraId="07FD0DB3" w14:textId="77777777" w:rsidR="00000000" w:rsidRDefault="00405D16">
            <w:pPr>
              <w:spacing w:after="100"/>
              <w:rPr>
                <w:rFonts w:eastAsia="Times New Roman"/>
                <w:sz w:val="20"/>
                <w:szCs w:val="20"/>
              </w:rPr>
            </w:pPr>
          </w:p>
        </w:tc>
        <w:tc>
          <w:tcPr>
            <w:tcW w:w="5" w:type="pct"/>
            <w:vAlign w:val="center"/>
            <w:hideMark/>
          </w:tcPr>
          <w:p w14:paraId="1203431A" w14:textId="77777777" w:rsidR="00000000" w:rsidRDefault="00405D16">
            <w:pPr>
              <w:spacing w:after="100"/>
              <w:rPr>
                <w:rFonts w:eastAsia="Times New Roman"/>
                <w:sz w:val="20"/>
                <w:szCs w:val="20"/>
              </w:rPr>
            </w:pPr>
          </w:p>
        </w:tc>
        <w:tc>
          <w:tcPr>
            <w:tcW w:w="26" w:type="pct"/>
            <w:vAlign w:val="center"/>
            <w:hideMark/>
          </w:tcPr>
          <w:p w14:paraId="22320354" w14:textId="77777777" w:rsidR="00000000" w:rsidRDefault="00405D16">
            <w:pPr>
              <w:spacing w:after="100"/>
              <w:rPr>
                <w:rFonts w:eastAsia="Times New Roman"/>
                <w:sz w:val="20"/>
                <w:szCs w:val="20"/>
              </w:rPr>
            </w:pPr>
          </w:p>
        </w:tc>
        <w:tc>
          <w:tcPr>
            <w:tcW w:w="5" w:type="pct"/>
            <w:vAlign w:val="center"/>
            <w:hideMark/>
          </w:tcPr>
          <w:p w14:paraId="73B680E8" w14:textId="77777777" w:rsidR="00000000" w:rsidRDefault="00405D16">
            <w:pPr>
              <w:spacing w:after="100"/>
              <w:rPr>
                <w:rFonts w:eastAsia="Times New Roman"/>
                <w:sz w:val="20"/>
                <w:szCs w:val="20"/>
              </w:rPr>
            </w:pPr>
          </w:p>
        </w:tc>
        <w:tc>
          <w:tcPr>
            <w:tcW w:w="50" w:type="pct"/>
            <w:vAlign w:val="center"/>
            <w:hideMark/>
          </w:tcPr>
          <w:p w14:paraId="3B7C4ADA" w14:textId="77777777" w:rsidR="00000000" w:rsidRDefault="00405D16">
            <w:pPr>
              <w:spacing w:after="100"/>
              <w:rPr>
                <w:rFonts w:eastAsia="Times New Roman"/>
                <w:sz w:val="20"/>
                <w:szCs w:val="20"/>
              </w:rPr>
            </w:pPr>
          </w:p>
        </w:tc>
        <w:tc>
          <w:tcPr>
            <w:tcW w:w="333" w:type="pct"/>
            <w:vAlign w:val="center"/>
            <w:hideMark/>
          </w:tcPr>
          <w:p w14:paraId="2A506FBA" w14:textId="77777777" w:rsidR="00000000" w:rsidRDefault="00405D16">
            <w:pPr>
              <w:spacing w:after="100"/>
              <w:rPr>
                <w:rFonts w:eastAsia="Times New Roman"/>
                <w:sz w:val="20"/>
                <w:szCs w:val="20"/>
              </w:rPr>
            </w:pPr>
          </w:p>
        </w:tc>
        <w:tc>
          <w:tcPr>
            <w:tcW w:w="5" w:type="pct"/>
            <w:vAlign w:val="center"/>
            <w:hideMark/>
          </w:tcPr>
          <w:p w14:paraId="6ADB06F0" w14:textId="77777777" w:rsidR="00000000" w:rsidRDefault="00405D16">
            <w:pPr>
              <w:spacing w:after="100"/>
              <w:rPr>
                <w:rFonts w:eastAsia="Times New Roman"/>
                <w:sz w:val="20"/>
                <w:szCs w:val="20"/>
              </w:rPr>
            </w:pPr>
          </w:p>
        </w:tc>
        <w:tc>
          <w:tcPr>
            <w:tcW w:w="0" w:type="auto"/>
            <w:vAlign w:val="center"/>
            <w:hideMark/>
          </w:tcPr>
          <w:p w14:paraId="6FA61341" w14:textId="77777777" w:rsidR="00000000" w:rsidRDefault="00405D16">
            <w:pPr>
              <w:spacing w:after="100"/>
              <w:rPr>
                <w:rFonts w:eastAsia="Times New Roman"/>
                <w:sz w:val="20"/>
                <w:szCs w:val="20"/>
              </w:rPr>
            </w:pPr>
          </w:p>
        </w:tc>
        <w:tc>
          <w:tcPr>
            <w:tcW w:w="0" w:type="auto"/>
            <w:vAlign w:val="center"/>
            <w:hideMark/>
          </w:tcPr>
          <w:p w14:paraId="513D9E5F" w14:textId="77777777" w:rsidR="00000000" w:rsidRDefault="00405D16">
            <w:pPr>
              <w:spacing w:after="100"/>
              <w:rPr>
                <w:rFonts w:eastAsia="Times New Roman"/>
                <w:sz w:val="20"/>
                <w:szCs w:val="20"/>
              </w:rPr>
            </w:pPr>
          </w:p>
        </w:tc>
        <w:tc>
          <w:tcPr>
            <w:tcW w:w="0" w:type="auto"/>
            <w:gridSpan w:val="3"/>
            <w:vAlign w:val="center"/>
            <w:hideMark/>
          </w:tcPr>
          <w:p w14:paraId="43F182CB" w14:textId="77777777" w:rsidR="00000000" w:rsidRDefault="00405D16">
            <w:pPr>
              <w:spacing w:after="100"/>
              <w:rPr>
                <w:rFonts w:eastAsia="Times New Roman"/>
                <w:sz w:val="20"/>
                <w:szCs w:val="20"/>
              </w:rPr>
            </w:pPr>
          </w:p>
        </w:tc>
        <w:tc>
          <w:tcPr>
            <w:tcW w:w="0" w:type="auto"/>
            <w:gridSpan w:val="2"/>
            <w:vAlign w:val="center"/>
            <w:hideMark/>
          </w:tcPr>
          <w:p w14:paraId="23338F3F" w14:textId="77777777" w:rsidR="00000000" w:rsidRDefault="00405D16">
            <w:pPr>
              <w:spacing w:after="100"/>
              <w:rPr>
                <w:rFonts w:eastAsia="Times New Roman"/>
                <w:sz w:val="20"/>
                <w:szCs w:val="20"/>
              </w:rPr>
            </w:pPr>
          </w:p>
        </w:tc>
      </w:tr>
      <w:tr w:rsidR="00000000" w14:paraId="7B9D8935" w14:textId="77777777">
        <w:trPr>
          <w:divId w:val="936329312"/>
        </w:trPr>
        <w:tc>
          <w:tcPr>
            <w:tcW w:w="0" w:type="auto"/>
            <w:gridSpan w:val="3"/>
            <w:tcMar>
              <w:top w:w="30" w:type="dxa"/>
              <w:left w:w="20" w:type="dxa"/>
              <w:bottom w:w="30" w:type="dxa"/>
              <w:right w:w="20" w:type="dxa"/>
            </w:tcMar>
            <w:vAlign w:val="center"/>
            <w:hideMark/>
          </w:tcPr>
          <w:p w14:paraId="24DBEACC"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23CB63E9" w14:textId="77777777" w:rsidR="00000000" w:rsidRDefault="00405D16">
            <w:pPr>
              <w:spacing w:after="100"/>
              <w:rPr>
                <w:rFonts w:eastAsia="Times New Roman"/>
              </w:rPr>
            </w:pPr>
          </w:p>
        </w:tc>
        <w:tc>
          <w:tcPr>
            <w:tcW w:w="0" w:type="auto"/>
            <w:gridSpan w:val="21"/>
            <w:tcBorders>
              <w:bottom w:val="single" w:sz="8" w:space="0" w:color="000000"/>
            </w:tcBorders>
            <w:tcMar>
              <w:top w:w="30" w:type="dxa"/>
              <w:left w:w="20" w:type="dxa"/>
              <w:bottom w:w="30" w:type="dxa"/>
              <w:right w:w="20" w:type="dxa"/>
            </w:tcMar>
            <w:vAlign w:val="bottom"/>
            <w:hideMark/>
          </w:tcPr>
          <w:p w14:paraId="4CC4A647" w14:textId="77777777" w:rsidR="00000000" w:rsidRDefault="00405D16">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2F2BDA52" w14:textId="77777777" w:rsidR="00000000" w:rsidRDefault="00405D16">
            <w:pPr>
              <w:spacing w:after="100"/>
              <w:jc w:val="center"/>
              <w:rPr>
                <w:rFonts w:eastAsia="Times New Roman"/>
              </w:rPr>
            </w:pPr>
          </w:p>
        </w:tc>
        <w:tc>
          <w:tcPr>
            <w:tcW w:w="0" w:type="auto"/>
            <w:gridSpan w:val="21"/>
            <w:tcBorders>
              <w:bottom w:val="single" w:sz="8" w:space="0" w:color="000000"/>
            </w:tcBorders>
            <w:tcMar>
              <w:top w:w="30" w:type="dxa"/>
              <w:left w:w="20" w:type="dxa"/>
              <w:bottom w:w="30" w:type="dxa"/>
              <w:right w:w="20" w:type="dxa"/>
            </w:tcMar>
            <w:vAlign w:val="bottom"/>
            <w:hideMark/>
          </w:tcPr>
          <w:p w14:paraId="40633E2D" w14:textId="77777777" w:rsidR="00000000" w:rsidRDefault="00405D16">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3A551BA4" w14:textId="77777777" w:rsidR="00000000" w:rsidRDefault="00405D16">
            <w:pPr>
              <w:spacing w:after="100"/>
              <w:jc w:val="center"/>
              <w:rPr>
                <w:rFonts w:eastAsia="Times New Roman"/>
              </w:rPr>
            </w:pPr>
          </w:p>
        </w:tc>
        <w:tc>
          <w:tcPr>
            <w:tcW w:w="0" w:type="auto"/>
            <w:vAlign w:val="center"/>
            <w:hideMark/>
          </w:tcPr>
          <w:p w14:paraId="6E122D81" w14:textId="77777777" w:rsidR="00000000" w:rsidRDefault="00405D16">
            <w:pPr>
              <w:spacing w:after="100"/>
              <w:rPr>
                <w:rFonts w:eastAsia="Times New Roman"/>
                <w:sz w:val="20"/>
                <w:szCs w:val="20"/>
              </w:rPr>
            </w:pPr>
          </w:p>
        </w:tc>
        <w:tc>
          <w:tcPr>
            <w:tcW w:w="0" w:type="auto"/>
            <w:gridSpan w:val="3"/>
            <w:vAlign w:val="center"/>
            <w:hideMark/>
          </w:tcPr>
          <w:p w14:paraId="4A68A047" w14:textId="77777777" w:rsidR="00000000" w:rsidRDefault="00405D16">
            <w:pPr>
              <w:spacing w:after="100"/>
              <w:rPr>
                <w:rFonts w:eastAsia="Times New Roman"/>
                <w:sz w:val="20"/>
                <w:szCs w:val="20"/>
              </w:rPr>
            </w:pPr>
          </w:p>
        </w:tc>
        <w:tc>
          <w:tcPr>
            <w:tcW w:w="0" w:type="auto"/>
            <w:gridSpan w:val="2"/>
            <w:vAlign w:val="center"/>
            <w:hideMark/>
          </w:tcPr>
          <w:p w14:paraId="2AD9ABB8" w14:textId="77777777" w:rsidR="00000000" w:rsidRDefault="00405D16">
            <w:pPr>
              <w:spacing w:after="100"/>
              <w:rPr>
                <w:rFonts w:eastAsia="Times New Roman"/>
                <w:sz w:val="20"/>
                <w:szCs w:val="20"/>
              </w:rPr>
            </w:pPr>
          </w:p>
        </w:tc>
      </w:tr>
      <w:tr w:rsidR="00000000" w14:paraId="7091910E" w14:textId="77777777">
        <w:trPr>
          <w:divId w:val="936329312"/>
        </w:trPr>
        <w:tc>
          <w:tcPr>
            <w:tcW w:w="0" w:type="auto"/>
            <w:gridSpan w:val="3"/>
            <w:tcMar>
              <w:top w:w="30" w:type="dxa"/>
              <w:left w:w="20" w:type="dxa"/>
              <w:bottom w:w="30" w:type="dxa"/>
              <w:right w:w="20" w:type="dxa"/>
            </w:tcMar>
            <w:vAlign w:val="center"/>
            <w:hideMark/>
          </w:tcPr>
          <w:p w14:paraId="65A5AE83"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2024C5F6" w14:textId="77777777" w:rsidR="00000000" w:rsidRDefault="00405D16">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3DCB3733"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38116849" w14:textId="77777777" w:rsidR="00000000" w:rsidRDefault="00405D16">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0EDA7A4F"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6E92EE9B" w14:textId="77777777" w:rsidR="00000000" w:rsidRDefault="00405D16">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15D89C35"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31ED664F" w14:textId="77777777" w:rsidR="00000000" w:rsidRDefault="00405D16">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7B7AC25B"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vAlign w:val="center"/>
            <w:hideMark/>
          </w:tcPr>
          <w:p w14:paraId="2F7F1F36" w14:textId="77777777" w:rsidR="00000000" w:rsidRDefault="00405D16">
            <w:pPr>
              <w:spacing w:after="100"/>
              <w:jc w:val="center"/>
              <w:rPr>
                <w:rFonts w:eastAsia="Times New Roman"/>
              </w:rPr>
            </w:pPr>
          </w:p>
        </w:tc>
        <w:tc>
          <w:tcPr>
            <w:tcW w:w="0" w:type="auto"/>
            <w:vAlign w:val="center"/>
            <w:hideMark/>
          </w:tcPr>
          <w:p w14:paraId="3ADD21BA" w14:textId="77777777" w:rsidR="00000000" w:rsidRDefault="00405D16">
            <w:pPr>
              <w:spacing w:after="100"/>
              <w:rPr>
                <w:rFonts w:eastAsia="Times New Roman"/>
                <w:sz w:val="20"/>
                <w:szCs w:val="20"/>
              </w:rPr>
            </w:pPr>
          </w:p>
        </w:tc>
        <w:tc>
          <w:tcPr>
            <w:tcW w:w="0" w:type="auto"/>
            <w:vAlign w:val="center"/>
            <w:hideMark/>
          </w:tcPr>
          <w:p w14:paraId="50639E82" w14:textId="77777777" w:rsidR="00000000" w:rsidRDefault="00405D16">
            <w:pPr>
              <w:spacing w:after="100"/>
              <w:rPr>
                <w:rFonts w:eastAsia="Times New Roman"/>
                <w:sz w:val="20"/>
                <w:szCs w:val="20"/>
              </w:rPr>
            </w:pPr>
          </w:p>
        </w:tc>
        <w:tc>
          <w:tcPr>
            <w:tcW w:w="0" w:type="auto"/>
            <w:vAlign w:val="center"/>
            <w:hideMark/>
          </w:tcPr>
          <w:p w14:paraId="18C4B513" w14:textId="77777777" w:rsidR="00000000" w:rsidRDefault="00405D16">
            <w:pPr>
              <w:spacing w:after="100"/>
              <w:rPr>
                <w:rFonts w:eastAsia="Times New Roman"/>
                <w:sz w:val="20"/>
                <w:szCs w:val="20"/>
              </w:rPr>
            </w:pPr>
          </w:p>
        </w:tc>
        <w:tc>
          <w:tcPr>
            <w:tcW w:w="0" w:type="auto"/>
            <w:vAlign w:val="center"/>
            <w:hideMark/>
          </w:tcPr>
          <w:p w14:paraId="4D635731" w14:textId="77777777" w:rsidR="00000000" w:rsidRDefault="00405D16">
            <w:pPr>
              <w:spacing w:after="100"/>
              <w:rPr>
                <w:rFonts w:eastAsia="Times New Roman"/>
                <w:sz w:val="20"/>
                <w:szCs w:val="20"/>
              </w:rPr>
            </w:pPr>
          </w:p>
        </w:tc>
        <w:tc>
          <w:tcPr>
            <w:tcW w:w="0" w:type="auto"/>
            <w:vAlign w:val="center"/>
            <w:hideMark/>
          </w:tcPr>
          <w:p w14:paraId="7714E2F7" w14:textId="77777777" w:rsidR="00000000" w:rsidRDefault="00405D16">
            <w:pPr>
              <w:spacing w:after="100"/>
              <w:rPr>
                <w:rFonts w:eastAsia="Times New Roman"/>
                <w:sz w:val="20"/>
                <w:szCs w:val="20"/>
              </w:rPr>
            </w:pPr>
          </w:p>
        </w:tc>
        <w:tc>
          <w:tcPr>
            <w:tcW w:w="0" w:type="auto"/>
            <w:vAlign w:val="center"/>
            <w:hideMark/>
          </w:tcPr>
          <w:p w14:paraId="77541AB5" w14:textId="77777777" w:rsidR="00000000" w:rsidRDefault="00405D16">
            <w:pPr>
              <w:spacing w:after="100"/>
              <w:rPr>
                <w:rFonts w:eastAsia="Times New Roman"/>
                <w:sz w:val="20"/>
                <w:szCs w:val="20"/>
              </w:rPr>
            </w:pPr>
          </w:p>
        </w:tc>
      </w:tr>
      <w:tr w:rsidR="00000000" w14:paraId="19940F28" w14:textId="77777777">
        <w:trPr>
          <w:divId w:val="936329312"/>
        </w:trPr>
        <w:tc>
          <w:tcPr>
            <w:tcW w:w="0" w:type="auto"/>
            <w:gridSpan w:val="3"/>
            <w:tcMar>
              <w:top w:w="30" w:type="dxa"/>
              <w:left w:w="20" w:type="dxa"/>
              <w:bottom w:w="30" w:type="dxa"/>
              <w:right w:w="20" w:type="dxa"/>
            </w:tcMar>
            <w:vAlign w:val="bottom"/>
            <w:hideMark/>
          </w:tcPr>
          <w:p w14:paraId="1B76B74E"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3462F07F"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2B104B6" w14:textId="77777777" w:rsidR="00000000" w:rsidRDefault="00405D16">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14:paraId="6C0EAC61"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9F80585" w14:textId="77777777" w:rsidR="00000000" w:rsidRDefault="00405D16">
            <w:pPr>
              <w:spacing w:after="100"/>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0AF87199"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82AA97C" w14:textId="77777777" w:rsidR="00000000" w:rsidRDefault="00405D16">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14:paraId="17B4EF03"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3420E66" w14:textId="77777777" w:rsidR="00000000" w:rsidRDefault="00405D16">
            <w:pPr>
              <w:spacing w:after="100"/>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682F1D65"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2878A53" w14:textId="77777777" w:rsidR="00000000" w:rsidRDefault="00405D16">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14:paraId="54D27BCD"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9E445CF" w14:textId="77777777" w:rsidR="00000000" w:rsidRDefault="00405D16">
            <w:pPr>
              <w:spacing w:after="100"/>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3556E3FA"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174B620" w14:textId="77777777" w:rsidR="00000000" w:rsidRDefault="00405D16">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14:paraId="557BCE54"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9A74B27" w14:textId="77777777" w:rsidR="00000000" w:rsidRDefault="00405D16">
            <w:pPr>
              <w:spacing w:after="100"/>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vAlign w:val="center"/>
            <w:hideMark/>
          </w:tcPr>
          <w:p w14:paraId="71FADA73" w14:textId="77777777" w:rsidR="00000000" w:rsidRDefault="00405D16">
            <w:pPr>
              <w:spacing w:after="100"/>
              <w:jc w:val="center"/>
              <w:rPr>
                <w:rFonts w:eastAsia="Times New Roman"/>
              </w:rPr>
            </w:pPr>
          </w:p>
        </w:tc>
        <w:tc>
          <w:tcPr>
            <w:tcW w:w="0" w:type="auto"/>
            <w:vAlign w:val="center"/>
            <w:hideMark/>
          </w:tcPr>
          <w:p w14:paraId="3F9B7253" w14:textId="77777777" w:rsidR="00000000" w:rsidRDefault="00405D16">
            <w:pPr>
              <w:spacing w:after="100"/>
              <w:rPr>
                <w:rFonts w:eastAsia="Times New Roman"/>
                <w:sz w:val="20"/>
                <w:szCs w:val="20"/>
              </w:rPr>
            </w:pPr>
          </w:p>
        </w:tc>
        <w:tc>
          <w:tcPr>
            <w:tcW w:w="0" w:type="auto"/>
            <w:gridSpan w:val="3"/>
            <w:vAlign w:val="center"/>
            <w:hideMark/>
          </w:tcPr>
          <w:p w14:paraId="497DC06E" w14:textId="77777777" w:rsidR="00000000" w:rsidRDefault="00405D16">
            <w:pPr>
              <w:spacing w:after="100"/>
              <w:rPr>
                <w:rFonts w:eastAsia="Times New Roman"/>
                <w:sz w:val="20"/>
                <w:szCs w:val="20"/>
              </w:rPr>
            </w:pPr>
          </w:p>
        </w:tc>
        <w:tc>
          <w:tcPr>
            <w:tcW w:w="0" w:type="auto"/>
            <w:gridSpan w:val="2"/>
            <w:vAlign w:val="center"/>
            <w:hideMark/>
          </w:tcPr>
          <w:p w14:paraId="784C1379" w14:textId="77777777" w:rsidR="00000000" w:rsidRDefault="00405D16">
            <w:pPr>
              <w:spacing w:after="100"/>
              <w:rPr>
                <w:rFonts w:eastAsia="Times New Roman"/>
                <w:sz w:val="20"/>
                <w:szCs w:val="20"/>
              </w:rPr>
            </w:pPr>
          </w:p>
        </w:tc>
      </w:tr>
      <w:tr w:rsidR="00000000" w14:paraId="3818F318" w14:textId="77777777">
        <w:trPr>
          <w:divId w:val="93632931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6016314B" w14:textId="77777777" w:rsidR="00000000" w:rsidRDefault="00405D16">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14:paraId="4E6DFA30"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C23EB8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0EE5E5"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B964BD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E88C84"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7635EC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379BF5"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266F18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4C94B3"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EF1438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B8B491"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0F3E85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24CD90"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6EEC82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8095E2"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D02D2E9" w14:textId="77777777" w:rsidR="00000000" w:rsidRDefault="00405D16">
            <w:pPr>
              <w:spacing w:after="100"/>
              <w:rPr>
                <w:rFonts w:eastAsia="Times New Roman"/>
                <w:sz w:val="20"/>
                <w:szCs w:val="20"/>
              </w:rPr>
            </w:pPr>
          </w:p>
        </w:tc>
        <w:tc>
          <w:tcPr>
            <w:tcW w:w="0" w:type="auto"/>
            <w:vAlign w:val="center"/>
            <w:hideMark/>
          </w:tcPr>
          <w:p w14:paraId="606201A2" w14:textId="77777777" w:rsidR="00000000" w:rsidRDefault="00405D16">
            <w:pPr>
              <w:spacing w:after="100"/>
              <w:rPr>
                <w:rFonts w:eastAsia="Times New Roman"/>
                <w:sz w:val="20"/>
                <w:szCs w:val="20"/>
              </w:rPr>
            </w:pPr>
          </w:p>
        </w:tc>
        <w:tc>
          <w:tcPr>
            <w:tcW w:w="0" w:type="auto"/>
            <w:vAlign w:val="center"/>
            <w:hideMark/>
          </w:tcPr>
          <w:p w14:paraId="2AE582E6" w14:textId="77777777" w:rsidR="00000000" w:rsidRDefault="00405D16">
            <w:pPr>
              <w:spacing w:after="100"/>
              <w:rPr>
                <w:rFonts w:eastAsia="Times New Roman"/>
                <w:sz w:val="20"/>
                <w:szCs w:val="20"/>
              </w:rPr>
            </w:pPr>
          </w:p>
        </w:tc>
        <w:tc>
          <w:tcPr>
            <w:tcW w:w="0" w:type="auto"/>
            <w:gridSpan w:val="3"/>
            <w:vAlign w:val="center"/>
            <w:hideMark/>
          </w:tcPr>
          <w:p w14:paraId="41DB8806" w14:textId="77777777" w:rsidR="00000000" w:rsidRDefault="00405D16">
            <w:pPr>
              <w:spacing w:after="100"/>
              <w:rPr>
                <w:rFonts w:eastAsia="Times New Roman"/>
                <w:sz w:val="20"/>
                <w:szCs w:val="20"/>
              </w:rPr>
            </w:pPr>
          </w:p>
        </w:tc>
        <w:tc>
          <w:tcPr>
            <w:tcW w:w="0" w:type="auto"/>
            <w:gridSpan w:val="2"/>
            <w:vAlign w:val="center"/>
            <w:hideMark/>
          </w:tcPr>
          <w:p w14:paraId="1DFE192F" w14:textId="77777777" w:rsidR="00000000" w:rsidRDefault="00405D16">
            <w:pPr>
              <w:spacing w:after="100"/>
              <w:rPr>
                <w:rFonts w:eastAsia="Times New Roman"/>
                <w:sz w:val="20"/>
                <w:szCs w:val="20"/>
              </w:rPr>
            </w:pPr>
          </w:p>
        </w:tc>
      </w:tr>
      <w:tr w:rsidR="00405D16" w14:paraId="1556E15B" w14:textId="77777777">
        <w:trPr>
          <w:divId w:val="936329312"/>
        </w:trPr>
        <w:tc>
          <w:tcPr>
            <w:tcW w:w="0" w:type="auto"/>
            <w:gridSpan w:val="3"/>
            <w:shd w:val="clear" w:color="auto" w:fill="FFFFFF"/>
            <w:tcMar>
              <w:top w:w="30" w:type="dxa"/>
              <w:left w:w="245" w:type="dxa"/>
              <w:bottom w:w="30" w:type="dxa"/>
              <w:right w:w="20" w:type="dxa"/>
            </w:tcMar>
            <w:vAlign w:val="center"/>
            <w:hideMark/>
          </w:tcPr>
          <w:p w14:paraId="3032C373" w14:textId="77777777" w:rsidR="00000000" w:rsidRDefault="00405D16">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14:paraId="2680E38D"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39A66AB8"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4058EE29" w14:textId="77777777" w:rsidR="00000000" w:rsidRDefault="00405D16">
            <w:pPr>
              <w:spacing w:after="100"/>
              <w:jc w:val="right"/>
              <w:rPr>
                <w:rFonts w:eastAsia="Times New Roman"/>
              </w:rPr>
            </w:pPr>
            <w:r>
              <w:rPr>
                <w:rFonts w:eastAsia="Times New Roman"/>
                <w:b/>
                <w:bCs/>
                <w:color w:val="000000"/>
                <w:sz w:val="18"/>
                <w:szCs w:val="18"/>
              </w:rPr>
              <w:t>327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EB5622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83420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9896B99" w14:textId="77777777" w:rsidR="00000000" w:rsidRDefault="00405D16">
            <w:pPr>
              <w:spacing w:after="100"/>
              <w:jc w:val="right"/>
              <w:rPr>
                <w:rFonts w:eastAsia="Times New Roman"/>
              </w:rPr>
            </w:pPr>
            <w:r>
              <w:rPr>
                <w:rFonts w:eastAsia="Times New Roman"/>
                <w:b/>
                <w:bCs/>
                <w:color w:val="000000"/>
                <w:sz w:val="18"/>
                <w:szCs w:val="18"/>
              </w:rPr>
              <w:t>1.36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7F1B10F"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E227C8A"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3C10B025"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67425893" w14:textId="77777777" w:rsidR="00000000" w:rsidRDefault="00405D16">
            <w:pPr>
              <w:spacing w:after="100"/>
              <w:jc w:val="right"/>
              <w:rPr>
                <w:rFonts w:eastAsia="Times New Roman"/>
              </w:rPr>
            </w:pPr>
            <w:r>
              <w:rPr>
                <w:rFonts w:eastAsia="Times New Roman"/>
                <w:color w:val="000000"/>
                <w:sz w:val="18"/>
                <w:szCs w:val="18"/>
              </w:rPr>
              <w:t>885 </w:t>
            </w:r>
          </w:p>
        </w:tc>
        <w:tc>
          <w:tcPr>
            <w:tcW w:w="0" w:type="auto"/>
            <w:shd w:val="clear" w:color="auto" w:fill="FFFFFF"/>
            <w:tcMar>
              <w:top w:w="30" w:type="dxa"/>
              <w:left w:w="0" w:type="dxa"/>
              <w:bottom w:w="30" w:type="dxa"/>
              <w:right w:w="20" w:type="dxa"/>
            </w:tcMar>
            <w:vAlign w:val="center"/>
            <w:hideMark/>
          </w:tcPr>
          <w:p w14:paraId="774CF72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B1DD9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88EEF00" w14:textId="77777777" w:rsidR="00000000" w:rsidRDefault="00405D16">
            <w:pPr>
              <w:spacing w:after="100"/>
              <w:jc w:val="right"/>
              <w:rPr>
                <w:rFonts w:eastAsia="Times New Roman"/>
              </w:rPr>
            </w:pPr>
            <w:r>
              <w:rPr>
                <w:rFonts w:eastAsia="Times New Roman"/>
                <w:color w:val="000000"/>
                <w:sz w:val="18"/>
                <w:szCs w:val="18"/>
              </w:rPr>
              <w:t>3.64 </w:t>
            </w:r>
          </w:p>
        </w:tc>
        <w:tc>
          <w:tcPr>
            <w:tcW w:w="0" w:type="auto"/>
            <w:shd w:val="clear" w:color="auto" w:fill="FFFFFF"/>
            <w:tcMar>
              <w:top w:w="30" w:type="dxa"/>
              <w:left w:w="0" w:type="dxa"/>
              <w:bottom w:w="30" w:type="dxa"/>
              <w:right w:w="20" w:type="dxa"/>
            </w:tcMar>
            <w:vAlign w:val="center"/>
            <w:hideMark/>
          </w:tcPr>
          <w:p w14:paraId="4E73CA96" w14:textId="77777777" w:rsidR="00000000" w:rsidRDefault="00405D16">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B2FB26F"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7FDD3346"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6404F44C" w14:textId="77777777" w:rsidR="00000000" w:rsidRDefault="00405D16">
            <w:pPr>
              <w:spacing w:after="100"/>
              <w:jc w:val="right"/>
              <w:rPr>
                <w:rFonts w:eastAsia="Times New Roman"/>
              </w:rPr>
            </w:pPr>
            <w:r>
              <w:rPr>
                <w:rFonts w:eastAsia="Times New Roman"/>
                <w:b/>
                <w:bCs/>
                <w:color w:val="000000"/>
                <w:sz w:val="18"/>
                <w:szCs w:val="18"/>
              </w:rPr>
              <w:t>1,436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D1CE8C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1B7DC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EB50074" w14:textId="77777777" w:rsidR="00000000" w:rsidRDefault="00405D16">
            <w:pPr>
              <w:spacing w:after="100"/>
              <w:jc w:val="right"/>
              <w:rPr>
                <w:rFonts w:eastAsia="Times New Roman"/>
              </w:rPr>
            </w:pPr>
            <w:r>
              <w:rPr>
                <w:rFonts w:eastAsia="Times New Roman"/>
                <w:b/>
                <w:bCs/>
                <w:color w:val="000000"/>
                <w:sz w:val="18"/>
                <w:szCs w:val="18"/>
              </w:rPr>
              <w:t>2.05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0DF2EB8"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D1014BF" w14:textId="77777777" w:rsidR="00000000" w:rsidRDefault="00405D16">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7CF8BD4C"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6D830B9C" w14:textId="77777777" w:rsidR="00000000" w:rsidRDefault="00405D16">
            <w:pPr>
              <w:spacing w:after="100"/>
              <w:jc w:val="right"/>
              <w:rPr>
                <w:rFonts w:eastAsia="Times New Roman"/>
              </w:rPr>
            </w:pPr>
            <w:r>
              <w:rPr>
                <w:rFonts w:eastAsia="Times New Roman"/>
                <w:color w:val="000000"/>
                <w:sz w:val="18"/>
                <w:szCs w:val="18"/>
              </w:rPr>
              <w:t>3,359 </w:t>
            </w:r>
          </w:p>
        </w:tc>
        <w:tc>
          <w:tcPr>
            <w:tcW w:w="0" w:type="auto"/>
            <w:shd w:val="clear" w:color="auto" w:fill="FFFFFF"/>
            <w:tcMar>
              <w:top w:w="30" w:type="dxa"/>
              <w:left w:w="0" w:type="dxa"/>
              <w:bottom w:w="30" w:type="dxa"/>
              <w:right w:w="20" w:type="dxa"/>
            </w:tcMar>
            <w:vAlign w:val="center"/>
            <w:hideMark/>
          </w:tcPr>
          <w:p w14:paraId="57615B6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FB6DE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4B3422E" w14:textId="77777777" w:rsidR="00000000" w:rsidRDefault="00405D16">
            <w:pPr>
              <w:spacing w:after="100"/>
              <w:jc w:val="right"/>
              <w:rPr>
                <w:rFonts w:eastAsia="Times New Roman"/>
              </w:rPr>
            </w:pPr>
            <w:r>
              <w:rPr>
                <w:rFonts w:eastAsia="Times New Roman"/>
                <w:color w:val="000000"/>
                <w:sz w:val="18"/>
                <w:szCs w:val="18"/>
              </w:rPr>
              <w:t>4.31 </w:t>
            </w:r>
          </w:p>
        </w:tc>
        <w:tc>
          <w:tcPr>
            <w:tcW w:w="0" w:type="auto"/>
            <w:shd w:val="clear" w:color="auto" w:fill="FFFFFF"/>
            <w:tcMar>
              <w:top w:w="30" w:type="dxa"/>
              <w:left w:w="0" w:type="dxa"/>
              <w:bottom w:w="30" w:type="dxa"/>
              <w:right w:w="20" w:type="dxa"/>
            </w:tcMar>
            <w:vAlign w:val="center"/>
            <w:hideMark/>
          </w:tcPr>
          <w:p w14:paraId="4BFEB8B3" w14:textId="77777777" w:rsidR="00000000" w:rsidRDefault="00405D16">
            <w:pPr>
              <w:spacing w:after="100"/>
              <w:jc w:val="right"/>
              <w:rPr>
                <w:rFonts w:eastAsia="Times New Roman"/>
              </w:rPr>
            </w:pPr>
            <w:r>
              <w:rPr>
                <w:rFonts w:eastAsia="Times New Roman"/>
                <w:color w:val="000000"/>
                <w:sz w:val="18"/>
                <w:szCs w:val="18"/>
              </w:rPr>
              <w:t>%</w:t>
            </w:r>
          </w:p>
        </w:tc>
        <w:tc>
          <w:tcPr>
            <w:tcW w:w="0" w:type="auto"/>
            <w:vAlign w:val="center"/>
            <w:hideMark/>
          </w:tcPr>
          <w:p w14:paraId="06008AA4" w14:textId="77777777" w:rsidR="00000000" w:rsidRDefault="00405D16">
            <w:pPr>
              <w:spacing w:after="100"/>
              <w:jc w:val="right"/>
              <w:rPr>
                <w:rFonts w:eastAsia="Times New Roman"/>
              </w:rPr>
            </w:pPr>
          </w:p>
        </w:tc>
        <w:tc>
          <w:tcPr>
            <w:tcW w:w="0" w:type="auto"/>
            <w:vAlign w:val="center"/>
            <w:hideMark/>
          </w:tcPr>
          <w:p w14:paraId="5DD3605C" w14:textId="77777777" w:rsidR="00000000" w:rsidRDefault="00405D16">
            <w:pPr>
              <w:spacing w:after="100"/>
              <w:rPr>
                <w:rFonts w:eastAsia="Times New Roman"/>
                <w:sz w:val="20"/>
                <w:szCs w:val="20"/>
              </w:rPr>
            </w:pPr>
          </w:p>
        </w:tc>
        <w:tc>
          <w:tcPr>
            <w:tcW w:w="0" w:type="auto"/>
            <w:gridSpan w:val="3"/>
            <w:vAlign w:val="center"/>
            <w:hideMark/>
          </w:tcPr>
          <w:p w14:paraId="11249EC3" w14:textId="77777777" w:rsidR="00000000" w:rsidRDefault="00405D16">
            <w:pPr>
              <w:spacing w:after="100"/>
              <w:rPr>
                <w:rFonts w:eastAsia="Times New Roman"/>
                <w:sz w:val="20"/>
                <w:szCs w:val="20"/>
              </w:rPr>
            </w:pPr>
          </w:p>
        </w:tc>
        <w:tc>
          <w:tcPr>
            <w:tcW w:w="0" w:type="auto"/>
            <w:gridSpan w:val="2"/>
            <w:vAlign w:val="center"/>
            <w:hideMark/>
          </w:tcPr>
          <w:p w14:paraId="44EB638D" w14:textId="77777777" w:rsidR="00000000" w:rsidRDefault="00405D16">
            <w:pPr>
              <w:spacing w:after="100"/>
              <w:rPr>
                <w:rFonts w:eastAsia="Times New Roman"/>
                <w:sz w:val="20"/>
                <w:szCs w:val="20"/>
              </w:rPr>
            </w:pPr>
          </w:p>
        </w:tc>
      </w:tr>
      <w:tr w:rsidR="00405D16" w14:paraId="1C5FA767" w14:textId="77777777">
        <w:trPr>
          <w:divId w:val="936329312"/>
        </w:trPr>
        <w:tc>
          <w:tcPr>
            <w:tcW w:w="0" w:type="auto"/>
            <w:gridSpan w:val="3"/>
            <w:shd w:val="clear" w:color="auto" w:fill="CCEEFF"/>
            <w:tcMar>
              <w:top w:w="30" w:type="dxa"/>
              <w:left w:w="245" w:type="dxa"/>
              <w:bottom w:w="30" w:type="dxa"/>
              <w:right w:w="20" w:type="dxa"/>
            </w:tcMar>
            <w:vAlign w:val="center"/>
            <w:hideMark/>
          </w:tcPr>
          <w:p w14:paraId="41101E53" w14:textId="77777777" w:rsidR="00000000" w:rsidRDefault="00405D16">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14:paraId="22682DD2"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1B298B3" w14:textId="77777777" w:rsidR="00000000" w:rsidRDefault="00405D16">
            <w:pPr>
              <w:spacing w:after="100"/>
              <w:jc w:val="right"/>
              <w:rPr>
                <w:rFonts w:eastAsia="Times New Roman"/>
              </w:rPr>
            </w:pPr>
            <w:r>
              <w:rPr>
                <w:rFonts w:eastAsia="Times New Roman"/>
                <w:b/>
                <w:bCs/>
                <w:color w:val="000000"/>
                <w:sz w:val="18"/>
                <w:szCs w:val="18"/>
              </w:rPr>
              <w:t>39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B98C27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6985A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13A495E" w14:textId="77777777" w:rsidR="00000000" w:rsidRDefault="00405D16">
            <w:pPr>
              <w:spacing w:after="100"/>
              <w:jc w:val="right"/>
              <w:rPr>
                <w:rFonts w:eastAsia="Times New Roman"/>
              </w:rPr>
            </w:pPr>
            <w:r>
              <w:rPr>
                <w:rFonts w:eastAsia="Times New Roman"/>
                <w:b/>
                <w:bCs/>
                <w:color w:val="000000"/>
                <w:sz w:val="18"/>
                <w:szCs w:val="18"/>
              </w:rPr>
              <w:t>2.72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41D570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A0135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C11BC40" w14:textId="77777777" w:rsidR="00000000" w:rsidRDefault="00405D16">
            <w:pPr>
              <w:spacing w:after="100"/>
              <w:jc w:val="right"/>
              <w:rPr>
                <w:rFonts w:eastAsia="Times New Roman"/>
              </w:rPr>
            </w:pPr>
            <w:r>
              <w:rPr>
                <w:rFonts w:eastAsia="Times New Roman"/>
                <w:color w:val="000000"/>
                <w:sz w:val="18"/>
                <w:szCs w:val="18"/>
              </w:rPr>
              <w:t>58 </w:t>
            </w:r>
          </w:p>
        </w:tc>
        <w:tc>
          <w:tcPr>
            <w:tcW w:w="0" w:type="auto"/>
            <w:shd w:val="clear" w:color="auto" w:fill="CCEEFF"/>
            <w:tcMar>
              <w:top w:w="30" w:type="dxa"/>
              <w:left w:w="0" w:type="dxa"/>
              <w:bottom w:w="30" w:type="dxa"/>
              <w:right w:w="20" w:type="dxa"/>
            </w:tcMar>
            <w:vAlign w:val="center"/>
            <w:hideMark/>
          </w:tcPr>
          <w:p w14:paraId="2F6FDB7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4218A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FB884A7" w14:textId="77777777" w:rsidR="00000000" w:rsidRDefault="00405D16">
            <w:pPr>
              <w:spacing w:after="100"/>
              <w:jc w:val="right"/>
              <w:rPr>
                <w:rFonts w:eastAsia="Times New Roman"/>
              </w:rPr>
            </w:pPr>
            <w:r>
              <w:rPr>
                <w:rFonts w:eastAsia="Times New Roman"/>
                <w:color w:val="000000"/>
                <w:sz w:val="18"/>
                <w:szCs w:val="18"/>
              </w:rPr>
              <w:t>2.89 </w:t>
            </w:r>
          </w:p>
        </w:tc>
        <w:tc>
          <w:tcPr>
            <w:tcW w:w="0" w:type="auto"/>
            <w:shd w:val="clear" w:color="auto" w:fill="CCEEFF"/>
            <w:tcMar>
              <w:top w:w="30" w:type="dxa"/>
              <w:left w:w="0" w:type="dxa"/>
              <w:bottom w:w="30" w:type="dxa"/>
              <w:right w:w="20" w:type="dxa"/>
            </w:tcMar>
            <w:vAlign w:val="center"/>
            <w:hideMark/>
          </w:tcPr>
          <w:p w14:paraId="34C5C75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7C67A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9A19431" w14:textId="77777777" w:rsidR="00000000" w:rsidRDefault="00405D16">
            <w:pPr>
              <w:spacing w:after="100"/>
              <w:jc w:val="right"/>
              <w:rPr>
                <w:rFonts w:eastAsia="Times New Roman"/>
              </w:rPr>
            </w:pPr>
            <w:r>
              <w:rPr>
                <w:rFonts w:eastAsia="Times New Roman"/>
                <w:b/>
                <w:bCs/>
                <w:color w:val="000000"/>
                <w:sz w:val="18"/>
                <w:szCs w:val="18"/>
              </w:rPr>
              <w:t>134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6BECE7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0309E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C9F29D3" w14:textId="77777777" w:rsidR="00000000" w:rsidRDefault="00405D16">
            <w:pPr>
              <w:spacing w:after="100"/>
              <w:jc w:val="right"/>
              <w:rPr>
                <w:rFonts w:eastAsia="Times New Roman"/>
              </w:rPr>
            </w:pPr>
            <w:r>
              <w:rPr>
                <w:rFonts w:eastAsia="Times New Roman"/>
                <w:b/>
                <w:bCs/>
                <w:color w:val="000000"/>
                <w:sz w:val="18"/>
                <w:szCs w:val="18"/>
              </w:rPr>
              <w:t>2.45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1144DC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F7D79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9171DC3" w14:textId="77777777" w:rsidR="00000000" w:rsidRDefault="00405D16">
            <w:pPr>
              <w:spacing w:after="100"/>
              <w:jc w:val="right"/>
              <w:rPr>
                <w:rFonts w:eastAsia="Times New Roman"/>
              </w:rPr>
            </w:pPr>
            <w:r>
              <w:rPr>
                <w:rFonts w:eastAsia="Times New Roman"/>
                <w:color w:val="000000"/>
                <w:sz w:val="18"/>
                <w:szCs w:val="18"/>
              </w:rPr>
              <w:t>231 </w:t>
            </w:r>
          </w:p>
        </w:tc>
        <w:tc>
          <w:tcPr>
            <w:tcW w:w="0" w:type="auto"/>
            <w:shd w:val="clear" w:color="auto" w:fill="CCEEFF"/>
            <w:tcMar>
              <w:top w:w="30" w:type="dxa"/>
              <w:left w:w="0" w:type="dxa"/>
              <w:bottom w:w="30" w:type="dxa"/>
              <w:right w:w="20" w:type="dxa"/>
            </w:tcMar>
            <w:vAlign w:val="center"/>
            <w:hideMark/>
          </w:tcPr>
          <w:p w14:paraId="36DDB47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61A91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7A0284D" w14:textId="77777777" w:rsidR="00000000" w:rsidRDefault="00405D16">
            <w:pPr>
              <w:spacing w:after="100"/>
              <w:jc w:val="right"/>
              <w:rPr>
                <w:rFonts w:eastAsia="Times New Roman"/>
              </w:rPr>
            </w:pPr>
            <w:r>
              <w:rPr>
                <w:rFonts w:eastAsia="Times New Roman"/>
                <w:color w:val="000000"/>
                <w:sz w:val="18"/>
                <w:szCs w:val="18"/>
              </w:rPr>
              <w:t>3.71 </w:t>
            </w:r>
          </w:p>
        </w:tc>
        <w:tc>
          <w:tcPr>
            <w:tcW w:w="0" w:type="auto"/>
            <w:shd w:val="clear" w:color="auto" w:fill="CCEEFF"/>
            <w:tcMar>
              <w:top w:w="30" w:type="dxa"/>
              <w:left w:w="0" w:type="dxa"/>
              <w:bottom w:w="30" w:type="dxa"/>
              <w:right w:w="20" w:type="dxa"/>
            </w:tcMar>
            <w:vAlign w:val="center"/>
            <w:hideMark/>
          </w:tcPr>
          <w:p w14:paraId="4636E91D" w14:textId="77777777" w:rsidR="00000000" w:rsidRDefault="00405D16">
            <w:pPr>
              <w:spacing w:after="100"/>
              <w:jc w:val="right"/>
              <w:rPr>
                <w:rFonts w:eastAsia="Times New Roman"/>
              </w:rPr>
            </w:pPr>
          </w:p>
        </w:tc>
        <w:tc>
          <w:tcPr>
            <w:tcW w:w="0" w:type="auto"/>
            <w:vAlign w:val="center"/>
            <w:hideMark/>
          </w:tcPr>
          <w:p w14:paraId="4399E0E4" w14:textId="77777777" w:rsidR="00000000" w:rsidRDefault="00405D16">
            <w:pPr>
              <w:spacing w:after="100"/>
              <w:jc w:val="right"/>
              <w:rPr>
                <w:rFonts w:eastAsia="Times New Roman"/>
                <w:sz w:val="20"/>
                <w:szCs w:val="20"/>
              </w:rPr>
            </w:pPr>
          </w:p>
        </w:tc>
        <w:tc>
          <w:tcPr>
            <w:tcW w:w="0" w:type="auto"/>
            <w:vAlign w:val="center"/>
            <w:hideMark/>
          </w:tcPr>
          <w:p w14:paraId="01555F20" w14:textId="77777777" w:rsidR="00000000" w:rsidRDefault="00405D16">
            <w:pPr>
              <w:spacing w:after="100"/>
              <w:rPr>
                <w:rFonts w:eastAsia="Times New Roman"/>
                <w:sz w:val="20"/>
                <w:szCs w:val="20"/>
              </w:rPr>
            </w:pPr>
          </w:p>
        </w:tc>
        <w:tc>
          <w:tcPr>
            <w:tcW w:w="0" w:type="auto"/>
            <w:gridSpan w:val="3"/>
            <w:vAlign w:val="center"/>
            <w:hideMark/>
          </w:tcPr>
          <w:p w14:paraId="432F0F5D" w14:textId="77777777" w:rsidR="00000000" w:rsidRDefault="00405D16">
            <w:pPr>
              <w:spacing w:after="100"/>
              <w:rPr>
                <w:rFonts w:eastAsia="Times New Roman"/>
                <w:sz w:val="20"/>
                <w:szCs w:val="20"/>
              </w:rPr>
            </w:pPr>
          </w:p>
        </w:tc>
        <w:tc>
          <w:tcPr>
            <w:tcW w:w="0" w:type="auto"/>
            <w:gridSpan w:val="2"/>
            <w:vAlign w:val="center"/>
            <w:hideMark/>
          </w:tcPr>
          <w:p w14:paraId="7F6D3A39" w14:textId="77777777" w:rsidR="00000000" w:rsidRDefault="00405D16">
            <w:pPr>
              <w:spacing w:after="100"/>
              <w:rPr>
                <w:rFonts w:eastAsia="Times New Roman"/>
                <w:sz w:val="20"/>
                <w:szCs w:val="20"/>
              </w:rPr>
            </w:pPr>
          </w:p>
        </w:tc>
      </w:tr>
      <w:tr w:rsidR="00405D16" w14:paraId="7060BCE7" w14:textId="77777777">
        <w:trPr>
          <w:divId w:val="936329312"/>
        </w:trPr>
        <w:tc>
          <w:tcPr>
            <w:tcW w:w="0" w:type="auto"/>
            <w:gridSpan w:val="3"/>
            <w:shd w:val="clear" w:color="auto" w:fill="FFFFFF"/>
            <w:tcMar>
              <w:top w:w="30" w:type="dxa"/>
              <w:left w:w="20" w:type="dxa"/>
              <w:bottom w:w="30" w:type="dxa"/>
              <w:right w:w="20" w:type="dxa"/>
            </w:tcMar>
            <w:vAlign w:val="center"/>
            <w:hideMark/>
          </w:tcPr>
          <w:p w14:paraId="1CA5D64A" w14:textId="77777777" w:rsidR="00000000" w:rsidRDefault="00405D16">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14:paraId="211A8D62"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2AE9A6F" w14:textId="77777777" w:rsidR="00000000" w:rsidRDefault="00405D16">
            <w:pPr>
              <w:spacing w:after="100"/>
              <w:jc w:val="right"/>
              <w:rPr>
                <w:rFonts w:eastAsia="Times New Roman"/>
              </w:rPr>
            </w:pPr>
            <w:r>
              <w:rPr>
                <w:rFonts w:eastAsia="Times New Roman"/>
                <w:b/>
                <w:bCs/>
                <w:color w:val="000000"/>
                <w:sz w:val="18"/>
                <w:szCs w:val="18"/>
              </w:rPr>
              <w:t>366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F673FC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06C2F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9730387" w14:textId="77777777" w:rsidR="00000000" w:rsidRDefault="00405D16">
            <w:pPr>
              <w:spacing w:after="100"/>
              <w:jc w:val="right"/>
              <w:rPr>
                <w:rFonts w:eastAsia="Times New Roman"/>
              </w:rPr>
            </w:pPr>
            <w:r>
              <w:rPr>
                <w:rFonts w:eastAsia="Times New Roman"/>
                <w:b/>
                <w:bCs/>
                <w:color w:val="000000"/>
                <w:sz w:val="18"/>
                <w:szCs w:val="18"/>
              </w:rPr>
              <w:t>1.43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C5B44E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6F6394"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04C02CD" w14:textId="77777777" w:rsidR="00000000" w:rsidRDefault="00405D16">
            <w:pPr>
              <w:spacing w:after="100"/>
              <w:jc w:val="right"/>
              <w:rPr>
                <w:rFonts w:eastAsia="Times New Roman"/>
              </w:rPr>
            </w:pPr>
            <w:r>
              <w:rPr>
                <w:rFonts w:eastAsia="Times New Roman"/>
                <w:color w:val="000000"/>
                <w:sz w:val="18"/>
                <w:szCs w:val="18"/>
              </w:rPr>
              <w:t>943 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F144AB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840D7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D04D7FC" w14:textId="77777777" w:rsidR="00000000" w:rsidRDefault="00405D16">
            <w:pPr>
              <w:spacing w:after="100"/>
              <w:jc w:val="right"/>
              <w:rPr>
                <w:rFonts w:eastAsia="Times New Roman"/>
              </w:rPr>
            </w:pPr>
            <w:r>
              <w:rPr>
                <w:rFonts w:eastAsia="Times New Roman"/>
                <w:color w:val="000000"/>
                <w:sz w:val="18"/>
                <w:szCs w:val="18"/>
              </w:rPr>
              <w:t>3.58 </w:t>
            </w:r>
          </w:p>
        </w:tc>
        <w:tc>
          <w:tcPr>
            <w:tcW w:w="0" w:type="auto"/>
            <w:shd w:val="clear" w:color="auto" w:fill="FFFFFF"/>
            <w:tcMar>
              <w:top w:w="30" w:type="dxa"/>
              <w:left w:w="0" w:type="dxa"/>
              <w:bottom w:w="30" w:type="dxa"/>
              <w:right w:w="20" w:type="dxa"/>
            </w:tcMar>
            <w:vAlign w:val="center"/>
            <w:hideMark/>
          </w:tcPr>
          <w:p w14:paraId="5DDEA4E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69214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92DDE07" w14:textId="77777777" w:rsidR="00000000" w:rsidRDefault="00405D16">
            <w:pPr>
              <w:spacing w:after="100"/>
              <w:jc w:val="right"/>
              <w:rPr>
                <w:rFonts w:eastAsia="Times New Roman"/>
              </w:rPr>
            </w:pPr>
            <w:r>
              <w:rPr>
                <w:rFonts w:eastAsia="Times New Roman"/>
                <w:b/>
                <w:bCs/>
                <w:color w:val="000000"/>
                <w:sz w:val="18"/>
                <w:szCs w:val="18"/>
              </w:rPr>
              <w:t>1,570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FABB8D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DDF09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263690F" w14:textId="77777777" w:rsidR="00000000" w:rsidRDefault="00405D16">
            <w:pPr>
              <w:spacing w:after="100"/>
              <w:jc w:val="right"/>
              <w:rPr>
                <w:rFonts w:eastAsia="Times New Roman"/>
              </w:rPr>
            </w:pPr>
            <w:r>
              <w:rPr>
                <w:rFonts w:eastAsia="Times New Roman"/>
                <w:b/>
                <w:bCs/>
                <w:color w:val="000000"/>
                <w:sz w:val="18"/>
                <w:szCs w:val="18"/>
              </w:rPr>
              <w:t>2.08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AC2319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F6A46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F0E2F87" w14:textId="77777777" w:rsidR="00000000" w:rsidRDefault="00405D16">
            <w:pPr>
              <w:spacing w:after="100"/>
              <w:jc w:val="right"/>
              <w:rPr>
                <w:rFonts w:eastAsia="Times New Roman"/>
              </w:rPr>
            </w:pPr>
            <w:r>
              <w:rPr>
                <w:rFonts w:eastAsia="Times New Roman"/>
                <w:color w:val="000000"/>
                <w:sz w:val="18"/>
                <w:szCs w:val="18"/>
              </w:rPr>
              <w:t>3,590 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E4230A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512BA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1041C88" w14:textId="77777777" w:rsidR="00000000" w:rsidRDefault="00405D16">
            <w:pPr>
              <w:spacing w:after="100"/>
              <w:jc w:val="right"/>
              <w:rPr>
                <w:rFonts w:eastAsia="Times New Roman"/>
              </w:rPr>
            </w:pPr>
            <w:r>
              <w:rPr>
                <w:rFonts w:eastAsia="Times New Roman"/>
                <w:color w:val="000000"/>
                <w:sz w:val="18"/>
                <w:szCs w:val="18"/>
              </w:rPr>
              <w:t>4.26 </w:t>
            </w:r>
          </w:p>
        </w:tc>
        <w:tc>
          <w:tcPr>
            <w:tcW w:w="0" w:type="auto"/>
            <w:shd w:val="clear" w:color="auto" w:fill="FFFFFF"/>
            <w:tcMar>
              <w:top w:w="30" w:type="dxa"/>
              <w:left w:w="0" w:type="dxa"/>
              <w:bottom w:w="30" w:type="dxa"/>
              <w:right w:w="20" w:type="dxa"/>
            </w:tcMar>
            <w:vAlign w:val="center"/>
            <w:hideMark/>
          </w:tcPr>
          <w:p w14:paraId="15C73AE4" w14:textId="77777777" w:rsidR="00000000" w:rsidRDefault="00405D16">
            <w:pPr>
              <w:spacing w:after="100"/>
              <w:jc w:val="right"/>
              <w:rPr>
                <w:rFonts w:eastAsia="Times New Roman"/>
              </w:rPr>
            </w:pPr>
          </w:p>
        </w:tc>
        <w:tc>
          <w:tcPr>
            <w:tcW w:w="0" w:type="auto"/>
            <w:vAlign w:val="center"/>
            <w:hideMark/>
          </w:tcPr>
          <w:p w14:paraId="172AFA20" w14:textId="77777777" w:rsidR="00000000" w:rsidRDefault="00405D16">
            <w:pPr>
              <w:spacing w:after="100"/>
              <w:jc w:val="right"/>
              <w:rPr>
                <w:rFonts w:eastAsia="Times New Roman"/>
                <w:sz w:val="20"/>
                <w:szCs w:val="20"/>
              </w:rPr>
            </w:pPr>
          </w:p>
        </w:tc>
        <w:tc>
          <w:tcPr>
            <w:tcW w:w="0" w:type="auto"/>
            <w:vAlign w:val="center"/>
            <w:hideMark/>
          </w:tcPr>
          <w:p w14:paraId="66CA4C91" w14:textId="77777777" w:rsidR="00000000" w:rsidRDefault="00405D16">
            <w:pPr>
              <w:spacing w:after="100"/>
              <w:rPr>
                <w:rFonts w:eastAsia="Times New Roman"/>
                <w:sz w:val="20"/>
                <w:szCs w:val="20"/>
              </w:rPr>
            </w:pPr>
          </w:p>
        </w:tc>
        <w:tc>
          <w:tcPr>
            <w:tcW w:w="0" w:type="auto"/>
            <w:gridSpan w:val="3"/>
            <w:vAlign w:val="center"/>
            <w:hideMark/>
          </w:tcPr>
          <w:p w14:paraId="79E83BF0" w14:textId="77777777" w:rsidR="00000000" w:rsidRDefault="00405D16">
            <w:pPr>
              <w:spacing w:after="100"/>
              <w:rPr>
                <w:rFonts w:eastAsia="Times New Roman"/>
                <w:sz w:val="20"/>
                <w:szCs w:val="20"/>
              </w:rPr>
            </w:pPr>
          </w:p>
        </w:tc>
        <w:tc>
          <w:tcPr>
            <w:tcW w:w="0" w:type="auto"/>
            <w:gridSpan w:val="2"/>
            <w:vAlign w:val="center"/>
            <w:hideMark/>
          </w:tcPr>
          <w:p w14:paraId="5D5065DD" w14:textId="77777777" w:rsidR="00000000" w:rsidRDefault="00405D16">
            <w:pPr>
              <w:spacing w:after="100"/>
              <w:rPr>
                <w:rFonts w:eastAsia="Times New Roman"/>
                <w:sz w:val="20"/>
                <w:szCs w:val="20"/>
              </w:rPr>
            </w:pPr>
          </w:p>
        </w:tc>
      </w:tr>
      <w:tr w:rsidR="00000000" w14:paraId="7DC3D071" w14:textId="77777777">
        <w:trPr>
          <w:divId w:val="936329312"/>
        </w:trPr>
        <w:tc>
          <w:tcPr>
            <w:tcW w:w="0" w:type="auto"/>
            <w:gridSpan w:val="3"/>
            <w:shd w:val="clear" w:color="auto" w:fill="CCEEFF"/>
            <w:tcMar>
              <w:top w:w="30" w:type="dxa"/>
              <w:left w:w="20" w:type="dxa"/>
              <w:bottom w:w="30" w:type="dxa"/>
              <w:right w:w="20" w:type="dxa"/>
            </w:tcMar>
            <w:vAlign w:val="center"/>
            <w:hideMark/>
          </w:tcPr>
          <w:p w14:paraId="4A3BE028" w14:textId="77777777" w:rsidR="00000000" w:rsidRDefault="00405D16">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14:paraId="76132A48"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849FE7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B52F2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DF671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8237A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59E66F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E04B3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B2A67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A91EA4"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A09334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00D90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9297C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D60DB5"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1D88CD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9F841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9A8579" w14:textId="77777777" w:rsidR="00000000" w:rsidRDefault="00405D16">
            <w:pPr>
              <w:spacing w:after="100"/>
              <w:rPr>
                <w:rFonts w:eastAsia="Times New Roman"/>
                <w:sz w:val="20"/>
                <w:szCs w:val="20"/>
              </w:rPr>
            </w:pPr>
          </w:p>
        </w:tc>
        <w:tc>
          <w:tcPr>
            <w:tcW w:w="0" w:type="auto"/>
            <w:vAlign w:val="center"/>
            <w:hideMark/>
          </w:tcPr>
          <w:p w14:paraId="2FFF521E" w14:textId="77777777" w:rsidR="00000000" w:rsidRDefault="00405D16">
            <w:pPr>
              <w:spacing w:after="100"/>
              <w:rPr>
                <w:rFonts w:eastAsia="Times New Roman"/>
                <w:sz w:val="20"/>
                <w:szCs w:val="20"/>
              </w:rPr>
            </w:pPr>
          </w:p>
        </w:tc>
        <w:tc>
          <w:tcPr>
            <w:tcW w:w="0" w:type="auto"/>
            <w:vAlign w:val="center"/>
            <w:hideMark/>
          </w:tcPr>
          <w:p w14:paraId="70FE1699" w14:textId="77777777" w:rsidR="00000000" w:rsidRDefault="00405D16">
            <w:pPr>
              <w:spacing w:after="100"/>
              <w:rPr>
                <w:rFonts w:eastAsia="Times New Roman"/>
                <w:sz w:val="20"/>
                <w:szCs w:val="20"/>
              </w:rPr>
            </w:pPr>
          </w:p>
        </w:tc>
        <w:tc>
          <w:tcPr>
            <w:tcW w:w="0" w:type="auto"/>
            <w:gridSpan w:val="3"/>
            <w:vAlign w:val="center"/>
            <w:hideMark/>
          </w:tcPr>
          <w:p w14:paraId="5EB5D348" w14:textId="77777777" w:rsidR="00000000" w:rsidRDefault="00405D16">
            <w:pPr>
              <w:spacing w:after="100"/>
              <w:rPr>
                <w:rFonts w:eastAsia="Times New Roman"/>
                <w:sz w:val="20"/>
                <w:szCs w:val="20"/>
              </w:rPr>
            </w:pPr>
          </w:p>
        </w:tc>
        <w:tc>
          <w:tcPr>
            <w:tcW w:w="0" w:type="auto"/>
            <w:gridSpan w:val="2"/>
            <w:vAlign w:val="center"/>
            <w:hideMark/>
          </w:tcPr>
          <w:p w14:paraId="007759FC" w14:textId="77777777" w:rsidR="00000000" w:rsidRDefault="00405D16">
            <w:pPr>
              <w:spacing w:after="100"/>
              <w:rPr>
                <w:rFonts w:eastAsia="Times New Roman"/>
                <w:sz w:val="20"/>
                <w:szCs w:val="20"/>
              </w:rPr>
            </w:pPr>
          </w:p>
        </w:tc>
      </w:tr>
      <w:tr w:rsidR="00405D16" w14:paraId="3A894A8E" w14:textId="77777777">
        <w:trPr>
          <w:divId w:val="936329312"/>
        </w:trPr>
        <w:tc>
          <w:tcPr>
            <w:tcW w:w="0" w:type="auto"/>
            <w:gridSpan w:val="3"/>
            <w:shd w:val="clear" w:color="auto" w:fill="FFFFFF"/>
            <w:tcMar>
              <w:top w:w="30" w:type="dxa"/>
              <w:left w:w="245" w:type="dxa"/>
              <w:bottom w:w="30" w:type="dxa"/>
              <w:right w:w="20" w:type="dxa"/>
            </w:tcMar>
            <w:vAlign w:val="center"/>
            <w:hideMark/>
          </w:tcPr>
          <w:p w14:paraId="5C206C39" w14:textId="77777777" w:rsidR="00000000" w:rsidRDefault="00405D16">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14:paraId="62E49EBF"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7AAEFA2" w14:textId="77777777" w:rsidR="00000000" w:rsidRDefault="00405D16">
            <w:pPr>
              <w:spacing w:after="100"/>
              <w:jc w:val="right"/>
              <w:rPr>
                <w:rFonts w:eastAsia="Times New Roman"/>
              </w:rPr>
            </w:pPr>
            <w:r>
              <w:rPr>
                <w:rFonts w:eastAsia="Times New Roman"/>
                <w:b/>
                <w:bCs/>
                <w:color w:val="000000"/>
                <w:sz w:val="18"/>
                <w:szCs w:val="18"/>
              </w:rPr>
              <w:t>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3B8096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4E398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2026416" w14:textId="77777777" w:rsidR="00000000" w:rsidRDefault="00405D16">
            <w:pPr>
              <w:spacing w:after="100"/>
              <w:jc w:val="right"/>
              <w:rPr>
                <w:rFonts w:eastAsia="Times New Roman"/>
              </w:rPr>
            </w:pPr>
            <w:r>
              <w:rPr>
                <w:rFonts w:eastAsia="Times New Roman"/>
                <w:b/>
                <w:bCs/>
                <w:color w:val="000000"/>
                <w:sz w:val="18"/>
                <w:szCs w:val="18"/>
              </w:rPr>
              <w:t>0.18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0C66AB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F80C2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4F7E833" w14:textId="77777777" w:rsidR="00000000" w:rsidRDefault="00405D16">
            <w:pPr>
              <w:spacing w:after="100"/>
              <w:jc w:val="right"/>
              <w:rPr>
                <w:rFonts w:eastAsia="Times New Roman"/>
              </w:rPr>
            </w:pPr>
            <w:r>
              <w:rPr>
                <w:rFonts w:eastAsia="Times New Roman"/>
                <w:color w:val="000000"/>
                <w:sz w:val="18"/>
                <w:szCs w:val="18"/>
              </w:rPr>
              <w:t>36 </w:t>
            </w:r>
          </w:p>
        </w:tc>
        <w:tc>
          <w:tcPr>
            <w:tcW w:w="0" w:type="auto"/>
            <w:shd w:val="clear" w:color="auto" w:fill="FFFFFF"/>
            <w:tcMar>
              <w:top w:w="30" w:type="dxa"/>
              <w:left w:w="0" w:type="dxa"/>
              <w:bottom w:w="30" w:type="dxa"/>
              <w:right w:w="20" w:type="dxa"/>
            </w:tcMar>
            <w:vAlign w:val="center"/>
            <w:hideMark/>
          </w:tcPr>
          <w:p w14:paraId="5593BBE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9B67E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7EEC9FD" w14:textId="77777777" w:rsidR="00000000" w:rsidRDefault="00405D16">
            <w:pPr>
              <w:spacing w:after="100"/>
              <w:jc w:val="right"/>
              <w:rPr>
                <w:rFonts w:eastAsia="Times New Roman"/>
              </w:rPr>
            </w:pPr>
            <w:r>
              <w:rPr>
                <w:rFonts w:eastAsia="Times New Roman"/>
                <w:color w:val="000000"/>
                <w:sz w:val="18"/>
                <w:szCs w:val="18"/>
              </w:rPr>
              <w:t>0.23 </w:t>
            </w:r>
          </w:p>
        </w:tc>
        <w:tc>
          <w:tcPr>
            <w:tcW w:w="0" w:type="auto"/>
            <w:shd w:val="clear" w:color="auto" w:fill="FFFFFF"/>
            <w:tcMar>
              <w:top w:w="30" w:type="dxa"/>
              <w:left w:w="0" w:type="dxa"/>
              <w:bottom w:w="30" w:type="dxa"/>
              <w:right w:w="20" w:type="dxa"/>
            </w:tcMar>
            <w:vAlign w:val="center"/>
            <w:hideMark/>
          </w:tcPr>
          <w:p w14:paraId="0EC7AF0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934BC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6CF0B21" w14:textId="77777777" w:rsidR="00000000" w:rsidRDefault="00405D16">
            <w:pPr>
              <w:spacing w:after="100"/>
              <w:jc w:val="right"/>
              <w:rPr>
                <w:rFonts w:eastAsia="Times New Roman"/>
              </w:rPr>
            </w:pPr>
            <w:r>
              <w:rPr>
                <w:rFonts w:eastAsia="Times New Roman"/>
                <w:b/>
                <w:bCs/>
                <w:color w:val="000000"/>
                <w:sz w:val="18"/>
                <w:szCs w:val="18"/>
              </w:rPr>
              <w:t>90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FEAB1C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B3E3E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53A29D8" w14:textId="77777777" w:rsidR="00000000" w:rsidRDefault="00405D16">
            <w:pPr>
              <w:spacing w:after="100"/>
              <w:jc w:val="right"/>
              <w:rPr>
                <w:rFonts w:eastAsia="Times New Roman"/>
              </w:rPr>
            </w:pPr>
            <w:r>
              <w:rPr>
                <w:rFonts w:eastAsia="Times New Roman"/>
                <w:b/>
                <w:bCs/>
                <w:color w:val="000000"/>
                <w:sz w:val="18"/>
                <w:szCs w:val="18"/>
              </w:rPr>
              <w:t>0.17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3642E0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4634A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15FE043" w14:textId="77777777" w:rsidR="00000000" w:rsidRDefault="00405D16">
            <w:pPr>
              <w:spacing w:after="100"/>
              <w:jc w:val="right"/>
              <w:rPr>
                <w:rFonts w:eastAsia="Times New Roman"/>
              </w:rPr>
            </w:pPr>
            <w:r>
              <w:rPr>
                <w:rFonts w:eastAsia="Times New Roman"/>
                <w:color w:val="000000"/>
                <w:sz w:val="18"/>
                <w:szCs w:val="18"/>
              </w:rPr>
              <w:t>445 </w:t>
            </w:r>
          </w:p>
        </w:tc>
        <w:tc>
          <w:tcPr>
            <w:tcW w:w="0" w:type="auto"/>
            <w:shd w:val="clear" w:color="auto" w:fill="FFFFFF"/>
            <w:tcMar>
              <w:top w:w="30" w:type="dxa"/>
              <w:left w:w="0" w:type="dxa"/>
              <w:bottom w:w="30" w:type="dxa"/>
              <w:right w:w="20" w:type="dxa"/>
            </w:tcMar>
            <w:vAlign w:val="center"/>
            <w:hideMark/>
          </w:tcPr>
          <w:p w14:paraId="462B372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EF40E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F991204" w14:textId="77777777" w:rsidR="00000000" w:rsidRDefault="00405D16">
            <w:pPr>
              <w:spacing w:after="100"/>
              <w:jc w:val="right"/>
              <w:rPr>
                <w:rFonts w:eastAsia="Times New Roman"/>
              </w:rPr>
            </w:pPr>
            <w:r>
              <w:rPr>
                <w:rFonts w:eastAsia="Times New Roman"/>
                <w:color w:val="000000"/>
                <w:sz w:val="18"/>
                <w:szCs w:val="18"/>
              </w:rPr>
              <w:t>0.95 </w:t>
            </w:r>
          </w:p>
        </w:tc>
        <w:tc>
          <w:tcPr>
            <w:tcW w:w="0" w:type="auto"/>
            <w:shd w:val="clear" w:color="auto" w:fill="FFFFFF"/>
            <w:tcMar>
              <w:top w:w="30" w:type="dxa"/>
              <w:left w:w="0" w:type="dxa"/>
              <w:bottom w:w="30" w:type="dxa"/>
              <w:right w:w="20" w:type="dxa"/>
            </w:tcMar>
            <w:vAlign w:val="center"/>
            <w:hideMark/>
          </w:tcPr>
          <w:p w14:paraId="1E54FD39" w14:textId="77777777" w:rsidR="00000000" w:rsidRDefault="00405D16">
            <w:pPr>
              <w:spacing w:after="100"/>
              <w:jc w:val="right"/>
              <w:rPr>
                <w:rFonts w:eastAsia="Times New Roman"/>
              </w:rPr>
            </w:pPr>
          </w:p>
        </w:tc>
        <w:tc>
          <w:tcPr>
            <w:tcW w:w="0" w:type="auto"/>
            <w:vAlign w:val="center"/>
            <w:hideMark/>
          </w:tcPr>
          <w:p w14:paraId="3D832F0D" w14:textId="77777777" w:rsidR="00000000" w:rsidRDefault="00405D16">
            <w:pPr>
              <w:spacing w:after="100"/>
              <w:jc w:val="right"/>
              <w:rPr>
                <w:rFonts w:eastAsia="Times New Roman"/>
                <w:sz w:val="20"/>
                <w:szCs w:val="20"/>
              </w:rPr>
            </w:pPr>
          </w:p>
        </w:tc>
        <w:tc>
          <w:tcPr>
            <w:tcW w:w="0" w:type="auto"/>
            <w:vAlign w:val="center"/>
            <w:hideMark/>
          </w:tcPr>
          <w:p w14:paraId="6CB0DA2A" w14:textId="77777777" w:rsidR="00000000" w:rsidRDefault="00405D16">
            <w:pPr>
              <w:spacing w:after="100"/>
              <w:rPr>
                <w:rFonts w:eastAsia="Times New Roman"/>
                <w:sz w:val="20"/>
                <w:szCs w:val="20"/>
              </w:rPr>
            </w:pPr>
          </w:p>
        </w:tc>
        <w:tc>
          <w:tcPr>
            <w:tcW w:w="0" w:type="auto"/>
            <w:gridSpan w:val="3"/>
            <w:vAlign w:val="center"/>
            <w:hideMark/>
          </w:tcPr>
          <w:p w14:paraId="57AE724B" w14:textId="77777777" w:rsidR="00000000" w:rsidRDefault="00405D16">
            <w:pPr>
              <w:spacing w:after="100"/>
              <w:rPr>
                <w:rFonts w:eastAsia="Times New Roman"/>
                <w:sz w:val="20"/>
                <w:szCs w:val="20"/>
              </w:rPr>
            </w:pPr>
          </w:p>
        </w:tc>
        <w:tc>
          <w:tcPr>
            <w:tcW w:w="0" w:type="auto"/>
            <w:gridSpan w:val="2"/>
            <w:vAlign w:val="center"/>
            <w:hideMark/>
          </w:tcPr>
          <w:p w14:paraId="5A639CF5" w14:textId="77777777" w:rsidR="00000000" w:rsidRDefault="00405D16">
            <w:pPr>
              <w:spacing w:after="100"/>
              <w:rPr>
                <w:rFonts w:eastAsia="Times New Roman"/>
                <w:sz w:val="20"/>
                <w:szCs w:val="20"/>
              </w:rPr>
            </w:pPr>
          </w:p>
        </w:tc>
      </w:tr>
      <w:tr w:rsidR="00405D16" w14:paraId="2A7AEC18" w14:textId="77777777">
        <w:trPr>
          <w:divId w:val="936329312"/>
        </w:trPr>
        <w:tc>
          <w:tcPr>
            <w:tcW w:w="0" w:type="auto"/>
            <w:gridSpan w:val="3"/>
            <w:shd w:val="clear" w:color="auto" w:fill="CCEEFF"/>
            <w:tcMar>
              <w:top w:w="30" w:type="dxa"/>
              <w:left w:w="245" w:type="dxa"/>
              <w:bottom w:w="30" w:type="dxa"/>
              <w:right w:w="20" w:type="dxa"/>
            </w:tcMar>
            <w:vAlign w:val="center"/>
            <w:hideMark/>
          </w:tcPr>
          <w:p w14:paraId="3FFE0479" w14:textId="77777777" w:rsidR="00000000" w:rsidRDefault="00405D16">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14:paraId="0EFE7C76"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3F980ED" w14:textId="77777777" w:rsidR="00000000" w:rsidRDefault="00405D16">
            <w:pPr>
              <w:spacing w:after="100"/>
              <w:jc w:val="right"/>
              <w:rPr>
                <w:rFonts w:eastAsia="Times New Roman"/>
              </w:rPr>
            </w:pPr>
            <w:r>
              <w:rPr>
                <w:rFonts w:eastAsia="Times New Roman"/>
                <w:b/>
                <w:bCs/>
                <w:color w:val="000000"/>
                <w:sz w:val="18"/>
                <w:szCs w:val="18"/>
              </w:rPr>
              <w:t>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5D3D79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01BCD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CB6D59C" w14:textId="77777777" w:rsidR="00000000" w:rsidRDefault="00405D16">
            <w:pPr>
              <w:spacing w:after="100"/>
              <w:jc w:val="right"/>
              <w:rPr>
                <w:rFonts w:eastAsia="Times New Roman"/>
              </w:rPr>
            </w:pPr>
            <w:r>
              <w:rPr>
                <w:rFonts w:eastAsia="Times New Roman"/>
                <w:b/>
                <w:bCs/>
                <w:color w:val="000000"/>
                <w:sz w:val="18"/>
                <w:szCs w:val="18"/>
              </w:rPr>
              <w:t>2.45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D2D700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308D4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8A87525" w14:textId="77777777" w:rsidR="00000000" w:rsidRDefault="00405D16">
            <w:pPr>
              <w:spacing w:after="100"/>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center"/>
            <w:hideMark/>
          </w:tcPr>
          <w:p w14:paraId="31A2E78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9A07A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D238B8C" w14:textId="77777777" w:rsidR="00000000" w:rsidRDefault="00405D16">
            <w:pPr>
              <w:spacing w:after="100"/>
              <w:jc w:val="right"/>
              <w:rPr>
                <w:rFonts w:eastAsia="Times New Roman"/>
              </w:rPr>
            </w:pPr>
            <w:r>
              <w:rPr>
                <w:rFonts w:eastAsia="Times New Roman"/>
                <w:color w:val="000000"/>
                <w:sz w:val="18"/>
                <w:szCs w:val="18"/>
              </w:rPr>
              <w:t>1.38 </w:t>
            </w:r>
          </w:p>
        </w:tc>
        <w:tc>
          <w:tcPr>
            <w:tcW w:w="0" w:type="auto"/>
            <w:shd w:val="clear" w:color="auto" w:fill="CCEEFF"/>
            <w:tcMar>
              <w:top w:w="30" w:type="dxa"/>
              <w:left w:w="0" w:type="dxa"/>
              <w:bottom w:w="30" w:type="dxa"/>
              <w:right w:w="20" w:type="dxa"/>
            </w:tcMar>
            <w:vAlign w:val="center"/>
            <w:hideMark/>
          </w:tcPr>
          <w:p w14:paraId="77AD4E7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A794C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E027713" w14:textId="77777777" w:rsidR="00000000" w:rsidRDefault="00405D16">
            <w:pPr>
              <w:spacing w:after="100"/>
              <w:jc w:val="right"/>
              <w:rPr>
                <w:rFonts w:eastAsia="Times New Roman"/>
              </w:rPr>
            </w:pPr>
            <w:r>
              <w:rPr>
                <w:rFonts w:eastAsia="Times New Roman"/>
                <w:b/>
                <w:bCs/>
                <w:color w:val="000000"/>
                <w:sz w:val="18"/>
                <w:szCs w:val="18"/>
              </w:rPr>
              <w:t>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F9EC7E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67C50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CFD9A44" w14:textId="77777777" w:rsidR="00000000" w:rsidRDefault="00405D16">
            <w:pPr>
              <w:spacing w:after="100"/>
              <w:jc w:val="right"/>
              <w:rPr>
                <w:rFonts w:eastAsia="Times New Roman"/>
              </w:rPr>
            </w:pPr>
            <w:r>
              <w:rPr>
                <w:rFonts w:eastAsia="Times New Roman"/>
                <w:b/>
                <w:bCs/>
                <w:color w:val="000000"/>
                <w:sz w:val="18"/>
                <w:szCs w:val="18"/>
              </w:rPr>
              <w:t>1.82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81419E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32FF8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D827A06" w14:textId="77777777" w:rsidR="00000000" w:rsidRDefault="00405D16">
            <w:pPr>
              <w:spacing w:after="100"/>
              <w:jc w:val="right"/>
              <w:rPr>
                <w:rFonts w:eastAsia="Times New Roman"/>
              </w:rPr>
            </w:pPr>
            <w:r>
              <w:rPr>
                <w:rFonts w:eastAsia="Times New Roman"/>
                <w:color w:val="000000"/>
                <w:sz w:val="18"/>
                <w:szCs w:val="18"/>
              </w:rPr>
              <w:t>41 </w:t>
            </w:r>
          </w:p>
        </w:tc>
        <w:tc>
          <w:tcPr>
            <w:tcW w:w="0" w:type="auto"/>
            <w:shd w:val="clear" w:color="auto" w:fill="CCEEFF"/>
            <w:tcMar>
              <w:top w:w="30" w:type="dxa"/>
              <w:left w:w="0" w:type="dxa"/>
              <w:bottom w:w="30" w:type="dxa"/>
              <w:right w:w="20" w:type="dxa"/>
            </w:tcMar>
            <w:vAlign w:val="center"/>
            <w:hideMark/>
          </w:tcPr>
          <w:p w14:paraId="618FFBB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B7820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A042061" w14:textId="77777777" w:rsidR="00000000" w:rsidRDefault="00405D16">
            <w:pPr>
              <w:spacing w:after="100"/>
              <w:jc w:val="right"/>
              <w:rPr>
                <w:rFonts w:eastAsia="Times New Roman"/>
              </w:rPr>
            </w:pPr>
            <w:r>
              <w:rPr>
                <w:rFonts w:eastAsia="Times New Roman"/>
                <w:color w:val="000000"/>
                <w:sz w:val="18"/>
                <w:szCs w:val="18"/>
              </w:rPr>
              <w:t>1.80 </w:t>
            </w:r>
          </w:p>
        </w:tc>
        <w:tc>
          <w:tcPr>
            <w:tcW w:w="0" w:type="auto"/>
            <w:shd w:val="clear" w:color="auto" w:fill="CCEEFF"/>
            <w:tcMar>
              <w:top w:w="30" w:type="dxa"/>
              <w:left w:w="0" w:type="dxa"/>
              <w:bottom w:w="30" w:type="dxa"/>
              <w:right w:w="20" w:type="dxa"/>
            </w:tcMar>
            <w:vAlign w:val="center"/>
            <w:hideMark/>
          </w:tcPr>
          <w:p w14:paraId="0B5B215A" w14:textId="77777777" w:rsidR="00000000" w:rsidRDefault="00405D16">
            <w:pPr>
              <w:spacing w:after="100"/>
              <w:jc w:val="right"/>
              <w:rPr>
                <w:rFonts w:eastAsia="Times New Roman"/>
              </w:rPr>
            </w:pPr>
          </w:p>
        </w:tc>
        <w:tc>
          <w:tcPr>
            <w:tcW w:w="0" w:type="auto"/>
            <w:vAlign w:val="center"/>
            <w:hideMark/>
          </w:tcPr>
          <w:p w14:paraId="421B33C4" w14:textId="77777777" w:rsidR="00000000" w:rsidRDefault="00405D16">
            <w:pPr>
              <w:spacing w:after="100"/>
              <w:jc w:val="right"/>
              <w:rPr>
                <w:rFonts w:eastAsia="Times New Roman"/>
                <w:sz w:val="20"/>
                <w:szCs w:val="20"/>
              </w:rPr>
            </w:pPr>
          </w:p>
        </w:tc>
        <w:tc>
          <w:tcPr>
            <w:tcW w:w="0" w:type="auto"/>
            <w:vAlign w:val="center"/>
            <w:hideMark/>
          </w:tcPr>
          <w:p w14:paraId="289DB747" w14:textId="77777777" w:rsidR="00000000" w:rsidRDefault="00405D16">
            <w:pPr>
              <w:spacing w:after="100"/>
              <w:rPr>
                <w:rFonts w:eastAsia="Times New Roman"/>
                <w:sz w:val="20"/>
                <w:szCs w:val="20"/>
              </w:rPr>
            </w:pPr>
          </w:p>
        </w:tc>
        <w:tc>
          <w:tcPr>
            <w:tcW w:w="0" w:type="auto"/>
            <w:gridSpan w:val="3"/>
            <w:vAlign w:val="center"/>
            <w:hideMark/>
          </w:tcPr>
          <w:p w14:paraId="458CE6CD" w14:textId="77777777" w:rsidR="00000000" w:rsidRDefault="00405D16">
            <w:pPr>
              <w:spacing w:after="100"/>
              <w:rPr>
                <w:rFonts w:eastAsia="Times New Roman"/>
                <w:sz w:val="20"/>
                <w:szCs w:val="20"/>
              </w:rPr>
            </w:pPr>
          </w:p>
        </w:tc>
        <w:tc>
          <w:tcPr>
            <w:tcW w:w="0" w:type="auto"/>
            <w:gridSpan w:val="2"/>
            <w:vAlign w:val="center"/>
            <w:hideMark/>
          </w:tcPr>
          <w:p w14:paraId="497F0F4D" w14:textId="77777777" w:rsidR="00000000" w:rsidRDefault="00405D16">
            <w:pPr>
              <w:spacing w:after="100"/>
              <w:rPr>
                <w:rFonts w:eastAsia="Times New Roman"/>
                <w:sz w:val="20"/>
                <w:szCs w:val="20"/>
              </w:rPr>
            </w:pPr>
          </w:p>
        </w:tc>
      </w:tr>
      <w:tr w:rsidR="00405D16" w14:paraId="46585D55" w14:textId="77777777">
        <w:trPr>
          <w:divId w:val="936329312"/>
        </w:trPr>
        <w:tc>
          <w:tcPr>
            <w:tcW w:w="0" w:type="auto"/>
            <w:gridSpan w:val="3"/>
            <w:shd w:val="clear" w:color="auto" w:fill="FFFFFF"/>
            <w:tcMar>
              <w:top w:w="30" w:type="dxa"/>
              <w:left w:w="20" w:type="dxa"/>
              <w:bottom w:w="30" w:type="dxa"/>
              <w:right w:w="20" w:type="dxa"/>
            </w:tcMar>
            <w:vAlign w:val="center"/>
            <w:hideMark/>
          </w:tcPr>
          <w:p w14:paraId="48C01681" w14:textId="77777777" w:rsidR="00000000" w:rsidRDefault="00405D16">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14:paraId="0C2C3F23"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87EE740" w14:textId="77777777" w:rsidR="00000000" w:rsidRDefault="00405D16">
            <w:pPr>
              <w:spacing w:after="100"/>
              <w:jc w:val="right"/>
              <w:rPr>
                <w:rFonts w:eastAsia="Times New Roman"/>
              </w:rPr>
            </w:pPr>
            <w:r>
              <w:rPr>
                <w:rFonts w:eastAsia="Times New Roman"/>
                <w:b/>
                <w:bCs/>
                <w:color w:val="000000"/>
                <w:sz w:val="18"/>
                <w:szCs w:val="18"/>
              </w:rPr>
              <w:t>51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77A4B4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A7CD0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5702E6E" w14:textId="77777777" w:rsidR="00000000" w:rsidRDefault="00405D16">
            <w:pPr>
              <w:spacing w:after="100"/>
              <w:jc w:val="right"/>
              <w:rPr>
                <w:rFonts w:eastAsia="Times New Roman"/>
              </w:rPr>
            </w:pPr>
            <w:r>
              <w:rPr>
                <w:rFonts w:eastAsia="Times New Roman"/>
                <w:b/>
                <w:bCs/>
                <w:color w:val="000000"/>
                <w:sz w:val="18"/>
                <w:szCs w:val="18"/>
              </w:rPr>
              <w:t>0.27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BB1D2A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EA4BD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A6B8F41" w14:textId="77777777" w:rsidR="00000000" w:rsidRDefault="00405D16">
            <w:pPr>
              <w:spacing w:after="100"/>
              <w:jc w:val="right"/>
              <w:rPr>
                <w:rFonts w:eastAsia="Times New Roman"/>
              </w:rPr>
            </w:pPr>
            <w:r>
              <w:rPr>
                <w:rFonts w:eastAsia="Times New Roman"/>
                <w:color w:val="000000"/>
                <w:sz w:val="18"/>
                <w:szCs w:val="18"/>
              </w:rPr>
              <w:t>48 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B6393E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2D858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B68042D" w14:textId="77777777" w:rsidR="00000000" w:rsidRDefault="00405D16">
            <w:pPr>
              <w:spacing w:after="100"/>
              <w:jc w:val="right"/>
              <w:rPr>
                <w:rFonts w:eastAsia="Times New Roman"/>
              </w:rPr>
            </w:pPr>
            <w:r>
              <w:rPr>
                <w:rFonts w:eastAsia="Times New Roman"/>
                <w:color w:val="000000"/>
                <w:sz w:val="18"/>
                <w:szCs w:val="18"/>
              </w:rPr>
              <w:t>0.28 </w:t>
            </w:r>
          </w:p>
        </w:tc>
        <w:tc>
          <w:tcPr>
            <w:tcW w:w="0" w:type="auto"/>
            <w:shd w:val="clear" w:color="auto" w:fill="FFFFFF"/>
            <w:tcMar>
              <w:top w:w="30" w:type="dxa"/>
              <w:left w:w="0" w:type="dxa"/>
              <w:bottom w:w="30" w:type="dxa"/>
              <w:right w:w="20" w:type="dxa"/>
            </w:tcMar>
            <w:vAlign w:val="center"/>
            <w:hideMark/>
          </w:tcPr>
          <w:p w14:paraId="5075096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F703E5"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35D409C" w14:textId="77777777" w:rsidR="00000000" w:rsidRDefault="00405D16">
            <w:pPr>
              <w:spacing w:after="100"/>
              <w:jc w:val="right"/>
              <w:rPr>
                <w:rFonts w:eastAsia="Times New Roman"/>
              </w:rPr>
            </w:pPr>
            <w:r>
              <w:rPr>
                <w:rFonts w:eastAsia="Times New Roman"/>
                <w:b/>
                <w:bCs/>
                <w:color w:val="000000"/>
                <w:sz w:val="18"/>
                <w:szCs w:val="18"/>
              </w:rPr>
              <w:t>131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B84610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8B713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083D1E7" w14:textId="77777777" w:rsidR="00000000" w:rsidRDefault="00405D16">
            <w:pPr>
              <w:spacing w:after="100"/>
              <w:jc w:val="right"/>
              <w:rPr>
                <w:rFonts w:eastAsia="Times New Roman"/>
              </w:rPr>
            </w:pPr>
            <w:r>
              <w:rPr>
                <w:rFonts w:eastAsia="Times New Roman"/>
                <w:b/>
                <w:bCs/>
                <w:color w:val="000000"/>
                <w:sz w:val="18"/>
                <w:szCs w:val="18"/>
              </w:rPr>
              <w:t>0.24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C18733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08FF31"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132B82B" w14:textId="77777777" w:rsidR="00000000" w:rsidRDefault="00405D16">
            <w:pPr>
              <w:spacing w:after="100"/>
              <w:jc w:val="right"/>
              <w:rPr>
                <w:rFonts w:eastAsia="Times New Roman"/>
              </w:rPr>
            </w:pPr>
            <w:r>
              <w:rPr>
                <w:rFonts w:eastAsia="Times New Roman"/>
                <w:color w:val="000000"/>
                <w:sz w:val="18"/>
                <w:szCs w:val="18"/>
              </w:rPr>
              <w:t>486 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1D01A6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9172A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1E841F7" w14:textId="77777777" w:rsidR="00000000" w:rsidRDefault="00405D16">
            <w:pPr>
              <w:spacing w:after="100"/>
              <w:jc w:val="right"/>
              <w:rPr>
                <w:rFonts w:eastAsia="Times New Roman"/>
              </w:rPr>
            </w:pPr>
            <w:r>
              <w:rPr>
                <w:rFonts w:eastAsia="Times New Roman"/>
                <w:color w:val="000000"/>
                <w:sz w:val="18"/>
                <w:szCs w:val="18"/>
              </w:rPr>
              <w:t>0.99 </w:t>
            </w:r>
          </w:p>
        </w:tc>
        <w:tc>
          <w:tcPr>
            <w:tcW w:w="0" w:type="auto"/>
            <w:shd w:val="clear" w:color="auto" w:fill="FFFFFF"/>
            <w:tcMar>
              <w:top w:w="30" w:type="dxa"/>
              <w:left w:w="0" w:type="dxa"/>
              <w:bottom w:w="30" w:type="dxa"/>
              <w:right w:w="20" w:type="dxa"/>
            </w:tcMar>
            <w:vAlign w:val="center"/>
            <w:hideMark/>
          </w:tcPr>
          <w:p w14:paraId="36377DA4" w14:textId="77777777" w:rsidR="00000000" w:rsidRDefault="00405D16">
            <w:pPr>
              <w:spacing w:after="100"/>
              <w:jc w:val="right"/>
              <w:rPr>
                <w:rFonts w:eastAsia="Times New Roman"/>
              </w:rPr>
            </w:pPr>
          </w:p>
        </w:tc>
        <w:tc>
          <w:tcPr>
            <w:tcW w:w="0" w:type="auto"/>
            <w:vAlign w:val="center"/>
            <w:hideMark/>
          </w:tcPr>
          <w:p w14:paraId="09DBDF6A" w14:textId="77777777" w:rsidR="00000000" w:rsidRDefault="00405D16">
            <w:pPr>
              <w:spacing w:after="100"/>
              <w:jc w:val="right"/>
              <w:rPr>
                <w:rFonts w:eastAsia="Times New Roman"/>
                <w:sz w:val="20"/>
                <w:szCs w:val="20"/>
              </w:rPr>
            </w:pPr>
          </w:p>
        </w:tc>
        <w:tc>
          <w:tcPr>
            <w:tcW w:w="0" w:type="auto"/>
            <w:vAlign w:val="center"/>
            <w:hideMark/>
          </w:tcPr>
          <w:p w14:paraId="53168906" w14:textId="77777777" w:rsidR="00000000" w:rsidRDefault="00405D16">
            <w:pPr>
              <w:spacing w:after="100"/>
              <w:rPr>
                <w:rFonts w:eastAsia="Times New Roman"/>
                <w:sz w:val="20"/>
                <w:szCs w:val="20"/>
              </w:rPr>
            </w:pPr>
          </w:p>
        </w:tc>
        <w:tc>
          <w:tcPr>
            <w:tcW w:w="0" w:type="auto"/>
            <w:gridSpan w:val="3"/>
            <w:vAlign w:val="center"/>
            <w:hideMark/>
          </w:tcPr>
          <w:p w14:paraId="229388C4" w14:textId="77777777" w:rsidR="00000000" w:rsidRDefault="00405D16">
            <w:pPr>
              <w:spacing w:after="100"/>
              <w:rPr>
                <w:rFonts w:eastAsia="Times New Roman"/>
                <w:sz w:val="20"/>
                <w:szCs w:val="20"/>
              </w:rPr>
            </w:pPr>
          </w:p>
        </w:tc>
        <w:tc>
          <w:tcPr>
            <w:tcW w:w="0" w:type="auto"/>
            <w:gridSpan w:val="2"/>
            <w:vAlign w:val="center"/>
            <w:hideMark/>
          </w:tcPr>
          <w:p w14:paraId="10F29C06" w14:textId="77777777" w:rsidR="00000000" w:rsidRDefault="00405D16">
            <w:pPr>
              <w:spacing w:after="100"/>
              <w:rPr>
                <w:rFonts w:eastAsia="Times New Roman"/>
                <w:sz w:val="20"/>
                <w:szCs w:val="20"/>
              </w:rPr>
            </w:pPr>
          </w:p>
        </w:tc>
      </w:tr>
      <w:tr w:rsidR="00000000" w14:paraId="5AE7927D" w14:textId="77777777">
        <w:trPr>
          <w:divId w:val="936329312"/>
        </w:trPr>
        <w:tc>
          <w:tcPr>
            <w:tcW w:w="0" w:type="auto"/>
            <w:gridSpan w:val="3"/>
            <w:shd w:val="clear" w:color="auto" w:fill="CCEEFF"/>
            <w:tcMar>
              <w:top w:w="30" w:type="dxa"/>
              <w:left w:w="20" w:type="dxa"/>
              <w:bottom w:w="30" w:type="dxa"/>
              <w:right w:w="20" w:type="dxa"/>
            </w:tcMar>
            <w:vAlign w:val="center"/>
            <w:hideMark/>
          </w:tcPr>
          <w:p w14:paraId="470166D6" w14:textId="77777777" w:rsidR="00000000" w:rsidRDefault="00405D16">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14:paraId="1BD2FB3B"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7FCD7F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F59D7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A667F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EF8676"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0062FE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67FB3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1C7DF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1832AF"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35D3CE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F5BE1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8A21D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420D41"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70334A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07D3C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54E683" w14:textId="77777777" w:rsidR="00000000" w:rsidRDefault="00405D16">
            <w:pPr>
              <w:spacing w:after="100"/>
              <w:rPr>
                <w:rFonts w:eastAsia="Times New Roman"/>
                <w:sz w:val="20"/>
                <w:szCs w:val="20"/>
              </w:rPr>
            </w:pPr>
          </w:p>
        </w:tc>
        <w:tc>
          <w:tcPr>
            <w:tcW w:w="0" w:type="auto"/>
            <w:vAlign w:val="center"/>
            <w:hideMark/>
          </w:tcPr>
          <w:p w14:paraId="781C32A3" w14:textId="77777777" w:rsidR="00000000" w:rsidRDefault="00405D16">
            <w:pPr>
              <w:spacing w:after="100"/>
              <w:rPr>
                <w:rFonts w:eastAsia="Times New Roman"/>
                <w:sz w:val="20"/>
                <w:szCs w:val="20"/>
              </w:rPr>
            </w:pPr>
          </w:p>
        </w:tc>
        <w:tc>
          <w:tcPr>
            <w:tcW w:w="0" w:type="auto"/>
            <w:vAlign w:val="center"/>
            <w:hideMark/>
          </w:tcPr>
          <w:p w14:paraId="6CCF8B93" w14:textId="77777777" w:rsidR="00000000" w:rsidRDefault="00405D16">
            <w:pPr>
              <w:spacing w:after="100"/>
              <w:rPr>
                <w:rFonts w:eastAsia="Times New Roman"/>
                <w:sz w:val="20"/>
                <w:szCs w:val="20"/>
              </w:rPr>
            </w:pPr>
          </w:p>
        </w:tc>
        <w:tc>
          <w:tcPr>
            <w:tcW w:w="0" w:type="auto"/>
            <w:gridSpan w:val="3"/>
            <w:vAlign w:val="center"/>
            <w:hideMark/>
          </w:tcPr>
          <w:p w14:paraId="712A8A0C" w14:textId="77777777" w:rsidR="00000000" w:rsidRDefault="00405D16">
            <w:pPr>
              <w:spacing w:after="100"/>
              <w:rPr>
                <w:rFonts w:eastAsia="Times New Roman"/>
                <w:sz w:val="20"/>
                <w:szCs w:val="20"/>
              </w:rPr>
            </w:pPr>
          </w:p>
        </w:tc>
        <w:tc>
          <w:tcPr>
            <w:tcW w:w="0" w:type="auto"/>
            <w:gridSpan w:val="2"/>
            <w:vAlign w:val="center"/>
            <w:hideMark/>
          </w:tcPr>
          <w:p w14:paraId="07FEF41C" w14:textId="77777777" w:rsidR="00000000" w:rsidRDefault="00405D16">
            <w:pPr>
              <w:spacing w:after="100"/>
              <w:rPr>
                <w:rFonts w:eastAsia="Times New Roman"/>
                <w:sz w:val="20"/>
                <w:szCs w:val="20"/>
              </w:rPr>
            </w:pPr>
          </w:p>
        </w:tc>
      </w:tr>
      <w:tr w:rsidR="00405D16" w14:paraId="5CEE4B56" w14:textId="77777777">
        <w:trPr>
          <w:divId w:val="936329312"/>
        </w:trPr>
        <w:tc>
          <w:tcPr>
            <w:tcW w:w="0" w:type="auto"/>
            <w:gridSpan w:val="3"/>
            <w:shd w:val="clear" w:color="auto" w:fill="FFFFFF"/>
            <w:tcMar>
              <w:top w:w="30" w:type="dxa"/>
              <w:left w:w="245" w:type="dxa"/>
              <w:bottom w:w="30" w:type="dxa"/>
              <w:right w:w="20" w:type="dxa"/>
            </w:tcMar>
            <w:vAlign w:val="center"/>
            <w:hideMark/>
          </w:tcPr>
          <w:p w14:paraId="00EBA7B8" w14:textId="77777777" w:rsidR="00000000" w:rsidRDefault="00405D16">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14:paraId="6B8DFD4E"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13B93C5" w14:textId="77777777" w:rsidR="00000000" w:rsidRDefault="00405D16">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5A0CA4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7DCEB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9709ED9" w14:textId="77777777" w:rsidR="00000000" w:rsidRDefault="00405D16">
            <w:pPr>
              <w:spacing w:after="100"/>
              <w:jc w:val="right"/>
              <w:rPr>
                <w:rFonts w:eastAsia="Times New Roman"/>
              </w:rPr>
            </w:pPr>
            <w:r>
              <w:rPr>
                <w:rFonts w:eastAsia="Times New Roman"/>
                <w:b/>
                <w:bCs/>
                <w:color w:val="000000"/>
                <w:sz w:val="18"/>
                <w:szCs w:val="18"/>
              </w:rPr>
              <w:t>0.01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08AA62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15E0C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C5D9A6C" w14:textId="77777777" w:rsidR="00000000" w:rsidRDefault="00405D16">
            <w:pPr>
              <w:spacing w:after="100"/>
              <w:jc w:val="right"/>
              <w:rPr>
                <w:rFonts w:eastAsia="Times New Roman"/>
              </w:rPr>
            </w:pPr>
            <w:r>
              <w:rPr>
                <w:rFonts w:eastAsia="Times New Roman"/>
                <w:color w:val="000000"/>
                <w:sz w:val="18"/>
                <w:szCs w:val="18"/>
              </w:rPr>
              <w:t>32 </w:t>
            </w:r>
          </w:p>
        </w:tc>
        <w:tc>
          <w:tcPr>
            <w:tcW w:w="0" w:type="auto"/>
            <w:shd w:val="clear" w:color="auto" w:fill="FFFFFF"/>
            <w:tcMar>
              <w:top w:w="30" w:type="dxa"/>
              <w:left w:w="0" w:type="dxa"/>
              <w:bottom w:w="30" w:type="dxa"/>
              <w:right w:w="20" w:type="dxa"/>
            </w:tcMar>
            <w:vAlign w:val="center"/>
            <w:hideMark/>
          </w:tcPr>
          <w:p w14:paraId="6DF9F06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89ABF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495F951" w14:textId="77777777" w:rsidR="00000000" w:rsidRDefault="00405D16">
            <w:pPr>
              <w:spacing w:after="100"/>
              <w:jc w:val="right"/>
              <w:rPr>
                <w:rFonts w:eastAsia="Times New Roman"/>
              </w:rPr>
            </w:pPr>
            <w:r>
              <w:rPr>
                <w:rFonts w:eastAsia="Times New Roman"/>
                <w:color w:val="000000"/>
                <w:sz w:val="18"/>
                <w:szCs w:val="18"/>
              </w:rPr>
              <w:t>0.41 </w:t>
            </w:r>
          </w:p>
        </w:tc>
        <w:tc>
          <w:tcPr>
            <w:tcW w:w="0" w:type="auto"/>
            <w:shd w:val="clear" w:color="auto" w:fill="FFFFFF"/>
            <w:tcMar>
              <w:top w:w="30" w:type="dxa"/>
              <w:left w:w="0" w:type="dxa"/>
              <w:bottom w:w="30" w:type="dxa"/>
              <w:right w:w="20" w:type="dxa"/>
            </w:tcMar>
            <w:vAlign w:val="center"/>
            <w:hideMark/>
          </w:tcPr>
          <w:p w14:paraId="488A7E2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1777D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35C3CE2" w14:textId="77777777" w:rsidR="00000000" w:rsidRDefault="00405D16">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498672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BAB7E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72D3C16" w14:textId="77777777" w:rsidR="00000000" w:rsidRDefault="00405D16">
            <w:pPr>
              <w:spacing w:after="100"/>
              <w:jc w:val="right"/>
              <w:rPr>
                <w:rFonts w:eastAsia="Times New Roman"/>
              </w:rPr>
            </w:pPr>
            <w:r>
              <w:rPr>
                <w:rFonts w:eastAsia="Times New Roman"/>
                <w:b/>
                <w:bCs/>
                <w:color w:val="000000"/>
                <w:sz w:val="18"/>
                <w:szCs w:val="18"/>
              </w:rPr>
              <w:t>0.04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D66C98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4DCFA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32324EF" w14:textId="77777777" w:rsidR="00000000" w:rsidRDefault="00405D16">
            <w:pPr>
              <w:spacing w:after="100"/>
              <w:jc w:val="right"/>
              <w:rPr>
                <w:rFonts w:eastAsia="Times New Roman"/>
              </w:rPr>
            </w:pPr>
            <w:r>
              <w:rPr>
                <w:rFonts w:eastAsia="Times New Roman"/>
                <w:color w:val="000000"/>
                <w:sz w:val="18"/>
                <w:szCs w:val="18"/>
              </w:rPr>
              <w:t>39 </w:t>
            </w:r>
          </w:p>
        </w:tc>
        <w:tc>
          <w:tcPr>
            <w:tcW w:w="0" w:type="auto"/>
            <w:shd w:val="clear" w:color="auto" w:fill="FFFFFF"/>
            <w:tcMar>
              <w:top w:w="30" w:type="dxa"/>
              <w:left w:w="0" w:type="dxa"/>
              <w:bottom w:w="30" w:type="dxa"/>
              <w:right w:w="20" w:type="dxa"/>
            </w:tcMar>
            <w:vAlign w:val="center"/>
            <w:hideMark/>
          </w:tcPr>
          <w:p w14:paraId="564CCFA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C7D41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C1FA789" w14:textId="77777777" w:rsidR="00000000" w:rsidRDefault="00405D16">
            <w:pPr>
              <w:spacing w:after="100"/>
              <w:jc w:val="right"/>
              <w:rPr>
                <w:rFonts w:eastAsia="Times New Roman"/>
              </w:rPr>
            </w:pPr>
            <w:r>
              <w:rPr>
                <w:rFonts w:eastAsia="Times New Roman"/>
                <w:color w:val="000000"/>
                <w:sz w:val="18"/>
                <w:szCs w:val="18"/>
              </w:rPr>
              <w:t>0.17 </w:t>
            </w:r>
          </w:p>
        </w:tc>
        <w:tc>
          <w:tcPr>
            <w:tcW w:w="0" w:type="auto"/>
            <w:shd w:val="clear" w:color="auto" w:fill="FFFFFF"/>
            <w:tcMar>
              <w:top w:w="30" w:type="dxa"/>
              <w:left w:w="0" w:type="dxa"/>
              <w:bottom w:w="30" w:type="dxa"/>
              <w:right w:w="20" w:type="dxa"/>
            </w:tcMar>
            <w:vAlign w:val="center"/>
            <w:hideMark/>
          </w:tcPr>
          <w:p w14:paraId="056AE2F4" w14:textId="77777777" w:rsidR="00000000" w:rsidRDefault="00405D16">
            <w:pPr>
              <w:spacing w:after="100"/>
              <w:jc w:val="right"/>
              <w:rPr>
                <w:rFonts w:eastAsia="Times New Roman"/>
              </w:rPr>
            </w:pPr>
          </w:p>
        </w:tc>
        <w:tc>
          <w:tcPr>
            <w:tcW w:w="0" w:type="auto"/>
            <w:vAlign w:val="center"/>
            <w:hideMark/>
          </w:tcPr>
          <w:p w14:paraId="7091563F" w14:textId="77777777" w:rsidR="00000000" w:rsidRDefault="00405D16">
            <w:pPr>
              <w:spacing w:after="100"/>
              <w:jc w:val="right"/>
              <w:rPr>
                <w:rFonts w:eastAsia="Times New Roman"/>
                <w:sz w:val="20"/>
                <w:szCs w:val="20"/>
              </w:rPr>
            </w:pPr>
          </w:p>
        </w:tc>
        <w:tc>
          <w:tcPr>
            <w:tcW w:w="0" w:type="auto"/>
            <w:vAlign w:val="center"/>
            <w:hideMark/>
          </w:tcPr>
          <w:p w14:paraId="12A6A427" w14:textId="77777777" w:rsidR="00000000" w:rsidRDefault="00405D16">
            <w:pPr>
              <w:spacing w:after="100"/>
              <w:rPr>
                <w:rFonts w:eastAsia="Times New Roman"/>
                <w:sz w:val="20"/>
                <w:szCs w:val="20"/>
              </w:rPr>
            </w:pPr>
          </w:p>
        </w:tc>
        <w:tc>
          <w:tcPr>
            <w:tcW w:w="0" w:type="auto"/>
            <w:gridSpan w:val="3"/>
            <w:vAlign w:val="center"/>
            <w:hideMark/>
          </w:tcPr>
          <w:p w14:paraId="1DF429FC" w14:textId="77777777" w:rsidR="00000000" w:rsidRDefault="00405D16">
            <w:pPr>
              <w:spacing w:after="100"/>
              <w:rPr>
                <w:rFonts w:eastAsia="Times New Roman"/>
                <w:sz w:val="20"/>
                <w:szCs w:val="20"/>
              </w:rPr>
            </w:pPr>
          </w:p>
        </w:tc>
        <w:tc>
          <w:tcPr>
            <w:tcW w:w="0" w:type="auto"/>
            <w:gridSpan w:val="2"/>
            <w:vAlign w:val="center"/>
            <w:hideMark/>
          </w:tcPr>
          <w:p w14:paraId="3AFB7CC4" w14:textId="77777777" w:rsidR="00000000" w:rsidRDefault="00405D16">
            <w:pPr>
              <w:spacing w:after="100"/>
              <w:rPr>
                <w:rFonts w:eastAsia="Times New Roman"/>
                <w:sz w:val="20"/>
                <w:szCs w:val="20"/>
              </w:rPr>
            </w:pPr>
          </w:p>
        </w:tc>
      </w:tr>
      <w:tr w:rsidR="00405D16" w14:paraId="1D243779" w14:textId="77777777">
        <w:trPr>
          <w:divId w:val="936329312"/>
        </w:trPr>
        <w:tc>
          <w:tcPr>
            <w:tcW w:w="0" w:type="auto"/>
            <w:gridSpan w:val="3"/>
            <w:shd w:val="clear" w:color="auto" w:fill="CCEEFF"/>
            <w:tcMar>
              <w:top w:w="30" w:type="dxa"/>
              <w:left w:w="245" w:type="dxa"/>
              <w:bottom w:w="30" w:type="dxa"/>
              <w:right w:w="20" w:type="dxa"/>
            </w:tcMar>
            <w:vAlign w:val="center"/>
            <w:hideMark/>
          </w:tcPr>
          <w:p w14:paraId="3CCCFDCE" w14:textId="77777777" w:rsidR="00000000" w:rsidRDefault="00405D16">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14:paraId="1F31A054"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DE07DD9" w14:textId="77777777" w:rsidR="00000000" w:rsidRDefault="00405D16">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848C4A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ADE85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CB6C34B" w14:textId="77777777" w:rsidR="00000000" w:rsidRDefault="00405D16">
            <w:pPr>
              <w:spacing w:after="100"/>
              <w:jc w:val="right"/>
              <w:rPr>
                <w:rFonts w:eastAsia="Times New Roman"/>
              </w:rPr>
            </w:pPr>
            <w:r>
              <w:rPr>
                <w:rFonts w:eastAsia="Times New Roman"/>
                <w:b/>
                <w:bCs/>
                <w:color w:val="000000"/>
                <w:sz w:val="18"/>
                <w:szCs w:val="18"/>
              </w:rPr>
              <w:t>0.07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A6EF9D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73DF5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E4CAAFA" w14:textId="77777777" w:rsidR="00000000" w:rsidRDefault="00405D16">
            <w:pPr>
              <w:spacing w:after="100"/>
              <w:jc w:val="right"/>
              <w:rPr>
                <w:rFonts w:eastAsia="Times New Roman"/>
              </w:rPr>
            </w:pPr>
            <w:r>
              <w:rPr>
                <w:rFonts w:eastAsia="Times New Roman"/>
                <w:color w:val="000000"/>
                <w:sz w:val="18"/>
                <w:szCs w:val="18"/>
              </w:rPr>
              <w:t>50 </w:t>
            </w:r>
          </w:p>
        </w:tc>
        <w:tc>
          <w:tcPr>
            <w:tcW w:w="0" w:type="auto"/>
            <w:shd w:val="clear" w:color="auto" w:fill="CCEEFF"/>
            <w:tcMar>
              <w:top w:w="30" w:type="dxa"/>
              <w:left w:w="0" w:type="dxa"/>
              <w:bottom w:w="30" w:type="dxa"/>
              <w:right w:w="20" w:type="dxa"/>
            </w:tcMar>
            <w:vAlign w:val="center"/>
            <w:hideMark/>
          </w:tcPr>
          <w:p w14:paraId="5E4841D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139DA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C946F8E" w14:textId="77777777" w:rsidR="00000000" w:rsidRDefault="00405D16">
            <w:pPr>
              <w:spacing w:after="100"/>
              <w:jc w:val="right"/>
              <w:rPr>
                <w:rFonts w:eastAsia="Times New Roman"/>
              </w:rPr>
            </w:pPr>
            <w:r>
              <w:rPr>
                <w:rFonts w:eastAsia="Times New Roman"/>
                <w:color w:val="000000"/>
                <w:sz w:val="18"/>
                <w:szCs w:val="18"/>
              </w:rPr>
              <w:t>0.45 </w:t>
            </w:r>
          </w:p>
        </w:tc>
        <w:tc>
          <w:tcPr>
            <w:tcW w:w="0" w:type="auto"/>
            <w:shd w:val="clear" w:color="auto" w:fill="CCEEFF"/>
            <w:tcMar>
              <w:top w:w="30" w:type="dxa"/>
              <w:left w:w="0" w:type="dxa"/>
              <w:bottom w:w="30" w:type="dxa"/>
              <w:right w:w="20" w:type="dxa"/>
            </w:tcMar>
            <w:vAlign w:val="center"/>
            <w:hideMark/>
          </w:tcPr>
          <w:p w14:paraId="55886A8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6BDC5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DF0D5E3" w14:textId="77777777" w:rsidR="00000000" w:rsidRDefault="00405D16">
            <w:pPr>
              <w:spacing w:after="100"/>
              <w:jc w:val="right"/>
              <w:rPr>
                <w:rFonts w:eastAsia="Times New Roman"/>
              </w:rPr>
            </w:pPr>
            <w:r>
              <w:rPr>
                <w:rFonts w:eastAsia="Times New Roman"/>
                <w:b/>
                <w:bCs/>
                <w:color w:val="000000"/>
                <w:sz w:val="18"/>
                <w:szCs w:val="18"/>
              </w:rPr>
              <w:t>(3)</w:t>
            </w:r>
          </w:p>
        </w:tc>
        <w:tc>
          <w:tcPr>
            <w:tcW w:w="0" w:type="auto"/>
            <w:shd w:val="clear" w:color="auto" w:fill="CCEEFF"/>
            <w:tcMar>
              <w:top w:w="30" w:type="dxa"/>
              <w:left w:w="0" w:type="dxa"/>
              <w:bottom w:w="30" w:type="dxa"/>
              <w:right w:w="20" w:type="dxa"/>
            </w:tcMar>
            <w:vAlign w:val="center"/>
            <w:hideMark/>
          </w:tcPr>
          <w:p w14:paraId="7B4A4F0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C709D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AD1B428" w14:textId="77777777" w:rsidR="00000000" w:rsidRDefault="00405D16">
            <w:pPr>
              <w:spacing w:after="100"/>
              <w:jc w:val="right"/>
              <w:rPr>
                <w:rFonts w:eastAsia="Times New Roman"/>
              </w:rPr>
            </w:pPr>
            <w:r>
              <w:rPr>
                <w:rFonts w:eastAsia="Times New Roman"/>
                <w:b/>
                <w:bCs/>
                <w:color w:val="000000"/>
                <w:sz w:val="18"/>
                <w:szCs w:val="18"/>
              </w:rPr>
              <w:t>(0.01)</w:t>
            </w:r>
          </w:p>
        </w:tc>
        <w:tc>
          <w:tcPr>
            <w:tcW w:w="0" w:type="auto"/>
            <w:shd w:val="clear" w:color="auto" w:fill="CCEEFF"/>
            <w:tcMar>
              <w:top w:w="30" w:type="dxa"/>
              <w:left w:w="0" w:type="dxa"/>
              <w:bottom w:w="30" w:type="dxa"/>
              <w:right w:w="20" w:type="dxa"/>
            </w:tcMar>
            <w:vAlign w:val="center"/>
            <w:hideMark/>
          </w:tcPr>
          <w:p w14:paraId="49F932C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1DEAB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EC32476" w14:textId="77777777" w:rsidR="00000000" w:rsidRDefault="00405D16">
            <w:pPr>
              <w:spacing w:after="100"/>
              <w:jc w:val="right"/>
              <w:rPr>
                <w:rFonts w:eastAsia="Times New Roman"/>
              </w:rPr>
            </w:pPr>
            <w:r>
              <w:rPr>
                <w:rFonts w:eastAsia="Times New Roman"/>
                <w:color w:val="000000"/>
                <w:sz w:val="18"/>
                <w:szCs w:val="18"/>
              </w:rPr>
              <w:t>254 </w:t>
            </w:r>
          </w:p>
        </w:tc>
        <w:tc>
          <w:tcPr>
            <w:tcW w:w="0" w:type="auto"/>
            <w:shd w:val="clear" w:color="auto" w:fill="CCEEFF"/>
            <w:tcMar>
              <w:top w:w="30" w:type="dxa"/>
              <w:left w:w="0" w:type="dxa"/>
              <w:bottom w:w="30" w:type="dxa"/>
              <w:right w:w="20" w:type="dxa"/>
            </w:tcMar>
            <w:vAlign w:val="center"/>
            <w:hideMark/>
          </w:tcPr>
          <w:p w14:paraId="0F5A879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1001E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42592D2" w14:textId="77777777" w:rsidR="00000000" w:rsidRDefault="00405D16">
            <w:pPr>
              <w:spacing w:after="100"/>
              <w:jc w:val="right"/>
              <w:rPr>
                <w:rFonts w:eastAsia="Times New Roman"/>
              </w:rPr>
            </w:pPr>
            <w:r>
              <w:rPr>
                <w:rFonts w:eastAsia="Times New Roman"/>
                <w:color w:val="000000"/>
                <w:sz w:val="18"/>
                <w:szCs w:val="18"/>
              </w:rPr>
              <w:t>0.73 </w:t>
            </w:r>
          </w:p>
        </w:tc>
        <w:tc>
          <w:tcPr>
            <w:tcW w:w="0" w:type="auto"/>
            <w:shd w:val="clear" w:color="auto" w:fill="CCEEFF"/>
            <w:tcMar>
              <w:top w:w="30" w:type="dxa"/>
              <w:left w:w="0" w:type="dxa"/>
              <w:bottom w:w="30" w:type="dxa"/>
              <w:right w:w="20" w:type="dxa"/>
            </w:tcMar>
            <w:vAlign w:val="center"/>
            <w:hideMark/>
          </w:tcPr>
          <w:p w14:paraId="707E59F4" w14:textId="77777777" w:rsidR="00000000" w:rsidRDefault="00405D16">
            <w:pPr>
              <w:spacing w:after="100"/>
              <w:jc w:val="right"/>
              <w:rPr>
                <w:rFonts w:eastAsia="Times New Roman"/>
              </w:rPr>
            </w:pPr>
          </w:p>
        </w:tc>
        <w:tc>
          <w:tcPr>
            <w:tcW w:w="0" w:type="auto"/>
            <w:vAlign w:val="center"/>
            <w:hideMark/>
          </w:tcPr>
          <w:p w14:paraId="3A4DD369" w14:textId="77777777" w:rsidR="00000000" w:rsidRDefault="00405D16">
            <w:pPr>
              <w:spacing w:after="100"/>
              <w:jc w:val="right"/>
              <w:rPr>
                <w:rFonts w:eastAsia="Times New Roman"/>
                <w:sz w:val="20"/>
                <w:szCs w:val="20"/>
              </w:rPr>
            </w:pPr>
          </w:p>
        </w:tc>
        <w:tc>
          <w:tcPr>
            <w:tcW w:w="0" w:type="auto"/>
            <w:vAlign w:val="center"/>
            <w:hideMark/>
          </w:tcPr>
          <w:p w14:paraId="56B44107" w14:textId="77777777" w:rsidR="00000000" w:rsidRDefault="00405D16">
            <w:pPr>
              <w:spacing w:after="100"/>
              <w:rPr>
                <w:rFonts w:eastAsia="Times New Roman"/>
                <w:sz w:val="20"/>
                <w:szCs w:val="20"/>
              </w:rPr>
            </w:pPr>
          </w:p>
        </w:tc>
        <w:tc>
          <w:tcPr>
            <w:tcW w:w="0" w:type="auto"/>
            <w:gridSpan w:val="3"/>
            <w:vAlign w:val="center"/>
            <w:hideMark/>
          </w:tcPr>
          <w:p w14:paraId="5C2F9A3C" w14:textId="77777777" w:rsidR="00000000" w:rsidRDefault="00405D16">
            <w:pPr>
              <w:spacing w:after="100"/>
              <w:rPr>
                <w:rFonts w:eastAsia="Times New Roman"/>
                <w:sz w:val="20"/>
                <w:szCs w:val="20"/>
              </w:rPr>
            </w:pPr>
          </w:p>
        </w:tc>
        <w:tc>
          <w:tcPr>
            <w:tcW w:w="0" w:type="auto"/>
            <w:gridSpan w:val="2"/>
            <w:vAlign w:val="center"/>
            <w:hideMark/>
          </w:tcPr>
          <w:p w14:paraId="293CD0D5" w14:textId="77777777" w:rsidR="00000000" w:rsidRDefault="00405D16">
            <w:pPr>
              <w:spacing w:after="100"/>
              <w:rPr>
                <w:rFonts w:eastAsia="Times New Roman"/>
                <w:sz w:val="20"/>
                <w:szCs w:val="20"/>
              </w:rPr>
            </w:pPr>
          </w:p>
        </w:tc>
      </w:tr>
      <w:tr w:rsidR="00405D16" w14:paraId="171EECDA" w14:textId="77777777">
        <w:trPr>
          <w:divId w:val="936329312"/>
        </w:trPr>
        <w:tc>
          <w:tcPr>
            <w:tcW w:w="0" w:type="auto"/>
            <w:gridSpan w:val="3"/>
            <w:shd w:val="clear" w:color="auto" w:fill="FFFFFF"/>
            <w:tcMar>
              <w:top w:w="30" w:type="dxa"/>
              <w:left w:w="20" w:type="dxa"/>
              <w:bottom w:w="30" w:type="dxa"/>
              <w:right w:w="20" w:type="dxa"/>
            </w:tcMar>
            <w:vAlign w:val="center"/>
            <w:hideMark/>
          </w:tcPr>
          <w:p w14:paraId="1170EA5C" w14:textId="77777777" w:rsidR="00000000" w:rsidRDefault="00405D16">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14:paraId="33DB9740"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A464533" w14:textId="77777777" w:rsidR="00000000" w:rsidRDefault="00405D16">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4D96BE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0E37F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086DD66" w14:textId="77777777" w:rsidR="00000000" w:rsidRDefault="00405D16">
            <w:pPr>
              <w:spacing w:after="100"/>
              <w:jc w:val="right"/>
              <w:rPr>
                <w:rFonts w:eastAsia="Times New Roman"/>
              </w:rPr>
            </w:pPr>
            <w:r>
              <w:rPr>
                <w:rFonts w:eastAsia="Times New Roman"/>
                <w:b/>
                <w:bCs/>
                <w:color w:val="000000"/>
                <w:sz w:val="18"/>
                <w:szCs w:val="18"/>
              </w:rPr>
              <w:t>0.05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0E8488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333EE9"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B011848" w14:textId="77777777" w:rsidR="00000000" w:rsidRDefault="00405D16">
            <w:pPr>
              <w:spacing w:after="100"/>
              <w:jc w:val="right"/>
              <w:rPr>
                <w:rFonts w:eastAsia="Times New Roman"/>
              </w:rPr>
            </w:pPr>
            <w:r>
              <w:rPr>
                <w:rFonts w:eastAsia="Times New Roman"/>
                <w:color w:val="000000"/>
                <w:sz w:val="18"/>
                <w:szCs w:val="18"/>
              </w:rPr>
              <w:t>82 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40D5F5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10717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1DEA82C" w14:textId="77777777" w:rsidR="00000000" w:rsidRDefault="00405D16">
            <w:pPr>
              <w:spacing w:after="100"/>
              <w:jc w:val="right"/>
              <w:rPr>
                <w:rFonts w:eastAsia="Times New Roman"/>
              </w:rPr>
            </w:pPr>
            <w:r>
              <w:rPr>
                <w:rFonts w:eastAsia="Times New Roman"/>
                <w:color w:val="000000"/>
                <w:sz w:val="18"/>
                <w:szCs w:val="18"/>
              </w:rPr>
              <w:t>0.43 </w:t>
            </w:r>
          </w:p>
        </w:tc>
        <w:tc>
          <w:tcPr>
            <w:tcW w:w="0" w:type="auto"/>
            <w:shd w:val="clear" w:color="auto" w:fill="FFFFFF"/>
            <w:tcMar>
              <w:top w:w="30" w:type="dxa"/>
              <w:left w:w="0" w:type="dxa"/>
              <w:bottom w:w="30" w:type="dxa"/>
              <w:right w:w="20" w:type="dxa"/>
            </w:tcMar>
            <w:vAlign w:val="center"/>
            <w:hideMark/>
          </w:tcPr>
          <w:p w14:paraId="55E658B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E5DE7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D953DE0" w14:textId="77777777" w:rsidR="00000000" w:rsidRDefault="00405D16">
            <w:pPr>
              <w:spacing w:after="100"/>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173736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1ED7C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B499718" w14:textId="77777777" w:rsidR="00000000" w:rsidRDefault="00405D16">
            <w:pPr>
              <w:spacing w:after="100"/>
              <w:jc w:val="right"/>
              <w:rPr>
                <w:rFonts w:eastAsia="Times New Roman"/>
              </w:rPr>
            </w:pPr>
            <w:r>
              <w:rPr>
                <w:rFonts w:eastAsia="Times New Roman"/>
                <w:b/>
                <w:bCs/>
                <w:color w:val="000000"/>
                <w:sz w:val="18"/>
                <w:szCs w:val="18"/>
              </w:rPr>
              <w:t>0.01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1365E1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C40C25"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512A9FA" w14:textId="77777777" w:rsidR="00000000" w:rsidRDefault="00405D16">
            <w:pPr>
              <w:spacing w:after="100"/>
              <w:jc w:val="right"/>
              <w:rPr>
                <w:rFonts w:eastAsia="Times New Roman"/>
              </w:rPr>
            </w:pPr>
            <w:r>
              <w:rPr>
                <w:rFonts w:eastAsia="Times New Roman"/>
                <w:color w:val="000000"/>
                <w:sz w:val="18"/>
                <w:szCs w:val="18"/>
              </w:rPr>
              <w:t>293 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80FC10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6DD26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32DD2F2" w14:textId="77777777" w:rsidR="00000000" w:rsidRDefault="00405D16">
            <w:pPr>
              <w:spacing w:after="100"/>
              <w:jc w:val="right"/>
              <w:rPr>
                <w:rFonts w:eastAsia="Times New Roman"/>
              </w:rPr>
            </w:pPr>
            <w:r>
              <w:rPr>
                <w:rFonts w:eastAsia="Times New Roman"/>
                <w:color w:val="000000"/>
                <w:sz w:val="18"/>
                <w:szCs w:val="18"/>
              </w:rPr>
              <w:t>0.50 </w:t>
            </w:r>
          </w:p>
        </w:tc>
        <w:tc>
          <w:tcPr>
            <w:tcW w:w="0" w:type="auto"/>
            <w:shd w:val="clear" w:color="auto" w:fill="FFFFFF"/>
            <w:tcMar>
              <w:top w:w="30" w:type="dxa"/>
              <w:left w:w="0" w:type="dxa"/>
              <w:bottom w:w="30" w:type="dxa"/>
              <w:right w:w="20" w:type="dxa"/>
            </w:tcMar>
            <w:vAlign w:val="center"/>
            <w:hideMark/>
          </w:tcPr>
          <w:p w14:paraId="20026EB9" w14:textId="77777777" w:rsidR="00000000" w:rsidRDefault="00405D16">
            <w:pPr>
              <w:spacing w:after="100"/>
              <w:jc w:val="right"/>
              <w:rPr>
                <w:rFonts w:eastAsia="Times New Roman"/>
              </w:rPr>
            </w:pPr>
          </w:p>
        </w:tc>
        <w:tc>
          <w:tcPr>
            <w:tcW w:w="0" w:type="auto"/>
            <w:vAlign w:val="center"/>
            <w:hideMark/>
          </w:tcPr>
          <w:p w14:paraId="185E7CC3" w14:textId="77777777" w:rsidR="00000000" w:rsidRDefault="00405D16">
            <w:pPr>
              <w:spacing w:after="100"/>
              <w:jc w:val="right"/>
              <w:rPr>
                <w:rFonts w:eastAsia="Times New Roman"/>
                <w:sz w:val="20"/>
                <w:szCs w:val="20"/>
              </w:rPr>
            </w:pPr>
          </w:p>
        </w:tc>
        <w:tc>
          <w:tcPr>
            <w:tcW w:w="0" w:type="auto"/>
            <w:vAlign w:val="center"/>
            <w:hideMark/>
          </w:tcPr>
          <w:p w14:paraId="7BE4F83D" w14:textId="77777777" w:rsidR="00000000" w:rsidRDefault="00405D16">
            <w:pPr>
              <w:spacing w:after="100"/>
              <w:rPr>
                <w:rFonts w:eastAsia="Times New Roman"/>
                <w:sz w:val="20"/>
                <w:szCs w:val="20"/>
              </w:rPr>
            </w:pPr>
          </w:p>
        </w:tc>
        <w:tc>
          <w:tcPr>
            <w:tcW w:w="0" w:type="auto"/>
            <w:gridSpan w:val="3"/>
            <w:vAlign w:val="center"/>
            <w:hideMark/>
          </w:tcPr>
          <w:p w14:paraId="1A142D3B" w14:textId="77777777" w:rsidR="00000000" w:rsidRDefault="00405D16">
            <w:pPr>
              <w:spacing w:after="100"/>
              <w:rPr>
                <w:rFonts w:eastAsia="Times New Roman"/>
                <w:sz w:val="20"/>
                <w:szCs w:val="20"/>
              </w:rPr>
            </w:pPr>
          </w:p>
        </w:tc>
        <w:tc>
          <w:tcPr>
            <w:tcW w:w="0" w:type="auto"/>
            <w:gridSpan w:val="2"/>
            <w:vAlign w:val="center"/>
            <w:hideMark/>
          </w:tcPr>
          <w:p w14:paraId="1317E7A9" w14:textId="77777777" w:rsidR="00000000" w:rsidRDefault="00405D16">
            <w:pPr>
              <w:spacing w:after="100"/>
              <w:rPr>
                <w:rFonts w:eastAsia="Times New Roman"/>
                <w:sz w:val="20"/>
                <w:szCs w:val="20"/>
              </w:rPr>
            </w:pPr>
          </w:p>
        </w:tc>
      </w:tr>
      <w:tr w:rsidR="00405D16" w14:paraId="627EF6D3" w14:textId="77777777">
        <w:trPr>
          <w:divId w:val="936329312"/>
        </w:trPr>
        <w:tc>
          <w:tcPr>
            <w:tcW w:w="0" w:type="auto"/>
            <w:gridSpan w:val="3"/>
            <w:shd w:val="clear" w:color="auto" w:fill="CCEEFF"/>
            <w:tcMar>
              <w:top w:w="30" w:type="dxa"/>
              <w:left w:w="20" w:type="dxa"/>
              <w:bottom w:w="30" w:type="dxa"/>
              <w:right w:w="20" w:type="dxa"/>
            </w:tcMar>
            <w:vAlign w:val="center"/>
            <w:hideMark/>
          </w:tcPr>
          <w:p w14:paraId="1871325A" w14:textId="77777777" w:rsidR="00000000" w:rsidRDefault="00405D16">
            <w:pPr>
              <w:spacing w:after="100"/>
              <w:rPr>
                <w:rFonts w:eastAsia="Times New Roman"/>
              </w:rPr>
            </w:pPr>
            <w:r>
              <w:rPr>
                <w:rFonts w:eastAsia="Times New Roman"/>
                <w:color w:val="000000"/>
                <w:sz w:val="18"/>
                <w:szCs w:val="18"/>
              </w:rPr>
              <w:t>Total net charge-offs</w:t>
            </w:r>
          </w:p>
        </w:tc>
        <w:tc>
          <w:tcPr>
            <w:tcW w:w="0" w:type="auto"/>
            <w:gridSpan w:val="3"/>
            <w:shd w:val="clear" w:color="auto" w:fill="CCEEFF"/>
            <w:tcMar>
              <w:top w:w="0" w:type="dxa"/>
              <w:left w:w="20" w:type="dxa"/>
              <w:bottom w:w="0" w:type="dxa"/>
              <w:right w:w="20" w:type="dxa"/>
            </w:tcMar>
            <w:vAlign w:val="center"/>
            <w:hideMark/>
          </w:tcPr>
          <w:p w14:paraId="49A5614A"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8922F5E"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B302109" w14:textId="77777777" w:rsidR="00000000" w:rsidRDefault="00405D16">
            <w:pPr>
              <w:spacing w:after="100"/>
              <w:jc w:val="right"/>
              <w:rPr>
                <w:rFonts w:eastAsia="Times New Roman"/>
              </w:rPr>
            </w:pPr>
            <w:r>
              <w:rPr>
                <w:rFonts w:eastAsia="Times New Roman"/>
                <w:b/>
                <w:bCs/>
                <w:color w:val="000000"/>
                <w:sz w:val="18"/>
                <w:szCs w:val="18"/>
              </w:rPr>
              <w:t>426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07021B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CA8CA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D8393DA" w14:textId="77777777" w:rsidR="00000000" w:rsidRDefault="00405D16">
            <w:pPr>
              <w:spacing w:after="100"/>
              <w:jc w:val="right"/>
              <w:rPr>
                <w:rFonts w:eastAsia="Times New Roman"/>
              </w:rPr>
            </w:pPr>
            <w:r>
              <w:rPr>
                <w:rFonts w:eastAsia="Times New Roman"/>
                <w:b/>
                <w:bCs/>
                <w:color w:val="000000"/>
                <w:sz w:val="18"/>
                <w:szCs w:val="18"/>
              </w:rPr>
              <w:t>0.67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BCBE53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2552B5"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AE2E0E3"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CDA5D52" w14:textId="77777777" w:rsidR="00000000" w:rsidRDefault="00405D16">
            <w:pPr>
              <w:spacing w:after="100"/>
              <w:jc w:val="right"/>
              <w:rPr>
                <w:rFonts w:eastAsia="Times New Roman"/>
              </w:rPr>
            </w:pPr>
            <w:r>
              <w:rPr>
                <w:rFonts w:eastAsia="Times New Roman"/>
                <w:color w:val="000000"/>
                <w:sz w:val="18"/>
                <w:szCs w:val="18"/>
              </w:rPr>
              <w:t>1,073 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03B128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432CC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D1A60D5" w14:textId="77777777" w:rsidR="00000000" w:rsidRDefault="00405D16">
            <w:pPr>
              <w:spacing w:after="100"/>
              <w:jc w:val="right"/>
              <w:rPr>
                <w:rFonts w:eastAsia="Times New Roman"/>
              </w:rPr>
            </w:pPr>
            <w:r>
              <w:rPr>
                <w:rFonts w:eastAsia="Times New Roman"/>
                <w:color w:val="000000"/>
                <w:sz w:val="18"/>
                <w:szCs w:val="18"/>
              </w:rPr>
              <w:t>1.72 </w:t>
            </w:r>
          </w:p>
        </w:tc>
        <w:tc>
          <w:tcPr>
            <w:tcW w:w="0" w:type="auto"/>
            <w:shd w:val="clear" w:color="auto" w:fill="CCEEFF"/>
            <w:tcMar>
              <w:top w:w="30" w:type="dxa"/>
              <w:left w:w="0" w:type="dxa"/>
              <w:bottom w:w="30" w:type="dxa"/>
              <w:right w:w="20" w:type="dxa"/>
            </w:tcMar>
            <w:vAlign w:val="center"/>
            <w:hideMark/>
          </w:tcPr>
          <w:p w14:paraId="3801933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7A460E"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0DE5816"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CE60507" w14:textId="77777777" w:rsidR="00000000" w:rsidRDefault="00405D16">
            <w:pPr>
              <w:spacing w:after="100"/>
              <w:jc w:val="right"/>
              <w:rPr>
                <w:rFonts w:eastAsia="Times New Roman"/>
              </w:rPr>
            </w:pPr>
            <w:r>
              <w:rPr>
                <w:rFonts w:eastAsia="Times New Roman"/>
                <w:b/>
                <w:bCs/>
                <w:color w:val="000000"/>
                <w:sz w:val="18"/>
                <w:szCs w:val="18"/>
              </w:rPr>
              <w:t>1,707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F5BD0D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685BE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E9B119A" w14:textId="77777777" w:rsidR="00000000" w:rsidRDefault="00405D16">
            <w:pPr>
              <w:spacing w:after="100"/>
              <w:jc w:val="right"/>
              <w:rPr>
                <w:rFonts w:eastAsia="Times New Roman"/>
              </w:rPr>
            </w:pPr>
            <w:r>
              <w:rPr>
                <w:rFonts w:eastAsia="Times New Roman"/>
                <w:b/>
                <w:bCs/>
                <w:color w:val="000000"/>
                <w:sz w:val="18"/>
                <w:szCs w:val="18"/>
              </w:rPr>
              <w:t>0.92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DFF028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100C97"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1BFF543"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C3107A6" w14:textId="77777777" w:rsidR="00000000" w:rsidRDefault="00405D16">
            <w:pPr>
              <w:spacing w:after="100"/>
              <w:jc w:val="right"/>
              <w:rPr>
                <w:rFonts w:eastAsia="Times New Roman"/>
              </w:rPr>
            </w:pPr>
            <w:r>
              <w:rPr>
                <w:rFonts w:eastAsia="Times New Roman"/>
                <w:color w:val="000000"/>
                <w:sz w:val="18"/>
                <w:szCs w:val="18"/>
              </w:rPr>
              <w:t>4,369 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FFF2BE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43B9B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037C2C6" w14:textId="77777777" w:rsidR="00000000" w:rsidRDefault="00405D16">
            <w:pPr>
              <w:spacing w:after="100"/>
              <w:jc w:val="right"/>
              <w:rPr>
                <w:rFonts w:eastAsia="Times New Roman"/>
              </w:rPr>
            </w:pPr>
            <w:r>
              <w:rPr>
                <w:rFonts w:eastAsia="Times New Roman"/>
                <w:color w:val="000000"/>
                <w:sz w:val="18"/>
                <w:szCs w:val="18"/>
              </w:rPr>
              <w:t>2.28 </w:t>
            </w:r>
          </w:p>
        </w:tc>
        <w:tc>
          <w:tcPr>
            <w:tcW w:w="0" w:type="auto"/>
            <w:shd w:val="clear" w:color="auto" w:fill="CCEEFF"/>
            <w:tcMar>
              <w:top w:w="30" w:type="dxa"/>
              <w:left w:w="0" w:type="dxa"/>
              <w:bottom w:w="30" w:type="dxa"/>
              <w:right w:w="20" w:type="dxa"/>
            </w:tcMar>
            <w:vAlign w:val="center"/>
            <w:hideMark/>
          </w:tcPr>
          <w:p w14:paraId="4637E8FE" w14:textId="77777777" w:rsidR="00000000" w:rsidRDefault="00405D16">
            <w:pPr>
              <w:spacing w:after="100"/>
              <w:jc w:val="right"/>
              <w:rPr>
                <w:rFonts w:eastAsia="Times New Roman"/>
              </w:rPr>
            </w:pPr>
          </w:p>
        </w:tc>
        <w:tc>
          <w:tcPr>
            <w:tcW w:w="0" w:type="auto"/>
            <w:vAlign w:val="center"/>
            <w:hideMark/>
          </w:tcPr>
          <w:p w14:paraId="69F2218D" w14:textId="77777777" w:rsidR="00000000" w:rsidRDefault="00405D16">
            <w:pPr>
              <w:spacing w:after="100"/>
              <w:jc w:val="right"/>
              <w:rPr>
                <w:rFonts w:eastAsia="Times New Roman"/>
                <w:sz w:val="20"/>
                <w:szCs w:val="20"/>
              </w:rPr>
            </w:pPr>
          </w:p>
        </w:tc>
        <w:tc>
          <w:tcPr>
            <w:tcW w:w="0" w:type="auto"/>
            <w:vAlign w:val="center"/>
            <w:hideMark/>
          </w:tcPr>
          <w:p w14:paraId="08FE10CB" w14:textId="77777777" w:rsidR="00000000" w:rsidRDefault="00405D16">
            <w:pPr>
              <w:spacing w:after="100"/>
              <w:rPr>
                <w:rFonts w:eastAsia="Times New Roman"/>
                <w:sz w:val="20"/>
                <w:szCs w:val="20"/>
              </w:rPr>
            </w:pPr>
          </w:p>
        </w:tc>
        <w:tc>
          <w:tcPr>
            <w:tcW w:w="0" w:type="auto"/>
            <w:gridSpan w:val="3"/>
            <w:vAlign w:val="center"/>
            <w:hideMark/>
          </w:tcPr>
          <w:p w14:paraId="15D6E4CF" w14:textId="77777777" w:rsidR="00000000" w:rsidRDefault="00405D16">
            <w:pPr>
              <w:spacing w:after="100"/>
              <w:rPr>
                <w:rFonts w:eastAsia="Times New Roman"/>
                <w:sz w:val="20"/>
                <w:szCs w:val="20"/>
              </w:rPr>
            </w:pPr>
          </w:p>
        </w:tc>
        <w:tc>
          <w:tcPr>
            <w:tcW w:w="0" w:type="auto"/>
            <w:gridSpan w:val="2"/>
            <w:vAlign w:val="center"/>
            <w:hideMark/>
          </w:tcPr>
          <w:p w14:paraId="7014A15A" w14:textId="77777777" w:rsidR="00000000" w:rsidRDefault="00405D16">
            <w:pPr>
              <w:spacing w:after="100"/>
              <w:rPr>
                <w:rFonts w:eastAsia="Times New Roman"/>
                <w:sz w:val="20"/>
                <w:szCs w:val="20"/>
              </w:rPr>
            </w:pPr>
          </w:p>
        </w:tc>
      </w:tr>
      <w:tr w:rsidR="00405D16" w14:paraId="7E515215" w14:textId="77777777">
        <w:trPr>
          <w:divId w:val="936329312"/>
        </w:trPr>
        <w:tc>
          <w:tcPr>
            <w:tcW w:w="0" w:type="auto"/>
            <w:gridSpan w:val="3"/>
            <w:shd w:val="clear" w:color="auto" w:fill="FFFFFF"/>
            <w:tcMar>
              <w:top w:w="30" w:type="dxa"/>
              <w:left w:w="20" w:type="dxa"/>
              <w:bottom w:w="30" w:type="dxa"/>
              <w:right w:w="20" w:type="dxa"/>
            </w:tcMar>
            <w:vAlign w:val="center"/>
            <w:hideMark/>
          </w:tcPr>
          <w:p w14:paraId="3BCFE3AE" w14:textId="77777777" w:rsidR="00000000" w:rsidRDefault="00405D16">
            <w:pPr>
              <w:spacing w:after="100"/>
              <w:rPr>
                <w:rFonts w:eastAsia="Times New Roman"/>
              </w:rPr>
            </w:pPr>
            <w:r>
              <w:rPr>
                <w:rFonts w:eastAsia="Times New Roman"/>
                <w:color w:val="000000"/>
                <w:sz w:val="18"/>
                <w:szCs w:val="18"/>
              </w:rPr>
              <w:t>Average loans held for investment</w:t>
            </w:r>
          </w:p>
        </w:tc>
        <w:tc>
          <w:tcPr>
            <w:tcW w:w="0" w:type="auto"/>
            <w:gridSpan w:val="3"/>
            <w:shd w:val="clear" w:color="auto" w:fill="FFFFFF"/>
            <w:tcMar>
              <w:top w:w="0" w:type="dxa"/>
              <w:left w:w="20" w:type="dxa"/>
              <w:bottom w:w="0" w:type="dxa"/>
              <w:right w:w="20" w:type="dxa"/>
            </w:tcMar>
            <w:vAlign w:val="center"/>
            <w:hideMark/>
          </w:tcPr>
          <w:p w14:paraId="315E5AAF" w14:textId="77777777" w:rsidR="00000000" w:rsidRDefault="00405D16">
            <w:pPr>
              <w:spacing w:after="100"/>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center"/>
            <w:hideMark/>
          </w:tcPr>
          <w:p w14:paraId="0BC9C890"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center"/>
            <w:hideMark/>
          </w:tcPr>
          <w:p w14:paraId="571FFFBF" w14:textId="77777777" w:rsidR="00000000" w:rsidRDefault="00405D16">
            <w:pPr>
              <w:spacing w:after="100"/>
              <w:jc w:val="right"/>
              <w:rPr>
                <w:rFonts w:eastAsia="Times New Roman"/>
              </w:rPr>
            </w:pPr>
            <w:r>
              <w:rPr>
                <w:rFonts w:eastAsia="Times New Roman"/>
                <w:b/>
                <w:bCs/>
                <w:color w:val="000000"/>
                <w:sz w:val="18"/>
                <w:szCs w:val="18"/>
              </w:rPr>
              <w:t>253,101</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01A32E8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3C0F2F" w14:textId="77777777" w:rsidR="00000000" w:rsidRDefault="00405D1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1F75B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F495D2" w14:textId="77777777" w:rsidR="00000000" w:rsidRDefault="00405D16">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center"/>
            <w:hideMark/>
          </w:tcPr>
          <w:p w14:paraId="7E248209"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center"/>
            <w:hideMark/>
          </w:tcPr>
          <w:p w14:paraId="599D9113" w14:textId="77777777" w:rsidR="00000000" w:rsidRDefault="00405D16">
            <w:pPr>
              <w:spacing w:after="100"/>
              <w:jc w:val="right"/>
              <w:rPr>
                <w:rFonts w:eastAsia="Times New Roman"/>
              </w:rPr>
            </w:pPr>
            <w:r>
              <w:rPr>
                <w:rFonts w:eastAsia="Times New Roman"/>
                <w:color w:val="000000"/>
                <w:sz w:val="18"/>
                <w:szCs w:val="18"/>
              </w:rPr>
              <w:t>249,511 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0CD35ED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EA4F40" w14:textId="77777777" w:rsidR="00000000" w:rsidRDefault="00405D1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EF085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20C7E0" w14:textId="77777777" w:rsidR="00000000" w:rsidRDefault="00405D16">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center"/>
            <w:hideMark/>
          </w:tcPr>
          <w:p w14:paraId="7BA0D262"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center"/>
            <w:hideMark/>
          </w:tcPr>
          <w:p w14:paraId="63B3FD06" w14:textId="77777777" w:rsidR="00000000" w:rsidRDefault="00405D16">
            <w:pPr>
              <w:spacing w:after="100"/>
              <w:jc w:val="right"/>
              <w:rPr>
                <w:rFonts w:eastAsia="Times New Roman"/>
              </w:rPr>
            </w:pPr>
            <w:r>
              <w:rPr>
                <w:rFonts w:eastAsia="Times New Roman"/>
                <w:b/>
                <w:bCs/>
                <w:color w:val="000000"/>
                <w:sz w:val="18"/>
                <w:szCs w:val="18"/>
              </w:rPr>
              <w:t>247,867</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0AFEC01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1C4EA7" w14:textId="77777777" w:rsidR="00000000" w:rsidRDefault="00405D1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02591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21EF27" w14:textId="77777777" w:rsidR="00000000" w:rsidRDefault="00405D16">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center"/>
            <w:hideMark/>
          </w:tcPr>
          <w:p w14:paraId="24E06C6F"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center"/>
            <w:hideMark/>
          </w:tcPr>
          <w:p w14:paraId="50AC99D1" w14:textId="77777777" w:rsidR="00000000" w:rsidRDefault="00405D16">
            <w:pPr>
              <w:spacing w:after="100"/>
              <w:jc w:val="right"/>
              <w:rPr>
                <w:rFonts w:eastAsia="Times New Roman"/>
              </w:rPr>
            </w:pPr>
            <w:r>
              <w:rPr>
                <w:rFonts w:eastAsia="Times New Roman"/>
                <w:color w:val="000000"/>
                <w:sz w:val="18"/>
                <w:szCs w:val="18"/>
              </w:rPr>
              <w:t>255,232 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0895C94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58A221" w14:textId="77777777" w:rsidR="00000000" w:rsidRDefault="00405D1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50C24C" w14:textId="77777777" w:rsidR="00000000" w:rsidRDefault="00405D16">
            <w:pPr>
              <w:spacing w:after="100"/>
              <w:rPr>
                <w:rFonts w:eastAsia="Times New Roman"/>
                <w:sz w:val="20"/>
                <w:szCs w:val="20"/>
              </w:rPr>
            </w:pPr>
          </w:p>
        </w:tc>
        <w:tc>
          <w:tcPr>
            <w:tcW w:w="0" w:type="auto"/>
            <w:vAlign w:val="center"/>
            <w:hideMark/>
          </w:tcPr>
          <w:p w14:paraId="093AD69F" w14:textId="77777777" w:rsidR="00000000" w:rsidRDefault="00405D16">
            <w:pPr>
              <w:spacing w:after="100"/>
              <w:rPr>
                <w:rFonts w:eastAsia="Times New Roman"/>
                <w:sz w:val="20"/>
                <w:szCs w:val="20"/>
              </w:rPr>
            </w:pPr>
          </w:p>
        </w:tc>
        <w:tc>
          <w:tcPr>
            <w:tcW w:w="0" w:type="auto"/>
            <w:vAlign w:val="center"/>
            <w:hideMark/>
          </w:tcPr>
          <w:p w14:paraId="314852A7" w14:textId="77777777" w:rsidR="00000000" w:rsidRDefault="00405D16">
            <w:pPr>
              <w:spacing w:after="100"/>
              <w:rPr>
                <w:rFonts w:eastAsia="Times New Roman"/>
                <w:sz w:val="20"/>
                <w:szCs w:val="20"/>
              </w:rPr>
            </w:pPr>
          </w:p>
        </w:tc>
        <w:tc>
          <w:tcPr>
            <w:tcW w:w="0" w:type="auto"/>
            <w:gridSpan w:val="3"/>
            <w:vAlign w:val="center"/>
            <w:hideMark/>
          </w:tcPr>
          <w:p w14:paraId="3E978FAF" w14:textId="77777777" w:rsidR="00000000" w:rsidRDefault="00405D16">
            <w:pPr>
              <w:spacing w:after="100"/>
              <w:rPr>
                <w:rFonts w:eastAsia="Times New Roman"/>
                <w:sz w:val="20"/>
                <w:szCs w:val="20"/>
              </w:rPr>
            </w:pPr>
          </w:p>
        </w:tc>
        <w:tc>
          <w:tcPr>
            <w:tcW w:w="0" w:type="auto"/>
            <w:gridSpan w:val="2"/>
            <w:vAlign w:val="center"/>
            <w:hideMark/>
          </w:tcPr>
          <w:p w14:paraId="576FFD32" w14:textId="77777777" w:rsidR="00000000" w:rsidRDefault="00405D16">
            <w:pPr>
              <w:spacing w:after="100"/>
              <w:rPr>
                <w:rFonts w:eastAsia="Times New Roman"/>
                <w:sz w:val="20"/>
                <w:szCs w:val="20"/>
              </w:rPr>
            </w:pPr>
          </w:p>
        </w:tc>
      </w:tr>
    </w:tbl>
    <w:p w14:paraId="10C6F78D" w14:textId="77777777" w:rsidR="00000000" w:rsidRDefault="00405D16">
      <w:pPr>
        <w:divId w:val="936329312"/>
        <w:rPr>
          <w:rFonts w:eastAsia="Times New Roman"/>
        </w:rPr>
      </w:pPr>
      <w:r>
        <w:rPr>
          <w:rFonts w:eastAsia="Times New Roman"/>
          <w:color w:val="000000"/>
          <w:sz w:val="20"/>
          <w:szCs w:val="20"/>
        </w:rPr>
        <w:t>__________</w:t>
      </w:r>
    </w:p>
    <w:p w14:paraId="3C13A2E1" w14:textId="77777777" w:rsidR="00000000" w:rsidRDefault="00405D16">
      <w:pPr>
        <w:ind w:hanging="360"/>
        <w:jc w:val="both"/>
        <w:divId w:val="113869285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Net charge-off (recovery) rates a</w:t>
      </w:r>
      <w:r>
        <w:rPr>
          <w:rFonts w:eastAsia="Times New Roman"/>
          <w:color w:val="000000"/>
          <w:sz w:val="16"/>
          <w:szCs w:val="16"/>
        </w:rPr>
        <w:t>re calculated by dividing annualized net charge-offs (recoveries) by average loans held for investment for the period for each loan category.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551768BB" w14:textId="77777777">
        <w:trPr>
          <w:divId w:val="1015692097"/>
          <w:jc w:val="center"/>
        </w:trPr>
        <w:tc>
          <w:tcPr>
            <w:tcW w:w="50" w:type="pct"/>
            <w:vAlign w:val="center"/>
            <w:hideMark/>
          </w:tcPr>
          <w:p w14:paraId="585C7697" w14:textId="77777777" w:rsidR="00000000" w:rsidRDefault="00405D16">
            <w:pPr>
              <w:ind w:hanging="360"/>
              <w:jc w:val="both"/>
              <w:rPr>
                <w:rFonts w:eastAsia="Times New Roman"/>
              </w:rPr>
            </w:pPr>
          </w:p>
        </w:tc>
        <w:tc>
          <w:tcPr>
            <w:tcW w:w="1606" w:type="pct"/>
            <w:vAlign w:val="center"/>
            <w:hideMark/>
          </w:tcPr>
          <w:p w14:paraId="6E3E6B6D" w14:textId="77777777" w:rsidR="00000000" w:rsidRDefault="00405D16">
            <w:pPr>
              <w:spacing w:after="100"/>
              <w:rPr>
                <w:rFonts w:eastAsia="Times New Roman"/>
                <w:sz w:val="20"/>
                <w:szCs w:val="20"/>
              </w:rPr>
            </w:pPr>
          </w:p>
        </w:tc>
        <w:tc>
          <w:tcPr>
            <w:tcW w:w="5" w:type="pct"/>
            <w:vAlign w:val="center"/>
            <w:hideMark/>
          </w:tcPr>
          <w:p w14:paraId="6BAC1601" w14:textId="77777777" w:rsidR="00000000" w:rsidRDefault="00405D16">
            <w:pPr>
              <w:spacing w:after="100"/>
              <w:rPr>
                <w:rFonts w:eastAsia="Times New Roman"/>
                <w:sz w:val="20"/>
                <w:szCs w:val="20"/>
              </w:rPr>
            </w:pPr>
          </w:p>
        </w:tc>
        <w:tc>
          <w:tcPr>
            <w:tcW w:w="50" w:type="pct"/>
            <w:vAlign w:val="center"/>
            <w:hideMark/>
          </w:tcPr>
          <w:p w14:paraId="43D5034C" w14:textId="77777777" w:rsidR="00000000" w:rsidRDefault="00405D16">
            <w:pPr>
              <w:spacing w:after="100"/>
              <w:rPr>
                <w:rFonts w:eastAsia="Times New Roman"/>
                <w:sz w:val="20"/>
                <w:szCs w:val="20"/>
              </w:rPr>
            </w:pPr>
          </w:p>
        </w:tc>
        <w:tc>
          <w:tcPr>
            <w:tcW w:w="1614" w:type="pct"/>
            <w:vAlign w:val="center"/>
            <w:hideMark/>
          </w:tcPr>
          <w:p w14:paraId="5DEC59D7" w14:textId="77777777" w:rsidR="00000000" w:rsidRDefault="00405D16">
            <w:pPr>
              <w:spacing w:after="100"/>
              <w:rPr>
                <w:rFonts w:eastAsia="Times New Roman"/>
                <w:sz w:val="20"/>
                <w:szCs w:val="20"/>
              </w:rPr>
            </w:pPr>
          </w:p>
        </w:tc>
        <w:tc>
          <w:tcPr>
            <w:tcW w:w="5" w:type="pct"/>
            <w:vAlign w:val="center"/>
            <w:hideMark/>
          </w:tcPr>
          <w:p w14:paraId="4F3F8823" w14:textId="77777777" w:rsidR="00000000" w:rsidRDefault="00405D16">
            <w:pPr>
              <w:spacing w:after="100"/>
              <w:rPr>
                <w:rFonts w:eastAsia="Times New Roman"/>
                <w:sz w:val="20"/>
                <w:szCs w:val="20"/>
              </w:rPr>
            </w:pPr>
          </w:p>
        </w:tc>
        <w:tc>
          <w:tcPr>
            <w:tcW w:w="50" w:type="pct"/>
            <w:vAlign w:val="center"/>
            <w:hideMark/>
          </w:tcPr>
          <w:p w14:paraId="53568A4B" w14:textId="77777777" w:rsidR="00000000" w:rsidRDefault="00405D16">
            <w:pPr>
              <w:spacing w:after="100"/>
              <w:rPr>
                <w:rFonts w:eastAsia="Times New Roman"/>
                <w:sz w:val="20"/>
                <w:szCs w:val="20"/>
              </w:rPr>
            </w:pPr>
          </w:p>
        </w:tc>
        <w:tc>
          <w:tcPr>
            <w:tcW w:w="1614" w:type="pct"/>
            <w:vAlign w:val="center"/>
            <w:hideMark/>
          </w:tcPr>
          <w:p w14:paraId="3A044872" w14:textId="77777777" w:rsidR="00000000" w:rsidRDefault="00405D16">
            <w:pPr>
              <w:spacing w:after="100"/>
              <w:rPr>
                <w:rFonts w:eastAsia="Times New Roman"/>
                <w:sz w:val="20"/>
                <w:szCs w:val="20"/>
              </w:rPr>
            </w:pPr>
          </w:p>
        </w:tc>
        <w:tc>
          <w:tcPr>
            <w:tcW w:w="5" w:type="pct"/>
            <w:vAlign w:val="center"/>
            <w:hideMark/>
          </w:tcPr>
          <w:p w14:paraId="515C1827" w14:textId="77777777" w:rsidR="00000000" w:rsidRDefault="00405D16">
            <w:pPr>
              <w:spacing w:after="100"/>
              <w:rPr>
                <w:rFonts w:eastAsia="Times New Roman"/>
                <w:sz w:val="20"/>
                <w:szCs w:val="20"/>
              </w:rPr>
            </w:pPr>
          </w:p>
        </w:tc>
      </w:tr>
      <w:tr w:rsidR="00000000" w14:paraId="3D4B3A4E" w14:textId="77777777">
        <w:trPr>
          <w:divId w:val="1015692097"/>
          <w:trHeight w:val="300"/>
          <w:jc w:val="center"/>
        </w:trPr>
        <w:tc>
          <w:tcPr>
            <w:tcW w:w="0" w:type="auto"/>
            <w:gridSpan w:val="9"/>
            <w:tcMar>
              <w:top w:w="0" w:type="dxa"/>
              <w:left w:w="20" w:type="dxa"/>
              <w:bottom w:w="0" w:type="dxa"/>
              <w:right w:w="20" w:type="dxa"/>
            </w:tcMar>
            <w:vAlign w:val="center"/>
            <w:hideMark/>
          </w:tcPr>
          <w:p w14:paraId="7E19C298" w14:textId="77777777" w:rsidR="00000000" w:rsidRDefault="00405D16">
            <w:pPr>
              <w:spacing w:after="100"/>
              <w:rPr>
                <w:rFonts w:eastAsia="Times New Roman"/>
                <w:sz w:val="20"/>
                <w:szCs w:val="20"/>
              </w:rPr>
            </w:pPr>
          </w:p>
        </w:tc>
      </w:tr>
      <w:tr w:rsidR="00000000" w14:paraId="7FE73FD0" w14:textId="77777777">
        <w:trPr>
          <w:divId w:val="1015692097"/>
          <w:jc w:val="center"/>
        </w:trPr>
        <w:tc>
          <w:tcPr>
            <w:tcW w:w="0" w:type="auto"/>
            <w:gridSpan w:val="3"/>
            <w:tcMar>
              <w:top w:w="0" w:type="dxa"/>
              <w:left w:w="20" w:type="dxa"/>
              <w:bottom w:w="0" w:type="dxa"/>
              <w:right w:w="20" w:type="dxa"/>
            </w:tcMar>
            <w:vAlign w:val="center"/>
            <w:hideMark/>
          </w:tcPr>
          <w:p w14:paraId="0A088A32"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4AA5B10" w14:textId="77777777" w:rsidR="00000000" w:rsidRDefault="00405D16">
            <w:pPr>
              <w:spacing w:after="100"/>
              <w:jc w:val="center"/>
              <w:rPr>
                <w:rFonts w:eastAsia="Times New Roman"/>
              </w:rPr>
            </w:pPr>
            <w:r>
              <w:rPr>
                <w:rFonts w:eastAsia="Times New Roman"/>
                <w:color w:val="000000"/>
                <w:sz w:val="16"/>
                <w:szCs w:val="16"/>
              </w:rPr>
              <w:t>47</w:t>
            </w:r>
          </w:p>
        </w:tc>
        <w:tc>
          <w:tcPr>
            <w:tcW w:w="0" w:type="auto"/>
            <w:gridSpan w:val="3"/>
            <w:tcMar>
              <w:top w:w="30" w:type="dxa"/>
              <w:left w:w="20" w:type="dxa"/>
              <w:bottom w:w="30" w:type="dxa"/>
              <w:right w:w="20" w:type="dxa"/>
            </w:tcMar>
            <w:vAlign w:val="bottom"/>
            <w:hideMark/>
          </w:tcPr>
          <w:p w14:paraId="16741F73"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658801E0" w14:textId="77777777" w:rsidR="00000000" w:rsidRDefault="00405D16">
      <w:pPr>
        <w:rPr>
          <w:rFonts w:eastAsia="Times New Roman"/>
        </w:rPr>
      </w:pPr>
      <w:r>
        <w:rPr>
          <w:rFonts w:eastAsia="Times New Roman"/>
        </w:rPr>
        <w:pict w14:anchorId="453BEE88">
          <v:rect id="_x0000_i1072" style="width:0;height:1.5pt" o:hralign="center" o:hrstd="t" o:hr="t" fillcolor="#a0a0a0" stroked="f"/>
        </w:pict>
      </w:r>
    </w:p>
    <w:p w14:paraId="2DBCDD32" w14:textId="77777777" w:rsidR="00000000" w:rsidRDefault="00405D16">
      <w:pPr>
        <w:ind w:hanging="360"/>
        <w:jc w:val="both"/>
        <w:divId w:val="2092002761"/>
        <w:rPr>
          <w:rFonts w:eastAsia="Times New Roman"/>
        </w:rPr>
      </w:pPr>
      <w:hyperlink w:anchor="idd54a04a485440b4ab4e56094c14d612_13" w:history="1">
        <w:r>
          <w:rPr>
            <w:rStyle w:val="a3"/>
            <w:rFonts w:eastAsia="Times New Roman"/>
            <w:sz w:val="16"/>
            <w:szCs w:val="16"/>
          </w:rPr>
          <w:t>Table of Contents</w:t>
        </w:r>
      </w:hyperlink>
    </w:p>
    <w:p w14:paraId="417E9371" w14:textId="77777777" w:rsidR="00000000" w:rsidRDefault="00405D16">
      <w:pPr>
        <w:divId w:val="628515256"/>
        <w:rPr>
          <w:rFonts w:eastAsia="Times New Roman"/>
        </w:rPr>
      </w:pPr>
      <w:r>
        <w:rPr>
          <w:rFonts w:eastAsia="Times New Roman"/>
          <w:b/>
          <w:bCs/>
          <w:color w:val="000000"/>
          <w:sz w:val="20"/>
          <w:szCs w:val="20"/>
        </w:rPr>
        <w:t>Troubled Debt Restructurings</w:t>
      </w:r>
    </w:p>
    <w:p w14:paraId="2FEB2C72" w14:textId="77777777" w:rsidR="00000000" w:rsidRDefault="00405D16">
      <w:pPr>
        <w:jc w:val="both"/>
        <w:divId w:val="74937257"/>
        <w:rPr>
          <w:rFonts w:eastAsia="Times New Roman"/>
        </w:rPr>
      </w:pPr>
      <w:r>
        <w:rPr>
          <w:rFonts w:eastAsia="Times New Roman"/>
          <w:color w:val="000000"/>
          <w:sz w:val="20"/>
          <w:szCs w:val="20"/>
        </w:rPr>
        <w:t>As part of our loss mitigation efforts, we may provide short-term (three to twelve months) or long-term (greater t</w:t>
      </w:r>
      <w:r>
        <w:rPr>
          <w:rFonts w:eastAsia="Times New Roman"/>
          <w:color w:val="000000"/>
          <w:sz w:val="20"/>
          <w:szCs w:val="20"/>
        </w:rPr>
        <w:t>han twelve months) modifications to a borrower experiencing financial difficulty to improve long-term collectability of the loan and to avoid the need for repossession or foreclosure of collateral.</w:t>
      </w:r>
    </w:p>
    <w:p w14:paraId="6C14D572" w14:textId="77777777" w:rsidR="00000000" w:rsidRDefault="00405D16">
      <w:pPr>
        <w:jc w:val="both"/>
        <w:divId w:val="1173758321"/>
        <w:rPr>
          <w:rFonts w:eastAsia="Times New Roman"/>
        </w:rPr>
      </w:pPr>
      <w:r>
        <w:rPr>
          <w:rFonts w:eastAsia="Times New Roman"/>
          <w:color w:val="000000"/>
          <w:sz w:val="20"/>
          <w:szCs w:val="20"/>
        </w:rPr>
        <w:t>Guidance issued by the Federal Banking Agencies and contai</w:t>
      </w:r>
      <w:r>
        <w:rPr>
          <w:rFonts w:eastAsia="Times New Roman"/>
          <w:color w:val="000000"/>
          <w:sz w:val="20"/>
          <w:szCs w:val="20"/>
        </w:rPr>
        <w:t>ned in the Coronavirus Aid, Relief, and Economic Security Act (the “CARES Act”) provides banking organizations with TDR relief for loan modifications to current borrowers impacted by the COVID-19 pandemic. The majority of enrollments in our COVID-19 progra</w:t>
      </w:r>
      <w:r>
        <w:rPr>
          <w:rFonts w:eastAsia="Times New Roman"/>
          <w:color w:val="000000"/>
          <w:sz w:val="20"/>
          <w:szCs w:val="20"/>
        </w:rPr>
        <w:t>ms through September 30, 2021 would generally not have resulted in TDR classification under our existing policies as the concession granted was insignificant. We consider the impact of all loan modifications, including those classified as TDRs and those of</w:t>
      </w:r>
      <w:r>
        <w:rPr>
          <w:rFonts w:eastAsia="Times New Roman"/>
          <w:color w:val="000000"/>
          <w:sz w:val="20"/>
          <w:szCs w:val="20"/>
        </w:rPr>
        <w:t>fered in response to the COVID-19 pandemic, when estimating the credit quality of our loan portfolio and establishing allowance levels.</w:t>
      </w:r>
    </w:p>
    <w:p w14:paraId="764D73EA" w14:textId="77777777" w:rsidR="00000000" w:rsidRDefault="00405D16">
      <w:pPr>
        <w:jc w:val="both"/>
        <w:divId w:val="2040936243"/>
        <w:rPr>
          <w:rFonts w:eastAsia="Times New Roman"/>
        </w:rPr>
      </w:pPr>
      <w:r>
        <w:rPr>
          <w:rFonts w:eastAsia="Times New Roman"/>
          <w:color w:val="000000"/>
          <w:sz w:val="20"/>
          <w:szCs w:val="20"/>
        </w:rPr>
        <w:t>Table 28 presents our amortized cost of loans modified in TDRs as of September 30, 2021 and December 31, 2020, which exc</w:t>
      </w:r>
      <w:r>
        <w:rPr>
          <w:rFonts w:eastAsia="Times New Roman"/>
          <w:color w:val="000000"/>
          <w:sz w:val="20"/>
          <w:szCs w:val="20"/>
        </w:rPr>
        <w:t>ludes loan modifications that do not meet the definition of a TDR and loans that received relief under the guidance issued by the Federal Banking Agencies and contained in the CARES Act in response to the COVID-19 pandemic.</w:t>
      </w:r>
    </w:p>
    <w:p w14:paraId="1464E1CE" w14:textId="77777777" w:rsidR="00000000" w:rsidRDefault="00405D16">
      <w:pPr>
        <w:divId w:val="904559934"/>
        <w:rPr>
          <w:rFonts w:eastAsia="Times New Roman"/>
        </w:rPr>
      </w:pPr>
      <w:r>
        <w:rPr>
          <w:rFonts w:eastAsia="Times New Roman"/>
          <w:b/>
          <w:bCs/>
          <w:color w:val="000000"/>
          <w:sz w:val="18"/>
          <w:szCs w:val="18"/>
        </w:rPr>
        <w:t>Table 28: Troubled Debt Restruct</w:t>
      </w:r>
      <w:r>
        <w:rPr>
          <w:rFonts w:eastAsia="Times New Roman"/>
          <w:b/>
          <w:bCs/>
          <w:color w:val="000000"/>
          <w:sz w:val="18"/>
          <w:szCs w:val="18"/>
        </w:rPr>
        <w:t>urings</w:t>
      </w:r>
    </w:p>
    <w:tbl>
      <w:tblPr>
        <w:tblW w:w="4992" w:type="pct"/>
        <w:tblCellMar>
          <w:top w:w="15" w:type="dxa"/>
          <w:left w:w="15" w:type="dxa"/>
          <w:bottom w:w="15" w:type="dxa"/>
          <w:right w:w="15" w:type="dxa"/>
        </w:tblCellMar>
        <w:tblLook w:val="04A0" w:firstRow="1" w:lastRow="0" w:firstColumn="1" w:lastColumn="0" w:noHBand="0" w:noVBand="1"/>
      </w:tblPr>
      <w:tblGrid>
        <w:gridCol w:w="41"/>
        <w:gridCol w:w="4089"/>
        <w:gridCol w:w="39"/>
        <w:gridCol w:w="36"/>
        <w:gridCol w:w="36"/>
        <w:gridCol w:w="36"/>
        <w:gridCol w:w="111"/>
        <w:gridCol w:w="539"/>
        <w:gridCol w:w="37"/>
        <w:gridCol w:w="36"/>
        <w:gridCol w:w="36"/>
        <w:gridCol w:w="36"/>
        <w:gridCol w:w="94"/>
        <w:gridCol w:w="880"/>
        <w:gridCol w:w="200"/>
        <w:gridCol w:w="36"/>
        <w:gridCol w:w="36"/>
        <w:gridCol w:w="36"/>
        <w:gridCol w:w="111"/>
        <w:gridCol w:w="539"/>
        <w:gridCol w:w="37"/>
        <w:gridCol w:w="36"/>
        <w:gridCol w:w="36"/>
        <w:gridCol w:w="36"/>
        <w:gridCol w:w="94"/>
        <w:gridCol w:w="880"/>
        <w:gridCol w:w="170"/>
      </w:tblGrid>
      <w:tr w:rsidR="00000000" w14:paraId="3BE3A927" w14:textId="77777777">
        <w:trPr>
          <w:divId w:val="1208295358"/>
        </w:trPr>
        <w:tc>
          <w:tcPr>
            <w:tcW w:w="50" w:type="pct"/>
            <w:vAlign w:val="center"/>
            <w:hideMark/>
          </w:tcPr>
          <w:p w14:paraId="7D3750CF" w14:textId="77777777" w:rsidR="00000000" w:rsidRDefault="00405D16">
            <w:pPr>
              <w:rPr>
                <w:rFonts w:eastAsia="Times New Roman"/>
              </w:rPr>
            </w:pPr>
          </w:p>
        </w:tc>
        <w:tc>
          <w:tcPr>
            <w:tcW w:w="2690" w:type="pct"/>
            <w:vAlign w:val="center"/>
            <w:hideMark/>
          </w:tcPr>
          <w:p w14:paraId="4E23FF26" w14:textId="77777777" w:rsidR="00000000" w:rsidRDefault="00405D16">
            <w:pPr>
              <w:spacing w:after="100"/>
              <w:rPr>
                <w:rFonts w:eastAsia="Times New Roman"/>
                <w:sz w:val="20"/>
                <w:szCs w:val="20"/>
              </w:rPr>
            </w:pPr>
          </w:p>
        </w:tc>
        <w:tc>
          <w:tcPr>
            <w:tcW w:w="5" w:type="pct"/>
            <w:vAlign w:val="center"/>
            <w:hideMark/>
          </w:tcPr>
          <w:p w14:paraId="560028A6" w14:textId="77777777" w:rsidR="00000000" w:rsidRDefault="00405D16">
            <w:pPr>
              <w:spacing w:after="100"/>
              <w:rPr>
                <w:rFonts w:eastAsia="Times New Roman"/>
                <w:sz w:val="20"/>
                <w:szCs w:val="20"/>
              </w:rPr>
            </w:pPr>
          </w:p>
        </w:tc>
        <w:tc>
          <w:tcPr>
            <w:tcW w:w="5" w:type="pct"/>
            <w:vAlign w:val="center"/>
            <w:hideMark/>
          </w:tcPr>
          <w:p w14:paraId="5F244BF5" w14:textId="77777777" w:rsidR="00000000" w:rsidRDefault="00405D16">
            <w:pPr>
              <w:spacing w:after="100"/>
              <w:rPr>
                <w:rFonts w:eastAsia="Times New Roman"/>
                <w:sz w:val="20"/>
                <w:szCs w:val="20"/>
              </w:rPr>
            </w:pPr>
          </w:p>
        </w:tc>
        <w:tc>
          <w:tcPr>
            <w:tcW w:w="26" w:type="pct"/>
            <w:vAlign w:val="center"/>
            <w:hideMark/>
          </w:tcPr>
          <w:p w14:paraId="0E82E62D" w14:textId="77777777" w:rsidR="00000000" w:rsidRDefault="00405D16">
            <w:pPr>
              <w:spacing w:after="100"/>
              <w:rPr>
                <w:rFonts w:eastAsia="Times New Roman"/>
                <w:sz w:val="20"/>
                <w:szCs w:val="20"/>
              </w:rPr>
            </w:pPr>
          </w:p>
        </w:tc>
        <w:tc>
          <w:tcPr>
            <w:tcW w:w="5" w:type="pct"/>
            <w:vAlign w:val="center"/>
            <w:hideMark/>
          </w:tcPr>
          <w:p w14:paraId="4EC4FC9A" w14:textId="77777777" w:rsidR="00000000" w:rsidRDefault="00405D16">
            <w:pPr>
              <w:spacing w:after="100"/>
              <w:rPr>
                <w:rFonts w:eastAsia="Times New Roman"/>
                <w:sz w:val="20"/>
                <w:szCs w:val="20"/>
              </w:rPr>
            </w:pPr>
          </w:p>
        </w:tc>
        <w:tc>
          <w:tcPr>
            <w:tcW w:w="50" w:type="pct"/>
            <w:vAlign w:val="center"/>
            <w:hideMark/>
          </w:tcPr>
          <w:p w14:paraId="761B78E2" w14:textId="77777777" w:rsidR="00000000" w:rsidRDefault="00405D16">
            <w:pPr>
              <w:spacing w:after="100"/>
              <w:rPr>
                <w:rFonts w:eastAsia="Times New Roman"/>
                <w:sz w:val="20"/>
                <w:szCs w:val="20"/>
              </w:rPr>
            </w:pPr>
          </w:p>
        </w:tc>
        <w:tc>
          <w:tcPr>
            <w:tcW w:w="472" w:type="pct"/>
            <w:vAlign w:val="center"/>
            <w:hideMark/>
          </w:tcPr>
          <w:p w14:paraId="16F9673F" w14:textId="77777777" w:rsidR="00000000" w:rsidRDefault="00405D16">
            <w:pPr>
              <w:spacing w:after="100"/>
              <w:rPr>
                <w:rFonts w:eastAsia="Times New Roman"/>
                <w:sz w:val="20"/>
                <w:szCs w:val="20"/>
              </w:rPr>
            </w:pPr>
          </w:p>
        </w:tc>
        <w:tc>
          <w:tcPr>
            <w:tcW w:w="5" w:type="pct"/>
            <w:vAlign w:val="center"/>
            <w:hideMark/>
          </w:tcPr>
          <w:p w14:paraId="78FA9A26" w14:textId="77777777" w:rsidR="00000000" w:rsidRDefault="00405D16">
            <w:pPr>
              <w:spacing w:after="100"/>
              <w:rPr>
                <w:rFonts w:eastAsia="Times New Roman"/>
                <w:sz w:val="20"/>
                <w:szCs w:val="20"/>
              </w:rPr>
            </w:pPr>
          </w:p>
        </w:tc>
        <w:tc>
          <w:tcPr>
            <w:tcW w:w="5" w:type="pct"/>
            <w:vAlign w:val="center"/>
            <w:hideMark/>
          </w:tcPr>
          <w:p w14:paraId="40F8A1D6" w14:textId="77777777" w:rsidR="00000000" w:rsidRDefault="00405D16">
            <w:pPr>
              <w:spacing w:after="100"/>
              <w:rPr>
                <w:rFonts w:eastAsia="Times New Roman"/>
                <w:sz w:val="20"/>
                <w:szCs w:val="20"/>
              </w:rPr>
            </w:pPr>
          </w:p>
        </w:tc>
        <w:tc>
          <w:tcPr>
            <w:tcW w:w="26" w:type="pct"/>
            <w:vAlign w:val="center"/>
            <w:hideMark/>
          </w:tcPr>
          <w:p w14:paraId="1D65564D" w14:textId="77777777" w:rsidR="00000000" w:rsidRDefault="00405D16">
            <w:pPr>
              <w:spacing w:after="100"/>
              <w:rPr>
                <w:rFonts w:eastAsia="Times New Roman"/>
                <w:sz w:val="20"/>
                <w:szCs w:val="20"/>
              </w:rPr>
            </w:pPr>
          </w:p>
        </w:tc>
        <w:tc>
          <w:tcPr>
            <w:tcW w:w="5" w:type="pct"/>
            <w:vAlign w:val="center"/>
            <w:hideMark/>
          </w:tcPr>
          <w:p w14:paraId="53AC8D5B" w14:textId="77777777" w:rsidR="00000000" w:rsidRDefault="00405D16">
            <w:pPr>
              <w:spacing w:after="100"/>
              <w:rPr>
                <w:rFonts w:eastAsia="Times New Roman"/>
                <w:sz w:val="20"/>
                <w:szCs w:val="20"/>
              </w:rPr>
            </w:pPr>
          </w:p>
        </w:tc>
        <w:tc>
          <w:tcPr>
            <w:tcW w:w="50" w:type="pct"/>
            <w:vAlign w:val="center"/>
            <w:hideMark/>
          </w:tcPr>
          <w:p w14:paraId="1DB7BD8B" w14:textId="77777777" w:rsidR="00000000" w:rsidRDefault="00405D16">
            <w:pPr>
              <w:spacing w:after="100"/>
              <w:rPr>
                <w:rFonts w:eastAsia="Times New Roman"/>
                <w:sz w:val="20"/>
                <w:szCs w:val="20"/>
              </w:rPr>
            </w:pPr>
          </w:p>
        </w:tc>
        <w:tc>
          <w:tcPr>
            <w:tcW w:w="472" w:type="pct"/>
            <w:vAlign w:val="center"/>
            <w:hideMark/>
          </w:tcPr>
          <w:p w14:paraId="2CEF3D09" w14:textId="77777777" w:rsidR="00000000" w:rsidRDefault="00405D16">
            <w:pPr>
              <w:spacing w:after="100"/>
              <w:rPr>
                <w:rFonts w:eastAsia="Times New Roman"/>
                <w:sz w:val="20"/>
                <w:szCs w:val="20"/>
              </w:rPr>
            </w:pPr>
          </w:p>
        </w:tc>
        <w:tc>
          <w:tcPr>
            <w:tcW w:w="5" w:type="pct"/>
            <w:vAlign w:val="center"/>
            <w:hideMark/>
          </w:tcPr>
          <w:p w14:paraId="71055D4E" w14:textId="77777777" w:rsidR="00000000" w:rsidRDefault="00405D16">
            <w:pPr>
              <w:spacing w:after="100"/>
              <w:rPr>
                <w:rFonts w:eastAsia="Times New Roman"/>
                <w:sz w:val="20"/>
                <w:szCs w:val="20"/>
              </w:rPr>
            </w:pPr>
          </w:p>
        </w:tc>
        <w:tc>
          <w:tcPr>
            <w:tcW w:w="5" w:type="pct"/>
            <w:vAlign w:val="center"/>
            <w:hideMark/>
          </w:tcPr>
          <w:p w14:paraId="75D96DC6" w14:textId="77777777" w:rsidR="00000000" w:rsidRDefault="00405D16">
            <w:pPr>
              <w:spacing w:after="100"/>
              <w:rPr>
                <w:rFonts w:eastAsia="Times New Roman"/>
                <w:sz w:val="20"/>
                <w:szCs w:val="20"/>
              </w:rPr>
            </w:pPr>
          </w:p>
        </w:tc>
        <w:tc>
          <w:tcPr>
            <w:tcW w:w="26" w:type="pct"/>
            <w:vAlign w:val="center"/>
            <w:hideMark/>
          </w:tcPr>
          <w:p w14:paraId="31552943" w14:textId="77777777" w:rsidR="00000000" w:rsidRDefault="00405D16">
            <w:pPr>
              <w:spacing w:after="100"/>
              <w:rPr>
                <w:rFonts w:eastAsia="Times New Roman"/>
                <w:sz w:val="20"/>
                <w:szCs w:val="20"/>
              </w:rPr>
            </w:pPr>
          </w:p>
        </w:tc>
        <w:tc>
          <w:tcPr>
            <w:tcW w:w="5" w:type="pct"/>
            <w:vAlign w:val="center"/>
            <w:hideMark/>
          </w:tcPr>
          <w:p w14:paraId="2B1CAB36" w14:textId="77777777" w:rsidR="00000000" w:rsidRDefault="00405D16">
            <w:pPr>
              <w:spacing w:after="100"/>
              <w:rPr>
                <w:rFonts w:eastAsia="Times New Roman"/>
                <w:sz w:val="20"/>
                <w:szCs w:val="20"/>
              </w:rPr>
            </w:pPr>
          </w:p>
        </w:tc>
        <w:tc>
          <w:tcPr>
            <w:tcW w:w="50" w:type="pct"/>
            <w:vAlign w:val="center"/>
            <w:hideMark/>
          </w:tcPr>
          <w:p w14:paraId="05E0EF1E" w14:textId="77777777" w:rsidR="00000000" w:rsidRDefault="00405D16">
            <w:pPr>
              <w:spacing w:after="100"/>
              <w:rPr>
                <w:rFonts w:eastAsia="Times New Roman"/>
                <w:sz w:val="20"/>
                <w:szCs w:val="20"/>
              </w:rPr>
            </w:pPr>
          </w:p>
        </w:tc>
        <w:tc>
          <w:tcPr>
            <w:tcW w:w="472" w:type="pct"/>
            <w:vAlign w:val="center"/>
            <w:hideMark/>
          </w:tcPr>
          <w:p w14:paraId="214203BA" w14:textId="77777777" w:rsidR="00000000" w:rsidRDefault="00405D16">
            <w:pPr>
              <w:spacing w:after="100"/>
              <w:rPr>
                <w:rFonts w:eastAsia="Times New Roman"/>
                <w:sz w:val="20"/>
                <w:szCs w:val="20"/>
              </w:rPr>
            </w:pPr>
          </w:p>
        </w:tc>
        <w:tc>
          <w:tcPr>
            <w:tcW w:w="5" w:type="pct"/>
            <w:vAlign w:val="center"/>
            <w:hideMark/>
          </w:tcPr>
          <w:p w14:paraId="7C95C863" w14:textId="77777777" w:rsidR="00000000" w:rsidRDefault="00405D16">
            <w:pPr>
              <w:spacing w:after="100"/>
              <w:rPr>
                <w:rFonts w:eastAsia="Times New Roman"/>
                <w:sz w:val="20"/>
                <w:szCs w:val="20"/>
              </w:rPr>
            </w:pPr>
          </w:p>
        </w:tc>
        <w:tc>
          <w:tcPr>
            <w:tcW w:w="5" w:type="pct"/>
            <w:vAlign w:val="center"/>
            <w:hideMark/>
          </w:tcPr>
          <w:p w14:paraId="19358BA8" w14:textId="77777777" w:rsidR="00000000" w:rsidRDefault="00405D16">
            <w:pPr>
              <w:spacing w:after="100"/>
              <w:rPr>
                <w:rFonts w:eastAsia="Times New Roman"/>
                <w:sz w:val="20"/>
                <w:szCs w:val="20"/>
              </w:rPr>
            </w:pPr>
          </w:p>
        </w:tc>
        <w:tc>
          <w:tcPr>
            <w:tcW w:w="26" w:type="pct"/>
            <w:vAlign w:val="center"/>
            <w:hideMark/>
          </w:tcPr>
          <w:p w14:paraId="363B7217" w14:textId="77777777" w:rsidR="00000000" w:rsidRDefault="00405D16">
            <w:pPr>
              <w:spacing w:after="100"/>
              <w:rPr>
                <w:rFonts w:eastAsia="Times New Roman"/>
                <w:sz w:val="20"/>
                <w:szCs w:val="20"/>
              </w:rPr>
            </w:pPr>
          </w:p>
        </w:tc>
        <w:tc>
          <w:tcPr>
            <w:tcW w:w="5" w:type="pct"/>
            <w:vAlign w:val="center"/>
            <w:hideMark/>
          </w:tcPr>
          <w:p w14:paraId="2194AFD4" w14:textId="77777777" w:rsidR="00000000" w:rsidRDefault="00405D16">
            <w:pPr>
              <w:spacing w:after="100"/>
              <w:rPr>
                <w:rFonts w:eastAsia="Times New Roman"/>
                <w:sz w:val="20"/>
                <w:szCs w:val="20"/>
              </w:rPr>
            </w:pPr>
          </w:p>
        </w:tc>
        <w:tc>
          <w:tcPr>
            <w:tcW w:w="50" w:type="pct"/>
            <w:vAlign w:val="center"/>
            <w:hideMark/>
          </w:tcPr>
          <w:p w14:paraId="602A18D4" w14:textId="77777777" w:rsidR="00000000" w:rsidRDefault="00405D16">
            <w:pPr>
              <w:spacing w:after="100"/>
              <w:rPr>
                <w:rFonts w:eastAsia="Times New Roman"/>
                <w:sz w:val="20"/>
                <w:szCs w:val="20"/>
              </w:rPr>
            </w:pPr>
          </w:p>
        </w:tc>
        <w:tc>
          <w:tcPr>
            <w:tcW w:w="472" w:type="pct"/>
            <w:vAlign w:val="center"/>
            <w:hideMark/>
          </w:tcPr>
          <w:p w14:paraId="4A075B6D" w14:textId="77777777" w:rsidR="00000000" w:rsidRDefault="00405D16">
            <w:pPr>
              <w:spacing w:after="100"/>
              <w:rPr>
                <w:rFonts w:eastAsia="Times New Roman"/>
                <w:sz w:val="20"/>
                <w:szCs w:val="20"/>
              </w:rPr>
            </w:pPr>
          </w:p>
        </w:tc>
        <w:tc>
          <w:tcPr>
            <w:tcW w:w="5" w:type="pct"/>
            <w:vAlign w:val="center"/>
            <w:hideMark/>
          </w:tcPr>
          <w:p w14:paraId="174B3958" w14:textId="77777777" w:rsidR="00000000" w:rsidRDefault="00405D16">
            <w:pPr>
              <w:spacing w:after="100"/>
              <w:rPr>
                <w:rFonts w:eastAsia="Times New Roman"/>
                <w:sz w:val="20"/>
                <w:szCs w:val="20"/>
              </w:rPr>
            </w:pPr>
          </w:p>
        </w:tc>
      </w:tr>
      <w:tr w:rsidR="00000000" w14:paraId="3336EDD3" w14:textId="77777777">
        <w:trPr>
          <w:divId w:val="1208295358"/>
        </w:trPr>
        <w:tc>
          <w:tcPr>
            <w:tcW w:w="0" w:type="auto"/>
            <w:gridSpan w:val="3"/>
            <w:tcMar>
              <w:top w:w="30" w:type="dxa"/>
              <w:left w:w="245" w:type="dxa"/>
              <w:bottom w:w="30" w:type="dxa"/>
              <w:right w:w="20" w:type="dxa"/>
            </w:tcMar>
            <w:vAlign w:val="center"/>
            <w:hideMark/>
          </w:tcPr>
          <w:p w14:paraId="27DD223F"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977A5FF" w14:textId="77777777" w:rsidR="00000000" w:rsidRDefault="00405D16">
            <w:pPr>
              <w:spacing w:after="100"/>
              <w:rPr>
                <w:rFonts w:eastAsia="Times New Roman"/>
              </w:rPr>
            </w:pPr>
          </w:p>
        </w:tc>
        <w:tc>
          <w:tcPr>
            <w:tcW w:w="0" w:type="auto"/>
            <w:gridSpan w:val="9"/>
            <w:tcMar>
              <w:top w:w="30" w:type="dxa"/>
              <w:left w:w="20" w:type="dxa"/>
              <w:bottom w:w="30" w:type="dxa"/>
              <w:right w:w="20" w:type="dxa"/>
            </w:tcMar>
            <w:vAlign w:val="center"/>
            <w:hideMark/>
          </w:tcPr>
          <w:p w14:paraId="2E28230C" w14:textId="77777777" w:rsidR="00000000" w:rsidRDefault="00405D16">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14:paraId="54D53D0E" w14:textId="77777777" w:rsidR="00000000" w:rsidRDefault="00405D16">
            <w:pPr>
              <w:spacing w:after="100"/>
              <w:jc w:val="center"/>
              <w:rPr>
                <w:rFonts w:eastAsia="Times New Roman"/>
              </w:rPr>
            </w:pPr>
          </w:p>
        </w:tc>
        <w:tc>
          <w:tcPr>
            <w:tcW w:w="0" w:type="auto"/>
            <w:gridSpan w:val="9"/>
            <w:tcMar>
              <w:top w:w="30" w:type="dxa"/>
              <w:left w:w="20" w:type="dxa"/>
              <w:bottom w:w="30" w:type="dxa"/>
              <w:right w:w="20" w:type="dxa"/>
            </w:tcMar>
            <w:vAlign w:val="center"/>
            <w:hideMark/>
          </w:tcPr>
          <w:p w14:paraId="139416AF" w14:textId="77777777" w:rsidR="00000000" w:rsidRDefault="00405D16">
            <w:pPr>
              <w:spacing w:after="100"/>
              <w:jc w:val="center"/>
              <w:rPr>
                <w:rFonts w:eastAsia="Times New Roman"/>
              </w:rPr>
            </w:pPr>
            <w:r>
              <w:rPr>
                <w:rFonts w:eastAsia="Times New Roman"/>
                <w:b/>
                <w:bCs/>
                <w:color w:val="000000"/>
                <w:sz w:val="16"/>
                <w:szCs w:val="16"/>
              </w:rPr>
              <w:t>December 31, 2020</w:t>
            </w:r>
          </w:p>
        </w:tc>
      </w:tr>
      <w:tr w:rsidR="00000000" w14:paraId="046AE766" w14:textId="77777777">
        <w:trPr>
          <w:divId w:val="1208295358"/>
        </w:trPr>
        <w:tc>
          <w:tcPr>
            <w:tcW w:w="0" w:type="auto"/>
            <w:gridSpan w:val="3"/>
            <w:tcMar>
              <w:top w:w="30" w:type="dxa"/>
              <w:left w:w="20" w:type="dxa"/>
              <w:bottom w:w="30" w:type="dxa"/>
              <w:right w:w="20" w:type="dxa"/>
            </w:tcMar>
            <w:vAlign w:val="bottom"/>
            <w:hideMark/>
          </w:tcPr>
          <w:p w14:paraId="5D4E7E9C"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275C010A"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FA0925C" w14:textId="77777777" w:rsidR="00000000" w:rsidRDefault="00405D16">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14:paraId="1E1B8FF7"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26EC795" w14:textId="77777777" w:rsidR="00000000" w:rsidRDefault="00405D16">
            <w:pPr>
              <w:spacing w:after="100"/>
              <w:jc w:val="center"/>
              <w:rPr>
                <w:rFonts w:eastAsia="Times New Roman"/>
              </w:rPr>
            </w:pPr>
            <w:r>
              <w:rPr>
                <w:rFonts w:eastAsia="Times New Roman"/>
                <w:b/>
                <w:bCs/>
                <w:color w:val="000000"/>
                <w:sz w:val="16"/>
                <w:szCs w:val="16"/>
              </w:rPr>
              <w:t>% of Total Modifications</w:t>
            </w:r>
          </w:p>
        </w:tc>
        <w:tc>
          <w:tcPr>
            <w:tcW w:w="0" w:type="auto"/>
            <w:gridSpan w:val="3"/>
            <w:tcMar>
              <w:top w:w="0" w:type="dxa"/>
              <w:left w:w="20" w:type="dxa"/>
              <w:bottom w:w="0" w:type="dxa"/>
              <w:right w:w="20" w:type="dxa"/>
            </w:tcMar>
            <w:vAlign w:val="center"/>
            <w:hideMark/>
          </w:tcPr>
          <w:p w14:paraId="0EEB523C"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4BE76A0" w14:textId="77777777" w:rsidR="00000000" w:rsidRDefault="00405D16">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14:paraId="49D9C61F"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2925F9D" w14:textId="77777777" w:rsidR="00000000" w:rsidRDefault="00405D16">
            <w:pPr>
              <w:spacing w:after="100"/>
              <w:jc w:val="center"/>
              <w:rPr>
                <w:rFonts w:eastAsia="Times New Roman"/>
              </w:rPr>
            </w:pPr>
            <w:r>
              <w:rPr>
                <w:rFonts w:eastAsia="Times New Roman"/>
                <w:b/>
                <w:bCs/>
                <w:color w:val="000000"/>
                <w:sz w:val="16"/>
                <w:szCs w:val="16"/>
              </w:rPr>
              <w:t>% of Total Modifications</w:t>
            </w:r>
          </w:p>
        </w:tc>
      </w:tr>
      <w:tr w:rsidR="00000000" w14:paraId="06D7D60F" w14:textId="77777777">
        <w:trPr>
          <w:divId w:val="120829535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43BF3F9" w14:textId="77777777" w:rsidR="00000000" w:rsidRDefault="00405D16">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14:paraId="5B0B489C"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AED688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CF02E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0AFB3F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989061"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AE7BE2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775069"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754AF59" w14:textId="77777777" w:rsidR="00000000" w:rsidRDefault="00405D16">
            <w:pPr>
              <w:spacing w:after="100"/>
              <w:rPr>
                <w:rFonts w:eastAsia="Times New Roman"/>
                <w:sz w:val="20"/>
                <w:szCs w:val="20"/>
              </w:rPr>
            </w:pPr>
          </w:p>
        </w:tc>
      </w:tr>
      <w:tr w:rsidR="00000000" w14:paraId="335FFB86" w14:textId="77777777">
        <w:trPr>
          <w:divId w:val="1208295358"/>
        </w:trPr>
        <w:tc>
          <w:tcPr>
            <w:tcW w:w="0" w:type="auto"/>
            <w:gridSpan w:val="3"/>
            <w:shd w:val="clear" w:color="auto" w:fill="FFFFFF"/>
            <w:tcMar>
              <w:top w:w="30" w:type="dxa"/>
              <w:left w:w="245" w:type="dxa"/>
              <w:bottom w:w="30" w:type="dxa"/>
              <w:right w:w="20" w:type="dxa"/>
            </w:tcMar>
            <w:vAlign w:val="bottom"/>
            <w:hideMark/>
          </w:tcPr>
          <w:p w14:paraId="213BA025" w14:textId="77777777" w:rsidR="00000000" w:rsidRDefault="00405D16">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14:paraId="077B62BE"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2387C873"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2B21AAD0" w14:textId="77777777" w:rsidR="00000000" w:rsidRDefault="00405D16">
            <w:pPr>
              <w:spacing w:after="100"/>
              <w:jc w:val="right"/>
              <w:rPr>
                <w:rFonts w:eastAsia="Times New Roman"/>
              </w:rPr>
            </w:pPr>
            <w:r>
              <w:rPr>
                <w:rFonts w:eastAsia="Times New Roman"/>
                <w:b/>
                <w:bCs/>
                <w:color w:val="000000"/>
                <w:sz w:val="18"/>
                <w:szCs w:val="18"/>
              </w:rPr>
              <w:t>412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5A2A88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28416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F60BCCA" w14:textId="77777777" w:rsidR="00000000" w:rsidRDefault="00405D16">
            <w:pPr>
              <w:spacing w:after="100"/>
              <w:jc w:val="right"/>
              <w:rPr>
                <w:rFonts w:eastAsia="Times New Roman"/>
              </w:rPr>
            </w:pPr>
            <w:r>
              <w:rPr>
                <w:rFonts w:eastAsia="Times New Roman"/>
                <w:b/>
                <w:bCs/>
                <w:color w:val="000000"/>
                <w:sz w:val="18"/>
                <w:szCs w:val="18"/>
              </w:rPr>
              <w:t>24.2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D378513"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5F8EEC4" w14:textId="77777777" w:rsidR="00000000" w:rsidRDefault="00405D16">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09EC85E9"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51D9F1AB" w14:textId="77777777" w:rsidR="00000000" w:rsidRDefault="00405D16">
            <w:pPr>
              <w:spacing w:after="100"/>
              <w:jc w:val="right"/>
              <w:rPr>
                <w:rFonts w:eastAsia="Times New Roman"/>
              </w:rPr>
            </w:pPr>
            <w:r>
              <w:rPr>
                <w:rFonts w:eastAsia="Times New Roman"/>
                <w:color w:val="000000"/>
                <w:sz w:val="18"/>
                <w:szCs w:val="18"/>
              </w:rPr>
              <w:t>511 </w:t>
            </w:r>
          </w:p>
        </w:tc>
        <w:tc>
          <w:tcPr>
            <w:tcW w:w="0" w:type="auto"/>
            <w:shd w:val="clear" w:color="auto" w:fill="FFFFFF"/>
            <w:tcMar>
              <w:top w:w="30" w:type="dxa"/>
              <w:left w:w="0" w:type="dxa"/>
              <w:bottom w:w="30" w:type="dxa"/>
              <w:right w:w="20" w:type="dxa"/>
            </w:tcMar>
            <w:vAlign w:val="center"/>
            <w:hideMark/>
          </w:tcPr>
          <w:p w14:paraId="3119058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F63F7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CEEC61A" w14:textId="77777777" w:rsidR="00000000" w:rsidRDefault="00405D16">
            <w:pPr>
              <w:spacing w:after="100"/>
              <w:jc w:val="right"/>
              <w:rPr>
                <w:rFonts w:eastAsia="Times New Roman"/>
              </w:rPr>
            </w:pPr>
            <w:r>
              <w:rPr>
                <w:rFonts w:eastAsia="Times New Roman"/>
                <w:color w:val="000000"/>
                <w:sz w:val="18"/>
                <w:szCs w:val="18"/>
              </w:rPr>
              <w:t>24.5 </w:t>
            </w:r>
          </w:p>
        </w:tc>
        <w:tc>
          <w:tcPr>
            <w:tcW w:w="0" w:type="auto"/>
            <w:shd w:val="clear" w:color="auto" w:fill="FFFFFF"/>
            <w:tcMar>
              <w:top w:w="30" w:type="dxa"/>
              <w:left w:w="0" w:type="dxa"/>
              <w:bottom w:w="30" w:type="dxa"/>
              <w:right w:w="20" w:type="dxa"/>
            </w:tcMar>
            <w:vAlign w:val="center"/>
            <w:hideMark/>
          </w:tcPr>
          <w:p w14:paraId="5F329A8D" w14:textId="77777777" w:rsidR="00000000" w:rsidRDefault="00405D16">
            <w:pPr>
              <w:spacing w:after="100"/>
              <w:jc w:val="right"/>
              <w:rPr>
                <w:rFonts w:eastAsia="Times New Roman"/>
              </w:rPr>
            </w:pPr>
            <w:r>
              <w:rPr>
                <w:rFonts w:eastAsia="Times New Roman"/>
                <w:color w:val="000000"/>
                <w:sz w:val="18"/>
                <w:szCs w:val="18"/>
              </w:rPr>
              <w:t>%</w:t>
            </w:r>
          </w:p>
        </w:tc>
      </w:tr>
      <w:tr w:rsidR="00000000" w14:paraId="492D5F23" w14:textId="77777777">
        <w:trPr>
          <w:divId w:val="1208295358"/>
        </w:trPr>
        <w:tc>
          <w:tcPr>
            <w:tcW w:w="0" w:type="auto"/>
            <w:gridSpan w:val="3"/>
            <w:shd w:val="clear" w:color="auto" w:fill="CCEEFF"/>
            <w:tcMar>
              <w:top w:w="30" w:type="dxa"/>
              <w:left w:w="245" w:type="dxa"/>
              <w:bottom w:w="30" w:type="dxa"/>
              <w:right w:w="20" w:type="dxa"/>
            </w:tcMar>
            <w:vAlign w:val="bottom"/>
            <w:hideMark/>
          </w:tcPr>
          <w:p w14:paraId="04411787" w14:textId="77777777" w:rsidR="00000000" w:rsidRDefault="00405D16">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14:paraId="50305355"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8F9D40B" w14:textId="77777777" w:rsidR="00000000" w:rsidRDefault="00405D16">
            <w:pPr>
              <w:spacing w:after="100"/>
              <w:jc w:val="right"/>
              <w:rPr>
                <w:rFonts w:eastAsia="Times New Roman"/>
              </w:rPr>
            </w:pPr>
            <w:r>
              <w:rPr>
                <w:rFonts w:eastAsia="Times New Roman"/>
                <w:b/>
                <w:bCs/>
                <w:color w:val="000000"/>
                <w:sz w:val="18"/>
                <w:szCs w:val="18"/>
              </w:rPr>
              <w:t>179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348A6F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3A9DC3"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54C30C9E" w14:textId="77777777" w:rsidR="00000000" w:rsidRDefault="00405D16">
            <w:pPr>
              <w:spacing w:after="100"/>
              <w:jc w:val="right"/>
              <w:rPr>
                <w:rFonts w:eastAsia="Times New Roman"/>
              </w:rPr>
            </w:pPr>
            <w:r>
              <w:rPr>
                <w:rFonts w:eastAsia="Times New Roman"/>
                <w:b/>
                <w:bCs/>
                <w:color w:val="000000"/>
                <w:sz w:val="18"/>
                <w:szCs w:val="18"/>
              </w:rPr>
              <w:t>10.5</w:t>
            </w:r>
          </w:p>
        </w:tc>
        <w:tc>
          <w:tcPr>
            <w:tcW w:w="0" w:type="auto"/>
            <w:gridSpan w:val="3"/>
            <w:shd w:val="clear" w:color="auto" w:fill="CCEEFF"/>
            <w:tcMar>
              <w:top w:w="0" w:type="dxa"/>
              <w:left w:w="20" w:type="dxa"/>
              <w:bottom w:w="0" w:type="dxa"/>
              <w:right w:w="20" w:type="dxa"/>
            </w:tcMar>
            <w:vAlign w:val="center"/>
            <w:hideMark/>
          </w:tcPr>
          <w:p w14:paraId="59C7EDE0"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5FD9A77" w14:textId="77777777" w:rsidR="00000000" w:rsidRDefault="00405D16">
            <w:pPr>
              <w:spacing w:after="100"/>
              <w:jc w:val="right"/>
              <w:rPr>
                <w:rFonts w:eastAsia="Times New Roman"/>
              </w:rPr>
            </w:pPr>
            <w:r>
              <w:rPr>
                <w:rFonts w:eastAsia="Times New Roman"/>
                <w:color w:val="000000"/>
                <w:sz w:val="18"/>
                <w:szCs w:val="18"/>
              </w:rPr>
              <w:t>217 </w:t>
            </w:r>
          </w:p>
        </w:tc>
        <w:tc>
          <w:tcPr>
            <w:tcW w:w="0" w:type="auto"/>
            <w:shd w:val="clear" w:color="auto" w:fill="CCEEFF"/>
            <w:tcMar>
              <w:top w:w="30" w:type="dxa"/>
              <w:left w:w="0" w:type="dxa"/>
              <w:bottom w:w="30" w:type="dxa"/>
              <w:right w:w="20" w:type="dxa"/>
            </w:tcMar>
            <w:vAlign w:val="center"/>
            <w:hideMark/>
          </w:tcPr>
          <w:p w14:paraId="4D1BBD3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37D09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449D4E5" w14:textId="77777777" w:rsidR="00000000" w:rsidRDefault="00405D16">
            <w:pPr>
              <w:spacing w:after="100"/>
              <w:jc w:val="right"/>
              <w:rPr>
                <w:rFonts w:eastAsia="Times New Roman"/>
              </w:rPr>
            </w:pPr>
            <w:r>
              <w:rPr>
                <w:rFonts w:eastAsia="Times New Roman"/>
                <w:color w:val="000000"/>
                <w:sz w:val="18"/>
                <w:szCs w:val="18"/>
              </w:rPr>
              <w:t>10.4 </w:t>
            </w:r>
          </w:p>
        </w:tc>
        <w:tc>
          <w:tcPr>
            <w:tcW w:w="0" w:type="auto"/>
            <w:shd w:val="clear" w:color="auto" w:fill="CCEEFF"/>
            <w:tcMar>
              <w:top w:w="30" w:type="dxa"/>
              <w:left w:w="0" w:type="dxa"/>
              <w:bottom w:w="30" w:type="dxa"/>
              <w:right w:w="20" w:type="dxa"/>
            </w:tcMar>
            <w:vAlign w:val="center"/>
            <w:hideMark/>
          </w:tcPr>
          <w:p w14:paraId="5F793D31" w14:textId="77777777" w:rsidR="00000000" w:rsidRDefault="00405D16">
            <w:pPr>
              <w:spacing w:after="100"/>
              <w:jc w:val="right"/>
              <w:rPr>
                <w:rFonts w:eastAsia="Times New Roman"/>
              </w:rPr>
            </w:pPr>
          </w:p>
        </w:tc>
      </w:tr>
      <w:tr w:rsidR="00000000" w14:paraId="306FF807" w14:textId="77777777">
        <w:trPr>
          <w:divId w:val="1208295358"/>
        </w:trPr>
        <w:tc>
          <w:tcPr>
            <w:tcW w:w="0" w:type="auto"/>
            <w:gridSpan w:val="3"/>
            <w:shd w:val="clear" w:color="auto" w:fill="FFFFFF"/>
            <w:tcMar>
              <w:top w:w="30" w:type="dxa"/>
              <w:left w:w="20" w:type="dxa"/>
              <w:bottom w:w="30" w:type="dxa"/>
              <w:right w:w="20" w:type="dxa"/>
            </w:tcMar>
            <w:vAlign w:val="bottom"/>
            <w:hideMark/>
          </w:tcPr>
          <w:p w14:paraId="6CA78F7D" w14:textId="77777777" w:rsidR="00000000" w:rsidRDefault="00405D16">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14:paraId="73389D14"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DEEED0B" w14:textId="77777777" w:rsidR="00000000" w:rsidRDefault="00405D16">
            <w:pPr>
              <w:spacing w:after="100"/>
              <w:jc w:val="right"/>
              <w:rPr>
                <w:rFonts w:eastAsia="Times New Roman"/>
              </w:rPr>
            </w:pPr>
            <w:r>
              <w:rPr>
                <w:rFonts w:eastAsia="Times New Roman"/>
                <w:b/>
                <w:bCs/>
                <w:color w:val="000000"/>
                <w:sz w:val="18"/>
                <w:szCs w:val="18"/>
              </w:rPr>
              <w:t>591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208A4A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A246FC" w14:textId="77777777" w:rsidR="00000000" w:rsidRDefault="00405D16">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60" w:type="dxa"/>
            </w:tcMar>
            <w:vAlign w:val="center"/>
            <w:hideMark/>
          </w:tcPr>
          <w:p w14:paraId="3C89E59F" w14:textId="77777777" w:rsidR="00000000" w:rsidRDefault="00405D16">
            <w:pPr>
              <w:spacing w:after="100"/>
              <w:jc w:val="right"/>
              <w:rPr>
                <w:rFonts w:eastAsia="Times New Roman"/>
              </w:rPr>
            </w:pPr>
            <w:r>
              <w:rPr>
                <w:rFonts w:eastAsia="Times New Roman"/>
                <w:b/>
                <w:bCs/>
                <w:color w:val="000000"/>
                <w:sz w:val="18"/>
                <w:szCs w:val="18"/>
              </w:rPr>
              <w:t>34.7</w:t>
            </w:r>
          </w:p>
        </w:tc>
        <w:tc>
          <w:tcPr>
            <w:tcW w:w="0" w:type="auto"/>
            <w:gridSpan w:val="3"/>
            <w:shd w:val="clear" w:color="auto" w:fill="FFFFFF"/>
            <w:tcMar>
              <w:top w:w="0" w:type="dxa"/>
              <w:left w:w="20" w:type="dxa"/>
              <w:bottom w:w="0" w:type="dxa"/>
              <w:right w:w="20" w:type="dxa"/>
            </w:tcMar>
            <w:vAlign w:val="center"/>
            <w:hideMark/>
          </w:tcPr>
          <w:p w14:paraId="113AE7D2" w14:textId="77777777" w:rsidR="00000000" w:rsidRDefault="00405D16">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BDC1BB6" w14:textId="77777777" w:rsidR="00000000" w:rsidRDefault="00405D16">
            <w:pPr>
              <w:spacing w:after="100"/>
              <w:jc w:val="right"/>
              <w:rPr>
                <w:rFonts w:eastAsia="Times New Roman"/>
              </w:rPr>
            </w:pPr>
            <w:r>
              <w:rPr>
                <w:rFonts w:eastAsia="Times New Roman"/>
                <w:color w:val="000000"/>
                <w:sz w:val="18"/>
                <w:szCs w:val="18"/>
              </w:rPr>
              <w:t>728 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61FE65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D46D8C"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07B7AD0" w14:textId="77777777" w:rsidR="00000000" w:rsidRDefault="00405D16">
            <w:pPr>
              <w:spacing w:after="100"/>
              <w:jc w:val="right"/>
              <w:rPr>
                <w:rFonts w:eastAsia="Times New Roman"/>
              </w:rPr>
            </w:pPr>
            <w:r>
              <w:rPr>
                <w:rFonts w:eastAsia="Times New Roman"/>
                <w:color w:val="000000"/>
                <w:sz w:val="18"/>
                <w:szCs w:val="18"/>
              </w:rPr>
              <w:t>34.9 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C234738" w14:textId="77777777" w:rsidR="00000000" w:rsidRDefault="00405D16">
            <w:pPr>
              <w:spacing w:after="100"/>
              <w:jc w:val="right"/>
              <w:rPr>
                <w:rFonts w:eastAsia="Times New Roman"/>
              </w:rPr>
            </w:pPr>
          </w:p>
        </w:tc>
      </w:tr>
      <w:tr w:rsidR="00000000" w14:paraId="15E8E53B" w14:textId="77777777">
        <w:trPr>
          <w:divId w:val="1208295358"/>
        </w:trPr>
        <w:tc>
          <w:tcPr>
            <w:tcW w:w="0" w:type="auto"/>
            <w:gridSpan w:val="3"/>
            <w:shd w:val="clear" w:color="auto" w:fill="CCEEFF"/>
            <w:tcMar>
              <w:top w:w="30" w:type="dxa"/>
              <w:left w:w="20" w:type="dxa"/>
              <w:bottom w:w="30" w:type="dxa"/>
              <w:right w:w="20" w:type="dxa"/>
            </w:tcMar>
            <w:vAlign w:val="center"/>
            <w:hideMark/>
          </w:tcPr>
          <w:p w14:paraId="528ADF5C" w14:textId="77777777" w:rsidR="00000000" w:rsidRDefault="00405D16">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14:paraId="34A7BCD1"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203631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FD0F91"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54B1FF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153A8B"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F739FB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C40D2B"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93A1FF6" w14:textId="77777777" w:rsidR="00000000" w:rsidRDefault="00405D16">
            <w:pPr>
              <w:spacing w:after="100"/>
              <w:rPr>
                <w:rFonts w:eastAsia="Times New Roman"/>
                <w:sz w:val="20"/>
                <w:szCs w:val="20"/>
              </w:rPr>
            </w:pPr>
          </w:p>
        </w:tc>
      </w:tr>
      <w:tr w:rsidR="00000000" w14:paraId="26A8DAE0" w14:textId="77777777">
        <w:trPr>
          <w:divId w:val="1208295358"/>
        </w:trPr>
        <w:tc>
          <w:tcPr>
            <w:tcW w:w="0" w:type="auto"/>
            <w:gridSpan w:val="3"/>
            <w:shd w:val="clear" w:color="auto" w:fill="FFFFFF"/>
            <w:tcMar>
              <w:top w:w="30" w:type="dxa"/>
              <w:left w:w="245" w:type="dxa"/>
              <w:bottom w:w="30" w:type="dxa"/>
              <w:right w:w="20" w:type="dxa"/>
            </w:tcMar>
            <w:vAlign w:val="center"/>
            <w:hideMark/>
          </w:tcPr>
          <w:p w14:paraId="22AEB924" w14:textId="77777777" w:rsidR="00000000" w:rsidRDefault="00405D16">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14:paraId="2401501A"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16ACDDC" w14:textId="77777777" w:rsidR="00000000" w:rsidRDefault="00405D16">
            <w:pPr>
              <w:spacing w:after="100"/>
              <w:jc w:val="right"/>
              <w:rPr>
                <w:rFonts w:eastAsia="Times New Roman"/>
              </w:rPr>
            </w:pPr>
            <w:r>
              <w:rPr>
                <w:rFonts w:eastAsia="Times New Roman"/>
                <w:b/>
                <w:bCs/>
                <w:color w:val="000000"/>
                <w:sz w:val="18"/>
                <w:szCs w:val="18"/>
              </w:rPr>
              <w:t>600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96857A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F7564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5B55C2D" w14:textId="77777777" w:rsidR="00000000" w:rsidRDefault="00405D16">
            <w:pPr>
              <w:spacing w:after="100"/>
              <w:jc w:val="right"/>
              <w:rPr>
                <w:rFonts w:eastAsia="Times New Roman"/>
              </w:rPr>
            </w:pPr>
            <w:r>
              <w:rPr>
                <w:rFonts w:eastAsia="Times New Roman"/>
                <w:b/>
                <w:bCs/>
                <w:color w:val="000000"/>
                <w:sz w:val="18"/>
                <w:szCs w:val="18"/>
              </w:rPr>
              <w:t>35.2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99DEC4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7E805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20F5371" w14:textId="77777777" w:rsidR="00000000" w:rsidRDefault="00405D16">
            <w:pPr>
              <w:spacing w:after="100"/>
              <w:jc w:val="right"/>
              <w:rPr>
                <w:rFonts w:eastAsia="Times New Roman"/>
              </w:rPr>
            </w:pPr>
            <w:r>
              <w:rPr>
                <w:rFonts w:eastAsia="Times New Roman"/>
                <w:color w:val="000000"/>
                <w:sz w:val="18"/>
                <w:szCs w:val="18"/>
              </w:rPr>
              <w:t>615 </w:t>
            </w:r>
          </w:p>
        </w:tc>
        <w:tc>
          <w:tcPr>
            <w:tcW w:w="0" w:type="auto"/>
            <w:shd w:val="clear" w:color="auto" w:fill="FFFFFF"/>
            <w:tcMar>
              <w:top w:w="30" w:type="dxa"/>
              <w:left w:w="0" w:type="dxa"/>
              <w:bottom w:w="30" w:type="dxa"/>
              <w:right w:w="20" w:type="dxa"/>
            </w:tcMar>
            <w:vAlign w:val="center"/>
            <w:hideMark/>
          </w:tcPr>
          <w:p w14:paraId="1100DFD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98AB2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0EBB64A" w14:textId="77777777" w:rsidR="00000000" w:rsidRDefault="00405D16">
            <w:pPr>
              <w:spacing w:after="100"/>
              <w:jc w:val="right"/>
              <w:rPr>
                <w:rFonts w:eastAsia="Times New Roman"/>
              </w:rPr>
            </w:pPr>
            <w:r>
              <w:rPr>
                <w:rFonts w:eastAsia="Times New Roman"/>
                <w:color w:val="000000"/>
                <w:sz w:val="18"/>
                <w:szCs w:val="18"/>
              </w:rPr>
              <w:t>29.5 </w:t>
            </w:r>
          </w:p>
        </w:tc>
        <w:tc>
          <w:tcPr>
            <w:tcW w:w="0" w:type="auto"/>
            <w:shd w:val="clear" w:color="auto" w:fill="FFFFFF"/>
            <w:tcMar>
              <w:top w:w="30" w:type="dxa"/>
              <w:left w:w="0" w:type="dxa"/>
              <w:bottom w:w="30" w:type="dxa"/>
              <w:right w:w="20" w:type="dxa"/>
            </w:tcMar>
            <w:vAlign w:val="center"/>
            <w:hideMark/>
          </w:tcPr>
          <w:p w14:paraId="0DBCFFAA" w14:textId="77777777" w:rsidR="00000000" w:rsidRDefault="00405D16">
            <w:pPr>
              <w:spacing w:after="100"/>
              <w:jc w:val="right"/>
              <w:rPr>
                <w:rFonts w:eastAsia="Times New Roman"/>
              </w:rPr>
            </w:pPr>
          </w:p>
        </w:tc>
      </w:tr>
      <w:tr w:rsidR="00000000" w14:paraId="2A03919F" w14:textId="77777777">
        <w:trPr>
          <w:divId w:val="1208295358"/>
        </w:trPr>
        <w:tc>
          <w:tcPr>
            <w:tcW w:w="0" w:type="auto"/>
            <w:gridSpan w:val="3"/>
            <w:shd w:val="clear" w:color="auto" w:fill="CCEEFF"/>
            <w:tcMar>
              <w:top w:w="30" w:type="dxa"/>
              <w:left w:w="245" w:type="dxa"/>
              <w:bottom w:w="30" w:type="dxa"/>
              <w:right w:w="20" w:type="dxa"/>
            </w:tcMar>
            <w:vAlign w:val="center"/>
            <w:hideMark/>
          </w:tcPr>
          <w:p w14:paraId="36E18D1B" w14:textId="77777777" w:rsidR="00000000" w:rsidRDefault="00405D16">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14:paraId="05EF1476"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FF0A991" w14:textId="77777777" w:rsidR="00000000" w:rsidRDefault="00405D16">
            <w:pPr>
              <w:spacing w:after="100"/>
              <w:jc w:val="right"/>
              <w:rPr>
                <w:rFonts w:eastAsia="Times New Roman"/>
              </w:rPr>
            </w:pPr>
            <w:r>
              <w:rPr>
                <w:rFonts w:eastAsia="Times New Roman"/>
                <w:b/>
                <w:bCs/>
                <w:color w:val="000000"/>
                <w:sz w:val="18"/>
                <w:szCs w:val="18"/>
              </w:rPr>
              <w:t>12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EA5EA1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11E94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02EB409" w14:textId="77777777" w:rsidR="00000000" w:rsidRDefault="00405D16">
            <w:pPr>
              <w:spacing w:after="100"/>
              <w:jc w:val="right"/>
              <w:rPr>
                <w:rFonts w:eastAsia="Times New Roman"/>
              </w:rPr>
            </w:pPr>
            <w:r>
              <w:rPr>
                <w:rFonts w:eastAsia="Times New Roman"/>
                <w:b/>
                <w:bCs/>
                <w:color w:val="000000"/>
                <w:sz w:val="18"/>
                <w:szCs w:val="18"/>
              </w:rPr>
              <w:t>0.7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ABDB16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4BD17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9AF0D8F" w14:textId="77777777" w:rsidR="00000000" w:rsidRDefault="00405D16">
            <w:pPr>
              <w:spacing w:after="100"/>
              <w:jc w:val="right"/>
              <w:rPr>
                <w:rFonts w:eastAsia="Times New Roman"/>
              </w:rPr>
            </w:pPr>
            <w:r>
              <w:rPr>
                <w:rFonts w:eastAsia="Times New Roman"/>
                <w:color w:val="000000"/>
                <w:sz w:val="18"/>
                <w:szCs w:val="18"/>
              </w:rPr>
              <w:t>18 </w:t>
            </w:r>
          </w:p>
        </w:tc>
        <w:tc>
          <w:tcPr>
            <w:tcW w:w="0" w:type="auto"/>
            <w:shd w:val="clear" w:color="auto" w:fill="CCEEFF"/>
            <w:tcMar>
              <w:top w:w="30" w:type="dxa"/>
              <w:left w:w="0" w:type="dxa"/>
              <w:bottom w:w="30" w:type="dxa"/>
              <w:right w:w="20" w:type="dxa"/>
            </w:tcMar>
            <w:vAlign w:val="center"/>
            <w:hideMark/>
          </w:tcPr>
          <w:p w14:paraId="3BA7E63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36A4F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263764A" w14:textId="77777777" w:rsidR="00000000" w:rsidRDefault="00405D16">
            <w:pPr>
              <w:spacing w:after="100"/>
              <w:jc w:val="right"/>
              <w:rPr>
                <w:rFonts w:eastAsia="Times New Roman"/>
              </w:rPr>
            </w:pPr>
            <w:r>
              <w:rPr>
                <w:rFonts w:eastAsia="Times New Roman"/>
                <w:color w:val="000000"/>
                <w:sz w:val="18"/>
                <w:szCs w:val="18"/>
              </w:rPr>
              <w:t>0.9 </w:t>
            </w:r>
          </w:p>
        </w:tc>
        <w:tc>
          <w:tcPr>
            <w:tcW w:w="0" w:type="auto"/>
            <w:shd w:val="clear" w:color="auto" w:fill="CCEEFF"/>
            <w:tcMar>
              <w:top w:w="30" w:type="dxa"/>
              <w:left w:w="0" w:type="dxa"/>
              <w:bottom w:w="30" w:type="dxa"/>
              <w:right w:w="20" w:type="dxa"/>
            </w:tcMar>
            <w:vAlign w:val="center"/>
            <w:hideMark/>
          </w:tcPr>
          <w:p w14:paraId="4CBDD790" w14:textId="77777777" w:rsidR="00000000" w:rsidRDefault="00405D16">
            <w:pPr>
              <w:spacing w:after="100"/>
              <w:jc w:val="right"/>
              <w:rPr>
                <w:rFonts w:eastAsia="Times New Roman"/>
              </w:rPr>
            </w:pPr>
          </w:p>
        </w:tc>
      </w:tr>
      <w:tr w:rsidR="00000000" w14:paraId="23703C60" w14:textId="77777777">
        <w:trPr>
          <w:divId w:val="1208295358"/>
        </w:trPr>
        <w:tc>
          <w:tcPr>
            <w:tcW w:w="0" w:type="auto"/>
            <w:gridSpan w:val="3"/>
            <w:shd w:val="clear" w:color="auto" w:fill="FFFFFF"/>
            <w:tcMar>
              <w:top w:w="30" w:type="dxa"/>
              <w:left w:w="20" w:type="dxa"/>
              <w:bottom w:w="30" w:type="dxa"/>
              <w:right w:w="20" w:type="dxa"/>
            </w:tcMar>
            <w:vAlign w:val="center"/>
            <w:hideMark/>
          </w:tcPr>
          <w:p w14:paraId="65F64039" w14:textId="77777777" w:rsidR="00000000" w:rsidRDefault="00405D16">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14:paraId="330AC524"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F39C846" w14:textId="77777777" w:rsidR="00000000" w:rsidRDefault="00405D16">
            <w:pPr>
              <w:spacing w:after="100"/>
              <w:jc w:val="right"/>
              <w:rPr>
                <w:rFonts w:eastAsia="Times New Roman"/>
              </w:rPr>
            </w:pPr>
            <w:r>
              <w:rPr>
                <w:rFonts w:eastAsia="Times New Roman"/>
                <w:b/>
                <w:bCs/>
                <w:color w:val="000000"/>
                <w:sz w:val="18"/>
                <w:szCs w:val="18"/>
              </w:rPr>
              <w:t>612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6C5093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001A89"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F06EE82" w14:textId="77777777" w:rsidR="00000000" w:rsidRDefault="00405D16">
            <w:pPr>
              <w:spacing w:after="100"/>
              <w:jc w:val="right"/>
              <w:rPr>
                <w:rFonts w:eastAsia="Times New Roman"/>
              </w:rPr>
            </w:pPr>
            <w:r>
              <w:rPr>
                <w:rFonts w:eastAsia="Times New Roman"/>
                <w:b/>
                <w:bCs/>
                <w:color w:val="000000"/>
                <w:sz w:val="18"/>
                <w:szCs w:val="18"/>
              </w:rPr>
              <w:t>35.9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7F8CB1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931CD8"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CC68A38" w14:textId="77777777" w:rsidR="00000000" w:rsidRDefault="00405D16">
            <w:pPr>
              <w:spacing w:after="100"/>
              <w:jc w:val="right"/>
              <w:rPr>
                <w:rFonts w:eastAsia="Times New Roman"/>
              </w:rPr>
            </w:pPr>
            <w:r>
              <w:rPr>
                <w:rFonts w:eastAsia="Times New Roman"/>
                <w:color w:val="000000"/>
                <w:sz w:val="18"/>
                <w:szCs w:val="18"/>
              </w:rPr>
              <w:t>633 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7B17B0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C8CE87"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8A7B981" w14:textId="77777777" w:rsidR="00000000" w:rsidRDefault="00405D16">
            <w:pPr>
              <w:spacing w:after="100"/>
              <w:jc w:val="right"/>
              <w:rPr>
                <w:rFonts w:eastAsia="Times New Roman"/>
              </w:rPr>
            </w:pPr>
            <w:r>
              <w:rPr>
                <w:rFonts w:eastAsia="Times New Roman"/>
                <w:color w:val="000000"/>
                <w:sz w:val="18"/>
                <w:szCs w:val="18"/>
              </w:rPr>
              <w:t>30.4 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58466FF" w14:textId="77777777" w:rsidR="00000000" w:rsidRDefault="00405D16">
            <w:pPr>
              <w:spacing w:after="100"/>
              <w:jc w:val="right"/>
              <w:rPr>
                <w:rFonts w:eastAsia="Times New Roman"/>
              </w:rPr>
            </w:pPr>
          </w:p>
        </w:tc>
      </w:tr>
      <w:tr w:rsidR="00000000" w14:paraId="5004E673" w14:textId="77777777">
        <w:trPr>
          <w:divId w:val="1208295358"/>
        </w:trPr>
        <w:tc>
          <w:tcPr>
            <w:tcW w:w="0" w:type="auto"/>
            <w:gridSpan w:val="3"/>
            <w:shd w:val="clear" w:color="auto" w:fill="CCEEFF"/>
            <w:tcMar>
              <w:top w:w="30" w:type="dxa"/>
              <w:left w:w="20" w:type="dxa"/>
              <w:bottom w:w="30" w:type="dxa"/>
              <w:right w:w="20" w:type="dxa"/>
            </w:tcMar>
            <w:vAlign w:val="center"/>
            <w:hideMark/>
          </w:tcPr>
          <w:p w14:paraId="23C8EC65" w14:textId="77777777" w:rsidR="00000000" w:rsidRDefault="00405D16">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14:paraId="6E219709"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9AC24E4" w14:textId="77777777" w:rsidR="00000000" w:rsidRDefault="00405D16">
            <w:pPr>
              <w:spacing w:after="100"/>
              <w:jc w:val="right"/>
              <w:rPr>
                <w:rFonts w:eastAsia="Times New Roman"/>
              </w:rPr>
            </w:pPr>
            <w:r>
              <w:rPr>
                <w:rFonts w:eastAsia="Times New Roman"/>
                <w:b/>
                <w:bCs/>
                <w:color w:val="000000"/>
                <w:sz w:val="18"/>
                <w:szCs w:val="18"/>
              </w:rPr>
              <w:t>500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C0FF29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DAEB7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B8909D5" w14:textId="77777777" w:rsidR="00000000" w:rsidRDefault="00405D16">
            <w:pPr>
              <w:spacing w:after="100"/>
              <w:jc w:val="right"/>
              <w:rPr>
                <w:rFonts w:eastAsia="Times New Roman"/>
              </w:rPr>
            </w:pPr>
            <w:r>
              <w:rPr>
                <w:rFonts w:eastAsia="Times New Roman"/>
                <w:b/>
                <w:bCs/>
                <w:color w:val="000000"/>
                <w:sz w:val="18"/>
                <w:szCs w:val="18"/>
              </w:rPr>
              <w:t>29.4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34AE7A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A6B3A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5463B40" w14:textId="77777777" w:rsidR="00000000" w:rsidRDefault="00405D16">
            <w:pPr>
              <w:spacing w:after="100"/>
              <w:jc w:val="right"/>
              <w:rPr>
                <w:rFonts w:eastAsia="Times New Roman"/>
              </w:rPr>
            </w:pPr>
            <w:r>
              <w:rPr>
                <w:rFonts w:eastAsia="Times New Roman"/>
                <w:color w:val="000000"/>
                <w:sz w:val="18"/>
                <w:szCs w:val="18"/>
              </w:rPr>
              <w:t>723 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25BC13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10594F"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F3F0EFA" w14:textId="77777777" w:rsidR="00000000" w:rsidRDefault="00405D16">
            <w:pPr>
              <w:spacing w:after="100"/>
              <w:jc w:val="right"/>
              <w:rPr>
                <w:rFonts w:eastAsia="Times New Roman"/>
              </w:rPr>
            </w:pPr>
            <w:r>
              <w:rPr>
                <w:rFonts w:eastAsia="Times New Roman"/>
                <w:color w:val="000000"/>
                <w:sz w:val="18"/>
                <w:szCs w:val="18"/>
              </w:rPr>
              <w:t>34.7 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12E8082" w14:textId="77777777" w:rsidR="00000000" w:rsidRDefault="00405D16">
            <w:pPr>
              <w:spacing w:after="100"/>
              <w:jc w:val="right"/>
              <w:rPr>
                <w:rFonts w:eastAsia="Times New Roman"/>
              </w:rPr>
            </w:pPr>
          </w:p>
        </w:tc>
      </w:tr>
      <w:tr w:rsidR="00000000" w14:paraId="50D710EE" w14:textId="77777777">
        <w:trPr>
          <w:divId w:val="1208295358"/>
        </w:trPr>
        <w:tc>
          <w:tcPr>
            <w:tcW w:w="0" w:type="auto"/>
            <w:gridSpan w:val="3"/>
            <w:shd w:val="clear" w:color="auto" w:fill="FFFFFF"/>
            <w:tcMar>
              <w:top w:w="30" w:type="dxa"/>
              <w:left w:w="20" w:type="dxa"/>
              <w:bottom w:w="30" w:type="dxa"/>
              <w:right w:w="20" w:type="dxa"/>
            </w:tcMar>
            <w:vAlign w:val="center"/>
            <w:hideMark/>
          </w:tcPr>
          <w:p w14:paraId="6709A0D8" w14:textId="77777777" w:rsidR="00000000" w:rsidRDefault="00405D16">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776C5ADA" w14:textId="77777777" w:rsidR="00000000" w:rsidRDefault="00405D16">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12E65BFA"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2A63462F" w14:textId="77777777" w:rsidR="00000000" w:rsidRDefault="00405D16">
            <w:pPr>
              <w:spacing w:after="100"/>
              <w:jc w:val="right"/>
              <w:rPr>
                <w:rFonts w:eastAsia="Times New Roman"/>
              </w:rPr>
            </w:pPr>
            <w:r>
              <w:rPr>
                <w:rFonts w:eastAsia="Times New Roman"/>
                <w:b/>
                <w:bCs/>
                <w:color w:val="000000"/>
                <w:sz w:val="18"/>
                <w:szCs w:val="18"/>
              </w:rPr>
              <w:t>1,703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D88540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0CCAB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FCA9CF6" w14:textId="77777777" w:rsidR="00000000" w:rsidRDefault="00405D16">
            <w:pPr>
              <w:spacing w:after="100"/>
              <w:jc w:val="right"/>
              <w:rPr>
                <w:rFonts w:eastAsia="Times New Roman"/>
              </w:rPr>
            </w:pPr>
            <w:r>
              <w:rPr>
                <w:rFonts w:eastAsia="Times New Roman"/>
                <w:b/>
                <w:bCs/>
                <w:color w:val="000000"/>
                <w:sz w:val="18"/>
                <w:szCs w:val="18"/>
              </w:rPr>
              <w:t>100.0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AF45D37"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BA8C445" w14:textId="77777777" w:rsidR="00000000" w:rsidRDefault="00405D16">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747E7B3B"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334A836A" w14:textId="77777777" w:rsidR="00000000" w:rsidRDefault="00405D16">
            <w:pPr>
              <w:spacing w:after="100"/>
              <w:jc w:val="right"/>
              <w:rPr>
                <w:rFonts w:eastAsia="Times New Roman"/>
              </w:rPr>
            </w:pPr>
            <w:r>
              <w:rPr>
                <w:rFonts w:eastAsia="Times New Roman"/>
                <w:color w:val="000000"/>
                <w:sz w:val="18"/>
                <w:szCs w:val="18"/>
              </w:rPr>
              <w:t>2,084 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CA0527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87D08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E58BC11" w14:textId="77777777" w:rsidR="00000000" w:rsidRDefault="00405D16">
            <w:pPr>
              <w:spacing w:after="100"/>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D33A1E8" w14:textId="77777777" w:rsidR="00000000" w:rsidRDefault="00405D16">
            <w:pPr>
              <w:spacing w:after="100"/>
              <w:jc w:val="right"/>
              <w:rPr>
                <w:rFonts w:eastAsia="Times New Roman"/>
              </w:rPr>
            </w:pPr>
            <w:r>
              <w:rPr>
                <w:rFonts w:eastAsia="Times New Roman"/>
                <w:color w:val="000000"/>
                <w:sz w:val="18"/>
                <w:szCs w:val="18"/>
              </w:rPr>
              <w:t>%</w:t>
            </w:r>
          </w:p>
        </w:tc>
      </w:tr>
      <w:tr w:rsidR="00000000" w14:paraId="1E7CE23A" w14:textId="77777777">
        <w:trPr>
          <w:divId w:val="1208295358"/>
        </w:trPr>
        <w:tc>
          <w:tcPr>
            <w:tcW w:w="0" w:type="auto"/>
            <w:gridSpan w:val="3"/>
            <w:shd w:val="clear" w:color="auto" w:fill="CCEEFF"/>
            <w:tcMar>
              <w:top w:w="30" w:type="dxa"/>
              <w:left w:w="20" w:type="dxa"/>
              <w:bottom w:w="30" w:type="dxa"/>
              <w:right w:w="20" w:type="dxa"/>
            </w:tcMar>
            <w:vAlign w:val="center"/>
            <w:hideMark/>
          </w:tcPr>
          <w:p w14:paraId="65B15785" w14:textId="77777777" w:rsidR="00000000" w:rsidRDefault="00405D16">
            <w:pPr>
              <w:spacing w:after="100"/>
              <w:rPr>
                <w:rFonts w:eastAsia="Times New Roman"/>
              </w:rPr>
            </w:pPr>
            <w:r>
              <w:rPr>
                <w:rFonts w:eastAsia="Times New Roman"/>
                <w:b/>
                <w:bCs/>
                <w:color w:val="000000"/>
                <w:sz w:val="18"/>
                <w:szCs w:val="18"/>
              </w:rPr>
              <w:t>Status of TDRs:</w:t>
            </w:r>
          </w:p>
        </w:tc>
        <w:tc>
          <w:tcPr>
            <w:tcW w:w="0" w:type="auto"/>
            <w:gridSpan w:val="3"/>
            <w:shd w:val="clear" w:color="auto" w:fill="CCEEFF"/>
            <w:tcMar>
              <w:top w:w="0" w:type="dxa"/>
              <w:left w:w="20" w:type="dxa"/>
              <w:bottom w:w="0" w:type="dxa"/>
              <w:right w:w="20" w:type="dxa"/>
            </w:tcMar>
            <w:vAlign w:val="center"/>
            <w:hideMark/>
          </w:tcPr>
          <w:p w14:paraId="5F777A15" w14:textId="77777777" w:rsidR="00000000" w:rsidRDefault="00405D16">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5935FA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C881D4"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429496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F2C945"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320316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1402B4"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BB87567" w14:textId="77777777" w:rsidR="00000000" w:rsidRDefault="00405D16">
            <w:pPr>
              <w:spacing w:after="100"/>
              <w:rPr>
                <w:rFonts w:eastAsia="Times New Roman"/>
                <w:sz w:val="20"/>
                <w:szCs w:val="20"/>
              </w:rPr>
            </w:pPr>
          </w:p>
        </w:tc>
      </w:tr>
      <w:tr w:rsidR="00000000" w14:paraId="75A095B2" w14:textId="77777777">
        <w:trPr>
          <w:divId w:val="1208295358"/>
        </w:trPr>
        <w:tc>
          <w:tcPr>
            <w:tcW w:w="0" w:type="auto"/>
            <w:gridSpan w:val="3"/>
            <w:shd w:val="clear" w:color="auto" w:fill="FFFFFF"/>
            <w:tcMar>
              <w:top w:w="30" w:type="dxa"/>
              <w:left w:w="245" w:type="dxa"/>
              <w:bottom w:w="30" w:type="dxa"/>
              <w:right w:w="20" w:type="dxa"/>
            </w:tcMar>
            <w:vAlign w:val="center"/>
            <w:hideMark/>
          </w:tcPr>
          <w:p w14:paraId="37FF9254" w14:textId="77777777" w:rsidR="00000000" w:rsidRDefault="00405D16">
            <w:pPr>
              <w:spacing w:after="100"/>
              <w:rPr>
                <w:rFonts w:eastAsia="Times New Roman"/>
              </w:rPr>
            </w:pPr>
            <w:r>
              <w:rPr>
                <w:rFonts w:eastAsia="Times New Roman"/>
                <w:color w:val="000000"/>
                <w:sz w:val="18"/>
                <w:szCs w:val="18"/>
              </w:rPr>
              <w:t>Performing</w:t>
            </w:r>
          </w:p>
        </w:tc>
        <w:tc>
          <w:tcPr>
            <w:tcW w:w="0" w:type="auto"/>
            <w:gridSpan w:val="3"/>
            <w:shd w:val="clear" w:color="auto" w:fill="FFFFFF"/>
            <w:tcMar>
              <w:top w:w="0" w:type="dxa"/>
              <w:left w:w="20" w:type="dxa"/>
              <w:bottom w:w="0" w:type="dxa"/>
              <w:right w:w="20" w:type="dxa"/>
            </w:tcMar>
            <w:vAlign w:val="center"/>
            <w:hideMark/>
          </w:tcPr>
          <w:p w14:paraId="629D7063"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4CED77EE"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4D1EC9DD" w14:textId="77777777" w:rsidR="00000000" w:rsidRDefault="00405D16">
            <w:pPr>
              <w:spacing w:after="100"/>
              <w:jc w:val="right"/>
              <w:rPr>
                <w:rFonts w:eastAsia="Times New Roman"/>
              </w:rPr>
            </w:pPr>
            <w:r>
              <w:rPr>
                <w:rFonts w:eastAsia="Times New Roman"/>
                <w:b/>
                <w:bCs/>
                <w:color w:val="000000"/>
                <w:sz w:val="18"/>
                <w:szCs w:val="18"/>
              </w:rPr>
              <w:t>1,357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1330C6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6FEBE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6BA4CB1" w14:textId="77777777" w:rsidR="00000000" w:rsidRDefault="00405D16">
            <w:pPr>
              <w:spacing w:after="100"/>
              <w:jc w:val="right"/>
              <w:rPr>
                <w:rFonts w:eastAsia="Times New Roman"/>
              </w:rPr>
            </w:pPr>
            <w:r>
              <w:rPr>
                <w:rFonts w:eastAsia="Times New Roman"/>
                <w:b/>
                <w:bCs/>
                <w:color w:val="000000"/>
                <w:sz w:val="18"/>
                <w:szCs w:val="18"/>
              </w:rPr>
              <w:t>79.7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41D1696"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AF87519" w14:textId="77777777" w:rsidR="00000000" w:rsidRDefault="00405D16">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38B11C8B"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7DA0DFE0" w14:textId="77777777" w:rsidR="00000000" w:rsidRDefault="00405D16">
            <w:pPr>
              <w:spacing w:after="100"/>
              <w:jc w:val="right"/>
              <w:rPr>
                <w:rFonts w:eastAsia="Times New Roman"/>
              </w:rPr>
            </w:pPr>
            <w:r>
              <w:rPr>
                <w:rFonts w:eastAsia="Times New Roman"/>
                <w:color w:val="000000"/>
                <w:sz w:val="18"/>
                <w:szCs w:val="18"/>
              </w:rPr>
              <w:t>1,718 </w:t>
            </w:r>
          </w:p>
        </w:tc>
        <w:tc>
          <w:tcPr>
            <w:tcW w:w="0" w:type="auto"/>
            <w:shd w:val="clear" w:color="auto" w:fill="FFFFFF"/>
            <w:tcMar>
              <w:top w:w="30" w:type="dxa"/>
              <w:left w:w="0" w:type="dxa"/>
              <w:bottom w:w="30" w:type="dxa"/>
              <w:right w:w="20" w:type="dxa"/>
            </w:tcMar>
            <w:vAlign w:val="center"/>
            <w:hideMark/>
          </w:tcPr>
          <w:p w14:paraId="1FB99D5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D6144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5D5DE48" w14:textId="77777777" w:rsidR="00000000" w:rsidRDefault="00405D16">
            <w:pPr>
              <w:spacing w:after="100"/>
              <w:jc w:val="right"/>
              <w:rPr>
                <w:rFonts w:eastAsia="Times New Roman"/>
              </w:rPr>
            </w:pPr>
            <w:r>
              <w:rPr>
                <w:rFonts w:eastAsia="Times New Roman"/>
                <w:color w:val="000000"/>
                <w:sz w:val="18"/>
                <w:szCs w:val="18"/>
              </w:rPr>
              <w:t>82.4 </w:t>
            </w:r>
          </w:p>
        </w:tc>
        <w:tc>
          <w:tcPr>
            <w:tcW w:w="0" w:type="auto"/>
            <w:shd w:val="clear" w:color="auto" w:fill="FFFFFF"/>
            <w:tcMar>
              <w:top w:w="30" w:type="dxa"/>
              <w:left w:w="0" w:type="dxa"/>
              <w:bottom w:w="30" w:type="dxa"/>
              <w:right w:w="20" w:type="dxa"/>
            </w:tcMar>
            <w:vAlign w:val="center"/>
            <w:hideMark/>
          </w:tcPr>
          <w:p w14:paraId="58BD6A37" w14:textId="77777777" w:rsidR="00000000" w:rsidRDefault="00405D16">
            <w:pPr>
              <w:spacing w:after="100"/>
              <w:jc w:val="right"/>
              <w:rPr>
                <w:rFonts w:eastAsia="Times New Roman"/>
              </w:rPr>
            </w:pPr>
            <w:r>
              <w:rPr>
                <w:rFonts w:eastAsia="Times New Roman"/>
                <w:color w:val="000000"/>
                <w:sz w:val="18"/>
                <w:szCs w:val="18"/>
              </w:rPr>
              <w:t>%</w:t>
            </w:r>
          </w:p>
        </w:tc>
      </w:tr>
      <w:tr w:rsidR="00000000" w14:paraId="51DEC874" w14:textId="77777777">
        <w:trPr>
          <w:divId w:val="1208295358"/>
        </w:trPr>
        <w:tc>
          <w:tcPr>
            <w:tcW w:w="0" w:type="auto"/>
            <w:gridSpan w:val="3"/>
            <w:shd w:val="clear" w:color="auto" w:fill="CCEEFF"/>
            <w:tcMar>
              <w:top w:w="30" w:type="dxa"/>
              <w:left w:w="245" w:type="dxa"/>
              <w:bottom w:w="30" w:type="dxa"/>
              <w:right w:w="20" w:type="dxa"/>
            </w:tcMar>
            <w:vAlign w:val="center"/>
            <w:hideMark/>
          </w:tcPr>
          <w:p w14:paraId="2C9BC613" w14:textId="77777777" w:rsidR="00000000" w:rsidRDefault="00405D16">
            <w:pPr>
              <w:spacing w:after="100"/>
              <w:rPr>
                <w:rFonts w:eastAsia="Times New Roman"/>
              </w:rPr>
            </w:pPr>
            <w:r>
              <w:rPr>
                <w:rFonts w:eastAsia="Times New Roman"/>
                <w:color w:val="000000"/>
                <w:sz w:val="18"/>
                <w:szCs w:val="18"/>
              </w:rPr>
              <w:t>Nonperforming</w:t>
            </w:r>
          </w:p>
        </w:tc>
        <w:tc>
          <w:tcPr>
            <w:tcW w:w="0" w:type="auto"/>
            <w:gridSpan w:val="3"/>
            <w:shd w:val="clear" w:color="auto" w:fill="CCEEFF"/>
            <w:tcMar>
              <w:top w:w="0" w:type="dxa"/>
              <w:left w:w="20" w:type="dxa"/>
              <w:bottom w:w="0" w:type="dxa"/>
              <w:right w:w="20" w:type="dxa"/>
            </w:tcMar>
            <w:vAlign w:val="center"/>
            <w:hideMark/>
          </w:tcPr>
          <w:p w14:paraId="6F0A9CD8"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52FF16D" w14:textId="77777777" w:rsidR="00000000" w:rsidRDefault="00405D16">
            <w:pPr>
              <w:spacing w:after="100"/>
              <w:jc w:val="right"/>
              <w:rPr>
                <w:rFonts w:eastAsia="Times New Roman"/>
              </w:rPr>
            </w:pPr>
            <w:r>
              <w:rPr>
                <w:rFonts w:eastAsia="Times New Roman"/>
                <w:b/>
                <w:bCs/>
                <w:color w:val="000000"/>
                <w:sz w:val="18"/>
                <w:szCs w:val="18"/>
              </w:rPr>
              <w:t>346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B4D85E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16448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94F1068" w14:textId="77777777" w:rsidR="00000000" w:rsidRDefault="00405D16">
            <w:pPr>
              <w:spacing w:after="100"/>
              <w:jc w:val="right"/>
              <w:rPr>
                <w:rFonts w:eastAsia="Times New Roman"/>
              </w:rPr>
            </w:pPr>
            <w:r>
              <w:rPr>
                <w:rFonts w:eastAsia="Times New Roman"/>
                <w:b/>
                <w:bCs/>
                <w:color w:val="000000"/>
                <w:sz w:val="18"/>
                <w:szCs w:val="18"/>
              </w:rPr>
              <w:t>20.3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935562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37C18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C0764CD" w14:textId="77777777" w:rsidR="00000000" w:rsidRDefault="00405D16">
            <w:pPr>
              <w:spacing w:after="100"/>
              <w:jc w:val="right"/>
              <w:rPr>
                <w:rFonts w:eastAsia="Times New Roman"/>
              </w:rPr>
            </w:pPr>
            <w:r>
              <w:rPr>
                <w:rFonts w:eastAsia="Times New Roman"/>
                <w:color w:val="000000"/>
                <w:sz w:val="18"/>
                <w:szCs w:val="18"/>
              </w:rPr>
              <w:t>366 </w:t>
            </w:r>
          </w:p>
        </w:tc>
        <w:tc>
          <w:tcPr>
            <w:tcW w:w="0" w:type="auto"/>
            <w:shd w:val="clear" w:color="auto" w:fill="CCEEFF"/>
            <w:tcMar>
              <w:top w:w="30" w:type="dxa"/>
              <w:left w:w="0" w:type="dxa"/>
              <w:bottom w:w="30" w:type="dxa"/>
              <w:right w:w="20" w:type="dxa"/>
            </w:tcMar>
            <w:vAlign w:val="center"/>
            <w:hideMark/>
          </w:tcPr>
          <w:p w14:paraId="22B2FEB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E3729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BAF4A0A" w14:textId="77777777" w:rsidR="00000000" w:rsidRDefault="00405D16">
            <w:pPr>
              <w:spacing w:after="100"/>
              <w:jc w:val="right"/>
              <w:rPr>
                <w:rFonts w:eastAsia="Times New Roman"/>
              </w:rPr>
            </w:pPr>
            <w:r>
              <w:rPr>
                <w:rFonts w:eastAsia="Times New Roman"/>
                <w:color w:val="000000"/>
                <w:sz w:val="18"/>
                <w:szCs w:val="18"/>
              </w:rPr>
              <w:t>17.6 </w:t>
            </w:r>
          </w:p>
        </w:tc>
        <w:tc>
          <w:tcPr>
            <w:tcW w:w="0" w:type="auto"/>
            <w:shd w:val="clear" w:color="auto" w:fill="CCEEFF"/>
            <w:tcMar>
              <w:top w:w="30" w:type="dxa"/>
              <w:left w:w="0" w:type="dxa"/>
              <w:bottom w:w="30" w:type="dxa"/>
              <w:right w:w="20" w:type="dxa"/>
            </w:tcMar>
            <w:vAlign w:val="center"/>
            <w:hideMark/>
          </w:tcPr>
          <w:p w14:paraId="0EB85D45" w14:textId="77777777" w:rsidR="00000000" w:rsidRDefault="00405D16">
            <w:pPr>
              <w:spacing w:after="100"/>
              <w:jc w:val="right"/>
              <w:rPr>
                <w:rFonts w:eastAsia="Times New Roman"/>
              </w:rPr>
            </w:pPr>
          </w:p>
        </w:tc>
      </w:tr>
      <w:tr w:rsidR="00000000" w14:paraId="2BA012E4" w14:textId="77777777">
        <w:trPr>
          <w:divId w:val="1208295358"/>
        </w:trPr>
        <w:tc>
          <w:tcPr>
            <w:tcW w:w="0" w:type="auto"/>
            <w:gridSpan w:val="3"/>
            <w:shd w:val="clear" w:color="auto" w:fill="FFFFFF"/>
            <w:tcMar>
              <w:top w:w="30" w:type="dxa"/>
              <w:left w:w="20" w:type="dxa"/>
              <w:bottom w:w="30" w:type="dxa"/>
              <w:right w:w="20" w:type="dxa"/>
            </w:tcMar>
            <w:vAlign w:val="center"/>
            <w:hideMark/>
          </w:tcPr>
          <w:p w14:paraId="6ABCE04E" w14:textId="77777777" w:rsidR="00000000" w:rsidRDefault="00405D16">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6AF60C31"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C3E974D"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83F6D92" w14:textId="77777777" w:rsidR="00000000" w:rsidRDefault="00405D16">
            <w:pPr>
              <w:spacing w:after="100"/>
              <w:jc w:val="right"/>
              <w:rPr>
                <w:rFonts w:eastAsia="Times New Roman"/>
              </w:rPr>
            </w:pPr>
            <w:r>
              <w:rPr>
                <w:rFonts w:eastAsia="Times New Roman"/>
                <w:b/>
                <w:bCs/>
                <w:color w:val="000000"/>
                <w:sz w:val="18"/>
                <w:szCs w:val="18"/>
              </w:rPr>
              <w:t>1,703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45B329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B169D5" w14:textId="77777777" w:rsidR="00000000" w:rsidRDefault="00405D1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635DE14" w14:textId="77777777" w:rsidR="00000000" w:rsidRDefault="00405D16">
            <w:pPr>
              <w:spacing w:after="100"/>
              <w:jc w:val="right"/>
              <w:rPr>
                <w:rFonts w:eastAsia="Times New Roman"/>
              </w:rPr>
            </w:pPr>
            <w:r>
              <w:rPr>
                <w:rFonts w:eastAsia="Times New Roman"/>
                <w:b/>
                <w:bCs/>
                <w:color w:val="000000"/>
                <w:sz w:val="18"/>
                <w:szCs w:val="18"/>
              </w:rPr>
              <w:t>100.0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B958CF8"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34DC88D" w14:textId="77777777" w:rsidR="00000000" w:rsidRDefault="00405D16">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A13CDD9"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4CCC4CA" w14:textId="77777777" w:rsidR="00000000" w:rsidRDefault="00405D16">
            <w:pPr>
              <w:spacing w:after="100"/>
              <w:jc w:val="right"/>
              <w:rPr>
                <w:rFonts w:eastAsia="Times New Roman"/>
              </w:rPr>
            </w:pPr>
            <w:r>
              <w:rPr>
                <w:rFonts w:eastAsia="Times New Roman"/>
                <w:color w:val="000000"/>
                <w:sz w:val="18"/>
                <w:szCs w:val="18"/>
              </w:rPr>
              <w:t>2,084 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EA653B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E7A279" w14:textId="77777777" w:rsidR="00000000" w:rsidRDefault="00405D1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A50DEDC" w14:textId="77777777" w:rsidR="00000000" w:rsidRDefault="00405D16">
            <w:pPr>
              <w:spacing w:after="100"/>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B829523" w14:textId="77777777" w:rsidR="00000000" w:rsidRDefault="00405D16">
            <w:pPr>
              <w:spacing w:after="100"/>
              <w:jc w:val="right"/>
              <w:rPr>
                <w:rFonts w:eastAsia="Times New Roman"/>
              </w:rPr>
            </w:pPr>
            <w:r>
              <w:rPr>
                <w:rFonts w:eastAsia="Times New Roman"/>
                <w:color w:val="000000"/>
                <w:sz w:val="18"/>
                <w:szCs w:val="18"/>
              </w:rPr>
              <w:t>%</w:t>
            </w:r>
          </w:p>
        </w:tc>
      </w:tr>
    </w:tbl>
    <w:p w14:paraId="370190FE" w14:textId="77777777" w:rsidR="00000000" w:rsidRDefault="00405D16">
      <w:pPr>
        <w:jc w:val="both"/>
        <w:divId w:val="1321226466"/>
        <w:rPr>
          <w:rFonts w:eastAsia="Times New Roman"/>
        </w:rPr>
      </w:pPr>
      <w:r>
        <w:rPr>
          <w:rFonts w:eastAsia="Times New Roman"/>
          <w:color w:val="000000"/>
          <w:sz w:val="20"/>
          <w:szCs w:val="20"/>
        </w:rPr>
        <w:t>In our Credit Card business, the majority of our credit card loans modified in TDRs involve reducing the interest rate on the account and placing the customer on a fixed payment plan not exceeding 60 months. The effective interest rate in effect imm</w:t>
      </w:r>
      <w:r>
        <w:rPr>
          <w:rFonts w:eastAsia="Times New Roman"/>
          <w:color w:val="000000"/>
          <w:sz w:val="20"/>
          <w:szCs w:val="20"/>
        </w:rPr>
        <w:t>ediately prior to the loan modification is used as the effective interest rate for purposes of measuring impairment using the present value of expected cash flows. If the customer does not comply with the modified payment terms, then the credit card loan a</w:t>
      </w:r>
      <w:r>
        <w:rPr>
          <w:rFonts w:eastAsia="Times New Roman"/>
          <w:color w:val="000000"/>
          <w:sz w:val="20"/>
          <w:szCs w:val="20"/>
        </w:rPr>
        <w:t>greement may revert to its original payment terms, generally resulting in any loan outstanding reflected in the appropriate delinquency category and charged off in accordance with our standard charge-off policy.</w:t>
      </w:r>
    </w:p>
    <w:p w14:paraId="522423C8" w14:textId="77777777" w:rsidR="00000000" w:rsidRDefault="00405D16">
      <w:pPr>
        <w:jc w:val="both"/>
        <w:divId w:val="417674467"/>
        <w:rPr>
          <w:rFonts w:eastAsia="Times New Roman"/>
        </w:rPr>
      </w:pPr>
      <w:r>
        <w:rPr>
          <w:rFonts w:eastAsia="Times New Roman"/>
          <w:color w:val="000000"/>
          <w:sz w:val="20"/>
          <w:szCs w:val="20"/>
        </w:rPr>
        <w:t>In our Consumer Banking business, the majori</w:t>
      </w:r>
      <w:r>
        <w:rPr>
          <w:rFonts w:eastAsia="Times New Roman"/>
          <w:color w:val="000000"/>
          <w:sz w:val="20"/>
          <w:szCs w:val="20"/>
        </w:rPr>
        <w:t>ty of our loans modified in TDRs receive an extension, an interest rate reduction or principal reduction, or a combination of these concessions. In addition, TDRs also occur in connection with bankruptcy of the borrower. In certain bankruptcy discharges, t</w:t>
      </w:r>
      <w:r>
        <w:rPr>
          <w:rFonts w:eastAsia="Times New Roman"/>
          <w:color w:val="000000"/>
          <w:sz w:val="20"/>
          <w:szCs w:val="20"/>
        </w:rPr>
        <w:t>he loan is written down to the collateral value and the charged off amount is reported as principal reduction. Impairment is determined using the present value of expected cash flows or a collateral evaluation for certain auto loans where the collateral va</w:t>
      </w:r>
      <w:r>
        <w:rPr>
          <w:rFonts w:eastAsia="Times New Roman"/>
          <w:color w:val="000000"/>
          <w:sz w:val="20"/>
          <w:szCs w:val="20"/>
        </w:rPr>
        <w:t>lue is lower than the amortized cost.</w:t>
      </w:r>
    </w:p>
    <w:p w14:paraId="4F7DA2BF" w14:textId="77777777" w:rsidR="00000000" w:rsidRDefault="00405D16">
      <w:pPr>
        <w:jc w:val="both"/>
        <w:divId w:val="2031295839"/>
        <w:rPr>
          <w:rFonts w:eastAsia="Times New Roman"/>
        </w:rPr>
      </w:pPr>
      <w:r>
        <w:rPr>
          <w:rFonts w:eastAsia="Times New Roman"/>
          <w:color w:val="000000"/>
          <w:sz w:val="20"/>
          <w:szCs w:val="20"/>
        </w:rPr>
        <w:t>In our Commercial Banking business, the majority of loans modified in TDRs receive an extension, with a portion of these loans receiving an interest rate reduction or a gross balance reduction. The impairment on modifi</w:t>
      </w:r>
      <w:r>
        <w:rPr>
          <w:rFonts w:eastAsia="Times New Roman"/>
          <w:color w:val="000000"/>
          <w:sz w:val="20"/>
          <w:szCs w:val="20"/>
        </w:rPr>
        <w:t>ed commercial loans is generally determined based on the underlying collateral value.</w:t>
      </w:r>
    </w:p>
    <w:p w14:paraId="21D9533A" w14:textId="77777777" w:rsidR="00000000" w:rsidRDefault="00405D16">
      <w:pPr>
        <w:jc w:val="both"/>
        <w:divId w:val="1758363567"/>
        <w:rPr>
          <w:rFonts w:eastAsia="Times New Roman"/>
        </w:rPr>
      </w:pPr>
      <w:r>
        <w:rPr>
          <w:rFonts w:eastAsia="Times New Roman"/>
          <w:color w:val="000000"/>
          <w:sz w:val="20"/>
          <w:szCs w:val="20"/>
        </w:rPr>
        <w:t xml:space="preserve">We provide additional information on modified loans accounted for as TDRs, including the performance of those loans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6CA8F3EC" w14:textId="77777777">
        <w:trPr>
          <w:divId w:val="216822154"/>
          <w:jc w:val="center"/>
        </w:trPr>
        <w:tc>
          <w:tcPr>
            <w:tcW w:w="50" w:type="pct"/>
            <w:vAlign w:val="center"/>
            <w:hideMark/>
          </w:tcPr>
          <w:p w14:paraId="295AA9BE" w14:textId="77777777" w:rsidR="00000000" w:rsidRDefault="00405D16">
            <w:pPr>
              <w:jc w:val="both"/>
              <w:rPr>
                <w:rFonts w:eastAsia="Times New Roman"/>
              </w:rPr>
            </w:pPr>
          </w:p>
        </w:tc>
        <w:tc>
          <w:tcPr>
            <w:tcW w:w="1606" w:type="pct"/>
            <w:vAlign w:val="center"/>
            <w:hideMark/>
          </w:tcPr>
          <w:p w14:paraId="162EB76A" w14:textId="77777777" w:rsidR="00000000" w:rsidRDefault="00405D16">
            <w:pPr>
              <w:spacing w:after="100"/>
              <w:rPr>
                <w:rFonts w:eastAsia="Times New Roman"/>
                <w:sz w:val="20"/>
                <w:szCs w:val="20"/>
              </w:rPr>
            </w:pPr>
          </w:p>
        </w:tc>
        <w:tc>
          <w:tcPr>
            <w:tcW w:w="5" w:type="pct"/>
            <w:vAlign w:val="center"/>
            <w:hideMark/>
          </w:tcPr>
          <w:p w14:paraId="193F2BBC" w14:textId="77777777" w:rsidR="00000000" w:rsidRDefault="00405D16">
            <w:pPr>
              <w:spacing w:after="100"/>
              <w:rPr>
                <w:rFonts w:eastAsia="Times New Roman"/>
                <w:sz w:val="20"/>
                <w:szCs w:val="20"/>
              </w:rPr>
            </w:pPr>
          </w:p>
        </w:tc>
        <w:tc>
          <w:tcPr>
            <w:tcW w:w="50" w:type="pct"/>
            <w:vAlign w:val="center"/>
            <w:hideMark/>
          </w:tcPr>
          <w:p w14:paraId="277D970D" w14:textId="77777777" w:rsidR="00000000" w:rsidRDefault="00405D16">
            <w:pPr>
              <w:spacing w:after="100"/>
              <w:rPr>
                <w:rFonts w:eastAsia="Times New Roman"/>
                <w:sz w:val="20"/>
                <w:szCs w:val="20"/>
              </w:rPr>
            </w:pPr>
          </w:p>
        </w:tc>
        <w:tc>
          <w:tcPr>
            <w:tcW w:w="1614" w:type="pct"/>
            <w:vAlign w:val="center"/>
            <w:hideMark/>
          </w:tcPr>
          <w:p w14:paraId="181899B4" w14:textId="77777777" w:rsidR="00000000" w:rsidRDefault="00405D16">
            <w:pPr>
              <w:spacing w:after="100"/>
              <w:rPr>
                <w:rFonts w:eastAsia="Times New Roman"/>
                <w:sz w:val="20"/>
                <w:szCs w:val="20"/>
              </w:rPr>
            </w:pPr>
          </w:p>
        </w:tc>
        <w:tc>
          <w:tcPr>
            <w:tcW w:w="5" w:type="pct"/>
            <w:vAlign w:val="center"/>
            <w:hideMark/>
          </w:tcPr>
          <w:p w14:paraId="02CD48EA" w14:textId="77777777" w:rsidR="00000000" w:rsidRDefault="00405D16">
            <w:pPr>
              <w:spacing w:after="100"/>
              <w:rPr>
                <w:rFonts w:eastAsia="Times New Roman"/>
                <w:sz w:val="20"/>
                <w:szCs w:val="20"/>
              </w:rPr>
            </w:pPr>
          </w:p>
        </w:tc>
        <w:tc>
          <w:tcPr>
            <w:tcW w:w="50" w:type="pct"/>
            <w:vAlign w:val="center"/>
            <w:hideMark/>
          </w:tcPr>
          <w:p w14:paraId="1872E72B" w14:textId="77777777" w:rsidR="00000000" w:rsidRDefault="00405D16">
            <w:pPr>
              <w:spacing w:after="100"/>
              <w:rPr>
                <w:rFonts w:eastAsia="Times New Roman"/>
                <w:sz w:val="20"/>
                <w:szCs w:val="20"/>
              </w:rPr>
            </w:pPr>
          </w:p>
        </w:tc>
        <w:tc>
          <w:tcPr>
            <w:tcW w:w="1614" w:type="pct"/>
            <w:vAlign w:val="center"/>
            <w:hideMark/>
          </w:tcPr>
          <w:p w14:paraId="0B1B0BE8" w14:textId="77777777" w:rsidR="00000000" w:rsidRDefault="00405D16">
            <w:pPr>
              <w:spacing w:after="100"/>
              <w:rPr>
                <w:rFonts w:eastAsia="Times New Roman"/>
                <w:sz w:val="20"/>
                <w:szCs w:val="20"/>
              </w:rPr>
            </w:pPr>
          </w:p>
        </w:tc>
        <w:tc>
          <w:tcPr>
            <w:tcW w:w="5" w:type="pct"/>
            <w:vAlign w:val="center"/>
            <w:hideMark/>
          </w:tcPr>
          <w:p w14:paraId="27A47F00" w14:textId="77777777" w:rsidR="00000000" w:rsidRDefault="00405D16">
            <w:pPr>
              <w:spacing w:after="100"/>
              <w:rPr>
                <w:rFonts w:eastAsia="Times New Roman"/>
                <w:sz w:val="20"/>
                <w:szCs w:val="20"/>
              </w:rPr>
            </w:pPr>
          </w:p>
        </w:tc>
      </w:tr>
      <w:tr w:rsidR="00000000" w14:paraId="7DDB93C4" w14:textId="77777777">
        <w:trPr>
          <w:divId w:val="216822154"/>
          <w:trHeight w:val="300"/>
          <w:jc w:val="center"/>
        </w:trPr>
        <w:tc>
          <w:tcPr>
            <w:tcW w:w="0" w:type="auto"/>
            <w:gridSpan w:val="9"/>
            <w:tcMar>
              <w:top w:w="0" w:type="dxa"/>
              <w:left w:w="20" w:type="dxa"/>
              <w:bottom w:w="0" w:type="dxa"/>
              <w:right w:w="20" w:type="dxa"/>
            </w:tcMar>
            <w:vAlign w:val="center"/>
            <w:hideMark/>
          </w:tcPr>
          <w:p w14:paraId="28A2852B" w14:textId="77777777" w:rsidR="00000000" w:rsidRDefault="00405D16">
            <w:pPr>
              <w:spacing w:after="100"/>
              <w:rPr>
                <w:rFonts w:eastAsia="Times New Roman"/>
                <w:sz w:val="20"/>
                <w:szCs w:val="20"/>
              </w:rPr>
            </w:pPr>
          </w:p>
        </w:tc>
      </w:tr>
      <w:tr w:rsidR="00000000" w14:paraId="7200A1E1" w14:textId="77777777">
        <w:trPr>
          <w:divId w:val="216822154"/>
          <w:jc w:val="center"/>
        </w:trPr>
        <w:tc>
          <w:tcPr>
            <w:tcW w:w="0" w:type="auto"/>
            <w:gridSpan w:val="3"/>
            <w:tcMar>
              <w:top w:w="0" w:type="dxa"/>
              <w:left w:w="20" w:type="dxa"/>
              <w:bottom w:w="0" w:type="dxa"/>
              <w:right w:w="20" w:type="dxa"/>
            </w:tcMar>
            <w:vAlign w:val="center"/>
            <w:hideMark/>
          </w:tcPr>
          <w:p w14:paraId="6BC0BB8A"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BE7885B" w14:textId="77777777" w:rsidR="00000000" w:rsidRDefault="00405D16">
            <w:pPr>
              <w:spacing w:after="100"/>
              <w:jc w:val="center"/>
              <w:rPr>
                <w:rFonts w:eastAsia="Times New Roman"/>
              </w:rPr>
            </w:pPr>
            <w:r>
              <w:rPr>
                <w:rFonts w:eastAsia="Times New Roman"/>
                <w:color w:val="000000"/>
                <w:sz w:val="16"/>
                <w:szCs w:val="16"/>
              </w:rPr>
              <w:t>48</w:t>
            </w:r>
          </w:p>
        </w:tc>
        <w:tc>
          <w:tcPr>
            <w:tcW w:w="0" w:type="auto"/>
            <w:gridSpan w:val="3"/>
            <w:tcMar>
              <w:top w:w="30" w:type="dxa"/>
              <w:left w:w="20" w:type="dxa"/>
              <w:bottom w:w="30" w:type="dxa"/>
              <w:right w:w="20" w:type="dxa"/>
            </w:tcMar>
            <w:vAlign w:val="bottom"/>
            <w:hideMark/>
          </w:tcPr>
          <w:p w14:paraId="5C66E233"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1D4F2F66" w14:textId="77777777" w:rsidR="00000000" w:rsidRDefault="00405D16">
      <w:pPr>
        <w:rPr>
          <w:rFonts w:eastAsia="Times New Roman"/>
        </w:rPr>
      </w:pPr>
      <w:r>
        <w:rPr>
          <w:rFonts w:eastAsia="Times New Roman"/>
        </w:rPr>
        <w:pict w14:anchorId="273AB345">
          <v:rect id="_x0000_i1073" style="width:0;height:1.5pt" o:hralign="center" o:hrstd="t" o:hr="t" fillcolor="#a0a0a0" stroked="f"/>
        </w:pict>
      </w:r>
    </w:p>
    <w:p w14:paraId="01DA1CDF" w14:textId="77777777" w:rsidR="00000000" w:rsidRDefault="00405D16">
      <w:pPr>
        <w:ind w:hanging="360"/>
        <w:jc w:val="both"/>
        <w:divId w:val="877666565"/>
        <w:rPr>
          <w:rFonts w:eastAsia="Times New Roman"/>
        </w:rPr>
      </w:pPr>
      <w:hyperlink w:anchor="idd54a04a485440b4ab4e56094c14d612_13" w:history="1">
        <w:r>
          <w:rPr>
            <w:rStyle w:val="a3"/>
            <w:rFonts w:eastAsia="Times New Roman"/>
            <w:sz w:val="16"/>
            <w:szCs w:val="16"/>
          </w:rPr>
          <w:t>Table of Contents</w:t>
        </w:r>
      </w:hyperlink>
    </w:p>
    <w:p w14:paraId="27924F0F" w14:textId="77777777" w:rsidR="00000000" w:rsidRDefault="00405D16">
      <w:pPr>
        <w:jc w:val="both"/>
        <w:divId w:val="462579733"/>
        <w:rPr>
          <w:rFonts w:eastAsia="Times New Roman"/>
        </w:rPr>
      </w:pPr>
      <w:r>
        <w:rPr>
          <w:rFonts w:eastAsia="Times New Roman"/>
          <w:color w:val="000000"/>
          <w:sz w:val="20"/>
          <w:szCs w:val="20"/>
        </w:rPr>
        <w:t>subsequent to modification, in “Note 3—Loans.”</w:t>
      </w:r>
    </w:p>
    <w:p w14:paraId="32EFC732" w14:textId="77777777" w:rsidR="00000000" w:rsidRDefault="00405D16">
      <w:pPr>
        <w:divId w:val="575633103"/>
        <w:rPr>
          <w:rFonts w:eastAsia="Times New Roman"/>
        </w:rPr>
      </w:pPr>
      <w:r>
        <w:rPr>
          <w:rFonts w:eastAsia="Times New Roman"/>
          <w:b/>
          <w:bCs/>
          <w:color w:val="000000"/>
          <w:sz w:val="20"/>
          <w:szCs w:val="20"/>
        </w:rPr>
        <w:t>Allowance for Credit Losses and Reserve for Unfunded Lending Commitments</w:t>
      </w:r>
    </w:p>
    <w:p w14:paraId="33B9A45A" w14:textId="77777777" w:rsidR="00000000" w:rsidRDefault="00405D16">
      <w:pPr>
        <w:jc w:val="both"/>
        <w:divId w:val="2147238002"/>
        <w:rPr>
          <w:rFonts w:eastAsia="Times New Roman"/>
        </w:rPr>
      </w:pPr>
      <w:r>
        <w:rPr>
          <w:rFonts w:eastAsia="Times New Roman"/>
          <w:color w:val="000000"/>
          <w:sz w:val="20"/>
          <w:szCs w:val="20"/>
        </w:rPr>
        <w:t>Our allowance for credi</w:t>
      </w:r>
      <w:r>
        <w:rPr>
          <w:rFonts w:eastAsia="Times New Roman"/>
          <w:color w:val="000000"/>
          <w:sz w:val="20"/>
          <w:szCs w:val="20"/>
        </w:rPr>
        <w:t>t losses represents management’s current estimate of expected credit losses over the contractual terms of our loans held for investment as of each balance sheet date. Expected recoveries of amounts previously charged off or expected to be charged off are r</w:t>
      </w:r>
      <w:r>
        <w:rPr>
          <w:rFonts w:eastAsia="Times New Roman"/>
          <w:color w:val="000000"/>
          <w:sz w:val="20"/>
          <w:szCs w:val="20"/>
        </w:rPr>
        <w:t>ecognized within the allowance. We also estimate expected credit losses related to unfunded lending commitments that are not unconditionally cancellable. The provision for losses on unfunded lending commitments is included in the provision for credit losse</w:t>
      </w:r>
      <w:r>
        <w:rPr>
          <w:rFonts w:eastAsia="Times New Roman"/>
          <w:color w:val="000000"/>
          <w:sz w:val="20"/>
          <w:szCs w:val="20"/>
        </w:rPr>
        <w:t>s in our consolidated statements of income and the related reserve for unfunded lending commitments is included in other liabilities on our consolidated balance sheets. We provide additional information on the methodologies and key assumptions used in dete</w:t>
      </w:r>
      <w:r>
        <w:rPr>
          <w:rFonts w:eastAsia="Times New Roman"/>
          <w:color w:val="000000"/>
          <w:sz w:val="20"/>
          <w:szCs w:val="20"/>
        </w:rPr>
        <w:t xml:space="preserve">rmining our allowance for credit losses in “Note 1—Summary of Significant Accounting Policies” in our 2020 Form 10-K. </w:t>
      </w:r>
    </w:p>
    <w:p w14:paraId="73E2ECB4" w14:textId="77777777" w:rsidR="00000000" w:rsidRDefault="00405D16">
      <w:pPr>
        <w:jc w:val="both"/>
        <w:divId w:val="1769957952"/>
        <w:rPr>
          <w:rFonts w:eastAsia="Times New Roman"/>
        </w:rPr>
      </w:pPr>
      <w:r>
        <w:rPr>
          <w:rFonts w:eastAsia="Times New Roman"/>
          <w:color w:val="000000"/>
          <w:sz w:val="20"/>
          <w:szCs w:val="20"/>
        </w:rPr>
        <w:t>Table 29 presents changes in our allowance for credit losses and reserve for unfunded lending commitments for the third quarter and first</w:t>
      </w:r>
      <w:r>
        <w:rPr>
          <w:rFonts w:eastAsia="Times New Roman"/>
          <w:color w:val="000000"/>
          <w:sz w:val="20"/>
          <w:szCs w:val="20"/>
        </w:rPr>
        <w:t xml:space="preserve"> nine months of 2021 and 2020, and details by portfolio segment for the provision for credit losses, charge-offs and recoveries.</w:t>
      </w:r>
    </w:p>
    <w:p w14:paraId="639FB7B0" w14:textId="77777777" w:rsidR="00000000" w:rsidRDefault="00405D16">
      <w:pPr>
        <w:divId w:val="1042172620"/>
        <w:rPr>
          <w:rFonts w:eastAsia="Times New Roman"/>
        </w:rPr>
      </w:pPr>
      <w:r>
        <w:rPr>
          <w:rFonts w:eastAsia="Times New Roman"/>
          <w:b/>
          <w:bCs/>
          <w:color w:val="000000"/>
          <w:sz w:val="18"/>
          <w:szCs w:val="18"/>
        </w:rPr>
        <w:t>Table 29: Allowance for Credit Losses and Reserve for Unfunded Lending Commitments Activity</w:t>
      </w:r>
    </w:p>
    <w:tbl>
      <w:tblPr>
        <w:tblW w:w="5000" w:type="pct"/>
        <w:tblCellMar>
          <w:top w:w="15" w:type="dxa"/>
          <w:left w:w="15" w:type="dxa"/>
          <w:bottom w:w="15" w:type="dxa"/>
          <w:right w:w="15" w:type="dxa"/>
        </w:tblCellMar>
        <w:tblLook w:val="04A0" w:firstRow="1" w:lastRow="0" w:firstColumn="1" w:lastColumn="0" w:noHBand="0" w:noVBand="1"/>
      </w:tblPr>
      <w:tblGrid>
        <w:gridCol w:w="40"/>
        <w:gridCol w:w="2293"/>
        <w:gridCol w:w="39"/>
        <w:gridCol w:w="36"/>
        <w:gridCol w:w="36"/>
        <w:gridCol w:w="36"/>
        <w:gridCol w:w="101"/>
        <w:gridCol w:w="458"/>
        <w:gridCol w:w="36"/>
        <w:gridCol w:w="36"/>
        <w:gridCol w:w="36"/>
        <w:gridCol w:w="36"/>
        <w:gridCol w:w="101"/>
        <w:gridCol w:w="674"/>
        <w:gridCol w:w="36"/>
        <w:gridCol w:w="36"/>
        <w:gridCol w:w="36"/>
        <w:gridCol w:w="36"/>
        <w:gridCol w:w="100"/>
        <w:gridCol w:w="400"/>
        <w:gridCol w:w="36"/>
        <w:gridCol w:w="36"/>
        <w:gridCol w:w="36"/>
        <w:gridCol w:w="36"/>
        <w:gridCol w:w="100"/>
        <w:gridCol w:w="400"/>
        <w:gridCol w:w="36"/>
        <w:gridCol w:w="36"/>
        <w:gridCol w:w="36"/>
        <w:gridCol w:w="36"/>
        <w:gridCol w:w="101"/>
        <w:gridCol w:w="416"/>
        <w:gridCol w:w="36"/>
        <w:gridCol w:w="36"/>
        <w:gridCol w:w="36"/>
        <w:gridCol w:w="36"/>
        <w:gridCol w:w="101"/>
        <w:gridCol w:w="526"/>
        <w:gridCol w:w="36"/>
        <w:gridCol w:w="36"/>
        <w:gridCol w:w="36"/>
        <w:gridCol w:w="36"/>
        <w:gridCol w:w="101"/>
        <w:gridCol w:w="623"/>
        <w:gridCol w:w="36"/>
        <w:gridCol w:w="36"/>
        <w:gridCol w:w="36"/>
        <w:gridCol w:w="36"/>
        <w:gridCol w:w="100"/>
        <w:gridCol w:w="480"/>
        <w:gridCol w:w="36"/>
      </w:tblGrid>
      <w:tr w:rsidR="00000000" w14:paraId="16D63C8C" w14:textId="77777777">
        <w:trPr>
          <w:divId w:val="513231771"/>
        </w:trPr>
        <w:tc>
          <w:tcPr>
            <w:tcW w:w="50" w:type="pct"/>
            <w:vAlign w:val="center"/>
            <w:hideMark/>
          </w:tcPr>
          <w:p w14:paraId="0156D659" w14:textId="77777777" w:rsidR="00000000" w:rsidRDefault="00405D16">
            <w:pPr>
              <w:rPr>
                <w:rFonts w:eastAsia="Times New Roman"/>
              </w:rPr>
            </w:pPr>
          </w:p>
        </w:tc>
        <w:tc>
          <w:tcPr>
            <w:tcW w:w="1955" w:type="pct"/>
            <w:vAlign w:val="center"/>
            <w:hideMark/>
          </w:tcPr>
          <w:p w14:paraId="7B69CE06" w14:textId="77777777" w:rsidR="00000000" w:rsidRDefault="00405D16">
            <w:pPr>
              <w:spacing w:after="100"/>
              <w:rPr>
                <w:rFonts w:eastAsia="Times New Roman"/>
                <w:sz w:val="20"/>
                <w:szCs w:val="20"/>
              </w:rPr>
            </w:pPr>
          </w:p>
        </w:tc>
        <w:tc>
          <w:tcPr>
            <w:tcW w:w="5" w:type="pct"/>
            <w:vAlign w:val="center"/>
            <w:hideMark/>
          </w:tcPr>
          <w:p w14:paraId="2511B724" w14:textId="77777777" w:rsidR="00000000" w:rsidRDefault="00405D16">
            <w:pPr>
              <w:spacing w:after="100"/>
              <w:rPr>
                <w:rFonts w:eastAsia="Times New Roman"/>
                <w:sz w:val="20"/>
                <w:szCs w:val="20"/>
              </w:rPr>
            </w:pPr>
          </w:p>
        </w:tc>
        <w:tc>
          <w:tcPr>
            <w:tcW w:w="5" w:type="pct"/>
            <w:vAlign w:val="center"/>
            <w:hideMark/>
          </w:tcPr>
          <w:p w14:paraId="33ABA1F1" w14:textId="77777777" w:rsidR="00000000" w:rsidRDefault="00405D16">
            <w:pPr>
              <w:spacing w:after="100"/>
              <w:rPr>
                <w:rFonts w:eastAsia="Times New Roman"/>
                <w:sz w:val="20"/>
                <w:szCs w:val="20"/>
              </w:rPr>
            </w:pPr>
          </w:p>
        </w:tc>
        <w:tc>
          <w:tcPr>
            <w:tcW w:w="26" w:type="pct"/>
            <w:vAlign w:val="center"/>
            <w:hideMark/>
          </w:tcPr>
          <w:p w14:paraId="5A70676D" w14:textId="77777777" w:rsidR="00000000" w:rsidRDefault="00405D16">
            <w:pPr>
              <w:spacing w:after="100"/>
              <w:rPr>
                <w:rFonts w:eastAsia="Times New Roman"/>
                <w:sz w:val="20"/>
                <w:szCs w:val="20"/>
              </w:rPr>
            </w:pPr>
          </w:p>
        </w:tc>
        <w:tc>
          <w:tcPr>
            <w:tcW w:w="5" w:type="pct"/>
            <w:vAlign w:val="center"/>
            <w:hideMark/>
          </w:tcPr>
          <w:p w14:paraId="253CA860" w14:textId="77777777" w:rsidR="00000000" w:rsidRDefault="00405D16">
            <w:pPr>
              <w:spacing w:after="100"/>
              <w:rPr>
                <w:rFonts w:eastAsia="Times New Roman"/>
                <w:sz w:val="20"/>
                <w:szCs w:val="20"/>
              </w:rPr>
            </w:pPr>
          </w:p>
        </w:tc>
        <w:tc>
          <w:tcPr>
            <w:tcW w:w="50" w:type="pct"/>
            <w:vAlign w:val="center"/>
            <w:hideMark/>
          </w:tcPr>
          <w:p w14:paraId="2314344F" w14:textId="77777777" w:rsidR="00000000" w:rsidRDefault="00405D16">
            <w:pPr>
              <w:spacing w:after="100"/>
              <w:rPr>
                <w:rFonts w:eastAsia="Times New Roman"/>
                <w:sz w:val="20"/>
                <w:szCs w:val="20"/>
              </w:rPr>
            </w:pPr>
          </w:p>
        </w:tc>
        <w:tc>
          <w:tcPr>
            <w:tcW w:w="266" w:type="pct"/>
            <w:vAlign w:val="center"/>
            <w:hideMark/>
          </w:tcPr>
          <w:p w14:paraId="59276E79" w14:textId="77777777" w:rsidR="00000000" w:rsidRDefault="00405D16">
            <w:pPr>
              <w:spacing w:after="100"/>
              <w:rPr>
                <w:rFonts w:eastAsia="Times New Roman"/>
                <w:sz w:val="20"/>
                <w:szCs w:val="20"/>
              </w:rPr>
            </w:pPr>
          </w:p>
        </w:tc>
        <w:tc>
          <w:tcPr>
            <w:tcW w:w="5" w:type="pct"/>
            <w:vAlign w:val="center"/>
            <w:hideMark/>
          </w:tcPr>
          <w:p w14:paraId="58C60580" w14:textId="77777777" w:rsidR="00000000" w:rsidRDefault="00405D16">
            <w:pPr>
              <w:spacing w:after="100"/>
              <w:rPr>
                <w:rFonts w:eastAsia="Times New Roman"/>
                <w:sz w:val="20"/>
                <w:szCs w:val="20"/>
              </w:rPr>
            </w:pPr>
          </w:p>
        </w:tc>
        <w:tc>
          <w:tcPr>
            <w:tcW w:w="5" w:type="pct"/>
            <w:vAlign w:val="center"/>
            <w:hideMark/>
          </w:tcPr>
          <w:p w14:paraId="3FCDEEC5" w14:textId="77777777" w:rsidR="00000000" w:rsidRDefault="00405D16">
            <w:pPr>
              <w:spacing w:after="100"/>
              <w:rPr>
                <w:rFonts w:eastAsia="Times New Roman"/>
                <w:sz w:val="20"/>
                <w:szCs w:val="20"/>
              </w:rPr>
            </w:pPr>
          </w:p>
        </w:tc>
        <w:tc>
          <w:tcPr>
            <w:tcW w:w="26" w:type="pct"/>
            <w:vAlign w:val="center"/>
            <w:hideMark/>
          </w:tcPr>
          <w:p w14:paraId="5A4DCB4A" w14:textId="77777777" w:rsidR="00000000" w:rsidRDefault="00405D16">
            <w:pPr>
              <w:spacing w:after="100"/>
              <w:rPr>
                <w:rFonts w:eastAsia="Times New Roman"/>
                <w:sz w:val="20"/>
                <w:szCs w:val="20"/>
              </w:rPr>
            </w:pPr>
          </w:p>
        </w:tc>
        <w:tc>
          <w:tcPr>
            <w:tcW w:w="5" w:type="pct"/>
            <w:vAlign w:val="center"/>
            <w:hideMark/>
          </w:tcPr>
          <w:p w14:paraId="757CB9E9" w14:textId="77777777" w:rsidR="00000000" w:rsidRDefault="00405D16">
            <w:pPr>
              <w:spacing w:after="100"/>
              <w:rPr>
                <w:rFonts w:eastAsia="Times New Roman"/>
                <w:sz w:val="20"/>
                <w:szCs w:val="20"/>
              </w:rPr>
            </w:pPr>
          </w:p>
        </w:tc>
        <w:tc>
          <w:tcPr>
            <w:tcW w:w="50" w:type="pct"/>
            <w:vAlign w:val="center"/>
            <w:hideMark/>
          </w:tcPr>
          <w:p w14:paraId="4CF50C4A" w14:textId="77777777" w:rsidR="00000000" w:rsidRDefault="00405D16">
            <w:pPr>
              <w:spacing w:after="100"/>
              <w:rPr>
                <w:rFonts w:eastAsia="Times New Roman"/>
                <w:sz w:val="20"/>
                <w:szCs w:val="20"/>
              </w:rPr>
            </w:pPr>
          </w:p>
        </w:tc>
        <w:tc>
          <w:tcPr>
            <w:tcW w:w="361" w:type="pct"/>
            <w:vAlign w:val="center"/>
            <w:hideMark/>
          </w:tcPr>
          <w:p w14:paraId="6FE55B68" w14:textId="77777777" w:rsidR="00000000" w:rsidRDefault="00405D16">
            <w:pPr>
              <w:spacing w:after="100"/>
              <w:rPr>
                <w:rFonts w:eastAsia="Times New Roman"/>
                <w:sz w:val="20"/>
                <w:szCs w:val="20"/>
              </w:rPr>
            </w:pPr>
          </w:p>
        </w:tc>
        <w:tc>
          <w:tcPr>
            <w:tcW w:w="5" w:type="pct"/>
            <w:vAlign w:val="center"/>
            <w:hideMark/>
          </w:tcPr>
          <w:p w14:paraId="4CF08D88" w14:textId="77777777" w:rsidR="00000000" w:rsidRDefault="00405D16">
            <w:pPr>
              <w:spacing w:after="100"/>
              <w:rPr>
                <w:rFonts w:eastAsia="Times New Roman"/>
                <w:sz w:val="20"/>
                <w:szCs w:val="20"/>
              </w:rPr>
            </w:pPr>
          </w:p>
        </w:tc>
        <w:tc>
          <w:tcPr>
            <w:tcW w:w="5" w:type="pct"/>
            <w:vAlign w:val="center"/>
            <w:hideMark/>
          </w:tcPr>
          <w:p w14:paraId="437271D9" w14:textId="77777777" w:rsidR="00000000" w:rsidRDefault="00405D16">
            <w:pPr>
              <w:spacing w:after="100"/>
              <w:rPr>
                <w:rFonts w:eastAsia="Times New Roman"/>
                <w:sz w:val="20"/>
                <w:szCs w:val="20"/>
              </w:rPr>
            </w:pPr>
          </w:p>
        </w:tc>
        <w:tc>
          <w:tcPr>
            <w:tcW w:w="26" w:type="pct"/>
            <w:vAlign w:val="center"/>
            <w:hideMark/>
          </w:tcPr>
          <w:p w14:paraId="18866AB3" w14:textId="77777777" w:rsidR="00000000" w:rsidRDefault="00405D16">
            <w:pPr>
              <w:spacing w:after="100"/>
              <w:rPr>
                <w:rFonts w:eastAsia="Times New Roman"/>
                <w:sz w:val="20"/>
                <w:szCs w:val="20"/>
              </w:rPr>
            </w:pPr>
          </w:p>
        </w:tc>
        <w:tc>
          <w:tcPr>
            <w:tcW w:w="5" w:type="pct"/>
            <w:vAlign w:val="center"/>
            <w:hideMark/>
          </w:tcPr>
          <w:p w14:paraId="77B818D6" w14:textId="77777777" w:rsidR="00000000" w:rsidRDefault="00405D16">
            <w:pPr>
              <w:spacing w:after="100"/>
              <w:rPr>
                <w:rFonts w:eastAsia="Times New Roman"/>
                <w:sz w:val="20"/>
                <w:szCs w:val="20"/>
              </w:rPr>
            </w:pPr>
          </w:p>
        </w:tc>
        <w:tc>
          <w:tcPr>
            <w:tcW w:w="50" w:type="pct"/>
            <w:vAlign w:val="center"/>
            <w:hideMark/>
          </w:tcPr>
          <w:p w14:paraId="6C9DB257" w14:textId="77777777" w:rsidR="00000000" w:rsidRDefault="00405D16">
            <w:pPr>
              <w:spacing w:after="100"/>
              <w:rPr>
                <w:rFonts w:eastAsia="Times New Roman"/>
                <w:sz w:val="20"/>
                <w:szCs w:val="20"/>
              </w:rPr>
            </w:pPr>
          </w:p>
        </w:tc>
        <w:tc>
          <w:tcPr>
            <w:tcW w:w="266" w:type="pct"/>
            <w:vAlign w:val="center"/>
            <w:hideMark/>
          </w:tcPr>
          <w:p w14:paraId="78CFA352" w14:textId="77777777" w:rsidR="00000000" w:rsidRDefault="00405D16">
            <w:pPr>
              <w:spacing w:after="100"/>
              <w:rPr>
                <w:rFonts w:eastAsia="Times New Roman"/>
                <w:sz w:val="20"/>
                <w:szCs w:val="20"/>
              </w:rPr>
            </w:pPr>
          </w:p>
        </w:tc>
        <w:tc>
          <w:tcPr>
            <w:tcW w:w="5" w:type="pct"/>
            <w:vAlign w:val="center"/>
            <w:hideMark/>
          </w:tcPr>
          <w:p w14:paraId="50B97A66" w14:textId="77777777" w:rsidR="00000000" w:rsidRDefault="00405D16">
            <w:pPr>
              <w:spacing w:after="100"/>
              <w:rPr>
                <w:rFonts w:eastAsia="Times New Roman"/>
                <w:sz w:val="20"/>
                <w:szCs w:val="20"/>
              </w:rPr>
            </w:pPr>
          </w:p>
        </w:tc>
        <w:tc>
          <w:tcPr>
            <w:tcW w:w="5" w:type="pct"/>
            <w:vAlign w:val="center"/>
            <w:hideMark/>
          </w:tcPr>
          <w:p w14:paraId="76996D66" w14:textId="77777777" w:rsidR="00000000" w:rsidRDefault="00405D16">
            <w:pPr>
              <w:spacing w:after="100"/>
              <w:rPr>
                <w:rFonts w:eastAsia="Times New Roman"/>
                <w:sz w:val="20"/>
                <w:szCs w:val="20"/>
              </w:rPr>
            </w:pPr>
          </w:p>
        </w:tc>
        <w:tc>
          <w:tcPr>
            <w:tcW w:w="26" w:type="pct"/>
            <w:vAlign w:val="center"/>
            <w:hideMark/>
          </w:tcPr>
          <w:p w14:paraId="7706D3CB" w14:textId="77777777" w:rsidR="00000000" w:rsidRDefault="00405D16">
            <w:pPr>
              <w:spacing w:after="100"/>
              <w:rPr>
                <w:rFonts w:eastAsia="Times New Roman"/>
                <w:sz w:val="20"/>
                <w:szCs w:val="20"/>
              </w:rPr>
            </w:pPr>
          </w:p>
        </w:tc>
        <w:tc>
          <w:tcPr>
            <w:tcW w:w="5" w:type="pct"/>
            <w:vAlign w:val="center"/>
            <w:hideMark/>
          </w:tcPr>
          <w:p w14:paraId="5BF808C2" w14:textId="77777777" w:rsidR="00000000" w:rsidRDefault="00405D16">
            <w:pPr>
              <w:spacing w:after="100"/>
              <w:rPr>
                <w:rFonts w:eastAsia="Times New Roman"/>
                <w:sz w:val="20"/>
                <w:szCs w:val="20"/>
              </w:rPr>
            </w:pPr>
          </w:p>
        </w:tc>
        <w:tc>
          <w:tcPr>
            <w:tcW w:w="50" w:type="pct"/>
            <w:vAlign w:val="center"/>
            <w:hideMark/>
          </w:tcPr>
          <w:p w14:paraId="5574D79D" w14:textId="77777777" w:rsidR="00000000" w:rsidRDefault="00405D16">
            <w:pPr>
              <w:spacing w:after="100"/>
              <w:rPr>
                <w:rFonts w:eastAsia="Times New Roman"/>
                <w:sz w:val="20"/>
                <w:szCs w:val="20"/>
              </w:rPr>
            </w:pPr>
          </w:p>
        </w:tc>
        <w:tc>
          <w:tcPr>
            <w:tcW w:w="215" w:type="pct"/>
            <w:vAlign w:val="center"/>
            <w:hideMark/>
          </w:tcPr>
          <w:p w14:paraId="7E807367" w14:textId="77777777" w:rsidR="00000000" w:rsidRDefault="00405D16">
            <w:pPr>
              <w:spacing w:after="100"/>
              <w:rPr>
                <w:rFonts w:eastAsia="Times New Roman"/>
                <w:sz w:val="20"/>
                <w:szCs w:val="20"/>
              </w:rPr>
            </w:pPr>
          </w:p>
        </w:tc>
        <w:tc>
          <w:tcPr>
            <w:tcW w:w="5" w:type="pct"/>
            <w:vAlign w:val="center"/>
            <w:hideMark/>
          </w:tcPr>
          <w:p w14:paraId="20D840AA" w14:textId="77777777" w:rsidR="00000000" w:rsidRDefault="00405D16">
            <w:pPr>
              <w:spacing w:after="100"/>
              <w:rPr>
                <w:rFonts w:eastAsia="Times New Roman"/>
                <w:sz w:val="20"/>
                <w:szCs w:val="20"/>
              </w:rPr>
            </w:pPr>
          </w:p>
        </w:tc>
        <w:tc>
          <w:tcPr>
            <w:tcW w:w="5" w:type="pct"/>
            <w:vAlign w:val="center"/>
            <w:hideMark/>
          </w:tcPr>
          <w:p w14:paraId="2335722E" w14:textId="77777777" w:rsidR="00000000" w:rsidRDefault="00405D16">
            <w:pPr>
              <w:spacing w:after="100"/>
              <w:rPr>
                <w:rFonts w:eastAsia="Times New Roman"/>
                <w:sz w:val="20"/>
                <w:szCs w:val="20"/>
              </w:rPr>
            </w:pPr>
          </w:p>
        </w:tc>
        <w:tc>
          <w:tcPr>
            <w:tcW w:w="26" w:type="pct"/>
            <w:vAlign w:val="center"/>
            <w:hideMark/>
          </w:tcPr>
          <w:p w14:paraId="546A1FEF" w14:textId="77777777" w:rsidR="00000000" w:rsidRDefault="00405D16">
            <w:pPr>
              <w:spacing w:after="100"/>
              <w:rPr>
                <w:rFonts w:eastAsia="Times New Roman"/>
                <w:sz w:val="20"/>
                <w:szCs w:val="20"/>
              </w:rPr>
            </w:pPr>
          </w:p>
        </w:tc>
        <w:tc>
          <w:tcPr>
            <w:tcW w:w="5" w:type="pct"/>
            <w:vAlign w:val="center"/>
            <w:hideMark/>
          </w:tcPr>
          <w:p w14:paraId="0657E9C5" w14:textId="77777777" w:rsidR="00000000" w:rsidRDefault="00405D16">
            <w:pPr>
              <w:spacing w:after="100"/>
              <w:rPr>
                <w:rFonts w:eastAsia="Times New Roman"/>
                <w:sz w:val="20"/>
                <w:szCs w:val="20"/>
              </w:rPr>
            </w:pPr>
          </w:p>
        </w:tc>
        <w:tc>
          <w:tcPr>
            <w:tcW w:w="50" w:type="pct"/>
            <w:vAlign w:val="center"/>
            <w:hideMark/>
          </w:tcPr>
          <w:p w14:paraId="75AFEB27" w14:textId="77777777" w:rsidR="00000000" w:rsidRDefault="00405D16">
            <w:pPr>
              <w:spacing w:after="100"/>
              <w:rPr>
                <w:rFonts w:eastAsia="Times New Roman"/>
                <w:sz w:val="20"/>
                <w:szCs w:val="20"/>
              </w:rPr>
            </w:pPr>
          </w:p>
        </w:tc>
        <w:tc>
          <w:tcPr>
            <w:tcW w:w="244" w:type="pct"/>
            <w:vAlign w:val="center"/>
            <w:hideMark/>
          </w:tcPr>
          <w:p w14:paraId="78DD2708" w14:textId="77777777" w:rsidR="00000000" w:rsidRDefault="00405D16">
            <w:pPr>
              <w:spacing w:after="100"/>
              <w:rPr>
                <w:rFonts w:eastAsia="Times New Roman"/>
                <w:sz w:val="20"/>
                <w:szCs w:val="20"/>
              </w:rPr>
            </w:pPr>
          </w:p>
        </w:tc>
        <w:tc>
          <w:tcPr>
            <w:tcW w:w="5" w:type="pct"/>
            <w:vAlign w:val="center"/>
            <w:hideMark/>
          </w:tcPr>
          <w:p w14:paraId="572F6573" w14:textId="77777777" w:rsidR="00000000" w:rsidRDefault="00405D16">
            <w:pPr>
              <w:spacing w:after="100"/>
              <w:rPr>
                <w:rFonts w:eastAsia="Times New Roman"/>
                <w:sz w:val="20"/>
                <w:szCs w:val="20"/>
              </w:rPr>
            </w:pPr>
          </w:p>
        </w:tc>
        <w:tc>
          <w:tcPr>
            <w:tcW w:w="5" w:type="pct"/>
            <w:vAlign w:val="center"/>
            <w:hideMark/>
          </w:tcPr>
          <w:p w14:paraId="5053DD3E" w14:textId="77777777" w:rsidR="00000000" w:rsidRDefault="00405D16">
            <w:pPr>
              <w:spacing w:after="100"/>
              <w:rPr>
                <w:rFonts w:eastAsia="Times New Roman"/>
                <w:sz w:val="20"/>
                <w:szCs w:val="20"/>
              </w:rPr>
            </w:pPr>
          </w:p>
        </w:tc>
        <w:tc>
          <w:tcPr>
            <w:tcW w:w="26" w:type="pct"/>
            <w:vAlign w:val="center"/>
            <w:hideMark/>
          </w:tcPr>
          <w:p w14:paraId="3C5B8604" w14:textId="77777777" w:rsidR="00000000" w:rsidRDefault="00405D16">
            <w:pPr>
              <w:spacing w:after="100"/>
              <w:rPr>
                <w:rFonts w:eastAsia="Times New Roman"/>
                <w:sz w:val="20"/>
                <w:szCs w:val="20"/>
              </w:rPr>
            </w:pPr>
          </w:p>
        </w:tc>
        <w:tc>
          <w:tcPr>
            <w:tcW w:w="5" w:type="pct"/>
            <w:vAlign w:val="center"/>
            <w:hideMark/>
          </w:tcPr>
          <w:p w14:paraId="1E310FE9" w14:textId="77777777" w:rsidR="00000000" w:rsidRDefault="00405D16">
            <w:pPr>
              <w:spacing w:after="100"/>
              <w:rPr>
                <w:rFonts w:eastAsia="Times New Roman"/>
                <w:sz w:val="20"/>
                <w:szCs w:val="20"/>
              </w:rPr>
            </w:pPr>
          </w:p>
        </w:tc>
        <w:tc>
          <w:tcPr>
            <w:tcW w:w="50" w:type="pct"/>
            <w:vAlign w:val="center"/>
            <w:hideMark/>
          </w:tcPr>
          <w:p w14:paraId="5B3C29EC" w14:textId="77777777" w:rsidR="00000000" w:rsidRDefault="00405D16">
            <w:pPr>
              <w:spacing w:after="100"/>
              <w:rPr>
                <w:rFonts w:eastAsia="Times New Roman"/>
                <w:sz w:val="20"/>
                <w:szCs w:val="20"/>
              </w:rPr>
            </w:pPr>
          </w:p>
        </w:tc>
        <w:tc>
          <w:tcPr>
            <w:tcW w:w="317" w:type="pct"/>
            <w:vAlign w:val="center"/>
            <w:hideMark/>
          </w:tcPr>
          <w:p w14:paraId="2E211921" w14:textId="77777777" w:rsidR="00000000" w:rsidRDefault="00405D16">
            <w:pPr>
              <w:spacing w:after="100"/>
              <w:rPr>
                <w:rFonts w:eastAsia="Times New Roman"/>
                <w:sz w:val="20"/>
                <w:szCs w:val="20"/>
              </w:rPr>
            </w:pPr>
          </w:p>
        </w:tc>
        <w:tc>
          <w:tcPr>
            <w:tcW w:w="5" w:type="pct"/>
            <w:vAlign w:val="center"/>
            <w:hideMark/>
          </w:tcPr>
          <w:p w14:paraId="46CDCB06" w14:textId="77777777" w:rsidR="00000000" w:rsidRDefault="00405D16">
            <w:pPr>
              <w:spacing w:after="100"/>
              <w:rPr>
                <w:rFonts w:eastAsia="Times New Roman"/>
                <w:sz w:val="20"/>
                <w:szCs w:val="20"/>
              </w:rPr>
            </w:pPr>
          </w:p>
        </w:tc>
        <w:tc>
          <w:tcPr>
            <w:tcW w:w="5" w:type="pct"/>
            <w:vAlign w:val="center"/>
            <w:hideMark/>
          </w:tcPr>
          <w:p w14:paraId="5FF27C52" w14:textId="77777777" w:rsidR="00000000" w:rsidRDefault="00405D16">
            <w:pPr>
              <w:spacing w:after="100"/>
              <w:rPr>
                <w:rFonts w:eastAsia="Times New Roman"/>
                <w:sz w:val="20"/>
                <w:szCs w:val="20"/>
              </w:rPr>
            </w:pPr>
          </w:p>
        </w:tc>
        <w:tc>
          <w:tcPr>
            <w:tcW w:w="26" w:type="pct"/>
            <w:vAlign w:val="center"/>
            <w:hideMark/>
          </w:tcPr>
          <w:p w14:paraId="74983924" w14:textId="77777777" w:rsidR="00000000" w:rsidRDefault="00405D16">
            <w:pPr>
              <w:spacing w:after="100"/>
              <w:rPr>
                <w:rFonts w:eastAsia="Times New Roman"/>
                <w:sz w:val="20"/>
                <w:szCs w:val="20"/>
              </w:rPr>
            </w:pPr>
          </w:p>
        </w:tc>
        <w:tc>
          <w:tcPr>
            <w:tcW w:w="5" w:type="pct"/>
            <w:vAlign w:val="center"/>
            <w:hideMark/>
          </w:tcPr>
          <w:p w14:paraId="0ED514BD" w14:textId="77777777" w:rsidR="00000000" w:rsidRDefault="00405D16">
            <w:pPr>
              <w:spacing w:after="100"/>
              <w:rPr>
                <w:rFonts w:eastAsia="Times New Roman"/>
                <w:sz w:val="20"/>
                <w:szCs w:val="20"/>
              </w:rPr>
            </w:pPr>
          </w:p>
        </w:tc>
        <w:tc>
          <w:tcPr>
            <w:tcW w:w="50" w:type="pct"/>
            <w:vAlign w:val="center"/>
            <w:hideMark/>
          </w:tcPr>
          <w:p w14:paraId="1F89577A" w14:textId="77777777" w:rsidR="00000000" w:rsidRDefault="00405D16">
            <w:pPr>
              <w:spacing w:after="100"/>
              <w:rPr>
                <w:rFonts w:eastAsia="Times New Roman"/>
                <w:sz w:val="20"/>
                <w:szCs w:val="20"/>
              </w:rPr>
            </w:pPr>
          </w:p>
        </w:tc>
        <w:tc>
          <w:tcPr>
            <w:tcW w:w="332" w:type="pct"/>
            <w:vAlign w:val="center"/>
            <w:hideMark/>
          </w:tcPr>
          <w:p w14:paraId="72ED9B5D" w14:textId="77777777" w:rsidR="00000000" w:rsidRDefault="00405D16">
            <w:pPr>
              <w:spacing w:after="100"/>
              <w:rPr>
                <w:rFonts w:eastAsia="Times New Roman"/>
                <w:sz w:val="20"/>
                <w:szCs w:val="20"/>
              </w:rPr>
            </w:pPr>
          </w:p>
        </w:tc>
        <w:tc>
          <w:tcPr>
            <w:tcW w:w="5" w:type="pct"/>
            <w:vAlign w:val="center"/>
            <w:hideMark/>
          </w:tcPr>
          <w:p w14:paraId="206E39E5" w14:textId="77777777" w:rsidR="00000000" w:rsidRDefault="00405D16">
            <w:pPr>
              <w:spacing w:after="100"/>
              <w:rPr>
                <w:rFonts w:eastAsia="Times New Roman"/>
                <w:sz w:val="20"/>
                <w:szCs w:val="20"/>
              </w:rPr>
            </w:pPr>
          </w:p>
        </w:tc>
        <w:tc>
          <w:tcPr>
            <w:tcW w:w="5" w:type="pct"/>
            <w:vAlign w:val="center"/>
            <w:hideMark/>
          </w:tcPr>
          <w:p w14:paraId="3FAFCA74" w14:textId="77777777" w:rsidR="00000000" w:rsidRDefault="00405D16">
            <w:pPr>
              <w:spacing w:after="100"/>
              <w:rPr>
                <w:rFonts w:eastAsia="Times New Roman"/>
                <w:sz w:val="20"/>
                <w:szCs w:val="20"/>
              </w:rPr>
            </w:pPr>
          </w:p>
        </w:tc>
        <w:tc>
          <w:tcPr>
            <w:tcW w:w="26" w:type="pct"/>
            <w:vAlign w:val="center"/>
            <w:hideMark/>
          </w:tcPr>
          <w:p w14:paraId="55F689D3" w14:textId="77777777" w:rsidR="00000000" w:rsidRDefault="00405D16">
            <w:pPr>
              <w:spacing w:after="100"/>
              <w:rPr>
                <w:rFonts w:eastAsia="Times New Roman"/>
                <w:sz w:val="20"/>
                <w:szCs w:val="20"/>
              </w:rPr>
            </w:pPr>
          </w:p>
        </w:tc>
        <w:tc>
          <w:tcPr>
            <w:tcW w:w="5" w:type="pct"/>
            <w:vAlign w:val="center"/>
            <w:hideMark/>
          </w:tcPr>
          <w:p w14:paraId="6E123AA4" w14:textId="77777777" w:rsidR="00000000" w:rsidRDefault="00405D16">
            <w:pPr>
              <w:spacing w:after="100"/>
              <w:rPr>
                <w:rFonts w:eastAsia="Times New Roman"/>
                <w:sz w:val="20"/>
                <w:szCs w:val="20"/>
              </w:rPr>
            </w:pPr>
          </w:p>
        </w:tc>
        <w:tc>
          <w:tcPr>
            <w:tcW w:w="50" w:type="pct"/>
            <w:vAlign w:val="center"/>
            <w:hideMark/>
          </w:tcPr>
          <w:p w14:paraId="4C60A15C" w14:textId="77777777" w:rsidR="00000000" w:rsidRDefault="00405D16">
            <w:pPr>
              <w:spacing w:after="100"/>
              <w:rPr>
                <w:rFonts w:eastAsia="Times New Roman"/>
                <w:sz w:val="20"/>
                <w:szCs w:val="20"/>
              </w:rPr>
            </w:pPr>
          </w:p>
        </w:tc>
        <w:tc>
          <w:tcPr>
            <w:tcW w:w="252" w:type="pct"/>
            <w:vAlign w:val="center"/>
            <w:hideMark/>
          </w:tcPr>
          <w:p w14:paraId="321B22F6" w14:textId="77777777" w:rsidR="00000000" w:rsidRDefault="00405D16">
            <w:pPr>
              <w:spacing w:after="100"/>
              <w:rPr>
                <w:rFonts w:eastAsia="Times New Roman"/>
                <w:sz w:val="20"/>
                <w:szCs w:val="20"/>
              </w:rPr>
            </w:pPr>
          </w:p>
        </w:tc>
        <w:tc>
          <w:tcPr>
            <w:tcW w:w="5" w:type="pct"/>
            <w:vAlign w:val="center"/>
            <w:hideMark/>
          </w:tcPr>
          <w:p w14:paraId="5618F75B" w14:textId="77777777" w:rsidR="00000000" w:rsidRDefault="00405D16">
            <w:pPr>
              <w:spacing w:after="100"/>
              <w:rPr>
                <w:rFonts w:eastAsia="Times New Roman"/>
                <w:sz w:val="20"/>
                <w:szCs w:val="20"/>
              </w:rPr>
            </w:pPr>
          </w:p>
        </w:tc>
      </w:tr>
      <w:tr w:rsidR="00000000" w14:paraId="5C1D0DB0" w14:textId="77777777">
        <w:trPr>
          <w:divId w:val="513231771"/>
        </w:trPr>
        <w:tc>
          <w:tcPr>
            <w:tcW w:w="0" w:type="auto"/>
            <w:gridSpan w:val="3"/>
            <w:vAlign w:val="center"/>
            <w:hideMark/>
          </w:tcPr>
          <w:p w14:paraId="33DD7C36" w14:textId="77777777" w:rsidR="00000000" w:rsidRDefault="00405D16">
            <w:pPr>
              <w:spacing w:after="100"/>
              <w:rPr>
                <w:rFonts w:eastAsia="Times New Roman"/>
                <w:sz w:val="20"/>
                <w:szCs w:val="20"/>
              </w:rPr>
            </w:pPr>
          </w:p>
        </w:tc>
        <w:tc>
          <w:tcPr>
            <w:tcW w:w="0" w:type="auto"/>
            <w:vAlign w:val="center"/>
            <w:hideMark/>
          </w:tcPr>
          <w:p w14:paraId="52F2E3AE" w14:textId="77777777" w:rsidR="00000000" w:rsidRDefault="00405D16">
            <w:pPr>
              <w:spacing w:after="100"/>
              <w:rPr>
                <w:rFonts w:eastAsia="Times New Roman"/>
                <w:sz w:val="20"/>
                <w:szCs w:val="20"/>
              </w:rPr>
            </w:pPr>
          </w:p>
        </w:tc>
        <w:tc>
          <w:tcPr>
            <w:tcW w:w="0" w:type="auto"/>
            <w:vAlign w:val="center"/>
            <w:hideMark/>
          </w:tcPr>
          <w:p w14:paraId="4B156FAA" w14:textId="77777777" w:rsidR="00000000" w:rsidRDefault="00405D16">
            <w:pPr>
              <w:spacing w:after="100"/>
              <w:rPr>
                <w:rFonts w:eastAsia="Times New Roman"/>
                <w:sz w:val="20"/>
                <w:szCs w:val="20"/>
              </w:rPr>
            </w:pPr>
          </w:p>
        </w:tc>
        <w:tc>
          <w:tcPr>
            <w:tcW w:w="0" w:type="auto"/>
            <w:vAlign w:val="center"/>
            <w:hideMark/>
          </w:tcPr>
          <w:p w14:paraId="1069A45A" w14:textId="77777777" w:rsidR="00000000" w:rsidRDefault="00405D16">
            <w:pPr>
              <w:spacing w:after="100"/>
              <w:rPr>
                <w:rFonts w:eastAsia="Times New Roman"/>
                <w:sz w:val="20"/>
                <w:szCs w:val="20"/>
              </w:rPr>
            </w:pPr>
          </w:p>
        </w:tc>
        <w:tc>
          <w:tcPr>
            <w:tcW w:w="0" w:type="auto"/>
            <w:vAlign w:val="center"/>
            <w:hideMark/>
          </w:tcPr>
          <w:p w14:paraId="3FD2D122" w14:textId="77777777" w:rsidR="00000000" w:rsidRDefault="00405D16">
            <w:pPr>
              <w:spacing w:after="100"/>
              <w:rPr>
                <w:rFonts w:eastAsia="Times New Roman"/>
                <w:sz w:val="20"/>
                <w:szCs w:val="20"/>
              </w:rPr>
            </w:pPr>
          </w:p>
        </w:tc>
        <w:tc>
          <w:tcPr>
            <w:tcW w:w="0" w:type="auto"/>
            <w:vAlign w:val="center"/>
            <w:hideMark/>
          </w:tcPr>
          <w:p w14:paraId="15ADE749" w14:textId="77777777" w:rsidR="00000000" w:rsidRDefault="00405D16">
            <w:pPr>
              <w:spacing w:after="100"/>
              <w:rPr>
                <w:rFonts w:eastAsia="Times New Roman"/>
                <w:sz w:val="20"/>
                <w:szCs w:val="20"/>
              </w:rPr>
            </w:pPr>
          </w:p>
        </w:tc>
        <w:tc>
          <w:tcPr>
            <w:tcW w:w="0" w:type="auto"/>
            <w:vAlign w:val="center"/>
            <w:hideMark/>
          </w:tcPr>
          <w:p w14:paraId="4B8E9E81" w14:textId="77777777" w:rsidR="00000000" w:rsidRDefault="00405D16">
            <w:pPr>
              <w:spacing w:after="100"/>
              <w:rPr>
                <w:rFonts w:eastAsia="Times New Roman"/>
                <w:sz w:val="20"/>
                <w:szCs w:val="20"/>
              </w:rPr>
            </w:pPr>
          </w:p>
        </w:tc>
        <w:tc>
          <w:tcPr>
            <w:tcW w:w="0" w:type="auto"/>
            <w:vAlign w:val="center"/>
            <w:hideMark/>
          </w:tcPr>
          <w:p w14:paraId="3963A38A" w14:textId="77777777" w:rsidR="00000000" w:rsidRDefault="00405D16">
            <w:pPr>
              <w:spacing w:after="100"/>
              <w:rPr>
                <w:rFonts w:eastAsia="Times New Roman"/>
                <w:sz w:val="20"/>
                <w:szCs w:val="20"/>
              </w:rPr>
            </w:pPr>
          </w:p>
        </w:tc>
        <w:tc>
          <w:tcPr>
            <w:tcW w:w="0" w:type="auto"/>
            <w:vAlign w:val="center"/>
            <w:hideMark/>
          </w:tcPr>
          <w:p w14:paraId="3E85B575" w14:textId="77777777" w:rsidR="00000000" w:rsidRDefault="00405D16">
            <w:pPr>
              <w:spacing w:after="100"/>
              <w:rPr>
                <w:rFonts w:eastAsia="Times New Roman"/>
                <w:sz w:val="20"/>
                <w:szCs w:val="20"/>
              </w:rPr>
            </w:pPr>
          </w:p>
        </w:tc>
        <w:tc>
          <w:tcPr>
            <w:tcW w:w="0" w:type="auto"/>
            <w:vAlign w:val="center"/>
            <w:hideMark/>
          </w:tcPr>
          <w:p w14:paraId="2A8F188E" w14:textId="77777777" w:rsidR="00000000" w:rsidRDefault="00405D16">
            <w:pPr>
              <w:spacing w:after="100"/>
              <w:rPr>
                <w:rFonts w:eastAsia="Times New Roman"/>
                <w:sz w:val="20"/>
                <w:szCs w:val="20"/>
              </w:rPr>
            </w:pPr>
          </w:p>
        </w:tc>
        <w:tc>
          <w:tcPr>
            <w:tcW w:w="0" w:type="auto"/>
            <w:vAlign w:val="center"/>
            <w:hideMark/>
          </w:tcPr>
          <w:p w14:paraId="4EADCB43" w14:textId="77777777" w:rsidR="00000000" w:rsidRDefault="00405D16">
            <w:pPr>
              <w:spacing w:after="100"/>
              <w:rPr>
                <w:rFonts w:eastAsia="Times New Roman"/>
                <w:sz w:val="20"/>
                <w:szCs w:val="20"/>
              </w:rPr>
            </w:pPr>
          </w:p>
        </w:tc>
        <w:tc>
          <w:tcPr>
            <w:tcW w:w="0" w:type="auto"/>
            <w:vAlign w:val="center"/>
            <w:hideMark/>
          </w:tcPr>
          <w:p w14:paraId="7C5BB4B5" w14:textId="77777777" w:rsidR="00000000" w:rsidRDefault="00405D16">
            <w:pPr>
              <w:spacing w:after="100"/>
              <w:rPr>
                <w:rFonts w:eastAsia="Times New Roman"/>
                <w:sz w:val="20"/>
                <w:szCs w:val="20"/>
              </w:rPr>
            </w:pPr>
          </w:p>
        </w:tc>
        <w:tc>
          <w:tcPr>
            <w:tcW w:w="0" w:type="auto"/>
            <w:vAlign w:val="center"/>
            <w:hideMark/>
          </w:tcPr>
          <w:p w14:paraId="65308F1E" w14:textId="77777777" w:rsidR="00000000" w:rsidRDefault="00405D16">
            <w:pPr>
              <w:spacing w:after="100"/>
              <w:rPr>
                <w:rFonts w:eastAsia="Times New Roman"/>
                <w:sz w:val="20"/>
                <w:szCs w:val="20"/>
              </w:rPr>
            </w:pPr>
          </w:p>
        </w:tc>
        <w:tc>
          <w:tcPr>
            <w:tcW w:w="0" w:type="auto"/>
            <w:vAlign w:val="center"/>
            <w:hideMark/>
          </w:tcPr>
          <w:p w14:paraId="12EF6C69" w14:textId="77777777" w:rsidR="00000000" w:rsidRDefault="00405D16">
            <w:pPr>
              <w:spacing w:after="100"/>
              <w:rPr>
                <w:rFonts w:eastAsia="Times New Roman"/>
                <w:sz w:val="20"/>
                <w:szCs w:val="20"/>
              </w:rPr>
            </w:pPr>
          </w:p>
        </w:tc>
        <w:tc>
          <w:tcPr>
            <w:tcW w:w="0" w:type="auto"/>
            <w:vAlign w:val="center"/>
            <w:hideMark/>
          </w:tcPr>
          <w:p w14:paraId="061EAAF3" w14:textId="77777777" w:rsidR="00000000" w:rsidRDefault="00405D16">
            <w:pPr>
              <w:spacing w:after="100"/>
              <w:rPr>
                <w:rFonts w:eastAsia="Times New Roman"/>
                <w:sz w:val="20"/>
                <w:szCs w:val="20"/>
              </w:rPr>
            </w:pPr>
          </w:p>
        </w:tc>
        <w:tc>
          <w:tcPr>
            <w:tcW w:w="0" w:type="auto"/>
            <w:vAlign w:val="center"/>
            <w:hideMark/>
          </w:tcPr>
          <w:p w14:paraId="6190E599" w14:textId="77777777" w:rsidR="00000000" w:rsidRDefault="00405D16">
            <w:pPr>
              <w:spacing w:after="100"/>
              <w:rPr>
                <w:rFonts w:eastAsia="Times New Roman"/>
                <w:sz w:val="20"/>
                <w:szCs w:val="20"/>
              </w:rPr>
            </w:pPr>
          </w:p>
        </w:tc>
        <w:tc>
          <w:tcPr>
            <w:tcW w:w="0" w:type="auto"/>
            <w:vAlign w:val="center"/>
            <w:hideMark/>
          </w:tcPr>
          <w:p w14:paraId="0EC4F6B3" w14:textId="77777777" w:rsidR="00000000" w:rsidRDefault="00405D16">
            <w:pPr>
              <w:spacing w:after="100"/>
              <w:rPr>
                <w:rFonts w:eastAsia="Times New Roman"/>
                <w:sz w:val="20"/>
                <w:szCs w:val="20"/>
              </w:rPr>
            </w:pPr>
          </w:p>
        </w:tc>
        <w:tc>
          <w:tcPr>
            <w:tcW w:w="0" w:type="auto"/>
            <w:vAlign w:val="center"/>
            <w:hideMark/>
          </w:tcPr>
          <w:p w14:paraId="3538FBE2" w14:textId="77777777" w:rsidR="00000000" w:rsidRDefault="00405D16">
            <w:pPr>
              <w:spacing w:after="100"/>
              <w:rPr>
                <w:rFonts w:eastAsia="Times New Roman"/>
                <w:sz w:val="20"/>
                <w:szCs w:val="20"/>
              </w:rPr>
            </w:pPr>
          </w:p>
        </w:tc>
        <w:tc>
          <w:tcPr>
            <w:tcW w:w="0" w:type="auto"/>
            <w:vAlign w:val="center"/>
            <w:hideMark/>
          </w:tcPr>
          <w:p w14:paraId="6623D22F" w14:textId="77777777" w:rsidR="00000000" w:rsidRDefault="00405D16">
            <w:pPr>
              <w:spacing w:after="100"/>
              <w:rPr>
                <w:rFonts w:eastAsia="Times New Roman"/>
                <w:sz w:val="20"/>
                <w:szCs w:val="20"/>
              </w:rPr>
            </w:pPr>
          </w:p>
        </w:tc>
        <w:tc>
          <w:tcPr>
            <w:tcW w:w="0" w:type="auto"/>
            <w:vAlign w:val="center"/>
            <w:hideMark/>
          </w:tcPr>
          <w:p w14:paraId="0743410D" w14:textId="77777777" w:rsidR="00000000" w:rsidRDefault="00405D16">
            <w:pPr>
              <w:spacing w:after="100"/>
              <w:rPr>
                <w:rFonts w:eastAsia="Times New Roman"/>
                <w:sz w:val="20"/>
                <w:szCs w:val="20"/>
              </w:rPr>
            </w:pPr>
          </w:p>
        </w:tc>
        <w:tc>
          <w:tcPr>
            <w:tcW w:w="0" w:type="auto"/>
            <w:vAlign w:val="center"/>
            <w:hideMark/>
          </w:tcPr>
          <w:p w14:paraId="3A233962" w14:textId="77777777" w:rsidR="00000000" w:rsidRDefault="00405D16">
            <w:pPr>
              <w:spacing w:after="100"/>
              <w:rPr>
                <w:rFonts w:eastAsia="Times New Roman"/>
                <w:sz w:val="20"/>
                <w:szCs w:val="20"/>
              </w:rPr>
            </w:pPr>
          </w:p>
        </w:tc>
        <w:tc>
          <w:tcPr>
            <w:tcW w:w="0" w:type="auto"/>
            <w:vAlign w:val="center"/>
            <w:hideMark/>
          </w:tcPr>
          <w:p w14:paraId="745D3E23" w14:textId="77777777" w:rsidR="00000000" w:rsidRDefault="00405D16">
            <w:pPr>
              <w:spacing w:after="100"/>
              <w:rPr>
                <w:rFonts w:eastAsia="Times New Roman"/>
                <w:sz w:val="20"/>
                <w:szCs w:val="20"/>
              </w:rPr>
            </w:pPr>
          </w:p>
        </w:tc>
        <w:tc>
          <w:tcPr>
            <w:tcW w:w="0" w:type="auto"/>
            <w:vAlign w:val="center"/>
            <w:hideMark/>
          </w:tcPr>
          <w:p w14:paraId="3825C73E" w14:textId="77777777" w:rsidR="00000000" w:rsidRDefault="00405D16">
            <w:pPr>
              <w:spacing w:after="100"/>
              <w:rPr>
                <w:rFonts w:eastAsia="Times New Roman"/>
                <w:sz w:val="20"/>
                <w:szCs w:val="20"/>
              </w:rPr>
            </w:pPr>
          </w:p>
        </w:tc>
        <w:tc>
          <w:tcPr>
            <w:tcW w:w="0" w:type="auto"/>
            <w:vAlign w:val="center"/>
            <w:hideMark/>
          </w:tcPr>
          <w:p w14:paraId="1C595930" w14:textId="77777777" w:rsidR="00000000" w:rsidRDefault="00405D16">
            <w:pPr>
              <w:spacing w:after="100"/>
              <w:rPr>
                <w:rFonts w:eastAsia="Times New Roman"/>
                <w:sz w:val="20"/>
                <w:szCs w:val="20"/>
              </w:rPr>
            </w:pPr>
          </w:p>
        </w:tc>
        <w:tc>
          <w:tcPr>
            <w:tcW w:w="0" w:type="auto"/>
            <w:vAlign w:val="center"/>
            <w:hideMark/>
          </w:tcPr>
          <w:p w14:paraId="2ABF3ABD" w14:textId="77777777" w:rsidR="00000000" w:rsidRDefault="00405D16">
            <w:pPr>
              <w:spacing w:after="100"/>
              <w:rPr>
                <w:rFonts w:eastAsia="Times New Roman"/>
                <w:sz w:val="20"/>
                <w:szCs w:val="20"/>
              </w:rPr>
            </w:pPr>
          </w:p>
        </w:tc>
        <w:tc>
          <w:tcPr>
            <w:tcW w:w="0" w:type="auto"/>
            <w:vAlign w:val="center"/>
            <w:hideMark/>
          </w:tcPr>
          <w:p w14:paraId="053D3643" w14:textId="77777777" w:rsidR="00000000" w:rsidRDefault="00405D16">
            <w:pPr>
              <w:spacing w:after="100"/>
              <w:rPr>
                <w:rFonts w:eastAsia="Times New Roman"/>
                <w:sz w:val="20"/>
                <w:szCs w:val="20"/>
              </w:rPr>
            </w:pPr>
          </w:p>
        </w:tc>
        <w:tc>
          <w:tcPr>
            <w:tcW w:w="0" w:type="auto"/>
            <w:vAlign w:val="center"/>
            <w:hideMark/>
          </w:tcPr>
          <w:p w14:paraId="18575467" w14:textId="77777777" w:rsidR="00000000" w:rsidRDefault="00405D16">
            <w:pPr>
              <w:spacing w:after="100"/>
              <w:rPr>
                <w:rFonts w:eastAsia="Times New Roman"/>
                <w:sz w:val="20"/>
                <w:szCs w:val="20"/>
              </w:rPr>
            </w:pPr>
          </w:p>
        </w:tc>
        <w:tc>
          <w:tcPr>
            <w:tcW w:w="0" w:type="auto"/>
            <w:vAlign w:val="center"/>
            <w:hideMark/>
          </w:tcPr>
          <w:p w14:paraId="694D9F66" w14:textId="77777777" w:rsidR="00000000" w:rsidRDefault="00405D16">
            <w:pPr>
              <w:spacing w:after="100"/>
              <w:rPr>
                <w:rFonts w:eastAsia="Times New Roman"/>
                <w:sz w:val="20"/>
                <w:szCs w:val="20"/>
              </w:rPr>
            </w:pPr>
          </w:p>
        </w:tc>
        <w:tc>
          <w:tcPr>
            <w:tcW w:w="0" w:type="auto"/>
            <w:vAlign w:val="center"/>
            <w:hideMark/>
          </w:tcPr>
          <w:p w14:paraId="61E8FDCB" w14:textId="77777777" w:rsidR="00000000" w:rsidRDefault="00405D16">
            <w:pPr>
              <w:spacing w:after="100"/>
              <w:rPr>
                <w:rFonts w:eastAsia="Times New Roman"/>
                <w:sz w:val="20"/>
                <w:szCs w:val="20"/>
              </w:rPr>
            </w:pPr>
          </w:p>
        </w:tc>
        <w:tc>
          <w:tcPr>
            <w:tcW w:w="0" w:type="auto"/>
            <w:vAlign w:val="center"/>
            <w:hideMark/>
          </w:tcPr>
          <w:p w14:paraId="425D4A9C" w14:textId="77777777" w:rsidR="00000000" w:rsidRDefault="00405D16">
            <w:pPr>
              <w:spacing w:after="100"/>
              <w:rPr>
                <w:rFonts w:eastAsia="Times New Roman"/>
                <w:sz w:val="20"/>
                <w:szCs w:val="20"/>
              </w:rPr>
            </w:pPr>
          </w:p>
        </w:tc>
        <w:tc>
          <w:tcPr>
            <w:tcW w:w="0" w:type="auto"/>
            <w:vAlign w:val="center"/>
            <w:hideMark/>
          </w:tcPr>
          <w:p w14:paraId="100411CD" w14:textId="77777777" w:rsidR="00000000" w:rsidRDefault="00405D16">
            <w:pPr>
              <w:spacing w:after="100"/>
              <w:rPr>
                <w:rFonts w:eastAsia="Times New Roman"/>
                <w:sz w:val="20"/>
                <w:szCs w:val="20"/>
              </w:rPr>
            </w:pPr>
          </w:p>
        </w:tc>
        <w:tc>
          <w:tcPr>
            <w:tcW w:w="0" w:type="auto"/>
            <w:vAlign w:val="center"/>
            <w:hideMark/>
          </w:tcPr>
          <w:p w14:paraId="072B91C2" w14:textId="77777777" w:rsidR="00000000" w:rsidRDefault="00405D16">
            <w:pPr>
              <w:spacing w:after="100"/>
              <w:rPr>
                <w:rFonts w:eastAsia="Times New Roman"/>
                <w:sz w:val="20"/>
                <w:szCs w:val="20"/>
              </w:rPr>
            </w:pPr>
          </w:p>
        </w:tc>
        <w:tc>
          <w:tcPr>
            <w:tcW w:w="0" w:type="auto"/>
            <w:vAlign w:val="center"/>
            <w:hideMark/>
          </w:tcPr>
          <w:p w14:paraId="2D83805E" w14:textId="77777777" w:rsidR="00000000" w:rsidRDefault="00405D16">
            <w:pPr>
              <w:spacing w:after="100"/>
              <w:rPr>
                <w:rFonts w:eastAsia="Times New Roman"/>
                <w:sz w:val="20"/>
                <w:szCs w:val="20"/>
              </w:rPr>
            </w:pPr>
          </w:p>
        </w:tc>
        <w:tc>
          <w:tcPr>
            <w:tcW w:w="0" w:type="auto"/>
            <w:vAlign w:val="center"/>
            <w:hideMark/>
          </w:tcPr>
          <w:p w14:paraId="28E0552A" w14:textId="77777777" w:rsidR="00000000" w:rsidRDefault="00405D16">
            <w:pPr>
              <w:spacing w:after="100"/>
              <w:rPr>
                <w:rFonts w:eastAsia="Times New Roman"/>
                <w:sz w:val="20"/>
                <w:szCs w:val="20"/>
              </w:rPr>
            </w:pPr>
          </w:p>
        </w:tc>
        <w:tc>
          <w:tcPr>
            <w:tcW w:w="0" w:type="auto"/>
            <w:vAlign w:val="center"/>
            <w:hideMark/>
          </w:tcPr>
          <w:p w14:paraId="412FFCE2" w14:textId="77777777" w:rsidR="00000000" w:rsidRDefault="00405D16">
            <w:pPr>
              <w:spacing w:after="100"/>
              <w:rPr>
                <w:rFonts w:eastAsia="Times New Roman"/>
                <w:sz w:val="20"/>
                <w:szCs w:val="20"/>
              </w:rPr>
            </w:pPr>
          </w:p>
        </w:tc>
        <w:tc>
          <w:tcPr>
            <w:tcW w:w="0" w:type="auto"/>
            <w:vAlign w:val="center"/>
            <w:hideMark/>
          </w:tcPr>
          <w:p w14:paraId="69052EA9" w14:textId="77777777" w:rsidR="00000000" w:rsidRDefault="00405D16">
            <w:pPr>
              <w:spacing w:after="100"/>
              <w:rPr>
                <w:rFonts w:eastAsia="Times New Roman"/>
                <w:sz w:val="20"/>
                <w:szCs w:val="20"/>
              </w:rPr>
            </w:pPr>
          </w:p>
        </w:tc>
        <w:tc>
          <w:tcPr>
            <w:tcW w:w="0" w:type="auto"/>
            <w:vAlign w:val="center"/>
            <w:hideMark/>
          </w:tcPr>
          <w:p w14:paraId="06DBEAF4" w14:textId="77777777" w:rsidR="00000000" w:rsidRDefault="00405D16">
            <w:pPr>
              <w:spacing w:after="100"/>
              <w:rPr>
                <w:rFonts w:eastAsia="Times New Roman"/>
                <w:sz w:val="20"/>
                <w:szCs w:val="20"/>
              </w:rPr>
            </w:pPr>
          </w:p>
        </w:tc>
        <w:tc>
          <w:tcPr>
            <w:tcW w:w="0" w:type="auto"/>
            <w:vAlign w:val="center"/>
            <w:hideMark/>
          </w:tcPr>
          <w:p w14:paraId="3DD15926" w14:textId="77777777" w:rsidR="00000000" w:rsidRDefault="00405D16">
            <w:pPr>
              <w:spacing w:after="100"/>
              <w:rPr>
                <w:rFonts w:eastAsia="Times New Roman"/>
                <w:sz w:val="20"/>
                <w:szCs w:val="20"/>
              </w:rPr>
            </w:pPr>
          </w:p>
        </w:tc>
        <w:tc>
          <w:tcPr>
            <w:tcW w:w="0" w:type="auto"/>
            <w:vAlign w:val="center"/>
            <w:hideMark/>
          </w:tcPr>
          <w:p w14:paraId="2355DDB9" w14:textId="77777777" w:rsidR="00000000" w:rsidRDefault="00405D16">
            <w:pPr>
              <w:spacing w:after="100"/>
              <w:rPr>
                <w:rFonts w:eastAsia="Times New Roman"/>
                <w:sz w:val="20"/>
                <w:szCs w:val="20"/>
              </w:rPr>
            </w:pPr>
          </w:p>
        </w:tc>
        <w:tc>
          <w:tcPr>
            <w:tcW w:w="0" w:type="auto"/>
            <w:vAlign w:val="center"/>
            <w:hideMark/>
          </w:tcPr>
          <w:p w14:paraId="3027D0A9" w14:textId="77777777" w:rsidR="00000000" w:rsidRDefault="00405D16">
            <w:pPr>
              <w:spacing w:after="100"/>
              <w:rPr>
                <w:rFonts w:eastAsia="Times New Roman"/>
                <w:sz w:val="20"/>
                <w:szCs w:val="20"/>
              </w:rPr>
            </w:pPr>
          </w:p>
        </w:tc>
        <w:tc>
          <w:tcPr>
            <w:tcW w:w="0" w:type="auto"/>
            <w:vAlign w:val="center"/>
            <w:hideMark/>
          </w:tcPr>
          <w:p w14:paraId="027C9DB1" w14:textId="77777777" w:rsidR="00000000" w:rsidRDefault="00405D16">
            <w:pPr>
              <w:spacing w:after="100"/>
              <w:rPr>
                <w:rFonts w:eastAsia="Times New Roman"/>
                <w:sz w:val="20"/>
                <w:szCs w:val="20"/>
              </w:rPr>
            </w:pPr>
          </w:p>
        </w:tc>
        <w:tc>
          <w:tcPr>
            <w:tcW w:w="0" w:type="auto"/>
            <w:vAlign w:val="center"/>
            <w:hideMark/>
          </w:tcPr>
          <w:p w14:paraId="01BA4EEB" w14:textId="77777777" w:rsidR="00000000" w:rsidRDefault="00405D16">
            <w:pPr>
              <w:spacing w:after="100"/>
              <w:rPr>
                <w:rFonts w:eastAsia="Times New Roman"/>
                <w:sz w:val="20"/>
                <w:szCs w:val="20"/>
              </w:rPr>
            </w:pPr>
          </w:p>
        </w:tc>
        <w:tc>
          <w:tcPr>
            <w:tcW w:w="0" w:type="auto"/>
            <w:vAlign w:val="center"/>
            <w:hideMark/>
          </w:tcPr>
          <w:p w14:paraId="63724904" w14:textId="77777777" w:rsidR="00000000" w:rsidRDefault="00405D16">
            <w:pPr>
              <w:spacing w:after="100"/>
              <w:rPr>
                <w:rFonts w:eastAsia="Times New Roman"/>
                <w:sz w:val="20"/>
                <w:szCs w:val="20"/>
              </w:rPr>
            </w:pPr>
          </w:p>
        </w:tc>
        <w:tc>
          <w:tcPr>
            <w:tcW w:w="0" w:type="auto"/>
            <w:vAlign w:val="center"/>
            <w:hideMark/>
          </w:tcPr>
          <w:p w14:paraId="3267FF68" w14:textId="77777777" w:rsidR="00000000" w:rsidRDefault="00405D16">
            <w:pPr>
              <w:spacing w:after="100"/>
              <w:rPr>
                <w:rFonts w:eastAsia="Times New Roman"/>
                <w:sz w:val="20"/>
                <w:szCs w:val="20"/>
              </w:rPr>
            </w:pPr>
          </w:p>
        </w:tc>
        <w:tc>
          <w:tcPr>
            <w:tcW w:w="0" w:type="auto"/>
            <w:vAlign w:val="center"/>
            <w:hideMark/>
          </w:tcPr>
          <w:p w14:paraId="5ABE0CA0" w14:textId="77777777" w:rsidR="00000000" w:rsidRDefault="00405D16">
            <w:pPr>
              <w:spacing w:after="100"/>
              <w:rPr>
                <w:rFonts w:eastAsia="Times New Roman"/>
                <w:sz w:val="20"/>
                <w:szCs w:val="20"/>
              </w:rPr>
            </w:pPr>
          </w:p>
        </w:tc>
        <w:tc>
          <w:tcPr>
            <w:tcW w:w="0" w:type="auto"/>
            <w:vAlign w:val="center"/>
            <w:hideMark/>
          </w:tcPr>
          <w:p w14:paraId="47F739C8" w14:textId="77777777" w:rsidR="00000000" w:rsidRDefault="00405D16">
            <w:pPr>
              <w:spacing w:after="100"/>
              <w:rPr>
                <w:rFonts w:eastAsia="Times New Roman"/>
                <w:sz w:val="20"/>
                <w:szCs w:val="20"/>
              </w:rPr>
            </w:pPr>
          </w:p>
        </w:tc>
        <w:tc>
          <w:tcPr>
            <w:tcW w:w="0" w:type="auto"/>
            <w:vAlign w:val="center"/>
            <w:hideMark/>
          </w:tcPr>
          <w:p w14:paraId="72707775" w14:textId="77777777" w:rsidR="00000000" w:rsidRDefault="00405D16">
            <w:pPr>
              <w:spacing w:after="100"/>
              <w:rPr>
                <w:rFonts w:eastAsia="Times New Roman"/>
                <w:sz w:val="20"/>
                <w:szCs w:val="20"/>
              </w:rPr>
            </w:pPr>
          </w:p>
        </w:tc>
        <w:tc>
          <w:tcPr>
            <w:tcW w:w="0" w:type="auto"/>
            <w:vAlign w:val="center"/>
            <w:hideMark/>
          </w:tcPr>
          <w:p w14:paraId="5FA3C07C" w14:textId="77777777" w:rsidR="00000000" w:rsidRDefault="00405D16">
            <w:pPr>
              <w:spacing w:after="100"/>
              <w:rPr>
                <w:rFonts w:eastAsia="Times New Roman"/>
                <w:sz w:val="20"/>
                <w:szCs w:val="20"/>
              </w:rPr>
            </w:pPr>
          </w:p>
        </w:tc>
        <w:tc>
          <w:tcPr>
            <w:tcW w:w="0" w:type="auto"/>
            <w:vAlign w:val="center"/>
            <w:hideMark/>
          </w:tcPr>
          <w:p w14:paraId="281C2DFD" w14:textId="77777777" w:rsidR="00000000" w:rsidRDefault="00405D16">
            <w:pPr>
              <w:spacing w:after="100"/>
              <w:rPr>
                <w:rFonts w:eastAsia="Times New Roman"/>
                <w:sz w:val="20"/>
                <w:szCs w:val="20"/>
              </w:rPr>
            </w:pPr>
          </w:p>
        </w:tc>
      </w:tr>
      <w:tr w:rsidR="00000000" w14:paraId="4E60EE47" w14:textId="77777777">
        <w:trPr>
          <w:divId w:val="513231771"/>
        </w:trPr>
        <w:tc>
          <w:tcPr>
            <w:tcW w:w="0" w:type="auto"/>
            <w:gridSpan w:val="3"/>
            <w:tcMar>
              <w:top w:w="0" w:type="dxa"/>
              <w:left w:w="20" w:type="dxa"/>
              <w:bottom w:w="0" w:type="dxa"/>
              <w:right w:w="20" w:type="dxa"/>
            </w:tcMar>
            <w:vAlign w:val="center"/>
            <w:hideMark/>
          </w:tcPr>
          <w:p w14:paraId="61A2FD6A"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4E0BB9A" w14:textId="77777777" w:rsidR="00000000" w:rsidRDefault="00405D16">
            <w:pPr>
              <w:spacing w:after="100"/>
              <w:rPr>
                <w:rFonts w:eastAsia="Times New Roman"/>
                <w:sz w:val="20"/>
                <w:szCs w:val="20"/>
              </w:rPr>
            </w:pPr>
          </w:p>
        </w:tc>
        <w:tc>
          <w:tcPr>
            <w:tcW w:w="0" w:type="auto"/>
            <w:gridSpan w:val="45"/>
            <w:tcMar>
              <w:top w:w="30" w:type="dxa"/>
              <w:left w:w="20" w:type="dxa"/>
              <w:bottom w:w="30" w:type="dxa"/>
              <w:right w:w="20" w:type="dxa"/>
            </w:tcMar>
            <w:vAlign w:val="bottom"/>
            <w:hideMark/>
          </w:tcPr>
          <w:p w14:paraId="7C89D297" w14:textId="77777777" w:rsidR="00000000" w:rsidRDefault="00405D16">
            <w:pPr>
              <w:spacing w:after="100"/>
              <w:jc w:val="center"/>
              <w:rPr>
                <w:rFonts w:eastAsia="Times New Roman"/>
              </w:rPr>
            </w:pPr>
            <w:r>
              <w:rPr>
                <w:rFonts w:eastAsia="Times New Roman"/>
                <w:b/>
                <w:bCs/>
                <w:color w:val="000000"/>
                <w:sz w:val="13"/>
                <w:szCs w:val="13"/>
              </w:rPr>
              <w:t>Three Months Ended September 30, 2021</w:t>
            </w:r>
          </w:p>
        </w:tc>
      </w:tr>
      <w:tr w:rsidR="00000000" w14:paraId="4FAE5CDD" w14:textId="77777777">
        <w:trPr>
          <w:divId w:val="513231771"/>
        </w:trPr>
        <w:tc>
          <w:tcPr>
            <w:tcW w:w="0" w:type="auto"/>
            <w:gridSpan w:val="3"/>
            <w:tcMar>
              <w:top w:w="0" w:type="dxa"/>
              <w:left w:w="20" w:type="dxa"/>
              <w:bottom w:w="0" w:type="dxa"/>
              <w:right w:w="20" w:type="dxa"/>
            </w:tcMar>
            <w:vAlign w:val="center"/>
            <w:hideMark/>
          </w:tcPr>
          <w:p w14:paraId="77A20AB5" w14:textId="77777777" w:rsidR="00000000" w:rsidRDefault="00405D1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E81B7B2" w14:textId="77777777" w:rsidR="00000000" w:rsidRDefault="00405D16">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14:paraId="7170D78A" w14:textId="77777777" w:rsidR="00000000" w:rsidRDefault="00405D16">
            <w:pPr>
              <w:spacing w:after="100"/>
              <w:jc w:val="center"/>
              <w:rPr>
                <w:rFonts w:eastAsia="Times New Roman"/>
              </w:rPr>
            </w:pPr>
            <w:r>
              <w:rPr>
                <w:rFonts w:eastAsia="Times New Roman"/>
                <w:b/>
                <w:bCs/>
                <w:color w:val="000000"/>
                <w:sz w:val="13"/>
                <w:szCs w:val="13"/>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1109CBF6" w14:textId="77777777" w:rsidR="00000000" w:rsidRDefault="00405D16">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3FE2558A" w14:textId="77777777" w:rsidR="00000000" w:rsidRDefault="00405D16">
            <w:pPr>
              <w:spacing w:after="100"/>
              <w:jc w:val="center"/>
              <w:rPr>
                <w:rFonts w:eastAsia="Times New Roman"/>
              </w:rPr>
            </w:pPr>
            <w:r>
              <w:rPr>
                <w:rFonts w:eastAsia="Times New Roman"/>
                <w:b/>
                <w:bCs/>
                <w:color w:val="000000"/>
                <w:sz w:val="13"/>
                <w:szCs w:val="13"/>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68F8594F" w14:textId="77777777" w:rsidR="00000000" w:rsidRDefault="00405D16">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1A872529"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DA95A3B"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4F75615" w14:textId="77777777" w:rsidR="00000000" w:rsidRDefault="00405D16">
            <w:pPr>
              <w:spacing w:after="100"/>
              <w:rPr>
                <w:rFonts w:eastAsia="Times New Roman"/>
                <w:sz w:val="20"/>
                <w:szCs w:val="20"/>
              </w:rPr>
            </w:pPr>
          </w:p>
        </w:tc>
      </w:tr>
      <w:tr w:rsidR="00000000" w14:paraId="4FD0FD38" w14:textId="77777777">
        <w:trPr>
          <w:divId w:val="513231771"/>
        </w:trPr>
        <w:tc>
          <w:tcPr>
            <w:tcW w:w="0" w:type="auto"/>
            <w:gridSpan w:val="3"/>
            <w:tcMar>
              <w:top w:w="30" w:type="dxa"/>
              <w:left w:w="20" w:type="dxa"/>
              <w:bottom w:w="30" w:type="dxa"/>
              <w:right w:w="20" w:type="dxa"/>
            </w:tcMar>
            <w:vAlign w:val="bottom"/>
            <w:hideMark/>
          </w:tcPr>
          <w:p w14:paraId="6F2D603A" w14:textId="77777777" w:rsidR="00000000" w:rsidRDefault="00405D16">
            <w:pPr>
              <w:spacing w:after="100"/>
              <w:rPr>
                <w:rFonts w:eastAsia="Times New Roman"/>
              </w:rPr>
            </w:pPr>
            <w:r>
              <w:rPr>
                <w:rFonts w:eastAsia="Times New Roman"/>
                <w:i/>
                <w:iCs/>
                <w:color w:val="000000"/>
                <w:sz w:val="12"/>
                <w:szCs w:val="12"/>
              </w:rPr>
              <w:t>(Dollars </w:t>
            </w:r>
            <w:r>
              <w:rPr>
                <w:rFonts w:eastAsia="Times New Roman"/>
                <w:i/>
                <w:iCs/>
                <w:color w:val="000000"/>
                <w:sz w:val="12"/>
                <w:szCs w:val="12"/>
              </w:rPr>
              <w:t>in millions)</w:t>
            </w:r>
          </w:p>
        </w:tc>
        <w:tc>
          <w:tcPr>
            <w:tcW w:w="0" w:type="auto"/>
            <w:gridSpan w:val="3"/>
            <w:tcMar>
              <w:top w:w="0" w:type="dxa"/>
              <w:left w:w="20" w:type="dxa"/>
              <w:bottom w:w="0" w:type="dxa"/>
              <w:right w:w="20" w:type="dxa"/>
            </w:tcMar>
            <w:vAlign w:val="center"/>
            <w:hideMark/>
          </w:tcPr>
          <w:p w14:paraId="3AD17806"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0F647D6" w14:textId="77777777" w:rsidR="00000000" w:rsidRDefault="00405D16">
            <w:pPr>
              <w:spacing w:after="100"/>
              <w:jc w:val="center"/>
              <w:rPr>
                <w:rFonts w:eastAsia="Times New Roman"/>
              </w:rPr>
            </w:pPr>
            <w:r>
              <w:rPr>
                <w:rFonts w:eastAsia="Times New Roman"/>
                <w:b/>
                <w:bCs/>
                <w:color w:val="000000"/>
                <w:sz w:val="13"/>
                <w:szCs w:val="13"/>
              </w:rPr>
              <w:t>Domestic Card</w:t>
            </w:r>
          </w:p>
        </w:tc>
        <w:tc>
          <w:tcPr>
            <w:tcW w:w="0" w:type="auto"/>
            <w:gridSpan w:val="3"/>
            <w:tcBorders>
              <w:top w:val="single" w:sz="8" w:space="0" w:color="000000"/>
            </w:tcBorders>
            <w:tcMar>
              <w:top w:w="0" w:type="dxa"/>
              <w:left w:w="20" w:type="dxa"/>
              <w:bottom w:w="0" w:type="dxa"/>
              <w:right w:w="20" w:type="dxa"/>
            </w:tcMar>
            <w:vAlign w:val="center"/>
            <w:hideMark/>
          </w:tcPr>
          <w:p w14:paraId="532EA56C"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F8D016B" w14:textId="77777777" w:rsidR="00000000" w:rsidRDefault="00405D16">
            <w:pPr>
              <w:spacing w:after="100"/>
              <w:jc w:val="center"/>
              <w:rPr>
                <w:rFonts w:eastAsia="Times New Roman"/>
              </w:rPr>
            </w:pPr>
            <w:r>
              <w:rPr>
                <w:rFonts w:eastAsia="Times New Roman"/>
                <w:b/>
                <w:bCs/>
                <w:color w:val="000000"/>
                <w:sz w:val="13"/>
                <w:szCs w:val="13"/>
              </w:rPr>
              <w:t>International Card Businesses</w:t>
            </w:r>
          </w:p>
        </w:tc>
        <w:tc>
          <w:tcPr>
            <w:tcW w:w="0" w:type="auto"/>
            <w:gridSpan w:val="3"/>
            <w:tcBorders>
              <w:top w:val="single" w:sz="8" w:space="0" w:color="000000"/>
            </w:tcBorders>
            <w:tcMar>
              <w:top w:w="0" w:type="dxa"/>
              <w:left w:w="20" w:type="dxa"/>
              <w:bottom w:w="0" w:type="dxa"/>
              <w:right w:w="20" w:type="dxa"/>
            </w:tcMar>
            <w:vAlign w:val="center"/>
            <w:hideMark/>
          </w:tcPr>
          <w:p w14:paraId="1F7C2FE7"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A467613" w14:textId="77777777" w:rsidR="00000000" w:rsidRDefault="00405D16">
            <w:pPr>
              <w:spacing w:after="100"/>
              <w:jc w:val="center"/>
              <w:rPr>
                <w:rFonts w:eastAsia="Times New Roman"/>
              </w:rPr>
            </w:pPr>
            <w:r>
              <w:rPr>
                <w:rFonts w:eastAsia="Times New Roman"/>
                <w:b/>
                <w:bCs/>
                <w:color w:val="000000"/>
                <w:sz w:val="13"/>
                <w:szCs w:val="13"/>
              </w:rPr>
              <w:t>Total Credit Card</w:t>
            </w:r>
          </w:p>
        </w:tc>
        <w:tc>
          <w:tcPr>
            <w:tcW w:w="0" w:type="auto"/>
            <w:gridSpan w:val="3"/>
            <w:tcMar>
              <w:top w:w="0" w:type="dxa"/>
              <w:left w:w="20" w:type="dxa"/>
              <w:bottom w:w="0" w:type="dxa"/>
              <w:right w:w="20" w:type="dxa"/>
            </w:tcMar>
            <w:vAlign w:val="center"/>
            <w:hideMark/>
          </w:tcPr>
          <w:p w14:paraId="7C2CA9D7"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87C8F85" w14:textId="77777777" w:rsidR="00000000" w:rsidRDefault="00405D16">
            <w:pPr>
              <w:spacing w:after="100"/>
              <w:jc w:val="center"/>
              <w:rPr>
                <w:rFonts w:eastAsia="Times New Roman"/>
              </w:rPr>
            </w:pPr>
            <w:r>
              <w:rPr>
                <w:rFonts w:eastAsia="Times New Roman"/>
                <w:b/>
                <w:bCs/>
                <w:color w:val="000000"/>
                <w:sz w:val="13"/>
                <w:szCs w:val="13"/>
              </w:rPr>
              <w:t>Auto</w:t>
            </w:r>
          </w:p>
        </w:tc>
        <w:tc>
          <w:tcPr>
            <w:tcW w:w="0" w:type="auto"/>
            <w:gridSpan w:val="3"/>
            <w:tcBorders>
              <w:top w:val="single" w:sz="8" w:space="0" w:color="000000"/>
            </w:tcBorders>
            <w:tcMar>
              <w:top w:w="0" w:type="dxa"/>
              <w:left w:w="20" w:type="dxa"/>
              <w:bottom w:w="0" w:type="dxa"/>
              <w:right w:w="20" w:type="dxa"/>
            </w:tcMar>
            <w:vAlign w:val="center"/>
            <w:hideMark/>
          </w:tcPr>
          <w:p w14:paraId="3D9AC93E"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62726E3" w14:textId="77777777" w:rsidR="00000000" w:rsidRDefault="00405D16">
            <w:pPr>
              <w:spacing w:after="100"/>
              <w:jc w:val="center"/>
              <w:rPr>
                <w:rFonts w:eastAsia="Times New Roman"/>
              </w:rPr>
            </w:pPr>
            <w:r>
              <w:rPr>
                <w:rFonts w:eastAsia="Times New Roman"/>
                <w:b/>
                <w:bCs/>
                <w:color w:val="000000"/>
                <w:sz w:val="13"/>
                <w:szCs w:val="13"/>
              </w:rPr>
              <w:t>Retail Banking</w:t>
            </w:r>
          </w:p>
        </w:tc>
        <w:tc>
          <w:tcPr>
            <w:tcW w:w="0" w:type="auto"/>
            <w:gridSpan w:val="3"/>
            <w:tcBorders>
              <w:top w:val="single" w:sz="8" w:space="0" w:color="000000"/>
            </w:tcBorders>
            <w:tcMar>
              <w:top w:w="0" w:type="dxa"/>
              <w:left w:w="20" w:type="dxa"/>
              <w:bottom w:w="0" w:type="dxa"/>
              <w:right w:w="20" w:type="dxa"/>
            </w:tcMar>
            <w:vAlign w:val="center"/>
            <w:hideMark/>
          </w:tcPr>
          <w:p w14:paraId="570BCAB9"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A6D0993" w14:textId="77777777" w:rsidR="00000000" w:rsidRDefault="00405D16">
            <w:pPr>
              <w:spacing w:after="100"/>
              <w:jc w:val="center"/>
              <w:rPr>
                <w:rFonts w:eastAsia="Times New Roman"/>
              </w:rPr>
            </w:pPr>
            <w:r>
              <w:rPr>
                <w:rFonts w:eastAsia="Times New Roman"/>
                <w:b/>
                <w:bCs/>
                <w:color w:val="000000"/>
                <w:sz w:val="13"/>
                <w:szCs w:val="13"/>
              </w:rPr>
              <w:t>Total Consumer Banking</w:t>
            </w:r>
          </w:p>
        </w:tc>
        <w:tc>
          <w:tcPr>
            <w:tcW w:w="0" w:type="auto"/>
            <w:gridSpan w:val="3"/>
            <w:tcMar>
              <w:top w:w="0" w:type="dxa"/>
              <w:left w:w="20" w:type="dxa"/>
              <w:bottom w:w="0" w:type="dxa"/>
              <w:right w:w="20" w:type="dxa"/>
            </w:tcMar>
            <w:vAlign w:val="center"/>
            <w:hideMark/>
          </w:tcPr>
          <w:p w14:paraId="44153B99"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D9C2555" w14:textId="77777777" w:rsidR="00000000" w:rsidRDefault="00405D16">
            <w:pPr>
              <w:spacing w:after="100"/>
              <w:jc w:val="center"/>
              <w:rPr>
                <w:rFonts w:eastAsia="Times New Roman"/>
              </w:rPr>
            </w:pPr>
            <w:r>
              <w:rPr>
                <w:rFonts w:eastAsia="Times New Roman"/>
                <w:b/>
                <w:bCs/>
                <w:color w:val="000000"/>
                <w:sz w:val="13"/>
                <w:szCs w:val="13"/>
              </w:rPr>
              <w:t>Commercial Banking</w:t>
            </w:r>
          </w:p>
        </w:tc>
        <w:tc>
          <w:tcPr>
            <w:tcW w:w="0" w:type="auto"/>
            <w:gridSpan w:val="3"/>
            <w:tcMar>
              <w:top w:w="0" w:type="dxa"/>
              <w:left w:w="20" w:type="dxa"/>
              <w:bottom w:w="0" w:type="dxa"/>
              <w:right w:w="20" w:type="dxa"/>
            </w:tcMar>
            <w:vAlign w:val="center"/>
            <w:hideMark/>
          </w:tcPr>
          <w:p w14:paraId="6A513C64"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986B4C0" w14:textId="77777777" w:rsidR="00000000" w:rsidRDefault="00405D16">
            <w:pPr>
              <w:spacing w:after="100"/>
              <w:jc w:val="center"/>
              <w:rPr>
                <w:rFonts w:eastAsia="Times New Roman"/>
              </w:rPr>
            </w:pPr>
            <w:r>
              <w:rPr>
                <w:rFonts w:eastAsia="Times New Roman"/>
                <w:b/>
                <w:bCs/>
                <w:color w:val="000000"/>
                <w:sz w:val="13"/>
                <w:szCs w:val="13"/>
              </w:rPr>
              <w:t>Total</w:t>
            </w:r>
          </w:p>
        </w:tc>
      </w:tr>
      <w:tr w:rsidR="00000000" w14:paraId="62743E6B" w14:textId="77777777">
        <w:trPr>
          <w:divId w:val="51323177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F8F3486" w14:textId="77777777" w:rsidR="00000000" w:rsidRDefault="00405D16">
            <w:pPr>
              <w:spacing w:after="100"/>
              <w:rPr>
                <w:rFonts w:eastAsia="Times New Roman"/>
              </w:rPr>
            </w:pPr>
            <w:r>
              <w:rPr>
                <w:rFonts w:eastAsia="Times New Roman"/>
                <w:b/>
                <w:bCs/>
                <w:color w:val="000000"/>
                <w:sz w:val="16"/>
                <w:szCs w:val="16"/>
              </w:rPr>
              <w:t>Allowance for credit losses:</w:t>
            </w:r>
          </w:p>
        </w:tc>
        <w:tc>
          <w:tcPr>
            <w:tcW w:w="0" w:type="auto"/>
            <w:gridSpan w:val="3"/>
            <w:shd w:val="clear" w:color="auto" w:fill="CCEEFF"/>
            <w:tcMar>
              <w:top w:w="0" w:type="dxa"/>
              <w:left w:w="20" w:type="dxa"/>
              <w:bottom w:w="0" w:type="dxa"/>
              <w:right w:w="20" w:type="dxa"/>
            </w:tcMar>
            <w:vAlign w:val="center"/>
            <w:hideMark/>
          </w:tcPr>
          <w:p w14:paraId="53DEB0BA"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12EA45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627B9D"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E2CF4B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B644DD"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47CA75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2C2192"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110D92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674B11"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BB790D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3D1EE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FD7CC6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CA4E22"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02454B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D25BE0"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D1B7C16" w14:textId="77777777" w:rsidR="00000000" w:rsidRDefault="00405D16">
            <w:pPr>
              <w:spacing w:after="100"/>
              <w:rPr>
                <w:rFonts w:eastAsia="Times New Roman"/>
                <w:sz w:val="20"/>
                <w:szCs w:val="20"/>
              </w:rPr>
            </w:pPr>
          </w:p>
        </w:tc>
      </w:tr>
      <w:tr w:rsidR="00405D16" w14:paraId="0DD758A1" w14:textId="77777777">
        <w:trPr>
          <w:divId w:val="513231771"/>
        </w:trPr>
        <w:tc>
          <w:tcPr>
            <w:tcW w:w="0" w:type="auto"/>
            <w:gridSpan w:val="3"/>
            <w:shd w:val="clear" w:color="auto" w:fill="FFFFFF"/>
            <w:tcMar>
              <w:top w:w="30" w:type="dxa"/>
              <w:left w:w="20" w:type="dxa"/>
              <w:bottom w:w="30" w:type="dxa"/>
              <w:right w:w="20" w:type="dxa"/>
            </w:tcMar>
            <w:vAlign w:val="bottom"/>
            <w:hideMark/>
          </w:tcPr>
          <w:p w14:paraId="208B7454" w14:textId="77777777" w:rsidR="00000000" w:rsidRDefault="00405D16">
            <w:pPr>
              <w:spacing w:after="100"/>
              <w:rPr>
                <w:rFonts w:eastAsia="Times New Roman"/>
              </w:rPr>
            </w:pPr>
            <w:r>
              <w:rPr>
                <w:rFonts w:eastAsia="Times New Roman"/>
                <w:color w:val="000000"/>
                <w:sz w:val="16"/>
                <w:szCs w:val="16"/>
              </w:rPr>
              <w:t>Balance as of June 30, 2021</w:t>
            </w:r>
          </w:p>
        </w:tc>
        <w:tc>
          <w:tcPr>
            <w:tcW w:w="0" w:type="auto"/>
            <w:gridSpan w:val="3"/>
            <w:shd w:val="clear" w:color="auto" w:fill="FFFFFF"/>
            <w:tcMar>
              <w:top w:w="0" w:type="dxa"/>
              <w:left w:w="20" w:type="dxa"/>
              <w:bottom w:w="0" w:type="dxa"/>
              <w:right w:w="20" w:type="dxa"/>
            </w:tcMar>
            <w:vAlign w:val="center"/>
            <w:hideMark/>
          </w:tcPr>
          <w:p w14:paraId="20FA6BBF"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42043ED3" w14:textId="77777777" w:rsidR="00000000" w:rsidRDefault="00405D1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37EB0696" w14:textId="77777777" w:rsidR="00000000" w:rsidRDefault="00405D16">
            <w:pPr>
              <w:spacing w:after="100"/>
              <w:jc w:val="right"/>
              <w:rPr>
                <w:rFonts w:eastAsia="Times New Roman"/>
              </w:rPr>
            </w:pPr>
            <w:r>
              <w:rPr>
                <w:rFonts w:eastAsia="Times New Roman"/>
                <w:color w:val="000000"/>
                <w:sz w:val="16"/>
                <w:szCs w:val="16"/>
              </w:rPr>
              <w:t>8,489 </w:t>
            </w:r>
          </w:p>
        </w:tc>
        <w:tc>
          <w:tcPr>
            <w:tcW w:w="0" w:type="auto"/>
            <w:shd w:val="clear" w:color="auto" w:fill="FFFFFF"/>
            <w:tcMar>
              <w:top w:w="30" w:type="dxa"/>
              <w:left w:w="0" w:type="dxa"/>
              <w:bottom w:w="30" w:type="dxa"/>
              <w:right w:w="20" w:type="dxa"/>
            </w:tcMar>
            <w:vAlign w:val="center"/>
            <w:hideMark/>
          </w:tcPr>
          <w:p w14:paraId="4E686B7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F00FFF"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2A279F7" w14:textId="77777777" w:rsidR="00000000" w:rsidRDefault="00405D1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7E2DA16A" w14:textId="77777777" w:rsidR="00000000" w:rsidRDefault="00405D16">
            <w:pPr>
              <w:spacing w:after="100"/>
              <w:jc w:val="right"/>
              <w:rPr>
                <w:rFonts w:eastAsia="Times New Roman"/>
              </w:rPr>
            </w:pPr>
            <w:r>
              <w:rPr>
                <w:rFonts w:eastAsia="Times New Roman"/>
                <w:color w:val="000000"/>
                <w:sz w:val="16"/>
                <w:szCs w:val="16"/>
              </w:rPr>
              <w:t>384 </w:t>
            </w:r>
          </w:p>
        </w:tc>
        <w:tc>
          <w:tcPr>
            <w:tcW w:w="0" w:type="auto"/>
            <w:shd w:val="clear" w:color="auto" w:fill="FFFFFF"/>
            <w:tcMar>
              <w:top w:w="30" w:type="dxa"/>
              <w:left w:w="0" w:type="dxa"/>
              <w:bottom w:w="30" w:type="dxa"/>
              <w:right w:w="20" w:type="dxa"/>
            </w:tcMar>
            <w:vAlign w:val="center"/>
            <w:hideMark/>
          </w:tcPr>
          <w:p w14:paraId="3796518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C35362"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C62A32F" w14:textId="77777777" w:rsidR="00000000" w:rsidRDefault="00405D1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3F1AE79D" w14:textId="77777777" w:rsidR="00000000" w:rsidRDefault="00405D16">
            <w:pPr>
              <w:spacing w:after="100"/>
              <w:jc w:val="right"/>
              <w:rPr>
                <w:rFonts w:eastAsia="Times New Roman"/>
              </w:rPr>
            </w:pPr>
            <w:r>
              <w:rPr>
                <w:rFonts w:eastAsia="Times New Roman"/>
                <w:color w:val="000000"/>
                <w:sz w:val="16"/>
                <w:szCs w:val="16"/>
              </w:rPr>
              <w:t>8,873 </w:t>
            </w:r>
          </w:p>
        </w:tc>
        <w:tc>
          <w:tcPr>
            <w:tcW w:w="0" w:type="auto"/>
            <w:shd w:val="clear" w:color="auto" w:fill="FFFFFF"/>
            <w:tcMar>
              <w:top w:w="30" w:type="dxa"/>
              <w:left w:w="0" w:type="dxa"/>
              <w:bottom w:w="30" w:type="dxa"/>
              <w:right w:w="20" w:type="dxa"/>
            </w:tcMar>
            <w:vAlign w:val="center"/>
            <w:hideMark/>
          </w:tcPr>
          <w:p w14:paraId="06344BF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5281EB"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B4EE9A4" w14:textId="77777777" w:rsidR="00000000" w:rsidRDefault="00405D1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5D66072D" w14:textId="77777777" w:rsidR="00000000" w:rsidRDefault="00405D16">
            <w:pPr>
              <w:spacing w:after="100"/>
              <w:jc w:val="right"/>
              <w:rPr>
                <w:rFonts w:eastAsia="Times New Roman"/>
              </w:rPr>
            </w:pPr>
            <w:r>
              <w:rPr>
                <w:rFonts w:eastAsia="Times New Roman"/>
                <w:color w:val="000000"/>
                <w:sz w:val="16"/>
                <w:szCs w:val="16"/>
              </w:rPr>
              <w:t>2,122 </w:t>
            </w:r>
          </w:p>
        </w:tc>
        <w:tc>
          <w:tcPr>
            <w:tcW w:w="0" w:type="auto"/>
            <w:shd w:val="clear" w:color="auto" w:fill="FFFFFF"/>
            <w:tcMar>
              <w:top w:w="30" w:type="dxa"/>
              <w:left w:w="0" w:type="dxa"/>
              <w:bottom w:w="30" w:type="dxa"/>
              <w:right w:w="20" w:type="dxa"/>
            </w:tcMar>
            <w:vAlign w:val="center"/>
            <w:hideMark/>
          </w:tcPr>
          <w:p w14:paraId="2E2E37F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24F649"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B093147" w14:textId="77777777" w:rsidR="00000000" w:rsidRDefault="00405D1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1AB433B5" w14:textId="77777777" w:rsidR="00000000" w:rsidRDefault="00405D16">
            <w:pPr>
              <w:spacing w:after="100"/>
              <w:jc w:val="right"/>
              <w:rPr>
                <w:rFonts w:eastAsia="Times New Roman"/>
              </w:rPr>
            </w:pPr>
            <w:r>
              <w:rPr>
                <w:rFonts w:eastAsia="Times New Roman"/>
                <w:color w:val="000000"/>
                <w:sz w:val="16"/>
                <w:szCs w:val="16"/>
              </w:rPr>
              <w:t>81 </w:t>
            </w:r>
          </w:p>
        </w:tc>
        <w:tc>
          <w:tcPr>
            <w:tcW w:w="0" w:type="auto"/>
            <w:shd w:val="clear" w:color="auto" w:fill="FFFFFF"/>
            <w:tcMar>
              <w:top w:w="30" w:type="dxa"/>
              <w:left w:w="0" w:type="dxa"/>
              <w:bottom w:w="30" w:type="dxa"/>
              <w:right w:w="20" w:type="dxa"/>
            </w:tcMar>
            <w:vAlign w:val="center"/>
            <w:hideMark/>
          </w:tcPr>
          <w:p w14:paraId="0E30621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302D86"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04F62B7" w14:textId="77777777" w:rsidR="00000000" w:rsidRDefault="00405D1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608AFC31" w14:textId="77777777" w:rsidR="00000000" w:rsidRDefault="00405D16">
            <w:pPr>
              <w:spacing w:after="100"/>
              <w:jc w:val="right"/>
              <w:rPr>
                <w:rFonts w:eastAsia="Times New Roman"/>
              </w:rPr>
            </w:pPr>
            <w:r>
              <w:rPr>
                <w:rFonts w:eastAsia="Times New Roman"/>
                <w:color w:val="000000"/>
                <w:sz w:val="16"/>
                <w:szCs w:val="16"/>
              </w:rPr>
              <w:t>2,203 </w:t>
            </w:r>
          </w:p>
        </w:tc>
        <w:tc>
          <w:tcPr>
            <w:tcW w:w="0" w:type="auto"/>
            <w:shd w:val="clear" w:color="auto" w:fill="FFFFFF"/>
            <w:tcMar>
              <w:top w:w="30" w:type="dxa"/>
              <w:left w:w="0" w:type="dxa"/>
              <w:bottom w:w="30" w:type="dxa"/>
              <w:right w:w="20" w:type="dxa"/>
            </w:tcMar>
            <w:vAlign w:val="center"/>
            <w:hideMark/>
          </w:tcPr>
          <w:p w14:paraId="4EF9CB5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FB1695"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E9E38A2" w14:textId="77777777" w:rsidR="00000000" w:rsidRDefault="00405D1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56EF64E9" w14:textId="77777777" w:rsidR="00000000" w:rsidRDefault="00405D16">
            <w:pPr>
              <w:spacing w:after="100"/>
              <w:jc w:val="right"/>
              <w:rPr>
                <w:rFonts w:eastAsia="Times New Roman"/>
              </w:rPr>
            </w:pPr>
            <w:r>
              <w:rPr>
                <w:rFonts w:eastAsia="Times New Roman"/>
                <w:color w:val="000000"/>
                <w:sz w:val="16"/>
                <w:szCs w:val="16"/>
              </w:rPr>
              <w:t>1,270 </w:t>
            </w:r>
          </w:p>
        </w:tc>
        <w:tc>
          <w:tcPr>
            <w:tcW w:w="0" w:type="auto"/>
            <w:shd w:val="clear" w:color="auto" w:fill="FFFFFF"/>
            <w:tcMar>
              <w:top w:w="30" w:type="dxa"/>
              <w:left w:w="0" w:type="dxa"/>
              <w:bottom w:w="30" w:type="dxa"/>
              <w:right w:w="20" w:type="dxa"/>
            </w:tcMar>
            <w:vAlign w:val="center"/>
            <w:hideMark/>
          </w:tcPr>
          <w:p w14:paraId="38FF121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66C9B7"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E552986" w14:textId="77777777" w:rsidR="00000000" w:rsidRDefault="00405D1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2426F4CA" w14:textId="77777777" w:rsidR="00000000" w:rsidRDefault="00405D16">
            <w:pPr>
              <w:spacing w:after="100"/>
              <w:jc w:val="right"/>
              <w:rPr>
                <w:rFonts w:eastAsia="Times New Roman"/>
              </w:rPr>
            </w:pPr>
            <w:r>
              <w:rPr>
                <w:rFonts w:eastAsia="Times New Roman"/>
                <w:color w:val="000000"/>
                <w:sz w:val="16"/>
                <w:szCs w:val="16"/>
              </w:rPr>
              <w:t>12,346 </w:t>
            </w:r>
          </w:p>
        </w:tc>
        <w:tc>
          <w:tcPr>
            <w:tcW w:w="0" w:type="auto"/>
            <w:shd w:val="clear" w:color="auto" w:fill="FFFFFF"/>
            <w:tcMar>
              <w:top w:w="30" w:type="dxa"/>
              <w:left w:w="0" w:type="dxa"/>
              <w:bottom w:w="30" w:type="dxa"/>
              <w:right w:w="20" w:type="dxa"/>
            </w:tcMar>
            <w:vAlign w:val="center"/>
            <w:hideMark/>
          </w:tcPr>
          <w:p w14:paraId="0589ADA5" w14:textId="77777777" w:rsidR="00000000" w:rsidRDefault="00405D16">
            <w:pPr>
              <w:spacing w:after="100"/>
              <w:jc w:val="right"/>
              <w:rPr>
                <w:rFonts w:eastAsia="Times New Roman"/>
              </w:rPr>
            </w:pPr>
          </w:p>
        </w:tc>
      </w:tr>
      <w:tr w:rsidR="00000000" w14:paraId="40639D0F" w14:textId="77777777">
        <w:trPr>
          <w:divId w:val="513231771"/>
        </w:trPr>
        <w:tc>
          <w:tcPr>
            <w:tcW w:w="0" w:type="auto"/>
            <w:gridSpan w:val="3"/>
            <w:shd w:val="clear" w:color="auto" w:fill="CCEEFF"/>
            <w:tcMar>
              <w:top w:w="30" w:type="dxa"/>
              <w:left w:w="20" w:type="dxa"/>
              <w:bottom w:w="30" w:type="dxa"/>
              <w:right w:w="20" w:type="dxa"/>
            </w:tcMar>
            <w:vAlign w:val="bottom"/>
            <w:hideMark/>
          </w:tcPr>
          <w:p w14:paraId="196FC91F" w14:textId="77777777" w:rsidR="00000000" w:rsidRDefault="00405D16">
            <w:pPr>
              <w:spacing w:after="100"/>
              <w:divId w:val="260067553"/>
              <w:rPr>
                <w:rFonts w:eastAsia="Times New Roman"/>
              </w:rPr>
            </w:pPr>
            <w:r>
              <w:rPr>
                <w:rFonts w:eastAsia="Times New Roman"/>
                <w:color w:val="000000"/>
                <w:sz w:val="16"/>
                <w:szCs w:val="16"/>
              </w:rPr>
              <w:t>Charge-offs</w:t>
            </w:r>
          </w:p>
        </w:tc>
        <w:tc>
          <w:tcPr>
            <w:tcW w:w="0" w:type="auto"/>
            <w:gridSpan w:val="3"/>
            <w:shd w:val="clear" w:color="auto" w:fill="CCEEFF"/>
            <w:tcMar>
              <w:top w:w="0" w:type="dxa"/>
              <w:left w:w="20" w:type="dxa"/>
              <w:bottom w:w="0" w:type="dxa"/>
              <w:right w:w="20" w:type="dxa"/>
            </w:tcMar>
            <w:vAlign w:val="center"/>
            <w:hideMark/>
          </w:tcPr>
          <w:p w14:paraId="70835950"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A0654F6" w14:textId="77777777" w:rsidR="00000000" w:rsidRDefault="00405D16">
            <w:pPr>
              <w:spacing w:after="100"/>
              <w:jc w:val="right"/>
              <w:rPr>
                <w:rFonts w:eastAsia="Times New Roman"/>
              </w:rPr>
            </w:pPr>
            <w:r>
              <w:rPr>
                <w:rFonts w:eastAsia="Times New Roman"/>
                <w:b/>
                <w:bCs/>
                <w:color w:val="000000"/>
                <w:sz w:val="16"/>
                <w:szCs w:val="16"/>
              </w:rPr>
              <w:t>(658)</w:t>
            </w:r>
          </w:p>
        </w:tc>
        <w:tc>
          <w:tcPr>
            <w:tcW w:w="0" w:type="auto"/>
            <w:shd w:val="clear" w:color="auto" w:fill="CCEEFF"/>
            <w:tcMar>
              <w:top w:w="30" w:type="dxa"/>
              <w:left w:w="0" w:type="dxa"/>
              <w:bottom w:w="30" w:type="dxa"/>
              <w:right w:w="20" w:type="dxa"/>
            </w:tcMar>
            <w:vAlign w:val="center"/>
            <w:hideMark/>
          </w:tcPr>
          <w:p w14:paraId="5FF647C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2D1C4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BA287FE" w14:textId="77777777" w:rsidR="00000000" w:rsidRDefault="00405D16">
            <w:pPr>
              <w:spacing w:after="100"/>
              <w:jc w:val="right"/>
              <w:rPr>
                <w:rFonts w:eastAsia="Times New Roman"/>
              </w:rPr>
            </w:pPr>
            <w:r>
              <w:rPr>
                <w:rFonts w:eastAsia="Times New Roman"/>
                <w:b/>
                <w:bCs/>
                <w:color w:val="000000"/>
                <w:sz w:val="16"/>
                <w:szCs w:val="16"/>
              </w:rPr>
              <w:t>(77)</w:t>
            </w:r>
          </w:p>
        </w:tc>
        <w:tc>
          <w:tcPr>
            <w:tcW w:w="0" w:type="auto"/>
            <w:shd w:val="clear" w:color="auto" w:fill="CCEEFF"/>
            <w:tcMar>
              <w:top w:w="30" w:type="dxa"/>
              <w:left w:w="0" w:type="dxa"/>
              <w:bottom w:w="30" w:type="dxa"/>
              <w:right w:w="20" w:type="dxa"/>
            </w:tcMar>
            <w:vAlign w:val="center"/>
            <w:hideMark/>
          </w:tcPr>
          <w:p w14:paraId="7547D79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269E2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48E70B9" w14:textId="77777777" w:rsidR="00000000" w:rsidRDefault="00405D16">
            <w:pPr>
              <w:spacing w:after="100"/>
              <w:jc w:val="right"/>
              <w:rPr>
                <w:rFonts w:eastAsia="Times New Roman"/>
              </w:rPr>
            </w:pPr>
            <w:r>
              <w:rPr>
                <w:rFonts w:eastAsia="Times New Roman"/>
                <w:b/>
                <w:bCs/>
                <w:color w:val="000000"/>
                <w:sz w:val="16"/>
                <w:szCs w:val="16"/>
              </w:rPr>
              <w:t>(735)</w:t>
            </w:r>
          </w:p>
        </w:tc>
        <w:tc>
          <w:tcPr>
            <w:tcW w:w="0" w:type="auto"/>
            <w:shd w:val="clear" w:color="auto" w:fill="CCEEFF"/>
            <w:tcMar>
              <w:top w:w="30" w:type="dxa"/>
              <w:left w:w="0" w:type="dxa"/>
              <w:bottom w:w="30" w:type="dxa"/>
              <w:right w:w="20" w:type="dxa"/>
            </w:tcMar>
            <w:vAlign w:val="center"/>
            <w:hideMark/>
          </w:tcPr>
          <w:p w14:paraId="27873D4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469EF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24E33B7" w14:textId="77777777" w:rsidR="00000000" w:rsidRDefault="00405D16">
            <w:pPr>
              <w:spacing w:after="100"/>
              <w:jc w:val="right"/>
              <w:rPr>
                <w:rFonts w:eastAsia="Times New Roman"/>
              </w:rPr>
            </w:pPr>
            <w:r>
              <w:rPr>
                <w:rFonts w:eastAsia="Times New Roman"/>
                <w:b/>
                <w:bCs/>
                <w:color w:val="000000"/>
                <w:sz w:val="16"/>
                <w:szCs w:val="16"/>
              </w:rPr>
              <w:t>(244)</w:t>
            </w:r>
          </w:p>
        </w:tc>
        <w:tc>
          <w:tcPr>
            <w:tcW w:w="0" w:type="auto"/>
            <w:shd w:val="clear" w:color="auto" w:fill="CCEEFF"/>
            <w:tcMar>
              <w:top w:w="30" w:type="dxa"/>
              <w:left w:w="0" w:type="dxa"/>
              <w:bottom w:w="30" w:type="dxa"/>
              <w:right w:w="20" w:type="dxa"/>
            </w:tcMar>
            <w:vAlign w:val="center"/>
            <w:hideMark/>
          </w:tcPr>
          <w:p w14:paraId="1D22CB3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DB181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237B752" w14:textId="77777777" w:rsidR="00000000" w:rsidRDefault="00405D16">
            <w:pPr>
              <w:spacing w:after="100"/>
              <w:jc w:val="right"/>
              <w:rPr>
                <w:rFonts w:eastAsia="Times New Roman"/>
              </w:rPr>
            </w:pPr>
            <w:r>
              <w:rPr>
                <w:rFonts w:eastAsia="Times New Roman"/>
                <w:b/>
                <w:bCs/>
                <w:color w:val="000000"/>
                <w:sz w:val="16"/>
                <w:szCs w:val="16"/>
              </w:rPr>
              <w:t>(20)</w:t>
            </w:r>
          </w:p>
        </w:tc>
        <w:tc>
          <w:tcPr>
            <w:tcW w:w="0" w:type="auto"/>
            <w:shd w:val="clear" w:color="auto" w:fill="CCEEFF"/>
            <w:tcMar>
              <w:top w:w="30" w:type="dxa"/>
              <w:left w:w="0" w:type="dxa"/>
              <w:bottom w:w="30" w:type="dxa"/>
              <w:right w:w="20" w:type="dxa"/>
            </w:tcMar>
            <w:vAlign w:val="center"/>
            <w:hideMark/>
          </w:tcPr>
          <w:p w14:paraId="4E80888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025E5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9E8F089" w14:textId="77777777" w:rsidR="00000000" w:rsidRDefault="00405D16">
            <w:pPr>
              <w:spacing w:after="100"/>
              <w:jc w:val="right"/>
              <w:rPr>
                <w:rFonts w:eastAsia="Times New Roman"/>
              </w:rPr>
            </w:pPr>
            <w:r>
              <w:rPr>
                <w:rFonts w:eastAsia="Times New Roman"/>
                <w:b/>
                <w:bCs/>
                <w:color w:val="000000"/>
                <w:sz w:val="16"/>
                <w:szCs w:val="16"/>
              </w:rPr>
              <w:t>(264)</w:t>
            </w:r>
          </w:p>
        </w:tc>
        <w:tc>
          <w:tcPr>
            <w:tcW w:w="0" w:type="auto"/>
            <w:shd w:val="clear" w:color="auto" w:fill="CCEEFF"/>
            <w:tcMar>
              <w:top w:w="30" w:type="dxa"/>
              <w:left w:w="0" w:type="dxa"/>
              <w:bottom w:w="30" w:type="dxa"/>
              <w:right w:w="20" w:type="dxa"/>
            </w:tcMar>
            <w:vAlign w:val="center"/>
            <w:hideMark/>
          </w:tcPr>
          <w:p w14:paraId="5860B0E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70694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383F2A8" w14:textId="77777777" w:rsidR="00000000" w:rsidRDefault="00405D16">
            <w:pPr>
              <w:spacing w:after="100"/>
              <w:jc w:val="right"/>
              <w:rPr>
                <w:rFonts w:eastAsia="Times New Roman"/>
              </w:rPr>
            </w:pPr>
            <w:r>
              <w:rPr>
                <w:rFonts w:eastAsia="Times New Roman"/>
                <w:b/>
                <w:bCs/>
                <w:color w:val="000000"/>
                <w:sz w:val="16"/>
                <w:szCs w:val="16"/>
              </w:rPr>
              <w:t>(20)</w:t>
            </w:r>
          </w:p>
        </w:tc>
        <w:tc>
          <w:tcPr>
            <w:tcW w:w="0" w:type="auto"/>
            <w:shd w:val="clear" w:color="auto" w:fill="CCEEFF"/>
            <w:tcMar>
              <w:top w:w="30" w:type="dxa"/>
              <w:left w:w="0" w:type="dxa"/>
              <w:bottom w:w="30" w:type="dxa"/>
              <w:right w:w="20" w:type="dxa"/>
            </w:tcMar>
            <w:vAlign w:val="center"/>
            <w:hideMark/>
          </w:tcPr>
          <w:p w14:paraId="3800E86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E09B4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4B29151" w14:textId="77777777" w:rsidR="00000000" w:rsidRDefault="00405D16">
            <w:pPr>
              <w:spacing w:after="100"/>
              <w:jc w:val="right"/>
              <w:rPr>
                <w:rFonts w:eastAsia="Times New Roman"/>
              </w:rPr>
            </w:pPr>
            <w:r>
              <w:rPr>
                <w:rFonts w:eastAsia="Times New Roman"/>
                <w:b/>
                <w:bCs/>
                <w:color w:val="000000"/>
                <w:sz w:val="16"/>
                <w:szCs w:val="16"/>
              </w:rPr>
              <w:t>(1,019)</w:t>
            </w:r>
          </w:p>
        </w:tc>
        <w:tc>
          <w:tcPr>
            <w:tcW w:w="0" w:type="auto"/>
            <w:shd w:val="clear" w:color="auto" w:fill="CCEEFF"/>
            <w:tcMar>
              <w:top w:w="30" w:type="dxa"/>
              <w:left w:w="0" w:type="dxa"/>
              <w:bottom w:w="30" w:type="dxa"/>
              <w:right w:w="20" w:type="dxa"/>
            </w:tcMar>
            <w:vAlign w:val="center"/>
            <w:hideMark/>
          </w:tcPr>
          <w:p w14:paraId="317DC10B" w14:textId="77777777" w:rsidR="00000000" w:rsidRDefault="00405D16">
            <w:pPr>
              <w:spacing w:after="100"/>
              <w:jc w:val="right"/>
              <w:rPr>
                <w:rFonts w:eastAsia="Times New Roman"/>
              </w:rPr>
            </w:pPr>
          </w:p>
        </w:tc>
      </w:tr>
      <w:tr w:rsidR="00000000" w14:paraId="7D1D5F26" w14:textId="77777777">
        <w:trPr>
          <w:divId w:val="513231771"/>
        </w:trPr>
        <w:tc>
          <w:tcPr>
            <w:tcW w:w="0" w:type="auto"/>
            <w:gridSpan w:val="3"/>
            <w:shd w:val="clear" w:color="auto" w:fill="FFFFFF"/>
            <w:tcMar>
              <w:top w:w="30" w:type="dxa"/>
              <w:left w:w="20" w:type="dxa"/>
              <w:bottom w:w="30" w:type="dxa"/>
              <w:right w:w="20" w:type="dxa"/>
            </w:tcMar>
            <w:vAlign w:val="bottom"/>
            <w:hideMark/>
          </w:tcPr>
          <w:p w14:paraId="488D2F07" w14:textId="77777777" w:rsidR="00000000" w:rsidRDefault="00405D16">
            <w:pPr>
              <w:spacing w:after="100"/>
              <w:divId w:val="1680933898"/>
              <w:rPr>
                <w:rFonts w:eastAsia="Times New Roman"/>
              </w:rPr>
            </w:pPr>
            <w:r>
              <w:rPr>
                <w:rFonts w:eastAsia="Times New Roman"/>
                <w:color w:val="000000"/>
                <w:sz w:val="16"/>
                <w:szCs w:val="16"/>
              </w:rPr>
              <w:t>Recoverie</w:t>
            </w:r>
            <w:r>
              <w:rPr>
                <w:rFonts w:eastAsia="Times New Roman"/>
                <w:color w:val="000000"/>
                <w:sz w:val="16"/>
                <w:szCs w:val="16"/>
              </w:rPr>
              <w:t>s</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14:paraId="6B51EC91"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0ED6C63" w14:textId="77777777" w:rsidR="00000000" w:rsidRDefault="00405D16">
            <w:pPr>
              <w:spacing w:after="100"/>
              <w:jc w:val="right"/>
              <w:rPr>
                <w:rFonts w:eastAsia="Times New Roman"/>
              </w:rPr>
            </w:pPr>
            <w:r>
              <w:rPr>
                <w:rFonts w:eastAsia="Times New Roman"/>
                <w:b/>
                <w:bCs/>
                <w:color w:val="000000"/>
                <w:sz w:val="16"/>
                <w:szCs w:val="16"/>
              </w:rPr>
              <w:t>331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6F63F99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6AF7B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7ADE3A6" w14:textId="77777777" w:rsidR="00000000" w:rsidRDefault="00405D16">
            <w:pPr>
              <w:spacing w:after="100"/>
              <w:jc w:val="right"/>
              <w:rPr>
                <w:rFonts w:eastAsia="Times New Roman"/>
              </w:rPr>
            </w:pPr>
            <w:r>
              <w:rPr>
                <w:rFonts w:eastAsia="Times New Roman"/>
                <w:b/>
                <w:bCs/>
                <w:color w:val="000000"/>
                <w:sz w:val="16"/>
                <w:szCs w:val="16"/>
              </w:rPr>
              <w:t>38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75032BA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AF538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22541FC" w14:textId="77777777" w:rsidR="00000000" w:rsidRDefault="00405D16">
            <w:pPr>
              <w:spacing w:after="100"/>
              <w:jc w:val="right"/>
              <w:rPr>
                <w:rFonts w:eastAsia="Times New Roman"/>
              </w:rPr>
            </w:pPr>
            <w:r>
              <w:rPr>
                <w:rFonts w:eastAsia="Times New Roman"/>
                <w:b/>
                <w:bCs/>
                <w:color w:val="000000"/>
                <w:sz w:val="16"/>
                <w:szCs w:val="16"/>
              </w:rPr>
              <w:t>369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6A611A6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3E50D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3B0F34C" w14:textId="77777777" w:rsidR="00000000" w:rsidRDefault="00405D16">
            <w:pPr>
              <w:spacing w:after="100"/>
              <w:jc w:val="right"/>
              <w:rPr>
                <w:rFonts w:eastAsia="Times New Roman"/>
              </w:rPr>
            </w:pPr>
            <w:r>
              <w:rPr>
                <w:rFonts w:eastAsia="Times New Roman"/>
                <w:b/>
                <w:bCs/>
                <w:color w:val="000000"/>
                <w:sz w:val="16"/>
                <w:szCs w:val="16"/>
              </w:rPr>
              <w:t>210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2672694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3C906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47C4BDB" w14:textId="77777777" w:rsidR="00000000" w:rsidRDefault="00405D16">
            <w:pPr>
              <w:spacing w:after="100"/>
              <w:jc w:val="right"/>
              <w:rPr>
                <w:rFonts w:eastAsia="Times New Roman"/>
              </w:rPr>
            </w:pPr>
            <w:r>
              <w:rPr>
                <w:rFonts w:eastAsia="Times New Roman"/>
                <w:b/>
                <w:bCs/>
                <w:color w:val="000000"/>
                <w:sz w:val="16"/>
                <w:szCs w:val="16"/>
              </w:rPr>
              <w:t>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6F76F03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EB52A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ECE286F" w14:textId="77777777" w:rsidR="00000000" w:rsidRDefault="00405D16">
            <w:pPr>
              <w:spacing w:after="100"/>
              <w:jc w:val="right"/>
              <w:rPr>
                <w:rFonts w:eastAsia="Times New Roman"/>
              </w:rPr>
            </w:pPr>
            <w:r>
              <w:rPr>
                <w:rFonts w:eastAsia="Times New Roman"/>
                <w:b/>
                <w:bCs/>
                <w:color w:val="000000"/>
                <w:sz w:val="16"/>
                <w:szCs w:val="16"/>
              </w:rPr>
              <w:t>213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65F1EF6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7A54C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9124023" w14:textId="77777777" w:rsidR="00000000" w:rsidRDefault="00405D16">
            <w:pPr>
              <w:spacing w:after="100"/>
              <w:jc w:val="right"/>
              <w:rPr>
                <w:rFonts w:eastAsia="Times New Roman"/>
              </w:rPr>
            </w:pPr>
            <w:r>
              <w:rPr>
                <w:rFonts w:eastAsia="Times New Roman"/>
                <w:b/>
                <w:bCs/>
                <w:color w:val="000000"/>
                <w:sz w:val="16"/>
                <w:szCs w:val="16"/>
              </w:rPr>
              <w:t>11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3C33584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CD91C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15E42CE" w14:textId="77777777" w:rsidR="00000000" w:rsidRDefault="00405D16">
            <w:pPr>
              <w:spacing w:after="100"/>
              <w:jc w:val="right"/>
              <w:rPr>
                <w:rFonts w:eastAsia="Times New Roman"/>
              </w:rPr>
            </w:pPr>
            <w:r>
              <w:rPr>
                <w:rFonts w:eastAsia="Times New Roman"/>
                <w:b/>
                <w:bCs/>
                <w:color w:val="000000"/>
                <w:sz w:val="16"/>
                <w:szCs w:val="16"/>
              </w:rPr>
              <w:t>593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3835A590" w14:textId="77777777" w:rsidR="00000000" w:rsidRDefault="00405D16">
            <w:pPr>
              <w:spacing w:after="100"/>
              <w:jc w:val="right"/>
              <w:rPr>
                <w:rFonts w:eastAsia="Times New Roman"/>
              </w:rPr>
            </w:pPr>
          </w:p>
        </w:tc>
      </w:tr>
      <w:tr w:rsidR="00000000" w14:paraId="699C0EE2" w14:textId="77777777">
        <w:trPr>
          <w:divId w:val="513231771"/>
        </w:trPr>
        <w:tc>
          <w:tcPr>
            <w:tcW w:w="0" w:type="auto"/>
            <w:gridSpan w:val="3"/>
            <w:shd w:val="clear" w:color="auto" w:fill="CCEEFF"/>
            <w:tcMar>
              <w:top w:w="30" w:type="dxa"/>
              <w:left w:w="20" w:type="dxa"/>
              <w:bottom w:w="30" w:type="dxa"/>
              <w:right w:w="20" w:type="dxa"/>
            </w:tcMar>
            <w:vAlign w:val="bottom"/>
            <w:hideMark/>
          </w:tcPr>
          <w:p w14:paraId="6AD82CD6" w14:textId="77777777" w:rsidR="00000000" w:rsidRDefault="00405D16">
            <w:pPr>
              <w:spacing w:after="100"/>
              <w:rPr>
                <w:rFonts w:eastAsia="Times New Roman"/>
              </w:rPr>
            </w:pPr>
            <w:r>
              <w:rPr>
                <w:rFonts w:eastAsia="Times New Roman"/>
                <w:color w:val="000000"/>
                <w:sz w:val="16"/>
                <w:szCs w:val="16"/>
              </w:rPr>
              <w:t>Net charge-offs</w:t>
            </w:r>
          </w:p>
        </w:tc>
        <w:tc>
          <w:tcPr>
            <w:tcW w:w="0" w:type="auto"/>
            <w:gridSpan w:val="3"/>
            <w:shd w:val="clear" w:color="auto" w:fill="CCEEFF"/>
            <w:tcMar>
              <w:top w:w="0" w:type="dxa"/>
              <w:left w:w="20" w:type="dxa"/>
              <w:bottom w:w="0" w:type="dxa"/>
              <w:right w:w="20" w:type="dxa"/>
            </w:tcMar>
            <w:vAlign w:val="center"/>
            <w:hideMark/>
          </w:tcPr>
          <w:p w14:paraId="023D0DA6"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B414F2D" w14:textId="77777777" w:rsidR="00000000" w:rsidRDefault="00405D16">
            <w:pPr>
              <w:spacing w:after="100"/>
              <w:jc w:val="right"/>
              <w:rPr>
                <w:rFonts w:eastAsia="Times New Roman"/>
              </w:rPr>
            </w:pPr>
            <w:r>
              <w:rPr>
                <w:rFonts w:eastAsia="Times New Roman"/>
                <w:b/>
                <w:bCs/>
                <w:color w:val="000000"/>
                <w:sz w:val="16"/>
                <w:szCs w:val="16"/>
              </w:rPr>
              <w:t>(327)</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387623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CED17C"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8475A29" w14:textId="77777777" w:rsidR="00000000" w:rsidRDefault="00405D16">
            <w:pPr>
              <w:spacing w:after="100"/>
              <w:jc w:val="right"/>
              <w:rPr>
                <w:rFonts w:eastAsia="Times New Roman"/>
              </w:rPr>
            </w:pPr>
            <w:r>
              <w:rPr>
                <w:rFonts w:eastAsia="Times New Roman"/>
                <w:b/>
                <w:bCs/>
                <w:color w:val="000000"/>
                <w:sz w:val="16"/>
                <w:szCs w:val="16"/>
              </w:rPr>
              <w:t>(39)</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45AC81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BBC59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3992A5E" w14:textId="77777777" w:rsidR="00000000" w:rsidRDefault="00405D16">
            <w:pPr>
              <w:spacing w:after="100"/>
              <w:jc w:val="right"/>
              <w:rPr>
                <w:rFonts w:eastAsia="Times New Roman"/>
              </w:rPr>
            </w:pPr>
            <w:r>
              <w:rPr>
                <w:rFonts w:eastAsia="Times New Roman"/>
                <w:b/>
                <w:bCs/>
                <w:color w:val="000000"/>
                <w:sz w:val="16"/>
                <w:szCs w:val="16"/>
              </w:rPr>
              <w:t>(366)</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5FB4E8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00B750"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7852DDC" w14:textId="77777777" w:rsidR="00000000" w:rsidRDefault="00405D16">
            <w:pPr>
              <w:spacing w:after="100"/>
              <w:jc w:val="right"/>
              <w:rPr>
                <w:rFonts w:eastAsia="Times New Roman"/>
              </w:rPr>
            </w:pPr>
            <w:r>
              <w:rPr>
                <w:rFonts w:eastAsia="Times New Roman"/>
                <w:b/>
                <w:bCs/>
                <w:color w:val="000000"/>
                <w:sz w:val="16"/>
                <w:szCs w:val="16"/>
              </w:rPr>
              <w:t>(34)</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B3D3AC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0570D5"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6C69B95" w14:textId="77777777" w:rsidR="00000000" w:rsidRDefault="00405D16">
            <w:pPr>
              <w:spacing w:after="100"/>
              <w:jc w:val="right"/>
              <w:rPr>
                <w:rFonts w:eastAsia="Times New Roman"/>
              </w:rPr>
            </w:pPr>
            <w:r>
              <w:rPr>
                <w:rFonts w:eastAsia="Times New Roman"/>
                <w:b/>
                <w:bCs/>
                <w:color w:val="000000"/>
                <w:sz w:val="16"/>
                <w:szCs w:val="16"/>
              </w:rPr>
              <w:t>(17)</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C4B74C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CCB5D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969AD82" w14:textId="77777777" w:rsidR="00000000" w:rsidRDefault="00405D16">
            <w:pPr>
              <w:spacing w:after="100"/>
              <w:jc w:val="right"/>
              <w:rPr>
                <w:rFonts w:eastAsia="Times New Roman"/>
              </w:rPr>
            </w:pPr>
            <w:r>
              <w:rPr>
                <w:rFonts w:eastAsia="Times New Roman"/>
                <w:b/>
                <w:bCs/>
                <w:color w:val="000000"/>
                <w:sz w:val="16"/>
                <w:szCs w:val="16"/>
              </w:rPr>
              <w:t>(51)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632465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C169F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40A49CD" w14:textId="77777777" w:rsidR="00000000" w:rsidRDefault="00405D16">
            <w:pPr>
              <w:spacing w:after="100"/>
              <w:jc w:val="right"/>
              <w:rPr>
                <w:rFonts w:eastAsia="Times New Roman"/>
              </w:rPr>
            </w:pPr>
            <w:r>
              <w:rPr>
                <w:rFonts w:eastAsia="Times New Roman"/>
                <w:b/>
                <w:bCs/>
                <w:color w:val="000000"/>
                <w:sz w:val="16"/>
                <w:szCs w:val="16"/>
              </w:rPr>
              <w:t>(9)</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9BDEBA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05552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59FC46F" w14:textId="77777777" w:rsidR="00000000" w:rsidRDefault="00405D16">
            <w:pPr>
              <w:spacing w:after="100"/>
              <w:jc w:val="right"/>
              <w:rPr>
                <w:rFonts w:eastAsia="Times New Roman"/>
              </w:rPr>
            </w:pPr>
            <w:r>
              <w:rPr>
                <w:rFonts w:eastAsia="Times New Roman"/>
                <w:b/>
                <w:bCs/>
                <w:color w:val="000000"/>
                <w:sz w:val="16"/>
                <w:szCs w:val="16"/>
              </w:rPr>
              <w:t>(426)</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D3F89F3" w14:textId="77777777" w:rsidR="00000000" w:rsidRDefault="00405D16">
            <w:pPr>
              <w:spacing w:after="100"/>
              <w:jc w:val="right"/>
              <w:rPr>
                <w:rFonts w:eastAsia="Times New Roman"/>
              </w:rPr>
            </w:pPr>
          </w:p>
        </w:tc>
      </w:tr>
      <w:tr w:rsidR="00000000" w14:paraId="1919A3AB" w14:textId="77777777">
        <w:trPr>
          <w:divId w:val="513231771"/>
        </w:trPr>
        <w:tc>
          <w:tcPr>
            <w:tcW w:w="0" w:type="auto"/>
            <w:gridSpan w:val="3"/>
            <w:shd w:val="clear" w:color="auto" w:fill="FFFFFF"/>
            <w:tcMar>
              <w:top w:w="30" w:type="dxa"/>
              <w:left w:w="20" w:type="dxa"/>
              <w:bottom w:w="30" w:type="dxa"/>
              <w:right w:w="20" w:type="dxa"/>
            </w:tcMar>
            <w:vAlign w:val="bottom"/>
            <w:hideMark/>
          </w:tcPr>
          <w:p w14:paraId="22F3EB9D" w14:textId="77777777" w:rsidR="00000000" w:rsidRDefault="00405D16">
            <w:pPr>
              <w:spacing w:after="100"/>
              <w:rPr>
                <w:rFonts w:eastAsia="Times New Roman"/>
              </w:rPr>
            </w:pPr>
            <w:r>
              <w:rPr>
                <w:rFonts w:eastAsia="Times New Roman"/>
                <w:color w:val="000000"/>
                <w:sz w:val="16"/>
                <w:szCs w:val="16"/>
              </w:rPr>
              <w:t>Provision (benefit) for credit losses</w:t>
            </w:r>
          </w:p>
        </w:tc>
        <w:tc>
          <w:tcPr>
            <w:tcW w:w="0" w:type="auto"/>
            <w:gridSpan w:val="3"/>
            <w:shd w:val="clear" w:color="auto" w:fill="FFFFFF"/>
            <w:tcMar>
              <w:top w:w="0" w:type="dxa"/>
              <w:left w:w="20" w:type="dxa"/>
              <w:bottom w:w="0" w:type="dxa"/>
              <w:right w:w="20" w:type="dxa"/>
            </w:tcMar>
            <w:vAlign w:val="center"/>
            <w:hideMark/>
          </w:tcPr>
          <w:p w14:paraId="02A2B503"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706F8CD" w14:textId="77777777" w:rsidR="00000000" w:rsidRDefault="00405D16">
            <w:pPr>
              <w:spacing w:after="100"/>
              <w:jc w:val="right"/>
              <w:rPr>
                <w:rFonts w:eastAsia="Times New Roman"/>
              </w:rPr>
            </w:pPr>
            <w:r>
              <w:rPr>
                <w:rFonts w:eastAsia="Times New Roman"/>
                <w:b/>
                <w:bCs/>
                <w:color w:val="000000"/>
                <w:sz w:val="16"/>
                <w:szCs w:val="16"/>
              </w:rPr>
              <w:t>(200)</w:t>
            </w:r>
          </w:p>
        </w:tc>
        <w:tc>
          <w:tcPr>
            <w:tcW w:w="0" w:type="auto"/>
            <w:shd w:val="clear" w:color="auto" w:fill="FFFFFF"/>
            <w:tcMar>
              <w:top w:w="30" w:type="dxa"/>
              <w:left w:w="0" w:type="dxa"/>
              <w:bottom w:w="30" w:type="dxa"/>
              <w:right w:w="20" w:type="dxa"/>
            </w:tcMar>
            <w:vAlign w:val="center"/>
            <w:hideMark/>
          </w:tcPr>
          <w:p w14:paraId="2183999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A8A49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0BE905D" w14:textId="77777777" w:rsidR="00000000" w:rsidRDefault="00405D16">
            <w:pPr>
              <w:spacing w:after="100"/>
              <w:jc w:val="right"/>
              <w:rPr>
                <w:rFonts w:eastAsia="Times New Roman"/>
              </w:rPr>
            </w:pPr>
            <w:r>
              <w:rPr>
                <w:rFonts w:eastAsia="Times New Roman"/>
                <w:b/>
                <w:bCs/>
                <w:color w:val="000000"/>
                <w:sz w:val="16"/>
                <w:szCs w:val="16"/>
              </w:rPr>
              <w:t>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59B52E6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C11CF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9815F37" w14:textId="77777777" w:rsidR="00000000" w:rsidRDefault="00405D16">
            <w:pPr>
              <w:spacing w:after="100"/>
              <w:jc w:val="right"/>
              <w:rPr>
                <w:rFonts w:eastAsia="Times New Roman"/>
              </w:rPr>
            </w:pPr>
            <w:r>
              <w:rPr>
                <w:rFonts w:eastAsia="Times New Roman"/>
                <w:b/>
                <w:bCs/>
                <w:color w:val="000000"/>
                <w:sz w:val="16"/>
                <w:szCs w:val="16"/>
              </w:rPr>
              <w:t>(198)</w:t>
            </w:r>
          </w:p>
        </w:tc>
        <w:tc>
          <w:tcPr>
            <w:tcW w:w="0" w:type="auto"/>
            <w:shd w:val="clear" w:color="auto" w:fill="FFFFFF"/>
            <w:tcMar>
              <w:top w:w="30" w:type="dxa"/>
              <w:left w:w="0" w:type="dxa"/>
              <w:bottom w:w="30" w:type="dxa"/>
              <w:right w:w="20" w:type="dxa"/>
            </w:tcMar>
            <w:vAlign w:val="center"/>
            <w:hideMark/>
          </w:tcPr>
          <w:p w14:paraId="432E83E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86A38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A3C9337" w14:textId="77777777" w:rsidR="00000000" w:rsidRDefault="00405D16">
            <w:pPr>
              <w:spacing w:after="100"/>
              <w:jc w:val="right"/>
              <w:rPr>
                <w:rFonts w:eastAsia="Times New Roman"/>
              </w:rPr>
            </w:pPr>
            <w:r>
              <w:rPr>
                <w:rFonts w:eastAsia="Times New Roman"/>
                <w:b/>
                <w:bCs/>
                <w:color w:val="000000"/>
                <w:sz w:val="16"/>
                <w:szCs w:val="16"/>
              </w:rPr>
              <w:t>(100)</w:t>
            </w:r>
          </w:p>
        </w:tc>
        <w:tc>
          <w:tcPr>
            <w:tcW w:w="0" w:type="auto"/>
            <w:shd w:val="clear" w:color="auto" w:fill="FFFFFF"/>
            <w:tcMar>
              <w:top w:w="30" w:type="dxa"/>
              <w:left w:w="0" w:type="dxa"/>
              <w:bottom w:w="30" w:type="dxa"/>
              <w:right w:w="20" w:type="dxa"/>
            </w:tcMar>
            <w:vAlign w:val="center"/>
            <w:hideMark/>
          </w:tcPr>
          <w:p w14:paraId="10E873A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A9C33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BB3880C" w14:textId="77777777" w:rsidR="00000000" w:rsidRDefault="00405D16">
            <w:pPr>
              <w:spacing w:after="100"/>
              <w:jc w:val="right"/>
              <w:rPr>
                <w:rFonts w:eastAsia="Times New Roman"/>
              </w:rPr>
            </w:pPr>
            <w:r>
              <w:rPr>
                <w:rFonts w:eastAsia="Times New Roman"/>
                <w:b/>
                <w:bCs/>
                <w:color w:val="000000"/>
                <w:sz w:val="16"/>
                <w:szCs w:val="16"/>
              </w:rPr>
              <w:t>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4177177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CCFC2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2F2A45C" w14:textId="77777777" w:rsidR="00000000" w:rsidRDefault="00405D16">
            <w:pPr>
              <w:spacing w:after="100"/>
              <w:jc w:val="right"/>
              <w:rPr>
                <w:rFonts w:eastAsia="Times New Roman"/>
              </w:rPr>
            </w:pPr>
            <w:r>
              <w:rPr>
                <w:rFonts w:eastAsia="Times New Roman"/>
                <w:b/>
                <w:bCs/>
                <w:color w:val="000000"/>
                <w:sz w:val="16"/>
                <w:szCs w:val="16"/>
              </w:rPr>
              <w:t>(91)</w:t>
            </w:r>
          </w:p>
        </w:tc>
        <w:tc>
          <w:tcPr>
            <w:tcW w:w="0" w:type="auto"/>
            <w:shd w:val="clear" w:color="auto" w:fill="FFFFFF"/>
            <w:tcMar>
              <w:top w:w="30" w:type="dxa"/>
              <w:left w:w="0" w:type="dxa"/>
              <w:bottom w:w="30" w:type="dxa"/>
              <w:right w:w="20" w:type="dxa"/>
            </w:tcMar>
            <w:vAlign w:val="center"/>
            <w:hideMark/>
          </w:tcPr>
          <w:p w14:paraId="519833B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05BD1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233F69F" w14:textId="77777777" w:rsidR="00000000" w:rsidRDefault="00405D16">
            <w:pPr>
              <w:spacing w:after="100"/>
              <w:jc w:val="right"/>
              <w:rPr>
                <w:rFonts w:eastAsia="Times New Roman"/>
              </w:rPr>
            </w:pPr>
            <w:r>
              <w:rPr>
                <w:rFonts w:eastAsia="Times New Roman"/>
                <w:b/>
                <w:bCs/>
                <w:color w:val="000000"/>
                <w:sz w:val="16"/>
                <w:szCs w:val="16"/>
              </w:rPr>
              <w:t>(55)</w:t>
            </w:r>
          </w:p>
        </w:tc>
        <w:tc>
          <w:tcPr>
            <w:tcW w:w="0" w:type="auto"/>
            <w:shd w:val="clear" w:color="auto" w:fill="FFFFFF"/>
            <w:tcMar>
              <w:top w:w="30" w:type="dxa"/>
              <w:left w:w="0" w:type="dxa"/>
              <w:bottom w:w="30" w:type="dxa"/>
              <w:right w:w="20" w:type="dxa"/>
            </w:tcMar>
            <w:vAlign w:val="center"/>
            <w:hideMark/>
          </w:tcPr>
          <w:p w14:paraId="6E88EE6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2DD70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7A0096D" w14:textId="77777777" w:rsidR="00000000" w:rsidRDefault="00405D16">
            <w:pPr>
              <w:spacing w:after="100"/>
              <w:jc w:val="right"/>
              <w:rPr>
                <w:rFonts w:eastAsia="Times New Roman"/>
              </w:rPr>
            </w:pPr>
            <w:r>
              <w:rPr>
                <w:rFonts w:eastAsia="Times New Roman"/>
                <w:b/>
                <w:bCs/>
                <w:color w:val="000000"/>
                <w:sz w:val="16"/>
                <w:szCs w:val="16"/>
              </w:rPr>
              <w:t>(344)</w:t>
            </w:r>
          </w:p>
        </w:tc>
        <w:tc>
          <w:tcPr>
            <w:tcW w:w="0" w:type="auto"/>
            <w:shd w:val="clear" w:color="auto" w:fill="FFFFFF"/>
            <w:tcMar>
              <w:top w:w="30" w:type="dxa"/>
              <w:left w:w="0" w:type="dxa"/>
              <w:bottom w:w="30" w:type="dxa"/>
              <w:right w:w="20" w:type="dxa"/>
            </w:tcMar>
            <w:vAlign w:val="center"/>
            <w:hideMark/>
          </w:tcPr>
          <w:p w14:paraId="51969687" w14:textId="77777777" w:rsidR="00000000" w:rsidRDefault="00405D16">
            <w:pPr>
              <w:spacing w:after="100"/>
              <w:jc w:val="right"/>
              <w:rPr>
                <w:rFonts w:eastAsia="Times New Roman"/>
              </w:rPr>
            </w:pPr>
          </w:p>
        </w:tc>
      </w:tr>
      <w:tr w:rsidR="00000000" w14:paraId="1C2D7D7F" w14:textId="77777777">
        <w:trPr>
          <w:divId w:val="513231771"/>
        </w:trPr>
        <w:tc>
          <w:tcPr>
            <w:tcW w:w="0" w:type="auto"/>
            <w:gridSpan w:val="3"/>
            <w:shd w:val="clear" w:color="auto" w:fill="CCEEFF"/>
            <w:tcMar>
              <w:top w:w="30" w:type="dxa"/>
              <w:left w:w="20" w:type="dxa"/>
              <w:bottom w:w="30" w:type="dxa"/>
              <w:right w:w="20" w:type="dxa"/>
            </w:tcMar>
            <w:vAlign w:val="center"/>
            <w:hideMark/>
          </w:tcPr>
          <w:p w14:paraId="07A89CCF" w14:textId="77777777" w:rsidR="00000000" w:rsidRDefault="00405D16">
            <w:pPr>
              <w:spacing w:after="100"/>
              <w:rPr>
                <w:rFonts w:eastAsia="Times New Roman"/>
              </w:rPr>
            </w:pPr>
            <w:r>
              <w:rPr>
                <w:rFonts w:eastAsia="Times New Roman"/>
                <w:color w:val="000000"/>
                <w:sz w:val="16"/>
                <w:szCs w:val="16"/>
              </w:rPr>
              <w:t>Allowance build (release) for credit losses</w:t>
            </w:r>
          </w:p>
        </w:tc>
        <w:tc>
          <w:tcPr>
            <w:tcW w:w="0" w:type="auto"/>
            <w:gridSpan w:val="3"/>
            <w:shd w:val="clear" w:color="auto" w:fill="CCEEFF"/>
            <w:tcMar>
              <w:top w:w="0" w:type="dxa"/>
              <w:left w:w="20" w:type="dxa"/>
              <w:bottom w:w="0" w:type="dxa"/>
              <w:right w:w="20" w:type="dxa"/>
            </w:tcMar>
            <w:vAlign w:val="center"/>
            <w:hideMark/>
          </w:tcPr>
          <w:p w14:paraId="6A9461D3"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979D76F" w14:textId="77777777" w:rsidR="00000000" w:rsidRDefault="00405D16">
            <w:pPr>
              <w:spacing w:after="100"/>
              <w:jc w:val="right"/>
              <w:rPr>
                <w:rFonts w:eastAsia="Times New Roman"/>
              </w:rPr>
            </w:pPr>
            <w:r>
              <w:rPr>
                <w:rFonts w:eastAsia="Times New Roman"/>
                <w:b/>
                <w:bCs/>
                <w:color w:val="000000"/>
                <w:sz w:val="16"/>
                <w:szCs w:val="16"/>
              </w:rPr>
              <w:t>(527)</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24A99D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FD7345"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03C22EB" w14:textId="77777777" w:rsidR="00000000" w:rsidRDefault="00405D16">
            <w:pPr>
              <w:spacing w:after="100"/>
              <w:jc w:val="right"/>
              <w:rPr>
                <w:rFonts w:eastAsia="Times New Roman"/>
              </w:rPr>
            </w:pPr>
            <w:r>
              <w:rPr>
                <w:rFonts w:eastAsia="Times New Roman"/>
                <w:b/>
                <w:bCs/>
                <w:color w:val="000000"/>
                <w:sz w:val="16"/>
                <w:szCs w:val="16"/>
              </w:rPr>
              <w:t>(37)</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E1446C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ECC725"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8A09FCC" w14:textId="77777777" w:rsidR="00000000" w:rsidRDefault="00405D16">
            <w:pPr>
              <w:spacing w:after="100"/>
              <w:jc w:val="right"/>
              <w:rPr>
                <w:rFonts w:eastAsia="Times New Roman"/>
              </w:rPr>
            </w:pPr>
            <w:r>
              <w:rPr>
                <w:rFonts w:eastAsia="Times New Roman"/>
                <w:b/>
                <w:bCs/>
                <w:color w:val="000000"/>
                <w:sz w:val="16"/>
                <w:szCs w:val="16"/>
              </w:rPr>
              <w:t>(564)</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51F284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591D76"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0CC0066" w14:textId="77777777" w:rsidR="00000000" w:rsidRDefault="00405D16">
            <w:pPr>
              <w:spacing w:after="100"/>
              <w:jc w:val="right"/>
              <w:rPr>
                <w:rFonts w:eastAsia="Times New Roman"/>
              </w:rPr>
            </w:pPr>
            <w:r>
              <w:rPr>
                <w:rFonts w:eastAsia="Times New Roman"/>
                <w:b/>
                <w:bCs/>
                <w:color w:val="000000"/>
                <w:sz w:val="16"/>
                <w:szCs w:val="16"/>
              </w:rPr>
              <w:t>(134)</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D381C4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A2883F"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2519D4B" w14:textId="77777777" w:rsidR="00000000" w:rsidRDefault="00405D16">
            <w:pPr>
              <w:spacing w:after="100"/>
              <w:jc w:val="right"/>
              <w:rPr>
                <w:rFonts w:eastAsia="Times New Roman"/>
              </w:rPr>
            </w:pPr>
            <w:r>
              <w:rPr>
                <w:rFonts w:eastAsia="Times New Roman"/>
                <w:b/>
                <w:bCs/>
                <w:color w:val="000000"/>
                <w:sz w:val="16"/>
                <w:szCs w:val="16"/>
              </w:rPr>
              <w:t>(8)</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00C403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08E62F"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D736F3E" w14:textId="77777777" w:rsidR="00000000" w:rsidRDefault="00405D16">
            <w:pPr>
              <w:spacing w:after="100"/>
              <w:jc w:val="right"/>
              <w:rPr>
                <w:rFonts w:eastAsia="Times New Roman"/>
              </w:rPr>
            </w:pPr>
            <w:r>
              <w:rPr>
                <w:rFonts w:eastAsia="Times New Roman"/>
                <w:b/>
                <w:bCs/>
                <w:color w:val="000000"/>
                <w:sz w:val="16"/>
                <w:szCs w:val="16"/>
              </w:rPr>
              <w:t>(142)</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07F730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6C43F6"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877F03C" w14:textId="77777777" w:rsidR="00000000" w:rsidRDefault="00405D16">
            <w:pPr>
              <w:spacing w:after="100"/>
              <w:jc w:val="right"/>
              <w:rPr>
                <w:rFonts w:eastAsia="Times New Roman"/>
              </w:rPr>
            </w:pPr>
            <w:r>
              <w:rPr>
                <w:rFonts w:eastAsia="Times New Roman"/>
                <w:b/>
                <w:bCs/>
                <w:color w:val="000000"/>
                <w:sz w:val="16"/>
                <w:szCs w:val="16"/>
              </w:rPr>
              <w:t>(64)</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C480CA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1A6139"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6109988" w14:textId="77777777" w:rsidR="00000000" w:rsidRDefault="00405D16">
            <w:pPr>
              <w:spacing w:after="100"/>
              <w:jc w:val="right"/>
              <w:rPr>
                <w:rFonts w:eastAsia="Times New Roman"/>
              </w:rPr>
            </w:pPr>
            <w:r>
              <w:rPr>
                <w:rFonts w:eastAsia="Times New Roman"/>
                <w:b/>
                <w:bCs/>
                <w:color w:val="000000"/>
                <w:sz w:val="16"/>
                <w:szCs w:val="16"/>
              </w:rPr>
              <w:t>(770)</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5DEB75F" w14:textId="77777777" w:rsidR="00000000" w:rsidRDefault="00405D16">
            <w:pPr>
              <w:spacing w:after="100"/>
              <w:jc w:val="right"/>
              <w:rPr>
                <w:rFonts w:eastAsia="Times New Roman"/>
              </w:rPr>
            </w:pPr>
          </w:p>
        </w:tc>
      </w:tr>
      <w:tr w:rsidR="00000000" w14:paraId="4CAF8FC5" w14:textId="77777777">
        <w:trPr>
          <w:divId w:val="513231771"/>
        </w:trPr>
        <w:tc>
          <w:tcPr>
            <w:tcW w:w="0" w:type="auto"/>
            <w:gridSpan w:val="3"/>
            <w:shd w:val="clear" w:color="auto" w:fill="FFFFFF"/>
            <w:tcMar>
              <w:top w:w="30" w:type="dxa"/>
              <w:left w:w="20" w:type="dxa"/>
              <w:bottom w:w="30" w:type="dxa"/>
              <w:right w:w="20" w:type="dxa"/>
            </w:tcMar>
            <w:vAlign w:val="bottom"/>
            <w:hideMark/>
          </w:tcPr>
          <w:p w14:paraId="18343DA4" w14:textId="77777777" w:rsidR="00000000" w:rsidRDefault="00405D16">
            <w:pPr>
              <w:spacing w:after="100"/>
              <w:divId w:val="2057657509"/>
              <w:rPr>
                <w:rFonts w:eastAsia="Times New Roman"/>
              </w:rPr>
            </w:pPr>
            <w:r>
              <w:rPr>
                <w:rFonts w:eastAsia="Times New Roman"/>
                <w:color w:val="000000"/>
                <w:sz w:val="16"/>
                <w:szCs w:val="16"/>
              </w:rPr>
              <w:t>Other change</w:t>
            </w:r>
            <w:r>
              <w:rPr>
                <w:rFonts w:eastAsia="Times New Roman"/>
                <w:color w:val="000000"/>
                <w:sz w:val="16"/>
                <w:szCs w:val="16"/>
              </w:rPr>
              <w:t>s</w:t>
            </w:r>
            <w:r>
              <w:rPr>
                <w:rFonts w:eastAsia="Times New Roman"/>
                <w:color w:val="000000"/>
                <w:sz w:val="10"/>
                <w:szCs w:val="10"/>
              </w:rPr>
              <w:t>(4</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14:paraId="272D8184"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7CE5CA1" w14:textId="77777777" w:rsidR="00000000" w:rsidRDefault="00405D16">
            <w:pPr>
              <w:spacing w:after="100"/>
              <w:jc w:val="right"/>
              <w:rPr>
                <w:rFonts w:eastAsia="Times New Roman"/>
              </w:rPr>
            </w:pPr>
            <w:r>
              <w:rPr>
                <w:rFonts w:eastAsia="Times New Roman"/>
                <w:b/>
                <w:bCs/>
                <w:color w:val="000000"/>
                <w:sz w:val="16"/>
                <w:szCs w:val="16"/>
              </w:rPr>
              <w:t>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62C43E6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9A5B1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5A6711A" w14:textId="77777777" w:rsidR="00000000" w:rsidRDefault="00405D16">
            <w:pPr>
              <w:spacing w:after="100"/>
              <w:jc w:val="right"/>
              <w:rPr>
                <w:rFonts w:eastAsia="Times New Roman"/>
              </w:rPr>
            </w:pPr>
            <w:r>
              <w:rPr>
                <w:rFonts w:eastAsia="Times New Roman"/>
                <w:b/>
                <w:bCs/>
                <w:color w:val="000000"/>
                <w:sz w:val="16"/>
                <w:szCs w:val="16"/>
              </w:rPr>
              <w:t>(9)</w:t>
            </w:r>
          </w:p>
        </w:tc>
        <w:tc>
          <w:tcPr>
            <w:tcW w:w="0" w:type="auto"/>
            <w:shd w:val="clear" w:color="auto" w:fill="FFFFFF"/>
            <w:tcMar>
              <w:top w:w="30" w:type="dxa"/>
              <w:left w:w="0" w:type="dxa"/>
              <w:bottom w:w="30" w:type="dxa"/>
              <w:right w:w="20" w:type="dxa"/>
            </w:tcMar>
            <w:vAlign w:val="center"/>
            <w:hideMark/>
          </w:tcPr>
          <w:p w14:paraId="1D4DDF2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773D9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C8313A4" w14:textId="77777777" w:rsidR="00000000" w:rsidRDefault="00405D16">
            <w:pPr>
              <w:spacing w:after="100"/>
              <w:jc w:val="right"/>
              <w:rPr>
                <w:rFonts w:eastAsia="Times New Roman"/>
              </w:rPr>
            </w:pPr>
            <w:r>
              <w:rPr>
                <w:rFonts w:eastAsia="Times New Roman"/>
                <w:b/>
                <w:bCs/>
                <w:color w:val="000000"/>
                <w:sz w:val="16"/>
                <w:szCs w:val="16"/>
              </w:rPr>
              <w:t>(3)</w:t>
            </w:r>
          </w:p>
        </w:tc>
        <w:tc>
          <w:tcPr>
            <w:tcW w:w="0" w:type="auto"/>
            <w:shd w:val="clear" w:color="auto" w:fill="FFFFFF"/>
            <w:tcMar>
              <w:top w:w="30" w:type="dxa"/>
              <w:left w:w="0" w:type="dxa"/>
              <w:bottom w:w="30" w:type="dxa"/>
              <w:right w:w="20" w:type="dxa"/>
            </w:tcMar>
            <w:vAlign w:val="center"/>
            <w:hideMark/>
          </w:tcPr>
          <w:p w14:paraId="3B95342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FD764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7AF8D02" w14:textId="77777777" w:rsidR="00000000" w:rsidRDefault="00405D16">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34C1724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4AAF0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8290B63" w14:textId="77777777" w:rsidR="00000000" w:rsidRDefault="00405D16">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39A6B43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5BDD3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E41AABF" w14:textId="77777777" w:rsidR="00000000" w:rsidRDefault="00405D16">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5840243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BA797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FD1E2FB" w14:textId="77777777" w:rsidR="00000000" w:rsidRDefault="00405D16">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51FD857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F6B8C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51B256C" w14:textId="77777777" w:rsidR="00000000" w:rsidRDefault="00405D16">
            <w:pPr>
              <w:spacing w:after="100"/>
              <w:jc w:val="right"/>
              <w:rPr>
                <w:rFonts w:eastAsia="Times New Roman"/>
              </w:rPr>
            </w:pPr>
            <w:r>
              <w:rPr>
                <w:rFonts w:eastAsia="Times New Roman"/>
                <w:b/>
                <w:bCs/>
                <w:color w:val="000000"/>
                <w:sz w:val="16"/>
                <w:szCs w:val="16"/>
              </w:rPr>
              <w:t>(3)</w:t>
            </w:r>
          </w:p>
        </w:tc>
        <w:tc>
          <w:tcPr>
            <w:tcW w:w="0" w:type="auto"/>
            <w:shd w:val="clear" w:color="auto" w:fill="FFFFFF"/>
            <w:tcMar>
              <w:top w:w="30" w:type="dxa"/>
              <w:left w:w="0" w:type="dxa"/>
              <w:bottom w:w="30" w:type="dxa"/>
              <w:right w:w="20" w:type="dxa"/>
            </w:tcMar>
            <w:vAlign w:val="center"/>
            <w:hideMark/>
          </w:tcPr>
          <w:p w14:paraId="5D77817D" w14:textId="77777777" w:rsidR="00000000" w:rsidRDefault="00405D16">
            <w:pPr>
              <w:spacing w:after="100"/>
              <w:jc w:val="right"/>
              <w:rPr>
                <w:rFonts w:eastAsia="Times New Roman"/>
              </w:rPr>
            </w:pPr>
          </w:p>
        </w:tc>
      </w:tr>
      <w:tr w:rsidR="00000000" w14:paraId="6D300D39" w14:textId="77777777">
        <w:trPr>
          <w:divId w:val="513231771"/>
        </w:trPr>
        <w:tc>
          <w:tcPr>
            <w:tcW w:w="0" w:type="auto"/>
            <w:gridSpan w:val="3"/>
            <w:shd w:val="clear" w:color="auto" w:fill="CCEEFF"/>
            <w:tcMar>
              <w:top w:w="30" w:type="dxa"/>
              <w:left w:w="20" w:type="dxa"/>
              <w:bottom w:w="30" w:type="dxa"/>
              <w:right w:w="20" w:type="dxa"/>
            </w:tcMar>
            <w:vAlign w:val="bottom"/>
            <w:hideMark/>
          </w:tcPr>
          <w:p w14:paraId="062B5FF9" w14:textId="77777777" w:rsidR="00000000" w:rsidRDefault="00405D16">
            <w:pPr>
              <w:spacing w:after="100"/>
              <w:rPr>
                <w:rFonts w:eastAsia="Times New Roman"/>
              </w:rPr>
            </w:pPr>
            <w:r>
              <w:rPr>
                <w:rFonts w:eastAsia="Times New Roman"/>
                <w:color w:val="000000"/>
                <w:sz w:val="16"/>
                <w:szCs w:val="16"/>
              </w:rPr>
              <w:t>Balance as of September 30, 2021</w:t>
            </w:r>
          </w:p>
        </w:tc>
        <w:tc>
          <w:tcPr>
            <w:tcW w:w="0" w:type="auto"/>
            <w:gridSpan w:val="3"/>
            <w:shd w:val="clear" w:color="auto" w:fill="CCEEFF"/>
            <w:tcMar>
              <w:top w:w="0" w:type="dxa"/>
              <w:left w:w="20" w:type="dxa"/>
              <w:bottom w:w="0" w:type="dxa"/>
              <w:right w:w="20" w:type="dxa"/>
            </w:tcMar>
            <w:vAlign w:val="center"/>
            <w:hideMark/>
          </w:tcPr>
          <w:p w14:paraId="490D7A0B"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50FE6BE" w14:textId="77777777" w:rsidR="00000000" w:rsidRDefault="00405D16">
            <w:pPr>
              <w:spacing w:after="100"/>
              <w:jc w:val="right"/>
              <w:rPr>
                <w:rFonts w:eastAsia="Times New Roman"/>
              </w:rPr>
            </w:pPr>
            <w:r>
              <w:rPr>
                <w:rFonts w:eastAsia="Times New Roman"/>
                <w:b/>
                <w:bCs/>
                <w:color w:val="000000"/>
                <w:sz w:val="16"/>
                <w:szCs w:val="16"/>
              </w:rPr>
              <w:t>7,968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E13CC5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92B365"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EF8ED59" w14:textId="77777777" w:rsidR="00000000" w:rsidRDefault="00405D16">
            <w:pPr>
              <w:spacing w:after="100"/>
              <w:jc w:val="right"/>
              <w:rPr>
                <w:rFonts w:eastAsia="Times New Roman"/>
              </w:rPr>
            </w:pPr>
            <w:r>
              <w:rPr>
                <w:rFonts w:eastAsia="Times New Roman"/>
                <w:b/>
                <w:bCs/>
                <w:color w:val="000000"/>
                <w:sz w:val="16"/>
                <w:szCs w:val="16"/>
              </w:rPr>
              <w:t>338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EB6705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014B2C"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4AD90FA" w14:textId="77777777" w:rsidR="00000000" w:rsidRDefault="00405D16">
            <w:pPr>
              <w:spacing w:after="100"/>
              <w:jc w:val="right"/>
              <w:rPr>
                <w:rFonts w:eastAsia="Times New Roman"/>
              </w:rPr>
            </w:pPr>
            <w:r>
              <w:rPr>
                <w:rFonts w:eastAsia="Times New Roman"/>
                <w:b/>
                <w:bCs/>
                <w:color w:val="000000"/>
                <w:sz w:val="16"/>
                <w:szCs w:val="16"/>
              </w:rPr>
              <w:t>8,306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19FB74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475E04"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7EE618B" w14:textId="77777777" w:rsidR="00000000" w:rsidRDefault="00405D16">
            <w:pPr>
              <w:spacing w:after="100"/>
              <w:jc w:val="right"/>
              <w:rPr>
                <w:rFonts w:eastAsia="Times New Roman"/>
              </w:rPr>
            </w:pPr>
            <w:r>
              <w:rPr>
                <w:rFonts w:eastAsia="Times New Roman"/>
                <w:b/>
                <w:bCs/>
                <w:color w:val="000000"/>
                <w:sz w:val="16"/>
                <w:szCs w:val="16"/>
              </w:rPr>
              <w:t>1,988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F21042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A8891B"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CA0BB48" w14:textId="77777777" w:rsidR="00000000" w:rsidRDefault="00405D16">
            <w:pPr>
              <w:spacing w:after="100"/>
              <w:jc w:val="right"/>
              <w:rPr>
                <w:rFonts w:eastAsia="Times New Roman"/>
              </w:rPr>
            </w:pPr>
            <w:r>
              <w:rPr>
                <w:rFonts w:eastAsia="Times New Roman"/>
                <w:b/>
                <w:bCs/>
                <w:color w:val="000000"/>
                <w:sz w:val="16"/>
                <w:szCs w:val="16"/>
              </w:rPr>
              <w:t>73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D3D974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E0EAF0"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5A1CDEE" w14:textId="77777777" w:rsidR="00000000" w:rsidRDefault="00405D16">
            <w:pPr>
              <w:spacing w:after="100"/>
              <w:jc w:val="right"/>
              <w:rPr>
                <w:rFonts w:eastAsia="Times New Roman"/>
              </w:rPr>
            </w:pPr>
            <w:r>
              <w:rPr>
                <w:rFonts w:eastAsia="Times New Roman"/>
                <w:b/>
                <w:bCs/>
                <w:color w:val="000000"/>
                <w:sz w:val="16"/>
                <w:szCs w:val="16"/>
              </w:rPr>
              <w:t>2,061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B660E0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3447C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1B384F3" w14:textId="77777777" w:rsidR="00000000" w:rsidRDefault="00405D16">
            <w:pPr>
              <w:spacing w:after="100"/>
              <w:jc w:val="right"/>
              <w:rPr>
                <w:rFonts w:eastAsia="Times New Roman"/>
              </w:rPr>
            </w:pPr>
            <w:r>
              <w:rPr>
                <w:rFonts w:eastAsia="Times New Roman"/>
                <w:b/>
                <w:bCs/>
                <w:color w:val="000000"/>
                <w:sz w:val="16"/>
                <w:szCs w:val="16"/>
              </w:rPr>
              <w:t>1,206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F00335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BDB0D8"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9364994" w14:textId="77777777" w:rsidR="00000000" w:rsidRDefault="00405D16">
            <w:pPr>
              <w:spacing w:after="100"/>
              <w:jc w:val="right"/>
              <w:rPr>
                <w:rFonts w:eastAsia="Times New Roman"/>
              </w:rPr>
            </w:pPr>
            <w:r>
              <w:rPr>
                <w:rFonts w:eastAsia="Times New Roman"/>
                <w:b/>
                <w:bCs/>
                <w:color w:val="000000"/>
                <w:sz w:val="16"/>
                <w:szCs w:val="16"/>
              </w:rPr>
              <w:t>11,573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2B17708" w14:textId="77777777" w:rsidR="00000000" w:rsidRDefault="00405D16">
            <w:pPr>
              <w:spacing w:after="100"/>
              <w:jc w:val="right"/>
              <w:rPr>
                <w:rFonts w:eastAsia="Times New Roman"/>
              </w:rPr>
            </w:pPr>
          </w:p>
        </w:tc>
      </w:tr>
      <w:tr w:rsidR="00000000" w14:paraId="28081576" w14:textId="77777777">
        <w:trPr>
          <w:divId w:val="513231771"/>
        </w:trPr>
        <w:tc>
          <w:tcPr>
            <w:tcW w:w="0" w:type="auto"/>
            <w:gridSpan w:val="3"/>
            <w:shd w:val="clear" w:color="auto" w:fill="FFFFFF"/>
            <w:tcMar>
              <w:top w:w="30" w:type="dxa"/>
              <w:left w:w="20" w:type="dxa"/>
              <w:bottom w:w="30" w:type="dxa"/>
              <w:right w:w="20" w:type="dxa"/>
            </w:tcMar>
            <w:vAlign w:val="bottom"/>
            <w:hideMark/>
          </w:tcPr>
          <w:p w14:paraId="67784110" w14:textId="77777777" w:rsidR="00000000" w:rsidRDefault="00405D16">
            <w:pPr>
              <w:spacing w:after="100"/>
              <w:rPr>
                <w:rFonts w:eastAsia="Times New Roman"/>
              </w:rPr>
            </w:pPr>
            <w:r>
              <w:rPr>
                <w:rFonts w:eastAsia="Times New Roman"/>
                <w:b/>
                <w:bCs/>
                <w:color w:val="000000"/>
                <w:sz w:val="16"/>
                <w:szCs w:val="16"/>
              </w:rPr>
              <w:t>Reserve for unfunded lending commitments:</w:t>
            </w:r>
          </w:p>
        </w:tc>
        <w:tc>
          <w:tcPr>
            <w:tcW w:w="0" w:type="auto"/>
            <w:gridSpan w:val="3"/>
            <w:shd w:val="clear" w:color="auto" w:fill="FFFFFF"/>
            <w:tcMar>
              <w:top w:w="0" w:type="dxa"/>
              <w:left w:w="20" w:type="dxa"/>
              <w:bottom w:w="0" w:type="dxa"/>
              <w:right w:w="20" w:type="dxa"/>
            </w:tcMar>
            <w:vAlign w:val="center"/>
            <w:hideMark/>
          </w:tcPr>
          <w:p w14:paraId="0B64EF3D" w14:textId="77777777" w:rsidR="00000000" w:rsidRDefault="00405D16">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A3AA44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BCABE0"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F1AB52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A4478C"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F59B06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D16B03"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30314D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43C2F8"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A9B5A6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E888CC"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7D4D05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49E929"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08282E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E52D9D"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813BB5F" w14:textId="77777777" w:rsidR="00000000" w:rsidRDefault="00405D16">
            <w:pPr>
              <w:spacing w:after="100"/>
              <w:rPr>
                <w:rFonts w:eastAsia="Times New Roman"/>
                <w:sz w:val="20"/>
                <w:szCs w:val="20"/>
              </w:rPr>
            </w:pPr>
          </w:p>
        </w:tc>
      </w:tr>
      <w:tr w:rsidR="00000000" w14:paraId="415AEB97" w14:textId="77777777">
        <w:trPr>
          <w:divId w:val="513231771"/>
        </w:trPr>
        <w:tc>
          <w:tcPr>
            <w:tcW w:w="0" w:type="auto"/>
            <w:gridSpan w:val="3"/>
            <w:shd w:val="clear" w:color="auto" w:fill="CCEEFF"/>
            <w:tcMar>
              <w:top w:w="30" w:type="dxa"/>
              <w:left w:w="20" w:type="dxa"/>
              <w:bottom w:w="30" w:type="dxa"/>
              <w:right w:w="20" w:type="dxa"/>
            </w:tcMar>
            <w:vAlign w:val="bottom"/>
            <w:hideMark/>
          </w:tcPr>
          <w:p w14:paraId="592C23B6" w14:textId="77777777" w:rsidR="00000000" w:rsidRDefault="00405D16">
            <w:pPr>
              <w:spacing w:after="100"/>
              <w:rPr>
                <w:rFonts w:eastAsia="Times New Roman"/>
              </w:rPr>
            </w:pPr>
            <w:r>
              <w:rPr>
                <w:rFonts w:eastAsia="Times New Roman"/>
                <w:color w:val="000000"/>
                <w:sz w:val="16"/>
                <w:szCs w:val="16"/>
              </w:rPr>
              <w:t>Balance as of June 30, 2021</w:t>
            </w:r>
          </w:p>
        </w:tc>
        <w:tc>
          <w:tcPr>
            <w:tcW w:w="0" w:type="auto"/>
            <w:gridSpan w:val="3"/>
            <w:shd w:val="clear" w:color="auto" w:fill="CCEEFF"/>
            <w:tcMar>
              <w:top w:w="0" w:type="dxa"/>
              <w:left w:w="20" w:type="dxa"/>
              <w:bottom w:w="0" w:type="dxa"/>
              <w:right w:w="20" w:type="dxa"/>
            </w:tcMar>
            <w:vAlign w:val="center"/>
            <w:hideMark/>
          </w:tcPr>
          <w:p w14:paraId="0D62E0C6"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555D5BC"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68F563E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06E0F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7F0950F"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33931E9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086A6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3E6E76F"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1C49440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C3649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FF69020"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3104205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58DE0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A499BA4"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14E49CC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601D1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F49EE06"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523D4C1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9E297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2AA6D4A" w14:textId="77777777" w:rsidR="00000000" w:rsidRDefault="00405D16">
            <w:pPr>
              <w:spacing w:after="100"/>
              <w:jc w:val="right"/>
              <w:rPr>
                <w:rFonts w:eastAsia="Times New Roman"/>
              </w:rPr>
            </w:pPr>
            <w:r>
              <w:rPr>
                <w:rFonts w:eastAsia="Times New Roman"/>
                <w:color w:val="000000"/>
                <w:sz w:val="16"/>
                <w:szCs w:val="16"/>
              </w:rPr>
              <w:t>164 </w:t>
            </w:r>
          </w:p>
        </w:tc>
        <w:tc>
          <w:tcPr>
            <w:tcW w:w="0" w:type="auto"/>
            <w:shd w:val="clear" w:color="auto" w:fill="CCEEFF"/>
            <w:tcMar>
              <w:top w:w="30" w:type="dxa"/>
              <w:left w:w="0" w:type="dxa"/>
              <w:bottom w:w="30" w:type="dxa"/>
              <w:right w:w="20" w:type="dxa"/>
            </w:tcMar>
            <w:vAlign w:val="center"/>
            <w:hideMark/>
          </w:tcPr>
          <w:p w14:paraId="2F2F714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1A3A0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B316BC5" w14:textId="77777777" w:rsidR="00000000" w:rsidRDefault="00405D16">
            <w:pPr>
              <w:spacing w:after="100"/>
              <w:jc w:val="right"/>
              <w:rPr>
                <w:rFonts w:eastAsia="Times New Roman"/>
              </w:rPr>
            </w:pPr>
            <w:r>
              <w:rPr>
                <w:rFonts w:eastAsia="Times New Roman"/>
                <w:color w:val="000000"/>
                <w:sz w:val="16"/>
                <w:szCs w:val="16"/>
              </w:rPr>
              <w:t>164 </w:t>
            </w:r>
          </w:p>
        </w:tc>
        <w:tc>
          <w:tcPr>
            <w:tcW w:w="0" w:type="auto"/>
            <w:shd w:val="clear" w:color="auto" w:fill="CCEEFF"/>
            <w:tcMar>
              <w:top w:w="30" w:type="dxa"/>
              <w:left w:w="0" w:type="dxa"/>
              <w:bottom w:w="30" w:type="dxa"/>
              <w:right w:w="20" w:type="dxa"/>
            </w:tcMar>
            <w:vAlign w:val="center"/>
            <w:hideMark/>
          </w:tcPr>
          <w:p w14:paraId="6200521C" w14:textId="77777777" w:rsidR="00000000" w:rsidRDefault="00405D16">
            <w:pPr>
              <w:spacing w:after="100"/>
              <w:jc w:val="right"/>
              <w:rPr>
                <w:rFonts w:eastAsia="Times New Roman"/>
              </w:rPr>
            </w:pPr>
          </w:p>
        </w:tc>
      </w:tr>
      <w:tr w:rsidR="00000000" w14:paraId="53D3E96D" w14:textId="77777777">
        <w:trPr>
          <w:divId w:val="513231771"/>
        </w:trPr>
        <w:tc>
          <w:tcPr>
            <w:tcW w:w="0" w:type="auto"/>
            <w:gridSpan w:val="3"/>
            <w:shd w:val="clear" w:color="auto" w:fill="FFFFFF"/>
            <w:tcMar>
              <w:top w:w="30" w:type="dxa"/>
              <w:left w:w="20" w:type="dxa"/>
              <w:bottom w:w="30" w:type="dxa"/>
              <w:right w:w="20" w:type="dxa"/>
            </w:tcMar>
            <w:vAlign w:val="center"/>
            <w:hideMark/>
          </w:tcPr>
          <w:p w14:paraId="580CDD84" w14:textId="77777777" w:rsidR="00000000" w:rsidRDefault="00405D16">
            <w:pPr>
              <w:spacing w:after="100"/>
              <w:rPr>
                <w:rFonts w:eastAsia="Times New Roman"/>
              </w:rPr>
            </w:pPr>
            <w:r>
              <w:rPr>
                <w:rFonts w:eastAsia="Times New Roman"/>
                <w:color w:val="000000"/>
                <w:sz w:val="16"/>
                <w:szCs w:val="16"/>
              </w:rPr>
              <w:t>Provision (benefit) for losses on unfunded lending commitments</w:t>
            </w:r>
          </w:p>
        </w:tc>
        <w:tc>
          <w:tcPr>
            <w:tcW w:w="0" w:type="auto"/>
            <w:gridSpan w:val="3"/>
            <w:shd w:val="clear" w:color="auto" w:fill="FFFFFF"/>
            <w:tcMar>
              <w:top w:w="0" w:type="dxa"/>
              <w:left w:w="20" w:type="dxa"/>
              <w:bottom w:w="0" w:type="dxa"/>
              <w:right w:w="20" w:type="dxa"/>
            </w:tcMar>
            <w:vAlign w:val="center"/>
            <w:hideMark/>
          </w:tcPr>
          <w:p w14:paraId="009AECBF"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278FC0E" w14:textId="77777777" w:rsidR="00000000" w:rsidRDefault="00405D16">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66A866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B39A4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33573C" w14:textId="77777777" w:rsidR="00000000" w:rsidRDefault="00405D16">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4A67BC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E7591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525C84" w14:textId="77777777" w:rsidR="00000000" w:rsidRDefault="00405D16">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9B4098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DE1DC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29AC92" w14:textId="77777777" w:rsidR="00000000" w:rsidRDefault="00405D16">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7CE1CE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36B44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AF387A" w14:textId="77777777" w:rsidR="00000000" w:rsidRDefault="00405D16">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7165FA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5FB65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E34EC5" w14:textId="77777777" w:rsidR="00000000" w:rsidRDefault="00405D16">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551BE9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0AB88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56A429" w14:textId="77777777" w:rsidR="00000000" w:rsidRDefault="00405D16">
            <w:pPr>
              <w:spacing w:after="100"/>
              <w:jc w:val="right"/>
              <w:rPr>
                <w:rFonts w:eastAsia="Times New Roman"/>
              </w:rPr>
            </w:pPr>
            <w:r>
              <w:rPr>
                <w:rFonts w:eastAsia="Times New Roman"/>
                <w:b/>
                <w:bCs/>
                <w:color w:val="000000"/>
                <w:sz w:val="16"/>
                <w:szCs w:val="16"/>
              </w:rPr>
              <w:t>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0E46F7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9424E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57BC0D" w14:textId="77777777" w:rsidR="00000000" w:rsidRDefault="00405D16">
            <w:pPr>
              <w:spacing w:after="100"/>
              <w:jc w:val="right"/>
              <w:rPr>
                <w:rFonts w:eastAsia="Times New Roman"/>
              </w:rPr>
            </w:pPr>
            <w:r>
              <w:rPr>
                <w:rFonts w:eastAsia="Times New Roman"/>
                <w:b/>
                <w:bCs/>
                <w:color w:val="000000"/>
                <w:sz w:val="16"/>
                <w:szCs w:val="16"/>
              </w:rPr>
              <w:t>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CD649A4" w14:textId="77777777" w:rsidR="00000000" w:rsidRDefault="00405D16">
            <w:pPr>
              <w:spacing w:after="100"/>
              <w:jc w:val="right"/>
              <w:rPr>
                <w:rFonts w:eastAsia="Times New Roman"/>
              </w:rPr>
            </w:pPr>
          </w:p>
        </w:tc>
      </w:tr>
      <w:tr w:rsidR="00000000" w14:paraId="7806B1AF" w14:textId="77777777">
        <w:trPr>
          <w:divId w:val="513231771"/>
        </w:trPr>
        <w:tc>
          <w:tcPr>
            <w:tcW w:w="0" w:type="auto"/>
            <w:gridSpan w:val="3"/>
            <w:vAlign w:val="center"/>
            <w:hideMark/>
          </w:tcPr>
          <w:p w14:paraId="03AED411" w14:textId="77777777" w:rsidR="00000000" w:rsidRDefault="00405D16">
            <w:pPr>
              <w:spacing w:after="100"/>
              <w:jc w:val="right"/>
              <w:rPr>
                <w:rFonts w:eastAsia="Times New Roman"/>
                <w:sz w:val="20"/>
                <w:szCs w:val="20"/>
              </w:rPr>
            </w:pPr>
          </w:p>
        </w:tc>
        <w:tc>
          <w:tcPr>
            <w:tcW w:w="0" w:type="auto"/>
            <w:gridSpan w:val="3"/>
            <w:vAlign w:val="center"/>
            <w:hideMark/>
          </w:tcPr>
          <w:p w14:paraId="650A3F01" w14:textId="77777777" w:rsidR="00000000" w:rsidRDefault="00405D16">
            <w:pPr>
              <w:spacing w:after="100"/>
              <w:rPr>
                <w:rFonts w:eastAsia="Times New Roman"/>
                <w:sz w:val="20"/>
                <w:szCs w:val="20"/>
              </w:rPr>
            </w:pPr>
          </w:p>
        </w:tc>
        <w:tc>
          <w:tcPr>
            <w:tcW w:w="0" w:type="auto"/>
            <w:gridSpan w:val="3"/>
            <w:vAlign w:val="center"/>
            <w:hideMark/>
          </w:tcPr>
          <w:p w14:paraId="551FF75B" w14:textId="77777777" w:rsidR="00000000" w:rsidRDefault="00405D16">
            <w:pPr>
              <w:spacing w:after="100"/>
              <w:rPr>
                <w:rFonts w:eastAsia="Times New Roman"/>
                <w:sz w:val="20"/>
                <w:szCs w:val="20"/>
              </w:rPr>
            </w:pPr>
          </w:p>
        </w:tc>
        <w:tc>
          <w:tcPr>
            <w:tcW w:w="0" w:type="auto"/>
            <w:gridSpan w:val="3"/>
            <w:vAlign w:val="center"/>
            <w:hideMark/>
          </w:tcPr>
          <w:p w14:paraId="466150C6" w14:textId="77777777" w:rsidR="00000000" w:rsidRDefault="00405D16">
            <w:pPr>
              <w:spacing w:after="100"/>
              <w:rPr>
                <w:rFonts w:eastAsia="Times New Roman"/>
                <w:sz w:val="20"/>
                <w:szCs w:val="20"/>
              </w:rPr>
            </w:pPr>
          </w:p>
        </w:tc>
        <w:tc>
          <w:tcPr>
            <w:tcW w:w="0" w:type="auto"/>
            <w:gridSpan w:val="3"/>
            <w:vAlign w:val="center"/>
            <w:hideMark/>
          </w:tcPr>
          <w:p w14:paraId="1E64994B" w14:textId="77777777" w:rsidR="00000000" w:rsidRDefault="00405D16">
            <w:pPr>
              <w:spacing w:after="100"/>
              <w:rPr>
                <w:rFonts w:eastAsia="Times New Roman"/>
                <w:sz w:val="20"/>
                <w:szCs w:val="20"/>
              </w:rPr>
            </w:pPr>
          </w:p>
        </w:tc>
        <w:tc>
          <w:tcPr>
            <w:tcW w:w="0" w:type="auto"/>
            <w:gridSpan w:val="3"/>
            <w:vAlign w:val="center"/>
            <w:hideMark/>
          </w:tcPr>
          <w:p w14:paraId="1459922A" w14:textId="77777777" w:rsidR="00000000" w:rsidRDefault="00405D16">
            <w:pPr>
              <w:spacing w:after="100"/>
              <w:rPr>
                <w:rFonts w:eastAsia="Times New Roman"/>
                <w:sz w:val="20"/>
                <w:szCs w:val="20"/>
              </w:rPr>
            </w:pPr>
          </w:p>
        </w:tc>
        <w:tc>
          <w:tcPr>
            <w:tcW w:w="0" w:type="auto"/>
            <w:gridSpan w:val="3"/>
            <w:vAlign w:val="center"/>
            <w:hideMark/>
          </w:tcPr>
          <w:p w14:paraId="4B490669" w14:textId="77777777" w:rsidR="00000000" w:rsidRDefault="00405D16">
            <w:pPr>
              <w:spacing w:after="100"/>
              <w:rPr>
                <w:rFonts w:eastAsia="Times New Roman"/>
                <w:sz w:val="20"/>
                <w:szCs w:val="20"/>
              </w:rPr>
            </w:pPr>
          </w:p>
        </w:tc>
        <w:tc>
          <w:tcPr>
            <w:tcW w:w="0" w:type="auto"/>
            <w:gridSpan w:val="3"/>
            <w:vAlign w:val="center"/>
            <w:hideMark/>
          </w:tcPr>
          <w:p w14:paraId="4B87C9FA" w14:textId="77777777" w:rsidR="00000000" w:rsidRDefault="00405D16">
            <w:pPr>
              <w:spacing w:after="100"/>
              <w:rPr>
                <w:rFonts w:eastAsia="Times New Roman"/>
                <w:sz w:val="20"/>
                <w:szCs w:val="20"/>
              </w:rPr>
            </w:pPr>
          </w:p>
        </w:tc>
        <w:tc>
          <w:tcPr>
            <w:tcW w:w="0" w:type="auto"/>
            <w:gridSpan w:val="3"/>
            <w:vAlign w:val="center"/>
            <w:hideMark/>
          </w:tcPr>
          <w:p w14:paraId="335C61E0" w14:textId="77777777" w:rsidR="00000000" w:rsidRDefault="00405D16">
            <w:pPr>
              <w:spacing w:after="100"/>
              <w:rPr>
                <w:rFonts w:eastAsia="Times New Roman"/>
                <w:sz w:val="20"/>
                <w:szCs w:val="20"/>
              </w:rPr>
            </w:pPr>
          </w:p>
        </w:tc>
        <w:tc>
          <w:tcPr>
            <w:tcW w:w="0" w:type="auto"/>
            <w:gridSpan w:val="3"/>
            <w:vAlign w:val="center"/>
            <w:hideMark/>
          </w:tcPr>
          <w:p w14:paraId="7A2390FC" w14:textId="77777777" w:rsidR="00000000" w:rsidRDefault="00405D16">
            <w:pPr>
              <w:spacing w:after="100"/>
              <w:rPr>
                <w:rFonts w:eastAsia="Times New Roman"/>
                <w:sz w:val="20"/>
                <w:szCs w:val="20"/>
              </w:rPr>
            </w:pPr>
          </w:p>
        </w:tc>
        <w:tc>
          <w:tcPr>
            <w:tcW w:w="0" w:type="auto"/>
            <w:gridSpan w:val="3"/>
            <w:vAlign w:val="center"/>
            <w:hideMark/>
          </w:tcPr>
          <w:p w14:paraId="417DFFBE" w14:textId="77777777" w:rsidR="00000000" w:rsidRDefault="00405D16">
            <w:pPr>
              <w:spacing w:after="100"/>
              <w:rPr>
                <w:rFonts w:eastAsia="Times New Roman"/>
                <w:sz w:val="20"/>
                <w:szCs w:val="20"/>
              </w:rPr>
            </w:pPr>
          </w:p>
        </w:tc>
        <w:tc>
          <w:tcPr>
            <w:tcW w:w="0" w:type="auto"/>
            <w:gridSpan w:val="3"/>
            <w:vAlign w:val="center"/>
            <w:hideMark/>
          </w:tcPr>
          <w:p w14:paraId="19C900F4" w14:textId="77777777" w:rsidR="00000000" w:rsidRDefault="00405D16">
            <w:pPr>
              <w:spacing w:after="100"/>
              <w:rPr>
                <w:rFonts w:eastAsia="Times New Roman"/>
                <w:sz w:val="20"/>
                <w:szCs w:val="20"/>
              </w:rPr>
            </w:pPr>
          </w:p>
        </w:tc>
        <w:tc>
          <w:tcPr>
            <w:tcW w:w="0" w:type="auto"/>
            <w:gridSpan w:val="3"/>
            <w:vAlign w:val="center"/>
            <w:hideMark/>
          </w:tcPr>
          <w:p w14:paraId="4F365DD1" w14:textId="77777777" w:rsidR="00000000" w:rsidRDefault="00405D16">
            <w:pPr>
              <w:spacing w:after="100"/>
              <w:rPr>
                <w:rFonts w:eastAsia="Times New Roman"/>
                <w:sz w:val="20"/>
                <w:szCs w:val="20"/>
              </w:rPr>
            </w:pPr>
          </w:p>
        </w:tc>
        <w:tc>
          <w:tcPr>
            <w:tcW w:w="0" w:type="auto"/>
            <w:gridSpan w:val="3"/>
            <w:vAlign w:val="center"/>
            <w:hideMark/>
          </w:tcPr>
          <w:p w14:paraId="73B9F835" w14:textId="77777777" w:rsidR="00000000" w:rsidRDefault="00405D16">
            <w:pPr>
              <w:spacing w:after="100"/>
              <w:rPr>
                <w:rFonts w:eastAsia="Times New Roman"/>
                <w:sz w:val="20"/>
                <w:szCs w:val="20"/>
              </w:rPr>
            </w:pPr>
          </w:p>
        </w:tc>
        <w:tc>
          <w:tcPr>
            <w:tcW w:w="0" w:type="auto"/>
            <w:gridSpan w:val="3"/>
            <w:vAlign w:val="center"/>
            <w:hideMark/>
          </w:tcPr>
          <w:p w14:paraId="40740EED" w14:textId="77777777" w:rsidR="00000000" w:rsidRDefault="00405D16">
            <w:pPr>
              <w:spacing w:after="100"/>
              <w:rPr>
                <w:rFonts w:eastAsia="Times New Roman"/>
                <w:sz w:val="20"/>
                <w:szCs w:val="20"/>
              </w:rPr>
            </w:pPr>
          </w:p>
        </w:tc>
        <w:tc>
          <w:tcPr>
            <w:tcW w:w="0" w:type="auto"/>
            <w:gridSpan w:val="3"/>
            <w:vAlign w:val="center"/>
            <w:hideMark/>
          </w:tcPr>
          <w:p w14:paraId="3F6D75BC" w14:textId="77777777" w:rsidR="00000000" w:rsidRDefault="00405D16">
            <w:pPr>
              <w:spacing w:after="100"/>
              <w:rPr>
                <w:rFonts w:eastAsia="Times New Roman"/>
                <w:sz w:val="20"/>
                <w:szCs w:val="20"/>
              </w:rPr>
            </w:pPr>
          </w:p>
        </w:tc>
        <w:tc>
          <w:tcPr>
            <w:tcW w:w="0" w:type="auto"/>
            <w:gridSpan w:val="3"/>
            <w:vAlign w:val="center"/>
            <w:hideMark/>
          </w:tcPr>
          <w:p w14:paraId="654A8CC1" w14:textId="77777777" w:rsidR="00000000" w:rsidRDefault="00405D16">
            <w:pPr>
              <w:spacing w:after="100"/>
              <w:rPr>
                <w:rFonts w:eastAsia="Times New Roman"/>
                <w:sz w:val="20"/>
                <w:szCs w:val="20"/>
              </w:rPr>
            </w:pPr>
          </w:p>
        </w:tc>
      </w:tr>
      <w:tr w:rsidR="00000000" w14:paraId="39275EA8" w14:textId="77777777">
        <w:trPr>
          <w:divId w:val="513231771"/>
        </w:trPr>
        <w:tc>
          <w:tcPr>
            <w:tcW w:w="0" w:type="auto"/>
            <w:gridSpan w:val="3"/>
            <w:shd w:val="clear" w:color="auto" w:fill="CCEEFF"/>
            <w:tcMar>
              <w:top w:w="30" w:type="dxa"/>
              <w:left w:w="20" w:type="dxa"/>
              <w:bottom w:w="30" w:type="dxa"/>
              <w:right w:w="20" w:type="dxa"/>
            </w:tcMar>
            <w:vAlign w:val="bottom"/>
            <w:hideMark/>
          </w:tcPr>
          <w:p w14:paraId="33DB8428" w14:textId="77777777" w:rsidR="00000000" w:rsidRDefault="00405D16">
            <w:pPr>
              <w:spacing w:after="100"/>
              <w:rPr>
                <w:rFonts w:eastAsia="Times New Roman"/>
              </w:rPr>
            </w:pPr>
            <w:r>
              <w:rPr>
                <w:rFonts w:eastAsia="Times New Roman"/>
                <w:color w:val="000000"/>
                <w:sz w:val="16"/>
                <w:szCs w:val="16"/>
              </w:rPr>
              <w:t>Balance as of September 30, 2021</w:t>
            </w:r>
          </w:p>
        </w:tc>
        <w:tc>
          <w:tcPr>
            <w:tcW w:w="0" w:type="auto"/>
            <w:gridSpan w:val="3"/>
            <w:shd w:val="clear" w:color="auto" w:fill="CCEEFF"/>
            <w:tcMar>
              <w:top w:w="0" w:type="dxa"/>
              <w:left w:w="20" w:type="dxa"/>
              <w:bottom w:w="0" w:type="dxa"/>
              <w:right w:w="20" w:type="dxa"/>
            </w:tcMar>
            <w:vAlign w:val="center"/>
            <w:hideMark/>
          </w:tcPr>
          <w:p w14:paraId="0769B67F"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D8ACFF1" w14:textId="77777777" w:rsidR="00000000" w:rsidRDefault="00405D16">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1585E6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29F65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2DB9961" w14:textId="77777777" w:rsidR="00000000" w:rsidRDefault="00405D16">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D98062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31509F"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AEEDC05" w14:textId="77777777" w:rsidR="00000000" w:rsidRDefault="00405D16">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87B9A1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D40C65"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9EC71EF" w14:textId="77777777" w:rsidR="00000000" w:rsidRDefault="00405D16">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EDB9F3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78B096"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31B6B00" w14:textId="77777777" w:rsidR="00000000" w:rsidRDefault="00405D16">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DE47FE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0B4411"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53F22C9" w14:textId="77777777" w:rsidR="00000000" w:rsidRDefault="00405D16">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2262DF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BF5338"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FE88567" w14:textId="77777777" w:rsidR="00000000" w:rsidRDefault="00405D16">
            <w:pPr>
              <w:spacing w:after="100"/>
              <w:jc w:val="right"/>
              <w:rPr>
                <w:rFonts w:eastAsia="Times New Roman"/>
              </w:rPr>
            </w:pPr>
            <w:r>
              <w:rPr>
                <w:rFonts w:eastAsia="Times New Roman"/>
                <w:b/>
                <w:bCs/>
                <w:color w:val="000000"/>
                <w:sz w:val="16"/>
                <w:szCs w:val="16"/>
              </w:rPr>
              <w:t>166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652963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596EA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6F60E99" w14:textId="77777777" w:rsidR="00000000" w:rsidRDefault="00405D16">
            <w:pPr>
              <w:spacing w:after="100"/>
              <w:jc w:val="right"/>
              <w:rPr>
                <w:rFonts w:eastAsia="Times New Roman"/>
              </w:rPr>
            </w:pPr>
            <w:r>
              <w:rPr>
                <w:rFonts w:eastAsia="Times New Roman"/>
                <w:b/>
                <w:bCs/>
                <w:color w:val="000000"/>
                <w:sz w:val="16"/>
                <w:szCs w:val="16"/>
              </w:rPr>
              <w:t>166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89AE3F2" w14:textId="77777777" w:rsidR="00000000" w:rsidRDefault="00405D16">
            <w:pPr>
              <w:spacing w:after="100"/>
              <w:jc w:val="right"/>
              <w:rPr>
                <w:rFonts w:eastAsia="Times New Roman"/>
              </w:rPr>
            </w:pPr>
          </w:p>
        </w:tc>
      </w:tr>
      <w:tr w:rsidR="00405D16" w14:paraId="4E1D265F" w14:textId="77777777">
        <w:trPr>
          <w:divId w:val="513231771"/>
        </w:trPr>
        <w:tc>
          <w:tcPr>
            <w:tcW w:w="0" w:type="auto"/>
            <w:gridSpan w:val="3"/>
            <w:shd w:val="clear" w:color="auto" w:fill="FFFFFF"/>
            <w:tcMar>
              <w:top w:w="30" w:type="dxa"/>
              <w:left w:w="20" w:type="dxa"/>
              <w:bottom w:w="30" w:type="dxa"/>
              <w:right w:w="20" w:type="dxa"/>
            </w:tcMar>
            <w:vAlign w:val="bottom"/>
            <w:hideMark/>
          </w:tcPr>
          <w:p w14:paraId="36671F29" w14:textId="77777777" w:rsidR="00000000" w:rsidRDefault="00405D16">
            <w:pPr>
              <w:spacing w:after="100"/>
              <w:rPr>
                <w:rFonts w:eastAsia="Times New Roman"/>
              </w:rPr>
            </w:pPr>
            <w:r>
              <w:rPr>
                <w:rFonts w:eastAsia="Times New Roman"/>
                <w:b/>
                <w:bCs/>
                <w:color w:val="000000"/>
                <w:sz w:val="16"/>
                <w:szCs w:val="16"/>
              </w:rPr>
              <w:t>Combined allowance and reserve as of September 30, 2021</w:t>
            </w:r>
          </w:p>
        </w:tc>
        <w:tc>
          <w:tcPr>
            <w:tcW w:w="0" w:type="auto"/>
            <w:gridSpan w:val="3"/>
            <w:shd w:val="clear" w:color="auto" w:fill="FFFFFF"/>
            <w:tcMar>
              <w:top w:w="0" w:type="dxa"/>
              <w:left w:w="20" w:type="dxa"/>
              <w:bottom w:w="0" w:type="dxa"/>
              <w:right w:w="20" w:type="dxa"/>
            </w:tcMar>
            <w:vAlign w:val="center"/>
            <w:hideMark/>
          </w:tcPr>
          <w:p w14:paraId="2D23305A"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A02B8F9" w14:textId="77777777" w:rsidR="00000000" w:rsidRDefault="00405D16">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57EFEDA" w14:textId="77777777" w:rsidR="00000000" w:rsidRDefault="00405D16">
            <w:pPr>
              <w:spacing w:after="100"/>
              <w:jc w:val="right"/>
              <w:rPr>
                <w:rFonts w:eastAsia="Times New Roman"/>
              </w:rPr>
            </w:pPr>
            <w:r>
              <w:rPr>
                <w:rFonts w:eastAsia="Times New Roman"/>
                <w:b/>
                <w:bCs/>
                <w:color w:val="000000"/>
                <w:sz w:val="16"/>
                <w:szCs w:val="16"/>
              </w:rPr>
              <w:t>7,968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403B53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4C6F93"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8613DC2" w14:textId="77777777" w:rsidR="00000000" w:rsidRDefault="00405D16">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58B0FC6" w14:textId="77777777" w:rsidR="00000000" w:rsidRDefault="00405D16">
            <w:pPr>
              <w:spacing w:after="100"/>
              <w:jc w:val="right"/>
              <w:rPr>
                <w:rFonts w:eastAsia="Times New Roman"/>
              </w:rPr>
            </w:pPr>
            <w:r>
              <w:rPr>
                <w:rFonts w:eastAsia="Times New Roman"/>
                <w:b/>
                <w:bCs/>
                <w:color w:val="000000"/>
                <w:sz w:val="16"/>
                <w:szCs w:val="16"/>
              </w:rPr>
              <w:t>338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2E8DFA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D97A91"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43FBF2E" w14:textId="77777777" w:rsidR="00000000" w:rsidRDefault="00405D16">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C960B86" w14:textId="77777777" w:rsidR="00000000" w:rsidRDefault="00405D16">
            <w:pPr>
              <w:spacing w:after="100"/>
              <w:jc w:val="right"/>
              <w:rPr>
                <w:rFonts w:eastAsia="Times New Roman"/>
              </w:rPr>
            </w:pPr>
            <w:r>
              <w:rPr>
                <w:rFonts w:eastAsia="Times New Roman"/>
                <w:b/>
                <w:bCs/>
                <w:color w:val="000000"/>
                <w:sz w:val="16"/>
                <w:szCs w:val="16"/>
              </w:rPr>
              <w:t>8,306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344D5E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CF61B9"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8E4EFBE" w14:textId="77777777" w:rsidR="00000000" w:rsidRDefault="00405D16">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1CE1754" w14:textId="77777777" w:rsidR="00000000" w:rsidRDefault="00405D16">
            <w:pPr>
              <w:spacing w:after="100"/>
              <w:jc w:val="right"/>
              <w:rPr>
                <w:rFonts w:eastAsia="Times New Roman"/>
              </w:rPr>
            </w:pPr>
            <w:r>
              <w:rPr>
                <w:rFonts w:eastAsia="Times New Roman"/>
                <w:b/>
                <w:bCs/>
                <w:color w:val="000000"/>
                <w:sz w:val="16"/>
                <w:szCs w:val="16"/>
              </w:rPr>
              <w:t>1,988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A61BA0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2B319C"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E1AD994" w14:textId="77777777" w:rsidR="00000000" w:rsidRDefault="00405D16">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719ED8A" w14:textId="77777777" w:rsidR="00000000" w:rsidRDefault="00405D16">
            <w:pPr>
              <w:spacing w:after="100"/>
              <w:jc w:val="right"/>
              <w:rPr>
                <w:rFonts w:eastAsia="Times New Roman"/>
              </w:rPr>
            </w:pPr>
            <w:r>
              <w:rPr>
                <w:rFonts w:eastAsia="Times New Roman"/>
                <w:b/>
                <w:bCs/>
                <w:color w:val="000000"/>
                <w:sz w:val="16"/>
                <w:szCs w:val="16"/>
              </w:rPr>
              <w:t>73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8BAB1C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42253B"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D9B4CC2" w14:textId="77777777" w:rsidR="00000000" w:rsidRDefault="00405D16">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9DC7FEC" w14:textId="77777777" w:rsidR="00000000" w:rsidRDefault="00405D16">
            <w:pPr>
              <w:spacing w:after="100"/>
              <w:jc w:val="right"/>
              <w:rPr>
                <w:rFonts w:eastAsia="Times New Roman"/>
              </w:rPr>
            </w:pPr>
            <w:r>
              <w:rPr>
                <w:rFonts w:eastAsia="Times New Roman"/>
                <w:b/>
                <w:bCs/>
                <w:color w:val="000000"/>
                <w:sz w:val="16"/>
                <w:szCs w:val="16"/>
              </w:rPr>
              <w:t>2,061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B246B9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400DB7"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75B1678" w14:textId="77777777" w:rsidR="00000000" w:rsidRDefault="00405D16">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C79F680" w14:textId="77777777" w:rsidR="00000000" w:rsidRDefault="00405D16">
            <w:pPr>
              <w:spacing w:after="100"/>
              <w:jc w:val="right"/>
              <w:rPr>
                <w:rFonts w:eastAsia="Times New Roman"/>
              </w:rPr>
            </w:pPr>
            <w:r>
              <w:rPr>
                <w:rFonts w:eastAsia="Times New Roman"/>
                <w:b/>
                <w:bCs/>
                <w:color w:val="000000"/>
                <w:sz w:val="16"/>
                <w:szCs w:val="16"/>
              </w:rPr>
              <w:t>1,372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DF25E7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1F16DC"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1BCB3A9" w14:textId="77777777" w:rsidR="00000000" w:rsidRDefault="00405D16">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F454E03" w14:textId="77777777" w:rsidR="00000000" w:rsidRDefault="00405D16">
            <w:pPr>
              <w:spacing w:after="100"/>
              <w:jc w:val="right"/>
              <w:rPr>
                <w:rFonts w:eastAsia="Times New Roman"/>
              </w:rPr>
            </w:pPr>
            <w:r>
              <w:rPr>
                <w:rFonts w:eastAsia="Times New Roman"/>
                <w:b/>
                <w:bCs/>
                <w:color w:val="000000"/>
                <w:sz w:val="16"/>
                <w:szCs w:val="16"/>
              </w:rPr>
              <w:t>11,739</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0CE86FB" w14:textId="77777777" w:rsidR="00000000" w:rsidRDefault="00405D16">
            <w:pPr>
              <w:spacing w:after="100"/>
              <w:jc w:val="right"/>
              <w:rPr>
                <w:rFonts w:eastAsia="Times New Roman"/>
              </w:rPr>
            </w:pPr>
          </w:p>
        </w:tc>
      </w:tr>
      <w:tr w:rsidR="00000000" w14:paraId="74806928" w14:textId="77777777">
        <w:trPr>
          <w:divId w:val="513231771"/>
        </w:trPr>
        <w:tc>
          <w:tcPr>
            <w:tcW w:w="0" w:type="auto"/>
            <w:gridSpan w:val="3"/>
            <w:vAlign w:val="center"/>
            <w:hideMark/>
          </w:tcPr>
          <w:p w14:paraId="4F55E686" w14:textId="77777777" w:rsidR="00000000" w:rsidRDefault="00405D16">
            <w:pPr>
              <w:spacing w:after="100"/>
              <w:jc w:val="right"/>
              <w:rPr>
                <w:rFonts w:eastAsia="Times New Roman"/>
                <w:sz w:val="20"/>
                <w:szCs w:val="20"/>
              </w:rPr>
            </w:pPr>
          </w:p>
        </w:tc>
        <w:tc>
          <w:tcPr>
            <w:tcW w:w="0" w:type="auto"/>
            <w:gridSpan w:val="3"/>
            <w:vAlign w:val="center"/>
            <w:hideMark/>
          </w:tcPr>
          <w:p w14:paraId="2D797E9E" w14:textId="77777777" w:rsidR="00000000" w:rsidRDefault="00405D16">
            <w:pPr>
              <w:spacing w:after="100"/>
              <w:rPr>
                <w:rFonts w:eastAsia="Times New Roman"/>
                <w:sz w:val="20"/>
                <w:szCs w:val="20"/>
              </w:rPr>
            </w:pPr>
          </w:p>
        </w:tc>
        <w:tc>
          <w:tcPr>
            <w:tcW w:w="0" w:type="auto"/>
            <w:gridSpan w:val="3"/>
            <w:vAlign w:val="center"/>
            <w:hideMark/>
          </w:tcPr>
          <w:p w14:paraId="28FB485E" w14:textId="77777777" w:rsidR="00000000" w:rsidRDefault="00405D16">
            <w:pPr>
              <w:spacing w:after="100"/>
              <w:rPr>
                <w:rFonts w:eastAsia="Times New Roman"/>
                <w:sz w:val="20"/>
                <w:szCs w:val="20"/>
              </w:rPr>
            </w:pPr>
          </w:p>
        </w:tc>
        <w:tc>
          <w:tcPr>
            <w:tcW w:w="0" w:type="auto"/>
            <w:gridSpan w:val="3"/>
            <w:vAlign w:val="center"/>
            <w:hideMark/>
          </w:tcPr>
          <w:p w14:paraId="4B14173D" w14:textId="77777777" w:rsidR="00000000" w:rsidRDefault="00405D16">
            <w:pPr>
              <w:spacing w:after="100"/>
              <w:rPr>
                <w:rFonts w:eastAsia="Times New Roman"/>
                <w:sz w:val="20"/>
                <w:szCs w:val="20"/>
              </w:rPr>
            </w:pPr>
          </w:p>
        </w:tc>
        <w:tc>
          <w:tcPr>
            <w:tcW w:w="0" w:type="auto"/>
            <w:gridSpan w:val="3"/>
            <w:vAlign w:val="center"/>
            <w:hideMark/>
          </w:tcPr>
          <w:p w14:paraId="5CCC57E0" w14:textId="77777777" w:rsidR="00000000" w:rsidRDefault="00405D16">
            <w:pPr>
              <w:spacing w:after="100"/>
              <w:rPr>
                <w:rFonts w:eastAsia="Times New Roman"/>
                <w:sz w:val="20"/>
                <w:szCs w:val="20"/>
              </w:rPr>
            </w:pPr>
          </w:p>
        </w:tc>
        <w:tc>
          <w:tcPr>
            <w:tcW w:w="0" w:type="auto"/>
            <w:gridSpan w:val="3"/>
            <w:vAlign w:val="center"/>
            <w:hideMark/>
          </w:tcPr>
          <w:p w14:paraId="2654089D" w14:textId="77777777" w:rsidR="00000000" w:rsidRDefault="00405D16">
            <w:pPr>
              <w:spacing w:after="100"/>
              <w:rPr>
                <w:rFonts w:eastAsia="Times New Roman"/>
                <w:sz w:val="20"/>
                <w:szCs w:val="20"/>
              </w:rPr>
            </w:pPr>
          </w:p>
        </w:tc>
        <w:tc>
          <w:tcPr>
            <w:tcW w:w="0" w:type="auto"/>
            <w:gridSpan w:val="3"/>
            <w:vAlign w:val="center"/>
            <w:hideMark/>
          </w:tcPr>
          <w:p w14:paraId="00DB3985" w14:textId="77777777" w:rsidR="00000000" w:rsidRDefault="00405D16">
            <w:pPr>
              <w:spacing w:after="100"/>
              <w:rPr>
                <w:rFonts w:eastAsia="Times New Roman"/>
                <w:sz w:val="20"/>
                <w:szCs w:val="20"/>
              </w:rPr>
            </w:pPr>
          </w:p>
        </w:tc>
        <w:tc>
          <w:tcPr>
            <w:tcW w:w="0" w:type="auto"/>
            <w:gridSpan w:val="3"/>
            <w:vAlign w:val="center"/>
            <w:hideMark/>
          </w:tcPr>
          <w:p w14:paraId="753A458E" w14:textId="77777777" w:rsidR="00000000" w:rsidRDefault="00405D16">
            <w:pPr>
              <w:spacing w:after="100"/>
              <w:rPr>
                <w:rFonts w:eastAsia="Times New Roman"/>
                <w:sz w:val="20"/>
                <w:szCs w:val="20"/>
              </w:rPr>
            </w:pPr>
          </w:p>
        </w:tc>
        <w:tc>
          <w:tcPr>
            <w:tcW w:w="0" w:type="auto"/>
            <w:gridSpan w:val="3"/>
            <w:vAlign w:val="center"/>
            <w:hideMark/>
          </w:tcPr>
          <w:p w14:paraId="578B592A" w14:textId="77777777" w:rsidR="00000000" w:rsidRDefault="00405D16">
            <w:pPr>
              <w:spacing w:after="100"/>
              <w:rPr>
                <w:rFonts w:eastAsia="Times New Roman"/>
                <w:sz w:val="20"/>
                <w:szCs w:val="20"/>
              </w:rPr>
            </w:pPr>
          </w:p>
        </w:tc>
        <w:tc>
          <w:tcPr>
            <w:tcW w:w="0" w:type="auto"/>
            <w:gridSpan w:val="3"/>
            <w:vAlign w:val="center"/>
            <w:hideMark/>
          </w:tcPr>
          <w:p w14:paraId="17E879F3" w14:textId="77777777" w:rsidR="00000000" w:rsidRDefault="00405D16">
            <w:pPr>
              <w:spacing w:after="100"/>
              <w:rPr>
                <w:rFonts w:eastAsia="Times New Roman"/>
                <w:sz w:val="20"/>
                <w:szCs w:val="20"/>
              </w:rPr>
            </w:pPr>
          </w:p>
        </w:tc>
        <w:tc>
          <w:tcPr>
            <w:tcW w:w="0" w:type="auto"/>
            <w:gridSpan w:val="3"/>
            <w:vAlign w:val="center"/>
            <w:hideMark/>
          </w:tcPr>
          <w:p w14:paraId="4C9B2303" w14:textId="77777777" w:rsidR="00000000" w:rsidRDefault="00405D16">
            <w:pPr>
              <w:spacing w:after="100"/>
              <w:rPr>
                <w:rFonts w:eastAsia="Times New Roman"/>
                <w:sz w:val="20"/>
                <w:szCs w:val="20"/>
              </w:rPr>
            </w:pPr>
          </w:p>
        </w:tc>
        <w:tc>
          <w:tcPr>
            <w:tcW w:w="0" w:type="auto"/>
            <w:gridSpan w:val="3"/>
            <w:vAlign w:val="center"/>
            <w:hideMark/>
          </w:tcPr>
          <w:p w14:paraId="769B0BB8" w14:textId="77777777" w:rsidR="00000000" w:rsidRDefault="00405D16">
            <w:pPr>
              <w:spacing w:after="100"/>
              <w:rPr>
                <w:rFonts w:eastAsia="Times New Roman"/>
                <w:sz w:val="20"/>
                <w:szCs w:val="20"/>
              </w:rPr>
            </w:pPr>
          </w:p>
        </w:tc>
        <w:tc>
          <w:tcPr>
            <w:tcW w:w="0" w:type="auto"/>
            <w:gridSpan w:val="3"/>
            <w:vAlign w:val="center"/>
            <w:hideMark/>
          </w:tcPr>
          <w:p w14:paraId="351D85AF" w14:textId="77777777" w:rsidR="00000000" w:rsidRDefault="00405D16">
            <w:pPr>
              <w:spacing w:after="100"/>
              <w:rPr>
                <w:rFonts w:eastAsia="Times New Roman"/>
                <w:sz w:val="20"/>
                <w:szCs w:val="20"/>
              </w:rPr>
            </w:pPr>
          </w:p>
        </w:tc>
        <w:tc>
          <w:tcPr>
            <w:tcW w:w="0" w:type="auto"/>
            <w:gridSpan w:val="3"/>
            <w:vAlign w:val="center"/>
            <w:hideMark/>
          </w:tcPr>
          <w:p w14:paraId="489E5D85" w14:textId="77777777" w:rsidR="00000000" w:rsidRDefault="00405D16">
            <w:pPr>
              <w:spacing w:after="100"/>
              <w:rPr>
                <w:rFonts w:eastAsia="Times New Roman"/>
                <w:sz w:val="20"/>
                <w:szCs w:val="20"/>
              </w:rPr>
            </w:pPr>
          </w:p>
        </w:tc>
        <w:tc>
          <w:tcPr>
            <w:tcW w:w="0" w:type="auto"/>
            <w:gridSpan w:val="3"/>
            <w:vAlign w:val="center"/>
            <w:hideMark/>
          </w:tcPr>
          <w:p w14:paraId="7E769413" w14:textId="77777777" w:rsidR="00000000" w:rsidRDefault="00405D16">
            <w:pPr>
              <w:spacing w:after="100"/>
              <w:rPr>
                <w:rFonts w:eastAsia="Times New Roman"/>
                <w:sz w:val="20"/>
                <w:szCs w:val="20"/>
              </w:rPr>
            </w:pPr>
          </w:p>
        </w:tc>
        <w:tc>
          <w:tcPr>
            <w:tcW w:w="0" w:type="auto"/>
            <w:gridSpan w:val="3"/>
            <w:vAlign w:val="center"/>
            <w:hideMark/>
          </w:tcPr>
          <w:p w14:paraId="261B9829" w14:textId="77777777" w:rsidR="00000000" w:rsidRDefault="00405D16">
            <w:pPr>
              <w:spacing w:after="100"/>
              <w:rPr>
                <w:rFonts w:eastAsia="Times New Roman"/>
                <w:sz w:val="20"/>
                <w:szCs w:val="20"/>
              </w:rPr>
            </w:pPr>
          </w:p>
        </w:tc>
        <w:tc>
          <w:tcPr>
            <w:tcW w:w="0" w:type="auto"/>
            <w:gridSpan w:val="3"/>
            <w:vAlign w:val="center"/>
            <w:hideMark/>
          </w:tcPr>
          <w:p w14:paraId="0BA92F18" w14:textId="77777777" w:rsidR="00000000" w:rsidRDefault="00405D16">
            <w:pPr>
              <w:spacing w:after="100"/>
              <w:rPr>
                <w:rFonts w:eastAsia="Times New Roman"/>
                <w:sz w:val="20"/>
                <w:szCs w:val="20"/>
              </w:rPr>
            </w:pPr>
          </w:p>
        </w:tc>
      </w:tr>
      <w:tr w:rsidR="00000000" w14:paraId="1EAD726E" w14:textId="77777777">
        <w:trPr>
          <w:divId w:val="513231771"/>
        </w:trPr>
        <w:tc>
          <w:tcPr>
            <w:tcW w:w="0" w:type="auto"/>
            <w:gridSpan w:val="3"/>
            <w:vAlign w:val="center"/>
            <w:hideMark/>
          </w:tcPr>
          <w:p w14:paraId="7D4F21A2" w14:textId="77777777" w:rsidR="00000000" w:rsidRDefault="00405D16">
            <w:pPr>
              <w:spacing w:after="100"/>
              <w:rPr>
                <w:rFonts w:eastAsia="Times New Roman"/>
                <w:sz w:val="20"/>
                <w:szCs w:val="20"/>
              </w:rPr>
            </w:pPr>
          </w:p>
        </w:tc>
        <w:tc>
          <w:tcPr>
            <w:tcW w:w="0" w:type="auto"/>
            <w:gridSpan w:val="3"/>
            <w:vAlign w:val="center"/>
            <w:hideMark/>
          </w:tcPr>
          <w:p w14:paraId="5FCA38AA" w14:textId="77777777" w:rsidR="00000000" w:rsidRDefault="00405D16">
            <w:pPr>
              <w:spacing w:after="100"/>
              <w:rPr>
                <w:rFonts w:eastAsia="Times New Roman"/>
                <w:sz w:val="20"/>
                <w:szCs w:val="20"/>
              </w:rPr>
            </w:pPr>
          </w:p>
        </w:tc>
        <w:tc>
          <w:tcPr>
            <w:tcW w:w="0" w:type="auto"/>
            <w:gridSpan w:val="3"/>
            <w:vAlign w:val="center"/>
            <w:hideMark/>
          </w:tcPr>
          <w:p w14:paraId="6BECB27D" w14:textId="77777777" w:rsidR="00000000" w:rsidRDefault="00405D16">
            <w:pPr>
              <w:spacing w:after="100"/>
              <w:rPr>
                <w:rFonts w:eastAsia="Times New Roman"/>
                <w:sz w:val="20"/>
                <w:szCs w:val="20"/>
              </w:rPr>
            </w:pPr>
          </w:p>
        </w:tc>
        <w:tc>
          <w:tcPr>
            <w:tcW w:w="0" w:type="auto"/>
            <w:gridSpan w:val="3"/>
            <w:vAlign w:val="center"/>
            <w:hideMark/>
          </w:tcPr>
          <w:p w14:paraId="7288525A" w14:textId="77777777" w:rsidR="00000000" w:rsidRDefault="00405D16">
            <w:pPr>
              <w:spacing w:after="100"/>
              <w:rPr>
                <w:rFonts w:eastAsia="Times New Roman"/>
                <w:sz w:val="20"/>
                <w:szCs w:val="20"/>
              </w:rPr>
            </w:pPr>
          </w:p>
        </w:tc>
        <w:tc>
          <w:tcPr>
            <w:tcW w:w="0" w:type="auto"/>
            <w:gridSpan w:val="3"/>
            <w:vAlign w:val="center"/>
            <w:hideMark/>
          </w:tcPr>
          <w:p w14:paraId="72CC4B17" w14:textId="77777777" w:rsidR="00000000" w:rsidRDefault="00405D16">
            <w:pPr>
              <w:spacing w:after="100"/>
              <w:rPr>
                <w:rFonts w:eastAsia="Times New Roman"/>
                <w:sz w:val="20"/>
                <w:szCs w:val="20"/>
              </w:rPr>
            </w:pPr>
          </w:p>
        </w:tc>
        <w:tc>
          <w:tcPr>
            <w:tcW w:w="0" w:type="auto"/>
            <w:gridSpan w:val="3"/>
            <w:vAlign w:val="center"/>
            <w:hideMark/>
          </w:tcPr>
          <w:p w14:paraId="2269B010" w14:textId="77777777" w:rsidR="00000000" w:rsidRDefault="00405D16">
            <w:pPr>
              <w:spacing w:after="100"/>
              <w:rPr>
                <w:rFonts w:eastAsia="Times New Roman"/>
                <w:sz w:val="20"/>
                <w:szCs w:val="20"/>
              </w:rPr>
            </w:pPr>
          </w:p>
        </w:tc>
        <w:tc>
          <w:tcPr>
            <w:tcW w:w="0" w:type="auto"/>
            <w:gridSpan w:val="3"/>
            <w:vAlign w:val="center"/>
            <w:hideMark/>
          </w:tcPr>
          <w:p w14:paraId="4B940F48" w14:textId="77777777" w:rsidR="00000000" w:rsidRDefault="00405D16">
            <w:pPr>
              <w:spacing w:after="100"/>
              <w:rPr>
                <w:rFonts w:eastAsia="Times New Roman"/>
                <w:sz w:val="20"/>
                <w:szCs w:val="20"/>
              </w:rPr>
            </w:pPr>
          </w:p>
        </w:tc>
        <w:tc>
          <w:tcPr>
            <w:tcW w:w="0" w:type="auto"/>
            <w:gridSpan w:val="3"/>
            <w:vAlign w:val="center"/>
            <w:hideMark/>
          </w:tcPr>
          <w:p w14:paraId="0A1B2336" w14:textId="77777777" w:rsidR="00000000" w:rsidRDefault="00405D16">
            <w:pPr>
              <w:spacing w:after="100"/>
              <w:rPr>
                <w:rFonts w:eastAsia="Times New Roman"/>
                <w:sz w:val="20"/>
                <w:szCs w:val="20"/>
              </w:rPr>
            </w:pPr>
          </w:p>
        </w:tc>
        <w:tc>
          <w:tcPr>
            <w:tcW w:w="0" w:type="auto"/>
            <w:gridSpan w:val="3"/>
            <w:vAlign w:val="center"/>
            <w:hideMark/>
          </w:tcPr>
          <w:p w14:paraId="4E22913A" w14:textId="77777777" w:rsidR="00000000" w:rsidRDefault="00405D16">
            <w:pPr>
              <w:spacing w:after="100"/>
              <w:rPr>
                <w:rFonts w:eastAsia="Times New Roman"/>
                <w:sz w:val="20"/>
                <w:szCs w:val="20"/>
              </w:rPr>
            </w:pPr>
          </w:p>
        </w:tc>
        <w:tc>
          <w:tcPr>
            <w:tcW w:w="0" w:type="auto"/>
            <w:gridSpan w:val="3"/>
            <w:vAlign w:val="center"/>
            <w:hideMark/>
          </w:tcPr>
          <w:p w14:paraId="1F2A4A45" w14:textId="77777777" w:rsidR="00000000" w:rsidRDefault="00405D16">
            <w:pPr>
              <w:spacing w:after="100"/>
              <w:rPr>
                <w:rFonts w:eastAsia="Times New Roman"/>
                <w:sz w:val="20"/>
                <w:szCs w:val="20"/>
              </w:rPr>
            </w:pPr>
          </w:p>
        </w:tc>
        <w:tc>
          <w:tcPr>
            <w:tcW w:w="0" w:type="auto"/>
            <w:gridSpan w:val="3"/>
            <w:vAlign w:val="center"/>
            <w:hideMark/>
          </w:tcPr>
          <w:p w14:paraId="346FF7A2" w14:textId="77777777" w:rsidR="00000000" w:rsidRDefault="00405D16">
            <w:pPr>
              <w:spacing w:after="100"/>
              <w:rPr>
                <w:rFonts w:eastAsia="Times New Roman"/>
                <w:sz w:val="20"/>
                <w:szCs w:val="20"/>
              </w:rPr>
            </w:pPr>
          </w:p>
        </w:tc>
        <w:tc>
          <w:tcPr>
            <w:tcW w:w="0" w:type="auto"/>
            <w:gridSpan w:val="3"/>
            <w:vAlign w:val="center"/>
            <w:hideMark/>
          </w:tcPr>
          <w:p w14:paraId="467BCF07" w14:textId="77777777" w:rsidR="00000000" w:rsidRDefault="00405D16">
            <w:pPr>
              <w:spacing w:after="100"/>
              <w:rPr>
                <w:rFonts w:eastAsia="Times New Roman"/>
                <w:sz w:val="20"/>
                <w:szCs w:val="20"/>
              </w:rPr>
            </w:pPr>
          </w:p>
        </w:tc>
        <w:tc>
          <w:tcPr>
            <w:tcW w:w="0" w:type="auto"/>
            <w:gridSpan w:val="3"/>
            <w:vAlign w:val="center"/>
            <w:hideMark/>
          </w:tcPr>
          <w:p w14:paraId="16C21CD5" w14:textId="77777777" w:rsidR="00000000" w:rsidRDefault="00405D16">
            <w:pPr>
              <w:spacing w:after="100"/>
              <w:rPr>
                <w:rFonts w:eastAsia="Times New Roman"/>
                <w:sz w:val="20"/>
                <w:szCs w:val="20"/>
              </w:rPr>
            </w:pPr>
          </w:p>
        </w:tc>
        <w:tc>
          <w:tcPr>
            <w:tcW w:w="0" w:type="auto"/>
            <w:gridSpan w:val="3"/>
            <w:vAlign w:val="center"/>
            <w:hideMark/>
          </w:tcPr>
          <w:p w14:paraId="2FD8D053" w14:textId="77777777" w:rsidR="00000000" w:rsidRDefault="00405D16">
            <w:pPr>
              <w:spacing w:after="100"/>
              <w:rPr>
                <w:rFonts w:eastAsia="Times New Roman"/>
                <w:sz w:val="20"/>
                <w:szCs w:val="20"/>
              </w:rPr>
            </w:pPr>
          </w:p>
        </w:tc>
        <w:tc>
          <w:tcPr>
            <w:tcW w:w="0" w:type="auto"/>
            <w:gridSpan w:val="3"/>
            <w:vAlign w:val="center"/>
            <w:hideMark/>
          </w:tcPr>
          <w:p w14:paraId="2BBCDBCB" w14:textId="77777777" w:rsidR="00000000" w:rsidRDefault="00405D16">
            <w:pPr>
              <w:spacing w:after="100"/>
              <w:rPr>
                <w:rFonts w:eastAsia="Times New Roman"/>
                <w:sz w:val="20"/>
                <w:szCs w:val="20"/>
              </w:rPr>
            </w:pPr>
          </w:p>
        </w:tc>
        <w:tc>
          <w:tcPr>
            <w:tcW w:w="0" w:type="auto"/>
            <w:gridSpan w:val="3"/>
            <w:vAlign w:val="center"/>
            <w:hideMark/>
          </w:tcPr>
          <w:p w14:paraId="0748B3D8" w14:textId="77777777" w:rsidR="00000000" w:rsidRDefault="00405D16">
            <w:pPr>
              <w:spacing w:after="100"/>
              <w:rPr>
                <w:rFonts w:eastAsia="Times New Roman"/>
                <w:sz w:val="20"/>
                <w:szCs w:val="20"/>
              </w:rPr>
            </w:pPr>
          </w:p>
        </w:tc>
        <w:tc>
          <w:tcPr>
            <w:tcW w:w="0" w:type="auto"/>
            <w:gridSpan w:val="3"/>
            <w:vAlign w:val="center"/>
            <w:hideMark/>
          </w:tcPr>
          <w:p w14:paraId="0B2828AF" w14:textId="77777777" w:rsidR="00000000" w:rsidRDefault="00405D16">
            <w:pPr>
              <w:spacing w:after="100"/>
              <w:rPr>
                <w:rFonts w:eastAsia="Times New Roman"/>
                <w:sz w:val="20"/>
                <w:szCs w:val="20"/>
              </w:rPr>
            </w:pPr>
          </w:p>
        </w:tc>
      </w:tr>
      <w:tr w:rsidR="00000000" w14:paraId="4E697EF0" w14:textId="77777777">
        <w:trPr>
          <w:divId w:val="513231771"/>
        </w:trPr>
        <w:tc>
          <w:tcPr>
            <w:tcW w:w="0" w:type="auto"/>
            <w:gridSpan w:val="3"/>
            <w:vAlign w:val="center"/>
            <w:hideMark/>
          </w:tcPr>
          <w:p w14:paraId="7F0BA9EB" w14:textId="77777777" w:rsidR="00000000" w:rsidRDefault="00405D16">
            <w:pPr>
              <w:spacing w:after="100"/>
              <w:rPr>
                <w:rFonts w:eastAsia="Times New Roman"/>
                <w:sz w:val="20"/>
                <w:szCs w:val="20"/>
              </w:rPr>
            </w:pPr>
          </w:p>
        </w:tc>
        <w:tc>
          <w:tcPr>
            <w:tcW w:w="0" w:type="auto"/>
            <w:gridSpan w:val="3"/>
            <w:vAlign w:val="center"/>
            <w:hideMark/>
          </w:tcPr>
          <w:p w14:paraId="7D8292E7" w14:textId="77777777" w:rsidR="00000000" w:rsidRDefault="00405D16">
            <w:pPr>
              <w:spacing w:after="100"/>
              <w:rPr>
                <w:rFonts w:eastAsia="Times New Roman"/>
                <w:sz w:val="20"/>
                <w:szCs w:val="20"/>
              </w:rPr>
            </w:pPr>
          </w:p>
        </w:tc>
        <w:tc>
          <w:tcPr>
            <w:tcW w:w="0" w:type="auto"/>
            <w:gridSpan w:val="3"/>
            <w:vAlign w:val="center"/>
            <w:hideMark/>
          </w:tcPr>
          <w:p w14:paraId="154AB5E9" w14:textId="77777777" w:rsidR="00000000" w:rsidRDefault="00405D16">
            <w:pPr>
              <w:spacing w:after="100"/>
              <w:rPr>
                <w:rFonts w:eastAsia="Times New Roman"/>
                <w:sz w:val="20"/>
                <w:szCs w:val="20"/>
              </w:rPr>
            </w:pPr>
          </w:p>
        </w:tc>
        <w:tc>
          <w:tcPr>
            <w:tcW w:w="0" w:type="auto"/>
            <w:gridSpan w:val="3"/>
            <w:vAlign w:val="center"/>
            <w:hideMark/>
          </w:tcPr>
          <w:p w14:paraId="6E316736" w14:textId="77777777" w:rsidR="00000000" w:rsidRDefault="00405D16">
            <w:pPr>
              <w:spacing w:after="100"/>
              <w:rPr>
                <w:rFonts w:eastAsia="Times New Roman"/>
                <w:sz w:val="20"/>
                <w:szCs w:val="20"/>
              </w:rPr>
            </w:pPr>
          </w:p>
        </w:tc>
        <w:tc>
          <w:tcPr>
            <w:tcW w:w="0" w:type="auto"/>
            <w:gridSpan w:val="3"/>
            <w:vAlign w:val="center"/>
            <w:hideMark/>
          </w:tcPr>
          <w:p w14:paraId="78516BF7" w14:textId="77777777" w:rsidR="00000000" w:rsidRDefault="00405D16">
            <w:pPr>
              <w:spacing w:after="100"/>
              <w:rPr>
                <w:rFonts w:eastAsia="Times New Roman"/>
                <w:sz w:val="20"/>
                <w:szCs w:val="20"/>
              </w:rPr>
            </w:pPr>
          </w:p>
        </w:tc>
        <w:tc>
          <w:tcPr>
            <w:tcW w:w="0" w:type="auto"/>
            <w:gridSpan w:val="3"/>
            <w:vAlign w:val="center"/>
            <w:hideMark/>
          </w:tcPr>
          <w:p w14:paraId="66A7CB8E" w14:textId="77777777" w:rsidR="00000000" w:rsidRDefault="00405D16">
            <w:pPr>
              <w:spacing w:after="100"/>
              <w:rPr>
                <w:rFonts w:eastAsia="Times New Roman"/>
                <w:sz w:val="20"/>
                <w:szCs w:val="20"/>
              </w:rPr>
            </w:pPr>
          </w:p>
        </w:tc>
        <w:tc>
          <w:tcPr>
            <w:tcW w:w="0" w:type="auto"/>
            <w:gridSpan w:val="3"/>
            <w:vAlign w:val="center"/>
            <w:hideMark/>
          </w:tcPr>
          <w:p w14:paraId="4E38E4EC" w14:textId="77777777" w:rsidR="00000000" w:rsidRDefault="00405D16">
            <w:pPr>
              <w:spacing w:after="100"/>
              <w:rPr>
                <w:rFonts w:eastAsia="Times New Roman"/>
                <w:sz w:val="20"/>
                <w:szCs w:val="20"/>
              </w:rPr>
            </w:pPr>
          </w:p>
        </w:tc>
        <w:tc>
          <w:tcPr>
            <w:tcW w:w="0" w:type="auto"/>
            <w:gridSpan w:val="3"/>
            <w:vAlign w:val="center"/>
            <w:hideMark/>
          </w:tcPr>
          <w:p w14:paraId="77B2FF82" w14:textId="77777777" w:rsidR="00000000" w:rsidRDefault="00405D16">
            <w:pPr>
              <w:spacing w:after="100"/>
              <w:rPr>
                <w:rFonts w:eastAsia="Times New Roman"/>
                <w:sz w:val="20"/>
                <w:szCs w:val="20"/>
              </w:rPr>
            </w:pPr>
          </w:p>
        </w:tc>
        <w:tc>
          <w:tcPr>
            <w:tcW w:w="0" w:type="auto"/>
            <w:gridSpan w:val="3"/>
            <w:vAlign w:val="center"/>
            <w:hideMark/>
          </w:tcPr>
          <w:p w14:paraId="29010CE6" w14:textId="77777777" w:rsidR="00000000" w:rsidRDefault="00405D16">
            <w:pPr>
              <w:spacing w:after="100"/>
              <w:rPr>
                <w:rFonts w:eastAsia="Times New Roman"/>
                <w:sz w:val="20"/>
                <w:szCs w:val="20"/>
              </w:rPr>
            </w:pPr>
          </w:p>
        </w:tc>
        <w:tc>
          <w:tcPr>
            <w:tcW w:w="0" w:type="auto"/>
            <w:gridSpan w:val="3"/>
            <w:vAlign w:val="center"/>
            <w:hideMark/>
          </w:tcPr>
          <w:p w14:paraId="285891F9" w14:textId="77777777" w:rsidR="00000000" w:rsidRDefault="00405D16">
            <w:pPr>
              <w:spacing w:after="100"/>
              <w:rPr>
                <w:rFonts w:eastAsia="Times New Roman"/>
                <w:sz w:val="20"/>
                <w:szCs w:val="20"/>
              </w:rPr>
            </w:pPr>
          </w:p>
        </w:tc>
        <w:tc>
          <w:tcPr>
            <w:tcW w:w="0" w:type="auto"/>
            <w:gridSpan w:val="3"/>
            <w:vAlign w:val="center"/>
            <w:hideMark/>
          </w:tcPr>
          <w:p w14:paraId="68E4BCB2" w14:textId="77777777" w:rsidR="00000000" w:rsidRDefault="00405D16">
            <w:pPr>
              <w:spacing w:after="100"/>
              <w:rPr>
                <w:rFonts w:eastAsia="Times New Roman"/>
                <w:sz w:val="20"/>
                <w:szCs w:val="20"/>
              </w:rPr>
            </w:pPr>
          </w:p>
        </w:tc>
        <w:tc>
          <w:tcPr>
            <w:tcW w:w="0" w:type="auto"/>
            <w:gridSpan w:val="3"/>
            <w:vAlign w:val="center"/>
            <w:hideMark/>
          </w:tcPr>
          <w:p w14:paraId="2A27DE32" w14:textId="77777777" w:rsidR="00000000" w:rsidRDefault="00405D16">
            <w:pPr>
              <w:spacing w:after="100"/>
              <w:rPr>
                <w:rFonts w:eastAsia="Times New Roman"/>
                <w:sz w:val="20"/>
                <w:szCs w:val="20"/>
              </w:rPr>
            </w:pPr>
          </w:p>
        </w:tc>
        <w:tc>
          <w:tcPr>
            <w:tcW w:w="0" w:type="auto"/>
            <w:gridSpan w:val="3"/>
            <w:vAlign w:val="center"/>
            <w:hideMark/>
          </w:tcPr>
          <w:p w14:paraId="5683DC5C" w14:textId="77777777" w:rsidR="00000000" w:rsidRDefault="00405D16">
            <w:pPr>
              <w:spacing w:after="100"/>
              <w:rPr>
                <w:rFonts w:eastAsia="Times New Roman"/>
                <w:sz w:val="20"/>
                <w:szCs w:val="20"/>
              </w:rPr>
            </w:pPr>
          </w:p>
        </w:tc>
        <w:tc>
          <w:tcPr>
            <w:tcW w:w="0" w:type="auto"/>
            <w:gridSpan w:val="3"/>
            <w:vAlign w:val="center"/>
            <w:hideMark/>
          </w:tcPr>
          <w:p w14:paraId="1BA9981B" w14:textId="77777777" w:rsidR="00000000" w:rsidRDefault="00405D16">
            <w:pPr>
              <w:spacing w:after="100"/>
              <w:rPr>
                <w:rFonts w:eastAsia="Times New Roman"/>
                <w:sz w:val="20"/>
                <w:szCs w:val="20"/>
              </w:rPr>
            </w:pPr>
          </w:p>
        </w:tc>
        <w:tc>
          <w:tcPr>
            <w:tcW w:w="0" w:type="auto"/>
            <w:gridSpan w:val="3"/>
            <w:vAlign w:val="center"/>
            <w:hideMark/>
          </w:tcPr>
          <w:p w14:paraId="543CFFC0" w14:textId="77777777" w:rsidR="00000000" w:rsidRDefault="00405D16">
            <w:pPr>
              <w:spacing w:after="100"/>
              <w:rPr>
                <w:rFonts w:eastAsia="Times New Roman"/>
                <w:sz w:val="20"/>
                <w:szCs w:val="20"/>
              </w:rPr>
            </w:pPr>
          </w:p>
        </w:tc>
        <w:tc>
          <w:tcPr>
            <w:tcW w:w="0" w:type="auto"/>
            <w:gridSpan w:val="3"/>
            <w:vAlign w:val="center"/>
            <w:hideMark/>
          </w:tcPr>
          <w:p w14:paraId="432C4E94" w14:textId="77777777" w:rsidR="00000000" w:rsidRDefault="00405D16">
            <w:pPr>
              <w:spacing w:after="100"/>
              <w:rPr>
                <w:rFonts w:eastAsia="Times New Roman"/>
                <w:sz w:val="20"/>
                <w:szCs w:val="20"/>
              </w:rPr>
            </w:pPr>
          </w:p>
        </w:tc>
        <w:tc>
          <w:tcPr>
            <w:tcW w:w="0" w:type="auto"/>
            <w:gridSpan w:val="3"/>
            <w:vAlign w:val="center"/>
            <w:hideMark/>
          </w:tcPr>
          <w:p w14:paraId="15CF57D7" w14:textId="77777777" w:rsidR="00000000" w:rsidRDefault="00405D16">
            <w:pPr>
              <w:spacing w:after="100"/>
              <w:rPr>
                <w:rFonts w:eastAsia="Times New Roman"/>
                <w:sz w:val="20"/>
                <w:szCs w:val="20"/>
              </w:rPr>
            </w:pPr>
          </w:p>
        </w:tc>
      </w:tr>
      <w:tr w:rsidR="00000000" w14:paraId="607EF16C" w14:textId="77777777">
        <w:trPr>
          <w:divId w:val="513231771"/>
        </w:trPr>
        <w:tc>
          <w:tcPr>
            <w:tcW w:w="0" w:type="auto"/>
            <w:gridSpan w:val="3"/>
            <w:vAlign w:val="center"/>
            <w:hideMark/>
          </w:tcPr>
          <w:p w14:paraId="4037A0FE" w14:textId="77777777" w:rsidR="00000000" w:rsidRDefault="00405D16">
            <w:pPr>
              <w:spacing w:after="100"/>
              <w:rPr>
                <w:rFonts w:eastAsia="Times New Roman"/>
                <w:sz w:val="20"/>
                <w:szCs w:val="20"/>
              </w:rPr>
            </w:pPr>
          </w:p>
        </w:tc>
        <w:tc>
          <w:tcPr>
            <w:tcW w:w="0" w:type="auto"/>
            <w:gridSpan w:val="3"/>
            <w:vAlign w:val="center"/>
            <w:hideMark/>
          </w:tcPr>
          <w:p w14:paraId="31280804" w14:textId="77777777" w:rsidR="00000000" w:rsidRDefault="00405D16">
            <w:pPr>
              <w:spacing w:after="100"/>
              <w:rPr>
                <w:rFonts w:eastAsia="Times New Roman"/>
                <w:sz w:val="20"/>
                <w:szCs w:val="20"/>
              </w:rPr>
            </w:pPr>
          </w:p>
        </w:tc>
        <w:tc>
          <w:tcPr>
            <w:tcW w:w="0" w:type="auto"/>
            <w:gridSpan w:val="3"/>
            <w:vAlign w:val="center"/>
            <w:hideMark/>
          </w:tcPr>
          <w:p w14:paraId="67C84FD3" w14:textId="77777777" w:rsidR="00000000" w:rsidRDefault="00405D16">
            <w:pPr>
              <w:spacing w:after="100"/>
              <w:rPr>
                <w:rFonts w:eastAsia="Times New Roman"/>
                <w:sz w:val="20"/>
                <w:szCs w:val="20"/>
              </w:rPr>
            </w:pPr>
          </w:p>
        </w:tc>
        <w:tc>
          <w:tcPr>
            <w:tcW w:w="0" w:type="auto"/>
            <w:gridSpan w:val="3"/>
            <w:vAlign w:val="center"/>
            <w:hideMark/>
          </w:tcPr>
          <w:p w14:paraId="0AAB51B5" w14:textId="77777777" w:rsidR="00000000" w:rsidRDefault="00405D16">
            <w:pPr>
              <w:spacing w:after="100"/>
              <w:rPr>
                <w:rFonts w:eastAsia="Times New Roman"/>
                <w:sz w:val="20"/>
                <w:szCs w:val="20"/>
              </w:rPr>
            </w:pPr>
          </w:p>
        </w:tc>
        <w:tc>
          <w:tcPr>
            <w:tcW w:w="0" w:type="auto"/>
            <w:gridSpan w:val="3"/>
            <w:vAlign w:val="center"/>
            <w:hideMark/>
          </w:tcPr>
          <w:p w14:paraId="696A507D" w14:textId="77777777" w:rsidR="00000000" w:rsidRDefault="00405D16">
            <w:pPr>
              <w:spacing w:after="100"/>
              <w:rPr>
                <w:rFonts w:eastAsia="Times New Roman"/>
                <w:sz w:val="20"/>
                <w:szCs w:val="20"/>
              </w:rPr>
            </w:pPr>
          </w:p>
        </w:tc>
        <w:tc>
          <w:tcPr>
            <w:tcW w:w="0" w:type="auto"/>
            <w:gridSpan w:val="3"/>
            <w:vAlign w:val="center"/>
            <w:hideMark/>
          </w:tcPr>
          <w:p w14:paraId="2E9EAD0B" w14:textId="77777777" w:rsidR="00000000" w:rsidRDefault="00405D16">
            <w:pPr>
              <w:spacing w:after="100"/>
              <w:rPr>
                <w:rFonts w:eastAsia="Times New Roman"/>
                <w:sz w:val="20"/>
                <w:szCs w:val="20"/>
              </w:rPr>
            </w:pPr>
          </w:p>
        </w:tc>
        <w:tc>
          <w:tcPr>
            <w:tcW w:w="0" w:type="auto"/>
            <w:gridSpan w:val="3"/>
            <w:vAlign w:val="center"/>
            <w:hideMark/>
          </w:tcPr>
          <w:p w14:paraId="18614C7A" w14:textId="77777777" w:rsidR="00000000" w:rsidRDefault="00405D16">
            <w:pPr>
              <w:spacing w:after="100"/>
              <w:rPr>
                <w:rFonts w:eastAsia="Times New Roman"/>
                <w:sz w:val="20"/>
                <w:szCs w:val="20"/>
              </w:rPr>
            </w:pPr>
          </w:p>
        </w:tc>
        <w:tc>
          <w:tcPr>
            <w:tcW w:w="0" w:type="auto"/>
            <w:gridSpan w:val="3"/>
            <w:vAlign w:val="center"/>
            <w:hideMark/>
          </w:tcPr>
          <w:p w14:paraId="67BF90C0" w14:textId="77777777" w:rsidR="00000000" w:rsidRDefault="00405D16">
            <w:pPr>
              <w:spacing w:after="100"/>
              <w:rPr>
                <w:rFonts w:eastAsia="Times New Roman"/>
                <w:sz w:val="20"/>
                <w:szCs w:val="20"/>
              </w:rPr>
            </w:pPr>
          </w:p>
        </w:tc>
        <w:tc>
          <w:tcPr>
            <w:tcW w:w="0" w:type="auto"/>
            <w:gridSpan w:val="3"/>
            <w:vAlign w:val="center"/>
            <w:hideMark/>
          </w:tcPr>
          <w:p w14:paraId="3B210AF0" w14:textId="77777777" w:rsidR="00000000" w:rsidRDefault="00405D16">
            <w:pPr>
              <w:spacing w:after="100"/>
              <w:rPr>
                <w:rFonts w:eastAsia="Times New Roman"/>
                <w:sz w:val="20"/>
                <w:szCs w:val="20"/>
              </w:rPr>
            </w:pPr>
          </w:p>
        </w:tc>
        <w:tc>
          <w:tcPr>
            <w:tcW w:w="0" w:type="auto"/>
            <w:gridSpan w:val="3"/>
            <w:vAlign w:val="center"/>
            <w:hideMark/>
          </w:tcPr>
          <w:p w14:paraId="7DAD7652" w14:textId="77777777" w:rsidR="00000000" w:rsidRDefault="00405D16">
            <w:pPr>
              <w:spacing w:after="100"/>
              <w:rPr>
                <w:rFonts w:eastAsia="Times New Roman"/>
                <w:sz w:val="20"/>
                <w:szCs w:val="20"/>
              </w:rPr>
            </w:pPr>
          </w:p>
        </w:tc>
        <w:tc>
          <w:tcPr>
            <w:tcW w:w="0" w:type="auto"/>
            <w:gridSpan w:val="3"/>
            <w:vAlign w:val="center"/>
            <w:hideMark/>
          </w:tcPr>
          <w:p w14:paraId="02A11F87" w14:textId="77777777" w:rsidR="00000000" w:rsidRDefault="00405D16">
            <w:pPr>
              <w:spacing w:after="100"/>
              <w:rPr>
                <w:rFonts w:eastAsia="Times New Roman"/>
                <w:sz w:val="20"/>
                <w:szCs w:val="20"/>
              </w:rPr>
            </w:pPr>
          </w:p>
        </w:tc>
        <w:tc>
          <w:tcPr>
            <w:tcW w:w="0" w:type="auto"/>
            <w:gridSpan w:val="3"/>
            <w:vAlign w:val="center"/>
            <w:hideMark/>
          </w:tcPr>
          <w:p w14:paraId="7A433BB5" w14:textId="77777777" w:rsidR="00000000" w:rsidRDefault="00405D16">
            <w:pPr>
              <w:spacing w:after="100"/>
              <w:rPr>
                <w:rFonts w:eastAsia="Times New Roman"/>
                <w:sz w:val="20"/>
                <w:szCs w:val="20"/>
              </w:rPr>
            </w:pPr>
          </w:p>
        </w:tc>
        <w:tc>
          <w:tcPr>
            <w:tcW w:w="0" w:type="auto"/>
            <w:gridSpan w:val="3"/>
            <w:vAlign w:val="center"/>
            <w:hideMark/>
          </w:tcPr>
          <w:p w14:paraId="00567B68" w14:textId="77777777" w:rsidR="00000000" w:rsidRDefault="00405D16">
            <w:pPr>
              <w:spacing w:after="100"/>
              <w:rPr>
                <w:rFonts w:eastAsia="Times New Roman"/>
                <w:sz w:val="20"/>
                <w:szCs w:val="20"/>
              </w:rPr>
            </w:pPr>
          </w:p>
        </w:tc>
        <w:tc>
          <w:tcPr>
            <w:tcW w:w="0" w:type="auto"/>
            <w:gridSpan w:val="3"/>
            <w:vAlign w:val="center"/>
            <w:hideMark/>
          </w:tcPr>
          <w:p w14:paraId="10C8F783" w14:textId="77777777" w:rsidR="00000000" w:rsidRDefault="00405D16">
            <w:pPr>
              <w:spacing w:after="100"/>
              <w:rPr>
                <w:rFonts w:eastAsia="Times New Roman"/>
                <w:sz w:val="20"/>
                <w:szCs w:val="20"/>
              </w:rPr>
            </w:pPr>
          </w:p>
        </w:tc>
        <w:tc>
          <w:tcPr>
            <w:tcW w:w="0" w:type="auto"/>
            <w:gridSpan w:val="3"/>
            <w:vAlign w:val="center"/>
            <w:hideMark/>
          </w:tcPr>
          <w:p w14:paraId="08CC0EF2" w14:textId="77777777" w:rsidR="00000000" w:rsidRDefault="00405D16">
            <w:pPr>
              <w:spacing w:after="100"/>
              <w:rPr>
                <w:rFonts w:eastAsia="Times New Roman"/>
                <w:sz w:val="20"/>
                <w:szCs w:val="20"/>
              </w:rPr>
            </w:pPr>
          </w:p>
        </w:tc>
        <w:tc>
          <w:tcPr>
            <w:tcW w:w="0" w:type="auto"/>
            <w:gridSpan w:val="3"/>
            <w:vAlign w:val="center"/>
            <w:hideMark/>
          </w:tcPr>
          <w:p w14:paraId="17661E28" w14:textId="77777777" w:rsidR="00000000" w:rsidRDefault="00405D16">
            <w:pPr>
              <w:spacing w:after="100"/>
              <w:rPr>
                <w:rFonts w:eastAsia="Times New Roman"/>
                <w:sz w:val="20"/>
                <w:szCs w:val="20"/>
              </w:rPr>
            </w:pPr>
          </w:p>
        </w:tc>
        <w:tc>
          <w:tcPr>
            <w:tcW w:w="0" w:type="auto"/>
            <w:gridSpan w:val="3"/>
            <w:vAlign w:val="center"/>
            <w:hideMark/>
          </w:tcPr>
          <w:p w14:paraId="439FB210" w14:textId="77777777" w:rsidR="00000000" w:rsidRDefault="00405D16">
            <w:pPr>
              <w:spacing w:after="100"/>
              <w:rPr>
                <w:rFonts w:eastAsia="Times New Roman"/>
                <w:sz w:val="20"/>
                <w:szCs w:val="20"/>
              </w:rPr>
            </w:pPr>
          </w:p>
        </w:tc>
      </w:tr>
      <w:tr w:rsidR="00000000" w14:paraId="5359F653" w14:textId="77777777">
        <w:trPr>
          <w:divId w:val="513231771"/>
        </w:trPr>
        <w:tc>
          <w:tcPr>
            <w:tcW w:w="0" w:type="auto"/>
            <w:gridSpan w:val="3"/>
            <w:vAlign w:val="center"/>
            <w:hideMark/>
          </w:tcPr>
          <w:p w14:paraId="0100B7F2" w14:textId="77777777" w:rsidR="00000000" w:rsidRDefault="00405D16">
            <w:pPr>
              <w:spacing w:after="100"/>
              <w:rPr>
                <w:rFonts w:eastAsia="Times New Roman"/>
                <w:sz w:val="20"/>
                <w:szCs w:val="20"/>
              </w:rPr>
            </w:pPr>
          </w:p>
        </w:tc>
        <w:tc>
          <w:tcPr>
            <w:tcW w:w="0" w:type="auto"/>
            <w:gridSpan w:val="3"/>
            <w:vAlign w:val="center"/>
            <w:hideMark/>
          </w:tcPr>
          <w:p w14:paraId="139D6E1F" w14:textId="77777777" w:rsidR="00000000" w:rsidRDefault="00405D16">
            <w:pPr>
              <w:spacing w:after="100"/>
              <w:rPr>
                <w:rFonts w:eastAsia="Times New Roman"/>
                <w:sz w:val="20"/>
                <w:szCs w:val="20"/>
              </w:rPr>
            </w:pPr>
          </w:p>
        </w:tc>
        <w:tc>
          <w:tcPr>
            <w:tcW w:w="0" w:type="auto"/>
            <w:gridSpan w:val="3"/>
            <w:vAlign w:val="center"/>
            <w:hideMark/>
          </w:tcPr>
          <w:p w14:paraId="19965F60" w14:textId="77777777" w:rsidR="00000000" w:rsidRDefault="00405D16">
            <w:pPr>
              <w:spacing w:after="100"/>
              <w:rPr>
                <w:rFonts w:eastAsia="Times New Roman"/>
                <w:sz w:val="20"/>
                <w:szCs w:val="20"/>
              </w:rPr>
            </w:pPr>
          </w:p>
        </w:tc>
        <w:tc>
          <w:tcPr>
            <w:tcW w:w="0" w:type="auto"/>
            <w:gridSpan w:val="3"/>
            <w:vAlign w:val="center"/>
            <w:hideMark/>
          </w:tcPr>
          <w:p w14:paraId="38D5A920" w14:textId="77777777" w:rsidR="00000000" w:rsidRDefault="00405D16">
            <w:pPr>
              <w:spacing w:after="100"/>
              <w:rPr>
                <w:rFonts w:eastAsia="Times New Roman"/>
                <w:sz w:val="20"/>
                <w:szCs w:val="20"/>
              </w:rPr>
            </w:pPr>
          </w:p>
        </w:tc>
        <w:tc>
          <w:tcPr>
            <w:tcW w:w="0" w:type="auto"/>
            <w:gridSpan w:val="3"/>
            <w:vAlign w:val="center"/>
            <w:hideMark/>
          </w:tcPr>
          <w:p w14:paraId="77C5F824" w14:textId="77777777" w:rsidR="00000000" w:rsidRDefault="00405D16">
            <w:pPr>
              <w:spacing w:after="100"/>
              <w:rPr>
                <w:rFonts w:eastAsia="Times New Roman"/>
                <w:sz w:val="20"/>
                <w:szCs w:val="20"/>
              </w:rPr>
            </w:pPr>
          </w:p>
        </w:tc>
        <w:tc>
          <w:tcPr>
            <w:tcW w:w="0" w:type="auto"/>
            <w:gridSpan w:val="3"/>
            <w:vAlign w:val="center"/>
            <w:hideMark/>
          </w:tcPr>
          <w:p w14:paraId="00CD7890" w14:textId="77777777" w:rsidR="00000000" w:rsidRDefault="00405D16">
            <w:pPr>
              <w:spacing w:after="100"/>
              <w:rPr>
                <w:rFonts w:eastAsia="Times New Roman"/>
                <w:sz w:val="20"/>
                <w:szCs w:val="20"/>
              </w:rPr>
            </w:pPr>
          </w:p>
        </w:tc>
        <w:tc>
          <w:tcPr>
            <w:tcW w:w="0" w:type="auto"/>
            <w:gridSpan w:val="3"/>
            <w:vAlign w:val="center"/>
            <w:hideMark/>
          </w:tcPr>
          <w:p w14:paraId="6596ECF9" w14:textId="77777777" w:rsidR="00000000" w:rsidRDefault="00405D16">
            <w:pPr>
              <w:spacing w:after="100"/>
              <w:rPr>
                <w:rFonts w:eastAsia="Times New Roman"/>
                <w:sz w:val="20"/>
                <w:szCs w:val="20"/>
              </w:rPr>
            </w:pPr>
          </w:p>
        </w:tc>
        <w:tc>
          <w:tcPr>
            <w:tcW w:w="0" w:type="auto"/>
            <w:gridSpan w:val="3"/>
            <w:vAlign w:val="center"/>
            <w:hideMark/>
          </w:tcPr>
          <w:p w14:paraId="6A0E034B" w14:textId="77777777" w:rsidR="00000000" w:rsidRDefault="00405D16">
            <w:pPr>
              <w:spacing w:after="100"/>
              <w:rPr>
                <w:rFonts w:eastAsia="Times New Roman"/>
                <w:sz w:val="20"/>
                <w:szCs w:val="20"/>
              </w:rPr>
            </w:pPr>
          </w:p>
        </w:tc>
        <w:tc>
          <w:tcPr>
            <w:tcW w:w="0" w:type="auto"/>
            <w:gridSpan w:val="3"/>
            <w:vAlign w:val="center"/>
            <w:hideMark/>
          </w:tcPr>
          <w:p w14:paraId="36A13CB2" w14:textId="77777777" w:rsidR="00000000" w:rsidRDefault="00405D16">
            <w:pPr>
              <w:spacing w:after="100"/>
              <w:rPr>
                <w:rFonts w:eastAsia="Times New Roman"/>
                <w:sz w:val="20"/>
                <w:szCs w:val="20"/>
              </w:rPr>
            </w:pPr>
          </w:p>
        </w:tc>
        <w:tc>
          <w:tcPr>
            <w:tcW w:w="0" w:type="auto"/>
            <w:gridSpan w:val="3"/>
            <w:vAlign w:val="center"/>
            <w:hideMark/>
          </w:tcPr>
          <w:p w14:paraId="62A25A72" w14:textId="77777777" w:rsidR="00000000" w:rsidRDefault="00405D16">
            <w:pPr>
              <w:spacing w:after="100"/>
              <w:rPr>
                <w:rFonts w:eastAsia="Times New Roman"/>
                <w:sz w:val="20"/>
                <w:szCs w:val="20"/>
              </w:rPr>
            </w:pPr>
          </w:p>
        </w:tc>
        <w:tc>
          <w:tcPr>
            <w:tcW w:w="0" w:type="auto"/>
            <w:gridSpan w:val="3"/>
            <w:vAlign w:val="center"/>
            <w:hideMark/>
          </w:tcPr>
          <w:p w14:paraId="0974A2D5" w14:textId="77777777" w:rsidR="00000000" w:rsidRDefault="00405D16">
            <w:pPr>
              <w:spacing w:after="100"/>
              <w:rPr>
                <w:rFonts w:eastAsia="Times New Roman"/>
                <w:sz w:val="20"/>
                <w:szCs w:val="20"/>
              </w:rPr>
            </w:pPr>
          </w:p>
        </w:tc>
        <w:tc>
          <w:tcPr>
            <w:tcW w:w="0" w:type="auto"/>
            <w:gridSpan w:val="3"/>
            <w:vAlign w:val="center"/>
            <w:hideMark/>
          </w:tcPr>
          <w:p w14:paraId="5A976991" w14:textId="77777777" w:rsidR="00000000" w:rsidRDefault="00405D16">
            <w:pPr>
              <w:spacing w:after="100"/>
              <w:rPr>
                <w:rFonts w:eastAsia="Times New Roman"/>
                <w:sz w:val="20"/>
                <w:szCs w:val="20"/>
              </w:rPr>
            </w:pPr>
          </w:p>
        </w:tc>
        <w:tc>
          <w:tcPr>
            <w:tcW w:w="0" w:type="auto"/>
            <w:gridSpan w:val="3"/>
            <w:vAlign w:val="center"/>
            <w:hideMark/>
          </w:tcPr>
          <w:p w14:paraId="7DB9D59C" w14:textId="77777777" w:rsidR="00000000" w:rsidRDefault="00405D16">
            <w:pPr>
              <w:spacing w:after="100"/>
              <w:rPr>
                <w:rFonts w:eastAsia="Times New Roman"/>
                <w:sz w:val="20"/>
                <w:szCs w:val="20"/>
              </w:rPr>
            </w:pPr>
          </w:p>
        </w:tc>
        <w:tc>
          <w:tcPr>
            <w:tcW w:w="0" w:type="auto"/>
            <w:gridSpan w:val="3"/>
            <w:vAlign w:val="center"/>
            <w:hideMark/>
          </w:tcPr>
          <w:p w14:paraId="5D44BE20" w14:textId="77777777" w:rsidR="00000000" w:rsidRDefault="00405D16">
            <w:pPr>
              <w:spacing w:after="100"/>
              <w:rPr>
                <w:rFonts w:eastAsia="Times New Roman"/>
                <w:sz w:val="20"/>
                <w:szCs w:val="20"/>
              </w:rPr>
            </w:pPr>
          </w:p>
        </w:tc>
        <w:tc>
          <w:tcPr>
            <w:tcW w:w="0" w:type="auto"/>
            <w:gridSpan w:val="3"/>
            <w:vAlign w:val="center"/>
            <w:hideMark/>
          </w:tcPr>
          <w:p w14:paraId="313EC697" w14:textId="77777777" w:rsidR="00000000" w:rsidRDefault="00405D16">
            <w:pPr>
              <w:spacing w:after="100"/>
              <w:rPr>
                <w:rFonts w:eastAsia="Times New Roman"/>
                <w:sz w:val="20"/>
                <w:szCs w:val="20"/>
              </w:rPr>
            </w:pPr>
          </w:p>
        </w:tc>
        <w:tc>
          <w:tcPr>
            <w:tcW w:w="0" w:type="auto"/>
            <w:gridSpan w:val="3"/>
            <w:vAlign w:val="center"/>
            <w:hideMark/>
          </w:tcPr>
          <w:p w14:paraId="50555716" w14:textId="77777777" w:rsidR="00000000" w:rsidRDefault="00405D16">
            <w:pPr>
              <w:spacing w:after="100"/>
              <w:rPr>
                <w:rFonts w:eastAsia="Times New Roman"/>
                <w:sz w:val="20"/>
                <w:szCs w:val="20"/>
              </w:rPr>
            </w:pPr>
          </w:p>
        </w:tc>
        <w:tc>
          <w:tcPr>
            <w:tcW w:w="0" w:type="auto"/>
            <w:gridSpan w:val="3"/>
            <w:vAlign w:val="center"/>
            <w:hideMark/>
          </w:tcPr>
          <w:p w14:paraId="74FAC4B9" w14:textId="77777777" w:rsidR="00000000" w:rsidRDefault="00405D16">
            <w:pPr>
              <w:spacing w:after="100"/>
              <w:rPr>
                <w:rFonts w:eastAsia="Times New Roman"/>
                <w:sz w:val="20"/>
                <w:szCs w:val="20"/>
              </w:rPr>
            </w:pPr>
          </w:p>
        </w:tc>
      </w:tr>
      <w:tr w:rsidR="00000000" w14:paraId="60BEDBD1" w14:textId="77777777">
        <w:trPr>
          <w:divId w:val="513231771"/>
        </w:trPr>
        <w:tc>
          <w:tcPr>
            <w:tcW w:w="0" w:type="auto"/>
            <w:gridSpan w:val="3"/>
            <w:vAlign w:val="center"/>
            <w:hideMark/>
          </w:tcPr>
          <w:p w14:paraId="3D4BB794" w14:textId="77777777" w:rsidR="00000000" w:rsidRDefault="00405D16">
            <w:pPr>
              <w:spacing w:after="100"/>
              <w:rPr>
                <w:rFonts w:eastAsia="Times New Roman"/>
                <w:sz w:val="20"/>
                <w:szCs w:val="20"/>
              </w:rPr>
            </w:pPr>
          </w:p>
        </w:tc>
        <w:tc>
          <w:tcPr>
            <w:tcW w:w="0" w:type="auto"/>
            <w:gridSpan w:val="3"/>
            <w:vAlign w:val="center"/>
            <w:hideMark/>
          </w:tcPr>
          <w:p w14:paraId="1CCE720C" w14:textId="77777777" w:rsidR="00000000" w:rsidRDefault="00405D16">
            <w:pPr>
              <w:spacing w:after="100"/>
              <w:rPr>
                <w:rFonts w:eastAsia="Times New Roman"/>
                <w:sz w:val="20"/>
                <w:szCs w:val="20"/>
              </w:rPr>
            </w:pPr>
          </w:p>
        </w:tc>
        <w:tc>
          <w:tcPr>
            <w:tcW w:w="0" w:type="auto"/>
            <w:gridSpan w:val="3"/>
            <w:vAlign w:val="center"/>
            <w:hideMark/>
          </w:tcPr>
          <w:p w14:paraId="36FA0290" w14:textId="77777777" w:rsidR="00000000" w:rsidRDefault="00405D16">
            <w:pPr>
              <w:spacing w:after="100"/>
              <w:rPr>
                <w:rFonts w:eastAsia="Times New Roman"/>
                <w:sz w:val="20"/>
                <w:szCs w:val="20"/>
              </w:rPr>
            </w:pPr>
          </w:p>
        </w:tc>
        <w:tc>
          <w:tcPr>
            <w:tcW w:w="0" w:type="auto"/>
            <w:gridSpan w:val="3"/>
            <w:vAlign w:val="center"/>
            <w:hideMark/>
          </w:tcPr>
          <w:p w14:paraId="30411DBD" w14:textId="77777777" w:rsidR="00000000" w:rsidRDefault="00405D16">
            <w:pPr>
              <w:spacing w:after="100"/>
              <w:rPr>
                <w:rFonts w:eastAsia="Times New Roman"/>
                <w:sz w:val="20"/>
                <w:szCs w:val="20"/>
              </w:rPr>
            </w:pPr>
          </w:p>
        </w:tc>
        <w:tc>
          <w:tcPr>
            <w:tcW w:w="0" w:type="auto"/>
            <w:gridSpan w:val="3"/>
            <w:vAlign w:val="center"/>
            <w:hideMark/>
          </w:tcPr>
          <w:p w14:paraId="4D1EA3D1" w14:textId="77777777" w:rsidR="00000000" w:rsidRDefault="00405D16">
            <w:pPr>
              <w:spacing w:after="100"/>
              <w:rPr>
                <w:rFonts w:eastAsia="Times New Roman"/>
                <w:sz w:val="20"/>
                <w:szCs w:val="20"/>
              </w:rPr>
            </w:pPr>
          </w:p>
        </w:tc>
        <w:tc>
          <w:tcPr>
            <w:tcW w:w="0" w:type="auto"/>
            <w:gridSpan w:val="3"/>
            <w:vAlign w:val="center"/>
            <w:hideMark/>
          </w:tcPr>
          <w:p w14:paraId="2B7F5FB2" w14:textId="77777777" w:rsidR="00000000" w:rsidRDefault="00405D16">
            <w:pPr>
              <w:spacing w:after="100"/>
              <w:rPr>
                <w:rFonts w:eastAsia="Times New Roman"/>
                <w:sz w:val="20"/>
                <w:szCs w:val="20"/>
              </w:rPr>
            </w:pPr>
          </w:p>
        </w:tc>
        <w:tc>
          <w:tcPr>
            <w:tcW w:w="0" w:type="auto"/>
            <w:gridSpan w:val="3"/>
            <w:vAlign w:val="center"/>
            <w:hideMark/>
          </w:tcPr>
          <w:p w14:paraId="5086F02D" w14:textId="77777777" w:rsidR="00000000" w:rsidRDefault="00405D16">
            <w:pPr>
              <w:spacing w:after="100"/>
              <w:rPr>
                <w:rFonts w:eastAsia="Times New Roman"/>
                <w:sz w:val="20"/>
                <w:szCs w:val="20"/>
              </w:rPr>
            </w:pPr>
          </w:p>
        </w:tc>
        <w:tc>
          <w:tcPr>
            <w:tcW w:w="0" w:type="auto"/>
            <w:gridSpan w:val="3"/>
            <w:vAlign w:val="center"/>
            <w:hideMark/>
          </w:tcPr>
          <w:p w14:paraId="63B8D73F" w14:textId="77777777" w:rsidR="00000000" w:rsidRDefault="00405D16">
            <w:pPr>
              <w:spacing w:after="100"/>
              <w:rPr>
                <w:rFonts w:eastAsia="Times New Roman"/>
                <w:sz w:val="20"/>
                <w:szCs w:val="20"/>
              </w:rPr>
            </w:pPr>
          </w:p>
        </w:tc>
        <w:tc>
          <w:tcPr>
            <w:tcW w:w="0" w:type="auto"/>
            <w:gridSpan w:val="3"/>
            <w:vAlign w:val="center"/>
            <w:hideMark/>
          </w:tcPr>
          <w:p w14:paraId="4526711D" w14:textId="77777777" w:rsidR="00000000" w:rsidRDefault="00405D16">
            <w:pPr>
              <w:spacing w:after="100"/>
              <w:rPr>
                <w:rFonts w:eastAsia="Times New Roman"/>
                <w:sz w:val="20"/>
                <w:szCs w:val="20"/>
              </w:rPr>
            </w:pPr>
          </w:p>
        </w:tc>
        <w:tc>
          <w:tcPr>
            <w:tcW w:w="0" w:type="auto"/>
            <w:gridSpan w:val="3"/>
            <w:vAlign w:val="center"/>
            <w:hideMark/>
          </w:tcPr>
          <w:p w14:paraId="6ECE4E95" w14:textId="77777777" w:rsidR="00000000" w:rsidRDefault="00405D16">
            <w:pPr>
              <w:spacing w:after="100"/>
              <w:rPr>
                <w:rFonts w:eastAsia="Times New Roman"/>
                <w:sz w:val="20"/>
                <w:szCs w:val="20"/>
              </w:rPr>
            </w:pPr>
          </w:p>
        </w:tc>
        <w:tc>
          <w:tcPr>
            <w:tcW w:w="0" w:type="auto"/>
            <w:gridSpan w:val="3"/>
            <w:vAlign w:val="center"/>
            <w:hideMark/>
          </w:tcPr>
          <w:p w14:paraId="7BA99D4A" w14:textId="77777777" w:rsidR="00000000" w:rsidRDefault="00405D16">
            <w:pPr>
              <w:spacing w:after="100"/>
              <w:rPr>
                <w:rFonts w:eastAsia="Times New Roman"/>
                <w:sz w:val="20"/>
                <w:szCs w:val="20"/>
              </w:rPr>
            </w:pPr>
          </w:p>
        </w:tc>
        <w:tc>
          <w:tcPr>
            <w:tcW w:w="0" w:type="auto"/>
            <w:gridSpan w:val="3"/>
            <w:vAlign w:val="center"/>
            <w:hideMark/>
          </w:tcPr>
          <w:p w14:paraId="35042721" w14:textId="77777777" w:rsidR="00000000" w:rsidRDefault="00405D16">
            <w:pPr>
              <w:spacing w:after="100"/>
              <w:rPr>
                <w:rFonts w:eastAsia="Times New Roman"/>
                <w:sz w:val="20"/>
                <w:szCs w:val="20"/>
              </w:rPr>
            </w:pPr>
          </w:p>
        </w:tc>
        <w:tc>
          <w:tcPr>
            <w:tcW w:w="0" w:type="auto"/>
            <w:gridSpan w:val="3"/>
            <w:vAlign w:val="center"/>
            <w:hideMark/>
          </w:tcPr>
          <w:p w14:paraId="7B5DF194" w14:textId="77777777" w:rsidR="00000000" w:rsidRDefault="00405D16">
            <w:pPr>
              <w:spacing w:after="100"/>
              <w:rPr>
                <w:rFonts w:eastAsia="Times New Roman"/>
                <w:sz w:val="20"/>
                <w:szCs w:val="20"/>
              </w:rPr>
            </w:pPr>
          </w:p>
        </w:tc>
        <w:tc>
          <w:tcPr>
            <w:tcW w:w="0" w:type="auto"/>
            <w:gridSpan w:val="3"/>
            <w:vAlign w:val="center"/>
            <w:hideMark/>
          </w:tcPr>
          <w:p w14:paraId="5E09BDBD" w14:textId="77777777" w:rsidR="00000000" w:rsidRDefault="00405D16">
            <w:pPr>
              <w:spacing w:after="100"/>
              <w:rPr>
                <w:rFonts w:eastAsia="Times New Roman"/>
                <w:sz w:val="20"/>
                <w:szCs w:val="20"/>
              </w:rPr>
            </w:pPr>
          </w:p>
        </w:tc>
        <w:tc>
          <w:tcPr>
            <w:tcW w:w="0" w:type="auto"/>
            <w:gridSpan w:val="3"/>
            <w:vAlign w:val="center"/>
            <w:hideMark/>
          </w:tcPr>
          <w:p w14:paraId="36C0E8FB" w14:textId="77777777" w:rsidR="00000000" w:rsidRDefault="00405D16">
            <w:pPr>
              <w:spacing w:after="100"/>
              <w:rPr>
                <w:rFonts w:eastAsia="Times New Roman"/>
                <w:sz w:val="20"/>
                <w:szCs w:val="20"/>
              </w:rPr>
            </w:pPr>
          </w:p>
        </w:tc>
        <w:tc>
          <w:tcPr>
            <w:tcW w:w="0" w:type="auto"/>
            <w:gridSpan w:val="3"/>
            <w:vAlign w:val="center"/>
            <w:hideMark/>
          </w:tcPr>
          <w:p w14:paraId="21B6BF8D" w14:textId="77777777" w:rsidR="00000000" w:rsidRDefault="00405D16">
            <w:pPr>
              <w:spacing w:after="100"/>
              <w:rPr>
                <w:rFonts w:eastAsia="Times New Roman"/>
                <w:sz w:val="20"/>
                <w:szCs w:val="20"/>
              </w:rPr>
            </w:pPr>
          </w:p>
        </w:tc>
        <w:tc>
          <w:tcPr>
            <w:tcW w:w="0" w:type="auto"/>
            <w:gridSpan w:val="3"/>
            <w:vAlign w:val="center"/>
            <w:hideMark/>
          </w:tcPr>
          <w:p w14:paraId="7ADF39F1" w14:textId="77777777" w:rsidR="00000000" w:rsidRDefault="00405D16">
            <w:pPr>
              <w:spacing w:after="100"/>
              <w:rPr>
                <w:rFonts w:eastAsia="Times New Roman"/>
                <w:sz w:val="20"/>
                <w:szCs w:val="20"/>
              </w:rPr>
            </w:pPr>
          </w:p>
        </w:tc>
      </w:tr>
      <w:tr w:rsidR="00000000" w14:paraId="7CDC8C0A" w14:textId="77777777">
        <w:trPr>
          <w:divId w:val="513231771"/>
        </w:trPr>
        <w:tc>
          <w:tcPr>
            <w:tcW w:w="0" w:type="auto"/>
            <w:gridSpan w:val="3"/>
            <w:vAlign w:val="center"/>
            <w:hideMark/>
          </w:tcPr>
          <w:p w14:paraId="1503D824" w14:textId="77777777" w:rsidR="00000000" w:rsidRDefault="00405D16">
            <w:pPr>
              <w:spacing w:after="100"/>
              <w:rPr>
                <w:rFonts w:eastAsia="Times New Roman"/>
                <w:sz w:val="20"/>
                <w:szCs w:val="20"/>
              </w:rPr>
            </w:pPr>
          </w:p>
        </w:tc>
        <w:tc>
          <w:tcPr>
            <w:tcW w:w="0" w:type="auto"/>
            <w:gridSpan w:val="3"/>
            <w:vAlign w:val="center"/>
            <w:hideMark/>
          </w:tcPr>
          <w:p w14:paraId="4F87902E" w14:textId="77777777" w:rsidR="00000000" w:rsidRDefault="00405D16">
            <w:pPr>
              <w:spacing w:after="100"/>
              <w:rPr>
                <w:rFonts w:eastAsia="Times New Roman"/>
                <w:sz w:val="20"/>
                <w:szCs w:val="20"/>
              </w:rPr>
            </w:pPr>
          </w:p>
        </w:tc>
        <w:tc>
          <w:tcPr>
            <w:tcW w:w="0" w:type="auto"/>
            <w:gridSpan w:val="3"/>
            <w:vAlign w:val="center"/>
            <w:hideMark/>
          </w:tcPr>
          <w:p w14:paraId="1EB309E8" w14:textId="77777777" w:rsidR="00000000" w:rsidRDefault="00405D16">
            <w:pPr>
              <w:spacing w:after="100"/>
              <w:rPr>
                <w:rFonts w:eastAsia="Times New Roman"/>
                <w:sz w:val="20"/>
                <w:szCs w:val="20"/>
              </w:rPr>
            </w:pPr>
          </w:p>
        </w:tc>
        <w:tc>
          <w:tcPr>
            <w:tcW w:w="0" w:type="auto"/>
            <w:gridSpan w:val="3"/>
            <w:vAlign w:val="center"/>
            <w:hideMark/>
          </w:tcPr>
          <w:p w14:paraId="558FD0E9" w14:textId="77777777" w:rsidR="00000000" w:rsidRDefault="00405D16">
            <w:pPr>
              <w:spacing w:after="100"/>
              <w:rPr>
                <w:rFonts w:eastAsia="Times New Roman"/>
                <w:sz w:val="20"/>
                <w:szCs w:val="20"/>
              </w:rPr>
            </w:pPr>
          </w:p>
        </w:tc>
        <w:tc>
          <w:tcPr>
            <w:tcW w:w="0" w:type="auto"/>
            <w:gridSpan w:val="3"/>
            <w:vAlign w:val="center"/>
            <w:hideMark/>
          </w:tcPr>
          <w:p w14:paraId="094E6D5D" w14:textId="77777777" w:rsidR="00000000" w:rsidRDefault="00405D16">
            <w:pPr>
              <w:spacing w:after="100"/>
              <w:rPr>
                <w:rFonts w:eastAsia="Times New Roman"/>
                <w:sz w:val="20"/>
                <w:szCs w:val="20"/>
              </w:rPr>
            </w:pPr>
          </w:p>
        </w:tc>
        <w:tc>
          <w:tcPr>
            <w:tcW w:w="0" w:type="auto"/>
            <w:gridSpan w:val="3"/>
            <w:vAlign w:val="center"/>
            <w:hideMark/>
          </w:tcPr>
          <w:p w14:paraId="20C63FC9" w14:textId="77777777" w:rsidR="00000000" w:rsidRDefault="00405D16">
            <w:pPr>
              <w:spacing w:after="100"/>
              <w:rPr>
                <w:rFonts w:eastAsia="Times New Roman"/>
                <w:sz w:val="20"/>
                <w:szCs w:val="20"/>
              </w:rPr>
            </w:pPr>
          </w:p>
        </w:tc>
        <w:tc>
          <w:tcPr>
            <w:tcW w:w="0" w:type="auto"/>
            <w:gridSpan w:val="3"/>
            <w:vAlign w:val="center"/>
            <w:hideMark/>
          </w:tcPr>
          <w:p w14:paraId="7089C1EE" w14:textId="77777777" w:rsidR="00000000" w:rsidRDefault="00405D16">
            <w:pPr>
              <w:spacing w:after="100"/>
              <w:rPr>
                <w:rFonts w:eastAsia="Times New Roman"/>
                <w:sz w:val="20"/>
                <w:szCs w:val="20"/>
              </w:rPr>
            </w:pPr>
          </w:p>
        </w:tc>
        <w:tc>
          <w:tcPr>
            <w:tcW w:w="0" w:type="auto"/>
            <w:gridSpan w:val="3"/>
            <w:vAlign w:val="center"/>
            <w:hideMark/>
          </w:tcPr>
          <w:p w14:paraId="6FE1C556" w14:textId="77777777" w:rsidR="00000000" w:rsidRDefault="00405D16">
            <w:pPr>
              <w:spacing w:after="100"/>
              <w:rPr>
                <w:rFonts w:eastAsia="Times New Roman"/>
                <w:sz w:val="20"/>
                <w:szCs w:val="20"/>
              </w:rPr>
            </w:pPr>
          </w:p>
        </w:tc>
        <w:tc>
          <w:tcPr>
            <w:tcW w:w="0" w:type="auto"/>
            <w:gridSpan w:val="3"/>
            <w:vAlign w:val="center"/>
            <w:hideMark/>
          </w:tcPr>
          <w:p w14:paraId="435C7A70" w14:textId="77777777" w:rsidR="00000000" w:rsidRDefault="00405D16">
            <w:pPr>
              <w:spacing w:after="100"/>
              <w:rPr>
                <w:rFonts w:eastAsia="Times New Roman"/>
                <w:sz w:val="20"/>
                <w:szCs w:val="20"/>
              </w:rPr>
            </w:pPr>
          </w:p>
        </w:tc>
        <w:tc>
          <w:tcPr>
            <w:tcW w:w="0" w:type="auto"/>
            <w:gridSpan w:val="3"/>
            <w:vAlign w:val="center"/>
            <w:hideMark/>
          </w:tcPr>
          <w:p w14:paraId="4DD200D0" w14:textId="77777777" w:rsidR="00000000" w:rsidRDefault="00405D16">
            <w:pPr>
              <w:spacing w:after="100"/>
              <w:rPr>
                <w:rFonts w:eastAsia="Times New Roman"/>
                <w:sz w:val="20"/>
                <w:szCs w:val="20"/>
              </w:rPr>
            </w:pPr>
          </w:p>
        </w:tc>
        <w:tc>
          <w:tcPr>
            <w:tcW w:w="0" w:type="auto"/>
            <w:gridSpan w:val="3"/>
            <w:vAlign w:val="center"/>
            <w:hideMark/>
          </w:tcPr>
          <w:p w14:paraId="0C761B82" w14:textId="77777777" w:rsidR="00000000" w:rsidRDefault="00405D16">
            <w:pPr>
              <w:spacing w:after="100"/>
              <w:rPr>
                <w:rFonts w:eastAsia="Times New Roman"/>
                <w:sz w:val="20"/>
                <w:szCs w:val="20"/>
              </w:rPr>
            </w:pPr>
          </w:p>
        </w:tc>
        <w:tc>
          <w:tcPr>
            <w:tcW w:w="0" w:type="auto"/>
            <w:gridSpan w:val="3"/>
            <w:vAlign w:val="center"/>
            <w:hideMark/>
          </w:tcPr>
          <w:p w14:paraId="2A0A0BF1" w14:textId="77777777" w:rsidR="00000000" w:rsidRDefault="00405D16">
            <w:pPr>
              <w:spacing w:after="100"/>
              <w:rPr>
                <w:rFonts w:eastAsia="Times New Roman"/>
                <w:sz w:val="20"/>
                <w:szCs w:val="20"/>
              </w:rPr>
            </w:pPr>
          </w:p>
        </w:tc>
        <w:tc>
          <w:tcPr>
            <w:tcW w:w="0" w:type="auto"/>
            <w:gridSpan w:val="3"/>
            <w:vAlign w:val="center"/>
            <w:hideMark/>
          </w:tcPr>
          <w:p w14:paraId="5E78DB7D" w14:textId="77777777" w:rsidR="00000000" w:rsidRDefault="00405D16">
            <w:pPr>
              <w:spacing w:after="100"/>
              <w:rPr>
                <w:rFonts w:eastAsia="Times New Roman"/>
                <w:sz w:val="20"/>
                <w:szCs w:val="20"/>
              </w:rPr>
            </w:pPr>
          </w:p>
        </w:tc>
        <w:tc>
          <w:tcPr>
            <w:tcW w:w="0" w:type="auto"/>
            <w:gridSpan w:val="3"/>
            <w:vAlign w:val="center"/>
            <w:hideMark/>
          </w:tcPr>
          <w:p w14:paraId="5D893A6D" w14:textId="77777777" w:rsidR="00000000" w:rsidRDefault="00405D16">
            <w:pPr>
              <w:spacing w:after="100"/>
              <w:rPr>
                <w:rFonts w:eastAsia="Times New Roman"/>
                <w:sz w:val="20"/>
                <w:szCs w:val="20"/>
              </w:rPr>
            </w:pPr>
          </w:p>
        </w:tc>
        <w:tc>
          <w:tcPr>
            <w:tcW w:w="0" w:type="auto"/>
            <w:gridSpan w:val="3"/>
            <w:vAlign w:val="center"/>
            <w:hideMark/>
          </w:tcPr>
          <w:p w14:paraId="749356A3" w14:textId="77777777" w:rsidR="00000000" w:rsidRDefault="00405D16">
            <w:pPr>
              <w:spacing w:after="100"/>
              <w:rPr>
                <w:rFonts w:eastAsia="Times New Roman"/>
                <w:sz w:val="20"/>
                <w:szCs w:val="20"/>
              </w:rPr>
            </w:pPr>
          </w:p>
        </w:tc>
        <w:tc>
          <w:tcPr>
            <w:tcW w:w="0" w:type="auto"/>
            <w:gridSpan w:val="3"/>
            <w:vAlign w:val="center"/>
            <w:hideMark/>
          </w:tcPr>
          <w:p w14:paraId="536FB2C2" w14:textId="77777777" w:rsidR="00000000" w:rsidRDefault="00405D16">
            <w:pPr>
              <w:spacing w:after="100"/>
              <w:rPr>
                <w:rFonts w:eastAsia="Times New Roman"/>
                <w:sz w:val="20"/>
                <w:szCs w:val="20"/>
              </w:rPr>
            </w:pPr>
          </w:p>
        </w:tc>
        <w:tc>
          <w:tcPr>
            <w:tcW w:w="0" w:type="auto"/>
            <w:gridSpan w:val="3"/>
            <w:vAlign w:val="center"/>
            <w:hideMark/>
          </w:tcPr>
          <w:p w14:paraId="7F29ACF1" w14:textId="77777777" w:rsidR="00000000" w:rsidRDefault="00405D16">
            <w:pPr>
              <w:spacing w:after="100"/>
              <w:rPr>
                <w:rFonts w:eastAsia="Times New Roman"/>
                <w:sz w:val="20"/>
                <w:szCs w:val="20"/>
              </w:rPr>
            </w:pPr>
          </w:p>
        </w:tc>
      </w:tr>
      <w:tr w:rsidR="00000000" w14:paraId="13987C37" w14:textId="77777777">
        <w:trPr>
          <w:divId w:val="513231771"/>
        </w:trPr>
        <w:tc>
          <w:tcPr>
            <w:tcW w:w="0" w:type="auto"/>
            <w:gridSpan w:val="3"/>
            <w:vAlign w:val="center"/>
            <w:hideMark/>
          </w:tcPr>
          <w:p w14:paraId="33F54A74" w14:textId="77777777" w:rsidR="00000000" w:rsidRDefault="00405D16">
            <w:pPr>
              <w:spacing w:after="100"/>
              <w:rPr>
                <w:rFonts w:eastAsia="Times New Roman"/>
                <w:sz w:val="20"/>
                <w:szCs w:val="20"/>
              </w:rPr>
            </w:pPr>
          </w:p>
        </w:tc>
        <w:tc>
          <w:tcPr>
            <w:tcW w:w="0" w:type="auto"/>
            <w:gridSpan w:val="3"/>
            <w:vAlign w:val="center"/>
            <w:hideMark/>
          </w:tcPr>
          <w:p w14:paraId="6436107E" w14:textId="77777777" w:rsidR="00000000" w:rsidRDefault="00405D16">
            <w:pPr>
              <w:spacing w:after="100"/>
              <w:rPr>
                <w:rFonts w:eastAsia="Times New Roman"/>
                <w:sz w:val="20"/>
                <w:szCs w:val="20"/>
              </w:rPr>
            </w:pPr>
          </w:p>
        </w:tc>
        <w:tc>
          <w:tcPr>
            <w:tcW w:w="0" w:type="auto"/>
            <w:gridSpan w:val="3"/>
            <w:vAlign w:val="center"/>
            <w:hideMark/>
          </w:tcPr>
          <w:p w14:paraId="09238F23" w14:textId="77777777" w:rsidR="00000000" w:rsidRDefault="00405D16">
            <w:pPr>
              <w:spacing w:after="100"/>
              <w:rPr>
                <w:rFonts w:eastAsia="Times New Roman"/>
                <w:sz w:val="20"/>
                <w:szCs w:val="20"/>
              </w:rPr>
            </w:pPr>
          </w:p>
        </w:tc>
        <w:tc>
          <w:tcPr>
            <w:tcW w:w="0" w:type="auto"/>
            <w:gridSpan w:val="3"/>
            <w:vAlign w:val="center"/>
            <w:hideMark/>
          </w:tcPr>
          <w:p w14:paraId="3436F1A1" w14:textId="77777777" w:rsidR="00000000" w:rsidRDefault="00405D16">
            <w:pPr>
              <w:spacing w:after="100"/>
              <w:rPr>
                <w:rFonts w:eastAsia="Times New Roman"/>
                <w:sz w:val="20"/>
                <w:szCs w:val="20"/>
              </w:rPr>
            </w:pPr>
          </w:p>
        </w:tc>
        <w:tc>
          <w:tcPr>
            <w:tcW w:w="0" w:type="auto"/>
            <w:gridSpan w:val="3"/>
            <w:vAlign w:val="center"/>
            <w:hideMark/>
          </w:tcPr>
          <w:p w14:paraId="3AE08501" w14:textId="77777777" w:rsidR="00000000" w:rsidRDefault="00405D16">
            <w:pPr>
              <w:spacing w:after="100"/>
              <w:rPr>
                <w:rFonts w:eastAsia="Times New Roman"/>
                <w:sz w:val="20"/>
                <w:szCs w:val="20"/>
              </w:rPr>
            </w:pPr>
          </w:p>
        </w:tc>
        <w:tc>
          <w:tcPr>
            <w:tcW w:w="0" w:type="auto"/>
            <w:gridSpan w:val="3"/>
            <w:vAlign w:val="center"/>
            <w:hideMark/>
          </w:tcPr>
          <w:p w14:paraId="525B5732" w14:textId="77777777" w:rsidR="00000000" w:rsidRDefault="00405D16">
            <w:pPr>
              <w:spacing w:after="100"/>
              <w:rPr>
                <w:rFonts w:eastAsia="Times New Roman"/>
                <w:sz w:val="20"/>
                <w:szCs w:val="20"/>
              </w:rPr>
            </w:pPr>
          </w:p>
        </w:tc>
        <w:tc>
          <w:tcPr>
            <w:tcW w:w="0" w:type="auto"/>
            <w:gridSpan w:val="3"/>
            <w:vAlign w:val="center"/>
            <w:hideMark/>
          </w:tcPr>
          <w:p w14:paraId="152CFF38" w14:textId="77777777" w:rsidR="00000000" w:rsidRDefault="00405D16">
            <w:pPr>
              <w:spacing w:after="100"/>
              <w:rPr>
                <w:rFonts w:eastAsia="Times New Roman"/>
                <w:sz w:val="20"/>
                <w:szCs w:val="20"/>
              </w:rPr>
            </w:pPr>
          </w:p>
        </w:tc>
        <w:tc>
          <w:tcPr>
            <w:tcW w:w="0" w:type="auto"/>
            <w:gridSpan w:val="3"/>
            <w:vAlign w:val="center"/>
            <w:hideMark/>
          </w:tcPr>
          <w:p w14:paraId="7A47C9F4" w14:textId="77777777" w:rsidR="00000000" w:rsidRDefault="00405D16">
            <w:pPr>
              <w:spacing w:after="100"/>
              <w:rPr>
                <w:rFonts w:eastAsia="Times New Roman"/>
                <w:sz w:val="20"/>
                <w:szCs w:val="20"/>
              </w:rPr>
            </w:pPr>
          </w:p>
        </w:tc>
        <w:tc>
          <w:tcPr>
            <w:tcW w:w="0" w:type="auto"/>
            <w:gridSpan w:val="3"/>
            <w:vAlign w:val="center"/>
            <w:hideMark/>
          </w:tcPr>
          <w:p w14:paraId="2F1B81D7" w14:textId="77777777" w:rsidR="00000000" w:rsidRDefault="00405D16">
            <w:pPr>
              <w:spacing w:after="100"/>
              <w:rPr>
                <w:rFonts w:eastAsia="Times New Roman"/>
                <w:sz w:val="20"/>
                <w:szCs w:val="20"/>
              </w:rPr>
            </w:pPr>
          </w:p>
        </w:tc>
        <w:tc>
          <w:tcPr>
            <w:tcW w:w="0" w:type="auto"/>
            <w:gridSpan w:val="3"/>
            <w:vAlign w:val="center"/>
            <w:hideMark/>
          </w:tcPr>
          <w:p w14:paraId="4D50D3AC" w14:textId="77777777" w:rsidR="00000000" w:rsidRDefault="00405D16">
            <w:pPr>
              <w:spacing w:after="100"/>
              <w:rPr>
                <w:rFonts w:eastAsia="Times New Roman"/>
                <w:sz w:val="20"/>
                <w:szCs w:val="20"/>
              </w:rPr>
            </w:pPr>
          </w:p>
        </w:tc>
        <w:tc>
          <w:tcPr>
            <w:tcW w:w="0" w:type="auto"/>
            <w:gridSpan w:val="3"/>
            <w:vAlign w:val="center"/>
            <w:hideMark/>
          </w:tcPr>
          <w:p w14:paraId="30D53AA9" w14:textId="77777777" w:rsidR="00000000" w:rsidRDefault="00405D16">
            <w:pPr>
              <w:spacing w:after="100"/>
              <w:rPr>
                <w:rFonts w:eastAsia="Times New Roman"/>
                <w:sz w:val="20"/>
                <w:szCs w:val="20"/>
              </w:rPr>
            </w:pPr>
          </w:p>
        </w:tc>
        <w:tc>
          <w:tcPr>
            <w:tcW w:w="0" w:type="auto"/>
            <w:gridSpan w:val="3"/>
            <w:vAlign w:val="center"/>
            <w:hideMark/>
          </w:tcPr>
          <w:p w14:paraId="7F3842AD" w14:textId="77777777" w:rsidR="00000000" w:rsidRDefault="00405D16">
            <w:pPr>
              <w:spacing w:after="100"/>
              <w:rPr>
                <w:rFonts w:eastAsia="Times New Roman"/>
                <w:sz w:val="20"/>
                <w:szCs w:val="20"/>
              </w:rPr>
            </w:pPr>
          </w:p>
        </w:tc>
        <w:tc>
          <w:tcPr>
            <w:tcW w:w="0" w:type="auto"/>
            <w:gridSpan w:val="3"/>
            <w:vAlign w:val="center"/>
            <w:hideMark/>
          </w:tcPr>
          <w:p w14:paraId="2C62EC85" w14:textId="77777777" w:rsidR="00000000" w:rsidRDefault="00405D16">
            <w:pPr>
              <w:spacing w:after="100"/>
              <w:rPr>
                <w:rFonts w:eastAsia="Times New Roman"/>
                <w:sz w:val="20"/>
                <w:szCs w:val="20"/>
              </w:rPr>
            </w:pPr>
          </w:p>
        </w:tc>
        <w:tc>
          <w:tcPr>
            <w:tcW w:w="0" w:type="auto"/>
            <w:gridSpan w:val="3"/>
            <w:vAlign w:val="center"/>
            <w:hideMark/>
          </w:tcPr>
          <w:p w14:paraId="6A1885F4" w14:textId="77777777" w:rsidR="00000000" w:rsidRDefault="00405D16">
            <w:pPr>
              <w:spacing w:after="100"/>
              <w:rPr>
                <w:rFonts w:eastAsia="Times New Roman"/>
                <w:sz w:val="20"/>
                <w:szCs w:val="20"/>
              </w:rPr>
            </w:pPr>
          </w:p>
        </w:tc>
        <w:tc>
          <w:tcPr>
            <w:tcW w:w="0" w:type="auto"/>
            <w:gridSpan w:val="3"/>
            <w:vAlign w:val="center"/>
            <w:hideMark/>
          </w:tcPr>
          <w:p w14:paraId="49D7C119" w14:textId="77777777" w:rsidR="00000000" w:rsidRDefault="00405D16">
            <w:pPr>
              <w:spacing w:after="100"/>
              <w:rPr>
                <w:rFonts w:eastAsia="Times New Roman"/>
                <w:sz w:val="20"/>
                <w:szCs w:val="20"/>
              </w:rPr>
            </w:pPr>
          </w:p>
        </w:tc>
        <w:tc>
          <w:tcPr>
            <w:tcW w:w="0" w:type="auto"/>
            <w:gridSpan w:val="3"/>
            <w:vAlign w:val="center"/>
            <w:hideMark/>
          </w:tcPr>
          <w:p w14:paraId="7517C5A7" w14:textId="77777777" w:rsidR="00000000" w:rsidRDefault="00405D16">
            <w:pPr>
              <w:spacing w:after="100"/>
              <w:rPr>
                <w:rFonts w:eastAsia="Times New Roman"/>
                <w:sz w:val="20"/>
                <w:szCs w:val="20"/>
              </w:rPr>
            </w:pPr>
          </w:p>
        </w:tc>
        <w:tc>
          <w:tcPr>
            <w:tcW w:w="0" w:type="auto"/>
            <w:gridSpan w:val="3"/>
            <w:vAlign w:val="center"/>
            <w:hideMark/>
          </w:tcPr>
          <w:p w14:paraId="2C069540" w14:textId="77777777" w:rsidR="00000000" w:rsidRDefault="00405D16">
            <w:pPr>
              <w:spacing w:after="100"/>
              <w:rPr>
                <w:rFonts w:eastAsia="Times New Roman"/>
                <w:sz w:val="20"/>
                <w:szCs w:val="20"/>
              </w:rPr>
            </w:pPr>
          </w:p>
        </w:tc>
      </w:tr>
      <w:tr w:rsidR="00000000" w14:paraId="0A3C4420" w14:textId="77777777">
        <w:trPr>
          <w:divId w:val="513231771"/>
        </w:trPr>
        <w:tc>
          <w:tcPr>
            <w:tcW w:w="0" w:type="auto"/>
            <w:gridSpan w:val="3"/>
            <w:vAlign w:val="center"/>
            <w:hideMark/>
          </w:tcPr>
          <w:p w14:paraId="5BE1F3CA" w14:textId="77777777" w:rsidR="00000000" w:rsidRDefault="00405D16">
            <w:pPr>
              <w:spacing w:after="100"/>
              <w:rPr>
                <w:rFonts w:eastAsia="Times New Roman"/>
                <w:sz w:val="20"/>
                <w:szCs w:val="20"/>
              </w:rPr>
            </w:pPr>
          </w:p>
        </w:tc>
        <w:tc>
          <w:tcPr>
            <w:tcW w:w="0" w:type="auto"/>
            <w:gridSpan w:val="3"/>
            <w:vAlign w:val="center"/>
            <w:hideMark/>
          </w:tcPr>
          <w:p w14:paraId="065273DD" w14:textId="77777777" w:rsidR="00000000" w:rsidRDefault="00405D16">
            <w:pPr>
              <w:spacing w:after="100"/>
              <w:rPr>
                <w:rFonts w:eastAsia="Times New Roman"/>
                <w:sz w:val="20"/>
                <w:szCs w:val="20"/>
              </w:rPr>
            </w:pPr>
          </w:p>
        </w:tc>
        <w:tc>
          <w:tcPr>
            <w:tcW w:w="0" w:type="auto"/>
            <w:gridSpan w:val="3"/>
            <w:vAlign w:val="center"/>
            <w:hideMark/>
          </w:tcPr>
          <w:p w14:paraId="243392D8" w14:textId="77777777" w:rsidR="00000000" w:rsidRDefault="00405D16">
            <w:pPr>
              <w:spacing w:after="100"/>
              <w:rPr>
                <w:rFonts w:eastAsia="Times New Roman"/>
                <w:sz w:val="20"/>
                <w:szCs w:val="20"/>
              </w:rPr>
            </w:pPr>
          </w:p>
        </w:tc>
        <w:tc>
          <w:tcPr>
            <w:tcW w:w="0" w:type="auto"/>
            <w:gridSpan w:val="3"/>
            <w:vAlign w:val="center"/>
            <w:hideMark/>
          </w:tcPr>
          <w:p w14:paraId="69952CBA" w14:textId="77777777" w:rsidR="00000000" w:rsidRDefault="00405D16">
            <w:pPr>
              <w:spacing w:after="100"/>
              <w:rPr>
                <w:rFonts w:eastAsia="Times New Roman"/>
                <w:sz w:val="20"/>
                <w:szCs w:val="20"/>
              </w:rPr>
            </w:pPr>
          </w:p>
        </w:tc>
        <w:tc>
          <w:tcPr>
            <w:tcW w:w="0" w:type="auto"/>
            <w:gridSpan w:val="3"/>
            <w:vAlign w:val="center"/>
            <w:hideMark/>
          </w:tcPr>
          <w:p w14:paraId="1AE1C79F" w14:textId="77777777" w:rsidR="00000000" w:rsidRDefault="00405D16">
            <w:pPr>
              <w:spacing w:after="100"/>
              <w:rPr>
                <w:rFonts w:eastAsia="Times New Roman"/>
                <w:sz w:val="20"/>
                <w:szCs w:val="20"/>
              </w:rPr>
            </w:pPr>
          </w:p>
        </w:tc>
        <w:tc>
          <w:tcPr>
            <w:tcW w:w="0" w:type="auto"/>
            <w:gridSpan w:val="3"/>
            <w:vAlign w:val="center"/>
            <w:hideMark/>
          </w:tcPr>
          <w:p w14:paraId="62B3CF63" w14:textId="77777777" w:rsidR="00000000" w:rsidRDefault="00405D16">
            <w:pPr>
              <w:spacing w:after="100"/>
              <w:rPr>
                <w:rFonts w:eastAsia="Times New Roman"/>
                <w:sz w:val="20"/>
                <w:szCs w:val="20"/>
              </w:rPr>
            </w:pPr>
          </w:p>
        </w:tc>
        <w:tc>
          <w:tcPr>
            <w:tcW w:w="0" w:type="auto"/>
            <w:gridSpan w:val="3"/>
            <w:vAlign w:val="center"/>
            <w:hideMark/>
          </w:tcPr>
          <w:p w14:paraId="272804C0" w14:textId="77777777" w:rsidR="00000000" w:rsidRDefault="00405D16">
            <w:pPr>
              <w:spacing w:after="100"/>
              <w:rPr>
                <w:rFonts w:eastAsia="Times New Roman"/>
                <w:sz w:val="20"/>
                <w:szCs w:val="20"/>
              </w:rPr>
            </w:pPr>
          </w:p>
        </w:tc>
        <w:tc>
          <w:tcPr>
            <w:tcW w:w="0" w:type="auto"/>
            <w:gridSpan w:val="3"/>
            <w:vAlign w:val="center"/>
            <w:hideMark/>
          </w:tcPr>
          <w:p w14:paraId="454AEFEC" w14:textId="77777777" w:rsidR="00000000" w:rsidRDefault="00405D16">
            <w:pPr>
              <w:spacing w:after="100"/>
              <w:rPr>
                <w:rFonts w:eastAsia="Times New Roman"/>
                <w:sz w:val="20"/>
                <w:szCs w:val="20"/>
              </w:rPr>
            </w:pPr>
          </w:p>
        </w:tc>
        <w:tc>
          <w:tcPr>
            <w:tcW w:w="0" w:type="auto"/>
            <w:gridSpan w:val="3"/>
            <w:vAlign w:val="center"/>
            <w:hideMark/>
          </w:tcPr>
          <w:p w14:paraId="66E31716" w14:textId="77777777" w:rsidR="00000000" w:rsidRDefault="00405D16">
            <w:pPr>
              <w:spacing w:after="100"/>
              <w:rPr>
                <w:rFonts w:eastAsia="Times New Roman"/>
                <w:sz w:val="20"/>
                <w:szCs w:val="20"/>
              </w:rPr>
            </w:pPr>
          </w:p>
        </w:tc>
        <w:tc>
          <w:tcPr>
            <w:tcW w:w="0" w:type="auto"/>
            <w:gridSpan w:val="3"/>
            <w:vAlign w:val="center"/>
            <w:hideMark/>
          </w:tcPr>
          <w:p w14:paraId="30F9857A" w14:textId="77777777" w:rsidR="00000000" w:rsidRDefault="00405D16">
            <w:pPr>
              <w:spacing w:after="100"/>
              <w:rPr>
                <w:rFonts w:eastAsia="Times New Roman"/>
                <w:sz w:val="20"/>
                <w:szCs w:val="20"/>
              </w:rPr>
            </w:pPr>
          </w:p>
        </w:tc>
        <w:tc>
          <w:tcPr>
            <w:tcW w:w="0" w:type="auto"/>
            <w:gridSpan w:val="3"/>
            <w:vAlign w:val="center"/>
            <w:hideMark/>
          </w:tcPr>
          <w:p w14:paraId="6F827508" w14:textId="77777777" w:rsidR="00000000" w:rsidRDefault="00405D16">
            <w:pPr>
              <w:spacing w:after="100"/>
              <w:rPr>
                <w:rFonts w:eastAsia="Times New Roman"/>
                <w:sz w:val="20"/>
                <w:szCs w:val="20"/>
              </w:rPr>
            </w:pPr>
          </w:p>
        </w:tc>
        <w:tc>
          <w:tcPr>
            <w:tcW w:w="0" w:type="auto"/>
            <w:gridSpan w:val="3"/>
            <w:vAlign w:val="center"/>
            <w:hideMark/>
          </w:tcPr>
          <w:p w14:paraId="7AD09A54" w14:textId="77777777" w:rsidR="00000000" w:rsidRDefault="00405D16">
            <w:pPr>
              <w:spacing w:after="100"/>
              <w:rPr>
                <w:rFonts w:eastAsia="Times New Roman"/>
                <w:sz w:val="20"/>
                <w:szCs w:val="20"/>
              </w:rPr>
            </w:pPr>
          </w:p>
        </w:tc>
        <w:tc>
          <w:tcPr>
            <w:tcW w:w="0" w:type="auto"/>
            <w:gridSpan w:val="3"/>
            <w:vAlign w:val="center"/>
            <w:hideMark/>
          </w:tcPr>
          <w:p w14:paraId="2FBD9468" w14:textId="77777777" w:rsidR="00000000" w:rsidRDefault="00405D16">
            <w:pPr>
              <w:spacing w:after="100"/>
              <w:rPr>
                <w:rFonts w:eastAsia="Times New Roman"/>
                <w:sz w:val="20"/>
                <w:szCs w:val="20"/>
              </w:rPr>
            </w:pPr>
          </w:p>
        </w:tc>
        <w:tc>
          <w:tcPr>
            <w:tcW w:w="0" w:type="auto"/>
            <w:gridSpan w:val="3"/>
            <w:vAlign w:val="center"/>
            <w:hideMark/>
          </w:tcPr>
          <w:p w14:paraId="16F3386B" w14:textId="77777777" w:rsidR="00000000" w:rsidRDefault="00405D16">
            <w:pPr>
              <w:spacing w:after="100"/>
              <w:rPr>
                <w:rFonts w:eastAsia="Times New Roman"/>
                <w:sz w:val="20"/>
                <w:szCs w:val="20"/>
              </w:rPr>
            </w:pPr>
          </w:p>
        </w:tc>
        <w:tc>
          <w:tcPr>
            <w:tcW w:w="0" w:type="auto"/>
            <w:gridSpan w:val="3"/>
            <w:vAlign w:val="center"/>
            <w:hideMark/>
          </w:tcPr>
          <w:p w14:paraId="0BC82429" w14:textId="77777777" w:rsidR="00000000" w:rsidRDefault="00405D16">
            <w:pPr>
              <w:spacing w:after="100"/>
              <w:rPr>
                <w:rFonts w:eastAsia="Times New Roman"/>
                <w:sz w:val="20"/>
                <w:szCs w:val="20"/>
              </w:rPr>
            </w:pPr>
          </w:p>
        </w:tc>
        <w:tc>
          <w:tcPr>
            <w:tcW w:w="0" w:type="auto"/>
            <w:gridSpan w:val="3"/>
            <w:vAlign w:val="center"/>
            <w:hideMark/>
          </w:tcPr>
          <w:p w14:paraId="181FF0B8" w14:textId="77777777" w:rsidR="00000000" w:rsidRDefault="00405D16">
            <w:pPr>
              <w:spacing w:after="100"/>
              <w:rPr>
                <w:rFonts w:eastAsia="Times New Roman"/>
                <w:sz w:val="20"/>
                <w:szCs w:val="20"/>
              </w:rPr>
            </w:pPr>
          </w:p>
        </w:tc>
        <w:tc>
          <w:tcPr>
            <w:tcW w:w="0" w:type="auto"/>
            <w:gridSpan w:val="3"/>
            <w:vAlign w:val="center"/>
            <w:hideMark/>
          </w:tcPr>
          <w:p w14:paraId="1C6282AF" w14:textId="77777777" w:rsidR="00000000" w:rsidRDefault="00405D16">
            <w:pPr>
              <w:spacing w:after="100"/>
              <w:rPr>
                <w:rFonts w:eastAsia="Times New Roman"/>
                <w:sz w:val="20"/>
                <w:szCs w:val="20"/>
              </w:rPr>
            </w:pPr>
          </w:p>
        </w:tc>
      </w:tr>
      <w:tr w:rsidR="00000000" w14:paraId="17F13554" w14:textId="77777777">
        <w:trPr>
          <w:divId w:val="513231771"/>
        </w:trPr>
        <w:tc>
          <w:tcPr>
            <w:tcW w:w="0" w:type="auto"/>
            <w:gridSpan w:val="3"/>
            <w:vAlign w:val="center"/>
            <w:hideMark/>
          </w:tcPr>
          <w:p w14:paraId="450E3D37" w14:textId="77777777" w:rsidR="00000000" w:rsidRDefault="00405D16">
            <w:pPr>
              <w:spacing w:after="100"/>
              <w:rPr>
                <w:rFonts w:eastAsia="Times New Roman"/>
                <w:sz w:val="20"/>
                <w:szCs w:val="20"/>
              </w:rPr>
            </w:pPr>
          </w:p>
        </w:tc>
        <w:tc>
          <w:tcPr>
            <w:tcW w:w="0" w:type="auto"/>
            <w:gridSpan w:val="3"/>
            <w:vAlign w:val="center"/>
            <w:hideMark/>
          </w:tcPr>
          <w:p w14:paraId="4E4F4CA8" w14:textId="77777777" w:rsidR="00000000" w:rsidRDefault="00405D16">
            <w:pPr>
              <w:spacing w:after="100"/>
              <w:rPr>
                <w:rFonts w:eastAsia="Times New Roman"/>
                <w:sz w:val="20"/>
                <w:szCs w:val="20"/>
              </w:rPr>
            </w:pPr>
          </w:p>
        </w:tc>
        <w:tc>
          <w:tcPr>
            <w:tcW w:w="0" w:type="auto"/>
            <w:gridSpan w:val="3"/>
            <w:vAlign w:val="center"/>
            <w:hideMark/>
          </w:tcPr>
          <w:p w14:paraId="533CB587" w14:textId="77777777" w:rsidR="00000000" w:rsidRDefault="00405D16">
            <w:pPr>
              <w:spacing w:after="100"/>
              <w:rPr>
                <w:rFonts w:eastAsia="Times New Roman"/>
                <w:sz w:val="20"/>
                <w:szCs w:val="20"/>
              </w:rPr>
            </w:pPr>
          </w:p>
        </w:tc>
        <w:tc>
          <w:tcPr>
            <w:tcW w:w="0" w:type="auto"/>
            <w:gridSpan w:val="3"/>
            <w:vAlign w:val="center"/>
            <w:hideMark/>
          </w:tcPr>
          <w:p w14:paraId="5B0CD67B" w14:textId="77777777" w:rsidR="00000000" w:rsidRDefault="00405D16">
            <w:pPr>
              <w:spacing w:after="100"/>
              <w:rPr>
                <w:rFonts w:eastAsia="Times New Roman"/>
                <w:sz w:val="20"/>
                <w:szCs w:val="20"/>
              </w:rPr>
            </w:pPr>
          </w:p>
        </w:tc>
        <w:tc>
          <w:tcPr>
            <w:tcW w:w="0" w:type="auto"/>
            <w:gridSpan w:val="3"/>
            <w:vAlign w:val="center"/>
            <w:hideMark/>
          </w:tcPr>
          <w:p w14:paraId="168D0FBE" w14:textId="77777777" w:rsidR="00000000" w:rsidRDefault="00405D16">
            <w:pPr>
              <w:spacing w:after="100"/>
              <w:rPr>
                <w:rFonts w:eastAsia="Times New Roman"/>
                <w:sz w:val="20"/>
                <w:szCs w:val="20"/>
              </w:rPr>
            </w:pPr>
          </w:p>
        </w:tc>
        <w:tc>
          <w:tcPr>
            <w:tcW w:w="0" w:type="auto"/>
            <w:gridSpan w:val="3"/>
            <w:vAlign w:val="center"/>
            <w:hideMark/>
          </w:tcPr>
          <w:p w14:paraId="3CA1A472" w14:textId="77777777" w:rsidR="00000000" w:rsidRDefault="00405D16">
            <w:pPr>
              <w:spacing w:after="100"/>
              <w:rPr>
                <w:rFonts w:eastAsia="Times New Roman"/>
                <w:sz w:val="20"/>
                <w:szCs w:val="20"/>
              </w:rPr>
            </w:pPr>
          </w:p>
        </w:tc>
        <w:tc>
          <w:tcPr>
            <w:tcW w:w="0" w:type="auto"/>
            <w:gridSpan w:val="3"/>
            <w:vAlign w:val="center"/>
            <w:hideMark/>
          </w:tcPr>
          <w:p w14:paraId="202E7AA3" w14:textId="77777777" w:rsidR="00000000" w:rsidRDefault="00405D16">
            <w:pPr>
              <w:spacing w:after="100"/>
              <w:rPr>
                <w:rFonts w:eastAsia="Times New Roman"/>
                <w:sz w:val="20"/>
                <w:szCs w:val="20"/>
              </w:rPr>
            </w:pPr>
          </w:p>
        </w:tc>
        <w:tc>
          <w:tcPr>
            <w:tcW w:w="0" w:type="auto"/>
            <w:gridSpan w:val="3"/>
            <w:vAlign w:val="center"/>
            <w:hideMark/>
          </w:tcPr>
          <w:p w14:paraId="32239529" w14:textId="77777777" w:rsidR="00000000" w:rsidRDefault="00405D16">
            <w:pPr>
              <w:spacing w:after="100"/>
              <w:rPr>
                <w:rFonts w:eastAsia="Times New Roman"/>
                <w:sz w:val="20"/>
                <w:szCs w:val="20"/>
              </w:rPr>
            </w:pPr>
          </w:p>
        </w:tc>
        <w:tc>
          <w:tcPr>
            <w:tcW w:w="0" w:type="auto"/>
            <w:gridSpan w:val="3"/>
            <w:vAlign w:val="center"/>
            <w:hideMark/>
          </w:tcPr>
          <w:p w14:paraId="1A1E067C" w14:textId="77777777" w:rsidR="00000000" w:rsidRDefault="00405D16">
            <w:pPr>
              <w:spacing w:after="100"/>
              <w:rPr>
                <w:rFonts w:eastAsia="Times New Roman"/>
                <w:sz w:val="20"/>
                <w:szCs w:val="20"/>
              </w:rPr>
            </w:pPr>
          </w:p>
        </w:tc>
        <w:tc>
          <w:tcPr>
            <w:tcW w:w="0" w:type="auto"/>
            <w:gridSpan w:val="3"/>
            <w:vAlign w:val="center"/>
            <w:hideMark/>
          </w:tcPr>
          <w:p w14:paraId="0CEB8C8E" w14:textId="77777777" w:rsidR="00000000" w:rsidRDefault="00405D16">
            <w:pPr>
              <w:spacing w:after="100"/>
              <w:rPr>
                <w:rFonts w:eastAsia="Times New Roman"/>
                <w:sz w:val="20"/>
                <w:szCs w:val="20"/>
              </w:rPr>
            </w:pPr>
          </w:p>
        </w:tc>
        <w:tc>
          <w:tcPr>
            <w:tcW w:w="0" w:type="auto"/>
            <w:gridSpan w:val="3"/>
            <w:vAlign w:val="center"/>
            <w:hideMark/>
          </w:tcPr>
          <w:p w14:paraId="437BDE54" w14:textId="77777777" w:rsidR="00000000" w:rsidRDefault="00405D16">
            <w:pPr>
              <w:spacing w:after="100"/>
              <w:rPr>
                <w:rFonts w:eastAsia="Times New Roman"/>
                <w:sz w:val="20"/>
                <w:szCs w:val="20"/>
              </w:rPr>
            </w:pPr>
          </w:p>
        </w:tc>
        <w:tc>
          <w:tcPr>
            <w:tcW w:w="0" w:type="auto"/>
            <w:gridSpan w:val="3"/>
            <w:vAlign w:val="center"/>
            <w:hideMark/>
          </w:tcPr>
          <w:p w14:paraId="020D25F2" w14:textId="77777777" w:rsidR="00000000" w:rsidRDefault="00405D16">
            <w:pPr>
              <w:spacing w:after="100"/>
              <w:rPr>
                <w:rFonts w:eastAsia="Times New Roman"/>
                <w:sz w:val="20"/>
                <w:szCs w:val="20"/>
              </w:rPr>
            </w:pPr>
          </w:p>
        </w:tc>
        <w:tc>
          <w:tcPr>
            <w:tcW w:w="0" w:type="auto"/>
            <w:gridSpan w:val="3"/>
            <w:vAlign w:val="center"/>
            <w:hideMark/>
          </w:tcPr>
          <w:p w14:paraId="4D7557D5" w14:textId="77777777" w:rsidR="00000000" w:rsidRDefault="00405D16">
            <w:pPr>
              <w:spacing w:after="100"/>
              <w:rPr>
                <w:rFonts w:eastAsia="Times New Roman"/>
                <w:sz w:val="20"/>
                <w:szCs w:val="20"/>
              </w:rPr>
            </w:pPr>
          </w:p>
        </w:tc>
        <w:tc>
          <w:tcPr>
            <w:tcW w:w="0" w:type="auto"/>
            <w:gridSpan w:val="3"/>
            <w:vAlign w:val="center"/>
            <w:hideMark/>
          </w:tcPr>
          <w:p w14:paraId="29B75296" w14:textId="77777777" w:rsidR="00000000" w:rsidRDefault="00405D16">
            <w:pPr>
              <w:spacing w:after="100"/>
              <w:rPr>
                <w:rFonts w:eastAsia="Times New Roman"/>
                <w:sz w:val="20"/>
                <w:szCs w:val="20"/>
              </w:rPr>
            </w:pPr>
          </w:p>
        </w:tc>
        <w:tc>
          <w:tcPr>
            <w:tcW w:w="0" w:type="auto"/>
            <w:gridSpan w:val="3"/>
            <w:vAlign w:val="center"/>
            <w:hideMark/>
          </w:tcPr>
          <w:p w14:paraId="78E8048D" w14:textId="77777777" w:rsidR="00000000" w:rsidRDefault="00405D16">
            <w:pPr>
              <w:spacing w:after="100"/>
              <w:rPr>
                <w:rFonts w:eastAsia="Times New Roman"/>
                <w:sz w:val="20"/>
                <w:szCs w:val="20"/>
              </w:rPr>
            </w:pPr>
          </w:p>
        </w:tc>
        <w:tc>
          <w:tcPr>
            <w:tcW w:w="0" w:type="auto"/>
            <w:gridSpan w:val="3"/>
            <w:vAlign w:val="center"/>
            <w:hideMark/>
          </w:tcPr>
          <w:p w14:paraId="7803A109" w14:textId="77777777" w:rsidR="00000000" w:rsidRDefault="00405D16">
            <w:pPr>
              <w:spacing w:after="100"/>
              <w:rPr>
                <w:rFonts w:eastAsia="Times New Roman"/>
                <w:sz w:val="20"/>
                <w:szCs w:val="20"/>
              </w:rPr>
            </w:pPr>
          </w:p>
        </w:tc>
        <w:tc>
          <w:tcPr>
            <w:tcW w:w="0" w:type="auto"/>
            <w:gridSpan w:val="3"/>
            <w:vAlign w:val="center"/>
            <w:hideMark/>
          </w:tcPr>
          <w:p w14:paraId="3E45D460" w14:textId="77777777" w:rsidR="00000000" w:rsidRDefault="00405D16">
            <w:pPr>
              <w:spacing w:after="100"/>
              <w:rPr>
                <w:rFonts w:eastAsia="Times New Roman"/>
                <w:sz w:val="20"/>
                <w:szCs w:val="20"/>
              </w:rPr>
            </w:pPr>
          </w:p>
        </w:tc>
      </w:tr>
      <w:tr w:rsidR="00000000" w14:paraId="3A984B38" w14:textId="77777777">
        <w:trPr>
          <w:divId w:val="513231771"/>
        </w:trPr>
        <w:tc>
          <w:tcPr>
            <w:tcW w:w="0" w:type="auto"/>
            <w:gridSpan w:val="3"/>
            <w:vAlign w:val="center"/>
            <w:hideMark/>
          </w:tcPr>
          <w:p w14:paraId="1B9791D0" w14:textId="77777777" w:rsidR="00000000" w:rsidRDefault="00405D16">
            <w:pPr>
              <w:spacing w:after="100"/>
              <w:rPr>
                <w:rFonts w:eastAsia="Times New Roman"/>
                <w:sz w:val="20"/>
                <w:szCs w:val="20"/>
              </w:rPr>
            </w:pPr>
          </w:p>
        </w:tc>
        <w:tc>
          <w:tcPr>
            <w:tcW w:w="0" w:type="auto"/>
            <w:gridSpan w:val="3"/>
            <w:vAlign w:val="center"/>
            <w:hideMark/>
          </w:tcPr>
          <w:p w14:paraId="20C1982E" w14:textId="77777777" w:rsidR="00000000" w:rsidRDefault="00405D16">
            <w:pPr>
              <w:spacing w:after="100"/>
              <w:rPr>
                <w:rFonts w:eastAsia="Times New Roman"/>
                <w:sz w:val="20"/>
                <w:szCs w:val="20"/>
              </w:rPr>
            </w:pPr>
          </w:p>
        </w:tc>
        <w:tc>
          <w:tcPr>
            <w:tcW w:w="0" w:type="auto"/>
            <w:gridSpan w:val="3"/>
            <w:vAlign w:val="center"/>
            <w:hideMark/>
          </w:tcPr>
          <w:p w14:paraId="3DF7D85B" w14:textId="77777777" w:rsidR="00000000" w:rsidRDefault="00405D16">
            <w:pPr>
              <w:spacing w:after="100"/>
              <w:rPr>
                <w:rFonts w:eastAsia="Times New Roman"/>
                <w:sz w:val="20"/>
                <w:szCs w:val="20"/>
              </w:rPr>
            </w:pPr>
          </w:p>
        </w:tc>
        <w:tc>
          <w:tcPr>
            <w:tcW w:w="0" w:type="auto"/>
            <w:gridSpan w:val="3"/>
            <w:vAlign w:val="center"/>
            <w:hideMark/>
          </w:tcPr>
          <w:p w14:paraId="6833E503" w14:textId="77777777" w:rsidR="00000000" w:rsidRDefault="00405D16">
            <w:pPr>
              <w:spacing w:after="100"/>
              <w:rPr>
                <w:rFonts w:eastAsia="Times New Roman"/>
                <w:sz w:val="20"/>
                <w:szCs w:val="20"/>
              </w:rPr>
            </w:pPr>
          </w:p>
        </w:tc>
        <w:tc>
          <w:tcPr>
            <w:tcW w:w="0" w:type="auto"/>
            <w:gridSpan w:val="3"/>
            <w:vAlign w:val="center"/>
            <w:hideMark/>
          </w:tcPr>
          <w:p w14:paraId="29E588A5" w14:textId="77777777" w:rsidR="00000000" w:rsidRDefault="00405D16">
            <w:pPr>
              <w:spacing w:after="100"/>
              <w:rPr>
                <w:rFonts w:eastAsia="Times New Roman"/>
                <w:sz w:val="20"/>
                <w:szCs w:val="20"/>
              </w:rPr>
            </w:pPr>
          </w:p>
        </w:tc>
        <w:tc>
          <w:tcPr>
            <w:tcW w:w="0" w:type="auto"/>
            <w:gridSpan w:val="3"/>
            <w:vAlign w:val="center"/>
            <w:hideMark/>
          </w:tcPr>
          <w:p w14:paraId="65B7F2A3" w14:textId="77777777" w:rsidR="00000000" w:rsidRDefault="00405D16">
            <w:pPr>
              <w:spacing w:after="100"/>
              <w:rPr>
                <w:rFonts w:eastAsia="Times New Roman"/>
                <w:sz w:val="20"/>
                <w:szCs w:val="20"/>
              </w:rPr>
            </w:pPr>
          </w:p>
        </w:tc>
        <w:tc>
          <w:tcPr>
            <w:tcW w:w="0" w:type="auto"/>
            <w:gridSpan w:val="3"/>
            <w:vAlign w:val="center"/>
            <w:hideMark/>
          </w:tcPr>
          <w:p w14:paraId="5CE4491B" w14:textId="77777777" w:rsidR="00000000" w:rsidRDefault="00405D16">
            <w:pPr>
              <w:spacing w:after="100"/>
              <w:rPr>
                <w:rFonts w:eastAsia="Times New Roman"/>
                <w:sz w:val="20"/>
                <w:szCs w:val="20"/>
              </w:rPr>
            </w:pPr>
          </w:p>
        </w:tc>
        <w:tc>
          <w:tcPr>
            <w:tcW w:w="0" w:type="auto"/>
            <w:gridSpan w:val="3"/>
            <w:vAlign w:val="center"/>
            <w:hideMark/>
          </w:tcPr>
          <w:p w14:paraId="3CD56E3F" w14:textId="77777777" w:rsidR="00000000" w:rsidRDefault="00405D16">
            <w:pPr>
              <w:spacing w:after="100"/>
              <w:rPr>
                <w:rFonts w:eastAsia="Times New Roman"/>
                <w:sz w:val="20"/>
                <w:szCs w:val="20"/>
              </w:rPr>
            </w:pPr>
          </w:p>
        </w:tc>
        <w:tc>
          <w:tcPr>
            <w:tcW w:w="0" w:type="auto"/>
            <w:gridSpan w:val="3"/>
            <w:vAlign w:val="center"/>
            <w:hideMark/>
          </w:tcPr>
          <w:p w14:paraId="62F32DC4" w14:textId="77777777" w:rsidR="00000000" w:rsidRDefault="00405D16">
            <w:pPr>
              <w:spacing w:after="100"/>
              <w:rPr>
                <w:rFonts w:eastAsia="Times New Roman"/>
                <w:sz w:val="20"/>
                <w:szCs w:val="20"/>
              </w:rPr>
            </w:pPr>
          </w:p>
        </w:tc>
        <w:tc>
          <w:tcPr>
            <w:tcW w:w="0" w:type="auto"/>
            <w:gridSpan w:val="3"/>
            <w:vAlign w:val="center"/>
            <w:hideMark/>
          </w:tcPr>
          <w:p w14:paraId="262FB1F7" w14:textId="77777777" w:rsidR="00000000" w:rsidRDefault="00405D16">
            <w:pPr>
              <w:spacing w:after="100"/>
              <w:rPr>
                <w:rFonts w:eastAsia="Times New Roman"/>
                <w:sz w:val="20"/>
                <w:szCs w:val="20"/>
              </w:rPr>
            </w:pPr>
          </w:p>
        </w:tc>
        <w:tc>
          <w:tcPr>
            <w:tcW w:w="0" w:type="auto"/>
            <w:gridSpan w:val="3"/>
            <w:vAlign w:val="center"/>
            <w:hideMark/>
          </w:tcPr>
          <w:p w14:paraId="0ECB0A94" w14:textId="77777777" w:rsidR="00000000" w:rsidRDefault="00405D16">
            <w:pPr>
              <w:spacing w:after="100"/>
              <w:rPr>
                <w:rFonts w:eastAsia="Times New Roman"/>
                <w:sz w:val="20"/>
                <w:szCs w:val="20"/>
              </w:rPr>
            </w:pPr>
          </w:p>
        </w:tc>
        <w:tc>
          <w:tcPr>
            <w:tcW w:w="0" w:type="auto"/>
            <w:gridSpan w:val="3"/>
            <w:vAlign w:val="center"/>
            <w:hideMark/>
          </w:tcPr>
          <w:p w14:paraId="1E618BEF" w14:textId="77777777" w:rsidR="00000000" w:rsidRDefault="00405D16">
            <w:pPr>
              <w:spacing w:after="100"/>
              <w:rPr>
                <w:rFonts w:eastAsia="Times New Roman"/>
                <w:sz w:val="20"/>
                <w:szCs w:val="20"/>
              </w:rPr>
            </w:pPr>
          </w:p>
        </w:tc>
        <w:tc>
          <w:tcPr>
            <w:tcW w:w="0" w:type="auto"/>
            <w:gridSpan w:val="3"/>
            <w:vAlign w:val="center"/>
            <w:hideMark/>
          </w:tcPr>
          <w:p w14:paraId="1F422432" w14:textId="77777777" w:rsidR="00000000" w:rsidRDefault="00405D16">
            <w:pPr>
              <w:spacing w:after="100"/>
              <w:rPr>
                <w:rFonts w:eastAsia="Times New Roman"/>
                <w:sz w:val="20"/>
                <w:szCs w:val="20"/>
              </w:rPr>
            </w:pPr>
          </w:p>
        </w:tc>
        <w:tc>
          <w:tcPr>
            <w:tcW w:w="0" w:type="auto"/>
            <w:gridSpan w:val="3"/>
            <w:vAlign w:val="center"/>
            <w:hideMark/>
          </w:tcPr>
          <w:p w14:paraId="477359DF" w14:textId="77777777" w:rsidR="00000000" w:rsidRDefault="00405D16">
            <w:pPr>
              <w:spacing w:after="100"/>
              <w:rPr>
                <w:rFonts w:eastAsia="Times New Roman"/>
                <w:sz w:val="20"/>
                <w:szCs w:val="20"/>
              </w:rPr>
            </w:pPr>
          </w:p>
        </w:tc>
        <w:tc>
          <w:tcPr>
            <w:tcW w:w="0" w:type="auto"/>
            <w:gridSpan w:val="3"/>
            <w:vAlign w:val="center"/>
            <w:hideMark/>
          </w:tcPr>
          <w:p w14:paraId="2F4B9355" w14:textId="77777777" w:rsidR="00000000" w:rsidRDefault="00405D16">
            <w:pPr>
              <w:spacing w:after="100"/>
              <w:rPr>
                <w:rFonts w:eastAsia="Times New Roman"/>
                <w:sz w:val="20"/>
                <w:szCs w:val="20"/>
              </w:rPr>
            </w:pPr>
          </w:p>
        </w:tc>
        <w:tc>
          <w:tcPr>
            <w:tcW w:w="0" w:type="auto"/>
            <w:gridSpan w:val="3"/>
            <w:vAlign w:val="center"/>
            <w:hideMark/>
          </w:tcPr>
          <w:p w14:paraId="015FFD1F" w14:textId="77777777" w:rsidR="00000000" w:rsidRDefault="00405D16">
            <w:pPr>
              <w:spacing w:after="100"/>
              <w:rPr>
                <w:rFonts w:eastAsia="Times New Roman"/>
                <w:sz w:val="20"/>
                <w:szCs w:val="20"/>
              </w:rPr>
            </w:pPr>
          </w:p>
        </w:tc>
        <w:tc>
          <w:tcPr>
            <w:tcW w:w="0" w:type="auto"/>
            <w:gridSpan w:val="3"/>
            <w:vAlign w:val="center"/>
            <w:hideMark/>
          </w:tcPr>
          <w:p w14:paraId="5A7E4E8D" w14:textId="77777777" w:rsidR="00000000" w:rsidRDefault="00405D16">
            <w:pPr>
              <w:spacing w:after="100"/>
              <w:rPr>
                <w:rFonts w:eastAsia="Times New Roman"/>
                <w:sz w:val="20"/>
                <w:szCs w:val="20"/>
              </w:rPr>
            </w:pPr>
          </w:p>
        </w:tc>
      </w:tr>
      <w:tr w:rsidR="00000000" w14:paraId="0E3CE1E7" w14:textId="77777777">
        <w:trPr>
          <w:divId w:val="513231771"/>
        </w:trPr>
        <w:tc>
          <w:tcPr>
            <w:tcW w:w="0" w:type="auto"/>
            <w:gridSpan w:val="3"/>
            <w:vAlign w:val="center"/>
            <w:hideMark/>
          </w:tcPr>
          <w:p w14:paraId="7F8A7A08" w14:textId="77777777" w:rsidR="00000000" w:rsidRDefault="00405D16">
            <w:pPr>
              <w:spacing w:after="100"/>
              <w:rPr>
                <w:rFonts w:eastAsia="Times New Roman"/>
                <w:sz w:val="20"/>
                <w:szCs w:val="20"/>
              </w:rPr>
            </w:pPr>
          </w:p>
        </w:tc>
        <w:tc>
          <w:tcPr>
            <w:tcW w:w="0" w:type="auto"/>
            <w:gridSpan w:val="3"/>
            <w:vAlign w:val="center"/>
            <w:hideMark/>
          </w:tcPr>
          <w:p w14:paraId="7E788B2D" w14:textId="77777777" w:rsidR="00000000" w:rsidRDefault="00405D16">
            <w:pPr>
              <w:spacing w:after="100"/>
              <w:rPr>
                <w:rFonts w:eastAsia="Times New Roman"/>
                <w:sz w:val="20"/>
                <w:szCs w:val="20"/>
              </w:rPr>
            </w:pPr>
          </w:p>
        </w:tc>
        <w:tc>
          <w:tcPr>
            <w:tcW w:w="0" w:type="auto"/>
            <w:gridSpan w:val="3"/>
            <w:vAlign w:val="center"/>
            <w:hideMark/>
          </w:tcPr>
          <w:p w14:paraId="71802A5E" w14:textId="77777777" w:rsidR="00000000" w:rsidRDefault="00405D16">
            <w:pPr>
              <w:spacing w:after="100"/>
              <w:rPr>
                <w:rFonts w:eastAsia="Times New Roman"/>
                <w:sz w:val="20"/>
                <w:szCs w:val="20"/>
              </w:rPr>
            </w:pPr>
          </w:p>
        </w:tc>
        <w:tc>
          <w:tcPr>
            <w:tcW w:w="0" w:type="auto"/>
            <w:gridSpan w:val="3"/>
            <w:vAlign w:val="center"/>
            <w:hideMark/>
          </w:tcPr>
          <w:p w14:paraId="5CE63D13" w14:textId="77777777" w:rsidR="00000000" w:rsidRDefault="00405D16">
            <w:pPr>
              <w:spacing w:after="100"/>
              <w:rPr>
                <w:rFonts w:eastAsia="Times New Roman"/>
                <w:sz w:val="20"/>
                <w:szCs w:val="20"/>
              </w:rPr>
            </w:pPr>
          </w:p>
        </w:tc>
        <w:tc>
          <w:tcPr>
            <w:tcW w:w="0" w:type="auto"/>
            <w:gridSpan w:val="3"/>
            <w:vAlign w:val="center"/>
            <w:hideMark/>
          </w:tcPr>
          <w:p w14:paraId="07C1F585" w14:textId="77777777" w:rsidR="00000000" w:rsidRDefault="00405D16">
            <w:pPr>
              <w:spacing w:after="100"/>
              <w:rPr>
                <w:rFonts w:eastAsia="Times New Roman"/>
                <w:sz w:val="20"/>
                <w:szCs w:val="20"/>
              </w:rPr>
            </w:pPr>
          </w:p>
        </w:tc>
        <w:tc>
          <w:tcPr>
            <w:tcW w:w="0" w:type="auto"/>
            <w:gridSpan w:val="3"/>
            <w:vAlign w:val="center"/>
            <w:hideMark/>
          </w:tcPr>
          <w:p w14:paraId="36F4AD35" w14:textId="77777777" w:rsidR="00000000" w:rsidRDefault="00405D16">
            <w:pPr>
              <w:spacing w:after="100"/>
              <w:rPr>
                <w:rFonts w:eastAsia="Times New Roman"/>
                <w:sz w:val="20"/>
                <w:szCs w:val="20"/>
              </w:rPr>
            </w:pPr>
          </w:p>
        </w:tc>
        <w:tc>
          <w:tcPr>
            <w:tcW w:w="0" w:type="auto"/>
            <w:gridSpan w:val="3"/>
            <w:vAlign w:val="center"/>
            <w:hideMark/>
          </w:tcPr>
          <w:p w14:paraId="63A5A571" w14:textId="77777777" w:rsidR="00000000" w:rsidRDefault="00405D16">
            <w:pPr>
              <w:spacing w:after="100"/>
              <w:rPr>
                <w:rFonts w:eastAsia="Times New Roman"/>
                <w:sz w:val="20"/>
                <w:szCs w:val="20"/>
              </w:rPr>
            </w:pPr>
          </w:p>
        </w:tc>
        <w:tc>
          <w:tcPr>
            <w:tcW w:w="0" w:type="auto"/>
            <w:gridSpan w:val="3"/>
            <w:vAlign w:val="center"/>
            <w:hideMark/>
          </w:tcPr>
          <w:p w14:paraId="64C8BC10" w14:textId="77777777" w:rsidR="00000000" w:rsidRDefault="00405D16">
            <w:pPr>
              <w:spacing w:after="100"/>
              <w:rPr>
                <w:rFonts w:eastAsia="Times New Roman"/>
                <w:sz w:val="20"/>
                <w:szCs w:val="20"/>
              </w:rPr>
            </w:pPr>
          </w:p>
        </w:tc>
        <w:tc>
          <w:tcPr>
            <w:tcW w:w="0" w:type="auto"/>
            <w:gridSpan w:val="3"/>
            <w:vAlign w:val="center"/>
            <w:hideMark/>
          </w:tcPr>
          <w:p w14:paraId="03E38DC1" w14:textId="77777777" w:rsidR="00000000" w:rsidRDefault="00405D16">
            <w:pPr>
              <w:spacing w:after="100"/>
              <w:rPr>
                <w:rFonts w:eastAsia="Times New Roman"/>
                <w:sz w:val="20"/>
                <w:szCs w:val="20"/>
              </w:rPr>
            </w:pPr>
          </w:p>
        </w:tc>
        <w:tc>
          <w:tcPr>
            <w:tcW w:w="0" w:type="auto"/>
            <w:gridSpan w:val="3"/>
            <w:vAlign w:val="center"/>
            <w:hideMark/>
          </w:tcPr>
          <w:p w14:paraId="4BC1D3B8" w14:textId="77777777" w:rsidR="00000000" w:rsidRDefault="00405D16">
            <w:pPr>
              <w:spacing w:after="100"/>
              <w:rPr>
                <w:rFonts w:eastAsia="Times New Roman"/>
                <w:sz w:val="20"/>
                <w:szCs w:val="20"/>
              </w:rPr>
            </w:pPr>
          </w:p>
        </w:tc>
        <w:tc>
          <w:tcPr>
            <w:tcW w:w="0" w:type="auto"/>
            <w:gridSpan w:val="3"/>
            <w:vAlign w:val="center"/>
            <w:hideMark/>
          </w:tcPr>
          <w:p w14:paraId="65E412EE" w14:textId="77777777" w:rsidR="00000000" w:rsidRDefault="00405D16">
            <w:pPr>
              <w:spacing w:after="100"/>
              <w:rPr>
                <w:rFonts w:eastAsia="Times New Roman"/>
                <w:sz w:val="20"/>
                <w:szCs w:val="20"/>
              </w:rPr>
            </w:pPr>
          </w:p>
        </w:tc>
        <w:tc>
          <w:tcPr>
            <w:tcW w:w="0" w:type="auto"/>
            <w:gridSpan w:val="3"/>
            <w:vAlign w:val="center"/>
            <w:hideMark/>
          </w:tcPr>
          <w:p w14:paraId="79B73389" w14:textId="77777777" w:rsidR="00000000" w:rsidRDefault="00405D16">
            <w:pPr>
              <w:spacing w:after="100"/>
              <w:rPr>
                <w:rFonts w:eastAsia="Times New Roman"/>
                <w:sz w:val="20"/>
                <w:szCs w:val="20"/>
              </w:rPr>
            </w:pPr>
          </w:p>
        </w:tc>
        <w:tc>
          <w:tcPr>
            <w:tcW w:w="0" w:type="auto"/>
            <w:gridSpan w:val="3"/>
            <w:vAlign w:val="center"/>
            <w:hideMark/>
          </w:tcPr>
          <w:p w14:paraId="04411160" w14:textId="77777777" w:rsidR="00000000" w:rsidRDefault="00405D16">
            <w:pPr>
              <w:spacing w:after="100"/>
              <w:rPr>
                <w:rFonts w:eastAsia="Times New Roman"/>
                <w:sz w:val="20"/>
                <w:szCs w:val="20"/>
              </w:rPr>
            </w:pPr>
          </w:p>
        </w:tc>
        <w:tc>
          <w:tcPr>
            <w:tcW w:w="0" w:type="auto"/>
            <w:gridSpan w:val="3"/>
            <w:vAlign w:val="center"/>
            <w:hideMark/>
          </w:tcPr>
          <w:p w14:paraId="4F443411" w14:textId="77777777" w:rsidR="00000000" w:rsidRDefault="00405D16">
            <w:pPr>
              <w:spacing w:after="100"/>
              <w:rPr>
                <w:rFonts w:eastAsia="Times New Roman"/>
                <w:sz w:val="20"/>
                <w:szCs w:val="20"/>
              </w:rPr>
            </w:pPr>
          </w:p>
        </w:tc>
        <w:tc>
          <w:tcPr>
            <w:tcW w:w="0" w:type="auto"/>
            <w:gridSpan w:val="3"/>
            <w:vAlign w:val="center"/>
            <w:hideMark/>
          </w:tcPr>
          <w:p w14:paraId="068E3FC1" w14:textId="77777777" w:rsidR="00000000" w:rsidRDefault="00405D16">
            <w:pPr>
              <w:spacing w:after="100"/>
              <w:rPr>
                <w:rFonts w:eastAsia="Times New Roman"/>
                <w:sz w:val="20"/>
                <w:szCs w:val="20"/>
              </w:rPr>
            </w:pPr>
          </w:p>
        </w:tc>
        <w:tc>
          <w:tcPr>
            <w:tcW w:w="0" w:type="auto"/>
            <w:gridSpan w:val="3"/>
            <w:vAlign w:val="center"/>
            <w:hideMark/>
          </w:tcPr>
          <w:p w14:paraId="1A307ED8" w14:textId="77777777" w:rsidR="00000000" w:rsidRDefault="00405D16">
            <w:pPr>
              <w:spacing w:after="100"/>
              <w:rPr>
                <w:rFonts w:eastAsia="Times New Roman"/>
                <w:sz w:val="20"/>
                <w:szCs w:val="20"/>
              </w:rPr>
            </w:pPr>
          </w:p>
        </w:tc>
        <w:tc>
          <w:tcPr>
            <w:tcW w:w="0" w:type="auto"/>
            <w:gridSpan w:val="3"/>
            <w:vAlign w:val="center"/>
            <w:hideMark/>
          </w:tcPr>
          <w:p w14:paraId="517EF2FE" w14:textId="77777777" w:rsidR="00000000" w:rsidRDefault="00405D16">
            <w:pPr>
              <w:spacing w:after="100"/>
              <w:rPr>
                <w:rFonts w:eastAsia="Times New Roman"/>
                <w:sz w:val="20"/>
                <w:szCs w:val="20"/>
              </w:rPr>
            </w:pPr>
          </w:p>
        </w:tc>
      </w:tr>
      <w:tr w:rsidR="00000000" w14:paraId="6A06912A" w14:textId="77777777">
        <w:trPr>
          <w:divId w:val="513231771"/>
        </w:trPr>
        <w:tc>
          <w:tcPr>
            <w:tcW w:w="0" w:type="auto"/>
            <w:gridSpan w:val="3"/>
            <w:vAlign w:val="center"/>
            <w:hideMark/>
          </w:tcPr>
          <w:p w14:paraId="50B31669" w14:textId="77777777" w:rsidR="00000000" w:rsidRDefault="00405D16">
            <w:pPr>
              <w:spacing w:after="100"/>
              <w:rPr>
                <w:rFonts w:eastAsia="Times New Roman"/>
                <w:sz w:val="20"/>
                <w:szCs w:val="20"/>
              </w:rPr>
            </w:pPr>
          </w:p>
        </w:tc>
        <w:tc>
          <w:tcPr>
            <w:tcW w:w="0" w:type="auto"/>
            <w:gridSpan w:val="3"/>
            <w:vAlign w:val="center"/>
            <w:hideMark/>
          </w:tcPr>
          <w:p w14:paraId="016F9C88" w14:textId="77777777" w:rsidR="00000000" w:rsidRDefault="00405D16">
            <w:pPr>
              <w:spacing w:after="100"/>
              <w:rPr>
                <w:rFonts w:eastAsia="Times New Roman"/>
                <w:sz w:val="20"/>
                <w:szCs w:val="20"/>
              </w:rPr>
            </w:pPr>
          </w:p>
        </w:tc>
        <w:tc>
          <w:tcPr>
            <w:tcW w:w="0" w:type="auto"/>
            <w:gridSpan w:val="3"/>
            <w:vAlign w:val="center"/>
            <w:hideMark/>
          </w:tcPr>
          <w:p w14:paraId="31D4AD7A" w14:textId="77777777" w:rsidR="00000000" w:rsidRDefault="00405D16">
            <w:pPr>
              <w:spacing w:after="100"/>
              <w:rPr>
                <w:rFonts w:eastAsia="Times New Roman"/>
                <w:sz w:val="20"/>
                <w:szCs w:val="20"/>
              </w:rPr>
            </w:pPr>
          </w:p>
        </w:tc>
        <w:tc>
          <w:tcPr>
            <w:tcW w:w="0" w:type="auto"/>
            <w:gridSpan w:val="3"/>
            <w:vAlign w:val="center"/>
            <w:hideMark/>
          </w:tcPr>
          <w:p w14:paraId="470FF145" w14:textId="77777777" w:rsidR="00000000" w:rsidRDefault="00405D16">
            <w:pPr>
              <w:spacing w:after="100"/>
              <w:rPr>
                <w:rFonts w:eastAsia="Times New Roman"/>
                <w:sz w:val="20"/>
                <w:szCs w:val="20"/>
              </w:rPr>
            </w:pPr>
          </w:p>
        </w:tc>
        <w:tc>
          <w:tcPr>
            <w:tcW w:w="0" w:type="auto"/>
            <w:gridSpan w:val="3"/>
            <w:vAlign w:val="center"/>
            <w:hideMark/>
          </w:tcPr>
          <w:p w14:paraId="49A7C223" w14:textId="77777777" w:rsidR="00000000" w:rsidRDefault="00405D16">
            <w:pPr>
              <w:spacing w:after="100"/>
              <w:rPr>
                <w:rFonts w:eastAsia="Times New Roman"/>
                <w:sz w:val="20"/>
                <w:szCs w:val="20"/>
              </w:rPr>
            </w:pPr>
          </w:p>
        </w:tc>
        <w:tc>
          <w:tcPr>
            <w:tcW w:w="0" w:type="auto"/>
            <w:gridSpan w:val="3"/>
            <w:vAlign w:val="center"/>
            <w:hideMark/>
          </w:tcPr>
          <w:p w14:paraId="43CFA79C" w14:textId="77777777" w:rsidR="00000000" w:rsidRDefault="00405D16">
            <w:pPr>
              <w:spacing w:after="100"/>
              <w:rPr>
                <w:rFonts w:eastAsia="Times New Roman"/>
                <w:sz w:val="20"/>
                <w:szCs w:val="20"/>
              </w:rPr>
            </w:pPr>
          </w:p>
        </w:tc>
        <w:tc>
          <w:tcPr>
            <w:tcW w:w="0" w:type="auto"/>
            <w:gridSpan w:val="3"/>
            <w:vAlign w:val="center"/>
            <w:hideMark/>
          </w:tcPr>
          <w:p w14:paraId="105DDEEC" w14:textId="77777777" w:rsidR="00000000" w:rsidRDefault="00405D16">
            <w:pPr>
              <w:spacing w:after="100"/>
              <w:rPr>
                <w:rFonts w:eastAsia="Times New Roman"/>
                <w:sz w:val="20"/>
                <w:szCs w:val="20"/>
              </w:rPr>
            </w:pPr>
          </w:p>
        </w:tc>
        <w:tc>
          <w:tcPr>
            <w:tcW w:w="0" w:type="auto"/>
            <w:gridSpan w:val="3"/>
            <w:vAlign w:val="center"/>
            <w:hideMark/>
          </w:tcPr>
          <w:p w14:paraId="7C3DAFA4" w14:textId="77777777" w:rsidR="00000000" w:rsidRDefault="00405D16">
            <w:pPr>
              <w:spacing w:after="100"/>
              <w:rPr>
                <w:rFonts w:eastAsia="Times New Roman"/>
                <w:sz w:val="20"/>
                <w:szCs w:val="20"/>
              </w:rPr>
            </w:pPr>
          </w:p>
        </w:tc>
        <w:tc>
          <w:tcPr>
            <w:tcW w:w="0" w:type="auto"/>
            <w:gridSpan w:val="3"/>
            <w:vAlign w:val="center"/>
            <w:hideMark/>
          </w:tcPr>
          <w:p w14:paraId="65881159" w14:textId="77777777" w:rsidR="00000000" w:rsidRDefault="00405D16">
            <w:pPr>
              <w:spacing w:after="100"/>
              <w:rPr>
                <w:rFonts w:eastAsia="Times New Roman"/>
                <w:sz w:val="20"/>
                <w:szCs w:val="20"/>
              </w:rPr>
            </w:pPr>
          </w:p>
        </w:tc>
        <w:tc>
          <w:tcPr>
            <w:tcW w:w="0" w:type="auto"/>
            <w:gridSpan w:val="3"/>
            <w:vAlign w:val="center"/>
            <w:hideMark/>
          </w:tcPr>
          <w:p w14:paraId="300E7D64" w14:textId="77777777" w:rsidR="00000000" w:rsidRDefault="00405D16">
            <w:pPr>
              <w:spacing w:after="100"/>
              <w:rPr>
                <w:rFonts w:eastAsia="Times New Roman"/>
                <w:sz w:val="20"/>
                <w:szCs w:val="20"/>
              </w:rPr>
            </w:pPr>
          </w:p>
        </w:tc>
        <w:tc>
          <w:tcPr>
            <w:tcW w:w="0" w:type="auto"/>
            <w:gridSpan w:val="3"/>
            <w:vAlign w:val="center"/>
            <w:hideMark/>
          </w:tcPr>
          <w:p w14:paraId="36ED3B0C" w14:textId="77777777" w:rsidR="00000000" w:rsidRDefault="00405D16">
            <w:pPr>
              <w:spacing w:after="100"/>
              <w:rPr>
                <w:rFonts w:eastAsia="Times New Roman"/>
                <w:sz w:val="20"/>
                <w:szCs w:val="20"/>
              </w:rPr>
            </w:pPr>
          </w:p>
        </w:tc>
        <w:tc>
          <w:tcPr>
            <w:tcW w:w="0" w:type="auto"/>
            <w:gridSpan w:val="3"/>
            <w:vAlign w:val="center"/>
            <w:hideMark/>
          </w:tcPr>
          <w:p w14:paraId="45FF0D68" w14:textId="77777777" w:rsidR="00000000" w:rsidRDefault="00405D16">
            <w:pPr>
              <w:spacing w:after="100"/>
              <w:rPr>
                <w:rFonts w:eastAsia="Times New Roman"/>
                <w:sz w:val="20"/>
                <w:szCs w:val="20"/>
              </w:rPr>
            </w:pPr>
          </w:p>
        </w:tc>
        <w:tc>
          <w:tcPr>
            <w:tcW w:w="0" w:type="auto"/>
            <w:gridSpan w:val="3"/>
            <w:vAlign w:val="center"/>
            <w:hideMark/>
          </w:tcPr>
          <w:p w14:paraId="64B224A6" w14:textId="77777777" w:rsidR="00000000" w:rsidRDefault="00405D16">
            <w:pPr>
              <w:spacing w:after="100"/>
              <w:rPr>
                <w:rFonts w:eastAsia="Times New Roman"/>
                <w:sz w:val="20"/>
                <w:szCs w:val="20"/>
              </w:rPr>
            </w:pPr>
          </w:p>
        </w:tc>
        <w:tc>
          <w:tcPr>
            <w:tcW w:w="0" w:type="auto"/>
            <w:gridSpan w:val="3"/>
            <w:vAlign w:val="center"/>
            <w:hideMark/>
          </w:tcPr>
          <w:p w14:paraId="2134D44A" w14:textId="77777777" w:rsidR="00000000" w:rsidRDefault="00405D16">
            <w:pPr>
              <w:spacing w:after="100"/>
              <w:rPr>
                <w:rFonts w:eastAsia="Times New Roman"/>
                <w:sz w:val="20"/>
                <w:szCs w:val="20"/>
              </w:rPr>
            </w:pPr>
          </w:p>
        </w:tc>
        <w:tc>
          <w:tcPr>
            <w:tcW w:w="0" w:type="auto"/>
            <w:gridSpan w:val="3"/>
            <w:vAlign w:val="center"/>
            <w:hideMark/>
          </w:tcPr>
          <w:p w14:paraId="02C0E883" w14:textId="77777777" w:rsidR="00000000" w:rsidRDefault="00405D16">
            <w:pPr>
              <w:spacing w:after="100"/>
              <w:rPr>
                <w:rFonts w:eastAsia="Times New Roman"/>
                <w:sz w:val="20"/>
                <w:szCs w:val="20"/>
              </w:rPr>
            </w:pPr>
          </w:p>
        </w:tc>
        <w:tc>
          <w:tcPr>
            <w:tcW w:w="0" w:type="auto"/>
            <w:gridSpan w:val="3"/>
            <w:vAlign w:val="center"/>
            <w:hideMark/>
          </w:tcPr>
          <w:p w14:paraId="3DA4A3F6" w14:textId="77777777" w:rsidR="00000000" w:rsidRDefault="00405D16">
            <w:pPr>
              <w:spacing w:after="100"/>
              <w:rPr>
                <w:rFonts w:eastAsia="Times New Roman"/>
                <w:sz w:val="20"/>
                <w:szCs w:val="20"/>
              </w:rPr>
            </w:pPr>
          </w:p>
        </w:tc>
        <w:tc>
          <w:tcPr>
            <w:tcW w:w="0" w:type="auto"/>
            <w:gridSpan w:val="3"/>
            <w:vAlign w:val="center"/>
            <w:hideMark/>
          </w:tcPr>
          <w:p w14:paraId="7032DAF3" w14:textId="77777777" w:rsidR="00000000" w:rsidRDefault="00405D16">
            <w:pPr>
              <w:spacing w:after="100"/>
              <w:rPr>
                <w:rFonts w:eastAsia="Times New Roman"/>
                <w:sz w:val="20"/>
                <w:szCs w:val="20"/>
              </w:rPr>
            </w:pPr>
          </w:p>
        </w:tc>
      </w:tr>
      <w:tr w:rsidR="00000000" w14:paraId="1FD1B535" w14:textId="77777777">
        <w:trPr>
          <w:divId w:val="513231771"/>
        </w:trPr>
        <w:tc>
          <w:tcPr>
            <w:tcW w:w="0" w:type="auto"/>
            <w:gridSpan w:val="3"/>
            <w:vAlign w:val="center"/>
            <w:hideMark/>
          </w:tcPr>
          <w:p w14:paraId="18FBDFE3" w14:textId="77777777" w:rsidR="00000000" w:rsidRDefault="00405D16">
            <w:pPr>
              <w:spacing w:after="100"/>
              <w:rPr>
                <w:rFonts w:eastAsia="Times New Roman"/>
                <w:sz w:val="20"/>
                <w:szCs w:val="20"/>
              </w:rPr>
            </w:pPr>
          </w:p>
        </w:tc>
        <w:tc>
          <w:tcPr>
            <w:tcW w:w="0" w:type="auto"/>
            <w:gridSpan w:val="3"/>
            <w:vAlign w:val="center"/>
            <w:hideMark/>
          </w:tcPr>
          <w:p w14:paraId="11C8C2F6" w14:textId="77777777" w:rsidR="00000000" w:rsidRDefault="00405D16">
            <w:pPr>
              <w:spacing w:after="100"/>
              <w:rPr>
                <w:rFonts w:eastAsia="Times New Roman"/>
                <w:sz w:val="20"/>
                <w:szCs w:val="20"/>
              </w:rPr>
            </w:pPr>
          </w:p>
        </w:tc>
        <w:tc>
          <w:tcPr>
            <w:tcW w:w="0" w:type="auto"/>
            <w:gridSpan w:val="3"/>
            <w:vAlign w:val="center"/>
            <w:hideMark/>
          </w:tcPr>
          <w:p w14:paraId="5DEC1362" w14:textId="77777777" w:rsidR="00000000" w:rsidRDefault="00405D16">
            <w:pPr>
              <w:spacing w:after="100"/>
              <w:rPr>
                <w:rFonts w:eastAsia="Times New Roman"/>
                <w:sz w:val="20"/>
                <w:szCs w:val="20"/>
              </w:rPr>
            </w:pPr>
          </w:p>
        </w:tc>
        <w:tc>
          <w:tcPr>
            <w:tcW w:w="0" w:type="auto"/>
            <w:gridSpan w:val="3"/>
            <w:vAlign w:val="center"/>
            <w:hideMark/>
          </w:tcPr>
          <w:p w14:paraId="44B08366" w14:textId="77777777" w:rsidR="00000000" w:rsidRDefault="00405D16">
            <w:pPr>
              <w:spacing w:after="100"/>
              <w:rPr>
                <w:rFonts w:eastAsia="Times New Roman"/>
                <w:sz w:val="20"/>
                <w:szCs w:val="20"/>
              </w:rPr>
            </w:pPr>
          </w:p>
        </w:tc>
        <w:tc>
          <w:tcPr>
            <w:tcW w:w="0" w:type="auto"/>
            <w:gridSpan w:val="3"/>
            <w:vAlign w:val="center"/>
            <w:hideMark/>
          </w:tcPr>
          <w:p w14:paraId="42ADB001" w14:textId="77777777" w:rsidR="00000000" w:rsidRDefault="00405D16">
            <w:pPr>
              <w:spacing w:after="100"/>
              <w:rPr>
                <w:rFonts w:eastAsia="Times New Roman"/>
                <w:sz w:val="20"/>
                <w:szCs w:val="20"/>
              </w:rPr>
            </w:pPr>
          </w:p>
        </w:tc>
        <w:tc>
          <w:tcPr>
            <w:tcW w:w="0" w:type="auto"/>
            <w:gridSpan w:val="3"/>
            <w:vAlign w:val="center"/>
            <w:hideMark/>
          </w:tcPr>
          <w:p w14:paraId="1C45E8F0" w14:textId="77777777" w:rsidR="00000000" w:rsidRDefault="00405D16">
            <w:pPr>
              <w:spacing w:after="100"/>
              <w:rPr>
                <w:rFonts w:eastAsia="Times New Roman"/>
                <w:sz w:val="20"/>
                <w:szCs w:val="20"/>
              </w:rPr>
            </w:pPr>
          </w:p>
        </w:tc>
        <w:tc>
          <w:tcPr>
            <w:tcW w:w="0" w:type="auto"/>
            <w:gridSpan w:val="3"/>
            <w:vAlign w:val="center"/>
            <w:hideMark/>
          </w:tcPr>
          <w:p w14:paraId="4105F91B" w14:textId="77777777" w:rsidR="00000000" w:rsidRDefault="00405D16">
            <w:pPr>
              <w:spacing w:after="100"/>
              <w:rPr>
                <w:rFonts w:eastAsia="Times New Roman"/>
                <w:sz w:val="20"/>
                <w:szCs w:val="20"/>
              </w:rPr>
            </w:pPr>
          </w:p>
        </w:tc>
        <w:tc>
          <w:tcPr>
            <w:tcW w:w="0" w:type="auto"/>
            <w:gridSpan w:val="3"/>
            <w:vAlign w:val="center"/>
            <w:hideMark/>
          </w:tcPr>
          <w:p w14:paraId="1D326A4F" w14:textId="77777777" w:rsidR="00000000" w:rsidRDefault="00405D16">
            <w:pPr>
              <w:spacing w:after="100"/>
              <w:rPr>
                <w:rFonts w:eastAsia="Times New Roman"/>
                <w:sz w:val="20"/>
                <w:szCs w:val="20"/>
              </w:rPr>
            </w:pPr>
          </w:p>
        </w:tc>
        <w:tc>
          <w:tcPr>
            <w:tcW w:w="0" w:type="auto"/>
            <w:gridSpan w:val="3"/>
            <w:vAlign w:val="center"/>
            <w:hideMark/>
          </w:tcPr>
          <w:p w14:paraId="322528F3" w14:textId="77777777" w:rsidR="00000000" w:rsidRDefault="00405D16">
            <w:pPr>
              <w:spacing w:after="100"/>
              <w:rPr>
                <w:rFonts w:eastAsia="Times New Roman"/>
                <w:sz w:val="20"/>
                <w:szCs w:val="20"/>
              </w:rPr>
            </w:pPr>
          </w:p>
        </w:tc>
        <w:tc>
          <w:tcPr>
            <w:tcW w:w="0" w:type="auto"/>
            <w:gridSpan w:val="3"/>
            <w:vAlign w:val="center"/>
            <w:hideMark/>
          </w:tcPr>
          <w:p w14:paraId="56A0BA5B" w14:textId="77777777" w:rsidR="00000000" w:rsidRDefault="00405D16">
            <w:pPr>
              <w:spacing w:after="100"/>
              <w:rPr>
                <w:rFonts w:eastAsia="Times New Roman"/>
                <w:sz w:val="20"/>
                <w:szCs w:val="20"/>
              </w:rPr>
            </w:pPr>
          </w:p>
        </w:tc>
        <w:tc>
          <w:tcPr>
            <w:tcW w:w="0" w:type="auto"/>
            <w:gridSpan w:val="3"/>
            <w:vAlign w:val="center"/>
            <w:hideMark/>
          </w:tcPr>
          <w:p w14:paraId="6F1A2B38" w14:textId="77777777" w:rsidR="00000000" w:rsidRDefault="00405D16">
            <w:pPr>
              <w:spacing w:after="100"/>
              <w:rPr>
                <w:rFonts w:eastAsia="Times New Roman"/>
                <w:sz w:val="20"/>
                <w:szCs w:val="20"/>
              </w:rPr>
            </w:pPr>
          </w:p>
        </w:tc>
        <w:tc>
          <w:tcPr>
            <w:tcW w:w="0" w:type="auto"/>
            <w:gridSpan w:val="3"/>
            <w:vAlign w:val="center"/>
            <w:hideMark/>
          </w:tcPr>
          <w:p w14:paraId="59F8EE57" w14:textId="77777777" w:rsidR="00000000" w:rsidRDefault="00405D16">
            <w:pPr>
              <w:spacing w:after="100"/>
              <w:rPr>
                <w:rFonts w:eastAsia="Times New Roman"/>
                <w:sz w:val="20"/>
                <w:szCs w:val="20"/>
              </w:rPr>
            </w:pPr>
          </w:p>
        </w:tc>
        <w:tc>
          <w:tcPr>
            <w:tcW w:w="0" w:type="auto"/>
            <w:gridSpan w:val="3"/>
            <w:vAlign w:val="center"/>
            <w:hideMark/>
          </w:tcPr>
          <w:p w14:paraId="3DDC6822" w14:textId="77777777" w:rsidR="00000000" w:rsidRDefault="00405D16">
            <w:pPr>
              <w:spacing w:after="100"/>
              <w:rPr>
                <w:rFonts w:eastAsia="Times New Roman"/>
                <w:sz w:val="20"/>
                <w:szCs w:val="20"/>
              </w:rPr>
            </w:pPr>
          </w:p>
        </w:tc>
        <w:tc>
          <w:tcPr>
            <w:tcW w:w="0" w:type="auto"/>
            <w:gridSpan w:val="3"/>
            <w:vAlign w:val="center"/>
            <w:hideMark/>
          </w:tcPr>
          <w:p w14:paraId="4B93A2BD" w14:textId="77777777" w:rsidR="00000000" w:rsidRDefault="00405D16">
            <w:pPr>
              <w:spacing w:after="100"/>
              <w:rPr>
                <w:rFonts w:eastAsia="Times New Roman"/>
                <w:sz w:val="20"/>
                <w:szCs w:val="20"/>
              </w:rPr>
            </w:pPr>
          </w:p>
        </w:tc>
        <w:tc>
          <w:tcPr>
            <w:tcW w:w="0" w:type="auto"/>
            <w:gridSpan w:val="3"/>
            <w:vAlign w:val="center"/>
            <w:hideMark/>
          </w:tcPr>
          <w:p w14:paraId="79D703F3" w14:textId="77777777" w:rsidR="00000000" w:rsidRDefault="00405D16">
            <w:pPr>
              <w:spacing w:after="100"/>
              <w:rPr>
                <w:rFonts w:eastAsia="Times New Roman"/>
                <w:sz w:val="20"/>
                <w:szCs w:val="20"/>
              </w:rPr>
            </w:pPr>
          </w:p>
        </w:tc>
        <w:tc>
          <w:tcPr>
            <w:tcW w:w="0" w:type="auto"/>
            <w:gridSpan w:val="3"/>
            <w:vAlign w:val="center"/>
            <w:hideMark/>
          </w:tcPr>
          <w:p w14:paraId="48BF7292" w14:textId="77777777" w:rsidR="00000000" w:rsidRDefault="00405D16">
            <w:pPr>
              <w:spacing w:after="100"/>
              <w:rPr>
                <w:rFonts w:eastAsia="Times New Roman"/>
                <w:sz w:val="20"/>
                <w:szCs w:val="20"/>
              </w:rPr>
            </w:pPr>
          </w:p>
        </w:tc>
        <w:tc>
          <w:tcPr>
            <w:tcW w:w="0" w:type="auto"/>
            <w:gridSpan w:val="3"/>
            <w:vAlign w:val="center"/>
            <w:hideMark/>
          </w:tcPr>
          <w:p w14:paraId="739B1717" w14:textId="77777777" w:rsidR="00000000" w:rsidRDefault="00405D16">
            <w:pPr>
              <w:spacing w:after="100"/>
              <w:rPr>
                <w:rFonts w:eastAsia="Times New Roman"/>
                <w:sz w:val="20"/>
                <w:szCs w:val="20"/>
              </w:rPr>
            </w:pPr>
          </w:p>
        </w:tc>
      </w:tr>
      <w:tr w:rsidR="00000000" w14:paraId="5103710D" w14:textId="77777777">
        <w:trPr>
          <w:divId w:val="513231771"/>
        </w:trPr>
        <w:tc>
          <w:tcPr>
            <w:tcW w:w="0" w:type="auto"/>
            <w:gridSpan w:val="3"/>
            <w:vAlign w:val="center"/>
            <w:hideMark/>
          </w:tcPr>
          <w:p w14:paraId="4B2182CD" w14:textId="77777777" w:rsidR="00000000" w:rsidRDefault="00405D16">
            <w:pPr>
              <w:spacing w:after="100"/>
              <w:rPr>
                <w:rFonts w:eastAsia="Times New Roman"/>
                <w:sz w:val="20"/>
                <w:szCs w:val="20"/>
              </w:rPr>
            </w:pPr>
          </w:p>
        </w:tc>
        <w:tc>
          <w:tcPr>
            <w:tcW w:w="0" w:type="auto"/>
            <w:gridSpan w:val="3"/>
            <w:vAlign w:val="center"/>
            <w:hideMark/>
          </w:tcPr>
          <w:p w14:paraId="5FA3D66D" w14:textId="77777777" w:rsidR="00000000" w:rsidRDefault="00405D16">
            <w:pPr>
              <w:spacing w:after="100"/>
              <w:rPr>
                <w:rFonts w:eastAsia="Times New Roman"/>
                <w:sz w:val="20"/>
                <w:szCs w:val="20"/>
              </w:rPr>
            </w:pPr>
          </w:p>
        </w:tc>
        <w:tc>
          <w:tcPr>
            <w:tcW w:w="0" w:type="auto"/>
            <w:gridSpan w:val="3"/>
            <w:vAlign w:val="center"/>
            <w:hideMark/>
          </w:tcPr>
          <w:p w14:paraId="2B65F947" w14:textId="77777777" w:rsidR="00000000" w:rsidRDefault="00405D16">
            <w:pPr>
              <w:spacing w:after="100"/>
              <w:rPr>
                <w:rFonts w:eastAsia="Times New Roman"/>
                <w:sz w:val="20"/>
                <w:szCs w:val="20"/>
              </w:rPr>
            </w:pPr>
          </w:p>
        </w:tc>
        <w:tc>
          <w:tcPr>
            <w:tcW w:w="0" w:type="auto"/>
            <w:gridSpan w:val="3"/>
            <w:vAlign w:val="center"/>
            <w:hideMark/>
          </w:tcPr>
          <w:p w14:paraId="0218DEEE" w14:textId="77777777" w:rsidR="00000000" w:rsidRDefault="00405D16">
            <w:pPr>
              <w:spacing w:after="100"/>
              <w:rPr>
                <w:rFonts w:eastAsia="Times New Roman"/>
                <w:sz w:val="20"/>
                <w:szCs w:val="20"/>
              </w:rPr>
            </w:pPr>
          </w:p>
        </w:tc>
        <w:tc>
          <w:tcPr>
            <w:tcW w:w="0" w:type="auto"/>
            <w:gridSpan w:val="3"/>
            <w:vAlign w:val="center"/>
            <w:hideMark/>
          </w:tcPr>
          <w:p w14:paraId="0F2D048A" w14:textId="77777777" w:rsidR="00000000" w:rsidRDefault="00405D16">
            <w:pPr>
              <w:spacing w:after="100"/>
              <w:rPr>
                <w:rFonts w:eastAsia="Times New Roman"/>
                <w:sz w:val="20"/>
                <w:szCs w:val="20"/>
              </w:rPr>
            </w:pPr>
          </w:p>
        </w:tc>
        <w:tc>
          <w:tcPr>
            <w:tcW w:w="0" w:type="auto"/>
            <w:gridSpan w:val="3"/>
            <w:vAlign w:val="center"/>
            <w:hideMark/>
          </w:tcPr>
          <w:p w14:paraId="4D13DED4" w14:textId="77777777" w:rsidR="00000000" w:rsidRDefault="00405D16">
            <w:pPr>
              <w:spacing w:after="100"/>
              <w:rPr>
                <w:rFonts w:eastAsia="Times New Roman"/>
                <w:sz w:val="20"/>
                <w:szCs w:val="20"/>
              </w:rPr>
            </w:pPr>
          </w:p>
        </w:tc>
        <w:tc>
          <w:tcPr>
            <w:tcW w:w="0" w:type="auto"/>
            <w:gridSpan w:val="3"/>
            <w:vAlign w:val="center"/>
            <w:hideMark/>
          </w:tcPr>
          <w:p w14:paraId="0E583A71" w14:textId="77777777" w:rsidR="00000000" w:rsidRDefault="00405D16">
            <w:pPr>
              <w:spacing w:after="100"/>
              <w:rPr>
                <w:rFonts w:eastAsia="Times New Roman"/>
                <w:sz w:val="20"/>
                <w:szCs w:val="20"/>
              </w:rPr>
            </w:pPr>
          </w:p>
        </w:tc>
        <w:tc>
          <w:tcPr>
            <w:tcW w:w="0" w:type="auto"/>
            <w:gridSpan w:val="3"/>
            <w:vAlign w:val="center"/>
            <w:hideMark/>
          </w:tcPr>
          <w:p w14:paraId="69C6C934" w14:textId="77777777" w:rsidR="00000000" w:rsidRDefault="00405D16">
            <w:pPr>
              <w:spacing w:after="100"/>
              <w:rPr>
                <w:rFonts w:eastAsia="Times New Roman"/>
                <w:sz w:val="20"/>
                <w:szCs w:val="20"/>
              </w:rPr>
            </w:pPr>
          </w:p>
        </w:tc>
        <w:tc>
          <w:tcPr>
            <w:tcW w:w="0" w:type="auto"/>
            <w:gridSpan w:val="3"/>
            <w:vAlign w:val="center"/>
            <w:hideMark/>
          </w:tcPr>
          <w:p w14:paraId="0A21CD06" w14:textId="77777777" w:rsidR="00000000" w:rsidRDefault="00405D16">
            <w:pPr>
              <w:spacing w:after="100"/>
              <w:rPr>
                <w:rFonts w:eastAsia="Times New Roman"/>
                <w:sz w:val="20"/>
                <w:szCs w:val="20"/>
              </w:rPr>
            </w:pPr>
          </w:p>
        </w:tc>
        <w:tc>
          <w:tcPr>
            <w:tcW w:w="0" w:type="auto"/>
            <w:gridSpan w:val="3"/>
            <w:vAlign w:val="center"/>
            <w:hideMark/>
          </w:tcPr>
          <w:p w14:paraId="4DC31FB1" w14:textId="77777777" w:rsidR="00000000" w:rsidRDefault="00405D16">
            <w:pPr>
              <w:spacing w:after="100"/>
              <w:rPr>
                <w:rFonts w:eastAsia="Times New Roman"/>
                <w:sz w:val="20"/>
                <w:szCs w:val="20"/>
              </w:rPr>
            </w:pPr>
          </w:p>
        </w:tc>
        <w:tc>
          <w:tcPr>
            <w:tcW w:w="0" w:type="auto"/>
            <w:gridSpan w:val="3"/>
            <w:vAlign w:val="center"/>
            <w:hideMark/>
          </w:tcPr>
          <w:p w14:paraId="51A3B233" w14:textId="77777777" w:rsidR="00000000" w:rsidRDefault="00405D16">
            <w:pPr>
              <w:spacing w:after="100"/>
              <w:rPr>
                <w:rFonts w:eastAsia="Times New Roman"/>
                <w:sz w:val="20"/>
                <w:szCs w:val="20"/>
              </w:rPr>
            </w:pPr>
          </w:p>
        </w:tc>
        <w:tc>
          <w:tcPr>
            <w:tcW w:w="0" w:type="auto"/>
            <w:gridSpan w:val="3"/>
            <w:vAlign w:val="center"/>
            <w:hideMark/>
          </w:tcPr>
          <w:p w14:paraId="0FF833C2" w14:textId="77777777" w:rsidR="00000000" w:rsidRDefault="00405D16">
            <w:pPr>
              <w:spacing w:after="100"/>
              <w:rPr>
                <w:rFonts w:eastAsia="Times New Roman"/>
                <w:sz w:val="20"/>
                <w:szCs w:val="20"/>
              </w:rPr>
            </w:pPr>
          </w:p>
        </w:tc>
        <w:tc>
          <w:tcPr>
            <w:tcW w:w="0" w:type="auto"/>
            <w:gridSpan w:val="3"/>
            <w:vAlign w:val="center"/>
            <w:hideMark/>
          </w:tcPr>
          <w:p w14:paraId="3FE65C2A" w14:textId="77777777" w:rsidR="00000000" w:rsidRDefault="00405D16">
            <w:pPr>
              <w:spacing w:after="100"/>
              <w:rPr>
                <w:rFonts w:eastAsia="Times New Roman"/>
                <w:sz w:val="20"/>
                <w:szCs w:val="20"/>
              </w:rPr>
            </w:pPr>
          </w:p>
        </w:tc>
        <w:tc>
          <w:tcPr>
            <w:tcW w:w="0" w:type="auto"/>
            <w:gridSpan w:val="3"/>
            <w:vAlign w:val="center"/>
            <w:hideMark/>
          </w:tcPr>
          <w:p w14:paraId="036A8410" w14:textId="77777777" w:rsidR="00000000" w:rsidRDefault="00405D16">
            <w:pPr>
              <w:spacing w:after="100"/>
              <w:rPr>
                <w:rFonts w:eastAsia="Times New Roman"/>
                <w:sz w:val="20"/>
                <w:szCs w:val="20"/>
              </w:rPr>
            </w:pPr>
          </w:p>
        </w:tc>
        <w:tc>
          <w:tcPr>
            <w:tcW w:w="0" w:type="auto"/>
            <w:gridSpan w:val="3"/>
            <w:vAlign w:val="center"/>
            <w:hideMark/>
          </w:tcPr>
          <w:p w14:paraId="28591442" w14:textId="77777777" w:rsidR="00000000" w:rsidRDefault="00405D16">
            <w:pPr>
              <w:spacing w:after="100"/>
              <w:rPr>
                <w:rFonts w:eastAsia="Times New Roman"/>
                <w:sz w:val="20"/>
                <w:szCs w:val="20"/>
              </w:rPr>
            </w:pPr>
          </w:p>
        </w:tc>
        <w:tc>
          <w:tcPr>
            <w:tcW w:w="0" w:type="auto"/>
            <w:gridSpan w:val="3"/>
            <w:vAlign w:val="center"/>
            <w:hideMark/>
          </w:tcPr>
          <w:p w14:paraId="7C6AF586" w14:textId="77777777" w:rsidR="00000000" w:rsidRDefault="00405D16">
            <w:pPr>
              <w:spacing w:after="100"/>
              <w:rPr>
                <w:rFonts w:eastAsia="Times New Roman"/>
                <w:sz w:val="20"/>
                <w:szCs w:val="20"/>
              </w:rPr>
            </w:pPr>
          </w:p>
        </w:tc>
        <w:tc>
          <w:tcPr>
            <w:tcW w:w="0" w:type="auto"/>
            <w:gridSpan w:val="3"/>
            <w:vAlign w:val="center"/>
            <w:hideMark/>
          </w:tcPr>
          <w:p w14:paraId="2E5A15CF" w14:textId="77777777" w:rsidR="00000000" w:rsidRDefault="00405D16">
            <w:pPr>
              <w:spacing w:after="100"/>
              <w:rPr>
                <w:rFonts w:eastAsia="Times New Roman"/>
                <w:sz w:val="20"/>
                <w:szCs w:val="20"/>
              </w:rPr>
            </w:pPr>
          </w:p>
        </w:tc>
      </w:tr>
      <w:tr w:rsidR="00000000" w14:paraId="72479A86" w14:textId="77777777">
        <w:trPr>
          <w:divId w:val="513231771"/>
        </w:trPr>
        <w:tc>
          <w:tcPr>
            <w:tcW w:w="0" w:type="auto"/>
            <w:gridSpan w:val="3"/>
            <w:vAlign w:val="center"/>
            <w:hideMark/>
          </w:tcPr>
          <w:p w14:paraId="0C14EB2C" w14:textId="77777777" w:rsidR="00000000" w:rsidRDefault="00405D16">
            <w:pPr>
              <w:spacing w:after="100"/>
              <w:rPr>
                <w:rFonts w:eastAsia="Times New Roman"/>
                <w:sz w:val="20"/>
                <w:szCs w:val="20"/>
              </w:rPr>
            </w:pPr>
          </w:p>
        </w:tc>
        <w:tc>
          <w:tcPr>
            <w:tcW w:w="0" w:type="auto"/>
            <w:gridSpan w:val="3"/>
            <w:vAlign w:val="center"/>
            <w:hideMark/>
          </w:tcPr>
          <w:p w14:paraId="198EBC98" w14:textId="77777777" w:rsidR="00000000" w:rsidRDefault="00405D16">
            <w:pPr>
              <w:spacing w:after="100"/>
              <w:rPr>
                <w:rFonts w:eastAsia="Times New Roman"/>
                <w:sz w:val="20"/>
                <w:szCs w:val="20"/>
              </w:rPr>
            </w:pPr>
          </w:p>
        </w:tc>
        <w:tc>
          <w:tcPr>
            <w:tcW w:w="0" w:type="auto"/>
            <w:gridSpan w:val="3"/>
            <w:vAlign w:val="center"/>
            <w:hideMark/>
          </w:tcPr>
          <w:p w14:paraId="13E5E33F" w14:textId="77777777" w:rsidR="00000000" w:rsidRDefault="00405D16">
            <w:pPr>
              <w:spacing w:after="100"/>
              <w:rPr>
                <w:rFonts w:eastAsia="Times New Roman"/>
                <w:sz w:val="20"/>
                <w:szCs w:val="20"/>
              </w:rPr>
            </w:pPr>
          </w:p>
        </w:tc>
        <w:tc>
          <w:tcPr>
            <w:tcW w:w="0" w:type="auto"/>
            <w:gridSpan w:val="3"/>
            <w:vAlign w:val="center"/>
            <w:hideMark/>
          </w:tcPr>
          <w:p w14:paraId="754B9B0F" w14:textId="77777777" w:rsidR="00000000" w:rsidRDefault="00405D16">
            <w:pPr>
              <w:spacing w:after="100"/>
              <w:rPr>
                <w:rFonts w:eastAsia="Times New Roman"/>
                <w:sz w:val="20"/>
                <w:szCs w:val="20"/>
              </w:rPr>
            </w:pPr>
          </w:p>
        </w:tc>
        <w:tc>
          <w:tcPr>
            <w:tcW w:w="0" w:type="auto"/>
            <w:gridSpan w:val="3"/>
            <w:vAlign w:val="center"/>
            <w:hideMark/>
          </w:tcPr>
          <w:p w14:paraId="708890F9" w14:textId="77777777" w:rsidR="00000000" w:rsidRDefault="00405D16">
            <w:pPr>
              <w:spacing w:after="100"/>
              <w:rPr>
                <w:rFonts w:eastAsia="Times New Roman"/>
                <w:sz w:val="20"/>
                <w:szCs w:val="20"/>
              </w:rPr>
            </w:pPr>
          </w:p>
        </w:tc>
        <w:tc>
          <w:tcPr>
            <w:tcW w:w="0" w:type="auto"/>
            <w:gridSpan w:val="3"/>
            <w:vAlign w:val="center"/>
            <w:hideMark/>
          </w:tcPr>
          <w:p w14:paraId="422E8A7B" w14:textId="77777777" w:rsidR="00000000" w:rsidRDefault="00405D16">
            <w:pPr>
              <w:spacing w:after="100"/>
              <w:rPr>
                <w:rFonts w:eastAsia="Times New Roman"/>
                <w:sz w:val="20"/>
                <w:szCs w:val="20"/>
              </w:rPr>
            </w:pPr>
          </w:p>
        </w:tc>
        <w:tc>
          <w:tcPr>
            <w:tcW w:w="0" w:type="auto"/>
            <w:gridSpan w:val="3"/>
            <w:vAlign w:val="center"/>
            <w:hideMark/>
          </w:tcPr>
          <w:p w14:paraId="0E836B6D" w14:textId="77777777" w:rsidR="00000000" w:rsidRDefault="00405D16">
            <w:pPr>
              <w:spacing w:after="100"/>
              <w:rPr>
                <w:rFonts w:eastAsia="Times New Roman"/>
                <w:sz w:val="20"/>
                <w:szCs w:val="20"/>
              </w:rPr>
            </w:pPr>
          </w:p>
        </w:tc>
        <w:tc>
          <w:tcPr>
            <w:tcW w:w="0" w:type="auto"/>
            <w:gridSpan w:val="3"/>
            <w:vAlign w:val="center"/>
            <w:hideMark/>
          </w:tcPr>
          <w:p w14:paraId="62BCE6CC" w14:textId="77777777" w:rsidR="00000000" w:rsidRDefault="00405D16">
            <w:pPr>
              <w:spacing w:after="100"/>
              <w:rPr>
                <w:rFonts w:eastAsia="Times New Roman"/>
                <w:sz w:val="20"/>
                <w:szCs w:val="20"/>
              </w:rPr>
            </w:pPr>
          </w:p>
        </w:tc>
        <w:tc>
          <w:tcPr>
            <w:tcW w:w="0" w:type="auto"/>
            <w:gridSpan w:val="3"/>
            <w:vAlign w:val="center"/>
            <w:hideMark/>
          </w:tcPr>
          <w:p w14:paraId="03EF14C7" w14:textId="77777777" w:rsidR="00000000" w:rsidRDefault="00405D16">
            <w:pPr>
              <w:spacing w:after="100"/>
              <w:rPr>
                <w:rFonts w:eastAsia="Times New Roman"/>
                <w:sz w:val="20"/>
                <w:szCs w:val="20"/>
              </w:rPr>
            </w:pPr>
          </w:p>
        </w:tc>
        <w:tc>
          <w:tcPr>
            <w:tcW w:w="0" w:type="auto"/>
            <w:gridSpan w:val="3"/>
            <w:vAlign w:val="center"/>
            <w:hideMark/>
          </w:tcPr>
          <w:p w14:paraId="05FCC2A8" w14:textId="77777777" w:rsidR="00000000" w:rsidRDefault="00405D16">
            <w:pPr>
              <w:spacing w:after="100"/>
              <w:rPr>
                <w:rFonts w:eastAsia="Times New Roman"/>
                <w:sz w:val="20"/>
                <w:szCs w:val="20"/>
              </w:rPr>
            </w:pPr>
          </w:p>
        </w:tc>
        <w:tc>
          <w:tcPr>
            <w:tcW w:w="0" w:type="auto"/>
            <w:gridSpan w:val="3"/>
            <w:vAlign w:val="center"/>
            <w:hideMark/>
          </w:tcPr>
          <w:p w14:paraId="4CC44886" w14:textId="77777777" w:rsidR="00000000" w:rsidRDefault="00405D16">
            <w:pPr>
              <w:spacing w:after="100"/>
              <w:rPr>
                <w:rFonts w:eastAsia="Times New Roman"/>
                <w:sz w:val="20"/>
                <w:szCs w:val="20"/>
              </w:rPr>
            </w:pPr>
          </w:p>
        </w:tc>
        <w:tc>
          <w:tcPr>
            <w:tcW w:w="0" w:type="auto"/>
            <w:gridSpan w:val="3"/>
            <w:vAlign w:val="center"/>
            <w:hideMark/>
          </w:tcPr>
          <w:p w14:paraId="211F1DF0" w14:textId="77777777" w:rsidR="00000000" w:rsidRDefault="00405D16">
            <w:pPr>
              <w:spacing w:after="100"/>
              <w:rPr>
                <w:rFonts w:eastAsia="Times New Roman"/>
                <w:sz w:val="20"/>
                <w:szCs w:val="20"/>
              </w:rPr>
            </w:pPr>
          </w:p>
        </w:tc>
        <w:tc>
          <w:tcPr>
            <w:tcW w:w="0" w:type="auto"/>
            <w:gridSpan w:val="3"/>
            <w:vAlign w:val="center"/>
            <w:hideMark/>
          </w:tcPr>
          <w:p w14:paraId="41CC512F" w14:textId="77777777" w:rsidR="00000000" w:rsidRDefault="00405D16">
            <w:pPr>
              <w:spacing w:after="100"/>
              <w:rPr>
                <w:rFonts w:eastAsia="Times New Roman"/>
                <w:sz w:val="20"/>
                <w:szCs w:val="20"/>
              </w:rPr>
            </w:pPr>
          </w:p>
        </w:tc>
        <w:tc>
          <w:tcPr>
            <w:tcW w:w="0" w:type="auto"/>
            <w:gridSpan w:val="3"/>
            <w:vAlign w:val="center"/>
            <w:hideMark/>
          </w:tcPr>
          <w:p w14:paraId="56535F79" w14:textId="77777777" w:rsidR="00000000" w:rsidRDefault="00405D16">
            <w:pPr>
              <w:spacing w:after="100"/>
              <w:rPr>
                <w:rFonts w:eastAsia="Times New Roman"/>
                <w:sz w:val="20"/>
                <w:szCs w:val="20"/>
              </w:rPr>
            </w:pPr>
          </w:p>
        </w:tc>
        <w:tc>
          <w:tcPr>
            <w:tcW w:w="0" w:type="auto"/>
            <w:gridSpan w:val="3"/>
            <w:vAlign w:val="center"/>
            <w:hideMark/>
          </w:tcPr>
          <w:p w14:paraId="57829845" w14:textId="77777777" w:rsidR="00000000" w:rsidRDefault="00405D16">
            <w:pPr>
              <w:spacing w:after="100"/>
              <w:rPr>
                <w:rFonts w:eastAsia="Times New Roman"/>
                <w:sz w:val="20"/>
                <w:szCs w:val="20"/>
              </w:rPr>
            </w:pPr>
          </w:p>
        </w:tc>
        <w:tc>
          <w:tcPr>
            <w:tcW w:w="0" w:type="auto"/>
            <w:gridSpan w:val="3"/>
            <w:vAlign w:val="center"/>
            <w:hideMark/>
          </w:tcPr>
          <w:p w14:paraId="48187DCF" w14:textId="77777777" w:rsidR="00000000" w:rsidRDefault="00405D16">
            <w:pPr>
              <w:spacing w:after="100"/>
              <w:rPr>
                <w:rFonts w:eastAsia="Times New Roman"/>
                <w:sz w:val="20"/>
                <w:szCs w:val="20"/>
              </w:rPr>
            </w:pPr>
          </w:p>
        </w:tc>
        <w:tc>
          <w:tcPr>
            <w:tcW w:w="0" w:type="auto"/>
            <w:gridSpan w:val="3"/>
            <w:vAlign w:val="center"/>
            <w:hideMark/>
          </w:tcPr>
          <w:p w14:paraId="6E9F59DE" w14:textId="77777777" w:rsidR="00000000" w:rsidRDefault="00405D16">
            <w:pPr>
              <w:spacing w:after="100"/>
              <w:rPr>
                <w:rFonts w:eastAsia="Times New Roman"/>
                <w:sz w:val="20"/>
                <w:szCs w:val="20"/>
              </w:rPr>
            </w:pPr>
          </w:p>
        </w:tc>
      </w:tr>
      <w:tr w:rsidR="00000000" w14:paraId="1FFB6479" w14:textId="77777777">
        <w:trPr>
          <w:divId w:val="513231771"/>
        </w:trPr>
        <w:tc>
          <w:tcPr>
            <w:tcW w:w="0" w:type="auto"/>
            <w:gridSpan w:val="3"/>
            <w:vAlign w:val="center"/>
            <w:hideMark/>
          </w:tcPr>
          <w:p w14:paraId="3FFFF0B4" w14:textId="77777777" w:rsidR="00000000" w:rsidRDefault="00405D16">
            <w:pPr>
              <w:spacing w:after="100"/>
              <w:rPr>
                <w:rFonts w:eastAsia="Times New Roman"/>
                <w:sz w:val="20"/>
                <w:szCs w:val="20"/>
              </w:rPr>
            </w:pPr>
          </w:p>
        </w:tc>
        <w:tc>
          <w:tcPr>
            <w:tcW w:w="0" w:type="auto"/>
            <w:gridSpan w:val="3"/>
            <w:vAlign w:val="center"/>
            <w:hideMark/>
          </w:tcPr>
          <w:p w14:paraId="58C20421" w14:textId="77777777" w:rsidR="00000000" w:rsidRDefault="00405D16">
            <w:pPr>
              <w:spacing w:after="100"/>
              <w:rPr>
                <w:rFonts w:eastAsia="Times New Roman"/>
                <w:sz w:val="20"/>
                <w:szCs w:val="20"/>
              </w:rPr>
            </w:pPr>
          </w:p>
        </w:tc>
        <w:tc>
          <w:tcPr>
            <w:tcW w:w="0" w:type="auto"/>
            <w:gridSpan w:val="3"/>
            <w:vAlign w:val="center"/>
            <w:hideMark/>
          </w:tcPr>
          <w:p w14:paraId="26253E8E" w14:textId="77777777" w:rsidR="00000000" w:rsidRDefault="00405D16">
            <w:pPr>
              <w:spacing w:after="100"/>
              <w:rPr>
                <w:rFonts w:eastAsia="Times New Roman"/>
                <w:sz w:val="20"/>
                <w:szCs w:val="20"/>
              </w:rPr>
            </w:pPr>
          </w:p>
        </w:tc>
        <w:tc>
          <w:tcPr>
            <w:tcW w:w="0" w:type="auto"/>
            <w:gridSpan w:val="3"/>
            <w:vAlign w:val="center"/>
            <w:hideMark/>
          </w:tcPr>
          <w:p w14:paraId="7DDD9BE2" w14:textId="77777777" w:rsidR="00000000" w:rsidRDefault="00405D16">
            <w:pPr>
              <w:spacing w:after="100"/>
              <w:rPr>
                <w:rFonts w:eastAsia="Times New Roman"/>
                <w:sz w:val="20"/>
                <w:szCs w:val="20"/>
              </w:rPr>
            </w:pPr>
          </w:p>
        </w:tc>
        <w:tc>
          <w:tcPr>
            <w:tcW w:w="0" w:type="auto"/>
            <w:gridSpan w:val="3"/>
            <w:vAlign w:val="center"/>
            <w:hideMark/>
          </w:tcPr>
          <w:p w14:paraId="39B22630" w14:textId="77777777" w:rsidR="00000000" w:rsidRDefault="00405D16">
            <w:pPr>
              <w:spacing w:after="100"/>
              <w:rPr>
                <w:rFonts w:eastAsia="Times New Roman"/>
                <w:sz w:val="20"/>
                <w:szCs w:val="20"/>
              </w:rPr>
            </w:pPr>
          </w:p>
        </w:tc>
        <w:tc>
          <w:tcPr>
            <w:tcW w:w="0" w:type="auto"/>
            <w:gridSpan w:val="3"/>
            <w:vAlign w:val="center"/>
            <w:hideMark/>
          </w:tcPr>
          <w:p w14:paraId="026FC74C" w14:textId="77777777" w:rsidR="00000000" w:rsidRDefault="00405D16">
            <w:pPr>
              <w:spacing w:after="100"/>
              <w:rPr>
                <w:rFonts w:eastAsia="Times New Roman"/>
                <w:sz w:val="20"/>
                <w:szCs w:val="20"/>
              </w:rPr>
            </w:pPr>
          </w:p>
        </w:tc>
        <w:tc>
          <w:tcPr>
            <w:tcW w:w="0" w:type="auto"/>
            <w:gridSpan w:val="3"/>
            <w:vAlign w:val="center"/>
            <w:hideMark/>
          </w:tcPr>
          <w:p w14:paraId="153D6982" w14:textId="77777777" w:rsidR="00000000" w:rsidRDefault="00405D16">
            <w:pPr>
              <w:spacing w:after="100"/>
              <w:rPr>
                <w:rFonts w:eastAsia="Times New Roman"/>
                <w:sz w:val="20"/>
                <w:szCs w:val="20"/>
              </w:rPr>
            </w:pPr>
          </w:p>
        </w:tc>
        <w:tc>
          <w:tcPr>
            <w:tcW w:w="0" w:type="auto"/>
            <w:gridSpan w:val="3"/>
            <w:vAlign w:val="center"/>
            <w:hideMark/>
          </w:tcPr>
          <w:p w14:paraId="70054ADC" w14:textId="77777777" w:rsidR="00000000" w:rsidRDefault="00405D16">
            <w:pPr>
              <w:spacing w:after="100"/>
              <w:rPr>
                <w:rFonts w:eastAsia="Times New Roman"/>
                <w:sz w:val="20"/>
                <w:szCs w:val="20"/>
              </w:rPr>
            </w:pPr>
          </w:p>
        </w:tc>
        <w:tc>
          <w:tcPr>
            <w:tcW w:w="0" w:type="auto"/>
            <w:gridSpan w:val="3"/>
            <w:vAlign w:val="center"/>
            <w:hideMark/>
          </w:tcPr>
          <w:p w14:paraId="1615D854" w14:textId="77777777" w:rsidR="00000000" w:rsidRDefault="00405D16">
            <w:pPr>
              <w:spacing w:after="100"/>
              <w:rPr>
                <w:rFonts w:eastAsia="Times New Roman"/>
                <w:sz w:val="20"/>
                <w:szCs w:val="20"/>
              </w:rPr>
            </w:pPr>
          </w:p>
        </w:tc>
        <w:tc>
          <w:tcPr>
            <w:tcW w:w="0" w:type="auto"/>
            <w:gridSpan w:val="3"/>
            <w:vAlign w:val="center"/>
            <w:hideMark/>
          </w:tcPr>
          <w:p w14:paraId="5F18D279" w14:textId="77777777" w:rsidR="00000000" w:rsidRDefault="00405D16">
            <w:pPr>
              <w:spacing w:after="100"/>
              <w:rPr>
                <w:rFonts w:eastAsia="Times New Roman"/>
                <w:sz w:val="20"/>
                <w:szCs w:val="20"/>
              </w:rPr>
            </w:pPr>
          </w:p>
        </w:tc>
        <w:tc>
          <w:tcPr>
            <w:tcW w:w="0" w:type="auto"/>
            <w:gridSpan w:val="3"/>
            <w:vAlign w:val="center"/>
            <w:hideMark/>
          </w:tcPr>
          <w:p w14:paraId="564F627E" w14:textId="77777777" w:rsidR="00000000" w:rsidRDefault="00405D16">
            <w:pPr>
              <w:spacing w:after="100"/>
              <w:rPr>
                <w:rFonts w:eastAsia="Times New Roman"/>
                <w:sz w:val="20"/>
                <w:szCs w:val="20"/>
              </w:rPr>
            </w:pPr>
          </w:p>
        </w:tc>
        <w:tc>
          <w:tcPr>
            <w:tcW w:w="0" w:type="auto"/>
            <w:gridSpan w:val="3"/>
            <w:vAlign w:val="center"/>
            <w:hideMark/>
          </w:tcPr>
          <w:p w14:paraId="3E826340" w14:textId="77777777" w:rsidR="00000000" w:rsidRDefault="00405D16">
            <w:pPr>
              <w:spacing w:after="100"/>
              <w:rPr>
                <w:rFonts w:eastAsia="Times New Roman"/>
                <w:sz w:val="20"/>
                <w:szCs w:val="20"/>
              </w:rPr>
            </w:pPr>
          </w:p>
        </w:tc>
        <w:tc>
          <w:tcPr>
            <w:tcW w:w="0" w:type="auto"/>
            <w:gridSpan w:val="3"/>
            <w:vAlign w:val="center"/>
            <w:hideMark/>
          </w:tcPr>
          <w:p w14:paraId="2B26622C" w14:textId="77777777" w:rsidR="00000000" w:rsidRDefault="00405D16">
            <w:pPr>
              <w:spacing w:after="100"/>
              <w:rPr>
                <w:rFonts w:eastAsia="Times New Roman"/>
                <w:sz w:val="20"/>
                <w:szCs w:val="20"/>
              </w:rPr>
            </w:pPr>
          </w:p>
        </w:tc>
        <w:tc>
          <w:tcPr>
            <w:tcW w:w="0" w:type="auto"/>
            <w:gridSpan w:val="3"/>
            <w:vAlign w:val="center"/>
            <w:hideMark/>
          </w:tcPr>
          <w:p w14:paraId="7A90F63E" w14:textId="77777777" w:rsidR="00000000" w:rsidRDefault="00405D16">
            <w:pPr>
              <w:spacing w:after="100"/>
              <w:rPr>
                <w:rFonts w:eastAsia="Times New Roman"/>
                <w:sz w:val="20"/>
                <w:szCs w:val="20"/>
              </w:rPr>
            </w:pPr>
          </w:p>
        </w:tc>
        <w:tc>
          <w:tcPr>
            <w:tcW w:w="0" w:type="auto"/>
            <w:gridSpan w:val="3"/>
            <w:vAlign w:val="center"/>
            <w:hideMark/>
          </w:tcPr>
          <w:p w14:paraId="26439492" w14:textId="77777777" w:rsidR="00000000" w:rsidRDefault="00405D16">
            <w:pPr>
              <w:spacing w:after="100"/>
              <w:rPr>
                <w:rFonts w:eastAsia="Times New Roman"/>
                <w:sz w:val="20"/>
                <w:szCs w:val="20"/>
              </w:rPr>
            </w:pPr>
          </w:p>
        </w:tc>
        <w:tc>
          <w:tcPr>
            <w:tcW w:w="0" w:type="auto"/>
            <w:gridSpan w:val="3"/>
            <w:vAlign w:val="center"/>
            <w:hideMark/>
          </w:tcPr>
          <w:p w14:paraId="09A77C2F" w14:textId="77777777" w:rsidR="00000000" w:rsidRDefault="00405D16">
            <w:pPr>
              <w:spacing w:after="100"/>
              <w:rPr>
                <w:rFonts w:eastAsia="Times New Roman"/>
                <w:sz w:val="20"/>
                <w:szCs w:val="20"/>
              </w:rPr>
            </w:pPr>
          </w:p>
        </w:tc>
        <w:tc>
          <w:tcPr>
            <w:tcW w:w="0" w:type="auto"/>
            <w:gridSpan w:val="3"/>
            <w:vAlign w:val="center"/>
            <w:hideMark/>
          </w:tcPr>
          <w:p w14:paraId="7953D410" w14:textId="77777777" w:rsidR="00000000" w:rsidRDefault="00405D16">
            <w:pPr>
              <w:spacing w:after="100"/>
              <w:rPr>
                <w:rFonts w:eastAsia="Times New Roman"/>
                <w:sz w:val="20"/>
                <w:szCs w:val="20"/>
              </w:rPr>
            </w:pPr>
          </w:p>
        </w:tc>
      </w:tr>
      <w:tr w:rsidR="00000000" w14:paraId="7E0B0EE2" w14:textId="77777777">
        <w:trPr>
          <w:divId w:val="513231771"/>
        </w:trPr>
        <w:tc>
          <w:tcPr>
            <w:tcW w:w="0" w:type="auto"/>
            <w:gridSpan w:val="3"/>
            <w:vAlign w:val="center"/>
            <w:hideMark/>
          </w:tcPr>
          <w:p w14:paraId="0A4A36C6" w14:textId="77777777" w:rsidR="00000000" w:rsidRDefault="00405D16">
            <w:pPr>
              <w:spacing w:after="100"/>
              <w:rPr>
                <w:rFonts w:eastAsia="Times New Roman"/>
                <w:sz w:val="20"/>
                <w:szCs w:val="20"/>
              </w:rPr>
            </w:pPr>
          </w:p>
        </w:tc>
        <w:tc>
          <w:tcPr>
            <w:tcW w:w="0" w:type="auto"/>
            <w:gridSpan w:val="3"/>
            <w:vAlign w:val="center"/>
            <w:hideMark/>
          </w:tcPr>
          <w:p w14:paraId="5C2401FA" w14:textId="77777777" w:rsidR="00000000" w:rsidRDefault="00405D16">
            <w:pPr>
              <w:spacing w:after="100"/>
              <w:rPr>
                <w:rFonts w:eastAsia="Times New Roman"/>
                <w:sz w:val="20"/>
                <w:szCs w:val="20"/>
              </w:rPr>
            </w:pPr>
          </w:p>
        </w:tc>
        <w:tc>
          <w:tcPr>
            <w:tcW w:w="0" w:type="auto"/>
            <w:gridSpan w:val="3"/>
            <w:vAlign w:val="center"/>
            <w:hideMark/>
          </w:tcPr>
          <w:p w14:paraId="6C6CA890" w14:textId="77777777" w:rsidR="00000000" w:rsidRDefault="00405D16">
            <w:pPr>
              <w:spacing w:after="100"/>
              <w:rPr>
                <w:rFonts w:eastAsia="Times New Roman"/>
                <w:sz w:val="20"/>
                <w:szCs w:val="20"/>
              </w:rPr>
            </w:pPr>
          </w:p>
        </w:tc>
        <w:tc>
          <w:tcPr>
            <w:tcW w:w="0" w:type="auto"/>
            <w:gridSpan w:val="3"/>
            <w:vAlign w:val="center"/>
            <w:hideMark/>
          </w:tcPr>
          <w:p w14:paraId="1F8B86DD" w14:textId="77777777" w:rsidR="00000000" w:rsidRDefault="00405D16">
            <w:pPr>
              <w:spacing w:after="100"/>
              <w:rPr>
                <w:rFonts w:eastAsia="Times New Roman"/>
                <w:sz w:val="20"/>
                <w:szCs w:val="20"/>
              </w:rPr>
            </w:pPr>
          </w:p>
        </w:tc>
        <w:tc>
          <w:tcPr>
            <w:tcW w:w="0" w:type="auto"/>
            <w:gridSpan w:val="3"/>
            <w:vAlign w:val="center"/>
            <w:hideMark/>
          </w:tcPr>
          <w:p w14:paraId="46C18B26" w14:textId="77777777" w:rsidR="00000000" w:rsidRDefault="00405D16">
            <w:pPr>
              <w:spacing w:after="100"/>
              <w:rPr>
                <w:rFonts w:eastAsia="Times New Roman"/>
                <w:sz w:val="20"/>
                <w:szCs w:val="20"/>
              </w:rPr>
            </w:pPr>
          </w:p>
        </w:tc>
        <w:tc>
          <w:tcPr>
            <w:tcW w:w="0" w:type="auto"/>
            <w:gridSpan w:val="3"/>
            <w:vAlign w:val="center"/>
            <w:hideMark/>
          </w:tcPr>
          <w:p w14:paraId="0A0419DC" w14:textId="77777777" w:rsidR="00000000" w:rsidRDefault="00405D16">
            <w:pPr>
              <w:spacing w:after="100"/>
              <w:rPr>
                <w:rFonts w:eastAsia="Times New Roman"/>
                <w:sz w:val="20"/>
                <w:szCs w:val="20"/>
              </w:rPr>
            </w:pPr>
          </w:p>
        </w:tc>
        <w:tc>
          <w:tcPr>
            <w:tcW w:w="0" w:type="auto"/>
            <w:gridSpan w:val="3"/>
            <w:vAlign w:val="center"/>
            <w:hideMark/>
          </w:tcPr>
          <w:p w14:paraId="5A60B35C" w14:textId="77777777" w:rsidR="00000000" w:rsidRDefault="00405D16">
            <w:pPr>
              <w:spacing w:after="100"/>
              <w:rPr>
                <w:rFonts w:eastAsia="Times New Roman"/>
                <w:sz w:val="20"/>
                <w:szCs w:val="20"/>
              </w:rPr>
            </w:pPr>
          </w:p>
        </w:tc>
        <w:tc>
          <w:tcPr>
            <w:tcW w:w="0" w:type="auto"/>
            <w:gridSpan w:val="3"/>
            <w:vAlign w:val="center"/>
            <w:hideMark/>
          </w:tcPr>
          <w:p w14:paraId="4ACDB13B" w14:textId="77777777" w:rsidR="00000000" w:rsidRDefault="00405D16">
            <w:pPr>
              <w:spacing w:after="100"/>
              <w:rPr>
                <w:rFonts w:eastAsia="Times New Roman"/>
                <w:sz w:val="20"/>
                <w:szCs w:val="20"/>
              </w:rPr>
            </w:pPr>
          </w:p>
        </w:tc>
        <w:tc>
          <w:tcPr>
            <w:tcW w:w="0" w:type="auto"/>
            <w:gridSpan w:val="3"/>
            <w:vAlign w:val="center"/>
            <w:hideMark/>
          </w:tcPr>
          <w:p w14:paraId="5014F1FC" w14:textId="77777777" w:rsidR="00000000" w:rsidRDefault="00405D16">
            <w:pPr>
              <w:spacing w:after="100"/>
              <w:rPr>
                <w:rFonts w:eastAsia="Times New Roman"/>
                <w:sz w:val="20"/>
                <w:szCs w:val="20"/>
              </w:rPr>
            </w:pPr>
          </w:p>
        </w:tc>
        <w:tc>
          <w:tcPr>
            <w:tcW w:w="0" w:type="auto"/>
            <w:gridSpan w:val="3"/>
            <w:vAlign w:val="center"/>
            <w:hideMark/>
          </w:tcPr>
          <w:p w14:paraId="4E942A4F" w14:textId="77777777" w:rsidR="00000000" w:rsidRDefault="00405D16">
            <w:pPr>
              <w:spacing w:after="100"/>
              <w:rPr>
                <w:rFonts w:eastAsia="Times New Roman"/>
                <w:sz w:val="20"/>
                <w:szCs w:val="20"/>
              </w:rPr>
            </w:pPr>
          </w:p>
        </w:tc>
        <w:tc>
          <w:tcPr>
            <w:tcW w:w="0" w:type="auto"/>
            <w:gridSpan w:val="3"/>
            <w:vAlign w:val="center"/>
            <w:hideMark/>
          </w:tcPr>
          <w:p w14:paraId="252809C5" w14:textId="77777777" w:rsidR="00000000" w:rsidRDefault="00405D16">
            <w:pPr>
              <w:spacing w:after="100"/>
              <w:rPr>
                <w:rFonts w:eastAsia="Times New Roman"/>
                <w:sz w:val="20"/>
                <w:szCs w:val="20"/>
              </w:rPr>
            </w:pPr>
          </w:p>
        </w:tc>
        <w:tc>
          <w:tcPr>
            <w:tcW w:w="0" w:type="auto"/>
            <w:gridSpan w:val="3"/>
            <w:vAlign w:val="center"/>
            <w:hideMark/>
          </w:tcPr>
          <w:p w14:paraId="0C0B81B8" w14:textId="77777777" w:rsidR="00000000" w:rsidRDefault="00405D16">
            <w:pPr>
              <w:spacing w:after="100"/>
              <w:rPr>
                <w:rFonts w:eastAsia="Times New Roman"/>
                <w:sz w:val="20"/>
                <w:szCs w:val="20"/>
              </w:rPr>
            </w:pPr>
          </w:p>
        </w:tc>
        <w:tc>
          <w:tcPr>
            <w:tcW w:w="0" w:type="auto"/>
            <w:gridSpan w:val="3"/>
            <w:vAlign w:val="center"/>
            <w:hideMark/>
          </w:tcPr>
          <w:p w14:paraId="307C1755" w14:textId="77777777" w:rsidR="00000000" w:rsidRDefault="00405D16">
            <w:pPr>
              <w:spacing w:after="100"/>
              <w:rPr>
                <w:rFonts w:eastAsia="Times New Roman"/>
                <w:sz w:val="20"/>
                <w:szCs w:val="20"/>
              </w:rPr>
            </w:pPr>
          </w:p>
        </w:tc>
        <w:tc>
          <w:tcPr>
            <w:tcW w:w="0" w:type="auto"/>
            <w:gridSpan w:val="3"/>
            <w:vAlign w:val="center"/>
            <w:hideMark/>
          </w:tcPr>
          <w:p w14:paraId="2397E728" w14:textId="77777777" w:rsidR="00000000" w:rsidRDefault="00405D16">
            <w:pPr>
              <w:spacing w:after="100"/>
              <w:rPr>
                <w:rFonts w:eastAsia="Times New Roman"/>
                <w:sz w:val="20"/>
                <w:szCs w:val="20"/>
              </w:rPr>
            </w:pPr>
          </w:p>
        </w:tc>
        <w:tc>
          <w:tcPr>
            <w:tcW w:w="0" w:type="auto"/>
            <w:gridSpan w:val="3"/>
            <w:vAlign w:val="center"/>
            <w:hideMark/>
          </w:tcPr>
          <w:p w14:paraId="158BA3C1" w14:textId="77777777" w:rsidR="00000000" w:rsidRDefault="00405D16">
            <w:pPr>
              <w:spacing w:after="100"/>
              <w:rPr>
                <w:rFonts w:eastAsia="Times New Roman"/>
                <w:sz w:val="20"/>
                <w:szCs w:val="20"/>
              </w:rPr>
            </w:pPr>
          </w:p>
        </w:tc>
        <w:tc>
          <w:tcPr>
            <w:tcW w:w="0" w:type="auto"/>
            <w:gridSpan w:val="3"/>
            <w:vAlign w:val="center"/>
            <w:hideMark/>
          </w:tcPr>
          <w:p w14:paraId="2915DBC3" w14:textId="77777777" w:rsidR="00000000" w:rsidRDefault="00405D16">
            <w:pPr>
              <w:spacing w:after="100"/>
              <w:rPr>
                <w:rFonts w:eastAsia="Times New Roman"/>
                <w:sz w:val="20"/>
                <w:szCs w:val="20"/>
              </w:rPr>
            </w:pPr>
          </w:p>
        </w:tc>
        <w:tc>
          <w:tcPr>
            <w:tcW w:w="0" w:type="auto"/>
            <w:gridSpan w:val="3"/>
            <w:vAlign w:val="center"/>
            <w:hideMark/>
          </w:tcPr>
          <w:p w14:paraId="469C879B" w14:textId="77777777" w:rsidR="00000000" w:rsidRDefault="00405D16">
            <w:pPr>
              <w:spacing w:after="100"/>
              <w:rPr>
                <w:rFonts w:eastAsia="Times New Roman"/>
                <w:sz w:val="20"/>
                <w:szCs w:val="20"/>
              </w:rPr>
            </w:pPr>
          </w:p>
        </w:tc>
      </w:tr>
      <w:tr w:rsidR="00000000" w14:paraId="0B8C88AA" w14:textId="77777777">
        <w:trPr>
          <w:divId w:val="513231771"/>
        </w:trPr>
        <w:tc>
          <w:tcPr>
            <w:tcW w:w="0" w:type="auto"/>
            <w:gridSpan w:val="3"/>
            <w:vAlign w:val="center"/>
            <w:hideMark/>
          </w:tcPr>
          <w:p w14:paraId="0947028B" w14:textId="77777777" w:rsidR="00000000" w:rsidRDefault="00405D16">
            <w:pPr>
              <w:spacing w:after="100"/>
              <w:rPr>
                <w:rFonts w:eastAsia="Times New Roman"/>
                <w:sz w:val="20"/>
                <w:szCs w:val="20"/>
              </w:rPr>
            </w:pPr>
          </w:p>
        </w:tc>
        <w:tc>
          <w:tcPr>
            <w:tcW w:w="0" w:type="auto"/>
            <w:gridSpan w:val="3"/>
            <w:vAlign w:val="center"/>
            <w:hideMark/>
          </w:tcPr>
          <w:p w14:paraId="04394D84" w14:textId="77777777" w:rsidR="00000000" w:rsidRDefault="00405D16">
            <w:pPr>
              <w:spacing w:after="100"/>
              <w:rPr>
                <w:rFonts w:eastAsia="Times New Roman"/>
                <w:sz w:val="20"/>
                <w:szCs w:val="20"/>
              </w:rPr>
            </w:pPr>
          </w:p>
        </w:tc>
        <w:tc>
          <w:tcPr>
            <w:tcW w:w="0" w:type="auto"/>
            <w:gridSpan w:val="3"/>
            <w:vAlign w:val="center"/>
            <w:hideMark/>
          </w:tcPr>
          <w:p w14:paraId="255F6B37" w14:textId="77777777" w:rsidR="00000000" w:rsidRDefault="00405D16">
            <w:pPr>
              <w:spacing w:after="100"/>
              <w:rPr>
                <w:rFonts w:eastAsia="Times New Roman"/>
                <w:sz w:val="20"/>
                <w:szCs w:val="20"/>
              </w:rPr>
            </w:pPr>
          </w:p>
        </w:tc>
        <w:tc>
          <w:tcPr>
            <w:tcW w:w="0" w:type="auto"/>
            <w:gridSpan w:val="3"/>
            <w:vAlign w:val="center"/>
            <w:hideMark/>
          </w:tcPr>
          <w:p w14:paraId="58A0E18A" w14:textId="77777777" w:rsidR="00000000" w:rsidRDefault="00405D16">
            <w:pPr>
              <w:spacing w:after="100"/>
              <w:rPr>
                <w:rFonts w:eastAsia="Times New Roman"/>
                <w:sz w:val="20"/>
                <w:szCs w:val="20"/>
              </w:rPr>
            </w:pPr>
          </w:p>
        </w:tc>
        <w:tc>
          <w:tcPr>
            <w:tcW w:w="0" w:type="auto"/>
            <w:gridSpan w:val="3"/>
            <w:vAlign w:val="center"/>
            <w:hideMark/>
          </w:tcPr>
          <w:p w14:paraId="2EF94CB1" w14:textId="77777777" w:rsidR="00000000" w:rsidRDefault="00405D16">
            <w:pPr>
              <w:spacing w:after="100"/>
              <w:rPr>
                <w:rFonts w:eastAsia="Times New Roman"/>
                <w:sz w:val="20"/>
                <w:szCs w:val="20"/>
              </w:rPr>
            </w:pPr>
          </w:p>
        </w:tc>
        <w:tc>
          <w:tcPr>
            <w:tcW w:w="0" w:type="auto"/>
            <w:gridSpan w:val="3"/>
            <w:vAlign w:val="center"/>
            <w:hideMark/>
          </w:tcPr>
          <w:p w14:paraId="2CFFE8CF" w14:textId="77777777" w:rsidR="00000000" w:rsidRDefault="00405D16">
            <w:pPr>
              <w:spacing w:after="100"/>
              <w:rPr>
                <w:rFonts w:eastAsia="Times New Roman"/>
                <w:sz w:val="20"/>
                <w:szCs w:val="20"/>
              </w:rPr>
            </w:pPr>
          </w:p>
        </w:tc>
        <w:tc>
          <w:tcPr>
            <w:tcW w:w="0" w:type="auto"/>
            <w:gridSpan w:val="3"/>
            <w:vAlign w:val="center"/>
            <w:hideMark/>
          </w:tcPr>
          <w:p w14:paraId="7093241D" w14:textId="77777777" w:rsidR="00000000" w:rsidRDefault="00405D16">
            <w:pPr>
              <w:spacing w:after="100"/>
              <w:rPr>
                <w:rFonts w:eastAsia="Times New Roman"/>
                <w:sz w:val="20"/>
                <w:szCs w:val="20"/>
              </w:rPr>
            </w:pPr>
          </w:p>
        </w:tc>
        <w:tc>
          <w:tcPr>
            <w:tcW w:w="0" w:type="auto"/>
            <w:gridSpan w:val="3"/>
            <w:vAlign w:val="center"/>
            <w:hideMark/>
          </w:tcPr>
          <w:p w14:paraId="57DD6159" w14:textId="77777777" w:rsidR="00000000" w:rsidRDefault="00405D16">
            <w:pPr>
              <w:spacing w:after="100"/>
              <w:rPr>
                <w:rFonts w:eastAsia="Times New Roman"/>
                <w:sz w:val="20"/>
                <w:szCs w:val="20"/>
              </w:rPr>
            </w:pPr>
          </w:p>
        </w:tc>
        <w:tc>
          <w:tcPr>
            <w:tcW w:w="0" w:type="auto"/>
            <w:gridSpan w:val="3"/>
            <w:vAlign w:val="center"/>
            <w:hideMark/>
          </w:tcPr>
          <w:p w14:paraId="62EC7410" w14:textId="77777777" w:rsidR="00000000" w:rsidRDefault="00405D16">
            <w:pPr>
              <w:spacing w:after="100"/>
              <w:rPr>
                <w:rFonts w:eastAsia="Times New Roman"/>
                <w:sz w:val="20"/>
                <w:szCs w:val="20"/>
              </w:rPr>
            </w:pPr>
          </w:p>
        </w:tc>
        <w:tc>
          <w:tcPr>
            <w:tcW w:w="0" w:type="auto"/>
            <w:gridSpan w:val="3"/>
            <w:vAlign w:val="center"/>
            <w:hideMark/>
          </w:tcPr>
          <w:p w14:paraId="242D76C3" w14:textId="77777777" w:rsidR="00000000" w:rsidRDefault="00405D16">
            <w:pPr>
              <w:spacing w:after="100"/>
              <w:rPr>
                <w:rFonts w:eastAsia="Times New Roman"/>
                <w:sz w:val="20"/>
                <w:szCs w:val="20"/>
              </w:rPr>
            </w:pPr>
          </w:p>
        </w:tc>
        <w:tc>
          <w:tcPr>
            <w:tcW w:w="0" w:type="auto"/>
            <w:gridSpan w:val="3"/>
            <w:vAlign w:val="center"/>
            <w:hideMark/>
          </w:tcPr>
          <w:p w14:paraId="7F31CE5C" w14:textId="77777777" w:rsidR="00000000" w:rsidRDefault="00405D16">
            <w:pPr>
              <w:spacing w:after="100"/>
              <w:rPr>
                <w:rFonts w:eastAsia="Times New Roman"/>
                <w:sz w:val="20"/>
                <w:szCs w:val="20"/>
              </w:rPr>
            </w:pPr>
          </w:p>
        </w:tc>
        <w:tc>
          <w:tcPr>
            <w:tcW w:w="0" w:type="auto"/>
            <w:gridSpan w:val="3"/>
            <w:vAlign w:val="center"/>
            <w:hideMark/>
          </w:tcPr>
          <w:p w14:paraId="34C6901D" w14:textId="77777777" w:rsidR="00000000" w:rsidRDefault="00405D16">
            <w:pPr>
              <w:spacing w:after="100"/>
              <w:rPr>
                <w:rFonts w:eastAsia="Times New Roman"/>
                <w:sz w:val="20"/>
                <w:szCs w:val="20"/>
              </w:rPr>
            </w:pPr>
          </w:p>
        </w:tc>
        <w:tc>
          <w:tcPr>
            <w:tcW w:w="0" w:type="auto"/>
            <w:gridSpan w:val="3"/>
            <w:vAlign w:val="center"/>
            <w:hideMark/>
          </w:tcPr>
          <w:p w14:paraId="40938991" w14:textId="77777777" w:rsidR="00000000" w:rsidRDefault="00405D16">
            <w:pPr>
              <w:spacing w:after="100"/>
              <w:rPr>
                <w:rFonts w:eastAsia="Times New Roman"/>
                <w:sz w:val="20"/>
                <w:szCs w:val="20"/>
              </w:rPr>
            </w:pPr>
          </w:p>
        </w:tc>
        <w:tc>
          <w:tcPr>
            <w:tcW w:w="0" w:type="auto"/>
            <w:gridSpan w:val="3"/>
            <w:vAlign w:val="center"/>
            <w:hideMark/>
          </w:tcPr>
          <w:p w14:paraId="77116221" w14:textId="77777777" w:rsidR="00000000" w:rsidRDefault="00405D16">
            <w:pPr>
              <w:spacing w:after="100"/>
              <w:rPr>
                <w:rFonts w:eastAsia="Times New Roman"/>
                <w:sz w:val="20"/>
                <w:szCs w:val="20"/>
              </w:rPr>
            </w:pPr>
          </w:p>
        </w:tc>
        <w:tc>
          <w:tcPr>
            <w:tcW w:w="0" w:type="auto"/>
            <w:gridSpan w:val="3"/>
            <w:vAlign w:val="center"/>
            <w:hideMark/>
          </w:tcPr>
          <w:p w14:paraId="70EE7FC0" w14:textId="77777777" w:rsidR="00000000" w:rsidRDefault="00405D16">
            <w:pPr>
              <w:spacing w:after="100"/>
              <w:rPr>
                <w:rFonts w:eastAsia="Times New Roman"/>
                <w:sz w:val="20"/>
                <w:szCs w:val="20"/>
              </w:rPr>
            </w:pPr>
          </w:p>
        </w:tc>
        <w:tc>
          <w:tcPr>
            <w:tcW w:w="0" w:type="auto"/>
            <w:gridSpan w:val="3"/>
            <w:vAlign w:val="center"/>
            <w:hideMark/>
          </w:tcPr>
          <w:p w14:paraId="08A7DB05" w14:textId="77777777" w:rsidR="00000000" w:rsidRDefault="00405D16">
            <w:pPr>
              <w:spacing w:after="100"/>
              <w:rPr>
                <w:rFonts w:eastAsia="Times New Roman"/>
                <w:sz w:val="20"/>
                <w:szCs w:val="20"/>
              </w:rPr>
            </w:pPr>
          </w:p>
        </w:tc>
        <w:tc>
          <w:tcPr>
            <w:tcW w:w="0" w:type="auto"/>
            <w:gridSpan w:val="3"/>
            <w:vAlign w:val="center"/>
            <w:hideMark/>
          </w:tcPr>
          <w:p w14:paraId="2A8A0272" w14:textId="77777777" w:rsidR="00000000" w:rsidRDefault="00405D16">
            <w:pPr>
              <w:spacing w:after="100"/>
              <w:rPr>
                <w:rFonts w:eastAsia="Times New Roman"/>
                <w:sz w:val="20"/>
                <w:szCs w:val="20"/>
              </w:rPr>
            </w:pPr>
          </w:p>
        </w:tc>
      </w:tr>
      <w:tr w:rsidR="00000000" w14:paraId="7635A6D1" w14:textId="77777777">
        <w:trPr>
          <w:divId w:val="513231771"/>
        </w:trPr>
        <w:tc>
          <w:tcPr>
            <w:tcW w:w="0" w:type="auto"/>
            <w:gridSpan w:val="3"/>
            <w:vAlign w:val="center"/>
            <w:hideMark/>
          </w:tcPr>
          <w:p w14:paraId="29638C8B" w14:textId="77777777" w:rsidR="00000000" w:rsidRDefault="00405D16">
            <w:pPr>
              <w:spacing w:after="100"/>
              <w:rPr>
                <w:rFonts w:eastAsia="Times New Roman"/>
                <w:sz w:val="20"/>
                <w:szCs w:val="20"/>
              </w:rPr>
            </w:pPr>
          </w:p>
        </w:tc>
        <w:tc>
          <w:tcPr>
            <w:tcW w:w="0" w:type="auto"/>
            <w:gridSpan w:val="3"/>
            <w:vAlign w:val="center"/>
            <w:hideMark/>
          </w:tcPr>
          <w:p w14:paraId="6B137F78" w14:textId="77777777" w:rsidR="00000000" w:rsidRDefault="00405D16">
            <w:pPr>
              <w:spacing w:after="100"/>
              <w:rPr>
                <w:rFonts w:eastAsia="Times New Roman"/>
                <w:sz w:val="20"/>
                <w:szCs w:val="20"/>
              </w:rPr>
            </w:pPr>
          </w:p>
        </w:tc>
        <w:tc>
          <w:tcPr>
            <w:tcW w:w="0" w:type="auto"/>
            <w:gridSpan w:val="3"/>
            <w:vAlign w:val="center"/>
            <w:hideMark/>
          </w:tcPr>
          <w:p w14:paraId="660E09AA" w14:textId="77777777" w:rsidR="00000000" w:rsidRDefault="00405D16">
            <w:pPr>
              <w:spacing w:after="100"/>
              <w:rPr>
                <w:rFonts w:eastAsia="Times New Roman"/>
                <w:sz w:val="20"/>
                <w:szCs w:val="20"/>
              </w:rPr>
            </w:pPr>
          </w:p>
        </w:tc>
        <w:tc>
          <w:tcPr>
            <w:tcW w:w="0" w:type="auto"/>
            <w:gridSpan w:val="3"/>
            <w:vAlign w:val="center"/>
            <w:hideMark/>
          </w:tcPr>
          <w:p w14:paraId="4395AE53" w14:textId="77777777" w:rsidR="00000000" w:rsidRDefault="00405D16">
            <w:pPr>
              <w:spacing w:after="100"/>
              <w:rPr>
                <w:rFonts w:eastAsia="Times New Roman"/>
                <w:sz w:val="20"/>
                <w:szCs w:val="20"/>
              </w:rPr>
            </w:pPr>
          </w:p>
        </w:tc>
        <w:tc>
          <w:tcPr>
            <w:tcW w:w="0" w:type="auto"/>
            <w:gridSpan w:val="3"/>
            <w:vAlign w:val="center"/>
            <w:hideMark/>
          </w:tcPr>
          <w:p w14:paraId="604D91BF" w14:textId="77777777" w:rsidR="00000000" w:rsidRDefault="00405D16">
            <w:pPr>
              <w:spacing w:after="100"/>
              <w:rPr>
                <w:rFonts w:eastAsia="Times New Roman"/>
                <w:sz w:val="20"/>
                <w:szCs w:val="20"/>
              </w:rPr>
            </w:pPr>
          </w:p>
        </w:tc>
        <w:tc>
          <w:tcPr>
            <w:tcW w:w="0" w:type="auto"/>
            <w:gridSpan w:val="3"/>
            <w:vAlign w:val="center"/>
            <w:hideMark/>
          </w:tcPr>
          <w:p w14:paraId="1ADD464C" w14:textId="77777777" w:rsidR="00000000" w:rsidRDefault="00405D16">
            <w:pPr>
              <w:spacing w:after="100"/>
              <w:rPr>
                <w:rFonts w:eastAsia="Times New Roman"/>
                <w:sz w:val="20"/>
                <w:szCs w:val="20"/>
              </w:rPr>
            </w:pPr>
          </w:p>
        </w:tc>
        <w:tc>
          <w:tcPr>
            <w:tcW w:w="0" w:type="auto"/>
            <w:gridSpan w:val="3"/>
            <w:vAlign w:val="center"/>
            <w:hideMark/>
          </w:tcPr>
          <w:p w14:paraId="35DE9964" w14:textId="77777777" w:rsidR="00000000" w:rsidRDefault="00405D16">
            <w:pPr>
              <w:spacing w:after="100"/>
              <w:rPr>
                <w:rFonts w:eastAsia="Times New Roman"/>
                <w:sz w:val="20"/>
                <w:szCs w:val="20"/>
              </w:rPr>
            </w:pPr>
          </w:p>
        </w:tc>
        <w:tc>
          <w:tcPr>
            <w:tcW w:w="0" w:type="auto"/>
            <w:gridSpan w:val="3"/>
            <w:vAlign w:val="center"/>
            <w:hideMark/>
          </w:tcPr>
          <w:p w14:paraId="37AF6B9E" w14:textId="77777777" w:rsidR="00000000" w:rsidRDefault="00405D16">
            <w:pPr>
              <w:spacing w:after="100"/>
              <w:rPr>
                <w:rFonts w:eastAsia="Times New Roman"/>
                <w:sz w:val="20"/>
                <w:szCs w:val="20"/>
              </w:rPr>
            </w:pPr>
          </w:p>
        </w:tc>
        <w:tc>
          <w:tcPr>
            <w:tcW w:w="0" w:type="auto"/>
            <w:gridSpan w:val="3"/>
            <w:vAlign w:val="center"/>
            <w:hideMark/>
          </w:tcPr>
          <w:p w14:paraId="5FC06184" w14:textId="77777777" w:rsidR="00000000" w:rsidRDefault="00405D16">
            <w:pPr>
              <w:spacing w:after="100"/>
              <w:rPr>
                <w:rFonts w:eastAsia="Times New Roman"/>
                <w:sz w:val="20"/>
                <w:szCs w:val="20"/>
              </w:rPr>
            </w:pPr>
          </w:p>
        </w:tc>
        <w:tc>
          <w:tcPr>
            <w:tcW w:w="0" w:type="auto"/>
            <w:gridSpan w:val="3"/>
            <w:vAlign w:val="center"/>
            <w:hideMark/>
          </w:tcPr>
          <w:p w14:paraId="7269EBFA" w14:textId="77777777" w:rsidR="00000000" w:rsidRDefault="00405D16">
            <w:pPr>
              <w:spacing w:after="100"/>
              <w:rPr>
                <w:rFonts w:eastAsia="Times New Roman"/>
                <w:sz w:val="20"/>
                <w:szCs w:val="20"/>
              </w:rPr>
            </w:pPr>
          </w:p>
        </w:tc>
        <w:tc>
          <w:tcPr>
            <w:tcW w:w="0" w:type="auto"/>
            <w:gridSpan w:val="3"/>
            <w:vAlign w:val="center"/>
            <w:hideMark/>
          </w:tcPr>
          <w:p w14:paraId="648ECCA8" w14:textId="77777777" w:rsidR="00000000" w:rsidRDefault="00405D16">
            <w:pPr>
              <w:spacing w:after="100"/>
              <w:rPr>
                <w:rFonts w:eastAsia="Times New Roman"/>
                <w:sz w:val="20"/>
                <w:szCs w:val="20"/>
              </w:rPr>
            </w:pPr>
          </w:p>
        </w:tc>
        <w:tc>
          <w:tcPr>
            <w:tcW w:w="0" w:type="auto"/>
            <w:gridSpan w:val="3"/>
            <w:vAlign w:val="center"/>
            <w:hideMark/>
          </w:tcPr>
          <w:p w14:paraId="554E262B" w14:textId="77777777" w:rsidR="00000000" w:rsidRDefault="00405D16">
            <w:pPr>
              <w:spacing w:after="100"/>
              <w:rPr>
                <w:rFonts w:eastAsia="Times New Roman"/>
                <w:sz w:val="20"/>
                <w:szCs w:val="20"/>
              </w:rPr>
            </w:pPr>
          </w:p>
        </w:tc>
        <w:tc>
          <w:tcPr>
            <w:tcW w:w="0" w:type="auto"/>
            <w:gridSpan w:val="3"/>
            <w:vAlign w:val="center"/>
            <w:hideMark/>
          </w:tcPr>
          <w:p w14:paraId="321B10FF" w14:textId="77777777" w:rsidR="00000000" w:rsidRDefault="00405D16">
            <w:pPr>
              <w:spacing w:after="100"/>
              <w:rPr>
                <w:rFonts w:eastAsia="Times New Roman"/>
                <w:sz w:val="20"/>
                <w:szCs w:val="20"/>
              </w:rPr>
            </w:pPr>
          </w:p>
        </w:tc>
        <w:tc>
          <w:tcPr>
            <w:tcW w:w="0" w:type="auto"/>
            <w:gridSpan w:val="3"/>
            <w:vAlign w:val="center"/>
            <w:hideMark/>
          </w:tcPr>
          <w:p w14:paraId="5367C427" w14:textId="77777777" w:rsidR="00000000" w:rsidRDefault="00405D16">
            <w:pPr>
              <w:spacing w:after="100"/>
              <w:rPr>
                <w:rFonts w:eastAsia="Times New Roman"/>
                <w:sz w:val="20"/>
                <w:szCs w:val="20"/>
              </w:rPr>
            </w:pPr>
          </w:p>
        </w:tc>
        <w:tc>
          <w:tcPr>
            <w:tcW w:w="0" w:type="auto"/>
            <w:gridSpan w:val="3"/>
            <w:vAlign w:val="center"/>
            <w:hideMark/>
          </w:tcPr>
          <w:p w14:paraId="4EDCEAE0" w14:textId="77777777" w:rsidR="00000000" w:rsidRDefault="00405D16">
            <w:pPr>
              <w:spacing w:after="100"/>
              <w:rPr>
                <w:rFonts w:eastAsia="Times New Roman"/>
                <w:sz w:val="20"/>
                <w:szCs w:val="20"/>
              </w:rPr>
            </w:pPr>
          </w:p>
        </w:tc>
        <w:tc>
          <w:tcPr>
            <w:tcW w:w="0" w:type="auto"/>
            <w:gridSpan w:val="3"/>
            <w:vAlign w:val="center"/>
            <w:hideMark/>
          </w:tcPr>
          <w:p w14:paraId="0C2B83FF" w14:textId="77777777" w:rsidR="00000000" w:rsidRDefault="00405D16">
            <w:pPr>
              <w:spacing w:after="100"/>
              <w:rPr>
                <w:rFonts w:eastAsia="Times New Roman"/>
                <w:sz w:val="20"/>
                <w:szCs w:val="20"/>
              </w:rPr>
            </w:pPr>
          </w:p>
        </w:tc>
        <w:tc>
          <w:tcPr>
            <w:tcW w:w="0" w:type="auto"/>
            <w:gridSpan w:val="3"/>
            <w:vAlign w:val="center"/>
            <w:hideMark/>
          </w:tcPr>
          <w:p w14:paraId="7C738155" w14:textId="77777777" w:rsidR="00000000" w:rsidRDefault="00405D16">
            <w:pPr>
              <w:spacing w:after="100"/>
              <w:rPr>
                <w:rFonts w:eastAsia="Times New Roman"/>
                <w:sz w:val="20"/>
                <w:szCs w:val="20"/>
              </w:rPr>
            </w:pPr>
          </w:p>
        </w:tc>
      </w:tr>
      <w:tr w:rsidR="00000000" w14:paraId="5116DB9A" w14:textId="77777777">
        <w:trPr>
          <w:divId w:val="513231771"/>
        </w:trPr>
        <w:tc>
          <w:tcPr>
            <w:tcW w:w="0" w:type="auto"/>
            <w:gridSpan w:val="3"/>
            <w:vAlign w:val="center"/>
            <w:hideMark/>
          </w:tcPr>
          <w:p w14:paraId="034D9365" w14:textId="77777777" w:rsidR="00000000" w:rsidRDefault="00405D16">
            <w:pPr>
              <w:spacing w:after="100"/>
              <w:rPr>
                <w:rFonts w:eastAsia="Times New Roman"/>
                <w:sz w:val="20"/>
                <w:szCs w:val="20"/>
              </w:rPr>
            </w:pPr>
          </w:p>
        </w:tc>
        <w:tc>
          <w:tcPr>
            <w:tcW w:w="0" w:type="auto"/>
            <w:gridSpan w:val="3"/>
            <w:vAlign w:val="center"/>
            <w:hideMark/>
          </w:tcPr>
          <w:p w14:paraId="521C39B8" w14:textId="77777777" w:rsidR="00000000" w:rsidRDefault="00405D16">
            <w:pPr>
              <w:spacing w:after="100"/>
              <w:rPr>
                <w:rFonts w:eastAsia="Times New Roman"/>
                <w:sz w:val="20"/>
                <w:szCs w:val="20"/>
              </w:rPr>
            </w:pPr>
          </w:p>
        </w:tc>
        <w:tc>
          <w:tcPr>
            <w:tcW w:w="0" w:type="auto"/>
            <w:gridSpan w:val="3"/>
            <w:vAlign w:val="center"/>
            <w:hideMark/>
          </w:tcPr>
          <w:p w14:paraId="1FDF323F" w14:textId="77777777" w:rsidR="00000000" w:rsidRDefault="00405D16">
            <w:pPr>
              <w:spacing w:after="100"/>
              <w:rPr>
                <w:rFonts w:eastAsia="Times New Roman"/>
                <w:sz w:val="20"/>
                <w:szCs w:val="20"/>
              </w:rPr>
            </w:pPr>
          </w:p>
        </w:tc>
        <w:tc>
          <w:tcPr>
            <w:tcW w:w="0" w:type="auto"/>
            <w:gridSpan w:val="3"/>
            <w:vAlign w:val="center"/>
            <w:hideMark/>
          </w:tcPr>
          <w:p w14:paraId="509762AB" w14:textId="77777777" w:rsidR="00000000" w:rsidRDefault="00405D16">
            <w:pPr>
              <w:spacing w:after="100"/>
              <w:rPr>
                <w:rFonts w:eastAsia="Times New Roman"/>
                <w:sz w:val="20"/>
                <w:szCs w:val="20"/>
              </w:rPr>
            </w:pPr>
          </w:p>
        </w:tc>
        <w:tc>
          <w:tcPr>
            <w:tcW w:w="0" w:type="auto"/>
            <w:gridSpan w:val="3"/>
            <w:vAlign w:val="center"/>
            <w:hideMark/>
          </w:tcPr>
          <w:p w14:paraId="5AB11469" w14:textId="77777777" w:rsidR="00000000" w:rsidRDefault="00405D16">
            <w:pPr>
              <w:spacing w:after="100"/>
              <w:rPr>
                <w:rFonts w:eastAsia="Times New Roman"/>
                <w:sz w:val="20"/>
                <w:szCs w:val="20"/>
              </w:rPr>
            </w:pPr>
          </w:p>
        </w:tc>
        <w:tc>
          <w:tcPr>
            <w:tcW w:w="0" w:type="auto"/>
            <w:gridSpan w:val="3"/>
            <w:vAlign w:val="center"/>
            <w:hideMark/>
          </w:tcPr>
          <w:p w14:paraId="5668D543" w14:textId="77777777" w:rsidR="00000000" w:rsidRDefault="00405D16">
            <w:pPr>
              <w:spacing w:after="100"/>
              <w:rPr>
                <w:rFonts w:eastAsia="Times New Roman"/>
                <w:sz w:val="20"/>
                <w:szCs w:val="20"/>
              </w:rPr>
            </w:pPr>
          </w:p>
        </w:tc>
        <w:tc>
          <w:tcPr>
            <w:tcW w:w="0" w:type="auto"/>
            <w:gridSpan w:val="3"/>
            <w:vAlign w:val="center"/>
            <w:hideMark/>
          </w:tcPr>
          <w:p w14:paraId="0ECA525F" w14:textId="77777777" w:rsidR="00000000" w:rsidRDefault="00405D16">
            <w:pPr>
              <w:spacing w:after="100"/>
              <w:rPr>
                <w:rFonts w:eastAsia="Times New Roman"/>
                <w:sz w:val="20"/>
                <w:szCs w:val="20"/>
              </w:rPr>
            </w:pPr>
          </w:p>
        </w:tc>
        <w:tc>
          <w:tcPr>
            <w:tcW w:w="0" w:type="auto"/>
            <w:gridSpan w:val="3"/>
            <w:vAlign w:val="center"/>
            <w:hideMark/>
          </w:tcPr>
          <w:p w14:paraId="02C6B0A0" w14:textId="77777777" w:rsidR="00000000" w:rsidRDefault="00405D16">
            <w:pPr>
              <w:spacing w:after="100"/>
              <w:rPr>
                <w:rFonts w:eastAsia="Times New Roman"/>
                <w:sz w:val="20"/>
                <w:szCs w:val="20"/>
              </w:rPr>
            </w:pPr>
          </w:p>
        </w:tc>
        <w:tc>
          <w:tcPr>
            <w:tcW w:w="0" w:type="auto"/>
            <w:gridSpan w:val="3"/>
            <w:vAlign w:val="center"/>
            <w:hideMark/>
          </w:tcPr>
          <w:p w14:paraId="1B72A0C0" w14:textId="77777777" w:rsidR="00000000" w:rsidRDefault="00405D16">
            <w:pPr>
              <w:spacing w:after="100"/>
              <w:rPr>
                <w:rFonts w:eastAsia="Times New Roman"/>
                <w:sz w:val="20"/>
                <w:szCs w:val="20"/>
              </w:rPr>
            </w:pPr>
          </w:p>
        </w:tc>
        <w:tc>
          <w:tcPr>
            <w:tcW w:w="0" w:type="auto"/>
            <w:gridSpan w:val="3"/>
            <w:vAlign w:val="center"/>
            <w:hideMark/>
          </w:tcPr>
          <w:p w14:paraId="178DA931" w14:textId="77777777" w:rsidR="00000000" w:rsidRDefault="00405D16">
            <w:pPr>
              <w:spacing w:after="100"/>
              <w:rPr>
                <w:rFonts w:eastAsia="Times New Roman"/>
                <w:sz w:val="20"/>
                <w:szCs w:val="20"/>
              </w:rPr>
            </w:pPr>
          </w:p>
        </w:tc>
        <w:tc>
          <w:tcPr>
            <w:tcW w:w="0" w:type="auto"/>
            <w:gridSpan w:val="3"/>
            <w:vAlign w:val="center"/>
            <w:hideMark/>
          </w:tcPr>
          <w:p w14:paraId="30A07333" w14:textId="77777777" w:rsidR="00000000" w:rsidRDefault="00405D16">
            <w:pPr>
              <w:spacing w:after="100"/>
              <w:rPr>
                <w:rFonts w:eastAsia="Times New Roman"/>
                <w:sz w:val="20"/>
                <w:szCs w:val="20"/>
              </w:rPr>
            </w:pPr>
          </w:p>
        </w:tc>
        <w:tc>
          <w:tcPr>
            <w:tcW w:w="0" w:type="auto"/>
            <w:gridSpan w:val="3"/>
            <w:vAlign w:val="center"/>
            <w:hideMark/>
          </w:tcPr>
          <w:p w14:paraId="1670406D" w14:textId="77777777" w:rsidR="00000000" w:rsidRDefault="00405D16">
            <w:pPr>
              <w:spacing w:after="100"/>
              <w:rPr>
                <w:rFonts w:eastAsia="Times New Roman"/>
                <w:sz w:val="20"/>
                <w:szCs w:val="20"/>
              </w:rPr>
            </w:pPr>
          </w:p>
        </w:tc>
        <w:tc>
          <w:tcPr>
            <w:tcW w:w="0" w:type="auto"/>
            <w:gridSpan w:val="3"/>
            <w:vAlign w:val="center"/>
            <w:hideMark/>
          </w:tcPr>
          <w:p w14:paraId="6B64415A" w14:textId="77777777" w:rsidR="00000000" w:rsidRDefault="00405D16">
            <w:pPr>
              <w:spacing w:after="100"/>
              <w:rPr>
                <w:rFonts w:eastAsia="Times New Roman"/>
                <w:sz w:val="20"/>
                <w:szCs w:val="20"/>
              </w:rPr>
            </w:pPr>
          </w:p>
        </w:tc>
        <w:tc>
          <w:tcPr>
            <w:tcW w:w="0" w:type="auto"/>
            <w:gridSpan w:val="3"/>
            <w:vAlign w:val="center"/>
            <w:hideMark/>
          </w:tcPr>
          <w:p w14:paraId="002C1CE6" w14:textId="77777777" w:rsidR="00000000" w:rsidRDefault="00405D16">
            <w:pPr>
              <w:spacing w:after="100"/>
              <w:rPr>
                <w:rFonts w:eastAsia="Times New Roman"/>
                <w:sz w:val="20"/>
                <w:szCs w:val="20"/>
              </w:rPr>
            </w:pPr>
          </w:p>
        </w:tc>
        <w:tc>
          <w:tcPr>
            <w:tcW w:w="0" w:type="auto"/>
            <w:gridSpan w:val="3"/>
            <w:vAlign w:val="center"/>
            <w:hideMark/>
          </w:tcPr>
          <w:p w14:paraId="375D5921" w14:textId="77777777" w:rsidR="00000000" w:rsidRDefault="00405D16">
            <w:pPr>
              <w:spacing w:after="100"/>
              <w:rPr>
                <w:rFonts w:eastAsia="Times New Roman"/>
                <w:sz w:val="20"/>
                <w:szCs w:val="20"/>
              </w:rPr>
            </w:pPr>
          </w:p>
        </w:tc>
        <w:tc>
          <w:tcPr>
            <w:tcW w:w="0" w:type="auto"/>
            <w:gridSpan w:val="3"/>
            <w:vAlign w:val="center"/>
            <w:hideMark/>
          </w:tcPr>
          <w:p w14:paraId="13311BF6" w14:textId="77777777" w:rsidR="00000000" w:rsidRDefault="00405D16">
            <w:pPr>
              <w:spacing w:after="100"/>
              <w:rPr>
                <w:rFonts w:eastAsia="Times New Roman"/>
                <w:sz w:val="20"/>
                <w:szCs w:val="20"/>
              </w:rPr>
            </w:pPr>
          </w:p>
        </w:tc>
        <w:tc>
          <w:tcPr>
            <w:tcW w:w="0" w:type="auto"/>
            <w:gridSpan w:val="3"/>
            <w:vAlign w:val="center"/>
            <w:hideMark/>
          </w:tcPr>
          <w:p w14:paraId="5E0A6D7A" w14:textId="77777777" w:rsidR="00000000" w:rsidRDefault="00405D16">
            <w:pPr>
              <w:spacing w:after="100"/>
              <w:rPr>
                <w:rFonts w:eastAsia="Times New Roman"/>
                <w:sz w:val="20"/>
                <w:szCs w:val="20"/>
              </w:rPr>
            </w:pPr>
          </w:p>
        </w:tc>
      </w:tr>
      <w:tr w:rsidR="00000000" w14:paraId="4952239C" w14:textId="77777777">
        <w:trPr>
          <w:divId w:val="513231771"/>
        </w:trPr>
        <w:tc>
          <w:tcPr>
            <w:tcW w:w="0" w:type="auto"/>
            <w:gridSpan w:val="3"/>
            <w:vAlign w:val="center"/>
            <w:hideMark/>
          </w:tcPr>
          <w:p w14:paraId="74F38D91" w14:textId="77777777" w:rsidR="00000000" w:rsidRDefault="00405D16">
            <w:pPr>
              <w:spacing w:after="100"/>
              <w:rPr>
                <w:rFonts w:eastAsia="Times New Roman"/>
                <w:sz w:val="20"/>
                <w:szCs w:val="20"/>
              </w:rPr>
            </w:pPr>
          </w:p>
        </w:tc>
        <w:tc>
          <w:tcPr>
            <w:tcW w:w="0" w:type="auto"/>
            <w:gridSpan w:val="3"/>
            <w:vAlign w:val="center"/>
            <w:hideMark/>
          </w:tcPr>
          <w:p w14:paraId="3E8ADFB9" w14:textId="77777777" w:rsidR="00000000" w:rsidRDefault="00405D16">
            <w:pPr>
              <w:spacing w:after="100"/>
              <w:rPr>
                <w:rFonts w:eastAsia="Times New Roman"/>
                <w:sz w:val="20"/>
                <w:szCs w:val="20"/>
              </w:rPr>
            </w:pPr>
          </w:p>
        </w:tc>
        <w:tc>
          <w:tcPr>
            <w:tcW w:w="0" w:type="auto"/>
            <w:gridSpan w:val="3"/>
            <w:vAlign w:val="center"/>
            <w:hideMark/>
          </w:tcPr>
          <w:p w14:paraId="70B59359" w14:textId="77777777" w:rsidR="00000000" w:rsidRDefault="00405D16">
            <w:pPr>
              <w:spacing w:after="100"/>
              <w:rPr>
                <w:rFonts w:eastAsia="Times New Roman"/>
                <w:sz w:val="20"/>
                <w:szCs w:val="20"/>
              </w:rPr>
            </w:pPr>
          </w:p>
        </w:tc>
        <w:tc>
          <w:tcPr>
            <w:tcW w:w="0" w:type="auto"/>
            <w:gridSpan w:val="3"/>
            <w:vAlign w:val="center"/>
            <w:hideMark/>
          </w:tcPr>
          <w:p w14:paraId="00E2A0B1" w14:textId="77777777" w:rsidR="00000000" w:rsidRDefault="00405D16">
            <w:pPr>
              <w:spacing w:after="100"/>
              <w:rPr>
                <w:rFonts w:eastAsia="Times New Roman"/>
                <w:sz w:val="20"/>
                <w:szCs w:val="20"/>
              </w:rPr>
            </w:pPr>
          </w:p>
        </w:tc>
        <w:tc>
          <w:tcPr>
            <w:tcW w:w="0" w:type="auto"/>
            <w:gridSpan w:val="3"/>
            <w:vAlign w:val="center"/>
            <w:hideMark/>
          </w:tcPr>
          <w:p w14:paraId="113B5463" w14:textId="77777777" w:rsidR="00000000" w:rsidRDefault="00405D16">
            <w:pPr>
              <w:spacing w:after="100"/>
              <w:rPr>
                <w:rFonts w:eastAsia="Times New Roman"/>
                <w:sz w:val="20"/>
                <w:szCs w:val="20"/>
              </w:rPr>
            </w:pPr>
          </w:p>
        </w:tc>
        <w:tc>
          <w:tcPr>
            <w:tcW w:w="0" w:type="auto"/>
            <w:gridSpan w:val="3"/>
            <w:vAlign w:val="center"/>
            <w:hideMark/>
          </w:tcPr>
          <w:p w14:paraId="2C210247" w14:textId="77777777" w:rsidR="00000000" w:rsidRDefault="00405D16">
            <w:pPr>
              <w:spacing w:after="100"/>
              <w:rPr>
                <w:rFonts w:eastAsia="Times New Roman"/>
                <w:sz w:val="20"/>
                <w:szCs w:val="20"/>
              </w:rPr>
            </w:pPr>
          </w:p>
        </w:tc>
        <w:tc>
          <w:tcPr>
            <w:tcW w:w="0" w:type="auto"/>
            <w:gridSpan w:val="3"/>
            <w:vAlign w:val="center"/>
            <w:hideMark/>
          </w:tcPr>
          <w:p w14:paraId="0961387F" w14:textId="77777777" w:rsidR="00000000" w:rsidRDefault="00405D16">
            <w:pPr>
              <w:spacing w:after="100"/>
              <w:rPr>
                <w:rFonts w:eastAsia="Times New Roman"/>
                <w:sz w:val="20"/>
                <w:szCs w:val="20"/>
              </w:rPr>
            </w:pPr>
          </w:p>
        </w:tc>
        <w:tc>
          <w:tcPr>
            <w:tcW w:w="0" w:type="auto"/>
            <w:gridSpan w:val="3"/>
            <w:vAlign w:val="center"/>
            <w:hideMark/>
          </w:tcPr>
          <w:p w14:paraId="71C12209" w14:textId="77777777" w:rsidR="00000000" w:rsidRDefault="00405D16">
            <w:pPr>
              <w:spacing w:after="100"/>
              <w:rPr>
                <w:rFonts w:eastAsia="Times New Roman"/>
                <w:sz w:val="20"/>
                <w:szCs w:val="20"/>
              </w:rPr>
            </w:pPr>
          </w:p>
        </w:tc>
        <w:tc>
          <w:tcPr>
            <w:tcW w:w="0" w:type="auto"/>
            <w:gridSpan w:val="3"/>
            <w:vAlign w:val="center"/>
            <w:hideMark/>
          </w:tcPr>
          <w:p w14:paraId="194396D1" w14:textId="77777777" w:rsidR="00000000" w:rsidRDefault="00405D16">
            <w:pPr>
              <w:spacing w:after="100"/>
              <w:rPr>
                <w:rFonts w:eastAsia="Times New Roman"/>
                <w:sz w:val="20"/>
                <w:szCs w:val="20"/>
              </w:rPr>
            </w:pPr>
          </w:p>
        </w:tc>
        <w:tc>
          <w:tcPr>
            <w:tcW w:w="0" w:type="auto"/>
            <w:gridSpan w:val="3"/>
            <w:vAlign w:val="center"/>
            <w:hideMark/>
          </w:tcPr>
          <w:p w14:paraId="50FD7C35" w14:textId="77777777" w:rsidR="00000000" w:rsidRDefault="00405D16">
            <w:pPr>
              <w:spacing w:after="100"/>
              <w:rPr>
                <w:rFonts w:eastAsia="Times New Roman"/>
                <w:sz w:val="20"/>
                <w:szCs w:val="20"/>
              </w:rPr>
            </w:pPr>
          </w:p>
        </w:tc>
        <w:tc>
          <w:tcPr>
            <w:tcW w:w="0" w:type="auto"/>
            <w:gridSpan w:val="3"/>
            <w:vAlign w:val="center"/>
            <w:hideMark/>
          </w:tcPr>
          <w:p w14:paraId="2792E482" w14:textId="77777777" w:rsidR="00000000" w:rsidRDefault="00405D16">
            <w:pPr>
              <w:spacing w:after="100"/>
              <w:rPr>
                <w:rFonts w:eastAsia="Times New Roman"/>
                <w:sz w:val="20"/>
                <w:szCs w:val="20"/>
              </w:rPr>
            </w:pPr>
          </w:p>
        </w:tc>
        <w:tc>
          <w:tcPr>
            <w:tcW w:w="0" w:type="auto"/>
            <w:gridSpan w:val="3"/>
            <w:vAlign w:val="center"/>
            <w:hideMark/>
          </w:tcPr>
          <w:p w14:paraId="49550E3E" w14:textId="77777777" w:rsidR="00000000" w:rsidRDefault="00405D16">
            <w:pPr>
              <w:spacing w:after="100"/>
              <w:rPr>
                <w:rFonts w:eastAsia="Times New Roman"/>
                <w:sz w:val="20"/>
                <w:szCs w:val="20"/>
              </w:rPr>
            </w:pPr>
          </w:p>
        </w:tc>
        <w:tc>
          <w:tcPr>
            <w:tcW w:w="0" w:type="auto"/>
            <w:gridSpan w:val="3"/>
            <w:vAlign w:val="center"/>
            <w:hideMark/>
          </w:tcPr>
          <w:p w14:paraId="5F103125" w14:textId="77777777" w:rsidR="00000000" w:rsidRDefault="00405D16">
            <w:pPr>
              <w:spacing w:after="100"/>
              <w:rPr>
                <w:rFonts w:eastAsia="Times New Roman"/>
                <w:sz w:val="20"/>
                <w:szCs w:val="20"/>
              </w:rPr>
            </w:pPr>
          </w:p>
        </w:tc>
        <w:tc>
          <w:tcPr>
            <w:tcW w:w="0" w:type="auto"/>
            <w:gridSpan w:val="3"/>
            <w:vAlign w:val="center"/>
            <w:hideMark/>
          </w:tcPr>
          <w:p w14:paraId="0B3A435E" w14:textId="77777777" w:rsidR="00000000" w:rsidRDefault="00405D16">
            <w:pPr>
              <w:spacing w:after="100"/>
              <w:rPr>
                <w:rFonts w:eastAsia="Times New Roman"/>
                <w:sz w:val="20"/>
                <w:szCs w:val="20"/>
              </w:rPr>
            </w:pPr>
          </w:p>
        </w:tc>
        <w:tc>
          <w:tcPr>
            <w:tcW w:w="0" w:type="auto"/>
            <w:gridSpan w:val="3"/>
            <w:vAlign w:val="center"/>
            <w:hideMark/>
          </w:tcPr>
          <w:p w14:paraId="55372857" w14:textId="77777777" w:rsidR="00000000" w:rsidRDefault="00405D16">
            <w:pPr>
              <w:spacing w:after="100"/>
              <w:rPr>
                <w:rFonts w:eastAsia="Times New Roman"/>
                <w:sz w:val="20"/>
                <w:szCs w:val="20"/>
              </w:rPr>
            </w:pPr>
          </w:p>
        </w:tc>
        <w:tc>
          <w:tcPr>
            <w:tcW w:w="0" w:type="auto"/>
            <w:gridSpan w:val="3"/>
            <w:vAlign w:val="center"/>
            <w:hideMark/>
          </w:tcPr>
          <w:p w14:paraId="40137E7A" w14:textId="77777777" w:rsidR="00000000" w:rsidRDefault="00405D16">
            <w:pPr>
              <w:spacing w:after="100"/>
              <w:rPr>
                <w:rFonts w:eastAsia="Times New Roman"/>
                <w:sz w:val="20"/>
                <w:szCs w:val="20"/>
              </w:rPr>
            </w:pPr>
          </w:p>
        </w:tc>
        <w:tc>
          <w:tcPr>
            <w:tcW w:w="0" w:type="auto"/>
            <w:gridSpan w:val="3"/>
            <w:vAlign w:val="center"/>
            <w:hideMark/>
          </w:tcPr>
          <w:p w14:paraId="46E7E53D" w14:textId="77777777" w:rsidR="00000000" w:rsidRDefault="00405D16">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56BBF770" w14:textId="77777777">
        <w:trPr>
          <w:jc w:val="center"/>
        </w:trPr>
        <w:tc>
          <w:tcPr>
            <w:tcW w:w="50" w:type="pct"/>
            <w:vAlign w:val="center"/>
            <w:hideMark/>
          </w:tcPr>
          <w:p w14:paraId="6F2CF854" w14:textId="77777777" w:rsidR="00000000" w:rsidRDefault="00405D16">
            <w:pPr>
              <w:jc w:val="both"/>
              <w:rPr>
                <w:rFonts w:eastAsia="Times New Roman"/>
              </w:rPr>
            </w:pPr>
          </w:p>
        </w:tc>
        <w:tc>
          <w:tcPr>
            <w:tcW w:w="1606" w:type="pct"/>
            <w:vAlign w:val="center"/>
            <w:hideMark/>
          </w:tcPr>
          <w:p w14:paraId="2B3F947F" w14:textId="77777777" w:rsidR="00000000" w:rsidRDefault="00405D16">
            <w:pPr>
              <w:spacing w:after="100"/>
              <w:rPr>
                <w:rFonts w:eastAsia="Times New Roman"/>
                <w:sz w:val="20"/>
                <w:szCs w:val="20"/>
              </w:rPr>
            </w:pPr>
          </w:p>
        </w:tc>
        <w:tc>
          <w:tcPr>
            <w:tcW w:w="5" w:type="pct"/>
            <w:vAlign w:val="center"/>
            <w:hideMark/>
          </w:tcPr>
          <w:p w14:paraId="413087DB" w14:textId="77777777" w:rsidR="00000000" w:rsidRDefault="00405D16">
            <w:pPr>
              <w:spacing w:after="100"/>
              <w:rPr>
                <w:rFonts w:eastAsia="Times New Roman"/>
                <w:sz w:val="20"/>
                <w:szCs w:val="20"/>
              </w:rPr>
            </w:pPr>
          </w:p>
        </w:tc>
        <w:tc>
          <w:tcPr>
            <w:tcW w:w="50" w:type="pct"/>
            <w:vAlign w:val="center"/>
            <w:hideMark/>
          </w:tcPr>
          <w:p w14:paraId="7DD8AD7A" w14:textId="77777777" w:rsidR="00000000" w:rsidRDefault="00405D16">
            <w:pPr>
              <w:spacing w:after="100"/>
              <w:rPr>
                <w:rFonts w:eastAsia="Times New Roman"/>
                <w:sz w:val="20"/>
                <w:szCs w:val="20"/>
              </w:rPr>
            </w:pPr>
          </w:p>
        </w:tc>
        <w:tc>
          <w:tcPr>
            <w:tcW w:w="1614" w:type="pct"/>
            <w:vAlign w:val="center"/>
            <w:hideMark/>
          </w:tcPr>
          <w:p w14:paraId="7C84281D" w14:textId="77777777" w:rsidR="00000000" w:rsidRDefault="00405D16">
            <w:pPr>
              <w:spacing w:after="100"/>
              <w:rPr>
                <w:rFonts w:eastAsia="Times New Roman"/>
                <w:sz w:val="20"/>
                <w:szCs w:val="20"/>
              </w:rPr>
            </w:pPr>
          </w:p>
        </w:tc>
        <w:tc>
          <w:tcPr>
            <w:tcW w:w="5" w:type="pct"/>
            <w:vAlign w:val="center"/>
            <w:hideMark/>
          </w:tcPr>
          <w:p w14:paraId="7503D80B" w14:textId="77777777" w:rsidR="00000000" w:rsidRDefault="00405D16">
            <w:pPr>
              <w:spacing w:after="100"/>
              <w:rPr>
                <w:rFonts w:eastAsia="Times New Roman"/>
                <w:sz w:val="20"/>
                <w:szCs w:val="20"/>
              </w:rPr>
            </w:pPr>
          </w:p>
        </w:tc>
        <w:tc>
          <w:tcPr>
            <w:tcW w:w="50" w:type="pct"/>
            <w:vAlign w:val="center"/>
            <w:hideMark/>
          </w:tcPr>
          <w:p w14:paraId="2F841369" w14:textId="77777777" w:rsidR="00000000" w:rsidRDefault="00405D16">
            <w:pPr>
              <w:spacing w:after="100"/>
              <w:rPr>
                <w:rFonts w:eastAsia="Times New Roman"/>
                <w:sz w:val="20"/>
                <w:szCs w:val="20"/>
              </w:rPr>
            </w:pPr>
          </w:p>
        </w:tc>
        <w:tc>
          <w:tcPr>
            <w:tcW w:w="1614" w:type="pct"/>
            <w:vAlign w:val="center"/>
            <w:hideMark/>
          </w:tcPr>
          <w:p w14:paraId="78E96EE5" w14:textId="77777777" w:rsidR="00000000" w:rsidRDefault="00405D16">
            <w:pPr>
              <w:spacing w:after="100"/>
              <w:rPr>
                <w:rFonts w:eastAsia="Times New Roman"/>
                <w:sz w:val="20"/>
                <w:szCs w:val="20"/>
              </w:rPr>
            </w:pPr>
          </w:p>
        </w:tc>
        <w:tc>
          <w:tcPr>
            <w:tcW w:w="5" w:type="pct"/>
            <w:vAlign w:val="center"/>
            <w:hideMark/>
          </w:tcPr>
          <w:p w14:paraId="2E503989" w14:textId="77777777" w:rsidR="00000000" w:rsidRDefault="00405D16">
            <w:pPr>
              <w:spacing w:after="100"/>
              <w:rPr>
                <w:rFonts w:eastAsia="Times New Roman"/>
                <w:sz w:val="20"/>
                <w:szCs w:val="20"/>
              </w:rPr>
            </w:pPr>
          </w:p>
        </w:tc>
      </w:tr>
      <w:tr w:rsidR="00000000" w14:paraId="042B66D9" w14:textId="77777777">
        <w:trPr>
          <w:trHeight w:val="300"/>
          <w:jc w:val="center"/>
        </w:trPr>
        <w:tc>
          <w:tcPr>
            <w:tcW w:w="0" w:type="auto"/>
            <w:gridSpan w:val="9"/>
            <w:tcMar>
              <w:top w:w="0" w:type="dxa"/>
              <w:left w:w="20" w:type="dxa"/>
              <w:bottom w:w="0" w:type="dxa"/>
              <w:right w:w="20" w:type="dxa"/>
            </w:tcMar>
            <w:vAlign w:val="center"/>
            <w:hideMark/>
          </w:tcPr>
          <w:p w14:paraId="04106626" w14:textId="77777777" w:rsidR="00000000" w:rsidRDefault="00405D16">
            <w:pPr>
              <w:spacing w:after="100"/>
              <w:rPr>
                <w:rFonts w:eastAsia="Times New Roman"/>
                <w:sz w:val="20"/>
                <w:szCs w:val="20"/>
              </w:rPr>
            </w:pPr>
          </w:p>
        </w:tc>
      </w:tr>
      <w:tr w:rsidR="00000000" w14:paraId="03E3BD3B" w14:textId="77777777">
        <w:trPr>
          <w:jc w:val="center"/>
        </w:trPr>
        <w:tc>
          <w:tcPr>
            <w:tcW w:w="0" w:type="auto"/>
            <w:gridSpan w:val="3"/>
            <w:tcMar>
              <w:top w:w="0" w:type="dxa"/>
              <w:left w:w="20" w:type="dxa"/>
              <w:bottom w:w="0" w:type="dxa"/>
              <w:right w:w="20" w:type="dxa"/>
            </w:tcMar>
            <w:vAlign w:val="center"/>
            <w:hideMark/>
          </w:tcPr>
          <w:p w14:paraId="1015384D"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91D8E8F" w14:textId="77777777" w:rsidR="00000000" w:rsidRDefault="00405D16">
            <w:pPr>
              <w:spacing w:after="100"/>
              <w:jc w:val="center"/>
              <w:rPr>
                <w:rFonts w:eastAsia="Times New Roman"/>
              </w:rPr>
            </w:pPr>
            <w:r>
              <w:rPr>
                <w:rFonts w:eastAsia="Times New Roman"/>
                <w:color w:val="000000"/>
                <w:sz w:val="16"/>
                <w:szCs w:val="16"/>
              </w:rPr>
              <w:t>49</w:t>
            </w:r>
          </w:p>
        </w:tc>
        <w:tc>
          <w:tcPr>
            <w:tcW w:w="0" w:type="auto"/>
            <w:gridSpan w:val="3"/>
            <w:tcMar>
              <w:top w:w="30" w:type="dxa"/>
              <w:left w:w="20" w:type="dxa"/>
              <w:bottom w:w="30" w:type="dxa"/>
              <w:right w:w="20" w:type="dxa"/>
            </w:tcMar>
            <w:vAlign w:val="bottom"/>
            <w:hideMark/>
          </w:tcPr>
          <w:p w14:paraId="1DF2BA59"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52DF2C31" w14:textId="77777777" w:rsidR="00000000" w:rsidRDefault="00405D16">
      <w:pPr>
        <w:rPr>
          <w:rFonts w:eastAsia="Times New Roman"/>
        </w:rPr>
      </w:pPr>
      <w:r>
        <w:rPr>
          <w:rFonts w:eastAsia="Times New Roman"/>
        </w:rPr>
        <w:pict w14:anchorId="11FC2C12">
          <v:rect id="_x0000_i1074" style="width:0;height:1.5pt" o:hralign="center" o:hrstd="t" o:hr="t" fillcolor="#a0a0a0" stroked="f"/>
        </w:pict>
      </w:r>
    </w:p>
    <w:p w14:paraId="56AF30A3" w14:textId="77777777" w:rsidR="00000000" w:rsidRDefault="00405D16">
      <w:pPr>
        <w:ind w:hanging="360"/>
        <w:jc w:val="both"/>
        <w:divId w:val="1088888782"/>
        <w:rPr>
          <w:rFonts w:eastAsia="Times New Roman"/>
        </w:rPr>
      </w:pPr>
      <w:hyperlink w:anchor="idd54a04a485440b4ab4e56094c14d612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40"/>
        <w:gridCol w:w="2192"/>
        <w:gridCol w:w="39"/>
        <w:gridCol w:w="36"/>
        <w:gridCol w:w="36"/>
        <w:gridCol w:w="36"/>
        <w:gridCol w:w="100"/>
        <w:gridCol w:w="480"/>
        <w:gridCol w:w="36"/>
        <w:gridCol w:w="36"/>
        <w:gridCol w:w="36"/>
        <w:gridCol w:w="36"/>
        <w:gridCol w:w="101"/>
        <w:gridCol w:w="674"/>
        <w:gridCol w:w="36"/>
        <w:gridCol w:w="36"/>
        <w:gridCol w:w="36"/>
        <w:gridCol w:w="36"/>
        <w:gridCol w:w="100"/>
        <w:gridCol w:w="480"/>
        <w:gridCol w:w="36"/>
        <w:gridCol w:w="36"/>
        <w:gridCol w:w="36"/>
        <w:gridCol w:w="36"/>
        <w:gridCol w:w="100"/>
        <w:gridCol w:w="400"/>
        <w:gridCol w:w="36"/>
        <w:gridCol w:w="36"/>
        <w:gridCol w:w="36"/>
        <w:gridCol w:w="36"/>
        <w:gridCol w:w="101"/>
        <w:gridCol w:w="416"/>
        <w:gridCol w:w="36"/>
        <w:gridCol w:w="36"/>
        <w:gridCol w:w="36"/>
        <w:gridCol w:w="36"/>
        <w:gridCol w:w="101"/>
        <w:gridCol w:w="526"/>
        <w:gridCol w:w="36"/>
        <w:gridCol w:w="36"/>
        <w:gridCol w:w="36"/>
        <w:gridCol w:w="36"/>
        <w:gridCol w:w="101"/>
        <w:gridCol w:w="623"/>
        <w:gridCol w:w="36"/>
        <w:gridCol w:w="36"/>
        <w:gridCol w:w="36"/>
        <w:gridCol w:w="36"/>
        <w:gridCol w:w="100"/>
        <w:gridCol w:w="480"/>
        <w:gridCol w:w="36"/>
      </w:tblGrid>
      <w:tr w:rsidR="00000000" w14:paraId="76A4BA9B" w14:textId="77777777">
        <w:trPr>
          <w:divId w:val="1146514285"/>
        </w:trPr>
        <w:tc>
          <w:tcPr>
            <w:tcW w:w="50" w:type="pct"/>
            <w:vAlign w:val="center"/>
            <w:hideMark/>
          </w:tcPr>
          <w:p w14:paraId="19E9B914" w14:textId="77777777" w:rsidR="00000000" w:rsidRDefault="00405D16">
            <w:pPr>
              <w:ind w:hanging="360"/>
              <w:jc w:val="both"/>
              <w:rPr>
                <w:rFonts w:eastAsia="Times New Roman"/>
              </w:rPr>
            </w:pPr>
          </w:p>
        </w:tc>
        <w:tc>
          <w:tcPr>
            <w:tcW w:w="1955" w:type="pct"/>
            <w:vAlign w:val="center"/>
            <w:hideMark/>
          </w:tcPr>
          <w:p w14:paraId="366E0244" w14:textId="77777777" w:rsidR="00000000" w:rsidRDefault="00405D16">
            <w:pPr>
              <w:spacing w:after="100"/>
              <w:rPr>
                <w:rFonts w:eastAsia="Times New Roman"/>
                <w:sz w:val="20"/>
                <w:szCs w:val="20"/>
              </w:rPr>
            </w:pPr>
          </w:p>
        </w:tc>
        <w:tc>
          <w:tcPr>
            <w:tcW w:w="5" w:type="pct"/>
            <w:vAlign w:val="center"/>
            <w:hideMark/>
          </w:tcPr>
          <w:p w14:paraId="3559C7EA" w14:textId="77777777" w:rsidR="00000000" w:rsidRDefault="00405D16">
            <w:pPr>
              <w:spacing w:after="100"/>
              <w:rPr>
                <w:rFonts w:eastAsia="Times New Roman"/>
                <w:sz w:val="20"/>
                <w:szCs w:val="20"/>
              </w:rPr>
            </w:pPr>
          </w:p>
        </w:tc>
        <w:tc>
          <w:tcPr>
            <w:tcW w:w="5" w:type="pct"/>
            <w:vAlign w:val="center"/>
            <w:hideMark/>
          </w:tcPr>
          <w:p w14:paraId="50573459" w14:textId="77777777" w:rsidR="00000000" w:rsidRDefault="00405D16">
            <w:pPr>
              <w:spacing w:after="100"/>
              <w:rPr>
                <w:rFonts w:eastAsia="Times New Roman"/>
                <w:sz w:val="20"/>
                <w:szCs w:val="20"/>
              </w:rPr>
            </w:pPr>
          </w:p>
        </w:tc>
        <w:tc>
          <w:tcPr>
            <w:tcW w:w="26" w:type="pct"/>
            <w:vAlign w:val="center"/>
            <w:hideMark/>
          </w:tcPr>
          <w:p w14:paraId="3C801A17" w14:textId="77777777" w:rsidR="00000000" w:rsidRDefault="00405D16">
            <w:pPr>
              <w:spacing w:after="100"/>
              <w:rPr>
                <w:rFonts w:eastAsia="Times New Roman"/>
                <w:sz w:val="20"/>
                <w:szCs w:val="20"/>
              </w:rPr>
            </w:pPr>
          </w:p>
        </w:tc>
        <w:tc>
          <w:tcPr>
            <w:tcW w:w="5" w:type="pct"/>
            <w:vAlign w:val="center"/>
            <w:hideMark/>
          </w:tcPr>
          <w:p w14:paraId="1975C371" w14:textId="77777777" w:rsidR="00000000" w:rsidRDefault="00405D16">
            <w:pPr>
              <w:spacing w:after="100"/>
              <w:rPr>
                <w:rFonts w:eastAsia="Times New Roman"/>
                <w:sz w:val="20"/>
                <w:szCs w:val="20"/>
              </w:rPr>
            </w:pPr>
          </w:p>
        </w:tc>
        <w:tc>
          <w:tcPr>
            <w:tcW w:w="50" w:type="pct"/>
            <w:vAlign w:val="center"/>
            <w:hideMark/>
          </w:tcPr>
          <w:p w14:paraId="55D78CC8" w14:textId="77777777" w:rsidR="00000000" w:rsidRDefault="00405D16">
            <w:pPr>
              <w:spacing w:after="100"/>
              <w:rPr>
                <w:rFonts w:eastAsia="Times New Roman"/>
                <w:sz w:val="20"/>
                <w:szCs w:val="20"/>
              </w:rPr>
            </w:pPr>
          </w:p>
        </w:tc>
        <w:tc>
          <w:tcPr>
            <w:tcW w:w="266" w:type="pct"/>
            <w:vAlign w:val="center"/>
            <w:hideMark/>
          </w:tcPr>
          <w:p w14:paraId="4940C07A" w14:textId="77777777" w:rsidR="00000000" w:rsidRDefault="00405D16">
            <w:pPr>
              <w:spacing w:after="100"/>
              <w:rPr>
                <w:rFonts w:eastAsia="Times New Roman"/>
                <w:sz w:val="20"/>
                <w:szCs w:val="20"/>
              </w:rPr>
            </w:pPr>
          </w:p>
        </w:tc>
        <w:tc>
          <w:tcPr>
            <w:tcW w:w="5" w:type="pct"/>
            <w:vAlign w:val="center"/>
            <w:hideMark/>
          </w:tcPr>
          <w:p w14:paraId="5424F0C5" w14:textId="77777777" w:rsidR="00000000" w:rsidRDefault="00405D16">
            <w:pPr>
              <w:spacing w:after="100"/>
              <w:rPr>
                <w:rFonts w:eastAsia="Times New Roman"/>
                <w:sz w:val="20"/>
                <w:szCs w:val="20"/>
              </w:rPr>
            </w:pPr>
          </w:p>
        </w:tc>
        <w:tc>
          <w:tcPr>
            <w:tcW w:w="5" w:type="pct"/>
            <w:vAlign w:val="center"/>
            <w:hideMark/>
          </w:tcPr>
          <w:p w14:paraId="28359759" w14:textId="77777777" w:rsidR="00000000" w:rsidRDefault="00405D16">
            <w:pPr>
              <w:spacing w:after="100"/>
              <w:rPr>
                <w:rFonts w:eastAsia="Times New Roman"/>
                <w:sz w:val="20"/>
                <w:szCs w:val="20"/>
              </w:rPr>
            </w:pPr>
          </w:p>
        </w:tc>
        <w:tc>
          <w:tcPr>
            <w:tcW w:w="26" w:type="pct"/>
            <w:vAlign w:val="center"/>
            <w:hideMark/>
          </w:tcPr>
          <w:p w14:paraId="2AFC0CBF" w14:textId="77777777" w:rsidR="00000000" w:rsidRDefault="00405D16">
            <w:pPr>
              <w:spacing w:after="100"/>
              <w:rPr>
                <w:rFonts w:eastAsia="Times New Roman"/>
                <w:sz w:val="20"/>
                <w:szCs w:val="20"/>
              </w:rPr>
            </w:pPr>
          </w:p>
        </w:tc>
        <w:tc>
          <w:tcPr>
            <w:tcW w:w="5" w:type="pct"/>
            <w:vAlign w:val="center"/>
            <w:hideMark/>
          </w:tcPr>
          <w:p w14:paraId="2281C5F1" w14:textId="77777777" w:rsidR="00000000" w:rsidRDefault="00405D16">
            <w:pPr>
              <w:spacing w:after="100"/>
              <w:rPr>
                <w:rFonts w:eastAsia="Times New Roman"/>
                <w:sz w:val="20"/>
                <w:szCs w:val="20"/>
              </w:rPr>
            </w:pPr>
          </w:p>
        </w:tc>
        <w:tc>
          <w:tcPr>
            <w:tcW w:w="50" w:type="pct"/>
            <w:vAlign w:val="center"/>
            <w:hideMark/>
          </w:tcPr>
          <w:p w14:paraId="67937E1F" w14:textId="77777777" w:rsidR="00000000" w:rsidRDefault="00405D16">
            <w:pPr>
              <w:spacing w:after="100"/>
              <w:rPr>
                <w:rFonts w:eastAsia="Times New Roman"/>
                <w:sz w:val="20"/>
                <w:szCs w:val="20"/>
              </w:rPr>
            </w:pPr>
          </w:p>
        </w:tc>
        <w:tc>
          <w:tcPr>
            <w:tcW w:w="361" w:type="pct"/>
            <w:vAlign w:val="center"/>
            <w:hideMark/>
          </w:tcPr>
          <w:p w14:paraId="205A67B8" w14:textId="77777777" w:rsidR="00000000" w:rsidRDefault="00405D16">
            <w:pPr>
              <w:spacing w:after="100"/>
              <w:rPr>
                <w:rFonts w:eastAsia="Times New Roman"/>
                <w:sz w:val="20"/>
                <w:szCs w:val="20"/>
              </w:rPr>
            </w:pPr>
          </w:p>
        </w:tc>
        <w:tc>
          <w:tcPr>
            <w:tcW w:w="5" w:type="pct"/>
            <w:vAlign w:val="center"/>
            <w:hideMark/>
          </w:tcPr>
          <w:p w14:paraId="4749CC5E" w14:textId="77777777" w:rsidR="00000000" w:rsidRDefault="00405D16">
            <w:pPr>
              <w:spacing w:after="100"/>
              <w:rPr>
                <w:rFonts w:eastAsia="Times New Roman"/>
                <w:sz w:val="20"/>
                <w:szCs w:val="20"/>
              </w:rPr>
            </w:pPr>
          </w:p>
        </w:tc>
        <w:tc>
          <w:tcPr>
            <w:tcW w:w="5" w:type="pct"/>
            <w:vAlign w:val="center"/>
            <w:hideMark/>
          </w:tcPr>
          <w:p w14:paraId="753219C5" w14:textId="77777777" w:rsidR="00000000" w:rsidRDefault="00405D16">
            <w:pPr>
              <w:spacing w:after="100"/>
              <w:rPr>
                <w:rFonts w:eastAsia="Times New Roman"/>
                <w:sz w:val="20"/>
                <w:szCs w:val="20"/>
              </w:rPr>
            </w:pPr>
          </w:p>
        </w:tc>
        <w:tc>
          <w:tcPr>
            <w:tcW w:w="26" w:type="pct"/>
            <w:vAlign w:val="center"/>
            <w:hideMark/>
          </w:tcPr>
          <w:p w14:paraId="1E13A2CA" w14:textId="77777777" w:rsidR="00000000" w:rsidRDefault="00405D16">
            <w:pPr>
              <w:spacing w:after="100"/>
              <w:rPr>
                <w:rFonts w:eastAsia="Times New Roman"/>
                <w:sz w:val="20"/>
                <w:szCs w:val="20"/>
              </w:rPr>
            </w:pPr>
          </w:p>
        </w:tc>
        <w:tc>
          <w:tcPr>
            <w:tcW w:w="5" w:type="pct"/>
            <w:vAlign w:val="center"/>
            <w:hideMark/>
          </w:tcPr>
          <w:p w14:paraId="7258DB8C" w14:textId="77777777" w:rsidR="00000000" w:rsidRDefault="00405D16">
            <w:pPr>
              <w:spacing w:after="100"/>
              <w:rPr>
                <w:rFonts w:eastAsia="Times New Roman"/>
                <w:sz w:val="20"/>
                <w:szCs w:val="20"/>
              </w:rPr>
            </w:pPr>
          </w:p>
        </w:tc>
        <w:tc>
          <w:tcPr>
            <w:tcW w:w="50" w:type="pct"/>
            <w:vAlign w:val="center"/>
            <w:hideMark/>
          </w:tcPr>
          <w:p w14:paraId="55EB8497" w14:textId="77777777" w:rsidR="00000000" w:rsidRDefault="00405D16">
            <w:pPr>
              <w:spacing w:after="100"/>
              <w:rPr>
                <w:rFonts w:eastAsia="Times New Roman"/>
                <w:sz w:val="20"/>
                <w:szCs w:val="20"/>
              </w:rPr>
            </w:pPr>
          </w:p>
        </w:tc>
        <w:tc>
          <w:tcPr>
            <w:tcW w:w="266" w:type="pct"/>
            <w:vAlign w:val="center"/>
            <w:hideMark/>
          </w:tcPr>
          <w:p w14:paraId="474A8313" w14:textId="77777777" w:rsidR="00000000" w:rsidRDefault="00405D16">
            <w:pPr>
              <w:spacing w:after="100"/>
              <w:rPr>
                <w:rFonts w:eastAsia="Times New Roman"/>
                <w:sz w:val="20"/>
                <w:szCs w:val="20"/>
              </w:rPr>
            </w:pPr>
          </w:p>
        </w:tc>
        <w:tc>
          <w:tcPr>
            <w:tcW w:w="5" w:type="pct"/>
            <w:vAlign w:val="center"/>
            <w:hideMark/>
          </w:tcPr>
          <w:p w14:paraId="1093512A" w14:textId="77777777" w:rsidR="00000000" w:rsidRDefault="00405D16">
            <w:pPr>
              <w:spacing w:after="100"/>
              <w:rPr>
                <w:rFonts w:eastAsia="Times New Roman"/>
                <w:sz w:val="20"/>
                <w:szCs w:val="20"/>
              </w:rPr>
            </w:pPr>
          </w:p>
        </w:tc>
        <w:tc>
          <w:tcPr>
            <w:tcW w:w="5" w:type="pct"/>
            <w:vAlign w:val="center"/>
            <w:hideMark/>
          </w:tcPr>
          <w:p w14:paraId="7E9D62E3" w14:textId="77777777" w:rsidR="00000000" w:rsidRDefault="00405D16">
            <w:pPr>
              <w:spacing w:after="100"/>
              <w:rPr>
                <w:rFonts w:eastAsia="Times New Roman"/>
                <w:sz w:val="20"/>
                <w:szCs w:val="20"/>
              </w:rPr>
            </w:pPr>
          </w:p>
        </w:tc>
        <w:tc>
          <w:tcPr>
            <w:tcW w:w="26" w:type="pct"/>
            <w:vAlign w:val="center"/>
            <w:hideMark/>
          </w:tcPr>
          <w:p w14:paraId="76E7AC3A" w14:textId="77777777" w:rsidR="00000000" w:rsidRDefault="00405D16">
            <w:pPr>
              <w:spacing w:after="100"/>
              <w:rPr>
                <w:rFonts w:eastAsia="Times New Roman"/>
                <w:sz w:val="20"/>
                <w:szCs w:val="20"/>
              </w:rPr>
            </w:pPr>
          </w:p>
        </w:tc>
        <w:tc>
          <w:tcPr>
            <w:tcW w:w="5" w:type="pct"/>
            <w:vAlign w:val="center"/>
            <w:hideMark/>
          </w:tcPr>
          <w:p w14:paraId="30C72063" w14:textId="77777777" w:rsidR="00000000" w:rsidRDefault="00405D16">
            <w:pPr>
              <w:spacing w:after="100"/>
              <w:rPr>
                <w:rFonts w:eastAsia="Times New Roman"/>
                <w:sz w:val="20"/>
                <w:szCs w:val="20"/>
              </w:rPr>
            </w:pPr>
          </w:p>
        </w:tc>
        <w:tc>
          <w:tcPr>
            <w:tcW w:w="50" w:type="pct"/>
            <w:vAlign w:val="center"/>
            <w:hideMark/>
          </w:tcPr>
          <w:p w14:paraId="62323E6B" w14:textId="77777777" w:rsidR="00000000" w:rsidRDefault="00405D16">
            <w:pPr>
              <w:spacing w:after="100"/>
              <w:rPr>
                <w:rFonts w:eastAsia="Times New Roman"/>
                <w:sz w:val="20"/>
                <w:szCs w:val="20"/>
              </w:rPr>
            </w:pPr>
          </w:p>
        </w:tc>
        <w:tc>
          <w:tcPr>
            <w:tcW w:w="215" w:type="pct"/>
            <w:vAlign w:val="center"/>
            <w:hideMark/>
          </w:tcPr>
          <w:p w14:paraId="3C918183" w14:textId="77777777" w:rsidR="00000000" w:rsidRDefault="00405D16">
            <w:pPr>
              <w:spacing w:after="100"/>
              <w:rPr>
                <w:rFonts w:eastAsia="Times New Roman"/>
                <w:sz w:val="20"/>
                <w:szCs w:val="20"/>
              </w:rPr>
            </w:pPr>
          </w:p>
        </w:tc>
        <w:tc>
          <w:tcPr>
            <w:tcW w:w="5" w:type="pct"/>
            <w:vAlign w:val="center"/>
            <w:hideMark/>
          </w:tcPr>
          <w:p w14:paraId="352254FC" w14:textId="77777777" w:rsidR="00000000" w:rsidRDefault="00405D16">
            <w:pPr>
              <w:spacing w:after="100"/>
              <w:rPr>
                <w:rFonts w:eastAsia="Times New Roman"/>
                <w:sz w:val="20"/>
                <w:szCs w:val="20"/>
              </w:rPr>
            </w:pPr>
          </w:p>
        </w:tc>
        <w:tc>
          <w:tcPr>
            <w:tcW w:w="5" w:type="pct"/>
            <w:vAlign w:val="center"/>
            <w:hideMark/>
          </w:tcPr>
          <w:p w14:paraId="01230B96" w14:textId="77777777" w:rsidR="00000000" w:rsidRDefault="00405D16">
            <w:pPr>
              <w:spacing w:after="100"/>
              <w:rPr>
                <w:rFonts w:eastAsia="Times New Roman"/>
                <w:sz w:val="20"/>
                <w:szCs w:val="20"/>
              </w:rPr>
            </w:pPr>
          </w:p>
        </w:tc>
        <w:tc>
          <w:tcPr>
            <w:tcW w:w="26" w:type="pct"/>
            <w:vAlign w:val="center"/>
            <w:hideMark/>
          </w:tcPr>
          <w:p w14:paraId="38802A45" w14:textId="77777777" w:rsidR="00000000" w:rsidRDefault="00405D16">
            <w:pPr>
              <w:spacing w:after="100"/>
              <w:rPr>
                <w:rFonts w:eastAsia="Times New Roman"/>
                <w:sz w:val="20"/>
                <w:szCs w:val="20"/>
              </w:rPr>
            </w:pPr>
          </w:p>
        </w:tc>
        <w:tc>
          <w:tcPr>
            <w:tcW w:w="5" w:type="pct"/>
            <w:vAlign w:val="center"/>
            <w:hideMark/>
          </w:tcPr>
          <w:p w14:paraId="27E27C6D" w14:textId="77777777" w:rsidR="00000000" w:rsidRDefault="00405D16">
            <w:pPr>
              <w:spacing w:after="100"/>
              <w:rPr>
                <w:rFonts w:eastAsia="Times New Roman"/>
                <w:sz w:val="20"/>
                <w:szCs w:val="20"/>
              </w:rPr>
            </w:pPr>
          </w:p>
        </w:tc>
        <w:tc>
          <w:tcPr>
            <w:tcW w:w="50" w:type="pct"/>
            <w:vAlign w:val="center"/>
            <w:hideMark/>
          </w:tcPr>
          <w:p w14:paraId="36CC1AFE" w14:textId="77777777" w:rsidR="00000000" w:rsidRDefault="00405D16">
            <w:pPr>
              <w:spacing w:after="100"/>
              <w:rPr>
                <w:rFonts w:eastAsia="Times New Roman"/>
                <w:sz w:val="20"/>
                <w:szCs w:val="20"/>
              </w:rPr>
            </w:pPr>
          </w:p>
        </w:tc>
        <w:tc>
          <w:tcPr>
            <w:tcW w:w="244" w:type="pct"/>
            <w:vAlign w:val="center"/>
            <w:hideMark/>
          </w:tcPr>
          <w:p w14:paraId="4F34615B" w14:textId="77777777" w:rsidR="00000000" w:rsidRDefault="00405D16">
            <w:pPr>
              <w:spacing w:after="100"/>
              <w:rPr>
                <w:rFonts w:eastAsia="Times New Roman"/>
                <w:sz w:val="20"/>
                <w:szCs w:val="20"/>
              </w:rPr>
            </w:pPr>
          </w:p>
        </w:tc>
        <w:tc>
          <w:tcPr>
            <w:tcW w:w="5" w:type="pct"/>
            <w:vAlign w:val="center"/>
            <w:hideMark/>
          </w:tcPr>
          <w:p w14:paraId="2787CD28" w14:textId="77777777" w:rsidR="00000000" w:rsidRDefault="00405D16">
            <w:pPr>
              <w:spacing w:after="100"/>
              <w:rPr>
                <w:rFonts w:eastAsia="Times New Roman"/>
                <w:sz w:val="20"/>
                <w:szCs w:val="20"/>
              </w:rPr>
            </w:pPr>
          </w:p>
        </w:tc>
        <w:tc>
          <w:tcPr>
            <w:tcW w:w="5" w:type="pct"/>
            <w:vAlign w:val="center"/>
            <w:hideMark/>
          </w:tcPr>
          <w:p w14:paraId="1FD63CFE" w14:textId="77777777" w:rsidR="00000000" w:rsidRDefault="00405D16">
            <w:pPr>
              <w:spacing w:after="100"/>
              <w:rPr>
                <w:rFonts w:eastAsia="Times New Roman"/>
                <w:sz w:val="20"/>
                <w:szCs w:val="20"/>
              </w:rPr>
            </w:pPr>
          </w:p>
        </w:tc>
        <w:tc>
          <w:tcPr>
            <w:tcW w:w="26" w:type="pct"/>
            <w:vAlign w:val="center"/>
            <w:hideMark/>
          </w:tcPr>
          <w:p w14:paraId="78EE9E5B" w14:textId="77777777" w:rsidR="00000000" w:rsidRDefault="00405D16">
            <w:pPr>
              <w:spacing w:after="100"/>
              <w:rPr>
                <w:rFonts w:eastAsia="Times New Roman"/>
                <w:sz w:val="20"/>
                <w:szCs w:val="20"/>
              </w:rPr>
            </w:pPr>
          </w:p>
        </w:tc>
        <w:tc>
          <w:tcPr>
            <w:tcW w:w="5" w:type="pct"/>
            <w:vAlign w:val="center"/>
            <w:hideMark/>
          </w:tcPr>
          <w:p w14:paraId="753E1133" w14:textId="77777777" w:rsidR="00000000" w:rsidRDefault="00405D16">
            <w:pPr>
              <w:spacing w:after="100"/>
              <w:rPr>
                <w:rFonts w:eastAsia="Times New Roman"/>
                <w:sz w:val="20"/>
                <w:szCs w:val="20"/>
              </w:rPr>
            </w:pPr>
          </w:p>
        </w:tc>
        <w:tc>
          <w:tcPr>
            <w:tcW w:w="50" w:type="pct"/>
            <w:vAlign w:val="center"/>
            <w:hideMark/>
          </w:tcPr>
          <w:p w14:paraId="6926D360" w14:textId="77777777" w:rsidR="00000000" w:rsidRDefault="00405D16">
            <w:pPr>
              <w:spacing w:after="100"/>
              <w:rPr>
                <w:rFonts w:eastAsia="Times New Roman"/>
                <w:sz w:val="20"/>
                <w:szCs w:val="20"/>
              </w:rPr>
            </w:pPr>
          </w:p>
        </w:tc>
        <w:tc>
          <w:tcPr>
            <w:tcW w:w="317" w:type="pct"/>
            <w:vAlign w:val="center"/>
            <w:hideMark/>
          </w:tcPr>
          <w:p w14:paraId="118801D7" w14:textId="77777777" w:rsidR="00000000" w:rsidRDefault="00405D16">
            <w:pPr>
              <w:spacing w:after="100"/>
              <w:rPr>
                <w:rFonts w:eastAsia="Times New Roman"/>
                <w:sz w:val="20"/>
                <w:szCs w:val="20"/>
              </w:rPr>
            </w:pPr>
          </w:p>
        </w:tc>
        <w:tc>
          <w:tcPr>
            <w:tcW w:w="5" w:type="pct"/>
            <w:vAlign w:val="center"/>
            <w:hideMark/>
          </w:tcPr>
          <w:p w14:paraId="29BB412A" w14:textId="77777777" w:rsidR="00000000" w:rsidRDefault="00405D16">
            <w:pPr>
              <w:spacing w:after="100"/>
              <w:rPr>
                <w:rFonts w:eastAsia="Times New Roman"/>
                <w:sz w:val="20"/>
                <w:szCs w:val="20"/>
              </w:rPr>
            </w:pPr>
          </w:p>
        </w:tc>
        <w:tc>
          <w:tcPr>
            <w:tcW w:w="5" w:type="pct"/>
            <w:vAlign w:val="center"/>
            <w:hideMark/>
          </w:tcPr>
          <w:p w14:paraId="0FBFBA9B" w14:textId="77777777" w:rsidR="00000000" w:rsidRDefault="00405D16">
            <w:pPr>
              <w:spacing w:after="100"/>
              <w:rPr>
                <w:rFonts w:eastAsia="Times New Roman"/>
                <w:sz w:val="20"/>
                <w:szCs w:val="20"/>
              </w:rPr>
            </w:pPr>
          </w:p>
        </w:tc>
        <w:tc>
          <w:tcPr>
            <w:tcW w:w="26" w:type="pct"/>
            <w:vAlign w:val="center"/>
            <w:hideMark/>
          </w:tcPr>
          <w:p w14:paraId="496697B0" w14:textId="77777777" w:rsidR="00000000" w:rsidRDefault="00405D16">
            <w:pPr>
              <w:spacing w:after="100"/>
              <w:rPr>
                <w:rFonts w:eastAsia="Times New Roman"/>
                <w:sz w:val="20"/>
                <w:szCs w:val="20"/>
              </w:rPr>
            </w:pPr>
          </w:p>
        </w:tc>
        <w:tc>
          <w:tcPr>
            <w:tcW w:w="5" w:type="pct"/>
            <w:vAlign w:val="center"/>
            <w:hideMark/>
          </w:tcPr>
          <w:p w14:paraId="7FD60A6F" w14:textId="77777777" w:rsidR="00000000" w:rsidRDefault="00405D16">
            <w:pPr>
              <w:spacing w:after="100"/>
              <w:rPr>
                <w:rFonts w:eastAsia="Times New Roman"/>
                <w:sz w:val="20"/>
                <w:szCs w:val="20"/>
              </w:rPr>
            </w:pPr>
          </w:p>
        </w:tc>
        <w:tc>
          <w:tcPr>
            <w:tcW w:w="50" w:type="pct"/>
            <w:vAlign w:val="center"/>
            <w:hideMark/>
          </w:tcPr>
          <w:p w14:paraId="515B39D0" w14:textId="77777777" w:rsidR="00000000" w:rsidRDefault="00405D16">
            <w:pPr>
              <w:spacing w:after="100"/>
              <w:rPr>
                <w:rFonts w:eastAsia="Times New Roman"/>
                <w:sz w:val="20"/>
                <w:szCs w:val="20"/>
              </w:rPr>
            </w:pPr>
          </w:p>
        </w:tc>
        <w:tc>
          <w:tcPr>
            <w:tcW w:w="332" w:type="pct"/>
            <w:vAlign w:val="center"/>
            <w:hideMark/>
          </w:tcPr>
          <w:p w14:paraId="33C5B336" w14:textId="77777777" w:rsidR="00000000" w:rsidRDefault="00405D16">
            <w:pPr>
              <w:spacing w:after="100"/>
              <w:rPr>
                <w:rFonts w:eastAsia="Times New Roman"/>
                <w:sz w:val="20"/>
                <w:szCs w:val="20"/>
              </w:rPr>
            </w:pPr>
          </w:p>
        </w:tc>
        <w:tc>
          <w:tcPr>
            <w:tcW w:w="5" w:type="pct"/>
            <w:vAlign w:val="center"/>
            <w:hideMark/>
          </w:tcPr>
          <w:p w14:paraId="4278DF81" w14:textId="77777777" w:rsidR="00000000" w:rsidRDefault="00405D16">
            <w:pPr>
              <w:spacing w:after="100"/>
              <w:rPr>
                <w:rFonts w:eastAsia="Times New Roman"/>
                <w:sz w:val="20"/>
                <w:szCs w:val="20"/>
              </w:rPr>
            </w:pPr>
          </w:p>
        </w:tc>
        <w:tc>
          <w:tcPr>
            <w:tcW w:w="5" w:type="pct"/>
            <w:vAlign w:val="center"/>
            <w:hideMark/>
          </w:tcPr>
          <w:p w14:paraId="32233D3E" w14:textId="77777777" w:rsidR="00000000" w:rsidRDefault="00405D16">
            <w:pPr>
              <w:spacing w:after="100"/>
              <w:rPr>
                <w:rFonts w:eastAsia="Times New Roman"/>
                <w:sz w:val="20"/>
                <w:szCs w:val="20"/>
              </w:rPr>
            </w:pPr>
          </w:p>
        </w:tc>
        <w:tc>
          <w:tcPr>
            <w:tcW w:w="26" w:type="pct"/>
            <w:vAlign w:val="center"/>
            <w:hideMark/>
          </w:tcPr>
          <w:p w14:paraId="0CF14426" w14:textId="77777777" w:rsidR="00000000" w:rsidRDefault="00405D16">
            <w:pPr>
              <w:spacing w:after="100"/>
              <w:rPr>
                <w:rFonts w:eastAsia="Times New Roman"/>
                <w:sz w:val="20"/>
                <w:szCs w:val="20"/>
              </w:rPr>
            </w:pPr>
          </w:p>
        </w:tc>
        <w:tc>
          <w:tcPr>
            <w:tcW w:w="5" w:type="pct"/>
            <w:vAlign w:val="center"/>
            <w:hideMark/>
          </w:tcPr>
          <w:p w14:paraId="1ED02A5E" w14:textId="77777777" w:rsidR="00000000" w:rsidRDefault="00405D16">
            <w:pPr>
              <w:spacing w:after="100"/>
              <w:rPr>
                <w:rFonts w:eastAsia="Times New Roman"/>
                <w:sz w:val="20"/>
                <w:szCs w:val="20"/>
              </w:rPr>
            </w:pPr>
          </w:p>
        </w:tc>
        <w:tc>
          <w:tcPr>
            <w:tcW w:w="50" w:type="pct"/>
            <w:vAlign w:val="center"/>
            <w:hideMark/>
          </w:tcPr>
          <w:p w14:paraId="32F61358" w14:textId="77777777" w:rsidR="00000000" w:rsidRDefault="00405D16">
            <w:pPr>
              <w:spacing w:after="100"/>
              <w:rPr>
                <w:rFonts w:eastAsia="Times New Roman"/>
                <w:sz w:val="20"/>
                <w:szCs w:val="20"/>
              </w:rPr>
            </w:pPr>
          </w:p>
        </w:tc>
        <w:tc>
          <w:tcPr>
            <w:tcW w:w="252" w:type="pct"/>
            <w:vAlign w:val="center"/>
            <w:hideMark/>
          </w:tcPr>
          <w:p w14:paraId="2550DD7A" w14:textId="77777777" w:rsidR="00000000" w:rsidRDefault="00405D16">
            <w:pPr>
              <w:spacing w:after="100"/>
              <w:rPr>
                <w:rFonts w:eastAsia="Times New Roman"/>
                <w:sz w:val="20"/>
                <w:szCs w:val="20"/>
              </w:rPr>
            </w:pPr>
          </w:p>
        </w:tc>
        <w:tc>
          <w:tcPr>
            <w:tcW w:w="5" w:type="pct"/>
            <w:vAlign w:val="center"/>
            <w:hideMark/>
          </w:tcPr>
          <w:p w14:paraId="2A4D683D" w14:textId="77777777" w:rsidR="00000000" w:rsidRDefault="00405D16">
            <w:pPr>
              <w:spacing w:after="100"/>
              <w:rPr>
                <w:rFonts w:eastAsia="Times New Roman"/>
                <w:sz w:val="20"/>
                <w:szCs w:val="20"/>
              </w:rPr>
            </w:pPr>
          </w:p>
        </w:tc>
      </w:tr>
      <w:tr w:rsidR="00000000" w14:paraId="7590E864" w14:textId="77777777">
        <w:trPr>
          <w:divId w:val="1146514285"/>
        </w:trPr>
        <w:tc>
          <w:tcPr>
            <w:tcW w:w="0" w:type="auto"/>
            <w:gridSpan w:val="3"/>
            <w:tcMar>
              <w:top w:w="0" w:type="dxa"/>
              <w:left w:w="20" w:type="dxa"/>
              <w:bottom w:w="0" w:type="dxa"/>
              <w:right w:w="20" w:type="dxa"/>
            </w:tcMar>
            <w:vAlign w:val="center"/>
            <w:hideMark/>
          </w:tcPr>
          <w:p w14:paraId="2897D355"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39323A4" w14:textId="77777777" w:rsidR="00000000" w:rsidRDefault="00405D16">
            <w:pPr>
              <w:spacing w:after="100"/>
              <w:rPr>
                <w:rFonts w:eastAsia="Times New Roman"/>
                <w:sz w:val="20"/>
                <w:szCs w:val="20"/>
              </w:rPr>
            </w:pPr>
          </w:p>
        </w:tc>
        <w:tc>
          <w:tcPr>
            <w:tcW w:w="0" w:type="auto"/>
            <w:gridSpan w:val="45"/>
            <w:tcMar>
              <w:top w:w="30" w:type="dxa"/>
              <w:left w:w="20" w:type="dxa"/>
              <w:bottom w:w="30" w:type="dxa"/>
              <w:right w:w="20" w:type="dxa"/>
            </w:tcMar>
            <w:vAlign w:val="center"/>
            <w:hideMark/>
          </w:tcPr>
          <w:p w14:paraId="1ECB3A86" w14:textId="77777777" w:rsidR="00000000" w:rsidRDefault="00405D16">
            <w:pPr>
              <w:spacing w:after="100"/>
              <w:jc w:val="center"/>
              <w:rPr>
                <w:rFonts w:eastAsia="Times New Roman"/>
              </w:rPr>
            </w:pPr>
            <w:r>
              <w:rPr>
                <w:rFonts w:eastAsia="Times New Roman"/>
                <w:b/>
                <w:bCs/>
                <w:color w:val="000000"/>
                <w:sz w:val="13"/>
                <w:szCs w:val="13"/>
              </w:rPr>
              <w:t>Nine Months Ended September 30, 2021</w:t>
            </w:r>
          </w:p>
        </w:tc>
      </w:tr>
      <w:tr w:rsidR="00000000" w14:paraId="0A8C8FB4" w14:textId="77777777">
        <w:trPr>
          <w:divId w:val="1146514285"/>
        </w:trPr>
        <w:tc>
          <w:tcPr>
            <w:tcW w:w="0" w:type="auto"/>
            <w:gridSpan w:val="3"/>
            <w:tcMar>
              <w:top w:w="0" w:type="dxa"/>
              <w:left w:w="20" w:type="dxa"/>
              <w:bottom w:w="0" w:type="dxa"/>
              <w:right w:w="20" w:type="dxa"/>
            </w:tcMar>
            <w:vAlign w:val="center"/>
            <w:hideMark/>
          </w:tcPr>
          <w:p w14:paraId="533029A1" w14:textId="77777777" w:rsidR="00000000" w:rsidRDefault="00405D1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9B9F581" w14:textId="77777777" w:rsidR="00000000" w:rsidRDefault="00405D16">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center"/>
            <w:hideMark/>
          </w:tcPr>
          <w:p w14:paraId="6E0C44E8" w14:textId="77777777" w:rsidR="00000000" w:rsidRDefault="00405D16">
            <w:pPr>
              <w:spacing w:after="100"/>
              <w:jc w:val="center"/>
              <w:rPr>
                <w:rFonts w:eastAsia="Times New Roman"/>
              </w:rPr>
            </w:pPr>
            <w:r>
              <w:rPr>
                <w:rFonts w:eastAsia="Times New Roman"/>
                <w:b/>
                <w:bCs/>
                <w:color w:val="000000"/>
                <w:sz w:val="13"/>
                <w:szCs w:val="13"/>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67BC599C" w14:textId="77777777" w:rsidR="00000000" w:rsidRDefault="00405D16">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center"/>
            <w:hideMark/>
          </w:tcPr>
          <w:p w14:paraId="3FC6B414" w14:textId="77777777" w:rsidR="00000000" w:rsidRDefault="00405D16">
            <w:pPr>
              <w:spacing w:after="100"/>
              <w:jc w:val="center"/>
              <w:rPr>
                <w:rFonts w:eastAsia="Times New Roman"/>
              </w:rPr>
            </w:pPr>
            <w:r>
              <w:rPr>
                <w:rFonts w:eastAsia="Times New Roman"/>
                <w:b/>
                <w:bCs/>
                <w:color w:val="000000"/>
                <w:sz w:val="13"/>
                <w:szCs w:val="13"/>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44F72727" w14:textId="77777777" w:rsidR="00000000" w:rsidRDefault="00405D16">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58A5CC5F"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B9E441B"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1A7B9B8" w14:textId="77777777" w:rsidR="00000000" w:rsidRDefault="00405D16">
            <w:pPr>
              <w:spacing w:after="100"/>
              <w:rPr>
                <w:rFonts w:eastAsia="Times New Roman"/>
                <w:sz w:val="20"/>
                <w:szCs w:val="20"/>
              </w:rPr>
            </w:pPr>
          </w:p>
        </w:tc>
      </w:tr>
      <w:tr w:rsidR="00000000" w14:paraId="784DA34B" w14:textId="77777777">
        <w:trPr>
          <w:divId w:val="1146514285"/>
        </w:trPr>
        <w:tc>
          <w:tcPr>
            <w:tcW w:w="0" w:type="auto"/>
            <w:gridSpan w:val="3"/>
            <w:tcMar>
              <w:top w:w="30" w:type="dxa"/>
              <w:left w:w="20" w:type="dxa"/>
              <w:bottom w:w="30" w:type="dxa"/>
              <w:right w:w="20" w:type="dxa"/>
            </w:tcMar>
            <w:vAlign w:val="bottom"/>
            <w:hideMark/>
          </w:tcPr>
          <w:p w14:paraId="4D71A749" w14:textId="77777777" w:rsidR="00000000" w:rsidRDefault="00405D16">
            <w:pPr>
              <w:spacing w:after="100"/>
              <w:rPr>
                <w:rFonts w:eastAsia="Times New Roman"/>
              </w:rPr>
            </w:pPr>
            <w:r>
              <w:rPr>
                <w:rFonts w:eastAsia="Times New Roman"/>
                <w:i/>
                <w:iCs/>
                <w:color w:val="000000"/>
                <w:sz w:val="13"/>
                <w:szCs w:val="13"/>
              </w:rPr>
              <w:t>(Dollars in millions)</w:t>
            </w:r>
          </w:p>
        </w:tc>
        <w:tc>
          <w:tcPr>
            <w:tcW w:w="0" w:type="auto"/>
            <w:gridSpan w:val="3"/>
            <w:tcMar>
              <w:top w:w="0" w:type="dxa"/>
              <w:left w:w="20" w:type="dxa"/>
              <w:bottom w:w="0" w:type="dxa"/>
              <w:right w:w="20" w:type="dxa"/>
            </w:tcMar>
            <w:vAlign w:val="center"/>
            <w:hideMark/>
          </w:tcPr>
          <w:p w14:paraId="1C2B6C85"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8EEEB5B" w14:textId="77777777" w:rsidR="00000000" w:rsidRDefault="00405D16">
            <w:pPr>
              <w:spacing w:after="100"/>
              <w:jc w:val="center"/>
              <w:rPr>
                <w:rFonts w:eastAsia="Times New Roman"/>
              </w:rPr>
            </w:pPr>
            <w:r>
              <w:rPr>
                <w:rFonts w:eastAsia="Times New Roman"/>
                <w:b/>
                <w:bCs/>
                <w:color w:val="000000"/>
                <w:sz w:val="13"/>
                <w:szCs w:val="13"/>
              </w:rPr>
              <w:t>Domestic Card</w:t>
            </w:r>
          </w:p>
        </w:tc>
        <w:tc>
          <w:tcPr>
            <w:tcW w:w="0" w:type="auto"/>
            <w:gridSpan w:val="3"/>
            <w:tcBorders>
              <w:top w:val="single" w:sz="8" w:space="0" w:color="000000"/>
            </w:tcBorders>
            <w:tcMar>
              <w:top w:w="0" w:type="dxa"/>
              <w:left w:w="20" w:type="dxa"/>
              <w:bottom w:w="0" w:type="dxa"/>
              <w:right w:w="20" w:type="dxa"/>
            </w:tcMar>
            <w:vAlign w:val="center"/>
            <w:hideMark/>
          </w:tcPr>
          <w:p w14:paraId="10C7CF03"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C5D6E78" w14:textId="77777777" w:rsidR="00000000" w:rsidRDefault="00405D16">
            <w:pPr>
              <w:spacing w:after="100"/>
              <w:jc w:val="center"/>
              <w:rPr>
                <w:rFonts w:eastAsia="Times New Roman"/>
              </w:rPr>
            </w:pPr>
            <w:r>
              <w:rPr>
                <w:rFonts w:eastAsia="Times New Roman"/>
                <w:b/>
                <w:bCs/>
                <w:color w:val="000000"/>
                <w:sz w:val="13"/>
                <w:szCs w:val="13"/>
              </w:rPr>
              <w:t>International Card Businesses</w:t>
            </w:r>
          </w:p>
        </w:tc>
        <w:tc>
          <w:tcPr>
            <w:tcW w:w="0" w:type="auto"/>
            <w:gridSpan w:val="3"/>
            <w:tcBorders>
              <w:top w:val="single" w:sz="8" w:space="0" w:color="000000"/>
            </w:tcBorders>
            <w:tcMar>
              <w:top w:w="0" w:type="dxa"/>
              <w:left w:w="20" w:type="dxa"/>
              <w:bottom w:w="0" w:type="dxa"/>
              <w:right w:w="20" w:type="dxa"/>
            </w:tcMar>
            <w:vAlign w:val="center"/>
            <w:hideMark/>
          </w:tcPr>
          <w:p w14:paraId="0763DD45"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D2C5438" w14:textId="77777777" w:rsidR="00000000" w:rsidRDefault="00405D16">
            <w:pPr>
              <w:spacing w:after="100"/>
              <w:jc w:val="center"/>
              <w:rPr>
                <w:rFonts w:eastAsia="Times New Roman"/>
              </w:rPr>
            </w:pPr>
            <w:r>
              <w:rPr>
                <w:rFonts w:eastAsia="Times New Roman"/>
                <w:b/>
                <w:bCs/>
                <w:color w:val="000000"/>
                <w:sz w:val="13"/>
                <w:szCs w:val="13"/>
              </w:rPr>
              <w:t>Total Credit Card</w:t>
            </w:r>
          </w:p>
        </w:tc>
        <w:tc>
          <w:tcPr>
            <w:tcW w:w="0" w:type="auto"/>
            <w:gridSpan w:val="3"/>
            <w:tcMar>
              <w:top w:w="0" w:type="dxa"/>
              <w:left w:w="20" w:type="dxa"/>
              <w:bottom w:w="0" w:type="dxa"/>
              <w:right w:w="20" w:type="dxa"/>
            </w:tcMar>
            <w:vAlign w:val="center"/>
            <w:hideMark/>
          </w:tcPr>
          <w:p w14:paraId="48A7AC01"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37E7D06" w14:textId="77777777" w:rsidR="00000000" w:rsidRDefault="00405D16">
            <w:pPr>
              <w:spacing w:after="100"/>
              <w:jc w:val="center"/>
              <w:rPr>
                <w:rFonts w:eastAsia="Times New Roman"/>
              </w:rPr>
            </w:pPr>
            <w:r>
              <w:rPr>
                <w:rFonts w:eastAsia="Times New Roman"/>
                <w:b/>
                <w:bCs/>
                <w:color w:val="000000"/>
                <w:sz w:val="13"/>
                <w:szCs w:val="13"/>
              </w:rPr>
              <w:t>Auto</w:t>
            </w:r>
          </w:p>
        </w:tc>
        <w:tc>
          <w:tcPr>
            <w:tcW w:w="0" w:type="auto"/>
            <w:gridSpan w:val="3"/>
            <w:tcBorders>
              <w:top w:val="single" w:sz="8" w:space="0" w:color="000000"/>
            </w:tcBorders>
            <w:tcMar>
              <w:top w:w="0" w:type="dxa"/>
              <w:left w:w="20" w:type="dxa"/>
              <w:bottom w:w="0" w:type="dxa"/>
              <w:right w:w="20" w:type="dxa"/>
            </w:tcMar>
            <w:vAlign w:val="center"/>
            <w:hideMark/>
          </w:tcPr>
          <w:p w14:paraId="068F4725"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1A90280" w14:textId="77777777" w:rsidR="00000000" w:rsidRDefault="00405D16">
            <w:pPr>
              <w:spacing w:after="100"/>
              <w:jc w:val="center"/>
              <w:rPr>
                <w:rFonts w:eastAsia="Times New Roman"/>
              </w:rPr>
            </w:pPr>
            <w:r>
              <w:rPr>
                <w:rFonts w:eastAsia="Times New Roman"/>
                <w:b/>
                <w:bCs/>
                <w:color w:val="000000"/>
                <w:sz w:val="13"/>
                <w:szCs w:val="13"/>
              </w:rPr>
              <w:t>Retail Banking</w:t>
            </w:r>
          </w:p>
        </w:tc>
        <w:tc>
          <w:tcPr>
            <w:tcW w:w="0" w:type="auto"/>
            <w:gridSpan w:val="3"/>
            <w:tcBorders>
              <w:top w:val="single" w:sz="8" w:space="0" w:color="000000"/>
            </w:tcBorders>
            <w:tcMar>
              <w:top w:w="0" w:type="dxa"/>
              <w:left w:w="20" w:type="dxa"/>
              <w:bottom w:w="0" w:type="dxa"/>
              <w:right w:w="20" w:type="dxa"/>
            </w:tcMar>
            <w:vAlign w:val="center"/>
            <w:hideMark/>
          </w:tcPr>
          <w:p w14:paraId="0BD1BADA"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F9E237" w14:textId="77777777" w:rsidR="00000000" w:rsidRDefault="00405D16">
            <w:pPr>
              <w:spacing w:after="100"/>
              <w:jc w:val="center"/>
              <w:rPr>
                <w:rFonts w:eastAsia="Times New Roman"/>
              </w:rPr>
            </w:pPr>
            <w:r>
              <w:rPr>
                <w:rFonts w:eastAsia="Times New Roman"/>
                <w:b/>
                <w:bCs/>
                <w:color w:val="000000"/>
                <w:sz w:val="13"/>
                <w:szCs w:val="13"/>
              </w:rPr>
              <w:t>Total Consumer Banking</w:t>
            </w:r>
          </w:p>
        </w:tc>
        <w:tc>
          <w:tcPr>
            <w:tcW w:w="0" w:type="auto"/>
            <w:gridSpan w:val="3"/>
            <w:tcMar>
              <w:top w:w="0" w:type="dxa"/>
              <w:left w:w="20" w:type="dxa"/>
              <w:bottom w:w="0" w:type="dxa"/>
              <w:right w:w="20" w:type="dxa"/>
            </w:tcMar>
            <w:vAlign w:val="center"/>
            <w:hideMark/>
          </w:tcPr>
          <w:p w14:paraId="1868011E"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8FFAB05" w14:textId="77777777" w:rsidR="00000000" w:rsidRDefault="00405D16">
            <w:pPr>
              <w:spacing w:after="100"/>
              <w:jc w:val="center"/>
              <w:rPr>
                <w:rFonts w:eastAsia="Times New Roman"/>
              </w:rPr>
            </w:pPr>
            <w:r>
              <w:rPr>
                <w:rFonts w:eastAsia="Times New Roman"/>
                <w:b/>
                <w:bCs/>
                <w:color w:val="000000"/>
                <w:sz w:val="13"/>
                <w:szCs w:val="13"/>
              </w:rPr>
              <w:t>Commercial Banking</w:t>
            </w:r>
          </w:p>
        </w:tc>
        <w:tc>
          <w:tcPr>
            <w:tcW w:w="0" w:type="auto"/>
            <w:gridSpan w:val="3"/>
            <w:tcMar>
              <w:top w:w="0" w:type="dxa"/>
              <w:left w:w="20" w:type="dxa"/>
              <w:bottom w:w="0" w:type="dxa"/>
              <w:right w:w="20" w:type="dxa"/>
            </w:tcMar>
            <w:vAlign w:val="center"/>
            <w:hideMark/>
          </w:tcPr>
          <w:p w14:paraId="3350D7D4"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F74A0E7" w14:textId="77777777" w:rsidR="00000000" w:rsidRDefault="00405D16">
            <w:pPr>
              <w:spacing w:after="100"/>
              <w:jc w:val="center"/>
              <w:rPr>
                <w:rFonts w:eastAsia="Times New Roman"/>
              </w:rPr>
            </w:pPr>
            <w:r>
              <w:rPr>
                <w:rFonts w:eastAsia="Times New Roman"/>
                <w:b/>
                <w:bCs/>
                <w:color w:val="000000"/>
                <w:sz w:val="13"/>
                <w:szCs w:val="13"/>
              </w:rPr>
              <w:t>Total</w:t>
            </w:r>
          </w:p>
        </w:tc>
      </w:tr>
      <w:tr w:rsidR="00000000" w14:paraId="1E88CF3E" w14:textId="77777777">
        <w:trPr>
          <w:divId w:val="114651428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57E6B3B" w14:textId="77777777" w:rsidR="00000000" w:rsidRDefault="00405D16">
            <w:pPr>
              <w:spacing w:after="100"/>
              <w:rPr>
                <w:rFonts w:eastAsia="Times New Roman"/>
              </w:rPr>
            </w:pPr>
            <w:r>
              <w:rPr>
                <w:rFonts w:eastAsia="Times New Roman"/>
                <w:b/>
                <w:bCs/>
                <w:color w:val="000000"/>
                <w:sz w:val="16"/>
                <w:szCs w:val="16"/>
              </w:rPr>
              <w:t>Allowance for credit losses:</w:t>
            </w:r>
          </w:p>
        </w:tc>
        <w:tc>
          <w:tcPr>
            <w:tcW w:w="0" w:type="auto"/>
            <w:gridSpan w:val="3"/>
            <w:shd w:val="clear" w:color="auto" w:fill="CCEEFF"/>
            <w:tcMar>
              <w:top w:w="0" w:type="dxa"/>
              <w:left w:w="20" w:type="dxa"/>
              <w:bottom w:w="0" w:type="dxa"/>
              <w:right w:w="20" w:type="dxa"/>
            </w:tcMar>
            <w:vAlign w:val="center"/>
            <w:hideMark/>
          </w:tcPr>
          <w:p w14:paraId="6DE4A15B"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70F019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BDD10F"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E09EB0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89C5A1"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96F8EC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C5213E"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098FCC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26FD91"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ADA8D4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69A78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94D4A6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2D03A7"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AF1DF2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0AD1EF"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6246D7A" w14:textId="77777777" w:rsidR="00000000" w:rsidRDefault="00405D16">
            <w:pPr>
              <w:spacing w:after="100"/>
              <w:rPr>
                <w:rFonts w:eastAsia="Times New Roman"/>
                <w:sz w:val="20"/>
                <w:szCs w:val="20"/>
              </w:rPr>
            </w:pPr>
          </w:p>
        </w:tc>
      </w:tr>
      <w:tr w:rsidR="00405D16" w14:paraId="2A2C2DB1" w14:textId="77777777">
        <w:trPr>
          <w:divId w:val="1146514285"/>
        </w:trPr>
        <w:tc>
          <w:tcPr>
            <w:tcW w:w="0" w:type="auto"/>
            <w:gridSpan w:val="3"/>
            <w:shd w:val="clear" w:color="auto" w:fill="FFFFFF"/>
            <w:tcMar>
              <w:top w:w="30" w:type="dxa"/>
              <w:left w:w="20" w:type="dxa"/>
              <w:bottom w:w="30" w:type="dxa"/>
              <w:right w:w="20" w:type="dxa"/>
            </w:tcMar>
            <w:vAlign w:val="bottom"/>
            <w:hideMark/>
          </w:tcPr>
          <w:p w14:paraId="018342E9" w14:textId="77777777" w:rsidR="00000000" w:rsidRDefault="00405D16">
            <w:pPr>
              <w:spacing w:after="100"/>
              <w:rPr>
                <w:rFonts w:eastAsia="Times New Roman"/>
              </w:rPr>
            </w:pPr>
            <w:r>
              <w:rPr>
                <w:rFonts w:eastAsia="Times New Roman"/>
                <w:color w:val="000000"/>
                <w:sz w:val="16"/>
                <w:szCs w:val="16"/>
              </w:rPr>
              <w:t>Balance as of December 31, 2020</w:t>
            </w:r>
          </w:p>
        </w:tc>
        <w:tc>
          <w:tcPr>
            <w:tcW w:w="0" w:type="auto"/>
            <w:gridSpan w:val="3"/>
            <w:shd w:val="clear" w:color="auto" w:fill="FFFFFF"/>
            <w:tcMar>
              <w:top w:w="0" w:type="dxa"/>
              <w:left w:w="20" w:type="dxa"/>
              <w:bottom w:w="0" w:type="dxa"/>
              <w:right w:w="20" w:type="dxa"/>
            </w:tcMar>
            <w:vAlign w:val="center"/>
            <w:hideMark/>
          </w:tcPr>
          <w:p w14:paraId="23AA9FC4"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63BFE1BE" w14:textId="77777777" w:rsidR="00000000" w:rsidRDefault="00405D1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53441C90" w14:textId="77777777" w:rsidR="00000000" w:rsidRDefault="00405D16">
            <w:pPr>
              <w:spacing w:after="100"/>
              <w:jc w:val="right"/>
              <w:rPr>
                <w:rFonts w:eastAsia="Times New Roman"/>
              </w:rPr>
            </w:pPr>
            <w:r>
              <w:rPr>
                <w:rFonts w:eastAsia="Times New Roman"/>
                <w:color w:val="000000"/>
                <w:sz w:val="16"/>
                <w:szCs w:val="16"/>
              </w:rPr>
              <w:t>10,650 </w:t>
            </w:r>
          </w:p>
        </w:tc>
        <w:tc>
          <w:tcPr>
            <w:tcW w:w="0" w:type="auto"/>
            <w:shd w:val="clear" w:color="auto" w:fill="FFFFFF"/>
            <w:tcMar>
              <w:top w:w="30" w:type="dxa"/>
              <w:left w:w="0" w:type="dxa"/>
              <w:bottom w:w="30" w:type="dxa"/>
              <w:right w:w="20" w:type="dxa"/>
            </w:tcMar>
            <w:vAlign w:val="center"/>
            <w:hideMark/>
          </w:tcPr>
          <w:p w14:paraId="77089D1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7EB6CC"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837824E" w14:textId="77777777" w:rsidR="00000000" w:rsidRDefault="00405D1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448ECE24" w14:textId="77777777" w:rsidR="00000000" w:rsidRDefault="00405D16">
            <w:pPr>
              <w:spacing w:after="100"/>
              <w:jc w:val="right"/>
              <w:rPr>
                <w:rFonts w:eastAsia="Times New Roman"/>
              </w:rPr>
            </w:pPr>
            <w:r>
              <w:rPr>
                <w:rFonts w:eastAsia="Times New Roman"/>
                <w:color w:val="000000"/>
                <w:sz w:val="16"/>
                <w:szCs w:val="16"/>
              </w:rPr>
              <w:t>541 </w:t>
            </w:r>
          </w:p>
        </w:tc>
        <w:tc>
          <w:tcPr>
            <w:tcW w:w="0" w:type="auto"/>
            <w:shd w:val="clear" w:color="auto" w:fill="FFFFFF"/>
            <w:tcMar>
              <w:top w:w="30" w:type="dxa"/>
              <w:left w:w="0" w:type="dxa"/>
              <w:bottom w:w="30" w:type="dxa"/>
              <w:right w:w="20" w:type="dxa"/>
            </w:tcMar>
            <w:vAlign w:val="center"/>
            <w:hideMark/>
          </w:tcPr>
          <w:p w14:paraId="358712D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E9D0AB"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9F6E373" w14:textId="77777777" w:rsidR="00000000" w:rsidRDefault="00405D1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4F807683" w14:textId="77777777" w:rsidR="00000000" w:rsidRDefault="00405D16">
            <w:pPr>
              <w:spacing w:after="100"/>
              <w:jc w:val="right"/>
              <w:rPr>
                <w:rFonts w:eastAsia="Times New Roman"/>
              </w:rPr>
            </w:pPr>
            <w:r>
              <w:rPr>
                <w:rFonts w:eastAsia="Times New Roman"/>
                <w:color w:val="000000"/>
                <w:sz w:val="16"/>
                <w:szCs w:val="16"/>
              </w:rPr>
              <w:t>11,191 </w:t>
            </w:r>
          </w:p>
        </w:tc>
        <w:tc>
          <w:tcPr>
            <w:tcW w:w="0" w:type="auto"/>
            <w:shd w:val="clear" w:color="auto" w:fill="FFFFFF"/>
            <w:tcMar>
              <w:top w:w="30" w:type="dxa"/>
              <w:left w:w="0" w:type="dxa"/>
              <w:bottom w:w="30" w:type="dxa"/>
              <w:right w:w="20" w:type="dxa"/>
            </w:tcMar>
            <w:vAlign w:val="center"/>
            <w:hideMark/>
          </w:tcPr>
          <w:p w14:paraId="0E4F613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519530"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2D4FEDF" w14:textId="77777777" w:rsidR="00000000" w:rsidRDefault="00405D1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50427FD6" w14:textId="77777777" w:rsidR="00000000" w:rsidRDefault="00405D16">
            <w:pPr>
              <w:spacing w:after="100"/>
              <w:jc w:val="right"/>
              <w:rPr>
                <w:rFonts w:eastAsia="Times New Roman"/>
              </w:rPr>
            </w:pPr>
            <w:r>
              <w:rPr>
                <w:rFonts w:eastAsia="Times New Roman"/>
                <w:color w:val="000000"/>
                <w:sz w:val="16"/>
                <w:szCs w:val="16"/>
              </w:rPr>
              <w:t>2,615 </w:t>
            </w:r>
          </w:p>
        </w:tc>
        <w:tc>
          <w:tcPr>
            <w:tcW w:w="0" w:type="auto"/>
            <w:shd w:val="clear" w:color="auto" w:fill="FFFFFF"/>
            <w:tcMar>
              <w:top w:w="30" w:type="dxa"/>
              <w:left w:w="0" w:type="dxa"/>
              <w:bottom w:w="30" w:type="dxa"/>
              <w:right w:w="20" w:type="dxa"/>
            </w:tcMar>
            <w:vAlign w:val="center"/>
            <w:hideMark/>
          </w:tcPr>
          <w:p w14:paraId="222F11E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CDB61D"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8D0340E" w14:textId="77777777" w:rsidR="00000000" w:rsidRDefault="00405D1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5669B56F" w14:textId="77777777" w:rsidR="00000000" w:rsidRDefault="00405D16">
            <w:pPr>
              <w:spacing w:after="100"/>
              <w:jc w:val="right"/>
              <w:rPr>
                <w:rFonts w:eastAsia="Times New Roman"/>
              </w:rPr>
            </w:pPr>
            <w:r>
              <w:rPr>
                <w:rFonts w:eastAsia="Times New Roman"/>
                <w:color w:val="000000"/>
                <w:sz w:val="16"/>
                <w:szCs w:val="16"/>
              </w:rPr>
              <w:t>100 </w:t>
            </w:r>
          </w:p>
        </w:tc>
        <w:tc>
          <w:tcPr>
            <w:tcW w:w="0" w:type="auto"/>
            <w:shd w:val="clear" w:color="auto" w:fill="FFFFFF"/>
            <w:tcMar>
              <w:top w:w="30" w:type="dxa"/>
              <w:left w:w="0" w:type="dxa"/>
              <w:bottom w:w="30" w:type="dxa"/>
              <w:right w:w="20" w:type="dxa"/>
            </w:tcMar>
            <w:vAlign w:val="center"/>
            <w:hideMark/>
          </w:tcPr>
          <w:p w14:paraId="3062449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EDD920"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3AF8806" w14:textId="77777777" w:rsidR="00000000" w:rsidRDefault="00405D1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3002417F" w14:textId="77777777" w:rsidR="00000000" w:rsidRDefault="00405D16">
            <w:pPr>
              <w:spacing w:after="100"/>
              <w:jc w:val="right"/>
              <w:rPr>
                <w:rFonts w:eastAsia="Times New Roman"/>
              </w:rPr>
            </w:pPr>
            <w:r>
              <w:rPr>
                <w:rFonts w:eastAsia="Times New Roman"/>
                <w:color w:val="000000"/>
                <w:sz w:val="16"/>
                <w:szCs w:val="16"/>
              </w:rPr>
              <w:t>2,715 </w:t>
            </w:r>
          </w:p>
        </w:tc>
        <w:tc>
          <w:tcPr>
            <w:tcW w:w="0" w:type="auto"/>
            <w:shd w:val="clear" w:color="auto" w:fill="FFFFFF"/>
            <w:tcMar>
              <w:top w:w="30" w:type="dxa"/>
              <w:left w:w="0" w:type="dxa"/>
              <w:bottom w:w="30" w:type="dxa"/>
              <w:right w:w="20" w:type="dxa"/>
            </w:tcMar>
            <w:vAlign w:val="center"/>
            <w:hideMark/>
          </w:tcPr>
          <w:p w14:paraId="61976D9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542C80"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D3BDA87" w14:textId="77777777" w:rsidR="00000000" w:rsidRDefault="00405D1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7C3B5770" w14:textId="77777777" w:rsidR="00000000" w:rsidRDefault="00405D16">
            <w:pPr>
              <w:spacing w:after="100"/>
              <w:jc w:val="right"/>
              <w:rPr>
                <w:rFonts w:eastAsia="Times New Roman"/>
              </w:rPr>
            </w:pPr>
            <w:r>
              <w:rPr>
                <w:rFonts w:eastAsia="Times New Roman"/>
                <w:color w:val="000000"/>
                <w:sz w:val="16"/>
                <w:szCs w:val="16"/>
              </w:rPr>
              <w:t>1,658 </w:t>
            </w:r>
          </w:p>
        </w:tc>
        <w:tc>
          <w:tcPr>
            <w:tcW w:w="0" w:type="auto"/>
            <w:shd w:val="clear" w:color="auto" w:fill="FFFFFF"/>
            <w:tcMar>
              <w:top w:w="30" w:type="dxa"/>
              <w:left w:w="0" w:type="dxa"/>
              <w:bottom w:w="30" w:type="dxa"/>
              <w:right w:w="20" w:type="dxa"/>
            </w:tcMar>
            <w:vAlign w:val="center"/>
            <w:hideMark/>
          </w:tcPr>
          <w:p w14:paraId="0B96613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1B783C"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FE04AB2" w14:textId="77777777" w:rsidR="00000000" w:rsidRDefault="00405D1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0A9E71A6" w14:textId="77777777" w:rsidR="00000000" w:rsidRDefault="00405D16">
            <w:pPr>
              <w:spacing w:after="100"/>
              <w:jc w:val="right"/>
              <w:rPr>
                <w:rFonts w:eastAsia="Times New Roman"/>
              </w:rPr>
            </w:pPr>
            <w:r>
              <w:rPr>
                <w:rFonts w:eastAsia="Times New Roman"/>
                <w:color w:val="000000"/>
                <w:sz w:val="16"/>
                <w:szCs w:val="16"/>
              </w:rPr>
              <w:t>15,564 </w:t>
            </w:r>
          </w:p>
        </w:tc>
        <w:tc>
          <w:tcPr>
            <w:tcW w:w="0" w:type="auto"/>
            <w:shd w:val="clear" w:color="auto" w:fill="FFFFFF"/>
            <w:tcMar>
              <w:top w:w="30" w:type="dxa"/>
              <w:left w:w="0" w:type="dxa"/>
              <w:bottom w:w="30" w:type="dxa"/>
              <w:right w:w="20" w:type="dxa"/>
            </w:tcMar>
            <w:vAlign w:val="center"/>
            <w:hideMark/>
          </w:tcPr>
          <w:p w14:paraId="7B7A9ED4" w14:textId="77777777" w:rsidR="00000000" w:rsidRDefault="00405D16">
            <w:pPr>
              <w:spacing w:after="100"/>
              <w:jc w:val="right"/>
              <w:rPr>
                <w:rFonts w:eastAsia="Times New Roman"/>
              </w:rPr>
            </w:pPr>
          </w:p>
        </w:tc>
      </w:tr>
      <w:tr w:rsidR="00000000" w14:paraId="3AB19162" w14:textId="77777777">
        <w:trPr>
          <w:divId w:val="1146514285"/>
        </w:trPr>
        <w:tc>
          <w:tcPr>
            <w:tcW w:w="0" w:type="auto"/>
            <w:gridSpan w:val="3"/>
            <w:shd w:val="clear" w:color="auto" w:fill="CCEEFF"/>
            <w:tcMar>
              <w:top w:w="30" w:type="dxa"/>
              <w:left w:w="20" w:type="dxa"/>
              <w:bottom w:w="30" w:type="dxa"/>
              <w:right w:w="20" w:type="dxa"/>
            </w:tcMar>
            <w:vAlign w:val="bottom"/>
            <w:hideMark/>
          </w:tcPr>
          <w:p w14:paraId="7BE1B0BF" w14:textId="77777777" w:rsidR="00000000" w:rsidRDefault="00405D16">
            <w:pPr>
              <w:spacing w:after="100"/>
              <w:divId w:val="1078985322"/>
              <w:rPr>
                <w:rFonts w:eastAsia="Times New Roman"/>
              </w:rPr>
            </w:pPr>
            <w:r>
              <w:rPr>
                <w:rFonts w:eastAsia="Times New Roman"/>
                <w:color w:val="000000"/>
                <w:sz w:val="16"/>
                <w:szCs w:val="16"/>
              </w:rPr>
              <w:t>Charge-offs</w:t>
            </w:r>
          </w:p>
        </w:tc>
        <w:tc>
          <w:tcPr>
            <w:tcW w:w="0" w:type="auto"/>
            <w:gridSpan w:val="3"/>
            <w:shd w:val="clear" w:color="auto" w:fill="CCEEFF"/>
            <w:tcMar>
              <w:top w:w="0" w:type="dxa"/>
              <w:left w:w="20" w:type="dxa"/>
              <w:bottom w:w="0" w:type="dxa"/>
              <w:right w:w="20" w:type="dxa"/>
            </w:tcMar>
            <w:vAlign w:val="center"/>
            <w:hideMark/>
          </w:tcPr>
          <w:p w14:paraId="1C467A3D"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6CC2A89" w14:textId="77777777" w:rsidR="00000000" w:rsidRDefault="00405D16">
            <w:pPr>
              <w:spacing w:after="100"/>
              <w:jc w:val="right"/>
              <w:rPr>
                <w:rFonts w:eastAsia="Times New Roman"/>
              </w:rPr>
            </w:pPr>
            <w:r>
              <w:rPr>
                <w:rFonts w:eastAsia="Times New Roman"/>
                <w:b/>
                <w:bCs/>
                <w:color w:val="000000"/>
                <w:sz w:val="16"/>
                <w:szCs w:val="16"/>
              </w:rPr>
              <w:t>(2,436)</w:t>
            </w:r>
          </w:p>
        </w:tc>
        <w:tc>
          <w:tcPr>
            <w:tcW w:w="0" w:type="auto"/>
            <w:shd w:val="clear" w:color="auto" w:fill="CCEEFF"/>
            <w:tcMar>
              <w:top w:w="30" w:type="dxa"/>
              <w:left w:w="0" w:type="dxa"/>
              <w:bottom w:w="30" w:type="dxa"/>
              <w:right w:w="20" w:type="dxa"/>
            </w:tcMar>
            <w:vAlign w:val="center"/>
            <w:hideMark/>
          </w:tcPr>
          <w:p w14:paraId="7188A25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C88B8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59E264B" w14:textId="77777777" w:rsidR="00000000" w:rsidRDefault="00405D16">
            <w:pPr>
              <w:spacing w:after="100"/>
              <w:jc w:val="right"/>
              <w:rPr>
                <w:rFonts w:eastAsia="Times New Roman"/>
              </w:rPr>
            </w:pPr>
            <w:r>
              <w:rPr>
                <w:rFonts w:eastAsia="Times New Roman"/>
                <w:b/>
                <w:bCs/>
                <w:color w:val="000000"/>
                <w:sz w:val="16"/>
                <w:szCs w:val="16"/>
              </w:rPr>
              <w:t>(259)</w:t>
            </w:r>
          </w:p>
        </w:tc>
        <w:tc>
          <w:tcPr>
            <w:tcW w:w="0" w:type="auto"/>
            <w:shd w:val="clear" w:color="auto" w:fill="CCEEFF"/>
            <w:tcMar>
              <w:top w:w="30" w:type="dxa"/>
              <w:left w:w="0" w:type="dxa"/>
              <w:bottom w:w="30" w:type="dxa"/>
              <w:right w:w="20" w:type="dxa"/>
            </w:tcMar>
            <w:vAlign w:val="center"/>
            <w:hideMark/>
          </w:tcPr>
          <w:p w14:paraId="3F2FDA1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CDC1A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58BDB38" w14:textId="77777777" w:rsidR="00000000" w:rsidRDefault="00405D16">
            <w:pPr>
              <w:spacing w:after="100"/>
              <w:jc w:val="right"/>
              <w:rPr>
                <w:rFonts w:eastAsia="Times New Roman"/>
              </w:rPr>
            </w:pPr>
            <w:r>
              <w:rPr>
                <w:rFonts w:eastAsia="Times New Roman"/>
                <w:b/>
                <w:bCs/>
                <w:color w:val="000000"/>
                <w:sz w:val="16"/>
                <w:szCs w:val="16"/>
              </w:rPr>
              <w:t>(2,695)</w:t>
            </w:r>
          </w:p>
        </w:tc>
        <w:tc>
          <w:tcPr>
            <w:tcW w:w="0" w:type="auto"/>
            <w:shd w:val="clear" w:color="auto" w:fill="CCEEFF"/>
            <w:tcMar>
              <w:top w:w="30" w:type="dxa"/>
              <w:left w:w="0" w:type="dxa"/>
              <w:bottom w:w="30" w:type="dxa"/>
              <w:right w:w="20" w:type="dxa"/>
            </w:tcMar>
            <w:vAlign w:val="center"/>
            <w:hideMark/>
          </w:tcPr>
          <w:p w14:paraId="7165D73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FE846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12AC720" w14:textId="77777777" w:rsidR="00000000" w:rsidRDefault="00405D16">
            <w:pPr>
              <w:spacing w:after="100"/>
              <w:jc w:val="right"/>
              <w:rPr>
                <w:rFonts w:eastAsia="Times New Roman"/>
              </w:rPr>
            </w:pPr>
            <w:r>
              <w:rPr>
                <w:rFonts w:eastAsia="Times New Roman"/>
                <w:b/>
                <w:bCs/>
                <w:color w:val="000000"/>
                <w:sz w:val="16"/>
                <w:szCs w:val="16"/>
              </w:rPr>
              <w:t>(813)</w:t>
            </w:r>
          </w:p>
        </w:tc>
        <w:tc>
          <w:tcPr>
            <w:tcW w:w="0" w:type="auto"/>
            <w:shd w:val="clear" w:color="auto" w:fill="CCEEFF"/>
            <w:tcMar>
              <w:top w:w="30" w:type="dxa"/>
              <w:left w:w="0" w:type="dxa"/>
              <w:bottom w:w="30" w:type="dxa"/>
              <w:right w:w="20" w:type="dxa"/>
            </w:tcMar>
            <w:vAlign w:val="center"/>
            <w:hideMark/>
          </w:tcPr>
          <w:p w14:paraId="2125F0C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92566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408DCDF" w14:textId="77777777" w:rsidR="00000000" w:rsidRDefault="00405D16">
            <w:pPr>
              <w:spacing w:after="100"/>
              <w:jc w:val="right"/>
              <w:rPr>
                <w:rFonts w:eastAsia="Times New Roman"/>
              </w:rPr>
            </w:pPr>
            <w:r>
              <w:rPr>
                <w:rFonts w:eastAsia="Times New Roman"/>
                <w:b/>
                <w:bCs/>
                <w:color w:val="000000"/>
                <w:sz w:val="16"/>
                <w:szCs w:val="16"/>
              </w:rPr>
              <w:t>(53)</w:t>
            </w:r>
          </w:p>
        </w:tc>
        <w:tc>
          <w:tcPr>
            <w:tcW w:w="0" w:type="auto"/>
            <w:shd w:val="clear" w:color="auto" w:fill="CCEEFF"/>
            <w:tcMar>
              <w:top w:w="30" w:type="dxa"/>
              <w:left w:w="0" w:type="dxa"/>
              <w:bottom w:w="30" w:type="dxa"/>
              <w:right w:w="20" w:type="dxa"/>
            </w:tcMar>
            <w:vAlign w:val="center"/>
            <w:hideMark/>
          </w:tcPr>
          <w:p w14:paraId="730E26B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F0DE5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38E02E0" w14:textId="77777777" w:rsidR="00000000" w:rsidRDefault="00405D16">
            <w:pPr>
              <w:spacing w:after="100"/>
              <w:jc w:val="right"/>
              <w:rPr>
                <w:rFonts w:eastAsia="Times New Roman"/>
              </w:rPr>
            </w:pPr>
            <w:r>
              <w:rPr>
                <w:rFonts w:eastAsia="Times New Roman"/>
                <w:b/>
                <w:bCs/>
                <w:color w:val="000000"/>
                <w:sz w:val="16"/>
                <w:szCs w:val="16"/>
              </w:rPr>
              <w:t>(866)</w:t>
            </w:r>
          </w:p>
        </w:tc>
        <w:tc>
          <w:tcPr>
            <w:tcW w:w="0" w:type="auto"/>
            <w:shd w:val="clear" w:color="auto" w:fill="CCEEFF"/>
            <w:tcMar>
              <w:top w:w="30" w:type="dxa"/>
              <w:left w:w="0" w:type="dxa"/>
              <w:bottom w:w="30" w:type="dxa"/>
              <w:right w:w="20" w:type="dxa"/>
            </w:tcMar>
            <w:vAlign w:val="center"/>
            <w:hideMark/>
          </w:tcPr>
          <w:p w14:paraId="6A11145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46C94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2A38AD8" w14:textId="77777777" w:rsidR="00000000" w:rsidRDefault="00405D16">
            <w:pPr>
              <w:spacing w:after="100"/>
              <w:jc w:val="right"/>
              <w:rPr>
                <w:rFonts w:eastAsia="Times New Roman"/>
              </w:rPr>
            </w:pPr>
            <w:r>
              <w:rPr>
                <w:rFonts w:eastAsia="Times New Roman"/>
                <w:b/>
                <w:bCs/>
                <w:color w:val="000000"/>
                <w:sz w:val="16"/>
                <w:szCs w:val="16"/>
              </w:rPr>
              <w:t>(47)</w:t>
            </w:r>
          </w:p>
        </w:tc>
        <w:tc>
          <w:tcPr>
            <w:tcW w:w="0" w:type="auto"/>
            <w:shd w:val="clear" w:color="auto" w:fill="CCEEFF"/>
            <w:tcMar>
              <w:top w:w="30" w:type="dxa"/>
              <w:left w:w="0" w:type="dxa"/>
              <w:bottom w:w="30" w:type="dxa"/>
              <w:right w:w="20" w:type="dxa"/>
            </w:tcMar>
            <w:vAlign w:val="center"/>
            <w:hideMark/>
          </w:tcPr>
          <w:p w14:paraId="47125E3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B4D3A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2284A38" w14:textId="77777777" w:rsidR="00000000" w:rsidRDefault="00405D16">
            <w:pPr>
              <w:spacing w:after="100"/>
              <w:jc w:val="right"/>
              <w:rPr>
                <w:rFonts w:eastAsia="Times New Roman"/>
              </w:rPr>
            </w:pPr>
            <w:r>
              <w:rPr>
                <w:rFonts w:eastAsia="Times New Roman"/>
                <w:b/>
                <w:bCs/>
                <w:color w:val="000000"/>
                <w:sz w:val="16"/>
                <w:szCs w:val="16"/>
              </w:rPr>
              <w:t>(3,608)</w:t>
            </w:r>
          </w:p>
        </w:tc>
        <w:tc>
          <w:tcPr>
            <w:tcW w:w="0" w:type="auto"/>
            <w:shd w:val="clear" w:color="auto" w:fill="CCEEFF"/>
            <w:tcMar>
              <w:top w:w="30" w:type="dxa"/>
              <w:left w:w="0" w:type="dxa"/>
              <w:bottom w:w="30" w:type="dxa"/>
              <w:right w:w="20" w:type="dxa"/>
            </w:tcMar>
            <w:vAlign w:val="center"/>
            <w:hideMark/>
          </w:tcPr>
          <w:p w14:paraId="5EB401AF" w14:textId="77777777" w:rsidR="00000000" w:rsidRDefault="00405D16">
            <w:pPr>
              <w:spacing w:after="100"/>
              <w:jc w:val="right"/>
              <w:rPr>
                <w:rFonts w:eastAsia="Times New Roman"/>
              </w:rPr>
            </w:pPr>
          </w:p>
        </w:tc>
      </w:tr>
      <w:tr w:rsidR="00000000" w14:paraId="46097678" w14:textId="77777777">
        <w:trPr>
          <w:divId w:val="1146514285"/>
        </w:trPr>
        <w:tc>
          <w:tcPr>
            <w:tcW w:w="0" w:type="auto"/>
            <w:gridSpan w:val="3"/>
            <w:shd w:val="clear" w:color="auto" w:fill="FFFFFF"/>
            <w:tcMar>
              <w:top w:w="30" w:type="dxa"/>
              <w:left w:w="20" w:type="dxa"/>
              <w:bottom w:w="30" w:type="dxa"/>
              <w:right w:w="20" w:type="dxa"/>
            </w:tcMar>
            <w:vAlign w:val="bottom"/>
            <w:hideMark/>
          </w:tcPr>
          <w:p w14:paraId="49234247" w14:textId="77777777" w:rsidR="00000000" w:rsidRDefault="00405D16">
            <w:pPr>
              <w:spacing w:after="100"/>
              <w:divId w:val="891498398"/>
              <w:rPr>
                <w:rFonts w:eastAsia="Times New Roman"/>
              </w:rPr>
            </w:pPr>
            <w:r>
              <w:rPr>
                <w:rFonts w:eastAsia="Times New Roman"/>
                <w:color w:val="000000"/>
                <w:sz w:val="16"/>
                <w:szCs w:val="16"/>
              </w:rPr>
              <w:t>Recoverie</w:t>
            </w:r>
            <w:r>
              <w:rPr>
                <w:rFonts w:eastAsia="Times New Roman"/>
                <w:color w:val="000000"/>
                <w:sz w:val="16"/>
                <w:szCs w:val="16"/>
              </w:rPr>
              <w:t>s</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14:paraId="68B28A49"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4701353" w14:textId="77777777" w:rsidR="00000000" w:rsidRDefault="00405D16">
            <w:pPr>
              <w:spacing w:after="100"/>
              <w:jc w:val="right"/>
              <w:rPr>
                <w:rFonts w:eastAsia="Times New Roman"/>
              </w:rPr>
            </w:pPr>
            <w:r>
              <w:rPr>
                <w:rFonts w:eastAsia="Times New Roman"/>
                <w:b/>
                <w:bCs/>
                <w:color w:val="000000"/>
                <w:sz w:val="16"/>
                <w:szCs w:val="16"/>
              </w:rPr>
              <w:t>1,000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7AA213D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E0244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FDBA2E9" w14:textId="77777777" w:rsidR="00000000" w:rsidRDefault="00405D16">
            <w:pPr>
              <w:spacing w:after="100"/>
              <w:jc w:val="right"/>
              <w:rPr>
                <w:rFonts w:eastAsia="Times New Roman"/>
              </w:rPr>
            </w:pPr>
            <w:r>
              <w:rPr>
                <w:rFonts w:eastAsia="Times New Roman"/>
                <w:b/>
                <w:bCs/>
                <w:color w:val="000000"/>
                <w:sz w:val="16"/>
                <w:szCs w:val="16"/>
              </w:rPr>
              <w:t>125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3805A18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13A76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C0A7DC0" w14:textId="77777777" w:rsidR="00000000" w:rsidRDefault="00405D16">
            <w:pPr>
              <w:spacing w:after="100"/>
              <w:jc w:val="right"/>
              <w:rPr>
                <w:rFonts w:eastAsia="Times New Roman"/>
              </w:rPr>
            </w:pPr>
            <w:r>
              <w:rPr>
                <w:rFonts w:eastAsia="Times New Roman"/>
                <w:b/>
                <w:bCs/>
                <w:color w:val="000000"/>
                <w:sz w:val="16"/>
                <w:szCs w:val="16"/>
              </w:rPr>
              <w:t>1,125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49870C5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F1140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79B74F8" w14:textId="77777777" w:rsidR="00000000" w:rsidRDefault="00405D16">
            <w:pPr>
              <w:spacing w:after="100"/>
              <w:jc w:val="right"/>
              <w:rPr>
                <w:rFonts w:eastAsia="Times New Roman"/>
              </w:rPr>
            </w:pPr>
            <w:r>
              <w:rPr>
                <w:rFonts w:eastAsia="Times New Roman"/>
                <w:b/>
                <w:bCs/>
                <w:color w:val="000000"/>
                <w:sz w:val="16"/>
                <w:szCs w:val="16"/>
              </w:rPr>
              <w:t>723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11E308B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D1236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B48DE1E" w14:textId="77777777" w:rsidR="00000000" w:rsidRDefault="00405D16">
            <w:pPr>
              <w:spacing w:after="100"/>
              <w:jc w:val="right"/>
              <w:rPr>
                <w:rFonts w:eastAsia="Times New Roman"/>
              </w:rPr>
            </w:pPr>
            <w:r>
              <w:rPr>
                <w:rFonts w:eastAsia="Times New Roman"/>
                <w:b/>
                <w:bCs/>
                <w:color w:val="000000"/>
                <w:sz w:val="16"/>
                <w:szCs w:val="16"/>
              </w:rPr>
              <w:t>12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657E16B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3A410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2DD5527" w14:textId="77777777" w:rsidR="00000000" w:rsidRDefault="00405D16">
            <w:pPr>
              <w:spacing w:after="100"/>
              <w:jc w:val="right"/>
              <w:rPr>
                <w:rFonts w:eastAsia="Times New Roman"/>
              </w:rPr>
            </w:pPr>
            <w:r>
              <w:rPr>
                <w:rFonts w:eastAsia="Times New Roman"/>
                <w:b/>
                <w:bCs/>
                <w:color w:val="000000"/>
                <w:sz w:val="16"/>
                <w:szCs w:val="16"/>
              </w:rPr>
              <w:t>735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2018881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28D84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1FE0F69" w14:textId="77777777" w:rsidR="00000000" w:rsidRDefault="00405D16">
            <w:pPr>
              <w:spacing w:after="100"/>
              <w:jc w:val="right"/>
              <w:rPr>
                <w:rFonts w:eastAsia="Times New Roman"/>
              </w:rPr>
            </w:pPr>
            <w:r>
              <w:rPr>
                <w:rFonts w:eastAsia="Times New Roman"/>
                <w:b/>
                <w:bCs/>
                <w:color w:val="000000"/>
                <w:sz w:val="16"/>
                <w:szCs w:val="16"/>
              </w:rPr>
              <w:t>41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0AA1ED0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0F4D7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31B7482" w14:textId="77777777" w:rsidR="00000000" w:rsidRDefault="00405D16">
            <w:pPr>
              <w:spacing w:after="100"/>
              <w:jc w:val="right"/>
              <w:rPr>
                <w:rFonts w:eastAsia="Times New Roman"/>
              </w:rPr>
            </w:pPr>
            <w:r>
              <w:rPr>
                <w:rFonts w:eastAsia="Times New Roman"/>
                <w:b/>
                <w:bCs/>
                <w:color w:val="000000"/>
                <w:sz w:val="16"/>
                <w:szCs w:val="16"/>
              </w:rPr>
              <w:t>1,901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0F518935" w14:textId="77777777" w:rsidR="00000000" w:rsidRDefault="00405D16">
            <w:pPr>
              <w:spacing w:after="100"/>
              <w:jc w:val="right"/>
              <w:rPr>
                <w:rFonts w:eastAsia="Times New Roman"/>
              </w:rPr>
            </w:pPr>
          </w:p>
        </w:tc>
      </w:tr>
      <w:tr w:rsidR="00000000" w14:paraId="44BEC6B5" w14:textId="77777777">
        <w:trPr>
          <w:divId w:val="1146514285"/>
        </w:trPr>
        <w:tc>
          <w:tcPr>
            <w:tcW w:w="0" w:type="auto"/>
            <w:gridSpan w:val="3"/>
            <w:shd w:val="clear" w:color="auto" w:fill="CCEEFF"/>
            <w:tcMar>
              <w:top w:w="30" w:type="dxa"/>
              <w:left w:w="20" w:type="dxa"/>
              <w:bottom w:w="30" w:type="dxa"/>
              <w:right w:w="20" w:type="dxa"/>
            </w:tcMar>
            <w:vAlign w:val="bottom"/>
            <w:hideMark/>
          </w:tcPr>
          <w:p w14:paraId="7412A69E" w14:textId="77777777" w:rsidR="00000000" w:rsidRDefault="00405D16">
            <w:pPr>
              <w:spacing w:after="100"/>
              <w:rPr>
                <w:rFonts w:eastAsia="Times New Roman"/>
              </w:rPr>
            </w:pPr>
            <w:r>
              <w:rPr>
                <w:rFonts w:eastAsia="Times New Roman"/>
                <w:color w:val="000000"/>
                <w:sz w:val="16"/>
                <w:szCs w:val="16"/>
              </w:rPr>
              <w:t>Net charge-offs</w:t>
            </w:r>
          </w:p>
        </w:tc>
        <w:tc>
          <w:tcPr>
            <w:tcW w:w="0" w:type="auto"/>
            <w:gridSpan w:val="3"/>
            <w:shd w:val="clear" w:color="auto" w:fill="CCEEFF"/>
            <w:tcMar>
              <w:top w:w="0" w:type="dxa"/>
              <w:left w:w="20" w:type="dxa"/>
              <w:bottom w:w="0" w:type="dxa"/>
              <w:right w:w="20" w:type="dxa"/>
            </w:tcMar>
            <w:vAlign w:val="center"/>
            <w:hideMark/>
          </w:tcPr>
          <w:p w14:paraId="0A8EF11D"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8C4A6CD" w14:textId="77777777" w:rsidR="00000000" w:rsidRDefault="00405D16">
            <w:pPr>
              <w:spacing w:after="100"/>
              <w:jc w:val="right"/>
              <w:rPr>
                <w:rFonts w:eastAsia="Times New Roman"/>
              </w:rPr>
            </w:pPr>
            <w:r>
              <w:rPr>
                <w:rFonts w:eastAsia="Times New Roman"/>
                <w:b/>
                <w:bCs/>
                <w:color w:val="000000"/>
                <w:sz w:val="16"/>
                <w:szCs w:val="16"/>
              </w:rPr>
              <w:t>(1,436)</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B3FC1F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01031C"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9E135F7" w14:textId="77777777" w:rsidR="00000000" w:rsidRDefault="00405D16">
            <w:pPr>
              <w:spacing w:after="100"/>
              <w:jc w:val="right"/>
              <w:rPr>
                <w:rFonts w:eastAsia="Times New Roman"/>
              </w:rPr>
            </w:pPr>
            <w:r>
              <w:rPr>
                <w:rFonts w:eastAsia="Times New Roman"/>
                <w:b/>
                <w:bCs/>
                <w:color w:val="000000"/>
                <w:sz w:val="16"/>
                <w:szCs w:val="16"/>
              </w:rPr>
              <w:t>(134)</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FE03B0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45E791"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CD185F6" w14:textId="77777777" w:rsidR="00000000" w:rsidRDefault="00405D16">
            <w:pPr>
              <w:spacing w:after="100"/>
              <w:jc w:val="right"/>
              <w:rPr>
                <w:rFonts w:eastAsia="Times New Roman"/>
              </w:rPr>
            </w:pPr>
            <w:r>
              <w:rPr>
                <w:rFonts w:eastAsia="Times New Roman"/>
                <w:b/>
                <w:bCs/>
                <w:color w:val="000000"/>
                <w:sz w:val="16"/>
                <w:szCs w:val="16"/>
              </w:rPr>
              <w:t>(1,570)</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D0CF18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99B21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752CA9E" w14:textId="77777777" w:rsidR="00000000" w:rsidRDefault="00405D16">
            <w:pPr>
              <w:spacing w:after="100"/>
              <w:jc w:val="right"/>
              <w:rPr>
                <w:rFonts w:eastAsia="Times New Roman"/>
              </w:rPr>
            </w:pPr>
            <w:r>
              <w:rPr>
                <w:rFonts w:eastAsia="Times New Roman"/>
                <w:b/>
                <w:bCs/>
                <w:color w:val="000000"/>
                <w:sz w:val="16"/>
                <w:szCs w:val="16"/>
              </w:rPr>
              <w:t>(90)</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E33DF3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066C2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C70496C" w14:textId="77777777" w:rsidR="00000000" w:rsidRDefault="00405D16">
            <w:pPr>
              <w:spacing w:after="100"/>
              <w:jc w:val="right"/>
              <w:rPr>
                <w:rFonts w:eastAsia="Times New Roman"/>
              </w:rPr>
            </w:pPr>
            <w:r>
              <w:rPr>
                <w:rFonts w:eastAsia="Times New Roman"/>
                <w:b/>
                <w:bCs/>
                <w:color w:val="000000"/>
                <w:sz w:val="16"/>
                <w:szCs w:val="16"/>
              </w:rPr>
              <w:t>(41)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ABD76A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7C890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1A2A903" w14:textId="77777777" w:rsidR="00000000" w:rsidRDefault="00405D16">
            <w:pPr>
              <w:spacing w:after="100"/>
              <w:jc w:val="right"/>
              <w:rPr>
                <w:rFonts w:eastAsia="Times New Roman"/>
              </w:rPr>
            </w:pPr>
            <w:r>
              <w:rPr>
                <w:rFonts w:eastAsia="Times New Roman"/>
                <w:b/>
                <w:bCs/>
                <w:color w:val="000000"/>
                <w:sz w:val="16"/>
                <w:szCs w:val="16"/>
              </w:rPr>
              <w:t>(131)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83ACA8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779EB7"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210A2E1" w14:textId="77777777" w:rsidR="00000000" w:rsidRDefault="00405D16">
            <w:pPr>
              <w:spacing w:after="100"/>
              <w:jc w:val="right"/>
              <w:rPr>
                <w:rFonts w:eastAsia="Times New Roman"/>
              </w:rPr>
            </w:pPr>
            <w:r>
              <w:rPr>
                <w:rFonts w:eastAsia="Times New Roman"/>
                <w:b/>
                <w:bCs/>
                <w:color w:val="000000"/>
                <w:sz w:val="16"/>
                <w:szCs w:val="16"/>
              </w:rPr>
              <w:t>(6)</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34567C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AA4508"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7272FA8" w14:textId="77777777" w:rsidR="00000000" w:rsidRDefault="00405D16">
            <w:pPr>
              <w:spacing w:after="100"/>
              <w:jc w:val="right"/>
              <w:rPr>
                <w:rFonts w:eastAsia="Times New Roman"/>
              </w:rPr>
            </w:pPr>
            <w:r>
              <w:rPr>
                <w:rFonts w:eastAsia="Times New Roman"/>
                <w:b/>
                <w:bCs/>
                <w:color w:val="000000"/>
                <w:sz w:val="16"/>
                <w:szCs w:val="16"/>
              </w:rPr>
              <w:t>(1,707)</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55BFB26" w14:textId="77777777" w:rsidR="00000000" w:rsidRDefault="00405D16">
            <w:pPr>
              <w:spacing w:after="100"/>
              <w:jc w:val="right"/>
              <w:rPr>
                <w:rFonts w:eastAsia="Times New Roman"/>
              </w:rPr>
            </w:pPr>
          </w:p>
        </w:tc>
      </w:tr>
      <w:tr w:rsidR="00000000" w14:paraId="37F48E00" w14:textId="77777777">
        <w:trPr>
          <w:divId w:val="1146514285"/>
        </w:trPr>
        <w:tc>
          <w:tcPr>
            <w:tcW w:w="0" w:type="auto"/>
            <w:gridSpan w:val="3"/>
            <w:shd w:val="clear" w:color="auto" w:fill="FFFFFF"/>
            <w:tcMar>
              <w:top w:w="30" w:type="dxa"/>
              <w:left w:w="20" w:type="dxa"/>
              <w:bottom w:w="30" w:type="dxa"/>
              <w:right w:w="20" w:type="dxa"/>
            </w:tcMar>
            <w:vAlign w:val="bottom"/>
            <w:hideMark/>
          </w:tcPr>
          <w:p w14:paraId="65D9E8CA" w14:textId="77777777" w:rsidR="00000000" w:rsidRDefault="00405D16">
            <w:pPr>
              <w:spacing w:after="100"/>
              <w:rPr>
                <w:rFonts w:eastAsia="Times New Roman"/>
              </w:rPr>
            </w:pPr>
            <w:r>
              <w:rPr>
                <w:rFonts w:eastAsia="Times New Roman"/>
                <w:color w:val="000000"/>
                <w:sz w:val="16"/>
                <w:szCs w:val="16"/>
              </w:rPr>
              <w:t>Provision (benefit) for credit losses</w:t>
            </w:r>
          </w:p>
        </w:tc>
        <w:tc>
          <w:tcPr>
            <w:tcW w:w="0" w:type="auto"/>
            <w:gridSpan w:val="3"/>
            <w:shd w:val="clear" w:color="auto" w:fill="FFFFFF"/>
            <w:tcMar>
              <w:top w:w="0" w:type="dxa"/>
              <w:left w:w="20" w:type="dxa"/>
              <w:bottom w:w="0" w:type="dxa"/>
              <w:right w:w="20" w:type="dxa"/>
            </w:tcMar>
            <w:vAlign w:val="center"/>
            <w:hideMark/>
          </w:tcPr>
          <w:p w14:paraId="73C481D2"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4B53978" w14:textId="77777777" w:rsidR="00000000" w:rsidRDefault="00405D16">
            <w:pPr>
              <w:spacing w:after="100"/>
              <w:jc w:val="right"/>
              <w:rPr>
                <w:rFonts w:eastAsia="Times New Roman"/>
              </w:rPr>
            </w:pPr>
            <w:r>
              <w:rPr>
                <w:rFonts w:eastAsia="Times New Roman"/>
                <w:b/>
                <w:bCs/>
                <w:color w:val="000000"/>
                <w:sz w:val="16"/>
                <w:szCs w:val="16"/>
              </w:rPr>
              <w:t>(1,252)</w:t>
            </w:r>
          </w:p>
        </w:tc>
        <w:tc>
          <w:tcPr>
            <w:tcW w:w="0" w:type="auto"/>
            <w:shd w:val="clear" w:color="auto" w:fill="FFFFFF"/>
            <w:tcMar>
              <w:top w:w="30" w:type="dxa"/>
              <w:left w:w="0" w:type="dxa"/>
              <w:bottom w:w="30" w:type="dxa"/>
              <w:right w:w="20" w:type="dxa"/>
            </w:tcMar>
            <w:vAlign w:val="center"/>
            <w:hideMark/>
          </w:tcPr>
          <w:p w14:paraId="476A84E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78DF9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425951E" w14:textId="77777777" w:rsidR="00000000" w:rsidRDefault="00405D16">
            <w:pPr>
              <w:spacing w:after="100"/>
              <w:jc w:val="right"/>
              <w:rPr>
                <w:rFonts w:eastAsia="Times New Roman"/>
              </w:rPr>
            </w:pPr>
            <w:r>
              <w:rPr>
                <w:rFonts w:eastAsia="Times New Roman"/>
                <w:b/>
                <w:bCs/>
                <w:color w:val="000000"/>
                <w:sz w:val="16"/>
                <w:szCs w:val="16"/>
              </w:rPr>
              <w:t>(73)</w:t>
            </w:r>
          </w:p>
        </w:tc>
        <w:tc>
          <w:tcPr>
            <w:tcW w:w="0" w:type="auto"/>
            <w:shd w:val="clear" w:color="auto" w:fill="FFFFFF"/>
            <w:tcMar>
              <w:top w:w="30" w:type="dxa"/>
              <w:left w:w="0" w:type="dxa"/>
              <w:bottom w:w="30" w:type="dxa"/>
              <w:right w:w="20" w:type="dxa"/>
            </w:tcMar>
            <w:vAlign w:val="center"/>
            <w:hideMark/>
          </w:tcPr>
          <w:p w14:paraId="50D678C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E3BB0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18A4AB1" w14:textId="77777777" w:rsidR="00000000" w:rsidRDefault="00405D16">
            <w:pPr>
              <w:spacing w:after="100"/>
              <w:jc w:val="right"/>
              <w:rPr>
                <w:rFonts w:eastAsia="Times New Roman"/>
              </w:rPr>
            </w:pPr>
            <w:r>
              <w:rPr>
                <w:rFonts w:eastAsia="Times New Roman"/>
                <w:b/>
                <w:bCs/>
                <w:color w:val="000000"/>
                <w:sz w:val="16"/>
                <w:szCs w:val="16"/>
              </w:rPr>
              <w:t>(1,325)</w:t>
            </w:r>
          </w:p>
        </w:tc>
        <w:tc>
          <w:tcPr>
            <w:tcW w:w="0" w:type="auto"/>
            <w:shd w:val="clear" w:color="auto" w:fill="FFFFFF"/>
            <w:tcMar>
              <w:top w:w="30" w:type="dxa"/>
              <w:left w:w="0" w:type="dxa"/>
              <w:bottom w:w="30" w:type="dxa"/>
              <w:right w:w="20" w:type="dxa"/>
            </w:tcMar>
            <w:vAlign w:val="center"/>
            <w:hideMark/>
          </w:tcPr>
          <w:p w14:paraId="016031A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5DCD3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3960F32" w14:textId="77777777" w:rsidR="00000000" w:rsidRDefault="00405D16">
            <w:pPr>
              <w:spacing w:after="100"/>
              <w:jc w:val="right"/>
              <w:rPr>
                <w:rFonts w:eastAsia="Times New Roman"/>
              </w:rPr>
            </w:pPr>
            <w:r>
              <w:rPr>
                <w:rFonts w:eastAsia="Times New Roman"/>
                <w:b/>
                <w:bCs/>
                <w:color w:val="000000"/>
                <w:sz w:val="16"/>
                <w:szCs w:val="16"/>
              </w:rPr>
              <w:t>(537)</w:t>
            </w:r>
          </w:p>
        </w:tc>
        <w:tc>
          <w:tcPr>
            <w:tcW w:w="0" w:type="auto"/>
            <w:shd w:val="clear" w:color="auto" w:fill="FFFFFF"/>
            <w:tcMar>
              <w:top w:w="30" w:type="dxa"/>
              <w:left w:w="0" w:type="dxa"/>
              <w:bottom w:w="30" w:type="dxa"/>
              <w:right w:w="20" w:type="dxa"/>
            </w:tcMar>
            <w:vAlign w:val="center"/>
            <w:hideMark/>
          </w:tcPr>
          <w:p w14:paraId="6ED1C52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85812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CB76A31" w14:textId="77777777" w:rsidR="00000000" w:rsidRDefault="00405D16">
            <w:pPr>
              <w:spacing w:after="100"/>
              <w:jc w:val="right"/>
              <w:rPr>
                <w:rFonts w:eastAsia="Times New Roman"/>
              </w:rPr>
            </w:pPr>
            <w:r>
              <w:rPr>
                <w:rFonts w:eastAsia="Times New Roman"/>
                <w:b/>
                <w:bCs/>
                <w:color w:val="000000"/>
                <w:sz w:val="16"/>
                <w:szCs w:val="16"/>
              </w:rPr>
              <w:t>14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43718AC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E6DE3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4E87A6A" w14:textId="77777777" w:rsidR="00000000" w:rsidRDefault="00405D16">
            <w:pPr>
              <w:spacing w:after="100"/>
              <w:jc w:val="right"/>
              <w:rPr>
                <w:rFonts w:eastAsia="Times New Roman"/>
              </w:rPr>
            </w:pPr>
            <w:r>
              <w:rPr>
                <w:rFonts w:eastAsia="Times New Roman"/>
                <w:b/>
                <w:bCs/>
                <w:color w:val="000000"/>
                <w:sz w:val="16"/>
                <w:szCs w:val="16"/>
              </w:rPr>
              <w:t>(523)</w:t>
            </w:r>
          </w:p>
        </w:tc>
        <w:tc>
          <w:tcPr>
            <w:tcW w:w="0" w:type="auto"/>
            <w:shd w:val="clear" w:color="auto" w:fill="FFFFFF"/>
            <w:tcMar>
              <w:top w:w="30" w:type="dxa"/>
              <w:left w:w="0" w:type="dxa"/>
              <w:bottom w:w="30" w:type="dxa"/>
              <w:right w:w="20" w:type="dxa"/>
            </w:tcMar>
            <w:vAlign w:val="center"/>
            <w:hideMark/>
          </w:tcPr>
          <w:p w14:paraId="55AD0D7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E9BF8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4668F11" w14:textId="77777777" w:rsidR="00000000" w:rsidRDefault="00405D16">
            <w:pPr>
              <w:spacing w:after="100"/>
              <w:jc w:val="right"/>
              <w:rPr>
                <w:rFonts w:eastAsia="Times New Roman"/>
              </w:rPr>
            </w:pPr>
            <w:r>
              <w:rPr>
                <w:rFonts w:eastAsia="Times New Roman"/>
                <w:b/>
                <w:bCs/>
                <w:color w:val="000000"/>
                <w:sz w:val="16"/>
                <w:szCs w:val="16"/>
              </w:rPr>
              <w:t>(446)</w:t>
            </w:r>
          </w:p>
        </w:tc>
        <w:tc>
          <w:tcPr>
            <w:tcW w:w="0" w:type="auto"/>
            <w:shd w:val="clear" w:color="auto" w:fill="FFFFFF"/>
            <w:tcMar>
              <w:top w:w="30" w:type="dxa"/>
              <w:left w:w="0" w:type="dxa"/>
              <w:bottom w:w="30" w:type="dxa"/>
              <w:right w:w="20" w:type="dxa"/>
            </w:tcMar>
            <w:vAlign w:val="center"/>
            <w:hideMark/>
          </w:tcPr>
          <w:p w14:paraId="0D8B48F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7B9BC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814E06A" w14:textId="77777777" w:rsidR="00000000" w:rsidRDefault="00405D16">
            <w:pPr>
              <w:spacing w:after="100"/>
              <w:jc w:val="right"/>
              <w:rPr>
                <w:rFonts w:eastAsia="Times New Roman"/>
              </w:rPr>
            </w:pPr>
            <w:r>
              <w:rPr>
                <w:rFonts w:eastAsia="Times New Roman"/>
                <w:b/>
                <w:bCs/>
                <w:color w:val="000000"/>
                <w:sz w:val="16"/>
                <w:szCs w:val="16"/>
              </w:rPr>
              <w:t>(2,294)</w:t>
            </w:r>
          </w:p>
        </w:tc>
        <w:tc>
          <w:tcPr>
            <w:tcW w:w="0" w:type="auto"/>
            <w:shd w:val="clear" w:color="auto" w:fill="FFFFFF"/>
            <w:tcMar>
              <w:top w:w="30" w:type="dxa"/>
              <w:left w:w="0" w:type="dxa"/>
              <w:bottom w:w="30" w:type="dxa"/>
              <w:right w:w="20" w:type="dxa"/>
            </w:tcMar>
            <w:vAlign w:val="center"/>
            <w:hideMark/>
          </w:tcPr>
          <w:p w14:paraId="43F20D49" w14:textId="77777777" w:rsidR="00000000" w:rsidRDefault="00405D16">
            <w:pPr>
              <w:spacing w:after="100"/>
              <w:jc w:val="right"/>
              <w:rPr>
                <w:rFonts w:eastAsia="Times New Roman"/>
              </w:rPr>
            </w:pPr>
          </w:p>
        </w:tc>
      </w:tr>
      <w:tr w:rsidR="00000000" w14:paraId="63DCD3F2" w14:textId="77777777">
        <w:trPr>
          <w:divId w:val="1146514285"/>
        </w:trPr>
        <w:tc>
          <w:tcPr>
            <w:tcW w:w="0" w:type="auto"/>
            <w:gridSpan w:val="3"/>
            <w:shd w:val="clear" w:color="auto" w:fill="CCEEFF"/>
            <w:tcMar>
              <w:top w:w="30" w:type="dxa"/>
              <w:left w:w="20" w:type="dxa"/>
              <w:bottom w:w="30" w:type="dxa"/>
              <w:right w:w="20" w:type="dxa"/>
            </w:tcMar>
            <w:vAlign w:val="center"/>
            <w:hideMark/>
          </w:tcPr>
          <w:p w14:paraId="3BF85FBB" w14:textId="77777777" w:rsidR="00000000" w:rsidRDefault="00405D16">
            <w:pPr>
              <w:spacing w:after="100"/>
              <w:rPr>
                <w:rFonts w:eastAsia="Times New Roman"/>
              </w:rPr>
            </w:pPr>
            <w:r>
              <w:rPr>
                <w:rFonts w:eastAsia="Times New Roman"/>
                <w:color w:val="000000"/>
                <w:sz w:val="16"/>
                <w:szCs w:val="16"/>
              </w:rPr>
              <w:t>Allowance build (release) for credit losses</w:t>
            </w:r>
          </w:p>
        </w:tc>
        <w:tc>
          <w:tcPr>
            <w:tcW w:w="0" w:type="auto"/>
            <w:gridSpan w:val="3"/>
            <w:shd w:val="clear" w:color="auto" w:fill="CCEEFF"/>
            <w:tcMar>
              <w:top w:w="0" w:type="dxa"/>
              <w:left w:w="20" w:type="dxa"/>
              <w:bottom w:w="0" w:type="dxa"/>
              <w:right w:w="20" w:type="dxa"/>
            </w:tcMar>
            <w:vAlign w:val="center"/>
            <w:hideMark/>
          </w:tcPr>
          <w:p w14:paraId="427D5895"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DBC2930" w14:textId="77777777" w:rsidR="00000000" w:rsidRDefault="00405D16">
            <w:pPr>
              <w:spacing w:after="100"/>
              <w:jc w:val="right"/>
              <w:rPr>
                <w:rFonts w:eastAsia="Times New Roman"/>
              </w:rPr>
            </w:pPr>
            <w:r>
              <w:rPr>
                <w:rFonts w:eastAsia="Times New Roman"/>
                <w:b/>
                <w:bCs/>
                <w:color w:val="000000"/>
                <w:sz w:val="16"/>
                <w:szCs w:val="16"/>
              </w:rPr>
              <w:t>(2,688)</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685073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723DE5"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1BD322A" w14:textId="77777777" w:rsidR="00000000" w:rsidRDefault="00405D16">
            <w:pPr>
              <w:spacing w:after="100"/>
              <w:jc w:val="right"/>
              <w:rPr>
                <w:rFonts w:eastAsia="Times New Roman"/>
              </w:rPr>
            </w:pPr>
            <w:r>
              <w:rPr>
                <w:rFonts w:eastAsia="Times New Roman"/>
                <w:b/>
                <w:bCs/>
                <w:color w:val="000000"/>
                <w:sz w:val="16"/>
                <w:szCs w:val="16"/>
              </w:rPr>
              <w:t>(207)</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23A430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2A789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860842F" w14:textId="77777777" w:rsidR="00000000" w:rsidRDefault="00405D16">
            <w:pPr>
              <w:spacing w:after="100"/>
              <w:jc w:val="right"/>
              <w:rPr>
                <w:rFonts w:eastAsia="Times New Roman"/>
              </w:rPr>
            </w:pPr>
            <w:r>
              <w:rPr>
                <w:rFonts w:eastAsia="Times New Roman"/>
                <w:b/>
                <w:bCs/>
                <w:color w:val="000000"/>
                <w:sz w:val="16"/>
                <w:szCs w:val="16"/>
              </w:rPr>
              <w:t>(2,895)</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9BBBE5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80E897"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667C76B" w14:textId="77777777" w:rsidR="00000000" w:rsidRDefault="00405D16">
            <w:pPr>
              <w:spacing w:after="100"/>
              <w:jc w:val="right"/>
              <w:rPr>
                <w:rFonts w:eastAsia="Times New Roman"/>
              </w:rPr>
            </w:pPr>
            <w:r>
              <w:rPr>
                <w:rFonts w:eastAsia="Times New Roman"/>
                <w:b/>
                <w:bCs/>
                <w:color w:val="000000"/>
                <w:sz w:val="16"/>
                <w:szCs w:val="16"/>
              </w:rPr>
              <w:t>(627)</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65A103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2BE3B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6CCD5DA" w14:textId="77777777" w:rsidR="00000000" w:rsidRDefault="00405D16">
            <w:pPr>
              <w:spacing w:after="100"/>
              <w:jc w:val="right"/>
              <w:rPr>
                <w:rFonts w:eastAsia="Times New Roman"/>
              </w:rPr>
            </w:pPr>
            <w:r>
              <w:rPr>
                <w:rFonts w:eastAsia="Times New Roman"/>
                <w:b/>
                <w:bCs/>
                <w:color w:val="000000"/>
                <w:sz w:val="16"/>
                <w:szCs w:val="16"/>
              </w:rPr>
              <w:t>(27)</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B34E04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8C62E6"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2BAF55B" w14:textId="77777777" w:rsidR="00000000" w:rsidRDefault="00405D16">
            <w:pPr>
              <w:spacing w:after="100"/>
              <w:jc w:val="right"/>
              <w:rPr>
                <w:rFonts w:eastAsia="Times New Roman"/>
              </w:rPr>
            </w:pPr>
            <w:r>
              <w:rPr>
                <w:rFonts w:eastAsia="Times New Roman"/>
                <w:b/>
                <w:bCs/>
                <w:color w:val="000000"/>
                <w:sz w:val="16"/>
                <w:szCs w:val="16"/>
              </w:rPr>
              <w:t>(654)</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963A22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50F3A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29F678A" w14:textId="77777777" w:rsidR="00000000" w:rsidRDefault="00405D16">
            <w:pPr>
              <w:spacing w:after="100"/>
              <w:jc w:val="right"/>
              <w:rPr>
                <w:rFonts w:eastAsia="Times New Roman"/>
              </w:rPr>
            </w:pPr>
            <w:r>
              <w:rPr>
                <w:rFonts w:eastAsia="Times New Roman"/>
                <w:b/>
                <w:bCs/>
                <w:color w:val="000000"/>
                <w:sz w:val="16"/>
                <w:szCs w:val="16"/>
              </w:rPr>
              <w:t>(452)</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854033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0CD011"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896E9B9" w14:textId="77777777" w:rsidR="00000000" w:rsidRDefault="00405D16">
            <w:pPr>
              <w:spacing w:after="100"/>
              <w:jc w:val="right"/>
              <w:rPr>
                <w:rFonts w:eastAsia="Times New Roman"/>
              </w:rPr>
            </w:pPr>
            <w:r>
              <w:rPr>
                <w:rFonts w:eastAsia="Times New Roman"/>
                <w:b/>
                <w:bCs/>
                <w:color w:val="000000"/>
                <w:sz w:val="16"/>
                <w:szCs w:val="16"/>
              </w:rPr>
              <w:t>(4,001)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0915E57" w14:textId="77777777" w:rsidR="00000000" w:rsidRDefault="00405D16">
            <w:pPr>
              <w:spacing w:after="100"/>
              <w:jc w:val="right"/>
              <w:rPr>
                <w:rFonts w:eastAsia="Times New Roman"/>
              </w:rPr>
            </w:pPr>
          </w:p>
        </w:tc>
      </w:tr>
      <w:tr w:rsidR="00000000" w14:paraId="44F906B4" w14:textId="77777777">
        <w:trPr>
          <w:divId w:val="1146514285"/>
        </w:trPr>
        <w:tc>
          <w:tcPr>
            <w:tcW w:w="0" w:type="auto"/>
            <w:gridSpan w:val="3"/>
            <w:shd w:val="clear" w:color="auto" w:fill="FFFFFF"/>
            <w:tcMar>
              <w:top w:w="30" w:type="dxa"/>
              <w:left w:w="20" w:type="dxa"/>
              <w:bottom w:w="30" w:type="dxa"/>
              <w:right w:w="20" w:type="dxa"/>
            </w:tcMar>
            <w:vAlign w:val="bottom"/>
            <w:hideMark/>
          </w:tcPr>
          <w:p w14:paraId="29BBC86D" w14:textId="77777777" w:rsidR="00000000" w:rsidRDefault="00405D16">
            <w:pPr>
              <w:spacing w:after="100"/>
              <w:divId w:val="1239368912"/>
              <w:rPr>
                <w:rFonts w:eastAsia="Times New Roman"/>
              </w:rPr>
            </w:pPr>
            <w:r>
              <w:rPr>
                <w:rFonts w:eastAsia="Times New Roman"/>
                <w:color w:val="000000"/>
                <w:sz w:val="16"/>
                <w:szCs w:val="16"/>
              </w:rPr>
              <w:t>Other change</w:t>
            </w:r>
            <w:r>
              <w:rPr>
                <w:rFonts w:eastAsia="Times New Roman"/>
                <w:color w:val="000000"/>
                <w:sz w:val="16"/>
                <w:szCs w:val="16"/>
              </w:rPr>
              <w:t>s</w:t>
            </w:r>
            <w:r>
              <w:rPr>
                <w:rFonts w:eastAsia="Times New Roman"/>
                <w:color w:val="000000"/>
                <w:sz w:val="10"/>
                <w:szCs w:val="10"/>
              </w:rPr>
              <w:t>(4</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14:paraId="2404D6EA"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8B59643" w14:textId="77777777" w:rsidR="00000000" w:rsidRDefault="00405D16">
            <w:pPr>
              <w:spacing w:after="100"/>
              <w:jc w:val="right"/>
              <w:rPr>
                <w:rFonts w:eastAsia="Times New Roman"/>
              </w:rPr>
            </w:pPr>
            <w:r>
              <w:rPr>
                <w:rFonts w:eastAsia="Times New Roman"/>
                <w:b/>
                <w:bCs/>
                <w:color w:val="000000"/>
                <w:sz w:val="16"/>
                <w:szCs w:val="16"/>
              </w:rPr>
              <w:t>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19527E9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CEBF5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2905D8D" w14:textId="77777777" w:rsidR="00000000" w:rsidRDefault="00405D16">
            <w:pPr>
              <w:spacing w:after="100"/>
              <w:jc w:val="right"/>
              <w:rPr>
                <w:rFonts w:eastAsia="Times New Roman"/>
              </w:rPr>
            </w:pPr>
            <w:r>
              <w:rPr>
                <w:rFonts w:eastAsia="Times New Roman"/>
                <w:b/>
                <w:bCs/>
                <w:color w:val="000000"/>
                <w:sz w:val="16"/>
                <w:szCs w:val="16"/>
              </w:rPr>
              <w:t>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2761D35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F5D12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7668F00" w14:textId="77777777" w:rsidR="00000000" w:rsidRDefault="00405D16">
            <w:pPr>
              <w:spacing w:after="100"/>
              <w:jc w:val="right"/>
              <w:rPr>
                <w:rFonts w:eastAsia="Times New Roman"/>
              </w:rPr>
            </w:pPr>
            <w:r>
              <w:rPr>
                <w:rFonts w:eastAsia="Times New Roman"/>
                <w:b/>
                <w:bCs/>
                <w:color w:val="000000"/>
                <w:sz w:val="16"/>
                <w:szCs w:val="16"/>
              </w:rPr>
              <w:t>10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6488E35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857EF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66533E3" w14:textId="77777777" w:rsidR="00000000" w:rsidRDefault="00405D16">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738430B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4D4DC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DAE4DDE" w14:textId="77777777" w:rsidR="00000000" w:rsidRDefault="00405D16">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22EE37C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DED07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9F14DA3" w14:textId="77777777" w:rsidR="00000000" w:rsidRDefault="00405D16">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293C343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ABFF3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269D324" w14:textId="77777777" w:rsidR="00000000" w:rsidRDefault="00405D16">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20D5EBD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C54FD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1943EC0" w14:textId="77777777" w:rsidR="00000000" w:rsidRDefault="00405D16">
            <w:pPr>
              <w:spacing w:after="100"/>
              <w:jc w:val="right"/>
              <w:rPr>
                <w:rFonts w:eastAsia="Times New Roman"/>
              </w:rPr>
            </w:pPr>
            <w:r>
              <w:rPr>
                <w:rFonts w:eastAsia="Times New Roman"/>
                <w:b/>
                <w:bCs/>
                <w:color w:val="000000"/>
                <w:sz w:val="16"/>
                <w:szCs w:val="16"/>
              </w:rPr>
              <w:t>10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1F381136" w14:textId="77777777" w:rsidR="00000000" w:rsidRDefault="00405D16">
            <w:pPr>
              <w:spacing w:after="100"/>
              <w:jc w:val="right"/>
              <w:rPr>
                <w:rFonts w:eastAsia="Times New Roman"/>
              </w:rPr>
            </w:pPr>
          </w:p>
        </w:tc>
      </w:tr>
      <w:tr w:rsidR="00000000" w14:paraId="753E2EBB" w14:textId="77777777">
        <w:trPr>
          <w:divId w:val="1146514285"/>
        </w:trPr>
        <w:tc>
          <w:tcPr>
            <w:tcW w:w="0" w:type="auto"/>
            <w:gridSpan w:val="3"/>
            <w:shd w:val="clear" w:color="auto" w:fill="CCEEFF"/>
            <w:tcMar>
              <w:top w:w="30" w:type="dxa"/>
              <w:left w:w="20" w:type="dxa"/>
              <w:bottom w:w="30" w:type="dxa"/>
              <w:right w:w="20" w:type="dxa"/>
            </w:tcMar>
            <w:vAlign w:val="bottom"/>
            <w:hideMark/>
          </w:tcPr>
          <w:p w14:paraId="2083092D" w14:textId="77777777" w:rsidR="00000000" w:rsidRDefault="00405D16">
            <w:pPr>
              <w:spacing w:after="100"/>
              <w:rPr>
                <w:rFonts w:eastAsia="Times New Roman"/>
              </w:rPr>
            </w:pPr>
            <w:r>
              <w:rPr>
                <w:rFonts w:eastAsia="Times New Roman"/>
                <w:color w:val="000000"/>
                <w:sz w:val="16"/>
                <w:szCs w:val="16"/>
              </w:rPr>
              <w:t>Balance as of September 30, 2021</w:t>
            </w:r>
          </w:p>
        </w:tc>
        <w:tc>
          <w:tcPr>
            <w:tcW w:w="0" w:type="auto"/>
            <w:gridSpan w:val="3"/>
            <w:shd w:val="clear" w:color="auto" w:fill="CCEEFF"/>
            <w:tcMar>
              <w:top w:w="0" w:type="dxa"/>
              <w:left w:w="20" w:type="dxa"/>
              <w:bottom w:w="0" w:type="dxa"/>
              <w:right w:w="20" w:type="dxa"/>
            </w:tcMar>
            <w:vAlign w:val="center"/>
            <w:hideMark/>
          </w:tcPr>
          <w:p w14:paraId="5E03B865"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FC5EB9C" w14:textId="77777777" w:rsidR="00000000" w:rsidRDefault="00405D16">
            <w:pPr>
              <w:spacing w:after="100"/>
              <w:jc w:val="right"/>
              <w:rPr>
                <w:rFonts w:eastAsia="Times New Roman"/>
              </w:rPr>
            </w:pPr>
            <w:r>
              <w:rPr>
                <w:rFonts w:eastAsia="Times New Roman"/>
                <w:b/>
                <w:bCs/>
                <w:color w:val="000000"/>
                <w:sz w:val="16"/>
                <w:szCs w:val="16"/>
              </w:rPr>
              <w:t>7,968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6EC8F3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4039F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6FD20C8" w14:textId="77777777" w:rsidR="00000000" w:rsidRDefault="00405D16">
            <w:pPr>
              <w:spacing w:after="100"/>
              <w:jc w:val="right"/>
              <w:rPr>
                <w:rFonts w:eastAsia="Times New Roman"/>
              </w:rPr>
            </w:pPr>
            <w:r>
              <w:rPr>
                <w:rFonts w:eastAsia="Times New Roman"/>
                <w:b/>
                <w:bCs/>
                <w:color w:val="000000"/>
                <w:sz w:val="16"/>
                <w:szCs w:val="16"/>
              </w:rPr>
              <w:t>338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7DF875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575FEF"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4081311" w14:textId="77777777" w:rsidR="00000000" w:rsidRDefault="00405D16">
            <w:pPr>
              <w:spacing w:after="100"/>
              <w:jc w:val="right"/>
              <w:rPr>
                <w:rFonts w:eastAsia="Times New Roman"/>
              </w:rPr>
            </w:pPr>
            <w:r>
              <w:rPr>
                <w:rFonts w:eastAsia="Times New Roman"/>
                <w:b/>
                <w:bCs/>
                <w:color w:val="000000"/>
                <w:sz w:val="16"/>
                <w:szCs w:val="16"/>
              </w:rPr>
              <w:t>8,306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4D0325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28122B"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64DB7F0" w14:textId="77777777" w:rsidR="00000000" w:rsidRDefault="00405D16">
            <w:pPr>
              <w:spacing w:after="100"/>
              <w:jc w:val="right"/>
              <w:rPr>
                <w:rFonts w:eastAsia="Times New Roman"/>
              </w:rPr>
            </w:pPr>
            <w:r>
              <w:rPr>
                <w:rFonts w:eastAsia="Times New Roman"/>
                <w:b/>
                <w:bCs/>
                <w:color w:val="000000"/>
                <w:sz w:val="16"/>
                <w:szCs w:val="16"/>
              </w:rPr>
              <w:t>1,988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E96547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34629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CB79F76" w14:textId="77777777" w:rsidR="00000000" w:rsidRDefault="00405D16">
            <w:pPr>
              <w:spacing w:after="100"/>
              <w:jc w:val="right"/>
              <w:rPr>
                <w:rFonts w:eastAsia="Times New Roman"/>
              </w:rPr>
            </w:pPr>
            <w:r>
              <w:rPr>
                <w:rFonts w:eastAsia="Times New Roman"/>
                <w:b/>
                <w:bCs/>
                <w:color w:val="000000"/>
                <w:sz w:val="16"/>
                <w:szCs w:val="16"/>
              </w:rPr>
              <w:t>73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B6D52D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0F442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0B5EAAD" w14:textId="77777777" w:rsidR="00000000" w:rsidRDefault="00405D16">
            <w:pPr>
              <w:spacing w:after="100"/>
              <w:jc w:val="right"/>
              <w:rPr>
                <w:rFonts w:eastAsia="Times New Roman"/>
              </w:rPr>
            </w:pPr>
            <w:r>
              <w:rPr>
                <w:rFonts w:eastAsia="Times New Roman"/>
                <w:b/>
                <w:bCs/>
                <w:color w:val="000000"/>
                <w:sz w:val="16"/>
                <w:szCs w:val="16"/>
              </w:rPr>
              <w:t>2,061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DF8C14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1B4669"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0691BF5" w14:textId="77777777" w:rsidR="00000000" w:rsidRDefault="00405D16">
            <w:pPr>
              <w:spacing w:after="100"/>
              <w:jc w:val="right"/>
              <w:rPr>
                <w:rFonts w:eastAsia="Times New Roman"/>
              </w:rPr>
            </w:pPr>
            <w:r>
              <w:rPr>
                <w:rFonts w:eastAsia="Times New Roman"/>
                <w:b/>
                <w:bCs/>
                <w:color w:val="000000"/>
                <w:sz w:val="16"/>
                <w:szCs w:val="16"/>
              </w:rPr>
              <w:t>1,206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B6282E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44F69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9B5DA4C" w14:textId="77777777" w:rsidR="00000000" w:rsidRDefault="00405D16">
            <w:pPr>
              <w:spacing w:after="100"/>
              <w:jc w:val="right"/>
              <w:rPr>
                <w:rFonts w:eastAsia="Times New Roman"/>
              </w:rPr>
            </w:pPr>
            <w:r>
              <w:rPr>
                <w:rFonts w:eastAsia="Times New Roman"/>
                <w:b/>
                <w:bCs/>
                <w:color w:val="000000"/>
                <w:sz w:val="16"/>
                <w:szCs w:val="16"/>
              </w:rPr>
              <w:t>11,573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08479B8" w14:textId="77777777" w:rsidR="00000000" w:rsidRDefault="00405D16">
            <w:pPr>
              <w:spacing w:after="100"/>
              <w:jc w:val="right"/>
              <w:rPr>
                <w:rFonts w:eastAsia="Times New Roman"/>
              </w:rPr>
            </w:pPr>
          </w:p>
        </w:tc>
      </w:tr>
      <w:tr w:rsidR="00000000" w14:paraId="77912A98" w14:textId="77777777">
        <w:trPr>
          <w:divId w:val="1146514285"/>
        </w:trPr>
        <w:tc>
          <w:tcPr>
            <w:tcW w:w="0" w:type="auto"/>
            <w:gridSpan w:val="3"/>
            <w:shd w:val="clear" w:color="auto" w:fill="FFFFFF"/>
            <w:tcMar>
              <w:top w:w="30" w:type="dxa"/>
              <w:left w:w="20" w:type="dxa"/>
              <w:bottom w:w="30" w:type="dxa"/>
              <w:right w:w="20" w:type="dxa"/>
            </w:tcMar>
            <w:vAlign w:val="bottom"/>
            <w:hideMark/>
          </w:tcPr>
          <w:p w14:paraId="6D93A030" w14:textId="77777777" w:rsidR="00000000" w:rsidRDefault="00405D16">
            <w:pPr>
              <w:spacing w:after="100"/>
              <w:rPr>
                <w:rFonts w:eastAsia="Times New Roman"/>
              </w:rPr>
            </w:pPr>
            <w:r>
              <w:rPr>
                <w:rFonts w:eastAsia="Times New Roman"/>
                <w:b/>
                <w:bCs/>
                <w:color w:val="000000"/>
                <w:sz w:val="16"/>
                <w:szCs w:val="16"/>
              </w:rPr>
              <w:t>Reserve for unfunded lending commitments:</w:t>
            </w:r>
          </w:p>
        </w:tc>
        <w:tc>
          <w:tcPr>
            <w:tcW w:w="0" w:type="auto"/>
            <w:gridSpan w:val="3"/>
            <w:shd w:val="clear" w:color="auto" w:fill="FFFFFF"/>
            <w:tcMar>
              <w:top w:w="0" w:type="dxa"/>
              <w:left w:w="20" w:type="dxa"/>
              <w:bottom w:w="0" w:type="dxa"/>
              <w:right w:w="20" w:type="dxa"/>
            </w:tcMar>
            <w:vAlign w:val="center"/>
            <w:hideMark/>
          </w:tcPr>
          <w:p w14:paraId="5375382A" w14:textId="77777777" w:rsidR="00000000" w:rsidRDefault="00405D16">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2F87E4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11F7B0"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657D8C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233856"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934F50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A84FA8"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704922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67F63B"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05DE5E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4A097D"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C5AE53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17480B"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6338D2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BB3C74"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40B10D2" w14:textId="77777777" w:rsidR="00000000" w:rsidRDefault="00405D16">
            <w:pPr>
              <w:spacing w:after="100"/>
              <w:rPr>
                <w:rFonts w:eastAsia="Times New Roman"/>
                <w:sz w:val="20"/>
                <w:szCs w:val="20"/>
              </w:rPr>
            </w:pPr>
          </w:p>
        </w:tc>
      </w:tr>
      <w:tr w:rsidR="00000000" w14:paraId="54F536FD" w14:textId="77777777">
        <w:trPr>
          <w:divId w:val="1146514285"/>
        </w:trPr>
        <w:tc>
          <w:tcPr>
            <w:tcW w:w="0" w:type="auto"/>
            <w:gridSpan w:val="3"/>
            <w:shd w:val="clear" w:color="auto" w:fill="CCEEFF"/>
            <w:tcMar>
              <w:top w:w="30" w:type="dxa"/>
              <w:left w:w="20" w:type="dxa"/>
              <w:bottom w:w="30" w:type="dxa"/>
              <w:right w:w="20" w:type="dxa"/>
            </w:tcMar>
            <w:vAlign w:val="bottom"/>
            <w:hideMark/>
          </w:tcPr>
          <w:p w14:paraId="171BEF0D" w14:textId="77777777" w:rsidR="00000000" w:rsidRDefault="00405D16">
            <w:pPr>
              <w:spacing w:after="100"/>
              <w:rPr>
                <w:rFonts w:eastAsia="Times New Roman"/>
              </w:rPr>
            </w:pPr>
            <w:r>
              <w:rPr>
                <w:rFonts w:eastAsia="Times New Roman"/>
                <w:color w:val="000000"/>
                <w:sz w:val="16"/>
                <w:szCs w:val="16"/>
              </w:rPr>
              <w:t>Balance as of December 31, 2020</w:t>
            </w:r>
          </w:p>
        </w:tc>
        <w:tc>
          <w:tcPr>
            <w:tcW w:w="0" w:type="auto"/>
            <w:gridSpan w:val="3"/>
            <w:shd w:val="clear" w:color="auto" w:fill="CCEEFF"/>
            <w:tcMar>
              <w:top w:w="0" w:type="dxa"/>
              <w:left w:w="20" w:type="dxa"/>
              <w:bottom w:w="0" w:type="dxa"/>
              <w:right w:w="20" w:type="dxa"/>
            </w:tcMar>
            <w:vAlign w:val="center"/>
            <w:hideMark/>
          </w:tcPr>
          <w:p w14:paraId="25AE7381"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091F507"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6A71ED3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A6A23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6A8D64B"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3631C05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AC427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47F856F"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6B2ECCD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76167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647FD70"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02D28C6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620A2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62CBB8F"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5D2446A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B819A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8BC644B"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4E60888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62A9D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C1A6E2E" w14:textId="77777777" w:rsidR="00000000" w:rsidRDefault="00405D16">
            <w:pPr>
              <w:spacing w:after="100"/>
              <w:jc w:val="right"/>
              <w:rPr>
                <w:rFonts w:eastAsia="Times New Roman"/>
              </w:rPr>
            </w:pPr>
            <w:r>
              <w:rPr>
                <w:rFonts w:eastAsia="Times New Roman"/>
                <w:color w:val="000000"/>
                <w:sz w:val="16"/>
                <w:szCs w:val="16"/>
              </w:rPr>
              <w:t>195 </w:t>
            </w:r>
          </w:p>
        </w:tc>
        <w:tc>
          <w:tcPr>
            <w:tcW w:w="0" w:type="auto"/>
            <w:shd w:val="clear" w:color="auto" w:fill="CCEEFF"/>
            <w:tcMar>
              <w:top w:w="30" w:type="dxa"/>
              <w:left w:w="0" w:type="dxa"/>
              <w:bottom w:w="30" w:type="dxa"/>
              <w:right w:w="20" w:type="dxa"/>
            </w:tcMar>
            <w:vAlign w:val="center"/>
            <w:hideMark/>
          </w:tcPr>
          <w:p w14:paraId="0D01A2B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CC35A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F33F69A" w14:textId="77777777" w:rsidR="00000000" w:rsidRDefault="00405D16">
            <w:pPr>
              <w:spacing w:after="100"/>
              <w:jc w:val="right"/>
              <w:rPr>
                <w:rFonts w:eastAsia="Times New Roman"/>
              </w:rPr>
            </w:pPr>
            <w:r>
              <w:rPr>
                <w:rFonts w:eastAsia="Times New Roman"/>
                <w:color w:val="000000"/>
                <w:sz w:val="16"/>
                <w:szCs w:val="16"/>
              </w:rPr>
              <w:t>195 </w:t>
            </w:r>
          </w:p>
        </w:tc>
        <w:tc>
          <w:tcPr>
            <w:tcW w:w="0" w:type="auto"/>
            <w:shd w:val="clear" w:color="auto" w:fill="CCEEFF"/>
            <w:tcMar>
              <w:top w:w="30" w:type="dxa"/>
              <w:left w:w="0" w:type="dxa"/>
              <w:bottom w:w="30" w:type="dxa"/>
              <w:right w:w="20" w:type="dxa"/>
            </w:tcMar>
            <w:vAlign w:val="center"/>
            <w:hideMark/>
          </w:tcPr>
          <w:p w14:paraId="47885A18" w14:textId="77777777" w:rsidR="00000000" w:rsidRDefault="00405D16">
            <w:pPr>
              <w:spacing w:after="100"/>
              <w:jc w:val="right"/>
              <w:rPr>
                <w:rFonts w:eastAsia="Times New Roman"/>
              </w:rPr>
            </w:pPr>
          </w:p>
        </w:tc>
      </w:tr>
      <w:tr w:rsidR="00000000" w14:paraId="0BF5A7BB" w14:textId="77777777">
        <w:trPr>
          <w:divId w:val="1146514285"/>
        </w:trPr>
        <w:tc>
          <w:tcPr>
            <w:tcW w:w="0" w:type="auto"/>
            <w:gridSpan w:val="3"/>
            <w:shd w:val="clear" w:color="auto" w:fill="FFFFFF"/>
            <w:tcMar>
              <w:top w:w="30" w:type="dxa"/>
              <w:left w:w="20" w:type="dxa"/>
              <w:bottom w:w="30" w:type="dxa"/>
              <w:right w:w="20" w:type="dxa"/>
            </w:tcMar>
            <w:vAlign w:val="center"/>
            <w:hideMark/>
          </w:tcPr>
          <w:p w14:paraId="5E4B73CE" w14:textId="77777777" w:rsidR="00000000" w:rsidRDefault="00405D16">
            <w:pPr>
              <w:spacing w:after="100"/>
              <w:rPr>
                <w:rFonts w:eastAsia="Times New Roman"/>
              </w:rPr>
            </w:pPr>
            <w:r>
              <w:rPr>
                <w:rFonts w:eastAsia="Times New Roman"/>
                <w:color w:val="000000"/>
                <w:sz w:val="16"/>
                <w:szCs w:val="16"/>
              </w:rPr>
              <w:t>Provision (benefit) for losses on unfunded lending commitments</w:t>
            </w:r>
          </w:p>
        </w:tc>
        <w:tc>
          <w:tcPr>
            <w:tcW w:w="0" w:type="auto"/>
            <w:gridSpan w:val="3"/>
            <w:shd w:val="clear" w:color="auto" w:fill="FFFFFF"/>
            <w:tcMar>
              <w:top w:w="0" w:type="dxa"/>
              <w:left w:w="20" w:type="dxa"/>
              <w:bottom w:w="0" w:type="dxa"/>
              <w:right w:w="20" w:type="dxa"/>
            </w:tcMar>
            <w:vAlign w:val="center"/>
            <w:hideMark/>
          </w:tcPr>
          <w:p w14:paraId="0FA69542"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4B8BC47" w14:textId="77777777" w:rsidR="00000000" w:rsidRDefault="00405D16">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E1BA53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9E1C6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B37035" w14:textId="77777777" w:rsidR="00000000" w:rsidRDefault="00405D16">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7E4793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0B3CA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219375" w14:textId="77777777" w:rsidR="00000000" w:rsidRDefault="00405D16">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0228E0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AE6D1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9B0D0F" w14:textId="77777777" w:rsidR="00000000" w:rsidRDefault="00405D16">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550F1C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577C3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46050E" w14:textId="77777777" w:rsidR="00000000" w:rsidRDefault="00405D16">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93CBC4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0FF9F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F52A1B" w14:textId="77777777" w:rsidR="00000000" w:rsidRDefault="00405D16">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55D428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CECEB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DC7AB3" w14:textId="77777777" w:rsidR="00000000" w:rsidRDefault="00405D16">
            <w:pPr>
              <w:spacing w:after="100"/>
              <w:jc w:val="right"/>
              <w:rPr>
                <w:rFonts w:eastAsia="Times New Roman"/>
              </w:rPr>
            </w:pPr>
            <w:r>
              <w:rPr>
                <w:rFonts w:eastAsia="Times New Roman"/>
                <w:b/>
                <w:bCs/>
                <w:color w:val="000000"/>
                <w:sz w:val="16"/>
                <w:szCs w:val="16"/>
              </w:rPr>
              <w:t>(29)</w:t>
            </w:r>
          </w:p>
        </w:tc>
        <w:tc>
          <w:tcPr>
            <w:tcW w:w="0" w:type="auto"/>
            <w:shd w:val="clear" w:color="auto" w:fill="FFFFFF"/>
            <w:tcMar>
              <w:top w:w="30" w:type="dxa"/>
              <w:left w:w="0" w:type="dxa"/>
              <w:bottom w:w="30" w:type="dxa"/>
              <w:right w:w="20" w:type="dxa"/>
            </w:tcMar>
            <w:vAlign w:val="bottom"/>
            <w:hideMark/>
          </w:tcPr>
          <w:p w14:paraId="0A5BFE6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3C1D1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3513D6" w14:textId="77777777" w:rsidR="00000000" w:rsidRDefault="00405D16">
            <w:pPr>
              <w:spacing w:after="100"/>
              <w:jc w:val="right"/>
              <w:rPr>
                <w:rFonts w:eastAsia="Times New Roman"/>
              </w:rPr>
            </w:pPr>
            <w:r>
              <w:rPr>
                <w:rFonts w:eastAsia="Times New Roman"/>
                <w:b/>
                <w:bCs/>
                <w:color w:val="000000"/>
                <w:sz w:val="16"/>
                <w:szCs w:val="16"/>
              </w:rPr>
              <w:t>(29)</w:t>
            </w:r>
          </w:p>
        </w:tc>
        <w:tc>
          <w:tcPr>
            <w:tcW w:w="0" w:type="auto"/>
            <w:shd w:val="clear" w:color="auto" w:fill="FFFFFF"/>
            <w:tcMar>
              <w:top w:w="30" w:type="dxa"/>
              <w:left w:w="0" w:type="dxa"/>
              <w:bottom w:w="30" w:type="dxa"/>
              <w:right w:w="20" w:type="dxa"/>
            </w:tcMar>
            <w:vAlign w:val="bottom"/>
            <w:hideMark/>
          </w:tcPr>
          <w:p w14:paraId="4E46C4B8" w14:textId="77777777" w:rsidR="00000000" w:rsidRDefault="00405D16">
            <w:pPr>
              <w:spacing w:after="100"/>
              <w:jc w:val="right"/>
              <w:rPr>
                <w:rFonts w:eastAsia="Times New Roman"/>
              </w:rPr>
            </w:pPr>
          </w:p>
        </w:tc>
      </w:tr>
      <w:tr w:rsidR="00000000" w14:paraId="1AD38A4A" w14:textId="77777777">
        <w:trPr>
          <w:divId w:val="1146514285"/>
        </w:trPr>
        <w:tc>
          <w:tcPr>
            <w:tcW w:w="0" w:type="auto"/>
            <w:gridSpan w:val="3"/>
            <w:shd w:val="clear" w:color="auto" w:fill="CCEEFF"/>
            <w:tcMar>
              <w:top w:w="30" w:type="dxa"/>
              <w:left w:w="20" w:type="dxa"/>
              <w:bottom w:w="30" w:type="dxa"/>
              <w:right w:w="20" w:type="dxa"/>
            </w:tcMar>
            <w:vAlign w:val="bottom"/>
            <w:hideMark/>
          </w:tcPr>
          <w:p w14:paraId="6A305F16" w14:textId="77777777" w:rsidR="00000000" w:rsidRDefault="00405D16">
            <w:pPr>
              <w:spacing w:after="100"/>
              <w:rPr>
                <w:rFonts w:eastAsia="Times New Roman"/>
              </w:rPr>
            </w:pPr>
            <w:r>
              <w:rPr>
                <w:rFonts w:eastAsia="Times New Roman"/>
                <w:color w:val="000000"/>
                <w:sz w:val="16"/>
                <w:szCs w:val="16"/>
              </w:rPr>
              <w:t>Balance as of September 30, 2021</w:t>
            </w:r>
          </w:p>
        </w:tc>
        <w:tc>
          <w:tcPr>
            <w:tcW w:w="0" w:type="auto"/>
            <w:gridSpan w:val="3"/>
            <w:shd w:val="clear" w:color="auto" w:fill="CCEEFF"/>
            <w:tcMar>
              <w:top w:w="0" w:type="dxa"/>
              <w:left w:w="20" w:type="dxa"/>
              <w:bottom w:w="0" w:type="dxa"/>
              <w:right w:w="20" w:type="dxa"/>
            </w:tcMar>
            <w:vAlign w:val="center"/>
            <w:hideMark/>
          </w:tcPr>
          <w:p w14:paraId="5CBCCAFF"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1C48A14" w14:textId="77777777" w:rsidR="00000000" w:rsidRDefault="00405D16">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BF1FB4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40CC3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9E777DC" w14:textId="77777777" w:rsidR="00000000" w:rsidRDefault="00405D16">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FEDDB8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0BDB7B"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8EFC6D0" w14:textId="77777777" w:rsidR="00000000" w:rsidRDefault="00405D16">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1AAFE3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E67578"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F354400" w14:textId="77777777" w:rsidR="00000000" w:rsidRDefault="00405D16">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97E91C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AC9BE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3E691E3" w14:textId="77777777" w:rsidR="00000000" w:rsidRDefault="00405D16">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F77938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6432C8"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3FD0317" w14:textId="77777777" w:rsidR="00000000" w:rsidRDefault="00405D16">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C6C5A6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D5F5F7"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249F3EC" w14:textId="77777777" w:rsidR="00000000" w:rsidRDefault="00405D16">
            <w:pPr>
              <w:spacing w:after="100"/>
              <w:jc w:val="right"/>
              <w:rPr>
                <w:rFonts w:eastAsia="Times New Roman"/>
              </w:rPr>
            </w:pPr>
            <w:r>
              <w:rPr>
                <w:rFonts w:eastAsia="Times New Roman"/>
                <w:b/>
                <w:bCs/>
                <w:color w:val="000000"/>
                <w:sz w:val="16"/>
                <w:szCs w:val="16"/>
              </w:rPr>
              <w:t>166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A1F93D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77FA59"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DCBEE64" w14:textId="77777777" w:rsidR="00000000" w:rsidRDefault="00405D16">
            <w:pPr>
              <w:spacing w:after="100"/>
              <w:jc w:val="right"/>
              <w:rPr>
                <w:rFonts w:eastAsia="Times New Roman"/>
              </w:rPr>
            </w:pPr>
            <w:r>
              <w:rPr>
                <w:rFonts w:eastAsia="Times New Roman"/>
                <w:b/>
                <w:bCs/>
                <w:color w:val="000000"/>
                <w:sz w:val="16"/>
                <w:szCs w:val="16"/>
              </w:rPr>
              <w:t>166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38545CD" w14:textId="77777777" w:rsidR="00000000" w:rsidRDefault="00405D16">
            <w:pPr>
              <w:spacing w:after="100"/>
              <w:jc w:val="right"/>
              <w:rPr>
                <w:rFonts w:eastAsia="Times New Roman"/>
              </w:rPr>
            </w:pPr>
          </w:p>
        </w:tc>
      </w:tr>
      <w:tr w:rsidR="00405D16" w14:paraId="27C032F6" w14:textId="77777777">
        <w:trPr>
          <w:divId w:val="1146514285"/>
        </w:trPr>
        <w:tc>
          <w:tcPr>
            <w:tcW w:w="0" w:type="auto"/>
            <w:gridSpan w:val="3"/>
            <w:shd w:val="clear" w:color="auto" w:fill="FFFFFF"/>
            <w:tcMar>
              <w:top w:w="30" w:type="dxa"/>
              <w:left w:w="20" w:type="dxa"/>
              <w:bottom w:w="30" w:type="dxa"/>
              <w:right w:w="20" w:type="dxa"/>
            </w:tcMar>
            <w:vAlign w:val="bottom"/>
            <w:hideMark/>
          </w:tcPr>
          <w:p w14:paraId="406CF0EE" w14:textId="77777777" w:rsidR="00000000" w:rsidRDefault="00405D16">
            <w:pPr>
              <w:spacing w:after="100"/>
              <w:rPr>
                <w:rFonts w:eastAsia="Times New Roman"/>
              </w:rPr>
            </w:pPr>
            <w:r>
              <w:rPr>
                <w:rFonts w:eastAsia="Times New Roman"/>
                <w:b/>
                <w:bCs/>
                <w:color w:val="000000"/>
                <w:sz w:val="16"/>
                <w:szCs w:val="16"/>
              </w:rPr>
              <w:t>Combined allowance and reserve as of September 30, 2021</w:t>
            </w:r>
          </w:p>
        </w:tc>
        <w:tc>
          <w:tcPr>
            <w:tcW w:w="0" w:type="auto"/>
            <w:gridSpan w:val="3"/>
            <w:shd w:val="clear" w:color="auto" w:fill="FFFFFF"/>
            <w:tcMar>
              <w:top w:w="0" w:type="dxa"/>
              <w:left w:w="20" w:type="dxa"/>
              <w:bottom w:w="0" w:type="dxa"/>
              <w:right w:w="20" w:type="dxa"/>
            </w:tcMar>
            <w:vAlign w:val="center"/>
            <w:hideMark/>
          </w:tcPr>
          <w:p w14:paraId="2E63AF35"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1454870" w14:textId="77777777" w:rsidR="00000000" w:rsidRDefault="00405D16">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9F8D5C5" w14:textId="77777777" w:rsidR="00000000" w:rsidRDefault="00405D16">
            <w:pPr>
              <w:spacing w:after="100"/>
              <w:jc w:val="right"/>
              <w:rPr>
                <w:rFonts w:eastAsia="Times New Roman"/>
              </w:rPr>
            </w:pPr>
            <w:r>
              <w:rPr>
                <w:rFonts w:eastAsia="Times New Roman"/>
                <w:b/>
                <w:bCs/>
                <w:color w:val="000000"/>
                <w:sz w:val="16"/>
                <w:szCs w:val="16"/>
              </w:rPr>
              <w:t>7,968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A2D9B5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AC4778"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63EA6BA" w14:textId="77777777" w:rsidR="00000000" w:rsidRDefault="00405D16">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C8F0923" w14:textId="77777777" w:rsidR="00000000" w:rsidRDefault="00405D16">
            <w:pPr>
              <w:spacing w:after="100"/>
              <w:jc w:val="right"/>
              <w:rPr>
                <w:rFonts w:eastAsia="Times New Roman"/>
              </w:rPr>
            </w:pPr>
            <w:r>
              <w:rPr>
                <w:rFonts w:eastAsia="Times New Roman"/>
                <w:b/>
                <w:bCs/>
                <w:color w:val="000000"/>
                <w:sz w:val="16"/>
                <w:szCs w:val="16"/>
              </w:rPr>
              <w:t>338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65E35D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4466CD"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6289D51" w14:textId="77777777" w:rsidR="00000000" w:rsidRDefault="00405D16">
            <w:pPr>
              <w:spacing w:after="100"/>
              <w:rPr>
                <w:rFonts w:eastAsia="Times New Roman"/>
              </w:rPr>
            </w:pPr>
            <w:r>
              <w:rPr>
                <w:rFonts w:eastAsia="Times New Roman"/>
                <w:b/>
                <w:bCs/>
                <w:color w:val="000000"/>
                <w:sz w:val="15"/>
                <w:szCs w:val="15"/>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F27F3E7" w14:textId="77777777" w:rsidR="00000000" w:rsidRDefault="00405D16">
            <w:pPr>
              <w:spacing w:after="100"/>
              <w:jc w:val="right"/>
              <w:rPr>
                <w:rFonts w:eastAsia="Times New Roman"/>
              </w:rPr>
            </w:pPr>
            <w:r>
              <w:rPr>
                <w:rFonts w:eastAsia="Times New Roman"/>
                <w:b/>
                <w:bCs/>
                <w:color w:val="000000"/>
                <w:sz w:val="15"/>
                <w:szCs w:val="15"/>
              </w:rPr>
              <w:t>8,306</w:t>
            </w:r>
            <w:r>
              <w:rPr>
                <w:rFonts w:eastAsia="Times New Roman"/>
                <w:color w:val="000000"/>
                <w:sz w:val="15"/>
                <w:szCs w:val="15"/>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AC4F00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3A5521"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8E0991F" w14:textId="77777777" w:rsidR="00000000" w:rsidRDefault="00405D16">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B5F14B3" w14:textId="77777777" w:rsidR="00000000" w:rsidRDefault="00405D16">
            <w:pPr>
              <w:spacing w:after="100"/>
              <w:jc w:val="right"/>
              <w:rPr>
                <w:rFonts w:eastAsia="Times New Roman"/>
              </w:rPr>
            </w:pPr>
            <w:r>
              <w:rPr>
                <w:rFonts w:eastAsia="Times New Roman"/>
                <w:b/>
                <w:bCs/>
                <w:color w:val="000000"/>
                <w:sz w:val="16"/>
                <w:szCs w:val="16"/>
              </w:rPr>
              <w:t>1,988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9A9FA1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EBD690"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A933179" w14:textId="77777777" w:rsidR="00000000" w:rsidRDefault="00405D16">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BDDBCA9" w14:textId="77777777" w:rsidR="00000000" w:rsidRDefault="00405D16">
            <w:pPr>
              <w:spacing w:after="100"/>
              <w:jc w:val="right"/>
              <w:rPr>
                <w:rFonts w:eastAsia="Times New Roman"/>
              </w:rPr>
            </w:pPr>
            <w:r>
              <w:rPr>
                <w:rFonts w:eastAsia="Times New Roman"/>
                <w:b/>
                <w:bCs/>
                <w:color w:val="000000"/>
                <w:sz w:val="16"/>
                <w:szCs w:val="16"/>
              </w:rPr>
              <w:t>73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49B60B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DACEC1"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03AC6BD" w14:textId="77777777" w:rsidR="00000000" w:rsidRDefault="00405D16">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9E7079F" w14:textId="77777777" w:rsidR="00000000" w:rsidRDefault="00405D16">
            <w:pPr>
              <w:spacing w:after="100"/>
              <w:jc w:val="right"/>
              <w:rPr>
                <w:rFonts w:eastAsia="Times New Roman"/>
              </w:rPr>
            </w:pPr>
            <w:r>
              <w:rPr>
                <w:rFonts w:eastAsia="Times New Roman"/>
                <w:b/>
                <w:bCs/>
                <w:color w:val="000000"/>
                <w:sz w:val="16"/>
                <w:szCs w:val="16"/>
              </w:rPr>
              <w:t>2,061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F1C12C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089EED"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CC5CD14" w14:textId="77777777" w:rsidR="00000000" w:rsidRDefault="00405D16">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B595028" w14:textId="77777777" w:rsidR="00000000" w:rsidRDefault="00405D16">
            <w:pPr>
              <w:spacing w:after="100"/>
              <w:jc w:val="right"/>
              <w:rPr>
                <w:rFonts w:eastAsia="Times New Roman"/>
              </w:rPr>
            </w:pPr>
            <w:r>
              <w:rPr>
                <w:rFonts w:eastAsia="Times New Roman"/>
                <w:b/>
                <w:bCs/>
                <w:color w:val="000000"/>
                <w:sz w:val="16"/>
                <w:szCs w:val="16"/>
              </w:rPr>
              <w:t>1,372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C64EAD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9231EA"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191C8EE" w14:textId="77777777" w:rsidR="00000000" w:rsidRDefault="00405D16">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0D63418" w14:textId="77777777" w:rsidR="00000000" w:rsidRDefault="00405D16">
            <w:pPr>
              <w:spacing w:after="100"/>
              <w:jc w:val="right"/>
              <w:rPr>
                <w:rFonts w:eastAsia="Times New Roman"/>
              </w:rPr>
            </w:pPr>
            <w:r>
              <w:rPr>
                <w:rFonts w:eastAsia="Times New Roman"/>
                <w:b/>
                <w:bCs/>
                <w:color w:val="000000"/>
                <w:sz w:val="16"/>
                <w:szCs w:val="16"/>
              </w:rPr>
              <w:t>11,739</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4994A32" w14:textId="77777777" w:rsidR="00000000" w:rsidRDefault="00405D16">
            <w:pPr>
              <w:spacing w:after="100"/>
              <w:jc w:val="right"/>
              <w:rPr>
                <w:rFonts w:eastAsia="Times New Roman"/>
              </w:rPr>
            </w:pPr>
          </w:p>
        </w:tc>
      </w:tr>
    </w:tbl>
    <w:p w14:paraId="136FD632" w14:textId="77777777" w:rsidR="00000000" w:rsidRDefault="00405D16">
      <w:pPr>
        <w:jc w:val="both"/>
        <w:divId w:val="167773115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104"/>
        <w:gridCol w:w="2088"/>
        <w:gridCol w:w="39"/>
        <w:gridCol w:w="36"/>
        <w:gridCol w:w="36"/>
        <w:gridCol w:w="36"/>
        <w:gridCol w:w="100"/>
        <w:gridCol w:w="328"/>
        <w:gridCol w:w="144"/>
        <w:gridCol w:w="8"/>
        <w:gridCol w:w="36"/>
        <w:gridCol w:w="36"/>
        <w:gridCol w:w="36"/>
        <w:gridCol w:w="28"/>
        <w:gridCol w:w="8"/>
        <w:gridCol w:w="101"/>
        <w:gridCol w:w="674"/>
        <w:gridCol w:w="36"/>
        <w:gridCol w:w="36"/>
        <w:gridCol w:w="36"/>
        <w:gridCol w:w="36"/>
        <w:gridCol w:w="100"/>
        <w:gridCol w:w="480"/>
        <w:gridCol w:w="36"/>
        <w:gridCol w:w="36"/>
        <w:gridCol w:w="36"/>
        <w:gridCol w:w="36"/>
        <w:gridCol w:w="100"/>
        <w:gridCol w:w="400"/>
        <w:gridCol w:w="36"/>
        <w:gridCol w:w="36"/>
        <w:gridCol w:w="36"/>
        <w:gridCol w:w="36"/>
        <w:gridCol w:w="101"/>
        <w:gridCol w:w="280"/>
        <w:gridCol w:w="136"/>
        <w:gridCol w:w="8"/>
        <w:gridCol w:w="28"/>
        <w:gridCol w:w="36"/>
        <w:gridCol w:w="36"/>
        <w:gridCol w:w="36"/>
        <w:gridCol w:w="8"/>
        <w:gridCol w:w="93"/>
        <w:gridCol w:w="526"/>
        <w:gridCol w:w="36"/>
        <w:gridCol w:w="36"/>
        <w:gridCol w:w="36"/>
        <w:gridCol w:w="36"/>
        <w:gridCol w:w="101"/>
        <w:gridCol w:w="623"/>
        <w:gridCol w:w="36"/>
        <w:gridCol w:w="36"/>
        <w:gridCol w:w="36"/>
        <w:gridCol w:w="36"/>
        <w:gridCol w:w="100"/>
        <w:gridCol w:w="480"/>
        <w:gridCol w:w="36"/>
        <w:gridCol w:w="429"/>
        <w:gridCol w:w="144"/>
      </w:tblGrid>
      <w:tr w:rsidR="00000000" w14:paraId="0C58677E" w14:textId="77777777">
        <w:trPr>
          <w:gridAfter w:val="2"/>
          <w:divId w:val="34623750"/>
        </w:trPr>
        <w:tc>
          <w:tcPr>
            <w:tcW w:w="50" w:type="pct"/>
            <w:vAlign w:val="center"/>
            <w:hideMark/>
          </w:tcPr>
          <w:p w14:paraId="4478F2F0" w14:textId="77777777" w:rsidR="00000000" w:rsidRDefault="00405D16">
            <w:pPr>
              <w:jc w:val="both"/>
              <w:rPr>
                <w:rFonts w:eastAsia="Times New Roman"/>
              </w:rPr>
            </w:pPr>
          </w:p>
        </w:tc>
        <w:tc>
          <w:tcPr>
            <w:tcW w:w="1955" w:type="pct"/>
            <w:gridSpan w:val="2"/>
            <w:vAlign w:val="center"/>
            <w:hideMark/>
          </w:tcPr>
          <w:p w14:paraId="6F0CB28F" w14:textId="77777777" w:rsidR="00000000" w:rsidRDefault="00405D16">
            <w:pPr>
              <w:spacing w:after="100"/>
              <w:rPr>
                <w:rFonts w:eastAsia="Times New Roman"/>
                <w:sz w:val="20"/>
                <w:szCs w:val="20"/>
              </w:rPr>
            </w:pPr>
          </w:p>
        </w:tc>
        <w:tc>
          <w:tcPr>
            <w:tcW w:w="5" w:type="pct"/>
            <w:vAlign w:val="center"/>
            <w:hideMark/>
          </w:tcPr>
          <w:p w14:paraId="552AFBD4" w14:textId="77777777" w:rsidR="00000000" w:rsidRDefault="00405D16">
            <w:pPr>
              <w:spacing w:after="100"/>
              <w:rPr>
                <w:rFonts w:eastAsia="Times New Roman"/>
                <w:sz w:val="20"/>
                <w:szCs w:val="20"/>
              </w:rPr>
            </w:pPr>
          </w:p>
        </w:tc>
        <w:tc>
          <w:tcPr>
            <w:tcW w:w="5" w:type="pct"/>
            <w:vAlign w:val="center"/>
            <w:hideMark/>
          </w:tcPr>
          <w:p w14:paraId="6D0BD2CC" w14:textId="77777777" w:rsidR="00000000" w:rsidRDefault="00405D16">
            <w:pPr>
              <w:spacing w:after="100"/>
              <w:rPr>
                <w:rFonts w:eastAsia="Times New Roman"/>
                <w:sz w:val="20"/>
                <w:szCs w:val="20"/>
              </w:rPr>
            </w:pPr>
          </w:p>
        </w:tc>
        <w:tc>
          <w:tcPr>
            <w:tcW w:w="26" w:type="pct"/>
            <w:vAlign w:val="center"/>
            <w:hideMark/>
          </w:tcPr>
          <w:p w14:paraId="79A2D3B1" w14:textId="77777777" w:rsidR="00000000" w:rsidRDefault="00405D16">
            <w:pPr>
              <w:spacing w:after="100"/>
              <w:rPr>
                <w:rFonts w:eastAsia="Times New Roman"/>
                <w:sz w:val="20"/>
                <w:szCs w:val="20"/>
              </w:rPr>
            </w:pPr>
          </w:p>
        </w:tc>
        <w:tc>
          <w:tcPr>
            <w:tcW w:w="5" w:type="pct"/>
            <w:vAlign w:val="center"/>
            <w:hideMark/>
          </w:tcPr>
          <w:p w14:paraId="76A0299B" w14:textId="77777777" w:rsidR="00000000" w:rsidRDefault="00405D16">
            <w:pPr>
              <w:spacing w:after="100"/>
              <w:rPr>
                <w:rFonts w:eastAsia="Times New Roman"/>
                <w:sz w:val="20"/>
                <w:szCs w:val="20"/>
              </w:rPr>
            </w:pPr>
          </w:p>
        </w:tc>
        <w:tc>
          <w:tcPr>
            <w:tcW w:w="50" w:type="pct"/>
            <w:vAlign w:val="center"/>
            <w:hideMark/>
          </w:tcPr>
          <w:p w14:paraId="79690655" w14:textId="77777777" w:rsidR="00000000" w:rsidRDefault="00405D16">
            <w:pPr>
              <w:spacing w:after="100"/>
              <w:rPr>
                <w:rFonts w:eastAsia="Times New Roman"/>
                <w:sz w:val="20"/>
                <w:szCs w:val="20"/>
              </w:rPr>
            </w:pPr>
          </w:p>
        </w:tc>
        <w:tc>
          <w:tcPr>
            <w:tcW w:w="266" w:type="pct"/>
            <w:gridSpan w:val="3"/>
            <w:vAlign w:val="center"/>
            <w:hideMark/>
          </w:tcPr>
          <w:p w14:paraId="4D24E1CA" w14:textId="77777777" w:rsidR="00000000" w:rsidRDefault="00405D16">
            <w:pPr>
              <w:spacing w:after="100"/>
              <w:rPr>
                <w:rFonts w:eastAsia="Times New Roman"/>
                <w:sz w:val="20"/>
                <w:szCs w:val="20"/>
              </w:rPr>
            </w:pPr>
          </w:p>
        </w:tc>
        <w:tc>
          <w:tcPr>
            <w:tcW w:w="5" w:type="pct"/>
            <w:vAlign w:val="center"/>
            <w:hideMark/>
          </w:tcPr>
          <w:p w14:paraId="1AF6E66A" w14:textId="77777777" w:rsidR="00000000" w:rsidRDefault="00405D16">
            <w:pPr>
              <w:spacing w:after="100"/>
              <w:rPr>
                <w:rFonts w:eastAsia="Times New Roman"/>
                <w:sz w:val="20"/>
                <w:szCs w:val="20"/>
              </w:rPr>
            </w:pPr>
          </w:p>
        </w:tc>
        <w:tc>
          <w:tcPr>
            <w:tcW w:w="5" w:type="pct"/>
            <w:vAlign w:val="center"/>
            <w:hideMark/>
          </w:tcPr>
          <w:p w14:paraId="0CF236CB" w14:textId="77777777" w:rsidR="00000000" w:rsidRDefault="00405D16">
            <w:pPr>
              <w:spacing w:after="100"/>
              <w:rPr>
                <w:rFonts w:eastAsia="Times New Roman"/>
                <w:sz w:val="20"/>
                <w:szCs w:val="20"/>
              </w:rPr>
            </w:pPr>
          </w:p>
        </w:tc>
        <w:tc>
          <w:tcPr>
            <w:tcW w:w="26" w:type="pct"/>
            <w:vAlign w:val="center"/>
            <w:hideMark/>
          </w:tcPr>
          <w:p w14:paraId="432CCBC2" w14:textId="77777777" w:rsidR="00000000" w:rsidRDefault="00405D16">
            <w:pPr>
              <w:spacing w:after="100"/>
              <w:rPr>
                <w:rFonts w:eastAsia="Times New Roman"/>
                <w:sz w:val="20"/>
                <w:szCs w:val="20"/>
              </w:rPr>
            </w:pPr>
          </w:p>
        </w:tc>
        <w:tc>
          <w:tcPr>
            <w:tcW w:w="5" w:type="pct"/>
            <w:gridSpan w:val="2"/>
            <w:vAlign w:val="center"/>
            <w:hideMark/>
          </w:tcPr>
          <w:p w14:paraId="2891AC4B" w14:textId="77777777" w:rsidR="00000000" w:rsidRDefault="00405D16">
            <w:pPr>
              <w:spacing w:after="100"/>
              <w:rPr>
                <w:rFonts w:eastAsia="Times New Roman"/>
                <w:sz w:val="20"/>
                <w:szCs w:val="20"/>
              </w:rPr>
            </w:pPr>
          </w:p>
        </w:tc>
        <w:tc>
          <w:tcPr>
            <w:tcW w:w="50" w:type="pct"/>
            <w:vAlign w:val="center"/>
            <w:hideMark/>
          </w:tcPr>
          <w:p w14:paraId="778B726A" w14:textId="77777777" w:rsidR="00000000" w:rsidRDefault="00405D16">
            <w:pPr>
              <w:spacing w:after="100"/>
              <w:rPr>
                <w:rFonts w:eastAsia="Times New Roman"/>
                <w:sz w:val="20"/>
                <w:szCs w:val="20"/>
              </w:rPr>
            </w:pPr>
          </w:p>
        </w:tc>
        <w:tc>
          <w:tcPr>
            <w:tcW w:w="361" w:type="pct"/>
            <w:vAlign w:val="center"/>
            <w:hideMark/>
          </w:tcPr>
          <w:p w14:paraId="3BB13D0D" w14:textId="77777777" w:rsidR="00000000" w:rsidRDefault="00405D16">
            <w:pPr>
              <w:spacing w:after="100"/>
              <w:rPr>
                <w:rFonts w:eastAsia="Times New Roman"/>
                <w:sz w:val="20"/>
                <w:szCs w:val="20"/>
              </w:rPr>
            </w:pPr>
          </w:p>
        </w:tc>
        <w:tc>
          <w:tcPr>
            <w:tcW w:w="5" w:type="pct"/>
            <w:vAlign w:val="center"/>
            <w:hideMark/>
          </w:tcPr>
          <w:p w14:paraId="197FEEF8" w14:textId="77777777" w:rsidR="00000000" w:rsidRDefault="00405D16">
            <w:pPr>
              <w:spacing w:after="100"/>
              <w:rPr>
                <w:rFonts w:eastAsia="Times New Roman"/>
                <w:sz w:val="20"/>
                <w:szCs w:val="20"/>
              </w:rPr>
            </w:pPr>
          </w:p>
        </w:tc>
        <w:tc>
          <w:tcPr>
            <w:tcW w:w="5" w:type="pct"/>
            <w:vAlign w:val="center"/>
            <w:hideMark/>
          </w:tcPr>
          <w:p w14:paraId="5BFF725D" w14:textId="77777777" w:rsidR="00000000" w:rsidRDefault="00405D16">
            <w:pPr>
              <w:spacing w:after="100"/>
              <w:rPr>
                <w:rFonts w:eastAsia="Times New Roman"/>
                <w:sz w:val="20"/>
                <w:szCs w:val="20"/>
              </w:rPr>
            </w:pPr>
          </w:p>
        </w:tc>
        <w:tc>
          <w:tcPr>
            <w:tcW w:w="26" w:type="pct"/>
            <w:vAlign w:val="center"/>
            <w:hideMark/>
          </w:tcPr>
          <w:p w14:paraId="71D3448E" w14:textId="77777777" w:rsidR="00000000" w:rsidRDefault="00405D16">
            <w:pPr>
              <w:spacing w:after="100"/>
              <w:rPr>
                <w:rFonts w:eastAsia="Times New Roman"/>
                <w:sz w:val="20"/>
                <w:szCs w:val="20"/>
              </w:rPr>
            </w:pPr>
          </w:p>
        </w:tc>
        <w:tc>
          <w:tcPr>
            <w:tcW w:w="5" w:type="pct"/>
            <w:vAlign w:val="center"/>
            <w:hideMark/>
          </w:tcPr>
          <w:p w14:paraId="50F9F592" w14:textId="77777777" w:rsidR="00000000" w:rsidRDefault="00405D16">
            <w:pPr>
              <w:spacing w:after="100"/>
              <w:rPr>
                <w:rFonts w:eastAsia="Times New Roman"/>
                <w:sz w:val="20"/>
                <w:szCs w:val="20"/>
              </w:rPr>
            </w:pPr>
          </w:p>
        </w:tc>
        <w:tc>
          <w:tcPr>
            <w:tcW w:w="50" w:type="pct"/>
            <w:vAlign w:val="center"/>
            <w:hideMark/>
          </w:tcPr>
          <w:p w14:paraId="204EB0CA" w14:textId="77777777" w:rsidR="00000000" w:rsidRDefault="00405D16">
            <w:pPr>
              <w:spacing w:after="100"/>
              <w:rPr>
                <w:rFonts w:eastAsia="Times New Roman"/>
                <w:sz w:val="20"/>
                <w:szCs w:val="20"/>
              </w:rPr>
            </w:pPr>
          </w:p>
        </w:tc>
        <w:tc>
          <w:tcPr>
            <w:tcW w:w="266" w:type="pct"/>
            <w:vAlign w:val="center"/>
            <w:hideMark/>
          </w:tcPr>
          <w:p w14:paraId="05E10B8E" w14:textId="77777777" w:rsidR="00000000" w:rsidRDefault="00405D16">
            <w:pPr>
              <w:spacing w:after="100"/>
              <w:rPr>
                <w:rFonts w:eastAsia="Times New Roman"/>
                <w:sz w:val="20"/>
                <w:szCs w:val="20"/>
              </w:rPr>
            </w:pPr>
          </w:p>
        </w:tc>
        <w:tc>
          <w:tcPr>
            <w:tcW w:w="5" w:type="pct"/>
            <w:vAlign w:val="center"/>
            <w:hideMark/>
          </w:tcPr>
          <w:p w14:paraId="2584F5B8" w14:textId="77777777" w:rsidR="00000000" w:rsidRDefault="00405D16">
            <w:pPr>
              <w:spacing w:after="100"/>
              <w:rPr>
                <w:rFonts w:eastAsia="Times New Roman"/>
                <w:sz w:val="20"/>
                <w:szCs w:val="20"/>
              </w:rPr>
            </w:pPr>
          </w:p>
        </w:tc>
        <w:tc>
          <w:tcPr>
            <w:tcW w:w="5" w:type="pct"/>
            <w:vAlign w:val="center"/>
            <w:hideMark/>
          </w:tcPr>
          <w:p w14:paraId="78D350FB" w14:textId="77777777" w:rsidR="00000000" w:rsidRDefault="00405D16">
            <w:pPr>
              <w:spacing w:after="100"/>
              <w:rPr>
                <w:rFonts w:eastAsia="Times New Roman"/>
                <w:sz w:val="20"/>
                <w:szCs w:val="20"/>
              </w:rPr>
            </w:pPr>
          </w:p>
        </w:tc>
        <w:tc>
          <w:tcPr>
            <w:tcW w:w="26" w:type="pct"/>
            <w:vAlign w:val="center"/>
            <w:hideMark/>
          </w:tcPr>
          <w:p w14:paraId="5DD6B5C7" w14:textId="77777777" w:rsidR="00000000" w:rsidRDefault="00405D16">
            <w:pPr>
              <w:spacing w:after="100"/>
              <w:rPr>
                <w:rFonts w:eastAsia="Times New Roman"/>
                <w:sz w:val="20"/>
                <w:szCs w:val="20"/>
              </w:rPr>
            </w:pPr>
          </w:p>
        </w:tc>
        <w:tc>
          <w:tcPr>
            <w:tcW w:w="5" w:type="pct"/>
            <w:vAlign w:val="center"/>
            <w:hideMark/>
          </w:tcPr>
          <w:p w14:paraId="1108723B" w14:textId="77777777" w:rsidR="00000000" w:rsidRDefault="00405D16">
            <w:pPr>
              <w:spacing w:after="100"/>
              <w:rPr>
                <w:rFonts w:eastAsia="Times New Roman"/>
                <w:sz w:val="20"/>
                <w:szCs w:val="20"/>
              </w:rPr>
            </w:pPr>
          </w:p>
        </w:tc>
        <w:tc>
          <w:tcPr>
            <w:tcW w:w="50" w:type="pct"/>
            <w:vAlign w:val="center"/>
            <w:hideMark/>
          </w:tcPr>
          <w:p w14:paraId="0C12FA3C" w14:textId="77777777" w:rsidR="00000000" w:rsidRDefault="00405D16">
            <w:pPr>
              <w:spacing w:after="100"/>
              <w:rPr>
                <w:rFonts w:eastAsia="Times New Roman"/>
                <w:sz w:val="20"/>
                <w:szCs w:val="20"/>
              </w:rPr>
            </w:pPr>
          </w:p>
        </w:tc>
        <w:tc>
          <w:tcPr>
            <w:tcW w:w="215" w:type="pct"/>
            <w:vAlign w:val="center"/>
            <w:hideMark/>
          </w:tcPr>
          <w:p w14:paraId="4F167722" w14:textId="77777777" w:rsidR="00000000" w:rsidRDefault="00405D16">
            <w:pPr>
              <w:spacing w:after="100"/>
              <w:rPr>
                <w:rFonts w:eastAsia="Times New Roman"/>
                <w:sz w:val="20"/>
                <w:szCs w:val="20"/>
              </w:rPr>
            </w:pPr>
          </w:p>
        </w:tc>
        <w:tc>
          <w:tcPr>
            <w:tcW w:w="5" w:type="pct"/>
            <w:vAlign w:val="center"/>
            <w:hideMark/>
          </w:tcPr>
          <w:p w14:paraId="2BE53B0E" w14:textId="77777777" w:rsidR="00000000" w:rsidRDefault="00405D16">
            <w:pPr>
              <w:spacing w:after="100"/>
              <w:rPr>
                <w:rFonts w:eastAsia="Times New Roman"/>
                <w:sz w:val="20"/>
                <w:szCs w:val="20"/>
              </w:rPr>
            </w:pPr>
          </w:p>
        </w:tc>
        <w:tc>
          <w:tcPr>
            <w:tcW w:w="5" w:type="pct"/>
            <w:vAlign w:val="center"/>
            <w:hideMark/>
          </w:tcPr>
          <w:p w14:paraId="14174A8D" w14:textId="77777777" w:rsidR="00000000" w:rsidRDefault="00405D16">
            <w:pPr>
              <w:spacing w:after="100"/>
              <w:rPr>
                <w:rFonts w:eastAsia="Times New Roman"/>
                <w:sz w:val="20"/>
                <w:szCs w:val="20"/>
              </w:rPr>
            </w:pPr>
          </w:p>
        </w:tc>
        <w:tc>
          <w:tcPr>
            <w:tcW w:w="26" w:type="pct"/>
            <w:vAlign w:val="center"/>
            <w:hideMark/>
          </w:tcPr>
          <w:p w14:paraId="5C93BB1E" w14:textId="77777777" w:rsidR="00000000" w:rsidRDefault="00405D16">
            <w:pPr>
              <w:spacing w:after="100"/>
              <w:rPr>
                <w:rFonts w:eastAsia="Times New Roman"/>
                <w:sz w:val="20"/>
                <w:szCs w:val="20"/>
              </w:rPr>
            </w:pPr>
          </w:p>
        </w:tc>
        <w:tc>
          <w:tcPr>
            <w:tcW w:w="5" w:type="pct"/>
            <w:vAlign w:val="center"/>
            <w:hideMark/>
          </w:tcPr>
          <w:p w14:paraId="2A7E5B12" w14:textId="77777777" w:rsidR="00000000" w:rsidRDefault="00405D16">
            <w:pPr>
              <w:spacing w:after="100"/>
              <w:rPr>
                <w:rFonts w:eastAsia="Times New Roman"/>
                <w:sz w:val="20"/>
                <w:szCs w:val="20"/>
              </w:rPr>
            </w:pPr>
          </w:p>
        </w:tc>
        <w:tc>
          <w:tcPr>
            <w:tcW w:w="50" w:type="pct"/>
            <w:vAlign w:val="center"/>
            <w:hideMark/>
          </w:tcPr>
          <w:p w14:paraId="4C788DF7" w14:textId="77777777" w:rsidR="00000000" w:rsidRDefault="00405D16">
            <w:pPr>
              <w:spacing w:after="100"/>
              <w:rPr>
                <w:rFonts w:eastAsia="Times New Roman"/>
                <w:sz w:val="20"/>
                <w:szCs w:val="20"/>
              </w:rPr>
            </w:pPr>
          </w:p>
        </w:tc>
        <w:tc>
          <w:tcPr>
            <w:tcW w:w="244" w:type="pct"/>
            <w:gridSpan w:val="2"/>
            <w:vAlign w:val="center"/>
            <w:hideMark/>
          </w:tcPr>
          <w:p w14:paraId="47EB210F" w14:textId="77777777" w:rsidR="00000000" w:rsidRDefault="00405D16">
            <w:pPr>
              <w:spacing w:after="100"/>
              <w:rPr>
                <w:rFonts w:eastAsia="Times New Roman"/>
                <w:sz w:val="20"/>
                <w:szCs w:val="20"/>
              </w:rPr>
            </w:pPr>
          </w:p>
        </w:tc>
        <w:tc>
          <w:tcPr>
            <w:tcW w:w="5" w:type="pct"/>
            <w:gridSpan w:val="2"/>
            <w:vAlign w:val="center"/>
            <w:hideMark/>
          </w:tcPr>
          <w:p w14:paraId="22601E9B" w14:textId="77777777" w:rsidR="00000000" w:rsidRDefault="00405D16">
            <w:pPr>
              <w:spacing w:after="100"/>
              <w:rPr>
                <w:rFonts w:eastAsia="Times New Roman"/>
                <w:sz w:val="20"/>
                <w:szCs w:val="20"/>
              </w:rPr>
            </w:pPr>
          </w:p>
        </w:tc>
        <w:tc>
          <w:tcPr>
            <w:tcW w:w="5" w:type="pct"/>
            <w:vAlign w:val="center"/>
            <w:hideMark/>
          </w:tcPr>
          <w:p w14:paraId="5C82F833" w14:textId="77777777" w:rsidR="00000000" w:rsidRDefault="00405D16">
            <w:pPr>
              <w:spacing w:after="100"/>
              <w:rPr>
                <w:rFonts w:eastAsia="Times New Roman"/>
                <w:sz w:val="20"/>
                <w:szCs w:val="20"/>
              </w:rPr>
            </w:pPr>
          </w:p>
        </w:tc>
        <w:tc>
          <w:tcPr>
            <w:tcW w:w="26" w:type="pct"/>
            <w:vAlign w:val="center"/>
            <w:hideMark/>
          </w:tcPr>
          <w:p w14:paraId="277898D7" w14:textId="77777777" w:rsidR="00000000" w:rsidRDefault="00405D16">
            <w:pPr>
              <w:spacing w:after="100"/>
              <w:rPr>
                <w:rFonts w:eastAsia="Times New Roman"/>
                <w:sz w:val="20"/>
                <w:szCs w:val="20"/>
              </w:rPr>
            </w:pPr>
          </w:p>
        </w:tc>
        <w:tc>
          <w:tcPr>
            <w:tcW w:w="5" w:type="pct"/>
            <w:vAlign w:val="center"/>
            <w:hideMark/>
          </w:tcPr>
          <w:p w14:paraId="588C418D" w14:textId="77777777" w:rsidR="00000000" w:rsidRDefault="00405D16">
            <w:pPr>
              <w:spacing w:after="100"/>
              <w:rPr>
                <w:rFonts w:eastAsia="Times New Roman"/>
                <w:sz w:val="20"/>
                <w:szCs w:val="20"/>
              </w:rPr>
            </w:pPr>
          </w:p>
        </w:tc>
        <w:tc>
          <w:tcPr>
            <w:tcW w:w="50" w:type="pct"/>
            <w:gridSpan w:val="2"/>
            <w:vAlign w:val="center"/>
            <w:hideMark/>
          </w:tcPr>
          <w:p w14:paraId="17BBA913" w14:textId="77777777" w:rsidR="00000000" w:rsidRDefault="00405D16">
            <w:pPr>
              <w:spacing w:after="100"/>
              <w:rPr>
                <w:rFonts w:eastAsia="Times New Roman"/>
                <w:sz w:val="20"/>
                <w:szCs w:val="20"/>
              </w:rPr>
            </w:pPr>
          </w:p>
        </w:tc>
        <w:tc>
          <w:tcPr>
            <w:tcW w:w="317" w:type="pct"/>
            <w:vAlign w:val="center"/>
            <w:hideMark/>
          </w:tcPr>
          <w:p w14:paraId="1551F221" w14:textId="77777777" w:rsidR="00000000" w:rsidRDefault="00405D16">
            <w:pPr>
              <w:spacing w:after="100"/>
              <w:rPr>
                <w:rFonts w:eastAsia="Times New Roman"/>
                <w:sz w:val="20"/>
                <w:szCs w:val="20"/>
              </w:rPr>
            </w:pPr>
          </w:p>
        </w:tc>
        <w:tc>
          <w:tcPr>
            <w:tcW w:w="5" w:type="pct"/>
            <w:vAlign w:val="center"/>
            <w:hideMark/>
          </w:tcPr>
          <w:p w14:paraId="03C2A69F" w14:textId="77777777" w:rsidR="00000000" w:rsidRDefault="00405D16">
            <w:pPr>
              <w:spacing w:after="100"/>
              <w:rPr>
                <w:rFonts w:eastAsia="Times New Roman"/>
                <w:sz w:val="20"/>
                <w:szCs w:val="20"/>
              </w:rPr>
            </w:pPr>
          </w:p>
        </w:tc>
        <w:tc>
          <w:tcPr>
            <w:tcW w:w="5" w:type="pct"/>
            <w:vAlign w:val="center"/>
            <w:hideMark/>
          </w:tcPr>
          <w:p w14:paraId="5D7ED1F0" w14:textId="77777777" w:rsidR="00000000" w:rsidRDefault="00405D16">
            <w:pPr>
              <w:spacing w:after="100"/>
              <w:rPr>
                <w:rFonts w:eastAsia="Times New Roman"/>
                <w:sz w:val="20"/>
                <w:szCs w:val="20"/>
              </w:rPr>
            </w:pPr>
          </w:p>
        </w:tc>
        <w:tc>
          <w:tcPr>
            <w:tcW w:w="26" w:type="pct"/>
            <w:vAlign w:val="center"/>
            <w:hideMark/>
          </w:tcPr>
          <w:p w14:paraId="6548DC85" w14:textId="77777777" w:rsidR="00000000" w:rsidRDefault="00405D16">
            <w:pPr>
              <w:spacing w:after="100"/>
              <w:rPr>
                <w:rFonts w:eastAsia="Times New Roman"/>
                <w:sz w:val="20"/>
                <w:szCs w:val="20"/>
              </w:rPr>
            </w:pPr>
          </w:p>
        </w:tc>
        <w:tc>
          <w:tcPr>
            <w:tcW w:w="5" w:type="pct"/>
            <w:vAlign w:val="center"/>
            <w:hideMark/>
          </w:tcPr>
          <w:p w14:paraId="3740CF94" w14:textId="77777777" w:rsidR="00000000" w:rsidRDefault="00405D16">
            <w:pPr>
              <w:spacing w:after="100"/>
              <w:rPr>
                <w:rFonts w:eastAsia="Times New Roman"/>
                <w:sz w:val="20"/>
                <w:szCs w:val="20"/>
              </w:rPr>
            </w:pPr>
          </w:p>
        </w:tc>
        <w:tc>
          <w:tcPr>
            <w:tcW w:w="50" w:type="pct"/>
            <w:vAlign w:val="center"/>
            <w:hideMark/>
          </w:tcPr>
          <w:p w14:paraId="4C6844DF" w14:textId="77777777" w:rsidR="00000000" w:rsidRDefault="00405D16">
            <w:pPr>
              <w:spacing w:after="100"/>
              <w:rPr>
                <w:rFonts w:eastAsia="Times New Roman"/>
                <w:sz w:val="20"/>
                <w:szCs w:val="20"/>
              </w:rPr>
            </w:pPr>
          </w:p>
        </w:tc>
        <w:tc>
          <w:tcPr>
            <w:tcW w:w="332" w:type="pct"/>
            <w:vAlign w:val="center"/>
            <w:hideMark/>
          </w:tcPr>
          <w:p w14:paraId="5726EC43" w14:textId="77777777" w:rsidR="00000000" w:rsidRDefault="00405D16">
            <w:pPr>
              <w:spacing w:after="100"/>
              <w:rPr>
                <w:rFonts w:eastAsia="Times New Roman"/>
                <w:sz w:val="20"/>
                <w:szCs w:val="20"/>
              </w:rPr>
            </w:pPr>
          </w:p>
        </w:tc>
        <w:tc>
          <w:tcPr>
            <w:tcW w:w="5" w:type="pct"/>
            <w:vAlign w:val="center"/>
            <w:hideMark/>
          </w:tcPr>
          <w:p w14:paraId="0B42AA99" w14:textId="77777777" w:rsidR="00000000" w:rsidRDefault="00405D16">
            <w:pPr>
              <w:spacing w:after="100"/>
              <w:rPr>
                <w:rFonts w:eastAsia="Times New Roman"/>
                <w:sz w:val="20"/>
                <w:szCs w:val="20"/>
              </w:rPr>
            </w:pPr>
          </w:p>
        </w:tc>
        <w:tc>
          <w:tcPr>
            <w:tcW w:w="5" w:type="pct"/>
            <w:vAlign w:val="center"/>
            <w:hideMark/>
          </w:tcPr>
          <w:p w14:paraId="17976469" w14:textId="77777777" w:rsidR="00000000" w:rsidRDefault="00405D16">
            <w:pPr>
              <w:spacing w:after="100"/>
              <w:rPr>
                <w:rFonts w:eastAsia="Times New Roman"/>
                <w:sz w:val="20"/>
                <w:szCs w:val="20"/>
              </w:rPr>
            </w:pPr>
          </w:p>
        </w:tc>
        <w:tc>
          <w:tcPr>
            <w:tcW w:w="26" w:type="pct"/>
            <w:vAlign w:val="center"/>
            <w:hideMark/>
          </w:tcPr>
          <w:p w14:paraId="25F3C5CC" w14:textId="77777777" w:rsidR="00000000" w:rsidRDefault="00405D16">
            <w:pPr>
              <w:spacing w:after="100"/>
              <w:rPr>
                <w:rFonts w:eastAsia="Times New Roman"/>
                <w:sz w:val="20"/>
                <w:szCs w:val="20"/>
              </w:rPr>
            </w:pPr>
          </w:p>
        </w:tc>
        <w:tc>
          <w:tcPr>
            <w:tcW w:w="5" w:type="pct"/>
            <w:vAlign w:val="center"/>
            <w:hideMark/>
          </w:tcPr>
          <w:p w14:paraId="13F7D8B0" w14:textId="77777777" w:rsidR="00000000" w:rsidRDefault="00405D16">
            <w:pPr>
              <w:spacing w:after="100"/>
              <w:rPr>
                <w:rFonts w:eastAsia="Times New Roman"/>
                <w:sz w:val="20"/>
                <w:szCs w:val="20"/>
              </w:rPr>
            </w:pPr>
          </w:p>
        </w:tc>
        <w:tc>
          <w:tcPr>
            <w:tcW w:w="50" w:type="pct"/>
            <w:vAlign w:val="center"/>
            <w:hideMark/>
          </w:tcPr>
          <w:p w14:paraId="2640868B" w14:textId="77777777" w:rsidR="00000000" w:rsidRDefault="00405D16">
            <w:pPr>
              <w:spacing w:after="100"/>
              <w:rPr>
                <w:rFonts w:eastAsia="Times New Roman"/>
                <w:sz w:val="20"/>
                <w:szCs w:val="20"/>
              </w:rPr>
            </w:pPr>
          </w:p>
        </w:tc>
        <w:tc>
          <w:tcPr>
            <w:tcW w:w="252" w:type="pct"/>
            <w:vAlign w:val="center"/>
            <w:hideMark/>
          </w:tcPr>
          <w:p w14:paraId="14765B97" w14:textId="77777777" w:rsidR="00000000" w:rsidRDefault="00405D16">
            <w:pPr>
              <w:spacing w:after="100"/>
              <w:rPr>
                <w:rFonts w:eastAsia="Times New Roman"/>
                <w:sz w:val="20"/>
                <w:szCs w:val="20"/>
              </w:rPr>
            </w:pPr>
          </w:p>
        </w:tc>
        <w:tc>
          <w:tcPr>
            <w:tcW w:w="5" w:type="pct"/>
            <w:vAlign w:val="center"/>
            <w:hideMark/>
          </w:tcPr>
          <w:p w14:paraId="1BA46236" w14:textId="77777777" w:rsidR="00000000" w:rsidRDefault="00405D16">
            <w:pPr>
              <w:spacing w:after="100"/>
              <w:rPr>
                <w:rFonts w:eastAsia="Times New Roman"/>
                <w:sz w:val="20"/>
                <w:szCs w:val="20"/>
              </w:rPr>
            </w:pPr>
          </w:p>
        </w:tc>
      </w:tr>
      <w:tr w:rsidR="00000000" w14:paraId="08466B1A" w14:textId="77777777">
        <w:trPr>
          <w:gridAfter w:val="2"/>
          <w:divId w:val="34623750"/>
        </w:trPr>
        <w:tc>
          <w:tcPr>
            <w:tcW w:w="0" w:type="auto"/>
            <w:gridSpan w:val="4"/>
            <w:tcMar>
              <w:top w:w="0" w:type="dxa"/>
              <w:left w:w="20" w:type="dxa"/>
              <w:bottom w:w="0" w:type="dxa"/>
              <w:right w:w="20" w:type="dxa"/>
            </w:tcMar>
            <w:vAlign w:val="center"/>
            <w:hideMark/>
          </w:tcPr>
          <w:p w14:paraId="36871741"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93E137" w14:textId="77777777" w:rsidR="00000000" w:rsidRDefault="00405D16">
            <w:pPr>
              <w:spacing w:after="100"/>
              <w:rPr>
                <w:rFonts w:eastAsia="Times New Roman"/>
                <w:sz w:val="20"/>
                <w:szCs w:val="20"/>
              </w:rPr>
            </w:pPr>
          </w:p>
        </w:tc>
        <w:tc>
          <w:tcPr>
            <w:tcW w:w="0" w:type="auto"/>
            <w:gridSpan w:val="51"/>
            <w:tcMar>
              <w:top w:w="30" w:type="dxa"/>
              <w:left w:w="20" w:type="dxa"/>
              <w:bottom w:w="30" w:type="dxa"/>
              <w:right w:w="20" w:type="dxa"/>
            </w:tcMar>
            <w:vAlign w:val="bottom"/>
            <w:hideMark/>
          </w:tcPr>
          <w:p w14:paraId="7F33FB8E" w14:textId="77777777" w:rsidR="00000000" w:rsidRDefault="00405D16">
            <w:pPr>
              <w:spacing w:after="100"/>
              <w:jc w:val="center"/>
              <w:rPr>
                <w:rFonts w:eastAsia="Times New Roman"/>
              </w:rPr>
            </w:pPr>
            <w:r>
              <w:rPr>
                <w:rFonts w:eastAsia="Times New Roman"/>
                <w:b/>
                <w:bCs/>
                <w:color w:val="000000"/>
                <w:sz w:val="13"/>
                <w:szCs w:val="13"/>
              </w:rPr>
              <w:t>Three Months Ended September 30, 2020</w:t>
            </w:r>
          </w:p>
        </w:tc>
      </w:tr>
      <w:tr w:rsidR="00000000" w14:paraId="52CD5134" w14:textId="77777777">
        <w:trPr>
          <w:gridAfter w:val="2"/>
          <w:divId w:val="34623750"/>
        </w:trPr>
        <w:tc>
          <w:tcPr>
            <w:tcW w:w="0" w:type="auto"/>
            <w:gridSpan w:val="4"/>
            <w:tcMar>
              <w:top w:w="0" w:type="dxa"/>
              <w:left w:w="20" w:type="dxa"/>
              <w:bottom w:w="0" w:type="dxa"/>
              <w:right w:w="20" w:type="dxa"/>
            </w:tcMar>
            <w:vAlign w:val="center"/>
            <w:hideMark/>
          </w:tcPr>
          <w:p w14:paraId="1087894F" w14:textId="77777777" w:rsidR="00000000" w:rsidRDefault="00405D1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AAB4C67" w14:textId="77777777" w:rsidR="00000000" w:rsidRDefault="00405D16">
            <w:pPr>
              <w:spacing w:after="100"/>
              <w:rPr>
                <w:rFonts w:eastAsia="Times New Roman"/>
                <w:sz w:val="20"/>
                <w:szCs w:val="20"/>
              </w:rPr>
            </w:pPr>
          </w:p>
        </w:tc>
        <w:tc>
          <w:tcPr>
            <w:tcW w:w="0" w:type="auto"/>
            <w:gridSpan w:val="18"/>
            <w:tcBorders>
              <w:top w:val="single" w:sz="8" w:space="0" w:color="000000"/>
            </w:tcBorders>
            <w:tcMar>
              <w:top w:w="30" w:type="dxa"/>
              <w:left w:w="20" w:type="dxa"/>
              <w:bottom w:w="30" w:type="dxa"/>
              <w:right w:w="20" w:type="dxa"/>
            </w:tcMar>
            <w:vAlign w:val="bottom"/>
            <w:hideMark/>
          </w:tcPr>
          <w:p w14:paraId="589EE7CE" w14:textId="77777777" w:rsidR="00000000" w:rsidRDefault="00405D16">
            <w:pPr>
              <w:spacing w:after="100"/>
              <w:jc w:val="center"/>
              <w:rPr>
                <w:rFonts w:eastAsia="Times New Roman"/>
              </w:rPr>
            </w:pPr>
            <w:r>
              <w:rPr>
                <w:rFonts w:eastAsia="Times New Roman"/>
                <w:b/>
                <w:bCs/>
                <w:color w:val="000000"/>
                <w:sz w:val="13"/>
                <w:szCs w:val="13"/>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632FA240" w14:textId="77777777" w:rsidR="00000000" w:rsidRDefault="00405D16">
            <w:pPr>
              <w:spacing w:after="100"/>
              <w:jc w:val="center"/>
              <w:rPr>
                <w:rFonts w:eastAsia="Times New Roman"/>
              </w:rPr>
            </w:pPr>
          </w:p>
        </w:tc>
        <w:tc>
          <w:tcPr>
            <w:tcW w:w="0" w:type="auto"/>
            <w:gridSpan w:val="18"/>
            <w:tcBorders>
              <w:top w:val="single" w:sz="8" w:space="0" w:color="000000"/>
            </w:tcBorders>
            <w:tcMar>
              <w:top w:w="30" w:type="dxa"/>
              <w:left w:w="20" w:type="dxa"/>
              <w:bottom w:w="30" w:type="dxa"/>
              <w:right w:w="20" w:type="dxa"/>
            </w:tcMar>
            <w:vAlign w:val="bottom"/>
            <w:hideMark/>
          </w:tcPr>
          <w:p w14:paraId="357057FA" w14:textId="77777777" w:rsidR="00000000" w:rsidRDefault="00405D16">
            <w:pPr>
              <w:spacing w:after="100"/>
              <w:jc w:val="center"/>
              <w:rPr>
                <w:rFonts w:eastAsia="Times New Roman"/>
              </w:rPr>
            </w:pPr>
            <w:r>
              <w:rPr>
                <w:rFonts w:eastAsia="Times New Roman"/>
                <w:b/>
                <w:bCs/>
                <w:color w:val="000000"/>
                <w:sz w:val="13"/>
                <w:szCs w:val="13"/>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31EBECC9" w14:textId="77777777" w:rsidR="00000000" w:rsidRDefault="00405D16">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2E7A220"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B438DED"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9A890F0" w14:textId="77777777" w:rsidR="00000000" w:rsidRDefault="00405D16">
            <w:pPr>
              <w:spacing w:after="100"/>
              <w:rPr>
                <w:rFonts w:eastAsia="Times New Roman"/>
                <w:sz w:val="20"/>
                <w:szCs w:val="20"/>
              </w:rPr>
            </w:pPr>
          </w:p>
        </w:tc>
      </w:tr>
      <w:tr w:rsidR="00000000" w14:paraId="04EB72C4" w14:textId="77777777">
        <w:trPr>
          <w:gridAfter w:val="2"/>
          <w:divId w:val="34623750"/>
        </w:trPr>
        <w:tc>
          <w:tcPr>
            <w:tcW w:w="0" w:type="auto"/>
            <w:gridSpan w:val="4"/>
            <w:tcMar>
              <w:top w:w="30" w:type="dxa"/>
              <w:left w:w="20" w:type="dxa"/>
              <w:bottom w:w="30" w:type="dxa"/>
              <w:right w:w="20" w:type="dxa"/>
            </w:tcMar>
            <w:vAlign w:val="bottom"/>
            <w:hideMark/>
          </w:tcPr>
          <w:p w14:paraId="29B12836" w14:textId="77777777" w:rsidR="00000000" w:rsidRDefault="00405D16">
            <w:pPr>
              <w:spacing w:after="100"/>
              <w:rPr>
                <w:rFonts w:eastAsia="Times New Roman"/>
              </w:rPr>
            </w:pPr>
            <w:r>
              <w:rPr>
                <w:rFonts w:eastAsia="Times New Roman"/>
                <w:i/>
                <w:iCs/>
                <w:color w:val="000000"/>
                <w:sz w:val="13"/>
                <w:szCs w:val="13"/>
              </w:rPr>
              <w:t>(Dollars </w:t>
            </w:r>
            <w:r>
              <w:rPr>
                <w:rFonts w:eastAsia="Times New Roman"/>
                <w:i/>
                <w:iCs/>
                <w:color w:val="000000"/>
                <w:sz w:val="13"/>
                <w:szCs w:val="13"/>
              </w:rPr>
              <w:t>in millions)</w:t>
            </w:r>
          </w:p>
        </w:tc>
        <w:tc>
          <w:tcPr>
            <w:tcW w:w="0" w:type="auto"/>
            <w:gridSpan w:val="3"/>
            <w:tcMar>
              <w:top w:w="0" w:type="dxa"/>
              <w:left w:w="20" w:type="dxa"/>
              <w:bottom w:w="0" w:type="dxa"/>
              <w:right w:w="20" w:type="dxa"/>
            </w:tcMar>
            <w:vAlign w:val="center"/>
            <w:hideMark/>
          </w:tcPr>
          <w:p w14:paraId="0C605DD0" w14:textId="77777777" w:rsidR="00000000" w:rsidRDefault="00405D16">
            <w:pPr>
              <w:spacing w:after="100"/>
              <w:rPr>
                <w:rFonts w:eastAsia="Times New Roman"/>
              </w:rPr>
            </w:pPr>
          </w:p>
        </w:tc>
        <w:tc>
          <w:tcPr>
            <w:tcW w:w="0" w:type="auto"/>
            <w:gridSpan w:val="5"/>
            <w:tcBorders>
              <w:top w:val="single" w:sz="8" w:space="0" w:color="000000"/>
            </w:tcBorders>
            <w:tcMar>
              <w:top w:w="30" w:type="dxa"/>
              <w:left w:w="20" w:type="dxa"/>
              <w:bottom w:w="30" w:type="dxa"/>
              <w:right w:w="20" w:type="dxa"/>
            </w:tcMar>
            <w:vAlign w:val="bottom"/>
            <w:hideMark/>
          </w:tcPr>
          <w:p w14:paraId="67FB9EE5" w14:textId="77777777" w:rsidR="00000000" w:rsidRDefault="00405D16">
            <w:pPr>
              <w:spacing w:after="100"/>
              <w:jc w:val="center"/>
              <w:rPr>
                <w:rFonts w:eastAsia="Times New Roman"/>
              </w:rPr>
            </w:pPr>
            <w:r>
              <w:rPr>
                <w:rFonts w:eastAsia="Times New Roman"/>
                <w:b/>
                <w:bCs/>
                <w:color w:val="000000"/>
                <w:sz w:val="13"/>
                <w:szCs w:val="13"/>
              </w:rPr>
              <w:t>Domestic Card</w:t>
            </w:r>
          </w:p>
        </w:tc>
        <w:tc>
          <w:tcPr>
            <w:tcW w:w="0" w:type="auto"/>
            <w:gridSpan w:val="4"/>
            <w:tcBorders>
              <w:top w:val="single" w:sz="8" w:space="0" w:color="000000"/>
            </w:tcBorders>
            <w:tcMar>
              <w:top w:w="0" w:type="dxa"/>
              <w:left w:w="20" w:type="dxa"/>
              <w:bottom w:w="0" w:type="dxa"/>
              <w:right w:w="20" w:type="dxa"/>
            </w:tcMar>
            <w:vAlign w:val="center"/>
            <w:hideMark/>
          </w:tcPr>
          <w:p w14:paraId="3B0BA915"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9626810" w14:textId="77777777" w:rsidR="00000000" w:rsidRDefault="00405D16">
            <w:pPr>
              <w:spacing w:after="100"/>
              <w:jc w:val="center"/>
              <w:rPr>
                <w:rFonts w:eastAsia="Times New Roman"/>
              </w:rPr>
            </w:pPr>
            <w:r>
              <w:rPr>
                <w:rFonts w:eastAsia="Times New Roman"/>
                <w:b/>
                <w:bCs/>
                <w:color w:val="000000"/>
                <w:sz w:val="13"/>
                <w:szCs w:val="13"/>
              </w:rPr>
              <w:t>International Card Businesses</w:t>
            </w:r>
          </w:p>
        </w:tc>
        <w:tc>
          <w:tcPr>
            <w:tcW w:w="0" w:type="auto"/>
            <w:gridSpan w:val="3"/>
            <w:tcBorders>
              <w:top w:val="single" w:sz="8" w:space="0" w:color="000000"/>
            </w:tcBorders>
            <w:tcMar>
              <w:top w:w="0" w:type="dxa"/>
              <w:left w:w="20" w:type="dxa"/>
              <w:bottom w:w="0" w:type="dxa"/>
              <w:right w:w="20" w:type="dxa"/>
            </w:tcMar>
            <w:vAlign w:val="center"/>
            <w:hideMark/>
          </w:tcPr>
          <w:p w14:paraId="5F3F1B0E"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2FDE1D9" w14:textId="77777777" w:rsidR="00000000" w:rsidRDefault="00405D16">
            <w:pPr>
              <w:spacing w:after="100"/>
              <w:jc w:val="center"/>
              <w:rPr>
                <w:rFonts w:eastAsia="Times New Roman"/>
              </w:rPr>
            </w:pPr>
            <w:r>
              <w:rPr>
                <w:rFonts w:eastAsia="Times New Roman"/>
                <w:b/>
                <w:bCs/>
                <w:color w:val="000000"/>
                <w:sz w:val="13"/>
                <w:szCs w:val="13"/>
              </w:rPr>
              <w:t>Total Credit Card</w:t>
            </w:r>
          </w:p>
        </w:tc>
        <w:tc>
          <w:tcPr>
            <w:tcW w:w="0" w:type="auto"/>
            <w:gridSpan w:val="3"/>
            <w:tcMar>
              <w:top w:w="0" w:type="dxa"/>
              <w:left w:w="20" w:type="dxa"/>
              <w:bottom w:w="0" w:type="dxa"/>
              <w:right w:w="20" w:type="dxa"/>
            </w:tcMar>
            <w:vAlign w:val="center"/>
            <w:hideMark/>
          </w:tcPr>
          <w:p w14:paraId="30CDFBAE"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93CFE60" w14:textId="77777777" w:rsidR="00000000" w:rsidRDefault="00405D16">
            <w:pPr>
              <w:spacing w:after="100"/>
              <w:jc w:val="center"/>
              <w:rPr>
                <w:rFonts w:eastAsia="Times New Roman"/>
              </w:rPr>
            </w:pPr>
            <w:r>
              <w:rPr>
                <w:rFonts w:eastAsia="Times New Roman"/>
                <w:b/>
                <w:bCs/>
                <w:color w:val="000000"/>
                <w:sz w:val="13"/>
                <w:szCs w:val="13"/>
              </w:rPr>
              <w:t>Auto</w:t>
            </w:r>
          </w:p>
        </w:tc>
        <w:tc>
          <w:tcPr>
            <w:tcW w:w="0" w:type="auto"/>
            <w:gridSpan w:val="3"/>
            <w:tcBorders>
              <w:top w:val="single" w:sz="8" w:space="0" w:color="000000"/>
            </w:tcBorders>
            <w:tcMar>
              <w:top w:w="0" w:type="dxa"/>
              <w:left w:w="20" w:type="dxa"/>
              <w:bottom w:w="0" w:type="dxa"/>
              <w:right w:w="20" w:type="dxa"/>
            </w:tcMar>
            <w:vAlign w:val="center"/>
            <w:hideMark/>
          </w:tcPr>
          <w:p w14:paraId="63F7A39B" w14:textId="77777777" w:rsidR="00000000" w:rsidRDefault="00405D16">
            <w:pPr>
              <w:spacing w:after="100"/>
              <w:jc w:val="center"/>
              <w:rPr>
                <w:rFonts w:eastAsia="Times New Roman"/>
              </w:rPr>
            </w:pPr>
          </w:p>
        </w:tc>
        <w:tc>
          <w:tcPr>
            <w:tcW w:w="0" w:type="auto"/>
            <w:gridSpan w:val="5"/>
            <w:tcBorders>
              <w:top w:val="single" w:sz="8" w:space="0" w:color="000000"/>
            </w:tcBorders>
            <w:tcMar>
              <w:top w:w="30" w:type="dxa"/>
              <w:left w:w="20" w:type="dxa"/>
              <w:bottom w:w="30" w:type="dxa"/>
              <w:right w:w="20" w:type="dxa"/>
            </w:tcMar>
            <w:vAlign w:val="bottom"/>
            <w:hideMark/>
          </w:tcPr>
          <w:p w14:paraId="2E4C5F61" w14:textId="77777777" w:rsidR="00000000" w:rsidRDefault="00405D16">
            <w:pPr>
              <w:spacing w:after="100"/>
              <w:jc w:val="center"/>
              <w:rPr>
                <w:rFonts w:eastAsia="Times New Roman"/>
              </w:rPr>
            </w:pPr>
            <w:r>
              <w:rPr>
                <w:rFonts w:eastAsia="Times New Roman"/>
                <w:b/>
                <w:bCs/>
                <w:color w:val="000000"/>
                <w:sz w:val="13"/>
                <w:szCs w:val="13"/>
              </w:rPr>
              <w:t>Retail Banking</w:t>
            </w:r>
          </w:p>
        </w:tc>
        <w:tc>
          <w:tcPr>
            <w:tcW w:w="0" w:type="auto"/>
            <w:gridSpan w:val="3"/>
            <w:tcBorders>
              <w:top w:val="single" w:sz="8" w:space="0" w:color="000000"/>
            </w:tcBorders>
            <w:tcMar>
              <w:top w:w="0" w:type="dxa"/>
              <w:left w:w="20" w:type="dxa"/>
              <w:bottom w:w="0" w:type="dxa"/>
              <w:right w:w="20" w:type="dxa"/>
            </w:tcMar>
            <w:vAlign w:val="center"/>
            <w:hideMark/>
          </w:tcPr>
          <w:p w14:paraId="42F3DF8F" w14:textId="77777777" w:rsidR="00000000" w:rsidRDefault="00405D16">
            <w:pPr>
              <w:spacing w:after="100"/>
              <w:jc w:val="center"/>
              <w:rPr>
                <w:rFonts w:eastAsia="Times New Roman"/>
              </w:rPr>
            </w:pPr>
          </w:p>
        </w:tc>
        <w:tc>
          <w:tcPr>
            <w:tcW w:w="0" w:type="auto"/>
            <w:gridSpan w:val="4"/>
            <w:tcBorders>
              <w:top w:val="single" w:sz="8" w:space="0" w:color="000000"/>
            </w:tcBorders>
            <w:tcMar>
              <w:top w:w="30" w:type="dxa"/>
              <w:left w:w="20" w:type="dxa"/>
              <w:bottom w:w="30" w:type="dxa"/>
              <w:right w:w="20" w:type="dxa"/>
            </w:tcMar>
            <w:vAlign w:val="bottom"/>
            <w:hideMark/>
          </w:tcPr>
          <w:p w14:paraId="20D44A31" w14:textId="77777777" w:rsidR="00000000" w:rsidRDefault="00405D16">
            <w:pPr>
              <w:spacing w:after="100"/>
              <w:jc w:val="center"/>
              <w:rPr>
                <w:rFonts w:eastAsia="Times New Roman"/>
              </w:rPr>
            </w:pPr>
            <w:r>
              <w:rPr>
                <w:rFonts w:eastAsia="Times New Roman"/>
                <w:b/>
                <w:bCs/>
                <w:color w:val="000000"/>
                <w:sz w:val="13"/>
                <w:szCs w:val="13"/>
              </w:rPr>
              <w:t>Total Consumer Banking</w:t>
            </w:r>
          </w:p>
        </w:tc>
        <w:tc>
          <w:tcPr>
            <w:tcW w:w="0" w:type="auto"/>
            <w:gridSpan w:val="3"/>
            <w:tcMar>
              <w:top w:w="0" w:type="dxa"/>
              <w:left w:w="20" w:type="dxa"/>
              <w:bottom w:w="0" w:type="dxa"/>
              <w:right w:w="20" w:type="dxa"/>
            </w:tcMar>
            <w:vAlign w:val="center"/>
            <w:hideMark/>
          </w:tcPr>
          <w:p w14:paraId="0B2EFA18"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43D185A" w14:textId="77777777" w:rsidR="00000000" w:rsidRDefault="00405D16">
            <w:pPr>
              <w:spacing w:after="100"/>
              <w:jc w:val="center"/>
              <w:rPr>
                <w:rFonts w:eastAsia="Times New Roman"/>
              </w:rPr>
            </w:pPr>
            <w:r>
              <w:rPr>
                <w:rFonts w:eastAsia="Times New Roman"/>
                <w:b/>
                <w:bCs/>
                <w:color w:val="000000"/>
                <w:sz w:val="13"/>
                <w:szCs w:val="13"/>
              </w:rPr>
              <w:t>Commercial Banking</w:t>
            </w:r>
          </w:p>
        </w:tc>
        <w:tc>
          <w:tcPr>
            <w:tcW w:w="0" w:type="auto"/>
            <w:gridSpan w:val="3"/>
            <w:tcMar>
              <w:top w:w="0" w:type="dxa"/>
              <w:left w:w="20" w:type="dxa"/>
              <w:bottom w:w="0" w:type="dxa"/>
              <w:right w:w="20" w:type="dxa"/>
            </w:tcMar>
            <w:vAlign w:val="center"/>
            <w:hideMark/>
          </w:tcPr>
          <w:p w14:paraId="56DBFFEC"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0F5E8A9" w14:textId="77777777" w:rsidR="00000000" w:rsidRDefault="00405D16">
            <w:pPr>
              <w:spacing w:after="100"/>
              <w:jc w:val="center"/>
              <w:rPr>
                <w:rFonts w:eastAsia="Times New Roman"/>
              </w:rPr>
            </w:pPr>
            <w:r>
              <w:rPr>
                <w:rFonts w:eastAsia="Times New Roman"/>
                <w:b/>
                <w:bCs/>
                <w:color w:val="000000"/>
                <w:sz w:val="13"/>
                <w:szCs w:val="13"/>
              </w:rPr>
              <w:t>Total</w:t>
            </w:r>
          </w:p>
        </w:tc>
      </w:tr>
      <w:tr w:rsidR="00000000" w14:paraId="654FE696" w14:textId="77777777">
        <w:trPr>
          <w:gridAfter w:val="2"/>
          <w:divId w:val="34623750"/>
        </w:trPr>
        <w:tc>
          <w:tcPr>
            <w:tcW w:w="0" w:type="auto"/>
            <w:gridSpan w:val="4"/>
            <w:tcBorders>
              <w:top w:val="single" w:sz="8" w:space="0" w:color="000000"/>
            </w:tcBorders>
            <w:shd w:val="clear" w:color="auto" w:fill="CCEEFF"/>
            <w:tcMar>
              <w:top w:w="30" w:type="dxa"/>
              <w:left w:w="20" w:type="dxa"/>
              <w:bottom w:w="30" w:type="dxa"/>
              <w:right w:w="20" w:type="dxa"/>
            </w:tcMar>
            <w:vAlign w:val="bottom"/>
            <w:hideMark/>
          </w:tcPr>
          <w:p w14:paraId="579E74BC" w14:textId="77777777" w:rsidR="00000000" w:rsidRDefault="00405D16">
            <w:pPr>
              <w:spacing w:after="100"/>
              <w:rPr>
                <w:rFonts w:eastAsia="Times New Roman"/>
              </w:rPr>
            </w:pPr>
            <w:r>
              <w:rPr>
                <w:rFonts w:eastAsia="Times New Roman"/>
                <w:b/>
                <w:bCs/>
                <w:color w:val="000000"/>
                <w:sz w:val="16"/>
                <w:szCs w:val="16"/>
              </w:rPr>
              <w:t>Allowance for credit losses:</w:t>
            </w:r>
          </w:p>
        </w:tc>
        <w:tc>
          <w:tcPr>
            <w:tcW w:w="0" w:type="auto"/>
            <w:gridSpan w:val="3"/>
            <w:shd w:val="clear" w:color="auto" w:fill="CCEEFF"/>
            <w:tcMar>
              <w:top w:w="0" w:type="dxa"/>
              <w:left w:w="20" w:type="dxa"/>
              <w:bottom w:w="0" w:type="dxa"/>
              <w:right w:w="20" w:type="dxa"/>
            </w:tcMar>
            <w:vAlign w:val="center"/>
            <w:hideMark/>
          </w:tcPr>
          <w:p w14:paraId="74F13E97" w14:textId="77777777" w:rsidR="00000000" w:rsidRDefault="00405D16">
            <w:pPr>
              <w:spacing w:after="100"/>
              <w:rPr>
                <w:rFonts w:eastAsia="Times New Roman"/>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14:paraId="65FB0F14"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6B7E6594"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B0BCD8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D7E00C"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ABB14E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1D0AD9"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33624A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285A27" w14:textId="77777777" w:rsidR="00000000" w:rsidRDefault="00405D16">
            <w:pPr>
              <w:spacing w:after="100"/>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14:paraId="2A177B5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E26A2D" w14:textId="77777777" w:rsidR="00000000" w:rsidRDefault="00405D16">
            <w:pPr>
              <w:spacing w:after="100"/>
              <w:rPr>
                <w:rFonts w:eastAsia="Times New Roman"/>
                <w:sz w:val="20"/>
                <w:szCs w:val="20"/>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14:paraId="4610307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1F2EB2"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54F661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0C4AE8"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CA29C38" w14:textId="77777777" w:rsidR="00000000" w:rsidRDefault="00405D16">
            <w:pPr>
              <w:spacing w:after="100"/>
              <w:rPr>
                <w:rFonts w:eastAsia="Times New Roman"/>
                <w:sz w:val="20"/>
                <w:szCs w:val="20"/>
              </w:rPr>
            </w:pPr>
          </w:p>
        </w:tc>
      </w:tr>
      <w:tr w:rsidR="00405D16" w14:paraId="31608012" w14:textId="77777777">
        <w:trPr>
          <w:gridAfter w:val="2"/>
          <w:divId w:val="34623750"/>
        </w:trPr>
        <w:tc>
          <w:tcPr>
            <w:tcW w:w="0" w:type="auto"/>
            <w:gridSpan w:val="4"/>
            <w:shd w:val="clear" w:color="auto" w:fill="FFFFFF"/>
            <w:tcMar>
              <w:top w:w="30" w:type="dxa"/>
              <w:left w:w="20" w:type="dxa"/>
              <w:bottom w:w="30" w:type="dxa"/>
              <w:right w:w="20" w:type="dxa"/>
            </w:tcMar>
            <w:vAlign w:val="bottom"/>
            <w:hideMark/>
          </w:tcPr>
          <w:p w14:paraId="454DE4F4" w14:textId="77777777" w:rsidR="00000000" w:rsidRDefault="00405D16">
            <w:pPr>
              <w:spacing w:after="100"/>
              <w:rPr>
                <w:rFonts w:eastAsia="Times New Roman"/>
              </w:rPr>
            </w:pPr>
            <w:r>
              <w:rPr>
                <w:rFonts w:eastAsia="Times New Roman"/>
                <w:color w:val="000000"/>
                <w:sz w:val="16"/>
                <w:szCs w:val="16"/>
              </w:rPr>
              <w:t>Balance as of June 30, 2020</w:t>
            </w:r>
          </w:p>
        </w:tc>
        <w:tc>
          <w:tcPr>
            <w:tcW w:w="0" w:type="auto"/>
            <w:gridSpan w:val="3"/>
            <w:shd w:val="clear" w:color="auto" w:fill="FFFFFF"/>
            <w:tcMar>
              <w:top w:w="0" w:type="dxa"/>
              <w:left w:w="20" w:type="dxa"/>
              <w:bottom w:w="0" w:type="dxa"/>
              <w:right w:w="20" w:type="dxa"/>
            </w:tcMar>
            <w:vAlign w:val="center"/>
            <w:hideMark/>
          </w:tcPr>
          <w:p w14:paraId="58554406"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5A1F7CC9" w14:textId="77777777" w:rsidR="00000000" w:rsidRDefault="00405D16">
            <w:pPr>
              <w:spacing w:after="100"/>
              <w:rPr>
                <w:rFonts w:eastAsia="Times New Roman"/>
              </w:rPr>
            </w:pPr>
            <w:r>
              <w:rPr>
                <w:rFonts w:eastAsia="Times New Roman"/>
                <w:color w:val="000000"/>
                <w:sz w:val="16"/>
                <w:szCs w:val="16"/>
              </w:rPr>
              <w:t>$</w:t>
            </w:r>
          </w:p>
        </w:tc>
        <w:tc>
          <w:tcPr>
            <w:tcW w:w="0" w:type="auto"/>
            <w:gridSpan w:val="3"/>
            <w:shd w:val="clear" w:color="auto" w:fill="FFFFFF"/>
            <w:tcMar>
              <w:top w:w="30" w:type="dxa"/>
              <w:left w:w="0" w:type="dxa"/>
              <w:bottom w:w="30" w:type="dxa"/>
              <w:right w:w="0" w:type="dxa"/>
            </w:tcMar>
            <w:vAlign w:val="center"/>
            <w:hideMark/>
          </w:tcPr>
          <w:p w14:paraId="0503065C" w14:textId="77777777" w:rsidR="00000000" w:rsidRDefault="00405D16">
            <w:pPr>
              <w:spacing w:after="100"/>
              <w:jc w:val="right"/>
              <w:rPr>
                <w:rFonts w:eastAsia="Times New Roman"/>
              </w:rPr>
            </w:pPr>
            <w:r>
              <w:rPr>
                <w:rFonts w:eastAsia="Times New Roman"/>
                <w:color w:val="000000"/>
                <w:sz w:val="16"/>
                <w:szCs w:val="16"/>
              </w:rPr>
              <w:t>11,569 </w:t>
            </w:r>
          </w:p>
        </w:tc>
        <w:tc>
          <w:tcPr>
            <w:tcW w:w="0" w:type="auto"/>
            <w:shd w:val="clear" w:color="auto" w:fill="FFFFFF"/>
            <w:tcMar>
              <w:top w:w="30" w:type="dxa"/>
              <w:left w:w="0" w:type="dxa"/>
              <w:bottom w:w="30" w:type="dxa"/>
              <w:right w:w="20" w:type="dxa"/>
            </w:tcMar>
            <w:vAlign w:val="center"/>
            <w:hideMark/>
          </w:tcPr>
          <w:p w14:paraId="6017BB01"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096E0F6D"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E5277F3" w14:textId="77777777" w:rsidR="00000000" w:rsidRDefault="00405D1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1CD09DB1" w14:textId="77777777" w:rsidR="00000000" w:rsidRDefault="00405D16">
            <w:pPr>
              <w:spacing w:after="100"/>
              <w:jc w:val="right"/>
              <w:rPr>
                <w:rFonts w:eastAsia="Times New Roman"/>
              </w:rPr>
            </w:pPr>
            <w:r>
              <w:rPr>
                <w:rFonts w:eastAsia="Times New Roman"/>
                <w:color w:val="000000"/>
                <w:sz w:val="16"/>
                <w:szCs w:val="16"/>
              </w:rPr>
              <w:t>522 </w:t>
            </w:r>
          </w:p>
        </w:tc>
        <w:tc>
          <w:tcPr>
            <w:tcW w:w="0" w:type="auto"/>
            <w:shd w:val="clear" w:color="auto" w:fill="FFFFFF"/>
            <w:tcMar>
              <w:top w:w="30" w:type="dxa"/>
              <w:left w:w="0" w:type="dxa"/>
              <w:bottom w:w="30" w:type="dxa"/>
              <w:right w:w="20" w:type="dxa"/>
            </w:tcMar>
            <w:vAlign w:val="center"/>
            <w:hideMark/>
          </w:tcPr>
          <w:p w14:paraId="0A3E3EC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FC44D3"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8E8F9EA" w14:textId="77777777" w:rsidR="00000000" w:rsidRDefault="00405D1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5CC866BD" w14:textId="77777777" w:rsidR="00000000" w:rsidRDefault="00405D16">
            <w:pPr>
              <w:spacing w:after="100"/>
              <w:jc w:val="right"/>
              <w:rPr>
                <w:rFonts w:eastAsia="Times New Roman"/>
              </w:rPr>
            </w:pPr>
            <w:r>
              <w:rPr>
                <w:rFonts w:eastAsia="Times New Roman"/>
                <w:color w:val="000000"/>
                <w:sz w:val="16"/>
                <w:szCs w:val="16"/>
              </w:rPr>
              <w:t>12,091 </w:t>
            </w:r>
          </w:p>
        </w:tc>
        <w:tc>
          <w:tcPr>
            <w:tcW w:w="0" w:type="auto"/>
            <w:shd w:val="clear" w:color="auto" w:fill="FFFFFF"/>
            <w:tcMar>
              <w:top w:w="30" w:type="dxa"/>
              <w:left w:w="0" w:type="dxa"/>
              <w:bottom w:w="30" w:type="dxa"/>
              <w:right w:w="20" w:type="dxa"/>
            </w:tcMar>
            <w:vAlign w:val="center"/>
            <w:hideMark/>
          </w:tcPr>
          <w:p w14:paraId="0F1A4D9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201131"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C40757F" w14:textId="77777777" w:rsidR="00000000" w:rsidRDefault="00405D1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1FE843CF" w14:textId="77777777" w:rsidR="00000000" w:rsidRDefault="00405D16">
            <w:pPr>
              <w:spacing w:after="100"/>
              <w:jc w:val="right"/>
              <w:rPr>
                <w:rFonts w:eastAsia="Times New Roman"/>
              </w:rPr>
            </w:pPr>
            <w:r>
              <w:rPr>
                <w:rFonts w:eastAsia="Times New Roman"/>
                <w:color w:val="000000"/>
                <w:sz w:val="16"/>
                <w:szCs w:val="16"/>
              </w:rPr>
              <w:t>2,726 </w:t>
            </w:r>
          </w:p>
        </w:tc>
        <w:tc>
          <w:tcPr>
            <w:tcW w:w="0" w:type="auto"/>
            <w:shd w:val="clear" w:color="auto" w:fill="FFFFFF"/>
            <w:tcMar>
              <w:top w:w="30" w:type="dxa"/>
              <w:left w:w="0" w:type="dxa"/>
              <w:bottom w:w="30" w:type="dxa"/>
              <w:right w:w="20" w:type="dxa"/>
            </w:tcMar>
            <w:vAlign w:val="center"/>
            <w:hideMark/>
          </w:tcPr>
          <w:p w14:paraId="2C7E184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76C2A5"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3162621" w14:textId="77777777" w:rsidR="00000000" w:rsidRDefault="00405D16">
            <w:pPr>
              <w:spacing w:after="100"/>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0" w:type="dxa"/>
            </w:tcMar>
            <w:vAlign w:val="center"/>
            <w:hideMark/>
          </w:tcPr>
          <w:p w14:paraId="33C1B94C" w14:textId="77777777" w:rsidR="00000000" w:rsidRDefault="00405D16">
            <w:pPr>
              <w:spacing w:after="100"/>
              <w:jc w:val="right"/>
              <w:rPr>
                <w:rFonts w:eastAsia="Times New Roman"/>
              </w:rPr>
            </w:pPr>
            <w:r>
              <w:rPr>
                <w:rFonts w:eastAsia="Times New Roman"/>
                <w:color w:val="000000"/>
                <w:sz w:val="16"/>
                <w:szCs w:val="16"/>
              </w:rPr>
              <w:t>112 </w:t>
            </w:r>
          </w:p>
        </w:tc>
        <w:tc>
          <w:tcPr>
            <w:tcW w:w="0" w:type="auto"/>
            <w:gridSpan w:val="2"/>
            <w:shd w:val="clear" w:color="auto" w:fill="FFFFFF"/>
            <w:tcMar>
              <w:top w:w="30" w:type="dxa"/>
              <w:left w:w="0" w:type="dxa"/>
              <w:bottom w:w="30" w:type="dxa"/>
              <w:right w:w="20" w:type="dxa"/>
            </w:tcMar>
            <w:vAlign w:val="center"/>
            <w:hideMark/>
          </w:tcPr>
          <w:p w14:paraId="29EE757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1C724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A58DBCC" w14:textId="77777777" w:rsidR="00000000" w:rsidRDefault="00405D1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2DF4D7F5" w14:textId="77777777" w:rsidR="00000000" w:rsidRDefault="00405D16">
            <w:pPr>
              <w:spacing w:after="100"/>
              <w:jc w:val="right"/>
              <w:rPr>
                <w:rFonts w:eastAsia="Times New Roman"/>
              </w:rPr>
            </w:pPr>
            <w:r>
              <w:rPr>
                <w:rFonts w:eastAsia="Times New Roman"/>
                <w:color w:val="000000"/>
                <w:sz w:val="16"/>
                <w:szCs w:val="16"/>
              </w:rPr>
              <w:t>2,838 </w:t>
            </w:r>
          </w:p>
        </w:tc>
        <w:tc>
          <w:tcPr>
            <w:tcW w:w="0" w:type="auto"/>
            <w:shd w:val="clear" w:color="auto" w:fill="FFFFFF"/>
            <w:tcMar>
              <w:top w:w="30" w:type="dxa"/>
              <w:left w:w="0" w:type="dxa"/>
              <w:bottom w:w="30" w:type="dxa"/>
              <w:right w:w="20" w:type="dxa"/>
            </w:tcMar>
            <w:vAlign w:val="center"/>
            <w:hideMark/>
          </w:tcPr>
          <w:p w14:paraId="250DAA5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4CD1BB"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616ABA7" w14:textId="77777777" w:rsidR="00000000" w:rsidRDefault="00405D1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3EC412C4" w14:textId="77777777" w:rsidR="00000000" w:rsidRDefault="00405D16">
            <w:pPr>
              <w:spacing w:after="100"/>
              <w:jc w:val="right"/>
              <w:rPr>
                <w:rFonts w:eastAsia="Times New Roman"/>
              </w:rPr>
            </w:pPr>
            <w:r>
              <w:rPr>
                <w:rFonts w:eastAsia="Times New Roman"/>
                <w:color w:val="000000"/>
                <w:sz w:val="16"/>
                <w:szCs w:val="16"/>
              </w:rPr>
              <w:t>1,903 </w:t>
            </w:r>
          </w:p>
        </w:tc>
        <w:tc>
          <w:tcPr>
            <w:tcW w:w="0" w:type="auto"/>
            <w:shd w:val="clear" w:color="auto" w:fill="FFFFFF"/>
            <w:tcMar>
              <w:top w:w="30" w:type="dxa"/>
              <w:left w:w="0" w:type="dxa"/>
              <w:bottom w:w="30" w:type="dxa"/>
              <w:right w:w="20" w:type="dxa"/>
            </w:tcMar>
            <w:vAlign w:val="center"/>
            <w:hideMark/>
          </w:tcPr>
          <w:p w14:paraId="0310AEA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0971D9"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F614D41" w14:textId="77777777" w:rsidR="00000000" w:rsidRDefault="00405D1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42DD82AA" w14:textId="77777777" w:rsidR="00000000" w:rsidRDefault="00405D16">
            <w:pPr>
              <w:spacing w:after="100"/>
              <w:jc w:val="right"/>
              <w:rPr>
                <w:rFonts w:eastAsia="Times New Roman"/>
              </w:rPr>
            </w:pPr>
            <w:r>
              <w:rPr>
                <w:rFonts w:eastAsia="Times New Roman"/>
                <w:color w:val="000000"/>
                <w:sz w:val="16"/>
                <w:szCs w:val="16"/>
              </w:rPr>
              <w:t>16,832 </w:t>
            </w:r>
          </w:p>
        </w:tc>
        <w:tc>
          <w:tcPr>
            <w:tcW w:w="0" w:type="auto"/>
            <w:shd w:val="clear" w:color="auto" w:fill="FFFFFF"/>
            <w:tcMar>
              <w:top w:w="30" w:type="dxa"/>
              <w:left w:w="0" w:type="dxa"/>
              <w:bottom w:w="30" w:type="dxa"/>
              <w:right w:w="20" w:type="dxa"/>
            </w:tcMar>
            <w:vAlign w:val="center"/>
            <w:hideMark/>
          </w:tcPr>
          <w:p w14:paraId="46EA9B9C" w14:textId="77777777" w:rsidR="00000000" w:rsidRDefault="00405D16">
            <w:pPr>
              <w:spacing w:after="100"/>
              <w:jc w:val="right"/>
              <w:rPr>
                <w:rFonts w:eastAsia="Times New Roman"/>
              </w:rPr>
            </w:pPr>
          </w:p>
        </w:tc>
      </w:tr>
      <w:tr w:rsidR="00000000" w14:paraId="0B37562B" w14:textId="77777777">
        <w:trPr>
          <w:gridAfter w:val="2"/>
          <w:divId w:val="34623750"/>
        </w:trPr>
        <w:tc>
          <w:tcPr>
            <w:tcW w:w="0" w:type="auto"/>
            <w:gridSpan w:val="4"/>
            <w:shd w:val="clear" w:color="auto" w:fill="CCEEFF"/>
            <w:tcMar>
              <w:top w:w="30" w:type="dxa"/>
              <w:left w:w="200" w:type="dxa"/>
              <w:bottom w:w="30" w:type="dxa"/>
              <w:right w:w="20" w:type="dxa"/>
            </w:tcMar>
            <w:vAlign w:val="bottom"/>
            <w:hideMark/>
          </w:tcPr>
          <w:p w14:paraId="5E1E088E" w14:textId="77777777" w:rsidR="00000000" w:rsidRDefault="00405D16">
            <w:pPr>
              <w:spacing w:after="100"/>
              <w:rPr>
                <w:rFonts w:eastAsia="Times New Roman"/>
              </w:rPr>
            </w:pPr>
            <w:r>
              <w:rPr>
                <w:rFonts w:eastAsia="Times New Roman"/>
                <w:color w:val="000000"/>
                <w:sz w:val="16"/>
                <w:szCs w:val="16"/>
              </w:rPr>
              <w:t>Charge-offs</w:t>
            </w:r>
          </w:p>
        </w:tc>
        <w:tc>
          <w:tcPr>
            <w:tcW w:w="0" w:type="auto"/>
            <w:gridSpan w:val="3"/>
            <w:shd w:val="clear" w:color="auto" w:fill="CCEEFF"/>
            <w:tcMar>
              <w:top w:w="0" w:type="dxa"/>
              <w:left w:w="20" w:type="dxa"/>
              <w:bottom w:w="0" w:type="dxa"/>
              <w:right w:w="20" w:type="dxa"/>
            </w:tcMar>
            <w:vAlign w:val="center"/>
            <w:hideMark/>
          </w:tcPr>
          <w:p w14:paraId="413B1D82" w14:textId="77777777" w:rsidR="00000000" w:rsidRDefault="00405D16">
            <w:pPr>
              <w:spacing w:after="100"/>
              <w:rPr>
                <w:rFonts w:eastAsia="Times New Roman"/>
              </w:rPr>
            </w:pPr>
          </w:p>
        </w:tc>
        <w:tc>
          <w:tcPr>
            <w:tcW w:w="0" w:type="auto"/>
            <w:gridSpan w:val="4"/>
            <w:shd w:val="clear" w:color="auto" w:fill="CCEEFF"/>
            <w:tcMar>
              <w:top w:w="30" w:type="dxa"/>
              <w:left w:w="20" w:type="dxa"/>
              <w:bottom w:w="30" w:type="dxa"/>
              <w:right w:w="0" w:type="dxa"/>
            </w:tcMar>
            <w:vAlign w:val="center"/>
            <w:hideMark/>
          </w:tcPr>
          <w:p w14:paraId="13E7C99D" w14:textId="77777777" w:rsidR="00000000" w:rsidRDefault="00405D16">
            <w:pPr>
              <w:spacing w:after="100"/>
              <w:jc w:val="right"/>
              <w:rPr>
                <w:rFonts w:eastAsia="Times New Roman"/>
              </w:rPr>
            </w:pPr>
            <w:r>
              <w:rPr>
                <w:rFonts w:eastAsia="Times New Roman"/>
                <w:color w:val="000000"/>
                <w:sz w:val="16"/>
                <w:szCs w:val="16"/>
              </w:rPr>
              <w:t>(1,198)</w:t>
            </w:r>
          </w:p>
        </w:tc>
        <w:tc>
          <w:tcPr>
            <w:tcW w:w="0" w:type="auto"/>
            <w:shd w:val="clear" w:color="auto" w:fill="CCEEFF"/>
            <w:tcMar>
              <w:top w:w="30" w:type="dxa"/>
              <w:left w:w="0" w:type="dxa"/>
              <w:bottom w:w="30" w:type="dxa"/>
              <w:right w:w="20" w:type="dxa"/>
            </w:tcMar>
            <w:vAlign w:val="center"/>
            <w:hideMark/>
          </w:tcPr>
          <w:p w14:paraId="3E2E4727"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106C891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ED35294" w14:textId="77777777" w:rsidR="00000000" w:rsidRDefault="00405D16">
            <w:pPr>
              <w:spacing w:after="100"/>
              <w:jc w:val="right"/>
              <w:rPr>
                <w:rFonts w:eastAsia="Times New Roman"/>
              </w:rPr>
            </w:pPr>
            <w:r>
              <w:rPr>
                <w:rFonts w:eastAsia="Times New Roman"/>
                <w:color w:val="000000"/>
                <w:sz w:val="16"/>
                <w:szCs w:val="16"/>
              </w:rPr>
              <w:t>(98)</w:t>
            </w:r>
          </w:p>
        </w:tc>
        <w:tc>
          <w:tcPr>
            <w:tcW w:w="0" w:type="auto"/>
            <w:shd w:val="clear" w:color="auto" w:fill="CCEEFF"/>
            <w:tcMar>
              <w:top w:w="30" w:type="dxa"/>
              <w:left w:w="0" w:type="dxa"/>
              <w:bottom w:w="30" w:type="dxa"/>
              <w:right w:w="20" w:type="dxa"/>
            </w:tcMar>
            <w:vAlign w:val="center"/>
            <w:hideMark/>
          </w:tcPr>
          <w:p w14:paraId="7C13C5D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99AD4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B999DD1" w14:textId="77777777" w:rsidR="00000000" w:rsidRDefault="00405D16">
            <w:pPr>
              <w:spacing w:after="100"/>
              <w:jc w:val="right"/>
              <w:rPr>
                <w:rFonts w:eastAsia="Times New Roman"/>
              </w:rPr>
            </w:pPr>
            <w:r>
              <w:rPr>
                <w:rFonts w:eastAsia="Times New Roman"/>
                <w:color w:val="000000"/>
                <w:sz w:val="16"/>
                <w:szCs w:val="16"/>
              </w:rPr>
              <w:t>(1,296)</w:t>
            </w:r>
          </w:p>
        </w:tc>
        <w:tc>
          <w:tcPr>
            <w:tcW w:w="0" w:type="auto"/>
            <w:shd w:val="clear" w:color="auto" w:fill="CCEEFF"/>
            <w:tcMar>
              <w:top w:w="30" w:type="dxa"/>
              <w:left w:w="0" w:type="dxa"/>
              <w:bottom w:w="30" w:type="dxa"/>
              <w:right w:w="20" w:type="dxa"/>
            </w:tcMar>
            <w:vAlign w:val="center"/>
            <w:hideMark/>
          </w:tcPr>
          <w:p w14:paraId="3F481BA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5A203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8921D65" w14:textId="77777777" w:rsidR="00000000" w:rsidRDefault="00405D16">
            <w:pPr>
              <w:spacing w:after="100"/>
              <w:jc w:val="right"/>
              <w:rPr>
                <w:rFonts w:eastAsia="Times New Roman"/>
              </w:rPr>
            </w:pPr>
            <w:r>
              <w:rPr>
                <w:rFonts w:eastAsia="Times New Roman"/>
                <w:color w:val="000000"/>
                <w:sz w:val="16"/>
                <w:szCs w:val="16"/>
              </w:rPr>
              <w:t>(280)</w:t>
            </w:r>
          </w:p>
        </w:tc>
        <w:tc>
          <w:tcPr>
            <w:tcW w:w="0" w:type="auto"/>
            <w:shd w:val="clear" w:color="auto" w:fill="CCEEFF"/>
            <w:tcMar>
              <w:top w:w="30" w:type="dxa"/>
              <w:left w:w="0" w:type="dxa"/>
              <w:bottom w:w="30" w:type="dxa"/>
              <w:right w:w="20" w:type="dxa"/>
            </w:tcMar>
            <w:vAlign w:val="center"/>
            <w:hideMark/>
          </w:tcPr>
          <w:p w14:paraId="587E6F8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886A1B"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14:paraId="5D5B30CC" w14:textId="77777777" w:rsidR="00000000" w:rsidRDefault="00405D16">
            <w:pPr>
              <w:spacing w:after="100"/>
              <w:jc w:val="right"/>
              <w:rPr>
                <w:rFonts w:eastAsia="Times New Roman"/>
              </w:rPr>
            </w:pPr>
            <w:r>
              <w:rPr>
                <w:rFonts w:eastAsia="Times New Roman"/>
                <w:color w:val="000000"/>
                <w:sz w:val="16"/>
                <w:szCs w:val="16"/>
              </w:rPr>
              <w:t>(15)</w:t>
            </w:r>
          </w:p>
        </w:tc>
        <w:tc>
          <w:tcPr>
            <w:tcW w:w="0" w:type="auto"/>
            <w:gridSpan w:val="2"/>
            <w:shd w:val="clear" w:color="auto" w:fill="CCEEFF"/>
            <w:tcMar>
              <w:top w:w="30" w:type="dxa"/>
              <w:left w:w="0" w:type="dxa"/>
              <w:bottom w:w="30" w:type="dxa"/>
              <w:right w:w="20" w:type="dxa"/>
            </w:tcMar>
            <w:vAlign w:val="center"/>
            <w:hideMark/>
          </w:tcPr>
          <w:p w14:paraId="0E6BFBA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A1B43E"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14:paraId="598C9D6B" w14:textId="77777777" w:rsidR="00000000" w:rsidRDefault="00405D16">
            <w:pPr>
              <w:spacing w:after="100"/>
              <w:jc w:val="right"/>
              <w:rPr>
                <w:rFonts w:eastAsia="Times New Roman"/>
              </w:rPr>
            </w:pPr>
            <w:r>
              <w:rPr>
                <w:rFonts w:eastAsia="Times New Roman"/>
                <w:color w:val="000000"/>
                <w:sz w:val="16"/>
                <w:szCs w:val="16"/>
              </w:rPr>
              <w:t>(295)</w:t>
            </w:r>
          </w:p>
        </w:tc>
        <w:tc>
          <w:tcPr>
            <w:tcW w:w="0" w:type="auto"/>
            <w:shd w:val="clear" w:color="auto" w:fill="CCEEFF"/>
            <w:tcMar>
              <w:top w:w="30" w:type="dxa"/>
              <w:left w:w="0" w:type="dxa"/>
              <w:bottom w:w="30" w:type="dxa"/>
              <w:right w:w="20" w:type="dxa"/>
            </w:tcMar>
            <w:vAlign w:val="center"/>
            <w:hideMark/>
          </w:tcPr>
          <w:p w14:paraId="027FE51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85822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FDF9666" w14:textId="77777777" w:rsidR="00000000" w:rsidRDefault="00405D16">
            <w:pPr>
              <w:spacing w:after="100"/>
              <w:jc w:val="right"/>
              <w:rPr>
                <w:rFonts w:eastAsia="Times New Roman"/>
              </w:rPr>
            </w:pPr>
            <w:r>
              <w:rPr>
                <w:rFonts w:eastAsia="Times New Roman"/>
                <w:color w:val="000000"/>
                <w:sz w:val="16"/>
                <w:szCs w:val="16"/>
              </w:rPr>
              <w:t>(88)</w:t>
            </w:r>
          </w:p>
        </w:tc>
        <w:tc>
          <w:tcPr>
            <w:tcW w:w="0" w:type="auto"/>
            <w:shd w:val="clear" w:color="auto" w:fill="CCEEFF"/>
            <w:tcMar>
              <w:top w:w="30" w:type="dxa"/>
              <w:left w:w="0" w:type="dxa"/>
              <w:bottom w:w="30" w:type="dxa"/>
              <w:right w:w="20" w:type="dxa"/>
            </w:tcMar>
            <w:vAlign w:val="center"/>
            <w:hideMark/>
          </w:tcPr>
          <w:p w14:paraId="7F998B5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82681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5E0D150" w14:textId="77777777" w:rsidR="00000000" w:rsidRDefault="00405D16">
            <w:pPr>
              <w:spacing w:after="100"/>
              <w:jc w:val="right"/>
              <w:rPr>
                <w:rFonts w:eastAsia="Times New Roman"/>
              </w:rPr>
            </w:pPr>
            <w:r>
              <w:rPr>
                <w:rFonts w:eastAsia="Times New Roman"/>
                <w:color w:val="000000"/>
                <w:sz w:val="16"/>
                <w:szCs w:val="16"/>
              </w:rPr>
              <w:t>(1,679)</w:t>
            </w:r>
          </w:p>
        </w:tc>
        <w:tc>
          <w:tcPr>
            <w:tcW w:w="0" w:type="auto"/>
            <w:shd w:val="clear" w:color="auto" w:fill="CCEEFF"/>
            <w:tcMar>
              <w:top w:w="30" w:type="dxa"/>
              <w:left w:w="0" w:type="dxa"/>
              <w:bottom w:w="30" w:type="dxa"/>
              <w:right w:w="20" w:type="dxa"/>
            </w:tcMar>
            <w:vAlign w:val="center"/>
            <w:hideMark/>
          </w:tcPr>
          <w:p w14:paraId="7CCACD6A" w14:textId="77777777" w:rsidR="00000000" w:rsidRDefault="00405D16">
            <w:pPr>
              <w:spacing w:after="100"/>
              <w:jc w:val="right"/>
              <w:rPr>
                <w:rFonts w:eastAsia="Times New Roman"/>
              </w:rPr>
            </w:pPr>
          </w:p>
        </w:tc>
      </w:tr>
      <w:tr w:rsidR="00000000" w14:paraId="6BCDA3EA" w14:textId="77777777">
        <w:trPr>
          <w:gridAfter w:val="2"/>
          <w:divId w:val="34623750"/>
        </w:trPr>
        <w:tc>
          <w:tcPr>
            <w:tcW w:w="0" w:type="auto"/>
            <w:gridSpan w:val="4"/>
            <w:shd w:val="clear" w:color="auto" w:fill="FFFFFF"/>
            <w:tcMar>
              <w:top w:w="30" w:type="dxa"/>
              <w:left w:w="20" w:type="dxa"/>
              <w:bottom w:w="30" w:type="dxa"/>
              <w:right w:w="20" w:type="dxa"/>
            </w:tcMar>
            <w:vAlign w:val="bottom"/>
            <w:hideMark/>
          </w:tcPr>
          <w:p w14:paraId="64F1706F" w14:textId="77777777" w:rsidR="00000000" w:rsidRDefault="00405D16">
            <w:pPr>
              <w:spacing w:after="100"/>
              <w:divId w:val="787550103"/>
              <w:rPr>
                <w:rFonts w:eastAsia="Times New Roman"/>
              </w:rPr>
            </w:pPr>
            <w:r>
              <w:rPr>
                <w:rFonts w:eastAsia="Times New Roman"/>
                <w:color w:val="000000"/>
                <w:sz w:val="16"/>
                <w:szCs w:val="16"/>
              </w:rPr>
              <w:t>Recoverie</w:t>
            </w:r>
            <w:r>
              <w:rPr>
                <w:rFonts w:eastAsia="Times New Roman"/>
                <w:color w:val="000000"/>
                <w:sz w:val="16"/>
                <w:szCs w:val="16"/>
              </w:rPr>
              <w:t>s</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14:paraId="1D7330BC" w14:textId="77777777" w:rsidR="00000000" w:rsidRDefault="00405D16">
            <w:pPr>
              <w:spacing w:after="100"/>
              <w:rPr>
                <w:rFonts w:eastAsia="Times New Roman"/>
              </w:rPr>
            </w:pPr>
          </w:p>
        </w:tc>
        <w:tc>
          <w:tcPr>
            <w:tcW w:w="0" w:type="auto"/>
            <w:gridSpan w:val="4"/>
            <w:shd w:val="clear" w:color="auto" w:fill="FFFFFF"/>
            <w:tcMar>
              <w:top w:w="30" w:type="dxa"/>
              <w:left w:w="20" w:type="dxa"/>
              <w:bottom w:w="30" w:type="dxa"/>
              <w:right w:w="0" w:type="dxa"/>
            </w:tcMar>
            <w:vAlign w:val="center"/>
            <w:hideMark/>
          </w:tcPr>
          <w:p w14:paraId="6721710A" w14:textId="77777777" w:rsidR="00000000" w:rsidRDefault="00405D16">
            <w:pPr>
              <w:spacing w:after="100"/>
              <w:jc w:val="right"/>
              <w:rPr>
                <w:rFonts w:eastAsia="Times New Roman"/>
              </w:rPr>
            </w:pPr>
            <w:r>
              <w:rPr>
                <w:rFonts w:eastAsia="Times New Roman"/>
                <w:color w:val="000000"/>
                <w:sz w:val="16"/>
                <w:szCs w:val="16"/>
              </w:rPr>
              <w:t>313 </w:t>
            </w:r>
          </w:p>
        </w:tc>
        <w:tc>
          <w:tcPr>
            <w:tcW w:w="0" w:type="auto"/>
            <w:shd w:val="clear" w:color="auto" w:fill="FFFFFF"/>
            <w:tcMar>
              <w:top w:w="30" w:type="dxa"/>
              <w:left w:w="0" w:type="dxa"/>
              <w:bottom w:w="30" w:type="dxa"/>
              <w:right w:w="20" w:type="dxa"/>
            </w:tcMar>
            <w:vAlign w:val="center"/>
            <w:hideMark/>
          </w:tcPr>
          <w:p w14:paraId="08FA772F"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0BBB04C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0B3947F" w14:textId="77777777" w:rsidR="00000000" w:rsidRDefault="00405D16">
            <w:pPr>
              <w:spacing w:after="100"/>
              <w:jc w:val="right"/>
              <w:rPr>
                <w:rFonts w:eastAsia="Times New Roman"/>
              </w:rPr>
            </w:pPr>
            <w:r>
              <w:rPr>
                <w:rFonts w:eastAsia="Times New Roman"/>
                <w:color w:val="000000"/>
                <w:sz w:val="16"/>
                <w:szCs w:val="16"/>
              </w:rPr>
              <w:t>40 </w:t>
            </w:r>
          </w:p>
        </w:tc>
        <w:tc>
          <w:tcPr>
            <w:tcW w:w="0" w:type="auto"/>
            <w:shd w:val="clear" w:color="auto" w:fill="FFFFFF"/>
            <w:tcMar>
              <w:top w:w="30" w:type="dxa"/>
              <w:left w:w="0" w:type="dxa"/>
              <w:bottom w:w="30" w:type="dxa"/>
              <w:right w:w="20" w:type="dxa"/>
            </w:tcMar>
            <w:vAlign w:val="center"/>
            <w:hideMark/>
          </w:tcPr>
          <w:p w14:paraId="2454A12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B841C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0BFF72A" w14:textId="77777777" w:rsidR="00000000" w:rsidRDefault="00405D16">
            <w:pPr>
              <w:spacing w:after="100"/>
              <w:jc w:val="right"/>
              <w:rPr>
                <w:rFonts w:eastAsia="Times New Roman"/>
              </w:rPr>
            </w:pPr>
            <w:r>
              <w:rPr>
                <w:rFonts w:eastAsia="Times New Roman"/>
                <w:color w:val="000000"/>
                <w:sz w:val="16"/>
                <w:szCs w:val="16"/>
              </w:rPr>
              <w:t>353 </w:t>
            </w:r>
          </w:p>
        </w:tc>
        <w:tc>
          <w:tcPr>
            <w:tcW w:w="0" w:type="auto"/>
            <w:shd w:val="clear" w:color="auto" w:fill="FFFFFF"/>
            <w:tcMar>
              <w:top w:w="30" w:type="dxa"/>
              <w:left w:w="0" w:type="dxa"/>
              <w:bottom w:w="30" w:type="dxa"/>
              <w:right w:w="20" w:type="dxa"/>
            </w:tcMar>
            <w:vAlign w:val="center"/>
            <w:hideMark/>
          </w:tcPr>
          <w:p w14:paraId="5F79BC8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418E2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9F886E7" w14:textId="77777777" w:rsidR="00000000" w:rsidRDefault="00405D16">
            <w:pPr>
              <w:spacing w:after="100"/>
              <w:jc w:val="right"/>
              <w:rPr>
                <w:rFonts w:eastAsia="Times New Roman"/>
              </w:rPr>
            </w:pPr>
            <w:r>
              <w:rPr>
                <w:rFonts w:eastAsia="Times New Roman"/>
                <w:color w:val="000000"/>
                <w:sz w:val="16"/>
                <w:szCs w:val="16"/>
              </w:rPr>
              <w:t>244 </w:t>
            </w:r>
          </w:p>
        </w:tc>
        <w:tc>
          <w:tcPr>
            <w:tcW w:w="0" w:type="auto"/>
            <w:shd w:val="clear" w:color="auto" w:fill="FFFFFF"/>
            <w:tcMar>
              <w:top w:w="30" w:type="dxa"/>
              <w:left w:w="0" w:type="dxa"/>
              <w:bottom w:w="30" w:type="dxa"/>
              <w:right w:w="20" w:type="dxa"/>
            </w:tcMar>
            <w:vAlign w:val="center"/>
            <w:hideMark/>
          </w:tcPr>
          <w:p w14:paraId="2E5C1FF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43FF1C"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14:paraId="0E9E929E" w14:textId="77777777" w:rsidR="00000000" w:rsidRDefault="00405D16">
            <w:pPr>
              <w:spacing w:after="100"/>
              <w:jc w:val="right"/>
              <w:rPr>
                <w:rFonts w:eastAsia="Times New Roman"/>
              </w:rPr>
            </w:pPr>
            <w:r>
              <w:rPr>
                <w:rFonts w:eastAsia="Times New Roman"/>
                <w:color w:val="000000"/>
                <w:sz w:val="16"/>
                <w:szCs w:val="16"/>
              </w:rPr>
              <w:t>3 </w:t>
            </w:r>
          </w:p>
        </w:tc>
        <w:tc>
          <w:tcPr>
            <w:tcW w:w="0" w:type="auto"/>
            <w:gridSpan w:val="2"/>
            <w:shd w:val="clear" w:color="auto" w:fill="FFFFFF"/>
            <w:tcMar>
              <w:top w:w="30" w:type="dxa"/>
              <w:left w:w="0" w:type="dxa"/>
              <w:bottom w:w="30" w:type="dxa"/>
              <w:right w:w="20" w:type="dxa"/>
            </w:tcMar>
            <w:vAlign w:val="center"/>
            <w:hideMark/>
          </w:tcPr>
          <w:p w14:paraId="746B68C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9F68AB"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14:paraId="197F41F6" w14:textId="77777777" w:rsidR="00000000" w:rsidRDefault="00405D16">
            <w:pPr>
              <w:spacing w:after="100"/>
              <w:jc w:val="right"/>
              <w:rPr>
                <w:rFonts w:eastAsia="Times New Roman"/>
              </w:rPr>
            </w:pPr>
            <w:r>
              <w:rPr>
                <w:rFonts w:eastAsia="Times New Roman"/>
                <w:color w:val="000000"/>
                <w:sz w:val="16"/>
                <w:szCs w:val="16"/>
              </w:rPr>
              <w:t>247 </w:t>
            </w:r>
          </w:p>
        </w:tc>
        <w:tc>
          <w:tcPr>
            <w:tcW w:w="0" w:type="auto"/>
            <w:shd w:val="clear" w:color="auto" w:fill="FFFFFF"/>
            <w:tcMar>
              <w:top w:w="30" w:type="dxa"/>
              <w:left w:w="0" w:type="dxa"/>
              <w:bottom w:w="30" w:type="dxa"/>
              <w:right w:w="20" w:type="dxa"/>
            </w:tcMar>
            <w:vAlign w:val="center"/>
            <w:hideMark/>
          </w:tcPr>
          <w:p w14:paraId="42124C0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FBF50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6F3B568" w14:textId="77777777" w:rsidR="00000000" w:rsidRDefault="00405D16">
            <w:pPr>
              <w:spacing w:after="100"/>
              <w:jc w:val="right"/>
              <w:rPr>
                <w:rFonts w:eastAsia="Times New Roman"/>
              </w:rPr>
            </w:pPr>
            <w:r>
              <w:rPr>
                <w:rFonts w:eastAsia="Times New Roman"/>
                <w:color w:val="000000"/>
                <w:sz w:val="16"/>
                <w:szCs w:val="16"/>
              </w:rPr>
              <w:t>6 </w:t>
            </w:r>
          </w:p>
        </w:tc>
        <w:tc>
          <w:tcPr>
            <w:tcW w:w="0" w:type="auto"/>
            <w:shd w:val="clear" w:color="auto" w:fill="FFFFFF"/>
            <w:tcMar>
              <w:top w:w="30" w:type="dxa"/>
              <w:left w:w="0" w:type="dxa"/>
              <w:bottom w:w="30" w:type="dxa"/>
              <w:right w:w="20" w:type="dxa"/>
            </w:tcMar>
            <w:vAlign w:val="center"/>
            <w:hideMark/>
          </w:tcPr>
          <w:p w14:paraId="6E83228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D0ADB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BA6596B" w14:textId="77777777" w:rsidR="00000000" w:rsidRDefault="00405D16">
            <w:pPr>
              <w:spacing w:after="100"/>
              <w:jc w:val="right"/>
              <w:rPr>
                <w:rFonts w:eastAsia="Times New Roman"/>
              </w:rPr>
            </w:pPr>
            <w:r>
              <w:rPr>
                <w:rFonts w:eastAsia="Times New Roman"/>
                <w:color w:val="000000"/>
                <w:sz w:val="16"/>
                <w:szCs w:val="16"/>
              </w:rPr>
              <w:t>606 </w:t>
            </w:r>
          </w:p>
        </w:tc>
        <w:tc>
          <w:tcPr>
            <w:tcW w:w="0" w:type="auto"/>
            <w:shd w:val="clear" w:color="auto" w:fill="FFFFFF"/>
            <w:tcMar>
              <w:top w:w="30" w:type="dxa"/>
              <w:left w:w="0" w:type="dxa"/>
              <w:bottom w:w="30" w:type="dxa"/>
              <w:right w:w="20" w:type="dxa"/>
            </w:tcMar>
            <w:vAlign w:val="center"/>
            <w:hideMark/>
          </w:tcPr>
          <w:p w14:paraId="17C14054" w14:textId="77777777" w:rsidR="00000000" w:rsidRDefault="00405D16">
            <w:pPr>
              <w:spacing w:after="100"/>
              <w:jc w:val="right"/>
              <w:rPr>
                <w:rFonts w:eastAsia="Times New Roman"/>
              </w:rPr>
            </w:pPr>
          </w:p>
        </w:tc>
      </w:tr>
      <w:tr w:rsidR="00000000" w14:paraId="13F92B2E" w14:textId="77777777">
        <w:trPr>
          <w:gridAfter w:val="2"/>
          <w:divId w:val="34623750"/>
        </w:trPr>
        <w:tc>
          <w:tcPr>
            <w:tcW w:w="0" w:type="auto"/>
            <w:gridSpan w:val="4"/>
            <w:shd w:val="clear" w:color="auto" w:fill="CCEEFF"/>
            <w:tcMar>
              <w:top w:w="30" w:type="dxa"/>
              <w:left w:w="20" w:type="dxa"/>
              <w:bottom w:w="30" w:type="dxa"/>
              <w:right w:w="20" w:type="dxa"/>
            </w:tcMar>
            <w:vAlign w:val="bottom"/>
            <w:hideMark/>
          </w:tcPr>
          <w:p w14:paraId="4B163A33" w14:textId="77777777" w:rsidR="00000000" w:rsidRDefault="00405D16">
            <w:pPr>
              <w:spacing w:after="100"/>
              <w:rPr>
                <w:rFonts w:eastAsia="Times New Roman"/>
              </w:rPr>
            </w:pPr>
            <w:r>
              <w:rPr>
                <w:rFonts w:eastAsia="Times New Roman"/>
                <w:color w:val="000000"/>
                <w:sz w:val="16"/>
                <w:szCs w:val="16"/>
              </w:rPr>
              <w:t>Net charge-offs</w:t>
            </w:r>
          </w:p>
        </w:tc>
        <w:tc>
          <w:tcPr>
            <w:tcW w:w="0" w:type="auto"/>
            <w:gridSpan w:val="3"/>
            <w:shd w:val="clear" w:color="auto" w:fill="CCEEFF"/>
            <w:tcMar>
              <w:top w:w="0" w:type="dxa"/>
              <w:left w:w="20" w:type="dxa"/>
              <w:bottom w:w="0" w:type="dxa"/>
              <w:right w:w="20" w:type="dxa"/>
            </w:tcMar>
            <w:vAlign w:val="center"/>
            <w:hideMark/>
          </w:tcPr>
          <w:p w14:paraId="2EC38979" w14:textId="77777777" w:rsidR="00000000" w:rsidRDefault="00405D16">
            <w:pPr>
              <w:spacing w:after="100"/>
              <w:rPr>
                <w:rFonts w:eastAsia="Times New Roman"/>
              </w:rPr>
            </w:pPr>
          </w:p>
        </w:tc>
        <w:tc>
          <w:tcPr>
            <w:tcW w:w="0" w:type="auto"/>
            <w:gridSpan w:val="4"/>
            <w:tcBorders>
              <w:top w:val="single" w:sz="8" w:space="0" w:color="000000"/>
            </w:tcBorders>
            <w:shd w:val="clear" w:color="auto" w:fill="CCEEFF"/>
            <w:tcMar>
              <w:top w:w="30" w:type="dxa"/>
              <w:left w:w="20" w:type="dxa"/>
              <w:bottom w:w="30" w:type="dxa"/>
              <w:right w:w="0" w:type="dxa"/>
            </w:tcMar>
            <w:vAlign w:val="center"/>
            <w:hideMark/>
          </w:tcPr>
          <w:p w14:paraId="1E7DC3B8" w14:textId="77777777" w:rsidR="00000000" w:rsidRDefault="00405D16">
            <w:pPr>
              <w:spacing w:after="100"/>
              <w:jc w:val="right"/>
              <w:rPr>
                <w:rFonts w:eastAsia="Times New Roman"/>
              </w:rPr>
            </w:pPr>
            <w:r>
              <w:rPr>
                <w:rFonts w:eastAsia="Times New Roman"/>
                <w:color w:val="000000"/>
                <w:sz w:val="16"/>
                <w:szCs w:val="16"/>
              </w:rPr>
              <w:t>(885)</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9CA3EBC"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3ED5AAC8"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605977F" w14:textId="77777777" w:rsidR="00000000" w:rsidRDefault="00405D16">
            <w:pPr>
              <w:spacing w:after="100"/>
              <w:jc w:val="right"/>
              <w:rPr>
                <w:rFonts w:eastAsia="Times New Roman"/>
              </w:rPr>
            </w:pPr>
            <w:r>
              <w:rPr>
                <w:rFonts w:eastAsia="Times New Roman"/>
                <w:color w:val="000000"/>
                <w:sz w:val="16"/>
                <w:szCs w:val="16"/>
              </w:rPr>
              <w:t>(58)</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F9198A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997337"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CE5E231" w14:textId="77777777" w:rsidR="00000000" w:rsidRDefault="00405D16">
            <w:pPr>
              <w:spacing w:after="100"/>
              <w:jc w:val="right"/>
              <w:rPr>
                <w:rFonts w:eastAsia="Times New Roman"/>
              </w:rPr>
            </w:pPr>
            <w:r>
              <w:rPr>
                <w:rFonts w:eastAsia="Times New Roman"/>
                <w:color w:val="000000"/>
                <w:sz w:val="16"/>
                <w:szCs w:val="16"/>
              </w:rPr>
              <w:t>(943)</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A234A2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E026D7"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03EBED5" w14:textId="77777777" w:rsidR="00000000" w:rsidRDefault="00405D16">
            <w:pPr>
              <w:spacing w:after="100"/>
              <w:jc w:val="right"/>
              <w:rPr>
                <w:rFonts w:eastAsia="Times New Roman"/>
              </w:rPr>
            </w:pPr>
            <w:r>
              <w:rPr>
                <w:rFonts w:eastAsia="Times New Roman"/>
                <w:color w:val="000000"/>
                <w:sz w:val="16"/>
                <w:szCs w:val="16"/>
              </w:rPr>
              <w:t>(36)</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22B91C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833835" w14:textId="77777777" w:rsidR="00000000" w:rsidRDefault="00405D16">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0" w:type="dxa"/>
            </w:tcMar>
            <w:vAlign w:val="center"/>
            <w:hideMark/>
          </w:tcPr>
          <w:p w14:paraId="31104014" w14:textId="77777777" w:rsidR="00000000" w:rsidRDefault="00405D16">
            <w:pPr>
              <w:spacing w:after="100"/>
              <w:jc w:val="right"/>
              <w:rPr>
                <w:rFonts w:eastAsia="Times New Roman"/>
              </w:rPr>
            </w:pPr>
            <w:r>
              <w:rPr>
                <w:rFonts w:eastAsia="Times New Roman"/>
                <w:color w:val="000000"/>
                <w:sz w:val="16"/>
                <w:szCs w:val="16"/>
              </w:rPr>
              <w:t>(12)</w:t>
            </w:r>
          </w:p>
        </w:tc>
        <w:tc>
          <w:tcPr>
            <w:tcW w:w="0" w:type="auto"/>
            <w:gridSpan w:val="2"/>
            <w:tcBorders>
              <w:top w:val="single" w:sz="8" w:space="0" w:color="000000"/>
            </w:tcBorders>
            <w:shd w:val="clear" w:color="auto" w:fill="CCEEFF"/>
            <w:tcMar>
              <w:top w:w="30" w:type="dxa"/>
              <w:left w:w="0" w:type="dxa"/>
              <w:bottom w:w="30" w:type="dxa"/>
              <w:right w:w="20" w:type="dxa"/>
            </w:tcMar>
            <w:vAlign w:val="center"/>
            <w:hideMark/>
          </w:tcPr>
          <w:p w14:paraId="57771C5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868CEC" w14:textId="77777777" w:rsidR="00000000" w:rsidRDefault="00405D16">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0" w:type="dxa"/>
            </w:tcMar>
            <w:vAlign w:val="center"/>
            <w:hideMark/>
          </w:tcPr>
          <w:p w14:paraId="37D8FB5F" w14:textId="77777777" w:rsidR="00000000" w:rsidRDefault="00405D16">
            <w:pPr>
              <w:spacing w:after="100"/>
              <w:jc w:val="right"/>
              <w:rPr>
                <w:rFonts w:eastAsia="Times New Roman"/>
              </w:rPr>
            </w:pPr>
            <w:r>
              <w:rPr>
                <w:rFonts w:eastAsia="Times New Roman"/>
                <w:color w:val="000000"/>
                <w:sz w:val="16"/>
                <w:szCs w:val="16"/>
              </w:rPr>
              <w:t>(48)</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A3049D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8DD79B"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19543FA" w14:textId="77777777" w:rsidR="00000000" w:rsidRDefault="00405D16">
            <w:pPr>
              <w:spacing w:after="100"/>
              <w:jc w:val="right"/>
              <w:rPr>
                <w:rFonts w:eastAsia="Times New Roman"/>
              </w:rPr>
            </w:pPr>
            <w:r>
              <w:rPr>
                <w:rFonts w:eastAsia="Times New Roman"/>
                <w:color w:val="000000"/>
                <w:sz w:val="16"/>
                <w:szCs w:val="16"/>
              </w:rPr>
              <w:t>(82)</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65DB28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969D50"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41DEFB7" w14:textId="77777777" w:rsidR="00000000" w:rsidRDefault="00405D16">
            <w:pPr>
              <w:spacing w:after="100"/>
              <w:jc w:val="right"/>
              <w:rPr>
                <w:rFonts w:eastAsia="Times New Roman"/>
              </w:rPr>
            </w:pPr>
            <w:r>
              <w:rPr>
                <w:rFonts w:eastAsia="Times New Roman"/>
                <w:color w:val="000000"/>
                <w:sz w:val="16"/>
                <w:szCs w:val="16"/>
              </w:rPr>
              <w:t>(1,073)</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B81F74E" w14:textId="77777777" w:rsidR="00000000" w:rsidRDefault="00405D16">
            <w:pPr>
              <w:spacing w:after="100"/>
              <w:jc w:val="right"/>
              <w:rPr>
                <w:rFonts w:eastAsia="Times New Roman"/>
              </w:rPr>
            </w:pPr>
          </w:p>
        </w:tc>
      </w:tr>
      <w:tr w:rsidR="00000000" w14:paraId="2AC47D6B" w14:textId="77777777">
        <w:trPr>
          <w:gridAfter w:val="2"/>
          <w:divId w:val="34623750"/>
        </w:trPr>
        <w:tc>
          <w:tcPr>
            <w:tcW w:w="0" w:type="auto"/>
            <w:gridSpan w:val="4"/>
            <w:shd w:val="clear" w:color="auto" w:fill="FFFFFF"/>
            <w:tcMar>
              <w:top w:w="30" w:type="dxa"/>
              <w:left w:w="20" w:type="dxa"/>
              <w:bottom w:w="30" w:type="dxa"/>
              <w:right w:w="20" w:type="dxa"/>
            </w:tcMar>
            <w:vAlign w:val="bottom"/>
            <w:hideMark/>
          </w:tcPr>
          <w:p w14:paraId="58FA2DE5" w14:textId="77777777" w:rsidR="00000000" w:rsidRDefault="00405D16">
            <w:pPr>
              <w:spacing w:after="100"/>
              <w:rPr>
                <w:rFonts w:eastAsia="Times New Roman"/>
              </w:rPr>
            </w:pPr>
            <w:r>
              <w:rPr>
                <w:rFonts w:eastAsia="Times New Roman"/>
                <w:color w:val="000000"/>
                <w:sz w:val="16"/>
                <w:szCs w:val="16"/>
              </w:rPr>
              <w:t>Provision (benefit) for credit losses</w:t>
            </w:r>
          </w:p>
        </w:tc>
        <w:tc>
          <w:tcPr>
            <w:tcW w:w="0" w:type="auto"/>
            <w:gridSpan w:val="3"/>
            <w:shd w:val="clear" w:color="auto" w:fill="FFFFFF"/>
            <w:tcMar>
              <w:top w:w="0" w:type="dxa"/>
              <w:left w:w="20" w:type="dxa"/>
              <w:bottom w:w="0" w:type="dxa"/>
              <w:right w:w="20" w:type="dxa"/>
            </w:tcMar>
            <w:vAlign w:val="center"/>
            <w:hideMark/>
          </w:tcPr>
          <w:p w14:paraId="10BF8E26" w14:textId="77777777" w:rsidR="00000000" w:rsidRDefault="00405D16">
            <w:pPr>
              <w:spacing w:after="100"/>
              <w:rPr>
                <w:rFonts w:eastAsia="Times New Roman"/>
              </w:rPr>
            </w:pPr>
          </w:p>
        </w:tc>
        <w:tc>
          <w:tcPr>
            <w:tcW w:w="0" w:type="auto"/>
            <w:gridSpan w:val="4"/>
            <w:shd w:val="clear" w:color="auto" w:fill="FFFFFF"/>
            <w:tcMar>
              <w:top w:w="30" w:type="dxa"/>
              <w:left w:w="20" w:type="dxa"/>
              <w:bottom w:w="30" w:type="dxa"/>
              <w:right w:w="0" w:type="dxa"/>
            </w:tcMar>
            <w:vAlign w:val="center"/>
            <w:hideMark/>
          </w:tcPr>
          <w:p w14:paraId="1FBD071F" w14:textId="77777777" w:rsidR="00000000" w:rsidRDefault="00405D16">
            <w:pPr>
              <w:spacing w:after="100"/>
              <w:jc w:val="right"/>
              <w:rPr>
                <w:rFonts w:eastAsia="Times New Roman"/>
              </w:rPr>
            </w:pPr>
            <w:r>
              <w:rPr>
                <w:rFonts w:eastAsia="Times New Roman"/>
                <w:color w:val="000000"/>
                <w:sz w:val="16"/>
                <w:szCs w:val="16"/>
              </w:rPr>
              <w:t>378 </w:t>
            </w:r>
          </w:p>
        </w:tc>
        <w:tc>
          <w:tcPr>
            <w:tcW w:w="0" w:type="auto"/>
            <w:shd w:val="clear" w:color="auto" w:fill="FFFFFF"/>
            <w:tcMar>
              <w:top w:w="30" w:type="dxa"/>
              <w:left w:w="0" w:type="dxa"/>
              <w:bottom w:w="30" w:type="dxa"/>
              <w:right w:w="20" w:type="dxa"/>
            </w:tcMar>
            <w:vAlign w:val="center"/>
            <w:hideMark/>
          </w:tcPr>
          <w:p w14:paraId="31C6F665"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38E75B2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E9FE40C" w14:textId="77777777" w:rsidR="00000000" w:rsidRDefault="00405D16">
            <w:pPr>
              <w:spacing w:after="100"/>
              <w:jc w:val="right"/>
              <w:rPr>
                <w:rFonts w:eastAsia="Times New Roman"/>
              </w:rPr>
            </w:pPr>
            <w:r>
              <w:rPr>
                <w:rFonts w:eastAsia="Times New Roman"/>
                <w:color w:val="000000"/>
                <w:sz w:val="16"/>
                <w:szCs w:val="16"/>
              </w:rPr>
              <w:t>72 </w:t>
            </w:r>
          </w:p>
        </w:tc>
        <w:tc>
          <w:tcPr>
            <w:tcW w:w="0" w:type="auto"/>
            <w:shd w:val="clear" w:color="auto" w:fill="FFFFFF"/>
            <w:tcMar>
              <w:top w:w="30" w:type="dxa"/>
              <w:left w:w="0" w:type="dxa"/>
              <w:bottom w:w="30" w:type="dxa"/>
              <w:right w:w="20" w:type="dxa"/>
            </w:tcMar>
            <w:vAlign w:val="center"/>
            <w:hideMark/>
          </w:tcPr>
          <w:p w14:paraId="76FC58C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E6C1E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4A8AAAF" w14:textId="77777777" w:rsidR="00000000" w:rsidRDefault="00405D16">
            <w:pPr>
              <w:spacing w:after="100"/>
              <w:jc w:val="right"/>
              <w:rPr>
                <w:rFonts w:eastAsia="Times New Roman"/>
              </w:rPr>
            </w:pPr>
            <w:r>
              <w:rPr>
                <w:rFonts w:eastAsia="Times New Roman"/>
                <w:color w:val="000000"/>
                <w:sz w:val="16"/>
                <w:szCs w:val="16"/>
              </w:rPr>
              <w:t>450 </w:t>
            </w:r>
          </w:p>
        </w:tc>
        <w:tc>
          <w:tcPr>
            <w:tcW w:w="0" w:type="auto"/>
            <w:shd w:val="clear" w:color="auto" w:fill="FFFFFF"/>
            <w:tcMar>
              <w:top w:w="30" w:type="dxa"/>
              <w:left w:w="0" w:type="dxa"/>
              <w:bottom w:w="30" w:type="dxa"/>
              <w:right w:w="20" w:type="dxa"/>
            </w:tcMar>
            <w:vAlign w:val="center"/>
            <w:hideMark/>
          </w:tcPr>
          <w:p w14:paraId="45A8BC2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4760C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E57F9F2" w14:textId="77777777" w:rsidR="00000000" w:rsidRDefault="00405D16">
            <w:pPr>
              <w:spacing w:after="100"/>
              <w:jc w:val="right"/>
              <w:rPr>
                <w:rFonts w:eastAsia="Times New Roman"/>
              </w:rPr>
            </w:pPr>
            <w:r>
              <w:rPr>
                <w:rFonts w:eastAsia="Times New Roman"/>
                <w:color w:val="000000"/>
                <w:sz w:val="16"/>
                <w:szCs w:val="16"/>
              </w:rPr>
              <w:t>(43)</w:t>
            </w:r>
          </w:p>
        </w:tc>
        <w:tc>
          <w:tcPr>
            <w:tcW w:w="0" w:type="auto"/>
            <w:shd w:val="clear" w:color="auto" w:fill="FFFFFF"/>
            <w:tcMar>
              <w:top w:w="30" w:type="dxa"/>
              <w:left w:w="0" w:type="dxa"/>
              <w:bottom w:w="30" w:type="dxa"/>
              <w:right w:w="20" w:type="dxa"/>
            </w:tcMar>
            <w:vAlign w:val="center"/>
            <w:hideMark/>
          </w:tcPr>
          <w:p w14:paraId="201CA25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8CACE4"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14:paraId="00D14CAC" w14:textId="77777777" w:rsidR="00000000" w:rsidRDefault="00405D16">
            <w:pPr>
              <w:spacing w:after="100"/>
              <w:jc w:val="right"/>
              <w:rPr>
                <w:rFonts w:eastAsia="Times New Roman"/>
              </w:rPr>
            </w:pPr>
            <w:r>
              <w:rPr>
                <w:rFonts w:eastAsia="Times New Roman"/>
                <w:color w:val="000000"/>
                <w:sz w:val="16"/>
                <w:szCs w:val="16"/>
              </w:rPr>
              <w:t>— </w:t>
            </w:r>
          </w:p>
        </w:tc>
        <w:tc>
          <w:tcPr>
            <w:tcW w:w="0" w:type="auto"/>
            <w:gridSpan w:val="2"/>
            <w:shd w:val="clear" w:color="auto" w:fill="FFFFFF"/>
            <w:tcMar>
              <w:top w:w="30" w:type="dxa"/>
              <w:left w:w="0" w:type="dxa"/>
              <w:bottom w:w="30" w:type="dxa"/>
              <w:right w:w="20" w:type="dxa"/>
            </w:tcMar>
            <w:vAlign w:val="center"/>
            <w:hideMark/>
          </w:tcPr>
          <w:p w14:paraId="78770B8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02C205"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14:paraId="26D9F5D6" w14:textId="77777777" w:rsidR="00000000" w:rsidRDefault="00405D16">
            <w:pPr>
              <w:spacing w:after="100"/>
              <w:jc w:val="right"/>
              <w:rPr>
                <w:rFonts w:eastAsia="Times New Roman"/>
              </w:rPr>
            </w:pPr>
            <w:r>
              <w:rPr>
                <w:rFonts w:eastAsia="Times New Roman"/>
                <w:color w:val="000000"/>
                <w:sz w:val="16"/>
                <w:szCs w:val="16"/>
              </w:rPr>
              <w:t>(43)</w:t>
            </w:r>
          </w:p>
        </w:tc>
        <w:tc>
          <w:tcPr>
            <w:tcW w:w="0" w:type="auto"/>
            <w:shd w:val="clear" w:color="auto" w:fill="FFFFFF"/>
            <w:tcMar>
              <w:top w:w="30" w:type="dxa"/>
              <w:left w:w="0" w:type="dxa"/>
              <w:bottom w:w="30" w:type="dxa"/>
              <w:right w:w="20" w:type="dxa"/>
            </w:tcMar>
            <w:vAlign w:val="center"/>
            <w:hideMark/>
          </w:tcPr>
          <w:p w14:paraId="12B8D92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70634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A9E2D2E" w14:textId="77777777" w:rsidR="00000000" w:rsidRDefault="00405D16">
            <w:pPr>
              <w:spacing w:after="100"/>
              <w:jc w:val="right"/>
              <w:rPr>
                <w:rFonts w:eastAsia="Times New Roman"/>
              </w:rPr>
            </w:pPr>
            <w:r>
              <w:rPr>
                <w:rFonts w:eastAsia="Times New Roman"/>
                <w:color w:val="000000"/>
                <w:sz w:val="16"/>
                <w:szCs w:val="16"/>
              </w:rPr>
              <w:t>(51)</w:t>
            </w:r>
          </w:p>
        </w:tc>
        <w:tc>
          <w:tcPr>
            <w:tcW w:w="0" w:type="auto"/>
            <w:shd w:val="clear" w:color="auto" w:fill="FFFFFF"/>
            <w:tcMar>
              <w:top w:w="30" w:type="dxa"/>
              <w:left w:w="0" w:type="dxa"/>
              <w:bottom w:w="30" w:type="dxa"/>
              <w:right w:w="20" w:type="dxa"/>
            </w:tcMar>
            <w:vAlign w:val="center"/>
            <w:hideMark/>
          </w:tcPr>
          <w:p w14:paraId="51381DF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E382C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31CB62D" w14:textId="77777777" w:rsidR="00000000" w:rsidRDefault="00405D16">
            <w:pPr>
              <w:spacing w:after="100"/>
              <w:jc w:val="right"/>
              <w:rPr>
                <w:rFonts w:eastAsia="Times New Roman"/>
              </w:rPr>
            </w:pPr>
            <w:r>
              <w:rPr>
                <w:rFonts w:eastAsia="Times New Roman"/>
                <w:color w:val="000000"/>
                <w:sz w:val="16"/>
                <w:szCs w:val="16"/>
              </w:rPr>
              <w:t>356 </w:t>
            </w:r>
          </w:p>
        </w:tc>
        <w:tc>
          <w:tcPr>
            <w:tcW w:w="0" w:type="auto"/>
            <w:shd w:val="clear" w:color="auto" w:fill="FFFFFF"/>
            <w:tcMar>
              <w:top w:w="30" w:type="dxa"/>
              <w:left w:w="0" w:type="dxa"/>
              <w:bottom w:w="30" w:type="dxa"/>
              <w:right w:w="20" w:type="dxa"/>
            </w:tcMar>
            <w:vAlign w:val="center"/>
            <w:hideMark/>
          </w:tcPr>
          <w:p w14:paraId="5F85CADE" w14:textId="77777777" w:rsidR="00000000" w:rsidRDefault="00405D16">
            <w:pPr>
              <w:spacing w:after="100"/>
              <w:jc w:val="right"/>
              <w:rPr>
                <w:rFonts w:eastAsia="Times New Roman"/>
              </w:rPr>
            </w:pPr>
          </w:p>
        </w:tc>
      </w:tr>
      <w:tr w:rsidR="00000000" w14:paraId="46BED7E8" w14:textId="77777777">
        <w:trPr>
          <w:gridAfter w:val="2"/>
          <w:divId w:val="34623750"/>
        </w:trPr>
        <w:tc>
          <w:tcPr>
            <w:tcW w:w="0" w:type="auto"/>
            <w:gridSpan w:val="4"/>
            <w:shd w:val="clear" w:color="auto" w:fill="CCEEFF"/>
            <w:tcMar>
              <w:top w:w="30" w:type="dxa"/>
              <w:left w:w="20" w:type="dxa"/>
              <w:bottom w:w="30" w:type="dxa"/>
              <w:right w:w="20" w:type="dxa"/>
            </w:tcMar>
            <w:vAlign w:val="bottom"/>
            <w:hideMark/>
          </w:tcPr>
          <w:p w14:paraId="4F0C3262" w14:textId="77777777" w:rsidR="00000000" w:rsidRDefault="00405D16">
            <w:pPr>
              <w:spacing w:after="100"/>
              <w:rPr>
                <w:rFonts w:eastAsia="Times New Roman"/>
              </w:rPr>
            </w:pPr>
            <w:r>
              <w:rPr>
                <w:rFonts w:eastAsia="Times New Roman"/>
                <w:color w:val="000000"/>
                <w:sz w:val="16"/>
                <w:szCs w:val="16"/>
              </w:rPr>
              <w:t>Allowance build (release) for credit losses</w:t>
            </w:r>
          </w:p>
        </w:tc>
        <w:tc>
          <w:tcPr>
            <w:tcW w:w="0" w:type="auto"/>
            <w:gridSpan w:val="3"/>
            <w:shd w:val="clear" w:color="auto" w:fill="CCEEFF"/>
            <w:tcMar>
              <w:top w:w="0" w:type="dxa"/>
              <w:left w:w="20" w:type="dxa"/>
              <w:bottom w:w="0" w:type="dxa"/>
              <w:right w:w="20" w:type="dxa"/>
            </w:tcMar>
            <w:vAlign w:val="center"/>
            <w:hideMark/>
          </w:tcPr>
          <w:p w14:paraId="21F5C281" w14:textId="77777777" w:rsidR="00000000" w:rsidRDefault="00405D16">
            <w:pPr>
              <w:spacing w:after="100"/>
              <w:rPr>
                <w:rFonts w:eastAsia="Times New Roman"/>
              </w:rPr>
            </w:pPr>
          </w:p>
        </w:tc>
        <w:tc>
          <w:tcPr>
            <w:tcW w:w="0" w:type="auto"/>
            <w:gridSpan w:val="4"/>
            <w:tcBorders>
              <w:top w:val="single" w:sz="8" w:space="0" w:color="000000"/>
            </w:tcBorders>
            <w:shd w:val="clear" w:color="auto" w:fill="CCEEFF"/>
            <w:tcMar>
              <w:top w:w="30" w:type="dxa"/>
              <w:left w:w="20" w:type="dxa"/>
              <w:bottom w:w="30" w:type="dxa"/>
              <w:right w:w="0" w:type="dxa"/>
            </w:tcMar>
            <w:vAlign w:val="center"/>
            <w:hideMark/>
          </w:tcPr>
          <w:p w14:paraId="6C338DBA" w14:textId="77777777" w:rsidR="00000000" w:rsidRDefault="00405D16">
            <w:pPr>
              <w:spacing w:after="100"/>
              <w:jc w:val="right"/>
              <w:rPr>
                <w:rFonts w:eastAsia="Times New Roman"/>
              </w:rPr>
            </w:pPr>
            <w:r>
              <w:rPr>
                <w:rFonts w:eastAsia="Times New Roman"/>
                <w:color w:val="000000"/>
                <w:sz w:val="16"/>
                <w:szCs w:val="16"/>
              </w:rPr>
              <w:t>(507)</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0D1019F"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3D37FDB7"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80D1DDD" w14:textId="77777777" w:rsidR="00000000" w:rsidRDefault="00405D16">
            <w:pPr>
              <w:spacing w:after="100"/>
              <w:jc w:val="right"/>
              <w:rPr>
                <w:rFonts w:eastAsia="Times New Roman"/>
              </w:rPr>
            </w:pPr>
            <w:r>
              <w:rPr>
                <w:rFonts w:eastAsia="Times New Roman"/>
                <w:color w:val="000000"/>
                <w:sz w:val="16"/>
                <w:szCs w:val="16"/>
              </w:rPr>
              <w:t>14 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A3F6C9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35DDBC"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38838F5" w14:textId="77777777" w:rsidR="00000000" w:rsidRDefault="00405D16">
            <w:pPr>
              <w:spacing w:after="100"/>
              <w:jc w:val="right"/>
              <w:rPr>
                <w:rFonts w:eastAsia="Times New Roman"/>
              </w:rPr>
            </w:pPr>
            <w:r>
              <w:rPr>
                <w:rFonts w:eastAsia="Times New Roman"/>
                <w:color w:val="000000"/>
                <w:sz w:val="16"/>
                <w:szCs w:val="16"/>
              </w:rPr>
              <w:t>(493)</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BFDE9A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FA16B8"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3466344" w14:textId="77777777" w:rsidR="00000000" w:rsidRDefault="00405D16">
            <w:pPr>
              <w:spacing w:after="100"/>
              <w:jc w:val="right"/>
              <w:rPr>
                <w:rFonts w:eastAsia="Times New Roman"/>
              </w:rPr>
            </w:pPr>
            <w:r>
              <w:rPr>
                <w:rFonts w:eastAsia="Times New Roman"/>
                <w:color w:val="000000"/>
                <w:sz w:val="16"/>
                <w:szCs w:val="16"/>
              </w:rPr>
              <w:t>(79)</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E5AFA0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379019" w14:textId="77777777" w:rsidR="00000000" w:rsidRDefault="00405D16">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0" w:type="dxa"/>
            </w:tcMar>
            <w:vAlign w:val="center"/>
            <w:hideMark/>
          </w:tcPr>
          <w:p w14:paraId="35A004F2" w14:textId="77777777" w:rsidR="00000000" w:rsidRDefault="00405D16">
            <w:pPr>
              <w:spacing w:after="100"/>
              <w:jc w:val="right"/>
              <w:rPr>
                <w:rFonts w:eastAsia="Times New Roman"/>
              </w:rPr>
            </w:pPr>
            <w:r>
              <w:rPr>
                <w:rFonts w:eastAsia="Times New Roman"/>
                <w:color w:val="000000"/>
                <w:sz w:val="16"/>
                <w:szCs w:val="16"/>
              </w:rPr>
              <w:t>(12)</w:t>
            </w:r>
          </w:p>
        </w:tc>
        <w:tc>
          <w:tcPr>
            <w:tcW w:w="0" w:type="auto"/>
            <w:gridSpan w:val="2"/>
            <w:tcBorders>
              <w:top w:val="single" w:sz="8" w:space="0" w:color="000000"/>
            </w:tcBorders>
            <w:shd w:val="clear" w:color="auto" w:fill="CCEEFF"/>
            <w:tcMar>
              <w:top w:w="30" w:type="dxa"/>
              <w:left w:w="0" w:type="dxa"/>
              <w:bottom w:w="30" w:type="dxa"/>
              <w:right w:w="20" w:type="dxa"/>
            </w:tcMar>
            <w:vAlign w:val="center"/>
            <w:hideMark/>
          </w:tcPr>
          <w:p w14:paraId="56EA871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4E3D25" w14:textId="77777777" w:rsidR="00000000" w:rsidRDefault="00405D16">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0" w:type="dxa"/>
            </w:tcMar>
            <w:vAlign w:val="center"/>
            <w:hideMark/>
          </w:tcPr>
          <w:p w14:paraId="1A8CBDF0" w14:textId="77777777" w:rsidR="00000000" w:rsidRDefault="00405D16">
            <w:pPr>
              <w:spacing w:after="100"/>
              <w:jc w:val="right"/>
              <w:rPr>
                <w:rFonts w:eastAsia="Times New Roman"/>
              </w:rPr>
            </w:pPr>
            <w:r>
              <w:rPr>
                <w:rFonts w:eastAsia="Times New Roman"/>
                <w:color w:val="000000"/>
                <w:sz w:val="16"/>
                <w:szCs w:val="16"/>
              </w:rPr>
              <w:t>(91)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45F5FA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E55DBC"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F49EDDB" w14:textId="77777777" w:rsidR="00000000" w:rsidRDefault="00405D16">
            <w:pPr>
              <w:spacing w:after="100"/>
              <w:jc w:val="right"/>
              <w:rPr>
                <w:rFonts w:eastAsia="Times New Roman"/>
              </w:rPr>
            </w:pPr>
            <w:r>
              <w:rPr>
                <w:rFonts w:eastAsia="Times New Roman"/>
                <w:color w:val="000000"/>
                <w:sz w:val="16"/>
                <w:szCs w:val="16"/>
              </w:rPr>
              <w:t>(133)</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236CE7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9A7D7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0CC5C2F" w14:textId="77777777" w:rsidR="00000000" w:rsidRDefault="00405D16">
            <w:pPr>
              <w:spacing w:after="100"/>
              <w:jc w:val="right"/>
              <w:rPr>
                <w:rFonts w:eastAsia="Times New Roman"/>
              </w:rPr>
            </w:pPr>
            <w:r>
              <w:rPr>
                <w:rFonts w:eastAsia="Times New Roman"/>
                <w:color w:val="000000"/>
                <w:sz w:val="16"/>
                <w:szCs w:val="16"/>
              </w:rPr>
              <w:t>(717)</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AF93DA5" w14:textId="77777777" w:rsidR="00000000" w:rsidRDefault="00405D16">
            <w:pPr>
              <w:spacing w:after="100"/>
              <w:jc w:val="right"/>
              <w:rPr>
                <w:rFonts w:eastAsia="Times New Roman"/>
              </w:rPr>
            </w:pPr>
          </w:p>
        </w:tc>
      </w:tr>
      <w:tr w:rsidR="00000000" w14:paraId="36E43DA3" w14:textId="77777777">
        <w:trPr>
          <w:gridAfter w:val="2"/>
          <w:divId w:val="34623750"/>
        </w:trPr>
        <w:tc>
          <w:tcPr>
            <w:tcW w:w="0" w:type="auto"/>
            <w:gridSpan w:val="4"/>
            <w:shd w:val="clear" w:color="auto" w:fill="FFFFFF"/>
            <w:tcMar>
              <w:top w:w="30" w:type="dxa"/>
              <w:left w:w="20" w:type="dxa"/>
              <w:bottom w:w="30" w:type="dxa"/>
              <w:right w:w="20" w:type="dxa"/>
            </w:tcMar>
            <w:vAlign w:val="bottom"/>
            <w:hideMark/>
          </w:tcPr>
          <w:p w14:paraId="226DA797" w14:textId="77777777" w:rsidR="00000000" w:rsidRDefault="00405D16">
            <w:pPr>
              <w:spacing w:after="100"/>
              <w:divId w:val="764425268"/>
              <w:rPr>
                <w:rFonts w:eastAsia="Times New Roman"/>
              </w:rPr>
            </w:pPr>
            <w:r>
              <w:rPr>
                <w:rFonts w:eastAsia="Times New Roman"/>
                <w:color w:val="000000"/>
                <w:sz w:val="16"/>
                <w:szCs w:val="16"/>
              </w:rPr>
              <w:t>Other change</w:t>
            </w:r>
            <w:r>
              <w:rPr>
                <w:rFonts w:eastAsia="Times New Roman"/>
                <w:color w:val="000000"/>
                <w:sz w:val="16"/>
                <w:szCs w:val="16"/>
              </w:rPr>
              <w:t>s</w:t>
            </w:r>
            <w:r>
              <w:rPr>
                <w:rFonts w:eastAsia="Times New Roman"/>
                <w:color w:val="000000"/>
                <w:sz w:val="10"/>
                <w:szCs w:val="10"/>
              </w:rPr>
              <w:t>(2</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14:paraId="63C30A32" w14:textId="77777777" w:rsidR="00000000" w:rsidRDefault="00405D16">
            <w:pPr>
              <w:spacing w:after="100"/>
              <w:rPr>
                <w:rFonts w:eastAsia="Times New Roman"/>
              </w:rPr>
            </w:pPr>
          </w:p>
        </w:tc>
        <w:tc>
          <w:tcPr>
            <w:tcW w:w="0" w:type="auto"/>
            <w:gridSpan w:val="4"/>
            <w:shd w:val="clear" w:color="auto" w:fill="FFFFFF"/>
            <w:tcMar>
              <w:top w:w="30" w:type="dxa"/>
              <w:left w:w="20" w:type="dxa"/>
              <w:bottom w:w="30" w:type="dxa"/>
              <w:right w:w="0" w:type="dxa"/>
            </w:tcMar>
            <w:vAlign w:val="center"/>
            <w:hideMark/>
          </w:tcPr>
          <w:p w14:paraId="4C6AFECC"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3FBDC1C2"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6DBF0DA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57BF299" w14:textId="77777777" w:rsidR="00000000" w:rsidRDefault="00405D16">
            <w:pPr>
              <w:spacing w:after="100"/>
              <w:jc w:val="right"/>
              <w:rPr>
                <w:rFonts w:eastAsia="Times New Roman"/>
              </w:rPr>
            </w:pPr>
            <w:r>
              <w:rPr>
                <w:rFonts w:eastAsia="Times New Roman"/>
                <w:color w:val="000000"/>
                <w:sz w:val="16"/>
                <w:szCs w:val="16"/>
              </w:rPr>
              <w:t>14 </w:t>
            </w:r>
          </w:p>
        </w:tc>
        <w:tc>
          <w:tcPr>
            <w:tcW w:w="0" w:type="auto"/>
            <w:shd w:val="clear" w:color="auto" w:fill="FFFFFF"/>
            <w:tcMar>
              <w:top w:w="30" w:type="dxa"/>
              <w:left w:w="0" w:type="dxa"/>
              <w:bottom w:w="30" w:type="dxa"/>
              <w:right w:w="20" w:type="dxa"/>
            </w:tcMar>
            <w:vAlign w:val="center"/>
            <w:hideMark/>
          </w:tcPr>
          <w:p w14:paraId="0F16A82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3CDDF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11B4C3C" w14:textId="77777777" w:rsidR="00000000" w:rsidRDefault="00405D16">
            <w:pPr>
              <w:spacing w:after="100"/>
              <w:jc w:val="right"/>
              <w:rPr>
                <w:rFonts w:eastAsia="Times New Roman"/>
              </w:rPr>
            </w:pPr>
            <w:r>
              <w:rPr>
                <w:rFonts w:eastAsia="Times New Roman"/>
                <w:color w:val="000000"/>
                <w:sz w:val="16"/>
                <w:szCs w:val="16"/>
              </w:rPr>
              <w:t>14 </w:t>
            </w:r>
          </w:p>
        </w:tc>
        <w:tc>
          <w:tcPr>
            <w:tcW w:w="0" w:type="auto"/>
            <w:shd w:val="clear" w:color="auto" w:fill="FFFFFF"/>
            <w:tcMar>
              <w:top w:w="30" w:type="dxa"/>
              <w:left w:w="0" w:type="dxa"/>
              <w:bottom w:w="30" w:type="dxa"/>
              <w:right w:w="20" w:type="dxa"/>
            </w:tcMar>
            <w:vAlign w:val="center"/>
            <w:hideMark/>
          </w:tcPr>
          <w:p w14:paraId="0F4839A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D829F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FCF92FB"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3946950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D01252"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14:paraId="405BB964" w14:textId="77777777" w:rsidR="00000000" w:rsidRDefault="00405D16">
            <w:pPr>
              <w:spacing w:after="100"/>
              <w:jc w:val="right"/>
              <w:rPr>
                <w:rFonts w:eastAsia="Times New Roman"/>
              </w:rPr>
            </w:pPr>
            <w:r>
              <w:rPr>
                <w:rFonts w:eastAsia="Times New Roman"/>
                <w:color w:val="000000"/>
                <w:sz w:val="16"/>
                <w:szCs w:val="16"/>
              </w:rPr>
              <w:t>— </w:t>
            </w:r>
          </w:p>
        </w:tc>
        <w:tc>
          <w:tcPr>
            <w:tcW w:w="0" w:type="auto"/>
            <w:gridSpan w:val="2"/>
            <w:shd w:val="clear" w:color="auto" w:fill="FFFFFF"/>
            <w:tcMar>
              <w:top w:w="30" w:type="dxa"/>
              <w:left w:w="0" w:type="dxa"/>
              <w:bottom w:w="30" w:type="dxa"/>
              <w:right w:w="20" w:type="dxa"/>
            </w:tcMar>
            <w:vAlign w:val="center"/>
            <w:hideMark/>
          </w:tcPr>
          <w:p w14:paraId="19E416D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4DAE1E"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14:paraId="651D9794"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3B4CEB1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E2F75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E38A537"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0E27278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24BD0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F73FACD" w14:textId="77777777" w:rsidR="00000000" w:rsidRDefault="00405D16">
            <w:pPr>
              <w:spacing w:after="100"/>
              <w:jc w:val="right"/>
              <w:rPr>
                <w:rFonts w:eastAsia="Times New Roman"/>
              </w:rPr>
            </w:pPr>
            <w:r>
              <w:rPr>
                <w:rFonts w:eastAsia="Times New Roman"/>
                <w:color w:val="000000"/>
                <w:sz w:val="16"/>
                <w:szCs w:val="16"/>
              </w:rPr>
              <w:t>14 </w:t>
            </w:r>
          </w:p>
        </w:tc>
        <w:tc>
          <w:tcPr>
            <w:tcW w:w="0" w:type="auto"/>
            <w:shd w:val="clear" w:color="auto" w:fill="FFFFFF"/>
            <w:tcMar>
              <w:top w:w="30" w:type="dxa"/>
              <w:left w:w="0" w:type="dxa"/>
              <w:bottom w:w="30" w:type="dxa"/>
              <w:right w:w="20" w:type="dxa"/>
            </w:tcMar>
            <w:vAlign w:val="center"/>
            <w:hideMark/>
          </w:tcPr>
          <w:p w14:paraId="6F6954B9" w14:textId="77777777" w:rsidR="00000000" w:rsidRDefault="00405D16">
            <w:pPr>
              <w:spacing w:after="100"/>
              <w:jc w:val="right"/>
              <w:rPr>
                <w:rFonts w:eastAsia="Times New Roman"/>
              </w:rPr>
            </w:pPr>
          </w:p>
        </w:tc>
      </w:tr>
      <w:tr w:rsidR="00000000" w14:paraId="7D3DB618" w14:textId="77777777">
        <w:trPr>
          <w:gridAfter w:val="2"/>
          <w:divId w:val="34623750"/>
        </w:trPr>
        <w:tc>
          <w:tcPr>
            <w:tcW w:w="0" w:type="auto"/>
            <w:gridSpan w:val="4"/>
            <w:shd w:val="clear" w:color="auto" w:fill="CCEEFF"/>
            <w:tcMar>
              <w:top w:w="30" w:type="dxa"/>
              <w:left w:w="20" w:type="dxa"/>
              <w:bottom w:w="30" w:type="dxa"/>
              <w:right w:w="20" w:type="dxa"/>
            </w:tcMar>
            <w:vAlign w:val="bottom"/>
            <w:hideMark/>
          </w:tcPr>
          <w:p w14:paraId="6D1D5693" w14:textId="77777777" w:rsidR="00000000" w:rsidRDefault="00405D16">
            <w:pPr>
              <w:spacing w:after="100"/>
              <w:rPr>
                <w:rFonts w:eastAsia="Times New Roman"/>
              </w:rPr>
            </w:pPr>
            <w:r>
              <w:rPr>
                <w:rFonts w:eastAsia="Times New Roman"/>
                <w:color w:val="000000"/>
                <w:sz w:val="16"/>
                <w:szCs w:val="16"/>
              </w:rPr>
              <w:t>Balance as of September 30, 2020</w:t>
            </w:r>
          </w:p>
        </w:tc>
        <w:tc>
          <w:tcPr>
            <w:tcW w:w="0" w:type="auto"/>
            <w:gridSpan w:val="3"/>
            <w:shd w:val="clear" w:color="auto" w:fill="CCEEFF"/>
            <w:tcMar>
              <w:top w:w="0" w:type="dxa"/>
              <w:left w:w="20" w:type="dxa"/>
              <w:bottom w:w="0" w:type="dxa"/>
              <w:right w:w="20" w:type="dxa"/>
            </w:tcMar>
            <w:vAlign w:val="center"/>
            <w:hideMark/>
          </w:tcPr>
          <w:p w14:paraId="198F46BB" w14:textId="77777777" w:rsidR="00000000" w:rsidRDefault="00405D16">
            <w:pPr>
              <w:spacing w:after="100"/>
              <w:rPr>
                <w:rFonts w:eastAsia="Times New Roman"/>
              </w:rPr>
            </w:pPr>
          </w:p>
        </w:tc>
        <w:tc>
          <w:tcPr>
            <w:tcW w:w="0" w:type="auto"/>
            <w:gridSpan w:val="4"/>
            <w:tcBorders>
              <w:top w:val="single" w:sz="8" w:space="0" w:color="000000"/>
            </w:tcBorders>
            <w:shd w:val="clear" w:color="auto" w:fill="CCEEFF"/>
            <w:tcMar>
              <w:top w:w="30" w:type="dxa"/>
              <w:left w:w="20" w:type="dxa"/>
              <w:bottom w:w="30" w:type="dxa"/>
              <w:right w:w="0" w:type="dxa"/>
            </w:tcMar>
            <w:vAlign w:val="center"/>
            <w:hideMark/>
          </w:tcPr>
          <w:p w14:paraId="28993B31" w14:textId="77777777" w:rsidR="00000000" w:rsidRDefault="00405D16">
            <w:pPr>
              <w:spacing w:after="100"/>
              <w:jc w:val="right"/>
              <w:rPr>
                <w:rFonts w:eastAsia="Times New Roman"/>
              </w:rPr>
            </w:pPr>
            <w:r>
              <w:rPr>
                <w:rFonts w:eastAsia="Times New Roman"/>
                <w:color w:val="000000"/>
                <w:sz w:val="16"/>
                <w:szCs w:val="16"/>
              </w:rPr>
              <w:t>11,062 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98096AD"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521367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632BE2F" w14:textId="77777777" w:rsidR="00000000" w:rsidRDefault="00405D16">
            <w:pPr>
              <w:spacing w:after="100"/>
              <w:jc w:val="right"/>
              <w:rPr>
                <w:rFonts w:eastAsia="Times New Roman"/>
              </w:rPr>
            </w:pPr>
            <w:r>
              <w:rPr>
                <w:rFonts w:eastAsia="Times New Roman"/>
                <w:color w:val="000000"/>
                <w:sz w:val="16"/>
                <w:szCs w:val="16"/>
              </w:rPr>
              <w:t>550 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3B6D3D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E98C84"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5C05A47" w14:textId="77777777" w:rsidR="00000000" w:rsidRDefault="00405D16">
            <w:pPr>
              <w:spacing w:after="100"/>
              <w:jc w:val="right"/>
              <w:rPr>
                <w:rFonts w:eastAsia="Times New Roman"/>
              </w:rPr>
            </w:pPr>
            <w:r>
              <w:rPr>
                <w:rFonts w:eastAsia="Times New Roman"/>
                <w:color w:val="000000"/>
                <w:sz w:val="16"/>
                <w:szCs w:val="16"/>
              </w:rPr>
              <w:t>11,612 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F5423B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EB2016"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C3AC875" w14:textId="77777777" w:rsidR="00000000" w:rsidRDefault="00405D16">
            <w:pPr>
              <w:spacing w:after="100"/>
              <w:jc w:val="right"/>
              <w:rPr>
                <w:rFonts w:eastAsia="Times New Roman"/>
              </w:rPr>
            </w:pPr>
            <w:r>
              <w:rPr>
                <w:rFonts w:eastAsia="Times New Roman"/>
                <w:color w:val="000000"/>
                <w:sz w:val="16"/>
                <w:szCs w:val="16"/>
              </w:rPr>
              <w:t>2,647 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628E98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939C49" w14:textId="77777777" w:rsidR="00000000" w:rsidRDefault="00405D16">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0" w:type="dxa"/>
            </w:tcMar>
            <w:vAlign w:val="center"/>
            <w:hideMark/>
          </w:tcPr>
          <w:p w14:paraId="7BDF77DB" w14:textId="77777777" w:rsidR="00000000" w:rsidRDefault="00405D16">
            <w:pPr>
              <w:spacing w:after="100"/>
              <w:jc w:val="right"/>
              <w:rPr>
                <w:rFonts w:eastAsia="Times New Roman"/>
              </w:rPr>
            </w:pPr>
            <w:r>
              <w:rPr>
                <w:rFonts w:eastAsia="Times New Roman"/>
                <w:color w:val="000000"/>
                <w:sz w:val="16"/>
                <w:szCs w:val="16"/>
              </w:rPr>
              <w:t>100 </w:t>
            </w:r>
          </w:p>
        </w:tc>
        <w:tc>
          <w:tcPr>
            <w:tcW w:w="0" w:type="auto"/>
            <w:gridSpan w:val="2"/>
            <w:tcBorders>
              <w:top w:val="single" w:sz="8" w:space="0" w:color="000000"/>
            </w:tcBorders>
            <w:shd w:val="clear" w:color="auto" w:fill="CCEEFF"/>
            <w:tcMar>
              <w:top w:w="30" w:type="dxa"/>
              <w:left w:w="0" w:type="dxa"/>
              <w:bottom w:w="30" w:type="dxa"/>
              <w:right w:w="20" w:type="dxa"/>
            </w:tcMar>
            <w:vAlign w:val="center"/>
            <w:hideMark/>
          </w:tcPr>
          <w:p w14:paraId="4705F68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CEAD12" w14:textId="77777777" w:rsidR="00000000" w:rsidRDefault="00405D16">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0" w:type="dxa"/>
            </w:tcMar>
            <w:vAlign w:val="center"/>
            <w:hideMark/>
          </w:tcPr>
          <w:p w14:paraId="75D26F31" w14:textId="77777777" w:rsidR="00000000" w:rsidRDefault="00405D16">
            <w:pPr>
              <w:spacing w:after="100"/>
              <w:jc w:val="right"/>
              <w:rPr>
                <w:rFonts w:eastAsia="Times New Roman"/>
              </w:rPr>
            </w:pPr>
            <w:r>
              <w:rPr>
                <w:rFonts w:eastAsia="Times New Roman"/>
                <w:color w:val="000000"/>
                <w:sz w:val="16"/>
                <w:szCs w:val="16"/>
              </w:rPr>
              <w:t>2,747 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5009AF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45F2C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D7FE8ED" w14:textId="77777777" w:rsidR="00000000" w:rsidRDefault="00405D16">
            <w:pPr>
              <w:spacing w:after="100"/>
              <w:jc w:val="right"/>
              <w:rPr>
                <w:rFonts w:eastAsia="Times New Roman"/>
              </w:rPr>
            </w:pPr>
            <w:r>
              <w:rPr>
                <w:rFonts w:eastAsia="Times New Roman"/>
                <w:color w:val="000000"/>
                <w:sz w:val="16"/>
                <w:szCs w:val="16"/>
              </w:rPr>
              <w:t>1,770 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F17B91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2598C1"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961EA53" w14:textId="77777777" w:rsidR="00000000" w:rsidRDefault="00405D16">
            <w:pPr>
              <w:spacing w:after="100"/>
              <w:jc w:val="right"/>
              <w:rPr>
                <w:rFonts w:eastAsia="Times New Roman"/>
              </w:rPr>
            </w:pPr>
            <w:r>
              <w:rPr>
                <w:rFonts w:eastAsia="Times New Roman"/>
                <w:color w:val="000000"/>
                <w:sz w:val="16"/>
                <w:szCs w:val="16"/>
              </w:rPr>
              <w:t>16,129 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C672D32" w14:textId="77777777" w:rsidR="00000000" w:rsidRDefault="00405D16">
            <w:pPr>
              <w:spacing w:after="100"/>
              <w:jc w:val="right"/>
              <w:rPr>
                <w:rFonts w:eastAsia="Times New Roman"/>
              </w:rPr>
            </w:pPr>
          </w:p>
        </w:tc>
      </w:tr>
      <w:tr w:rsidR="00000000" w14:paraId="5151A01B" w14:textId="77777777">
        <w:trPr>
          <w:gridAfter w:val="2"/>
          <w:divId w:val="34623750"/>
        </w:trPr>
        <w:tc>
          <w:tcPr>
            <w:tcW w:w="0" w:type="auto"/>
            <w:gridSpan w:val="4"/>
            <w:shd w:val="clear" w:color="auto" w:fill="FFFFFF"/>
            <w:tcMar>
              <w:top w:w="30" w:type="dxa"/>
              <w:left w:w="20" w:type="dxa"/>
              <w:bottom w:w="30" w:type="dxa"/>
              <w:right w:w="20" w:type="dxa"/>
            </w:tcMar>
            <w:vAlign w:val="bottom"/>
            <w:hideMark/>
          </w:tcPr>
          <w:p w14:paraId="437FBC3E" w14:textId="77777777" w:rsidR="00000000" w:rsidRDefault="00405D16">
            <w:pPr>
              <w:spacing w:after="100"/>
              <w:rPr>
                <w:rFonts w:eastAsia="Times New Roman"/>
              </w:rPr>
            </w:pPr>
            <w:r>
              <w:rPr>
                <w:rFonts w:eastAsia="Times New Roman"/>
                <w:b/>
                <w:bCs/>
                <w:color w:val="000000"/>
                <w:sz w:val="16"/>
                <w:szCs w:val="16"/>
              </w:rPr>
              <w:t>Reserve for unfunded lending commitments:</w:t>
            </w:r>
          </w:p>
        </w:tc>
        <w:tc>
          <w:tcPr>
            <w:tcW w:w="0" w:type="auto"/>
            <w:gridSpan w:val="3"/>
            <w:shd w:val="clear" w:color="auto" w:fill="FFFFFF"/>
            <w:tcMar>
              <w:top w:w="0" w:type="dxa"/>
              <w:left w:w="20" w:type="dxa"/>
              <w:bottom w:w="0" w:type="dxa"/>
              <w:right w:w="20" w:type="dxa"/>
            </w:tcMar>
            <w:vAlign w:val="center"/>
            <w:hideMark/>
          </w:tcPr>
          <w:p w14:paraId="16656460" w14:textId="77777777" w:rsidR="00000000" w:rsidRDefault="00405D16">
            <w:pPr>
              <w:spacing w:after="100"/>
              <w:rPr>
                <w:rFonts w:eastAsia="Times New Roman"/>
              </w:rPr>
            </w:pPr>
          </w:p>
        </w:tc>
        <w:tc>
          <w:tcPr>
            <w:tcW w:w="0" w:type="auto"/>
            <w:gridSpan w:val="5"/>
            <w:tcBorders>
              <w:top w:val="single" w:sz="8" w:space="0" w:color="000000"/>
            </w:tcBorders>
            <w:shd w:val="clear" w:color="auto" w:fill="FFFFFF"/>
            <w:tcMar>
              <w:top w:w="0" w:type="dxa"/>
              <w:left w:w="20" w:type="dxa"/>
              <w:bottom w:w="0" w:type="dxa"/>
              <w:right w:w="20" w:type="dxa"/>
            </w:tcMar>
            <w:vAlign w:val="center"/>
            <w:hideMark/>
          </w:tcPr>
          <w:p w14:paraId="4AC88626" w14:textId="77777777" w:rsidR="00000000" w:rsidRDefault="00405D16">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09CF4064"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EE5F4F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F3DA97"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415762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62587C"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5E96E3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369777" w14:textId="77777777" w:rsidR="00000000" w:rsidRDefault="00405D16">
            <w:pPr>
              <w:spacing w:after="100"/>
              <w:rPr>
                <w:rFonts w:eastAsia="Times New Roman"/>
                <w:sz w:val="20"/>
                <w:szCs w:val="20"/>
              </w:rPr>
            </w:pPr>
          </w:p>
        </w:tc>
        <w:tc>
          <w:tcPr>
            <w:tcW w:w="0" w:type="auto"/>
            <w:gridSpan w:val="5"/>
            <w:tcBorders>
              <w:top w:val="single" w:sz="8" w:space="0" w:color="000000"/>
            </w:tcBorders>
            <w:shd w:val="clear" w:color="auto" w:fill="FFFFFF"/>
            <w:tcMar>
              <w:top w:w="0" w:type="dxa"/>
              <w:left w:w="20" w:type="dxa"/>
              <w:bottom w:w="0" w:type="dxa"/>
              <w:right w:w="20" w:type="dxa"/>
            </w:tcMar>
            <w:vAlign w:val="center"/>
            <w:hideMark/>
          </w:tcPr>
          <w:p w14:paraId="445D7564"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6D49E7" w14:textId="77777777" w:rsidR="00000000" w:rsidRDefault="00405D16">
            <w:pPr>
              <w:spacing w:after="100"/>
              <w:rPr>
                <w:rFonts w:eastAsia="Times New Roman"/>
                <w:sz w:val="20"/>
                <w:szCs w:val="20"/>
              </w:rPr>
            </w:pPr>
          </w:p>
        </w:tc>
        <w:tc>
          <w:tcPr>
            <w:tcW w:w="0" w:type="auto"/>
            <w:gridSpan w:val="4"/>
            <w:tcBorders>
              <w:top w:val="single" w:sz="8" w:space="0" w:color="000000"/>
            </w:tcBorders>
            <w:shd w:val="clear" w:color="auto" w:fill="FFFFFF"/>
            <w:tcMar>
              <w:top w:w="0" w:type="dxa"/>
              <w:left w:w="20" w:type="dxa"/>
              <w:bottom w:w="0" w:type="dxa"/>
              <w:right w:w="20" w:type="dxa"/>
            </w:tcMar>
            <w:vAlign w:val="center"/>
            <w:hideMark/>
          </w:tcPr>
          <w:p w14:paraId="0BB9153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6E85FD"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917138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55DD7E"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A1EF960" w14:textId="77777777" w:rsidR="00000000" w:rsidRDefault="00405D16">
            <w:pPr>
              <w:spacing w:after="100"/>
              <w:rPr>
                <w:rFonts w:eastAsia="Times New Roman"/>
                <w:sz w:val="20"/>
                <w:szCs w:val="20"/>
              </w:rPr>
            </w:pPr>
          </w:p>
        </w:tc>
      </w:tr>
      <w:tr w:rsidR="00000000" w14:paraId="4B324AD1" w14:textId="77777777">
        <w:trPr>
          <w:gridAfter w:val="2"/>
          <w:divId w:val="34623750"/>
        </w:trPr>
        <w:tc>
          <w:tcPr>
            <w:tcW w:w="0" w:type="auto"/>
            <w:gridSpan w:val="4"/>
            <w:shd w:val="clear" w:color="auto" w:fill="CCEEFF"/>
            <w:tcMar>
              <w:top w:w="30" w:type="dxa"/>
              <w:left w:w="20" w:type="dxa"/>
              <w:bottom w:w="30" w:type="dxa"/>
              <w:right w:w="20" w:type="dxa"/>
            </w:tcMar>
            <w:vAlign w:val="bottom"/>
            <w:hideMark/>
          </w:tcPr>
          <w:p w14:paraId="4378098B" w14:textId="77777777" w:rsidR="00000000" w:rsidRDefault="00405D16">
            <w:pPr>
              <w:spacing w:after="100"/>
              <w:rPr>
                <w:rFonts w:eastAsia="Times New Roman"/>
              </w:rPr>
            </w:pPr>
            <w:r>
              <w:rPr>
                <w:rFonts w:eastAsia="Times New Roman"/>
                <w:color w:val="000000"/>
                <w:sz w:val="16"/>
                <w:szCs w:val="16"/>
              </w:rPr>
              <w:t>Balance as of June 30, 2020</w:t>
            </w:r>
          </w:p>
        </w:tc>
        <w:tc>
          <w:tcPr>
            <w:tcW w:w="0" w:type="auto"/>
            <w:gridSpan w:val="3"/>
            <w:shd w:val="clear" w:color="auto" w:fill="CCEEFF"/>
            <w:tcMar>
              <w:top w:w="0" w:type="dxa"/>
              <w:left w:w="20" w:type="dxa"/>
              <w:bottom w:w="0" w:type="dxa"/>
              <w:right w:w="20" w:type="dxa"/>
            </w:tcMar>
            <w:vAlign w:val="center"/>
            <w:hideMark/>
          </w:tcPr>
          <w:p w14:paraId="6F12FC40" w14:textId="77777777" w:rsidR="00000000" w:rsidRDefault="00405D16">
            <w:pPr>
              <w:spacing w:after="100"/>
              <w:rPr>
                <w:rFonts w:eastAsia="Times New Roman"/>
              </w:rPr>
            </w:pPr>
          </w:p>
        </w:tc>
        <w:tc>
          <w:tcPr>
            <w:tcW w:w="0" w:type="auto"/>
            <w:gridSpan w:val="4"/>
            <w:shd w:val="clear" w:color="auto" w:fill="CCEEFF"/>
            <w:tcMar>
              <w:top w:w="30" w:type="dxa"/>
              <w:left w:w="20" w:type="dxa"/>
              <w:bottom w:w="30" w:type="dxa"/>
              <w:right w:w="0" w:type="dxa"/>
            </w:tcMar>
            <w:vAlign w:val="center"/>
            <w:hideMark/>
          </w:tcPr>
          <w:p w14:paraId="46640C86"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07415277"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005544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77F18B6"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01E3CDC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59B54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B8BBC1C"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1ABC56D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5B3ED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5863FFB"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7A51486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53E83F"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14:paraId="7D01755A" w14:textId="77777777" w:rsidR="00000000" w:rsidRDefault="00405D16">
            <w:pPr>
              <w:spacing w:after="100"/>
              <w:jc w:val="right"/>
              <w:rPr>
                <w:rFonts w:eastAsia="Times New Roman"/>
              </w:rPr>
            </w:pPr>
            <w:r>
              <w:rPr>
                <w:rFonts w:eastAsia="Times New Roman"/>
                <w:color w:val="000000"/>
                <w:sz w:val="16"/>
                <w:szCs w:val="16"/>
              </w:rPr>
              <w:t>— </w:t>
            </w:r>
          </w:p>
        </w:tc>
        <w:tc>
          <w:tcPr>
            <w:tcW w:w="0" w:type="auto"/>
            <w:gridSpan w:val="2"/>
            <w:shd w:val="clear" w:color="auto" w:fill="CCEEFF"/>
            <w:tcMar>
              <w:top w:w="30" w:type="dxa"/>
              <w:left w:w="0" w:type="dxa"/>
              <w:bottom w:w="30" w:type="dxa"/>
              <w:right w:w="20" w:type="dxa"/>
            </w:tcMar>
            <w:vAlign w:val="center"/>
            <w:hideMark/>
          </w:tcPr>
          <w:p w14:paraId="3BFFEDF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57EDEC"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14:paraId="1C4F597E"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2B28F9B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FF904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04EEE9A" w14:textId="77777777" w:rsidR="00000000" w:rsidRDefault="00405D16">
            <w:pPr>
              <w:spacing w:after="100"/>
              <w:jc w:val="right"/>
              <w:rPr>
                <w:rFonts w:eastAsia="Times New Roman"/>
              </w:rPr>
            </w:pPr>
            <w:r>
              <w:rPr>
                <w:rFonts w:eastAsia="Times New Roman"/>
                <w:color w:val="000000"/>
                <w:sz w:val="16"/>
                <w:szCs w:val="16"/>
              </w:rPr>
              <w:t>218 </w:t>
            </w:r>
          </w:p>
        </w:tc>
        <w:tc>
          <w:tcPr>
            <w:tcW w:w="0" w:type="auto"/>
            <w:shd w:val="clear" w:color="auto" w:fill="CCEEFF"/>
            <w:tcMar>
              <w:top w:w="30" w:type="dxa"/>
              <w:left w:w="0" w:type="dxa"/>
              <w:bottom w:w="30" w:type="dxa"/>
              <w:right w:w="20" w:type="dxa"/>
            </w:tcMar>
            <w:vAlign w:val="center"/>
            <w:hideMark/>
          </w:tcPr>
          <w:p w14:paraId="5F24589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689AF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80DA8FC" w14:textId="77777777" w:rsidR="00000000" w:rsidRDefault="00405D16">
            <w:pPr>
              <w:spacing w:after="100"/>
              <w:jc w:val="right"/>
              <w:rPr>
                <w:rFonts w:eastAsia="Times New Roman"/>
              </w:rPr>
            </w:pPr>
            <w:r>
              <w:rPr>
                <w:rFonts w:eastAsia="Times New Roman"/>
                <w:color w:val="000000"/>
                <w:sz w:val="16"/>
                <w:szCs w:val="16"/>
              </w:rPr>
              <w:t>218 </w:t>
            </w:r>
          </w:p>
        </w:tc>
        <w:tc>
          <w:tcPr>
            <w:tcW w:w="0" w:type="auto"/>
            <w:shd w:val="clear" w:color="auto" w:fill="CCEEFF"/>
            <w:tcMar>
              <w:top w:w="30" w:type="dxa"/>
              <w:left w:w="0" w:type="dxa"/>
              <w:bottom w:w="30" w:type="dxa"/>
              <w:right w:w="20" w:type="dxa"/>
            </w:tcMar>
            <w:vAlign w:val="center"/>
            <w:hideMark/>
          </w:tcPr>
          <w:p w14:paraId="5F188850" w14:textId="77777777" w:rsidR="00000000" w:rsidRDefault="00405D16">
            <w:pPr>
              <w:spacing w:after="100"/>
              <w:jc w:val="right"/>
              <w:rPr>
                <w:rFonts w:eastAsia="Times New Roman"/>
              </w:rPr>
            </w:pPr>
          </w:p>
        </w:tc>
      </w:tr>
      <w:tr w:rsidR="00000000" w14:paraId="07BFF626" w14:textId="77777777">
        <w:trPr>
          <w:gridAfter w:val="2"/>
          <w:divId w:val="34623750"/>
        </w:trPr>
        <w:tc>
          <w:tcPr>
            <w:tcW w:w="0" w:type="auto"/>
            <w:gridSpan w:val="4"/>
            <w:shd w:val="clear" w:color="auto" w:fill="FFFFFF"/>
            <w:tcMar>
              <w:top w:w="30" w:type="dxa"/>
              <w:left w:w="20" w:type="dxa"/>
              <w:bottom w:w="30" w:type="dxa"/>
              <w:right w:w="20" w:type="dxa"/>
            </w:tcMar>
            <w:vAlign w:val="bottom"/>
            <w:hideMark/>
          </w:tcPr>
          <w:p w14:paraId="636D0106" w14:textId="77777777" w:rsidR="00000000" w:rsidRDefault="00405D16">
            <w:pPr>
              <w:spacing w:after="100"/>
              <w:rPr>
                <w:rFonts w:eastAsia="Times New Roman"/>
              </w:rPr>
            </w:pPr>
            <w:r>
              <w:rPr>
                <w:rFonts w:eastAsia="Times New Roman"/>
                <w:color w:val="000000"/>
                <w:sz w:val="16"/>
                <w:szCs w:val="16"/>
              </w:rPr>
              <w:t>Provision (benefit) for losses on unfunded lending commitments</w:t>
            </w:r>
          </w:p>
        </w:tc>
        <w:tc>
          <w:tcPr>
            <w:tcW w:w="0" w:type="auto"/>
            <w:gridSpan w:val="3"/>
            <w:shd w:val="clear" w:color="auto" w:fill="FFFFFF"/>
            <w:tcMar>
              <w:top w:w="0" w:type="dxa"/>
              <w:left w:w="20" w:type="dxa"/>
              <w:bottom w:w="0" w:type="dxa"/>
              <w:right w:w="20" w:type="dxa"/>
            </w:tcMar>
            <w:vAlign w:val="center"/>
            <w:hideMark/>
          </w:tcPr>
          <w:p w14:paraId="67CD3FDC" w14:textId="77777777" w:rsidR="00000000" w:rsidRDefault="00405D16">
            <w:pPr>
              <w:spacing w:after="100"/>
              <w:rPr>
                <w:rFonts w:eastAsia="Times New Roman"/>
              </w:rPr>
            </w:pPr>
          </w:p>
        </w:tc>
        <w:tc>
          <w:tcPr>
            <w:tcW w:w="0" w:type="auto"/>
            <w:gridSpan w:val="4"/>
            <w:shd w:val="clear" w:color="auto" w:fill="FFFFFF"/>
            <w:tcMar>
              <w:top w:w="30" w:type="dxa"/>
              <w:left w:w="20" w:type="dxa"/>
              <w:bottom w:w="30" w:type="dxa"/>
              <w:right w:w="0" w:type="dxa"/>
            </w:tcMar>
            <w:vAlign w:val="bottom"/>
            <w:hideMark/>
          </w:tcPr>
          <w:p w14:paraId="4817BE5A"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1EE5DF5"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409762F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BD355E"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7B5062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B8F58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B1330F"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900A48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B5E12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8C9CBF"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166089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64E526"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73B7972D" w14:textId="77777777" w:rsidR="00000000" w:rsidRDefault="00405D16">
            <w:pPr>
              <w:spacing w:after="100"/>
              <w:jc w:val="right"/>
              <w:rPr>
                <w:rFonts w:eastAsia="Times New Roman"/>
              </w:rPr>
            </w:pPr>
            <w:r>
              <w:rPr>
                <w:rFonts w:eastAsia="Times New Roman"/>
                <w:color w:val="000000"/>
                <w:sz w:val="16"/>
                <w:szCs w:val="16"/>
              </w:rPr>
              <w:t>— </w:t>
            </w:r>
          </w:p>
        </w:tc>
        <w:tc>
          <w:tcPr>
            <w:tcW w:w="0" w:type="auto"/>
            <w:gridSpan w:val="2"/>
            <w:shd w:val="clear" w:color="auto" w:fill="FFFFFF"/>
            <w:tcMar>
              <w:top w:w="30" w:type="dxa"/>
              <w:left w:w="0" w:type="dxa"/>
              <w:bottom w:w="30" w:type="dxa"/>
              <w:right w:w="20" w:type="dxa"/>
            </w:tcMar>
            <w:vAlign w:val="bottom"/>
            <w:hideMark/>
          </w:tcPr>
          <w:p w14:paraId="652F984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F1C12B"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6E8C859B"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FEE763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3A971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C234A7" w14:textId="77777777" w:rsidR="00000000" w:rsidRDefault="00405D16">
            <w:pPr>
              <w:spacing w:after="100"/>
              <w:jc w:val="right"/>
              <w:rPr>
                <w:rFonts w:eastAsia="Times New Roman"/>
              </w:rPr>
            </w:pPr>
            <w:r>
              <w:rPr>
                <w:rFonts w:eastAsia="Times New Roman"/>
                <w:color w:val="000000"/>
                <w:sz w:val="16"/>
                <w:szCs w:val="16"/>
              </w:rPr>
              <w:t>(23)</w:t>
            </w:r>
          </w:p>
        </w:tc>
        <w:tc>
          <w:tcPr>
            <w:tcW w:w="0" w:type="auto"/>
            <w:shd w:val="clear" w:color="auto" w:fill="FFFFFF"/>
            <w:tcMar>
              <w:top w:w="30" w:type="dxa"/>
              <w:left w:w="0" w:type="dxa"/>
              <w:bottom w:w="30" w:type="dxa"/>
              <w:right w:w="20" w:type="dxa"/>
            </w:tcMar>
            <w:vAlign w:val="bottom"/>
            <w:hideMark/>
          </w:tcPr>
          <w:p w14:paraId="396ABD7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F34D0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DFEF38" w14:textId="77777777" w:rsidR="00000000" w:rsidRDefault="00405D16">
            <w:pPr>
              <w:spacing w:after="100"/>
              <w:jc w:val="right"/>
              <w:rPr>
                <w:rFonts w:eastAsia="Times New Roman"/>
              </w:rPr>
            </w:pPr>
            <w:r>
              <w:rPr>
                <w:rFonts w:eastAsia="Times New Roman"/>
                <w:color w:val="000000"/>
                <w:sz w:val="16"/>
                <w:szCs w:val="16"/>
              </w:rPr>
              <w:t>(23)</w:t>
            </w:r>
          </w:p>
        </w:tc>
        <w:tc>
          <w:tcPr>
            <w:tcW w:w="0" w:type="auto"/>
            <w:shd w:val="clear" w:color="auto" w:fill="FFFFFF"/>
            <w:tcMar>
              <w:top w:w="30" w:type="dxa"/>
              <w:left w:w="0" w:type="dxa"/>
              <w:bottom w:w="30" w:type="dxa"/>
              <w:right w:w="20" w:type="dxa"/>
            </w:tcMar>
            <w:vAlign w:val="bottom"/>
            <w:hideMark/>
          </w:tcPr>
          <w:p w14:paraId="37E92F14" w14:textId="77777777" w:rsidR="00000000" w:rsidRDefault="00405D16">
            <w:pPr>
              <w:spacing w:after="100"/>
              <w:jc w:val="right"/>
              <w:rPr>
                <w:rFonts w:eastAsia="Times New Roman"/>
              </w:rPr>
            </w:pPr>
          </w:p>
        </w:tc>
      </w:tr>
      <w:tr w:rsidR="00000000" w14:paraId="25E7C5E1" w14:textId="77777777">
        <w:trPr>
          <w:gridAfter w:val="2"/>
          <w:divId w:val="34623750"/>
        </w:trPr>
        <w:tc>
          <w:tcPr>
            <w:tcW w:w="0" w:type="auto"/>
            <w:gridSpan w:val="4"/>
            <w:shd w:val="clear" w:color="auto" w:fill="CCEEFF"/>
            <w:tcMar>
              <w:top w:w="30" w:type="dxa"/>
              <w:left w:w="20" w:type="dxa"/>
              <w:bottom w:w="30" w:type="dxa"/>
              <w:right w:w="20" w:type="dxa"/>
            </w:tcMar>
            <w:vAlign w:val="bottom"/>
            <w:hideMark/>
          </w:tcPr>
          <w:p w14:paraId="6A52C826" w14:textId="77777777" w:rsidR="00000000" w:rsidRDefault="00405D16">
            <w:pPr>
              <w:spacing w:after="100"/>
              <w:rPr>
                <w:rFonts w:eastAsia="Times New Roman"/>
              </w:rPr>
            </w:pPr>
            <w:r>
              <w:rPr>
                <w:rFonts w:eastAsia="Times New Roman"/>
                <w:color w:val="000000"/>
                <w:sz w:val="16"/>
                <w:szCs w:val="16"/>
              </w:rPr>
              <w:t>Balance as of September 30, 2020</w:t>
            </w:r>
          </w:p>
        </w:tc>
        <w:tc>
          <w:tcPr>
            <w:tcW w:w="0" w:type="auto"/>
            <w:gridSpan w:val="3"/>
            <w:shd w:val="clear" w:color="auto" w:fill="CCEEFF"/>
            <w:tcMar>
              <w:top w:w="0" w:type="dxa"/>
              <w:left w:w="20" w:type="dxa"/>
              <w:bottom w:w="0" w:type="dxa"/>
              <w:right w:w="20" w:type="dxa"/>
            </w:tcMar>
            <w:vAlign w:val="center"/>
            <w:hideMark/>
          </w:tcPr>
          <w:p w14:paraId="04D54A6D" w14:textId="77777777" w:rsidR="00000000" w:rsidRDefault="00405D16">
            <w:pPr>
              <w:spacing w:after="100"/>
              <w:rPr>
                <w:rFonts w:eastAsia="Times New Roman"/>
              </w:rPr>
            </w:pPr>
          </w:p>
        </w:tc>
        <w:tc>
          <w:tcPr>
            <w:tcW w:w="0" w:type="auto"/>
            <w:gridSpan w:val="4"/>
            <w:tcBorders>
              <w:top w:val="single" w:sz="8" w:space="0" w:color="000000"/>
            </w:tcBorders>
            <w:shd w:val="clear" w:color="auto" w:fill="CCEEFF"/>
            <w:tcMar>
              <w:top w:w="30" w:type="dxa"/>
              <w:left w:w="20" w:type="dxa"/>
              <w:bottom w:w="30" w:type="dxa"/>
              <w:right w:w="0" w:type="dxa"/>
            </w:tcMar>
            <w:vAlign w:val="center"/>
            <w:hideMark/>
          </w:tcPr>
          <w:p w14:paraId="0594EB4D" w14:textId="77777777" w:rsidR="00000000" w:rsidRDefault="00405D16">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D13A930"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364E6377"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84A9B94" w14:textId="77777777" w:rsidR="00000000" w:rsidRDefault="00405D16">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13F645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F85276"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C806D4E" w14:textId="77777777" w:rsidR="00000000" w:rsidRDefault="00405D16">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5EE2D8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54F53F"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F5158FC" w14:textId="77777777" w:rsidR="00000000" w:rsidRDefault="00405D16">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ECFB95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068AA3" w14:textId="77777777" w:rsidR="00000000" w:rsidRDefault="00405D16">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0" w:type="dxa"/>
            </w:tcMar>
            <w:vAlign w:val="center"/>
            <w:hideMark/>
          </w:tcPr>
          <w:p w14:paraId="700159FE" w14:textId="77777777" w:rsidR="00000000" w:rsidRDefault="00405D16">
            <w:pPr>
              <w:spacing w:after="100"/>
              <w:jc w:val="right"/>
              <w:rPr>
                <w:rFonts w:eastAsia="Times New Roman"/>
              </w:rPr>
            </w:pPr>
            <w:r>
              <w:rPr>
                <w:rFonts w:eastAsia="Times New Roman"/>
                <w:color w:val="000000"/>
                <w:sz w:val="16"/>
                <w:szCs w:val="16"/>
              </w:rPr>
              <w:t>— </w:t>
            </w:r>
          </w:p>
        </w:tc>
        <w:tc>
          <w:tcPr>
            <w:tcW w:w="0" w:type="auto"/>
            <w:gridSpan w:val="2"/>
            <w:tcBorders>
              <w:top w:val="single" w:sz="8" w:space="0" w:color="000000"/>
            </w:tcBorders>
            <w:shd w:val="clear" w:color="auto" w:fill="CCEEFF"/>
            <w:tcMar>
              <w:top w:w="30" w:type="dxa"/>
              <w:left w:w="0" w:type="dxa"/>
              <w:bottom w:w="30" w:type="dxa"/>
              <w:right w:w="20" w:type="dxa"/>
            </w:tcMar>
            <w:vAlign w:val="center"/>
            <w:hideMark/>
          </w:tcPr>
          <w:p w14:paraId="7EE649C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A83AEA" w14:textId="77777777" w:rsidR="00000000" w:rsidRDefault="00405D16">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0" w:type="dxa"/>
            </w:tcMar>
            <w:vAlign w:val="center"/>
            <w:hideMark/>
          </w:tcPr>
          <w:p w14:paraId="47E92010" w14:textId="77777777" w:rsidR="00000000" w:rsidRDefault="00405D16">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57FE5B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9CB0D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439F323" w14:textId="77777777" w:rsidR="00000000" w:rsidRDefault="00405D16">
            <w:pPr>
              <w:spacing w:after="100"/>
              <w:jc w:val="right"/>
              <w:rPr>
                <w:rFonts w:eastAsia="Times New Roman"/>
              </w:rPr>
            </w:pPr>
            <w:r>
              <w:rPr>
                <w:rFonts w:eastAsia="Times New Roman"/>
                <w:color w:val="000000"/>
                <w:sz w:val="16"/>
                <w:szCs w:val="16"/>
              </w:rPr>
              <w:t>195 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E31724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FA3BE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FD9D208" w14:textId="77777777" w:rsidR="00000000" w:rsidRDefault="00405D16">
            <w:pPr>
              <w:spacing w:after="100"/>
              <w:jc w:val="right"/>
              <w:rPr>
                <w:rFonts w:eastAsia="Times New Roman"/>
              </w:rPr>
            </w:pPr>
            <w:r>
              <w:rPr>
                <w:rFonts w:eastAsia="Times New Roman"/>
                <w:color w:val="000000"/>
                <w:sz w:val="16"/>
                <w:szCs w:val="16"/>
              </w:rPr>
              <w:t>195 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25B5C11" w14:textId="77777777" w:rsidR="00000000" w:rsidRDefault="00405D16">
            <w:pPr>
              <w:spacing w:after="100"/>
              <w:jc w:val="right"/>
              <w:rPr>
                <w:rFonts w:eastAsia="Times New Roman"/>
              </w:rPr>
            </w:pPr>
          </w:p>
        </w:tc>
      </w:tr>
      <w:tr w:rsidR="00405D16" w14:paraId="54630F45" w14:textId="77777777">
        <w:trPr>
          <w:gridAfter w:val="2"/>
          <w:divId w:val="34623750"/>
        </w:trPr>
        <w:tc>
          <w:tcPr>
            <w:tcW w:w="0" w:type="auto"/>
            <w:gridSpan w:val="4"/>
            <w:shd w:val="clear" w:color="auto" w:fill="FFFFFF"/>
            <w:tcMar>
              <w:top w:w="30" w:type="dxa"/>
              <w:left w:w="20" w:type="dxa"/>
              <w:bottom w:w="30" w:type="dxa"/>
              <w:right w:w="20" w:type="dxa"/>
            </w:tcMar>
            <w:vAlign w:val="bottom"/>
            <w:hideMark/>
          </w:tcPr>
          <w:p w14:paraId="479F0A13" w14:textId="77777777" w:rsidR="00000000" w:rsidRDefault="00405D16">
            <w:pPr>
              <w:spacing w:after="100"/>
              <w:rPr>
                <w:rFonts w:eastAsia="Times New Roman"/>
              </w:rPr>
            </w:pPr>
            <w:r>
              <w:rPr>
                <w:rFonts w:eastAsia="Times New Roman"/>
                <w:b/>
                <w:bCs/>
                <w:color w:val="000000"/>
                <w:sz w:val="16"/>
                <w:szCs w:val="16"/>
              </w:rPr>
              <w:t>Combined allowance and reserve as of September 30, 2020</w:t>
            </w:r>
          </w:p>
        </w:tc>
        <w:tc>
          <w:tcPr>
            <w:tcW w:w="0" w:type="auto"/>
            <w:gridSpan w:val="3"/>
            <w:shd w:val="clear" w:color="auto" w:fill="FFFFFF"/>
            <w:tcMar>
              <w:top w:w="0" w:type="dxa"/>
              <w:left w:w="20" w:type="dxa"/>
              <w:bottom w:w="0" w:type="dxa"/>
              <w:right w:w="20" w:type="dxa"/>
            </w:tcMar>
            <w:vAlign w:val="center"/>
            <w:hideMark/>
          </w:tcPr>
          <w:p w14:paraId="3B5263BA"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2C8B4D4" w14:textId="77777777" w:rsidR="00000000" w:rsidRDefault="00405D16">
            <w:pPr>
              <w:spacing w:after="100"/>
              <w:rPr>
                <w:rFonts w:eastAsia="Times New Roman"/>
              </w:rPr>
            </w:pPr>
            <w:r>
              <w:rPr>
                <w:rFonts w:eastAsia="Times New Roman"/>
                <w:color w:val="000000"/>
                <w:sz w:val="16"/>
                <w:szCs w:val="16"/>
              </w:rPr>
              <w:t>$</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8CE1630" w14:textId="77777777" w:rsidR="00000000" w:rsidRDefault="00405D16">
            <w:pPr>
              <w:spacing w:after="100"/>
              <w:jc w:val="right"/>
              <w:rPr>
                <w:rFonts w:eastAsia="Times New Roman"/>
              </w:rPr>
            </w:pPr>
            <w:r>
              <w:rPr>
                <w:rFonts w:eastAsia="Times New Roman"/>
                <w:color w:val="000000"/>
                <w:sz w:val="16"/>
                <w:szCs w:val="16"/>
              </w:rPr>
              <w:t>11,062 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535FBDE"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230C319E"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5D83631"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2A3CDB0" w14:textId="77777777" w:rsidR="00000000" w:rsidRDefault="00405D16">
            <w:pPr>
              <w:spacing w:after="100"/>
              <w:jc w:val="right"/>
              <w:rPr>
                <w:rFonts w:eastAsia="Times New Roman"/>
              </w:rPr>
            </w:pPr>
            <w:r>
              <w:rPr>
                <w:rFonts w:eastAsia="Times New Roman"/>
                <w:color w:val="000000"/>
                <w:sz w:val="16"/>
                <w:szCs w:val="16"/>
              </w:rPr>
              <w:t>550 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116DB9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F3E77C"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C044489"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AC5EFFF" w14:textId="77777777" w:rsidR="00000000" w:rsidRDefault="00405D16">
            <w:pPr>
              <w:spacing w:after="100"/>
              <w:jc w:val="right"/>
              <w:rPr>
                <w:rFonts w:eastAsia="Times New Roman"/>
              </w:rPr>
            </w:pPr>
            <w:r>
              <w:rPr>
                <w:rFonts w:eastAsia="Times New Roman"/>
                <w:color w:val="000000"/>
                <w:sz w:val="16"/>
                <w:szCs w:val="16"/>
              </w:rPr>
              <w:t>11,612 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694D44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A00B40"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4DC41DC"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0D763D2" w14:textId="77777777" w:rsidR="00000000" w:rsidRDefault="00405D16">
            <w:pPr>
              <w:spacing w:after="100"/>
              <w:jc w:val="right"/>
              <w:rPr>
                <w:rFonts w:eastAsia="Times New Roman"/>
              </w:rPr>
            </w:pPr>
            <w:r>
              <w:rPr>
                <w:rFonts w:eastAsia="Times New Roman"/>
                <w:color w:val="000000"/>
                <w:sz w:val="16"/>
                <w:szCs w:val="16"/>
              </w:rPr>
              <w:t>2,647 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21D536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1516F1"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61DFFE1" w14:textId="77777777" w:rsidR="00000000" w:rsidRDefault="00405D16">
            <w:pPr>
              <w:spacing w:after="100"/>
              <w:rPr>
                <w:rFonts w:eastAsia="Times New Roman"/>
              </w:rPr>
            </w:pPr>
            <w:r>
              <w:rPr>
                <w:rFonts w:eastAsia="Times New Roman"/>
                <w:color w:val="000000"/>
                <w:sz w:val="16"/>
                <w:szCs w:val="16"/>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7EE3CE6" w14:textId="77777777" w:rsidR="00000000" w:rsidRDefault="00405D16">
            <w:pPr>
              <w:spacing w:after="100"/>
              <w:jc w:val="right"/>
              <w:rPr>
                <w:rFonts w:eastAsia="Times New Roman"/>
              </w:rPr>
            </w:pPr>
            <w:r>
              <w:rPr>
                <w:rFonts w:eastAsia="Times New Roman"/>
                <w:color w:val="000000"/>
                <w:sz w:val="16"/>
                <w:szCs w:val="16"/>
              </w:rPr>
              <w:t>100 </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9A2F51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A102F0" w14:textId="77777777" w:rsidR="00000000" w:rsidRDefault="00405D1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AFAA8FF"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D32297D" w14:textId="77777777" w:rsidR="00000000" w:rsidRDefault="00405D16">
            <w:pPr>
              <w:spacing w:after="100"/>
              <w:jc w:val="right"/>
              <w:rPr>
                <w:rFonts w:eastAsia="Times New Roman"/>
              </w:rPr>
            </w:pPr>
            <w:r>
              <w:rPr>
                <w:rFonts w:eastAsia="Times New Roman"/>
                <w:color w:val="000000"/>
                <w:sz w:val="16"/>
                <w:szCs w:val="16"/>
              </w:rPr>
              <w:t>2,747 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86E54A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B1BBD9"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C802404"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AF25910" w14:textId="77777777" w:rsidR="00000000" w:rsidRDefault="00405D16">
            <w:pPr>
              <w:spacing w:after="100"/>
              <w:jc w:val="right"/>
              <w:rPr>
                <w:rFonts w:eastAsia="Times New Roman"/>
              </w:rPr>
            </w:pPr>
            <w:r>
              <w:rPr>
                <w:rFonts w:eastAsia="Times New Roman"/>
                <w:color w:val="000000"/>
                <w:sz w:val="16"/>
                <w:szCs w:val="16"/>
              </w:rPr>
              <w:t>1,965 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E4F89B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62EF39"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A802AF5"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1FCDD42" w14:textId="77777777" w:rsidR="00000000" w:rsidRDefault="00405D16">
            <w:pPr>
              <w:spacing w:after="100"/>
              <w:jc w:val="right"/>
              <w:rPr>
                <w:rFonts w:eastAsia="Times New Roman"/>
              </w:rPr>
            </w:pPr>
            <w:r>
              <w:rPr>
                <w:rFonts w:eastAsia="Times New Roman"/>
                <w:color w:val="000000"/>
                <w:sz w:val="16"/>
                <w:szCs w:val="16"/>
              </w:rPr>
              <w:t>16,324 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CC1082A" w14:textId="77777777" w:rsidR="00000000" w:rsidRDefault="00405D16">
            <w:pPr>
              <w:spacing w:after="100"/>
              <w:jc w:val="right"/>
              <w:rPr>
                <w:rFonts w:eastAsia="Times New Roman"/>
              </w:rPr>
            </w:pPr>
          </w:p>
        </w:tc>
      </w:tr>
      <w:tr w:rsidR="00000000" w14:paraId="26927425" w14:textId="77777777">
        <w:tblPrEx>
          <w:tblW w:w="4992" w:type="pct"/>
          <w:jc w:val="center"/>
        </w:tblPrEx>
        <w:trPr>
          <w:jc w:val="center"/>
        </w:trPr>
        <w:tc>
          <w:tcPr>
            <w:tcW w:w="50" w:type="pct"/>
            <w:gridSpan w:val="2"/>
            <w:vAlign w:val="center"/>
            <w:hideMark/>
          </w:tcPr>
          <w:p w14:paraId="774DA600" w14:textId="77777777" w:rsidR="00000000" w:rsidRDefault="00405D16">
            <w:pPr>
              <w:jc w:val="both"/>
              <w:rPr>
                <w:rFonts w:eastAsia="Times New Roman"/>
              </w:rPr>
            </w:pPr>
          </w:p>
        </w:tc>
        <w:tc>
          <w:tcPr>
            <w:tcW w:w="1606" w:type="pct"/>
            <w:gridSpan w:val="7"/>
            <w:vAlign w:val="center"/>
            <w:hideMark/>
          </w:tcPr>
          <w:p w14:paraId="78E64954" w14:textId="77777777" w:rsidR="00000000" w:rsidRDefault="00405D16">
            <w:pPr>
              <w:spacing w:after="100"/>
              <w:rPr>
                <w:rFonts w:eastAsia="Times New Roman"/>
                <w:sz w:val="20"/>
                <w:szCs w:val="20"/>
              </w:rPr>
            </w:pPr>
          </w:p>
        </w:tc>
        <w:tc>
          <w:tcPr>
            <w:tcW w:w="5" w:type="pct"/>
            <w:vAlign w:val="center"/>
            <w:hideMark/>
          </w:tcPr>
          <w:p w14:paraId="35981B1F" w14:textId="77777777" w:rsidR="00000000" w:rsidRDefault="00405D16">
            <w:pPr>
              <w:spacing w:after="100"/>
              <w:rPr>
                <w:rFonts w:eastAsia="Times New Roman"/>
                <w:sz w:val="20"/>
                <w:szCs w:val="20"/>
              </w:rPr>
            </w:pPr>
          </w:p>
        </w:tc>
        <w:tc>
          <w:tcPr>
            <w:tcW w:w="50" w:type="pct"/>
            <w:gridSpan w:val="5"/>
            <w:vAlign w:val="center"/>
            <w:hideMark/>
          </w:tcPr>
          <w:p w14:paraId="275534A1" w14:textId="77777777" w:rsidR="00000000" w:rsidRDefault="00405D16">
            <w:pPr>
              <w:spacing w:after="100"/>
              <w:rPr>
                <w:rFonts w:eastAsia="Times New Roman"/>
                <w:sz w:val="20"/>
                <w:szCs w:val="20"/>
              </w:rPr>
            </w:pPr>
          </w:p>
        </w:tc>
        <w:tc>
          <w:tcPr>
            <w:tcW w:w="1614" w:type="pct"/>
            <w:gridSpan w:val="21"/>
            <w:vAlign w:val="center"/>
            <w:hideMark/>
          </w:tcPr>
          <w:p w14:paraId="0AD0B917" w14:textId="77777777" w:rsidR="00000000" w:rsidRDefault="00405D16">
            <w:pPr>
              <w:spacing w:after="100"/>
              <w:rPr>
                <w:rFonts w:eastAsia="Times New Roman"/>
                <w:sz w:val="20"/>
                <w:szCs w:val="20"/>
              </w:rPr>
            </w:pPr>
          </w:p>
        </w:tc>
        <w:tc>
          <w:tcPr>
            <w:tcW w:w="5" w:type="pct"/>
            <w:gridSpan w:val="2"/>
            <w:vAlign w:val="center"/>
            <w:hideMark/>
          </w:tcPr>
          <w:p w14:paraId="04596E77" w14:textId="77777777" w:rsidR="00000000" w:rsidRDefault="00405D16">
            <w:pPr>
              <w:spacing w:after="100"/>
              <w:rPr>
                <w:rFonts w:eastAsia="Times New Roman"/>
                <w:sz w:val="20"/>
                <w:szCs w:val="20"/>
              </w:rPr>
            </w:pPr>
          </w:p>
        </w:tc>
        <w:tc>
          <w:tcPr>
            <w:tcW w:w="50" w:type="pct"/>
            <w:gridSpan w:val="5"/>
            <w:vAlign w:val="center"/>
            <w:hideMark/>
          </w:tcPr>
          <w:p w14:paraId="75EF8D2A" w14:textId="77777777" w:rsidR="00000000" w:rsidRDefault="00405D16">
            <w:pPr>
              <w:spacing w:after="100"/>
              <w:rPr>
                <w:rFonts w:eastAsia="Times New Roman"/>
                <w:sz w:val="20"/>
                <w:szCs w:val="20"/>
              </w:rPr>
            </w:pPr>
          </w:p>
        </w:tc>
        <w:tc>
          <w:tcPr>
            <w:tcW w:w="1614" w:type="pct"/>
            <w:gridSpan w:val="16"/>
            <w:vAlign w:val="center"/>
            <w:hideMark/>
          </w:tcPr>
          <w:p w14:paraId="02077E78" w14:textId="77777777" w:rsidR="00000000" w:rsidRDefault="00405D16">
            <w:pPr>
              <w:spacing w:after="100"/>
              <w:rPr>
                <w:rFonts w:eastAsia="Times New Roman"/>
                <w:sz w:val="20"/>
                <w:szCs w:val="20"/>
              </w:rPr>
            </w:pPr>
          </w:p>
        </w:tc>
        <w:tc>
          <w:tcPr>
            <w:tcW w:w="5" w:type="pct"/>
            <w:vAlign w:val="center"/>
            <w:hideMark/>
          </w:tcPr>
          <w:p w14:paraId="748B7EF5" w14:textId="77777777" w:rsidR="00000000" w:rsidRDefault="00405D16">
            <w:pPr>
              <w:spacing w:after="100"/>
              <w:rPr>
                <w:rFonts w:eastAsia="Times New Roman"/>
                <w:sz w:val="20"/>
                <w:szCs w:val="20"/>
              </w:rPr>
            </w:pPr>
          </w:p>
        </w:tc>
      </w:tr>
      <w:tr w:rsidR="00000000" w14:paraId="1D0147E3" w14:textId="77777777">
        <w:tblPrEx>
          <w:tblW w:w="4992" w:type="pct"/>
          <w:jc w:val="center"/>
        </w:tblPrEx>
        <w:trPr>
          <w:trHeight w:val="300"/>
          <w:jc w:val="center"/>
        </w:trPr>
        <w:tc>
          <w:tcPr>
            <w:tcW w:w="0" w:type="auto"/>
            <w:gridSpan w:val="60"/>
            <w:tcMar>
              <w:top w:w="0" w:type="dxa"/>
              <w:left w:w="20" w:type="dxa"/>
              <w:bottom w:w="0" w:type="dxa"/>
              <w:right w:w="20" w:type="dxa"/>
            </w:tcMar>
            <w:vAlign w:val="center"/>
            <w:hideMark/>
          </w:tcPr>
          <w:p w14:paraId="5B7E72A7" w14:textId="77777777" w:rsidR="00000000" w:rsidRDefault="00405D16">
            <w:pPr>
              <w:spacing w:after="100"/>
              <w:rPr>
                <w:rFonts w:eastAsia="Times New Roman"/>
                <w:sz w:val="20"/>
                <w:szCs w:val="20"/>
              </w:rPr>
            </w:pPr>
          </w:p>
        </w:tc>
      </w:tr>
      <w:tr w:rsidR="00000000" w14:paraId="2C9EFEEB" w14:textId="77777777">
        <w:tblPrEx>
          <w:tblW w:w="4992" w:type="pct"/>
          <w:jc w:val="center"/>
        </w:tblPrEx>
        <w:trPr>
          <w:jc w:val="center"/>
        </w:trPr>
        <w:tc>
          <w:tcPr>
            <w:tcW w:w="0" w:type="auto"/>
            <w:gridSpan w:val="10"/>
            <w:tcMar>
              <w:top w:w="0" w:type="dxa"/>
              <w:left w:w="20" w:type="dxa"/>
              <w:bottom w:w="0" w:type="dxa"/>
              <w:right w:w="20" w:type="dxa"/>
            </w:tcMar>
            <w:vAlign w:val="center"/>
            <w:hideMark/>
          </w:tcPr>
          <w:p w14:paraId="552F936D" w14:textId="77777777" w:rsidR="00000000" w:rsidRDefault="00405D16">
            <w:pPr>
              <w:spacing w:after="100"/>
              <w:rPr>
                <w:rFonts w:eastAsia="Times New Roman"/>
                <w:sz w:val="20"/>
                <w:szCs w:val="20"/>
              </w:rPr>
            </w:pPr>
          </w:p>
        </w:tc>
        <w:tc>
          <w:tcPr>
            <w:tcW w:w="0" w:type="auto"/>
            <w:gridSpan w:val="28"/>
            <w:tcMar>
              <w:top w:w="30" w:type="dxa"/>
              <w:left w:w="20" w:type="dxa"/>
              <w:bottom w:w="30" w:type="dxa"/>
              <w:right w:w="20" w:type="dxa"/>
            </w:tcMar>
            <w:vAlign w:val="bottom"/>
            <w:hideMark/>
          </w:tcPr>
          <w:p w14:paraId="1D378CC6" w14:textId="77777777" w:rsidR="00000000" w:rsidRDefault="00405D16">
            <w:pPr>
              <w:spacing w:after="100"/>
              <w:jc w:val="center"/>
              <w:rPr>
                <w:rFonts w:eastAsia="Times New Roman"/>
              </w:rPr>
            </w:pPr>
            <w:r>
              <w:rPr>
                <w:rFonts w:eastAsia="Times New Roman"/>
                <w:color w:val="000000"/>
                <w:sz w:val="16"/>
                <w:szCs w:val="16"/>
              </w:rPr>
              <w:t>50</w:t>
            </w:r>
          </w:p>
        </w:tc>
        <w:tc>
          <w:tcPr>
            <w:tcW w:w="0" w:type="auto"/>
            <w:gridSpan w:val="22"/>
            <w:tcMar>
              <w:top w:w="30" w:type="dxa"/>
              <w:left w:w="20" w:type="dxa"/>
              <w:bottom w:w="30" w:type="dxa"/>
              <w:right w:w="20" w:type="dxa"/>
            </w:tcMar>
            <w:vAlign w:val="bottom"/>
            <w:hideMark/>
          </w:tcPr>
          <w:p w14:paraId="7720490A"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6AA641A1" w14:textId="77777777" w:rsidR="00000000" w:rsidRDefault="00405D16">
      <w:pPr>
        <w:rPr>
          <w:rFonts w:eastAsia="Times New Roman"/>
        </w:rPr>
      </w:pPr>
      <w:r>
        <w:rPr>
          <w:rFonts w:eastAsia="Times New Roman"/>
        </w:rPr>
        <w:pict w14:anchorId="12336564">
          <v:rect id="_x0000_i1075" style="width:0;height:1.5pt" o:hralign="center" o:hrstd="t" o:hr="t" fillcolor="#a0a0a0" stroked="f"/>
        </w:pict>
      </w:r>
    </w:p>
    <w:p w14:paraId="0730A98A" w14:textId="77777777" w:rsidR="00000000" w:rsidRDefault="00405D16">
      <w:pPr>
        <w:ind w:hanging="360"/>
        <w:jc w:val="both"/>
        <w:divId w:val="2094164622"/>
        <w:rPr>
          <w:rFonts w:eastAsia="Times New Roman"/>
        </w:rPr>
      </w:pPr>
      <w:hyperlink w:anchor="idd54a04a485440b4ab4e56094c14d612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9"/>
        <w:gridCol w:w="2050"/>
        <w:gridCol w:w="38"/>
        <w:gridCol w:w="36"/>
        <w:gridCol w:w="36"/>
        <w:gridCol w:w="36"/>
        <w:gridCol w:w="100"/>
        <w:gridCol w:w="480"/>
        <w:gridCol w:w="36"/>
        <w:gridCol w:w="36"/>
        <w:gridCol w:w="36"/>
        <w:gridCol w:w="36"/>
        <w:gridCol w:w="101"/>
        <w:gridCol w:w="674"/>
        <w:gridCol w:w="36"/>
        <w:gridCol w:w="36"/>
        <w:gridCol w:w="36"/>
        <w:gridCol w:w="36"/>
        <w:gridCol w:w="100"/>
        <w:gridCol w:w="480"/>
        <w:gridCol w:w="36"/>
        <w:gridCol w:w="36"/>
        <w:gridCol w:w="36"/>
        <w:gridCol w:w="36"/>
        <w:gridCol w:w="100"/>
        <w:gridCol w:w="400"/>
        <w:gridCol w:w="36"/>
        <w:gridCol w:w="36"/>
        <w:gridCol w:w="36"/>
        <w:gridCol w:w="36"/>
        <w:gridCol w:w="101"/>
        <w:gridCol w:w="416"/>
        <w:gridCol w:w="36"/>
        <w:gridCol w:w="36"/>
        <w:gridCol w:w="36"/>
        <w:gridCol w:w="36"/>
        <w:gridCol w:w="101"/>
        <w:gridCol w:w="526"/>
        <w:gridCol w:w="36"/>
        <w:gridCol w:w="36"/>
        <w:gridCol w:w="36"/>
        <w:gridCol w:w="36"/>
        <w:gridCol w:w="101"/>
        <w:gridCol w:w="623"/>
        <w:gridCol w:w="36"/>
        <w:gridCol w:w="36"/>
        <w:gridCol w:w="36"/>
        <w:gridCol w:w="36"/>
        <w:gridCol w:w="36"/>
        <w:gridCol w:w="36"/>
        <w:gridCol w:w="36"/>
        <w:gridCol w:w="36"/>
        <w:gridCol w:w="100"/>
        <w:gridCol w:w="480"/>
        <w:gridCol w:w="36"/>
      </w:tblGrid>
      <w:tr w:rsidR="00000000" w14:paraId="2C3A1545" w14:textId="77777777">
        <w:trPr>
          <w:divId w:val="431173222"/>
        </w:trPr>
        <w:tc>
          <w:tcPr>
            <w:tcW w:w="50" w:type="pct"/>
            <w:vAlign w:val="center"/>
            <w:hideMark/>
          </w:tcPr>
          <w:p w14:paraId="70E4C3C2" w14:textId="77777777" w:rsidR="00000000" w:rsidRDefault="00405D16">
            <w:pPr>
              <w:ind w:hanging="360"/>
              <w:jc w:val="both"/>
              <w:rPr>
                <w:rFonts w:eastAsia="Times New Roman"/>
              </w:rPr>
            </w:pPr>
          </w:p>
        </w:tc>
        <w:tc>
          <w:tcPr>
            <w:tcW w:w="1955" w:type="pct"/>
            <w:vAlign w:val="center"/>
            <w:hideMark/>
          </w:tcPr>
          <w:p w14:paraId="1336E543" w14:textId="77777777" w:rsidR="00000000" w:rsidRDefault="00405D16">
            <w:pPr>
              <w:spacing w:after="100"/>
              <w:rPr>
                <w:rFonts w:eastAsia="Times New Roman"/>
                <w:sz w:val="20"/>
                <w:szCs w:val="20"/>
              </w:rPr>
            </w:pPr>
          </w:p>
        </w:tc>
        <w:tc>
          <w:tcPr>
            <w:tcW w:w="5" w:type="pct"/>
            <w:vAlign w:val="center"/>
            <w:hideMark/>
          </w:tcPr>
          <w:p w14:paraId="3C05F183" w14:textId="77777777" w:rsidR="00000000" w:rsidRDefault="00405D16">
            <w:pPr>
              <w:spacing w:after="100"/>
              <w:rPr>
                <w:rFonts w:eastAsia="Times New Roman"/>
                <w:sz w:val="20"/>
                <w:szCs w:val="20"/>
              </w:rPr>
            </w:pPr>
          </w:p>
        </w:tc>
        <w:tc>
          <w:tcPr>
            <w:tcW w:w="5" w:type="pct"/>
            <w:vAlign w:val="center"/>
            <w:hideMark/>
          </w:tcPr>
          <w:p w14:paraId="4B0F14F1" w14:textId="77777777" w:rsidR="00000000" w:rsidRDefault="00405D16">
            <w:pPr>
              <w:spacing w:after="100"/>
              <w:rPr>
                <w:rFonts w:eastAsia="Times New Roman"/>
                <w:sz w:val="20"/>
                <w:szCs w:val="20"/>
              </w:rPr>
            </w:pPr>
          </w:p>
        </w:tc>
        <w:tc>
          <w:tcPr>
            <w:tcW w:w="26" w:type="pct"/>
            <w:vAlign w:val="center"/>
            <w:hideMark/>
          </w:tcPr>
          <w:p w14:paraId="1CA3400A" w14:textId="77777777" w:rsidR="00000000" w:rsidRDefault="00405D16">
            <w:pPr>
              <w:spacing w:after="100"/>
              <w:rPr>
                <w:rFonts w:eastAsia="Times New Roman"/>
                <w:sz w:val="20"/>
                <w:szCs w:val="20"/>
              </w:rPr>
            </w:pPr>
          </w:p>
        </w:tc>
        <w:tc>
          <w:tcPr>
            <w:tcW w:w="5" w:type="pct"/>
            <w:vAlign w:val="center"/>
            <w:hideMark/>
          </w:tcPr>
          <w:p w14:paraId="3DDC74FB" w14:textId="77777777" w:rsidR="00000000" w:rsidRDefault="00405D16">
            <w:pPr>
              <w:spacing w:after="100"/>
              <w:rPr>
                <w:rFonts w:eastAsia="Times New Roman"/>
                <w:sz w:val="20"/>
                <w:szCs w:val="20"/>
              </w:rPr>
            </w:pPr>
          </w:p>
        </w:tc>
        <w:tc>
          <w:tcPr>
            <w:tcW w:w="50" w:type="pct"/>
            <w:vAlign w:val="center"/>
            <w:hideMark/>
          </w:tcPr>
          <w:p w14:paraId="4D80A79C" w14:textId="77777777" w:rsidR="00000000" w:rsidRDefault="00405D16">
            <w:pPr>
              <w:spacing w:after="100"/>
              <w:rPr>
                <w:rFonts w:eastAsia="Times New Roman"/>
                <w:sz w:val="20"/>
                <w:szCs w:val="20"/>
              </w:rPr>
            </w:pPr>
          </w:p>
        </w:tc>
        <w:tc>
          <w:tcPr>
            <w:tcW w:w="266" w:type="pct"/>
            <w:vAlign w:val="center"/>
            <w:hideMark/>
          </w:tcPr>
          <w:p w14:paraId="5BAAF120" w14:textId="77777777" w:rsidR="00000000" w:rsidRDefault="00405D16">
            <w:pPr>
              <w:spacing w:after="100"/>
              <w:rPr>
                <w:rFonts w:eastAsia="Times New Roman"/>
                <w:sz w:val="20"/>
                <w:szCs w:val="20"/>
              </w:rPr>
            </w:pPr>
          </w:p>
        </w:tc>
        <w:tc>
          <w:tcPr>
            <w:tcW w:w="5" w:type="pct"/>
            <w:vAlign w:val="center"/>
            <w:hideMark/>
          </w:tcPr>
          <w:p w14:paraId="47F13037" w14:textId="77777777" w:rsidR="00000000" w:rsidRDefault="00405D16">
            <w:pPr>
              <w:spacing w:after="100"/>
              <w:rPr>
                <w:rFonts w:eastAsia="Times New Roman"/>
                <w:sz w:val="20"/>
                <w:szCs w:val="20"/>
              </w:rPr>
            </w:pPr>
          </w:p>
        </w:tc>
        <w:tc>
          <w:tcPr>
            <w:tcW w:w="5" w:type="pct"/>
            <w:vAlign w:val="center"/>
            <w:hideMark/>
          </w:tcPr>
          <w:p w14:paraId="0AD394C9" w14:textId="77777777" w:rsidR="00000000" w:rsidRDefault="00405D16">
            <w:pPr>
              <w:spacing w:after="100"/>
              <w:rPr>
                <w:rFonts w:eastAsia="Times New Roman"/>
                <w:sz w:val="20"/>
                <w:szCs w:val="20"/>
              </w:rPr>
            </w:pPr>
          </w:p>
        </w:tc>
        <w:tc>
          <w:tcPr>
            <w:tcW w:w="26" w:type="pct"/>
            <w:vAlign w:val="center"/>
            <w:hideMark/>
          </w:tcPr>
          <w:p w14:paraId="71FF9E96" w14:textId="77777777" w:rsidR="00000000" w:rsidRDefault="00405D16">
            <w:pPr>
              <w:spacing w:after="100"/>
              <w:rPr>
                <w:rFonts w:eastAsia="Times New Roman"/>
                <w:sz w:val="20"/>
                <w:szCs w:val="20"/>
              </w:rPr>
            </w:pPr>
          </w:p>
        </w:tc>
        <w:tc>
          <w:tcPr>
            <w:tcW w:w="5" w:type="pct"/>
            <w:vAlign w:val="center"/>
            <w:hideMark/>
          </w:tcPr>
          <w:p w14:paraId="7673C9D7" w14:textId="77777777" w:rsidR="00000000" w:rsidRDefault="00405D16">
            <w:pPr>
              <w:spacing w:after="100"/>
              <w:rPr>
                <w:rFonts w:eastAsia="Times New Roman"/>
                <w:sz w:val="20"/>
                <w:szCs w:val="20"/>
              </w:rPr>
            </w:pPr>
          </w:p>
        </w:tc>
        <w:tc>
          <w:tcPr>
            <w:tcW w:w="50" w:type="pct"/>
            <w:vAlign w:val="center"/>
            <w:hideMark/>
          </w:tcPr>
          <w:p w14:paraId="531325EE" w14:textId="77777777" w:rsidR="00000000" w:rsidRDefault="00405D16">
            <w:pPr>
              <w:spacing w:after="100"/>
              <w:rPr>
                <w:rFonts w:eastAsia="Times New Roman"/>
                <w:sz w:val="20"/>
                <w:szCs w:val="20"/>
              </w:rPr>
            </w:pPr>
          </w:p>
        </w:tc>
        <w:tc>
          <w:tcPr>
            <w:tcW w:w="361" w:type="pct"/>
            <w:vAlign w:val="center"/>
            <w:hideMark/>
          </w:tcPr>
          <w:p w14:paraId="20A2F9CC" w14:textId="77777777" w:rsidR="00000000" w:rsidRDefault="00405D16">
            <w:pPr>
              <w:spacing w:after="100"/>
              <w:rPr>
                <w:rFonts w:eastAsia="Times New Roman"/>
                <w:sz w:val="20"/>
                <w:szCs w:val="20"/>
              </w:rPr>
            </w:pPr>
          </w:p>
        </w:tc>
        <w:tc>
          <w:tcPr>
            <w:tcW w:w="5" w:type="pct"/>
            <w:vAlign w:val="center"/>
            <w:hideMark/>
          </w:tcPr>
          <w:p w14:paraId="2755D4E3" w14:textId="77777777" w:rsidR="00000000" w:rsidRDefault="00405D16">
            <w:pPr>
              <w:spacing w:after="100"/>
              <w:rPr>
                <w:rFonts w:eastAsia="Times New Roman"/>
                <w:sz w:val="20"/>
                <w:szCs w:val="20"/>
              </w:rPr>
            </w:pPr>
          </w:p>
        </w:tc>
        <w:tc>
          <w:tcPr>
            <w:tcW w:w="5" w:type="pct"/>
            <w:vAlign w:val="center"/>
            <w:hideMark/>
          </w:tcPr>
          <w:p w14:paraId="22D4D0C6" w14:textId="77777777" w:rsidR="00000000" w:rsidRDefault="00405D16">
            <w:pPr>
              <w:spacing w:after="100"/>
              <w:rPr>
                <w:rFonts w:eastAsia="Times New Roman"/>
                <w:sz w:val="20"/>
                <w:szCs w:val="20"/>
              </w:rPr>
            </w:pPr>
          </w:p>
        </w:tc>
        <w:tc>
          <w:tcPr>
            <w:tcW w:w="26" w:type="pct"/>
            <w:vAlign w:val="center"/>
            <w:hideMark/>
          </w:tcPr>
          <w:p w14:paraId="5959FA45" w14:textId="77777777" w:rsidR="00000000" w:rsidRDefault="00405D16">
            <w:pPr>
              <w:spacing w:after="100"/>
              <w:rPr>
                <w:rFonts w:eastAsia="Times New Roman"/>
                <w:sz w:val="20"/>
                <w:szCs w:val="20"/>
              </w:rPr>
            </w:pPr>
          </w:p>
        </w:tc>
        <w:tc>
          <w:tcPr>
            <w:tcW w:w="5" w:type="pct"/>
            <w:vAlign w:val="center"/>
            <w:hideMark/>
          </w:tcPr>
          <w:p w14:paraId="6BE307B3" w14:textId="77777777" w:rsidR="00000000" w:rsidRDefault="00405D16">
            <w:pPr>
              <w:spacing w:after="100"/>
              <w:rPr>
                <w:rFonts w:eastAsia="Times New Roman"/>
                <w:sz w:val="20"/>
                <w:szCs w:val="20"/>
              </w:rPr>
            </w:pPr>
          </w:p>
        </w:tc>
        <w:tc>
          <w:tcPr>
            <w:tcW w:w="50" w:type="pct"/>
            <w:vAlign w:val="center"/>
            <w:hideMark/>
          </w:tcPr>
          <w:p w14:paraId="7FAB47AC" w14:textId="77777777" w:rsidR="00000000" w:rsidRDefault="00405D16">
            <w:pPr>
              <w:spacing w:after="100"/>
              <w:rPr>
                <w:rFonts w:eastAsia="Times New Roman"/>
                <w:sz w:val="20"/>
                <w:szCs w:val="20"/>
              </w:rPr>
            </w:pPr>
          </w:p>
        </w:tc>
        <w:tc>
          <w:tcPr>
            <w:tcW w:w="266" w:type="pct"/>
            <w:vAlign w:val="center"/>
            <w:hideMark/>
          </w:tcPr>
          <w:p w14:paraId="68E9962E" w14:textId="77777777" w:rsidR="00000000" w:rsidRDefault="00405D16">
            <w:pPr>
              <w:spacing w:after="100"/>
              <w:rPr>
                <w:rFonts w:eastAsia="Times New Roman"/>
                <w:sz w:val="20"/>
                <w:szCs w:val="20"/>
              </w:rPr>
            </w:pPr>
          </w:p>
        </w:tc>
        <w:tc>
          <w:tcPr>
            <w:tcW w:w="5" w:type="pct"/>
            <w:vAlign w:val="center"/>
            <w:hideMark/>
          </w:tcPr>
          <w:p w14:paraId="643356EC" w14:textId="77777777" w:rsidR="00000000" w:rsidRDefault="00405D16">
            <w:pPr>
              <w:spacing w:after="100"/>
              <w:rPr>
                <w:rFonts w:eastAsia="Times New Roman"/>
                <w:sz w:val="20"/>
                <w:szCs w:val="20"/>
              </w:rPr>
            </w:pPr>
          </w:p>
        </w:tc>
        <w:tc>
          <w:tcPr>
            <w:tcW w:w="5" w:type="pct"/>
            <w:vAlign w:val="center"/>
            <w:hideMark/>
          </w:tcPr>
          <w:p w14:paraId="209A9160" w14:textId="77777777" w:rsidR="00000000" w:rsidRDefault="00405D16">
            <w:pPr>
              <w:spacing w:after="100"/>
              <w:rPr>
                <w:rFonts w:eastAsia="Times New Roman"/>
                <w:sz w:val="20"/>
                <w:szCs w:val="20"/>
              </w:rPr>
            </w:pPr>
          </w:p>
        </w:tc>
        <w:tc>
          <w:tcPr>
            <w:tcW w:w="26" w:type="pct"/>
            <w:vAlign w:val="center"/>
            <w:hideMark/>
          </w:tcPr>
          <w:p w14:paraId="64C7CA18" w14:textId="77777777" w:rsidR="00000000" w:rsidRDefault="00405D16">
            <w:pPr>
              <w:spacing w:after="100"/>
              <w:rPr>
                <w:rFonts w:eastAsia="Times New Roman"/>
                <w:sz w:val="20"/>
                <w:szCs w:val="20"/>
              </w:rPr>
            </w:pPr>
          </w:p>
        </w:tc>
        <w:tc>
          <w:tcPr>
            <w:tcW w:w="5" w:type="pct"/>
            <w:vAlign w:val="center"/>
            <w:hideMark/>
          </w:tcPr>
          <w:p w14:paraId="5FA0D9BA" w14:textId="77777777" w:rsidR="00000000" w:rsidRDefault="00405D16">
            <w:pPr>
              <w:spacing w:after="100"/>
              <w:rPr>
                <w:rFonts w:eastAsia="Times New Roman"/>
                <w:sz w:val="20"/>
                <w:szCs w:val="20"/>
              </w:rPr>
            </w:pPr>
          </w:p>
        </w:tc>
        <w:tc>
          <w:tcPr>
            <w:tcW w:w="50" w:type="pct"/>
            <w:vAlign w:val="center"/>
            <w:hideMark/>
          </w:tcPr>
          <w:p w14:paraId="38CD9AB3" w14:textId="77777777" w:rsidR="00000000" w:rsidRDefault="00405D16">
            <w:pPr>
              <w:spacing w:after="100"/>
              <w:rPr>
                <w:rFonts w:eastAsia="Times New Roman"/>
                <w:sz w:val="20"/>
                <w:szCs w:val="20"/>
              </w:rPr>
            </w:pPr>
          </w:p>
        </w:tc>
        <w:tc>
          <w:tcPr>
            <w:tcW w:w="215" w:type="pct"/>
            <w:vAlign w:val="center"/>
            <w:hideMark/>
          </w:tcPr>
          <w:p w14:paraId="42B48E9B" w14:textId="77777777" w:rsidR="00000000" w:rsidRDefault="00405D16">
            <w:pPr>
              <w:spacing w:after="100"/>
              <w:rPr>
                <w:rFonts w:eastAsia="Times New Roman"/>
                <w:sz w:val="20"/>
                <w:szCs w:val="20"/>
              </w:rPr>
            </w:pPr>
          </w:p>
        </w:tc>
        <w:tc>
          <w:tcPr>
            <w:tcW w:w="5" w:type="pct"/>
            <w:vAlign w:val="center"/>
            <w:hideMark/>
          </w:tcPr>
          <w:p w14:paraId="23CFB863" w14:textId="77777777" w:rsidR="00000000" w:rsidRDefault="00405D16">
            <w:pPr>
              <w:spacing w:after="100"/>
              <w:rPr>
                <w:rFonts w:eastAsia="Times New Roman"/>
                <w:sz w:val="20"/>
                <w:szCs w:val="20"/>
              </w:rPr>
            </w:pPr>
          </w:p>
        </w:tc>
        <w:tc>
          <w:tcPr>
            <w:tcW w:w="5" w:type="pct"/>
            <w:vAlign w:val="center"/>
            <w:hideMark/>
          </w:tcPr>
          <w:p w14:paraId="72E16CE7" w14:textId="77777777" w:rsidR="00000000" w:rsidRDefault="00405D16">
            <w:pPr>
              <w:spacing w:after="100"/>
              <w:rPr>
                <w:rFonts w:eastAsia="Times New Roman"/>
                <w:sz w:val="20"/>
                <w:szCs w:val="20"/>
              </w:rPr>
            </w:pPr>
          </w:p>
        </w:tc>
        <w:tc>
          <w:tcPr>
            <w:tcW w:w="26" w:type="pct"/>
            <w:vAlign w:val="center"/>
            <w:hideMark/>
          </w:tcPr>
          <w:p w14:paraId="4D1BC9EF" w14:textId="77777777" w:rsidR="00000000" w:rsidRDefault="00405D16">
            <w:pPr>
              <w:spacing w:after="100"/>
              <w:rPr>
                <w:rFonts w:eastAsia="Times New Roman"/>
                <w:sz w:val="20"/>
                <w:szCs w:val="20"/>
              </w:rPr>
            </w:pPr>
          </w:p>
        </w:tc>
        <w:tc>
          <w:tcPr>
            <w:tcW w:w="5" w:type="pct"/>
            <w:vAlign w:val="center"/>
            <w:hideMark/>
          </w:tcPr>
          <w:p w14:paraId="3E1EC4F1" w14:textId="77777777" w:rsidR="00000000" w:rsidRDefault="00405D16">
            <w:pPr>
              <w:spacing w:after="100"/>
              <w:rPr>
                <w:rFonts w:eastAsia="Times New Roman"/>
                <w:sz w:val="20"/>
                <w:szCs w:val="20"/>
              </w:rPr>
            </w:pPr>
          </w:p>
        </w:tc>
        <w:tc>
          <w:tcPr>
            <w:tcW w:w="50" w:type="pct"/>
            <w:vAlign w:val="center"/>
            <w:hideMark/>
          </w:tcPr>
          <w:p w14:paraId="3D7639B4" w14:textId="77777777" w:rsidR="00000000" w:rsidRDefault="00405D16">
            <w:pPr>
              <w:spacing w:after="100"/>
              <w:rPr>
                <w:rFonts w:eastAsia="Times New Roman"/>
                <w:sz w:val="20"/>
                <w:szCs w:val="20"/>
              </w:rPr>
            </w:pPr>
          </w:p>
        </w:tc>
        <w:tc>
          <w:tcPr>
            <w:tcW w:w="244" w:type="pct"/>
            <w:vAlign w:val="center"/>
            <w:hideMark/>
          </w:tcPr>
          <w:p w14:paraId="7B90744C" w14:textId="77777777" w:rsidR="00000000" w:rsidRDefault="00405D16">
            <w:pPr>
              <w:spacing w:after="100"/>
              <w:rPr>
                <w:rFonts w:eastAsia="Times New Roman"/>
                <w:sz w:val="20"/>
                <w:szCs w:val="20"/>
              </w:rPr>
            </w:pPr>
          </w:p>
        </w:tc>
        <w:tc>
          <w:tcPr>
            <w:tcW w:w="5" w:type="pct"/>
            <w:vAlign w:val="center"/>
            <w:hideMark/>
          </w:tcPr>
          <w:p w14:paraId="6FCA7381" w14:textId="77777777" w:rsidR="00000000" w:rsidRDefault="00405D16">
            <w:pPr>
              <w:spacing w:after="100"/>
              <w:rPr>
                <w:rFonts w:eastAsia="Times New Roman"/>
                <w:sz w:val="20"/>
                <w:szCs w:val="20"/>
              </w:rPr>
            </w:pPr>
          </w:p>
        </w:tc>
        <w:tc>
          <w:tcPr>
            <w:tcW w:w="5" w:type="pct"/>
            <w:vAlign w:val="center"/>
            <w:hideMark/>
          </w:tcPr>
          <w:p w14:paraId="44BE0B48" w14:textId="77777777" w:rsidR="00000000" w:rsidRDefault="00405D16">
            <w:pPr>
              <w:spacing w:after="100"/>
              <w:rPr>
                <w:rFonts w:eastAsia="Times New Roman"/>
                <w:sz w:val="20"/>
                <w:szCs w:val="20"/>
              </w:rPr>
            </w:pPr>
          </w:p>
        </w:tc>
        <w:tc>
          <w:tcPr>
            <w:tcW w:w="26" w:type="pct"/>
            <w:vAlign w:val="center"/>
            <w:hideMark/>
          </w:tcPr>
          <w:p w14:paraId="49C3A6E4" w14:textId="77777777" w:rsidR="00000000" w:rsidRDefault="00405D16">
            <w:pPr>
              <w:spacing w:after="100"/>
              <w:rPr>
                <w:rFonts w:eastAsia="Times New Roman"/>
                <w:sz w:val="20"/>
                <w:szCs w:val="20"/>
              </w:rPr>
            </w:pPr>
          </w:p>
        </w:tc>
        <w:tc>
          <w:tcPr>
            <w:tcW w:w="5" w:type="pct"/>
            <w:vAlign w:val="center"/>
            <w:hideMark/>
          </w:tcPr>
          <w:p w14:paraId="71E65B95" w14:textId="77777777" w:rsidR="00000000" w:rsidRDefault="00405D16">
            <w:pPr>
              <w:spacing w:after="100"/>
              <w:rPr>
                <w:rFonts w:eastAsia="Times New Roman"/>
                <w:sz w:val="20"/>
                <w:szCs w:val="20"/>
              </w:rPr>
            </w:pPr>
          </w:p>
        </w:tc>
        <w:tc>
          <w:tcPr>
            <w:tcW w:w="50" w:type="pct"/>
            <w:vAlign w:val="center"/>
            <w:hideMark/>
          </w:tcPr>
          <w:p w14:paraId="2D544C68" w14:textId="77777777" w:rsidR="00000000" w:rsidRDefault="00405D16">
            <w:pPr>
              <w:spacing w:after="100"/>
              <w:rPr>
                <w:rFonts w:eastAsia="Times New Roman"/>
                <w:sz w:val="20"/>
                <w:szCs w:val="20"/>
              </w:rPr>
            </w:pPr>
          </w:p>
        </w:tc>
        <w:tc>
          <w:tcPr>
            <w:tcW w:w="317" w:type="pct"/>
            <w:vAlign w:val="center"/>
            <w:hideMark/>
          </w:tcPr>
          <w:p w14:paraId="1603ED34" w14:textId="77777777" w:rsidR="00000000" w:rsidRDefault="00405D16">
            <w:pPr>
              <w:spacing w:after="100"/>
              <w:rPr>
                <w:rFonts w:eastAsia="Times New Roman"/>
                <w:sz w:val="20"/>
                <w:szCs w:val="20"/>
              </w:rPr>
            </w:pPr>
          </w:p>
        </w:tc>
        <w:tc>
          <w:tcPr>
            <w:tcW w:w="5" w:type="pct"/>
            <w:vAlign w:val="center"/>
            <w:hideMark/>
          </w:tcPr>
          <w:p w14:paraId="2FAF98F1" w14:textId="77777777" w:rsidR="00000000" w:rsidRDefault="00405D16">
            <w:pPr>
              <w:spacing w:after="100"/>
              <w:rPr>
                <w:rFonts w:eastAsia="Times New Roman"/>
                <w:sz w:val="20"/>
                <w:szCs w:val="20"/>
              </w:rPr>
            </w:pPr>
          </w:p>
        </w:tc>
        <w:tc>
          <w:tcPr>
            <w:tcW w:w="5" w:type="pct"/>
            <w:vAlign w:val="center"/>
            <w:hideMark/>
          </w:tcPr>
          <w:p w14:paraId="7E8B201A" w14:textId="77777777" w:rsidR="00000000" w:rsidRDefault="00405D16">
            <w:pPr>
              <w:spacing w:after="100"/>
              <w:rPr>
                <w:rFonts w:eastAsia="Times New Roman"/>
                <w:sz w:val="20"/>
                <w:szCs w:val="20"/>
              </w:rPr>
            </w:pPr>
          </w:p>
        </w:tc>
        <w:tc>
          <w:tcPr>
            <w:tcW w:w="26" w:type="pct"/>
            <w:vAlign w:val="center"/>
            <w:hideMark/>
          </w:tcPr>
          <w:p w14:paraId="3A5B7B62" w14:textId="77777777" w:rsidR="00000000" w:rsidRDefault="00405D16">
            <w:pPr>
              <w:spacing w:after="100"/>
              <w:rPr>
                <w:rFonts w:eastAsia="Times New Roman"/>
                <w:sz w:val="20"/>
                <w:szCs w:val="20"/>
              </w:rPr>
            </w:pPr>
          </w:p>
        </w:tc>
        <w:tc>
          <w:tcPr>
            <w:tcW w:w="5" w:type="pct"/>
            <w:vAlign w:val="center"/>
            <w:hideMark/>
          </w:tcPr>
          <w:p w14:paraId="629934D8" w14:textId="77777777" w:rsidR="00000000" w:rsidRDefault="00405D16">
            <w:pPr>
              <w:spacing w:after="100"/>
              <w:rPr>
                <w:rFonts w:eastAsia="Times New Roman"/>
                <w:sz w:val="20"/>
                <w:szCs w:val="20"/>
              </w:rPr>
            </w:pPr>
          </w:p>
        </w:tc>
        <w:tc>
          <w:tcPr>
            <w:tcW w:w="50" w:type="pct"/>
            <w:vAlign w:val="center"/>
            <w:hideMark/>
          </w:tcPr>
          <w:p w14:paraId="2A8D1EEF" w14:textId="77777777" w:rsidR="00000000" w:rsidRDefault="00405D16">
            <w:pPr>
              <w:spacing w:after="100"/>
              <w:rPr>
                <w:rFonts w:eastAsia="Times New Roman"/>
                <w:sz w:val="20"/>
                <w:szCs w:val="20"/>
              </w:rPr>
            </w:pPr>
          </w:p>
        </w:tc>
        <w:tc>
          <w:tcPr>
            <w:tcW w:w="332" w:type="pct"/>
            <w:vAlign w:val="center"/>
            <w:hideMark/>
          </w:tcPr>
          <w:p w14:paraId="02E86FD9" w14:textId="77777777" w:rsidR="00000000" w:rsidRDefault="00405D16">
            <w:pPr>
              <w:spacing w:after="100"/>
              <w:rPr>
                <w:rFonts w:eastAsia="Times New Roman"/>
                <w:sz w:val="20"/>
                <w:szCs w:val="20"/>
              </w:rPr>
            </w:pPr>
          </w:p>
        </w:tc>
        <w:tc>
          <w:tcPr>
            <w:tcW w:w="5" w:type="pct"/>
            <w:vAlign w:val="center"/>
            <w:hideMark/>
          </w:tcPr>
          <w:p w14:paraId="2A179413" w14:textId="77777777" w:rsidR="00000000" w:rsidRDefault="00405D16">
            <w:pPr>
              <w:spacing w:after="100"/>
              <w:rPr>
                <w:rFonts w:eastAsia="Times New Roman"/>
                <w:sz w:val="20"/>
                <w:szCs w:val="20"/>
              </w:rPr>
            </w:pPr>
          </w:p>
        </w:tc>
        <w:tc>
          <w:tcPr>
            <w:tcW w:w="5" w:type="pct"/>
            <w:vAlign w:val="center"/>
            <w:hideMark/>
          </w:tcPr>
          <w:p w14:paraId="6598783E" w14:textId="77777777" w:rsidR="00000000" w:rsidRDefault="00405D16">
            <w:pPr>
              <w:spacing w:after="100"/>
              <w:rPr>
                <w:rFonts w:eastAsia="Times New Roman"/>
                <w:sz w:val="20"/>
                <w:szCs w:val="20"/>
              </w:rPr>
            </w:pPr>
          </w:p>
        </w:tc>
        <w:tc>
          <w:tcPr>
            <w:tcW w:w="26" w:type="pct"/>
            <w:vAlign w:val="center"/>
            <w:hideMark/>
          </w:tcPr>
          <w:p w14:paraId="2549BD1D" w14:textId="77777777" w:rsidR="00000000" w:rsidRDefault="00405D16">
            <w:pPr>
              <w:spacing w:after="100"/>
              <w:rPr>
                <w:rFonts w:eastAsia="Times New Roman"/>
                <w:sz w:val="20"/>
                <w:szCs w:val="20"/>
              </w:rPr>
            </w:pPr>
          </w:p>
        </w:tc>
        <w:tc>
          <w:tcPr>
            <w:tcW w:w="5" w:type="pct"/>
            <w:vAlign w:val="center"/>
            <w:hideMark/>
          </w:tcPr>
          <w:p w14:paraId="18E8CC2B" w14:textId="77777777" w:rsidR="00000000" w:rsidRDefault="00405D16">
            <w:pPr>
              <w:spacing w:after="100"/>
              <w:rPr>
                <w:rFonts w:eastAsia="Times New Roman"/>
                <w:sz w:val="20"/>
                <w:szCs w:val="20"/>
              </w:rPr>
            </w:pPr>
          </w:p>
        </w:tc>
        <w:tc>
          <w:tcPr>
            <w:tcW w:w="0" w:type="auto"/>
            <w:vAlign w:val="center"/>
            <w:hideMark/>
          </w:tcPr>
          <w:p w14:paraId="35ED3DCD" w14:textId="77777777" w:rsidR="00000000" w:rsidRDefault="00405D16">
            <w:pPr>
              <w:spacing w:after="100"/>
              <w:rPr>
                <w:rFonts w:eastAsia="Times New Roman"/>
                <w:sz w:val="20"/>
                <w:szCs w:val="20"/>
              </w:rPr>
            </w:pPr>
          </w:p>
        </w:tc>
        <w:tc>
          <w:tcPr>
            <w:tcW w:w="0" w:type="auto"/>
            <w:gridSpan w:val="3"/>
            <w:vAlign w:val="center"/>
            <w:hideMark/>
          </w:tcPr>
          <w:p w14:paraId="6968B371" w14:textId="77777777" w:rsidR="00000000" w:rsidRDefault="00405D16">
            <w:pPr>
              <w:spacing w:after="100"/>
              <w:rPr>
                <w:rFonts w:eastAsia="Times New Roman"/>
                <w:sz w:val="20"/>
                <w:szCs w:val="20"/>
              </w:rPr>
            </w:pPr>
          </w:p>
        </w:tc>
        <w:tc>
          <w:tcPr>
            <w:tcW w:w="50" w:type="pct"/>
            <w:vAlign w:val="center"/>
            <w:hideMark/>
          </w:tcPr>
          <w:p w14:paraId="70B8EB50" w14:textId="77777777" w:rsidR="00000000" w:rsidRDefault="00405D16">
            <w:pPr>
              <w:spacing w:after="100"/>
              <w:rPr>
                <w:rFonts w:eastAsia="Times New Roman"/>
                <w:sz w:val="20"/>
                <w:szCs w:val="20"/>
              </w:rPr>
            </w:pPr>
          </w:p>
        </w:tc>
        <w:tc>
          <w:tcPr>
            <w:tcW w:w="252" w:type="pct"/>
            <w:vAlign w:val="center"/>
            <w:hideMark/>
          </w:tcPr>
          <w:p w14:paraId="0128402C" w14:textId="77777777" w:rsidR="00000000" w:rsidRDefault="00405D16">
            <w:pPr>
              <w:spacing w:after="100"/>
              <w:rPr>
                <w:rFonts w:eastAsia="Times New Roman"/>
                <w:sz w:val="20"/>
                <w:szCs w:val="20"/>
              </w:rPr>
            </w:pPr>
          </w:p>
        </w:tc>
        <w:tc>
          <w:tcPr>
            <w:tcW w:w="5" w:type="pct"/>
            <w:vAlign w:val="center"/>
            <w:hideMark/>
          </w:tcPr>
          <w:p w14:paraId="00327EE0" w14:textId="77777777" w:rsidR="00000000" w:rsidRDefault="00405D16">
            <w:pPr>
              <w:spacing w:after="100"/>
              <w:rPr>
                <w:rFonts w:eastAsia="Times New Roman"/>
                <w:sz w:val="20"/>
                <w:szCs w:val="20"/>
              </w:rPr>
            </w:pPr>
          </w:p>
        </w:tc>
      </w:tr>
      <w:tr w:rsidR="00000000" w14:paraId="5BEC165D" w14:textId="77777777">
        <w:trPr>
          <w:divId w:val="431173222"/>
        </w:trPr>
        <w:tc>
          <w:tcPr>
            <w:tcW w:w="0" w:type="auto"/>
            <w:gridSpan w:val="3"/>
            <w:tcMar>
              <w:top w:w="0" w:type="dxa"/>
              <w:left w:w="20" w:type="dxa"/>
              <w:bottom w:w="0" w:type="dxa"/>
              <w:right w:w="20" w:type="dxa"/>
            </w:tcMar>
            <w:vAlign w:val="center"/>
            <w:hideMark/>
          </w:tcPr>
          <w:p w14:paraId="4B4EB864"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604AADF" w14:textId="77777777" w:rsidR="00000000" w:rsidRDefault="00405D16">
            <w:pPr>
              <w:spacing w:after="100"/>
              <w:rPr>
                <w:rFonts w:eastAsia="Times New Roman"/>
                <w:sz w:val="20"/>
                <w:szCs w:val="20"/>
              </w:rPr>
            </w:pPr>
          </w:p>
        </w:tc>
        <w:tc>
          <w:tcPr>
            <w:tcW w:w="0" w:type="auto"/>
            <w:gridSpan w:val="43"/>
            <w:tcMar>
              <w:top w:w="30" w:type="dxa"/>
              <w:left w:w="20" w:type="dxa"/>
              <w:bottom w:w="30" w:type="dxa"/>
              <w:right w:w="20" w:type="dxa"/>
            </w:tcMar>
            <w:vAlign w:val="bottom"/>
            <w:hideMark/>
          </w:tcPr>
          <w:p w14:paraId="1C1BFEFC" w14:textId="77777777" w:rsidR="00000000" w:rsidRDefault="00405D16">
            <w:pPr>
              <w:spacing w:after="100"/>
              <w:jc w:val="center"/>
              <w:rPr>
                <w:rFonts w:eastAsia="Times New Roman"/>
              </w:rPr>
            </w:pPr>
            <w:r>
              <w:rPr>
                <w:rFonts w:eastAsia="Times New Roman"/>
                <w:b/>
                <w:bCs/>
                <w:color w:val="000000"/>
                <w:sz w:val="13"/>
                <w:szCs w:val="13"/>
              </w:rPr>
              <w:t>Nine Months Ended September 30, 2020</w:t>
            </w:r>
          </w:p>
        </w:tc>
        <w:tc>
          <w:tcPr>
            <w:tcW w:w="0" w:type="auto"/>
            <w:vAlign w:val="center"/>
            <w:hideMark/>
          </w:tcPr>
          <w:p w14:paraId="7911D871" w14:textId="77777777" w:rsidR="00000000" w:rsidRDefault="00405D16">
            <w:pPr>
              <w:spacing w:after="100"/>
              <w:rPr>
                <w:rFonts w:eastAsia="Times New Roman"/>
                <w:sz w:val="20"/>
                <w:szCs w:val="20"/>
              </w:rPr>
            </w:pPr>
          </w:p>
        </w:tc>
        <w:tc>
          <w:tcPr>
            <w:tcW w:w="0" w:type="auto"/>
            <w:vAlign w:val="center"/>
            <w:hideMark/>
          </w:tcPr>
          <w:p w14:paraId="3CA97185" w14:textId="77777777" w:rsidR="00000000" w:rsidRDefault="00405D16">
            <w:pPr>
              <w:spacing w:after="100"/>
              <w:rPr>
                <w:rFonts w:eastAsia="Times New Roman"/>
                <w:sz w:val="20"/>
                <w:szCs w:val="20"/>
              </w:rPr>
            </w:pPr>
          </w:p>
        </w:tc>
        <w:tc>
          <w:tcPr>
            <w:tcW w:w="0" w:type="auto"/>
            <w:vAlign w:val="center"/>
            <w:hideMark/>
          </w:tcPr>
          <w:p w14:paraId="4B74C891" w14:textId="77777777" w:rsidR="00000000" w:rsidRDefault="00405D16">
            <w:pPr>
              <w:spacing w:after="100"/>
              <w:rPr>
                <w:rFonts w:eastAsia="Times New Roman"/>
                <w:sz w:val="20"/>
                <w:szCs w:val="20"/>
              </w:rPr>
            </w:pPr>
          </w:p>
        </w:tc>
        <w:tc>
          <w:tcPr>
            <w:tcW w:w="0" w:type="auto"/>
            <w:vAlign w:val="center"/>
            <w:hideMark/>
          </w:tcPr>
          <w:p w14:paraId="5A3F46EE" w14:textId="77777777" w:rsidR="00000000" w:rsidRDefault="00405D16">
            <w:pPr>
              <w:spacing w:after="100"/>
              <w:rPr>
                <w:rFonts w:eastAsia="Times New Roman"/>
                <w:sz w:val="20"/>
                <w:szCs w:val="20"/>
              </w:rPr>
            </w:pPr>
          </w:p>
        </w:tc>
        <w:tc>
          <w:tcPr>
            <w:tcW w:w="0" w:type="auto"/>
            <w:vAlign w:val="center"/>
            <w:hideMark/>
          </w:tcPr>
          <w:p w14:paraId="4890F3A6" w14:textId="77777777" w:rsidR="00000000" w:rsidRDefault="00405D16">
            <w:pPr>
              <w:spacing w:after="100"/>
              <w:rPr>
                <w:rFonts w:eastAsia="Times New Roman"/>
                <w:sz w:val="20"/>
                <w:szCs w:val="20"/>
              </w:rPr>
            </w:pPr>
          </w:p>
        </w:tc>
        <w:tc>
          <w:tcPr>
            <w:tcW w:w="0" w:type="auto"/>
            <w:vAlign w:val="center"/>
            <w:hideMark/>
          </w:tcPr>
          <w:p w14:paraId="7BE00350" w14:textId="77777777" w:rsidR="00000000" w:rsidRDefault="00405D16">
            <w:pPr>
              <w:spacing w:after="100"/>
              <w:rPr>
                <w:rFonts w:eastAsia="Times New Roman"/>
                <w:sz w:val="20"/>
                <w:szCs w:val="20"/>
              </w:rPr>
            </w:pPr>
          </w:p>
        </w:tc>
      </w:tr>
      <w:tr w:rsidR="00000000" w14:paraId="655CB801" w14:textId="77777777">
        <w:trPr>
          <w:divId w:val="431173222"/>
        </w:trPr>
        <w:tc>
          <w:tcPr>
            <w:tcW w:w="0" w:type="auto"/>
            <w:gridSpan w:val="3"/>
            <w:tcMar>
              <w:top w:w="0" w:type="dxa"/>
              <w:left w:w="20" w:type="dxa"/>
              <w:bottom w:w="0" w:type="dxa"/>
              <w:right w:w="20" w:type="dxa"/>
            </w:tcMar>
            <w:vAlign w:val="center"/>
            <w:hideMark/>
          </w:tcPr>
          <w:p w14:paraId="0B22C2D5" w14:textId="77777777" w:rsidR="00000000" w:rsidRDefault="00405D1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F991F13" w14:textId="77777777" w:rsidR="00000000" w:rsidRDefault="00405D16">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14:paraId="4049F07F" w14:textId="77777777" w:rsidR="00000000" w:rsidRDefault="00405D16">
            <w:pPr>
              <w:spacing w:after="100"/>
              <w:jc w:val="center"/>
              <w:rPr>
                <w:rFonts w:eastAsia="Times New Roman"/>
              </w:rPr>
            </w:pPr>
            <w:r>
              <w:rPr>
                <w:rFonts w:eastAsia="Times New Roman"/>
                <w:b/>
                <w:bCs/>
                <w:color w:val="000000"/>
                <w:sz w:val="13"/>
                <w:szCs w:val="13"/>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6F9C14BF" w14:textId="77777777" w:rsidR="00000000" w:rsidRDefault="00405D16">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51D4D0B5" w14:textId="77777777" w:rsidR="00000000" w:rsidRDefault="00405D16">
            <w:pPr>
              <w:spacing w:after="100"/>
              <w:jc w:val="center"/>
              <w:rPr>
                <w:rFonts w:eastAsia="Times New Roman"/>
              </w:rPr>
            </w:pPr>
            <w:r>
              <w:rPr>
                <w:rFonts w:eastAsia="Times New Roman"/>
                <w:b/>
                <w:bCs/>
                <w:color w:val="000000"/>
                <w:sz w:val="13"/>
                <w:szCs w:val="13"/>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6C578A31" w14:textId="77777777" w:rsidR="00000000" w:rsidRDefault="00405D16">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755D5CDA"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9C01C7F" w14:textId="77777777" w:rsidR="00000000" w:rsidRDefault="00405D16">
            <w:pPr>
              <w:spacing w:after="100"/>
              <w:rPr>
                <w:rFonts w:eastAsia="Times New Roman"/>
                <w:sz w:val="20"/>
                <w:szCs w:val="20"/>
              </w:rPr>
            </w:pPr>
          </w:p>
        </w:tc>
        <w:tc>
          <w:tcPr>
            <w:tcW w:w="0" w:type="auto"/>
            <w:vAlign w:val="center"/>
            <w:hideMark/>
          </w:tcPr>
          <w:p w14:paraId="7A11ED01" w14:textId="77777777" w:rsidR="00000000" w:rsidRDefault="00405D16">
            <w:pPr>
              <w:spacing w:after="100"/>
              <w:rPr>
                <w:rFonts w:eastAsia="Times New Roman"/>
                <w:sz w:val="20"/>
                <w:szCs w:val="20"/>
              </w:rPr>
            </w:pPr>
          </w:p>
        </w:tc>
        <w:tc>
          <w:tcPr>
            <w:tcW w:w="0" w:type="auto"/>
            <w:gridSpan w:val="3"/>
            <w:vAlign w:val="center"/>
            <w:hideMark/>
          </w:tcPr>
          <w:p w14:paraId="1CBE3A66"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8D3186C" w14:textId="77777777" w:rsidR="00000000" w:rsidRDefault="00405D16">
            <w:pPr>
              <w:spacing w:after="100"/>
              <w:rPr>
                <w:rFonts w:eastAsia="Times New Roman"/>
                <w:sz w:val="20"/>
                <w:szCs w:val="20"/>
              </w:rPr>
            </w:pPr>
          </w:p>
        </w:tc>
      </w:tr>
      <w:tr w:rsidR="00000000" w14:paraId="328F2FE1" w14:textId="77777777">
        <w:trPr>
          <w:divId w:val="431173222"/>
        </w:trPr>
        <w:tc>
          <w:tcPr>
            <w:tcW w:w="0" w:type="auto"/>
            <w:gridSpan w:val="3"/>
            <w:tcMar>
              <w:top w:w="30" w:type="dxa"/>
              <w:left w:w="20" w:type="dxa"/>
              <w:bottom w:w="30" w:type="dxa"/>
              <w:right w:w="20" w:type="dxa"/>
            </w:tcMar>
            <w:vAlign w:val="bottom"/>
            <w:hideMark/>
          </w:tcPr>
          <w:p w14:paraId="310BF739" w14:textId="77777777" w:rsidR="00000000" w:rsidRDefault="00405D16">
            <w:pPr>
              <w:spacing w:after="100"/>
              <w:rPr>
                <w:rFonts w:eastAsia="Times New Roman"/>
              </w:rPr>
            </w:pPr>
            <w:r>
              <w:rPr>
                <w:rFonts w:eastAsia="Times New Roman"/>
                <w:i/>
                <w:iCs/>
                <w:color w:val="000000"/>
                <w:sz w:val="13"/>
                <w:szCs w:val="13"/>
              </w:rPr>
              <w:t>(Dollars in millions)</w:t>
            </w:r>
          </w:p>
        </w:tc>
        <w:tc>
          <w:tcPr>
            <w:tcW w:w="0" w:type="auto"/>
            <w:gridSpan w:val="3"/>
            <w:tcMar>
              <w:top w:w="0" w:type="dxa"/>
              <w:left w:w="20" w:type="dxa"/>
              <w:bottom w:w="0" w:type="dxa"/>
              <w:right w:w="20" w:type="dxa"/>
            </w:tcMar>
            <w:vAlign w:val="center"/>
            <w:hideMark/>
          </w:tcPr>
          <w:p w14:paraId="33181F06"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F6AF070" w14:textId="77777777" w:rsidR="00000000" w:rsidRDefault="00405D16">
            <w:pPr>
              <w:spacing w:after="100"/>
              <w:jc w:val="center"/>
              <w:rPr>
                <w:rFonts w:eastAsia="Times New Roman"/>
              </w:rPr>
            </w:pPr>
            <w:r>
              <w:rPr>
                <w:rFonts w:eastAsia="Times New Roman"/>
                <w:b/>
                <w:bCs/>
                <w:color w:val="000000"/>
                <w:sz w:val="13"/>
                <w:szCs w:val="13"/>
              </w:rPr>
              <w:t>Domestic Card</w:t>
            </w:r>
          </w:p>
        </w:tc>
        <w:tc>
          <w:tcPr>
            <w:tcW w:w="0" w:type="auto"/>
            <w:gridSpan w:val="3"/>
            <w:tcBorders>
              <w:top w:val="single" w:sz="8" w:space="0" w:color="000000"/>
            </w:tcBorders>
            <w:tcMar>
              <w:top w:w="0" w:type="dxa"/>
              <w:left w:w="20" w:type="dxa"/>
              <w:bottom w:w="0" w:type="dxa"/>
              <w:right w:w="20" w:type="dxa"/>
            </w:tcMar>
            <w:vAlign w:val="center"/>
            <w:hideMark/>
          </w:tcPr>
          <w:p w14:paraId="0496C891"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79907EB" w14:textId="77777777" w:rsidR="00000000" w:rsidRDefault="00405D16">
            <w:pPr>
              <w:spacing w:after="100"/>
              <w:jc w:val="center"/>
              <w:rPr>
                <w:rFonts w:eastAsia="Times New Roman"/>
              </w:rPr>
            </w:pPr>
            <w:r>
              <w:rPr>
                <w:rFonts w:eastAsia="Times New Roman"/>
                <w:b/>
                <w:bCs/>
                <w:color w:val="000000"/>
                <w:sz w:val="13"/>
                <w:szCs w:val="13"/>
              </w:rPr>
              <w:t>International Card Businesses</w:t>
            </w:r>
          </w:p>
        </w:tc>
        <w:tc>
          <w:tcPr>
            <w:tcW w:w="0" w:type="auto"/>
            <w:gridSpan w:val="3"/>
            <w:tcBorders>
              <w:top w:val="single" w:sz="8" w:space="0" w:color="000000"/>
            </w:tcBorders>
            <w:tcMar>
              <w:top w:w="0" w:type="dxa"/>
              <w:left w:w="20" w:type="dxa"/>
              <w:bottom w:w="0" w:type="dxa"/>
              <w:right w:w="20" w:type="dxa"/>
            </w:tcMar>
            <w:vAlign w:val="center"/>
            <w:hideMark/>
          </w:tcPr>
          <w:p w14:paraId="34D1806A"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4382544" w14:textId="77777777" w:rsidR="00000000" w:rsidRDefault="00405D16">
            <w:pPr>
              <w:spacing w:after="100"/>
              <w:jc w:val="center"/>
              <w:rPr>
                <w:rFonts w:eastAsia="Times New Roman"/>
              </w:rPr>
            </w:pPr>
            <w:r>
              <w:rPr>
                <w:rFonts w:eastAsia="Times New Roman"/>
                <w:b/>
                <w:bCs/>
                <w:color w:val="000000"/>
                <w:sz w:val="13"/>
                <w:szCs w:val="13"/>
              </w:rPr>
              <w:t>Total Credit Card</w:t>
            </w:r>
          </w:p>
        </w:tc>
        <w:tc>
          <w:tcPr>
            <w:tcW w:w="0" w:type="auto"/>
            <w:gridSpan w:val="3"/>
            <w:tcMar>
              <w:top w:w="0" w:type="dxa"/>
              <w:left w:w="20" w:type="dxa"/>
              <w:bottom w:w="0" w:type="dxa"/>
              <w:right w:w="20" w:type="dxa"/>
            </w:tcMar>
            <w:vAlign w:val="center"/>
            <w:hideMark/>
          </w:tcPr>
          <w:p w14:paraId="58FA9BD6"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1393D6E" w14:textId="77777777" w:rsidR="00000000" w:rsidRDefault="00405D16">
            <w:pPr>
              <w:spacing w:after="100"/>
              <w:jc w:val="center"/>
              <w:rPr>
                <w:rFonts w:eastAsia="Times New Roman"/>
              </w:rPr>
            </w:pPr>
            <w:r>
              <w:rPr>
                <w:rFonts w:eastAsia="Times New Roman"/>
                <w:b/>
                <w:bCs/>
                <w:color w:val="000000"/>
                <w:sz w:val="13"/>
                <w:szCs w:val="13"/>
              </w:rPr>
              <w:t>Auto</w:t>
            </w:r>
          </w:p>
        </w:tc>
        <w:tc>
          <w:tcPr>
            <w:tcW w:w="0" w:type="auto"/>
            <w:gridSpan w:val="3"/>
            <w:tcBorders>
              <w:top w:val="single" w:sz="8" w:space="0" w:color="000000"/>
            </w:tcBorders>
            <w:tcMar>
              <w:top w:w="0" w:type="dxa"/>
              <w:left w:w="20" w:type="dxa"/>
              <w:bottom w:w="0" w:type="dxa"/>
              <w:right w:w="20" w:type="dxa"/>
            </w:tcMar>
            <w:vAlign w:val="center"/>
            <w:hideMark/>
          </w:tcPr>
          <w:p w14:paraId="2BF672E3"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8A244B6" w14:textId="77777777" w:rsidR="00000000" w:rsidRDefault="00405D16">
            <w:pPr>
              <w:spacing w:after="100"/>
              <w:jc w:val="center"/>
              <w:rPr>
                <w:rFonts w:eastAsia="Times New Roman"/>
              </w:rPr>
            </w:pPr>
            <w:r>
              <w:rPr>
                <w:rFonts w:eastAsia="Times New Roman"/>
                <w:b/>
                <w:bCs/>
                <w:color w:val="000000"/>
                <w:sz w:val="13"/>
                <w:szCs w:val="13"/>
              </w:rPr>
              <w:t>Retail Banking</w:t>
            </w:r>
          </w:p>
        </w:tc>
        <w:tc>
          <w:tcPr>
            <w:tcW w:w="0" w:type="auto"/>
            <w:gridSpan w:val="3"/>
            <w:tcBorders>
              <w:top w:val="single" w:sz="8" w:space="0" w:color="000000"/>
            </w:tcBorders>
            <w:tcMar>
              <w:top w:w="0" w:type="dxa"/>
              <w:left w:w="20" w:type="dxa"/>
              <w:bottom w:w="0" w:type="dxa"/>
              <w:right w:w="20" w:type="dxa"/>
            </w:tcMar>
            <w:vAlign w:val="center"/>
            <w:hideMark/>
          </w:tcPr>
          <w:p w14:paraId="7432B036"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79F0D5D" w14:textId="77777777" w:rsidR="00000000" w:rsidRDefault="00405D16">
            <w:pPr>
              <w:spacing w:after="100"/>
              <w:jc w:val="center"/>
              <w:rPr>
                <w:rFonts w:eastAsia="Times New Roman"/>
              </w:rPr>
            </w:pPr>
            <w:r>
              <w:rPr>
                <w:rFonts w:eastAsia="Times New Roman"/>
                <w:b/>
                <w:bCs/>
                <w:color w:val="000000"/>
                <w:sz w:val="13"/>
                <w:szCs w:val="13"/>
              </w:rPr>
              <w:t>Total Consumer Banking</w:t>
            </w:r>
          </w:p>
        </w:tc>
        <w:tc>
          <w:tcPr>
            <w:tcW w:w="0" w:type="auto"/>
            <w:gridSpan w:val="3"/>
            <w:tcMar>
              <w:top w:w="0" w:type="dxa"/>
              <w:left w:w="20" w:type="dxa"/>
              <w:bottom w:w="0" w:type="dxa"/>
              <w:right w:w="20" w:type="dxa"/>
            </w:tcMar>
            <w:vAlign w:val="center"/>
            <w:hideMark/>
          </w:tcPr>
          <w:p w14:paraId="0BD08B78"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A833689" w14:textId="77777777" w:rsidR="00000000" w:rsidRDefault="00405D16">
            <w:pPr>
              <w:spacing w:after="100"/>
              <w:jc w:val="center"/>
              <w:rPr>
                <w:rFonts w:eastAsia="Times New Roman"/>
              </w:rPr>
            </w:pPr>
            <w:r>
              <w:rPr>
                <w:rFonts w:eastAsia="Times New Roman"/>
                <w:b/>
                <w:bCs/>
                <w:color w:val="000000"/>
                <w:sz w:val="13"/>
                <w:szCs w:val="13"/>
              </w:rPr>
              <w:t>Commercial Banking</w:t>
            </w:r>
          </w:p>
        </w:tc>
        <w:tc>
          <w:tcPr>
            <w:tcW w:w="0" w:type="auto"/>
            <w:gridSpan w:val="3"/>
            <w:tcMar>
              <w:top w:w="0" w:type="dxa"/>
              <w:left w:w="20" w:type="dxa"/>
              <w:bottom w:w="0" w:type="dxa"/>
              <w:right w:w="20" w:type="dxa"/>
            </w:tcMar>
            <w:vAlign w:val="center"/>
            <w:hideMark/>
          </w:tcPr>
          <w:p w14:paraId="76D00B98" w14:textId="77777777" w:rsidR="00000000" w:rsidRDefault="00405D16">
            <w:pPr>
              <w:spacing w:after="100"/>
              <w:jc w:val="center"/>
              <w:rPr>
                <w:rFonts w:eastAsia="Times New Roman"/>
              </w:rPr>
            </w:pPr>
          </w:p>
        </w:tc>
        <w:tc>
          <w:tcPr>
            <w:tcW w:w="0" w:type="auto"/>
            <w:vAlign w:val="center"/>
            <w:hideMark/>
          </w:tcPr>
          <w:p w14:paraId="2659C0A7" w14:textId="77777777" w:rsidR="00000000" w:rsidRDefault="00405D16">
            <w:pPr>
              <w:spacing w:after="100"/>
              <w:rPr>
                <w:rFonts w:eastAsia="Times New Roman"/>
                <w:sz w:val="20"/>
                <w:szCs w:val="20"/>
              </w:rPr>
            </w:pPr>
          </w:p>
        </w:tc>
        <w:tc>
          <w:tcPr>
            <w:tcW w:w="0" w:type="auto"/>
            <w:gridSpan w:val="3"/>
            <w:vAlign w:val="center"/>
            <w:hideMark/>
          </w:tcPr>
          <w:p w14:paraId="5C409903"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53AF9D5" w14:textId="77777777" w:rsidR="00000000" w:rsidRDefault="00405D16">
            <w:pPr>
              <w:spacing w:after="100"/>
              <w:jc w:val="center"/>
              <w:rPr>
                <w:rFonts w:eastAsia="Times New Roman"/>
              </w:rPr>
            </w:pPr>
            <w:r>
              <w:rPr>
                <w:rFonts w:eastAsia="Times New Roman"/>
                <w:b/>
                <w:bCs/>
                <w:color w:val="000000"/>
                <w:sz w:val="13"/>
                <w:szCs w:val="13"/>
              </w:rPr>
              <w:t>Total</w:t>
            </w:r>
          </w:p>
        </w:tc>
      </w:tr>
      <w:tr w:rsidR="00000000" w14:paraId="2B4F841B" w14:textId="77777777">
        <w:trPr>
          <w:divId w:val="43117322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A2C99DD" w14:textId="77777777" w:rsidR="00000000" w:rsidRDefault="00405D16">
            <w:pPr>
              <w:spacing w:after="100"/>
              <w:rPr>
                <w:rFonts w:eastAsia="Times New Roman"/>
              </w:rPr>
            </w:pPr>
            <w:r>
              <w:rPr>
                <w:rFonts w:eastAsia="Times New Roman"/>
                <w:b/>
                <w:bCs/>
                <w:color w:val="000000"/>
                <w:sz w:val="16"/>
                <w:szCs w:val="16"/>
              </w:rPr>
              <w:t>Allowance for credit losses:</w:t>
            </w:r>
          </w:p>
        </w:tc>
        <w:tc>
          <w:tcPr>
            <w:tcW w:w="0" w:type="auto"/>
            <w:gridSpan w:val="3"/>
            <w:shd w:val="clear" w:color="auto" w:fill="CCEEFF"/>
            <w:tcMar>
              <w:top w:w="0" w:type="dxa"/>
              <w:left w:w="20" w:type="dxa"/>
              <w:bottom w:w="0" w:type="dxa"/>
              <w:right w:w="20" w:type="dxa"/>
            </w:tcMar>
            <w:vAlign w:val="center"/>
            <w:hideMark/>
          </w:tcPr>
          <w:p w14:paraId="5C1785EE"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D79E2B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FB457F"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DA5E9C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05A267"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34049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A1C18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68AD3E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EF2540"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F74B8C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E28549"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C20222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CBFE54"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7E8982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2226DA" w14:textId="77777777" w:rsidR="00000000" w:rsidRDefault="00405D16">
            <w:pPr>
              <w:spacing w:after="100"/>
              <w:rPr>
                <w:rFonts w:eastAsia="Times New Roman"/>
                <w:sz w:val="20"/>
                <w:szCs w:val="20"/>
              </w:rPr>
            </w:pPr>
          </w:p>
        </w:tc>
        <w:tc>
          <w:tcPr>
            <w:tcW w:w="0" w:type="auto"/>
            <w:vAlign w:val="center"/>
            <w:hideMark/>
          </w:tcPr>
          <w:p w14:paraId="16393764" w14:textId="77777777" w:rsidR="00000000" w:rsidRDefault="00405D16">
            <w:pPr>
              <w:spacing w:after="100"/>
              <w:rPr>
                <w:rFonts w:eastAsia="Times New Roman"/>
                <w:sz w:val="20"/>
                <w:szCs w:val="20"/>
              </w:rPr>
            </w:pPr>
          </w:p>
        </w:tc>
        <w:tc>
          <w:tcPr>
            <w:tcW w:w="0" w:type="auto"/>
            <w:gridSpan w:val="3"/>
            <w:vAlign w:val="center"/>
            <w:hideMark/>
          </w:tcPr>
          <w:p w14:paraId="2C0EA1A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85CCDC9" w14:textId="77777777" w:rsidR="00000000" w:rsidRDefault="00405D16">
            <w:pPr>
              <w:spacing w:after="100"/>
              <w:rPr>
                <w:rFonts w:eastAsia="Times New Roman"/>
                <w:sz w:val="20"/>
                <w:szCs w:val="20"/>
              </w:rPr>
            </w:pPr>
          </w:p>
        </w:tc>
      </w:tr>
      <w:tr w:rsidR="00405D16" w14:paraId="3DA8F04F" w14:textId="77777777">
        <w:trPr>
          <w:divId w:val="431173222"/>
        </w:trPr>
        <w:tc>
          <w:tcPr>
            <w:tcW w:w="0" w:type="auto"/>
            <w:gridSpan w:val="3"/>
            <w:shd w:val="clear" w:color="auto" w:fill="FFFFFF"/>
            <w:tcMar>
              <w:top w:w="30" w:type="dxa"/>
              <w:left w:w="20" w:type="dxa"/>
              <w:bottom w:w="30" w:type="dxa"/>
              <w:right w:w="20" w:type="dxa"/>
            </w:tcMar>
            <w:vAlign w:val="bottom"/>
            <w:hideMark/>
          </w:tcPr>
          <w:p w14:paraId="248BC724" w14:textId="77777777" w:rsidR="00000000" w:rsidRDefault="00405D16">
            <w:pPr>
              <w:spacing w:after="100"/>
              <w:rPr>
                <w:rFonts w:eastAsia="Times New Roman"/>
              </w:rPr>
            </w:pPr>
            <w:r>
              <w:rPr>
                <w:rFonts w:eastAsia="Times New Roman"/>
                <w:color w:val="000000"/>
                <w:sz w:val="16"/>
                <w:szCs w:val="16"/>
              </w:rPr>
              <w:t>Balance as of December 31, 2019</w:t>
            </w:r>
          </w:p>
        </w:tc>
        <w:tc>
          <w:tcPr>
            <w:tcW w:w="0" w:type="auto"/>
            <w:gridSpan w:val="3"/>
            <w:shd w:val="clear" w:color="auto" w:fill="FFFFFF"/>
            <w:tcMar>
              <w:top w:w="0" w:type="dxa"/>
              <w:left w:w="20" w:type="dxa"/>
              <w:bottom w:w="0" w:type="dxa"/>
              <w:right w:w="20" w:type="dxa"/>
            </w:tcMar>
            <w:vAlign w:val="center"/>
            <w:hideMark/>
          </w:tcPr>
          <w:p w14:paraId="216386EC"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023BD338" w14:textId="77777777" w:rsidR="00000000" w:rsidRDefault="00405D1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4C22C9C2" w14:textId="77777777" w:rsidR="00000000" w:rsidRDefault="00405D16">
            <w:pPr>
              <w:spacing w:after="100"/>
              <w:jc w:val="right"/>
              <w:rPr>
                <w:rFonts w:eastAsia="Times New Roman"/>
              </w:rPr>
            </w:pPr>
            <w:r>
              <w:rPr>
                <w:rFonts w:eastAsia="Times New Roman"/>
                <w:color w:val="000000"/>
                <w:sz w:val="16"/>
                <w:szCs w:val="16"/>
              </w:rPr>
              <w:t>4,997 </w:t>
            </w:r>
          </w:p>
        </w:tc>
        <w:tc>
          <w:tcPr>
            <w:tcW w:w="0" w:type="auto"/>
            <w:shd w:val="clear" w:color="auto" w:fill="FFFFFF"/>
            <w:tcMar>
              <w:top w:w="30" w:type="dxa"/>
              <w:left w:w="0" w:type="dxa"/>
              <w:bottom w:w="30" w:type="dxa"/>
              <w:right w:w="20" w:type="dxa"/>
            </w:tcMar>
            <w:vAlign w:val="center"/>
            <w:hideMark/>
          </w:tcPr>
          <w:p w14:paraId="6DA2FD1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D3E4CC"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BFD3BC0" w14:textId="77777777" w:rsidR="00000000" w:rsidRDefault="00405D1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3CEA2631" w14:textId="77777777" w:rsidR="00000000" w:rsidRDefault="00405D16">
            <w:pPr>
              <w:spacing w:after="100"/>
              <w:jc w:val="right"/>
              <w:rPr>
                <w:rFonts w:eastAsia="Times New Roman"/>
              </w:rPr>
            </w:pPr>
            <w:r>
              <w:rPr>
                <w:rFonts w:eastAsia="Times New Roman"/>
                <w:color w:val="000000"/>
                <w:sz w:val="16"/>
                <w:szCs w:val="16"/>
              </w:rPr>
              <w:t>398 </w:t>
            </w:r>
          </w:p>
        </w:tc>
        <w:tc>
          <w:tcPr>
            <w:tcW w:w="0" w:type="auto"/>
            <w:shd w:val="clear" w:color="auto" w:fill="FFFFFF"/>
            <w:tcMar>
              <w:top w:w="30" w:type="dxa"/>
              <w:left w:w="0" w:type="dxa"/>
              <w:bottom w:w="30" w:type="dxa"/>
              <w:right w:w="20" w:type="dxa"/>
            </w:tcMar>
            <w:vAlign w:val="center"/>
            <w:hideMark/>
          </w:tcPr>
          <w:p w14:paraId="7DC7FFF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B287BB"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80E005A" w14:textId="77777777" w:rsidR="00000000" w:rsidRDefault="00405D1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7C305A6D" w14:textId="77777777" w:rsidR="00000000" w:rsidRDefault="00405D16">
            <w:pPr>
              <w:spacing w:after="100"/>
              <w:jc w:val="right"/>
              <w:rPr>
                <w:rFonts w:eastAsia="Times New Roman"/>
              </w:rPr>
            </w:pPr>
            <w:r>
              <w:rPr>
                <w:rFonts w:eastAsia="Times New Roman"/>
                <w:color w:val="000000"/>
                <w:sz w:val="16"/>
                <w:szCs w:val="16"/>
              </w:rPr>
              <w:t>5,395 </w:t>
            </w:r>
          </w:p>
        </w:tc>
        <w:tc>
          <w:tcPr>
            <w:tcW w:w="0" w:type="auto"/>
            <w:shd w:val="clear" w:color="auto" w:fill="FFFFFF"/>
            <w:tcMar>
              <w:top w:w="30" w:type="dxa"/>
              <w:left w:w="0" w:type="dxa"/>
              <w:bottom w:w="30" w:type="dxa"/>
              <w:right w:w="20" w:type="dxa"/>
            </w:tcMar>
            <w:vAlign w:val="center"/>
            <w:hideMark/>
          </w:tcPr>
          <w:p w14:paraId="660A10B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3025E8"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12AFE8F" w14:textId="77777777" w:rsidR="00000000" w:rsidRDefault="00405D1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1974A684" w14:textId="77777777" w:rsidR="00000000" w:rsidRDefault="00405D16">
            <w:pPr>
              <w:spacing w:after="100"/>
              <w:jc w:val="right"/>
              <w:rPr>
                <w:rFonts w:eastAsia="Times New Roman"/>
              </w:rPr>
            </w:pPr>
            <w:r>
              <w:rPr>
                <w:rFonts w:eastAsia="Times New Roman"/>
                <w:color w:val="000000"/>
                <w:sz w:val="16"/>
                <w:szCs w:val="16"/>
              </w:rPr>
              <w:t>984 </w:t>
            </w:r>
          </w:p>
        </w:tc>
        <w:tc>
          <w:tcPr>
            <w:tcW w:w="0" w:type="auto"/>
            <w:shd w:val="clear" w:color="auto" w:fill="FFFFFF"/>
            <w:tcMar>
              <w:top w:w="30" w:type="dxa"/>
              <w:left w:w="0" w:type="dxa"/>
              <w:bottom w:w="30" w:type="dxa"/>
              <w:right w:w="20" w:type="dxa"/>
            </w:tcMar>
            <w:vAlign w:val="center"/>
            <w:hideMark/>
          </w:tcPr>
          <w:p w14:paraId="2B24E57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836244"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85D9D59" w14:textId="77777777" w:rsidR="00000000" w:rsidRDefault="00405D1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6A6A4695" w14:textId="77777777" w:rsidR="00000000" w:rsidRDefault="00405D16">
            <w:pPr>
              <w:spacing w:after="100"/>
              <w:jc w:val="right"/>
              <w:rPr>
                <w:rFonts w:eastAsia="Times New Roman"/>
              </w:rPr>
            </w:pPr>
            <w:r>
              <w:rPr>
                <w:rFonts w:eastAsia="Times New Roman"/>
                <w:color w:val="000000"/>
                <w:sz w:val="16"/>
                <w:szCs w:val="16"/>
              </w:rPr>
              <w:t>54 </w:t>
            </w:r>
          </w:p>
        </w:tc>
        <w:tc>
          <w:tcPr>
            <w:tcW w:w="0" w:type="auto"/>
            <w:shd w:val="clear" w:color="auto" w:fill="FFFFFF"/>
            <w:tcMar>
              <w:top w:w="30" w:type="dxa"/>
              <w:left w:w="0" w:type="dxa"/>
              <w:bottom w:w="30" w:type="dxa"/>
              <w:right w:w="20" w:type="dxa"/>
            </w:tcMar>
            <w:vAlign w:val="center"/>
            <w:hideMark/>
          </w:tcPr>
          <w:p w14:paraId="0A22A78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80F6D9"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48ACDC1" w14:textId="77777777" w:rsidR="00000000" w:rsidRDefault="00405D1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3C0446BF" w14:textId="77777777" w:rsidR="00000000" w:rsidRDefault="00405D16">
            <w:pPr>
              <w:spacing w:after="100"/>
              <w:jc w:val="right"/>
              <w:rPr>
                <w:rFonts w:eastAsia="Times New Roman"/>
              </w:rPr>
            </w:pPr>
            <w:r>
              <w:rPr>
                <w:rFonts w:eastAsia="Times New Roman"/>
                <w:color w:val="000000"/>
                <w:sz w:val="16"/>
                <w:szCs w:val="16"/>
              </w:rPr>
              <w:t>1,038 </w:t>
            </w:r>
          </w:p>
        </w:tc>
        <w:tc>
          <w:tcPr>
            <w:tcW w:w="0" w:type="auto"/>
            <w:shd w:val="clear" w:color="auto" w:fill="FFFFFF"/>
            <w:tcMar>
              <w:top w:w="30" w:type="dxa"/>
              <w:left w:w="0" w:type="dxa"/>
              <w:bottom w:w="30" w:type="dxa"/>
              <w:right w:w="20" w:type="dxa"/>
            </w:tcMar>
            <w:vAlign w:val="center"/>
            <w:hideMark/>
          </w:tcPr>
          <w:p w14:paraId="0B1ADAD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4B2315"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D8DAB73" w14:textId="77777777" w:rsidR="00000000" w:rsidRDefault="00405D1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3EF75E47" w14:textId="77777777" w:rsidR="00000000" w:rsidRDefault="00405D16">
            <w:pPr>
              <w:spacing w:after="100"/>
              <w:jc w:val="right"/>
              <w:rPr>
                <w:rFonts w:eastAsia="Times New Roman"/>
              </w:rPr>
            </w:pPr>
            <w:r>
              <w:rPr>
                <w:rFonts w:eastAsia="Times New Roman"/>
                <w:color w:val="000000"/>
                <w:sz w:val="16"/>
                <w:szCs w:val="16"/>
              </w:rPr>
              <w:t>775 </w:t>
            </w:r>
          </w:p>
        </w:tc>
        <w:tc>
          <w:tcPr>
            <w:tcW w:w="0" w:type="auto"/>
            <w:shd w:val="clear" w:color="auto" w:fill="FFFFFF"/>
            <w:tcMar>
              <w:top w:w="30" w:type="dxa"/>
              <w:left w:w="0" w:type="dxa"/>
              <w:bottom w:w="30" w:type="dxa"/>
              <w:right w:w="20" w:type="dxa"/>
            </w:tcMar>
            <w:vAlign w:val="center"/>
            <w:hideMark/>
          </w:tcPr>
          <w:p w14:paraId="32E89B3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985E03" w14:textId="77777777" w:rsidR="00000000" w:rsidRDefault="00405D16">
            <w:pPr>
              <w:spacing w:after="100"/>
              <w:jc w:val="right"/>
              <w:rPr>
                <w:rFonts w:eastAsia="Times New Roman"/>
                <w:sz w:val="20"/>
                <w:szCs w:val="20"/>
              </w:rPr>
            </w:pPr>
          </w:p>
        </w:tc>
        <w:tc>
          <w:tcPr>
            <w:tcW w:w="0" w:type="auto"/>
            <w:vAlign w:val="center"/>
            <w:hideMark/>
          </w:tcPr>
          <w:p w14:paraId="105B4D51" w14:textId="77777777" w:rsidR="00000000" w:rsidRDefault="00405D16">
            <w:pPr>
              <w:spacing w:after="100"/>
              <w:rPr>
                <w:rFonts w:eastAsia="Times New Roman"/>
                <w:sz w:val="20"/>
                <w:szCs w:val="20"/>
              </w:rPr>
            </w:pPr>
          </w:p>
        </w:tc>
        <w:tc>
          <w:tcPr>
            <w:tcW w:w="0" w:type="auto"/>
            <w:gridSpan w:val="3"/>
            <w:vAlign w:val="center"/>
            <w:hideMark/>
          </w:tcPr>
          <w:p w14:paraId="19B1E70F" w14:textId="77777777" w:rsidR="00000000" w:rsidRDefault="00405D16">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8F9DAA0" w14:textId="77777777" w:rsidR="00000000" w:rsidRDefault="00405D1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04452477" w14:textId="77777777" w:rsidR="00000000" w:rsidRDefault="00405D16">
            <w:pPr>
              <w:spacing w:after="100"/>
              <w:jc w:val="right"/>
              <w:rPr>
                <w:rFonts w:eastAsia="Times New Roman"/>
              </w:rPr>
            </w:pPr>
            <w:r>
              <w:rPr>
                <w:rFonts w:eastAsia="Times New Roman"/>
                <w:color w:val="000000"/>
                <w:sz w:val="16"/>
                <w:szCs w:val="16"/>
              </w:rPr>
              <w:t>7,208 </w:t>
            </w:r>
          </w:p>
        </w:tc>
        <w:tc>
          <w:tcPr>
            <w:tcW w:w="0" w:type="auto"/>
            <w:shd w:val="clear" w:color="auto" w:fill="FFFFFF"/>
            <w:tcMar>
              <w:top w:w="30" w:type="dxa"/>
              <w:left w:w="0" w:type="dxa"/>
              <w:bottom w:w="30" w:type="dxa"/>
              <w:right w:w="20" w:type="dxa"/>
            </w:tcMar>
            <w:vAlign w:val="center"/>
            <w:hideMark/>
          </w:tcPr>
          <w:p w14:paraId="6B9491C4" w14:textId="77777777" w:rsidR="00000000" w:rsidRDefault="00405D16">
            <w:pPr>
              <w:spacing w:after="100"/>
              <w:jc w:val="right"/>
              <w:rPr>
                <w:rFonts w:eastAsia="Times New Roman"/>
              </w:rPr>
            </w:pPr>
          </w:p>
        </w:tc>
      </w:tr>
      <w:tr w:rsidR="00405D16" w14:paraId="6D9191E9" w14:textId="77777777">
        <w:trPr>
          <w:divId w:val="431173222"/>
        </w:trPr>
        <w:tc>
          <w:tcPr>
            <w:tcW w:w="0" w:type="auto"/>
            <w:gridSpan w:val="3"/>
            <w:shd w:val="clear" w:color="auto" w:fill="CCEEFF"/>
            <w:tcMar>
              <w:top w:w="30" w:type="dxa"/>
              <w:left w:w="20" w:type="dxa"/>
              <w:bottom w:w="30" w:type="dxa"/>
              <w:right w:w="20" w:type="dxa"/>
            </w:tcMar>
            <w:vAlign w:val="bottom"/>
            <w:hideMark/>
          </w:tcPr>
          <w:p w14:paraId="1517D3F4" w14:textId="77777777" w:rsidR="00000000" w:rsidRDefault="00405D16">
            <w:pPr>
              <w:spacing w:after="100"/>
              <w:rPr>
                <w:rFonts w:eastAsia="Times New Roman"/>
              </w:rPr>
            </w:pPr>
            <w:r>
              <w:rPr>
                <w:rFonts w:eastAsia="Times New Roman"/>
                <w:color w:val="000000"/>
                <w:sz w:val="16"/>
                <w:szCs w:val="16"/>
              </w:rPr>
              <w:t>Cumulative effects from adoption of the CECL standard</w:t>
            </w:r>
          </w:p>
        </w:tc>
        <w:tc>
          <w:tcPr>
            <w:tcW w:w="0" w:type="auto"/>
            <w:gridSpan w:val="3"/>
            <w:shd w:val="clear" w:color="auto" w:fill="CCEEFF"/>
            <w:tcMar>
              <w:top w:w="0" w:type="dxa"/>
              <w:left w:w="20" w:type="dxa"/>
              <w:bottom w:w="0" w:type="dxa"/>
              <w:right w:w="20" w:type="dxa"/>
            </w:tcMar>
            <w:vAlign w:val="center"/>
            <w:hideMark/>
          </w:tcPr>
          <w:p w14:paraId="4E2AF588"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11A3D98" w14:textId="77777777" w:rsidR="00000000" w:rsidRDefault="00405D16">
            <w:pPr>
              <w:spacing w:after="100"/>
              <w:jc w:val="right"/>
              <w:rPr>
                <w:rFonts w:eastAsia="Times New Roman"/>
              </w:rPr>
            </w:pPr>
            <w:r>
              <w:rPr>
                <w:rFonts w:eastAsia="Times New Roman"/>
                <w:color w:val="000000"/>
                <w:sz w:val="16"/>
                <w:szCs w:val="16"/>
              </w:rPr>
              <w:t>2,237 </w:t>
            </w:r>
          </w:p>
        </w:tc>
        <w:tc>
          <w:tcPr>
            <w:tcW w:w="0" w:type="auto"/>
            <w:shd w:val="clear" w:color="auto" w:fill="CCEEFF"/>
            <w:tcMar>
              <w:top w:w="30" w:type="dxa"/>
              <w:left w:w="0" w:type="dxa"/>
              <w:bottom w:w="30" w:type="dxa"/>
              <w:right w:w="20" w:type="dxa"/>
            </w:tcMar>
            <w:vAlign w:val="center"/>
            <w:hideMark/>
          </w:tcPr>
          <w:p w14:paraId="46B9CC3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DCCF5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20C447C" w14:textId="77777777" w:rsidR="00000000" w:rsidRDefault="00405D16">
            <w:pPr>
              <w:spacing w:after="100"/>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center"/>
            <w:hideMark/>
          </w:tcPr>
          <w:p w14:paraId="7BABFBC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E6B3A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0869D2E" w14:textId="77777777" w:rsidR="00000000" w:rsidRDefault="00405D16">
            <w:pPr>
              <w:spacing w:after="100"/>
              <w:jc w:val="right"/>
              <w:rPr>
                <w:rFonts w:eastAsia="Times New Roman"/>
              </w:rPr>
            </w:pPr>
            <w:r>
              <w:rPr>
                <w:rFonts w:eastAsia="Times New Roman"/>
                <w:color w:val="000000"/>
                <w:sz w:val="16"/>
                <w:szCs w:val="16"/>
              </w:rPr>
              <w:t>2,241 </w:t>
            </w:r>
          </w:p>
        </w:tc>
        <w:tc>
          <w:tcPr>
            <w:tcW w:w="0" w:type="auto"/>
            <w:shd w:val="clear" w:color="auto" w:fill="CCEEFF"/>
            <w:tcMar>
              <w:top w:w="30" w:type="dxa"/>
              <w:left w:w="0" w:type="dxa"/>
              <w:bottom w:w="30" w:type="dxa"/>
              <w:right w:w="20" w:type="dxa"/>
            </w:tcMar>
            <w:vAlign w:val="center"/>
            <w:hideMark/>
          </w:tcPr>
          <w:p w14:paraId="6748B83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CEF86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E1C87FE" w14:textId="77777777" w:rsidR="00000000" w:rsidRDefault="00405D16">
            <w:pPr>
              <w:spacing w:after="100"/>
              <w:jc w:val="right"/>
              <w:rPr>
                <w:rFonts w:eastAsia="Times New Roman"/>
              </w:rPr>
            </w:pPr>
            <w:r>
              <w:rPr>
                <w:rFonts w:eastAsia="Times New Roman"/>
                <w:color w:val="000000"/>
                <w:sz w:val="16"/>
                <w:szCs w:val="16"/>
              </w:rPr>
              <w:t>477 </w:t>
            </w:r>
          </w:p>
        </w:tc>
        <w:tc>
          <w:tcPr>
            <w:tcW w:w="0" w:type="auto"/>
            <w:shd w:val="clear" w:color="auto" w:fill="CCEEFF"/>
            <w:tcMar>
              <w:top w:w="30" w:type="dxa"/>
              <w:left w:w="0" w:type="dxa"/>
              <w:bottom w:w="30" w:type="dxa"/>
              <w:right w:w="20" w:type="dxa"/>
            </w:tcMar>
            <w:vAlign w:val="center"/>
            <w:hideMark/>
          </w:tcPr>
          <w:p w14:paraId="279A0FC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5C7D3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33D8A97" w14:textId="77777777" w:rsidR="00000000" w:rsidRDefault="00405D16">
            <w:pPr>
              <w:spacing w:after="100"/>
              <w:jc w:val="right"/>
              <w:rPr>
                <w:rFonts w:eastAsia="Times New Roman"/>
              </w:rPr>
            </w:pPr>
            <w:r>
              <w:rPr>
                <w:rFonts w:eastAsia="Times New Roman"/>
                <w:color w:val="000000"/>
                <w:sz w:val="16"/>
                <w:szCs w:val="16"/>
              </w:rPr>
              <w:t>25 </w:t>
            </w:r>
          </w:p>
        </w:tc>
        <w:tc>
          <w:tcPr>
            <w:tcW w:w="0" w:type="auto"/>
            <w:shd w:val="clear" w:color="auto" w:fill="CCEEFF"/>
            <w:tcMar>
              <w:top w:w="30" w:type="dxa"/>
              <w:left w:w="0" w:type="dxa"/>
              <w:bottom w:w="30" w:type="dxa"/>
              <w:right w:w="20" w:type="dxa"/>
            </w:tcMar>
            <w:vAlign w:val="center"/>
            <w:hideMark/>
          </w:tcPr>
          <w:p w14:paraId="4AFA9F3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BBE5F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2710EEA" w14:textId="77777777" w:rsidR="00000000" w:rsidRDefault="00405D16">
            <w:pPr>
              <w:spacing w:after="100"/>
              <w:jc w:val="right"/>
              <w:rPr>
                <w:rFonts w:eastAsia="Times New Roman"/>
              </w:rPr>
            </w:pPr>
            <w:r>
              <w:rPr>
                <w:rFonts w:eastAsia="Times New Roman"/>
                <w:color w:val="000000"/>
                <w:sz w:val="16"/>
                <w:szCs w:val="16"/>
              </w:rPr>
              <w:t>502 </w:t>
            </w:r>
          </w:p>
        </w:tc>
        <w:tc>
          <w:tcPr>
            <w:tcW w:w="0" w:type="auto"/>
            <w:shd w:val="clear" w:color="auto" w:fill="CCEEFF"/>
            <w:tcMar>
              <w:top w:w="30" w:type="dxa"/>
              <w:left w:w="0" w:type="dxa"/>
              <w:bottom w:w="30" w:type="dxa"/>
              <w:right w:w="20" w:type="dxa"/>
            </w:tcMar>
            <w:vAlign w:val="center"/>
            <w:hideMark/>
          </w:tcPr>
          <w:p w14:paraId="065601F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96749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302A09D" w14:textId="77777777" w:rsidR="00000000" w:rsidRDefault="00405D16">
            <w:pPr>
              <w:spacing w:after="100"/>
              <w:jc w:val="right"/>
              <w:rPr>
                <w:rFonts w:eastAsia="Times New Roman"/>
              </w:rPr>
            </w:pPr>
            <w:r>
              <w:rPr>
                <w:rFonts w:eastAsia="Times New Roman"/>
                <w:color w:val="000000"/>
                <w:sz w:val="16"/>
                <w:szCs w:val="16"/>
              </w:rPr>
              <w:t>102 </w:t>
            </w:r>
          </w:p>
        </w:tc>
        <w:tc>
          <w:tcPr>
            <w:tcW w:w="0" w:type="auto"/>
            <w:shd w:val="clear" w:color="auto" w:fill="CCEEFF"/>
            <w:tcMar>
              <w:top w:w="30" w:type="dxa"/>
              <w:left w:w="0" w:type="dxa"/>
              <w:bottom w:w="30" w:type="dxa"/>
              <w:right w:w="20" w:type="dxa"/>
            </w:tcMar>
            <w:vAlign w:val="center"/>
            <w:hideMark/>
          </w:tcPr>
          <w:p w14:paraId="36D87AE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EEED65" w14:textId="77777777" w:rsidR="00000000" w:rsidRDefault="00405D16">
            <w:pPr>
              <w:spacing w:after="100"/>
              <w:jc w:val="right"/>
              <w:rPr>
                <w:rFonts w:eastAsia="Times New Roman"/>
                <w:sz w:val="20"/>
                <w:szCs w:val="20"/>
              </w:rPr>
            </w:pPr>
          </w:p>
        </w:tc>
        <w:tc>
          <w:tcPr>
            <w:tcW w:w="0" w:type="auto"/>
            <w:vAlign w:val="center"/>
            <w:hideMark/>
          </w:tcPr>
          <w:p w14:paraId="4E16057F" w14:textId="77777777" w:rsidR="00000000" w:rsidRDefault="00405D16">
            <w:pPr>
              <w:spacing w:after="100"/>
              <w:rPr>
                <w:rFonts w:eastAsia="Times New Roman"/>
                <w:sz w:val="20"/>
                <w:szCs w:val="20"/>
              </w:rPr>
            </w:pPr>
          </w:p>
        </w:tc>
        <w:tc>
          <w:tcPr>
            <w:tcW w:w="0" w:type="auto"/>
            <w:gridSpan w:val="3"/>
            <w:vAlign w:val="center"/>
            <w:hideMark/>
          </w:tcPr>
          <w:p w14:paraId="3DDDAFC1"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CAC580D" w14:textId="77777777" w:rsidR="00000000" w:rsidRDefault="00405D16">
            <w:pPr>
              <w:spacing w:after="100"/>
              <w:jc w:val="right"/>
              <w:rPr>
                <w:rFonts w:eastAsia="Times New Roman"/>
              </w:rPr>
            </w:pPr>
            <w:r>
              <w:rPr>
                <w:rFonts w:eastAsia="Times New Roman"/>
                <w:color w:val="000000"/>
                <w:sz w:val="16"/>
                <w:szCs w:val="16"/>
              </w:rPr>
              <w:t>2,845 </w:t>
            </w:r>
          </w:p>
        </w:tc>
        <w:tc>
          <w:tcPr>
            <w:tcW w:w="0" w:type="auto"/>
            <w:shd w:val="clear" w:color="auto" w:fill="CCEEFF"/>
            <w:tcMar>
              <w:top w:w="30" w:type="dxa"/>
              <w:left w:w="0" w:type="dxa"/>
              <w:bottom w:w="30" w:type="dxa"/>
              <w:right w:w="20" w:type="dxa"/>
            </w:tcMar>
            <w:vAlign w:val="center"/>
            <w:hideMark/>
          </w:tcPr>
          <w:p w14:paraId="7ABADBDC" w14:textId="77777777" w:rsidR="00000000" w:rsidRDefault="00405D16">
            <w:pPr>
              <w:spacing w:after="100"/>
              <w:jc w:val="right"/>
              <w:rPr>
                <w:rFonts w:eastAsia="Times New Roman"/>
              </w:rPr>
            </w:pPr>
          </w:p>
        </w:tc>
      </w:tr>
      <w:tr w:rsidR="00405D16" w14:paraId="4F4A44F8" w14:textId="77777777">
        <w:trPr>
          <w:divId w:val="431173222"/>
        </w:trPr>
        <w:tc>
          <w:tcPr>
            <w:tcW w:w="0" w:type="auto"/>
            <w:gridSpan w:val="3"/>
            <w:shd w:val="clear" w:color="auto" w:fill="FFFFFF"/>
            <w:tcMar>
              <w:top w:w="30" w:type="dxa"/>
              <w:left w:w="20" w:type="dxa"/>
              <w:bottom w:w="30" w:type="dxa"/>
              <w:right w:w="20" w:type="dxa"/>
            </w:tcMar>
            <w:vAlign w:val="bottom"/>
            <w:hideMark/>
          </w:tcPr>
          <w:p w14:paraId="049795C1" w14:textId="77777777" w:rsidR="00000000" w:rsidRDefault="00405D16">
            <w:pPr>
              <w:spacing w:after="100"/>
              <w:divId w:val="1893998875"/>
              <w:rPr>
                <w:rFonts w:eastAsia="Times New Roman"/>
              </w:rPr>
            </w:pPr>
            <w:r>
              <w:rPr>
                <w:rFonts w:eastAsia="Times New Roman"/>
                <w:color w:val="000000"/>
                <w:sz w:val="16"/>
                <w:szCs w:val="16"/>
              </w:rPr>
              <w:t>Finance charge and fee reserve reclassificatio</w:t>
            </w:r>
            <w:r>
              <w:rPr>
                <w:rFonts w:eastAsia="Times New Roman"/>
                <w:color w:val="000000"/>
                <w:sz w:val="16"/>
                <w:szCs w:val="16"/>
              </w:rPr>
              <w:t>n</w:t>
            </w:r>
            <w:r>
              <w:rPr>
                <w:rFonts w:eastAsia="Times New Roman"/>
                <w:color w:val="000000"/>
                <w:sz w:val="10"/>
                <w:szCs w:val="10"/>
              </w:rPr>
              <w:t>(3</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14:paraId="4658B533"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42C462F" w14:textId="77777777" w:rsidR="00000000" w:rsidRDefault="00405D16">
            <w:pPr>
              <w:spacing w:after="100"/>
              <w:jc w:val="right"/>
              <w:rPr>
                <w:rFonts w:eastAsia="Times New Roman"/>
              </w:rPr>
            </w:pPr>
            <w:r>
              <w:rPr>
                <w:rFonts w:eastAsia="Times New Roman"/>
                <w:color w:val="000000"/>
                <w:sz w:val="16"/>
                <w:szCs w:val="16"/>
              </w:rPr>
              <w:t>439 </w:t>
            </w:r>
          </w:p>
        </w:tc>
        <w:tc>
          <w:tcPr>
            <w:tcW w:w="0" w:type="auto"/>
            <w:shd w:val="clear" w:color="auto" w:fill="FFFFFF"/>
            <w:tcMar>
              <w:top w:w="30" w:type="dxa"/>
              <w:left w:w="0" w:type="dxa"/>
              <w:bottom w:w="30" w:type="dxa"/>
              <w:right w:w="20" w:type="dxa"/>
            </w:tcMar>
            <w:vAlign w:val="center"/>
            <w:hideMark/>
          </w:tcPr>
          <w:p w14:paraId="418D5F0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8457B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B266AE3" w14:textId="77777777" w:rsidR="00000000" w:rsidRDefault="00405D16">
            <w:pPr>
              <w:spacing w:after="100"/>
              <w:jc w:val="right"/>
              <w:rPr>
                <w:rFonts w:eastAsia="Times New Roman"/>
              </w:rPr>
            </w:pPr>
            <w:r>
              <w:rPr>
                <w:rFonts w:eastAsia="Times New Roman"/>
                <w:color w:val="000000"/>
                <w:sz w:val="16"/>
                <w:szCs w:val="16"/>
              </w:rPr>
              <w:t>23 </w:t>
            </w:r>
          </w:p>
        </w:tc>
        <w:tc>
          <w:tcPr>
            <w:tcW w:w="0" w:type="auto"/>
            <w:shd w:val="clear" w:color="auto" w:fill="FFFFFF"/>
            <w:tcMar>
              <w:top w:w="30" w:type="dxa"/>
              <w:left w:w="0" w:type="dxa"/>
              <w:bottom w:w="30" w:type="dxa"/>
              <w:right w:w="20" w:type="dxa"/>
            </w:tcMar>
            <w:vAlign w:val="center"/>
            <w:hideMark/>
          </w:tcPr>
          <w:p w14:paraId="6BDF6B0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196F8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BD7E68E" w14:textId="77777777" w:rsidR="00000000" w:rsidRDefault="00405D16">
            <w:pPr>
              <w:spacing w:after="100"/>
              <w:jc w:val="right"/>
              <w:rPr>
                <w:rFonts w:eastAsia="Times New Roman"/>
              </w:rPr>
            </w:pPr>
            <w:r>
              <w:rPr>
                <w:rFonts w:eastAsia="Times New Roman"/>
                <w:color w:val="000000"/>
                <w:sz w:val="16"/>
                <w:szCs w:val="16"/>
              </w:rPr>
              <w:t>462 </w:t>
            </w:r>
          </w:p>
        </w:tc>
        <w:tc>
          <w:tcPr>
            <w:tcW w:w="0" w:type="auto"/>
            <w:shd w:val="clear" w:color="auto" w:fill="FFFFFF"/>
            <w:tcMar>
              <w:top w:w="30" w:type="dxa"/>
              <w:left w:w="0" w:type="dxa"/>
              <w:bottom w:w="30" w:type="dxa"/>
              <w:right w:w="20" w:type="dxa"/>
            </w:tcMar>
            <w:vAlign w:val="center"/>
            <w:hideMark/>
          </w:tcPr>
          <w:p w14:paraId="54B4BA1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52E7F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B9A5ECC"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1C33B76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10285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1E93CDF"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3BD0FC9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782FC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CCE0B8F"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779E491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67A10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89A1629"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0A5103B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07DDF1" w14:textId="77777777" w:rsidR="00000000" w:rsidRDefault="00405D16">
            <w:pPr>
              <w:spacing w:after="100"/>
              <w:jc w:val="right"/>
              <w:rPr>
                <w:rFonts w:eastAsia="Times New Roman"/>
                <w:sz w:val="20"/>
                <w:szCs w:val="20"/>
              </w:rPr>
            </w:pPr>
          </w:p>
        </w:tc>
        <w:tc>
          <w:tcPr>
            <w:tcW w:w="0" w:type="auto"/>
            <w:vAlign w:val="center"/>
            <w:hideMark/>
          </w:tcPr>
          <w:p w14:paraId="05DA4052" w14:textId="77777777" w:rsidR="00000000" w:rsidRDefault="00405D16">
            <w:pPr>
              <w:spacing w:after="100"/>
              <w:rPr>
                <w:rFonts w:eastAsia="Times New Roman"/>
                <w:sz w:val="20"/>
                <w:szCs w:val="20"/>
              </w:rPr>
            </w:pPr>
          </w:p>
        </w:tc>
        <w:tc>
          <w:tcPr>
            <w:tcW w:w="0" w:type="auto"/>
            <w:gridSpan w:val="3"/>
            <w:vAlign w:val="center"/>
            <w:hideMark/>
          </w:tcPr>
          <w:p w14:paraId="20E22E22"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0108580" w14:textId="77777777" w:rsidR="00000000" w:rsidRDefault="00405D16">
            <w:pPr>
              <w:spacing w:after="100"/>
              <w:jc w:val="right"/>
              <w:rPr>
                <w:rFonts w:eastAsia="Times New Roman"/>
              </w:rPr>
            </w:pPr>
            <w:r>
              <w:rPr>
                <w:rFonts w:eastAsia="Times New Roman"/>
                <w:color w:val="000000"/>
                <w:sz w:val="16"/>
                <w:szCs w:val="16"/>
              </w:rPr>
              <w:t>462 </w:t>
            </w:r>
          </w:p>
        </w:tc>
        <w:tc>
          <w:tcPr>
            <w:tcW w:w="0" w:type="auto"/>
            <w:shd w:val="clear" w:color="auto" w:fill="FFFFFF"/>
            <w:tcMar>
              <w:top w:w="30" w:type="dxa"/>
              <w:left w:w="0" w:type="dxa"/>
              <w:bottom w:w="30" w:type="dxa"/>
              <w:right w:w="20" w:type="dxa"/>
            </w:tcMar>
            <w:vAlign w:val="center"/>
            <w:hideMark/>
          </w:tcPr>
          <w:p w14:paraId="34DE4D5A" w14:textId="77777777" w:rsidR="00000000" w:rsidRDefault="00405D16">
            <w:pPr>
              <w:spacing w:after="100"/>
              <w:jc w:val="right"/>
              <w:rPr>
                <w:rFonts w:eastAsia="Times New Roman"/>
              </w:rPr>
            </w:pPr>
          </w:p>
        </w:tc>
      </w:tr>
      <w:tr w:rsidR="00405D16" w14:paraId="4F655083" w14:textId="77777777">
        <w:trPr>
          <w:divId w:val="431173222"/>
        </w:trPr>
        <w:tc>
          <w:tcPr>
            <w:tcW w:w="0" w:type="auto"/>
            <w:gridSpan w:val="3"/>
            <w:shd w:val="clear" w:color="auto" w:fill="CCEEFF"/>
            <w:tcMar>
              <w:top w:w="30" w:type="dxa"/>
              <w:left w:w="20" w:type="dxa"/>
              <w:bottom w:w="30" w:type="dxa"/>
              <w:right w:w="20" w:type="dxa"/>
            </w:tcMar>
            <w:vAlign w:val="bottom"/>
            <w:hideMark/>
          </w:tcPr>
          <w:p w14:paraId="6F44BEAC" w14:textId="77777777" w:rsidR="00000000" w:rsidRDefault="00405D16">
            <w:pPr>
              <w:spacing w:after="100"/>
              <w:rPr>
                <w:rFonts w:eastAsia="Times New Roman"/>
              </w:rPr>
            </w:pPr>
            <w:r>
              <w:rPr>
                <w:rFonts w:eastAsia="Times New Roman"/>
                <w:color w:val="000000"/>
                <w:sz w:val="16"/>
                <w:szCs w:val="16"/>
              </w:rPr>
              <w:t>Balance as of January 1, 2020</w:t>
            </w:r>
          </w:p>
        </w:tc>
        <w:tc>
          <w:tcPr>
            <w:tcW w:w="0" w:type="auto"/>
            <w:gridSpan w:val="3"/>
            <w:shd w:val="clear" w:color="auto" w:fill="CCEEFF"/>
            <w:tcMar>
              <w:top w:w="0" w:type="dxa"/>
              <w:left w:w="20" w:type="dxa"/>
              <w:bottom w:w="0" w:type="dxa"/>
              <w:right w:w="20" w:type="dxa"/>
            </w:tcMar>
            <w:vAlign w:val="center"/>
            <w:hideMark/>
          </w:tcPr>
          <w:p w14:paraId="3B53D1DB"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9A6A4B0" w14:textId="77777777" w:rsidR="00000000" w:rsidRDefault="00405D16">
            <w:pPr>
              <w:spacing w:after="100"/>
              <w:jc w:val="right"/>
              <w:rPr>
                <w:rFonts w:eastAsia="Times New Roman"/>
              </w:rPr>
            </w:pPr>
            <w:r>
              <w:rPr>
                <w:rFonts w:eastAsia="Times New Roman"/>
                <w:color w:val="000000"/>
                <w:sz w:val="16"/>
                <w:szCs w:val="16"/>
              </w:rPr>
              <w:t>7,673 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908BD8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5B5907"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E7346D8" w14:textId="77777777" w:rsidR="00000000" w:rsidRDefault="00405D16">
            <w:pPr>
              <w:spacing w:after="100"/>
              <w:jc w:val="right"/>
              <w:rPr>
                <w:rFonts w:eastAsia="Times New Roman"/>
              </w:rPr>
            </w:pPr>
            <w:r>
              <w:rPr>
                <w:rFonts w:eastAsia="Times New Roman"/>
                <w:color w:val="000000"/>
                <w:sz w:val="16"/>
                <w:szCs w:val="16"/>
              </w:rPr>
              <w:t>425 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771BC7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58D02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736C368" w14:textId="77777777" w:rsidR="00000000" w:rsidRDefault="00405D16">
            <w:pPr>
              <w:spacing w:after="100"/>
              <w:jc w:val="right"/>
              <w:rPr>
                <w:rFonts w:eastAsia="Times New Roman"/>
              </w:rPr>
            </w:pPr>
            <w:r>
              <w:rPr>
                <w:rFonts w:eastAsia="Times New Roman"/>
                <w:color w:val="000000"/>
                <w:sz w:val="16"/>
                <w:szCs w:val="16"/>
              </w:rPr>
              <w:t>8,098 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AF3590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AC339F"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D4523D1" w14:textId="77777777" w:rsidR="00000000" w:rsidRDefault="00405D16">
            <w:pPr>
              <w:spacing w:after="100"/>
              <w:jc w:val="right"/>
              <w:rPr>
                <w:rFonts w:eastAsia="Times New Roman"/>
              </w:rPr>
            </w:pPr>
            <w:r>
              <w:rPr>
                <w:rFonts w:eastAsia="Times New Roman"/>
                <w:color w:val="000000"/>
                <w:sz w:val="16"/>
                <w:szCs w:val="16"/>
              </w:rPr>
              <w:t>1,461 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07BE69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49E448"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9C7652F" w14:textId="77777777" w:rsidR="00000000" w:rsidRDefault="00405D16">
            <w:pPr>
              <w:spacing w:after="100"/>
              <w:jc w:val="right"/>
              <w:rPr>
                <w:rFonts w:eastAsia="Times New Roman"/>
              </w:rPr>
            </w:pPr>
            <w:r>
              <w:rPr>
                <w:rFonts w:eastAsia="Times New Roman"/>
                <w:color w:val="000000"/>
                <w:sz w:val="16"/>
                <w:szCs w:val="16"/>
              </w:rPr>
              <w:t>79 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181C3C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40349C"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C2F08A2" w14:textId="77777777" w:rsidR="00000000" w:rsidRDefault="00405D16">
            <w:pPr>
              <w:spacing w:after="100"/>
              <w:jc w:val="right"/>
              <w:rPr>
                <w:rFonts w:eastAsia="Times New Roman"/>
              </w:rPr>
            </w:pPr>
            <w:r>
              <w:rPr>
                <w:rFonts w:eastAsia="Times New Roman"/>
                <w:color w:val="000000"/>
                <w:sz w:val="16"/>
                <w:szCs w:val="16"/>
              </w:rPr>
              <w:t>1,540 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36AFF0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C670A8"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9DCB0F4" w14:textId="77777777" w:rsidR="00000000" w:rsidRDefault="00405D16">
            <w:pPr>
              <w:spacing w:after="100"/>
              <w:jc w:val="right"/>
              <w:rPr>
                <w:rFonts w:eastAsia="Times New Roman"/>
              </w:rPr>
            </w:pPr>
            <w:r>
              <w:rPr>
                <w:rFonts w:eastAsia="Times New Roman"/>
                <w:color w:val="000000"/>
                <w:sz w:val="16"/>
                <w:szCs w:val="16"/>
              </w:rPr>
              <w:t>877 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27D44E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C9179A" w14:textId="77777777" w:rsidR="00000000" w:rsidRDefault="00405D16">
            <w:pPr>
              <w:spacing w:after="100"/>
              <w:jc w:val="right"/>
              <w:rPr>
                <w:rFonts w:eastAsia="Times New Roman"/>
                <w:sz w:val="20"/>
                <w:szCs w:val="20"/>
              </w:rPr>
            </w:pPr>
          </w:p>
        </w:tc>
        <w:tc>
          <w:tcPr>
            <w:tcW w:w="0" w:type="auto"/>
            <w:vAlign w:val="center"/>
            <w:hideMark/>
          </w:tcPr>
          <w:p w14:paraId="1F9B4617" w14:textId="77777777" w:rsidR="00000000" w:rsidRDefault="00405D16">
            <w:pPr>
              <w:spacing w:after="100"/>
              <w:rPr>
                <w:rFonts w:eastAsia="Times New Roman"/>
                <w:sz w:val="20"/>
                <w:szCs w:val="20"/>
              </w:rPr>
            </w:pPr>
          </w:p>
        </w:tc>
        <w:tc>
          <w:tcPr>
            <w:tcW w:w="0" w:type="auto"/>
            <w:gridSpan w:val="3"/>
            <w:vAlign w:val="center"/>
            <w:hideMark/>
          </w:tcPr>
          <w:p w14:paraId="22DC9D59" w14:textId="77777777" w:rsidR="00000000" w:rsidRDefault="00405D16">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48D33A1" w14:textId="77777777" w:rsidR="00000000" w:rsidRDefault="00405D16">
            <w:pPr>
              <w:spacing w:after="100"/>
              <w:jc w:val="right"/>
              <w:rPr>
                <w:rFonts w:eastAsia="Times New Roman"/>
              </w:rPr>
            </w:pPr>
            <w:r>
              <w:rPr>
                <w:rFonts w:eastAsia="Times New Roman"/>
                <w:color w:val="000000"/>
                <w:sz w:val="16"/>
                <w:szCs w:val="16"/>
              </w:rPr>
              <w:t>10,515 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802683A" w14:textId="77777777" w:rsidR="00000000" w:rsidRDefault="00405D16">
            <w:pPr>
              <w:spacing w:after="100"/>
              <w:jc w:val="right"/>
              <w:rPr>
                <w:rFonts w:eastAsia="Times New Roman"/>
              </w:rPr>
            </w:pPr>
          </w:p>
        </w:tc>
      </w:tr>
      <w:tr w:rsidR="00405D16" w14:paraId="2A8336F5" w14:textId="77777777">
        <w:trPr>
          <w:divId w:val="431173222"/>
        </w:trPr>
        <w:tc>
          <w:tcPr>
            <w:tcW w:w="0" w:type="auto"/>
            <w:gridSpan w:val="3"/>
            <w:shd w:val="clear" w:color="auto" w:fill="FFFFFF"/>
            <w:tcMar>
              <w:top w:w="30" w:type="dxa"/>
              <w:left w:w="200" w:type="dxa"/>
              <w:bottom w:w="30" w:type="dxa"/>
              <w:right w:w="20" w:type="dxa"/>
            </w:tcMar>
            <w:vAlign w:val="bottom"/>
            <w:hideMark/>
          </w:tcPr>
          <w:p w14:paraId="7CCE8A74" w14:textId="77777777" w:rsidR="00000000" w:rsidRDefault="00405D16">
            <w:pPr>
              <w:spacing w:after="100"/>
              <w:rPr>
                <w:rFonts w:eastAsia="Times New Roman"/>
              </w:rPr>
            </w:pPr>
            <w:r>
              <w:rPr>
                <w:rFonts w:eastAsia="Times New Roman"/>
                <w:color w:val="000000"/>
                <w:sz w:val="16"/>
                <w:szCs w:val="16"/>
              </w:rPr>
              <w:t>Charge-offs</w:t>
            </w:r>
          </w:p>
        </w:tc>
        <w:tc>
          <w:tcPr>
            <w:tcW w:w="0" w:type="auto"/>
            <w:gridSpan w:val="3"/>
            <w:shd w:val="clear" w:color="auto" w:fill="FFFFFF"/>
            <w:tcMar>
              <w:top w:w="0" w:type="dxa"/>
              <w:left w:w="20" w:type="dxa"/>
              <w:bottom w:w="0" w:type="dxa"/>
              <w:right w:w="20" w:type="dxa"/>
            </w:tcMar>
            <w:vAlign w:val="center"/>
            <w:hideMark/>
          </w:tcPr>
          <w:p w14:paraId="1AA26E51"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46EDBBC" w14:textId="77777777" w:rsidR="00000000" w:rsidRDefault="00405D16">
            <w:pPr>
              <w:spacing w:after="100"/>
              <w:jc w:val="right"/>
              <w:rPr>
                <w:rFonts w:eastAsia="Times New Roman"/>
              </w:rPr>
            </w:pPr>
            <w:r>
              <w:rPr>
                <w:rFonts w:eastAsia="Times New Roman"/>
                <w:color w:val="000000"/>
                <w:sz w:val="16"/>
                <w:szCs w:val="16"/>
              </w:rPr>
              <w:t>(4,406)</w:t>
            </w:r>
          </w:p>
        </w:tc>
        <w:tc>
          <w:tcPr>
            <w:tcW w:w="0" w:type="auto"/>
            <w:shd w:val="clear" w:color="auto" w:fill="FFFFFF"/>
            <w:tcMar>
              <w:top w:w="30" w:type="dxa"/>
              <w:left w:w="0" w:type="dxa"/>
              <w:bottom w:w="30" w:type="dxa"/>
              <w:right w:w="20" w:type="dxa"/>
            </w:tcMar>
            <w:vAlign w:val="center"/>
            <w:hideMark/>
          </w:tcPr>
          <w:p w14:paraId="0BF0B1F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E8DF9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FD6BC43" w14:textId="77777777" w:rsidR="00000000" w:rsidRDefault="00405D16">
            <w:pPr>
              <w:spacing w:after="100"/>
              <w:jc w:val="right"/>
              <w:rPr>
                <w:rFonts w:eastAsia="Times New Roman"/>
              </w:rPr>
            </w:pPr>
            <w:r>
              <w:rPr>
                <w:rFonts w:eastAsia="Times New Roman"/>
                <w:color w:val="000000"/>
                <w:sz w:val="16"/>
                <w:szCs w:val="16"/>
              </w:rPr>
              <w:t>(351)</w:t>
            </w:r>
          </w:p>
        </w:tc>
        <w:tc>
          <w:tcPr>
            <w:tcW w:w="0" w:type="auto"/>
            <w:shd w:val="clear" w:color="auto" w:fill="FFFFFF"/>
            <w:tcMar>
              <w:top w:w="30" w:type="dxa"/>
              <w:left w:w="0" w:type="dxa"/>
              <w:bottom w:w="30" w:type="dxa"/>
              <w:right w:w="20" w:type="dxa"/>
            </w:tcMar>
            <w:vAlign w:val="center"/>
            <w:hideMark/>
          </w:tcPr>
          <w:p w14:paraId="0C011B5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830A5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B305963" w14:textId="77777777" w:rsidR="00000000" w:rsidRDefault="00405D16">
            <w:pPr>
              <w:spacing w:after="100"/>
              <w:jc w:val="right"/>
              <w:rPr>
                <w:rFonts w:eastAsia="Times New Roman"/>
              </w:rPr>
            </w:pPr>
            <w:r>
              <w:rPr>
                <w:rFonts w:eastAsia="Times New Roman"/>
                <w:color w:val="000000"/>
                <w:sz w:val="16"/>
                <w:szCs w:val="16"/>
              </w:rPr>
              <w:t>(4,757)</w:t>
            </w:r>
          </w:p>
        </w:tc>
        <w:tc>
          <w:tcPr>
            <w:tcW w:w="0" w:type="auto"/>
            <w:shd w:val="clear" w:color="auto" w:fill="FFFFFF"/>
            <w:tcMar>
              <w:top w:w="30" w:type="dxa"/>
              <w:left w:w="0" w:type="dxa"/>
              <w:bottom w:w="30" w:type="dxa"/>
              <w:right w:w="20" w:type="dxa"/>
            </w:tcMar>
            <w:vAlign w:val="center"/>
            <w:hideMark/>
          </w:tcPr>
          <w:p w14:paraId="48E2042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C545A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80EAF9A" w14:textId="77777777" w:rsidR="00000000" w:rsidRDefault="00405D16">
            <w:pPr>
              <w:spacing w:after="100"/>
              <w:jc w:val="right"/>
              <w:rPr>
                <w:rFonts w:eastAsia="Times New Roman"/>
              </w:rPr>
            </w:pPr>
            <w:r>
              <w:rPr>
                <w:rFonts w:eastAsia="Times New Roman"/>
                <w:color w:val="000000"/>
                <w:sz w:val="16"/>
                <w:szCs w:val="16"/>
              </w:rPr>
              <w:t>(1,155)</w:t>
            </w:r>
          </w:p>
        </w:tc>
        <w:tc>
          <w:tcPr>
            <w:tcW w:w="0" w:type="auto"/>
            <w:shd w:val="clear" w:color="auto" w:fill="FFFFFF"/>
            <w:tcMar>
              <w:top w:w="30" w:type="dxa"/>
              <w:left w:w="0" w:type="dxa"/>
              <w:bottom w:w="30" w:type="dxa"/>
              <w:right w:w="20" w:type="dxa"/>
            </w:tcMar>
            <w:vAlign w:val="center"/>
            <w:hideMark/>
          </w:tcPr>
          <w:p w14:paraId="567371C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E18A8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88D558E" w14:textId="77777777" w:rsidR="00000000" w:rsidRDefault="00405D16">
            <w:pPr>
              <w:spacing w:after="100"/>
              <w:jc w:val="right"/>
              <w:rPr>
                <w:rFonts w:eastAsia="Times New Roman"/>
              </w:rPr>
            </w:pPr>
            <w:r>
              <w:rPr>
                <w:rFonts w:eastAsia="Times New Roman"/>
                <w:color w:val="000000"/>
                <w:sz w:val="16"/>
                <w:szCs w:val="16"/>
              </w:rPr>
              <w:t>(52)</w:t>
            </w:r>
          </w:p>
        </w:tc>
        <w:tc>
          <w:tcPr>
            <w:tcW w:w="0" w:type="auto"/>
            <w:shd w:val="clear" w:color="auto" w:fill="FFFFFF"/>
            <w:tcMar>
              <w:top w:w="30" w:type="dxa"/>
              <w:left w:w="0" w:type="dxa"/>
              <w:bottom w:w="30" w:type="dxa"/>
              <w:right w:w="20" w:type="dxa"/>
            </w:tcMar>
            <w:vAlign w:val="center"/>
            <w:hideMark/>
          </w:tcPr>
          <w:p w14:paraId="41181EF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690FF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A9785CD" w14:textId="77777777" w:rsidR="00000000" w:rsidRDefault="00405D16">
            <w:pPr>
              <w:spacing w:after="100"/>
              <w:jc w:val="right"/>
              <w:rPr>
                <w:rFonts w:eastAsia="Times New Roman"/>
              </w:rPr>
            </w:pPr>
            <w:r>
              <w:rPr>
                <w:rFonts w:eastAsia="Times New Roman"/>
                <w:color w:val="000000"/>
                <w:sz w:val="16"/>
                <w:szCs w:val="16"/>
              </w:rPr>
              <w:t>(1,207)</w:t>
            </w:r>
          </w:p>
        </w:tc>
        <w:tc>
          <w:tcPr>
            <w:tcW w:w="0" w:type="auto"/>
            <w:shd w:val="clear" w:color="auto" w:fill="FFFFFF"/>
            <w:tcMar>
              <w:top w:w="30" w:type="dxa"/>
              <w:left w:w="0" w:type="dxa"/>
              <w:bottom w:w="30" w:type="dxa"/>
              <w:right w:w="20" w:type="dxa"/>
            </w:tcMar>
            <w:vAlign w:val="center"/>
            <w:hideMark/>
          </w:tcPr>
          <w:p w14:paraId="61F4CCF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68AC4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5A5D345" w14:textId="77777777" w:rsidR="00000000" w:rsidRDefault="00405D16">
            <w:pPr>
              <w:spacing w:after="100"/>
              <w:jc w:val="right"/>
              <w:rPr>
                <w:rFonts w:eastAsia="Times New Roman"/>
              </w:rPr>
            </w:pPr>
            <w:r>
              <w:rPr>
                <w:rFonts w:eastAsia="Times New Roman"/>
                <w:color w:val="000000"/>
                <w:sz w:val="16"/>
                <w:szCs w:val="16"/>
              </w:rPr>
              <w:t>(303)</w:t>
            </w:r>
          </w:p>
        </w:tc>
        <w:tc>
          <w:tcPr>
            <w:tcW w:w="0" w:type="auto"/>
            <w:shd w:val="clear" w:color="auto" w:fill="FFFFFF"/>
            <w:tcMar>
              <w:top w:w="30" w:type="dxa"/>
              <w:left w:w="0" w:type="dxa"/>
              <w:bottom w:w="30" w:type="dxa"/>
              <w:right w:w="20" w:type="dxa"/>
            </w:tcMar>
            <w:vAlign w:val="center"/>
            <w:hideMark/>
          </w:tcPr>
          <w:p w14:paraId="55A6CFB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7C5F0C" w14:textId="77777777" w:rsidR="00000000" w:rsidRDefault="00405D16">
            <w:pPr>
              <w:spacing w:after="100"/>
              <w:jc w:val="right"/>
              <w:rPr>
                <w:rFonts w:eastAsia="Times New Roman"/>
                <w:sz w:val="20"/>
                <w:szCs w:val="20"/>
              </w:rPr>
            </w:pPr>
          </w:p>
        </w:tc>
        <w:tc>
          <w:tcPr>
            <w:tcW w:w="0" w:type="auto"/>
            <w:vAlign w:val="center"/>
            <w:hideMark/>
          </w:tcPr>
          <w:p w14:paraId="6D5743F2" w14:textId="77777777" w:rsidR="00000000" w:rsidRDefault="00405D16">
            <w:pPr>
              <w:spacing w:after="100"/>
              <w:rPr>
                <w:rFonts w:eastAsia="Times New Roman"/>
                <w:sz w:val="20"/>
                <w:szCs w:val="20"/>
              </w:rPr>
            </w:pPr>
          </w:p>
        </w:tc>
        <w:tc>
          <w:tcPr>
            <w:tcW w:w="0" w:type="auto"/>
            <w:gridSpan w:val="3"/>
            <w:vAlign w:val="center"/>
            <w:hideMark/>
          </w:tcPr>
          <w:p w14:paraId="47D68D08"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CED37F6" w14:textId="77777777" w:rsidR="00000000" w:rsidRDefault="00405D16">
            <w:pPr>
              <w:spacing w:after="100"/>
              <w:jc w:val="right"/>
              <w:rPr>
                <w:rFonts w:eastAsia="Times New Roman"/>
              </w:rPr>
            </w:pPr>
            <w:r>
              <w:rPr>
                <w:rFonts w:eastAsia="Times New Roman"/>
                <w:color w:val="000000"/>
                <w:sz w:val="16"/>
                <w:szCs w:val="16"/>
              </w:rPr>
              <w:t>(6,267)</w:t>
            </w:r>
          </w:p>
        </w:tc>
        <w:tc>
          <w:tcPr>
            <w:tcW w:w="0" w:type="auto"/>
            <w:shd w:val="clear" w:color="auto" w:fill="FFFFFF"/>
            <w:tcMar>
              <w:top w:w="30" w:type="dxa"/>
              <w:left w:w="0" w:type="dxa"/>
              <w:bottom w:w="30" w:type="dxa"/>
              <w:right w:w="20" w:type="dxa"/>
            </w:tcMar>
            <w:vAlign w:val="center"/>
            <w:hideMark/>
          </w:tcPr>
          <w:p w14:paraId="038899DC" w14:textId="77777777" w:rsidR="00000000" w:rsidRDefault="00405D16">
            <w:pPr>
              <w:spacing w:after="100"/>
              <w:jc w:val="right"/>
              <w:rPr>
                <w:rFonts w:eastAsia="Times New Roman"/>
              </w:rPr>
            </w:pPr>
          </w:p>
        </w:tc>
      </w:tr>
      <w:tr w:rsidR="00405D16" w14:paraId="4B948002" w14:textId="77777777">
        <w:trPr>
          <w:divId w:val="431173222"/>
        </w:trPr>
        <w:tc>
          <w:tcPr>
            <w:tcW w:w="0" w:type="auto"/>
            <w:gridSpan w:val="3"/>
            <w:shd w:val="clear" w:color="auto" w:fill="CCEEFF"/>
            <w:tcMar>
              <w:top w:w="30" w:type="dxa"/>
              <w:left w:w="20" w:type="dxa"/>
              <w:bottom w:w="30" w:type="dxa"/>
              <w:right w:w="20" w:type="dxa"/>
            </w:tcMar>
            <w:vAlign w:val="bottom"/>
            <w:hideMark/>
          </w:tcPr>
          <w:p w14:paraId="06E02B07" w14:textId="77777777" w:rsidR="00000000" w:rsidRDefault="00405D16">
            <w:pPr>
              <w:spacing w:after="100"/>
              <w:divId w:val="236139595"/>
              <w:rPr>
                <w:rFonts w:eastAsia="Times New Roman"/>
              </w:rPr>
            </w:pPr>
            <w:r>
              <w:rPr>
                <w:rFonts w:eastAsia="Times New Roman"/>
                <w:color w:val="000000"/>
                <w:sz w:val="16"/>
                <w:szCs w:val="16"/>
              </w:rPr>
              <w:t>Recoverie</w:t>
            </w:r>
            <w:r>
              <w:rPr>
                <w:rFonts w:eastAsia="Times New Roman"/>
                <w:color w:val="000000"/>
                <w:sz w:val="16"/>
                <w:szCs w:val="16"/>
              </w:rPr>
              <w:t>s</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CCEEFF"/>
            <w:tcMar>
              <w:top w:w="0" w:type="dxa"/>
              <w:left w:w="20" w:type="dxa"/>
              <w:bottom w:w="0" w:type="dxa"/>
              <w:right w:w="20" w:type="dxa"/>
            </w:tcMar>
            <w:vAlign w:val="center"/>
            <w:hideMark/>
          </w:tcPr>
          <w:p w14:paraId="60DF4CBC"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18FB40B" w14:textId="77777777" w:rsidR="00000000" w:rsidRDefault="00405D16">
            <w:pPr>
              <w:spacing w:after="100"/>
              <w:jc w:val="right"/>
              <w:rPr>
                <w:rFonts w:eastAsia="Times New Roman"/>
              </w:rPr>
            </w:pPr>
            <w:r>
              <w:rPr>
                <w:rFonts w:eastAsia="Times New Roman"/>
                <w:color w:val="000000"/>
                <w:sz w:val="16"/>
                <w:szCs w:val="16"/>
              </w:rPr>
              <w:t>1,047 </w:t>
            </w:r>
          </w:p>
        </w:tc>
        <w:tc>
          <w:tcPr>
            <w:tcW w:w="0" w:type="auto"/>
            <w:shd w:val="clear" w:color="auto" w:fill="CCEEFF"/>
            <w:tcMar>
              <w:top w:w="30" w:type="dxa"/>
              <w:left w:w="0" w:type="dxa"/>
              <w:bottom w:w="30" w:type="dxa"/>
              <w:right w:w="20" w:type="dxa"/>
            </w:tcMar>
            <w:vAlign w:val="center"/>
            <w:hideMark/>
          </w:tcPr>
          <w:p w14:paraId="30FAEB7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288D4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FC17E9E" w14:textId="77777777" w:rsidR="00000000" w:rsidRDefault="00405D16">
            <w:pPr>
              <w:spacing w:after="100"/>
              <w:jc w:val="right"/>
              <w:rPr>
                <w:rFonts w:eastAsia="Times New Roman"/>
              </w:rPr>
            </w:pPr>
            <w:r>
              <w:rPr>
                <w:rFonts w:eastAsia="Times New Roman"/>
                <w:color w:val="000000"/>
                <w:sz w:val="16"/>
                <w:szCs w:val="16"/>
              </w:rPr>
              <w:t>120 </w:t>
            </w:r>
          </w:p>
        </w:tc>
        <w:tc>
          <w:tcPr>
            <w:tcW w:w="0" w:type="auto"/>
            <w:shd w:val="clear" w:color="auto" w:fill="CCEEFF"/>
            <w:tcMar>
              <w:top w:w="30" w:type="dxa"/>
              <w:left w:w="0" w:type="dxa"/>
              <w:bottom w:w="30" w:type="dxa"/>
              <w:right w:w="20" w:type="dxa"/>
            </w:tcMar>
            <w:vAlign w:val="center"/>
            <w:hideMark/>
          </w:tcPr>
          <w:p w14:paraId="5D233D5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F58A4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5C589F4" w14:textId="77777777" w:rsidR="00000000" w:rsidRDefault="00405D16">
            <w:pPr>
              <w:spacing w:after="100"/>
              <w:jc w:val="right"/>
              <w:rPr>
                <w:rFonts w:eastAsia="Times New Roman"/>
              </w:rPr>
            </w:pPr>
            <w:r>
              <w:rPr>
                <w:rFonts w:eastAsia="Times New Roman"/>
                <w:color w:val="000000"/>
                <w:sz w:val="16"/>
                <w:szCs w:val="16"/>
              </w:rPr>
              <w:t>1,167 </w:t>
            </w:r>
          </w:p>
        </w:tc>
        <w:tc>
          <w:tcPr>
            <w:tcW w:w="0" w:type="auto"/>
            <w:shd w:val="clear" w:color="auto" w:fill="CCEEFF"/>
            <w:tcMar>
              <w:top w:w="30" w:type="dxa"/>
              <w:left w:w="0" w:type="dxa"/>
              <w:bottom w:w="30" w:type="dxa"/>
              <w:right w:w="20" w:type="dxa"/>
            </w:tcMar>
            <w:vAlign w:val="center"/>
            <w:hideMark/>
          </w:tcPr>
          <w:p w14:paraId="0649FAC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278E4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B89DA51" w14:textId="77777777" w:rsidR="00000000" w:rsidRDefault="00405D16">
            <w:pPr>
              <w:spacing w:after="100"/>
              <w:jc w:val="right"/>
              <w:rPr>
                <w:rFonts w:eastAsia="Times New Roman"/>
              </w:rPr>
            </w:pPr>
            <w:r>
              <w:rPr>
                <w:rFonts w:eastAsia="Times New Roman"/>
                <w:color w:val="000000"/>
                <w:sz w:val="16"/>
                <w:szCs w:val="16"/>
              </w:rPr>
              <w:t>710 </w:t>
            </w:r>
          </w:p>
        </w:tc>
        <w:tc>
          <w:tcPr>
            <w:tcW w:w="0" w:type="auto"/>
            <w:shd w:val="clear" w:color="auto" w:fill="CCEEFF"/>
            <w:tcMar>
              <w:top w:w="30" w:type="dxa"/>
              <w:left w:w="0" w:type="dxa"/>
              <w:bottom w:w="30" w:type="dxa"/>
              <w:right w:w="20" w:type="dxa"/>
            </w:tcMar>
            <w:vAlign w:val="center"/>
            <w:hideMark/>
          </w:tcPr>
          <w:p w14:paraId="4289027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3022B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AB082A6" w14:textId="77777777" w:rsidR="00000000" w:rsidRDefault="00405D16">
            <w:pPr>
              <w:spacing w:after="100"/>
              <w:jc w:val="right"/>
              <w:rPr>
                <w:rFonts w:eastAsia="Times New Roman"/>
              </w:rPr>
            </w:pPr>
            <w:r>
              <w:rPr>
                <w:rFonts w:eastAsia="Times New Roman"/>
                <w:color w:val="000000"/>
                <w:sz w:val="16"/>
                <w:szCs w:val="16"/>
              </w:rPr>
              <w:t>11 </w:t>
            </w:r>
          </w:p>
        </w:tc>
        <w:tc>
          <w:tcPr>
            <w:tcW w:w="0" w:type="auto"/>
            <w:shd w:val="clear" w:color="auto" w:fill="CCEEFF"/>
            <w:tcMar>
              <w:top w:w="30" w:type="dxa"/>
              <w:left w:w="0" w:type="dxa"/>
              <w:bottom w:w="30" w:type="dxa"/>
              <w:right w:w="20" w:type="dxa"/>
            </w:tcMar>
            <w:vAlign w:val="center"/>
            <w:hideMark/>
          </w:tcPr>
          <w:p w14:paraId="4090EEA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212A8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A6A5CE7" w14:textId="77777777" w:rsidR="00000000" w:rsidRDefault="00405D16">
            <w:pPr>
              <w:spacing w:after="100"/>
              <w:jc w:val="right"/>
              <w:rPr>
                <w:rFonts w:eastAsia="Times New Roman"/>
              </w:rPr>
            </w:pPr>
            <w:r>
              <w:rPr>
                <w:rFonts w:eastAsia="Times New Roman"/>
                <w:color w:val="000000"/>
                <w:sz w:val="16"/>
                <w:szCs w:val="16"/>
              </w:rPr>
              <w:t>721 </w:t>
            </w:r>
          </w:p>
        </w:tc>
        <w:tc>
          <w:tcPr>
            <w:tcW w:w="0" w:type="auto"/>
            <w:shd w:val="clear" w:color="auto" w:fill="CCEEFF"/>
            <w:tcMar>
              <w:top w:w="30" w:type="dxa"/>
              <w:left w:w="0" w:type="dxa"/>
              <w:bottom w:w="30" w:type="dxa"/>
              <w:right w:w="20" w:type="dxa"/>
            </w:tcMar>
            <w:vAlign w:val="center"/>
            <w:hideMark/>
          </w:tcPr>
          <w:p w14:paraId="5D7B098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291A0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7D8F2F5" w14:textId="77777777" w:rsidR="00000000" w:rsidRDefault="00405D16">
            <w:pPr>
              <w:spacing w:after="100"/>
              <w:jc w:val="right"/>
              <w:rPr>
                <w:rFonts w:eastAsia="Times New Roman"/>
              </w:rPr>
            </w:pPr>
            <w:r>
              <w:rPr>
                <w:rFonts w:eastAsia="Times New Roman"/>
                <w:color w:val="000000"/>
                <w:sz w:val="16"/>
                <w:szCs w:val="16"/>
              </w:rPr>
              <w:t>10 </w:t>
            </w:r>
          </w:p>
        </w:tc>
        <w:tc>
          <w:tcPr>
            <w:tcW w:w="0" w:type="auto"/>
            <w:shd w:val="clear" w:color="auto" w:fill="CCEEFF"/>
            <w:tcMar>
              <w:top w:w="30" w:type="dxa"/>
              <w:left w:w="0" w:type="dxa"/>
              <w:bottom w:w="30" w:type="dxa"/>
              <w:right w:w="20" w:type="dxa"/>
            </w:tcMar>
            <w:vAlign w:val="center"/>
            <w:hideMark/>
          </w:tcPr>
          <w:p w14:paraId="68ED8E7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7FA041" w14:textId="77777777" w:rsidR="00000000" w:rsidRDefault="00405D16">
            <w:pPr>
              <w:spacing w:after="100"/>
              <w:jc w:val="right"/>
              <w:rPr>
                <w:rFonts w:eastAsia="Times New Roman"/>
                <w:sz w:val="20"/>
                <w:szCs w:val="20"/>
              </w:rPr>
            </w:pPr>
          </w:p>
        </w:tc>
        <w:tc>
          <w:tcPr>
            <w:tcW w:w="0" w:type="auto"/>
            <w:vAlign w:val="center"/>
            <w:hideMark/>
          </w:tcPr>
          <w:p w14:paraId="4733D7D2" w14:textId="77777777" w:rsidR="00000000" w:rsidRDefault="00405D16">
            <w:pPr>
              <w:spacing w:after="100"/>
              <w:rPr>
                <w:rFonts w:eastAsia="Times New Roman"/>
                <w:sz w:val="20"/>
                <w:szCs w:val="20"/>
              </w:rPr>
            </w:pPr>
          </w:p>
        </w:tc>
        <w:tc>
          <w:tcPr>
            <w:tcW w:w="0" w:type="auto"/>
            <w:gridSpan w:val="3"/>
            <w:vAlign w:val="center"/>
            <w:hideMark/>
          </w:tcPr>
          <w:p w14:paraId="2AEB7705"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641CB97" w14:textId="77777777" w:rsidR="00000000" w:rsidRDefault="00405D16">
            <w:pPr>
              <w:spacing w:after="100"/>
              <w:jc w:val="right"/>
              <w:rPr>
                <w:rFonts w:eastAsia="Times New Roman"/>
              </w:rPr>
            </w:pPr>
            <w:r>
              <w:rPr>
                <w:rFonts w:eastAsia="Times New Roman"/>
                <w:color w:val="000000"/>
                <w:sz w:val="16"/>
                <w:szCs w:val="16"/>
              </w:rPr>
              <w:t>1,898 </w:t>
            </w:r>
          </w:p>
        </w:tc>
        <w:tc>
          <w:tcPr>
            <w:tcW w:w="0" w:type="auto"/>
            <w:shd w:val="clear" w:color="auto" w:fill="CCEEFF"/>
            <w:tcMar>
              <w:top w:w="30" w:type="dxa"/>
              <w:left w:w="0" w:type="dxa"/>
              <w:bottom w:w="30" w:type="dxa"/>
              <w:right w:w="20" w:type="dxa"/>
            </w:tcMar>
            <w:vAlign w:val="center"/>
            <w:hideMark/>
          </w:tcPr>
          <w:p w14:paraId="452C325A" w14:textId="77777777" w:rsidR="00000000" w:rsidRDefault="00405D16">
            <w:pPr>
              <w:spacing w:after="100"/>
              <w:jc w:val="right"/>
              <w:rPr>
                <w:rFonts w:eastAsia="Times New Roman"/>
              </w:rPr>
            </w:pPr>
          </w:p>
        </w:tc>
      </w:tr>
      <w:tr w:rsidR="00405D16" w14:paraId="19579746" w14:textId="77777777">
        <w:trPr>
          <w:divId w:val="431173222"/>
        </w:trPr>
        <w:tc>
          <w:tcPr>
            <w:tcW w:w="0" w:type="auto"/>
            <w:gridSpan w:val="3"/>
            <w:shd w:val="clear" w:color="auto" w:fill="FFFFFF"/>
            <w:tcMar>
              <w:top w:w="30" w:type="dxa"/>
              <w:left w:w="20" w:type="dxa"/>
              <w:bottom w:w="30" w:type="dxa"/>
              <w:right w:w="20" w:type="dxa"/>
            </w:tcMar>
            <w:vAlign w:val="bottom"/>
            <w:hideMark/>
          </w:tcPr>
          <w:p w14:paraId="1AFFBA59" w14:textId="77777777" w:rsidR="00000000" w:rsidRDefault="00405D16">
            <w:pPr>
              <w:spacing w:after="100"/>
              <w:rPr>
                <w:rFonts w:eastAsia="Times New Roman"/>
              </w:rPr>
            </w:pPr>
            <w:r>
              <w:rPr>
                <w:rFonts w:eastAsia="Times New Roman"/>
                <w:color w:val="000000"/>
                <w:sz w:val="16"/>
                <w:szCs w:val="16"/>
              </w:rPr>
              <w:t>Net charge-offs</w:t>
            </w:r>
          </w:p>
        </w:tc>
        <w:tc>
          <w:tcPr>
            <w:tcW w:w="0" w:type="auto"/>
            <w:gridSpan w:val="3"/>
            <w:shd w:val="clear" w:color="auto" w:fill="FFFFFF"/>
            <w:tcMar>
              <w:top w:w="0" w:type="dxa"/>
              <w:left w:w="20" w:type="dxa"/>
              <w:bottom w:w="0" w:type="dxa"/>
              <w:right w:w="20" w:type="dxa"/>
            </w:tcMar>
            <w:vAlign w:val="center"/>
            <w:hideMark/>
          </w:tcPr>
          <w:p w14:paraId="5F9CB834"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A5394DC" w14:textId="77777777" w:rsidR="00000000" w:rsidRDefault="00405D16">
            <w:pPr>
              <w:spacing w:after="100"/>
              <w:jc w:val="right"/>
              <w:rPr>
                <w:rFonts w:eastAsia="Times New Roman"/>
              </w:rPr>
            </w:pPr>
            <w:r>
              <w:rPr>
                <w:rFonts w:eastAsia="Times New Roman"/>
                <w:color w:val="000000"/>
                <w:sz w:val="16"/>
                <w:szCs w:val="16"/>
              </w:rPr>
              <w:t>(3,359)</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38279F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8DBB7F"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B5EA48B" w14:textId="77777777" w:rsidR="00000000" w:rsidRDefault="00405D16">
            <w:pPr>
              <w:spacing w:after="100"/>
              <w:jc w:val="right"/>
              <w:rPr>
                <w:rFonts w:eastAsia="Times New Roman"/>
              </w:rPr>
            </w:pPr>
            <w:r>
              <w:rPr>
                <w:rFonts w:eastAsia="Times New Roman"/>
                <w:color w:val="000000"/>
                <w:sz w:val="16"/>
                <w:szCs w:val="16"/>
              </w:rPr>
              <w:t>(231)</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8DB453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F9EA00"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492D83E" w14:textId="77777777" w:rsidR="00000000" w:rsidRDefault="00405D16">
            <w:pPr>
              <w:spacing w:after="100"/>
              <w:jc w:val="right"/>
              <w:rPr>
                <w:rFonts w:eastAsia="Times New Roman"/>
              </w:rPr>
            </w:pPr>
            <w:r>
              <w:rPr>
                <w:rFonts w:eastAsia="Times New Roman"/>
                <w:color w:val="000000"/>
                <w:sz w:val="16"/>
                <w:szCs w:val="16"/>
              </w:rPr>
              <w:t>(3,590)</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07E9EF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A608EF"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0B17511" w14:textId="77777777" w:rsidR="00000000" w:rsidRDefault="00405D16">
            <w:pPr>
              <w:spacing w:after="100"/>
              <w:jc w:val="right"/>
              <w:rPr>
                <w:rFonts w:eastAsia="Times New Roman"/>
              </w:rPr>
            </w:pPr>
            <w:r>
              <w:rPr>
                <w:rFonts w:eastAsia="Times New Roman"/>
                <w:color w:val="000000"/>
                <w:sz w:val="16"/>
                <w:szCs w:val="16"/>
              </w:rPr>
              <w:t>(445)</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2E4F40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720FB9"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6D21721" w14:textId="77777777" w:rsidR="00000000" w:rsidRDefault="00405D16">
            <w:pPr>
              <w:spacing w:after="100"/>
              <w:jc w:val="right"/>
              <w:rPr>
                <w:rFonts w:eastAsia="Times New Roman"/>
              </w:rPr>
            </w:pPr>
            <w:r>
              <w:rPr>
                <w:rFonts w:eastAsia="Times New Roman"/>
                <w:color w:val="000000"/>
                <w:sz w:val="16"/>
                <w:szCs w:val="16"/>
              </w:rPr>
              <w:t>(41)</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4CE2E8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DC775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8DC2810" w14:textId="77777777" w:rsidR="00000000" w:rsidRDefault="00405D16">
            <w:pPr>
              <w:spacing w:after="100"/>
              <w:jc w:val="right"/>
              <w:rPr>
                <w:rFonts w:eastAsia="Times New Roman"/>
              </w:rPr>
            </w:pPr>
            <w:r>
              <w:rPr>
                <w:rFonts w:eastAsia="Times New Roman"/>
                <w:color w:val="000000"/>
                <w:sz w:val="16"/>
                <w:szCs w:val="16"/>
              </w:rPr>
              <w:t>(486)</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0F9E2A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77F4DB"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DF96280" w14:textId="77777777" w:rsidR="00000000" w:rsidRDefault="00405D16">
            <w:pPr>
              <w:spacing w:after="100"/>
              <w:jc w:val="right"/>
              <w:rPr>
                <w:rFonts w:eastAsia="Times New Roman"/>
              </w:rPr>
            </w:pPr>
            <w:r>
              <w:rPr>
                <w:rFonts w:eastAsia="Times New Roman"/>
                <w:color w:val="000000"/>
                <w:sz w:val="16"/>
                <w:szCs w:val="16"/>
              </w:rPr>
              <w:t>(293)</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344CCE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756BE5" w14:textId="77777777" w:rsidR="00000000" w:rsidRDefault="00405D16">
            <w:pPr>
              <w:spacing w:after="100"/>
              <w:jc w:val="right"/>
              <w:rPr>
                <w:rFonts w:eastAsia="Times New Roman"/>
                <w:sz w:val="20"/>
                <w:szCs w:val="20"/>
              </w:rPr>
            </w:pPr>
          </w:p>
        </w:tc>
        <w:tc>
          <w:tcPr>
            <w:tcW w:w="0" w:type="auto"/>
            <w:vAlign w:val="center"/>
            <w:hideMark/>
          </w:tcPr>
          <w:p w14:paraId="70B90FF2" w14:textId="77777777" w:rsidR="00000000" w:rsidRDefault="00405D16">
            <w:pPr>
              <w:spacing w:after="100"/>
              <w:rPr>
                <w:rFonts w:eastAsia="Times New Roman"/>
                <w:sz w:val="20"/>
                <w:szCs w:val="20"/>
              </w:rPr>
            </w:pPr>
          </w:p>
        </w:tc>
        <w:tc>
          <w:tcPr>
            <w:tcW w:w="0" w:type="auto"/>
            <w:gridSpan w:val="3"/>
            <w:vAlign w:val="center"/>
            <w:hideMark/>
          </w:tcPr>
          <w:p w14:paraId="06A5BC5D" w14:textId="77777777" w:rsidR="00000000" w:rsidRDefault="00405D16">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F380298" w14:textId="77777777" w:rsidR="00000000" w:rsidRDefault="00405D16">
            <w:pPr>
              <w:spacing w:after="100"/>
              <w:jc w:val="right"/>
              <w:rPr>
                <w:rFonts w:eastAsia="Times New Roman"/>
              </w:rPr>
            </w:pPr>
            <w:r>
              <w:rPr>
                <w:rFonts w:eastAsia="Times New Roman"/>
                <w:color w:val="000000"/>
                <w:sz w:val="16"/>
                <w:szCs w:val="16"/>
              </w:rPr>
              <w:t>(4,369)</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2C84DA5" w14:textId="77777777" w:rsidR="00000000" w:rsidRDefault="00405D16">
            <w:pPr>
              <w:spacing w:after="100"/>
              <w:jc w:val="right"/>
              <w:rPr>
                <w:rFonts w:eastAsia="Times New Roman"/>
              </w:rPr>
            </w:pPr>
          </w:p>
        </w:tc>
      </w:tr>
      <w:tr w:rsidR="00405D16" w14:paraId="19E6460F" w14:textId="77777777">
        <w:trPr>
          <w:divId w:val="431173222"/>
        </w:trPr>
        <w:tc>
          <w:tcPr>
            <w:tcW w:w="0" w:type="auto"/>
            <w:gridSpan w:val="3"/>
            <w:shd w:val="clear" w:color="auto" w:fill="CCEEFF"/>
            <w:tcMar>
              <w:top w:w="30" w:type="dxa"/>
              <w:left w:w="20" w:type="dxa"/>
              <w:bottom w:w="30" w:type="dxa"/>
              <w:right w:w="20" w:type="dxa"/>
            </w:tcMar>
            <w:vAlign w:val="bottom"/>
            <w:hideMark/>
          </w:tcPr>
          <w:p w14:paraId="50531439" w14:textId="77777777" w:rsidR="00000000" w:rsidRDefault="00405D16">
            <w:pPr>
              <w:spacing w:after="100"/>
              <w:rPr>
                <w:rFonts w:eastAsia="Times New Roman"/>
              </w:rPr>
            </w:pPr>
            <w:r>
              <w:rPr>
                <w:rFonts w:eastAsia="Times New Roman"/>
                <w:color w:val="000000"/>
                <w:sz w:val="16"/>
                <w:szCs w:val="16"/>
              </w:rPr>
              <w:t>Provision (benefit) for credit losses</w:t>
            </w:r>
          </w:p>
        </w:tc>
        <w:tc>
          <w:tcPr>
            <w:tcW w:w="0" w:type="auto"/>
            <w:gridSpan w:val="3"/>
            <w:shd w:val="clear" w:color="auto" w:fill="CCEEFF"/>
            <w:tcMar>
              <w:top w:w="0" w:type="dxa"/>
              <w:left w:w="20" w:type="dxa"/>
              <w:bottom w:w="0" w:type="dxa"/>
              <w:right w:w="20" w:type="dxa"/>
            </w:tcMar>
            <w:vAlign w:val="center"/>
            <w:hideMark/>
          </w:tcPr>
          <w:p w14:paraId="1E3BA69A"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17317E4" w14:textId="77777777" w:rsidR="00000000" w:rsidRDefault="00405D16">
            <w:pPr>
              <w:spacing w:after="100"/>
              <w:jc w:val="right"/>
              <w:rPr>
                <w:rFonts w:eastAsia="Times New Roman"/>
              </w:rPr>
            </w:pPr>
            <w:r>
              <w:rPr>
                <w:rFonts w:eastAsia="Times New Roman"/>
                <w:color w:val="000000"/>
                <w:sz w:val="16"/>
                <w:szCs w:val="16"/>
              </w:rPr>
              <w:t>6,748 </w:t>
            </w:r>
          </w:p>
        </w:tc>
        <w:tc>
          <w:tcPr>
            <w:tcW w:w="0" w:type="auto"/>
            <w:shd w:val="clear" w:color="auto" w:fill="CCEEFF"/>
            <w:tcMar>
              <w:top w:w="30" w:type="dxa"/>
              <w:left w:w="0" w:type="dxa"/>
              <w:bottom w:w="30" w:type="dxa"/>
              <w:right w:w="20" w:type="dxa"/>
            </w:tcMar>
            <w:vAlign w:val="center"/>
            <w:hideMark/>
          </w:tcPr>
          <w:p w14:paraId="67687DA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A8C12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B063D46" w14:textId="77777777" w:rsidR="00000000" w:rsidRDefault="00405D16">
            <w:pPr>
              <w:spacing w:after="100"/>
              <w:jc w:val="right"/>
              <w:rPr>
                <w:rFonts w:eastAsia="Times New Roman"/>
              </w:rPr>
            </w:pPr>
            <w:r>
              <w:rPr>
                <w:rFonts w:eastAsia="Times New Roman"/>
                <w:color w:val="000000"/>
                <w:sz w:val="16"/>
                <w:szCs w:val="16"/>
              </w:rPr>
              <w:t>348 </w:t>
            </w:r>
          </w:p>
        </w:tc>
        <w:tc>
          <w:tcPr>
            <w:tcW w:w="0" w:type="auto"/>
            <w:shd w:val="clear" w:color="auto" w:fill="CCEEFF"/>
            <w:tcMar>
              <w:top w:w="30" w:type="dxa"/>
              <w:left w:w="0" w:type="dxa"/>
              <w:bottom w:w="30" w:type="dxa"/>
              <w:right w:w="20" w:type="dxa"/>
            </w:tcMar>
            <w:vAlign w:val="center"/>
            <w:hideMark/>
          </w:tcPr>
          <w:p w14:paraId="59696CF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850A1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6E17C42" w14:textId="77777777" w:rsidR="00000000" w:rsidRDefault="00405D16">
            <w:pPr>
              <w:spacing w:after="100"/>
              <w:jc w:val="right"/>
              <w:rPr>
                <w:rFonts w:eastAsia="Times New Roman"/>
              </w:rPr>
            </w:pPr>
            <w:r>
              <w:rPr>
                <w:rFonts w:eastAsia="Times New Roman"/>
                <w:color w:val="000000"/>
                <w:sz w:val="16"/>
                <w:szCs w:val="16"/>
              </w:rPr>
              <w:t>7,096 </w:t>
            </w:r>
          </w:p>
        </w:tc>
        <w:tc>
          <w:tcPr>
            <w:tcW w:w="0" w:type="auto"/>
            <w:shd w:val="clear" w:color="auto" w:fill="CCEEFF"/>
            <w:tcMar>
              <w:top w:w="30" w:type="dxa"/>
              <w:left w:w="0" w:type="dxa"/>
              <w:bottom w:w="30" w:type="dxa"/>
              <w:right w:w="20" w:type="dxa"/>
            </w:tcMar>
            <w:vAlign w:val="center"/>
            <w:hideMark/>
          </w:tcPr>
          <w:p w14:paraId="2368D0A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18BCD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B10F305" w14:textId="77777777" w:rsidR="00000000" w:rsidRDefault="00405D16">
            <w:pPr>
              <w:spacing w:after="100"/>
              <w:jc w:val="right"/>
              <w:rPr>
                <w:rFonts w:eastAsia="Times New Roman"/>
              </w:rPr>
            </w:pPr>
            <w:r>
              <w:rPr>
                <w:rFonts w:eastAsia="Times New Roman"/>
                <w:color w:val="000000"/>
                <w:sz w:val="16"/>
                <w:szCs w:val="16"/>
              </w:rPr>
              <w:t>1,631 </w:t>
            </w:r>
          </w:p>
        </w:tc>
        <w:tc>
          <w:tcPr>
            <w:tcW w:w="0" w:type="auto"/>
            <w:shd w:val="clear" w:color="auto" w:fill="CCEEFF"/>
            <w:tcMar>
              <w:top w:w="30" w:type="dxa"/>
              <w:left w:w="0" w:type="dxa"/>
              <w:bottom w:w="30" w:type="dxa"/>
              <w:right w:w="20" w:type="dxa"/>
            </w:tcMar>
            <w:vAlign w:val="center"/>
            <w:hideMark/>
          </w:tcPr>
          <w:p w14:paraId="3447F72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E0B7E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2FC0FFB" w14:textId="77777777" w:rsidR="00000000" w:rsidRDefault="00405D16">
            <w:pPr>
              <w:spacing w:after="100"/>
              <w:jc w:val="right"/>
              <w:rPr>
                <w:rFonts w:eastAsia="Times New Roman"/>
              </w:rPr>
            </w:pPr>
            <w:r>
              <w:rPr>
                <w:rFonts w:eastAsia="Times New Roman"/>
                <w:color w:val="000000"/>
                <w:sz w:val="16"/>
                <w:szCs w:val="16"/>
              </w:rPr>
              <w:t>62 </w:t>
            </w:r>
          </w:p>
        </w:tc>
        <w:tc>
          <w:tcPr>
            <w:tcW w:w="0" w:type="auto"/>
            <w:shd w:val="clear" w:color="auto" w:fill="CCEEFF"/>
            <w:tcMar>
              <w:top w:w="30" w:type="dxa"/>
              <w:left w:w="0" w:type="dxa"/>
              <w:bottom w:w="30" w:type="dxa"/>
              <w:right w:w="20" w:type="dxa"/>
            </w:tcMar>
            <w:vAlign w:val="center"/>
            <w:hideMark/>
          </w:tcPr>
          <w:p w14:paraId="6AFDDBB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E2B28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EE8B88B" w14:textId="77777777" w:rsidR="00000000" w:rsidRDefault="00405D16">
            <w:pPr>
              <w:spacing w:after="100"/>
              <w:jc w:val="right"/>
              <w:rPr>
                <w:rFonts w:eastAsia="Times New Roman"/>
              </w:rPr>
            </w:pPr>
            <w:r>
              <w:rPr>
                <w:rFonts w:eastAsia="Times New Roman"/>
                <w:color w:val="000000"/>
                <w:sz w:val="16"/>
                <w:szCs w:val="16"/>
              </w:rPr>
              <w:t>1,693 </w:t>
            </w:r>
          </w:p>
        </w:tc>
        <w:tc>
          <w:tcPr>
            <w:tcW w:w="0" w:type="auto"/>
            <w:shd w:val="clear" w:color="auto" w:fill="CCEEFF"/>
            <w:tcMar>
              <w:top w:w="30" w:type="dxa"/>
              <w:left w:w="0" w:type="dxa"/>
              <w:bottom w:w="30" w:type="dxa"/>
              <w:right w:w="20" w:type="dxa"/>
            </w:tcMar>
            <w:vAlign w:val="center"/>
            <w:hideMark/>
          </w:tcPr>
          <w:p w14:paraId="00FC86D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CE820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75E69A1" w14:textId="77777777" w:rsidR="00000000" w:rsidRDefault="00405D16">
            <w:pPr>
              <w:spacing w:after="100"/>
              <w:jc w:val="right"/>
              <w:rPr>
                <w:rFonts w:eastAsia="Times New Roman"/>
              </w:rPr>
            </w:pPr>
            <w:r>
              <w:rPr>
                <w:rFonts w:eastAsia="Times New Roman"/>
                <w:color w:val="000000"/>
                <w:sz w:val="16"/>
                <w:szCs w:val="16"/>
              </w:rPr>
              <w:t>1,186 </w:t>
            </w:r>
          </w:p>
        </w:tc>
        <w:tc>
          <w:tcPr>
            <w:tcW w:w="0" w:type="auto"/>
            <w:shd w:val="clear" w:color="auto" w:fill="CCEEFF"/>
            <w:tcMar>
              <w:top w:w="30" w:type="dxa"/>
              <w:left w:w="0" w:type="dxa"/>
              <w:bottom w:w="30" w:type="dxa"/>
              <w:right w:w="20" w:type="dxa"/>
            </w:tcMar>
            <w:vAlign w:val="center"/>
            <w:hideMark/>
          </w:tcPr>
          <w:p w14:paraId="7C07483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6B24A7" w14:textId="77777777" w:rsidR="00000000" w:rsidRDefault="00405D16">
            <w:pPr>
              <w:spacing w:after="100"/>
              <w:jc w:val="right"/>
              <w:rPr>
                <w:rFonts w:eastAsia="Times New Roman"/>
                <w:sz w:val="20"/>
                <w:szCs w:val="20"/>
              </w:rPr>
            </w:pPr>
          </w:p>
        </w:tc>
        <w:tc>
          <w:tcPr>
            <w:tcW w:w="0" w:type="auto"/>
            <w:vAlign w:val="center"/>
            <w:hideMark/>
          </w:tcPr>
          <w:p w14:paraId="2F69E213" w14:textId="77777777" w:rsidR="00000000" w:rsidRDefault="00405D16">
            <w:pPr>
              <w:spacing w:after="100"/>
              <w:rPr>
                <w:rFonts w:eastAsia="Times New Roman"/>
                <w:sz w:val="20"/>
                <w:szCs w:val="20"/>
              </w:rPr>
            </w:pPr>
          </w:p>
        </w:tc>
        <w:tc>
          <w:tcPr>
            <w:tcW w:w="0" w:type="auto"/>
            <w:gridSpan w:val="3"/>
            <w:vAlign w:val="center"/>
            <w:hideMark/>
          </w:tcPr>
          <w:p w14:paraId="0C12D0B7"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8DDBFD7" w14:textId="77777777" w:rsidR="00000000" w:rsidRDefault="00405D16">
            <w:pPr>
              <w:spacing w:after="100"/>
              <w:jc w:val="right"/>
              <w:rPr>
                <w:rFonts w:eastAsia="Times New Roman"/>
              </w:rPr>
            </w:pPr>
            <w:r>
              <w:rPr>
                <w:rFonts w:eastAsia="Times New Roman"/>
                <w:color w:val="000000"/>
                <w:sz w:val="16"/>
                <w:szCs w:val="16"/>
              </w:rPr>
              <w:t>9,975 </w:t>
            </w:r>
          </w:p>
        </w:tc>
        <w:tc>
          <w:tcPr>
            <w:tcW w:w="0" w:type="auto"/>
            <w:shd w:val="clear" w:color="auto" w:fill="CCEEFF"/>
            <w:tcMar>
              <w:top w:w="30" w:type="dxa"/>
              <w:left w:w="0" w:type="dxa"/>
              <w:bottom w:w="30" w:type="dxa"/>
              <w:right w:w="20" w:type="dxa"/>
            </w:tcMar>
            <w:vAlign w:val="center"/>
            <w:hideMark/>
          </w:tcPr>
          <w:p w14:paraId="7E158041" w14:textId="77777777" w:rsidR="00000000" w:rsidRDefault="00405D16">
            <w:pPr>
              <w:spacing w:after="100"/>
              <w:jc w:val="right"/>
              <w:rPr>
                <w:rFonts w:eastAsia="Times New Roman"/>
              </w:rPr>
            </w:pPr>
          </w:p>
        </w:tc>
      </w:tr>
      <w:tr w:rsidR="00405D16" w14:paraId="6D2E8B04" w14:textId="77777777">
        <w:trPr>
          <w:divId w:val="431173222"/>
        </w:trPr>
        <w:tc>
          <w:tcPr>
            <w:tcW w:w="0" w:type="auto"/>
            <w:gridSpan w:val="3"/>
            <w:shd w:val="clear" w:color="auto" w:fill="FFFFFF"/>
            <w:tcMar>
              <w:top w:w="30" w:type="dxa"/>
              <w:left w:w="20" w:type="dxa"/>
              <w:bottom w:w="30" w:type="dxa"/>
              <w:right w:w="20" w:type="dxa"/>
            </w:tcMar>
            <w:vAlign w:val="bottom"/>
            <w:hideMark/>
          </w:tcPr>
          <w:p w14:paraId="321A7E73" w14:textId="77777777" w:rsidR="00000000" w:rsidRDefault="00405D16">
            <w:pPr>
              <w:spacing w:after="100"/>
              <w:rPr>
                <w:rFonts w:eastAsia="Times New Roman"/>
              </w:rPr>
            </w:pPr>
            <w:r>
              <w:rPr>
                <w:rFonts w:eastAsia="Times New Roman"/>
                <w:color w:val="000000"/>
                <w:sz w:val="16"/>
                <w:szCs w:val="16"/>
              </w:rPr>
              <w:t>Allowance build (release) for credit losses</w:t>
            </w:r>
          </w:p>
        </w:tc>
        <w:tc>
          <w:tcPr>
            <w:tcW w:w="0" w:type="auto"/>
            <w:gridSpan w:val="3"/>
            <w:shd w:val="clear" w:color="auto" w:fill="FFFFFF"/>
            <w:tcMar>
              <w:top w:w="0" w:type="dxa"/>
              <w:left w:w="20" w:type="dxa"/>
              <w:bottom w:w="0" w:type="dxa"/>
              <w:right w:w="20" w:type="dxa"/>
            </w:tcMar>
            <w:vAlign w:val="center"/>
            <w:hideMark/>
          </w:tcPr>
          <w:p w14:paraId="3D71C2D1"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04B98E0" w14:textId="77777777" w:rsidR="00000000" w:rsidRDefault="00405D16">
            <w:pPr>
              <w:spacing w:after="100"/>
              <w:jc w:val="right"/>
              <w:rPr>
                <w:rFonts w:eastAsia="Times New Roman"/>
              </w:rPr>
            </w:pPr>
            <w:r>
              <w:rPr>
                <w:rFonts w:eastAsia="Times New Roman"/>
                <w:color w:val="000000"/>
                <w:sz w:val="16"/>
                <w:szCs w:val="16"/>
              </w:rPr>
              <w:t>3,389 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F34B81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88429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A6EB5A1" w14:textId="77777777" w:rsidR="00000000" w:rsidRDefault="00405D16">
            <w:pPr>
              <w:spacing w:after="100"/>
              <w:jc w:val="right"/>
              <w:rPr>
                <w:rFonts w:eastAsia="Times New Roman"/>
              </w:rPr>
            </w:pPr>
            <w:r>
              <w:rPr>
                <w:rFonts w:eastAsia="Times New Roman"/>
                <w:color w:val="000000"/>
                <w:sz w:val="16"/>
                <w:szCs w:val="16"/>
              </w:rPr>
              <w:t>117 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43AAC1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E9D170"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A14AE06" w14:textId="77777777" w:rsidR="00000000" w:rsidRDefault="00405D16">
            <w:pPr>
              <w:spacing w:after="100"/>
              <w:jc w:val="right"/>
              <w:rPr>
                <w:rFonts w:eastAsia="Times New Roman"/>
              </w:rPr>
            </w:pPr>
            <w:r>
              <w:rPr>
                <w:rFonts w:eastAsia="Times New Roman"/>
                <w:color w:val="000000"/>
                <w:sz w:val="16"/>
                <w:szCs w:val="16"/>
              </w:rPr>
              <w:t>3,506 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664EB3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A1021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3DAD78C" w14:textId="77777777" w:rsidR="00000000" w:rsidRDefault="00405D16">
            <w:pPr>
              <w:spacing w:after="100"/>
              <w:jc w:val="right"/>
              <w:rPr>
                <w:rFonts w:eastAsia="Times New Roman"/>
              </w:rPr>
            </w:pPr>
            <w:r>
              <w:rPr>
                <w:rFonts w:eastAsia="Times New Roman"/>
                <w:color w:val="000000"/>
                <w:sz w:val="16"/>
                <w:szCs w:val="16"/>
              </w:rPr>
              <w:t>1,186 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D8BD48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6406A6"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05FC11B" w14:textId="77777777" w:rsidR="00000000" w:rsidRDefault="00405D16">
            <w:pPr>
              <w:spacing w:after="100"/>
              <w:jc w:val="right"/>
              <w:rPr>
                <w:rFonts w:eastAsia="Times New Roman"/>
              </w:rPr>
            </w:pPr>
            <w:r>
              <w:rPr>
                <w:rFonts w:eastAsia="Times New Roman"/>
                <w:color w:val="000000"/>
                <w:sz w:val="16"/>
                <w:szCs w:val="16"/>
              </w:rPr>
              <w:t>21 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480087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D2A1E4"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19972AF" w14:textId="77777777" w:rsidR="00000000" w:rsidRDefault="00405D16">
            <w:pPr>
              <w:spacing w:after="100"/>
              <w:jc w:val="right"/>
              <w:rPr>
                <w:rFonts w:eastAsia="Times New Roman"/>
              </w:rPr>
            </w:pPr>
            <w:r>
              <w:rPr>
                <w:rFonts w:eastAsia="Times New Roman"/>
                <w:color w:val="000000"/>
                <w:sz w:val="16"/>
                <w:szCs w:val="16"/>
              </w:rPr>
              <w:t>1,207 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6D168A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A8E10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BCCB364" w14:textId="77777777" w:rsidR="00000000" w:rsidRDefault="00405D16">
            <w:pPr>
              <w:spacing w:after="100"/>
              <w:jc w:val="right"/>
              <w:rPr>
                <w:rFonts w:eastAsia="Times New Roman"/>
              </w:rPr>
            </w:pPr>
            <w:r>
              <w:rPr>
                <w:rFonts w:eastAsia="Times New Roman"/>
                <w:color w:val="000000"/>
                <w:sz w:val="16"/>
                <w:szCs w:val="16"/>
              </w:rPr>
              <w:t>893 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70AB68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084F07" w14:textId="77777777" w:rsidR="00000000" w:rsidRDefault="00405D16">
            <w:pPr>
              <w:spacing w:after="100"/>
              <w:jc w:val="right"/>
              <w:rPr>
                <w:rFonts w:eastAsia="Times New Roman"/>
                <w:sz w:val="20"/>
                <w:szCs w:val="20"/>
              </w:rPr>
            </w:pPr>
          </w:p>
        </w:tc>
        <w:tc>
          <w:tcPr>
            <w:tcW w:w="0" w:type="auto"/>
            <w:vAlign w:val="center"/>
            <w:hideMark/>
          </w:tcPr>
          <w:p w14:paraId="36CC830E" w14:textId="77777777" w:rsidR="00000000" w:rsidRDefault="00405D16">
            <w:pPr>
              <w:spacing w:after="100"/>
              <w:rPr>
                <w:rFonts w:eastAsia="Times New Roman"/>
                <w:sz w:val="20"/>
                <w:szCs w:val="20"/>
              </w:rPr>
            </w:pPr>
          </w:p>
        </w:tc>
        <w:tc>
          <w:tcPr>
            <w:tcW w:w="0" w:type="auto"/>
            <w:gridSpan w:val="3"/>
            <w:vAlign w:val="center"/>
            <w:hideMark/>
          </w:tcPr>
          <w:p w14:paraId="5ECC7CD0" w14:textId="77777777" w:rsidR="00000000" w:rsidRDefault="00405D16">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5DD1CDD" w14:textId="77777777" w:rsidR="00000000" w:rsidRDefault="00405D16">
            <w:pPr>
              <w:spacing w:after="100"/>
              <w:jc w:val="right"/>
              <w:rPr>
                <w:rFonts w:eastAsia="Times New Roman"/>
              </w:rPr>
            </w:pPr>
            <w:r>
              <w:rPr>
                <w:rFonts w:eastAsia="Times New Roman"/>
                <w:color w:val="000000"/>
                <w:sz w:val="16"/>
                <w:szCs w:val="16"/>
              </w:rPr>
              <w:t>5,606 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EA93A4D" w14:textId="77777777" w:rsidR="00000000" w:rsidRDefault="00405D16">
            <w:pPr>
              <w:spacing w:after="100"/>
              <w:jc w:val="right"/>
              <w:rPr>
                <w:rFonts w:eastAsia="Times New Roman"/>
              </w:rPr>
            </w:pPr>
          </w:p>
        </w:tc>
      </w:tr>
      <w:tr w:rsidR="00405D16" w14:paraId="31C0E8A0" w14:textId="77777777">
        <w:trPr>
          <w:divId w:val="431173222"/>
        </w:trPr>
        <w:tc>
          <w:tcPr>
            <w:tcW w:w="0" w:type="auto"/>
            <w:gridSpan w:val="3"/>
            <w:shd w:val="clear" w:color="auto" w:fill="CCEEFF"/>
            <w:tcMar>
              <w:top w:w="30" w:type="dxa"/>
              <w:left w:w="20" w:type="dxa"/>
              <w:bottom w:w="30" w:type="dxa"/>
              <w:right w:w="20" w:type="dxa"/>
            </w:tcMar>
            <w:vAlign w:val="bottom"/>
            <w:hideMark/>
          </w:tcPr>
          <w:p w14:paraId="2D97F9C9" w14:textId="77777777" w:rsidR="00000000" w:rsidRDefault="00405D16">
            <w:pPr>
              <w:spacing w:after="100"/>
              <w:divId w:val="1065563129"/>
              <w:rPr>
                <w:rFonts w:eastAsia="Times New Roman"/>
              </w:rPr>
            </w:pPr>
            <w:r>
              <w:rPr>
                <w:rFonts w:eastAsia="Times New Roman"/>
                <w:color w:val="000000"/>
                <w:sz w:val="16"/>
                <w:szCs w:val="16"/>
              </w:rPr>
              <w:t>Other change</w:t>
            </w:r>
            <w:r>
              <w:rPr>
                <w:rFonts w:eastAsia="Times New Roman"/>
                <w:color w:val="000000"/>
                <w:sz w:val="16"/>
                <w:szCs w:val="16"/>
              </w:rPr>
              <w:t>s</w:t>
            </w:r>
            <w:r>
              <w:rPr>
                <w:rFonts w:eastAsia="Times New Roman"/>
                <w:color w:val="000000"/>
                <w:sz w:val="10"/>
                <w:szCs w:val="10"/>
              </w:rPr>
              <w:t>(2</w:t>
            </w:r>
            <w:r>
              <w:rPr>
                <w:rFonts w:eastAsia="Times New Roman"/>
                <w:color w:val="000000"/>
                <w:sz w:val="10"/>
                <w:szCs w:val="10"/>
              </w:rPr>
              <w:t>)</w:t>
            </w:r>
          </w:p>
        </w:tc>
        <w:tc>
          <w:tcPr>
            <w:tcW w:w="0" w:type="auto"/>
            <w:gridSpan w:val="3"/>
            <w:shd w:val="clear" w:color="auto" w:fill="CCEEFF"/>
            <w:tcMar>
              <w:top w:w="0" w:type="dxa"/>
              <w:left w:w="20" w:type="dxa"/>
              <w:bottom w:w="0" w:type="dxa"/>
              <w:right w:w="20" w:type="dxa"/>
            </w:tcMar>
            <w:vAlign w:val="center"/>
            <w:hideMark/>
          </w:tcPr>
          <w:p w14:paraId="3A566C10"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07C65B3"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5F564D3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DDBC0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1835274" w14:textId="77777777" w:rsidR="00000000" w:rsidRDefault="00405D16">
            <w:pPr>
              <w:spacing w:after="100"/>
              <w:jc w:val="right"/>
              <w:rPr>
                <w:rFonts w:eastAsia="Times New Roman"/>
              </w:rPr>
            </w:pPr>
            <w:r>
              <w:rPr>
                <w:rFonts w:eastAsia="Times New Roman"/>
                <w:color w:val="000000"/>
                <w:sz w:val="16"/>
                <w:szCs w:val="16"/>
              </w:rPr>
              <w:t>8 </w:t>
            </w:r>
          </w:p>
        </w:tc>
        <w:tc>
          <w:tcPr>
            <w:tcW w:w="0" w:type="auto"/>
            <w:shd w:val="clear" w:color="auto" w:fill="CCEEFF"/>
            <w:tcMar>
              <w:top w:w="30" w:type="dxa"/>
              <w:left w:w="0" w:type="dxa"/>
              <w:bottom w:w="30" w:type="dxa"/>
              <w:right w:w="20" w:type="dxa"/>
            </w:tcMar>
            <w:vAlign w:val="center"/>
            <w:hideMark/>
          </w:tcPr>
          <w:p w14:paraId="15FEF3E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E07F0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F75DE4C" w14:textId="77777777" w:rsidR="00000000" w:rsidRDefault="00405D16">
            <w:pPr>
              <w:spacing w:after="100"/>
              <w:jc w:val="right"/>
              <w:rPr>
                <w:rFonts w:eastAsia="Times New Roman"/>
              </w:rPr>
            </w:pPr>
            <w:r>
              <w:rPr>
                <w:rFonts w:eastAsia="Times New Roman"/>
                <w:color w:val="000000"/>
                <w:sz w:val="16"/>
                <w:szCs w:val="16"/>
              </w:rPr>
              <w:t>8 </w:t>
            </w:r>
          </w:p>
        </w:tc>
        <w:tc>
          <w:tcPr>
            <w:tcW w:w="0" w:type="auto"/>
            <w:shd w:val="clear" w:color="auto" w:fill="CCEEFF"/>
            <w:tcMar>
              <w:top w:w="30" w:type="dxa"/>
              <w:left w:w="0" w:type="dxa"/>
              <w:bottom w:w="30" w:type="dxa"/>
              <w:right w:w="20" w:type="dxa"/>
            </w:tcMar>
            <w:vAlign w:val="center"/>
            <w:hideMark/>
          </w:tcPr>
          <w:p w14:paraId="17DDF0A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656DC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630B5CC"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35BB126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BEA5B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0E8D160"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7EB50C9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AFF57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3688CB4"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4CEAB14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9EEF9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65B548C"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78C731A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C90015" w14:textId="77777777" w:rsidR="00000000" w:rsidRDefault="00405D16">
            <w:pPr>
              <w:spacing w:after="100"/>
              <w:jc w:val="right"/>
              <w:rPr>
                <w:rFonts w:eastAsia="Times New Roman"/>
                <w:sz w:val="20"/>
                <w:szCs w:val="20"/>
              </w:rPr>
            </w:pPr>
          </w:p>
        </w:tc>
        <w:tc>
          <w:tcPr>
            <w:tcW w:w="0" w:type="auto"/>
            <w:vAlign w:val="center"/>
            <w:hideMark/>
          </w:tcPr>
          <w:p w14:paraId="1614D776" w14:textId="77777777" w:rsidR="00000000" w:rsidRDefault="00405D16">
            <w:pPr>
              <w:spacing w:after="100"/>
              <w:rPr>
                <w:rFonts w:eastAsia="Times New Roman"/>
                <w:sz w:val="20"/>
                <w:szCs w:val="20"/>
              </w:rPr>
            </w:pPr>
          </w:p>
        </w:tc>
        <w:tc>
          <w:tcPr>
            <w:tcW w:w="0" w:type="auto"/>
            <w:gridSpan w:val="3"/>
            <w:vAlign w:val="center"/>
            <w:hideMark/>
          </w:tcPr>
          <w:p w14:paraId="389A7554"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893D87B" w14:textId="77777777" w:rsidR="00000000" w:rsidRDefault="00405D16">
            <w:pPr>
              <w:spacing w:after="100"/>
              <w:jc w:val="right"/>
              <w:rPr>
                <w:rFonts w:eastAsia="Times New Roman"/>
              </w:rPr>
            </w:pPr>
            <w:r>
              <w:rPr>
                <w:rFonts w:eastAsia="Times New Roman"/>
                <w:color w:val="000000"/>
                <w:sz w:val="16"/>
                <w:szCs w:val="16"/>
              </w:rPr>
              <w:t>8 </w:t>
            </w:r>
          </w:p>
        </w:tc>
        <w:tc>
          <w:tcPr>
            <w:tcW w:w="0" w:type="auto"/>
            <w:shd w:val="clear" w:color="auto" w:fill="CCEEFF"/>
            <w:tcMar>
              <w:top w:w="30" w:type="dxa"/>
              <w:left w:w="0" w:type="dxa"/>
              <w:bottom w:w="30" w:type="dxa"/>
              <w:right w:w="20" w:type="dxa"/>
            </w:tcMar>
            <w:vAlign w:val="center"/>
            <w:hideMark/>
          </w:tcPr>
          <w:p w14:paraId="7AE4ACAA" w14:textId="77777777" w:rsidR="00000000" w:rsidRDefault="00405D16">
            <w:pPr>
              <w:spacing w:after="100"/>
              <w:jc w:val="right"/>
              <w:rPr>
                <w:rFonts w:eastAsia="Times New Roman"/>
              </w:rPr>
            </w:pPr>
          </w:p>
        </w:tc>
      </w:tr>
      <w:tr w:rsidR="00405D16" w14:paraId="23253AE9" w14:textId="77777777">
        <w:trPr>
          <w:divId w:val="431173222"/>
        </w:trPr>
        <w:tc>
          <w:tcPr>
            <w:tcW w:w="0" w:type="auto"/>
            <w:gridSpan w:val="3"/>
            <w:shd w:val="clear" w:color="auto" w:fill="FFFFFF"/>
            <w:tcMar>
              <w:top w:w="30" w:type="dxa"/>
              <w:left w:w="20" w:type="dxa"/>
              <w:bottom w:w="30" w:type="dxa"/>
              <w:right w:w="20" w:type="dxa"/>
            </w:tcMar>
            <w:vAlign w:val="bottom"/>
            <w:hideMark/>
          </w:tcPr>
          <w:p w14:paraId="50A90722" w14:textId="77777777" w:rsidR="00000000" w:rsidRDefault="00405D16">
            <w:pPr>
              <w:spacing w:after="100"/>
              <w:rPr>
                <w:rFonts w:eastAsia="Times New Roman"/>
              </w:rPr>
            </w:pPr>
            <w:r>
              <w:rPr>
                <w:rFonts w:eastAsia="Times New Roman"/>
                <w:color w:val="000000"/>
                <w:sz w:val="16"/>
                <w:szCs w:val="16"/>
              </w:rPr>
              <w:t>Balance as of September 30, 2020</w:t>
            </w:r>
          </w:p>
        </w:tc>
        <w:tc>
          <w:tcPr>
            <w:tcW w:w="0" w:type="auto"/>
            <w:gridSpan w:val="3"/>
            <w:shd w:val="clear" w:color="auto" w:fill="FFFFFF"/>
            <w:tcMar>
              <w:top w:w="0" w:type="dxa"/>
              <w:left w:w="20" w:type="dxa"/>
              <w:bottom w:w="0" w:type="dxa"/>
              <w:right w:w="20" w:type="dxa"/>
            </w:tcMar>
            <w:vAlign w:val="center"/>
            <w:hideMark/>
          </w:tcPr>
          <w:p w14:paraId="7F83885A"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412DF33" w14:textId="77777777" w:rsidR="00000000" w:rsidRDefault="00405D16">
            <w:pPr>
              <w:spacing w:after="100"/>
              <w:jc w:val="right"/>
              <w:rPr>
                <w:rFonts w:eastAsia="Times New Roman"/>
              </w:rPr>
            </w:pPr>
            <w:r>
              <w:rPr>
                <w:rFonts w:eastAsia="Times New Roman"/>
                <w:color w:val="000000"/>
                <w:sz w:val="16"/>
                <w:szCs w:val="16"/>
              </w:rPr>
              <w:t>11,062 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309A72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5D83B6"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292DE72" w14:textId="77777777" w:rsidR="00000000" w:rsidRDefault="00405D16">
            <w:pPr>
              <w:spacing w:after="100"/>
              <w:jc w:val="right"/>
              <w:rPr>
                <w:rFonts w:eastAsia="Times New Roman"/>
              </w:rPr>
            </w:pPr>
            <w:r>
              <w:rPr>
                <w:rFonts w:eastAsia="Times New Roman"/>
                <w:color w:val="000000"/>
                <w:sz w:val="16"/>
                <w:szCs w:val="16"/>
              </w:rPr>
              <w:t>550 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76C82A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DDD05C"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08F2507" w14:textId="77777777" w:rsidR="00000000" w:rsidRDefault="00405D16">
            <w:pPr>
              <w:spacing w:after="100"/>
              <w:jc w:val="right"/>
              <w:rPr>
                <w:rFonts w:eastAsia="Times New Roman"/>
              </w:rPr>
            </w:pPr>
            <w:r>
              <w:rPr>
                <w:rFonts w:eastAsia="Times New Roman"/>
                <w:color w:val="000000"/>
                <w:sz w:val="16"/>
                <w:szCs w:val="16"/>
              </w:rPr>
              <w:t>11,612 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E8C3B9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D6AC40"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A9B0D76" w14:textId="77777777" w:rsidR="00000000" w:rsidRDefault="00405D16">
            <w:pPr>
              <w:spacing w:after="100"/>
              <w:jc w:val="right"/>
              <w:rPr>
                <w:rFonts w:eastAsia="Times New Roman"/>
              </w:rPr>
            </w:pPr>
            <w:r>
              <w:rPr>
                <w:rFonts w:eastAsia="Times New Roman"/>
                <w:color w:val="000000"/>
                <w:sz w:val="16"/>
                <w:szCs w:val="16"/>
              </w:rPr>
              <w:t>2,647 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960252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7E5FB4"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32A2CA4" w14:textId="77777777" w:rsidR="00000000" w:rsidRDefault="00405D16">
            <w:pPr>
              <w:spacing w:after="100"/>
              <w:jc w:val="right"/>
              <w:rPr>
                <w:rFonts w:eastAsia="Times New Roman"/>
              </w:rPr>
            </w:pPr>
            <w:r>
              <w:rPr>
                <w:rFonts w:eastAsia="Times New Roman"/>
                <w:color w:val="000000"/>
                <w:sz w:val="16"/>
                <w:szCs w:val="16"/>
              </w:rPr>
              <w:t>100 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3FF8EE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193EF4"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9910216" w14:textId="77777777" w:rsidR="00000000" w:rsidRDefault="00405D16">
            <w:pPr>
              <w:spacing w:after="100"/>
              <w:jc w:val="right"/>
              <w:rPr>
                <w:rFonts w:eastAsia="Times New Roman"/>
              </w:rPr>
            </w:pPr>
            <w:r>
              <w:rPr>
                <w:rFonts w:eastAsia="Times New Roman"/>
                <w:color w:val="000000"/>
                <w:sz w:val="16"/>
                <w:szCs w:val="16"/>
              </w:rPr>
              <w:t>2,747 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B09F21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9A207F"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EDD796F" w14:textId="77777777" w:rsidR="00000000" w:rsidRDefault="00405D16">
            <w:pPr>
              <w:spacing w:after="100"/>
              <w:jc w:val="right"/>
              <w:rPr>
                <w:rFonts w:eastAsia="Times New Roman"/>
              </w:rPr>
            </w:pPr>
            <w:r>
              <w:rPr>
                <w:rFonts w:eastAsia="Times New Roman"/>
                <w:color w:val="000000"/>
                <w:sz w:val="16"/>
                <w:szCs w:val="16"/>
              </w:rPr>
              <w:t>1,770 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188743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E004A0" w14:textId="77777777" w:rsidR="00000000" w:rsidRDefault="00405D16">
            <w:pPr>
              <w:spacing w:after="100"/>
              <w:jc w:val="right"/>
              <w:rPr>
                <w:rFonts w:eastAsia="Times New Roman"/>
                <w:sz w:val="20"/>
                <w:szCs w:val="20"/>
              </w:rPr>
            </w:pPr>
          </w:p>
        </w:tc>
        <w:tc>
          <w:tcPr>
            <w:tcW w:w="0" w:type="auto"/>
            <w:vAlign w:val="center"/>
            <w:hideMark/>
          </w:tcPr>
          <w:p w14:paraId="2F1E5E5F" w14:textId="77777777" w:rsidR="00000000" w:rsidRDefault="00405D16">
            <w:pPr>
              <w:spacing w:after="100"/>
              <w:rPr>
                <w:rFonts w:eastAsia="Times New Roman"/>
                <w:sz w:val="20"/>
                <w:szCs w:val="20"/>
              </w:rPr>
            </w:pPr>
          </w:p>
        </w:tc>
        <w:tc>
          <w:tcPr>
            <w:tcW w:w="0" w:type="auto"/>
            <w:gridSpan w:val="3"/>
            <w:vAlign w:val="center"/>
            <w:hideMark/>
          </w:tcPr>
          <w:p w14:paraId="3B172546" w14:textId="77777777" w:rsidR="00000000" w:rsidRDefault="00405D16">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1FDC234" w14:textId="77777777" w:rsidR="00000000" w:rsidRDefault="00405D16">
            <w:pPr>
              <w:spacing w:after="100"/>
              <w:jc w:val="right"/>
              <w:rPr>
                <w:rFonts w:eastAsia="Times New Roman"/>
              </w:rPr>
            </w:pPr>
            <w:r>
              <w:rPr>
                <w:rFonts w:eastAsia="Times New Roman"/>
                <w:color w:val="000000"/>
                <w:sz w:val="16"/>
                <w:szCs w:val="16"/>
              </w:rPr>
              <w:t>16,129 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F0FFB36" w14:textId="77777777" w:rsidR="00000000" w:rsidRDefault="00405D16">
            <w:pPr>
              <w:spacing w:after="100"/>
              <w:jc w:val="right"/>
              <w:rPr>
                <w:rFonts w:eastAsia="Times New Roman"/>
              </w:rPr>
            </w:pPr>
          </w:p>
        </w:tc>
      </w:tr>
      <w:tr w:rsidR="00000000" w14:paraId="3C58866A" w14:textId="77777777">
        <w:trPr>
          <w:divId w:val="431173222"/>
        </w:trPr>
        <w:tc>
          <w:tcPr>
            <w:tcW w:w="0" w:type="auto"/>
            <w:gridSpan w:val="3"/>
            <w:shd w:val="clear" w:color="auto" w:fill="CCEEFF"/>
            <w:tcMar>
              <w:top w:w="30" w:type="dxa"/>
              <w:left w:w="20" w:type="dxa"/>
              <w:bottom w:w="30" w:type="dxa"/>
              <w:right w:w="20" w:type="dxa"/>
            </w:tcMar>
            <w:vAlign w:val="bottom"/>
            <w:hideMark/>
          </w:tcPr>
          <w:p w14:paraId="6651C39A" w14:textId="77777777" w:rsidR="00000000" w:rsidRDefault="00405D16">
            <w:pPr>
              <w:spacing w:after="100"/>
              <w:rPr>
                <w:rFonts w:eastAsia="Times New Roman"/>
              </w:rPr>
            </w:pPr>
            <w:r>
              <w:rPr>
                <w:rFonts w:eastAsia="Times New Roman"/>
                <w:b/>
                <w:bCs/>
                <w:color w:val="000000"/>
                <w:sz w:val="16"/>
                <w:szCs w:val="16"/>
              </w:rPr>
              <w:t>Reserve for unfunded lending commitments:</w:t>
            </w:r>
          </w:p>
        </w:tc>
        <w:tc>
          <w:tcPr>
            <w:tcW w:w="0" w:type="auto"/>
            <w:gridSpan w:val="3"/>
            <w:shd w:val="clear" w:color="auto" w:fill="CCEEFF"/>
            <w:tcMar>
              <w:top w:w="0" w:type="dxa"/>
              <w:left w:w="20" w:type="dxa"/>
              <w:bottom w:w="0" w:type="dxa"/>
              <w:right w:w="20" w:type="dxa"/>
            </w:tcMar>
            <w:vAlign w:val="center"/>
            <w:hideMark/>
          </w:tcPr>
          <w:p w14:paraId="69C9C54E"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CA343C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6C58ED"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D9C4CF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40B961"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E14936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68D0F5"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E25135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64676C"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9E05A4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F4FB10"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7506C6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5B9238"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B05504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E576C8" w14:textId="77777777" w:rsidR="00000000" w:rsidRDefault="00405D16">
            <w:pPr>
              <w:spacing w:after="100"/>
              <w:rPr>
                <w:rFonts w:eastAsia="Times New Roman"/>
                <w:sz w:val="20"/>
                <w:szCs w:val="20"/>
              </w:rPr>
            </w:pPr>
          </w:p>
        </w:tc>
        <w:tc>
          <w:tcPr>
            <w:tcW w:w="0" w:type="auto"/>
            <w:vAlign w:val="center"/>
            <w:hideMark/>
          </w:tcPr>
          <w:p w14:paraId="6F0A98F7" w14:textId="77777777" w:rsidR="00000000" w:rsidRDefault="00405D16">
            <w:pPr>
              <w:spacing w:after="100"/>
              <w:rPr>
                <w:rFonts w:eastAsia="Times New Roman"/>
                <w:sz w:val="20"/>
                <w:szCs w:val="20"/>
              </w:rPr>
            </w:pPr>
          </w:p>
        </w:tc>
        <w:tc>
          <w:tcPr>
            <w:tcW w:w="0" w:type="auto"/>
            <w:gridSpan w:val="3"/>
            <w:vAlign w:val="center"/>
            <w:hideMark/>
          </w:tcPr>
          <w:p w14:paraId="049B326C"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EA01EB" w14:textId="77777777" w:rsidR="00000000" w:rsidRDefault="00405D16">
            <w:pPr>
              <w:spacing w:after="100"/>
              <w:rPr>
                <w:rFonts w:eastAsia="Times New Roman"/>
                <w:sz w:val="20"/>
                <w:szCs w:val="20"/>
              </w:rPr>
            </w:pPr>
          </w:p>
        </w:tc>
      </w:tr>
      <w:tr w:rsidR="00405D16" w14:paraId="47CB6043" w14:textId="77777777">
        <w:trPr>
          <w:divId w:val="431173222"/>
        </w:trPr>
        <w:tc>
          <w:tcPr>
            <w:tcW w:w="0" w:type="auto"/>
            <w:gridSpan w:val="3"/>
            <w:shd w:val="clear" w:color="auto" w:fill="FFFFFF"/>
            <w:tcMar>
              <w:top w:w="30" w:type="dxa"/>
              <w:left w:w="20" w:type="dxa"/>
              <w:bottom w:w="30" w:type="dxa"/>
              <w:right w:w="20" w:type="dxa"/>
            </w:tcMar>
            <w:vAlign w:val="bottom"/>
            <w:hideMark/>
          </w:tcPr>
          <w:p w14:paraId="2B295585" w14:textId="77777777" w:rsidR="00000000" w:rsidRDefault="00405D16">
            <w:pPr>
              <w:spacing w:after="100"/>
              <w:rPr>
                <w:rFonts w:eastAsia="Times New Roman"/>
              </w:rPr>
            </w:pPr>
            <w:r>
              <w:rPr>
                <w:rFonts w:eastAsia="Times New Roman"/>
                <w:color w:val="000000"/>
                <w:sz w:val="16"/>
                <w:szCs w:val="16"/>
              </w:rPr>
              <w:t>Balance as of December 31, 2019</w:t>
            </w:r>
          </w:p>
        </w:tc>
        <w:tc>
          <w:tcPr>
            <w:tcW w:w="0" w:type="auto"/>
            <w:gridSpan w:val="3"/>
            <w:shd w:val="clear" w:color="auto" w:fill="FFFFFF"/>
            <w:tcMar>
              <w:top w:w="0" w:type="dxa"/>
              <w:left w:w="20" w:type="dxa"/>
              <w:bottom w:w="0" w:type="dxa"/>
              <w:right w:w="20" w:type="dxa"/>
            </w:tcMar>
            <w:vAlign w:val="center"/>
            <w:hideMark/>
          </w:tcPr>
          <w:p w14:paraId="6BC28DF4"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1CCC427"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478DBF0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E6EFA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D84874C"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1047603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426C7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8477582"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0873CE2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B7698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05954CF"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5E177C7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0DBC7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803EAAA" w14:textId="77777777" w:rsidR="00000000" w:rsidRDefault="00405D16">
            <w:pPr>
              <w:spacing w:after="100"/>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center"/>
            <w:hideMark/>
          </w:tcPr>
          <w:p w14:paraId="694E2F8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8261F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FF4968B" w14:textId="77777777" w:rsidR="00000000" w:rsidRDefault="00405D16">
            <w:pPr>
              <w:spacing w:after="100"/>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center"/>
            <w:hideMark/>
          </w:tcPr>
          <w:p w14:paraId="454048A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30400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C153512" w14:textId="77777777" w:rsidR="00000000" w:rsidRDefault="00405D16">
            <w:pPr>
              <w:spacing w:after="100"/>
              <w:jc w:val="right"/>
              <w:rPr>
                <w:rFonts w:eastAsia="Times New Roman"/>
              </w:rPr>
            </w:pPr>
            <w:r>
              <w:rPr>
                <w:rFonts w:eastAsia="Times New Roman"/>
                <w:color w:val="000000"/>
                <w:sz w:val="16"/>
                <w:szCs w:val="16"/>
              </w:rPr>
              <w:t>130 </w:t>
            </w:r>
          </w:p>
        </w:tc>
        <w:tc>
          <w:tcPr>
            <w:tcW w:w="0" w:type="auto"/>
            <w:shd w:val="clear" w:color="auto" w:fill="FFFFFF"/>
            <w:tcMar>
              <w:top w:w="30" w:type="dxa"/>
              <w:left w:w="0" w:type="dxa"/>
              <w:bottom w:w="30" w:type="dxa"/>
              <w:right w:w="20" w:type="dxa"/>
            </w:tcMar>
            <w:vAlign w:val="center"/>
            <w:hideMark/>
          </w:tcPr>
          <w:p w14:paraId="44A1B5E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CD1C65" w14:textId="77777777" w:rsidR="00000000" w:rsidRDefault="00405D16">
            <w:pPr>
              <w:spacing w:after="100"/>
              <w:jc w:val="right"/>
              <w:rPr>
                <w:rFonts w:eastAsia="Times New Roman"/>
                <w:sz w:val="20"/>
                <w:szCs w:val="20"/>
              </w:rPr>
            </w:pPr>
          </w:p>
        </w:tc>
        <w:tc>
          <w:tcPr>
            <w:tcW w:w="0" w:type="auto"/>
            <w:vAlign w:val="center"/>
            <w:hideMark/>
          </w:tcPr>
          <w:p w14:paraId="79C6F341" w14:textId="77777777" w:rsidR="00000000" w:rsidRDefault="00405D16">
            <w:pPr>
              <w:spacing w:after="100"/>
              <w:rPr>
                <w:rFonts w:eastAsia="Times New Roman"/>
                <w:sz w:val="20"/>
                <w:szCs w:val="20"/>
              </w:rPr>
            </w:pPr>
          </w:p>
        </w:tc>
        <w:tc>
          <w:tcPr>
            <w:tcW w:w="0" w:type="auto"/>
            <w:gridSpan w:val="3"/>
            <w:vAlign w:val="center"/>
            <w:hideMark/>
          </w:tcPr>
          <w:p w14:paraId="606EF707"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C07AF79" w14:textId="77777777" w:rsidR="00000000" w:rsidRDefault="00405D16">
            <w:pPr>
              <w:spacing w:after="100"/>
              <w:jc w:val="right"/>
              <w:rPr>
                <w:rFonts w:eastAsia="Times New Roman"/>
              </w:rPr>
            </w:pPr>
            <w:r>
              <w:rPr>
                <w:rFonts w:eastAsia="Times New Roman"/>
                <w:color w:val="000000"/>
                <w:sz w:val="16"/>
                <w:szCs w:val="16"/>
              </w:rPr>
              <w:t>135 </w:t>
            </w:r>
          </w:p>
        </w:tc>
        <w:tc>
          <w:tcPr>
            <w:tcW w:w="0" w:type="auto"/>
            <w:shd w:val="clear" w:color="auto" w:fill="FFFFFF"/>
            <w:tcMar>
              <w:top w:w="30" w:type="dxa"/>
              <w:left w:w="0" w:type="dxa"/>
              <w:bottom w:w="30" w:type="dxa"/>
              <w:right w:w="20" w:type="dxa"/>
            </w:tcMar>
            <w:vAlign w:val="center"/>
            <w:hideMark/>
          </w:tcPr>
          <w:p w14:paraId="6DE365F5" w14:textId="77777777" w:rsidR="00000000" w:rsidRDefault="00405D16">
            <w:pPr>
              <w:spacing w:after="100"/>
              <w:jc w:val="right"/>
              <w:rPr>
                <w:rFonts w:eastAsia="Times New Roman"/>
              </w:rPr>
            </w:pPr>
          </w:p>
        </w:tc>
      </w:tr>
      <w:tr w:rsidR="00405D16" w14:paraId="3905CC29" w14:textId="77777777">
        <w:trPr>
          <w:divId w:val="431173222"/>
        </w:trPr>
        <w:tc>
          <w:tcPr>
            <w:tcW w:w="0" w:type="auto"/>
            <w:gridSpan w:val="3"/>
            <w:shd w:val="clear" w:color="auto" w:fill="CCEEFF"/>
            <w:tcMar>
              <w:top w:w="30" w:type="dxa"/>
              <w:left w:w="20" w:type="dxa"/>
              <w:bottom w:w="30" w:type="dxa"/>
              <w:right w:w="20" w:type="dxa"/>
            </w:tcMar>
            <w:vAlign w:val="bottom"/>
            <w:hideMark/>
          </w:tcPr>
          <w:p w14:paraId="6038D8B5" w14:textId="77777777" w:rsidR="00000000" w:rsidRDefault="00405D16">
            <w:pPr>
              <w:spacing w:after="100"/>
              <w:rPr>
                <w:rFonts w:eastAsia="Times New Roman"/>
              </w:rPr>
            </w:pPr>
            <w:r>
              <w:rPr>
                <w:rFonts w:eastAsia="Times New Roman"/>
                <w:color w:val="000000"/>
                <w:sz w:val="16"/>
                <w:szCs w:val="16"/>
              </w:rPr>
              <w:t>Cumulative effects from adoption of the CECL standard</w:t>
            </w:r>
          </w:p>
        </w:tc>
        <w:tc>
          <w:tcPr>
            <w:tcW w:w="0" w:type="auto"/>
            <w:gridSpan w:val="3"/>
            <w:shd w:val="clear" w:color="auto" w:fill="CCEEFF"/>
            <w:tcMar>
              <w:top w:w="0" w:type="dxa"/>
              <w:left w:w="20" w:type="dxa"/>
              <w:bottom w:w="0" w:type="dxa"/>
              <w:right w:w="20" w:type="dxa"/>
            </w:tcMar>
            <w:vAlign w:val="center"/>
            <w:hideMark/>
          </w:tcPr>
          <w:p w14:paraId="7FDE86F2"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6EBE109"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7224D82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845D3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2F96200"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04314B0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17374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FAFCD44"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1662B84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44E23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1A686E9"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2C925DF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2B342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27CA631" w14:textId="77777777" w:rsidR="00000000" w:rsidRDefault="00405D16">
            <w:pPr>
              <w:spacing w:after="100"/>
              <w:jc w:val="right"/>
              <w:rPr>
                <w:rFonts w:eastAsia="Times New Roman"/>
              </w:rPr>
            </w:pPr>
            <w:r>
              <w:rPr>
                <w:rFonts w:eastAsia="Times New Roman"/>
                <w:color w:val="000000"/>
                <w:sz w:val="16"/>
                <w:szCs w:val="16"/>
              </w:rPr>
              <w:t>(5)</w:t>
            </w:r>
          </w:p>
        </w:tc>
        <w:tc>
          <w:tcPr>
            <w:tcW w:w="0" w:type="auto"/>
            <w:shd w:val="clear" w:color="auto" w:fill="CCEEFF"/>
            <w:tcMar>
              <w:top w:w="30" w:type="dxa"/>
              <w:left w:w="0" w:type="dxa"/>
              <w:bottom w:w="30" w:type="dxa"/>
              <w:right w:w="20" w:type="dxa"/>
            </w:tcMar>
            <w:vAlign w:val="center"/>
            <w:hideMark/>
          </w:tcPr>
          <w:p w14:paraId="4300807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4D26D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BD7656F" w14:textId="77777777" w:rsidR="00000000" w:rsidRDefault="00405D16">
            <w:pPr>
              <w:spacing w:after="100"/>
              <w:jc w:val="right"/>
              <w:rPr>
                <w:rFonts w:eastAsia="Times New Roman"/>
              </w:rPr>
            </w:pPr>
            <w:r>
              <w:rPr>
                <w:rFonts w:eastAsia="Times New Roman"/>
                <w:color w:val="000000"/>
                <w:sz w:val="16"/>
                <w:szCs w:val="16"/>
              </w:rPr>
              <w:t>(5)</w:t>
            </w:r>
          </w:p>
        </w:tc>
        <w:tc>
          <w:tcPr>
            <w:tcW w:w="0" w:type="auto"/>
            <w:shd w:val="clear" w:color="auto" w:fill="CCEEFF"/>
            <w:tcMar>
              <w:top w:w="30" w:type="dxa"/>
              <w:left w:w="0" w:type="dxa"/>
              <w:bottom w:w="30" w:type="dxa"/>
              <w:right w:w="20" w:type="dxa"/>
            </w:tcMar>
            <w:vAlign w:val="center"/>
            <w:hideMark/>
          </w:tcPr>
          <w:p w14:paraId="115B4C0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80C0B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46E4FAD" w14:textId="77777777" w:rsidR="00000000" w:rsidRDefault="00405D16">
            <w:pPr>
              <w:spacing w:after="100"/>
              <w:jc w:val="right"/>
              <w:rPr>
                <w:rFonts w:eastAsia="Times New Roman"/>
              </w:rPr>
            </w:pPr>
            <w:r>
              <w:rPr>
                <w:rFonts w:eastAsia="Times New Roman"/>
                <w:color w:val="000000"/>
                <w:sz w:val="16"/>
                <w:szCs w:val="16"/>
              </w:rPr>
              <w:t>42 </w:t>
            </w:r>
          </w:p>
        </w:tc>
        <w:tc>
          <w:tcPr>
            <w:tcW w:w="0" w:type="auto"/>
            <w:shd w:val="clear" w:color="auto" w:fill="CCEEFF"/>
            <w:tcMar>
              <w:top w:w="30" w:type="dxa"/>
              <w:left w:w="0" w:type="dxa"/>
              <w:bottom w:w="30" w:type="dxa"/>
              <w:right w:w="20" w:type="dxa"/>
            </w:tcMar>
            <w:vAlign w:val="center"/>
            <w:hideMark/>
          </w:tcPr>
          <w:p w14:paraId="56F36B0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5CBFF5" w14:textId="77777777" w:rsidR="00000000" w:rsidRDefault="00405D16">
            <w:pPr>
              <w:spacing w:after="100"/>
              <w:jc w:val="right"/>
              <w:rPr>
                <w:rFonts w:eastAsia="Times New Roman"/>
                <w:sz w:val="20"/>
                <w:szCs w:val="20"/>
              </w:rPr>
            </w:pPr>
          </w:p>
        </w:tc>
        <w:tc>
          <w:tcPr>
            <w:tcW w:w="0" w:type="auto"/>
            <w:vAlign w:val="center"/>
            <w:hideMark/>
          </w:tcPr>
          <w:p w14:paraId="283CF57E" w14:textId="77777777" w:rsidR="00000000" w:rsidRDefault="00405D16">
            <w:pPr>
              <w:spacing w:after="100"/>
              <w:rPr>
                <w:rFonts w:eastAsia="Times New Roman"/>
                <w:sz w:val="20"/>
                <w:szCs w:val="20"/>
              </w:rPr>
            </w:pPr>
          </w:p>
        </w:tc>
        <w:tc>
          <w:tcPr>
            <w:tcW w:w="0" w:type="auto"/>
            <w:gridSpan w:val="3"/>
            <w:vAlign w:val="center"/>
            <w:hideMark/>
          </w:tcPr>
          <w:p w14:paraId="45A2B44C"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DEB9311" w14:textId="77777777" w:rsidR="00000000" w:rsidRDefault="00405D16">
            <w:pPr>
              <w:spacing w:after="100"/>
              <w:jc w:val="right"/>
              <w:rPr>
                <w:rFonts w:eastAsia="Times New Roman"/>
              </w:rPr>
            </w:pPr>
            <w:r>
              <w:rPr>
                <w:rFonts w:eastAsia="Times New Roman"/>
                <w:color w:val="000000"/>
                <w:sz w:val="16"/>
                <w:szCs w:val="16"/>
              </w:rPr>
              <w:t>37 </w:t>
            </w:r>
          </w:p>
        </w:tc>
        <w:tc>
          <w:tcPr>
            <w:tcW w:w="0" w:type="auto"/>
            <w:shd w:val="clear" w:color="auto" w:fill="CCEEFF"/>
            <w:tcMar>
              <w:top w:w="30" w:type="dxa"/>
              <w:left w:w="0" w:type="dxa"/>
              <w:bottom w:w="30" w:type="dxa"/>
              <w:right w:w="20" w:type="dxa"/>
            </w:tcMar>
            <w:vAlign w:val="center"/>
            <w:hideMark/>
          </w:tcPr>
          <w:p w14:paraId="2175A348" w14:textId="77777777" w:rsidR="00000000" w:rsidRDefault="00405D16">
            <w:pPr>
              <w:spacing w:after="100"/>
              <w:jc w:val="right"/>
              <w:rPr>
                <w:rFonts w:eastAsia="Times New Roman"/>
              </w:rPr>
            </w:pPr>
          </w:p>
        </w:tc>
      </w:tr>
      <w:tr w:rsidR="00405D16" w14:paraId="47877FDD" w14:textId="77777777">
        <w:trPr>
          <w:divId w:val="431173222"/>
        </w:trPr>
        <w:tc>
          <w:tcPr>
            <w:tcW w:w="0" w:type="auto"/>
            <w:gridSpan w:val="3"/>
            <w:shd w:val="clear" w:color="auto" w:fill="FFFFFF"/>
            <w:tcMar>
              <w:top w:w="30" w:type="dxa"/>
              <w:left w:w="20" w:type="dxa"/>
              <w:bottom w:w="30" w:type="dxa"/>
              <w:right w:w="20" w:type="dxa"/>
            </w:tcMar>
            <w:vAlign w:val="bottom"/>
            <w:hideMark/>
          </w:tcPr>
          <w:p w14:paraId="2E7613EB" w14:textId="77777777" w:rsidR="00000000" w:rsidRDefault="00405D16">
            <w:pPr>
              <w:spacing w:after="100"/>
              <w:rPr>
                <w:rFonts w:eastAsia="Times New Roman"/>
              </w:rPr>
            </w:pPr>
            <w:r>
              <w:rPr>
                <w:rFonts w:eastAsia="Times New Roman"/>
                <w:color w:val="000000"/>
                <w:sz w:val="16"/>
                <w:szCs w:val="16"/>
              </w:rPr>
              <w:t>Balance as of January 1, 2020</w:t>
            </w:r>
          </w:p>
        </w:tc>
        <w:tc>
          <w:tcPr>
            <w:tcW w:w="0" w:type="auto"/>
            <w:gridSpan w:val="3"/>
            <w:shd w:val="clear" w:color="auto" w:fill="FFFFFF"/>
            <w:tcMar>
              <w:top w:w="0" w:type="dxa"/>
              <w:left w:w="20" w:type="dxa"/>
              <w:bottom w:w="0" w:type="dxa"/>
              <w:right w:w="20" w:type="dxa"/>
            </w:tcMar>
            <w:vAlign w:val="center"/>
            <w:hideMark/>
          </w:tcPr>
          <w:p w14:paraId="02E6DBBE"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D88B26E" w14:textId="77777777" w:rsidR="00000000" w:rsidRDefault="00405D16">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0321ED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D54E9C"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B3574DD" w14:textId="77777777" w:rsidR="00000000" w:rsidRDefault="00405D16">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CD112F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D2191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618CB57" w14:textId="77777777" w:rsidR="00000000" w:rsidRDefault="00405D16">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03D8F7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B681C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89E9C0C" w14:textId="77777777" w:rsidR="00000000" w:rsidRDefault="00405D16">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7D5348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4CF369"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822F137" w14:textId="77777777" w:rsidR="00000000" w:rsidRDefault="00405D16">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F8C9E4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A1C936"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9B10357" w14:textId="77777777" w:rsidR="00000000" w:rsidRDefault="00405D16">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6DA21E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5494EF"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CE256C2" w14:textId="77777777" w:rsidR="00000000" w:rsidRDefault="00405D16">
            <w:pPr>
              <w:spacing w:after="100"/>
              <w:jc w:val="right"/>
              <w:rPr>
                <w:rFonts w:eastAsia="Times New Roman"/>
              </w:rPr>
            </w:pPr>
            <w:r>
              <w:rPr>
                <w:rFonts w:eastAsia="Times New Roman"/>
                <w:color w:val="000000"/>
                <w:sz w:val="16"/>
                <w:szCs w:val="16"/>
              </w:rPr>
              <w:t>172 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2274AB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68FF4F" w14:textId="77777777" w:rsidR="00000000" w:rsidRDefault="00405D16">
            <w:pPr>
              <w:spacing w:after="100"/>
              <w:jc w:val="right"/>
              <w:rPr>
                <w:rFonts w:eastAsia="Times New Roman"/>
                <w:sz w:val="20"/>
                <w:szCs w:val="20"/>
              </w:rPr>
            </w:pPr>
          </w:p>
        </w:tc>
        <w:tc>
          <w:tcPr>
            <w:tcW w:w="0" w:type="auto"/>
            <w:vAlign w:val="center"/>
            <w:hideMark/>
          </w:tcPr>
          <w:p w14:paraId="3F17241C" w14:textId="77777777" w:rsidR="00000000" w:rsidRDefault="00405D16">
            <w:pPr>
              <w:spacing w:after="100"/>
              <w:rPr>
                <w:rFonts w:eastAsia="Times New Roman"/>
                <w:sz w:val="20"/>
                <w:szCs w:val="20"/>
              </w:rPr>
            </w:pPr>
          </w:p>
        </w:tc>
        <w:tc>
          <w:tcPr>
            <w:tcW w:w="0" w:type="auto"/>
            <w:gridSpan w:val="3"/>
            <w:vAlign w:val="center"/>
            <w:hideMark/>
          </w:tcPr>
          <w:p w14:paraId="75D118AA" w14:textId="77777777" w:rsidR="00000000" w:rsidRDefault="00405D16">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1AC316F" w14:textId="77777777" w:rsidR="00000000" w:rsidRDefault="00405D16">
            <w:pPr>
              <w:spacing w:after="100"/>
              <w:jc w:val="right"/>
              <w:rPr>
                <w:rFonts w:eastAsia="Times New Roman"/>
              </w:rPr>
            </w:pPr>
            <w:r>
              <w:rPr>
                <w:rFonts w:eastAsia="Times New Roman"/>
                <w:color w:val="000000"/>
                <w:sz w:val="16"/>
                <w:szCs w:val="16"/>
              </w:rPr>
              <w:t>172 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5F15CF1" w14:textId="77777777" w:rsidR="00000000" w:rsidRDefault="00405D16">
            <w:pPr>
              <w:spacing w:after="100"/>
              <w:jc w:val="right"/>
              <w:rPr>
                <w:rFonts w:eastAsia="Times New Roman"/>
              </w:rPr>
            </w:pPr>
          </w:p>
        </w:tc>
      </w:tr>
      <w:tr w:rsidR="00405D16" w14:paraId="54D12BAD" w14:textId="77777777">
        <w:trPr>
          <w:divId w:val="431173222"/>
        </w:trPr>
        <w:tc>
          <w:tcPr>
            <w:tcW w:w="0" w:type="auto"/>
            <w:gridSpan w:val="3"/>
            <w:shd w:val="clear" w:color="auto" w:fill="CCEEFF"/>
            <w:tcMar>
              <w:top w:w="30" w:type="dxa"/>
              <w:left w:w="20" w:type="dxa"/>
              <w:bottom w:w="30" w:type="dxa"/>
              <w:right w:w="20" w:type="dxa"/>
            </w:tcMar>
            <w:vAlign w:val="bottom"/>
            <w:hideMark/>
          </w:tcPr>
          <w:p w14:paraId="344113EF" w14:textId="77777777" w:rsidR="00000000" w:rsidRDefault="00405D16">
            <w:pPr>
              <w:spacing w:after="100"/>
              <w:rPr>
                <w:rFonts w:eastAsia="Times New Roman"/>
              </w:rPr>
            </w:pPr>
            <w:r>
              <w:rPr>
                <w:rFonts w:eastAsia="Times New Roman"/>
                <w:color w:val="000000"/>
                <w:sz w:val="16"/>
                <w:szCs w:val="16"/>
              </w:rPr>
              <w:t>Provision (benefit) for losses on unfunded lending commitments</w:t>
            </w:r>
          </w:p>
        </w:tc>
        <w:tc>
          <w:tcPr>
            <w:tcW w:w="0" w:type="auto"/>
            <w:gridSpan w:val="3"/>
            <w:shd w:val="clear" w:color="auto" w:fill="CCEEFF"/>
            <w:tcMar>
              <w:top w:w="0" w:type="dxa"/>
              <w:left w:w="20" w:type="dxa"/>
              <w:bottom w:w="0" w:type="dxa"/>
              <w:right w:w="20" w:type="dxa"/>
            </w:tcMar>
            <w:vAlign w:val="center"/>
            <w:hideMark/>
          </w:tcPr>
          <w:p w14:paraId="3FA678B6"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071C37E"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765AFC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14906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F47A9C"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C109FB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CB2E3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B95A9C"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ED5EFF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63694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CBFDB3"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CD09B9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ECAD7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C88DDE"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3F7685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6AEAF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C5986A" w14:textId="77777777" w:rsidR="00000000" w:rsidRDefault="00405D1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47516A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F350D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716D8C" w14:textId="77777777" w:rsidR="00000000" w:rsidRDefault="00405D16">
            <w:pPr>
              <w:spacing w:after="100"/>
              <w:jc w:val="right"/>
              <w:rPr>
                <w:rFonts w:eastAsia="Times New Roman"/>
              </w:rPr>
            </w:pPr>
            <w:r>
              <w:rPr>
                <w:rFonts w:eastAsia="Times New Roman"/>
                <w:color w:val="000000"/>
                <w:sz w:val="16"/>
                <w:szCs w:val="16"/>
              </w:rPr>
              <w:t>23 </w:t>
            </w:r>
          </w:p>
        </w:tc>
        <w:tc>
          <w:tcPr>
            <w:tcW w:w="0" w:type="auto"/>
            <w:shd w:val="clear" w:color="auto" w:fill="CCEEFF"/>
            <w:tcMar>
              <w:top w:w="30" w:type="dxa"/>
              <w:left w:w="0" w:type="dxa"/>
              <w:bottom w:w="30" w:type="dxa"/>
              <w:right w:w="20" w:type="dxa"/>
            </w:tcMar>
            <w:vAlign w:val="bottom"/>
            <w:hideMark/>
          </w:tcPr>
          <w:p w14:paraId="7184701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CD3991" w14:textId="77777777" w:rsidR="00000000" w:rsidRDefault="00405D16">
            <w:pPr>
              <w:spacing w:after="100"/>
              <w:jc w:val="right"/>
              <w:rPr>
                <w:rFonts w:eastAsia="Times New Roman"/>
                <w:sz w:val="20"/>
                <w:szCs w:val="20"/>
              </w:rPr>
            </w:pPr>
          </w:p>
        </w:tc>
        <w:tc>
          <w:tcPr>
            <w:tcW w:w="0" w:type="auto"/>
            <w:vAlign w:val="center"/>
            <w:hideMark/>
          </w:tcPr>
          <w:p w14:paraId="5C261211" w14:textId="77777777" w:rsidR="00000000" w:rsidRDefault="00405D16">
            <w:pPr>
              <w:spacing w:after="100"/>
              <w:rPr>
                <w:rFonts w:eastAsia="Times New Roman"/>
                <w:sz w:val="20"/>
                <w:szCs w:val="20"/>
              </w:rPr>
            </w:pPr>
          </w:p>
        </w:tc>
        <w:tc>
          <w:tcPr>
            <w:tcW w:w="0" w:type="auto"/>
            <w:gridSpan w:val="3"/>
            <w:vAlign w:val="center"/>
            <w:hideMark/>
          </w:tcPr>
          <w:p w14:paraId="3B8FFE54"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1CADE4" w14:textId="77777777" w:rsidR="00000000" w:rsidRDefault="00405D16">
            <w:pPr>
              <w:spacing w:after="100"/>
              <w:jc w:val="right"/>
              <w:rPr>
                <w:rFonts w:eastAsia="Times New Roman"/>
              </w:rPr>
            </w:pPr>
            <w:r>
              <w:rPr>
                <w:rFonts w:eastAsia="Times New Roman"/>
                <w:color w:val="000000"/>
                <w:sz w:val="16"/>
                <w:szCs w:val="16"/>
              </w:rPr>
              <w:t>23 </w:t>
            </w:r>
          </w:p>
        </w:tc>
        <w:tc>
          <w:tcPr>
            <w:tcW w:w="0" w:type="auto"/>
            <w:shd w:val="clear" w:color="auto" w:fill="CCEEFF"/>
            <w:tcMar>
              <w:top w:w="30" w:type="dxa"/>
              <w:left w:w="0" w:type="dxa"/>
              <w:bottom w:w="30" w:type="dxa"/>
              <w:right w:w="20" w:type="dxa"/>
            </w:tcMar>
            <w:vAlign w:val="bottom"/>
            <w:hideMark/>
          </w:tcPr>
          <w:p w14:paraId="4D47C158" w14:textId="77777777" w:rsidR="00000000" w:rsidRDefault="00405D16">
            <w:pPr>
              <w:spacing w:after="100"/>
              <w:jc w:val="right"/>
              <w:rPr>
                <w:rFonts w:eastAsia="Times New Roman"/>
              </w:rPr>
            </w:pPr>
          </w:p>
        </w:tc>
      </w:tr>
      <w:tr w:rsidR="00405D16" w14:paraId="4BFCD8C7" w14:textId="77777777">
        <w:trPr>
          <w:divId w:val="431173222"/>
        </w:trPr>
        <w:tc>
          <w:tcPr>
            <w:tcW w:w="0" w:type="auto"/>
            <w:gridSpan w:val="3"/>
            <w:shd w:val="clear" w:color="auto" w:fill="FFFFFF"/>
            <w:tcMar>
              <w:top w:w="30" w:type="dxa"/>
              <w:left w:w="20" w:type="dxa"/>
              <w:bottom w:w="30" w:type="dxa"/>
              <w:right w:w="20" w:type="dxa"/>
            </w:tcMar>
            <w:vAlign w:val="bottom"/>
            <w:hideMark/>
          </w:tcPr>
          <w:p w14:paraId="77857C76" w14:textId="77777777" w:rsidR="00000000" w:rsidRDefault="00405D16">
            <w:pPr>
              <w:spacing w:after="100"/>
              <w:rPr>
                <w:rFonts w:eastAsia="Times New Roman"/>
              </w:rPr>
            </w:pPr>
            <w:r>
              <w:rPr>
                <w:rFonts w:eastAsia="Times New Roman"/>
                <w:color w:val="000000"/>
                <w:sz w:val="16"/>
                <w:szCs w:val="16"/>
              </w:rPr>
              <w:t>Balance as of September 30, 2020</w:t>
            </w:r>
          </w:p>
        </w:tc>
        <w:tc>
          <w:tcPr>
            <w:tcW w:w="0" w:type="auto"/>
            <w:gridSpan w:val="3"/>
            <w:shd w:val="clear" w:color="auto" w:fill="FFFFFF"/>
            <w:tcMar>
              <w:top w:w="0" w:type="dxa"/>
              <w:left w:w="20" w:type="dxa"/>
              <w:bottom w:w="0" w:type="dxa"/>
              <w:right w:w="20" w:type="dxa"/>
            </w:tcMar>
            <w:vAlign w:val="center"/>
            <w:hideMark/>
          </w:tcPr>
          <w:p w14:paraId="5704BB4B"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B9212F8" w14:textId="77777777" w:rsidR="00000000" w:rsidRDefault="00405D16">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DEEB56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B2B77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8362CA6" w14:textId="77777777" w:rsidR="00000000" w:rsidRDefault="00405D16">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15BA7E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4553B0"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2A849B3" w14:textId="77777777" w:rsidR="00000000" w:rsidRDefault="00405D16">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D202BC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3D0DCB"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F471909" w14:textId="77777777" w:rsidR="00000000" w:rsidRDefault="00405D16">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598448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89320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351FC42" w14:textId="77777777" w:rsidR="00000000" w:rsidRDefault="00405D16">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B473A3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91C380"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105C5B7" w14:textId="77777777" w:rsidR="00000000" w:rsidRDefault="00405D16">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57ECA8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2BAC94"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2886AF5" w14:textId="77777777" w:rsidR="00000000" w:rsidRDefault="00405D16">
            <w:pPr>
              <w:spacing w:after="100"/>
              <w:jc w:val="right"/>
              <w:rPr>
                <w:rFonts w:eastAsia="Times New Roman"/>
              </w:rPr>
            </w:pPr>
            <w:r>
              <w:rPr>
                <w:rFonts w:eastAsia="Times New Roman"/>
                <w:color w:val="000000"/>
                <w:sz w:val="16"/>
                <w:szCs w:val="16"/>
              </w:rPr>
              <w:t>195 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67BED8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543A8D" w14:textId="77777777" w:rsidR="00000000" w:rsidRDefault="00405D16">
            <w:pPr>
              <w:spacing w:after="100"/>
              <w:jc w:val="right"/>
              <w:rPr>
                <w:rFonts w:eastAsia="Times New Roman"/>
                <w:sz w:val="20"/>
                <w:szCs w:val="20"/>
              </w:rPr>
            </w:pPr>
          </w:p>
        </w:tc>
        <w:tc>
          <w:tcPr>
            <w:tcW w:w="0" w:type="auto"/>
            <w:vAlign w:val="center"/>
            <w:hideMark/>
          </w:tcPr>
          <w:p w14:paraId="0956E9ED" w14:textId="77777777" w:rsidR="00000000" w:rsidRDefault="00405D16">
            <w:pPr>
              <w:spacing w:after="100"/>
              <w:rPr>
                <w:rFonts w:eastAsia="Times New Roman"/>
                <w:sz w:val="20"/>
                <w:szCs w:val="20"/>
              </w:rPr>
            </w:pPr>
          </w:p>
        </w:tc>
        <w:tc>
          <w:tcPr>
            <w:tcW w:w="0" w:type="auto"/>
            <w:gridSpan w:val="3"/>
            <w:vAlign w:val="center"/>
            <w:hideMark/>
          </w:tcPr>
          <w:p w14:paraId="6658CD23" w14:textId="77777777" w:rsidR="00000000" w:rsidRDefault="00405D16">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7C29FB6" w14:textId="77777777" w:rsidR="00000000" w:rsidRDefault="00405D16">
            <w:pPr>
              <w:spacing w:after="100"/>
              <w:jc w:val="right"/>
              <w:rPr>
                <w:rFonts w:eastAsia="Times New Roman"/>
              </w:rPr>
            </w:pPr>
            <w:r>
              <w:rPr>
                <w:rFonts w:eastAsia="Times New Roman"/>
                <w:color w:val="000000"/>
                <w:sz w:val="16"/>
                <w:szCs w:val="16"/>
              </w:rPr>
              <w:t>195 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0760DD2" w14:textId="77777777" w:rsidR="00000000" w:rsidRDefault="00405D16">
            <w:pPr>
              <w:spacing w:after="100"/>
              <w:jc w:val="right"/>
              <w:rPr>
                <w:rFonts w:eastAsia="Times New Roman"/>
              </w:rPr>
            </w:pPr>
          </w:p>
        </w:tc>
      </w:tr>
      <w:tr w:rsidR="00405D16" w14:paraId="0905C0EA" w14:textId="77777777">
        <w:trPr>
          <w:divId w:val="431173222"/>
        </w:trPr>
        <w:tc>
          <w:tcPr>
            <w:tcW w:w="0" w:type="auto"/>
            <w:gridSpan w:val="3"/>
            <w:shd w:val="clear" w:color="auto" w:fill="CCEEFF"/>
            <w:tcMar>
              <w:top w:w="30" w:type="dxa"/>
              <w:left w:w="20" w:type="dxa"/>
              <w:bottom w:w="30" w:type="dxa"/>
              <w:right w:w="20" w:type="dxa"/>
            </w:tcMar>
            <w:vAlign w:val="bottom"/>
            <w:hideMark/>
          </w:tcPr>
          <w:p w14:paraId="3E151992" w14:textId="77777777" w:rsidR="00000000" w:rsidRDefault="00405D16">
            <w:pPr>
              <w:spacing w:after="100"/>
              <w:rPr>
                <w:rFonts w:eastAsia="Times New Roman"/>
              </w:rPr>
            </w:pPr>
            <w:r>
              <w:rPr>
                <w:rFonts w:eastAsia="Times New Roman"/>
                <w:b/>
                <w:bCs/>
                <w:color w:val="000000"/>
                <w:sz w:val="16"/>
                <w:szCs w:val="16"/>
              </w:rPr>
              <w:t>Combined allowance and reserve as of September 30, 2020</w:t>
            </w:r>
          </w:p>
        </w:tc>
        <w:tc>
          <w:tcPr>
            <w:tcW w:w="0" w:type="auto"/>
            <w:gridSpan w:val="3"/>
            <w:shd w:val="clear" w:color="auto" w:fill="CCEEFF"/>
            <w:tcMar>
              <w:top w:w="0" w:type="dxa"/>
              <w:left w:w="20" w:type="dxa"/>
              <w:bottom w:w="0" w:type="dxa"/>
              <w:right w:w="20" w:type="dxa"/>
            </w:tcMar>
            <w:vAlign w:val="center"/>
            <w:hideMark/>
          </w:tcPr>
          <w:p w14:paraId="4A82BBB9"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4687F34"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7E49CF3" w14:textId="77777777" w:rsidR="00000000" w:rsidRDefault="00405D16">
            <w:pPr>
              <w:spacing w:after="100"/>
              <w:jc w:val="right"/>
              <w:rPr>
                <w:rFonts w:eastAsia="Times New Roman"/>
              </w:rPr>
            </w:pPr>
            <w:r>
              <w:rPr>
                <w:rFonts w:eastAsia="Times New Roman"/>
                <w:color w:val="000000"/>
                <w:sz w:val="16"/>
                <w:szCs w:val="16"/>
              </w:rPr>
              <w:t>11,062 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865CC7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613E22"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1995679"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32973BAC" w14:textId="77777777" w:rsidR="00000000" w:rsidRDefault="00405D16">
            <w:pPr>
              <w:spacing w:after="100"/>
              <w:jc w:val="right"/>
              <w:rPr>
                <w:rFonts w:eastAsia="Times New Roman"/>
              </w:rPr>
            </w:pPr>
            <w:r>
              <w:rPr>
                <w:rFonts w:eastAsia="Times New Roman"/>
                <w:color w:val="000000"/>
                <w:sz w:val="16"/>
                <w:szCs w:val="16"/>
              </w:rPr>
              <w:t>550 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ED8F58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50E151"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DE091CD"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B465A36" w14:textId="77777777" w:rsidR="00000000" w:rsidRDefault="00405D16">
            <w:pPr>
              <w:spacing w:after="100"/>
              <w:jc w:val="right"/>
              <w:rPr>
                <w:rFonts w:eastAsia="Times New Roman"/>
              </w:rPr>
            </w:pPr>
            <w:r>
              <w:rPr>
                <w:rFonts w:eastAsia="Times New Roman"/>
                <w:color w:val="000000"/>
                <w:sz w:val="16"/>
                <w:szCs w:val="16"/>
              </w:rPr>
              <w:t>11,612 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4FFA37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2E912E"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B8444BC"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C4DD4E3" w14:textId="77777777" w:rsidR="00000000" w:rsidRDefault="00405D16">
            <w:pPr>
              <w:spacing w:after="100"/>
              <w:jc w:val="right"/>
              <w:rPr>
                <w:rFonts w:eastAsia="Times New Roman"/>
              </w:rPr>
            </w:pPr>
            <w:r>
              <w:rPr>
                <w:rFonts w:eastAsia="Times New Roman"/>
                <w:color w:val="000000"/>
                <w:sz w:val="16"/>
                <w:szCs w:val="16"/>
              </w:rPr>
              <w:t>2,647 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0ECD43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963452"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5620ED2"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DDF70BE" w14:textId="77777777" w:rsidR="00000000" w:rsidRDefault="00405D16">
            <w:pPr>
              <w:spacing w:after="100"/>
              <w:jc w:val="right"/>
              <w:rPr>
                <w:rFonts w:eastAsia="Times New Roman"/>
              </w:rPr>
            </w:pPr>
            <w:r>
              <w:rPr>
                <w:rFonts w:eastAsia="Times New Roman"/>
                <w:color w:val="000000"/>
                <w:sz w:val="16"/>
                <w:szCs w:val="16"/>
              </w:rPr>
              <w:t>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FF51CC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5E3D36"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0F5F1391"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D7E5813" w14:textId="77777777" w:rsidR="00000000" w:rsidRDefault="00405D16">
            <w:pPr>
              <w:spacing w:after="100"/>
              <w:jc w:val="right"/>
              <w:rPr>
                <w:rFonts w:eastAsia="Times New Roman"/>
              </w:rPr>
            </w:pPr>
            <w:r>
              <w:rPr>
                <w:rFonts w:eastAsia="Times New Roman"/>
                <w:color w:val="000000"/>
                <w:sz w:val="16"/>
                <w:szCs w:val="16"/>
              </w:rPr>
              <w:t>2,747 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305A5C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B6553C"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0FF09546"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B9B6AED" w14:textId="77777777" w:rsidR="00000000" w:rsidRDefault="00405D16">
            <w:pPr>
              <w:spacing w:after="100"/>
              <w:jc w:val="right"/>
              <w:rPr>
                <w:rFonts w:eastAsia="Times New Roman"/>
              </w:rPr>
            </w:pPr>
            <w:r>
              <w:rPr>
                <w:rFonts w:eastAsia="Times New Roman"/>
                <w:color w:val="000000"/>
                <w:sz w:val="16"/>
                <w:szCs w:val="16"/>
              </w:rPr>
              <w:t>1,965 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461BBC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6DDA43" w14:textId="77777777" w:rsidR="00000000" w:rsidRDefault="00405D16">
            <w:pPr>
              <w:spacing w:after="100"/>
              <w:jc w:val="right"/>
              <w:rPr>
                <w:rFonts w:eastAsia="Times New Roman"/>
                <w:sz w:val="20"/>
                <w:szCs w:val="20"/>
              </w:rPr>
            </w:pPr>
          </w:p>
        </w:tc>
        <w:tc>
          <w:tcPr>
            <w:tcW w:w="0" w:type="auto"/>
            <w:vAlign w:val="center"/>
            <w:hideMark/>
          </w:tcPr>
          <w:p w14:paraId="255AFC11" w14:textId="77777777" w:rsidR="00000000" w:rsidRDefault="00405D16">
            <w:pPr>
              <w:spacing w:after="100"/>
              <w:rPr>
                <w:rFonts w:eastAsia="Times New Roman"/>
                <w:sz w:val="20"/>
                <w:szCs w:val="20"/>
              </w:rPr>
            </w:pPr>
          </w:p>
        </w:tc>
        <w:tc>
          <w:tcPr>
            <w:tcW w:w="0" w:type="auto"/>
            <w:gridSpan w:val="3"/>
            <w:vAlign w:val="center"/>
            <w:hideMark/>
          </w:tcPr>
          <w:p w14:paraId="2E84F174" w14:textId="77777777" w:rsidR="00000000" w:rsidRDefault="00405D16">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D2FC618"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CCF6BD5" w14:textId="77777777" w:rsidR="00000000" w:rsidRDefault="00405D16">
            <w:pPr>
              <w:spacing w:after="100"/>
              <w:jc w:val="right"/>
              <w:rPr>
                <w:rFonts w:eastAsia="Times New Roman"/>
              </w:rPr>
            </w:pPr>
            <w:r>
              <w:rPr>
                <w:rFonts w:eastAsia="Times New Roman"/>
                <w:color w:val="000000"/>
                <w:sz w:val="16"/>
                <w:szCs w:val="16"/>
              </w:rPr>
              <w:t>16,324 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C68BC1E" w14:textId="77777777" w:rsidR="00000000" w:rsidRDefault="00405D16">
            <w:pPr>
              <w:spacing w:after="100"/>
              <w:jc w:val="right"/>
              <w:rPr>
                <w:rFonts w:eastAsia="Times New Roman"/>
              </w:rPr>
            </w:pPr>
          </w:p>
        </w:tc>
      </w:tr>
    </w:tbl>
    <w:p w14:paraId="3CC687C8" w14:textId="77777777" w:rsidR="00000000" w:rsidRDefault="00405D16">
      <w:pPr>
        <w:divId w:val="431173222"/>
        <w:rPr>
          <w:rFonts w:eastAsia="Times New Roman"/>
        </w:rPr>
      </w:pPr>
      <w:r>
        <w:rPr>
          <w:rFonts w:eastAsia="Times New Roman"/>
          <w:color w:val="000000"/>
          <w:sz w:val="20"/>
          <w:szCs w:val="20"/>
        </w:rPr>
        <w:t>__________</w:t>
      </w:r>
    </w:p>
    <w:p w14:paraId="2753D508" w14:textId="77777777" w:rsidR="00000000" w:rsidRDefault="00405D16">
      <w:pPr>
        <w:ind w:hanging="360"/>
        <w:jc w:val="both"/>
        <w:divId w:val="16779195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The amount and timing of recoveries are impacted by our collection strategies, which are base</w:t>
      </w:r>
      <w:r>
        <w:rPr>
          <w:rFonts w:eastAsia="Times New Roman"/>
          <w:color w:val="000000"/>
          <w:sz w:val="16"/>
          <w:szCs w:val="16"/>
        </w:rPr>
        <w:t>d on customer behavior and risk profile and include direct customer communications, repossession of collateral, the periodic sale of charged off loans as well as additional strategies, such as litigation.</w:t>
      </w:r>
    </w:p>
    <w:p w14:paraId="5620516C" w14:textId="77777777" w:rsidR="00000000" w:rsidRDefault="00405D16">
      <w:pPr>
        <w:ind w:hanging="360"/>
        <w:jc w:val="both"/>
        <w:divId w:val="1138305981"/>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Represents foreign currency translation adjustme</w:t>
      </w:r>
      <w:r>
        <w:rPr>
          <w:rFonts w:eastAsia="Times New Roman"/>
          <w:color w:val="000000"/>
          <w:sz w:val="16"/>
          <w:szCs w:val="16"/>
        </w:rPr>
        <w:t>nts.</w:t>
      </w:r>
    </w:p>
    <w:p w14:paraId="30E07AF2" w14:textId="77777777" w:rsidR="00000000" w:rsidRDefault="00405D16">
      <w:pPr>
        <w:ind w:hanging="360"/>
        <w:jc w:val="both"/>
        <w:divId w:val="112329174"/>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Concurrent with our adoption of the CECL standard in the first quarter of 2020, we reclassified our finance charge and fee reserve to our allowance for credit losses, with a corresponding increase to credit card loans held for investment.</w:t>
      </w:r>
    </w:p>
    <w:p w14:paraId="2ED9602B" w14:textId="77777777" w:rsidR="00000000" w:rsidRDefault="00405D16">
      <w:pPr>
        <w:ind w:hanging="360"/>
        <w:jc w:val="both"/>
        <w:divId w:val="1732802458"/>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Repres</w:t>
      </w:r>
      <w:r>
        <w:rPr>
          <w:rFonts w:eastAsia="Times New Roman"/>
          <w:color w:val="000000"/>
          <w:sz w:val="16"/>
          <w:szCs w:val="16"/>
        </w:rPr>
        <w:t>ents foreign currency translation adjustments and an initial allowance for purchased credit-deteriorated loans of $6 million.</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70C602B7" w14:textId="77777777">
        <w:trPr>
          <w:divId w:val="1201435965"/>
          <w:jc w:val="center"/>
        </w:trPr>
        <w:tc>
          <w:tcPr>
            <w:tcW w:w="50" w:type="pct"/>
            <w:vAlign w:val="center"/>
            <w:hideMark/>
          </w:tcPr>
          <w:p w14:paraId="644B2BAF" w14:textId="77777777" w:rsidR="00000000" w:rsidRDefault="00405D16">
            <w:pPr>
              <w:ind w:hanging="360"/>
              <w:jc w:val="both"/>
              <w:rPr>
                <w:rFonts w:eastAsia="Times New Roman"/>
              </w:rPr>
            </w:pPr>
          </w:p>
        </w:tc>
        <w:tc>
          <w:tcPr>
            <w:tcW w:w="1606" w:type="pct"/>
            <w:vAlign w:val="center"/>
            <w:hideMark/>
          </w:tcPr>
          <w:p w14:paraId="32D7BF27" w14:textId="77777777" w:rsidR="00000000" w:rsidRDefault="00405D16">
            <w:pPr>
              <w:spacing w:after="100"/>
              <w:rPr>
                <w:rFonts w:eastAsia="Times New Roman"/>
                <w:sz w:val="20"/>
                <w:szCs w:val="20"/>
              </w:rPr>
            </w:pPr>
          </w:p>
        </w:tc>
        <w:tc>
          <w:tcPr>
            <w:tcW w:w="5" w:type="pct"/>
            <w:vAlign w:val="center"/>
            <w:hideMark/>
          </w:tcPr>
          <w:p w14:paraId="19CD0832" w14:textId="77777777" w:rsidR="00000000" w:rsidRDefault="00405D16">
            <w:pPr>
              <w:spacing w:after="100"/>
              <w:rPr>
                <w:rFonts w:eastAsia="Times New Roman"/>
                <w:sz w:val="20"/>
                <w:szCs w:val="20"/>
              </w:rPr>
            </w:pPr>
          </w:p>
        </w:tc>
        <w:tc>
          <w:tcPr>
            <w:tcW w:w="50" w:type="pct"/>
            <w:vAlign w:val="center"/>
            <w:hideMark/>
          </w:tcPr>
          <w:p w14:paraId="69C03583" w14:textId="77777777" w:rsidR="00000000" w:rsidRDefault="00405D16">
            <w:pPr>
              <w:spacing w:after="100"/>
              <w:rPr>
                <w:rFonts w:eastAsia="Times New Roman"/>
                <w:sz w:val="20"/>
                <w:szCs w:val="20"/>
              </w:rPr>
            </w:pPr>
          </w:p>
        </w:tc>
        <w:tc>
          <w:tcPr>
            <w:tcW w:w="1614" w:type="pct"/>
            <w:vAlign w:val="center"/>
            <w:hideMark/>
          </w:tcPr>
          <w:p w14:paraId="0DD1CA25" w14:textId="77777777" w:rsidR="00000000" w:rsidRDefault="00405D16">
            <w:pPr>
              <w:spacing w:after="100"/>
              <w:rPr>
                <w:rFonts w:eastAsia="Times New Roman"/>
                <w:sz w:val="20"/>
                <w:szCs w:val="20"/>
              </w:rPr>
            </w:pPr>
          </w:p>
        </w:tc>
        <w:tc>
          <w:tcPr>
            <w:tcW w:w="5" w:type="pct"/>
            <w:vAlign w:val="center"/>
            <w:hideMark/>
          </w:tcPr>
          <w:p w14:paraId="4444A1F7" w14:textId="77777777" w:rsidR="00000000" w:rsidRDefault="00405D16">
            <w:pPr>
              <w:spacing w:after="100"/>
              <w:rPr>
                <w:rFonts w:eastAsia="Times New Roman"/>
                <w:sz w:val="20"/>
                <w:szCs w:val="20"/>
              </w:rPr>
            </w:pPr>
          </w:p>
        </w:tc>
        <w:tc>
          <w:tcPr>
            <w:tcW w:w="50" w:type="pct"/>
            <w:vAlign w:val="center"/>
            <w:hideMark/>
          </w:tcPr>
          <w:p w14:paraId="1806673C" w14:textId="77777777" w:rsidR="00000000" w:rsidRDefault="00405D16">
            <w:pPr>
              <w:spacing w:after="100"/>
              <w:rPr>
                <w:rFonts w:eastAsia="Times New Roman"/>
                <w:sz w:val="20"/>
                <w:szCs w:val="20"/>
              </w:rPr>
            </w:pPr>
          </w:p>
        </w:tc>
        <w:tc>
          <w:tcPr>
            <w:tcW w:w="1614" w:type="pct"/>
            <w:vAlign w:val="center"/>
            <w:hideMark/>
          </w:tcPr>
          <w:p w14:paraId="48B32EDB" w14:textId="77777777" w:rsidR="00000000" w:rsidRDefault="00405D16">
            <w:pPr>
              <w:spacing w:after="100"/>
              <w:rPr>
                <w:rFonts w:eastAsia="Times New Roman"/>
                <w:sz w:val="20"/>
                <w:szCs w:val="20"/>
              </w:rPr>
            </w:pPr>
          </w:p>
        </w:tc>
        <w:tc>
          <w:tcPr>
            <w:tcW w:w="5" w:type="pct"/>
            <w:vAlign w:val="center"/>
            <w:hideMark/>
          </w:tcPr>
          <w:p w14:paraId="1D195B08" w14:textId="77777777" w:rsidR="00000000" w:rsidRDefault="00405D16">
            <w:pPr>
              <w:spacing w:after="100"/>
              <w:rPr>
                <w:rFonts w:eastAsia="Times New Roman"/>
                <w:sz w:val="20"/>
                <w:szCs w:val="20"/>
              </w:rPr>
            </w:pPr>
          </w:p>
        </w:tc>
      </w:tr>
      <w:tr w:rsidR="00000000" w14:paraId="327F315C" w14:textId="77777777">
        <w:trPr>
          <w:divId w:val="1201435965"/>
          <w:trHeight w:val="300"/>
          <w:jc w:val="center"/>
        </w:trPr>
        <w:tc>
          <w:tcPr>
            <w:tcW w:w="0" w:type="auto"/>
            <w:gridSpan w:val="9"/>
            <w:tcMar>
              <w:top w:w="0" w:type="dxa"/>
              <w:left w:w="20" w:type="dxa"/>
              <w:bottom w:w="0" w:type="dxa"/>
              <w:right w:w="20" w:type="dxa"/>
            </w:tcMar>
            <w:vAlign w:val="center"/>
            <w:hideMark/>
          </w:tcPr>
          <w:p w14:paraId="77632B40" w14:textId="77777777" w:rsidR="00000000" w:rsidRDefault="00405D16">
            <w:pPr>
              <w:spacing w:after="100"/>
              <w:rPr>
                <w:rFonts w:eastAsia="Times New Roman"/>
                <w:sz w:val="20"/>
                <w:szCs w:val="20"/>
              </w:rPr>
            </w:pPr>
          </w:p>
        </w:tc>
      </w:tr>
      <w:tr w:rsidR="00000000" w14:paraId="322B8A84" w14:textId="77777777">
        <w:trPr>
          <w:divId w:val="1201435965"/>
          <w:jc w:val="center"/>
        </w:trPr>
        <w:tc>
          <w:tcPr>
            <w:tcW w:w="0" w:type="auto"/>
            <w:gridSpan w:val="3"/>
            <w:tcMar>
              <w:top w:w="0" w:type="dxa"/>
              <w:left w:w="20" w:type="dxa"/>
              <w:bottom w:w="0" w:type="dxa"/>
              <w:right w:w="20" w:type="dxa"/>
            </w:tcMar>
            <w:vAlign w:val="center"/>
            <w:hideMark/>
          </w:tcPr>
          <w:p w14:paraId="54955AAE"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0C4B143" w14:textId="77777777" w:rsidR="00000000" w:rsidRDefault="00405D16">
            <w:pPr>
              <w:spacing w:after="100"/>
              <w:jc w:val="center"/>
              <w:rPr>
                <w:rFonts w:eastAsia="Times New Roman"/>
              </w:rPr>
            </w:pPr>
            <w:r>
              <w:rPr>
                <w:rFonts w:eastAsia="Times New Roman"/>
                <w:color w:val="000000"/>
                <w:sz w:val="16"/>
                <w:szCs w:val="16"/>
              </w:rPr>
              <w:t>51</w:t>
            </w:r>
          </w:p>
        </w:tc>
        <w:tc>
          <w:tcPr>
            <w:tcW w:w="0" w:type="auto"/>
            <w:gridSpan w:val="3"/>
            <w:tcMar>
              <w:top w:w="30" w:type="dxa"/>
              <w:left w:w="20" w:type="dxa"/>
              <w:bottom w:w="30" w:type="dxa"/>
              <w:right w:w="20" w:type="dxa"/>
            </w:tcMar>
            <w:vAlign w:val="bottom"/>
            <w:hideMark/>
          </w:tcPr>
          <w:p w14:paraId="14D107F9"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4B6DABA1" w14:textId="77777777" w:rsidR="00000000" w:rsidRDefault="00405D16">
      <w:pPr>
        <w:rPr>
          <w:rFonts w:eastAsia="Times New Roman"/>
        </w:rPr>
      </w:pPr>
      <w:r>
        <w:rPr>
          <w:rFonts w:eastAsia="Times New Roman"/>
        </w:rPr>
        <w:pict w14:anchorId="58C55F4E">
          <v:rect id="_x0000_i1076" style="width:0;height:1.5pt" o:hralign="center" o:hrstd="t" o:hr="t" fillcolor="#a0a0a0" stroked="f"/>
        </w:pict>
      </w:r>
    </w:p>
    <w:p w14:paraId="495E0E20" w14:textId="77777777" w:rsidR="00000000" w:rsidRDefault="00405D16">
      <w:pPr>
        <w:ind w:hanging="360"/>
        <w:jc w:val="both"/>
        <w:divId w:val="1842694413"/>
        <w:rPr>
          <w:rFonts w:eastAsia="Times New Roman"/>
        </w:rPr>
      </w:pPr>
      <w:hyperlink w:anchor="idd54a04a485440b4ab4e56094c14d612_13" w:history="1">
        <w:r>
          <w:rPr>
            <w:rStyle w:val="a3"/>
            <w:rFonts w:eastAsia="Times New Roman"/>
            <w:sz w:val="16"/>
            <w:szCs w:val="16"/>
          </w:rPr>
          <w:t>Table of Contents</w:t>
        </w:r>
      </w:hyperlink>
    </w:p>
    <w:p w14:paraId="3850C07C" w14:textId="77777777" w:rsidR="00000000" w:rsidRDefault="00405D16">
      <w:pPr>
        <w:jc w:val="both"/>
        <w:divId w:val="1799109745"/>
        <w:rPr>
          <w:rFonts w:eastAsia="Times New Roman"/>
        </w:rPr>
      </w:pPr>
      <w:r>
        <w:rPr>
          <w:rFonts w:eastAsia="Times New Roman"/>
          <w:color w:val="000000"/>
          <w:sz w:val="20"/>
          <w:szCs w:val="20"/>
        </w:rPr>
        <w:t>Allowance coverage ratios are calculated based on the allowance for credit losses for each specified portfolio segment divided by period-end loans held for investment within the specified loan category, as defined below. Table 30 presents the allowance cov</w:t>
      </w:r>
      <w:r>
        <w:rPr>
          <w:rFonts w:eastAsia="Times New Roman"/>
          <w:color w:val="000000"/>
          <w:sz w:val="20"/>
          <w:szCs w:val="20"/>
        </w:rPr>
        <w:t xml:space="preserve">erage ratios as of September 30, 2021 and December 31, 2020. </w:t>
      </w:r>
    </w:p>
    <w:p w14:paraId="0CF52D3E" w14:textId="77777777" w:rsidR="00000000" w:rsidRDefault="00405D16">
      <w:pPr>
        <w:divId w:val="1368679518"/>
        <w:rPr>
          <w:rFonts w:eastAsia="Times New Roman"/>
        </w:rPr>
      </w:pPr>
      <w:r>
        <w:rPr>
          <w:rFonts w:eastAsia="Times New Roman"/>
          <w:b/>
          <w:bCs/>
          <w:color w:val="000000"/>
          <w:sz w:val="18"/>
          <w:szCs w:val="18"/>
        </w:rPr>
        <w:t>Table 30: Allowance Coverage Ratios for Specified Loan Category</w:t>
      </w:r>
    </w:p>
    <w:tbl>
      <w:tblPr>
        <w:tblW w:w="4985" w:type="pct"/>
        <w:tblCellMar>
          <w:top w:w="15" w:type="dxa"/>
          <w:left w:w="15" w:type="dxa"/>
          <w:bottom w:w="15" w:type="dxa"/>
          <w:right w:w="15" w:type="dxa"/>
        </w:tblCellMar>
        <w:tblLook w:val="04A0" w:firstRow="1" w:lastRow="0" w:firstColumn="1" w:lastColumn="0" w:noHBand="0" w:noVBand="1"/>
      </w:tblPr>
      <w:tblGrid>
        <w:gridCol w:w="39"/>
        <w:gridCol w:w="2540"/>
        <w:gridCol w:w="38"/>
        <w:gridCol w:w="36"/>
        <w:gridCol w:w="36"/>
        <w:gridCol w:w="36"/>
        <w:gridCol w:w="111"/>
        <w:gridCol w:w="658"/>
        <w:gridCol w:w="36"/>
        <w:gridCol w:w="36"/>
        <w:gridCol w:w="36"/>
        <w:gridCol w:w="36"/>
        <w:gridCol w:w="111"/>
        <w:gridCol w:w="627"/>
        <w:gridCol w:w="36"/>
        <w:gridCol w:w="36"/>
        <w:gridCol w:w="36"/>
        <w:gridCol w:w="36"/>
        <w:gridCol w:w="86"/>
        <w:gridCol w:w="658"/>
        <w:gridCol w:w="200"/>
        <w:gridCol w:w="36"/>
        <w:gridCol w:w="36"/>
        <w:gridCol w:w="36"/>
        <w:gridCol w:w="111"/>
        <w:gridCol w:w="658"/>
        <w:gridCol w:w="36"/>
        <w:gridCol w:w="36"/>
        <w:gridCol w:w="36"/>
        <w:gridCol w:w="36"/>
        <w:gridCol w:w="111"/>
        <w:gridCol w:w="627"/>
        <w:gridCol w:w="36"/>
        <w:gridCol w:w="36"/>
        <w:gridCol w:w="36"/>
        <w:gridCol w:w="36"/>
        <w:gridCol w:w="86"/>
        <w:gridCol w:w="658"/>
        <w:gridCol w:w="170"/>
      </w:tblGrid>
      <w:tr w:rsidR="00000000" w14:paraId="0EF71FFA" w14:textId="77777777">
        <w:trPr>
          <w:divId w:val="32274532"/>
        </w:trPr>
        <w:tc>
          <w:tcPr>
            <w:tcW w:w="50" w:type="pct"/>
            <w:vAlign w:val="center"/>
            <w:hideMark/>
          </w:tcPr>
          <w:p w14:paraId="34D54EFC" w14:textId="77777777" w:rsidR="00000000" w:rsidRDefault="00405D16">
            <w:pPr>
              <w:rPr>
                <w:rFonts w:eastAsia="Times New Roman"/>
              </w:rPr>
            </w:pPr>
          </w:p>
        </w:tc>
        <w:tc>
          <w:tcPr>
            <w:tcW w:w="2085" w:type="pct"/>
            <w:vAlign w:val="center"/>
            <w:hideMark/>
          </w:tcPr>
          <w:p w14:paraId="7643DA82" w14:textId="77777777" w:rsidR="00000000" w:rsidRDefault="00405D16">
            <w:pPr>
              <w:spacing w:after="100"/>
              <w:rPr>
                <w:rFonts w:eastAsia="Times New Roman"/>
                <w:sz w:val="20"/>
                <w:szCs w:val="20"/>
              </w:rPr>
            </w:pPr>
          </w:p>
        </w:tc>
        <w:tc>
          <w:tcPr>
            <w:tcW w:w="5" w:type="pct"/>
            <w:vAlign w:val="center"/>
            <w:hideMark/>
          </w:tcPr>
          <w:p w14:paraId="24229993" w14:textId="77777777" w:rsidR="00000000" w:rsidRDefault="00405D16">
            <w:pPr>
              <w:spacing w:after="100"/>
              <w:rPr>
                <w:rFonts w:eastAsia="Times New Roman"/>
                <w:sz w:val="20"/>
                <w:szCs w:val="20"/>
              </w:rPr>
            </w:pPr>
          </w:p>
        </w:tc>
        <w:tc>
          <w:tcPr>
            <w:tcW w:w="5" w:type="pct"/>
            <w:vAlign w:val="center"/>
            <w:hideMark/>
          </w:tcPr>
          <w:p w14:paraId="5E6A690D" w14:textId="77777777" w:rsidR="00000000" w:rsidRDefault="00405D16">
            <w:pPr>
              <w:spacing w:after="100"/>
              <w:rPr>
                <w:rFonts w:eastAsia="Times New Roman"/>
                <w:sz w:val="20"/>
                <w:szCs w:val="20"/>
              </w:rPr>
            </w:pPr>
          </w:p>
        </w:tc>
        <w:tc>
          <w:tcPr>
            <w:tcW w:w="26" w:type="pct"/>
            <w:vAlign w:val="center"/>
            <w:hideMark/>
          </w:tcPr>
          <w:p w14:paraId="334D10F5" w14:textId="77777777" w:rsidR="00000000" w:rsidRDefault="00405D16">
            <w:pPr>
              <w:spacing w:after="100"/>
              <w:rPr>
                <w:rFonts w:eastAsia="Times New Roman"/>
                <w:sz w:val="20"/>
                <w:szCs w:val="20"/>
              </w:rPr>
            </w:pPr>
          </w:p>
        </w:tc>
        <w:tc>
          <w:tcPr>
            <w:tcW w:w="5" w:type="pct"/>
            <w:vAlign w:val="center"/>
            <w:hideMark/>
          </w:tcPr>
          <w:p w14:paraId="2E905CCC" w14:textId="77777777" w:rsidR="00000000" w:rsidRDefault="00405D16">
            <w:pPr>
              <w:spacing w:after="100"/>
              <w:rPr>
                <w:rFonts w:eastAsia="Times New Roman"/>
                <w:sz w:val="20"/>
                <w:szCs w:val="20"/>
              </w:rPr>
            </w:pPr>
          </w:p>
        </w:tc>
        <w:tc>
          <w:tcPr>
            <w:tcW w:w="50" w:type="pct"/>
            <w:vAlign w:val="center"/>
            <w:hideMark/>
          </w:tcPr>
          <w:p w14:paraId="7344D71F" w14:textId="77777777" w:rsidR="00000000" w:rsidRDefault="00405D16">
            <w:pPr>
              <w:spacing w:after="100"/>
              <w:rPr>
                <w:rFonts w:eastAsia="Times New Roman"/>
                <w:sz w:val="20"/>
                <w:szCs w:val="20"/>
              </w:rPr>
            </w:pPr>
          </w:p>
        </w:tc>
        <w:tc>
          <w:tcPr>
            <w:tcW w:w="384" w:type="pct"/>
            <w:vAlign w:val="center"/>
            <w:hideMark/>
          </w:tcPr>
          <w:p w14:paraId="32FDB85F" w14:textId="77777777" w:rsidR="00000000" w:rsidRDefault="00405D16">
            <w:pPr>
              <w:spacing w:after="100"/>
              <w:rPr>
                <w:rFonts w:eastAsia="Times New Roman"/>
                <w:sz w:val="20"/>
                <w:szCs w:val="20"/>
              </w:rPr>
            </w:pPr>
          </w:p>
        </w:tc>
        <w:tc>
          <w:tcPr>
            <w:tcW w:w="5" w:type="pct"/>
            <w:vAlign w:val="center"/>
            <w:hideMark/>
          </w:tcPr>
          <w:p w14:paraId="4A96F4F2" w14:textId="77777777" w:rsidR="00000000" w:rsidRDefault="00405D16">
            <w:pPr>
              <w:spacing w:after="100"/>
              <w:rPr>
                <w:rFonts w:eastAsia="Times New Roman"/>
                <w:sz w:val="20"/>
                <w:szCs w:val="20"/>
              </w:rPr>
            </w:pPr>
          </w:p>
        </w:tc>
        <w:tc>
          <w:tcPr>
            <w:tcW w:w="5" w:type="pct"/>
            <w:vAlign w:val="center"/>
            <w:hideMark/>
          </w:tcPr>
          <w:p w14:paraId="1C3FB8FD" w14:textId="77777777" w:rsidR="00000000" w:rsidRDefault="00405D16">
            <w:pPr>
              <w:spacing w:after="100"/>
              <w:rPr>
                <w:rFonts w:eastAsia="Times New Roman"/>
                <w:sz w:val="20"/>
                <w:szCs w:val="20"/>
              </w:rPr>
            </w:pPr>
          </w:p>
        </w:tc>
        <w:tc>
          <w:tcPr>
            <w:tcW w:w="26" w:type="pct"/>
            <w:vAlign w:val="center"/>
            <w:hideMark/>
          </w:tcPr>
          <w:p w14:paraId="53A889EA" w14:textId="77777777" w:rsidR="00000000" w:rsidRDefault="00405D16">
            <w:pPr>
              <w:spacing w:after="100"/>
              <w:rPr>
                <w:rFonts w:eastAsia="Times New Roman"/>
                <w:sz w:val="20"/>
                <w:szCs w:val="20"/>
              </w:rPr>
            </w:pPr>
          </w:p>
        </w:tc>
        <w:tc>
          <w:tcPr>
            <w:tcW w:w="5" w:type="pct"/>
            <w:vAlign w:val="center"/>
            <w:hideMark/>
          </w:tcPr>
          <w:p w14:paraId="03BFC535" w14:textId="77777777" w:rsidR="00000000" w:rsidRDefault="00405D16">
            <w:pPr>
              <w:spacing w:after="100"/>
              <w:rPr>
                <w:rFonts w:eastAsia="Times New Roman"/>
                <w:sz w:val="20"/>
                <w:szCs w:val="20"/>
              </w:rPr>
            </w:pPr>
          </w:p>
        </w:tc>
        <w:tc>
          <w:tcPr>
            <w:tcW w:w="50" w:type="pct"/>
            <w:vAlign w:val="center"/>
            <w:hideMark/>
          </w:tcPr>
          <w:p w14:paraId="6EFD24A5" w14:textId="77777777" w:rsidR="00000000" w:rsidRDefault="00405D16">
            <w:pPr>
              <w:spacing w:after="100"/>
              <w:rPr>
                <w:rFonts w:eastAsia="Times New Roman"/>
                <w:sz w:val="20"/>
                <w:szCs w:val="20"/>
              </w:rPr>
            </w:pPr>
          </w:p>
        </w:tc>
        <w:tc>
          <w:tcPr>
            <w:tcW w:w="384" w:type="pct"/>
            <w:vAlign w:val="center"/>
            <w:hideMark/>
          </w:tcPr>
          <w:p w14:paraId="0073B619" w14:textId="77777777" w:rsidR="00000000" w:rsidRDefault="00405D16">
            <w:pPr>
              <w:spacing w:after="100"/>
              <w:rPr>
                <w:rFonts w:eastAsia="Times New Roman"/>
                <w:sz w:val="20"/>
                <w:szCs w:val="20"/>
              </w:rPr>
            </w:pPr>
          </w:p>
        </w:tc>
        <w:tc>
          <w:tcPr>
            <w:tcW w:w="5" w:type="pct"/>
            <w:vAlign w:val="center"/>
            <w:hideMark/>
          </w:tcPr>
          <w:p w14:paraId="721D7CC6" w14:textId="77777777" w:rsidR="00000000" w:rsidRDefault="00405D16">
            <w:pPr>
              <w:spacing w:after="100"/>
              <w:rPr>
                <w:rFonts w:eastAsia="Times New Roman"/>
                <w:sz w:val="20"/>
                <w:szCs w:val="20"/>
              </w:rPr>
            </w:pPr>
          </w:p>
        </w:tc>
        <w:tc>
          <w:tcPr>
            <w:tcW w:w="5" w:type="pct"/>
            <w:vAlign w:val="center"/>
            <w:hideMark/>
          </w:tcPr>
          <w:p w14:paraId="7048B1C3" w14:textId="77777777" w:rsidR="00000000" w:rsidRDefault="00405D16">
            <w:pPr>
              <w:spacing w:after="100"/>
              <w:rPr>
                <w:rFonts w:eastAsia="Times New Roman"/>
                <w:sz w:val="20"/>
                <w:szCs w:val="20"/>
              </w:rPr>
            </w:pPr>
          </w:p>
        </w:tc>
        <w:tc>
          <w:tcPr>
            <w:tcW w:w="26" w:type="pct"/>
            <w:vAlign w:val="center"/>
            <w:hideMark/>
          </w:tcPr>
          <w:p w14:paraId="2FD8788E" w14:textId="77777777" w:rsidR="00000000" w:rsidRDefault="00405D16">
            <w:pPr>
              <w:spacing w:after="100"/>
              <w:rPr>
                <w:rFonts w:eastAsia="Times New Roman"/>
                <w:sz w:val="20"/>
                <w:szCs w:val="20"/>
              </w:rPr>
            </w:pPr>
          </w:p>
        </w:tc>
        <w:tc>
          <w:tcPr>
            <w:tcW w:w="5" w:type="pct"/>
            <w:vAlign w:val="center"/>
            <w:hideMark/>
          </w:tcPr>
          <w:p w14:paraId="1E95BD06" w14:textId="77777777" w:rsidR="00000000" w:rsidRDefault="00405D16">
            <w:pPr>
              <w:spacing w:after="100"/>
              <w:rPr>
                <w:rFonts w:eastAsia="Times New Roman"/>
                <w:sz w:val="20"/>
                <w:szCs w:val="20"/>
              </w:rPr>
            </w:pPr>
          </w:p>
        </w:tc>
        <w:tc>
          <w:tcPr>
            <w:tcW w:w="50" w:type="pct"/>
            <w:vAlign w:val="center"/>
            <w:hideMark/>
          </w:tcPr>
          <w:p w14:paraId="7181560F" w14:textId="77777777" w:rsidR="00000000" w:rsidRDefault="00405D16">
            <w:pPr>
              <w:spacing w:after="100"/>
              <w:rPr>
                <w:rFonts w:eastAsia="Times New Roman"/>
                <w:sz w:val="20"/>
                <w:szCs w:val="20"/>
              </w:rPr>
            </w:pPr>
          </w:p>
        </w:tc>
        <w:tc>
          <w:tcPr>
            <w:tcW w:w="384" w:type="pct"/>
            <w:vAlign w:val="center"/>
            <w:hideMark/>
          </w:tcPr>
          <w:p w14:paraId="09CF7736" w14:textId="77777777" w:rsidR="00000000" w:rsidRDefault="00405D16">
            <w:pPr>
              <w:spacing w:after="100"/>
              <w:rPr>
                <w:rFonts w:eastAsia="Times New Roman"/>
                <w:sz w:val="20"/>
                <w:szCs w:val="20"/>
              </w:rPr>
            </w:pPr>
          </w:p>
        </w:tc>
        <w:tc>
          <w:tcPr>
            <w:tcW w:w="5" w:type="pct"/>
            <w:vAlign w:val="center"/>
            <w:hideMark/>
          </w:tcPr>
          <w:p w14:paraId="771D0C89" w14:textId="77777777" w:rsidR="00000000" w:rsidRDefault="00405D16">
            <w:pPr>
              <w:spacing w:after="100"/>
              <w:rPr>
                <w:rFonts w:eastAsia="Times New Roman"/>
                <w:sz w:val="20"/>
                <w:szCs w:val="20"/>
              </w:rPr>
            </w:pPr>
          </w:p>
        </w:tc>
        <w:tc>
          <w:tcPr>
            <w:tcW w:w="5" w:type="pct"/>
            <w:vAlign w:val="center"/>
            <w:hideMark/>
          </w:tcPr>
          <w:p w14:paraId="3076CD45" w14:textId="77777777" w:rsidR="00000000" w:rsidRDefault="00405D16">
            <w:pPr>
              <w:spacing w:after="100"/>
              <w:rPr>
                <w:rFonts w:eastAsia="Times New Roman"/>
                <w:sz w:val="20"/>
                <w:szCs w:val="20"/>
              </w:rPr>
            </w:pPr>
          </w:p>
        </w:tc>
        <w:tc>
          <w:tcPr>
            <w:tcW w:w="26" w:type="pct"/>
            <w:vAlign w:val="center"/>
            <w:hideMark/>
          </w:tcPr>
          <w:p w14:paraId="58ADA050" w14:textId="77777777" w:rsidR="00000000" w:rsidRDefault="00405D16">
            <w:pPr>
              <w:spacing w:after="100"/>
              <w:rPr>
                <w:rFonts w:eastAsia="Times New Roman"/>
                <w:sz w:val="20"/>
                <w:szCs w:val="20"/>
              </w:rPr>
            </w:pPr>
          </w:p>
        </w:tc>
        <w:tc>
          <w:tcPr>
            <w:tcW w:w="5" w:type="pct"/>
            <w:vAlign w:val="center"/>
            <w:hideMark/>
          </w:tcPr>
          <w:p w14:paraId="17EC0B82" w14:textId="77777777" w:rsidR="00000000" w:rsidRDefault="00405D16">
            <w:pPr>
              <w:spacing w:after="100"/>
              <w:rPr>
                <w:rFonts w:eastAsia="Times New Roman"/>
                <w:sz w:val="20"/>
                <w:szCs w:val="20"/>
              </w:rPr>
            </w:pPr>
          </w:p>
        </w:tc>
        <w:tc>
          <w:tcPr>
            <w:tcW w:w="50" w:type="pct"/>
            <w:vAlign w:val="center"/>
            <w:hideMark/>
          </w:tcPr>
          <w:p w14:paraId="55824A06" w14:textId="77777777" w:rsidR="00000000" w:rsidRDefault="00405D16">
            <w:pPr>
              <w:spacing w:after="100"/>
              <w:rPr>
                <w:rFonts w:eastAsia="Times New Roman"/>
                <w:sz w:val="20"/>
                <w:szCs w:val="20"/>
              </w:rPr>
            </w:pPr>
          </w:p>
        </w:tc>
        <w:tc>
          <w:tcPr>
            <w:tcW w:w="384" w:type="pct"/>
            <w:vAlign w:val="center"/>
            <w:hideMark/>
          </w:tcPr>
          <w:p w14:paraId="025EB32E" w14:textId="77777777" w:rsidR="00000000" w:rsidRDefault="00405D16">
            <w:pPr>
              <w:spacing w:after="100"/>
              <w:rPr>
                <w:rFonts w:eastAsia="Times New Roman"/>
                <w:sz w:val="20"/>
                <w:szCs w:val="20"/>
              </w:rPr>
            </w:pPr>
          </w:p>
        </w:tc>
        <w:tc>
          <w:tcPr>
            <w:tcW w:w="5" w:type="pct"/>
            <w:vAlign w:val="center"/>
            <w:hideMark/>
          </w:tcPr>
          <w:p w14:paraId="060CADE0" w14:textId="77777777" w:rsidR="00000000" w:rsidRDefault="00405D16">
            <w:pPr>
              <w:spacing w:after="100"/>
              <w:rPr>
                <w:rFonts w:eastAsia="Times New Roman"/>
                <w:sz w:val="20"/>
                <w:szCs w:val="20"/>
              </w:rPr>
            </w:pPr>
          </w:p>
        </w:tc>
        <w:tc>
          <w:tcPr>
            <w:tcW w:w="5" w:type="pct"/>
            <w:vAlign w:val="center"/>
            <w:hideMark/>
          </w:tcPr>
          <w:p w14:paraId="2F772CC4" w14:textId="77777777" w:rsidR="00000000" w:rsidRDefault="00405D16">
            <w:pPr>
              <w:spacing w:after="100"/>
              <w:rPr>
                <w:rFonts w:eastAsia="Times New Roman"/>
                <w:sz w:val="20"/>
                <w:szCs w:val="20"/>
              </w:rPr>
            </w:pPr>
          </w:p>
        </w:tc>
        <w:tc>
          <w:tcPr>
            <w:tcW w:w="26" w:type="pct"/>
            <w:vAlign w:val="center"/>
            <w:hideMark/>
          </w:tcPr>
          <w:p w14:paraId="09FD2321" w14:textId="77777777" w:rsidR="00000000" w:rsidRDefault="00405D16">
            <w:pPr>
              <w:spacing w:after="100"/>
              <w:rPr>
                <w:rFonts w:eastAsia="Times New Roman"/>
                <w:sz w:val="20"/>
                <w:szCs w:val="20"/>
              </w:rPr>
            </w:pPr>
          </w:p>
        </w:tc>
        <w:tc>
          <w:tcPr>
            <w:tcW w:w="5" w:type="pct"/>
            <w:vAlign w:val="center"/>
            <w:hideMark/>
          </w:tcPr>
          <w:p w14:paraId="4F395B9A" w14:textId="77777777" w:rsidR="00000000" w:rsidRDefault="00405D16">
            <w:pPr>
              <w:spacing w:after="100"/>
              <w:rPr>
                <w:rFonts w:eastAsia="Times New Roman"/>
                <w:sz w:val="20"/>
                <w:szCs w:val="20"/>
              </w:rPr>
            </w:pPr>
          </w:p>
        </w:tc>
        <w:tc>
          <w:tcPr>
            <w:tcW w:w="50" w:type="pct"/>
            <w:vAlign w:val="center"/>
            <w:hideMark/>
          </w:tcPr>
          <w:p w14:paraId="667C0463" w14:textId="77777777" w:rsidR="00000000" w:rsidRDefault="00405D16">
            <w:pPr>
              <w:spacing w:after="100"/>
              <w:rPr>
                <w:rFonts w:eastAsia="Times New Roman"/>
                <w:sz w:val="20"/>
                <w:szCs w:val="20"/>
              </w:rPr>
            </w:pPr>
          </w:p>
        </w:tc>
        <w:tc>
          <w:tcPr>
            <w:tcW w:w="384" w:type="pct"/>
            <w:vAlign w:val="center"/>
            <w:hideMark/>
          </w:tcPr>
          <w:p w14:paraId="3EC13F9A" w14:textId="77777777" w:rsidR="00000000" w:rsidRDefault="00405D16">
            <w:pPr>
              <w:spacing w:after="100"/>
              <w:rPr>
                <w:rFonts w:eastAsia="Times New Roman"/>
                <w:sz w:val="20"/>
                <w:szCs w:val="20"/>
              </w:rPr>
            </w:pPr>
          </w:p>
        </w:tc>
        <w:tc>
          <w:tcPr>
            <w:tcW w:w="5" w:type="pct"/>
            <w:vAlign w:val="center"/>
            <w:hideMark/>
          </w:tcPr>
          <w:p w14:paraId="16B1D788" w14:textId="77777777" w:rsidR="00000000" w:rsidRDefault="00405D16">
            <w:pPr>
              <w:spacing w:after="100"/>
              <w:rPr>
                <w:rFonts w:eastAsia="Times New Roman"/>
                <w:sz w:val="20"/>
                <w:szCs w:val="20"/>
              </w:rPr>
            </w:pPr>
          </w:p>
        </w:tc>
        <w:tc>
          <w:tcPr>
            <w:tcW w:w="5" w:type="pct"/>
            <w:vAlign w:val="center"/>
            <w:hideMark/>
          </w:tcPr>
          <w:p w14:paraId="3FA6350D" w14:textId="77777777" w:rsidR="00000000" w:rsidRDefault="00405D16">
            <w:pPr>
              <w:spacing w:after="100"/>
              <w:rPr>
                <w:rFonts w:eastAsia="Times New Roman"/>
                <w:sz w:val="20"/>
                <w:szCs w:val="20"/>
              </w:rPr>
            </w:pPr>
          </w:p>
        </w:tc>
        <w:tc>
          <w:tcPr>
            <w:tcW w:w="26" w:type="pct"/>
            <w:vAlign w:val="center"/>
            <w:hideMark/>
          </w:tcPr>
          <w:p w14:paraId="664E19D9" w14:textId="77777777" w:rsidR="00000000" w:rsidRDefault="00405D16">
            <w:pPr>
              <w:spacing w:after="100"/>
              <w:rPr>
                <w:rFonts w:eastAsia="Times New Roman"/>
                <w:sz w:val="20"/>
                <w:szCs w:val="20"/>
              </w:rPr>
            </w:pPr>
          </w:p>
        </w:tc>
        <w:tc>
          <w:tcPr>
            <w:tcW w:w="5" w:type="pct"/>
            <w:vAlign w:val="center"/>
            <w:hideMark/>
          </w:tcPr>
          <w:p w14:paraId="5D4289C6" w14:textId="77777777" w:rsidR="00000000" w:rsidRDefault="00405D16">
            <w:pPr>
              <w:spacing w:after="100"/>
              <w:rPr>
                <w:rFonts w:eastAsia="Times New Roman"/>
                <w:sz w:val="20"/>
                <w:szCs w:val="20"/>
              </w:rPr>
            </w:pPr>
          </w:p>
        </w:tc>
        <w:tc>
          <w:tcPr>
            <w:tcW w:w="50" w:type="pct"/>
            <w:vAlign w:val="center"/>
            <w:hideMark/>
          </w:tcPr>
          <w:p w14:paraId="5CAC5901" w14:textId="77777777" w:rsidR="00000000" w:rsidRDefault="00405D16">
            <w:pPr>
              <w:spacing w:after="100"/>
              <w:rPr>
                <w:rFonts w:eastAsia="Times New Roman"/>
                <w:sz w:val="20"/>
                <w:szCs w:val="20"/>
              </w:rPr>
            </w:pPr>
          </w:p>
        </w:tc>
        <w:tc>
          <w:tcPr>
            <w:tcW w:w="385" w:type="pct"/>
            <w:vAlign w:val="center"/>
            <w:hideMark/>
          </w:tcPr>
          <w:p w14:paraId="5ADF60AA" w14:textId="77777777" w:rsidR="00000000" w:rsidRDefault="00405D16">
            <w:pPr>
              <w:spacing w:after="100"/>
              <w:rPr>
                <w:rFonts w:eastAsia="Times New Roman"/>
                <w:sz w:val="20"/>
                <w:szCs w:val="20"/>
              </w:rPr>
            </w:pPr>
          </w:p>
        </w:tc>
        <w:tc>
          <w:tcPr>
            <w:tcW w:w="5" w:type="pct"/>
            <w:vAlign w:val="center"/>
            <w:hideMark/>
          </w:tcPr>
          <w:p w14:paraId="468C49C7" w14:textId="77777777" w:rsidR="00000000" w:rsidRDefault="00405D16">
            <w:pPr>
              <w:spacing w:after="100"/>
              <w:rPr>
                <w:rFonts w:eastAsia="Times New Roman"/>
                <w:sz w:val="20"/>
                <w:szCs w:val="20"/>
              </w:rPr>
            </w:pPr>
          </w:p>
        </w:tc>
      </w:tr>
      <w:tr w:rsidR="00000000" w14:paraId="7EFC9131" w14:textId="77777777">
        <w:trPr>
          <w:divId w:val="32274532"/>
        </w:trPr>
        <w:tc>
          <w:tcPr>
            <w:tcW w:w="0" w:type="auto"/>
            <w:gridSpan w:val="3"/>
            <w:tcMar>
              <w:top w:w="0" w:type="dxa"/>
              <w:left w:w="20" w:type="dxa"/>
              <w:bottom w:w="0" w:type="dxa"/>
              <w:right w:w="20" w:type="dxa"/>
            </w:tcMar>
            <w:vAlign w:val="center"/>
            <w:hideMark/>
          </w:tcPr>
          <w:p w14:paraId="399274A4"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291819C" w14:textId="77777777" w:rsidR="00000000" w:rsidRDefault="00405D16">
            <w:pPr>
              <w:spacing w:after="100"/>
              <w:rPr>
                <w:rFonts w:eastAsia="Times New Roman"/>
                <w:sz w:val="20"/>
                <w:szCs w:val="20"/>
              </w:rPr>
            </w:pPr>
          </w:p>
        </w:tc>
        <w:tc>
          <w:tcPr>
            <w:tcW w:w="0" w:type="auto"/>
            <w:gridSpan w:val="15"/>
            <w:tcMar>
              <w:top w:w="30" w:type="dxa"/>
              <w:left w:w="20" w:type="dxa"/>
              <w:bottom w:w="30" w:type="dxa"/>
              <w:right w:w="20" w:type="dxa"/>
            </w:tcMar>
            <w:vAlign w:val="center"/>
            <w:hideMark/>
          </w:tcPr>
          <w:p w14:paraId="632602D4" w14:textId="77777777" w:rsidR="00000000" w:rsidRDefault="00405D16">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14:paraId="444771F5" w14:textId="77777777" w:rsidR="00000000" w:rsidRDefault="00405D16">
            <w:pPr>
              <w:spacing w:after="100"/>
              <w:jc w:val="center"/>
              <w:rPr>
                <w:rFonts w:eastAsia="Times New Roman"/>
              </w:rPr>
            </w:pPr>
          </w:p>
        </w:tc>
        <w:tc>
          <w:tcPr>
            <w:tcW w:w="0" w:type="auto"/>
            <w:gridSpan w:val="15"/>
            <w:tcMar>
              <w:top w:w="30" w:type="dxa"/>
              <w:left w:w="20" w:type="dxa"/>
              <w:bottom w:w="30" w:type="dxa"/>
              <w:right w:w="20" w:type="dxa"/>
            </w:tcMar>
            <w:vAlign w:val="center"/>
            <w:hideMark/>
          </w:tcPr>
          <w:p w14:paraId="03EB8FE9" w14:textId="77777777" w:rsidR="00000000" w:rsidRDefault="00405D16">
            <w:pPr>
              <w:spacing w:after="100"/>
              <w:jc w:val="center"/>
              <w:rPr>
                <w:rFonts w:eastAsia="Times New Roman"/>
              </w:rPr>
            </w:pPr>
            <w:r>
              <w:rPr>
                <w:rFonts w:eastAsia="Times New Roman"/>
                <w:b/>
                <w:bCs/>
                <w:color w:val="000000"/>
                <w:sz w:val="16"/>
                <w:szCs w:val="16"/>
              </w:rPr>
              <w:t>December 31, 2020</w:t>
            </w:r>
          </w:p>
        </w:tc>
      </w:tr>
      <w:tr w:rsidR="00000000" w14:paraId="307244A6" w14:textId="77777777">
        <w:trPr>
          <w:divId w:val="32274532"/>
        </w:trPr>
        <w:tc>
          <w:tcPr>
            <w:tcW w:w="0" w:type="auto"/>
            <w:gridSpan w:val="3"/>
            <w:tcMar>
              <w:top w:w="30" w:type="dxa"/>
              <w:left w:w="20" w:type="dxa"/>
              <w:bottom w:w="30" w:type="dxa"/>
              <w:right w:w="20" w:type="dxa"/>
            </w:tcMar>
            <w:vAlign w:val="bottom"/>
            <w:hideMark/>
          </w:tcPr>
          <w:p w14:paraId="3A5B03CE"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50ADCB2E"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6587948" w14:textId="77777777" w:rsidR="00000000" w:rsidRDefault="00405D16">
            <w:pPr>
              <w:spacing w:after="100"/>
              <w:jc w:val="center"/>
              <w:rPr>
                <w:rFonts w:eastAsia="Times New Roman"/>
              </w:rPr>
            </w:pPr>
            <w:r>
              <w:rPr>
                <w:rFonts w:eastAsia="Times New Roman"/>
                <w:b/>
                <w:bCs/>
                <w:color w:val="000000"/>
                <w:sz w:val="16"/>
                <w:szCs w:val="16"/>
              </w:rPr>
              <w:t>Allowance for Credit Losses</w:t>
            </w:r>
          </w:p>
        </w:tc>
        <w:tc>
          <w:tcPr>
            <w:tcW w:w="0" w:type="auto"/>
            <w:gridSpan w:val="3"/>
            <w:tcBorders>
              <w:top w:val="single" w:sz="8" w:space="0" w:color="000000"/>
            </w:tcBorders>
            <w:tcMar>
              <w:top w:w="0" w:type="dxa"/>
              <w:left w:w="20" w:type="dxa"/>
              <w:bottom w:w="0" w:type="dxa"/>
              <w:right w:w="20" w:type="dxa"/>
            </w:tcMar>
            <w:vAlign w:val="center"/>
            <w:hideMark/>
          </w:tcPr>
          <w:p w14:paraId="7B318343"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585A5D0" w14:textId="77777777" w:rsidR="00000000" w:rsidRDefault="00405D16">
            <w:pPr>
              <w:spacing w:after="100"/>
              <w:jc w:val="center"/>
              <w:rPr>
                <w:rFonts w:eastAsia="Times New Roman"/>
              </w:rPr>
            </w:pPr>
            <w:r>
              <w:rPr>
                <w:rFonts w:eastAsia="Times New Roman"/>
                <w:b/>
                <w:bCs/>
                <w:color w:val="000000"/>
                <w:sz w:val="16"/>
                <w:szCs w:val="16"/>
              </w:rPr>
              <w:t>Amoun</w:t>
            </w:r>
            <w:r>
              <w:rPr>
                <w:rFonts w:eastAsia="Times New Roman"/>
                <w:b/>
                <w:bCs/>
                <w:color w:val="000000"/>
                <w:sz w:val="16"/>
                <w:szCs w:val="16"/>
              </w:rPr>
              <w:t>t</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6336FBCB"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F6695C7" w14:textId="77777777" w:rsidR="00000000" w:rsidRDefault="00405D16">
            <w:pPr>
              <w:spacing w:after="100"/>
              <w:jc w:val="center"/>
              <w:rPr>
                <w:rFonts w:eastAsia="Times New Roman"/>
              </w:rPr>
            </w:pPr>
            <w:r>
              <w:rPr>
                <w:rFonts w:eastAsia="Times New Roman"/>
                <w:b/>
                <w:bCs/>
                <w:color w:val="000000"/>
                <w:sz w:val="16"/>
                <w:szCs w:val="16"/>
              </w:rPr>
              <w:t>Allowance Coverage Ratio</w:t>
            </w:r>
          </w:p>
        </w:tc>
        <w:tc>
          <w:tcPr>
            <w:tcW w:w="0" w:type="auto"/>
            <w:gridSpan w:val="3"/>
            <w:tcMar>
              <w:top w:w="0" w:type="dxa"/>
              <w:left w:w="20" w:type="dxa"/>
              <w:bottom w:w="0" w:type="dxa"/>
              <w:right w:w="20" w:type="dxa"/>
            </w:tcMar>
            <w:vAlign w:val="center"/>
            <w:hideMark/>
          </w:tcPr>
          <w:p w14:paraId="2D8CD6E0"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F1C1237" w14:textId="77777777" w:rsidR="00000000" w:rsidRDefault="00405D16">
            <w:pPr>
              <w:spacing w:after="100"/>
              <w:jc w:val="center"/>
              <w:rPr>
                <w:rFonts w:eastAsia="Times New Roman"/>
              </w:rPr>
            </w:pPr>
            <w:r>
              <w:rPr>
                <w:rFonts w:eastAsia="Times New Roman"/>
                <w:b/>
                <w:bCs/>
                <w:color w:val="000000"/>
                <w:sz w:val="16"/>
                <w:szCs w:val="16"/>
              </w:rPr>
              <w:t>Allowance for Credit Losses</w:t>
            </w:r>
          </w:p>
        </w:tc>
        <w:tc>
          <w:tcPr>
            <w:tcW w:w="0" w:type="auto"/>
            <w:gridSpan w:val="3"/>
            <w:tcBorders>
              <w:top w:val="single" w:sz="8" w:space="0" w:color="000000"/>
            </w:tcBorders>
            <w:tcMar>
              <w:top w:w="0" w:type="dxa"/>
              <w:left w:w="20" w:type="dxa"/>
              <w:bottom w:w="0" w:type="dxa"/>
              <w:right w:w="20" w:type="dxa"/>
            </w:tcMar>
            <w:vAlign w:val="center"/>
            <w:hideMark/>
          </w:tcPr>
          <w:p w14:paraId="42F37C5B"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1F687A1" w14:textId="77777777" w:rsidR="00000000" w:rsidRDefault="00405D16">
            <w:pPr>
              <w:spacing w:after="100"/>
              <w:jc w:val="center"/>
              <w:rPr>
                <w:rFonts w:eastAsia="Times New Roman"/>
              </w:rPr>
            </w:pPr>
            <w:r>
              <w:rPr>
                <w:rFonts w:eastAsia="Times New Roman"/>
                <w:b/>
                <w:bCs/>
                <w:color w:val="000000"/>
                <w:sz w:val="16"/>
                <w:szCs w:val="16"/>
              </w:rPr>
              <w:t>Amoun</w:t>
            </w:r>
            <w:r>
              <w:rPr>
                <w:rFonts w:eastAsia="Times New Roman"/>
                <w:b/>
                <w:bCs/>
                <w:color w:val="000000"/>
                <w:sz w:val="16"/>
                <w:szCs w:val="16"/>
              </w:rPr>
              <w:t>t</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39BDD36D"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264CF52" w14:textId="77777777" w:rsidR="00000000" w:rsidRDefault="00405D16">
            <w:pPr>
              <w:spacing w:after="100"/>
              <w:jc w:val="center"/>
              <w:rPr>
                <w:rFonts w:eastAsia="Times New Roman"/>
              </w:rPr>
            </w:pPr>
            <w:r>
              <w:rPr>
                <w:rFonts w:eastAsia="Times New Roman"/>
                <w:b/>
                <w:bCs/>
                <w:color w:val="000000"/>
                <w:sz w:val="16"/>
                <w:szCs w:val="16"/>
              </w:rPr>
              <w:t>Allowance Coverage Ratio</w:t>
            </w:r>
          </w:p>
        </w:tc>
      </w:tr>
      <w:tr w:rsidR="00000000" w14:paraId="6C3BFC61" w14:textId="77777777">
        <w:trPr>
          <w:divId w:val="3227453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AC04F33" w14:textId="77777777" w:rsidR="00000000" w:rsidRDefault="00405D16">
            <w:pPr>
              <w:spacing w:after="100"/>
              <w:rPr>
                <w:rFonts w:eastAsia="Times New Roman"/>
              </w:rPr>
            </w:pPr>
            <w:r>
              <w:rPr>
                <w:rFonts w:eastAsia="Times New Roman"/>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14:paraId="2EAB2887"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73E8414"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45DE695" w14:textId="77777777" w:rsidR="00000000" w:rsidRDefault="00405D16">
            <w:pPr>
              <w:spacing w:after="100"/>
              <w:jc w:val="right"/>
              <w:rPr>
                <w:rFonts w:eastAsia="Times New Roman"/>
              </w:rPr>
            </w:pPr>
            <w:r>
              <w:rPr>
                <w:rFonts w:eastAsia="Times New Roman"/>
                <w:b/>
                <w:bCs/>
                <w:color w:val="000000"/>
                <w:sz w:val="18"/>
                <w:szCs w:val="18"/>
              </w:rPr>
              <w:t>8,306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163AA9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9408C5"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52143F5"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838F867" w14:textId="77777777" w:rsidR="00000000" w:rsidRDefault="00405D16">
            <w:pPr>
              <w:spacing w:after="100"/>
              <w:jc w:val="right"/>
              <w:rPr>
                <w:rFonts w:eastAsia="Times New Roman"/>
              </w:rPr>
            </w:pPr>
            <w:r>
              <w:rPr>
                <w:rFonts w:eastAsia="Times New Roman"/>
                <w:b/>
                <w:bCs/>
                <w:color w:val="000000"/>
                <w:sz w:val="18"/>
                <w:szCs w:val="18"/>
              </w:rPr>
              <w:t>2,105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C9E5E9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9E774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453BFA2" w14:textId="77777777" w:rsidR="00000000" w:rsidRDefault="00405D16">
            <w:pPr>
              <w:spacing w:after="100"/>
              <w:jc w:val="right"/>
              <w:rPr>
                <w:rFonts w:eastAsia="Times New Roman"/>
              </w:rPr>
            </w:pPr>
            <w:r>
              <w:rPr>
                <w:rFonts w:eastAsia="Times New Roman"/>
                <w:b/>
                <w:bCs/>
                <w:color w:val="000000"/>
                <w:sz w:val="18"/>
                <w:szCs w:val="18"/>
              </w:rPr>
              <w:t>394.50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BEB6A97"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164FA4C" w14:textId="77777777" w:rsidR="00000000" w:rsidRDefault="00405D16">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9E30E7A"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6AF2222" w14:textId="77777777" w:rsidR="00000000" w:rsidRDefault="00405D16">
            <w:pPr>
              <w:spacing w:after="100"/>
              <w:jc w:val="right"/>
              <w:rPr>
                <w:rFonts w:eastAsia="Times New Roman"/>
              </w:rPr>
            </w:pPr>
            <w:r>
              <w:rPr>
                <w:rFonts w:eastAsia="Times New Roman"/>
                <w:color w:val="000000"/>
                <w:sz w:val="18"/>
                <w:szCs w:val="18"/>
              </w:rPr>
              <w:t>11,191 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7BD349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974E37"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7A040CA"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9E250AF" w14:textId="77777777" w:rsidR="00000000" w:rsidRDefault="00405D16">
            <w:pPr>
              <w:spacing w:after="100"/>
              <w:jc w:val="right"/>
              <w:rPr>
                <w:rFonts w:eastAsia="Times New Roman"/>
              </w:rPr>
            </w:pPr>
            <w:r>
              <w:rPr>
                <w:rFonts w:eastAsia="Times New Roman"/>
                <w:color w:val="000000"/>
                <w:sz w:val="18"/>
                <w:szCs w:val="18"/>
              </w:rPr>
              <w:t>2,622 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A3E43E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C0F30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23921A6" w14:textId="77777777" w:rsidR="00000000" w:rsidRDefault="00405D16">
            <w:pPr>
              <w:spacing w:after="100"/>
              <w:jc w:val="right"/>
              <w:rPr>
                <w:rFonts w:eastAsia="Times New Roman"/>
              </w:rPr>
            </w:pPr>
            <w:r>
              <w:rPr>
                <w:rFonts w:eastAsia="Times New Roman"/>
                <w:color w:val="000000"/>
                <w:sz w:val="18"/>
                <w:szCs w:val="18"/>
              </w:rPr>
              <w:t>426.80 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4CCB4AB" w14:textId="77777777" w:rsidR="00000000" w:rsidRDefault="00405D16">
            <w:pPr>
              <w:spacing w:after="100"/>
              <w:jc w:val="right"/>
              <w:rPr>
                <w:rFonts w:eastAsia="Times New Roman"/>
              </w:rPr>
            </w:pPr>
            <w:r>
              <w:rPr>
                <w:rFonts w:eastAsia="Times New Roman"/>
                <w:color w:val="000000"/>
                <w:sz w:val="18"/>
                <w:szCs w:val="18"/>
              </w:rPr>
              <w:t>%</w:t>
            </w:r>
          </w:p>
        </w:tc>
      </w:tr>
      <w:tr w:rsidR="00000000" w14:paraId="4BEE5F20" w14:textId="77777777">
        <w:trPr>
          <w:divId w:val="32274532"/>
        </w:trPr>
        <w:tc>
          <w:tcPr>
            <w:tcW w:w="0" w:type="auto"/>
            <w:gridSpan w:val="3"/>
            <w:shd w:val="clear" w:color="auto" w:fill="FFFFFF"/>
            <w:tcMar>
              <w:top w:w="30" w:type="dxa"/>
              <w:left w:w="20" w:type="dxa"/>
              <w:bottom w:w="30" w:type="dxa"/>
              <w:right w:w="20" w:type="dxa"/>
            </w:tcMar>
            <w:vAlign w:val="center"/>
            <w:hideMark/>
          </w:tcPr>
          <w:p w14:paraId="544E039B" w14:textId="77777777" w:rsidR="00000000" w:rsidRDefault="00405D16">
            <w:pPr>
              <w:spacing w:after="100"/>
              <w:rPr>
                <w:rFonts w:eastAsia="Times New Roman"/>
              </w:rPr>
            </w:pPr>
            <w:r>
              <w:rPr>
                <w:rFonts w:eastAsia="Times New Roman"/>
                <w:color w:val="000000"/>
                <w:sz w:val="18"/>
                <w:szCs w:val="18"/>
              </w:rPr>
              <w:t>Consumer Banking</w:t>
            </w:r>
          </w:p>
        </w:tc>
        <w:tc>
          <w:tcPr>
            <w:tcW w:w="0" w:type="auto"/>
            <w:gridSpan w:val="3"/>
            <w:shd w:val="clear" w:color="auto" w:fill="FFFFFF"/>
            <w:tcMar>
              <w:top w:w="0" w:type="dxa"/>
              <w:left w:w="20" w:type="dxa"/>
              <w:bottom w:w="0" w:type="dxa"/>
              <w:right w:w="20" w:type="dxa"/>
            </w:tcMar>
            <w:vAlign w:val="center"/>
            <w:hideMark/>
          </w:tcPr>
          <w:p w14:paraId="4FED4094"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BD33D7D" w14:textId="77777777" w:rsidR="00000000" w:rsidRDefault="00405D16">
            <w:pPr>
              <w:spacing w:after="100"/>
              <w:jc w:val="right"/>
              <w:rPr>
                <w:rFonts w:eastAsia="Times New Roman"/>
              </w:rPr>
            </w:pPr>
            <w:r>
              <w:rPr>
                <w:rFonts w:eastAsia="Times New Roman"/>
                <w:b/>
                <w:bCs/>
                <w:color w:val="000000"/>
                <w:sz w:val="18"/>
                <w:szCs w:val="18"/>
              </w:rPr>
              <w:t>2,061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1EAC87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185D5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CC16E41" w14:textId="77777777" w:rsidR="00000000" w:rsidRDefault="00405D16">
            <w:pPr>
              <w:spacing w:after="100"/>
              <w:jc w:val="right"/>
              <w:rPr>
                <w:rFonts w:eastAsia="Times New Roman"/>
              </w:rPr>
            </w:pPr>
            <w:r>
              <w:rPr>
                <w:rFonts w:eastAsia="Times New Roman"/>
                <w:b/>
                <w:bCs/>
                <w:color w:val="000000"/>
                <w:sz w:val="18"/>
                <w:szCs w:val="18"/>
              </w:rPr>
              <w:t>2,995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3AF8E6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F7CB2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D38A188" w14:textId="77777777" w:rsidR="00000000" w:rsidRDefault="00405D16">
            <w:pPr>
              <w:spacing w:after="100"/>
              <w:jc w:val="right"/>
              <w:rPr>
                <w:rFonts w:eastAsia="Times New Roman"/>
              </w:rPr>
            </w:pPr>
            <w:r>
              <w:rPr>
                <w:rFonts w:eastAsia="Times New Roman"/>
                <w:b/>
                <w:bCs/>
                <w:color w:val="000000"/>
                <w:sz w:val="18"/>
                <w:szCs w:val="18"/>
              </w:rPr>
              <w:t>68.83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099B18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3B663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8CC7F2E" w14:textId="77777777" w:rsidR="00000000" w:rsidRDefault="00405D16">
            <w:pPr>
              <w:spacing w:after="100"/>
              <w:jc w:val="right"/>
              <w:rPr>
                <w:rFonts w:eastAsia="Times New Roman"/>
              </w:rPr>
            </w:pPr>
            <w:r>
              <w:rPr>
                <w:rFonts w:eastAsia="Times New Roman"/>
                <w:color w:val="000000"/>
                <w:sz w:val="18"/>
                <w:szCs w:val="18"/>
              </w:rPr>
              <w:t>2,715 </w:t>
            </w:r>
          </w:p>
        </w:tc>
        <w:tc>
          <w:tcPr>
            <w:tcW w:w="0" w:type="auto"/>
            <w:shd w:val="clear" w:color="auto" w:fill="FFFFFF"/>
            <w:tcMar>
              <w:top w:w="30" w:type="dxa"/>
              <w:left w:w="0" w:type="dxa"/>
              <w:bottom w:w="30" w:type="dxa"/>
              <w:right w:w="20" w:type="dxa"/>
            </w:tcMar>
            <w:vAlign w:val="center"/>
            <w:hideMark/>
          </w:tcPr>
          <w:p w14:paraId="3837DA9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C95BE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4D845C0" w14:textId="77777777" w:rsidR="00000000" w:rsidRDefault="00405D16">
            <w:pPr>
              <w:spacing w:after="100"/>
              <w:jc w:val="right"/>
              <w:rPr>
                <w:rFonts w:eastAsia="Times New Roman"/>
              </w:rPr>
            </w:pPr>
            <w:r>
              <w:rPr>
                <w:rFonts w:eastAsia="Times New Roman"/>
                <w:color w:val="000000"/>
                <w:sz w:val="18"/>
                <w:szCs w:val="18"/>
              </w:rPr>
              <w:t>3,443 </w:t>
            </w:r>
          </w:p>
        </w:tc>
        <w:tc>
          <w:tcPr>
            <w:tcW w:w="0" w:type="auto"/>
            <w:shd w:val="clear" w:color="auto" w:fill="FFFFFF"/>
            <w:tcMar>
              <w:top w:w="30" w:type="dxa"/>
              <w:left w:w="0" w:type="dxa"/>
              <w:bottom w:w="30" w:type="dxa"/>
              <w:right w:w="20" w:type="dxa"/>
            </w:tcMar>
            <w:vAlign w:val="center"/>
            <w:hideMark/>
          </w:tcPr>
          <w:p w14:paraId="67F8A87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64F07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06B023E" w14:textId="77777777" w:rsidR="00000000" w:rsidRDefault="00405D16">
            <w:pPr>
              <w:spacing w:after="100"/>
              <w:jc w:val="right"/>
              <w:rPr>
                <w:rFonts w:eastAsia="Times New Roman"/>
              </w:rPr>
            </w:pPr>
            <w:r>
              <w:rPr>
                <w:rFonts w:eastAsia="Times New Roman"/>
                <w:color w:val="000000"/>
                <w:sz w:val="18"/>
                <w:szCs w:val="18"/>
              </w:rPr>
              <w:t>78.85 </w:t>
            </w:r>
          </w:p>
        </w:tc>
        <w:tc>
          <w:tcPr>
            <w:tcW w:w="0" w:type="auto"/>
            <w:shd w:val="clear" w:color="auto" w:fill="FFFFFF"/>
            <w:tcMar>
              <w:top w:w="30" w:type="dxa"/>
              <w:left w:w="0" w:type="dxa"/>
              <w:bottom w:w="30" w:type="dxa"/>
              <w:right w:w="20" w:type="dxa"/>
            </w:tcMar>
            <w:vAlign w:val="center"/>
            <w:hideMark/>
          </w:tcPr>
          <w:p w14:paraId="6441D0A6" w14:textId="77777777" w:rsidR="00000000" w:rsidRDefault="00405D16">
            <w:pPr>
              <w:spacing w:after="100"/>
              <w:jc w:val="right"/>
              <w:rPr>
                <w:rFonts w:eastAsia="Times New Roman"/>
              </w:rPr>
            </w:pPr>
          </w:p>
        </w:tc>
      </w:tr>
      <w:tr w:rsidR="00000000" w14:paraId="724A2F0D" w14:textId="77777777">
        <w:trPr>
          <w:divId w:val="32274532"/>
        </w:trPr>
        <w:tc>
          <w:tcPr>
            <w:tcW w:w="0" w:type="auto"/>
            <w:gridSpan w:val="3"/>
            <w:shd w:val="clear" w:color="auto" w:fill="CCEEFF"/>
            <w:tcMar>
              <w:top w:w="30" w:type="dxa"/>
              <w:left w:w="20" w:type="dxa"/>
              <w:bottom w:w="30" w:type="dxa"/>
              <w:right w:w="20" w:type="dxa"/>
            </w:tcMar>
            <w:vAlign w:val="center"/>
            <w:hideMark/>
          </w:tcPr>
          <w:p w14:paraId="12C41AE8" w14:textId="77777777" w:rsidR="00000000" w:rsidRDefault="00405D16">
            <w:pPr>
              <w:spacing w:after="100"/>
              <w:rPr>
                <w:rFonts w:eastAsia="Times New Roman"/>
              </w:rPr>
            </w:pPr>
            <w:r>
              <w:rPr>
                <w:rFonts w:eastAsia="Times New Roman"/>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14:paraId="0848E650"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FB84F18" w14:textId="77777777" w:rsidR="00000000" w:rsidRDefault="00405D16">
            <w:pPr>
              <w:spacing w:after="100"/>
              <w:jc w:val="right"/>
              <w:rPr>
                <w:rFonts w:eastAsia="Times New Roman"/>
              </w:rPr>
            </w:pPr>
            <w:r>
              <w:rPr>
                <w:rFonts w:eastAsia="Times New Roman"/>
                <w:b/>
                <w:bCs/>
                <w:color w:val="000000"/>
                <w:sz w:val="18"/>
                <w:szCs w:val="18"/>
              </w:rPr>
              <w:t>1,206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CBF493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68F32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24460FA" w14:textId="77777777" w:rsidR="00000000" w:rsidRDefault="00405D16">
            <w:pPr>
              <w:spacing w:after="100"/>
              <w:jc w:val="right"/>
              <w:rPr>
                <w:rFonts w:eastAsia="Times New Roman"/>
              </w:rPr>
            </w:pPr>
            <w:r>
              <w:rPr>
                <w:rFonts w:eastAsia="Times New Roman"/>
                <w:b/>
                <w:bCs/>
                <w:color w:val="000000"/>
                <w:sz w:val="18"/>
                <w:szCs w:val="18"/>
              </w:rPr>
              <w:t>601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44939C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3B454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4DDFD3B" w14:textId="77777777" w:rsidR="00000000" w:rsidRDefault="00405D16">
            <w:pPr>
              <w:spacing w:after="100"/>
              <w:jc w:val="right"/>
              <w:rPr>
                <w:rFonts w:eastAsia="Times New Roman"/>
              </w:rPr>
            </w:pPr>
            <w:r>
              <w:rPr>
                <w:rFonts w:eastAsia="Times New Roman"/>
                <w:b/>
                <w:bCs/>
                <w:color w:val="000000"/>
                <w:sz w:val="18"/>
                <w:szCs w:val="18"/>
              </w:rPr>
              <w:t>200.51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3486FA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EFAAB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174000C" w14:textId="77777777" w:rsidR="00000000" w:rsidRDefault="00405D16">
            <w:pPr>
              <w:spacing w:after="100"/>
              <w:jc w:val="right"/>
              <w:rPr>
                <w:rFonts w:eastAsia="Times New Roman"/>
              </w:rPr>
            </w:pPr>
            <w:r>
              <w:rPr>
                <w:rFonts w:eastAsia="Times New Roman"/>
                <w:color w:val="000000"/>
                <w:sz w:val="18"/>
                <w:szCs w:val="18"/>
              </w:rPr>
              <w:t>1,658 </w:t>
            </w:r>
          </w:p>
        </w:tc>
        <w:tc>
          <w:tcPr>
            <w:tcW w:w="0" w:type="auto"/>
            <w:shd w:val="clear" w:color="auto" w:fill="CCEEFF"/>
            <w:tcMar>
              <w:top w:w="30" w:type="dxa"/>
              <w:left w:w="0" w:type="dxa"/>
              <w:bottom w:w="30" w:type="dxa"/>
              <w:right w:w="20" w:type="dxa"/>
            </w:tcMar>
            <w:vAlign w:val="center"/>
            <w:hideMark/>
          </w:tcPr>
          <w:p w14:paraId="4A32AB9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EDBAE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F277A0A" w14:textId="77777777" w:rsidR="00000000" w:rsidRDefault="00405D16">
            <w:pPr>
              <w:spacing w:after="100"/>
              <w:jc w:val="right"/>
              <w:rPr>
                <w:rFonts w:eastAsia="Times New Roman"/>
              </w:rPr>
            </w:pPr>
            <w:r>
              <w:rPr>
                <w:rFonts w:eastAsia="Times New Roman"/>
                <w:color w:val="000000"/>
                <w:sz w:val="18"/>
                <w:szCs w:val="18"/>
              </w:rPr>
              <w:t>650 </w:t>
            </w:r>
          </w:p>
        </w:tc>
        <w:tc>
          <w:tcPr>
            <w:tcW w:w="0" w:type="auto"/>
            <w:shd w:val="clear" w:color="auto" w:fill="CCEEFF"/>
            <w:tcMar>
              <w:top w:w="30" w:type="dxa"/>
              <w:left w:w="0" w:type="dxa"/>
              <w:bottom w:w="30" w:type="dxa"/>
              <w:right w:w="20" w:type="dxa"/>
            </w:tcMar>
            <w:vAlign w:val="center"/>
            <w:hideMark/>
          </w:tcPr>
          <w:p w14:paraId="2881E13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A915E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6BA177D" w14:textId="77777777" w:rsidR="00000000" w:rsidRDefault="00405D16">
            <w:pPr>
              <w:spacing w:after="100"/>
              <w:jc w:val="right"/>
              <w:rPr>
                <w:rFonts w:eastAsia="Times New Roman"/>
              </w:rPr>
            </w:pPr>
            <w:r>
              <w:rPr>
                <w:rFonts w:eastAsia="Times New Roman"/>
                <w:color w:val="000000"/>
                <w:sz w:val="18"/>
                <w:szCs w:val="18"/>
              </w:rPr>
              <w:t>254.97 </w:t>
            </w:r>
          </w:p>
        </w:tc>
        <w:tc>
          <w:tcPr>
            <w:tcW w:w="0" w:type="auto"/>
            <w:shd w:val="clear" w:color="auto" w:fill="CCEEFF"/>
            <w:tcMar>
              <w:top w:w="30" w:type="dxa"/>
              <w:left w:w="0" w:type="dxa"/>
              <w:bottom w:w="30" w:type="dxa"/>
              <w:right w:w="20" w:type="dxa"/>
            </w:tcMar>
            <w:vAlign w:val="center"/>
            <w:hideMark/>
          </w:tcPr>
          <w:p w14:paraId="2C23BE59" w14:textId="77777777" w:rsidR="00000000" w:rsidRDefault="00405D16">
            <w:pPr>
              <w:spacing w:after="100"/>
              <w:jc w:val="right"/>
              <w:rPr>
                <w:rFonts w:eastAsia="Times New Roman"/>
              </w:rPr>
            </w:pPr>
          </w:p>
        </w:tc>
      </w:tr>
      <w:tr w:rsidR="00000000" w14:paraId="46478A38" w14:textId="77777777">
        <w:trPr>
          <w:divId w:val="32274532"/>
        </w:trPr>
        <w:tc>
          <w:tcPr>
            <w:tcW w:w="0" w:type="auto"/>
            <w:gridSpan w:val="3"/>
            <w:shd w:val="clear" w:color="auto" w:fill="FFFFFF"/>
            <w:tcMar>
              <w:top w:w="30" w:type="dxa"/>
              <w:left w:w="20" w:type="dxa"/>
              <w:bottom w:w="30" w:type="dxa"/>
              <w:right w:w="20" w:type="dxa"/>
            </w:tcMar>
            <w:vAlign w:val="center"/>
            <w:hideMark/>
          </w:tcPr>
          <w:p w14:paraId="22FBF3F2" w14:textId="77777777" w:rsidR="00000000" w:rsidRDefault="00405D16">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36CA45E2"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8E7C712"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ECCBA75" w14:textId="77777777" w:rsidR="00000000" w:rsidRDefault="00405D16">
            <w:pPr>
              <w:spacing w:after="100"/>
              <w:jc w:val="right"/>
              <w:rPr>
                <w:rFonts w:eastAsia="Times New Roman"/>
              </w:rPr>
            </w:pPr>
            <w:r>
              <w:rPr>
                <w:rFonts w:eastAsia="Times New Roman"/>
                <w:b/>
                <w:bCs/>
                <w:color w:val="000000"/>
                <w:sz w:val="18"/>
                <w:szCs w:val="18"/>
              </w:rPr>
              <w:t>11,573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F19E7D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DF9B3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0534A3A" w14:textId="77777777" w:rsidR="00000000" w:rsidRDefault="00405D16">
            <w:pPr>
              <w:spacing w:after="100"/>
              <w:jc w:val="right"/>
              <w:rPr>
                <w:rFonts w:eastAsia="Times New Roman"/>
              </w:rPr>
            </w:pPr>
            <w:r>
              <w:rPr>
                <w:rFonts w:eastAsia="Times New Roman"/>
                <w:b/>
                <w:bCs/>
                <w:color w:val="000000"/>
                <w:sz w:val="18"/>
                <w:szCs w:val="18"/>
              </w:rPr>
              <w:t>261,390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6536F7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E7B3E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8EE2519" w14:textId="77777777" w:rsidR="00000000" w:rsidRDefault="00405D16">
            <w:pPr>
              <w:spacing w:after="100"/>
              <w:jc w:val="right"/>
              <w:rPr>
                <w:rFonts w:eastAsia="Times New Roman"/>
              </w:rPr>
            </w:pPr>
            <w:r>
              <w:rPr>
                <w:rFonts w:eastAsia="Times New Roman"/>
                <w:b/>
                <w:bCs/>
                <w:color w:val="000000"/>
                <w:sz w:val="18"/>
                <w:szCs w:val="18"/>
              </w:rPr>
              <w:t>4.43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3120B0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3E9278"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985C788"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C448041" w14:textId="77777777" w:rsidR="00000000" w:rsidRDefault="00405D16">
            <w:pPr>
              <w:spacing w:after="100"/>
              <w:jc w:val="right"/>
              <w:rPr>
                <w:rFonts w:eastAsia="Times New Roman"/>
              </w:rPr>
            </w:pPr>
            <w:r>
              <w:rPr>
                <w:rFonts w:eastAsia="Times New Roman"/>
                <w:color w:val="000000"/>
                <w:sz w:val="18"/>
                <w:szCs w:val="18"/>
              </w:rPr>
              <w:t>15,564 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AF8FAE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BE601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E79029C" w14:textId="77777777" w:rsidR="00000000" w:rsidRDefault="00405D16">
            <w:pPr>
              <w:spacing w:after="100"/>
              <w:jc w:val="right"/>
              <w:rPr>
                <w:rFonts w:eastAsia="Times New Roman"/>
              </w:rPr>
            </w:pPr>
            <w:r>
              <w:rPr>
                <w:rFonts w:eastAsia="Times New Roman"/>
                <w:color w:val="000000"/>
                <w:sz w:val="18"/>
                <w:szCs w:val="18"/>
              </w:rPr>
              <w:t>251,624 </w:t>
            </w:r>
          </w:p>
        </w:tc>
        <w:tc>
          <w:tcPr>
            <w:tcW w:w="0" w:type="auto"/>
            <w:shd w:val="clear" w:color="auto" w:fill="FFFFFF"/>
            <w:tcMar>
              <w:top w:w="30" w:type="dxa"/>
              <w:left w:w="0" w:type="dxa"/>
              <w:bottom w:w="30" w:type="dxa"/>
              <w:right w:w="20" w:type="dxa"/>
            </w:tcMar>
            <w:vAlign w:val="center"/>
            <w:hideMark/>
          </w:tcPr>
          <w:p w14:paraId="1365F39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3F98D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7D6480B" w14:textId="77777777" w:rsidR="00000000" w:rsidRDefault="00405D16">
            <w:pPr>
              <w:spacing w:after="100"/>
              <w:jc w:val="right"/>
              <w:rPr>
                <w:rFonts w:eastAsia="Times New Roman"/>
              </w:rPr>
            </w:pPr>
            <w:r>
              <w:rPr>
                <w:rFonts w:eastAsia="Times New Roman"/>
                <w:color w:val="000000"/>
                <w:sz w:val="18"/>
                <w:szCs w:val="18"/>
              </w:rPr>
              <w:t>6.19 </w:t>
            </w:r>
          </w:p>
        </w:tc>
        <w:tc>
          <w:tcPr>
            <w:tcW w:w="0" w:type="auto"/>
            <w:shd w:val="clear" w:color="auto" w:fill="FFFFFF"/>
            <w:tcMar>
              <w:top w:w="30" w:type="dxa"/>
              <w:left w:w="0" w:type="dxa"/>
              <w:bottom w:w="30" w:type="dxa"/>
              <w:right w:w="20" w:type="dxa"/>
            </w:tcMar>
            <w:vAlign w:val="center"/>
            <w:hideMark/>
          </w:tcPr>
          <w:p w14:paraId="629697B9" w14:textId="77777777" w:rsidR="00000000" w:rsidRDefault="00405D16">
            <w:pPr>
              <w:spacing w:after="100"/>
              <w:jc w:val="right"/>
              <w:rPr>
                <w:rFonts w:eastAsia="Times New Roman"/>
              </w:rPr>
            </w:pPr>
          </w:p>
        </w:tc>
      </w:tr>
    </w:tbl>
    <w:p w14:paraId="418E6368" w14:textId="77777777" w:rsidR="00000000" w:rsidRDefault="00405D16">
      <w:pPr>
        <w:divId w:val="32274532"/>
        <w:rPr>
          <w:rFonts w:eastAsia="Times New Roman"/>
        </w:rPr>
      </w:pPr>
      <w:r>
        <w:rPr>
          <w:rFonts w:eastAsia="Times New Roman"/>
          <w:color w:val="000000"/>
          <w:sz w:val="20"/>
          <w:szCs w:val="20"/>
        </w:rPr>
        <w:t>__________</w:t>
      </w:r>
    </w:p>
    <w:p w14:paraId="0E885730" w14:textId="77777777" w:rsidR="00000000" w:rsidRDefault="00405D16">
      <w:pPr>
        <w:ind w:hanging="360"/>
        <w:jc w:val="both"/>
        <w:divId w:val="120757245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Represents period-end 30+ day delinquent loans for our credit card and consumer banking loan portfolios, nonperforming loans for our commercial </w:t>
      </w:r>
      <w:r>
        <w:rPr>
          <w:rFonts w:eastAsia="Times New Roman"/>
          <w:color w:val="000000"/>
          <w:sz w:val="16"/>
          <w:szCs w:val="16"/>
          <w:shd w:val="clear" w:color="auto" w:fill="FFFFFF"/>
        </w:rPr>
        <w:t>banking loan portfolio and total loans h</w:t>
      </w:r>
      <w:r>
        <w:rPr>
          <w:rFonts w:eastAsia="Times New Roman"/>
          <w:color w:val="000000"/>
          <w:sz w:val="16"/>
          <w:szCs w:val="16"/>
          <w:shd w:val="clear" w:color="auto" w:fill="FFFFFF"/>
        </w:rPr>
        <w:t>eld for investment for the total ratio.</w:t>
      </w:r>
    </w:p>
    <w:p w14:paraId="1F858E14" w14:textId="77777777" w:rsidR="00000000" w:rsidRDefault="00405D16">
      <w:pPr>
        <w:jc w:val="both"/>
        <w:divId w:val="683441467"/>
        <w:rPr>
          <w:rFonts w:eastAsia="Times New Roman"/>
        </w:rPr>
      </w:pPr>
      <w:r>
        <w:rPr>
          <w:rFonts w:eastAsia="Times New Roman"/>
          <w:color w:val="000000"/>
          <w:sz w:val="20"/>
          <w:szCs w:val="20"/>
          <w:shd w:val="clear" w:color="auto" w:fill="FFFFFF"/>
        </w:rPr>
        <w:t>O</w:t>
      </w:r>
      <w:r>
        <w:rPr>
          <w:rFonts w:eastAsia="Times New Roman"/>
          <w:color w:val="000000"/>
          <w:sz w:val="20"/>
          <w:szCs w:val="20"/>
        </w:rPr>
        <w:t>ur allowance for credit losses decreased by $4.0 billion to $11.6 billion, and our allowance coverage ratio decreased by 176 basis points to 4.43% as of September 30, 2021 from December 31, 2020, driven by strong cr</w:t>
      </w:r>
      <w:r>
        <w:rPr>
          <w:rFonts w:eastAsia="Times New Roman"/>
          <w:color w:val="000000"/>
          <w:sz w:val="20"/>
          <w:szCs w:val="20"/>
        </w:rPr>
        <w:t xml:space="preserve">edit performance and improved economic outlook. </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59C7E37A" w14:textId="77777777">
        <w:trPr>
          <w:divId w:val="681199200"/>
        </w:trPr>
        <w:tc>
          <w:tcPr>
            <w:tcW w:w="50" w:type="pct"/>
            <w:vAlign w:val="center"/>
            <w:hideMark/>
          </w:tcPr>
          <w:p w14:paraId="61A84D3C" w14:textId="77777777" w:rsidR="00000000" w:rsidRDefault="00405D16">
            <w:pPr>
              <w:jc w:val="both"/>
              <w:rPr>
                <w:rFonts w:eastAsia="Times New Roman"/>
              </w:rPr>
            </w:pPr>
          </w:p>
        </w:tc>
        <w:tc>
          <w:tcPr>
            <w:tcW w:w="4945" w:type="pct"/>
            <w:vAlign w:val="center"/>
            <w:hideMark/>
          </w:tcPr>
          <w:p w14:paraId="10A7EAF0" w14:textId="77777777" w:rsidR="00000000" w:rsidRDefault="00405D16">
            <w:pPr>
              <w:spacing w:after="100"/>
              <w:rPr>
                <w:rFonts w:eastAsia="Times New Roman"/>
                <w:sz w:val="20"/>
                <w:szCs w:val="20"/>
              </w:rPr>
            </w:pPr>
          </w:p>
        </w:tc>
        <w:tc>
          <w:tcPr>
            <w:tcW w:w="5" w:type="pct"/>
            <w:vAlign w:val="center"/>
            <w:hideMark/>
          </w:tcPr>
          <w:p w14:paraId="14ECC17F" w14:textId="77777777" w:rsidR="00000000" w:rsidRDefault="00405D16">
            <w:pPr>
              <w:spacing w:after="100"/>
              <w:rPr>
                <w:rFonts w:eastAsia="Times New Roman"/>
                <w:sz w:val="20"/>
                <w:szCs w:val="20"/>
              </w:rPr>
            </w:pPr>
          </w:p>
        </w:tc>
      </w:tr>
      <w:tr w:rsidR="00000000" w14:paraId="02AE834B" w14:textId="77777777">
        <w:trPr>
          <w:divId w:val="681199200"/>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646E9DF4" w14:textId="77777777" w:rsidR="00000000" w:rsidRDefault="00405D16">
            <w:pPr>
              <w:spacing w:after="100"/>
              <w:rPr>
                <w:rFonts w:eastAsia="Times New Roman"/>
              </w:rPr>
            </w:pPr>
            <w:r>
              <w:rPr>
                <w:rFonts w:eastAsia="Times New Roman"/>
                <w:b/>
                <w:bCs/>
                <w:color w:val="000000"/>
                <w:sz w:val="20"/>
                <w:szCs w:val="20"/>
              </w:rPr>
              <w:t>LIQUIDITY RISK PROFILE</w:t>
            </w:r>
          </w:p>
        </w:tc>
      </w:tr>
    </w:tbl>
    <w:p w14:paraId="7BEF8C10" w14:textId="77777777" w:rsidR="00000000" w:rsidRDefault="00405D16">
      <w:pPr>
        <w:jc w:val="both"/>
        <w:divId w:val="2125611881"/>
        <w:rPr>
          <w:rFonts w:eastAsia="Times New Roman"/>
        </w:rPr>
      </w:pPr>
      <w:r>
        <w:rPr>
          <w:rFonts w:eastAsia="Times New Roman"/>
          <w:color w:val="000000"/>
          <w:sz w:val="20"/>
          <w:szCs w:val="20"/>
        </w:rPr>
        <w:t>We have established liquidity practices that are intended to ensure that we have sufficient asset-based liquidity to cover our funding requirements and maintain adequate reserves to withstand the potential impact of deposit attrition or diminished liquidit</w:t>
      </w:r>
      <w:r>
        <w:rPr>
          <w:rFonts w:eastAsia="Times New Roman"/>
          <w:color w:val="000000"/>
          <w:sz w:val="20"/>
          <w:szCs w:val="20"/>
        </w:rPr>
        <w:t xml:space="preserve">y in the funding markets. In addition to our cash and cash equivalents, we maintain reserves in the form of investment securities and certain loans that are either readily-marketable or pledgeable. </w:t>
      </w:r>
    </w:p>
    <w:p w14:paraId="2FDD4E62" w14:textId="77777777" w:rsidR="00000000" w:rsidRDefault="00405D16">
      <w:pPr>
        <w:jc w:val="both"/>
        <w:divId w:val="639579996"/>
        <w:rPr>
          <w:rFonts w:eastAsia="Times New Roman"/>
        </w:rPr>
      </w:pPr>
      <w:r>
        <w:rPr>
          <w:rFonts w:eastAsia="Times New Roman"/>
          <w:color w:val="000000"/>
          <w:sz w:val="20"/>
          <w:szCs w:val="20"/>
        </w:rPr>
        <w:t xml:space="preserve">Table 31 below presents the composition of our liquidity </w:t>
      </w:r>
      <w:r>
        <w:rPr>
          <w:rFonts w:eastAsia="Times New Roman"/>
          <w:color w:val="000000"/>
          <w:sz w:val="20"/>
          <w:szCs w:val="20"/>
        </w:rPr>
        <w:t>reserves as of September 30, 2021 and December 31, 2020.</w:t>
      </w:r>
    </w:p>
    <w:p w14:paraId="5814C6DD" w14:textId="77777777" w:rsidR="00000000" w:rsidRDefault="00405D16">
      <w:pPr>
        <w:divId w:val="1536384444"/>
        <w:rPr>
          <w:rFonts w:eastAsia="Times New Roman"/>
        </w:rPr>
      </w:pPr>
      <w:r>
        <w:rPr>
          <w:rFonts w:eastAsia="Times New Roman"/>
          <w:b/>
          <w:bCs/>
          <w:color w:val="000000"/>
          <w:sz w:val="18"/>
          <w:szCs w:val="18"/>
        </w:rPr>
        <w:t>Table 31: Liquidity Reserves</w:t>
      </w:r>
    </w:p>
    <w:tbl>
      <w:tblPr>
        <w:tblW w:w="5000" w:type="pct"/>
        <w:tblCellMar>
          <w:top w:w="15" w:type="dxa"/>
          <w:left w:w="15" w:type="dxa"/>
          <w:bottom w:w="15" w:type="dxa"/>
          <w:right w:w="15" w:type="dxa"/>
        </w:tblCellMar>
        <w:tblLook w:val="04A0" w:firstRow="1" w:lastRow="0" w:firstColumn="1" w:lastColumn="0" w:noHBand="0" w:noVBand="1"/>
      </w:tblPr>
      <w:tblGrid>
        <w:gridCol w:w="42"/>
        <w:gridCol w:w="5557"/>
        <w:gridCol w:w="37"/>
        <w:gridCol w:w="36"/>
        <w:gridCol w:w="36"/>
        <w:gridCol w:w="36"/>
        <w:gridCol w:w="110"/>
        <w:gridCol w:w="1081"/>
        <w:gridCol w:w="36"/>
        <w:gridCol w:w="36"/>
        <w:gridCol w:w="36"/>
        <w:gridCol w:w="36"/>
        <w:gridCol w:w="110"/>
        <w:gridCol w:w="1081"/>
        <w:gridCol w:w="36"/>
      </w:tblGrid>
      <w:tr w:rsidR="00000000" w14:paraId="2FFC96CE" w14:textId="77777777">
        <w:trPr>
          <w:divId w:val="1020353817"/>
        </w:trPr>
        <w:tc>
          <w:tcPr>
            <w:tcW w:w="50" w:type="pct"/>
            <w:vAlign w:val="center"/>
            <w:hideMark/>
          </w:tcPr>
          <w:p w14:paraId="301DEE25" w14:textId="77777777" w:rsidR="00000000" w:rsidRDefault="00405D16">
            <w:pPr>
              <w:rPr>
                <w:rFonts w:eastAsia="Times New Roman"/>
              </w:rPr>
            </w:pPr>
          </w:p>
        </w:tc>
        <w:tc>
          <w:tcPr>
            <w:tcW w:w="3368" w:type="pct"/>
            <w:vAlign w:val="center"/>
            <w:hideMark/>
          </w:tcPr>
          <w:p w14:paraId="0745BD76" w14:textId="77777777" w:rsidR="00000000" w:rsidRDefault="00405D16">
            <w:pPr>
              <w:spacing w:after="100"/>
              <w:rPr>
                <w:rFonts w:eastAsia="Times New Roman"/>
                <w:sz w:val="20"/>
                <w:szCs w:val="20"/>
              </w:rPr>
            </w:pPr>
          </w:p>
        </w:tc>
        <w:tc>
          <w:tcPr>
            <w:tcW w:w="5" w:type="pct"/>
            <w:vAlign w:val="center"/>
            <w:hideMark/>
          </w:tcPr>
          <w:p w14:paraId="19821E4D" w14:textId="77777777" w:rsidR="00000000" w:rsidRDefault="00405D16">
            <w:pPr>
              <w:spacing w:after="100"/>
              <w:rPr>
                <w:rFonts w:eastAsia="Times New Roman"/>
                <w:sz w:val="20"/>
                <w:szCs w:val="20"/>
              </w:rPr>
            </w:pPr>
          </w:p>
        </w:tc>
        <w:tc>
          <w:tcPr>
            <w:tcW w:w="5" w:type="pct"/>
            <w:vAlign w:val="center"/>
            <w:hideMark/>
          </w:tcPr>
          <w:p w14:paraId="2FD13FEC" w14:textId="77777777" w:rsidR="00000000" w:rsidRDefault="00405D16">
            <w:pPr>
              <w:spacing w:after="100"/>
              <w:rPr>
                <w:rFonts w:eastAsia="Times New Roman"/>
                <w:sz w:val="20"/>
                <w:szCs w:val="20"/>
              </w:rPr>
            </w:pPr>
          </w:p>
        </w:tc>
        <w:tc>
          <w:tcPr>
            <w:tcW w:w="26" w:type="pct"/>
            <w:vAlign w:val="center"/>
            <w:hideMark/>
          </w:tcPr>
          <w:p w14:paraId="098E134F" w14:textId="77777777" w:rsidR="00000000" w:rsidRDefault="00405D16">
            <w:pPr>
              <w:spacing w:after="100"/>
              <w:rPr>
                <w:rFonts w:eastAsia="Times New Roman"/>
                <w:sz w:val="20"/>
                <w:szCs w:val="20"/>
              </w:rPr>
            </w:pPr>
          </w:p>
        </w:tc>
        <w:tc>
          <w:tcPr>
            <w:tcW w:w="5" w:type="pct"/>
            <w:vAlign w:val="center"/>
            <w:hideMark/>
          </w:tcPr>
          <w:p w14:paraId="2A87779F" w14:textId="77777777" w:rsidR="00000000" w:rsidRDefault="00405D16">
            <w:pPr>
              <w:spacing w:after="100"/>
              <w:rPr>
                <w:rFonts w:eastAsia="Times New Roman"/>
                <w:sz w:val="20"/>
                <w:szCs w:val="20"/>
              </w:rPr>
            </w:pPr>
          </w:p>
        </w:tc>
        <w:tc>
          <w:tcPr>
            <w:tcW w:w="50" w:type="pct"/>
            <w:vAlign w:val="center"/>
            <w:hideMark/>
          </w:tcPr>
          <w:p w14:paraId="2A04D1E6" w14:textId="77777777" w:rsidR="00000000" w:rsidRDefault="00405D16">
            <w:pPr>
              <w:spacing w:after="100"/>
              <w:rPr>
                <w:rFonts w:eastAsia="Times New Roman"/>
                <w:sz w:val="20"/>
                <w:szCs w:val="20"/>
              </w:rPr>
            </w:pPr>
          </w:p>
        </w:tc>
        <w:tc>
          <w:tcPr>
            <w:tcW w:w="696" w:type="pct"/>
            <w:vAlign w:val="center"/>
            <w:hideMark/>
          </w:tcPr>
          <w:p w14:paraId="15F534CE" w14:textId="77777777" w:rsidR="00000000" w:rsidRDefault="00405D16">
            <w:pPr>
              <w:spacing w:after="100"/>
              <w:rPr>
                <w:rFonts w:eastAsia="Times New Roman"/>
                <w:sz w:val="20"/>
                <w:szCs w:val="20"/>
              </w:rPr>
            </w:pPr>
          </w:p>
        </w:tc>
        <w:tc>
          <w:tcPr>
            <w:tcW w:w="5" w:type="pct"/>
            <w:vAlign w:val="center"/>
            <w:hideMark/>
          </w:tcPr>
          <w:p w14:paraId="7AF78AEA" w14:textId="77777777" w:rsidR="00000000" w:rsidRDefault="00405D16">
            <w:pPr>
              <w:spacing w:after="100"/>
              <w:rPr>
                <w:rFonts w:eastAsia="Times New Roman"/>
                <w:sz w:val="20"/>
                <w:szCs w:val="20"/>
              </w:rPr>
            </w:pPr>
          </w:p>
        </w:tc>
        <w:tc>
          <w:tcPr>
            <w:tcW w:w="5" w:type="pct"/>
            <w:vAlign w:val="center"/>
            <w:hideMark/>
          </w:tcPr>
          <w:p w14:paraId="0599292C" w14:textId="77777777" w:rsidR="00000000" w:rsidRDefault="00405D16">
            <w:pPr>
              <w:spacing w:after="100"/>
              <w:rPr>
                <w:rFonts w:eastAsia="Times New Roman"/>
                <w:sz w:val="20"/>
                <w:szCs w:val="20"/>
              </w:rPr>
            </w:pPr>
          </w:p>
        </w:tc>
        <w:tc>
          <w:tcPr>
            <w:tcW w:w="26" w:type="pct"/>
            <w:vAlign w:val="center"/>
            <w:hideMark/>
          </w:tcPr>
          <w:p w14:paraId="5FCD41B1" w14:textId="77777777" w:rsidR="00000000" w:rsidRDefault="00405D16">
            <w:pPr>
              <w:spacing w:after="100"/>
              <w:rPr>
                <w:rFonts w:eastAsia="Times New Roman"/>
                <w:sz w:val="20"/>
                <w:szCs w:val="20"/>
              </w:rPr>
            </w:pPr>
          </w:p>
        </w:tc>
        <w:tc>
          <w:tcPr>
            <w:tcW w:w="5" w:type="pct"/>
            <w:vAlign w:val="center"/>
            <w:hideMark/>
          </w:tcPr>
          <w:p w14:paraId="605E12CB" w14:textId="77777777" w:rsidR="00000000" w:rsidRDefault="00405D16">
            <w:pPr>
              <w:spacing w:after="100"/>
              <w:rPr>
                <w:rFonts w:eastAsia="Times New Roman"/>
                <w:sz w:val="20"/>
                <w:szCs w:val="20"/>
              </w:rPr>
            </w:pPr>
          </w:p>
        </w:tc>
        <w:tc>
          <w:tcPr>
            <w:tcW w:w="50" w:type="pct"/>
            <w:vAlign w:val="center"/>
            <w:hideMark/>
          </w:tcPr>
          <w:p w14:paraId="1403DA61" w14:textId="77777777" w:rsidR="00000000" w:rsidRDefault="00405D16">
            <w:pPr>
              <w:spacing w:after="100"/>
              <w:rPr>
                <w:rFonts w:eastAsia="Times New Roman"/>
                <w:sz w:val="20"/>
                <w:szCs w:val="20"/>
              </w:rPr>
            </w:pPr>
          </w:p>
        </w:tc>
        <w:tc>
          <w:tcPr>
            <w:tcW w:w="696" w:type="pct"/>
            <w:vAlign w:val="center"/>
            <w:hideMark/>
          </w:tcPr>
          <w:p w14:paraId="72DD6C8A" w14:textId="77777777" w:rsidR="00000000" w:rsidRDefault="00405D16">
            <w:pPr>
              <w:spacing w:after="100"/>
              <w:rPr>
                <w:rFonts w:eastAsia="Times New Roman"/>
                <w:sz w:val="20"/>
                <w:szCs w:val="20"/>
              </w:rPr>
            </w:pPr>
          </w:p>
        </w:tc>
        <w:tc>
          <w:tcPr>
            <w:tcW w:w="5" w:type="pct"/>
            <w:vAlign w:val="center"/>
            <w:hideMark/>
          </w:tcPr>
          <w:p w14:paraId="3399D7E7" w14:textId="77777777" w:rsidR="00000000" w:rsidRDefault="00405D16">
            <w:pPr>
              <w:spacing w:after="100"/>
              <w:rPr>
                <w:rFonts w:eastAsia="Times New Roman"/>
                <w:sz w:val="20"/>
                <w:szCs w:val="20"/>
              </w:rPr>
            </w:pPr>
          </w:p>
        </w:tc>
      </w:tr>
      <w:tr w:rsidR="00000000" w14:paraId="5FE58588" w14:textId="77777777">
        <w:trPr>
          <w:divId w:val="1020353817"/>
        </w:trPr>
        <w:tc>
          <w:tcPr>
            <w:tcW w:w="0" w:type="auto"/>
            <w:gridSpan w:val="3"/>
            <w:tcMar>
              <w:top w:w="30" w:type="dxa"/>
              <w:left w:w="20" w:type="dxa"/>
              <w:bottom w:w="30" w:type="dxa"/>
              <w:right w:w="20" w:type="dxa"/>
            </w:tcMar>
            <w:vAlign w:val="bottom"/>
            <w:hideMark/>
          </w:tcPr>
          <w:p w14:paraId="0832272B"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0715574B" w14:textId="77777777" w:rsidR="00000000" w:rsidRDefault="00405D16">
            <w:pPr>
              <w:spacing w:after="100"/>
              <w:rPr>
                <w:rFonts w:eastAsia="Times New Roman"/>
              </w:rPr>
            </w:pPr>
          </w:p>
        </w:tc>
        <w:tc>
          <w:tcPr>
            <w:tcW w:w="0" w:type="auto"/>
            <w:gridSpan w:val="3"/>
            <w:tcMar>
              <w:top w:w="30" w:type="dxa"/>
              <w:left w:w="20" w:type="dxa"/>
              <w:bottom w:w="30" w:type="dxa"/>
              <w:right w:w="20" w:type="dxa"/>
            </w:tcMar>
            <w:vAlign w:val="center"/>
            <w:hideMark/>
          </w:tcPr>
          <w:p w14:paraId="58C29456" w14:textId="77777777" w:rsidR="00000000" w:rsidRDefault="00405D16">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14:paraId="3BC19B02"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0D64678F" w14:textId="77777777" w:rsidR="00000000" w:rsidRDefault="00405D16">
            <w:pPr>
              <w:spacing w:after="100"/>
              <w:jc w:val="center"/>
              <w:rPr>
                <w:rFonts w:eastAsia="Times New Roman"/>
              </w:rPr>
            </w:pPr>
            <w:r>
              <w:rPr>
                <w:rFonts w:eastAsia="Times New Roman"/>
                <w:b/>
                <w:bCs/>
                <w:color w:val="000000"/>
                <w:sz w:val="16"/>
                <w:szCs w:val="16"/>
              </w:rPr>
              <w:t>December 31, 2020</w:t>
            </w:r>
          </w:p>
        </w:tc>
      </w:tr>
      <w:tr w:rsidR="00000000" w14:paraId="653BCD65" w14:textId="77777777">
        <w:trPr>
          <w:divId w:val="102035381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3408F2C" w14:textId="77777777" w:rsidR="00000000" w:rsidRDefault="00405D16">
            <w:pPr>
              <w:spacing w:after="100"/>
              <w:rPr>
                <w:rFonts w:eastAsia="Times New Roman"/>
              </w:rPr>
            </w:pPr>
            <w:r>
              <w:rPr>
                <w:rFonts w:eastAsia="Times New Roman"/>
                <w:color w:val="000000"/>
                <w:sz w:val="18"/>
                <w:szCs w:val="18"/>
              </w:rPr>
              <w:t>Cash and cash equivalents</w:t>
            </w:r>
          </w:p>
        </w:tc>
        <w:tc>
          <w:tcPr>
            <w:tcW w:w="0" w:type="auto"/>
            <w:gridSpan w:val="3"/>
            <w:shd w:val="clear" w:color="auto" w:fill="CCEEFF"/>
            <w:tcMar>
              <w:top w:w="0" w:type="dxa"/>
              <w:left w:w="20" w:type="dxa"/>
              <w:bottom w:w="0" w:type="dxa"/>
              <w:right w:w="20" w:type="dxa"/>
            </w:tcMar>
            <w:vAlign w:val="center"/>
            <w:hideMark/>
          </w:tcPr>
          <w:p w14:paraId="5EC13983"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5C84F14"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08E7FBD" w14:textId="77777777" w:rsidR="00000000" w:rsidRDefault="00405D16">
            <w:pPr>
              <w:spacing w:after="100"/>
              <w:jc w:val="right"/>
              <w:rPr>
                <w:rFonts w:eastAsia="Times New Roman"/>
              </w:rPr>
            </w:pPr>
            <w:r>
              <w:rPr>
                <w:rFonts w:eastAsia="Times New Roman"/>
                <w:b/>
                <w:bCs/>
                <w:color w:val="000000"/>
                <w:sz w:val="18"/>
                <w:szCs w:val="18"/>
              </w:rPr>
              <w:t>26,624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5C76ED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F33D1D"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47C5EAC"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248BDDC" w14:textId="77777777" w:rsidR="00000000" w:rsidRDefault="00405D16">
            <w:pPr>
              <w:spacing w:after="100"/>
              <w:jc w:val="right"/>
              <w:rPr>
                <w:rFonts w:eastAsia="Times New Roman"/>
              </w:rPr>
            </w:pPr>
            <w:r>
              <w:rPr>
                <w:rFonts w:eastAsia="Times New Roman"/>
                <w:color w:val="000000"/>
                <w:sz w:val="18"/>
                <w:szCs w:val="18"/>
              </w:rPr>
              <w:t>40,509 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BA85E70" w14:textId="77777777" w:rsidR="00000000" w:rsidRDefault="00405D16">
            <w:pPr>
              <w:spacing w:after="100"/>
              <w:jc w:val="right"/>
              <w:rPr>
                <w:rFonts w:eastAsia="Times New Roman"/>
              </w:rPr>
            </w:pPr>
          </w:p>
        </w:tc>
      </w:tr>
      <w:tr w:rsidR="00000000" w14:paraId="37A46BF3" w14:textId="77777777">
        <w:trPr>
          <w:divId w:val="1020353817"/>
        </w:trPr>
        <w:tc>
          <w:tcPr>
            <w:tcW w:w="0" w:type="auto"/>
            <w:gridSpan w:val="3"/>
            <w:shd w:val="clear" w:color="auto" w:fill="FFFFFF"/>
            <w:tcMar>
              <w:top w:w="30" w:type="dxa"/>
              <w:left w:w="20" w:type="dxa"/>
              <w:bottom w:w="30" w:type="dxa"/>
              <w:right w:w="20" w:type="dxa"/>
            </w:tcMar>
            <w:vAlign w:val="center"/>
            <w:hideMark/>
          </w:tcPr>
          <w:p w14:paraId="42438C4F" w14:textId="77777777" w:rsidR="00000000" w:rsidRDefault="00405D16">
            <w:pPr>
              <w:spacing w:after="100"/>
              <w:jc w:val="both"/>
              <w:rPr>
                <w:rFonts w:eastAsia="Times New Roman"/>
              </w:rPr>
            </w:pPr>
            <w:r>
              <w:rPr>
                <w:rFonts w:eastAsia="Times New Roman"/>
                <w:color w:val="000000"/>
                <w:sz w:val="18"/>
                <w:szCs w:val="18"/>
              </w:rPr>
              <w:t>Investment securities available for sale, at fair value</w:t>
            </w:r>
          </w:p>
        </w:tc>
        <w:tc>
          <w:tcPr>
            <w:tcW w:w="0" w:type="auto"/>
            <w:gridSpan w:val="3"/>
            <w:shd w:val="clear" w:color="auto" w:fill="FFFFFF"/>
            <w:tcMar>
              <w:top w:w="0" w:type="dxa"/>
              <w:left w:w="20" w:type="dxa"/>
              <w:bottom w:w="0" w:type="dxa"/>
              <w:right w:w="20" w:type="dxa"/>
            </w:tcMar>
            <w:vAlign w:val="center"/>
            <w:hideMark/>
          </w:tcPr>
          <w:p w14:paraId="346A8CC4" w14:textId="77777777" w:rsidR="00000000" w:rsidRDefault="00405D16">
            <w:pPr>
              <w:spacing w:after="100"/>
              <w:jc w:val="both"/>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6A6FB6A" w14:textId="77777777" w:rsidR="00000000" w:rsidRDefault="00405D16">
            <w:pPr>
              <w:spacing w:after="100"/>
              <w:jc w:val="right"/>
              <w:rPr>
                <w:rFonts w:eastAsia="Times New Roman"/>
              </w:rPr>
            </w:pPr>
            <w:r>
              <w:rPr>
                <w:rFonts w:eastAsia="Times New Roman"/>
                <w:b/>
                <w:bCs/>
                <w:color w:val="000000"/>
                <w:sz w:val="18"/>
                <w:szCs w:val="18"/>
              </w:rPr>
              <w:t>98,149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F0804E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B0BAE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3FF178C" w14:textId="77777777" w:rsidR="00000000" w:rsidRDefault="00405D16">
            <w:pPr>
              <w:spacing w:after="100"/>
              <w:jc w:val="right"/>
              <w:rPr>
                <w:rFonts w:eastAsia="Times New Roman"/>
              </w:rPr>
            </w:pPr>
            <w:r>
              <w:rPr>
                <w:rFonts w:eastAsia="Times New Roman"/>
                <w:color w:val="000000"/>
                <w:sz w:val="18"/>
                <w:szCs w:val="18"/>
              </w:rPr>
              <w:t>100,445 </w:t>
            </w:r>
          </w:p>
        </w:tc>
        <w:tc>
          <w:tcPr>
            <w:tcW w:w="0" w:type="auto"/>
            <w:shd w:val="clear" w:color="auto" w:fill="FFFFFF"/>
            <w:tcMar>
              <w:top w:w="30" w:type="dxa"/>
              <w:left w:w="0" w:type="dxa"/>
              <w:bottom w:w="30" w:type="dxa"/>
              <w:right w:w="20" w:type="dxa"/>
            </w:tcMar>
            <w:vAlign w:val="center"/>
            <w:hideMark/>
          </w:tcPr>
          <w:p w14:paraId="0C37116E" w14:textId="77777777" w:rsidR="00000000" w:rsidRDefault="00405D16">
            <w:pPr>
              <w:spacing w:after="100"/>
              <w:jc w:val="right"/>
              <w:rPr>
                <w:rFonts w:eastAsia="Times New Roman"/>
              </w:rPr>
            </w:pPr>
          </w:p>
        </w:tc>
      </w:tr>
      <w:tr w:rsidR="00000000" w14:paraId="070DD77F" w14:textId="77777777">
        <w:trPr>
          <w:divId w:val="1020353817"/>
        </w:trPr>
        <w:tc>
          <w:tcPr>
            <w:tcW w:w="0" w:type="auto"/>
            <w:gridSpan w:val="3"/>
            <w:shd w:val="clear" w:color="auto" w:fill="CCEEFF"/>
            <w:tcMar>
              <w:top w:w="30" w:type="dxa"/>
              <w:left w:w="20" w:type="dxa"/>
              <w:bottom w:w="30" w:type="dxa"/>
              <w:right w:w="20" w:type="dxa"/>
            </w:tcMar>
            <w:vAlign w:val="center"/>
            <w:hideMark/>
          </w:tcPr>
          <w:p w14:paraId="39CE0B97" w14:textId="77777777" w:rsidR="00000000" w:rsidRDefault="00405D16">
            <w:pPr>
              <w:spacing w:after="100"/>
              <w:rPr>
                <w:rFonts w:eastAsia="Times New Roman"/>
              </w:rPr>
            </w:pPr>
            <w:r>
              <w:rPr>
                <w:rFonts w:eastAsia="Times New Roman"/>
                <w:color w:val="000000"/>
                <w:sz w:val="18"/>
                <w:szCs w:val="18"/>
              </w:rPr>
              <w:t>FHLB borrowing capacity secured by loans</w:t>
            </w:r>
          </w:p>
        </w:tc>
        <w:tc>
          <w:tcPr>
            <w:tcW w:w="0" w:type="auto"/>
            <w:gridSpan w:val="3"/>
            <w:shd w:val="clear" w:color="auto" w:fill="CCEEFF"/>
            <w:tcMar>
              <w:top w:w="0" w:type="dxa"/>
              <w:left w:w="20" w:type="dxa"/>
              <w:bottom w:w="0" w:type="dxa"/>
              <w:right w:w="20" w:type="dxa"/>
            </w:tcMar>
            <w:vAlign w:val="center"/>
            <w:hideMark/>
          </w:tcPr>
          <w:p w14:paraId="309F702E"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F9F63C2" w14:textId="77777777" w:rsidR="00000000" w:rsidRDefault="00405D16">
            <w:pPr>
              <w:spacing w:after="100"/>
              <w:jc w:val="right"/>
              <w:rPr>
                <w:rFonts w:eastAsia="Times New Roman"/>
              </w:rPr>
            </w:pPr>
            <w:r>
              <w:rPr>
                <w:rFonts w:eastAsia="Times New Roman"/>
                <w:b/>
                <w:bCs/>
                <w:color w:val="000000"/>
                <w:sz w:val="18"/>
                <w:szCs w:val="18"/>
              </w:rPr>
              <w:t>7,852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0C2FB8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37E27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1F82EE5" w14:textId="77777777" w:rsidR="00000000" w:rsidRDefault="00405D16">
            <w:pPr>
              <w:spacing w:after="100"/>
              <w:jc w:val="right"/>
              <w:rPr>
                <w:rFonts w:eastAsia="Times New Roman"/>
              </w:rPr>
            </w:pPr>
            <w:r>
              <w:rPr>
                <w:rFonts w:eastAsia="Times New Roman"/>
                <w:color w:val="000000"/>
                <w:sz w:val="18"/>
                <w:szCs w:val="18"/>
              </w:rPr>
              <w:t>10,162 </w:t>
            </w:r>
          </w:p>
        </w:tc>
        <w:tc>
          <w:tcPr>
            <w:tcW w:w="0" w:type="auto"/>
            <w:shd w:val="clear" w:color="auto" w:fill="CCEEFF"/>
            <w:tcMar>
              <w:top w:w="30" w:type="dxa"/>
              <w:left w:w="0" w:type="dxa"/>
              <w:bottom w:w="30" w:type="dxa"/>
              <w:right w:w="20" w:type="dxa"/>
            </w:tcMar>
            <w:vAlign w:val="center"/>
            <w:hideMark/>
          </w:tcPr>
          <w:p w14:paraId="592BF975" w14:textId="77777777" w:rsidR="00000000" w:rsidRDefault="00405D16">
            <w:pPr>
              <w:spacing w:after="100"/>
              <w:jc w:val="right"/>
              <w:rPr>
                <w:rFonts w:eastAsia="Times New Roman"/>
              </w:rPr>
            </w:pPr>
          </w:p>
        </w:tc>
      </w:tr>
      <w:tr w:rsidR="00000000" w14:paraId="450F8E91" w14:textId="77777777">
        <w:trPr>
          <w:divId w:val="1020353817"/>
        </w:trPr>
        <w:tc>
          <w:tcPr>
            <w:tcW w:w="0" w:type="auto"/>
            <w:gridSpan w:val="3"/>
            <w:shd w:val="clear" w:color="auto" w:fill="FFFFFF"/>
            <w:tcMar>
              <w:top w:w="30" w:type="dxa"/>
              <w:left w:w="20" w:type="dxa"/>
              <w:bottom w:w="30" w:type="dxa"/>
              <w:right w:w="20" w:type="dxa"/>
            </w:tcMar>
            <w:vAlign w:val="center"/>
            <w:hideMark/>
          </w:tcPr>
          <w:p w14:paraId="3910DC62" w14:textId="77777777" w:rsidR="00000000" w:rsidRDefault="00405D16">
            <w:pPr>
              <w:spacing w:after="100"/>
              <w:rPr>
                <w:rFonts w:eastAsia="Times New Roman"/>
              </w:rPr>
            </w:pPr>
            <w:r>
              <w:rPr>
                <w:rFonts w:eastAsia="Times New Roman"/>
                <w:color w:val="000000"/>
                <w:sz w:val="18"/>
                <w:szCs w:val="18"/>
              </w:rPr>
              <w:t>Outstanding FHLB advances and letters of credit secured by loans</w:t>
            </w:r>
          </w:p>
        </w:tc>
        <w:tc>
          <w:tcPr>
            <w:tcW w:w="0" w:type="auto"/>
            <w:gridSpan w:val="3"/>
            <w:shd w:val="clear" w:color="auto" w:fill="FFFFFF"/>
            <w:tcMar>
              <w:top w:w="0" w:type="dxa"/>
              <w:left w:w="20" w:type="dxa"/>
              <w:bottom w:w="0" w:type="dxa"/>
              <w:right w:w="20" w:type="dxa"/>
            </w:tcMar>
            <w:vAlign w:val="center"/>
            <w:hideMark/>
          </w:tcPr>
          <w:p w14:paraId="56E36CBF"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DCFD0B9" w14:textId="77777777" w:rsidR="00000000" w:rsidRDefault="00405D16">
            <w:pPr>
              <w:spacing w:after="100"/>
              <w:jc w:val="right"/>
              <w:rPr>
                <w:rFonts w:eastAsia="Times New Roman"/>
              </w:rPr>
            </w:pPr>
            <w:r>
              <w:rPr>
                <w:rFonts w:eastAsia="Times New Roman"/>
                <w:b/>
                <w:bCs/>
                <w:color w:val="000000"/>
                <w:sz w:val="18"/>
                <w:szCs w:val="18"/>
              </w:rPr>
              <w:t>(41)</w:t>
            </w:r>
          </w:p>
        </w:tc>
        <w:tc>
          <w:tcPr>
            <w:tcW w:w="0" w:type="auto"/>
            <w:shd w:val="clear" w:color="auto" w:fill="FFFFFF"/>
            <w:tcMar>
              <w:top w:w="30" w:type="dxa"/>
              <w:left w:w="0" w:type="dxa"/>
              <w:bottom w:w="30" w:type="dxa"/>
              <w:right w:w="20" w:type="dxa"/>
            </w:tcMar>
            <w:vAlign w:val="center"/>
            <w:hideMark/>
          </w:tcPr>
          <w:p w14:paraId="5887344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ED775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208F006" w14:textId="77777777" w:rsidR="00000000" w:rsidRDefault="00405D16">
            <w:pPr>
              <w:spacing w:after="100"/>
              <w:jc w:val="right"/>
              <w:rPr>
                <w:rFonts w:eastAsia="Times New Roman"/>
              </w:rPr>
            </w:pPr>
            <w:r>
              <w:rPr>
                <w:rFonts w:eastAsia="Times New Roman"/>
                <w:color w:val="000000"/>
                <w:sz w:val="18"/>
                <w:szCs w:val="18"/>
              </w:rPr>
              <w:t>(72)</w:t>
            </w:r>
          </w:p>
        </w:tc>
        <w:tc>
          <w:tcPr>
            <w:tcW w:w="0" w:type="auto"/>
            <w:shd w:val="clear" w:color="auto" w:fill="FFFFFF"/>
            <w:tcMar>
              <w:top w:w="30" w:type="dxa"/>
              <w:left w:w="0" w:type="dxa"/>
              <w:bottom w:w="30" w:type="dxa"/>
              <w:right w:w="20" w:type="dxa"/>
            </w:tcMar>
            <w:vAlign w:val="center"/>
            <w:hideMark/>
          </w:tcPr>
          <w:p w14:paraId="7BECC35C" w14:textId="77777777" w:rsidR="00000000" w:rsidRDefault="00405D16">
            <w:pPr>
              <w:spacing w:after="100"/>
              <w:jc w:val="right"/>
              <w:rPr>
                <w:rFonts w:eastAsia="Times New Roman"/>
              </w:rPr>
            </w:pPr>
          </w:p>
        </w:tc>
      </w:tr>
      <w:tr w:rsidR="00000000" w14:paraId="60D464F2" w14:textId="77777777">
        <w:trPr>
          <w:divId w:val="1020353817"/>
        </w:trPr>
        <w:tc>
          <w:tcPr>
            <w:tcW w:w="0" w:type="auto"/>
            <w:gridSpan w:val="3"/>
            <w:shd w:val="clear" w:color="auto" w:fill="CCEEFF"/>
            <w:tcMar>
              <w:top w:w="30" w:type="dxa"/>
              <w:left w:w="20" w:type="dxa"/>
              <w:bottom w:w="30" w:type="dxa"/>
              <w:right w:w="20" w:type="dxa"/>
            </w:tcMar>
            <w:vAlign w:val="center"/>
            <w:hideMark/>
          </w:tcPr>
          <w:p w14:paraId="00DD2B1E" w14:textId="77777777" w:rsidR="00000000" w:rsidRDefault="00405D16">
            <w:pPr>
              <w:spacing w:after="100"/>
              <w:rPr>
                <w:rFonts w:eastAsia="Times New Roman"/>
              </w:rPr>
            </w:pPr>
            <w:r>
              <w:rPr>
                <w:rFonts w:eastAsia="Times New Roman"/>
                <w:color w:val="000000"/>
                <w:sz w:val="18"/>
                <w:szCs w:val="18"/>
              </w:rPr>
              <w:t>Investment securities encumbered for Public Funds and others</w:t>
            </w:r>
          </w:p>
        </w:tc>
        <w:tc>
          <w:tcPr>
            <w:tcW w:w="0" w:type="auto"/>
            <w:gridSpan w:val="3"/>
            <w:shd w:val="clear" w:color="auto" w:fill="CCEEFF"/>
            <w:tcMar>
              <w:top w:w="0" w:type="dxa"/>
              <w:left w:w="20" w:type="dxa"/>
              <w:bottom w:w="0" w:type="dxa"/>
              <w:right w:w="20" w:type="dxa"/>
            </w:tcMar>
            <w:vAlign w:val="center"/>
            <w:hideMark/>
          </w:tcPr>
          <w:p w14:paraId="3FCBDA97"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A8DB1A5" w14:textId="77777777" w:rsidR="00000000" w:rsidRDefault="00405D16">
            <w:pPr>
              <w:spacing w:after="100"/>
              <w:jc w:val="right"/>
              <w:rPr>
                <w:rFonts w:eastAsia="Times New Roman"/>
              </w:rPr>
            </w:pPr>
            <w:r>
              <w:rPr>
                <w:rFonts w:eastAsia="Times New Roman"/>
                <w:b/>
                <w:bCs/>
                <w:color w:val="000000"/>
                <w:sz w:val="18"/>
                <w:szCs w:val="18"/>
              </w:rPr>
              <w:t>(8,191)</w:t>
            </w:r>
          </w:p>
        </w:tc>
        <w:tc>
          <w:tcPr>
            <w:tcW w:w="0" w:type="auto"/>
            <w:shd w:val="clear" w:color="auto" w:fill="CCEEFF"/>
            <w:tcMar>
              <w:top w:w="30" w:type="dxa"/>
              <w:left w:w="0" w:type="dxa"/>
              <w:bottom w:w="30" w:type="dxa"/>
              <w:right w:w="20" w:type="dxa"/>
            </w:tcMar>
            <w:vAlign w:val="center"/>
            <w:hideMark/>
          </w:tcPr>
          <w:p w14:paraId="78E4BD4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3DA7A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A54A1BB" w14:textId="77777777" w:rsidR="00000000" w:rsidRDefault="00405D16">
            <w:pPr>
              <w:spacing w:after="100"/>
              <w:jc w:val="right"/>
              <w:rPr>
                <w:rFonts w:eastAsia="Times New Roman"/>
              </w:rPr>
            </w:pPr>
            <w:r>
              <w:rPr>
                <w:rFonts w:eastAsia="Times New Roman"/>
                <w:color w:val="000000"/>
                <w:sz w:val="18"/>
                <w:szCs w:val="18"/>
              </w:rPr>
              <w:t>(7,052)</w:t>
            </w:r>
          </w:p>
        </w:tc>
        <w:tc>
          <w:tcPr>
            <w:tcW w:w="0" w:type="auto"/>
            <w:shd w:val="clear" w:color="auto" w:fill="CCEEFF"/>
            <w:tcMar>
              <w:top w:w="30" w:type="dxa"/>
              <w:left w:w="0" w:type="dxa"/>
              <w:bottom w:w="30" w:type="dxa"/>
              <w:right w:w="20" w:type="dxa"/>
            </w:tcMar>
            <w:vAlign w:val="center"/>
            <w:hideMark/>
          </w:tcPr>
          <w:p w14:paraId="0BCD5F79" w14:textId="77777777" w:rsidR="00000000" w:rsidRDefault="00405D16">
            <w:pPr>
              <w:spacing w:after="100"/>
              <w:jc w:val="right"/>
              <w:rPr>
                <w:rFonts w:eastAsia="Times New Roman"/>
              </w:rPr>
            </w:pPr>
          </w:p>
        </w:tc>
      </w:tr>
      <w:tr w:rsidR="00000000" w14:paraId="1113FD65" w14:textId="77777777">
        <w:trPr>
          <w:divId w:val="1020353817"/>
        </w:trPr>
        <w:tc>
          <w:tcPr>
            <w:tcW w:w="0" w:type="auto"/>
            <w:gridSpan w:val="3"/>
            <w:shd w:val="clear" w:color="auto" w:fill="FFFFFF"/>
            <w:tcMar>
              <w:top w:w="30" w:type="dxa"/>
              <w:left w:w="20" w:type="dxa"/>
              <w:bottom w:w="30" w:type="dxa"/>
              <w:right w:w="20" w:type="dxa"/>
            </w:tcMar>
            <w:vAlign w:val="center"/>
            <w:hideMark/>
          </w:tcPr>
          <w:p w14:paraId="4F317666" w14:textId="77777777" w:rsidR="00000000" w:rsidRDefault="00405D16">
            <w:pPr>
              <w:spacing w:after="100"/>
              <w:rPr>
                <w:rFonts w:eastAsia="Times New Roman"/>
              </w:rPr>
            </w:pPr>
            <w:r>
              <w:rPr>
                <w:rFonts w:eastAsia="Times New Roman"/>
                <w:color w:val="000000"/>
                <w:sz w:val="18"/>
                <w:szCs w:val="18"/>
              </w:rPr>
              <w:t>Total liquidity reserves</w:t>
            </w:r>
          </w:p>
        </w:tc>
        <w:tc>
          <w:tcPr>
            <w:tcW w:w="0" w:type="auto"/>
            <w:gridSpan w:val="3"/>
            <w:shd w:val="clear" w:color="auto" w:fill="FFFFFF"/>
            <w:tcMar>
              <w:top w:w="0" w:type="dxa"/>
              <w:left w:w="20" w:type="dxa"/>
              <w:bottom w:w="0" w:type="dxa"/>
              <w:right w:w="20" w:type="dxa"/>
            </w:tcMar>
            <w:vAlign w:val="center"/>
            <w:hideMark/>
          </w:tcPr>
          <w:p w14:paraId="379802C5"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DAEFFA1"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D91A8F2" w14:textId="77777777" w:rsidR="00000000" w:rsidRDefault="00405D16">
            <w:pPr>
              <w:spacing w:after="100"/>
              <w:jc w:val="right"/>
              <w:rPr>
                <w:rFonts w:eastAsia="Times New Roman"/>
              </w:rPr>
            </w:pPr>
            <w:r>
              <w:rPr>
                <w:rFonts w:eastAsia="Times New Roman"/>
                <w:b/>
                <w:bCs/>
                <w:color w:val="000000"/>
                <w:sz w:val="18"/>
                <w:szCs w:val="18"/>
              </w:rPr>
              <w:t>124,393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80AFD2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9E34E1"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85F7DAB"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264F279" w14:textId="77777777" w:rsidR="00000000" w:rsidRDefault="00405D16">
            <w:pPr>
              <w:spacing w:after="100"/>
              <w:jc w:val="right"/>
              <w:rPr>
                <w:rFonts w:eastAsia="Times New Roman"/>
              </w:rPr>
            </w:pPr>
            <w:r>
              <w:rPr>
                <w:rFonts w:eastAsia="Times New Roman"/>
                <w:color w:val="000000"/>
                <w:sz w:val="18"/>
                <w:szCs w:val="18"/>
              </w:rPr>
              <w:t>143,992 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5B6CE45" w14:textId="77777777" w:rsidR="00000000" w:rsidRDefault="00405D16">
            <w:pPr>
              <w:spacing w:after="100"/>
              <w:jc w:val="right"/>
              <w:rPr>
                <w:rFonts w:eastAsia="Times New Roman"/>
              </w:rPr>
            </w:pPr>
          </w:p>
        </w:tc>
      </w:tr>
    </w:tbl>
    <w:p w14:paraId="46ECB461" w14:textId="77777777" w:rsidR="00000000" w:rsidRDefault="00405D16">
      <w:pPr>
        <w:jc w:val="both"/>
        <w:divId w:val="546524900"/>
        <w:rPr>
          <w:rFonts w:eastAsia="Times New Roman"/>
        </w:rPr>
      </w:pPr>
      <w:r>
        <w:rPr>
          <w:rFonts w:eastAsia="Times New Roman"/>
          <w:color w:val="000000"/>
          <w:sz w:val="20"/>
          <w:szCs w:val="20"/>
        </w:rPr>
        <w:t xml:space="preserve">Our liquidity reserves decreased by $19.6 billion to $124.4 billion as of September 30, 2021 from December 31, 2020 </w:t>
      </w:r>
      <w:r>
        <w:rPr>
          <w:rFonts w:eastAsia="Times New Roman"/>
          <w:color w:val="000000"/>
          <w:sz w:val="20"/>
          <w:szCs w:val="20"/>
          <w:shd w:val="clear" w:color="auto" w:fill="FFFFFF"/>
        </w:rPr>
        <w:t>primarily driven by a decrease in cash and cash equivalents.</w:t>
      </w:r>
      <w:r>
        <w:rPr>
          <w:rFonts w:eastAsia="Times New Roman"/>
          <w:color w:val="000000"/>
          <w:sz w:val="20"/>
          <w:szCs w:val="20"/>
        </w:rPr>
        <w:t xml:space="preserve"> See “MD&amp;A—Risk Management” </w:t>
      </w:r>
      <w:r>
        <w:rPr>
          <w:rFonts w:eastAsia="Times New Roman"/>
          <w:color w:val="000000"/>
          <w:sz w:val="20"/>
          <w:szCs w:val="20"/>
        </w:rPr>
        <w:t>in our 2020 Form 10-K for additional information on our management of liquidity risk.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78C1A2BF" w14:textId="77777777">
        <w:trPr>
          <w:divId w:val="1937864297"/>
          <w:jc w:val="center"/>
        </w:trPr>
        <w:tc>
          <w:tcPr>
            <w:tcW w:w="50" w:type="pct"/>
            <w:vAlign w:val="center"/>
            <w:hideMark/>
          </w:tcPr>
          <w:p w14:paraId="01D0B8EC" w14:textId="77777777" w:rsidR="00000000" w:rsidRDefault="00405D16">
            <w:pPr>
              <w:jc w:val="both"/>
              <w:rPr>
                <w:rFonts w:eastAsia="Times New Roman"/>
              </w:rPr>
            </w:pPr>
          </w:p>
        </w:tc>
        <w:tc>
          <w:tcPr>
            <w:tcW w:w="1606" w:type="pct"/>
            <w:vAlign w:val="center"/>
            <w:hideMark/>
          </w:tcPr>
          <w:p w14:paraId="3F52D461" w14:textId="77777777" w:rsidR="00000000" w:rsidRDefault="00405D16">
            <w:pPr>
              <w:spacing w:after="100"/>
              <w:rPr>
                <w:rFonts w:eastAsia="Times New Roman"/>
                <w:sz w:val="20"/>
                <w:szCs w:val="20"/>
              </w:rPr>
            </w:pPr>
          </w:p>
        </w:tc>
        <w:tc>
          <w:tcPr>
            <w:tcW w:w="5" w:type="pct"/>
            <w:vAlign w:val="center"/>
            <w:hideMark/>
          </w:tcPr>
          <w:p w14:paraId="67AA723E" w14:textId="77777777" w:rsidR="00000000" w:rsidRDefault="00405D16">
            <w:pPr>
              <w:spacing w:after="100"/>
              <w:rPr>
                <w:rFonts w:eastAsia="Times New Roman"/>
                <w:sz w:val="20"/>
                <w:szCs w:val="20"/>
              </w:rPr>
            </w:pPr>
          </w:p>
        </w:tc>
        <w:tc>
          <w:tcPr>
            <w:tcW w:w="50" w:type="pct"/>
            <w:vAlign w:val="center"/>
            <w:hideMark/>
          </w:tcPr>
          <w:p w14:paraId="10ED9FAD" w14:textId="77777777" w:rsidR="00000000" w:rsidRDefault="00405D16">
            <w:pPr>
              <w:spacing w:after="100"/>
              <w:rPr>
                <w:rFonts w:eastAsia="Times New Roman"/>
                <w:sz w:val="20"/>
                <w:szCs w:val="20"/>
              </w:rPr>
            </w:pPr>
          </w:p>
        </w:tc>
        <w:tc>
          <w:tcPr>
            <w:tcW w:w="1614" w:type="pct"/>
            <w:vAlign w:val="center"/>
            <w:hideMark/>
          </w:tcPr>
          <w:p w14:paraId="07135996" w14:textId="77777777" w:rsidR="00000000" w:rsidRDefault="00405D16">
            <w:pPr>
              <w:spacing w:after="100"/>
              <w:rPr>
                <w:rFonts w:eastAsia="Times New Roman"/>
                <w:sz w:val="20"/>
                <w:szCs w:val="20"/>
              </w:rPr>
            </w:pPr>
          </w:p>
        </w:tc>
        <w:tc>
          <w:tcPr>
            <w:tcW w:w="5" w:type="pct"/>
            <w:vAlign w:val="center"/>
            <w:hideMark/>
          </w:tcPr>
          <w:p w14:paraId="0C6089A4" w14:textId="77777777" w:rsidR="00000000" w:rsidRDefault="00405D16">
            <w:pPr>
              <w:spacing w:after="100"/>
              <w:rPr>
                <w:rFonts w:eastAsia="Times New Roman"/>
                <w:sz w:val="20"/>
                <w:szCs w:val="20"/>
              </w:rPr>
            </w:pPr>
          </w:p>
        </w:tc>
        <w:tc>
          <w:tcPr>
            <w:tcW w:w="50" w:type="pct"/>
            <w:vAlign w:val="center"/>
            <w:hideMark/>
          </w:tcPr>
          <w:p w14:paraId="6E8D0A41" w14:textId="77777777" w:rsidR="00000000" w:rsidRDefault="00405D16">
            <w:pPr>
              <w:spacing w:after="100"/>
              <w:rPr>
                <w:rFonts w:eastAsia="Times New Roman"/>
                <w:sz w:val="20"/>
                <w:szCs w:val="20"/>
              </w:rPr>
            </w:pPr>
          </w:p>
        </w:tc>
        <w:tc>
          <w:tcPr>
            <w:tcW w:w="1614" w:type="pct"/>
            <w:vAlign w:val="center"/>
            <w:hideMark/>
          </w:tcPr>
          <w:p w14:paraId="33CF49DD" w14:textId="77777777" w:rsidR="00000000" w:rsidRDefault="00405D16">
            <w:pPr>
              <w:spacing w:after="100"/>
              <w:rPr>
                <w:rFonts w:eastAsia="Times New Roman"/>
                <w:sz w:val="20"/>
                <w:szCs w:val="20"/>
              </w:rPr>
            </w:pPr>
          </w:p>
        </w:tc>
        <w:tc>
          <w:tcPr>
            <w:tcW w:w="5" w:type="pct"/>
            <w:vAlign w:val="center"/>
            <w:hideMark/>
          </w:tcPr>
          <w:p w14:paraId="32516CA4" w14:textId="77777777" w:rsidR="00000000" w:rsidRDefault="00405D16">
            <w:pPr>
              <w:spacing w:after="100"/>
              <w:rPr>
                <w:rFonts w:eastAsia="Times New Roman"/>
                <w:sz w:val="20"/>
                <w:szCs w:val="20"/>
              </w:rPr>
            </w:pPr>
          </w:p>
        </w:tc>
      </w:tr>
      <w:tr w:rsidR="00000000" w14:paraId="4750C0B1" w14:textId="77777777">
        <w:trPr>
          <w:divId w:val="1937864297"/>
          <w:trHeight w:val="300"/>
          <w:jc w:val="center"/>
        </w:trPr>
        <w:tc>
          <w:tcPr>
            <w:tcW w:w="0" w:type="auto"/>
            <w:gridSpan w:val="9"/>
            <w:tcMar>
              <w:top w:w="0" w:type="dxa"/>
              <w:left w:w="20" w:type="dxa"/>
              <w:bottom w:w="0" w:type="dxa"/>
              <w:right w:w="20" w:type="dxa"/>
            </w:tcMar>
            <w:vAlign w:val="center"/>
            <w:hideMark/>
          </w:tcPr>
          <w:p w14:paraId="378D6B0E" w14:textId="77777777" w:rsidR="00000000" w:rsidRDefault="00405D16">
            <w:pPr>
              <w:spacing w:after="100"/>
              <w:rPr>
                <w:rFonts w:eastAsia="Times New Roman"/>
                <w:sz w:val="20"/>
                <w:szCs w:val="20"/>
              </w:rPr>
            </w:pPr>
          </w:p>
        </w:tc>
      </w:tr>
      <w:tr w:rsidR="00000000" w14:paraId="55676D30" w14:textId="77777777">
        <w:trPr>
          <w:divId w:val="1937864297"/>
          <w:jc w:val="center"/>
        </w:trPr>
        <w:tc>
          <w:tcPr>
            <w:tcW w:w="0" w:type="auto"/>
            <w:gridSpan w:val="3"/>
            <w:tcMar>
              <w:top w:w="0" w:type="dxa"/>
              <w:left w:w="20" w:type="dxa"/>
              <w:bottom w:w="0" w:type="dxa"/>
              <w:right w:w="20" w:type="dxa"/>
            </w:tcMar>
            <w:vAlign w:val="center"/>
            <w:hideMark/>
          </w:tcPr>
          <w:p w14:paraId="7FFD2083"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CD5361B" w14:textId="77777777" w:rsidR="00000000" w:rsidRDefault="00405D16">
            <w:pPr>
              <w:spacing w:after="100"/>
              <w:jc w:val="center"/>
              <w:rPr>
                <w:rFonts w:eastAsia="Times New Roman"/>
              </w:rPr>
            </w:pPr>
            <w:r>
              <w:rPr>
                <w:rFonts w:eastAsia="Times New Roman"/>
                <w:color w:val="000000"/>
                <w:sz w:val="16"/>
                <w:szCs w:val="16"/>
              </w:rPr>
              <w:t>52</w:t>
            </w:r>
          </w:p>
        </w:tc>
        <w:tc>
          <w:tcPr>
            <w:tcW w:w="0" w:type="auto"/>
            <w:gridSpan w:val="3"/>
            <w:tcMar>
              <w:top w:w="30" w:type="dxa"/>
              <w:left w:w="20" w:type="dxa"/>
              <w:bottom w:w="30" w:type="dxa"/>
              <w:right w:w="20" w:type="dxa"/>
            </w:tcMar>
            <w:vAlign w:val="bottom"/>
            <w:hideMark/>
          </w:tcPr>
          <w:p w14:paraId="0A896EAC"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7BD4A6D2" w14:textId="77777777" w:rsidR="00000000" w:rsidRDefault="00405D16">
      <w:pPr>
        <w:rPr>
          <w:rFonts w:eastAsia="Times New Roman"/>
        </w:rPr>
      </w:pPr>
      <w:r>
        <w:rPr>
          <w:rFonts w:eastAsia="Times New Roman"/>
        </w:rPr>
        <w:pict w14:anchorId="26E61319">
          <v:rect id="_x0000_i1077" style="width:0;height:1.5pt" o:hralign="center" o:hrstd="t" o:hr="t" fillcolor="#a0a0a0" stroked="f"/>
        </w:pict>
      </w:r>
    </w:p>
    <w:p w14:paraId="2810C512" w14:textId="77777777" w:rsidR="00000000" w:rsidRDefault="00405D16">
      <w:pPr>
        <w:ind w:hanging="360"/>
        <w:jc w:val="both"/>
        <w:divId w:val="631714641"/>
        <w:rPr>
          <w:rFonts w:eastAsia="Times New Roman"/>
        </w:rPr>
      </w:pPr>
      <w:hyperlink w:anchor="idd54a04a485440b4ab4e56094c14d612_13" w:history="1">
        <w:r>
          <w:rPr>
            <w:rStyle w:val="a3"/>
            <w:rFonts w:eastAsia="Times New Roman"/>
            <w:sz w:val="16"/>
            <w:szCs w:val="16"/>
          </w:rPr>
          <w:t>Table of Contents</w:t>
        </w:r>
      </w:hyperlink>
    </w:p>
    <w:p w14:paraId="266503E8" w14:textId="77777777" w:rsidR="00000000" w:rsidRDefault="00405D16">
      <w:pPr>
        <w:divId w:val="1460107056"/>
        <w:rPr>
          <w:rFonts w:eastAsia="Times New Roman"/>
        </w:rPr>
      </w:pPr>
      <w:r>
        <w:rPr>
          <w:rFonts w:eastAsia="Times New Roman"/>
          <w:b/>
          <w:bCs/>
          <w:color w:val="000000"/>
          <w:sz w:val="20"/>
          <w:szCs w:val="20"/>
        </w:rPr>
        <w:t>Liquidity Coverage Ratio</w:t>
      </w:r>
    </w:p>
    <w:p w14:paraId="0C538FE2" w14:textId="77777777" w:rsidR="00000000" w:rsidRDefault="00405D16">
      <w:pPr>
        <w:jc w:val="both"/>
        <w:divId w:val="266079509"/>
        <w:rPr>
          <w:rFonts w:eastAsia="Times New Roman"/>
        </w:rPr>
      </w:pPr>
      <w:r>
        <w:rPr>
          <w:rFonts w:eastAsia="Times New Roman"/>
          <w:color w:val="000000"/>
          <w:sz w:val="20"/>
          <w:szCs w:val="20"/>
        </w:rPr>
        <w:t>We are subject to the liquidity coverage ratio (“LCR”) standard as implemented by the Federal Reserve and OCC (the “LC</w:t>
      </w:r>
      <w:r>
        <w:rPr>
          <w:rFonts w:eastAsia="Times New Roman"/>
          <w:color w:val="000000"/>
          <w:sz w:val="20"/>
          <w:szCs w:val="20"/>
        </w:rPr>
        <w:t>R Rule”). The LCR Rule requires us to calculate our LCR daily. It also requires the Company to publicly disclose, on a quarterly basis, its LCR, certain related quantitative liquidity metrics, and a qualitative discussion of its LCR. Our average LCR during</w:t>
      </w:r>
      <w:r>
        <w:rPr>
          <w:rFonts w:eastAsia="Times New Roman"/>
          <w:color w:val="000000"/>
          <w:sz w:val="20"/>
          <w:szCs w:val="20"/>
        </w:rPr>
        <w:t xml:space="preserve"> the third quarter of 2021 was</w:t>
      </w:r>
      <w:r>
        <w:rPr>
          <w:rFonts w:eastAsia="Times New Roman"/>
          <w:color w:val="000000"/>
          <w:sz w:val="20"/>
          <w:szCs w:val="20"/>
          <w:shd w:val="clear" w:color="auto" w:fill="FFFFFF"/>
        </w:rPr>
        <w:t xml:space="preserve"> 143%</w:t>
      </w:r>
      <w:r>
        <w:rPr>
          <w:rFonts w:eastAsia="Times New Roman"/>
          <w:color w:val="000000"/>
          <w:sz w:val="20"/>
          <w:szCs w:val="20"/>
        </w:rPr>
        <w:t xml:space="preserve">, which exceeded the LCR Rule requirement of 100%. The calculation and the underlying components are based on our interpretations, expectations and assumptions of relevant regulations, as well as interpretations provided </w:t>
      </w:r>
      <w:r>
        <w:rPr>
          <w:rFonts w:eastAsia="Times New Roman"/>
          <w:color w:val="000000"/>
          <w:sz w:val="20"/>
          <w:szCs w:val="20"/>
        </w:rPr>
        <w:t>by our regulators, and are subject to change based on changes to future regulations and interpretations. See “Part I—Item 1. Business—Supervision and Regulation” in our 2020 Form 10-K for additional information.</w:t>
      </w:r>
    </w:p>
    <w:p w14:paraId="7CC39835" w14:textId="77777777" w:rsidR="00000000" w:rsidRDefault="00405D16">
      <w:pPr>
        <w:jc w:val="both"/>
        <w:divId w:val="1951350210"/>
        <w:rPr>
          <w:rFonts w:eastAsia="Times New Roman"/>
        </w:rPr>
      </w:pPr>
      <w:r>
        <w:rPr>
          <w:rFonts w:eastAsia="Times New Roman"/>
          <w:b/>
          <w:bCs/>
          <w:color w:val="000000"/>
          <w:sz w:val="20"/>
          <w:szCs w:val="20"/>
        </w:rPr>
        <w:t>Net Stable Funding Ratio</w:t>
      </w:r>
    </w:p>
    <w:p w14:paraId="76B3118D" w14:textId="77777777" w:rsidR="00000000" w:rsidRDefault="00405D16">
      <w:pPr>
        <w:jc w:val="both"/>
        <w:divId w:val="1568414683"/>
        <w:rPr>
          <w:rFonts w:eastAsia="Times New Roman"/>
        </w:rPr>
      </w:pPr>
      <w:r>
        <w:rPr>
          <w:rFonts w:eastAsia="Times New Roman"/>
          <w:color w:val="000000"/>
          <w:sz w:val="20"/>
          <w:szCs w:val="20"/>
        </w:rPr>
        <w:t>In October 2020, th</w:t>
      </w:r>
      <w:r>
        <w:rPr>
          <w:rFonts w:eastAsia="Times New Roman"/>
          <w:color w:val="000000"/>
          <w:sz w:val="20"/>
          <w:szCs w:val="20"/>
        </w:rPr>
        <w:t>e Federal Banking Agencies finalized a rule to implement the Net Stable Funding Ratio in the United States (the “NSFR Rule”). The NSFR Rule requires the Company and each of the Banks to maintain an amount of available stable funding, which is a weighted me</w:t>
      </w:r>
      <w:r>
        <w:rPr>
          <w:rFonts w:eastAsia="Times New Roman"/>
          <w:color w:val="000000"/>
          <w:sz w:val="20"/>
          <w:szCs w:val="20"/>
        </w:rPr>
        <w:t>asure of a company’s funding sources over a one-year time horizon, calculated by applying standardized weightings to equity and liabilities based on their expected stability, that is no less than the amount of required stable funding, which is calculated b</w:t>
      </w:r>
      <w:r>
        <w:rPr>
          <w:rFonts w:eastAsia="Times New Roman"/>
          <w:color w:val="000000"/>
          <w:sz w:val="20"/>
          <w:szCs w:val="20"/>
        </w:rPr>
        <w:t>y applying standardized weightings to assets, derivatives exposures and certain other items based on their liquidity characteristics. As a Category III institution, the Company and the Banks are required to maintain available stable funding in an amount at</w:t>
      </w:r>
      <w:r>
        <w:rPr>
          <w:rFonts w:eastAsia="Times New Roman"/>
          <w:color w:val="000000"/>
          <w:sz w:val="20"/>
          <w:szCs w:val="20"/>
        </w:rPr>
        <w:t xml:space="preserve"> least equal to 85% of its required stable funding. The NSFR Rule became effective on July 1, 2021 and applies to the Company and each of the Banks. The NSFR Rule includes a semi-annual disclosure requirement, with the first public disclosure required afte</w:t>
      </w:r>
      <w:r>
        <w:rPr>
          <w:rFonts w:eastAsia="Times New Roman"/>
          <w:color w:val="000000"/>
          <w:sz w:val="20"/>
          <w:szCs w:val="20"/>
        </w:rPr>
        <w:t>r June 30, 2023.</w:t>
      </w:r>
    </w:p>
    <w:p w14:paraId="4EB5486E" w14:textId="77777777" w:rsidR="00000000" w:rsidRDefault="00405D16">
      <w:pPr>
        <w:divId w:val="872301209"/>
        <w:rPr>
          <w:rFonts w:eastAsia="Times New Roman"/>
        </w:rPr>
      </w:pPr>
      <w:r>
        <w:rPr>
          <w:rFonts w:eastAsia="Times New Roman"/>
          <w:b/>
          <w:bCs/>
          <w:color w:val="000000"/>
          <w:sz w:val="20"/>
          <w:szCs w:val="20"/>
        </w:rPr>
        <w:t>Borrowing Capacity</w:t>
      </w:r>
    </w:p>
    <w:p w14:paraId="1BA887B1" w14:textId="77777777" w:rsidR="00000000" w:rsidRDefault="00405D16">
      <w:pPr>
        <w:jc w:val="both"/>
        <w:divId w:val="90274255"/>
        <w:rPr>
          <w:rFonts w:eastAsia="Times New Roman"/>
        </w:rPr>
      </w:pPr>
      <w:r>
        <w:rPr>
          <w:rFonts w:eastAsia="Times New Roman"/>
          <w:color w:val="000000"/>
          <w:sz w:val="20"/>
          <w:szCs w:val="20"/>
        </w:rPr>
        <w:t xml:space="preserve">We maintain a shelf registration with the U.S. Securities and Exchange Commission (“SEC”) so that we may periodically offer and sell an indeterminate aggregate amount of senior or subordinated debt securities, preferred </w:t>
      </w:r>
      <w:r>
        <w:rPr>
          <w:rFonts w:eastAsia="Times New Roman"/>
          <w:color w:val="000000"/>
          <w:sz w:val="20"/>
          <w:szCs w:val="20"/>
        </w:rPr>
        <w:t>stock, depositary shares, common stock, purchase contracts, warrants and units. There is no limit under this shelf registration to the amount or number of such securities that we may offer and sell, subject to market conditions. In addition, we also mainta</w:t>
      </w:r>
      <w:r>
        <w:rPr>
          <w:rFonts w:eastAsia="Times New Roman"/>
          <w:color w:val="000000"/>
          <w:sz w:val="20"/>
          <w:szCs w:val="20"/>
        </w:rPr>
        <w:t xml:space="preserve">in a shelf registration that allows us to periodically offer and sell up to $25 billion of securitized debt obligations from our credit card loan securitization trust and a shelf registration that allows us to periodically offer and sell up to $20 billion </w:t>
      </w:r>
      <w:r>
        <w:rPr>
          <w:rFonts w:eastAsia="Times New Roman"/>
          <w:color w:val="000000"/>
          <w:sz w:val="20"/>
          <w:szCs w:val="20"/>
        </w:rPr>
        <w:t>from our auto loan securitization trusts.</w:t>
      </w:r>
    </w:p>
    <w:p w14:paraId="2B6A6213" w14:textId="77777777" w:rsidR="00000000" w:rsidRDefault="00405D16">
      <w:pPr>
        <w:jc w:val="both"/>
        <w:divId w:val="539785768"/>
        <w:rPr>
          <w:rFonts w:eastAsia="Times New Roman"/>
        </w:rPr>
      </w:pPr>
      <w:r>
        <w:rPr>
          <w:rFonts w:eastAsia="Times New Roman"/>
          <w:color w:val="000000"/>
          <w:sz w:val="20"/>
          <w:szCs w:val="20"/>
        </w:rPr>
        <w:t xml:space="preserve">In addition to our issuance capacity under the shelf registration statements, we also have access to FHLB advances and the Federal Reserve Discount Window. The ability to borrow utilizing these sources is based on </w:t>
      </w:r>
      <w:r>
        <w:rPr>
          <w:rFonts w:eastAsia="Times New Roman"/>
          <w:color w:val="000000"/>
          <w:sz w:val="20"/>
          <w:szCs w:val="20"/>
        </w:rPr>
        <w:t>membership status and the amount is dependent upon the Banks’ ability to post collateral. As of September 30, 2021, we pledged both loans and securities to the FHLB to secure a maximum borrowing capacity of $18.8 billion, of which $41 million was used. Our</w:t>
      </w:r>
      <w:r>
        <w:rPr>
          <w:rFonts w:eastAsia="Times New Roman"/>
          <w:color w:val="000000"/>
          <w:sz w:val="20"/>
          <w:szCs w:val="20"/>
        </w:rPr>
        <w:t xml:space="preserve"> FHLB membership is supported by our investment in FHLB stock of $32 million and $30 million as of September 30, 2021 and December 31, 2020, respectively, which was determined in part based on our outstanding advances. As of September 30, 2021, we pledged </w:t>
      </w:r>
      <w:r>
        <w:rPr>
          <w:rFonts w:eastAsia="Times New Roman"/>
          <w:color w:val="000000"/>
          <w:sz w:val="20"/>
          <w:szCs w:val="20"/>
        </w:rPr>
        <w:t>loans to secure a borrowing capacity of $19.9 billion under the Federal Reserve Discount Window. Our membership with the Federal Reserve is supported by our investment in Federal Reserve stock, which totaled $1.3 billion as of both September 30, 2021 and D</w:t>
      </w:r>
      <w:r>
        <w:rPr>
          <w:rFonts w:eastAsia="Times New Roman"/>
          <w:color w:val="000000"/>
          <w:sz w:val="20"/>
          <w:szCs w:val="20"/>
        </w:rPr>
        <w:t>ecember 31, 2020.</w:t>
      </w:r>
    </w:p>
    <w:p w14:paraId="2B414566" w14:textId="77777777" w:rsidR="00000000" w:rsidRDefault="00405D16">
      <w:pPr>
        <w:divId w:val="1785688592"/>
        <w:rPr>
          <w:rFonts w:eastAsia="Times New Roman"/>
        </w:rPr>
      </w:pPr>
      <w:r>
        <w:rPr>
          <w:rFonts w:eastAsia="Times New Roman"/>
          <w:b/>
          <w:bCs/>
          <w:color w:val="000000"/>
          <w:sz w:val="20"/>
          <w:szCs w:val="20"/>
        </w:rPr>
        <w:t>Funding</w:t>
      </w:r>
    </w:p>
    <w:p w14:paraId="02103360" w14:textId="77777777" w:rsidR="00000000" w:rsidRDefault="00405D16">
      <w:pPr>
        <w:jc w:val="both"/>
        <w:divId w:val="1728840474"/>
        <w:rPr>
          <w:rFonts w:eastAsia="Times New Roman"/>
        </w:rPr>
      </w:pPr>
      <w:r>
        <w:rPr>
          <w:rFonts w:eastAsia="Times New Roman"/>
          <w:color w:val="000000"/>
          <w:sz w:val="20"/>
          <w:szCs w:val="20"/>
        </w:rPr>
        <w:t>Our primary source of funding comes from deposits, as they are a stable and relatively low cost source of funding. In addition to deposits, we raise funding through the issuance of senior and subordinated notes and securitized deb</w:t>
      </w:r>
      <w:r>
        <w:rPr>
          <w:rFonts w:eastAsia="Times New Roman"/>
          <w:color w:val="000000"/>
          <w:sz w:val="20"/>
          <w:szCs w:val="20"/>
        </w:rPr>
        <w:t>t obligations, federal funds purchased, securities loaned or sold under agreements to repurchase and FHLB advances secured by certain portions of our loan and securities portfolios. A key objective in our use of these markets is to maintain access to a div</w:t>
      </w:r>
      <w:r>
        <w:rPr>
          <w:rFonts w:eastAsia="Times New Roman"/>
          <w:color w:val="000000"/>
          <w:sz w:val="20"/>
          <w:szCs w:val="20"/>
        </w:rPr>
        <w:t>ersified mix of wholesale funding sources. See “MD&amp;A—Consolidated Balance Sheets Analysis—Funding Sources Composition” for additional information on our primary sources of funding.</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534E2605" w14:textId="77777777">
        <w:trPr>
          <w:divId w:val="1097991651"/>
          <w:jc w:val="center"/>
        </w:trPr>
        <w:tc>
          <w:tcPr>
            <w:tcW w:w="50" w:type="pct"/>
            <w:vAlign w:val="center"/>
            <w:hideMark/>
          </w:tcPr>
          <w:p w14:paraId="428F8AC5" w14:textId="77777777" w:rsidR="00000000" w:rsidRDefault="00405D16">
            <w:pPr>
              <w:jc w:val="both"/>
              <w:rPr>
                <w:rFonts w:eastAsia="Times New Roman"/>
              </w:rPr>
            </w:pPr>
          </w:p>
        </w:tc>
        <w:tc>
          <w:tcPr>
            <w:tcW w:w="1606" w:type="pct"/>
            <w:vAlign w:val="center"/>
            <w:hideMark/>
          </w:tcPr>
          <w:p w14:paraId="17CB7772" w14:textId="77777777" w:rsidR="00000000" w:rsidRDefault="00405D16">
            <w:pPr>
              <w:spacing w:after="100"/>
              <w:rPr>
                <w:rFonts w:eastAsia="Times New Roman"/>
                <w:sz w:val="20"/>
                <w:szCs w:val="20"/>
              </w:rPr>
            </w:pPr>
          </w:p>
        </w:tc>
        <w:tc>
          <w:tcPr>
            <w:tcW w:w="5" w:type="pct"/>
            <w:vAlign w:val="center"/>
            <w:hideMark/>
          </w:tcPr>
          <w:p w14:paraId="73B20CA7" w14:textId="77777777" w:rsidR="00000000" w:rsidRDefault="00405D16">
            <w:pPr>
              <w:spacing w:after="100"/>
              <w:rPr>
                <w:rFonts w:eastAsia="Times New Roman"/>
                <w:sz w:val="20"/>
                <w:szCs w:val="20"/>
              </w:rPr>
            </w:pPr>
          </w:p>
        </w:tc>
        <w:tc>
          <w:tcPr>
            <w:tcW w:w="50" w:type="pct"/>
            <w:vAlign w:val="center"/>
            <w:hideMark/>
          </w:tcPr>
          <w:p w14:paraId="109C645F" w14:textId="77777777" w:rsidR="00000000" w:rsidRDefault="00405D16">
            <w:pPr>
              <w:spacing w:after="100"/>
              <w:rPr>
                <w:rFonts w:eastAsia="Times New Roman"/>
                <w:sz w:val="20"/>
                <w:szCs w:val="20"/>
              </w:rPr>
            </w:pPr>
          </w:p>
        </w:tc>
        <w:tc>
          <w:tcPr>
            <w:tcW w:w="1614" w:type="pct"/>
            <w:vAlign w:val="center"/>
            <w:hideMark/>
          </w:tcPr>
          <w:p w14:paraId="5AC3542C" w14:textId="77777777" w:rsidR="00000000" w:rsidRDefault="00405D16">
            <w:pPr>
              <w:spacing w:after="100"/>
              <w:rPr>
                <w:rFonts w:eastAsia="Times New Roman"/>
                <w:sz w:val="20"/>
                <w:szCs w:val="20"/>
              </w:rPr>
            </w:pPr>
          </w:p>
        </w:tc>
        <w:tc>
          <w:tcPr>
            <w:tcW w:w="5" w:type="pct"/>
            <w:vAlign w:val="center"/>
            <w:hideMark/>
          </w:tcPr>
          <w:p w14:paraId="1280F6A7" w14:textId="77777777" w:rsidR="00000000" w:rsidRDefault="00405D16">
            <w:pPr>
              <w:spacing w:after="100"/>
              <w:rPr>
                <w:rFonts w:eastAsia="Times New Roman"/>
                <w:sz w:val="20"/>
                <w:szCs w:val="20"/>
              </w:rPr>
            </w:pPr>
          </w:p>
        </w:tc>
        <w:tc>
          <w:tcPr>
            <w:tcW w:w="50" w:type="pct"/>
            <w:vAlign w:val="center"/>
            <w:hideMark/>
          </w:tcPr>
          <w:p w14:paraId="78830FE6" w14:textId="77777777" w:rsidR="00000000" w:rsidRDefault="00405D16">
            <w:pPr>
              <w:spacing w:after="100"/>
              <w:rPr>
                <w:rFonts w:eastAsia="Times New Roman"/>
                <w:sz w:val="20"/>
                <w:szCs w:val="20"/>
              </w:rPr>
            </w:pPr>
          </w:p>
        </w:tc>
        <w:tc>
          <w:tcPr>
            <w:tcW w:w="1614" w:type="pct"/>
            <w:vAlign w:val="center"/>
            <w:hideMark/>
          </w:tcPr>
          <w:p w14:paraId="5705E357" w14:textId="77777777" w:rsidR="00000000" w:rsidRDefault="00405D16">
            <w:pPr>
              <w:spacing w:after="100"/>
              <w:rPr>
                <w:rFonts w:eastAsia="Times New Roman"/>
                <w:sz w:val="20"/>
                <w:szCs w:val="20"/>
              </w:rPr>
            </w:pPr>
          </w:p>
        </w:tc>
        <w:tc>
          <w:tcPr>
            <w:tcW w:w="5" w:type="pct"/>
            <w:vAlign w:val="center"/>
            <w:hideMark/>
          </w:tcPr>
          <w:p w14:paraId="17EF52F4" w14:textId="77777777" w:rsidR="00000000" w:rsidRDefault="00405D16">
            <w:pPr>
              <w:spacing w:after="100"/>
              <w:rPr>
                <w:rFonts w:eastAsia="Times New Roman"/>
                <w:sz w:val="20"/>
                <w:szCs w:val="20"/>
              </w:rPr>
            </w:pPr>
          </w:p>
        </w:tc>
      </w:tr>
      <w:tr w:rsidR="00000000" w14:paraId="66A9BB8C" w14:textId="77777777">
        <w:trPr>
          <w:divId w:val="1097991651"/>
          <w:trHeight w:val="300"/>
          <w:jc w:val="center"/>
        </w:trPr>
        <w:tc>
          <w:tcPr>
            <w:tcW w:w="0" w:type="auto"/>
            <w:gridSpan w:val="9"/>
            <w:tcMar>
              <w:top w:w="0" w:type="dxa"/>
              <w:left w:w="20" w:type="dxa"/>
              <w:bottom w:w="0" w:type="dxa"/>
              <w:right w:w="20" w:type="dxa"/>
            </w:tcMar>
            <w:vAlign w:val="center"/>
            <w:hideMark/>
          </w:tcPr>
          <w:p w14:paraId="78155D50" w14:textId="77777777" w:rsidR="00000000" w:rsidRDefault="00405D16">
            <w:pPr>
              <w:spacing w:after="100"/>
              <w:rPr>
                <w:rFonts w:eastAsia="Times New Roman"/>
                <w:sz w:val="20"/>
                <w:szCs w:val="20"/>
              </w:rPr>
            </w:pPr>
          </w:p>
        </w:tc>
      </w:tr>
      <w:tr w:rsidR="00000000" w14:paraId="565C3A85" w14:textId="77777777">
        <w:trPr>
          <w:divId w:val="1097991651"/>
          <w:jc w:val="center"/>
        </w:trPr>
        <w:tc>
          <w:tcPr>
            <w:tcW w:w="0" w:type="auto"/>
            <w:gridSpan w:val="3"/>
            <w:tcMar>
              <w:top w:w="0" w:type="dxa"/>
              <w:left w:w="20" w:type="dxa"/>
              <w:bottom w:w="0" w:type="dxa"/>
              <w:right w:w="20" w:type="dxa"/>
            </w:tcMar>
            <w:vAlign w:val="center"/>
            <w:hideMark/>
          </w:tcPr>
          <w:p w14:paraId="188CE2DF"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FE845E6" w14:textId="77777777" w:rsidR="00000000" w:rsidRDefault="00405D16">
            <w:pPr>
              <w:spacing w:after="100"/>
              <w:jc w:val="center"/>
              <w:rPr>
                <w:rFonts w:eastAsia="Times New Roman"/>
              </w:rPr>
            </w:pPr>
            <w:r>
              <w:rPr>
                <w:rFonts w:eastAsia="Times New Roman"/>
                <w:color w:val="000000"/>
                <w:sz w:val="16"/>
                <w:szCs w:val="16"/>
              </w:rPr>
              <w:t>53</w:t>
            </w:r>
          </w:p>
        </w:tc>
        <w:tc>
          <w:tcPr>
            <w:tcW w:w="0" w:type="auto"/>
            <w:gridSpan w:val="3"/>
            <w:tcMar>
              <w:top w:w="30" w:type="dxa"/>
              <w:left w:w="20" w:type="dxa"/>
              <w:bottom w:w="30" w:type="dxa"/>
              <w:right w:w="20" w:type="dxa"/>
            </w:tcMar>
            <w:vAlign w:val="bottom"/>
            <w:hideMark/>
          </w:tcPr>
          <w:p w14:paraId="3CCE6DEF"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2B3DF236" w14:textId="77777777" w:rsidR="00000000" w:rsidRDefault="00405D16">
      <w:pPr>
        <w:rPr>
          <w:rFonts w:eastAsia="Times New Roman"/>
        </w:rPr>
      </w:pPr>
      <w:r>
        <w:rPr>
          <w:rFonts w:eastAsia="Times New Roman"/>
        </w:rPr>
        <w:pict w14:anchorId="63775ECD">
          <v:rect id="_x0000_i1078" style="width:0;height:1.5pt" o:hralign="center" o:hrstd="t" o:hr="t" fillcolor="#a0a0a0" stroked="f"/>
        </w:pict>
      </w:r>
    </w:p>
    <w:p w14:paraId="0281B8B2" w14:textId="77777777" w:rsidR="00000000" w:rsidRDefault="00405D16">
      <w:pPr>
        <w:ind w:hanging="360"/>
        <w:jc w:val="both"/>
        <w:divId w:val="487988769"/>
        <w:rPr>
          <w:rFonts w:eastAsia="Times New Roman"/>
        </w:rPr>
      </w:pPr>
      <w:hyperlink w:anchor="idd54a04a485440b4ab4e56094c14d612_13" w:history="1">
        <w:r>
          <w:rPr>
            <w:rStyle w:val="a3"/>
            <w:rFonts w:eastAsia="Times New Roman"/>
            <w:sz w:val="16"/>
            <w:szCs w:val="16"/>
          </w:rPr>
          <w:t>Table of Contents</w:t>
        </w:r>
      </w:hyperlink>
    </w:p>
    <w:p w14:paraId="4597252F" w14:textId="77777777" w:rsidR="00000000" w:rsidRDefault="00405D16">
      <w:pPr>
        <w:divId w:val="1727100924"/>
        <w:rPr>
          <w:rFonts w:eastAsia="Times New Roman"/>
        </w:rPr>
      </w:pPr>
      <w:r>
        <w:rPr>
          <w:rFonts w:eastAsia="Times New Roman"/>
          <w:b/>
          <w:bCs/>
          <w:i/>
          <w:iCs/>
          <w:color w:val="000000"/>
          <w:sz w:val="20"/>
          <w:szCs w:val="20"/>
        </w:rPr>
        <w:t>Deposits</w:t>
      </w:r>
    </w:p>
    <w:p w14:paraId="527A4F79" w14:textId="77777777" w:rsidR="00000000" w:rsidRDefault="00405D16">
      <w:pPr>
        <w:jc w:val="both"/>
        <w:divId w:val="519123493"/>
        <w:rPr>
          <w:rFonts w:eastAsia="Times New Roman"/>
        </w:rPr>
      </w:pPr>
      <w:r>
        <w:rPr>
          <w:rFonts w:eastAsia="Times New Roman"/>
          <w:color w:val="000000"/>
          <w:sz w:val="20"/>
          <w:szCs w:val="20"/>
        </w:rPr>
        <w:t>Table 32 provides a comparison of average balances, interest expense and average deposits interest rates for the third quarter and first nine months of 2021 and 2020.</w:t>
      </w:r>
    </w:p>
    <w:p w14:paraId="3947A5CE" w14:textId="77777777" w:rsidR="00000000" w:rsidRDefault="00405D16">
      <w:pPr>
        <w:divId w:val="1155800955"/>
        <w:rPr>
          <w:rFonts w:eastAsia="Times New Roman"/>
        </w:rPr>
      </w:pPr>
      <w:r>
        <w:rPr>
          <w:rFonts w:eastAsia="Times New Roman"/>
          <w:b/>
          <w:bCs/>
          <w:color w:val="000000"/>
          <w:sz w:val="18"/>
          <w:szCs w:val="18"/>
        </w:rPr>
        <w:t>Table 32: Deposits Composition and Average Deposits Interest Rates</w:t>
      </w:r>
    </w:p>
    <w:tbl>
      <w:tblPr>
        <w:tblW w:w="5000" w:type="pct"/>
        <w:tblCellMar>
          <w:top w:w="15" w:type="dxa"/>
          <w:left w:w="15" w:type="dxa"/>
          <w:bottom w:w="15" w:type="dxa"/>
          <w:right w:w="15" w:type="dxa"/>
        </w:tblCellMar>
        <w:tblLook w:val="04A0" w:firstRow="1" w:lastRow="0" w:firstColumn="1" w:lastColumn="0" w:noHBand="0" w:noVBand="1"/>
      </w:tblPr>
      <w:tblGrid>
        <w:gridCol w:w="38"/>
        <w:gridCol w:w="2413"/>
        <w:gridCol w:w="37"/>
        <w:gridCol w:w="36"/>
        <w:gridCol w:w="36"/>
        <w:gridCol w:w="36"/>
        <w:gridCol w:w="110"/>
        <w:gridCol w:w="630"/>
        <w:gridCol w:w="36"/>
        <w:gridCol w:w="36"/>
        <w:gridCol w:w="36"/>
        <w:gridCol w:w="36"/>
        <w:gridCol w:w="111"/>
        <w:gridCol w:w="541"/>
        <w:gridCol w:w="36"/>
        <w:gridCol w:w="36"/>
        <w:gridCol w:w="36"/>
        <w:gridCol w:w="36"/>
        <w:gridCol w:w="63"/>
        <w:gridCol w:w="549"/>
        <w:gridCol w:w="200"/>
        <w:gridCol w:w="36"/>
        <w:gridCol w:w="36"/>
        <w:gridCol w:w="36"/>
        <w:gridCol w:w="110"/>
        <w:gridCol w:w="630"/>
        <w:gridCol w:w="36"/>
        <w:gridCol w:w="36"/>
        <w:gridCol w:w="36"/>
        <w:gridCol w:w="36"/>
        <w:gridCol w:w="111"/>
        <w:gridCol w:w="541"/>
        <w:gridCol w:w="36"/>
        <w:gridCol w:w="36"/>
        <w:gridCol w:w="36"/>
        <w:gridCol w:w="36"/>
        <w:gridCol w:w="63"/>
        <w:gridCol w:w="549"/>
        <w:gridCol w:w="170"/>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14:paraId="2383AFBF" w14:textId="77777777">
        <w:trPr>
          <w:divId w:val="1009260866"/>
        </w:trPr>
        <w:tc>
          <w:tcPr>
            <w:tcW w:w="50" w:type="pct"/>
            <w:vAlign w:val="center"/>
            <w:hideMark/>
          </w:tcPr>
          <w:p w14:paraId="0CB0A94E" w14:textId="77777777" w:rsidR="00000000" w:rsidRDefault="00405D16">
            <w:pPr>
              <w:rPr>
                <w:rFonts w:eastAsia="Times New Roman"/>
              </w:rPr>
            </w:pPr>
          </w:p>
        </w:tc>
        <w:tc>
          <w:tcPr>
            <w:tcW w:w="1743" w:type="pct"/>
            <w:vAlign w:val="center"/>
            <w:hideMark/>
          </w:tcPr>
          <w:p w14:paraId="705BC42A" w14:textId="77777777" w:rsidR="00000000" w:rsidRDefault="00405D16">
            <w:pPr>
              <w:spacing w:after="100"/>
              <w:rPr>
                <w:rFonts w:eastAsia="Times New Roman"/>
                <w:sz w:val="20"/>
                <w:szCs w:val="20"/>
              </w:rPr>
            </w:pPr>
          </w:p>
        </w:tc>
        <w:tc>
          <w:tcPr>
            <w:tcW w:w="5" w:type="pct"/>
            <w:vAlign w:val="center"/>
            <w:hideMark/>
          </w:tcPr>
          <w:p w14:paraId="0B816D42" w14:textId="77777777" w:rsidR="00000000" w:rsidRDefault="00405D16">
            <w:pPr>
              <w:spacing w:after="100"/>
              <w:rPr>
                <w:rFonts w:eastAsia="Times New Roman"/>
                <w:sz w:val="20"/>
                <w:szCs w:val="20"/>
              </w:rPr>
            </w:pPr>
          </w:p>
        </w:tc>
        <w:tc>
          <w:tcPr>
            <w:tcW w:w="5" w:type="pct"/>
            <w:vAlign w:val="center"/>
            <w:hideMark/>
          </w:tcPr>
          <w:p w14:paraId="7F4922F6" w14:textId="77777777" w:rsidR="00000000" w:rsidRDefault="00405D16">
            <w:pPr>
              <w:spacing w:after="100"/>
              <w:rPr>
                <w:rFonts w:eastAsia="Times New Roman"/>
                <w:sz w:val="20"/>
                <w:szCs w:val="20"/>
              </w:rPr>
            </w:pPr>
          </w:p>
        </w:tc>
        <w:tc>
          <w:tcPr>
            <w:tcW w:w="26" w:type="pct"/>
            <w:vAlign w:val="center"/>
            <w:hideMark/>
          </w:tcPr>
          <w:p w14:paraId="33CF3B18" w14:textId="77777777" w:rsidR="00000000" w:rsidRDefault="00405D16">
            <w:pPr>
              <w:spacing w:after="100"/>
              <w:rPr>
                <w:rFonts w:eastAsia="Times New Roman"/>
                <w:sz w:val="20"/>
                <w:szCs w:val="20"/>
              </w:rPr>
            </w:pPr>
          </w:p>
        </w:tc>
        <w:tc>
          <w:tcPr>
            <w:tcW w:w="5" w:type="pct"/>
            <w:vAlign w:val="center"/>
            <w:hideMark/>
          </w:tcPr>
          <w:p w14:paraId="301AC7C9" w14:textId="77777777" w:rsidR="00000000" w:rsidRDefault="00405D16">
            <w:pPr>
              <w:spacing w:after="100"/>
              <w:rPr>
                <w:rFonts w:eastAsia="Times New Roman"/>
                <w:sz w:val="20"/>
                <w:szCs w:val="20"/>
              </w:rPr>
            </w:pPr>
          </w:p>
        </w:tc>
        <w:tc>
          <w:tcPr>
            <w:tcW w:w="50" w:type="pct"/>
            <w:vAlign w:val="center"/>
            <w:hideMark/>
          </w:tcPr>
          <w:p w14:paraId="0E6F291D" w14:textId="77777777" w:rsidR="00000000" w:rsidRDefault="00405D16">
            <w:pPr>
              <w:spacing w:after="100"/>
              <w:rPr>
                <w:rFonts w:eastAsia="Times New Roman"/>
                <w:sz w:val="20"/>
                <w:szCs w:val="20"/>
              </w:rPr>
            </w:pPr>
          </w:p>
        </w:tc>
        <w:tc>
          <w:tcPr>
            <w:tcW w:w="442" w:type="pct"/>
            <w:vAlign w:val="center"/>
            <w:hideMark/>
          </w:tcPr>
          <w:p w14:paraId="5988EEC3" w14:textId="77777777" w:rsidR="00000000" w:rsidRDefault="00405D16">
            <w:pPr>
              <w:spacing w:after="100"/>
              <w:rPr>
                <w:rFonts w:eastAsia="Times New Roman"/>
                <w:sz w:val="20"/>
                <w:szCs w:val="20"/>
              </w:rPr>
            </w:pPr>
          </w:p>
        </w:tc>
        <w:tc>
          <w:tcPr>
            <w:tcW w:w="5" w:type="pct"/>
            <w:vAlign w:val="center"/>
            <w:hideMark/>
          </w:tcPr>
          <w:p w14:paraId="753C95A3" w14:textId="77777777" w:rsidR="00000000" w:rsidRDefault="00405D16">
            <w:pPr>
              <w:spacing w:after="100"/>
              <w:rPr>
                <w:rFonts w:eastAsia="Times New Roman"/>
                <w:sz w:val="20"/>
                <w:szCs w:val="20"/>
              </w:rPr>
            </w:pPr>
          </w:p>
        </w:tc>
        <w:tc>
          <w:tcPr>
            <w:tcW w:w="5" w:type="pct"/>
            <w:vAlign w:val="center"/>
            <w:hideMark/>
          </w:tcPr>
          <w:p w14:paraId="30459683" w14:textId="77777777" w:rsidR="00000000" w:rsidRDefault="00405D16">
            <w:pPr>
              <w:spacing w:after="100"/>
              <w:rPr>
                <w:rFonts w:eastAsia="Times New Roman"/>
                <w:sz w:val="20"/>
                <w:szCs w:val="20"/>
              </w:rPr>
            </w:pPr>
          </w:p>
        </w:tc>
        <w:tc>
          <w:tcPr>
            <w:tcW w:w="26" w:type="pct"/>
            <w:vAlign w:val="center"/>
            <w:hideMark/>
          </w:tcPr>
          <w:p w14:paraId="78ABE2A6" w14:textId="77777777" w:rsidR="00000000" w:rsidRDefault="00405D16">
            <w:pPr>
              <w:spacing w:after="100"/>
              <w:rPr>
                <w:rFonts w:eastAsia="Times New Roman"/>
                <w:sz w:val="20"/>
                <w:szCs w:val="20"/>
              </w:rPr>
            </w:pPr>
          </w:p>
        </w:tc>
        <w:tc>
          <w:tcPr>
            <w:tcW w:w="5" w:type="pct"/>
            <w:vAlign w:val="center"/>
            <w:hideMark/>
          </w:tcPr>
          <w:p w14:paraId="7522E9F2" w14:textId="77777777" w:rsidR="00000000" w:rsidRDefault="00405D16">
            <w:pPr>
              <w:spacing w:after="100"/>
              <w:rPr>
                <w:rFonts w:eastAsia="Times New Roman"/>
                <w:sz w:val="20"/>
                <w:szCs w:val="20"/>
              </w:rPr>
            </w:pPr>
          </w:p>
        </w:tc>
        <w:tc>
          <w:tcPr>
            <w:tcW w:w="50" w:type="pct"/>
            <w:vAlign w:val="center"/>
            <w:hideMark/>
          </w:tcPr>
          <w:p w14:paraId="5775DBA1" w14:textId="77777777" w:rsidR="00000000" w:rsidRDefault="00405D16">
            <w:pPr>
              <w:spacing w:after="100"/>
              <w:rPr>
                <w:rFonts w:eastAsia="Times New Roman"/>
                <w:sz w:val="20"/>
                <w:szCs w:val="20"/>
              </w:rPr>
            </w:pPr>
          </w:p>
        </w:tc>
        <w:tc>
          <w:tcPr>
            <w:tcW w:w="442" w:type="pct"/>
            <w:vAlign w:val="center"/>
            <w:hideMark/>
          </w:tcPr>
          <w:p w14:paraId="5F778CEC" w14:textId="77777777" w:rsidR="00000000" w:rsidRDefault="00405D16">
            <w:pPr>
              <w:spacing w:after="100"/>
              <w:rPr>
                <w:rFonts w:eastAsia="Times New Roman"/>
                <w:sz w:val="20"/>
                <w:szCs w:val="20"/>
              </w:rPr>
            </w:pPr>
          </w:p>
        </w:tc>
        <w:tc>
          <w:tcPr>
            <w:tcW w:w="5" w:type="pct"/>
            <w:vAlign w:val="center"/>
            <w:hideMark/>
          </w:tcPr>
          <w:p w14:paraId="086626FC" w14:textId="77777777" w:rsidR="00000000" w:rsidRDefault="00405D16">
            <w:pPr>
              <w:spacing w:after="100"/>
              <w:rPr>
                <w:rFonts w:eastAsia="Times New Roman"/>
                <w:sz w:val="20"/>
                <w:szCs w:val="20"/>
              </w:rPr>
            </w:pPr>
          </w:p>
        </w:tc>
        <w:tc>
          <w:tcPr>
            <w:tcW w:w="5" w:type="pct"/>
            <w:vAlign w:val="center"/>
            <w:hideMark/>
          </w:tcPr>
          <w:p w14:paraId="51F23E94" w14:textId="77777777" w:rsidR="00000000" w:rsidRDefault="00405D16">
            <w:pPr>
              <w:spacing w:after="100"/>
              <w:rPr>
                <w:rFonts w:eastAsia="Times New Roman"/>
                <w:sz w:val="20"/>
                <w:szCs w:val="20"/>
              </w:rPr>
            </w:pPr>
          </w:p>
        </w:tc>
        <w:tc>
          <w:tcPr>
            <w:tcW w:w="26" w:type="pct"/>
            <w:vAlign w:val="center"/>
            <w:hideMark/>
          </w:tcPr>
          <w:p w14:paraId="555793F9" w14:textId="77777777" w:rsidR="00000000" w:rsidRDefault="00405D16">
            <w:pPr>
              <w:spacing w:after="100"/>
              <w:rPr>
                <w:rFonts w:eastAsia="Times New Roman"/>
                <w:sz w:val="20"/>
                <w:szCs w:val="20"/>
              </w:rPr>
            </w:pPr>
          </w:p>
        </w:tc>
        <w:tc>
          <w:tcPr>
            <w:tcW w:w="5" w:type="pct"/>
            <w:vAlign w:val="center"/>
            <w:hideMark/>
          </w:tcPr>
          <w:p w14:paraId="1BD499FE" w14:textId="77777777" w:rsidR="00000000" w:rsidRDefault="00405D16">
            <w:pPr>
              <w:spacing w:after="100"/>
              <w:rPr>
                <w:rFonts w:eastAsia="Times New Roman"/>
                <w:sz w:val="20"/>
                <w:szCs w:val="20"/>
              </w:rPr>
            </w:pPr>
          </w:p>
        </w:tc>
        <w:tc>
          <w:tcPr>
            <w:tcW w:w="50" w:type="pct"/>
            <w:vAlign w:val="center"/>
            <w:hideMark/>
          </w:tcPr>
          <w:p w14:paraId="46245348" w14:textId="77777777" w:rsidR="00000000" w:rsidRDefault="00405D16">
            <w:pPr>
              <w:spacing w:after="100"/>
              <w:rPr>
                <w:rFonts w:eastAsia="Times New Roman"/>
                <w:sz w:val="20"/>
                <w:szCs w:val="20"/>
              </w:rPr>
            </w:pPr>
          </w:p>
        </w:tc>
        <w:tc>
          <w:tcPr>
            <w:tcW w:w="442" w:type="pct"/>
            <w:vAlign w:val="center"/>
            <w:hideMark/>
          </w:tcPr>
          <w:p w14:paraId="7A9BB8DC" w14:textId="77777777" w:rsidR="00000000" w:rsidRDefault="00405D16">
            <w:pPr>
              <w:spacing w:after="100"/>
              <w:rPr>
                <w:rFonts w:eastAsia="Times New Roman"/>
                <w:sz w:val="20"/>
                <w:szCs w:val="20"/>
              </w:rPr>
            </w:pPr>
          </w:p>
        </w:tc>
        <w:tc>
          <w:tcPr>
            <w:tcW w:w="5" w:type="pct"/>
            <w:vAlign w:val="center"/>
            <w:hideMark/>
          </w:tcPr>
          <w:p w14:paraId="430FC99B" w14:textId="77777777" w:rsidR="00000000" w:rsidRDefault="00405D16">
            <w:pPr>
              <w:spacing w:after="100"/>
              <w:rPr>
                <w:rFonts w:eastAsia="Times New Roman"/>
                <w:sz w:val="20"/>
                <w:szCs w:val="20"/>
              </w:rPr>
            </w:pPr>
          </w:p>
        </w:tc>
        <w:tc>
          <w:tcPr>
            <w:tcW w:w="5" w:type="pct"/>
            <w:vAlign w:val="center"/>
            <w:hideMark/>
          </w:tcPr>
          <w:p w14:paraId="4FB6188C" w14:textId="77777777" w:rsidR="00000000" w:rsidRDefault="00405D16">
            <w:pPr>
              <w:spacing w:after="100"/>
              <w:rPr>
                <w:rFonts w:eastAsia="Times New Roman"/>
                <w:sz w:val="20"/>
                <w:szCs w:val="20"/>
              </w:rPr>
            </w:pPr>
          </w:p>
        </w:tc>
        <w:tc>
          <w:tcPr>
            <w:tcW w:w="26" w:type="pct"/>
            <w:vAlign w:val="center"/>
            <w:hideMark/>
          </w:tcPr>
          <w:p w14:paraId="17D89984" w14:textId="77777777" w:rsidR="00000000" w:rsidRDefault="00405D16">
            <w:pPr>
              <w:spacing w:after="100"/>
              <w:rPr>
                <w:rFonts w:eastAsia="Times New Roman"/>
                <w:sz w:val="20"/>
                <w:szCs w:val="20"/>
              </w:rPr>
            </w:pPr>
          </w:p>
        </w:tc>
        <w:tc>
          <w:tcPr>
            <w:tcW w:w="5" w:type="pct"/>
            <w:vAlign w:val="center"/>
            <w:hideMark/>
          </w:tcPr>
          <w:p w14:paraId="6B860A95" w14:textId="77777777" w:rsidR="00000000" w:rsidRDefault="00405D16">
            <w:pPr>
              <w:spacing w:after="100"/>
              <w:rPr>
                <w:rFonts w:eastAsia="Times New Roman"/>
                <w:sz w:val="20"/>
                <w:szCs w:val="20"/>
              </w:rPr>
            </w:pPr>
          </w:p>
        </w:tc>
        <w:tc>
          <w:tcPr>
            <w:tcW w:w="50" w:type="pct"/>
            <w:vAlign w:val="center"/>
            <w:hideMark/>
          </w:tcPr>
          <w:p w14:paraId="1050E7B9" w14:textId="77777777" w:rsidR="00000000" w:rsidRDefault="00405D16">
            <w:pPr>
              <w:spacing w:after="100"/>
              <w:rPr>
                <w:rFonts w:eastAsia="Times New Roman"/>
                <w:sz w:val="20"/>
                <w:szCs w:val="20"/>
              </w:rPr>
            </w:pPr>
          </w:p>
        </w:tc>
        <w:tc>
          <w:tcPr>
            <w:tcW w:w="442" w:type="pct"/>
            <w:vAlign w:val="center"/>
            <w:hideMark/>
          </w:tcPr>
          <w:p w14:paraId="0AD665C6" w14:textId="77777777" w:rsidR="00000000" w:rsidRDefault="00405D16">
            <w:pPr>
              <w:spacing w:after="100"/>
              <w:rPr>
                <w:rFonts w:eastAsia="Times New Roman"/>
                <w:sz w:val="20"/>
                <w:szCs w:val="20"/>
              </w:rPr>
            </w:pPr>
          </w:p>
        </w:tc>
        <w:tc>
          <w:tcPr>
            <w:tcW w:w="5" w:type="pct"/>
            <w:vAlign w:val="center"/>
            <w:hideMark/>
          </w:tcPr>
          <w:p w14:paraId="5E0B0DEE" w14:textId="77777777" w:rsidR="00000000" w:rsidRDefault="00405D16">
            <w:pPr>
              <w:spacing w:after="100"/>
              <w:rPr>
                <w:rFonts w:eastAsia="Times New Roman"/>
                <w:sz w:val="20"/>
                <w:szCs w:val="20"/>
              </w:rPr>
            </w:pPr>
          </w:p>
        </w:tc>
        <w:tc>
          <w:tcPr>
            <w:tcW w:w="5" w:type="pct"/>
            <w:vAlign w:val="center"/>
            <w:hideMark/>
          </w:tcPr>
          <w:p w14:paraId="69225BB8" w14:textId="77777777" w:rsidR="00000000" w:rsidRDefault="00405D16">
            <w:pPr>
              <w:spacing w:after="100"/>
              <w:rPr>
                <w:rFonts w:eastAsia="Times New Roman"/>
                <w:sz w:val="20"/>
                <w:szCs w:val="20"/>
              </w:rPr>
            </w:pPr>
          </w:p>
        </w:tc>
        <w:tc>
          <w:tcPr>
            <w:tcW w:w="26" w:type="pct"/>
            <w:vAlign w:val="center"/>
            <w:hideMark/>
          </w:tcPr>
          <w:p w14:paraId="66259023" w14:textId="77777777" w:rsidR="00000000" w:rsidRDefault="00405D16">
            <w:pPr>
              <w:spacing w:after="100"/>
              <w:rPr>
                <w:rFonts w:eastAsia="Times New Roman"/>
                <w:sz w:val="20"/>
                <w:szCs w:val="20"/>
              </w:rPr>
            </w:pPr>
          </w:p>
        </w:tc>
        <w:tc>
          <w:tcPr>
            <w:tcW w:w="5" w:type="pct"/>
            <w:vAlign w:val="center"/>
            <w:hideMark/>
          </w:tcPr>
          <w:p w14:paraId="4A1776F1" w14:textId="77777777" w:rsidR="00000000" w:rsidRDefault="00405D16">
            <w:pPr>
              <w:spacing w:after="100"/>
              <w:rPr>
                <w:rFonts w:eastAsia="Times New Roman"/>
                <w:sz w:val="20"/>
                <w:szCs w:val="20"/>
              </w:rPr>
            </w:pPr>
          </w:p>
        </w:tc>
        <w:tc>
          <w:tcPr>
            <w:tcW w:w="50" w:type="pct"/>
            <w:vAlign w:val="center"/>
            <w:hideMark/>
          </w:tcPr>
          <w:p w14:paraId="013AC86E" w14:textId="77777777" w:rsidR="00000000" w:rsidRDefault="00405D16">
            <w:pPr>
              <w:spacing w:after="100"/>
              <w:rPr>
                <w:rFonts w:eastAsia="Times New Roman"/>
                <w:sz w:val="20"/>
                <w:szCs w:val="20"/>
              </w:rPr>
            </w:pPr>
          </w:p>
        </w:tc>
        <w:tc>
          <w:tcPr>
            <w:tcW w:w="442" w:type="pct"/>
            <w:vAlign w:val="center"/>
            <w:hideMark/>
          </w:tcPr>
          <w:p w14:paraId="4727E560" w14:textId="77777777" w:rsidR="00000000" w:rsidRDefault="00405D16">
            <w:pPr>
              <w:spacing w:after="100"/>
              <w:rPr>
                <w:rFonts w:eastAsia="Times New Roman"/>
                <w:sz w:val="20"/>
                <w:szCs w:val="20"/>
              </w:rPr>
            </w:pPr>
          </w:p>
        </w:tc>
        <w:tc>
          <w:tcPr>
            <w:tcW w:w="5" w:type="pct"/>
            <w:vAlign w:val="center"/>
            <w:hideMark/>
          </w:tcPr>
          <w:p w14:paraId="60975D4E" w14:textId="77777777" w:rsidR="00000000" w:rsidRDefault="00405D16">
            <w:pPr>
              <w:spacing w:after="100"/>
              <w:rPr>
                <w:rFonts w:eastAsia="Times New Roman"/>
                <w:sz w:val="20"/>
                <w:szCs w:val="20"/>
              </w:rPr>
            </w:pPr>
          </w:p>
        </w:tc>
        <w:tc>
          <w:tcPr>
            <w:tcW w:w="5" w:type="pct"/>
            <w:vAlign w:val="center"/>
            <w:hideMark/>
          </w:tcPr>
          <w:p w14:paraId="29E35EF1" w14:textId="77777777" w:rsidR="00000000" w:rsidRDefault="00405D16">
            <w:pPr>
              <w:spacing w:after="100"/>
              <w:rPr>
                <w:rFonts w:eastAsia="Times New Roman"/>
                <w:sz w:val="20"/>
                <w:szCs w:val="20"/>
              </w:rPr>
            </w:pPr>
          </w:p>
        </w:tc>
        <w:tc>
          <w:tcPr>
            <w:tcW w:w="26" w:type="pct"/>
            <w:vAlign w:val="center"/>
            <w:hideMark/>
          </w:tcPr>
          <w:p w14:paraId="12BE02B8" w14:textId="77777777" w:rsidR="00000000" w:rsidRDefault="00405D16">
            <w:pPr>
              <w:spacing w:after="100"/>
              <w:rPr>
                <w:rFonts w:eastAsia="Times New Roman"/>
                <w:sz w:val="20"/>
                <w:szCs w:val="20"/>
              </w:rPr>
            </w:pPr>
          </w:p>
        </w:tc>
        <w:tc>
          <w:tcPr>
            <w:tcW w:w="5" w:type="pct"/>
            <w:vAlign w:val="center"/>
            <w:hideMark/>
          </w:tcPr>
          <w:p w14:paraId="1E7B050B" w14:textId="77777777" w:rsidR="00000000" w:rsidRDefault="00405D16">
            <w:pPr>
              <w:spacing w:after="100"/>
              <w:rPr>
                <w:rFonts w:eastAsia="Times New Roman"/>
                <w:sz w:val="20"/>
                <w:szCs w:val="20"/>
              </w:rPr>
            </w:pPr>
          </w:p>
        </w:tc>
        <w:tc>
          <w:tcPr>
            <w:tcW w:w="50" w:type="pct"/>
            <w:vAlign w:val="center"/>
            <w:hideMark/>
          </w:tcPr>
          <w:p w14:paraId="707D3350" w14:textId="77777777" w:rsidR="00000000" w:rsidRDefault="00405D16">
            <w:pPr>
              <w:spacing w:after="100"/>
              <w:rPr>
                <w:rFonts w:eastAsia="Times New Roman"/>
                <w:sz w:val="20"/>
                <w:szCs w:val="20"/>
              </w:rPr>
            </w:pPr>
          </w:p>
        </w:tc>
        <w:tc>
          <w:tcPr>
            <w:tcW w:w="442" w:type="pct"/>
            <w:vAlign w:val="center"/>
            <w:hideMark/>
          </w:tcPr>
          <w:p w14:paraId="0E26665F" w14:textId="77777777" w:rsidR="00000000" w:rsidRDefault="00405D16">
            <w:pPr>
              <w:spacing w:after="100"/>
              <w:rPr>
                <w:rFonts w:eastAsia="Times New Roman"/>
                <w:sz w:val="20"/>
                <w:szCs w:val="20"/>
              </w:rPr>
            </w:pPr>
          </w:p>
        </w:tc>
        <w:tc>
          <w:tcPr>
            <w:tcW w:w="5" w:type="pct"/>
            <w:vAlign w:val="center"/>
            <w:hideMark/>
          </w:tcPr>
          <w:p w14:paraId="723209F9" w14:textId="77777777" w:rsidR="00000000" w:rsidRDefault="00405D16">
            <w:pPr>
              <w:spacing w:after="100"/>
              <w:rPr>
                <w:rFonts w:eastAsia="Times New Roman"/>
                <w:sz w:val="20"/>
                <w:szCs w:val="20"/>
              </w:rPr>
            </w:pPr>
          </w:p>
        </w:tc>
        <w:tc>
          <w:tcPr>
            <w:tcW w:w="0" w:type="auto"/>
            <w:gridSpan w:val="3"/>
            <w:vAlign w:val="center"/>
            <w:hideMark/>
          </w:tcPr>
          <w:p w14:paraId="04B58FE5" w14:textId="77777777" w:rsidR="00000000" w:rsidRDefault="00405D16">
            <w:pPr>
              <w:spacing w:after="100"/>
              <w:rPr>
                <w:rFonts w:eastAsia="Times New Roman"/>
                <w:sz w:val="20"/>
                <w:szCs w:val="20"/>
              </w:rPr>
            </w:pPr>
          </w:p>
        </w:tc>
        <w:tc>
          <w:tcPr>
            <w:tcW w:w="0" w:type="auto"/>
            <w:gridSpan w:val="3"/>
            <w:vAlign w:val="center"/>
            <w:hideMark/>
          </w:tcPr>
          <w:p w14:paraId="445DF02D" w14:textId="77777777" w:rsidR="00000000" w:rsidRDefault="00405D16">
            <w:pPr>
              <w:spacing w:after="100"/>
              <w:rPr>
                <w:rFonts w:eastAsia="Times New Roman"/>
                <w:sz w:val="20"/>
                <w:szCs w:val="20"/>
              </w:rPr>
            </w:pPr>
          </w:p>
        </w:tc>
        <w:tc>
          <w:tcPr>
            <w:tcW w:w="0" w:type="auto"/>
            <w:gridSpan w:val="3"/>
            <w:vAlign w:val="center"/>
            <w:hideMark/>
          </w:tcPr>
          <w:p w14:paraId="62D3B9B9" w14:textId="77777777" w:rsidR="00000000" w:rsidRDefault="00405D16">
            <w:pPr>
              <w:spacing w:after="100"/>
              <w:rPr>
                <w:rFonts w:eastAsia="Times New Roman"/>
                <w:sz w:val="20"/>
                <w:szCs w:val="20"/>
              </w:rPr>
            </w:pPr>
          </w:p>
        </w:tc>
        <w:tc>
          <w:tcPr>
            <w:tcW w:w="0" w:type="auto"/>
            <w:gridSpan w:val="3"/>
            <w:vAlign w:val="center"/>
            <w:hideMark/>
          </w:tcPr>
          <w:p w14:paraId="6F88E411" w14:textId="77777777" w:rsidR="00000000" w:rsidRDefault="00405D16">
            <w:pPr>
              <w:spacing w:after="100"/>
              <w:rPr>
                <w:rFonts w:eastAsia="Times New Roman"/>
                <w:sz w:val="20"/>
                <w:szCs w:val="20"/>
              </w:rPr>
            </w:pPr>
          </w:p>
        </w:tc>
        <w:tc>
          <w:tcPr>
            <w:tcW w:w="0" w:type="auto"/>
            <w:gridSpan w:val="3"/>
            <w:vAlign w:val="center"/>
            <w:hideMark/>
          </w:tcPr>
          <w:p w14:paraId="71A255A9" w14:textId="77777777" w:rsidR="00000000" w:rsidRDefault="00405D16">
            <w:pPr>
              <w:spacing w:after="100"/>
              <w:rPr>
                <w:rFonts w:eastAsia="Times New Roman"/>
                <w:sz w:val="20"/>
                <w:szCs w:val="20"/>
              </w:rPr>
            </w:pPr>
          </w:p>
        </w:tc>
        <w:tc>
          <w:tcPr>
            <w:tcW w:w="0" w:type="auto"/>
            <w:gridSpan w:val="3"/>
            <w:vAlign w:val="center"/>
            <w:hideMark/>
          </w:tcPr>
          <w:p w14:paraId="7BBD2D67" w14:textId="77777777" w:rsidR="00000000" w:rsidRDefault="00405D16">
            <w:pPr>
              <w:spacing w:after="100"/>
              <w:rPr>
                <w:rFonts w:eastAsia="Times New Roman"/>
                <w:sz w:val="20"/>
                <w:szCs w:val="20"/>
              </w:rPr>
            </w:pPr>
          </w:p>
        </w:tc>
      </w:tr>
      <w:tr w:rsidR="00000000" w14:paraId="34369C21" w14:textId="77777777">
        <w:trPr>
          <w:divId w:val="1009260866"/>
        </w:trPr>
        <w:tc>
          <w:tcPr>
            <w:tcW w:w="0" w:type="auto"/>
            <w:gridSpan w:val="3"/>
            <w:tcMar>
              <w:top w:w="0" w:type="dxa"/>
              <w:left w:w="20" w:type="dxa"/>
              <w:bottom w:w="0" w:type="dxa"/>
              <w:right w:w="20" w:type="dxa"/>
            </w:tcMar>
            <w:vAlign w:val="center"/>
            <w:hideMark/>
          </w:tcPr>
          <w:p w14:paraId="0DF9F873"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9BD00E2" w14:textId="77777777" w:rsidR="00000000" w:rsidRDefault="00405D16">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center"/>
            <w:hideMark/>
          </w:tcPr>
          <w:p w14:paraId="72D7C546" w14:textId="77777777" w:rsidR="00000000" w:rsidRDefault="00405D16">
            <w:pPr>
              <w:spacing w:after="100"/>
              <w:jc w:val="center"/>
              <w:rPr>
                <w:rFonts w:eastAsia="Times New Roman"/>
              </w:rPr>
            </w:pPr>
            <w:r>
              <w:rPr>
                <w:rFonts w:eastAsia="Times New Roman"/>
                <w:b/>
                <w:bCs/>
                <w:color w:val="000000"/>
                <w:sz w:val="16"/>
                <w:szCs w:val="16"/>
              </w:rPr>
              <w:t>Three Months Ended September 30,</w:t>
            </w:r>
          </w:p>
        </w:tc>
        <w:tc>
          <w:tcPr>
            <w:tcW w:w="0" w:type="auto"/>
            <w:vAlign w:val="center"/>
            <w:hideMark/>
          </w:tcPr>
          <w:p w14:paraId="5AB81334" w14:textId="77777777" w:rsidR="00000000" w:rsidRDefault="00405D16">
            <w:pPr>
              <w:spacing w:after="100"/>
              <w:rPr>
                <w:rFonts w:eastAsia="Times New Roman"/>
                <w:sz w:val="20"/>
                <w:szCs w:val="20"/>
              </w:rPr>
            </w:pPr>
          </w:p>
        </w:tc>
        <w:tc>
          <w:tcPr>
            <w:tcW w:w="0" w:type="auto"/>
            <w:vAlign w:val="center"/>
            <w:hideMark/>
          </w:tcPr>
          <w:p w14:paraId="62C586A2" w14:textId="77777777" w:rsidR="00000000" w:rsidRDefault="00405D16">
            <w:pPr>
              <w:spacing w:after="100"/>
              <w:rPr>
                <w:rFonts w:eastAsia="Times New Roman"/>
                <w:sz w:val="20"/>
                <w:szCs w:val="20"/>
              </w:rPr>
            </w:pPr>
          </w:p>
        </w:tc>
        <w:tc>
          <w:tcPr>
            <w:tcW w:w="0" w:type="auto"/>
            <w:vAlign w:val="center"/>
            <w:hideMark/>
          </w:tcPr>
          <w:p w14:paraId="4ECADF66" w14:textId="77777777" w:rsidR="00000000" w:rsidRDefault="00405D16">
            <w:pPr>
              <w:spacing w:after="100"/>
              <w:rPr>
                <w:rFonts w:eastAsia="Times New Roman"/>
                <w:sz w:val="20"/>
                <w:szCs w:val="20"/>
              </w:rPr>
            </w:pPr>
          </w:p>
        </w:tc>
        <w:tc>
          <w:tcPr>
            <w:tcW w:w="0" w:type="auto"/>
            <w:vAlign w:val="center"/>
            <w:hideMark/>
          </w:tcPr>
          <w:p w14:paraId="57E93122" w14:textId="77777777" w:rsidR="00000000" w:rsidRDefault="00405D16">
            <w:pPr>
              <w:spacing w:after="100"/>
              <w:rPr>
                <w:rFonts w:eastAsia="Times New Roman"/>
                <w:sz w:val="20"/>
                <w:szCs w:val="20"/>
              </w:rPr>
            </w:pPr>
          </w:p>
        </w:tc>
        <w:tc>
          <w:tcPr>
            <w:tcW w:w="0" w:type="auto"/>
            <w:vAlign w:val="center"/>
            <w:hideMark/>
          </w:tcPr>
          <w:p w14:paraId="280EC077" w14:textId="77777777" w:rsidR="00000000" w:rsidRDefault="00405D16">
            <w:pPr>
              <w:spacing w:after="100"/>
              <w:rPr>
                <w:rFonts w:eastAsia="Times New Roman"/>
                <w:sz w:val="20"/>
                <w:szCs w:val="20"/>
              </w:rPr>
            </w:pPr>
          </w:p>
        </w:tc>
        <w:tc>
          <w:tcPr>
            <w:tcW w:w="0" w:type="auto"/>
            <w:vAlign w:val="center"/>
            <w:hideMark/>
          </w:tcPr>
          <w:p w14:paraId="58FA6A46" w14:textId="77777777" w:rsidR="00000000" w:rsidRDefault="00405D16">
            <w:pPr>
              <w:spacing w:after="100"/>
              <w:rPr>
                <w:rFonts w:eastAsia="Times New Roman"/>
                <w:sz w:val="20"/>
                <w:szCs w:val="20"/>
              </w:rPr>
            </w:pPr>
          </w:p>
        </w:tc>
        <w:tc>
          <w:tcPr>
            <w:tcW w:w="0" w:type="auto"/>
            <w:vAlign w:val="center"/>
            <w:hideMark/>
          </w:tcPr>
          <w:p w14:paraId="19CBDF7E" w14:textId="77777777" w:rsidR="00000000" w:rsidRDefault="00405D16">
            <w:pPr>
              <w:spacing w:after="100"/>
              <w:rPr>
                <w:rFonts w:eastAsia="Times New Roman"/>
                <w:sz w:val="20"/>
                <w:szCs w:val="20"/>
              </w:rPr>
            </w:pPr>
          </w:p>
        </w:tc>
        <w:tc>
          <w:tcPr>
            <w:tcW w:w="0" w:type="auto"/>
            <w:vAlign w:val="center"/>
            <w:hideMark/>
          </w:tcPr>
          <w:p w14:paraId="3D499301" w14:textId="77777777" w:rsidR="00000000" w:rsidRDefault="00405D16">
            <w:pPr>
              <w:spacing w:after="100"/>
              <w:rPr>
                <w:rFonts w:eastAsia="Times New Roman"/>
                <w:sz w:val="20"/>
                <w:szCs w:val="20"/>
              </w:rPr>
            </w:pPr>
          </w:p>
        </w:tc>
        <w:tc>
          <w:tcPr>
            <w:tcW w:w="0" w:type="auto"/>
            <w:vAlign w:val="center"/>
            <w:hideMark/>
          </w:tcPr>
          <w:p w14:paraId="4A9969F9" w14:textId="77777777" w:rsidR="00000000" w:rsidRDefault="00405D16">
            <w:pPr>
              <w:spacing w:after="100"/>
              <w:rPr>
                <w:rFonts w:eastAsia="Times New Roman"/>
                <w:sz w:val="20"/>
                <w:szCs w:val="20"/>
              </w:rPr>
            </w:pPr>
          </w:p>
        </w:tc>
        <w:tc>
          <w:tcPr>
            <w:tcW w:w="0" w:type="auto"/>
            <w:vAlign w:val="center"/>
            <w:hideMark/>
          </w:tcPr>
          <w:p w14:paraId="7A8362C6" w14:textId="77777777" w:rsidR="00000000" w:rsidRDefault="00405D16">
            <w:pPr>
              <w:spacing w:after="100"/>
              <w:rPr>
                <w:rFonts w:eastAsia="Times New Roman"/>
                <w:sz w:val="20"/>
                <w:szCs w:val="20"/>
              </w:rPr>
            </w:pPr>
          </w:p>
        </w:tc>
        <w:tc>
          <w:tcPr>
            <w:tcW w:w="0" w:type="auto"/>
            <w:vAlign w:val="center"/>
            <w:hideMark/>
          </w:tcPr>
          <w:p w14:paraId="1D7146A9" w14:textId="77777777" w:rsidR="00000000" w:rsidRDefault="00405D16">
            <w:pPr>
              <w:spacing w:after="100"/>
              <w:rPr>
                <w:rFonts w:eastAsia="Times New Roman"/>
                <w:sz w:val="20"/>
                <w:szCs w:val="20"/>
              </w:rPr>
            </w:pPr>
          </w:p>
        </w:tc>
        <w:tc>
          <w:tcPr>
            <w:tcW w:w="0" w:type="auto"/>
            <w:vAlign w:val="center"/>
            <w:hideMark/>
          </w:tcPr>
          <w:p w14:paraId="1DB07745" w14:textId="77777777" w:rsidR="00000000" w:rsidRDefault="00405D16">
            <w:pPr>
              <w:spacing w:after="100"/>
              <w:rPr>
                <w:rFonts w:eastAsia="Times New Roman"/>
                <w:sz w:val="20"/>
                <w:szCs w:val="20"/>
              </w:rPr>
            </w:pPr>
          </w:p>
        </w:tc>
        <w:tc>
          <w:tcPr>
            <w:tcW w:w="0" w:type="auto"/>
            <w:vAlign w:val="center"/>
            <w:hideMark/>
          </w:tcPr>
          <w:p w14:paraId="15DC5C8C" w14:textId="77777777" w:rsidR="00000000" w:rsidRDefault="00405D16">
            <w:pPr>
              <w:spacing w:after="100"/>
              <w:rPr>
                <w:rFonts w:eastAsia="Times New Roman"/>
                <w:sz w:val="20"/>
                <w:szCs w:val="20"/>
              </w:rPr>
            </w:pPr>
          </w:p>
        </w:tc>
        <w:tc>
          <w:tcPr>
            <w:tcW w:w="0" w:type="auto"/>
            <w:vAlign w:val="center"/>
            <w:hideMark/>
          </w:tcPr>
          <w:p w14:paraId="41D72F77" w14:textId="77777777" w:rsidR="00000000" w:rsidRDefault="00405D16">
            <w:pPr>
              <w:spacing w:after="100"/>
              <w:rPr>
                <w:rFonts w:eastAsia="Times New Roman"/>
                <w:sz w:val="20"/>
                <w:szCs w:val="20"/>
              </w:rPr>
            </w:pPr>
          </w:p>
        </w:tc>
        <w:tc>
          <w:tcPr>
            <w:tcW w:w="0" w:type="auto"/>
            <w:vAlign w:val="center"/>
            <w:hideMark/>
          </w:tcPr>
          <w:p w14:paraId="7744C271" w14:textId="77777777" w:rsidR="00000000" w:rsidRDefault="00405D16">
            <w:pPr>
              <w:spacing w:after="100"/>
              <w:rPr>
                <w:rFonts w:eastAsia="Times New Roman"/>
                <w:sz w:val="20"/>
                <w:szCs w:val="20"/>
              </w:rPr>
            </w:pPr>
          </w:p>
        </w:tc>
        <w:tc>
          <w:tcPr>
            <w:tcW w:w="0" w:type="auto"/>
            <w:vAlign w:val="center"/>
            <w:hideMark/>
          </w:tcPr>
          <w:p w14:paraId="23E45D91" w14:textId="77777777" w:rsidR="00000000" w:rsidRDefault="00405D16">
            <w:pPr>
              <w:spacing w:after="100"/>
              <w:rPr>
                <w:rFonts w:eastAsia="Times New Roman"/>
                <w:sz w:val="20"/>
                <w:szCs w:val="20"/>
              </w:rPr>
            </w:pPr>
          </w:p>
        </w:tc>
        <w:tc>
          <w:tcPr>
            <w:tcW w:w="0" w:type="auto"/>
            <w:vAlign w:val="center"/>
            <w:hideMark/>
          </w:tcPr>
          <w:p w14:paraId="0AE6488A" w14:textId="77777777" w:rsidR="00000000" w:rsidRDefault="00405D16">
            <w:pPr>
              <w:spacing w:after="100"/>
              <w:rPr>
                <w:rFonts w:eastAsia="Times New Roman"/>
                <w:sz w:val="20"/>
                <w:szCs w:val="20"/>
              </w:rPr>
            </w:pPr>
          </w:p>
        </w:tc>
        <w:tc>
          <w:tcPr>
            <w:tcW w:w="0" w:type="auto"/>
            <w:vAlign w:val="center"/>
            <w:hideMark/>
          </w:tcPr>
          <w:p w14:paraId="3F7986D6" w14:textId="77777777" w:rsidR="00000000" w:rsidRDefault="00405D16">
            <w:pPr>
              <w:spacing w:after="100"/>
              <w:rPr>
                <w:rFonts w:eastAsia="Times New Roman"/>
                <w:sz w:val="20"/>
                <w:szCs w:val="20"/>
              </w:rPr>
            </w:pPr>
          </w:p>
        </w:tc>
      </w:tr>
      <w:tr w:rsidR="00000000" w14:paraId="72CA0590" w14:textId="77777777">
        <w:trPr>
          <w:divId w:val="1009260866"/>
        </w:trPr>
        <w:tc>
          <w:tcPr>
            <w:tcW w:w="0" w:type="auto"/>
            <w:gridSpan w:val="3"/>
            <w:tcMar>
              <w:top w:w="0" w:type="dxa"/>
              <w:left w:w="20" w:type="dxa"/>
              <w:bottom w:w="0" w:type="dxa"/>
              <w:right w:w="20" w:type="dxa"/>
            </w:tcMar>
            <w:vAlign w:val="center"/>
            <w:hideMark/>
          </w:tcPr>
          <w:p w14:paraId="2E107668" w14:textId="77777777" w:rsidR="00000000" w:rsidRDefault="00405D1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89B3425" w14:textId="77777777" w:rsidR="00000000" w:rsidRDefault="00405D16">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center"/>
            <w:hideMark/>
          </w:tcPr>
          <w:p w14:paraId="052C4A69"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0F2F3EE4" w14:textId="77777777" w:rsidR="00000000" w:rsidRDefault="00405D16">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center"/>
            <w:hideMark/>
          </w:tcPr>
          <w:p w14:paraId="228C72C4"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gridSpan w:val="3"/>
            <w:vAlign w:val="center"/>
            <w:hideMark/>
          </w:tcPr>
          <w:p w14:paraId="011B9D0D" w14:textId="77777777" w:rsidR="00000000" w:rsidRDefault="00405D16">
            <w:pPr>
              <w:spacing w:after="100"/>
              <w:jc w:val="center"/>
              <w:rPr>
                <w:rFonts w:eastAsia="Times New Roman"/>
              </w:rPr>
            </w:pPr>
          </w:p>
        </w:tc>
        <w:tc>
          <w:tcPr>
            <w:tcW w:w="0" w:type="auto"/>
            <w:gridSpan w:val="3"/>
            <w:vAlign w:val="center"/>
            <w:hideMark/>
          </w:tcPr>
          <w:p w14:paraId="1B64B904" w14:textId="77777777" w:rsidR="00000000" w:rsidRDefault="00405D16">
            <w:pPr>
              <w:spacing w:after="100"/>
              <w:rPr>
                <w:rFonts w:eastAsia="Times New Roman"/>
                <w:sz w:val="20"/>
                <w:szCs w:val="20"/>
              </w:rPr>
            </w:pPr>
          </w:p>
        </w:tc>
        <w:tc>
          <w:tcPr>
            <w:tcW w:w="0" w:type="auto"/>
            <w:vAlign w:val="center"/>
            <w:hideMark/>
          </w:tcPr>
          <w:p w14:paraId="021A9843" w14:textId="77777777" w:rsidR="00000000" w:rsidRDefault="00405D16">
            <w:pPr>
              <w:spacing w:after="100"/>
              <w:rPr>
                <w:rFonts w:eastAsia="Times New Roman"/>
                <w:sz w:val="20"/>
                <w:szCs w:val="20"/>
              </w:rPr>
            </w:pPr>
          </w:p>
        </w:tc>
        <w:tc>
          <w:tcPr>
            <w:tcW w:w="0" w:type="auto"/>
            <w:vAlign w:val="center"/>
            <w:hideMark/>
          </w:tcPr>
          <w:p w14:paraId="514FFE18" w14:textId="77777777" w:rsidR="00000000" w:rsidRDefault="00405D16">
            <w:pPr>
              <w:spacing w:after="100"/>
              <w:rPr>
                <w:rFonts w:eastAsia="Times New Roman"/>
                <w:sz w:val="20"/>
                <w:szCs w:val="20"/>
              </w:rPr>
            </w:pPr>
          </w:p>
        </w:tc>
        <w:tc>
          <w:tcPr>
            <w:tcW w:w="0" w:type="auto"/>
            <w:vAlign w:val="center"/>
            <w:hideMark/>
          </w:tcPr>
          <w:p w14:paraId="04D3C650" w14:textId="77777777" w:rsidR="00000000" w:rsidRDefault="00405D16">
            <w:pPr>
              <w:spacing w:after="100"/>
              <w:rPr>
                <w:rFonts w:eastAsia="Times New Roman"/>
                <w:sz w:val="20"/>
                <w:szCs w:val="20"/>
              </w:rPr>
            </w:pPr>
          </w:p>
        </w:tc>
        <w:tc>
          <w:tcPr>
            <w:tcW w:w="0" w:type="auto"/>
            <w:vAlign w:val="center"/>
            <w:hideMark/>
          </w:tcPr>
          <w:p w14:paraId="4B6BA6DB" w14:textId="77777777" w:rsidR="00000000" w:rsidRDefault="00405D16">
            <w:pPr>
              <w:spacing w:after="100"/>
              <w:rPr>
                <w:rFonts w:eastAsia="Times New Roman"/>
                <w:sz w:val="20"/>
                <w:szCs w:val="20"/>
              </w:rPr>
            </w:pPr>
          </w:p>
        </w:tc>
        <w:tc>
          <w:tcPr>
            <w:tcW w:w="0" w:type="auto"/>
            <w:vAlign w:val="center"/>
            <w:hideMark/>
          </w:tcPr>
          <w:p w14:paraId="7BECF772" w14:textId="77777777" w:rsidR="00000000" w:rsidRDefault="00405D16">
            <w:pPr>
              <w:spacing w:after="100"/>
              <w:rPr>
                <w:rFonts w:eastAsia="Times New Roman"/>
                <w:sz w:val="20"/>
                <w:szCs w:val="20"/>
              </w:rPr>
            </w:pPr>
          </w:p>
        </w:tc>
        <w:tc>
          <w:tcPr>
            <w:tcW w:w="0" w:type="auto"/>
            <w:vAlign w:val="center"/>
            <w:hideMark/>
          </w:tcPr>
          <w:p w14:paraId="4CDDD317" w14:textId="77777777" w:rsidR="00000000" w:rsidRDefault="00405D16">
            <w:pPr>
              <w:spacing w:after="100"/>
              <w:rPr>
                <w:rFonts w:eastAsia="Times New Roman"/>
                <w:sz w:val="20"/>
                <w:szCs w:val="20"/>
              </w:rPr>
            </w:pPr>
          </w:p>
        </w:tc>
        <w:tc>
          <w:tcPr>
            <w:tcW w:w="0" w:type="auto"/>
            <w:vAlign w:val="center"/>
            <w:hideMark/>
          </w:tcPr>
          <w:p w14:paraId="74F7EACD" w14:textId="77777777" w:rsidR="00000000" w:rsidRDefault="00405D16">
            <w:pPr>
              <w:spacing w:after="100"/>
              <w:rPr>
                <w:rFonts w:eastAsia="Times New Roman"/>
                <w:sz w:val="20"/>
                <w:szCs w:val="20"/>
              </w:rPr>
            </w:pPr>
          </w:p>
        </w:tc>
        <w:tc>
          <w:tcPr>
            <w:tcW w:w="0" w:type="auto"/>
            <w:vAlign w:val="center"/>
            <w:hideMark/>
          </w:tcPr>
          <w:p w14:paraId="65F7A552" w14:textId="77777777" w:rsidR="00000000" w:rsidRDefault="00405D16">
            <w:pPr>
              <w:spacing w:after="100"/>
              <w:rPr>
                <w:rFonts w:eastAsia="Times New Roman"/>
                <w:sz w:val="20"/>
                <w:szCs w:val="20"/>
              </w:rPr>
            </w:pPr>
          </w:p>
        </w:tc>
        <w:tc>
          <w:tcPr>
            <w:tcW w:w="0" w:type="auto"/>
            <w:vAlign w:val="center"/>
            <w:hideMark/>
          </w:tcPr>
          <w:p w14:paraId="688E1586" w14:textId="77777777" w:rsidR="00000000" w:rsidRDefault="00405D16">
            <w:pPr>
              <w:spacing w:after="100"/>
              <w:rPr>
                <w:rFonts w:eastAsia="Times New Roman"/>
                <w:sz w:val="20"/>
                <w:szCs w:val="20"/>
              </w:rPr>
            </w:pPr>
          </w:p>
        </w:tc>
        <w:tc>
          <w:tcPr>
            <w:tcW w:w="0" w:type="auto"/>
            <w:vAlign w:val="center"/>
            <w:hideMark/>
          </w:tcPr>
          <w:p w14:paraId="2DDCB49C" w14:textId="77777777" w:rsidR="00000000" w:rsidRDefault="00405D16">
            <w:pPr>
              <w:spacing w:after="100"/>
              <w:rPr>
                <w:rFonts w:eastAsia="Times New Roman"/>
                <w:sz w:val="20"/>
                <w:szCs w:val="20"/>
              </w:rPr>
            </w:pPr>
          </w:p>
        </w:tc>
        <w:tc>
          <w:tcPr>
            <w:tcW w:w="0" w:type="auto"/>
            <w:vAlign w:val="center"/>
            <w:hideMark/>
          </w:tcPr>
          <w:p w14:paraId="070992FA" w14:textId="77777777" w:rsidR="00000000" w:rsidRDefault="00405D16">
            <w:pPr>
              <w:spacing w:after="100"/>
              <w:rPr>
                <w:rFonts w:eastAsia="Times New Roman"/>
                <w:sz w:val="20"/>
                <w:szCs w:val="20"/>
              </w:rPr>
            </w:pPr>
          </w:p>
        </w:tc>
        <w:tc>
          <w:tcPr>
            <w:tcW w:w="0" w:type="auto"/>
            <w:vAlign w:val="center"/>
            <w:hideMark/>
          </w:tcPr>
          <w:p w14:paraId="15582D2E" w14:textId="77777777" w:rsidR="00000000" w:rsidRDefault="00405D16">
            <w:pPr>
              <w:spacing w:after="100"/>
              <w:rPr>
                <w:rFonts w:eastAsia="Times New Roman"/>
                <w:sz w:val="20"/>
                <w:szCs w:val="20"/>
              </w:rPr>
            </w:pPr>
          </w:p>
        </w:tc>
      </w:tr>
      <w:tr w:rsidR="00000000" w14:paraId="5A2AEA17" w14:textId="77777777">
        <w:trPr>
          <w:divId w:val="1009260866"/>
        </w:trPr>
        <w:tc>
          <w:tcPr>
            <w:tcW w:w="0" w:type="auto"/>
            <w:gridSpan w:val="3"/>
            <w:tcMar>
              <w:top w:w="30" w:type="dxa"/>
              <w:left w:w="20" w:type="dxa"/>
              <w:bottom w:w="30" w:type="dxa"/>
              <w:right w:w="20" w:type="dxa"/>
            </w:tcMar>
            <w:vAlign w:val="bottom"/>
            <w:hideMark/>
          </w:tcPr>
          <w:p w14:paraId="4B446CEF"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1B13DDF9"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437686E" w14:textId="77777777" w:rsidR="00000000" w:rsidRDefault="00405D16">
            <w:pPr>
              <w:spacing w:after="100"/>
              <w:jc w:val="center"/>
              <w:rPr>
                <w:rFonts w:eastAsia="Times New Roman"/>
              </w:rPr>
            </w:pPr>
            <w:r>
              <w:rPr>
                <w:rFonts w:eastAsia="Times New Roman"/>
                <w:b/>
                <w:bCs/>
                <w:color w:val="000000"/>
                <w:sz w:val="16"/>
                <w:szCs w:val="16"/>
              </w:rPr>
              <w:t>Average</w:t>
            </w:r>
            <w:r>
              <w:rPr>
                <w:rFonts w:eastAsia="Times New Roman"/>
                <w:b/>
                <w:bCs/>
                <w:color w:val="000000"/>
                <w:sz w:val="16"/>
                <w:szCs w:val="16"/>
              </w:rPr>
              <w:br/>
              <w:t>Balance</w:t>
            </w:r>
          </w:p>
        </w:tc>
        <w:tc>
          <w:tcPr>
            <w:tcW w:w="0" w:type="auto"/>
            <w:gridSpan w:val="3"/>
            <w:tcBorders>
              <w:top w:val="single" w:sz="8" w:space="0" w:color="000000"/>
            </w:tcBorders>
            <w:tcMar>
              <w:top w:w="0" w:type="dxa"/>
              <w:left w:w="20" w:type="dxa"/>
              <w:bottom w:w="0" w:type="dxa"/>
              <w:right w:w="20" w:type="dxa"/>
            </w:tcMar>
            <w:vAlign w:val="center"/>
            <w:hideMark/>
          </w:tcPr>
          <w:p w14:paraId="3CAE2F09"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14F3567" w14:textId="77777777" w:rsidR="00000000" w:rsidRDefault="00405D16">
            <w:pPr>
              <w:spacing w:after="100"/>
              <w:jc w:val="center"/>
              <w:rPr>
                <w:rFonts w:eastAsia="Times New Roman"/>
              </w:rPr>
            </w:pPr>
            <w:r>
              <w:rPr>
                <w:rFonts w:eastAsia="Times New Roman"/>
                <w:b/>
                <w:bCs/>
                <w:color w:val="000000"/>
                <w:sz w:val="16"/>
                <w:szCs w:val="16"/>
              </w:rPr>
              <w:t>Interest</w:t>
            </w:r>
            <w:r>
              <w:rPr>
                <w:rFonts w:eastAsia="Times New Roman"/>
                <w:b/>
                <w:bCs/>
                <w:color w:val="000000"/>
                <w:sz w:val="16"/>
                <w:szCs w:val="16"/>
              </w:rPr>
              <w:br/>
            </w:r>
            <w:r>
              <w:rPr>
                <w:rFonts w:eastAsia="Times New Roman"/>
                <w:b/>
                <w:bCs/>
                <w:color w:val="000000"/>
                <w:sz w:val="16"/>
                <w:szCs w:val="16"/>
              </w:rPr>
              <w:t>Expense</w:t>
            </w:r>
          </w:p>
        </w:tc>
        <w:tc>
          <w:tcPr>
            <w:tcW w:w="0" w:type="auto"/>
            <w:gridSpan w:val="3"/>
            <w:tcBorders>
              <w:top w:val="single" w:sz="8" w:space="0" w:color="000000"/>
            </w:tcBorders>
            <w:tcMar>
              <w:top w:w="0" w:type="dxa"/>
              <w:left w:w="20" w:type="dxa"/>
              <w:bottom w:w="0" w:type="dxa"/>
              <w:right w:w="20" w:type="dxa"/>
            </w:tcMar>
            <w:vAlign w:val="center"/>
            <w:hideMark/>
          </w:tcPr>
          <w:p w14:paraId="56C06EAF"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F63073E" w14:textId="77777777" w:rsidR="00000000" w:rsidRDefault="00405D16">
            <w:pPr>
              <w:spacing w:after="100"/>
              <w:jc w:val="center"/>
              <w:rPr>
                <w:rFonts w:eastAsia="Times New Roman"/>
              </w:rPr>
            </w:pPr>
            <w:r>
              <w:rPr>
                <w:rFonts w:eastAsia="Times New Roman"/>
                <w:b/>
                <w:bCs/>
                <w:color w:val="000000"/>
                <w:sz w:val="16"/>
                <w:szCs w:val="16"/>
              </w:rPr>
              <w:t>Average</w:t>
            </w:r>
            <w:r>
              <w:rPr>
                <w:rFonts w:eastAsia="Times New Roman"/>
                <w:b/>
                <w:bCs/>
                <w:color w:val="000000"/>
                <w:sz w:val="16"/>
                <w:szCs w:val="16"/>
              </w:rPr>
              <w:br/>
              <w:t>Deposits</w:t>
            </w:r>
            <w:r>
              <w:rPr>
                <w:rFonts w:eastAsia="Times New Roman"/>
                <w:b/>
                <w:bCs/>
                <w:color w:val="000000"/>
                <w:sz w:val="16"/>
                <w:szCs w:val="16"/>
              </w:rPr>
              <w:br/>
              <w:t>Interest Rate</w:t>
            </w:r>
          </w:p>
        </w:tc>
        <w:tc>
          <w:tcPr>
            <w:tcW w:w="0" w:type="auto"/>
            <w:gridSpan w:val="3"/>
            <w:tcMar>
              <w:top w:w="0" w:type="dxa"/>
              <w:left w:w="20" w:type="dxa"/>
              <w:bottom w:w="0" w:type="dxa"/>
              <w:right w:w="20" w:type="dxa"/>
            </w:tcMar>
            <w:vAlign w:val="center"/>
            <w:hideMark/>
          </w:tcPr>
          <w:p w14:paraId="0519A866"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45E007C" w14:textId="77777777" w:rsidR="00000000" w:rsidRDefault="00405D16">
            <w:pPr>
              <w:spacing w:after="100"/>
              <w:jc w:val="center"/>
              <w:rPr>
                <w:rFonts w:eastAsia="Times New Roman"/>
              </w:rPr>
            </w:pPr>
            <w:r>
              <w:rPr>
                <w:rFonts w:eastAsia="Times New Roman"/>
                <w:b/>
                <w:bCs/>
                <w:color w:val="000000"/>
                <w:sz w:val="16"/>
                <w:szCs w:val="16"/>
              </w:rPr>
              <w:t>Average</w:t>
            </w:r>
            <w:r>
              <w:rPr>
                <w:rFonts w:eastAsia="Times New Roman"/>
                <w:b/>
                <w:bCs/>
                <w:color w:val="000000"/>
                <w:sz w:val="16"/>
                <w:szCs w:val="16"/>
              </w:rPr>
              <w:br/>
              <w:t>Balance</w:t>
            </w:r>
          </w:p>
        </w:tc>
        <w:tc>
          <w:tcPr>
            <w:tcW w:w="0" w:type="auto"/>
            <w:gridSpan w:val="3"/>
            <w:tcBorders>
              <w:top w:val="single" w:sz="8" w:space="0" w:color="000000"/>
            </w:tcBorders>
            <w:tcMar>
              <w:top w:w="0" w:type="dxa"/>
              <w:left w:w="20" w:type="dxa"/>
              <w:bottom w:w="0" w:type="dxa"/>
              <w:right w:w="20" w:type="dxa"/>
            </w:tcMar>
            <w:vAlign w:val="center"/>
            <w:hideMark/>
          </w:tcPr>
          <w:p w14:paraId="65456E0F"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39C2D8F" w14:textId="77777777" w:rsidR="00000000" w:rsidRDefault="00405D16">
            <w:pPr>
              <w:spacing w:after="100"/>
              <w:jc w:val="center"/>
              <w:rPr>
                <w:rFonts w:eastAsia="Times New Roman"/>
              </w:rPr>
            </w:pPr>
            <w:r>
              <w:rPr>
                <w:rFonts w:eastAsia="Times New Roman"/>
                <w:b/>
                <w:bCs/>
                <w:color w:val="000000"/>
                <w:sz w:val="16"/>
                <w:szCs w:val="16"/>
              </w:rPr>
              <w:t>Interest</w:t>
            </w:r>
            <w:r>
              <w:rPr>
                <w:rFonts w:eastAsia="Times New Roman"/>
                <w:b/>
                <w:bCs/>
                <w:color w:val="000000"/>
                <w:sz w:val="16"/>
                <w:szCs w:val="16"/>
              </w:rPr>
              <w:br/>
              <w:t>Expense</w:t>
            </w:r>
          </w:p>
        </w:tc>
        <w:tc>
          <w:tcPr>
            <w:tcW w:w="0" w:type="auto"/>
            <w:gridSpan w:val="3"/>
            <w:tcBorders>
              <w:top w:val="single" w:sz="8" w:space="0" w:color="000000"/>
            </w:tcBorders>
            <w:tcMar>
              <w:top w:w="0" w:type="dxa"/>
              <w:left w:w="20" w:type="dxa"/>
              <w:bottom w:w="0" w:type="dxa"/>
              <w:right w:w="20" w:type="dxa"/>
            </w:tcMar>
            <w:vAlign w:val="center"/>
            <w:hideMark/>
          </w:tcPr>
          <w:p w14:paraId="098CA750"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3FB4BCD" w14:textId="77777777" w:rsidR="00000000" w:rsidRDefault="00405D16">
            <w:pPr>
              <w:spacing w:after="100"/>
              <w:jc w:val="center"/>
              <w:rPr>
                <w:rFonts w:eastAsia="Times New Roman"/>
              </w:rPr>
            </w:pPr>
            <w:r>
              <w:rPr>
                <w:rFonts w:eastAsia="Times New Roman"/>
                <w:b/>
                <w:bCs/>
                <w:color w:val="000000"/>
                <w:sz w:val="16"/>
                <w:szCs w:val="16"/>
              </w:rPr>
              <w:t>Average</w:t>
            </w:r>
            <w:r>
              <w:rPr>
                <w:rFonts w:eastAsia="Times New Roman"/>
                <w:b/>
                <w:bCs/>
                <w:color w:val="000000"/>
                <w:sz w:val="16"/>
                <w:szCs w:val="16"/>
              </w:rPr>
              <w:br/>
              <w:t>Deposits</w:t>
            </w:r>
            <w:r>
              <w:rPr>
                <w:rFonts w:eastAsia="Times New Roman"/>
                <w:b/>
                <w:bCs/>
                <w:color w:val="000000"/>
                <w:sz w:val="16"/>
                <w:szCs w:val="16"/>
              </w:rPr>
              <w:br/>
              <w:t>Interest Rate</w:t>
            </w:r>
          </w:p>
        </w:tc>
        <w:tc>
          <w:tcPr>
            <w:tcW w:w="0" w:type="auto"/>
            <w:gridSpan w:val="3"/>
            <w:vAlign w:val="center"/>
            <w:hideMark/>
          </w:tcPr>
          <w:p w14:paraId="0A97E9F7" w14:textId="77777777" w:rsidR="00000000" w:rsidRDefault="00405D16">
            <w:pPr>
              <w:spacing w:after="100"/>
              <w:jc w:val="center"/>
              <w:rPr>
                <w:rFonts w:eastAsia="Times New Roman"/>
              </w:rPr>
            </w:pPr>
          </w:p>
        </w:tc>
        <w:tc>
          <w:tcPr>
            <w:tcW w:w="0" w:type="auto"/>
            <w:gridSpan w:val="3"/>
            <w:vAlign w:val="center"/>
            <w:hideMark/>
          </w:tcPr>
          <w:p w14:paraId="00F77131" w14:textId="77777777" w:rsidR="00000000" w:rsidRDefault="00405D16">
            <w:pPr>
              <w:spacing w:after="100"/>
              <w:rPr>
                <w:rFonts w:eastAsia="Times New Roman"/>
                <w:sz w:val="20"/>
                <w:szCs w:val="20"/>
              </w:rPr>
            </w:pPr>
          </w:p>
        </w:tc>
        <w:tc>
          <w:tcPr>
            <w:tcW w:w="0" w:type="auto"/>
            <w:gridSpan w:val="3"/>
            <w:vAlign w:val="center"/>
            <w:hideMark/>
          </w:tcPr>
          <w:p w14:paraId="2FBE0AB7" w14:textId="77777777" w:rsidR="00000000" w:rsidRDefault="00405D16">
            <w:pPr>
              <w:spacing w:after="100"/>
              <w:rPr>
                <w:rFonts w:eastAsia="Times New Roman"/>
                <w:sz w:val="20"/>
                <w:szCs w:val="20"/>
              </w:rPr>
            </w:pPr>
          </w:p>
        </w:tc>
        <w:tc>
          <w:tcPr>
            <w:tcW w:w="0" w:type="auto"/>
            <w:gridSpan w:val="3"/>
            <w:vAlign w:val="center"/>
            <w:hideMark/>
          </w:tcPr>
          <w:p w14:paraId="28ADE4E0" w14:textId="77777777" w:rsidR="00000000" w:rsidRDefault="00405D16">
            <w:pPr>
              <w:spacing w:after="100"/>
              <w:rPr>
                <w:rFonts w:eastAsia="Times New Roman"/>
                <w:sz w:val="20"/>
                <w:szCs w:val="20"/>
              </w:rPr>
            </w:pPr>
          </w:p>
        </w:tc>
        <w:tc>
          <w:tcPr>
            <w:tcW w:w="0" w:type="auto"/>
            <w:gridSpan w:val="3"/>
            <w:vAlign w:val="center"/>
            <w:hideMark/>
          </w:tcPr>
          <w:p w14:paraId="323234EA" w14:textId="77777777" w:rsidR="00000000" w:rsidRDefault="00405D16">
            <w:pPr>
              <w:spacing w:after="100"/>
              <w:rPr>
                <w:rFonts w:eastAsia="Times New Roman"/>
                <w:sz w:val="20"/>
                <w:szCs w:val="20"/>
              </w:rPr>
            </w:pPr>
          </w:p>
        </w:tc>
        <w:tc>
          <w:tcPr>
            <w:tcW w:w="0" w:type="auto"/>
            <w:gridSpan w:val="3"/>
            <w:vAlign w:val="center"/>
            <w:hideMark/>
          </w:tcPr>
          <w:p w14:paraId="4B24B46F" w14:textId="77777777" w:rsidR="00000000" w:rsidRDefault="00405D16">
            <w:pPr>
              <w:spacing w:after="100"/>
              <w:rPr>
                <w:rFonts w:eastAsia="Times New Roman"/>
                <w:sz w:val="20"/>
                <w:szCs w:val="20"/>
              </w:rPr>
            </w:pPr>
          </w:p>
        </w:tc>
      </w:tr>
      <w:tr w:rsidR="00000000" w14:paraId="352FF9A7" w14:textId="77777777">
        <w:trPr>
          <w:divId w:val="100926086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B635BC2" w14:textId="77777777" w:rsidR="00000000" w:rsidRDefault="00405D16">
            <w:pPr>
              <w:spacing w:after="100"/>
              <w:divId w:val="1127896903"/>
              <w:rPr>
                <w:rFonts w:eastAsia="Times New Roman"/>
              </w:rPr>
            </w:pPr>
            <w:r>
              <w:rPr>
                <w:rFonts w:eastAsia="Times New Roman"/>
                <w:color w:val="000000"/>
                <w:sz w:val="18"/>
                <w:szCs w:val="18"/>
              </w:rPr>
              <w:t>Interest-bearing checking account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6DC3EE6D"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09EBA58"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45F876E" w14:textId="77777777" w:rsidR="00000000" w:rsidRDefault="00405D16">
            <w:pPr>
              <w:spacing w:after="100"/>
              <w:jc w:val="right"/>
              <w:rPr>
                <w:rFonts w:eastAsia="Times New Roman"/>
              </w:rPr>
            </w:pPr>
            <w:r>
              <w:rPr>
                <w:rFonts w:eastAsia="Times New Roman"/>
                <w:b/>
                <w:bCs/>
                <w:color w:val="000000"/>
                <w:sz w:val="18"/>
                <w:szCs w:val="18"/>
              </w:rPr>
              <w:t>45,511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FDB490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8E3324"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C4CC77E"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88DF754" w14:textId="77777777" w:rsidR="00000000" w:rsidRDefault="00405D16">
            <w:pPr>
              <w:spacing w:after="100"/>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956211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40457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4B51B4D" w14:textId="77777777" w:rsidR="00000000" w:rsidRDefault="00405D16">
            <w:pPr>
              <w:spacing w:after="100"/>
              <w:jc w:val="right"/>
              <w:rPr>
                <w:rFonts w:eastAsia="Times New Roman"/>
              </w:rPr>
            </w:pPr>
            <w:r>
              <w:rPr>
                <w:rFonts w:eastAsia="Times New Roman"/>
                <w:b/>
                <w:bCs/>
                <w:color w:val="000000"/>
                <w:sz w:val="18"/>
                <w:szCs w:val="18"/>
              </w:rPr>
              <w:t>0.17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2E54099"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FEC0F84"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1BFDF0"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2E9C8DD" w14:textId="77777777" w:rsidR="00000000" w:rsidRDefault="00405D16">
            <w:pPr>
              <w:spacing w:after="100"/>
              <w:jc w:val="right"/>
              <w:rPr>
                <w:rFonts w:eastAsia="Times New Roman"/>
              </w:rPr>
            </w:pPr>
            <w:r>
              <w:rPr>
                <w:rFonts w:eastAsia="Times New Roman"/>
                <w:color w:val="000000"/>
                <w:sz w:val="18"/>
                <w:szCs w:val="18"/>
              </w:rPr>
              <w:t>38,115 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CB96B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608D98"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124C7C6"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B10E2AD" w14:textId="77777777" w:rsidR="00000000" w:rsidRDefault="00405D16">
            <w:pPr>
              <w:spacing w:after="100"/>
              <w:jc w:val="right"/>
              <w:rPr>
                <w:rFonts w:eastAsia="Times New Roman"/>
              </w:rPr>
            </w:pPr>
            <w:r>
              <w:rPr>
                <w:rFonts w:eastAsia="Times New Roman"/>
                <w:color w:val="000000"/>
                <w:sz w:val="18"/>
                <w:szCs w:val="18"/>
              </w:rPr>
              <w:t>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D4E85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E1C46B"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33917E9" w14:textId="77777777" w:rsidR="00000000" w:rsidRDefault="00405D16">
            <w:pPr>
              <w:spacing w:after="100"/>
              <w:jc w:val="right"/>
              <w:rPr>
                <w:rFonts w:eastAsia="Times New Roman"/>
              </w:rPr>
            </w:pPr>
            <w:r>
              <w:rPr>
                <w:rFonts w:eastAsia="Times New Roman"/>
                <w:color w:val="000000"/>
                <w:sz w:val="18"/>
                <w:szCs w:val="18"/>
              </w:rPr>
              <w:t>0.26 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05713B8" w14:textId="77777777" w:rsidR="00000000" w:rsidRDefault="00405D16">
            <w:pPr>
              <w:spacing w:after="100"/>
              <w:rPr>
                <w:rFonts w:eastAsia="Times New Roman"/>
              </w:rPr>
            </w:pPr>
            <w:r>
              <w:rPr>
                <w:rFonts w:eastAsia="Times New Roman"/>
                <w:color w:val="000000"/>
                <w:sz w:val="18"/>
                <w:szCs w:val="18"/>
              </w:rPr>
              <w:t>%</w:t>
            </w:r>
          </w:p>
        </w:tc>
        <w:tc>
          <w:tcPr>
            <w:tcW w:w="0" w:type="auto"/>
            <w:gridSpan w:val="3"/>
            <w:vAlign w:val="center"/>
            <w:hideMark/>
          </w:tcPr>
          <w:p w14:paraId="079C5E07" w14:textId="77777777" w:rsidR="00000000" w:rsidRDefault="00405D16">
            <w:pPr>
              <w:spacing w:after="100"/>
              <w:rPr>
                <w:rFonts w:eastAsia="Times New Roman"/>
              </w:rPr>
            </w:pPr>
          </w:p>
        </w:tc>
        <w:tc>
          <w:tcPr>
            <w:tcW w:w="0" w:type="auto"/>
            <w:gridSpan w:val="3"/>
            <w:vAlign w:val="center"/>
            <w:hideMark/>
          </w:tcPr>
          <w:p w14:paraId="14CFE067" w14:textId="77777777" w:rsidR="00000000" w:rsidRDefault="00405D16">
            <w:pPr>
              <w:spacing w:after="100"/>
              <w:rPr>
                <w:rFonts w:eastAsia="Times New Roman"/>
                <w:sz w:val="20"/>
                <w:szCs w:val="20"/>
              </w:rPr>
            </w:pPr>
          </w:p>
        </w:tc>
        <w:tc>
          <w:tcPr>
            <w:tcW w:w="0" w:type="auto"/>
            <w:gridSpan w:val="3"/>
            <w:vAlign w:val="center"/>
            <w:hideMark/>
          </w:tcPr>
          <w:p w14:paraId="05E08931" w14:textId="77777777" w:rsidR="00000000" w:rsidRDefault="00405D16">
            <w:pPr>
              <w:spacing w:after="100"/>
              <w:rPr>
                <w:rFonts w:eastAsia="Times New Roman"/>
                <w:sz w:val="20"/>
                <w:szCs w:val="20"/>
              </w:rPr>
            </w:pPr>
          </w:p>
        </w:tc>
        <w:tc>
          <w:tcPr>
            <w:tcW w:w="0" w:type="auto"/>
            <w:gridSpan w:val="3"/>
            <w:vAlign w:val="center"/>
            <w:hideMark/>
          </w:tcPr>
          <w:p w14:paraId="11FBD201" w14:textId="77777777" w:rsidR="00000000" w:rsidRDefault="00405D16">
            <w:pPr>
              <w:spacing w:after="100"/>
              <w:rPr>
                <w:rFonts w:eastAsia="Times New Roman"/>
                <w:sz w:val="20"/>
                <w:szCs w:val="20"/>
              </w:rPr>
            </w:pPr>
          </w:p>
        </w:tc>
        <w:tc>
          <w:tcPr>
            <w:tcW w:w="0" w:type="auto"/>
            <w:gridSpan w:val="3"/>
            <w:vAlign w:val="center"/>
            <w:hideMark/>
          </w:tcPr>
          <w:p w14:paraId="04B4227F" w14:textId="77777777" w:rsidR="00000000" w:rsidRDefault="00405D16">
            <w:pPr>
              <w:spacing w:after="100"/>
              <w:rPr>
                <w:rFonts w:eastAsia="Times New Roman"/>
                <w:sz w:val="20"/>
                <w:szCs w:val="20"/>
              </w:rPr>
            </w:pPr>
          </w:p>
        </w:tc>
        <w:tc>
          <w:tcPr>
            <w:tcW w:w="0" w:type="auto"/>
            <w:gridSpan w:val="3"/>
            <w:vAlign w:val="center"/>
            <w:hideMark/>
          </w:tcPr>
          <w:p w14:paraId="0D9C031C" w14:textId="77777777" w:rsidR="00000000" w:rsidRDefault="00405D16">
            <w:pPr>
              <w:spacing w:after="100"/>
              <w:rPr>
                <w:rFonts w:eastAsia="Times New Roman"/>
                <w:sz w:val="20"/>
                <w:szCs w:val="20"/>
              </w:rPr>
            </w:pPr>
          </w:p>
        </w:tc>
      </w:tr>
      <w:tr w:rsidR="00000000" w14:paraId="0288938E" w14:textId="77777777">
        <w:trPr>
          <w:divId w:val="1009260866"/>
        </w:trPr>
        <w:tc>
          <w:tcPr>
            <w:tcW w:w="0" w:type="auto"/>
            <w:gridSpan w:val="3"/>
            <w:shd w:val="clear" w:color="auto" w:fill="FFFFFF"/>
            <w:tcMar>
              <w:top w:w="30" w:type="dxa"/>
              <w:left w:w="20" w:type="dxa"/>
              <w:bottom w:w="30" w:type="dxa"/>
              <w:right w:w="20" w:type="dxa"/>
            </w:tcMar>
            <w:vAlign w:val="center"/>
            <w:hideMark/>
          </w:tcPr>
          <w:p w14:paraId="0C894327" w14:textId="77777777" w:rsidR="00000000" w:rsidRDefault="00405D16">
            <w:pPr>
              <w:spacing w:after="100"/>
              <w:divId w:val="1323196558"/>
              <w:rPr>
                <w:rFonts w:eastAsia="Times New Roman"/>
              </w:rPr>
            </w:pPr>
            <w:r>
              <w:rPr>
                <w:rFonts w:eastAsia="Times New Roman"/>
                <w:color w:val="000000"/>
                <w:sz w:val="18"/>
                <w:szCs w:val="18"/>
              </w:rPr>
              <w:t>Saving deposit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08E1ED96"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E6452BB" w14:textId="77777777" w:rsidR="00000000" w:rsidRDefault="00405D16">
            <w:pPr>
              <w:spacing w:after="100"/>
              <w:jc w:val="right"/>
              <w:rPr>
                <w:rFonts w:eastAsia="Times New Roman"/>
              </w:rPr>
            </w:pPr>
            <w:r>
              <w:rPr>
                <w:rFonts w:eastAsia="Times New Roman"/>
                <w:b/>
                <w:bCs/>
                <w:color w:val="000000"/>
                <w:sz w:val="18"/>
                <w:szCs w:val="18"/>
              </w:rPr>
              <w:t>202,955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9C6B57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2C4E6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9C98E48" w14:textId="77777777" w:rsidR="00000000" w:rsidRDefault="00405D16">
            <w:pPr>
              <w:spacing w:after="100"/>
              <w:jc w:val="right"/>
              <w:rPr>
                <w:rFonts w:eastAsia="Times New Roman"/>
              </w:rPr>
            </w:pPr>
            <w:r>
              <w:rPr>
                <w:rFonts w:eastAsia="Times New Roman"/>
                <w:b/>
                <w:bCs/>
                <w:color w:val="000000"/>
                <w:sz w:val="18"/>
                <w:szCs w:val="18"/>
              </w:rPr>
              <w:t>156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4641C1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96D0E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7D94EB7" w14:textId="77777777" w:rsidR="00000000" w:rsidRDefault="00405D16">
            <w:pPr>
              <w:spacing w:after="100"/>
              <w:jc w:val="right"/>
              <w:rPr>
                <w:rFonts w:eastAsia="Times New Roman"/>
              </w:rPr>
            </w:pPr>
            <w:r>
              <w:rPr>
                <w:rFonts w:eastAsia="Times New Roman"/>
                <w:b/>
                <w:bCs/>
                <w:color w:val="000000"/>
                <w:sz w:val="18"/>
                <w:szCs w:val="18"/>
              </w:rPr>
              <w:t>0.30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6AD94D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33546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397631" w14:textId="77777777" w:rsidR="00000000" w:rsidRDefault="00405D16">
            <w:pPr>
              <w:spacing w:after="100"/>
              <w:jc w:val="right"/>
              <w:rPr>
                <w:rFonts w:eastAsia="Times New Roman"/>
              </w:rPr>
            </w:pPr>
            <w:r>
              <w:rPr>
                <w:rFonts w:eastAsia="Times New Roman"/>
                <w:color w:val="000000"/>
                <w:sz w:val="18"/>
                <w:szCs w:val="18"/>
              </w:rPr>
              <w:t>196,575 </w:t>
            </w:r>
          </w:p>
        </w:tc>
        <w:tc>
          <w:tcPr>
            <w:tcW w:w="0" w:type="auto"/>
            <w:shd w:val="clear" w:color="auto" w:fill="FFFFFF"/>
            <w:tcMar>
              <w:top w:w="30" w:type="dxa"/>
              <w:left w:w="0" w:type="dxa"/>
              <w:bottom w:w="30" w:type="dxa"/>
              <w:right w:w="20" w:type="dxa"/>
            </w:tcMar>
            <w:vAlign w:val="bottom"/>
            <w:hideMark/>
          </w:tcPr>
          <w:p w14:paraId="3F7804E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61CAB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ABC247" w14:textId="77777777" w:rsidR="00000000" w:rsidRDefault="00405D16">
            <w:pPr>
              <w:spacing w:after="100"/>
              <w:jc w:val="right"/>
              <w:rPr>
                <w:rFonts w:eastAsia="Times New Roman"/>
              </w:rPr>
            </w:pPr>
            <w:r>
              <w:rPr>
                <w:rFonts w:eastAsia="Times New Roman"/>
                <w:color w:val="000000"/>
                <w:sz w:val="18"/>
                <w:szCs w:val="18"/>
              </w:rPr>
              <w:t>287 </w:t>
            </w:r>
          </w:p>
        </w:tc>
        <w:tc>
          <w:tcPr>
            <w:tcW w:w="0" w:type="auto"/>
            <w:shd w:val="clear" w:color="auto" w:fill="FFFFFF"/>
            <w:tcMar>
              <w:top w:w="30" w:type="dxa"/>
              <w:left w:w="0" w:type="dxa"/>
              <w:bottom w:w="30" w:type="dxa"/>
              <w:right w:w="20" w:type="dxa"/>
            </w:tcMar>
            <w:vAlign w:val="bottom"/>
            <w:hideMark/>
          </w:tcPr>
          <w:p w14:paraId="1C48DCF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51819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BE453FD" w14:textId="77777777" w:rsidR="00000000" w:rsidRDefault="00405D16">
            <w:pPr>
              <w:spacing w:after="100"/>
              <w:jc w:val="right"/>
              <w:rPr>
                <w:rFonts w:eastAsia="Times New Roman"/>
              </w:rPr>
            </w:pPr>
            <w:r>
              <w:rPr>
                <w:rFonts w:eastAsia="Times New Roman"/>
                <w:color w:val="000000"/>
                <w:sz w:val="18"/>
                <w:szCs w:val="18"/>
              </w:rPr>
              <w:t>0.58 </w:t>
            </w:r>
          </w:p>
        </w:tc>
        <w:tc>
          <w:tcPr>
            <w:tcW w:w="0" w:type="auto"/>
            <w:shd w:val="clear" w:color="auto" w:fill="FFFFFF"/>
            <w:tcMar>
              <w:top w:w="30" w:type="dxa"/>
              <w:left w:w="0" w:type="dxa"/>
              <w:bottom w:w="30" w:type="dxa"/>
              <w:right w:w="20" w:type="dxa"/>
            </w:tcMar>
            <w:vAlign w:val="center"/>
            <w:hideMark/>
          </w:tcPr>
          <w:p w14:paraId="01771995" w14:textId="77777777" w:rsidR="00000000" w:rsidRDefault="00405D16">
            <w:pPr>
              <w:spacing w:after="100"/>
              <w:jc w:val="right"/>
              <w:rPr>
                <w:rFonts w:eastAsia="Times New Roman"/>
              </w:rPr>
            </w:pPr>
          </w:p>
        </w:tc>
        <w:tc>
          <w:tcPr>
            <w:tcW w:w="0" w:type="auto"/>
            <w:gridSpan w:val="3"/>
            <w:vAlign w:val="center"/>
            <w:hideMark/>
          </w:tcPr>
          <w:p w14:paraId="511D2898" w14:textId="77777777" w:rsidR="00000000" w:rsidRDefault="00405D16">
            <w:pPr>
              <w:spacing w:after="100"/>
              <w:jc w:val="right"/>
              <w:rPr>
                <w:rFonts w:eastAsia="Times New Roman"/>
                <w:sz w:val="20"/>
                <w:szCs w:val="20"/>
              </w:rPr>
            </w:pPr>
          </w:p>
        </w:tc>
        <w:tc>
          <w:tcPr>
            <w:tcW w:w="0" w:type="auto"/>
            <w:gridSpan w:val="3"/>
            <w:vAlign w:val="center"/>
            <w:hideMark/>
          </w:tcPr>
          <w:p w14:paraId="66AB234A" w14:textId="77777777" w:rsidR="00000000" w:rsidRDefault="00405D16">
            <w:pPr>
              <w:spacing w:after="100"/>
              <w:rPr>
                <w:rFonts w:eastAsia="Times New Roman"/>
                <w:sz w:val="20"/>
                <w:szCs w:val="20"/>
              </w:rPr>
            </w:pPr>
          </w:p>
        </w:tc>
        <w:tc>
          <w:tcPr>
            <w:tcW w:w="0" w:type="auto"/>
            <w:gridSpan w:val="3"/>
            <w:vAlign w:val="center"/>
            <w:hideMark/>
          </w:tcPr>
          <w:p w14:paraId="4E75AB8B" w14:textId="77777777" w:rsidR="00000000" w:rsidRDefault="00405D16">
            <w:pPr>
              <w:spacing w:after="100"/>
              <w:rPr>
                <w:rFonts w:eastAsia="Times New Roman"/>
                <w:sz w:val="20"/>
                <w:szCs w:val="20"/>
              </w:rPr>
            </w:pPr>
          </w:p>
        </w:tc>
        <w:tc>
          <w:tcPr>
            <w:tcW w:w="0" w:type="auto"/>
            <w:gridSpan w:val="3"/>
            <w:vAlign w:val="center"/>
            <w:hideMark/>
          </w:tcPr>
          <w:p w14:paraId="1342CF49" w14:textId="77777777" w:rsidR="00000000" w:rsidRDefault="00405D16">
            <w:pPr>
              <w:spacing w:after="100"/>
              <w:rPr>
                <w:rFonts w:eastAsia="Times New Roman"/>
                <w:sz w:val="20"/>
                <w:szCs w:val="20"/>
              </w:rPr>
            </w:pPr>
          </w:p>
        </w:tc>
        <w:tc>
          <w:tcPr>
            <w:tcW w:w="0" w:type="auto"/>
            <w:gridSpan w:val="3"/>
            <w:vAlign w:val="center"/>
            <w:hideMark/>
          </w:tcPr>
          <w:p w14:paraId="0516EA8E" w14:textId="77777777" w:rsidR="00000000" w:rsidRDefault="00405D16">
            <w:pPr>
              <w:spacing w:after="100"/>
              <w:rPr>
                <w:rFonts w:eastAsia="Times New Roman"/>
                <w:sz w:val="20"/>
                <w:szCs w:val="20"/>
              </w:rPr>
            </w:pPr>
          </w:p>
        </w:tc>
        <w:tc>
          <w:tcPr>
            <w:tcW w:w="0" w:type="auto"/>
            <w:gridSpan w:val="3"/>
            <w:vAlign w:val="center"/>
            <w:hideMark/>
          </w:tcPr>
          <w:p w14:paraId="5B31048E" w14:textId="77777777" w:rsidR="00000000" w:rsidRDefault="00405D16">
            <w:pPr>
              <w:spacing w:after="100"/>
              <w:rPr>
                <w:rFonts w:eastAsia="Times New Roman"/>
                <w:sz w:val="20"/>
                <w:szCs w:val="20"/>
              </w:rPr>
            </w:pPr>
          </w:p>
        </w:tc>
      </w:tr>
      <w:tr w:rsidR="00000000" w14:paraId="144BE74F" w14:textId="77777777">
        <w:trPr>
          <w:divId w:val="1009260866"/>
        </w:trPr>
        <w:tc>
          <w:tcPr>
            <w:tcW w:w="0" w:type="auto"/>
            <w:gridSpan w:val="3"/>
            <w:shd w:val="clear" w:color="auto" w:fill="CCEEFF"/>
            <w:tcMar>
              <w:top w:w="30" w:type="dxa"/>
              <w:left w:w="20" w:type="dxa"/>
              <w:bottom w:w="30" w:type="dxa"/>
              <w:right w:w="20" w:type="dxa"/>
            </w:tcMar>
            <w:vAlign w:val="center"/>
            <w:hideMark/>
          </w:tcPr>
          <w:p w14:paraId="4C916B81" w14:textId="77777777" w:rsidR="00000000" w:rsidRDefault="00405D16">
            <w:pPr>
              <w:spacing w:after="100"/>
              <w:rPr>
                <w:rFonts w:eastAsia="Times New Roman"/>
              </w:rPr>
            </w:pPr>
            <w:r>
              <w:rPr>
                <w:rFonts w:eastAsia="Times New Roman"/>
                <w:color w:val="000000"/>
                <w:sz w:val="18"/>
                <w:szCs w:val="18"/>
              </w:rPr>
              <w:t>Time deposits less than $100,000</w:t>
            </w:r>
          </w:p>
        </w:tc>
        <w:tc>
          <w:tcPr>
            <w:tcW w:w="0" w:type="auto"/>
            <w:gridSpan w:val="3"/>
            <w:shd w:val="clear" w:color="auto" w:fill="CCEEFF"/>
            <w:tcMar>
              <w:top w:w="0" w:type="dxa"/>
              <w:left w:w="20" w:type="dxa"/>
              <w:bottom w:w="0" w:type="dxa"/>
              <w:right w:w="20" w:type="dxa"/>
            </w:tcMar>
            <w:vAlign w:val="center"/>
            <w:hideMark/>
          </w:tcPr>
          <w:p w14:paraId="01D60132"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9F890AB" w14:textId="77777777" w:rsidR="00000000" w:rsidRDefault="00405D16">
            <w:pPr>
              <w:spacing w:after="100"/>
              <w:jc w:val="right"/>
              <w:rPr>
                <w:rFonts w:eastAsia="Times New Roman"/>
              </w:rPr>
            </w:pPr>
            <w:r>
              <w:rPr>
                <w:rFonts w:eastAsia="Times New Roman"/>
                <w:b/>
                <w:bCs/>
                <w:color w:val="000000"/>
                <w:sz w:val="18"/>
                <w:szCs w:val="18"/>
              </w:rPr>
              <w:t>14,796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FD297C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14E1A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522B699" w14:textId="77777777" w:rsidR="00000000" w:rsidRDefault="00405D16">
            <w:pPr>
              <w:spacing w:after="100"/>
              <w:jc w:val="right"/>
              <w:rPr>
                <w:rFonts w:eastAsia="Times New Roman"/>
              </w:rPr>
            </w:pPr>
            <w:r>
              <w:rPr>
                <w:rFonts w:eastAsia="Times New Roman"/>
                <w:b/>
                <w:bCs/>
                <w:color w:val="000000"/>
                <w:sz w:val="18"/>
                <w:szCs w:val="18"/>
              </w:rPr>
              <w:t>42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FC400D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61429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743CEA7" w14:textId="77777777" w:rsidR="00000000" w:rsidRDefault="00405D16">
            <w:pPr>
              <w:spacing w:after="100"/>
              <w:jc w:val="right"/>
              <w:rPr>
                <w:rFonts w:eastAsia="Times New Roman"/>
              </w:rPr>
            </w:pPr>
            <w:r>
              <w:rPr>
                <w:rFonts w:eastAsia="Times New Roman"/>
                <w:b/>
                <w:bCs/>
                <w:color w:val="000000"/>
                <w:sz w:val="18"/>
                <w:szCs w:val="18"/>
              </w:rPr>
              <w:t>1.12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F5BC0E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04F8E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CE51BF" w14:textId="77777777" w:rsidR="00000000" w:rsidRDefault="00405D16">
            <w:pPr>
              <w:spacing w:after="100"/>
              <w:jc w:val="right"/>
              <w:rPr>
                <w:rFonts w:eastAsia="Times New Roman"/>
              </w:rPr>
            </w:pPr>
            <w:r>
              <w:rPr>
                <w:rFonts w:eastAsia="Times New Roman"/>
                <w:color w:val="000000"/>
                <w:sz w:val="18"/>
                <w:szCs w:val="18"/>
              </w:rPr>
              <w:t>26,626 </w:t>
            </w:r>
          </w:p>
        </w:tc>
        <w:tc>
          <w:tcPr>
            <w:tcW w:w="0" w:type="auto"/>
            <w:shd w:val="clear" w:color="auto" w:fill="CCEEFF"/>
            <w:tcMar>
              <w:top w:w="30" w:type="dxa"/>
              <w:left w:w="0" w:type="dxa"/>
              <w:bottom w:w="30" w:type="dxa"/>
              <w:right w:w="20" w:type="dxa"/>
            </w:tcMar>
            <w:vAlign w:val="bottom"/>
            <w:hideMark/>
          </w:tcPr>
          <w:p w14:paraId="3922E85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378D2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2DB759" w14:textId="77777777" w:rsidR="00000000" w:rsidRDefault="00405D16">
            <w:pPr>
              <w:spacing w:after="100"/>
              <w:jc w:val="right"/>
              <w:rPr>
                <w:rFonts w:eastAsia="Times New Roman"/>
              </w:rPr>
            </w:pPr>
            <w:r>
              <w:rPr>
                <w:rFonts w:eastAsia="Times New Roman"/>
                <w:color w:val="000000"/>
                <w:sz w:val="18"/>
                <w:szCs w:val="18"/>
              </w:rPr>
              <w:t>112 </w:t>
            </w:r>
          </w:p>
        </w:tc>
        <w:tc>
          <w:tcPr>
            <w:tcW w:w="0" w:type="auto"/>
            <w:shd w:val="clear" w:color="auto" w:fill="CCEEFF"/>
            <w:tcMar>
              <w:top w:w="30" w:type="dxa"/>
              <w:left w:w="0" w:type="dxa"/>
              <w:bottom w:w="30" w:type="dxa"/>
              <w:right w:w="20" w:type="dxa"/>
            </w:tcMar>
            <w:vAlign w:val="bottom"/>
            <w:hideMark/>
          </w:tcPr>
          <w:p w14:paraId="0DDFD06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4B286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4590216" w14:textId="77777777" w:rsidR="00000000" w:rsidRDefault="00405D16">
            <w:pPr>
              <w:spacing w:after="100"/>
              <w:jc w:val="right"/>
              <w:rPr>
                <w:rFonts w:eastAsia="Times New Roman"/>
              </w:rPr>
            </w:pPr>
            <w:r>
              <w:rPr>
                <w:rFonts w:eastAsia="Times New Roman"/>
                <w:color w:val="000000"/>
                <w:sz w:val="18"/>
                <w:szCs w:val="18"/>
              </w:rPr>
              <w:t>1.67 </w:t>
            </w:r>
          </w:p>
        </w:tc>
        <w:tc>
          <w:tcPr>
            <w:tcW w:w="0" w:type="auto"/>
            <w:shd w:val="clear" w:color="auto" w:fill="CCEEFF"/>
            <w:tcMar>
              <w:top w:w="30" w:type="dxa"/>
              <w:left w:w="0" w:type="dxa"/>
              <w:bottom w:w="30" w:type="dxa"/>
              <w:right w:w="20" w:type="dxa"/>
            </w:tcMar>
            <w:vAlign w:val="center"/>
            <w:hideMark/>
          </w:tcPr>
          <w:p w14:paraId="65B1A83C" w14:textId="77777777" w:rsidR="00000000" w:rsidRDefault="00405D16">
            <w:pPr>
              <w:spacing w:after="100"/>
              <w:jc w:val="right"/>
              <w:rPr>
                <w:rFonts w:eastAsia="Times New Roman"/>
              </w:rPr>
            </w:pPr>
          </w:p>
        </w:tc>
        <w:tc>
          <w:tcPr>
            <w:tcW w:w="0" w:type="auto"/>
            <w:gridSpan w:val="3"/>
            <w:vAlign w:val="center"/>
            <w:hideMark/>
          </w:tcPr>
          <w:p w14:paraId="6B8FE002" w14:textId="77777777" w:rsidR="00000000" w:rsidRDefault="00405D16">
            <w:pPr>
              <w:spacing w:after="100"/>
              <w:jc w:val="right"/>
              <w:rPr>
                <w:rFonts w:eastAsia="Times New Roman"/>
                <w:sz w:val="20"/>
                <w:szCs w:val="20"/>
              </w:rPr>
            </w:pPr>
          </w:p>
        </w:tc>
        <w:tc>
          <w:tcPr>
            <w:tcW w:w="0" w:type="auto"/>
            <w:gridSpan w:val="3"/>
            <w:vAlign w:val="center"/>
            <w:hideMark/>
          </w:tcPr>
          <w:p w14:paraId="0991A13E" w14:textId="77777777" w:rsidR="00000000" w:rsidRDefault="00405D16">
            <w:pPr>
              <w:spacing w:after="100"/>
              <w:rPr>
                <w:rFonts w:eastAsia="Times New Roman"/>
                <w:sz w:val="20"/>
                <w:szCs w:val="20"/>
              </w:rPr>
            </w:pPr>
          </w:p>
        </w:tc>
        <w:tc>
          <w:tcPr>
            <w:tcW w:w="0" w:type="auto"/>
            <w:gridSpan w:val="3"/>
            <w:vAlign w:val="center"/>
            <w:hideMark/>
          </w:tcPr>
          <w:p w14:paraId="32E38C62" w14:textId="77777777" w:rsidR="00000000" w:rsidRDefault="00405D16">
            <w:pPr>
              <w:spacing w:after="100"/>
              <w:rPr>
                <w:rFonts w:eastAsia="Times New Roman"/>
                <w:sz w:val="20"/>
                <w:szCs w:val="20"/>
              </w:rPr>
            </w:pPr>
          </w:p>
        </w:tc>
        <w:tc>
          <w:tcPr>
            <w:tcW w:w="0" w:type="auto"/>
            <w:gridSpan w:val="3"/>
            <w:vAlign w:val="center"/>
            <w:hideMark/>
          </w:tcPr>
          <w:p w14:paraId="5E8D62AB" w14:textId="77777777" w:rsidR="00000000" w:rsidRDefault="00405D16">
            <w:pPr>
              <w:spacing w:after="100"/>
              <w:rPr>
                <w:rFonts w:eastAsia="Times New Roman"/>
                <w:sz w:val="20"/>
                <w:szCs w:val="20"/>
              </w:rPr>
            </w:pPr>
          </w:p>
        </w:tc>
        <w:tc>
          <w:tcPr>
            <w:tcW w:w="0" w:type="auto"/>
            <w:gridSpan w:val="3"/>
            <w:vAlign w:val="center"/>
            <w:hideMark/>
          </w:tcPr>
          <w:p w14:paraId="710F1681" w14:textId="77777777" w:rsidR="00000000" w:rsidRDefault="00405D16">
            <w:pPr>
              <w:spacing w:after="100"/>
              <w:rPr>
                <w:rFonts w:eastAsia="Times New Roman"/>
                <w:sz w:val="20"/>
                <w:szCs w:val="20"/>
              </w:rPr>
            </w:pPr>
          </w:p>
        </w:tc>
        <w:tc>
          <w:tcPr>
            <w:tcW w:w="0" w:type="auto"/>
            <w:gridSpan w:val="3"/>
            <w:vAlign w:val="center"/>
            <w:hideMark/>
          </w:tcPr>
          <w:p w14:paraId="6ADF51A4" w14:textId="77777777" w:rsidR="00000000" w:rsidRDefault="00405D16">
            <w:pPr>
              <w:spacing w:after="100"/>
              <w:rPr>
                <w:rFonts w:eastAsia="Times New Roman"/>
                <w:sz w:val="20"/>
                <w:szCs w:val="20"/>
              </w:rPr>
            </w:pPr>
          </w:p>
        </w:tc>
      </w:tr>
      <w:tr w:rsidR="00000000" w14:paraId="3CE0A112" w14:textId="77777777">
        <w:trPr>
          <w:divId w:val="1009260866"/>
        </w:trPr>
        <w:tc>
          <w:tcPr>
            <w:tcW w:w="0" w:type="auto"/>
            <w:gridSpan w:val="3"/>
            <w:shd w:val="clear" w:color="auto" w:fill="FFFFFF"/>
            <w:tcMar>
              <w:top w:w="30" w:type="dxa"/>
              <w:left w:w="155" w:type="dxa"/>
              <w:bottom w:w="30" w:type="dxa"/>
              <w:right w:w="20" w:type="dxa"/>
            </w:tcMar>
            <w:vAlign w:val="center"/>
            <w:hideMark/>
          </w:tcPr>
          <w:p w14:paraId="3EF57660" w14:textId="77777777" w:rsidR="00000000" w:rsidRDefault="00405D16">
            <w:pPr>
              <w:spacing w:after="100"/>
              <w:rPr>
                <w:rFonts w:eastAsia="Times New Roman"/>
              </w:rPr>
            </w:pPr>
            <w:r>
              <w:rPr>
                <w:rFonts w:eastAsia="Times New Roman"/>
                <w:color w:val="000000"/>
                <w:sz w:val="18"/>
                <w:szCs w:val="18"/>
              </w:rPr>
              <w:t>Total interest-bearing core deposits</w:t>
            </w:r>
          </w:p>
        </w:tc>
        <w:tc>
          <w:tcPr>
            <w:tcW w:w="0" w:type="auto"/>
            <w:gridSpan w:val="3"/>
            <w:shd w:val="clear" w:color="auto" w:fill="FFFFFF"/>
            <w:tcMar>
              <w:top w:w="0" w:type="dxa"/>
              <w:left w:w="20" w:type="dxa"/>
              <w:bottom w:w="0" w:type="dxa"/>
              <w:right w:w="20" w:type="dxa"/>
            </w:tcMar>
            <w:vAlign w:val="center"/>
            <w:hideMark/>
          </w:tcPr>
          <w:p w14:paraId="69CB0EF3"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E096475" w14:textId="77777777" w:rsidR="00000000" w:rsidRDefault="00405D16">
            <w:pPr>
              <w:spacing w:after="100"/>
              <w:jc w:val="right"/>
              <w:rPr>
                <w:rFonts w:eastAsia="Times New Roman"/>
              </w:rPr>
            </w:pPr>
            <w:r>
              <w:rPr>
                <w:rFonts w:eastAsia="Times New Roman"/>
                <w:b/>
                <w:bCs/>
                <w:color w:val="000000"/>
                <w:sz w:val="18"/>
                <w:szCs w:val="18"/>
              </w:rPr>
              <w:t>263,262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95FB0B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0B8958"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0A0AA2C" w14:textId="77777777" w:rsidR="00000000" w:rsidRDefault="00405D16">
            <w:pPr>
              <w:spacing w:after="100"/>
              <w:jc w:val="right"/>
              <w:rPr>
                <w:rFonts w:eastAsia="Times New Roman"/>
              </w:rPr>
            </w:pPr>
            <w:r>
              <w:rPr>
                <w:rFonts w:eastAsia="Times New Roman"/>
                <w:b/>
                <w:bCs/>
                <w:color w:val="000000"/>
                <w:sz w:val="18"/>
                <w:szCs w:val="18"/>
              </w:rPr>
              <w:t>217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EAD0C1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B67BD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6BAD5FE" w14:textId="77777777" w:rsidR="00000000" w:rsidRDefault="00405D16">
            <w:pPr>
              <w:spacing w:after="100"/>
              <w:jc w:val="right"/>
              <w:rPr>
                <w:rFonts w:eastAsia="Times New Roman"/>
              </w:rPr>
            </w:pPr>
            <w:r>
              <w:rPr>
                <w:rFonts w:eastAsia="Times New Roman"/>
                <w:b/>
                <w:bCs/>
                <w:color w:val="000000"/>
                <w:sz w:val="18"/>
                <w:szCs w:val="18"/>
              </w:rPr>
              <w:t>0.33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8B0477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B18F8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FDCAB01" w14:textId="77777777" w:rsidR="00000000" w:rsidRDefault="00405D16">
            <w:pPr>
              <w:spacing w:after="100"/>
              <w:jc w:val="right"/>
              <w:rPr>
                <w:rFonts w:eastAsia="Times New Roman"/>
              </w:rPr>
            </w:pPr>
            <w:r>
              <w:rPr>
                <w:rFonts w:eastAsia="Times New Roman"/>
                <w:color w:val="000000"/>
                <w:sz w:val="18"/>
                <w:szCs w:val="18"/>
              </w:rPr>
              <w:t>261,316 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99013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D1134B"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EDDFC95" w14:textId="77777777" w:rsidR="00000000" w:rsidRDefault="00405D16">
            <w:pPr>
              <w:spacing w:after="100"/>
              <w:jc w:val="right"/>
              <w:rPr>
                <w:rFonts w:eastAsia="Times New Roman"/>
              </w:rPr>
            </w:pPr>
            <w:r>
              <w:rPr>
                <w:rFonts w:eastAsia="Times New Roman"/>
                <w:color w:val="000000"/>
                <w:sz w:val="18"/>
                <w:szCs w:val="18"/>
              </w:rPr>
              <w:t>424 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52FE64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A1047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135DDB7" w14:textId="77777777" w:rsidR="00000000" w:rsidRDefault="00405D16">
            <w:pPr>
              <w:spacing w:after="100"/>
              <w:jc w:val="right"/>
              <w:rPr>
                <w:rFonts w:eastAsia="Times New Roman"/>
              </w:rPr>
            </w:pPr>
            <w:r>
              <w:rPr>
                <w:rFonts w:eastAsia="Times New Roman"/>
                <w:color w:val="000000"/>
                <w:sz w:val="18"/>
                <w:szCs w:val="18"/>
              </w:rPr>
              <w:t>0.65 </w:t>
            </w:r>
          </w:p>
        </w:tc>
        <w:tc>
          <w:tcPr>
            <w:tcW w:w="0" w:type="auto"/>
            <w:shd w:val="clear" w:color="auto" w:fill="FFFFFF"/>
            <w:tcMar>
              <w:top w:w="30" w:type="dxa"/>
              <w:left w:w="0" w:type="dxa"/>
              <w:bottom w:w="30" w:type="dxa"/>
              <w:right w:w="20" w:type="dxa"/>
            </w:tcMar>
            <w:vAlign w:val="center"/>
            <w:hideMark/>
          </w:tcPr>
          <w:p w14:paraId="3A879910" w14:textId="77777777" w:rsidR="00000000" w:rsidRDefault="00405D16">
            <w:pPr>
              <w:spacing w:after="100"/>
              <w:jc w:val="right"/>
              <w:rPr>
                <w:rFonts w:eastAsia="Times New Roman"/>
              </w:rPr>
            </w:pPr>
          </w:p>
        </w:tc>
        <w:tc>
          <w:tcPr>
            <w:tcW w:w="0" w:type="auto"/>
            <w:gridSpan w:val="3"/>
            <w:vAlign w:val="center"/>
            <w:hideMark/>
          </w:tcPr>
          <w:p w14:paraId="7F07BDB8" w14:textId="77777777" w:rsidR="00000000" w:rsidRDefault="00405D16">
            <w:pPr>
              <w:spacing w:after="100"/>
              <w:jc w:val="right"/>
              <w:rPr>
                <w:rFonts w:eastAsia="Times New Roman"/>
                <w:sz w:val="20"/>
                <w:szCs w:val="20"/>
              </w:rPr>
            </w:pPr>
          </w:p>
        </w:tc>
        <w:tc>
          <w:tcPr>
            <w:tcW w:w="0" w:type="auto"/>
            <w:gridSpan w:val="3"/>
            <w:vAlign w:val="center"/>
            <w:hideMark/>
          </w:tcPr>
          <w:p w14:paraId="670643E9" w14:textId="77777777" w:rsidR="00000000" w:rsidRDefault="00405D16">
            <w:pPr>
              <w:spacing w:after="100"/>
              <w:rPr>
                <w:rFonts w:eastAsia="Times New Roman"/>
                <w:sz w:val="20"/>
                <w:szCs w:val="20"/>
              </w:rPr>
            </w:pPr>
          </w:p>
        </w:tc>
        <w:tc>
          <w:tcPr>
            <w:tcW w:w="0" w:type="auto"/>
            <w:gridSpan w:val="3"/>
            <w:vAlign w:val="center"/>
            <w:hideMark/>
          </w:tcPr>
          <w:p w14:paraId="76683C73" w14:textId="77777777" w:rsidR="00000000" w:rsidRDefault="00405D16">
            <w:pPr>
              <w:spacing w:after="100"/>
              <w:rPr>
                <w:rFonts w:eastAsia="Times New Roman"/>
                <w:sz w:val="20"/>
                <w:szCs w:val="20"/>
              </w:rPr>
            </w:pPr>
          </w:p>
        </w:tc>
        <w:tc>
          <w:tcPr>
            <w:tcW w:w="0" w:type="auto"/>
            <w:gridSpan w:val="3"/>
            <w:vAlign w:val="center"/>
            <w:hideMark/>
          </w:tcPr>
          <w:p w14:paraId="17E3FCD1" w14:textId="77777777" w:rsidR="00000000" w:rsidRDefault="00405D16">
            <w:pPr>
              <w:spacing w:after="100"/>
              <w:rPr>
                <w:rFonts w:eastAsia="Times New Roman"/>
                <w:sz w:val="20"/>
                <w:szCs w:val="20"/>
              </w:rPr>
            </w:pPr>
          </w:p>
        </w:tc>
        <w:tc>
          <w:tcPr>
            <w:tcW w:w="0" w:type="auto"/>
            <w:gridSpan w:val="3"/>
            <w:vAlign w:val="center"/>
            <w:hideMark/>
          </w:tcPr>
          <w:p w14:paraId="2066AD47" w14:textId="77777777" w:rsidR="00000000" w:rsidRDefault="00405D16">
            <w:pPr>
              <w:spacing w:after="100"/>
              <w:rPr>
                <w:rFonts w:eastAsia="Times New Roman"/>
                <w:sz w:val="20"/>
                <w:szCs w:val="20"/>
              </w:rPr>
            </w:pPr>
          </w:p>
        </w:tc>
        <w:tc>
          <w:tcPr>
            <w:tcW w:w="0" w:type="auto"/>
            <w:gridSpan w:val="3"/>
            <w:vAlign w:val="center"/>
            <w:hideMark/>
          </w:tcPr>
          <w:p w14:paraId="1E123DFC" w14:textId="77777777" w:rsidR="00000000" w:rsidRDefault="00405D16">
            <w:pPr>
              <w:spacing w:after="100"/>
              <w:rPr>
                <w:rFonts w:eastAsia="Times New Roman"/>
                <w:sz w:val="20"/>
                <w:szCs w:val="20"/>
              </w:rPr>
            </w:pPr>
          </w:p>
        </w:tc>
      </w:tr>
      <w:tr w:rsidR="00000000" w14:paraId="0DE794C4" w14:textId="77777777">
        <w:trPr>
          <w:divId w:val="1009260866"/>
        </w:trPr>
        <w:tc>
          <w:tcPr>
            <w:tcW w:w="0" w:type="auto"/>
            <w:gridSpan w:val="3"/>
            <w:shd w:val="clear" w:color="auto" w:fill="CCEEFF"/>
            <w:tcMar>
              <w:top w:w="30" w:type="dxa"/>
              <w:left w:w="20" w:type="dxa"/>
              <w:bottom w:w="30" w:type="dxa"/>
              <w:right w:w="20" w:type="dxa"/>
            </w:tcMar>
            <w:vAlign w:val="center"/>
            <w:hideMark/>
          </w:tcPr>
          <w:p w14:paraId="1090160B" w14:textId="77777777" w:rsidR="00000000" w:rsidRDefault="00405D16">
            <w:pPr>
              <w:spacing w:after="100"/>
              <w:rPr>
                <w:rFonts w:eastAsia="Times New Roman"/>
              </w:rPr>
            </w:pPr>
            <w:r>
              <w:rPr>
                <w:rFonts w:eastAsia="Times New Roman"/>
                <w:color w:val="000000"/>
                <w:sz w:val="18"/>
                <w:szCs w:val="18"/>
              </w:rPr>
              <w:t>Time deposits of $100,000 or more</w:t>
            </w:r>
          </w:p>
        </w:tc>
        <w:tc>
          <w:tcPr>
            <w:tcW w:w="0" w:type="auto"/>
            <w:gridSpan w:val="3"/>
            <w:shd w:val="clear" w:color="auto" w:fill="CCEEFF"/>
            <w:tcMar>
              <w:top w:w="0" w:type="dxa"/>
              <w:left w:w="20" w:type="dxa"/>
              <w:bottom w:w="0" w:type="dxa"/>
              <w:right w:w="20" w:type="dxa"/>
            </w:tcMar>
            <w:vAlign w:val="center"/>
            <w:hideMark/>
          </w:tcPr>
          <w:p w14:paraId="02AA6A0F"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EB36E8E" w14:textId="77777777" w:rsidR="00000000" w:rsidRDefault="00405D16">
            <w:pPr>
              <w:spacing w:after="100"/>
              <w:jc w:val="right"/>
              <w:rPr>
                <w:rFonts w:eastAsia="Times New Roman"/>
              </w:rPr>
            </w:pPr>
            <w:r>
              <w:rPr>
                <w:rFonts w:eastAsia="Times New Roman"/>
                <w:b/>
                <w:bCs/>
                <w:color w:val="000000"/>
                <w:sz w:val="18"/>
                <w:szCs w:val="18"/>
              </w:rPr>
              <w:t>6,016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4A524C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80424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97A834A" w14:textId="77777777" w:rsidR="00000000" w:rsidRDefault="00405D16">
            <w:pPr>
              <w:spacing w:after="100"/>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C0B996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08F75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7065079" w14:textId="77777777" w:rsidR="00000000" w:rsidRDefault="00405D16">
            <w:pPr>
              <w:spacing w:after="100"/>
              <w:jc w:val="right"/>
              <w:rPr>
                <w:rFonts w:eastAsia="Times New Roman"/>
              </w:rPr>
            </w:pPr>
            <w:r>
              <w:rPr>
                <w:rFonts w:eastAsia="Times New Roman"/>
                <w:b/>
                <w:bCs/>
                <w:color w:val="000000"/>
                <w:sz w:val="18"/>
                <w:szCs w:val="18"/>
              </w:rPr>
              <w:t>0.70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84A19C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CCEA9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50C59A" w14:textId="77777777" w:rsidR="00000000" w:rsidRDefault="00405D16">
            <w:pPr>
              <w:spacing w:after="100"/>
              <w:jc w:val="right"/>
              <w:rPr>
                <w:rFonts w:eastAsia="Times New Roman"/>
              </w:rPr>
            </w:pPr>
            <w:r>
              <w:rPr>
                <w:rFonts w:eastAsia="Times New Roman"/>
                <w:color w:val="000000"/>
                <w:sz w:val="18"/>
                <w:szCs w:val="18"/>
              </w:rPr>
              <w:t>15,023 </w:t>
            </w:r>
          </w:p>
        </w:tc>
        <w:tc>
          <w:tcPr>
            <w:tcW w:w="0" w:type="auto"/>
            <w:shd w:val="clear" w:color="auto" w:fill="CCEEFF"/>
            <w:tcMar>
              <w:top w:w="30" w:type="dxa"/>
              <w:left w:w="0" w:type="dxa"/>
              <w:bottom w:w="30" w:type="dxa"/>
              <w:right w:w="20" w:type="dxa"/>
            </w:tcMar>
            <w:vAlign w:val="bottom"/>
            <w:hideMark/>
          </w:tcPr>
          <w:p w14:paraId="1AB96C8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84563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ED905F" w14:textId="77777777" w:rsidR="00000000" w:rsidRDefault="00405D16">
            <w:pPr>
              <w:spacing w:after="100"/>
              <w:jc w:val="right"/>
              <w:rPr>
                <w:rFonts w:eastAsia="Times New Roman"/>
              </w:rPr>
            </w:pPr>
            <w:r>
              <w:rPr>
                <w:rFonts w:eastAsia="Times New Roman"/>
                <w:color w:val="000000"/>
                <w:sz w:val="18"/>
                <w:szCs w:val="18"/>
              </w:rPr>
              <w:t>52 </w:t>
            </w:r>
          </w:p>
        </w:tc>
        <w:tc>
          <w:tcPr>
            <w:tcW w:w="0" w:type="auto"/>
            <w:shd w:val="clear" w:color="auto" w:fill="CCEEFF"/>
            <w:tcMar>
              <w:top w:w="30" w:type="dxa"/>
              <w:left w:w="0" w:type="dxa"/>
              <w:bottom w:w="30" w:type="dxa"/>
              <w:right w:w="20" w:type="dxa"/>
            </w:tcMar>
            <w:vAlign w:val="bottom"/>
            <w:hideMark/>
          </w:tcPr>
          <w:p w14:paraId="0DC84C0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1A69C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8582BEB" w14:textId="77777777" w:rsidR="00000000" w:rsidRDefault="00405D16">
            <w:pPr>
              <w:spacing w:after="100"/>
              <w:jc w:val="right"/>
              <w:rPr>
                <w:rFonts w:eastAsia="Times New Roman"/>
              </w:rPr>
            </w:pPr>
            <w:r>
              <w:rPr>
                <w:rFonts w:eastAsia="Times New Roman"/>
                <w:color w:val="000000"/>
                <w:sz w:val="18"/>
                <w:szCs w:val="18"/>
              </w:rPr>
              <w:t>1.40 </w:t>
            </w:r>
          </w:p>
        </w:tc>
        <w:tc>
          <w:tcPr>
            <w:tcW w:w="0" w:type="auto"/>
            <w:shd w:val="clear" w:color="auto" w:fill="CCEEFF"/>
            <w:tcMar>
              <w:top w:w="30" w:type="dxa"/>
              <w:left w:w="0" w:type="dxa"/>
              <w:bottom w:w="30" w:type="dxa"/>
              <w:right w:w="20" w:type="dxa"/>
            </w:tcMar>
            <w:vAlign w:val="center"/>
            <w:hideMark/>
          </w:tcPr>
          <w:p w14:paraId="39999430" w14:textId="77777777" w:rsidR="00000000" w:rsidRDefault="00405D16">
            <w:pPr>
              <w:spacing w:after="100"/>
              <w:jc w:val="right"/>
              <w:rPr>
                <w:rFonts w:eastAsia="Times New Roman"/>
              </w:rPr>
            </w:pPr>
          </w:p>
        </w:tc>
        <w:tc>
          <w:tcPr>
            <w:tcW w:w="0" w:type="auto"/>
            <w:gridSpan w:val="3"/>
            <w:vAlign w:val="center"/>
            <w:hideMark/>
          </w:tcPr>
          <w:p w14:paraId="53D6C9A8" w14:textId="77777777" w:rsidR="00000000" w:rsidRDefault="00405D16">
            <w:pPr>
              <w:spacing w:after="100"/>
              <w:jc w:val="right"/>
              <w:rPr>
                <w:rFonts w:eastAsia="Times New Roman"/>
                <w:sz w:val="20"/>
                <w:szCs w:val="20"/>
              </w:rPr>
            </w:pPr>
          </w:p>
        </w:tc>
        <w:tc>
          <w:tcPr>
            <w:tcW w:w="0" w:type="auto"/>
            <w:gridSpan w:val="3"/>
            <w:vAlign w:val="center"/>
            <w:hideMark/>
          </w:tcPr>
          <w:p w14:paraId="72031229" w14:textId="77777777" w:rsidR="00000000" w:rsidRDefault="00405D16">
            <w:pPr>
              <w:spacing w:after="100"/>
              <w:rPr>
                <w:rFonts w:eastAsia="Times New Roman"/>
                <w:sz w:val="20"/>
                <w:szCs w:val="20"/>
              </w:rPr>
            </w:pPr>
          </w:p>
        </w:tc>
        <w:tc>
          <w:tcPr>
            <w:tcW w:w="0" w:type="auto"/>
            <w:gridSpan w:val="3"/>
            <w:vAlign w:val="center"/>
            <w:hideMark/>
          </w:tcPr>
          <w:p w14:paraId="7ADCB0D1" w14:textId="77777777" w:rsidR="00000000" w:rsidRDefault="00405D16">
            <w:pPr>
              <w:spacing w:after="100"/>
              <w:rPr>
                <w:rFonts w:eastAsia="Times New Roman"/>
                <w:sz w:val="20"/>
                <w:szCs w:val="20"/>
              </w:rPr>
            </w:pPr>
          </w:p>
        </w:tc>
        <w:tc>
          <w:tcPr>
            <w:tcW w:w="0" w:type="auto"/>
            <w:gridSpan w:val="3"/>
            <w:vAlign w:val="center"/>
            <w:hideMark/>
          </w:tcPr>
          <w:p w14:paraId="7F7840ED" w14:textId="77777777" w:rsidR="00000000" w:rsidRDefault="00405D16">
            <w:pPr>
              <w:spacing w:after="100"/>
              <w:rPr>
                <w:rFonts w:eastAsia="Times New Roman"/>
                <w:sz w:val="20"/>
                <w:szCs w:val="20"/>
              </w:rPr>
            </w:pPr>
          </w:p>
        </w:tc>
        <w:tc>
          <w:tcPr>
            <w:tcW w:w="0" w:type="auto"/>
            <w:gridSpan w:val="3"/>
            <w:vAlign w:val="center"/>
            <w:hideMark/>
          </w:tcPr>
          <w:p w14:paraId="435FBFCE" w14:textId="77777777" w:rsidR="00000000" w:rsidRDefault="00405D16">
            <w:pPr>
              <w:spacing w:after="100"/>
              <w:rPr>
                <w:rFonts w:eastAsia="Times New Roman"/>
                <w:sz w:val="20"/>
                <w:szCs w:val="20"/>
              </w:rPr>
            </w:pPr>
          </w:p>
        </w:tc>
        <w:tc>
          <w:tcPr>
            <w:tcW w:w="0" w:type="auto"/>
            <w:gridSpan w:val="3"/>
            <w:vAlign w:val="center"/>
            <w:hideMark/>
          </w:tcPr>
          <w:p w14:paraId="4B4E177B" w14:textId="77777777" w:rsidR="00000000" w:rsidRDefault="00405D16">
            <w:pPr>
              <w:spacing w:after="100"/>
              <w:rPr>
                <w:rFonts w:eastAsia="Times New Roman"/>
                <w:sz w:val="20"/>
                <w:szCs w:val="20"/>
              </w:rPr>
            </w:pPr>
          </w:p>
        </w:tc>
      </w:tr>
      <w:tr w:rsidR="00000000" w14:paraId="74AE6FDB" w14:textId="77777777">
        <w:trPr>
          <w:divId w:val="1009260866"/>
        </w:trPr>
        <w:tc>
          <w:tcPr>
            <w:tcW w:w="0" w:type="auto"/>
            <w:gridSpan w:val="3"/>
            <w:shd w:val="clear" w:color="auto" w:fill="FFFFFF"/>
            <w:tcMar>
              <w:top w:w="30" w:type="dxa"/>
              <w:left w:w="20" w:type="dxa"/>
              <w:bottom w:w="30" w:type="dxa"/>
              <w:right w:w="20" w:type="dxa"/>
            </w:tcMar>
            <w:vAlign w:val="center"/>
            <w:hideMark/>
          </w:tcPr>
          <w:p w14:paraId="0842D6D5" w14:textId="77777777" w:rsidR="00000000" w:rsidRDefault="00405D16">
            <w:pPr>
              <w:spacing w:after="100"/>
              <w:rPr>
                <w:rFonts w:eastAsia="Times New Roman"/>
              </w:rPr>
            </w:pPr>
            <w:r>
              <w:rPr>
                <w:rFonts w:eastAsia="Times New Roman"/>
                <w:color w:val="000000"/>
                <w:sz w:val="18"/>
                <w:szCs w:val="18"/>
              </w:rPr>
              <w:t>Total interest-bearing deposits</w:t>
            </w:r>
          </w:p>
        </w:tc>
        <w:tc>
          <w:tcPr>
            <w:tcW w:w="0" w:type="auto"/>
            <w:gridSpan w:val="3"/>
            <w:shd w:val="clear" w:color="auto" w:fill="FFFFFF"/>
            <w:tcMar>
              <w:top w:w="0" w:type="dxa"/>
              <w:left w:w="20" w:type="dxa"/>
              <w:bottom w:w="0" w:type="dxa"/>
              <w:right w:w="20" w:type="dxa"/>
            </w:tcMar>
            <w:vAlign w:val="center"/>
            <w:hideMark/>
          </w:tcPr>
          <w:p w14:paraId="073862A1"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92C6546"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735FD67" w14:textId="77777777" w:rsidR="00000000" w:rsidRDefault="00405D16">
            <w:pPr>
              <w:spacing w:after="100"/>
              <w:jc w:val="right"/>
              <w:rPr>
                <w:rFonts w:eastAsia="Times New Roman"/>
              </w:rPr>
            </w:pPr>
            <w:r>
              <w:rPr>
                <w:rFonts w:eastAsia="Times New Roman"/>
                <w:b/>
                <w:bCs/>
                <w:color w:val="000000"/>
                <w:sz w:val="18"/>
                <w:szCs w:val="18"/>
              </w:rPr>
              <w:t>269,278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D47437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F501E7"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F56DF8B"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2CAD586" w14:textId="77777777" w:rsidR="00000000" w:rsidRDefault="00405D16">
            <w:pPr>
              <w:spacing w:after="100"/>
              <w:jc w:val="right"/>
              <w:rPr>
                <w:rFonts w:eastAsia="Times New Roman"/>
              </w:rPr>
            </w:pPr>
            <w:r>
              <w:rPr>
                <w:rFonts w:eastAsia="Times New Roman"/>
                <w:b/>
                <w:bCs/>
                <w:color w:val="000000"/>
                <w:sz w:val="18"/>
                <w:szCs w:val="18"/>
              </w:rPr>
              <w:t>228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A6E639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EFD06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61AE7DE" w14:textId="77777777" w:rsidR="00000000" w:rsidRDefault="00405D16">
            <w:pPr>
              <w:spacing w:after="100"/>
              <w:jc w:val="right"/>
              <w:rPr>
                <w:rFonts w:eastAsia="Times New Roman"/>
              </w:rPr>
            </w:pPr>
            <w:r>
              <w:rPr>
                <w:rFonts w:eastAsia="Times New Roman"/>
                <w:b/>
                <w:bCs/>
                <w:color w:val="000000"/>
                <w:sz w:val="18"/>
                <w:szCs w:val="18"/>
              </w:rPr>
              <w:t>0.34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13E116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2F8461"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AF6216F"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F6D4889" w14:textId="77777777" w:rsidR="00000000" w:rsidRDefault="00405D16">
            <w:pPr>
              <w:spacing w:after="100"/>
              <w:jc w:val="right"/>
              <w:rPr>
                <w:rFonts w:eastAsia="Times New Roman"/>
              </w:rPr>
            </w:pPr>
            <w:r>
              <w:rPr>
                <w:rFonts w:eastAsia="Times New Roman"/>
                <w:color w:val="000000"/>
                <w:sz w:val="18"/>
                <w:szCs w:val="18"/>
              </w:rPr>
              <w:t>276,339 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E8485D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103DCE"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32015D2"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0F22196" w14:textId="77777777" w:rsidR="00000000" w:rsidRDefault="00405D16">
            <w:pPr>
              <w:spacing w:after="100"/>
              <w:jc w:val="right"/>
              <w:rPr>
                <w:rFonts w:eastAsia="Times New Roman"/>
              </w:rPr>
            </w:pPr>
            <w:r>
              <w:rPr>
                <w:rFonts w:eastAsia="Times New Roman"/>
                <w:color w:val="000000"/>
                <w:sz w:val="18"/>
                <w:szCs w:val="18"/>
              </w:rPr>
              <w:t>476 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3FF3A8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7622D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C246ADA" w14:textId="77777777" w:rsidR="00000000" w:rsidRDefault="00405D16">
            <w:pPr>
              <w:spacing w:after="100"/>
              <w:jc w:val="right"/>
              <w:rPr>
                <w:rFonts w:eastAsia="Times New Roman"/>
              </w:rPr>
            </w:pPr>
            <w:r>
              <w:rPr>
                <w:rFonts w:eastAsia="Times New Roman"/>
                <w:color w:val="000000"/>
                <w:sz w:val="18"/>
                <w:szCs w:val="18"/>
              </w:rPr>
              <w:t>0.69 </w:t>
            </w:r>
          </w:p>
        </w:tc>
        <w:tc>
          <w:tcPr>
            <w:tcW w:w="0" w:type="auto"/>
            <w:shd w:val="clear" w:color="auto" w:fill="FFFFFF"/>
            <w:tcMar>
              <w:top w:w="30" w:type="dxa"/>
              <w:left w:w="0" w:type="dxa"/>
              <w:bottom w:w="30" w:type="dxa"/>
              <w:right w:w="20" w:type="dxa"/>
            </w:tcMar>
            <w:vAlign w:val="center"/>
            <w:hideMark/>
          </w:tcPr>
          <w:p w14:paraId="0C23FCA0" w14:textId="77777777" w:rsidR="00000000" w:rsidRDefault="00405D16">
            <w:pPr>
              <w:spacing w:after="100"/>
              <w:jc w:val="right"/>
              <w:rPr>
                <w:rFonts w:eastAsia="Times New Roman"/>
              </w:rPr>
            </w:pPr>
          </w:p>
        </w:tc>
        <w:tc>
          <w:tcPr>
            <w:tcW w:w="0" w:type="auto"/>
            <w:gridSpan w:val="3"/>
            <w:vAlign w:val="center"/>
            <w:hideMark/>
          </w:tcPr>
          <w:p w14:paraId="5B9F336B" w14:textId="77777777" w:rsidR="00000000" w:rsidRDefault="00405D16">
            <w:pPr>
              <w:spacing w:after="100"/>
              <w:jc w:val="right"/>
              <w:rPr>
                <w:rFonts w:eastAsia="Times New Roman"/>
                <w:sz w:val="20"/>
                <w:szCs w:val="20"/>
              </w:rPr>
            </w:pPr>
          </w:p>
        </w:tc>
        <w:tc>
          <w:tcPr>
            <w:tcW w:w="0" w:type="auto"/>
            <w:gridSpan w:val="3"/>
            <w:vAlign w:val="center"/>
            <w:hideMark/>
          </w:tcPr>
          <w:p w14:paraId="0584754A" w14:textId="77777777" w:rsidR="00000000" w:rsidRDefault="00405D16">
            <w:pPr>
              <w:spacing w:after="100"/>
              <w:rPr>
                <w:rFonts w:eastAsia="Times New Roman"/>
                <w:sz w:val="20"/>
                <w:szCs w:val="20"/>
              </w:rPr>
            </w:pPr>
          </w:p>
        </w:tc>
        <w:tc>
          <w:tcPr>
            <w:tcW w:w="0" w:type="auto"/>
            <w:gridSpan w:val="3"/>
            <w:vAlign w:val="center"/>
            <w:hideMark/>
          </w:tcPr>
          <w:p w14:paraId="459458C5" w14:textId="77777777" w:rsidR="00000000" w:rsidRDefault="00405D16">
            <w:pPr>
              <w:spacing w:after="100"/>
              <w:rPr>
                <w:rFonts w:eastAsia="Times New Roman"/>
                <w:sz w:val="20"/>
                <w:szCs w:val="20"/>
              </w:rPr>
            </w:pPr>
          </w:p>
        </w:tc>
        <w:tc>
          <w:tcPr>
            <w:tcW w:w="0" w:type="auto"/>
            <w:gridSpan w:val="3"/>
            <w:vAlign w:val="center"/>
            <w:hideMark/>
          </w:tcPr>
          <w:p w14:paraId="671E62F1" w14:textId="77777777" w:rsidR="00000000" w:rsidRDefault="00405D16">
            <w:pPr>
              <w:spacing w:after="100"/>
              <w:rPr>
                <w:rFonts w:eastAsia="Times New Roman"/>
                <w:sz w:val="20"/>
                <w:szCs w:val="20"/>
              </w:rPr>
            </w:pPr>
          </w:p>
        </w:tc>
        <w:tc>
          <w:tcPr>
            <w:tcW w:w="0" w:type="auto"/>
            <w:gridSpan w:val="3"/>
            <w:vAlign w:val="center"/>
            <w:hideMark/>
          </w:tcPr>
          <w:p w14:paraId="13C6AE8A" w14:textId="77777777" w:rsidR="00000000" w:rsidRDefault="00405D16">
            <w:pPr>
              <w:spacing w:after="100"/>
              <w:rPr>
                <w:rFonts w:eastAsia="Times New Roman"/>
                <w:sz w:val="20"/>
                <w:szCs w:val="20"/>
              </w:rPr>
            </w:pPr>
          </w:p>
        </w:tc>
        <w:tc>
          <w:tcPr>
            <w:tcW w:w="0" w:type="auto"/>
            <w:gridSpan w:val="3"/>
            <w:vAlign w:val="center"/>
            <w:hideMark/>
          </w:tcPr>
          <w:p w14:paraId="4822A8B1" w14:textId="77777777" w:rsidR="00000000" w:rsidRDefault="00405D16">
            <w:pPr>
              <w:spacing w:after="100"/>
              <w:rPr>
                <w:rFonts w:eastAsia="Times New Roman"/>
                <w:sz w:val="20"/>
                <w:szCs w:val="20"/>
              </w:rPr>
            </w:pPr>
          </w:p>
        </w:tc>
      </w:tr>
    </w:tbl>
    <w:p w14:paraId="6306116D" w14:textId="77777777" w:rsidR="00000000" w:rsidRDefault="00405D16">
      <w:pPr>
        <w:jc w:val="both"/>
        <w:divId w:val="10092608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813"/>
        <w:gridCol w:w="37"/>
        <w:gridCol w:w="36"/>
        <w:gridCol w:w="36"/>
        <w:gridCol w:w="36"/>
        <w:gridCol w:w="110"/>
        <w:gridCol w:w="630"/>
        <w:gridCol w:w="36"/>
        <w:gridCol w:w="36"/>
        <w:gridCol w:w="36"/>
        <w:gridCol w:w="36"/>
        <w:gridCol w:w="111"/>
        <w:gridCol w:w="610"/>
        <w:gridCol w:w="36"/>
        <w:gridCol w:w="36"/>
        <w:gridCol w:w="36"/>
        <w:gridCol w:w="36"/>
        <w:gridCol w:w="63"/>
        <w:gridCol w:w="584"/>
        <w:gridCol w:w="200"/>
        <w:gridCol w:w="36"/>
        <w:gridCol w:w="36"/>
        <w:gridCol w:w="36"/>
        <w:gridCol w:w="110"/>
        <w:gridCol w:w="630"/>
        <w:gridCol w:w="36"/>
        <w:gridCol w:w="36"/>
        <w:gridCol w:w="36"/>
        <w:gridCol w:w="36"/>
        <w:gridCol w:w="111"/>
        <w:gridCol w:w="614"/>
        <w:gridCol w:w="36"/>
        <w:gridCol w:w="36"/>
        <w:gridCol w:w="36"/>
        <w:gridCol w:w="36"/>
        <w:gridCol w:w="63"/>
        <w:gridCol w:w="584"/>
        <w:gridCol w:w="170"/>
        <w:gridCol w:w="36"/>
      </w:tblGrid>
      <w:tr w:rsidR="00000000" w14:paraId="4115E04A" w14:textId="77777777">
        <w:trPr>
          <w:divId w:val="1009260866"/>
        </w:trPr>
        <w:tc>
          <w:tcPr>
            <w:tcW w:w="50" w:type="pct"/>
            <w:vAlign w:val="center"/>
            <w:hideMark/>
          </w:tcPr>
          <w:p w14:paraId="7AD77FF3" w14:textId="77777777" w:rsidR="00000000" w:rsidRDefault="00405D16">
            <w:pPr>
              <w:jc w:val="both"/>
              <w:rPr>
                <w:rFonts w:eastAsia="Times New Roman"/>
              </w:rPr>
            </w:pPr>
          </w:p>
        </w:tc>
        <w:tc>
          <w:tcPr>
            <w:tcW w:w="1743" w:type="pct"/>
            <w:vAlign w:val="center"/>
            <w:hideMark/>
          </w:tcPr>
          <w:p w14:paraId="3854890F" w14:textId="77777777" w:rsidR="00000000" w:rsidRDefault="00405D16">
            <w:pPr>
              <w:spacing w:after="100"/>
              <w:rPr>
                <w:rFonts w:eastAsia="Times New Roman"/>
                <w:sz w:val="20"/>
                <w:szCs w:val="20"/>
              </w:rPr>
            </w:pPr>
          </w:p>
        </w:tc>
        <w:tc>
          <w:tcPr>
            <w:tcW w:w="5" w:type="pct"/>
            <w:vAlign w:val="center"/>
            <w:hideMark/>
          </w:tcPr>
          <w:p w14:paraId="1E1AE0FD" w14:textId="77777777" w:rsidR="00000000" w:rsidRDefault="00405D16">
            <w:pPr>
              <w:spacing w:after="100"/>
              <w:rPr>
                <w:rFonts w:eastAsia="Times New Roman"/>
                <w:sz w:val="20"/>
                <w:szCs w:val="20"/>
              </w:rPr>
            </w:pPr>
          </w:p>
        </w:tc>
        <w:tc>
          <w:tcPr>
            <w:tcW w:w="5" w:type="pct"/>
            <w:vAlign w:val="center"/>
            <w:hideMark/>
          </w:tcPr>
          <w:p w14:paraId="083609E7" w14:textId="77777777" w:rsidR="00000000" w:rsidRDefault="00405D16">
            <w:pPr>
              <w:spacing w:after="100"/>
              <w:rPr>
                <w:rFonts w:eastAsia="Times New Roman"/>
                <w:sz w:val="20"/>
                <w:szCs w:val="20"/>
              </w:rPr>
            </w:pPr>
          </w:p>
        </w:tc>
        <w:tc>
          <w:tcPr>
            <w:tcW w:w="26" w:type="pct"/>
            <w:vAlign w:val="center"/>
            <w:hideMark/>
          </w:tcPr>
          <w:p w14:paraId="1C269B0B" w14:textId="77777777" w:rsidR="00000000" w:rsidRDefault="00405D16">
            <w:pPr>
              <w:spacing w:after="100"/>
              <w:rPr>
                <w:rFonts w:eastAsia="Times New Roman"/>
                <w:sz w:val="20"/>
                <w:szCs w:val="20"/>
              </w:rPr>
            </w:pPr>
          </w:p>
        </w:tc>
        <w:tc>
          <w:tcPr>
            <w:tcW w:w="5" w:type="pct"/>
            <w:vAlign w:val="center"/>
            <w:hideMark/>
          </w:tcPr>
          <w:p w14:paraId="1016AA59" w14:textId="77777777" w:rsidR="00000000" w:rsidRDefault="00405D16">
            <w:pPr>
              <w:spacing w:after="100"/>
              <w:rPr>
                <w:rFonts w:eastAsia="Times New Roman"/>
                <w:sz w:val="20"/>
                <w:szCs w:val="20"/>
              </w:rPr>
            </w:pPr>
          </w:p>
        </w:tc>
        <w:tc>
          <w:tcPr>
            <w:tcW w:w="50" w:type="pct"/>
            <w:vAlign w:val="center"/>
            <w:hideMark/>
          </w:tcPr>
          <w:p w14:paraId="5091D865" w14:textId="77777777" w:rsidR="00000000" w:rsidRDefault="00405D16">
            <w:pPr>
              <w:spacing w:after="100"/>
              <w:rPr>
                <w:rFonts w:eastAsia="Times New Roman"/>
                <w:sz w:val="20"/>
                <w:szCs w:val="20"/>
              </w:rPr>
            </w:pPr>
          </w:p>
        </w:tc>
        <w:tc>
          <w:tcPr>
            <w:tcW w:w="442" w:type="pct"/>
            <w:vAlign w:val="center"/>
            <w:hideMark/>
          </w:tcPr>
          <w:p w14:paraId="06278026" w14:textId="77777777" w:rsidR="00000000" w:rsidRDefault="00405D16">
            <w:pPr>
              <w:spacing w:after="100"/>
              <w:rPr>
                <w:rFonts w:eastAsia="Times New Roman"/>
                <w:sz w:val="20"/>
                <w:szCs w:val="20"/>
              </w:rPr>
            </w:pPr>
          </w:p>
        </w:tc>
        <w:tc>
          <w:tcPr>
            <w:tcW w:w="5" w:type="pct"/>
            <w:vAlign w:val="center"/>
            <w:hideMark/>
          </w:tcPr>
          <w:p w14:paraId="346BE309" w14:textId="77777777" w:rsidR="00000000" w:rsidRDefault="00405D16">
            <w:pPr>
              <w:spacing w:after="100"/>
              <w:rPr>
                <w:rFonts w:eastAsia="Times New Roman"/>
                <w:sz w:val="20"/>
                <w:szCs w:val="20"/>
              </w:rPr>
            </w:pPr>
          </w:p>
        </w:tc>
        <w:tc>
          <w:tcPr>
            <w:tcW w:w="5" w:type="pct"/>
            <w:vAlign w:val="center"/>
            <w:hideMark/>
          </w:tcPr>
          <w:p w14:paraId="29F190B6" w14:textId="77777777" w:rsidR="00000000" w:rsidRDefault="00405D16">
            <w:pPr>
              <w:spacing w:after="100"/>
              <w:rPr>
                <w:rFonts w:eastAsia="Times New Roman"/>
                <w:sz w:val="20"/>
                <w:szCs w:val="20"/>
              </w:rPr>
            </w:pPr>
          </w:p>
        </w:tc>
        <w:tc>
          <w:tcPr>
            <w:tcW w:w="26" w:type="pct"/>
            <w:vAlign w:val="center"/>
            <w:hideMark/>
          </w:tcPr>
          <w:p w14:paraId="334951B0" w14:textId="77777777" w:rsidR="00000000" w:rsidRDefault="00405D16">
            <w:pPr>
              <w:spacing w:after="100"/>
              <w:rPr>
                <w:rFonts w:eastAsia="Times New Roman"/>
                <w:sz w:val="20"/>
                <w:szCs w:val="20"/>
              </w:rPr>
            </w:pPr>
          </w:p>
        </w:tc>
        <w:tc>
          <w:tcPr>
            <w:tcW w:w="5" w:type="pct"/>
            <w:vAlign w:val="center"/>
            <w:hideMark/>
          </w:tcPr>
          <w:p w14:paraId="1ECF8FED" w14:textId="77777777" w:rsidR="00000000" w:rsidRDefault="00405D16">
            <w:pPr>
              <w:spacing w:after="100"/>
              <w:rPr>
                <w:rFonts w:eastAsia="Times New Roman"/>
                <w:sz w:val="20"/>
                <w:szCs w:val="20"/>
              </w:rPr>
            </w:pPr>
          </w:p>
        </w:tc>
        <w:tc>
          <w:tcPr>
            <w:tcW w:w="50" w:type="pct"/>
            <w:vAlign w:val="center"/>
            <w:hideMark/>
          </w:tcPr>
          <w:p w14:paraId="1BD13969" w14:textId="77777777" w:rsidR="00000000" w:rsidRDefault="00405D16">
            <w:pPr>
              <w:spacing w:after="100"/>
              <w:rPr>
                <w:rFonts w:eastAsia="Times New Roman"/>
                <w:sz w:val="20"/>
                <w:szCs w:val="20"/>
              </w:rPr>
            </w:pPr>
          </w:p>
        </w:tc>
        <w:tc>
          <w:tcPr>
            <w:tcW w:w="442" w:type="pct"/>
            <w:vAlign w:val="center"/>
            <w:hideMark/>
          </w:tcPr>
          <w:p w14:paraId="44944178" w14:textId="77777777" w:rsidR="00000000" w:rsidRDefault="00405D16">
            <w:pPr>
              <w:spacing w:after="100"/>
              <w:rPr>
                <w:rFonts w:eastAsia="Times New Roman"/>
                <w:sz w:val="20"/>
                <w:szCs w:val="20"/>
              </w:rPr>
            </w:pPr>
          </w:p>
        </w:tc>
        <w:tc>
          <w:tcPr>
            <w:tcW w:w="5" w:type="pct"/>
            <w:vAlign w:val="center"/>
            <w:hideMark/>
          </w:tcPr>
          <w:p w14:paraId="06A067A6" w14:textId="77777777" w:rsidR="00000000" w:rsidRDefault="00405D16">
            <w:pPr>
              <w:spacing w:after="100"/>
              <w:rPr>
                <w:rFonts w:eastAsia="Times New Roman"/>
                <w:sz w:val="20"/>
                <w:szCs w:val="20"/>
              </w:rPr>
            </w:pPr>
          </w:p>
        </w:tc>
        <w:tc>
          <w:tcPr>
            <w:tcW w:w="5" w:type="pct"/>
            <w:vAlign w:val="center"/>
            <w:hideMark/>
          </w:tcPr>
          <w:p w14:paraId="52B4F09E" w14:textId="77777777" w:rsidR="00000000" w:rsidRDefault="00405D16">
            <w:pPr>
              <w:spacing w:after="100"/>
              <w:rPr>
                <w:rFonts w:eastAsia="Times New Roman"/>
                <w:sz w:val="20"/>
                <w:szCs w:val="20"/>
              </w:rPr>
            </w:pPr>
          </w:p>
        </w:tc>
        <w:tc>
          <w:tcPr>
            <w:tcW w:w="26" w:type="pct"/>
            <w:vAlign w:val="center"/>
            <w:hideMark/>
          </w:tcPr>
          <w:p w14:paraId="027FC8C6" w14:textId="77777777" w:rsidR="00000000" w:rsidRDefault="00405D16">
            <w:pPr>
              <w:spacing w:after="100"/>
              <w:rPr>
                <w:rFonts w:eastAsia="Times New Roman"/>
                <w:sz w:val="20"/>
                <w:szCs w:val="20"/>
              </w:rPr>
            </w:pPr>
          </w:p>
        </w:tc>
        <w:tc>
          <w:tcPr>
            <w:tcW w:w="5" w:type="pct"/>
            <w:vAlign w:val="center"/>
            <w:hideMark/>
          </w:tcPr>
          <w:p w14:paraId="7B461291" w14:textId="77777777" w:rsidR="00000000" w:rsidRDefault="00405D16">
            <w:pPr>
              <w:spacing w:after="100"/>
              <w:rPr>
                <w:rFonts w:eastAsia="Times New Roman"/>
                <w:sz w:val="20"/>
                <w:szCs w:val="20"/>
              </w:rPr>
            </w:pPr>
          </w:p>
        </w:tc>
        <w:tc>
          <w:tcPr>
            <w:tcW w:w="50" w:type="pct"/>
            <w:vAlign w:val="center"/>
            <w:hideMark/>
          </w:tcPr>
          <w:p w14:paraId="4A433F30" w14:textId="77777777" w:rsidR="00000000" w:rsidRDefault="00405D16">
            <w:pPr>
              <w:spacing w:after="100"/>
              <w:rPr>
                <w:rFonts w:eastAsia="Times New Roman"/>
                <w:sz w:val="20"/>
                <w:szCs w:val="20"/>
              </w:rPr>
            </w:pPr>
          </w:p>
        </w:tc>
        <w:tc>
          <w:tcPr>
            <w:tcW w:w="442" w:type="pct"/>
            <w:vAlign w:val="center"/>
            <w:hideMark/>
          </w:tcPr>
          <w:p w14:paraId="10DBDE3F" w14:textId="77777777" w:rsidR="00000000" w:rsidRDefault="00405D16">
            <w:pPr>
              <w:spacing w:after="100"/>
              <w:rPr>
                <w:rFonts w:eastAsia="Times New Roman"/>
                <w:sz w:val="20"/>
                <w:szCs w:val="20"/>
              </w:rPr>
            </w:pPr>
          </w:p>
        </w:tc>
        <w:tc>
          <w:tcPr>
            <w:tcW w:w="5" w:type="pct"/>
            <w:vAlign w:val="center"/>
            <w:hideMark/>
          </w:tcPr>
          <w:p w14:paraId="5DE9C724" w14:textId="77777777" w:rsidR="00000000" w:rsidRDefault="00405D16">
            <w:pPr>
              <w:spacing w:after="100"/>
              <w:rPr>
                <w:rFonts w:eastAsia="Times New Roman"/>
                <w:sz w:val="20"/>
                <w:szCs w:val="20"/>
              </w:rPr>
            </w:pPr>
          </w:p>
        </w:tc>
        <w:tc>
          <w:tcPr>
            <w:tcW w:w="5" w:type="pct"/>
            <w:vAlign w:val="center"/>
            <w:hideMark/>
          </w:tcPr>
          <w:p w14:paraId="6C898904" w14:textId="77777777" w:rsidR="00000000" w:rsidRDefault="00405D16">
            <w:pPr>
              <w:spacing w:after="100"/>
              <w:rPr>
                <w:rFonts w:eastAsia="Times New Roman"/>
                <w:sz w:val="20"/>
                <w:szCs w:val="20"/>
              </w:rPr>
            </w:pPr>
          </w:p>
        </w:tc>
        <w:tc>
          <w:tcPr>
            <w:tcW w:w="26" w:type="pct"/>
            <w:vAlign w:val="center"/>
            <w:hideMark/>
          </w:tcPr>
          <w:p w14:paraId="735A4F98" w14:textId="77777777" w:rsidR="00000000" w:rsidRDefault="00405D16">
            <w:pPr>
              <w:spacing w:after="100"/>
              <w:rPr>
                <w:rFonts w:eastAsia="Times New Roman"/>
                <w:sz w:val="20"/>
                <w:szCs w:val="20"/>
              </w:rPr>
            </w:pPr>
          </w:p>
        </w:tc>
        <w:tc>
          <w:tcPr>
            <w:tcW w:w="5" w:type="pct"/>
            <w:vAlign w:val="center"/>
            <w:hideMark/>
          </w:tcPr>
          <w:p w14:paraId="6AAC5ED8" w14:textId="77777777" w:rsidR="00000000" w:rsidRDefault="00405D16">
            <w:pPr>
              <w:spacing w:after="100"/>
              <w:rPr>
                <w:rFonts w:eastAsia="Times New Roman"/>
                <w:sz w:val="20"/>
                <w:szCs w:val="20"/>
              </w:rPr>
            </w:pPr>
          </w:p>
        </w:tc>
        <w:tc>
          <w:tcPr>
            <w:tcW w:w="50" w:type="pct"/>
            <w:vAlign w:val="center"/>
            <w:hideMark/>
          </w:tcPr>
          <w:p w14:paraId="71BF8292" w14:textId="77777777" w:rsidR="00000000" w:rsidRDefault="00405D16">
            <w:pPr>
              <w:spacing w:after="100"/>
              <w:rPr>
                <w:rFonts w:eastAsia="Times New Roman"/>
                <w:sz w:val="20"/>
                <w:szCs w:val="20"/>
              </w:rPr>
            </w:pPr>
          </w:p>
        </w:tc>
        <w:tc>
          <w:tcPr>
            <w:tcW w:w="442" w:type="pct"/>
            <w:vAlign w:val="center"/>
            <w:hideMark/>
          </w:tcPr>
          <w:p w14:paraId="5B010FC7" w14:textId="77777777" w:rsidR="00000000" w:rsidRDefault="00405D16">
            <w:pPr>
              <w:spacing w:after="100"/>
              <w:rPr>
                <w:rFonts w:eastAsia="Times New Roman"/>
                <w:sz w:val="20"/>
                <w:szCs w:val="20"/>
              </w:rPr>
            </w:pPr>
          </w:p>
        </w:tc>
        <w:tc>
          <w:tcPr>
            <w:tcW w:w="5" w:type="pct"/>
            <w:vAlign w:val="center"/>
            <w:hideMark/>
          </w:tcPr>
          <w:p w14:paraId="52C71F22" w14:textId="77777777" w:rsidR="00000000" w:rsidRDefault="00405D16">
            <w:pPr>
              <w:spacing w:after="100"/>
              <w:rPr>
                <w:rFonts w:eastAsia="Times New Roman"/>
                <w:sz w:val="20"/>
                <w:szCs w:val="20"/>
              </w:rPr>
            </w:pPr>
          </w:p>
        </w:tc>
        <w:tc>
          <w:tcPr>
            <w:tcW w:w="5" w:type="pct"/>
            <w:vAlign w:val="center"/>
            <w:hideMark/>
          </w:tcPr>
          <w:p w14:paraId="3C022D06" w14:textId="77777777" w:rsidR="00000000" w:rsidRDefault="00405D16">
            <w:pPr>
              <w:spacing w:after="100"/>
              <w:rPr>
                <w:rFonts w:eastAsia="Times New Roman"/>
                <w:sz w:val="20"/>
                <w:szCs w:val="20"/>
              </w:rPr>
            </w:pPr>
          </w:p>
        </w:tc>
        <w:tc>
          <w:tcPr>
            <w:tcW w:w="26" w:type="pct"/>
            <w:vAlign w:val="center"/>
            <w:hideMark/>
          </w:tcPr>
          <w:p w14:paraId="3A861892" w14:textId="77777777" w:rsidR="00000000" w:rsidRDefault="00405D16">
            <w:pPr>
              <w:spacing w:after="100"/>
              <w:rPr>
                <w:rFonts w:eastAsia="Times New Roman"/>
                <w:sz w:val="20"/>
                <w:szCs w:val="20"/>
              </w:rPr>
            </w:pPr>
          </w:p>
        </w:tc>
        <w:tc>
          <w:tcPr>
            <w:tcW w:w="5" w:type="pct"/>
            <w:vAlign w:val="center"/>
            <w:hideMark/>
          </w:tcPr>
          <w:p w14:paraId="45696744" w14:textId="77777777" w:rsidR="00000000" w:rsidRDefault="00405D16">
            <w:pPr>
              <w:spacing w:after="100"/>
              <w:rPr>
                <w:rFonts w:eastAsia="Times New Roman"/>
                <w:sz w:val="20"/>
                <w:szCs w:val="20"/>
              </w:rPr>
            </w:pPr>
          </w:p>
        </w:tc>
        <w:tc>
          <w:tcPr>
            <w:tcW w:w="50" w:type="pct"/>
            <w:vAlign w:val="center"/>
            <w:hideMark/>
          </w:tcPr>
          <w:p w14:paraId="77AB6774" w14:textId="77777777" w:rsidR="00000000" w:rsidRDefault="00405D16">
            <w:pPr>
              <w:spacing w:after="100"/>
              <w:rPr>
                <w:rFonts w:eastAsia="Times New Roman"/>
                <w:sz w:val="20"/>
                <w:szCs w:val="20"/>
              </w:rPr>
            </w:pPr>
          </w:p>
        </w:tc>
        <w:tc>
          <w:tcPr>
            <w:tcW w:w="442" w:type="pct"/>
            <w:vAlign w:val="center"/>
            <w:hideMark/>
          </w:tcPr>
          <w:p w14:paraId="05ACBF7C" w14:textId="77777777" w:rsidR="00000000" w:rsidRDefault="00405D16">
            <w:pPr>
              <w:spacing w:after="100"/>
              <w:rPr>
                <w:rFonts w:eastAsia="Times New Roman"/>
                <w:sz w:val="20"/>
                <w:szCs w:val="20"/>
              </w:rPr>
            </w:pPr>
          </w:p>
        </w:tc>
        <w:tc>
          <w:tcPr>
            <w:tcW w:w="5" w:type="pct"/>
            <w:vAlign w:val="center"/>
            <w:hideMark/>
          </w:tcPr>
          <w:p w14:paraId="4F3AB2B7" w14:textId="77777777" w:rsidR="00000000" w:rsidRDefault="00405D16">
            <w:pPr>
              <w:spacing w:after="100"/>
              <w:rPr>
                <w:rFonts w:eastAsia="Times New Roman"/>
                <w:sz w:val="20"/>
                <w:szCs w:val="20"/>
              </w:rPr>
            </w:pPr>
          </w:p>
        </w:tc>
        <w:tc>
          <w:tcPr>
            <w:tcW w:w="5" w:type="pct"/>
            <w:vAlign w:val="center"/>
            <w:hideMark/>
          </w:tcPr>
          <w:p w14:paraId="19E6F8F0" w14:textId="77777777" w:rsidR="00000000" w:rsidRDefault="00405D16">
            <w:pPr>
              <w:spacing w:after="100"/>
              <w:rPr>
                <w:rFonts w:eastAsia="Times New Roman"/>
                <w:sz w:val="20"/>
                <w:szCs w:val="20"/>
              </w:rPr>
            </w:pPr>
          </w:p>
        </w:tc>
        <w:tc>
          <w:tcPr>
            <w:tcW w:w="26" w:type="pct"/>
            <w:vAlign w:val="center"/>
            <w:hideMark/>
          </w:tcPr>
          <w:p w14:paraId="4CE8DC97" w14:textId="77777777" w:rsidR="00000000" w:rsidRDefault="00405D16">
            <w:pPr>
              <w:spacing w:after="100"/>
              <w:rPr>
                <w:rFonts w:eastAsia="Times New Roman"/>
                <w:sz w:val="20"/>
                <w:szCs w:val="20"/>
              </w:rPr>
            </w:pPr>
          </w:p>
        </w:tc>
        <w:tc>
          <w:tcPr>
            <w:tcW w:w="5" w:type="pct"/>
            <w:vAlign w:val="center"/>
            <w:hideMark/>
          </w:tcPr>
          <w:p w14:paraId="1C6358AF" w14:textId="77777777" w:rsidR="00000000" w:rsidRDefault="00405D16">
            <w:pPr>
              <w:spacing w:after="100"/>
              <w:rPr>
                <w:rFonts w:eastAsia="Times New Roman"/>
                <w:sz w:val="20"/>
                <w:szCs w:val="20"/>
              </w:rPr>
            </w:pPr>
          </w:p>
        </w:tc>
        <w:tc>
          <w:tcPr>
            <w:tcW w:w="50" w:type="pct"/>
            <w:vAlign w:val="center"/>
            <w:hideMark/>
          </w:tcPr>
          <w:p w14:paraId="2A4E0486" w14:textId="77777777" w:rsidR="00000000" w:rsidRDefault="00405D16">
            <w:pPr>
              <w:spacing w:after="100"/>
              <w:rPr>
                <w:rFonts w:eastAsia="Times New Roman"/>
                <w:sz w:val="20"/>
                <w:szCs w:val="20"/>
              </w:rPr>
            </w:pPr>
          </w:p>
        </w:tc>
        <w:tc>
          <w:tcPr>
            <w:tcW w:w="442" w:type="pct"/>
            <w:vAlign w:val="center"/>
            <w:hideMark/>
          </w:tcPr>
          <w:p w14:paraId="0E103F15" w14:textId="77777777" w:rsidR="00000000" w:rsidRDefault="00405D16">
            <w:pPr>
              <w:spacing w:after="100"/>
              <w:rPr>
                <w:rFonts w:eastAsia="Times New Roman"/>
                <w:sz w:val="20"/>
                <w:szCs w:val="20"/>
              </w:rPr>
            </w:pPr>
          </w:p>
        </w:tc>
        <w:tc>
          <w:tcPr>
            <w:tcW w:w="5" w:type="pct"/>
            <w:vAlign w:val="center"/>
            <w:hideMark/>
          </w:tcPr>
          <w:p w14:paraId="2050B729" w14:textId="77777777" w:rsidR="00000000" w:rsidRDefault="00405D16">
            <w:pPr>
              <w:spacing w:after="100"/>
              <w:rPr>
                <w:rFonts w:eastAsia="Times New Roman"/>
                <w:sz w:val="20"/>
                <w:szCs w:val="20"/>
              </w:rPr>
            </w:pPr>
          </w:p>
        </w:tc>
        <w:tc>
          <w:tcPr>
            <w:tcW w:w="0" w:type="auto"/>
            <w:vAlign w:val="center"/>
            <w:hideMark/>
          </w:tcPr>
          <w:p w14:paraId="538F7204" w14:textId="77777777" w:rsidR="00000000" w:rsidRDefault="00405D16">
            <w:pPr>
              <w:spacing w:after="100"/>
              <w:rPr>
                <w:rFonts w:eastAsia="Times New Roman"/>
                <w:sz w:val="20"/>
                <w:szCs w:val="20"/>
              </w:rPr>
            </w:pPr>
          </w:p>
        </w:tc>
      </w:tr>
      <w:tr w:rsidR="00000000" w14:paraId="5F57C596" w14:textId="77777777">
        <w:trPr>
          <w:divId w:val="1009260866"/>
        </w:trPr>
        <w:tc>
          <w:tcPr>
            <w:tcW w:w="0" w:type="auto"/>
            <w:gridSpan w:val="3"/>
            <w:tcMar>
              <w:top w:w="0" w:type="dxa"/>
              <w:left w:w="20" w:type="dxa"/>
              <w:bottom w:w="0" w:type="dxa"/>
              <w:right w:w="20" w:type="dxa"/>
            </w:tcMar>
            <w:vAlign w:val="center"/>
            <w:hideMark/>
          </w:tcPr>
          <w:p w14:paraId="7F4A52BE"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1553763" w14:textId="77777777" w:rsidR="00000000" w:rsidRDefault="00405D16">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center"/>
            <w:hideMark/>
          </w:tcPr>
          <w:p w14:paraId="1D3AAE41" w14:textId="77777777" w:rsidR="00000000" w:rsidRDefault="00405D16">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6F3BAC8E" w14:textId="77777777" w:rsidR="00000000" w:rsidRDefault="00405D16">
            <w:pPr>
              <w:spacing w:after="100"/>
              <w:jc w:val="center"/>
              <w:rPr>
                <w:rFonts w:eastAsia="Times New Roman"/>
              </w:rPr>
            </w:pPr>
          </w:p>
        </w:tc>
      </w:tr>
      <w:tr w:rsidR="00000000" w14:paraId="051B894A" w14:textId="77777777">
        <w:trPr>
          <w:divId w:val="1009260866"/>
        </w:trPr>
        <w:tc>
          <w:tcPr>
            <w:tcW w:w="0" w:type="auto"/>
            <w:gridSpan w:val="3"/>
            <w:tcMar>
              <w:top w:w="0" w:type="dxa"/>
              <w:left w:w="20" w:type="dxa"/>
              <w:bottom w:w="0" w:type="dxa"/>
              <w:right w:w="20" w:type="dxa"/>
            </w:tcMar>
            <w:vAlign w:val="center"/>
            <w:hideMark/>
          </w:tcPr>
          <w:p w14:paraId="4543EB07"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99C35B9" w14:textId="77777777" w:rsidR="00000000" w:rsidRDefault="00405D16">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center"/>
            <w:hideMark/>
          </w:tcPr>
          <w:p w14:paraId="58C5CD4D"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3761EDAC" w14:textId="77777777" w:rsidR="00000000" w:rsidRDefault="00405D16">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center"/>
            <w:hideMark/>
          </w:tcPr>
          <w:p w14:paraId="42E7AC23"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vAlign w:val="center"/>
            <w:hideMark/>
          </w:tcPr>
          <w:p w14:paraId="4CC38D96" w14:textId="77777777" w:rsidR="00000000" w:rsidRDefault="00405D16">
            <w:pPr>
              <w:spacing w:after="100"/>
              <w:jc w:val="center"/>
              <w:rPr>
                <w:rFonts w:eastAsia="Times New Roman"/>
              </w:rPr>
            </w:pPr>
          </w:p>
        </w:tc>
      </w:tr>
      <w:tr w:rsidR="00000000" w14:paraId="2D4A655A" w14:textId="77777777">
        <w:trPr>
          <w:divId w:val="1009260866"/>
        </w:trPr>
        <w:tc>
          <w:tcPr>
            <w:tcW w:w="0" w:type="auto"/>
            <w:gridSpan w:val="3"/>
            <w:shd w:val="clear" w:color="auto" w:fill="FFFFFF"/>
            <w:tcMar>
              <w:top w:w="30" w:type="dxa"/>
              <w:left w:w="20" w:type="dxa"/>
              <w:bottom w:w="30" w:type="dxa"/>
              <w:right w:w="20" w:type="dxa"/>
            </w:tcMar>
            <w:vAlign w:val="bottom"/>
            <w:hideMark/>
          </w:tcPr>
          <w:p w14:paraId="0C6E8E8A"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shd w:val="clear" w:color="auto" w:fill="FFFFFF"/>
            <w:tcMar>
              <w:top w:w="0" w:type="dxa"/>
              <w:left w:w="20" w:type="dxa"/>
              <w:bottom w:w="0" w:type="dxa"/>
              <w:right w:w="20" w:type="dxa"/>
            </w:tcMar>
            <w:vAlign w:val="center"/>
            <w:hideMark/>
          </w:tcPr>
          <w:p w14:paraId="085EEF85" w14:textId="77777777" w:rsidR="00000000" w:rsidRDefault="00405D16">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D177B50" w14:textId="77777777" w:rsidR="00000000" w:rsidRDefault="00405D16">
            <w:pPr>
              <w:spacing w:after="100"/>
              <w:jc w:val="center"/>
              <w:rPr>
                <w:rFonts w:eastAsia="Times New Roman"/>
              </w:rPr>
            </w:pPr>
            <w:r>
              <w:rPr>
                <w:rFonts w:eastAsia="Times New Roman"/>
                <w:b/>
                <w:bCs/>
                <w:color w:val="000000"/>
                <w:sz w:val="16"/>
                <w:szCs w:val="16"/>
              </w:rPr>
              <w:t>Average</w:t>
            </w:r>
            <w:r>
              <w:rPr>
                <w:rFonts w:eastAsia="Times New Roman"/>
                <w:b/>
                <w:bCs/>
                <w:color w:val="000000"/>
                <w:sz w:val="16"/>
                <w:szCs w:val="16"/>
              </w:rPr>
              <w:br/>
              <w:t>Balance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8E2762B" w14:textId="77777777" w:rsidR="00000000" w:rsidRDefault="00405D16">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2DC1BC0" w14:textId="77777777" w:rsidR="00000000" w:rsidRDefault="00405D16">
            <w:pPr>
              <w:spacing w:after="100"/>
              <w:jc w:val="center"/>
              <w:rPr>
                <w:rFonts w:eastAsia="Times New Roman"/>
              </w:rPr>
            </w:pPr>
            <w:r>
              <w:rPr>
                <w:rFonts w:eastAsia="Times New Roman"/>
                <w:b/>
                <w:bCs/>
                <w:color w:val="000000"/>
                <w:sz w:val="16"/>
                <w:szCs w:val="16"/>
              </w:rPr>
              <w:t>Interest</w:t>
            </w:r>
            <w:r>
              <w:rPr>
                <w:rFonts w:eastAsia="Times New Roman"/>
                <w:b/>
                <w:bCs/>
                <w:color w:val="000000"/>
                <w:sz w:val="16"/>
                <w:szCs w:val="16"/>
              </w:rPr>
              <w:br/>
              <w:t>Expense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1215D35" w14:textId="77777777" w:rsidR="00000000" w:rsidRDefault="00405D16">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8018688" w14:textId="77777777" w:rsidR="00000000" w:rsidRDefault="00405D16">
            <w:pPr>
              <w:spacing w:after="100"/>
              <w:jc w:val="center"/>
              <w:rPr>
                <w:rFonts w:eastAsia="Times New Roman"/>
              </w:rPr>
            </w:pPr>
            <w:r>
              <w:rPr>
                <w:rFonts w:eastAsia="Times New Roman"/>
                <w:b/>
                <w:bCs/>
                <w:color w:val="000000"/>
                <w:sz w:val="16"/>
                <w:szCs w:val="16"/>
              </w:rPr>
              <w:t>Average</w:t>
            </w:r>
            <w:r>
              <w:rPr>
                <w:rFonts w:eastAsia="Times New Roman"/>
                <w:b/>
                <w:bCs/>
                <w:color w:val="000000"/>
                <w:sz w:val="16"/>
                <w:szCs w:val="16"/>
              </w:rPr>
              <w:br/>
              <w:t>Deposits</w:t>
            </w:r>
            <w:r>
              <w:rPr>
                <w:rFonts w:eastAsia="Times New Roman"/>
                <w:b/>
                <w:bCs/>
                <w:color w:val="000000"/>
                <w:sz w:val="16"/>
                <w:szCs w:val="16"/>
              </w:rPr>
              <w:br/>
              <w:t>Interest Rate</w:t>
            </w:r>
          </w:p>
        </w:tc>
        <w:tc>
          <w:tcPr>
            <w:tcW w:w="0" w:type="auto"/>
            <w:gridSpan w:val="3"/>
            <w:shd w:val="clear" w:color="auto" w:fill="FFFFFF"/>
            <w:tcMar>
              <w:top w:w="0" w:type="dxa"/>
              <w:left w:w="20" w:type="dxa"/>
              <w:bottom w:w="0" w:type="dxa"/>
              <w:right w:w="20" w:type="dxa"/>
            </w:tcMar>
            <w:vAlign w:val="center"/>
            <w:hideMark/>
          </w:tcPr>
          <w:p w14:paraId="2D92E5CD" w14:textId="77777777" w:rsidR="00000000" w:rsidRDefault="00405D16">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786AD81" w14:textId="77777777" w:rsidR="00000000" w:rsidRDefault="00405D16">
            <w:pPr>
              <w:spacing w:after="100"/>
              <w:jc w:val="center"/>
              <w:rPr>
                <w:rFonts w:eastAsia="Times New Roman"/>
              </w:rPr>
            </w:pPr>
            <w:r>
              <w:rPr>
                <w:rFonts w:eastAsia="Times New Roman"/>
                <w:b/>
                <w:bCs/>
                <w:color w:val="000000"/>
                <w:sz w:val="16"/>
                <w:szCs w:val="16"/>
              </w:rPr>
              <w:t>Average</w:t>
            </w:r>
            <w:r>
              <w:rPr>
                <w:rFonts w:eastAsia="Times New Roman"/>
                <w:b/>
                <w:bCs/>
                <w:color w:val="000000"/>
                <w:sz w:val="16"/>
                <w:szCs w:val="16"/>
              </w:rPr>
              <w:br/>
              <w:t>Balance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4BB2B5F" w14:textId="77777777" w:rsidR="00000000" w:rsidRDefault="00405D16">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B7B9895" w14:textId="77777777" w:rsidR="00000000" w:rsidRDefault="00405D16">
            <w:pPr>
              <w:spacing w:after="100"/>
              <w:jc w:val="center"/>
              <w:rPr>
                <w:rFonts w:eastAsia="Times New Roman"/>
              </w:rPr>
            </w:pPr>
            <w:r>
              <w:rPr>
                <w:rFonts w:eastAsia="Times New Roman"/>
                <w:b/>
                <w:bCs/>
                <w:color w:val="000000"/>
                <w:sz w:val="16"/>
                <w:szCs w:val="16"/>
              </w:rPr>
              <w:t>Interest</w:t>
            </w:r>
            <w:r>
              <w:rPr>
                <w:rFonts w:eastAsia="Times New Roman"/>
                <w:b/>
                <w:bCs/>
                <w:color w:val="000000"/>
                <w:sz w:val="16"/>
                <w:szCs w:val="16"/>
              </w:rPr>
              <w:br/>
              <w:t>Expense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F994107" w14:textId="77777777" w:rsidR="00000000" w:rsidRDefault="00405D16">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5608C85" w14:textId="77777777" w:rsidR="00000000" w:rsidRDefault="00405D16">
            <w:pPr>
              <w:spacing w:after="100"/>
              <w:jc w:val="center"/>
              <w:rPr>
                <w:rFonts w:eastAsia="Times New Roman"/>
              </w:rPr>
            </w:pPr>
            <w:r>
              <w:rPr>
                <w:rFonts w:eastAsia="Times New Roman"/>
                <w:b/>
                <w:bCs/>
                <w:color w:val="000000"/>
                <w:sz w:val="16"/>
                <w:szCs w:val="16"/>
              </w:rPr>
              <w:t>Average</w:t>
            </w:r>
            <w:r>
              <w:rPr>
                <w:rFonts w:eastAsia="Times New Roman"/>
                <w:b/>
                <w:bCs/>
                <w:color w:val="000000"/>
                <w:sz w:val="16"/>
                <w:szCs w:val="16"/>
              </w:rPr>
              <w:br/>
              <w:t>Deposits</w:t>
            </w:r>
            <w:r>
              <w:rPr>
                <w:rFonts w:eastAsia="Times New Roman"/>
                <w:b/>
                <w:bCs/>
                <w:color w:val="000000"/>
                <w:sz w:val="16"/>
                <w:szCs w:val="16"/>
              </w:rPr>
              <w:br/>
              <w:t>Interest Rate</w:t>
            </w:r>
          </w:p>
        </w:tc>
        <w:tc>
          <w:tcPr>
            <w:tcW w:w="0" w:type="auto"/>
            <w:vAlign w:val="center"/>
            <w:hideMark/>
          </w:tcPr>
          <w:p w14:paraId="43FBC892" w14:textId="77777777" w:rsidR="00000000" w:rsidRDefault="00405D16">
            <w:pPr>
              <w:spacing w:after="100"/>
              <w:jc w:val="center"/>
              <w:rPr>
                <w:rFonts w:eastAsia="Times New Roman"/>
              </w:rPr>
            </w:pPr>
          </w:p>
        </w:tc>
      </w:tr>
      <w:tr w:rsidR="00000000" w14:paraId="69CA501A" w14:textId="77777777">
        <w:trPr>
          <w:divId w:val="1009260866"/>
        </w:trPr>
        <w:tc>
          <w:tcPr>
            <w:tcW w:w="0" w:type="auto"/>
            <w:gridSpan w:val="3"/>
            <w:shd w:val="clear" w:color="auto" w:fill="CCEEFF"/>
            <w:tcMar>
              <w:top w:w="30" w:type="dxa"/>
              <w:left w:w="20" w:type="dxa"/>
              <w:bottom w:w="30" w:type="dxa"/>
              <w:right w:w="20" w:type="dxa"/>
            </w:tcMar>
            <w:vAlign w:val="center"/>
            <w:hideMark/>
          </w:tcPr>
          <w:p w14:paraId="1A1EFF25" w14:textId="77777777" w:rsidR="00000000" w:rsidRDefault="00405D16">
            <w:pPr>
              <w:spacing w:after="100"/>
              <w:divId w:val="176502889"/>
              <w:rPr>
                <w:rFonts w:eastAsia="Times New Roman"/>
              </w:rPr>
            </w:pPr>
            <w:r>
              <w:rPr>
                <w:rFonts w:eastAsia="Times New Roman"/>
                <w:color w:val="000000"/>
                <w:sz w:val="18"/>
                <w:szCs w:val="18"/>
              </w:rPr>
              <w:t>Interest-bearing checking account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322EF2ED"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E2A48AF"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7335291" w14:textId="77777777" w:rsidR="00000000" w:rsidRDefault="00405D16">
            <w:pPr>
              <w:spacing w:after="100"/>
              <w:jc w:val="right"/>
              <w:rPr>
                <w:rFonts w:eastAsia="Times New Roman"/>
              </w:rPr>
            </w:pPr>
            <w:r>
              <w:rPr>
                <w:rFonts w:eastAsia="Times New Roman"/>
                <w:b/>
                <w:bCs/>
                <w:color w:val="000000"/>
                <w:sz w:val="18"/>
                <w:szCs w:val="18"/>
              </w:rPr>
              <w:t>44,153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6F35B3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FF4552"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C130354"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0736B41" w14:textId="77777777" w:rsidR="00000000" w:rsidRDefault="00405D16">
            <w:pPr>
              <w:spacing w:after="100"/>
              <w:jc w:val="right"/>
              <w:rPr>
                <w:rFonts w:eastAsia="Times New Roman"/>
              </w:rPr>
            </w:pPr>
            <w:r>
              <w:rPr>
                <w:rFonts w:eastAsia="Times New Roman"/>
                <w:b/>
                <w:bCs/>
                <w:color w:val="000000"/>
                <w:sz w:val="18"/>
                <w:szCs w:val="18"/>
              </w:rPr>
              <w:t>56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6E6903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37E567"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9685C36" w14:textId="77777777" w:rsidR="00000000" w:rsidRDefault="00405D16">
            <w:pPr>
              <w:spacing w:after="100"/>
              <w:jc w:val="right"/>
              <w:rPr>
                <w:rFonts w:eastAsia="Times New Roman"/>
              </w:rPr>
            </w:pPr>
            <w:r>
              <w:rPr>
                <w:rFonts w:eastAsia="Times New Roman"/>
                <w:b/>
                <w:bCs/>
                <w:color w:val="000000"/>
                <w:sz w:val="18"/>
                <w:szCs w:val="18"/>
              </w:rPr>
              <w:t>0.17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3A65B82"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0116689"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978D95"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1F519D" w14:textId="77777777" w:rsidR="00000000" w:rsidRDefault="00405D16">
            <w:pPr>
              <w:spacing w:after="100"/>
              <w:jc w:val="right"/>
              <w:rPr>
                <w:rFonts w:eastAsia="Times New Roman"/>
              </w:rPr>
            </w:pPr>
            <w:r>
              <w:rPr>
                <w:rFonts w:eastAsia="Times New Roman"/>
                <w:color w:val="000000"/>
                <w:sz w:val="18"/>
                <w:szCs w:val="18"/>
              </w:rPr>
              <w:t>36,201 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8ACE9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259AC2"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CAEB4A8"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5556301" w14:textId="77777777" w:rsidR="00000000" w:rsidRDefault="00405D16">
            <w:pPr>
              <w:spacing w:after="100"/>
              <w:jc w:val="right"/>
              <w:rPr>
                <w:rFonts w:eastAsia="Times New Roman"/>
              </w:rPr>
            </w:pPr>
            <w:r>
              <w:rPr>
                <w:rFonts w:eastAsia="Times New Roman"/>
                <w:color w:val="000000"/>
                <w:sz w:val="18"/>
                <w:szCs w:val="18"/>
              </w:rPr>
              <w:t>106 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C3EC4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4BAA7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BD6A4AB" w14:textId="77777777" w:rsidR="00000000" w:rsidRDefault="00405D16">
            <w:pPr>
              <w:spacing w:after="100"/>
              <w:jc w:val="right"/>
              <w:rPr>
                <w:rFonts w:eastAsia="Times New Roman"/>
              </w:rPr>
            </w:pPr>
            <w:r>
              <w:rPr>
                <w:rFonts w:eastAsia="Times New Roman"/>
                <w:color w:val="000000"/>
                <w:sz w:val="18"/>
                <w:szCs w:val="18"/>
              </w:rPr>
              <w:t>0.39 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477F203" w14:textId="77777777" w:rsidR="00000000" w:rsidRDefault="00405D16">
            <w:pPr>
              <w:spacing w:after="100"/>
              <w:rPr>
                <w:rFonts w:eastAsia="Times New Roman"/>
              </w:rPr>
            </w:pPr>
            <w:r>
              <w:rPr>
                <w:rFonts w:eastAsia="Times New Roman"/>
                <w:color w:val="000000"/>
                <w:sz w:val="18"/>
                <w:szCs w:val="18"/>
              </w:rPr>
              <w:t>%</w:t>
            </w:r>
          </w:p>
        </w:tc>
        <w:tc>
          <w:tcPr>
            <w:tcW w:w="0" w:type="auto"/>
            <w:vAlign w:val="center"/>
            <w:hideMark/>
          </w:tcPr>
          <w:p w14:paraId="688C4F47" w14:textId="77777777" w:rsidR="00000000" w:rsidRDefault="00405D16">
            <w:pPr>
              <w:spacing w:after="100"/>
              <w:rPr>
                <w:rFonts w:eastAsia="Times New Roman"/>
              </w:rPr>
            </w:pPr>
          </w:p>
        </w:tc>
      </w:tr>
      <w:tr w:rsidR="00000000" w14:paraId="20230F9F" w14:textId="77777777">
        <w:trPr>
          <w:divId w:val="1009260866"/>
        </w:trPr>
        <w:tc>
          <w:tcPr>
            <w:tcW w:w="0" w:type="auto"/>
            <w:gridSpan w:val="3"/>
            <w:shd w:val="clear" w:color="auto" w:fill="FFFFFF"/>
            <w:tcMar>
              <w:top w:w="30" w:type="dxa"/>
              <w:left w:w="20" w:type="dxa"/>
              <w:bottom w:w="30" w:type="dxa"/>
              <w:right w:w="20" w:type="dxa"/>
            </w:tcMar>
            <w:vAlign w:val="center"/>
            <w:hideMark/>
          </w:tcPr>
          <w:p w14:paraId="116FD236" w14:textId="77777777" w:rsidR="00000000" w:rsidRDefault="00405D16">
            <w:pPr>
              <w:spacing w:after="100"/>
              <w:divId w:val="999769605"/>
              <w:rPr>
                <w:rFonts w:eastAsia="Times New Roman"/>
              </w:rPr>
            </w:pPr>
            <w:r>
              <w:rPr>
                <w:rFonts w:eastAsia="Times New Roman"/>
                <w:color w:val="000000"/>
                <w:sz w:val="18"/>
                <w:szCs w:val="18"/>
              </w:rPr>
              <w:t>Saving deposit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09E01027"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3D853EC" w14:textId="77777777" w:rsidR="00000000" w:rsidRDefault="00405D16">
            <w:pPr>
              <w:spacing w:after="100"/>
              <w:jc w:val="right"/>
              <w:rPr>
                <w:rFonts w:eastAsia="Times New Roman"/>
              </w:rPr>
            </w:pPr>
            <w:r>
              <w:rPr>
                <w:rFonts w:eastAsia="Times New Roman"/>
                <w:b/>
                <w:bCs/>
                <w:color w:val="000000"/>
                <w:sz w:val="18"/>
                <w:szCs w:val="18"/>
              </w:rPr>
              <w:t>203,127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D1887E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23B7C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24D88D0" w14:textId="77777777" w:rsidR="00000000" w:rsidRDefault="00405D16">
            <w:pPr>
              <w:spacing w:after="100"/>
              <w:jc w:val="right"/>
              <w:rPr>
                <w:rFonts w:eastAsia="Times New Roman"/>
              </w:rPr>
            </w:pPr>
            <w:r>
              <w:rPr>
                <w:rFonts w:eastAsia="Times New Roman"/>
                <w:b/>
                <w:bCs/>
                <w:color w:val="000000"/>
                <w:sz w:val="18"/>
                <w:szCs w:val="18"/>
              </w:rPr>
              <w:t>472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386464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435D9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06A92D1" w14:textId="77777777" w:rsidR="00000000" w:rsidRDefault="00405D16">
            <w:pPr>
              <w:spacing w:after="100"/>
              <w:jc w:val="right"/>
              <w:rPr>
                <w:rFonts w:eastAsia="Times New Roman"/>
              </w:rPr>
            </w:pPr>
            <w:r>
              <w:rPr>
                <w:rFonts w:eastAsia="Times New Roman"/>
                <w:b/>
                <w:bCs/>
                <w:color w:val="000000"/>
                <w:sz w:val="18"/>
                <w:szCs w:val="18"/>
              </w:rPr>
              <w:t>0.31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38F4CC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80EA2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A47445" w14:textId="77777777" w:rsidR="00000000" w:rsidRDefault="00405D16">
            <w:pPr>
              <w:spacing w:after="100"/>
              <w:jc w:val="right"/>
              <w:rPr>
                <w:rFonts w:eastAsia="Times New Roman"/>
              </w:rPr>
            </w:pPr>
            <w:r>
              <w:rPr>
                <w:rFonts w:eastAsia="Times New Roman"/>
                <w:color w:val="000000"/>
                <w:sz w:val="18"/>
                <w:szCs w:val="18"/>
              </w:rPr>
              <w:t>179,643 </w:t>
            </w:r>
          </w:p>
        </w:tc>
        <w:tc>
          <w:tcPr>
            <w:tcW w:w="0" w:type="auto"/>
            <w:shd w:val="clear" w:color="auto" w:fill="FFFFFF"/>
            <w:tcMar>
              <w:top w:w="30" w:type="dxa"/>
              <w:left w:w="0" w:type="dxa"/>
              <w:bottom w:w="30" w:type="dxa"/>
              <w:right w:w="20" w:type="dxa"/>
            </w:tcMar>
            <w:vAlign w:val="bottom"/>
            <w:hideMark/>
          </w:tcPr>
          <w:p w14:paraId="6F0D768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89BFE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933804" w14:textId="77777777" w:rsidR="00000000" w:rsidRDefault="00405D16">
            <w:pPr>
              <w:spacing w:after="100"/>
              <w:jc w:val="right"/>
              <w:rPr>
                <w:rFonts w:eastAsia="Times New Roman"/>
              </w:rPr>
            </w:pPr>
            <w:r>
              <w:rPr>
                <w:rFonts w:eastAsia="Times New Roman"/>
                <w:color w:val="000000"/>
                <w:sz w:val="18"/>
                <w:szCs w:val="18"/>
              </w:rPr>
              <w:t>1,085 </w:t>
            </w:r>
          </w:p>
        </w:tc>
        <w:tc>
          <w:tcPr>
            <w:tcW w:w="0" w:type="auto"/>
            <w:shd w:val="clear" w:color="auto" w:fill="FFFFFF"/>
            <w:tcMar>
              <w:top w:w="30" w:type="dxa"/>
              <w:left w:w="0" w:type="dxa"/>
              <w:bottom w:w="30" w:type="dxa"/>
              <w:right w:w="20" w:type="dxa"/>
            </w:tcMar>
            <w:vAlign w:val="bottom"/>
            <w:hideMark/>
          </w:tcPr>
          <w:p w14:paraId="0FD8AF1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C2FE8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1AC02E0" w14:textId="77777777" w:rsidR="00000000" w:rsidRDefault="00405D16">
            <w:pPr>
              <w:spacing w:after="100"/>
              <w:jc w:val="right"/>
              <w:rPr>
                <w:rFonts w:eastAsia="Times New Roman"/>
              </w:rPr>
            </w:pPr>
            <w:r>
              <w:rPr>
                <w:rFonts w:eastAsia="Times New Roman"/>
                <w:color w:val="000000"/>
                <w:sz w:val="18"/>
                <w:szCs w:val="18"/>
              </w:rPr>
              <w:t>0.81 </w:t>
            </w:r>
          </w:p>
        </w:tc>
        <w:tc>
          <w:tcPr>
            <w:tcW w:w="0" w:type="auto"/>
            <w:shd w:val="clear" w:color="auto" w:fill="FFFFFF"/>
            <w:tcMar>
              <w:top w:w="30" w:type="dxa"/>
              <w:left w:w="0" w:type="dxa"/>
              <w:bottom w:w="30" w:type="dxa"/>
              <w:right w:w="20" w:type="dxa"/>
            </w:tcMar>
            <w:vAlign w:val="center"/>
            <w:hideMark/>
          </w:tcPr>
          <w:p w14:paraId="3EF6FFD3" w14:textId="77777777" w:rsidR="00000000" w:rsidRDefault="00405D16">
            <w:pPr>
              <w:spacing w:after="100"/>
              <w:jc w:val="right"/>
              <w:rPr>
                <w:rFonts w:eastAsia="Times New Roman"/>
              </w:rPr>
            </w:pPr>
          </w:p>
        </w:tc>
        <w:tc>
          <w:tcPr>
            <w:tcW w:w="0" w:type="auto"/>
            <w:vAlign w:val="center"/>
            <w:hideMark/>
          </w:tcPr>
          <w:p w14:paraId="24C12131" w14:textId="77777777" w:rsidR="00000000" w:rsidRDefault="00405D16">
            <w:pPr>
              <w:spacing w:after="100"/>
              <w:jc w:val="right"/>
              <w:rPr>
                <w:rFonts w:eastAsia="Times New Roman"/>
                <w:sz w:val="20"/>
                <w:szCs w:val="20"/>
              </w:rPr>
            </w:pPr>
          </w:p>
        </w:tc>
      </w:tr>
      <w:tr w:rsidR="00000000" w14:paraId="5E10E841" w14:textId="77777777">
        <w:trPr>
          <w:divId w:val="1009260866"/>
        </w:trPr>
        <w:tc>
          <w:tcPr>
            <w:tcW w:w="0" w:type="auto"/>
            <w:gridSpan w:val="3"/>
            <w:shd w:val="clear" w:color="auto" w:fill="CCEEFF"/>
            <w:tcMar>
              <w:top w:w="30" w:type="dxa"/>
              <w:left w:w="20" w:type="dxa"/>
              <w:bottom w:w="30" w:type="dxa"/>
              <w:right w:w="20" w:type="dxa"/>
            </w:tcMar>
            <w:vAlign w:val="center"/>
            <w:hideMark/>
          </w:tcPr>
          <w:p w14:paraId="7C1B10CA" w14:textId="77777777" w:rsidR="00000000" w:rsidRDefault="00405D16">
            <w:pPr>
              <w:spacing w:after="100"/>
              <w:rPr>
                <w:rFonts w:eastAsia="Times New Roman"/>
              </w:rPr>
            </w:pPr>
            <w:r>
              <w:rPr>
                <w:rFonts w:eastAsia="Times New Roman"/>
                <w:color w:val="000000"/>
                <w:sz w:val="18"/>
                <w:szCs w:val="18"/>
              </w:rPr>
              <w:t>Time deposits less than $100,000</w:t>
            </w:r>
          </w:p>
        </w:tc>
        <w:tc>
          <w:tcPr>
            <w:tcW w:w="0" w:type="auto"/>
            <w:gridSpan w:val="3"/>
            <w:shd w:val="clear" w:color="auto" w:fill="CCEEFF"/>
            <w:tcMar>
              <w:top w:w="0" w:type="dxa"/>
              <w:left w:w="20" w:type="dxa"/>
              <w:bottom w:w="0" w:type="dxa"/>
              <w:right w:w="20" w:type="dxa"/>
            </w:tcMar>
            <w:vAlign w:val="center"/>
            <w:hideMark/>
          </w:tcPr>
          <w:p w14:paraId="356000E8"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F0F90EF" w14:textId="77777777" w:rsidR="00000000" w:rsidRDefault="00405D16">
            <w:pPr>
              <w:spacing w:after="100"/>
              <w:jc w:val="right"/>
              <w:rPr>
                <w:rFonts w:eastAsia="Times New Roman"/>
              </w:rPr>
            </w:pPr>
            <w:r>
              <w:rPr>
                <w:rFonts w:eastAsia="Times New Roman"/>
                <w:b/>
                <w:bCs/>
                <w:color w:val="000000"/>
                <w:sz w:val="18"/>
                <w:szCs w:val="18"/>
              </w:rPr>
              <w:t>17,136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337F3B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8CC97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8196685" w14:textId="77777777" w:rsidR="00000000" w:rsidRDefault="00405D16">
            <w:pPr>
              <w:spacing w:after="100"/>
              <w:jc w:val="right"/>
              <w:rPr>
                <w:rFonts w:eastAsia="Times New Roman"/>
              </w:rPr>
            </w:pPr>
            <w:r>
              <w:rPr>
                <w:rFonts w:eastAsia="Times New Roman"/>
                <w:b/>
                <w:bCs/>
                <w:color w:val="000000"/>
                <w:sz w:val="18"/>
                <w:szCs w:val="18"/>
              </w:rPr>
              <w:t>153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17ECE1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B41C2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0A98E17" w14:textId="77777777" w:rsidR="00000000" w:rsidRDefault="00405D16">
            <w:pPr>
              <w:spacing w:after="100"/>
              <w:jc w:val="right"/>
              <w:rPr>
                <w:rFonts w:eastAsia="Times New Roman"/>
              </w:rPr>
            </w:pPr>
            <w:r>
              <w:rPr>
                <w:rFonts w:eastAsia="Times New Roman"/>
                <w:b/>
                <w:bCs/>
                <w:color w:val="000000"/>
                <w:sz w:val="18"/>
                <w:szCs w:val="18"/>
              </w:rPr>
              <w:t>1.19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3BCD47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30618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195E23" w14:textId="77777777" w:rsidR="00000000" w:rsidRDefault="00405D16">
            <w:pPr>
              <w:spacing w:after="100"/>
              <w:jc w:val="right"/>
              <w:rPr>
                <w:rFonts w:eastAsia="Times New Roman"/>
              </w:rPr>
            </w:pPr>
            <w:r>
              <w:rPr>
                <w:rFonts w:eastAsia="Times New Roman"/>
                <w:color w:val="000000"/>
                <w:sz w:val="18"/>
                <w:szCs w:val="18"/>
              </w:rPr>
              <w:t>27,477 </w:t>
            </w:r>
          </w:p>
        </w:tc>
        <w:tc>
          <w:tcPr>
            <w:tcW w:w="0" w:type="auto"/>
            <w:shd w:val="clear" w:color="auto" w:fill="CCEEFF"/>
            <w:tcMar>
              <w:top w:w="30" w:type="dxa"/>
              <w:left w:w="0" w:type="dxa"/>
              <w:bottom w:w="30" w:type="dxa"/>
              <w:right w:w="20" w:type="dxa"/>
            </w:tcMar>
            <w:vAlign w:val="bottom"/>
            <w:hideMark/>
          </w:tcPr>
          <w:p w14:paraId="253D617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D122F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384169" w14:textId="77777777" w:rsidR="00000000" w:rsidRDefault="00405D16">
            <w:pPr>
              <w:spacing w:after="100"/>
              <w:jc w:val="right"/>
              <w:rPr>
                <w:rFonts w:eastAsia="Times New Roman"/>
              </w:rPr>
            </w:pPr>
            <w:r>
              <w:rPr>
                <w:rFonts w:eastAsia="Times New Roman"/>
                <w:color w:val="000000"/>
                <w:sz w:val="18"/>
                <w:szCs w:val="18"/>
              </w:rPr>
              <w:t>407 </w:t>
            </w:r>
          </w:p>
        </w:tc>
        <w:tc>
          <w:tcPr>
            <w:tcW w:w="0" w:type="auto"/>
            <w:shd w:val="clear" w:color="auto" w:fill="CCEEFF"/>
            <w:tcMar>
              <w:top w:w="30" w:type="dxa"/>
              <w:left w:w="0" w:type="dxa"/>
              <w:bottom w:w="30" w:type="dxa"/>
              <w:right w:w="20" w:type="dxa"/>
            </w:tcMar>
            <w:vAlign w:val="bottom"/>
            <w:hideMark/>
          </w:tcPr>
          <w:p w14:paraId="213262D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078CB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DAEB09C" w14:textId="77777777" w:rsidR="00000000" w:rsidRDefault="00405D16">
            <w:pPr>
              <w:spacing w:after="100"/>
              <w:jc w:val="right"/>
              <w:rPr>
                <w:rFonts w:eastAsia="Times New Roman"/>
              </w:rPr>
            </w:pPr>
            <w:r>
              <w:rPr>
                <w:rFonts w:eastAsia="Times New Roman"/>
                <w:color w:val="000000"/>
                <w:sz w:val="18"/>
                <w:szCs w:val="18"/>
              </w:rPr>
              <w:t>1.98 </w:t>
            </w:r>
          </w:p>
        </w:tc>
        <w:tc>
          <w:tcPr>
            <w:tcW w:w="0" w:type="auto"/>
            <w:shd w:val="clear" w:color="auto" w:fill="CCEEFF"/>
            <w:tcMar>
              <w:top w:w="30" w:type="dxa"/>
              <w:left w:w="0" w:type="dxa"/>
              <w:bottom w:w="30" w:type="dxa"/>
              <w:right w:w="20" w:type="dxa"/>
            </w:tcMar>
            <w:vAlign w:val="center"/>
            <w:hideMark/>
          </w:tcPr>
          <w:p w14:paraId="21BA1FE0" w14:textId="77777777" w:rsidR="00000000" w:rsidRDefault="00405D16">
            <w:pPr>
              <w:spacing w:after="100"/>
              <w:jc w:val="right"/>
              <w:rPr>
                <w:rFonts w:eastAsia="Times New Roman"/>
              </w:rPr>
            </w:pPr>
          </w:p>
        </w:tc>
        <w:tc>
          <w:tcPr>
            <w:tcW w:w="0" w:type="auto"/>
            <w:vAlign w:val="center"/>
            <w:hideMark/>
          </w:tcPr>
          <w:p w14:paraId="7C65879F" w14:textId="77777777" w:rsidR="00000000" w:rsidRDefault="00405D16">
            <w:pPr>
              <w:spacing w:after="100"/>
              <w:jc w:val="right"/>
              <w:rPr>
                <w:rFonts w:eastAsia="Times New Roman"/>
                <w:sz w:val="20"/>
                <w:szCs w:val="20"/>
              </w:rPr>
            </w:pPr>
          </w:p>
        </w:tc>
      </w:tr>
      <w:tr w:rsidR="00000000" w14:paraId="7C995589" w14:textId="77777777">
        <w:trPr>
          <w:divId w:val="1009260866"/>
        </w:trPr>
        <w:tc>
          <w:tcPr>
            <w:tcW w:w="0" w:type="auto"/>
            <w:gridSpan w:val="3"/>
            <w:shd w:val="clear" w:color="auto" w:fill="FFFFFF"/>
            <w:tcMar>
              <w:top w:w="30" w:type="dxa"/>
              <w:left w:w="155" w:type="dxa"/>
              <w:bottom w:w="30" w:type="dxa"/>
              <w:right w:w="20" w:type="dxa"/>
            </w:tcMar>
            <w:vAlign w:val="center"/>
            <w:hideMark/>
          </w:tcPr>
          <w:p w14:paraId="49AAEB71" w14:textId="77777777" w:rsidR="00000000" w:rsidRDefault="00405D16">
            <w:pPr>
              <w:spacing w:after="100"/>
              <w:rPr>
                <w:rFonts w:eastAsia="Times New Roman"/>
              </w:rPr>
            </w:pPr>
            <w:r>
              <w:rPr>
                <w:rFonts w:eastAsia="Times New Roman"/>
                <w:color w:val="000000"/>
                <w:sz w:val="18"/>
                <w:szCs w:val="18"/>
              </w:rPr>
              <w:t>Total interest-bearing core deposits</w:t>
            </w:r>
          </w:p>
        </w:tc>
        <w:tc>
          <w:tcPr>
            <w:tcW w:w="0" w:type="auto"/>
            <w:gridSpan w:val="3"/>
            <w:shd w:val="clear" w:color="auto" w:fill="FFFFFF"/>
            <w:tcMar>
              <w:top w:w="0" w:type="dxa"/>
              <w:left w:w="20" w:type="dxa"/>
              <w:bottom w:w="0" w:type="dxa"/>
              <w:right w:w="20" w:type="dxa"/>
            </w:tcMar>
            <w:vAlign w:val="center"/>
            <w:hideMark/>
          </w:tcPr>
          <w:p w14:paraId="3D17221F"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B84D175" w14:textId="77777777" w:rsidR="00000000" w:rsidRDefault="00405D16">
            <w:pPr>
              <w:spacing w:after="100"/>
              <w:jc w:val="right"/>
              <w:rPr>
                <w:rFonts w:eastAsia="Times New Roman"/>
              </w:rPr>
            </w:pPr>
            <w:r>
              <w:rPr>
                <w:rFonts w:eastAsia="Times New Roman"/>
                <w:b/>
                <w:bCs/>
                <w:color w:val="000000"/>
                <w:sz w:val="18"/>
                <w:szCs w:val="18"/>
              </w:rPr>
              <w:t>264,416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164594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C30371"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167D481" w14:textId="77777777" w:rsidR="00000000" w:rsidRDefault="00405D16">
            <w:pPr>
              <w:spacing w:after="100"/>
              <w:jc w:val="right"/>
              <w:rPr>
                <w:rFonts w:eastAsia="Times New Roman"/>
              </w:rPr>
            </w:pPr>
            <w:r>
              <w:rPr>
                <w:rFonts w:eastAsia="Times New Roman"/>
                <w:b/>
                <w:bCs/>
                <w:color w:val="000000"/>
                <w:sz w:val="18"/>
                <w:szCs w:val="18"/>
              </w:rPr>
              <w:t>681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750132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FBCB8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7BB1C3B" w14:textId="77777777" w:rsidR="00000000" w:rsidRDefault="00405D16">
            <w:pPr>
              <w:spacing w:after="100"/>
              <w:jc w:val="right"/>
              <w:rPr>
                <w:rFonts w:eastAsia="Times New Roman"/>
              </w:rPr>
            </w:pPr>
            <w:r>
              <w:rPr>
                <w:rFonts w:eastAsia="Times New Roman"/>
                <w:b/>
                <w:bCs/>
                <w:color w:val="000000"/>
                <w:sz w:val="18"/>
                <w:szCs w:val="18"/>
              </w:rPr>
              <w:t>0.34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036F3C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31F14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2030E09" w14:textId="77777777" w:rsidR="00000000" w:rsidRDefault="00405D16">
            <w:pPr>
              <w:spacing w:after="100"/>
              <w:jc w:val="right"/>
              <w:rPr>
                <w:rFonts w:eastAsia="Times New Roman"/>
              </w:rPr>
            </w:pPr>
            <w:r>
              <w:rPr>
                <w:rFonts w:eastAsia="Times New Roman"/>
                <w:color w:val="000000"/>
                <w:sz w:val="18"/>
                <w:szCs w:val="18"/>
              </w:rPr>
              <w:t>243,321 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3E3AC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62818C"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E109EBE" w14:textId="77777777" w:rsidR="00000000" w:rsidRDefault="00405D16">
            <w:pPr>
              <w:spacing w:after="100"/>
              <w:jc w:val="right"/>
              <w:rPr>
                <w:rFonts w:eastAsia="Times New Roman"/>
              </w:rPr>
            </w:pPr>
            <w:r>
              <w:rPr>
                <w:rFonts w:eastAsia="Times New Roman"/>
                <w:color w:val="000000"/>
                <w:sz w:val="18"/>
                <w:szCs w:val="18"/>
              </w:rPr>
              <w:t>1,598 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EA6B26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17931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F7248CB" w14:textId="77777777" w:rsidR="00000000" w:rsidRDefault="00405D16">
            <w:pPr>
              <w:spacing w:after="100"/>
              <w:jc w:val="right"/>
              <w:rPr>
                <w:rFonts w:eastAsia="Times New Roman"/>
              </w:rPr>
            </w:pPr>
            <w:r>
              <w:rPr>
                <w:rFonts w:eastAsia="Times New Roman"/>
                <w:color w:val="000000"/>
                <w:sz w:val="18"/>
                <w:szCs w:val="18"/>
              </w:rPr>
              <w:t>0.88 </w:t>
            </w:r>
          </w:p>
        </w:tc>
        <w:tc>
          <w:tcPr>
            <w:tcW w:w="0" w:type="auto"/>
            <w:shd w:val="clear" w:color="auto" w:fill="FFFFFF"/>
            <w:tcMar>
              <w:top w:w="30" w:type="dxa"/>
              <w:left w:w="0" w:type="dxa"/>
              <w:bottom w:w="30" w:type="dxa"/>
              <w:right w:w="20" w:type="dxa"/>
            </w:tcMar>
            <w:vAlign w:val="center"/>
            <w:hideMark/>
          </w:tcPr>
          <w:p w14:paraId="3E5F8E8E" w14:textId="77777777" w:rsidR="00000000" w:rsidRDefault="00405D16">
            <w:pPr>
              <w:spacing w:after="100"/>
              <w:jc w:val="right"/>
              <w:rPr>
                <w:rFonts w:eastAsia="Times New Roman"/>
              </w:rPr>
            </w:pPr>
          </w:p>
        </w:tc>
        <w:tc>
          <w:tcPr>
            <w:tcW w:w="0" w:type="auto"/>
            <w:vAlign w:val="center"/>
            <w:hideMark/>
          </w:tcPr>
          <w:p w14:paraId="72ECAC42" w14:textId="77777777" w:rsidR="00000000" w:rsidRDefault="00405D16">
            <w:pPr>
              <w:spacing w:after="100"/>
              <w:jc w:val="right"/>
              <w:rPr>
                <w:rFonts w:eastAsia="Times New Roman"/>
                <w:sz w:val="20"/>
                <w:szCs w:val="20"/>
              </w:rPr>
            </w:pPr>
          </w:p>
        </w:tc>
      </w:tr>
      <w:tr w:rsidR="00000000" w14:paraId="44BA63C7" w14:textId="77777777">
        <w:trPr>
          <w:divId w:val="1009260866"/>
        </w:trPr>
        <w:tc>
          <w:tcPr>
            <w:tcW w:w="0" w:type="auto"/>
            <w:gridSpan w:val="3"/>
            <w:shd w:val="clear" w:color="auto" w:fill="CCEEFF"/>
            <w:tcMar>
              <w:top w:w="30" w:type="dxa"/>
              <w:left w:w="20" w:type="dxa"/>
              <w:bottom w:w="30" w:type="dxa"/>
              <w:right w:w="20" w:type="dxa"/>
            </w:tcMar>
            <w:vAlign w:val="center"/>
            <w:hideMark/>
          </w:tcPr>
          <w:p w14:paraId="217368D3" w14:textId="77777777" w:rsidR="00000000" w:rsidRDefault="00405D16">
            <w:pPr>
              <w:spacing w:after="100"/>
              <w:rPr>
                <w:rFonts w:eastAsia="Times New Roman"/>
              </w:rPr>
            </w:pPr>
            <w:r>
              <w:rPr>
                <w:rFonts w:eastAsia="Times New Roman"/>
                <w:color w:val="000000"/>
                <w:sz w:val="18"/>
                <w:szCs w:val="18"/>
              </w:rPr>
              <w:t>Time deposits of $100,000 or more</w:t>
            </w:r>
          </w:p>
        </w:tc>
        <w:tc>
          <w:tcPr>
            <w:tcW w:w="0" w:type="auto"/>
            <w:gridSpan w:val="3"/>
            <w:shd w:val="clear" w:color="auto" w:fill="CCEEFF"/>
            <w:tcMar>
              <w:top w:w="0" w:type="dxa"/>
              <w:left w:w="20" w:type="dxa"/>
              <w:bottom w:w="0" w:type="dxa"/>
              <w:right w:w="20" w:type="dxa"/>
            </w:tcMar>
            <w:vAlign w:val="center"/>
            <w:hideMark/>
          </w:tcPr>
          <w:p w14:paraId="63892A76"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02ED978" w14:textId="77777777" w:rsidR="00000000" w:rsidRDefault="00405D16">
            <w:pPr>
              <w:spacing w:after="100"/>
              <w:jc w:val="right"/>
              <w:rPr>
                <w:rFonts w:eastAsia="Times New Roman"/>
              </w:rPr>
            </w:pPr>
            <w:r>
              <w:rPr>
                <w:rFonts w:eastAsia="Times New Roman"/>
                <w:b/>
                <w:bCs/>
                <w:color w:val="000000"/>
                <w:sz w:val="18"/>
                <w:szCs w:val="18"/>
              </w:rPr>
              <w:t>7,606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05999F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73D27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E5D5115" w14:textId="77777777" w:rsidR="00000000" w:rsidRDefault="00405D16">
            <w:pPr>
              <w:spacing w:after="100"/>
              <w:jc w:val="right"/>
              <w:rPr>
                <w:rFonts w:eastAsia="Times New Roman"/>
              </w:rPr>
            </w:pPr>
            <w:r>
              <w:rPr>
                <w:rFonts w:eastAsia="Times New Roman"/>
                <w:b/>
                <w:bCs/>
                <w:color w:val="000000"/>
                <w:sz w:val="18"/>
                <w:szCs w:val="18"/>
              </w:rPr>
              <w:t>53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CFC5B2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42072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818C26D" w14:textId="77777777" w:rsidR="00000000" w:rsidRDefault="00405D16">
            <w:pPr>
              <w:spacing w:after="100"/>
              <w:jc w:val="right"/>
              <w:rPr>
                <w:rFonts w:eastAsia="Times New Roman"/>
              </w:rPr>
            </w:pPr>
            <w:r>
              <w:rPr>
                <w:rFonts w:eastAsia="Times New Roman"/>
                <w:b/>
                <w:bCs/>
                <w:color w:val="000000"/>
                <w:sz w:val="18"/>
                <w:szCs w:val="18"/>
              </w:rPr>
              <w:t>0.93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8E79B0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34183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90DACE" w14:textId="77777777" w:rsidR="00000000" w:rsidRDefault="00405D16">
            <w:pPr>
              <w:spacing w:after="100"/>
              <w:jc w:val="right"/>
              <w:rPr>
                <w:rFonts w:eastAsia="Times New Roman"/>
              </w:rPr>
            </w:pPr>
            <w:r>
              <w:rPr>
                <w:rFonts w:eastAsia="Times New Roman"/>
                <w:color w:val="000000"/>
                <w:sz w:val="18"/>
                <w:szCs w:val="18"/>
              </w:rPr>
              <w:t>16,310 </w:t>
            </w:r>
          </w:p>
        </w:tc>
        <w:tc>
          <w:tcPr>
            <w:tcW w:w="0" w:type="auto"/>
            <w:shd w:val="clear" w:color="auto" w:fill="CCEEFF"/>
            <w:tcMar>
              <w:top w:w="30" w:type="dxa"/>
              <w:left w:w="0" w:type="dxa"/>
              <w:bottom w:w="30" w:type="dxa"/>
              <w:right w:w="20" w:type="dxa"/>
            </w:tcMar>
            <w:vAlign w:val="bottom"/>
            <w:hideMark/>
          </w:tcPr>
          <w:p w14:paraId="6D26E3D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002C4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AFE3BC" w14:textId="77777777" w:rsidR="00000000" w:rsidRDefault="00405D16">
            <w:pPr>
              <w:spacing w:after="100"/>
              <w:jc w:val="right"/>
              <w:rPr>
                <w:rFonts w:eastAsia="Times New Roman"/>
              </w:rPr>
            </w:pPr>
            <w:r>
              <w:rPr>
                <w:rFonts w:eastAsia="Times New Roman"/>
                <w:color w:val="000000"/>
                <w:sz w:val="18"/>
                <w:szCs w:val="18"/>
              </w:rPr>
              <w:t>220 </w:t>
            </w:r>
          </w:p>
        </w:tc>
        <w:tc>
          <w:tcPr>
            <w:tcW w:w="0" w:type="auto"/>
            <w:shd w:val="clear" w:color="auto" w:fill="CCEEFF"/>
            <w:tcMar>
              <w:top w:w="30" w:type="dxa"/>
              <w:left w:w="0" w:type="dxa"/>
              <w:bottom w:w="30" w:type="dxa"/>
              <w:right w:w="20" w:type="dxa"/>
            </w:tcMar>
            <w:vAlign w:val="bottom"/>
            <w:hideMark/>
          </w:tcPr>
          <w:p w14:paraId="3BC0566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BF5C3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442CAE2" w14:textId="77777777" w:rsidR="00000000" w:rsidRDefault="00405D16">
            <w:pPr>
              <w:spacing w:after="100"/>
              <w:jc w:val="right"/>
              <w:rPr>
                <w:rFonts w:eastAsia="Times New Roman"/>
              </w:rPr>
            </w:pPr>
            <w:r>
              <w:rPr>
                <w:rFonts w:eastAsia="Times New Roman"/>
                <w:color w:val="000000"/>
                <w:sz w:val="18"/>
                <w:szCs w:val="18"/>
              </w:rPr>
              <w:t>1.81 </w:t>
            </w:r>
          </w:p>
        </w:tc>
        <w:tc>
          <w:tcPr>
            <w:tcW w:w="0" w:type="auto"/>
            <w:shd w:val="clear" w:color="auto" w:fill="CCEEFF"/>
            <w:tcMar>
              <w:top w:w="30" w:type="dxa"/>
              <w:left w:w="0" w:type="dxa"/>
              <w:bottom w:w="30" w:type="dxa"/>
              <w:right w:w="20" w:type="dxa"/>
            </w:tcMar>
            <w:vAlign w:val="center"/>
            <w:hideMark/>
          </w:tcPr>
          <w:p w14:paraId="016E0C75" w14:textId="77777777" w:rsidR="00000000" w:rsidRDefault="00405D16">
            <w:pPr>
              <w:spacing w:after="100"/>
              <w:jc w:val="right"/>
              <w:rPr>
                <w:rFonts w:eastAsia="Times New Roman"/>
              </w:rPr>
            </w:pPr>
          </w:p>
        </w:tc>
        <w:tc>
          <w:tcPr>
            <w:tcW w:w="0" w:type="auto"/>
            <w:vAlign w:val="center"/>
            <w:hideMark/>
          </w:tcPr>
          <w:p w14:paraId="75E09B80" w14:textId="77777777" w:rsidR="00000000" w:rsidRDefault="00405D16">
            <w:pPr>
              <w:spacing w:after="100"/>
              <w:jc w:val="right"/>
              <w:rPr>
                <w:rFonts w:eastAsia="Times New Roman"/>
                <w:sz w:val="20"/>
                <w:szCs w:val="20"/>
              </w:rPr>
            </w:pPr>
          </w:p>
        </w:tc>
      </w:tr>
      <w:tr w:rsidR="00000000" w14:paraId="51376B4B" w14:textId="77777777">
        <w:trPr>
          <w:divId w:val="1009260866"/>
        </w:trPr>
        <w:tc>
          <w:tcPr>
            <w:tcW w:w="0" w:type="auto"/>
            <w:gridSpan w:val="3"/>
            <w:shd w:val="clear" w:color="auto" w:fill="FFFFFF"/>
            <w:tcMar>
              <w:top w:w="30" w:type="dxa"/>
              <w:left w:w="20" w:type="dxa"/>
              <w:bottom w:w="30" w:type="dxa"/>
              <w:right w:w="20" w:type="dxa"/>
            </w:tcMar>
            <w:vAlign w:val="center"/>
            <w:hideMark/>
          </w:tcPr>
          <w:p w14:paraId="3D92AC6C" w14:textId="77777777" w:rsidR="00000000" w:rsidRDefault="00405D16">
            <w:pPr>
              <w:spacing w:after="100"/>
              <w:rPr>
                <w:rFonts w:eastAsia="Times New Roman"/>
              </w:rPr>
            </w:pPr>
            <w:r>
              <w:rPr>
                <w:rFonts w:eastAsia="Times New Roman"/>
                <w:color w:val="000000"/>
                <w:sz w:val="18"/>
                <w:szCs w:val="18"/>
              </w:rPr>
              <w:t>Total interest-bearing deposits</w:t>
            </w:r>
          </w:p>
        </w:tc>
        <w:tc>
          <w:tcPr>
            <w:tcW w:w="0" w:type="auto"/>
            <w:gridSpan w:val="3"/>
            <w:shd w:val="clear" w:color="auto" w:fill="FFFFFF"/>
            <w:tcMar>
              <w:top w:w="0" w:type="dxa"/>
              <w:left w:w="20" w:type="dxa"/>
              <w:bottom w:w="0" w:type="dxa"/>
              <w:right w:w="20" w:type="dxa"/>
            </w:tcMar>
            <w:vAlign w:val="center"/>
            <w:hideMark/>
          </w:tcPr>
          <w:p w14:paraId="3EED90FD"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AE00703"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F79D468" w14:textId="77777777" w:rsidR="00000000" w:rsidRDefault="00405D16">
            <w:pPr>
              <w:spacing w:after="100"/>
              <w:jc w:val="right"/>
              <w:rPr>
                <w:rFonts w:eastAsia="Times New Roman"/>
              </w:rPr>
            </w:pPr>
            <w:r>
              <w:rPr>
                <w:rFonts w:eastAsia="Times New Roman"/>
                <w:b/>
                <w:bCs/>
                <w:color w:val="000000"/>
                <w:sz w:val="18"/>
                <w:szCs w:val="18"/>
              </w:rPr>
              <w:t>272,022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FD67D3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8E5BE2"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A67A9B8"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5E6CFAA" w14:textId="77777777" w:rsidR="00000000" w:rsidRDefault="00405D16">
            <w:pPr>
              <w:spacing w:after="100"/>
              <w:jc w:val="right"/>
              <w:rPr>
                <w:rFonts w:eastAsia="Times New Roman"/>
              </w:rPr>
            </w:pPr>
            <w:r>
              <w:rPr>
                <w:rFonts w:eastAsia="Times New Roman"/>
                <w:b/>
                <w:bCs/>
                <w:color w:val="000000"/>
                <w:sz w:val="18"/>
                <w:szCs w:val="18"/>
              </w:rPr>
              <w:t>734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2B95BB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01373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5B0968B" w14:textId="77777777" w:rsidR="00000000" w:rsidRDefault="00405D16">
            <w:pPr>
              <w:spacing w:after="100"/>
              <w:jc w:val="right"/>
              <w:rPr>
                <w:rFonts w:eastAsia="Times New Roman"/>
              </w:rPr>
            </w:pPr>
            <w:r>
              <w:rPr>
                <w:rFonts w:eastAsia="Times New Roman"/>
                <w:b/>
                <w:bCs/>
                <w:color w:val="000000"/>
                <w:sz w:val="18"/>
                <w:szCs w:val="18"/>
              </w:rPr>
              <w:t>0.36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28C479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A401EA"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0EA4A77"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737BCFA" w14:textId="77777777" w:rsidR="00000000" w:rsidRDefault="00405D16">
            <w:pPr>
              <w:spacing w:after="100"/>
              <w:jc w:val="right"/>
              <w:rPr>
                <w:rFonts w:eastAsia="Times New Roman"/>
              </w:rPr>
            </w:pPr>
            <w:r>
              <w:rPr>
                <w:rFonts w:eastAsia="Times New Roman"/>
                <w:color w:val="000000"/>
                <w:sz w:val="18"/>
                <w:szCs w:val="18"/>
              </w:rPr>
              <w:t>259,631 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059A58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2F01CE"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86521AA"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AC94AD4" w14:textId="77777777" w:rsidR="00000000" w:rsidRDefault="00405D16">
            <w:pPr>
              <w:spacing w:after="100"/>
              <w:jc w:val="right"/>
              <w:rPr>
                <w:rFonts w:eastAsia="Times New Roman"/>
              </w:rPr>
            </w:pPr>
            <w:r>
              <w:rPr>
                <w:rFonts w:eastAsia="Times New Roman"/>
                <w:color w:val="000000"/>
                <w:sz w:val="18"/>
                <w:szCs w:val="18"/>
              </w:rPr>
              <w:t>1,818 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748793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5EF06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F3A36FA" w14:textId="77777777" w:rsidR="00000000" w:rsidRDefault="00405D16">
            <w:pPr>
              <w:spacing w:after="100"/>
              <w:jc w:val="right"/>
              <w:rPr>
                <w:rFonts w:eastAsia="Times New Roman"/>
              </w:rPr>
            </w:pPr>
            <w:r>
              <w:rPr>
                <w:rFonts w:eastAsia="Times New Roman"/>
                <w:color w:val="000000"/>
                <w:sz w:val="18"/>
                <w:szCs w:val="18"/>
              </w:rPr>
              <w:t>0.93 </w:t>
            </w:r>
          </w:p>
        </w:tc>
        <w:tc>
          <w:tcPr>
            <w:tcW w:w="0" w:type="auto"/>
            <w:shd w:val="clear" w:color="auto" w:fill="FFFFFF"/>
            <w:tcMar>
              <w:top w:w="30" w:type="dxa"/>
              <w:left w:w="0" w:type="dxa"/>
              <w:bottom w:w="30" w:type="dxa"/>
              <w:right w:w="20" w:type="dxa"/>
            </w:tcMar>
            <w:vAlign w:val="center"/>
            <w:hideMark/>
          </w:tcPr>
          <w:p w14:paraId="675BE331" w14:textId="77777777" w:rsidR="00000000" w:rsidRDefault="00405D16">
            <w:pPr>
              <w:spacing w:after="100"/>
              <w:jc w:val="right"/>
              <w:rPr>
                <w:rFonts w:eastAsia="Times New Roman"/>
              </w:rPr>
            </w:pPr>
          </w:p>
        </w:tc>
        <w:tc>
          <w:tcPr>
            <w:tcW w:w="0" w:type="auto"/>
            <w:vAlign w:val="center"/>
            <w:hideMark/>
          </w:tcPr>
          <w:p w14:paraId="4B27CEDA" w14:textId="77777777" w:rsidR="00000000" w:rsidRDefault="00405D16">
            <w:pPr>
              <w:spacing w:after="100"/>
              <w:jc w:val="right"/>
              <w:rPr>
                <w:rFonts w:eastAsia="Times New Roman"/>
                <w:sz w:val="20"/>
                <w:szCs w:val="20"/>
              </w:rPr>
            </w:pPr>
          </w:p>
        </w:tc>
      </w:tr>
    </w:tbl>
    <w:p w14:paraId="561BFDE0" w14:textId="77777777" w:rsidR="00000000" w:rsidRDefault="00405D16">
      <w:pPr>
        <w:jc w:val="both"/>
        <w:divId w:val="1009260866"/>
        <w:rPr>
          <w:rFonts w:eastAsia="Times New Roman"/>
        </w:rPr>
      </w:pPr>
      <w:r>
        <w:rPr>
          <w:rFonts w:eastAsia="Times New Roman"/>
          <w:color w:val="000000"/>
          <w:sz w:val="20"/>
          <w:szCs w:val="20"/>
        </w:rPr>
        <w:t>__________</w:t>
      </w:r>
    </w:p>
    <w:p w14:paraId="0AE76E38" w14:textId="77777777" w:rsidR="00000000" w:rsidRDefault="00405D16">
      <w:pPr>
        <w:ind w:hanging="360"/>
        <w:jc w:val="both"/>
        <w:divId w:val="25397794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negotia</w:t>
      </w:r>
      <w:r>
        <w:rPr>
          <w:rFonts w:eastAsia="Times New Roman"/>
          <w:color w:val="000000"/>
          <w:sz w:val="16"/>
          <w:szCs w:val="16"/>
        </w:rPr>
        <w:t>ble order of withdrawal accounts.</w:t>
      </w:r>
    </w:p>
    <w:p w14:paraId="6B7C06C6" w14:textId="77777777" w:rsidR="00000000" w:rsidRDefault="00405D16">
      <w:pPr>
        <w:ind w:hanging="360"/>
        <w:jc w:val="both"/>
        <w:divId w:val="627049377"/>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money market deposit accounts.</w:t>
      </w:r>
    </w:p>
    <w:p w14:paraId="101CCF1F" w14:textId="77777777" w:rsidR="00000000" w:rsidRDefault="00405D16">
      <w:pPr>
        <w:divId w:val="1348679690"/>
        <w:rPr>
          <w:rFonts w:eastAsia="Times New Roman"/>
        </w:rPr>
      </w:pPr>
      <w:r>
        <w:rPr>
          <w:rFonts w:eastAsia="Times New Roman"/>
          <w:color w:val="000000"/>
          <w:sz w:val="20"/>
          <w:szCs w:val="20"/>
        </w:rPr>
        <w:t>The FDIC limits the acceptance of brokered deposits to well-capitalized insured depository institutions and, with a waiver from the FDIC, to adequately-capitalized institutions. C</w:t>
      </w:r>
      <w:r>
        <w:rPr>
          <w:rFonts w:eastAsia="Times New Roman"/>
          <w:color w:val="000000"/>
          <w:sz w:val="20"/>
          <w:szCs w:val="20"/>
        </w:rPr>
        <w:t>OBNA and CONA were well-capitalized, as defined under the federal banking regulatory guidelines, as of September 30, 2021 and December 31, 2020, respectively. See “Part I—Item 1. Business—Supervision and Regulation” in our 2020 Form 10-K for additional inf</w:t>
      </w:r>
      <w:r>
        <w:rPr>
          <w:rFonts w:eastAsia="Times New Roman"/>
          <w:color w:val="000000"/>
          <w:sz w:val="20"/>
          <w:szCs w:val="20"/>
        </w:rPr>
        <w:t>ormation. We provide additional information on the composition of deposits in “MD&amp;A—Consolidated Balance Sheets Analysis—Funding Sources Composition” and in “Note 7—Deposits and Borrowings.”</w:t>
      </w:r>
    </w:p>
    <w:p w14:paraId="3C428F09" w14:textId="77777777" w:rsidR="00000000" w:rsidRDefault="00405D16">
      <w:pPr>
        <w:divId w:val="2107915771"/>
        <w:rPr>
          <w:rFonts w:eastAsia="Times New Roman"/>
        </w:rPr>
      </w:pPr>
      <w:r>
        <w:rPr>
          <w:rFonts w:eastAsia="Times New Roman"/>
          <w:b/>
          <w:bCs/>
          <w:i/>
          <w:iCs/>
          <w:color w:val="000000"/>
          <w:sz w:val="20"/>
          <w:szCs w:val="20"/>
        </w:rPr>
        <w:t>Short-Term Borrowings and Long-Term Debt</w:t>
      </w:r>
    </w:p>
    <w:p w14:paraId="60761DA4" w14:textId="77777777" w:rsidR="00000000" w:rsidRDefault="00405D16">
      <w:pPr>
        <w:jc w:val="both"/>
        <w:divId w:val="1853641711"/>
        <w:rPr>
          <w:rFonts w:eastAsia="Times New Roman"/>
        </w:rPr>
      </w:pPr>
      <w:r>
        <w:rPr>
          <w:rFonts w:eastAsia="Times New Roman"/>
          <w:color w:val="000000"/>
          <w:sz w:val="20"/>
          <w:szCs w:val="20"/>
        </w:rPr>
        <w:t>We access the capital ma</w:t>
      </w:r>
      <w:r>
        <w:rPr>
          <w:rFonts w:eastAsia="Times New Roman"/>
          <w:color w:val="000000"/>
          <w:sz w:val="20"/>
          <w:szCs w:val="20"/>
        </w:rPr>
        <w:t>rkets to meet our funding needs through the issuance of senior and subordinated notes, securitized debt obligations and federal funds purchased and securities loaned or sold under agreements to repurchase. In addition, we may utilize short-term and long-te</w:t>
      </w:r>
      <w:r>
        <w:rPr>
          <w:rFonts w:eastAsia="Times New Roman"/>
          <w:color w:val="000000"/>
          <w:sz w:val="20"/>
          <w:szCs w:val="20"/>
        </w:rPr>
        <w:t xml:space="preserve">rm FHLB advances secured by certain of our investment securities, multifamily real estate loans and commercial real estate loans. </w:t>
      </w:r>
    </w:p>
    <w:p w14:paraId="2E5C0075" w14:textId="77777777" w:rsidR="00000000" w:rsidRDefault="00405D16">
      <w:pPr>
        <w:jc w:val="both"/>
        <w:divId w:val="622005962"/>
        <w:rPr>
          <w:rFonts w:eastAsia="Times New Roman"/>
        </w:rPr>
      </w:pPr>
      <w:r>
        <w:rPr>
          <w:rFonts w:eastAsia="Times New Roman"/>
          <w:color w:val="000000"/>
          <w:sz w:val="20"/>
          <w:szCs w:val="20"/>
        </w:rPr>
        <w:t>Our short-term borrowings include those borrowings with an original contractual maturity of one year or less and do not inclu</w:t>
      </w:r>
      <w:r>
        <w:rPr>
          <w:rFonts w:eastAsia="Times New Roman"/>
          <w:color w:val="000000"/>
          <w:sz w:val="20"/>
          <w:szCs w:val="20"/>
        </w:rPr>
        <w:t>de the current portion of long-term debt. The short-term borrowings, which consist of federal funds purchased, securities loaned or sold under agreements to repurchase, increased by $157 million to $825 million as of September 30, 2021 from December 31, 20</w:t>
      </w:r>
      <w:r>
        <w:rPr>
          <w:rFonts w:eastAsia="Times New Roman"/>
          <w:color w:val="000000"/>
          <w:sz w:val="20"/>
          <w:szCs w:val="20"/>
        </w:rPr>
        <w:t>20 driven by an increase in repurchase agreement activity.</w:t>
      </w:r>
    </w:p>
    <w:p w14:paraId="1A8A6737" w14:textId="77777777" w:rsidR="00000000" w:rsidRDefault="00405D16">
      <w:pPr>
        <w:jc w:val="both"/>
        <w:divId w:val="1548371061"/>
        <w:rPr>
          <w:rFonts w:eastAsia="Times New Roman"/>
        </w:rPr>
      </w:pPr>
      <w:r>
        <w:rPr>
          <w:rFonts w:eastAsia="Times New Roman"/>
          <w:color w:val="000000"/>
          <w:sz w:val="20"/>
          <w:szCs w:val="20"/>
        </w:rPr>
        <w:t>Our long-term debt, which primarily consists of securitized debt obligations and senior and subordinated notes, decreased by $3.2 billion to $36.7 billion as of September 30, 2021 from December 31,</w:t>
      </w:r>
      <w:r>
        <w:rPr>
          <w:rFonts w:eastAsia="Times New Roman"/>
          <w:color w:val="000000"/>
          <w:sz w:val="20"/>
          <w:szCs w:val="20"/>
        </w:rPr>
        <w:t xml:space="preserve"> 2020 primarily driven by redemptions of our senior debt, partially offset by the issuance of subordinated debt. We provide more information on our securitization activity in “Note 5—Variable Interest Entities and Securitizations.”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1E83D3DB" w14:textId="77777777">
        <w:trPr>
          <w:divId w:val="892351285"/>
          <w:jc w:val="center"/>
        </w:trPr>
        <w:tc>
          <w:tcPr>
            <w:tcW w:w="50" w:type="pct"/>
            <w:vAlign w:val="center"/>
            <w:hideMark/>
          </w:tcPr>
          <w:p w14:paraId="4AA6733C" w14:textId="77777777" w:rsidR="00000000" w:rsidRDefault="00405D16">
            <w:pPr>
              <w:jc w:val="both"/>
              <w:rPr>
                <w:rFonts w:eastAsia="Times New Roman"/>
              </w:rPr>
            </w:pPr>
          </w:p>
        </w:tc>
        <w:tc>
          <w:tcPr>
            <w:tcW w:w="1606" w:type="pct"/>
            <w:vAlign w:val="center"/>
            <w:hideMark/>
          </w:tcPr>
          <w:p w14:paraId="6E9F9EDC" w14:textId="77777777" w:rsidR="00000000" w:rsidRDefault="00405D16">
            <w:pPr>
              <w:spacing w:after="100"/>
              <w:rPr>
                <w:rFonts w:eastAsia="Times New Roman"/>
                <w:sz w:val="20"/>
                <w:szCs w:val="20"/>
              </w:rPr>
            </w:pPr>
          </w:p>
        </w:tc>
        <w:tc>
          <w:tcPr>
            <w:tcW w:w="5" w:type="pct"/>
            <w:vAlign w:val="center"/>
            <w:hideMark/>
          </w:tcPr>
          <w:p w14:paraId="7C9E447F" w14:textId="77777777" w:rsidR="00000000" w:rsidRDefault="00405D16">
            <w:pPr>
              <w:spacing w:after="100"/>
              <w:rPr>
                <w:rFonts w:eastAsia="Times New Roman"/>
                <w:sz w:val="20"/>
                <w:szCs w:val="20"/>
              </w:rPr>
            </w:pPr>
          </w:p>
        </w:tc>
        <w:tc>
          <w:tcPr>
            <w:tcW w:w="50" w:type="pct"/>
            <w:vAlign w:val="center"/>
            <w:hideMark/>
          </w:tcPr>
          <w:p w14:paraId="5EB6AF9A" w14:textId="77777777" w:rsidR="00000000" w:rsidRDefault="00405D16">
            <w:pPr>
              <w:spacing w:after="100"/>
              <w:rPr>
                <w:rFonts w:eastAsia="Times New Roman"/>
                <w:sz w:val="20"/>
                <w:szCs w:val="20"/>
              </w:rPr>
            </w:pPr>
          </w:p>
        </w:tc>
        <w:tc>
          <w:tcPr>
            <w:tcW w:w="1614" w:type="pct"/>
            <w:vAlign w:val="center"/>
            <w:hideMark/>
          </w:tcPr>
          <w:p w14:paraId="217B7D57" w14:textId="77777777" w:rsidR="00000000" w:rsidRDefault="00405D16">
            <w:pPr>
              <w:spacing w:after="100"/>
              <w:rPr>
                <w:rFonts w:eastAsia="Times New Roman"/>
                <w:sz w:val="20"/>
                <w:szCs w:val="20"/>
              </w:rPr>
            </w:pPr>
          </w:p>
        </w:tc>
        <w:tc>
          <w:tcPr>
            <w:tcW w:w="5" w:type="pct"/>
            <w:vAlign w:val="center"/>
            <w:hideMark/>
          </w:tcPr>
          <w:p w14:paraId="198436A5" w14:textId="77777777" w:rsidR="00000000" w:rsidRDefault="00405D16">
            <w:pPr>
              <w:spacing w:after="100"/>
              <w:rPr>
                <w:rFonts w:eastAsia="Times New Roman"/>
                <w:sz w:val="20"/>
                <w:szCs w:val="20"/>
              </w:rPr>
            </w:pPr>
          </w:p>
        </w:tc>
        <w:tc>
          <w:tcPr>
            <w:tcW w:w="50" w:type="pct"/>
            <w:vAlign w:val="center"/>
            <w:hideMark/>
          </w:tcPr>
          <w:p w14:paraId="003108B9" w14:textId="77777777" w:rsidR="00000000" w:rsidRDefault="00405D16">
            <w:pPr>
              <w:spacing w:after="100"/>
              <w:rPr>
                <w:rFonts w:eastAsia="Times New Roman"/>
                <w:sz w:val="20"/>
                <w:szCs w:val="20"/>
              </w:rPr>
            </w:pPr>
          </w:p>
        </w:tc>
        <w:tc>
          <w:tcPr>
            <w:tcW w:w="1614" w:type="pct"/>
            <w:vAlign w:val="center"/>
            <w:hideMark/>
          </w:tcPr>
          <w:p w14:paraId="74285E32" w14:textId="77777777" w:rsidR="00000000" w:rsidRDefault="00405D16">
            <w:pPr>
              <w:spacing w:after="100"/>
              <w:rPr>
                <w:rFonts w:eastAsia="Times New Roman"/>
                <w:sz w:val="20"/>
                <w:szCs w:val="20"/>
              </w:rPr>
            </w:pPr>
          </w:p>
        </w:tc>
        <w:tc>
          <w:tcPr>
            <w:tcW w:w="5" w:type="pct"/>
            <w:vAlign w:val="center"/>
            <w:hideMark/>
          </w:tcPr>
          <w:p w14:paraId="4BB29ED3" w14:textId="77777777" w:rsidR="00000000" w:rsidRDefault="00405D16">
            <w:pPr>
              <w:spacing w:after="100"/>
              <w:rPr>
                <w:rFonts w:eastAsia="Times New Roman"/>
                <w:sz w:val="20"/>
                <w:szCs w:val="20"/>
              </w:rPr>
            </w:pPr>
          </w:p>
        </w:tc>
      </w:tr>
      <w:tr w:rsidR="00000000" w14:paraId="71948754" w14:textId="77777777">
        <w:trPr>
          <w:divId w:val="892351285"/>
          <w:trHeight w:val="300"/>
          <w:jc w:val="center"/>
        </w:trPr>
        <w:tc>
          <w:tcPr>
            <w:tcW w:w="0" w:type="auto"/>
            <w:gridSpan w:val="9"/>
            <w:tcMar>
              <w:top w:w="0" w:type="dxa"/>
              <w:left w:w="20" w:type="dxa"/>
              <w:bottom w:w="0" w:type="dxa"/>
              <w:right w:w="20" w:type="dxa"/>
            </w:tcMar>
            <w:vAlign w:val="center"/>
            <w:hideMark/>
          </w:tcPr>
          <w:p w14:paraId="42632BCF" w14:textId="77777777" w:rsidR="00000000" w:rsidRDefault="00405D16">
            <w:pPr>
              <w:spacing w:after="100"/>
              <w:rPr>
                <w:rFonts w:eastAsia="Times New Roman"/>
                <w:sz w:val="20"/>
                <w:szCs w:val="20"/>
              </w:rPr>
            </w:pPr>
          </w:p>
        </w:tc>
      </w:tr>
      <w:tr w:rsidR="00000000" w14:paraId="61FA6066" w14:textId="77777777">
        <w:trPr>
          <w:divId w:val="892351285"/>
          <w:jc w:val="center"/>
        </w:trPr>
        <w:tc>
          <w:tcPr>
            <w:tcW w:w="0" w:type="auto"/>
            <w:gridSpan w:val="3"/>
            <w:tcMar>
              <w:top w:w="0" w:type="dxa"/>
              <w:left w:w="20" w:type="dxa"/>
              <w:bottom w:w="0" w:type="dxa"/>
              <w:right w:w="20" w:type="dxa"/>
            </w:tcMar>
            <w:vAlign w:val="center"/>
            <w:hideMark/>
          </w:tcPr>
          <w:p w14:paraId="6A188744"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A0A2F51" w14:textId="77777777" w:rsidR="00000000" w:rsidRDefault="00405D16">
            <w:pPr>
              <w:spacing w:after="100"/>
              <w:jc w:val="center"/>
              <w:rPr>
                <w:rFonts w:eastAsia="Times New Roman"/>
              </w:rPr>
            </w:pPr>
            <w:r>
              <w:rPr>
                <w:rFonts w:eastAsia="Times New Roman"/>
                <w:color w:val="000000"/>
                <w:sz w:val="16"/>
                <w:szCs w:val="16"/>
              </w:rPr>
              <w:t>54</w:t>
            </w:r>
          </w:p>
        </w:tc>
        <w:tc>
          <w:tcPr>
            <w:tcW w:w="0" w:type="auto"/>
            <w:gridSpan w:val="3"/>
            <w:tcMar>
              <w:top w:w="30" w:type="dxa"/>
              <w:left w:w="20" w:type="dxa"/>
              <w:bottom w:w="30" w:type="dxa"/>
              <w:right w:w="20" w:type="dxa"/>
            </w:tcMar>
            <w:vAlign w:val="bottom"/>
            <w:hideMark/>
          </w:tcPr>
          <w:p w14:paraId="03C61AAF"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5D510511" w14:textId="77777777" w:rsidR="00000000" w:rsidRDefault="00405D16">
      <w:pPr>
        <w:rPr>
          <w:rFonts w:eastAsia="Times New Roman"/>
        </w:rPr>
      </w:pPr>
      <w:r>
        <w:rPr>
          <w:rFonts w:eastAsia="Times New Roman"/>
        </w:rPr>
        <w:pict w14:anchorId="757CCB91">
          <v:rect id="_x0000_i1079" style="width:0;height:1.5pt" o:hralign="center" o:hrstd="t" o:hr="t" fillcolor="#a0a0a0" stroked="f"/>
        </w:pict>
      </w:r>
    </w:p>
    <w:p w14:paraId="083C391E" w14:textId="77777777" w:rsidR="00000000" w:rsidRDefault="00405D16">
      <w:pPr>
        <w:ind w:hanging="360"/>
        <w:jc w:val="both"/>
        <w:divId w:val="703335840"/>
        <w:rPr>
          <w:rFonts w:eastAsia="Times New Roman"/>
        </w:rPr>
      </w:pPr>
      <w:hyperlink w:anchor="idd54a04a485440b4ab4e56094c14d612_13" w:history="1">
        <w:r>
          <w:rPr>
            <w:rStyle w:val="a3"/>
            <w:rFonts w:eastAsia="Times New Roman"/>
            <w:sz w:val="16"/>
            <w:szCs w:val="16"/>
          </w:rPr>
          <w:t>Table of Contents</w:t>
        </w:r>
      </w:hyperlink>
    </w:p>
    <w:p w14:paraId="0967E282" w14:textId="77777777" w:rsidR="00000000" w:rsidRDefault="00405D16">
      <w:pPr>
        <w:jc w:val="both"/>
        <w:divId w:val="1755393930"/>
        <w:rPr>
          <w:rFonts w:eastAsia="Times New Roman"/>
        </w:rPr>
      </w:pPr>
      <w:r>
        <w:rPr>
          <w:rFonts w:eastAsia="Times New Roman"/>
          <w:color w:val="000000"/>
          <w:sz w:val="20"/>
          <w:szCs w:val="20"/>
        </w:rPr>
        <w:t>The following table summarizes issuances of securitized debt obligations, senior and subordinated notes and their respective maturities or redemptions for the third quarter and first nine months of 2021 and 2020.</w:t>
      </w:r>
    </w:p>
    <w:p w14:paraId="716947F3" w14:textId="77777777" w:rsidR="00000000" w:rsidRDefault="00405D16">
      <w:pPr>
        <w:divId w:val="1470509421"/>
        <w:rPr>
          <w:rFonts w:eastAsia="Times New Roman"/>
        </w:rPr>
      </w:pPr>
      <w:r>
        <w:rPr>
          <w:rFonts w:eastAsia="Times New Roman"/>
          <w:b/>
          <w:bCs/>
          <w:color w:val="000000"/>
          <w:sz w:val="18"/>
          <w:szCs w:val="18"/>
        </w:rPr>
        <w:t>Table 33: Long-Term Funding</w:t>
      </w:r>
    </w:p>
    <w:tbl>
      <w:tblPr>
        <w:tblW w:w="4992" w:type="pct"/>
        <w:tblCellMar>
          <w:top w:w="15" w:type="dxa"/>
          <w:left w:w="15" w:type="dxa"/>
          <w:bottom w:w="15" w:type="dxa"/>
          <w:right w:w="15" w:type="dxa"/>
        </w:tblCellMar>
        <w:tblLook w:val="04A0" w:firstRow="1" w:lastRow="0" w:firstColumn="1" w:lastColumn="0" w:noHBand="0" w:noVBand="1"/>
      </w:tblPr>
      <w:tblGrid>
        <w:gridCol w:w="39"/>
        <w:gridCol w:w="2900"/>
        <w:gridCol w:w="38"/>
        <w:gridCol w:w="36"/>
        <w:gridCol w:w="36"/>
        <w:gridCol w:w="36"/>
        <w:gridCol w:w="110"/>
        <w:gridCol w:w="637"/>
        <w:gridCol w:w="36"/>
        <w:gridCol w:w="36"/>
        <w:gridCol w:w="36"/>
        <w:gridCol w:w="36"/>
        <w:gridCol w:w="110"/>
        <w:gridCol w:w="638"/>
        <w:gridCol w:w="36"/>
        <w:gridCol w:w="46"/>
        <w:gridCol w:w="1485"/>
        <w:gridCol w:w="36"/>
        <w:gridCol w:w="36"/>
        <w:gridCol w:w="36"/>
        <w:gridCol w:w="110"/>
        <w:gridCol w:w="638"/>
        <w:gridCol w:w="36"/>
        <w:gridCol w:w="36"/>
        <w:gridCol w:w="36"/>
        <w:gridCol w:w="36"/>
        <w:gridCol w:w="110"/>
        <w:gridCol w:w="640"/>
        <w:gridCol w:w="36"/>
        <w:gridCol w:w="36"/>
        <w:gridCol w:w="36"/>
        <w:gridCol w:w="36"/>
        <w:gridCol w:w="36"/>
        <w:gridCol w:w="36"/>
        <w:gridCol w:w="36"/>
      </w:tblGrid>
      <w:tr w:rsidR="00000000" w14:paraId="090BB204" w14:textId="77777777">
        <w:trPr>
          <w:divId w:val="320740040"/>
        </w:trPr>
        <w:tc>
          <w:tcPr>
            <w:tcW w:w="50" w:type="pct"/>
            <w:vAlign w:val="center"/>
            <w:hideMark/>
          </w:tcPr>
          <w:p w14:paraId="6EFA345A" w14:textId="77777777" w:rsidR="00000000" w:rsidRDefault="00405D16">
            <w:pPr>
              <w:rPr>
                <w:rFonts w:eastAsia="Times New Roman"/>
              </w:rPr>
            </w:pPr>
          </w:p>
        </w:tc>
        <w:tc>
          <w:tcPr>
            <w:tcW w:w="2338" w:type="pct"/>
            <w:vAlign w:val="center"/>
            <w:hideMark/>
          </w:tcPr>
          <w:p w14:paraId="0FB7634C" w14:textId="77777777" w:rsidR="00000000" w:rsidRDefault="00405D16">
            <w:pPr>
              <w:spacing w:after="100"/>
              <w:rPr>
                <w:rFonts w:eastAsia="Times New Roman"/>
                <w:sz w:val="20"/>
                <w:szCs w:val="20"/>
              </w:rPr>
            </w:pPr>
          </w:p>
        </w:tc>
        <w:tc>
          <w:tcPr>
            <w:tcW w:w="5" w:type="pct"/>
            <w:vAlign w:val="center"/>
            <w:hideMark/>
          </w:tcPr>
          <w:p w14:paraId="0969252B" w14:textId="77777777" w:rsidR="00000000" w:rsidRDefault="00405D16">
            <w:pPr>
              <w:spacing w:after="100"/>
              <w:rPr>
                <w:rFonts w:eastAsia="Times New Roman"/>
                <w:sz w:val="20"/>
                <w:szCs w:val="20"/>
              </w:rPr>
            </w:pPr>
          </w:p>
        </w:tc>
        <w:tc>
          <w:tcPr>
            <w:tcW w:w="5" w:type="pct"/>
            <w:vAlign w:val="center"/>
            <w:hideMark/>
          </w:tcPr>
          <w:p w14:paraId="21C38BD5" w14:textId="77777777" w:rsidR="00000000" w:rsidRDefault="00405D16">
            <w:pPr>
              <w:spacing w:after="100"/>
              <w:rPr>
                <w:rFonts w:eastAsia="Times New Roman"/>
                <w:sz w:val="20"/>
                <w:szCs w:val="20"/>
              </w:rPr>
            </w:pPr>
          </w:p>
        </w:tc>
        <w:tc>
          <w:tcPr>
            <w:tcW w:w="26" w:type="pct"/>
            <w:vAlign w:val="center"/>
            <w:hideMark/>
          </w:tcPr>
          <w:p w14:paraId="65D84078" w14:textId="77777777" w:rsidR="00000000" w:rsidRDefault="00405D16">
            <w:pPr>
              <w:spacing w:after="100"/>
              <w:rPr>
                <w:rFonts w:eastAsia="Times New Roman"/>
                <w:sz w:val="20"/>
                <w:szCs w:val="20"/>
              </w:rPr>
            </w:pPr>
          </w:p>
        </w:tc>
        <w:tc>
          <w:tcPr>
            <w:tcW w:w="5" w:type="pct"/>
            <w:vAlign w:val="center"/>
            <w:hideMark/>
          </w:tcPr>
          <w:p w14:paraId="342E307C" w14:textId="77777777" w:rsidR="00000000" w:rsidRDefault="00405D16">
            <w:pPr>
              <w:spacing w:after="100"/>
              <w:rPr>
                <w:rFonts w:eastAsia="Times New Roman"/>
                <w:sz w:val="20"/>
                <w:szCs w:val="20"/>
              </w:rPr>
            </w:pPr>
          </w:p>
        </w:tc>
        <w:tc>
          <w:tcPr>
            <w:tcW w:w="50" w:type="pct"/>
            <w:vAlign w:val="center"/>
            <w:hideMark/>
          </w:tcPr>
          <w:p w14:paraId="6B06C64F" w14:textId="77777777" w:rsidR="00000000" w:rsidRDefault="00405D16">
            <w:pPr>
              <w:spacing w:after="100"/>
              <w:rPr>
                <w:rFonts w:eastAsia="Times New Roman"/>
                <w:sz w:val="20"/>
                <w:szCs w:val="20"/>
              </w:rPr>
            </w:pPr>
          </w:p>
        </w:tc>
        <w:tc>
          <w:tcPr>
            <w:tcW w:w="559" w:type="pct"/>
            <w:vAlign w:val="center"/>
            <w:hideMark/>
          </w:tcPr>
          <w:p w14:paraId="7DF2A68D" w14:textId="77777777" w:rsidR="00000000" w:rsidRDefault="00405D16">
            <w:pPr>
              <w:spacing w:after="100"/>
              <w:rPr>
                <w:rFonts w:eastAsia="Times New Roman"/>
                <w:sz w:val="20"/>
                <w:szCs w:val="20"/>
              </w:rPr>
            </w:pPr>
          </w:p>
        </w:tc>
        <w:tc>
          <w:tcPr>
            <w:tcW w:w="5" w:type="pct"/>
            <w:vAlign w:val="center"/>
            <w:hideMark/>
          </w:tcPr>
          <w:p w14:paraId="60EC781D" w14:textId="77777777" w:rsidR="00000000" w:rsidRDefault="00405D16">
            <w:pPr>
              <w:spacing w:after="100"/>
              <w:rPr>
                <w:rFonts w:eastAsia="Times New Roman"/>
                <w:sz w:val="20"/>
                <w:szCs w:val="20"/>
              </w:rPr>
            </w:pPr>
          </w:p>
        </w:tc>
        <w:tc>
          <w:tcPr>
            <w:tcW w:w="5" w:type="pct"/>
            <w:vAlign w:val="center"/>
            <w:hideMark/>
          </w:tcPr>
          <w:p w14:paraId="6AC8EB57" w14:textId="77777777" w:rsidR="00000000" w:rsidRDefault="00405D16">
            <w:pPr>
              <w:spacing w:after="100"/>
              <w:rPr>
                <w:rFonts w:eastAsia="Times New Roman"/>
                <w:sz w:val="20"/>
                <w:szCs w:val="20"/>
              </w:rPr>
            </w:pPr>
          </w:p>
        </w:tc>
        <w:tc>
          <w:tcPr>
            <w:tcW w:w="26" w:type="pct"/>
            <w:vAlign w:val="center"/>
            <w:hideMark/>
          </w:tcPr>
          <w:p w14:paraId="38F95DA5" w14:textId="77777777" w:rsidR="00000000" w:rsidRDefault="00405D16">
            <w:pPr>
              <w:spacing w:after="100"/>
              <w:rPr>
                <w:rFonts w:eastAsia="Times New Roman"/>
                <w:sz w:val="20"/>
                <w:szCs w:val="20"/>
              </w:rPr>
            </w:pPr>
          </w:p>
        </w:tc>
        <w:tc>
          <w:tcPr>
            <w:tcW w:w="5" w:type="pct"/>
            <w:vAlign w:val="center"/>
            <w:hideMark/>
          </w:tcPr>
          <w:p w14:paraId="518A524A" w14:textId="77777777" w:rsidR="00000000" w:rsidRDefault="00405D16">
            <w:pPr>
              <w:spacing w:after="100"/>
              <w:rPr>
                <w:rFonts w:eastAsia="Times New Roman"/>
                <w:sz w:val="20"/>
                <w:szCs w:val="20"/>
              </w:rPr>
            </w:pPr>
          </w:p>
        </w:tc>
        <w:tc>
          <w:tcPr>
            <w:tcW w:w="50" w:type="pct"/>
            <w:vAlign w:val="center"/>
            <w:hideMark/>
          </w:tcPr>
          <w:p w14:paraId="4283C86F" w14:textId="77777777" w:rsidR="00000000" w:rsidRDefault="00405D16">
            <w:pPr>
              <w:spacing w:after="100"/>
              <w:rPr>
                <w:rFonts w:eastAsia="Times New Roman"/>
                <w:sz w:val="20"/>
                <w:szCs w:val="20"/>
              </w:rPr>
            </w:pPr>
          </w:p>
        </w:tc>
        <w:tc>
          <w:tcPr>
            <w:tcW w:w="559" w:type="pct"/>
            <w:vAlign w:val="center"/>
            <w:hideMark/>
          </w:tcPr>
          <w:p w14:paraId="54AD2536" w14:textId="77777777" w:rsidR="00000000" w:rsidRDefault="00405D16">
            <w:pPr>
              <w:spacing w:after="100"/>
              <w:rPr>
                <w:rFonts w:eastAsia="Times New Roman"/>
                <w:sz w:val="20"/>
                <w:szCs w:val="20"/>
              </w:rPr>
            </w:pPr>
          </w:p>
        </w:tc>
        <w:tc>
          <w:tcPr>
            <w:tcW w:w="5" w:type="pct"/>
            <w:vAlign w:val="center"/>
            <w:hideMark/>
          </w:tcPr>
          <w:p w14:paraId="11796F1F" w14:textId="77777777" w:rsidR="00000000" w:rsidRDefault="00405D16">
            <w:pPr>
              <w:spacing w:after="100"/>
              <w:rPr>
                <w:rFonts w:eastAsia="Times New Roman"/>
                <w:sz w:val="20"/>
                <w:szCs w:val="20"/>
              </w:rPr>
            </w:pPr>
          </w:p>
        </w:tc>
        <w:tc>
          <w:tcPr>
            <w:tcW w:w="0" w:type="auto"/>
            <w:vAlign w:val="center"/>
            <w:hideMark/>
          </w:tcPr>
          <w:p w14:paraId="7AA8BE51" w14:textId="77777777" w:rsidR="00000000" w:rsidRDefault="00405D16">
            <w:pPr>
              <w:spacing w:after="100"/>
              <w:rPr>
                <w:rFonts w:eastAsia="Times New Roman"/>
                <w:sz w:val="20"/>
                <w:szCs w:val="20"/>
              </w:rPr>
            </w:pPr>
          </w:p>
        </w:tc>
        <w:tc>
          <w:tcPr>
            <w:tcW w:w="0" w:type="auto"/>
            <w:vAlign w:val="center"/>
            <w:hideMark/>
          </w:tcPr>
          <w:p w14:paraId="369A2343" w14:textId="77777777" w:rsidR="00000000" w:rsidRDefault="00405D16">
            <w:pPr>
              <w:spacing w:after="100"/>
              <w:rPr>
                <w:rFonts w:eastAsia="Times New Roman"/>
                <w:sz w:val="20"/>
                <w:szCs w:val="20"/>
              </w:rPr>
            </w:pPr>
          </w:p>
        </w:tc>
        <w:tc>
          <w:tcPr>
            <w:tcW w:w="5" w:type="pct"/>
            <w:vAlign w:val="center"/>
            <w:hideMark/>
          </w:tcPr>
          <w:p w14:paraId="5247824D" w14:textId="77777777" w:rsidR="00000000" w:rsidRDefault="00405D16">
            <w:pPr>
              <w:spacing w:after="100"/>
              <w:rPr>
                <w:rFonts w:eastAsia="Times New Roman"/>
                <w:sz w:val="20"/>
                <w:szCs w:val="20"/>
              </w:rPr>
            </w:pPr>
          </w:p>
        </w:tc>
        <w:tc>
          <w:tcPr>
            <w:tcW w:w="26" w:type="pct"/>
            <w:vAlign w:val="center"/>
            <w:hideMark/>
          </w:tcPr>
          <w:p w14:paraId="1C5EB052" w14:textId="77777777" w:rsidR="00000000" w:rsidRDefault="00405D16">
            <w:pPr>
              <w:spacing w:after="100"/>
              <w:rPr>
                <w:rFonts w:eastAsia="Times New Roman"/>
                <w:sz w:val="20"/>
                <w:szCs w:val="20"/>
              </w:rPr>
            </w:pPr>
          </w:p>
        </w:tc>
        <w:tc>
          <w:tcPr>
            <w:tcW w:w="5" w:type="pct"/>
            <w:vAlign w:val="center"/>
            <w:hideMark/>
          </w:tcPr>
          <w:p w14:paraId="779F064A" w14:textId="77777777" w:rsidR="00000000" w:rsidRDefault="00405D16">
            <w:pPr>
              <w:spacing w:after="100"/>
              <w:rPr>
                <w:rFonts w:eastAsia="Times New Roman"/>
                <w:sz w:val="20"/>
                <w:szCs w:val="20"/>
              </w:rPr>
            </w:pPr>
          </w:p>
        </w:tc>
        <w:tc>
          <w:tcPr>
            <w:tcW w:w="50" w:type="pct"/>
            <w:vAlign w:val="center"/>
            <w:hideMark/>
          </w:tcPr>
          <w:p w14:paraId="2AC1302F" w14:textId="77777777" w:rsidR="00000000" w:rsidRDefault="00405D16">
            <w:pPr>
              <w:spacing w:after="100"/>
              <w:rPr>
                <w:rFonts w:eastAsia="Times New Roman"/>
                <w:sz w:val="20"/>
                <w:szCs w:val="20"/>
              </w:rPr>
            </w:pPr>
          </w:p>
        </w:tc>
        <w:tc>
          <w:tcPr>
            <w:tcW w:w="559" w:type="pct"/>
            <w:vAlign w:val="center"/>
            <w:hideMark/>
          </w:tcPr>
          <w:p w14:paraId="506232BF" w14:textId="77777777" w:rsidR="00000000" w:rsidRDefault="00405D16">
            <w:pPr>
              <w:spacing w:after="100"/>
              <w:rPr>
                <w:rFonts w:eastAsia="Times New Roman"/>
                <w:sz w:val="20"/>
                <w:szCs w:val="20"/>
              </w:rPr>
            </w:pPr>
          </w:p>
        </w:tc>
        <w:tc>
          <w:tcPr>
            <w:tcW w:w="5" w:type="pct"/>
            <w:vAlign w:val="center"/>
            <w:hideMark/>
          </w:tcPr>
          <w:p w14:paraId="6241A1A7" w14:textId="77777777" w:rsidR="00000000" w:rsidRDefault="00405D16">
            <w:pPr>
              <w:spacing w:after="100"/>
              <w:rPr>
                <w:rFonts w:eastAsia="Times New Roman"/>
                <w:sz w:val="20"/>
                <w:szCs w:val="20"/>
              </w:rPr>
            </w:pPr>
          </w:p>
        </w:tc>
        <w:tc>
          <w:tcPr>
            <w:tcW w:w="5" w:type="pct"/>
            <w:vAlign w:val="center"/>
            <w:hideMark/>
          </w:tcPr>
          <w:p w14:paraId="0AE35C76" w14:textId="77777777" w:rsidR="00000000" w:rsidRDefault="00405D16">
            <w:pPr>
              <w:spacing w:after="100"/>
              <w:rPr>
                <w:rFonts w:eastAsia="Times New Roman"/>
                <w:sz w:val="20"/>
                <w:szCs w:val="20"/>
              </w:rPr>
            </w:pPr>
          </w:p>
        </w:tc>
        <w:tc>
          <w:tcPr>
            <w:tcW w:w="26" w:type="pct"/>
            <w:vAlign w:val="center"/>
            <w:hideMark/>
          </w:tcPr>
          <w:p w14:paraId="4F5ED7B5" w14:textId="77777777" w:rsidR="00000000" w:rsidRDefault="00405D16">
            <w:pPr>
              <w:spacing w:after="100"/>
              <w:rPr>
                <w:rFonts w:eastAsia="Times New Roman"/>
                <w:sz w:val="20"/>
                <w:szCs w:val="20"/>
              </w:rPr>
            </w:pPr>
          </w:p>
        </w:tc>
        <w:tc>
          <w:tcPr>
            <w:tcW w:w="5" w:type="pct"/>
            <w:vAlign w:val="center"/>
            <w:hideMark/>
          </w:tcPr>
          <w:p w14:paraId="0486277B" w14:textId="77777777" w:rsidR="00000000" w:rsidRDefault="00405D16">
            <w:pPr>
              <w:spacing w:after="100"/>
              <w:rPr>
                <w:rFonts w:eastAsia="Times New Roman"/>
                <w:sz w:val="20"/>
                <w:szCs w:val="20"/>
              </w:rPr>
            </w:pPr>
          </w:p>
        </w:tc>
        <w:tc>
          <w:tcPr>
            <w:tcW w:w="50" w:type="pct"/>
            <w:vAlign w:val="center"/>
            <w:hideMark/>
          </w:tcPr>
          <w:p w14:paraId="29A53C4D" w14:textId="77777777" w:rsidR="00000000" w:rsidRDefault="00405D16">
            <w:pPr>
              <w:spacing w:after="100"/>
              <w:rPr>
                <w:rFonts w:eastAsia="Times New Roman"/>
                <w:sz w:val="20"/>
                <w:szCs w:val="20"/>
              </w:rPr>
            </w:pPr>
          </w:p>
        </w:tc>
        <w:tc>
          <w:tcPr>
            <w:tcW w:w="560" w:type="pct"/>
            <w:vAlign w:val="center"/>
            <w:hideMark/>
          </w:tcPr>
          <w:p w14:paraId="43072CAA" w14:textId="77777777" w:rsidR="00000000" w:rsidRDefault="00405D16">
            <w:pPr>
              <w:spacing w:after="100"/>
              <w:rPr>
                <w:rFonts w:eastAsia="Times New Roman"/>
                <w:sz w:val="20"/>
                <w:szCs w:val="20"/>
              </w:rPr>
            </w:pPr>
          </w:p>
        </w:tc>
        <w:tc>
          <w:tcPr>
            <w:tcW w:w="5" w:type="pct"/>
            <w:vAlign w:val="center"/>
            <w:hideMark/>
          </w:tcPr>
          <w:p w14:paraId="054955AC" w14:textId="77777777" w:rsidR="00000000" w:rsidRDefault="00405D16">
            <w:pPr>
              <w:spacing w:after="100"/>
              <w:rPr>
                <w:rFonts w:eastAsia="Times New Roman"/>
                <w:sz w:val="20"/>
                <w:szCs w:val="20"/>
              </w:rPr>
            </w:pPr>
          </w:p>
        </w:tc>
        <w:tc>
          <w:tcPr>
            <w:tcW w:w="0" w:type="auto"/>
            <w:gridSpan w:val="3"/>
            <w:vAlign w:val="center"/>
            <w:hideMark/>
          </w:tcPr>
          <w:p w14:paraId="696847C7" w14:textId="77777777" w:rsidR="00000000" w:rsidRDefault="00405D16">
            <w:pPr>
              <w:spacing w:after="100"/>
              <w:rPr>
                <w:rFonts w:eastAsia="Times New Roman"/>
                <w:sz w:val="20"/>
                <w:szCs w:val="20"/>
              </w:rPr>
            </w:pPr>
          </w:p>
        </w:tc>
        <w:tc>
          <w:tcPr>
            <w:tcW w:w="0" w:type="auto"/>
            <w:gridSpan w:val="3"/>
            <w:vAlign w:val="center"/>
            <w:hideMark/>
          </w:tcPr>
          <w:p w14:paraId="60968225" w14:textId="77777777" w:rsidR="00000000" w:rsidRDefault="00405D16">
            <w:pPr>
              <w:spacing w:after="100"/>
              <w:rPr>
                <w:rFonts w:eastAsia="Times New Roman"/>
                <w:sz w:val="20"/>
                <w:szCs w:val="20"/>
              </w:rPr>
            </w:pPr>
          </w:p>
        </w:tc>
      </w:tr>
      <w:tr w:rsidR="00000000" w14:paraId="2BB675DA" w14:textId="77777777">
        <w:trPr>
          <w:divId w:val="320740040"/>
        </w:trPr>
        <w:tc>
          <w:tcPr>
            <w:tcW w:w="0" w:type="auto"/>
            <w:gridSpan w:val="3"/>
            <w:tcMar>
              <w:top w:w="0" w:type="dxa"/>
              <w:left w:w="20" w:type="dxa"/>
              <w:bottom w:w="0" w:type="dxa"/>
              <w:right w:w="20" w:type="dxa"/>
            </w:tcMar>
            <w:vAlign w:val="center"/>
            <w:hideMark/>
          </w:tcPr>
          <w:p w14:paraId="20B8FE80"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4082D11" w14:textId="77777777" w:rsidR="00000000" w:rsidRDefault="00405D16">
            <w:pPr>
              <w:spacing w:after="100"/>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center"/>
            <w:hideMark/>
          </w:tcPr>
          <w:p w14:paraId="78B5EAB2" w14:textId="77777777" w:rsidR="00000000" w:rsidRDefault="00405D16">
            <w:pPr>
              <w:spacing w:after="100"/>
              <w:jc w:val="center"/>
              <w:rPr>
                <w:rFonts w:eastAsia="Times New Roman"/>
              </w:rPr>
            </w:pPr>
            <w:r>
              <w:rPr>
                <w:rFonts w:eastAsia="Times New Roman"/>
                <w:b/>
                <w:bCs/>
                <w:color w:val="000000"/>
                <w:sz w:val="16"/>
                <w:szCs w:val="16"/>
              </w:rPr>
              <w:t>Issuances</w:t>
            </w:r>
          </w:p>
        </w:tc>
        <w:tc>
          <w:tcPr>
            <w:tcW w:w="0" w:type="auto"/>
            <w:tcMar>
              <w:top w:w="0" w:type="dxa"/>
              <w:left w:w="20" w:type="dxa"/>
              <w:bottom w:w="0" w:type="dxa"/>
              <w:right w:w="20" w:type="dxa"/>
            </w:tcMar>
            <w:vAlign w:val="center"/>
            <w:hideMark/>
          </w:tcPr>
          <w:p w14:paraId="75F9A2E0" w14:textId="77777777" w:rsidR="00000000" w:rsidRDefault="00405D16">
            <w:pPr>
              <w:spacing w:after="100"/>
              <w:jc w:val="center"/>
              <w:rPr>
                <w:rFonts w:eastAsia="Times New Roman"/>
              </w:rPr>
            </w:pPr>
          </w:p>
        </w:tc>
        <w:tc>
          <w:tcPr>
            <w:tcW w:w="0" w:type="auto"/>
            <w:gridSpan w:val="7"/>
            <w:tcBorders>
              <w:bottom w:val="single" w:sz="8" w:space="0" w:color="000000"/>
            </w:tcBorders>
            <w:tcMar>
              <w:top w:w="30" w:type="dxa"/>
              <w:left w:w="20" w:type="dxa"/>
              <w:bottom w:w="30" w:type="dxa"/>
              <w:right w:w="20" w:type="dxa"/>
            </w:tcMar>
            <w:vAlign w:val="center"/>
            <w:hideMark/>
          </w:tcPr>
          <w:p w14:paraId="04EA6117" w14:textId="77777777" w:rsidR="00000000" w:rsidRDefault="00405D16">
            <w:pPr>
              <w:spacing w:after="100"/>
              <w:jc w:val="center"/>
              <w:rPr>
                <w:rFonts w:eastAsia="Times New Roman"/>
              </w:rPr>
            </w:pPr>
            <w:r>
              <w:rPr>
                <w:rFonts w:eastAsia="Times New Roman"/>
                <w:b/>
                <w:bCs/>
                <w:color w:val="000000"/>
                <w:sz w:val="16"/>
                <w:szCs w:val="16"/>
              </w:rPr>
              <w:t>Maturities/Redemptions</w:t>
            </w:r>
          </w:p>
        </w:tc>
        <w:tc>
          <w:tcPr>
            <w:tcW w:w="0" w:type="auto"/>
            <w:vAlign w:val="center"/>
            <w:hideMark/>
          </w:tcPr>
          <w:p w14:paraId="2E9B709F" w14:textId="77777777" w:rsidR="00000000" w:rsidRDefault="00405D16">
            <w:pPr>
              <w:spacing w:after="100"/>
              <w:rPr>
                <w:rFonts w:eastAsia="Times New Roman"/>
                <w:sz w:val="20"/>
                <w:szCs w:val="20"/>
              </w:rPr>
            </w:pPr>
          </w:p>
        </w:tc>
        <w:tc>
          <w:tcPr>
            <w:tcW w:w="0" w:type="auto"/>
            <w:vAlign w:val="center"/>
            <w:hideMark/>
          </w:tcPr>
          <w:p w14:paraId="1C3C3F42" w14:textId="77777777" w:rsidR="00000000" w:rsidRDefault="00405D16">
            <w:pPr>
              <w:spacing w:after="100"/>
              <w:rPr>
                <w:rFonts w:eastAsia="Times New Roman"/>
                <w:sz w:val="20"/>
                <w:szCs w:val="20"/>
              </w:rPr>
            </w:pPr>
          </w:p>
        </w:tc>
        <w:tc>
          <w:tcPr>
            <w:tcW w:w="0" w:type="auto"/>
            <w:vAlign w:val="center"/>
            <w:hideMark/>
          </w:tcPr>
          <w:p w14:paraId="4E5382FE" w14:textId="77777777" w:rsidR="00000000" w:rsidRDefault="00405D16">
            <w:pPr>
              <w:spacing w:after="100"/>
              <w:rPr>
                <w:rFonts w:eastAsia="Times New Roman"/>
                <w:sz w:val="20"/>
                <w:szCs w:val="20"/>
              </w:rPr>
            </w:pPr>
          </w:p>
        </w:tc>
        <w:tc>
          <w:tcPr>
            <w:tcW w:w="0" w:type="auto"/>
            <w:vAlign w:val="center"/>
            <w:hideMark/>
          </w:tcPr>
          <w:p w14:paraId="74D53711" w14:textId="77777777" w:rsidR="00000000" w:rsidRDefault="00405D16">
            <w:pPr>
              <w:spacing w:after="100"/>
              <w:rPr>
                <w:rFonts w:eastAsia="Times New Roman"/>
                <w:sz w:val="20"/>
                <w:szCs w:val="20"/>
              </w:rPr>
            </w:pPr>
          </w:p>
        </w:tc>
        <w:tc>
          <w:tcPr>
            <w:tcW w:w="0" w:type="auto"/>
            <w:vAlign w:val="center"/>
            <w:hideMark/>
          </w:tcPr>
          <w:p w14:paraId="32AE7D7D" w14:textId="77777777" w:rsidR="00000000" w:rsidRDefault="00405D16">
            <w:pPr>
              <w:spacing w:after="100"/>
              <w:rPr>
                <w:rFonts w:eastAsia="Times New Roman"/>
                <w:sz w:val="20"/>
                <w:szCs w:val="20"/>
              </w:rPr>
            </w:pPr>
          </w:p>
        </w:tc>
        <w:tc>
          <w:tcPr>
            <w:tcW w:w="0" w:type="auto"/>
            <w:vAlign w:val="center"/>
            <w:hideMark/>
          </w:tcPr>
          <w:p w14:paraId="6B10F70E" w14:textId="77777777" w:rsidR="00000000" w:rsidRDefault="00405D16">
            <w:pPr>
              <w:spacing w:after="100"/>
              <w:rPr>
                <w:rFonts w:eastAsia="Times New Roman"/>
                <w:sz w:val="20"/>
                <w:szCs w:val="20"/>
              </w:rPr>
            </w:pPr>
          </w:p>
        </w:tc>
        <w:tc>
          <w:tcPr>
            <w:tcW w:w="0" w:type="auto"/>
            <w:vAlign w:val="center"/>
            <w:hideMark/>
          </w:tcPr>
          <w:p w14:paraId="04E2BB57" w14:textId="77777777" w:rsidR="00000000" w:rsidRDefault="00405D16">
            <w:pPr>
              <w:spacing w:after="100"/>
              <w:rPr>
                <w:rFonts w:eastAsia="Times New Roman"/>
                <w:sz w:val="20"/>
                <w:szCs w:val="20"/>
              </w:rPr>
            </w:pPr>
          </w:p>
        </w:tc>
        <w:tc>
          <w:tcPr>
            <w:tcW w:w="0" w:type="auto"/>
            <w:vAlign w:val="center"/>
            <w:hideMark/>
          </w:tcPr>
          <w:p w14:paraId="0939B7C6" w14:textId="77777777" w:rsidR="00000000" w:rsidRDefault="00405D16">
            <w:pPr>
              <w:spacing w:after="100"/>
              <w:rPr>
                <w:rFonts w:eastAsia="Times New Roman"/>
                <w:sz w:val="20"/>
                <w:szCs w:val="20"/>
              </w:rPr>
            </w:pPr>
          </w:p>
        </w:tc>
        <w:tc>
          <w:tcPr>
            <w:tcW w:w="0" w:type="auto"/>
            <w:vAlign w:val="center"/>
            <w:hideMark/>
          </w:tcPr>
          <w:p w14:paraId="064BDF21" w14:textId="77777777" w:rsidR="00000000" w:rsidRDefault="00405D16">
            <w:pPr>
              <w:spacing w:after="100"/>
              <w:rPr>
                <w:rFonts w:eastAsia="Times New Roman"/>
                <w:sz w:val="20"/>
                <w:szCs w:val="20"/>
              </w:rPr>
            </w:pPr>
          </w:p>
        </w:tc>
        <w:tc>
          <w:tcPr>
            <w:tcW w:w="0" w:type="auto"/>
            <w:vAlign w:val="center"/>
            <w:hideMark/>
          </w:tcPr>
          <w:p w14:paraId="27BBB14F" w14:textId="77777777" w:rsidR="00000000" w:rsidRDefault="00405D16">
            <w:pPr>
              <w:spacing w:after="100"/>
              <w:rPr>
                <w:rFonts w:eastAsia="Times New Roman"/>
                <w:sz w:val="20"/>
                <w:szCs w:val="20"/>
              </w:rPr>
            </w:pPr>
          </w:p>
        </w:tc>
        <w:tc>
          <w:tcPr>
            <w:tcW w:w="0" w:type="auto"/>
            <w:vAlign w:val="center"/>
            <w:hideMark/>
          </w:tcPr>
          <w:p w14:paraId="668DDFA4" w14:textId="77777777" w:rsidR="00000000" w:rsidRDefault="00405D16">
            <w:pPr>
              <w:spacing w:after="100"/>
              <w:rPr>
                <w:rFonts w:eastAsia="Times New Roman"/>
                <w:sz w:val="20"/>
                <w:szCs w:val="20"/>
              </w:rPr>
            </w:pPr>
          </w:p>
        </w:tc>
        <w:tc>
          <w:tcPr>
            <w:tcW w:w="0" w:type="auto"/>
            <w:vAlign w:val="center"/>
            <w:hideMark/>
          </w:tcPr>
          <w:p w14:paraId="6BC97C67" w14:textId="77777777" w:rsidR="00000000" w:rsidRDefault="00405D16">
            <w:pPr>
              <w:spacing w:after="100"/>
              <w:rPr>
                <w:rFonts w:eastAsia="Times New Roman"/>
                <w:sz w:val="20"/>
                <w:szCs w:val="20"/>
              </w:rPr>
            </w:pPr>
          </w:p>
        </w:tc>
      </w:tr>
      <w:tr w:rsidR="00000000" w14:paraId="4DDD7AAD" w14:textId="77777777">
        <w:trPr>
          <w:divId w:val="320740040"/>
        </w:trPr>
        <w:tc>
          <w:tcPr>
            <w:tcW w:w="0" w:type="auto"/>
            <w:gridSpan w:val="3"/>
            <w:tcMar>
              <w:top w:w="0" w:type="dxa"/>
              <w:left w:w="20" w:type="dxa"/>
              <w:bottom w:w="0" w:type="dxa"/>
              <w:right w:w="20" w:type="dxa"/>
            </w:tcMar>
            <w:vAlign w:val="center"/>
            <w:hideMark/>
          </w:tcPr>
          <w:p w14:paraId="11D3FE8B" w14:textId="77777777" w:rsidR="00000000" w:rsidRDefault="00405D1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CD8E5E1" w14:textId="77777777" w:rsidR="00000000" w:rsidRDefault="00405D16">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center"/>
            <w:hideMark/>
          </w:tcPr>
          <w:p w14:paraId="77F791DF" w14:textId="77777777" w:rsidR="00000000" w:rsidRDefault="00405D16">
            <w:pPr>
              <w:spacing w:after="100"/>
              <w:jc w:val="center"/>
              <w:rPr>
                <w:rFonts w:eastAsia="Times New Roman"/>
              </w:rPr>
            </w:pPr>
            <w:r>
              <w:rPr>
                <w:rFonts w:eastAsia="Times New Roman"/>
                <w:b/>
                <w:bCs/>
                <w:color w:val="000000"/>
                <w:sz w:val="16"/>
                <w:szCs w:val="16"/>
              </w:rPr>
              <w:t>Three Months Ended September 30,</w:t>
            </w:r>
          </w:p>
        </w:tc>
        <w:tc>
          <w:tcPr>
            <w:tcW w:w="0" w:type="auto"/>
            <w:tcMar>
              <w:top w:w="0" w:type="dxa"/>
              <w:left w:w="20" w:type="dxa"/>
              <w:bottom w:w="0" w:type="dxa"/>
              <w:right w:w="20" w:type="dxa"/>
            </w:tcMar>
            <w:vAlign w:val="center"/>
            <w:hideMark/>
          </w:tcPr>
          <w:p w14:paraId="6FA40D7F" w14:textId="77777777" w:rsidR="00000000" w:rsidRDefault="00405D16">
            <w:pPr>
              <w:spacing w:after="100"/>
              <w:jc w:val="center"/>
              <w:rPr>
                <w:rFonts w:eastAsia="Times New Roman"/>
              </w:rPr>
            </w:pPr>
          </w:p>
        </w:tc>
        <w:tc>
          <w:tcPr>
            <w:tcW w:w="0" w:type="auto"/>
            <w:gridSpan w:val="7"/>
            <w:tcBorders>
              <w:top w:val="single" w:sz="8" w:space="0" w:color="000000"/>
            </w:tcBorders>
            <w:tcMar>
              <w:top w:w="30" w:type="dxa"/>
              <w:left w:w="20" w:type="dxa"/>
              <w:bottom w:w="30" w:type="dxa"/>
              <w:right w:w="20" w:type="dxa"/>
            </w:tcMar>
            <w:vAlign w:val="center"/>
            <w:hideMark/>
          </w:tcPr>
          <w:p w14:paraId="03A6BA26" w14:textId="77777777" w:rsidR="00000000" w:rsidRDefault="00405D16">
            <w:pPr>
              <w:spacing w:after="100"/>
              <w:jc w:val="center"/>
              <w:rPr>
                <w:rFonts w:eastAsia="Times New Roman"/>
              </w:rPr>
            </w:pPr>
            <w:r>
              <w:rPr>
                <w:rFonts w:eastAsia="Times New Roman"/>
                <w:b/>
                <w:bCs/>
                <w:color w:val="000000"/>
                <w:sz w:val="16"/>
                <w:szCs w:val="16"/>
              </w:rPr>
              <w:t>Three Months Ended September 30,</w:t>
            </w:r>
          </w:p>
        </w:tc>
        <w:tc>
          <w:tcPr>
            <w:tcW w:w="0" w:type="auto"/>
            <w:vAlign w:val="center"/>
            <w:hideMark/>
          </w:tcPr>
          <w:p w14:paraId="2E4004C5" w14:textId="77777777" w:rsidR="00000000" w:rsidRDefault="00405D16">
            <w:pPr>
              <w:spacing w:after="100"/>
              <w:rPr>
                <w:rFonts w:eastAsia="Times New Roman"/>
                <w:sz w:val="20"/>
                <w:szCs w:val="20"/>
              </w:rPr>
            </w:pPr>
          </w:p>
        </w:tc>
        <w:tc>
          <w:tcPr>
            <w:tcW w:w="0" w:type="auto"/>
            <w:vAlign w:val="center"/>
            <w:hideMark/>
          </w:tcPr>
          <w:p w14:paraId="6903BF8C" w14:textId="77777777" w:rsidR="00000000" w:rsidRDefault="00405D16">
            <w:pPr>
              <w:spacing w:after="100"/>
              <w:rPr>
                <w:rFonts w:eastAsia="Times New Roman"/>
                <w:sz w:val="20"/>
                <w:szCs w:val="20"/>
              </w:rPr>
            </w:pPr>
          </w:p>
        </w:tc>
        <w:tc>
          <w:tcPr>
            <w:tcW w:w="0" w:type="auto"/>
            <w:vAlign w:val="center"/>
            <w:hideMark/>
          </w:tcPr>
          <w:p w14:paraId="4FD850B9" w14:textId="77777777" w:rsidR="00000000" w:rsidRDefault="00405D16">
            <w:pPr>
              <w:spacing w:after="100"/>
              <w:rPr>
                <w:rFonts w:eastAsia="Times New Roman"/>
                <w:sz w:val="20"/>
                <w:szCs w:val="20"/>
              </w:rPr>
            </w:pPr>
          </w:p>
        </w:tc>
        <w:tc>
          <w:tcPr>
            <w:tcW w:w="0" w:type="auto"/>
            <w:vAlign w:val="center"/>
            <w:hideMark/>
          </w:tcPr>
          <w:p w14:paraId="389DB481" w14:textId="77777777" w:rsidR="00000000" w:rsidRDefault="00405D16">
            <w:pPr>
              <w:spacing w:after="100"/>
              <w:rPr>
                <w:rFonts w:eastAsia="Times New Roman"/>
                <w:sz w:val="20"/>
                <w:szCs w:val="20"/>
              </w:rPr>
            </w:pPr>
          </w:p>
        </w:tc>
        <w:tc>
          <w:tcPr>
            <w:tcW w:w="0" w:type="auto"/>
            <w:vAlign w:val="center"/>
            <w:hideMark/>
          </w:tcPr>
          <w:p w14:paraId="152296E7" w14:textId="77777777" w:rsidR="00000000" w:rsidRDefault="00405D16">
            <w:pPr>
              <w:spacing w:after="100"/>
              <w:rPr>
                <w:rFonts w:eastAsia="Times New Roman"/>
                <w:sz w:val="20"/>
                <w:szCs w:val="20"/>
              </w:rPr>
            </w:pPr>
          </w:p>
        </w:tc>
        <w:tc>
          <w:tcPr>
            <w:tcW w:w="0" w:type="auto"/>
            <w:vAlign w:val="center"/>
            <w:hideMark/>
          </w:tcPr>
          <w:p w14:paraId="6B03CDD1" w14:textId="77777777" w:rsidR="00000000" w:rsidRDefault="00405D16">
            <w:pPr>
              <w:spacing w:after="100"/>
              <w:rPr>
                <w:rFonts w:eastAsia="Times New Roman"/>
                <w:sz w:val="20"/>
                <w:szCs w:val="20"/>
              </w:rPr>
            </w:pPr>
          </w:p>
        </w:tc>
        <w:tc>
          <w:tcPr>
            <w:tcW w:w="0" w:type="auto"/>
            <w:vAlign w:val="center"/>
            <w:hideMark/>
          </w:tcPr>
          <w:p w14:paraId="0BFBCA15" w14:textId="77777777" w:rsidR="00000000" w:rsidRDefault="00405D16">
            <w:pPr>
              <w:spacing w:after="100"/>
              <w:rPr>
                <w:rFonts w:eastAsia="Times New Roman"/>
                <w:sz w:val="20"/>
                <w:szCs w:val="20"/>
              </w:rPr>
            </w:pPr>
          </w:p>
        </w:tc>
        <w:tc>
          <w:tcPr>
            <w:tcW w:w="0" w:type="auto"/>
            <w:vAlign w:val="center"/>
            <w:hideMark/>
          </w:tcPr>
          <w:p w14:paraId="5584448B" w14:textId="77777777" w:rsidR="00000000" w:rsidRDefault="00405D16">
            <w:pPr>
              <w:spacing w:after="100"/>
              <w:rPr>
                <w:rFonts w:eastAsia="Times New Roman"/>
                <w:sz w:val="20"/>
                <w:szCs w:val="20"/>
              </w:rPr>
            </w:pPr>
          </w:p>
        </w:tc>
        <w:tc>
          <w:tcPr>
            <w:tcW w:w="0" w:type="auto"/>
            <w:vAlign w:val="center"/>
            <w:hideMark/>
          </w:tcPr>
          <w:p w14:paraId="4E467C2F" w14:textId="77777777" w:rsidR="00000000" w:rsidRDefault="00405D16">
            <w:pPr>
              <w:spacing w:after="100"/>
              <w:rPr>
                <w:rFonts w:eastAsia="Times New Roman"/>
                <w:sz w:val="20"/>
                <w:szCs w:val="20"/>
              </w:rPr>
            </w:pPr>
          </w:p>
        </w:tc>
        <w:tc>
          <w:tcPr>
            <w:tcW w:w="0" w:type="auto"/>
            <w:vAlign w:val="center"/>
            <w:hideMark/>
          </w:tcPr>
          <w:p w14:paraId="0117024D" w14:textId="77777777" w:rsidR="00000000" w:rsidRDefault="00405D16">
            <w:pPr>
              <w:spacing w:after="100"/>
              <w:rPr>
                <w:rFonts w:eastAsia="Times New Roman"/>
                <w:sz w:val="20"/>
                <w:szCs w:val="20"/>
              </w:rPr>
            </w:pPr>
          </w:p>
        </w:tc>
        <w:tc>
          <w:tcPr>
            <w:tcW w:w="0" w:type="auto"/>
            <w:vAlign w:val="center"/>
            <w:hideMark/>
          </w:tcPr>
          <w:p w14:paraId="6ABFF4AC" w14:textId="77777777" w:rsidR="00000000" w:rsidRDefault="00405D16">
            <w:pPr>
              <w:spacing w:after="100"/>
              <w:rPr>
                <w:rFonts w:eastAsia="Times New Roman"/>
                <w:sz w:val="20"/>
                <w:szCs w:val="20"/>
              </w:rPr>
            </w:pPr>
          </w:p>
        </w:tc>
        <w:tc>
          <w:tcPr>
            <w:tcW w:w="0" w:type="auto"/>
            <w:vAlign w:val="center"/>
            <w:hideMark/>
          </w:tcPr>
          <w:p w14:paraId="611A6D3C" w14:textId="77777777" w:rsidR="00000000" w:rsidRDefault="00405D16">
            <w:pPr>
              <w:spacing w:after="100"/>
              <w:rPr>
                <w:rFonts w:eastAsia="Times New Roman"/>
                <w:sz w:val="20"/>
                <w:szCs w:val="20"/>
              </w:rPr>
            </w:pPr>
          </w:p>
        </w:tc>
      </w:tr>
      <w:tr w:rsidR="00000000" w14:paraId="74ACB854" w14:textId="77777777">
        <w:trPr>
          <w:divId w:val="320740040"/>
        </w:trPr>
        <w:tc>
          <w:tcPr>
            <w:tcW w:w="0" w:type="auto"/>
            <w:gridSpan w:val="3"/>
            <w:tcBorders>
              <w:bottom w:val="single" w:sz="8" w:space="0" w:color="000000"/>
            </w:tcBorders>
            <w:tcMar>
              <w:top w:w="30" w:type="dxa"/>
              <w:left w:w="20" w:type="dxa"/>
              <w:bottom w:w="30" w:type="dxa"/>
              <w:right w:w="20" w:type="dxa"/>
            </w:tcMar>
            <w:vAlign w:val="bottom"/>
            <w:hideMark/>
          </w:tcPr>
          <w:p w14:paraId="44B81D8F"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6652C133" w14:textId="77777777" w:rsidR="00000000" w:rsidRDefault="00405D16">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14:paraId="0FCAC1F5"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707F9437" w14:textId="77777777" w:rsidR="00000000" w:rsidRDefault="00405D1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14:paraId="6965F55E"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vAlign w:val="center"/>
            <w:hideMark/>
          </w:tcPr>
          <w:p w14:paraId="07830CDD" w14:textId="77777777" w:rsidR="00000000" w:rsidRDefault="00405D16">
            <w:pPr>
              <w:spacing w:after="100"/>
              <w:jc w:val="center"/>
              <w:rPr>
                <w:rFonts w:eastAsia="Times New Roman"/>
              </w:rPr>
            </w:pPr>
          </w:p>
        </w:tc>
        <w:tc>
          <w:tcPr>
            <w:tcW w:w="0" w:type="auto"/>
            <w:vAlign w:val="center"/>
            <w:hideMark/>
          </w:tcPr>
          <w:p w14:paraId="49913B79"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3A36BD8" w14:textId="77777777" w:rsidR="00000000" w:rsidRDefault="00405D16">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14:paraId="0F6D23F9"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6909CD83" w14:textId="77777777" w:rsidR="00000000" w:rsidRDefault="00405D1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14:paraId="381E146D"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gridSpan w:val="3"/>
            <w:vAlign w:val="center"/>
            <w:hideMark/>
          </w:tcPr>
          <w:p w14:paraId="75025A68" w14:textId="77777777" w:rsidR="00000000" w:rsidRDefault="00405D16">
            <w:pPr>
              <w:spacing w:after="100"/>
              <w:jc w:val="center"/>
              <w:rPr>
                <w:rFonts w:eastAsia="Times New Roman"/>
              </w:rPr>
            </w:pPr>
          </w:p>
        </w:tc>
        <w:tc>
          <w:tcPr>
            <w:tcW w:w="0" w:type="auto"/>
            <w:gridSpan w:val="3"/>
            <w:vAlign w:val="center"/>
            <w:hideMark/>
          </w:tcPr>
          <w:p w14:paraId="76534C8D" w14:textId="77777777" w:rsidR="00000000" w:rsidRDefault="00405D16">
            <w:pPr>
              <w:spacing w:after="100"/>
              <w:rPr>
                <w:rFonts w:eastAsia="Times New Roman"/>
                <w:sz w:val="20"/>
                <w:szCs w:val="20"/>
              </w:rPr>
            </w:pPr>
          </w:p>
        </w:tc>
      </w:tr>
      <w:tr w:rsidR="00000000" w14:paraId="08050CA2" w14:textId="77777777">
        <w:trPr>
          <w:divId w:val="32074004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1285924" w14:textId="77777777" w:rsidR="00000000" w:rsidRDefault="00405D16">
            <w:pPr>
              <w:spacing w:after="100"/>
              <w:rPr>
                <w:rFonts w:eastAsia="Times New Roman"/>
              </w:rPr>
            </w:pPr>
            <w:r>
              <w:rPr>
                <w:rFonts w:eastAsia="Times New Roman"/>
                <w:color w:val="000000"/>
                <w:sz w:val="18"/>
                <w:szCs w:val="18"/>
              </w:rPr>
              <w:t>Securitized debt obligations</w:t>
            </w:r>
          </w:p>
        </w:tc>
        <w:tc>
          <w:tcPr>
            <w:tcW w:w="0" w:type="auto"/>
            <w:gridSpan w:val="3"/>
            <w:shd w:val="clear" w:color="auto" w:fill="CCEEFF"/>
            <w:tcMar>
              <w:top w:w="0" w:type="dxa"/>
              <w:left w:w="20" w:type="dxa"/>
              <w:bottom w:w="0" w:type="dxa"/>
              <w:right w:w="20" w:type="dxa"/>
            </w:tcMar>
            <w:vAlign w:val="center"/>
            <w:hideMark/>
          </w:tcPr>
          <w:p w14:paraId="23F07FD7"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C6512B3"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C8B54B0" w14:textId="77777777" w:rsidR="00000000" w:rsidRDefault="00405D16">
            <w:pPr>
              <w:spacing w:after="100"/>
              <w:jc w:val="right"/>
              <w:rPr>
                <w:rFonts w:eastAsia="Times New Roman"/>
              </w:rPr>
            </w:pPr>
            <w:r>
              <w:rPr>
                <w:rFonts w:eastAsia="Times New Roman"/>
                <w:b/>
                <w:bCs/>
                <w:color w:val="000000"/>
                <w:sz w:val="18"/>
                <w:szCs w:val="18"/>
              </w:rPr>
              <w:t>3,000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83CC0D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BF27A9"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9616EB6"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9E120AB" w14:textId="77777777" w:rsidR="00000000" w:rsidRDefault="00405D16">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CAF372E" w14:textId="77777777" w:rsidR="00000000" w:rsidRDefault="00405D16">
            <w:pPr>
              <w:spacing w:after="100"/>
              <w:jc w:val="right"/>
              <w:rPr>
                <w:rFonts w:eastAsia="Times New Roman"/>
              </w:rPr>
            </w:pPr>
          </w:p>
        </w:tc>
        <w:tc>
          <w:tcPr>
            <w:tcW w:w="0" w:type="auto"/>
            <w:vAlign w:val="center"/>
            <w:hideMark/>
          </w:tcPr>
          <w:p w14:paraId="68E4D19A" w14:textId="77777777" w:rsidR="00000000" w:rsidRDefault="00405D16">
            <w:pPr>
              <w:spacing w:after="100"/>
              <w:jc w:val="right"/>
              <w:rPr>
                <w:rFonts w:eastAsia="Times New Roman"/>
                <w:sz w:val="20"/>
                <w:szCs w:val="20"/>
              </w:rPr>
            </w:pPr>
          </w:p>
        </w:tc>
        <w:tc>
          <w:tcPr>
            <w:tcW w:w="0" w:type="auto"/>
            <w:vAlign w:val="center"/>
            <w:hideMark/>
          </w:tcPr>
          <w:p w14:paraId="2D49DE6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E51C7D" w14:textId="77777777" w:rsidR="00000000" w:rsidRDefault="00405D16">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1829471"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9859342" w14:textId="77777777" w:rsidR="00000000" w:rsidRDefault="00405D16">
            <w:pPr>
              <w:spacing w:after="100"/>
              <w:jc w:val="right"/>
              <w:rPr>
                <w:rFonts w:eastAsia="Times New Roman"/>
              </w:rPr>
            </w:pPr>
            <w:r>
              <w:rPr>
                <w:rFonts w:eastAsia="Times New Roman"/>
                <w:b/>
                <w:bCs/>
                <w:color w:val="000000"/>
                <w:sz w:val="18"/>
                <w:szCs w:val="18"/>
              </w:rPr>
              <w:t>865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46F2D8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31A898"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41DBD4B"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3F39335" w14:textId="77777777" w:rsidR="00000000" w:rsidRDefault="00405D16">
            <w:pPr>
              <w:spacing w:after="100"/>
              <w:jc w:val="right"/>
              <w:rPr>
                <w:rFonts w:eastAsia="Times New Roman"/>
              </w:rPr>
            </w:pPr>
            <w:r>
              <w:rPr>
                <w:rFonts w:eastAsia="Times New Roman"/>
                <w:color w:val="000000"/>
                <w:sz w:val="18"/>
                <w:szCs w:val="18"/>
              </w:rPr>
              <w:t>2,159 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2630B22" w14:textId="77777777" w:rsidR="00000000" w:rsidRDefault="00405D16">
            <w:pPr>
              <w:spacing w:after="100"/>
              <w:jc w:val="right"/>
              <w:rPr>
                <w:rFonts w:eastAsia="Times New Roman"/>
              </w:rPr>
            </w:pPr>
          </w:p>
        </w:tc>
        <w:tc>
          <w:tcPr>
            <w:tcW w:w="0" w:type="auto"/>
            <w:gridSpan w:val="3"/>
            <w:vAlign w:val="center"/>
            <w:hideMark/>
          </w:tcPr>
          <w:p w14:paraId="1CAED7A4" w14:textId="77777777" w:rsidR="00000000" w:rsidRDefault="00405D16">
            <w:pPr>
              <w:spacing w:after="100"/>
              <w:jc w:val="right"/>
              <w:rPr>
                <w:rFonts w:eastAsia="Times New Roman"/>
                <w:sz w:val="20"/>
                <w:szCs w:val="20"/>
              </w:rPr>
            </w:pPr>
          </w:p>
        </w:tc>
        <w:tc>
          <w:tcPr>
            <w:tcW w:w="0" w:type="auto"/>
            <w:gridSpan w:val="3"/>
            <w:vAlign w:val="center"/>
            <w:hideMark/>
          </w:tcPr>
          <w:p w14:paraId="7A938292" w14:textId="77777777" w:rsidR="00000000" w:rsidRDefault="00405D16">
            <w:pPr>
              <w:spacing w:after="100"/>
              <w:rPr>
                <w:rFonts w:eastAsia="Times New Roman"/>
                <w:sz w:val="20"/>
                <w:szCs w:val="20"/>
              </w:rPr>
            </w:pPr>
          </w:p>
        </w:tc>
      </w:tr>
      <w:tr w:rsidR="00000000" w14:paraId="7B06D3FE" w14:textId="77777777">
        <w:trPr>
          <w:divId w:val="320740040"/>
        </w:trPr>
        <w:tc>
          <w:tcPr>
            <w:tcW w:w="0" w:type="auto"/>
            <w:gridSpan w:val="3"/>
            <w:shd w:val="clear" w:color="auto" w:fill="FFFFFF"/>
            <w:tcMar>
              <w:top w:w="30" w:type="dxa"/>
              <w:left w:w="20" w:type="dxa"/>
              <w:bottom w:w="30" w:type="dxa"/>
              <w:right w:w="20" w:type="dxa"/>
            </w:tcMar>
            <w:vAlign w:val="center"/>
            <w:hideMark/>
          </w:tcPr>
          <w:p w14:paraId="44C2646A" w14:textId="77777777" w:rsidR="00000000" w:rsidRDefault="00405D16">
            <w:pPr>
              <w:spacing w:after="100"/>
              <w:rPr>
                <w:rFonts w:eastAsia="Times New Roman"/>
              </w:rPr>
            </w:pPr>
            <w:r>
              <w:rPr>
                <w:rFonts w:eastAsia="Times New Roman"/>
                <w:color w:val="000000"/>
                <w:sz w:val="18"/>
                <w:szCs w:val="18"/>
              </w:rPr>
              <w:t>Senior and subordinated notes</w:t>
            </w:r>
          </w:p>
        </w:tc>
        <w:tc>
          <w:tcPr>
            <w:tcW w:w="0" w:type="auto"/>
            <w:gridSpan w:val="3"/>
            <w:shd w:val="clear" w:color="auto" w:fill="FFFFFF"/>
            <w:tcMar>
              <w:top w:w="0" w:type="dxa"/>
              <w:left w:w="20" w:type="dxa"/>
              <w:bottom w:w="0" w:type="dxa"/>
              <w:right w:w="20" w:type="dxa"/>
            </w:tcMar>
            <w:vAlign w:val="center"/>
            <w:hideMark/>
          </w:tcPr>
          <w:p w14:paraId="70930DDF"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4881C45" w14:textId="77777777" w:rsidR="00000000" w:rsidRDefault="00405D16">
            <w:pPr>
              <w:spacing w:after="100"/>
              <w:jc w:val="right"/>
              <w:rPr>
                <w:rFonts w:eastAsia="Times New Roman"/>
              </w:rPr>
            </w:pPr>
            <w:r>
              <w:rPr>
                <w:rFonts w:eastAsia="Times New Roman"/>
                <w:b/>
                <w:bCs/>
                <w:color w:val="000000"/>
                <w:sz w:val="18"/>
                <w:szCs w:val="18"/>
              </w:rPr>
              <w:t>1,000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4B1717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599E8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7231D12" w14:textId="77777777" w:rsidR="00000000" w:rsidRDefault="00405D16">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91F23B0" w14:textId="77777777" w:rsidR="00000000" w:rsidRDefault="00405D16">
            <w:pPr>
              <w:spacing w:after="100"/>
              <w:jc w:val="right"/>
              <w:rPr>
                <w:rFonts w:eastAsia="Times New Roman"/>
              </w:rPr>
            </w:pPr>
          </w:p>
        </w:tc>
        <w:tc>
          <w:tcPr>
            <w:tcW w:w="0" w:type="auto"/>
            <w:vAlign w:val="center"/>
            <w:hideMark/>
          </w:tcPr>
          <w:p w14:paraId="3AA90336" w14:textId="77777777" w:rsidR="00000000" w:rsidRDefault="00405D16">
            <w:pPr>
              <w:spacing w:after="100"/>
              <w:jc w:val="right"/>
              <w:rPr>
                <w:rFonts w:eastAsia="Times New Roman"/>
                <w:sz w:val="20"/>
                <w:szCs w:val="20"/>
              </w:rPr>
            </w:pPr>
          </w:p>
        </w:tc>
        <w:tc>
          <w:tcPr>
            <w:tcW w:w="0" w:type="auto"/>
            <w:vAlign w:val="center"/>
            <w:hideMark/>
          </w:tcPr>
          <w:p w14:paraId="00ECF43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622519"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935E342" w14:textId="77777777" w:rsidR="00000000" w:rsidRDefault="00405D16">
            <w:pPr>
              <w:spacing w:after="100"/>
              <w:jc w:val="right"/>
              <w:rPr>
                <w:rFonts w:eastAsia="Times New Roman"/>
              </w:rPr>
            </w:pPr>
            <w:r>
              <w:rPr>
                <w:rFonts w:eastAsia="Times New Roman"/>
                <w:b/>
                <w:bCs/>
                <w:color w:val="000000"/>
                <w:sz w:val="18"/>
                <w:szCs w:val="18"/>
              </w:rPr>
              <w:t>1,766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35C42A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755FB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2E532DE" w14:textId="77777777" w:rsidR="00000000" w:rsidRDefault="00405D16">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DDD2426" w14:textId="77777777" w:rsidR="00000000" w:rsidRDefault="00405D16">
            <w:pPr>
              <w:spacing w:after="100"/>
              <w:jc w:val="right"/>
              <w:rPr>
                <w:rFonts w:eastAsia="Times New Roman"/>
              </w:rPr>
            </w:pPr>
          </w:p>
        </w:tc>
        <w:tc>
          <w:tcPr>
            <w:tcW w:w="0" w:type="auto"/>
            <w:gridSpan w:val="3"/>
            <w:vAlign w:val="center"/>
            <w:hideMark/>
          </w:tcPr>
          <w:p w14:paraId="17C093CF" w14:textId="77777777" w:rsidR="00000000" w:rsidRDefault="00405D16">
            <w:pPr>
              <w:spacing w:after="100"/>
              <w:jc w:val="right"/>
              <w:rPr>
                <w:rFonts w:eastAsia="Times New Roman"/>
                <w:sz w:val="20"/>
                <w:szCs w:val="20"/>
              </w:rPr>
            </w:pPr>
          </w:p>
        </w:tc>
        <w:tc>
          <w:tcPr>
            <w:tcW w:w="0" w:type="auto"/>
            <w:gridSpan w:val="3"/>
            <w:vAlign w:val="center"/>
            <w:hideMark/>
          </w:tcPr>
          <w:p w14:paraId="51F33A0D" w14:textId="77777777" w:rsidR="00000000" w:rsidRDefault="00405D16">
            <w:pPr>
              <w:spacing w:after="100"/>
              <w:rPr>
                <w:rFonts w:eastAsia="Times New Roman"/>
                <w:sz w:val="20"/>
                <w:szCs w:val="20"/>
              </w:rPr>
            </w:pPr>
          </w:p>
        </w:tc>
      </w:tr>
      <w:tr w:rsidR="00000000" w14:paraId="4F51CDDD" w14:textId="77777777">
        <w:trPr>
          <w:divId w:val="320740040"/>
        </w:trPr>
        <w:tc>
          <w:tcPr>
            <w:tcW w:w="0" w:type="auto"/>
            <w:gridSpan w:val="3"/>
            <w:vAlign w:val="center"/>
            <w:hideMark/>
          </w:tcPr>
          <w:p w14:paraId="4FFFBE38" w14:textId="77777777" w:rsidR="00000000" w:rsidRDefault="00405D16">
            <w:pPr>
              <w:spacing w:after="100"/>
              <w:rPr>
                <w:rFonts w:eastAsia="Times New Roman"/>
                <w:sz w:val="20"/>
                <w:szCs w:val="20"/>
              </w:rPr>
            </w:pPr>
          </w:p>
        </w:tc>
        <w:tc>
          <w:tcPr>
            <w:tcW w:w="0" w:type="auto"/>
            <w:gridSpan w:val="3"/>
            <w:vAlign w:val="center"/>
            <w:hideMark/>
          </w:tcPr>
          <w:p w14:paraId="2131496E" w14:textId="77777777" w:rsidR="00000000" w:rsidRDefault="00405D16">
            <w:pPr>
              <w:spacing w:after="100"/>
              <w:rPr>
                <w:rFonts w:eastAsia="Times New Roman"/>
                <w:sz w:val="20"/>
                <w:szCs w:val="20"/>
              </w:rPr>
            </w:pPr>
          </w:p>
        </w:tc>
        <w:tc>
          <w:tcPr>
            <w:tcW w:w="0" w:type="auto"/>
            <w:gridSpan w:val="3"/>
            <w:vAlign w:val="center"/>
            <w:hideMark/>
          </w:tcPr>
          <w:p w14:paraId="7ADAC7B1" w14:textId="77777777" w:rsidR="00000000" w:rsidRDefault="00405D16">
            <w:pPr>
              <w:spacing w:after="100"/>
              <w:rPr>
                <w:rFonts w:eastAsia="Times New Roman"/>
                <w:sz w:val="20"/>
                <w:szCs w:val="20"/>
              </w:rPr>
            </w:pPr>
          </w:p>
        </w:tc>
        <w:tc>
          <w:tcPr>
            <w:tcW w:w="0" w:type="auto"/>
            <w:gridSpan w:val="3"/>
            <w:vAlign w:val="center"/>
            <w:hideMark/>
          </w:tcPr>
          <w:p w14:paraId="362BBD20" w14:textId="77777777" w:rsidR="00000000" w:rsidRDefault="00405D16">
            <w:pPr>
              <w:spacing w:after="100"/>
              <w:rPr>
                <w:rFonts w:eastAsia="Times New Roman"/>
                <w:sz w:val="20"/>
                <w:szCs w:val="20"/>
              </w:rPr>
            </w:pPr>
          </w:p>
        </w:tc>
        <w:tc>
          <w:tcPr>
            <w:tcW w:w="0" w:type="auto"/>
            <w:gridSpan w:val="3"/>
            <w:vAlign w:val="center"/>
            <w:hideMark/>
          </w:tcPr>
          <w:p w14:paraId="470336C9" w14:textId="77777777" w:rsidR="00000000" w:rsidRDefault="00405D16">
            <w:pPr>
              <w:spacing w:after="100"/>
              <w:rPr>
                <w:rFonts w:eastAsia="Times New Roman"/>
                <w:sz w:val="20"/>
                <w:szCs w:val="20"/>
              </w:rPr>
            </w:pPr>
          </w:p>
        </w:tc>
        <w:tc>
          <w:tcPr>
            <w:tcW w:w="0" w:type="auto"/>
            <w:vAlign w:val="center"/>
            <w:hideMark/>
          </w:tcPr>
          <w:p w14:paraId="6159A5C4" w14:textId="77777777" w:rsidR="00000000" w:rsidRDefault="00405D16">
            <w:pPr>
              <w:spacing w:after="100"/>
              <w:rPr>
                <w:rFonts w:eastAsia="Times New Roman"/>
                <w:sz w:val="20"/>
                <w:szCs w:val="20"/>
              </w:rPr>
            </w:pPr>
          </w:p>
        </w:tc>
        <w:tc>
          <w:tcPr>
            <w:tcW w:w="0" w:type="auto"/>
            <w:vAlign w:val="center"/>
            <w:hideMark/>
          </w:tcPr>
          <w:p w14:paraId="47394DDC" w14:textId="77777777" w:rsidR="00000000" w:rsidRDefault="00405D16">
            <w:pPr>
              <w:spacing w:after="100"/>
              <w:rPr>
                <w:rFonts w:eastAsia="Times New Roman"/>
                <w:sz w:val="20"/>
                <w:szCs w:val="20"/>
              </w:rPr>
            </w:pPr>
          </w:p>
        </w:tc>
        <w:tc>
          <w:tcPr>
            <w:tcW w:w="0" w:type="auto"/>
            <w:gridSpan w:val="3"/>
            <w:vAlign w:val="center"/>
            <w:hideMark/>
          </w:tcPr>
          <w:p w14:paraId="7C6CBBD9" w14:textId="77777777" w:rsidR="00000000" w:rsidRDefault="00405D16">
            <w:pPr>
              <w:spacing w:after="100"/>
              <w:rPr>
                <w:rFonts w:eastAsia="Times New Roman"/>
                <w:sz w:val="20"/>
                <w:szCs w:val="20"/>
              </w:rPr>
            </w:pPr>
          </w:p>
        </w:tc>
        <w:tc>
          <w:tcPr>
            <w:tcW w:w="0" w:type="auto"/>
            <w:gridSpan w:val="3"/>
            <w:vAlign w:val="center"/>
            <w:hideMark/>
          </w:tcPr>
          <w:p w14:paraId="726F663F" w14:textId="77777777" w:rsidR="00000000" w:rsidRDefault="00405D16">
            <w:pPr>
              <w:spacing w:after="100"/>
              <w:rPr>
                <w:rFonts w:eastAsia="Times New Roman"/>
                <w:sz w:val="20"/>
                <w:szCs w:val="20"/>
              </w:rPr>
            </w:pPr>
          </w:p>
        </w:tc>
        <w:tc>
          <w:tcPr>
            <w:tcW w:w="0" w:type="auto"/>
            <w:gridSpan w:val="3"/>
            <w:vAlign w:val="center"/>
            <w:hideMark/>
          </w:tcPr>
          <w:p w14:paraId="36B266D0" w14:textId="77777777" w:rsidR="00000000" w:rsidRDefault="00405D16">
            <w:pPr>
              <w:spacing w:after="100"/>
              <w:rPr>
                <w:rFonts w:eastAsia="Times New Roman"/>
                <w:sz w:val="20"/>
                <w:szCs w:val="20"/>
              </w:rPr>
            </w:pPr>
          </w:p>
        </w:tc>
        <w:tc>
          <w:tcPr>
            <w:tcW w:w="0" w:type="auto"/>
            <w:gridSpan w:val="3"/>
            <w:vAlign w:val="center"/>
            <w:hideMark/>
          </w:tcPr>
          <w:p w14:paraId="751F1100" w14:textId="77777777" w:rsidR="00000000" w:rsidRDefault="00405D16">
            <w:pPr>
              <w:spacing w:after="100"/>
              <w:rPr>
                <w:rFonts w:eastAsia="Times New Roman"/>
                <w:sz w:val="20"/>
                <w:szCs w:val="20"/>
              </w:rPr>
            </w:pPr>
          </w:p>
        </w:tc>
        <w:tc>
          <w:tcPr>
            <w:tcW w:w="0" w:type="auto"/>
            <w:gridSpan w:val="3"/>
            <w:vAlign w:val="center"/>
            <w:hideMark/>
          </w:tcPr>
          <w:p w14:paraId="43DC2C3A" w14:textId="77777777" w:rsidR="00000000" w:rsidRDefault="00405D16">
            <w:pPr>
              <w:spacing w:after="100"/>
              <w:rPr>
                <w:rFonts w:eastAsia="Times New Roman"/>
                <w:sz w:val="20"/>
                <w:szCs w:val="20"/>
              </w:rPr>
            </w:pPr>
          </w:p>
        </w:tc>
        <w:tc>
          <w:tcPr>
            <w:tcW w:w="0" w:type="auto"/>
            <w:gridSpan w:val="3"/>
            <w:vAlign w:val="center"/>
            <w:hideMark/>
          </w:tcPr>
          <w:p w14:paraId="70999764" w14:textId="77777777" w:rsidR="00000000" w:rsidRDefault="00405D16">
            <w:pPr>
              <w:spacing w:after="100"/>
              <w:rPr>
                <w:rFonts w:eastAsia="Times New Roman"/>
                <w:sz w:val="20"/>
                <w:szCs w:val="20"/>
              </w:rPr>
            </w:pPr>
          </w:p>
        </w:tc>
      </w:tr>
      <w:tr w:rsidR="00000000" w14:paraId="6580D8C7" w14:textId="77777777">
        <w:trPr>
          <w:divId w:val="320740040"/>
        </w:trPr>
        <w:tc>
          <w:tcPr>
            <w:tcW w:w="0" w:type="auto"/>
            <w:gridSpan w:val="3"/>
            <w:shd w:val="clear" w:color="auto" w:fill="CCEEFF"/>
            <w:tcMar>
              <w:top w:w="30" w:type="dxa"/>
              <w:left w:w="20" w:type="dxa"/>
              <w:bottom w:w="30" w:type="dxa"/>
              <w:right w:w="20" w:type="dxa"/>
            </w:tcMar>
            <w:vAlign w:val="center"/>
            <w:hideMark/>
          </w:tcPr>
          <w:p w14:paraId="10537EEA" w14:textId="77777777" w:rsidR="00000000" w:rsidRDefault="00405D16">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6E389280"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0B591AE2"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469169B" w14:textId="77777777" w:rsidR="00000000" w:rsidRDefault="00405D16">
            <w:pPr>
              <w:spacing w:after="100"/>
              <w:jc w:val="right"/>
              <w:rPr>
                <w:rFonts w:eastAsia="Times New Roman"/>
              </w:rPr>
            </w:pPr>
            <w:r>
              <w:rPr>
                <w:rFonts w:eastAsia="Times New Roman"/>
                <w:b/>
                <w:bCs/>
                <w:color w:val="000000"/>
                <w:sz w:val="18"/>
                <w:szCs w:val="18"/>
              </w:rPr>
              <w:t>4,000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E95359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35B04E"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FB98111"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A995620" w14:textId="77777777" w:rsidR="00000000" w:rsidRDefault="00405D16">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789C127" w14:textId="77777777" w:rsidR="00000000" w:rsidRDefault="00405D16">
            <w:pPr>
              <w:spacing w:after="100"/>
              <w:jc w:val="right"/>
              <w:rPr>
                <w:rFonts w:eastAsia="Times New Roman"/>
              </w:rPr>
            </w:pPr>
          </w:p>
        </w:tc>
        <w:tc>
          <w:tcPr>
            <w:tcW w:w="0" w:type="auto"/>
            <w:vAlign w:val="center"/>
            <w:hideMark/>
          </w:tcPr>
          <w:p w14:paraId="4AC39922" w14:textId="77777777" w:rsidR="00000000" w:rsidRDefault="00405D16">
            <w:pPr>
              <w:spacing w:after="100"/>
              <w:jc w:val="right"/>
              <w:rPr>
                <w:rFonts w:eastAsia="Times New Roman"/>
                <w:sz w:val="20"/>
                <w:szCs w:val="20"/>
              </w:rPr>
            </w:pPr>
          </w:p>
        </w:tc>
        <w:tc>
          <w:tcPr>
            <w:tcW w:w="0" w:type="auto"/>
            <w:vAlign w:val="center"/>
            <w:hideMark/>
          </w:tcPr>
          <w:p w14:paraId="4CD68E6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21280E" w14:textId="77777777" w:rsidR="00000000" w:rsidRDefault="00405D16">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90A94DA"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5FD3B05" w14:textId="77777777" w:rsidR="00000000" w:rsidRDefault="00405D16">
            <w:pPr>
              <w:spacing w:after="100"/>
              <w:jc w:val="right"/>
              <w:rPr>
                <w:rFonts w:eastAsia="Times New Roman"/>
              </w:rPr>
            </w:pPr>
            <w:r>
              <w:rPr>
                <w:rFonts w:eastAsia="Times New Roman"/>
                <w:b/>
                <w:bCs/>
                <w:color w:val="000000"/>
                <w:sz w:val="18"/>
                <w:szCs w:val="18"/>
              </w:rPr>
              <w:t>2,631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ECE282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E63064"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ADB1ADB"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2A23C0A" w14:textId="77777777" w:rsidR="00000000" w:rsidRDefault="00405D16">
            <w:pPr>
              <w:spacing w:after="100"/>
              <w:jc w:val="right"/>
              <w:rPr>
                <w:rFonts w:eastAsia="Times New Roman"/>
              </w:rPr>
            </w:pPr>
            <w:r>
              <w:rPr>
                <w:rFonts w:eastAsia="Times New Roman"/>
                <w:color w:val="000000"/>
                <w:sz w:val="18"/>
                <w:szCs w:val="18"/>
              </w:rPr>
              <w:t>2,159 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4E64ED5" w14:textId="77777777" w:rsidR="00000000" w:rsidRDefault="00405D16">
            <w:pPr>
              <w:spacing w:after="100"/>
              <w:jc w:val="right"/>
              <w:rPr>
                <w:rFonts w:eastAsia="Times New Roman"/>
              </w:rPr>
            </w:pPr>
          </w:p>
        </w:tc>
        <w:tc>
          <w:tcPr>
            <w:tcW w:w="0" w:type="auto"/>
            <w:gridSpan w:val="3"/>
            <w:vAlign w:val="center"/>
            <w:hideMark/>
          </w:tcPr>
          <w:p w14:paraId="226B1D51" w14:textId="77777777" w:rsidR="00000000" w:rsidRDefault="00405D16">
            <w:pPr>
              <w:spacing w:after="100"/>
              <w:jc w:val="right"/>
              <w:rPr>
                <w:rFonts w:eastAsia="Times New Roman"/>
                <w:sz w:val="20"/>
                <w:szCs w:val="20"/>
              </w:rPr>
            </w:pPr>
          </w:p>
        </w:tc>
        <w:tc>
          <w:tcPr>
            <w:tcW w:w="0" w:type="auto"/>
            <w:gridSpan w:val="3"/>
            <w:vAlign w:val="center"/>
            <w:hideMark/>
          </w:tcPr>
          <w:p w14:paraId="02508166" w14:textId="77777777" w:rsidR="00000000" w:rsidRDefault="00405D16">
            <w:pPr>
              <w:spacing w:after="100"/>
              <w:rPr>
                <w:rFonts w:eastAsia="Times New Roman"/>
                <w:sz w:val="20"/>
                <w:szCs w:val="20"/>
              </w:rPr>
            </w:pP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3877"/>
        <w:gridCol w:w="144"/>
        <w:gridCol w:w="144"/>
        <w:gridCol w:w="144"/>
        <w:gridCol w:w="144"/>
        <w:gridCol w:w="144"/>
        <w:gridCol w:w="927"/>
        <w:gridCol w:w="144"/>
        <w:gridCol w:w="144"/>
        <w:gridCol w:w="144"/>
        <w:gridCol w:w="144"/>
        <w:gridCol w:w="144"/>
        <w:gridCol w:w="927"/>
        <w:gridCol w:w="144"/>
        <w:gridCol w:w="144"/>
        <w:gridCol w:w="144"/>
        <w:gridCol w:w="144"/>
        <w:gridCol w:w="144"/>
        <w:gridCol w:w="927"/>
        <w:gridCol w:w="144"/>
        <w:gridCol w:w="144"/>
        <w:gridCol w:w="144"/>
        <w:gridCol w:w="144"/>
        <w:gridCol w:w="144"/>
        <w:gridCol w:w="928"/>
        <w:gridCol w:w="144"/>
      </w:tblGrid>
      <w:tr w:rsidR="00000000" w14:paraId="502FEE64" w14:textId="77777777">
        <w:tc>
          <w:tcPr>
            <w:tcW w:w="50" w:type="pct"/>
            <w:vAlign w:val="center"/>
            <w:hideMark/>
          </w:tcPr>
          <w:p w14:paraId="1B094960" w14:textId="77777777" w:rsidR="00000000" w:rsidRDefault="00405D16">
            <w:pPr>
              <w:rPr>
                <w:rFonts w:eastAsia="Times New Roman"/>
              </w:rPr>
            </w:pPr>
          </w:p>
        </w:tc>
        <w:tc>
          <w:tcPr>
            <w:tcW w:w="2338" w:type="pct"/>
            <w:vAlign w:val="center"/>
            <w:hideMark/>
          </w:tcPr>
          <w:p w14:paraId="4E50B4C0" w14:textId="77777777" w:rsidR="00000000" w:rsidRDefault="00405D16">
            <w:pPr>
              <w:spacing w:after="100"/>
              <w:rPr>
                <w:rFonts w:eastAsia="Times New Roman"/>
                <w:sz w:val="20"/>
                <w:szCs w:val="20"/>
              </w:rPr>
            </w:pPr>
          </w:p>
        </w:tc>
        <w:tc>
          <w:tcPr>
            <w:tcW w:w="5" w:type="pct"/>
            <w:vAlign w:val="center"/>
            <w:hideMark/>
          </w:tcPr>
          <w:p w14:paraId="09331188" w14:textId="77777777" w:rsidR="00000000" w:rsidRDefault="00405D16">
            <w:pPr>
              <w:spacing w:after="100"/>
              <w:rPr>
                <w:rFonts w:eastAsia="Times New Roman"/>
                <w:sz w:val="20"/>
                <w:szCs w:val="20"/>
              </w:rPr>
            </w:pPr>
          </w:p>
        </w:tc>
        <w:tc>
          <w:tcPr>
            <w:tcW w:w="5" w:type="pct"/>
            <w:vAlign w:val="center"/>
            <w:hideMark/>
          </w:tcPr>
          <w:p w14:paraId="0734317A" w14:textId="77777777" w:rsidR="00000000" w:rsidRDefault="00405D16">
            <w:pPr>
              <w:spacing w:after="100"/>
              <w:rPr>
                <w:rFonts w:eastAsia="Times New Roman"/>
                <w:sz w:val="20"/>
                <w:szCs w:val="20"/>
              </w:rPr>
            </w:pPr>
          </w:p>
        </w:tc>
        <w:tc>
          <w:tcPr>
            <w:tcW w:w="26" w:type="pct"/>
            <w:vAlign w:val="center"/>
            <w:hideMark/>
          </w:tcPr>
          <w:p w14:paraId="785AC918" w14:textId="77777777" w:rsidR="00000000" w:rsidRDefault="00405D16">
            <w:pPr>
              <w:spacing w:after="100"/>
              <w:rPr>
                <w:rFonts w:eastAsia="Times New Roman"/>
                <w:sz w:val="20"/>
                <w:szCs w:val="20"/>
              </w:rPr>
            </w:pPr>
          </w:p>
        </w:tc>
        <w:tc>
          <w:tcPr>
            <w:tcW w:w="5" w:type="pct"/>
            <w:vAlign w:val="center"/>
            <w:hideMark/>
          </w:tcPr>
          <w:p w14:paraId="4DE18B43" w14:textId="77777777" w:rsidR="00000000" w:rsidRDefault="00405D16">
            <w:pPr>
              <w:spacing w:after="100"/>
              <w:rPr>
                <w:rFonts w:eastAsia="Times New Roman"/>
                <w:sz w:val="20"/>
                <w:szCs w:val="20"/>
              </w:rPr>
            </w:pPr>
          </w:p>
        </w:tc>
        <w:tc>
          <w:tcPr>
            <w:tcW w:w="50" w:type="pct"/>
            <w:vAlign w:val="center"/>
            <w:hideMark/>
          </w:tcPr>
          <w:p w14:paraId="60A878C2" w14:textId="77777777" w:rsidR="00000000" w:rsidRDefault="00405D16">
            <w:pPr>
              <w:spacing w:after="100"/>
              <w:rPr>
                <w:rFonts w:eastAsia="Times New Roman"/>
                <w:sz w:val="20"/>
                <w:szCs w:val="20"/>
              </w:rPr>
            </w:pPr>
          </w:p>
        </w:tc>
        <w:tc>
          <w:tcPr>
            <w:tcW w:w="559" w:type="pct"/>
            <w:vAlign w:val="center"/>
            <w:hideMark/>
          </w:tcPr>
          <w:p w14:paraId="3A2D8823" w14:textId="77777777" w:rsidR="00000000" w:rsidRDefault="00405D16">
            <w:pPr>
              <w:spacing w:after="100"/>
              <w:rPr>
                <w:rFonts w:eastAsia="Times New Roman"/>
                <w:sz w:val="20"/>
                <w:szCs w:val="20"/>
              </w:rPr>
            </w:pPr>
          </w:p>
        </w:tc>
        <w:tc>
          <w:tcPr>
            <w:tcW w:w="5" w:type="pct"/>
            <w:vAlign w:val="center"/>
            <w:hideMark/>
          </w:tcPr>
          <w:p w14:paraId="7FCC8280" w14:textId="77777777" w:rsidR="00000000" w:rsidRDefault="00405D16">
            <w:pPr>
              <w:spacing w:after="100"/>
              <w:rPr>
                <w:rFonts w:eastAsia="Times New Roman"/>
                <w:sz w:val="20"/>
                <w:szCs w:val="20"/>
              </w:rPr>
            </w:pPr>
          </w:p>
        </w:tc>
        <w:tc>
          <w:tcPr>
            <w:tcW w:w="5" w:type="pct"/>
            <w:vAlign w:val="center"/>
            <w:hideMark/>
          </w:tcPr>
          <w:p w14:paraId="63B755E5" w14:textId="77777777" w:rsidR="00000000" w:rsidRDefault="00405D16">
            <w:pPr>
              <w:spacing w:after="100"/>
              <w:rPr>
                <w:rFonts w:eastAsia="Times New Roman"/>
                <w:sz w:val="20"/>
                <w:szCs w:val="20"/>
              </w:rPr>
            </w:pPr>
          </w:p>
        </w:tc>
        <w:tc>
          <w:tcPr>
            <w:tcW w:w="26" w:type="pct"/>
            <w:vAlign w:val="center"/>
            <w:hideMark/>
          </w:tcPr>
          <w:p w14:paraId="0B671387" w14:textId="77777777" w:rsidR="00000000" w:rsidRDefault="00405D16">
            <w:pPr>
              <w:spacing w:after="100"/>
              <w:rPr>
                <w:rFonts w:eastAsia="Times New Roman"/>
                <w:sz w:val="20"/>
                <w:szCs w:val="20"/>
              </w:rPr>
            </w:pPr>
          </w:p>
        </w:tc>
        <w:tc>
          <w:tcPr>
            <w:tcW w:w="5" w:type="pct"/>
            <w:vAlign w:val="center"/>
            <w:hideMark/>
          </w:tcPr>
          <w:p w14:paraId="0C64D3A6" w14:textId="77777777" w:rsidR="00000000" w:rsidRDefault="00405D16">
            <w:pPr>
              <w:spacing w:after="100"/>
              <w:rPr>
                <w:rFonts w:eastAsia="Times New Roman"/>
                <w:sz w:val="20"/>
                <w:szCs w:val="20"/>
              </w:rPr>
            </w:pPr>
          </w:p>
        </w:tc>
        <w:tc>
          <w:tcPr>
            <w:tcW w:w="50" w:type="pct"/>
            <w:vAlign w:val="center"/>
            <w:hideMark/>
          </w:tcPr>
          <w:p w14:paraId="13184439" w14:textId="77777777" w:rsidR="00000000" w:rsidRDefault="00405D16">
            <w:pPr>
              <w:spacing w:after="100"/>
              <w:rPr>
                <w:rFonts w:eastAsia="Times New Roman"/>
                <w:sz w:val="20"/>
                <w:szCs w:val="20"/>
              </w:rPr>
            </w:pPr>
          </w:p>
        </w:tc>
        <w:tc>
          <w:tcPr>
            <w:tcW w:w="559" w:type="pct"/>
            <w:vAlign w:val="center"/>
            <w:hideMark/>
          </w:tcPr>
          <w:p w14:paraId="24FE0C09" w14:textId="77777777" w:rsidR="00000000" w:rsidRDefault="00405D16">
            <w:pPr>
              <w:spacing w:after="100"/>
              <w:rPr>
                <w:rFonts w:eastAsia="Times New Roman"/>
                <w:sz w:val="20"/>
                <w:szCs w:val="20"/>
              </w:rPr>
            </w:pPr>
          </w:p>
        </w:tc>
        <w:tc>
          <w:tcPr>
            <w:tcW w:w="5" w:type="pct"/>
            <w:vAlign w:val="center"/>
            <w:hideMark/>
          </w:tcPr>
          <w:p w14:paraId="41207A21" w14:textId="77777777" w:rsidR="00000000" w:rsidRDefault="00405D16">
            <w:pPr>
              <w:spacing w:after="100"/>
              <w:rPr>
                <w:rFonts w:eastAsia="Times New Roman"/>
                <w:sz w:val="20"/>
                <w:szCs w:val="20"/>
              </w:rPr>
            </w:pPr>
          </w:p>
        </w:tc>
        <w:tc>
          <w:tcPr>
            <w:tcW w:w="5" w:type="pct"/>
            <w:vAlign w:val="center"/>
            <w:hideMark/>
          </w:tcPr>
          <w:p w14:paraId="15FA1B0F" w14:textId="77777777" w:rsidR="00000000" w:rsidRDefault="00405D16">
            <w:pPr>
              <w:spacing w:after="100"/>
              <w:rPr>
                <w:rFonts w:eastAsia="Times New Roman"/>
                <w:sz w:val="20"/>
                <w:szCs w:val="20"/>
              </w:rPr>
            </w:pPr>
          </w:p>
        </w:tc>
        <w:tc>
          <w:tcPr>
            <w:tcW w:w="26" w:type="pct"/>
            <w:vAlign w:val="center"/>
            <w:hideMark/>
          </w:tcPr>
          <w:p w14:paraId="36ECC479" w14:textId="77777777" w:rsidR="00000000" w:rsidRDefault="00405D16">
            <w:pPr>
              <w:spacing w:after="100"/>
              <w:rPr>
                <w:rFonts w:eastAsia="Times New Roman"/>
                <w:sz w:val="20"/>
                <w:szCs w:val="20"/>
              </w:rPr>
            </w:pPr>
          </w:p>
        </w:tc>
        <w:tc>
          <w:tcPr>
            <w:tcW w:w="5" w:type="pct"/>
            <w:vAlign w:val="center"/>
            <w:hideMark/>
          </w:tcPr>
          <w:p w14:paraId="343A2E60" w14:textId="77777777" w:rsidR="00000000" w:rsidRDefault="00405D16">
            <w:pPr>
              <w:spacing w:after="100"/>
              <w:rPr>
                <w:rFonts w:eastAsia="Times New Roman"/>
                <w:sz w:val="20"/>
                <w:szCs w:val="20"/>
              </w:rPr>
            </w:pPr>
          </w:p>
        </w:tc>
        <w:tc>
          <w:tcPr>
            <w:tcW w:w="50" w:type="pct"/>
            <w:vAlign w:val="center"/>
            <w:hideMark/>
          </w:tcPr>
          <w:p w14:paraId="3711D93D" w14:textId="77777777" w:rsidR="00000000" w:rsidRDefault="00405D16">
            <w:pPr>
              <w:spacing w:after="100"/>
              <w:rPr>
                <w:rFonts w:eastAsia="Times New Roman"/>
                <w:sz w:val="20"/>
                <w:szCs w:val="20"/>
              </w:rPr>
            </w:pPr>
          </w:p>
        </w:tc>
        <w:tc>
          <w:tcPr>
            <w:tcW w:w="559" w:type="pct"/>
            <w:vAlign w:val="center"/>
            <w:hideMark/>
          </w:tcPr>
          <w:p w14:paraId="42C7D420" w14:textId="77777777" w:rsidR="00000000" w:rsidRDefault="00405D16">
            <w:pPr>
              <w:spacing w:after="100"/>
              <w:rPr>
                <w:rFonts w:eastAsia="Times New Roman"/>
                <w:sz w:val="20"/>
                <w:szCs w:val="20"/>
              </w:rPr>
            </w:pPr>
          </w:p>
        </w:tc>
        <w:tc>
          <w:tcPr>
            <w:tcW w:w="5" w:type="pct"/>
            <w:vAlign w:val="center"/>
            <w:hideMark/>
          </w:tcPr>
          <w:p w14:paraId="072196BC" w14:textId="77777777" w:rsidR="00000000" w:rsidRDefault="00405D16">
            <w:pPr>
              <w:spacing w:after="100"/>
              <w:rPr>
                <w:rFonts w:eastAsia="Times New Roman"/>
                <w:sz w:val="20"/>
                <w:szCs w:val="20"/>
              </w:rPr>
            </w:pPr>
          </w:p>
        </w:tc>
        <w:tc>
          <w:tcPr>
            <w:tcW w:w="5" w:type="pct"/>
            <w:vAlign w:val="center"/>
            <w:hideMark/>
          </w:tcPr>
          <w:p w14:paraId="2EA06C3C" w14:textId="77777777" w:rsidR="00000000" w:rsidRDefault="00405D16">
            <w:pPr>
              <w:spacing w:after="100"/>
              <w:rPr>
                <w:rFonts w:eastAsia="Times New Roman"/>
                <w:sz w:val="20"/>
                <w:szCs w:val="20"/>
              </w:rPr>
            </w:pPr>
          </w:p>
        </w:tc>
        <w:tc>
          <w:tcPr>
            <w:tcW w:w="26" w:type="pct"/>
            <w:vAlign w:val="center"/>
            <w:hideMark/>
          </w:tcPr>
          <w:p w14:paraId="5B650DA4" w14:textId="77777777" w:rsidR="00000000" w:rsidRDefault="00405D16">
            <w:pPr>
              <w:spacing w:after="100"/>
              <w:rPr>
                <w:rFonts w:eastAsia="Times New Roman"/>
                <w:sz w:val="20"/>
                <w:szCs w:val="20"/>
              </w:rPr>
            </w:pPr>
          </w:p>
        </w:tc>
        <w:tc>
          <w:tcPr>
            <w:tcW w:w="5" w:type="pct"/>
            <w:vAlign w:val="center"/>
            <w:hideMark/>
          </w:tcPr>
          <w:p w14:paraId="4EC9303B" w14:textId="77777777" w:rsidR="00000000" w:rsidRDefault="00405D16">
            <w:pPr>
              <w:spacing w:after="100"/>
              <w:rPr>
                <w:rFonts w:eastAsia="Times New Roman"/>
                <w:sz w:val="20"/>
                <w:szCs w:val="20"/>
              </w:rPr>
            </w:pPr>
          </w:p>
        </w:tc>
        <w:tc>
          <w:tcPr>
            <w:tcW w:w="50" w:type="pct"/>
            <w:vAlign w:val="center"/>
            <w:hideMark/>
          </w:tcPr>
          <w:p w14:paraId="174C379B" w14:textId="77777777" w:rsidR="00000000" w:rsidRDefault="00405D16">
            <w:pPr>
              <w:spacing w:after="100"/>
              <w:rPr>
                <w:rFonts w:eastAsia="Times New Roman"/>
                <w:sz w:val="20"/>
                <w:szCs w:val="20"/>
              </w:rPr>
            </w:pPr>
          </w:p>
        </w:tc>
        <w:tc>
          <w:tcPr>
            <w:tcW w:w="560" w:type="pct"/>
            <w:vAlign w:val="center"/>
            <w:hideMark/>
          </w:tcPr>
          <w:p w14:paraId="61FDE590" w14:textId="77777777" w:rsidR="00000000" w:rsidRDefault="00405D16">
            <w:pPr>
              <w:spacing w:after="100"/>
              <w:rPr>
                <w:rFonts w:eastAsia="Times New Roman"/>
                <w:sz w:val="20"/>
                <w:szCs w:val="20"/>
              </w:rPr>
            </w:pPr>
          </w:p>
        </w:tc>
        <w:tc>
          <w:tcPr>
            <w:tcW w:w="5" w:type="pct"/>
            <w:vAlign w:val="center"/>
            <w:hideMark/>
          </w:tcPr>
          <w:p w14:paraId="645C9E40" w14:textId="77777777" w:rsidR="00000000" w:rsidRDefault="00405D16">
            <w:pPr>
              <w:spacing w:after="100"/>
              <w:rPr>
                <w:rFonts w:eastAsia="Times New Roman"/>
                <w:sz w:val="20"/>
                <w:szCs w:val="20"/>
              </w:rPr>
            </w:pPr>
          </w:p>
        </w:tc>
      </w:tr>
      <w:tr w:rsidR="00000000" w14:paraId="01E40CEF" w14:textId="77777777">
        <w:trPr>
          <w:trHeight w:val="60"/>
        </w:trPr>
        <w:tc>
          <w:tcPr>
            <w:tcW w:w="0" w:type="auto"/>
            <w:gridSpan w:val="27"/>
            <w:tcMar>
              <w:top w:w="0" w:type="dxa"/>
              <w:left w:w="20" w:type="dxa"/>
              <w:bottom w:w="0" w:type="dxa"/>
              <w:right w:w="20" w:type="dxa"/>
            </w:tcMar>
            <w:vAlign w:val="center"/>
            <w:hideMark/>
          </w:tcPr>
          <w:p w14:paraId="59D956CE" w14:textId="77777777" w:rsidR="00000000" w:rsidRDefault="00405D16">
            <w:pPr>
              <w:spacing w:after="100"/>
              <w:rPr>
                <w:rFonts w:eastAsia="Times New Roman"/>
                <w:sz w:val="20"/>
                <w:szCs w:val="20"/>
              </w:rPr>
            </w:pPr>
          </w:p>
        </w:tc>
      </w:tr>
      <w:tr w:rsidR="00000000" w14:paraId="39B57508" w14:textId="77777777">
        <w:tc>
          <w:tcPr>
            <w:tcW w:w="0" w:type="auto"/>
            <w:gridSpan w:val="3"/>
            <w:vAlign w:val="center"/>
            <w:hideMark/>
          </w:tcPr>
          <w:p w14:paraId="24D0D61D" w14:textId="77777777" w:rsidR="00000000" w:rsidRDefault="00405D16">
            <w:pPr>
              <w:spacing w:after="100"/>
              <w:rPr>
                <w:rFonts w:eastAsia="Times New Roman"/>
                <w:sz w:val="20"/>
                <w:szCs w:val="20"/>
              </w:rPr>
            </w:pPr>
          </w:p>
        </w:tc>
        <w:tc>
          <w:tcPr>
            <w:tcW w:w="0" w:type="auto"/>
            <w:gridSpan w:val="3"/>
            <w:vAlign w:val="center"/>
            <w:hideMark/>
          </w:tcPr>
          <w:p w14:paraId="7AB2CD3B" w14:textId="77777777" w:rsidR="00000000" w:rsidRDefault="00405D16">
            <w:pPr>
              <w:spacing w:after="100"/>
              <w:rPr>
                <w:rFonts w:eastAsia="Times New Roman"/>
                <w:sz w:val="20"/>
                <w:szCs w:val="20"/>
              </w:rPr>
            </w:pPr>
          </w:p>
        </w:tc>
        <w:tc>
          <w:tcPr>
            <w:tcW w:w="0" w:type="auto"/>
            <w:gridSpan w:val="3"/>
            <w:vAlign w:val="center"/>
            <w:hideMark/>
          </w:tcPr>
          <w:p w14:paraId="38785834" w14:textId="77777777" w:rsidR="00000000" w:rsidRDefault="00405D16">
            <w:pPr>
              <w:spacing w:after="100"/>
              <w:rPr>
                <w:rFonts w:eastAsia="Times New Roman"/>
                <w:sz w:val="20"/>
                <w:szCs w:val="20"/>
              </w:rPr>
            </w:pPr>
          </w:p>
        </w:tc>
        <w:tc>
          <w:tcPr>
            <w:tcW w:w="0" w:type="auto"/>
            <w:gridSpan w:val="3"/>
            <w:vAlign w:val="center"/>
            <w:hideMark/>
          </w:tcPr>
          <w:p w14:paraId="7BDCA1D2" w14:textId="77777777" w:rsidR="00000000" w:rsidRDefault="00405D16">
            <w:pPr>
              <w:spacing w:after="100"/>
              <w:rPr>
                <w:rFonts w:eastAsia="Times New Roman"/>
                <w:sz w:val="20"/>
                <w:szCs w:val="20"/>
              </w:rPr>
            </w:pPr>
          </w:p>
        </w:tc>
        <w:tc>
          <w:tcPr>
            <w:tcW w:w="0" w:type="auto"/>
            <w:gridSpan w:val="3"/>
            <w:vAlign w:val="center"/>
            <w:hideMark/>
          </w:tcPr>
          <w:p w14:paraId="5A38FACF" w14:textId="77777777" w:rsidR="00000000" w:rsidRDefault="00405D16">
            <w:pPr>
              <w:spacing w:after="100"/>
              <w:rPr>
                <w:rFonts w:eastAsia="Times New Roman"/>
                <w:sz w:val="20"/>
                <w:szCs w:val="20"/>
              </w:rPr>
            </w:pPr>
          </w:p>
        </w:tc>
        <w:tc>
          <w:tcPr>
            <w:tcW w:w="0" w:type="auto"/>
            <w:vAlign w:val="center"/>
            <w:hideMark/>
          </w:tcPr>
          <w:p w14:paraId="56FACB69" w14:textId="77777777" w:rsidR="00000000" w:rsidRDefault="00405D16">
            <w:pPr>
              <w:spacing w:after="100"/>
              <w:rPr>
                <w:rFonts w:eastAsia="Times New Roman"/>
                <w:sz w:val="20"/>
                <w:szCs w:val="20"/>
              </w:rPr>
            </w:pPr>
          </w:p>
        </w:tc>
        <w:tc>
          <w:tcPr>
            <w:tcW w:w="0" w:type="auto"/>
            <w:vAlign w:val="center"/>
            <w:hideMark/>
          </w:tcPr>
          <w:p w14:paraId="6E5A70C8" w14:textId="77777777" w:rsidR="00000000" w:rsidRDefault="00405D16">
            <w:pPr>
              <w:spacing w:after="100"/>
              <w:rPr>
                <w:rFonts w:eastAsia="Times New Roman"/>
                <w:sz w:val="20"/>
                <w:szCs w:val="20"/>
              </w:rPr>
            </w:pPr>
          </w:p>
        </w:tc>
        <w:tc>
          <w:tcPr>
            <w:tcW w:w="0" w:type="auto"/>
            <w:vAlign w:val="center"/>
            <w:hideMark/>
          </w:tcPr>
          <w:p w14:paraId="1EA5893E" w14:textId="77777777" w:rsidR="00000000" w:rsidRDefault="00405D16">
            <w:pPr>
              <w:spacing w:after="100"/>
              <w:rPr>
                <w:rFonts w:eastAsia="Times New Roman"/>
                <w:sz w:val="20"/>
                <w:szCs w:val="20"/>
              </w:rPr>
            </w:pPr>
          </w:p>
        </w:tc>
        <w:tc>
          <w:tcPr>
            <w:tcW w:w="0" w:type="auto"/>
            <w:vAlign w:val="center"/>
            <w:hideMark/>
          </w:tcPr>
          <w:p w14:paraId="4F8EC83E" w14:textId="77777777" w:rsidR="00000000" w:rsidRDefault="00405D16">
            <w:pPr>
              <w:spacing w:after="100"/>
              <w:rPr>
                <w:rFonts w:eastAsia="Times New Roman"/>
                <w:sz w:val="20"/>
                <w:szCs w:val="20"/>
              </w:rPr>
            </w:pPr>
          </w:p>
        </w:tc>
        <w:tc>
          <w:tcPr>
            <w:tcW w:w="0" w:type="auto"/>
            <w:vAlign w:val="center"/>
            <w:hideMark/>
          </w:tcPr>
          <w:p w14:paraId="33A4DF9F" w14:textId="77777777" w:rsidR="00000000" w:rsidRDefault="00405D16">
            <w:pPr>
              <w:spacing w:after="100"/>
              <w:rPr>
                <w:rFonts w:eastAsia="Times New Roman"/>
                <w:sz w:val="20"/>
                <w:szCs w:val="20"/>
              </w:rPr>
            </w:pPr>
          </w:p>
        </w:tc>
        <w:tc>
          <w:tcPr>
            <w:tcW w:w="0" w:type="auto"/>
            <w:vAlign w:val="center"/>
            <w:hideMark/>
          </w:tcPr>
          <w:p w14:paraId="57239C38" w14:textId="77777777" w:rsidR="00000000" w:rsidRDefault="00405D16">
            <w:pPr>
              <w:spacing w:after="100"/>
              <w:rPr>
                <w:rFonts w:eastAsia="Times New Roman"/>
                <w:sz w:val="20"/>
                <w:szCs w:val="20"/>
              </w:rPr>
            </w:pPr>
          </w:p>
        </w:tc>
        <w:tc>
          <w:tcPr>
            <w:tcW w:w="0" w:type="auto"/>
            <w:vAlign w:val="center"/>
            <w:hideMark/>
          </w:tcPr>
          <w:p w14:paraId="0C2CF8CC" w14:textId="77777777" w:rsidR="00000000" w:rsidRDefault="00405D16">
            <w:pPr>
              <w:spacing w:after="100"/>
              <w:rPr>
                <w:rFonts w:eastAsia="Times New Roman"/>
                <w:sz w:val="20"/>
                <w:szCs w:val="20"/>
              </w:rPr>
            </w:pPr>
          </w:p>
        </w:tc>
        <w:tc>
          <w:tcPr>
            <w:tcW w:w="0" w:type="auto"/>
            <w:vAlign w:val="center"/>
            <w:hideMark/>
          </w:tcPr>
          <w:p w14:paraId="34516587" w14:textId="77777777" w:rsidR="00000000" w:rsidRDefault="00405D16">
            <w:pPr>
              <w:spacing w:after="100"/>
              <w:rPr>
                <w:rFonts w:eastAsia="Times New Roman"/>
                <w:sz w:val="20"/>
                <w:szCs w:val="20"/>
              </w:rPr>
            </w:pPr>
          </w:p>
        </w:tc>
        <w:tc>
          <w:tcPr>
            <w:tcW w:w="0" w:type="auto"/>
            <w:vAlign w:val="center"/>
            <w:hideMark/>
          </w:tcPr>
          <w:p w14:paraId="31B0C775" w14:textId="77777777" w:rsidR="00000000" w:rsidRDefault="00405D16">
            <w:pPr>
              <w:spacing w:after="100"/>
              <w:rPr>
                <w:rFonts w:eastAsia="Times New Roman"/>
                <w:sz w:val="20"/>
                <w:szCs w:val="20"/>
              </w:rPr>
            </w:pPr>
          </w:p>
        </w:tc>
        <w:tc>
          <w:tcPr>
            <w:tcW w:w="0" w:type="auto"/>
            <w:vAlign w:val="center"/>
            <w:hideMark/>
          </w:tcPr>
          <w:p w14:paraId="65E09E0E" w14:textId="77777777" w:rsidR="00000000" w:rsidRDefault="00405D16">
            <w:pPr>
              <w:spacing w:after="100"/>
              <w:rPr>
                <w:rFonts w:eastAsia="Times New Roman"/>
                <w:sz w:val="20"/>
                <w:szCs w:val="20"/>
              </w:rPr>
            </w:pPr>
          </w:p>
        </w:tc>
        <w:tc>
          <w:tcPr>
            <w:tcW w:w="0" w:type="auto"/>
            <w:vAlign w:val="center"/>
            <w:hideMark/>
          </w:tcPr>
          <w:p w14:paraId="751C7505" w14:textId="77777777" w:rsidR="00000000" w:rsidRDefault="00405D16">
            <w:pPr>
              <w:spacing w:after="100"/>
              <w:rPr>
                <w:rFonts w:eastAsia="Times New Roman"/>
                <w:sz w:val="20"/>
                <w:szCs w:val="20"/>
              </w:rPr>
            </w:pPr>
          </w:p>
        </w:tc>
        <w:tc>
          <w:tcPr>
            <w:tcW w:w="0" w:type="auto"/>
            <w:vAlign w:val="center"/>
            <w:hideMark/>
          </w:tcPr>
          <w:p w14:paraId="5FC23D45" w14:textId="77777777" w:rsidR="00000000" w:rsidRDefault="00405D16">
            <w:pPr>
              <w:spacing w:after="100"/>
              <w:rPr>
                <w:rFonts w:eastAsia="Times New Roman"/>
                <w:sz w:val="20"/>
                <w:szCs w:val="20"/>
              </w:rPr>
            </w:pPr>
          </w:p>
        </w:tc>
      </w:tr>
      <w:tr w:rsidR="00000000" w14:paraId="4A04BD9C" w14:textId="77777777">
        <w:tc>
          <w:tcPr>
            <w:tcW w:w="0" w:type="auto"/>
            <w:gridSpan w:val="3"/>
            <w:vAlign w:val="center"/>
            <w:hideMark/>
          </w:tcPr>
          <w:p w14:paraId="01577C24" w14:textId="77777777" w:rsidR="00000000" w:rsidRDefault="00405D16">
            <w:pPr>
              <w:spacing w:after="100"/>
              <w:rPr>
                <w:rFonts w:eastAsia="Times New Roman"/>
                <w:sz w:val="20"/>
                <w:szCs w:val="20"/>
              </w:rPr>
            </w:pPr>
          </w:p>
        </w:tc>
        <w:tc>
          <w:tcPr>
            <w:tcW w:w="0" w:type="auto"/>
            <w:gridSpan w:val="3"/>
            <w:vAlign w:val="center"/>
            <w:hideMark/>
          </w:tcPr>
          <w:p w14:paraId="14422874" w14:textId="77777777" w:rsidR="00000000" w:rsidRDefault="00405D16">
            <w:pPr>
              <w:spacing w:after="100"/>
              <w:rPr>
                <w:rFonts w:eastAsia="Times New Roman"/>
                <w:sz w:val="20"/>
                <w:szCs w:val="20"/>
              </w:rPr>
            </w:pPr>
          </w:p>
        </w:tc>
        <w:tc>
          <w:tcPr>
            <w:tcW w:w="0" w:type="auto"/>
            <w:gridSpan w:val="3"/>
            <w:vAlign w:val="center"/>
            <w:hideMark/>
          </w:tcPr>
          <w:p w14:paraId="4916A689" w14:textId="77777777" w:rsidR="00000000" w:rsidRDefault="00405D16">
            <w:pPr>
              <w:spacing w:after="100"/>
              <w:rPr>
                <w:rFonts w:eastAsia="Times New Roman"/>
                <w:sz w:val="20"/>
                <w:szCs w:val="20"/>
              </w:rPr>
            </w:pPr>
          </w:p>
        </w:tc>
        <w:tc>
          <w:tcPr>
            <w:tcW w:w="0" w:type="auto"/>
            <w:gridSpan w:val="3"/>
            <w:vAlign w:val="center"/>
            <w:hideMark/>
          </w:tcPr>
          <w:p w14:paraId="04FFA430" w14:textId="77777777" w:rsidR="00000000" w:rsidRDefault="00405D16">
            <w:pPr>
              <w:spacing w:after="100"/>
              <w:rPr>
                <w:rFonts w:eastAsia="Times New Roman"/>
                <w:sz w:val="20"/>
                <w:szCs w:val="20"/>
              </w:rPr>
            </w:pPr>
          </w:p>
        </w:tc>
        <w:tc>
          <w:tcPr>
            <w:tcW w:w="0" w:type="auto"/>
            <w:gridSpan w:val="3"/>
            <w:vAlign w:val="center"/>
            <w:hideMark/>
          </w:tcPr>
          <w:p w14:paraId="5E4A691A" w14:textId="77777777" w:rsidR="00000000" w:rsidRDefault="00405D16">
            <w:pPr>
              <w:spacing w:after="100"/>
              <w:rPr>
                <w:rFonts w:eastAsia="Times New Roman"/>
                <w:sz w:val="20"/>
                <w:szCs w:val="20"/>
              </w:rPr>
            </w:pPr>
          </w:p>
        </w:tc>
        <w:tc>
          <w:tcPr>
            <w:tcW w:w="0" w:type="auto"/>
            <w:vAlign w:val="center"/>
            <w:hideMark/>
          </w:tcPr>
          <w:p w14:paraId="67AEF5F7" w14:textId="77777777" w:rsidR="00000000" w:rsidRDefault="00405D16">
            <w:pPr>
              <w:spacing w:after="100"/>
              <w:rPr>
                <w:rFonts w:eastAsia="Times New Roman"/>
                <w:sz w:val="20"/>
                <w:szCs w:val="20"/>
              </w:rPr>
            </w:pPr>
          </w:p>
        </w:tc>
        <w:tc>
          <w:tcPr>
            <w:tcW w:w="0" w:type="auto"/>
            <w:vAlign w:val="center"/>
            <w:hideMark/>
          </w:tcPr>
          <w:p w14:paraId="3E1EF7AC" w14:textId="77777777" w:rsidR="00000000" w:rsidRDefault="00405D16">
            <w:pPr>
              <w:spacing w:after="100"/>
              <w:rPr>
                <w:rFonts w:eastAsia="Times New Roman"/>
                <w:sz w:val="20"/>
                <w:szCs w:val="20"/>
              </w:rPr>
            </w:pPr>
          </w:p>
        </w:tc>
        <w:tc>
          <w:tcPr>
            <w:tcW w:w="0" w:type="auto"/>
            <w:vAlign w:val="center"/>
            <w:hideMark/>
          </w:tcPr>
          <w:p w14:paraId="45104D63" w14:textId="77777777" w:rsidR="00000000" w:rsidRDefault="00405D16">
            <w:pPr>
              <w:spacing w:after="100"/>
              <w:rPr>
                <w:rFonts w:eastAsia="Times New Roman"/>
                <w:sz w:val="20"/>
                <w:szCs w:val="20"/>
              </w:rPr>
            </w:pPr>
          </w:p>
        </w:tc>
        <w:tc>
          <w:tcPr>
            <w:tcW w:w="0" w:type="auto"/>
            <w:vAlign w:val="center"/>
            <w:hideMark/>
          </w:tcPr>
          <w:p w14:paraId="1D75A8E2" w14:textId="77777777" w:rsidR="00000000" w:rsidRDefault="00405D16">
            <w:pPr>
              <w:spacing w:after="100"/>
              <w:rPr>
                <w:rFonts w:eastAsia="Times New Roman"/>
                <w:sz w:val="20"/>
                <w:szCs w:val="20"/>
              </w:rPr>
            </w:pPr>
          </w:p>
        </w:tc>
        <w:tc>
          <w:tcPr>
            <w:tcW w:w="0" w:type="auto"/>
            <w:vAlign w:val="center"/>
            <w:hideMark/>
          </w:tcPr>
          <w:p w14:paraId="45DC9861" w14:textId="77777777" w:rsidR="00000000" w:rsidRDefault="00405D16">
            <w:pPr>
              <w:spacing w:after="100"/>
              <w:rPr>
                <w:rFonts w:eastAsia="Times New Roman"/>
                <w:sz w:val="20"/>
                <w:szCs w:val="20"/>
              </w:rPr>
            </w:pPr>
          </w:p>
        </w:tc>
        <w:tc>
          <w:tcPr>
            <w:tcW w:w="0" w:type="auto"/>
            <w:vAlign w:val="center"/>
            <w:hideMark/>
          </w:tcPr>
          <w:p w14:paraId="3ACE9682" w14:textId="77777777" w:rsidR="00000000" w:rsidRDefault="00405D16">
            <w:pPr>
              <w:spacing w:after="100"/>
              <w:rPr>
                <w:rFonts w:eastAsia="Times New Roman"/>
                <w:sz w:val="20"/>
                <w:szCs w:val="20"/>
              </w:rPr>
            </w:pPr>
          </w:p>
        </w:tc>
        <w:tc>
          <w:tcPr>
            <w:tcW w:w="0" w:type="auto"/>
            <w:vAlign w:val="center"/>
            <w:hideMark/>
          </w:tcPr>
          <w:p w14:paraId="2270C7D4" w14:textId="77777777" w:rsidR="00000000" w:rsidRDefault="00405D16">
            <w:pPr>
              <w:spacing w:after="100"/>
              <w:rPr>
                <w:rFonts w:eastAsia="Times New Roman"/>
                <w:sz w:val="20"/>
                <w:szCs w:val="20"/>
              </w:rPr>
            </w:pPr>
          </w:p>
        </w:tc>
        <w:tc>
          <w:tcPr>
            <w:tcW w:w="0" w:type="auto"/>
            <w:vAlign w:val="center"/>
            <w:hideMark/>
          </w:tcPr>
          <w:p w14:paraId="5BAED83F" w14:textId="77777777" w:rsidR="00000000" w:rsidRDefault="00405D16">
            <w:pPr>
              <w:spacing w:after="100"/>
              <w:rPr>
                <w:rFonts w:eastAsia="Times New Roman"/>
                <w:sz w:val="20"/>
                <w:szCs w:val="20"/>
              </w:rPr>
            </w:pPr>
          </w:p>
        </w:tc>
        <w:tc>
          <w:tcPr>
            <w:tcW w:w="0" w:type="auto"/>
            <w:vAlign w:val="center"/>
            <w:hideMark/>
          </w:tcPr>
          <w:p w14:paraId="5DAAC69F" w14:textId="77777777" w:rsidR="00000000" w:rsidRDefault="00405D16">
            <w:pPr>
              <w:spacing w:after="100"/>
              <w:rPr>
                <w:rFonts w:eastAsia="Times New Roman"/>
                <w:sz w:val="20"/>
                <w:szCs w:val="20"/>
              </w:rPr>
            </w:pPr>
          </w:p>
        </w:tc>
        <w:tc>
          <w:tcPr>
            <w:tcW w:w="0" w:type="auto"/>
            <w:vAlign w:val="center"/>
            <w:hideMark/>
          </w:tcPr>
          <w:p w14:paraId="7B92A484" w14:textId="77777777" w:rsidR="00000000" w:rsidRDefault="00405D16">
            <w:pPr>
              <w:spacing w:after="100"/>
              <w:rPr>
                <w:rFonts w:eastAsia="Times New Roman"/>
                <w:sz w:val="20"/>
                <w:szCs w:val="20"/>
              </w:rPr>
            </w:pPr>
          </w:p>
        </w:tc>
        <w:tc>
          <w:tcPr>
            <w:tcW w:w="0" w:type="auto"/>
            <w:vAlign w:val="center"/>
            <w:hideMark/>
          </w:tcPr>
          <w:p w14:paraId="43BE453A" w14:textId="77777777" w:rsidR="00000000" w:rsidRDefault="00405D16">
            <w:pPr>
              <w:spacing w:after="100"/>
              <w:rPr>
                <w:rFonts w:eastAsia="Times New Roman"/>
                <w:sz w:val="20"/>
                <w:szCs w:val="20"/>
              </w:rPr>
            </w:pPr>
          </w:p>
        </w:tc>
        <w:tc>
          <w:tcPr>
            <w:tcW w:w="0" w:type="auto"/>
            <w:vAlign w:val="center"/>
            <w:hideMark/>
          </w:tcPr>
          <w:p w14:paraId="7572A3D9" w14:textId="77777777" w:rsidR="00000000" w:rsidRDefault="00405D16">
            <w:pPr>
              <w:spacing w:after="100"/>
              <w:rPr>
                <w:rFonts w:eastAsia="Times New Roman"/>
                <w:sz w:val="20"/>
                <w:szCs w:val="20"/>
              </w:rPr>
            </w:pPr>
          </w:p>
        </w:tc>
      </w:tr>
      <w:tr w:rsidR="00000000" w14:paraId="7DB402CF" w14:textId="77777777">
        <w:tc>
          <w:tcPr>
            <w:tcW w:w="0" w:type="auto"/>
            <w:gridSpan w:val="3"/>
            <w:vAlign w:val="center"/>
            <w:hideMark/>
          </w:tcPr>
          <w:p w14:paraId="32EAD43A" w14:textId="77777777" w:rsidR="00000000" w:rsidRDefault="00405D16">
            <w:pPr>
              <w:spacing w:after="100"/>
              <w:rPr>
                <w:rFonts w:eastAsia="Times New Roman"/>
                <w:sz w:val="20"/>
                <w:szCs w:val="20"/>
              </w:rPr>
            </w:pPr>
          </w:p>
        </w:tc>
        <w:tc>
          <w:tcPr>
            <w:tcW w:w="0" w:type="auto"/>
            <w:gridSpan w:val="3"/>
            <w:vAlign w:val="center"/>
            <w:hideMark/>
          </w:tcPr>
          <w:p w14:paraId="75DC84A4" w14:textId="77777777" w:rsidR="00000000" w:rsidRDefault="00405D16">
            <w:pPr>
              <w:spacing w:after="100"/>
              <w:rPr>
                <w:rFonts w:eastAsia="Times New Roman"/>
                <w:sz w:val="20"/>
                <w:szCs w:val="20"/>
              </w:rPr>
            </w:pPr>
          </w:p>
        </w:tc>
        <w:tc>
          <w:tcPr>
            <w:tcW w:w="0" w:type="auto"/>
            <w:gridSpan w:val="3"/>
            <w:vAlign w:val="center"/>
            <w:hideMark/>
          </w:tcPr>
          <w:p w14:paraId="27D98409" w14:textId="77777777" w:rsidR="00000000" w:rsidRDefault="00405D16">
            <w:pPr>
              <w:spacing w:after="100"/>
              <w:rPr>
                <w:rFonts w:eastAsia="Times New Roman"/>
                <w:sz w:val="20"/>
                <w:szCs w:val="20"/>
              </w:rPr>
            </w:pPr>
          </w:p>
        </w:tc>
        <w:tc>
          <w:tcPr>
            <w:tcW w:w="0" w:type="auto"/>
            <w:gridSpan w:val="3"/>
            <w:vAlign w:val="center"/>
            <w:hideMark/>
          </w:tcPr>
          <w:p w14:paraId="5EAB1BDE" w14:textId="77777777" w:rsidR="00000000" w:rsidRDefault="00405D16">
            <w:pPr>
              <w:spacing w:after="100"/>
              <w:rPr>
                <w:rFonts w:eastAsia="Times New Roman"/>
                <w:sz w:val="20"/>
                <w:szCs w:val="20"/>
              </w:rPr>
            </w:pPr>
          </w:p>
        </w:tc>
        <w:tc>
          <w:tcPr>
            <w:tcW w:w="0" w:type="auto"/>
            <w:gridSpan w:val="3"/>
            <w:vAlign w:val="center"/>
            <w:hideMark/>
          </w:tcPr>
          <w:p w14:paraId="6559023E" w14:textId="77777777" w:rsidR="00000000" w:rsidRDefault="00405D16">
            <w:pPr>
              <w:spacing w:after="100"/>
              <w:rPr>
                <w:rFonts w:eastAsia="Times New Roman"/>
                <w:sz w:val="20"/>
                <w:szCs w:val="20"/>
              </w:rPr>
            </w:pPr>
          </w:p>
        </w:tc>
        <w:tc>
          <w:tcPr>
            <w:tcW w:w="0" w:type="auto"/>
            <w:gridSpan w:val="3"/>
            <w:vAlign w:val="center"/>
            <w:hideMark/>
          </w:tcPr>
          <w:p w14:paraId="22B7E243" w14:textId="77777777" w:rsidR="00000000" w:rsidRDefault="00405D16">
            <w:pPr>
              <w:spacing w:after="100"/>
              <w:rPr>
                <w:rFonts w:eastAsia="Times New Roman"/>
                <w:sz w:val="20"/>
                <w:szCs w:val="20"/>
              </w:rPr>
            </w:pPr>
          </w:p>
        </w:tc>
        <w:tc>
          <w:tcPr>
            <w:tcW w:w="0" w:type="auto"/>
            <w:gridSpan w:val="3"/>
            <w:vAlign w:val="center"/>
            <w:hideMark/>
          </w:tcPr>
          <w:p w14:paraId="036FE0BC" w14:textId="77777777" w:rsidR="00000000" w:rsidRDefault="00405D16">
            <w:pPr>
              <w:spacing w:after="100"/>
              <w:rPr>
                <w:rFonts w:eastAsia="Times New Roman"/>
                <w:sz w:val="20"/>
                <w:szCs w:val="20"/>
              </w:rPr>
            </w:pPr>
          </w:p>
        </w:tc>
        <w:tc>
          <w:tcPr>
            <w:tcW w:w="0" w:type="auto"/>
            <w:gridSpan w:val="3"/>
            <w:vAlign w:val="center"/>
            <w:hideMark/>
          </w:tcPr>
          <w:p w14:paraId="760D4F34" w14:textId="77777777" w:rsidR="00000000" w:rsidRDefault="00405D16">
            <w:pPr>
              <w:spacing w:after="100"/>
              <w:rPr>
                <w:rFonts w:eastAsia="Times New Roman"/>
                <w:sz w:val="20"/>
                <w:szCs w:val="20"/>
              </w:rPr>
            </w:pPr>
          </w:p>
        </w:tc>
        <w:tc>
          <w:tcPr>
            <w:tcW w:w="0" w:type="auto"/>
            <w:gridSpan w:val="3"/>
            <w:vAlign w:val="center"/>
            <w:hideMark/>
          </w:tcPr>
          <w:p w14:paraId="77A485F5" w14:textId="77777777" w:rsidR="00000000" w:rsidRDefault="00405D16">
            <w:pPr>
              <w:spacing w:after="100"/>
              <w:rPr>
                <w:rFonts w:eastAsia="Times New Roman"/>
                <w:sz w:val="20"/>
                <w:szCs w:val="20"/>
              </w:rPr>
            </w:pPr>
          </w:p>
        </w:tc>
      </w:tr>
      <w:tr w:rsidR="00000000" w14:paraId="00DD9818" w14:textId="77777777">
        <w:tc>
          <w:tcPr>
            <w:tcW w:w="0" w:type="auto"/>
            <w:gridSpan w:val="3"/>
            <w:vAlign w:val="center"/>
            <w:hideMark/>
          </w:tcPr>
          <w:p w14:paraId="7DDCB44F" w14:textId="77777777" w:rsidR="00000000" w:rsidRDefault="00405D16">
            <w:pPr>
              <w:spacing w:after="100"/>
              <w:rPr>
                <w:rFonts w:eastAsia="Times New Roman"/>
                <w:sz w:val="20"/>
                <w:szCs w:val="20"/>
              </w:rPr>
            </w:pPr>
          </w:p>
        </w:tc>
        <w:tc>
          <w:tcPr>
            <w:tcW w:w="0" w:type="auto"/>
            <w:gridSpan w:val="3"/>
            <w:vAlign w:val="center"/>
            <w:hideMark/>
          </w:tcPr>
          <w:p w14:paraId="16FE374F" w14:textId="77777777" w:rsidR="00000000" w:rsidRDefault="00405D16">
            <w:pPr>
              <w:spacing w:after="100"/>
              <w:rPr>
                <w:rFonts w:eastAsia="Times New Roman"/>
                <w:sz w:val="20"/>
                <w:szCs w:val="20"/>
              </w:rPr>
            </w:pPr>
          </w:p>
        </w:tc>
        <w:tc>
          <w:tcPr>
            <w:tcW w:w="0" w:type="auto"/>
            <w:gridSpan w:val="3"/>
            <w:vAlign w:val="center"/>
            <w:hideMark/>
          </w:tcPr>
          <w:p w14:paraId="319C87E0" w14:textId="77777777" w:rsidR="00000000" w:rsidRDefault="00405D16">
            <w:pPr>
              <w:spacing w:after="100"/>
              <w:rPr>
                <w:rFonts w:eastAsia="Times New Roman"/>
                <w:sz w:val="20"/>
                <w:szCs w:val="20"/>
              </w:rPr>
            </w:pPr>
          </w:p>
        </w:tc>
        <w:tc>
          <w:tcPr>
            <w:tcW w:w="0" w:type="auto"/>
            <w:gridSpan w:val="3"/>
            <w:vAlign w:val="center"/>
            <w:hideMark/>
          </w:tcPr>
          <w:p w14:paraId="5D155C5D" w14:textId="77777777" w:rsidR="00000000" w:rsidRDefault="00405D16">
            <w:pPr>
              <w:spacing w:after="100"/>
              <w:rPr>
                <w:rFonts w:eastAsia="Times New Roman"/>
                <w:sz w:val="20"/>
                <w:szCs w:val="20"/>
              </w:rPr>
            </w:pPr>
          </w:p>
        </w:tc>
        <w:tc>
          <w:tcPr>
            <w:tcW w:w="0" w:type="auto"/>
            <w:gridSpan w:val="3"/>
            <w:vAlign w:val="center"/>
            <w:hideMark/>
          </w:tcPr>
          <w:p w14:paraId="17853A46" w14:textId="77777777" w:rsidR="00000000" w:rsidRDefault="00405D16">
            <w:pPr>
              <w:spacing w:after="100"/>
              <w:rPr>
                <w:rFonts w:eastAsia="Times New Roman"/>
                <w:sz w:val="20"/>
                <w:szCs w:val="20"/>
              </w:rPr>
            </w:pPr>
          </w:p>
        </w:tc>
        <w:tc>
          <w:tcPr>
            <w:tcW w:w="0" w:type="auto"/>
            <w:gridSpan w:val="3"/>
            <w:vAlign w:val="center"/>
            <w:hideMark/>
          </w:tcPr>
          <w:p w14:paraId="6D1944C7" w14:textId="77777777" w:rsidR="00000000" w:rsidRDefault="00405D16">
            <w:pPr>
              <w:spacing w:after="100"/>
              <w:rPr>
                <w:rFonts w:eastAsia="Times New Roman"/>
                <w:sz w:val="20"/>
                <w:szCs w:val="20"/>
              </w:rPr>
            </w:pPr>
          </w:p>
        </w:tc>
        <w:tc>
          <w:tcPr>
            <w:tcW w:w="0" w:type="auto"/>
            <w:gridSpan w:val="3"/>
            <w:vAlign w:val="center"/>
            <w:hideMark/>
          </w:tcPr>
          <w:p w14:paraId="7D706CB7" w14:textId="77777777" w:rsidR="00000000" w:rsidRDefault="00405D16">
            <w:pPr>
              <w:spacing w:after="100"/>
              <w:rPr>
                <w:rFonts w:eastAsia="Times New Roman"/>
                <w:sz w:val="20"/>
                <w:szCs w:val="20"/>
              </w:rPr>
            </w:pPr>
          </w:p>
        </w:tc>
        <w:tc>
          <w:tcPr>
            <w:tcW w:w="0" w:type="auto"/>
            <w:gridSpan w:val="3"/>
            <w:vAlign w:val="center"/>
            <w:hideMark/>
          </w:tcPr>
          <w:p w14:paraId="5D07B45F" w14:textId="77777777" w:rsidR="00000000" w:rsidRDefault="00405D16">
            <w:pPr>
              <w:spacing w:after="100"/>
              <w:rPr>
                <w:rFonts w:eastAsia="Times New Roman"/>
                <w:sz w:val="20"/>
                <w:szCs w:val="20"/>
              </w:rPr>
            </w:pPr>
          </w:p>
        </w:tc>
        <w:tc>
          <w:tcPr>
            <w:tcW w:w="0" w:type="auto"/>
            <w:gridSpan w:val="3"/>
            <w:vAlign w:val="center"/>
            <w:hideMark/>
          </w:tcPr>
          <w:p w14:paraId="0B9F7F26" w14:textId="77777777" w:rsidR="00000000" w:rsidRDefault="00405D16">
            <w:pPr>
              <w:spacing w:after="100"/>
              <w:rPr>
                <w:rFonts w:eastAsia="Times New Roman"/>
                <w:sz w:val="20"/>
                <w:szCs w:val="20"/>
              </w:rPr>
            </w:pPr>
          </w:p>
        </w:tc>
      </w:tr>
      <w:tr w:rsidR="00000000" w14:paraId="0E4D3DE7" w14:textId="77777777">
        <w:tc>
          <w:tcPr>
            <w:tcW w:w="0" w:type="auto"/>
            <w:gridSpan w:val="3"/>
            <w:vAlign w:val="center"/>
            <w:hideMark/>
          </w:tcPr>
          <w:p w14:paraId="5020888A" w14:textId="77777777" w:rsidR="00000000" w:rsidRDefault="00405D16">
            <w:pPr>
              <w:spacing w:after="100"/>
              <w:rPr>
                <w:rFonts w:eastAsia="Times New Roman"/>
                <w:sz w:val="20"/>
                <w:szCs w:val="20"/>
              </w:rPr>
            </w:pPr>
          </w:p>
        </w:tc>
        <w:tc>
          <w:tcPr>
            <w:tcW w:w="0" w:type="auto"/>
            <w:gridSpan w:val="3"/>
            <w:vAlign w:val="center"/>
            <w:hideMark/>
          </w:tcPr>
          <w:p w14:paraId="0B22FC57" w14:textId="77777777" w:rsidR="00000000" w:rsidRDefault="00405D16">
            <w:pPr>
              <w:spacing w:after="100"/>
              <w:rPr>
                <w:rFonts w:eastAsia="Times New Roman"/>
                <w:sz w:val="20"/>
                <w:szCs w:val="20"/>
              </w:rPr>
            </w:pPr>
          </w:p>
        </w:tc>
        <w:tc>
          <w:tcPr>
            <w:tcW w:w="0" w:type="auto"/>
            <w:gridSpan w:val="3"/>
            <w:vAlign w:val="center"/>
            <w:hideMark/>
          </w:tcPr>
          <w:p w14:paraId="58374B41" w14:textId="77777777" w:rsidR="00000000" w:rsidRDefault="00405D16">
            <w:pPr>
              <w:spacing w:after="100"/>
              <w:rPr>
                <w:rFonts w:eastAsia="Times New Roman"/>
                <w:sz w:val="20"/>
                <w:szCs w:val="20"/>
              </w:rPr>
            </w:pPr>
          </w:p>
        </w:tc>
        <w:tc>
          <w:tcPr>
            <w:tcW w:w="0" w:type="auto"/>
            <w:gridSpan w:val="3"/>
            <w:vAlign w:val="center"/>
            <w:hideMark/>
          </w:tcPr>
          <w:p w14:paraId="5C4ED88D" w14:textId="77777777" w:rsidR="00000000" w:rsidRDefault="00405D16">
            <w:pPr>
              <w:spacing w:after="100"/>
              <w:rPr>
                <w:rFonts w:eastAsia="Times New Roman"/>
                <w:sz w:val="20"/>
                <w:szCs w:val="20"/>
              </w:rPr>
            </w:pPr>
          </w:p>
        </w:tc>
        <w:tc>
          <w:tcPr>
            <w:tcW w:w="0" w:type="auto"/>
            <w:gridSpan w:val="3"/>
            <w:vAlign w:val="center"/>
            <w:hideMark/>
          </w:tcPr>
          <w:p w14:paraId="57D66E31" w14:textId="77777777" w:rsidR="00000000" w:rsidRDefault="00405D16">
            <w:pPr>
              <w:spacing w:after="100"/>
              <w:rPr>
                <w:rFonts w:eastAsia="Times New Roman"/>
                <w:sz w:val="20"/>
                <w:szCs w:val="20"/>
              </w:rPr>
            </w:pPr>
          </w:p>
        </w:tc>
        <w:tc>
          <w:tcPr>
            <w:tcW w:w="0" w:type="auto"/>
            <w:gridSpan w:val="3"/>
            <w:vAlign w:val="center"/>
            <w:hideMark/>
          </w:tcPr>
          <w:p w14:paraId="584E26E4" w14:textId="77777777" w:rsidR="00000000" w:rsidRDefault="00405D16">
            <w:pPr>
              <w:spacing w:after="100"/>
              <w:rPr>
                <w:rFonts w:eastAsia="Times New Roman"/>
                <w:sz w:val="20"/>
                <w:szCs w:val="20"/>
              </w:rPr>
            </w:pPr>
          </w:p>
        </w:tc>
        <w:tc>
          <w:tcPr>
            <w:tcW w:w="0" w:type="auto"/>
            <w:gridSpan w:val="3"/>
            <w:vAlign w:val="center"/>
            <w:hideMark/>
          </w:tcPr>
          <w:p w14:paraId="4936D18B" w14:textId="77777777" w:rsidR="00000000" w:rsidRDefault="00405D16">
            <w:pPr>
              <w:spacing w:after="100"/>
              <w:rPr>
                <w:rFonts w:eastAsia="Times New Roman"/>
                <w:sz w:val="20"/>
                <w:szCs w:val="20"/>
              </w:rPr>
            </w:pPr>
          </w:p>
        </w:tc>
        <w:tc>
          <w:tcPr>
            <w:tcW w:w="0" w:type="auto"/>
            <w:gridSpan w:val="3"/>
            <w:vAlign w:val="center"/>
            <w:hideMark/>
          </w:tcPr>
          <w:p w14:paraId="57119DBB" w14:textId="77777777" w:rsidR="00000000" w:rsidRDefault="00405D16">
            <w:pPr>
              <w:spacing w:after="100"/>
              <w:rPr>
                <w:rFonts w:eastAsia="Times New Roman"/>
                <w:sz w:val="20"/>
                <w:szCs w:val="20"/>
              </w:rPr>
            </w:pPr>
          </w:p>
        </w:tc>
        <w:tc>
          <w:tcPr>
            <w:tcW w:w="0" w:type="auto"/>
            <w:gridSpan w:val="3"/>
            <w:vAlign w:val="center"/>
            <w:hideMark/>
          </w:tcPr>
          <w:p w14:paraId="59DCFFC6" w14:textId="77777777" w:rsidR="00000000" w:rsidRDefault="00405D16">
            <w:pPr>
              <w:spacing w:after="100"/>
              <w:rPr>
                <w:rFonts w:eastAsia="Times New Roman"/>
                <w:sz w:val="20"/>
                <w:szCs w:val="20"/>
              </w:rPr>
            </w:pPr>
          </w:p>
        </w:tc>
      </w:tr>
      <w:tr w:rsidR="00000000" w14:paraId="31F686AB" w14:textId="77777777">
        <w:tc>
          <w:tcPr>
            <w:tcW w:w="0" w:type="auto"/>
            <w:gridSpan w:val="3"/>
            <w:vAlign w:val="center"/>
            <w:hideMark/>
          </w:tcPr>
          <w:p w14:paraId="444C7AC5" w14:textId="77777777" w:rsidR="00000000" w:rsidRDefault="00405D16">
            <w:pPr>
              <w:spacing w:after="100"/>
              <w:rPr>
                <w:rFonts w:eastAsia="Times New Roman"/>
                <w:sz w:val="20"/>
                <w:szCs w:val="20"/>
              </w:rPr>
            </w:pPr>
          </w:p>
        </w:tc>
        <w:tc>
          <w:tcPr>
            <w:tcW w:w="0" w:type="auto"/>
            <w:gridSpan w:val="3"/>
            <w:vAlign w:val="center"/>
            <w:hideMark/>
          </w:tcPr>
          <w:p w14:paraId="450EA5B7" w14:textId="77777777" w:rsidR="00000000" w:rsidRDefault="00405D16">
            <w:pPr>
              <w:spacing w:after="100"/>
              <w:rPr>
                <w:rFonts w:eastAsia="Times New Roman"/>
                <w:sz w:val="20"/>
                <w:szCs w:val="20"/>
              </w:rPr>
            </w:pPr>
          </w:p>
        </w:tc>
        <w:tc>
          <w:tcPr>
            <w:tcW w:w="0" w:type="auto"/>
            <w:gridSpan w:val="3"/>
            <w:vAlign w:val="center"/>
            <w:hideMark/>
          </w:tcPr>
          <w:p w14:paraId="5DF848A0" w14:textId="77777777" w:rsidR="00000000" w:rsidRDefault="00405D16">
            <w:pPr>
              <w:spacing w:after="100"/>
              <w:rPr>
                <w:rFonts w:eastAsia="Times New Roman"/>
                <w:sz w:val="20"/>
                <w:szCs w:val="20"/>
              </w:rPr>
            </w:pPr>
          </w:p>
        </w:tc>
        <w:tc>
          <w:tcPr>
            <w:tcW w:w="0" w:type="auto"/>
            <w:gridSpan w:val="3"/>
            <w:vAlign w:val="center"/>
            <w:hideMark/>
          </w:tcPr>
          <w:p w14:paraId="19071897" w14:textId="77777777" w:rsidR="00000000" w:rsidRDefault="00405D16">
            <w:pPr>
              <w:spacing w:after="100"/>
              <w:rPr>
                <w:rFonts w:eastAsia="Times New Roman"/>
                <w:sz w:val="20"/>
                <w:szCs w:val="20"/>
              </w:rPr>
            </w:pPr>
          </w:p>
        </w:tc>
        <w:tc>
          <w:tcPr>
            <w:tcW w:w="0" w:type="auto"/>
            <w:gridSpan w:val="3"/>
            <w:vAlign w:val="center"/>
            <w:hideMark/>
          </w:tcPr>
          <w:p w14:paraId="40471300" w14:textId="77777777" w:rsidR="00000000" w:rsidRDefault="00405D16">
            <w:pPr>
              <w:spacing w:after="100"/>
              <w:rPr>
                <w:rFonts w:eastAsia="Times New Roman"/>
                <w:sz w:val="20"/>
                <w:szCs w:val="20"/>
              </w:rPr>
            </w:pPr>
          </w:p>
        </w:tc>
        <w:tc>
          <w:tcPr>
            <w:tcW w:w="0" w:type="auto"/>
            <w:gridSpan w:val="3"/>
            <w:vAlign w:val="center"/>
            <w:hideMark/>
          </w:tcPr>
          <w:p w14:paraId="01B0BF0B" w14:textId="77777777" w:rsidR="00000000" w:rsidRDefault="00405D16">
            <w:pPr>
              <w:spacing w:after="100"/>
              <w:rPr>
                <w:rFonts w:eastAsia="Times New Roman"/>
                <w:sz w:val="20"/>
                <w:szCs w:val="20"/>
              </w:rPr>
            </w:pPr>
          </w:p>
        </w:tc>
        <w:tc>
          <w:tcPr>
            <w:tcW w:w="0" w:type="auto"/>
            <w:gridSpan w:val="3"/>
            <w:vAlign w:val="center"/>
            <w:hideMark/>
          </w:tcPr>
          <w:p w14:paraId="749DCCE1" w14:textId="77777777" w:rsidR="00000000" w:rsidRDefault="00405D16">
            <w:pPr>
              <w:spacing w:after="100"/>
              <w:rPr>
                <w:rFonts w:eastAsia="Times New Roman"/>
                <w:sz w:val="20"/>
                <w:szCs w:val="20"/>
              </w:rPr>
            </w:pPr>
          </w:p>
        </w:tc>
        <w:tc>
          <w:tcPr>
            <w:tcW w:w="0" w:type="auto"/>
            <w:gridSpan w:val="3"/>
            <w:vAlign w:val="center"/>
            <w:hideMark/>
          </w:tcPr>
          <w:p w14:paraId="64C9C34F" w14:textId="77777777" w:rsidR="00000000" w:rsidRDefault="00405D16">
            <w:pPr>
              <w:spacing w:after="100"/>
              <w:rPr>
                <w:rFonts w:eastAsia="Times New Roman"/>
                <w:sz w:val="20"/>
                <w:szCs w:val="20"/>
              </w:rPr>
            </w:pPr>
          </w:p>
        </w:tc>
        <w:tc>
          <w:tcPr>
            <w:tcW w:w="0" w:type="auto"/>
            <w:gridSpan w:val="3"/>
            <w:vAlign w:val="center"/>
            <w:hideMark/>
          </w:tcPr>
          <w:p w14:paraId="2B5689F0" w14:textId="77777777" w:rsidR="00000000" w:rsidRDefault="00405D16">
            <w:pPr>
              <w:spacing w:after="100"/>
              <w:rPr>
                <w:rFonts w:eastAsia="Times New Roman"/>
                <w:sz w:val="20"/>
                <w:szCs w:val="20"/>
              </w:rPr>
            </w:pPr>
          </w:p>
        </w:tc>
      </w:tr>
      <w:tr w:rsidR="00000000" w14:paraId="1C393273" w14:textId="77777777">
        <w:tc>
          <w:tcPr>
            <w:tcW w:w="0" w:type="auto"/>
            <w:gridSpan w:val="3"/>
            <w:vAlign w:val="center"/>
            <w:hideMark/>
          </w:tcPr>
          <w:p w14:paraId="599916BA" w14:textId="77777777" w:rsidR="00000000" w:rsidRDefault="00405D16">
            <w:pPr>
              <w:spacing w:after="100"/>
              <w:rPr>
                <w:rFonts w:eastAsia="Times New Roman"/>
                <w:sz w:val="20"/>
                <w:szCs w:val="20"/>
              </w:rPr>
            </w:pPr>
          </w:p>
        </w:tc>
        <w:tc>
          <w:tcPr>
            <w:tcW w:w="0" w:type="auto"/>
            <w:gridSpan w:val="3"/>
            <w:vAlign w:val="center"/>
            <w:hideMark/>
          </w:tcPr>
          <w:p w14:paraId="6109B7C8" w14:textId="77777777" w:rsidR="00000000" w:rsidRDefault="00405D16">
            <w:pPr>
              <w:spacing w:after="100"/>
              <w:rPr>
                <w:rFonts w:eastAsia="Times New Roman"/>
                <w:sz w:val="20"/>
                <w:szCs w:val="20"/>
              </w:rPr>
            </w:pPr>
          </w:p>
        </w:tc>
        <w:tc>
          <w:tcPr>
            <w:tcW w:w="0" w:type="auto"/>
            <w:gridSpan w:val="3"/>
            <w:vAlign w:val="center"/>
            <w:hideMark/>
          </w:tcPr>
          <w:p w14:paraId="4CDC682B" w14:textId="77777777" w:rsidR="00000000" w:rsidRDefault="00405D16">
            <w:pPr>
              <w:spacing w:after="100"/>
              <w:rPr>
                <w:rFonts w:eastAsia="Times New Roman"/>
                <w:sz w:val="20"/>
                <w:szCs w:val="20"/>
              </w:rPr>
            </w:pPr>
          </w:p>
        </w:tc>
        <w:tc>
          <w:tcPr>
            <w:tcW w:w="0" w:type="auto"/>
            <w:gridSpan w:val="3"/>
            <w:vAlign w:val="center"/>
            <w:hideMark/>
          </w:tcPr>
          <w:p w14:paraId="3E9524C5" w14:textId="77777777" w:rsidR="00000000" w:rsidRDefault="00405D16">
            <w:pPr>
              <w:spacing w:after="100"/>
              <w:rPr>
                <w:rFonts w:eastAsia="Times New Roman"/>
                <w:sz w:val="20"/>
                <w:szCs w:val="20"/>
              </w:rPr>
            </w:pPr>
          </w:p>
        </w:tc>
        <w:tc>
          <w:tcPr>
            <w:tcW w:w="0" w:type="auto"/>
            <w:gridSpan w:val="3"/>
            <w:vAlign w:val="center"/>
            <w:hideMark/>
          </w:tcPr>
          <w:p w14:paraId="7AB069A9" w14:textId="77777777" w:rsidR="00000000" w:rsidRDefault="00405D16">
            <w:pPr>
              <w:spacing w:after="100"/>
              <w:rPr>
                <w:rFonts w:eastAsia="Times New Roman"/>
                <w:sz w:val="20"/>
                <w:szCs w:val="20"/>
              </w:rPr>
            </w:pPr>
          </w:p>
        </w:tc>
        <w:tc>
          <w:tcPr>
            <w:tcW w:w="0" w:type="auto"/>
            <w:gridSpan w:val="3"/>
            <w:vAlign w:val="center"/>
            <w:hideMark/>
          </w:tcPr>
          <w:p w14:paraId="5CD27F44" w14:textId="77777777" w:rsidR="00000000" w:rsidRDefault="00405D16">
            <w:pPr>
              <w:spacing w:after="100"/>
              <w:rPr>
                <w:rFonts w:eastAsia="Times New Roman"/>
                <w:sz w:val="20"/>
                <w:szCs w:val="20"/>
              </w:rPr>
            </w:pPr>
          </w:p>
        </w:tc>
        <w:tc>
          <w:tcPr>
            <w:tcW w:w="0" w:type="auto"/>
            <w:gridSpan w:val="3"/>
            <w:vAlign w:val="center"/>
            <w:hideMark/>
          </w:tcPr>
          <w:p w14:paraId="12692BBF" w14:textId="77777777" w:rsidR="00000000" w:rsidRDefault="00405D16">
            <w:pPr>
              <w:spacing w:after="100"/>
              <w:rPr>
                <w:rFonts w:eastAsia="Times New Roman"/>
                <w:sz w:val="20"/>
                <w:szCs w:val="20"/>
              </w:rPr>
            </w:pPr>
          </w:p>
        </w:tc>
        <w:tc>
          <w:tcPr>
            <w:tcW w:w="0" w:type="auto"/>
            <w:gridSpan w:val="3"/>
            <w:vAlign w:val="center"/>
            <w:hideMark/>
          </w:tcPr>
          <w:p w14:paraId="67C00245" w14:textId="77777777" w:rsidR="00000000" w:rsidRDefault="00405D16">
            <w:pPr>
              <w:spacing w:after="100"/>
              <w:rPr>
                <w:rFonts w:eastAsia="Times New Roman"/>
                <w:sz w:val="20"/>
                <w:szCs w:val="20"/>
              </w:rPr>
            </w:pPr>
          </w:p>
        </w:tc>
        <w:tc>
          <w:tcPr>
            <w:tcW w:w="0" w:type="auto"/>
            <w:gridSpan w:val="3"/>
            <w:vAlign w:val="center"/>
            <w:hideMark/>
          </w:tcPr>
          <w:p w14:paraId="4C2400A2" w14:textId="77777777" w:rsidR="00000000" w:rsidRDefault="00405D16">
            <w:pPr>
              <w:spacing w:after="100"/>
              <w:rPr>
                <w:rFonts w:eastAsia="Times New Roman"/>
                <w:sz w:val="20"/>
                <w:szCs w:val="20"/>
              </w:rPr>
            </w:pPr>
          </w:p>
        </w:tc>
      </w:tr>
    </w:tbl>
    <w:p w14:paraId="59513952" w14:textId="77777777" w:rsidR="00000000" w:rsidRDefault="00405D16">
      <w:pPr>
        <w:divId w:val="44255570"/>
        <w:rPr>
          <w:rFonts w:eastAsia="Times New Roman"/>
          <w:vanish/>
        </w:rPr>
      </w:pPr>
    </w:p>
    <w:tbl>
      <w:tblPr>
        <w:tblW w:w="4992" w:type="pct"/>
        <w:tblCellMar>
          <w:top w:w="15" w:type="dxa"/>
          <w:left w:w="15" w:type="dxa"/>
          <w:bottom w:w="15" w:type="dxa"/>
          <w:right w:w="15" w:type="dxa"/>
        </w:tblCellMar>
        <w:tblLook w:val="04A0" w:firstRow="1" w:lastRow="0" w:firstColumn="1" w:lastColumn="0" w:noHBand="0" w:noVBand="1"/>
      </w:tblPr>
      <w:tblGrid>
        <w:gridCol w:w="39"/>
        <w:gridCol w:w="2900"/>
        <w:gridCol w:w="38"/>
        <w:gridCol w:w="36"/>
        <w:gridCol w:w="36"/>
        <w:gridCol w:w="36"/>
        <w:gridCol w:w="110"/>
        <w:gridCol w:w="637"/>
        <w:gridCol w:w="36"/>
        <w:gridCol w:w="36"/>
        <w:gridCol w:w="36"/>
        <w:gridCol w:w="36"/>
        <w:gridCol w:w="110"/>
        <w:gridCol w:w="638"/>
        <w:gridCol w:w="36"/>
        <w:gridCol w:w="46"/>
        <w:gridCol w:w="1485"/>
        <w:gridCol w:w="36"/>
        <w:gridCol w:w="36"/>
        <w:gridCol w:w="36"/>
        <w:gridCol w:w="110"/>
        <w:gridCol w:w="638"/>
        <w:gridCol w:w="36"/>
        <w:gridCol w:w="36"/>
        <w:gridCol w:w="36"/>
        <w:gridCol w:w="36"/>
        <w:gridCol w:w="110"/>
        <w:gridCol w:w="640"/>
        <w:gridCol w:w="36"/>
        <w:gridCol w:w="36"/>
        <w:gridCol w:w="36"/>
        <w:gridCol w:w="36"/>
        <w:gridCol w:w="36"/>
        <w:gridCol w:w="36"/>
        <w:gridCol w:w="36"/>
      </w:tblGrid>
      <w:tr w:rsidR="00000000" w14:paraId="7A42330B" w14:textId="77777777">
        <w:trPr>
          <w:divId w:val="44255570"/>
        </w:trPr>
        <w:tc>
          <w:tcPr>
            <w:tcW w:w="50" w:type="pct"/>
            <w:vAlign w:val="center"/>
            <w:hideMark/>
          </w:tcPr>
          <w:p w14:paraId="1C10ECF0" w14:textId="77777777" w:rsidR="00000000" w:rsidRDefault="00405D16">
            <w:pPr>
              <w:rPr>
                <w:rFonts w:eastAsia="Times New Roman"/>
              </w:rPr>
            </w:pPr>
          </w:p>
        </w:tc>
        <w:tc>
          <w:tcPr>
            <w:tcW w:w="2338" w:type="pct"/>
            <w:vAlign w:val="center"/>
            <w:hideMark/>
          </w:tcPr>
          <w:p w14:paraId="505E671D" w14:textId="77777777" w:rsidR="00000000" w:rsidRDefault="00405D16">
            <w:pPr>
              <w:spacing w:after="100"/>
              <w:rPr>
                <w:rFonts w:eastAsia="Times New Roman"/>
                <w:sz w:val="20"/>
                <w:szCs w:val="20"/>
              </w:rPr>
            </w:pPr>
          </w:p>
        </w:tc>
        <w:tc>
          <w:tcPr>
            <w:tcW w:w="5" w:type="pct"/>
            <w:vAlign w:val="center"/>
            <w:hideMark/>
          </w:tcPr>
          <w:p w14:paraId="50A698A7" w14:textId="77777777" w:rsidR="00000000" w:rsidRDefault="00405D16">
            <w:pPr>
              <w:spacing w:after="100"/>
              <w:rPr>
                <w:rFonts w:eastAsia="Times New Roman"/>
                <w:sz w:val="20"/>
                <w:szCs w:val="20"/>
              </w:rPr>
            </w:pPr>
          </w:p>
        </w:tc>
        <w:tc>
          <w:tcPr>
            <w:tcW w:w="5" w:type="pct"/>
            <w:vAlign w:val="center"/>
            <w:hideMark/>
          </w:tcPr>
          <w:p w14:paraId="223B25B2" w14:textId="77777777" w:rsidR="00000000" w:rsidRDefault="00405D16">
            <w:pPr>
              <w:spacing w:after="100"/>
              <w:rPr>
                <w:rFonts w:eastAsia="Times New Roman"/>
                <w:sz w:val="20"/>
                <w:szCs w:val="20"/>
              </w:rPr>
            </w:pPr>
          </w:p>
        </w:tc>
        <w:tc>
          <w:tcPr>
            <w:tcW w:w="26" w:type="pct"/>
            <w:vAlign w:val="center"/>
            <w:hideMark/>
          </w:tcPr>
          <w:p w14:paraId="5221EE23" w14:textId="77777777" w:rsidR="00000000" w:rsidRDefault="00405D16">
            <w:pPr>
              <w:spacing w:after="100"/>
              <w:rPr>
                <w:rFonts w:eastAsia="Times New Roman"/>
                <w:sz w:val="20"/>
                <w:szCs w:val="20"/>
              </w:rPr>
            </w:pPr>
          </w:p>
        </w:tc>
        <w:tc>
          <w:tcPr>
            <w:tcW w:w="5" w:type="pct"/>
            <w:vAlign w:val="center"/>
            <w:hideMark/>
          </w:tcPr>
          <w:p w14:paraId="7AB991B3" w14:textId="77777777" w:rsidR="00000000" w:rsidRDefault="00405D16">
            <w:pPr>
              <w:spacing w:after="100"/>
              <w:rPr>
                <w:rFonts w:eastAsia="Times New Roman"/>
                <w:sz w:val="20"/>
                <w:szCs w:val="20"/>
              </w:rPr>
            </w:pPr>
          </w:p>
        </w:tc>
        <w:tc>
          <w:tcPr>
            <w:tcW w:w="50" w:type="pct"/>
            <w:vAlign w:val="center"/>
            <w:hideMark/>
          </w:tcPr>
          <w:p w14:paraId="3C1769D4" w14:textId="77777777" w:rsidR="00000000" w:rsidRDefault="00405D16">
            <w:pPr>
              <w:spacing w:after="100"/>
              <w:rPr>
                <w:rFonts w:eastAsia="Times New Roman"/>
                <w:sz w:val="20"/>
                <w:szCs w:val="20"/>
              </w:rPr>
            </w:pPr>
          </w:p>
        </w:tc>
        <w:tc>
          <w:tcPr>
            <w:tcW w:w="559" w:type="pct"/>
            <w:vAlign w:val="center"/>
            <w:hideMark/>
          </w:tcPr>
          <w:p w14:paraId="6943AFC6" w14:textId="77777777" w:rsidR="00000000" w:rsidRDefault="00405D16">
            <w:pPr>
              <w:spacing w:after="100"/>
              <w:rPr>
                <w:rFonts w:eastAsia="Times New Roman"/>
                <w:sz w:val="20"/>
                <w:szCs w:val="20"/>
              </w:rPr>
            </w:pPr>
          </w:p>
        </w:tc>
        <w:tc>
          <w:tcPr>
            <w:tcW w:w="5" w:type="pct"/>
            <w:vAlign w:val="center"/>
            <w:hideMark/>
          </w:tcPr>
          <w:p w14:paraId="64BB1CE3" w14:textId="77777777" w:rsidR="00000000" w:rsidRDefault="00405D16">
            <w:pPr>
              <w:spacing w:after="100"/>
              <w:rPr>
                <w:rFonts w:eastAsia="Times New Roman"/>
                <w:sz w:val="20"/>
                <w:szCs w:val="20"/>
              </w:rPr>
            </w:pPr>
          </w:p>
        </w:tc>
        <w:tc>
          <w:tcPr>
            <w:tcW w:w="5" w:type="pct"/>
            <w:vAlign w:val="center"/>
            <w:hideMark/>
          </w:tcPr>
          <w:p w14:paraId="7950281F" w14:textId="77777777" w:rsidR="00000000" w:rsidRDefault="00405D16">
            <w:pPr>
              <w:spacing w:after="100"/>
              <w:rPr>
                <w:rFonts w:eastAsia="Times New Roman"/>
                <w:sz w:val="20"/>
                <w:szCs w:val="20"/>
              </w:rPr>
            </w:pPr>
          </w:p>
        </w:tc>
        <w:tc>
          <w:tcPr>
            <w:tcW w:w="26" w:type="pct"/>
            <w:vAlign w:val="center"/>
            <w:hideMark/>
          </w:tcPr>
          <w:p w14:paraId="1320308A" w14:textId="77777777" w:rsidR="00000000" w:rsidRDefault="00405D16">
            <w:pPr>
              <w:spacing w:after="100"/>
              <w:rPr>
                <w:rFonts w:eastAsia="Times New Roman"/>
                <w:sz w:val="20"/>
                <w:szCs w:val="20"/>
              </w:rPr>
            </w:pPr>
          </w:p>
        </w:tc>
        <w:tc>
          <w:tcPr>
            <w:tcW w:w="5" w:type="pct"/>
            <w:vAlign w:val="center"/>
            <w:hideMark/>
          </w:tcPr>
          <w:p w14:paraId="54F2DA99" w14:textId="77777777" w:rsidR="00000000" w:rsidRDefault="00405D16">
            <w:pPr>
              <w:spacing w:after="100"/>
              <w:rPr>
                <w:rFonts w:eastAsia="Times New Roman"/>
                <w:sz w:val="20"/>
                <w:szCs w:val="20"/>
              </w:rPr>
            </w:pPr>
          </w:p>
        </w:tc>
        <w:tc>
          <w:tcPr>
            <w:tcW w:w="50" w:type="pct"/>
            <w:vAlign w:val="center"/>
            <w:hideMark/>
          </w:tcPr>
          <w:p w14:paraId="03B90FD4" w14:textId="77777777" w:rsidR="00000000" w:rsidRDefault="00405D16">
            <w:pPr>
              <w:spacing w:after="100"/>
              <w:rPr>
                <w:rFonts w:eastAsia="Times New Roman"/>
                <w:sz w:val="20"/>
                <w:szCs w:val="20"/>
              </w:rPr>
            </w:pPr>
          </w:p>
        </w:tc>
        <w:tc>
          <w:tcPr>
            <w:tcW w:w="559" w:type="pct"/>
            <w:vAlign w:val="center"/>
            <w:hideMark/>
          </w:tcPr>
          <w:p w14:paraId="6DA0EF3C" w14:textId="77777777" w:rsidR="00000000" w:rsidRDefault="00405D16">
            <w:pPr>
              <w:spacing w:after="100"/>
              <w:rPr>
                <w:rFonts w:eastAsia="Times New Roman"/>
                <w:sz w:val="20"/>
                <w:szCs w:val="20"/>
              </w:rPr>
            </w:pPr>
          </w:p>
        </w:tc>
        <w:tc>
          <w:tcPr>
            <w:tcW w:w="5" w:type="pct"/>
            <w:vAlign w:val="center"/>
            <w:hideMark/>
          </w:tcPr>
          <w:p w14:paraId="5206CBFA" w14:textId="77777777" w:rsidR="00000000" w:rsidRDefault="00405D16">
            <w:pPr>
              <w:spacing w:after="100"/>
              <w:rPr>
                <w:rFonts w:eastAsia="Times New Roman"/>
                <w:sz w:val="20"/>
                <w:szCs w:val="20"/>
              </w:rPr>
            </w:pPr>
          </w:p>
        </w:tc>
        <w:tc>
          <w:tcPr>
            <w:tcW w:w="0" w:type="auto"/>
            <w:vAlign w:val="center"/>
            <w:hideMark/>
          </w:tcPr>
          <w:p w14:paraId="69CC2756" w14:textId="77777777" w:rsidR="00000000" w:rsidRDefault="00405D16">
            <w:pPr>
              <w:spacing w:after="100"/>
              <w:rPr>
                <w:rFonts w:eastAsia="Times New Roman"/>
                <w:sz w:val="20"/>
                <w:szCs w:val="20"/>
              </w:rPr>
            </w:pPr>
          </w:p>
        </w:tc>
        <w:tc>
          <w:tcPr>
            <w:tcW w:w="0" w:type="auto"/>
            <w:vAlign w:val="center"/>
            <w:hideMark/>
          </w:tcPr>
          <w:p w14:paraId="580DEF33" w14:textId="77777777" w:rsidR="00000000" w:rsidRDefault="00405D16">
            <w:pPr>
              <w:spacing w:after="100"/>
              <w:rPr>
                <w:rFonts w:eastAsia="Times New Roman"/>
                <w:sz w:val="20"/>
                <w:szCs w:val="20"/>
              </w:rPr>
            </w:pPr>
          </w:p>
        </w:tc>
        <w:tc>
          <w:tcPr>
            <w:tcW w:w="5" w:type="pct"/>
            <w:vAlign w:val="center"/>
            <w:hideMark/>
          </w:tcPr>
          <w:p w14:paraId="299E5304" w14:textId="77777777" w:rsidR="00000000" w:rsidRDefault="00405D16">
            <w:pPr>
              <w:spacing w:after="100"/>
              <w:rPr>
                <w:rFonts w:eastAsia="Times New Roman"/>
                <w:sz w:val="20"/>
                <w:szCs w:val="20"/>
              </w:rPr>
            </w:pPr>
          </w:p>
        </w:tc>
        <w:tc>
          <w:tcPr>
            <w:tcW w:w="26" w:type="pct"/>
            <w:vAlign w:val="center"/>
            <w:hideMark/>
          </w:tcPr>
          <w:p w14:paraId="39E391FA" w14:textId="77777777" w:rsidR="00000000" w:rsidRDefault="00405D16">
            <w:pPr>
              <w:spacing w:after="100"/>
              <w:rPr>
                <w:rFonts w:eastAsia="Times New Roman"/>
                <w:sz w:val="20"/>
                <w:szCs w:val="20"/>
              </w:rPr>
            </w:pPr>
          </w:p>
        </w:tc>
        <w:tc>
          <w:tcPr>
            <w:tcW w:w="5" w:type="pct"/>
            <w:vAlign w:val="center"/>
            <w:hideMark/>
          </w:tcPr>
          <w:p w14:paraId="6A63EF45" w14:textId="77777777" w:rsidR="00000000" w:rsidRDefault="00405D16">
            <w:pPr>
              <w:spacing w:after="100"/>
              <w:rPr>
                <w:rFonts w:eastAsia="Times New Roman"/>
                <w:sz w:val="20"/>
                <w:szCs w:val="20"/>
              </w:rPr>
            </w:pPr>
          </w:p>
        </w:tc>
        <w:tc>
          <w:tcPr>
            <w:tcW w:w="50" w:type="pct"/>
            <w:vAlign w:val="center"/>
            <w:hideMark/>
          </w:tcPr>
          <w:p w14:paraId="16DF26E6" w14:textId="77777777" w:rsidR="00000000" w:rsidRDefault="00405D16">
            <w:pPr>
              <w:spacing w:after="100"/>
              <w:rPr>
                <w:rFonts w:eastAsia="Times New Roman"/>
                <w:sz w:val="20"/>
                <w:szCs w:val="20"/>
              </w:rPr>
            </w:pPr>
          </w:p>
        </w:tc>
        <w:tc>
          <w:tcPr>
            <w:tcW w:w="559" w:type="pct"/>
            <w:vAlign w:val="center"/>
            <w:hideMark/>
          </w:tcPr>
          <w:p w14:paraId="09E41090" w14:textId="77777777" w:rsidR="00000000" w:rsidRDefault="00405D16">
            <w:pPr>
              <w:spacing w:after="100"/>
              <w:rPr>
                <w:rFonts w:eastAsia="Times New Roman"/>
                <w:sz w:val="20"/>
                <w:szCs w:val="20"/>
              </w:rPr>
            </w:pPr>
          </w:p>
        </w:tc>
        <w:tc>
          <w:tcPr>
            <w:tcW w:w="5" w:type="pct"/>
            <w:vAlign w:val="center"/>
            <w:hideMark/>
          </w:tcPr>
          <w:p w14:paraId="0D5C10F9" w14:textId="77777777" w:rsidR="00000000" w:rsidRDefault="00405D16">
            <w:pPr>
              <w:spacing w:after="100"/>
              <w:rPr>
                <w:rFonts w:eastAsia="Times New Roman"/>
                <w:sz w:val="20"/>
                <w:szCs w:val="20"/>
              </w:rPr>
            </w:pPr>
          </w:p>
        </w:tc>
        <w:tc>
          <w:tcPr>
            <w:tcW w:w="5" w:type="pct"/>
            <w:vAlign w:val="center"/>
            <w:hideMark/>
          </w:tcPr>
          <w:p w14:paraId="2003DDD3" w14:textId="77777777" w:rsidR="00000000" w:rsidRDefault="00405D16">
            <w:pPr>
              <w:spacing w:after="100"/>
              <w:rPr>
                <w:rFonts w:eastAsia="Times New Roman"/>
                <w:sz w:val="20"/>
                <w:szCs w:val="20"/>
              </w:rPr>
            </w:pPr>
          </w:p>
        </w:tc>
        <w:tc>
          <w:tcPr>
            <w:tcW w:w="26" w:type="pct"/>
            <w:vAlign w:val="center"/>
            <w:hideMark/>
          </w:tcPr>
          <w:p w14:paraId="4F61B86D" w14:textId="77777777" w:rsidR="00000000" w:rsidRDefault="00405D16">
            <w:pPr>
              <w:spacing w:after="100"/>
              <w:rPr>
                <w:rFonts w:eastAsia="Times New Roman"/>
                <w:sz w:val="20"/>
                <w:szCs w:val="20"/>
              </w:rPr>
            </w:pPr>
          </w:p>
        </w:tc>
        <w:tc>
          <w:tcPr>
            <w:tcW w:w="5" w:type="pct"/>
            <w:vAlign w:val="center"/>
            <w:hideMark/>
          </w:tcPr>
          <w:p w14:paraId="72ED0017" w14:textId="77777777" w:rsidR="00000000" w:rsidRDefault="00405D16">
            <w:pPr>
              <w:spacing w:after="100"/>
              <w:rPr>
                <w:rFonts w:eastAsia="Times New Roman"/>
                <w:sz w:val="20"/>
                <w:szCs w:val="20"/>
              </w:rPr>
            </w:pPr>
          </w:p>
        </w:tc>
        <w:tc>
          <w:tcPr>
            <w:tcW w:w="50" w:type="pct"/>
            <w:vAlign w:val="center"/>
            <w:hideMark/>
          </w:tcPr>
          <w:p w14:paraId="09297209" w14:textId="77777777" w:rsidR="00000000" w:rsidRDefault="00405D16">
            <w:pPr>
              <w:spacing w:after="100"/>
              <w:rPr>
                <w:rFonts w:eastAsia="Times New Roman"/>
                <w:sz w:val="20"/>
                <w:szCs w:val="20"/>
              </w:rPr>
            </w:pPr>
          </w:p>
        </w:tc>
        <w:tc>
          <w:tcPr>
            <w:tcW w:w="560" w:type="pct"/>
            <w:vAlign w:val="center"/>
            <w:hideMark/>
          </w:tcPr>
          <w:p w14:paraId="16088A87" w14:textId="77777777" w:rsidR="00000000" w:rsidRDefault="00405D16">
            <w:pPr>
              <w:spacing w:after="100"/>
              <w:rPr>
                <w:rFonts w:eastAsia="Times New Roman"/>
                <w:sz w:val="20"/>
                <w:szCs w:val="20"/>
              </w:rPr>
            </w:pPr>
          </w:p>
        </w:tc>
        <w:tc>
          <w:tcPr>
            <w:tcW w:w="5" w:type="pct"/>
            <w:vAlign w:val="center"/>
            <w:hideMark/>
          </w:tcPr>
          <w:p w14:paraId="60B72CEA" w14:textId="77777777" w:rsidR="00000000" w:rsidRDefault="00405D16">
            <w:pPr>
              <w:spacing w:after="100"/>
              <w:rPr>
                <w:rFonts w:eastAsia="Times New Roman"/>
                <w:sz w:val="20"/>
                <w:szCs w:val="20"/>
              </w:rPr>
            </w:pPr>
          </w:p>
        </w:tc>
        <w:tc>
          <w:tcPr>
            <w:tcW w:w="0" w:type="auto"/>
            <w:gridSpan w:val="3"/>
            <w:vAlign w:val="center"/>
            <w:hideMark/>
          </w:tcPr>
          <w:p w14:paraId="6E42FEF9" w14:textId="77777777" w:rsidR="00000000" w:rsidRDefault="00405D16">
            <w:pPr>
              <w:spacing w:after="100"/>
              <w:rPr>
                <w:rFonts w:eastAsia="Times New Roman"/>
                <w:sz w:val="20"/>
                <w:szCs w:val="20"/>
              </w:rPr>
            </w:pPr>
          </w:p>
        </w:tc>
        <w:tc>
          <w:tcPr>
            <w:tcW w:w="0" w:type="auto"/>
            <w:gridSpan w:val="3"/>
            <w:vAlign w:val="center"/>
            <w:hideMark/>
          </w:tcPr>
          <w:p w14:paraId="1B3C7ADD" w14:textId="77777777" w:rsidR="00000000" w:rsidRDefault="00405D16">
            <w:pPr>
              <w:spacing w:after="100"/>
              <w:rPr>
                <w:rFonts w:eastAsia="Times New Roman"/>
                <w:sz w:val="20"/>
                <w:szCs w:val="20"/>
              </w:rPr>
            </w:pPr>
          </w:p>
        </w:tc>
      </w:tr>
      <w:tr w:rsidR="00000000" w14:paraId="257FD0FA" w14:textId="77777777">
        <w:trPr>
          <w:divId w:val="44255570"/>
        </w:trPr>
        <w:tc>
          <w:tcPr>
            <w:tcW w:w="0" w:type="auto"/>
            <w:gridSpan w:val="3"/>
            <w:tcMar>
              <w:top w:w="0" w:type="dxa"/>
              <w:left w:w="20" w:type="dxa"/>
              <w:bottom w:w="0" w:type="dxa"/>
              <w:right w:w="20" w:type="dxa"/>
            </w:tcMar>
            <w:vAlign w:val="center"/>
            <w:hideMark/>
          </w:tcPr>
          <w:p w14:paraId="58AD2721"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5C2F9D4" w14:textId="77777777" w:rsidR="00000000" w:rsidRDefault="00405D16">
            <w:pPr>
              <w:spacing w:after="100"/>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center"/>
            <w:hideMark/>
          </w:tcPr>
          <w:p w14:paraId="23F6EF84" w14:textId="77777777" w:rsidR="00000000" w:rsidRDefault="00405D16">
            <w:pPr>
              <w:spacing w:after="100"/>
              <w:jc w:val="center"/>
              <w:rPr>
                <w:rFonts w:eastAsia="Times New Roman"/>
              </w:rPr>
            </w:pPr>
            <w:r>
              <w:rPr>
                <w:rFonts w:eastAsia="Times New Roman"/>
                <w:b/>
                <w:bCs/>
                <w:color w:val="000000"/>
                <w:sz w:val="16"/>
                <w:szCs w:val="16"/>
              </w:rPr>
              <w:t>Issuances</w:t>
            </w:r>
          </w:p>
        </w:tc>
        <w:tc>
          <w:tcPr>
            <w:tcW w:w="0" w:type="auto"/>
            <w:tcMar>
              <w:top w:w="0" w:type="dxa"/>
              <w:left w:w="20" w:type="dxa"/>
              <w:bottom w:w="0" w:type="dxa"/>
              <w:right w:w="20" w:type="dxa"/>
            </w:tcMar>
            <w:vAlign w:val="center"/>
            <w:hideMark/>
          </w:tcPr>
          <w:p w14:paraId="534F68F4" w14:textId="77777777" w:rsidR="00000000" w:rsidRDefault="00405D16">
            <w:pPr>
              <w:spacing w:after="100"/>
              <w:jc w:val="center"/>
              <w:rPr>
                <w:rFonts w:eastAsia="Times New Roman"/>
              </w:rPr>
            </w:pPr>
          </w:p>
        </w:tc>
        <w:tc>
          <w:tcPr>
            <w:tcW w:w="0" w:type="auto"/>
            <w:gridSpan w:val="7"/>
            <w:tcBorders>
              <w:bottom w:val="single" w:sz="8" w:space="0" w:color="000000"/>
            </w:tcBorders>
            <w:tcMar>
              <w:top w:w="30" w:type="dxa"/>
              <w:left w:w="20" w:type="dxa"/>
              <w:bottom w:w="30" w:type="dxa"/>
              <w:right w:w="20" w:type="dxa"/>
            </w:tcMar>
            <w:vAlign w:val="center"/>
            <w:hideMark/>
          </w:tcPr>
          <w:p w14:paraId="287A35DA" w14:textId="77777777" w:rsidR="00000000" w:rsidRDefault="00405D16">
            <w:pPr>
              <w:spacing w:after="100"/>
              <w:jc w:val="center"/>
              <w:rPr>
                <w:rFonts w:eastAsia="Times New Roman"/>
              </w:rPr>
            </w:pPr>
            <w:r>
              <w:rPr>
                <w:rFonts w:eastAsia="Times New Roman"/>
                <w:b/>
                <w:bCs/>
                <w:color w:val="000000"/>
                <w:sz w:val="16"/>
                <w:szCs w:val="16"/>
              </w:rPr>
              <w:t>Maturities/Redemptions</w:t>
            </w:r>
          </w:p>
        </w:tc>
        <w:tc>
          <w:tcPr>
            <w:tcW w:w="0" w:type="auto"/>
            <w:vAlign w:val="center"/>
            <w:hideMark/>
          </w:tcPr>
          <w:p w14:paraId="7370C488" w14:textId="77777777" w:rsidR="00000000" w:rsidRDefault="00405D16">
            <w:pPr>
              <w:spacing w:after="100"/>
              <w:rPr>
                <w:rFonts w:eastAsia="Times New Roman"/>
                <w:sz w:val="20"/>
                <w:szCs w:val="20"/>
              </w:rPr>
            </w:pPr>
          </w:p>
        </w:tc>
        <w:tc>
          <w:tcPr>
            <w:tcW w:w="0" w:type="auto"/>
            <w:vAlign w:val="center"/>
            <w:hideMark/>
          </w:tcPr>
          <w:p w14:paraId="48309B87" w14:textId="77777777" w:rsidR="00000000" w:rsidRDefault="00405D16">
            <w:pPr>
              <w:spacing w:after="100"/>
              <w:rPr>
                <w:rFonts w:eastAsia="Times New Roman"/>
                <w:sz w:val="20"/>
                <w:szCs w:val="20"/>
              </w:rPr>
            </w:pPr>
          </w:p>
        </w:tc>
        <w:tc>
          <w:tcPr>
            <w:tcW w:w="0" w:type="auto"/>
            <w:vAlign w:val="center"/>
            <w:hideMark/>
          </w:tcPr>
          <w:p w14:paraId="0BCB6948" w14:textId="77777777" w:rsidR="00000000" w:rsidRDefault="00405D16">
            <w:pPr>
              <w:spacing w:after="100"/>
              <w:rPr>
                <w:rFonts w:eastAsia="Times New Roman"/>
                <w:sz w:val="20"/>
                <w:szCs w:val="20"/>
              </w:rPr>
            </w:pPr>
          </w:p>
        </w:tc>
        <w:tc>
          <w:tcPr>
            <w:tcW w:w="0" w:type="auto"/>
            <w:vAlign w:val="center"/>
            <w:hideMark/>
          </w:tcPr>
          <w:p w14:paraId="15929D77" w14:textId="77777777" w:rsidR="00000000" w:rsidRDefault="00405D16">
            <w:pPr>
              <w:spacing w:after="100"/>
              <w:rPr>
                <w:rFonts w:eastAsia="Times New Roman"/>
                <w:sz w:val="20"/>
                <w:szCs w:val="20"/>
              </w:rPr>
            </w:pPr>
          </w:p>
        </w:tc>
        <w:tc>
          <w:tcPr>
            <w:tcW w:w="0" w:type="auto"/>
            <w:vAlign w:val="center"/>
            <w:hideMark/>
          </w:tcPr>
          <w:p w14:paraId="34AF9B73" w14:textId="77777777" w:rsidR="00000000" w:rsidRDefault="00405D16">
            <w:pPr>
              <w:spacing w:after="100"/>
              <w:rPr>
                <w:rFonts w:eastAsia="Times New Roman"/>
                <w:sz w:val="20"/>
                <w:szCs w:val="20"/>
              </w:rPr>
            </w:pPr>
          </w:p>
        </w:tc>
        <w:tc>
          <w:tcPr>
            <w:tcW w:w="0" w:type="auto"/>
            <w:vAlign w:val="center"/>
            <w:hideMark/>
          </w:tcPr>
          <w:p w14:paraId="4FEB4D9D" w14:textId="77777777" w:rsidR="00000000" w:rsidRDefault="00405D16">
            <w:pPr>
              <w:spacing w:after="100"/>
              <w:rPr>
                <w:rFonts w:eastAsia="Times New Roman"/>
                <w:sz w:val="20"/>
                <w:szCs w:val="20"/>
              </w:rPr>
            </w:pPr>
          </w:p>
        </w:tc>
        <w:tc>
          <w:tcPr>
            <w:tcW w:w="0" w:type="auto"/>
            <w:vAlign w:val="center"/>
            <w:hideMark/>
          </w:tcPr>
          <w:p w14:paraId="110D5AC7" w14:textId="77777777" w:rsidR="00000000" w:rsidRDefault="00405D16">
            <w:pPr>
              <w:spacing w:after="100"/>
              <w:rPr>
                <w:rFonts w:eastAsia="Times New Roman"/>
                <w:sz w:val="20"/>
                <w:szCs w:val="20"/>
              </w:rPr>
            </w:pPr>
          </w:p>
        </w:tc>
        <w:tc>
          <w:tcPr>
            <w:tcW w:w="0" w:type="auto"/>
            <w:vAlign w:val="center"/>
            <w:hideMark/>
          </w:tcPr>
          <w:p w14:paraId="4860367F" w14:textId="77777777" w:rsidR="00000000" w:rsidRDefault="00405D16">
            <w:pPr>
              <w:spacing w:after="100"/>
              <w:rPr>
                <w:rFonts w:eastAsia="Times New Roman"/>
                <w:sz w:val="20"/>
                <w:szCs w:val="20"/>
              </w:rPr>
            </w:pPr>
          </w:p>
        </w:tc>
        <w:tc>
          <w:tcPr>
            <w:tcW w:w="0" w:type="auto"/>
            <w:vAlign w:val="center"/>
            <w:hideMark/>
          </w:tcPr>
          <w:p w14:paraId="2E177470" w14:textId="77777777" w:rsidR="00000000" w:rsidRDefault="00405D16">
            <w:pPr>
              <w:spacing w:after="100"/>
              <w:rPr>
                <w:rFonts w:eastAsia="Times New Roman"/>
                <w:sz w:val="20"/>
                <w:szCs w:val="20"/>
              </w:rPr>
            </w:pPr>
          </w:p>
        </w:tc>
        <w:tc>
          <w:tcPr>
            <w:tcW w:w="0" w:type="auto"/>
            <w:vAlign w:val="center"/>
            <w:hideMark/>
          </w:tcPr>
          <w:p w14:paraId="54DABF68" w14:textId="77777777" w:rsidR="00000000" w:rsidRDefault="00405D16">
            <w:pPr>
              <w:spacing w:after="100"/>
              <w:rPr>
                <w:rFonts w:eastAsia="Times New Roman"/>
                <w:sz w:val="20"/>
                <w:szCs w:val="20"/>
              </w:rPr>
            </w:pPr>
          </w:p>
        </w:tc>
        <w:tc>
          <w:tcPr>
            <w:tcW w:w="0" w:type="auto"/>
            <w:vAlign w:val="center"/>
            <w:hideMark/>
          </w:tcPr>
          <w:p w14:paraId="66EDE700" w14:textId="77777777" w:rsidR="00000000" w:rsidRDefault="00405D16">
            <w:pPr>
              <w:spacing w:after="100"/>
              <w:rPr>
                <w:rFonts w:eastAsia="Times New Roman"/>
                <w:sz w:val="20"/>
                <w:szCs w:val="20"/>
              </w:rPr>
            </w:pPr>
          </w:p>
        </w:tc>
        <w:tc>
          <w:tcPr>
            <w:tcW w:w="0" w:type="auto"/>
            <w:vAlign w:val="center"/>
            <w:hideMark/>
          </w:tcPr>
          <w:p w14:paraId="4FC3CC42" w14:textId="77777777" w:rsidR="00000000" w:rsidRDefault="00405D16">
            <w:pPr>
              <w:spacing w:after="100"/>
              <w:rPr>
                <w:rFonts w:eastAsia="Times New Roman"/>
                <w:sz w:val="20"/>
                <w:szCs w:val="20"/>
              </w:rPr>
            </w:pPr>
          </w:p>
        </w:tc>
      </w:tr>
      <w:tr w:rsidR="00000000" w14:paraId="0AC535D5" w14:textId="77777777">
        <w:trPr>
          <w:divId w:val="44255570"/>
        </w:trPr>
        <w:tc>
          <w:tcPr>
            <w:tcW w:w="0" w:type="auto"/>
            <w:gridSpan w:val="3"/>
            <w:tcMar>
              <w:top w:w="0" w:type="dxa"/>
              <w:left w:w="20" w:type="dxa"/>
              <w:bottom w:w="0" w:type="dxa"/>
              <w:right w:w="20" w:type="dxa"/>
            </w:tcMar>
            <w:vAlign w:val="center"/>
            <w:hideMark/>
          </w:tcPr>
          <w:p w14:paraId="3380C7DC" w14:textId="77777777" w:rsidR="00000000" w:rsidRDefault="00405D1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E800FDF" w14:textId="77777777" w:rsidR="00000000" w:rsidRDefault="00405D16">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center"/>
            <w:hideMark/>
          </w:tcPr>
          <w:p w14:paraId="41EDCCC2" w14:textId="77777777" w:rsidR="00000000" w:rsidRDefault="00405D16">
            <w:pPr>
              <w:spacing w:after="100"/>
              <w:jc w:val="center"/>
              <w:rPr>
                <w:rFonts w:eastAsia="Times New Roman"/>
              </w:rPr>
            </w:pPr>
            <w:r>
              <w:rPr>
                <w:rFonts w:eastAsia="Times New Roman"/>
                <w:b/>
                <w:bCs/>
                <w:color w:val="000000"/>
                <w:sz w:val="16"/>
                <w:szCs w:val="16"/>
              </w:rPr>
              <w:t>Nine Months Ended September 30,</w:t>
            </w:r>
          </w:p>
        </w:tc>
        <w:tc>
          <w:tcPr>
            <w:tcW w:w="0" w:type="auto"/>
            <w:tcMar>
              <w:top w:w="0" w:type="dxa"/>
              <w:left w:w="20" w:type="dxa"/>
              <w:bottom w:w="0" w:type="dxa"/>
              <w:right w:w="20" w:type="dxa"/>
            </w:tcMar>
            <w:vAlign w:val="center"/>
            <w:hideMark/>
          </w:tcPr>
          <w:p w14:paraId="5AD4F3EF" w14:textId="77777777" w:rsidR="00000000" w:rsidRDefault="00405D16">
            <w:pPr>
              <w:spacing w:after="100"/>
              <w:jc w:val="center"/>
              <w:rPr>
                <w:rFonts w:eastAsia="Times New Roman"/>
              </w:rPr>
            </w:pPr>
          </w:p>
        </w:tc>
        <w:tc>
          <w:tcPr>
            <w:tcW w:w="0" w:type="auto"/>
            <w:gridSpan w:val="7"/>
            <w:tcBorders>
              <w:top w:val="single" w:sz="8" w:space="0" w:color="000000"/>
            </w:tcBorders>
            <w:tcMar>
              <w:top w:w="30" w:type="dxa"/>
              <w:left w:w="20" w:type="dxa"/>
              <w:bottom w:w="30" w:type="dxa"/>
              <w:right w:w="20" w:type="dxa"/>
            </w:tcMar>
            <w:vAlign w:val="center"/>
            <w:hideMark/>
          </w:tcPr>
          <w:p w14:paraId="369F0046" w14:textId="77777777" w:rsidR="00000000" w:rsidRDefault="00405D16">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0CDA5F37" w14:textId="77777777" w:rsidR="00000000" w:rsidRDefault="00405D16">
            <w:pPr>
              <w:spacing w:after="100"/>
              <w:rPr>
                <w:rFonts w:eastAsia="Times New Roman"/>
                <w:sz w:val="20"/>
                <w:szCs w:val="20"/>
              </w:rPr>
            </w:pPr>
          </w:p>
        </w:tc>
        <w:tc>
          <w:tcPr>
            <w:tcW w:w="0" w:type="auto"/>
            <w:vAlign w:val="center"/>
            <w:hideMark/>
          </w:tcPr>
          <w:p w14:paraId="30837608" w14:textId="77777777" w:rsidR="00000000" w:rsidRDefault="00405D16">
            <w:pPr>
              <w:spacing w:after="100"/>
              <w:rPr>
                <w:rFonts w:eastAsia="Times New Roman"/>
                <w:sz w:val="20"/>
                <w:szCs w:val="20"/>
              </w:rPr>
            </w:pPr>
          </w:p>
        </w:tc>
        <w:tc>
          <w:tcPr>
            <w:tcW w:w="0" w:type="auto"/>
            <w:vAlign w:val="center"/>
            <w:hideMark/>
          </w:tcPr>
          <w:p w14:paraId="3E53DB76" w14:textId="77777777" w:rsidR="00000000" w:rsidRDefault="00405D16">
            <w:pPr>
              <w:spacing w:after="100"/>
              <w:rPr>
                <w:rFonts w:eastAsia="Times New Roman"/>
                <w:sz w:val="20"/>
                <w:szCs w:val="20"/>
              </w:rPr>
            </w:pPr>
          </w:p>
        </w:tc>
        <w:tc>
          <w:tcPr>
            <w:tcW w:w="0" w:type="auto"/>
            <w:vAlign w:val="center"/>
            <w:hideMark/>
          </w:tcPr>
          <w:p w14:paraId="32170D71" w14:textId="77777777" w:rsidR="00000000" w:rsidRDefault="00405D16">
            <w:pPr>
              <w:spacing w:after="100"/>
              <w:rPr>
                <w:rFonts w:eastAsia="Times New Roman"/>
                <w:sz w:val="20"/>
                <w:szCs w:val="20"/>
              </w:rPr>
            </w:pPr>
          </w:p>
        </w:tc>
        <w:tc>
          <w:tcPr>
            <w:tcW w:w="0" w:type="auto"/>
            <w:vAlign w:val="center"/>
            <w:hideMark/>
          </w:tcPr>
          <w:p w14:paraId="396B7E25" w14:textId="77777777" w:rsidR="00000000" w:rsidRDefault="00405D16">
            <w:pPr>
              <w:spacing w:after="100"/>
              <w:rPr>
                <w:rFonts w:eastAsia="Times New Roman"/>
                <w:sz w:val="20"/>
                <w:szCs w:val="20"/>
              </w:rPr>
            </w:pPr>
          </w:p>
        </w:tc>
        <w:tc>
          <w:tcPr>
            <w:tcW w:w="0" w:type="auto"/>
            <w:vAlign w:val="center"/>
            <w:hideMark/>
          </w:tcPr>
          <w:p w14:paraId="6BD31FF7" w14:textId="77777777" w:rsidR="00000000" w:rsidRDefault="00405D16">
            <w:pPr>
              <w:spacing w:after="100"/>
              <w:rPr>
                <w:rFonts w:eastAsia="Times New Roman"/>
                <w:sz w:val="20"/>
                <w:szCs w:val="20"/>
              </w:rPr>
            </w:pPr>
          </w:p>
        </w:tc>
        <w:tc>
          <w:tcPr>
            <w:tcW w:w="0" w:type="auto"/>
            <w:vAlign w:val="center"/>
            <w:hideMark/>
          </w:tcPr>
          <w:p w14:paraId="1D7E2E5C" w14:textId="77777777" w:rsidR="00000000" w:rsidRDefault="00405D16">
            <w:pPr>
              <w:spacing w:after="100"/>
              <w:rPr>
                <w:rFonts w:eastAsia="Times New Roman"/>
                <w:sz w:val="20"/>
                <w:szCs w:val="20"/>
              </w:rPr>
            </w:pPr>
          </w:p>
        </w:tc>
        <w:tc>
          <w:tcPr>
            <w:tcW w:w="0" w:type="auto"/>
            <w:vAlign w:val="center"/>
            <w:hideMark/>
          </w:tcPr>
          <w:p w14:paraId="0CC53AFE" w14:textId="77777777" w:rsidR="00000000" w:rsidRDefault="00405D16">
            <w:pPr>
              <w:spacing w:after="100"/>
              <w:rPr>
                <w:rFonts w:eastAsia="Times New Roman"/>
                <w:sz w:val="20"/>
                <w:szCs w:val="20"/>
              </w:rPr>
            </w:pPr>
          </w:p>
        </w:tc>
        <w:tc>
          <w:tcPr>
            <w:tcW w:w="0" w:type="auto"/>
            <w:vAlign w:val="center"/>
            <w:hideMark/>
          </w:tcPr>
          <w:p w14:paraId="0574E543" w14:textId="77777777" w:rsidR="00000000" w:rsidRDefault="00405D16">
            <w:pPr>
              <w:spacing w:after="100"/>
              <w:rPr>
                <w:rFonts w:eastAsia="Times New Roman"/>
                <w:sz w:val="20"/>
                <w:szCs w:val="20"/>
              </w:rPr>
            </w:pPr>
          </w:p>
        </w:tc>
        <w:tc>
          <w:tcPr>
            <w:tcW w:w="0" w:type="auto"/>
            <w:vAlign w:val="center"/>
            <w:hideMark/>
          </w:tcPr>
          <w:p w14:paraId="708BFDA6" w14:textId="77777777" w:rsidR="00000000" w:rsidRDefault="00405D16">
            <w:pPr>
              <w:spacing w:after="100"/>
              <w:rPr>
                <w:rFonts w:eastAsia="Times New Roman"/>
                <w:sz w:val="20"/>
                <w:szCs w:val="20"/>
              </w:rPr>
            </w:pPr>
          </w:p>
        </w:tc>
        <w:tc>
          <w:tcPr>
            <w:tcW w:w="0" w:type="auto"/>
            <w:vAlign w:val="center"/>
            <w:hideMark/>
          </w:tcPr>
          <w:p w14:paraId="458EBFFE" w14:textId="77777777" w:rsidR="00000000" w:rsidRDefault="00405D16">
            <w:pPr>
              <w:spacing w:after="100"/>
              <w:rPr>
                <w:rFonts w:eastAsia="Times New Roman"/>
                <w:sz w:val="20"/>
                <w:szCs w:val="20"/>
              </w:rPr>
            </w:pPr>
          </w:p>
        </w:tc>
        <w:tc>
          <w:tcPr>
            <w:tcW w:w="0" w:type="auto"/>
            <w:vAlign w:val="center"/>
            <w:hideMark/>
          </w:tcPr>
          <w:p w14:paraId="10684253" w14:textId="77777777" w:rsidR="00000000" w:rsidRDefault="00405D16">
            <w:pPr>
              <w:spacing w:after="100"/>
              <w:rPr>
                <w:rFonts w:eastAsia="Times New Roman"/>
                <w:sz w:val="20"/>
                <w:szCs w:val="20"/>
              </w:rPr>
            </w:pPr>
          </w:p>
        </w:tc>
      </w:tr>
      <w:tr w:rsidR="00000000" w14:paraId="663464C7" w14:textId="77777777">
        <w:trPr>
          <w:divId w:val="44255570"/>
        </w:trPr>
        <w:tc>
          <w:tcPr>
            <w:tcW w:w="0" w:type="auto"/>
            <w:gridSpan w:val="3"/>
            <w:tcBorders>
              <w:bottom w:val="single" w:sz="8" w:space="0" w:color="000000"/>
            </w:tcBorders>
            <w:tcMar>
              <w:top w:w="30" w:type="dxa"/>
              <w:left w:w="20" w:type="dxa"/>
              <w:bottom w:w="30" w:type="dxa"/>
              <w:right w:w="20" w:type="dxa"/>
            </w:tcMar>
            <w:vAlign w:val="bottom"/>
            <w:hideMark/>
          </w:tcPr>
          <w:p w14:paraId="4AAEF163"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346F47F8" w14:textId="77777777" w:rsidR="00000000" w:rsidRDefault="00405D16">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14:paraId="2C28C93D"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33BD0253" w14:textId="77777777" w:rsidR="00000000" w:rsidRDefault="00405D1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14:paraId="750F09D5"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vAlign w:val="center"/>
            <w:hideMark/>
          </w:tcPr>
          <w:p w14:paraId="5CF92EDB" w14:textId="77777777" w:rsidR="00000000" w:rsidRDefault="00405D16">
            <w:pPr>
              <w:spacing w:after="100"/>
              <w:jc w:val="center"/>
              <w:rPr>
                <w:rFonts w:eastAsia="Times New Roman"/>
              </w:rPr>
            </w:pPr>
          </w:p>
        </w:tc>
        <w:tc>
          <w:tcPr>
            <w:tcW w:w="0" w:type="auto"/>
            <w:vAlign w:val="center"/>
            <w:hideMark/>
          </w:tcPr>
          <w:p w14:paraId="5E8778C6"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E312F61" w14:textId="77777777" w:rsidR="00000000" w:rsidRDefault="00405D16">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14:paraId="0FF361DA"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06FD91DC" w14:textId="77777777" w:rsidR="00000000" w:rsidRDefault="00405D1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14:paraId="48D15819"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gridSpan w:val="3"/>
            <w:vAlign w:val="center"/>
            <w:hideMark/>
          </w:tcPr>
          <w:p w14:paraId="222D933F" w14:textId="77777777" w:rsidR="00000000" w:rsidRDefault="00405D16">
            <w:pPr>
              <w:spacing w:after="100"/>
              <w:jc w:val="center"/>
              <w:rPr>
                <w:rFonts w:eastAsia="Times New Roman"/>
              </w:rPr>
            </w:pPr>
          </w:p>
        </w:tc>
        <w:tc>
          <w:tcPr>
            <w:tcW w:w="0" w:type="auto"/>
            <w:gridSpan w:val="3"/>
            <w:vAlign w:val="center"/>
            <w:hideMark/>
          </w:tcPr>
          <w:p w14:paraId="49769B66" w14:textId="77777777" w:rsidR="00000000" w:rsidRDefault="00405D16">
            <w:pPr>
              <w:spacing w:after="100"/>
              <w:rPr>
                <w:rFonts w:eastAsia="Times New Roman"/>
                <w:sz w:val="20"/>
                <w:szCs w:val="20"/>
              </w:rPr>
            </w:pPr>
          </w:p>
        </w:tc>
      </w:tr>
      <w:tr w:rsidR="00000000" w14:paraId="3BDCC63E" w14:textId="77777777">
        <w:trPr>
          <w:divId w:val="4425557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30B2680" w14:textId="77777777" w:rsidR="00000000" w:rsidRDefault="00405D16">
            <w:pPr>
              <w:spacing w:after="100"/>
              <w:rPr>
                <w:rFonts w:eastAsia="Times New Roman"/>
              </w:rPr>
            </w:pPr>
            <w:r>
              <w:rPr>
                <w:rFonts w:eastAsia="Times New Roman"/>
                <w:color w:val="000000"/>
                <w:sz w:val="18"/>
                <w:szCs w:val="18"/>
              </w:rPr>
              <w:t>Securitized debt obligations</w:t>
            </w:r>
          </w:p>
        </w:tc>
        <w:tc>
          <w:tcPr>
            <w:tcW w:w="0" w:type="auto"/>
            <w:gridSpan w:val="3"/>
            <w:shd w:val="clear" w:color="auto" w:fill="CCEEFF"/>
            <w:tcMar>
              <w:top w:w="0" w:type="dxa"/>
              <w:left w:w="20" w:type="dxa"/>
              <w:bottom w:w="0" w:type="dxa"/>
              <w:right w:w="20" w:type="dxa"/>
            </w:tcMar>
            <w:vAlign w:val="center"/>
            <w:hideMark/>
          </w:tcPr>
          <w:p w14:paraId="5DD0A7CF"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8C28998"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A254B15" w14:textId="77777777" w:rsidR="00000000" w:rsidRDefault="00405D16">
            <w:pPr>
              <w:spacing w:after="100"/>
              <w:jc w:val="right"/>
              <w:rPr>
                <w:rFonts w:eastAsia="Times New Roman"/>
              </w:rPr>
            </w:pPr>
            <w:r>
              <w:rPr>
                <w:rFonts w:eastAsia="Times New Roman"/>
                <w:b/>
                <w:bCs/>
                <w:color w:val="000000"/>
                <w:sz w:val="18"/>
                <w:szCs w:val="18"/>
              </w:rPr>
              <w:t>3,000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3BE4DA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B6D904"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FB028E6"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41DCD1C" w14:textId="77777777" w:rsidR="00000000" w:rsidRDefault="00405D16">
            <w:pPr>
              <w:spacing w:after="100"/>
              <w:jc w:val="right"/>
              <w:rPr>
                <w:rFonts w:eastAsia="Times New Roman"/>
              </w:rPr>
            </w:pPr>
            <w:r>
              <w:rPr>
                <w:rFonts w:eastAsia="Times New Roman"/>
                <w:color w:val="000000"/>
                <w:sz w:val="18"/>
                <w:szCs w:val="18"/>
              </w:rPr>
              <w:t>1,250 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6525E92" w14:textId="77777777" w:rsidR="00000000" w:rsidRDefault="00405D16">
            <w:pPr>
              <w:spacing w:after="100"/>
              <w:jc w:val="right"/>
              <w:rPr>
                <w:rFonts w:eastAsia="Times New Roman"/>
              </w:rPr>
            </w:pPr>
          </w:p>
        </w:tc>
        <w:tc>
          <w:tcPr>
            <w:tcW w:w="0" w:type="auto"/>
            <w:vAlign w:val="center"/>
            <w:hideMark/>
          </w:tcPr>
          <w:p w14:paraId="3102F81B" w14:textId="77777777" w:rsidR="00000000" w:rsidRDefault="00405D16">
            <w:pPr>
              <w:spacing w:after="100"/>
              <w:jc w:val="right"/>
              <w:rPr>
                <w:rFonts w:eastAsia="Times New Roman"/>
                <w:sz w:val="20"/>
                <w:szCs w:val="20"/>
              </w:rPr>
            </w:pPr>
          </w:p>
        </w:tc>
        <w:tc>
          <w:tcPr>
            <w:tcW w:w="0" w:type="auto"/>
            <w:vAlign w:val="center"/>
            <w:hideMark/>
          </w:tcPr>
          <w:p w14:paraId="59F5015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4074A4" w14:textId="77777777" w:rsidR="00000000" w:rsidRDefault="00405D16">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EC786DA"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78D39C6" w14:textId="77777777" w:rsidR="00000000" w:rsidRDefault="00405D16">
            <w:pPr>
              <w:spacing w:after="100"/>
              <w:jc w:val="right"/>
              <w:rPr>
                <w:rFonts w:eastAsia="Times New Roman"/>
              </w:rPr>
            </w:pPr>
            <w:r>
              <w:rPr>
                <w:rFonts w:eastAsia="Times New Roman"/>
                <w:b/>
                <w:bCs/>
                <w:color w:val="000000"/>
                <w:sz w:val="18"/>
                <w:szCs w:val="18"/>
              </w:rPr>
              <w:t>2,638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FEE666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DA5E0B"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F56BEDD"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DE4E94C" w14:textId="77777777" w:rsidR="00000000" w:rsidRDefault="00405D16">
            <w:pPr>
              <w:spacing w:after="100"/>
              <w:jc w:val="right"/>
              <w:rPr>
                <w:rFonts w:eastAsia="Times New Roman"/>
              </w:rPr>
            </w:pPr>
            <w:r>
              <w:rPr>
                <w:rFonts w:eastAsia="Times New Roman"/>
                <w:color w:val="000000"/>
                <w:sz w:val="18"/>
                <w:szCs w:val="18"/>
              </w:rPr>
              <w:t>5,752 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1D6C740" w14:textId="77777777" w:rsidR="00000000" w:rsidRDefault="00405D16">
            <w:pPr>
              <w:spacing w:after="100"/>
              <w:jc w:val="right"/>
              <w:rPr>
                <w:rFonts w:eastAsia="Times New Roman"/>
              </w:rPr>
            </w:pPr>
          </w:p>
        </w:tc>
        <w:tc>
          <w:tcPr>
            <w:tcW w:w="0" w:type="auto"/>
            <w:gridSpan w:val="3"/>
            <w:vAlign w:val="center"/>
            <w:hideMark/>
          </w:tcPr>
          <w:p w14:paraId="47A6B665" w14:textId="77777777" w:rsidR="00000000" w:rsidRDefault="00405D16">
            <w:pPr>
              <w:spacing w:after="100"/>
              <w:jc w:val="right"/>
              <w:rPr>
                <w:rFonts w:eastAsia="Times New Roman"/>
                <w:sz w:val="20"/>
                <w:szCs w:val="20"/>
              </w:rPr>
            </w:pPr>
          </w:p>
        </w:tc>
        <w:tc>
          <w:tcPr>
            <w:tcW w:w="0" w:type="auto"/>
            <w:gridSpan w:val="3"/>
            <w:vAlign w:val="center"/>
            <w:hideMark/>
          </w:tcPr>
          <w:p w14:paraId="61B019DB" w14:textId="77777777" w:rsidR="00000000" w:rsidRDefault="00405D16">
            <w:pPr>
              <w:spacing w:after="100"/>
              <w:rPr>
                <w:rFonts w:eastAsia="Times New Roman"/>
                <w:sz w:val="20"/>
                <w:szCs w:val="20"/>
              </w:rPr>
            </w:pPr>
          </w:p>
        </w:tc>
      </w:tr>
      <w:tr w:rsidR="00000000" w14:paraId="190CE5A2" w14:textId="77777777">
        <w:trPr>
          <w:divId w:val="44255570"/>
        </w:trPr>
        <w:tc>
          <w:tcPr>
            <w:tcW w:w="0" w:type="auto"/>
            <w:gridSpan w:val="3"/>
            <w:shd w:val="clear" w:color="auto" w:fill="FFFFFF"/>
            <w:tcMar>
              <w:top w:w="30" w:type="dxa"/>
              <w:left w:w="20" w:type="dxa"/>
              <w:bottom w:w="30" w:type="dxa"/>
              <w:right w:w="20" w:type="dxa"/>
            </w:tcMar>
            <w:vAlign w:val="center"/>
            <w:hideMark/>
          </w:tcPr>
          <w:p w14:paraId="1FAE10A4" w14:textId="77777777" w:rsidR="00000000" w:rsidRDefault="00405D16">
            <w:pPr>
              <w:spacing w:after="100"/>
              <w:rPr>
                <w:rFonts w:eastAsia="Times New Roman"/>
              </w:rPr>
            </w:pPr>
            <w:r>
              <w:rPr>
                <w:rFonts w:eastAsia="Times New Roman"/>
                <w:color w:val="000000"/>
                <w:sz w:val="18"/>
                <w:szCs w:val="18"/>
              </w:rPr>
              <w:t>Senior and subordinated notes</w:t>
            </w:r>
          </w:p>
        </w:tc>
        <w:tc>
          <w:tcPr>
            <w:tcW w:w="0" w:type="auto"/>
            <w:gridSpan w:val="3"/>
            <w:shd w:val="clear" w:color="auto" w:fill="FFFFFF"/>
            <w:tcMar>
              <w:top w:w="0" w:type="dxa"/>
              <w:left w:w="20" w:type="dxa"/>
              <w:bottom w:w="0" w:type="dxa"/>
              <w:right w:w="20" w:type="dxa"/>
            </w:tcMar>
            <w:vAlign w:val="center"/>
            <w:hideMark/>
          </w:tcPr>
          <w:p w14:paraId="73C12E6E"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51F1D68" w14:textId="77777777" w:rsidR="00000000" w:rsidRDefault="00405D16">
            <w:pPr>
              <w:spacing w:after="100"/>
              <w:jc w:val="right"/>
              <w:rPr>
                <w:rFonts w:eastAsia="Times New Roman"/>
              </w:rPr>
            </w:pPr>
            <w:r>
              <w:rPr>
                <w:rFonts w:eastAsia="Times New Roman"/>
                <w:b/>
                <w:bCs/>
                <w:color w:val="000000"/>
                <w:sz w:val="18"/>
                <w:szCs w:val="18"/>
              </w:rPr>
              <w:t>1,000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5B80AE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871DE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A921208" w14:textId="77777777" w:rsidR="00000000" w:rsidRDefault="00405D16">
            <w:pPr>
              <w:spacing w:after="100"/>
              <w:jc w:val="right"/>
              <w:rPr>
                <w:rFonts w:eastAsia="Times New Roman"/>
              </w:rPr>
            </w:pPr>
            <w:r>
              <w:rPr>
                <w:rFonts w:eastAsia="Times New Roman"/>
                <w:color w:val="000000"/>
                <w:sz w:val="18"/>
                <w:szCs w:val="18"/>
              </w:rPr>
              <w:t>4,000 </w:t>
            </w:r>
          </w:p>
        </w:tc>
        <w:tc>
          <w:tcPr>
            <w:tcW w:w="0" w:type="auto"/>
            <w:shd w:val="clear" w:color="auto" w:fill="FFFFFF"/>
            <w:tcMar>
              <w:top w:w="30" w:type="dxa"/>
              <w:left w:w="0" w:type="dxa"/>
              <w:bottom w:w="30" w:type="dxa"/>
              <w:right w:w="20" w:type="dxa"/>
            </w:tcMar>
            <w:vAlign w:val="center"/>
            <w:hideMark/>
          </w:tcPr>
          <w:p w14:paraId="50CAC02E" w14:textId="77777777" w:rsidR="00000000" w:rsidRDefault="00405D16">
            <w:pPr>
              <w:spacing w:after="100"/>
              <w:jc w:val="right"/>
              <w:rPr>
                <w:rFonts w:eastAsia="Times New Roman"/>
              </w:rPr>
            </w:pPr>
          </w:p>
        </w:tc>
        <w:tc>
          <w:tcPr>
            <w:tcW w:w="0" w:type="auto"/>
            <w:vAlign w:val="center"/>
            <w:hideMark/>
          </w:tcPr>
          <w:p w14:paraId="0D3B878B" w14:textId="77777777" w:rsidR="00000000" w:rsidRDefault="00405D16">
            <w:pPr>
              <w:spacing w:after="100"/>
              <w:jc w:val="right"/>
              <w:rPr>
                <w:rFonts w:eastAsia="Times New Roman"/>
                <w:sz w:val="20"/>
                <w:szCs w:val="20"/>
              </w:rPr>
            </w:pPr>
          </w:p>
        </w:tc>
        <w:tc>
          <w:tcPr>
            <w:tcW w:w="0" w:type="auto"/>
            <w:vAlign w:val="center"/>
            <w:hideMark/>
          </w:tcPr>
          <w:p w14:paraId="3FCBA96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2DA577"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93174B1" w14:textId="77777777" w:rsidR="00000000" w:rsidRDefault="00405D16">
            <w:pPr>
              <w:spacing w:after="100"/>
              <w:jc w:val="right"/>
              <w:rPr>
                <w:rFonts w:eastAsia="Times New Roman"/>
              </w:rPr>
            </w:pPr>
            <w:r>
              <w:rPr>
                <w:rFonts w:eastAsia="Times New Roman"/>
                <w:b/>
                <w:bCs/>
                <w:color w:val="000000"/>
                <w:sz w:val="18"/>
                <w:szCs w:val="18"/>
              </w:rPr>
              <w:t>3,851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9564F1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251D4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DE222D6" w14:textId="77777777" w:rsidR="00000000" w:rsidRDefault="00405D16">
            <w:pPr>
              <w:spacing w:after="100"/>
              <w:jc w:val="right"/>
              <w:rPr>
                <w:rFonts w:eastAsia="Times New Roman"/>
              </w:rPr>
            </w:pPr>
            <w:r>
              <w:rPr>
                <w:rFonts w:eastAsia="Times New Roman"/>
                <w:color w:val="000000"/>
                <w:sz w:val="18"/>
                <w:szCs w:val="18"/>
              </w:rPr>
              <w:t>7,092 </w:t>
            </w:r>
          </w:p>
        </w:tc>
        <w:tc>
          <w:tcPr>
            <w:tcW w:w="0" w:type="auto"/>
            <w:shd w:val="clear" w:color="auto" w:fill="FFFFFF"/>
            <w:tcMar>
              <w:top w:w="30" w:type="dxa"/>
              <w:left w:w="0" w:type="dxa"/>
              <w:bottom w:w="30" w:type="dxa"/>
              <w:right w:w="20" w:type="dxa"/>
            </w:tcMar>
            <w:vAlign w:val="center"/>
            <w:hideMark/>
          </w:tcPr>
          <w:p w14:paraId="075F3BFF" w14:textId="77777777" w:rsidR="00000000" w:rsidRDefault="00405D16">
            <w:pPr>
              <w:spacing w:after="100"/>
              <w:jc w:val="right"/>
              <w:rPr>
                <w:rFonts w:eastAsia="Times New Roman"/>
              </w:rPr>
            </w:pPr>
          </w:p>
        </w:tc>
        <w:tc>
          <w:tcPr>
            <w:tcW w:w="0" w:type="auto"/>
            <w:gridSpan w:val="3"/>
            <w:vAlign w:val="center"/>
            <w:hideMark/>
          </w:tcPr>
          <w:p w14:paraId="6B8D475A" w14:textId="77777777" w:rsidR="00000000" w:rsidRDefault="00405D16">
            <w:pPr>
              <w:spacing w:after="100"/>
              <w:jc w:val="right"/>
              <w:rPr>
                <w:rFonts w:eastAsia="Times New Roman"/>
                <w:sz w:val="20"/>
                <w:szCs w:val="20"/>
              </w:rPr>
            </w:pPr>
          </w:p>
        </w:tc>
        <w:tc>
          <w:tcPr>
            <w:tcW w:w="0" w:type="auto"/>
            <w:gridSpan w:val="3"/>
            <w:vAlign w:val="center"/>
            <w:hideMark/>
          </w:tcPr>
          <w:p w14:paraId="25F73DDC" w14:textId="77777777" w:rsidR="00000000" w:rsidRDefault="00405D16">
            <w:pPr>
              <w:spacing w:after="100"/>
              <w:rPr>
                <w:rFonts w:eastAsia="Times New Roman"/>
                <w:sz w:val="20"/>
                <w:szCs w:val="20"/>
              </w:rPr>
            </w:pPr>
          </w:p>
        </w:tc>
      </w:tr>
      <w:tr w:rsidR="00000000" w14:paraId="123B1A3A" w14:textId="77777777">
        <w:trPr>
          <w:divId w:val="44255570"/>
        </w:trPr>
        <w:tc>
          <w:tcPr>
            <w:tcW w:w="0" w:type="auto"/>
            <w:gridSpan w:val="3"/>
            <w:vAlign w:val="center"/>
            <w:hideMark/>
          </w:tcPr>
          <w:p w14:paraId="1ED240FC" w14:textId="77777777" w:rsidR="00000000" w:rsidRDefault="00405D16">
            <w:pPr>
              <w:spacing w:after="100"/>
              <w:rPr>
                <w:rFonts w:eastAsia="Times New Roman"/>
                <w:sz w:val="20"/>
                <w:szCs w:val="20"/>
              </w:rPr>
            </w:pPr>
          </w:p>
        </w:tc>
        <w:tc>
          <w:tcPr>
            <w:tcW w:w="0" w:type="auto"/>
            <w:gridSpan w:val="3"/>
            <w:vAlign w:val="center"/>
            <w:hideMark/>
          </w:tcPr>
          <w:p w14:paraId="0313C1D1" w14:textId="77777777" w:rsidR="00000000" w:rsidRDefault="00405D16">
            <w:pPr>
              <w:spacing w:after="100"/>
              <w:rPr>
                <w:rFonts w:eastAsia="Times New Roman"/>
                <w:sz w:val="20"/>
                <w:szCs w:val="20"/>
              </w:rPr>
            </w:pPr>
          </w:p>
        </w:tc>
        <w:tc>
          <w:tcPr>
            <w:tcW w:w="0" w:type="auto"/>
            <w:gridSpan w:val="3"/>
            <w:vAlign w:val="center"/>
            <w:hideMark/>
          </w:tcPr>
          <w:p w14:paraId="27FF203B" w14:textId="77777777" w:rsidR="00000000" w:rsidRDefault="00405D16">
            <w:pPr>
              <w:spacing w:after="100"/>
              <w:rPr>
                <w:rFonts w:eastAsia="Times New Roman"/>
                <w:sz w:val="20"/>
                <w:szCs w:val="20"/>
              </w:rPr>
            </w:pPr>
          </w:p>
        </w:tc>
        <w:tc>
          <w:tcPr>
            <w:tcW w:w="0" w:type="auto"/>
            <w:gridSpan w:val="3"/>
            <w:vAlign w:val="center"/>
            <w:hideMark/>
          </w:tcPr>
          <w:p w14:paraId="01843ED9" w14:textId="77777777" w:rsidR="00000000" w:rsidRDefault="00405D16">
            <w:pPr>
              <w:spacing w:after="100"/>
              <w:rPr>
                <w:rFonts w:eastAsia="Times New Roman"/>
                <w:sz w:val="20"/>
                <w:szCs w:val="20"/>
              </w:rPr>
            </w:pPr>
          </w:p>
        </w:tc>
        <w:tc>
          <w:tcPr>
            <w:tcW w:w="0" w:type="auto"/>
            <w:gridSpan w:val="3"/>
            <w:vAlign w:val="center"/>
            <w:hideMark/>
          </w:tcPr>
          <w:p w14:paraId="496BB2EB" w14:textId="77777777" w:rsidR="00000000" w:rsidRDefault="00405D16">
            <w:pPr>
              <w:spacing w:after="100"/>
              <w:rPr>
                <w:rFonts w:eastAsia="Times New Roman"/>
                <w:sz w:val="20"/>
                <w:szCs w:val="20"/>
              </w:rPr>
            </w:pPr>
          </w:p>
        </w:tc>
        <w:tc>
          <w:tcPr>
            <w:tcW w:w="0" w:type="auto"/>
            <w:vAlign w:val="center"/>
            <w:hideMark/>
          </w:tcPr>
          <w:p w14:paraId="43BBC208" w14:textId="77777777" w:rsidR="00000000" w:rsidRDefault="00405D16">
            <w:pPr>
              <w:spacing w:after="100"/>
              <w:rPr>
                <w:rFonts w:eastAsia="Times New Roman"/>
                <w:sz w:val="20"/>
                <w:szCs w:val="20"/>
              </w:rPr>
            </w:pPr>
          </w:p>
        </w:tc>
        <w:tc>
          <w:tcPr>
            <w:tcW w:w="0" w:type="auto"/>
            <w:vAlign w:val="center"/>
            <w:hideMark/>
          </w:tcPr>
          <w:p w14:paraId="150F77FD" w14:textId="77777777" w:rsidR="00000000" w:rsidRDefault="00405D16">
            <w:pPr>
              <w:spacing w:after="100"/>
              <w:rPr>
                <w:rFonts w:eastAsia="Times New Roman"/>
                <w:sz w:val="20"/>
                <w:szCs w:val="20"/>
              </w:rPr>
            </w:pPr>
          </w:p>
        </w:tc>
        <w:tc>
          <w:tcPr>
            <w:tcW w:w="0" w:type="auto"/>
            <w:gridSpan w:val="3"/>
            <w:vAlign w:val="center"/>
            <w:hideMark/>
          </w:tcPr>
          <w:p w14:paraId="0D7AD88A" w14:textId="77777777" w:rsidR="00000000" w:rsidRDefault="00405D16">
            <w:pPr>
              <w:spacing w:after="100"/>
              <w:rPr>
                <w:rFonts w:eastAsia="Times New Roman"/>
                <w:sz w:val="20"/>
                <w:szCs w:val="20"/>
              </w:rPr>
            </w:pPr>
          </w:p>
        </w:tc>
        <w:tc>
          <w:tcPr>
            <w:tcW w:w="0" w:type="auto"/>
            <w:gridSpan w:val="3"/>
            <w:vAlign w:val="center"/>
            <w:hideMark/>
          </w:tcPr>
          <w:p w14:paraId="3CD1DF61" w14:textId="77777777" w:rsidR="00000000" w:rsidRDefault="00405D16">
            <w:pPr>
              <w:spacing w:after="100"/>
              <w:rPr>
                <w:rFonts w:eastAsia="Times New Roman"/>
                <w:sz w:val="20"/>
                <w:szCs w:val="20"/>
              </w:rPr>
            </w:pPr>
          </w:p>
        </w:tc>
        <w:tc>
          <w:tcPr>
            <w:tcW w:w="0" w:type="auto"/>
            <w:gridSpan w:val="3"/>
            <w:vAlign w:val="center"/>
            <w:hideMark/>
          </w:tcPr>
          <w:p w14:paraId="5A735D62" w14:textId="77777777" w:rsidR="00000000" w:rsidRDefault="00405D16">
            <w:pPr>
              <w:spacing w:after="100"/>
              <w:rPr>
                <w:rFonts w:eastAsia="Times New Roman"/>
                <w:sz w:val="20"/>
                <w:szCs w:val="20"/>
              </w:rPr>
            </w:pPr>
          </w:p>
        </w:tc>
        <w:tc>
          <w:tcPr>
            <w:tcW w:w="0" w:type="auto"/>
            <w:gridSpan w:val="3"/>
            <w:vAlign w:val="center"/>
            <w:hideMark/>
          </w:tcPr>
          <w:p w14:paraId="16D26DF1" w14:textId="77777777" w:rsidR="00000000" w:rsidRDefault="00405D16">
            <w:pPr>
              <w:spacing w:after="100"/>
              <w:rPr>
                <w:rFonts w:eastAsia="Times New Roman"/>
                <w:sz w:val="20"/>
                <w:szCs w:val="20"/>
              </w:rPr>
            </w:pPr>
          </w:p>
        </w:tc>
        <w:tc>
          <w:tcPr>
            <w:tcW w:w="0" w:type="auto"/>
            <w:gridSpan w:val="3"/>
            <w:vAlign w:val="center"/>
            <w:hideMark/>
          </w:tcPr>
          <w:p w14:paraId="21D07B43" w14:textId="77777777" w:rsidR="00000000" w:rsidRDefault="00405D16">
            <w:pPr>
              <w:spacing w:after="100"/>
              <w:rPr>
                <w:rFonts w:eastAsia="Times New Roman"/>
                <w:sz w:val="20"/>
                <w:szCs w:val="20"/>
              </w:rPr>
            </w:pPr>
          </w:p>
        </w:tc>
        <w:tc>
          <w:tcPr>
            <w:tcW w:w="0" w:type="auto"/>
            <w:gridSpan w:val="3"/>
            <w:vAlign w:val="center"/>
            <w:hideMark/>
          </w:tcPr>
          <w:p w14:paraId="56158278" w14:textId="77777777" w:rsidR="00000000" w:rsidRDefault="00405D16">
            <w:pPr>
              <w:spacing w:after="100"/>
              <w:rPr>
                <w:rFonts w:eastAsia="Times New Roman"/>
                <w:sz w:val="20"/>
                <w:szCs w:val="20"/>
              </w:rPr>
            </w:pPr>
          </w:p>
        </w:tc>
      </w:tr>
      <w:tr w:rsidR="00000000" w14:paraId="1AEE84A5" w14:textId="77777777">
        <w:trPr>
          <w:divId w:val="44255570"/>
        </w:trPr>
        <w:tc>
          <w:tcPr>
            <w:tcW w:w="0" w:type="auto"/>
            <w:gridSpan w:val="3"/>
            <w:shd w:val="clear" w:color="auto" w:fill="CCEEFF"/>
            <w:tcMar>
              <w:top w:w="30" w:type="dxa"/>
              <w:left w:w="20" w:type="dxa"/>
              <w:bottom w:w="30" w:type="dxa"/>
              <w:right w:w="20" w:type="dxa"/>
            </w:tcMar>
            <w:vAlign w:val="center"/>
            <w:hideMark/>
          </w:tcPr>
          <w:p w14:paraId="0069D461" w14:textId="77777777" w:rsidR="00000000" w:rsidRDefault="00405D16">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77052E47"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CCD5DF8"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D9AC4D8" w14:textId="77777777" w:rsidR="00000000" w:rsidRDefault="00405D16">
            <w:pPr>
              <w:spacing w:after="100"/>
              <w:jc w:val="right"/>
              <w:rPr>
                <w:rFonts w:eastAsia="Times New Roman"/>
              </w:rPr>
            </w:pPr>
            <w:r>
              <w:rPr>
                <w:rFonts w:eastAsia="Times New Roman"/>
                <w:b/>
                <w:bCs/>
                <w:color w:val="000000"/>
                <w:sz w:val="18"/>
                <w:szCs w:val="18"/>
              </w:rPr>
              <w:t>4,000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57E4C7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483B55"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3191E5F"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35AEEAF8" w14:textId="77777777" w:rsidR="00000000" w:rsidRDefault="00405D16">
            <w:pPr>
              <w:spacing w:after="100"/>
              <w:jc w:val="right"/>
              <w:rPr>
                <w:rFonts w:eastAsia="Times New Roman"/>
              </w:rPr>
            </w:pPr>
            <w:r>
              <w:rPr>
                <w:rFonts w:eastAsia="Times New Roman"/>
                <w:color w:val="000000"/>
                <w:sz w:val="18"/>
                <w:szCs w:val="18"/>
              </w:rPr>
              <w:t>5,250 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278F860" w14:textId="77777777" w:rsidR="00000000" w:rsidRDefault="00405D16">
            <w:pPr>
              <w:spacing w:after="100"/>
              <w:jc w:val="right"/>
              <w:rPr>
                <w:rFonts w:eastAsia="Times New Roman"/>
              </w:rPr>
            </w:pPr>
          </w:p>
        </w:tc>
        <w:tc>
          <w:tcPr>
            <w:tcW w:w="0" w:type="auto"/>
            <w:vAlign w:val="center"/>
            <w:hideMark/>
          </w:tcPr>
          <w:p w14:paraId="45DD2AE7" w14:textId="77777777" w:rsidR="00000000" w:rsidRDefault="00405D16">
            <w:pPr>
              <w:spacing w:after="100"/>
              <w:jc w:val="right"/>
              <w:rPr>
                <w:rFonts w:eastAsia="Times New Roman"/>
                <w:sz w:val="20"/>
                <w:szCs w:val="20"/>
              </w:rPr>
            </w:pPr>
          </w:p>
        </w:tc>
        <w:tc>
          <w:tcPr>
            <w:tcW w:w="0" w:type="auto"/>
            <w:vAlign w:val="center"/>
            <w:hideMark/>
          </w:tcPr>
          <w:p w14:paraId="50C3CA5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355C92" w14:textId="77777777" w:rsidR="00000000" w:rsidRDefault="00405D16">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42D0A08"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EE6A934" w14:textId="77777777" w:rsidR="00000000" w:rsidRDefault="00405D16">
            <w:pPr>
              <w:spacing w:after="100"/>
              <w:jc w:val="right"/>
              <w:rPr>
                <w:rFonts w:eastAsia="Times New Roman"/>
              </w:rPr>
            </w:pPr>
            <w:r>
              <w:rPr>
                <w:rFonts w:eastAsia="Times New Roman"/>
                <w:b/>
                <w:bCs/>
                <w:color w:val="000000"/>
                <w:sz w:val="18"/>
                <w:szCs w:val="18"/>
              </w:rPr>
              <w:t>6,489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1F607A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8FA039"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F02AAC3"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45DBE94" w14:textId="77777777" w:rsidR="00000000" w:rsidRDefault="00405D16">
            <w:pPr>
              <w:spacing w:after="100"/>
              <w:jc w:val="right"/>
              <w:rPr>
                <w:rFonts w:eastAsia="Times New Roman"/>
              </w:rPr>
            </w:pPr>
            <w:r>
              <w:rPr>
                <w:rFonts w:eastAsia="Times New Roman"/>
                <w:color w:val="000000"/>
                <w:sz w:val="18"/>
                <w:szCs w:val="18"/>
              </w:rPr>
              <w:t>12,844 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B64EF08" w14:textId="77777777" w:rsidR="00000000" w:rsidRDefault="00405D16">
            <w:pPr>
              <w:spacing w:after="100"/>
              <w:jc w:val="right"/>
              <w:rPr>
                <w:rFonts w:eastAsia="Times New Roman"/>
              </w:rPr>
            </w:pPr>
          </w:p>
        </w:tc>
        <w:tc>
          <w:tcPr>
            <w:tcW w:w="0" w:type="auto"/>
            <w:gridSpan w:val="3"/>
            <w:vAlign w:val="center"/>
            <w:hideMark/>
          </w:tcPr>
          <w:p w14:paraId="1A32F9BF" w14:textId="77777777" w:rsidR="00000000" w:rsidRDefault="00405D16">
            <w:pPr>
              <w:spacing w:after="100"/>
              <w:jc w:val="right"/>
              <w:rPr>
                <w:rFonts w:eastAsia="Times New Roman"/>
                <w:sz w:val="20"/>
                <w:szCs w:val="20"/>
              </w:rPr>
            </w:pPr>
          </w:p>
        </w:tc>
        <w:tc>
          <w:tcPr>
            <w:tcW w:w="0" w:type="auto"/>
            <w:gridSpan w:val="3"/>
            <w:vAlign w:val="center"/>
            <w:hideMark/>
          </w:tcPr>
          <w:p w14:paraId="30A3E755" w14:textId="77777777" w:rsidR="00000000" w:rsidRDefault="00405D16">
            <w:pPr>
              <w:spacing w:after="100"/>
              <w:rPr>
                <w:rFonts w:eastAsia="Times New Roman"/>
                <w:sz w:val="20"/>
                <w:szCs w:val="20"/>
              </w:rPr>
            </w:pPr>
          </w:p>
        </w:tc>
      </w:tr>
    </w:tbl>
    <w:p w14:paraId="4B635C79" w14:textId="77777777" w:rsidR="00000000" w:rsidRDefault="00405D16">
      <w:pPr>
        <w:divId w:val="2072578114"/>
        <w:rPr>
          <w:rFonts w:eastAsia="Times New Roman"/>
        </w:rPr>
      </w:pPr>
      <w:r>
        <w:rPr>
          <w:rFonts w:eastAsia="Times New Roman"/>
          <w:b/>
          <w:bCs/>
          <w:color w:val="000000"/>
          <w:sz w:val="20"/>
          <w:szCs w:val="20"/>
        </w:rPr>
        <w:t>Credit Ratings</w:t>
      </w:r>
    </w:p>
    <w:p w14:paraId="3DDF6014" w14:textId="77777777" w:rsidR="00000000" w:rsidRDefault="00405D16">
      <w:pPr>
        <w:jc w:val="both"/>
        <w:divId w:val="1644657369"/>
        <w:rPr>
          <w:rFonts w:eastAsia="Times New Roman"/>
        </w:rPr>
      </w:pPr>
      <w:r>
        <w:rPr>
          <w:rFonts w:eastAsia="Times New Roman"/>
          <w:color w:val="000000"/>
          <w:sz w:val="20"/>
          <w:szCs w:val="20"/>
        </w:rPr>
        <w:t>Our credit ratings impact our ability to access capi</w:t>
      </w:r>
      <w:r>
        <w:rPr>
          <w:rFonts w:eastAsia="Times New Roman"/>
          <w:color w:val="000000"/>
          <w:sz w:val="20"/>
          <w:szCs w:val="20"/>
        </w:rPr>
        <w:t>tal markets and our borrowing costs. Rating agencies assign their ratings based on numerous factors, including liquidity, capital adequacy, asset quality, quality of earnings and the probability of systemic support. Significant changes in these factors cou</w:t>
      </w:r>
      <w:r>
        <w:rPr>
          <w:rFonts w:eastAsia="Times New Roman"/>
          <w:color w:val="000000"/>
          <w:sz w:val="20"/>
          <w:szCs w:val="20"/>
        </w:rPr>
        <w:t>ld result in different ratings.</w:t>
      </w:r>
    </w:p>
    <w:p w14:paraId="3D75BC1A" w14:textId="77777777" w:rsidR="00000000" w:rsidRDefault="00405D16">
      <w:pPr>
        <w:jc w:val="both"/>
        <w:divId w:val="2110662522"/>
        <w:rPr>
          <w:rFonts w:eastAsia="Times New Roman"/>
        </w:rPr>
      </w:pPr>
      <w:r>
        <w:rPr>
          <w:rFonts w:eastAsia="Times New Roman"/>
          <w:color w:val="000000"/>
          <w:sz w:val="20"/>
          <w:szCs w:val="20"/>
        </w:rPr>
        <w:t>Table 34 provides a summary of the credit ratings for the senior unsecured long-term debt of Capital One Financial Corporation, COBNA and CONA as of September 30, 2021 and December 31, 2020.</w:t>
      </w:r>
    </w:p>
    <w:p w14:paraId="68BE0D4E" w14:textId="77777777" w:rsidR="00000000" w:rsidRDefault="00405D16">
      <w:pPr>
        <w:divId w:val="2092198287"/>
        <w:rPr>
          <w:rFonts w:eastAsia="Times New Roman"/>
        </w:rPr>
      </w:pPr>
      <w:r>
        <w:rPr>
          <w:rFonts w:eastAsia="Times New Roman"/>
          <w:b/>
          <w:bCs/>
          <w:color w:val="000000"/>
          <w:sz w:val="18"/>
          <w:szCs w:val="18"/>
        </w:rPr>
        <w:t>Table 34: Senior Long-Term Debt Credit Ratings</w:t>
      </w:r>
    </w:p>
    <w:tbl>
      <w:tblPr>
        <w:tblW w:w="5000" w:type="pct"/>
        <w:tblCellMar>
          <w:top w:w="15" w:type="dxa"/>
          <w:left w:w="15" w:type="dxa"/>
          <w:bottom w:w="15" w:type="dxa"/>
          <w:right w:w="15" w:type="dxa"/>
        </w:tblCellMar>
        <w:tblLook w:val="04A0" w:firstRow="1" w:lastRow="0" w:firstColumn="1" w:lastColumn="0" w:noHBand="0" w:noVBand="1"/>
      </w:tblPr>
      <w:tblGrid>
        <w:gridCol w:w="39"/>
        <w:gridCol w:w="2930"/>
        <w:gridCol w:w="36"/>
        <w:gridCol w:w="36"/>
        <w:gridCol w:w="36"/>
        <w:gridCol w:w="36"/>
        <w:gridCol w:w="92"/>
        <w:gridCol w:w="793"/>
        <w:gridCol w:w="37"/>
        <w:gridCol w:w="37"/>
        <w:gridCol w:w="37"/>
        <w:gridCol w:w="37"/>
        <w:gridCol w:w="64"/>
        <w:gridCol w:w="579"/>
        <w:gridCol w:w="36"/>
        <w:gridCol w:w="36"/>
        <w:gridCol w:w="36"/>
        <w:gridCol w:w="36"/>
        <w:gridCol w:w="53"/>
        <w:gridCol w:w="631"/>
        <w:gridCol w:w="36"/>
        <w:gridCol w:w="36"/>
        <w:gridCol w:w="36"/>
        <w:gridCol w:w="36"/>
        <w:gridCol w:w="92"/>
        <w:gridCol w:w="793"/>
        <w:gridCol w:w="37"/>
        <w:gridCol w:w="37"/>
        <w:gridCol w:w="37"/>
        <w:gridCol w:w="37"/>
        <w:gridCol w:w="64"/>
        <w:gridCol w:w="583"/>
        <w:gridCol w:w="36"/>
        <w:gridCol w:w="36"/>
        <w:gridCol w:w="36"/>
        <w:gridCol w:w="36"/>
        <w:gridCol w:w="53"/>
        <w:gridCol w:w="632"/>
        <w:gridCol w:w="36"/>
      </w:tblGrid>
      <w:tr w:rsidR="00000000" w14:paraId="4C975DE7" w14:textId="77777777">
        <w:trPr>
          <w:divId w:val="1735277675"/>
        </w:trPr>
        <w:tc>
          <w:tcPr>
            <w:tcW w:w="50" w:type="pct"/>
            <w:vAlign w:val="center"/>
            <w:hideMark/>
          </w:tcPr>
          <w:p w14:paraId="5E115DB3" w14:textId="77777777" w:rsidR="00000000" w:rsidRDefault="00405D16">
            <w:pPr>
              <w:rPr>
                <w:rFonts w:eastAsia="Times New Roman"/>
              </w:rPr>
            </w:pPr>
          </w:p>
        </w:tc>
        <w:tc>
          <w:tcPr>
            <w:tcW w:w="1787" w:type="pct"/>
            <w:vAlign w:val="center"/>
            <w:hideMark/>
          </w:tcPr>
          <w:p w14:paraId="5B44793D" w14:textId="77777777" w:rsidR="00000000" w:rsidRDefault="00405D16">
            <w:pPr>
              <w:spacing w:after="100"/>
              <w:rPr>
                <w:rFonts w:eastAsia="Times New Roman"/>
                <w:sz w:val="20"/>
                <w:szCs w:val="20"/>
              </w:rPr>
            </w:pPr>
          </w:p>
        </w:tc>
        <w:tc>
          <w:tcPr>
            <w:tcW w:w="5" w:type="pct"/>
            <w:vAlign w:val="center"/>
            <w:hideMark/>
          </w:tcPr>
          <w:p w14:paraId="6CEBF180" w14:textId="77777777" w:rsidR="00000000" w:rsidRDefault="00405D16">
            <w:pPr>
              <w:spacing w:after="100"/>
              <w:rPr>
                <w:rFonts w:eastAsia="Times New Roman"/>
                <w:sz w:val="20"/>
                <w:szCs w:val="20"/>
              </w:rPr>
            </w:pPr>
          </w:p>
        </w:tc>
        <w:tc>
          <w:tcPr>
            <w:tcW w:w="5" w:type="pct"/>
            <w:vAlign w:val="center"/>
            <w:hideMark/>
          </w:tcPr>
          <w:p w14:paraId="329C9B42" w14:textId="77777777" w:rsidR="00000000" w:rsidRDefault="00405D16">
            <w:pPr>
              <w:spacing w:after="100"/>
              <w:rPr>
                <w:rFonts w:eastAsia="Times New Roman"/>
                <w:sz w:val="20"/>
                <w:szCs w:val="20"/>
              </w:rPr>
            </w:pPr>
          </w:p>
        </w:tc>
        <w:tc>
          <w:tcPr>
            <w:tcW w:w="26" w:type="pct"/>
            <w:vAlign w:val="center"/>
            <w:hideMark/>
          </w:tcPr>
          <w:p w14:paraId="3CFD1236" w14:textId="77777777" w:rsidR="00000000" w:rsidRDefault="00405D16">
            <w:pPr>
              <w:spacing w:after="100"/>
              <w:rPr>
                <w:rFonts w:eastAsia="Times New Roman"/>
                <w:sz w:val="20"/>
                <w:szCs w:val="20"/>
              </w:rPr>
            </w:pPr>
          </w:p>
        </w:tc>
        <w:tc>
          <w:tcPr>
            <w:tcW w:w="5" w:type="pct"/>
            <w:vAlign w:val="center"/>
            <w:hideMark/>
          </w:tcPr>
          <w:p w14:paraId="53B07649" w14:textId="77777777" w:rsidR="00000000" w:rsidRDefault="00405D16">
            <w:pPr>
              <w:spacing w:after="100"/>
              <w:rPr>
                <w:rFonts w:eastAsia="Times New Roman"/>
                <w:sz w:val="20"/>
                <w:szCs w:val="20"/>
              </w:rPr>
            </w:pPr>
          </w:p>
        </w:tc>
        <w:tc>
          <w:tcPr>
            <w:tcW w:w="50" w:type="pct"/>
            <w:vAlign w:val="center"/>
            <w:hideMark/>
          </w:tcPr>
          <w:p w14:paraId="33B6B21A" w14:textId="77777777" w:rsidR="00000000" w:rsidRDefault="00405D16">
            <w:pPr>
              <w:spacing w:after="100"/>
              <w:rPr>
                <w:rFonts w:eastAsia="Times New Roman"/>
                <w:sz w:val="20"/>
                <w:szCs w:val="20"/>
              </w:rPr>
            </w:pPr>
          </w:p>
        </w:tc>
        <w:tc>
          <w:tcPr>
            <w:tcW w:w="434" w:type="pct"/>
            <w:vAlign w:val="center"/>
            <w:hideMark/>
          </w:tcPr>
          <w:p w14:paraId="02DB5249" w14:textId="77777777" w:rsidR="00000000" w:rsidRDefault="00405D16">
            <w:pPr>
              <w:spacing w:after="100"/>
              <w:rPr>
                <w:rFonts w:eastAsia="Times New Roman"/>
                <w:sz w:val="20"/>
                <w:szCs w:val="20"/>
              </w:rPr>
            </w:pPr>
          </w:p>
        </w:tc>
        <w:tc>
          <w:tcPr>
            <w:tcW w:w="5" w:type="pct"/>
            <w:vAlign w:val="center"/>
            <w:hideMark/>
          </w:tcPr>
          <w:p w14:paraId="32F06EE5" w14:textId="77777777" w:rsidR="00000000" w:rsidRDefault="00405D16">
            <w:pPr>
              <w:spacing w:after="100"/>
              <w:rPr>
                <w:rFonts w:eastAsia="Times New Roman"/>
                <w:sz w:val="20"/>
                <w:szCs w:val="20"/>
              </w:rPr>
            </w:pPr>
          </w:p>
        </w:tc>
        <w:tc>
          <w:tcPr>
            <w:tcW w:w="5" w:type="pct"/>
            <w:vAlign w:val="center"/>
            <w:hideMark/>
          </w:tcPr>
          <w:p w14:paraId="4CDB1FC2" w14:textId="77777777" w:rsidR="00000000" w:rsidRDefault="00405D16">
            <w:pPr>
              <w:spacing w:after="100"/>
              <w:rPr>
                <w:rFonts w:eastAsia="Times New Roman"/>
                <w:sz w:val="20"/>
                <w:szCs w:val="20"/>
              </w:rPr>
            </w:pPr>
          </w:p>
        </w:tc>
        <w:tc>
          <w:tcPr>
            <w:tcW w:w="26" w:type="pct"/>
            <w:vAlign w:val="center"/>
            <w:hideMark/>
          </w:tcPr>
          <w:p w14:paraId="0D5E3AC8" w14:textId="77777777" w:rsidR="00000000" w:rsidRDefault="00405D16">
            <w:pPr>
              <w:spacing w:after="100"/>
              <w:rPr>
                <w:rFonts w:eastAsia="Times New Roman"/>
                <w:sz w:val="20"/>
                <w:szCs w:val="20"/>
              </w:rPr>
            </w:pPr>
          </w:p>
        </w:tc>
        <w:tc>
          <w:tcPr>
            <w:tcW w:w="5" w:type="pct"/>
            <w:vAlign w:val="center"/>
            <w:hideMark/>
          </w:tcPr>
          <w:p w14:paraId="7301D44F" w14:textId="77777777" w:rsidR="00000000" w:rsidRDefault="00405D16">
            <w:pPr>
              <w:spacing w:after="100"/>
              <w:rPr>
                <w:rFonts w:eastAsia="Times New Roman"/>
                <w:sz w:val="20"/>
                <w:szCs w:val="20"/>
              </w:rPr>
            </w:pPr>
          </w:p>
        </w:tc>
        <w:tc>
          <w:tcPr>
            <w:tcW w:w="50" w:type="pct"/>
            <w:vAlign w:val="center"/>
            <w:hideMark/>
          </w:tcPr>
          <w:p w14:paraId="283AC9BF" w14:textId="77777777" w:rsidR="00000000" w:rsidRDefault="00405D16">
            <w:pPr>
              <w:spacing w:after="100"/>
              <w:rPr>
                <w:rFonts w:eastAsia="Times New Roman"/>
                <w:sz w:val="20"/>
                <w:szCs w:val="20"/>
              </w:rPr>
            </w:pPr>
          </w:p>
        </w:tc>
        <w:tc>
          <w:tcPr>
            <w:tcW w:w="434" w:type="pct"/>
            <w:vAlign w:val="center"/>
            <w:hideMark/>
          </w:tcPr>
          <w:p w14:paraId="725A5F5A" w14:textId="77777777" w:rsidR="00000000" w:rsidRDefault="00405D16">
            <w:pPr>
              <w:spacing w:after="100"/>
              <w:rPr>
                <w:rFonts w:eastAsia="Times New Roman"/>
                <w:sz w:val="20"/>
                <w:szCs w:val="20"/>
              </w:rPr>
            </w:pPr>
          </w:p>
        </w:tc>
        <w:tc>
          <w:tcPr>
            <w:tcW w:w="5" w:type="pct"/>
            <w:vAlign w:val="center"/>
            <w:hideMark/>
          </w:tcPr>
          <w:p w14:paraId="1008FE07" w14:textId="77777777" w:rsidR="00000000" w:rsidRDefault="00405D16">
            <w:pPr>
              <w:spacing w:after="100"/>
              <w:rPr>
                <w:rFonts w:eastAsia="Times New Roman"/>
                <w:sz w:val="20"/>
                <w:szCs w:val="20"/>
              </w:rPr>
            </w:pPr>
          </w:p>
        </w:tc>
        <w:tc>
          <w:tcPr>
            <w:tcW w:w="5" w:type="pct"/>
            <w:vAlign w:val="center"/>
            <w:hideMark/>
          </w:tcPr>
          <w:p w14:paraId="44060F9C" w14:textId="77777777" w:rsidR="00000000" w:rsidRDefault="00405D16">
            <w:pPr>
              <w:spacing w:after="100"/>
              <w:rPr>
                <w:rFonts w:eastAsia="Times New Roman"/>
                <w:sz w:val="20"/>
                <w:szCs w:val="20"/>
              </w:rPr>
            </w:pPr>
          </w:p>
        </w:tc>
        <w:tc>
          <w:tcPr>
            <w:tcW w:w="26" w:type="pct"/>
            <w:vAlign w:val="center"/>
            <w:hideMark/>
          </w:tcPr>
          <w:p w14:paraId="3791AEEF" w14:textId="77777777" w:rsidR="00000000" w:rsidRDefault="00405D16">
            <w:pPr>
              <w:spacing w:after="100"/>
              <w:rPr>
                <w:rFonts w:eastAsia="Times New Roman"/>
                <w:sz w:val="20"/>
                <w:szCs w:val="20"/>
              </w:rPr>
            </w:pPr>
          </w:p>
        </w:tc>
        <w:tc>
          <w:tcPr>
            <w:tcW w:w="5" w:type="pct"/>
            <w:vAlign w:val="center"/>
            <w:hideMark/>
          </w:tcPr>
          <w:p w14:paraId="6AF0E9CD" w14:textId="77777777" w:rsidR="00000000" w:rsidRDefault="00405D16">
            <w:pPr>
              <w:spacing w:after="100"/>
              <w:rPr>
                <w:rFonts w:eastAsia="Times New Roman"/>
                <w:sz w:val="20"/>
                <w:szCs w:val="20"/>
              </w:rPr>
            </w:pPr>
          </w:p>
        </w:tc>
        <w:tc>
          <w:tcPr>
            <w:tcW w:w="50" w:type="pct"/>
            <w:vAlign w:val="center"/>
            <w:hideMark/>
          </w:tcPr>
          <w:p w14:paraId="37465BA7" w14:textId="77777777" w:rsidR="00000000" w:rsidRDefault="00405D16">
            <w:pPr>
              <w:spacing w:after="100"/>
              <w:rPr>
                <w:rFonts w:eastAsia="Times New Roman"/>
                <w:sz w:val="20"/>
                <w:szCs w:val="20"/>
              </w:rPr>
            </w:pPr>
          </w:p>
        </w:tc>
        <w:tc>
          <w:tcPr>
            <w:tcW w:w="434" w:type="pct"/>
            <w:vAlign w:val="center"/>
            <w:hideMark/>
          </w:tcPr>
          <w:p w14:paraId="2136EB03" w14:textId="77777777" w:rsidR="00000000" w:rsidRDefault="00405D16">
            <w:pPr>
              <w:spacing w:after="100"/>
              <w:rPr>
                <w:rFonts w:eastAsia="Times New Roman"/>
                <w:sz w:val="20"/>
                <w:szCs w:val="20"/>
              </w:rPr>
            </w:pPr>
          </w:p>
        </w:tc>
        <w:tc>
          <w:tcPr>
            <w:tcW w:w="5" w:type="pct"/>
            <w:vAlign w:val="center"/>
            <w:hideMark/>
          </w:tcPr>
          <w:p w14:paraId="52E2A7A8" w14:textId="77777777" w:rsidR="00000000" w:rsidRDefault="00405D16">
            <w:pPr>
              <w:spacing w:after="100"/>
              <w:rPr>
                <w:rFonts w:eastAsia="Times New Roman"/>
                <w:sz w:val="20"/>
                <w:szCs w:val="20"/>
              </w:rPr>
            </w:pPr>
          </w:p>
        </w:tc>
        <w:tc>
          <w:tcPr>
            <w:tcW w:w="5" w:type="pct"/>
            <w:vAlign w:val="center"/>
            <w:hideMark/>
          </w:tcPr>
          <w:p w14:paraId="5C46C281" w14:textId="77777777" w:rsidR="00000000" w:rsidRDefault="00405D16">
            <w:pPr>
              <w:spacing w:after="100"/>
              <w:rPr>
                <w:rFonts w:eastAsia="Times New Roman"/>
                <w:sz w:val="20"/>
                <w:szCs w:val="20"/>
              </w:rPr>
            </w:pPr>
          </w:p>
        </w:tc>
        <w:tc>
          <w:tcPr>
            <w:tcW w:w="26" w:type="pct"/>
            <w:vAlign w:val="center"/>
            <w:hideMark/>
          </w:tcPr>
          <w:p w14:paraId="21A0ACFA" w14:textId="77777777" w:rsidR="00000000" w:rsidRDefault="00405D16">
            <w:pPr>
              <w:spacing w:after="100"/>
              <w:rPr>
                <w:rFonts w:eastAsia="Times New Roman"/>
                <w:sz w:val="20"/>
                <w:szCs w:val="20"/>
              </w:rPr>
            </w:pPr>
          </w:p>
        </w:tc>
        <w:tc>
          <w:tcPr>
            <w:tcW w:w="5" w:type="pct"/>
            <w:vAlign w:val="center"/>
            <w:hideMark/>
          </w:tcPr>
          <w:p w14:paraId="2C18ABB1" w14:textId="77777777" w:rsidR="00000000" w:rsidRDefault="00405D16">
            <w:pPr>
              <w:spacing w:after="100"/>
              <w:rPr>
                <w:rFonts w:eastAsia="Times New Roman"/>
                <w:sz w:val="20"/>
                <w:szCs w:val="20"/>
              </w:rPr>
            </w:pPr>
          </w:p>
        </w:tc>
        <w:tc>
          <w:tcPr>
            <w:tcW w:w="50" w:type="pct"/>
            <w:vAlign w:val="center"/>
            <w:hideMark/>
          </w:tcPr>
          <w:p w14:paraId="497F79F8" w14:textId="77777777" w:rsidR="00000000" w:rsidRDefault="00405D16">
            <w:pPr>
              <w:spacing w:after="100"/>
              <w:rPr>
                <w:rFonts w:eastAsia="Times New Roman"/>
                <w:sz w:val="20"/>
                <w:szCs w:val="20"/>
              </w:rPr>
            </w:pPr>
          </w:p>
        </w:tc>
        <w:tc>
          <w:tcPr>
            <w:tcW w:w="434" w:type="pct"/>
            <w:vAlign w:val="center"/>
            <w:hideMark/>
          </w:tcPr>
          <w:p w14:paraId="3A7702AD" w14:textId="77777777" w:rsidR="00000000" w:rsidRDefault="00405D16">
            <w:pPr>
              <w:spacing w:after="100"/>
              <w:rPr>
                <w:rFonts w:eastAsia="Times New Roman"/>
                <w:sz w:val="20"/>
                <w:szCs w:val="20"/>
              </w:rPr>
            </w:pPr>
          </w:p>
        </w:tc>
        <w:tc>
          <w:tcPr>
            <w:tcW w:w="5" w:type="pct"/>
            <w:vAlign w:val="center"/>
            <w:hideMark/>
          </w:tcPr>
          <w:p w14:paraId="02AE69B0" w14:textId="77777777" w:rsidR="00000000" w:rsidRDefault="00405D16">
            <w:pPr>
              <w:spacing w:after="100"/>
              <w:rPr>
                <w:rFonts w:eastAsia="Times New Roman"/>
                <w:sz w:val="20"/>
                <w:szCs w:val="20"/>
              </w:rPr>
            </w:pPr>
          </w:p>
        </w:tc>
        <w:tc>
          <w:tcPr>
            <w:tcW w:w="5" w:type="pct"/>
            <w:vAlign w:val="center"/>
            <w:hideMark/>
          </w:tcPr>
          <w:p w14:paraId="7819394F" w14:textId="77777777" w:rsidR="00000000" w:rsidRDefault="00405D16">
            <w:pPr>
              <w:spacing w:after="100"/>
              <w:rPr>
                <w:rFonts w:eastAsia="Times New Roman"/>
                <w:sz w:val="20"/>
                <w:szCs w:val="20"/>
              </w:rPr>
            </w:pPr>
          </w:p>
        </w:tc>
        <w:tc>
          <w:tcPr>
            <w:tcW w:w="26" w:type="pct"/>
            <w:vAlign w:val="center"/>
            <w:hideMark/>
          </w:tcPr>
          <w:p w14:paraId="7AB88AA0" w14:textId="77777777" w:rsidR="00000000" w:rsidRDefault="00405D16">
            <w:pPr>
              <w:spacing w:after="100"/>
              <w:rPr>
                <w:rFonts w:eastAsia="Times New Roman"/>
                <w:sz w:val="20"/>
                <w:szCs w:val="20"/>
              </w:rPr>
            </w:pPr>
          </w:p>
        </w:tc>
        <w:tc>
          <w:tcPr>
            <w:tcW w:w="5" w:type="pct"/>
            <w:vAlign w:val="center"/>
            <w:hideMark/>
          </w:tcPr>
          <w:p w14:paraId="14AB27DF" w14:textId="77777777" w:rsidR="00000000" w:rsidRDefault="00405D16">
            <w:pPr>
              <w:spacing w:after="100"/>
              <w:rPr>
                <w:rFonts w:eastAsia="Times New Roman"/>
                <w:sz w:val="20"/>
                <w:szCs w:val="20"/>
              </w:rPr>
            </w:pPr>
          </w:p>
        </w:tc>
        <w:tc>
          <w:tcPr>
            <w:tcW w:w="50" w:type="pct"/>
            <w:vAlign w:val="center"/>
            <w:hideMark/>
          </w:tcPr>
          <w:p w14:paraId="0525405A" w14:textId="77777777" w:rsidR="00000000" w:rsidRDefault="00405D16">
            <w:pPr>
              <w:spacing w:after="100"/>
              <w:rPr>
                <w:rFonts w:eastAsia="Times New Roman"/>
                <w:sz w:val="20"/>
                <w:szCs w:val="20"/>
              </w:rPr>
            </w:pPr>
          </w:p>
        </w:tc>
        <w:tc>
          <w:tcPr>
            <w:tcW w:w="434" w:type="pct"/>
            <w:vAlign w:val="center"/>
            <w:hideMark/>
          </w:tcPr>
          <w:p w14:paraId="012261DD" w14:textId="77777777" w:rsidR="00000000" w:rsidRDefault="00405D16">
            <w:pPr>
              <w:spacing w:after="100"/>
              <w:rPr>
                <w:rFonts w:eastAsia="Times New Roman"/>
                <w:sz w:val="20"/>
                <w:szCs w:val="20"/>
              </w:rPr>
            </w:pPr>
          </w:p>
        </w:tc>
        <w:tc>
          <w:tcPr>
            <w:tcW w:w="5" w:type="pct"/>
            <w:vAlign w:val="center"/>
            <w:hideMark/>
          </w:tcPr>
          <w:p w14:paraId="1F11125C" w14:textId="77777777" w:rsidR="00000000" w:rsidRDefault="00405D16">
            <w:pPr>
              <w:spacing w:after="100"/>
              <w:rPr>
                <w:rFonts w:eastAsia="Times New Roman"/>
                <w:sz w:val="20"/>
                <w:szCs w:val="20"/>
              </w:rPr>
            </w:pPr>
          </w:p>
        </w:tc>
        <w:tc>
          <w:tcPr>
            <w:tcW w:w="5" w:type="pct"/>
            <w:vAlign w:val="center"/>
            <w:hideMark/>
          </w:tcPr>
          <w:p w14:paraId="6CFA1A4E" w14:textId="77777777" w:rsidR="00000000" w:rsidRDefault="00405D16">
            <w:pPr>
              <w:spacing w:after="100"/>
              <w:rPr>
                <w:rFonts w:eastAsia="Times New Roman"/>
                <w:sz w:val="20"/>
                <w:szCs w:val="20"/>
              </w:rPr>
            </w:pPr>
          </w:p>
        </w:tc>
        <w:tc>
          <w:tcPr>
            <w:tcW w:w="26" w:type="pct"/>
            <w:vAlign w:val="center"/>
            <w:hideMark/>
          </w:tcPr>
          <w:p w14:paraId="51D0013B" w14:textId="77777777" w:rsidR="00000000" w:rsidRDefault="00405D16">
            <w:pPr>
              <w:spacing w:after="100"/>
              <w:rPr>
                <w:rFonts w:eastAsia="Times New Roman"/>
                <w:sz w:val="20"/>
                <w:szCs w:val="20"/>
              </w:rPr>
            </w:pPr>
          </w:p>
        </w:tc>
        <w:tc>
          <w:tcPr>
            <w:tcW w:w="5" w:type="pct"/>
            <w:vAlign w:val="center"/>
            <w:hideMark/>
          </w:tcPr>
          <w:p w14:paraId="33CC2367" w14:textId="77777777" w:rsidR="00000000" w:rsidRDefault="00405D16">
            <w:pPr>
              <w:spacing w:after="100"/>
              <w:rPr>
                <w:rFonts w:eastAsia="Times New Roman"/>
                <w:sz w:val="20"/>
                <w:szCs w:val="20"/>
              </w:rPr>
            </w:pPr>
          </w:p>
        </w:tc>
        <w:tc>
          <w:tcPr>
            <w:tcW w:w="50" w:type="pct"/>
            <w:vAlign w:val="center"/>
            <w:hideMark/>
          </w:tcPr>
          <w:p w14:paraId="397700A2" w14:textId="77777777" w:rsidR="00000000" w:rsidRDefault="00405D16">
            <w:pPr>
              <w:spacing w:after="100"/>
              <w:rPr>
                <w:rFonts w:eastAsia="Times New Roman"/>
                <w:sz w:val="20"/>
                <w:szCs w:val="20"/>
              </w:rPr>
            </w:pPr>
          </w:p>
        </w:tc>
        <w:tc>
          <w:tcPr>
            <w:tcW w:w="435" w:type="pct"/>
            <w:vAlign w:val="center"/>
            <w:hideMark/>
          </w:tcPr>
          <w:p w14:paraId="25601501" w14:textId="77777777" w:rsidR="00000000" w:rsidRDefault="00405D16">
            <w:pPr>
              <w:spacing w:after="100"/>
              <w:rPr>
                <w:rFonts w:eastAsia="Times New Roman"/>
                <w:sz w:val="20"/>
                <w:szCs w:val="20"/>
              </w:rPr>
            </w:pPr>
          </w:p>
        </w:tc>
        <w:tc>
          <w:tcPr>
            <w:tcW w:w="5" w:type="pct"/>
            <w:vAlign w:val="center"/>
            <w:hideMark/>
          </w:tcPr>
          <w:p w14:paraId="72128C25" w14:textId="77777777" w:rsidR="00000000" w:rsidRDefault="00405D16">
            <w:pPr>
              <w:spacing w:after="100"/>
              <w:rPr>
                <w:rFonts w:eastAsia="Times New Roman"/>
                <w:sz w:val="20"/>
                <w:szCs w:val="20"/>
              </w:rPr>
            </w:pPr>
          </w:p>
        </w:tc>
      </w:tr>
      <w:tr w:rsidR="00000000" w14:paraId="4767E643" w14:textId="77777777">
        <w:trPr>
          <w:divId w:val="1735277675"/>
        </w:trPr>
        <w:tc>
          <w:tcPr>
            <w:tcW w:w="0" w:type="auto"/>
            <w:gridSpan w:val="3"/>
            <w:tcMar>
              <w:top w:w="0" w:type="dxa"/>
              <w:left w:w="20" w:type="dxa"/>
              <w:bottom w:w="0" w:type="dxa"/>
              <w:right w:w="20" w:type="dxa"/>
            </w:tcMar>
            <w:vAlign w:val="center"/>
            <w:hideMark/>
          </w:tcPr>
          <w:p w14:paraId="65FA4780"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D95D882" w14:textId="77777777" w:rsidR="00000000" w:rsidRDefault="00405D16">
            <w:pPr>
              <w:spacing w:after="100"/>
              <w:rPr>
                <w:rFonts w:eastAsia="Times New Roman"/>
                <w:sz w:val="20"/>
                <w:szCs w:val="20"/>
              </w:rPr>
            </w:pPr>
          </w:p>
        </w:tc>
        <w:tc>
          <w:tcPr>
            <w:tcW w:w="0" w:type="auto"/>
            <w:gridSpan w:val="15"/>
            <w:tcMar>
              <w:top w:w="30" w:type="dxa"/>
              <w:left w:w="20" w:type="dxa"/>
              <w:bottom w:w="30" w:type="dxa"/>
              <w:right w:w="20" w:type="dxa"/>
            </w:tcMar>
            <w:vAlign w:val="center"/>
            <w:hideMark/>
          </w:tcPr>
          <w:p w14:paraId="089FD95C" w14:textId="77777777" w:rsidR="00000000" w:rsidRDefault="00405D16">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14:paraId="776241A3" w14:textId="77777777" w:rsidR="00000000" w:rsidRDefault="00405D16">
            <w:pPr>
              <w:spacing w:after="100"/>
              <w:jc w:val="center"/>
              <w:rPr>
                <w:rFonts w:eastAsia="Times New Roman"/>
              </w:rPr>
            </w:pPr>
          </w:p>
        </w:tc>
        <w:tc>
          <w:tcPr>
            <w:tcW w:w="0" w:type="auto"/>
            <w:gridSpan w:val="15"/>
            <w:tcMar>
              <w:top w:w="30" w:type="dxa"/>
              <w:left w:w="20" w:type="dxa"/>
              <w:bottom w:w="30" w:type="dxa"/>
              <w:right w:w="20" w:type="dxa"/>
            </w:tcMar>
            <w:vAlign w:val="center"/>
            <w:hideMark/>
          </w:tcPr>
          <w:p w14:paraId="0F7CF24B" w14:textId="77777777" w:rsidR="00000000" w:rsidRDefault="00405D16">
            <w:pPr>
              <w:spacing w:after="100"/>
              <w:jc w:val="center"/>
              <w:rPr>
                <w:rFonts w:eastAsia="Times New Roman"/>
              </w:rPr>
            </w:pPr>
            <w:r>
              <w:rPr>
                <w:rFonts w:eastAsia="Times New Roman"/>
                <w:b/>
                <w:bCs/>
                <w:color w:val="000000"/>
                <w:sz w:val="16"/>
                <w:szCs w:val="16"/>
              </w:rPr>
              <w:t>December 31, 2020</w:t>
            </w:r>
          </w:p>
        </w:tc>
      </w:tr>
      <w:tr w:rsidR="00000000" w14:paraId="770FE7E5" w14:textId="77777777">
        <w:trPr>
          <w:divId w:val="1735277675"/>
        </w:trPr>
        <w:tc>
          <w:tcPr>
            <w:tcW w:w="0" w:type="auto"/>
            <w:gridSpan w:val="3"/>
            <w:tcMar>
              <w:top w:w="0" w:type="dxa"/>
              <w:left w:w="20" w:type="dxa"/>
              <w:bottom w:w="0" w:type="dxa"/>
              <w:right w:w="20" w:type="dxa"/>
            </w:tcMar>
            <w:vAlign w:val="center"/>
            <w:hideMark/>
          </w:tcPr>
          <w:p w14:paraId="77F968F6" w14:textId="77777777" w:rsidR="00000000" w:rsidRDefault="00405D1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63C904A"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C784884" w14:textId="77777777" w:rsidR="00000000" w:rsidRDefault="00405D16">
            <w:pPr>
              <w:spacing w:after="100"/>
              <w:jc w:val="center"/>
              <w:rPr>
                <w:rFonts w:eastAsia="Times New Roman"/>
              </w:rPr>
            </w:pPr>
            <w:r>
              <w:rPr>
                <w:rFonts w:eastAsia="Times New Roman"/>
                <w:b/>
                <w:bCs/>
                <w:color w:val="000000"/>
                <w:sz w:val="16"/>
                <w:szCs w:val="16"/>
              </w:rPr>
              <w:t>Capital One</w:t>
            </w:r>
            <w:r>
              <w:rPr>
                <w:rFonts w:eastAsia="Times New Roman"/>
                <w:b/>
                <w:bCs/>
                <w:color w:val="000000"/>
                <w:sz w:val="16"/>
                <w:szCs w:val="16"/>
              </w:rPr>
              <w:br/>
              <w:t>Financial</w:t>
            </w:r>
            <w:r>
              <w:rPr>
                <w:rFonts w:eastAsia="Times New Roman"/>
                <w:b/>
                <w:bCs/>
                <w:color w:val="000000"/>
                <w:sz w:val="16"/>
                <w:szCs w:val="16"/>
              </w:rPr>
              <w:br/>
              <w:t>Corporation</w:t>
            </w:r>
          </w:p>
        </w:tc>
        <w:tc>
          <w:tcPr>
            <w:tcW w:w="0" w:type="auto"/>
            <w:gridSpan w:val="3"/>
            <w:tcBorders>
              <w:top w:val="single" w:sz="8" w:space="0" w:color="000000"/>
            </w:tcBorders>
            <w:tcMar>
              <w:top w:w="0" w:type="dxa"/>
              <w:left w:w="20" w:type="dxa"/>
              <w:bottom w:w="0" w:type="dxa"/>
              <w:right w:w="20" w:type="dxa"/>
            </w:tcMar>
            <w:vAlign w:val="center"/>
            <w:hideMark/>
          </w:tcPr>
          <w:p w14:paraId="3D82BD6E"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BA9F7C1" w14:textId="77777777" w:rsidR="00000000" w:rsidRDefault="00405D16">
            <w:pPr>
              <w:spacing w:after="100"/>
              <w:jc w:val="center"/>
              <w:rPr>
                <w:rFonts w:eastAsia="Times New Roman"/>
              </w:rPr>
            </w:pPr>
            <w:r>
              <w:rPr>
                <w:rFonts w:eastAsia="Times New Roman"/>
                <w:b/>
                <w:bCs/>
                <w:color w:val="000000"/>
                <w:sz w:val="16"/>
                <w:szCs w:val="16"/>
              </w:rPr>
              <w:t>COBNA</w:t>
            </w:r>
          </w:p>
        </w:tc>
        <w:tc>
          <w:tcPr>
            <w:tcW w:w="0" w:type="auto"/>
            <w:gridSpan w:val="3"/>
            <w:tcBorders>
              <w:top w:val="single" w:sz="8" w:space="0" w:color="000000"/>
            </w:tcBorders>
            <w:tcMar>
              <w:top w:w="0" w:type="dxa"/>
              <w:left w:w="20" w:type="dxa"/>
              <w:bottom w:w="0" w:type="dxa"/>
              <w:right w:w="20" w:type="dxa"/>
            </w:tcMar>
            <w:vAlign w:val="center"/>
            <w:hideMark/>
          </w:tcPr>
          <w:p w14:paraId="22929C4E"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D83131B" w14:textId="77777777" w:rsidR="00000000" w:rsidRDefault="00405D16">
            <w:pPr>
              <w:spacing w:after="100"/>
              <w:jc w:val="center"/>
              <w:rPr>
                <w:rFonts w:eastAsia="Times New Roman"/>
              </w:rPr>
            </w:pPr>
            <w:r>
              <w:rPr>
                <w:rFonts w:eastAsia="Times New Roman"/>
                <w:b/>
                <w:bCs/>
                <w:color w:val="000000"/>
                <w:sz w:val="16"/>
                <w:szCs w:val="16"/>
              </w:rPr>
              <w:t>CONA</w:t>
            </w:r>
          </w:p>
        </w:tc>
        <w:tc>
          <w:tcPr>
            <w:tcW w:w="0" w:type="auto"/>
            <w:gridSpan w:val="3"/>
            <w:tcMar>
              <w:top w:w="0" w:type="dxa"/>
              <w:left w:w="20" w:type="dxa"/>
              <w:bottom w:w="0" w:type="dxa"/>
              <w:right w:w="20" w:type="dxa"/>
            </w:tcMar>
            <w:vAlign w:val="center"/>
            <w:hideMark/>
          </w:tcPr>
          <w:p w14:paraId="5880EA8B"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4B2BA86" w14:textId="77777777" w:rsidR="00000000" w:rsidRDefault="00405D16">
            <w:pPr>
              <w:spacing w:after="100"/>
              <w:jc w:val="center"/>
              <w:rPr>
                <w:rFonts w:eastAsia="Times New Roman"/>
              </w:rPr>
            </w:pPr>
            <w:r>
              <w:rPr>
                <w:rFonts w:eastAsia="Times New Roman"/>
                <w:b/>
                <w:bCs/>
                <w:color w:val="000000"/>
                <w:sz w:val="16"/>
                <w:szCs w:val="16"/>
              </w:rPr>
              <w:t>Capital One</w:t>
            </w:r>
            <w:r>
              <w:rPr>
                <w:rFonts w:eastAsia="Times New Roman"/>
                <w:b/>
                <w:bCs/>
                <w:color w:val="000000"/>
                <w:sz w:val="16"/>
                <w:szCs w:val="16"/>
              </w:rPr>
              <w:br/>
              <w:t>Financial</w:t>
            </w:r>
            <w:r>
              <w:rPr>
                <w:rFonts w:eastAsia="Times New Roman"/>
                <w:b/>
                <w:bCs/>
                <w:color w:val="000000"/>
                <w:sz w:val="16"/>
                <w:szCs w:val="16"/>
              </w:rPr>
              <w:br/>
              <w:t>Corporation</w:t>
            </w:r>
          </w:p>
        </w:tc>
        <w:tc>
          <w:tcPr>
            <w:tcW w:w="0" w:type="auto"/>
            <w:gridSpan w:val="3"/>
            <w:tcBorders>
              <w:top w:val="single" w:sz="8" w:space="0" w:color="000000"/>
            </w:tcBorders>
            <w:tcMar>
              <w:top w:w="0" w:type="dxa"/>
              <w:left w:w="20" w:type="dxa"/>
              <w:bottom w:w="0" w:type="dxa"/>
              <w:right w:w="20" w:type="dxa"/>
            </w:tcMar>
            <w:vAlign w:val="center"/>
            <w:hideMark/>
          </w:tcPr>
          <w:p w14:paraId="37AA9354"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5E2BF88" w14:textId="77777777" w:rsidR="00000000" w:rsidRDefault="00405D16">
            <w:pPr>
              <w:spacing w:after="100"/>
              <w:jc w:val="center"/>
              <w:rPr>
                <w:rFonts w:eastAsia="Times New Roman"/>
              </w:rPr>
            </w:pPr>
            <w:r>
              <w:rPr>
                <w:rFonts w:eastAsia="Times New Roman"/>
                <w:b/>
                <w:bCs/>
                <w:color w:val="000000"/>
                <w:sz w:val="16"/>
                <w:szCs w:val="16"/>
              </w:rPr>
              <w:t>COBNA</w:t>
            </w:r>
          </w:p>
        </w:tc>
        <w:tc>
          <w:tcPr>
            <w:tcW w:w="0" w:type="auto"/>
            <w:gridSpan w:val="3"/>
            <w:tcBorders>
              <w:top w:val="single" w:sz="8" w:space="0" w:color="000000"/>
            </w:tcBorders>
            <w:tcMar>
              <w:top w:w="0" w:type="dxa"/>
              <w:left w:w="20" w:type="dxa"/>
              <w:bottom w:w="0" w:type="dxa"/>
              <w:right w:w="20" w:type="dxa"/>
            </w:tcMar>
            <w:vAlign w:val="center"/>
            <w:hideMark/>
          </w:tcPr>
          <w:p w14:paraId="06DA78DC"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65B4919" w14:textId="77777777" w:rsidR="00000000" w:rsidRDefault="00405D16">
            <w:pPr>
              <w:spacing w:after="100"/>
              <w:jc w:val="center"/>
              <w:rPr>
                <w:rFonts w:eastAsia="Times New Roman"/>
              </w:rPr>
            </w:pPr>
            <w:r>
              <w:rPr>
                <w:rFonts w:eastAsia="Times New Roman"/>
                <w:b/>
                <w:bCs/>
                <w:color w:val="000000"/>
                <w:sz w:val="16"/>
                <w:szCs w:val="16"/>
              </w:rPr>
              <w:t>CONA</w:t>
            </w:r>
          </w:p>
        </w:tc>
      </w:tr>
      <w:tr w:rsidR="00000000" w14:paraId="7C91041F" w14:textId="77777777">
        <w:trPr>
          <w:divId w:val="173527767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84035A7" w14:textId="77777777" w:rsidR="00000000" w:rsidRDefault="00405D16">
            <w:pPr>
              <w:spacing w:after="100"/>
              <w:rPr>
                <w:rFonts w:eastAsia="Times New Roman"/>
              </w:rPr>
            </w:pPr>
            <w:r>
              <w:rPr>
                <w:rFonts w:eastAsia="Times New Roman"/>
                <w:color w:val="000000"/>
                <w:sz w:val="18"/>
                <w:szCs w:val="18"/>
              </w:rPr>
              <w:t>Moody’s</w:t>
            </w:r>
          </w:p>
        </w:tc>
        <w:tc>
          <w:tcPr>
            <w:tcW w:w="0" w:type="auto"/>
            <w:gridSpan w:val="3"/>
            <w:shd w:val="clear" w:color="auto" w:fill="CCEEFF"/>
            <w:tcMar>
              <w:top w:w="0" w:type="dxa"/>
              <w:left w:w="20" w:type="dxa"/>
              <w:bottom w:w="0" w:type="dxa"/>
              <w:right w:w="20" w:type="dxa"/>
            </w:tcMar>
            <w:vAlign w:val="center"/>
            <w:hideMark/>
          </w:tcPr>
          <w:p w14:paraId="12570C15"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0772EE3" w14:textId="77777777" w:rsidR="00000000" w:rsidRDefault="00405D16">
            <w:pPr>
              <w:spacing w:after="100"/>
              <w:jc w:val="right"/>
              <w:rPr>
                <w:rFonts w:eastAsia="Times New Roman"/>
              </w:rPr>
            </w:pPr>
            <w:r>
              <w:rPr>
                <w:rFonts w:eastAsia="Times New Roman"/>
                <w:b/>
                <w:bCs/>
                <w:color w:val="000000"/>
                <w:sz w:val="18"/>
                <w:szCs w:val="18"/>
              </w:rPr>
              <w:t>Baa1</w:t>
            </w:r>
          </w:p>
        </w:tc>
        <w:tc>
          <w:tcPr>
            <w:tcW w:w="0" w:type="auto"/>
            <w:gridSpan w:val="3"/>
            <w:shd w:val="clear" w:color="auto" w:fill="CCEEFF"/>
            <w:tcMar>
              <w:top w:w="0" w:type="dxa"/>
              <w:left w:w="20" w:type="dxa"/>
              <w:bottom w:w="0" w:type="dxa"/>
              <w:right w:w="20" w:type="dxa"/>
            </w:tcMar>
            <w:vAlign w:val="center"/>
            <w:hideMark/>
          </w:tcPr>
          <w:p w14:paraId="674E8936" w14:textId="77777777" w:rsidR="00000000" w:rsidRDefault="00405D16">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AF2D926" w14:textId="77777777" w:rsidR="00000000" w:rsidRDefault="00405D16">
            <w:pPr>
              <w:spacing w:after="100"/>
              <w:jc w:val="right"/>
              <w:rPr>
                <w:rFonts w:eastAsia="Times New Roman"/>
              </w:rPr>
            </w:pPr>
            <w:r>
              <w:rPr>
                <w:rFonts w:eastAsia="Times New Roman"/>
                <w:b/>
                <w:bCs/>
                <w:color w:val="000000"/>
                <w:sz w:val="18"/>
                <w:szCs w:val="18"/>
              </w:rPr>
              <w:t>A3</w:t>
            </w:r>
          </w:p>
        </w:tc>
        <w:tc>
          <w:tcPr>
            <w:tcW w:w="0" w:type="auto"/>
            <w:gridSpan w:val="3"/>
            <w:shd w:val="clear" w:color="auto" w:fill="CCEEFF"/>
            <w:tcMar>
              <w:top w:w="0" w:type="dxa"/>
              <w:left w:w="20" w:type="dxa"/>
              <w:bottom w:w="0" w:type="dxa"/>
              <w:right w:w="20" w:type="dxa"/>
            </w:tcMar>
            <w:vAlign w:val="center"/>
            <w:hideMark/>
          </w:tcPr>
          <w:p w14:paraId="61815C4C" w14:textId="77777777" w:rsidR="00000000" w:rsidRDefault="00405D16">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ABEB31D" w14:textId="77777777" w:rsidR="00000000" w:rsidRDefault="00405D16">
            <w:pPr>
              <w:spacing w:after="100"/>
              <w:jc w:val="right"/>
              <w:rPr>
                <w:rFonts w:eastAsia="Times New Roman"/>
              </w:rPr>
            </w:pPr>
            <w:r>
              <w:rPr>
                <w:rFonts w:eastAsia="Times New Roman"/>
                <w:b/>
                <w:bCs/>
                <w:color w:val="000000"/>
                <w:sz w:val="18"/>
                <w:szCs w:val="18"/>
              </w:rPr>
              <w:t>A3</w:t>
            </w:r>
          </w:p>
        </w:tc>
        <w:tc>
          <w:tcPr>
            <w:tcW w:w="0" w:type="auto"/>
            <w:gridSpan w:val="3"/>
            <w:shd w:val="clear" w:color="auto" w:fill="CCEEFF"/>
            <w:tcMar>
              <w:top w:w="0" w:type="dxa"/>
              <w:left w:w="20" w:type="dxa"/>
              <w:bottom w:w="0" w:type="dxa"/>
              <w:right w:w="20" w:type="dxa"/>
            </w:tcMar>
            <w:vAlign w:val="center"/>
            <w:hideMark/>
          </w:tcPr>
          <w:p w14:paraId="40EA41C4" w14:textId="77777777" w:rsidR="00000000" w:rsidRDefault="00405D16">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5E9DB0F" w14:textId="77777777" w:rsidR="00000000" w:rsidRDefault="00405D16">
            <w:pPr>
              <w:spacing w:after="100"/>
              <w:jc w:val="right"/>
              <w:rPr>
                <w:rFonts w:eastAsia="Times New Roman"/>
              </w:rPr>
            </w:pPr>
            <w:r>
              <w:rPr>
                <w:rFonts w:eastAsia="Times New Roman"/>
                <w:color w:val="000000"/>
                <w:sz w:val="18"/>
                <w:szCs w:val="18"/>
              </w:rPr>
              <w:t>Baa1</w:t>
            </w:r>
          </w:p>
        </w:tc>
        <w:tc>
          <w:tcPr>
            <w:tcW w:w="0" w:type="auto"/>
            <w:gridSpan w:val="3"/>
            <w:shd w:val="clear" w:color="auto" w:fill="CCEEFF"/>
            <w:tcMar>
              <w:top w:w="0" w:type="dxa"/>
              <w:left w:w="20" w:type="dxa"/>
              <w:bottom w:w="0" w:type="dxa"/>
              <w:right w:w="20" w:type="dxa"/>
            </w:tcMar>
            <w:vAlign w:val="center"/>
            <w:hideMark/>
          </w:tcPr>
          <w:p w14:paraId="2785CD01" w14:textId="77777777" w:rsidR="00000000" w:rsidRDefault="00405D16">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53167142" w14:textId="77777777" w:rsidR="00000000" w:rsidRDefault="00405D16">
            <w:pPr>
              <w:spacing w:after="100"/>
              <w:jc w:val="right"/>
              <w:rPr>
                <w:rFonts w:eastAsia="Times New Roman"/>
              </w:rPr>
            </w:pPr>
            <w:r>
              <w:rPr>
                <w:rFonts w:eastAsia="Times New Roman"/>
                <w:color w:val="000000"/>
                <w:sz w:val="18"/>
                <w:szCs w:val="18"/>
              </w:rPr>
              <w:t>Baa1</w:t>
            </w:r>
          </w:p>
        </w:tc>
        <w:tc>
          <w:tcPr>
            <w:tcW w:w="0" w:type="auto"/>
            <w:gridSpan w:val="3"/>
            <w:shd w:val="clear" w:color="auto" w:fill="CCEEFF"/>
            <w:tcMar>
              <w:top w:w="0" w:type="dxa"/>
              <w:left w:w="20" w:type="dxa"/>
              <w:bottom w:w="0" w:type="dxa"/>
              <w:right w:w="20" w:type="dxa"/>
            </w:tcMar>
            <w:vAlign w:val="center"/>
            <w:hideMark/>
          </w:tcPr>
          <w:p w14:paraId="1F03DF46" w14:textId="77777777" w:rsidR="00000000" w:rsidRDefault="00405D16">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299424A" w14:textId="77777777" w:rsidR="00000000" w:rsidRDefault="00405D16">
            <w:pPr>
              <w:spacing w:after="100"/>
              <w:jc w:val="right"/>
              <w:rPr>
                <w:rFonts w:eastAsia="Times New Roman"/>
              </w:rPr>
            </w:pPr>
            <w:r>
              <w:rPr>
                <w:rFonts w:eastAsia="Times New Roman"/>
                <w:color w:val="000000"/>
                <w:sz w:val="18"/>
                <w:szCs w:val="18"/>
              </w:rPr>
              <w:t>Baa1</w:t>
            </w:r>
          </w:p>
        </w:tc>
      </w:tr>
      <w:tr w:rsidR="00000000" w14:paraId="3426D057" w14:textId="77777777">
        <w:trPr>
          <w:divId w:val="1735277675"/>
        </w:trPr>
        <w:tc>
          <w:tcPr>
            <w:tcW w:w="0" w:type="auto"/>
            <w:gridSpan w:val="3"/>
            <w:shd w:val="clear" w:color="auto" w:fill="FFFFFF"/>
            <w:tcMar>
              <w:top w:w="30" w:type="dxa"/>
              <w:left w:w="20" w:type="dxa"/>
              <w:bottom w:w="30" w:type="dxa"/>
              <w:right w:w="20" w:type="dxa"/>
            </w:tcMar>
            <w:vAlign w:val="center"/>
            <w:hideMark/>
          </w:tcPr>
          <w:p w14:paraId="6258012F" w14:textId="77777777" w:rsidR="00000000" w:rsidRDefault="00405D16">
            <w:pPr>
              <w:spacing w:after="100"/>
              <w:rPr>
                <w:rFonts w:eastAsia="Times New Roman"/>
              </w:rPr>
            </w:pPr>
            <w:r>
              <w:rPr>
                <w:rFonts w:eastAsia="Times New Roman"/>
                <w:color w:val="000000"/>
                <w:sz w:val="18"/>
                <w:szCs w:val="18"/>
              </w:rPr>
              <w:t>S&amp;P</w:t>
            </w:r>
          </w:p>
        </w:tc>
        <w:tc>
          <w:tcPr>
            <w:tcW w:w="0" w:type="auto"/>
            <w:gridSpan w:val="3"/>
            <w:shd w:val="clear" w:color="auto" w:fill="FFFFFF"/>
            <w:tcMar>
              <w:top w:w="0" w:type="dxa"/>
              <w:left w:w="20" w:type="dxa"/>
              <w:bottom w:w="0" w:type="dxa"/>
              <w:right w:w="20" w:type="dxa"/>
            </w:tcMar>
            <w:vAlign w:val="center"/>
            <w:hideMark/>
          </w:tcPr>
          <w:p w14:paraId="653265E0" w14:textId="77777777" w:rsidR="00000000" w:rsidRDefault="00405D16">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597B419A" w14:textId="77777777" w:rsidR="00000000" w:rsidRDefault="00405D16">
            <w:pPr>
              <w:spacing w:after="100"/>
              <w:jc w:val="right"/>
              <w:rPr>
                <w:rFonts w:eastAsia="Times New Roman"/>
              </w:rPr>
            </w:pPr>
            <w:r>
              <w:rPr>
                <w:rFonts w:eastAsia="Times New Roman"/>
                <w:b/>
                <w:bCs/>
                <w:color w:val="000000"/>
                <w:sz w:val="18"/>
                <w:szCs w:val="18"/>
              </w:rPr>
              <w:t>BBB</w:t>
            </w:r>
          </w:p>
        </w:tc>
        <w:tc>
          <w:tcPr>
            <w:tcW w:w="0" w:type="auto"/>
            <w:gridSpan w:val="3"/>
            <w:shd w:val="clear" w:color="auto" w:fill="FFFFFF"/>
            <w:tcMar>
              <w:top w:w="0" w:type="dxa"/>
              <w:left w:w="20" w:type="dxa"/>
              <w:bottom w:w="0" w:type="dxa"/>
              <w:right w:w="20" w:type="dxa"/>
            </w:tcMar>
            <w:vAlign w:val="center"/>
            <w:hideMark/>
          </w:tcPr>
          <w:p w14:paraId="68909B1E" w14:textId="77777777" w:rsidR="00000000" w:rsidRDefault="00405D16">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0E9BB680" w14:textId="77777777" w:rsidR="00000000" w:rsidRDefault="00405D16">
            <w:pPr>
              <w:spacing w:after="100"/>
              <w:jc w:val="right"/>
              <w:rPr>
                <w:rFonts w:eastAsia="Times New Roman"/>
              </w:rPr>
            </w:pPr>
            <w:r>
              <w:rPr>
                <w:rFonts w:eastAsia="Times New Roman"/>
                <w:b/>
                <w:bCs/>
                <w:color w:val="000000"/>
                <w:sz w:val="18"/>
                <w:szCs w:val="18"/>
              </w:rPr>
              <w:t>BBB+</w:t>
            </w:r>
          </w:p>
        </w:tc>
        <w:tc>
          <w:tcPr>
            <w:tcW w:w="0" w:type="auto"/>
            <w:gridSpan w:val="3"/>
            <w:shd w:val="clear" w:color="auto" w:fill="FFFFFF"/>
            <w:tcMar>
              <w:top w:w="0" w:type="dxa"/>
              <w:left w:w="20" w:type="dxa"/>
              <w:bottom w:w="0" w:type="dxa"/>
              <w:right w:w="20" w:type="dxa"/>
            </w:tcMar>
            <w:vAlign w:val="center"/>
            <w:hideMark/>
          </w:tcPr>
          <w:p w14:paraId="06B515DC" w14:textId="77777777" w:rsidR="00000000" w:rsidRDefault="00405D16">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6C1445BA" w14:textId="77777777" w:rsidR="00000000" w:rsidRDefault="00405D16">
            <w:pPr>
              <w:spacing w:after="100"/>
              <w:jc w:val="right"/>
              <w:rPr>
                <w:rFonts w:eastAsia="Times New Roman"/>
              </w:rPr>
            </w:pPr>
            <w:r>
              <w:rPr>
                <w:rFonts w:eastAsia="Times New Roman"/>
                <w:b/>
                <w:bCs/>
                <w:color w:val="000000"/>
                <w:sz w:val="18"/>
                <w:szCs w:val="18"/>
              </w:rPr>
              <w:t>BBB+</w:t>
            </w:r>
          </w:p>
        </w:tc>
        <w:tc>
          <w:tcPr>
            <w:tcW w:w="0" w:type="auto"/>
            <w:gridSpan w:val="3"/>
            <w:shd w:val="clear" w:color="auto" w:fill="FFFFFF"/>
            <w:tcMar>
              <w:top w:w="0" w:type="dxa"/>
              <w:left w:w="20" w:type="dxa"/>
              <w:bottom w:w="0" w:type="dxa"/>
              <w:right w:w="20" w:type="dxa"/>
            </w:tcMar>
            <w:vAlign w:val="center"/>
            <w:hideMark/>
          </w:tcPr>
          <w:p w14:paraId="60C3E23C" w14:textId="77777777" w:rsidR="00000000" w:rsidRDefault="00405D16">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55CB06C4" w14:textId="77777777" w:rsidR="00000000" w:rsidRDefault="00405D16">
            <w:pPr>
              <w:spacing w:after="100"/>
              <w:jc w:val="right"/>
              <w:rPr>
                <w:rFonts w:eastAsia="Times New Roman"/>
              </w:rPr>
            </w:pPr>
            <w:r>
              <w:rPr>
                <w:rFonts w:eastAsia="Times New Roman"/>
                <w:color w:val="000000"/>
                <w:sz w:val="18"/>
                <w:szCs w:val="18"/>
              </w:rPr>
              <w:t>BBB</w:t>
            </w:r>
          </w:p>
        </w:tc>
        <w:tc>
          <w:tcPr>
            <w:tcW w:w="0" w:type="auto"/>
            <w:gridSpan w:val="3"/>
            <w:shd w:val="clear" w:color="auto" w:fill="FFFFFF"/>
            <w:tcMar>
              <w:top w:w="0" w:type="dxa"/>
              <w:left w:w="20" w:type="dxa"/>
              <w:bottom w:w="0" w:type="dxa"/>
              <w:right w:w="20" w:type="dxa"/>
            </w:tcMar>
            <w:vAlign w:val="center"/>
            <w:hideMark/>
          </w:tcPr>
          <w:p w14:paraId="68CF676A" w14:textId="77777777" w:rsidR="00000000" w:rsidRDefault="00405D16">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77BF4205" w14:textId="77777777" w:rsidR="00000000" w:rsidRDefault="00405D16">
            <w:pPr>
              <w:spacing w:after="100"/>
              <w:jc w:val="right"/>
              <w:rPr>
                <w:rFonts w:eastAsia="Times New Roman"/>
              </w:rPr>
            </w:pPr>
            <w:r>
              <w:rPr>
                <w:rFonts w:eastAsia="Times New Roman"/>
                <w:color w:val="000000"/>
                <w:sz w:val="18"/>
                <w:szCs w:val="18"/>
              </w:rPr>
              <w:t>BBB+</w:t>
            </w:r>
          </w:p>
        </w:tc>
        <w:tc>
          <w:tcPr>
            <w:tcW w:w="0" w:type="auto"/>
            <w:gridSpan w:val="3"/>
            <w:shd w:val="clear" w:color="auto" w:fill="FFFFFF"/>
            <w:tcMar>
              <w:top w:w="0" w:type="dxa"/>
              <w:left w:w="20" w:type="dxa"/>
              <w:bottom w:w="0" w:type="dxa"/>
              <w:right w:w="20" w:type="dxa"/>
            </w:tcMar>
            <w:vAlign w:val="center"/>
            <w:hideMark/>
          </w:tcPr>
          <w:p w14:paraId="7F54A4F6" w14:textId="77777777" w:rsidR="00000000" w:rsidRDefault="00405D16">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6D4967FA" w14:textId="77777777" w:rsidR="00000000" w:rsidRDefault="00405D16">
            <w:pPr>
              <w:spacing w:after="100"/>
              <w:jc w:val="right"/>
              <w:rPr>
                <w:rFonts w:eastAsia="Times New Roman"/>
              </w:rPr>
            </w:pPr>
            <w:r>
              <w:rPr>
                <w:rFonts w:eastAsia="Times New Roman"/>
                <w:color w:val="000000"/>
                <w:sz w:val="18"/>
                <w:szCs w:val="18"/>
              </w:rPr>
              <w:t>BBB+</w:t>
            </w:r>
          </w:p>
        </w:tc>
      </w:tr>
      <w:tr w:rsidR="00000000" w14:paraId="05BE98F5" w14:textId="77777777">
        <w:trPr>
          <w:divId w:val="1735277675"/>
        </w:trPr>
        <w:tc>
          <w:tcPr>
            <w:tcW w:w="0" w:type="auto"/>
            <w:gridSpan w:val="3"/>
            <w:shd w:val="clear" w:color="auto" w:fill="CCEEFF"/>
            <w:tcMar>
              <w:top w:w="30" w:type="dxa"/>
              <w:left w:w="20" w:type="dxa"/>
              <w:bottom w:w="30" w:type="dxa"/>
              <w:right w:w="20" w:type="dxa"/>
            </w:tcMar>
            <w:vAlign w:val="center"/>
            <w:hideMark/>
          </w:tcPr>
          <w:p w14:paraId="50137072" w14:textId="77777777" w:rsidR="00000000" w:rsidRDefault="00405D16">
            <w:pPr>
              <w:spacing w:after="100"/>
              <w:rPr>
                <w:rFonts w:eastAsia="Times New Roman"/>
              </w:rPr>
            </w:pPr>
            <w:r>
              <w:rPr>
                <w:rFonts w:eastAsia="Times New Roman"/>
                <w:color w:val="000000"/>
                <w:sz w:val="18"/>
                <w:szCs w:val="18"/>
              </w:rPr>
              <w:t>Fitch</w:t>
            </w:r>
          </w:p>
        </w:tc>
        <w:tc>
          <w:tcPr>
            <w:tcW w:w="0" w:type="auto"/>
            <w:gridSpan w:val="3"/>
            <w:shd w:val="clear" w:color="auto" w:fill="CCEEFF"/>
            <w:tcMar>
              <w:top w:w="0" w:type="dxa"/>
              <w:left w:w="20" w:type="dxa"/>
              <w:bottom w:w="0" w:type="dxa"/>
              <w:right w:w="20" w:type="dxa"/>
            </w:tcMar>
            <w:vAlign w:val="center"/>
            <w:hideMark/>
          </w:tcPr>
          <w:p w14:paraId="14CDB343" w14:textId="77777777" w:rsidR="00000000" w:rsidRDefault="00405D16">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3262CFC2" w14:textId="77777777" w:rsidR="00000000" w:rsidRDefault="00405D16">
            <w:pPr>
              <w:spacing w:after="100"/>
              <w:jc w:val="right"/>
              <w:rPr>
                <w:rFonts w:eastAsia="Times New Roman"/>
              </w:rPr>
            </w:pPr>
            <w:r>
              <w:rPr>
                <w:rFonts w:eastAsia="Times New Roman"/>
                <w:b/>
                <w:bCs/>
                <w:color w:val="000000"/>
                <w:sz w:val="18"/>
                <w:szCs w:val="18"/>
              </w:rPr>
              <w:t>A-</w:t>
            </w:r>
          </w:p>
        </w:tc>
        <w:tc>
          <w:tcPr>
            <w:tcW w:w="0" w:type="auto"/>
            <w:gridSpan w:val="3"/>
            <w:shd w:val="clear" w:color="auto" w:fill="CCEEFF"/>
            <w:tcMar>
              <w:top w:w="0" w:type="dxa"/>
              <w:left w:w="20" w:type="dxa"/>
              <w:bottom w:w="0" w:type="dxa"/>
              <w:right w:w="20" w:type="dxa"/>
            </w:tcMar>
            <w:vAlign w:val="center"/>
            <w:hideMark/>
          </w:tcPr>
          <w:p w14:paraId="13C904B8" w14:textId="77777777" w:rsidR="00000000" w:rsidRDefault="00405D16">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21C6C603" w14:textId="77777777" w:rsidR="00000000" w:rsidRDefault="00405D16">
            <w:pPr>
              <w:spacing w:after="100"/>
              <w:jc w:val="right"/>
              <w:rPr>
                <w:rFonts w:eastAsia="Times New Roman"/>
              </w:rPr>
            </w:pPr>
            <w:r>
              <w:rPr>
                <w:rFonts w:eastAsia="Times New Roman"/>
                <w:b/>
                <w:bCs/>
                <w:color w:val="000000"/>
                <w:sz w:val="18"/>
                <w:szCs w:val="18"/>
              </w:rPr>
              <w:t>A</w:t>
            </w:r>
          </w:p>
        </w:tc>
        <w:tc>
          <w:tcPr>
            <w:tcW w:w="0" w:type="auto"/>
            <w:gridSpan w:val="3"/>
            <w:shd w:val="clear" w:color="auto" w:fill="CCEEFF"/>
            <w:tcMar>
              <w:top w:w="0" w:type="dxa"/>
              <w:left w:w="20" w:type="dxa"/>
              <w:bottom w:w="0" w:type="dxa"/>
              <w:right w:w="20" w:type="dxa"/>
            </w:tcMar>
            <w:vAlign w:val="center"/>
            <w:hideMark/>
          </w:tcPr>
          <w:p w14:paraId="61A71949" w14:textId="77777777" w:rsidR="00000000" w:rsidRDefault="00405D16">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6281E833" w14:textId="77777777" w:rsidR="00000000" w:rsidRDefault="00405D16">
            <w:pPr>
              <w:spacing w:after="100"/>
              <w:jc w:val="right"/>
              <w:rPr>
                <w:rFonts w:eastAsia="Times New Roman"/>
              </w:rPr>
            </w:pPr>
            <w:r>
              <w:rPr>
                <w:rFonts w:eastAsia="Times New Roman"/>
                <w:b/>
                <w:bCs/>
                <w:color w:val="000000"/>
                <w:sz w:val="18"/>
                <w:szCs w:val="18"/>
              </w:rPr>
              <w:t>A</w:t>
            </w:r>
          </w:p>
        </w:tc>
        <w:tc>
          <w:tcPr>
            <w:tcW w:w="0" w:type="auto"/>
            <w:gridSpan w:val="3"/>
            <w:shd w:val="clear" w:color="auto" w:fill="CCEEFF"/>
            <w:tcMar>
              <w:top w:w="0" w:type="dxa"/>
              <w:left w:w="20" w:type="dxa"/>
              <w:bottom w:w="0" w:type="dxa"/>
              <w:right w:w="20" w:type="dxa"/>
            </w:tcMar>
            <w:vAlign w:val="center"/>
            <w:hideMark/>
          </w:tcPr>
          <w:p w14:paraId="2CB5CED6" w14:textId="77777777" w:rsidR="00000000" w:rsidRDefault="00405D16">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55CCA735" w14:textId="77777777" w:rsidR="00000000" w:rsidRDefault="00405D16">
            <w:pPr>
              <w:spacing w:after="100"/>
              <w:jc w:val="right"/>
              <w:rPr>
                <w:rFonts w:eastAsia="Times New Roman"/>
              </w:rPr>
            </w:pPr>
            <w:r>
              <w:rPr>
                <w:rFonts w:eastAsia="Times New Roman"/>
                <w:color w:val="000000"/>
                <w:sz w:val="18"/>
                <w:szCs w:val="18"/>
              </w:rPr>
              <w:t>A-</w:t>
            </w:r>
          </w:p>
        </w:tc>
        <w:tc>
          <w:tcPr>
            <w:tcW w:w="0" w:type="auto"/>
            <w:gridSpan w:val="3"/>
            <w:shd w:val="clear" w:color="auto" w:fill="CCEEFF"/>
            <w:tcMar>
              <w:top w:w="0" w:type="dxa"/>
              <w:left w:w="20" w:type="dxa"/>
              <w:bottom w:w="0" w:type="dxa"/>
              <w:right w:w="20" w:type="dxa"/>
            </w:tcMar>
            <w:vAlign w:val="center"/>
            <w:hideMark/>
          </w:tcPr>
          <w:p w14:paraId="27377053" w14:textId="77777777" w:rsidR="00000000" w:rsidRDefault="00405D16">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14DCF25A" w14:textId="77777777" w:rsidR="00000000" w:rsidRDefault="00405D16">
            <w:pPr>
              <w:spacing w:after="100"/>
              <w:jc w:val="right"/>
              <w:rPr>
                <w:rFonts w:eastAsia="Times New Roman"/>
              </w:rPr>
            </w:pPr>
            <w:r>
              <w:rPr>
                <w:rFonts w:eastAsia="Times New Roman"/>
                <w:color w:val="000000"/>
                <w:sz w:val="18"/>
                <w:szCs w:val="18"/>
              </w:rPr>
              <w:t>A-</w:t>
            </w:r>
          </w:p>
        </w:tc>
        <w:tc>
          <w:tcPr>
            <w:tcW w:w="0" w:type="auto"/>
            <w:gridSpan w:val="3"/>
            <w:shd w:val="clear" w:color="auto" w:fill="CCEEFF"/>
            <w:tcMar>
              <w:top w:w="0" w:type="dxa"/>
              <w:left w:w="20" w:type="dxa"/>
              <w:bottom w:w="0" w:type="dxa"/>
              <w:right w:w="20" w:type="dxa"/>
            </w:tcMar>
            <w:vAlign w:val="center"/>
            <w:hideMark/>
          </w:tcPr>
          <w:p w14:paraId="7B4A2422" w14:textId="77777777" w:rsidR="00000000" w:rsidRDefault="00405D16">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66592A74" w14:textId="77777777" w:rsidR="00000000" w:rsidRDefault="00405D16">
            <w:pPr>
              <w:spacing w:after="100"/>
              <w:jc w:val="right"/>
              <w:rPr>
                <w:rFonts w:eastAsia="Times New Roman"/>
              </w:rPr>
            </w:pPr>
            <w:r>
              <w:rPr>
                <w:rFonts w:eastAsia="Times New Roman"/>
                <w:color w:val="000000"/>
                <w:sz w:val="18"/>
                <w:szCs w:val="18"/>
              </w:rPr>
              <w:t>A-</w:t>
            </w:r>
          </w:p>
        </w:tc>
      </w:tr>
    </w:tbl>
    <w:p w14:paraId="7BFEA94B" w14:textId="77777777" w:rsidR="00000000" w:rsidRDefault="00405D16">
      <w:pPr>
        <w:jc w:val="both"/>
        <w:divId w:val="2069331831"/>
        <w:rPr>
          <w:rFonts w:eastAsia="Times New Roman"/>
        </w:rPr>
      </w:pPr>
      <w:r>
        <w:rPr>
          <w:rFonts w:eastAsia="Times New Roman"/>
          <w:color w:val="000000"/>
          <w:sz w:val="20"/>
          <w:szCs w:val="20"/>
        </w:rPr>
        <w:t>As of October 25, 2021, Moody’s Investors Service (“Moody’s”), Standard &amp; Poor’s (“S&amp;P”) and Fitch Ratings (“Fitch”) have our credit ratings on a stable outlook.</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2CEC4A76" w14:textId="77777777">
        <w:trPr>
          <w:divId w:val="916087972"/>
        </w:trPr>
        <w:tc>
          <w:tcPr>
            <w:tcW w:w="50" w:type="pct"/>
            <w:vAlign w:val="center"/>
            <w:hideMark/>
          </w:tcPr>
          <w:p w14:paraId="73B1AE95" w14:textId="77777777" w:rsidR="00000000" w:rsidRDefault="00405D16">
            <w:pPr>
              <w:jc w:val="both"/>
              <w:rPr>
                <w:rFonts w:eastAsia="Times New Roman"/>
              </w:rPr>
            </w:pPr>
          </w:p>
        </w:tc>
        <w:tc>
          <w:tcPr>
            <w:tcW w:w="4945" w:type="pct"/>
            <w:vAlign w:val="center"/>
            <w:hideMark/>
          </w:tcPr>
          <w:p w14:paraId="02839294" w14:textId="77777777" w:rsidR="00000000" w:rsidRDefault="00405D16">
            <w:pPr>
              <w:spacing w:after="100"/>
              <w:rPr>
                <w:rFonts w:eastAsia="Times New Roman"/>
                <w:sz w:val="20"/>
                <w:szCs w:val="20"/>
              </w:rPr>
            </w:pPr>
          </w:p>
        </w:tc>
        <w:tc>
          <w:tcPr>
            <w:tcW w:w="5" w:type="pct"/>
            <w:vAlign w:val="center"/>
            <w:hideMark/>
          </w:tcPr>
          <w:p w14:paraId="0C9AE267" w14:textId="77777777" w:rsidR="00000000" w:rsidRDefault="00405D16">
            <w:pPr>
              <w:spacing w:after="100"/>
              <w:rPr>
                <w:rFonts w:eastAsia="Times New Roman"/>
                <w:sz w:val="20"/>
                <w:szCs w:val="20"/>
              </w:rPr>
            </w:pPr>
          </w:p>
        </w:tc>
      </w:tr>
      <w:tr w:rsidR="00000000" w14:paraId="675B6834" w14:textId="77777777">
        <w:trPr>
          <w:divId w:val="916087972"/>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7FF14E72" w14:textId="77777777" w:rsidR="00000000" w:rsidRDefault="00405D16">
            <w:pPr>
              <w:spacing w:after="100"/>
              <w:rPr>
                <w:rFonts w:eastAsia="Times New Roman"/>
              </w:rPr>
            </w:pPr>
            <w:r>
              <w:rPr>
                <w:rFonts w:eastAsia="Times New Roman"/>
                <w:b/>
                <w:bCs/>
                <w:color w:val="000000"/>
                <w:sz w:val="20"/>
                <w:szCs w:val="20"/>
              </w:rPr>
              <w:t>MARKET RISK PROFILE</w:t>
            </w:r>
          </w:p>
        </w:tc>
      </w:tr>
    </w:tbl>
    <w:p w14:paraId="38B993FE" w14:textId="77777777" w:rsidR="00000000" w:rsidRDefault="00405D16">
      <w:pPr>
        <w:jc w:val="both"/>
        <w:divId w:val="3746657"/>
        <w:rPr>
          <w:rFonts w:eastAsia="Times New Roman"/>
        </w:rPr>
      </w:pPr>
      <w:r>
        <w:rPr>
          <w:rFonts w:eastAsia="Times New Roman"/>
          <w:color w:val="000000"/>
          <w:sz w:val="20"/>
          <w:szCs w:val="20"/>
        </w:rPr>
        <w:t>Market risk is the risk of economic loss in the value of our financial instruments due to changes in market factors. Our primary market risk exposures include interest rate risk, foreign exchange risk and commodity pricing risk. We are exposed to market ri</w:t>
      </w:r>
      <w:r>
        <w:rPr>
          <w:rFonts w:eastAsia="Times New Roman"/>
          <w:color w:val="000000"/>
          <w:sz w:val="20"/>
          <w:szCs w:val="20"/>
        </w:rPr>
        <w:t>sk primarily from the following operations and activities:</w:t>
      </w:r>
    </w:p>
    <w:p w14:paraId="426F4FD7" w14:textId="77777777" w:rsidR="00000000" w:rsidRDefault="00405D16">
      <w:pPr>
        <w:ind w:hanging="360"/>
        <w:jc w:val="both"/>
        <w:divId w:val="854155344"/>
        <w:rPr>
          <w:rFonts w:eastAsia="Times New Roman"/>
        </w:rPr>
      </w:pPr>
      <w:r>
        <w:rPr>
          <w:rFonts w:eastAsia="Times New Roman"/>
          <w:color w:val="000000"/>
          <w:sz w:val="20"/>
          <w:szCs w:val="20"/>
        </w:rPr>
        <w:t>•Traditional banking activities of deposit gathering and lending;</w:t>
      </w:r>
    </w:p>
    <w:p w14:paraId="4356B968" w14:textId="77777777" w:rsidR="00000000" w:rsidRDefault="00405D16">
      <w:pPr>
        <w:ind w:hanging="360"/>
        <w:jc w:val="both"/>
        <w:divId w:val="80106774"/>
        <w:rPr>
          <w:rFonts w:eastAsia="Times New Roman"/>
        </w:rPr>
      </w:pPr>
      <w:r>
        <w:rPr>
          <w:rFonts w:eastAsia="Times New Roman"/>
          <w:color w:val="000000"/>
          <w:sz w:val="20"/>
          <w:szCs w:val="20"/>
        </w:rPr>
        <w:t>•Asset/liability management activities including the management of investment securities, short-term and long-term borrowings and d</w:t>
      </w:r>
      <w:r>
        <w:rPr>
          <w:rFonts w:eastAsia="Times New Roman"/>
          <w:color w:val="000000"/>
          <w:sz w:val="20"/>
          <w:szCs w:val="20"/>
        </w:rPr>
        <w:t>erivatives;</w:t>
      </w:r>
    </w:p>
    <w:p w14:paraId="71139D80" w14:textId="77777777" w:rsidR="00000000" w:rsidRDefault="00405D16">
      <w:pPr>
        <w:ind w:hanging="360"/>
        <w:jc w:val="both"/>
        <w:divId w:val="1200627237"/>
        <w:rPr>
          <w:rFonts w:eastAsia="Times New Roman"/>
        </w:rPr>
      </w:pPr>
      <w:r>
        <w:rPr>
          <w:rFonts w:eastAsia="Times New Roman"/>
          <w:color w:val="000000"/>
          <w:sz w:val="20"/>
          <w:szCs w:val="20"/>
        </w:rPr>
        <w:t>•Foreign operations in the U.K. and Canada within our Credit Card business; and</w:t>
      </w:r>
    </w:p>
    <w:p w14:paraId="188E25B9" w14:textId="77777777" w:rsidR="00000000" w:rsidRDefault="00405D16">
      <w:pPr>
        <w:ind w:hanging="360"/>
        <w:jc w:val="both"/>
        <w:divId w:val="2067752684"/>
        <w:rPr>
          <w:rFonts w:eastAsia="Times New Roman"/>
        </w:rPr>
      </w:pPr>
      <w:r>
        <w:rPr>
          <w:rFonts w:eastAsia="Times New Roman"/>
          <w:color w:val="000000"/>
          <w:sz w:val="20"/>
          <w:szCs w:val="20"/>
        </w:rPr>
        <w:t>•Customer accommodation activities within our Commercial Banking business.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10705ABF" w14:textId="77777777">
        <w:trPr>
          <w:divId w:val="146939317"/>
          <w:jc w:val="center"/>
        </w:trPr>
        <w:tc>
          <w:tcPr>
            <w:tcW w:w="50" w:type="pct"/>
            <w:vAlign w:val="center"/>
            <w:hideMark/>
          </w:tcPr>
          <w:p w14:paraId="2049E52E" w14:textId="77777777" w:rsidR="00000000" w:rsidRDefault="00405D16">
            <w:pPr>
              <w:ind w:hanging="360"/>
              <w:jc w:val="both"/>
              <w:rPr>
                <w:rFonts w:eastAsia="Times New Roman"/>
              </w:rPr>
            </w:pPr>
          </w:p>
        </w:tc>
        <w:tc>
          <w:tcPr>
            <w:tcW w:w="1606" w:type="pct"/>
            <w:vAlign w:val="center"/>
            <w:hideMark/>
          </w:tcPr>
          <w:p w14:paraId="4DE9C750" w14:textId="77777777" w:rsidR="00000000" w:rsidRDefault="00405D16">
            <w:pPr>
              <w:spacing w:after="100"/>
              <w:rPr>
                <w:rFonts w:eastAsia="Times New Roman"/>
                <w:sz w:val="20"/>
                <w:szCs w:val="20"/>
              </w:rPr>
            </w:pPr>
          </w:p>
        </w:tc>
        <w:tc>
          <w:tcPr>
            <w:tcW w:w="5" w:type="pct"/>
            <w:vAlign w:val="center"/>
            <w:hideMark/>
          </w:tcPr>
          <w:p w14:paraId="1C902B58" w14:textId="77777777" w:rsidR="00000000" w:rsidRDefault="00405D16">
            <w:pPr>
              <w:spacing w:after="100"/>
              <w:rPr>
                <w:rFonts w:eastAsia="Times New Roman"/>
                <w:sz w:val="20"/>
                <w:szCs w:val="20"/>
              </w:rPr>
            </w:pPr>
          </w:p>
        </w:tc>
        <w:tc>
          <w:tcPr>
            <w:tcW w:w="50" w:type="pct"/>
            <w:vAlign w:val="center"/>
            <w:hideMark/>
          </w:tcPr>
          <w:p w14:paraId="61DB9C4B" w14:textId="77777777" w:rsidR="00000000" w:rsidRDefault="00405D16">
            <w:pPr>
              <w:spacing w:after="100"/>
              <w:rPr>
                <w:rFonts w:eastAsia="Times New Roman"/>
                <w:sz w:val="20"/>
                <w:szCs w:val="20"/>
              </w:rPr>
            </w:pPr>
          </w:p>
        </w:tc>
        <w:tc>
          <w:tcPr>
            <w:tcW w:w="1614" w:type="pct"/>
            <w:vAlign w:val="center"/>
            <w:hideMark/>
          </w:tcPr>
          <w:p w14:paraId="4107D478" w14:textId="77777777" w:rsidR="00000000" w:rsidRDefault="00405D16">
            <w:pPr>
              <w:spacing w:after="100"/>
              <w:rPr>
                <w:rFonts w:eastAsia="Times New Roman"/>
                <w:sz w:val="20"/>
                <w:szCs w:val="20"/>
              </w:rPr>
            </w:pPr>
          </w:p>
        </w:tc>
        <w:tc>
          <w:tcPr>
            <w:tcW w:w="5" w:type="pct"/>
            <w:vAlign w:val="center"/>
            <w:hideMark/>
          </w:tcPr>
          <w:p w14:paraId="646ED6A9" w14:textId="77777777" w:rsidR="00000000" w:rsidRDefault="00405D16">
            <w:pPr>
              <w:spacing w:after="100"/>
              <w:rPr>
                <w:rFonts w:eastAsia="Times New Roman"/>
                <w:sz w:val="20"/>
                <w:szCs w:val="20"/>
              </w:rPr>
            </w:pPr>
          </w:p>
        </w:tc>
        <w:tc>
          <w:tcPr>
            <w:tcW w:w="50" w:type="pct"/>
            <w:vAlign w:val="center"/>
            <w:hideMark/>
          </w:tcPr>
          <w:p w14:paraId="0B2DEDC9" w14:textId="77777777" w:rsidR="00000000" w:rsidRDefault="00405D16">
            <w:pPr>
              <w:spacing w:after="100"/>
              <w:rPr>
                <w:rFonts w:eastAsia="Times New Roman"/>
                <w:sz w:val="20"/>
                <w:szCs w:val="20"/>
              </w:rPr>
            </w:pPr>
          </w:p>
        </w:tc>
        <w:tc>
          <w:tcPr>
            <w:tcW w:w="1614" w:type="pct"/>
            <w:vAlign w:val="center"/>
            <w:hideMark/>
          </w:tcPr>
          <w:p w14:paraId="7C07EA11" w14:textId="77777777" w:rsidR="00000000" w:rsidRDefault="00405D16">
            <w:pPr>
              <w:spacing w:after="100"/>
              <w:rPr>
                <w:rFonts w:eastAsia="Times New Roman"/>
                <w:sz w:val="20"/>
                <w:szCs w:val="20"/>
              </w:rPr>
            </w:pPr>
          </w:p>
        </w:tc>
        <w:tc>
          <w:tcPr>
            <w:tcW w:w="5" w:type="pct"/>
            <w:vAlign w:val="center"/>
            <w:hideMark/>
          </w:tcPr>
          <w:p w14:paraId="56AB9B44" w14:textId="77777777" w:rsidR="00000000" w:rsidRDefault="00405D16">
            <w:pPr>
              <w:spacing w:after="100"/>
              <w:rPr>
                <w:rFonts w:eastAsia="Times New Roman"/>
                <w:sz w:val="20"/>
                <w:szCs w:val="20"/>
              </w:rPr>
            </w:pPr>
          </w:p>
        </w:tc>
      </w:tr>
      <w:tr w:rsidR="00000000" w14:paraId="1A421844" w14:textId="77777777">
        <w:trPr>
          <w:divId w:val="146939317"/>
          <w:trHeight w:val="300"/>
          <w:jc w:val="center"/>
        </w:trPr>
        <w:tc>
          <w:tcPr>
            <w:tcW w:w="0" w:type="auto"/>
            <w:gridSpan w:val="9"/>
            <w:tcMar>
              <w:top w:w="0" w:type="dxa"/>
              <w:left w:w="20" w:type="dxa"/>
              <w:bottom w:w="0" w:type="dxa"/>
              <w:right w:w="20" w:type="dxa"/>
            </w:tcMar>
            <w:vAlign w:val="center"/>
            <w:hideMark/>
          </w:tcPr>
          <w:p w14:paraId="4155F919" w14:textId="77777777" w:rsidR="00000000" w:rsidRDefault="00405D16">
            <w:pPr>
              <w:spacing w:after="100"/>
              <w:rPr>
                <w:rFonts w:eastAsia="Times New Roman"/>
                <w:sz w:val="20"/>
                <w:szCs w:val="20"/>
              </w:rPr>
            </w:pPr>
          </w:p>
        </w:tc>
      </w:tr>
      <w:tr w:rsidR="00000000" w14:paraId="0A12992A" w14:textId="77777777">
        <w:trPr>
          <w:divId w:val="146939317"/>
          <w:jc w:val="center"/>
        </w:trPr>
        <w:tc>
          <w:tcPr>
            <w:tcW w:w="0" w:type="auto"/>
            <w:gridSpan w:val="3"/>
            <w:tcMar>
              <w:top w:w="0" w:type="dxa"/>
              <w:left w:w="20" w:type="dxa"/>
              <w:bottom w:w="0" w:type="dxa"/>
              <w:right w:w="20" w:type="dxa"/>
            </w:tcMar>
            <w:vAlign w:val="center"/>
            <w:hideMark/>
          </w:tcPr>
          <w:p w14:paraId="74A9968E"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901CC15" w14:textId="77777777" w:rsidR="00000000" w:rsidRDefault="00405D16">
            <w:pPr>
              <w:spacing w:after="100"/>
              <w:jc w:val="center"/>
              <w:rPr>
                <w:rFonts w:eastAsia="Times New Roman"/>
              </w:rPr>
            </w:pPr>
            <w:r>
              <w:rPr>
                <w:rFonts w:eastAsia="Times New Roman"/>
                <w:color w:val="000000"/>
                <w:sz w:val="16"/>
                <w:szCs w:val="16"/>
              </w:rPr>
              <w:t>55</w:t>
            </w:r>
          </w:p>
        </w:tc>
        <w:tc>
          <w:tcPr>
            <w:tcW w:w="0" w:type="auto"/>
            <w:gridSpan w:val="3"/>
            <w:tcMar>
              <w:top w:w="30" w:type="dxa"/>
              <w:left w:w="20" w:type="dxa"/>
              <w:bottom w:w="30" w:type="dxa"/>
              <w:right w:w="20" w:type="dxa"/>
            </w:tcMar>
            <w:vAlign w:val="bottom"/>
            <w:hideMark/>
          </w:tcPr>
          <w:p w14:paraId="44FF1D44"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068AA379" w14:textId="77777777" w:rsidR="00000000" w:rsidRDefault="00405D16">
      <w:pPr>
        <w:rPr>
          <w:rFonts w:eastAsia="Times New Roman"/>
        </w:rPr>
      </w:pPr>
      <w:r>
        <w:rPr>
          <w:rFonts w:eastAsia="Times New Roman"/>
        </w:rPr>
        <w:pict w14:anchorId="4F9A657F">
          <v:rect id="_x0000_i1080" style="width:0;height:1.5pt" o:hralign="center" o:hrstd="t" o:hr="t" fillcolor="#a0a0a0" stroked="f"/>
        </w:pict>
      </w:r>
    </w:p>
    <w:p w14:paraId="0FAE09D0" w14:textId="77777777" w:rsidR="00000000" w:rsidRDefault="00405D16">
      <w:pPr>
        <w:ind w:hanging="360"/>
        <w:jc w:val="both"/>
        <w:divId w:val="1833177617"/>
        <w:rPr>
          <w:rFonts w:eastAsia="Times New Roman"/>
        </w:rPr>
      </w:pPr>
      <w:hyperlink w:anchor="idd54a04a485440b4ab4e56094c14d612_13" w:history="1">
        <w:r>
          <w:rPr>
            <w:rStyle w:val="a3"/>
            <w:rFonts w:eastAsia="Times New Roman"/>
            <w:sz w:val="16"/>
            <w:szCs w:val="16"/>
          </w:rPr>
          <w:t>Table of Contents</w:t>
        </w:r>
      </w:hyperlink>
    </w:p>
    <w:p w14:paraId="22BB3486" w14:textId="77777777" w:rsidR="00000000" w:rsidRDefault="00405D16">
      <w:pPr>
        <w:jc w:val="both"/>
        <w:divId w:val="1646161214"/>
        <w:rPr>
          <w:rFonts w:eastAsia="Times New Roman"/>
        </w:rPr>
      </w:pPr>
      <w:r>
        <w:rPr>
          <w:rFonts w:eastAsia="Times New Roman"/>
          <w:color w:val="000000"/>
          <w:sz w:val="20"/>
          <w:szCs w:val="20"/>
        </w:rPr>
        <w:t>We have enterprise-wide risk management policies and limits, approved by our Board of Directors, which govern our market risk management activi</w:t>
      </w:r>
      <w:r>
        <w:rPr>
          <w:rFonts w:eastAsia="Times New Roman"/>
          <w:color w:val="000000"/>
          <w:sz w:val="20"/>
          <w:szCs w:val="20"/>
        </w:rPr>
        <w:t>ties. Our objective is to manage our exposure to market risk in accordance with these policies and limits based on prevailing market conditions and long-term expectations. We provide additional information below about our primary sources of market risk, ou</w:t>
      </w:r>
      <w:r>
        <w:rPr>
          <w:rFonts w:eastAsia="Times New Roman"/>
          <w:color w:val="000000"/>
          <w:sz w:val="20"/>
          <w:szCs w:val="20"/>
        </w:rPr>
        <w:t>r market risk management strategies and the measures that we use to evaluate these exposures.</w:t>
      </w:r>
    </w:p>
    <w:p w14:paraId="02DAC8DB" w14:textId="77777777" w:rsidR="00000000" w:rsidRDefault="00405D16">
      <w:pPr>
        <w:divId w:val="339701795"/>
        <w:rPr>
          <w:rFonts w:eastAsia="Times New Roman"/>
        </w:rPr>
      </w:pPr>
      <w:r>
        <w:rPr>
          <w:rFonts w:eastAsia="Times New Roman"/>
          <w:b/>
          <w:bCs/>
          <w:color w:val="000000"/>
          <w:sz w:val="20"/>
          <w:szCs w:val="20"/>
        </w:rPr>
        <w:t>Interest Rate Risk</w:t>
      </w:r>
    </w:p>
    <w:p w14:paraId="1E583AAC" w14:textId="77777777" w:rsidR="00000000" w:rsidRDefault="00405D16">
      <w:pPr>
        <w:jc w:val="both"/>
        <w:divId w:val="705985081"/>
        <w:rPr>
          <w:rFonts w:eastAsia="Times New Roman"/>
        </w:rPr>
      </w:pPr>
      <w:r>
        <w:rPr>
          <w:rFonts w:eastAsia="Times New Roman"/>
          <w:color w:val="000000"/>
          <w:sz w:val="20"/>
          <w:szCs w:val="20"/>
        </w:rPr>
        <w:t>Interest rate risk represents exposure to financial instruments whose values vary with the level or volatility of interest rates. We are expose</w:t>
      </w:r>
      <w:r>
        <w:rPr>
          <w:rFonts w:eastAsia="Times New Roman"/>
          <w:color w:val="000000"/>
          <w:sz w:val="20"/>
          <w:szCs w:val="20"/>
        </w:rPr>
        <w:t>d to interest rate risk primarily from the differences in the timing between the maturities or re-pricing of assets and liabilities. We manage our interest rate risk primarily by entering into interest rate swaps and other derivative instruments which coul</w:t>
      </w:r>
      <w:r>
        <w:rPr>
          <w:rFonts w:eastAsia="Times New Roman"/>
          <w:color w:val="000000"/>
          <w:sz w:val="20"/>
          <w:szCs w:val="20"/>
        </w:rPr>
        <w:t xml:space="preserve">d include caps, floors, options, futures and forward contracts. </w:t>
      </w:r>
    </w:p>
    <w:p w14:paraId="39CFAC68" w14:textId="77777777" w:rsidR="00000000" w:rsidRDefault="00405D16">
      <w:pPr>
        <w:jc w:val="both"/>
        <w:divId w:val="157573169"/>
        <w:rPr>
          <w:rFonts w:eastAsia="Times New Roman"/>
        </w:rPr>
      </w:pPr>
      <w:r>
        <w:rPr>
          <w:rFonts w:eastAsia="Times New Roman"/>
          <w:color w:val="000000"/>
          <w:sz w:val="20"/>
          <w:szCs w:val="20"/>
        </w:rPr>
        <w:t xml:space="preserve">We use various industry standard market risk measurement techniques and analyses to measure, assess and manage the impact of changes in interest rates on our net interest income and our economic value of equity and changes in foreign exchange rates on our </w:t>
      </w:r>
      <w:r>
        <w:rPr>
          <w:rFonts w:eastAsia="Times New Roman"/>
          <w:color w:val="000000"/>
          <w:sz w:val="20"/>
          <w:szCs w:val="20"/>
        </w:rPr>
        <w:t>non-dollar-denominated funding and non-dollar equity investments in foreign operations.</w:t>
      </w:r>
    </w:p>
    <w:p w14:paraId="6F15ED0B" w14:textId="77777777" w:rsidR="00000000" w:rsidRDefault="00405D16">
      <w:pPr>
        <w:divId w:val="1662852308"/>
        <w:rPr>
          <w:rFonts w:eastAsia="Times New Roman"/>
        </w:rPr>
      </w:pPr>
      <w:r>
        <w:rPr>
          <w:rFonts w:eastAsia="Times New Roman"/>
          <w:b/>
          <w:bCs/>
          <w:i/>
          <w:iCs/>
          <w:color w:val="000000"/>
          <w:sz w:val="20"/>
          <w:szCs w:val="20"/>
        </w:rPr>
        <w:t>Net Interest Income Sensitivity</w:t>
      </w:r>
    </w:p>
    <w:p w14:paraId="3733A1FA" w14:textId="77777777" w:rsidR="00000000" w:rsidRDefault="00405D16">
      <w:pPr>
        <w:jc w:val="both"/>
        <w:divId w:val="2130390082"/>
        <w:rPr>
          <w:rFonts w:eastAsia="Times New Roman"/>
        </w:rPr>
      </w:pPr>
      <w:r>
        <w:rPr>
          <w:rFonts w:eastAsia="Times New Roman"/>
          <w:color w:val="000000"/>
          <w:sz w:val="20"/>
          <w:szCs w:val="20"/>
        </w:rPr>
        <w:t xml:space="preserve">Our net interest income sensitivity measure estimates the impact on our projected 12-month baseline net interest income resulting from movements in interest rates. In addition to our existing assets and liabilities, we incorporate expected future business </w:t>
      </w:r>
      <w:r>
        <w:rPr>
          <w:rFonts w:eastAsia="Times New Roman"/>
          <w:color w:val="000000"/>
          <w:sz w:val="20"/>
          <w:szCs w:val="20"/>
        </w:rPr>
        <w:t>growth assumptions, such as loan and deposit growth and pricing, and plans for projected changes in our funding mix in our baseline forecast. In measuring the sensitivity of interest rate movements on our projected net interest income, we assume a hypothet</w:t>
      </w:r>
      <w:r>
        <w:rPr>
          <w:rFonts w:eastAsia="Times New Roman"/>
          <w:color w:val="000000"/>
          <w:sz w:val="20"/>
          <w:szCs w:val="20"/>
        </w:rPr>
        <w:t>ical instantaneous parallel shift in the level of interest rates detailed in Table 35 below</w:t>
      </w:r>
      <w:r>
        <w:rPr>
          <w:rFonts w:eastAsia="Times New Roman"/>
          <w:color w:val="000000"/>
          <w:sz w:val="20"/>
          <w:szCs w:val="20"/>
          <w:shd w:val="clear" w:color="auto" w:fill="FFFFFF"/>
        </w:rPr>
        <w:t>. At the current level of interest rates, our net interest income is expected to increase in higher rate scenarios and decrease modestly in lower rate scenarios. Our</w:t>
      </w:r>
      <w:r>
        <w:rPr>
          <w:rFonts w:eastAsia="Times New Roman"/>
          <w:color w:val="000000"/>
          <w:sz w:val="20"/>
          <w:szCs w:val="20"/>
          <w:shd w:val="clear" w:color="auto" w:fill="FFFFFF"/>
        </w:rPr>
        <w:t xml:space="preserve"> current sensitivity to upward shocks has decreased as compared to December 31, 2020, mainly due to the increase in long-term interest rates and a decrease in cash balance. </w:t>
      </w:r>
    </w:p>
    <w:p w14:paraId="52D9CBB6" w14:textId="77777777" w:rsidR="00000000" w:rsidRDefault="00405D16">
      <w:pPr>
        <w:divId w:val="2064983726"/>
        <w:rPr>
          <w:rFonts w:eastAsia="Times New Roman"/>
        </w:rPr>
      </w:pPr>
      <w:r>
        <w:rPr>
          <w:rFonts w:eastAsia="Times New Roman"/>
          <w:b/>
          <w:bCs/>
          <w:i/>
          <w:iCs/>
          <w:color w:val="000000"/>
          <w:sz w:val="20"/>
          <w:szCs w:val="20"/>
        </w:rPr>
        <w:t>Economic Value of Equity</w:t>
      </w:r>
    </w:p>
    <w:p w14:paraId="0868E16F" w14:textId="77777777" w:rsidR="00000000" w:rsidRDefault="00405D16">
      <w:pPr>
        <w:jc w:val="both"/>
        <w:divId w:val="2068258434"/>
        <w:rPr>
          <w:rFonts w:eastAsia="Times New Roman"/>
        </w:rPr>
      </w:pPr>
      <w:r>
        <w:rPr>
          <w:rFonts w:eastAsia="Times New Roman"/>
          <w:color w:val="000000"/>
          <w:sz w:val="20"/>
          <w:szCs w:val="20"/>
        </w:rPr>
        <w:t>Our economic value of equity sensitivity measure estimate</w:t>
      </w:r>
      <w:r>
        <w:rPr>
          <w:rFonts w:eastAsia="Times New Roman"/>
          <w:color w:val="000000"/>
          <w:sz w:val="20"/>
          <w:szCs w:val="20"/>
        </w:rPr>
        <w:t>s the impact on the net present value of our assets and liabilities, including derivative exposures, resulting from movements in interest rates. Our economic value of equity sensitivity measure is calculated based on our existing assets and liabilities, in</w:t>
      </w:r>
      <w:r>
        <w:rPr>
          <w:rFonts w:eastAsia="Times New Roman"/>
          <w:color w:val="000000"/>
          <w:sz w:val="20"/>
          <w:szCs w:val="20"/>
        </w:rPr>
        <w:t>cluding derivatives, and does not incorporate business growth assumptions or projected balance sheet changes. Key assumptions used in the calculation include projecting rate sensitive prepayments for mortgage securities, loans and other assets, term struct</w:t>
      </w:r>
      <w:r>
        <w:rPr>
          <w:rFonts w:eastAsia="Times New Roman"/>
          <w:color w:val="000000"/>
          <w:sz w:val="20"/>
          <w:szCs w:val="20"/>
        </w:rPr>
        <w:t>ure modeling of interest rates, discount spreads, and deposit volume and pricing assumptions. In measuring the sensitivity of interest rate movements on our economic value of equity, we assume a hypothetical instantaneous parallel shift in the level of int</w:t>
      </w:r>
      <w:r>
        <w:rPr>
          <w:rFonts w:eastAsia="Times New Roman"/>
          <w:color w:val="000000"/>
          <w:sz w:val="20"/>
          <w:szCs w:val="20"/>
        </w:rPr>
        <w:t xml:space="preserve">erest rates detailed in Table 35 below. </w:t>
      </w:r>
      <w:r>
        <w:rPr>
          <w:rFonts w:eastAsia="Times New Roman"/>
          <w:color w:val="000000"/>
          <w:sz w:val="20"/>
          <w:szCs w:val="20"/>
          <w:shd w:val="clear" w:color="auto" w:fill="FFFFFF"/>
        </w:rPr>
        <w:t xml:space="preserve">Our current economic value of equity sensitivity profile demonstrates that our economic value of equity increases in higher interest rate scenarios, while decreasing in a lower interest rate scenario. Similar to the </w:t>
      </w:r>
      <w:r>
        <w:rPr>
          <w:rFonts w:eastAsia="Times New Roman"/>
          <w:color w:val="000000"/>
          <w:sz w:val="20"/>
          <w:szCs w:val="20"/>
          <w:shd w:val="clear" w:color="auto" w:fill="FFFFFF"/>
        </w:rPr>
        <w:t xml:space="preserve">changes in net interest income sensitivity, our current economic value of equity sensitivity to upward shocks has also decreased as compared to December 31, 2020 mainly due to the increase in long term interest rates and a decrease in cash balance. </w:t>
      </w:r>
    </w:p>
    <w:p w14:paraId="3A9D0A69" w14:textId="77777777" w:rsidR="00000000" w:rsidRDefault="00405D16">
      <w:pPr>
        <w:jc w:val="both"/>
        <w:divId w:val="2004044696"/>
        <w:rPr>
          <w:rFonts w:eastAsia="Times New Roman"/>
        </w:rPr>
      </w:pPr>
      <w:r>
        <w:rPr>
          <w:rFonts w:eastAsia="Times New Roman"/>
          <w:color w:val="000000"/>
          <w:sz w:val="20"/>
          <w:szCs w:val="20"/>
        </w:rPr>
        <w:t xml:space="preserve">Table </w:t>
      </w:r>
      <w:r>
        <w:rPr>
          <w:rFonts w:eastAsia="Times New Roman"/>
          <w:color w:val="000000"/>
          <w:sz w:val="20"/>
          <w:szCs w:val="20"/>
        </w:rPr>
        <w:t>35 shows the estimated percentage impact on our projected baseline net interest income and economic value of equity calculated under the methodology described above as of September 30, 2021 and December 31, 2020. In instances where an interest rate scenari</w:t>
      </w:r>
      <w:r>
        <w:rPr>
          <w:rFonts w:eastAsia="Times New Roman"/>
          <w:color w:val="000000"/>
          <w:sz w:val="20"/>
          <w:szCs w:val="20"/>
        </w:rPr>
        <w:t>o would result in a rate less than 0%, we assume a rate of 0% for that scenario. This assumption applies only to jurisdictions that do not have negative policy rates. In jurisdictions that have negative policy rates, we do not floor interest rates at 0%.</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0E29A73C" w14:textId="77777777">
        <w:trPr>
          <w:divId w:val="189536894"/>
          <w:jc w:val="center"/>
        </w:trPr>
        <w:tc>
          <w:tcPr>
            <w:tcW w:w="50" w:type="pct"/>
            <w:vAlign w:val="center"/>
            <w:hideMark/>
          </w:tcPr>
          <w:p w14:paraId="35A522A1" w14:textId="77777777" w:rsidR="00000000" w:rsidRDefault="00405D16">
            <w:pPr>
              <w:jc w:val="both"/>
              <w:rPr>
                <w:rFonts w:eastAsia="Times New Roman"/>
              </w:rPr>
            </w:pPr>
          </w:p>
        </w:tc>
        <w:tc>
          <w:tcPr>
            <w:tcW w:w="1606" w:type="pct"/>
            <w:vAlign w:val="center"/>
            <w:hideMark/>
          </w:tcPr>
          <w:p w14:paraId="1B2E5514" w14:textId="77777777" w:rsidR="00000000" w:rsidRDefault="00405D16">
            <w:pPr>
              <w:spacing w:after="100"/>
              <w:rPr>
                <w:rFonts w:eastAsia="Times New Roman"/>
                <w:sz w:val="20"/>
                <w:szCs w:val="20"/>
              </w:rPr>
            </w:pPr>
          </w:p>
        </w:tc>
        <w:tc>
          <w:tcPr>
            <w:tcW w:w="5" w:type="pct"/>
            <w:vAlign w:val="center"/>
            <w:hideMark/>
          </w:tcPr>
          <w:p w14:paraId="5B82AAE5" w14:textId="77777777" w:rsidR="00000000" w:rsidRDefault="00405D16">
            <w:pPr>
              <w:spacing w:after="100"/>
              <w:rPr>
                <w:rFonts w:eastAsia="Times New Roman"/>
                <w:sz w:val="20"/>
                <w:szCs w:val="20"/>
              </w:rPr>
            </w:pPr>
          </w:p>
        </w:tc>
        <w:tc>
          <w:tcPr>
            <w:tcW w:w="50" w:type="pct"/>
            <w:vAlign w:val="center"/>
            <w:hideMark/>
          </w:tcPr>
          <w:p w14:paraId="3EE2E9BC" w14:textId="77777777" w:rsidR="00000000" w:rsidRDefault="00405D16">
            <w:pPr>
              <w:spacing w:after="100"/>
              <w:rPr>
                <w:rFonts w:eastAsia="Times New Roman"/>
                <w:sz w:val="20"/>
                <w:szCs w:val="20"/>
              </w:rPr>
            </w:pPr>
          </w:p>
        </w:tc>
        <w:tc>
          <w:tcPr>
            <w:tcW w:w="1614" w:type="pct"/>
            <w:vAlign w:val="center"/>
            <w:hideMark/>
          </w:tcPr>
          <w:p w14:paraId="222DA345" w14:textId="77777777" w:rsidR="00000000" w:rsidRDefault="00405D16">
            <w:pPr>
              <w:spacing w:after="100"/>
              <w:rPr>
                <w:rFonts w:eastAsia="Times New Roman"/>
                <w:sz w:val="20"/>
                <w:szCs w:val="20"/>
              </w:rPr>
            </w:pPr>
          </w:p>
        </w:tc>
        <w:tc>
          <w:tcPr>
            <w:tcW w:w="5" w:type="pct"/>
            <w:vAlign w:val="center"/>
            <w:hideMark/>
          </w:tcPr>
          <w:p w14:paraId="4BDD5CF7" w14:textId="77777777" w:rsidR="00000000" w:rsidRDefault="00405D16">
            <w:pPr>
              <w:spacing w:after="100"/>
              <w:rPr>
                <w:rFonts w:eastAsia="Times New Roman"/>
                <w:sz w:val="20"/>
                <w:szCs w:val="20"/>
              </w:rPr>
            </w:pPr>
          </w:p>
        </w:tc>
        <w:tc>
          <w:tcPr>
            <w:tcW w:w="50" w:type="pct"/>
            <w:vAlign w:val="center"/>
            <w:hideMark/>
          </w:tcPr>
          <w:p w14:paraId="064453D7" w14:textId="77777777" w:rsidR="00000000" w:rsidRDefault="00405D16">
            <w:pPr>
              <w:spacing w:after="100"/>
              <w:rPr>
                <w:rFonts w:eastAsia="Times New Roman"/>
                <w:sz w:val="20"/>
                <w:szCs w:val="20"/>
              </w:rPr>
            </w:pPr>
          </w:p>
        </w:tc>
        <w:tc>
          <w:tcPr>
            <w:tcW w:w="1614" w:type="pct"/>
            <w:vAlign w:val="center"/>
            <w:hideMark/>
          </w:tcPr>
          <w:p w14:paraId="065105FF" w14:textId="77777777" w:rsidR="00000000" w:rsidRDefault="00405D16">
            <w:pPr>
              <w:spacing w:after="100"/>
              <w:rPr>
                <w:rFonts w:eastAsia="Times New Roman"/>
                <w:sz w:val="20"/>
                <w:szCs w:val="20"/>
              </w:rPr>
            </w:pPr>
          </w:p>
        </w:tc>
        <w:tc>
          <w:tcPr>
            <w:tcW w:w="5" w:type="pct"/>
            <w:vAlign w:val="center"/>
            <w:hideMark/>
          </w:tcPr>
          <w:p w14:paraId="6D5FC586" w14:textId="77777777" w:rsidR="00000000" w:rsidRDefault="00405D16">
            <w:pPr>
              <w:spacing w:after="100"/>
              <w:rPr>
                <w:rFonts w:eastAsia="Times New Roman"/>
                <w:sz w:val="20"/>
                <w:szCs w:val="20"/>
              </w:rPr>
            </w:pPr>
          </w:p>
        </w:tc>
      </w:tr>
      <w:tr w:rsidR="00000000" w14:paraId="2293F739" w14:textId="77777777">
        <w:trPr>
          <w:divId w:val="189536894"/>
          <w:trHeight w:val="300"/>
          <w:jc w:val="center"/>
        </w:trPr>
        <w:tc>
          <w:tcPr>
            <w:tcW w:w="0" w:type="auto"/>
            <w:gridSpan w:val="9"/>
            <w:tcMar>
              <w:top w:w="0" w:type="dxa"/>
              <w:left w:w="20" w:type="dxa"/>
              <w:bottom w:w="0" w:type="dxa"/>
              <w:right w:w="20" w:type="dxa"/>
            </w:tcMar>
            <w:vAlign w:val="center"/>
            <w:hideMark/>
          </w:tcPr>
          <w:p w14:paraId="6F015E85" w14:textId="77777777" w:rsidR="00000000" w:rsidRDefault="00405D16">
            <w:pPr>
              <w:spacing w:after="100"/>
              <w:rPr>
                <w:rFonts w:eastAsia="Times New Roman"/>
                <w:sz w:val="20"/>
                <w:szCs w:val="20"/>
              </w:rPr>
            </w:pPr>
          </w:p>
        </w:tc>
      </w:tr>
      <w:tr w:rsidR="00000000" w14:paraId="1AF1A101" w14:textId="77777777">
        <w:trPr>
          <w:divId w:val="189536894"/>
          <w:jc w:val="center"/>
        </w:trPr>
        <w:tc>
          <w:tcPr>
            <w:tcW w:w="0" w:type="auto"/>
            <w:gridSpan w:val="3"/>
            <w:tcMar>
              <w:top w:w="0" w:type="dxa"/>
              <w:left w:w="20" w:type="dxa"/>
              <w:bottom w:w="0" w:type="dxa"/>
              <w:right w:w="20" w:type="dxa"/>
            </w:tcMar>
            <w:vAlign w:val="center"/>
            <w:hideMark/>
          </w:tcPr>
          <w:p w14:paraId="2180168F"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9EE1F0D" w14:textId="77777777" w:rsidR="00000000" w:rsidRDefault="00405D16">
            <w:pPr>
              <w:spacing w:after="100"/>
              <w:jc w:val="center"/>
              <w:rPr>
                <w:rFonts w:eastAsia="Times New Roman"/>
              </w:rPr>
            </w:pPr>
            <w:r>
              <w:rPr>
                <w:rFonts w:eastAsia="Times New Roman"/>
                <w:color w:val="000000"/>
                <w:sz w:val="16"/>
                <w:szCs w:val="16"/>
              </w:rPr>
              <w:t>56</w:t>
            </w:r>
          </w:p>
        </w:tc>
        <w:tc>
          <w:tcPr>
            <w:tcW w:w="0" w:type="auto"/>
            <w:gridSpan w:val="3"/>
            <w:tcMar>
              <w:top w:w="30" w:type="dxa"/>
              <w:left w:w="20" w:type="dxa"/>
              <w:bottom w:w="30" w:type="dxa"/>
              <w:right w:w="20" w:type="dxa"/>
            </w:tcMar>
            <w:vAlign w:val="bottom"/>
            <w:hideMark/>
          </w:tcPr>
          <w:p w14:paraId="4F2A0AEA"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42BA6FB7" w14:textId="77777777" w:rsidR="00000000" w:rsidRDefault="00405D16">
      <w:pPr>
        <w:rPr>
          <w:rFonts w:eastAsia="Times New Roman"/>
        </w:rPr>
      </w:pPr>
      <w:r>
        <w:rPr>
          <w:rFonts w:eastAsia="Times New Roman"/>
        </w:rPr>
        <w:pict w14:anchorId="7134A1A9">
          <v:rect id="_x0000_i1081" style="width:0;height:1.5pt" o:hralign="center" o:hrstd="t" o:hr="t" fillcolor="#a0a0a0" stroked="f"/>
        </w:pict>
      </w:r>
    </w:p>
    <w:p w14:paraId="055C9CD8" w14:textId="77777777" w:rsidR="00000000" w:rsidRDefault="00405D16">
      <w:pPr>
        <w:ind w:hanging="360"/>
        <w:jc w:val="both"/>
        <w:divId w:val="1535649859"/>
        <w:rPr>
          <w:rFonts w:eastAsia="Times New Roman"/>
        </w:rPr>
      </w:pPr>
      <w:hyperlink w:anchor="idd54a04a485440b4ab4e56094c14d612_13" w:history="1">
        <w:r>
          <w:rPr>
            <w:rStyle w:val="a3"/>
            <w:rFonts w:eastAsia="Times New Roman"/>
            <w:sz w:val="16"/>
            <w:szCs w:val="16"/>
          </w:rPr>
          <w:t>Table of Contents</w:t>
        </w:r>
      </w:hyperlink>
    </w:p>
    <w:p w14:paraId="4CF9CA62" w14:textId="77777777" w:rsidR="00000000" w:rsidRDefault="00405D16">
      <w:pPr>
        <w:divId w:val="1650211587"/>
        <w:rPr>
          <w:rFonts w:eastAsia="Times New Roman"/>
        </w:rPr>
      </w:pPr>
      <w:r>
        <w:rPr>
          <w:rFonts w:eastAsia="Times New Roman"/>
          <w:b/>
          <w:bCs/>
          <w:color w:val="000000"/>
          <w:sz w:val="18"/>
          <w:szCs w:val="18"/>
        </w:rPr>
        <w:t>Table 35: Interest Rate Sensitivity Analysis</w:t>
      </w:r>
    </w:p>
    <w:tbl>
      <w:tblPr>
        <w:tblW w:w="5000" w:type="pct"/>
        <w:tblCellMar>
          <w:top w:w="15" w:type="dxa"/>
          <w:left w:w="15" w:type="dxa"/>
          <w:bottom w:w="15" w:type="dxa"/>
          <w:right w:w="15" w:type="dxa"/>
        </w:tblCellMar>
        <w:tblLook w:val="04A0" w:firstRow="1" w:lastRow="0" w:firstColumn="1" w:lastColumn="0" w:noHBand="0" w:noVBand="1"/>
      </w:tblPr>
      <w:tblGrid>
        <w:gridCol w:w="37"/>
        <w:gridCol w:w="5661"/>
        <w:gridCol w:w="36"/>
        <w:gridCol w:w="36"/>
        <w:gridCol w:w="36"/>
        <w:gridCol w:w="36"/>
        <w:gridCol w:w="55"/>
        <w:gridCol w:w="938"/>
        <w:gridCol w:w="200"/>
        <w:gridCol w:w="36"/>
        <w:gridCol w:w="36"/>
        <w:gridCol w:w="36"/>
        <w:gridCol w:w="52"/>
        <w:gridCol w:w="941"/>
        <w:gridCol w:w="170"/>
      </w:tblGrid>
      <w:tr w:rsidR="00000000" w14:paraId="378FC8FB" w14:textId="77777777">
        <w:trPr>
          <w:divId w:val="175583094"/>
        </w:trPr>
        <w:tc>
          <w:tcPr>
            <w:tcW w:w="50" w:type="pct"/>
            <w:vAlign w:val="center"/>
            <w:hideMark/>
          </w:tcPr>
          <w:p w14:paraId="25D5E91F" w14:textId="77777777" w:rsidR="00000000" w:rsidRDefault="00405D16">
            <w:pPr>
              <w:rPr>
                <w:rFonts w:eastAsia="Times New Roman"/>
              </w:rPr>
            </w:pPr>
          </w:p>
        </w:tc>
        <w:tc>
          <w:tcPr>
            <w:tcW w:w="3453" w:type="pct"/>
            <w:vAlign w:val="center"/>
            <w:hideMark/>
          </w:tcPr>
          <w:p w14:paraId="1A5D03BC" w14:textId="77777777" w:rsidR="00000000" w:rsidRDefault="00405D16">
            <w:pPr>
              <w:spacing w:after="100"/>
              <w:rPr>
                <w:rFonts w:eastAsia="Times New Roman"/>
                <w:sz w:val="20"/>
                <w:szCs w:val="20"/>
              </w:rPr>
            </w:pPr>
          </w:p>
        </w:tc>
        <w:tc>
          <w:tcPr>
            <w:tcW w:w="5" w:type="pct"/>
            <w:vAlign w:val="center"/>
            <w:hideMark/>
          </w:tcPr>
          <w:p w14:paraId="7D6502FC" w14:textId="77777777" w:rsidR="00000000" w:rsidRDefault="00405D16">
            <w:pPr>
              <w:spacing w:after="100"/>
              <w:rPr>
                <w:rFonts w:eastAsia="Times New Roman"/>
                <w:sz w:val="20"/>
                <w:szCs w:val="20"/>
              </w:rPr>
            </w:pPr>
          </w:p>
        </w:tc>
        <w:tc>
          <w:tcPr>
            <w:tcW w:w="5" w:type="pct"/>
            <w:vAlign w:val="center"/>
            <w:hideMark/>
          </w:tcPr>
          <w:p w14:paraId="27306686" w14:textId="77777777" w:rsidR="00000000" w:rsidRDefault="00405D16">
            <w:pPr>
              <w:spacing w:after="100"/>
              <w:rPr>
                <w:rFonts w:eastAsia="Times New Roman"/>
                <w:sz w:val="20"/>
                <w:szCs w:val="20"/>
              </w:rPr>
            </w:pPr>
          </w:p>
        </w:tc>
        <w:tc>
          <w:tcPr>
            <w:tcW w:w="26" w:type="pct"/>
            <w:vAlign w:val="center"/>
            <w:hideMark/>
          </w:tcPr>
          <w:p w14:paraId="06D9E897" w14:textId="77777777" w:rsidR="00000000" w:rsidRDefault="00405D16">
            <w:pPr>
              <w:spacing w:after="100"/>
              <w:rPr>
                <w:rFonts w:eastAsia="Times New Roman"/>
                <w:sz w:val="20"/>
                <w:szCs w:val="20"/>
              </w:rPr>
            </w:pPr>
          </w:p>
        </w:tc>
        <w:tc>
          <w:tcPr>
            <w:tcW w:w="5" w:type="pct"/>
            <w:vAlign w:val="center"/>
            <w:hideMark/>
          </w:tcPr>
          <w:p w14:paraId="70BCAE63" w14:textId="77777777" w:rsidR="00000000" w:rsidRDefault="00405D16">
            <w:pPr>
              <w:spacing w:after="100"/>
              <w:rPr>
                <w:rFonts w:eastAsia="Times New Roman"/>
                <w:sz w:val="20"/>
                <w:szCs w:val="20"/>
              </w:rPr>
            </w:pPr>
          </w:p>
        </w:tc>
        <w:tc>
          <w:tcPr>
            <w:tcW w:w="50" w:type="pct"/>
            <w:vAlign w:val="center"/>
            <w:hideMark/>
          </w:tcPr>
          <w:p w14:paraId="117AFB63" w14:textId="77777777" w:rsidR="00000000" w:rsidRDefault="00405D16">
            <w:pPr>
              <w:spacing w:after="100"/>
              <w:rPr>
                <w:rFonts w:eastAsia="Times New Roman"/>
                <w:sz w:val="20"/>
                <w:szCs w:val="20"/>
              </w:rPr>
            </w:pPr>
          </w:p>
        </w:tc>
        <w:tc>
          <w:tcPr>
            <w:tcW w:w="654" w:type="pct"/>
            <w:vAlign w:val="center"/>
            <w:hideMark/>
          </w:tcPr>
          <w:p w14:paraId="360ABC56" w14:textId="77777777" w:rsidR="00000000" w:rsidRDefault="00405D16">
            <w:pPr>
              <w:spacing w:after="100"/>
              <w:rPr>
                <w:rFonts w:eastAsia="Times New Roman"/>
                <w:sz w:val="20"/>
                <w:szCs w:val="20"/>
              </w:rPr>
            </w:pPr>
          </w:p>
        </w:tc>
        <w:tc>
          <w:tcPr>
            <w:tcW w:w="5" w:type="pct"/>
            <w:vAlign w:val="center"/>
            <w:hideMark/>
          </w:tcPr>
          <w:p w14:paraId="54E811FF" w14:textId="77777777" w:rsidR="00000000" w:rsidRDefault="00405D16">
            <w:pPr>
              <w:spacing w:after="100"/>
              <w:rPr>
                <w:rFonts w:eastAsia="Times New Roman"/>
                <w:sz w:val="20"/>
                <w:szCs w:val="20"/>
              </w:rPr>
            </w:pPr>
          </w:p>
        </w:tc>
        <w:tc>
          <w:tcPr>
            <w:tcW w:w="5" w:type="pct"/>
            <w:vAlign w:val="center"/>
            <w:hideMark/>
          </w:tcPr>
          <w:p w14:paraId="66074CE9" w14:textId="77777777" w:rsidR="00000000" w:rsidRDefault="00405D16">
            <w:pPr>
              <w:spacing w:after="100"/>
              <w:rPr>
                <w:rFonts w:eastAsia="Times New Roman"/>
                <w:sz w:val="20"/>
                <w:szCs w:val="20"/>
              </w:rPr>
            </w:pPr>
          </w:p>
        </w:tc>
        <w:tc>
          <w:tcPr>
            <w:tcW w:w="26" w:type="pct"/>
            <w:vAlign w:val="center"/>
            <w:hideMark/>
          </w:tcPr>
          <w:p w14:paraId="411E685A" w14:textId="77777777" w:rsidR="00000000" w:rsidRDefault="00405D16">
            <w:pPr>
              <w:spacing w:after="100"/>
              <w:rPr>
                <w:rFonts w:eastAsia="Times New Roman"/>
                <w:sz w:val="20"/>
                <w:szCs w:val="20"/>
              </w:rPr>
            </w:pPr>
          </w:p>
        </w:tc>
        <w:tc>
          <w:tcPr>
            <w:tcW w:w="5" w:type="pct"/>
            <w:vAlign w:val="center"/>
            <w:hideMark/>
          </w:tcPr>
          <w:p w14:paraId="46961924" w14:textId="77777777" w:rsidR="00000000" w:rsidRDefault="00405D16">
            <w:pPr>
              <w:spacing w:after="100"/>
              <w:rPr>
                <w:rFonts w:eastAsia="Times New Roman"/>
                <w:sz w:val="20"/>
                <w:szCs w:val="20"/>
              </w:rPr>
            </w:pPr>
          </w:p>
        </w:tc>
        <w:tc>
          <w:tcPr>
            <w:tcW w:w="50" w:type="pct"/>
            <w:vAlign w:val="center"/>
            <w:hideMark/>
          </w:tcPr>
          <w:p w14:paraId="074F48C2" w14:textId="77777777" w:rsidR="00000000" w:rsidRDefault="00405D16">
            <w:pPr>
              <w:spacing w:after="100"/>
              <w:rPr>
                <w:rFonts w:eastAsia="Times New Roman"/>
                <w:sz w:val="20"/>
                <w:szCs w:val="20"/>
              </w:rPr>
            </w:pPr>
          </w:p>
        </w:tc>
        <w:tc>
          <w:tcPr>
            <w:tcW w:w="654" w:type="pct"/>
            <w:vAlign w:val="center"/>
            <w:hideMark/>
          </w:tcPr>
          <w:p w14:paraId="07A6E351" w14:textId="77777777" w:rsidR="00000000" w:rsidRDefault="00405D16">
            <w:pPr>
              <w:spacing w:after="100"/>
              <w:rPr>
                <w:rFonts w:eastAsia="Times New Roman"/>
                <w:sz w:val="20"/>
                <w:szCs w:val="20"/>
              </w:rPr>
            </w:pPr>
          </w:p>
        </w:tc>
        <w:tc>
          <w:tcPr>
            <w:tcW w:w="5" w:type="pct"/>
            <w:vAlign w:val="center"/>
            <w:hideMark/>
          </w:tcPr>
          <w:p w14:paraId="286B4DAE" w14:textId="77777777" w:rsidR="00000000" w:rsidRDefault="00405D16">
            <w:pPr>
              <w:spacing w:after="100"/>
              <w:rPr>
                <w:rFonts w:eastAsia="Times New Roman"/>
                <w:sz w:val="20"/>
                <w:szCs w:val="20"/>
              </w:rPr>
            </w:pPr>
          </w:p>
        </w:tc>
      </w:tr>
      <w:tr w:rsidR="00000000" w14:paraId="5918D396" w14:textId="77777777">
        <w:trPr>
          <w:divId w:val="175583094"/>
        </w:trPr>
        <w:tc>
          <w:tcPr>
            <w:tcW w:w="0" w:type="auto"/>
            <w:gridSpan w:val="3"/>
            <w:tcMar>
              <w:top w:w="0" w:type="dxa"/>
              <w:left w:w="20" w:type="dxa"/>
              <w:bottom w:w="0" w:type="dxa"/>
              <w:right w:w="20" w:type="dxa"/>
            </w:tcMar>
            <w:vAlign w:val="center"/>
            <w:hideMark/>
          </w:tcPr>
          <w:p w14:paraId="221E0493"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4A24880"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14:paraId="10C4532F" w14:textId="77777777" w:rsidR="00000000" w:rsidRDefault="00405D16">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14:paraId="56B7EF24"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695E1357" w14:textId="77777777" w:rsidR="00000000" w:rsidRDefault="00405D16">
            <w:pPr>
              <w:spacing w:after="100"/>
              <w:jc w:val="center"/>
              <w:rPr>
                <w:rFonts w:eastAsia="Times New Roman"/>
              </w:rPr>
            </w:pPr>
            <w:r>
              <w:rPr>
                <w:rFonts w:eastAsia="Times New Roman"/>
                <w:b/>
                <w:bCs/>
                <w:color w:val="000000"/>
                <w:sz w:val="16"/>
                <w:szCs w:val="16"/>
              </w:rPr>
              <w:t>December 31, 2020</w:t>
            </w:r>
          </w:p>
        </w:tc>
      </w:tr>
      <w:tr w:rsidR="00000000" w14:paraId="30D90039" w14:textId="77777777">
        <w:trPr>
          <w:divId w:val="17558309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879F94F" w14:textId="77777777" w:rsidR="00000000" w:rsidRDefault="00405D16">
            <w:pPr>
              <w:spacing w:after="100"/>
              <w:rPr>
                <w:rFonts w:eastAsia="Times New Roman"/>
              </w:rPr>
            </w:pPr>
            <w:r>
              <w:rPr>
                <w:rFonts w:eastAsia="Times New Roman"/>
                <w:color w:val="000000"/>
                <w:sz w:val="18"/>
                <w:szCs w:val="18"/>
              </w:rPr>
              <w:t>Estimated impact on projected baseline net interest income:</w:t>
            </w:r>
          </w:p>
        </w:tc>
        <w:tc>
          <w:tcPr>
            <w:tcW w:w="0" w:type="auto"/>
            <w:gridSpan w:val="3"/>
            <w:shd w:val="clear" w:color="auto" w:fill="CCEEFF"/>
            <w:tcMar>
              <w:top w:w="0" w:type="dxa"/>
              <w:left w:w="20" w:type="dxa"/>
              <w:bottom w:w="0" w:type="dxa"/>
              <w:right w:w="20" w:type="dxa"/>
            </w:tcMar>
            <w:vAlign w:val="center"/>
            <w:hideMark/>
          </w:tcPr>
          <w:p w14:paraId="6A5E210A"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826789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EC16C9"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A32FB22" w14:textId="77777777" w:rsidR="00000000" w:rsidRDefault="00405D16">
            <w:pPr>
              <w:spacing w:after="100"/>
              <w:rPr>
                <w:rFonts w:eastAsia="Times New Roman"/>
                <w:sz w:val="20"/>
                <w:szCs w:val="20"/>
              </w:rPr>
            </w:pPr>
          </w:p>
        </w:tc>
      </w:tr>
      <w:tr w:rsidR="00000000" w14:paraId="73F80531" w14:textId="77777777">
        <w:trPr>
          <w:divId w:val="175583094"/>
        </w:trPr>
        <w:tc>
          <w:tcPr>
            <w:tcW w:w="0" w:type="auto"/>
            <w:gridSpan w:val="3"/>
            <w:shd w:val="clear" w:color="auto" w:fill="FFFFFF"/>
            <w:tcMar>
              <w:top w:w="30" w:type="dxa"/>
              <w:left w:w="245" w:type="dxa"/>
              <w:bottom w:w="30" w:type="dxa"/>
              <w:right w:w="20" w:type="dxa"/>
            </w:tcMar>
            <w:vAlign w:val="center"/>
            <w:hideMark/>
          </w:tcPr>
          <w:p w14:paraId="0FEA5F61" w14:textId="77777777" w:rsidR="00000000" w:rsidRDefault="00405D16">
            <w:pPr>
              <w:spacing w:after="100"/>
              <w:rPr>
                <w:rFonts w:eastAsia="Times New Roman"/>
              </w:rPr>
            </w:pPr>
            <w:r>
              <w:rPr>
                <w:rFonts w:eastAsia="Times New Roman"/>
                <w:color w:val="000000"/>
                <w:sz w:val="18"/>
                <w:szCs w:val="18"/>
              </w:rPr>
              <w:t>+200 basis points</w:t>
            </w:r>
          </w:p>
        </w:tc>
        <w:tc>
          <w:tcPr>
            <w:tcW w:w="0" w:type="auto"/>
            <w:gridSpan w:val="3"/>
            <w:shd w:val="clear" w:color="auto" w:fill="FFFFFF"/>
            <w:tcMar>
              <w:top w:w="0" w:type="dxa"/>
              <w:left w:w="20" w:type="dxa"/>
              <w:bottom w:w="0" w:type="dxa"/>
              <w:right w:w="20" w:type="dxa"/>
            </w:tcMar>
            <w:vAlign w:val="center"/>
            <w:hideMark/>
          </w:tcPr>
          <w:p w14:paraId="2D59C975"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8925056" w14:textId="77777777" w:rsidR="00000000" w:rsidRDefault="00405D16">
            <w:pPr>
              <w:spacing w:after="100"/>
              <w:jc w:val="right"/>
              <w:rPr>
                <w:rFonts w:eastAsia="Times New Roman"/>
              </w:rPr>
            </w:pPr>
            <w:r>
              <w:rPr>
                <w:rFonts w:eastAsia="Times New Roman"/>
                <w:b/>
                <w:bCs/>
                <w:color w:val="000000"/>
                <w:sz w:val="18"/>
                <w:szCs w:val="18"/>
              </w:rPr>
              <w:t>4.3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020F458"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B4AAC89"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AC9D212" w14:textId="77777777" w:rsidR="00000000" w:rsidRDefault="00405D16">
            <w:pPr>
              <w:spacing w:after="100"/>
              <w:jc w:val="right"/>
              <w:rPr>
                <w:rFonts w:eastAsia="Times New Roman"/>
              </w:rPr>
            </w:pPr>
            <w:r>
              <w:rPr>
                <w:rFonts w:eastAsia="Times New Roman"/>
                <w:color w:val="000000"/>
                <w:sz w:val="18"/>
                <w:szCs w:val="18"/>
              </w:rPr>
              <w:t>5.6 </w:t>
            </w:r>
          </w:p>
        </w:tc>
        <w:tc>
          <w:tcPr>
            <w:tcW w:w="0" w:type="auto"/>
            <w:shd w:val="clear" w:color="auto" w:fill="FFFFFF"/>
            <w:tcMar>
              <w:top w:w="30" w:type="dxa"/>
              <w:left w:w="0" w:type="dxa"/>
              <w:bottom w:w="30" w:type="dxa"/>
              <w:right w:w="20" w:type="dxa"/>
            </w:tcMar>
            <w:vAlign w:val="center"/>
            <w:hideMark/>
          </w:tcPr>
          <w:p w14:paraId="4B8CCF42" w14:textId="77777777" w:rsidR="00000000" w:rsidRDefault="00405D16">
            <w:pPr>
              <w:spacing w:after="100"/>
              <w:rPr>
                <w:rFonts w:eastAsia="Times New Roman"/>
              </w:rPr>
            </w:pPr>
            <w:r>
              <w:rPr>
                <w:rFonts w:eastAsia="Times New Roman"/>
                <w:color w:val="000000"/>
                <w:sz w:val="18"/>
                <w:szCs w:val="18"/>
              </w:rPr>
              <w:t>%</w:t>
            </w:r>
          </w:p>
        </w:tc>
      </w:tr>
      <w:tr w:rsidR="00000000" w14:paraId="6E963567" w14:textId="77777777">
        <w:trPr>
          <w:divId w:val="175583094"/>
        </w:trPr>
        <w:tc>
          <w:tcPr>
            <w:tcW w:w="0" w:type="auto"/>
            <w:gridSpan w:val="3"/>
            <w:vAlign w:val="center"/>
            <w:hideMark/>
          </w:tcPr>
          <w:p w14:paraId="0CEC306D" w14:textId="77777777" w:rsidR="00000000" w:rsidRDefault="00405D16">
            <w:pPr>
              <w:spacing w:after="100"/>
              <w:rPr>
                <w:rFonts w:eastAsia="Times New Roman"/>
              </w:rPr>
            </w:pPr>
          </w:p>
        </w:tc>
        <w:tc>
          <w:tcPr>
            <w:tcW w:w="0" w:type="auto"/>
            <w:gridSpan w:val="3"/>
            <w:vAlign w:val="center"/>
            <w:hideMark/>
          </w:tcPr>
          <w:p w14:paraId="5C0A7061" w14:textId="77777777" w:rsidR="00000000" w:rsidRDefault="00405D16">
            <w:pPr>
              <w:spacing w:after="100"/>
              <w:rPr>
                <w:rFonts w:eastAsia="Times New Roman"/>
                <w:sz w:val="20"/>
                <w:szCs w:val="20"/>
              </w:rPr>
            </w:pPr>
          </w:p>
        </w:tc>
        <w:tc>
          <w:tcPr>
            <w:tcW w:w="0" w:type="auto"/>
            <w:gridSpan w:val="3"/>
            <w:vAlign w:val="center"/>
            <w:hideMark/>
          </w:tcPr>
          <w:p w14:paraId="17862E94" w14:textId="77777777" w:rsidR="00000000" w:rsidRDefault="00405D16">
            <w:pPr>
              <w:spacing w:after="100"/>
              <w:rPr>
                <w:rFonts w:eastAsia="Times New Roman"/>
                <w:sz w:val="20"/>
                <w:szCs w:val="20"/>
              </w:rPr>
            </w:pPr>
          </w:p>
        </w:tc>
        <w:tc>
          <w:tcPr>
            <w:tcW w:w="0" w:type="auto"/>
            <w:gridSpan w:val="3"/>
            <w:vAlign w:val="center"/>
            <w:hideMark/>
          </w:tcPr>
          <w:p w14:paraId="11B5A87A" w14:textId="77777777" w:rsidR="00000000" w:rsidRDefault="00405D16">
            <w:pPr>
              <w:spacing w:after="100"/>
              <w:rPr>
                <w:rFonts w:eastAsia="Times New Roman"/>
                <w:sz w:val="20"/>
                <w:szCs w:val="20"/>
              </w:rPr>
            </w:pPr>
          </w:p>
        </w:tc>
        <w:tc>
          <w:tcPr>
            <w:tcW w:w="0" w:type="auto"/>
            <w:gridSpan w:val="3"/>
            <w:vAlign w:val="center"/>
            <w:hideMark/>
          </w:tcPr>
          <w:p w14:paraId="010D1974" w14:textId="77777777" w:rsidR="00000000" w:rsidRDefault="00405D16">
            <w:pPr>
              <w:spacing w:after="100"/>
              <w:rPr>
                <w:rFonts w:eastAsia="Times New Roman"/>
                <w:sz w:val="20"/>
                <w:szCs w:val="20"/>
              </w:rPr>
            </w:pPr>
          </w:p>
        </w:tc>
      </w:tr>
      <w:tr w:rsidR="00000000" w14:paraId="6D5D6B33" w14:textId="77777777">
        <w:trPr>
          <w:divId w:val="175583094"/>
        </w:trPr>
        <w:tc>
          <w:tcPr>
            <w:tcW w:w="0" w:type="auto"/>
            <w:gridSpan w:val="3"/>
            <w:shd w:val="clear" w:color="auto" w:fill="CCEEFF"/>
            <w:tcMar>
              <w:top w:w="30" w:type="dxa"/>
              <w:left w:w="245" w:type="dxa"/>
              <w:bottom w:w="30" w:type="dxa"/>
              <w:right w:w="20" w:type="dxa"/>
            </w:tcMar>
            <w:vAlign w:val="center"/>
            <w:hideMark/>
          </w:tcPr>
          <w:p w14:paraId="138BAE74" w14:textId="77777777" w:rsidR="00000000" w:rsidRDefault="00405D16">
            <w:pPr>
              <w:spacing w:after="100"/>
              <w:rPr>
                <w:rFonts w:eastAsia="Times New Roman"/>
              </w:rPr>
            </w:pPr>
            <w:r>
              <w:rPr>
                <w:rFonts w:eastAsia="Times New Roman"/>
                <w:color w:val="000000"/>
                <w:sz w:val="18"/>
                <w:szCs w:val="18"/>
              </w:rPr>
              <w:t>+100 basis points</w:t>
            </w:r>
          </w:p>
        </w:tc>
        <w:tc>
          <w:tcPr>
            <w:tcW w:w="0" w:type="auto"/>
            <w:gridSpan w:val="3"/>
            <w:shd w:val="clear" w:color="auto" w:fill="CCEEFF"/>
            <w:tcMar>
              <w:top w:w="0" w:type="dxa"/>
              <w:left w:w="20" w:type="dxa"/>
              <w:bottom w:w="0" w:type="dxa"/>
              <w:right w:w="20" w:type="dxa"/>
            </w:tcMar>
            <w:vAlign w:val="center"/>
            <w:hideMark/>
          </w:tcPr>
          <w:p w14:paraId="70B044B8"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54949F8" w14:textId="77777777" w:rsidR="00000000" w:rsidRDefault="00405D16">
            <w:pPr>
              <w:spacing w:after="100"/>
              <w:jc w:val="right"/>
              <w:rPr>
                <w:rFonts w:eastAsia="Times New Roman"/>
              </w:rPr>
            </w:pPr>
            <w:r>
              <w:rPr>
                <w:rFonts w:eastAsia="Times New Roman"/>
                <w:b/>
                <w:bCs/>
                <w:color w:val="000000"/>
                <w:sz w:val="18"/>
                <w:szCs w:val="18"/>
              </w:rPr>
              <w:t>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7A7842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8512C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C2E0A87" w14:textId="77777777" w:rsidR="00000000" w:rsidRDefault="00405D16">
            <w:pPr>
              <w:spacing w:after="100"/>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center"/>
            <w:hideMark/>
          </w:tcPr>
          <w:p w14:paraId="2D56934B" w14:textId="77777777" w:rsidR="00000000" w:rsidRDefault="00405D16">
            <w:pPr>
              <w:spacing w:after="100"/>
              <w:jc w:val="right"/>
              <w:rPr>
                <w:rFonts w:eastAsia="Times New Roman"/>
              </w:rPr>
            </w:pPr>
          </w:p>
        </w:tc>
      </w:tr>
      <w:tr w:rsidR="00000000" w14:paraId="1296EB85" w14:textId="77777777">
        <w:trPr>
          <w:divId w:val="175583094"/>
        </w:trPr>
        <w:tc>
          <w:tcPr>
            <w:tcW w:w="0" w:type="auto"/>
            <w:gridSpan w:val="3"/>
            <w:shd w:val="clear" w:color="auto" w:fill="FFFFFF"/>
            <w:tcMar>
              <w:top w:w="30" w:type="dxa"/>
              <w:left w:w="245" w:type="dxa"/>
              <w:bottom w:w="30" w:type="dxa"/>
              <w:right w:w="20" w:type="dxa"/>
            </w:tcMar>
            <w:vAlign w:val="center"/>
            <w:hideMark/>
          </w:tcPr>
          <w:p w14:paraId="33E68441" w14:textId="77777777" w:rsidR="00000000" w:rsidRDefault="00405D16">
            <w:pPr>
              <w:spacing w:after="100"/>
              <w:rPr>
                <w:rFonts w:eastAsia="Times New Roman"/>
              </w:rPr>
            </w:pPr>
            <w:r>
              <w:rPr>
                <w:rFonts w:eastAsia="Times New Roman"/>
                <w:color w:val="000000"/>
                <w:sz w:val="18"/>
                <w:szCs w:val="18"/>
              </w:rPr>
              <w:t>+50 basis points</w:t>
            </w:r>
          </w:p>
        </w:tc>
        <w:tc>
          <w:tcPr>
            <w:tcW w:w="0" w:type="auto"/>
            <w:gridSpan w:val="3"/>
            <w:shd w:val="clear" w:color="auto" w:fill="FFFFFF"/>
            <w:tcMar>
              <w:top w:w="0" w:type="dxa"/>
              <w:left w:w="20" w:type="dxa"/>
              <w:bottom w:w="0" w:type="dxa"/>
              <w:right w:w="20" w:type="dxa"/>
            </w:tcMar>
            <w:vAlign w:val="center"/>
            <w:hideMark/>
          </w:tcPr>
          <w:p w14:paraId="2D6C8DDA"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88AAEAD" w14:textId="77777777" w:rsidR="00000000" w:rsidRDefault="00405D16">
            <w:pPr>
              <w:spacing w:after="100"/>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B5BEB7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649B5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EA8C036" w14:textId="77777777" w:rsidR="00000000" w:rsidRDefault="00405D16">
            <w:pPr>
              <w:spacing w:after="100"/>
              <w:jc w:val="right"/>
              <w:rPr>
                <w:rFonts w:eastAsia="Times New Roman"/>
              </w:rPr>
            </w:pPr>
            <w:r>
              <w:rPr>
                <w:rFonts w:eastAsia="Times New Roman"/>
                <w:color w:val="000000"/>
                <w:sz w:val="18"/>
                <w:szCs w:val="18"/>
              </w:rPr>
              <w:t>2.4 </w:t>
            </w:r>
          </w:p>
        </w:tc>
        <w:tc>
          <w:tcPr>
            <w:tcW w:w="0" w:type="auto"/>
            <w:shd w:val="clear" w:color="auto" w:fill="FFFFFF"/>
            <w:tcMar>
              <w:top w:w="30" w:type="dxa"/>
              <w:left w:w="0" w:type="dxa"/>
              <w:bottom w:w="30" w:type="dxa"/>
              <w:right w:w="20" w:type="dxa"/>
            </w:tcMar>
            <w:vAlign w:val="center"/>
            <w:hideMark/>
          </w:tcPr>
          <w:p w14:paraId="6AE29C66" w14:textId="77777777" w:rsidR="00000000" w:rsidRDefault="00405D16">
            <w:pPr>
              <w:spacing w:after="100"/>
              <w:jc w:val="right"/>
              <w:rPr>
                <w:rFonts w:eastAsia="Times New Roman"/>
              </w:rPr>
            </w:pPr>
          </w:p>
        </w:tc>
      </w:tr>
      <w:tr w:rsidR="00000000" w14:paraId="2BBFAE37" w14:textId="77777777">
        <w:trPr>
          <w:divId w:val="175583094"/>
        </w:trPr>
        <w:tc>
          <w:tcPr>
            <w:tcW w:w="0" w:type="auto"/>
            <w:gridSpan w:val="3"/>
            <w:shd w:val="clear" w:color="auto" w:fill="CCEEFF"/>
            <w:tcMar>
              <w:top w:w="30" w:type="dxa"/>
              <w:left w:w="245" w:type="dxa"/>
              <w:bottom w:w="30" w:type="dxa"/>
              <w:right w:w="20" w:type="dxa"/>
            </w:tcMar>
            <w:vAlign w:val="center"/>
            <w:hideMark/>
          </w:tcPr>
          <w:p w14:paraId="42D60789" w14:textId="77777777" w:rsidR="00000000" w:rsidRDefault="00405D16">
            <w:pPr>
              <w:spacing w:after="100"/>
              <w:rPr>
                <w:rFonts w:eastAsia="Times New Roman"/>
              </w:rPr>
            </w:pPr>
            <w:r>
              <w:rPr>
                <w:rFonts w:eastAsia="Times New Roman"/>
                <w:color w:val="000000"/>
                <w:sz w:val="18"/>
                <w:szCs w:val="18"/>
              </w:rPr>
              <w:t>–50 basis points</w:t>
            </w:r>
          </w:p>
        </w:tc>
        <w:tc>
          <w:tcPr>
            <w:tcW w:w="0" w:type="auto"/>
            <w:gridSpan w:val="3"/>
            <w:shd w:val="clear" w:color="auto" w:fill="CCEEFF"/>
            <w:tcMar>
              <w:top w:w="0" w:type="dxa"/>
              <w:left w:w="20" w:type="dxa"/>
              <w:bottom w:w="0" w:type="dxa"/>
              <w:right w:w="20" w:type="dxa"/>
            </w:tcMar>
            <w:vAlign w:val="center"/>
            <w:hideMark/>
          </w:tcPr>
          <w:p w14:paraId="27EBF1C8"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1A7456C" w14:textId="77777777" w:rsidR="00000000" w:rsidRDefault="00405D16">
            <w:pPr>
              <w:spacing w:after="100"/>
              <w:jc w:val="right"/>
              <w:rPr>
                <w:rFonts w:eastAsia="Times New Roman"/>
              </w:rPr>
            </w:pPr>
            <w:r>
              <w:rPr>
                <w:rFonts w:eastAsia="Times New Roman"/>
                <w:b/>
                <w:bCs/>
                <w:color w:val="000000"/>
                <w:sz w:val="18"/>
                <w:szCs w:val="18"/>
              </w:rPr>
              <w:t>(1.4)</w:t>
            </w:r>
          </w:p>
        </w:tc>
        <w:tc>
          <w:tcPr>
            <w:tcW w:w="0" w:type="auto"/>
            <w:shd w:val="clear" w:color="auto" w:fill="CCEEFF"/>
            <w:tcMar>
              <w:top w:w="30" w:type="dxa"/>
              <w:left w:w="0" w:type="dxa"/>
              <w:bottom w:w="30" w:type="dxa"/>
              <w:right w:w="20" w:type="dxa"/>
            </w:tcMar>
            <w:vAlign w:val="center"/>
            <w:hideMark/>
          </w:tcPr>
          <w:p w14:paraId="291F09D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C858A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EFD4A84" w14:textId="77777777" w:rsidR="00000000" w:rsidRDefault="00405D16">
            <w:pPr>
              <w:spacing w:after="100"/>
              <w:jc w:val="right"/>
              <w:rPr>
                <w:rFonts w:eastAsia="Times New Roman"/>
              </w:rPr>
            </w:pPr>
            <w:r>
              <w:rPr>
                <w:rFonts w:eastAsia="Times New Roman"/>
                <w:color w:val="000000"/>
                <w:sz w:val="18"/>
                <w:szCs w:val="18"/>
              </w:rPr>
              <w:t>(0.9)</w:t>
            </w:r>
          </w:p>
        </w:tc>
        <w:tc>
          <w:tcPr>
            <w:tcW w:w="0" w:type="auto"/>
            <w:shd w:val="clear" w:color="auto" w:fill="CCEEFF"/>
            <w:tcMar>
              <w:top w:w="30" w:type="dxa"/>
              <w:left w:w="0" w:type="dxa"/>
              <w:bottom w:w="30" w:type="dxa"/>
              <w:right w:w="20" w:type="dxa"/>
            </w:tcMar>
            <w:vAlign w:val="center"/>
            <w:hideMark/>
          </w:tcPr>
          <w:p w14:paraId="062099FA" w14:textId="77777777" w:rsidR="00000000" w:rsidRDefault="00405D16">
            <w:pPr>
              <w:spacing w:after="100"/>
              <w:jc w:val="right"/>
              <w:rPr>
                <w:rFonts w:eastAsia="Times New Roman"/>
              </w:rPr>
            </w:pPr>
          </w:p>
        </w:tc>
      </w:tr>
      <w:tr w:rsidR="00000000" w14:paraId="1447A3A8" w14:textId="77777777">
        <w:trPr>
          <w:divId w:val="175583094"/>
        </w:trPr>
        <w:tc>
          <w:tcPr>
            <w:tcW w:w="0" w:type="auto"/>
            <w:gridSpan w:val="3"/>
            <w:vAlign w:val="center"/>
            <w:hideMark/>
          </w:tcPr>
          <w:p w14:paraId="738B35C4" w14:textId="77777777" w:rsidR="00000000" w:rsidRDefault="00405D16">
            <w:pPr>
              <w:spacing w:after="100"/>
              <w:jc w:val="right"/>
              <w:rPr>
                <w:rFonts w:eastAsia="Times New Roman"/>
                <w:sz w:val="20"/>
                <w:szCs w:val="20"/>
              </w:rPr>
            </w:pPr>
          </w:p>
        </w:tc>
        <w:tc>
          <w:tcPr>
            <w:tcW w:w="0" w:type="auto"/>
            <w:gridSpan w:val="3"/>
            <w:vAlign w:val="center"/>
            <w:hideMark/>
          </w:tcPr>
          <w:p w14:paraId="3E9A8C7A" w14:textId="77777777" w:rsidR="00000000" w:rsidRDefault="00405D16">
            <w:pPr>
              <w:spacing w:after="100"/>
              <w:rPr>
                <w:rFonts w:eastAsia="Times New Roman"/>
                <w:sz w:val="20"/>
                <w:szCs w:val="20"/>
              </w:rPr>
            </w:pPr>
          </w:p>
        </w:tc>
        <w:tc>
          <w:tcPr>
            <w:tcW w:w="0" w:type="auto"/>
            <w:gridSpan w:val="3"/>
            <w:vAlign w:val="center"/>
            <w:hideMark/>
          </w:tcPr>
          <w:p w14:paraId="4A0BE9EE" w14:textId="77777777" w:rsidR="00000000" w:rsidRDefault="00405D16">
            <w:pPr>
              <w:spacing w:after="100"/>
              <w:rPr>
                <w:rFonts w:eastAsia="Times New Roman"/>
                <w:sz w:val="20"/>
                <w:szCs w:val="20"/>
              </w:rPr>
            </w:pPr>
          </w:p>
        </w:tc>
        <w:tc>
          <w:tcPr>
            <w:tcW w:w="0" w:type="auto"/>
            <w:gridSpan w:val="3"/>
            <w:vAlign w:val="center"/>
            <w:hideMark/>
          </w:tcPr>
          <w:p w14:paraId="461A1F7C" w14:textId="77777777" w:rsidR="00000000" w:rsidRDefault="00405D16">
            <w:pPr>
              <w:spacing w:after="100"/>
              <w:rPr>
                <w:rFonts w:eastAsia="Times New Roman"/>
                <w:sz w:val="20"/>
                <w:szCs w:val="20"/>
              </w:rPr>
            </w:pPr>
          </w:p>
        </w:tc>
        <w:tc>
          <w:tcPr>
            <w:tcW w:w="0" w:type="auto"/>
            <w:gridSpan w:val="3"/>
            <w:vAlign w:val="center"/>
            <w:hideMark/>
          </w:tcPr>
          <w:p w14:paraId="7336B195" w14:textId="77777777" w:rsidR="00000000" w:rsidRDefault="00405D16">
            <w:pPr>
              <w:spacing w:after="100"/>
              <w:rPr>
                <w:rFonts w:eastAsia="Times New Roman"/>
                <w:sz w:val="20"/>
                <w:szCs w:val="20"/>
              </w:rPr>
            </w:pPr>
          </w:p>
        </w:tc>
      </w:tr>
      <w:tr w:rsidR="00000000" w14:paraId="5F5FA425" w14:textId="77777777">
        <w:trPr>
          <w:divId w:val="175583094"/>
        </w:trPr>
        <w:tc>
          <w:tcPr>
            <w:tcW w:w="0" w:type="auto"/>
            <w:gridSpan w:val="3"/>
            <w:vAlign w:val="center"/>
            <w:hideMark/>
          </w:tcPr>
          <w:p w14:paraId="1B5E27B2" w14:textId="77777777" w:rsidR="00000000" w:rsidRDefault="00405D16">
            <w:pPr>
              <w:spacing w:after="100"/>
              <w:rPr>
                <w:rFonts w:eastAsia="Times New Roman"/>
                <w:sz w:val="20"/>
                <w:szCs w:val="20"/>
              </w:rPr>
            </w:pPr>
          </w:p>
        </w:tc>
        <w:tc>
          <w:tcPr>
            <w:tcW w:w="0" w:type="auto"/>
            <w:gridSpan w:val="3"/>
            <w:vAlign w:val="center"/>
            <w:hideMark/>
          </w:tcPr>
          <w:p w14:paraId="06258BF8" w14:textId="77777777" w:rsidR="00000000" w:rsidRDefault="00405D16">
            <w:pPr>
              <w:spacing w:after="100"/>
              <w:rPr>
                <w:rFonts w:eastAsia="Times New Roman"/>
                <w:sz w:val="20"/>
                <w:szCs w:val="20"/>
              </w:rPr>
            </w:pPr>
          </w:p>
        </w:tc>
        <w:tc>
          <w:tcPr>
            <w:tcW w:w="0" w:type="auto"/>
            <w:gridSpan w:val="3"/>
            <w:vAlign w:val="center"/>
            <w:hideMark/>
          </w:tcPr>
          <w:p w14:paraId="69775453" w14:textId="77777777" w:rsidR="00000000" w:rsidRDefault="00405D16">
            <w:pPr>
              <w:spacing w:after="100"/>
              <w:rPr>
                <w:rFonts w:eastAsia="Times New Roman"/>
                <w:sz w:val="20"/>
                <w:szCs w:val="20"/>
              </w:rPr>
            </w:pPr>
          </w:p>
        </w:tc>
        <w:tc>
          <w:tcPr>
            <w:tcW w:w="0" w:type="auto"/>
            <w:gridSpan w:val="3"/>
            <w:vAlign w:val="center"/>
            <w:hideMark/>
          </w:tcPr>
          <w:p w14:paraId="21EAECF0" w14:textId="77777777" w:rsidR="00000000" w:rsidRDefault="00405D16">
            <w:pPr>
              <w:spacing w:after="100"/>
              <w:rPr>
                <w:rFonts w:eastAsia="Times New Roman"/>
                <w:sz w:val="20"/>
                <w:szCs w:val="20"/>
              </w:rPr>
            </w:pPr>
          </w:p>
        </w:tc>
        <w:tc>
          <w:tcPr>
            <w:tcW w:w="0" w:type="auto"/>
            <w:gridSpan w:val="3"/>
            <w:vAlign w:val="center"/>
            <w:hideMark/>
          </w:tcPr>
          <w:p w14:paraId="4C908589" w14:textId="77777777" w:rsidR="00000000" w:rsidRDefault="00405D16">
            <w:pPr>
              <w:spacing w:after="100"/>
              <w:rPr>
                <w:rFonts w:eastAsia="Times New Roman"/>
                <w:sz w:val="20"/>
                <w:szCs w:val="20"/>
              </w:rPr>
            </w:pPr>
          </w:p>
        </w:tc>
      </w:tr>
      <w:tr w:rsidR="00000000" w14:paraId="0DB16723" w14:textId="77777777">
        <w:trPr>
          <w:divId w:val="175583094"/>
        </w:trPr>
        <w:tc>
          <w:tcPr>
            <w:tcW w:w="0" w:type="auto"/>
            <w:gridSpan w:val="3"/>
            <w:vAlign w:val="center"/>
            <w:hideMark/>
          </w:tcPr>
          <w:p w14:paraId="7329154D" w14:textId="77777777" w:rsidR="00000000" w:rsidRDefault="00405D16">
            <w:pPr>
              <w:spacing w:after="100"/>
              <w:rPr>
                <w:rFonts w:eastAsia="Times New Roman"/>
                <w:sz w:val="20"/>
                <w:szCs w:val="20"/>
              </w:rPr>
            </w:pPr>
          </w:p>
        </w:tc>
        <w:tc>
          <w:tcPr>
            <w:tcW w:w="0" w:type="auto"/>
            <w:gridSpan w:val="3"/>
            <w:vAlign w:val="center"/>
            <w:hideMark/>
          </w:tcPr>
          <w:p w14:paraId="0A232077" w14:textId="77777777" w:rsidR="00000000" w:rsidRDefault="00405D16">
            <w:pPr>
              <w:spacing w:after="100"/>
              <w:rPr>
                <w:rFonts w:eastAsia="Times New Roman"/>
                <w:sz w:val="20"/>
                <w:szCs w:val="20"/>
              </w:rPr>
            </w:pPr>
          </w:p>
        </w:tc>
        <w:tc>
          <w:tcPr>
            <w:tcW w:w="0" w:type="auto"/>
            <w:gridSpan w:val="3"/>
            <w:vAlign w:val="center"/>
            <w:hideMark/>
          </w:tcPr>
          <w:p w14:paraId="00A12184" w14:textId="77777777" w:rsidR="00000000" w:rsidRDefault="00405D16">
            <w:pPr>
              <w:spacing w:after="100"/>
              <w:rPr>
                <w:rFonts w:eastAsia="Times New Roman"/>
                <w:sz w:val="20"/>
                <w:szCs w:val="20"/>
              </w:rPr>
            </w:pPr>
          </w:p>
        </w:tc>
        <w:tc>
          <w:tcPr>
            <w:tcW w:w="0" w:type="auto"/>
            <w:gridSpan w:val="3"/>
            <w:vAlign w:val="center"/>
            <w:hideMark/>
          </w:tcPr>
          <w:p w14:paraId="408F85D7" w14:textId="77777777" w:rsidR="00000000" w:rsidRDefault="00405D16">
            <w:pPr>
              <w:spacing w:after="100"/>
              <w:rPr>
                <w:rFonts w:eastAsia="Times New Roman"/>
                <w:sz w:val="20"/>
                <w:szCs w:val="20"/>
              </w:rPr>
            </w:pPr>
          </w:p>
        </w:tc>
        <w:tc>
          <w:tcPr>
            <w:tcW w:w="0" w:type="auto"/>
            <w:gridSpan w:val="3"/>
            <w:vAlign w:val="center"/>
            <w:hideMark/>
          </w:tcPr>
          <w:p w14:paraId="5D0E6E7C" w14:textId="77777777" w:rsidR="00000000" w:rsidRDefault="00405D16">
            <w:pPr>
              <w:spacing w:after="100"/>
              <w:rPr>
                <w:rFonts w:eastAsia="Times New Roman"/>
                <w:sz w:val="20"/>
                <w:szCs w:val="20"/>
              </w:rPr>
            </w:pPr>
          </w:p>
        </w:tc>
      </w:tr>
      <w:tr w:rsidR="00000000" w14:paraId="5E7BD70C" w14:textId="77777777">
        <w:trPr>
          <w:divId w:val="175583094"/>
        </w:trPr>
        <w:tc>
          <w:tcPr>
            <w:tcW w:w="0" w:type="auto"/>
            <w:gridSpan w:val="3"/>
            <w:shd w:val="clear" w:color="auto" w:fill="FFFFFF"/>
            <w:tcMar>
              <w:top w:w="30" w:type="dxa"/>
              <w:left w:w="20" w:type="dxa"/>
              <w:bottom w:w="30" w:type="dxa"/>
              <w:right w:w="20" w:type="dxa"/>
            </w:tcMar>
            <w:vAlign w:val="center"/>
            <w:hideMark/>
          </w:tcPr>
          <w:p w14:paraId="69CE6641" w14:textId="77777777" w:rsidR="00000000" w:rsidRDefault="00405D16">
            <w:pPr>
              <w:spacing w:after="100"/>
              <w:rPr>
                <w:rFonts w:eastAsia="Times New Roman"/>
              </w:rPr>
            </w:pPr>
            <w:r>
              <w:rPr>
                <w:rFonts w:eastAsia="Times New Roman"/>
                <w:color w:val="000000"/>
                <w:sz w:val="18"/>
                <w:szCs w:val="18"/>
              </w:rPr>
              <w:t>Estimated impact on economic value of equity:</w:t>
            </w:r>
          </w:p>
        </w:tc>
        <w:tc>
          <w:tcPr>
            <w:tcW w:w="0" w:type="auto"/>
            <w:gridSpan w:val="3"/>
            <w:shd w:val="clear" w:color="auto" w:fill="FFFFFF"/>
            <w:tcMar>
              <w:top w:w="0" w:type="dxa"/>
              <w:left w:w="20" w:type="dxa"/>
              <w:bottom w:w="0" w:type="dxa"/>
              <w:right w:w="20" w:type="dxa"/>
            </w:tcMar>
            <w:vAlign w:val="center"/>
            <w:hideMark/>
          </w:tcPr>
          <w:p w14:paraId="2E35C2D3"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7FF21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783E1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F2E65B" w14:textId="77777777" w:rsidR="00000000" w:rsidRDefault="00405D16">
            <w:pPr>
              <w:spacing w:after="100"/>
              <w:rPr>
                <w:rFonts w:eastAsia="Times New Roman"/>
                <w:sz w:val="20"/>
                <w:szCs w:val="20"/>
              </w:rPr>
            </w:pPr>
          </w:p>
        </w:tc>
      </w:tr>
      <w:tr w:rsidR="00000000" w14:paraId="6C99528A" w14:textId="77777777">
        <w:trPr>
          <w:divId w:val="175583094"/>
        </w:trPr>
        <w:tc>
          <w:tcPr>
            <w:tcW w:w="0" w:type="auto"/>
            <w:gridSpan w:val="3"/>
            <w:shd w:val="clear" w:color="auto" w:fill="CCEEFF"/>
            <w:tcMar>
              <w:top w:w="30" w:type="dxa"/>
              <w:left w:w="245" w:type="dxa"/>
              <w:bottom w:w="30" w:type="dxa"/>
              <w:right w:w="20" w:type="dxa"/>
            </w:tcMar>
            <w:vAlign w:val="center"/>
            <w:hideMark/>
          </w:tcPr>
          <w:p w14:paraId="4FF5C4B9" w14:textId="77777777" w:rsidR="00000000" w:rsidRDefault="00405D16">
            <w:pPr>
              <w:spacing w:after="100"/>
              <w:rPr>
                <w:rFonts w:eastAsia="Times New Roman"/>
              </w:rPr>
            </w:pPr>
            <w:r>
              <w:rPr>
                <w:rFonts w:eastAsia="Times New Roman"/>
                <w:color w:val="000000"/>
                <w:sz w:val="18"/>
                <w:szCs w:val="18"/>
              </w:rPr>
              <w:t>+200 basis points</w:t>
            </w:r>
          </w:p>
        </w:tc>
        <w:tc>
          <w:tcPr>
            <w:tcW w:w="0" w:type="auto"/>
            <w:gridSpan w:val="3"/>
            <w:shd w:val="clear" w:color="auto" w:fill="CCEEFF"/>
            <w:tcMar>
              <w:top w:w="0" w:type="dxa"/>
              <w:left w:w="20" w:type="dxa"/>
              <w:bottom w:w="0" w:type="dxa"/>
              <w:right w:w="20" w:type="dxa"/>
            </w:tcMar>
            <w:vAlign w:val="center"/>
            <w:hideMark/>
          </w:tcPr>
          <w:p w14:paraId="2288C420"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3D8CE12" w14:textId="77777777" w:rsidR="00000000" w:rsidRDefault="00405D16">
            <w:pPr>
              <w:spacing w:after="100"/>
              <w:jc w:val="right"/>
              <w:rPr>
                <w:rFonts w:eastAsia="Times New Roman"/>
              </w:rPr>
            </w:pPr>
            <w:r>
              <w:rPr>
                <w:rFonts w:eastAsia="Times New Roman"/>
                <w:b/>
                <w:bCs/>
                <w:color w:val="000000"/>
                <w:sz w:val="18"/>
                <w:szCs w:val="18"/>
              </w:rPr>
              <w:t>0.7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F668F8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9E471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F1993D8" w14:textId="77777777" w:rsidR="00000000" w:rsidRDefault="00405D16">
            <w:pPr>
              <w:spacing w:after="100"/>
              <w:jc w:val="right"/>
              <w:rPr>
                <w:rFonts w:eastAsia="Times New Roman"/>
              </w:rPr>
            </w:pPr>
            <w:r>
              <w:rPr>
                <w:rFonts w:eastAsia="Times New Roman"/>
                <w:color w:val="000000"/>
                <w:sz w:val="18"/>
                <w:szCs w:val="18"/>
              </w:rPr>
              <w:t>4.2 </w:t>
            </w:r>
          </w:p>
        </w:tc>
        <w:tc>
          <w:tcPr>
            <w:tcW w:w="0" w:type="auto"/>
            <w:shd w:val="clear" w:color="auto" w:fill="CCEEFF"/>
            <w:tcMar>
              <w:top w:w="30" w:type="dxa"/>
              <w:left w:w="0" w:type="dxa"/>
              <w:bottom w:w="30" w:type="dxa"/>
              <w:right w:w="20" w:type="dxa"/>
            </w:tcMar>
            <w:vAlign w:val="center"/>
            <w:hideMark/>
          </w:tcPr>
          <w:p w14:paraId="7349ADB1" w14:textId="77777777" w:rsidR="00000000" w:rsidRDefault="00405D16">
            <w:pPr>
              <w:spacing w:after="100"/>
              <w:jc w:val="right"/>
              <w:rPr>
                <w:rFonts w:eastAsia="Times New Roman"/>
              </w:rPr>
            </w:pPr>
          </w:p>
        </w:tc>
      </w:tr>
      <w:tr w:rsidR="00000000" w14:paraId="38D2AE4E" w14:textId="77777777">
        <w:trPr>
          <w:divId w:val="175583094"/>
        </w:trPr>
        <w:tc>
          <w:tcPr>
            <w:tcW w:w="0" w:type="auto"/>
            <w:gridSpan w:val="3"/>
            <w:vAlign w:val="center"/>
            <w:hideMark/>
          </w:tcPr>
          <w:p w14:paraId="5100600F" w14:textId="77777777" w:rsidR="00000000" w:rsidRDefault="00405D16">
            <w:pPr>
              <w:spacing w:after="100"/>
              <w:jc w:val="right"/>
              <w:rPr>
                <w:rFonts w:eastAsia="Times New Roman"/>
                <w:sz w:val="20"/>
                <w:szCs w:val="20"/>
              </w:rPr>
            </w:pPr>
          </w:p>
        </w:tc>
        <w:tc>
          <w:tcPr>
            <w:tcW w:w="0" w:type="auto"/>
            <w:gridSpan w:val="3"/>
            <w:vAlign w:val="center"/>
            <w:hideMark/>
          </w:tcPr>
          <w:p w14:paraId="1671F6E5" w14:textId="77777777" w:rsidR="00000000" w:rsidRDefault="00405D16">
            <w:pPr>
              <w:spacing w:after="100"/>
              <w:rPr>
                <w:rFonts w:eastAsia="Times New Roman"/>
                <w:sz w:val="20"/>
                <w:szCs w:val="20"/>
              </w:rPr>
            </w:pPr>
          </w:p>
        </w:tc>
        <w:tc>
          <w:tcPr>
            <w:tcW w:w="0" w:type="auto"/>
            <w:gridSpan w:val="3"/>
            <w:vAlign w:val="center"/>
            <w:hideMark/>
          </w:tcPr>
          <w:p w14:paraId="2D1961B2" w14:textId="77777777" w:rsidR="00000000" w:rsidRDefault="00405D16">
            <w:pPr>
              <w:spacing w:after="100"/>
              <w:rPr>
                <w:rFonts w:eastAsia="Times New Roman"/>
                <w:sz w:val="20"/>
                <w:szCs w:val="20"/>
              </w:rPr>
            </w:pPr>
          </w:p>
        </w:tc>
        <w:tc>
          <w:tcPr>
            <w:tcW w:w="0" w:type="auto"/>
            <w:gridSpan w:val="3"/>
            <w:vAlign w:val="center"/>
            <w:hideMark/>
          </w:tcPr>
          <w:p w14:paraId="41C5AD79" w14:textId="77777777" w:rsidR="00000000" w:rsidRDefault="00405D16">
            <w:pPr>
              <w:spacing w:after="100"/>
              <w:rPr>
                <w:rFonts w:eastAsia="Times New Roman"/>
                <w:sz w:val="20"/>
                <w:szCs w:val="20"/>
              </w:rPr>
            </w:pPr>
          </w:p>
        </w:tc>
        <w:tc>
          <w:tcPr>
            <w:tcW w:w="0" w:type="auto"/>
            <w:gridSpan w:val="3"/>
            <w:vAlign w:val="center"/>
            <w:hideMark/>
          </w:tcPr>
          <w:p w14:paraId="579CE38E" w14:textId="77777777" w:rsidR="00000000" w:rsidRDefault="00405D16">
            <w:pPr>
              <w:spacing w:after="100"/>
              <w:rPr>
                <w:rFonts w:eastAsia="Times New Roman"/>
                <w:sz w:val="20"/>
                <w:szCs w:val="20"/>
              </w:rPr>
            </w:pPr>
          </w:p>
        </w:tc>
      </w:tr>
      <w:tr w:rsidR="00000000" w14:paraId="5945C5E2" w14:textId="77777777">
        <w:trPr>
          <w:divId w:val="175583094"/>
        </w:trPr>
        <w:tc>
          <w:tcPr>
            <w:tcW w:w="0" w:type="auto"/>
            <w:gridSpan w:val="3"/>
            <w:shd w:val="clear" w:color="auto" w:fill="FFFFFF"/>
            <w:tcMar>
              <w:top w:w="30" w:type="dxa"/>
              <w:left w:w="245" w:type="dxa"/>
              <w:bottom w:w="30" w:type="dxa"/>
              <w:right w:w="20" w:type="dxa"/>
            </w:tcMar>
            <w:vAlign w:val="center"/>
            <w:hideMark/>
          </w:tcPr>
          <w:p w14:paraId="0575B983" w14:textId="77777777" w:rsidR="00000000" w:rsidRDefault="00405D16">
            <w:pPr>
              <w:spacing w:after="100"/>
              <w:rPr>
                <w:rFonts w:eastAsia="Times New Roman"/>
              </w:rPr>
            </w:pPr>
            <w:r>
              <w:rPr>
                <w:rFonts w:eastAsia="Times New Roman"/>
                <w:color w:val="000000"/>
                <w:sz w:val="18"/>
                <w:szCs w:val="18"/>
              </w:rPr>
              <w:t>+100 basis points</w:t>
            </w:r>
          </w:p>
        </w:tc>
        <w:tc>
          <w:tcPr>
            <w:tcW w:w="0" w:type="auto"/>
            <w:gridSpan w:val="3"/>
            <w:shd w:val="clear" w:color="auto" w:fill="FFFFFF"/>
            <w:tcMar>
              <w:top w:w="0" w:type="dxa"/>
              <w:left w:w="20" w:type="dxa"/>
              <w:bottom w:w="0" w:type="dxa"/>
              <w:right w:w="20" w:type="dxa"/>
            </w:tcMar>
            <w:vAlign w:val="center"/>
            <w:hideMark/>
          </w:tcPr>
          <w:p w14:paraId="105A7B88"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A41D8EF" w14:textId="77777777" w:rsidR="00000000" w:rsidRDefault="00405D16">
            <w:pPr>
              <w:spacing w:after="100"/>
              <w:jc w:val="right"/>
              <w:rPr>
                <w:rFonts w:eastAsia="Times New Roman"/>
              </w:rPr>
            </w:pPr>
            <w:r>
              <w:rPr>
                <w:rFonts w:eastAsia="Times New Roman"/>
                <w:b/>
                <w:bCs/>
                <w:color w:val="000000"/>
                <w:sz w:val="18"/>
                <w:szCs w:val="18"/>
              </w:rPr>
              <w:t>2.8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B2C426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FD6EA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48B87DD" w14:textId="77777777" w:rsidR="00000000" w:rsidRDefault="00405D16">
            <w:pPr>
              <w:spacing w:after="100"/>
              <w:jc w:val="right"/>
              <w:rPr>
                <w:rFonts w:eastAsia="Times New Roman"/>
              </w:rPr>
            </w:pPr>
            <w:r>
              <w:rPr>
                <w:rFonts w:eastAsia="Times New Roman"/>
                <w:color w:val="000000"/>
                <w:sz w:val="18"/>
                <w:szCs w:val="18"/>
              </w:rPr>
              <w:t>6.0 </w:t>
            </w:r>
          </w:p>
        </w:tc>
        <w:tc>
          <w:tcPr>
            <w:tcW w:w="0" w:type="auto"/>
            <w:shd w:val="clear" w:color="auto" w:fill="FFFFFF"/>
            <w:tcMar>
              <w:top w:w="30" w:type="dxa"/>
              <w:left w:w="0" w:type="dxa"/>
              <w:bottom w:w="30" w:type="dxa"/>
              <w:right w:w="20" w:type="dxa"/>
            </w:tcMar>
            <w:vAlign w:val="center"/>
            <w:hideMark/>
          </w:tcPr>
          <w:p w14:paraId="37E7F8EF" w14:textId="77777777" w:rsidR="00000000" w:rsidRDefault="00405D16">
            <w:pPr>
              <w:spacing w:after="100"/>
              <w:jc w:val="right"/>
              <w:rPr>
                <w:rFonts w:eastAsia="Times New Roman"/>
              </w:rPr>
            </w:pPr>
          </w:p>
        </w:tc>
      </w:tr>
      <w:tr w:rsidR="00000000" w14:paraId="449E7729" w14:textId="77777777">
        <w:trPr>
          <w:divId w:val="175583094"/>
        </w:trPr>
        <w:tc>
          <w:tcPr>
            <w:tcW w:w="0" w:type="auto"/>
            <w:gridSpan w:val="3"/>
            <w:shd w:val="clear" w:color="auto" w:fill="CCEEFF"/>
            <w:tcMar>
              <w:top w:w="30" w:type="dxa"/>
              <w:left w:w="245" w:type="dxa"/>
              <w:bottom w:w="30" w:type="dxa"/>
              <w:right w:w="20" w:type="dxa"/>
            </w:tcMar>
            <w:vAlign w:val="center"/>
            <w:hideMark/>
          </w:tcPr>
          <w:p w14:paraId="64C55FDE" w14:textId="77777777" w:rsidR="00000000" w:rsidRDefault="00405D16">
            <w:pPr>
              <w:spacing w:after="100"/>
              <w:rPr>
                <w:rFonts w:eastAsia="Times New Roman"/>
              </w:rPr>
            </w:pPr>
            <w:r>
              <w:rPr>
                <w:rFonts w:eastAsia="Times New Roman"/>
                <w:color w:val="000000"/>
                <w:sz w:val="18"/>
                <w:szCs w:val="18"/>
              </w:rPr>
              <w:t>+50 basis points</w:t>
            </w:r>
          </w:p>
        </w:tc>
        <w:tc>
          <w:tcPr>
            <w:tcW w:w="0" w:type="auto"/>
            <w:gridSpan w:val="3"/>
            <w:shd w:val="clear" w:color="auto" w:fill="CCEEFF"/>
            <w:tcMar>
              <w:top w:w="0" w:type="dxa"/>
              <w:left w:w="20" w:type="dxa"/>
              <w:bottom w:w="0" w:type="dxa"/>
              <w:right w:w="20" w:type="dxa"/>
            </w:tcMar>
            <w:vAlign w:val="center"/>
            <w:hideMark/>
          </w:tcPr>
          <w:p w14:paraId="02FBAFA7"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C8E51A5" w14:textId="77777777" w:rsidR="00000000" w:rsidRDefault="00405D16">
            <w:pPr>
              <w:spacing w:after="100"/>
              <w:jc w:val="right"/>
              <w:rPr>
                <w:rFonts w:eastAsia="Times New Roman"/>
              </w:rPr>
            </w:pPr>
            <w:r>
              <w:rPr>
                <w:rFonts w:eastAsia="Times New Roman"/>
                <w:b/>
                <w:bCs/>
                <w:color w:val="000000"/>
                <w:sz w:val="18"/>
                <w:szCs w:val="18"/>
              </w:rPr>
              <w:t>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ADECE5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9F585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C0D8DC6" w14:textId="77777777" w:rsidR="00000000" w:rsidRDefault="00405D16">
            <w:pPr>
              <w:spacing w:after="100"/>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center"/>
            <w:hideMark/>
          </w:tcPr>
          <w:p w14:paraId="0F04C24B" w14:textId="77777777" w:rsidR="00000000" w:rsidRDefault="00405D16">
            <w:pPr>
              <w:spacing w:after="100"/>
              <w:jc w:val="right"/>
              <w:rPr>
                <w:rFonts w:eastAsia="Times New Roman"/>
              </w:rPr>
            </w:pPr>
          </w:p>
        </w:tc>
      </w:tr>
      <w:tr w:rsidR="00000000" w14:paraId="0D45FD37" w14:textId="77777777">
        <w:trPr>
          <w:divId w:val="175583094"/>
        </w:trPr>
        <w:tc>
          <w:tcPr>
            <w:tcW w:w="0" w:type="auto"/>
            <w:gridSpan w:val="3"/>
            <w:shd w:val="clear" w:color="auto" w:fill="FFFFFF"/>
            <w:tcMar>
              <w:top w:w="30" w:type="dxa"/>
              <w:left w:w="245" w:type="dxa"/>
              <w:bottom w:w="30" w:type="dxa"/>
              <w:right w:w="20" w:type="dxa"/>
            </w:tcMar>
            <w:vAlign w:val="center"/>
            <w:hideMark/>
          </w:tcPr>
          <w:p w14:paraId="0E4E376A" w14:textId="77777777" w:rsidR="00000000" w:rsidRDefault="00405D16">
            <w:pPr>
              <w:spacing w:after="100"/>
              <w:rPr>
                <w:rFonts w:eastAsia="Times New Roman"/>
              </w:rPr>
            </w:pPr>
            <w:r>
              <w:rPr>
                <w:rFonts w:eastAsia="Times New Roman"/>
                <w:color w:val="000000"/>
                <w:sz w:val="18"/>
                <w:szCs w:val="18"/>
              </w:rPr>
              <w:t>–50 basis points</w:t>
            </w:r>
          </w:p>
        </w:tc>
        <w:tc>
          <w:tcPr>
            <w:tcW w:w="0" w:type="auto"/>
            <w:gridSpan w:val="3"/>
            <w:shd w:val="clear" w:color="auto" w:fill="FFFFFF"/>
            <w:tcMar>
              <w:top w:w="0" w:type="dxa"/>
              <w:left w:w="20" w:type="dxa"/>
              <w:bottom w:w="0" w:type="dxa"/>
              <w:right w:w="20" w:type="dxa"/>
            </w:tcMar>
            <w:vAlign w:val="center"/>
            <w:hideMark/>
          </w:tcPr>
          <w:p w14:paraId="69B096FA"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69CDAE0" w14:textId="77777777" w:rsidR="00000000" w:rsidRDefault="00405D16">
            <w:pPr>
              <w:spacing w:after="100"/>
              <w:jc w:val="right"/>
              <w:rPr>
                <w:rFonts w:eastAsia="Times New Roman"/>
              </w:rPr>
            </w:pPr>
            <w:r>
              <w:rPr>
                <w:rFonts w:eastAsia="Times New Roman"/>
                <w:b/>
                <w:bCs/>
                <w:color w:val="000000"/>
                <w:sz w:val="18"/>
                <w:szCs w:val="18"/>
              </w:rPr>
              <w:t>(3.4)</w:t>
            </w:r>
          </w:p>
        </w:tc>
        <w:tc>
          <w:tcPr>
            <w:tcW w:w="0" w:type="auto"/>
            <w:shd w:val="clear" w:color="auto" w:fill="FFFFFF"/>
            <w:tcMar>
              <w:top w:w="30" w:type="dxa"/>
              <w:left w:w="0" w:type="dxa"/>
              <w:bottom w:w="30" w:type="dxa"/>
              <w:right w:w="20" w:type="dxa"/>
            </w:tcMar>
            <w:vAlign w:val="center"/>
            <w:hideMark/>
          </w:tcPr>
          <w:p w14:paraId="3A8585F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7200B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3935DF4" w14:textId="77777777" w:rsidR="00000000" w:rsidRDefault="00405D16">
            <w:pPr>
              <w:spacing w:after="100"/>
              <w:jc w:val="right"/>
              <w:rPr>
                <w:rFonts w:eastAsia="Times New Roman"/>
              </w:rPr>
            </w:pPr>
            <w:r>
              <w:rPr>
                <w:rFonts w:eastAsia="Times New Roman"/>
                <w:color w:val="000000"/>
                <w:sz w:val="18"/>
                <w:szCs w:val="18"/>
              </w:rPr>
              <w:t>(7.0)</w:t>
            </w:r>
          </w:p>
        </w:tc>
        <w:tc>
          <w:tcPr>
            <w:tcW w:w="0" w:type="auto"/>
            <w:shd w:val="clear" w:color="auto" w:fill="FFFFFF"/>
            <w:tcMar>
              <w:top w:w="30" w:type="dxa"/>
              <w:left w:w="0" w:type="dxa"/>
              <w:bottom w:w="30" w:type="dxa"/>
              <w:right w:w="20" w:type="dxa"/>
            </w:tcMar>
            <w:vAlign w:val="center"/>
            <w:hideMark/>
          </w:tcPr>
          <w:p w14:paraId="078826D2" w14:textId="77777777" w:rsidR="00000000" w:rsidRDefault="00405D16">
            <w:pPr>
              <w:spacing w:after="100"/>
              <w:jc w:val="right"/>
              <w:rPr>
                <w:rFonts w:eastAsia="Times New Roman"/>
              </w:rPr>
            </w:pPr>
          </w:p>
        </w:tc>
      </w:tr>
      <w:tr w:rsidR="00000000" w14:paraId="6326337D" w14:textId="77777777">
        <w:trPr>
          <w:divId w:val="175583094"/>
        </w:trPr>
        <w:tc>
          <w:tcPr>
            <w:tcW w:w="0" w:type="auto"/>
            <w:gridSpan w:val="3"/>
            <w:vAlign w:val="center"/>
            <w:hideMark/>
          </w:tcPr>
          <w:p w14:paraId="510FDFED" w14:textId="77777777" w:rsidR="00000000" w:rsidRDefault="00405D16">
            <w:pPr>
              <w:spacing w:after="100"/>
              <w:jc w:val="right"/>
              <w:rPr>
                <w:rFonts w:eastAsia="Times New Roman"/>
                <w:sz w:val="20"/>
                <w:szCs w:val="20"/>
              </w:rPr>
            </w:pPr>
          </w:p>
        </w:tc>
        <w:tc>
          <w:tcPr>
            <w:tcW w:w="0" w:type="auto"/>
            <w:gridSpan w:val="3"/>
            <w:vAlign w:val="center"/>
            <w:hideMark/>
          </w:tcPr>
          <w:p w14:paraId="690E62BC" w14:textId="77777777" w:rsidR="00000000" w:rsidRDefault="00405D16">
            <w:pPr>
              <w:spacing w:after="100"/>
              <w:rPr>
                <w:rFonts w:eastAsia="Times New Roman"/>
                <w:sz w:val="20"/>
                <w:szCs w:val="20"/>
              </w:rPr>
            </w:pPr>
          </w:p>
        </w:tc>
        <w:tc>
          <w:tcPr>
            <w:tcW w:w="0" w:type="auto"/>
            <w:gridSpan w:val="3"/>
            <w:vAlign w:val="center"/>
            <w:hideMark/>
          </w:tcPr>
          <w:p w14:paraId="67EEA5C1" w14:textId="77777777" w:rsidR="00000000" w:rsidRDefault="00405D16">
            <w:pPr>
              <w:spacing w:after="100"/>
              <w:rPr>
                <w:rFonts w:eastAsia="Times New Roman"/>
                <w:sz w:val="20"/>
                <w:szCs w:val="20"/>
              </w:rPr>
            </w:pPr>
          </w:p>
        </w:tc>
        <w:tc>
          <w:tcPr>
            <w:tcW w:w="0" w:type="auto"/>
            <w:gridSpan w:val="3"/>
            <w:vAlign w:val="center"/>
            <w:hideMark/>
          </w:tcPr>
          <w:p w14:paraId="4959C6B0" w14:textId="77777777" w:rsidR="00000000" w:rsidRDefault="00405D16">
            <w:pPr>
              <w:spacing w:after="100"/>
              <w:rPr>
                <w:rFonts w:eastAsia="Times New Roman"/>
                <w:sz w:val="20"/>
                <w:szCs w:val="20"/>
              </w:rPr>
            </w:pPr>
          </w:p>
        </w:tc>
        <w:tc>
          <w:tcPr>
            <w:tcW w:w="0" w:type="auto"/>
            <w:gridSpan w:val="3"/>
            <w:vAlign w:val="center"/>
            <w:hideMark/>
          </w:tcPr>
          <w:p w14:paraId="14282528" w14:textId="77777777" w:rsidR="00000000" w:rsidRDefault="00405D16">
            <w:pPr>
              <w:spacing w:after="100"/>
              <w:rPr>
                <w:rFonts w:eastAsia="Times New Roman"/>
                <w:sz w:val="20"/>
                <w:szCs w:val="20"/>
              </w:rPr>
            </w:pPr>
          </w:p>
        </w:tc>
      </w:tr>
      <w:tr w:rsidR="00000000" w14:paraId="64DD356B" w14:textId="77777777">
        <w:trPr>
          <w:divId w:val="175583094"/>
        </w:trPr>
        <w:tc>
          <w:tcPr>
            <w:tcW w:w="0" w:type="auto"/>
            <w:gridSpan w:val="3"/>
            <w:vAlign w:val="center"/>
            <w:hideMark/>
          </w:tcPr>
          <w:p w14:paraId="4B9238F2" w14:textId="77777777" w:rsidR="00000000" w:rsidRDefault="00405D16">
            <w:pPr>
              <w:spacing w:after="100"/>
              <w:rPr>
                <w:rFonts w:eastAsia="Times New Roman"/>
                <w:sz w:val="20"/>
                <w:szCs w:val="20"/>
              </w:rPr>
            </w:pPr>
          </w:p>
        </w:tc>
        <w:tc>
          <w:tcPr>
            <w:tcW w:w="0" w:type="auto"/>
            <w:gridSpan w:val="3"/>
            <w:vAlign w:val="center"/>
            <w:hideMark/>
          </w:tcPr>
          <w:p w14:paraId="439F8364" w14:textId="77777777" w:rsidR="00000000" w:rsidRDefault="00405D16">
            <w:pPr>
              <w:spacing w:after="100"/>
              <w:rPr>
                <w:rFonts w:eastAsia="Times New Roman"/>
                <w:sz w:val="20"/>
                <w:szCs w:val="20"/>
              </w:rPr>
            </w:pPr>
          </w:p>
        </w:tc>
        <w:tc>
          <w:tcPr>
            <w:tcW w:w="0" w:type="auto"/>
            <w:gridSpan w:val="3"/>
            <w:vAlign w:val="center"/>
            <w:hideMark/>
          </w:tcPr>
          <w:p w14:paraId="5980673F" w14:textId="77777777" w:rsidR="00000000" w:rsidRDefault="00405D16">
            <w:pPr>
              <w:spacing w:after="100"/>
              <w:rPr>
                <w:rFonts w:eastAsia="Times New Roman"/>
                <w:sz w:val="20"/>
                <w:szCs w:val="20"/>
              </w:rPr>
            </w:pPr>
          </w:p>
        </w:tc>
        <w:tc>
          <w:tcPr>
            <w:tcW w:w="0" w:type="auto"/>
            <w:gridSpan w:val="3"/>
            <w:vAlign w:val="center"/>
            <w:hideMark/>
          </w:tcPr>
          <w:p w14:paraId="2E05C683" w14:textId="77777777" w:rsidR="00000000" w:rsidRDefault="00405D16">
            <w:pPr>
              <w:spacing w:after="100"/>
              <w:rPr>
                <w:rFonts w:eastAsia="Times New Roman"/>
                <w:sz w:val="20"/>
                <w:szCs w:val="20"/>
              </w:rPr>
            </w:pPr>
          </w:p>
        </w:tc>
        <w:tc>
          <w:tcPr>
            <w:tcW w:w="0" w:type="auto"/>
            <w:gridSpan w:val="3"/>
            <w:vAlign w:val="center"/>
            <w:hideMark/>
          </w:tcPr>
          <w:p w14:paraId="2E9D5546" w14:textId="77777777" w:rsidR="00000000" w:rsidRDefault="00405D16">
            <w:pPr>
              <w:spacing w:after="100"/>
              <w:rPr>
                <w:rFonts w:eastAsia="Times New Roman"/>
                <w:sz w:val="20"/>
                <w:szCs w:val="20"/>
              </w:rPr>
            </w:pPr>
          </w:p>
        </w:tc>
      </w:tr>
      <w:tr w:rsidR="00000000" w14:paraId="35EA111E" w14:textId="77777777">
        <w:trPr>
          <w:divId w:val="175583094"/>
        </w:trPr>
        <w:tc>
          <w:tcPr>
            <w:tcW w:w="0" w:type="auto"/>
            <w:gridSpan w:val="3"/>
            <w:vAlign w:val="center"/>
            <w:hideMark/>
          </w:tcPr>
          <w:p w14:paraId="155745A8" w14:textId="77777777" w:rsidR="00000000" w:rsidRDefault="00405D16">
            <w:pPr>
              <w:spacing w:after="100"/>
              <w:rPr>
                <w:rFonts w:eastAsia="Times New Roman"/>
                <w:sz w:val="20"/>
                <w:szCs w:val="20"/>
              </w:rPr>
            </w:pPr>
          </w:p>
        </w:tc>
        <w:tc>
          <w:tcPr>
            <w:tcW w:w="0" w:type="auto"/>
            <w:gridSpan w:val="3"/>
            <w:vAlign w:val="center"/>
            <w:hideMark/>
          </w:tcPr>
          <w:p w14:paraId="5017F434" w14:textId="77777777" w:rsidR="00000000" w:rsidRDefault="00405D16">
            <w:pPr>
              <w:spacing w:after="100"/>
              <w:rPr>
                <w:rFonts w:eastAsia="Times New Roman"/>
                <w:sz w:val="20"/>
                <w:szCs w:val="20"/>
              </w:rPr>
            </w:pPr>
          </w:p>
        </w:tc>
        <w:tc>
          <w:tcPr>
            <w:tcW w:w="0" w:type="auto"/>
            <w:gridSpan w:val="3"/>
            <w:vAlign w:val="center"/>
            <w:hideMark/>
          </w:tcPr>
          <w:p w14:paraId="4200553E" w14:textId="77777777" w:rsidR="00000000" w:rsidRDefault="00405D16">
            <w:pPr>
              <w:spacing w:after="100"/>
              <w:rPr>
                <w:rFonts w:eastAsia="Times New Roman"/>
                <w:sz w:val="20"/>
                <w:szCs w:val="20"/>
              </w:rPr>
            </w:pPr>
          </w:p>
        </w:tc>
        <w:tc>
          <w:tcPr>
            <w:tcW w:w="0" w:type="auto"/>
            <w:gridSpan w:val="3"/>
            <w:vAlign w:val="center"/>
            <w:hideMark/>
          </w:tcPr>
          <w:p w14:paraId="21D30A03" w14:textId="77777777" w:rsidR="00000000" w:rsidRDefault="00405D16">
            <w:pPr>
              <w:spacing w:after="100"/>
              <w:rPr>
                <w:rFonts w:eastAsia="Times New Roman"/>
                <w:sz w:val="20"/>
                <w:szCs w:val="20"/>
              </w:rPr>
            </w:pPr>
          </w:p>
        </w:tc>
        <w:tc>
          <w:tcPr>
            <w:tcW w:w="0" w:type="auto"/>
            <w:gridSpan w:val="3"/>
            <w:vAlign w:val="center"/>
            <w:hideMark/>
          </w:tcPr>
          <w:p w14:paraId="3833CA71" w14:textId="77777777" w:rsidR="00000000" w:rsidRDefault="00405D16">
            <w:pPr>
              <w:spacing w:after="100"/>
              <w:rPr>
                <w:rFonts w:eastAsia="Times New Roman"/>
                <w:sz w:val="20"/>
                <w:szCs w:val="20"/>
              </w:rPr>
            </w:pPr>
          </w:p>
        </w:tc>
      </w:tr>
    </w:tbl>
    <w:p w14:paraId="6F9F6AFC" w14:textId="77777777" w:rsidR="00000000" w:rsidRDefault="00405D16">
      <w:pPr>
        <w:jc w:val="both"/>
        <w:divId w:val="1353530736"/>
        <w:rPr>
          <w:rFonts w:eastAsia="Times New Roman"/>
        </w:rPr>
      </w:pPr>
      <w:r>
        <w:rPr>
          <w:rFonts w:eastAsia="Times New Roman"/>
          <w:color w:val="000000"/>
          <w:sz w:val="20"/>
          <w:szCs w:val="20"/>
        </w:rPr>
        <w:t>In addition to these industry standard measures, we also consider the potential impact of alternative interest rate scenarios, such as stressed rate shocks as well as steepening and flattening yield curve scenarios in our internal interest rate risk manage</w:t>
      </w:r>
      <w:r>
        <w:rPr>
          <w:rFonts w:eastAsia="Times New Roman"/>
          <w:color w:val="000000"/>
          <w:sz w:val="20"/>
          <w:szCs w:val="20"/>
        </w:rPr>
        <w:t>ment decisions.</w:t>
      </w:r>
    </w:p>
    <w:p w14:paraId="51D84380" w14:textId="77777777" w:rsidR="00000000" w:rsidRDefault="00405D16">
      <w:pPr>
        <w:divId w:val="96758861"/>
        <w:rPr>
          <w:rFonts w:eastAsia="Times New Roman"/>
        </w:rPr>
      </w:pPr>
      <w:r>
        <w:rPr>
          <w:rFonts w:eastAsia="Times New Roman"/>
          <w:b/>
          <w:bCs/>
          <w:i/>
          <w:iCs/>
          <w:color w:val="000000"/>
          <w:sz w:val="20"/>
          <w:szCs w:val="20"/>
        </w:rPr>
        <w:t>Limitations of Market Risk Measures</w:t>
      </w:r>
    </w:p>
    <w:p w14:paraId="70A26C60" w14:textId="77777777" w:rsidR="00000000" w:rsidRDefault="00405D16">
      <w:pPr>
        <w:jc w:val="both"/>
        <w:divId w:val="1886869947"/>
        <w:rPr>
          <w:rFonts w:eastAsia="Times New Roman"/>
        </w:rPr>
      </w:pPr>
      <w:r>
        <w:rPr>
          <w:rFonts w:eastAsia="Times New Roman"/>
          <w:color w:val="000000"/>
          <w:sz w:val="20"/>
          <w:szCs w:val="20"/>
        </w:rPr>
        <w:t>The interest rate risk models that we use in deriving these measures incorporate contractual information, internally-developed assumptions and proprietary modeling methodologies, which project borrower an</w:t>
      </w:r>
      <w:r>
        <w:rPr>
          <w:rFonts w:eastAsia="Times New Roman"/>
          <w:color w:val="000000"/>
          <w:sz w:val="20"/>
          <w:szCs w:val="20"/>
        </w:rPr>
        <w:t>d depositor behavior patterns in certain interest rate environments. Other market inputs, such as interest rates, market prices and interest rate volatility, are also critical components of our interest rate risk measures. We regularly evaluate, update and</w:t>
      </w:r>
      <w:r>
        <w:rPr>
          <w:rFonts w:eastAsia="Times New Roman"/>
          <w:color w:val="000000"/>
          <w:sz w:val="20"/>
          <w:szCs w:val="20"/>
        </w:rPr>
        <w:t xml:space="preserve"> enhance these assumptions, models and analytical tools as we believe appropriate to reflect our best assessment of the market environment and the expected behavior patterns of our existing assets and liabilities.</w:t>
      </w:r>
    </w:p>
    <w:p w14:paraId="222487C7" w14:textId="77777777" w:rsidR="00000000" w:rsidRDefault="00405D16">
      <w:pPr>
        <w:jc w:val="both"/>
        <w:divId w:val="21328216"/>
        <w:rPr>
          <w:rFonts w:eastAsia="Times New Roman"/>
        </w:rPr>
      </w:pPr>
      <w:r>
        <w:rPr>
          <w:rFonts w:eastAsia="Times New Roman"/>
          <w:color w:val="000000"/>
          <w:sz w:val="20"/>
          <w:szCs w:val="20"/>
        </w:rPr>
        <w:t>There are inherent limitations in any meth</w:t>
      </w:r>
      <w:r>
        <w:rPr>
          <w:rFonts w:eastAsia="Times New Roman"/>
          <w:color w:val="000000"/>
          <w:sz w:val="20"/>
          <w:szCs w:val="20"/>
        </w:rPr>
        <w:t>odology used to estimate the exposure to changes in market interest rates. The sensitivity analysis described above contemplates only certain movements in interest rates and is performed at a particular point in time based on the existing balance sheet and</w:t>
      </w:r>
      <w:r>
        <w:rPr>
          <w:rFonts w:eastAsia="Times New Roman"/>
          <w:color w:val="000000"/>
          <w:sz w:val="20"/>
          <w:szCs w:val="20"/>
        </w:rPr>
        <w:t>, in some cases, expected future business growth and funding mix assumptions. The strategic actions that management may take to manage our balance sheet may differ significantly from our projections, which could cause our actual earnings and economic value</w:t>
      </w:r>
      <w:r>
        <w:rPr>
          <w:rFonts w:eastAsia="Times New Roman"/>
          <w:color w:val="000000"/>
          <w:sz w:val="20"/>
          <w:szCs w:val="20"/>
        </w:rPr>
        <w:t xml:space="preserve"> of equity sensitivities to differ substantially from the above sensitivity analysis.</w:t>
      </w:r>
    </w:p>
    <w:p w14:paraId="6E799C28" w14:textId="77777777" w:rsidR="00000000" w:rsidRDefault="00405D16">
      <w:pPr>
        <w:jc w:val="both"/>
        <w:divId w:val="1587689624"/>
        <w:rPr>
          <w:rFonts w:eastAsia="Times New Roman"/>
        </w:rPr>
      </w:pPr>
      <w:r>
        <w:rPr>
          <w:rFonts w:eastAsia="Times New Roman"/>
          <w:color w:val="000000"/>
          <w:sz w:val="20"/>
          <w:szCs w:val="20"/>
        </w:rPr>
        <w:t xml:space="preserve">For further information on our interest rate exposures, see “Note 8—Derivative Instruments and Hedging Activities.” </w:t>
      </w:r>
    </w:p>
    <w:p w14:paraId="4A689395" w14:textId="77777777" w:rsidR="00000000" w:rsidRDefault="00405D16">
      <w:pPr>
        <w:divId w:val="724959732"/>
        <w:rPr>
          <w:rFonts w:eastAsia="Times New Roman"/>
        </w:rPr>
      </w:pPr>
      <w:r>
        <w:rPr>
          <w:rFonts w:eastAsia="Times New Roman"/>
          <w:b/>
          <w:bCs/>
          <w:color w:val="000000"/>
          <w:sz w:val="20"/>
          <w:szCs w:val="20"/>
        </w:rPr>
        <w:t>Foreign Exchange Risk</w:t>
      </w:r>
    </w:p>
    <w:p w14:paraId="28F28815" w14:textId="77777777" w:rsidR="00000000" w:rsidRDefault="00405D16">
      <w:pPr>
        <w:jc w:val="both"/>
        <w:divId w:val="1828278529"/>
        <w:rPr>
          <w:rFonts w:eastAsia="Times New Roman"/>
        </w:rPr>
      </w:pPr>
      <w:r>
        <w:rPr>
          <w:rFonts w:eastAsia="Times New Roman"/>
          <w:color w:val="000000"/>
          <w:sz w:val="20"/>
          <w:szCs w:val="20"/>
        </w:rPr>
        <w:t>Foreign exchange risk represent</w:t>
      </w:r>
      <w:r>
        <w:rPr>
          <w:rFonts w:eastAsia="Times New Roman"/>
          <w:color w:val="000000"/>
          <w:sz w:val="20"/>
          <w:szCs w:val="20"/>
        </w:rPr>
        <w:t>s exposure to changes in the values of current holdings and future cash flows denominated in other currencies. We are exposed to foreign exchange risk primarily from the intercompany funding denominated in pound sterling (“GBP”) and the Canadian dollar (“C</w:t>
      </w:r>
      <w:r>
        <w:rPr>
          <w:rFonts w:eastAsia="Times New Roman"/>
          <w:color w:val="000000"/>
          <w:sz w:val="20"/>
          <w:szCs w:val="20"/>
        </w:rPr>
        <w:t>AD”) that we provide to our businesses in the U.K. and Canada and net equity investments in those businesses. We are also exposed to foreign exchange risk due to changes in the dollar-denominated value of future earnings and cash flows from our foreign ope</w:t>
      </w:r>
      <w:r>
        <w:rPr>
          <w:rFonts w:eastAsia="Times New Roman"/>
          <w:color w:val="000000"/>
          <w:sz w:val="20"/>
          <w:szCs w:val="20"/>
        </w:rPr>
        <w:t>rations and from our Euro (“EUR”)-denominated borrowings.</w:t>
      </w:r>
    </w:p>
    <w:p w14:paraId="7B5B5602" w14:textId="77777777" w:rsidR="00000000" w:rsidRDefault="00405D16">
      <w:pPr>
        <w:jc w:val="both"/>
        <w:divId w:val="961229392"/>
        <w:rPr>
          <w:rFonts w:eastAsia="Times New Roman"/>
        </w:rPr>
      </w:pPr>
      <w:r>
        <w:rPr>
          <w:rFonts w:eastAsia="Times New Roman"/>
          <w:color w:val="000000"/>
          <w:sz w:val="20"/>
          <w:szCs w:val="20"/>
        </w:rPr>
        <w:t>Our non-dollar denominated intercompany funding and EUR-denominated borrowings expose our earnings to foreign exchange transaction risk. We manage these transaction risks by using forward foreign cu</w:t>
      </w:r>
      <w:r>
        <w:rPr>
          <w:rFonts w:eastAsia="Times New Roman"/>
          <w:color w:val="000000"/>
          <w:sz w:val="20"/>
          <w:szCs w:val="20"/>
        </w:rPr>
        <w:t>rrency derivatives and cross-currency swaps to hedge our exposures. We measure our foreign exchange transaction risk exposures by applying a 1% U.S. dollar appreciation shock against the value of the non-dollar denominated intercompany funding and EUR-deno</w:t>
      </w:r>
      <w:r>
        <w:rPr>
          <w:rFonts w:eastAsia="Times New Roman"/>
          <w:color w:val="000000"/>
          <w:sz w:val="20"/>
          <w:szCs w:val="20"/>
        </w:rPr>
        <w:t>minated borrowings and their related hedges, which shows the impact to our earnings from foreign exchange risk. Our intercompany funding outstanding was 415 million GBP and 320 million GBP as of September 30, 2021 and December 31, 2020, respectively, and 4</w:t>
      </w:r>
      <w:r>
        <w:rPr>
          <w:rFonts w:eastAsia="Times New Roman"/>
          <w:color w:val="000000"/>
          <w:sz w:val="20"/>
          <w:szCs w:val="20"/>
        </w:rPr>
        <w:t>.7 billion CAD and 5.3 billion CAD as of September 30, 2021 and December 31, 2020, respectively. Our EUR-denominated borrowings outstanding were 1.3 billion EUR as of both September 30, 2021 and December 31, 2020.</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2BE90AB7" w14:textId="77777777">
        <w:trPr>
          <w:divId w:val="811748696"/>
          <w:jc w:val="center"/>
        </w:trPr>
        <w:tc>
          <w:tcPr>
            <w:tcW w:w="50" w:type="pct"/>
            <w:vAlign w:val="center"/>
            <w:hideMark/>
          </w:tcPr>
          <w:p w14:paraId="79FF7665" w14:textId="77777777" w:rsidR="00000000" w:rsidRDefault="00405D16">
            <w:pPr>
              <w:jc w:val="both"/>
              <w:rPr>
                <w:rFonts w:eastAsia="Times New Roman"/>
              </w:rPr>
            </w:pPr>
          </w:p>
        </w:tc>
        <w:tc>
          <w:tcPr>
            <w:tcW w:w="1606" w:type="pct"/>
            <w:vAlign w:val="center"/>
            <w:hideMark/>
          </w:tcPr>
          <w:p w14:paraId="586E01A4" w14:textId="77777777" w:rsidR="00000000" w:rsidRDefault="00405D16">
            <w:pPr>
              <w:spacing w:after="100"/>
              <w:rPr>
                <w:rFonts w:eastAsia="Times New Roman"/>
                <w:sz w:val="20"/>
                <w:szCs w:val="20"/>
              </w:rPr>
            </w:pPr>
          </w:p>
        </w:tc>
        <w:tc>
          <w:tcPr>
            <w:tcW w:w="5" w:type="pct"/>
            <w:vAlign w:val="center"/>
            <w:hideMark/>
          </w:tcPr>
          <w:p w14:paraId="0F41E1A6" w14:textId="77777777" w:rsidR="00000000" w:rsidRDefault="00405D16">
            <w:pPr>
              <w:spacing w:after="100"/>
              <w:rPr>
                <w:rFonts w:eastAsia="Times New Roman"/>
                <w:sz w:val="20"/>
                <w:szCs w:val="20"/>
              </w:rPr>
            </w:pPr>
          </w:p>
        </w:tc>
        <w:tc>
          <w:tcPr>
            <w:tcW w:w="50" w:type="pct"/>
            <w:vAlign w:val="center"/>
            <w:hideMark/>
          </w:tcPr>
          <w:p w14:paraId="6D7A5473" w14:textId="77777777" w:rsidR="00000000" w:rsidRDefault="00405D16">
            <w:pPr>
              <w:spacing w:after="100"/>
              <w:rPr>
                <w:rFonts w:eastAsia="Times New Roman"/>
                <w:sz w:val="20"/>
                <w:szCs w:val="20"/>
              </w:rPr>
            </w:pPr>
          </w:p>
        </w:tc>
        <w:tc>
          <w:tcPr>
            <w:tcW w:w="1614" w:type="pct"/>
            <w:vAlign w:val="center"/>
            <w:hideMark/>
          </w:tcPr>
          <w:p w14:paraId="0906B3FF" w14:textId="77777777" w:rsidR="00000000" w:rsidRDefault="00405D16">
            <w:pPr>
              <w:spacing w:after="100"/>
              <w:rPr>
                <w:rFonts w:eastAsia="Times New Roman"/>
                <w:sz w:val="20"/>
                <w:szCs w:val="20"/>
              </w:rPr>
            </w:pPr>
          </w:p>
        </w:tc>
        <w:tc>
          <w:tcPr>
            <w:tcW w:w="5" w:type="pct"/>
            <w:vAlign w:val="center"/>
            <w:hideMark/>
          </w:tcPr>
          <w:p w14:paraId="6133E69F" w14:textId="77777777" w:rsidR="00000000" w:rsidRDefault="00405D16">
            <w:pPr>
              <w:spacing w:after="100"/>
              <w:rPr>
                <w:rFonts w:eastAsia="Times New Roman"/>
                <w:sz w:val="20"/>
                <w:szCs w:val="20"/>
              </w:rPr>
            </w:pPr>
          </w:p>
        </w:tc>
        <w:tc>
          <w:tcPr>
            <w:tcW w:w="50" w:type="pct"/>
            <w:vAlign w:val="center"/>
            <w:hideMark/>
          </w:tcPr>
          <w:p w14:paraId="1F234951" w14:textId="77777777" w:rsidR="00000000" w:rsidRDefault="00405D16">
            <w:pPr>
              <w:spacing w:after="100"/>
              <w:rPr>
                <w:rFonts w:eastAsia="Times New Roman"/>
                <w:sz w:val="20"/>
                <w:szCs w:val="20"/>
              </w:rPr>
            </w:pPr>
          </w:p>
        </w:tc>
        <w:tc>
          <w:tcPr>
            <w:tcW w:w="1614" w:type="pct"/>
            <w:vAlign w:val="center"/>
            <w:hideMark/>
          </w:tcPr>
          <w:p w14:paraId="27C05CF4" w14:textId="77777777" w:rsidR="00000000" w:rsidRDefault="00405D16">
            <w:pPr>
              <w:spacing w:after="100"/>
              <w:rPr>
                <w:rFonts w:eastAsia="Times New Roman"/>
                <w:sz w:val="20"/>
                <w:szCs w:val="20"/>
              </w:rPr>
            </w:pPr>
          </w:p>
        </w:tc>
        <w:tc>
          <w:tcPr>
            <w:tcW w:w="5" w:type="pct"/>
            <w:vAlign w:val="center"/>
            <w:hideMark/>
          </w:tcPr>
          <w:p w14:paraId="19BABCC8" w14:textId="77777777" w:rsidR="00000000" w:rsidRDefault="00405D16">
            <w:pPr>
              <w:spacing w:after="100"/>
              <w:rPr>
                <w:rFonts w:eastAsia="Times New Roman"/>
                <w:sz w:val="20"/>
                <w:szCs w:val="20"/>
              </w:rPr>
            </w:pPr>
          </w:p>
        </w:tc>
      </w:tr>
      <w:tr w:rsidR="00000000" w14:paraId="6E850E73" w14:textId="77777777">
        <w:trPr>
          <w:divId w:val="811748696"/>
          <w:trHeight w:val="300"/>
          <w:jc w:val="center"/>
        </w:trPr>
        <w:tc>
          <w:tcPr>
            <w:tcW w:w="0" w:type="auto"/>
            <w:gridSpan w:val="9"/>
            <w:tcMar>
              <w:top w:w="0" w:type="dxa"/>
              <w:left w:w="20" w:type="dxa"/>
              <w:bottom w:w="0" w:type="dxa"/>
              <w:right w:w="20" w:type="dxa"/>
            </w:tcMar>
            <w:vAlign w:val="center"/>
            <w:hideMark/>
          </w:tcPr>
          <w:p w14:paraId="264CE1F4" w14:textId="77777777" w:rsidR="00000000" w:rsidRDefault="00405D16">
            <w:pPr>
              <w:spacing w:after="100"/>
              <w:rPr>
                <w:rFonts w:eastAsia="Times New Roman"/>
                <w:sz w:val="20"/>
                <w:szCs w:val="20"/>
              </w:rPr>
            </w:pPr>
          </w:p>
        </w:tc>
      </w:tr>
      <w:tr w:rsidR="00000000" w14:paraId="7CF31555" w14:textId="77777777">
        <w:trPr>
          <w:divId w:val="811748696"/>
          <w:jc w:val="center"/>
        </w:trPr>
        <w:tc>
          <w:tcPr>
            <w:tcW w:w="0" w:type="auto"/>
            <w:gridSpan w:val="3"/>
            <w:tcMar>
              <w:top w:w="0" w:type="dxa"/>
              <w:left w:w="20" w:type="dxa"/>
              <w:bottom w:w="0" w:type="dxa"/>
              <w:right w:w="20" w:type="dxa"/>
            </w:tcMar>
            <w:vAlign w:val="center"/>
            <w:hideMark/>
          </w:tcPr>
          <w:p w14:paraId="0188568E"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66D33F7" w14:textId="77777777" w:rsidR="00000000" w:rsidRDefault="00405D16">
            <w:pPr>
              <w:spacing w:after="100"/>
              <w:jc w:val="center"/>
              <w:rPr>
                <w:rFonts w:eastAsia="Times New Roman"/>
              </w:rPr>
            </w:pPr>
            <w:r>
              <w:rPr>
                <w:rFonts w:eastAsia="Times New Roman"/>
                <w:color w:val="000000"/>
                <w:sz w:val="16"/>
                <w:szCs w:val="16"/>
              </w:rPr>
              <w:t>57</w:t>
            </w:r>
          </w:p>
        </w:tc>
        <w:tc>
          <w:tcPr>
            <w:tcW w:w="0" w:type="auto"/>
            <w:gridSpan w:val="3"/>
            <w:tcMar>
              <w:top w:w="30" w:type="dxa"/>
              <w:left w:w="20" w:type="dxa"/>
              <w:bottom w:w="30" w:type="dxa"/>
              <w:right w:w="20" w:type="dxa"/>
            </w:tcMar>
            <w:vAlign w:val="bottom"/>
            <w:hideMark/>
          </w:tcPr>
          <w:p w14:paraId="066F7549"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14865757" w14:textId="77777777" w:rsidR="00000000" w:rsidRDefault="00405D16">
      <w:pPr>
        <w:rPr>
          <w:rFonts w:eastAsia="Times New Roman"/>
        </w:rPr>
      </w:pPr>
      <w:r>
        <w:rPr>
          <w:rFonts w:eastAsia="Times New Roman"/>
        </w:rPr>
        <w:pict w14:anchorId="0B2AB926">
          <v:rect id="_x0000_i1082" style="width:0;height:1.5pt" o:hralign="center" o:hrstd="t" o:hr="t" fillcolor="#a0a0a0" stroked="f"/>
        </w:pict>
      </w:r>
    </w:p>
    <w:p w14:paraId="00D16905" w14:textId="77777777" w:rsidR="00000000" w:rsidRDefault="00405D16">
      <w:pPr>
        <w:ind w:hanging="360"/>
        <w:jc w:val="both"/>
        <w:divId w:val="2026666246"/>
        <w:rPr>
          <w:rFonts w:eastAsia="Times New Roman"/>
        </w:rPr>
      </w:pPr>
      <w:hyperlink w:anchor="idd54a04a485440b4ab4e56094c14d612_13" w:history="1">
        <w:r>
          <w:rPr>
            <w:rStyle w:val="a3"/>
            <w:rFonts w:eastAsia="Times New Roman"/>
            <w:sz w:val="16"/>
            <w:szCs w:val="16"/>
          </w:rPr>
          <w:t>Table of Contents</w:t>
        </w:r>
      </w:hyperlink>
    </w:p>
    <w:p w14:paraId="7CB69212" w14:textId="77777777" w:rsidR="00000000" w:rsidRDefault="00405D16">
      <w:pPr>
        <w:jc w:val="both"/>
        <w:divId w:val="967517999"/>
        <w:rPr>
          <w:rFonts w:eastAsia="Times New Roman"/>
        </w:rPr>
      </w:pPr>
      <w:r>
        <w:rPr>
          <w:rFonts w:eastAsia="Times New Roman"/>
          <w:color w:val="000000"/>
          <w:sz w:val="20"/>
          <w:szCs w:val="20"/>
        </w:rPr>
        <w:t xml:space="preserve">Our non-dollar equity investments in foreign operations expose our balance sheet to translation risk in AOCI and our capital ratios. We manage </w:t>
      </w:r>
      <w:r>
        <w:rPr>
          <w:rFonts w:eastAsia="Times New Roman"/>
          <w:color w:val="000000"/>
          <w:sz w:val="20"/>
          <w:szCs w:val="20"/>
        </w:rPr>
        <w:t>our AOCI exposure by entering into foreign currency derivatives designated as net investment hedges. We measure these exposures by applying a 30% U.S. dollar appreciation shock, which we believe approximates a significant adverse shock over a one-year time</w:t>
      </w:r>
      <w:r>
        <w:rPr>
          <w:rFonts w:eastAsia="Times New Roman"/>
          <w:color w:val="000000"/>
          <w:sz w:val="20"/>
          <w:szCs w:val="20"/>
        </w:rPr>
        <w:t xml:space="preserve"> horizon, against the value of the equity invested in our foreign operations net of related net investment hedges where applicable. Our gross equity exposures in our U.K. and Canadian operations were 1.8 billion GBP and 1.7 billion GBP as of September 30, </w:t>
      </w:r>
      <w:r>
        <w:rPr>
          <w:rFonts w:eastAsia="Times New Roman"/>
          <w:color w:val="000000"/>
          <w:sz w:val="20"/>
          <w:szCs w:val="20"/>
        </w:rPr>
        <w:t>2021 and December 31, 2020, respectively, and 1.8 billion CAD and 1.5 billion CAD as of September 30, 2021 and December 31, 2020, respectively.</w:t>
      </w:r>
    </w:p>
    <w:p w14:paraId="030EB1A8" w14:textId="77777777" w:rsidR="00000000" w:rsidRDefault="00405D16">
      <w:pPr>
        <w:jc w:val="both"/>
        <w:divId w:val="1288468670"/>
        <w:rPr>
          <w:rFonts w:eastAsia="Times New Roman"/>
        </w:rPr>
      </w:pPr>
      <w:r>
        <w:rPr>
          <w:rFonts w:eastAsia="Times New Roman"/>
          <w:color w:val="000000"/>
          <w:sz w:val="20"/>
          <w:szCs w:val="20"/>
        </w:rPr>
        <w:t xml:space="preserve">As a result of our derivative management activities, </w:t>
      </w:r>
      <w:r>
        <w:rPr>
          <w:rFonts w:eastAsia="Times New Roman"/>
          <w:color w:val="000000"/>
          <w:sz w:val="20"/>
          <w:szCs w:val="20"/>
          <w:shd w:val="clear" w:color="auto" w:fill="FFFFFF"/>
        </w:rPr>
        <w:t>we believe our net exposure to foreign exchange risk is min</w:t>
      </w:r>
      <w:r>
        <w:rPr>
          <w:rFonts w:eastAsia="Times New Roman"/>
          <w:color w:val="000000"/>
          <w:sz w:val="20"/>
          <w:szCs w:val="20"/>
          <w:shd w:val="clear" w:color="auto" w:fill="FFFFFF"/>
        </w:rPr>
        <w:t>imal.</w:t>
      </w:r>
    </w:p>
    <w:p w14:paraId="65C23573" w14:textId="77777777" w:rsidR="00000000" w:rsidRDefault="00405D16">
      <w:pPr>
        <w:divId w:val="1141574285"/>
        <w:rPr>
          <w:rFonts w:eastAsia="Times New Roman"/>
        </w:rPr>
      </w:pPr>
      <w:r>
        <w:rPr>
          <w:rFonts w:eastAsia="Times New Roman"/>
          <w:b/>
          <w:bCs/>
          <w:color w:val="000000"/>
          <w:sz w:val="20"/>
          <w:szCs w:val="20"/>
        </w:rPr>
        <w:t xml:space="preserve">Risk related to Customer Accommodation Derivatives </w:t>
      </w:r>
    </w:p>
    <w:p w14:paraId="66895831" w14:textId="77777777" w:rsidR="00000000" w:rsidRDefault="00405D16">
      <w:pPr>
        <w:jc w:val="both"/>
        <w:divId w:val="1220243070"/>
        <w:rPr>
          <w:rFonts w:eastAsia="Times New Roman"/>
        </w:rPr>
      </w:pPr>
      <w:r>
        <w:rPr>
          <w:rFonts w:eastAsia="Times New Roman"/>
          <w:color w:val="000000"/>
          <w:sz w:val="20"/>
          <w:szCs w:val="20"/>
        </w:rPr>
        <w:t>We offer interest rate, commodity and foreign currency derivatives as an accommodation to our customers within our Commercial Banking business. We offset the majority of the market risk of these customer accommodation derivatives by entering into offsettin</w:t>
      </w:r>
      <w:r>
        <w:rPr>
          <w:rFonts w:eastAsia="Times New Roman"/>
          <w:color w:val="000000"/>
          <w:sz w:val="20"/>
          <w:szCs w:val="20"/>
        </w:rPr>
        <w:t>g derivatives transactions with other counterparties. We use value-at-risk (“VaR”) as the primary method to measure the market risk in our customer accommodation derivative activities on a daily basis. VaR is a statistical risk measure used to estimate the</w:t>
      </w:r>
      <w:r>
        <w:rPr>
          <w:rFonts w:eastAsia="Times New Roman"/>
          <w:color w:val="000000"/>
          <w:sz w:val="20"/>
          <w:szCs w:val="20"/>
        </w:rPr>
        <w:t xml:space="preserve"> potential loss from movements observed in the recent market environment. We employ a historical simulation approach using the most recent 500 business days and use a 99 percent confidence level and a holding period of one business day. As a result of offs</w:t>
      </w:r>
      <w:r>
        <w:rPr>
          <w:rFonts w:eastAsia="Times New Roman"/>
          <w:color w:val="000000"/>
          <w:sz w:val="20"/>
          <w:szCs w:val="20"/>
        </w:rPr>
        <w:t>etting our customer exposures with other counterparties, we believe that our net exposure to market risk in our customer accommodation derivatives is minimal. For further information on our risk related to customer accommodation derivatives, see “Note 8—De</w:t>
      </w:r>
      <w:r>
        <w:rPr>
          <w:rFonts w:eastAsia="Times New Roman"/>
          <w:color w:val="000000"/>
          <w:sz w:val="20"/>
          <w:szCs w:val="20"/>
        </w:rPr>
        <w:t>rivative Instruments and Hedging Activities.”</w:t>
      </w:r>
    </w:p>
    <w:p w14:paraId="3E09315C" w14:textId="77777777" w:rsidR="00000000" w:rsidRDefault="00405D16">
      <w:pPr>
        <w:divId w:val="45688532"/>
        <w:rPr>
          <w:rFonts w:eastAsia="Times New Roman"/>
        </w:rPr>
      </w:pPr>
      <w:r>
        <w:rPr>
          <w:rFonts w:eastAsia="Times New Roman"/>
          <w:b/>
          <w:bCs/>
          <w:color w:val="000000"/>
          <w:sz w:val="20"/>
          <w:szCs w:val="20"/>
        </w:rPr>
        <w:t>London Interbank Offered Rate (“LIBOR”) Transition</w:t>
      </w:r>
    </w:p>
    <w:p w14:paraId="01B75CEF" w14:textId="77777777" w:rsidR="00000000" w:rsidRDefault="00405D16">
      <w:pPr>
        <w:jc w:val="both"/>
        <w:divId w:val="825315728"/>
        <w:rPr>
          <w:rFonts w:eastAsia="Times New Roman"/>
        </w:rPr>
      </w:pPr>
      <w:r>
        <w:rPr>
          <w:rFonts w:eastAsia="Times New Roman"/>
          <w:color w:val="000000"/>
          <w:sz w:val="20"/>
          <w:szCs w:val="20"/>
        </w:rPr>
        <w:t>On July 27, 2017, the U.K. Financial Conduct Authority (“FCA”), the regulator for the administration of LIBOR, announced that LIBOR would be transitioned as an</w:t>
      </w:r>
      <w:r>
        <w:rPr>
          <w:rFonts w:eastAsia="Times New Roman"/>
          <w:color w:val="000000"/>
          <w:sz w:val="20"/>
          <w:szCs w:val="20"/>
        </w:rPr>
        <w:t xml:space="preserve"> interest rate benchmark and that it will no longer compel banks to contribute LIBOR data beyond December 31, 2021. </w:t>
      </w:r>
    </w:p>
    <w:p w14:paraId="7274ED60" w14:textId="77777777" w:rsidR="00000000" w:rsidRDefault="00405D16">
      <w:pPr>
        <w:jc w:val="both"/>
        <w:rPr>
          <w:rFonts w:eastAsia="Times New Roman"/>
        </w:rPr>
      </w:pPr>
      <w:r>
        <w:rPr>
          <w:rFonts w:eastAsia="Times New Roman"/>
          <w:color w:val="000000"/>
          <w:sz w:val="20"/>
          <w:szCs w:val="20"/>
        </w:rPr>
        <w:t>On March 5, 2021, the ICE Benchmark Administration (“IBA”), the administrator of LIBOR, confirmed its intention to cease publication of the</w:t>
      </w:r>
      <w:r>
        <w:rPr>
          <w:rFonts w:eastAsia="Times New Roman"/>
          <w:color w:val="000000"/>
          <w:sz w:val="20"/>
          <w:szCs w:val="20"/>
        </w:rPr>
        <w:t xml:space="preserve"> 1-week and 2-month USD LIBOR settings immediately following the LIBOR publication on December 31, 2021, and the remaining USD LIBOR tenors (overnight; 1, 3, 6, and 12 months) immediately following the LIBOR publication on June 30, 2023. The continuation o</w:t>
      </w:r>
      <w:r>
        <w:rPr>
          <w:rFonts w:eastAsia="Times New Roman"/>
          <w:color w:val="000000"/>
          <w:sz w:val="20"/>
          <w:szCs w:val="20"/>
        </w:rPr>
        <w:t>f USD LIBOR as a representative rate into mid-2023 will allow many legacy USD LIBOR contracts to mature prior to cessation. Following IBA’s announcement, the FCA formally announced the future permanent cessation and loss of representativeness of LIBOR benc</w:t>
      </w:r>
      <w:r>
        <w:rPr>
          <w:rFonts w:eastAsia="Times New Roman"/>
          <w:color w:val="000000"/>
          <w:sz w:val="20"/>
          <w:szCs w:val="20"/>
        </w:rPr>
        <w:t>hmarks.</w:t>
      </w:r>
    </w:p>
    <w:p w14:paraId="0AC370B2" w14:textId="77777777" w:rsidR="00000000" w:rsidRDefault="00405D16">
      <w:pPr>
        <w:jc w:val="both"/>
        <w:rPr>
          <w:rFonts w:eastAsia="Times New Roman"/>
        </w:rPr>
      </w:pPr>
    </w:p>
    <w:p w14:paraId="06C7079A" w14:textId="77777777" w:rsidR="00000000" w:rsidRDefault="00405D16">
      <w:pPr>
        <w:jc w:val="both"/>
        <w:rPr>
          <w:rFonts w:eastAsia="Times New Roman"/>
        </w:rPr>
      </w:pPr>
      <w:r>
        <w:rPr>
          <w:rFonts w:eastAsia="Times New Roman"/>
          <w:color w:val="000000"/>
          <w:sz w:val="20"/>
          <w:szCs w:val="20"/>
        </w:rPr>
        <w:t>In the U.S., the Secured Overnight Financing Rate (“SOFR”) has been selected as the preferred alternative rate for certain U.S. dollar derivative and cash instruments. While SOFR continues to be the industry recommended replacement rate for LIBOR</w:t>
      </w:r>
      <w:r>
        <w:rPr>
          <w:rFonts w:eastAsia="Times New Roman"/>
          <w:color w:val="000000"/>
          <w:sz w:val="20"/>
          <w:szCs w:val="20"/>
        </w:rPr>
        <w:t xml:space="preserve">, some market participants have begun using alternate rates featuring a credit-sensitive element. We are continuing to evaluate the different LIBOR alternatives and how their progression will impact our transition efforts. </w:t>
      </w:r>
    </w:p>
    <w:p w14:paraId="1C7B557F" w14:textId="77777777" w:rsidR="00000000" w:rsidRDefault="00405D16">
      <w:pPr>
        <w:jc w:val="both"/>
        <w:divId w:val="626854901"/>
        <w:rPr>
          <w:rFonts w:eastAsia="Times New Roman"/>
        </w:rPr>
      </w:pPr>
      <w:r>
        <w:rPr>
          <w:rFonts w:eastAsia="Times New Roman"/>
          <w:color w:val="000000"/>
          <w:sz w:val="20"/>
          <w:szCs w:val="20"/>
        </w:rPr>
        <w:t>We have exposures to LIBOR, incl</w:t>
      </w:r>
      <w:r>
        <w:rPr>
          <w:rFonts w:eastAsia="Times New Roman"/>
          <w:color w:val="000000"/>
          <w:sz w:val="20"/>
          <w:szCs w:val="20"/>
        </w:rPr>
        <w:t>uding loans, derivative contracts, unsecured debt, securitizations, vendor agreements and other instruments with attributes that are either directly or indirectly dependent on LIBOR. To facilitate an orderly transition from LIBOR, we have established a com</w:t>
      </w:r>
      <w:r>
        <w:rPr>
          <w:rFonts w:eastAsia="Times New Roman"/>
          <w:color w:val="000000"/>
          <w:sz w:val="20"/>
          <w:szCs w:val="20"/>
        </w:rPr>
        <w:t xml:space="preserve">pany-wide, cross-functional initiative to oversee and manage our transition away from LIBOR and other Interbank Offered Rates (“IBORs”) to alternative reference rates. </w:t>
      </w:r>
    </w:p>
    <w:p w14:paraId="428BA59B" w14:textId="77777777" w:rsidR="00000000" w:rsidRDefault="00405D16">
      <w:pPr>
        <w:jc w:val="both"/>
        <w:divId w:val="841428559"/>
        <w:rPr>
          <w:rFonts w:eastAsia="Times New Roman"/>
        </w:rPr>
      </w:pPr>
      <w:r>
        <w:rPr>
          <w:rFonts w:eastAsia="Times New Roman"/>
          <w:color w:val="000000"/>
          <w:sz w:val="20"/>
          <w:szCs w:val="20"/>
        </w:rPr>
        <w:t>We have made progress on our transition efforts as we continue to insert LIBOR transition language (“fallback language”) in new and existing lending contracts as well as in derivatives contracts and agreements that adheres to the International Swaps and De</w:t>
      </w:r>
      <w:r>
        <w:rPr>
          <w:rFonts w:eastAsia="Times New Roman"/>
          <w:color w:val="000000"/>
          <w:sz w:val="20"/>
          <w:szCs w:val="20"/>
        </w:rPr>
        <w:t>rivatives Association (“ISDA”) fallback protocol. Furthermore, we continue to originate loans and transact in instruments indexed to SOFR and other LIBOR replacement rates.</w:t>
      </w:r>
    </w:p>
    <w:p w14:paraId="025CF531" w14:textId="77777777" w:rsidR="00000000" w:rsidRDefault="00405D16">
      <w:pPr>
        <w:divId w:val="630135519"/>
        <w:rPr>
          <w:rFonts w:eastAsia="Times New Roman"/>
        </w:rPr>
      </w:pPr>
      <w:r>
        <w:rPr>
          <w:rFonts w:eastAsia="Times New Roman"/>
          <w:color w:val="000000"/>
          <w:sz w:val="20"/>
          <w:szCs w:val="20"/>
        </w:rPr>
        <w:t>We also continue to focus our transition efforts on:</w:t>
      </w:r>
    </w:p>
    <w:p w14:paraId="43371006" w14:textId="77777777" w:rsidR="00000000" w:rsidRDefault="00405D16">
      <w:pPr>
        <w:ind w:hanging="360"/>
        <w:divId w:val="1961034252"/>
        <w:rPr>
          <w:rFonts w:eastAsia="Times New Roman"/>
        </w:rPr>
      </w:pPr>
      <w:r>
        <w:rPr>
          <w:rFonts w:eastAsia="Times New Roman"/>
          <w:color w:val="000000"/>
          <w:sz w:val="20"/>
          <w:szCs w:val="20"/>
        </w:rPr>
        <w:t>•monitoring market development</w:t>
      </w:r>
      <w:r>
        <w:rPr>
          <w:rFonts w:eastAsia="Times New Roman"/>
          <w:color w:val="000000"/>
          <w:sz w:val="20"/>
          <w:szCs w:val="20"/>
        </w:rPr>
        <w:t xml:space="preserve">s and managing our activities related to SOFR and other LIBOR replacement indexes; </w:t>
      </w:r>
    </w:p>
    <w:p w14:paraId="326E8B01" w14:textId="77777777" w:rsidR="00000000" w:rsidRDefault="00405D16">
      <w:pPr>
        <w:ind w:hanging="360"/>
        <w:divId w:val="99574499"/>
        <w:rPr>
          <w:rFonts w:eastAsia="Times New Roman"/>
        </w:rPr>
      </w:pPr>
      <w:r>
        <w:rPr>
          <w:rFonts w:eastAsia="Times New Roman"/>
          <w:color w:val="000000"/>
          <w:sz w:val="20"/>
          <w:szCs w:val="20"/>
        </w:rPr>
        <w:t>•reviewing existing legal contracts and agreements and assessing fallback language impacts;</w:t>
      </w:r>
    </w:p>
    <w:p w14:paraId="55D76128" w14:textId="77777777" w:rsidR="00000000" w:rsidRDefault="00405D16">
      <w:pPr>
        <w:ind w:hanging="360"/>
        <w:jc w:val="both"/>
        <w:divId w:val="1321302135"/>
        <w:rPr>
          <w:rFonts w:eastAsia="Times New Roman"/>
        </w:rPr>
      </w:pPr>
      <w:r>
        <w:rPr>
          <w:rFonts w:eastAsia="Times New Roman"/>
          <w:color w:val="000000"/>
          <w:sz w:val="20"/>
          <w:szCs w:val="20"/>
        </w:rPr>
        <w:t>•monitoring and reducing our inventory of LIBOR exposures;</w:t>
      </w:r>
    </w:p>
    <w:p w14:paraId="42B7136C" w14:textId="77777777" w:rsidR="00000000" w:rsidRDefault="00405D16">
      <w:pPr>
        <w:ind w:hanging="360"/>
        <w:jc w:val="both"/>
        <w:divId w:val="244188682"/>
        <w:rPr>
          <w:rFonts w:eastAsia="Times New Roman"/>
        </w:rPr>
      </w:pPr>
      <w:r>
        <w:rPr>
          <w:rFonts w:eastAsia="Times New Roman"/>
          <w:color w:val="000000"/>
          <w:sz w:val="20"/>
          <w:szCs w:val="20"/>
        </w:rPr>
        <w:t>•building internal op</w:t>
      </w:r>
      <w:r>
        <w:rPr>
          <w:rFonts w:eastAsia="Times New Roman"/>
          <w:color w:val="000000"/>
          <w:sz w:val="20"/>
          <w:szCs w:val="20"/>
        </w:rPr>
        <w:t>erational readiness and risk management processes, including exposure reporting;</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175EB1F4" w14:textId="77777777">
        <w:trPr>
          <w:divId w:val="1737359387"/>
          <w:jc w:val="center"/>
        </w:trPr>
        <w:tc>
          <w:tcPr>
            <w:tcW w:w="50" w:type="pct"/>
            <w:vAlign w:val="center"/>
            <w:hideMark/>
          </w:tcPr>
          <w:p w14:paraId="0470F28D" w14:textId="77777777" w:rsidR="00000000" w:rsidRDefault="00405D16">
            <w:pPr>
              <w:ind w:hanging="360"/>
              <w:jc w:val="both"/>
              <w:rPr>
                <w:rFonts w:eastAsia="Times New Roman"/>
              </w:rPr>
            </w:pPr>
          </w:p>
        </w:tc>
        <w:tc>
          <w:tcPr>
            <w:tcW w:w="1606" w:type="pct"/>
            <w:vAlign w:val="center"/>
            <w:hideMark/>
          </w:tcPr>
          <w:p w14:paraId="7C15B64E" w14:textId="77777777" w:rsidR="00000000" w:rsidRDefault="00405D16">
            <w:pPr>
              <w:spacing w:after="100"/>
              <w:rPr>
                <w:rFonts w:eastAsia="Times New Roman"/>
                <w:sz w:val="20"/>
                <w:szCs w:val="20"/>
              </w:rPr>
            </w:pPr>
          </w:p>
        </w:tc>
        <w:tc>
          <w:tcPr>
            <w:tcW w:w="5" w:type="pct"/>
            <w:vAlign w:val="center"/>
            <w:hideMark/>
          </w:tcPr>
          <w:p w14:paraId="67FFB92E" w14:textId="77777777" w:rsidR="00000000" w:rsidRDefault="00405D16">
            <w:pPr>
              <w:spacing w:after="100"/>
              <w:rPr>
                <w:rFonts w:eastAsia="Times New Roman"/>
                <w:sz w:val="20"/>
                <w:szCs w:val="20"/>
              </w:rPr>
            </w:pPr>
          </w:p>
        </w:tc>
        <w:tc>
          <w:tcPr>
            <w:tcW w:w="50" w:type="pct"/>
            <w:vAlign w:val="center"/>
            <w:hideMark/>
          </w:tcPr>
          <w:p w14:paraId="58701AD0" w14:textId="77777777" w:rsidR="00000000" w:rsidRDefault="00405D16">
            <w:pPr>
              <w:spacing w:after="100"/>
              <w:rPr>
                <w:rFonts w:eastAsia="Times New Roman"/>
                <w:sz w:val="20"/>
                <w:szCs w:val="20"/>
              </w:rPr>
            </w:pPr>
          </w:p>
        </w:tc>
        <w:tc>
          <w:tcPr>
            <w:tcW w:w="1614" w:type="pct"/>
            <w:vAlign w:val="center"/>
            <w:hideMark/>
          </w:tcPr>
          <w:p w14:paraId="5FC17620" w14:textId="77777777" w:rsidR="00000000" w:rsidRDefault="00405D16">
            <w:pPr>
              <w:spacing w:after="100"/>
              <w:rPr>
                <w:rFonts w:eastAsia="Times New Roman"/>
                <w:sz w:val="20"/>
                <w:szCs w:val="20"/>
              </w:rPr>
            </w:pPr>
          </w:p>
        </w:tc>
        <w:tc>
          <w:tcPr>
            <w:tcW w:w="5" w:type="pct"/>
            <w:vAlign w:val="center"/>
            <w:hideMark/>
          </w:tcPr>
          <w:p w14:paraId="1BDD9E4A" w14:textId="77777777" w:rsidR="00000000" w:rsidRDefault="00405D16">
            <w:pPr>
              <w:spacing w:after="100"/>
              <w:rPr>
                <w:rFonts w:eastAsia="Times New Roman"/>
                <w:sz w:val="20"/>
                <w:szCs w:val="20"/>
              </w:rPr>
            </w:pPr>
          </w:p>
        </w:tc>
        <w:tc>
          <w:tcPr>
            <w:tcW w:w="50" w:type="pct"/>
            <w:vAlign w:val="center"/>
            <w:hideMark/>
          </w:tcPr>
          <w:p w14:paraId="200E4F9B" w14:textId="77777777" w:rsidR="00000000" w:rsidRDefault="00405D16">
            <w:pPr>
              <w:spacing w:after="100"/>
              <w:rPr>
                <w:rFonts w:eastAsia="Times New Roman"/>
                <w:sz w:val="20"/>
                <w:szCs w:val="20"/>
              </w:rPr>
            </w:pPr>
          </w:p>
        </w:tc>
        <w:tc>
          <w:tcPr>
            <w:tcW w:w="1614" w:type="pct"/>
            <w:vAlign w:val="center"/>
            <w:hideMark/>
          </w:tcPr>
          <w:p w14:paraId="6010B52A" w14:textId="77777777" w:rsidR="00000000" w:rsidRDefault="00405D16">
            <w:pPr>
              <w:spacing w:after="100"/>
              <w:rPr>
                <w:rFonts w:eastAsia="Times New Roman"/>
                <w:sz w:val="20"/>
                <w:szCs w:val="20"/>
              </w:rPr>
            </w:pPr>
          </w:p>
        </w:tc>
        <w:tc>
          <w:tcPr>
            <w:tcW w:w="5" w:type="pct"/>
            <w:vAlign w:val="center"/>
            <w:hideMark/>
          </w:tcPr>
          <w:p w14:paraId="7C02ED83" w14:textId="77777777" w:rsidR="00000000" w:rsidRDefault="00405D16">
            <w:pPr>
              <w:spacing w:after="100"/>
              <w:rPr>
                <w:rFonts w:eastAsia="Times New Roman"/>
                <w:sz w:val="20"/>
                <w:szCs w:val="20"/>
              </w:rPr>
            </w:pPr>
          </w:p>
        </w:tc>
      </w:tr>
      <w:tr w:rsidR="00000000" w14:paraId="1F202609" w14:textId="77777777">
        <w:trPr>
          <w:divId w:val="1737359387"/>
          <w:trHeight w:val="300"/>
          <w:jc w:val="center"/>
        </w:trPr>
        <w:tc>
          <w:tcPr>
            <w:tcW w:w="0" w:type="auto"/>
            <w:gridSpan w:val="9"/>
            <w:tcMar>
              <w:top w:w="0" w:type="dxa"/>
              <w:left w:w="20" w:type="dxa"/>
              <w:bottom w:w="0" w:type="dxa"/>
              <w:right w:w="20" w:type="dxa"/>
            </w:tcMar>
            <w:vAlign w:val="center"/>
            <w:hideMark/>
          </w:tcPr>
          <w:p w14:paraId="26DD9EC1" w14:textId="77777777" w:rsidR="00000000" w:rsidRDefault="00405D16">
            <w:pPr>
              <w:spacing w:after="100"/>
              <w:rPr>
                <w:rFonts w:eastAsia="Times New Roman"/>
                <w:sz w:val="20"/>
                <w:szCs w:val="20"/>
              </w:rPr>
            </w:pPr>
          </w:p>
        </w:tc>
      </w:tr>
      <w:tr w:rsidR="00000000" w14:paraId="4824E6C0" w14:textId="77777777">
        <w:trPr>
          <w:divId w:val="1737359387"/>
          <w:jc w:val="center"/>
        </w:trPr>
        <w:tc>
          <w:tcPr>
            <w:tcW w:w="0" w:type="auto"/>
            <w:gridSpan w:val="3"/>
            <w:tcMar>
              <w:top w:w="0" w:type="dxa"/>
              <w:left w:w="20" w:type="dxa"/>
              <w:bottom w:w="0" w:type="dxa"/>
              <w:right w:w="20" w:type="dxa"/>
            </w:tcMar>
            <w:vAlign w:val="center"/>
            <w:hideMark/>
          </w:tcPr>
          <w:p w14:paraId="2F5FEB88"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DDB8618" w14:textId="77777777" w:rsidR="00000000" w:rsidRDefault="00405D16">
            <w:pPr>
              <w:spacing w:after="100"/>
              <w:jc w:val="center"/>
              <w:rPr>
                <w:rFonts w:eastAsia="Times New Roman"/>
              </w:rPr>
            </w:pPr>
            <w:r>
              <w:rPr>
                <w:rFonts w:eastAsia="Times New Roman"/>
                <w:color w:val="000000"/>
                <w:sz w:val="16"/>
                <w:szCs w:val="16"/>
              </w:rPr>
              <w:t>58</w:t>
            </w:r>
          </w:p>
        </w:tc>
        <w:tc>
          <w:tcPr>
            <w:tcW w:w="0" w:type="auto"/>
            <w:gridSpan w:val="3"/>
            <w:tcMar>
              <w:top w:w="30" w:type="dxa"/>
              <w:left w:w="20" w:type="dxa"/>
              <w:bottom w:w="30" w:type="dxa"/>
              <w:right w:w="20" w:type="dxa"/>
            </w:tcMar>
            <w:vAlign w:val="bottom"/>
            <w:hideMark/>
          </w:tcPr>
          <w:p w14:paraId="39B3F759"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4AB53049" w14:textId="77777777" w:rsidR="00000000" w:rsidRDefault="00405D16">
      <w:pPr>
        <w:rPr>
          <w:rFonts w:eastAsia="Times New Roman"/>
        </w:rPr>
      </w:pPr>
      <w:r>
        <w:rPr>
          <w:rFonts w:eastAsia="Times New Roman"/>
        </w:rPr>
        <w:pict w14:anchorId="010D97E3">
          <v:rect id="_x0000_i1083" style="width:0;height:1.5pt" o:hralign="center" o:hrstd="t" o:hr="t" fillcolor="#a0a0a0" stroked="f"/>
        </w:pict>
      </w:r>
    </w:p>
    <w:p w14:paraId="240A46E0" w14:textId="77777777" w:rsidR="00000000" w:rsidRDefault="00405D16">
      <w:pPr>
        <w:ind w:hanging="360"/>
        <w:jc w:val="both"/>
        <w:divId w:val="1115179393"/>
        <w:rPr>
          <w:rFonts w:eastAsia="Times New Roman"/>
        </w:rPr>
      </w:pPr>
      <w:hyperlink w:anchor="idd54a04a485440b4ab4e56094c14d612_13" w:history="1">
        <w:r>
          <w:rPr>
            <w:rStyle w:val="a3"/>
            <w:rFonts w:eastAsia="Times New Roman"/>
            <w:sz w:val="16"/>
            <w:szCs w:val="16"/>
          </w:rPr>
          <w:t>Table of Contents</w:t>
        </w:r>
      </w:hyperlink>
    </w:p>
    <w:p w14:paraId="394DB77F" w14:textId="77777777" w:rsidR="00000000" w:rsidRDefault="00405D16">
      <w:pPr>
        <w:ind w:hanging="360"/>
        <w:jc w:val="both"/>
        <w:divId w:val="11809546"/>
        <w:rPr>
          <w:rFonts w:eastAsia="Times New Roman"/>
        </w:rPr>
      </w:pPr>
      <w:r>
        <w:rPr>
          <w:rFonts w:eastAsia="Times New Roman"/>
          <w:color w:val="000000"/>
          <w:sz w:val="20"/>
          <w:szCs w:val="20"/>
        </w:rPr>
        <w:t>•implementing necessary updates to our infrastructure including systems, models, valuation tools and processes; and</w:t>
      </w:r>
    </w:p>
    <w:p w14:paraId="75855ED9" w14:textId="77777777" w:rsidR="00000000" w:rsidRDefault="00405D16">
      <w:pPr>
        <w:ind w:hanging="360"/>
        <w:jc w:val="both"/>
        <w:divId w:val="423040322"/>
        <w:rPr>
          <w:rFonts w:eastAsia="Times New Roman"/>
        </w:rPr>
      </w:pPr>
      <w:r>
        <w:rPr>
          <w:rFonts w:eastAsia="Times New Roman"/>
          <w:color w:val="000000"/>
          <w:sz w:val="20"/>
          <w:szCs w:val="20"/>
        </w:rPr>
        <w:t>•engaging with our clients,</w:t>
      </w:r>
      <w:r>
        <w:rPr>
          <w:rFonts w:eastAsia="Times New Roman"/>
          <w:color w:val="000000"/>
          <w:sz w:val="20"/>
          <w:szCs w:val="20"/>
        </w:rPr>
        <w:t xml:space="preserve"> industry working groups, and regulators.</w:t>
      </w:r>
    </w:p>
    <w:p w14:paraId="18949143" w14:textId="77777777" w:rsidR="00000000" w:rsidRDefault="00405D16">
      <w:pPr>
        <w:jc w:val="both"/>
        <w:divId w:val="39132690"/>
        <w:rPr>
          <w:rFonts w:eastAsia="Times New Roman"/>
        </w:rPr>
      </w:pPr>
      <w:r>
        <w:rPr>
          <w:rFonts w:eastAsia="Times New Roman"/>
          <w:color w:val="000000"/>
          <w:sz w:val="20"/>
          <w:szCs w:val="20"/>
        </w:rPr>
        <w:t>For a further discussion of the various risks we face in connection with the expected replacement of LIBOR on our operations, see “Part I—Item 1A. Risk Factors—</w:t>
      </w:r>
      <w:r>
        <w:rPr>
          <w:rFonts w:eastAsia="Times New Roman"/>
          <w:i/>
          <w:iCs/>
          <w:color w:val="000000"/>
          <w:sz w:val="20"/>
          <w:szCs w:val="20"/>
        </w:rPr>
        <w:t>Uncertainty regarding, and transition away from, LIBOR</w:t>
      </w:r>
      <w:r>
        <w:rPr>
          <w:rFonts w:eastAsia="Times New Roman"/>
          <w:i/>
          <w:iCs/>
          <w:color w:val="000000"/>
          <w:sz w:val="20"/>
          <w:szCs w:val="20"/>
        </w:rPr>
        <w:t xml:space="preserve"> may adversely affect our business</w:t>
      </w:r>
      <w:r>
        <w:rPr>
          <w:rFonts w:eastAsia="Times New Roman"/>
          <w:color w:val="000000"/>
          <w:sz w:val="20"/>
          <w:szCs w:val="20"/>
        </w:rPr>
        <w:t>” in our 2020 Form 10-K.</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5B4F7963" w14:textId="77777777">
        <w:trPr>
          <w:divId w:val="1155418330"/>
        </w:trPr>
        <w:tc>
          <w:tcPr>
            <w:tcW w:w="50" w:type="pct"/>
            <w:vAlign w:val="center"/>
            <w:hideMark/>
          </w:tcPr>
          <w:p w14:paraId="16957682" w14:textId="77777777" w:rsidR="00000000" w:rsidRDefault="00405D16">
            <w:pPr>
              <w:jc w:val="both"/>
              <w:rPr>
                <w:rFonts w:eastAsia="Times New Roman"/>
              </w:rPr>
            </w:pPr>
          </w:p>
        </w:tc>
        <w:tc>
          <w:tcPr>
            <w:tcW w:w="4945" w:type="pct"/>
            <w:vAlign w:val="center"/>
            <w:hideMark/>
          </w:tcPr>
          <w:p w14:paraId="7EF0116B" w14:textId="77777777" w:rsidR="00000000" w:rsidRDefault="00405D16">
            <w:pPr>
              <w:spacing w:after="100"/>
              <w:rPr>
                <w:rFonts w:eastAsia="Times New Roman"/>
                <w:sz w:val="20"/>
                <w:szCs w:val="20"/>
              </w:rPr>
            </w:pPr>
          </w:p>
        </w:tc>
        <w:tc>
          <w:tcPr>
            <w:tcW w:w="5" w:type="pct"/>
            <w:vAlign w:val="center"/>
            <w:hideMark/>
          </w:tcPr>
          <w:p w14:paraId="5AD93EEA" w14:textId="77777777" w:rsidR="00000000" w:rsidRDefault="00405D16">
            <w:pPr>
              <w:spacing w:after="100"/>
              <w:rPr>
                <w:rFonts w:eastAsia="Times New Roman"/>
                <w:sz w:val="20"/>
                <w:szCs w:val="20"/>
              </w:rPr>
            </w:pPr>
          </w:p>
        </w:tc>
      </w:tr>
      <w:tr w:rsidR="00000000" w14:paraId="37C683CA" w14:textId="77777777">
        <w:trPr>
          <w:divId w:val="1155418330"/>
        </w:trPr>
        <w:tc>
          <w:tcPr>
            <w:tcW w:w="0" w:type="auto"/>
            <w:gridSpan w:val="3"/>
            <w:tcBorders>
              <w:top w:val="single" w:sz="18" w:space="0" w:color="000000"/>
              <w:bottom w:val="single" w:sz="18" w:space="0" w:color="000000"/>
            </w:tcBorders>
            <w:shd w:val="clear" w:color="auto" w:fill="FFFFFF"/>
            <w:tcMar>
              <w:top w:w="30" w:type="dxa"/>
              <w:left w:w="20" w:type="dxa"/>
              <w:bottom w:w="30" w:type="dxa"/>
              <w:right w:w="20" w:type="dxa"/>
            </w:tcMar>
            <w:vAlign w:val="bottom"/>
            <w:hideMark/>
          </w:tcPr>
          <w:p w14:paraId="12F0B7C4" w14:textId="77777777" w:rsidR="00000000" w:rsidRDefault="00405D16">
            <w:pPr>
              <w:spacing w:after="100"/>
              <w:rPr>
                <w:rFonts w:eastAsia="Times New Roman"/>
              </w:rPr>
            </w:pPr>
            <w:r>
              <w:rPr>
                <w:rFonts w:eastAsia="Times New Roman"/>
                <w:b/>
                <w:bCs/>
                <w:color w:val="000000"/>
                <w:sz w:val="20"/>
                <w:szCs w:val="20"/>
              </w:rPr>
              <w:t>SUPERVISION AND REGULATION</w:t>
            </w:r>
          </w:p>
        </w:tc>
      </w:tr>
    </w:tbl>
    <w:p w14:paraId="55BAAEF4" w14:textId="77777777" w:rsidR="00000000" w:rsidRDefault="00405D16">
      <w:pPr>
        <w:jc w:val="both"/>
        <w:divId w:val="65492363"/>
        <w:rPr>
          <w:rFonts w:eastAsia="Times New Roman"/>
        </w:rPr>
      </w:pPr>
      <w:r>
        <w:rPr>
          <w:rFonts w:eastAsia="Times New Roman"/>
          <w:color w:val="000000"/>
          <w:sz w:val="20"/>
          <w:szCs w:val="20"/>
        </w:rPr>
        <w:t>We provide information on our Supervision and Regulation in our 2020 Form 10-K under “Part I—Item 1. Business—Supervision and Regulation” and in our Quarterly Reports on Form 10-Q for the period ended March 31, 2021 and for the period ended June 30, 2021 u</w:t>
      </w:r>
      <w:r>
        <w:rPr>
          <w:rFonts w:eastAsia="Times New Roman"/>
          <w:color w:val="000000"/>
          <w:sz w:val="20"/>
          <w:szCs w:val="20"/>
        </w:rPr>
        <w:t>nder “Part I—Item 2. MD&amp;A—Supervision and Regulation.”</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75C26770" w14:textId="77777777">
        <w:trPr>
          <w:divId w:val="2025547242"/>
        </w:trPr>
        <w:tc>
          <w:tcPr>
            <w:tcW w:w="50" w:type="pct"/>
            <w:vAlign w:val="center"/>
            <w:hideMark/>
          </w:tcPr>
          <w:p w14:paraId="75D6A6EC" w14:textId="77777777" w:rsidR="00000000" w:rsidRDefault="00405D16">
            <w:pPr>
              <w:jc w:val="both"/>
              <w:rPr>
                <w:rFonts w:eastAsia="Times New Roman"/>
              </w:rPr>
            </w:pPr>
          </w:p>
        </w:tc>
        <w:tc>
          <w:tcPr>
            <w:tcW w:w="4945" w:type="pct"/>
            <w:vAlign w:val="center"/>
            <w:hideMark/>
          </w:tcPr>
          <w:p w14:paraId="46CE953C" w14:textId="77777777" w:rsidR="00000000" w:rsidRDefault="00405D16">
            <w:pPr>
              <w:spacing w:after="100"/>
              <w:rPr>
                <w:rFonts w:eastAsia="Times New Roman"/>
                <w:sz w:val="20"/>
                <w:szCs w:val="20"/>
              </w:rPr>
            </w:pPr>
          </w:p>
        </w:tc>
        <w:tc>
          <w:tcPr>
            <w:tcW w:w="5" w:type="pct"/>
            <w:vAlign w:val="center"/>
            <w:hideMark/>
          </w:tcPr>
          <w:p w14:paraId="7E3FEF0B" w14:textId="77777777" w:rsidR="00000000" w:rsidRDefault="00405D16">
            <w:pPr>
              <w:spacing w:after="100"/>
              <w:rPr>
                <w:rFonts w:eastAsia="Times New Roman"/>
                <w:sz w:val="20"/>
                <w:szCs w:val="20"/>
              </w:rPr>
            </w:pPr>
          </w:p>
        </w:tc>
      </w:tr>
      <w:tr w:rsidR="00000000" w14:paraId="33E314A6" w14:textId="77777777">
        <w:trPr>
          <w:divId w:val="2025547242"/>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3E072A00" w14:textId="77777777" w:rsidR="00000000" w:rsidRDefault="00405D16">
            <w:pPr>
              <w:spacing w:after="100"/>
              <w:rPr>
                <w:rFonts w:eastAsia="Times New Roman"/>
              </w:rPr>
            </w:pPr>
            <w:r>
              <w:rPr>
                <w:rFonts w:eastAsia="Times New Roman"/>
                <w:b/>
                <w:bCs/>
                <w:color w:val="000000"/>
                <w:sz w:val="20"/>
                <w:szCs w:val="20"/>
              </w:rPr>
              <w:t>FORWARD-LOOKING STATEMENTS</w:t>
            </w:r>
          </w:p>
        </w:tc>
      </w:tr>
    </w:tbl>
    <w:p w14:paraId="299BE532" w14:textId="77777777" w:rsidR="00000000" w:rsidRDefault="00405D16">
      <w:pPr>
        <w:jc w:val="both"/>
        <w:divId w:val="1799761691"/>
        <w:rPr>
          <w:rFonts w:eastAsia="Times New Roman"/>
        </w:rPr>
      </w:pPr>
      <w:r>
        <w:rPr>
          <w:rFonts w:eastAsia="Times New Roman"/>
          <w:color w:val="000000"/>
          <w:sz w:val="20"/>
          <w:szCs w:val="20"/>
          <w:shd w:val="clear" w:color="auto" w:fill="FFFFFF"/>
        </w:rPr>
        <w:t>From time to time, we have made and will make forward-looking statements, including those that discuss, among other things, strategies, goals, outlook or other non-historical matters; projections, revenues, income, returns, expenses, capital measures, capi</w:t>
      </w:r>
      <w:r>
        <w:rPr>
          <w:rFonts w:eastAsia="Times New Roman"/>
          <w:color w:val="000000"/>
          <w:sz w:val="20"/>
          <w:szCs w:val="20"/>
          <w:shd w:val="clear" w:color="auto" w:fill="FFFFFF"/>
        </w:rPr>
        <w:t>tal allocation plans, accruals for claims in litigation and for other claims against us; earnings per share, efficiency ratio, operating efficiency ratio, or other financial measures for us; future financial and operating results; our plans, objectives, ex</w:t>
      </w:r>
      <w:r>
        <w:rPr>
          <w:rFonts w:eastAsia="Times New Roman"/>
          <w:color w:val="000000"/>
          <w:sz w:val="20"/>
          <w:szCs w:val="20"/>
          <w:shd w:val="clear" w:color="auto" w:fill="FFFFFF"/>
        </w:rPr>
        <w:t>pectations and intentions; and the assumptions that underlie these matters.</w:t>
      </w:r>
    </w:p>
    <w:p w14:paraId="5CB46E2D" w14:textId="77777777" w:rsidR="00000000" w:rsidRDefault="00405D16">
      <w:pPr>
        <w:jc w:val="both"/>
        <w:divId w:val="1107963757"/>
        <w:rPr>
          <w:rFonts w:eastAsia="Times New Roman"/>
        </w:rPr>
      </w:pPr>
      <w:r>
        <w:rPr>
          <w:rFonts w:eastAsia="Times New Roman"/>
          <w:color w:val="000000"/>
          <w:sz w:val="20"/>
          <w:szCs w:val="20"/>
          <w:shd w:val="clear" w:color="auto" w:fill="FFFFFF"/>
        </w:rPr>
        <w:t>To the extent that any such information is forward-looking, it is intended to fit within the safe harbor for forward-looking information provided by the Private Securities Litigati</w:t>
      </w:r>
      <w:r>
        <w:rPr>
          <w:rFonts w:eastAsia="Times New Roman"/>
          <w:color w:val="000000"/>
          <w:sz w:val="20"/>
          <w:szCs w:val="20"/>
          <w:shd w:val="clear" w:color="auto" w:fill="FFFFFF"/>
        </w:rPr>
        <w:t>on Reform Act of 1995.</w:t>
      </w:r>
    </w:p>
    <w:p w14:paraId="10F3AB56" w14:textId="77777777" w:rsidR="00000000" w:rsidRDefault="00405D16">
      <w:pPr>
        <w:jc w:val="both"/>
        <w:divId w:val="1999840788"/>
        <w:rPr>
          <w:rFonts w:eastAsia="Times New Roman"/>
        </w:rPr>
      </w:pPr>
      <w:r>
        <w:rPr>
          <w:rFonts w:eastAsia="Times New Roman"/>
          <w:color w:val="000000"/>
          <w:sz w:val="20"/>
          <w:szCs w:val="20"/>
          <w:shd w:val="clear" w:color="auto" w:fill="FFFFFF"/>
        </w:rPr>
        <w:t xml:space="preserve">Forward-looking statements often use words such as “will,” “anticipate,” “target,” “expect,” “estimate,” “intend,” “plan,” “goal,” “believe,” “forecast,” “outlook” </w:t>
      </w:r>
      <w:r>
        <w:rPr>
          <w:rFonts w:eastAsia="Times New Roman"/>
          <w:color w:val="000000"/>
          <w:sz w:val="20"/>
          <w:szCs w:val="20"/>
          <w:shd w:val="clear" w:color="auto" w:fill="FFFFFF"/>
        </w:rPr>
        <w:t>or other words of similar meaning. Any forward-looking statements made by us or on our behalf speak only as of the date they are made or as of the date indicated, and we do not undertake any obligation to update forward-looking statements as a result of ne</w:t>
      </w:r>
      <w:r>
        <w:rPr>
          <w:rFonts w:eastAsia="Times New Roman"/>
          <w:color w:val="000000"/>
          <w:sz w:val="20"/>
          <w:szCs w:val="20"/>
          <w:shd w:val="clear" w:color="auto" w:fill="FFFFFF"/>
        </w:rPr>
        <w:t xml:space="preserve">w information, future events or otherwise. For additional information on factors that could materially influence forward-looking statements included in this Report, see the risk factors set forth under “Part I—Item 1A. Risk Factors” in our 2020 Form 10-K. </w:t>
      </w:r>
      <w:r>
        <w:rPr>
          <w:rFonts w:eastAsia="Times New Roman"/>
          <w:color w:val="000000"/>
          <w:sz w:val="20"/>
          <w:szCs w:val="20"/>
          <w:shd w:val="clear" w:color="auto" w:fill="FFFFFF"/>
        </w:rPr>
        <w:t>You should carefully consider the factors discussed above, and in our Risk Factors or other disclosure, in evaluating these forward-looking statements.</w:t>
      </w:r>
    </w:p>
    <w:p w14:paraId="6F00C6CD" w14:textId="77777777" w:rsidR="00000000" w:rsidRDefault="00405D16">
      <w:pPr>
        <w:jc w:val="both"/>
        <w:divId w:val="1526675844"/>
        <w:rPr>
          <w:rFonts w:eastAsia="Times New Roman"/>
        </w:rPr>
      </w:pPr>
      <w:r>
        <w:rPr>
          <w:rFonts w:eastAsia="Times New Roman"/>
          <w:color w:val="000000"/>
          <w:sz w:val="20"/>
          <w:szCs w:val="20"/>
          <w:shd w:val="clear" w:color="auto" w:fill="FFFFFF"/>
        </w:rPr>
        <w:t>Numerous factors could cause our actual results to differ materially from those described in such forwar</w:t>
      </w:r>
      <w:r>
        <w:rPr>
          <w:rFonts w:eastAsia="Times New Roman"/>
          <w:color w:val="000000"/>
          <w:sz w:val="20"/>
          <w:szCs w:val="20"/>
          <w:shd w:val="clear" w:color="auto" w:fill="FFFFFF"/>
        </w:rPr>
        <w:t>d-looking statements, including, among other things:</w:t>
      </w:r>
    </w:p>
    <w:p w14:paraId="0BD78808" w14:textId="77777777" w:rsidR="00000000" w:rsidRDefault="00405D16">
      <w:pPr>
        <w:ind w:hanging="360"/>
        <w:jc w:val="both"/>
        <w:divId w:val="296642313"/>
        <w:rPr>
          <w:rFonts w:eastAsia="Times New Roman"/>
        </w:rPr>
      </w:pPr>
      <w:r>
        <w:rPr>
          <w:rFonts w:eastAsia="Times New Roman"/>
          <w:color w:val="000000"/>
          <w:sz w:val="20"/>
          <w:szCs w:val="20"/>
          <w:shd w:val="clear" w:color="auto" w:fill="FFFFFF"/>
        </w:rPr>
        <w:t>•the impact of the COVID-19 pandemic and related public health measures on our business, financial condition and results of operations, including the increased estimation and forecast uncertainty as a re</w:t>
      </w:r>
      <w:r>
        <w:rPr>
          <w:rFonts w:eastAsia="Times New Roman"/>
          <w:color w:val="000000"/>
          <w:sz w:val="20"/>
          <w:szCs w:val="20"/>
          <w:shd w:val="clear" w:color="auto" w:fill="FFFFFF"/>
        </w:rPr>
        <w:t>sult of the pandemic on our estimates of lifetime expected credit losses in our loan portfolios required in computing our allowance for credit losses;</w:t>
      </w:r>
    </w:p>
    <w:p w14:paraId="668A6190" w14:textId="77777777" w:rsidR="00000000" w:rsidRDefault="00405D16">
      <w:pPr>
        <w:ind w:hanging="360"/>
        <w:jc w:val="both"/>
        <w:divId w:val="1740443823"/>
        <w:rPr>
          <w:rFonts w:eastAsia="Times New Roman"/>
        </w:rPr>
      </w:pPr>
      <w:r>
        <w:rPr>
          <w:rFonts w:eastAsia="Times New Roman"/>
          <w:color w:val="000000"/>
          <w:sz w:val="20"/>
          <w:szCs w:val="20"/>
          <w:shd w:val="clear" w:color="auto" w:fill="FFFFFF"/>
        </w:rPr>
        <w:t>•</w:t>
      </w:r>
      <w:r>
        <w:rPr>
          <w:rFonts w:eastAsia="Times New Roman"/>
          <w:color w:val="000000"/>
          <w:sz w:val="20"/>
          <w:szCs w:val="20"/>
          <w:shd w:val="clear" w:color="auto" w:fill="FFFFFF"/>
        </w:rPr>
        <w:t>general economic and business conditions in our local markets, including conditions affecting employment levels, interest rates, tariffs, collateral values, consumer income, creditworthiness and confidence, spending and savings that may affect consumer ban</w:t>
      </w:r>
      <w:r>
        <w:rPr>
          <w:rFonts w:eastAsia="Times New Roman"/>
          <w:color w:val="000000"/>
          <w:sz w:val="20"/>
          <w:szCs w:val="20"/>
          <w:shd w:val="clear" w:color="auto" w:fill="FFFFFF"/>
        </w:rPr>
        <w:t>kruptcies, defaults, charge-offs and deposit activity;</w:t>
      </w:r>
    </w:p>
    <w:p w14:paraId="65CDB62A" w14:textId="77777777" w:rsidR="00000000" w:rsidRDefault="00405D16">
      <w:pPr>
        <w:ind w:hanging="360"/>
        <w:jc w:val="both"/>
        <w:divId w:val="662511872"/>
        <w:rPr>
          <w:rFonts w:eastAsia="Times New Roman"/>
        </w:rPr>
      </w:pPr>
      <w:r>
        <w:rPr>
          <w:rFonts w:eastAsia="Times New Roman"/>
          <w:color w:val="000000"/>
          <w:sz w:val="20"/>
          <w:szCs w:val="20"/>
          <w:shd w:val="clear" w:color="auto" w:fill="FFFFFF"/>
        </w:rPr>
        <w:t>•an increase or decrease in credit losses, or increased delinquencies, including increases due to a worsening of general economic conditions in the credit environment, and the impact of inaccurate esti</w:t>
      </w:r>
      <w:r>
        <w:rPr>
          <w:rFonts w:eastAsia="Times New Roman"/>
          <w:color w:val="000000"/>
          <w:sz w:val="20"/>
          <w:szCs w:val="20"/>
          <w:shd w:val="clear" w:color="auto" w:fill="FFFFFF"/>
        </w:rPr>
        <w:t>mates or inadequate reserves;</w:t>
      </w:r>
    </w:p>
    <w:p w14:paraId="1FD255D5" w14:textId="77777777" w:rsidR="00000000" w:rsidRDefault="00405D16">
      <w:pPr>
        <w:ind w:hanging="360"/>
        <w:jc w:val="both"/>
        <w:divId w:val="2093618144"/>
        <w:rPr>
          <w:rFonts w:eastAsia="Times New Roman"/>
        </w:rPr>
      </w:pPr>
      <w:r>
        <w:rPr>
          <w:rFonts w:eastAsia="Times New Roman"/>
          <w:color w:val="000000"/>
          <w:sz w:val="20"/>
          <w:szCs w:val="20"/>
          <w:shd w:val="clear" w:color="auto" w:fill="FFFFFF"/>
        </w:rPr>
        <w:t>•compliance with new and existing laws, regulations and regulatory expectations including the implementation of a regulatory reform agenda;</w:t>
      </w:r>
    </w:p>
    <w:p w14:paraId="6333876C" w14:textId="77777777" w:rsidR="00000000" w:rsidRDefault="00405D16">
      <w:pPr>
        <w:ind w:hanging="360"/>
        <w:jc w:val="both"/>
        <w:divId w:val="42562750"/>
        <w:rPr>
          <w:rFonts w:eastAsia="Times New Roman"/>
        </w:rPr>
      </w:pPr>
      <w:r>
        <w:rPr>
          <w:rFonts w:eastAsia="Times New Roman"/>
          <w:color w:val="000000"/>
          <w:sz w:val="20"/>
          <w:szCs w:val="20"/>
          <w:shd w:val="clear" w:color="auto" w:fill="FFFFFF"/>
        </w:rPr>
        <w:t>•our ability to manage adequate capital or liquidity levels, which could have a negati</w:t>
      </w:r>
      <w:r>
        <w:rPr>
          <w:rFonts w:eastAsia="Times New Roman"/>
          <w:color w:val="000000"/>
          <w:sz w:val="20"/>
          <w:szCs w:val="20"/>
          <w:shd w:val="clear" w:color="auto" w:fill="FFFFFF"/>
        </w:rPr>
        <w:t>ve impact on our financial results and our ability to return capital to our stockholders;</w:t>
      </w:r>
    </w:p>
    <w:p w14:paraId="4ADF192B" w14:textId="77777777" w:rsidR="00000000" w:rsidRDefault="00405D16">
      <w:pPr>
        <w:ind w:hanging="360"/>
        <w:jc w:val="both"/>
        <w:divId w:val="1095369184"/>
        <w:rPr>
          <w:rFonts w:eastAsia="Times New Roman"/>
        </w:rPr>
      </w:pPr>
      <w:r>
        <w:rPr>
          <w:rFonts w:eastAsia="Times New Roman"/>
          <w:color w:val="000000"/>
          <w:sz w:val="20"/>
          <w:szCs w:val="20"/>
          <w:shd w:val="clear" w:color="auto" w:fill="FFFFFF"/>
        </w:rPr>
        <w:t>•the extensive use, reliability, disruption, and accuracy of the models and data we rely on;</w:t>
      </w:r>
    </w:p>
    <w:p w14:paraId="6BD565C7" w14:textId="77777777" w:rsidR="00000000" w:rsidRDefault="00405D16">
      <w:pPr>
        <w:ind w:hanging="360"/>
        <w:jc w:val="both"/>
        <w:divId w:val="1686439514"/>
        <w:rPr>
          <w:rFonts w:eastAsia="Times New Roman"/>
        </w:rPr>
      </w:pPr>
      <w:r>
        <w:rPr>
          <w:rFonts w:eastAsia="Times New Roman"/>
          <w:color w:val="000000"/>
          <w:sz w:val="20"/>
          <w:szCs w:val="20"/>
          <w:shd w:val="clear" w:color="auto" w:fill="FFFFFF"/>
        </w:rPr>
        <w:t>•increased costs, reductions in revenue, reputational damage, legal liabi</w:t>
      </w:r>
      <w:r>
        <w:rPr>
          <w:rFonts w:eastAsia="Times New Roman"/>
          <w:color w:val="000000"/>
          <w:sz w:val="20"/>
          <w:szCs w:val="20"/>
          <w:shd w:val="clear" w:color="auto" w:fill="FFFFFF"/>
        </w:rPr>
        <w:t>lity and business disruptions that can result from data protection or privacy incidents or the theft, loss or misuse of information, including as a result of a cyber-attack;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0B0ABFCD" w14:textId="77777777">
        <w:trPr>
          <w:divId w:val="1497725918"/>
          <w:jc w:val="center"/>
        </w:trPr>
        <w:tc>
          <w:tcPr>
            <w:tcW w:w="50" w:type="pct"/>
            <w:vAlign w:val="center"/>
            <w:hideMark/>
          </w:tcPr>
          <w:p w14:paraId="74AE775B" w14:textId="77777777" w:rsidR="00000000" w:rsidRDefault="00405D16">
            <w:pPr>
              <w:ind w:hanging="360"/>
              <w:jc w:val="both"/>
              <w:rPr>
                <w:rFonts w:eastAsia="Times New Roman"/>
              </w:rPr>
            </w:pPr>
          </w:p>
        </w:tc>
        <w:tc>
          <w:tcPr>
            <w:tcW w:w="1606" w:type="pct"/>
            <w:vAlign w:val="center"/>
            <w:hideMark/>
          </w:tcPr>
          <w:p w14:paraId="6425C5D5" w14:textId="77777777" w:rsidR="00000000" w:rsidRDefault="00405D16">
            <w:pPr>
              <w:spacing w:after="100"/>
              <w:rPr>
                <w:rFonts w:eastAsia="Times New Roman"/>
                <w:sz w:val="20"/>
                <w:szCs w:val="20"/>
              </w:rPr>
            </w:pPr>
          </w:p>
        </w:tc>
        <w:tc>
          <w:tcPr>
            <w:tcW w:w="5" w:type="pct"/>
            <w:vAlign w:val="center"/>
            <w:hideMark/>
          </w:tcPr>
          <w:p w14:paraId="18236C40" w14:textId="77777777" w:rsidR="00000000" w:rsidRDefault="00405D16">
            <w:pPr>
              <w:spacing w:after="100"/>
              <w:rPr>
                <w:rFonts w:eastAsia="Times New Roman"/>
                <w:sz w:val="20"/>
                <w:szCs w:val="20"/>
              </w:rPr>
            </w:pPr>
          </w:p>
        </w:tc>
        <w:tc>
          <w:tcPr>
            <w:tcW w:w="50" w:type="pct"/>
            <w:vAlign w:val="center"/>
            <w:hideMark/>
          </w:tcPr>
          <w:p w14:paraId="21FC8DFF" w14:textId="77777777" w:rsidR="00000000" w:rsidRDefault="00405D16">
            <w:pPr>
              <w:spacing w:after="100"/>
              <w:rPr>
                <w:rFonts w:eastAsia="Times New Roman"/>
                <w:sz w:val="20"/>
                <w:szCs w:val="20"/>
              </w:rPr>
            </w:pPr>
          </w:p>
        </w:tc>
        <w:tc>
          <w:tcPr>
            <w:tcW w:w="1614" w:type="pct"/>
            <w:vAlign w:val="center"/>
            <w:hideMark/>
          </w:tcPr>
          <w:p w14:paraId="70E032B2" w14:textId="77777777" w:rsidR="00000000" w:rsidRDefault="00405D16">
            <w:pPr>
              <w:spacing w:after="100"/>
              <w:rPr>
                <w:rFonts w:eastAsia="Times New Roman"/>
                <w:sz w:val="20"/>
                <w:szCs w:val="20"/>
              </w:rPr>
            </w:pPr>
          </w:p>
        </w:tc>
        <w:tc>
          <w:tcPr>
            <w:tcW w:w="5" w:type="pct"/>
            <w:vAlign w:val="center"/>
            <w:hideMark/>
          </w:tcPr>
          <w:p w14:paraId="6405C64E" w14:textId="77777777" w:rsidR="00000000" w:rsidRDefault="00405D16">
            <w:pPr>
              <w:spacing w:after="100"/>
              <w:rPr>
                <w:rFonts w:eastAsia="Times New Roman"/>
                <w:sz w:val="20"/>
                <w:szCs w:val="20"/>
              </w:rPr>
            </w:pPr>
          </w:p>
        </w:tc>
        <w:tc>
          <w:tcPr>
            <w:tcW w:w="50" w:type="pct"/>
            <w:vAlign w:val="center"/>
            <w:hideMark/>
          </w:tcPr>
          <w:p w14:paraId="4C95910D" w14:textId="77777777" w:rsidR="00000000" w:rsidRDefault="00405D16">
            <w:pPr>
              <w:spacing w:after="100"/>
              <w:rPr>
                <w:rFonts w:eastAsia="Times New Roman"/>
                <w:sz w:val="20"/>
                <w:szCs w:val="20"/>
              </w:rPr>
            </w:pPr>
          </w:p>
        </w:tc>
        <w:tc>
          <w:tcPr>
            <w:tcW w:w="1614" w:type="pct"/>
            <w:vAlign w:val="center"/>
            <w:hideMark/>
          </w:tcPr>
          <w:p w14:paraId="20EA7D16" w14:textId="77777777" w:rsidR="00000000" w:rsidRDefault="00405D16">
            <w:pPr>
              <w:spacing w:after="100"/>
              <w:rPr>
                <w:rFonts w:eastAsia="Times New Roman"/>
                <w:sz w:val="20"/>
                <w:szCs w:val="20"/>
              </w:rPr>
            </w:pPr>
          </w:p>
        </w:tc>
        <w:tc>
          <w:tcPr>
            <w:tcW w:w="5" w:type="pct"/>
            <w:vAlign w:val="center"/>
            <w:hideMark/>
          </w:tcPr>
          <w:p w14:paraId="5ECD74E8" w14:textId="77777777" w:rsidR="00000000" w:rsidRDefault="00405D16">
            <w:pPr>
              <w:spacing w:after="100"/>
              <w:rPr>
                <w:rFonts w:eastAsia="Times New Roman"/>
                <w:sz w:val="20"/>
                <w:szCs w:val="20"/>
              </w:rPr>
            </w:pPr>
          </w:p>
        </w:tc>
      </w:tr>
      <w:tr w:rsidR="00000000" w14:paraId="0832079B" w14:textId="77777777">
        <w:trPr>
          <w:divId w:val="1497725918"/>
          <w:trHeight w:val="300"/>
          <w:jc w:val="center"/>
        </w:trPr>
        <w:tc>
          <w:tcPr>
            <w:tcW w:w="0" w:type="auto"/>
            <w:gridSpan w:val="9"/>
            <w:tcMar>
              <w:top w:w="0" w:type="dxa"/>
              <w:left w:w="20" w:type="dxa"/>
              <w:bottom w:w="0" w:type="dxa"/>
              <w:right w:w="20" w:type="dxa"/>
            </w:tcMar>
            <w:vAlign w:val="center"/>
            <w:hideMark/>
          </w:tcPr>
          <w:p w14:paraId="366CD4F2" w14:textId="77777777" w:rsidR="00000000" w:rsidRDefault="00405D16">
            <w:pPr>
              <w:spacing w:after="100"/>
              <w:rPr>
                <w:rFonts w:eastAsia="Times New Roman"/>
                <w:sz w:val="20"/>
                <w:szCs w:val="20"/>
              </w:rPr>
            </w:pPr>
          </w:p>
        </w:tc>
      </w:tr>
      <w:tr w:rsidR="00000000" w14:paraId="2430FF7D" w14:textId="77777777">
        <w:trPr>
          <w:divId w:val="1497725918"/>
          <w:jc w:val="center"/>
        </w:trPr>
        <w:tc>
          <w:tcPr>
            <w:tcW w:w="0" w:type="auto"/>
            <w:gridSpan w:val="3"/>
            <w:tcMar>
              <w:top w:w="0" w:type="dxa"/>
              <w:left w:w="20" w:type="dxa"/>
              <w:bottom w:w="0" w:type="dxa"/>
              <w:right w:w="20" w:type="dxa"/>
            </w:tcMar>
            <w:vAlign w:val="center"/>
            <w:hideMark/>
          </w:tcPr>
          <w:p w14:paraId="025A87ED"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61D2E91" w14:textId="77777777" w:rsidR="00000000" w:rsidRDefault="00405D16">
            <w:pPr>
              <w:spacing w:after="100"/>
              <w:jc w:val="center"/>
              <w:rPr>
                <w:rFonts w:eastAsia="Times New Roman"/>
              </w:rPr>
            </w:pPr>
            <w:r>
              <w:rPr>
                <w:rFonts w:eastAsia="Times New Roman"/>
                <w:color w:val="000000"/>
                <w:sz w:val="16"/>
                <w:szCs w:val="16"/>
              </w:rPr>
              <w:t>59</w:t>
            </w:r>
          </w:p>
        </w:tc>
        <w:tc>
          <w:tcPr>
            <w:tcW w:w="0" w:type="auto"/>
            <w:gridSpan w:val="3"/>
            <w:tcMar>
              <w:top w:w="30" w:type="dxa"/>
              <w:left w:w="20" w:type="dxa"/>
              <w:bottom w:w="30" w:type="dxa"/>
              <w:right w:w="20" w:type="dxa"/>
            </w:tcMar>
            <w:vAlign w:val="bottom"/>
            <w:hideMark/>
          </w:tcPr>
          <w:p w14:paraId="0890559C"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06C632A2" w14:textId="77777777" w:rsidR="00000000" w:rsidRDefault="00405D16">
      <w:pPr>
        <w:rPr>
          <w:rFonts w:eastAsia="Times New Roman"/>
        </w:rPr>
      </w:pPr>
      <w:r>
        <w:rPr>
          <w:rFonts w:eastAsia="Times New Roman"/>
        </w:rPr>
        <w:pict w14:anchorId="018891F8">
          <v:rect id="_x0000_i1084" style="width:0;height:1.5pt" o:hralign="center" o:hrstd="t" o:hr="t" fillcolor="#a0a0a0" stroked="f"/>
        </w:pict>
      </w:r>
    </w:p>
    <w:p w14:paraId="7C912A9E" w14:textId="77777777" w:rsidR="00000000" w:rsidRDefault="00405D16">
      <w:pPr>
        <w:ind w:hanging="360"/>
        <w:jc w:val="both"/>
        <w:divId w:val="1594050323"/>
        <w:rPr>
          <w:rFonts w:eastAsia="Times New Roman"/>
        </w:rPr>
      </w:pPr>
      <w:hyperlink w:anchor="idd54a04a485440b4ab4e56094c14d612_13" w:history="1">
        <w:r>
          <w:rPr>
            <w:rStyle w:val="a3"/>
            <w:rFonts w:eastAsia="Times New Roman"/>
            <w:sz w:val="16"/>
            <w:szCs w:val="16"/>
          </w:rPr>
          <w:t>Table of Contents</w:t>
        </w:r>
      </w:hyperlink>
    </w:p>
    <w:p w14:paraId="681CF152" w14:textId="77777777" w:rsidR="00000000" w:rsidRDefault="00405D16">
      <w:pPr>
        <w:ind w:hanging="360"/>
        <w:jc w:val="both"/>
        <w:divId w:val="471168391"/>
        <w:rPr>
          <w:rFonts w:eastAsia="Times New Roman"/>
        </w:rPr>
      </w:pPr>
      <w:r>
        <w:rPr>
          <w:rFonts w:eastAsia="Times New Roman"/>
          <w:color w:val="000000"/>
          <w:sz w:val="20"/>
          <w:szCs w:val="20"/>
          <w:shd w:val="clear" w:color="auto" w:fill="FFFFFF"/>
        </w:rPr>
        <w:t>•developments, changes or actions relating to any litigation, governmental investigation or regulatory enforcement action or matter involving u</w:t>
      </w:r>
      <w:r>
        <w:rPr>
          <w:rFonts w:eastAsia="Times New Roman"/>
          <w:color w:val="000000"/>
          <w:sz w:val="20"/>
          <w:szCs w:val="20"/>
          <w:shd w:val="clear" w:color="auto" w:fill="FFFFFF"/>
        </w:rPr>
        <w:t>s;</w:t>
      </w:r>
    </w:p>
    <w:p w14:paraId="3962D5CB" w14:textId="77777777" w:rsidR="00000000" w:rsidRDefault="00405D16">
      <w:pPr>
        <w:ind w:hanging="360"/>
        <w:jc w:val="both"/>
        <w:divId w:val="1552493352"/>
        <w:rPr>
          <w:rFonts w:eastAsia="Times New Roman"/>
        </w:rPr>
      </w:pPr>
      <w:r>
        <w:rPr>
          <w:rFonts w:eastAsia="Times New Roman"/>
          <w:color w:val="000000"/>
          <w:sz w:val="20"/>
          <w:szCs w:val="20"/>
          <w:shd w:val="clear" w:color="auto" w:fill="FFFFFF"/>
        </w:rPr>
        <w:t>•the amount and rate of deposit growth and changes in deposit costs;</w:t>
      </w:r>
    </w:p>
    <w:p w14:paraId="1FB0A204" w14:textId="77777777" w:rsidR="00000000" w:rsidRDefault="00405D16">
      <w:pPr>
        <w:ind w:hanging="360"/>
        <w:jc w:val="both"/>
        <w:divId w:val="564146158"/>
        <w:rPr>
          <w:rFonts w:eastAsia="Times New Roman"/>
        </w:rPr>
      </w:pPr>
      <w:r>
        <w:rPr>
          <w:rFonts w:eastAsia="Times New Roman"/>
          <w:color w:val="000000"/>
          <w:sz w:val="20"/>
          <w:szCs w:val="20"/>
          <w:shd w:val="clear" w:color="auto" w:fill="FFFFFF"/>
        </w:rPr>
        <w:t>•our ability to execute on our strategic and operational plans;</w:t>
      </w:r>
    </w:p>
    <w:p w14:paraId="5644420D" w14:textId="77777777" w:rsidR="00000000" w:rsidRDefault="00405D16">
      <w:pPr>
        <w:ind w:hanging="360"/>
        <w:jc w:val="both"/>
        <w:divId w:val="1532374300"/>
        <w:rPr>
          <w:rFonts w:eastAsia="Times New Roman"/>
        </w:rPr>
      </w:pPr>
      <w:r>
        <w:rPr>
          <w:rFonts w:eastAsia="Times New Roman"/>
          <w:color w:val="000000"/>
          <w:sz w:val="20"/>
          <w:szCs w:val="20"/>
          <w:shd w:val="clear" w:color="auto" w:fill="FFFFFF"/>
        </w:rPr>
        <w:t>•our response to competitive pressures;</w:t>
      </w:r>
    </w:p>
    <w:p w14:paraId="13A6DB52" w14:textId="77777777" w:rsidR="00000000" w:rsidRDefault="00405D16">
      <w:pPr>
        <w:ind w:hanging="360"/>
        <w:jc w:val="both"/>
        <w:divId w:val="745346795"/>
        <w:rPr>
          <w:rFonts w:eastAsia="Times New Roman"/>
        </w:rPr>
      </w:pPr>
      <w:r>
        <w:rPr>
          <w:rFonts w:eastAsia="Times New Roman"/>
          <w:color w:val="000000"/>
          <w:sz w:val="20"/>
          <w:szCs w:val="20"/>
          <w:shd w:val="clear" w:color="auto" w:fill="FFFFFF"/>
        </w:rPr>
        <w:t>•our business, financial condition and results of operations may be adversely af</w:t>
      </w:r>
      <w:r>
        <w:rPr>
          <w:rFonts w:eastAsia="Times New Roman"/>
          <w:color w:val="000000"/>
          <w:sz w:val="20"/>
          <w:szCs w:val="20"/>
          <w:shd w:val="clear" w:color="auto" w:fill="FFFFFF"/>
        </w:rPr>
        <w:t>fected by merchants’ increasing focus on the fees charged by credit card networks and by legislation and regulation impacting such fees;</w:t>
      </w:r>
    </w:p>
    <w:p w14:paraId="0338902A" w14:textId="77777777" w:rsidR="00000000" w:rsidRDefault="00405D16">
      <w:pPr>
        <w:ind w:hanging="360"/>
        <w:jc w:val="both"/>
        <w:divId w:val="998851575"/>
        <w:rPr>
          <w:rFonts w:eastAsia="Times New Roman"/>
        </w:rPr>
      </w:pPr>
      <w:r>
        <w:rPr>
          <w:rFonts w:eastAsia="Times New Roman"/>
          <w:color w:val="000000"/>
          <w:sz w:val="20"/>
          <w:szCs w:val="20"/>
          <w:shd w:val="clear" w:color="auto" w:fill="FFFFFF"/>
        </w:rPr>
        <w:t>•our success in integrating acquired businesses and loan portfolios, and our ability to realize anticipated benefits fr</w:t>
      </w:r>
      <w:r>
        <w:rPr>
          <w:rFonts w:eastAsia="Times New Roman"/>
          <w:color w:val="000000"/>
          <w:sz w:val="20"/>
          <w:szCs w:val="20"/>
          <w:shd w:val="clear" w:color="auto" w:fill="FFFFFF"/>
        </w:rPr>
        <w:t>om announced transactions and strategic partnerships;</w:t>
      </w:r>
    </w:p>
    <w:p w14:paraId="2BFF57A7" w14:textId="77777777" w:rsidR="00000000" w:rsidRDefault="00405D16">
      <w:pPr>
        <w:ind w:hanging="360"/>
        <w:jc w:val="both"/>
        <w:divId w:val="1737121884"/>
        <w:rPr>
          <w:rFonts w:eastAsia="Times New Roman"/>
        </w:rPr>
      </w:pPr>
      <w:r>
        <w:rPr>
          <w:rFonts w:eastAsia="Times New Roman"/>
          <w:color w:val="000000"/>
          <w:sz w:val="20"/>
          <w:szCs w:val="20"/>
          <w:shd w:val="clear" w:color="auto" w:fill="FFFFFF"/>
        </w:rPr>
        <w:t>•our ability to maintain a compliance, operational, technology and organizational infrastructure suitable for the nature of our business;</w:t>
      </w:r>
    </w:p>
    <w:p w14:paraId="7DD26494" w14:textId="77777777" w:rsidR="00000000" w:rsidRDefault="00405D16">
      <w:pPr>
        <w:ind w:hanging="360"/>
        <w:jc w:val="both"/>
        <w:divId w:val="1618025694"/>
        <w:rPr>
          <w:rFonts w:eastAsia="Times New Roman"/>
        </w:rPr>
      </w:pPr>
      <w:r>
        <w:rPr>
          <w:rFonts w:eastAsia="Times New Roman"/>
          <w:color w:val="000000"/>
          <w:sz w:val="20"/>
          <w:szCs w:val="20"/>
          <w:shd w:val="clear" w:color="auto" w:fill="FFFFFF"/>
        </w:rPr>
        <w:t>•the success of our marketing efforts in attracting and retainin</w:t>
      </w:r>
      <w:r>
        <w:rPr>
          <w:rFonts w:eastAsia="Times New Roman"/>
          <w:color w:val="000000"/>
          <w:sz w:val="20"/>
          <w:szCs w:val="20"/>
          <w:shd w:val="clear" w:color="auto" w:fill="FFFFFF"/>
        </w:rPr>
        <w:t>g customers;</w:t>
      </w:r>
    </w:p>
    <w:p w14:paraId="0B697A7B" w14:textId="77777777" w:rsidR="00000000" w:rsidRDefault="00405D16">
      <w:pPr>
        <w:ind w:hanging="360"/>
        <w:jc w:val="both"/>
        <w:divId w:val="246112821"/>
        <w:rPr>
          <w:rFonts w:eastAsia="Times New Roman"/>
        </w:rPr>
      </w:pPr>
      <w:r>
        <w:rPr>
          <w:rFonts w:eastAsia="Times New Roman"/>
          <w:color w:val="000000"/>
          <w:sz w:val="20"/>
          <w:szCs w:val="20"/>
          <w:shd w:val="clear" w:color="auto" w:fill="FFFFFF"/>
        </w:rPr>
        <w:t>•our risk management strategies;</w:t>
      </w:r>
    </w:p>
    <w:p w14:paraId="688C65C5" w14:textId="77777777" w:rsidR="00000000" w:rsidRDefault="00405D16">
      <w:pPr>
        <w:ind w:hanging="360"/>
        <w:jc w:val="both"/>
        <w:divId w:val="1102725227"/>
        <w:rPr>
          <w:rFonts w:eastAsia="Times New Roman"/>
        </w:rPr>
      </w:pPr>
      <w:r>
        <w:rPr>
          <w:rFonts w:eastAsia="Times New Roman"/>
          <w:color w:val="000000"/>
          <w:sz w:val="20"/>
          <w:szCs w:val="20"/>
          <w:shd w:val="clear" w:color="auto" w:fill="FFFFFF"/>
        </w:rPr>
        <w:t>•changes in the reputation of, or expectations regarding, the financial services industry or us with respect to practices, products or financial condition;</w:t>
      </w:r>
    </w:p>
    <w:p w14:paraId="6D293365" w14:textId="77777777" w:rsidR="00000000" w:rsidRDefault="00405D16">
      <w:pPr>
        <w:ind w:hanging="360"/>
        <w:jc w:val="both"/>
        <w:divId w:val="1460955865"/>
        <w:rPr>
          <w:rFonts w:eastAsia="Times New Roman"/>
        </w:rPr>
      </w:pPr>
      <w:r>
        <w:rPr>
          <w:rFonts w:eastAsia="Times New Roman"/>
          <w:color w:val="000000"/>
          <w:sz w:val="20"/>
          <w:szCs w:val="20"/>
          <w:shd w:val="clear" w:color="auto" w:fill="FFFFFF"/>
        </w:rPr>
        <w:t>•increases or decreases in interest rates and uncertai</w:t>
      </w:r>
      <w:r>
        <w:rPr>
          <w:rFonts w:eastAsia="Times New Roman"/>
          <w:color w:val="000000"/>
          <w:sz w:val="20"/>
          <w:szCs w:val="20"/>
          <w:shd w:val="clear" w:color="auto" w:fill="FFFFFF"/>
        </w:rPr>
        <w:t>nty with respect to the interest rate environment, including the possibility of a prolonged low-interest rate environment or of negative interest rates</w:t>
      </w:r>
      <w:r>
        <w:rPr>
          <w:rFonts w:eastAsia="Times New Roman"/>
          <w:color w:val="000000"/>
          <w:sz w:val="20"/>
          <w:szCs w:val="20"/>
          <w:shd w:val="clear" w:color="auto" w:fill="FFFFFF"/>
        </w:rPr>
        <w:t>;</w:t>
      </w:r>
    </w:p>
    <w:p w14:paraId="60A59B0E" w14:textId="77777777" w:rsidR="00000000" w:rsidRDefault="00405D16">
      <w:pPr>
        <w:ind w:hanging="360"/>
        <w:jc w:val="both"/>
        <w:divId w:val="827137368"/>
        <w:rPr>
          <w:rFonts w:eastAsia="Times New Roman"/>
        </w:rPr>
      </w:pPr>
      <w:r>
        <w:rPr>
          <w:rFonts w:eastAsia="Times New Roman"/>
          <w:color w:val="000000"/>
          <w:sz w:val="20"/>
          <w:szCs w:val="20"/>
          <w:shd w:val="clear" w:color="auto" w:fill="FFFFFF"/>
        </w:rPr>
        <w:t>•uncertainty regarding, and transition away from, the London Interbank Offered Rate;</w:t>
      </w:r>
    </w:p>
    <w:p w14:paraId="4C3A618B" w14:textId="77777777" w:rsidR="00000000" w:rsidRDefault="00405D16">
      <w:pPr>
        <w:ind w:hanging="360"/>
        <w:jc w:val="both"/>
        <w:divId w:val="1432316172"/>
        <w:rPr>
          <w:rFonts w:eastAsia="Times New Roman"/>
        </w:rPr>
      </w:pPr>
      <w:r>
        <w:rPr>
          <w:rFonts w:eastAsia="Times New Roman"/>
          <w:color w:val="000000"/>
          <w:sz w:val="20"/>
          <w:szCs w:val="20"/>
          <w:shd w:val="clear" w:color="auto" w:fill="FFFFFF"/>
        </w:rPr>
        <w:t>•our ability to at</w:t>
      </w:r>
      <w:r>
        <w:rPr>
          <w:rFonts w:eastAsia="Times New Roman"/>
          <w:color w:val="000000"/>
          <w:sz w:val="20"/>
          <w:szCs w:val="20"/>
          <w:shd w:val="clear" w:color="auto" w:fill="FFFFFF"/>
        </w:rPr>
        <w:t>tract, retain and motivate skilled employees;</w:t>
      </w:r>
    </w:p>
    <w:p w14:paraId="76BCFC31" w14:textId="77777777" w:rsidR="00000000" w:rsidRDefault="00405D16">
      <w:pPr>
        <w:ind w:hanging="360"/>
        <w:jc w:val="both"/>
        <w:divId w:val="119496779"/>
        <w:rPr>
          <w:rFonts w:eastAsia="Times New Roman"/>
        </w:rPr>
      </w:pPr>
      <w:r>
        <w:rPr>
          <w:rFonts w:eastAsia="Times New Roman"/>
          <w:color w:val="000000"/>
          <w:sz w:val="20"/>
          <w:szCs w:val="20"/>
          <w:shd w:val="clear" w:color="auto" w:fill="FFFFFF"/>
        </w:rPr>
        <w:t>•our assumptions or estimates in our financial statements;</w:t>
      </w:r>
    </w:p>
    <w:p w14:paraId="4B23D6D1" w14:textId="77777777" w:rsidR="00000000" w:rsidRDefault="00405D16">
      <w:pPr>
        <w:ind w:hanging="360"/>
        <w:jc w:val="both"/>
        <w:divId w:val="971249283"/>
        <w:rPr>
          <w:rFonts w:eastAsia="Times New Roman"/>
        </w:rPr>
      </w:pPr>
      <w:r>
        <w:rPr>
          <w:rFonts w:eastAsia="Times New Roman"/>
          <w:color w:val="000000"/>
          <w:sz w:val="20"/>
          <w:szCs w:val="20"/>
          <w:shd w:val="clear" w:color="auto" w:fill="FFFFFF"/>
        </w:rPr>
        <w:t>•limitations on our ability to receive dividends from our subsidiaries;</w:t>
      </w:r>
    </w:p>
    <w:p w14:paraId="38F4E2DF" w14:textId="77777777" w:rsidR="00000000" w:rsidRDefault="00405D16">
      <w:pPr>
        <w:ind w:hanging="360"/>
        <w:jc w:val="both"/>
        <w:divId w:val="526019092"/>
        <w:rPr>
          <w:rFonts w:eastAsia="Times New Roman"/>
        </w:rPr>
      </w:pPr>
      <w:r>
        <w:rPr>
          <w:rFonts w:eastAsia="Times New Roman"/>
          <w:color w:val="000000"/>
          <w:sz w:val="20"/>
          <w:szCs w:val="20"/>
          <w:shd w:val="clear" w:color="auto" w:fill="FFFFFF"/>
        </w:rPr>
        <w:t xml:space="preserve">•the soundness of other financial institutions and other third parties; and </w:t>
      </w:r>
    </w:p>
    <w:p w14:paraId="25B061C6" w14:textId="77777777" w:rsidR="00000000" w:rsidRDefault="00405D16">
      <w:pPr>
        <w:ind w:hanging="360"/>
        <w:jc w:val="both"/>
        <w:divId w:val="862016338"/>
        <w:rPr>
          <w:rFonts w:eastAsia="Times New Roman"/>
        </w:rPr>
      </w:pPr>
      <w:r>
        <w:rPr>
          <w:rFonts w:eastAsia="Times New Roman"/>
          <w:color w:val="000000"/>
          <w:sz w:val="20"/>
          <w:szCs w:val="20"/>
          <w:shd w:val="clear" w:color="auto" w:fill="FFFFFF"/>
        </w:rPr>
        <w:t>•o</w:t>
      </w:r>
      <w:r>
        <w:rPr>
          <w:rFonts w:eastAsia="Times New Roman"/>
          <w:color w:val="000000"/>
          <w:sz w:val="20"/>
          <w:szCs w:val="20"/>
          <w:shd w:val="clear" w:color="auto" w:fill="FFFFFF"/>
        </w:rPr>
        <w:t>ther risk factors identified from time to time in our public disclosures, including in the reports that we file with the SEC.</w:t>
      </w:r>
    </w:p>
    <w:p w14:paraId="7AA3BDD2" w14:textId="77777777" w:rsidR="00000000" w:rsidRDefault="00405D16">
      <w:pPr>
        <w:jc w:val="both"/>
        <w:divId w:val="301859324"/>
        <w:rPr>
          <w:rFonts w:eastAsia="Times New Roman"/>
        </w:rPr>
      </w:pPr>
      <w:r>
        <w:rPr>
          <w:rFonts w:eastAsia="Times New Roman"/>
          <w:color w:val="000000"/>
          <w:sz w:val="20"/>
          <w:szCs w:val="20"/>
          <w:shd w:val="clear" w:color="auto" w:fill="FFFFFF"/>
        </w:rPr>
        <w:t>We expect that the effects of the COVID-19 pandemic will heighten the risks associated with many of these factors.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4379E728" w14:textId="77777777">
        <w:trPr>
          <w:divId w:val="878125208"/>
          <w:jc w:val="center"/>
        </w:trPr>
        <w:tc>
          <w:tcPr>
            <w:tcW w:w="50" w:type="pct"/>
            <w:vAlign w:val="center"/>
            <w:hideMark/>
          </w:tcPr>
          <w:p w14:paraId="76B619C5" w14:textId="77777777" w:rsidR="00000000" w:rsidRDefault="00405D16">
            <w:pPr>
              <w:jc w:val="both"/>
              <w:rPr>
                <w:rFonts w:eastAsia="Times New Roman"/>
              </w:rPr>
            </w:pPr>
          </w:p>
        </w:tc>
        <w:tc>
          <w:tcPr>
            <w:tcW w:w="1606" w:type="pct"/>
            <w:vAlign w:val="center"/>
            <w:hideMark/>
          </w:tcPr>
          <w:p w14:paraId="43079DC4" w14:textId="77777777" w:rsidR="00000000" w:rsidRDefault="00405D16">
            <w:pPr>
              <w:spacing w:after="100"/>
              <w:rPr>
                <w:rFonts w:eastAsia="Times New Roman"/>
                <w:sz w:val="20"/>
                <w:szCs w:val="20"/>
              </w:rPr>
            </w:pPr>
          </w:p>
        </w:tc>
        <w:tc>
          <w:tcPr>
            <w:tcW w:w="5" w:type="pct"/>
            <w:vAlign w:val="center"/>
            <w:hideMark/>
          </w:tcPr>
          <w:p w14:paraId="163C4425" w14:textId="77777777" w:rsidR="00000000" w:rsidRDefault="00405D16">
            <w:pPr>
              <w:spacing w:after="100"/>
              <w:rPr>
                <w:rFonts w:eastAsia="Times New Roman"/>
                <w:sz w:val="20"/>
                <w:szCs w:val="20"/>
              </w:rPr>
            </w:pPr>
          </w:p>
        </w:tc>
        <w:tc>
          <w:tcPr>
            <w:tcW w:w="50" w:type="pct"/>
            <w:vAlign w:val="center"/>
            <w:hideMark/>
          </w:tcPr>
          <w:p w14:paraId="210EEE0D" w14:textId="77777777" w:rsidR="00000000" w:rsidRDefault="00405D16">
            <w:pPr>
              <w:spacing w:after="100"/>
              <w:rPr>
                <w:rFonts w:eastAsia="Times New Roman"/>
                <w:sz w:val="20"/>
                <w:szCs w:val="20"/>
              </w:rPr>
            </w:pPr>
          </w:p>
        </w:tc>
        <w:tc>
          <w:tcPr>
            <w:tcW w:w="1614" w:type="pct"/>
            <w:vAlign w:val="center"/>
            <w:hideMark/>
          </w:tcPr>
          <w:p w14:paraId="54CF1B73" w14:textId="77777777" w:rsidR="00000000" w:rsidRDefault="00405D16">
            <w:pPr>
              <w:spacing w:after="100"/>
              <w:rPr>
                <w:rFonts w:eastAsia="Times New Roman"/>
                <w:sz w:val="20"/>
                <w:szCs w:val="20"/>
              </w:rPr>
            </w:pPr>
          </w:p>
        </w:tc>
        <w:tc>
          <w:tcPr>
            <w:tcW w:w="5" w:type="pct"/>
            <w:vAlign w:val="center"/>
            <w:hideMark/>
          </w:tcPr>
          <w:p w14:paraId="285CE37F" w14:textId="77777777" w:rsidR="00000000" w:rsidRDefault="00405D16">
            <w:pPr>
              <w:spacing w:after="100"/>
              <w:rPr>
                <w:rFonts w:eastAsia="Times New Roman"/>
                <w:sz w:val="20"/>
                <w:szCs w:val="20"/>
              </w:rPr>
            </w:pPr>
          </w:p>
        </w:tc>
        <w:tc>
          <w:tcPr>
            <w:tcW w:w="50" w:type="pct"/>
            <w:vAlign w:val="center"/>
            <w:hideMark/>
          </w:tcPr>
          <w:p w14:paraId="0E903503" w14:textId="77777777" w:rsidR="00000000" w:rsidRDefault="00405D16">
            <w:pPr>
              <w:spacing w:after="100"/>
              <w:rPr>
                <w:rFonts w:eastAsia="Times New Roman"/>
                <w:sz w:val="20"/>
                <w:szCs w:val="20"/>
              </w:rPr>
            </w:pPr>
          </w:p>
        </w:tc>
        <w:tc>
          <w:tcPr>
            <w:tcW w:w="1614" w:type="pct"/>
            <w:vAlign w:val="center"/>
            <w:hideMark/>
          </w:tcPr>
          <w:p w14:paraId="4D4E7E91" w14:textId="77777777" w:rsidR="00000000" w:rsidRDefault="00405D16">
            <w:pPr>
              <w:spacing w:after="100"/>
              <w:rPr>
                <w:rFonts w:eastAsia="Times New Roman"/>
                <w:sz w:val="20"/>
                <w:szCs w:val="20"/>
              </w:rPr>
            </w:pPr>
          </w:p>
        </w:tc>
        <w:tc>
          <w:tcPr>
            <w:tcW w:w="5" w:type="pct"/>
            <w:vAlign w:val="center"/>
            <w:hideMark/>
          </w:tcPr>
          <w:p w14:paraId="575A6FA5" w14:textId="77777777" w:rsidR="00000000" w:rsidRDefault="00405D16">
            <w:pPr>
              <w:spacing w:after="100"/>
              <w:rPr>
                <w:rFonts w:eastAsia="Times New Roman"/>
                <w:sz w:val="20"/>
                <w:szCs w:val="20"/>
              </w:rPr>
            </w:pPr>
          </w:p>
        </w:tc>
      </w:tr>
      <w:tr w:rsidR="00000000" w14:paraId="0E84795D" w14:textId="77777777">
        <w:trPr>
          <w:divId w:val="878125208"/>
          <w:trHeight w:val="300"/>
          <w:jc w:val="center"/>
        </w:trPr>
        <w:tc>
          <w:tcPr>
            <w:tcW w:w="0" w:type="auto"/>
            <w:gridSpan w:val="9"/>
            <w:tcMar>
              <w:top w:w="0" w:type="dxa"/>
              <w:left w:w="20" w:type="dxa"/>
              <w:bottom w:w="0" w:type="dxa"/>
              <w:right w:w="20" w:type="dxa"/>
            </w:tcMar>
            <w:vAlign w:val="center"/>
            <w:hideMark/>
          </w:tcPr>
          <w:p w14:paraId="36A5B7AF" w14:textId="77777777" w:rsidR="00000000" w:rsidRDefault="00405D16">
            <w:pPr>
              <w:spacing w:after="100"/>
              <w:rPr>
                <w:rFonts w:eastAsia="Times New Roman"/>
                <w:sz w:val="20"/>
                <w:szCs w:val="20"/>
              </w:rPr>
            </w:pPr>
          </w:p>
        </w:tc>
      </w:tr>
      <w:tr w:rsidR="00000000" w14:paraId="7B8CD28C" w14:textId="77777777">
        <w:trPr>
          <w:divId w:val="878125208"/>
          <w:jc w:val="center"/>
        </w:trPr>
        <w:tc>
          <w:tcPr>
            <w:tcW w:w="0" w:type="auto"/>
            <w:gridSpan w:val="3"/>
            <w:tcMar>
              <w:top w:w="0" w:type="dxa"/>
              <w:left w:w="20" w:type="dxa"/>
              <w:bottom w:w="0" w:type="dxa"/>
              <w:right w:w="20" w:type="dxa"/>
            </w:tcMar>
            <w:vAlign w:val="center"/>
            <w:hideMark/>
          </w:tcPr>
          <w:p w14:paraId="0B308E86"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0D864D3" w14:textId="77777777" w:rsidR="00000000" w:rsidRDefault="00405D16">
            <w:pPr>
              <w:spacing w:after="100"/>
              <w:jc w:val="center"/>
              <w:rPr>
                <w:rFonts w:eastAsia="Times New Roman"/>
              </w:rPr>
            </w:pPr>
            <w:r>
              <w:rPr>
                <w:rFonts w:eastAsia="Times New Roman"/>
                <w:color w:val="000000"/>
                <w:sz w:val="16"/>
                <w:szCs w:val="16"/>
              </w:rPr>
              <w:t>60</w:t>
            </w:r>
          </w:p>
        </w:tc>
        <w:tc>
          <w:tcPr>
            <w:tcW w:w="0" w:type="auto"/>
            <w:gridSpan w:val="3"/>
            <w:tcMar>
              <w:top w:w="30" w:type="dxa"/>
              <w:left w:w="20" w:type="dxa"/>
              <w:bottom w:w="30" w:type="dxa"/>
              <w:right w:w="20" w:type="dxa"/>
            </w:tcMar>
            <w:vAlign w:val="bottom"/>
            <w:hideMark/>
          </w:tcPr>
          <w:p w14:paraId="68A0CAB1"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6476346D" w14:textId="77777777" w:rsidR="00000000" w:rsidRDefault="00405D16">
      <w:pPr>
        <w:rPr>
          <w:rFonts w:eastAsia="Times New Roman"/>
        </w:rPr>
      </w:pPr>
      <w:r>
        <w:rPr>
          <w:rFonts w:eastAsia="Times New Roman"/>
        </w:rPr>
        <w:pict w14:anchorId="6F549AE7">
          <v:rect id="_x0000_i1085" style="width:0;height:1.5pt" o:hralign="center" o:hrstd="t" o:hr="t" fillcolor="#a0a0a0" stroked="f"/>
        </w:pict>
      </w:r>
    </w:p>
    <w:p w14:paraId="25C62546" w14:textId="77777777" w:rsidR="00000000" w:rsidRDefault="00405D16">
      <w:pPr>
        <w:ind w:hanging="360"/>
        <w:jc w:val="both"/>
        <w:divId w:val="1939865707"/>
        <w:rPr>
          <w:rFonts w:eastAsia="Times New Roman"/>
        </w:rPr>
      </w:pPr>
      <w:hyperlink w:anchor="idd54a04a485440b4ab4e56094c14d612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7864771A" w14:textId="77777777">
        <w:trPr>
          <w:divId w:val="1755861579"/>
        </w:trPr>
        <w:tc>
          <w:tcPr>
            <w:tcW w:w="50" w:type="pct"/>
            <w:vAlign w:val="center"/>
            <w:hideMark/>
          </w:tcPr>
          <w:p w14:paraId="3D90A295" w14:textId="77777777" w:rsidR="00000000" w:rsidRDefault="00405D16">
            <w:pPr>
              <w:ind w:hanging="360"/>
              <w:jc w:val="both"/>
              <w:rPr>
                <w:rFonts w:eastAsia="Times New Roman"/>
              </w:rPr>
            </w:pPr>
          </w:p>
        </w:tc>
        <w:tc>
          <w:tcPr>
            <w:tcW w:w="4945" w:type="pct"/>
            <w:vAlign w:val="center"/>
            <w:hideMark/>
          </w:tcPr>
          <w:p w14:paraId="70B9F1C9" w14:textId="77777777" w:rsidR="00000000" w:rsidRDefault="00405D16">
            <w:pPr>
              <w:spacing w:after="100"/>
              <w:rPr>
                <w:rFonts w:eastAsia="Times New Roman"/>
                <w:sz w:val="20"/>
                <w:szCs w:val="20"/>
              </w:rPr>
            </w:pPr>
          </w:p>
        </w:tc>
        <w:tc>
          <w:tcPr>
            <w:tcW w:w="5" w:type="pct"/>
            <w:vAlign w:val="center"/>
            <w:hideMark/>
          </w:tcPr>
          <w:p w14:paraId="287DAD0C" w14:textId="77777777" w:rsidR="00000000" w:rsidRDefault="00405D16">
            <w:pPr>
              <w:spacing w:after="100"/>
              <w:rPr>
                <w:rFonts w:eastAsia="Times New Roman"/>
                <w:sz w:val="20"/>
                <w:szCs w:val="20"/>
              </w:rPr>
            </w:pPr>
          </w:p>
        </w:tc>
      </w:tr>
      <w:tr w:rsidR="00000000" w14:paraId="6EFD66DF" w14:textId="77777777">
        <w:trPr>
          <w:divId w:val="1755861579"/>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413A272B" w14:textId="77777777" w:rsidR="00000000" w:rsidRDefault="00405D16">
            <w:pPr>
              <w:spacing w:after="100"/>
              <w:rPr>
                <w:rFonts w:eastAsia="Times New Roman"/>
              </w:rPr>
            </w:pPr>
            <w:r>
              <w:rPr>
                <w:rFonts w:eastAsia="Times New Roman"/>
                <w:b/>
                <w:bCs/>
                <w:color w:val="000000"/>
                <w:sz w:val="20"/>
                <w:szCs w:val="20"/>
              </w:rPr>
              <w:t>SUPPLEMENTAL TABLE</w:t>
            </w:r>
          </w:p>
        </w:tc>
      </w:tr>
    </w:tbl>
    <w:p w14:paraId="0A607971" w14:textId="77777777" w:rsidR="00000000" w:rsidRDefault="00405D16">
      <w:pPr>
        <w:divId w:val="859780025"/>
        <w:rPr>
          <w:rFonts w:eastAsia="Times New Roman"/>
        </w:rPr>
      </w:pPr>
      <w:r>
        <w:rPr>
          <w:rFonts w:eastAsia="Times New Roman"/>
          <w:b/>
          <w:bCs/>
          <w:color w:val="000000"/>
          <w:sz w:val="20"/>
          <w:szCs w:val="20"/>
        </w:rPr>
        <w:t>Reconciliation of Non-GAAP Measures</w:t>
      </w:r>
    </w:p>
    <w:p w14:paraId="321FA46A" w14:textId="77777777" w:rsidR="00000000" w:rsidRDefault="00405D16">
      <w:pPr>
        <w:jc w:val="both"/>
        <w:divId w:val="1398551630"/>
        <w:rPr>
          <w:rFonts w:eastAsia="Times New Roman"/>
        </w:rPr>
      </w:pPr>
      <w:r>
        <w:rPr>
          <w:rFonts w:eastAsia="Times New Roman"/>
          <w:color w:val="000000"/>
          <w:sz w:val="20"/>
          <w:szCs w:val="20"/>
        </w:rPr>
        <w:t xml:space="preserve">The following non-GAAP measures consist of TCE, tangible assets and metrics computed using these amounts, which include tangible book value per common share, return on average tangible assets, return on average TCE and TCE ratio. We consider these metrics </w:t>
      </w:r>
      <w:r>
        <w:rPr>
          <w:rFonts w:eastAsia="Times New Roman"/>
          <w:color w:val="000000"/>
          <w:sz w:val="20"/>
          <w:szCs w:val="20"/>
        </w:rPr>
        <w:t>to be key financial performance measures that management uses in assessing capital adequacy and the level of returns generated. While these non-GAAP measures are widely used by investors, analysts and bank regulatory agencies to assess the capital position</w:t>
      </w:r>
      <w:r>
        <w:rPr>
          <w:rFonts w:eastAsia="Times New Roman"/>
          <w:color w:val="000000"/>
          <w:sz w:val="20"/>
          <w:szCs w:val="20"/>
        </w:rPr>
        <w:t xml:space="preserve"> of financial services companies, they may not be comparable to similarly-titled measures reported by other companies. The following table presents reconciliations of these non-GAAP measures to the applicable amounts measured in accordance with GAAP.</w:t>
      </w:r>
    </w:p>
    <w:p w14:paraId="02F3517A" w14:textId="77777777" w:rsidR="00000000" w:rsidRDefault="00405D16">
      <w:pPr>
        <w:divId w:val="948388142"/>
        <w:rPr>
          <w:rFonts w:eastAsia="Times New Roman"/>
        </w:rPr>
      </w:pPr>
      <w:r>
        <w:rPr>
          <w:rFonts w:eastAsia="Times New Roman"/>
          <w:b/>
          <w:bCs/>
          <w:color w:val="000000"/>
          <w:sz w:val="18"/>
          <w:szCs w:val="18"/>
        </w:rPr>
        <w:t>Table</w:t>
      </w:r>
      <w:r>
        <w:rPr>
          <w:rFonts w:eastAsia="Times New Roman"/>
          <w:b/>
          <w:bCs/>
          <w:color w:val="000000"/>
          <w:sz w:val="18"/>
          <w:szCs w:val="18"/>
        </w:rPr>
        <w:t xml:space="preserve"> A—Reconciliation of Non-GAAP Measures</w:t>
      </w:r>
    </w:p>
    <w:tbl>
      <w:tblPr>
        <w:tblW w:w="5000" w:type="pct"/>
        <w:tblCellMar>
          <w:top w:w="15" w:type="dxa"/>
          <w:left w:w="15" w:type="dxa"/>
          <w:bottom w:w="15" w:type="dxa"/>
          <w:right w:w="15" w:type="dxa"/>
        </w:tblCellMar>
        <w:tblLook w:val="04A0" w:firstRow="1" w:lastRow="0" w:firstColumn="1" w:lastColumn="0" w:noHBand="0" w:noVBand="1"/>
      </w:tblPr>
      <w:tblGrid>
        <w:gridCol w:w="40"/>
        <w:gridCol w:w="5399"/>
        <w:gridCol w:w="39"/>
        <w:gridCol w:w="36"/>
        <w:gridCol w:w="36"/>
        <w:gridCol w:w="36"/>
        <w:gridCol w:w="110"/>
        <w:gridCol w:w="903"/>
        <w:gridCol w:w="200"/>
        <w:gridCol w:w="36"/>
        <w:gridCol w:w="36"/>
        <w:gridCol w:w="36"/>
        <w:gridCol w:w="110"/>
        <w:gridCol w:w="903"/>
        <w:gridCol w:w="170"/>
        <w:gridCol w:w="36"/>
        <w:gridCol w:w="36"/>
        <w:gridCol w:w="36"/>
        <w:gridCol w:w="36"/>
        <w:gridCol w:w="36"/>
        <w:gridCol w:w="36"/>
      </w:tblGrid>
      <w:tr w:rsidR="00000000" w14:paraId="0F456E03" w14:textId="77777777">
        <w:trPr>
          <w:divId w:val="2323753"/>
        </w:trPr>
        <w:tc>
          <w:tcPr>
            <w:tcW w:w="50" w:type="pct"/>
            <w:vAlign w:val="center"/>
            <w:hideMark/>
          </w:tcPr>
          <w:p w14:paraId="4B895610" w14:textId="77777777" w:rsidR="00000000" w:rsidRDefault="00405D16">
            <w:pPr>
              <w:rPr>
                <w:rFonts w:eastAsia="Times New Roman"/>
              </w:rPr>
            </w:pPr>
          </w:p>
        </w:tc>
        <w:tc>
          <w:tcPr>
            <w:tcW w:w="3424" w:type="pct"/>
            <w:vAlign w:val="center"/>
            <w:hideMark/>
          </w:tcPr>
          <w:p w14:paraId="6EB78C1D" w14:textId="77777777" w:rsidR="00000000" w:rsidRDefault="00405D16">
            <w:pPr>
              <w:spacing w:after="100"/>
              <w:rPr>
                <w:rFonts w:eastAsia="Times New Roman"/>
                <w:sz w:val="20"/>
                <w:szCs w:val="20"/>
              </w:rPr>
            </w:pPr>
          </w:p>
        </w:tc>
        <w:tc>
          <w:tcPr>
            <w:tcW w:w="5" w:type="pct"/>
            <w:vAlign w:val="center"/>
            <w:hideMark/>
          </w:tcPr>
          <w:p w14:paraId="12871F63" w14:textId="77777777" w:rsidR="00000000" w:rsidRDefault="00405D16">
            <w:pPr>
              <w:spacing w:after="100"/>
              <w:rPr>
                <w:rFonts w:eastAsia="Times New Roman"/>
                <w:sz w:val="20"/>
                <w:szCs w:val="20"/>
              </w:rPr>
            </w:pPr>
          </w:p>
        </w:tc>
        <w:tc>
          <w:tcPr>
            <w:tcW w:w="5" w:type="pct"/>
            <w:vAlign w:val="center"/>
            <w:hideMark/>
          </w:tcPr>
          <w:p w14:paraId="64CBCD56" w14:textId="77777777" w:rsidR="00000000" w:rsidRDefault="00405D16">
            <w:pPr>
              <w:spacing w:after="100"/>
              <w:rPr>
                <w:rFonts w:eastAsia="Times New Roman"/>
                <w:sz w:val="20"/>
                <w:szCs w:val="20"/>
              </w:rPr>
            </w:pPr>
          </w:p>
        </w:tc>
        <w:tc>
          <w:tcPr>
            <w:tcW w:w="26" w:type="pct"/>
            <w:vAlign w:val="center"/>
            <w:hideMark/>
          </w:tcPr>
          <w:p w14:paraId="79915B2B" w14:textId="77777777" w:rsidR="00000000" w:rsidRDefault="00405D16">
            <w:pPr>
              <w:spacing w:after="100"/>
              <w:rPr>
                <w:rFonts w:eastAsia="Times New Roman"/>
                <w:sz w:val="20"/>
                <w:szCs w:val="20"/>
              </w:rPr>
            </w:pPr>
          </w:p>
        </w:tc>
        <w:tc>
          <w:tcPr>
            <w:tcW w:w="5" w:type="pct"/>
            <w:vAlign w:val="center"/>
            <w:hideMark/>
          </w:tcPr>
          <w:p w14:paraId="58637549" w14:textId="77777777" w:rsidR="00000000" w:rsidRDefault="00405D16">
            <w:pPr>
              <w:spacing w:after="100"/>
              <w:rPr>
                <w:rFonts w:eastAsia="Times New Roman"/>
                <w:sz w:val="20"/>
                <w:szCs w:val="20"/>
              </w:rPr>
            </w:pPr>
          </w:p>
        </w:tc>
        <w:tc>
          <w:tcPr>
            <w:tcW w:w="50" w:type="pct"/>
            <w:vAlign w:val="center"/>
            <w:hideMark/>
          </w:tcPr>
          <w:p w14:paraId="7A974450" w14:textId="77777777" w:rsidR="00000000" w:rsidRDefault="00405D16">
            <w:pPr>
              <w:spacing w:after="100"/>
              <w:rPr>
                <w:rFonts w:eastAsia="Times New Roman"/>
                <w:sz w:val="20"/>
                <w:szCs w:val="20"/>
              </w:rPr>
            </w:pPr>
          </w:p>
        </w:tc>
        <w:tc>
          <w:tcPr>
            <w:tcW w:w="668" w:type="pct"/>
            <w:vAlign w:val="center"/>
            <w:hideMark/>
          </w:tcPr>
          <w:p w14:paraId="1824A641" w14:textId="77777777" w:rsidR="00000000" w:rsidRDefault="00405D16">
            <w:pPr>
              <w:spacing w:after="100"/>
              <w:rPr>
                <w:rFonts w:eastAsia="Times New Roman"/>
                <w:sz w:val="20"/>
                <w:szCs w:val="20"/>
              </w:rPr>
            </w:pPr>
          </w:p>
        </w:tc>
        <w:tc>
          <w:tcPr>
            <w:tcW w:w="5" w:type="pct"/>
            <w:vAlign w:val="center"/>
            <w:hideMark/>
          </w:tcPr>
          <w:p w14:paraId="510AC263" w14:textId="77777777" w:rsidR="00000000" w:rsidRDefault="00405D16">
            <w:pPr>
              <w:spacing w:after="100"/>
              <w:rPr>
                <w:rFonts w:eastAsia="Times New Roman"/>
                <w:sz w:val="20"/>
                <w:szCs w:val="20"/>
              </w:rPr>
            </w:pPr>
          </w:p>
        </w:tc>
        <w:tc>
          <w:tcPr>
            <w:tcW w:w="5" w:type="pct"/>
            <w:vAlign w:val="center"/>
            <w:hideMark/>
          </w:tcPr>
          <w:p w14:paraId="24D02157" w14:textId="77777777" w:rsidR="00000000" w:rsidRDefault="00405D16">
            <w:pPr>
              <w:spacing w:after="100"/>
              <w:rPr>
                <w:rFonts w:eastAsia="Times New Roman"/>
                <w:sz w:val="20"/>
                <w:szCs w:val="20"/>
              </w:rPr>
            </w:pPr>
          </w:p>
        </w:tc>
        <w:tc>
          <w:tcPr>
            <w:tcW w:w="26" w:type="pct"/>
            <w:vAlign w:val="center"/>
            <w:hideMark/>
          </w:tcPr>
          <w:p w14:paraId="5F9BC41F" w14:textId="77777777" w:rsidR="00000000" w:rsidRDefault="00405D16">
            <w:pPr>
              <w:spacing w:after="100"/>
              <w:rPr>
                <w:rFonts w:eastAsia="Times New Roman"/>
                <w:sz w:val="20"/>
                <w:szCs w:val="20"/>
              </w:rPr>
            </w:pPr>
          </w:p>
        </w:tc>
        <w:tc>
          <w:tcPr>
            <w:tcW w:w="5" w:type="pct"/>
            <w:vAlign w:val="center"/>
            <w:hideMark/>
          </w:tcPr>
          <w:p w14:paraId="75BFB7F8" w14:textId="77777777" w:rsidR="00000000" w:rsidRDefault="00405D16">
            <w:pPr>
              <w:spacing w:after="100"/>
              <w:rPr>
                <w:rFonts w:eastAsia="Times New Roman"/>
                <w:sz w:val="20"/>
                <w:szCs w:val="20"/>
              </w:rPr>
            </w:pPr>
          </w:p>
        </w:tc>
        <w:tc>
          <w:tcPr>
            <w:tcW w:w="50" w:type="pct"/>
            <w:vAlign w:val="center"/>
            <w:hideMark/>
          </w:tcPr>
          <w:p w14:paraId="570195B6" w14:textId="77777777" w:rsidR="00000000" w:rsidRDefault="00405D16">
            <w:pPr>
              <w:spacing w:after="100"/>
              <w:rPr>
                <w:rFonts w:eastAsia="Times New Roman"/>
                <w:sz w:val="20"/>
                <w:szCs w:val="20"/>
              </w:rPr>
            </w:pPr>
          </w:p>
        </w:tc>
        <w:tc>
          <w:tcPr>
            <w:tcW w:w="668" w:type="pct"/>
            <w:vAlign w:val="center"/>
            <w:hideMark/>
          </w:tcPr>
          <w:p w14:paraId="72D94141" w14:textId="77777777" w:rsidR="00000000" w:rsidRDefault="00405D16">
            <w:pPr>
              <w:spacing w:after="100"/>
              <w:rPr>
                <w:rFonts w:eastAsia="Times New Roman"/>
                <w:sz w:val="20"/>
                <w:szCs w:val="20"/>
              </w:rPr>
            </w:pPr>
          </w:p>
        </w:tc>
        <w:tc>
          <w:tcPr>
            <w:tcW w:w="5" w:type="pct"/>
            <w:vAlign w:val="center"/>
            <w:hideMark/>
          </w:tcPr>
          <w:p w14:paraId="13A94829" w14:textId="77777777" w:rsidR="00000000" w:rsidRDefault="00405D16">
            <w:pPr>
              <w:spacing w:after="100"/>
              <w:rPr>
                <w:rFonts w:eastAsia="Times New Roman"/>
                <w:sz w:val="20"/>
                <w:szCs w:val="20"/>
              </w:rPr>
            </w:pPr>
          </w:p>
        </w:tc>
        <w:tc>
          <w:tcPr>
            <w:tcW w:w="0" w:type="auto"/>
            <w:vAlign w:val="center"/>
            <w:hideMark/>
          </w:tcPr>
          <w:p w14:paraId="604215F3" w14:textId="77777777" w:rsidR="00000000" w:rsidRDefault="00405D16">
            <w:pPr>
              <w:spacing w:after="100"/>
              <w:rPr>
                <w:rFonts w:eastAsia="Times New Roman"/>
                <w:sz w:val="20"/>
                <w:szCs w:val="20"/>
              </w:rPr>
            </w:pPr>
          </w:p>
        </w:tc>
        <w:tc>
          <w:tcPr>
            <w:tcW w:w="0" w:type="auto"/>
            <w:vAlign w:val="center"/>
            <w:hideMark/>
          </w:tcPr>
          <w:p w14:paraId="6250E8F0" w14:textId="77777777" w:rsidR="00000000" w:rsidRDefault="00405D16">
            <w:pPr>
              <w:spacing w:after="100"/>
              <w:rPr>
                <w:rFonts w:eastAsia="Times New Roman"/>
                <w:sz w:val="20"/>
                <w:szCs w:val="20"/>
              </w:rPr>
            </w:pPr>
          </w:p>
        </w:tc>
        <w:tc>
          <w:tcPr>
            <w:tcW w:w="0" w:type="auto"/>
            <w:vAlign w:val="center"/>
            <w:hideMark/>
          </w:tcPr>
          <w:p w14:paraId="55051AF9" w14:textId="77777777" w:rsidR="00000000" w:rsidRDefault="00405D16">
            <w:pPr>
              <w:spacing w:after="100"/>
              <w:rPr>
                <w:rFonts w:eastAsia="Times New Roman"/>
                <w:sz w:val="20"/>
                <w:szCs w:val="20"/>
              </w:rPr>
            </w:pPr>
          </w:p>
        </w:tc>
        <w:tc>
          <w:tcPr>
            <w:tcW w:w="0" w:type="auto"/>
            <w:vAlign w:val="center"/>
            <w:hideMark/>
          </w:tcPr>
          <w:p w14:paraId="3FE8AFDA" w14:textId="77777777" w:rsidR="00000000" w:rsidRDefault="00405D16">
            <w:pPr>
              <w:spacing w:after="100"/>
              <w:rPr>
                <w:rFonts w:eastAsia="Times New Roman"/>
                <w:sz w:val="20"/>
                <w:szCs w:val="20"/>
              </w:rPr>
            </w:pPr>
          </w:p>
        </w:tc>
        <w:tc>
          <w:tcPr>
            <w:tcW w:w="0" w:type="auto"/>
            <w:vAlign w:val="center"/>
            <w:hideMark/>
          </w:tcPr>
          <w:p w14:paraId="5CAF1F87" w14:textId="77777777" w:rsidR="00000000" w:rsidRDefault="00405D16">
            <w:pPr>
              <w:spacing w:after="100"/>
              <w:rPr>
                <w:rFonts w:eastAsia="Times New Roman"/>
                <w:sz w:val="20"/>
                <w:szCs w:val="20"/>
              </w:rPr>
            </w:pPr>
          </w:p>
        </w:tc>
        <w:tc>
          <w:tcPr>
            <w:tcW w:w="0" w:type="auto"/>
            <w:vAlign w:val="center"/>
            <w:hideMark/>
          </w:tcPr>
          <w:p w14:paraId="45595602" w14:textId="77777777" w:rsidR="00000000" w:rsidRDefault="00405D16">
            <w:pPr>
              <w:spacing w:after="100"/>
              <w:rPr>
                <w:rFonts w:eastAsia="Times New Roman"/>
                <w:sz w:val="20"/>
                <w:szCs w:val="20"/>
              </w:rPr>
            </w:pPr>
          </w:p>
        </w:tc>
      </w:tr>
      <w:tr w:rsidR="00000000" w14:paraId="092D8F1E" w14:textId="77777777">
        <w:trPr>
          <w:divId w:val="2323753"/>
        </w:trPr>
        <w:tc>
          <w:tcPr>
            <w:tcW w:w="0" w:type="auto"/>
            <w:gridSpan w:val="3"/>
            <w:tcMar>
              <w:top w:w="30" w:type="dxa"/>
              <w:left w:w="20" w:type="dxa"/>
              <w:bottom w:w="30" w:type="dxa"/>
              <w:right w:w="20" w:type="dxa"/>
            </w:tcMar>
            <w:vAlign w:val="bottom"/>
            <w:hideMark/>
          </w:tcPr>
          <w:p w14:paraId="759A100D" w14:textId="77777777" w:rsidR="00000000" w:rsidRDefault="00405D16">
            <w:pPr>
              <w:spacing w:after="100"/>
              <w:rPr>
                <w:rFonts w:eastAsia="Times New Roman"/>
              </w:rPr>
            </w:pPr>
            <w:r>
              <w:rPr>
                <w:rFonts w:eastAsia="Times New Roman"/>
                <w:i/>
                <w:iCs/>
                <w:color w:val="000000"/>
                <w:sz w:val="16"/>
                <w:szCs w:val="16"/>
              </w:rPr>
              <w:t>(Dollars in millions, except as noted)</w:t>
            </w:r>
          </w:p>
        </w:tc>
        <w:tc>
          <w:tcPr>
            <w:tcW w:w="0" w:type="auto"/>
            <w:gridSpan w:val="3"/>
            <w:tcMar>
              <w:top w:w="0" w:type="dxa"/>
              <w:left w:w="20" w:type="dxa"/>
              <w:bottom w:w="0" w:type="dxa"/>
              <w:right w:w="20" w:type="dxa"/>
            </w:tcMar>
            <w:vAlign w:val="center"/>
            <w:hideMark/>
          </w:tcPr>
          <w:p w14:paraId="3266ADF2" w14:textId="77777777" w:rsidR="00000000" w:rsidRDefault="00405D16">
            <w:pPr>
              <w:spacing w:after="100"/>
              <w:rPr>
                <w:rFonts w:eastAsia="Times New Roman"/>
              </w:rPr>
            </w:pPr>
          </w:p>
        </w:tc>
        <w:tc>
          <w:tcPr>
            <w:tcW w:w="0" w:type="auto"/>
            <w:gridSpan w:val="3"/>
            <w:tcMar>
              <w:top w:w="30" w:type="dxa"/>
              <w:left w:w="20" w:type="dxa"/>
              <w:bottom w:w="30" w:type="dxa"/>
              <w:right w:w="20" w:type="dxa"/>
            </w:tcMar>
            <w:vAlign w:val="bottom"/>
            <w:hideMark/>
          </w:tcPr>
          <w:p w14:paraId="282BF40F" w14:textId="77777777" w:rsidR="00000000" w:rsidRDefault="00405D16">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14:paraId="393EA071"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29DE359" w14:textId="77777777" w:rsidR="00000000" w:rsidRDefault="00405D16">
            <w:pPr>
              <w:spacing w:after="100"/>
              <w:jc w:val="center"/>
              <w:rPr>
                <w:rFonts w:eastAsia="Times New Roman"/>
              </w:rPr>
            </w:pPr>
            <w:r>
              <w:rPr>
                <w:rFonts w:eastAsia="Times New Roman"/>
                <w:b/>
                <w:bCs/>
                <w:color w:val="000000"/>
                <w:sz w:val="16"/>
                <w:szCs w:val="16"/>
              </w:rPr>
              <w:t>December 31, 2020</w:t>
            </w:r>
          </w:p>
        </w:tc>
        <w:tc>
          <w:tcPr>
            <w:tcW w:w="0" w:type="auto"/>
            <w:vAlign w:val="center"/>
            <w:hideMark/>
          </w:tcPr>
          <w:p w14:paraId="6E278E11" w14:textId="77777777" w:rsidR="00000000" w:rsidRDefault="00405D16">
            <w:pPr>
              <w:spacing w:after="100"/>
              <w:jc w:val="center"/>
              <w:rPr>
                <w:rFonts w:eastAsia="Times New Roman"/>
              </w:rPr>
            </w:pPr>
          </w:p>
        </w:tc>
        <w:tc>
          <w:tcPr>
            <w:tcW w:w="0" w:type="auto"/>
            <w:vAlign w:val="center"/>
            <w:hideMark/>
          </w:tcPr>
          <w:p w14:paraId="7E821FFA" w14:textId="77777777" w:rsidR="00000000" w:rsidRDefault="00405D16">
            <w:pPr>
              <w:spacing w:after="100"/>
              <w:rPr>
                <w:rFonts w:eastAsia="Times New Roman"/>
                <w:sz w:val="20"/>
                <w:szCs w:val="20"/>
              </w:rPr>
            </w:pPr>
          </w:p>
        </w:tc>
        <w:tc>
          <w:tcPr>
            <w:tcW w:w="0" w:type="auto"/>
            <w:vAlign w:val="center"/>
            <w:hideMark/>
          </w:tcPr>
          <w:p w14:paraId="6111B91F" w14:textId="77777777" w:rsidR="00000000" w:rsidRDefault="00405D16">
            <w:pPr>
              <w:spacing w:after="100"/>
              <w:rPr>
                <w:rFonts w:eastAsia="Times New Roman"/>
                <w:sz w:val="20"/>
                <w:szCs w:val="20"/>
              </w:rPr>
            </w:pPr>
          </w:p>
        </w:tc>
        <w:tc>
          <w:tcPr>
            <w:tcW w:w="0" w:type="auto"/>
            <w:vAlign w:val="center"/>
            <w:hideMark/>
          </w:tcPr>
          <w:p w14:paraId="7FF7CB7A" w14:textId="77777777" w:rsidR="00000000" w:rsidRDefault="00405D16">
            <w:pPr>
              <w:spacing w:after="100"/>
              <w:rPr>
                <w:rFonts w:eastAsia="Times New Roman"/>
                <w:sz w:val="20"/>
                <w:szCs w:val="20"/>
              </w:rPr>
            </w:pPr>
          </w:p>
        </w:tc>
        <w:tc>
          <w:tcPr>
            <w:tcW w:w="0" w:type="auto"/>
            <w:vAlign w:val="center"/>
            <w:hideMark/>
          </w:tcPr>
          <w:p w14:paraId="6045F2C4" w14:textId="77777777" w:rsidR="00000000" w:rsidRDefault="00405D16">
            <w:pPr>
              <w:spacing w:after="100"/>
              <w:rPr>
                <w:rFonts w:eastAsia="Times New Roman"/>
                <w:sz w:val="20"/>
                <w:szCs w:val="20"/>
              </w:rPr>
            </w:pPr>
          </w:p>
        </w:tc>
        <w:tc>
          <w:tcPr>
            <w:tcW w:w="0" w:type="auto"/>
            <w:vAlign w:val="center"/>
            <w:hideMark/>
          </w:tcPr>
          <w:p w14:paraId="767F3552" w14:textId="77777777" w:rsidR="00000000" w:rsidRDefault="00405D16">
            <w:pPr>
              <w:spacing w:after="100"/>
              <w:rPr>
                <w:rFonts w:eastAsia="Times New Roman"/>
                <w:sz w:val="20"/>
                <w:szCs w:val="20"/>
              </w:rPr>
            </w:pPr>
          </w:p>
        </w:tc>
      </w:tr>
      <w:tr w:rsidR="00000000" w14:paraId="21F8C6B2" w14:textId="77777777">
        <w:trPr>
          <w:divId w:val="232375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3D81CFC" w14:textId="77777777" w:rsidR="00000000" w:rsidRDefault="00405D16">
            <w:pPr>
              <w:spacing w:after="100"/>
              <w:rPr>
                <w:rFonts w:eastAsia="Times New Roman"/>
              </w:rPr>
            </w:pPr>
            <w:r>
              <w:rPr>
                <w:rFonts w:eastAsia="Times New Roman"/>
                <w:b/>
                <w:bCs/>
                <w:color w:val="000000"/>
                <w:sz w:val="18"/>
                <w:szCs w:val="18"/>
              </w:rPr>
              <w:t>Tangible Common Equity (Period-End):</w:t>
            </w:r>
          </w:p>
        </w:tc>
        <w:tc>
          <w:tcPr>
            <w:tcW w:w="0" w:type="auto"/>
            <w:gridSpan w:val="3"/>
            <w:shd w:val="clear" w:color="auto" w:fill="CCEEFF"/>
            <w:tcMar>
              <w:top w:w="0" w:type="dxa"/>
              <w:left w:w="20" w:type="dxa"/>
              <w:bottom w:w="0" w:type="dxa"/>
              <w:right w:w="20" w:type="dxa"/>
            </w:tcMar>
            <w:vAlign w:val="center"/>
            <w:hideMark/>
          </w:tcPr>
          <w:p w14:paraId="04DCB409"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1F3717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55DFC5"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07638BE" w14:textId="77777777" w:rsidR="00000000" w:rsidRDefault="00405D16">
            <w:pPr>
              <w:spacing w:after="100"/>
              <w:rPr>
                <w:rFonts w:eastAsia="Times New Roman"/>
                <w:sz w:val="20"/>
                <w:szCs w:val="20"/>
              </w:rPr>
            </w:pPr>
          </w:p>
        </w:tc>
        <w:tc>
          <w:tcPr>
            <w:tcW w:w="0" w:type="auto"/>
            <w:vAlign w:val="center"/>
            <w:hideMark/>
          </w:tcPr>
          <w:p w14:paraId="326BC95C" w14:textId="77777777" w:rsidR="00000000" w:rsidRDefault="00405D16">
            <w:pPr>
              <w:spacing w:after="100"/>
              <w:rPr>
                <w:rFonts w:eastAsia="Times New Roman"/>
                <w:sz w:val="20"/>
                <w:szCs w:val="20"/>
              </w:rPr>
            </w:pPr>
          </w:p>
        </w:tc>
        <w:tc>
          <w:tcPr>
            <w:tcW w:w="0" w:type="auto"/>
            <w:vAlign w:val="center"/>
            <w:hideMark/>
          </w:tcPr>
          <w:p w14:paraId="6C189D52" w14:textId="77777777" w:rsidR="00000000" w:rsidRDefault="00405D16">
            <w:pPr>
              <w:spacing w:after="100"/>
              <w:rPr>
                <w:rFonts w:eastAsia="Times New Roman"/>
                <w:sz w:val="20"/>
                <w:szCs w:val="20"/>
              </w:rPr>
            </w:pPr>
          </w:p>
        </w:tc>
        <w:tc>
          <w:tcPr>
            <w:tcW w:w="0" w:type="auto"/>
            <w:vAlign w:val="center"/>
            <w:hideMark/>
          </w:tcPr>
          <w:p w14:paraId="075836E6" w14:textId="77777777" w:rsidR="00000000" w:rsidRDefault="00405D16">
            <w:pPr>
              <w:spacing w:after="100"/>
              <w:rPr>
                <w:rFonts w:eastAsia="Times New Roman"/>
                <w:sz w:val="20"/>
                <w:szCs w:val="20"/>
              </w:rPr>
            </w:pPr>
          </w:p>
        </w:tc>
        <w:tc>
          <w:tcPr>
            <w:tcW w:w="0" w:type="auto"/>
            <w:vAlign w:val="center"/>
            <w:hideMark/>
          </w:tcPr>
          <w:p w14:paraId="5E3EBC71" w14:textId="77777777" w:rsidR="00000000" w:rsidRDefault="00405D16">
            <w:pPr>
              <w:spacing w:after="100"/>
              <w:rPr>
                <w:rFonts w:eastAsia="Times New Roman"/>
                <w:sz w:val="20"/>
                <w:szCs w:val="20"/>
              </w:rPr>
            </w:pPr>
          </w:p>
        </w:tc>
        <w:tc>
          <w:tcPr>
            <w:tcW w:w="0" w:type="auto"/>
            <w:vAlign w:val="center"/>
            <w:hideMark/>
          </w:tcPr>
          <w:p w14:paraId="27D01F4E" w14:textId="77777777" w:rsidR="00000000" w:rsidRDefault="00405D16">
            <w:pPr>
              <w:spacing w:after="100"/>
              <w:rPr>
                <w:rFonts w:eastAsia="Times New Roman"/>
                <w:sz w:val="20"/>
                <w:szCs w:val="20"/>
              </w:rPr>
            </w:pPr>
          </w:p>
        </w:tc>
        <w:tc>
          <w:tcPr>
            <w:tcW w:w="0" w:type="auto"/>
            <w:vAlign w:val="center"/>
            <w:hideMark/>
          </w:tcPr>
          <w:p w14:paraId="764DCE85" w14:textId="77777777" w:rsidR="00000000" w:rsidRDefault="00405D16">
            <w:pPr>
              <w:spacing w:after="100"/>
              <w:rPr>
                <w:rFonts w:eastAsia="Times New Roman"/>
                <w:sz w:val="20"/>
                <w:szCs w:val="20"/>
              </w:rPr>
            </w:pPr>
          </w:p>
        </w:tc>
      </w:tr>
      <w:tr w:rsidR="00000000" w14:paraId="28006A31" w14:textId="77777777">
        <w:trPr>
          <w:divId w:val="2323753"/>
        </w:trPr>
        <w:tc>
          <w:tcPr>
            <w:tcW w:w="0" w:type="auto"/>
            <w:gridSpan w:val="3"/>
            <w:shd w:val="clear" w:color="auto" w:fill="FFFFFF"/>
            <w:tcMar>
              <w:top w:w="30" w:type="dxa"/>
              <w:left w:w="245" w:type="dxa"/>
              <w:bottom w:w="30" w:type="dxa"/>
              <w:right w:w="20" w:type="dxa"/>
            </w:tcMar>
            <w:vAlign w:val="center"/>
            <w:hideMark/>
          </w:tcPr>
          <w:p w14:paraId="5FEB503C" w14:textId="77777777" w:rsidR="00000000" w:rsidRDefault="00405D16">
            <w:pPr>
              <w:spacing w:after="100"/>
              <w:rPr>
                <w:rFonts w:eastAsia="Times New Roman"/>
              </w:rPr>
            </w:pPr>
            <w:r>
              <w:rPr>
                <w:rFonts w:eastAsia="Times New Roman"/>
                <w:color w:val="000000"/>
                <w:sz w:val="18"/>
                <w:szCs w:val="18"/>
              </w:rPr>
              <w:t>Stockholders’ equity</w:t>
            </w:r>
          </w:p>
        </w:tc>
        <w:tc>
          <w:tcPr>
            <w:tcW w:w="0" w:type="auto"/>
            <w:gridSpan w:val="3"/>
            <w:shd w:val="clear" w:color="auto" w:fill="FFFFFF"/>
            <w:tcMar>
              <w:top w:w="0" w:type="dxa"/>
              <w:left w:w="20" w:type="dxa"/>
              <w:bottom w:w="0" w:type="dxa"/>
              <w:right w:w="20" w:type="dxa"/>
            </w:tcMar>
            <w:vAlign w:val="center"/>
            <w:hideMark/>
          </w:tcPr>
          <w:p w14:paraId="61720921"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6ED51013"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7ED6A7FA" w14:textId="77777777" w:rsidR="00000000" w:rsidRDefault="00405D16">
            <w:pPr>
              <w:spacing w:after="100"/>
              <w:jc w:val="right"/>
              <w:rPr>
                <w:rFonts w:eastAsia="Times New Roman"/>
              </w:rPr>
            </w:pPr>
            <w:r>
              <w:rPr>
                <w:rFonts w:eastAsia="Times New Roman"/>
                <w:b/>
                <w:bCs/>
                <w:color w:val="000000"/>
                <w:sz w:val="18"/>
                <w:szCs w:val="18"/>
              </w:rPr>
              <w:t>63,544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BF7246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3D0DCA"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846CDF4"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4F580619" w14:textId="77777777" w:rsidR="00000000" w:rsidRDefault="00405D16">
            <w:pPr>
              <w:spacing w:after="100"/>
              <w:jc w:val="right"/>
              <w:rPr>
                <w:rFonts w:eastAsia="Times New Roman"/>
              </w:rPr>
            </w:pPr>
            <w:r>
              <w:rPr>
                <w:rFonts w:eastAsia="Times New Roman"/>
                <w:color w:val="000000"/>
                <w:sz w:val="18"/>
                <w:szCs w:val="18"/>
              </w:rPr>
              <w:t>60,204 </w:t>
            </w:r>
          </w:p>
        </w:tc>
        <w:tc>
          <w:tcPr>
            <w:tcW w:w="0" w:type="auto"/>
            <w:shd w:val="clear" w:color="auto" w:fill="FFFFFF"/>
            <w:tcMar>
              <w:top w:w="30" w:type="dxa"/>
              <w:left w:w="0" w:type="dxa"/>
              <w:bottom w:w="30" w:type="dxa"/>
              <w:right w:w="20" w:type="dxa"/>
            </w:tcMar>
            <w:vAlign w:val="center"/>
            <w:hideMark/>
          </w:tcPr>
          <w:p w14:paraId="7EEEBBAE" w14:textId="77777777" w:rsidR="00000000" w:rsidRDefault="00405D16">
            <w:pPr>
              <w:spacing w:after="100"/>
              <w:jc w:val="right"/>
              <w:rPr>
                <w:rFonts w:eastAsia="Times New Roman"/>
              </w:rPr>
            </w:pPr>
          </w:p>
        </w:tc>
        <w:tc>
          <w:tcPr>
            <w:tcW w:w="0" w:type="auto"/>
            <w:vAlign w:val="center"/>
            <w:hideMark/>
          </w:tcPr>
          <w:p w14:paraId="27A2F0CF" w14:textId="77777777" w:rsidR="00000000" w:rsidRDefault="00405D16">
            <w:pPr>
              <w:spacing w:after="100"/>
              <w:jc w:val="right"/>
              <w:rPr>
                <w:rFonts w:eastAsia="Times New Roman"/>
                <w:sz w:val="20"/>
                <w:szCs w:val="20"/>
              </w:rPr>
            </w:pPr>
          </w:p>
        </w:tc>
        <w:tc>
          <w:tcPr>
            <w:tcW w:w="0" w:type="auto"/>
            <w:vAlign w:val="center"/>
            <w:hideMark/>
          </w:tcPr>
          <w:p w14:paraId="30FCEC93" w14:textId="77777777" w:rsidR="00000000" w:rsidRDefault="00405D16">
            <w:pPr>
              <w:spacing w:after="100"/>
              <w:rPr>
                <w:rFonts w:eastAsia="Times New Roman"/>
                <w:sz w:val="20"/>
                <w:szCs w:val="20"/>
              </w:rPr>
            </w:pPr>
          </w:p>
        </w:tc>
        <w:tc>
          <w:tcPr>
            <w:tcW w:w="0" w:type="auto"/>
            <w:vAlign w:val="center"/>
            <w:hideMark/>
          </w:tcPr>
          <w:p w14:paraId="720C7FCB" w14:textId="77777777" w:rsidR="00000000" w:rsidRDefault="00405D16">
            <w:pPr>
              <w:spacing w:after="100"/>
              <w:rPr>
                <w:rFonts w:eastAsia="Times New Roman"/>
                <w:sz w:val="20"/>
                <w:szCs w:val="20"/>
              </w:rPr>
            </w:pPr>
          </w:p>
        </w:tc>
        <w:tc>
          <w:tcPr>
            <w:tcW w:w="0" w:type="auto"/>
            <w:vAlign w:val="center"/>
            <w:hideMark/>
          </w:tcPr>
          <w:p w14:paraId="648F7805" w14:textId="77777777" w:rsidR="00000000" w:rsidRDefault="00405D16">
            <w:pPr>
              <w:spacing w:after="100"/>
              <w:rPr>
                <w:rFonts w:eastAsia="Times New Roman"/>
                <w:sz w:val="20"/>
                <w:szCs w:val="20"/>
              </w:rPr>
            </w:pPr>
          </w:p>
        </w:tc>
        <w:tc>
          <w:tcPr>
            <w:tcW w:w="0" w:type="auto"/>
            <w:vAlign w:val="center"/>
            <w:hideMark/>
          </w:tcPr>
          <w:p w14:paraId="6EFC3998" w14:textId="77777777" w:rsidR="00000000" w:rsidRDefault="00405D16">
            <w:pPr>
              <w:spacing w:after="100"/>
              <w:rPr>
                <w:rFonts w:eastAsia="Times New Roman"/>
                <w:sz w:val="20"/>
                <w:szCs w:val="20"/>
              </w:rPr>
            </w:pPr>
          </w:p>
        </w:tc>
        <w:tc>
          <w:tcPr>
            <w:tcW w:w="0" w:type="auto"/>
            <w:vAlign w:val="center"/>
            <w:hideMark/>
          </w:tcPr>
          <w:p w14:paraId="5D3A7DFE" w14:textId="77777777" w:rsidR="00000000" w:rsidRDefault="00405D16">
            <w:pPr>
              <w:spacing w:after="100"/>
              <w:rPr>
                <w:rFonts w:eastAsia="Times New Roman"/>
                <w:sz w:val="20"/>
                <w:szCs w:val="20"/>
              </w:rPr>
            </w:pPr>
          </w:p>
        </w:tc>
      </w:tr>
      <w:tr w:rsidR="00000000" w14:paraId="6DE9C7FC" w14:textId="77777777">
        <w:trPr>
          <w:divId w:val="2323753"/>
        </w:trPr>
        <w:tc>
          <w:tcPr>
            <w:tcW w:w="0" w:type="auto"/>
            <w:gridSpan w:val="3"/>
            <w:shd w:val="clear" w:color="auto" w:fill="CCEEFF"/>
            <w:tcMar>
              <w:top w:w="30" w:type="dxa"/>
              <w:left w:w="20" w:type="dxa"/>
              <w:bottom w:w="30" w:type="dxa"/>
              <w:right w:w="20" w:type="dxa"/>
            </w:tcMar>
            <w:vAlign w:val="center"/>
            <w:hideMark/>
          </w:tcPr>
          <w:p w14:paraId="32F6A960" w14:textId="77777777" w:rsidR="00000000" w:rsidRDefault="00405D16">
            <w:pPr>
              <w:spacing w:after="100"/>
              <w:divId w:val="595214254"/>
              <w:rPr>
                <w:rFonts w:eastAsia="Times New Roman"/>
              </w:rPr>
            </w:pPr>
            <w:r>
              <w:rPr>
                <w:rFonts w:eastAsia="Times New Roman"/>
                <w:color w:val="000000"/>
                <w:sz w:val="18"/>
                <w:szCs w:val="18"/>
              </w:rPr>
              <w:t>Goodwill and intangible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3BCC9DF8"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3D5019F" w14:textId="77777777" w:rsidR="00000000" w:rsidRDefault="00405D16">
            <w:pPr>
              <w:spacing w:after="100"/>
              <w:jc w:val="right"/>
              <w:rPr>
                <w:rFonts w:eastAsia="Times New Roman"/>
              </w:rPr>
            </w:pPr>
            <w:r>
              <w:rPr>
                <w:rFonts w:eastAsia="Times New Roman"/>
                <w:b/>
                <w:bCs/>
                <w:color w:val="000000"/>
                <w:sz w:val="18"/>
                <w:szCs w:val="18"/>
              </w:rPr>
              <w:t>(14,766)</w:t>
            </w:r>
          </w:p>
        </w:tc>
        <w:tc>
          <w:tcPr>
            <w:tcW w:w="0" w:type="auto"/>
            <w:shd w:val="clear" w:color="auto" w:fill="CCEEFF"/>
            <w:tcMar>
              <w:top w:w="30" w:type="dxa"/>
              <w:left w:w="0" w:type="dxa"/>
              <w:bottom w:w="30" w:type="dxa"/>
              <w:right w:w="20" w:type="dxa"/>
            </w:tcMar>
            <w:vAlign w:val="center"/>
            <w:hideMark/>
          </w:tcPr>
          <w:p w14:paraId="0DABF20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70B20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66AE5A7" w14:textId="77777777" w:rsidR="00000000" w:rsidRDefault="00405D16">
            <w:pPr>
              <w:spacing w:after="100"/>
              <w:jc w:val="right"/>
              <w:rPr>
                <w:rFonts w:eastAsia="Times New Roman"/>
              </w:rPr>
            </w:pPr>
            <w:r>
              <w:rPr>
                <w:rFonts w:eastAsia="Times New Roman"/>
                <w:color w:val="000000"/>
                <w:sz w:val="18"/>
                <w:szCs w:val="18"/>
              </w:rPr>
              <w:t>(14,809)</w:t>
            </w:r>
          </w:p>
        </w:tc>
        <w:tc>
          <w:tcPr>
            <w:tcW w:w="0" w:type="auto"/>
            <w:shd w:val="clear" w:color="auto" w:fill="CCEEFF"/>
            <w:tcMar>
              <w:top w:w="30" w:type="dxa"/>
              <w:left w:w="0" w:type="dxa"/>
              <w:bottom w:w="30" w:type="dxa"/>
              <w:right w:w="20" w:type="dxa"/>
            </w:tcMar>
            <w:vAlign w:val="center"/>
            <w:hideMark/>
          </w:tcPr>
          <w:p w14:paraId="3DF8FE1A" w14:textId="77777777" w:rsidR="00000000" w:rsidRDefault="00405D16">
            <w:pPr>
              <w:spacing w:after="100"/>
              <w:jc w:val="right"/>
              <w:rPr>
                <w:rFonts w:eastAsia="Times New Roman"/>
              </w:rPr>
            </w:pPr>
          </w:p>
        </w:tc>
        <w:tc>
          <w:tcPr>
            <w:tcW w:w="0" w:type="auto"/>
            <w:vAlign w:val="center"/>
            <w:hideMark/>
          </w:tcPr>
          <w:p w14:paraId="1438FB66" w14:textId="77777777" w:rsidR="00000000" w:rsidRDefault="00405D16">
            <w:pPr>
              <w:spacing w:after="100"/>
              <w:jc w:val="right"/>
              <w:rPr>
                <w:rFonts w:eastAsia="Times New Roman"/>
                <w:sz w:val="20"/>
                <w:szCs w:val="20"/>
              </w:rPr>
            </w:pPr>
          </w:p>
        </w:tc>
        <w:tc>
          <w:tcPr>
            <w:tcW w:w="0" w:type="auto"/>
            <w:vAlign w:val="center"/>
            <w:hideMark/>
          </w:tcPr>
          <w:p w14:paraId="69112443" w14:textId="77777777" w:rsidR="00000000" w:rsidRDefault="00405D16">
            <w:pPr>
              <w:spacing w:after="100"/>
              <w:rPr>
                <w:rFonts w:eastAsia="Times New Roman"/>
                <w:sz w:val="20"/>
                <w:szCs w:val="20"/>
              </w:rPr>
            </w:pPr>
          </w:p>
        </w:tc>
        <w:tc>
          <w:tcPr>
            <w:tcW w:w="0" w:type="auto"/>
            <w:vAlign w:val="center"/>
            <w:hideMark/>
          </w:tcPr>
          <w:p w14:paraId="51A8FE9F" w14:textId="77777777" w:rsidR="00000000" w:rsidRDefault="00405D16">
            <w:pPr>
              <w:spacing w:after="100"/>
              <w:rPr>
                <w:rFonts w:eastAsia="Times New Roman"/>
                <w:sz w:val="20"/>
                <w:szCs w:val="20"/>
              </w:rPr>
            </w:pPr>
          </w:p>
        </w:tc>
        <w:tc>
          <w:tcPr>
            <w:tcW w:w="0" w:type="auto"/>
            <w:vAlign w:val="center"/>
            <w:hideMark/>
          </w:tcPr>
          <w:p w14:paraId="5B3D0342" w14:textId="77777777" w:rsidR="00000000" w:rsidRDefault="00405D16">
            <w:pPr>
              <w:spacing w:after="100"/>
              <w:rPr>
                <w:rFonts w:eastAsia="Times New Roman"/>
                <w:sz w:val="20"/>
                <w:szCs w:val="20"/>
              </w:rPr>
            </w:pPr>
          </w:p>
        </w:tc>
        <w:tc>
          <w:tcPr>
            <w:tcW w:w="0" w:type="auto"/>
            <w:vAlign w:val="center"/>
            <w:hideMark/>
          </w:tcPr>
          <w:p w14:paraId="4EB2F196" w14:textId="77777777" w:rsidR="00000000" w:rsidRDefault="00405D16">
            <w:pPr>
              <w:spacing w:after="100"/>
              <w:rPr>
                <w:rFonts w:eastAsia="Times New Roman"/>
                <w:sz w:val="20"/>
                <w:szCs w:val="20"/>
              </w:rPr>
            </w:pPr>
          </w:p>
        </w:tc>
        <w:tc>
          <w:tcPr>
            <w:tcW w:w="0" w:type="auto"/>
            <w:vAlign w:val="center"/>
            <w:hideMark/>
          </w:tcPr>
          <w:p w14:paraId="41EAF5F0" w14:textId="77777777" w:rsidR="00000000" w:rsidRDefault="00405D16">
            <w:pPr>
              <w:spacing w:after="100"/>
              <w:rPr>
                <w:rFonts w:eastAsia="Times New Roman"/>
                <w:sz w:val="20"/>
                <w:szCs w:val="20"/>
              </w:rPr>
            </w:pPr>
          </w:p>
        </w:tc>
      </w:tr>
      <w:tr w:rsidR="00000000" w14:paraId="7CE8DD43" w14:textId="77777777">
        <w:trPr>
          <w:divId w:val="2323753"/>
        </w:trPr>
        <w:tc>
          <w:tcPr>
            <w:tcW w:w="0" w:type="auto"/>
            <w:gridSpan w:val="3"/>
            <w:shd w:val="clear" w:color="auto" w:fill="FFFFFF"/>
            <w:tcMar>
              <w:top w:w="30" w:type="dxa"/>
              <w:left w:w="245" w:type="dxa"/>
              <w:bottom w:w="30" w:type="dxa"/>
              <w:right w:w="20" w:type="dxa"/>
            </w:tcMar>
            <w:vAlign w:val="center"/>
            <w:hideMark/>
          </w:tcPr>
          <w:p w14:paraId="3CA9F98C" w14:textId="77777777" w:rsidR="00000000" w:rsidRDefault="00405D16">
            <w:pPr>
              <w:spacing w:after="100"/>
              <w:rPr>
                <w:rFonts w:eastAsia="Times New Roman"/>
              </w:rPr>
            </w:pPr>
            <w:r>
              <w:rPr>
                <w:rFonts w:eastAsia="Times New Roman"/>
                <w:color w:val="000000"/>
                <w:sz w:val="18"/>
                <w:szCs w:val="18"/>
              </w:rPr>
              <w:t>Noncumulative perpetual preferred stock</w:t>
            </w:r>
          </w:p>
        </w:tc>
        <w:tc>
          <w:tcPr>
            <w:tcW w:w="0" w:type="auto"/>
            <w:gridSpan w:val="3"/>
            <w:shd w:val="clear" w:color="auto" w:fill="FFFFFF"/>
            <w:tcMar>
              <w:top w:w="0" w:type="dxa"/>
              <w:left w:w="20" w:type="dxa"/>
              <w:bottom w:w="0" w:type="dxa"/>
              <w:right w:w="20" w:type="dxa"/>
            </w:tcMar>
            <w:vAlign w:val="center"/>
            <w:hideMark/>
          </w:tcPr>
          <w:p w14:paraId="5FD73205"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DA6D291" w14:textId="77777777" w:rsidR="00000000" w:rsidRDefault="00405D16">
            <w:pPr>
              <w:spacing w:after="100"/>
              <w:jc w:val="right"/>
              <w:rPr>
                <w:rFonts w:eastAsia="Times New Roman"/>
              </w:rPr>
            </w:pPr>
            <w:r>
              <w:rPr>
                <w:rFonts w:eastAsia="Times New Roman"/>
                <w:b/>
                <w:bCs/>
                <w:color w:val="000000"/>
                <w:sz w:val="18"/>
                <w:szCs w:val="18"/>
              </w:rPr>
              <w:t>(5,912)</w:t>
            </w:r>
          </w:p>
        </w:tc>
        <w:tc>
          <w:tcPr>
            <w:tcW w:w="0" w:type="auto"/>
            <w:shd w:val="clear" w:color="auto" w:fill="FFFFFF"/>
            <w:tcMar>
              <w:top w:w="30" w:type="dxa"/>
              <w:left w:w="0" w:type="dxa"/>
              <w:bottom w:w="30" w:type="dxa"/>
              <w:right w:w="20" w:type="dxa"/>
            </w:tcMar>
            <w:vAlign w:val="center"/>
            <w:hideMark/>
          </w:tcPr>
          <w:p w14:paraId="63E8DBF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4B840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714A63C" w14:textId="77777777" w:rsidR="00000000" w:rsidRDefault="00405D16">
            <w:pPr>
              <w:spacing w:after="100"/>
              <w:jc w:val="right"/>
              <w:rPr>
                <w:rFonts w:eastAsia="Times New Roman"/>
              </w:rPr>
            </w:pPr>
            <w:r>
              <w:rPr>
                <w:rFonts w:eastAsia="Times New Roman"/>
                <w:color w:val="000000"/>
                <w:sz w:val="18"/>
                <w:szCs w:val="18"/>
              </w:rPr>
              <w:t>(4,847)</w:t>
            </w:r>
          </w:p>
        </w:tc>
        <w:tc>
          <w:tcPr>
            <w:tcW w:w="0" w:type="auto"/>
            <w:shd w:val="clear" w:color="auto" w:fill="FFFFFF"/>
            <w:tcMar>
              <w:top w:w="30" w:type="dxa"/>
              <w:left w:w="0" w:type="dxa"/>
              <w:bottom w:w="30" w:type="dxa"/>
              <w:right w:w="20" w:type="dxa"/>
            </w:tcMar>
            <w:vAlign w:val="center"/>
            <w:hideMark/>
          </w:tcPr>
          <w:p w14:paraId="5E3A0D5C" w14:textId="77777777" w:rsidR="00000000" w:rsidRDefault="00405D16">
            <w:pPr>
              <w:spacing w:after="100"/>
              <w:jc w:val="right"/>
              <w:rPr>
                <w:rFonts w:eastAsia="Times New Roman"/>
              </w:rPr>
            </w:pPr>
          </w:p>
        </w:tc>
        <w:tc>
          <w:tcPr>
            <w:tcW w:w="0" w:type="auto"/>
            <w:vAlign w:val="center"/>
            <w:hideMark/>
          </w:tcPr>
          <w:p w14:paraId="741F59C9" w14:textId="77777777" w:rsidR="00000000" w:rsidRDefault="00405D16">
            <w:pPr>
              <w:spacing w:after="100"/>
              <w:jc w:val="right"/>
              <w:rPr>
                <w:rFonts w:eastAsia="Times New Roman"/>
                <w:sz w:val="20"/>
                <w:szCs w:val="20"/>
              </w:rPr>
            </w:pPr>
          </w:p>
        </w:tc>
        <w:tc>
          <w:tcPr>
            <w:tcW w:w="0" w:type="auto"/>
            <w:vAlign w:val="center"/>
            <w:hideMark/>
          </w:tcPr>
          <w:p w14:paraId="71C46C47" w14:textId="77777777" w:rsidR="00000000" w:rsidRDefault="00405D16">
            <w:pPr>
              <w:spacing w:after="100"/>
              <w:rPr>
                <w:rFonts w:eastAsia="Times New Roman"/>
                <w:sz w:val="20"/>
                <w:szCs w:val="20"/>
              </w:rPr>
            </w:pPr>
          </w:p>
        </w:tc>
        <w:tc>
          <w:tcPr>
            <w:tcW w:w="0" w:type="auto"/>
            <w:vAlign w:val="center"/>
            <w:hideMark/>
          </w:tcPr>
          <w:p w14:paraId="177ACE2A" w14:textId="77777777" w:rsidR="00000000" w:rsidRDefault="00405D16">
            <w:pPr>
              <w:spacing w:after="100"/>
              <w:rPr>
                <w:rFonts w:eastAsia="Times New Roman"/>
                <w:sz w:val="20"/>
                <w:szCs w:val="20"/>
              </w:rPr>
            </w:pPr>
          </w:p>
        </w:tc>
        <w:tc>
          <w:tcPr>
            <w:tcW w:w="0" w:type="auto"/>
            <w:vAlign w:val="center"/>
            <w:hideMark/>
          </w:tcPr>
          <w:p w14:paraId="5D43EA29" w14:textId="77777777" w:rsidR="00000000" w:rsidRDefault="00405D16">
            <w:pPr>
              <w:spacing w:after="100"/>
              <w:rPr>
                <w:rFonts w:eastAsia="Times New Roman"/>
                <w:sz w:val="20"/>
                <w:szCs w:val="20"/>
              </w:rPr>
            </w:pPr>
          </w:p>
        </w:tc>
        <w:tc>
          <w:tcPr>
            <w:tcW w:w="0" w:type="auto"/>
            <w:vAlign w:val="center"/>
            <w:hideMark/>
          </w:tcPr>
          <w:p w14:paraId="117B1CFC" w14:textId="77777777" w:rsidR="00000000" w:rsidRDefault="00405D16">
            <w:pPr>
              <w:spacing w:after="100"/>
              <w:rPr>
                <w:rFonts w:eastAsia="Times New Roman"/>
                <w:sz w:val="20"/>
                <w:szCs w:val="20"/>
              </w:rPr>
            </w:pPr>
          </w:p>
        </w:tc>
        <w:tc>
          <w:tcPr>
            <w:tcW w:w="0" w:type="auto"/>
            <w:vAlign w:val="center"/>
            <w:hideMark/>
          </w:tcPr>
          <w:p w14:paraId="3B13AD37" w14:textId="77777777" w:rsidR="00000000" w:rsidRDefault="00405D16">
            <w:pPr>
              <w:spacing w:after="100"/>
              <w:rPr>
                <w:rFonts w:eastAsia="Times New Roman"/>
                <w:sz w:val="20"/>
                <w:szCs w:val="20"/>
              </w:rPr>
            </w:pPr>
          </w:p>
        </w:tc>
      </w:tr>
      <w:tr w:rsidR="00000000" w14:paraId="604912D5" w14:textId="77777777">
        <w:trPr>
          <w:divId w:val="2323753"/>
        </w:trPr>
        <w:tc>
          <w:tcPr>
            <w:tcW w:w="0" w:type="auto"/>
            <w:gridSpan w:val="3"/>
            <w:shd w:val="clear" w:color="auto" w:fill="CCEEFF"/>
            <w:tcMar>
              <w:top w:w="30" w:type="dxa"/>
              <w:left w:w="20" w:type="dxa"/>
              <w:bottom w:w="30" w:type="dxa"/>
              <w:right w:w="20" w:type="dxa"/>
            </w:tcMar>
            <w:vAlign w:val="center"/>
            <w:hideMark/>
          </w:tcPr>
          <w:p w14:paraId="0C7D3BB8" w14:textId="77777777" w:rsidR="00000000" w:rsidRDefault="00405D16">
            <w:pPr>
              <w:spacing w:after="100"/>
              <w:rPr>
                <w:rFonts w:eastAsia="Times New Roman"/>
              </w:rPr>
            </w:pPr>
            <w:r>
              <w:rPr>
                <w:rFonts w:eastAsia="Times New Roman"/>
                <w:color w:val="000000"/>
                <w:sz w:val="18"/>
                <w:szCs w:val="18"/>
              </w:rPr>
              <w:t>Tangible common equity</w:t>
            </w:r>
          </w:p>
        </w:tc>
        <w:tc>
          <w:tcPr>
            <w:tcW w:w="0" w:type="auto"/>
            <w:gridSpan w:val="3"/>
            <w:shd w:val="clear" w:color="auto" w:fill="CCEEFF"/>
            <w:tcMar>
              <w:top w:w="0" w:type="dxa"/>
              <w:left w:w="20" w:type="dxa"/>
              <w:bottom w:w="0" w:type="dxa"/>
              <w:right w:w="20" w:type="dxa"/>
            </w:tcMar>
            <w:vAlign w:val="center"/>
            <w:hideMark/>
          </w:tcPr>
          <w:p w14:paraId="3B68B65E"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B291AA7"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2F03EBA" w14:textId="77777777" w:rsidR="00000000" w:rsidRDefault="00405D16">
            <w:pPr>
              <w:spacing w:after="100"/>
              <w:jc w:val="right"/>
              <w:rPr>
                <w:rFonts w:eastAsia="Times New Roman"/>
              </w:rPr>
            </w:pPr>
            <w:r>
              <w:rPr>
                <w:rFonts w:eastAsia="Times New Roman"/>
                <w:b/>
                <w:bCs/>
                <w:color w:val="000000"/>
                <w:sz w:val="18"/>
                <w:szCs w:val="18"/>
              </w:rPr>
              <w:t>42,866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5A3390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D01BD0"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7C7B29C"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31BDF6A" w14:textId="77777777" w:rsidR="00000000" w:rsidRDefault="00405D16">
            <w:pPr>
              <w:spacing w:after="100"/>
              <w:jc w:val="right"/>
              <w:rPr>
                <w:rFonts w:eastAsia="Times New Roman"/>
              </w:rPr>
            </w:pPr>
            <w:r>
              <w:rPr>
                <w:rFonts w:eastAsia="Times New Roman"/>
                <w:color w:val="000000"/>
                <w:sz w:val="18"/>
                <w:szCs w:val="18"/>
              </w:rPr>
              <w:t>40,548 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F56D00E" w14:textId="77777777" w:rsidR="00000000" w:rsidRDefault="00405D16">
            <w:pPr>
              <w:spacing w:after="100"/>
              <w:jc w:val="right"/>
              <w:rPr>
                <w:rFonts w:eastAsia="Times New Roman"/>
              </w:rPr>
            </w:pPr>
          </w:p>
        </w:tc>
        <w:tc>
          <w:tcPr>
            <w:tcW w:w="0" w:type="auto"/>
            <w:vAlign w:val="center"/>
            <w:hideMark/>
          </w:tcPr>
          <w:p w14:paraId="70788E29" w14:textId="77777777" w:rsidR="00000000" w:rsidRDefault="00405D16">
            <w:pPr>
              <w:spacing w:after="100"/>
              <w:jc w:val="right"/>
              <w:rPr>
                <w:rFonts w:eastAsia="Times New Roman"/>
                <w:sz w:val="20"/>
                <w:szCs w:val="20"/>
              </w:rPr>
            </w:pPr>
          </w:p>
        </w:tc>
        <w:tc>
          <w:tcPr>
            <w:tcW w:w="0" w:type="auto"/>
            <w:vAlign w:val="center"/>
            <w:hideMark/>
          </w:tcPr>
          <w:p w14:paraId="5BF2BC72" w14:textId="77777777" w:rsidR="00000000" w:rsidRDefault="00405D16">
            <w:pPr>
              <w:spacing w:after="100"/>
              <w:rPr>
                <w:rFonts w:eastAsia="Times New Roman"/>
                <w:sz w:val="20"/>
                <w:szCs w:val="20"/>
              </w:rPr>
            </w:pPr>
          </w:p>
        </w:tc>
        <w:tc>
          <w:tcPr>
            <w:tcW w:w="0" w:type="auto"/>
            <w:vAlign w:val="center"/>
            <w:hideMark/>
          </w:tcPr>
          <w:p w14:paraId="0A343D81" w14:textId="77777777" w:rsidR="00000000" w:rsidRDefault="00405D16">
            <w:pPr>
              <w:spacing w:after="100"/>
              <w:rPr>
                <w:rFonts w:eastAsia="Times New Roman"/>
                <w:sz w:val="20"/>
                <w:szCs w:val="20"/>
              </w:rPr>
            </w:pPr>
          </w:p>
        </w:tc>
        <w:tc>
          <w:tcPr>
            <w:tcW w:w="0" w:type="auto"/>
            <w:vAlign w:val="center"/>
            <w:hideMark/>
          </w:tcPr>
          <w:p w14:paraId="11283A69" w14:textId="77777777" w:rsidR="00000000" w:rsidRDefault="00405D16">
            <w:pPr>
              <w:spacing w:after="100"/>
              <w:rPr>
                <w:rFonts w:eastAsia="Times New Roman"/>
                <w:sz w:val="20"/>
                <w:szCs w:val="20"/>
              </w:rPr>
            </w:pPr>
          </w:p>
        </w:tc>
        <w:tc>
          <w:tcPr>
            <w:tcW w:w="0" w:type="auto"/>
            <w:vAlign w:val="center"/>
            <w:hideMark/>
          </w:tcPr>
          <w:p w14:paraId="4F5578A1" w14:textId="77777777" w:rsidR="00000000" w:rsidRDefault="00405D16">
            <w:pPr>
              <w:spacing w:after="100"/>
              <w:rPr>
                <w:rFonts w:eastAsia="Times New Roman"/>
                <w:sz w:val="20"/>
                <w:szCs w:val="20"/>
              </w:rPr>
            </w:pPr>
          </w:p>
        </w:tc>
        <w:tc>
          <w:tcPr>
            <w:tcW w:w="0" w:type="auto"/>
            <w:vAlign w:val="center"/>
            <w:hideMark/>
          </w:tcPr>
          <w:p w14:paraId="1D0191F5" w14:textId="77777777" w:rsidR="00000000" w:rsidRDefault="00405D16">
            <w:pPr>
              <w:spacing w:after="100"/>
              <w:rPr>
                <w:rFonts w:eastAsia="Times New Roman"/>
                <w:sz w:val="20"/>
                <w:szCs w:val="20"/>
              </w:rPr>
            </w:pPr>
          </w:p>
        </w:tc>
      </w:tr>
      <w:tr w:rsidR="00000000" w14:paraId="3E856D44" w14:textId="77777777">
        <w:trPr>
          <w:divId w:val="2323753"/>
        </w:trPr>
        <w:tc>
          <w:tcPr>
            <w:tcW w:w="0" w:type="auto"/>
            <w:gridSpan w:val="3"/>
            <w:shd w:val="clear" w:color="auto" w:fill="FFFFFF"/>
            <w:tcMar>
              <w:top w:w="30" w:type="dxa"/>
              <w:left w:w="20" w:type="dxa"/>
              <w:bottom w:w="30" w:type="dxa"/>
              <w:right w:w="20" w:type="dxa"/>
            </w:tcMar>
            <w:vAlign w:val="center"/>
            <w:hideMark/>
          </w:tcPr>
          <w:p w14:paraId="6E64635F" w14:textId="77777777" w:rsidR="00000000" w:rsidRDefault="00405D16">
            <w:pPr>
              <w:spacing w:after="100"/>
              <w:rPr>
                <w:rFonts w:eastAsia="Times New Roman"/>
              </w:rPr>
            </w:pPr>
            <w:r>
              <w:rPr>
                <w:rFonts w:eastAsia="Times New Roman"/>
                <w:b/>
                <w:bCs/>
                <w:color w:val="000000"/>
                <w:sz w:val="18"/>
                <w:szCs w:val="18"/>
              </w:rPr>
              <w:t>Tangible Common Equity (Quarterly Average):</w:t>
            </w:r>
          </w:p>
        </w:tc>
        <w:tc>
          <w:tcPr>
            <w:tcW w:w="0" w:type="auto"/>
            <w:gridSpan w:val="3"/>
            <w:shd w:val="clear" w:color="auto" w:fill="FFFFFF"/>
            <w:tcMar>
              <w:top w:w="0" w:type="dxa"/>
              <w:left w:w="20" w:type="dxa"/>
              <w:bottom w:w="0" w:type="dxa"/>
              <w:right w:w="20" w:type="dxa"/>
            </w:tcMar>
            <w:vAlign w:val="center"/>
            <w:hideMark/>
          </w:tcPr>
          <w:p w14:paraId="1C45263B" w14:textId="77777777" w:rsidR="00000000" w:rsidRDefault="00405D16">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3D85C8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61AE1C"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4613B91" w14:textId="77777777" w:rsidR="00000000" w:rsidRDefault="00405D16">
            <w:pPr>
              <w:spacing w:after="100"/>
              <w:rPr>
                <w:rFonts w:eastAsia="Times New Roman"/>
                <w:sz w:val="20"/>
                <w:szCs w:val="20"/>
              </w:rPr>
            </w:pPr>
          </w:p>
        </w:tc>
        <w:tc>
          <w:tcPr>
            <w:tcW w:w="0" w:type="auto"/>
            <w:vAlign w:val="center"/>
            <w:hideMark/>
          </w:tcPr>
          <w:p w14:paraId="613709E2" w14:textId="77777777" w:rsidR="00000000" w:rsidRDefault="00405D16">
            <w:pPr>
              <w:spacing w:after="100"/>
              <w:rPr>
                <w:rFonts w:eastAsia="Times New Roman"/>
                <w:sz w:val="20"/>
                <w:szCs w:val="20"/>
              </w:rPr>
            </w:pPr>
          </w:p>
        </w:tc>
        <w:tc>
          <w:tcPr>
            <w:tcW w:w="0" w:type="auto"/>
            <w:vAlign w:val="center"/>
            <w:hideMark/>
          </w:tcPr>
          <w:p w14:paraId="178305A3" w14:textId="77777777" w:rsidR="00000000" w:rsidRDefault="00405D16">
            <w:pPr>
              <w:spacing w:after="100"/>
              <w:rPr>
                <w:rFonts w:eastAsia="Times New Roman"/>
                <w:sz w:val="20"/>
                <w:szCs w:val="20"/>
              </w:rPr>
            </w:pPr>
          </w:p>
        </w:tc>
        <w:tc>
          <w:tcPr>
            <w:tcW w:w="0" w:type="auto"/>
            <w:vAlign w:val="center"/>
            <w:hideMark/>
          </w:tcPr>
          <w:p w14:paraId="187BEC39" w14:textId="77777777" w:rsidR="00000000" w:rsidRDefault="00405D16">
            <w:pPr>
              <w:spacing w:after="100"/>
              <w:rPr>
                <w:rFonts w:eastAsia="Times New Roman"/>
                <w:sz w:val="20"/>
                <w:szCs w:val="20"/>
              </w:rPr>
            </w:pPr>
          </w:p>
        </w:tc>
        <w:tc>
          <w:tcPr>
            <w:tcW w:w="0" w:type="auto"/>
            <w:vAlign w:val="center"/>
            <w:hideMark/>
          </w:tcPr>
          <w:p w14:paraId="65220E69" w14:textId="77777777" w:rsidR="00000000" w:rsidRDefault="00405D16">
            <w:pPr>
              <w:spacing w:after="100"/>
              <w:rPr>
                <w:rFonts w:eastAsia="Times New Roman"/>
                <w:sz w:val="20"/>
                <w:szCs w:val="20"/>
              </w:rPr>
            </w:pPr>
          </w:p>
        </w:tc>
        <w:tc>
          <w:tcPr>
            <w:tcW w:w="0" w:type="auto"/>
            <w:vAlign w:val="center"/>
            <w:hideMark/>
          </w:tcPr>
          <w:p w14:paraId="668FCBD3" w14:textId="77777777" w:rsidR="00000000" w:rsidRDefault="00405D16">
            <w:pPr>
              <w:spacing w:after="100"/>
              <w:rPr>
                <w:rFonts w:eastAsia="Times New Roman"/>
                <w:sz w:val="20"/>
                <w:szCs w:val="20"/>
              </w:rPr>
            </w:pPr>
          </w:p>
        </w:tc>
        <w:tc>
          <w:tcPr>
            <w:tcW w:w="0" w:type="auto"/>
            <w:vAlign w:val="center"/>
            <w:hideMark/>
          </w:tcPr>
          <w:p w14:paraId="358B5D42" w14:textId="77777777" w:rsidR="00000000" w:rsidRDefault="00405D16">
            <w:pPr>
              <w:spacing w:after="100"/>
              <w:rPr>
                <w:rFonts w:eastAsia="Times New Roman"/>
                <w:sz w:val="20"/>
                <w:szCs w:val="20"/>
              </w:rPr>
            </w:pPr>
          </w:p>
        </w:tc>
      </w:tr>
      <w:tr w:rsidR="00000000" w14:paraId="74CE2D8C" w14:textId="77777777">
        <w:trPr>
          <w:divId w:val="2323753"/>
        </w:trPr>
        <w:tc>
          <w:tcPr>
            <w:tcW w:w="0" w:type="auto"/>
            <w:gridSpan w:val="3"/>
            <w:shd w:val="clear" w:color="auto" w:fill="CCEEFF"/>
            <w:tcMar>
              <w:top w:w="30" w:type="dxa"/>
              <w:left w:w="245" w:type="dxa"/>
              <w:bottom w:w="30" w:type="dxa"/>
              <w:right w:w="20" w:type="dxa"/>
            </w:tcMar>
            <w:vAlign w:val="center"/>
            <w:hideMark/>
          </w:tcPr>
          <w:p w14:paraId="1FBD9DB3" w14:textId="77777777" w:rsidR="00000000" w:rsidRDefault="00405D16">
            <w:pPr>
              <w:spacing w:after="100"/>
              <w:rPr>
                <w:rFonts w:eastAsia="Times New Roman"/>
              </w:rPr>
            </w:pPr>
            <w:r>
              <w:rPr>
                <w:rFonts w:eastAsia="Times New Roman"/>
                <w:color w:val="000000"/>
                <w:sz w:val="18"/>
                <w:szCs w:val="18"/>
              </w:rPr>
              <w:t>Stockholders’ equity</w:t>
            </w:r>
          </w:p>
        </w:tc>
        <w:tc>
          <w:tcPr>
            <w:tcW w:w="0" w:type="auto"/>
            <w:gridSpan w:val="3"/>
            <w:shd w:val="clear" w:color="auto" w:fill="CCEEFF"/>
            <w:tcMar>
              <w:top w:w="0" w:type="dxa"/>
              <w:left w:w="20" w:type="dxa"/>
              <w:bottom w:w="0" w:type="dxa"/>
              <w:right w:w="20" w:type="dxa"/>
            </w:tcMar>
            <w:vAlign w:val="center"/>
            <w:hideMark/>
          </w:tcPr>
          <w:p w14:paraId="4857A741" w14:textId="77777777" w:rsidR="00000000" w:rsidRDefault="00405D16">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65B85089"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6AF6957F" w14:textId="77777777" w:rsidR="00000000" w:rsidRDefault="00405D16">
            <w:pPr>
              <w:spacing w:after="100"/>
              <w:jc w:val="right"/>
              <w:rPr>
                <w:rFonts w:eastAsia="Times New Roman"/>
              </w:rPr>
            </w:pPr>
            <w:r>
              <w:rPr>
                <w:rFonts w:eastAsia="Times New Roman"/>
                <w:b/>
                <w:bCs/>
                <w:color w:val="000000"/>
                <w:sz w:val="18"/>
                <w:szCs w:val="18"/>
              </w:rPr>
              <w:t>64,682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0D2216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580E0F"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152044A5"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11F636B3" w14:textId="77777777" w:rsidR="00000000" w:rsidRDefault="00405D16">
            <w:pPr>
              <w:spacing w:after="100"/>
              <w:jc w:val="right"/>
              <w:rPr>
                <w:rFonts w:eastAsia="Times New Roman"/>
              </w:rPr>
            </w:pPr>
            <w:r>
              <w:rPr>
                <w:rFonts w:eastAsia="Times New Roman"/>
                <w:color w:val="000000"/>
                <w:sz w:val="18"/>
                <w:szCs w:val="18"/>
              </w:rPr>
              <w:t>59,389 </w:t>
            </w:r>
          </w:p>
        </w:tc>
        <w:tc>
          <w:tcPr>
            <w:tcW w:w="0" w:type="auto"/>
            <w:shd w:val="clear" w:color="auto" w:fill="CCEEFF"/>
            <w:tcMar>
              <w:top w:w="30" w:type="dxa"/>
              <w:left w:w="0" w:type="dxa"/>
              <w:bottom w:w="30" w:type="dxa"/>
              <w:right w:w="20" w:type="dxa"/>
            </w:tcMar>
            <w:vAlign w:val="center"/>
            <w:hideMark/>
          </w:tcPr>
          <w:p w14:paraId="2D9D32D1" w14:textId="77777777" w:rsidR="00000000" w:rsidRDefault="00405D16">
            <w:pPr>
              <w:spacing w:after="100"/>
              <w:jc w:val="right"/>
              <w:rPr>
                <w:rFonts w:eastAsia="Times New Roman"/>
              </w:rPr>
            </w:pPr>
          </w:p>
        </w:tc>
        <w:tc>
          <w:tcPr>
            <w:tcW w:w="0" w:type="auto"/>
            <w:vAlign w:val="center"/>
            <w:hideMark/>
          </w:tcPr>
          <w:p w14:paraId="02B341D7" w14:textId="77777777" w:rsidR="00000000" w:rsidRDefault="00405D16">
            <w:pPr>
              <w:spacing w:after="100"/>
              <w:jc w:val="right"/>
              <w:rPr>
                <w:rFonts w:eastAsia="Times New Roman"/>
                <w:sz w:val="20"/>
                <w:szCs w:val="20"/>
              </w:rPr>
            </w:pPr>
          </w:p>
        </w:tc>
        <w:tc>
          <w:tcPr>
            <w:tcW w:w="0" w:type="auto"/>
            <w:vAlign w:val="center"/>
            <w:hideMark/>
          </w:tcPr>
          <w:p w14:paraId="31F17447" w14:textId="77777777" w:rsidR="00000000" w:rsidRDefault="00405D16">
            <w:pPr>
              <w:spacing w:after="100"/>
              <w:rPr>
                <w:rFonts w:eastAsia="Times New Roman"/>
                <w:sz w:val="20"/>
                <w:szCs w:val="20"/>
              </w:rPr>
            </w:pPr>
          </w:p>
        </w:tc>
        <w:tc>
          <w:tcPr>
            <w:tcW w:w="0" w:type="auto"/>
            <w:vAlign w:val="center"/>
            <w:hideMark/>
          </w:tcPr>
          <w:p w14:paraId="170690DA" w14:textId="77777777" w:rsidR="00000000" w:rsidRDefault="00405D16">
            <w:pPr>
              <w:spacing w:after="100"/>
              <w:rPr>
                <w:rFonts w:eastAsia="Times New Roman"/>
                <w:sz w:val="20"/>
                <w:szCs w:val="20"/>
              </w:rPr>
            </w:pPr>
          </w:p>
        </w:tc>
        <w:tc>
          <w:tcPr>
            <w:tcW w:w="0" w:type="auto"/>
            <w:vAlign w:val="center"/>
            <w:hideMark/>
          </w:tcPr>
          <w:p w14:paraId="71EFC97E" w14:textId="77777777" w:rsidR="00000000" w:rsidRDefault="00405D16">
            <w:pPr>
              <w:spacing w:after="100"/>
              <w:rPr>
                <w:rFonts w:eastAsia="Times New Roman"/>
                <w:sz w:val="20"/>
                <w:szCs w:val="20"/>
              </w:rPr>
            </w:pPr>
          </w:p>
        </w:tc>
        <w:tc>
          <w:tcPr>
            <w:tcW w:w="0" w:type="auto"/>
            <w:vAlign w:val="center"/>
            <w:hideMark/>
          </w:tcPr>
          <w:p w14:paraId="1711DFDC" w14:textId="77777777" w:rsidR="00000000" w:rsidRDefault="00405D16">
            <w:pPr>
              <w:spacing w:after="100"/>
              <w:rPr>
                <w:rFonts w:eastAsia="Times New Roman"/>
                <w:sz w:val="20"/>
                <w:szCs w:val="20"/>
              </w:rPr>
            </w:pPr>
          </w:p>
        </w:tc>
        <w:tc>
          <w:tcPr>
            <w:tcW w:w="0" w:type="auto"/>
            <w:vAlign w:val="center"/>
            <w:hideMark/>
          </w:tcPr>
          <w:p w14:paraId="23C5C2C8" w14:textId="77777777" w:rsidR="00000000" w:rsidRDefault="00405D16">
            <w:pPr>
              <w:spacing w:after="100"/>
              <w:rPr>
                <w:rFonts w:eastAsia="Times New Roman"/>
                <w:sz w:val="20"/>
                <w:szCs w:val="20"/>
              </w:rPr>
            </w:pPr>
          </w:p>
        </w:tc>
      </w:tr>
      <w:tr w:rsidR="00000000" w14:paraId="60ED8777" w14:textId="77777777">
        <w:trPr>
          <w:divId w:val="2323753"/>
        </w:trPr>
        <w:tc>
          <w:tcPr>
            <w:tcW w:w="0" w:type="auto"/>
            <w:gridSpan w:val="3"/>
            <w:shd w:val="clear" w:color="auto" w:fill="FFFFFF"/>
            <w:tcMar>
              <w:top w:w="30" w:type="dxa"/>
              <w:left w:w="20" w:type="dxa"/>
              <w:bottom w:w="30" w:type="dxa"/>
              <w:right w:w="20" w:type="dxa"/>
            </w:tcMar>
            <w:vAlign w:val="center"/>
            <w:hideMark/>
          </w:tcPr>
          <w:p w14:paraId="24B64B39" w14:textId="77777777" w:rsidR="00000000" w:rsidRDefault="00405D16">
            <w:pPr>
              <w:spacing w:after="100"/>
              <w:divId w:val="256402808"/>
              <w:rPr>
                <w:rFonts w:eastAsia="Times New Roman"/>
              </w:rPr>
            </w:pPr>
            <w:r>
              <w:rPr>
                <w:rFonts w:eastAsia="Times New Roman"/>
                <w:color w:val="000000"/>
                <w:sz w:val="18"/>
                <w:szCs w:val="18"/>
              </w:rPr>
              <w:t>Goodwill and intangible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00708AD3"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88A6E35" w14:textId="77777777" w:rsidR="00000000" w:rsidRDefault="00405D16">
            <w:pPr>
              <w:spacing w:after="100"/>
              <w:jc w:val="right"/>
              <w:rPr>
                <w:rFonts w:eastAsia="Times New Roman"/>
              </w:rPr>
            </w:pPr>
            <w:r>
              <w:rPr>
                <w:rFonts w:eastAsia="Times New Roman"/>
                <w:b/>
                <w:bCs/>
                <w:color w:val="000000"/>
                <w:sz w:val="18"/>
                <w:szCs w:val="18"/>
              </w:rPr>
              <w:t>(14,777)</w:t>
            </w:r>
          </w:p>
        </w:tc>
        <w:tc>
          <w:tcPr>
            <w:tcW w:w="0" w:type="auto"/>
            <w:shd w:val="clear" w:color="auto" w:fill="FFFFFF"/>
            <w:tcMar>
              <w:top w:w="30" w:type="dxa"/>
              <w:left w:w="0" w:type="dxa"/>
              <w:bottom w:w="30" w:type="dxa"/>
              <w:right w:w="20" w:type="dxa"/>
            </w:tcMar>
            <w:vAlign w:val="center"/>
            <w:hideMark/>
          </w:tcPr>
          <w:p w14:paraId="71B2D1E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2A760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BFF1442" w14:textId="77777777" w:rsidR="00000000" w:rsidRDefault="00405D16">
            <w:pPr>
              <w:spacing w:after="100"/>
              <w:jc w:val="right"/>
              <w:rPr>
                <w:rFonts w:eastAsia="Times New Roman"/>
              </w:rPr>
            </w:pPr>
            <w:r>
              <w:rPr>
                <w:rFonts w:eastAsia="Times New Roman"/>
                <w:color w:val="000000"/>
                <w:sz w:val="18"/>
                <w:szCs w:val="18"/>
              </w:rPr>
              <w:t>(14,824)</w:t>
            </w:r>
          </w:p>
        </w:tc>
        <w:tc>
          <w:tcPr>
            <w:tcW w:w="0" w:type="auto"/>
            <w:shd w:val="clear" w:color="auto" w:fill="FFFFFF"/>
            <w:tcMar>
              <w:top w:w="30" w:type="dxa"/>
              <w:left w:w="0" w:type="dxa"/>
              <w:bottom w:w="30" w:type="dxa"/>
              <w:right w:w="20" w:type="dxa"/>
            </w:tcMar>
            <w:vAlign w:val="center"/>
            <w:hideMark/>
          </w:tcPr>
          <w:p w14:paraId="23B8EB7D" w14:textId="77777777" w:rsidR="00000000" w:rsidRDefault="00405D16">
            <w:pPr>
              <w:spacing w:after="100"/>
              <w:jc w:val="right"/>
              <w:rPr>
                <w:rFonts w:eastAsia="Times New Roman"/>
              </w:rPr>
            </w:pPr>
          </w:p>
        </w:tc>
        <w:tc>
          <w:tcPr>
            <w:tcW w:w="0" w:type="auto"/>
            <w:vAlign w:val="center"/>
            <w:hideMark/>
          </w:tcPr>
          <w:p w14:paraId="082EE724" w14:textId="77777777" w:rsidR="00000000" w:rsidRDefault="00405D16">
            <w:pPr>
              <w:spacing w:after="100"/>
              <w:jc w:val="right"/>
              <w:rPr>
                <w:rFonts w:eastAsia="Times New Roman"/>
                <w:sz w:val="20"/>
                <w:szCs w:val="20"/>
              </w:rPr>
            </w:pPr>
          </w:p>
        </w:tc>
        <w:tc>
          <w:tcPr>
            <w:tcW w:w="0" w:type="auto"/>
            <w:vAlign w:val="center"/>
            <w:hideMark/>
          </w:tcPr>
          <w:p w14:paraId="0A66038F" w14:textId="77777777" w:rsidR="00000000" w:rsidRDefault="00405D16">
            <w:pPr>
              <w:spacing w:after="100"/>
              <w:rPr>
                <w:rFonts w:eastAsia="Times New Roman"/>
                <w:sz w:val="20"/>
                <w:szCs w:val="20"/>
              </w:rPr>
            </w:pPr>
          </w:p>
        </w:tc>
        <w:tc>
          <w:tcPr>
            <w:tcW w:w="0" w:type="auto"/>
            <w:vAlign w:val="center"/>
            <w:hideMark/>
          </w:tcPr>
          <w:p w14:paraId="06A33043" w14:textId="77777777" w:rsidR="00000000" w:rsidRDefault="00405D16">
            <w:pPr>
              <w:spacing w:after="100"/>
              <w:rPr>
                <w:rFonts w:eastAsia="Times New Roman"/>
                <w:sz w:val="20"/>
                <w:szCs w:val="20"/>
              </w:rPr>
            </w:pPr>
          </w:p>
        </w:tc>
        <w:tc>
          <w:tcPr>
            <w:tcW w:w="0" w:type="auto"/>
            <w:vAlign w:val="center"/>
            <w:hideMark/>
          </w:tcPr>
          <w:p w14:paraId="3D7F2D5E" w14:textId="77777777" w:rsidR="00000000" w:rsidRDefault="00405D16">
            <w:pPr>
              <w:spacing w:after="100"/>
              <w:rPr>
                <w:rFonts w:eastAsia="Times New Roman"/>
                <w:sz w:val="20"/>
                <w:szCs w:val="20"/>
              </w:rPr>
            </w:pPr>
          </w:p>
        </w:tc>
        <w:tc>
          <w:tcPr>
            <w:tcW w:w="0" w:type="auto"/>
            <w:vAlign w:val="center"/>
            <w:hideMark/>
          </w:tcPr>
          <w:p w14:paraId="52FC3D5F" w14:textId="77777777" w:rsidR="00000000" w:rsidRDefault="00405D16">
            <w:pPr>
              <w:spacing w:after="100"/>
              <w:rPr>
                <w:rFonts w:eastAsia="Times New Roman"/>
                <w:sz w:val="20"/>
                <w:szCs w:val="20"/>
              </w:rPr>
            </w:pPr>
          </w:p>
        </w:tc>
        <w:tc>
          <w:tcPr>
            <w:tcW w:w="0" w:type="auto"/>
            <w:vAlign w:val="center"/>
            <w:hideMark/>
          </w:tcPr>
          <w:p w14:paraId="31CB57A1" w14:textId="77777777" w:rsidR="00000000" w:rsidRDefault="00405D16">
            <w:pPr>
              <w:spacing w:after="100"/>
              <w:rPr>
                <w:rFonts w:eastAsia="Times New Roman"/>
                <w:sz w:val="20"/>
                <w:szCs w:val="20"/>
              </w:rPr>
            </w:pPr>
          </w:p>
        </w:tc>
      </w:tr>
      <w:tr w:rsidR="00000000" w14:paraId="35F22FCA" w14:textId="77777777">
        <w:trPr>
          <w:divId w:val="2323753"/>
        </w:trPr>
        <w:tc>
          <w:tcPr>
            <w:tcW w:w="0" w:type="auto"/>
            <w:gridSpan w:val="3"/>
            <w:shd w:val="clear" w:color="auto" w:fill="CCEEFF"/>
            <w:tcMar>
              <w:top w:w="30" w:type="dxa"/>
              <w:left w:w="245" w:type="dxa"/>
              <w:bottom w:w="30" w:type="dxa"/>
              <w:right w:w="20" w:type="dxa"/>
            </w:tcMar>
            <w:vAlign w:val="center"/>
            <w:hideMark/>
          </w:tcPr>
          <w:p w14:paraId="1372C11E" w14:textId="77777777" w:rsidR="00000000" w:rsidRDefault="00405D16">
            <w:pPr>
              <w:spacing w:after="100"/>
              <w:rPr>
                <w:rFonts w:eastAsia="Times New Roman"/>
              </w:rPr>
            </w:pPr>
            <w:r>
              <w:rPr>
                <w:rFonts w:eastAsia="Times New Roman"/>
                <w:color w:val="000000"/>
                <w:sz w:val="18"/>
                <w:szCs w:val="18"/>
              </w:rPr>
              <w:t>Noncumulative perpetual preferred stock</w:t>
            </w:r>
          </w:p>
        </w:tc>
        <w:tc>
          <w:tcPr>
            <w:tcW w:w="0" w:type="auto"/>
            <w:gridSpan w:val="3"/>
            <w:shd w:val="clear" w:color="auto" w:fill="CCEEFF"/>
            <w:tcMar>
              <w:top w:w="0" w:type="dxa"/>
              <w:left w:w="20" w:type="dxa"/>
              <w:bottom w:w="0" w:type="dxa"/>
              <w:right w:w="20" w:type="dxa"/>
            </w:tcMar>
            <w:vAlign w:val="center"/>
            <w:hideMark/>
          </w:tcPr>
          <w:p w14:paraId="34674A0E"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990D0BA" w14:textId="77777777" w:rsidR="00000000" w:rsidRDefault="00405D16">
            <w:pPr>
              <w:spacing w:after="100"/>
              <w:jc w:val="right"/>
              <w:rPr>
                <w:rFonts w:eastAsia="Times New Roman"/>
              </w:rPr>
            </w:pPr>
            <w:r>
              <w:rPr>
                <w:rFonts w:eastAsia="Times New Roman"/>
                <w:b/>
                <w:bCs/>
                <w:color w:val="000000"/>
                <w:sz w:val="18"/>
                <w:szCs w:val="18"/>
              </w:rPr>
              <w:t>(6,452)</w:t>
            </w:r>
          </w:p>
        </w:tc>
        <w:tc>
          <w:tcPr>
            <w:tcW w:w="0" w:type="auto"/>
            <w:shd w:val="clear" w:color="auto" w:fill="CCEEFF"/>
            <w:tcMar>
              <w:top w:w="30" w:type="dxa"/>
              <w:left w:w="0" w:type="dxa"/>
              <w:bottom w:w="30" w:type="dxa"/>
              <w:right w:w="20" w:type="dxa"/>
            </w:tcMar>
            <w:vAlign w:val="center"/>
            <w:hideMark/>
          </w:tcPr>
          <w:p w14:paraId="43A4610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2A8A3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F05C09E" w14:textId="77777777" w:rsidR="00000000" w:rsidRDefault="00405D16">
            <w:pPr>
              <w:spacing w:after="100"/>
              <w:jc w:val="right"/>
              <w:rPr>
                <w:rFonts w:eastAsia="Times New Roman"/>
              </w:rPr>
            </w:pPr>
            <w:r>
              <w:rPr>
                <w:rFonts w:eastAsia="Times New Roman"/>
                <w:color w:val="000000"/>
                <w:sz w:val="18"/>
                <w:szCs w:val="18"/>
              </w:rPr>
              <w:t>(5,168)</w:t>
            </w:r>
          </w:p>
        </w:tc>
        <w:tc>
          <w:tcPr>
            <w:tcW w:w="0" w:type="auto"/>
            <w:shd w:val="clear" w:color="auto" w:fill="CCEEFF"/>
            <w:tcMar>
              <w:top w:w="30" w:type="dxa"/>
              <w:left w:w="0" w:type="dxa"/>
              <w:bottom w:w="30" w:type="dxa"/>
              <w:right w:w="20" w:type="dxa"/>
            </w:tcMar>
            <w:vAlign w:val="center"/>
            <w:hideMark/>
          </w:tcPr>
          <w:p w14:paraId="5ABB364D" w14:textId="77777777" w:rsidR="00000000" w:rsidRDefault="00405D16">
            <w:pPr>
              <w:spacing w:after="100"/>
              <w:jc w:val="right"/>
              <w:rPr>
                <w:rFonts w:eastAsia="Times New Roman"/>
              </w:rPr>
            </w:pPr>
          </w:p>
        </w:tc>
        <w:tc>
          <w:tcPr>
            <w:tcW w:w="0" w:type="auto"/>
            <w:vAlign w:val="center"/>
            <w:hideMark/>
          </w:tcPr>
          <w:p w14:paraId="5B1F1E0F" w14:textId="77777777" w:rsidR="00000000" w:rsidRDefault="00405D16">
            <w:pPr>
              <w:spacing w:after="100"/>
              <w:jc w:val="right"/>
              <w:rPr>
                <w:rFonts w:eastAsia="Times New Roman"/>
                <w:sz w:val="20"/>
                <w:szCs w:val="20"/>
              </w:rPr>
            </w:pPr>
          </w:p>
        </w:tc>
        <w:tc>
          <w:tcPr>
            <w:tcW w:w="0" w:type="auto"/>
            <w:vAlign w:val="center"/>
            <w:hideMark/>
          </w:tcPr>
          <w:p w14:paraId="53D1097A" w14:textId="77777777" w:rsidR="00000000" w:rsidRDefault="00405D16">
            <w:pPr>
              <w:spacing w:after="100"/>
              <w:rPr>
                <w:rFonts w:eastAsia="Times New Roman"/>
                <w:sz w:val="20"/>
                <w:szCs w:val="20"/>
              </w:rPr>
            </w:pPr>
          </w:p>
        </w:tc>
        <w:tc>
          <w:tcPr>
            <w:tcW w:w="0" w:type="auto"/>
            <w:vAlign w:val="center"/>
            <w:hideMark/>
          </w:tcPr>
          <w:p w14:paraId="156579F8" w14:textId="77777777" w:rsidR="00000000" w:rsidRDefault="00405D16">
            <w:pPr>
              <w:spacing w:after="100"/>
              <w:rPr>
                <w:rFonts w:eastAsia="Times New Roman"/>
                <w:sz w:val="20"/>
                <w:szCs w:val="20"/>
              </w:rPr>
            </w:pPr>
          </w:p>
        </w:tc>
        <w:tc>
          <w:tcPr>
            <w:tcW w:w="0" w:type="auto"/>
            <w:vAlign w:val="center"/>
            <w:hideMark/>
          </w:tcPr>
          <w:p w14:paraId="7104E11A" w14:textId="77777777" w:rsidR="00000000" w:rsidRDefault="00405D16">
            <w:pPr>
              <w:spacing w:after="100"/>
              <w:rPr>
                <w:rFonts w:eastAsia="Times New Roman"/>
                <w:sz w:val="20"/>
                <w:szCs w:val="20"/>
              </w:rPr>
            </w:pPr>
          </w:p>
        </w:tc>
        <w:tc>
          <w:tcPr>
            <w:tcW w:w="0" w:type="auto"/>
            <w:vAlign w:val="center"/>
            <w:hideMark/>
          </w:tcPr>
          <w:p w14:paraId="633CA39F" w14:textId="77777777" w:rsidR="00000000" w:rsidRDefault="00405D16">
            <w:pPr>
              <w:spacing w:after="100"/>
              <w:rPr>
                <w:rFonts w:eastAsia="Times New Roman"/>
                <w:sz w:val="20"/>
                <w:szCs w:val="20"/>
              </w:rPr>
            </w:pPr>
          </w:p>
        </w:tc>
        <w:tc>
          <w:tcPr>
            <w:tcW w:w="0" w:type="auto"/>
            <w:vAlign w:val="center"/>
            <w:hideMark/>
          </w:tcPr>
          <w:p w14:paraId="285DEA4C" w14:textId="77777777" w:rsidR="00000000" w:rsidRDefault="00405D16">
            <w:pPr>
              <w:spacing w:after="100"/>
              <w:rPr>
                <w:rFonts w:eastAsia="Times New Roman"/>
                <w:sz w:val="20"/>
                <w:szCs w:val="20"/>
              </w:rPr>
            </w:pPr>
          </w:p>
        </w:tc>
      </w:tr>
      <w:tr w:rsidR="00000000" w14:paraId="38357BE5" w14:textId="77777777">
        <w:trPr>
          <w:divId w:val="2323753"/>
        </w:trPr>
        <w:tc>
          <w:tcPr>
            <w:tcW w:w="0" w:type="auto"/>
            <w:gridSpan w:val="3"/>
            <w:shd w:val="clear" w:color="auto" w:fill="FFFFFF"/>
            <w:tcMar>
              <w:top w:w="30" w:type="dxa"/>
              <w:left w:w="20" w:type="dxa"/>
              <w:bottom w:w="30" w:type="dxa"/>
              <w:right w:w="20" w:type="dxa"/>
            </w:tcMar>
            <w:vAlign w:val="center"/>
            <w:hideMark/>
          </w:tcPr>
          <w:p w14:paraId="27202B7B" w14:textId="77777777" w:rsidR="00000000" w:rsidRDefault="00405D16">
            <w:pPr>
              <w:spacing w:after="100"/>
              <w:rPr>
                <w:rFonts w:eastAsia="Times New Roman"/>
              </w:rPr>
            </w:pPr>
            <w:r>
              <w:rPr>
                <w:rFonts w:eastAsia="Times New Roman"/>
                <w:color w:val="000000"/>
                <w:sz w:val="18"/>
                <w:szCs w:val="18"/>
              </w:rPr>
              <w:t>Tangible common equity</w:t>
            </w:r>
          </w:p>
        </w:tc>
        <w:tc>
          <w:tcPr>
            <w:tcW w:w="0" w:type="auto"/>
            <w:gridSpan w:val="3"/>
            <w:shd w:val="clear" w:color="auto" w:fill="FFFFFF"/>
            <w:tcMar>
              <w:top w:w="0" w:type="dxa"/>
              <w:left w:w="20" w:type="dxa"/>
              <w:bottom w:w="0" w:type="dxa"/>
              <w:right w:w="20" w:type="dxa"/>
            </w:tcMar>
            <w:vAlign w:val="center"/>
            <w:hideMark/>
          </w:tcPr>
          <w:p w14:paraId="1830D205" w14:textId="77777777" w:rsidR="00000000" w:rsidRDefault="00405D16">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23F5D678"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29318C77" w14:textId="77777777" w:rsidR="00000000" w:rsidRDefault="00405D16">
            <w:pPr>
              <w:spacing w:after="100"/>
              <w:jc w:val="right"/>
              <w:rPr>
                <w:rFonts w:eastAsia="Times New Roman"/>
              </w:rPr>
            </w:pPr>
            <w:r>
              <w:rPr>
                <w:rFonts w:eastAsia="Times New Roman"/>
                <w:b/>
                <w:bCs/>
                <w:color w:val="000000"/>
                <w:sz w:val="18"/>
                <w:szCs w:val="18"/>
              </w:rPr>
              <w:t>43,453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CE6870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D6CA31"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6517B1E9"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9111800" w14:textId="77777777" w:rsidR="00000000" w:rsidRDefault="00405D16">
            <w:pPr>
              <w:spacing w:after="100"/>
              <w:jc w:val="right"/>
              <w:rPr>
                <w:rFonts w:eastAsia="Times New Roman"/>
              </w:rPr>
            </w:pPr>
            <w:r>
              <w:rPr>
                <w:rFonts w:eastAsia="Times New Roman"/>
                <w:color w:val="000000"/>
                <w:sz w:val="18"/>
                <w:szCs w:val="18"/>
              </w:rPr>
              <w:t>39,397 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FD2A877" w14:textId="77777777" w:rsidR="00000000" w:rsidRDefault="00405D16">
            <w:pPr>
              <w:spacing w:after="100"/>
              <w:jc w:val="right"/>
              <w:rPr>
                <w:rFonts w:eastAsia="Times New Roman"/>
              </w:rPr>
            </w:pPr>
          </w:p>
        </w:tc>
        <w:tc>
          <w:tcPr>
            <w:tcW w:w="0" w:type="auto"/>
            <w:vAlign w:val="center"/>
            <w:hideMark/>
          </w:tcPr>
          <w:p w14:paraId="4F95CFB8" w14:textId="77777777" w:rsidR="00000000" w:rsidRDefault="00405D16">
            <w:pPr>
              <w:spacing w:after="100"/>
              <w:jc w:val="right"/>
              <w:rPr>
                <w:rFonts w:eastAsia="Times New Roman"/>
                <w:sz w:val="20"/>
                <w:szCs w:val="20"/>
              </w:rPr>
            </w:pPr>
          </w:p>
        </w:tc>
        <w:tc>
          <w:tcPr>
            <w:tcW w:w="0" w:type="auto"/>
            <w:vAlign w:val="center"/>
            <w:hideMark/>
          </w:tcPr>
          <w:p w14:paraId="414EB4AA" w14:textId="77777777" w:rsidR="00000000" w:rsidRDefault="00405D16">
            <w:pPr>
              <w:spacing w:after="100"/>
              <w:rPr>
                <w:rFonts w:eastAsia="Times New Roman"/>
                <w:sz w:val="20"/>
                <w:szCs w:val="20"/>
              </w:rPr>
            </w:pPr>
          </w:p>
        </w:tc>
        <w:tc>
          <w:tcPr>
            <w:tcW w:w="0" w:type="auto"/>
            <w:vAlign w:val="center"/>
            <w:hideMark/>
          </w:tcPr>
          <w:p w14:paraId="0375AA0A" w14:textId="77777777" w:rsidR="00000000" w:rsidRDefault="00405D16">
            <w:pPr>
              <w:spacing w:after="100"/>
              <w:rPr>
                <w:rFonts w:eastAsia="Times New Roman"/>
                <w:sz w:val="20"/>
                <w:szCs w:val="20"/>
              </w:rPr>
            </w:pPr>
          </w:p>
        </w:tc>
        <w:tc>
          <w:tcPr>
            <w:tcW w:w="0" w:type="auto"/>
            <w:vAlign w:val="center"/>
            <w:hideMark/>
          </w:tcPr>
          <w:p w14:paraId="5408F1A9" w14:textId="77777777" w:rsidR="00000000" w:rsidRDefault="00405D16">
            <w:pPr>
              <w:spacing w:after="100"/>
              <w:rPr>
                <w:rFonts w:eastAsia="Times New Roman"/>
                <w:sz w:val="20"/>
                <w:szCs w:val="20"/>
              </w:rPr>
            </w:pPr>
          </w:p>
        </w:tc>
        <w:tc>
          <w:tcPr>
            <w:tcW w:w="0" w:type="auto"/>
            <w:vAlign w:val="center"/>
            <w:hideMark/>
          </w:tcPr>
          <w:p w14:paraId="762BCACA" w14:textId="77777777" w:rsidR="00000000" w:rsidRDefault="00405D16">
            <w:pPr>
              <w:spacing w:after="100"/>
              <w:rPr>
                <w:rFonts w:eastAsia="Times New Roman"/>
                <w:sz w:val="20"/>
                <w:szCs w:val="20"/>
              </w:rPr>
            </w:pPr>
          </w:p>
        </w:tc>
        <w:tc>
          <w:tcPr>
            <w:tcW w:w="0" w:type="auto"/>
            <w:vAlign w:val="center"/>
            <w:hideMark/>
          </w:tcPr>
          <w:p w14:paraId="090FA4E4" w14:textId="77777777" w:rsidR="00000000" w:rsidRDefault="00405D16">
            <w:pPr>
              <w:spacing w:after="100"/>
              <w:rPr>
                <w:rFonts w:eastAsia="Times New Roman"/>
                <w:sz w:val="20"/>
                <w:szCs w:val="20"/>
              </w:rPr>
            </w:pPr>
          </w:p>
        </w:tc>
      </w:tr>
      <w:tr w:rsidR="00000000" w14:paraId="1C1C0403" w14:textId="77777777">
        <w:trPr>
          <w:divId w:val="2323753"/>
        </w:trPr>
        <w:tc>
          <w:tcPr>
            <w:tcW w:w="0" w:type="auto"/>
            <w:gridSpan w:val="3"/>
            <w:shd w:val="clear" w:color="auto" w:fill="CCEEFF"/>
            <w:tcMar>
              <w:top w:w="30" w:type="dxa"/>
              <w:left w:w="20" w:type="dxa"/>
              <w:bottom w:w="30" w:type="dxa"/>
              <w:right w:w="20" w:type="dxa"/>
            </w:tcMar>
            <w:vAlign w:val="center"/>
            <w:hideMark/>
          </w:tcPr>
          <w:p w14:paraId="76DEDB73" w14:textId="77777777" w:rsidR="00000000" w:rsidRDefault="00405D16">
            <w:pPr>
              <w:spacing w:after="100"/>
              <w:rPr>
                <w:rFonts w:eastAsia="Times New Roman"/>
              </w:rPr>
            </w:pPr>
            <w:r>
              <w:rPr>
                <w:rFonts w:eastAsia="Times New Roman"/>
                <w:b/>
                <w:bCs/>
                <w:color w:val="000000"/>
                <w:sz w:val="18"/>
                <w:szCs w:val="18"/>
              </w:rPr>
              <w:t>Tangible Assets (Period-End):</w:t>
            </w:r>
          </w:p>
        </w:tc>
        <w:tc>
          <w:tcPr>
            <w:tcW w:w="0" w:type="auto"/>
            <w:gridSpan w:val="3"/>
            <w:shd w:val="clear" w:color="auto" w:fill="CCEEFF"/>
            <w:tcMar>
              <w:top w:w="0" w:type="dxa"/>
              <w:left w:w="20" w:type="dxa"/>
              <w:bottom w:w="0" w:type="dxa"/>
              <w:right w:w="20" w:type="dxa"/>
            </w:tcMar>
            <w:vAlign w:val="center"/>
            <w:hideMark/>
          </w:tcPr>
          <w:p w14:paraId="5E95D41F" w14:textId="77777777" w:rsidR="00000000" w:rsidRDefault="00405D16">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4F7812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22917C"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733ED21" w14:textId="77777777" w:rsidR="00000000" w:rsidRDefault="00405D16">
            <w:pPr>
              <w:spacing w:after="100"/>
              <w:rPr>
                <w:rFonts w:eastAsia="Times New Roman"/>
                <w:sz w:val="20"/>
                <w:szCs w:val="20"/>
              </w:rPr>
            </w:pPr>
          </w:p>
        </w:tc>
        <w:tc>
          <w:tcPr>
            <w:tcW w:w="0" w:type="auto"/>
            <w:vAlign w:val="center"/>
            <w:hideMark/>
          </w:tcPr>
          <w:p w14:paraId="2E1CF5D6" w14:textId="77777777" w:rsidR="00000000" w:rsidRDefault="00405D16">
            <w:pPr>
              <w:spacing w:after="100"/>
              <w:rPr>
                <w:rFonts w:eastAsia="Times New Roman"/>
                <w:sz w:val="20"/>
                <w:szCs w:val="20"/>
              </w:rPr>
            </w:pPr>
          </w:p>
        </w:tc>
        <w:tc>
          <w:tcPr>
            <w:tcW w:w="0" w:type="auto"/>
            <w:vAlign w:val="center"/>
            <w:hideMark/>
          </w:tcPr>
          <w:p w14:paraId="280FED55" w14:textId="77777777" w:rsidR="00000000" w:rsidRDefault="00405D16">
            <w:pPr>
              <w:spacing w:after="100"/>
              <w:rPr>
                <w:rFonts w:eastAsia="Times New Roman"/>
                <w:sz w:val="20"/>
                <w:szCs w:val="20"/>
              </w:rPr>
            </w:pPr>
          </w:p>
        </w:tc>
        <w:tc>
          <w:tcPr>
            <w:tcW w:w="0" w:type="auto"/>
            <w:vAlign w:val="center"/>
            <w:hideMark/>
          </w:tcPr>
          <w:p w14:paraId="0610A083" w14:textId="77777777" w:rsidR="00000000" w:rsidRDefault="00405D16">
            <w:pPr>
              <w:spacing w:after="100"/>
              <w:rPr>
                <w:rFonts w:eastAsia="Times New Roman"/>
                <w:sz w:val="20"/>
                <w:szCs w:val="20"/>
              </w:rPr>
            </w:pPr>
          </w:p>
        </w:tc>
        <w:tc>
          <w:tcPr>
            <w:tcW w:w="0" w:type="auto"/>
            <w:vAlign w:val="center"/>
            <w:hideMark/>
          </w:tcPr>
          <w:p w14:paraId="46EA71C5" w14:textId="77777777" w:rsidR="00000000" w:rsidRDefault="00405D16">
            <w:pPr>
              <w:spacing w:after="100"/>
              <w:rPr>
                <w:rFonts w:eastAsia="Times New Roman"/>
                <w:sz w:val="20"/>
                <w:szCs w:val="20"/>
              </w:rPr>
            </w:pPr>
          </w:p>
        </w:tc>
        <w:tc>
          <w:tcPr>
            <w:tcW w:w="0" w:type="auto"/>
            <w:vAlign w:val="center"/>
            <w:hideMark/>
          </w:tcPr>
          <w:p w14:paraId="2B1B648A" w14:textId="77777777" w:rsidR="00000000" w:rsidRDefault="00405D16">
            <w:pPr>
              <w:spacing w:after="100"/>
              <w:rPr>
                <w:rFonts w:eastAsia="Times New Roman"/>
                <w:sz w:val="20"/>
                <w:szCs w:val="20"/>
              </w:rPr>
            </w:pPr>
          </w:p>
        </w:tc>
        <w:tc>
          <w:tcPr>
            <w:tcW w:w="0" w:type="auto"/>
            <w:vAlign w:val="center"/>
            <w:hideMark/>
          </w:tcPr>
          <w:p w14:paraId="54ECD108" w14:textId="77777777" w:rsidR="00000000" w:rsidRDefault="00405D16">
            <w:pPr>
              <w:spacing w:after="100"/>
              <w:rPr>
                <w:rFonts w:eastAsia="Times New Roman"/>
                <w:sz w:val="20"/>
                <w:szCs w:val="20"/>
              </w:rPr>
            </w:pPr>
          </w:p>
        </w:tc>
      </w:tr>
      <w:tr w:rsidR="00000000" w14:paraId="728C64C8" w14:textId="77777777">
        <w:trPr>
          <w:divId w:val="2323753"/>
        </w:trPr>
        <w:tc>
          <w:tcPr>
            <w:tcW w:w="0" w:type="auto"/>
            <w:gridSpan w:val="3"/>
            <w:shd w:val="clear" w:color="auto" w:fill="FFFFFF"/>
            <w:tcMar>
              <w:top w:w="30" w:type="dxa"/>
              <w:left w:w="245" w:type="dxa"/>
              <w:bottom w:w="30" w:type="dxa"/>
              <w:right w:w="20" w:type="dxa"/>
            </w:tcMar>
            <w:vAlign w:val="center"/>
            <w:hideMark/>
          </w:tcPr>
          <w:p w14:paraId="79D2B456" w14:textId="77777777" w:rsidR="00000000" w:rsidRDefault="00405D16">
            <w:pPr>
              <w:spacing w:after="100"/>
              <w:rPr>
                <w:rFonts w:eastAsia="Times New Roman"/>
              </w:rPr>
            </w:pPr>
            <w:r>
              <w:rPr>
                <w:rFonts w:eastAsia="Times New Roman"/>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14:paraId="235D51DD"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4E1A4042"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60200DEC" w14:textId="77777777" w:rsidR="00000000" w:rsidRDefault="00405D16">
            <w:pPr>
              <w:spacing w:after="100"/>
              <w:jc w:val="right"/>
              <w:rPr>
                <w:rFonts w:eastAsia="Times New Roman"/>
              </w:rPr>
            </w:pPr>
            <w:r>
              <w:rPr>
                <w:rFonts w:eastAsia="Times New Roman"/>
                <w:b/>
                <w:bCs/>
                <w:color w:val="000000"/>
                <w:sz w:val="18"/>
                <w:szCs w:val="18"/>
              </w:rPr>
              <w:t>425,377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8C310C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681176"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972D446"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45467DBC" w14:textId="77777777" w:rsidR="00000000" w:rsidRDefault="00405D16">
            <w:pPr>
              <w:spacing w:after="100"/>
              <w:jc w:val="right"/>
              <w:rPr>
                <w:rFonts w:eastAsia="Times New Roman"/>
              </w:rPr>
            </w:pPr>
            <w:r>
              <w:rPr>
                <w:rFonts w:eastAsia="Times New Roman"/>
                <w:color w:val="000000"/>
                <w:sz w:val="18"/>
                <w:szCs w:val="18"/>
              </w:rPr>
              <w:t>421,602 </w:t>
            </w:r>
          </w:p>
        </w:tc>
        <w:tc>
          <w:tcPr>
            <w:tcW w:w="0" w:type="auto"/>
            <w:shd w:val="clear" w:color="auto" w:fill="FFFFFF"/>
            <w:tcMar>
              <w:top w:w="30" w:type="dxa"/>
              <w:left w:w="0" w:type="dxa"/>
              <w:bottom w:w="30" w:type="dxa"/>
              <w:right w:w="20" w:type="dxa"/>
            </w:tcMar>
            <w:vAlign w:val="center"/>
            <w:hideMark/>
          </w:tcPr>
          <w:p w14:paraId="3C527C53" w14:textId="77777777" w:rsidR="00000000" w:rsidRDefault="00405D16">
            <w:pPr>
              <w:spacing w:after="100"/>
              <w:jc w:val="right"/>
              <w:rPr>
                <w:rFonts w:eastAsia="Times New Roman"/>
              </w:rPr>
            </w:pPr>
          </w:p>
        </w:tc>
        <w:tc>
          <w:tcPr>
            <w:tcW w:w="0" w:type="auto"/>
            <w:vAlign w:val="center"/>
            <w:hideMark/>
          </w:tcPr>
          <w:p w14:paraId="43784CA0" w14:textId="77777777" w:rsidR="00000000" w:rsidRDefault="00405D16">
            <w:pPr>
              <w:spacing w:after="100"/>
              <w:jc w:val="right"/>
              <w:rPr>
                <w:rFonts w:eastAsia="Times New Roman"/>
                <w:sz w:val="20"/>
                <w:szCs w:val="20"/>
              </w:rPr>
            </w:pPr>
          </w:p>
        </w:tc>
        <w:tc>
          <w:tcPr>
            <w:tcW w:w="0" w:type="auto"/>
            <w:vAlign w:val="center"/>
            <w:hideMark/>
          </w:tcPr>
          <w:p w14:paraId="7920731C" w14:textId="77777777" w:rsidR="00000000" w:rsidRDefault="00405D16">
            <w:pPr>
              <w:spacing w:after="100"/>
              <w:rPr>
                <w:rFonts w:eastAsia="Times New Roman"/>
                <w:sz w:val="20"/>
                <w:szCs w:val="20"/>
              </w:rPr>
            </w:pPr>
          </w:p>
        </w:tc>
        <w:tc>
          <w:tcPr>
            <w:tcW w:w="0" w:type="auto"/>
            <w:vAlign w:val="center"/>
            <w:hideMark/>
          </w:tcPr>
          <w:p w14:paraId="6CECE2F8" w14:textId="77777777" w:rsidR="00000000" w:rsidRDefault="00405D16">
            <w:pPr>
              <w:spacing w:after="100"/>
              <w:rPr>
                <w:rFonts w:eastAsia="Times New Roman"/>
                <w:sz w:val="20"/>
                <w:szCs w:val="20"/>
              </w:rPr>
            </w:pPr>
          </w:p>
        </w:tc>
        <w:tc>
          <w:tcPr>
            <w:tcW w:w="0" w:type="auto"/>
            <w:vAlign w:val="center"/>
            <w:hideMark/>
          </w:tcPr>
          <w:p w14:paraId="56CC3037" w14:textId="77777777" w:rsidR="00000000" w:rsidRDefault="00405D16">
            <w:pPr>
              <w:spacing w:after="100"/>
              <w:rPr>
                <w:rFonts w:eastAsia="Times New Roman"/>
                <w:sz w:val="20"/>
                <w:szCs w:val="20"/>
              </w:rPr>
            </w:pPr>
          </w:p>
        </w:tc>
        <w:tc>
          <w:tcPr>
            <w:tcW w:w="0" w:type="auto"/>
            <w:vAlign w:val="center"/>
            <w:hideMark/>
          </w:tcPr>
          <w:p w14:paraId="72628C03" w14:textId="77777777" w:rsidR="00000000" w:rsidRDefault="00405D16">
            <w:pPr>
              <w:spacing w:after="100"/>
              <w:rPr>
                <w:rFonts w:eastAsia="Times New Roman"/>
                <w:sz w:val="20"/>
                <w:szCs w:val="20"/>
              </w:rPr>
            </w:pPr>
          </w:p>
        </w:tc>
        <w:tc>
          <w:tcPr>
            <w:tcW w:w="0" w:type="auto"/>
            <w:vAlign w:val="center"/>
            <w:hideMark/>
          </w:tcPr>
          <w:p w14:paraId="49A24DB8" w14:textId="77777777" w:rsidR="00000000" w:rsidRDefault="00405D16">
            <w:pPr>
              <w:spacing w:after="100"/>
              <w:rPr>
                <w:rFonts w:eastAsia="Times New Roman"/>
                <w:sz w:val="20"/>
                <w:szCs w:val="20"/>
              </w:rPr>
            </w:pPr>
          </w:p>
        </w:tc>
      </w:tr>
      <w:tr w:rsidR="00000000" w14:paraId="3EECF546" w14:textId="77777777">
        <w:trPr>
          <w:divId w:val="2323753"/>
        </w:trPr>
        <w:tc>
          <w:tcPr>
            <w:tcW w:w="0" w:type="auto"/>
            <w:gridSpan w:val="3"/>
            <w:shd w:val="clear" w:color="auto" w:fill="CCEEFF"/>
            <w:tcMar>
              <w:top w:w="30" w:type="dxa"/>
              <w:left w:w="20" w:type="dxa"/>
              <w:bottom w:w="30" w:type="dxa"/>
              <w:right w:w="20" w:type="dxa"/>
            </w:tcMar>
            <w:vAlign w:val="center"/>
            <w:hideMark/>
          </w:tcPr>
          <w:p w14:paraId="0F033DCD" w14:textId="77777777" w:rsidR="00000000" w:rsidRDefault="00405D16">
            <w:pPr>
              <w:spacing w:after="100"/>
              <w:divId w:val="1102729512"/>
              <w:rPr>
                <w:rFonts w:eastAsia="Times New Roman"/>
              </w:rPr>
            </w:pPr>
            <w:r>
              <w:rPr>
                <w:rFonts w:eastAsia="Times New Roman"/>
                <w:color w:val="000000"/>
                <w:sz w:val="18"/>
                <w:szCs w:val="18"/>
              </w:rPr>
              <w:t>Goodwill and intangible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0A669FBE"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E0AED54" w14:textId="77777777" w:rsidR="00000000" w:rsidRDefault="00405D16">
            <w:pPr>
              <w:spacing w:after="100"/>
              <w:jc w:val="right"/>
              <w:rPr>
                <w:rFonts w:eastAsia="Times New Roman"/>
              </w:rPr>
            </w:pPr>
            <w:r>
              <w:rPr>
                <w:rFonts w:eastAsia="Times New Roman"/>
                <w:b/>
                <w:bCs/>
                <w:color w:val="000000"/>
                <w:sz w:val="18"/>
                <w:szCs w:val="18"/>
              </w:rPr>
              <w:t>(14,766)</w:t>
            </w:r>
          </w:p>
        </w:tc>
        <w:tc>
          <w:tcPr>
            <w:tcW w:w="0" w:type="auto"/>
            <w:shd w:val="clear" w:color="auto" w:fill="CCEEFF"/>
            <w:tcMar>
              <w:top w:w="30" w:type="dxa"/>
              <w:left w:w="0" w:type="dxa"/>
              <w:bottom w:w="30" w:type="dxa"/>
              <w:right w:w="20" w:type="dxa"/>
            </w:tcMar>
            <w:vAlign w:val="center"/>
            <w:hideMark/>
          </w:tcPr>
          <w:p w14:paraId="243F76E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C2198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E5AD337" w14:textId="77777777" w:rsidR="00000000" w:rsidRDefault="00405D16">
            <w:pPr>
              <w:spacing w:after="100"/>
              <w:jc w:val="right"/>
              <w:rPr>
                <w:rFonts w:eastAsia="Times New Roman"/>
              </w:rPr>
            </w:pPr>
            <w:r>
              <w:rPr>
                <w:rFonts w:eastAsia="Times New Roman"/>
                <w:color w:val="000000"/>
                <w:sz w:val="18"/>
                <w:szCs w:val="18"/>
              </w:rPr>
              <w:t>(14,809)</w:t>
            </w:r>
          </w:p>
        </w:tc>
        <w:tc>
          <w:tcPr>
            <w:tcW w:w="0" w:type="auto"/>
            <w:shd w:val="clear" w:color="auto" w:fill="CCEEFF"/>
            <w:tcMar>
              <w:top w:w="30" w:type="dxa"/>
              <w:left w:w="0" w:type="dxa"/>
              <w:bottom w:w="30" w:type="dxa"/>
              <w:right w:w="20" w:type="dxa"/>
            </w:tcMar>
            <w:vAlign w:val="center"/>
            <w:hideMark/>
          </w:tcPr>
          <w:p w14:paraId="7D65F07E" w14:textId="77777777" w:rsidR="00000000" w:rsidRDefault="00405D16">
            <w:pPr>
              <w:spacing w:after="100"/>
              <w:jc w:val="right"/>
              <w:rPr>
                <w:rFonts w:eastAsia="Times New Roman"/>
              </w:rPr>
            </w:pPr>
          </w:p>
        </w:tc>
        <w:tc>
          <w:tcPr>
            <w:tcW w:w="0" w:type="auto"/>
            <w:vAlign w:val="center"/>
            <w:hideMark/>
          </w:tcPr>
          <w:p w14:paraId="4AC81A5E" w14:textId="77777777" w:rsidR="00000000" w:rsidRDefault="00405D16">
            <w:pPr>
              <w:spacing w:after="100"/>
              <w:jc w:val="right"/>
              <w:rPr>
                <w:rFonts w:eastAsia="Times New Roman"/>
                <w:sz w:val="20"/>
                <w:szCs w:val="20"/>
              </w:rPr>
            </w:pPr>
          </w:p>
        </w:tc>
        <w:tc>
          <w:tcPr>
            <w:tcW w:w="0" w:type="auto"/>
            <w:vAlign w:val="center"/>
            <w:hideMark/>
          </w:tcPr>
          <w:p w14:paraId="79A86714" w14:textId="77777777" w:rsidR="00000000" w:rsidRDefault="00405D16">
            <w:pPr>
              <w:spacing w:after="100"/>
              <w:rPr>
                <w:rFonts w:eastAsia="Times New Roman"/>
                <w:sz w:val="20"/>
                <w:szCs w:val="20"/>
              </w:rPr>
            </w:pPr>
          </w:p>
        </w:tc>
        <w:tc>
          <w:tcPr>
            <w:tcW w:w="0" w:type="auto"/>
            <w:vAlign w:val="center"/>
            <w:hideMark/>
          </w:tcPr>
          <w:p w14:paraId="4C876FCA" w14:textId="77777777" w:rsidR="00000000" w:rsidRDefault="00405D16">
            <w:pPr>
              <w:spacing w:after="100"/>
              <w:rPr>
                <w:rFonts w:eastAsia="Times New Roman"/>
                <w:sz w:val="20"/>
                <w:szCs w:val="20"/>
              </w:rPr>
            </w:pPr>
          </w:p>
        </w:tc>
        <w:tc>
          <w:tcPr>
            <w:tcW w:w="0" w:type="auto"/>
            <w:vAlign w:val="center"/>
            <w:hideMark/>
          </w:tcPr>
          <w:p w14:paraId="02D8663D" w14:textId="77777777" w:rsidR="00000000" w:rsidRDefault="00405D16">
            <w:pPr>
              <w:spacing w:after="100"/>
              <w:rPr>
                <w:rFonts w:eastAsia="Times New Roman"/>
                <w:sz w:val="20"/>
                <w:szCs w:val="20"/>
              </w:rPr>
            </w:pPr>
          </w:p>
        </w:tc>
        <w:tc>
          <w:tcPr>
            <w:tcW w:w="0" w:type="auto"/>
            <w:vAlign w:val="center"/>
            <w:hideMark/>
          </w:tcPr>
          <w:p w14:paraId="42D6DB12" w14:textId="77777777" w:rsidR="00000000" w:rsidRDefault="00405D16">
            <w:pPr>
              <w:spacing w:after="100"/>
              <w:rPr>
                <w:rFonts w:eastAsia="Times New Roman"/>
                <w:sz w:val="20"/>
                <w:szCs w:val="20"/>
              </w:rPr>
            </w:pPr>
          </w:p>
        </w:tc>
        <w:tc>
          <w:tcPr>
            <w:tcW w:w="0" w:type="auto"/>
            <w:vAlign w:val="center"/>
            <w:hideMark/>
          </w:tcPr>
          <w:p w14:paraId="479F2220" w14:textId="77777777" w:rsidR="00000000" w:rsidRDefault="00405D16">
            <w:pPr>
              <w:spacing w:after="100"/>
              <w:rPr>
                <w:rFonts w:eastAsia="Times New Roman"/>
                <w:sz w:val="20"/>
                <w:szCs w:val="20"/>
              </w:rPr>
            </w:pPr>
          </w:p>
        </w:tc>
      </w:tr>
      <w:tr w:rsidR="00000000" w14:paraId="29B276D4" w14:textId="77777777">
        <w:trPr>
          <w:divId w:val="2323753"/>
        </w:trPr>
        <w:tc>
          <w:tcPr>
            <w:tcW w:w="0" w:type="auto"/>
            <w:gridSpan w:val="3"/>
            <w:shd w:val="clear" w:color="auto" w:fill="FFFFFF"/>
            <w:tcMar>
              <w:top w:w="30" w:type="dxa"/>
              <w:left w:w="20" w:type="dxa"/>
              <w:bottom w:w="30" w:type="dxa"/>
              <w:right w:w="20" w:type="dxa"/>
            </w:tcMar>
            <w:vAlign w:val="center"/>
            <w:hideMark/>
          </w:tcPr>
          <w:p w14:paraId="238A5B7E" w14:textId="77777777" w:rsidR="00000000" w:rsidRDefault="00405D16">
            <w:pPr>
              <w:spacing w:after="100"/>
              <w:rPr>
                <w:rFonts w:eastAsia="Times New Roman"/>
              </w:rPr>
            </w:pPr>
            <w:r>
              <w:rPr>
                <w:rFonts w:eastAsia="Times New Roman"/>
                <w:color w:val="000000"/>
                <w:sz w:val="18"/>
                <w:szCs w:val="18"/>
              </w:rPr>
              <w:t>Tangible assets</w:t>
            </w:r>
          </w:p>
        </w:tc>
        <w:tc>
          <w:tcPr>
            <w:tcW w:w="0" w:type="auto"/>
            <w:gridSpan w:val="3"/>
            <w:shd w:val="clear" w:color="auto" w:fill="FFFFFF"/>
            <w:tcMar>
              <w:top w:w="0" w:type="dxa"/>
              <w:left w:w="20" w:type="dxa"/>
              <w:bottom w:w="0" w:type="dxa"/>
              <w:right w:w="20" w:type="dxa"/>
            </w:tcMar>
            <w:vAlign w:val="center"/>
            <w:hideMark/>
          </w:tcPr>
          <w:p w14:paraId="0DE4BB2E" w14:textId="77777777" w:rsidR="00000000" w:rsidRDefault="00405D16">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1AED955A"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278755AB" w14:textId="77777777" w:rsidR="00000000" w:rsidRDefault="00405D16">
            <w:pPr>
              <w:spacing w:after="100"/>
              <w:jc w:val="right"/>
              <w:rPr>
                <w:rFonts w:eastAsia="Times New Roman"/>
              </w:rPr>
            </w:pPr>
            <w:r>
              <w:rPr>
                <w:rFonts w:eastAsia="Times New Roman"/>
                <w:b/>
                <w:bCs/>
                <w:color w:val="000000"/>
                <w:sz w:val="18"/>
                <w:szCs w:val="18"/>
              </w:rPr>
              <w:t>410,611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DEE4EE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5595DD"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1062FDA1"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40A8C1C2" w14:textId="77777777" w:rsidR="00000000" w:rsidRDefault="00405D16">
            <w:pPr>
              <w:spacing w:after="100"/>
              <w:jc w:val="right"/>
              <w:rPr>
                <w:rFonts w:eastAsia="Times New Roman"/>
              </w:rPr>
            </w:pPr>
            <w:r>
              <w:rPr>
                <w:rFonts w:eastAsia="Times New Roman"/>
                <w:color w:val="000000"/>
                <w:sz w:val="18"/>
                <w:szCs w:val="18"/>
              </w:rPr>
              <w:t>406,793 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51E1921" w14:textId="77777777" w:rsidR="00000000" w:rsidRDefault="00405D16">
            <w:pPr>
              <w:spacing w:after="100"/>
              <w:jc w:val="right"/>
              <w:rPr>
                <w:rFonts w:eastAsia="Times New Roman"/>
              </w:rPr>
            </w:pPr>
          </w:p>
        </w:tc>
        <w:tc>
          <w:tcPr>
            <w:tcW w:w="0" w:type="auto"/>
            <w:vAlign w:val="center"/>
            <w:hideMark/>
          </w:tcPr>
          <w:p w14:paraId="0EB6BED0" w14:textId="77777777" w:rsidR="00000000" w:rsidRDefault="00405D16">
            <w:pPr>
              <w:spacing w:after="100"/>
              <w:jc w:val="right"/>
              <w:rPr>
                <w:rFonts w:eastAsia="Times New Roman"/>
                <w:sz w:val="20"/>
                <w:szCs w:val="20"/>
              </w:rPr>
            </w:pPr>
          </w:p>
        </w:tc>
        <w:tc>
          <w:tcPr>
            <w:tcW w:w="0" w:type="auto"/>
            <w:vAlign w:val="center"/>
            <w:hideMark/>
          </w:tcPr>
          <w:p w14:paraId="13C2F168" w14:textId="77777777" w:rsidR="00000000" w:rsidRDefault="00405D16">
            <w:pPr>
              <w:spacing w:after="100"/>
              <w:rPr>
                <w:rFonts w:eastAsia="Times New Roman"/>
                <w:sz w:val="20"/>
                <w:szCs w:val="20"/>
              </w:rPr>
            </w:pPr>
          </w:p>
        </w:tc>
        <w:tc>
          <w:tcPr>
            <w:tcW w:w="0" w:type="auto"/>
            <w:vAlign w:val="center"/>
            <w:hideMark/>
          </w:tcPr>
          <w:p w14:paraId="38B3CCF7" w14:textId="77777777" w:rsidR="00000000" w:rsidRDefault="00405D16">
            <w:pPr>
              <w:spacing w:after="100"/>
              <w:rPr>
                <w:rFonts w:eastAsia="Times New Roman"/>
                <w:sz w:val="20"/>
                <w:szCs w:val="20"/>
              </w:rPr>
            </w:pPr>
          </w:p>
        </w:tc>
        <w:tc>
          <w:tcPr>
            <w:tcW w:w="0" w:type="auto"/>
            <w:vAlign w:val="center"/>
            <w:hideMark/>
          </w:tcPr>
          <w:p w14:paraId="64CB03AF" w14:textId="77777777" w:rsidR="00000000" w:rsidRDefault="00405D16">
            <w:pPr>
              <w:spacing w:after="100"/>
              <w:rPr>
                <w:rFonts w:eastAsia="Times New Roman"/>
                <w:sz w:val="20"/>
                <w:szCs w:val="20"/>
              </w:rPr>
            </w:pPr>
          </w:p>
        </w:tc>
        <w:tc>
          <w:tcPr>
            <w:tcW w:w="0" w:type="auto"/>
            <w:vAlign w:val="center"/>
            <w:hideMark/>
          </w:tcPr>
          <w:p w14:paraId="5B593640" w14:textId="77777777" w:rsidR="00000000" w:rsidRDefault="00405D16">
            <w:pPr>
              <w:spacing w:after="100"/>
              <w:rPr>
                <w:rFonts w:eastAsia="Times New Roman"/>
                <w:sz w:val="20"/>
                <w:szCs w:val="20"/>
              </w:rPr>
            </w:pPr>
          </w:p>
        </w:tc>
        <w:tc>
          <w:tcPr>
            <w:tcW w:w="0" w:type="auto"/>
            <w:vAlign w:val="center"/>
            <w:hideMark/>
          </w:tcPr>
          <w:p w14:paraId="088321C0" w14:textId="77777777" w:rsidR="00000000" w:rsidRDefault="00405D16">
            <w:pPr>
              <w:spacing w:after="100"/>
              <w:rPr>
                <w:rFonts w:eastAsia="Times New Roman"/>
                <w:sz w:val="20"/>
                <w:szCs w:val="20"/>
              </w:rPr>
            </w:pPr>
          </w:p>
        </w:tc>
      </w:tr>
      <w:tr w:rsidR="00000000" w14:paraId="6176DBDC" w14:textId="77777777">
        <w:trPr>
          <w:divId w:val="2323753"/>
        </w:trPr>
        <w:tc>
          <w:tcPr>
            <w:tcW w:w="0" w:type="auto"/>
            <w:gridSpan w:val="3"/>
            <w:shd w:val="clear" w:color="auto" w:fill="CCEEFF"/>
            <w:tcMar>
              <w:top w:w="30" w:type="dxa"/>
              <w:left w:w="20" w:type="dxa"/>
              <w:bottom w:w="30" w:type="dxa"/>
              <w:right w:w="20" w:type="dxa"/>
            </w:tcMar>
            <w:vAlign w:val="center"/>
            <w:hideMark/>
          </w:tcPr>
          <w:p w14:paraId="3E855FB5" w14:textId="77777777" w:rsidR="00000000" w:rsidRDefault="00405D16">
            <w:pPr>
              <w:spacing w:after="100"/>
              <w:rPr>
                <w:rFonts w:eastAsia="Times New Roman"/>
              </w:rPr>
            </w:pPr>
            <w:r>
              <w:rPr>
                <w:rFonts w:eastAsia="Times New Roman"/>
                <w:b/>
                <w:bCs/>
                <w:color w:val="000000"/>
                <w:sz w:val="18"/>
                <w:szCs w:val="18"/>
              </w:rPr>
              <w:t>Tangible Assets (Quarterly Average):</w:t>
            </w:r>
          </w:p>
        </w:tc>
        <w:tc>
          <w:tcPr>
            <w:tcW w:w="0" w:type="auto"/>
            <w:gridSpan w:val="3"/>
            <w:shd w:val="clear" w:color="auto" w:fill="CCEEFF"/>
            <w:tcMar>
              <w:top w:w="0" w:type="dxa"/>
              <w:left w:w="20" w:type="dxa"/>
              <w:bottom w:w="0" w:type="dxa"/>
              <w:right w:w="20" w:type="dxa"/>
            </w:tcMar>
            <w:vAlign w:val="center"/>
            <w:hideMark/>
          </w:tcPr>
          <w:p w14:paraId="1DB5818A" w14:textId="77777777" w:rsidR="00000000" w:rsidRDefault="00405D16">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7375C5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DEE501"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F0417F3" w14:textId="77777777" w:rsidR="00000000" w:rsidRDefault="00405D16">
            <w:pPr>
              <w:spacing w:after="100"/>
              <w:rPr>
                <w:rFonts w:eastAsia="Times New Roman"/>
                <w:sz w:val="20"/>
                <w:szCs w:val="20"/>
              </w:rPr>
            </w:pPr>
          </w:p>
        </w:tc>
        <w:tc>
          <w:tcPr>
            <w:tcW w:w="0" w:type="auto"/>
            <w:vAlign w:val="center"/>
            <w:hideMark/>
          </w:tcPr>
          <w:p w14:paraId="3B17B526" w14:textId="77777777" w:rsidR="00000000" w:rsidRDefault="00405D16">
            <w:pPr>
              <w:spacing w:after="100"/>
              <w:rPr>
                <w:rFonts w:eastAsia="Times New Roman"/>
                <w:sz w:val="20"/>
                <w:szCs w:val="20"/>
              </w:rPr>
            </w:pPr>
          </w:p>
        </w:tc>
        <w:tc>
          <w:tcPr>
            <w:tcW w:w="0" w:type="auto"/>
            <w:vAlign w:val="center"/>
            <w:hideMark/>
          </w:tcPr>
          <w:p w14:paraId="178D448E" w14:textId="77777777" w:rsidR="00000000" w:rsidRDefault="00405D16">
            <w:pPr>
              <w:spacing w:after="100"/>
              <w:rPr>
                <w:rFonts w:eastAsia="Times New Roman"/>
                <w:sz w:val="20"/>
                <w:szCs w:val="20"/>
              </w:rPr>
            </w:pPr>
          </w:p>
        </w:tc>
        <w:tc>
          <w:tcPr>
            <w:tcW w:w="0" w:type="auto"/>
            <w:vAlign w:val="center"/>
            <w:hideMark/>
          </w:tcPr>
          <w:p w14:paraId="218BB595" w14:textId="77777777" w:rsidR="00000000" w:rsidRDefault="00405D16">
            <w:pPr>
              <w:spacing w:after="100"/>
              <w:rPr>
                <w:rFonts w:eastAsia="Times New Roman"/>
                <w:sz w:val="20"/>
                <w:szCs w:val="20"/>
              </w:rPr>
            </w:pPr>
          </w:p>
        </w:tc>
        <w:tc>
          <w:tcPr>
            <w:tcW w:w="0" w:type="auto"/>
            <w:vAlign w:val="center"/>
            <w:hideMark/>
          </w:tcPr>
          <w:p w14:paraId="07C1DF3D" w14:textId="77777777" w:rsidR="00000000" w:rsidRDefault="00405D16">
            <w:pPr>
              <w:spacing w:after="100"/>
              <w:rPr>
                <w:rFonts w:eastAsia="Times New Roman"/>
                <w:sz w:val="20"/>
                <w:szCs w:val="20"/>
              </w:rPr>
            </w:pPr>
          </w:p>
        </w:tc>
        <w:tc>
          <w:tcPr>
            <w:tcW w:w="0" w:type="auto"/>
            <w:vAlign w:val="center"/>
            <w:hideMark/>
          </w:tcPr>
          <w:p w14:paraId="339DCCED" w14:textId="77777777" w:rsidR="00000000" w:rsidRDefault="00405D16">
            <w:pPr>
              <w:spacing w:after="100"/>
              <w:rPr>
                <w:rFonts w:eastAsia="Times New Roman"/>
                <w:sz w:val="20"/>
                <w:szCs w:val="20"/>
              </w:rPr>
            </w:pPr>
          </w:p>
        </w:tc>
        <w:tc>
          <w:tcPr>
            <w:tcW w:w="0" w:type="auto"/>
            <w:vAlign w:val="center"/>
            <w:hideMark/>
          </w:tcPr>
          <w:p w14:paraId="47CB688E" w14:textId="77777777" w:rsidR="00000000" w:rsidRDefault="00405D16">
            <w:pPr>
              <w:spacing w:after="100"/>
              <w:rPr>
                <w:rFonts w:eastAsia="Times New Roman"/>
                <w:sz w:val="20"/>
                <w:szCs w:val="20"/>
              </w:rPr>
            </w:pPr>
          </w:p>
        </w:tc>
      </w:tr>
      <w:tr w:rsidR="00000000" w14:paraId="7AB2F45F" w14:textId="77777777">
        <w:trPr>
          <w:divId w:val="2323753"/>
        </w:trPr>
        <w:tc>
          <w:tcPr>
            <w:tcW w:w="0" w:type="auto"/>
            <w:gridSpan w:val="3"/>
            <w:shd w:val="clear" w:color="auto" w:fill="FFFFFF"/>
            <w:tcMar>
              <w:top w:w="30" w:type="dxa"/>
              <w:left w:w="245" w:type="dxa"/>
              <w:bottom w:w="30" w:type="dxa"/>
              <w:right w:w="20" w:type="dxa"/>
            </w:tcMar>
            <w:vAlign w:val="center"/>
            <w:hideMark/>
          </w:tcPr>
          <w:p w14:paraId="27DD83AE" w14:textId="77777777" w:rsidR="00000000" w:rsidRDefault="00405D16">
            <w:pPr>
              <w:spacing w:after="100"/>
              <w:rPr>
                <w:rFonts w:eastAsia="Times New Roman"/>
              </w:rPr>
            </w:pPr>
            <w:r>
              <w:rPr>
                <w:rFonts w:eastAsia="Times New Roman"/>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14:paraId="78116E3E"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4FBF3E07"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76BB75F8" w14:textId="77777777" w:rsidR="00000000" w:rsidRDefault="00405D16">
            <w:pPr>
              <w:spacing w:after="100"/>
              <w:jc w:val="right"/>
              <w:rPr>
                <w:rFonts w:eastAsia="Times New Roman"/>
              </w:rPr>
            </w:pPr>
            <w:r>
              <w:rPr>
                <w:rFonts w:eastAsia="Times New Roman"/>
                <w:b/>
                <w:bCs/>
                <w:color w:val="000000"/>
                <w:sz w:val="18"/>
                <w:szCs w:val="18"/>
              </w:rPr>
              <w:t>424,506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0A9ACB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53F1F9"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776C336"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122BBBB9" w14:textId="77777777" w:rsidR="00000000" w:rsidRDefault="00405D16">
            <w:pPr>
              <w:spacing w:after="100"/>
              <w:jc w:val="right"/>
              <w:rPr>
                <w:rFonts w:eastAsia="Times New Roman"/>
              </w:rPr>
            </w:pPr>
            <w:r>
              <w:rPr>
                <w:rFonts w:eastAsia="Times New Roman"/>
                <w:color w:val="000000"/>
                <w:sz w:val="18"/>
                <w:szCs w:val="18"/>
              </w:rPr>
              <w:t>420,011 </w:t>
            </w:r>
          </w:p>
        </w:tc>
        <w:tc>
          <w:tcPr>
            <w:tcW w:w="0" w:type="auto"/>
            <w:shd w:val="clear" w:color="auto" w:fill="FFFFFF"/>
            <w:tcMar>
              <w:top w:w="30" w:type="dxa"/>
              <w:left w:w="0" w:type="dxa"/>
              <w:bottom w:w="30" w:type="dxa"/>
              <w:right w:w="20" w:type="dxa"/>
            </w:tcMar>
            <w:vAlign w:val="center"/>
            <w:hideMark/>
          </w:tcPr>
          <w:p w14:paraId="32CD582A" w14:textId="77777777" w:rsidR="00000000" w:rsidRDefault="00405D16">
            <w:pPr>
              <w:spacing w:after="100"/>
              <w:jc w:val="right"/>
              <w:rPr>
                <w:rFonts w:eastAsia="Times New Roman"/>
              </w:rPr>
            </w:pPr>
          </w:p>
        </w:tc>
        <w:tc>
          <w:tcPr>
            <w:tcW w:w="0" w:type="auto"/>
            <w:vAlign w:val="center"/>
            <w:hideMark/>
          </w:tcPr>
          <w:p w14:paraId="0ABC0054" w14:textId="77777777" w:rsidR="00000000" w:rsidRDefault="00405D16">
            <w:pPr>
              <w:spacing w:after="100"/>
              <w:jc w:val="right"/>
              <w:rPr>
                <w:rFonts w:eastAsia="Times New Roman"/>
                <w:sz w:val="20"/>
                <w:szCs w:val="20"/>
              </w:rPr>
            </w:pPr>
          </w:p>
        </w:tc>
        <w:tc>
          <w:tcPr>
            <w:tcW w:w="0" w:type="auto"/>
            <w:vAlign w:val="center"/>
            <w:hideMark/>
          </w:tcPr>
          <w:p w14:paraId="69654B6A" w14:textId="77777777" w:rsidR="00000000" w:rsidRDefault="00405D16">
            <w:pPr>
              <w:spacing w:after="100"/>
              <w:rPr>
                <w:rFonts w:eastAsia="Times New Roman"/>
                <w:sz w:val="20"/>
                <w:szCs w:val="20"/>
              </w:rPr>
            </w:pPr>
          </w:p>
        </w:tc>
        <w:tc>
          <w:tcPr>
            <w:tcW w:w="0" w:type="auto"/>
            <w:vAlign w:val="center"/>
            <w:hideMark/>
          </w:tcPr>
          <w:p w14:paraId="6E0B047C" w14:textId="77777777" w:rsidR="00000000" w:rsidRDefault="00405D16">
            <w:pPr>
              <w:spacing w:after="100"/>
              <w:rPr>
                <w:rFonts w:eastAsia="Times New Roman"/>
                <w:sz w:val="20"/>
                <w:szCs w:val="20"/>
              </w:rPr>
            </w:pPr>
          </w:p>
        </w:tc>
        <w:tc>
          <w:tcPr>
            <w:tcW w:w="0" w:type="auto"/>
            <w:vAlign w:val="center"/>
            <w:hideMark/>
          </w:tcPr>
          <w:p w14:paraId="37B8073A" w14:textId="77777777" w:rsidR="00000000" w:rsidRDefault="00405D16">
            <w:pPr>
              <w:spacing w:after="100"/>
              <w:rPr>
                <w:rFonts w:eastAsia="Times New Roman"/>
                <w:sz w:val="20"/>
                <w:szCs w:val="20"/>
              </w:rPr>
            </w:pPr>
          </w:p>
        </w:tc>
        <w:tc>
          <w:tcPr>
            <w:tcW w:w="0" w:type="auto"/>
            <w:vAlign w:val="center"/>
            <w:hideMark/>
          </w:tcPr>
          <w:p w14:paraId="29FA116A" w14:textId="77777777" w:rsidR="00000000" w:rsidRDefault="00405D16">
            <w:pPr>
              <w:spacing w:after="100"/>
              <w:rPr>
                <w:rFonts w:eastAsia="Times New Roman"/>
                <w:sz w:val="20"/>
                <w:szCs w:val="20"/>
              </w:rPr>
            </w:pPr>
          </w:p>
        </w:tc>
        <w:tc>
          <w:tcPr>
            <w:tcW w:w="0" w:type="auto"/>
            <w:vAlign w:val="center"/>
            <w:hideMark/>
          </w:tcPr>
          <w:p w14:paraId="797AE513" w14:textId="77777777" w:rsidR="00000000" w:rsidRDefault="00405D16">
            <w:pPr>
              <w:spacing w:after="100"/>
              <w:rPr>
                <w:rFonts w:eastAsia="Times New Roman"/>
                <w:sz w:val="20"/>
                <w:szCs w:val="20"/>
              </w:rPr>
            </w:pPr>
          </w:p>
        </w:tc>
      </w:tr>
      <w:tr w:rsidR="00000000" w14:paraId="7739D5E0" w14:textId="77777777">
        <w:trPr>
          <w:divId w:val="2323753"/>
        </w:trPr>
        <w:tc>
          <w:tcPr>
            <w:tcW w:w="0" w:type="auto"/>
            <w:gridSpan w:val="3"/>
            <w:shd w:val="clear" w:color="auto" w:fill="CCEEFF"/>
            <w:tcMar>
              <w:top w:w="30" w:type="dxa"/>
              <w:left w:w="20" w:type="dxa"/>
              <w:bottom w:w="30" w:type="dxa"/>
              <w:right w:w="20" w:type="dxa"/>
            </w:tcMar>
            <w:vAlign w:val="center"/>
            <w:hideMark/>
          </w:tcPr>
          <w:p w14:paraId="3E55E50F" w14:textId="77777777" w:rsidR="00000000" w:rsidRDefault="00405D16">
            <w:pPr>
              <w:spacing w:after="100"/>
              <w:divId w:val="372465201"/>
              <w:rPr>
                <w:rFonts w:eastAsia="Times New Roman"/>
              </w:rPr>
            </w:pPr>
            <w:r>
              <w:rPr>
                <w:rFonts w:eastAsia="Times New Roman"/>
                <w:color w:val="000000"/>
                <w:sz w:val="18"/>
                <w:szCs w:val="18"/>
              </w:rPr>
              <w:t>Goodwill and intangible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004156BB"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5A8F516" w14:textId="77777777" w:rsidR="00000000" w:rsidRDefault="00405D16">
            <w:pPr>
              <w:spacing w:after="100"/>
              <w:jc w:val="right"/>
              <w:rPr>
                <w:rFonts w:eastAsia="Times New Roman"/>
              </w:rPr>
            </w:pPr>
            <w:r>
              <w:rPr>
                <w:rFonts w:eastAsia="Times New Roman"/>
                <w:b/>
                <w:bCs/>
                <w:color w:val="000000"/>
                <w:sz w:val="18"/>
                <w:szCs w:val="18"/>
              </w:rPr>
              <w:t>(14,777)</w:t>
            </w:r>
          </w:p>
        </w:tc>
        <w:tc>
          <w:tcPr>
            <w:tcW w:w="0" w:type="auto"/>
            <w:shd w:val="clear" w:color="auto" w:fill="CCEEFF"/>
            <w:tcMar>
              <w:top w:w="30" w:type="dxa"/>
              <w:left w:w="0" w:type="dxa"/>
              <w:bottom w:w="30" w:type="dxa"/>
              <w:right w:w="20" w:type="dxa"/>
            </w:tcMar>
            <w:vAlign w:val="center"/>
            <w:hideMark/>
          </w:tcPr>
          <w:p w14:paraId="1DCF2CD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F78F1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7394989" w14:textId="77777777" w:rsidR="00000000" w:rsidRDefault="00405D16">
            <w:pPr>
              <w:spacing w:after="100"/>
              <w:jc w:val="right"/>
              <w:rPr>
                <w:rFonts w:eastAsia="Times New Roman"/>
              </w:rPr>
            </w:pPr>
            <w:r>
              <w:rPr>
                <w:rFonts w:eastAsia="Times New Roman"/>
                <w:color w:val="000000"/>
                <w:sz w:val="18"/>
                <w:szCs w:val="18"/>
              </w:rPr>
              <w:t>(14,824)</w:t>
            </w:r>
          </w:p>
        </w:tc>
        <w:tc>
          <w:tcPr>
            <w:tcW w:w="0" w:type="auto"/>
            <w:shd w:val="clear" w:color="auto" w:fill="CCEEFF"/>
            <w:tcMar>
              <w:top w:w="30" w:type="dxa"/>
              <w:left w:w="0" w:type="dxa"/>
              <w:bottom w:w="30" w:type="dxa"/>
              <w:right w:w="20" w:type="dxa"/>
            </w:tcMar>
            <w:vAlign w:val="center"/>
            <w:hideMark/>
          </w:tcPr>
          <w:p w14:paraId="7BC6E0FC" w14:textId="77777777" w:rsidR="00000000" w:rsidRDefault="00405D16">
            <w:pPr>
              <w:spacing w:after="100"/>
              <w:jc w:val="right"/>
              <w:rPr>
                <w:rFonts w:eastAsia="Times New Roman"/>
              </w:rPr>
            </w:pPr>
          </w:p>
        </w:tc>
        <w:tc>
          <w:tcPr>
            <w:tcW w:w="0" w:type="auto"/>
            <w:vAlign w:val="center"/>
            <w:hideMark/>
          </w:tcPr>
          <w:p w14:paraId="17B22A0C" w14:textId="77777777" w:rsidR="00000000" w:rsidRDefault="00405D16">
            <w:pPr>
              <w:spacing w:after="100"/>
              <w:jc w:val="right"/>
              <w:rPr>
                <w:rFonts w:eastAsia="Times New Roman"/>
                <w:sz w:val="20"/>
                <w:szCs w:val="20"/>
              </w:rPr>
            </w:pPr>
          </w:p>
        </w:tc>
        <w:tc>
          <w:tcPr>
            <w:tcW w:w="0" w:type="auto"/>
            <w:vAlign w:val="center"/>
            <w:hideMark/>
          </w:tcPr>
          <w:p w14:paraId="2903C3A3" w14:textId="77777777" w:rsidR="00000000" w:rsidRDefault="00405D16">
            <w:pPr>
              <w:spacing w:after="100"/>
              <w:rPr>
                <w:rFonts w:eastAsia="Times New Roman"/>
                <w:sz w:val="20"/>
                <w:szCs w:val="20"/>
              </w:rPr>
            </w:pPr>
          </w:p>
        </w:tc>
        <w:tc>
          <w:tcPr>
            <w:tcW w:w="0" w:type="auto"/>
            <w:vAlign w:val="center"/>
            <w:hideMark/>
          </w:tcPr>
          <w:p w14:paraId="1074FD50" w14:textId="77777777" w:rsidR="00000000" w:rsidRDefault="00405D16">
            <w:pPr>
              <w:spacing w:after="100"/>
              <w:rPr>
                <w:rFonts w:eastAsia="Times New Roman"/>
                <w:sz w:val="20"/>
                <w:szCs w:val="20"/>
              </w:rPr>
            </w:pPr>
          </w:p>
        </w:tc>
        <w:tc>
          <w:tcPr>
            <w:tcW w:w="0" w:type="auto"/>
            <w:vAlign w:val="center"/>
            <w:hideMark/>
          </w:tcPr>
          <w:p w14:paraId="7326A945" w14:textId="77777777" w:rsidR="00000000" w:rsidRDefault="00405D16">
            <w:pPr>
              <w:spacing w:after="100"/>
              <w:rPr>
                <w:rFonts w:eastAsia="Times New Roman"/>
                <w:sz w:val="20"/>
                <w:szCs w:val="20"/>
              </w:rPr>
            </w:pPr>
          </w:p>
        </w:tc>
        <w:tc>
          <w:tcPr>
            <w:tcW w:w="0" w:type="auto"/>
            <w:vAlign w:val="center"/>
            <w:hideMark/>
          </w:tcPr>
          <w:p w14:paraId="2D38B9A6" w14:textId="77777777" w:rsidR="00000000" w:rsidRDefault="00405D16">
            <w:pPr>
              <w:spacing w:after="100"/>
              <w:rPr>
                <w:rFonts w:eastAsia="Times New Roman"/>
                <w:sz w:val="20"/>
                <w:szCs w:val="20"/>
              </w:rPr>
            </w:pPr>
          </w:p>
        </w:tc>
        <w:tc>
          <w:tcPr>
            <w:tcW w:w="0" w:type="auto"/>
            <w:vAlign w:val="center"/>
            <w:hideMark/>
          </w:tcPr>
          <w:p w14:paraId="7436D943" w14:textId="77777777" w:rsidR="00000000" w:rsidRDefault="00405D16">
            <w:pPr>
              <w:spacing w:after="100"/>
              <w:rPr>
                <w:rFonts w:eastAsia="Times New Roman"/>
                <w:sz w:val="20"/>
                <w:szCs w:val="20"/>
              </w:rPr>
            </w:pPr>
          </w:p>
        </w:tc>
      </w:tr>
      <w:tr w:rsidR="00000000" w14:paraId="7DB1B028" w14:textId="77777777">
        <w:trPr>
          <w:divId w:val="2323753"/>
        </w:trPr>
        <w:tc>
          <w:tcPr>
            <w:tcW w:w="0" w:type="auto"/>
            <w:gridSpan w:val="3"/>
            <w:shd w:val="clear" w:color="auto" w:fill="FFFFFF"/>
            <w:tcMar>
              <w:top w:w="30" w:type="dxa"/>
              <w:left w:w="20" w:type="dxa"/>
              <w:bottom w:w="30" w:type="dxa"/>
              <w:right w:w="20" w:type="dxa"/>
            </w:tcMar>
            <w:vAlign w:val="center"/>
            <w:hideMark/>
          </w:tcPr>
          <w:p w14:paraId="00CEDA01" w14:textId="77777777" w:rsidR="00000000" w:rsidRDefault="00405D16">
            <w:pPr>
              <w:spacing w:after="100"/>
              <w:rPr>
                <w:rFonts w:eastAsia="Times New Roman"/>
              </w:rPr>
            </w:pPr>
            <w:r>
              <w:rPr>
                <w:rFonts w:eastAsia="Times New Roman"/>
                <w:color w:val="000000"/>
                <w:sz w:val="18"/>
                <w:szCs w:val="18"/>
              </w:rPr>
              <w:t>Tangible assets</w:t>
            </w:r>
          </w:p>
        </w:tc>
        <w:tc>
          <w:tcPr>
            <w:tcW w:w="0" w:type="auto"/>
            <w:gridSpan w:val="3"/>
            <w:shd w:val="clear" w:color="auto" w:fill="FFFFFF"/>
            <w:tcMar>
              <w:top w:w="0" w:type="dxa"/>
              <w:left w:w="20" w:type="dxa"/>
              <w:bottom w:w="0" w:type="dxa"/>
              <w:right w:w="20" w:type="dxa"/>
            </w:tcMar>
            <w:vAlign w:val="center"/>
            <w:hideMark/>
          </w:tcPr>
          <w:p w14:paraId="1A8E13EF" w14:textId="77777777" w:rsidR="00000000" w:rsidRDefault="00405D16">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579F7ACF"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1C374B61" w14:textId="77777777" w:rsidR="00000000" w:rsidRDefault="00405D16">
            <w:pPr>
              <w:spacing w:after="100"/>
              <w:jc w:val="right"/>
              <w:rPr>
                <w:rFonts w:eastAsia="Times New Roman"/>
              </w:rPr>
            </w:pPr>
            <w:r>
              <w:rPr>
                <w:rFonts w:eastAsia="Times New Roman"/>
                <w:b/>
                <w:bCs/>
                <w:color w:val="000000"/>
                <w:sz w:val="18"/>
                <w:szCs w:val="18"/>
              </w:rPr>
              <w:t>409,729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05380E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84443A"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633A5503"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4FDC3C51" w14:textId="77777777" w:rsidR="00000000" w:rsidRDefault="00405D16">
            <w:pPr>
              <w:spacing w:after="100"/>
              <w:jc w:val="right"/>
              <w:rPr>
                <w:rFonts w:eastAsia="Times New Roman"/>
              </w:rPr>
            </w:pPr>
            <w:r>
              <w:rPr>
                <w:rFonts w:eastAsia="Times New Roman"/>
                <w:color w:val="000000"/>
                <w:sz w:val="18"/>
                <w:szCs w:val="18"/>
              </w:rPr>
              <w:t>405,187 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F02BC4D" w14:textId="77777777" w:rsidR="00000000" w:rsidRDefault="00405D16">
            <w:pPr>
              <w:spacing w:after="100"/>
              <w:jc w:val="right"/>
              <w:rPr>
                <w:rFonts w:eastAsia="Times New Roman"/>
              </w:rPr>
            </w:pPr>
          </w:p>
        </w:tc>
        <w:tc>
          <w:tcPr>
            <w:tcW w:w="0" w:type="auto"/>
            <w:vAlign w:val="center"/>
            <w:hideMark/>
          </w:tcPr>
          <w:p w14:paraId="36FEBDC0" w14:textId="77777777" w:rsidR="00000000" w:rsidRDefault="00405D16">
            <w:pPr>
              <w:spacing w:after="100"/>
              <w:jc w:val="right"/>
              <w:rPr>
                <w:rFonts w:eastAsia="Times New Roman"/>
                <w:sz w:val="20"/>
                <w:szCs w:val="20"/>
              </w:rPr>
            </w:pPr>
          </w:p>
        </w:tc>
        <w:tc>
          <w:tcPr>
            <w:tcW w:w="0" w:type="auto"/>
            <w:vAlign w:val="center"/>
            <w:hideMark/>
          </w:tcPr>
          <w:p w14:paraId="65C2382E" w14:textId="77777777" w:rsidR="00000000" w:rsidRDefault="00405D16">
            <w:pPr>
              <w:spacing w:after="100"/>
              <w:rPr>
                <w:rFonts w:eastAsia="Times New Roman"/>
                <w:sz w:val="20"/>
                <w:szCs w:val="20"/>
              </w:rPr>
            </w:pPr>
          </w:p>
        </w:tc>
        <w:tc>
          <w:tcPr>
            <w:tcW w:w="0" w:type="auto"/>
            <w:vAlign w:val="center"/>
            <w:hideMark/>
          </w:tcPr>
          <w:p w14:paraId="66F216D9" w14:textId="77777777" w:rsidR="00000000" w:rsidRDefault="00405D16">
            <w:pPr>
              <w:spacing w:after="100"/>
              <w:rPr>
                <w:rFonts w:eastAsia="Times New Roman"/>
                <w:sz w:val="20"/>
                <w:szCs w:val="20"/>
              </w:rPr>
            </w:pPr>
          </w:p>
        </w:tc>
        <w:tc>
          <w:tcPr>
            <w:tcW w:w="0" w:type="auto"/>
            <w:vAlign w:val="center"/>
            <w:hideMark/>
          </w:tcPr>
          <w:p w14:paraId="70637060" w14:textId="77777777" w:rsidR="00000000" w:rsidRDefault="00405D16">
            <w:pPr>
              <w:spacing w:after="100"/>
              <w:rPr>
                <w:rFonts w:eastAsia="Times New Roman"/>
                <w:sz w:val="20"/>
                <w:szCs w:val="20"/>
              </w:rPr>
            </w:pPr>
          </w:p>
        </w:tc>
        <w:tc>
          <w:tcPr>
            <w:tcW w:w="0" w:type="auto"/>
            <w:vAlign w:val="center"/>
            <w:hideMark/>
          </w:tcPr>
          <w:p w14:paraId="31DB0225" w14:textId="77777777" w:rsidR="00000000" w:rsidRDefault="00405D16">
            <w:pPr>
              <w:spacing w:after="100"/>
              <w:rPr>
                <w:rFonts w:eastAsia="Times New Roman"/>
                <w:sz w:val="20"/>
                <w:szCs w:val="20"/>
              </w:rPr>
            </w:pPr>
          </w:p>
        </w:tc>
        <w:tc>
          <w:tcPr>
            <w:tcW w:w="0" w:type="auto"/>
            <w:vAlign w:val="center"/>
            <w:hideMark/>
          </w:tcPr>
          <w:p w14:paraId="39EE153E" w14:textId="77777777" w:rsidR="00000000" w:rsidRDefault="00405D16">
            <w:pPr>
              <w:spacing w:after="100"/>
              <w:rPr>
                <w:rFonts w:eastAsia="Times New Roman"/>
                <w:sz w:val="20"/>
                <w:szCs w:val="20"/>
              </w:rPr>
            </w:pPr>
          </w:p>
        </w:tc>
      </w:tr>
      <w:tr w:rsidR="00000000" w14:paraId="25A01D62" w14:textId="77777777">
        <w:trPr>
          <w:divId w:val="2323753"/>
        </w:trPr>
        <w:tc>
          <w:tcPr>
            <w:tcW w:w="0" w:type="auto"/>
            <w:gridSpan w:val="3"/>
            <w:shd w:val="clear" w:color="auto" w:fill="CCEEFF"/>
            <w:tcMar>
              <w:top w:w="30" w:type="dxa"/>
              <w:left w:w="20" w:type="dxa"/>
              <w:bottom w:w="30" w:type="dxa"/>
              <w:right w:w="20" w:type="dxa"/>
            </w:tcMar>
            <w:vAlign w:val="center"/>
            <w:hideMark/>
          </w:tcPr>
          <w:p w14:paraId="24BFD70F" w14:textId="77777777" w:rsidR="00000000" w:rsidRDefault="00405D16">
            <w:pPr>
              <w:spacing w:after="100"/>
              <w:rPr>
                <w:rFonts w:eastAsia="Times New Roman"/>
              </w:rPr>
            </w:pPr>
            <w:r>
              <w:rPr>
                <w:rFonts w:eastAsia="Times New Roman"/>
                <w:b/>
                <w:bCs/>
                <w:color w:val="000000"/>
                <w:sz w:val="18"/>
                <w:szCs w:val="18"/>
              </w:rPr>
              <w:t>Non-GAAP Ratio:</w:t>
            </w:r>
          </w:p>
        </w:tc>
        <w:tc>
          <w:tcPr>
            <w:tcW w:w="0" w:type="auto"/>
            <w:gridSpan w:val="3"/>
            <w:shd w:val="clear" w:color="auto" w:fill="CCEEFF"/>
            <w:tcMar>
              <w:top w:w="0" w:type="dxa"/>
              <w:left w:w="20" w:type="dxa"/>
              <w:bottom w:w="0" w:type="dxa"/>
              <w:right w:w="20" w:type="dxa"/>
            </w:tcMar>
            <w:vAlign w:val="center"/>
            <w:hideMark/>
          </w:tcPr>
          <w:p w14:paraId="6EAA1CE8" w14:textId="77777777" w:rsidR="00000000" w:rsidRDefault="00405D16">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F23F4E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772F3C"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45C1187" w14:textId="77777777" w:rsidR="00000000" w:rsidRDefault="00405D16">
            <w:pPr>
              <w:spacing w:after="100"/>
              <w:rPr>
                <w:rFonts w:eastAsia="Times New Roman"/>
                <w:sz w:val="20"/>
                <w:szCs w:val="20"/>
              </w:rPr>
            </w:pPr>
          </w:p>
        </w:tc>
        <w:tc>
          <w:tcPr>
            <w:tcW w:w="0" w:type="auto"/>
            <w:vAlign w:val="center"/>
            <w:hideMark/>
          </w:tcPr>
          <w:p w14:paraId="5B191DEA" w14:textId="77777777" w:rsidR="00000000" w:rsidRDefault="00405D16">
            <w:pPr>
              <w:spacing w:after="100"/>
              <w:rPr>
                <w:rFonts w:eastAsia="Times New Roman"/>
                <w:sz w:val="20"/>
                <w:szCs w:val="20"/>
              </w:rPr>
            </w:pPr>
          </w:p>
        </w:tc>
        <w:tc>
          <w:tcPr>
            <w:tcW w:w="0" w:type="auto"/>
            <w:vAlign w:val="center"/>
            <w:hideMark/>
          </w:tcPr>
          <w:p w14:paraId="6D9D8AD9" w14:textId="77777777" w:rsidR="00000000" w:rsidRDefault="00405D16">
            <w:pPr>
              <w:spacing w:after="100"/>
              <w:rPr>
                <w:rFonts w:eastAsia="Times New Roman"/>
                <w:sz w:val="20"/>
                <w:szCs w:val="20"/>
              </w:rPr>
            </w:pPr>
          </w:p>
        </w:tc>
        <w:tc>
          <w:tcPr>
            <w:tcW w:w="0" w:type="auto"/>
            <w:vAlign w:val="center"/>
            <w:hideMark/>
          </w:tcPr>
          <w:p w14:paraId="4FE495CD" w14:textId="77777777" w:rsidR="00000000" w:rsidRDefault="00405D16">
            <w:pPr>
              <w:spacing w:after="100"/>
              <w:rPr>
                <w:rFonts w:eastAsia="Times New Roman"/>
                <w:sz w:val="20"/>
                <w:szCs w:val="20"/>
              </w:rPr>
            </w:pPr>
          </w:p>
        </w:tc>
        <w:tc>
          <w:tcPr>
            <w:tcW w:w="0" w:type="auto"/>
            <w:vAlign w:val="center"/>
            <w:hideMark/>
          </w:tcPr>
          <w:p w14:paraId="0F53B3C4" w14:textId="77777777" w:rsidR="00000000" w:rsidRDefault="00405D16">
            <w:pPr>
              <w:spacing w:after="100"/>
              <w:rPr>
                <w:rFonts w:eastAsia="Times New Roman"/>
                <w:sz w:val="20"/>
                <w:szCs w:val="20"/>
              </w:rPr>
            </w:pPr>
          </w:p>
        </w:tc>
        <w:tc>
          <w:tcPr>
            <w:tcW w:w="0" w:type="auto"/>
            <w:vAlign w:val="center"/>
            <w:hideMark/>
          </w:tcPr>
          <w:p w14:paraId="192414F6" w14:textId="77777777" w:rsidR="00000000" w:rsidRDefault="00405D16">
            <w:pPr>
              <w:spacing w:after="100"/>
              <w:rPr>
                <w:rFonts w:eastAsia="Times New Roman"/>
                <w:sz w:val="20"/>
                <w:szCs w:val="20"/>
              </w:rPr>
            </w:pPr>
          </w:p>
        </w:tc>
        <w:tc>
          <w:tcPr>
            <w:tcW w:w="0" w:type="auto"/>
            <w:vAlign w:val="center"/>
            <w:hideMark/>
          </w:tcPr>
          <w:p w14:paraId="1844E208" w14:textId="77777777" w:rsidR="00000000" w:rsidRDefault="00405D16">
            <w:pPr>
              <w:spacing w:after="100"/>
              <w:rPr>
                <w:rFonts w:eastAsia="Times New Roman"/>
                <w:sz w:val="20"/>
                <w:szCs w:val="20"/>
              </w:rPr>
            </w:pPr>
          </w:p>
        </w:tc>
      </w:tr>
      <w:tr w:rsidR="00000000" w14:paraId="30B9080C" w14:textId="77777777">
        <w:trPr>
          <w:divId w:val="2323753"/>
        </w:trPr>
        <w:tc>
          <w:tcPr>
            <w:tcW w:w="0" w:type="auto"/>
            <w:gridSpan w:val="3"/>
            <w:shd w:val="clear" w:color="auto" w:fill="FFFFFF"/>
            <w:tcMar>
              <w:top w:w="30" w:type="dxa"/>
              <w:left w:w="20" w:type="dxa"/>
              <w:bottom w:w="30" w:type="dxa"/>
              <w:right w:w="20" w:type="dxa"/>
            </w:tcMar>
            <w:vAlign w:val="center"/>
            <w:hideMark/>
          </w:tcPr>
          <w:p w14:paraId="0A93EF3A" w14:textId="77777777" w:rsidR="00000000" w:rsidRDefault="00405D16">
            <w:pPr>
              <w:spacing w:after="100"/>
              <w:divId w:val="330910202"/>
              <w:rPr>
                <w:rFonts w:eastAsia="Times New Roman"/>
              </w:rPr>
            </w:pPr>
            <w:r>
              <w:rPr>
                <w:rFonts w:eastAsia="Times New Roman"/>
                <w:color w:val="000000"/>
                <w:sz w:val="18"/>
                <w:szCs w:val="18"/>
              </w:rPr>
              <w:t>Tangible common equity (“TCE”</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684D4781"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7BD0BFB" w14:textId="77777777" w:rsidR="00000000" w:rsidRDefault="00405D16">
            <w:pPr>
              <w:spacing w:after="100"/>
              <w:jc w:val="right"/>
              <w:rPr>
                <w:rFonts w:eastAsia="Times New Roman"/>
              </w:rPr>
            </w:pPr>
            <w:r>
              <w:rPr>
                <w:rFonts w:eastAsia="Times New Roman"/>
                <w:b/>
                <w:bCs/>
                <w:color w:val="000000"/>
                <w:sz w:val="18"/>
                <w:szCs w:val="18"/>
              </w:rPr>
              <w:t>10.4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A81A082"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9F76CAC"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410ED55" w14:textId="77777777" w:rsidR="00000000" w:rsidRDefault="00405D16">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14:paraId="086DB079" w14:textId="77777777" w:rsidR="00000000" w:rsidRDefault="00405D16">
            <w:pPr>
              <w:spacing w:after="100"/>
              <w:jc w:val="right"/>
              <w:rPr>
                <w:rFonts w:eastAsia="Times New Roman"/>
              </w:rPr>
            </w:pPr>
            <w:r>
              <w:rPr>
                <w:rFonts w:eastAsia="Times New Roman"/>
                <w:color w:val="000000"/>
                <w:sz w:val="18"/>
                <w:szCs w:val="18"/>
              </w:rPr>
              <w:t>%</w:t>
            </w:r>
          </w:p>
        </w:tc>
        <w:tc>
          <w:tcPr>
            <w:tcW w:w="0" w:type="auto"/>
            <w:vAlign w:val="center"/>
            <w:hideMark/>
          </w:tcPr>
          <w:p w14:paraId="7317B638" w14:textId="77777777" w:rsidR="00000000" w:rsidRDefault="00405D16">
            <w:pPr>
              <w:spacing w:after="100"/>
              <w:jc w:val="right"/>
              <w:rPr>
                <w:rFonts w:eastAsia="Times New Roman"/>
              </w:rPr>
            </w:pPr>
          </w:p>
        </w:tc>
        <w:tc>
          <w:tcPr>
            <w:tcW w:w="0" w:type="auto"/>
            <w:vAlign w:val="center"/>
            <w:hideMark/>
          </w:tcPr>
          <w:p w14:paraId="6FB67F3F" w14:textId="77777777" w:rsidR="00000000" w:rsidRDefault="00405D16">
            <w:pPr>
              <w:spacing w:after="100"/>
              <w:rPr>
                <w:rFonts w:eastAsia="Times New Roman"/>
                <w:sz w:val="20"/>
                <w:szCs w:val="20"/>
              </w:rPr>
            </w:pPr>
          </w:p>
        </w:tc>
        <w:tc>
          <w:tcPr>
            <w:tcW w:w="0" w:type="auto"/>
            <w:vAlign w:val="center"/>
            <w:hideMark/>
          </w:tcPr>
          <w:p w14:paraId="473C8C4C" w14:textId="77777777" w:rsidR="00000000" w:rsidRDefault="00405D16">
            <w:pPr>
              <w:spacing w:after="100"/>
              <w:rPr>
                <w:rFonts w:eastAsia="Times New Roman"/>
                <w:sz w:val="20"/>
                <w:szCs w:val="20"/>
              </w:rPr>
            </w:pPr>
          </w:p>
        </w:tc>
        <w:tc>
          <w:tcPr>
            <w:tcW w:w="0" w:type="auto"/>
            <w:vAlign w:val="center"/>
            <w:hideMark/>
          </w:tcPr>
          <w:p w14:paraId="78DF158D" w14:textId="77777777" w:rsidR="00000000" w:rsidRDefault="00405D16">
            <w:pPr>
              <w:spacing w:after="100"/>
              <w:rPr>
                <w:rFonts w:eastAsia="Times New Roman"/>
                <w:sz w:val="20"/>
                <w:szCs w:val="20"/>
              </w:rPr>
            </w:pPr>
          </w:p>
        </w:tc>
        <w:tc>
          <w:tcPr>
            <w:tcW w:w="0" w:type="auto"/>
            <w:vAlign w:val="center"/>
            <w:hideMark/>
          </w:tcPr>
          <w:p w14:paraId="214AA92D" w14:textId="77777777" w:rsidR="00000000" w:rsidRDefault="00405D16">
            <w:pPr>
              <w:spacing w:after="100"/>
              <w:rPr>
                <w:rFonts w:eastAsia="Times New Roman"/>
                <w:sz w:val="20"/>
                <w:szCs w:val="20"/>
              </w:rPr>
            </w:pPr>
          </w:p>
        </w:tc>
        <w:tc>
          <w:tcPr>
            <w:tcW w:w="0" w:type="auto"/>
            <w:vAlign w:val="center"/>
            <w:hideMark/>
          </w:tcPr>
          <w:p w14:paraId="4848ED01" w14:textId="77777777" w:rsidR="00000000" w:rsidRDefault="00405D16">
            <w:pPr>
              <w:spacing w:after="100"/>
              <w:rPr>
                <w:rFonts w:eastAsia="Times New Roman"/>
                <w:sz w:val="20"/>
                <w:szCs w:val="20"/>
              </w:rPr>
            </w:pPr>
          </w:p>
        </w:tc>
      </w:tr>
    </w:tbl>
    <w:p w14:paraId="45766F2E" w14:textId="77777777" w:rsidR="00000000" w:rsidRDefault="00405D16">
      <w:pPr>
        <w:divId w:val="1607689647"/>
        <w:rPr>
          <w:rFonts w:eastAsia="Times New Roman"/>
        </w:rPr>
      </w:pPr>
      <w:r>
        <w:rPr>
          <w:rFonts w:eastAsia="Times New Roman"/>
          <w:color w:val="000000"/>
          <w:sz w:val="20"/>
          <w:szCs w:val="20"/>
        </w:rPr>
        <w:t>__________</w:t>
      </w:r>
    </w:p>
    <w:p w14:paraId="6B9401BD" w14:textId="77777777" w:rsidR="00000000" w:rsidRDefault="00405D16">
      <w:pPr>
        <w:ind w:hanging="360"/>
        <w:jc w:val="both"/>
        <w:divId w:val="549538964"/>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impact of related deferred taxes.</w:t>
      </w:r>
    </w:p>
    <w:p w14:paraId="28139B2F" w14:textId="77777777" w:rsidR="00000000" w:rsidRDefault="00405D16">
      <w:pPr>
        <w:ind w:hanging="360"/>
        <w:jc w:val="both"/>
        <w:divId w:val="2024093030"/>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TCE ratio is a non-GAAP measure calculated based on TCE divided by tangible assets.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3E71CA6B" w14:textId="77777777">
        <w:trPr>
          <w:divId w:val="1379234921"/>
          <w:jc w:val="center"/>
        </w:trPr>
        <w:tc>
          <w:tcPr>
            <w:tcW w:w="50" w:type="pct"/>
            <w:vAlign w:val="center"/>
            <w:hideMark/>
          </w:tcPr>
          <w:p w14:paraId="133526BB" w14:textId="77777777" w:rsidR="00000000" w:rsidRDefault="00405D16">
            <w:pPr>
              <w:ind w:hanging="360"/>
              <w:jc w:val="both"/>
              <w:rPr>
                <w:rFonts w:eastAsia="Times New Roman"/>
              </w:rPr>
            </w:pPr>
          </w:p>
        </w:tc>
        <w:tc>
          <w:tcPr>
            <w:tcW w:w="1606" w:type="pct"/>
            <w:vAlign w:val="center"/>
            <w:hideMark/>
          </w:tcPr>
          <w:p w14:paraId="791B8070" w14:textId="77777777" w:rsidR="00000000" w:rsidRDefault="00405D16">
            <w:pPr>
              <w:spacing w:after="100"/>
              <w:rPr>
                <w:rFonts w:eastAsia="Times New Roman"/>
                <w:sz w:val="20"/>
                <w:szCs w:val="20"/>
              </w:rPr>
            </w:pPr>
          </w:p>
        </w:tc>
        <w:tc>
          <w:tcPr>
            <w:tcW w:w="5" w:type="pct"/>
            <w:vAlign w:val="center"/>
            <w:hideMark/>
          </w:tcPr>
          <w:p w14:paraId="2F1B44D8" w14:textId="77777777" w:rsidR="00000000" w:rsidRDefault="00405D16">
            <w:pPr>
              <w:spacing w:after="100"/>
              <w:rPr>
                <w:rFonts w:eastAsia="Times New Roman"/>
                <w:sz w:val="20"/>
                <w:szCs w:val="20"/>
              </w:rPr>
            </w:pPr>
          </w:p>
        </w:tc>
        <w:tc>
          <w:tcPr>
            <w:tcW w:w="50" w:type="pct"/>
            <w:vAlign w:val="center"/>
            <w:hideMark/>
          </w:tcPr>
          <w:p w14:paraId="442CEB8F" w14:textId="77777777" w:rsidR="00000000" w:rsidRDefault="00405D16">
            <w:pPr>
              <w:spacing w:after="100"/>
              <w:rPr>
                <w:rFonts w:eastAsia="Times New Roman"/>
                <w:sz w:val="20"/>
                <w:szCs w:val="20"/>
              </w:rPr>
            </w:pPr>
          </w:p>
        </w:tc>
        <w:tc>
          <w:tcPr>
            <w:tcW w:w="1614" w:type="pct"/>
            <w:vAlign w:val="center"/>
            <w:hideMark/>
          </w:tcPr>
          <w:p w14:paraId="0A55A5AB" w14:textId="77777777" w:rsidR="00000000" w:rsidRDefault="00405D16">
            <w:pPr>
              <w:spacing w:after="100"/>
              <w:rPr>
                <w:rFonts w:eastAsia="Times New Roman"/>
                <w:sz w:val="20"/>
                <w:szCs w:val="20"/>
              </w:rPr>
            </w:pPr>
          </w:p>
        </w:tc>
        <w:tc>
          <w:tcPr>
            <w:tcW w:w="5" w:type="pct"/>
            <w:vAlign w:val="center"/>
            <w:hideMark/>
          </w:tcPr>
          <w:p w14:paraId="12C146FF" w14:textId="77777777" w:rsidR="00000000" w:rsidRDefault="00405D16">
            <w:pPr>
              <w:spacing w:after="100"/>
              <w:rPr>
                <w:rFonts w:eastAsia="Times New Roman"/>
                <w:sz w:val="20"/>
                <w:szCs w:val="20"/>
              </w:rPr>
            </w:pPr>
          </w:p>
        </w:tc>
        <w:tc>
          <w:tcPr>
            <w:tcW w:w="50" w:type="pct"/>
            <w:vAlign w:val="center"/>
            <w:hideMark/>
          </w:tcPr>
          <w:p w14:paraId="1BCD6F1E" w14:textId="77777777" w:rsidR="00000000" w:rsidRDefault="00405D16">
            <w:pPr>
              <w:spacing w:after="100"/>
              <w:rPr>
                <w:rFonts w:eastAsia="Times New Roman"/>
                <w:sz w:val="20"/>
                <w:szCs w:val="20"/>
              </w:rPr>
            </w:pPr>
          </w:p>
        </w:tc>
        <w:tc>
          <w:tcPr>
            <w:tcW w:w="1614" w:type="pct"/>
            <w:vAlign w:val="center"/>
            <w:hideMark/>
          </w:tcPr>
          <w:p w14:paraId="332C9A81" w14:textId="77777777" w:rsidR="00000000" w:rsidRDefault="00405D16">
            <w:pPr>
              <w:spacing w:after="100"/>
              <w:rPr>
                <w:rFonts w:eastAsia="Times New Roman"/>
                <w:sz w:val="20"/>
                <w:szCs w:val="20"/>
              </w:rPr>
            </w:pPr>
          </w:p>
        </w:tc>
        <w:tc>
          <w:tcPr>
            <w:tcW w:w="5" w:type="pct"/>
            <w:vAlign w:val="center"/>
            <w:hideMark/>
          </w:tcPr>
          <w:p w14:paraId="51302114" w14:textId="77777777" w:rsidR="00000000" w:rsidRDefault="00405D16">
            <w:pPr>
              <w:spacing w:after="100"/>
              <w:rPr>
                <w:rFonts w:eastAsia="Times New Roman"/>
                <w:sz w:val="20"/>
                <w:szCs w:val="20"/>
              </w:rPr>
            </w:pPr>
          </w:p>
        </w:tc>
      </w:tr>
      <w:tr w:rsidR="00000000" w14:paraId="7A841020" w14:textId="77777777">
        <w:trPr>
          <w:divId w:val="1379234921"/>
          <w:trHeight w:val="300"/>
          <w:jc w:val="center"/>
        </w:trPr>
        <w:tc>
          <w:tcPr>
            <w:tcW w:w="0" w:type="auto"/>
            <w:gridSpan w:val="9"/>
            <w:tcMar>
              <w:top w:w="0" w:type="dxa"/>
              <w:left w:w="20" w:type="dxa"/>
              <w:bottom w:w="0" w:type="dxa"/>
              <w:right w:w="20" w:type="dxa"/>
            </w:tcMar>
            <w:vAlign w:val="center"/>
            <w:hideMark/>
          </w:tcPr>
          <w:p w14:paraId="2E6F2FA8" w14:textId="77777777" w:rsidR="00000000" w:rsidRDefault="00405D16">
            <w:pPr>
              <w:spacing w:after="100"/>
              <w:rPr>
                <w:rFonts w:eastAsia="Times New Roman"/>
                <w:sz w:val="20"/>
                <w:szCs w:val="20"/>
              </w:rPr>
            </w:pPr>
          </w:p>
        </w:tc>
      </w:tr>
      <w:tr w:rsidR="00000000" w14:paraId="0248C8CB" w14:textId="77777777">
        <w:trPr>
          <w:divId w:val="1379234921"/>
          <w:jc w:val="center"/>
        </w:trPr>
        <w:tc>
          <w:tcPr>
            <w:tcW w:w="0" w:type="auto"/>
            <w:gridSpan w:val="3"/>
            <w:tcMar>
              <w:top w:w="0" w:type="dxa"/>
              <w:left w:w="20" w:type="dxa"/>
              <w:bottom w:w="0" w:type="dxa"/>
              <w:right w:w="20" w:type="dxa"/>
            </w:tcMar>
            <w:vAlign w:val="center"/>
            <w:hideMark/>
          </w:tcPr>
          <w:p w14:paraId="376BA27F"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745BA2E" w14:textId="77777777" w:rsidR="00000000" w:rsidRDefault="00405D16">
            <w:pPr>
              <w:spacing w:after="100"/>
              <w:jc w:val="center"/>
              <w:rPr>
                <w:rFonts w:eastAsia="Times New Roman"/>
              </w:rPr>
            </w:pPr>
            <w:r>
              <w:rPr>
                <w:rFonts w:eastAsia="Times New Roman"/>
                <w:color w:val="000000"/>
                <w:sz w:val="16"/>
                <w:szCs w:val="16"/>
              </w:rPr>
              <w:t>61</w:t>
            </w:r>
          </w:p>
        </w:tc>
        <w:tc>
          <w:tcPr>
            <w:tcW w:w="0" w:type="auto"/>
            <w:gridSpan w:val="3"/>
            <w:tcMar>
              <w:top w:w="30" w:type="dxa"/>
              <w:left w:w="20" w:type="dxa"/>
              <w:bottom w:w="30" w:type="dxa"/>
              <w:right w:w="20" w:type="dxa"/>
            </w:tcMar>
            <w:vAlign w:val="bottom"/>
            <w:hideMark/>
          </w:tcPr>
          <w:p w14:paraId="09043A9A"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3D4BB29E" w14:textId="77777777" w:rsidR="00000000" w:rsidRDefault="00405D16">
      <w:pPr>
        <w:rPr>
          <w:rFonts w:eastAsia="Times New Roman"/>
        </w:rPr>
      </w:pPr>
      <w:r>
        <w:rPr>
          <w:rFonts w:eastAsia="Times New Roman"/>
        </w:rPr>
        <w:pict w14:anchorId="1BC78405">
          <v:rect id="_x0000_i1086" style="width:0;height:1.5pt" o:hralign="center" o:hrstd="t" o:hr="t" fillcolor="#a0a0a0" stroked="f"/>
        </w:pict>
      </w:r>
    </w:p>
    <w:p w14:paraId="1C102AF3" w14:textId="77777777" w:rsidR="00000000" w:rsidRDefault="00405D16">
      <w:pPr>
        <w:ind w:hanging="360"/>
        <w:jc w:val="both"/>
        <w:divId w:val="1496065184"/>
        <w:rPr>
          <w:rFonts w:eastAsia="Times New Roman"/>
        </w:rPr>
      </w:pPr>
      <w:hyperlink w:anchor="idd54a04a485440b4ab4e56094c14d612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53398FC0" w14:textId="77777777">
        <w:trPr>
          <w:divId w:val="183252694"/>
        </w:trPr>
        <w:tc>
          <w:tcPr>
            <w:tcW w:w="50" w:type="pct"/>
            <w:vAlign w:val="center"/>
            <w:hideMark/>
          </w:tcPr>
          <w:p w14:paraId="334C64B3" w14:textId="77777777" w:rsidR="00000000" w:rsidRDefault="00405D16">
            <w:pPr>
              <w:ind w:hanging="360"/>
              <w:jc w:val="both"/>
              <w:rPr>
                <w:rFonts w:eastAsia="Times New Roman"/>
              </w:rPr>
            </w:pPr>
          </w:p>
        </w:tc>
        <w:tc>
          <w:tcPr>
            <w:tcW w:w="4945" w:type="pct"/>
            <w:vAlign w:val="center"/>
            <w:hideMark/>
          </w:tcPr>
          <w:p w14:paraId="14BFF841" w14:textId="77777777" w:rsidR="00000000" w:rsidRDefault="00405D16">
            <w:pPr>
              <w:spacing w:after="100"/>
              <w:rPr>
                <w:rFonts w:eastAsia="Times New Roman"/>
                <w:sz w:val="20"/>
                <w:szCs w:val="20"/>
              </w:rPr>
            </w:pPr>
          </w:p>
        </w:tc>
        <w:tc>
          <w:tcPr>
            <w:tcW w:w="5" w:type="pct"/>
            <w:vAlign w:val="center"/>
            <w:hideMark/>
          </w:tcPr>
          <w:p w14:paraId="23A38532" w14:textId="77777777" w:rsidR="00000000" w:rsidRDefault="00405D16">
            <w:pPr>
              <w:spacing w:after="100"/>
              <w:rPr>
                <w:rFonts w:eastAsia="Times New Roman"/>
                <w:sz w:val="20"/>
                <w:szCs w:val="20"/>
              </w:rPr>
            </w:pPr>
          </w:p>
        </w:tc>
      </w:tr>
      <w:tr w:rsidR="00000000" w14:paraId="31ED9682" w14:textId="77777777">
        <w:trPr>
          <w:divId w:val="183252694"/>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624CA89E" w14:textId="77777777" w:rsidR="00000000" w:rsidRDefault="00405D16">
            <w:pPr>
              <w:spacing w:after="100"/>
              <w:rPr>
                <w:rFonts w:eastAsia="Times New Roman"/>
              </w:rPr>
            </w:pPr>
            <w:r>
              <w:rPr>
                <w:rFonts w:eastAsia="Times New Roman"/>
                <w:b/>
                <w:bCs/>
                <w:color w:val="000000"/>
                <w:sz w:val="20"/>
                <w:szCs w:val="20"/>
              </w:rPr>
              <w:t>Glossary and Acronyms</w:t>
            </w:r>
          </w:p>
        </w:tc>
      </w:tr>
    </w:tbl>
    <w:p w14:paraId="02B3BC4B" w14:textId="77777777" w:rsidR="00000000" w:rsidRDefault="00405D16">
      <w:pPr>
        <w:jc w:val="both"/>
        <w:divId w:val="947398112"/>
        <w:rPr>
          <w:rFonts w:eastAsia="Times New Roman"/>
        </w:rPr>
      </w:pPr>
      <w:r>
        <w:rPr>
          <w:rFonts w:eastAsia="Times New Roman"/>
          <w:b/>
          <w:bCs/>
          <w:color w:val="000000"/>
          <w:sz w:val="20"/>
          <w:szCs w:val="20"/>
        </w:rPr>
        <w:t>Amortized cost:</w:t>
      </w:r>
      <w:r>
        <w:rPr>
          <w:rFonts w:eastAsia="Times New Roman"/>
          <w:color w:val="000000"/>
          <w:sz w:val="20"/>
          <w:szCs w:val="20"/>
        </w:rPr>
        <w:t xml:space="preserve"> </w:t>
      </w:r>
      <w:r>
        <w:rPr>
          <w:rFonts w:eastAsia="Times New Roman"/>
          <w:color w:val="000000"/>
          <w:sz w:val="20"/>
          <w:szCs w:val="20"/>
        </w:rPr>
        <w:t xml:space="preserve">The amount at which a financing receivable or investment is originated or acquired, adjusted for applicable accrued interest, accretion, or amortization of premium, discount, and net deferred fees or costs, collection of cash, write-offs, foreign exchange </w:t>
      </w:r>
      <w:r>
        <w:rPr>
          <w:rFonts w:eastAsia="Times New Roman"/>
          <w:color w:val="000000"/>
          <w:sz w:val="20"/>
          <w:szCs w:val="20"/>
        </w:rPr>
        <w:t>and fair value hedge accounting adjustments.</w:t>
      </w:r>
    </w:p>
    <w:p w14:paraId="444B2C2A" w14:textId="77777777" w:rsidR="00000000" w:rsidRDefault="00405D16">
      <w:pPr>
        <w:jc w:val="both"/>
        <w:divId w:val="668749340"/>
        <w:rPr>
          <w:rFonts w:eastAsia="Times New Roman"/>
        </w:rPr>
      </w:pPr>
      <w:r>
        <w:rPr>
          <w:rFonts w:eastAsia="Times New Roman"/>
          <w:b/>
          <w:bCs/>
          <w:color w:val="000000"/>
          <w:sz w:val="20"/>
          <w:szCs w:val="20"/>
        </w:rPr>
        <w:t xml:space="preserve">Annual Report: </w:t>
      </w:r>
      <w:r>
        <w:rPr>
          <w:rFonts w:eastAsia="Times New Roman"/>
          <w:color w:val="000000"/>
          <w:sz w:val="20"/>
          <w:szCs w:val="20"/>
        </w:rPr>
        <w:t xml:space="preserve">References to our “2020 Form 10-K” or “2020 Annual Report” are to our Annual Report on Form 10-K for the fiscal year ended December 31, 2020. </w:t>
      </w:r>
    </w:p>
    <w:p w14:paraId="12EA1377" w14:textId="77777777" w:rsidR="00000000" w:rsidRDefault="00405D16">
      <w:pPr>
        <w:jc w:val="both"/>
        <w:divId w:val="593124842"/>
        <w:rPr>
          <w:rFonts w:eastAsia="Times New Roman"/>
        </w:rPr>
      </w:pPr>
      <w:r>
        <w:rPr>
          <w:rFonts w:eastAsia="Times New Roman"/>
          <w:b/>
          <w:bCs/>
          <w:color w:val="000000"/>
          <w:sz w:val="20"/>
          <w:szCs w:val="20"/>
        </w:rPr>
        <w:t xml:space="preserve">Banks: </w:t>
      </w:r>
      <w:r>
        <w:rPr>
          <w:rFonts w:eastAsia="Times New Roman"/>
          <w:color w:val="000000"/>
          <w:sz w:val="20"/>
          <w:szCs w:val="20"/>
        </w:rPr>
        <w:t>Refers to COBNA and CONA.</w:t>
      </w:r>
    </w:p>
    <w:p w14:paraId="38F97C4B" w14:textId="77777777" w:rsidR="00000000" w:rsidRDefault="00405D16">
      <w:pPr>
        <w:jc w:val="both"/>
        <w:divId w:val="1946228017"/>
        <w:rPr>
          <w:rFonts w:eastAsia="Times New Roman"/>
        </w:rPr>
      </w:pPr>
      <w:r>
        <w:rPr>
          <w:rFonts w:eastAsia="Times New Roman"/>
          <w:b/>
          <w:bCs/>
          <w:color w:val="000000"/>
          <w:sz w:val="20"/>
          <w:szCs w:val="20"/>
        </w:rPr>
        <w:t>Basel Committee:</w:t>
      </w:r>
      <w:r>
        <w:rPr>
          <w:rFonts w:eastAsia="Times New Roman"/>
          <w:color w:val="000000"/>
          <w:sz w:val="20"/>
          <w:szCs w:val="20"/>
        </w:rPr>
        <w:t xml:space="preserve"> The</w:t>
      </w:r>
      <w:r>
        <w:rPr>
          <w:rFonts w:eastAsia="Times New Roman"/>
          <w:color w:val="000000"/>
          <w:sz w:val="20"/>
          <w:szCs w:val="20"/>
        </w:rPr>
        <w:t xml:space="preserve"> Basel Committee on Banking Supervision.</w:t>
      </w:r>
    </w:p>
    <w:p w14:paraId="56222EB3" w14:textId="77777777" w:rsidR="00000000" w:rsidRDefault="00405D16">
      <w:pPr>
        <w:jc w:val="both"/>
        <w:divId w:val="1986278715"/>
        <w:rPr>
          <w:rFonts w:eastAsia="Times New Roman"/>
        </w:rPr>
      </w:pPr>
      <w:r>
        <w:rPr>
          <w:rFonts w:eastAsia="Times New Roman"/>
          <w:b/>
          <w:bCs/>
          <w:color w:val="000000"/>
          <w:sz w:val="20"/>
          <w:szCs w:val="20"/>
        </w:rPr>
        <w:t xml:space="preserve">Basel III Advanced Approaches: </w:t>
      </w:r>
      <w:r>
        <w:rPr>
          <w:rFonts w:eastAsia="Times New Roman"/>
          <w:color w:val="000000"/>
          <w:sz w:val="20"/>
          <w:szCs w:val="20"/>
        </w:rPr>
        <w:t>Following the Tailoring Rule, the Basel III Advanced Approaches was mandatory for Category I and II institutions. Category III institutions, such as us, are no longer subject to the Ba</w:t>
      </w:r>
      <w:r>
        <w:rPr>
          <w:rFonts w:eastAsia="Times New Roman"/>
          <w:color w:val="000000"/>
          <w:sz w:val="20"/>
          <w:szCs w:val="20"/>
        </w:rPr>
        <w:t>sel III Advanced Approaches framework effective January 1, 2020.</w:t>
      </w:r>
    </w:p>
    <w:p w14:paraId="7866609E" w14:textId="77777777" w:rsidR="00000000" w:rsidRDefault="00405D16">
      <w:pPr>
        <w:jc w:val="both"/>
        <w:divId w:val="668605713"/>
        <w:rPr>
          <w:rFonts w:eastAsia="Times New Roman"/>
        </w:rPr>
      </w:pPr>
      <w:r>
        <w:rPr>
          <w:rFonts w:eastAsia="Times New Roman"/>
          <w:b/>
          <w:bCs/>
          <w:color w:val="000000"/>
          <w:sz w:val="20"/>
          <w:szCs w:val="20"/>
        </w:rPr>
        <w:t>Basel III Capital Rules:</w:t>
      </w:r>
      <w:r>
        <w:rPr>
          <w:rFonts w:eastAsia="Times New Roman"/>
          <w:color w:val="000000"/>
          <w:sz w:val="20"/>
          <w:szCs w:val="20"/>
        </w:rPr>
        <w:t xml:space="preserve"> The regulatory capital requirements established by the Federal Banking Agencies in July 2013 to implement the Basel III capital framework developed by the Basel Commi</w:t>
      </w:r>
      <w:r>
        <w:rPr>
          <w:rFonts w:eastAsia="Times New Roman"/>
          <w:color w:val="000000"/>
          <w:sz w:val="20"/>
          <w:szCs w:val="20"/>
        </w:rPr>
        <w:t>ttee as well as certain Dodd-Frank Act and other capital provisions.</w:t>
      </w:r>
    </w:p>
    <w:p w14:paraId="0A957434" w14:textId="77777777" w:rsidR="00000000" w:rsidRDefault="00405D16">
      <w:pPr>
        <w:jc w:val="both"/>
        <w:divId w:val="587347571"/>
        <w:rPr>
          <w:rFonts w:eastAsia="Times New Roman"/>
        </w:rPr>
      </w:pPr>
      <w:r>
        <w:rPr>
          <w:rFonts w:eastAsia="Times New Roman"/>
          <w:b/>
          <w:bCs/>
          <w:color w:val="000000"/>
          <w:sz w:val="20"/>
          <w:szCs w:val="20"/>
        </w:rPr>
        <w:t xml:space="preserve">Basel III Standardized Approach: </w:t>
      </w:r>
      <w:r>
        <w:rPr>
          <w:rFonts w:eastAsia="Times New Roman"/>
          <w:color w:val="000000"/>
          <w:sz w:val="20"/>
          <w:szCs w:val="20"/>
        </w:rPr>
        <w:t>The Basel III Capital Rules modified Basel I to create the Basel III Standardized Approach.</w:t>
      </w:r>
    </w:p>
    <w:p w14:paraId="2297AA76" w14:textId="77777777" w:rsidR="00000000" w:rsidRDefault="00405D16">
      <w:pPr>
        <w:jc w:val="both"/>
        <w:divId w:val="2002463899"/>
        <w:rPr>
          <w:rFonts w:eastAsia="Times New Roman"/>
        </w:rPr>
      </w:pPr>
      <w:r>
        <w:rPr>
          <w:rFonts w:eastAsia="Times New Roman"/>
          <w:b/>
          <w:bCs/>
          <w:color w:val="000000"/>
          <w:sz w:val="20"/>
          <w:szCs w:val="20"/>
        </w:rPr>
        <w:t xml:space="preserve">Capital One </w:t>
      </w:r>
      <w:r>
        <w:rPr>
          <w:rFonts w:eastAsia="Times New Roman"/>
          <w:color w:val="000000"/>
          <w:sz w:val="20"/>
          <w:szCs w:val="20"/>
        </w:rPr>
        <w:t xml:space="preserve">or the </w:t>
      </w:r>
      <w:r>
        <w:rPr>
          <w:rFonts w:eastAsia="Times New Roman"/>
          <w:b/>
          <w:bCs/>
          <w:color w:val="000000"/>
          <w:sz w:val="20"/>
          <w:szCs w:val="20"/>
        </w:rPr>
        <w:t>Company:</w:t>
      </w:r>
      <w:r>
        <w:rPr>
          <w:rFonts w:eastAsia="Times New Roman"/>
          <w:color w:val="000000"/>
          <w:sz w:val="20"/>
          <w:szCs w:val="20"/>
        </w:rPr>
        <w:t xml:space="preserve"> Capital One Financial Corporation </w:t>
      </w:r>
      <w:r>
        <w:rPr>
          <w:rFonts w:eastAsia="Times New Roman"/>
          <w:color w:val="000000"/>
          <w:sz w:val="20"/>
          <w:szCs w:val="20"/>
        </w:rPr>
        <w:t>and its subsidiaries.</w:t>
      </w:r>
    </w:p>
    <w:p w14:paraId="2F7333DB" w14:textId="77777777" w:rsidR="00000000" w:rsidRDefault="00405D16">
      <w:pPr>
        <w:jc w:val="both"/>
        <w:divId w:val="1414544168"/>
        <w:rPr>
          <w:rFonts w:eastAsia="Times New Roman"/>
        </w:rPr>
      </w:pPr>
      <w:r>
        <w:rPr>
          <w:rFonts w:eastAsia="Times New Roman"/>
          <w:b/>
          <w:bCs/>
          <w:color w:val="000000"/>
          <w:sz w:val="20"/>
          <w:szCs w:val="20"/>
        </w:rPr>
        <w:t>The Coronavirus Aid, Relief, and Economic Security Act (“CARES Act”):</w:t>
      </w:r>
      <w:r>
        <w:rPr>
          <w:rFonts w:eastAsia="Times New Roman"/>
          <w:color w:val="000000"/>
          <w:sz w:val="20"/>
          <w:szCs w:val="20"/>
        </w:rPr>
        <w:t xml:space="preserve"> Legislation signed into law on March 27, 2020. This law, among other things, authorized a number of lending programs to support the flow of credit to consumers and </w:t>
      </w:r>
      <w:r>
        <w:rPr>
          <w:rFonts w:eastAsia="Times New Roman"/>
          <w:color w:val="000000"/>
          <w:sz w:val="20"/>
          <w:szCs w:val="20"/>
        </w:rPr>
        <w:t>businesses and gave the banking organizations an option to temporarily suspend the determination of certain qualified loans modified as a result of COVID-19 as being TDRs, which was extended by the Consolidated Appropriations Act 2021.</w:t>
      </w:r>
    </w:p>
    <w:p w14:paraId="71991ADE" w14:textId="77777777" w:rsidR="00000000" w:rsidRDefault="00405D16">
      <w:pPr>
        <w:jc w:val="both"/>
        <w:divId w:val="378021281"/>
        <w:rPr>
          <w:rFonts w:eastAsia="Times New Roman"/>
        </w:rPr>
      </w:pPr>
      <w:r>
        <w:rPr>
          <w:rFonts w:eastAsia="Times New Roman"/>
          <w:b/>
          <w:bCs/>
          <w:color w:val="000000"/>
          <w:sz w:val="20"/>
          <w:szCs w:val="20"/>
        </w:rPr>
        <w:t xml:space="preserve">Carrying value </w:t>
      </w:r>
      <w:r>
        <w:rPr>
          <w:rFonts w:eastAsia="Times New Roman"/>
          <w:color w:val="000000"/>
          <w:sz w:val="20"/>
          <w:szCs w:val="20"/>
        </w:rPr>
        <w:t>(with</w:t>
      </w:r>
      <w:r>
        <w:rPr>
          <w:rFonts w:eastAsia="Times New Roman"/>
          <w:color w:val="000000"/>
          <w:sz w:val="20"/>
          <w:szCs w:val="20"/>
        </w:rPr>
        <w:t xml:space="preserve"> respect to loans)</w:t>
      </w:r>
      <w:r>
        <w:rPr>
          <w:rFonts w:eastAsia="Times New Roman"/>
          <w:b/>
          <w:bCs/>
          <w:color w:val="000000"/>
          <w:sz w:val="20"/>
          <w:szCs w:val="20"/>
        </w:rPr>
        <w:t>:</w:t>
      </w:r>
      <w:r>
        <w:rPr>
          <w:rFonts w:eastAsia="Times New Roman"/>
          <w:color w:val="000000"/>
          <w:sz w:val="20"/>
          <w:szCs w:val="20"/>
        </w:rPr>
        <w:t xml:space="preserve"> The amount at which a loan is recorded on the consolidated balance sheets. For loans recorded at amortized cost, carrying value is the unpaid principal balance net of unamortized deferred loan origination fees and costs, and unamortized</w:t>
      </w:r>
      <w:r>
        <w:rPr>
          <w:rFonts w:eastAsia="Times New Roman"/>
          <w:color w:val="000000"/>
          <w:sz w:val="20"/>
          <w:szCs w:val="20"/>
        </w:rPr>
        <w:t xml:space="preserve"> purchase premium or discount. For loans that are or have been on nonaccrual status, the carrying value is also reduced by any net charge-offs that have been recorded and the amount of interest payments applied as a reduction of principal under the cost re</w:t>
      </w:r>
      <w:r>
        <w:rPr>
          <w:rFonts w:eastAsia="Times New Roman"/>
          <w:color w:val="000000"/>
          <w:sz w:val="20"/>
          <w:szCs w:val="20"/>
        </w:rPr>
        <w:t xml:space="preserve">covery method. For credit card loans, the carrying value also includes interest that has been billed to the customer, net of any related reserves. Loans held for sale are recorded at either fair value (if we elect the fair value option) or at the lower of </w:t>
      </w:r>
      <w:r>
        <w:rPr>
          <w:rFonts w:eastAsia="Times New Roman"/>
          <w:color w:val="000000"/>
          <w:sz w:val="20"/>
          <w:szCs w:val="20"/>
        </w:rPr>
        <w:t>cost or fair value.</w:t>
      </w:r>
    </w:p>
    <w:p w14:paraId="19A8AD56" w14:textId="77777777" w:rsidR="00000000" w:rsidRDefault="00405D16">
      <w:pPr>
        <w:jc w:val="both"/>
        <w:divId w:val="677268335"/>
        <w:rPr>
          <w:rFonts w:eastAsia="Times New Roman"/>
        </w:rPr>
      </w:pPr>
      <w:r>
        <w:rPr>
          <w:rFonts w:eastAsia="Times New Roman"/>
          <w:b/>
          <w:bCs/>
          <w:color w:val="000000"/>
          <w:sz w:val="20"/>
          <w:szCs w:val="20"/>
        </w:rPr>
        <w:t>CECL:</w:t>
      </w:r>
      <w:r>
        <w:rPr>
          <w:rFonts w:eastAsia="Times New Roman"/>
          <w:color w:val="000000"/>
          <w:sz w:val="20"/>
          <w:szCs w:val="20"/>
        </w:rPr>
        <w:t xml:space="preserve"> In June 2016, the Financial Accounting Standards Board (“FASB”) issued Accounting Standards Update (“ASU”) No. 2016-13, Financial Instruments—Credit Losses (Topic 326): </w:t>
      </w:r>
      <w:r>
        <w:rPr>
          <w:rFonts w:eastAsia="Times New Roman"/>
          <w:i/>
          <w:iCs/>
          <w:color w:val="000000"/>
          <w:sz w:val="20"/>
          <w:szCs w:val="20"/>
        </w:rPr>
        <w:t>Measurement of Credit Losses on Financial Instruments</w:t>
      </w:r>
      <w:r>
        <w:rPr>
          <w:rFonts w:eastAsia="Times New Roman"/>
          <w:color w:val="000000"/>
          <w:sz w:val="20"/>
          <w:szCs w:val="20"/>
        </w:rPr>
        <w:t>. This A</w:t>
      </w:r>
      <w:r>
        <w:rPr>
          <w:rFonts w:eastAsia="Times New Roman"/>
          <w:color w:val="000000"/>
          <w:sz w:val="20"/>
          <w:szCs w:val="20"/>
        </w:rPr>
        <w:t>SU requires an impairment model (known as the current expected credit loss (“CECL”) model) that is based on expected rather than incurred losses, with an anticipated result of more timely loss recognition. This guidance was effective for us on January 1, 2</w:t>
      </w:r>
      <w:r>
        <w:rPr>
          <w:rFonts w:eastAsia="Times New Roman"/>
          <w:color w:val="000000"/>
          <w:sz w:val="20"/>
          <w:szCs w:val="20"/>
        </w:rPr>
        <w:t xml:space="preserve">020. </w:t>
      </w:r>
    </w:p>
    <w:p w14:paraId="770E8B4A" w14:textId="77777777" w:rsidR="00000000" w:rsidRDefault="00405D16">
      <w:pPr>
        <w:jc w:val="both"/>
        <w:divId w:val="1864901059"/>
        <w:rPr>
          <w:rFonts w:eastAsia="Times New Roman"/>
        </w:rPr>
      </w:pPr>
      <w:r>
        <w:rPr>
          <w:rFonts w:eastAsia="Times New Roman"/>
          <w:b/>
          <w:bCs/>
          <w:color w:val="000000"/>
          <w:sz w:val="20"/>
          <w:szCs w:val="20"/>
        </w:rPr>
        <w:t>COBNA:</w:t>
      </w:r>
      <w:r>
        <w:rPr>
          <w:rFonts w:eastAsia="Times New Roman"/>
          <w:color w:val="000000"/>
          <w:sz w:val="20"/>
          <w:szCs w:val="20"/>
        </w:rPr>
        <w:t xml:space="preserve"> Capital One Bank (USA), National Association, one of our fully owned subsidiaries, which offers credit card products along with other lending products and consumer services.</w:t>
      </w:r>
    </w:p>
    <w:p w14:paraId="040287ED" w14:textId="77777777" w:rsidR="00000000" w:rsidRDefault="00405D16">
      <w:pPr>
        <w:jc w:val="both"/>
        <w:divId w:val="1510487232"/>
        <w:rPr>
          <w:rFonts w:eastAsia="Times New Roman"/>
        </w:rPr>
      </w:pPr>
      <w:r>
        <w:rPr>
          <w:rFonts w:eastAsia="Times New Roman"/>
          <w:b/>
          <w:bCs/>
          <w:color w:val="000000"/>
          <w:sz w:val="20"/>
          <w:szCs w:val="20"/>
        </w:rPr>
        <w:t xml:space="preserve">Common equity Tier 1 (“CET1”) capital: </w:t>
      </w:r>
      <w:r>
        <w:rPr>
          <w:rFonts w:eastAsia="Times New Roman"/>
          <w:color w:val="000000"/>
          <w:sz w:val="20"/>
          <w:szCs w:val="20"/>
        </w:rPr>
        <w:t>Calculated as the sum of commo</w:t>
      </w:r>
      <w:r>
        <w:rPr>
          <w:rFonts w:eastAsia="Times New Roman"/>
          <w:color w:val="000000"/>
          <w:sz w:val="20"/>
          <w:szCs w:val="20"/>
        </w:rPr>
        <w:t>n equity, related surplus and retained earnings, and accumulated other comprehensive income net of applicable phase-ins, less goodwill and intangibles net of associated deferred tax liabilities and applicable phase-ins, less other deductions, as defined by</w:t>
      </w:r>
      <w:r>
        <w:rPr>
          <w:rFonts w:eastAsia="Times New Roman"/>
          <w:color w:val="000000"/>
          <w:sz w:val="20"/>
          <w:szCs w:val="20"/>
        </w:rPr>
        <w:t xml:space="preserve"> regulators.</w:t>
      </w:r>
    </w:p>
    <w:p w14:paraId="70255441" w14:textId="77777777" w:rsidR="00000000" w:rsidRDefault="00405D16">
      <w:pPr>
        <w:jc w:val="both"/>
        <w:divId w:val="1417239575"/>
        <w:rPr>
          <w:rFonts w:eastAsia="Times New Roman"/>
        </w:rPr>
      </w:pPr>
      <w:r>
        <w:rPr>
          <w:rFonts w:eastAsia="Times New Roman"/>
          <w:b/>
          <w:bCs/>
          <w:color w:val="000000"/>
          <w:sz w:val="20"/>
          <w:szCs w:val="20"/>
        </w:rPr>
        <w:t xml:space="preserve">CONA: </w:t>
      </w:r>
      <w:r>
        <w:rPr>
          <w:rFonts w:eastAsia="Times New Roman"/>
          <w:color w:val="000000"/>
          <w:sz w:val="20"/>
          <w:szCs w:val="20"/>
        </w:rPr>
        <w:t>Capital One, National Association, one of our fully owned subsidiaries, which offers a broad spectrum of banking products and financial services to consumers, small businesses and commercial clients.</w:t>
      </w:r>
    </w:p>
    <w:p w14:paraId="631E348D" w14:textId="77777777" w:rsidR="00000000" w:rsidRDefault="00405D16">
      <w:pPr>
        <w:jc w:val="both"/>
        <w:divId w:val="179709202"/>
        <w:rPr>
          <w:rFonts w:eastAsia="Times New Roman"/>
        </w:rPr>
      </w:pPr>
      <w:r>
        <w:rPr>
          <w:rFonts w:eastAsia="Times New Roman"/>
          <w:b/>
          <w:bCs/>
          <w:color w:val="000000"/>
          <w:sz w:val="20"/>
          <w:szCs w:val="20"/>
        </w:rPr>
        <w:t>Credit risk:</w:t>
      </w:r>
      <w:r>
        <w:rPr>
          <w:rFonts w:eastAsia="Times New Roman"/>
          <w:color w:val="000000"/>
          <w:sz w:val="20"/>
          <w:szCs w:val="20"/>
        </w:rPr>
        <w:t xml:space="preserve"> The risk of loss from an</w:t>
      </w:r>
      <w:r>
        <w:rPr>
          <w:rFonts w:eastAsia="Times New Roman"/>
          <w:color w:val="000000"/>
          <w:sz w:val="20"/>
          <w:szCs w:val="20"/>
        </w:rPr>
        <w:t xml:space="preserve"> obligor’s failure to meet the terms of any contract or otherwise fail to perform as agreed.</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5FE97B93" w14:textId="77777777">
        <w:trPr>
          <w:divId w:val="584582054"/>
          <w:jc w:val="center"/>
        </w:trPr>
        <w:tc>
          <w:tcPr>
            <w:tcW w:w="50" w:type="pct"/>
            <w:vAlign w:val="center"/>
            <w:hideMark/>
          </w:tcPr>
          <w:p w14:paraId="18D2F7A4" w14:textId="77777777" w:rsidR="00000000" w:rsidRDefault="00405D16">
            <w:pPr>
              <w:jc w:val="both"/>
              <w:rPr>
                <w:rFonts w:eastAsia="Times New Roman"/>
              </w:rPr>
            </w:pPr>
          </w:p>
        </w:tc>
        <w:tc>
          <w:tcPr>
            <w:tcW w:w="1606" w:type="pct"/>
            <w:vAlign w:val="center"/>
            <w:hideMark/>
          </w:tcPr>
          <w:p w14:paraId="70731010" w14:textId="77777777" w:rsidR="00000000" w:rsidRDefault="00405D16">
            <w:pPr>
              <w:spacing w:after="100"/>
              <w:rPr>
                <w:rFonts w:eastAsia="Times New Roman"/>
                <w:sz w:val="20"/>
                <w:szCs w:val="20"/>
              </w:rPr>
            </w:pPr>
          </w:p>
        </w:tc>
        <w:tc>
          <w:tcPr>
            <w:tcW w:w="5" w:type="pct"/>
            <w:vAlign w:val="center"/>
            <w:hideMark/>
          </w:tcPr>
          <w:p w14:paraId="093C2C94" w14:textId="77777777" w:rsidR="00000000" w:rsidRDefault="00405D16">
            <w:pPr>
              <w:spacing w:after="100"/>
              <w:rPr>
                <w:rFonts w:eastAsia="Times New Roman"/>
                <w:sz w:val="20"/>
                <w:szCs w:val="20"/>
              </w:rPr>
            </w:pPr>
          </w:p>
        </w:tc>
        <w:tc>
          <w:tcPr>
            <w:tcW w:w="50" w:type="pct"/>
            <w:vAlign w:val="center"/>
            <w:hideMark/>
          </w:tcPr>
          <w:p w14:paraId="6486D97E" w14:textId="77777777" w:rsidR="00000000" w:rsidRDefault="00405D16">
            <w:pPr>
              <w:spacing w:after="100"/>
              <w:rPr>
                <w:rFonts w:eastAsia="Times New Roman"/>
                <w:sz w:val="20"/>
                <w:szCs w:val="20"/>
              </w:rPr>
            </w:pPr>
          </w:p>
        </w:tc>
        <w:tc>
          <w:tcPr>
            <w:tcW w:w="1614" w:type="pct"/>
            <w:vAlign w:val="center"/>
            <w:hideMark/>
          </w:tcPr>
          <w:p w14:paraId="2452ABAA" w14:textId="77777777" w:rsidR="00000000" w:rsidRDefault="00405D16">
            <w:pPr>
              <w:spacing w:after="100"/>
              <w:rPr>
                <w:rFonts w:eastAsia="Times New Roman"/>
                <w:sz w:val="20"/>
                <w:szCs w:val="20"/>
              </w:rPr>
            </w:pPr>
          </w:p>
        </w:tc>
        <w:tc>
          <w:tcPr>
            <w:tcW w:w="5" w:type="pct"/>
            <w:vAlign w:val="center"/>
            <w:hideMark/>
          </w:tcPr>
          <w:p w14:paraId="12905A06" w14:textId="77777777" w:rsidR="00000000" w:rsidRDefault="00405D16">
            <w:pPr>
              <w:spacing w:after="100"/>
              <w:rPr>
                <w:rFonts w:eastAsia="Times New Roman"/>
                <w:sz w:val="20"/>
                <w:szCs w:val="20"/>
              </w:rPr>
            </w:pPr>
          </w:p>
        </w:tc>
        <w:tc>
          <w:tcPr>
            <w:tcW w:w="50" w:type="pct"/>
            <w:vAlign w:val="center"/>
            <w:hideMark/>
          </w:tcPr>
          <w:p w14:paraId="46DA53AC" w14:textId="77777777" w:rsidR="00000000" w:rsidRDefault="00405D16">
            <w:pPr>
              <w:spacing w:after="100"/>
              <w:rPr>
                <w:rFonts w:eastAsia="Times New Roman"/>
                <w:sz w:val="20"/>
                <w:szCs w:val="20"/>
              </w:rPr>
            </w:pPr>
          </w:p>
        </w:tc>
        <w:tc>
          <w:tcPr>
            <w:tcW w:w="1614" w:type="pct"/>
            <w:vAlign w:val="center"/>
            <w:hideMark/>
          </w:tcPr>
          <w:p w14:paraId="40C8CFDE" w14:textId="77777777" w:rsidR="00000000" w:rsidRDefault="00405D16">
            <w:pPr>
              <w:spacing w:after="100"/>
              <w:rPr>
                <w:rFonts w:eastAsia="Times New Roman"/>
                <w:sz w:val="20"/>
                <w:szCs w:val="20"/>
              </w:rPr>
            </w:pPr>
          </w:p>
        </w:tc>
        <w:tc>
          <w:tcPr>
            <w:tcW w:w="5" w:type="pct"/>
            <w:vAlign w:val="center"/>
            <w:hideMark/>
          </w:tcPr>
          <w:p w14:paraId="72DB3E14" w14:textId="77777777" w:rsidR="00000000" w:rsidRDefault="00405D16">
            <w:pPr>
              <w:spacing w:after="100"/>
              <w:rPr>
                <w:rFonts w:eastAsia="Times New Roman"/>
                <w:sz w:val="20"/>
                <w:szCs w:val="20"/>
              </w:rPr>
            </w:pPr>
          </w:p>
        </w:tc>
      </w:tr>
      <w:tr w:rsidR="00000000" w14:paraId="1BF43666" w14:textId="77777777">
        <w:trPr>
          <w:divId w:val="584582054"/>
          <w:trHeight w:val="300"/>
          <w:jc w:val="center"/>
        </w:trPr>
        <w:tc>
          <w:tcPr>
            <w:tcW w:w="0" w:type="auto"/>
            <w:gridSpan w:val="9"/>
            <w:tcMar>
              <w:top w:w="0" w:type="dxa"/>
              <w:left w:w="20" w:type="dxa"/>
              <w:bottom w:w="0" w:type="dxa"/>
              <w:right w:w="20" w:type="dxa"/>
            </w:tcMar>
            <w:vAlign w:val="center"/>
            <w:hideMark/>
          </w:tcPr>
          <w:p w14:paraId="1B36AF6A" w14:textId="77777777" w:rsidR="00000000" w:rsidRDefault="00405D16">
            <w:pPr>
              <w:spacing w:after="100"/>
              <w:rPr>
                <w:rFonts w:eastAsia="Times New Roman"/>
                <w:sz w:val="20"/>
                <w:szCs w:val="20"/>
              </w:rPr>
            </w:pPr>
          </w:p>
        </w:tc>
      </w:tr>
      <w:tr w:rsidR="00000000" w14:paraId="0F1DD67D" w14:textId="77777777">
        <w:trPr>
          <w:divId w:val="584582054"/>
          <w:jc w:val="center"/>
        </w:trPr>
        <w:tc>
          <w:tcPr>
            <w:tcW w:w="0" w:type="auto"/>
            <w:gridSpan w:val="3"/>
            <w:tcMar>
              <w:top w:w="0" w:type="dxa"/>
              <w:left w:w="20" w:type="dxa"/>
              <w:bottom w:w="0" w:type="dxa"/>
              <w:right w:w="20" w:type="dxa"/>
            </w:tcMar>
            <w:vAlign w:val="center"/>
            <w:hideMark/>
          </w:tcPr>
          <w:p w14:paraId="02D7A613"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60AD12A" w14:textId="77777777" w:rsidR="00000000" w:rsidRDefault="00405D16">
            <w:pPr>
              <w:spacing w:after="100"/>
              <w:jc w:val="center"/>
              <w:rPr>
                <w:rFonts w:eastAsia="Times New Roman"/>
              </w:rPr>
            </w:pPr>
            <w:r>
              <w:rPr>
                <w:rFonts w:eastAsia="Times New Roman"/>
                <w:color w:val="000000"/>
                <w:sz w:val="16"/>
                <w:szCs w:val="16"/>
              </w:rPr>
              <w:t>62</w:t>
            </w:r>
          </w:p>
        </w:tc>
        <w:tc>
          <w:tcPr>
            <w:tcW w:w="0" w:type="auto"/>
            <w:gridSpan w:val="3"/>
            <w:tcMar>
              <w:top w:w="30" w:type="dxa"/>
              <w:left w:w="20" w:type="dxa"/>
              <w:bottom w:w="30" w:type="dxa"/>
              <w:right w:w="20" w:type="dxa"/>
            </w:tcMar>
            <w:vAlign w:val="bottom"/>
            <w:hideMark/>
          </w:tcPr>
          <w:p w14:paraId="0806FCD3"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06BA36DB" w14:textId="77777777" w:rsidR="00000000" w:rsidRDefault="00405D16">
      <w:pPr>
        <w:rPr>
          <w:rFonts w:eastAsia="Times New Roman"/>
        </w:rPr>
      </w:pPr>
      <w:r>
        <w:rPr>
          <w:rFonts w:eastAsia="Times New Roman"/>
        </w:rPr>
        <w:pict w14:anchorId="502074EE">
          <v:rect id="_x0000_i1087" style="width:0;height:1.5pt" o:hralign="center" o:hrstd="t" o:hr="t" fillcolor="#a0a0a0" stroked="f"/>
        </w:pict>
      </w:r>
    </w:p>
    <w:p w14:paraId="30D720F0" w14:textId="77777777" w:rsidR="00000000" w:rsidRDefault="00405D16">
      <w:pPr>
        <w:ind w:hanging="360"/>
        <w:jc w:val="both"/>
        <w:divId w:val="2038507834"/>
        <w:rPr>
          <w:rFonts w:eastAsia="Times New Roman"/>
        </w:rPr>
      </w:pPr>
      <w:hyperlink w:anchor="idd54a04a485440b4ab4e56094c14d612_13" w:history="1">
        <w:r>
          <w:rPr>
            <w:rStyle w:val="a3"/>
            <w:rFonts w:eastAsia="Times New Roman"/>
            <w:sz w:val="16"/>
            <w:szCs w:val="16"/>
          </w:rPr>
          <w:t>Table of Contents</w:t>
        </w:r>
      </w:hyperlink>
    </w:p>
    <w:p w14:paraId="48176590" w14:textId="77777777" w:rsidR="00000000" w:rsidRDefault="00405D16">
      <w:pPr>
        <w:jc w:val="both"/>
        <w:divId w:val="1169099097"/>
        <w:rPr>
          <w:rFonts w:eastAsia="Times New Roman"/>
        </w:rPr>
      </w:pPr>
      <w:r>
        <w:rPr>
          <w:rFonts w:eastAsia="Times New Roman"/>
          <w:b/>
          <w:bCs/>
          <w:color w:val="000000"/>
          <w:sz w:val="20"/>
          <w:szCs w:val="20"/>
        </w:rPr>
        <w:t>Cybersecurity Incident:</w:t>
      </w:r>
      <w:r>
        <w:rPr>
          <w:rFonts w:eastAsia="Times New Roman"/>
          <w:color w:val="000000"/>
          <w:sz w:val="20"/>
          <w:szCs w:val="20"/>
        </w:rPr>
        <w:t xml:space="preserve"> </w:t>
      </w:r>
      <w:r>
        <w:rPr>
          <w:rFonts w:eastAsia="Times New Roman"/>
          <w:color w:val="000000"/>
          <w:sz w:val="20"/>
          <w:szCs w:val="20"/>
        </w:rPr>
        <w:t xml:space="preserve">The unauthorized access by an outside individual who obtained certain types of personal information relating to people who had applied for our credit card products and to our credit card customers that we announced on July 29, 2019. </w:t>
      </w:r>
    </w:p>
    <w:p w14:paraId="44A01F00" w14:textId="77777777" w:rsidR="00000000" w:rsidRDefault="00405D16">
      <w:pPr>
        <w:jc w:val="both"/>
        <w:divId w:val="373887342"/>
        <w:rPr>
          <w:rFonts w:eastAsia="Times New Roman"/>
        </w:rPr>
      </w:pPr>
      <w:r>
        <w:rPr>
          <w:rFonts w:eastAsia="Times New Roman"/>
          <w:b/>
          <w:bCs/>
          <w:color w:val="000000"/>
          <w:sz w:val="20"/>
          <w:szCs w:val="20"/>
        </w:rPr>
        <w:t>Derivative:</w:t>
      </w:r>
      <w:r>
        <w:rPr>
          <w:rFonts w:eastAsia="Times New Roman"/>
          <w:color w:val="000000"/>
          <w:sz w:val="20"/>
          <w:szCs w:val="20"/>
        </w:rPr>
        <w:t xml:space="preserve"> A contract</w:t>
      </w:r>
      <w:r>
        <w:rPr>
          <w:rFonts w:eastAsia="Times New Roman"/>
          <w:color w:val="000000"/>
          <w:sz w:val="20"/>
          <w:szCs w:val="20"/>
        </w:rPr>
        <w:t xml:space="preserve"> or agreement whose value is derived from changes in interest rates, foreign exchange rates, prices of securities or commodities, credit worthiness for credit default swaps or financial or commodity indices.</w:t>
      </w:r>
    </w:p>
    <w:p w14:paraId="4DD22D19" w14:textId="77777777" w:rsidR="00000000" w:rsidRDefault="00405D16">
      <w:pPr>
        <w:jc w:val="both"/>
        <w:divId w:val="666598948"/>
        <w:rPr>
          <w:rFonts w:eastAsia="Times New Roman"/>
        </w:rPr>
      </w:pPr>
      <w:r>
        <w:rPr>
          <w:rFonts w:eastAsia="Times New Roman"/>
          <w:b/>
          <w:bCs/>
          <w:color w:val="000000"/>
          <w:sz w:val="20"/>
          <w:szCs w:val="20"/>
        </w:rPr>
        <w:t>Discontinued operations:</w:t>
      </w:r>
      <w:r>
        <w:rPr>
          <w:rFonts w:eastAsia="Times New Roman"/>
          <w:color w:val="000000"/>
          <w:sz w:val="20"/>
          <w:szCs w:val="20"/>
        </w:rPr>
        <w:t xml:space="preserve"> The operating results o</w:t>
      </w:r>
      <w:r>
        <w:rPr>
          <w:rFonts w:eastAsia="Times New Roman"/>
          <w:color w:val="000000"/>
          <w:sz w:val="20"/>
          <w:szCs w:val="20"/>
        </w:rPr>
        <w:t>f a component of an entity, as defined by Accounting Standards Codification (“ASC”) 205, that are removed from continuing operations when that component has been disposed of or it is management’s intention to sell the component.</w:t>
      </w:r>
    </w:p>
    <w:p w14:paraId="1318F9B7" w14:textId="77777777" w:rsidR="00000000" w:rsidRDefault="00405D16">
      <w:pPr>
        <w:jc w:val="both"/>
        <w:divId w:val="1699311276"/>
        <w:rPr>
          <w:rFonts w:eastAsia="Times New Roman"/>
        </w:rPr>
      </w:pPr>
      <w:r>
        <w:rPr>
          <w:rFonts w:eastAsia="Times New Roman"/>
          <w:b/>
          <w:bCs/>
          <w:color w:val="000000"/>
          <w:sz w:val="20"/>
          <w:szCs w:val="20"/>
        </w:rPr>
        <w:t>Dodd-Frank Wall Street Refo</w:t>
      </w:r>
      <w:r>
        <w:rPr>
          <w:rFonts w:eastAsia="Times New Roman"/>
          <w:b/>
          <w:bCs/>
          <w:color w:val="000000"/>
          <w:sz w:val="20"/>
          <w:szCs w:val="20"/>
        </w:rPr>
        <w:t>rm and Consumer Protection Act (“Dodd-Frank Act”):</w:t>
      </w:r>
      <w:r>
        <w:rPr>
          <w:rFonts w:eastAsia="Times New Roman"/>
          <w:color w:val="000000"/>
          <w:sz w:val="20"/>
          <w:szCs w:val="20"/>
        </w:rPr>
        <w:t xml:space="preserve"> Regulatory reform legislation signed into law on July 21, 2010. This law broadly affects the financial services industry and contains numerous provisions aimed at strengthening the sound operation of the f</w:t>
      </w:r>
      <w:r>
        <w:rPr>
          <w:rFonts w:eastAsia="Times New Roman"/>
          <w:color w:val="000000"/>
          <w:sz w:val="20"/>
          <w:szCs w:val="20"/>
        </w:rPr>
        <w:t>inancial services sector.</w:t>
      </w:r>
    </w:p>
    <w:p w14:paraId="4030AEF5" w14:textId="77777777" w:rsidR="00000000" w:rsidRDefault="00405D16">
      <w:pPr>
        <w:jc w:val="both"/>
        <w:divId w:val="1996521350"/>
        <w:rPr>
          <w:rFonts w:eastAsia="Times New Roman"/>
        </w:rPr>
      </w:pPr>
      <w:r>
        <w:rPr>
          <w:rFonts w:eastAsia="Times New Roman"/>
          <w:b/>
          <w:bCs/>
          <w:color w:val="000000"/>
          <w:sz w:val="20"/>
          <w:szCs w:val="20"/>
        </w:rPr>
        <w:t xml:space="preserve">Exchange Act: </w:t>
      </w:r>
      <w:r>
        <w:rPr>
          <w:rFonts w:eastAsia="Times New Roman"/>
          <w:color w:val="000000"/>
          <w:sz w:val="20"/>
          <w:szCs w:val="20"/>
        </w:rPr>
        <w:t>The Securities Exchange Act of 1934, as amended.</w:t>
      </w:r>
    </w:p>
    <w:p w14:paraId="26B4BFCD" w14:textId="77777777" w:rsidR="00000000" w:rsidRDefault="00405D16">
      <w:pPr>
        <w:jc w:val="both"/>
        <w:divId w:val="2018799884"/>
        <w:rPr>
          <w:rFonts w:eastAsia="Times New Roman"/>
        </w:rPr>
      </w:pPr>
      <w:r>
        <w:rPr>
          <w:rFonts w:eastAsia="Times New Roman"/>
          <w:b/>
          <w:bCs/>
          <w:color w:val="000000"/>
          <w:sz w:val="20"/>
          <w:szCs w:val="20"/>
        </w:rPr>
        <w:t>eXtensible Business Reporting Language (“XBRL”):</w:t>
      </w:r>
      <w:r>
        <w:rPr>
          <w:rFonts w:eastAsia="Times New Roman"/>
          <w:color w:val="000000"/>
          <w:sz w:val="20"/>
          <w:szCs w:val="20"/>
        </w:rPr>
        <w:t xml:space="preserve"> A language for the electronic communication of business and financial data.</w:t>
      </w:r>
    </w:p>
    <w:p w14:paraId="7F2EEA4B" w14:textId="77777777" w:rsidR="00000000" w:rsidRDefault="00405D16">
      <w:pPr>
        <w:jc w:val="both"/>
        <w:divId w:val="212236650"/>
        <w:rPr>
          <w:rFonts w:eastAsia="Times New Roman"/>
        </w:rPr>
      </w:pPr>
      <w:r>
        <w:rPr>
          <w:rFonts w:eastAsia="Times New Roman"/>
          <w:b/>
          <w:bCs/>
          <w:color w:val="000000"/>
          <w:sz w:val="20"/>
          <w:szCs w:val="20"/>
        </w:rPr>
        <w:t>Federal Banking Agencies:</w:t>
      </w:r>
      <w:r>
        <w:rPr>
          <w:rFonts w:eastAsia="Times New Roman"/>
          <w:color w:val="000000"/>
          <w:sz w:val="20"/>
          <w:szCs w:val="20"/>
        </w:rPr>
        <w:t xml:space="preserve"> The Federal Rese</w:t>
      </w:r>
      <w:r>
        <w:rPr>
          <w:rFonts w:eastAsia="Times New Roman"/>
          <w:color w:val="000000"/>
          <w:sz w:val="20"/>
          <w:szCs w:val="20"/>
        </w:rPr>
        <w:t>rve, Office of the Comptroller of the Currency and Federal Deposit Insurance Corporation.</w:t>
      </w:r>
    </w:p>
    <w:p w14:paraId="45DF42BF" w14:textId="77777777" w:rsidR="00000000" w:rsidRDefault="00405D16">
      <w:pPr>
        <w:jc w:val="both"/>
        <w:divId w:val="276371724"/>
        <w:rPr>
          <w:rFonts w:eastAsia="Times New Roman"/>
        </w:rPr>
      </w:pPr>
      <w:r>
        <w:rPr>
          <w:rFonts w:eastAsia="Times New Roman"/>
          <w:b/>
          <w:bCs/>
          <w:color w:val="000000"/>
          <w:sz w:val="20"/>
          <w:szCs w:val="20"/>
        </w:rPr>
        <w:t>Federal Reserve:</w:t>
      </w:r>
      <w:r>
        <w:rPr>
          <w:rFonts w:eastAsia="Times New Roman"/>
          <w:color w:val="000000"/>
          <w:sz w:val="20"/>
          <w:szCs w:val="20"/>
        </w:rPr>
        <w:t xml:space="preserve"> The Board of Governors of the Federal Reserve System.</w:t>
      </w:r>
    </w:p>
    <w:p w14:paraId="21106AD6" w14:textId="77777777" w:rsidR="00000000" w:rsidRDefault="00405D16">
      <w:pPr>
        <w:jc w:val="both"/>
        <w:divId w:val="2103065680"/>
        <w:rPr>
          <w:rFonts w:eastAsia="Times New Roman"/>
        </w:rPr>
      </w:pPr>
      <w:r>
        <w:rPr>
          <w:rFonts w:eastAsia="Times New Roman"/>
          <w:b/>
          <w:bCs/>
          <w:color w:val="000000"/>
          <w:sz w:val="20"/>
          <w:szCs w:val="20"/>
        </w:rPr>
        <w:t>FICO score:</w:t>
      </w:r>
      <w:r>
        <w:rPr>
          <w:rFonts w:eastAsia="Times New Roman"/>
          <w:color w:val="000000"/>
          <w:sz w:val="20"/>
          <w:szCs w:val="20"/>
        </w:rPr>
        <w:t xml:space="preserve"> A measure of consumer credit risk provided by credit bureaus, typically produced fr</w:t>
      </w:r>
      <w:r>
        <w:rPr>
          <w:rFonts w:eastAsia="Times New Roman"/>
          <w:color w:val="000000"/>
          <w:sz w:val="20"/>
          <w:szCs w:val="20"/>
        </w:rPr>
        <w:t>om statistical modeling software created by FICO (formerly known as “Fair Isaac Corporation”) utilizing data collected by the credit bureaus.</w:t>
      </w:r>
    </w:p>
    <w:p w14:paraId="0DDF583B" w14:textId="77777777" w:rsidR="00000000" w:rsidRDefault="00405D16">
      <w:pPr>
        <w:jc w:val="both"/>
        <w:divId w:val="1739472800"/>
        <w:rPr>
          <w:rFonts w:eastAsia="Times New Roman"/>
        </w:rPr>
      </w:pPr>
      <w:r>
        <w:rPr>
          <w:rFonts w:eastAsia="Times New Roman"/>
          <w:b/>
          <w:bCs/>
          <w:color w:val="000000"/>
          <w:sz w:val="20"/>
          <w:szCs w:val="20"/>
        </w:rPr>
        <w:t>Foreign exchange contracts:</w:t>
      </w:r>
      <w:r>
        <w:rPr>
          <w:rFonts w:eastAsia="Times New Roman"/>
          <w:color w:val="000000"/>
          <w:sz w:val="20"/>
          <w:szCs w:val="20"/>
        </w:rPr>
        <w:t xml:space="preserve"> Contracts that provide for the future receipt or delivery of foreign currency at previ</w:t>
      </w:r>
      <w:r>
        <w:rPr>
          <w:rFonts w:eastAsia="Times New Roman"/>
          <w:color w:val="000000"/>
          <w:sz w:val="20"/>
          <w:szCs w:val="20"/>
        </w:rPr>
        <w:t>ously agreed-upon terms.</w:t>
      </w:r>
    </w:p>
    <w:p w14:paraId="4C4883A8" w14:textId="77777777" w:rsidR="00000000" w:rsidRDefault="00405D16">
      <w:pPr>
        <w:jc w:val="both"/>
        <w:divId w:val="1889489342"/>
        <w:rPr>
          <w:rFonts w:eastAsia="Times New Roman"/>
        </w:rPr>
      </w:pPr>
      <w:r>
        <w:rPr>
          <w:rFonts w:eastAsia="Times New Roman"/>
          <w:b/>
          <w:bCs/>
          <w:color w:val="000000"/>
          <w:sz w:val="20"/>
          <w:szCs w:val="20"/>
        </w:rPr>
        <w:t xml:space="preserve">GSE </w:t>
      </w:r>
      <w:r>
        <w:rPr>
          <w:rFonts w:eastAsia="Times New Roman"/>
          <w:color w:val="000000"/>
          <w:sz w:val="20"/>
          <w:szCs w:val="20"/>
        </w:rPr>
        <w:t>or</w:t>
      </w:r>
      <w:r>
        <w:rPr>
          <w:rFonts w:eastAsia="Times New Roman"/>
          <w:b/>
          <w:bCs/>
          <w:color w:val="000000"/>
          <w:sz w:val="20"/>
          <w:szCs w:val="20"/>
        </w:rPr>
        <w:t xml:space="preserve"> Agency:</w:t>
      </w:r>
      <w:r>
        <w:rPr>
          <w:rFonts w:eastAsia="Times New Roman"/>
          <w:color w:val="000000"/>
          <w:sz w:val="20"/>
          <w:szCs w:val="20"/>
        </w:rPr>
        <w:t xml:space="preserve"> A government-sponsored enterprise or agency is a financial services corporation created by the United States Congress. Examples of U.S. government agencies include Federal National Mortgage Association (“Fannie Mae”)</w:t>
      </w:r>
      <w:r>
        <w:rPr>
          <w:rFonts w:eastAsia="Times New Roman"/>
          <w:color w:val="000000"/>
          <w:sz w:val="20"/>
          <w:szCs w:val="20"/>
        </w:rPr>
        <w:t>, Federal Home Loan Mortgage Corporation (“Freddie Mac”), Government National Mortgage Association (“Ginnie Mae”) and the Federal Home Loan Banks (“FHLB”).</w:t>
      </w:r>
    </w:p>
    <w:p w14:paraId="14EFB507" w14:textId="77777777" w:rsidR="00000000" w:rsidRDefault="00405D16">
      <w:pPr>
        <w:jc w:val="both"/>
        <w:divId w:val="2098821239"/>
        <w:rPr>
          <w:rFonts w:eastAsia="Times New Roman"/>
        </w:rPr>
      </w:pPr>
      <w:r>
        <w:rPr>
          <w:rFonts w:eastAsia="Times New Roman"/>
          <w:b/>
          <w:bCs/>
          <w:color w:val="000000"/>
          <w:sz w:val="20"/>
          <w:szCs w:val="20"/>
        </w:rPr>
        <w:t>Interest rate sensitivity:</w:t>
      </w:r>
      <w:r>
        <w:rPr>
          <w:rFonts w:eastAsia="Times New Roman"/>
          <w:color w:val="000000"/>
          <w:sz w:val="20"/>
          <w:szCs w:val="20"/>
        </w:rPr>
        <w:t xml:space="preserve"> The exposure to interest rate movements.</w:t>
      </w:r>
    </w:p>
    <w:p w14:paraId="4B007DB9" w14:textId="77777777" w:rsidR="00000000" w:rsidRDefault="00405D16">
      <w:pPr>
        <w:jc w:val="both"/>
        <w:divId w:val="316959881"/>
        <w:rPr>
          <w:rFonts w:eastAsia="Times New Roman"/>
        </w:rPr>
      </w:pPr>
      <w:r>
        <w:rPr>
          <w:rFonts w:eastAsia="Times New Roman"/>
          <w:b/>
          <w:bCs/>
          <w:color w:val="000000"/>
          <w:sz w:val="20"/>
          <w:szCs w:val="20"/>
        </w:rPr>
        <w:t>Interest rate swaps:</w:t>
      </w:r>
      <w:r>
        <w:rPr>
          <w:rFonts w:eastAsia="Times New Roman"/>
          <w:color w:val="000000"/>
          <w:sz w:val="20"/>
          <w:szCs w:val="20"/>
        </w:rPr>
        <w:t xml:space="preserve"> Contracts i</w:t>
      </w:r>
      <w:r>
        <w:rPr>
          <w:rFonts w:eastAsia="Times New Roman"/>
          <w:color w:val="000000"/>
          <w:sz w:val="20"/>
          <w:szCs w:val="20"/>
        </w:rPr>
        <w:t>n which a series of interest rate flows in a single currency are exchanged over a prescribed period. Interest rate swaps are the most common type of derivative contract that we use in our asset/liability management activities.</w:t>
      </w:r>
    </w:p>
    <w:p w14:paraId="6CE3F42D" w14:textId="77777777" w:rsidR="00000000" w:rsidRDefault="00405D16">
      <w:pPr>
        <w:jc w:val="both"/>
        <w:divId w:val="1603999909"/>
        <w:rPr>
          <w:rFonts w:eastAsia="Times New Roman"/>
        </w:rPr>
      </w:pPr>
      <w:r>
        <w:rPr>
          <w:rFonts w:eastAsia="Times New Roman"/>
          <w:b/>
          <w:bCs/>
          <w:color w:val="000000"/>
          <w:sz w:val="20"/>
          <w:szCs w:val="20"/>
        </w:rPr>
        <w:t>Investment grade:</w:t>
      </w:r>
      <w:r>
        <w:rPr>
          <w:rFonts w:eastAsia="Times New Roman"/>
          <w:color w:val="000000"/>
          <w:sz w:val="20"/>
          <w:szCs w:val="20"/>
        </w:rPr>
        <w:t xml:space="preserve"> Represents </w:t>
      </w:r>
      <w:r>
        <w:rPr>
          <w:rFonts w:eastAsia="Times New Roman"/>
          <w:color w:val="000000"/>
          <w:sz w:val="20"/>
          <w:szCs w:val="20"/>
        </w:rPr>
        <w:t xml:space="preserve">a Moody’s long-term rating of Baa3 or better; and/or a S&amp;P long-term rating of BBB- or better; and/or a Fitch long-term rating of BBB- or better; or if unrated, an equivalent rating using our internal risk ratings. Instruments that fall below these levels </w:t>
      </w:r>
      <w:r>
        <w:rPr>
          <w:rFonts w:eastAsia="Times New Roman"/>
          <w:color w:val="000000"/>
          <w:sz w:val="20"/>
          <w:szCs w:val="20"/>
        </w:rPr>
        <w:t>are considered to be non-investment grade.</w:t>
      </w:r>
    </w:p>
    <w:p w14:paraId="001B579D" w14:textId="77777777" w:rsidR="00000000" w:rsidRDefault="00405D16">
      <w:pPr>
        <w:jc w:val="both"/>
        <w:divId w:val="1992904202"/>
        <w:rPr>
          <w:rFonts w:eastAsia="Times New Roman"/>
        </w:rPr>
      </w:pPr>
      <w:r>
        <w:rPr>
          <w:rFonts w:eastAsia="Times New Roman"/>
          <w:b/>
          <w:bCs/>
          <w:color w:val="000000"/>
          <w:sz w:val="20"/>
          <w:szCs w:val="20"/>
        </w:rPr>
        <w:t xml:space="preserve">Investor entities: </w:t>
      </w:r>
      <w:r>
        <w:rPr>
          <w:rFonts w:eastAsia="Times New Roman"/>
          <w:color w:val="000000"/>
          <w:sz w:val="20"/>
          <w:szCs w:val="20"/>
        </w:rPr>
        <w:t>Entities that invest in community development entities (“CDE”) that provide debt financing to businesses and non-profit entities in low-income and rural communities.</w:t>
      </w:r>
    </w:p>
    <w:p w14:paraId="33FCDFDA" w14:textId="77777777" w:rsidR="00000000" w:rsidRDefault="00405D16">
      <w:pPr>
        <w:jc w:val="both"/>
        <w:divId w:val="124738331"/>
        <w:rPr>
          <w:rFonts w:eastAsia="Times New Roman"/>
        </w:rPr>
      </w:pPr>
      <w:r>
        <w:rPr>
          <w:rFonts w:eastAsia="Times New Roman"/>
          <w:b/>
          <w:bCs/>
          <w:color w:val="000000"/>
          <w:sz w:val="20"/>
          <w:szCs w:val="20"/>
        </w:rPr>
        <w:t>LCR Rule:</w:t>
      </w:r>
      <w:r>
        <w:rPr>
          <w:rFonts w:eastAsia="Times New Roman"/>
          <w:color w:val="000000"/>
          <w:sz w:val="20"/>
          <w:szCs w:val="20"/>
        </w:rPr>
        <w:t xml:space="preserve"> In September 2014,</w:t>
      </w:r>
      <w:r>
        <w:rPr>
          <w:rFonts w:eastAsia="Times New Roman"/>
          <w:color w:val="000000"/>
          <w:sz w:val="20"/>
          <w:szCs w:val="20"/>
        </w:rPr>
        <w:t xml:space="preserve"> the Federal Banking Agencies issued final rules implementing the Basel III Liquidity Coverage Ratio (“LCR”) in the United States. The LCR is calculated by dividing the amount of an institution’s high quality, unencumbered liquid assets by its estimated ne</w:t>
      </w:r>
      <w:r>
        <w:rPr>
          <w:rFonts w:eastAsia="Times New Roman"/>
          <w:color w:val="000000"/>
          <w:sz w:val="20"/>
          <w:szCs w:val="20"/>
        </w:rPr>
        <w:t xml:space="preserve">t cash outflow, as defined and calculated in accordance with the LCR Rule. </w:t>
      </w:r>
    </w:p>
    <w:p w14:paraId="0724826C" w14:textId="77777777" w:rsidR="00000000" w:rsidRDefault="00405D16">
      <w:pPr>
        <w:jc w:val="both"/>
        <w:divId w:val="1111707796"/>
        <w:rPr>
          <w:rFonts w:eastAsia="Times New Roman"/>
        </w:rPr>
      </w:pPr>
      <w:r>
        <w:rPr>
          <w:rFonts w:eastAsia="Times New Roman"/>
          <w:b/>
          <w:bCs/>
          <w:color w:val="000000"/>
          <w:sz w:val="20"/>
          <w:szCs w:val="20"/>
        </w:rPr>
        <w:t>Leverage ratio:</w:t>
      </w:r>
      <w:r>
        <w:rPr>
          <w:rFonts w:eastAsia="Times New Roman"/>
          <w:color w:val="000000"/>
          <w:sz w:val="20"/>
          <w:szCs w:val="20"/>
        </w:rPr>
        <w:t xml:space="preserve"> Tier 1 capital divided by average assets after certain adjustments, as defined by the regulators. </w:t>
      </w:r>
    </w:p>
    <w:p w14:paraId="1EAC0B08" w14:textId="77777777" w:rsidR="00000000" w:rsidRDefault="00405D16">
      <w:pPr>
        <w:jc w:val="both"/>
        <w:divId w:val="1403022253"/>
        <w:rPr>
          <w:rFonts w:eastAsia="Times New Roman"/>
        </w:rPr>
      </w:pPr>
      <w:r>
        <w:rPr>
          <w:rFonts w:eastAsia="Times New Roman"/>
          <w:b/>
          <w:bCs/>
          <w:color w:val="000000"/>
          <w:sz w:val="20"/>
          <w:szCs w:val="20"/>
        </w:rPr>
        <w:t>Liquidity risk:</w:t>
      </w:r>
      <w:r>
        <w:rPr>
          <w:rFonts w:eastAsia="Times New Roman"/>
          <w:color w:val="000000"/>
          <w:sz w:val="20"/>
          <w:szCs w:val="20"/>
        </w:rPr>
        <w:t xml:space="preserve"> The risk that the Company will not be able to mee</w:t>
      </w:r>
      <w:r>
        <w:rPr>
          <w:rFonts w:eastAsia="Times New Roman"/>
          <w:color w:val="000000"/>
          <w:sz w:val="20"/>
          <w:szCs w:val="20"/>
        </w:rPr>
        <w:t>t its future financial obligations as they come due, or invest in future asset growth because of an inability to obtain funds at a reasonable price within a reasonable time period.</w:t>
      </w:r>
    </w:p>
    <w:p w14:paraId="492FE24F" w14:textId="77777777" w:rsidR="00000000" w:rsidRDefault="00405D16">
      <w:pPr>
        <w:jc w:val="both"/>
        <w:divId w:val="2095394242"/>
        <w:rPr>
          <w:rFonts w:eastAsia="Times New Roman"/>
        </w:rPr>
      </w:pPr>
      <w:r>
        <w:rPr>
          <w:rFonts w:eastAsia="Times New Roman"/>
          <w:b/>
          <w:bCs/>
          <w:color w:val="000000"/>
          <w:sz w:val="20"/>
          <w:szCs w:val="20"/>
        </w:rPr>
        <w:t xml:space="preserve">Loan-to-value (“LTV”) ratio: </w:t>
      </w:r>
      <w:r>
        <w:rPr>
          <w:rFonts w:eastAsia="Times New Roman"/>
          <w:color w:val="000000"/>
          <w:sz w:val="20"/>
          <w:szCs w:val="20"/>
        </w:rPr>
        <w:t>The relationship, expressed as a percentage, b</w:t>
      </w:r>
      <w:r>
        <w:rPr>
          <w:rFonts w:eastAsia="Times New Roman"/>
          <w:color w:val="000000"/>
          <w:sz w:val="20"/>
          <w:szCs w:val="20"/>
        </w:rPr>
        <w:t>etween the principal amount of a loan and the appraised value of the collateral securing the loan.</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50FB3326" w14:textId="77777777">
        <w:trPr>
          <w:divId w:val="2073498249"/>
          <w:jc w:val="center"/>
        </w:trPr>
        <w:tc>
          <w:tcPr>
            <w:tcW w:w="50" w:type="pct"/>
            <w:vAlign w:val="center"/>
            <w:hideMark/>
          </w:tcPr>
          <w:p w14:paraId="4D09D793" w14:textId="77777777" w:rsidR="00000000" w:rsidRDefault="00405D16">
            <w:pPr>
              <w:jc w:val="both"/>
              <w:rPr>
                <w:rFonts w:eastAsia="Times New Roman"/>
              </w:rPr>
            </w:pPr>
          </w:p>
        </w:tc>
        <w:tc>
          <w:tcPr>
            <w:tcW w:w="1606" w:type="pct"/>
            <w:vAlign w:val="center"/>
            <w:hideMark/>
          </w:tcPr>
          <w:p w14:paraId="0DA00B4E" w14:textId="77777777" w:rsidR="00000000" w:rsidRDefault="00405D16">
            <w:pPr>
              <w:spacing w:after="100"/>
              <w:rPr>
                <w:rFonts w:eastAsia="Times New Roman"/>
                <w:sz w:val="20"/>
                <w:szCs w:val="20"/>
              </w:rPr>
            </w:pPr>
          </w:p>
        </w:tc>
        <w:tc>
          <w:tcPr>
            <w:tcW w:w="5" w:type="pct"/>
            <w:vAlign w:val="center"/>
            <w:hideMark/>
          </w:tcPr>
          <w:p w14:paraId="4FDE6E33" w14:textId="77777777" w:rsidR="00000000" w:rsidRDefault="00405D16">
            <w:pPr>
              <w:spacing w:after="100"/>
              <w:rPr>
                <w:rFonts w:eastAsia="Times New Roman"/>
                <w:sz w:val="20"/>
                <w:szCs w:val="20"/>
              </w:rPr>
            </w:pPr>
          </w:p>
        </w:tc>
        <w:tc>
          <w:tcPr>
            <w:tcW w:w="50" w:type="pct"/>
            <w:vAlign w:val="center"/>
            <w:hideMark/>
          </w:tcPr>
          <w:p w14:paraId="23368394" w14:textId="77777777" w:rsidR="00000000" w:rsidRDefault="00405D16">
            <w:pPr>
              <w:spacing w:after="100"/>
              <w:rPr>
                <w:rFonts w:eastAsia="Times New Roman"/>
                <w:sz w:val="20"/>
                <w:szCs w:val="20"/>
              </w:rPr>
            </w:pPr>
          </w:p>
        </w:tc>
        <w:tc>
          <w:tcPr>
            <w:tcW w:w="1614" w:type="pct"/>
            <w:vAlign w:val="center"/>
            <w:hideMark/>
          </w:tcPr>
          <w:p w14:paraId="7D629190" w14:textId="77777777" w:rsidR="00000000" w:rsidRDefault="00405D16">
            <w:pPr>
              <w:spacing w:after="100"/>
              <w:rPr>
                <w:rFonts w:eastAsia="Times New Roman"/>
                <w:sz w:val="20"/>
                <w:szCs w:val="20"/>
              </w:rPr>
            </w:pPr>
          </w:p>
        </w:tc>
        <w:tc>
          <w:tcPr>
            <w:tcW w:w="5" w:type="pct"/>
            <w:vAlign w:val="center"/>
            <w:hideMark/>
          </w:tcPr>
          <w:p w14:paraId="4977487C" w14:textId="77777777" w:rsidR="00000000" w:rsidRDefault="00405D16">
            <w:pPr>
              <w:spacing w:after="100"/>
              <w:rPr>
                <w:rFonts w:eastAsia="Times New Roman"/>
                <w:sz w:val="20"/>
                <w:szCs w:val="20"/>
              </w:rPr>
            </w:pPr>
          </w:p>
        </w:tc>
        <w:tc>
          <w:tcPr>
            <w:tcW w:w="50" w:type="pct"/>
            <w:vAlign w:val="center"/>
            <w:hideMark/>
          </w:tcPr>
          <w:p w14:paraId="00248A9A" w14:textId="77777777" w:rsidR="00000000" w:rsidRDefault="00405D16">
            <w:pPr>
              <w:spacing w:after="100"/>
              <w:rPr>
                <w:rFonts w:eastAsia="Times New Roman"/>
                <w:sz w:val="20"/>
                <w:szCs w:val="20"/>
              </w:rPr>
            </w:pPr>
          </w:p>
        </w:tc>
        <w:tc>
          <w:tcPr>
            <w:tcW w:w="1614" w:type="pct"/>
            <w:vAlign w:val="center"/>
            <w:hideMark/>
          </w:tcPr>
          <w:p w14:paraId="14E5E959" w14:textId="77777777" w:rsidR="00000000" w:rsidRDefault="00405D16">
            <w:pPr>
              <w:spacing w:after="100"/>
              <w:rPr>
                <w:rFonts w:eastAsia="Times New Roman"/>
                <w:sz w:val="20"/>
                <w:szCs w:val="20"/>
              </w:rPr>
            </w:pPr>
          </w:p>
        </w:tc>
        <w:tc>
          <w:tcPr>
            <w:tcW w:w="5" w:type="pct"/>
            <w:vAlign w:val="center"/>
            <w:hideMark/>
          </w:tcPr>
          <w:p w14:paraId="5335C609" w14:textId="77777777" w:rsidR="00000000" w:rsidRDefault="00405D16">
            <w:pPr>
              <w:spacing w:after="100"/>
              <w:rPr>
                <w:rFonts w:eastAsia="Times New Roman"/>
                <w:sz w:val="20"/>
                <w:szCs w:val="20"/>
              </w:rPr>
            </w:pPr>
          </w:p>
        </w:tc>
      </w:tr>
      <w:tr w:rsidR="00000000" w14:paraId="47100501" w14:textId="77777777">
        <w:trPr>
          <w:divId w:val="2073498249"/>
          <w:trHeight w:val="300"/>
          <w:jc w:val="center"/>
        </w:trPr>
        <w:tc>
          <w:tcPr>
            <w:tcW w:w="0" w:type="auto"/>
            <w:gridSpan w:val="9"/>
            <w:tcMar>
              <w:top w:w="0" w:type="dxa"/>
              <w:left w:w="20" w:type="dxa"/>
              <w:bottom w:w="0" w:type="dxa"/>
              <w:right w:w="20" w:type="dxa"/>
            </w:tcMar>
            <w:vAlign w:val="center"/>
            <w:hideMark/>
          </w:tcPr>
          <w:p w14:paraId="4FE609BA" w14:textId="77777777" w:rsidR="00000000" w:rsidRDefault="00405D16">
            <w:pPr>
              <w:spacing w:after="100"/>
              <w:rPr>
                <w:rFonts w:eastAsia="Times New Roman"/>
                <w:sz w:val="20"/>
                <w:szCs w:val="20"/>
              </w:rPr>
            </w:pPr>
          </w:p>
        </w:tc>
      </w:tr>
      <w:tr w:rsidR="00000000" w14:paraId="34A949E5" w14:textId="77777777">
        <w:trPr>
          <w:divId w:val="2073498249"/>
          <w:jc w:val="center"/>
        </w:trPr>
        <w:tc>
          <w:tcPr>
            <w:tcW w:w="0" w:type="auto"/>
            <w:gridSpan w:val="3"/>
            <w:tcMar>
              <w:top w:w="0" w:type="dxa"/>
              <w:left w:w="20" w:type="dxa"/>
              <w:bottom w:w="0" w:type="dxa"/>
              <w:right w:w="20" w:type="dxa"/>
            </w:tcMar>
            <w:vAlign w:val="center"/>
            <w:hideMark/>
          </w:tcPr>
          <w:p w14:paraId="4C9CC86F"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5C238B2" w14:textId="77777777" w:rsidR="00000000" w:rsidRDefault="00405D16">
            <w:pPr>
              <w:spacing w:after="100"/>
              <w:jc w:val="center"/>
              <w:rPr>
                <w:rFonts w:eastAsia="Times New Roman"/>
              </w:rPr>
            </w:pPr>
            <w:r>
              <w:rPr>
                <w:rFonts w:eastAsia="Times New Roman"/>
                <w:color w:val="000000"/>
                <w:sz w:val="16"/>
                <w:szCs w:val="16"/>
              </w:rPr>
              <w:t>63</w:t>
            </w:r>
          </w:p>
        </w:tc>
        <w:tc>
          <w:tcPr>
            <w:tcW w:w="0" w:type="auto"/>
            <w:gridSpan w:val="3"/>
            <w:tcMar>
              <w:top w:w="30" w:type="dxa"/>
              <w:left w:w="20" w:type="dxa"/>
              <w:bottom w:w="30" w:type="dxa"/>
              <w:right w:w="20" w:type="dxa"/>
            </w:tcMar>
            <w:vAlign w:val="bottom"/>
            <w:hideMark/>
          </w:tcPr>
          <w:p w14:paraId="7705CD7E"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5D84980D" w14:textId="77777777" w:rsidR="00000000" w:rsidRDefault="00405D16">
      <w:pPr>
        <w:rPr>
          <w:rFonts w:eastAsia="Times New Roman"/>
        </w:rPr>
      </w:pPr>
      <w:r>
        <w:rPr>
          <w:rFonts w:eastAsia="Times New Roman"/>
        </w:rPr>
        <w:pict w14:anchorId="0832A262">
          <v:rect id="_x0000_i1088" style="width:0;height:1.5pt" o:hralign="center" o:hrstd="t" o:hr="t" fillcolor="#a0a0a0" stroked="f"/>
        </w:pict>
      </w:r>
    </w:p>
    <w:p w14:paraId="42CA1DF6" w14:textId="77777777" w:rsidR="00000000" w:rsidRDefault="00405D16">
      <w:pPr>
        <w:ind w:hanging="360"/>
        <w:jc w:val="both"/>
        <w:divId w:val="1128667319"/>
        <w:rPr>
          <w:rFonts w:eastAsia="Times New Roman"/>
        </w:rPr>
      </w:pPr>
      <w:hyperlink w:anchor="idd54a04a485440b4ab4e56094c14d612_13" w:history="1">
        <w:r>
          <w:rPr>
            <w:rStyle w:val="a3"/>
            <w:rFonts w:eastAsia="Times New Roman"/>
            <w:sz w:val="16"/>
            <w:szCs w:val="16"/>
          </w:rPr>
          <w:t>Table of Contents</w:t>
        </w:r>
      </w:hyperlink>
    </w:p>
    <w:p w14:paraId="5EEC4E24" w14:textId="77777777" w:rsidR="00000000" w:rsidRDefault="00405D16">
      <w:pPr>
        <w:jc w:val="both"/>
        <w:divId w:val="1403018814"/>
        <w:rPr>
          <w:rFonts w:eastAsia="Times New Roman"/>
        </w:rPr>
      </w:pPr>
      <w:r>
        <w:rPr>
          <w:rFonts w:eastAsia="Times New Roman"/>
          <w:b/>
          <w:bCs/>
          <w:color w:val="000000"/>
          <w:sz w:val="20"/>
          <w:szCs w:val="20"/>
        </w:rPr>
        <w:t xml:space="preserve">Managed presentation: </w:t>
      </w:r>
      <w:r>
        <w:rPr>
          <w:rFonts w:eastAsia="Times New Roman"/>
          <w:color w:val="000000"/>
          <w:sz w:val="20"/>
          <w:szCs w:val="20"/>
        </w:rPr>
        <w:t>A non-GAAP presentation of business segment results derived from our internal management accounting and reporting process</w:t>
      </w:r>
      <w:r>
        <w:rPr>
          <w:rFonts w:eastAsia="Times New Roman"/>
          <w:color w:val="000000"/>
          <w:sz w:val="20"/>
          <w:szCs w:val="20"/>
        </w:rPr>
        <w:t>, which employs various allocation methodologies, including funds transfer pricing, to assign certain balance sheet assets, deposits and other liabilities and their related revenues and expenses directly or indirectly attributable to each business segment.</w:t>
      </w:r>
      <w:r>
        <w:rPr>
          <w:rFonts w:eastAsia="Times New Roman"/>
          <w:color w:val="000000"/>
          <w:sz w:val="20"/>
          <w:szCs w:val="20"/>
        </w:rPr>
        <w:t xml:space="preserve"> The results of our individual businesses reflect the manner in which management evaluates performance and makes decisions about funding our operations and allocating resources and are intended to reflect each segment as if it were a stand-alone business. </w:t>
      </w:r>
    </w:p>
    <w:p w14:paraId="2A7EAADF" w14:textId="77777777" w:rsidR="00000000" w:rsidRDefault="00405D16">
      <w:pPr>
        <w:jc w:val="both"/>
        <w:divId w:val="640617601"/>
        <w:rPr>
          <w:rFonts w:eastAsia="Times New Roman"/>
        </w:rPr>
      </w:pPr>
      <w:r>
        <w:rPr>
          <w:rFonts w:eastAsia="Times New Roman"/>
          <w:b/>
          <w:bCs/>
          <w:color w:val="000000"/>
          <w:sz w:val="20"/>
          <w:szCs w:val="20"/>
        </w:rPr>
        <w:t>Market risk:</w:t>
      </w:r>
      <w:r>
        <w:rPr>
          <w:rFonts w:eastAsia="Times New Roman"/>
          <w:color w:val="000000"/>
          <w:sz w:val="20"/>
          <w:szCs w:val="20"/>
        </w:rPr>
        <w:t xml:space="preserve"> The risk that an institution’</w:t>
      </w:r>
      <w:r>
        <w:rPr>
          <w:rFonts w:eastAsia="Times New Roman"/>
          <w:color w:val="000000"/>
          <w:sz w:val="20"/>
          <w:szCs w:val="20"/>
        </w:rPr>
        <w:t>s earnings or the economic value of equity could be adversely impacted by changes in interest rates, foreign exchange rates or other market factors.</w:t>
      </w:r>
    </w:p>
    <w:p w14:paraId="586E0726" w14:textId="77777777" w:rsidR="00000000" w:rsidRDefault="00405D16">
      <w:pPr>
        <w:jc w:val="both"/>
        <w:divId w:val="1135836050"/>
        <w:rPr>
          <w:rFonts w:eastAsia="Times New Roman"/>
        </w:rPr>
      </w:pPr>
      <w:r>
        <w:rPr>
          <w:rFonts w:eastAsia="Times New Roman"/>
          <w:b/>
          <w:bCs/>
          <w:color w:val="000000"/>
          <w:sz w:val="20"/>
          <w:szCs w:val="20"/>
        </w:rPr>
        <w:t>Master netting arrangements:</w:t>
      </w:r>
      <w:r>
        <w:rPr>
          <w:rFonts w:eastAsia="Times New Roman"/>
          <w:color w:val="000000"/>
          <w:sz w:val="20"/>
          <w:szCs w:val="20"/>
        </w:rPr>
        <w:t xml:space="preserve"> An agreement between two counterparties that have multiple contracts with each</w:t>
      </w:r>
      <w:r>
        <w:rPr>
          <w:rFonts w:eastAsia="Times New Roman"/>
          <w:color w:val="000000"/>
          <w:sz w:val="20"/>
          <w:szCs w:val="20"/>
        </w:rPr>
        <w:t xml:space="preserve"> other that provides for the net settlement of all contracts through a single payment in the event of default or termination of any one contract.</w:t>
      </w:r>
    </w:p>
    <w:p w14:paraId="10152A5A" w14:textId="77777777" w:rsidR="00000000" w:rsidRDefault="00405D16">
      <w:pPr>
        <w:jc w:val="both"/>
        <w:divId w:val="999163366"/>
        <w:rPr>
          <w:rFonts w:eastAsia="Times New Roman"/>
        </w:rPr>
      </w:pPr>
      <w:r>
        <w:rPr>
          <w:rFonts w:eastAsia="Times New Roman"/>
          <w:b/>
          <w:bCs/>
          <w:color w:val="000000"/>
          <w:sz w:val="20"/>
          <w:szCs w:val="20"/>
        </w:rPr>
        <w:t>Mortgage servicing rights (“MSRs”):</w:t>
      </w:r>
      <w:r>
        <w:rPr>
          <w:rFonts w:eastAsia="Times New Roman"/>
          <w:color w:val="000000"/>
          <w:sz w:val="20"/>
          <w:szCs w:val="20"/>
        </w:rPr>
        <w:t xml:space="preserve"> The right to service a mortgage loan when the underlying loan is sold or s</w:t>
      </w:r>
      <w:r>
        <w:rPr>
          <w:rFonts w:eastAsia="Times New Roman"/>
          <w:color w:val="000000"/>
          <w:sz w:val="20"/>
          <w:szCs w:val="20"/>
        </w:rPr>
        <w:t>ecuritized. Servicing includes collections for principal, interest and escrow payments from borrowers and accounting for and remitting principal and interest payments to investors.</w:t>
      </w:r>
    </w:p>
    <w:p w14:paraId="1706879A" w14:textId="77777777" w:rsidR="00000000" w:rsidRDefault="00405D16">
      <w:pPr>
        <w:jc w:val="both"/>
        <w:divId w:val="1311714178"/>
        <w:rPr>
          <w:rFonts w:eastAsia="Times New Roman"/>
        </w:rPr>
      </w:pPr>
      <w:r>
        <w:rPr>
          <w:rFonts w:eastAsia="Times New Roman"/>
          <w:b/>
          <w:bCs/>
          <w:color w:val="000000"/>
          <w:sz w:val="20"/>
          <w:szCs w:val="20"/>
        </w:rPr>
        <w:t>Net charge-off rate</w:t>
      </w:r>
      <w:r>
        <w:rPr>
          <w:rFonts w:eastAsia="Times New Roman"/>
          <w:color w:val="000000"/>
          <w:sz w:val="20"/>
          <w:szCs w:val="20"/>
        </w:rPr>
        <w:t>: Represents (annualized) net charge-offs divided by ave</w:t>
      </w:r>
      <w:r>
        <w:rPr>
          <w:rFonts w:eastAsia="Times New Roman"/>
          <w:color w:val="000000"/>
          <w:sz w:val="20"/>
          <w:szCs w:val="20"/>
        </w:rPr>
        <w:t>rage loans held for investment for the period. Negative net charge-offs and related rates are captioned as net recoveries.</w:t>
      </w:r>
    </w:p>
    <w:p w14:paraId="708CEEAB" w14:textId="77777777" w:rsidR="00000000" w:rsidRDefault="00405D16">
      <w:pPr>
        <w:jc w:val="both"/>
        <w:divId w:val="1031733927"/>
        <w:rPr>
          <w:rFonts w:eastAsia="Times New Roman"/>
        </w:rPr>
      </w:pPr>
      <w:r>
        <w:rPr>
          <w:rFonts w:eastAsia="Times New Roman"/>
          <w:b/>
          <w:bCs/>
          <w:color w:val="000000"/>
          <w:sz w:val="20"/>
          <w:szCs w:val="20"/>
        </w:rPr>
        <w:t>Net interest margin:</w:t>
      </w:r>
      <w:r>
        <w:rPr>
          <w:rFonts w:eastAsia="Times New Roman"/>
          <w:color w:val="000000"/>
          <w:sz w:val="20"/>
          <w:szCs w:val="20"/>
        </w:rPr>
        <w:t xml:space="preserve"> Represents (annualized) net interest income divided by average interest-earning assets for the period.</w:t>
      </w:r>
    </w:p>
    <w:p w14:paraId="69ACFA26" w14:textId="77777777" w:rsidR="00000000" w:rsidRDefault="00405D16">
      <w:pPr>
        <w:jc w:val="both"/>
        <w:divId w:val="1405755652"/>
        <w:rPr>
          <w:rFonts w:eastAsia="Times New Roman"/>
        </w:rPr>
      </w:pPr>
      <w:r>
        <w:rPr>
          <w:rFonts w:eastAsia="Times New Roman"/>
          <w:b/>
          <w:bCs/>
          <w:color w:val="000000"/>
          <w:sz w:val="20"/>
          <w:szCs w:val="20"/>
        </w:rPr>
        <w:t>NSFR Rule</w:t>
      </w:r>
      <w:r>
        <w:rPr>
          <w:rFonts w:eastAsia="Times New Roman"/>
          <w:b/>
          <w:bCs/>
          <w:color w:val="000000"/>
          <w:sz w:val="20"/>
          <w:szCs w:val="20"/>
        </w:rPr>
        <w:t>:</w:t>
      </w:r>
      <w:r>
        <w:rPr>
          <w:rFonts w:eastAsia="Times New Roman"/>
          <w:color w:val="000000"/>
          <w:sz w:val="20"/>
          <w:szCs w:val="20"/>
        </w:rPr>
        <w:t xml:space="preserve"> The Federal Banking Agencies issued a rule in October 2020 implementing the net stable funding ratio (“NSFR”). The NSFR measures the stability of our funding profile and requires us to maintain minimum amounts of stable funding to support our assets, com</w:t>
      </w:r>
      <w:r>
        <w:rPr>
          <w:rFonts w:eastAsia="Times New Roman"/>
          <w:color w:val="000000"/>
          <w:sz w:val="20"/>
          <w:szCs w:val="20"/>
        </w:rPr>
        <w:t>mitments and derivatives exposures over a one-year period.</w:t>
      </w:r>
    </w:p>
    <w:p w14:paraId="2C057087" w14:textId="77777777" w:rsidR="00000000" w:rsidRDefault="00405D16">
      <w:pPr>
        <w:jc w:val="both"/>
        <w:divId w:val="899634478"/>
        <w:rPr>
          <w:rFonts w:eastAsia="Times New Roman"/>
        </w:rPr>
      </w:pPr>
      <w:r>
        <w:rPr>
          <w:rFonts w:eastAsia="Times New Roman"/>
          <w:b/>
          <w:bCs/>
          <w:color w:val="000000"/>
          <w:sz w:val="20"/>
          <w:szCs w:val="20"/>
        </w:rPr>
        <w:t>Nonperforming loans:</w:t>
      </w:r>
      <w:r>
        <w:rPr>
          <w:rFonts w:eastAsia="Times New Roman"/>
          <w:color w:val="000000"/>
          <w:sz w:val="20"/>
          <w:szCs w:val="20"/>
        </w:rPr>
        <w:t xml:space="preserve"> Generally include loans that have been placed on nonaccrual status. We do not report loans classified as held for sale as nonperforming.</w:t>
      </w:r>
    </w:p>
    <w:p w14:paraId="67BAB405" w14:textId="77777777" w:rsidR="00000000" w:rsidRDefault="00405D16">
      <w:pPr>
        <w:jc w:val="both"/>
        <w:divId w:val="1612131476"/>
        <w:rPr>
          <w:rFonts w:eastAsia="Times New Roman"/>
        </w:rPr>
      </w:pPr>
      <w:r>
        <w:rPr>
          <w:rFonts w:eastAsia="Times New Roman"/>
          <w:b/>
          <w:bCs/>
          <w:color w:val="000000"/>
          <w:sz w:val="20"/>
          <w:szCs w:val="20"/>
        </w:rPr>
        <w:t xml:space="preserve">Public Funds deposits: </w:t>
      </w:r>
      <w:r>
        <w:rPr>
          <w:rFonts w:eastAsia="Times New Roman"/>
          <w:color w:val="000000"/>
          <w:sz w:val="20"/>
          <w:szCs w:val="20"/>
        </w:rPr>
        <w:t>Deposits that ar</w:t>
      </w:r>
      <w:r>
        <w:rPr>
          <w:rFonts w:eastAsia="Times New Roman"/>
          <w:color w:val="000000"/>
          <w:sz w:val="20"/>
          <w:szCs w:val="20"/>
        </w:rPr>
        <w:t xml:space="preserve">e derived from a variety of political subdivisions such as school districts and municipalities. </w:t>
      </w:r>
    </w:p>
    <w:p w14:paraId="009920E0" w14:textId="77777777" w:rsidR="00000000" w:rsidRDefault="00405D16">
      <w:pPr>
        <w:jc w:val="both"/>
        <w:divId w:val="924073463"/>
        <w:rPr>
          <w:rFonts w:eastAsia="Times New Roman"/>
        </w:rPr>
      </w:pPr>
      <w:r>
        <w:rPr>
          <w:rFonts w:eastAsia="Times New Roman"/>
          <w:b/>
          <w:bCs/>
          <w:color w:val="000000"/>
          <w:sz w:val="20"/>
          <w:szCs w:val="20"/>
        </w:rPr>
        <w:t>Purchase volume:</w:t>
      </w:r>
      <w:r>
        <w:rPr>
          <w:rFonts w:eastAsia="Times New Roman"/>
          <w:color w:val="000000"/>
          <w:sz w:val="20"/>
          <w:szCs w:val="20"/>
        </w:rPr>
        <w:t xml:space="preserve"> Consists of purchase transactions, net of returns, for the period, and excludes cash advance and balance transfer transactions.</w:t>
      </w:r>
    </w:p>
    <w:p w14:paraId="0D8EEAEC" w14:textId="77777777" w:rsidR="00000000" w:rsidRDefault="00405D16">
      <w:pPr>
        <w:jc w:val="both"/>
        <w:divId w:val="1113934797"/>
        <w:rPr>
          <w:rFonts w:eastAsia="Times New Roman"/>
        </w:rPr>
      </w:pPr>
      <w:r>
        <w:rPr>
          <w:rFonts w:eastAsia="Times New Roman"/>
          <w:b/>
          <w:bCs/>
          <w:color w:val="000000"/>
          <w:sz w:val="20"/>
          <w:szCs w:val="20"/>
        </w:rPr>
        <w:t>Rating agency:</w:t>
      </w:r>
      <w:r>
        <w:rPr>
          <w:rFonts w:eastAsia="Times New Roman"/>
          <w:color w:val="000000"/>
          <w:sz w:val="20"/>
          <w:szCs w:val="20"/>
        </w:rPr>
        <w:t xml:space="preserve"> An independent agency that assesses the credit quality and likelihood of default of an issue or issuer and assigns a rating to that issue or issuer.</w:t>
      </w:r>
    </w:p>
    <w:p w14:paraId="3ED72665" w14:textId="77777777" w:rsidR="00000000" w:rsidRDefault="00405D16">
      <w:pPr>
        <w:jc w:val="both"/>
        <w:divId w:val="541097423"/>
        <w:rPr>
          <w:rFonts w:eastAsia="Times New Roman"/>
        </w:rPr>
      </w:pPr>
      <w:r>
        <w:rPr>
          <w:rFonts w:eastAsia="Times New Roman"/>
          <w:b/>
          <w:bCs/>
          <w:color w:val="000000"/>
          <w:sz w:val="20"/>
          <w:szCs w:val="20"/>
        </w:rPr>
        <w:t>Repurchase agreement:</w:t>
      </w:r>
      <w:r>
        <w:rPr>
          <w:rFonts w:eastAsia="Times New Roman"/>
          <w:color w:val="000000"/>
          <w:sz w:val="20"/>
          <w:szCs w:val="20"/>
        </w:rPr>
        <w:t xml:space="preserve"> An instrument used to raise short-term funds whereby securities are sold with an agr</w:t>
      </w:r>
      <w:r>
        <w:rPr>
          <w:rFonts w:eastAsia="Times New Roman"/>
          <w:color w:val="000000"/>
          <w:sz w:val="20"/>
          <w:szCs w:val="20"/>
        </w:rPr>
        <w:t xml:space="preserve">eement for the seller to buy back the securities at a later date. </w:t>
      </w:r>
    </w:p>
    <w:p w14:paraId="5EE8BAAE" w14:textId="77777777" w:rsidR="00000000" w:rsidRDefault="00405D16">
      <w:pPr>
        <w:jc w:val="both"/>
        <w:divId w:val="642856073"/>
        <w:rPr>
          <w:rFonts w:eastAsia="Times New Roman"/>
        </w:rPr>
      </w:pPr>
      <w:r>
        <w:rPr>
          <w:rFonts w:eastAsia="Times New Roman"/>
          <w:b/>
          <w:bCs/>
          <w:color w:val="000000"/>
          <w:sz w:val="20"/>
          <w:szCs w:val="20"/>
        </w:rPr>
        <w:t>Restructuring charges:</w:t>
      </w:r>
      <w:r>
        <w:rPr>
          <w:rFonts w:eastAsia="Times New Roman"/>
          <w:color w:val="000000"/>
          <w:sz w:val="20"/>
          <w:szCs w:val="20"/>
        </w:rPr>
        <w:t xml:space="preserve"> Charges associated with the realignment of resources supporting various businesses, primarily consisting of severance and related benefits pursuant to our ongoing ben</w:t>
      </w:r>
      <w:r>
        <w:rPr>
          <w:rFonts w:eastAsia="Times New Roman"/>
          <w:color w:val="000000"/>
          <w:sz w:val="20"/>
          <w:szCs w:val="20"/>
        </w:rPr>
        <w:t>efit programs and impairment of certain assets related to business locations and activities being exited.</w:t>
      </w:r>
    </w:p>
    <w:p w14:paraId="214EA065" w14:textId="77777777" w:rsidR="00000000" w:rsidRDefault="00405D16">
      <w:pPr>
        <w:jc w:val="both"/>
        <w:divId w:val="2055736117"/>
        <w:rPr>
          <w:rFonts w:eastAsia="Times New Roman"/>
        </w:rPr>
      </w:pPr>
      <w:r>
        <w:rPr>
          <w:rFonts w:eastAsia="Times New Roman"/>
          <w:b/>
          <w:bCs/>
          <w:color w:val="000000"/>
          <w:sz w:val="20"/>
          <w:szCs w:val="20"/>
        </w:rPr>
        <w:t xml:space="preserve">Risk-weighted assets: </w:t>
      </w:r>
      <w:r>
        <w:rPr>
          <w:rFonts w:eastAsia="Times New Roman"/>
          <w:color w:val="000000"/>
          <w:sz w:val="20"/>
          <w:szCs w:val="20"/>
        </w:rPr>
        <w:t xml:space="preserve">On- and off-balance sheet assets that are assigned to one of several broad risk categories and weighted by factors representing </w:t>
      </w:r>
      <w:r>
        <w:rPr>
          <w:rFonts w:eastAsia="Times New Roman"/>
          <w:color w:val="000000"/>
          <w:sz w:val="20"/>
          <w:szCs w:val="20"/>
        </w:rPr>
        <w:t xml:space="preserve">their risk and potential for default. </w:t>
      </w:r>
    </w:p>
    <w:p w14:paraId="606C0DD8" w14:textId="77777777" w:rsidR="00000000" w:rsidRDefault="00405D16">
      <w:pPr>
        <w:jc w:val="both"/>
        <w:divId w:val="180626494"/>
        <w:rPr>
          <w:rFonts w:eastAsia="Times New Roman"/>
        </w:rPr>
      </w:pPr>
      <w:r>
        <w:rPr>
          <w:rFonts w:eastAsia="Times New Roman"/>
          <w:b/>
          <w:bCs/>
          <w:color w:val="000000"/>
          <w:sz w:val="20"/>
          <w:szCs w:val="20"/>
        </w:rPr>
        <w:t>Securitized debt obligations:</w:t>
      </w:r>
      <w:r>
        <w:rPr>
          <w:rFonts w:eastAsia="Times New Roman"/>
          <w:color w:val="000000"/>
          <w:sz w:val="20"/>
          <w:szCs w:val="20"/>
        </w:rPr>
        <w:t xml:space="preserve"> A type of asset-backed security and structured credit product constructed from a portfolio of fixed-income assets.</w:t>
      </w:r>
    </w:p>
    <w:p w14:paraId="2C5BF86D" w14:textId="77777777" w:rsidR="00000000" w:rsidRDefault="00405D16">
      <w:pPr>
        <w:jc w:val="both"/>
        <w:divId w:val="14969899"/>
        <w:rPr>
          <w:rFonts w:eastAsia="Times New Roman"/>
        </w:rPr>
      </w:pPr>
      <w:r>
        <w:rPr>
          <w:rFonts w:eastAsia="Times New Roman"/>
          <w:b/>
          <w:bCs/>
          <w:color w:val="000000"/>
          <w:sz w:val="20"/>
          <w:szCs w:val="20"/>
        </w:rPr>
        <w:t xml:space="preserve">Stress capital buffer: </w:t>
      </w:r>
      <w:r>
        <w:rPr>
          <w:rFonts w:eastAsia="Times New Roman"/>
          <w:color w:val="000000"/>
          <w:sz w:val="20"/>
          <w:szCs w:val="20"/>
        </w:rPr>
        <w:t>A component of our new standardized approach capi</w:t>
      </w:r>
      <w:r>
        <w:rPr>
          <w:rFonts w:eastAsia="Times New Roman"/>
          <w:color w:val="000000"/>
          <w:sz w:val="20"/>
          <w:szCs w:val="20"/>
        </w:rPr>
        <w:t xml:space="preserve">tal conservation buffer, which will be recalibrated annually based on the results of our supervisory stress tests. </w:t>
      </w:r>
    </w:p>
    <w:p w14:paraId="5F564915" w14:textId="77777777" w:rsidR="00000000" w:rsidRDefault="00405D16">
      <w:pPr>
        <w:jc w:val="both"/>
        <w:divId w:val="1605921340"/>
        <w:rPr>
          <w:rFonts w:eastAsia="Times New Roman"/>
        </w:rPr>
      </w:pPr>
      <w:r>
        <w:rPr>
          <w:rFonts w:eastAsia="Times New Roman"/>
          <w:b/>
          <w:bCs/>
          <w:color w:val="000000"/>
          <w:sz w:val="20"/>
          <w:szCs w:val="20"/>
        </w:rPr>
        <w:t xml:space="preserve">Subprime: </w:t>
      </w:r>
      <w:r>
        <w:rPr>
          <w:rFonts w:eastAsia="Times New Roman"/>
          <w:color w:val="000000"/>
          <w:sz w:val="20"/>
          <w:szCs w:val="20"/>
        </w:rPr>
        <w:t>For purposes of lending in our Credit Card business, we generally consider FICO scores of 660 or below, or other equivalent risk s</w:t>
      </w:r>
      <w:r>
        <w:rPr>
          <w:rFonts w:eastAsia="Times New Roman"/>
          <w:color w:val="000000"/>
          <w:sz w:val="20"/>
          <w:szCs w:val="20"/>
        </w:rPr>
        <w:t>cores, to be subprime. For purposes of auto lending in our Consumer Banking business, we generally consider FICO scores of 620 or below to be subprime.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35BF8DE9" w14:textId="77777777">
        <w:trPr>
          <w:divId w:val="5135885"/>
          <w:jc w:val="center"/>
        </w:trPr>
        <w:tc>
          <w:tcPr>
            <w:tcW w:w="50" w:type="pct"/>
            <w:vAlign w:val="center"/>
            <w:hideMark/>
          </w:tcPr>
          <w:p w14:paraId="0C3EA285" w14:textId="77777777" w:rsidR="00000000" w:rsidRDefault="00405D16">
            <w:pPr>
              <w:jc w:val="both"/>
              <w:rPr>
                <w:rFonts w:eastAsia="Times New Roman"/>
              </w:rPr>
            </w:pPr>
          </w:p>
        </w:tc>
        <w:tc>
          <w:tcPr>
            <w:tcW w:w="1606" w:type="pct"/>
            <w:vAlign w:val="center"/>
            <w:hideMark/>
          </w:tcPr>
          <w:p w14:paraId="59ED6D68" w14:textId="77777777" w:rsidR="00000000" w:rsidRDefault="00405D16">
            <w:pPr>
              <w:spacing w:after="100"/>
              <w:rPr>
                <w:rFonts w:eastAsia="Times New Roman"/>
                <w:sz w:val="20"/>
                <w:szCs w:val="20"/>
              </w:rPr>
            </w:pPr>
          </w:p>
        </w:tc>
        <w:tc>
          <w:tcPr>
            <w:tcW w:w="5" w:type="pct"/>
            <w:vAlign w:val="center"/>
            <w:hideMark/>
          </w:tcPr>
          <w:p w14:paraId="048B0541" w14:textId="77777777" w:rsidR="00000000" w:rsidRDefault="00405D16">
            <w:pPr>
              <w:spacing w:after="100"/>
              <w:rPr>
                <w:rFonts w:eastAsia="Times New Roman"/>
                <w:sz w:val="20"/>
                <w:szCs w:val="20"/>
              </w:rPr>
            </w:pPr>
          </w:p>
        </w:tc>
        <w:tc>
          <w:tcPr>
            <w:tcW w:w="50" w:type="pct"/>
            <w:vAlign w:val="center"/>
            <w:hideMark/>
          </w:tcPr>
          <w:p w14:paraId="64553340" w14:textId="77777777" w:rsidR="00000000" w:rsidRDefault="00405D16">
            <w:pPr>
              <w:spacing w:after="100"/>
              <w:rPr>
                <w:rFonts w:eastAsia="Times New Roman"/>
                <w:sz w:val="20"/>
                <w:szCs w:val="20"/>
              </w:rPr>
            </w:pPr>
          </w:p>
        </w:tc>
        <w:tc>
          <w:tcPr>
            <w:tcW w:w="1614" w:type="pct"/>
            <w:vAlign w:val="center"/>
            <w:hideMark/>
          </w:tcPr>
          <w:p w14:paraId="339C17A3" w14:textId="77777777" w:rsidR="00000000" w:rsidRDefault="00405D16">
            <w:pPr>
              <w:spacing w:after="100"/>
              <w:rPr>
                <w:rFonts w:eastAsia="Times New Roman"/>
                <w:sz w:val="20"/>
                <w:szCs w:val="20"/>
              </w:rPr>
            </w:pPr>
          </w:p>
        </w:tc>
        <w:tc>
          <w:tcPr>
            <w:tcW w:w="5" w:type="pct"/>
            <w:vAlign w:val="center"/>
            <w:hideMark/>
          </w:tcPr>
          <w:p w14:paraId="06438596" w14:textId="77777777" w:rsidR="00000000" w:rsidRDefault="00405D16">
            <w:pPr>
              <w:spacing w:after="100"/>
              <w:rPr>
                <w:rFonts w:eastAsia="Times New Roman"/>
                <w:sz w:val="20"/>
                <w:szCs w:val="20"/>
              </w:rPr>
            </w:pPr>
          </w:p>
        </w:tc>
        <w:tc>
          <w:tcPr>
            <w:tcW w:w="50" w:type="pct"/>
            <w:vAlign w:val="center"/>
            <w:hideMark/>
          </w:tcPr>
          <w:p w14:paraId="676875E6" w14:textId="77777777" w:rsidR="00000000" w:rsidRDefault="00405D16">
            <w:pPr>
              <w:spacing w:after="100"/>
              <w:rPr>
                <w:rFonts w:eastAsia="Times New Roman"/>
                <w:sz w:val="20"/>
                <w:szCs w:val="20"/>
              </w:rPr>
            </w:pPr>
          </w:p>
        </w:tc>
        <w:tc>
          <w:tcPr>
            <w:tcW w:w="1614" w:type="pct"/>
            <w:vAlign w:val="center"/>
            <w:hideMark/>
          </w:tcPr>
          <w:p w14:paraId="2D7FF16A" w14:textId="77777777" w:rsidR="00000000" w:rsidRDefault="00405D16">
            <w:pPr>
              <w:spacing w:after="100"/>
              <w:rPr>
                <w:rFonts w:eastAsia="Times New Roman"/>
                <w:sz w:val="20"/>
                <w:szCs w:val="20"/>
              </w:rPr>
            </w:pPr>
          </w:p>
        </w:tc>
        <w:tc>
          <w:tcPr>
            <w:tcW w:w="5" w:type="pct"/>
            <w:vAlign w:val="center"/>
            <w:hideMark/>
          </w:tcPr>
          <w:p w14:paraId="205D48D3" w14:textId="77777777" w:rsidR="00000000" w:rsidRDefault="00405D16">
            <w:pPr>
              <w:spacing w:after="100"/>
              <w:rPr>
                <w:rFonts w:eastAsia="Times New Roman"/>
                <w:sz w:val="20"/>
                <w:szCs w:val="20"/>
              </w:rPr>
            </w:pPr>
          </w:p>
        </w:tc>
      </w:tr>
      <w:tr w:rsidR="00000000" w14:paraId="629200EB" w14:textId="77777777">
        <w:trPr>
          <w:divId w:val="5135885"/>
          <w:trHeight w:val="300"/>
          <w:jc w:val="center"/>
        </w:trPr>
        <w:tc>
          <w:tcPr>
            <w:tcW w:w="0" w:type="auto"/>
            <w:gridSpan w:val="9"/>
            <w:tcMar>
              <w:top w:w="0" w:type="dxa"/>
              <w:left w:w="20" w:type="dxa"/>
              <w:bottom w:w="0" w:type="dxa"/>
              <w:right w:w="20" w:type="dxa"/>
            </w:tcMar>
            <w:vAlign w:val="center"/>
            <w:hideMark/>
          </w:tcPr>
          <w:p w14:paraId="10B3F385" w14:textId="77777777" w:rsidR="00000000" w:rsidRDefault="00405D16">
            <w:pPr>
              <w:spacing w:after="100"/>
              <w:rPr>
                <w:rFonts w:eastAsia="Times New Roman"/>
                <w:sz w:val="20"/>
                <w:szCs w:val="20"/>
              </w:rPr>
            </w:pPr>
          </w:p>
        </w:tc>
      </w:tr>
      <w:tr w:rsidR="00000000" w14:paraId="2B4BEE3F" w14:textId="77777777">
        <w:trPr>
          <w:divId w:val="5135885"/>
          <w:jc w:val="center"/>
        </w:trPr>
        <w:tc>
          <w:tcPr>
            <w:tcW w:w="0" w:type="auto"/>
            <w:gridSpan w:val="3"/>
            <w:tcMar>
              <w:top w:w="0" w:type="dxa"/>
              <w:left w:w="20" w:type="dxa"/>
              <w:bottom w:w="0" w:type="dxa"/>
              <w:right w:w="20" w:type="dxa"/>
            </w:tcMar>
            <w:vAlign w:val="center"/>
            <w:hideMark/>
          </w:tcPr>
          <w:p w14:paraId="163A1BC7"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E48640E" w14:textId="77777777" w:rsidR="00000000" w:rsidRDefault="00405D16">
            <w:pPr>
              <w:spacing w:after="100"/>
              <w:jc w:val="center"/>
              <w:rPr>
                <w:rFonts w:eastAsia="Times New Roman"/>
              </w:rPr>
            </w:pPr>
            <w:r>
              <w:rPr>
                <w:rFonts w:eastAsia="Times New Roman"/>
                <w:color w:val="000000"/>
                <w:sz w:val="16"/>
                <w:szCs w:val="16"/>
              </w:rPr>
              <w:t>64</w:t>
            </w:r>
          </w:p>
        </w:tc>
        <w:tc>
          <w:tcPr>
            <w:tcW w:w="0" w:type="auto"/>
            <w:gridSpan w:val="3"/>
            <w:tcMar>
              <w:top w:w="30" w:type="dxa"/>
              <w:left w:w="20" w:type="dxa"/>
              <w:bottom w:w="30" w:type="dxa"/>
              <w:right w:w="20" w:type="dxa"/>
            </w:tcMar>
            <w:vAlign w:val="bottom"/>
            <w:hideMark/>
          </w:tcPr>
          <w:p w14:paraId="4A3340DB"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1AFFB4D1" w14:textId="77777777" w:rsidR="00000000" w:rsidRDefault="00405D16">
      <w:pPr>
        <w:rPr>
          <w:rFonts w:eastAsia="Times New Roman"/>
        </w:rPr>
      </w:pPr>
      <w:r>
        <w:rPr>
          <w:rFonts w:eastAsia="Times New Roman"/>
        </w:rPr>
        <w:pict w14:anchorId="198C4DDD">
          <v:rect id="_x0000_i1089" style="width:0;height:1.5pt" o:hralign="center" o:hrstd="t" o:hr="t" fillcolor="#a0a0a0" stroked="f"/>
        </w:pict>
      </w:r>
    </w:p>
    <w:p w14:paraId="5EC865CE" w14:textId="77777777" w:rsidR="00000000" w:rsidRDefault="00405D16">
      <w:pPr>
        <w:ind w:hanging="360"/>
        <w:jc w:val="both"/>
        <w:divId w:val="1708677512"/>
        <w:rPr>
          <w:rFonts w:eastAsia="Times New Roman"/>
        </w:rPr>
      </w:pPr>
      <w:hyperlink w:anchor="idd54a04a485440b4ab4e56094c14d612_13" w:history="1">
        <w:r>
          <w:rPr>
            <w:rStyle w:val="a3"/>
            <w:rFonts w:eastAsia="Times New Roman"/>
            <w:sz w:val="16"/>
            <w:szCs w:val="16"/>
          </w:rPr>
          <w:t>Table of Contents</w:t>
        </w:r>
      </w:hyperlink>
    </w:p>
    <w:p w14:paraId="48F66C4C" w14:textId="77777777" w:rsidR="00000000" w:rsidRDefault="00405D16">
      <w:pPr>
        <w:jc w:val="both"/>
        <w:divId w:val="890383721"/>
        <w:rPr>
          <w:rFonts w:eastAsia="Times New Roman"/>
        </w:rPr>
      </w:pPr>
      <w:r>
        <w:rPr>
          <w:rFonts w:eastAsia="Times New Roman"/>
          <w:b/>
          <w:bCs/>
          <w:color w:val="000000"/>
          <w:sz w:val="20"/>
          <w:szCs w:val="20"/>
        </w:rPr>
        <w:t xml:space="preserve">Tailoring Rules: </w:t>
      </w:r>
      <w:r>
        <w:rPr>
          <w:rFonts w:eastAsia="Times New Roman"/>
          <w:color w:val="000000"/>
          <w:sz w:val="20"/>
          <w:szCs w:val="20"/>
        </w:rPr>
        <w:t>In October 2019, the Federal Banking Agencies released final rules that provide for tailored application of certain capital, l</w:t>
      </w:r>
      <w:r>
        <w:rPr>
          <w:rFonts w:eastAsia="Times New Roman"/>
          <w:color w:val="000000"/>
          <w:sz w:val="20"/>
          <w:szCs w:val="20"/>
        </w:rPr>
        <w:t>iquidity and stress-testing requirements across different categories of banking institutions. As a bank holding company with total consolidated assets of at least $250 billion that does not exceed any of the applicable risk-based thresholds, we are a Categ</w:t>
      </w:r>
      <w:r>
        <w:rPr>
          <w:rFonts w:eastAsia="Times New Roman"/>
          <w:color w:val="000000"/>
          <w:sz w:val="20"/>
          <w:szCs w:val="20"/>
        </w:rPr>
        <w:t>ory III institution under the Tailoring Rules.</w:t>
      </w:r>
    </w:p>
    <w:p w14:paraId="30A57EFF" w14:textId="77777777" w:rsidR="00000000" w:rsidRDefault="00405D16">
      <w:pPr>
        <w:jc w:val="both"/>
        <w:divId w:val="579608529"/>
        <w:rPr>
          <w:rFonts w:eastAsia="Times New Roman"/>
        </w:rPr>
      </w:pPr>
      <w:r>
        <w:rPr>
          <w:rFonts w:eastAsia="Times New Roman"/>
          <w:b/>
          <w:bCs/>
          <w:color w:val="000000"/>
          <w:sz w:val="20"/>
          <w:szCs w:val="20"/>
        </w:rPr>
        <w:t>Tangible common equity:</w:t>
      </w:r>
      <w:r>
        <w:rPr>
          <w:rFonts w:eastAsia="Times New Roman"/>
          <w:color w:val="000000"/>
          <w:sz w:val="20"/>
          <w:szCs w:val="20"/>
        </w:rPr>
        <w:t xml:space="preserve"> A non-GAAP financial measure. Common equity less goodwill and intangible assets adjusted for deferred tax liabilities associated with non-tax deductible intangible assets and tax deduct</w:t>
      </w:r>
      <w:r>
        <w:rPr>
          <w:rFonts w:eastAsia="Times New Roman"/>
          <w:color w:val="000000"/>
          <w:sz w:val="20"/>
          <w:szCs w:val="20"/>
        </w:rPr>
        <w:t>ible goodwill.</w:t>
      </w:r>
    </w:p>
    <w:p w14:paraId="5805B8E1" w14:textId="77777777" w:rsidR="00000000" w:rsidRDefault="00405D16">
      <w:pPr>
        <w:jc w:val="both"/>
        <w:divId w:val="377053816"/>
        <w:rPr>
          <w:rFonts w:eastAsia="Times New Roman"/>
        </w:rPr>
      </w:pPr>
      <w:r>
        <w:rPr>
          <w:rFonts w:eastAsia="Times New Roman"/>
          <w:b/>
          <w:bCs/>
          <w:color w:val="000000"/>
          <w:sz w:val="20"/>
          <w:szCs w:val="20"/>
        </w:rPr>
        <w:t>Troubled debt restructuring (“TDR”):</w:t>
      </w:r>
      <w:r>
        <w:rPr>
          <w:rFonts w:eastAsia="Times New Roman"/>
          <w:color w:val="000000"/>
          <w:sz w:val="20"/>
          <w:szCs w:val="20"/>
        </w:rPr>
        <w:t xml:space="preserve"> A TDR is deemed to occur when the contractual terms of a loan agreement are modified by granting a concession to a borrower that is experiencing financial difficulty.</w:t>
      </w:r>
    </w:p>
    <w:p w14:paraId="6E926B13" w14:textId="77777777" w:rsidR="00000000" w:rsidRDefault="00405D16">
      <w:pPr>
        <w:jc w:val="both"/>
        <w:divId w:val="726606567"/>
        <w:rPr>
          <w:rFonts w:eastAsia="Times New Roman"/>
        </w:rPr>
      </w:pPr>
      <w:r>
        <w:rPr>
          <w:rFonts w:eastAsia="Times New Roman"/>
          <w:b/>
          <w:bCs/>
          <w:color w:val="000000"/>
          <w:sz w:val="20"/>
          <w:szCs w:val="20"/>
        </w:rPr>
        <w:t>Unfunded commitments:</w:t>
      </w:r>
      <w:r>
        <w:rPr>
          <w:rFonts w:eastAsia="Times New Roman"/>
          <w:color w:val="000000"/>
          <w:sz w:val="20"/>
          <w:szCs w:val="20"/>
        </w:rPr>
        <w:t xml:space="preserve"> Legally binding agreements to provide a defined level of financing until a specified future date.</w:t>
      </w:r>
    </w:p>
    <w:p w14:paraId="0222A1DB" w14:textId="77777777" w:rsidR="00000000" w:rsidRDefault="00405D16">
      <w:pPr>
        <w:jc w:val="both"/>
        <w:divId w:val="482818511"/>
        <w:rPr>
          <w:rFonts w:eastAsia="Times New Roman"/>
        </w:rPr>
      </w:pPr>
      <w:r>
        <w:rPr>
          <w:rFonts w:eastAsia="Times New Roman"/>
          <w:b/>
          <w:bCs/>
          <w:color w:val="000000"/>
          <w:sz w:val="20"/>
          <w:szCs w:val="20"/>
        </w:rPr>
        <w:t xml:space="preserve">U.K. PPI Reserve: </w:t>
      </w:r>
      <w:r>
        <w:rPr>
          <w:rFonts w:eastAsia="Times New Roman"/>
          <w:color w:val="000000"/>
          <w:sz w:val="20"/>
          <w:szCs w:val="20"/>
        </w:rPr>
        <w:t>U.K. payment protection insurance customer refund reserve.</w:t>
      </w:r>
    </w:p>
    <w:p w14:paraId="05A7FC0B" w14:textId="77777777" w:rsidR="00000000" w:rsidRDefault="00405D16">
      <w:pPr>
        <w:jc w:val="both"/>
        <w:divId w:val="1222987665"/>
        <w:rPr>
          <w:rFonts w:eastAsia="Times New Roman"/>
        </w:rPr>
      </w:pPr>
      <w:r>
        <w:rPr>
          <w:rFonts w:eastAsia="Times New Roman"/>
          <w:b/>
          <w:bCs/>
          <w:color w:val="000000"/>
          <w:sz w:val="20"/>
          <w:szCs w:val="20"/>
        </w:rPr>
        <w:t>U.S. GAAP:</w:t>
      </w:r>
      <w:r>
        <w:rPr>
          <w:rFonts w:eastAsia="Times New Roman"/>
          <w:color w:val="000000"/>
          <w:sz w:val="20"/>
          <w:szCs w:val="20"/>
        </w:rPr>
        <w:t xml:space="preserve"> Accounting principles generally accepted in the </w:t>
      </w:r>
      <w:r>
        <w:rPr>
          <w:rFonts w:eastAsia="Times New Roman"/>
          <w:color w:val="000000"/>
          <w:sz w:val="20"/>
          <w:szCs w:val="20"/>
        </w:rPr>
        <w:t>United States of America. Accounting rules and conventions defining acceptable practices in preparing financial statements in the U.S.</w:t>
      </w:r>
    </w:p>
    <w:p w14:paraId="187CEF4B" w14:textId="77777777" w:rsidR="00000000" w:rsidRDefault="00405D16">
      <w:pPr>
        <w:jc w:val="both"/>
        <w:divId w:val="479080793"/>
        <w:rPr>
          <w:rFonts w:eastAsia="Times New Roman"/>
        </w:rPr>
      </w:pPr>
      <w:r>
        <w:rPr>
          <w:rFonts w:eastAsia="Times New Roman"/>
          <w:b/>
          <w:bCs/>
          <w:color w:val="000000"/>
          <w:sz w:val="20"/>
          <w:szCs w:val="20"/>
        </w:rPr>
        <w:t>Variable interest entity (“VIE”):</w:t>
      </w:r>
      <w:r>
        <w:rPr>
          <w:rFonts w:eastAsia="Times New Roman"/>
          <w:color w:val="000000"/>
          <w:sz w:val="20"/>
          <w:szCs w:val="20"/>
        </w:rPr>
        <w:t xml:space="preserve"> An entity that (i) lacks enough equity investment at risk to permit the entity to finan</w:t>
      </w:r>
      <w:r>
        <w:rPr>
          <w:rFonts w:eastAsia="Times New Roman"/>
          <w:color w:val="000000"/>
          <w:sz w:val="20"/>
          <w:szCs w:val="20"/>
        </w:rPr>
        <w:t>ce its activities without additional financial support from other parties; (ii) has equity owners that lack the right to make significant decisions affecting the entity’s operations; and/or (iii) has equity owners that do not have an obligation to absorb o</w:t>
      </w:r>
      <w:r>
        <w:rPr>
          <w:rFonts w:eastAsia="Times New Roman"/>
          <w:color w:val="000000"/>
          <w:sz w:val="20"/>
          <w:szCs w:val="20"/>
        </w:rPr>
        <w:t>r the right to receive the entity’s losses or return.</w:t>
      </w:r>
    </w:p>
    <w:p w14:paraId="0BF4CAAF" w14:textId="77777777" w:rsidR="00000000" w:rsidRDefault="00405D16">
      <w:pPr>
        <w:jc w:val="both"/>
        <w:divId w:val="981545122"/>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04BE7721" w14:textId="77777777">
        <w:trPr>
          <w:divId w:val="1789011646"/>
          <w:jc w:val="center"/>
        </w:trPr>
        <w:tc>
          <w:tcPr>
            <w:tcW w:w="50" w:type="pct"/>
            <w:vAlign w:val="center"/>
            <w:hideMark/>
          </w:tcPr>
          <w:p w14:paraId="491059E0" w14:textId="77777777" w:rsidR="00000000" w:rsidRDefault="00405D16">
            <w:pPr>
              <w:jc w:val="both"/>
              <w:rPr>
                <w:rFonts w:eastAsia="Times New Roman"/>
              </w:rPr>
            </w:pPr>
          </w:p>
        </w:tc>
        <w:tc>
          <w:tcPr>
            <w:tcW w:w="1606" w:type="pct"/>
            <w:vAlign w:val="center"/>
            <w:hideMark/>
          </w:tcPr>
          <w:p w14:paraId="1354D4B6" w14:textId="77777777" w:rsidR="00000000" w:rsidRDefault="00405D16">
            <w:pPr>
              <w:spacing w:after="100"/>
              <w:rPr>
                <w:rFonts w:eastAsia="Times New Roman"/>
                <w:sz w:val="20"/>
                <w:szCs w:val="20"/>
              </w:rPr>
            </w:pPr>
          </w:p>
        </w:tc>
        <w:tc>
          <w:tcPr>
            <w:tcW w:w="5" w:type="pct"/>
            <w:vAlign w:val="center"/>
            <w:hideMark/>
          </w:tcPr>
          <w:p w14:paraId="3870FC52" w14:textId="77777777" w:rsidR="00000000" w:rsidRDefault="00405D16">
            <w:pPr>
              <w:spacing w:after="100"/>
              <w:rPr>
                <w:rFonts w:eastAsia="Times New Roman"/>
                <w:sz w:val="20"/>
                <w:szCs w:val="20"/>
              </w:rPr>
            </w:pPr>
          </w:p>
        </w:tc>
        <w:tc>
          <w:tcPr>
            <w:tcW w:w="50" w:type="pct"/>
            <w:vAlign w:val="center"/>
            <w:hideMark/>
          </w:tcPr>
          <w:p w14:paraId="618CA416" w14:textId="77777777" w:rsidR="00000000" w:rsidRDefault="00405D16">
            <w:pPr>
              <w:spacing w:after="100"/>
              <w:rPr>
                <w:rFonts w:eastAsia="Times New Roman"/>
                <w:sz w:val="20"/>
                <w:szCs w:val="20"/>
              </w:rPr>
            </w:pPr>
          </w:p>
        </w:tc>
        <w:tc>
          <w:tcPr>
            <w:tcW w:w="1614" w:type="pct"/>
            <w:vAlign w:val="center"/>
            <w:hideMark/>
          </w:tcPr>
          <w:p w14:paraId="6B7FD913" w14:textId="77777777" w:rsidR="00000000" w:rsidRDefault="00405D16">
            <w:pPr>
              <w:spacing w:after="100"/>
              <w:rPr>
                <w:rFonts w:eastAsia="Times New Roman"/>
                <w:sz w:val="20"/>
                <w:szCs w:val="20"/>
              </w:rPr>
            </w:pPr>
          </w:p>
        </w:tc>
        <w:tc>
          <w:tcPr>
            <w:tcW w:w="5" w:type="pct"/>
            <w:vAlign w:val="center"/>
            <w:hideMark/>
          </w:tcPr>
          <w:p w14:paraId="22B79C20" w14:textId="77777777" w:rsidR="00000000" w:rsidRDefault="00405D16">
            <w:pPr>
              <w:spacing w:after="100"/>
              <w:rPr>
                <w:rFonts w:eastAsia="Times New Roman"/>
                <w:sz w:val="20"/>
                <w:szCs w:val="20"/>
              </w:rPr>
            </w:pPr>
          </w:p>
        </w:tc>
        <w:tc>
          <w:tcPr>
            <w:tcW w:w="50" w:type="pct"/>
            <w:vAlign w:val="center"/>
            <w:hideMark/>
          </w:tcPr>
          <w:p w14:paraId="78ED3297" w14:textId="77777777" w:rsidR="00000000" w:rsidRDefault="00405D16">
            <w:pPr>
              <w:spacing w:after="100"/>
              <w:rPr>
                <w:rFonts w:eastAsia="Times New Roman"/>
                <w:sz w:val="20"/>
                <w:szCs w:val="20"/>
              </w:rPr>
            </w:pPr>
          </w:p>
        </w:tc>
        <w:tc>
          <w:tcPr>
            <w:tcW w:w="1614" w:type="pct"/>
            <w:vAlign w:val="center"/>
            <w:hideMark/>
          </w:tcPr>
          <w:p w14:paraId="3EBAC92F" w14:textId="77777777" w:rsidR="00000000" w:rsidRDefault="00405D16">
            <w:pPr>
              <w:spacing w:after="100"/>
              <w:rPr>
                <w:rFonts w:eastAsia="Times New Roman"/>
                <w:sz w:val="20"/>
                <w:szCs w:val="20"/>
              </w:rPr>
            </w:pPr>
          </w:p>
        </w:tc>
        <w:tc>
          <w:tcPr>
            <w:tcW w:w="5" w:type="pct"/>
            <w:vAlign w:val="center"/>
            <w:hideMark/>
          </w:tcPr>
          <w:p w14:paraId="1EC4F382" w14:textId="77777777" w:rsidR="00000000" w:rsidRDefault="00405D16">
            <w:pPr>
              <w:spacing w:after="100"/>
              <w:rPr>
                <w:rFonts w:eastAsia="Times New Roman"/>
                <w:sz w:val="20"/>
                <w:szCs w:val="20"/>
              </w:rPr>
            </w:pPr>
          </w:p>
        </w:tc>
      </w:tr>
      <w:tr w:rsidR="00000000" w14:paraId="30CAB720" w14:textId="77777777">
        <w:trPr>
          <w:divId w:val="1789011646"/>
          <w:trHeight w:val="300"/>
          <w:jc w:val="center"/>
        </w:trPr>
        <w:tc>
          <w:tcPr>
            <w:tcW w:w="0" w:type="auto"/>
            <w:gridSpan w:val="9"/>
            <w:tcMar>
              <w:top w:w="0" w:type="dxa"/>
              <w:left w:w="20" w:type="dxa"/>
              <w:bottom w:w="0" w:type="dxa"/>
              <w:right w:w="20" w:type="dxa"/>
            </w:tcMar>
            <w:vAlign w:val="center"/>
            <w:hideMark/>
          </w:tcPr>
          <w:p w14:paraId="19ECE99C" w14:textId="77777777" w:rsidR="00000000" w:rsidRDefault="00405D16">
            <w:pPr>
              <w:spacing w:after="100"/>
              <w:rPr>
                <w:rFonts w:eastAsia="Times New Roman"/>
                <w:sz w:val="20"/>
                <w:szCs w:val="20"/>
              </w:rPr>
            </w:pPr>
          </w:p>
        </w:tc>
      </w:tr>
      <w:tr w:rsidR="00000000" w14:paraId="1B22C981" w14:textId="77777777">
        <w:trPr>
          <w:divId w:val="1789011646"/>
          <w:jc w:val="center"/>
        </w:trPr>
        <w:tc>
          <w:tcPr>
            <w:tcW w:w="0" w:type="auto"/>
            <w:gridSpan w:val="3"/>
            <w:tcMar>
              <w:top w:w="0" w:type="dxa"/>
              <w:left w:w="20" w:type="dxa"/>
              <w:bottom w:w="0" w:type="dxa"/>
              <w:right w:w="20" w:type="dxa"/>
            </w:tcMar>
            <w:vAlign w:val="center"/>
            <w:hideMark/>
          </w:tcPr>
          <w:p w14:paraId="6BE01BF7"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F9DCEAA" w14:textId="77777777" w:rsidR="00000000" w:rsidRDefault="00405D16">
            <w:pPr>
              <w:spacing w:after="100"/>
              <w:jc w:val="center"/>
              <w:rPr>
                <w:rFonts w:eastAsia="Times New Roman"/>
              </w:rPr>
            </w:pPr>
            <w:r>
              <w:rPr>
                <w:rFonts w:eastAsia="Times New Roman"/>
                <w:color w:val="000000"/>
                <w:sz w:val="16"/>
                <w:szCs w:val="16"/>
              </w:rPr>
              <w:t>65</w:t>
            </w:r>
          </w:p>
        </w:tc>
        <w:tc>
          <w:tcPr>
            <w:tcW w:w="0" w:type="auto"/>
            <w:gridSpan w:val="3"/>
            <w:tcMar>
              <w:top w:w="30" w:type="dxa"/>
              <w:left w:w="20" w:type="dxa"/>
              <w:bottom w:w="30" w:type="dxa"/>
              <w:right w:w="20" w:type="dxa"/>
            </w:tcMar>
            <w:vAlign w:val="bottom"/>
            <w:hideMark/>
          </w:tcPr>
          <w:p w14:paraId="340E1405"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20990A7E" w14:textId="77777777" w:rsidR="00000000" w:rsidRDefault="00405D16">
      <w:pPr>
        <w:rPr>
          <w:rFonts w:eastAsia="Times New Roman"/>
        </w:rPr>
      </w:pPr>
      <w:r>
        <w:rPr>
          <w:rFonts w:eastAsia="Times New Roman"/>
        </w:rPr>
        <w:pict w14:anchorId="3693DCF8">
          <v:rect id="_x0000_i1090" style="width:0;height:1.5pt" o:hralign="center" o:hrstd="t" o:hr="t" fillcolor="#a0a0a0" stroked="f"/>
        </w:pict>
      </w:r>
    </w:p>
    <w:p w14:paraId="2A345931" w14:textId="77777777" w:rsidR="00000000" w:rsidRDefault="00405D16">
      <w:pPr>
        <w:ind w:hanging="360"/>
        <w:jc w:val="both"/>
        <w:divId w:val="1323775444"/>
        <w:rPr>
          <w:rFonts w:eastAsia="Times New Roman"/>
        </w:rPr>
      </w:pPr>
      <w:hyperlink w:anchor="idd54a04a485440b4ab4e56094c14d612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59CD441A" w14:textId="77777777">
        <w:trPr>
          <w:divId w:val="2106998097"/>
        </w:trPr>
        <w:tc>
          <w:tcPr>
            <w:tcW w:w="50" w:type="pct"/>
            <w:vAlign w:val="center"/>
            <w:hideMark/>
          </w:tcPr>
          <w:p w14:paraId="354E8957" w14:textId="77777777" w:rsidR="00000000" w:rsidRDefault="00405D16">
            <w:pPr>
              <w:ind w:hanging="360"/>
              <w:jc w:val="both"/>
              <w:rPr>
                <w:rFonts w:eastAsia="Times New Roman"/>
              </w:rPr>
            </w:pPr>
          </w:p>
        </w:tc>
        <w:tc>
          <w:tcPr>
            <w:tcW w:w="4945" w:type="pct"/>
            <w:vAlign w:val="center"/>
            <w:hideMark/>
          </w:tcPr>
          <w:p w14:paraId="20F78E99" w14:textId="77777777" w:rsidR="00000000" w:rsidRDefault="00405D16">
            <w:pPr>
              <w:spacing w:after="100"/>
              <w:rPr>
                <w:rFonts w:eastAsia="Times New Roman"/>
                <w:sz w:val="20"/>
                <w:szCs w:val="20"/>
              </w:rPr>
            </w:pPr>
          </w:p>
        </w:tc>
        <w:tc>
          <w:tcPr>
            <w:tcW w:w="5" w:type="pct"/>
            <w:vAlign w:val="center"/>
            <w:hideMark/>
          </w:tcPr>
          <w:p w14:paraId="54263BB4" w14:textId="77777777" w:rsidR="00000000" w:rsidRDefault="00405D16">
            <w:pPr>
              <w:spacing w:after="100"/>
              <w:rPr>
                <w:rFonts w:eastAsia="Times New Roman"/>
                <w:sz w:val="20"/>
                <w:szCs w:val="20"/>
              </w:rPr>
            </w:pPr>
          </w:p>
        </w:tc>
      </w:tr>
      <w:tr w:rsidR="00000000" w14:paraId="37C87377" w14:textId="77777777">
        <w:trPr>
          <w:divId w:val="2106998097"/>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32BA7FE0" w14:textId="77777777" w:rsidR="00000000" w:rsidRDefault="00405D16">
            <w:pPr>
              <w:spacing w:after="100"/>
              <w:divId w:val="857933054"/>
              <w:rPr>
                <w:rFonts w:eastAsia="Times New Roman"/>
              </w:rPr>
            </w:pPr>
            <w:r>
              <w:rPr>
                <w:rFonts w:eastAsia="Times New Roman"/>
                <w:b/>
                <w:bCs/>
                <w:i/>
                <w:iCs/>
                <w:color w:val="000000"/>
                <w:sz w:val="20"/>
                <w:szCs w:val="20"/>
              </w:rPr>
              <w:t>Acronyms</w:t>
            </w:r>
          </w:p>
        </w:tc>
      </w:tr>
    </w:tbl>
    <w:p w14:paraId="200273D3" w14:textId="77777777" w:rsidR="00000000" w:rsidRDefault="00405D16">
      <w:pPr>
        <w:jc w:val="both"/>
        <w:divId w:val="1797408099"/>
        <w:rPr>
          <w:rFonts w:eastAsia="Times New Roman"/>
        </w:rPr>
      </w:pPr>
      <w:r>
        <w:rPr>
          <w:rFonts w:eastAsia="Times New Roman"/>
          <w:b/>
          <w:bCs/>
          <w:color w:val="000000"/>
          <w:sz w:val="20"/>
          <w:szCs w:val="20"/>
        </w:rPr>
        <w:t xml:space="preserve">AML: </w:t>
      </w:r>
      <w:r>
        <w:rPr>
          <w:rFonts w:eastAsia="Times New Roman"/>
          <w:color w:val="000000"/>
          <w:sz w:val="20"/>
          <w:szCs w:val="20"/>
        </w:rPr>
        <w:t>Anti-money laundering</w:t>
      </w:r>
    </w:p>
    <w:p w14:paraId="19222618" w14:textId="77777777" w:rsidR="00000000" w:rsidRDefault="00405D16">
      <w:pPr>
        <w:jc w:val="both"/>
        <w:divId w:val="218786008"/>
        <w:rPr>
          <w:rFonts w:eastAsia="Times New Roman"/>
        </w:rPr>
      </w:pPr>
      <w:r>
        <w:rPr>
          <w:rFonts w:eastAsia="Times New Roman"/>
          <w:b/>
          <w:bCs/>
          <w:color w:val="000000"/>
          <w:sz w:val="20"/>
          <w:szCs w:val="20"/>
        </w:rPr>
        <w:t xml:space="preserve">ABS: </w:t>
      </w:r>
      <w:r>
        <w:rPr>
          <w:rFonts w:eastAsia="Times New Roman"/>
          <w:color w:val="000000"/>
          <w:sz w:val="20"/>
          <w:szCs w:val="20"/>
        </w:rPr>
        <w:t>Asset-backed securities</w:t>
      </w:r>
    </w:p>
    <w:p w14:paraId="4E1C2249" w14:textId="77777777" w:rsidR="00000000" w:rsidRDefault="00405D16">
      <w:pPr>
        <w:jc w:val="both"/>
        <w:divId w:val="1036195679"/>
        <w:rPr>
          <w:rFonts w:eastAsia="Times New Roman"/>
        </w:rPr>
      </w:pPr>
      <w:r>
        <w:rPr>
          <w:rFonts w:eastAsia="Times New Roman"/>
          <w:b/>
          <w:bCs/>
          <w:color w:val="000000"/>
          <w:sz w:val="20"/>
          <w:szCs w:val="20"/>
        </w:rPr>
        <w:t>AOCI:</w:t>
      </w:r>
      <w:r>
        <w:rPr>
          <w:rFonts w:eastAsia="Times New Roman"/>
          <w:color w:val="000000"/>
          <w:sz w:val="20"/>
          <w:szCs w:val="20"/>
        </w:rPr>
        <w:t xml:space="preserve"> </w:t>
      </w:r>
      <w:r>
        <w:rPr>
          <w:rFonts w:eastAsia="Times New Roman"/>
          <w:color w:val="000000"/>
          <w:sz w:val="20"/>
          <w:szCs w:val="20"/>
        </w:rPr>
        <w:t>Accumulated other comprehensive income</w:t>
      </w:r>
    </w:p>
    <w:p w14:paraId="285C33DF" w14:textId="77777777" w:rsidR="00000000" w:rsidRDefault="00405D16">
      <w:pPr>
        <w:jc w:val="both"/>
        <w:divId w:val="577330926"/>
        <w:rPr>
          <w:rFonts w:eastAsia="Times New Roman"/>
        </w:rPr>
      </w:pPr>
      <w:r>
        <w:rPr>
          <w:rFonts w:eastAsia="Times New Roman"/>
          <w:b/>
          <w:bCs/>
          <w:color w:val="000000"/>
          <w:sz w:val="20"/>
          <w:szCs w:val="20"/>
        </w:rPr>
        <w:t xml:space="preserve">ARRC: </w:t>
      </w:r>
      <w:r>
        <w:rPr>
          <w:rFonts w:eastAsia="Times New Roman"/>
          <w:color w:val="000000"/>
          <w:sz w:val="20"/>
          <w:szCs w:val="20"/>
        </w:rPr>
        <w:t>Alternative Reference Rates Committee</w:t>
      </w:r>
    </w:p>
    <w:p w14:paraId="743EB452" w14:textId="77777777" w:rsidR="00000000" w:rsidRDefault="00405D16">
      <w:pPr>
        <w:jc w:val="both"/>
        <w:divId w:val="1833182767"/>
        <w:rPr>
          <w:rFonts w:eastAsia="Times New Roman"/>
        </w:rPr>
      </w:pPr>
      <w:r>
        <w:rPr>
          <w:rFonts w:eastAsia="Times New Roman"/>
          <w:b/>
          <w:bCs/>
          <w:color w:val="000000"/>
          <w:sz w:val="20"/>
          <w:szCs w:val="20"/>
        </w:rPr>
        <w:t>ASU:</w:t>
      </w:r>
      <w:r>
        <w:rPr>
          <w:rFonts w:eastAsia="Times New Roman"/>
          <w:color w:val="000000"/>
          <w:sz w:val="20"/>
          <w:szCs w:val="20"/>
        </w:rPr>
        <w:t xml:space="preserve"> Accounting Standards Update</w:t>
      </w:r>
    </w:p>
    <w:p w14:paraId="2498A47A" w14:textId="77777777" w:rsidR="00000000" w:rsidRDefault="00405D16">
      <w:pPr>
        <w:jc w:val="both"/>
        <w:divId w:val="1914269832"/>
        <w:rPr>
          <w:rFonts w:eastAsia="Times New Roman"/>
        </w:rPr>
      </w:pPr>
      <w:r>
        <w:rPr>
          <w:rFonts w:eastAsia="Times New Roman"/>
          <w:b/>
          <w:bCs/>
          <w:color w:val="000000"/>
          <w:sz w:val="20"/>
          <w:szCs w:val="20"/>
        </w:rPr>
        <w:t>ASC:</w:t>
      </w:r>
      <w:r>
        <w:rPr>
          <w:rFonts w:eastAsia="Times New Roman"/>
          <w:color w:val="000000"/>
          <w:sz w:val="20"/>
          <w:szCs w:val="20"/>
        </w:rPr>
        <w:t xml:space="preserve"> Accounting Standards Codification</w:t>
      </w:r>
    </w:p>
    <w:p w14:paraId="0EEAAB5F" w14:textId="77777777" w:rsidR="00000000" w:rsidRDefault="00405D16">
      <w:pPr>
        <w:jc w:val="both"/>
        <w:divId w:val="1007709791"/>
        <w:rPr>
          <w:rFonts w:eastAsia="Times New Roman"/>
        </w:rPr>
      </w:pPr>
      <w:r>
        <w:rPr>
          <w:rFonts w:eastAsia="Times New Roman"/>
          <w:b/>
          <w:bCs/>
          <w:color w:val="000000"/>
          <w:sz w:val="20"/>
          <w:szCs w:val="20"/>
        </w:rPr>
        <w:t>ATM:</w:t>
      </w:r>
      <w:r>
        <w:rPr>
          <w:rFonts w:eastAsia="Times New Roman"/>
          <w:color w:val="000000"/>
          <w:sz w:val="20"/>
          <w:szCs w:val="20"/>
        </w:rPr>
        <w:t xml:space="preserve"> Automated teller machine</w:t>
      </w:r>
    </w:p>
    <w:p w14:paraId="5BBD2730" w14:textId="77777777" w:rsidR="00000000" w:rsidRDefault="00405D16">
      <w:pPr>
        <w:jc w:val="both"/>
        <w:divId w:val="1464889334"/>
        <w:rPr>
          <w:rFonts w:eastAsia="Times New Roman"/>
        </w:rPr>
      </w:pPr>
      <w:r>
        <w:rPr>
          <w:rFonts w:eastAsia="Times New Roman"/>
          <w:b/>
          <w:bCs/>
          <w:color w:val="000000"/>
          <w:sz w:val="20"/>
          <w:szCs w:val="20"/>
        </w:rPr>
        <w:t>BHC:</w:t>
      </w:r>
      <w:r>
        <w:rPr>
          <w:rFonts w:eastAsia="Times New Roman"/>
          <w:color w:val="000000"/>
          <w:sz w:val="20"/>
          <w:szCs w:val="20"/>
        </w:rPr>
        <w:t xml:space="preserve"> Bank holding company</w:t>
      </w:r>
    </w:p>
    <w:p w14:paraId="029547D0" w14:textId="77777777" w:rsidR="00000000" w:rsidRDefault="00405D16">
      <w:pPr>
        <w:jc w:val="both"/>
        <w:divId w:val="1533305450"/>
        <w:rPr>
          <w:rFonts w:eastAsia="Times New Roman"/>
        </w:rPr>
      </w:pPr>
      <w:r>
        <w:rPr>
          <w:rFonts w:eastAsia="Times New Roman"/>
          <w:b/>
          <w:bCs/>
          <w:color w:val="000000"/>
          <w:sz w:val="20"/>
          <w:szCs w:val="20"/>
        </w:rPr>
        <w:t>bps:</w:t>
      </w:r>
      <w:r>
        <w:rPr>
          <w:rFonts w:eastAsia="Times New Roman"/>
          <w:color w:val="000000"/>
          <w:sz w:val="20"/>
          <w:szCs w:val="20"/>
        </w:rPr>
        <w:t xml:space="preserve"> Basis points</w:t>
      </w:r>
    </w:p>
    <w:p w14:paraId="33F0B534" w14:textId="77777777" w:rsidR="00000000" w:rsidRDefault="00405D16">
      <w:pPr>
        <w:jc w:val="both"/>
        <w:divId w:val="680012764"/>
        <w:rPr>
          <w:rFonts w:eastAsia="Times New Roman"/>
        </w:rPr>
      </w:pPr>
      <w:r>
        <w:rPr>
          <w:rFonts w:eastAsia="Times New Roman"/>
          <w:b/>
          <w:bCs/>
          <w:color w:val="000000"/>
          <w:sz w:val="20"/>
          <w:szCs w:val="20"/>
        </w:rPr>
        <w:t xml:space="preserve">CAD: </w:t>
      </w:r>
      <w:r>
        <w:rPr>
          <w:rFonts w:eastAsia="Times New Roman"/>
          <w:color w:val="000000"/>
          <w:sz w:val="20"/>
          <w:szCs w:val="20"/>
        </w:rPr>
        <w:t>Canadian dollar</w:t>
      </w:r>
    </w:p>
    <w:p w14:paraId="3464600A" w14:textId="77777777" w:rsidR="00000000" w:rsidRDefault="00405D16">
      <w:pPr>
        <w:jc w:val="both"/>
        <w:divId w:val="848300089"/>
        <w:rPr>
          <w:rFonts w:eastAsia="Times New Roman"/>
        </w:rPr>
      </w:pPr>
      <w:r>
        <w:rPr>
          <w:rFonts w:eastAsia="Times New Roman"/>
          <w:b/>
          <w:bCs/>
          <w:color w:val="000000"/>
          <w:sz w:val="20"/>
          <w:szCs w:val="20"/>
        </w:rPr>
        <w:t>CARES:</w:t>
      </w:r>
      <w:r>
        <w:rPr>
          <w:rFonts w:eastAsia="Times New Roman"/>
          <w:b/>
          <w:bCs/>
          <w:color w:val="000000"/>
          <w:sz w:val="20"/>
          <w:szCs w:val="20"/>
        </w:rPr>
        <w:t xml:space="preserve"> </w:t>
      </w:r>
      <w:r>
        <w:rPr>
          <w:rFonts w:eastAsia="Times New Roman"/>
          <w:color w:val="000000"/>
          <w:sz w:val="20"/>
          <w:szCs w:val="20"/>
        </w:rPr>
        <w:t>Coronavirus Aid, Relief, and Economic Security</w:t>
      </w:r>
    </w:p>
    <w:p w14:paraId="09C52971" w14:textId="77777777" w:rsidR="00000000" w:rsidRDefault="00405D16">
      <w:pPr>
        <w:jc w:val="both"/>
        <w:divId w:val="1898394723"/>
        <w:rPr>
          <w:rFonts w:eastAsia="Times New Roman"/>
        </w:rPr>
      </w:pPr>
      <w:r>
        <w:rPr>
          <w:rFonts w:eastAsia="Times New Roman"/>
          <w:b/>
          <w:bCs/>
          <w:color w:val="000000"/>
          <w:sz w:val="20"/>
          <w:szCs w:val="20"/>
        </w:rPr>
        <w:t xml:space="preserve">CCAR: </w:t>
      </w:r>
      <w:r>
        <w:rPr>
          <w:rFonts w:eastAsia="Times New Roman"/>
          <w:color w:val="000000"/>
          <w:sz w:val="20"/>
          <w:szCs w:val="20"/>
        </w:rPr>
        <w:t>Comprehensive Capital Analysis and Review</w:t>
      </w:r>
    </w:p>
    <w:p w14:paraId="6BD3844D" w14:textId="77777777" w:rsidR="00000000" w:rsidRDefault="00405D16">
      <w:pPr>
        <w:jc w:val="both"/>
        <w:divId w:val="1332609413"/>
        <w:rPr>
          <w:rFonts w:eastAsia="Times New Roman"/>
        </w:rPr>
      </w:pPr>
      <w:r>
        <w:rPr>
          <w:rFonts w:eastAsia="Times New Roman"/>
          <w:b/>
          <w:bCs/>
          <w:color w:val="000000"/>
          <w:sz w:val="20"/>
          <w:szCs w:val="20"/>
        </w:rPr>
        <w:t>CCP:</w:t>
      </w:r>
      <w:r>
        <w:rPr>
          <w:rFonts w:eastAsia="Times New Roman"/>
          <w:color w:val="000000"/>
          <w:sz w:val="20"/>
          <w:szCs w:val="20"/>
        </w:rPr>
        <w:t xml:space="preserve"> Central Counterparty Clearinghouse, or Central Clearinghouse</w:t>
      </w:r>
    </w:p>
    <w:p w14:paraId="2C877D47" w14:textId="77777777" w:rsidR="00000000" w:rsidRDefault="00405D16">
      <w:pPr>
        <w:jc w:val="both"/>
        <w:divId w:val="1098870850"/>
        <w:rPr>
          <w:rFonts w:eastAsia="Times New Roman"/>
        </w:rPr>
      </w:pPr>
      <w:r>
        <w:rPr>
          <w:rFonts w:eastAsia="Times New Roman"/>
          <w:b/>
          <w:bCs/>
          <w:color w:val="000000"/>
          <w:sz w:val="20"/>
          <w:szCs w:val="20"/>
        </w:rPr>
        <w:t>CDE:</w:t>
      </w:r>
      <w:r>
        <w:rPr>
          <w:rFonts w:eastAsia="Times New Roman"/>
          <w:color w:val="000000"/>
          <w:sz w:val="20"/>
          <w:szCs w:val="20"/>
        </w:rPr>
        <w:t xml:space="preserve"> Community development entities </w:t>
      </w:r>
    </w:p>
    <w:p w14:paraId="64DDD7A5" w14:textId="77777777" w:rsidR="00000000" w:rsidRDefault="00405D16">
      <w:pPr>
        <w:jc w:val="both"/>
        <w:divId w:val="1187938165"/>
        <w:rPr>
          <w:rFonts w:eastAsia="Times New Roman"/>
        </w:rPr>
      </w:pPr>
      <w:r>
        <w:rPr>
          <w:rFonts w:eastAsia="Times New Roman"/>
          <w:b/>
          <w:bCs/>
          <w:color w:val="000000"/>
          <w:sz w:val="20"/>
          <w:szCs w:val="20"/>
        </w:rPr>
        <w:t xml:space="preserve">CECL: </w:t>
      </w:r>
      <w:r>
        <w:rPr>
          <w:rFonts w:eastAsia="Times New Roman"/>
          <w:color w:val="000000"/>
          <w:sz w:val="20"/>
          <w:szCs w:val="20"/>
        </w:rPr>
        <w:t>Current expected credit loss</w:t>
      </w:r>
    </w:p>
    <w:p w14:paraId="2DA6C064" w14:textId="77777777" w:rsidR="00000000" w:rsidRDefault="00405D16">
      <w:pPr>
        <w:jc w:val="both"/>
        <w:divId w:val="1534073286"/>
        <w:rPr>
          <w:rFonts w:eastAsia="Times New Roman"/>
        </w:rPr>
      </w:pPr>
      <w:r>
        <w:rPr>
          <w:rFonts w:eastAsia="Times New Roman"/>
          <w:b/>
          <w:bCs/>
          <w:color w:val="000000"/>
          <w:sz w:val="20"/>
          <w:szCs w:val="20"/>
        </w:rPr>
        <w:t xml:space="preserve">CET1: </w:t>
      </w:r>
      <w:r>
        <w:rPr>
          <w:rFonts w:eastAsia="Times New Roman"/>
          <w:color w:val="000000"/>
          <w:sz w:val="20"/>
          <w:szCs w:val="20"/>
        </w:rPr>
        <w:t>Common equity Ti</w:t>
      </w:r>
      <w:r>
        <w:rPr>
          <w:rFonts w:eastAsia="Times New Roman"/>
          <w:color w:val="000000"/>
          <w:sz w:val="20"/>
          <w:szCs w:val="20"/>
        </w:rPr>
        <w:t>er 1 capital</w:t>
      </w:r>
    </w:p>
    <w:p w14:paraId="712F81EF" w14:textId="77777777" w:rsidR="00000000" w:rsidRDefault="00405D16">
      <w:pPr>
        <w:jc w:val="both"/>
        <w:divId w:val="1099914462"/>
        <w:rPr>
          <w:rFonts w:eastAsia="Times New Roman"/>
        </w:rPr>
      </w:pPr>
      <w:r>
        <w:rPr>
          <w:rFonts w:eastAsia="Times New Roman"/>
          <w:b/>
          <w:bCs/>
          <w:color w:val="000000"/>
          <w:sz w:val="20"/>
          <w:szCs w:val="20"/>
        </w:rPr>
        <w:t xml:space="preserve">CMBS: </w:t>
      </w:r>
      <w:r>
        <w:rPr>
          <w:rFonts w:eastAsia="Times New Roman"/>
          <w:color w:val="000000"/>
          <w:sz w:val="20"/>
          <w:szCs w:val="20"/>
        </w:rPr>
        <w:t>Commercial mortgage-backed securities</w:t>
      </w:r>
    </w:p>
    <w:p w14:paraId="4698A436" w14:textId="77777777" w:rsidR="00000000" w:rsidRDefault="00405D16">
      <w:pPr>
        <w:jc w:val="both"/>
        <w:divId w:val="1206715672"/>
        <w:rPr>
          <w:rFonts w:eastAsia="Times New Roman"/>
        </w:rPr>
      </w:pPr>
      <w:r>
        <w:rPr>
          <w:rFonts w:eastAsia="Times New Roman"/>
          <w:b/>
          <w:bCs/>
          <w:color w:val="000000"/>
          <w:sz w:val="20"/>
          <w:szCs w:val="20"/>
        </w:rPr>
        <w:t>CME:</w:t>
      </w:r>
      <w:r>
        <w:rPr>
          <w:rFonts w:eastAsia="Times New Roman"/>
          <w:color w:val="000000"/>
          <w:sz w:val="20"/>
          <w:szCs w:val="20"/>
        </w:rPr>
        <w:t xml:space="preserve"> Chicago Mercantile Exchange</w:t>
      </w:r>
    </w:p>
    <w:p w14:paraId="68E08528" w14:textId="77777777" w:rsidR="00000000" w:rsidRDefault="00405D16">
      <w:pPr>
        <w:jc w:val="both"/>
        <w:divId w:val="1961720123"/>
        <w:rPr>
          <w:rFonts w:eastAsia="Times New Roman"/>
        </w:rPr>
      </w:pPr>
      <w:r>
        <w:rPr>
          <w:rFonts w:eastAsia="Times New Roman"/>
          <w:b/>
          <w:bCs/>
          <w:color w:val="000000"/>
          <w:sz w:val="20"/>
          <w:szCs w:val="20"/>
        </w:rPr>
        <w:t>COEP:</w:t>
      </w:r>
      <w:r>
        <w:rPr>
          <w:rFonts w:eastAsia="Times New Roman"/>
          <w:color w:val="000000"/>
          <w:sz w:val="20"/>
          <w:szCs w:val="20"/>
        </w:rPr>
        <w:t xml:space="preserve"> Capital One (Europe) plc</w:t>
      </w:r>
    </w:p>
    <w:p w14:paraId="08612BB2" w14:textId="77777777" w:rsidR="00000000" w:rsidRDefault="00405D16">
      <w:pPr>
        <w:jc w:val="both"/>
        <w:divId w:val="2020347945"/>
        <w:rPr>
          <w:rFonts w:eastAsia="Times New Roman"/>
        </w:rPr>
      </w:pPr>
      <w:r>
        <w:rPr>
          <w:rFonts w:eastAsia="Times New Roman"/>
          <w:b/>
          <w:bCs/>
          <w:color w:val="000000"/>
          <w:sz w:val="20"/>
          <w:szCs w:val="20"/>
        </w:rPr>
        <w:t>COF:</w:t>
      </w:r>
      <w:r>
        <w:rPr>
          <w:rFonts w:eastAsia="Times New Roman"/>
          <w:color w:val="000000"/>
          <w:sz w:val="20"/>
          <w:szCs w:val="20"/>
        </w:rPr>
        <w:t xml:space="preserve"> Capital One Financial Corporation</w:t>
      </w:r>
    </w:p>
    <w:p w14:paraId="12D60F2D" w14:textId="77777777" w:rsidR="00000000" w:rsidRDefault="00405D16">
      <w:pPr>
        <w:jc w:val="both"/>
        <w:divId w:val="192574617"/>
        <w:rPr>
          <w:rFonts w:eastAsia="Times New Roman"/>
        </w:rPr>
      </w:pPr>
      <w:r>
        <w:rPr>
          <w:rFonts w:eastAsia="Times New Roman"/>
          <w:b/>
          <w:bCs/>
          <w:color w:val="000000"/>
          <w:sz w:val="20"/>
          <w:szCs w:val="20"/>
        </w:rPr>
        <w:t xml:space="preserve">COVID-19: </w:t>
      </w:r>
      <w:r>
        <w:rPr>
          <w:rFonts w:eastAsia="Times New Roman"/>
          <w:color w:val="000000"/>
          <w:sz w:val="20"/>
          <w:szCs w:val="20"/>
        </w:rPr>
        <w:t>Coronavirus disease of 2019</w:t>
      </w:r>
    </w:p>
    <w:p w14:paraId="3910FE13" w14:textId="77777777" w:rsidR="00000000" w:rsidRDefault="00405D16">
      <w:pPr>
        <w:jc w:val="both"/>
        <w:divId w:val="1122962398"/>
        <w:rPr>
          <w:rFonts w:eastAsia="Times New Roman"/>
        </w:rPr>
      </w:pPr>
      <w:r>
        <w:rPr>
          <w:rFonts w:eastAsia="Times New Roman"/>
          <w:b/>
          <w:bCs/>
          <w:color w:val="000000"/>
          <w:sz w:val="20"/>
          <w:szCs w:val="20"/>
        </w:rPr>
        <w:t xml:space="preserve">CVA: </w:t>
      </w:r>
      <w:r>
        <w:rPr>
          <w:rFonts w:eastAsia="Times New Roman"/>
          <w:color w:val="000000"/>
          <w:sz w:val="20"/>
          <w:szCs w:val="20"/>
        </w:rPr>
        <w:t>Credit valuation adjustment</w:t>
      </w:r>
    </w:p>
    <w:p w14:paraId="5BEFF8BD" w14:textId="77777777" w:rsidR="00000000" w:rsidRDefault="00405D16">
      <w:pPr>
        <w:jc w:val="both"/>
        <w:divId w:val="1071738403"/>
        <w:rPr>
          <w:rFonts w:eastAsia="Times New Roman"/>
        </w:rPr>
      </w:pPr>
      <w:r>
        <w:rPr>
          <w:rFonts w:eastAsia="Times New Roman"/>
          <w:b/>
          <w:bCs/>
          <w:color w:val="000000"/>
          <w:sz w:val="20"/>
          <w:szCs w:val="20"/>
        </w:rPr>
        <w:t xml:space="preserve">DVA: </w:t>
      </w:r>
      <w:r>
        <w:rPr>
          <w:rFonts w:eastAsia="Times New Roman"/>
          <w:color w:val="000000"/>
          <w:sz w:val="20"/>
          <w:szCs w:val="20"/>
        </w:rPr>
        <w:t>Debit valuation adjustment</w:t>
      </w:r>
    </w:p>
    <w:p w14:paraId="202662B3" w14:textId="77777777" w:rsidR="00000000" w:rsidRDefault="00405D16">
      <w:pPr>
        <w:jc w:val="both"/>
        <w:divId w:val="1534995594"/>
        <w:rPr>
          <w:rFonts w:eastAsia="Times New Roman"/>
        </w:rPr>
      </w:pPr>
      <w:r>
        <w:rPr>
          <w:rFonts w:eastAsia="Times New Roman"/>
          <w:b/>
          <w:bCs/>
          <w:color w:val="000000"/>
          <w:sz w:val="20"/>
          <w:szCs w:val="20"/>
        </w:rPr>
        <w:t>EUR:</w:t>
      </w:r>
      <w:r>
        <w:rPr>
          <w:rFonts w:eastAsia="Times New Roman"/>
          <w:color w:val="000000"/>
          <w:sz w:val="20"/>
          <w:szCs w:val="20"/>
        </w:rPr>
        <w:t xml:space="preserve"> Euro</w:t>
      </w:r>
    </w:p>
    <w:p w14:paraId="7BA5200D" w14:textId="77777777" w:rsidR="00000000" w:rsidRDefault="00405D16">
      <w:pPr>
        <w:jc w:val="both"/>
        <w:divId w:val="889151756"/>
        <w:rPr>
          <w:rFonts w:eastAsia="Times New Roman"/>
        </w:rPr>
      </w:pPr>
      <w:r>
        <w:rPr>
          <w:rFonts w:eastAsia="Times New Roman"/>
          <w:b/>
          <w:bCs/>
          <w:color w:val="000000"/>
          <w:sz w:val="20"/>
          <w:szCs w:val="20"/>
        </w:rPr>
        <w:t xml:space="preserve">Fannie Mae: </w:t>
      </w:r>
      <w:r>
        <w:rPr>
          <w:rFonts w:eastAsia="Times New Roman"/>
          <w:color w:val="000000"/>
          <w:sz w:val="20"/>
          <w:szCs w:val="20"/>
        </w:rPr>
        <w:t>Federal National Mortgage Association</w:t>
      </w:r>
    </w:p>
    <w:p w14:paraId="08CB8751" w14:textId="77777777" w:rsidR="00000000" w:rsidRDefault="00405D16">
      <w:pPr>
        <w:jc w:val="both"/>
        <w:divId w:val="489642714"/>
        <w:rPr>
          <w:rFonts w:eastAsia="Times New Roman"/>
        </w:rPr>
      </w:pPr>
      <w:r>
        <w:rPr>
          <w:rFonts w:eastAsia="Times New Roman"/>
          <w:b/>
          <w:bCs/>
          <w:color w:val="000000"/>
          <w:sz w:val="20"/>
          <w:szCs w:val="20"/>
        </w:rPr>
        <w:t>FASB:</w:t>
      </w:r>
      <w:r>
        <w:rPr>
          <w:rFonts w:eastAsia="Times New Roman"/>
          <w:color w:val="000000"/>
          <w:sz w:val="20"/>
          <w:szCs w:val="20"/>
        </w:rPr>
        <w:t xml:space="preserve"> Financial Accounting Standards Board</w:t>
      </w:r>
    </w:p>
    <w:p w14:paraId="0312D3D2" w14:textId="77777777" w:rsidR="00000000" w:rsidRDefault="00405D16">
      <w:pPr>
        <w:jc w:val="both"/>
        <w:divId w:val="2089376281"/>
        <w:rPr>
          <w:rFonts w:eastAsia="Times New Roman"/>
        </w:rPr>
      </w:pPr>
      <w:r>
        <w:rPr>
          <w:rFonts w:eastAsia="Times New Roman"/>
          <w:b/>
          <w:bCs/>
          <w:color w:val="000000"/>
          <w:sz w:val="20"/>
          <w:szCs w:val="20"/>
        </w:rPr>
        <w:t xml:space="preserve">FCA: </w:t>
      </w:r>
      <w:r>
        <w:rPr>
          <w:rFonts w:eastAsia="Times New Roman"/>
          <w:color w:val="000000"/>
          <w:sz w:val="20"/>
          <w:szCs w:val="20"/>
        </w:rPr>
        <w:t>U.K. Financial Conduct Authority</w:t>
      </w:r>
    </w:p>
    <w:p w14:paraId="0454C4E8" w14:textId="77777777" w:rsidR="00000000" w:rsidRDefault="00405D16">
      <w:pPr>
        <w:jc w:val="both"/>
        <w:divId w:val="620495767"/>
        <w:rPr>
          <w:rFonts w:eastAsia="Times New Roman"/>
        </w:rPr>
      </w:pPr>
      <w:r>
        <w:rPr>
          <w:rFonts w:eastAsia="Times New Roman"/>
          <w:b/>
          <w:bCs/>
          <w:color w:val="000000"/>
          <w:sz w:val="20"/>
          <w:szCs w:val="20"/>
        </w:rPr>
        <w:t>FCM:</w:t>
      </w:r>
      <w:r>
        <w:rPr>
          <w:rFonts w:eastAsia="Times New Roman"/>
          <w:color w:val="000000"/>
          <w:sz w:val="20"/>
          <w:szCs w:val="20"/>
        </w:rPr>
        <w:t xml:space="preserve"> Futures commission merchant</w:t>
      </w:r>
    </w:p>
    <w:p w14:paraId="4312B2CD" w14:textId="77777777" w:rsidR="00000000" w:rsidRDefault="00405D16">
      <w:pPr>
        <w:jc w:val="both"/>
        <w:divId w:val="1272591426"/>
        <w:rPr>
          <w:rFonts w:eastAsia="Times New Roman"/>
        </w:rPr>
      </w:pPr>
      <w:r>
        <w:rPr>
          <w:rFonts w:eastAsia="Times New Roman"/>
          <w:b/>
          <w:bCs/>
          <w:color w:val="000000"/>
          <w:sz w:val="20"/>
          <w:szCs w:val="20"/>
        </w:rPr>
        <w:t>FDIC:</w:t>
      </w:r>
      <w:r>
        <w:rPr>
          <w:rFonts w:eastAsia="Times New Roman"/>
          <w:color w:val="000000"/>
          <w:sz w:val="20"/>
          <w:szCs w:val="20"/>
        </w:rPr>
        <w:t xml:space="preserve"> Federal Deposit Insurance Corporation</w:t>
      </w:r>
    </w:p>
    <w:p w14:paraId="3F624DFC" w14:textId="77777777" w:rsidR="00000000" w:rsidRDefault="00405D16">
      <w:pPr>
        <w:jc w:val="both"/>
        <w:divId w:val="1754889245"/>
        <w:rPr>
          <w:rFonts w:eastAsia="Times New Roman"/>
        </w:rPr>
      </w:pPr>
      <w:r>
        <w:rPr>
          <w:rFonts w:eastAsia="Times New Roman"/>
          <w:b/>
          <w:bCs/>
          <w:color w:val="000000"/>
          <w:sz w:val="20"/>
          <w:szCs w:val="20"/>
        </w:rPr>
        <w:t xml:space="preserve">FHLB: </w:t>
      </w:r>
      <w:r>
        <w:rPr>
          <w:rFonts w:eastAsia="Times New Roman"/>
          <w:color w:val="000000"/>
          <w:sz w:val="20"/>
          <w:szCs w:val="20"/>
        </w:rPr>
        <w:t>Federal Home Loan Banks</w:t>
      </w:r>
    </w:p>
    <w:p w14:paraId="3956A034" w14:textId="77777777" w:rsidR="00000000" w:rsidRDefault="00405D16">
      <w:pPr>
        <w:jc w:val="both"/>
        <w:divId w:val="403182279"/>
        <w:rPr>
          <w:rFonts w:eastAsia="Times New Roman"/>
        </w:rPr>
      </w:pPr>
      <w:r>
        <w:rPr>
          <w:rFonts w:eastAsia="Times New Roman"/>
          <w:b/>
          <w:bCs/>
          <w:color w:val="000000"/>
          <w:sz w:val="20"/>
          <w:szCs w:val="20"/>
        </w:rPr>
        <w:t xml:space="preserve">Fitch: </w:t>
      </w:r>
      <w:r>
        <w:rPr>
          <w:rFonts w:eastAsia="Times New Roman"/>
          <w:color w:val="000000"/>
          <w:sz w:val="20"/>
          <w:szCs w:val="20"/>
        </w:rPr>
        <w:t>Fitch Ratings</w:t>
      </w:r>
    </w:p>
    <w:p w14:paraId="4B4CB4B2" w14:textId="77777777" w:rsidR="00000000" w:rsidRDefault="00405D16">
      <w:pPr>
        <w:jc w:val="both"/>
        <w:divId w:val="1846246567"/>
        <w:rPr>
          <w:rFonts w:eastAsia="Times New Roman"/>
        </w:rPr>
      </w:pPr>
      <w:r>
        <w:rPr>
          <w:rFonts w:eastAsia="Times New Roman"/>
          <w:b/>
          <w:bCs/>
          <w:color w:val="000000"/>
          <w:sz w:val="20"/>
          <w:szCs w:val="20"/>
        </w:rPr>
        <w:t xml:space="preserve">FOS: </w:t>
      </w:r>
      <w:r>
        <w:rPr>
          <w:rFonts w:eastAsia="Times New Roman"/>
          <w:color w:val="000000"/>
          <w:sz w:val="20"/>
          <w:szCs w:val="20"/>
        </w:rPr>
        <w:t>Financial Ombudsman Service</w:t>
      </w:r>
    </w:p>
    <w:p w14:paraId="58BCE748" w14:textId="77777777" w:rsidR="00000000" w:rsidRDefault="00405D16">
      <w:pPr>
        <w:jc w:val="both"/>
        <w:divId w:val="896433814"/>
        <w:rPr>
          <w:rFonts w:eastAsia="Times New Roman"/>
        </w:rPr>
      </w:pPr>
      <w:r>
        <w:rPr>
          <w:rFonts w:eastAsia="Times New Roman"/>
          <w:b/>
          <w:bCs/>
          <w:color w:val="000000"/>
          <w:sz w:val="20"/>
          <w:szCs w:val="20"/>
        </w:rPr>
        <w:t>Freddie Mac:</w:t>
      </w:r>
      <w:r>
        <w:rPr>
          <w:rFonts w:ascii="Arial" w:eastAsia="Times New Roman" w:hAnsi="Arial" w:cs="Arial"/>
          <w:color w:val="000000"/>
          <w:sz w:val="20"/>
          <w:szCs w:val="20"/>
        </w:rPr>
        <w:t xml:space="preserve"> </w:t>
      </w:r>
      <w:r>
        <w:rPr>
          <w:rFonts w:eastAsia="Times New Roman"/>
          <w:color w:val="000000"/>
          <w:sz w:val="20"/>
          <w:szCs w:val="20"/>
        </w:rPr>
        <w:t>Federal Home Loan Mortgage Corporation</w:t>
      </w:r>
    </w:p>
    <w:p w14:paraId="62018E18" w14:textId="77777777" w:rsidR="00000000" w:rsidRDefault="00405D16">
      <w:pPr>
        <w:jc w:val="both"/>
        <w:divId w:val="1865828793"/>
        <w:rPr>
          <w:rFonts w:eastAsia="Times New Roman"/>
        </w:rPr>
      </w:pPr>
      <w:r>
        <w:rPr>
          <w:rFonts w:eastAsia="Times New Roman"/>
          <w:b/>
          <w:bCs/>
          <w:color w:val="000000"/>
          <w:sz w:val="20"/>
          <w:szCs w:val="20"/>
        </w:rPr>
        <w:t xml:space="preserve">GAAP: </w:t>
      </w:r>
      <w:r>
        <w:rPr>
          <w:rFonts w:eastAsia="Times New Roman"/>
          <w:color w:val="000000"/>
          <w:sz w:val="20"/>
          <w:szCs w:val="20"/>
        </w:rPr>
        <w:t>Generally accepted accounting principles in the U.S.</w:t>
      </w:r>
    </w:p>
    <w:p w14:paraId="70B51FDC" w14:textId="77777777" w:rsidR="00000000" w:rsidRDefault="00405D16">
      <w:pPr>
        <w:jc w:val="both"/>
        <w:divId w:val="1522936090"/>
        <w:rPr>
          <w:rFonts w:eastAsia="Times New Roman"/>
        </w:rPr>
      </w:pPr>
      <w:r>
        <w:rPr>
          <w:rFonts w:eastAsia="Times New Roman"/>
          <w:b/>
          <w:bCs/>
          <w:color w:val="000000"/>
          <w:sz w:val="20"/>
          <w:szCs w:val="20"/>
        </w:rPr>
        <w:t xml:space="preserve">GBP: </w:t>
      </w:r>
      <w:r>
        <w:rPr>
          <w:rFonts w:eastAsia="Times New Roman"/>
          <w:color w:val="000000"/>
          <w:sz w:val="20"/>
          <w:szCs w:val="20"/>
        </w:rPr>
        <w:t>Pound sterling</w:t>
      </w:r>
    </w:p>
    <w:p w14:paraId="6F941F66" w14:textId="77777777" w:rsidR="00000000" w:rsidRDefault="00405D16">
      <w:pPr>
        <w:jc w:val="both"/>
        <w:divId w:val="1871146042"/>
        <w:rPr>
          <w:rFonts w:eastAsia="Times New Roman"/>
        </w:rPr>
      </w:pPr>
      <w:r>
        <w:rPr>
          <w:rFonts w:eastAsia="Times New Roman"/>
          <w:b/>
          <w:bCs/>
          <w:color w:val="000000"/>
          <w:sz w:val="20"/>
          <w:szCs w:val="20"/>
        </w:rPr>
        <w:t>Ginnie Mae:</w:t>
      </w:r>
      <w:r>
        <w:rPr>
          <w:rFonts w:ascii="Arial" w:eastAsia="Times New Roman" w:hAnsi="Arial" w:cs="Arial"/>
          <w:color w:val="000000"/>
          <w:sz w:val="20"/>
          <w:szCs w:val="20"/>
        </w:rPr>
        <w:t xml:space="preserve"> </w:t>
      </w:r>
      <w:r>
        <w:rPr>
          <w:rFonts w:eastAsia="Times New Roman"/>
          <w:color w:val="000000"/>
          <w:sz w:val="20"/>
          <w:szCs w:val="20"/>
        </w:rPr>
        <w:t>Government National Mortgage Associ</w:t>
      </w:r>
      <w:r>
        <w:rPr>
          <w:rFonts w:eastAsia="Times New Roman"/>
          <w:color w:val="000000"/>
          <w:sz w:val="20"/>
          <w:szCs w:val="20"/>
        </w:rPr>
        <w:t>ation</w:t>
      </w:r>
    </w:p>
    <w:p w14:paraId="20857C39" w14:textId="77777777" w:rsidR="00000000" w:rsidRDefault="00405D16">
      <w:pPr>
        <w:jc w:val="both"/>
        <w:divId w:val="449323081"/>
        <w:rPr>
          <w:rFonts w:eastAsia="Times New Roman"/>
        </w:rPr>
      </w:pPr>
      <w:r>
        <w:rPr>
          <w:rFonts w:eastAsia="Times New Roman"/>
          <w:b/>
          <w:bCs/>
          <w:color w:val="000000"/>
          <w:sz w:val="20"/>
          <w:szCs w:val="20"/>
        </w:rPr>
        <w:t>G-SIB:</w:t>
      </w:r>
      <w:r>
        <w:rPr>
          <w:rFonts w:ascii="Arial" w:eastAsia="Times New Roman" w:hAnsi="Arial" w:cs="Arial"/>
          <w:color w:val="000000"/>
          <w:sz w:val="20"/>
          <w:szCs w:val="20"/>
        </w:rPr>
        <w:t xml:space="preserve"> </w:t>
      </w:r>
      <w:r>
        <w:rPr>
          <w:rFonts w:eastAsia="Times New Roman"/>
          <w:color w:val="000000"/>
          <w:sz w:val="20"/>
          <w:szCs w:val="20"/>
        </w:rPr>
        <w:t>Global systemically important banks</w:t>
      </w:r>
    </w:p>
    <w:p w14:paraId="3BFB6D66" w14:textId="77777777" w:rsidR="00000000" w:rsidRDefault="00405D16">
      <w:pPr>
        <w:jc w:val="both"/>
        <w:divId w:val="304819471"/>
        <w:rPr>
          <w:rFonts w:eastAsia="Times New Roman"/>
        </w:rPr>
      </w:pPr>
      <w:r>
        <w:rPr>
          <w:rFonts w:eastAsia="Times New Roman"/>
          <w:b/>
          <w:bCs/>
          <w:color w:val="000000"/>
          <w:sz w:val="20"/>
          <w:szCs w:val="20"/>
        </w:rPr>
        <w:t xml:space="preserve">GSE </w:t>
      </w:r>
      <w:r>
        <w:rPr>
          <w:rFonts w:eastAsia="Times New Roman"/>
          <w:color w:val="000000"/>
          <w:sz w:val="20"/>
          <w:szCs w:val="20"/>
        </w:rPr>
        <w:t>or</w:t>
      </w:r>
      <w:r>
        <w:rPr>
          <w:rFonts w:eastAsia="Times New Roman"/>
          <w:b/>
          <w:bCs/>
          <w:color w:val="000000"/>
          <w:sz w:val="20"/>
          <w:szCs w:val="20"/>
        </w:rPr>
        <w:t xml:space="preserve"> Agency:</w:t>
      </w:r>
      <w:r>
        <w:rPr>
          <w:rFonts w:eastAsia="Times New Roman"/>
          <w:color w:val="000000"/>
          <w:sz w:val="20"/>
          <w:szCs w:val="20"/>
        </w:rPr>
        <w:t xml:space="preserve"> Government-sponsored enterprise</w:t>
      </w:r>
    </w:p>
    <w:p w14:paraId="37A0C1F7" w14:textId="77777777" w:rsidR="00000000" w:rsidRDefault="00405D16">
      <w:pPr>
        <w:jc w:val="both"/>
        <w:divId w:val="785655085"/>
        <w:rPr>
          <w:rFonts w:eastAsia="Times New Roman"/>
        </w:rPr>
      </w:pPr>
      <w:r>
        <w:rPr>
          <w:rFonts w:eastAsia="Times New Roman"/>
          <w:b/>
          <w:bCs/>
          <w:color w:val="000000"/>
          <w:sz w:val="20"/>
          <w:szCs w:val="20"/>
        </w:rPr>
        <w:t>IBA</w:t>
      </w:r>
      <w:r>
        <w:rPr>
          <w:rFonts w:eastAsia="Times New Roman"/>
          <w:color w:val="000000"/>
          <w:sz w:val="20"/>
          <w:szCs w:val="20"/>
        </w:rPr>
        <w:t>: ICE Benchmark Administration </w:t>
      </w:r>
    </w:p>
    <w:p w14:paraId="2D3DE764" w14:textId="77777777" w:rsidR="00000000" w:rsidRDefault="00405D16">
      <w:pPr>
        <w:jc w:val="both"/>
        <w:divId w:val="1311521444"/>
        <w:rPr>
          <w:rFonts w:eastAsia="Times New Roman"/>
        </w:rPr>
      </w:pPr>
      <w:r>
        <w:rPr>
          <w:rFonts w:eastAsia="Times New Roman"/>
          <w:b/>
          <w:bCs/>
          <w:color w:val="000000"/>
          <w:sz w:val="20"/>
          <w:szCs w:val="20"/>
        </w:rPr>
        <w:t>IBOR</w:t>
      </w:r>
      <w:r>
        <w:rPr>
          <w:rFonts w:eastAsia="Times New Roman"/>
          <w:color w:val="000000"/>
          <w:sz w:val="20"/>
          <w:szCs w:val="20"/>
        </w:rPr>
        <w:t>: Interbank Offered Rate</w:t>
      </w:r>
    </w:p>
    <w:p w14:paraId="3AE2A5D2" w14:textId="77777777" w:rsidR="00000000" w:rsidRDefault="00405D16">
      <w:pPr>
        <w:jc w:val="both"/>
        <w:divId w:val="887759436"/>
        <w:rPr>
          <w:rFonts w:eastAsia="Times New Roman"/>
        </w:rPr>
      </w:pPr>
      <w:r>
        <w:rPr>
          <w:rFonts w:eastAsia="Times New Roman"/>
          <w:b/>
          <w:bCs/>
          <w:color w:val="000000"/>
          <w:sz w:val="20"/>
          <w:szCs w:val="20"/>
        </w:rPr>
        <w:t>IRM:</w:t>
      </w:r>
      <w:r>
        <w:rPr>
          <w:rFonts w:eastAsia="Times New Roman"/>
          <w:color w:val="000000"/>
          <w:sz w:val="20"/>
          <w:szCs w:val="20"/>
        </w:rPr>
        <w:t xml:space="preserve"> Independent Risk Management</w:t>
      </w:r>
    </w:p>
    <w:p w14:paraId="24002F80" w14:textId="77777777" w:rsidR="00000000" w:rsidRDefault="00405D16">
      <w:pPr>
        <w:jc w:val="both"/>
        <w:divId w:val="1118841808"/>
        <w:rPr>
          <w:rFonts w:eastAsia="Times New Roman"/>
        </w:rPr>
      </w:pPr>
      <w:r>
        <w:rPr>
          <w:rFonts w:eastAsia="Times New Roman"/>
          <w:b/>
          <w:bCs/>
          <w:color w:val="000000"/>
          <w:sz w:val="20"/>
          <w:szCs w:val="20"/>
        </w:rPr>
        <w:t>LCH:</w:t>
      </w:r>
      <w:r>
        <w:rPr>
          <w:rFonts w:eastAsia="Times New Roman"/>
          <w:color w:val="000000"/>
          <w:sz w:val="20"/>
          <w:szCs w:val="20"/>
        </w:rPr>
        <w:t xml:space="preserve"> LCH Group</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34820EC3" w14:textId="77777777">
        <w:trPr>
          <w:divId w:val="1515655471"/>
          <w:jc w:val="center"/>
        </w:trPr>
        <w:tc>
          <w:tcPr>
            <w:tcW w:w="50" w:type="pct"/>
            <w:vAlign w:val="center"/>
            <w:hideMark/>
          </w:tcPr>
          <w:p w14:paraId="362AFC8B" w14:textId="77777777" w:rsidR="00000000" w:rsidRDefault="00405D16">
            <w:pPr>
              <w:jc w:val="both"/>
              <w:rPr>
                <w:rFonts w:eastAsia="Times New Roman"/>
              </w:rPr>
            </w:pPr>
          </w:p>
        </w:tc>
        <w:tc>
          <w:tcPr>
            <w:tcW w:w="1606" w:type="pct"/>
            <w:vAlign w:val="center"/>
            <w:hideMark/>
          </w:tcPr>
          <w:p w14:paraId="2A273F6F" w14:textId="77777777" w:rsidR="00000000" w:rsidRDefault="00405D16">
            <w:pPr>
              <w:spacing w:after="100"/>
              <w:rPr>
                <w:rFonts w:eastAsia="Times New Roman"/>
                <w:sz w:val="20"/>
                <w:szCs w:val="20"/>
              </w:rPr>
            </w:pPr>
          </w:p>
        </w:tc>
        <w:tc>
          <w:tcPr>
            <w:tcW w:w="5" w:type="pct"/>
            <w:vAlign w:val="center"/>
            <w:hideMark/>
          </w:tcPr>
          <w:p w14:paraId="3EB93E1F" w14:textId="77777777" w:rsidR="00000000" w:rsidRDefault="00405D16">
            <w:pPr>
              <w:spacing w:after="100"/>
              <w:rPr>
                <w:rFonts w:eastAsia="Times New Roman"/>
                <w:sz w:val="20"/>
                <w:szCs w:val="20"/>
              </w:rPr>
            </w:pPr>
          </w:p>
        </w:tc>
        <w:tc>
          <w:tcPr>
            <w:tcW w:w="50" w:type="pct"/>
            <w:vAlign w:val="center"/>
            <w:hideMark/>
          </w:tcPr>
          <w:p w14:paraId="6390F8F6" w14:textId="77777777" w:rsidR="00000000" w:rsidRDefault="00405D16">
            <w:pPr>
              <w:spacing w:after="100"/>
              <w:rPr>
                <w:rFonts w:eastAsia="Times New Roman"/>
                <w:sz w:val="20"/>
                <w:szCs w:val="20"/>
              </w:rPr>
            </w:pPr>
          </w:p>
        </w:tc>
        <w:tc>
          <w:tcPr>
            <w:tcW w:w="1614" w:type="pct"/>
            <w:vAlign w:val="center"/>
            <w:hideMark/>
          </w:tcPr>
          <w:p w14:paraId="4BABDD11" w14:textId="77777777" w:rsidR="00000000" w:rsidRDefault="00405D16">
            <w:pPr>
              <w:spacing w:after="100"/>
              <w:rPr>
                <w:rFonts w:eastAsia="Times New Roman"/>
                <w:sz w:val="20"/>
                <w:szCs w:val="20"/>
              </w:rPr>
            </w:pPr>
          </w:p>
        </w:tc>
        <w:tc>
          <w:tcPr>
            <w:tcW w:w="5" w:type="pct"/>
            <w:vAlign w:val="center"/>
            <w:hideMark/>
          </w:tcPr>
          <w:p w14:paraId="1B4CBE01" w14:textId="77777777" w:rsidR="00000000" w:rsidRDefault="00405D16">
            <w:pPr>
              <w:spacing w:after="100"/>
              <w:rPr>
                <w:rFonts w:eastAsia="Times New Roman"/>
                <w:sz w:val="20"/>
                <w:szCs w:val="20"/>
              </w:rPr>
            </w:pPr>
          </w:p>
        </w:tc>
        <w:tc>
          <w:tcPr>
            <w:tcW w:w="50" w:type="pct"/>
            <w:vAlign w:val="center"/>
            <w:hideMark/>
          </w:tcPr>
          <w:p w14:paraId="6A21E442" w14:textId="77777777" w:rsidR="00000000" w:rsidRDefault="00405D16">
            <w:pPr>
              <w:spacing w:after="100"/>
              <w:rPr>
                <w:rFonts w:eastAsia="Times New Roman"/>
                <w:sz w:val="20"/>
                <w:szCs w:val="20"/>
              </w:rPr>
            </w:pPr>
          </w:p>
        </w:tc>
        <w:tc>
          <w:tcPr>
            <w:tcW w:w="1614" w:type="pct"/>
            <w:vAlign w:val="center"/>
            <w:hideMark/>
          </w:tcPr>
          <w:p w14:paraId="313EA526" w14:textId="77777777" w:rsidR="00000000" w:rsidRDefault="00405D16">
            <w:pPr>
              <w:spacing w:after="100"/>
              <w:rPr>
                <w:rFonts w:eastAsia="Times New Roman"/>
                <w:sz w:val="20"/>
                <w:szCs w:val="20"/>
              </w:rPr>
            </w:pPr>
          </w:p>
        </w:tc>
        <w:tc>
          <w:tcPr>
            <w:tcW w:w="5" w:type="pct"/>
            <w:vAlign w:val="center"/>
            <w:hideMark/>
          </w:tcPr>
          <w:p w14:paraId="4B526F3B" w14:textId="77777777" w:rsidR="00000000" w:rsidRDefault="00405D16">
            <w:pPr>
              <w:spacing w:after="100"/>
              <w:rPr>
                <w:rFonts w:eastAsia="Times New Roman"/>
                <w:sz w:val="20"/>
                <w:szCs w:val="20"/>
              </w:rPr>
            </w:pPr>
          </w:p>
        </w:tc>
      </w:tr>
      <w:tr w:rsidR="00000000" w14:paraId="69CD7E86" w14:textId="77777777">
        <w:trPr>
          <w:divId w:val="1515655471"/>
          <w:trHeight w:val="300"/>
          <w:jc w:val="center"/>
        </w:trPr>
        <w:tc>
          <w:tcPr>
            <w:tcW w:w="0" w:type="auto"/>
            <w:gridSpan w:val="9"/>
            <w:tcMar>
              <w:top w:w="0" w:type="dxa"/>
              <w:left w:w="20" w:type="dxa"/>
              <w:bottom w:w="0" w:type="dxa"/>
              <w:right w:w="20" w:type="dxa"/>
            </w:tcMar>
            <w:vAlign w:val="center"/>
            <w:hideMark/>
          </w:tcPr>
          <w:p w14:paraId="7C7D30FE" w14:textId="77777777" w:rsidR="00000000" w:rsidRDefault="00405D16">
            <w:pPr>
              <w:spacing w:after="100"/>
              <w:rPr>
                <w:rFonts w:eastAsia="Times New Roman"/>
                <w:sz w:val="20"/>
                <w:szCs w:val="20"/>
              </w:rPr>
            </w:pPr>
          </w:p>
        </w:tc>
      </w:tr>
      <w:tr w:rsidR="00000000" w14:paraId="4301B8E9" w14:textId="77777777">
        <w:trPr>
          <w:divId w:val="1515655471"/>
          <w:jc w:val="center"/>
        </w:trPr>
        <w:tc>
          <w:tcPr>
            <w:tcW w:w="0" w:type="auto"/>
            <w:gridSpan w:val="3"/>
            <w:tcMar>
              <w:top w:w="0" w:type="dxa"/>
              <w:left w:w="20" w:type="dxa"/>
              <w:bottom w:w="0" w:type="dxa"/>
              <w:right w:w="20" w:type="dxa"/>
            </w:tcMar>
            <w:vAlign w:val="center"/>
            <w:hideMark/>
          </w:tcPr>
          <w:p w14:paraId="0B7BDD6F"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9EA9D61" w14:textId="77777777" w:rsidR="00000000" w:rsidRDefault="00405D16">
            <w:pPr>
              <w:spacing w:after="100"/>
              <w:jc w:val="center"/>
              <w:rPr>
                <w:rFonts w:eastAsia="Times New Roman"/>
              </w:rPr>
            </w:pPr>
            <w:r>
              <w:rPr>
                <w:rFonts w:eastAsia="Times New Roman"/>
                <w:color w:val="000000"/>
                <w:sz w:val="16"/>
                <w:szCs w:val="16"/>
              </w:rPr>
              <w:t>66</w:t>
            </w:r>
          </w:p>
        </w:tc>
        <w:tc>
          <w:tcPr>
            <w:tcW w:w="0" w:type="auto"/>
            <w:gridSpan w:val="3"/>
            <w:tcMar>
              <w:top w:w="30" w:type="dxa"/>
              <w:left w:w="20" w:type="dxa"/>
              <w:bottom w:w="30" w:type="dxa"/>
              <w:right w:w="20" w:type="dxa"/>
            </w:tcMar>
            <w:vAlign w:val="bottom"/>
            <w:hideMark/>
          </w:tcPr>
          <w:p w14:paraId="28A4529A"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341F89C1" w14:textId="77777777" w:rsidR="00000000" w:rsidRDefault="00405D16">
      <w:pPr>
        <w:rPr>
          <w:rFonts w:eastAsia="Times New Roman"/>
        </w:rPr>
      </w:pPr>
      <w:r>
        <w:rPr>
          <w:rFonts w:eastAsia="Times New Roman"/>
        </w:rPr>
        <w:pict w14:anchorId="6190ED15">
          <v:rect id="_x0000_i1091" style="width:0;height:1.5pt" o:hralign="center" o:hrstd="t" o:hr="t" fillcolor="#a0a0a0" stroked="f"/>
        </w:pict>
      </w:r>
    </w:p>
    <w:p w14:paraId="38F4730D" w14:textId="77777777" w:rsidR="00000000" w:rsidRDefault="00405D16">
      <w:pPr>
        <w:ind w:hanging="360"/>
        <w:jc w:val="both"/>
        <w:divId w:val="1715084751"/>
        <w:rPr>
          <w:rFonts w:eastAsia="Times New Roman"/>
        </w:rPr>
      </w:pPr>
      <w:hyperlink w:anchor="idd54a04a485440b4ab4e56094c14d612_13" w:history="1">
        <w:r>
          <w:rPr>
            <w:rStyle w:val="a3"/>
            <w:rFonts w:eastAsia="Times New Roman"/>
            <w:sz w:val="16"/>
            <w:szCs w:val="16"/>
          </w:rPr>
          <w:t>Table of Contents</w:t>
        </w:r>
      </w:hyperlink>
    </w:p>
    <w:p w14:paraId="14EE8D92" w14:textId="77777777" w:rsidR="00000000" w:rsidRDefault="00405D16">
      <w:pPr>
        <w:jc w:val="both"/>
        <w:divId w:val="1027802306"/>
        <w:rPr>
          <w:rFonts w:eastAsia="Times New Roman"/>
        </w:rPr>
      </w:pPr>
      <w:r>
        <w:rPr>
          <w:rFonts w:eastAsia="Times New Roman"/>
          <w:b/>
          <w:bCs/>
          <w:color w:val="000000"/>
          <w:sz w:val="20"/>
          <w:szCs w:val="20"/>
        </w:rPr>
        <w:t>LCR:</w:t>
      </w:r>
      <w:r>
        <w:rPr>
          <w:rFonts w:eastAsia="Times New Roman"/>
          <w:color w:val="000000"/>
          <w:sz w:val="20"/>
          <w:szCs w:val="20"/>
        </w:rPr>
        <w:t xml:space="preserve"> Liquidity coverage ratio</w:t>
      </w:r>
    </w:p>
    <w:p w14:paraId="1EB9D755" w14:textId="77777777" w:rsidR="00000000" w:rsidRDefault="00405D16">
      <w:pPr>
        <w:jc w:val="both"/>
        <w:divId w:val="205266139"/>
        <w:rPr>
          <w:rFonts w:eastAsia="Times New Roman"/>
        </w:rPr>
      </w:pPr>
      <w:r>
        <w:rPr>
          <w:rFonts w:eastAsia="Times New Roman"/>
          <w:b/>
          <w:bCs/>
          <w:color w:val="000000"/>
          <w:sz w:val="20"/>
          <w:szCs w:val="20"/>
        </w:rPr>
        <w:t>LIBOR:</w:t>
      </w:r>
      <w:r>
        <w:rPr>
          <w:rFonts w:ascii="Arial" w:eastAsia="Times New Roman" w:hAnsi="Arial" w:cs="Arial"/>
          <w:color w:val="000000"/>
          <w:sz w:val="20"/>
          <w:szCs w:val="20"/>
        </w:rPr>
        <w:t xml:space="preserve"> </w:t>
      </w:r>
      <w:r>
        <w:rPr>
          <w:rFonts w:eastAsia="Times New Roman"/>
          <w:color w:val="000000"/>
          <w:sz w:val="20"/>
          <w:szCs w:val="20"/>
        </w:rPr>
        <w:t>London Interbank Offered Rate</w:t>
      </w:r>
    </w:p>
    <w:p w14:paraId="5A86A1AF" w14:textId="77777777" w:rsidR="00000000" w:rsidRDefault="00405D16">
      <w:pPr>
        <w:jc w:val="both"/>
        <w:divId w:val="550121332"/>
        <w:rPr>
          <w:rFonts w:eastAsia="Times New Roman"/>
        </w:rPr>
      </w:pPr>
      <w:r>
        <w:rPr>
          <w:rFonts w:eastAsia="Times New Roman"/>
          <w:b/>
          <w:bCs/>
          <w:color w:val="000000"/>
          <w:sz w:val="20"/>
          <w:szCs w:val="20"/>
        </w:rPr>
        <w:t>MDL:</w:t>
      </w:r>
      <w:r>
        <w:rPr>
          <w:rFonts w:eastAsia="Times New Roman"/>
          <w:color w:val="000000"/>
          <w:sz w:val="20"/>
          <w:szCs w:val="20"/>
        </w:rPr>
        <w:t xml:space="preserve"> Multi-district litigation</w:t>
      </w:r>
    </w:p>
    <w:p w14:paraId="79F58D30" w14:textId="77777777" w:rsidR="00000000" w:rsidRDefault="00405D16">
      <w:pPr>
        <w:jc w:val="both"/>
        <w:divId w:val="280183857"/>
        <w:rPr>
          <w:rFonts w:eastAsia="Times New Roman"/>
        </w:rPr>
      </w:pPr>
      <w:r>
        <w:rPr>
          <w:rFonts w:eastAsia="Times New Roman"/>
          <w:b/>
          <w:bCs/>
          <w:color w:val="000000"/>
          <w:sz w:val="20"/>
          <w:szCs w:val="20"/>
        </w:rPr>
        <w:t>Moody’s:</w:t>
      </w:r>
      <w:r>
        <w:rPr>
          <w:rFonts w:eastAsia="Times New Roman"/>
          <w:color w:val="000000"/>
          <w:sz w:val="20"/>
          <w:szCs w:val="20"/>
        </w:rPr>
        <w:t xml:space="preserve"> Moody’</w:t>
      </w:r>
      <w:r>
        <w:rPr>
          <w:rFonts w:eastAsia="Times New Roman"/>
          <w:color w:val="000000"/>
          <w:sz w:val="20"/>
          <w:szCs w:val="20"/>
        </w:rPr>
        <w:t>s Investors Service</w:t>
      </w:r>
    </w:p>
    <w:p w14:paraId="5C3669BD" w14:textId="77777777" w:rsidR="00000000" w:rsidRDefault="00405D16">
      <w:pPr>
        <w:jc w:val="both"/>
        <w:divId w:val="946811568"/>
        <w:rPr>
          <w:rFonts w:eastAsia="Times New Roman"/>
        </w:rPr>
      </w:pPr>
      <w:r>
        <w:rPr>
          <w:rFonts w:eastAsia="Times New Roman"/>
          <w:b/>
          <w:bCs/>
          <w:color w:val="000000"/>
          <w:sz w:val="20"/>
          <w:szCs w:val="20"/>
        </w:rPr>
        <w:t xml:space="preserve">MSRs: </w:t>
      </w:r>
      <w:r>
        <w:rPr>
          <w:rFonts w:eastAsia="Times New Roman"/>
          <w:color w:val="000000"/>
          <w:sz w:val="20"/>
          <w:szCs w:val="20"/>
        </w:rPr>
        <w:t>Mortgage servicing rights</w:t>
      </w:r>
    </w:p>
    <w:p w14:paraId="2E8368E1" w14:textId="77777777" w:rsidR="00000000" w:rsidRDefault="00405D16">
      <w:pPr>
        <w:jc w:val="both"/>
        <w:divId w:val="517043551"/>
        <w:rPr>
          <w:rFonts w:eastAsia="Times New Roman"/>
        </w:rPr>
      </w:pPr>
      <w:r>
        <w:rPr>
          <w:rFonts w:eastAsia="Times New Roman"/>
          <w:b/>
          <w:bCs/>
          <w:color w:val="000000"/>
          <w:sz w:val="20"/>
          <w:szCs w:val="20"/>
        </w:rPr>
        <w:t>NSFR:</w:t>
      </w:r>
      <w:r>
        <w:rPr>
          <w:rFonts w:eastAsia="Times New Roman"/>
          <w:color w:val="000000"/>
          <w:sz w:val="20"/>
          <w:szCs w:val="20"/>
        </w:rPr>
        <w:t xml:space="preserve"> Net stable funding ratio</w:t>
      </w:r>
    </w:p>
    <w:p w14:paraId="025B44D4" w14:textId="77777777" w:rsidR="00000000" w:rsidRDefault="00405D16">
      <w:pPr>
        <w:jc w:val="both"/>
        <w:divId w:val="1574587659"/>
        <w:rPr>
          <w:rFonts w:eastAsia="Times New Roman"/>
        </w:rPr>
      </w:pPr>
      <w:r>
        <w:rPr>
          <w:rFonts w:eastAsia="Times New Roman"/>
          <w:b/>
          <w:bCs/>
          <w:color w:val="000000"/>
          <w:sz w:val="20"/>
          <w:szCs w:val="20"/>
        </w:rPr>
        <w:t>OCC:</w:t>
      </w:r>
      <w:r>
        <w:rPr>
          <w:rFonts w:eastAsia="Times New Roman"/>
          <w:color w:val="000000"/>
          <w:sz w:val="20"/>
          <w:szCs w:val="20"/>
        </w:rPr>
        <w:t xml:space="preserve"> Office of the Comptroller of the Currency </w:t>
      </w:r>
    </w:p>
    <w:p w14:paraId="026C1844" w14:textId="77777777" w:rsidR="00000000" w:rsidRDefault="00405D16">
      <w:pPr>
        <w:jc w:val="both"/>
        <w:divId w:val="1350378525"/>
        <w:rPr>
          <w:rFonts w:eastAsia="Times New Roman"/>
        </w:rPr>
      </w:pPr>
      <w:r>
        <w:rPr>
          <w:rFonts w:eastAsia="Times New Roman"/>
          <w:b/>
          <w:bCs/>
          <w:color w:val="000000"/>
          <w:sz w:val="20"/>
          <w:szCs w:val="20"/>
        </w:rPr>
        <w:t xml:space="preserve">OTC: </w:t>
      </w:r>
      <w:r>
        <w:rPr>
          <w:rFonts w:eastAsia="Times New Roman"/>
          <w:color w:val="000000"/>
          <w:sz w:val="20"/>
          <w:szCs w:val="20"/>
        </w:rPr>
        <w:t xml:space="preserve">Over-the-counter </w:t>
      </w:r>
    </w:p>
    <w:p w14:paraId="07EB925F" w14:textId="77777777" w:rsidR="00000000" w:rsidRDefault="00405D16">
      <w:pPr>
        <w:jc w:val="both"/>
        <w:divId w:val="44258197"/>
        <w:rPr>
          <w:rFonts w:eastAsia="Times New Roman"/>
        </w:rPr>
      </w:pPr>
      <w:r>
        <w:rPr>
          <w:rFonts w:eastAsia="Times New Roman"/>
          <w:b/>
          <w:bCs/>
          <w:color w:val="000000"/>
          <w:sz w:val="20"/>
          <w:szCs w:val="20"/>
        </w:rPr>
        <w:t>PCA:</w:t>
      </w:r>
      <w:r>
        <w:rPr>
          <w:rFonts w:ascii="Arial" w:eastAsia="Times New Roman" w:hAnsi="Arial" w:cs="Arial"/>
          <w:color w:val="000000"/>
          <w:sz w:val="20"/>
          <w:szCs w:val="20"/>
        </w:rPr>
        <w:t xml:space="preserve"> </w:t>
      </w:r>
      <w:r>
        <w:rPr>
          <w:rFonts w:eastAsia="Times New Roman"/>
          <w:color w:val="000000"/>
          <w:sz w:val="20"/>
          <w:szCs w:val="20"/>
        </w:rPr>
        <w:t>Prompt corrective action</w:t>
      </w:r>
    </w:p>
    <w:p w14:paraId="735AEA52" w14:textId="77777777" w:rsidR="00000000" w:rsidRDefault="00405D16">
      <w:pPr>
        <w:jc w:val="both"/>
        <w:divId w:val="561866569"/>
        <w:rPr>
          <w:rFonts w:eastAsia="Times New Roman"/>
        </w:rPr>
      </w:pPr>
      <w:r>
        <w:rPr>
          <w:rFonts w:eastAsia="Times New Roman"/>
          <w:b/>
          <w:bCs/>
          <w:color w:val="000000"/>
          <w:sz w:val="20"/>
          <w:szCs w:val="20"/>
        </w:rPr>
        <w:t xml:space="preserve">PCI: </w:t>
      </w:r>
      <w:r>
        <w:rPr>
          <w:rFonts w:eastAsia="Times New Roman"/>
          <w:color w:val="000000"/>
          <w:sz w:val="20"/>
          <w:szCs w:val="20"/>
        </w:rPr>
        <w:t>Purchased credit-impaired</w:t>
      </w:r>
    </w:p>
    <w:p w14:paraId="01DC3DA1" w14:textId="77777777" w:rsidR="00000000" w:rsidRDefault="00405D16">
      <w:pPr>
        <w:jc w:val="both"/>
        <w:divId w:val="118111123"/>
        <w:rPr>
          <w:rFonts w:eastAsia="Times New Roman"/>
        </w:rPr>
      </w:pPr>
      <w:r>
        <w:rPr>
          <w:rFonts w:eastAsia="Times New Roman"/>
          <w:b/>
          <w:bCs/>
          <w:color w:val="000000"/>
          <w:sz w:val="20"/>
          <w:szCs w:val="20"/>
        </w:rPr>
        <w:t xml:space="preserve">PCCR: </w:t>
      </w:r>
      <w:r>
        <w:rPr>
          <w:rFonts w:eastAsia="Times New Roman"/>
          <w:color w:val="000000"/>
          <w:sz w:val="20"/>
          <w:szCs w:val="20"/>
        </w:rPr>
        <w:t>Purchased credit card relationship</w:t>
      </w:r>
    </w:p>
    <w:p w14:paraId="7934F1DF" w14:textId="77777777" w:rsidR="00000000" w:rsidRDefault="00405D16">
      <w:pPr>
        <w:jc w:val="both"/>
        <w:divId w:val="345406177"/>
        <w:rPr>
          <w:rFonts w:eastAsia="Times New Roman"/>
        </w:rPr>
      </w:pPr>
      <w:r>
        <w:rPr>
          <w:rFonts w:eastAsia="Times New Roman"/>
          <w:b/>
          <w:bCs/>
          <w:color w:val="000000"/>
          <w:sz w:val="20"/>
          <w:szCs w:val="20"/>
        </w:rPr>
        <w:t xml:space="preserve">PPI: </w:t>
      </w:r>
      <w:r>
        <w:rPr>
          <w:rFonts w:eastAsia="Times New Roman"/>
          <w:color w:val="000000"/>
          <w:sz w:val="20"/>
          <w:szCs w:val="20"/>
        </w:rPr>
        <w:t>Payment protection insurance</w:t>
      </w:r>
    </w:p>
    <w:p w14:paraId="7F2FF48B" w14:textId="77777777" w:rsidR="00000000" w:rsidRDefault="00405D16">
      <w:pPr>
        <w:jc w:val="both"/>
        <w:divId w:val="1173687631"/>
        <w:rPr>
          <w:rFonts w:eastAsia="Times New Roman"/>
        </w:rPr>
      </w:pPr>
      <w:r>
        <w:rPr>
          <w:rFonts w:eastAsia="Times New Roman"/>
          <w:b/>
          <w:bCs/>
          <w:color w:val="000000"/>
          <w:sz w:val="20"/>
          <w:szCs w:val="20"/>
        </w:rPr>
        <w:t xml:space="preserve">PPP: </w:t>
      </w:r>
      <w:r>
        <w:rPr>
          <w:rFonts w:eastAsia="Times New Roman"/>
          <w:color w:val="000000"/>
          <w:sz w:val="20"/>
          <w:szCs w:val="20"/>
        </w:rPr>
        <w:t>Paycheck Protection Program</w:t>
      </w:r>
    </w:p>
    <w:p w14:paraId="6DC56511" w14:textId="77777777" w:rsidR="00000000" w:rsidRDefault="00405D16">
      <w:pPr>
        <w:jc w:val="both"/>
        <w:divId w:val="740326885"/>
        <w:rPr>
          <w:rFonts w:eastAsia="Times New Roman"/>
        </w:rPr>
      </w:pPr>
      <w:r>
        <w:rPr>
          <w:rFonts w:eastAsia="Times New Roman"/>
          <w:b/>
          <w:bCs/>
          <w:color w:val="000000"/>
          <w:sz w:val="20"/>
          <w:szCs w:val="20"/>
        </w:rPr>
        <w:t xml:space="preserve">RMBS: </w:t>
      </w:r>
      <w:r>
        <w:rPr>
          <w:rFonts w:eastAsia="Times New Roman"/>
          <w:color w:val="000000"/>
          <w:sz w:val="20"/>
          <w:szCs w:val="20"/>
        </w:rPr>
        <w:t>Residential mortgage-backed securities</w:t>
      </w:r>
    </w:p>
    <w:p w14:paraId="48C31EA8" w14:textId="77777777" w:rsidR="00000000" w:rsidRDefault="00405D16">
      <w:pPr>
        <w:jc w:val="both"/>
        <w:divId w:val="1888837215"/>
        <w:rPr>
          <w:rFonts w:eastAsia="Times New Roman"/>
        </w:rPr>
      </w:pPr>
      <w:r>
        <w:rPr>
          <w:rFonts w:eastAsia="Times New Roman"/>
          <w:b/>
          <w:bCs/>
          <w:color w:val="000000"/>
          <w:sz w:val="20"/>
          <w:szCs w:val="20"/>
        </w:rPr>
        <w:t>RSU:</w:t>
      </w:r>
      <w:r>
        <w:rPr>
          <w:rFonts w:eastAsia="Times New Roman"/>
          <w:color w:val="000000"/>
          <w:sz w:val="20"/>
          <w:szCs w:val="20"/>
        </w:rPr>
        <w:t xml:space="preserve"> Restricted stock unit</w:t>
      </w:r>
    </w:p>
    <w:p w14:paraId="007BF903" w14:textId="77777777" w:rsidR="00000000" w:rsidRDefault="00405D16">
      <w:pPr>
        <w:jc w:val="both"/>
        <w:divId w:val="58329732"/>
        <w:rPr>
          <w:rFonts w:eastAsia="Times New Roman"/>
        </w:rPr>
      </w:pPr>
      <w:r>
        <w:rPr>
          <w:rFonts w:eastAsia="Times New Roman"/>
          <w:b/>
          <w:bCs/>
          <w:color w:val="000000"/>
          <w:sz w:val="20"/>
          <w:szCs w:val="20"/>
        </w:rPr>
        <w:t>S&amp;P:</w:t>
      </w:r>
      <w:r>
        <w:rPr>
          <w:rFonts w:ascii="Arial" w:eastAsia="Times New Roman" w:hAnsi="Arial" w:cs="Arial"/>
          <w:color w:val="000000"/>
          <w:sz w:val="20"/>
          <w:szCs w:val="20"/>
        </w:rPr>
        <w:t xml:space="preserve"> </w:t>
      </w:r>
      <w:r>
        <w:rPr>
          <w:rFonts w:eastAsia="Times New Roman"/>
          <w:color w:val="000000"/>
          <w:sz w:val="20"/>
          <w:szCs w:val="20"/>
        </w:rPr>
        <w:t>Standard &amp; Poor’s</w:t>
      </w:r>
    </w:p>
    <w:p w14:paraId="2F0CA3BC" w14:textId="77777777" w:rsidR="00000000" w:rsidRDefault="00405D16">
      <w:pPr>
        <w:jc w:val="both"/>
        <w:divId w:val="2057386564"/>
        <w:rPr>
          <w:rFonts w:eastAsia="Times New Roman"/>
        </w:rPr>
      </w:pPr>
      <w:r>
        <w:rPr>
          <w:rFonts w:eastAsia="Times New Roman"/>
          <w:b/>
          <w:bCs/>
          <w:color w:val="000000"/>
          <w:sz w:val="20"/>
          <w:szCs w:val="20"/>
        </w:rPr>
        <w:t>SEC:</w:t>
      </w:r>
      <w:r>
        <w:rPr>
          <w:rFonts w:eastAsia="Times New Roman"/>
          <w:color w:val="000000"/>
          <w:sz w:val="20"/>
          <w:szCs w:val="20"/>
        </w:rPr>
        <w:t xml:space="preserve"> U.S. Securities and Exchange Commission</w:t>
      </w:r>
    </w:p>
    <w:p w14:paraId="12F22D41" w14:textId="77777777" w:rsidR="00000000" w:rsidRDefault="00405D16">
      <w:pPr>
        <w:jc w:val="both"/>
        <w:divId w:val="1311712280"/>
        <w:rPr>
          <w:rFonts w:eastAsia="Times New Roman"/>
        </w:rPr>
      </w:pPr>
      <w:r>
        <w:rPr>
          <w:rFonts w:eastAsia="Times New Roman"/>
          <w:b/>
          <w:bCs/>
          <w:color w:val="000000"/>
          <w:sz w:val="20"/>
          <w:szCs w:val="20"/>
        </w:rPr>
        <w:t>SOFR:</w:t>
      </w:r>
      <w:r>
        <w:rPr>
          <w:rFonts w:eastAsia="Times New Roman"/>
          <w:color w:val="000000"/>
          <w:sz w:val="20"/>
          <w:szCs w:val="20"/>
        </w:rPr>
        <w:t xml:space="preserve"> Secured Overnight Financing Rate</w:t>
      </w:r>
    </w:p>
    <w:p w14:paraId="6FBEE04D" w14:textId="77777777" w:rsidR="00000000" w:rsidRDefault="00405D16">
      <w:pPr>
        <w:jc w:val="both"/>
        <w:divId w:val="1288972100"/>
        <w:rPr>
          <w:rFonts w:eastAsia="Times New Roman"/>
        </w:rPr>
      </w:pPr>
      <w:r>
        <w:rPr>
          <w:rFonts w:eastAsia="Times New Roman"/>
          <w:b/>
          <w:bCs/>
          <w:color w:val="000000"/>
          <w:sz w:val="20"/>
          <w:szCs w:val="20"/>
        </w:rPr>
        <w:t>TCE:</w:t>
      </w:r>
      <w:r>
        <w:rPr>
          <w:rFonts w:eastAsia="Times New Roman"/>
          <w:color w:val="000000"/>
          <w:sz w:val="20"/>
          <w:szCs w:val="20"/>
        </w:rPr>
        <w:t xml:space="preserve"> Tangi</w:t>
      </w:r>
      <w:r>
        <w:rPr>
          <w:rFonts w:eastAsia="Times New Roman"/>
          <w:color w:val="000000"/>
          <w:sz w:val="20"/>
          <w:szCs w:val="20"/>
        </w:rPr>
        <w:t>ble common equity</w:t>
      </w:r>
    </w:p>
    <w:p w14:paraId="08AFEFB0" w14:textId="77777777" w:rsidR="00000000" w:rsidRDefault="00405D16">
      <w:pPr>
        <w:jc w:val="both"/>
        <w:divId w:val="1834906999"/>
        <w:rPr>
          <w:rFonts w:eastAsia="Times New Roman"/>
        </w:rPr>
      </w:pPr>
      <w:r>
        <w:rPr>
          <w:rFonts w:eastAsia="Times New Roman"/>
          <w:b/>
          <w:bCs/>
          <w:color w:val="000000"/>
          <w:sz w:val="20"/>
          <w:szCs w:val="20"/>
        </w:rPr>
        <w:t>TDR:</w:t>
      </w:r>
      <w:r>
        <w:rPr>
          <w:rFonts w:eastAsia="Times New Roman"/>
          <w:color w:val="000000"/>
          <w:sz w:val="20"/>
          <w:szCs w:val="20"/>
        </w:rPr>
        <w:t xml:space="preserve"> Troubled debt restructuring</w:t>
      </w:r>
    </w:p>
    <w:p w14:paraId="608AD8A0" w14:textId="77777777" w:rsidR="00000000" w:rsidRDefault="00405D16">
      <w:pPr>
        <w:jc w:val="both"/>
        <w:divId w:val="2050452662"/>
        <w:rPr>
          <w:rFonts w:eastAsia="Times New Roman"/>
        </w:rPr>
      </w:pPr>
      <w:r>
        <w:rPr>
          <w:rFonts w:eastAsia="Times New Roman"/>
          <w:b/>
          <w:bCs/>
          <w:color w:val="000000"/>
          <w:sz w:val="20"/>
          <w:szCs w:val="20"/>
        </w:rPr>
        <w:t>U.K.:</w:t>
      </w:r>
      <w:r>
        <w:rPr>
          <w:rFonts w:eastAsia="Times New Roman"/>
          <w:color w:val="000000"/>
          <w:sz w:val="20"/>
          <w:szCs w:val="20"/>
        </w:rPr>
        <w:t xml:space="preserve"> United Kingdom</w:t>
      </w:r>
    </w:p>
    <w:p w14:paraId="49A559FA" w14:textId="77777777" w:rsidR="00000000" w:rsidRDefault="00405D16">
      <w:pPr>
        <w:jc w:val="both"/>
        <w:divId w:val="1008562897"/>
        <w:rPr>
          <w:rFonts w:eastAsia="Times New Roman"/>
        </w:rPr>
      </w:pPr>
      <w:r>
        <w:rPr>
          <w:rFonts w:eastAsia="Times New Roman"/>
          <w:b/>
          <w:bCs/>
          <w:color w:val="000000"/>
          <w:sz w:val="20"/>
          <w:szCs w:val="20"/>
        </w:rPr>
        <w:t>U.S.:</w:t>
      </w:r>
      <w:r>
        <w:rPr>
          <w:rFonts w:eastAsia="Times New Roman"/>
          <w:color w:val="000000"/>
          <w:sz w:val="20"/>
          <w:szCs w:val="20"/>
        </w:rPr>
        <w:t xml:space="preserve"> United States of America</w:t>
      </w:r>
    </w:p>
    <w:p w14:paraId="67799C37" w14:textId="77777777" w:rsidR="00000000" w:rsidRDefault="00405D16">
      <w:pPr>
        <w:jc w:val="both"/>
        <w:divId w:val="1763796607"/>
        <w:rPr>
          <w:rFonts w:eastAsia="Times New Roman"/>
        </w:rPr>
      </w:pPr>
      <w:r>
        <w:rPr>
          <w:rFonts w:eastAsia="Times New Roman"/>
          <w:b/>
          <w:bCs/>
          <w:color w:val="000000"/>
          <w:sz w:val="20"/>
          <w:szCs w:val="20"/>
        </w:rPr>
        <w:t>VIE:</w:t>
      </w:r>
      <w:r>
        <w:rPr>
          <w:rFonts w:eastAsia="Times New Roman"/>
          <w:color w:val="000000"/>
          <w:sz w:val="20"/>
          <w:szCs w:val="20"/>
        </w:rPr>
        <w:t xml:space="preserve"> Variable interest entity</w:t>
      </w:r>
    </w:p>
    <w:p w14:paraId="3F6AE65D" w14:textId="77777777" w:rsidR="00000000" w:rsidRDefault="00405D16">
      <w:pPr>
        <w:jc w:val="both"/>
        <w:divId w:val="939803331"/>
        <w:rPr>
          <w:rFonts w:eastAsia="Times New Roman"/>
        </w:rPr>
      </w:pPr>
      <w:r>
        <w:rPr>
          <w:rFonts w:eastAsia="Times New Roman"/>
          <w:b/>
          <w:bCs/>
          <w:color w:val="000000"/>
          <w:sz w:val="20"/>
          <w:szCs w:val="20"/>
        </w:rPr>
        <w:t>XBRL:</w:t>
      </w:r>
      <w:r>
        <w:rPr>
          <w:rFonts w:eastAsia="Times New Roman"/>
          <w:color w:val="000000"/>
          <w:sz w:val="20"/>
          <w:szCs w:val="20"/>
        </w:rPr>
        <w:t xml:space="preserve"> Extensible business reporting language</w:t>
      </w:r>
    </w:p>
    <w:p w14:paraId="03144559" w14:textId="77777777" w:rsidR="00000000" w:rsidRDefault="00405D16">
      <w:pPr>
        <w:jc w:val="both"/>
        <w:divId w:val="1472094887"/>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7D03A56D" w14:textId="77777777">
        <w:trPr>
          <w:divId w:val="109129423"/>
          <w:jc w:val="center"/>
        </w:trPr>
        <w:tc>
          <w:tcPr>
            <w:tcW w:w="50" w:type="pct"/>
            <w:vAlign w:val="center"/>
            <w:hideMark/>
          </w:tcPr>
          <w:p w14:paraId="3BB5065A" w14:textId="77777777" w:rsidR="00000000" w:rsidRDefault="00405D16">
            <w:pPr>
              <w:jc w:val="both"/>
              <w:rPr>
                <w:rFonts w:eastAsia="Times New Roman"/>
              </w:rPr>
            </w:pPr>
          </w:p>
        </w:tc>
        <w:tc>
          <w:tcPr>
            <w:tcW w:w="1606" w:type="pct"/>
            <w:vAlign w:val="center"/>
            <w:hideMark/>
          </w:tcPr>
          <w:p w14:paraId="2AC18C2E" w14:textId="77777777" w:rsidR="00000000" w:rsidRDefault="00405D16">
            <w:pPr>
              <w:spacing w:after="100"/>
              <w:rPr>
                <w:rFonts w:eastAsia="Times New Roman"/>
                <w:sz w:val="20"/>
                <w:szCs w:val="20"/>
              </w:rPr>
            </w:pPr>
          </w:p>
        </w:tc>
        <w:tc>
          <w:tcPr>
            <w:tcW w:w="5" w:type="pct"/>
            <w:vAlign w:val="center"/>
            <w:hideMark/>
          </w:tcPr>
          <w:p w14:paraId="5E2B9740" w14:textId="77777777" w:rsidR="00000000" w:rsidRDefault="00405D16">
            <w:pPr>
              <w:spacing w:after="100"/>
              <w:rPr>
                <w:rFonts w:eastAsia="Times New Roman"/>
                <w:sz w:val="20"/>
                <w:szCs w:val="20"/>
              </w:rPr>
            </w:pPr>
          </w:p>
        </w:tc>
        <w:tc>
          <w:tcPr>
            <w:tcW w:w="50" w:type="pct"/>
            <w:vAlign w:val="center"/>
            <w:hideMark/>
          </w:tcPr>
          <w:p w14:paraId="49566A96" w14:textId="77777777" w:rsidR="00000000" w:rsidRDefault="00405D16">
            <w:pPr>
              <w:spacing w:after="100"/>
              <w:rPr>
                <w:rFonts w:eastAsia="Times New Roman"/>
                <w:sz w:val="20"/>
                <w:szCs w:val="20"/>
              </w:rPr>
            </w:pPr>
          </w:p>
        </w:tc>
        <w:tc>
          <w:tcPr>
            <w:tcW w:w="1614" w:type="pct"/>
            <w:vAlign w:val="center"/>
            <w:hideMark/>
          </w:tcPr>
          <w:p w14:paraId="1343CB65" w14:textId="77777777" w:rsidR="00000000" w:rsidRDefault="00405D16">
            <w:pPr>
              <w:spacing w:after="100"/>
              <w:rPr>
                <w:rFonts w:eastAsia="Times New Roman"/>
                <w:sz w:val="20"/>
                <w:szCs w:val="20"/>
              </w:rPr>
            </w:pPr>
          </w:p>
        </w:tc>
        <w:tc>
          <w:tcPr>
            <w:tcW w:w="5" w:type="pct"/>
            <w:vAlign w:val="center"/>
            <w:hideMark/>
          </w:tcPr>
          <w:p w14:paraId="2ADE9F6F" w14:textId="77777777" w:rsidR="00000000" w:rsidRDefault="00405D16">
            <w:pPr>
              <w:spacing w:after="100"/>
              <w:rPr>
                <w:rFonts w:eastAsia="Times New Roman"/>
                <w:sz w:val="20"/>
                <w:szCs w:val="20"/>
              </w:rPr>
            </w:pPr>
          </w:p>
        </w:tc>
        <w:tc>
          <w:tcPr>
            <w:tcW w:w="50" w:type="pct"/>
            <w:vAlign w:val="center"/>
            <w:hideMark/>
          </w:tcPr>
          <w:p w14:paraId="39973293" w14:textId="77777777" w:rsidR="00000000" w:rsidRDefault="00405D16">
            <w:pPr>
              <w:spacing w:after="100"/>
              <w:rPr>
                <w:rFonts w:eastAsia="Times New Roman"/>
                <w:sz w:val="20"/>
                <w:szCs w:val="20"/>
              </w:rPr>
            </w:pPr>
          </w:p>
        </w:tc>
        <w:tc>
          <w:tcPr>
            <w:tcW w:w="1614" w:type="pct"/>
            <w:vAlign w:val="center"/>
            <w:hideMark/>
          </w:tcPr>
          <w:p w14:paraId="787C15A7" w14:textId="77777777" w:rsidR="00000000" w:rsidRDefault="00405D16">
            <w:pPr>
              <w:spacing w:after="100"/>
              <w:rPr>
                <w:rFonts w:eastAsia="Times New Roman"/>
                <w:sz w:val="20"/>
                <w:szCs w:val="20"/>
              </w:rPr>
            </w:pPr>
          </w:p>
        </w:tc>
        <w:tc>
          <w:tcPr>
            <w:tcW w:w="5" w:type="pct"/>
            <w:vAlign w:val="center"/>
            <w:hideMark/>
          </w:tcPr>
          <w:p w14:paraId="4B57A938" w14:textId="77777777" w:rsidR="00000000" w:rsidRDefault="00405D16">
            <w:pPr>
              <w:spacing w:after="100"/>
              <w:rPr>
                <w:rFonts w:eastAsia="Times New Roman"/>
                <w:sz w:val="20"/>
                <w:szCs w:val="20"/>
              </w:rPr>
            </w:pPr>
          </w:p>
        </w:tc>
      </w:tr>
      <w:tr w:rsidR="00000000" w14:paraId="447AC87F" w14:textId="77777777">
        <w:trPr>
          <w:divId w:val="109129423"/>
          <w:trHeight w:val="300"/>
          <w:jc w:val="center"/>
        </w:trPr>
        <w:tc>
          <w:tcPr>
            <w:tcW w:w="0" w:type="auto"/>
            <w:gridSpan w:val="9"/>
            <w:tcMar>
              <w:top w:w="0" w:type="dxa"/>
              <w:left w:w="20" w:type="dxa"/>
              <w:bottom w:w="0" w:type="dxa"/>
              <w:right w:w="20" w:type="dxa"/>
            </w:tcMar>
            <w:vAlign w:val="center"/>
            <w:hideMark/>
          </w:tcPr>
          <w:p w14:paraId="0FEE4FDF" w14:textId="77777777" w:rsidR="00000000" w:rsidRDefault="00405D16">
            <w:pPr>
              <w:spacing w:after="100"/>
              <w:rPr>
                <w:rFonts w:eastAsia="Times New Roman"/>
                <w:sz w:val="20"/>
                <w:szCs w:val="20"/>
              </w:rPr>
            </w:pPr>
          </w:p>
        </w:tc>
      </w:tr>
      <w:tr w:rsidR="00000000" w14:paraId="7D9DAC77" w14:textId="77777777">
        <w:trPr>
          <w:divId w:val="109129423"/>
          <w:jc w:val="center"/>
        </w:trPr>
        <w:tc>
          <w:tcPr>
            <w:tcW w:w="0" w:type="auto"/>
            <w:gridSpan w:val="3"/>
            <w:tcMar>
              <w:top w:w="0" w:type="dxa"/>
              <w:left w:w="20" w:type="dxa"/>
              <w:bottom w:w="0" w:type="dxa"/>
              <w:right w:w="20" w:type="dxa"/>
            </w:tcMar>
            <w:vAlign w:val="center"/>
            <w:hideMark/>
          </w:tcPr>
          <w:p w14:paraId="356A899A"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32DAE23" w14:textId="77777777" w:rsidR="00000000" w:rsidRDefault="00405D16">
            <w:pPr>
              <w:spacing w:after="100"/>
              <w:jc w:val="center"/>
              <w:rPr>
                <w:rFonts w:eastAsia="Times New Roman"/>
              </w:rPr>
            </w:pPr>
            <w:r>
              <w:rPr>
                <w:rFonts w:eastAsia="Times New Roman"/>
                <w:color w:val="000000"/>
                <w:sz w:val="16"/>
                <w:szCs w:val="16"/>
              </w:rPr>
              <w:t>67</w:t>
            </w:r>
          </w:p>
        </w:tc>
        <w:tc>
          <w:tcPr>
            <w:tcW w:w="0" w:type="auto"/>
            <w:gridSpan w:val="3"/>
            <w:tcMar>
              <w:top w:w="30" w:type="dxa"/>
              <w:left w:w="20" w:type="dxa"/>
              <w:bottom w:w="30" w:type="dxa"/>
              <w:right w:w="20" w:type="dxa"/>
            </w:tcMar>
            <w:vAlign w:val="bottom"/>
            <w:hideMark/>
          </w:tcPr>
          <w:p w14:paraId="1A7E62B6"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24EE54F5" w14:textId="77777777" w:rsidR="00000000" w:rsidRDefault="00405D16">
      <w:pPr>
        <w:rPr>
          <w:rFonts w:eastAsia="Times New Roman"/>
        </w:rPr>
      </w:pPr>
      <w:r>
        <w:rPr>
          <w:rFonts w:eastAsia="Times New Roman"/>
        </w:rPr>
        <w:pict w14:anchorId="0FE43A6A">
          <v:rect id="_x0000_i1092" style="width:0;height:1.5pt" o:hralign="center" o:hrstd="t" o:hr="t" fillcolor="#a0a0a0" stroked="f"/>
        </w:pict>
      </w:r>
    </w:p>
    <w:p w14:paraId="663DFB11" w14:textId="77777777" w:rsidR="00000000" w:rsidRDefault="00405D16">
      <w:pPr>
        <w:ind w:hanging="360"/>
        <w:jc w:val="both"/>
        <w:divId w:val="1465998574"/>
        <w:rPr>
          <w:rFonts w:eastAsia="Times New Roman"/>
        </w:rPr>
      </w:pPr>
      <w:hyperlink w:anchor="idd54a04a485440b4ab4e56094c14d612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8"/>
        <w:gridCol w:w="7678"/>
        <w:gridCol w:w="39"/>
        <w:gridCol w:w="72"/>
        <w:gridCol w:w="413"/>
        <w:gridCol w:w="36"/>
      </w:tblGrid>
      <w:tr w:rsidR="00000000" w14:paraId="1309E4D2" w14:textId="77777777">
        <w:trPr>
          <w:divId w:val="1323463096"/>
        </w:trPr>
        <w:tc>
          <w:tcPr>
            <w:tcW w:w="50" w:type="pct"/>
            <w:vAlign w:val="center"/>
            <w:hideMark/>
          </w:tcPr>
          <w:p w14:paraId="72D5A0A0" w14:textId="77777777" w:rsidR="00000000" w:rsidRDefault="00405D16">
            <w:pPr>
              <w:ind w:hanging="360"/>
              <w:jc w:val="both"/>
              <w:rPr>
                <w:rFonts w:eastAsia="Times New Roman"/>
              </w:rPr>
            </w:pPr>
          </w:p>
        </w:tc>
        <w:tc>
          <w:tcPr>
            <w:tcW w:w="4630" w:type="pct"/>
            <w:vAlign w:val="center"/>
            <w:hideMark/>
          </w:tcPr>
          <w:p w14:paraId="08801815" w14:textId="77777777" w:rsidR="00000000" w:rsidRDefault="00405D16">
            <w:pPr>
              <w:spacing w:after="100"/>
              <w:rPr>
                <w:rFonts w:eastAsia="Times New Roman"/>
                <w:sz w:val="20"/>
                <w:szCs w:val="20"/>
              </w:rPr>
            </w:pPr>
          </w:p>
        </w:tc>
        <w:tc>
          <w:tcPr>
            <w:tcW w:w="5" w:type="pct"/>
            <w:vAlign w:val="center"/>
            <w:hideMark/>
          </w:tcPr>
          <w:p w14:paraId="35289E25" w14:textId="77777777" w:rsidR="00000000" w:rsidRDefault="00405D16">
            <w:pPr>
              <w:spacing w:after="100"/>
              <w:rPr>
                <w:rFonts w:eastAsia="Times New Roman"/>
                <w:sz w:val="20"/>
                <w:szCs w:val="20"/>
              </w:rPr>
            </w:pPr>
          </w:p>
        </w:tc>
        <w:tc>
          <w:tcPr>
            <w:tcW w:w="50" w:type="pct"/>
            <w:vAlign w:val="center"/>
            <w:hideMark/>
          </w:tcPr>
          <w:p w14:paraId="7247B3FA" w14:textId="77777777" w:rsidR="00000000" w:rsidRDefault="00405D16">
            <w:pPr>
              <w:spacing w:after="100"/>
              <w:rPr>
                <w:rFonts w:eastAsia="Times New Roman"/>
                <w:sz w:val="20"/>
                <w:szCs w:val="20"/>
              </w:rPr>
            </w:pPr>
          </w:p>
        </w:tc>
        <w:tc>
          <w:tcPr>
            <w:tcW w:w="259" w:type="pct"/>
            <w:vAlign w:val="center"/>
            <w:hideMark/>
          </w:tcPr>
          <w:p w14:paraId="43D0630C" w14:textId="77777777" w:rsidR="00000000" w:rsidRDefault="00405D16">
            <w:pPr>
              <w:spacing w:after="100"/>
              <w:rPr>
                <w:rFonts w:eastAsia="Times New Roman"/>
                <w:sz w:val="20"/>
                <w:szCs w:val="20"/>
              </w:rPr>
            </w:pPr>
          </w:p>
        </w:tc>
        <w:tc>
          <w:tcPr>
            <w:tcW w:w="5" w:type="pct"/>
            <w:vAlign w:val="center"/>
            <w:hideMark/>
          </w:tcPr>
          <w:p w14:paraId="2C74AC7C" w14:textId="77777777" w:rsidR="00000000" w:rsidRDefault="00405D16">
            <w:pPr>
              <w:spacing w:after="100"/>
              <w:rPr>
                <w:rFonts w:eastAsia="Times New Roman"/>
                <w:sz w:val="20"/>
                <w:szCs w:val="20"/>
              </w:rPr>
            </w:pPr>
          </w:p>
        </w:tc>
      </w:tr>
      <w:tr w:rsidR="00000000" w14:paraId="651D0EF5" w14:textId="77777777">
        <w:trPr>
          <w:divId w:val="1323463096"/>
        </w:trPr>
        <w:tc>
          <w:tcPr>
            <w:tcW w:w="0" w:type="auto"/>
            <w:gridSpan w:val="6"/>
            <w:tcMar>
              <w:top w:w="30" w:type="dxa"/>
              <w:left w:w="20" w:type="dxa"/>
              <w:bottom w:w="30" w:type="dxa"/>
              <w:right w:w="20" w:type="dxa"/>
            </w:tcMar>
            <w:vAlign w:val="bottom"/>
            <w:hideMark/>
          </w:tcPr>
          <w:p w14:paraId="7D9C029C" w14:textId="77777777" w:rsidR="00000000" w:rsidRDefault="00405D16">
            <w:pPr>
              <w:spacing w:after="100"/>
              <w:divId w:val="1526944434"/>
              <w:rPr>
                <w:rFonts w:eastAsia="Times New Roman"/>
              </w:rPr>
            </w:pPr>
            <w:hyperlink w:anchor="idd54a04a485440b4ab4e56094c14d612_328" w:history="1">
              <w:r>
                <w:rPr>
                  <w:rStyle w:val="a3"/>
                  <w:rFonts w:eastAsia="Times New Roman"/>
                  <w:b/>
                  <w:bCs/>
                  <w:color w:val="000000"/>
                  <w:sz w:val="20"/>
                  <w:szCs w:val="20"/>
                  <w:u w:val="none"/>
                </w:rPr>
                <w:t>Item 1. Financial Statements and Notes</w:t>
              </w:r>
            </w:hyperlink>
          </w:p>
        </w:tc>
      </w:tr>
      <w:tr w:rsidR="00000000" w14:paraId="26F7F1BD" w14:textId="77777777">
        <w:trPr>
          <w:divId w:val="1323463096"/>
        </w:trPr>
        <w:tc>
          <w:tcPr>
            <w:tcW w:w="0" w:type="auto"/>
            <w:gridSpan w:val="3"/>
            <w:tcMar>
              <w:top w:w="0" w:type="dxa"/>
              <w:left w:w="20" w:type="dxa"/>
              <w:bottom w:w="0" w:type="dxa"/>
              <w:right w:w="20" w:type="dxa"/>
            </w:tcMar>
            <w:vAlign w:val="center"/>
            <w:hideMark/>
          </w:tcPr>
          <w:p w14:paraId="26D3C99D" w14:textId="77777777" w:rsidR="00000000" w:rsidRDefault="00405D16">
            <w:pPr>
              <w:spacing w:after="100"/>
              <w:rPr>
                <w:rFonts w:eastAsia="Times New Roman"/>
              </w:rPr>
            </w:pPr>
          </w:p>
        </w:tc>
        <w:tc>
          <w:tcPr>
            <w:tcW w:w="0" w:type="auto"/>
            <w:gridSpan w:val="3"/>
            <w:tcMar>
              <w:top w:w="30" w:type="dxa"/>
              <w:left w:w="20" w:type="dxa"/>
              <w:bottom w:w="30" w:type="dxa"/>
              <w:right w:w="20" w:type="dxa"/>
            </w:tcMar>
            <w:vAlign w:val="bottom"/>
            <w:hideMark/>
          </w:tcPr>
          <w:p w14:paraId="25EA4223" w14:textId="77777777" w:rsidR="00000000" w:rsidRDefault="00405D16">
            <w:pPr>
              <w:spacing w:after="100"/>
              <w:jc w:val="center"/>
              <w:rPr>
                <w:rFonts w:eastAsia="Times New Roman"/>
              </w:rPr>
            </w:pPr>
            <w:r>
              <w:rPr>
                <w:rFonts w:eastAsia="Times New Roman"/>
                <w:b/>
                <w:bCs/>
                <w:color w:val="000000"/>
                <w:sz w:val="20"/>
                <w:szCs w:val="20"/>
              </w:rPr>
              <w:t>Page</w:t>
            </w:r>
          </w:p>
        </w:tc>
      </w:tr>
      <w:tr w:rsidR="00000000" w14:paraId="35FD4F90" w14:textId="77777777">
        <w:trPr>
          <w:divId w:val="1323463096"/>
        </w:trPr>
        <w:tc>
          <w:tcPr>
            <w:tcW w:w="0" w:type="auto"/>
            <w:gridSpan w:val="3"/>
            <w:vAlign w:val="center"/>
            <w:hideMark/>
          </w:tcPr>
          <w:p w14:paraId="11019BE8" w14:textId="77777777" w:rsidR="00000000" w:rsidRDefault="00405D16">
            <w:pPr>
              <w:spacing w:after="100"/>
              <w:jc w:val="center"/>
              <w:rPr>
                <w:rFonts w:eastAsia="Times New Roman"/>
              </w:rPr>
            </w:pPr>
          </w:p>
        </w:tc>
        <w:tc>
          <w:tcPr>
            <w:tcW w:w="0" w:type="auto"/>
            <w:gridSpan w:val="3"/>
            <w:vAlign w:val="center"/>
            <w:hideMark/>
          </w:tcPr>
          <w:p w14:paraId="05C6C842" w14:textId="77777777" w:rsidR="00000000" w:rsidRDefault="00405D16">
            <w:pPr>
              <w:spacing w:after="100"/>
              <w:rPr>
                <w:rFonts w:eastAsia="Times New Roman"/>
                <w:sz w:val="20"/>
                <w:szCs w:val="20"/>
              </w:rPr>
            </w:pPr>
          </w:p>
        </w:tc>
      </w:tr>
      <w:tr w:rsidR="00000000" w14:paraId="3F657476" w14:textId="77777777">
        <w:trPr>
          <w:divId w:val="1323463096"/>
        </w:trPr>
        <w:tc>
          <w:tcPr>
            <w:tcW w:w="0" w:type="auto"/>
            <w:gridSpan w:val="3"/>
            <w:vAlign w:val="center"/>
            <w:hideMark/>
          </w:tcPr>
          <w:p w14:paraId="51E21B02" w14:textId="77777777" w:rsidR="00000000" w:rsidRDefault="00405D16">
            <w:pPr>
              <w:spacing w:after="100"/>
              <w:rPr>
                <w:rFonts w:eastAsia="Times New Roman"/>
                <w:sz w:val="20"/>
                <w:szCs w:val="20"/>
              </w:rPr>
            </w:pPr>
          </w:p>
        </w:tc>
        <w:tc>
          <w:tcPr>
            <w:tcW w:w="0" w:type="auto"/>
            <w:gridSpan w:val="3"/>
            <w:vAlign w:val="center"/>
            <w:hideMark/>
          </w:tcPr>
          <w:p w14:paraId="6A32F171" w14:textId="77777777" w:rsidR="00000000" w:rsidRDefault="00405D16">
            <w:pPr>
              <w:spacing w:after="100"/>
              <w:rPr>
                <w:rFonts w:eastAsia="Times New Roman"/>
                <w:sz w:val="20"/>
                <w:szCs w:val="20"/>
              </w:rPr>
            </w:pPr>
          </w:p>
        </w:tc>
      </w:tr>
      <w:tr w:rsidR="00000000" w14:paraId="7ACDDBC7" w14:textId="77777777">
        <w:trPr>
          <w:divId w:val="1323463096"/>
        </w:trPr>
        <w:tc>
          <w:tcPr>
            <w:tcW w:w="0" w:type="auto"/>
            <w:gridSpan w:val="3"/>
            <w:vAlign w:val="center"/>
            <w:hideMark/>
          </w:tcPr>
          <w:p w14:paraId="3231A8BC" w14:textId="77777777" w:rsidR="00000000" w:rsidRDefault="00405D16">
            <w:pPr>
              <w:spacing w:after="100"/>
              <w:rPr>
                <w:rFonts w:eastAsia="Times New Roman"/>
                <w:sz w:val="20"/>
                <w:szCs w:val="20"/>
              </w:rPr>
            </w:pPr>
          </w:p>
        </w:tc>
        <w:tc>
          <w:tcPr>
            <w:tcW w:w="0" w:type="auto"/>
            <w:gridSpan w:val="3"/>
            <w:vAlign w:val="center"/>
            <w:hideMark/>
          </w:tcPr>
          <w:p w14:paraId="36231448" w14:textId="77777777" w:rsidR="00000000" w:rsidRDefault="00405D16">
            <w:pPr>
              <w:spacing w:after="100"/>
              <w:rPr>
                <w:rFonts w:eastAsia="Times New Roman"/>
                <w:sz w:val="20"/>
                <w:szCs w:val="20"/>
              </w:rPr>
            </w:pPr>
          </w:p>
        </w:tc>
      </w:tr>
      <w:tr w:rsidR="00000000" w14:paraId="2B0ACA67" w14:textId="77777777">
        <w:trPr>
          <w:divId w:val="1323463096"/>
        </w:trPr>
        <w:tc>
          <w:tcPr>
            <w:tcW w:w="0" w:type="auto"/>
            <w:gridSpan w:val="3"/>
            <w:tcMar>
              <w:top w:w="30" w:type="dxa"/>
              <w:left w:w="20" w:type="dxa"/>
              <w:bottom w:w="30" w:type="dxa"/>
              <w:right w:w="20" w:type="dxa"/>
            </w:tcMar>
            <w:hideMark/>
          </w:tcPr>
          <w:p w14:paraId="46756863" w14:textId="77777777" w:rsidR="00000000" w:rsidRDefault="00405D16">
            <w:pPr>
              <w:spacing w:after="100"/>
              <w:divId w:val="309214025"/>
              <w:rPr>
                <w:rFonts w:eastAsia="Times New Roman"/>
              </w:rPr>
            </w:pPr>
            <w:hyperlink w:anchor="idd54a04a485440b4ab4e56094c14d612_340" w:history="1">
              <w:r>
                <w:rPr>
                  <w:rStyle w:val="a3"/>
                  <w:rFonts w:eastAsia="Times New Roman"/>
                  <w:color w:val="000000"/>
                  <w:sz w:val="20"/>
                  <w:szCs w:val="20"/>
                  <w:u w:val="none"/>
                </w:rPr>
                <w:t>Consolidated Financial Statements</w:t>
              </w:r>
            </w:hyperlink>
          </w:p>
        </w:tc>
        <w:tc>
          <w:tcPr>
            <w:tcW w:w="0" w:type="auto"/>
            <w:gridSpan w:val="3"/>
            <w:tcMar>
              <w:top w:w="30" w:type="dxa"/>
              <w:left w:w="20" w:type="dxa"/>
              <w:bottom w:w="30" w:type="dxa"/>
              <w:right w:w="20" w:type="dxa"/>
            </w:tcMar>
            <w:hideMark/>
          </w:tcPr>
          <w:p w14:paraId="21328AFD" w14:textId="77777777" w:rsidR="00000000" w:rsidRDefault="00405D16">
            <w:pPr>
              <w:spacing w:after="100"/>
              <w:jc w:val="center"/>
              <w:rPr>
                <w:rFonts w:eastAsia="Times New Roman"/>
              </w:rPr>
            </w:pPr>
            <w:hyperlink w:anchor="idd54a04a485440b4ab4e56094c14d612_340" w:history="1">
              <w:r>
                <w:rPr>
                  <w:rStyle w:val="a3"/>
                  <w:rFonts w:eastAsia="Times New Roman"/>
                  <w:color w:val="000000"/>
                  <w:sz w:val="20"/>
                  <w:szCs w:val="20"/>
                  <w:u w:val="none"/>
                </w:rPr>
                <w:t>69</w:t>
              </w:r>
            </w:hyperlink>
          </w:p>
        </w:tc>
      </w:tr>
      <w:tr w:rsidR="00000000" w14:paraId="5A535E57" w14:textId="77777777">
        <w:trPr>
          <w:divId w:val="1323463096"/>
        </w:trPr>
        <w:tc>
          <w:tcPr>
            <w:tcW w:w="0" w:type="auto"/>
            <w:gridSpan w:val="3"/>
            <w:tcMar>
              <w:top w:w="30" w:type="dxa"/>
              <w:left w:w="20" w:type="dxa"/>
              <w:bottom w:w="30" w:type="dxa"/>
              <w:right w:w="20" w:type="dxa"/>
            </w:tcMar>
            <w:hideMark/>
          </w:tcPr>
          <w:p w14:paraId="580397A0" w14:textId="77777777" w:rsidR="00000000" w:rsidRDefault="00405D16">
            <w:pPr>
              <w:spacing w:after="100"/>
              <w:divId w:val="1862430239"/>
              <w:rPr>
                <w:rFonts w:eastAsia="Times New Roman"/>
              </w:rPr>
            </w:pPr>
            <w:hyperlink w:anchor="idd54a04a485440b4ab4e56094c14d612_343" w:history="1">
              <w:r>
                <w:rPr>
                  <w:rStyle w:val="a3"/>
                  <w:rFonts w:eastAsia="Times New Roman"/>
                  <w:color w:val="000000"/>
                  <w:sz w:val="20"/>
                  <w:szCs w:val="20"/>
                  <w:u w:val="none"/>
                </w:rPr>
                <w:t>Consolidated Statements of Income</w:t>
              </w:r>
            </w:hyperlink>
          </w:p>
        </w:tc>
        <w:tc>
          <w:tcPr>
            <w:tcW w:w="0" w:type="auto"/>
            <w:gridSpan w:val="3"/>
            <w:tcMar>
              <w:top w:w="30" w:type="dxa"/>
              <w:left w:w="20" w:type="dxa"/>
              <w:bottom w:w="30" w:type="dxa"/>
              <w:right w:w="20" w:type="dxa"/>
            </w:tcMar>
            <w:hideMark/>
          </w:tcPr>
          <w:p w14:paraId="1CDCB689" w14:textId="77777777" w:rsidR="00000000" w:rsidRDefault="00405D16">
            <w:pPr>
              <w:spacing w:after="100"/>
              <w:jc w:val="center"/>
              <w:rPr>
                <w:rFonts w:eastAsia="Times New Roman"/>
              </w:rPr>
            </w:pPr>
            <w:hyperlink w:anchor="idd54a04a485440b4ab4e56094c14d612_343" w:history="1">
              <w:r>
                <w:rPr>
                  <w:rStyle w:val="a3"/>
                  <w:rFonts w:eastAsia="Times New Roman"/>
                  <w:color w:val="000000"/>
                  <w:sz w:val="20"/>
                  <w:szCs w:val="20"/>
                  <w:u w:val="none"/>
                </w:rPr>
                <w:t>69</w:t>
              </w:r>
            </w:hyperlink>
          </w:p>
        </w:tc>
      </w:tr>
      <w:tr w:rsidR="00000000" w14:paraId="1AB97F9F" w14:textId="77777777">
        <w:trPr>
          <w:divId w:val="1323463096"/>
        </w:trPr>
        <w:tc>
          <w:tcPr>
            <w:tcW w:w="0" w:type="auto"/>
            <w:gridSpan w:val="3"/>
            <w:tcMar>
              <w:top w:w="30" w:type="dxa"/>
              <w:left w:w="20" w:type="dxa"/>
              <w:bottom w:w="30" w:type="dxa"/>
              <w:right w:w="20" w:type="dxa"/>
            </w:tcMar>
            <w:hideMark/>
          </w:tcPr>
          <w:p w14:paraId="4B570EC4" w14:textId="77777777" w:rsidR="00000000" w:rsidRDefault="00405D16">
            <w:pPr>
              <w:spacing w:after="100"/>
              <w:divId w:val="990984549"/>
              <w:rPr>
                <w:rFonts w:eastAsia="Times New Roman"/>
              </w:rPr>
            </w:pPr>
            <w:hyperlink w:anchor="idd54a04a485440b4ab4e56094c14d612_346" w:history="1">
              <w:r>
                <w:rPr>
                  <w:rStyle w:val="a3"/>
                  <w:rFonts w:eastAsia="Times New Roman"/>
                  <w:color w:val="000000"/>
                  <w:sz w:val="20"/>
                  <w:szCs w:val="20"/>
                  <w:u w:val="none"/>
                </w:rPr>
                <w:t>Consolidated Statements of Comprehensive Income</w:t>
              </w:r>
            </w:hyperlink>
          </w:p>
        </w:tc>
        <w:tc>
          <w:tcPr>
            <w:tcW w:w="0" w:type="auto"/>
            <w:gridSpan w:val="3"/>
            <w:tcMar>
              <w:top w:w="30" w:type="dxa"/>
              <w:left w:w="20" w:type="dxa"/>
              <w:bottom w:w="30" w:type="dxa"/>
              <w:right w:w="20" w:type="dxa"/>
            </w:tcMar>
            <w:hideMark/>
          </w:tcPr>
          <w:p w14:paraId="65DE42E7" w14:textId="77777777" w:rsidR="00000000" w:rsidRDefault="00405D16">
            <w:pPr>
              <w:spacing w:after="100"/>
              <w:jc w:val="center"/>
              <w:rPr>
                <w:rFonts w:eastAsia="Times New Roman"/>
              </w:rPr>
            </w:pPr>
            <w:hyperlink w:anchor="idd54a04a485440b4ab4e56094c14d612_346" w:history="1">
              <w:r>
                <w:rPr>
                  <w:rStyle w:val="a3"/>
                  <w:rFonts w:eastAsia="Times New Roman"/>
                  <w:color w:val="000000"/>
                  <w:sz w:val="20"/>
                  <w:szCs w:val="20"/>
                  <w:u w:val="none"/>
                </w:rPr>
                <w:t>70</w:t>
              </w:r>
            </w:hyperlink>
          </w:p>
        </w:tc>
      </w:tr>
      <w:tr w:rsidR="00000000" w14:paraId="79B7F9E6" w14:textId="77777777">
        <w:trPr>
          <w:divId w:val="1323463096"/>
        </w:trPr>
        <w:tc>
          <w:tcPr>
            <w:tcW w:w="0" w:type="auto"/>
            <w:gridSpan w:val="3"/>
            <w:tcMar>
              <w:top w:w="30" w:type="dxa"/>
              <w:left w:w="20" w:type="dxa"/>
              <w:bottom w:w="30" w:type="dxa"/>
              <w:right w:w="20" w:type="dxa"/>
            </w:tcMar>
            <w:hideMark/>
          </w:tcPr>
          <w:p w14:paraId="5961B939" w14:textId="77777777" w:rsidR="00000000" w:rsidRDefault="00405D16">
            <w:pPr>
              <w:spacing w:after="100"/>
              <w:divId w:val="1921523578"/>
              <w:rPr>
                <w:rFonts w:eastAsia="Times New Roman"/>
              </w:rPr>
            </w:pPr>
            <w:hyperlink w:anchor="idd54a04a485440b4ab4e56094c14d612_349" w:history="1">
              <w:r>
                <w:rPr>
                  <w:rStyle w:val="a3"/>
                  <w:rFonts w:eastAsia="Times New Roman"/>
                  <w:color w:val="000000"/>
                  <w:sz w:val="20"/>
                  <w:szCs w:val="20"/>
                  <w:u w:val="none"/>
                </w:rPr>
                <w:t>Consolidated Balance Sheets</w:t>
              </w:r>
            </w:hyperlink>
          </w:p>
        </w:tc>
        <w:tc>
          <w:tcPr>
            <w:tcW w:w="0" w:type="auto"/>
            <w:gridSpan w:val="3"/>
            <w:tcMar>
              <w:top w:w="30" w:type="dxa"/>
              <w:left w:w="20" w:type="dxa"/>
              <w:bottom w:w="30" w:type="dxa"/>
              <w:right w:w="20" w:type="dxa"/>
            </w:tcMar>
            <w:hideMark/>
          </w:tcPr>
          <w:p w14:paraId="150B9DF8" w14:textId="77777777" w:rsidR="00000000" w:rsidRDefault="00405D16">
            <w:pPr>
              <w:spacing w:after="100"/>
              <w:jc w:val="center"/>
              <w:rPr>
                <w:rFonts w:eastAsia="Times New Roman"/>
              </w:rPr>
            </w:pPr>
            <w:hyperlink w:anchor="idd54a04a485440b4ab4e56094c14d612_349" w:history="1">
              <w:r>
                <w:rPr>
                  <w:rStyle w:val="a3"/>
                  <w:rFonts w:eastAsia="Times New Roman"/>
                  <w:color w:val="000000"/>
                  <w:sz w:val="20"/>
                  <w:szCs w:val="20"/>
                  <w:u w:val="none"/>
                </w:rPr>
                <w:t>71</w:t>
              </w:r>
            </w:hyperlink>
          </w:p>
        </w:tc>
      </w:tr>
      <w:tr w:rsidR="00000000" w14:paraId="1825A0C5" w14:textId="77777777">
        <w:trPr>
          <w:divId w:val="1323463096"/>
        </w:trPr>
        <w:tc>
          <w:tcPr>
            <w:tcW w:w="0" w:type="auto"/>
            <w:gridSpan w:val="3"/>
            <w:tcMar>
              <w:top w:w="30" w:type="dxa"/>
              <w:left w:w="20" w:type="dxa"/>
              <w:bottom w:w="30" w:type="dxa"/>
              <w:right w:w="20" w:type="dxa"/>
            </w:tcMar>
            <w:hideMark/>
          </w:tcPr>
          <w:p w14:paraId="21FADF59" w14:textId="77777777" w:rsidR="00000000" w:rsidRDefault="00405D16">
            <w:pPr>
              <w:spacing w:after="100"/>
              <w:divId w:val="564075196"/>
              <w:rPr>
                <w:rFonts w:eastAsia="Times New Roman"/>
              </w:rPr>
            </w:pPr>
            <w:hyperlink w:anchor="idd54a04a485440b4ab4e56094c14d612_352" w:history="1">
              <w:r>
                <w:rPr>
                  <w:rStyle w:val="a3"/>
                  <w:rFonts w:eastAsia="Times New Roman"/>
                  <w:color w:val="000000"/>
                  <w:sz w:val="20"/>
                  <w:szCs w:val="20"/>
                  <w:u w:val="none"/>
                </w:rPr>
                <w:t>Consolidated Statements of Changes in Stockholders’ Equity</w:t>
              </w:r>
            </w:hyperlink>
          </w:p>
        </w:tc>
        <w:tc>
          <w:tcPr>
            <w:tcW w:w="0" w:type="auto"/>
            <w:gridSpan w:val="3"/>
            <w:tcMar>
              <w:top w:w="30" w:type="dxa"/>
              <w:left w:w="20" w:type="dxa"/>
              <w:bottom w:w="30" w:type="dxa"/>
              <w:right w:w="20" w:type="dxa"/>
            </w:tcMar>
            <w:hideMark/>
          </w:tcPr>
          <w:p w14:paraId="3057174D" w14:textId="77777777" w:rsidR="00000000" w:rsidRDefault="00405D16">
            <w:pPr>
              <w:spacing w:after="100"/>
              <w:jc w:val="center"/>
              <w:rPr>
                <w:rFonts w:eastAsia="Times New Roman"/>
              </w:rPr>
            </w:pPr>
            <w:hyperlink w:anchor="idd54a04a485440b4ab4e56094c14d612_352" w:history="1">
              <w:r>
                <w:rPr>
                  <w:rStyle w:val="a3"/>
                  <w:rFonts w:eastAsia="Times New Roman"/>
                  <w:color w:val="000000"/>
                  <w:sz w:val="20"/>
                  <w:szCs w:val="20"/>
                  <w:u w:val="none"/>
                </w:rPr>
                <w:t>72</w:t>
              </w:r>
            </w:hyperlink>
          </w:p>
        </w:tc>
      </w:tr>
      <w:tr w:rsidR="00000000" w14:paraId="26E2D45B" w14:textId="77777777">
        <w:trPr>
          <w:divId w:val="1323463096"/>
        </w:trPr>
        <w:tc>
          <w:tcPr>
            <w:tcW w:w="0" w:type="auto"/>
            <w:gridSpan w:val="3"/>
            <w:tcMar>
              <w:top w:w="30" w:type="dxa"/>
              <w:left w:w="20" w:type="dxa"/>
              <w:bottom w:w="30" w:type="dxa"/>
              <w:right w:w="20" w:type="dxa"/>
            </w:tcMar>
            <w:hideMark/>
          </w:tcPr>
          <w:p w14:paraId="76955717" w14:textId="77777777" w:rsidR="00000000" w:rsidRDefault="00405D16">
            <w:pPr>
              <w:spacing w:after="100"/>
              <w:divId w:val="680352466"/>
              <w:rPr>
                <w:rFonts w:eastAsia="Times New Roman"/>
              </w:rPr>
            </w:pPr>
            <w:hyperlink w:anchor="idd54a04a485440b4ab4e56094c14d612_355" w:history="1">
              <w:r>
                <w:rPr>
                  <w:rStyle w:val="a3"/>
                  <w:rFonts w:eastAsia="Times New Roman"/>
                  <w:color w:val="000000"/>
                  <w:sz w:val="20"/>
                  <w:szCs w:val="20"/>
                  <w:u w:val="none"/>
                </w:rPr>
                <w:t>Consolidated Statements of Cash Flows</w:t>
              </w:r>
            </w:hyperlink>
          </w:p>
        </w:tc>
        <w:tc>
          <w:tcPr>
            <w:tcW w:w="0" w:type="auto"/>
            <w:gridSpan w:val="3"/>
            <w:tcMar>
              <w:top w:w="30" w:type="dxa"/>
              <w:left w:w="20" w:type="dxa"/>
              <w:bottom w:w="30" w:type="dxa"/>
              <w:right w:w="20" w:type="dxa"/>
            </w:tcMar>
            <w:hideMark/>
          </w:tcPr>
          <w:p w14:paraId="5A3B1007" w14:textId="77777777" w:rsidR="00000000" w:rsidRDefault="00405D16">
            <w:pPr>
              <w:spacing w:after="100"/>
              <w:jc w:val="center"/>
              <w:rPr>
                <w:rFonts w:eastAsia="Times New Roman"/>
              </w:rPr>
            </w:pPr>
            <w:hyperlink w:anchor="idd54a04a485440b4ab4e56094c14d612_355" w:history="1">
              <w:r>
                <w:rPr>
                  <w:rStyle w:val="a3"/>
                  <w:rFonts w:eastAsia="Times New Roman"/>
                  <w:color w:val="000000"/>
                  <w:sz w:val="20"/>
                  <w:szCs w:val="20"/>
                  <w:u w:val="none"/>
                </w:rPr>
                <w:t>74</w:t>
              </w:r>
            </w:hyperlink>
          </w:p>
        </w:tc>
      </w:tr>
      <w:tr w:rsidR="00000000" w14:paraId="491AAC9F" w14:textId="77777777">
        <w:trPr>
          <w:divId w:val="1323463096"/>
        </w:trPr>
        <w:tc>
          <w:tcPr>
            <w:tcW w:w="0" w:type="auto"/>
            <w:gridSpan w:val="3"/>
            <w:tcMar>
              <w:top w:w="30" w:type="dxa"/>
              <w:left w:w="20" w:type="dxa"/>
              <w:bottom w:w="30" w:type="dxa"/>
              <w:right w:w="20" w:type="dxa"/>
            </w:tcMar>
            <w:hideMark/>
          </w:tcPr>
          <w:p w14:paraId="66F96B8A" w14:textId="77777777" w:rsidR="00000000" w:rsidRDefault="00405D16">
            <w:pPr>
              <w:spacing w:after="100"/>
              <w:divId w:val="1406759582"/>
              <w:rPr>
                <w:rFonts w:eastAsia="Times New Roman"/>
              </w:rPr>
            </w:pPr>
            <w:hyperlink w:anchor="idd54a04a485440b4ab4e56094c14d612_358" w:history="1">
              <w:r>
                <w:rPr>
                  <w:rStyle w:val="a3"/>
                  <w:rFonts w:eastAsia="Times New Roman"/>
                  <w:color w:val="000000"/>
                  <w:sz w:val="20"/>
                  <w:szCs w:val="20"/>
                  <w:u w:val="none"/>
                </w:rPr>
                <w:t>Notes to Consolidated Financial Statements</w:t>
              </w:r>
            </w:hyperlink>
          </w:p>
        </w:tc>
        <w:tc>
          <w:tcPr>
            <w:tcW w:w="0" w:type="auto"/>
            <w:gridSpan w:val="3"/>
            <w:tcMar>
              <w:top w:w="30" w:type="dxa"/>
              <w:left w:w="20" w:type="dxa"/>
              <w:bottom w:w="30" w:type="dxa"/>
              <w:right w:w="20" w:type="dxa"/>
            </w:tcMar>
            <w:hideMark/>
          </w:tcPr>
          <w:p w14:paraId="099F8E17" w14:textId="77777777" w:rsidR="00000000" w:rsidRDefault="00405D16">
            <w:pPr>
              <w:spacing w:after="100"/>
              <w:jc w:val="center"/>
              <w:rPr>
                <w:rFonts w:eastAsia="Times New Roman"/>
              </w:rPr>
            </w:pPr>
            <w:hyperlink w:anchor="idd54a04a485440b4ab4e56094c14d612_361" w:history="1">
              <w:r>
                <w:rPr>
                  <w:rStyle w:val="a3"/>
                  <w:rFonts w:eastAsia="Times New Roman"/>
                  <w:color w:val="000000"/>
                  <w:sz w:val="20"/>
                  <w:szCs w:val="20"/>
                  <w:u w:val="none"/>
                </w:rPr>
                <w:t>76</w:t>
              </w:r>
            </w:hyperlink>
          </w:p>
        </w:tc>
      </w:tr>
      <w:tr w:rsidR="00000000" w14:paraId="557CB599" w14:textId="77777777">
        <w:trPr>
          <w:divId w:val="1323463096"/>
        </w:trPr>
        <w:tc>
          <w:tcPr>
            <w:tcW w:w="0" w:type="auto"/>
            <w:gridSpan w:val="3"/>
            <w:tcMar>
              <w:top w:w="30" w:type="dxa"/>
              <w:left w:w="20" w:type="dxa"/>
              <w:bottom w:w="30" w:type="dxa"/>
              <w:right w:w="20" w:type="dxa"/>
            </w:tcMar>
            <w:hideMark/>
          </w:tcPr>
          <w:p w14:paraId="1F5D264E" w14:textId="77777777" w:rsidR="00000000" w:rsidRDefault="00405D16">
            <w:pPr>
              <w:spacing w:after="100"/>
              <w:divId w:val="877663603"/>
              <w:rPr>
                <w:rFonts w:eastAsia="Times New Roman"/>
              </w:rPr>
            </w:pPr>
            <w:hyperlink w:anchor="idd54a04a485440b4ab4e56094c14d612_358" w:history="1">
              <w:r>
                <w:rPr>
                  <w:rStyle w:val="a3"/>
                  <w:rFonts w:eastAsia="Times New Roman"/>
                  <w:color w:val="000000"/>
                  <w:sz w:val="20"/>
                  <w:szCs w:val="20"/>
                  <w:u w:val="none"/>
                </w:rPr>
                <w:t>Note 1—Summary of Significant Accounting Policies</w:t>
              </w:r>
            </w:hyperlink>
          </w:p>
        </w:tc>
        <w:tc>
          <w:tcPr>
            <w:tcW w:w="0" w:type="auto"/>
            <w:gridSpan w:val="3"/>
            <w:tcMar>
              <w:top w:w="30" w:type="dxa"/>
              <w:left w:w="20" w:type="dxa"/>
              <w:bottom w:w="30" w:type="dxa"/>
              <w:right w:w="20" w:type="dxa"/>
            </w:tcMar>
            <w:hideMark/>
          </w:tcPr>
          <w:p w14:paraId="5393504E" w14:textId="77777777" w:rsidR="00000000" w:rsidRDefault="00405D16">
            <w:pPr>
              <w:spacing w:after="100"/>
              <w:jc w:val="center"/>
              <w:rPr>
                <w:rFonts w:eastAsia="Times New Roman"/>
              </w:rPr>
            </w:pPr>
            <w:hyperlink w:anchor="idd54a04a485440b4ab4e56094c14d612_361" w:history="1">
              <w:r>
                <w:rPr>
                  <w:rStyle w:val="a3"/>
                  <w:rFonts w:eastAsia="Times New Roman"/>
                  <w:color w:val="000000"/>
                  <w:sz w:val="20"/>
                  <w:szCs w:val="20"/>
                  <w:u w:val="none"/>
                </w:rPr>
                <w:t>76</w:t>
              </w:r>
            </w:hyperlink>
          </w:p>
        </w:tc>
      </w:tr>
      <w:tr w:rsidR="00000000" w14:paraId="404110B1" w14:textId="77777777">
        <w:trPr>
          <w:divId w:val="1323463096"/>
        </w:trPr>
        <w:tc>
          <w:tcPr>
            <w:tcW w:w="0" w:type="auto"/>
            <w:gridSpan w:val="3"/>
            <w:tcMar>
              <w:top w:w="30" w:type="dxa"/>
              <w:left w:w="20" w:type="dxa"/>
              <w:bottom w:w="30" w:type="dxa"/>
              <w:right w:w="20" w:type="dxa"/>
            </w:tcMar>
            <w:hideMark/>
          </w:tcPr>
          <w:p w14:paraId="2C4F92B0" w14:textId="77777777" w:rsidR="00000000" w:rsidRDefault="00405D16">
            <w:pPr>
              <w:spacing w:after="100"/>
              <w:divId w:val="1800222875"/>
              <w:rPr>
                <w:rFonts w:eastAsia="Times New Roman"/>
              </w:rPr>
            </w:pPr>
            <w:hyperlink w:anchor="idd54a04a485440b4ab4e56094c14d612_364" w:history="1">
              <w:r>
                <w:rPr>
                  <w:rStyle w:val="a3"/>
                  <w:rFonts w:eastAsia="Times New Roman"/>
                  <w:color w:val="000000"/>
                  <w:sz w:val="20"/>
                  <w:szCs w:val="20"/>
                  <w:u w:val="none"/>
                </w:rPr>
                <w:t xml:space="preserve">Note 2—Investment </w:t>
              </w:r>
              <w:r>
                <w:rPr>
                  <w:rStyle w:val="a3"/>
                  <w:rFonts w:eastAsia="Times New Roman"/>
                  <w:color w:val="000000"/>
                  <w:sz w:val="20"/>
                  <w:szCs w:val="20"/>
                  <w:u w:val="none"/>
                </w:rPr>
                <w:t>Securities</w:t>
              </w:r>
            </w:hyperlink>
          </w:p>
        </w:tc>
        <w:tc>
          <w:tcPr>
            <w:tcW w:w="0" w:type="auto"/>
            <w:gridSpan w:val="3"/>
            <w:tcMar>
              <w:top w:w="30" w:type="dxa"/>
              <w:left w:w="20" w:type="dxa"/>
              <w:bottom w:w="30" w:type="dxa"/>
              <w:right w:w="20" w:type="dxa"/>
            </w:tcMar>
            <w:hideMark/>
          </w:tcPr>
          <w:p w14:paraId="03BB3731" w14:textId="77777777" w:rsidR="00000000" w:rsidRDefault="00405D16">
            <w:pPr>
              <w:spacing w:after="100"/>
              <w:jc w:val="center"/>
              <w:rPr>
                <w:rFonts w:eastAsia="Times New Roman"/>
              </w:rPr>
            </w:pPr>
            <w:hyperlink w:anchor="idd54a04a485440b4ab4e56094c14d612_364" w:history="1">
              <w:r>
                <w:rPr>
                  <w:rStyle w:val="a3"/>
                  <w:rFonts w:eastAsia="Times New Roman"/>
                  <w:color w:val="000000"/>
                  <w:sz w:val="20"/>
                  <w:szCs w:val="20"/>
                  <w:u w:val="none"/>
                </w:rPr>
                <w:t>78</w:t>
              </w:r>
            </w:hyperlink>
          </w:p>
        </w:tc>
      </w:tr>
      <w:tr w:rsidR="00000000" w14:paraId="2F4E5F2C" w14:textId="77777777">
        <w:trPr>
          <w:divId w:val="1323463096"/>
        </w:trPr>
        <w:tc>
          <w:tcPr>
            <w:tcW w:w="0" w:type="auto"/>
            <w:gridSpan w:val="3"/>
            <w:tcMar>
              <w:top w:w="30" w:type="dxa"/>
              <w:left w:w="20" w:type="dxa"/>
              <w:bottom w:w="30" w:type="dxa"/>
              <w:right w:w="20" w:type="dxa"/>
            </w:tcMar>
            <w:hideMark/>
          </w:tcPr>
          <w:p w14:paraId="1B2A317E" w14:textId="77777777" w:rsidR="00000000" w:rsidRDefault="00405D16">
            <w:pPr>
              <w:spacing w:after="100"/>
              <w:divId w:val="850527463"/>
              <w:rPr>
                <w:rFonts w:eastAsia="Times New Roman"/>
              </w:rPr>
            </w:pPr>
            <w:hyperlink w:anchor="idd54a04a485440b4ab4e56094c14d612_367" w:history="1">
              <w:r>
                <w:rPr>
                  <w:rStyle w:val="a3"/>
                  <w:rFonts w:eastAsia="Times New Roman"/>
                  <w:color w:val="000000"/>
                  <w:sz w:val="20"/>
                  <w:szCs w:val="20"/>
                  <w:u w:val="none"/>
                </w:rPr>
                <w:t>Note 3—Loans</w:t>
              </w:r>
            </w:hyperlink>
          </w:p>
        </w:tc>
        <w:tc>
          <w:tcPr>
            <w:tcW w:w="0" w:type="auto"/>
            <w:gridSpan w:val="3"/>
            <w:tcMar>
              <w:top w:w="30" w:type="dxa"/>
              <w:left w:w="20" w:type="dxa"/>
              <w:bottom w:w="30" w:type="dxa"/>
              <w:right w:w="20" w:type="dxa"/>
            </w:tcMar>
            <w:hideMark/>
          </w:tcPr>
          <w:p w14:paraId="3CB9646C" w14:textId="77777777" w:rsidR="00000000" w:rsidRDefault="00405D16">
            <w:pPr>
              <w:spacing w:after="100"/>
              <w:jc w:val="center"/>
              <w:rPr>
                <w:rFonts w:eastAsia="Times New Roman"/>
              </w:rPr>
            </w:pPr>
            <w:hyperlink w:anchor="idd54a04a485440b4ab4e56094c14d612_367" w:history="1">
              <w:r>
                <w:rPr>
                  <w:rStyle w:val="a3"/>
                  <w:rFonts w:eastAsia="Times New Roman"/>
                  <w:color w:val="000000"/>
                  <w:sz w:val="20"/>
                  <w:szCs w:val="20"/>
                  <w:u w:val="none"/>
                </w:rPr>
                <w:t>81</w:t>
              </w:r>
            </w:hyperlink>
          </w:p>
        </w:tc>
      </w:tr>
      <w:tr w:rsidR="00000000" w14:paraId="726DAAB9" w14:textId="77777777">
        <w:trPr>
          <w:divId w:val="1323463096"/>
        </w:trPr>
        <w:tc>
          <w:tcPr>
            <w:tcW w:w="0" w:type="auto"/>
            <w:gridSpan w:val="3"/>
            <w:tcMar>
              <w:top w:w="30" w:type="dxa"/>
              <w:left w:w="20" w:type="dxa"/>
              <w:bottom w:w="30" w:type="dxa"/>
              <w:right w:w="20" w:type="dxa"/>
            </w:tcMar>
            <w:hideMark/>
          </w:tcPr>
          <w:p w14:paraId="6CA5EFF3" w14:textId="77777777" w:rsidR="00000000" w:rsidRDefault="00405D16">
            <w:pPr>
              <w:spacing w:after="100"/>
              <w:divId w:val="297536587"/>
              <w:rPr>
                <w:rFonts w:eastAsia="Times New Roman"/>
              </w:rPr>
            </w:pPr>
            <w:hyperlink w:anchor="idd54a04a485440b4ab4e56094c14d612_391" w:history="1">
              <w:r>
                <w:rPr>
                  <w:rStyle w:val="a3"/>
                  <w:rFonts w:eastAsia="Times New Roman"/>
                  <w:color w:val="000000"/>
                  <w:sz w:val="20"/>
                  <w:szCs w:val="20"/>
                  <w:u w:val="none"/>
                </w:rPr>
                <w:t>Note 4—Allowance for Credit Losses and Reserve for Unfunded Lending Commitments</w:t>
              </w:r>
            </w:hyperlink>
          </w:p>
        </w:tc>
        <w:tc>
          <w:tcPr>
            <w:tcW w:w="0" w:type="auto"/>
            <w:gridSpan w:val="3"/>
            <w:tcMar>
              <w:top w:w="30" w:type="dxa"/>
              <w:left w:w="20" w:type="dxa"/>
              <w:bottom w:w="30" w:type="dxa"/>
              <w:right w:w="20" w:type="dxa"/>
            </w:tcMar>
            <w:hideMark/>
          </w:tcPr>
          <w:p w14:paraId="34F33CBB" w14:textId="77777777" w:rsidR="00000000" w:rsidRDefault="00405D16">
            <w:pPr>
              <w:spacing w:after="100"/>
              <w:jc w:val="center"/>
              <w:rPr>
                <w:rFonts w:eastAsia="Times New Roman"/>
              </w:rPr>
            </w:pPr>
            <w:hyperlink w:anchor="idd54a04a485440b4ab4e56094c14d612_391" w:history="1">
              <w:r>
                <w:rPr>
                  <w:rStyle w:val="a3"/>
                  <w:rFonts w:eastAsia="Times New Roman"/>
                  <w:color w:val="000000"/>
                  <w:sz w:val="20"/>
                  <w:szCs w:val="20"/>
                  <w:u w:val="none"/>
                </w:rPr>
                <w:t>92</w:t>
              </w:r>
            </w:hyperlink>
          </w:p>
        </w:tc>
      </w:tr>
      <w:tr w:rsidR="00000000" w14:paraId="6E89E3B3" w14:textId="77777777">
        <w:trPr>
          <w:divId w:val="1323463096"/>
        </w:trPr>
        <w:tc>
          <w:tcPr>
            <w:tcW w:w="0" w:type="auto"/>
            <w:gridSpan w:val="3"/>
            <w:tcMar>
              <w:top w:w="30" w:type="dxa"/>
              <w:left w:w="20" w:type="dxa"/>
              <w:bottom w:w="30" w:type="dxa"/>
              <w:right w:w="20" w:type="dxa"/>
            </w:tcMar>
            <w:hideMark/>
          </w:tcPr>
          <w:p w14:paraId="743B5E69" w14:textId="77777777" w:rsidR="00000000" w:rsidRDefault="00405D16">
            <w:pPr>
              <w:spacing w:after="100"/>
              <w:divId w:val="346442564"/>
              <w:rPr>
                <w:rFonts w:eastAsia="Times New Roman"/>
              </w:rPr>
            </w:pPr>
            <w:hyperlink w:anchor="idd54a04a485440b4ab4e56094c14d612_394" w:history="1">
              <w:r>
                <w:rPr>
                  <w:rStyle w:val="a3"/>
                  <w:rFonts w:eastAsia="Times New Roman"/>
                  <w:color w:val="000000"/>
                  <w:sz w:val="20"/>
                  <w:szCs w:val="20"/>
                  <w:u w:val="none"/>
                </w:rPr>
                <w:t>Note 5—Variable Interest Entities and Securitizations</w:t>
              </w:r>
            </w:hyperlink>
          </w:p>
        </w:tc>
        <w:tc>
          <w:tcPr>
            <w:tcW w:w="0" w:type="auto"/>
            <w:gridSpan w:val="3"/>
            <w:tcMar>
              <w:top w:w="30" w:type="dxa"/>
              <w:left w:w="20" w:type="dxa"/>
              <w:bottom w:w="30" w:type="dxa"/>
              <w:right w:w="20" w:type="dxa"/>
            </w:tcMar>
            <w:hideMark/>
          </w:tcPr>
          <w:p w14:paraId="24A1CEDE" w14:textId="77777777" w:rsidR="00000000" w:rsidRDefault="00405D16">
            <w:pPr>
              <w:spacing w:after="100"/>
              <w:jc w:val="center"/>
              <w:rPr>
                <w:rFonts w:eastAsia="Times New Roman"/>
              </w:rPr>
            </w:pPr>
            <w:hyperlink w:anchor="idd54a04a485440b4ab4e56094c14d612_394" w:history="1">
              <w:r>
                <w:rPr>
                  <w:rStyle w:val="a3"/>
                  <w:rFonts w:eastAsia="Times New Roman"/>
                  <w:color w:val="000000"/>
                  <w:sz w:val="20"/>
                  <w:szCs w:val="20"/>
                  <w:u w:val="none"/>
                </w:rPr>
                <w:t>96</w:t>
              </w:r>
            </w:hyperlink>
          </w:p>
        </w:tc>
      </w:tr>
      <w:tr w:rsidR="00000000" w14:paraId="42273C5D" w14:textId="77777777">
        <w:trPr>
          <w:divId w:val="1323463096"/>
        </w:trPr>
        <w:tc>
          <w:tcPr>
            <w:tcW w:w="0" w:type="auto"/>
            <w:gridSpan w:val="3"/>
            <w:tcMar>
              <w:top w:w="30" w:type="dxa"/>
              <w:left w:w="20" w:type="dxa"/>
              <w:bottom w:w="30" w:type="dxa"/>
              <w:right w:w="20" w:type="dxa"/>
            </w:tcMar>
            <w:hideMark/>
          </w:tcPr>
          <w:p w14:paraId="3AF14E0D" w14:textId="77777777" w:rsidR="00000000" w:rsidRDefault="00405D16">
            <w:pPr>
              <w:spacing w:after="100"/>
              <w:divId w:val="78141191"/>
              <w:rPr>
                <w:rFonts w:eastAsia="Times New Roman"/>
              </w:rPr>
            </w:pPr>
            <w:hyperlink w:anchor="idd54a04a485440b4ab4e56094c14d612_397" w:history="1">
              <w:r>
                <w:rPr>
                  <w:rStyle w:val="a3"/>
                  <w:rFonts w:eastAsia="Times New Roman"/>
                  <w:color w:val="000000"/>
                  <w:sz w:val="20"/>
                  <w:szCs w:val="20"/>
                  <w:u w:val="none"/>
                </w:rPr>
                <w:t>Note 6—</w:t>
              </w:r>
              <w:r>
                <w:rPr>
                  <w:rStyle w:val="a3"/>
                  <w:rFonts w:eastAsia="Times New Roman"/>
                  <w:color w:val="000000"/>
                  <w:sz w:val="20"/>
                  <w:szCs w:val="20"/>
                  <w:u w:val="none"/>
                </w:rPr>
                <w:t>Goodwill and Intangible Assets</w:t>
              </w:r>
            </w:hyperlink>
          </w:p>
        </w:tc>
        <w:tc>
          <w:tcPr>
            <w:tcW w:w="0" w:type="auto"/>
            <w:gridSpan w:val="3"/>
            <w:tcMar>
              <w:top w:w="30" w:type="dxa"/>
              <w:left w:w="20" w:type="dxa"/>
              <w:bottom w:w="30" w:type="dxa"/>
              <w:right w:w="20" w:type="dxa"/>
            </w:tcMar>
            <w:hideMark/>
          </w:tcPr>
          <w:p w14:paraId="564C24A9" w14:textId="77777777" w:rsidR="00000000" w:rsidRDefault="00405D16">
            <w:pPr>
              <w:spacing w:after="100"/>
              <w:jc w:val="center"/>
              <w:rPr>
                <w:rFonts w:eastAsia="Times New Roman"/>
              </w:rPr>
            </w:pPr>
            <w:hyperlink w:anchor="idd54a04a485440b4ab4e56094c14d612_397" w:history="1">
              <w:r>
                <w:rPr>
                  <w:rStyle w:val="a3"/>
                  <w:rFonts w:eastAsia="Times New Roman"/>
                  <w:color w:val="000000"/>
                  <w:sz w:val="20"/>
                  <w:szCs w:val="20"/>
                  <w:u w:val="none"/>
                </w:rPr>
                <w:t>100</w:t>
              </w:r>
            </w:hyperlink>
          </w:p>
        </w:tc>
      </w:tr>
      <w:tr w:rsidR="00000000" w14:paraId="09FC0499" w14:textId="77777777">
        <w:trPr>
          <w:divId w:val="1323463096"/>
        </w:trPr>
        <w:tc>
          <w:tcPr>
            <w:tcW w:w="0" w:type="auto"/>
            <w:gridSpan w:val="3"/>
            <w:vAlign w:val="center"/>
            <w:hideMark/>
          </w:tcPr>
          <w:p w14:paraId="764394DF" w14:textId="77777777" w:rsidR="00000000" w:rsidRDefault="00405D16">
            <w:pPr>
              <w:spacing w:after="100"/>
              <w:jc w:val="center"/>
              <w:rPr>
                <w:rFonts w:eastAsia="Times New Roman"/>
              </w:rPr>
            </w:pPr>
          </w:p>
        </w:tc>
        <w:tc>
          <w:tcPr>
            <w:tcW w:w="0" w:type="auto"/>
            <w:gridSpan w:val="3"/>
            <w:vAlign w:val="center"/>
            <w:hideMark/>
          </w:tcPr>
          <w:p w14:paraId="19B32E18" w14:textId="77777777" w:rsidR="00000000" w:rsidRDefault="00405D16">
            <w:pPr>
              <w:spacing w:after="100"/>
              <w:rPr>
                <w:rFonts w:eastAsia="Times New Roman"/>
                <w:sz w:val="20"/>
                <w:szCs w:val="20"/>
              </w:rPr>
            </w:pPr>
          </w:p>
        </w:tc>
      </w:tr>
      <w:tr w:rsidR="00000000" w14:paraId="7A905D10" w14:textId="77777777">
        <w:trPr>
          <w:divId w:val="1323463096"/>
        </w:trPr>
        <w:tc>
          <w:tcPr>
            <w:tcW w:w="0" w:type="auto"/>
            <w:gridSpan w:val="3"/>
            <w:tcMar>
              <w:top w:w="30" w:type="dxa"/>
              <w:left w:w="20" w:type="dxa"/>
              <w:bottom w:w="30" w:type="dxa"/>
              <w:right w:w="20" w:type="dxa"/>
            </w:tcMar>
            <w:hideMark/>
          </w:tcPr>
          <w:p w14:paraId="244905B3" w14:textId="77777777" w:rsidR="00000000" w:rsidRDefault="00405D16">
            <w:pPr>
              <w:spacing w:after="100"/>
              <w:divId w:val="1232547665"/>
              <w:rPr>
                <w:rFonts w:eastAsia="Times New Roman"/>
              </w:rPr>
            </w:pPr>
            <w:hyperlink w:anchor="idd54a04a485440b4ab4e56094c14d612_403" w:history="1">
              <w:r>
                <w:rPr>
                  <w:rStyle w:val="a3"/>
                  <w:rFonts w:eastAsia="Times New Roman"/>
                  <w:color w:val="000000"/>
                  <w:sz w:val="20"/>
                  <w:szCs w:val="20"/>
                  <w:u w:val="none"/>
                </w:rPr>
                <w:t>Note 7—Deposits and Borrowings</w:t>
              </w:r>
            </w:hyperlink>
          </w:p>
        </w:tc>
        <w:tc>
          <w:tcPr>
            <w:tcW w:w="0" w:type="auto"/>
            <w:gridSpan w:val="3"/>
            <w:tcMar>
              <w:top w:w="30" w:type="dxa"/>
              <w:left w:w="20" w:type="dxa"/>
              <w:bottom w:w="30" w:type="dxa"/>
              <w:right w:w="20" w:type="dxa"/>
            </w:tcMar>
            <w:hideMark/>
          </w:tcPr>
          <w:p w14:paraId="206C6CA3" w14:textId="77777777" w:rsidR="00000000" w:rsidRDefault="00405D16">
            <w:pPr>
              <w:spacing w:after="100"/>
              <w:jc w:val="center"/>
              <w:rPr>
                <w:rFonts w:eastAsia="Times New Roman"/>
              </w:rPr>
            </w:pPr>
            <w:hyperlink w:anchor="idd54a04a485440b4ab4e56094c14d612_403" w:history="1">
              <w:r>
                <w:rPr>
                  <w:rStyle w:val="a3"/>
                  <w:rFonts w:eastAsia="Times New Roman"/>
                  <w:color w:val="000000"/>
                  <w:sz w:val="20"/>
                  <w:szCs w:val="20"/>
                  <w:u w:val="none"/>
                </w:rPr>
                <w:t>101</w:t>
              </w:r>
            </w:hyperlink>
          </w:p>
        </w:tc>
      </w:tr>
      <w:tr w:rsidR="00000000" w14:paraId="45CCC3F1" w14:textId="77777777">
        <w:trPr>
          <w:divId w:val="1323463096"/>
        </w:trPr>
        <w:tc>
          <w:tcPr>
            <w:tcW w:w="0" w:type="auto"/>
            <w:gridSpan w:val="3"/>
            <w:tcMar>
              <w:top w:w="30" w:type="dxa"/>
              <w:left w:w="20" w:type="dxa"/>
              <w:bottom w:w="30" w:type="dxa"/>
              <w:right w:w="20" w:type="dxa"/>
            </w:tcMar>
            <w:hideMark/>
          </w:tcPr>
          <w:p w14:paraId="0F4F2354" w14:textId="77777777" w:rsidR="00000000" w:rsidRDefault="00405D16">
            <w:pPr>
              <w:spacing w:after="100"/>
              <w:divId w:val="1512406602"/>
              <w:rPr>
                <w:rFonts w:eastAsia="Times New Roman"/>
              </w:rPr>
            </w:pPr>
            <w:hyperlink w:anchor="idd54a04a485440b4ab4e56094c14d612_406" w:history="1">
              <w:r>
                <w:rPr>
                  <w:rStyle w:val="a3"/>
                  <w:rFonts w:eastAsia="Times New Roman"/>
                  <w:color w:val="000000"/>
                  <w:sz w:val="20"/>
                  <w:szCs w:val="20"/>
                  <w:u w:val="none"/>
                </w:rPr>
                <w:t>Note 8—Derivative Instruments and Hedging Activities</w:t>
              </w:r>
            </w:hyperlink>
          </w:p>
        </w:tc>
        <w:tc>
          <w:tcPr>
            <w:tcW w:w="0" w:type="auto"/>
            <w:gridSpan w:val="3"/>
            <w:tcMar>
              <w:top w:w="30" w:type="dxa"/>
              <w:left w:w="20" w:type="dxa"/>
              <w:bottom w:w="30" w:type="dxa"/>
              <w:right w:w="20" w:type="dxa"/>
            </w:tcMar>
            <w:hideMark/>
          </w:tcPr>
          <w:p w14:paraId="6A0B125F" w14:textId="77777777" w:rsidR="00000000" w:rsidRDefault="00405D16">
            <w:pPr>
              <w:spacing w:after="100"/>
              <w:jc w:val="center"/>
              <w:rPr>
                <w:rFonts w:eastAsia="Times New Roman"/>
              </w:rPr>
            </w:pPr>
            <w:hyperlink w:anchor="idd54a04a485440b4ab4e56094c14d612_406" w:history="1">
              <w:r>
                <w:rPr>
                  <w:rStyle w:val="a3"/>
                  <w:rFonts w:eastAsia="Times New Roman"/>
                  <w:color w:val="000000"/>
                  <w:sz w:val="20"/>
                  <w:szCs w:val="20"/>
                  <w:u w:val="none"/>
                </w:rPr>
                <w:t>102</w:t>
              </w:r>
            </w:hyperlink>
          </w:p>
        </w:tc>
      </w:tr>
      <w:tr w:rsidR="00000000" w14:paraId="11397DAD" w14:textId="77777777">
        <w:trPr>
          <w:divId w:val="1323463096"/>
        </w:trPr>
        <w:tc>
          <w:tcPr>
            <w:tcW w:w="0" w:type="auto"/>
            <w:gridSpan w:val="3"/>
            <w:tcMar>
              <w:top w:w="30" w:type="dxa"/>
              <w:left w:w="20" w:type="dxa"/>
              <w:bottom w:w="30" w:type="dxa"/>
              <w:right w:w="20" w:type="dxa"/>
            </w:tcMar>
            <w:hideMark/>
          </w:tcPr>
          <w:p w14:paraId="5B85D0F0" w14:textId="77777777" w:rsidR="00000000" w:rsidRDefault="00405D16">
            <w:pPr>
              <w:spacing w:after="100"/>
              <w:divId w:val="462312533"/>
              <w:rPr>
                <w:rFonts w:eastAsia="Times New Roman"/>
              </w:rPr>
            </w:pPr>
            <w:hyperlink w:anchor="idd54a04a485440b4ab4e56094c14d612_409" w:history="1">
              <w:r>
                <w:rPr>
                  <w:rStyle w:val="a3"/>
                  <w:rFonts w:eastAsia="Times New Roman"/>
                  <w:color w:val="000000"/>
                  <w:sz w:val="20"/>
                  <w:szCs w:val="20"/>
                  <w:u w:val="none"/>
                </w:rPr>
                <w:t>Note 9—Stockholders’ Equity</w:t>
              </w:r>
            </w:hyperlink>
          </w:p>
        </w:tc>
        <w:tc>
          <w:tcPr>
            <w:tcW w:w="0" w:type="auto"/>
            <w:gridSpan w:val="3"/>
            <w:tcMar>
              <w:top w:w="30" w:type="dxa"/>
              <w:left w:w="20" w:type="dxa"/>
              <w:bottom w:w="30" w:type="dxa"/>
              <w:right w:w="20" w:type="dxa"/>
            </w:tcMar>
            <w:hideMark/>
          </w:tcPr>
          <w:p w14:paraId="37AD5F9B" w14:textId="77777777" w:rsidR="00000000" w:rsidRDefault="00405D16">
            <w:pPr>
              <w:spacing w:after="100"/>
              <w:jc w:val="center"/>
              <w:rPr>
                <w:rFonts w:eastAsia="Times New Roman"/>
              </w:rPr>
            </w:pPr>
            <w:hyperlink w:anchor="idd54a04a485440b4ab4e56094c14d612_409" w:history="1">
              <w:r>
                <w:rPr>
                  <w:rStyle w:val="a3"/>
                  <w:rFonts w:eastAsia="Times New Roman"/>
                  <w:color w:val="000000"/>
                  <w:sz w:val="20"/>
                  <w:szCs w:val="20"/>
                  <w:u w:val="none"/>
                </w:rPr>
                <w:t>112</w:t>
              </w:r>
            </w:hyperlink>
          </w:p>
        </w:tc>
      </w:tr>
      <w:tr w:rsidR="00000000" w14:paraId="255A5A67" w14:textId="77777777">
        <w:trPr>
          <w:divId w:val="1323463096"/>
        </w:trPr>
        <w:tc>
          <w:tcPr>
            <w:tcW w:w="0" w:type="auto"/>
            <w:gridSpan w:val="3"/>
            <w:vAlign w:val="center"/>
            <w:hideMark/>
          </w:tcPr>
          <w:p w14:paraId="65970A72" w14:textId="77777777" w:rsidR="00000000" w:rsidRDefault="00405D16">
            <w:pPr>
              <w:spacing w:after="100"/>
              <w:jc w:val="center"/>
              <w:rPr>
                <w:rFonts w:eastAsia="Times New Roman"/>
              </w:rPr>
            </w:pPr>
          </w:p>
        </w:tc>
        <w:tc>
          <w:tcPr>
            <w:tcW w:w="0" w:type="auto"/>
            <w:gridSpan w:val="3"/>
            <w:vAlign w:val="center"/>
            <w:hideMark/>
          </w:tcPr>
          <w:p w14:paraId="6E78A4E2" w14:textId="77777777" w:rsidR="00000000" w:rsidRDefault="00405D16">
            <w:pPr>
              <w:spacing w:after="100"/>
              <w:rPr>
                <w:rFonts w:eastAsia="Times New Roman"/>
                <w:sz w:val="20"/>
                <w:szCs w:val="20"/>
              </w:rPr>
            </w:pPr>
          </w:p>
        </w:tc>
      </w:tr>
      <w:tr w:rsidR="00000000" w14:paraId="7C707670" w14:textId="77777777">
        <w:trPr>
          <w:divId w:val="1323463096"/>
        </w:trPr>
        <w:tc>
          <w:tcPr>
            <w:tcW w:w="0" w:type="auto"/>
            <w:gridSpan w:val="3"/>
            <w:tcMar>
              <w:top w:w="30" w:type="dxa"/>
              <w:left w:w="20" w:type="dxa"/>
              <w:bottom w:w="30" w:type="dxa"/>
              <w:right w:w="20" w:type="dxa"/>
            </w:tcMar>
            <w:hideMark/>
          </w:tcPr>
          <w:p w14:paraId="164AF544" w14:textId="77777777" w:rsidR="00000000" w:rsidRDefault="00405D16">
            <w:pPr>
              <w:spacing w:after="100"/>
              <w:divId w:val="1832410427"/>
              <w:rPr>
                <w:rFonts w:eastAsia="Times New Roman"/>
              </w:rPr>
            </w:pPr>
            <w:hyperlink w:anchor="idd54a04a485440b4ab4e56094c14d612_418" w:history="1">
              <w:r>
                <w:rPr>
                  <w:rStyle w:val="a3"/>
                  <w:rFonts w:eastAsia="Times New Roman"/>
                  <w:color w:val="000000"/>
                  <w:sz w:val="20"/>
                  <w:szCs w:val="20"/>
                  <w:u w:val="none"/>
                </w:rPr>
                <w:t>Note 10—Earnings Per Common Share</w:t>
              </w:r>
            </w:hyperlink>
          </w:p>
        </w:tc>
        <w:tc>
          <w:tcPr>
            <w:tcW w:w="0" w:type="auto"/>
            <w:gridSpan w:val="3"/>
            <w:tcMar>
              <w:top w:w="30" w:type="dxa"/>
              <w:left w:w="20" w:type="dxa"/>
              <w:bottom w:w="30" w:type="dxa"/>
              <w:right w:w="20" w:type="dxa"/>
            </w:tcMar>
            <w:hideMark/>
          </w:tcPr>
          <w:p w14:paraId="54AFEEFE" w14:textId="77777777" w:rsidR="00000000" w:rsidRDefault="00405D16">
            <w:pPr>
              <w:spacing w:after="100"/>
              <w:jc w:val="center"/>
              <w:rPr>
                <w:rFonts w:eastAsia="Times New Roman"/>
              </w:rPr>
            </w:pPr>
            <w:hyperlink w:anchor="idd54a04a485440b4ab4e56094c14d612_418" w:history="1">
              <w:r>
                <w:rPr>
                  <w:rStyle w:val="a3"/>
                  <w:rFonts w:eastAsia="Times New Roman"/>
                  <w:color w:val="000000"/>
                  <w:sz w:val="20"/>
                  <w:szCs w:val="20"/>
                  <w:u w:val="none"/>
                </w:rPr>
                <w:t>116</w:t>
              </w:r>
            </w:hyperlink>
          </w:p>
        </w:tc>
      </w:tr>
      <w:tr w:rsidR="00000000" w14:paraId="7A322097" w14:textId="77777777">
        <w:trPr>
          <w:divId w:val="1323463096"/>
        </w:trPr>
        <w:tc>
          <w:tcPr>
            <w:tcW w:w="0" w:type="auto"/>
            <w:gridSpan w:val="3"/>
            <w:vAlign w:val="center"/>
            <w:hideMark/>
          </w:tcPr>
          <w:p w14:paraId="017CA3AC" w14:textId="77777777" w:rsidR="00000000" w:rsidRDefault="00405D16">
            <w:pPr>
              <w:spacing w:after="100"/>
              <w:jc w:val="center"/>
              <w:rPr>
                <w:rFonts w:eastAsia="Times New Roman"/>
              </w:rPr>
            </w:pPr>
          </w:p>
        </w:tc>
        <w:tc>
          <w:tcPr>
            <w:tcW w:w="0" w:type="auto"/>
            <w:gridSpan w:val="3"/>
            <w:vAlign w:val="center"/>
            <w:hideMark/>
          </w:tcPr>
          <w:p w14:paraId="259FB010" w14:textId="77777777" w:rsidR="00000000" w:rsidRDefault="00405D16">
            <w:pPr>
              <w:spacing w:after="100"/>
              <w:rPr>
                <w:rFonts w:eastAsia="Times New Roman"/>
                <w:sz w:val="20"/>
                <w:szCs w:val="20"/>
              </w:rPr>
            </w:pPr>
          </w:p>
        </w:tc>
      </w:tr>
      <w:tr w:rsidR="00000000" w14:paraId="11597735" w14:textId="77777777">
        <w:trPr>
          <w:divId w:val="1323463096"/>
        </w:trPr>
        <w:tc>
          <w:tcPr>
            <w:tcW w:w="0" w:type="auto"/>
            <w:gridSpan w:val="3"/>
            <w:vAlign w:val="center"/>
            <w:hideMark/>
          </w:tcPr>
          <w:p w14:paraId="701930D5" w14:textId="77777777" w:rsidR="00000000" w:rsidRDefault="00405D16">
            <w:pPr>
              <w:spacing w:after="100"/>
              <w:rPr>
                <w:rFonts w:eastAsia="Times New Roman"/>
                <w:sz w:val="20"/>
                <w:szCs w:val="20"/>
              </w:rPr>
            </w:pPr>
          </w:p>
        </w:tc>
        <w:tc>
          <w:tcPr>
            <w:tcW w:w="0" w:type="auto"/>
            <w:gridSpan w:val="3"/>
            <w:vAlign w:val="center"/>
            <w:hideMark/>
          </w:tcPr>
          <w:p w14:paraId="11735A3C" w14:textId="77777777" w:rsidR="00000000" w:rsidRDefault="00405D16">
            <w:pPr>
              <w:spacing w:after="100"/>
              <w:rPr>
                <w:rFonts w:eastAsia="Times New Roman"/>
                <w:sz w:val="20"/>
                <w:szCs w:val="20"/>
              </w:rPr>
            </w:pPr>
          </w:p>
        </w:tc>
      </w:tr>
      <w:tr w:rsidR="00000000" w14:paraId="0A7831E8" w14:textId="77777777">
        <w:trPr>
          <w:divId w:val="1323463096"/>
        </w:trPr>
        <w:tc>
          <w:tcPr>
            <w:tcW w:w="0" w:type="auto"/>
            <w:gridSpan w:val="3"/>
            <w:vAlign w:val="center"/>
            <w:hideMark/>
          </w:tcPr>
          <w:p w14:paraId="303EE3B4" w14:textId="77777777" w:rsidR="00000000" w:rsidRDefault="00405D16">
            <w:pPr>
              <w:spacing w:after="100"/>
              <w:rPr>
                <w:rFonts w:eastAsia="Times New Roman"/>
                <w:sz w:val="20"/>
                <w:szCs w:val="20"/>
              </w:rPr>
            </w:pPr>
          </w:p>
        </w:tc>
        <w:tc>
          <w:tcPr>
            <w:tcW w:w="0" w:type="auto"/>
            <w:gridSpan w:val="3"/>
            <w:vAlign w:val="center"/>
            <w:hideMark/>
          </w:tcPr>
          <w:p w14:paraId="77B233C0" w14:textId="77777777" w:rsidR="00000000" w:rsidRDefault="00405D16">
            <w:pPr>
              <w:spacing w:after="100"/>
              <w:rPr>
                <w:rFonts w:eastAsia="Times New Roman"/>
                <w:sz w:val="20"/>
                <w:szCs w:val="20"/>
              </w:rPr>
            </w:pPr>
          </w:p>
        </w:tc>
      </w:tr>
      <w:tr w:rsidR="00000000" w14:paraId="19B116F3" w14:textId="77777777">
        <w:trPr>
          <w:divId w:val="1323463096"/>
        </w:trPr>
        <w:tc>
          <w:tcPr>
            <w:tcW w:w="0" w:type="auto"/>
            <w:gridSpan w:val="3"/>
            <w:tcMar>
              <w:top w:w="30" w:type="dxa"/>
              <w:left w:w="20" w:type="dxa"/>
              <w:bottom w:w="30" w:type="dxa"/>
              <w:right w:w="20" w:type="dxa"/>
            </w:tcMar>
            <w:hideMark/>
          </w:tcPr>
          <w:p w14:paraId="401F4D26" w14:textId="77777777" w:rsidR="00000000" w:rsidRDefault="00405D16">
            <w:pPr>
              <w:spacing w:after="100"/>
              <w:divId w:val="1085224641"/>
              <w:rPr>
                <w:rFonts w:eastAsia="Times New Roman"/>
              </w:rPr>
            </w:pPr>
            <w:hyperlink w:anchor="idd54a04a485440b4ab4e56094c14d612_430" w:history="1">
              <w:r>
                <w:rPr>
                  <w:rStyle w:val="a3"/>
                  <w:rFonts w:eastAsia="Times New Roman"/>
                  <w:color w:val="000000"/>
                  <w:sz w:val="20"/>
                  <w:szCs w:val="20"/>
                  <w:u w:val="none"/>
                </w:rPr>
                <w:t>Note 11—Fair Value Measurement</w:t>
              </w:r>
            </w:hyperlink>
          </w:p>
        </w:tc>
        <w:tc>
          <w:tcPr>
            <w:tcW w:w="0" w:type="auto"/>
            <w:gridSpan w:val="3"/>
            <w:tcMar>
              <w:top w:w="30" w:type="dxa"/>
              <w:left w:w="20" w:type="dxa"/>
              <w:bottom w:w="30" w:type="dxa"/>
              <w:right w:w="20" w:type="dxa"/>
            </w:tcMar>
            <w:hideMark/>
          </w:tcPr>
          <w:p w14:paraId="0BDF89AB" w14:textId="77777777" w:rsidR="00000000" w:rsidRDefault="00405D16">
            <w:pPr>
              <w:spacing w:after="100"/>
              <w:jc w:val="center"/>
              <w:rPr>
                <w:rFonts w:eastAsia="Times New Roman"/>
              </w:rPr>
            </w:pPr>
            <w:hyperlink w:anchor="idd54a04a485440b4ab4e56094c14d612_430" w:history="1">
              <w:r>
                <w:rPr>
                  <w:rStyle w:val="a3"/>
                  <w:rFonts w:eastAsia="Times New Roman"/>
                  <w:color w:val="000000"/>
                  <w:sz w:val="20"/>
                  <w:szCs w:val="20"/>
                  <w:u w:val="none"/>
                </w:rPr>
                <w:t>117</w:t>
              </w:r>
            </w:hyperlink>
          </w:p>
        </w:tc>
      </w:tr>
      <w:tr w:rsidR="00000000" w14:paraId="5B665A20" w14:textId="77777777">
        <w:trPr>
          <w:divId w:val="1323463096"/>
        </w:trPr>
        <w:tc>
          <w:tcPr>
            <w:tcW w:w="0" w:type="auto"/>
            <w:gridSpan w:val="3"/>
            <w:tcMar>
              <w:top w:w="30" w:type="dxa"/>
              <w:left w:w="20" w:type="dxa"/>
              <w:bottom w:w="30" w:type="dxa"/>
              <w:right w:w="20" w:type="dxa"/>
            </w:tcMar>
            <w:hideMark/>
          </w:tcPr>
          <w:p w14:paraId="39CA3A1A" w14:textId="77777777" w:rsidR="00000000" w:rsidRDefault="00405D16">
            <w:pPr>
              <w:spacing w:after="100"/>
              <w:divId w:val="802120379"/>
              <w:rPr>
                <w:rFonts w:eastAsia="Times New Roman"/>
              </w:rPr>
            </w:pPr>
            <w:hyperlink w:anchor="idd54a04a485440b4ab4e56094c14d612_433" w:history="1">
              <w:r>
                <w:rPr>
                  <w:rStyle w:val="a3"/>
                  <w:rFonts w:eastAsia="Times New Roman"/>
                  <w:color w:val="000000"/>
                  <w:sz w:val="20"/>
                  <w:szCs w:val="20"/>
                  <w:u w:val="none"/>
                </w:rPr>
                <w:t>Note 12—</w:t>
              </w:r>
              <w:r>
                <w:rPr>
                  <w:rStyle w:val="a3"/>
                  <w:rFonts w:eastAsia="Times New Roman"/>
                  <w:color w:val="000000"/>
                  <w:sz w:val="20"/>
                  <w:szCs w:val="20"/>
                  <w:u w:val="none"/>
                </w:rPr>
                <w:t>Business Segments and Revenue from Contracts with Customers</w:t>
              </w:r>
            </w:hyperlink>
          </w:p>
        </w:tc>
        <w:tc>
          <w:tcPr>
            <w:tcW w:w="0" w:type="auto"/>
            <w:gridSpan w:val="3"/>
            <w:tcMar>
              <w:top w:w="30" w:type="dxa"/>
              <w:left w:w="20" w:type="dxa"/>
              <w:bottom w:w="30" w:type="dxa"/>
              <w:right w:w="20" w:type="dxa"/>
            </w:tcMar>
            <w:hideMark/>
          </w:tcPr>
          <w:p w14:paraId="1E23B869" w14:textId="77777777" w:rsidR="00000000" w:rsidRDefault="00405D16">
            <w:pPr>
              <w:spacing w:after="100"/>
              <w:jc w:val="center"/>
              <w:rPr>
                <w:rFonts w:eastAsia="Times New Roman"/>
              </w:rPr>
            </w:pPr>
            <w:hyperlink w:anchor="idd54a04a485440b4ab4e56094c14d612_433" w:history="1">
              <w:r>
                <w:rPr>
                  <w:rStyle w:val="a3"/>
                  <w:rFonts w:eastAsia="Times New Roman"/>
                  <w:color w:val="000000"/>
                  <w:sz w:val="20"/>
                  <w:szCs w:val="20"/>
                  <w:u w:val="none"/>
                </w:rPr>
                <w:t>125</w:t>
              </w:r>
            </w:hyperlink>
          </w:p>
        </w:tc>
      </w:tr>
      <w:tr w:rsidR="00000000" w14:paraId="31CF3BCB" w14:textId="77777777">
        <w:trPr>
          <w:divId w:val="1323463096"/>
        </w:trPr>
        <w:tc>
          <w:tcPr>
            <w:tcW w:w="0" w:type="auto"/>
            <w:gridSpan w:val="3"/>
            <w:tcMar>
              <w:top w:w="30" w:type="dxa"/>
              <w:left w:w="20" w:type="dxa"/>
              <w:bottom w:w="30" w:type="dxa"/>
              <w:right w:w="20" w:type="dxa"/>
            </w:tcMar>
            <w:hideMark/>
          </w:tcPr>
          <w:p w14:paraId="009C707F" w14:textId="77777777" w:rsidR="00000000" w:rsidRDefault="00405D16">
            <w:pPr>
              <w:spacing w:after="100"/>
              <w:divId w:val="1240140527"/>
              <w:rPr>
                <w:rFonts w:eastAsia="Times New Roman"/>
              </w:rPr>
            </w:pPr>
            <w:hyperlink w:anchor="idd54a04a485440b4ab4e56094c14d612_436" w:history="1">
              <w:r>
                <w:rPr>
                  <w:rStyle w:val="a3"/>
                  <w:rFonts w:eastAsia="Times New Roman"/>
                  <w:color w:val="000000"/>
                  <w:sz w:val="20"/>
                  <w:szCs w:val="20"/>
                  <w:u w:val="none"/>
                </w:rPr>
                <w:t>Note 13—</w:t>
              </w:r>
              <w:r>
                <w:rPr>
                  <w:rStyle w:val="a3"/>
                  <w:rFonts w:eastAsia="Times New Roman"/>
                  <w:color w:val="000000"/>
                  <w:sz w:val="20"/>
                  <w:szCs w:val="20"/>
                  <w:u w:val="none"/>
                </w:rPr>
                <w:t>Commitments, Contingencies, Guarantees and Others</w:t>
              </w:r>
            </w:hyperlink>
          </w:p>
        </w:tc>
        <w:tc>
          <w:tcPr>
            <w:tcW w:w="0" w:type="auto"/>
            <w:gridSpan w:val="3"/>
            <w:tcMar>
              <w:top w:w="30" w:type="dxa"/>
              <w:left w:w="20" w:type="dxa"/>
              <w:bottom w:w="30" w:type="dxa"/>
              <w:right w:w="20" w:type="dxa"/>
            </w:tcMar>
            <w:hideMark/>
          </w:tcPr>
          <w:p w14:paraId="0C9456B6" w14:textId="77777777" w:rsidR="00000000" w:rsidRDefault="00405D16">
            <w:pPr>
              <w:spacing w:after="100"/>
              <w:jc w:val="center"/>
              <w:rPr>
                <w:rFonts w:eastAsia="Times New Roman"/>
              </w:rPr>
            </w:pPr>
            <w:hyperlink w:anchor="idd54a04a485440b4ab4e56094c14d612_436" w:history="1">
              <w:r>
                <w:rPr>
                  <w:rStyle w:val="a3"/>
                  <w:rFonts w:eastAsia="Times New Roman"/>
                  <w:color w:val="000000"/>
                  <w:sz w:val="20"/>
                  <w:szCs w:val="20"/>
                  <w:u w:val="none"/>
                </w:rPr>
                <w:t>129</w:t>
              </w:r>
            </w:hyperlink>
          </w:p>
        </w:tc>
      </w:tr>
      <w:tr w:rsidR="00000000" w14:paraId="7CDA1B40" w14:textId="77777777">
        <w:trPr>
          <w:divId w:val="1323463096"/>
        </w:trPr>
        <w:tc>
          <w:tcPr>
            <w:tcW w:w="0" w:type="auto"/>
            <w:gridSpan w:val="3"/>
            <w:vAlign w:val="center"/>
            <w:hideMark/>
          </w:tcPr>
          <w:p w14:paraId="76359826" w14:textId="77777777" w:rsidR="00000000" w:rsidRDefault="00405D16">
            <w:pPr>
              <w:spacing w:after="100"/>
              <w:jc w:val="center"/>
              <w:rPr>
                <w:rFonts w:eastAsia="Times New Roman"/>
              </w:rPr>
            </w:pPr>
          </w:p>
        </w:tc>
        <w:tc>
          <w:tcPr>
            <w:tcW w:w="0" w:type="auto"/>
            <w:gridSpan w:val="3"/>
            <w:vAlign w:val="center"/>
            <w:hideMark/>
          </w:tcPr>
          <w:p w14:paraId="011AD13F" w14:textId="77777777" w:rsidR="00000000" w:rsidRDefault="00405D16">
            <w:pPr>
              <w:spacing w:after="100"/>
              <w:rPr>
                <w:rFonts w:eastAsia="Times New Roman"/>
                <w:sz w:val="20"/>
                <w:szCs w:val="20"/>
              </w:rPr>
            </w:pPr>
          </w:p>
        </w:tc>
      </w:tr>
      <w:tr w:rsidR="00000000" w14:paraId="04BB4145" w14:textId="77777777">
        <w:trPr>
          <w:divId w:val="1323463096"/>
        </w:trPr>
        <w:tc>
          <w:tcPr>
            <w:tcW w:w="0" w:type="auto"/>
            <w:gridSpan w:val="3"/>
            <w:vAlign w:val="center"/>
            <w:hideMark/>
          </w:tcPr>
          <w:p w14:paraId="56545D63" w14:textId="77777777" w:rsidR="00000000" w:rsidRDefault="00405D16">
            <w:pPr>
              <w:spacing w:after="100"/>
              <w:rPr>
                <w:rFonts w:eastAsia="Times New Roman"/>
                <w:sz w:val="20"/>
                <w:szCs w:val="20"/>
              </w:rPr>
            </w:pPr>
          </w:p>
        </w:tc>
        <w:tc>
          <w:tcPr>
            <w:tcW w:w="0" w:type="auto"/>
            <w:gridSpan w:val="3"/>
            <w:vAlign w:val="center"/>
            <w:hideMark/>
          </w:tcPr>
          <w:p w14:paraId="7D8F7CFF" w14:textId="77777777" w:rsidR="00000000" w:rsidRDefault="00405D16">
            <w:pPr>
              <w:spacing w:after="100"/>
              <w:rPr>
                <w:rFonts w:eastAsia="Times New Roman"/>
                <w:sz w:val="20"/>
                <w:szCs w:val="20"/>
              </w:rPr>
            </w:pPr>
          </w:p>
        </w:tc>
      </w:tr>
      <w:tr w:rsidR="00000000" w14:paraId="7C8CC152" w14:textId="77777777">
        <w:trPr>
          <w:divId w:val="1323463096"/>
        </w:trPr>
        <w:tc>
          <w:tcPr>
            <w:tcW w:w="0" w:type="auto"/>
            <w:gridSpan w:val="3"/>
            <w:vAlign w:val="center"/>
            <w:hideMark/>
          </w:tcPr>
          <w:p w14:paraId="1EC3A6A5" w14:textId="77777777" w:rsidR="00000000" w:rsidRDefault="00405D16">
            <w:pPr>
              <w:spacing w:after="100"/>
              <w:rPr>
                <w:rFonts w:eastAsia="Times New Roman"/>
                <w:sz w:val="20"/>
                <w:szCs w:val="20"/>
              </w:rPr>
            </w:pPr>
          </w:p>
        </w:tc>
        <w:tc>
          <w:tcPr>
            <w:tcW w:w="0" w:type="auto"/>
            <w:gridSpan w:val="3"/>
            <w:vAlign w:val="center"/>
            <w:hideMark/>
          </w:tcPr>
          <w:p w14:paraId="52DCD2B8" w14:textId="77777777" w:rsidR="00000000" w:rsidRDefault="00405D16">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5328945B" w14:textId="77777777">
        <w:trPr>
          <w:jc w:val="center"/>
        </w:trPr>
        <w:tc>
          <w:tcPr>
            <w:tcW w:w="50" w:type="pct"/>
            <w:vAlign w:val="center"/>
            <w:hideMark/>
          </w:tcPr>
          <w:p w14:paraId="3EE156E2" w14:textId="77777777" w:rsidR="00000000" w:rsidRDefault="00405D16">
            <w:pPr>
              <w:jc w:val="both"/>
              <w:rPr>
                <w:rFonts w:eastAsia="Times New Roman"/>
              </w:rPr>
            </w:pPr>
          </w:p>
        </w:tc>
        <w:tc>
          <w:tcPr>
            <w:tcW w:w="1606" w:type="pct"/>
            <w:vAlign w:val="center"/>
            <w:hideMark/>
          </w:tcPr>
          <w:p w14:paraId="65CEEBC0" w14:textId="77777777" w:rsidR="00000000" w:rsidRDefault="00405D16">
            <w:pPr>
              <w:spacing w:after="100"/>
              <w:rPr>
                <w:rFonts w:eastAsia="Times New Roman"/>
                <w:sz w:val="20"/>
                <w:szCs w:val="20"/>
              </w:rPr>
            </w:pPr>
          </w:p>
        </w:tc>
        <w:tc>
          <w:tcPr>
            <w:tcW w:w="5" w:type="pct"/>
            <w:vAlign w:val="center"/>
            <w:hideMark/>
          </w:tcPr>
          <w:p w14:paraId="4E3701CF" w14:textId="77777777" w:rsidR="00000000" w:rsidRDefault="00405D16">
            <w:pPr>
              <w:spacing w:after="100"/>
              <w:rPr>
                <w:rFonts w:eastAsia="Times New Roman"/>
                <w:sz w:val="20"/>
                <w:szCs w:val="20"/>
              </w:rPr>
            </w:pPr>
          </w:p>
        </w:tc>
        <w:tc>
          <w:tcPr>
            <w:tcW w:w="50" w:type="pct"/>
            <w:vAlign w:val="center"/>
            <w:hideMark/>
          </w:tcPr>
          <w:p w14:paraId="2F4D52F8" w14:textId="77777777" w:rsidR="00000000" w:rsidRDefault="00405D16">
            <w:pPr>
              <w:spacing w:after="100"/>
              <w:rPr>
                <w:rFonts w:eastAsia="Times New Roman"/>
                <w:sz w:val="20"/>
                <w:szCs w:val="20"/>
              </w:rPr>
            </w:pPr>
          </w:p>
        </w:tc>
        <w:tc>
          <w:tcPr>
            <w:tcW w:w="1614" w:type="pct"/>
            <w:vAlign w:val="center"/>
            <w:hideMark/>
          </w:tcPr>
          <w:p w14:paraId="4474B5BB" w14:textId="77777777" w:rsidR="00000000" w:rsidRDefault="00405D16">
            <w:pPr>
              <w:spacing w:after="100"/>
              <w:rPr>
                <w:rFonts w:eastAsia="Times New Roman"/>
                <w:sz w:val="20"/>
                <w:szCs w:val="20"/>
              </w:rPr>
            </w:pPr>
          </w:p>
        </w:tc>
        <w:tc>
          <w:tcPr>
            <w:tcW w:w="5" w:type="pct"/>
            <w:vAlign w:val="center"/>
            <w:hideMark/>
          </w:tcPr>
          <w:p w14:paraId="4C6CA545" w14:textId="77777777" w:rsidR="00000000" w:rsidRDefault="00405D16">
            <w:pPr>
              <w:spacing w:after="100"/>
              <w:rPr>
                <w:rFonts w:eastAsia="Times New Roman"/>
                <w:sz w:val="20"/>
                <w:szCs w:val="20"/>
              </w:rPr>
            </w:pPr>
          </w:p>
        </w:tc>
        <w:tc>
          <w:tcPr>
            <w:tcW w:w="50" w:type="pct"/>
            <w:vAlign w:val="center"/>
            <w:hideMark/>
          </w:tcPr>
          <w:p w14:paraId="7F0D15D7" w14:textId="77777777" w:rsidR="00000000" w:rsidRDefault="00405D16">
            <w:pPr>
              <w:spacing w:after="100"/>
              <w:rPr>
                <w:rFonts w:eastAsia="Times New Roman"/>
                <w:sz w:val="20"/>
                <w:szCs w:val="20"/>
              </w:rPr>
            </w:pPr>
          </w:p>
        </w:tc>
        <w:tc>
          <w:tcPr>
            <w:tcW w:w="1614" w:type="pct"/>
            <w:vAlign w:val="center"/>
            <w:hideMark/>
          </w:tcPr>
          <w:p w14:paraId="340BC7C7" w14:textId="77777777" w:rsidR="00000000" w:rsidRDefault="00405D16">
            <w:pPr>
              <w:spacing w:after="100"/>
              <w:rPr>
                <w:rFonts w:eastAsia="Times New Roman"/>
                <w:sz w:val="20"/>
                <w:szCs w:val="20"/>
              </w:rPr>
            </w:pPr>
          </w:p>
        </w:tc>
        <w:tc>
          <w:tcPr>
            <w:tcW w:w="5" w:type="pct"/>
            <w:vAlign w:val="center"/>
            <w:hideMark/>
          </w:tcPr>
          <w:p w14:paraId="42FBDBB5" w14:textId="77777777" w:rsidR="00000000" w:rsidRDefault="00405D16">
            <w:pPr>
              <w:spacing w:after="100"/>
              <w:rPr>
                <w:rFonts w:eastAsia="Times New Roman"/>
                <w:sz w:val="20"/>
                <w:szCs w:val="20"/>
              </w:rPr>
            </w:pPr>
          </w:p>
        </w:tc>
      </w:tr>
      <w:tr w:rsidR="00000000" w14:paraId="1016F50E" w14:textId="77777777">
        <w:trPr>
          <w:trHeight w:val="300"/>
          <w:jc w:val="center"/>
        </w:trPr>
        <w:tc>
          <w:tcPr>
            <w:tcW w:w="0" w:type="auto"/>
            <w:gridSpan w:val="9"/>
            <w:tcMar>
              <w:top w:w="0" w:type="dxa"/>
              <w:left w:w="20" w:type="dxa"/>
              <w:bottom w:w="0" w:type="dxa"/>
              <w:right w:w="20" w:type="dxa"/>
            </w:tcMar>
            <w:vAlign w:val="center"/>
            <w:hideMark/>
          </w:tcPr>
          <w:p w14:paraId="56D04C96" w14:textId="77777777" w:rsidR="00000000" w:rsidRDefault="00405D16">
            <w:pPr>
              <w:spacing w:after="100"/>
              <w:rPr>
                <w:rFonts w:eastAsia="Times New Roman"/>
                <w:sz w:val="20"/>
                <w:szCs w:val="20"/>
              </w:rPr>
            </w:pPr>
          </w:p>
        </w:tc>
      </w:tr>
      <w:tr w:rsidR="00000000" w14:paraId="4C75B757" w14:textId="77777777">
        <w:trPr>
          <w:jc w:val="center"/>
        </w:trPr>
        <w:tc>
          <w:tcPr>
            <w:tcW w:w="0" w:type="auto"/>
            <w:gridSpan w:val="3"/>
            <w:tcMar>
              <w:top w:w="0" w:type="dxa"/>
              <w:left w:w="20" w:type="dxa"/>
              <w:bottom w:w="0" w:type="dxa"/>
              <w:right w:w="20" w:type="dxa"/>
            </w:tcMar>
            <w:vAlign w:val="center"/>
            <w:hideMark/>
          </w:tcPr>
          <w:p w14:paraId="5BC3D667"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3050FBA" w14:textId="77777777" w:rsidR="00000000" w:rsidRDefault="00405D16">
            <w:pPr>
              <w:spacing w:after="100"/>
              <w:jc w:val="center"/>
              <w:rPr>
                <w:rFonts w:eastAsia="Times New Roman"/>
              </w:rPr>
            </w:pPr>
            <w:r>
              <w:rPr>
                <w:rFonts w:eastAsia="Times New Roman"/>
                <w:color w:val="000000"/>
                <w:sz w:val="16"/>
                <w:szCs w:val="16"/>
              </w:rPr>
              <w:t>68</w:t>
            </w:r>
          </w:p>
        </w:tc>
        <w:tc>
          <w:tcPr>
            <w:tcW w:w="0" w:type="auto"/>
            <w:gridSpan w:val="3"/>
            <w:tcMar>
              <w:top w:w="30" w:type="dxa"/>
              <w:left w:w="20" w:type="dxa"/>
              <w:bottom w:w="30" w:type="dxa"/>
              <w:right w:w="20" w:type="dxa"/>
            </w:tcMar>
            <w:vAlign w:val="bottom"/>
            <w:hideMark/>
          </w:tcPr>
          <w:p w14:paraId="74391208"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5B076DE1" w14:textId="77777777" w:rsidR="00000000" w:rsidRDefault="00405D16">
      <w:pPr>
        <w:rPr>
          <w:rFonts w:eastAsia="Times New Roman"/>
        </w:rPr>
      </w:pPr>
      <w:r>
        <w:rPr>
          <w:rFonts w:eastAsia="Times New Roman"/>
        </w:rPr>
        <w:pict w14:anchorId="41A1AAAE">
          <v:rect id="_x0000_i1093" style="width:0;height:1.5pt" o:hralign="center" o:hrstd="t" o:hr="t" fillcolor="#a0a0a0" stroked="f"/>
        </w:pict>
      </w:r>
    </w:p>
    <w:p w14:paraId="470F3272" w14:textId="77777777" w:rsidR="00000000" w:rsidRDefault="00405D16">
      <w:pPr>
        <w:jc w:val="both"/>
        <w:divId w:val="1156260685"/>
        <w:rPr>
          <w:rFonts w:eastAsia="Times New Roman"/>
        </w:rPr>
      </w:pPr>
      <w:hyperlink w:anchor="idd54a04a485440b4ab4e56094c14d612_13" w:history="1">
        <w:r>
          <w:rPr>
            <w:rStyle w:val="a3"/>
            <w:rFonts w:eastAsia="Times New Roman"/>
            <w:sz w:val="16"/>
            <w:szCs w:val="16"/>
          </w:rPr>
          <w:t>Table of Contents</w:t>
        </w:r>
      </w:hyperlink>
    </w:p>
    <w:p w14:paraId="2D0F13DC" w14:textId="77777777" w:rsidR="00000000" w:rsidRDefault="00405D16">
      <w:pPr>
        <w:jc w:val="center"/>
        <w:divId w:val="1156260685"/>
        <w:rPr>
          <w:rFonts w:eastAsia="Times New Roman"/>
        </w:rPr>
      </w:pPr>
    </w:p>
    <w:p w14:paraId="3679AD99" w14:textId="77777777" w:rsidR="00000000" w:rsidRDefault="00405D16">
      <w:pPr>
        <w:jc w:val="center"/>
        <w:divId w:val="1156260685"/>
        <w:rPr>
          <w:rFonts w:eastAsia="Times New Roman"/>
        </w:rPr>
      </w:pPr>
      <w:r>
        <w:rPr>
          <w:rFonts w:eastAsia="Times New Roman"/>
          <w:b/>
          <w:bCs/>
          <w:color w:val="000000"/>
          <w:sz w:val="20"/>
          <w:szCs w:val="20"/>
        </w:rPr>
        <w:t>CAPITAL ONE FINANCIAL CORPORATION</w:t>
      </w:r>
    </w:p>
    <w:p w14:paraId="750595C7" w14:textId="77777777" w:rsidR="00000000" w:rsidRDefault="00405D16">
      <w:pPr>
        <w:jc w:val="center"/>
        <w:divId w:val="1156260685"/>
        <w:rPr>
          <w:rFonts w:eastAsia="Times New Roman"/>
        </w:rPr>
      </w:pPr>
      <w:r>
        <w:rPr>
          <w:rFonts w:eastAsia="Times New Roman"/>
          <w:b/>
          <w:bCs/>
          <w:color w:val="000000"/>
          <w:sz w:val="20"/>
          <w:szCs w:val="20"/>
        </w:rPr>
        <w:t>CONSOLIDATED STATEMENTS OF INCOME (UNAUDITED)</w:t>
      </w:r>
    </w:p>
    <w:p w14:paraId="724FF345" w14:textId="77777777" w:rsidR="00000000" w:rsidRDefault="00405D16">
      <w:pPr>
        <w:jc w:val="both"/>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212"/>
        <w:gridCol w:w="40"/>
        <w:gridCol w:w="36"/>
        <w:gridCol w:w="36"/>
        <w:gridCol w:w="36"/>
        <w:gridCol w:w="100"/>
        <w:gridCol w:w="522"/>
        <w:gridCol w:w="36"/>
        <w:gridCol w:w="36"/>
        <w:gridCol w:w="36"/>
        <w:gridCol w:w="36"/>
        <w:gridCol w:w="100"/>
        <w:gridCol w:w="480"/>
        <w:gridCol w:w="36"/>
        <w:gridCol w:w="36"/>
        <w:gridCol w:w="36"/>
        <w:gridCol w:w="36"/>
        <w:gridCol w:w="100"/>
        <w:gridCol w:w="481"/>
        <w:gridCol w:w="36"/>
        <w:gridCol w:w="36"/>
        <w:gridCol w:w="36"/>
        <w:gridCol w:w="36"/>
        <w:gridCol w:w="100"/>
        <w:gridCol w:w="482"/>
        <w:gridCol w:w="36"/>
        <w:gridCol w:w="36"/>
        <w:gridCol w:w="36"/>
      </w:tblGrid>
      <w:tr w:rsidR="00000000" w14:paraId="139FBA16" w14:textId="77777777">
        <w:trPr>
          <w:jc w:val="center"/>
        </w:trPr>
        <w:tc>
          <w:tcPr>
            <w:tcW w:w="50" w:type="pct"/>
            <w:vAlign w:val="center"/>
            <w:hideMark/>
          </w:tcPr>
          <w:p w14:paraId="00348133" w14:textId="77777777" w:rsidR="00000000" w:rsidRDefault="00405D16">
            <w:pPr>
              <w:jc w:val="both"/>
              <w:rPr>
                <w:rFonts w:eastAsia="Times New Roman"/>
              </w:rPr>
            </w:pPr>
          </w:p>
        </w:tc>
        <w:tc>
          <w:tcPr>
            <w:tcW w:w="3197" w:type="pct"/>
            <w:vAlign w:val="center"/>
            <w:hideMark/>
          </w:tcPr>
          <w:p w14:paraId="794D40FD" w14:textId="77777777" w:rsidR="00000000" w:rsidRDefault="00405D16">
            <w:pPr>
              <w:spacing w:after="100"/>
              <w:rPr>
                <w:rFonts w:eastAsia="Times New Roman"/>
                <w:sz w:val="20"/>
                <w:szCs w:val="20"/>
              </w:rPr>
            </w:pPr>
          </w:p>
        </w:tc>
        <w:tc>
          <w:tcPr>
            <w:tcW w:w="5" w:type="pct"/>
            <w:vAlign w:val="center"/>
            <w:hideMark/>
          </w:tcPr>
          <w:p w14:paraId="23C32459" w14:textId="77777777" w:rsidR="00000000" w:rsidRDefault="00405D16">
            <w:pPr>
              <w:spacing w:after="100"/>
              <w:rPr>
                <w:rFonts w:eastAsia="Times New Roman"/>
                <w:sz w:val="20"/>
                <w:szCs w:val="20"/>
              </w:rPr>
            </w:pPr>
          </w:p>
        </w:tc>
        <w:tc>
          <w:tcPr>
            <w:tcW w:w="5" w:type="pct"/>
            <w:vAlign w:val="center"/>
            <w:hideMark/>
          </w:tcPr>
          <w:p w14:paraId="1056248E" w14:textId="77777777" w:rsidR="00000000" w:rsidRDefault="00405D16">
            <w:pPr>
              <w:spacing w:after="100"/>
              <w:rPr>
                <w:rFonts w:eastAsia="Times New Roman"/>
                <w:sz w:val="20"/>
                <w:szCs w:val="20"/>
              </w:rPr>
            </w:pPr>
          </w:p>
        </w:tc>
        <w:tc>
          <w:tcPr>
            <w:tcW w:w="19" w:type="pct"/>
            <w:vAlign w:val="center"/>
            <w:hideMark/>
          </w:tcPr>
          <w:p w14:paraId="53C5143B" w14:textId="77777777" w:rsidR="00000000" w:rsidRDefault="00405D16">
            <w:pPr>
              <w:spacing w:after="100"/>
              <w:rPr>
                <w:rFonts w:eastAsia="Times New Roman"/>
                <w:sz w:val="20"/>
                <w:szCs w:val="20"/>
              </w:rPr>
            </w:pPr>
          </w:p>
        </w:tc>
        <w:tc>
          <w:tcPr>
            <w:tcW w:w="5" w:type="pct"/>
            <w:vAlign w:val="center"/>
            <w:hideMark/>
          </w:tcPr>
          <w:p w14:paraId="4AA6018F" w14:textId="77777777" w:rsidR="00000000" w:rsidRDefault="00405D16">
            <w:pPr>
              <w:spacing w:after="100"/>
              <w:rPr>
                <w:rFonts w:eastAsia="Times New Roman"/>
                <w:sz w:val="20"/>
                <w:szCs w:val="20"/>
              </w:rPr>
            </w:pPr>
          </w:p>
        </w:tc>
        <w:tc>
          <w:tcPr>
            <w:tcW w:w="50" w:type="pct"/>
            <w:vAlign w:val="center"/>
            <w:hideMark/>
          </w:tcPr>
          <w:p w14:paraId="5D96BAE4" w14:textId="77777777" w:rsidR="00000000" w:rsidRDefault="00405D16">
            <w:pPr>
              <w:spacing w:after="100"/>
              <w:rPr>
                <w:rFonts w:eastAsia="Times New Roman"/>
                <w:sz w:val="20"/>
                <w:szCs w:val="20"/>
              </w:rPr>
            </w:pPr>
          </w:p>
        </w:tc>
        <w:tc>
          <w:tcPr>
            <w:tcW w:w="347" w:type="pct"/>
            <w:vAlign w:val="center"/>
            <w:hideMark/>
          </w:tcPr>
          <w:p w14:paraId="7A8CA4E6" w14:textId="77777777" w:rsidR="00000000" w:rsidRDefault="00405D16">
            <w:pPr>
              <w:spacing w:after="100"/>
              <w:rPr>
                <w:rFonts w:eastAsia="Times New Roman"/>
                <w:sz w:val="20"/>
                <w:szCs w:val="20"/>
              </w:rPr>
            </w:pPr>
          </w:p>
        </w:tc>
        <w:tc>
          <w:tcPr>
            <w:tcW w:w="5" w:type="pct"/>
            <w:vAlign w:val="center"/>
            <w:hideMark/>
          </w:tcPr>
          <w:p w14:paraId="009F173A" w14:textId="77777777" w:rsidR="00000000" w:rsidRDefault="00405D16">
            <w:pPr>
              <w:spacing w:after="100"/>
              <w:rPr>
                <w:rFonts w:eastAsia="Times New Roman"/>
                <w:sz w:val="20"/>
                <w:szCs w:val="20"/>
              </w:rPr>
            </w:pPr>
          </w:p>
        </w:tc>
        <w:tc>
          <w:tcPr>
            <w:tcW w:w="5" w:type="pct"/>
            <w:vAlign w:val="center"/>
            <w:hideMark/>
          </w:tcPr>
          <w:p w14:paraId="724AAF5C" w14:textId="77777777" w:rsidR="00000000" w:rsidRDefault="00405D16">
            <w:pPr>
              <w:spacing w:after="100"/>
              <w:rPr>
                <w:rFonts w:eastAsia="Times New Roman"/>
                <w:sz w:val="20"/>
                <w:szCs w:val="20"/>
              </w:rPr>
            </w:pPr>
          </w:p>
        </w:tc>
        <w:tc>
          <w:tcPr>
            <w:tcW w:w="26" w:type="pct"/>
            <w:vAlign w:val="center"/>
            <w:hideMark/>
          </w:tcPr>
          <w:p w14:paraId="36364B78" w14:textId="77777777" w:rsidR="00000000" w:rsidRDefault="00405D16">
            <w:pPr>
              <w:spacing w:after="100"/>
              <w:rPr>
                <w:rFonts w:eastAsia="Times New Roman"/>
                <w:sz w:val="20"/>
                <w:szCs w:val="20"/>
              </w:rPr>
            </w:pPr>
          </w:p>
        </w:tc>
        <w:tc>
          <w:tcPr>
            <w:tcW w:w="5" w:type="pct"/>
            <w:vAlign w:val="center"/>
            <w:hideMark/>
          </w:tcPr>
          <w:p w14:paraId="5BFA00F3" w14:textId="77777777" w:rsidR="00000000" w:rsidRDefault="00405D16">
            <w:pPr>
              <w:spacing w:after="100"/>
              <w:rPr>
                <w:rFonts w:eastAsia="Times New Roman"/>
                <w:sz w:val="20"/>
                <w:szCs w:val="20"/>
              </w:rPr>
            </w:pPr>
          </w:p>
        </w:tc>
        <w:tc>
          <w:tcPr>
            <w:tcW w:w="50" w:type="pct"/>
            <w:vAlign w:val="center"/>
            <w:hideMark/>
          </w:tcPr>
          <w:p w14:paraId="2103599F" w14:textId="77777777" w:rsidR="00000000" w:rsidRDefault="00405D16">
            <w:pPr>
              <w:spacing w:after="100"/>
              <w:rPr>
                <w:rFonts w:eastAsia="Times New Roman"/>
                <w:sz w:val="20"/>
                <w:szCs w:val="20"/>
              </w:rPr>
            </w:pPr>
          </w:p>
        </w:tc>
        <w:tc>
          <w:tcPr>
            <w:tcW w:w="347" w:type="pct"/>
            <w:vAlign w:val="center"/>
            <w:hideMark/>
          </w:tcPr>
          <w:p w14:paraId="1891FF75" w14:textId="77777777" w:rsidR="00000000" w:rsidRDefault="00405D16">
            <w:pPr>
              <w:spacing w:after="100"/>
              <w:rPr>
                <w:rFonts w:eastAsia="Times New Roman"/>
                <w:sz w:val="20"/>
                <w:szCs w:val="20"/>
              </w:rPr>
            </w:pPr>
          </w:p>
        </w:tc>
        <w:tc>
          <w:tcPr>
            <w:tcW w:w="5" w:type="pct"/>
            <w:vAlign w:val="center"/>
            <w:hideMark/>
          </w:tcPr>
          <w:p w14:paraId="3401E50D" w14:textId="77777777" w:rsidR="00000000" w:rsidRDefault="00405D16">
            <w:pPr>
              <w:spacing w:after="100"/>
              <w:rPr>
                <w:rFonts w:eastAsia="Times New Roman"/>
                <w:sz w:val="20"/>
                <w:szCs w:val="20"/>
              </w:rPr>
            </w:pPr>
          </w:p>
        </w:tc>
        <w:tc>
          <w:tcPr>
            <w:tcW w:w="5" w:type="pct"/>
            <w:vAlign w:val="center"/>
            <w:hideMark/>
          </w:tcPr>
          <w:p w14:paraId="47BCEA61" w14:textId="77777777" w:rsidR="00000000" w:rsidRDefault="00405D16">
            <w:pPr>
              <w:spacing w:after="100"/>
              <w:rPr>
                <w:rFonts w:eastAsia="Times New Roman"/>
                <w:sz w:val="20"/>
                <w:szCs w:val="20"/>
              </w:rPr>
            </w:pPr>
          </w:p>
        </w:tc>
        <w:tc>
          <w:tcPr>
            <w:tcW w:w="26" w:type="pct"/>
            <w:vAlign w:val="center"/>
            <w:hideMark/>
          </w:tcPr>
          <w:p w14:paraId="35787018" w14:textId="77777777" w:rsidR="00000000" w:rsidRDefault="00405D16">
            <w:pPr>
              <w:spacing w:after="100"/>
              <w:rPr>
                <w:rFonts w:eastAsia="Times New Roman"/>
                <w:sz w:val="20"/>
                <w:szCs w:val="20"/>
              </w:rPr>
            </w:pPr>
          </w:p>
        </w:tc>
        <w:tc>
          <w:tcPr>
            <w:tcW w:w="5" w:type="pct"/>
            <w:vAlign w:val="center"/>
            <w:hideMark/>
          </w:tcPr>
          <w:p w14:paraId="68710EED" w14:textId="77777777" w:rsidR="00000000" w:rsidRDefault="00405D16">
            <w:pPr>
              <w:spacing w:after="100"/>
              <w:rPr>
                <w:rFonts w:eastAsia="Times New Roman"/>
                <w:sz w:val="20"/>
                <w:szCs w:val="20"/>
              </w:rPr>
            </w:pPr>
          </w:p>
        </w:tc>
        <w:tc>
          <w:tcPr>
            <w:tcW w:w="50" w:type="pct"/>
            <w:vAlign w:val="center"/>
            <w:hideMark/>
          </w:tcPr>
          <w:p w14:paraId="54567B81" w14:textId="77777777" w:rsidR="00000000" w:rsidRDefault="00405D16">
            <w:pPr>
              <w:spacing w:after="100"/>
              <w:rPr>
                <w:rFonts w:eastAsia="Times New Roman"/>
                <w:sz w:val="20"/>
                <w:szCs w:val="20"/>
              </w:rPr>
            </w:pPr>
          </w:p>
        </w:tc>
        <w:tc>
          <w:tcPr>
            <w:tcW w:w="347" w:type="pct"/>
            <w:vAlign w:val="center"/>
            <w:hideMark/>
          </w:tcPr>
          <w:p w14:paraId="14CCE2CD" w14:textId="77777777" w:rsidR="00000000" w:rsidRDefault="00405D16">
            <w:pPr>
              <w:spacing w:after="100"/>
              <w:rPr>
                <w:rFonts w:eastAsia="Times New Roman"/>
                <w:sz w:val="20"/>
                <w:szCs w:val="20"/>
              </w:rPr>
            </w:pPr>
          </w:p>
        </w:tc>
        <w:tc>
          <w:tcPr>
            <w:tcW w:w="5" w:type="pct"/>
            <w:vAlign w:val="center"/>
            <w:hideMark/>
          </w:tcPr>
          <w:p w14:paraId="13258B45" w14:textId="77777777" w:rsidR="00000000" w:rsidRDefault="00405D16">
            <w:pPr>
              <w:spacing w:after="100"/>
              <w:rPr>
                <w:rFonts w:eastAsia="Times New Roman"/>
                <w:sz w:val="20"/>
                <w:szCs w:val="20"/>
              </w:rPr>
            </w:pPr>
          </w:p>
        </w:tc>
        <w:tc>
          <w:tcPr>
            <w:tcW w:w="5" w:type="pct"/>
            <w:vAlign w:val="center"/>
            <w:hideMark/>
          </w:tcPr>
          <w:p w14:paraId="225CA3C5" w14:textId="77777777" w:rsidR="00000000" w:rsidRDefault="00405D16">
            <w:pPr>
              <w:spacing w:after="100"/>
              <w:rPr>
                <w:rFonts w:eastAsia="Times New Roman"/>
                <w:sz w:val="20"/>
                <w:szCs w:val="20"/>
              </w:rPr>
            </w:pPr>
          </w:p>
        </w:tc>
        <w:tc>
          <w:tcPr>
            <w:tcW w:w="26" w:type="pct"/>
            <w:vAlign w:val="center"/>
            <w:hideMark/>
          </w:tcPr>
          <w:p w14:paraId="57037DE7" w14:textId="77777777" w:rsidR="00000000" w:rsidRDefault="00405D16">
            <w:pPr>
              <w:spacing w:after="100"/>
              <w:rPr>
                <w:rFonts w:eastAsia="Times New Roman"/>
                <w:sz w:val="20"/>
                <w:szCs w:val="20"/>
              </w:rPr>
            </w:pPr>
          </w:p>
        </w:tc>
        <w:tc>
          <w:tcPr>
            <w:tcW w:w="5" w:type="pct"/>
            <w:vAlign w:val="center"/>
            <w:hideMark/>
          </w:tcPr>
          <w:p w14:paraId="3C01EFBE" w14:textId="77777777" w:rsidR="00000000" w:rsidRDefault="00405D16">
            <w:pPr>
              <w:spacing w:after="100"/>
              <w:rPr>
                <w:rFonts w:eastAsia="Times New Roman"/>
                <w:sz w:val="20"/>
                <w:szCs w:val="20"/>
              </w:rPr>
            </w:pPr>
          </w:p>
        </w:tc>
        <w:tc>
          <w:tcPr>
            <w:tcW w:w="50" w:type="pct"/>
            <w:vAlign w:val="center"/>
            <w:hideMark/>
          </w:tcPr>
          <w:p w14:paraId="31572A49" w14:textId="77777777" w:rsidR="00000000" w:rsidRDefault="00405D16">
            <w:pPr>
              <w:spacing w:after="100"/>
              <w:rPr>
                <w:rFonts w:eastAsia="Times New Roman"/>
                <w:sz w:val="20"/>
                <w:szCs w:val="20"/>
              </w:rPr>
            </w:pPr>
          </w:p>
        </w:tc>
        <w:tc>
          <w:tcPr>
            <w:tcW w:w="347" w:type="pct"/>
            <w:vAlign w:val="center"/>
            <w:hideMark/>
          </w:tcPr>
          <w:p w14:paraId="77FDF953" w14:textId="77777777" w:rsidR="00000000" w:rsidRDefault="00405D16">
            <w:pPr>
              <w:spacing w:after="100"/>
              <w:rPr>
                <w:rFonts w:eastAsia="Times New Roman"/>
                <w:sz w:val="20"/>
                <w:szCs w:val="20"/>
              </w:rPr>
            </w:pPr>
          </w:p>
        </w:tc>
        <w:tc>
          <w:tcPr>
            <w:tcW w:w="5" w:type="pct"/>
            <w:vAlign w:val="center"/>
            <w:hideMark/>
          </w:tcPr>
          <w:p w14:paraId="6552D7F1" w14:textId="77777777" w:rsidR="00000000" w:rsidRDefault="00405D16">
            <w:pPr>
              <w:spacing w:after="100"/>
              <w:rPr>
                <w:rFonts w:eastAsia="Times New Roman"/>
                <w:sz w:val="20"/>
                <w:szCs w:val="20"/>
              </w:rPr>
            </w:pPr>
          </w:p>
        </w:tc>
        <w:tc>
          <w:tcPr>
            <w:tcW w:w="0" w:type="auto"/>
            <w:vAlign w:val="center"/>
            <w:hideMark/>
          </w:tcPr>
          <w:p w14:paraId="36331CE1" w14:textId="77777777" w:rsidR="00000000" w:rsidRDefault="00405D16">
            <w:pPr>
              <w:spacing w:after="100"/>
              <w:rPr>
                <w:rFonts w:eastAsia="Times New Roman"/>
                <w:sz w:val="20"/>
                <w:szCs w:val="20"/>
              </w:rPr>
            </w:pPr>
          </w:p>
        </w:tc>
        <w:tc>
          <w:tcPr>
            <w:tcW w:w="0" w:type="auto"/>
            <w:vAlign w:val="center"/>
            <w:hideMark/>
          </w:tcPr>
          <w:p w14:paraId="61E7C5E5" w14:textId="77777777" w:rsidR="00000000" w:rsidRDefault="00405D16">
            <w:pPr>
              <w:spacing w:after="100"/>
              <w:rPr>
                <w:rFonts w:eastAsia="Times New Roman"/>
                <w:sz w:val="20"/>
                <w:szCs w:val="20"/>
              </w:rPr>
            </w:pPr>
          </w:p>
        </w:tc>
      </w:tr>
      <w:tr w:rsidR="00000000" w14:paraId="3BF90149" w14:textId="77777777">
        <w:trPr>
          <w:jc w:val="center"/>
        </w:trPr>
        <w:tc>
          <w:tcPr>
            <w:tcW w:w="0" w:type="auto"/>
            <w:gridSpan w:val="3"/>
            <w:tcMar>
              <w:top w:w="0" w:type="dxa"/>
              <w:left w:w="20" w:type="dxa"/>
              <w:bottom w:w="0" w:type="dxa"/>
              <w:right w:w="20" w:type="dxa"/>
            </w:tcMar>
            <w:vAlign w:val="center"/>
            <w:hideMark/>
          </w:tcPr>
          <w:p w14:paraId="71B293F0"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AE255FF" w14:textId="77777777" w:rsidR="00000000" w:rsidRDefault="00405D1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80A0290" w14:textId="77777777" w:rsidR="00000000" w:rsidRDefault="00405D16">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03110996" w14:textId="77777777" w:rsidR="00000000" w:rsidRDefault="00405D1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FA9669B" w14:textId="77777777" w:rsidR="00000000" w:rsidRDefault="00405D16">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60D21B1B" w14:textId="77777777" w:rsidR="00000000" w:rsidRDefault="00405D16">
            <w:pPr>
              <w:spacing w:after="100"/>
              <w:jc w:val="center"/>
              <w:rPr>
                <w:rFonts w:eastAsia="Times New Roman"/>
              </w:rPr>
            </w:pPr>
          </w:p>
        </w:tc>
        <w:tc>
          <w:tcPr>
            <w:tcW w:w="0" w:type="auto"/>
            <w:vAlign w:val="center"/>
            <w:hideMark/>
          </w:tcPr>
          <w:p w14:paraId="7766C0A2" w14:textId="77777777" w:rsidR="00000000" w:rsidRDefault="00405D16">
            <w:pPr>
              <w:spacing w:after="100"/>
              <w:rPr>
                <w:rFonts w:eastAsia="Times New Roman"/>
                <w:sz w:val="20"/>
                <w:szCs w:val="20"/>
              </w:rPr>
            </w:pPr>
          </w:p>
        </w:tc>
      </w:tr>
      <w:tr w:rsidR="00000000" w14:paraId="744693A9" w14:textId="77777777">
        <w:trPr>
          <w:jc w:val="center"/>
        </w:trPr>
        <w:tc>
          <w:tcPr>
            <w:tcW w:w="0" w:type="auto"/>
            <w:gridSpan w:val="3"/>
            <w:tcMar>
              <w:top w:w="30" w:type="dxa"/>
              <w:left w:w="20" w:type="dxa"/>
              <w:bottom w:w="30" w:type="dxa"/>
              <w:right w:w="20" w:type="dxa"/>
            </w:tcMar>
            <w:vAlign w:val="bottom"/>
            <w:hideMark/>
          </w:tcPr>
          <w:p w14:paraId="5AB31FDD" w14:textId="77777777" w:rsidR="00000000" w:rsidRDefault="00405D16">
            <w:pPr>
              <w:spacing w:after="100"/>
              <w:rPr>
                <w:rFonts w:eastAsia="Times New Roman"/>
              </w:rPr>
            </w:pPr>
            <w:r>
              <w:rPr>
                <w:rFonts w:eastAsia="Times New Roman"/>
                <w:i/>
                <w:iCs/>
                <w:color w:val="000000"/>
                <w:sz w:val="16"/>
                <w:szCs w:val="16"/>
              </w:rPr>
              <w:t>(Dollars in millions, except per share-related data)</w:t>
            </w:r>
          </w:p>
        </w:tc>
        <w:tc>
          <w:tcPr>
            <w:tcW w:w="0" w:type="auto"/>
            <w:gridSpan w:val="3"/>
            <w:tcMar>
              <w:top w:w="0" w:type="dxa"/>
              <w:left w:w="20" w:type="dxa"/>
              <w:bottom w:w="0" w:type="dxa"/>
              <w:right w:w="20" w:type="dxa"/>
            </w:tcMar>
            <w:vAlign w:val="center"/>
            <w:hideMark/>
          </w:tcPr>
          <w:p w14:paraId="24DA5307"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66B0030A"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09718C20"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641953E8"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3AB4D288"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45FD90C9"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2BA83FA5"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709E6180"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vAlign w:val="center"/>
            <w:hideMark/>
          </w:tcPr>
          <w:p w14:paraId="070F4D0F" w14:textId="77777777" w:rsidR="00000000" w:rsidRDefault="00405D16">
            <w:pPr>
              <w:spacing w:after="100"/>
              <w:jc w:val="center"/>
              <w:rPr>
                <w:rFonts w:eastAsia="Times New Roman"/>
              </w:rPr>
            </w:pPr>
          </w:p>
        </w:tc>
        <w:tc>
          <w:tcPr>
            <w:tcW w:w="0" w:type="auto"/>
            <w:vAlign w:val="center"/>
            <w:hideMark/>
          </w:tcPr>
          <w:p w14:paraId="710BFF1B" w14:textId="77777777" w:rsidR="00000000" w:rsidRDefault="00405D16">
            <w:pPr>
              <w:spacing w:after="100"/>
              <w:rPr>
                <w:rFonts w:eastAsia="Times New Roman"/>
                <w:sz w:val="20"/>
                <w:szCs w:val="20"/>
              </w:rPr>
            </w:pPr>
          </w:p>
        </w:tc>
      </w:tr>
      <w:tr w:rsidR="00000000" w14:paraId="16209BE4" w14:textId="77777777">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529BA71D" w14:textId="77777777" w:rsidR="00000000" w:rsidRDefault="00405D16">
            <w:pPr>
              <w:spacing w:after="100"/>
              <w:rPr>
                <w:rFonts w:eastAsia="Times New Roman"/>
              </w:rPr>
            </w:pPr>
            <w:r>
              <w:rPr>
                <w:rFonts w:eastAsia="Times New Roman"/>
                <w:b/>
                <w:bCs/>
                <w:color w:val="000000"/>
                <w:sz w:val="16"/>
                <w:szCs w:val="16"/>
              </w:rPr>
              <w:t>Interest income:</w:t>
            </w:r>
          </w:p>
        </w:tc>
        <w:tc>
          <w:tcPr>
            <w:tcW w:w="0" w:type="auto"/>
            <w:gridSpan w:val="3"/>
            <w:shd w:val="clear" w:color="auto" w:fill="CCEEFF"/>
            <w:tcMar>
              <w:top w:w="0" w:type="dxa"/>
              <w:left w:w="20" w:type="dxa"/>
              <w:bottom w:w="0" w:type="dxa"/>
              <w:right w:w="20" w:type="dxa"/>
            </w:tcMar>
            <w:vAlign w:val="center"/>
            <w:hideMark/>
          </w:tcPr>
          <w:p w14:paraId="3866F2F4"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083584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DF5DC3"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91CC8D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52F458"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974AC0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F7B2F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899EA07" w14:textId="77777777" w:rsidR="00000000" w:rsidRDefault="00405D16">
            <w:pPr>
              <w:spacing w:after="100"/>
              <w:rPr>
                <w:rFonts w:eastAsia="Times New Roman"/>
                <w:sz w:val="20"/>
                <w:szCs w:val="20"/>
              </w:rPr>
            </w:pPr>
          </w:p>
        </w:tc>
        <w:tc>
          <w:tcPr>
            <w:tcW w:w="0" w:type="auto"/>
            <w:vAlign w:val="center"/>
            <w:hideMark/>
          </w:tcPr>
          <w:p w14:paraId="33B3D3C7" w14:textId="77777777" w:rsidR="00000000" w:rsidRDefault="00405D16">
            <w:pPr>
              <w:spacing w:after="100"/>
              <w:rPr>
                <w:rFonts w:eastAsia="Times New Roman"/>
                <w:sz w:val="20"/>
                <w:szCs w:val="20"/>
              </w:rPr>
            </w:pPr>
          </w:p>
        </w:tc>
        <w:tc>
          <w:tcPr>
            <w:tcW w:w="0" w:type="auto"/>
            <w:vAlign w:val="center"/>
            <w:hideMark/>
          </w:tcPr>
          <w:p w14:paraId="14D04CD7" w14:textId="77777777" w:rsidR="00000000" w:rsidRDefault="00405D16">
            <w:pPr>
              <w:spacing w:after="100"/>
              <w:rPr>
                <w:rFonts w:eastAsia="Times New Roman"/>
                <w:sz w:val="20"/>
                <w:szCs w:val="20"/>
              </w:rPr>
            </w:pPr>
          </w:p>
        </w:tc>
      </w:tr>
      <w:tr w:rsidR="00000000" w14:paraId="562D08D5" w14:textId="77777777">
        <w:trPr>
          <w:jc w:val="center"/>
        </w:trPr>
        <w:tc>
          <w:tcPr>
            <w:tcW w:w="0" w:type="auto"/>
            <w:gridSpan w:val="3"/>
            <w:shd w:val="clear" w:color="auto" w:fill="FFFFFF"/>
            <w:tcMar>
              <w:top w:w="30" w:type="dxa"/>
              <w:left w:w="245" w:type="dxa"/>
              <w:bottom w:w="30" w:type="dxa"/>
              <w:right w:w="20" w:type="dxa"/>
            </w:tcMar>
            <w:vAlign w:val="center"/>
            <w:hideMark/>
          </w:tcPr>
          <w:p w14:paraId="7C092DC0" w14:textId="77777777" w:rsidR="00000000" w:rsidRDefault="00405D16">
            <w:pPr>
              <w:spacing w:after="100"/>
              <w:rPr>
                <w:rFonts w:eastAsia="Times New Roman"/>
              </w:rPr>
            </w:pPr>
            <w:r>
              <w:rPr>
                <w:rFonts w:eastAsia="Times New Roman"/>
                <w:color w:val="000000"/>
                <w:sz w:val="16"/>
                <w:szCs w:val="16"/>
              </w:rPr>
              <w:t>Loans, including loans held for sale</w:t>
            </w:r>
          </w:p>
        </w:tc>
        <w:tc>
          <w:tcPr>
            <w:tcW w:w="0" w:type="auto"/>
            <w:gridSpan w:val="3"/>
            <w:shd w:val="clear" w:color="auto" w:fill="FFFFFF"/>
            <w:tcMar>
              <w:top w:w="0" w:type="dxa"/>
              <w:left w:w="20" w:type="dxa"/>
              <w:bottom w:w="0" w:type="dxa"/>
              <w:right w:w="20" w:type="dxa"/>
            </w:tcMar>
            <w:vAlign w:val="center"/>
            <w:hideMark/>
          </w:tcPr>
          <w:p w14:paraId="072D1A3C"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68543075" w14:textId="77777777" w:rsidR="00000000" w:rsidRDefault="00405D16">
            <w:pPr>
              <w:spacing w:after="100"/>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14:paraId="00D3EF58" w14:textId="77777777" w:rsidR="00000000" w:rsidRDefault="00405D16">
            <w:pPr>
              <w:spacing w:after="100"/>
              <w:jc w:val="right"/>
              <w:rPr>
                <w:rFonts w:eastAsia="Times New Roman"/>
              </w:rPr>
            </w:pPr>
            <w:r>
              <w:rPr>
                <w:rFonts w:eastAsia="Times New Roman"/>
                <w:b/>
                <w:bCs/>
                <w:color w:val="000000"/>
                <w:sz w:val="16"/>
                <w:szCs w:val="16"/>
              </w:rPr>
              <w:t>6,205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5D91B99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89BFA8"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18A6141" w14:textId="77777777" w:rsidR="00000000" w:rsidRDefault="00405D1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44C1D08E" w14:textId="77777777" w:rsidR="00000000" w:rsidRDefault="00405D16">
            <w:pPr>
              <w:spacing w:after="100"/>
              <w:jc w:val="right"/>
              <w:rPr>
                <w:rFonts w:eastAsia="Times New Roman"/>
              </w:rPr>
            </w:pPr>
            <w:r>
              <w:rPr>
                <w:rFonts w:eastAsia="Times New Roman"/>
                <w:color w:val="000000"/>
                <w:sz w:val="16"/>
                <w:szCs w:val="16"/>
              </w:rPr>
              <w:t>5,758 </w:t>
            </w:r>
          </w:p>
        </w:tc>
        <w:tc>
          <w:tcPr>
            <w:tcW w:w="0" w:type="auto"/>
            <w:shd w:val="clear" w:color="auto" w:fill="FFFFFF"/>
            <w:tcMar>
              <w:top w:w="30" w:type="dxa"/>
              <w:left w:w="0" w:type="dxa"/>
              <w:bottom w:w="30" w:type="dxa"/>
              <w:right w:w="20" w:type="dxa"/>
            </w:tcMar>
            <w:vAlign w:val="center"/>
            <w:hideMark/>
          </w:tcPr>
          <w:p w14:paraId="5A6ABE89" w14:textId="77777777" w:rsidR="00000000" w:rsidRDefault="00405D16">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C1C7DA3" w14:textId="77777777" w:rsidR="00000000" w:rsidRDefault="00405D16">
            <w:pPr>
              <w:spacing w:after="100"/>
              <w:jc w:val="right"/>
              <w:rPr>
                <w:rFonts w:eastAsia="Times New Roman"/>
                <w:sz w:val="20"/>
                <w:szCs w:val="20"/>
              </w:rPr>
            </w:pPr>
          </w:p>
        </w:tc>
        <w:tc>
          <w:tcPr>
            <w:tcW w:w="0" w:type="auto"/>
            <w:tcMar>
              <w:top w:w="30" w:type="dxa"/>
              <w:left w:w="20" w:type="dxa"/>
              <w:bottom w:w="30" w:type="dxa"/>
              <w:right w:w="0" w:type="dxa"/>
            </w:tcMar>
            <w:vAlign w:val="center"/>
            <w:hideMark/>
          </w:tcPr>
          <w:p w14:paraId="7C0CB752" w14:textId="77777777" w:rsidR="00000000" w:rsidRDefault="00405D16">
            <w:pPr>
              <w:spacing w:after="100"/>
              <w:rPr>
                <w:rFonts w:eastAsia="Times New Roman"/>
              </w:rPr>
            </w:pPr>
            <w:r>
              <w:rPr>
                <w:rFonts w:eastAsia="Times New Roman"/>
                <w:b/>
                <w:bCs/>
                <w:color w:val="000000"/>
                <w:sz w:val="16"/>
                <w:szCs w:val="16"/>
              </w:rPr>
              <w:t>$</w:t>
            </w:r>
          </w:p>
        </w:tc>
        <w:tc>
          <w:tcPr>
            <w:tcW w:w="0" w:type="auto"/>
            <w:tcMar>
              <w:top w:w="30" w:type="dxa"/>
              <w:left w:w="0" w:type="dxa"/>
              <w:bottom w:w="30" w:type="dxa"/>
              <w:right w:w="0" w:type="dxa"/>
            </w:tcMar>
            <w:vAlign w:val="center"/>
            <w:hideMark/>
          </w:tcPr>
          <w:p w14:paraId="0EE1AE37" w14:textId="77777777" w:rsidR="00000000" w:rsidRDefault="00405D16">
            <w:pPr>
              <w:spacing w:after="100"/>
              <w:jc w:val="right"/>
              <w:rPr>
                <w:rFonts w:eastAsia="Times New Roman"/>
              </w:rPr>
            </w:pPr>
            <w:r>
              <w:rPr>
                <w:rFonts w:eastAsia="Times New Roman"/>
                <w:b/>
                <w:bCs/>
                <w:color w:val="000000"/>
                <w:sz w:val="16"/>
                <w:szCs w:val="16"/>
              </w:rPr>
              <w:t>17,812</w:t>
            </w:r>
            <w:r>
              <w:rPr>
                <w:rFonts w:eastAsia="Times New Roman"/>
                <w:color w:val="000000"/>
                <w:sz w:val="16"/>
                <w:szCs w:val="16"/>
              </w:rPr>
              <w:t> </w:t>
            </w:r>
          </w:p>
        </w:tc>
        <w:tc>
          <w:tcPr>
            <w:tcW w:w="0" w:type="auto"/>
            <w:tcMar>
              <w:top w:w="30" w:type="dxa"/>
              <w:left w:w="0" w:type="dxa"/>
              <w:bottom w:w="30" w:type="dxa"/>
              <w:right w:w="20" w:type="dxa"/>
            </w:tcMar>
            <w:vAlign w:val="center"/>
            <w:hideMark/>
          </w:tcPr>
          <w:p w14:paraId="02E53D57" w14:textId="77777777" w:rsidR="00000000" w:rsidRDefault="00405D16">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F6EDF6A"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B7DB0D0" w14:textId="77777777" w:rsidR="00000000" w:rsidRDefault="00405D1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2FF4FB19" w14:textId="77777777" w:rsidR="00000000" w:rsidRDefault="00405D16">
            <w:pPr>
              <w:spacing w:after="100"/>
              <w:jc w:val="right"/>
              <w:rPr>
                <w:rFonts w:eastAsia="Times New Roman"/>
              </w:rPr>
            </w:pPr>
            <w:r>
              <w:rPr>
                <w:rFonts w:eastAsia="Times New Roman"/>
                <w:color w:val="000000"/>
                <w:sz w:val="16"/>
                <w:szCs w:val="16"/>
              </w:rPr>
              <w:t>18,120 </w:t>
            </w:r>
          </w:p>
        </w:tc>
        <w:tc>
          <w:tcPr>
            <w:tcW w:w="0" w:type="auto"/>
            <w:shd w:val="clear" w:color="auto" w:fill="FFFFFF"/>
            <w:tcMar>
              <w:top w:w="30" w:type="dxa"/>
              <w:left w:w="0" w:type="dxa"/>
              <w:bottom w:w="30" w:type="dxa"/>
              <w:right w:w="20" w:type="dxa"/>
            </w:tcMar>
            <w:vAlign w:val="center"/>
            <w:hideMark/>
          </w:tcPr>
          <w:p w14:paraId="6451B842" w14:textId="77777777" w:rsidR="00000000" w:rsidRDefault="00405D16">
            <w:pPr>
              <w:spacing w:after="100"/>
              <w:jc w:val="right"/>
              <w:rPr>
                <w:rFonts w:eastAsia="Times New Roman"/>
              </w:rPr>
            </w:pPr>
          </w:p>
        </w:tc>
        <w:tc>
          <w:tcPr>
            <w:tcW w:w="0" w:type="auto"/>
            <w:vAlign w:val="center"/>
            <w:hideMark/>
          </w:tcPr>
          <w:p w14:paraId="2E16B570" w14:textId="77777777" w:rsidR="00000000" w:rsidRDefault="00405D16">
            <w:pPr>
              <w:spacing w:after="100"/>
              <w:jc w:val="right"/>
              <w:rPr>
                <w:rFonts w:eastAsia="Times New Roman"/>
                <w:sz w:val="20"/>
                <w:szCs w:val="20"/>
              </w:rPr>
            </w:pPr>
          </w:p>
        </w:tc>
        <w:tc>
          <w:tcPr>
            <w:tcW w:w="0" w:type="auto"/>
            <w:vAlign w:val="center"/>
            <w:hideMark/>
          </w:tcPr>
          <w:p w14:paraId="383B4E06" w14:textId="77777777" w:rsidR="00000000" w:rsidRDefault="00405D16">
            <w:pPr>
              <w:spacing w:after="100"/>
              <w:rPr>
                <w:rFonts w:eastAsia="Times New Roman"/>
                <w:sz w:val="20"/>
                <w:szCs w:val="20"/>
              </w:rPr>
            </w:pPr>
          </w:p>
        </w:tc>
      </w:tr>
      <w:tr w:rsidR="00000000" w14:paraId="1E30DE66" w14:textId="77777777">
        <w:trPr>
          <w:jc w:val="center"/>
        </w:trPr>
        <w:tc>
          <w:tcPr>
            <w:tcW w:w="0" w:type="auto"/>
            <w:gridSpan w:val="3"/>
            <w:shd w:val="clear" w:color="auto" w:fill="CCEEFF"/>
            <w:tcMar>
              <w:top w:w="30" w:type="dxa"/>
              <w:left w:w="245" w:type="dxa"/>
              <w:bottom w:w="30" w:type="dxa"/>
              <w:right w:w="20" w:type="dxa"/>
            </w:tcMar>
            <w:vAlign w:val="center"/>
            <w:hideMark/>
          </w:tcPr>
          <w:p w14:paraId="18B8A641" w14:textId="77777777" w:rsidR="00000000" w:rsidRDefault="00405D16">
            <w:pPr>
              <w:spacing w:after="100"/>
              <w:rPr>
                <w:rFonts w:eastAsia="Times New Roman"/>
              </w:rPr>
            </w:pPr>
            <w:r>
              <w:rPr>
                <w:rFonts w:eastAsia="Times New Roman"/>
                <w:color w:val="000000"/>
                <w:sz w:val="16"/>
                <w:szCs w:val="16"/>
              </w:rPr>
              <w:t>Investment securities</w:t>
            </w:r>
          </w:p>
        </w:tc>
        <w:tc>
          <w:tcPr>
            <w:tcW w:w="0" w:type="auto"/>
            <w:gridSpan w:val="3"/>
            <w:shd w:val="clear" w:color="auto" w:fill="CCEEFF"/>
            <w:tcMar>
              <w:top w:w="0" w:type="dxa"/>
              <w:left w:w="20" w:type="dxa"/>
              <w:bottom w:w="0" w:type="dxa"/>
              <w:right w:w="20" w:type="dxa"/>
            </w:tcMar>
            <w:vAlign w:val="center"/>
            <w:hideMark/>
          </w:tcPr>
          <w:p w14:paraId="7ECEBB0A"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BEA6E02" w14:textId="77777777" w:rsidR="00000000" w:rsidRDefault="00405D16">
            <w:pPr>
              <w:spacing w:after="100"/>
              <w:jc w:val="right"/>
              <w:rPr>
                <w:rFonts w:eastAsia="Times New Roman"/>
              </w:rPr>
            </w:pPr>
            <w:r>
              <w:rPr>
                <w:rFonts w:eastAsia="Times New Roman"/>
                <w:b/>
                <w:bCs/>
                <w:color w:val="000000"/>
                <w:sz w:val="16"/>
                <w:szCs w:val="16"/>
              </w:rPr>
              <w:t>317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4B8B3AD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5D041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673238E" w14:textId="77777777" w:rsidR="00000000" w:rsidRDefault="00405D16">
            <w:pPr>
              <w:spacing w:after="100"/>
              <w:jc w:val="right"/>
              <w:rPr>
                <w:rFonts w:eastAsia="Times New Roman"/>
              </w:rPr>
            </w:pPr>
            <w:r>
              <w:rPr>
                <w:rFonts w:eastAsia="Times New Roman"/>
                <w:color w:val="000000"/>
                <w:sz w:val="16"/>
                <w:szCs w:val="16"/>
              </w:rPr>
              <w:t>443 </w:t>
            </w:r>
          </w:p>
        </w:tc>
        <w:tc>
          <w:tcPr>
            <w:tcW w:w="0" w:type="auto"/>
            <w:shd w:val="clear" w:color="auto" w:fill="CCEEFF"/>
            <w:tcMar>
              <w:top w:w="30" w:type="dxa"/>
              <w:left w:w="0" w:type="dxa"/>
              <w:bottom w:w="30" w:type="dxa"/>
              <w:right w:w="20" w:type="dxa"/>
            </w:tcMar>
            <w:vAlign w:val="center"/>
            <w:hideMark/>
          </w:tcPr>
          <w:p w14:paraId="0A27A45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D8D92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30F7971" w14:textId="77777777" w:rsidR="00000000" w:rsidRDefault="00405D16">
            <w:pPr>
              <w:spacing w:after="100"/>
              <w:jc w:val="right"/>
              <w:rPr>
                <w:rFonts w:eastAsia="Times New Roman"/>
              </w:rPr>
            </w:pPr>
            <w:r>
              <w:rPr>
                <w:rFonts w:eastAsia="Times New Roman"/>
                <w:b/>
                <w:bCs/>
                <w:color w:val="000000"/>
                <w:sz w:val="16"/>
                <w:szCs w:val="16"/>
              </w:rPr>
              <w:t>1,078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33B2E0C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67294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0A899CF" w14:textId="77777777" w:rsidR="00000000" w:rsidRDefault="00405D16">
            <w:pPr>
              <w:spacing w:after="100"/>
              <w:jc w:val="right"/>
              <w:rPr>
                <w:rFonts w:eastAsia="Times New Roman"/>
              </w:rPr>
            </w:pPr>
            <w:r>
              <w:rPr>
                <w:rFonts w:eastAsia="Times New Roman"/>
                <w:color w:val="000000"/>
                <w:sz w:val="16"/>
                <w:szCs w:val="16"/>
              </w:rPr>
              <w:t>1,455 </w:t>
            </w:r>
          </w:p>
        </w:tc>
        <w:tc>
          <w:tcPr>
            <w:tcW w:w="0" w:type="auto"/>
            <w:shd w:val="clear" w:color="auto" w:fill="CCEEFF"/>
            <w:tcMar>
              <w:top w:w="30" w:type="dxa"/>
              <w:left w:w="0" w:type="dxa"/>
              <w:bottom w:w="30" w:type="dxa"/>
              <w:right w:w="20" w:type="dxa"/>
            </w:tcMar>
            <w:vAlign w:val="center"/>
            <w:hideMark/>
          </w:tcPr>
          <w:p w14:paraId="1F21796F" w14:textId="77777777" w:rsidR="00000000" w:rsidRDefault="00405D16">
            <w:pPr>
              <w:spacing w:after="100"/>
              <w:jc w:val="right"/>
              <w:rPr>
                <w:rFonts w:eastAsia="Times New Roman"/>
              </w:rPr>
            </w:pPr>
          </w:p>
        </w:tc>
        <w:tc>
          <w:tcPr>
            <w:tcW w:w="0" w:type="auto"/>
            <w:vAlign w:val="center"/>
            <w:hideMark/>
          </w:tcPr>
          <w:p w14:paraId="623C6BFE" w14:textId="77777777" w:rsidR="00000000" w:rsidRDefault="00405D16">
            <w:pPr>
              <w:spacing w:after="100"/>
              <w:jc w:val="right"/>
              <w:rPr>
                <w:rFonts w:eastAsia="Times New Roman"/>
                <w:sz w:val="20"/>
                <w:szCs w:val="20"/>
              </w:rPr>
            </w:pPr>
          </w:p>
        </w:tc>
        <w:tc>
          <w:tcPr>
            <w:tcW w:w="0" w:type="auto"/>
            <w:vAlign w:val="center"/>
            <w:hideMark/>
          </w:tcPr>
          <w:p w14:paraId="4307D2DA" w14:textId="77777777" w:rsidR="00000000" w:rsidRDefault="00405D16">
            <w:pPr>
              <w:spacing w:after="100"/>
              <w:rPr>
                <w:rFonts w:eastAsia="Times New Roman"/>
                <w:sz w:val="20"/>
                <w:szCs w:val="20"/>
              </w:rPr>
            </w:pPr>
          </w:p>
        </w:tc>
      </w:tr>
      <w:tr w:rsidR="00000000" w14:paraId="63A7B856" w14:textId="77777777">
        <w:trPr>
          <w:jc w:val="center"/>
        </w:trPr>
        <w:tc>
          <w:tcPr>
            <w:tcW w:w="0" w:type="auto"/>
            <w:gridSpan w:val="3"/>
            <w:shd w:val="clear" w:color="auto" w:fill="FFFFFF"/>
            <w:tcMar>
              <w:top w:w="30" w:type="dxa"/>
              <w:left w:w="245" w:type="dxa"/>
              <w:bottom w:w="30" w:type="dxa"/>
              <w:right w:w="20" w:type="dxa"/>
            </w:tcMar>
            <w:vAlign w:val="center"/>
            <w:hideMark/>
          </w:tcPr>
          <w:p w14:paraId="53D0A36E" w14:textId="77777777" w:rsidR="00000000" w:rsidRDefault="00405D16">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14:paraId="061A8B88"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3678858" w14:textId="77777777" w:rsidR="00000000" w:rsidRDefault="00405D16">
            <w:pPr>
              <w:spacing w:after="100"/>
              <w:jc w:val="right"/>
              <w:rPr>
                <w:rFonts w:eastAsia="Times New Roman"/>
              </w:rPr>
            </w:pPr>
            <w:r>
              <w:rPr>
                <w:rFonts w:eastAsia="Times New Roman"/>
                <w:b/>
                <w:bCs/>
                <w:color w:val="000000"/>
                <w:sz w:val="16"/>
                <w:szCs w:val="16"/>
              </w:rPr>
              <w:t>16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75E66AB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97D02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2196FDE" w14:textId="77777777" w:rsidR="00000000" w:rsidRDefault="00405D16">
            <w:pPr>
              <w:spacing w:after="100"/>
              <w:jc w:val="right"/>
              <w:rPr>
                <w:rFonts w:eastAsia="Times New Roman"/>
              </w:rPr>
            </w:pPr>
            <w:r>
              <w:rPr>
                <w:rFonts w:eastAsia="Times New Roman"/>
                <w:color w:val="000000"/>
                <w:sz w:val="16"/>
                <w:szCs w:val="16"/>
              </w:rPr>
              <w:t>14 </w:t>
            </w:r>
          </w:p>
        </w:tc>
        <w:tc>
          <w:tcPr>
            <w:tcW w:w="0" w:type="auto"/>
            <w:shd w:val="clear" w:color="auto" w:fill="FFFFFF"/>
            <w:tcMar>
              <w:top w:w="30" w:type="dxa"/>
              <w:left w:w="0" w:type="dxa"/>
              <w:bottom w:w="30" w:type="dxa"/>
              <w:right w:w="20" w:type="dxa"/>
            </w:tcMar>
            <w:vAlign w:val="center"/>
            <w:hideMark/>
          </w:tcPr>
          <w:p w14:paraId="74E54940" w14:textId="77777777" w:rsidR="00000000" w:rsidRDefault="00405D16">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B37FF88" w14:textId="77777777" w:rsidR="00000000" w:rsidRDefault="00405D16">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14:paraId="4E52D1CE" w14:textId="77777777" w:rsidR="00000000" w:rsidRDefault="00405D16">
            <w:pPr>
              <w:spacing w:after="100"/>
              <w:jc w:val="right"/>
              <w:rPr>
                <w:rFonts w:eastAsia="Times New Roman"/>
              </w:rPr>
            </w:pPr>
            <w:r>
              <w:rPr>
                <w:rFonts w:eastAsia="Times New Roman"/>
                <w:b/>
                <w:bCs/>
                <w:color w:val="000000"/>
                <w:sz w:val="16"/>
                <w:szCs w:val="16"/>
              </w:rPr>
              <w:t>48</w:t>
            </w:r>
            <w:r>
              <w:rPr>
                <w:rFonts w:eastAsia="Times New Roman"/>
                <w:color w:val="000000"/>
                <w:sz w:val="16"/>
                <w:szCs w:val="16"/>
              </w:rPr>
              <w:t> </w:t>
            </w:r>
          </w:p>
        </w:tc>
        <w:tc>
          <w:tcPr>
            <w:tcW w:w="0" w:type="auto"/>
            <w:tcMar>
              <w:top w:w="30" w:type="dxa"/>
              <w:left w:w="0" w:type="dxa"/>
              <w:bottom w:w="30" w:type="dxa"/>
              <w:right w:w="20" w:type="dxa"/>
            </w:tcMar>
            <w:vAlign w:val="center"/>
            <w:hideMark/>
          </w:tcPr>
          <w:p w14:paraId="5A47BE06" w14:textId="77777777" w:rsidR="00000000" w:rsidRDefault="00405D16">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D51E57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9DDC92D" w14:textId="77777777" w:rsidR="00000000" w:rsidRDefault="00405D16">
            <w:pPr>
              <w:spacing w:after="100"/>
              <w:jc w:val="right"/>
              <w:rPr>
                <w:rFonts w:eastAsia="Times New Roman"/>
              </w:rPr>
            </w:pPr>
            <w:r>
              <w:rPr>
                <w:rFonts w:eastAsia="Times New Roman"/>
                <w:color w:val="000000"/>
                <w:sz w:val="16"/>
                <w:szCs w:val="16"/>
              </w:rPr>
              <w:t>67 </w:t>
            </w:r>
          </w:p>
        </w:tc>
        <w:tc>
          <w:tcPr>
            <w:tcW w:w="0" w:type="auto"/>
            <w:shd w:val="clear" w:color="auto" w:fill="FFFFFF"/>
            <w:tcMar>
              <w:top w:w="30" w:type="dxa"/>
              <w:left w:w="0" w:type="dxa"/>
              <w:bottom w:w="30" w:type="dxa"/>
              <w:right w:w="20" w:type="dxa"/>
            </w:tcMar>
            <w:vAlign w:val="center"/>
            <w:hideMark/>
          </w:tcPr>
          <w:p w14:paraId="6C7B71E0" w14:textId="77777777" w:rsidR="00000000" w:rsidRDefault="00405D16">
            <w:pPr>
              <w:spacing w:after="100"/>
              <w:jc w:val="right"/>
              <w:rPr>
                <w:rFonts w:eastAsia="Times New Roman"/>
              </w:rPr>
            </w:pPr>
          </w:p>
        </w:tc>
        <w:tc>
          <w:tcPr>
            <w:tcW w:w="0" w:type="auto"/>
            <w:vAlign w:val="center"/>
            <w:hideMark/>
          </w:tcPr>
          <w:p w14:paraId="56CC96DC" w14:textId="77777777" w:rsidR="00000000" w:rsidRDefault="00405D16">
            <w:pPr>
              <w:spacing w:after="100"/>
              <w:jc w:val="right"/>
              <w:rPr>
                <w:rFonts w:eastAsia="Times New Roman"/>
                <w:sz w:val="20"/>
                <w:szCs w:val="20"/>
              </w:rPr>
            </w:pPr>
          </w:p>
        </w:tc>
        <w:tc>
          <w:tcPr>
            <w:tcW w:w="0" w:type="auto"/>
            <w:vAlign w:val="center"/>
            <w:hideMark/>
          </w:tcPr>
          <w:p w14:paraId="01C452C3" w14:textId="77777777" w:rsidR="00000000" w:rsidRDefault="00405D16">
            <w:pPr>
              <w:spacing w:after="100"/>
              <w:rPr>
                <w:rFonts w:eastAsia="Times New Roman"/>
                <w:sz w:val="20"/>
                <w:szCs w:val="20"/>
              </w:rPr>
            </w:pPr>
          </w:p>
        </w:tc>
      </w:tr>
      <w:tr w:rsidR="00000000" w14:paraId="5747BA37" w14:textId="77777777">
        <w:trPr>
          <w:jc w:val="center"/>
        </w:trPr>
        <w:tc>
          <w:tcPr>
            <w:tcW w:w="0" w:type="auto"/>
            <w:gridSpan w:val="3"/>
            <w:shd w:val="clear" w:color="auto" w:fill="CCEEFF"/>
            <w:tcMar>
              <w:top w:w="30" w:type="dxa"/>
              <w:left w:w="20" w:type="dxa"/>
              <w:bottom w:w="30" w:type="dxa"/>
              <w:right w:w="20" w:type="dxa"/>
            </w:tcMar>
            <w:vAlign w:val="center"/>
            <w:hideMark/>
          </w:tcPr>
          <w:p w14:paraId="3457AF9C" w14:textId="77777777" w:rsidR="00000000" w:rsidRDefault="00405D16">
            <w:pPr>
              <w:spacing w:after="100"/>
              <w:rPr>
                <w:rFonts w:eastAsia="Times New Roman"/>
              </w:rPr>
            </w:pPr>
            <w:r>
              <w:rPr>
                <w:rFonts w:eastAsia="Times New Roman"/>
                <w:color w:val="000000"/>
                <w:sz w:val="16"/>
                <w:szCs w:val="16"/>
              </w:rPr>
              <w:t>Total interest income</w:t>
            </w:r>
          </w:p>
        </w:tc>
        <w:tc>
          <w:tcPr>
            <w:tcW w:w="0" w:type="auto"/>
            <w:gridSpan w:val="3"/>
            <w:shd w:val="clear" w:color="auto" w:fill="CCEEFF"/>
            <w:tcMar>
              <w:top w:w="0" w:type="dxa"/>
              <w:left w:w="20" w:type="dxa"/>
              <w:bottom w:w="0" w:type="dxa"/>
              <w:right w:w="20" w:type="dxa"/>
            </w:tcMar>
            <w:vAlign w:val="center"/>
            <w:hideMark/>
          </w:tcPr>
          <w:p w14:paraId="22F8C186"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C2500F4" w14:textId="77777777" w:rsidR="00000000" w:rsidRDefault="00405D16">
            <w:pPr>
              <w:spacing w:after="100"/>
              <w:jc w:val="right"/>
              <w:rPr>
                <w:rFonts w:eastAsia="Times New Roman"/>
              </w:rPr>
            </w:pPr>
            <w:r>
              <w:rPr>
                <w:rFonts w:eastAsia="Times New Roman"/>
                <w:b/>
                <w:bCs/>
                <w:color w:val="000000"/>
                <w:sz w:val="16"/>
                <w:szCs w:val="16"/>
              </w:rPr>
              <w:t>6,538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2A2713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DE76B7"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D7D309B" w14:textId="77777777" w:rsidR="00000000" w:rsidRDefault="00405D16">
            <w:pPr>
              <w:spacing w:after="100"/>
              <w:jc w:val="right"/>
              <w:rPr>
                <w:rFonts w:eastAsia="Times New Roman"/>
              </w:rPr>
            </w:pPr>
            <w:r>
              <w:rPr>
                <w:rFonts w:eastAsia="Times New Roman"/>
                <w:color w:val="000000"/>
                <w:sz w:val="16"/>
                <w:szCs w:val="16"/>
              </w:rPr>
              <w:t>6,215 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6BE9A4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30715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2786274" w14:textId="77777777" w:rsidR="00000000" w:rsidRDefault="00405D16">
            <w:pPr>
              <w:spacing w:after="100"/>
              <w:jc w:val="right"/>
              <w:rPr>
                <w:rFonts w:eastAsia="Times New Roman"/>
              </w:rPr>
            </w:pPr>
            <w:r>
              <w:rPr>
                <w:rFonts w:eastAsia="Times New Roman"/>
                <w:b/>
                <w:bCs/>
                <w:color w:val="000000"/>
                <w:sz w:val="16"/>
                <w:szCs w:val="16"/>
              </w:rPr>
              <w:t>18,938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F65EC2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21A99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A734DBD" w14:textId="77777777" w:rsidR="00000000" w:rsidRDefault="00405D16">
            <w:pPr>
              <w:spacing w:after="100"/>
              <w:jc w:val="right"/>
              <w:rPr>
                <w:rFonts w:eastAsia="Times New Roman"/>
              </w:rPr>
            </w:pPr>
            <w:r>
              <w:rPr>
                <w:rFonts w:eastAsia="Times New Roman"/>
                <w:color w:val="000000"/>
                <w:sz w:val="16"/>
                <w:szCs w:val="16"/>
              </w:rPr>
              <w:t>19,642 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479FD44" w14:textId="77777777" w:rsidR="00000000" w:rsidRDefault="00405D16">
            <w:pPr>
              <w:spacing w:after="100"/>
              <w:jc w:val="right"/>
              <w:rPr>
                <w:rFonts w:eastAsia="Times New Roman"/>
              </w:rPr>
            </w:pPr>
          </w:p>
        </w:tc>
        <w:tc>
          <w:tcPr>
            <w:tcW w:w="0" w:type="auto"/>
            <w:vAlign w:val="center"/>
            <w:hideMark/>
          </w:tcPr>
          <w:p w14:paraId="56F5D69E" w14:textId="77777777" w:rsidR="00000000" w:rsidRDefault="00405D16">
            <w:pPr>
              <w:spacing w:after="100"/>
              <w:jc w:val="right"/>
              <w:rPr>
                <w:rFonts w:eastAsia="Times New Roman"/>
                <w:sz w:val="20"/>
                <w:szCs w:val="20"/>
              </w:rPr>
            </w:pPr>
          </w:p>
        </w:tc>
        <w:tc>
          <w:tcPr>
            <w:tcW w:w="0" w:type="auto"/>
            <w:vAlign w:val="center"/>
            <w:hideMark/>
          </w:tcPr>
          <w:p w14:paraId="30375F17" w14:textId="77777777" w:rsidR="00000000" w:rsidRDefault="00405D16">
            <w:pPr>
              <w:spacing w:after="100"/>
              <w:rPr>
                <w:rFonts w:eastAsia="Times New Roman"/>
                <w:sz w:val="20"/>
                <w:szCs w:val="20"/>
              </w:rPr>
            </w:pPr>
          </w:p>
        </w:tc>
      </w:tr>
      <w:tr w:rsidR="00000000" w14:paraId="41A677F5" w14:textId="77777777">
        <w:trPr>
          <w:jc w:val="center"/>
        </w:trPr>
        <w:tc>
          <w:tcPr>
            <w:tcW w:w="0" w:type="auto"/>
            <w:gridSpan w:val="3"/>
            <w:shd w:val="clear" w:color="auto" w:fill="FFFFFF"/>
            <w:tcMar>
              <w:top w:w="30" w:type="dxa"/>
              <w:left w:w="20" w:type="dxa"/>
              <w:bottom w:w="30" w:type="dxa"/>
              <w:right w:w="20" w:type="dxa"/>
            </w:tcMar>
            <w:vAlign w:val="center"/>
            <w:hideMark/>
          </w:tcPr>
          <w:p w14:paraId="75BFA70B" w14:textId="77777777" w:rsidR="00000000" w:rsidRDefault="00405D16">
            <w:pPr>
              <w:spacing w:after="100"/>
              <w:rPr>
                <w:rFonts w:eastAsia="Times New Roman"/>
              </w:rPr>
            </w:pPr>
            <w:r>
              <w:rPr>
                <w:rFonts w:eastAsia="Times New Roman"/>
                <w:b/>
                <w:bCs/>
                <w:color w:val="000000"/>
                <w:sz w:val="16"/>
                <w:szCs w:val="16"/>
              </w:rPr>
              <w:t>Interest expense:</w:t>
            </w:r>
          </w:p>
        </w:tc>
        <w:tc>
          <w:tcPr>
            <w:tcW w:w="0" w:type="auto"/>
            <w:gridSpan w:val="3"/>
            <w:shd w:val="clear" w:color="auto" w:fill="FFFFFF"/>
            <w:tcMar>
              <w:top w:w="0" w:type="dxa"/>
              <w:left w:w="20" w:type="dxa"/>
              <w:bottom w:w="0" w:type="dxa"/>
              <w:right w:w="20" w:type="dxa"/>
            </w:tcMar>
            <w:vAlign w:val="center"/>
            <w:hideMark/>
          </w:tcPr>
          <w:p w14:paraId="547853BF" w14:textId="77777777" w:rsidR="00000000" w:rsidRDefault="00405D16">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7319EE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A8E512"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B68BA6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C30915"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4404F6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332E76"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08A2B01" w14:textId="77777777" w:rsidR="00000000" w:rsidRDefault="00405D16">
            <w:pPr>
              <w:spacing w:after="100"/>
              <w:rPr>
                <w:rFonts w:eastAsia="Times New Roman"/>
                <w:sz w:val="20"/>
                <w:szCs w:val="20"/>
              </w:rPr>
            </w:pPr>
          </w:p>
        </w:tc>
        <w:tc>
          <w:tcPr>
            <w:tcW w:w="0" w:type="auto"/>
            <w:vAlign w:val="center"/>
            <w:hideMark/>
          </w:tcPr>
          <w:p w14:paraId="6FA07970" w14:textId="77777777" w:rsidR="00000000" w:rsidRDefault="00405D16">
            <w:pPr>
              <w:spacing w:after="100"/>
              <w:rPr>
                <w:rFonts w:eastAsia="Times New Roman"/>
                <w:sz w:val="20"/>
                <w:szCs w:val="20"/>
              </w:rPr>
            </w:pPr>
          </w:p>
        </w:tc>
        <w:tc>
          <w:tcPr>
            <w:tcW w:w="0" w:type="auto"/>
            <w:vAlign w:val="center"/>
            <w:hideMark/>
          </w:tcPr>
          <w:p w14:paraId="7A5FA0BD" w14:textId="77777777" w:rsidR="00000000" w:rsidRDefault="00405D16">
            <w:pPr>
              <w:spacing w:after="100"/>
              <w:rPr>
                <w:rFonts w:eastAsia="Times New Roman"/>
                <w:sz w:val="20"/>
                <w:szCs w:val="20"/>
              </w:rPr>
            </w:pPr>
          </w:p>
        </w:tc>
      </w:tr>
      <w:tr w:rsidR="00000000" w14:paraId="0C9BF315" w14:textId="77777777">
        <w:trPr>
          <w:jc w:val="center"/>
        </w:trPr>
        <w:tc>
          <w:tcPr>
            <w:tcW w:w="0" w:type="auto"/>
            <w:gridSpan w:val="3"/>
            <w:shd w:val="clear" w:color="auto" w:fill="CCEEFF"/>
            <w:tcMar>
              <w:top w:w="30" w:type="dxa"/>
              <w:left w:w="245" w:type="dxa"/>
              <w:bottom w:w="30" w:type="dxa"/>
              <w:right w:w="20" w:type="dxa"/>
            </w:tcMar>
            <w:vAlign w:val="center"/>
            <w:hideMark/>
          </w:tcPr>
          <w:p w14:paraId="2A54D13D" w14:textId="77777777" w:rsidR="00000000" w:rsidRDefault="00405D16">
            <w:pPr>
              <w:spacing w:after="100"/>
              <w:rPr>
                <w:rFonts w:eastAsia="Times New Roman"/>
              </w:rPr>
            </w:pPr>
            <w:r>
              <w:rPr>
                <w:rFonts w:eastAsia="Times New Roman"/>
                <w:color w:val="000000"/>
                <w:sz w:val="16"/>
                <w:szCs w:val="16"/>
              </w:rPr>
              <w:t>Deposits</w:t>
            </w:r>
          </w:p>
        </w:tc>
        <w:tc>
          <w:tcPr>
            <w:tcW w:w="0" w:type="auto"/>
            <w:gridSpan w:val="3"/>
            <w:shd w:val="clear" w:color="auto" w:fill="CCEEFF"/>
            <w:tcMar>
              <w:top w:w="0" w:type="dxa"/>
              <w:left w:w="20" w:type="dxa"/>
              <w:bottom w:w="0" w:type="dxa"/>
              <w:right w:w="20" w:type="dxa"/>
            </w:tcMar>
            <w:vAlign w:val="center"/>
            <w:hideMark/>
          </w:tcPr>
          <w:p w14:paraId="12EBE5D5"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EDCD998" w14:textId="77777777" w:rsidR="00000000" w:rsidRDefault="00405D16">
            <w:pPr>
              <w:spacing w:after="100"/>
              <w:jc w:val="right"/>
              <w:rPr>
                <w:rFonts w:eastAsia="Times New Roman"/>
              </w:rPr>
            </w:pPr>
            <w:r>
              <w:rPr>
                <w:rFonts w:eastAsia="Times New Roman"/>
                <w:b/>
                <w:bCs/>
                <w:color w:val="000000"/>
                <w:sz w:val="16"/>
                <w:szCs w:val="16"/>
              </w:rPr>
              <w:t>228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7994856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CF349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5221D51" w14:textId="77777777" w:rsidR="00000000" w:rsidRDefault="00405D16">
            <w:pPr>
              <w:spacing w:after="100"/>
              <w:jc w:val="right"/>
              <w:rPr>
                <w:rFonts w:eastAsia="Times New Roman"/>
              </w:rPr>
            </w:pPr>
            <w:r>
              <w:rPr>
                <w:rFonts w:eastAsia="Times New Roman"/>
                <w:color w:val="000000"/>
                <w:sz w:val="16"/>
                <w:szCs w:val="16"/>
              </w:rPr>
              <w:t>476 </w:t>
            </w:r>
          </w:p>
        </w:tc>
        <w:tc>
          <w:tcPr>
            <w:tcW w:w="0" w:type="auto"/>
            <w:shd w:val="clear" w:color="auto" w:fill="CCEEFF"/>
            <w:tcMar>
              <w:top w:w="30" w:type="dxa"/>
              <w:left w:w="0" w:type="dxa"/>
              <w:bottom w:w="30" w:type="dxa"/>
              <w:right w:w="20" w:type="dxa"/>
            </w:tcMar>
            <w:vAlign w:val="center"/>
            <w:hideMark/>
          </w:tcPr>
          <w:p w14:paraId="58CB5B5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7B9A7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CE228E9" w14:textId="77777777" w:rsidR="00000000" w:rsidRDefault="00405D16">
            <w:pPr>
              <w:spacing w:after="100"/>
              <w:jc w:val="right"/>
              <w:rPr>
                <w:rFonts w:eastAsia="Times New Roman"/>
              </w:rPr>
            </w:pPr>
            <w:r>
              <w:rPr>
                <w:rFonts w:eastAsia="Times New Roman"/>
                <w:b/>
                <w:bCs/>
                <w:color w:val="000000"/>
                <w:sz w:val="16"/>
                <w:szCs w:val="16"/>
              </w:rPr>
              <w:t>734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0B4876B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0039D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1B85071" w14:textId="77777777" w:rsidR="00000000" w:rsidRDefault="00405D16">
            <w:pPr>
              <w:spacing w:after="100"/>
              <w:jc w:val="right"/>
              <w:rPr>
                <w:rFonts w:eastAsia="Times New Roman"/>
              </w:rPr>
            </w:pPr>
            <w:r>
              <w:rPr>
                <w:rFonts w:eastAsia="Times New Roman"/>
                <w:color w:val="000000"/>
                <w:sz w:val="16"/>
                <w:szCs w:val="16"/>
              </w:rPr>
              <w:t>1,818 </w:t>
            </w:r>
          </w:p>
        </w:tc>
        <w:tc>
          <w:tcPr>
            <w:tcW w:w="0" w:type="auto"/>
            <w:shd w:val="clear" w:color="auto" w:fill="CCEEFF"/>
            <w:tcMar>
              <w:top w:w="30" w:type="dxa"/>
              <w:left w:w="0" w:type="dxa"/>
              <w:bottom w:w="30" w:type="dxa"/>
              <w:right w:w="20" w:type="dxa"/>
            </w:tcMar>
            <w:vAlign w:val="center"/>
            <w:hideMark/>
          </w:tcPr>
          <w:p w14:paraId="16F2B66D" w14:textId="77777777" w:rsidR="00000000" w:rsidRDefault="00405D16">
            <w:pPr>
              <w:spacing w:after="100"/>
              <w:jc w:val="right"/>
              <w:rPr>
                <w:rFonts w:eastAsia="Times New Roman"/>
              </w:rPr>
            </w:pPr>
          </w:p>
        </w:tc>
        <w:tc>
          <w:tcPr>
            <w:tcW w:w="0" w:type="auto"/>
            <w:vAlign w:val="center"/>
            <w:hideMark/>
          </w:tcPr>
          <w:p w14:paraId="784D2FFD" w14:textId="77777777" w:rsidR="00000000" w:rsidRDefault="00405D16">
            <w:pPr>
              <w:spacing w:after="100"/>
              <w:jc w:val="right"/>
              <w:rPr>
                <w:rFonts w:eastAsia="Times New Roman"/>
                <w:sz w:val="20"/>
                <w:szCs w:val="20"/>
              </w:rPr>
            </w:pPr>
          </w:p>
        </w:tc>
        <w:tc>
          <w:tcPr>
            <w:tcW w:w="0" w:type="auto"/>
            <w:vAlign w:val="center"/>
            <w:hideMark/>
          </w:tcPr>
          <w:p w14:paraId="4436FD30" w14:textId="77777777" w:rsidR="00000000" w:rsidRDefault="00405D16">
            <w:pPr>
              <w:spacing w:after="100"/>
              <w:rPr>
                <w:rFonts w:eastAsia="Times New Roman"/>
                <w:sz w:val="20"/>
                <w:szCs w:val="20"/>
              </w:rPr>
            </w:pPr>
          </w:p>
        </w:tc>
      </w:tr>
      <w:tr w:rsidR="00000000" w14:paraId="3F333253" w14:textId="77777777">
        <w:trPr>
          <w:jc w:val="center"/>
        </w:trPr>
        <w:tc>
          <w:tcPr>
            <w:tcW w:w="0" w:type="auto"/>
            <w:gridSpan w:val="3"/>
            <w:shd w:val="clear" w:color="auto" w:fill="FFFFFF"/>
            <w:tcMar>
              <w:top w:w="30" w:type="dxa"/>
              <w:left w:w="245" w:type="dxa"/>
              <w:bottom w:w="30" w:type="dxa"/>
              <w:right w:w="20" w:type="dxa"/>
            </w:tcMar>
            <w:vAlign w:val="center"/>
            <w:hideMark/>
          </w:tcPr>
          <w:p w14:paraId="55C91B88" w14:textId="77777777" w:rsidR="00000000" w:rsidRDefault="00405D16">
            <w:pPr>
              <w:spacing w:after="100"/>
              <w:rPr>
                <w:rFonts w:eastAsia="Times New Roman"/>
              </w:rPr>
            </w:pPr>
            <w:r>
              <w:rPr>
                <w:rFonts w:eastAsia="Times New Roman"/>
                <w:color w:val="000000"/>
                <w:sz w:val="16"/>
                <w:szCs w:val="16"/>
              </w:rPr>
              <w:t>Securitized debt obligations</w:t>
            </w:r>
          </w:p>
        </w:tc>
        <w:tc>
          <w:tcPr>
            <w:tcW w:w="0" w:type="auto"/>
            <w:gridSpan w:val="3"/>
            <w:shd w:val="clear" w:color="auto" w:fill="FFFFFF"/>
            <w:tcMar>
              <w:top w:w="0" w:type="dxa"/>
              <w:left w:w="20" w:type="dxa"/>
              <w:bottom w:w="0" w:type="dxa"/>
              <w:right w:w="20" w:type="dxa"/>
            </w:tcMar>
            <w:vAlign w:val="center"/>
            <w:hideMark/>
          </w:tcPr>
          <w:p w14:paraId="1F32255F"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1D075BE" w14:textId="77777777" w:rsidR="00000000" w:rsidRDefault="00405D16">
            <w:pPr>
              <w:spacing w:after="100"/>
              <w:jc w:val="right"/>
              <w:rPr>
                <w:rFonts w:eastAsia="Times New Roman"/>
              </w:rPr>
            </w:pPr>
            <w:r>
              <w:rPr>
                <w:rFonts w:eastAsia="Times New Roman"/>
                <w:b/>
                <w:bCs/>
                <w:color w:val="000000"/>
                <w:sz w:val="16"/>
                <w:szCs w:val="16"/>
              </w:rPr>
              <w:t>29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1541D7C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FF103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91E90B5" w14:textId="77777777" w:rsidR="00000000" w:rsidRDefault="00405D16">
            <w:pPr>
              <w:spacing w:after="100"/>
              <w:jc w:val="right"/>
              <w:rPr>
                <w:rFonts w:eastAsia="Times New Roman"/>
              </w:rPr>
            </w:pPr>
            <w:r>
              <w:rPr>
                <w:rFonts w:eastAsia="Times New Roman"/>
                <w:color w:val="000000"/>
                <w:sz w:val="16"/>
                <w:szCs w:val="16"/>
              </w:rPr>
              <w:t>43 </w:t>
            </w:r>
          </w:p>
        </w:tc>
        <w:tc>
          <w:tcPr>
            <w:tcW w:w="0" w:type="auto"/>
            <w:shd w:val="clear" w:color="auto" w:fill="FFFFFF"/>
            <w:tcMar>
              <w:top w:w="30" w:type="dxa"/>
              <w:left w:w="0" w:type="dxa"/>
              <w:bottom w:w="30" w:type="dxa"/>
              <w:right w:w="20" w:type="dxa"/>
            </w:tcMar>
            <w:vAlign w:val="center"/>
            <w:hideMark/>
          </w:tcPr>
          <w:p w14:paraId="54A2517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1BF04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4DEFBBD" w14:textId="77777777" w:rsidR="00000000" w:rsidRDefault="00405D16">
            <w:pPr>
              <w:spacing w:after="100"/>
              <w:jc w:val="right"/>
              <w:rPr>
                <w:rFonts w:eastAsia="Times New Roman"/>
              </w:rPr>
            </w:pPr>
            <w:r>
              <w:rPr>
                <w:rFonts w:eastAsia="Times New Roman"/>
                <w:b/>
                <w:bCs/>
                <w:color w:val="000000"/>
                <w:sz w:val="16"/>
                <w:szCs w:val="16"/>
              </w:rPr>
              <w:t>89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696C510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6CA14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173FBAF" w14:textId="77777777" w:rsidR="00000000" w:rsidRDefault="00405D16">
            <w:pPr>
              <w:spacing w:after="100"/>
              <w:jc w:val="right"/>
              <w:rPr>
                <w:rFonts w:eastAsia="Times New Roman"/>
              </w:rPr>
            </w:pPr>
            <w:r>
              <w:rPr>
                <w:rFonts w:eastAsia="Times New Roman"/>
                <w:color w:val="000000"/>
                <w:sz w:val="16"/>
                <w:szCs w:val="16"/>
              </w:rPr>
              <w:t>198 </w:t>
            </w:r>
          </w:p>
        </w:tc>
        <w:tc>
          <w:tcPr>
            <w:tcW w:w="0" w:type="auto"/>
            <w:shd w:val="clear" w:color="auto" w:fill="FFFFFF"/>
            <w:tcMar>
              <w:top w:w="30" w:type="dxa"/>
              <w:left w:w="0" w:type="dxa"/>
              <w:bottom w:w="30" w:type="dxa"/>
              <w:right w:w="20" w:type="dxa"/>
            </w:tcMar>
            <w:vAlign w:val="center"/>
            <w:hideMark/>
          </w:tcPr>
          <w:p w14:paraId="298B28CA" w14:textId="77777777" w:rsidR="00000000" w:rsidRDefault="00405D16">
            <w:pPr>
              <w:spacing w:after="100"/>
              <w:jc w:val="right"/>
              <w:rPr>
                <w:rFonts w:eastAsia="Times New Roman"/>
              </w:rPr>
            </w:pPr>
          </w:p>
        </w:tc>
        <w:tc>
          <w:tcPr>
            <w:tcW w:w="0" w:type="auto"/>
            <w:vAlign w:val="center"/>
            <w:hideMark/>
          </w:tcPr>
          <w:p w14:paraId="5AA89A68" w14:textId="77777777" w:rsidR="00000000" w:rsidRDefault="00405D16">
            <w:pPr>
              <w:spacing w:after="100"/>
              <w:jc w:val="right"/>
              <w:rPr>
                <w:rFonts w:eastAsia="Times New Roman"/>
                <w:sz w:val="20"/>
                <w:szCs w:val="20"/>
              </w:rPr>
            </w:pPr>
          </w:p>
        </w:tc>
        <w:tc>
          <w:tcPr>
            <w:tcW w:w="0" w:type="auto"/>
            <w:vAlign w:val="center"/>
            <w:hideMark/>
          </w:tcPr>
          <w:p w14:paraId="11387D7F" w14:textId="77777777" w:rsidR="00000000" w:rsidRDefault="00405D16">
            <w:pPr>
              <w:spacing w:after="100"/>
              <w:rPr>
                <w:rFonts w:eastAsia="Times New Roman"/>
                <w:sz w:val="20"/>
                <w:szCs w:val="20"/>
              </w:rPr>
            </w:pPr>
          </w:p>
        </w:tc>
      </w:tr>
      <w:tr w:rsidR="00000000" w14:paraId="38DE0316" w14:textId="77777777">
        <w:trPr>
          <w:jc w:val="center"/>
        </w:trPr>
        <w:tc>
          <w:tcPr>
            <w:tcW w:w="0" w:type="auto"/>
            <w:gridSpan w:val="3"/>
            <w:shd w:val="clear" w:color="auto" w:fill="CCEEFF"/>
            <w:tcMar>
              <w:top w:w="30" w:type="dxa"/>
              <w:left w:w="245" w:type="dxa"/>
              <w:bottom w:w="30" w:type="dxa"/>
              <w:right w:w="20" w:type="dxa"/>
            </w:tcMar>
            <w:vAlign w:val="center"/>
            <w:hideMark/>
          </w:tcPr>
          <w:p w14:paraId="2A1E750B" w14:textId="77777777" w:rsidR="00000000" w:rsidRDefault="00405D16">
            <w:pPr>
              <w:spacing w:after="100"/>
              <w:rPr>
                <w:rFonts w:eastAsia="Times New Roman"/>
              </w:rPr>
            </w:pPr>
            <w:r>
              <w:rPr>
                <w:rFonts w:eastAsia="Times New Roman"/>
                <w:color w:val="000000"/>
                <w:sz w:val="16"/>
                <w:szCs w:val="16"/>
              </w:rPr>
              <w:t>Senior and subordinated notes</w:t>
            </w:r>
          </w:p>
        </w:tc>
        <w:tc>
          <w:tcPr>
            <w:tcW w:w="0" w:type="auto"/>
            <w:gridSpan w:val="3"/>
            <w:shd w:val="clear" w:color="auto" w:fill="CCEEFF"/>
            <w:tcMar>
              <w:top w:w="0" w:type="dxa"/>
              <w:left w:w="20" w:type="dxa"/>
              <w:bottom w:w="0" w:type="dxa"/>
              <w:right w:w="20" w:type="dxa"/>
            </w:tcMar>
            <w:vAlign w:val="center"/>
            <w:hideMark/>
          </w:tcPr>
          <w:p w14:paraId="6D7CE722"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BBBEFC5" w14:textId="77777777" w:rsidR="00000000" w:rsidRDefault="00405D16">
            <w:pPr>
              <w:spacing w:after="100"/>
              <w:jc w:val="right"/>
              <w:rPr>
                <w:rFonts w:eastAsia="Times New Roman"/>
              </w:rPr>
            </w:pPr>
            <w:r>
              <w:rPr>
                <w:rFonts w:eastAsia="Times New Roman"/>
                <w:b/>
                <w:bCs/>
                <w:color w:val="000000"/>
                <w:sz w:val="16"/>
                <w:szCs w:val="16"/>
              </w:rPr>
              <w:t>116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23EA527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6ADA2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140D19A" w14:textId="77777777" w:rsidR="00000000" w:rsidRDefault="00405D16">
            <w:pPr>
              <w:spacing w:after="100"/>
              <w:jc w:val="right"/>
              <w:rPr>
                <w:rFonts w:eastAsia="Times New Roman"/>
              </w:rPr>
            </w:pPr>
            <w:r>
              <w:rPr>
                <w:rFonts w:eastAsia="Times New Roman"/>
                <w:color w:val="000000"/>
                <w:sz w:val="16"/>
                <w:szCs w:val="16"/>
              </w:rPr>
              <w:t>132 </w:t>
            </w:r>
          </w:p>
        </w:tc>
        <w:tc>
          <w:tcPr>
            <w:tcW w:w="0" w:type="auto"/>
            <w:shd w:val="clear" w:color="auto" w:fill="CCEEFF"/>
            <w:tcMar>
              <w:top w:w="30" w:type="dxa"/>
              <w:left w:w="0" w:type="dxa"/>
              <w:bottom w:w="30" w:type="dxa"/>
              <w:right w:w="20" w:type="dxa"/>
            </w:tcMar>
            <w:vAlign w:val="center"/>
            <w:hideMark/>
          </w:tcPr>
          <w:p w14:paraId="5EB5F87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096F8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3096644" w14:textId="77777777" w:rsidR="00000000" w:rsidRDefault="00405D16">
            <w:pPr>
              <w:spacing w:after="100"/>
              <w:jc w:val="right"/>
              <w:rPr>
                <w:rFonts w:eastAsia="Times New Roman"/>
              </w:rPr>
            </w:pPr>
            <w:r>
              <w:rPr>
                <w:rFonts w:eastAsia="Times New Roman"/>
                <w:b/>
                <w:bCs/>
                <w:color w:val="000000"/>
                <w:sz w:val="16"/>
                <w:szCs w:val="16"/>
              </w:rPr>
              <w:t>367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0AA503B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8C421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AD17368" w14:textId="77777777" w:rsidR="00000000" w:rsidRDefault="00405D16">
            <w:pPr>
              <w:spacing w:after="100"/>
              <w:jc w:val="right"/>
              <w:rPr>
                <w:rFonts w:eastAsia="Times New Roman"/>
              </w:rPr>
            </w:pPr>
            <w:r>
              <w:rPr>
                <w:rFonts w:eastAsia="Times New Roman"/>
                <w:color w:val="000000"/>
                <w:sz w:val="16"/>
                <w:szCs w:val="16"/>
              </w:rPr>
              <w:t>551 </w:t>
            </w:r>
          </w:p>
        </w:tc>
        <w:tc>
          <w:tcPr>
            <w:tcW w:w="0" w:type="auto"/>
            <w:shd w:val="clear" w:color="auto" w:fill="CCEEFF"/>
            <w:tcMar>
              <w:top w:w="30" w:type="dxa"/>
              <w:left w:w="0" w:type="dxa"/>
              <w:bottom w:w="30" w:type="dxa"/>
              <w:right w:w="20" w:type="dxa"/>
            </w:tcMar>
            <w:vAlign w:val="center"/>
            <w:hideMark/>
          </w:tcPr>
          <w:p w14:paraId="30453606" w14:textId="77777777" w:rsidR="00000000" w:rsidRDefault="00405D16">
            <w:pPr>
              <w:spacing w:after="100"/>
              <w:jc w:val="right"/>
              <w:rPr>
                <w:rFonts w:eastAsia="Times New Roman"/>
              </w:rPr>
            </w:pPr>
          </w:p>
        </w:tc>
        <w:tc>
          <w:tcPr>
            <w:tcW w:w="0" w:type="auto"/>
            <w:vAlign w:val="center"/>
            <w:hideMark/>
          </w:tcPr>
          <w:p w14:paraId="6A364477" w14:textId="77777777" w:rsidR="00000000" w:rsidRDefault="00405D16">
            <w:pPr>
              <w:spacing w:after="100"/>
              <w:jc w:val="right"/>
              <w:rPr>
                <w:rFonts w:eastAsia="Times New Roman"/>
                <w:sz w:val="20"/>
                <w:szCs w:val="20"/>
              </w:rPr>
            </w:pPr>
          </w:p>
        </w:tc>
        <w:tc>
          <w:tcPr>
            <w:tcW w:w="0" w:type="auto"/>
            <w:vAlign w:val="center"/>
            <w:hideMark/>
          </w:tcPr>
          <w:p w14:paraId="3EED8397" w14:textId="77777777" w:rsidR="00000000" w:rsidRDefault="00405D16">
            <w:pPr>
              <w:spacing w:after="100"/>
              <w:rPr>
                <w:rFonts w:eastAsia="Times New Roman"/>
                <w:sz w:val="20"/>
                <w:szCs w:val="20"/>
              </w:rPr>
            </w:pPr>
          </w:p>
        </w:tc>
      </w:tr>
      <w:tr w:rsidR="00000000" w14:paraId="4E691033" w14:textId="77777777">
        <w:trPr>
          <w:jc w:val="center"/>
        </w:trPr>
        <w:tc>
          <w:tcPr>
            <w:tcW w:w="0" w:type="auto"/>
            <w:gridSpan w:val="3"/>
            <w:shd w:val="clear" w:color="auto" w:fill="FFFFFF"/>
            <w:tcMar>
              <w:top w:w="30" w:type="dxa"/>
              <w:left w:w="245" w:type="dxa"/>
              <w:bottom w:w="30" w:type="dxa"/>
              <w:right w:w="20" w:type="dxa"/>
            </w:tcMar>
            <w:vAlign w:val="center"/>
            <w:hideMark/>
          </w:tcPr>
          <w:p w14:paraId="3829248E" w14:textId="77777777" w:rsidR="00000000" w:rsidRDefault="00405D16">
            <w:pPr>
              <w:spacing w:after="100"/>
              <w:rPr>
                <w:rFonts w:eastAsia="Times New Roman"/>
              </w:rPr>
            </w:pPr>
            <w:r>
              <w:rPr>
                <w:rFonts w:eastAsia="Times New Roman"/>
                <w:color w:val="000000"/>
                <w:sz w:val="16"/>
                <w:szCs w:val="16"/>
              </w:rPr>
              <w:t>Other borrowings</w:t>
            </w:r>
          </w:p>
        </w:tc>
        <w:tc>
          <w:tcPr>
            <w:tcW w:w="0" w:type="auto"/>
            <w:gridSpan w:val="3"/>
            <w:shd w:val="clear" w:color="auto" w:fill="FFFFFF"/>
            <w:tcMar>
              <w:top w:w="0" w:type="dxa"/>
              <w:left w:w="20" w:type="dxa"/>
              <w:bottom w:w="0" w:type="dxa"/>
              <w:right w:w="20" w:type="dxa"/>
            </w:tcMar>
            <w:vAlign w:val="center"/>
            <w:hideMark/>
          </w:tcPr>
          <w:p w14:paraId="1D6C32F4"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AEB8C89" w14:textId="77777777" w:rsidR="00000000" w:rsidRDefault="00405D16">
            <w:pPr>
              <w:spacing w:after="100"/>
              <w:jc w:val="right"/>
              <w:rPr>
                <w:rFonts w:eastAsia="Times New Roman"/>
              </w:rPr>
            </w:pPr>
            <w:r>
              <w:rPr>
                <w:rFonts w:eastAsia="Times New Roman"/>
                <w:b/>
                <w:bCs/>
                <w:color w:val="000000"/>
                <w:sz w:val="16"/>
                <w:szCs w:val="16"/>
              </w:rPr>
              <w:t>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197B521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08180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08F0482" w14:textId="77777777" w:rsidR="00000000" w:rsidRDefault="00405D16">
            <w:pPr>
              <w:spacing w:after="100"/>
              <w:jc w:val="right"/>
              <w:rPr>
                <w:rFonts w:eastAsia="Times New Roman"/>
              </w:rPr>
            </w:pPr>
            <w:r>
              <w:rPr>
                <w:rFonts w:eastAsia="Times New Roman"/>
                <w:color w:val="000000"/>
                <w:sz w:val="16"/>
                <w:szCs w:val="16"/>
              </w:rPr>
              <w:t>9 </w:t>
            </w:r>
          </w:p>
        </w:tc>
        <w:tc>
          <w:tcPr>
            <w:tcW w:w="0" w:type="auto"/>
            <w:shd w:val="clear" w:color="auto" w:fill="FFFFFF"/>
            <w:tcMar>
              <w:top w:w="30" w:type="dxa"/>
              <w:left w:w="0" w:type="dxa"/>
              <w:bottom w:w="30" w:type="dxa"/>
              <w:right w:w="20" w:type="dxa"/>
            </w:tcMar>
            <w:vAlign w:val="center"/>
            <w:hideMark/>
          </w:tcPr>
          <w:p w14:paraId="39ACD70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C10AD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6CAC7C2" w14:textId="77777777" w:rsidR="00000000" w:rsidRDefault="00405D16">
            <w:pPr>
              <w:spacing w:after="100"/>
              <w:jc w:val="right"/>
              <w:rPr>
                <w:rFonts w:eastAsia="Times New Roman"/>
              </w:rPr>
            </w:pPr>
            <w:r>
              <w:rPr>
                <w:rFonts w:eastAsia="Times New Roman"/>
                <w:b/>
                <w:bCs/>
                <w:color w:val="000000"/>
                <w:sz w:val="16"/>
                <w:szCs w:val="16"/>
              </w:rPr>
              <w:t>27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4C5E208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13176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17609B6" w14:textId="77777777" w:rsidR="00000000" w:rsidRDefault="00405D16">
            <w:pPr>
              <w:spacing w:after="100"/>
              <w:jc w:val="right"/>
              <w:rPr>
                <w:rFonts w:eastAsia="Times New Roman"/>
              </w:rPr>
            </w:pPr>
            <w:r>
              <w:rPr>
                <w:rFonts w:eastAsia="Times New Roman"/>
                <w:color w:val="000000"/>
                <w:sz w:val="16"/>
                <w:szCs w:val="16"/>
              </w:rPr>
              <w:t>35 </w:t>
            </w:r>
          </w:p>
        </w:tc>
        <w:tc>
          <w:tcPr>
            <w:tcW w:w="0" w:type="auto"/>
            <w:shd w:val="clear" w:color="auto" w:fill="FFFFFF"/>
            <w:tcMar>
              <w:top w:w="30" w:type="dxa"/>
              <w:left w:w="0" w:type="dxa"/>
              <w:bottom w:w="30" w:type="dxa"/>
              <w:right w:w="20" w:type="dxa"/>
            </w:tcMar>
            <w:vAlign w:val="center"/>
            <w:hideMark/>
          </w:tcPr>
          <w:p w14:paraId="685F5A8A" w14:textId="77777777" w:rsidR="00000000" w:rsidRDefault="00405D16">
            <w:pPr>
              <w:spacing w:after="100"/>
              <w:jc w:val="right"/>
              <w:rPr>
                <w:rFonts w:eastAsia="Times New Roman"/>
              </w:rPr>
            </w:pPr>
          </w:p>
        </w:tc>
        <w:tc>
          <w:tcPr>
            <w:tcW w:w="0" w:type="auto"/>
            <w:vAlign w:val="center"/>
            <w:hideMark/>
          </w:tcPr>
          <w:p w14:paraId="2D214EA7" w14:textId="77777777" w:rsidR="00000000" w:rsidRDefault="00405D16">
            <w:pPr>
              <w:spacing w:after="100"/>
              <w:jc w:val="right"/>
              <w:rPr>
                <w:rFonts w:eastAsia="Times New Roman"/>
                <w:sz w:val="20"/>
                <w:szCs w:val="20"/>
              </w:rPr>
            </w:pPr>
          </w:p>
        </w:tc>
        <w:tc>
          <w:tcPr>
            <w:tcW w:w="0" w:type="auto"/>
            <w:vAlign w:val="center"/>
            <w:hideMark/>
          </w:tcPr>
          <w:p w14:paraId="71D3336F" w14:textId="77777777" w:rsidR="00000000" w:rsidRDefault="00405D16">
            <w:pPr>
              <w:spacing w:after="100"/>
              <w:rPr>
                <w:rFonts w:eastAsia="Times New Roman"/>
                <w:sz w:val="20"/>
                <w:szCs w:val="20"/>
              </w:rPr>
            </w:pPr>
          </w:p>
        </w:tc>
      </w:tr>
      <w:tr w:rsidR="00000000" w14:paraId="21E48757" w14:textId="77777777">
        <w:trPr>
          <w:jc w:val="center"/>
        </w:trPr>
        <w:tc>
          <w:tcPr>
            <w:tcW w:w="0" w:type="auto"/>
            <w:gridSpan w:val="3"/>
            <w:shd w:val="clear" w:color="auto" w:fill="CCEEFF"/>
            <w:tcMar>
              <w:top w:w="30" w:type="dxa"/>
              <w:left w:w="20" w:type="dxa"/>
              <w:bottom w:w="30" w:type="dxa"/>
              <w:right w:w="20" w:type="dxa"/>
            </w:tcMar>
            <w:vAlign w:val="center"/>
            <w:hideMark/>
          </w:tcPr>
          <w:p w14:paraId="2F9F5D81" w14:textId="77777777" w:rsidR="00000000" w:rsidRDefault="00405D16">
            <w:pPr>
              <w:spacing w:after="100"/>
              <w:rPr>
                <w:rFonts w:eastAsia="Times New Roman"/>
              </w:rPr>
            </w:pPr>
            <w:r>
              <w:rPr>
                <w:rFonts w:eastAsia="Times New Roman"/>
                <w:color w:val="000000"/>
                <w:sz w:val="16"/>
                <w:szCs w:val="16"/>
              </w:rPr>
              <w:t>Total interest expense</w:t>
            </w:r>
          </w:p>
        </w:tc>
        <w:tc>
          <w:tcPr>
            <w:tcW w:w="0" w:type="auto"/>
            <w:gridSpan w:val="3"/>
            <w:shd w:val="clear" w:color="auto" w:fill="CCEEFF"/>
            <w:tcMar>
              <w:top w:w="0" w:type="dxa"/>
              <w:left w:w="20" w:type="dxa"/>
              <w:bottom w:w="0" w:type="dxa"/>
              <w:right w:w="20" w:type="dxa"/>
            </w:tcMar>
            <w:vAlign w:val="center"/>
            <w:hideMark/>
          </w:tcPr>
          <w:p w14:paraId="0FD2E3B3"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8760898" w14:textId="77777777" w:rsidR="00000000" w:rsidRDefault="00405D16">
            <w:pPr>
              <w:spacing w:after="100"/>
              <w:jc w:val="right"/>
              <w:rPr>
                <w:rFonts w:eastAsia="Times New Roman"/>
              </w:rPr>
            </w:pPr>
            <w:r>
              <w:rPr>
                <w:rFonts w:eastAsia="Times New Roman"/>
                <w:b/>
                <w:bCs/>
                <w:color w:val="000000"/>
                <w:sz w:val="16"/>
                <w:szCs w:val="16"/>
              </w:rPr>
              <w:t>382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3347C6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950BFB"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3F95521" w14:textId="77777777" w:rsidR="00000000" w:rsidRDefault="00405D16">
            <w:pPr>
              <w:spacing w:after="100"/>
              <w:jc w:val="right"/>
              <w:rPr>
                <w:rFonts w:eastAsia="Times New Roman"/>
              </w:rPr>
            </w:pPr>
            <w:r>
              <w:rPr>
                <w:rFonts w:eastAsia="Times New Roman"/>
                <w:color w:val="000000"/>
                <w:sz w:val="16"/>
                <w:szCs w:val="16"/>
              </w:rPr>
              <w:t>660 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F43AE9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8F0F95"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555B0DB" w14:textId="77777777" w:rsidR="00000000" w:rsidRDefault="00405D16">
            <w:pPr>
              <w:spacing w:after="100"/>
              <w:jc w:val="right"/>
              <w:rPr>
                <w:rFonts w:eastAsia="Times New Roman"/>
              </w:rPr>
            </w:pPr>
            <w:r>
              <w:rPr>
                <w:rFonts w:eastAsia="Times New Roman"/>
                <w:b/>
                <w:bCs/>
                <w:color w:val="000000"/>
                <w:sz w:val="16"/>
                <w:szCs w:val="16"/>
              </w:rPr>
              <w:t>1,217</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36E805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3EB86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E358B6D" w14:textId="77777777" w:rsidR="00000000" w:rsidRDefault="00405D16">
            <w:pPr>
              <w:spacing w:after="100"/>
              <w:jc w:val="right"/>
              <w:rPr>
                <w:rFonts w:eastAsia="Times New Roman"/>
              </w:rPr>
            </w:pPr>
            <w:r>
              <w:rPr>
                <w:rFonts w:eastAsia="Times New Roman"/>
                <w:color w:val="000000"/>
                <w:sz w:val="16"/>
                <w:szCs w:val="16"/>
              </w:rPr>
              <w:t>2,602 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732DB64" w14:textId="77777777" w:rsidR="00000000" w:rsidRDefault="00405D16">
            <w:pPr>
              <w:spacing w:after="100"/>
              <w:jc w:val="right"/>
              <w:rPr>
                <w:rFonts w:eastAsia="Times New Roman"/>
              </w:rPr>
            </w:pPr>
          </w:p>
        </w:tc>
        <w:tc>
          <w:tcPr>
            <w:tcW w:w="0" w:type="auto"/>
            <w:vAlign w:val="center"/>
            <w:hideMark/>
          </w:tcPr>
          <w:p w14:paraId="251782D7" w14:textId="77777777" w:rsidR="00000000" w:rsidRDefault="00405D16">
            <w:pPr>
              <w:spacing w:after="100"/>
              <w:jc w:val="right"/>
              <w:rPr>
                <w:rFonts w:eastAsia="Times New Roman"/>
                <w:sz w:val="20"/>
                <w:szCs w:val="20"/>
              </w:rPr>
            </w:pPr>
          </w:p>
        </w:tc>
        <w:tc>
          <w:tcPr>
            <w:tcW w:w="0" w:type="auto"/>
            <w:vAlign w:val="center"/>
            <w:hideMark/>
          </w:tcPr>
          <w:p w14:paraId="12034115" w14:textId="77777777" w:rsidR="00000000" w:rsidRDefault="00405D16">
            <w:pPr>
              <w:spacing w:after="100"/>
              <w:rPr>
                <w:rFonts w:eastAsia="Times New Roman"/>
                <w:sz w:val="20"/>
                <w:szCs w:val="20"/>
              </w:rPr>
            </w:pPr>
          </w:p>
        </w:tc>
      </w:tr>
      <w:tr w:rsidR="00000000" w14:paraId="2EB04A06" w14:textId="77777777">
        <w:trPr>
          <w:jc w:val="center"/>
        </w:trPr>
        <w:tc>
          <w:tcPr>
            <w:tcW w:w="0" w:type="auto"/>
            <w:gridSpan w:val="3"/>
            <w:shd w:val="clear" w:color="auto" w:fill="FFFFFF"/>
            <w:tcMar>
              <w:top w:w="30" w:type="dxa"/>
              <w:left w:w="20" w:type="dxa"/>
              <w:bottom w:w="30" w:type="dxa"/>
              <w:right w:w="20" w:type="dxa"/>
            </w:tcMar>
            <w:vAlign w:val="center"/>
            <w:hideMark/>
          </w:tcPr>
          <w:p w14:paraId="5728DDBC" w14:textId="77777777" w:rsidR="00000000" w:rsidRDefault="00405D16">
            <w:pPr>
              <w:spacing w:after="100"/>
              <w:rPr>
                <w:rFonts w:eastAsia="Times New Roman"/>
              </w:rPr>
            </w:pPr>
            <w:r>
              <w:rPr>
                <w:rFonts w:eastAsia="Times New Roman"/>
                <w:color w:val="000000"/>
                <w:sz w:val="16"/>
                <w:szCs w:val="16"/>
              </w:rPr>
              <w:t>Net interest income</w:t>
            </w:r>
          </w:p>
        </w:tc>
        <w:tc>
          <w:tcPr>
            <w:tcW w:w="0" w:type="auto"/>
            <w:gridSpan w:val="3"/>
            <w:shd w:val="clear" w:color="auto" w:fill="FFFFFF"/>
            <w:tcMar>
              <w:top w:w="0" w:type="dxa"/>
              <w:left w:w="20" w:type="dxa"/>
              <w:bottom w:w="0" w:type="dxa"/>
              <w:right w:w="20" w:type="dxa"/>
            </w:tcMar>
            <w:vAlign w:val="center"/>
            <w:hideMark/>
          </w:tcPr>
          <w:p w14:paraId="55CF59ED"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EB9B0C4" w14:textId="77777777" w:rsidR="00000000" w:rsidRDefault="00405D16">
            <w:pPr>
              <w:spacing w:after="100"/>
              <w:jc w:val="right"/>
              <w:rPr>
                <w:rFonts w:eastAsia="Times New Roman"/>
              </w:rPr>
            </w:pPr>
            <w:r>
              <w:rPr>
                <w:rFonts w:eastAsia="Times New Roman"/>
                <w:b/>
                <w:bCs/>
                <w:color w:val="000000"/>
                <w:sz w:val="16"/>
                <w:szCs w:val="16"/>
              </w:rPr>
              <w:t>6,156</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4BF169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D33C7C"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FC42469" w14:textId="77777777" w:rsidR="00000000" w:rsidRDefault="00405D16">
            <w:pPr>
              <w:spacing w:after="100"/>
              <w:jc w:val="right"/>
              <w:rPr>
                <w:rFonts w:eastAsia="Times New Roman"/>
              </w:rPr>
            </w:pPr>
            <w:r>
              <w:rPr>
                <w:rFonts w:eastAsia="Times New Roman"/>
                <w:color w:val="000000"/>
                <w:sz w:val="16"/>
                <w:szCs w:val="16"/>
              </w:rPr>
              <w:t>5,555 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2B58EE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3948E8"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2AEBD47" w14:textId="77777777" w:rsidR="00000000" w:rsidRDefault="00405D16">
            <w:pPr>
              <w:spacing w:after="100"/>
              <w:jc w:val="right"/>
              <w:rPr>
                <w:rFonts w:eastAsia="Times New Roman"/>
              </w:rPr>
            </w:pPr>
            <w:r>
              <w:rPr>
                <w:rFonts w:eastAsia="Times New Roman"/>
                <w:b/>
                <w:bCs/>
                <w:color w:val="000000"/>
                <w:sz w:val="16"/>
                <w:szCs w:val="16"/>
              </w:rPr>
              <w:t>17,721</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4A0343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FF2F1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8BF5A47" w14:textId="77777777" w:rsidR="00000000" w:rsidRDefault="00405D16">
            <w:pPr>
              <w:spacing w:after="100"/>
              <w:jc w:val="right"/>
              <w:rPr>
                <w:rFonts w:eastAsia="Times New Roman"/>
              </w:rPr>
            </w:pPr>
            <w:r>
              <w:rPr>
                <w:rFonts w:eastAsia="Times New Roman"/>
                <w:color w:val="000000"/>
                <w:sz w:val="16"/>
                <w:szCs w:val="16"/>
              </w:rPr>
              <w:t>17,040 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FF74178" w14:textId="77777777" w:rsidR="00000000" w:rsidRDefault="00405D16">
            <w:pPr>
              <w:spacing w:after="100"/>
              <w:jc w:val="right"/>
              <w:rPr>
                <w:rFonts w:eastAsia="Times New Roman"/>
              </w:rPr>
            </w:pPr>
          </w:p>
        </w:tc>
        <w:tc>
          <w:tcPr>
            <w:tcW w:w="0" w:type="auto"/>
            <w:vAlign w:val="center"/>
            <w:hideMark/>
          </w:tcPr>
          <w:p w14:paraId="1B974CBF" w14:textId="77777777" w:rsidR="00000000" w:rsidRDefault="00405D16">
            <w:pPr>
              <w:spacing w:after="100"/>
              <w:jc w:val="right"/>
              <w:rPr>
                <w:rFonts w:eastAsia="Times New Roman"/>
                <w:sz w:val="20"/>
                <w:szCs w:val="20"/>
              </w:rPr>
            </w:pPr>
          </w:p>
        </w:tc>
        <w:tc>
          <w:tcPr>
            <w:tcW w:w="0" w:type="auto"/>
            <w:vAlign w:val="center"/>
            <w:hideMark/>
          </w:tcPr>
          <w:p w14:paraId="1667FF0D" w14:textId="77777777" w:rsidR="00000000" w:rsidRDefault="00405D16">
            <w:pPr>
              <w:spacing w:after="100"/>
              <w:rPr>
                <w:rFonts w:eastAsia="Times New Roman"/>
                <w:sz w:val="20"/>
                <w:szCs w:val="20"/>
              </w:rPr>
            </w:pPr>
          </w:p>
        </w:tc>
      </w:tr>
      <w:tr w:rsidR="00000000" w14:paraId="727CB5DD" w14:textId="77777777">
        <w:trPr>
          <w:jc w:val="center"/>
        </w:trPr>
        <w:tc>
          <w:tcPr>
            <w:tcW w:w="0" w:type="auto"/>
            <w:gridSpan w:val="3"/>
            <w:shd w:val="clear" w:color="auto" w:fill="CCEEFF"/>
            <w:tcMar>
              <w:top w:w="30" w:type="dxa"/>
              <w:left w:w="245" w:type="dxa"/>
              <w:bottom w:w="30" w:type="dxa"/>
              <w:right w:w="20" w:type="dxa"/>
            </w:tcMar>
            <w:vAlign w:val="center"/>
            <w:hideMark/>
          </w:tcPr>
          <w:p w14:paraId="3C1499C7" w14:textId="77777777" w:rsidR="00000000" w:rsidRDefault="00405D16">
            <w:pPr>
              <w:spacing w:after="100"/>
              <w:rPr>
                <w:rFonts w:eastAsia="Times New Roman"/>
              </w:rPr>
            </w:pPr>
            <w:r>
              <w:rPr>
                <w:rFonts w:eastAsia="Times New Roman"/>
                <w:color w:val="000000"/>
                <w:sz w:val="16"/>
                <w:szCs w:val="16"/>
              </w:rPr>
              <w:t>Provision (benefit) for credit losses</w:t>
            </w:r>
          </w:p>
        </w:tc>
        <w:tc>
          <w:tcPr>
            <w:tcW w:w="0" w:type="auto"/>
            <w:gridSpan w:val="3"/>
            <w:shd w:val="clear" w:color="auto" w:fill="CCEEFF"/>
            <w:tcMar>
              <w:top w:w="0" w:type="dxa"/>
              <w:left w:w="20" w:type="dxa"/>
              <w:bottom w:w="0" w:type="dxa"/>
              <w:right w:w="20" w:type="dxa"/>
            </w:tcMar>
            <w:vAlign w:val="center"/>
            <w:hideMark/>
          </w:tcPr>
          <w:p w14:paraId="7D5C39B6"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61EF3D3" w14:textId="77777777" w:rsidR="00000000" w:rsidRDefault="00405D16">
            <w:pPr>
              <w:spacing w:after="100"/>
              <w:jc w:val="right"/>
              <w:rPr>
                <w:rFonts w:eastAsia="Times New Roman"/>
              </w:rPr>
            </w:pPr>
            <w:r>
              <w:rPr>
                <w:rFonts w:eastAsia="Times New Roman"/>
                <w:b/>
                <w:bCs/>
                <w:color w:val="000000"/>
                <w:sz w:val="16"/>
                <w:szCs w:val="16"/>
              </w:rPr>
              <w:t>(342)</w:t>
            </w:r>
          </w:p>
        </w:tc>
        <w:tc>
          <w:tcPr>
            <w:tcW w:w="0" w:type="auto"/>
            <w:shd w:val="clear" w:color="auto" w:fill="CCEEFF"/>
            <w:tcMar>
              <w:top w:w="30" w:type="dxa"/>
              <w:left w:w="0" w:type="dxa"/>
              <w:bottom w:w="30" w:type="dxa"/>
              <w:right w:w="20" w:type="dxa"/>
            </w:tcMar>
            <w:vAlign w:val="center"/>
            <w:hideMark/>
          </w:tcPr>
          <w:p w14:paraId="7C7CD77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62ED0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A2D49F7" w14:textId="77777777" w:rsidR="00000000" w:rsidRDefault="00405D16">
            <w:pPr>
              <w:spacing w:after="100"/>
              <w:jc w:val="right"/>
              <w:rPr>
                <w:rFonts w:eastAsia="Times New Roman"/>
              </w:rPr>
            </w:pPr>
            <w:r>
              <w:rPr>
                <w:rFonts w:eastAsia="Times New Roman"/>
                <w:color w:val="000000"/>
                <w:sz w:val="16"/>
                <w:szCs w:val="16"/>
              </w:rPr>
              <w:t>331 </w:t>
            </w:r>
          </w:p>
        </w:tc>
        <w:tc>
          <w:tcPr>
            <w:tcW w:w="0" w:type="auto"/>
            <w:shd w:val="clear" w:color="auto" w:fill="CCEEFF"/>
            <w:tcMar>
              <w:top w:w="30" w:type="dxa"/>
              <w:left w:w="0" w:type="dxa"/>
              <w:bottom w:w="30" w:type="dxa"/>
              <w:right w:w="20" w:type="dxa"/>
            </w:tcMar>
            <w:vAlign w:val="center"/>
            <w:hideMark/>
          </w:tcPr>
          <w:p w14:paraId="167B69B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92606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58A071E" w14:textId="77777777" w:rsidR="00000000" w:rsidRDefault="00405D16">
            <w:pPr>
              <w:spacing w:after="100"/>
              <w:jc w:val="right"/>
              <w:rPr>
                <w:rFonts w:eastAsia="Times New Roman"/>
              </w:rPr>
            </w:pPr>
            <w:r>
              <w:rPr>
                <w:rFonts w:eastAsia="Times New Roman"/>
                <w:b/>
                <w:bCs/>
                <w:color w:val="000000"/>
                <w:sz w:val="16"/>
                <w:szCs w:val="16"/>
              </w:rPr>
              <w:t>(2,325)</w:t>
            </w:r>
          </w:p>
        </w:tc>
        <w:tc>
          <w:tcPr>
            <w:tcW w:w="0" w:type="auto"/>
            <w:shd w:val="clear" w:color="auto" w:fill="CCEEFF"/>
            <w:tcMar>
              <w:top w:w="30" w:type="dxa"/>
              <w:left w:w="0" w:type="dxa"/>
              <w:bottom w:w="30" w:type="dxa"/>
              <w:right w:w="20" w:type="dxa"/>
            </w:tcMar>
            <w:vAlign w:val="center"/>
            <w:hideMark/>
          </w:tcPr>
          <w:p w14:paraId="7B3FFBB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A871F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928426E" w14:textId="77777777" w:rsidR="00000000" w:rsidRDefault="00405D16">
            <w:pPr>
              <w:spacing w:after="100"/>
              <w:jc w:val="right"/>
              <w:rPr>
                <w:rFonts w:eastAsia="Times New Roman"/>
              </w:rPr>
            </w:pPr>
            <w:r>
              <w:rPr>
                <w:rFonts w:eastAsia="Times New Roman"/>
                <w:color w:val="000000"/>
                <w:sz w:val="16"/>
                <w:szCs w:val="16"/>
              </w:rPr>
              <w:t>10,000 </w:t>
            </w:r>
          </w:p>
        </w:tc>
        <w:tc>
          <w:tcPr>
            <w:tcW w:w="0" w:type="auto"/>
            <w:shd w:val="clear" w:color="auto" w:fill="CCEEFF"/>
            <w:tcMar>
              <w:top w:w="30" w:type="dxa"/>
              <w:left w:w="0" w:type="dxa"/>
              <w:bottom w:w="30" w:type="dxa"/>
              <w:right w:w="20" w:type="dxa"/>
            </w:tcMar>
            <w:vAlign w:val="center"/>
            <w:hideMark/>
          </w:tcPr>
          <w:p w14:paraId="588956EB" w14:textId="77777777" w:rsidR="00000000" w:rsidRDefault="00405D16">
            <w:pPr>
              <w:spacing w:after="100"/>
              <w:jc w:val="right"/>
              <w:rPr>
                <w:rFonts w:eastAsia="Times New Roman"/>
              </w:rPr>
            </w:pPr>
          </w:p>
        </w:tc>
        <w:tc>
          <w:tcPr>
            <w:tcW w:w="0" w:type="auto"/>
            <w:vAlign w:val="center"/>
            <w:hideMark/>
          </w:tcPr>
          <w:p w14:paraId="27D850DC" w14:textId="77777777" w:rsidR="00000000" w:rsidRDefault="00405D16">
            <w:pPr>
              <w:spacing w:after="100"/>
              <w:jc w:val="right"/>
              <w:rPr>
                <w:rFonts w:eastAsia="Times New Roman"/>
                <w:sz w:val="20"/>
                <w:szCs w:val="20"/>
              </w:rPr>
            </w:pPr>
          </w:p>
        </w:tc>
        <w:tc>
          <w:tcPr>
            <w:tcW w:w="0" w:type="auto"/>
            <w:vAlign w:val="center"/>
            <w:hideMark/>
          </w:tcPr>
          <w:p w14:paraId="30A2D972" w14:textId="77777777" w:rsidR="00000000" w:rsidRDefault="00405D16">
            <w:pPr>
              <w:spacing w:after="100"/>
              <w:rPr>
                <w:rFonts w:eastAsia="Times New Roman"/>
                <w:sz w:val="20"/>
                <w:szCs w:val="20"/>
              </w:rPr>
            </w:pPr>
          </w:p>
        </w:tc>
      </w:tr>
      <w:tr w:rsidR="00000000" w14:paraId="47327F6C" w14:textId="77777777">
        <w:trPr>
          <w:jc w:val="center"/>
        </w:trPr>
        <w:tc>
          <w:tcPr>
            <w:tcW w:w="0" w:type="auto"/>
            <w:gridSpan w:val="3"/>
            <w:shd w:val="clear" w:color="auto" w:fill="FFFFFF"/>
            <w:tcMar>
              <w:top w:w="30" w:type="dxa"/>
              <w:left w:w="20" w:type="dxa"/>
              <w:bottom w:w="30" w:type="dxa"/>
              <w:right w:w="20" w:type="dxa"/>
            </w:tcMar>
            <w:vAlign w:val="center"/>
            <w:hideMark/>
          </w:tcPr>
          <w:p w14:paraId="3559DC1E" w14:textId="77777777" w:rsidR="00000000" w:rsidRDefault="00405D16">
            <w:pPr>
              <w:spacing w:after="100"/>
              <w:rPr>
                <w:rFonts w:eastAsia="Times New Roman"/>
              </w:rPr>
            </w:pPr>
            <w:r>
              <w:rPr>
                <w:rFonts w:eastAsia="Times New Roman"/>
                <w:color w:val="000000"/>
                <w:sz w:val="16"/>
                <w:szCs w:val="16"/>
              </w:rPr>
              <w:t>Net interest income after provision for credit losses</w:t>
            </w:r>
          </w:p>
        </w:tc>
        <w:tc>
          <w:tcPr>
            <w:tcW w:w="0" w:type="auto"/>
            <w:gridSpan w:val="3"/>
            <w:shd w:val="clear" w:color="auto" w:fill="FFFFFF"/>
            <w:tcMar>
              <w:top w:w="0" w:type="dxa"/>
              <w:left w:w="20" w:type="dxa"/>
              <w:bottom w:w="0" w:type="dxa"/>
              <w:right w:w="20" w:type="dxa"/>
            </w:tcMar>
            <w:vAlign w:val="center"/>
            <w:hideMark/>
          </w:tcPr>
          <w:p w14:paraId="535E360D"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04C71AE" w14:textId="77777777" w:rsidR="00000000" w:rsidRDefault="00405D16">
            <w:pPr>
              <w:spacing w:after="100"/>
              <w:jc w:val="right"/>
              <w:rPr>
                <w:rFonts w:eastAsia="Times New Roman"/>
              </w:rPr>
            </w:pPr>
            <w:r>
              <w:rPr>
                <w:rFonts w:eastAsia="Times New Roman"/>
                <w:b/>
                <w:bCs/>
                <w:color w:val="000000"/>
                <w:sz w:val="16"/>
                <w:szCs w:val="16"/>
              </w:rPr>
              <w:t>6,498</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FB1FBB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11D38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8ED93AD" w14:textId="77777777" w:rsidR="00000000" w:rsidRDefault="00405D16">
            <w:pPr>
              <w:spacing w:after="100"/>
              <w:jc w:val="right"/>
              <w:rPr>
                <w:rFonts w:eastAsia="Times New Roman"/>
              </w:rPr>
            </w:pPr>
            <w:r>
              <w:rPr>
                <w:rFonts w:eastAsia="Times New Roman"/>
                <w:color w:val="000000"/>
                <w:sz w:val="16"/>
                <w:szCs w:val="16"/>
              </w:rPr>
              <w:t>5,224 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D472A5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2F306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361BEFB" w14:textId="77777777" w:rsidR="00000000" w:rsidRDefault="00405D16">
            <w:pPr>
              <w:spacing w:after="100"/>
              <w:jc w:val="right"/>
              <w:rPr>
                <w:rFonts w:eastAsia="Times New Roman"/>
              </w:rPr>
            </w:pPr>
            <w:r>
              <w:rPr>
                <w:rFonts w:eastAsia="Times New Roman"/>
                <w:b/>
                <w:bCs/>
                <w:color w:val="000000"/>
                <w:sz w:val="16"/>
                <w:szCs w:val="16"/>
              </w:rPr>
              <w:t>20,046</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7E886E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8C8FD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1779E05" w14:textId="77777777" w:rsidR="00000000" w:rsidRDefault="00405D16">
            <w:pPr>
              <w:spacing w:after="100"/>
              <w:jc w:val="right"/>
              <w:rPr>
                <w:rFonts w:eastAsia="Times New Roman"/>
              </w:rPr>
            </w:pPr>
            <w:r>
              <w:rPr>
                <w:rFonts w:eastAsia="Times New Roman"/>
                <w:color w:val="000000"/>
                <w:sz w:val="16"/>
                <w:szCs w:val="16"/>
              </w:rPr>
              <w:t>7,040 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4F62187" w14:textId="77777777" w:rsidR="00000000" w:rsidRDefault="00405D16">
            <w:pPr>
              <w:spacing w:after="100"/>
              <w:jc w:val="right"/>
              <w:rPr>
                <w:rFonts w:eastAsia="Times New Roman"/>
              </w:rPr>
            </w:pPr>
          </w:p>
        </w:tc>
        <w:tc>
          <w:tcPr>
            <w:tcW w:w="0" w:type="auto"/>
            <w:vAlign w:val="center"/>
            <w:hideMark/>
          </w:tcPr>
          <w:p w14:paraId="4170E753" w14:textId="77777777" w:rsidR="00000000" w:rsidRDefault="00405D16">
            <w:pPr>
              <w:spacing w:after="100"/>
              <w:jc w:val="right"/>
              <w:rPr>
                <w:rFonts w:eastAsia="Times New Roman"/>
                <w:sz w:val="20"/>
                <w:szCs w:val="20"/>
              </w:rPr>
            </w:pPr>
          </w:p>
        </w:tc>
        <w:tc>
          <w:tcPr>
            <w:tcW w:w="0" w:type="auto"/>
            <w:vAlign w:val="center"/>
            <w:hideMark/>
          </w:tcPr>
          <w:p w14:paraId="2367263C" w14:textId="77777777" w:rsidR="00000000" w:rsidRDefault="00405D16">
            <w:pPr>
              <w:spacing w:after="100"/>
              <w:rPr>
                <w:rFonts w:eastAsia="Times New Roman"/>
                <w:sz w:val="20"/>
                <w:szCs w:val="20"/>
              </w:rPr>
            </w:pPr>
          </w:p>
        </w:tc>
      </w:tr>
      <w:tr w:rsidR="00000000" w14:paraId="7899654C" w14:textId="77777777">
        <w:trPr>
          <w:jc w:val="center"/>
        </w:trPr>
        <w:tc>
          <w:tcPr>
            <w:tcW w:w="0" w:type="auto"/>
            <w:gridSpan w:val="3"/>
            <w:shd w:val="clear" w:color="auto" w:fill="CCEEFF"/>
            <w:tcMar>
              <w:top w:w="30" w:type="dxa"/>
              <w:left w:w="20" w:type="dxa"/>
              <w:bottom w:w="30" w:type="dxa"/>
              <w:right w:w="20" w:type="dxa"/>
            </w:tcMar>
            <w:vAlign w:val="center"/>
            <w:hideMark/>
          </w:tcPr>
          <w:p w14:paraId="774F31D7" w14:textId="77777777" w:rsidR="00000000" w:rsidRDefault="00405D16">
            <w:pPr>
              <w:spacing w:after="100"/>
              <w:rPr>
                <w:rFonts w:eastAsia="Times New Roman"/>
              </w:rPr>
            </w:pPr>
            <w:r>
              <w:rPr>
                <w:rFonts w:eastAsia="Times New Roman"/>
                <w:b/>
                <w:bCs/>
                <w:color w:val="000000"/>
                <w:sz w:val="16"/>
                <w:szCs w:val="16"/>
              </w:rPr>
              <w:t>Non-interest income:</w:t>
            </w:r>
          </w:p>
        </w:tc>
        <w:tc>
          <w:tcPr>
            <w:tcW w:w="0" w:type="auto"/>
            <w:gridSpan w:val="3"/>
            <w:shd w:val="clear" w:color="auto" w:fill="CCEEFF"/>
            <w:tcMar>
              <w:top w:w="0" w:type="dxa"/>
              <w:left w:w="20" w:type="dxa"/>
              <w:bottom w:w="0" w:type="dxa"/>
              <w:right w:w="20" w:type="dxa"/>
            </w:tcMar>
            <w:vAlign w:val="center"/>
            <w:hideMark/>
          </w:tcPr>
          <w:p w14:paraId="3437FC9E"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2E3087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C7EF75"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33A208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FE2699"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C1B695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A5EDF4"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2A662F6" w14:textId="77777777" w:rsidR="00000000" w:rsidRDefault="00405D16">
            <w:pPr>
              <w:spacing w:after="100"/>
              <w:rPr>
                <w:rFonts w:eastAsia="Times New Roman"/>
                <w:sz w:val="20"/>
                <w:szCs w:val="20"/>
              </w:rPr>
            </w:pPr>
          </w:p>
        </w:tc>
        <w:tc>
          <w:tcPr>
            <w:tcW w:w="0" w:type="auto"/>
            <w:vAlign w:val="center"/>
            <w:hideMark/>
          </w:tcPr>
          <w:p w14:paraId="342F4F7C" w14:textId="77777777" w:rsidR="00000000" w:rsidRDefault="00405D16">
            <w:pPr>
              <w:spacing w:after="100"/>
              <w:rPr>
                <w:rFonts w:eastAsia="Times New Roman"/>
                <w:sz w:val="20"/>
                <w:szCs w:val="20"/>
              </w:rPr>
            </w:pPr>
          </w:p>
        </w:tc>
        <w:tc>
          <w:tcPr>
            <w:tcW w:w="0" w:type="auto"/>
            <w:vAlign w:val="center"/>
            <w:hideMark/>
          </w:tcPr>
          <w:p w14:paraId="160929E8" w14:textId="77777777" w:rsidR="00000000" w:rsidRDefault="00405D16">
            <w:pPr>
              <w:spacing w:after="100"/>
              <w:rPr>
                <w:rFonts w:eastAsia="Times New Roman"/>
                <w:sz w:val="20"/>
                <w:szCs w:val="20"/>
              </w:rPr>
            </w:pPr>
          </w:p>
        </w:tc>
      </w:tr>
      <w:tr w:rsidR="00000000" w14:paraId="643F2DFD" w14:textId="77777777">
        <w:trPr>
          <w:jc w:val="center"/>
        </w:trPr>
        <w:tc>
          <w:tcPr>
            <w:tcW w:w="0" w:type="auto"/>
            <w:gridSpan w:val="3"/>
            <w:shd w:val="clear" w:color="auto" w:fill="FFFFFF"/>
            <w:tcMar>
              <w:top w:w="30" w:type="dxa"/>
              <w:left w:w="245" w:type="dxa"/>
              <w:bottom w:w="30" w:type="dxa"/>
              <w:right w:w="20" w:type="dxa"/>
            </w:tcMar>
            <w:vAlign w:val="center"/>
            <w:hideMark/>
          </w:tcPr>
          <w:p w14:paraId="2FD00168" w14:textId="77777777" w:rsidR="00000000" w:rsidRDefault="00405D16">
            <w:pPr>
              <w:spacing w:after="100"/>
              <w:rPr>
                <w:rFonts w:eastAsia="Times New Roman"/>
              </w:rPr>
            </w:pPr>
            <w:r>
              <w:rPr>
                <w:rFonts w:eastAsia="Times New Roman"/>
                <w:color w:val="000000"/>
                <w:sz w:val="16"/>
                <w:szCs w:val="16"/>
              </w:rPr>
              <w:t>Interchange fees, net</w:t>
            </w:r>
          </w:p>
        </w:tc>
        <w:tc>
          <w:tcPr>
            <w:tcW w:w="0" w:type="auto"/>
            <w:gridSpan w:val="3"/>
            <w:shd w:val="clear" w:color="auto" w:fill="FFFFFF"/>
            <w:tcMar>
              <w:top w:w="0" w:type="dxa"/>
              <w:left w:w="20" w:type="dxa"/>
              <w:bottom w:w="0" w:type="dxa"/>
              <w:right w:w="20" w:type="dxa"/>
            </w:tcMar>
            <w:vAlign w:val="center"/>
            <w:hideMark/>
          </w:tcPr>
          <w:p w14:paraId="59D2C2BA"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5855282" w14:textId="77777777" w:rsidR="00000000" w:rsidRDefault="00405D16">
            <w:pPr>
              <w:spacing w:after="100"/>
              <w:jc w:val="right"/>
              <w:rPr>
                <w:rFonts w:eastAsia="Times New Roman"/>
              </w:rPr>
            </w:pPr>
            <w:r>
              <w:rPr>
                <w:rFonts w:eastAsia="Times New Roman"/>
                <w:b/>
                <w:bCs/>
                <w:color w:val="000000"/>
                <w:sz w:val="16"/>
                <w:szCs w:val="16"/>
              </w:rPr>
              <w:t>1,022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66BAFF2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DB17F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63248CD" w14:textId="77777777" w:rsidR="00000000" w:rsidRDefault="00405D16">
            <w:pPr>
              <w:spacing w:after="100"/>
              <w:jc w:val="right"/>
              <w:rPr>
                <w:rFonts w:eastAsia="Times New Roman"/>
              </w:rPr>
            </w:pPr>
            <w:r>
              <w:rPr>
                <w:rFonts w:eastAsia="Times New Roman"/>
                <w:color w:val="000000"/>
                <w:sz w:val="16"/>
                <w:szCs w:val="16"/>
              </w:rPr>
              <w:t>775 </w:t>
            </w:r>
          </w:p>
        </w:tc>
        <w:tc>
          <w:tcPr>
            <w:tcW w:w="0" w:type="auto"/>
            <w:shd w:val="clear" w:color="auto" w:fill="FFFFFF"/>
            <w:tcMar>
              <w:top w:w="30" w:type="dxa"/>
              <w:left w:w="0" w:type="dxa"/>
              <w:bottom w:w="30" w:type="dxa"/>
              <w:right w:w="20" w:type="dxa"/>
            </w:tcMar>
            <w:vAlign w:val="center"/>
            <w:hideMark/>
          </w:tcPr>
          <w:p w14:paraId="721FA88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921F6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7CADDAC" w14:textId="77777777" w:rsidR="00000000" w:rsidRDefault="00405D16">
            <w:pPr>
              <w:spacing w:after="100"/>
              <w:jc w:val="right"/>
              <w:rPr>
                <w:rFonts w:eastAsia="Times New Roman"/>
              </w:rPr>
            </w:pPr>
            <w:r>
              <w:rPr>
                <w:rFonts w:eastAsia="Times New Roman"/>
                <w:b/>
                <w:bCs/>
                <w:color w:val="000000"/>
                <w:sz w:val="16"/>
                <w:szCs w:val="16"/>
              </w:rPr>
              <w:t>2,855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1CA6FEF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90A17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08E9072" w14:textId="77777777" w:rsidR="00000000" w:rsidRDefault="00405D16">
            <w:pPr>
              <w:spacing w:after="100"/>
              <w:jc w:val="right"/>
              <w:rPr>
                <w:rFonts w:eastAsia="Times New Roman"/>
              </w:rPr>
            </w:pPr>
            <w:r>
              <w:rPr>
                <w:rFonts w:eastAsia="Times New Roman"/>
                <w:color w:val="000000"/>
                <w:sz w:val="16"/>
                <w:szCs w:val="16"/>
              </w:rPr>
              <w:t>2,199 </w:t>
            </w:r>
          </w:p>
        </w:tc>
        <w:tc>
          <w:tcPr>
            <w:tcW w:w="0" w:type="auto"/>
            <w:shd w:val="clear" w:color="auto" w:fill="FFFFFF"/>
            <w:tcMar>
              <w:top w:w="30" w:type="dxa"/>
              <w:left w:w="0" w:type="dxa"/>
              <w:bottom w:w="30" w:type="dxa"/>
              <w:right w:w="20" w:type="dxa"/>
            </w:tcMar>
            <w:vAlign w:val="center"/>
            <w:hideMark/>
          </w:tcPr>
          <w:p w14:paraId="38482CD2" w14:textId="77777777" w:rsidR="00000000" w:rsidRDefault="00405D16">
            <w:pPr>
              <w:spacing w:after="100"/>
              <w:jc w:val="right"/>
              <w:rPr>
                <w:rFonts w:eastAsia="Times New Roman"/>
              </w:rPr>
            </w:pPr>
          </w:p>
        </w:tc>
        <w:tc>
          <w:tcPr>
            <w:tcW w:w="0" w:type="auto"/>
            <w:vAlign w:val="center"/>
            <w:hideMark/>
          </w:tcPr>
          <w:p w14:paraId="43EC5219" w14:textId="77777777" w:rsidR="00000000" w:rsidRDefault="00405D16">
            <w:pPr>
              <w:spacing w:after="100"/>
              <w:jc w:val="right"/>
              <w:rPr>
                <w:rFonts w:eastAsia="Times New Roman"/>
                <w:sz w:val="20"/>
                <w:szCs w:val="20"/>
              </w:rPr>
            </w:pPr>
          </w:p>
        </w:tc>
        <w:tc>
          <w:tcPr>
            <w:tcW w:w="0" w:type="auto"/>
            <w:vAlign w:val="center"/>
            <w:hideMark/>
          </w:tcPr>
          <w:p w14:paraId="5C1672CE" w14:textId="77777777" w:rsidR="00000000" w:rsidRDefault="00405D16">
            <w:pPr>
              <w:spacing w:after="100"/>
              <w:rPr>
                <w:rFonts w:eastAsia="Times New Roman"/>
                <w:sz w:val="20"/>
                <w:szCs w:val="20"/>
              </w:rPr>
            </w:pPr>
          </w:p>
        </w:tc>
      </w:tr>
      <w:tr w:rsidR="00000000" w14:paraId="501FDEF7" w14:textId="77777777">
        <w:trPr>
          <w:jc w:val="center"/>
        </w:trPr>
        <w:tc>
          <w:tcPr>
            <w:tcW w:w="0" w:type="auto"/>
            <w:gridSpan w:val="3"/>
            <w:shd w:val="clear" w:color="auto" w:fill="CCEEFF"/>
            <w:tcMar>
              <w:top w:w="30" w:type="dxa"/>
              <w:left w:w="245" w:type="dxa"/>
              <w:bottom w:w="30" w:type="dxa"/>
              <w:right w:w="20" w:type="dxa"/>
            </w:tcMar>
            <w:vAlign w:val="center"/>
            <w:hideMark/>
          </w:tcPr>
          <w:p w14:paraId="66D424FD" w14:textId="77777777" w:rsidR="00000000" w:rsidRDefault="00405D16">
            <w:pPr>
              <w:spacing w:after="100"/>
              <w:rPr>
                <w:rFonts w:eastAsia="Times New Roman"/>
              </w:rPr>
            </w:pPr>
            <w:r>
              <w:rPr>
                <w:rFonts w:eastAsia="Times New Roman"/>
                <w:color w:val="000000"/>
                <w:sz w:val="16"/>
                <w:szCs w:val="16"/>
              </w:rPr>
              <w:t>Service charges and other customer-related fees</w:t>
            </w:r>
          </w:p>
        </w:tc>
        <w:tc>
          <w:tcPr>
            <w:tcW w:w="0" w:type="auto"/>
            <w:gridSpan w:val="3"/>
            <w:shd w:val="clear" w:color="auto" w:fill="CCEEFF"/>
            <w:tcMar>
              <w:top w:w="0" w:type="dxa"/>
              <w:left w:w="20" w:type="dxa"/>
              <w:bottom w:w="0" w:type="dxa"/>
              <w:right w:w="20" w:type="dxa"/>
            </w:tcMar>
            <w:vAlign w:val="center"/>
            <w:hideMark/>
          </w:tcPr>
          <w:p w14:paraId="739BF531"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11A5F99" w14:textId="77777777" w:rsidR="00000000" w:rsidRDefault="00405D16">
            <w:pPr>
              <w:spacing w:after="100"/>
              <w:jc w:val="right"/>
              <w:rPr>
                <w:rFonts w:eastAsia="Times New Roman"/>
              </w:rPr>
            </w:pPr>
            <w:r>
              <w:rPr>
                <w:rFonts w:eastAsia="Times New Roman"/>
                <w:b/>
                <w:bCs/>
                <w:color w:val="000000"/>
                <w:sz w:val="16"/>
                <w:szCs w:val="16"/>
              </w:rPr>
              <w:t>407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2BD241B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3071E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98EBC5B" w14:textId="77777777" w:rsidR="00000000" w:rsidRDefault="00405D16">
            <w:pPr>
              <w:spacing w:after="100"/>
              <w:jc w:val="right"/>
              <w:rPr>
                <w:rFonts w:eastAsia="Times New Roman"/>
              </w:rPr>
            </w:pPr>
            <w:r>
              <w:rPr>
                <w:rFonts w:eastAsia="Times New Roman"/>
                <w:color w:val="000000"/>
                <w:sz w:val="16"/>
                <w:szCs w:val="16"/>
              </w:rPr>
              <w:t>320 </w:t>
            </w:r>
          </w:p>
        </w:tc>
        <w:tc>
          <w:tcPr>
            <w:tcW w:w="0" w:type="auto"/>
            <w:shd w:val="clear" w:color="auto" w:fill="CCEEFF"/>
            <w:tcMar>
              <w:top w:w="30" w:type="dxa"/>
              <w:left w:w="0" w:type="dxa"/>
              <w:bottom w:w="30" w:type="dxa"/>
              <w:right w:w="20" w:type="dxa"/>
            </w:tcMar>
            <w:vAlign w:val="center"/>
            <w:hideMark/>
          </w:tcPr>
          <w:p w14:paraId="63DCB83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92EE1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0C3D9D8" w14:textId="77777777" w:rsidR="00000000" w:rsidRDefault="00405D16">
            <w:pPr>
              <w:spacing w:after="100"/>
              <w:jc w:val="right"/>
              <w:rPr>
                <w:rFonts w:eastAsia="Times New Roman"/>
              </w:rPr>
            </w:pPr>
            <w:r>
              <w:rPr>
                <w:rFonts w:eastAsia="Times New Roman"/>
                <w:b/>
                <w:bCs/>
                <w:color w:val="000000"/>
                <w:sz w:val="16"/>
                <w:szCs w:val="16"/>
              </w:rPr>
              <w:t>1,143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4488FAE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0D412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58A91CC" w14:textId="77777777" w:rsidR="00000000" w:rsidRDefault="00405D16">
            <w:pPr>
              <w:spacing w:after="100"/>
              <w:jc w:val="right"/>
              <w:rPr>
                <w:rFonts w:eastAsia="Times New Roman"/>
              </w:rPr>
            </w:pPr>
            <w:r>
              <w:rPr>
                <w:rFonts w:eastAsia="Times New Roman"/>
                <w:color w:val="000000"/>
                <w:sz w:val="16"/>
                <w:szCs w:val="16"/>
              </w:rPr>
              <w:t>905 </w:t>
            </w:r>
          </w:p>
        </w:tc>
        <w:tc>
          <w:tcPr>
            <w:tcW w:w="0" w:type="auto"/>
            <w:shd w:val="clear" w:color="auto" w:fill="CCEEFF"/>
            <w:tcMar>
              <w:top w:w="30" w:type="dxa"/>
              <w:left w:w="0" w:type="dxa"/>
              <w:bottom w:w="30" w:type="dxa"/>
              <w:right w:w="20" w:type="dxa"/>
            </w:tcMar>
            <w:vAlign w:val="center"/>
            <w:hideMark/>
          </w:tcPr>
          <w:p w14:paraId="40082443" w14:textId="77777777" w:rsidR="00000000" w:rsidRDefault="00405D16">
            <w:pPr>
              <w:spacing w:after="100"/>
              <w:jc w:val="right"/>
              <w:rPr>
                <w:rFonts w:eastAsia="Times New Roman"/>
              </w:rPr>
            </w:pPr>
          </w:p>
        </w:tc>
        <w:tc>
          <w:tcPr>
            <w:tcW w:w="0" w:type="auto"/>
            <w:vAlign w:val="center"/>
            <w:hideMark/>
          </w:tcPr>
          <w:p w14:paraId="1364006D" w14:textId="77777777" w:rsidR="00000000" w:rsidRDefault="00405D16">
            <w:pPr>
              <w:spacing w:after="100"/>
              <w:jc w:val="right"/>
              <w:rPr>
                <w:rFonts w:eastAsia="Times New Roman"/>
                <w:sz w:val="20"/>
                <w:szCs w:val="20"/>
              </w:rPr>
            </w:pPr>
          </w:p>
        </w:tc>
        <w:tc>
          <w:tcPr>
            <w:tcW w:w="0" w:type="auto"/>
            <w:vAlign w:val="center"/>
            <w:hideMark/>
          </w:tcPr>
          <w:p w14:paraId="7E710027" w14:textId="77777777" w:rsidR="00000000" w:rsidRDefault="00405D16">
            <w:pPr>
              <w:spacing w:after="100"/>
              <w:rPr>
                <w:rFonts w:eastAsia="Times New Roman"/>
                <w:sz w:val="20"/>
                <w:szCs w:val="20"/>
              </w:rPr>
            </w:pPr>
          </w:p>
        </w:tc>
      </w:tr>
      <w:tr w:rsidR="00000000" w14:paraId="6F7A3FF2" w14:textId="77777777">
        <w:trPr>
          <w:jc w:val="center"/>
        </w:trPr>
        <w:tc>
          <w:tcPr>
            <w:tcW w:w="0" w:type="auto"/>
            <w:gridSpan w:val="3"/>
            <w:shd w:val="clear" w:color="auto" w:fill="FFFFFF"/>
            <w:tcMar>
              <w:top w:w="30" w:type="dxa"/>
              <w:left w:w="245" w:type="dxa"/>
              <w:bottom w:w="30" w:type="dxa"/>
              <w:right w:w="20" w:type="dxa"/>
            </w:tcMar>
            <w:vAlign w:val="center"/>
            <w:hideMark/>
          </w:tcPr>
          <w:p w14:paraId="71B97AE0" w14:textId="77777777" w:rsidR="00000000" w:rsidRDefault="00405D16">
            <w:pPr>
              <w:spacing w:after="100"/>
              <w:rPr>
                <w:rFonts w:eastAsia="Times New Roman"/>
              </w:rPr>
            </w:pPr>
            <w:r>
              <w:rPr>
                <w:rFonts w:eastAsia="Times New Roman"/>
                <w:color w:val="000000"/>
                <w:sz w:val="16"/>
                <w:szCs w:val="16"/>
              </w:rPr>
              <w:t xml:space="preserve">Net securities gains </w:t>
            </w:r>
          </w:p>
        </w:tc>
        <w:tc>
          <w:tcPr>
            <w:tcW w:w="0" w:type="auto"/>
            <w:gridSpan w:val="3"/>
            <w:shd w:val="clear" w:color="auto" w:fill="FFFFFF"/>
            <w:tcMar>
              <w:top w:w="0" w:type="dxa"/>
              <w:left w:w="20" w:type="dxa"/>
              <w:bottom w:w="0" w:type="dxa"/>
              <w:right w:w="20" w:type="dxa"/>
            </w:tcMar>
            <w:vAlign w:val="center"/>
            <w:hideMark/>
          </w:tcPr>
          <w:p w14:paraId="73ABD8B6"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2A5A957" w14:textId="77777777" w:rsidR="00000000" w:rsidRDefault="00405D16">
            <w:pPr>
              <w:spacing w:after="100"/>
              <w:jc w:val="right"/>
              <w:rPr>
                <w:rFonts w:eastAsia="Times New Roman"/>
              </w:rPr>
            </w:pPr>
            <w:r>
              <w:rPr>
                <w:rFonts w:eastAsia="Times New Roman"/>
                <w:b/>
                <w:bCs/>
                <w:color w:val="000000"/>
                <w:sz w:val="16"/>
                <w:szCs w:val="16"/>
              </w:rPr>
              <w:t>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485E45B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A693B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87EB452" w14:textId="77777777" w:rsidR="00000000" w:rsidRDefault="00405D16">
            <w:pPr>
              <w:spacing w:after="100"/>
              <w:jc w:val="right"/>
              <w:rPr>
                <w:rFonts w:eastAsia="Times New Roman"/>
              </w:rPr>
            </w:pPr>
            <w:r>
              <w:rPr>
                <w:rFonts w:eastAsia="Times New Roman"/>
                <w:color w:val="000000"/>
                <w:sz w:val="16"/>
                <w:szCs w:val="16"/>
              </w:rPr>
              <w:t>25 </w:t>
            </w:r>
          </w:p>
        </w:tc>
        <w:tc>
          <w:tcPr>
            <w:tcW w:w="0" w:type="auto"/>
            <w:shd w:val="clear" w:color="auto" w:fill="FFFFFF"/>
            <w:tcMar>
              <w:top w:w="30" w:type="dxa"/>
              <w:left w:w="0" w:type="dxa"/>
              <w:bottom w:w="30" w:type="dxa"/>
              <w:right w:w="20" w:type="dxa"/>
            </w:tcMar>
            <w:vAlign w:val="center"/>
            <w:hideMark/>
          </w:tcPr>
          <w:p w14:paraId="7FD86E8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15087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AF355FD" w14:textId="77777777" w:rsidR="00000000" w:rsidRDefault="00405D16">
            <w:pPr>
              <w:spacing w:after="100"/>
              <w:jc w:val="right"/>
              <w:rPr>
                <w:rFonts w:eastAsia="Times New Roman"/>
              </w:rPr>
            </w:pPr>
            <w:r>
              <w:rPr>
                <w:rFonts w:eastAsia="Times New Roman"/>
                <w:b/>
                <w:bCs/>
                <w:color w:val="000000"/>
                <w:sz w:val="16"/>
                <w:szCs w:val="16"/>
              </w:rPr>
              <w:t>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043695B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19656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254839B" w14:textId="77777777" w:rsidR="00000000" w:rsidRDefault="00405D16">
            <w:pPr>
              <w:spacing w:after="100"/>
              <w:jc w:val="right"/>
              <w:rPr>
                <w:rFonts w:eastAsia="Times New Roman"/>
              </w:rPr>
            </w:pPr>
            <w:r>
              <w:rPr>
                <w:rFonts w:eastAsia="Times New Roman"/>
                <w:color w:val="000000"/>
                <w:sz w:val="16"/>
                <w:szCs w:val="16"/>
              </w:rPr>
              <w:t>25 </w:t>
            </w:r>
          </w:p>
        </w:tc>
        <w:tc>
          <w:tcPr>
            <w:tcW w:w="0" w:type="auto"/>
            <w:shd w:val="clear" w:color="auto" w:fill="FFFFFF"/>
            <w:tcMar>
              <w:top w:w="30" w:type="dxa"/>
              <w:left w:w="0" w:type="dxa"/>
              <w:bottom w:w="30" w:type="dxa"/>
              <w:right w:w="20" w:type="dxa"/>
            </w:tcMar>
            <w:vAlign w:val="center"/>
            <w:hideMark/>
          </w:tcPr>
          <w:p w14:paraId="4F497A98" w14:textId="77777777" w:rsidR="00000000" w:rsidRDefault="00405D16">
            <w:pPr>
              <w:spacing w:after="100"/>
              <w:jc w:val="right"/>
              <w:rPr>
                <w:rFonts w:eastAsia="Times New Roman"/>
              </w:rPr>
            </w:pPr>
          </w:p>
        </w:tc>
        <w:tc>
          <w:tcPr>
            <w:tcW w:w="0" w:type="auto"/>
            <w:vAlign w:val="center"/>
            <w:hideMark/>
          </w:tcPr>
          <w:p w14:paraId="50F0F647" w14:textId="77777777" w:rsidR="00000000" w:rsidRDefault="00405D16">
            <w:pPr>
              <w:spacing w:after="100"/>
              <w:jc w:val="right"/>
              <w:rPr>
                <w:rFonts w:eastAsia="Times New Roman"/>
                <w:sz w:val="20"/>
                <w:szCs w:val="20"/>
              </w:rPr>
            </w:pPr>
          </w:p>
        </w:tc>
        <w:tc>
          <w:tcPr>
            <w:tcW w:w="0" w:type="auto"/>
            <w:vAlign w:val="center"/>
            <w:hideMark/>
          </w:tcPr>
          <w:p w14:paraId="4724F28F" w14:textId="77777777" w:rsidR="00000000" w:rsidRDefault="00405D16">
            <w:pPr>
              <w:spacing w:after="100"/>
              <w:rPr>
                <w:rFonts w:eastAsia="Times New Roman"/>
                <w:sz w:val="20"/>
                <w:szCs w:val="20"/>
              </w:rPr>
            </w:pPr>
          </w:p>
        </w:tc>
      </w:tr>
      <w:tr w:rsidR="00000000" w14:paraId="6A7B06D6" w14:textId="77777777">
        <w:trPr>
          <w:jc w:val="center"/>
        </w:trPr>
        <w:tc>
          <w:tcPr>
            <w:tcW w:w="0" w:type="auto"/>
            <w:gridSpan w:val="3"/>
            <w:shd w:val="clear" w:color="auto" w:fill="CCEEFF"/>
            <w:tcMar>
              <w:top w:w="30" w:type="dxa"/>
              <w:left w:w="245" w:type="dxa"/>
              <w:bottom w:w="30" w:type="dxa"/>
              <w:right w:w="20" w:type="dxa"/>
            </w:tcMar>
            <w:vAlign w:val="center"/>
            <w:hideMark/>
          </w:tcPr>
          <w:p w14:paraId="3FF42B9D" w14:textId="77777777" w:rsidR="00000000" w:rsidRDefault="00405D16">
            <w:pPr>
              <w:spacing w:after="100"/>
              <w:rPr>
                <w:rFonts w:eastAsia="Times New Roman"/>
              </w:rPr>
            </w:pPr>
            <w:r>
              <w:rPr>
                <w:rFonts w:eastAsia="Times New Roman"/>
                <w:color w:val="000000"/>
                <w:sz w:val="16"/>
                <w:szCs w:val="16"/>
              </w:rPr>
              <w:t>Other</w:t>
            </w:r>
          </w:p>
        </w:tc>
        <w:tc>
          <w:tcPr>
            <w:tcW w:w="0" w:type="auto"/>
            <w:gridSpan w:val="3"/>
            <w:shd w:val="clear" w:color="auto" w:fill="CCEEFF"/>
            <w:tcMar>
              <w:top w:w="0" w:type="dxa"/>
              <w:left w:w="20" w:type="dxa"/>
              <w:bottom w:w="0" w:type="dxa"/>
              <w:right w:w="20" w:type="dxa"/>
            </w:tcMar>
            <w:vAlign w:val="center"/>
            <w:hideMark/>
          </w:tcPr>
          <w:p w14:paraId="1539F3E3"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B4E1ABD" w14:textId="77777777" w:rsidR="00000000" w:rsidRDefault="00405D16">
            <w:pPr>
              <w:spacing w:after="100"/>
              <w:jc w:val="right"/>
              <w:rPr>
                <w:rFonts w:eastAsia="Times New Roman"/>
              </w:rPr>
            </w:pPr>
            <w:r>
              <w:rPr>
                <w:rFonts w:eastAsia="Times New Roman"/>
                <w:b/>
                <w:bCs/>
                <w:color w:val="000000"/>
                <w:sz w:val="16"/>
                <w:szCs w:val="16"/>
              </w:rPr>
              <w:t>243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2E64A53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241A9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21D9968" w14:textId="77777777" w:rsidR="00000000" w:rsidRDefault="00405D16">
            <w:pPr>
              <w:spacing w:after="100"/>
              <w:jc w:val="right"/>
              <w:rPr>
                <w:rFonts w:eastAsia="Times New Roman"/>
              </w:rPr>
            </w:pPr>
            <w:r>
              <w:rPr>
                <w:rFonts w:eastAsia="Times New Roman"/>
                <w:color w:val="000000"/>
                <w:sz w:val="16"/>
                <w:szCs w:val="16"/>
              </w:rPr>
              <w:t>706 </w:t>
            </w:r>
          </w:p>
        </w:tc>
        <w:tc>
          <w:tcPr>
            <w:tcW w:w="0" w:type="auto"/>
            <w:shd w:val="clear" w:color="auto" w:fill="CCEEFF"/>
            <w:tcMar>
              <w:top w:w="30" w:type="dxa"/>
              <w:left w:w="0" w:type="dxa"/>
              <w:bottom w:w="30" w:type="dxa"/>
              <w:right w:w="20" w:type="dxa"/>
            </w:tcMar>
            <w:vAlign w:val="center"/>
            <w:hideMark/>
          </w:tcPr>
          <w:p w14:paraId="1492F03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173C9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A7D0E73" w14:textId="77777777" w:rsidR="00000000" w:rsidRDefault="00405D16">
            <w:pPr>
              <w:spacing w:after="100"/>
              <w:jc w:val="right"/>
              <w:rPr>
                <w:rFonts w:eastAsia="Times New Roman"/>
              </w:rPr>
            </w:pPr>
            <w:r>
              <w:rPr>
                <w:rFonts w:eastAsia="Times New Roman"/>
                <w:b/>
                <w:bCs/>
                <w:color w:val="000000"/>
                <w:sz w:val="16"/>
                <w:szCs w:val="16"/>
              </w:rPr>
              <w:t>592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5AA0538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B2392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746E9A6" w14:textId="77777777" w:rsidR="00000000" w:rsidRDefault="00405D16">
            <w:pPr>
              <w:spacing w:after="100"/>
              <w:jc w:val="right"/>
              <w:rPr>
                <w:rFonts w:eastAsia="Times New Roman"/>
              </w:rPr>
            </w:pPr>
            <w:r>
              <w:rPr>
                <w:rFonts w:eastAsia="Times New Roman"/>
                <w:color w:val="000000"/>
                <w:sz w:val="16"/>
                <w:szCs w:val="16"/>
              </w:rPr>
              <w:t>1,017 </w:t>
            </w:r>
          </w:p>
        </w:tc>
        <w:tc>
          <w:tcPr>
            <w:tcW w:w="0" w:type="auto"/>
            <w:shd w:val="clear" w:color="auto" w:fill="CCEEFF"/>
            <w:tcMar>
              <w:top w:w="30" w:type="dxa"/>
              <w:left w:w="0" w:type="dxa"/>
              <w:bottom w:w="30" w:type="dxa"/>
              <w:right w:w="20" w:type="dxa"/>
            </w:tcMar>
            <w:vAlign w:val="center"/>
            <w:hideMark/>
          </w:tcPr>
          <w:p w14:paraId="767E81C2" w14:textId="77777777" w:rsidR="00000000" w:rsidRDefault="00405D16">
            <w:pPr>
              <w:spacing w:after="100"/>
              <w:jc w:val="right"/>
              <w:rPr>
                <w:rFonts w:eastAsia="Times New Roman"/>
              </w:rPr>
            </w:pPr>
          </w:p>
        </w:tc>
        <w:tc>
          <w:tcPr>
            <w:tcW w:w="0" w:type="auto"/>
            <w:vAlign w:val="center"/>
            <w:hideMark/>
          </w:tcPr>
          <w:p w14:paraId="6E44E470" w14:textId="77777777" w:rsidR="00000000" w:rsidRDefault="00405D16">
            <w:pPr>
              <w:spacing w:after="100"/>
              <w:jc w:val="right"/>
              <w:rPr>
                <w:rFonts w:eastAsia="Times New Roman"/>
                <w:sz w:val="20"/>
                <w:szCs w:val="20"/>
              </w:rPr>
            </w:pPr>
          </w:p>
        </w:tc>
        <w:tc>
          <w:tcPr>
            <w:tcW w:w="0" w:type="auto"/>
            <w:vAlign w:val="center"/>
            <w:hideMark/>
          </w:tcPr>
          <w:p w14:paraId="63FC8B5B" w14:textId="77777777" w:rsidR="00000000" w:rsidRDefault="00405D16">
            <w:pPr>
              <w:spacing w:after="100"/>
              <w:rPr>
                <w:rFonts w:eastAsia="Times New Roman"/>
                <w:sz w:val="20"/>
                <w:szCs w:val="20"/>
              </w:rPr>
            </w:pPr>
          </w:p>
        </w:tc>
      </w:tr>
      <w:tr w:rsidR="00000000" w14:paraId="5D518A1F" w14:textId="77777777">
        <w:trPr>
          <w:jc w:val="center"/>
        </w:trPr>
        <w:tc>
          <w:tcPr>
            <w:tcW w:w="0" w:type="auto"/>
            <w:gridSpan w:val="3"/>
            <w:shd w:val="clear" w:color="auto" w:fill="FFFFFF"/>
            <w:tcMar>
              <w:top w:w="30" w:type="dxa"/>
              <w:left w:w="20" w:type="dxa"/>
              <w:bottom w:w="30" w:type="dxa"/>
              <w:right w:w="20" w:type="dxa"/>
            </w:tcMar>
            <w:vAlign w:val="center"/>
            <w:hideMark/>
          </w:tcPr>
          <w:p w14:paraId="0CC22559" w14:textId="77777777" w:rsidR="00000000" w:rsidRDefault="00405D16">
            <w:pPr>
              <w:spacing w:after="100"/>
              <w:rPr>
                <w:rFonts w:eastAsia="Times New Roman"/>
              </w:rPr>
            </w:pPr>
            <w:r>
              <w:rPr>
                <w:rFonts w:eastAsia="Times New Roman"/>
                <w:color w:val="000000"/>
                <w:sz w:val="16"/>
                <w:szCs w:val="16"/>
              </w:rPr>
              <w:t>Total non-interest income</w:t>
            </w:r>
          </w:p>
        </w:tc>
        <w:tc>
          <w:tcPr>
            <w:tcW w:w="0" w:type="auto"/>
            <w:gridSpan w:val="3"/>
            <w:shd w:val="clear" w:color="auto" w:fill="FFFFFF"/>
            <w:tcMar>
              <w:top w:w="0" w:type="dxa"/>
              <w:left w:w="20" w:type="dxa"/>
              <w:bottom w:w="0" w:type="dxa"/>
              <w:right w:w="20" w:type="dxa"/>
            </w:tcMar>
            <w:vAlign w:val="center"/>
            <w:hideMark/>
          </w:tcPr>
          <w:p w14:paraId="0F1F8680"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77794B2" w14:textId="77777777" w:rsidR="00000000" w:rsidRDefault="00405D16">
            <w:pPr>
              <w:spacing w:after="100"/>
              <w:jc w:val="right"/>
              <w:rPr>
                <w:rFonts w:eastAsia="Times New Roman"/>
              </w:rPr>
            </w:pPr>
            <w:r>
              <w:rPr>
                <w:rFonts w:eastAsia="Times New Roman"/>
                <w:b/>
                <w:bCs/>
                <w:color w:val="000000"/>
                <w:sz w:val="16"/>
                <w:szCs w:val="16"/>
              </w:rPr>
              <w:t>1,674</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190535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DA3947"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6D41842" w14:textId="77777777" w:rsidR="00000000" w:rsidRDefault="00405D16">
            <w:pPr>
              <w:spacing w:after="100"/>
              <w:jc w:val="right"/>
              <w:rPr>
                <w:rFonts w:eastAsia="Times New Roman"/>
              </w:rPr>
            </w:pPr>
            <w:r>
              <w:rPr>
                <w:rFonts w:eastAsia="Times New Roman"/>
                <w:color w:val="000000"/>
                <w:sz w:val="16"/>
                <w:szCs w:val="16"/>
              </w:rPr>
              <w:t>1,826 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1B3700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DE4E8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A788165" w14:textId="77777777" w:rsidR="00000000" w:rsidRDefault="00405D16">
            <w:pPr>
              <w:spacing w:after="100"/>
              <w:jc w:val="right"/>
              <w:rPr>
                <w:rFonts w:eastAsia="Times New Roman"/>
              </w:rPr>
            </w:pPr>
            <w:r>
              <w:rPr>
                <w:rFonts w:eastAsia="Times New Roman"/>
                <w:b/>
                <w:bCs/>
                <w:color w:val="000000"/>
                <w:sz w:val="16"/>
                <w:szCs w:val="16"/>
              </w:rPr>
              <w:t>4,596</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C08B11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7DCDEB"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95163B3" w14:textId="77777777" w:rsidR="00000000" w:rsidRDefault="00405D16">
            <w:pPr>
              <w:spacing w:after="100"/>
              <w:jc w:val="right"/>
              <w:rPr>
                <w:rFonts w:eastAsia="Times New Roman"/>
              </w:rPr>
            </w:pPr>
            <w:r>
              <w:rPr>
                <w:rFonts w:eastAsia="Times New Roman"/>
                <w:color w:val="000000"/>
                <w:sz w:val="16"/>
                <w:szCs w:val="16"/>
              </w:rPr>
              <w:t>4,146 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26A8DC4" w14:textId="77777777" w:rsidR="00000000" w:rsidRDefault="00405D16">
            <w:pPr>
              <w:spacing w:after="100"/>
              <w:jc w:val="right"/>
              <w:rPr>
                <w:rFonts w:eastAsia="Times New Roman"/>
              </w:rPr>
            </w:pPr>
          </w:p>
        </w:tc>
        <w:tc>
          <w:tcPr>
            <w:tcW w:w="0" w:type="auto"/>
            <w:vAlign w:val="center"/>
            <w:hideMark/>
          </w:tcPr>
          <w:p w14:paraId="4CCD5379" w14:textId="77777777" w:rsidR="00000000" w:rsidRDefault="00405D16">
            <w:pPr>
              <w:spacing w:after="100"/>
              <w:jc w:val="right"/>
              <w:rPr>
                <w:rFonts w:eastAsia="Times New Roman"/>
                <w:sz w:val="20"/>
                <w:szCs w:val="20"/>
              </w:rPr>
            </w:pPr>
          </w:p>
        </w:tc>
        <w:tc>
          <w:tcPr>
            <w:tcW w:w="0" w:type="auto"/>
            <w:vAlign w:val="center"/>
            <w:hideMark/>
          </w:tcPr>
          <w:p w14:paraId="7C08166F" w14:textId="77777777" w:rsidR="00000000" w:rsidRDefault="00405D16">
            <w:pPr>
              <w:spacing w:after="100"/>
              <w:rPr>
                <w:rFonts w:eastAsia="Times New Roman"/>
                <w:sz w:val="20"/>
                <w:szCs w:val="20"/>
              </w:rPr>
            </w:pPr>
          </w:p>
        </w:tc>
      </w:tr>
      <w:tr w:rsidR="00000000" w14:paraId="16BD2187" w14:textId="77777777">
        <w:trPr>
          <w:jc w:val="center"/>
        </w:trPr>
        <w:tc>
          <w:tcPr>
            <w:tcW w:w="0" w:type="auto"/>
            <w:gridSpan w:val="3"/>
            <w:shd w:val="clear" w:color="auto" w:fill="CCEEFF"/>
            <w:tcMar>
              <w:top w:w="30" w:type="dxa"/>
              <w:left w:w="20" w:type="dxa"/>
              <w:bottom w:w="30" w:type="dxa"/>
              <w:right w:w="20" w:type="dxa"/>
            </w:tcMar>
            <w:vAlign w:val="center"/>
            <w:hideMark/>
          </w:tcPr>
          <w:p w14:paraId="1C2CB363" w14:textId="77777777" w:rsidR="00000000" w:rsidRDefault="00405D16">
            <w:pPr>
              <w:spacing w:after="100"/>
              <w:rPr>
                <w:rFonts w:eastAsia="Times New Roman"/>
              </w:rPr>
            </w:pPr>
            <w:r>
              <w:rPr>
                <w:rFonts w:eastAsia="Times New Roman"/>
                <w:b/>
                <w:bCs/>
                <w:color w:val="000000"/>
                <w:sz w:val="16"/>
                <w:szCs w:val="16"/>
              </w:rPr>
              <w:t>Non-interest expense:</w:t>
            </w:r>
          </w:p>
        </w:tc>
        <w:tc>
          <w:tcPr>
            <w:tcW w:w="0" w:type="auto"/>
            <w:gridSpan w:val="3"/>
            <w:shd w:val="clear" w:color="auto" w:fill="CCEEFF"/>
            <w:tcMar>
              <w:top w:w="0" w:type="dxa"/>
              <w:left w:w="20" w:type="dxa"/>
              <w:bottom w:w="0" w:type="dxa"/>
              <w:right w:w="20" w:type="dxa"/>
            </w:tcMar>
            <w:vAlign w:val="center"/>
            <w:hideMark/>
          </w:tcPr>
          <w:p w14:paraId="79EA948F"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752299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1322A8"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72570D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666123"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CA959A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E21325"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7054F6D" w14:textId="77777777" w:rsidR="00000000" w:rsidRDefault="00405D16">
            <w:pPr>
              <w:spacing w:after="100"/>
              <w:rPr>
                <w:rFonts w:eastAsia="Times New Roman"/>
                <w:sz w:val="20"/>
                <w:szCs w:val="20"/>
              </w:rPr>
            </w:pPr>
          </w:p>
        </w:tc>
        <w:tc>
          <w:tcPr>
            <w:tcW w:w="0" w:type="auto"/>
            <w:vAlign w:val="center"/>
            <w:hideMark/>
          </w:tcPr>
          <w:p w14:paraId="21C4F266" w14:textId="77777777" w:rsidR="00000000" w:rsidRDefault="00405D16">
            <w:pPr>
              <w:spacing w:after="100"/>
              <w:rPr>
                <w:rFonts w:eastAsia="Times New Roman"/>
                <w:sz w:val="20"/>
                <w:szCs w:val="20"/>
              </w:rPr>
            </w:pPr>
          </w:p>
        </w:tc>
        <w:tc>
          <w:tcPr>
            <w:tcW w:w="0" w:type="auto"/>
            <w:vAlign w:val="center"/>
            <w:hideMark/>
          </w:tcPr>
          <w:p w14:paraId="1B93F8D1" w14:textId="77777777" w:rsidR="00000000" w:rsidRDefault="00405D16">
            <w:pPr>
              <w:spacing w:after="100"/>
              <w:rPr>
                <w:rFonts w:eastAsia="Times New Roman"/>
                <w:sz w:val="20"/>
                <w:szCs w:val="20"/>
              </w:rPr>
            </w:pPr>
          </w:p>
        </w:tc>
      </w:tr>
      <w:tr w:rsidR="00000000" w14:paraId="6BF5D4EC" w14:textId="77777777">
        <w:trPr>
          <w:jc w:val="center"/>
        </w:trPr>
        <w:tc>
          <w:tcPr>
            <w:tcW w:w="0" w:type="auto"/>
            <w:gridSpan w:val="3"/>
            <w:shd w:val="clear" w:color="auto" w:fill="FFFFFF"/>
            <w:tcMar>
              <w:top w:w="30" w:type="dxa"/>
              <w:left w:w="245" w:type="dxa"/>
              <w:bottom w:w="30" w:type="dxa"/>
              <w:right w:w="20" w:type="dxa"/>
            </w:tcMar>
            <w:vAlign w:val="center"/>
            <w:hideMark/>
          </w:tcPr>
          <w:p w14:paraId="70BBE2F9" w14:textId="77777777" w:rsidR="00000000" w:rsidRDefault="00405D16">
            <w:pPr>
              <w:spacing w:after="100"/>
              <w:rPr>
                <w:rFonts w:eastAsia="Times New Roman"/>
              </w:rPr>
            </w:pPr>
            <w:r>
              <w:rPr>
                <w:rFonts w:eastAsia="Times New Roman"/>
                <w:color w:val="000000"/>
                <w:sz w:val="16"/>
                <w:szCs w:val="16"/>
              </w:rPr>
              <w:t>Salaries and associate benefits</w:t>
            </w:r>
          </w:p>
        </w:tc>
        <w:tc>
          <w:tcPr>
            <w:tcW w:w="0" w:type="auto"/>
            <w:gridSpan w:val="3"/>
            <w:shd w:val="clear" w:color="auto" w:fill="FFFFFF"/>
            <w:tcMar>
              <w:top w:w="0" w:type="dxa"/>
              <w:left w:w="20" w:type="dxa"/>
              <w:bottom w:w="0" w:type="dxa"/>
              <w:right w:w="20" w:type="dxa"/>
            </w:tcMar>
            <w:vAlign w:val="center"/>
            <w:hideMark/>
          </w:tcPr>
          <w:p w14:paraId="72FF6DBB"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C2181C3" w14:textId="77777777" w:rsidR="00000000" w:rsidRDefault="00405D16">
            <w:pPr>
              <w:spacing w:after="100"/>
              <w:jc w:val="right"/>
              <w:rPr>
                <w:rFonts w:eastAsia="Times New Roman"/>
              </w:rPr>
            </w:pPr>
            <w:r>
              <w:rPr>
                <w:rFonts w:eastAsia="Times New Roman"/>
                <w:b/>
                <w:bCs/>
                <w:color w:val="000000"/>
                <w:sz w:val="16"/>
                <w:szCs w:val="16"/>
              </w:rPr>
              <w:t>1,852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3C7C062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05111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66D49B1" w14:textId="77777777" w:rsidR="00000000" w:rsidRDefault="00405D16">
            <w:pPr>
              <w:spacing w:after="100"/>
              <w:jc w:val="right"/>
              <w:rPr>
                <w:rFonts w:eastAsia="Times New Roman"/>
              </w:rPr>
            </w:pPr>
            <w:r>
              <w:rPr>
                <w:rFonts w:eastAsia="Times New Roman"/>
                <w:color w:val="000000"/>
                <w:sz w:val="16"/>
                <w:szCs w:val="16"/>
              </w:rPr>
              <w:t>1,719 </w:t>
            </w:r>
          </w:p>
        </w:tc>
        <w:tc>
          <w:tcPr>
            <w:tcW w:w="0" w:type="auto"/>
            <w:shd w:val="clear" w:color="auto" w:fill="FFFFFF"/>
            <w:tcMar>
              <w:top w:w="30" w:type="dxa"/>
              <w:left w:w="0" w:type="dxa"/>
              <w:bottom w:w="30" w:type="dxa"/>
              <w:right w:w="20" w:type="dxa"/>
            </w:tcMar>
            <w:vAlign w:val="center"/>
            <w:hideMark/>
          </w:tcPr>
          <w:p w14:paraId="69B0D6E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31405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C7D72EA" w14:textId="77777777" w:rsidR="00000000" w:rsidRDefault="00405D16">
            <w:pPr>
              <w:spacing w:after="100"/>
              <w:jc w:val="right"/>
              <w:rPr>
                <w:rFonts w:eastAsia="Times New Roman"/>
              </w:rPr>
            </w:pPr>
            <w:r>
              <w:rPr>
                <w:rFonts w:eastAsia="Times New Roman"/>
                <w:b/>
                <w:bCs/>
                <w:color w:val="000000"/>
                <w:sz w:val="16"/>
                <w:szCs w:val="16"/>
              </w:rPr>
              <w:t>5,480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33AE4EC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1104F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4F8DF1C" w14:textId="77777777" w:rsidR="00000000" w:rsidRDefault="00405D16">
            <w:pPr>
              <w:spacing w:after="100"/>
              <w:jc w:val="right"/>
              <w:rPr>
                <w:rFonts w:eastAsia="Times New Roman"/>
              </w:rPr>
            </w:pPr>
            <w:r>
              <w:rPr>
                <w:rFonts w:eastAsia="Times New Roman"/>
                <w:color w:val="000000"/>
                <w:sz w:val="16"/>
                <w:szCs w:val="16"/>
              </w:rPr>
              <w:t>5,050 </w:t>
            </w:r>
          </w:p>
        </w:tc>
        <w:tc>
          <w:tcPr>
            <w:tcW w:w="0" w:type="auto"/>
            <w:shd w:val="clear" w:color="auto" w:fill="FFFFFF"/>
            <w:tcMar>
              <w:top w:w="30" w:type="dxa"/>
              <w:left w:w="0" w:type="dxa"/>
              <w:bottom w:w="30" w:type="dxa"/>
              <w:right w:w="20" w:type="dxa"/>
            </w:tcMar>
            <w:vAlign w:val="center"/>
            <w:hideMark/>
          </w:tcPr>
          <w:p w14:paraId="1A940B6B" w14:textId="77777777" w:rsidR="00000000" w:rsidRDefault="00405D16">
            <w:pPr>
              <w:spacing w:after="100"/>
              <w:jc w:val="right"/>
              <w:rPr>
                <w:rFonts w:eastAsia="Times New Roman"/>
              </w:rPr>
            </w:pPr>
          </w:p>
        </w:tc>
        <w:tc>
          <w:tcPr>
            <w:tcW w:w="0" w:type="auto"/>
            <w:vAlign w:val="center"/>
            <w:hideMark/>
          </w:tcPr>
          <w:p w14:paraId="3C86BDF8" w14:textId="77777777" w:rsidR="00000000" w:rsidRDefault="00405D16">
            <w:pPr>
              <w:spacing w:after="100"/>
              <w:jc w:val="right"/>
              <w:rPr>
                <w:rFonts w:eastAsia="Times New Roman"/>
                <w:sz w:val="20"/>
                <w:szCs w:val="20"/>
              </w:rPr>
            </w:pPr>
          </w:p>
        </w:tc>
        <w:tc>
          <w:tcPr>
            <w:tcW w:w="0" w:type="auto"/>
            <w:vAlign w:val="center"/>
            <w:hideMark/>
          </w:tcPr>
          <w:p w14:paraId="1832B27B" w14:textId="77777777" w:rsidR="00000000" w:rsidRDefault="00405D16">
            <w:pPr>
              <w:spacing w:after="100"/>
              <w:rPr>
                <w:rFonts w:eastAsia="Times New Roman"/>
                <w:sz w:val="20"/>
                <w:szCs w:val="20"/>
              </w:rPr>
            </w:pPr>
          </w:p>
        </w:tc>
      </w:tr>
      <w:tr w:rsidR="00000000" w14:paraId="16722319" w14:textId="77777777">
        <w:trPr>
          <w:jc w:val="center"/>
        </w:trPr>
        <w:tc>
          <w:tcPr>
            <w:tcW w:w="0" w:type="auto"/>
            <w:gridSpan w:val="3"/>
            <w:shd w:val="clear" w:color="auto" w:fill="CCEEFF"/>
            <w:tcMar>
              <w:top w:w="30" w:type="dxa"/>
              <w:left w:w="245" w:type="dxa"/>
              <w:bottom w:w="30" w:type="dxa"/>
              <w:right w:w="20" w:type="dxa"/>
            </w:tcMar>
            <w:vAlign w:val="center"/>
            <w:hideMark/>
          </w:tcPr>
          <w:p w14:paraId="50F6636F" w14:textId="77777777" w:rsidR="00000000" w:rsidRDefault="00405D16">
            <w:pPr>
              <w:spacing w:after="100"/>
              <w:rPr>
                <w:rFonts w:eastAsia="Times New Roman"/>
              </w:rPr>
            </w:pPr>
            <w:r>
              <w:rPr>
                <w:rFonts w:eastAsia="Times New Roman"/>
                <w:color w:val="000000"/>
                <w:sz w:val="16"/>
                <w:szCs w:val="16"/>
              </w:rPr>
              <w:t>Occupancy and equipment</w:t>
            </w:r>
          </w:p>
        </w:tc>
        <w:tc>
          <w:tcPr>
            <w:tcW w:w="0" w:type="auto"/>
            <w:gridSpan w:val="3"/>
            <w:shd w:val="clear" w:color="auto" w:fill="CCEEFF"/>
            <w:tcMar>
              <w:top w:w="0" w:type="dxa"/>
              <w:left w:w="20" w:type="dxa"/>
              <w:bottom w:w="0" w:type="dxa"/>
              <w:right w:w="20" w:type="dxa"/>
            </w:tcMar>
            <w:vAlign w:val="center"/>
            <w:hideMark/>
          </w:tcPr>
          <w:p w14:paraId="1751835A"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D28C7FF" w14:textId="77777777" w:rsidR="00000000" w:rsidRDefault="00405D16">
            <w:pPr>
              <w:spacing w:after="100"/>
              <w:jc w:val="right"/>
              <w:rPr>
                <w:rFonts w:eastAsia="Times New Roman"/>
              </w:rPr>
            </w:pPr>
            <w:r>
              <w:rPr>
                <w:rFonts w:eastAsia="Times New Roman"/>
                <w:b/>
                <w:bCs/>
                <w:color w:val="000000"/>
                <w:sz w:val="16"/>
                <w:szCs w:val="16"/>
              </w:rPr>
              <w:t>481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108D533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BEF73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11EF1B0" w14:textId="77777777" w:rsidR="00000000" w:rsidRDefault="00405D16">
            <w:pPr>
              <w:spacing w:after="100"/>
              <w:jc w:val="right"/>
              <w:rPr>
                <w:rFonts w:eastAsia="Times New Roman"/>
              </w:rPr>
            </w:pPr>
            <w:r>
              <w:rPr>
                <w:rFonts w:eastAsia="Times New Roman"/>
                <w:color w:val="000000"/>
                <w:sz w:val="16"/>
                <w:szCs w:val="16"/>
              </w:rPr>
              <w:t>506 </w:t>
            </w:r>
          </w:p>
        </w:tc>
        <w:tc>
          <w:tcPr>
            <w:tcW w:w="0" w:type="auto"/>
            <w:shd w:val="clear" w:color="auto" w:fill="CCEEFF"/>
            <w:tcMar>
              <w:top w:w="30" w:type="dxa"/>
              <w:left w:w="0" w:type="dxa"/>
              <w:bottom w:w="30" w:type="dxa"/>
              <w:right w:w="20" w:type="dxa"/>
            </w:tcMar>
            <w:vAlign w:val="center"/>
            <w:hideMark/>
          </w:tcPr>
          <w:p w14:paraId="4B2ADEA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AD88D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A683CFD" w14:textId="77777777" w:rsidR="00000000" w:rsidRDefault="00405D16">
            <w:pPr>
              <w:spacing w:after="100"/>
              <w:jc w:val="right"/>
              <w:rPr>
                <w:rFonts w:eastAsia="Times New Roman"/>
              </w:rPr>
            </w:pPr>
            <w:r>
              <w:rPr>
                <w:rFonts w:eastAsia="Times New Roman"/>
                <w:b/>
                <w:bCs/>
                <w:color w:val="000000"/>
                <w:sz w:val="16"/>
                <w:szCs w:val="16"/>
              </w:rPr>
              <w:t>1,476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5BF859F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9FA74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4E12D21" w14:textId="77777777" w:rsidR="00000000" w:rsidRDefault="00405D16">
            <w:pPr>
              <w:spacing w:after="100"/>
              <w:jc w:val="right"/>
              <w:rPr>
                <w:rFonts w:eastAsia="Times New Roman"/>
              </w:rPr>
            </w:pPr>
            <w:r>
              <w:rPr>
                <w:rFonts w:eastAsia="Times New Roman"/>
                <w:color w:val="000000"/>
                <w:sz w:val="16"/>
                <w:szCs w:val="16"/>
              </w:rPr>
              <w:t>1,546 </w:t>
            </w:r>
          </w:p>
        </w:tc>
        <w:tc>
          <w:tcPr>
            <w:tcW w:w="0" w:type="auto"/>
            <w:shd w:val="clear" w:color="auto" w:fill="CCEEFF"/>
            <w:tcMar>
              <w:top w:w="30" w:type="dxa"/>
              <w:left w:w="0" w:type="dxa"/>
              <w:bottom w:w="30" w:type="dxa"/>
              <w:right w:w="20" w:type="dxa"/>
            </w:tcMar>
            <w:vAlign w:val="center"/>
            <w:hideMark/>
          </w:tcPr>
          <w:p w14:paraId="0D8D18C4" w14:textId="77777777" w:rsidR="00000000" w:rsidRDefault="00405D16">
            <w:pPr>
              <w:spacing w:after="100"/>
              <w:jc w:val="right"/>
              <w:rPr>
                <w:rFonts w:eastAsia="Times New Roman"/>
              </w:rPr>
            </w:pPr>
          </w:p>
        </w:tc>
        <w:tc>
          <w:tcPr>
            <w:tcW w:w="0" w:type="auto"/>
            <w:vAlign w:val="center"/>
            <w:hideMark/>
          </w:tcPr>
          <w:p w14:paraId="78FBDF81" w14:textId="77777777" w:rsidR="00000000" w:rsidRDefault="00405D16">
            <w:pPr>
              <w:spacing w:after="100"/>
              <w:jc w:val="right"/>
              <w:rPr>
                <w:rFonts w:eastAsia="Times New Roman"/>
                <w:sz w:val="20"/>
                <w:szCs w:val="20"/>
              </w:rPr>
            </w:pPr>
          </w:p>
        </w:tc>
        <w:tc>
          <w:tcPr>
            <w:tcW w:w="0" w:type="auto"/>
            <w:vAlign w:val="center"/>
            <w:hideMark/>
          </w:tcPr>
          <w:p w14:paraId="71BA62ED" w14:textId="77777777" w:rsidR="00000000" w:rsidRDefault="00405D16">
            <w:pPr>
              <w:spacing w:after="100"/>
              <w:rPr>
                <w:rFonts w:eastAsia="Times New Roman"/>
                <w:sz w:val="20"/>
                <w:szCs w:val="20"/>
              </w:rPr>
            </w:pPr>
          </w:p>
        </w:tc>
      </w:tr>
      <w:tr w:rsidR="00000000" w14:paraId="55540D0D" w14:textId="77777777">
        <w:trPr>
          <w:jc w:val="center"/>
        </w:trPr>
        <w:tc>
          <w:tcPr>
            <w:tcW w:w="0" w:type="auto"/>
            <w:gridSpan w:val="3"/>
            <w:shd w:val="clear" w:color="auto" w:fill="FFFFFF"/>
            <w:tcMar>
              <w:top w:w="30" w:type="dxa"/>
              <w:left w:w="245" w:type="dxa"/>
              <w:bottom w:w="30" w:type="dxa"/>
              <w:right w:w="20" w:type="dxa"/>
            </w:tcMar>
            <w:vAlign w:val="center"/>
            <w:hideMark/>
          </w:tcPr>
          <w:p w14:paraId="33B93972" w14:textId="77777777" w:rsidR="00000000" w:rsidRDefault="00405D16">
            <w:pPr>
              <w:spacing w:after="100"/>
              <w:rPr>
                <w:rFonts w:eastAsia="Times New Roman"/>
              </w:rPr>
            </w:pPr>
            <w:r>
              <w:rPr>
                <w:rFonts w:eastAsia="Times New Roman"/>
                <w:color w:val="000000"/>
                <w:sz w:val="16"/>
                <w:szCs w:val="16"/>
              </w:rPr>
              <w:t>Marketing</w:t>
            </w:r>
          </w:p>
        </w:tc>
        <w:tc>
          <w:tcPr>
            <w:tcW w:w="0" w:type="auto"/>
            <w:gridSpan w:val="3"/>
            <w:shd w:val="clear" w:color="auto" w:fill="FFFFFF"/>
            <w:tcMar>
              <w:top w:w="0" w:type="dxa"/>
              <w:left w:w="20" w:type="dxa"/>
              <w:bottom w:w="0" w:type="dxa"/>
              <w:right w:w="20" w:type="dxa"/>
            </w:tcMar>
            <w:vAlign w:val="center"/>
            <w:hideMark/>
          </w:tcPr>
          <w:p w14:paraId="63DD8934"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4E571F9" w14:textId="77777777" w:rsidR="00000000" w:rsidRDefault="00405D16">
            <w:pPr>
              <w:spacing w:after="100"/>
              <w:jc w:val="right"/>
              <w:rPr>
                <w:rFonts w:eastAsia="Times New Roman"/>
              </w:rPr>
            </w:pPr>
            <w:r>
              <w:rPr>
                <w:rFonts w:eastAsia="Times New Roman"/>
                <w:b/>
                <w:bCs/>
                <w:color w:val="000000"/>
                <w:sz w:val="16"/>
                <w:szCs w:val="16"/>
              </w:rPr>
              <w:t>751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31522E6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CA1FA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D2DDA8F" w14:textId="77777777" w:rsidR="00000000" w:rsidRDefault="00405D16">
            <w:pPr>
              <w:spacing w:after="100"/>
              <w:jc w:val="right"/>
              <w:rPr>
                <w:rFonts w:eastAsia="Times New Roman"/>
              </w:rPr>
            </w:pPr>
            <w:r>
              <w:rPr>
                <w:rFonts w:eastAsia="Times New Roman"/>
                <w:color w:val="000000"/>
                <w:sz w:val="16"/>
                <w:szCs w:val="16"/>
              </w:rPr>
              <w:t>283 </w:t>
            </w:r>
          </w:p>
        </w:tc>
        <w:tc>
          <w:tcPr>
            <w:tcW w:w="0" w:type="auto"/>
            <w:shd w:val="clear" w:color="auto" w:fill="FFFFFF"/>
            <w:tcMar>
              <w:top w:w="30" w:type="dxa"/>
              <w:left w:w="0" w:type="dxa"/>
              <w:bottom w:w="30" w:type="dxa"/>
              <w:right w:w="20" w:type="dxa"/>
            </w:tcMar>
            <w:vAlign w:val="center"/>
            <w:hideMark/>
          </w:tcPr>
          <w:p w14:paraId="232667F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6EEAD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133DC80" w14:textId="77777777" w:rsidR="00000000" w:rsidRDefault="00405D16">
            <w:pPr>
              <w:spacing w:after="100"/>
              <w:jc w:val="right"/>
              <w:rPr>
                <w:rFonts w:eastAsia="Times New Roman"/>
              </w:rPr>
            </w:pPr>
            <w:r>
              <w:rPr>
                <w:rFonts w:eastAsia="Times New Roman"/>
                <w:b/>
                <w:bCs/>
                <w:color w:val="000000"/>
                <w:sz w:val="16"/>
                <w:szCs w:val="16"/>
              </w:rPr>
              <w:t>1,872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5D9EDC4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75C8C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BA4D947" w14:textId="77777777" w:rsidR="00000000" w:rsidRDefault="00405D16">
            <w:pPr>
              <w:spacing w:after="100"/>
              <w:jc w:val="right"/>
              <w:rPr>
                <w:rFonts w:eastAsia="Times New Roman"/>
              </w:rPr>
            </w:pPr>
            <w:r>
              <w:rPr>
                <w:rFonts w:eastAsia="Times New Roman"/>
                <w:color w:val="000000"/>
                <w:sz w:val="16"/>
                <w:szCs w:val="16"/>
              </w:rPr>
              <w:t>1,047 </w:t>
            </w:r>
          </w:p>
        </w:tc>
        <w:tc>
          <w:tcPr>
            <w:tcW w:w="0" w:type="auto"/>
            <w:shd w:val="clear" w:color="auto" w:fill="FFFFFF"/>
            <w:tcMar>
              <w:top w:w="30" w:type="dxa"/>
              <w:left w:w="0" w:type="dxa"/>
              <w:bottom w:w="30" w:type="dxa"/>
              <w:right w:w="20" w:type="dxa"/>
            </w:tcMar>
            <w:vAlign w:val="center"/>
            <w:hideMark/>
          </w:tcPr>
          <w:p w14:paraId="2E306836" w14:textId="77777777" w:rsidR="00000000" w:rsidRDefault="00405D16">
            <w:pPr>
              <w:spacing w:after="100"/>
              <w:jc w:val="right"/>
              <w:rPr>
                <w:rFonts w:eastAsia="Times New Roman"/>
              </w:rPr>
            </w:pPr>
          </w:p>
        </w:tc>
        <w:tc>
          <w:tcPr>
            <w:tcW w:w="0" w:type="auto"/>
            <w:vAlign w:val="center"/>
            <w:hideMark/>
          </w:tcPr>
          <w:p w14:paraId="121ABD5B" w14:textId="77777777" w:rsidR="00000000" w:rsidRDefault="00405D16">
            <w:pPr>
              <w:spacing w:after="100"/>
              <w:jc w:val="right"/>
              <w:rPr>
                <w:rFonts w:eastAsia="Times New Roman"/>
                <w:sz w:val="20"/>
                <w:szCs w:val="20"/>
              </w:rPr>
            </w:pPr>
          </w:p>
        </w:tc>
        <w:tc>
          <w:tcPr>
            <w:tcW w:w="0" w:type="auto"/>
            <w:vAlign w:val="center"/>
            <w:hideMark/>
          </w:tcPr>
          <w:p w14:paraId="26DF0874" w14:textId="77777777" w:rsidR="00000000" w:rsidRDefault="00405D16">
            <w:pPr>
              <w:spacing w:after="100"/>
              <w:rPr>
                <w:rFonts w:eastAsia="Times New Roman"/>
                <w:sz w:val="20"/>
                <w:szCs w:val="20"/>
              </w:rPr>
            </w:pPr>
          </w:p>
        </w:tc>
      </w:tr>
      <w:tr w:rsidR="00000000" w14:paraId="732D9F85" w14:textId="77777777">
        <w:trPr>
          <w:jc w:val="center"/>
        </w:trPr>
        <w:tc>
          <w:tcPr>
            <w:tcW w:w="0" w:type="auto"/>
            <w:gridSpan w:val="3"/>
            <w:shd w:val="clear" w:color="auto" w:fill="CCEEFF"/>
            <w:tcMar>
              <w:top w:w="30" w:type="dxa"/>
              <w:left w:w="245" w:type="dxa"/>
              <w:bottom w:w="30" w:type="dxa"/>
              <w:right w:w="20" w:type="dxa"/>
            </w:tcMar>
            <w:vAlign w:val="center"/>
            <w:hideMark/>
          </w:tcPr>
          <w:p w14:paraId="14858D6F" w14:textId="77777777" w:rsidR="00000000" w:rsidRDefault="00405D16">
            <w:pPr>
              <w:spacing w:after="100"/>
              <w:rPr>
                <w:rFonts w:eastAsia="Times New Roman"/>
              </w:rPr>
            </w:pPr>
            <w:r>
              <w:rPr>
                <w:rFonts w:eastAsia="Times New Roman"/>
                <w:color w:val="000000"/>
                <w:sz w:val="16"/>
                <w:szCs w:val="16"/>
              </w:rPr>
              <w:t>Professional services</w:t>
            </w:r>
          </w:p>
        </w:tc>
        <w:tc>
          <w:tcPr>
            <w:tcW w:w="0" w:type="auto"/>
            <w:gridSpan w:val="3"/>
            <w:shd w:val="clear" w:color="auto" w:fill="CCEEFF"/>
            <w:tcMar>
              <w:top w:w="0" w:type="dxa"/>
              <w:left w:w="20" w:type="dxa"/>
              <w:bottom w:w="0" w:type="dxa"/>
              <w:right w:w="20" w:type="dxa"/>
            </w:tcMar>
            <w:vAlign w:val="center"/>
            <w:hideMark/>
          </w:tcPr>
          <w:p w14:paraId="628F8967"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7972975" w14:textId="77777777" w:rsidR="00000000" w:rsidRDefault="00405D16">
            <w:pPr>
              <w:spacing w:after="100"/>
              <w:jc w:val="right"/>
              <w:rPr>
                <w:rFonts w:eastAsia="Times New Roman"/>
              </w:rPr>
            </w:pPr>
            <w:r>
              <w:rPr>
                <w:rFonts w:eastAsia="Times New Roman"/>
                <w:b/>
                <w:bCs/>
                <w:color w:val="000000"/>
                <w:sz w:val="16"/>
                <w:szCs w:val="16"/>
              </w:rPr>
              <w:t>358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3D1E3CB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0B9F0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4DFCC7E" w14:textId="77777777" w:rsidR="00000000" w:rsidRDefault="00405D16">
            <w:pPr>
              <w:spacing w:after="100"/>
              <w:jc w:val="right"/>
              <w:rPr>
                <w:rFonts w:eastAsia="Times New Roman"/>
              </w:rPr>
            </w:pPr>
            <w:r>
              <w:rPr>
                <w:rFonts w:eastAsia="Times New Roman"/>
                <w:color w:val="000000"/>
                <w:sz w:val="16"/>
                <w:szCs w:val="16"/>
              </w:rPr>
              <w:t>327 </w:t>
            </w:r>
          </w:p>
        </w:tc>
        <w:tc>
          <w:tcPr>
            <w:tcW w:w="0" w:type="auto"/>
            <w:shd w:val="clear" w:color="auto" w:fill="CCEEFF"/>
            <w:tcMar>
              <w:top w:w="30" w:type="dxa"/>
              <w:left w:w="0" w:type="dxa"/>
              <w:bottom w:w="30" w:type="dxa"/>
              <w:right w:w="20" w:type="dxa"/>
            </w:tcMar>
            <w:vAlign w:val="center"/>
            <w:hideMark/>
          </w:tcPr>
          <w:p w14:paraId="48B4E38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897F4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BE54480" w14:textId="77777777" w:rsidR="00000000" w:rsidRDefault="00405D16">
            <w:pPr>
              <w:spacing w:after="100"/>
              <w:jc w:val="right"/>
              <w:rPr>
                <w:rFonts w:eastAsia="Times New Roman"/>
              </w:rPr>
            </w:pPr>
            <w:r>
              <w:rPr>
                <w:rFonts w:eastAsia="Times New Roman"/>
                <w:b/>
                <w:bCs/>
                <w:color w:val="000000"/>
                <w:sz w:val="16"/>
                <w:szCs w:val="16"/>
              </w:rPr>
              <w:t>991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0581BDB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56E4F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99A1A36" w14:textId="77777777" w:rsidR="00000000" w:rsidRDefault="00405D16">
            <w:pPr>
              <w:spacing w:after="100"/>
              <w:jc w:val="right"/>
              <w:rPr>
                <w:rFonts w:eastAsia="Times New Roman"/>
              </w:rPr>
            </w:pPr>
            <w:r>
              <w:rPr>
                <w:rFonts w:eastAsia="Times New Roman"/>
                <w:color w:val="000000"/>
                <w:sz w:val="16"/>
                <w:szCs w:val="16"/>
              </w:rPr>
              <w:t>918 </w:t>
            </w:r>
          </w:p>
        </w:tc>
        <w:tc>
          <w:tcPr>
            <w:tcW w:w="0" w:type="auto"/>
            <w:shd w:val="clear" w:color="auto" w:fill="CCEEFF"/>
            <w:tcMar>
              <w:top w:w="30" w:type="dxa"/>
              <w:left w:w="0" w:type="dxa"/>
              <w:bottom w:w="30" w:type="dxa"/>
              <w:right w:w="20" w:type="dxa"/>
            </w:tcMar>
            <w:vAlign w:val="center"/>
            <w:hideMark/>
          </w:tcPr>
          <w:p w14:paraId="57EC84F3" w14:textId="77777777" w:rsidR="00000000" w:rsidRDefault="00405D16">
            <w:pPr>
              <w:spacing w:after="100"/>
              <w:jc w:val="right"/>
              <w:rPr>
                <w:rFonts w:eastAsia="Times New Roman"/>
              </w:rPr>
            </w:pPr>
          </w:p>
        </w:tc>
        <w:tc>
          <w:tcPr>
            <w:tcW w:w="0" w:type="auto"/>
            <w:vAlign w:val="center"/>
            <w:hideMark/>
          </w:tcPr>
          <w:p w14:paraId="27B5375E" w14:textId="77777777" w:rsidR="00000000" w:rsidRDefault="00405D16">
            <w:pPr>
              <w:spacing w:after="100"/>
              <w:jc w:val="right"/>
              <w:rPr>
                <w:rFonts w:eastAsia="Times New Roman"/>
                <w:sz w:val="20"/>
                <w:szCs w:val="20"/>
              </w:rPr>
            </w:pPr>
          </w:p>
        </w:tc>
        <w:tc>
          <w:tcPr>
            <w:tcW w:w="0" w:type="auto"/>
            <w:vAlign w:val="center"/>
            <w:hideMark/>
          </w:tcPr>
          <w:p w14:paraId="6E19E9DC" w14:textId="77777777" w:rsidR="00000000" w:rsidRDefault="00405D16">
            <w:pPr>
              <w:spacing w:after="100"/>
              <w:rPr>
                <w:rFonts w:eastAsia="Times New Roman"/>
                <w:sz w:val="20"/>
                <w:szCs w:val="20"/>
              </w:rPr>
            </w:pPr>
          </w:p>
        </w:tc>
      </w:tr>
      <w:tr w:rsidR="00000000" w14:paraId="712BC330" w14:textId="77777777">
        <w:trPr>
          <w:jc w:val="center"/>
        </w:trPr>
        <w:tc>
          <w:tcPr>
            <w:tcW w:w="0" w:type="auto"/>
            <w:gridSpan w:val="3"/>
            <w:shd w:val="clear" w:color="auto" w:fill="FFFFFF"/>
            <w:tcMar>
              <w:top w:w="30" w:type="dxa"/>
              <w:left w:w="245" w:type="dxa"/>
              <w:bottom w:w="30" w:type="dxa"/>
              <w:right w:w="20" w:type="dxa"/>
            </w:tcMar>
            <w:vAlign w:val="center"/>
            <w:hideMark/>
          </w:tcPr>
          <w:p w14:paraId="384DA23C" w14:textId="77777777" w:rsidR="00000000" w:rsidRDefault="00405D16">
            <w:pPr>
              <w:spacing w:after="100"/>
              <w:rPr>
                <w:rFonts w:eastAsia="Times New Roman"/>
              </w:rPr>
            </w:pPr>
            <w:r>
              <w:rPr>
                <w:rFonts w:eastAsia="Times New Roman"/>
                <w:color w:val="000000"/>
                <w:sz w:val="16"/>
                <w:szCs w:val="16"/>
              </w:rPr>
              <w:t>Communications and data processing</w:t>
            </w:r>
          </w:p>
        </w:tc>
        <w:tc>
          <w:tcPr>
            <w:tcW w:w="0" w:type="auto"/>
            <w:gridSpan w:val="3"/>
            <w:shd w:val="clear" w:color="auto" w:fill="FFFFFF"/>
            <w:tcMar>
              <w:top w:w="0" w:type="dxa"/>
              <w:left w:w="20" w:type="dxa"/>
              <w:bottom w:w="0" w:type="dxa"/>
              <w:right w:w="20" w:type="dxa"/>
            </w:tcMar>
            <w:vAlign w:val="center"/>
            <w:hideMark/>
          </w:tcPr>
          <w:p w14:paraId="1555A773"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2059D7A" w14:textId="77777777" w:rsidR="00000000" w:rsidRDefault="00405D16">
            <w:pPr>
              <w:spacing w:after="100"/>
              <w:jc w:val="right"/>
              <w:rPr>
                <w:rFonts w:eastAsia="Times New Roman"/>
              </w:rPr>
            </w:pPr>
            <w:r>
              <w:rPr>
                <w:rFonts w:eastAsia="Times New Roman"/>
                <w:b/>
                <w:bCs/>
                <w:color w:val="000000"/>
                <w:sz w:val="16"/>
                <w:szCs w:val="16"/>
              </w:rPr>
              <w:t>319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7C771BB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6F703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E307F97" w14:textId="77777777" w:rsidR="00000000" w:rsidRDefault="00405D16">
            <w:pPr>
              <w:spacing w:after="100"/>
              <w:jc w:val="right"/>
              <w:rPr>
                <w:rFonts w:eastAsia="Times New Roman"/>
              </w:rPr>
            </w:pPr>
            <w:r>
              <w:rPr>
                <w:rFonts w:eastAsia="Times New Roman"/>
                <w:color w:val="000000"/>
                <w:sz w:val="16"/>
                <w:szCs w:val="16"/>
              </w:rPr>
              <w:t>310 </w:t>
            </w:r>
          </w:p>
        </w:tc>
        <w:tc>
          <w:tcPr>
            <w:tcW w:w="0" w:type="auto"/>
            <w:shd w:val="clear" w:color="auto" w:fill="FFFFFF"/>
            <w:tcMar>
              <w:top w:w="30" w:type="dxa"/>
              <w:left w:w="0" w:type="dxa"/>
              <w:bottom w:w="30" w:type="dxa"/>
              <w:right w:w="20" w:type="dxa"/>
            </w:tcMar>
            <w:vAlign w:val="center"/>
            <w:hideMark/>
          </w:tcPr>
          <w:p w14:paraId="359B91A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2EC79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9ACFB73" w14:textId="77777777" w:rsidR="00000000" w:rsidRDefault="00405D16">
            <w:pPr>
              <w:spacing w:after="100"/>
              <w:jc w:val="right"/>
              <w:rPr>
                <w:rFonts w:eastAsia="Times New Roman"/>
              </w:rPr>
            </w:pPr>
            <w:r>
              <w:rPr>
                <w:rFonts w:eastAsia="Times New Roman"/>
                <w:b/>
                <w:bCs/>
                <w:color w:val="000000"/>
                <w:sz w:val="16"/>
                <w:szCs w:val="16"/>
              </w:rPr>
              <w:t>936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1C3738B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8727A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5084E51" w14:textId="77777777" w:rsidR="00000000" w:rsidRDefault="00405D16">
            <w:pPr>
              <w:spacing w:after="100"/>
              <w:jc w:val="right"/>
              <w:rPr>
                <w:rFonts w:eastAsia="Times New Roman"/>
              </w:rPr>
            </w:pPr>
            <w:r>
              <w:rPr>
                <w:rFonts w:eastAsia="Times New Roman"/>
                <w:color w:val="000000"/>
                <w:sz w:val="16"/>
                <w:szCs w:val="16"/>
              </w:rPr>
              <w:t>920 </w:t>
            </w:r>
          </w:p>
        </w:tc>
        <w:tc>
          <w:tcPr>
            <w:tcW w:w="0" w:type="auto"/>
            <w:shd w:val="clear" w:color="auto" w:fill="FFFFFF"/>
            <w:tcMar>
              <w:top w:w="30" w:type="dxa"/>
              <w:left w:w="0" w:type="dxa"/>
              <w:bottom w:w="30" w:type="dxa"/>
              <w:right w:w="20" w:type="dxa"/>
            </w:tcMar>
            <w:vAlign w:val="center"/>
            <w:hideMark/>
          </w:tcPr>
          <w:p w14:paraId="7AB13271" w14:textId="77777777" w:rsidR="00000000" w:rsidRDefault="00405D16">
            <w:pPr>
              <w:spacing w:after="100"/>
              <w:jc w:val="right"/>
              <w:rPr>
                <w:rFonts w:eastAsia="Times New Roman"/>
              </w:rPr>
            </w:pPr>
          </w:p>
        </w:tc>
        <w:tc>
          <w:tcPr>
            <w:tcW w:w="0" w:type="auto"/>
            <w:vAlign w:val="center"/>
            <w:hideMark/>
          </w:tcPr>
          <w:p w14:paraId="7AE92204" w14:textId="77777777" w:rsidR="00000000" w:rsidRDefault="00405D16">
            <w:pPr>
              <w:spacing w:after="100"/>
              <w:jc w:val="right"/>
              <w:rPr>
                <w:rFonts w:eastAsia="Times New Roman"/>
                <w:sz w:val="20"/>
                <w:szCs w:val="20"/>
              </w:rPr>
            </w:pPr>
          </w:p>
        </w:tc>
        <w:tc>
          <w:tcPr>
            <w:tcW w:w="0" w:type="auto"/>
            <w:vAlign w:val="center"/>
            <w:hideMark/>
          </w:tcPr>
          <w:p w14:paraId="5CCAF527" w14:textId="77777777" w:rsidR="00000000" w:rsidRDefault="00405D16">
            <w:pPr>
              <w:spacing w:after="100"/>
              <w:rPr>
                <w:rFonts w:eastAsia="Times New Roman"/>
                <w:sz w:val="20"/>
                <w:szCs w:val="20"/>
              </w:rPr>
            </w:pPr>
          </w:p>
        </w:tc>
      </w:tr>
      <w:tr w:rsidR="00000000" w14:paraId="4C309D9E" w14:textId="77777777">
        <w:trPr>
          <w:jc w:val="center"/>
        </w:trPr>
        <w:tc>
          <w:tcPr>
            <w:tcW w:w="0" w:type="auto"/>
            <w:gridSpan w:val="3"/>
            <w:shd w:val="clear" w:color="auto" w:fill="CCEEFF"/>
            <w:tcMar>
              <w:top w:w="30" w:type="dxa"/>
              <w:left w:w="245" w:type="dxa"/>
              <w:bottom w:w="30" w:type="dxa"/>
              <w:right w:w="20" w:type="dxa"/>
            </w:tcMar>
            <w:vAlign w:val="center"/>
            <w:hideMark/>
          </w:tcPr>
          <w:p w14:paraId="36EC0977" w14:textId="77777777" w:rsidR="00000000" w:rsidRDefault="00405D16">
            <w:pPr>
              <w:spacing w:after="100"/>
              <w:rPr>
                <w:rFonts w:eastAsia="Times New Roman"/>
              </w:rPr>
            </w:pPr>
            <w:r>
              <w:rPr>
                <w:rFonts w:eastAsia="Times New Roman"/>
                <w:color w:val="000000"/>
                <w:sz w:val="16"/>
                <w:szCs w:val="16"/>
              </w:rPr>
              <w:t>Amortization of intangibles</w:t>
            </w:r>
          </w:p>
        </w:tc>
        <w:tc>
          <w:tcPr>
            <w:tcW w:w="0" w:type="auto"/>
            <w:gridSpan w:val="3"/>
            <w:shd w:val="clear" w:color="auto" w:fill="CCEEFF"/>
            <w:tcMar>
              <w:top w:w="0" w:type="dxa"/>
              <w:left w:w="20" w:type="dxa"/>
              <w:bottom w:w="0" w:type="dxa"/>
              <w:right w:w="20" w:type="dxa"/>
            </w:tcMar>
            <w:vAlign w:val="center"/>
            <w:hideMark/>
          </w:tcPr>
          <w:p w14:paraId="1833EBFB"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AF0B62E" w14:textId="77777777" w:rsidR="00000000" w:rsidRDefault="00405D16">
            <w:pPr>
              <w:spacing w:after="100"/>
              <w:jc w:val="right"/>
              <w:rPr>
                <w:rFonts w:eastAsia="Times New Roman"/>
              </w:rPr>
            </w:pPr>
            <w:r>
              <w:rPr>
                <w:rFonts w:eastAsia="Times New Roman"/>
                <w:b/>
                <w:bCs/>
                <w:color w:val="000000"/>
                <w:sz w:val="16"/>
                <w:szCs w:val="16"/>
              </w:rPr>
              <w:t>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1F89CCD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833A0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956F38B" w14:textId="77777777" w:rsidR="00000000" w:rsidRDefault="00405D16">
            <w:pPr>
              <w:spacing w:after="100"/>
              <w:jc w:val="right"/>
              <w:rPr>
                <w:rFonts w:eastAsia="Times New Roman"/>
              </w:rPr>
            </w:pPr>
            <w:r>
              <w:rPr>
                <w:rFonts w:eastAsia="Times New Roman"/>
                <w:color w:val="000000"/>
                <w:sz w:val="16"/>
                <w:szCs w:val="16"/>
              </w:rPr>
              <w:t>14 </w:t>
            </w:r>
          </w:p>
        </w:tc>
        <w:tc>
          <w:tcPr>
            <w:tcW w:w="0" w:type="auto"/>
            <w:shd w:val="clear" w:color="auto" w:fill="CCEEFF"/>
            <w:tcMar>
              <w:top w:w="30" w:type="dxa"/>
              <w:left w:w="0" w:type="dxa"/>
              <w:bottom w:w="30" w:type="dxa"/>
              <w:right w:w="20" w:type="dxa"/>
            </w:tcMar>
            <w:vAlign w:val="center"/>
            <w:hideMark/>
          </w:tcPr>
          <w:p w14:paraId="57C9E7C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CD6D5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EE7CD31" w14:textId="77777777" w:rsidR="00000000" w:rsidRDefault="00405D16">
            <w:pPr>
              <w:spacing w:after="100"/>
              <w:jc w:val="right"/>
              <w:rPr>
                <w:rFonts w:eastAsia="Times New Roman"/>
              </w:rPr>
            </w:pPr>
            <w:r>
              <w:rPr>
                <w:rFonts w:eastAsia="Times New Roman"/>
                <w:b/>
                <w:bCs/>
                <w:color w:val="000000"/>
                <w:sz w:val="16"/>
                <w:szCs w:val="16"/>
              </w:rPr>
              <w:t>16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3DB7819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F2EE1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9A5EF8E" w14:textId="77777777" w:rsidR="00000000" w:rsidRDefault="00405D16">
            <w:pPr>
              <w:spacing w:after="100"/>
              <w:jc w:val="right"/>
              <w:rPr>
                <w:rFonts w:eastAsia="Times New Roman"/>
              </w:rPr>
            </w:pPr>
            <w:r>
              <w:rPr>
                <w:rFonts w:eastAsia="Times New Roman"/>
                <w:color w:val="000000"/>
                <w:sz w:val="16"/>
                <w:szCs w:val="16"/>
              </w:rPr>
              <w:t>52 </w:t>
            </w:r>
          </w:p>
        </w:tc>
        <w:tc>
          <w:tcPr>
            <w:tcW w:w="0" w:type="auto"/>
            <w:shd w:val="clear" w:color="auto" w:fill="CCEEFF"/>
            <w:tcMar>
              <w:top w:w="30" w:type="dxa"/>
              <w:left w:w="0" w:type="dxa"/>
              <w:bottom w:w="30" w:type="dxa"/>
              <w:right w:w="20" w:type="dxa"/>
            </w:tcMar>
            <w:vAlign w:val="center"/>
            <w:hideMark/>
          </w:tcPr>
          <w:p w14:paraId="4DE401B0" w14:textId="77777777" w:rsidR="00000000" w:rsidRDefault="00405D16">
            <w:pPr>
              <w:spacing w:after="100"/>
              <w:jc w:val="right"/>
              <w:rPr>
                <w:rFonts w:eastAsia="Times New Roman"/>
              </w:rPr>
            </w:pPr>
          </w:p>
        </w:tc>
        <w:tc>
          <w:tcPr>
            <w:tcW w:w="0" w:type="auto"/>
            <w:vAlign w:val="center"/>
            <w:hideMark/>
          </w:tcPr>
          <w:p w14:paraId="3F219461" w14:textId="77777777" w:rsidR="00000000" w:rsidRDefault="00405D16">
            <w:pPr>
              <w:spacing w:after="100"/>
              <w:jc w:val="right"/>
              <w:rPr>
                <w:rFonts w:eastAsia="Times New Roman"/>
                <w:sz w:val="20"/>
                <w:szCs w:val="20"/>
              </w:rPr>
            </w:pPr>
          </w:p>
        </w:tc>
        <w:tc>
          <w:tcPr>
            <w:tcW w:w="0" w:type="auto"/>
            <w:vAlign w:val="center"/>
            <w:hideMark/>
          </w:tcPr>
          <w:p w14:paraId="0646261B" w14:textId="77777777" w:rsidR="00000000" w:rsidRDefault="00405D16">
            <w:pPr>
              <w:spacing w:after="100"/>
              <w:rPr>
                <w:rFonts w:eastAsia="Times New Roman"/>
                <w:sz w:val="20"/>
                <w:szCs w:val="20"/>
              </w:rPr>
            </w:pPr>
          </w:p>
        </w:tc>
      </w:tr>
      <w:tr w:rsidR="00000000" w14:paraId="5FBD2233" w14:textId="77777777">
        <w:trPr>
          <w:jc w:val="center"/>
        </w:trPr>
        <w:tc>
          <w:tcPr>
            <w:tcW w:w="0" w:type="auto"/>
            <w:gridSpan w:val="3"/>
            <w:shd w:val="clear" w:color="auto" w:fill="FFFFFF"/>
            <w:tcMar>
              <w:top w:w="30" w:type="dxa"/>
              <w:left w:w="245" w:type="dxa"/>
              <w:bottom w:w="30" w:type="dxa"/>
              <w:right w:w="20" w:type="dxa"/>
            </w:tcMar>
            <w:vAlign w:val="center"/>
            <w:hideMark/>
          </w:tcPr>
          <w:p w14:paraId="001B9F01" w14:textId="77777777" w:rsidR="00000000" w:rsidRDefault="00405D16">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14:paraId="3EAF8C5B"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FA8523A" w14:textId="77777777" w:rsidR="00000000" w:rsidRDefault="00405D16">
            <w:pPr>
              <w:spacing w:after="100"/>
              <w:jc w:val="right"/>
              <w:rPr>
                <w:rFonts w:eastAsia="Times New Roman"/>
              </w:rPr>
            </w:pPr>
            <w:r>
              <w:rPr>
                <w:rFonts w:eastAsia="Times New Roman"/>
                <w:b/>
                <w:bCs/>
                <w:color w:val="000000"/>
                <w:sz w:val="16"/>
                <w:szCs w:val="16"/>
              </w:rPr>
              <w:t>420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27677B2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EB3E6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6C710ED" w14:textId="77777777" w:rsidR="00000000" w:rsidRDefault="00405D16">
            <w:pPr>
              <w:spacing w:after="100"/>
              <w:jc w:val="right"/>
              <w:rPr>
                <w:rFonts w:eastAsia="Times New Roman"/>
              </w:rPr>
            </w:pPr>
            <w:r>
              <w:rPr>
                <w:rFonts w:eastAsia="Times New Roman"/>
                <w:color w:val="000000"/>
                <w:sz w:val="16"/>
                <w:szCs w:val="16"/>
              </w:rPr>
              <w:t>389 </w:t>
            </w:r>
          </w:p>
        </w:tc>
        <w:tc>
          <w:tcPr>
            <w:tcW w:w="0" w:type="auto"/>
            <w:shd w:val="clear" w:color="auto" w:fill="FFFFFF"/>
            <w:tcMar>
              <w:top w:w="30" w:type="dxa"/>
              <w:left w:w="0" w:type="dxa"/>
              <w:bottom w:w="30" w:type="dxa"/>
              <w:right w:w="20" w:type="dxa"/>
            </w:tcMar>
            <w:vAlign w:val="center"/>
            <w:hideMark/>
          </w:tcPr>
          <w:p w14:paraId="3DE11D7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33BE5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C18CE5D" w14:textId="77777777" w:rsidR="00000000" w:rsidRDefault="00405D16">
            <w:pPr>
              <w:spacing w:after="100"/>
              <w:jc w:val="right"/>
              <w:rPr>
                <w:rFonts w:eastAsia="Times New Roman"/>
              </w:rPr>
            </w:pPr>
            <w:r>
              <w:rPr>
                <w:rFonts w:eastAsia="Times New Roman"/>
                <w:b/>
                <w:bCs/>
                <w:color w:val="000000"/>
                <w:sz w:val="16"/>
                <w:szCs w:val="16"/>
              </w:rPr>
              <w:t>1,121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3EB1B4A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6D58D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7F623F1" w14:textId="77777777" w:rsidR="00000000" w:rsidRDefault="00405D16">
            <w:pPr>
              <w:spacing w:after="100"/>
              <w:jc w:val="right"/>
              <w:rPr>
                <w:rFonts w:eastAsia="Times New Roman"/>
              </w:rPr>
            </w:pPr>
            <w:r>
              <w:rPr>
                <w:rFonts w:eastAsia="Times New Roman"/>
                <w:color w:val="000000"/>
                <w:sz w:val="16"/>
                <w:szCs w:val="16"/>
              </w:rPr>
              <w:t>1,514 </w:t>
            </w:r>
          </w:p>
        </w:tc>
        <w:tc>
          <w:tcPr>
            <w:tcW w:w="0" w:type="auto"/>
            <w:shd w:val="clear" w:color="auto" w:fill="FFFFFF"/>
            <w:tcMar>
              <w:top w:w="30" w:type="dxa"/>
              <w:left w:w="0" w:type="dxa"/>
              <w:bottom w:w="30" w:type="dxa"/>
              <w:right w:w="20" w:type="dxa"/>
            </w:tcMar>
            <w:vAlign w:val="center"/>
            <w:hideMark/>
          </w:tcPr>
          <w:p w14:paraId="38CDCDB6" w14:textId="77777777" w:rsidR="00000000" w:rsidRDefault="00405D16">
            <w:pPr>
              <w:spacing w:after="100"/>
              <w:jc w:val="right"/>
              <w:rPr>
                <w:rFonts w:eastAsia="Times New Roman"/>
              </w:rPr>
            </w:pPr>
          </w:p>
        </w:tc>
        <w:tc>
          <w:tcPr>
            <w:tcW w:w="0" w:type="auto"/>
            <w:vAlign w:val="center"/>
            <w:hideMark/>
          </w:tcPr>
          <w:p w14:paraId="4A598E04" w14:textId="77777777" w:rsidR="00000000" w:rsidRDefault="00405D16">
            <w:pPr>
              <w:spacing w:after="100"/>
              <w:jc w:val="right"/>
              <w:rPr>
                <w:rFonts w:eastAsia="Times New Roman"/>
                <w:sz w:val="20"/>
                <w:szCs w:val="20"/>
              </w:rPr>
            </w:pPr>
          </w:p>
        </w:tc>
        <w:tc>
          <w:tcPr>
            <w:tcW w:w="0" w:type="auto"/>
            <w:vAlign w:val="center"/>
            <w:hideMark/>
          </w:tcPr>
          <w:p w14:paraId="68AA138E" w14:textId="77777777" w:rsidR="00000000" w:rsidRDefault="00405D16">
            <w:pPr>
              <w:spacing w:after="100"/>
              <w:rPr>
                <w:rFonts w:eastAsia="Times New Roman"/>
                <w:sz w:val="20"/>
                <w:szCs w:val="20"/>
              </w:rPr>
            </w:pPr>
          </w:p>
        </w:tc>
      </w:tr>
      <w:tr w:rsidR="00000000" w14:paraId="469FDB4A" w14:textId="77777777">
        <w:trPr>
          <w:jc w:val="center"/>
        </w:trPr>
        <w:tc>
          <w:tcPr>
            <w:tcW w:w="0" w:type="auto"/>
            <w:gridSpan w:val="3"/>
            <w:shd w:val="clear" w:color="auto" w:fill="CCEEFF"/>
            <w:tcMar>
              <w:top w:w="30" w:type="dxa"/>
              <w:left w:w="20" w:type="dxa"/>
              <w:bottom w:w="30" w:type="dxa"/>
              <w:right w:w="20" w:type="dxa"/>
            </w:tcMar>
            <w:vAlign w:val="center"/>
            <w:hideMark/>
          </w:tcPr>
          <w:p w14:paraId="75D5E2C7" w14:textId="77777777" w:rsidR="00000000" w:rsidRDefault="00405D16">
            <w:pPr>
              <w:spacing w:after="100"/>
              <w:rPr>
                <w:rFonts w:eastAsia="Times New Roman"/>
              </w:rPr>
            </w:pPr>
            <w:r>
              <w:rPr>
                <w:rFonts w:eastAsia="Times New Roman"/>
                <w:color w:val="000000"/>
                <w:sz w:val="16"/>
                <w:szCs w:val="16"/>
              </w:rPr>
              <w:t>Total non-interest expense</w:t>
            </w:r>
          </w:p>
        </w:tc>
        <w:tc>
          <w:tcPr>
            <w:tcW w:w="0" w:type="auto"/>
            <w:gridSpan w:val="3"/>
            <w:shd w:val="clear" w:color="auto" w:fill="CCEEFF"/>
            <w:tcMar>
              <w:top w:w="0" w:type="dxa"/>
              <w:left w:w="20" w:type="dxa"/>
              <w:bottom w:w="0" w:type="dxa"/>
              <w:right w:w="20" w:type="dxa"/>
            </w:tcMar>
            <w:vAlign w:val="center"/>
            <w:hideMark/>
          </w:tcPr>
          <w:p w14:paraId="2969EDD8"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FD6538E" w14:textId="77777777" w:rsidR="00000000" w:rsidRDefault="00405D16">
            <w:pPr>
              <w:spacing w:after="100"/>
              <w:jc w:val="right"/>
              <w:rPr>
                <w:rFonts w:eastAsia="Times New Roman"/>
              </w:rPr>
            </w:pPr>
            <w:r>
              <w:rPr>
                <w:rFonts w:eastAsia="Times New Roman"/>
                <w:b/>
                <w:bCs/>
                <w:color w:val="000000"/>
                <w:sz w:val="16"/>
                <w:szCs w:val="16"/>
              </w:rPr>
              <w:t>4,186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C50517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531F9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FF0F03A" w14:textId="77777777" w:rsidR="00000000" w:rsidRDefault="00405D16">
            <w:pPr>
              <w:spacing w:after="100"/>
              <w:jc w:val="right"/>
              <w:rPr>
                <w:rFonts w:eastAsia="Times New Roman"/>
              </w:rPr>
            </w:pPr>
            <w:r>
              <w:rPr>
                <w:rFonts w:eastAsia="Times New Roman"/>
                <w:color w:val="000000"/>
                <w:sz w:val="16"/>
                <w:szCs w:val="16"/>
              </w:rPr>
              <w:t>3,548 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93CB66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2ED61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4D78161" w14:textId="77777777" w:rsidR="00000000" w:rsidRDefault="00405D16">
            <w:pPr>
              <w:spacing w:after="100"/>
              <w:jc w:val="right"/>
              <w:rPr>
                <w:rFonts w:eastAsia="Times New Roman"/>
              </w:rPr>
            </w:pPr>
            <w:r>
              <w:rPr>
                <w:rFonts w:eastAsia="Times New Roman"/>
                <w:b/>
                <w:bCs/>
                <w:color w:val="000000"/>
                <w:sz w:val="16"/>
                <w:szCs w:val="16"/>
              </w:rPr>
              <w:t>11,892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A8B1DF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0A2BC8"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F3E6C67" w14:textId="77777777" w:rsidR="00000000" w:rsidRDefault="00405D16">
            <w:pPr>
              <w:spacing w:after="100"/>
              <w:jc w:val="right"/>
              <w:rPr>
                <w:rFonts w:eastAsia="Times New Roman"/>
              </w:rPr>
            </w:pPr>
            <w:r>
              <w:rPr>
                <w:rFonts w:eastAsia="Times New Roman"/>
                <w:color w:val="000000"/>
                <w:sz w:val="16"/>
                <w:szCs w:val="16"/>
              </w:rPr>
              <w:t>11,047 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8D16F9A" w14:textId="77777777" w:rsidR="00000000" w:rsidRDefault="00405D16">
            <w:pPr>
              <w:spacing w:after="100"/>
              <w:jc w:val="right"/>
              <w:rPr>
                <w:rFonts w:eastAsia="Times New Roman"/>
              </w:rPr>
            </w:pPr>
          </w:p>
        </w:tc>
        <w:tc>
          <w:tcPr>
            <w:tcW w:w="0" w:type="auto"/>
            <w:vAlign w:val="center"/>
            <w:hideMark/>
          </w:tcPr>
          <w:p w14:paraId="45B34C06" w14:textId="77777777" w:rsidR="00000000" w:rsidRDefault="00405D16">
            <w:pPr>
              <w:spacing w:after="100"/>
              <w:jc w:val="right"/>
              <w:rPr>
                <w:rFonts w:eastAsia="Times New Roman"/>
                <w:sz w:val="20"/>
                <w:szCs w:val="20"/>
              </w:rPr>
            </w:pPr>
          </w:p>
        </w:tc>
        <w:tc>
          <w:tcPr>
            <w:tcW w:w="0" w:type="auto"/>
            <w:vAlign w:val="center"/>
            <w:hideMark/>
          </w:tcPr>
          <w:p w14:paraId="0A785D4C" w14:textId="77777777" w:rsidR="00000000" w:rsidRDefault="00405D16">
            <w:pPr>
              <w:spacing w:after="100"/>
              <w:rPr>
                <w:rFonts w:eastAsia="Times New Roman"/>
                <w:sz w:val="20"/>
                <w:szCs w:val="20"/>
              </w:rPr>
            </w:pPr>
          </w:p>
        </w:tc>
      </w:tr>
      <w:tr w:rsidR="00000000" w14:paraId="298A0633" w14:textId="77777777">
        <w:trPr>
          <w:jc w:val="center"/>
        </w:trPr>
        <w:tc>
          <w:tcPr>
            <w:tcW w:w="0" w:type="auto"/>
            <w:gridSpan w:val="3"/>
            <w:shd w:val="clear" w:color="auto" w:fill="FFFFFF"/>
            <w:tcMar>
              <w:top w:w="30" w:type="dxa"/>
              <w:left w:w="20" w:type="dxa"/>
              <w:bottom w:w="30" w:type="dxa"/>
              <w:right w:w="20" w:type="dxa"/>
            </w:tcMar>
            <w:vAlign w:val="center"/>
            <w:hideMark/>
          </w:tcPr>
          <w:p w14:paraId="7DAC85F0" w14:textId="77777777" w:rsidR="00000000" w:rsidRDefault="00405D16">
            <w:pPr>
              <w:spacing w:after="100"/>
              <w:rPr>
                <w:rFonts w:eastAsia="Times New Roman"/>
              </w:rPr>
            </w:pPr>
            <w:r>
              <w:rPr>
                <w:rFonts w:eastAsia="Times New Roman"/>
                <w:color w:val="000000"/>
                <w:sz w:val="16"/>
                <w:szCs w:val="16"/>
              </w:rPr>
              <w:t>Income from continuing operations before income taxes</w:t>
            </w:r>
          </w:p>
        </w:tc>
        <w:tc>
          <w:tcPr>
            <w:tcW w:w="0" w:type="auto"/>
            <w:gridSpan w:val="3"/>
            <w:shd w:val="clear" w:color="auto" w:fill="FFFFFF"/>
            <w:tcMar>
              <w:top w:w="0" w:type="dxa"/>
              <w:left w:w="20" w:type="dxa"/>
              <w:bottom w:w="0" w:type="dxa"/>
              <w:right w:w="20" w:type="dxa"/>
            </w:tcMar>
            <w:vAlign w:val="center"/>
            <w:hideMark/>
          </w:tcPr>
          <w:p w14:paraId="5E9B4325"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56BBF22" w14:textId="77777777" w:rsidR="00000000" w:rsidRDefault="00405D16">
            <w:pPr>
              <w:spacing w:after="100"/>
              <w:jc w:val="right"/>
              <w:rPr>
                <w:rFonts w:eastAsia="Times New Roman"/>
              </w:rPr>
            </w:pPr>
            <w:r>
              <w:rPr>
                <w:rFonts w:eastAsia="Times New Roman"/>
                <w:b/>
                <w:bCs/>
                <w:color w:val="000000"/>
                <w:sz w:val="16"/>
                <w:szCs w:val="16"/>
              </w:rPr>
              <w:t>3,986</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19022E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984140"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90C10B7" w14:textId="77777777" w:rsidR="00000000" w:rsidRDefault="00405D16">
            <w:pPr>
              <w:spacing w:after="100"/>
              <w:jc w:val="right"/>
              <w:rPr>
                <w:rFonts w:eastAsia="Times New Roman"/>
              </w:rPr>
            </w:pPr>
            <w:r>
              <w:rPr>
                <w:rFonts w:eastAsia="Times New Roman"/>
                <w:color w:val="000000"/>
                <w:sz w:val="16"/>
                <w:szCs w:val="16"/>
              </w:rPr>
              <w:t>3,502 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EE9F58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7C121C"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2CF7126" w14:textId="77777777" w:rsidR="00000000" w:rsidRDefault="00405D16">
            <w:pPr>
              <w:spacing w:after="100"/>
              <w:jc w:val="right"/>
              <w:rPr>
                <w:rFonts w:eastAsia="Times New Roman"/>
              </w:rPr>
            </w:pPr>
            <w:r>
              <w:rPr>
                <w:rFonts w:eastAsia="Times New Roman"/>
                <w:b/>
                <w:bCs/>
                <w:color w:val="000000"/>
                <w:sz w:val="16"/>
                <w:szCs w:val="16"/>
              </w:rPr>
              <w:t>12,750</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B34826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7B1587"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4F59A15" w14:textId="77777777" w:rsidR="00000000" w:rsidRDefault="00405D16">
            <w:pPr>
              <w:spacing w:after="100"/>
              <w:jc w:val="right"/>
              <w:rPr>
                <w:rFonts w:eastAsia="Times New Roman"/>
              </w:rPr>
            </w:pPr>
            <w:r>
              <w:rPr>
                <w:rFonts w:eastAsia="Times New Roman"/>
                <w:color w:val="000000"/>
                <w:sz w:val="16"/>
                <w:szCs w:val="16"/>
              </w:rPr>
              <w:t>139 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D2500C2" w14:textId="77777777" w:rsidR="00000000" w:rsidRDefault="00405D16">
            <w:pPr>
              <w:spacing w:after="100"/>
              <w:jc w:val="right"/>
              <w:rPr>
                <w:rFonts w:eastAsia="Times New Roman"/>
              </w:rPr>
            </w:pPr>
          </w:p>
        </w:tc>
        <w:tc>
          <w:tcPr>
            <w:tcW w:w="0" w:type="auto"/>
            <w:vAlign w:val="center"/>
            <w:hideMark/>
          </w:tcPr>
          <w:p w14:paraId="5F9ABFF5" w14:textId="77777777" w:rsidR="00000000" w:rsidRDefault="00405D16">
            <w:pPr>
              <w:spacing w:after="100"/>
              <w:jc w:val="right"/>
              <w:rPr>
                <w:rFonts w:eastAsia="Times New Roman"/>
                <w:sz w:val="20"/>
                <w:szCs w:val="20"/>
              </w:rPr>
            </w:pPr>
          </w:p>
        </w:tc>
        <w:tc>
          <w:tcPr>
            <w:tcW w:w="0" w:type="auto"/>
            <w:vAlign w:val="center"/>
            <w:hideMark/>
          </w:tcPr>
          <w:p w14:paraId="4EC2FDA8" w14:textId="77777777" w:rsidR="00000000" w:rsidRDefault="00405D16">
            <w:pPr>
              <w:spacing w:after="100"/>
              <w:rPr>
                <w:rFonts w:eastAsia="Times New Roman"/>
                <w:sz w:val="20"/>
                <w:szCs w:val="20"/>
              </w:rPr>
            </w:pPr>
          </w:p>
        </w:tc>
      </w:tr>
      <w:tr w:rsidR="00000000" w14:paraId="282B1C6C" w14:textId="77777777">
        <w:trPr>
          <w:jc w:val="center"/>
        </w:trPr>
        <w:tc>
          <w:tcPr>
            <w:tcW w:w="0" w:type="auto"/>
            <w:gridSpan w:val="3"/>
            <w:shd w:val="clear" w:color="auto" w:fill="CCEEFF"/>
            <w:tcMar>
              <w:top w:w="30" w:type="dxa"/>
              <w:left w:w="20" w:type="dxa"/>
              <w:bottom w:w="30" w:type="dxa"/>
              <w:right w:w="20" w:type="dxa"/>
            </w:tcMar>
            <w:vAlign w:val="center"/>
            <w:hideMark/>
          </w:tcPr>
          <w:p w14:paraId="2F1CA925" w14:textId="77777777" w:rsidR="00000000" w:rsidRDefault="00405D16">
            <w:pPr>
              <w:spacing w:after="100"/>
              <w:rPr>
                <w:rFonts w:eastAsia="Times New Roman"/>
              </w:rPr>
            </w:pPr>
            <w:r>
              <w:rPr>
                <w:rFonts w:eastAsia="Times New Roman"/>
                <w:color w:val="000000"/>
                <w:sz w:val="16"/>
                <w:szCs w:val="16"/>
              </w:rPr>
              <w:t>Income tax provision (benefit)</w:t>
            </w:r>
          </w:p>
        </w:tc>
        <w:tc>
          <w:tcPr>
            <w:tcW w:w="0" w:type="auto"/>
            <w:gridSpan w:val="3"/>
            <w:shd w:val="clear" w:color="auto" w:fill="CCEEFF"/>
            <w:tcMar>
              <w:top w:w="0" w:type="dxa"/>
              <w:left w:w="20" w:type="dxa"/>
              <w:bottom w:w="0" w:type="dxa"/>
              <w:right w:w="20" w:type="dxa"/>
            </w:tcMar>
            <w:vAlign w:val="center"/>
            <w:hideMark/>
          </w:tcPr>
          <w:p w14:paraId="7991C961"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8E77F61" w14:textId="77777777" w:rsidR="00000000" w:rsidRDefault="00405D16">
            <w:pPr>
              <w:spacing w:after="100"/>
              <w:jc w:val="right"/>
              <w:rPr>
                <w:rFonts w:eastAsia="Times New Roman"/>
              </w:rPr>
            </w:pPr>
            <w:r>
              <w:rPr>
                <w:rFonts w:eastAsia="Times New Roman"/>
                <w:b/>
                <w:bCs/>
                <w:color w:val="000000"/>
                <w:sz w:val="16"/>
                <w:szCs w:val="16"/>
              </w:rPr>
              <w:t>882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140E90D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D86C5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2C026D5" w14:textId="77777777" w:rsidR="00000000" w:rsidRDefault="00405D16">
            <w:pPr>
              <w:spacing w:after="100"/>
              <w:jc w:val="right"/>
              <w:rPr>
                <w:rFonts w:eastAsia="Times New Roman"/>
              </w:rPr>
            </w:pPr>
            <w:r>
              <w:rPr>
                <w:rFonts w:eastAsia="Times New Roman"/>
                <w:color w:val="000000"/>
                <w:sz w:val="16"/>
                <w:szCs w:val="16"/>
              </w:rPr>
              <w:t>1,096 </w:t>
            </w:r>
          </w:p>
        </w:tc>
        <w:tc>
          <w:tcPr>
            <w:tcW w:w="0" w:type="auto"/>
            <w:shd w:val="clear" w:color="auto" w:fill="CCEEFF"/>
            <w:tcMar>
              <w:top w:w="30" w:type="dxa"/>
              <w:left w:w="0" w:type="dxa"/>
              <w:bottom w:w="30" w:type="dxa"/>
              <w:right w:w="20" w:type="dxa"/>
            </w:tcMar>
            <w:vAlign w:val="center"/>
            <w:hideMark/>
          </w:tcPr>
          <w:p w14:paraId="609E973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1AF62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862680D" w14:textId="77777777" w:rsidR="00000000" w:rsidRDefault="00405D16">
            <w:pPr>
              <w:spacing w:after="100"/>
              <w:jc w:val="right"/>
              <w:rPr>
                <w:rFonts w:eastAsia="Times New Roman"/>
              </w:rPr>
            </w:pPr>
            <w:r>
              <w:rPr>
                <w:rFonts w:eastAsia="Times New Roman"/>
                <w:b/>
                <w:bCs/>
                <w:color w:val="000000"/>
                <w:sz w:val="16"/>
                <w:szCs w:val="16"/>
              </w:rPr>
              <w:t>2,782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423E767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529DF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98339E5" w14:textId="77777777" w:rsidR="00000000" w:rsidRDefault="00405D16">
            <w:pPr>
              <w:spacing w:after="100"/>
              <w:jc w:val="right"/>
              <w:rPr>
                <w:rFonts w:eastAsia="Times New Roman"/>
              </w:rPr>
            </w:pPr>
            <w:r>
              <w:rPr>
                <w:rFonts w:eastAsia="Times New Roman"/>
                <w:color w:val="000000"/>
                <w:sz w:val="16"/>
                <w:szCs w:val="16"/>
              </w:rPr>
              <w:t>(10)</w:t>
            </w:r>
          </w:p>
        </w:tc>
        <w:tc>
          <w:tcPr>
            <w:tcW w:w="0" w:type="auto"/>
            <w:shd w:val="clear" w:color="auto" w:fill="CCEEFF"/>
            <w:tcMar>
              <w:top w:w="30" w:type="dxa"/>
              <w:left w:w="0" w:type="dxa"/>
              <w:bottom w:w="30" w:type="dxa"/>
              <w:right w:w="20" w:type="dxa"/>
            </w:tcMar>
            <w:vAlign w:val="center"/>
            <w:hideMark/>
          </w:tcPr>
          <w:p w14:paraId="0A50B0FB" w14:textId="77777777" w:rsidR="00000000" w:rsidRDefault="00405D16">
            <w:pPr>
              <w:spacing w:after="100"/>
              <w:jc w:val="right"/>
              <w:rPr>
                <w:rFonts w:eastAsia="Times New Roman"/>
              </w:rPr>
            </w:pPr>
          </w:p>
        </w:tc>
        <w:tc>
          <w:tcPr>
            <w:tcW w:w="0" w:type="auto"/>
            <w:vAlign w:val="center"/>
            <w:hideMark/>
          </w:tcPr>
          <w:p w14:paraId="54A235CB" w14:textId="77777777" w:rsidR="00000000" w:rsidRDefault="00405D16">
            <w:pPr>
              <w:spacing w:after="100"/>
              <w:jc w:val="right"/>
              <w:rPr>
                <w:rFonts w:eastAsia="Times New Roman"/>
                <w:sz w:val="20"/>
                <w:szCs w:val="20"/>
              </w:rPr>
            </w:pPr>
          </w:p>
        </w:tc>
        <w:tc>
          <w:tcPr>
            <w:tcW w:w="0" w:type="auto"/>
            <w:vAlign w:val="center"/>
            <w:hideMark/>
          </w:tcPr>
          <w:p w14:paraId="6DF697D1" w14:textId="77777777" w:rsidR="00000000" w:rsidRDefault="00405D16">
            <w:pPr>
              <w:spacing w:after="100"/>
              <w:rPr>
                <w:rFonts w:eastAsia="Times New Roman"/>
                <w:sz w:val="20"/>
                <w:szCs w:val="20"/>
              </w:rPr>
            </w:pPr>
          </w:p>
        </w:tc>
      </w:tr>
      <w:tr w:rsidR="00000000" w14:paraId="110D1C3B" w14:textId="77777777">
        <w:trPr>
          <w:jc w:val="center"/>
        </w:trPr>
        <w:tc>
          <w:tcPr>
            <w:tcW w:w="0" w:type="auto"/>
            <w:gridSpan w:val="3"/>
            <w:shd w:val="clear" w:color="auto" w:fill="FFFFFF"/>
            <w:tcMar>
              <w:top w:w="30" w:type="dxa"/>
              <w:left w:w="20" w:type="dxa"/>
              <w:bottom w:w="30" w:type="dxa"/>
              <w:right w:w="20" w:type="dxa"/>
            </w:tcMar>
            <w:vAlign w:val="center"/>
            <w:hideMark/>
          </w:tcPr>
          <w:p w14:paraId="18EE1981" w14:textId="77777777" w:rsidR="00000000" w:rsidRDefault="00405D16">
            <w:pPr>
              <w:spacing w:after="100"/>
              <w:rPr>
                <w:rFonts w:eastAsia="Times New Roman"/>
              </w:rPr>
            </w:pPr>
            <w:r>
              <w:rPr>
                <w:rFonts w:eastAsia="Times New Roman"/>
                <w:color w:val="000000"/>
                <w:sz w:val="16"/>
                <w:szCs w:val="16"/>
              </w:rPr>
              <w:t>Income from continuing operations, net of tax</w:t>
            </w:r>
          </w:p>
        </w:tc>
        <w:tc>
          <w:tcPr>
            <w:tcW w:w="0" w:type="auto"/>
            <w:gridSpan w:val="3"/>
            <w:shd w:val="clear" w:color="auto" w:fill="FFFFFF"/>
            <w:tcMar>
              <w:top w:w="0" w:type="dxa"/>
              <w:left w:w="20" w:type="dxa"/>
              <w:bottom w:w="0" w:type="dxa"/>
              <w:right w:w="20" w:type="dxa"/>
            </w:tcMar>
            <w:vAlign w:val="center"/>
            <w:hideMark/>
          </w:tcPr>
          <w:p w14:paraId="01551B2C"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9000807" w14:textId="77777777" w:rsidR="00000000" w:rsidRDefault="00405D16">
            <w:pPr>
              <w:spacing w:after="100"/>
              <w:jc w:val="right"/>
              <w:rPr>
                <w:rFonts w:eastAsia="Times New Roman"/>
              </w:rPr>
            </w:pPr>
            <w:r>
              <w:rPr>
                <w:rFonts w:eastAsia="Times New Roman"/>
                <w:b/>
                <w:bCs/>
                <w:color w:val="000000"/>
                <w:sz w:val="16"/>
                <w:szCs w:val="16"/>
              </w:rPr>
              <w:t>3,104</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140D25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D2BBE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57EAA3D" w14:textId="77777777" w:rsidR="00000000" w:rsidRDefault="00405D16">
            <w:pPr>
              <w:spacing w:after="100"/>
              <w:jc w:val="right"/>
              <w:rPr>
                <w:rFonts w:eastAsia="Times New Roman"/>
              </w:rPr>
            </w:pPr>
            <w:r>
              <w:rPr>
                <w:rFonts w:eastAsia="Times New Roman"/>
                <w:color w:val="000000"/>
                <w:sz w:val="16"/>
                <w:szCs w:val="16"/>
              </w:rPr>
              <w:t>2,406 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755B78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6EC04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9D38F3B" w14:textId="77777777" w:rsidR="00000000" w:rsidRDefault="00405D16">
            <w:pPr>
              <w:spacing w:after="100"/>
              <w:jc w:val="right"/>
              <w:rPr>
                <w:rFonts w:eastAsia="Times New Roman"/>
              </w:rPr>
            </w:pPr>
            <w:r>
              <w:rPr>
                <w:rFonts w:eastAsia="Times New Roman"/>
                <w:b/>
                <w:bCs/>
                <w:color w:val="000000"/>
                <w:sz w:val="16"/>
                <w:szCs w:val="16"/>
              </w:rPr>
              <w:t>9,968</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42A94B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96FE01"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B9B2C94" w14:textId="77777777" w:rsidR="00000000" w:rsidRDefault="00405D16">
            <w:pPr>
              <w:spacing w:after="100"/>
              <w:jc w:val="right"/>
              <w:rPr>
                <w:rFonts w:eastAsia="Times New Roman"/>
              </w:rPr>
            </w:pPr>
            <w:r>
              <w:rPr>
                <w:rFonts w:eastAsia="Times New Roman"/>
                <w:color w:val="000000"/>
                <w:sz w:val="16"/>
                <w:szCs w:val="16"/>
              </w:rPr>
              <w:t>149 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B09F6CB" w14:textId="77777777" w:rsidR="00000000" w:rsidRDefault="00405D16">
            <w:pPr>
              <w:spacing w:after="100"/>
              <w:jc w:val="right"/>
              <w:rPr>
                <w:rFonts w:eastAsia="Times New Roman"/>
              </w:rPr>
            </w:pPr>
          </w:p>
        </w:tc>
        <w:tc>
          <w:tcPr>
            <w:tcW w:w="0" w:type="auto"/>
            <w:vAlign w:val="center"/>
            <w:hideMark/>
          </w:tcPr>
          <w:p w14:paraId="584DA48F" w14:textId="77777777" w:rsidR="00000000" w:rsidRDefault="00405D16">
            <w:pPr>
              <w:spacing w:after="100"/>
              <w:jc w:val="right"/>
              <w:rPr>
                <w:rFonts w:eastAsia="Times New Roman"/>
                <w:sz w:val="20"/>
                <w:szCs w:val="20"/>
              </w:rPr>
            </w:pPr>
          </w:p>
        </w:tc>
        <w:tc>
          <w:tcPr>
            <w:tcW w:w="0" w:type="auto"/>
            <w:vAlign w:val="center"/>
            <w:hideMark/>
          </w:tcPr>
          <w:p w14:paraId="35AEE17C" w14:textId="77777777" w:rsidR="00000000" w:rsidRDefault="00405D16">
            <w:pPr>
              <w:spacing w:after="100"/>
              <w:rPr>
                <w:rFonts w:eastAsia="Times New Roman"/>
                <w:sz w:val="20"/>
                <w:szCs w:val="20"/>
              </w:rPr>
            </w:pPr>
          </w:p>
        </w:tc>
      </w:tr>
      <w:tr w:rsidR="00000000" w14:paraId="22971E27" w14:textId="77777777">
        <w:trPr>
          <w:jc w:val="center"/>
        </w:trPr>
        <w:tc>
          <w:tcPr>
            <w:tcW w:w="0" w:type="auto"/>
            <w:gridSpan w:val="3"/>
            <w:shd w:val="clear" w:color="auto" w:fill="CCEEFF"/>
            <w:tcMar>
              <w:top w:w="30" w:type="dxa"/>
              <w:left w:w="20" w:type="dxa"/>
              <w:bottom w:w="30" w:type="dxa"/>
              <w:right w:w="20" w:type="dxa"/>
            </w:tcMar>
            <w:vAlign w:val="center"/>
            <w:hideMark/>
          </w:tcPr>
          <w:p w14:paraId="3F00B02B" w14:textId="77777777" w:rsidR="00000000" w:rsidRDefault="00405D16">
            <w:pPr>
              <w:spacing w:after="100"/>
              <w:rPr>
                <w:rFonts w:eastAsia="Times New Roman"/>
              </w:rPr>
            </w:pPr>
            <w:r>
              <w:rPr>
                <w:rFonts w:eastAsia="Times New Roman"/>
                <w:color w:val="000000"/>
                <w:sz w:val="16"/>
                <w:szCs w:val="16"/>
              </w:rPr>
              <w:t>Income (loss) from discontinued operations, net of tax</w:t>
            </w:r>
          </w:p>
        </w:tc>
        <w:tc>
          <w:tcPr>
            <w:tcW w:w="0" w:type="auto"/>
            <w:gridSpan w:val="3"/>
            <w:shd w:val="clear" w:color="auto" w:fill="CCEEFF"/>
            <w:tcMar>
              <w:top w:w="0" w:type="dxa"/>
              <w:left w:w="20" w:type="dxa"/>
              <w:bottom w:w="0" w:type="dxa"/>
              <w:right w:w="20" w:type="dxa"/>
            </w:tcMar>
            <w:vAlign w:val="center"/>
            <w:hideMark/>
          </w:tcPr>
          <w:p w14:paraId="187325F5"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483F4A9" w14:textId="77777777" w:rsidR="00000000" w:rsidRDefault="00405D16">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254DA3E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95AAB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EC2E122" w14:textId="77777777" w:rsidR="00000000" w:rsidRDefault="00405D16">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14:paraId="5543A71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6E4A7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52A9B27" w14:textId="77777777" w:rsidR="00000000" w:rsidRDefault="00405D16">
            <w:pPr>
              <w:spacing w:after="100"/>
              <w:jc w:val="right"/>
              <w:rPr>
                <w:rFonts w:eastAsia="Times New Roman"/>
              </w:rPr>
            </w:pPr>
            <w:r>
              <w:rPr>
                <w:rFonts w:eastAsia="Times New Roman"/>
                <w:b/>
                <w:bCs/>
                <w:color w:val="000000"/>
                <w:sz w:val="16"/>
                <w:szCs w:val="16"/>
              </w:rPr>
              <w:t>(3)</w:t>
            </w:r>
          </w:p>
        </w:tc>
        <w:tc>
          <w:tcPr>
            <w:tcW w:w="0" w:type="auto"/>
            <w:shd w:val="clear" w:color="auto" w:fill="CCEEFF"/>
            <w:tcMar>
              <w:top w:w="30" w:type="dxa"/>
              <w:left w:w="0" w:type="dxa"/>
              <w:bottom w:w="30" w:type="dxa"/>
              <w:right w:w="20" w:type="dxa"/>
            </w:tcMar>
            <w:vAlign w:val="center"/>
            <w:hideMark/>
          </w:tcPr>
          <w:p w14:paraId="2E8F19A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D830D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AD6E778" w14:textId="77777777" w:rsidR="00000000" w:rsidRDefault="00405D16">
            <w:pPr>
              <w:spacing w:after="100"/>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center"/>
            <w:hideMark/>
          </w:tcPr>
          <w:p w14:paraId="217AE35A" w14:textId="77777777" w:rsidR="00000000" w:rsidRDefault="00405D16">
            <w:pPr>
              <w:spacing w:after="100"/>
              <w:jc w:val="right"/>
              <w:rPr>
                <w:rFonts w:eastAsia="Times New Roman"/>
              </w:rPr>
            </w:pPr>
          </w:p>
        </w:tc>
        <w:tc>
          <w:tcPr>
            <w:tcW w:w="0" w:type="auto"/>
            <w:vAlign w:val="center"/>
            <w:hideMark/>
          </w:tcPr>
          <w:p w14:paraId="0270B7CF" w14:textId="77777777" w:rsidR="00000000" w:rsidRDefault="00405D16">
            <w:pPr>
              <w:spacing w:after="100"/>
              <w:jc w:val="right"/>
              <w:rPr>
                <w:rFonts w:eastAsia="Times New Roman"/>
                <w:sz w:val="20"/>
                <w:szCs w:val="20"/>
              </w:rPr>
            </w:pPr>
          </w:p>
        </w:tc>
        <w:tc>
          <w:tcPr>
            <w:tcW w:w="0" w:type="auto"/>
            <w:vAlign w:val="center"/>
            <w:hideMark/>
          </w:tcPr>
          <w:p w14:paraId="394837F2" w14:textId="77777777" w:rsidR="00000000" w:rsidRDefault="00405D16">
            <w:pPr>
              <w:spacing w:after="100"/>
              <w:rPr>
                <w:rFonts w:eastAsia="Times New Roman"/>
                <w:sz w:val="20"/>
                <w:szCs w:val="20"/>
              </w:rPr>
            </w:pPr>
          </w:p>
        </w:tc>
      </w:tr>
      <w:tr w:rsidR="00000000" w14:paraId="566ADF3A" w14:textId="77777777">
        <w:trPr>
          <w:jc w:val="center"/>
        </w:trPr>
        <w:tc>
          <w:tcPr>
            <w:tcW w:w="0" w:type="auto"/>
            <w:gridSpan w:val="3"/>
            <w:shd w:val="clear" w:color="auto" w:fill="FFFFFF"/>
            <w:tcMar>
              <w:top w:w="30" w:type="dxa"/>
              <w:left w:w="20" w:type="dxa"/>
              <w:bottom w:w="30" w:type="dxa"/>
              <w:right w:w="20" w:type="dxa"/>
            </w:tcMar>
            <w:vAlign w:val="center"/>
            <w:hideMark/>
          </w:tcPr>
          <w:p w14:paraId="1A6C837B" w14:textId="77777777" w:rsidR="00000000" w:rsidRDefault="00405D16">
            <w:pPr>
              <w:spacing w:after="100"/>
              <w:rPr>
                <w:rFonts w:eastAsia="Times New Roman"/>
              </w:rPr>
            </w:pPr>
            <w:r>
              <w:rPr>
                <w:rFonts w:eastAsia="Times New Roman"/>
                <w:b/>
                <w:bCs/>
                <w:color w:val="000000"/>
                <w:sz w:val="16"/>
                <w:szCs w:val="16"/>
              </w:rPr>
              <w:t xml:space="preserve">Net income </w:t>
            </w:r>
          </w:p>
        </w:tc>
        <w:tc>
          <w:tcPr>
            <w:tcW w:w="0" w:type="auto"/>
            <w:gridSpan w:val="3"/>
            <w:shd w:val="clear" w:color="auto" w:fill="FFFFFF"/>
            <w:tcMar>
              <w:top w:w="0" w:type="dxa"/>
              <w:left w:w="20" w:type="dxa"/>
              <w:bottom w:w="0" w:type="dxa"/>
              <w:right w:w="20" w:type="dxa"/>
            </w:tcMar>
            <w:vAlign w:val="center"/>
            <w:hideMark/>
          </w:tcPr>
          <w:p w14:paraId="4FFCB9D5"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D720A67" w14:textId="77777777" w:rsidR="00000000" w:rsidRDefault="00405D16">
            <w:pPr>
              <w:spacing w:after="100"/>
              <w:jc w:val="right"/>
              <w:rPr>
                <w:rFonts w:eastAsia="Times New Roman"/>
              </w:rPr>
            </w:pPr>
            <w:r>
              <w:rPr>
                <w:rFonts w:eastAsia="Times New Roman"/>
                <w:b/>
                <w:bCs/>
                <w:color w:val="000000"/>
                <w:sz w:val="16"/>
                <w:szCs w:val="16"/>
              </w:rPr>
              <w:t>3,104</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B05EC1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3EB339"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96E8A7D" w14:textId="77777777" w:rsidR="00000000" w:rsidRDefault="00405D16">
            <w:pPr>
              <w:spacing w:after="100"/>
              <w:jc w:val="right"/>
              <w:rPr>
                <w:rFonts w:eastAsia="Times New Roman"/>
              </w:rPr>
            </w:pPr>
            <w:r>
              <w:rPr>
                <w:rFonts w:eastAsia="Times New Roman"/>
                <w:color w:val="000000"/>
                <w:sz w:val="16"/>
                <w:szCs w:val="16"/>
              </w:rPr>
              <w:t>2,406 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0C3D61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FA2EA5"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FDC1914" w14:textId="77777777" w:rsidR="00000000" w:rsidRDefault="00405D16">
            <w:pPr>
              <w:spacing w:after="100"/>
              <w:jc w:val="right"/>
              <w:rPr>
                <w:rFonts w:eastAsia="Times New Roman"/>
              </w:rPr>
            </w:pPr>
            <w:r>
              <w:rPr>
                <w:rFonts w:eastAsia="Times New Roman"/>
                <w:b/>
                <w:bCs/>
                <w:color w:val="000000"/>
                <w:sz w:val="16"/>
                <w:szCs w:val="16"/>
              </w:rPr>
              <w:t>9,965</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9BAE36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B245F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F3348B6" w14:textId="77777777" w:rsidR="00000000" w:rsidRDefault="00405D16">
            <w:pPr>
              <w:spacing w:after="100"/>
              <w:jc w:val="right"/>
              <w:rPr>
                <w:rFonts w:eastAsia="Times New Roman"/>
              </w:rPr>
            </w:pPr>
            <w:r>
              <w:rPr>
                <w:rFonts w:eastAsia="Times New Roman"/>
                <w:color w:val="000000"/>
                <w:sz w:val="16"/>
                <w:szCs w:val="16"/>
              </w:rPr>
              <w:t>148 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D792D22" w14:textId="77777777" w:rsidR="00000000" w:rsidRDefault="00405D16">
            <w:pPr>
              <w:spacing w:after="100"/>
              <w:jc w:val="right"/>
              <w:rPr>
                <w:rFonts w:eastAsia="Times New Roman"/>
              </w:rPr>
            </w:pPr>
          </w:p>
        </w:tc>
        <w:tc>
          <w:tcPr>
            <w:tcW w:w="0" w:type="auto"/>
            <w:vAlign w:val="center"/>
            <w:hideMark/>
          </w:tcPr>
          <w:p w14:paraId="0CC558FB" w14:textId="77777777" w:rsidR="00000000" w:rsidRDefault="00405D16">
            <w:pPr>
              <w:spacing w:after="100"/>
              <w:jc w:val="right"/>
              <w:rPr>
                <w:rFonts w:eastAsia="Times New Roman"/>
                <w:sz w:val="20"/>
                <w:szCs w:val="20"/>
              </w:rPr>
            </w:pPr>
          </w:p>
        </w:tc>
        <w:tc>
          <w:tcPr>
            <w:tcW w:w="0" w:type="auto"/>
            <w:vAlign w:val="center"/>
            <w:hideMark/>
          </w:tcPr>
          <w:p w14:paraId="09F350AE" w14:textId="77777777" w:rsidR="00000000" w:rsidRDefault="00405D16">
            <w:pPr>
              <w:spacing w:after="100"/>
              <w:rPr>
                <w:rFonts w:eastAsia="Times New Roman"/>
                <w:sz w:val="20"/>
                <w:szCs w:val="20"/>
              </w:rPr>
            </w:pPr>
          </w:p>
        </w:tc>
      </w:tr>
      <w:tr w:rsidR="00000000" w14:paraId="2049FB83" w14:textId="77777777">
        <w:trPr>
          <w:jc w:val="center"/>
        </w:trPr>
        <w:tc>
          <w:tcPr>
            <w:tcW w:w="0" w:type="auto"/>
            <w:gridSpan w:val="3"/>
            <w:shd w:val="clear" w:color="auto" w:fill="CCEEFF"/>
            <w:tcMar>
              <w:top w:w="30" w:type="dxa"/>
              <w:left w:w="20" w:type="dxa"/>
              <w:bottom w:w="30" w:type="dxa"/>
              <w:right w:w="20" w:type="dxa"/>
            </w:tcMar>
            <w:vAlign w:val="center"/>
            <w:hideMark/>
          </w:tcPr>
          <w:p w14:paraId="5D02A0DD" w14:textId="77777777" w:rsidR="00000000" w:rsidRDefault="00405D16">
            <w:pPr>
              <w:spacing w:after="100"/>
              <w:rPr>
                <w:rFonts w:eastAsia="Times New Roman"/>
              </w:rPr>
            </w:pPr>
            <w:r>
              <w:rPr>
                <w:rFonts w:eastAsia="Times New Roman"/>
                <w:color w:val="000000"/>
                <w:sz w:val="16"/>
                <w:szCs w:val="16"/>
              </w:rPr>
              <w:t>Dividends and undistributed earnings allocated to participating securities</w:t>
            </w:r>
          </w:p>
        </w:tc>
        <w:tc>
          <w:tcPr>
            <w:tcW w:w="0" w:type="auto"/>
            <w:gridSpan w:val="3"/>
            <w:shd w:val="clear" w:color="auto" w:fill="CCEEFF"/>
            <w:tcMar>
              <w:top w:w="0" w:type="dxa"/>
              <w:left w:w="20" w:type="dxa"/>
              <w:bottom w:w="0" w:type="dxa"/>
              <w:right w:w="20" w:type="dxa"/>
            </w:tcMar>
            <w:vAlign w:val="center"/>
            <w:hideMark/>
          </w:tcPr>
          <w:p w14:paraId="48E23499"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908A428" w14:textId="77777777" w:rsidR="00000000" w:rsidRDefault="00405D16">
            <w:pPr>
              <w:spacing w:after="100"/>
              <w:jc w:val="right"/>
              <w:rPr>
                <w:rFonts w:eastAsia="Times New Roman"/>
              </w:rPr>
            </w:pPr>
            <w:r>
              <w:rPr>
                <w:rFonts w:eastAsia="Times New Roman"/>
                <w:b/>
                <w:bCs/>
                <w:color w:val="000000"/>
                <w:sz w:val="16"/>
                <w:szCs w:val="16"/>
              </w:rPr>
              <w:t>(26)</w:t>
            </w:r>
          </w:p>
        </w:tc>
        <w:tc>
          <w:tcPr>
            <w:tcW w:w="0" w:type="auto"/>
            <w:shd w:val="clear" w:color="auto" w:fill="CCEEFF"/>
            <w:tcMar>
              <w:top w:w="30" w:type="dxa"/>
              <w:left w:w="0" w:type="dxa"/>
              <w:bottom w:w="30" w:type="dxa"/>
              <w:right w:w="20" w:type="dxa"/>
            </w:tcMar>
            <w:vAlign w:val="center"/>
            <w:hideMark/>
          </w:tcPr>
          <w:p w14:paraId="4B8E4C7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17C14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35E910C" w14:textId="77777777" w:rsidR="00000000" w:rsidRDefault="00405D16">
            <w:pPr>
              <w:spacing w:after="100"/>
              <w:jc w:val="right"/>
              <w:rPr>
                <w:rFonts w:eastAsia="Times New Roman"/>
              </w:rPr>
            </w:pPr>
            <w:r>
              <w:rPr>
                <w:rFonts w:eastAsia="Times New Roman"/>
                <w:color w:val="000000"/>
                <w:sz w:val="16"/>
                <w:szCs w:val="16"/>
              </w:rPr>
              <w:t>(20)</w:t>
            </w:r>
          </w:p>
        </w:tc>
        <w:tc>
          <w:tcPr>
            <w:tcW w:w="0" w:type="auto"/>
            <w:shd w:val="clear" w:color="auto" w:fill="CCEEFF"/>
            <w:tcMar>
              <w:top w:w="30" w:type="dxa"/>
              <w:left w:w="0" w:type="dxa"/>
              <w:bottom w:w="30" w:type="dxa"/>
              <w:right w:w="20" w:type="dxa"/>
            </w:tcMar>
            <w:vAlign w:val="center"/>
            <w:hideMark/>
          </w:tcPr>
          <w:p w14:paraId="5DEF1B1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EE9E1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532B6D0" w14:textId="77777777" w:rsidR="00000000" w:rsidRDefault="00405D16">
            <w:pPr>
              <w:spacing w:after="100"/>
              <w:jc w:val="right"/>
              <w:rPr>
                <w:rFonts w:eastAsia="Times New Roman"/>
              </w:rPr>
            </w:pPr>
            <w:r>
              <w:rPr>
                <w:rFonts w:eastAsia="Times New Roman"/>
                <w:b/>
                <w:bCs/>
                <w:color w:val="000000"/>
                <w:sz w:val="16"/>
                <w:szCs w:val="16"/>
              </w:rPr>
              <w:t>(84)</w:t>
            </w:r>
          </w:p>
        </w:tc>
        <w:tc>
          <w:tcPr>
            <w:tcW w:w="0" w:type="auto"/>
            <w:shd w:val="clear" w:color="auto" w:fill="CCEEFF"/>
            <w:tcMar>
              <w:top w:w="30" w:type="dxa"/>
              <w:left w:w="0" w:type="dxa"/>
              <w:bottom w:w="30" w:type="dxa"/>
              <w:right w:w="20" w:type="dxa"/>
            </w:tcMar>
            <w:vAlign w:val="center"/>
            <w:hideMark/>
          </w:tcPr>
          <w:p w14:paraId="759C0BB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7AA0F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17DAE72" w14:textId="77777777" w:rsidR="00000000" w:rsidRDefault="00405D16">
            <w:pPr>
              <w:spacing w:after="100"/>
              <w:jc w:val="right"/>
              <w:rPr>
                <w:rFonts w:eastAsia="Times New Roman"/>
              </w:rPr>
            </w:pPr>
            <w:r>
              <w:rPr>
                <w:rFonts w:eastAsia="Times New Roman"/>
                <w:color w:val="000000"/>
                <w:sz w:val="16"/>
                <w:szCs w:val="16"/>
              </w:rPr>
              <w:t>(5)</w:t>
            </w:r>
          </w:p>
        </w:tc>
        <w:tc>
          <w:tcPr>
            <w:tcW w:w="0" w:type="auto"/>
            <w:shd w:val="clear" w:color="auto" w:fill="CCEEFF"/>
            <w:tcMar>
              <w:top w:w="30" w:type="dxa"/>
              <w:left w:w="0" w:type="dxa"/>
              <w:bottom w:w="30" w:type="dxa"/>
              <w:right w:w="20" w:type="dxa"/>
            </w:tcMar>
            <w:vAlign w:val="center"/>
            <w:hideMark/>
          </w:tcPr>
          <w:p w14:paraId="0D9A245B" w14:textId="77777777" w:rsidR="00000000" w:rsidRDefault="00405D16">
            <w:pPr>
              <w:spacing w:after="100"/>
              <w:jc w:val="right"/>
              <w:rPr>
                <w:rFonts w:eastAsia="Times New Roman"/>
              </w:rPr>
            </w:pPr>
          </w:p>
        </w:tc>
        <w:tc>
          <w:tcPr>
            <w:tcW w:w="0" w:type="auto"/>
            <w:vAlign w:val="center"/>
            <w:hideMark/>
          </w:tcPr>
          <w:p w14:paraId="6D7181D6" w14:textId="77777777" w:rsidR="00000000" w:rsidRDefault="00405D16">
            <w:pPr>
              <w:spacing w:after="100"/>
              <w:jc w:val="right"/>
              <w:rPr>
                <w:rFonts w:eastAsia="Times New Roman"/>
                <w:sz w:val="20"/>
                <w:szCs w:val="20"/>
              </w:rPr>
            </w:pPr>
          </w:p>
        </w:tc>
        <w:tc>
          <w:tcPr>
            <w:tcW w:w="0" w:type="auto"/>
            <w:vAlign w:val="center"/>
            <w:hideMark/>
          </w:tcPr>
          <w:p w14:paraId="368ED339" w14:textId="77777777" w:rsidR="00000000" w:rsidRDefault="00405D16">
            <w:pPr>
              <w:spacing w:after="100"/>
              <w:rPr>
                <w:rFonts w:eastAsia="Times New Roman"/>
                <w:sz w:val="20"/>
                <w:szCs w:val="20"/>
              </w:rPr>
            </w:pPr>
          </w:p>
        </w:tc>
      </w:tr>
      <w:tr w:rsidR="00000000" w14:paraId="50A387AD" w14:textId="77777777">
        <w:trPr>
          <w:jc w:val="center"/>
        </w:trPr>
        <w:tc>
          <w:tcPr>
            <w:tcW w:w="0" w:type="auto"/>
            <w:gridSpan w:val="3"/>
            <w:shd w:val="clear" w:color="auto" w:fill="FFFFFF"/>
            <w:tcMar>
              <w:top w:w="30" w:type="dxa"/>
              <w:left w:w="20" w:type="dxa"/>
              <w:bottom w:w="30" w:type="dxa"/>
              <w:right w:w="20" w:type="dxa"/>
            </w:tcMar>
            <w:vAlign w:val="center"/>
            <w:hideMark/>
          </w:tcPr>
          <w:p w14:paraId="5142A735" w14:textId="77777777" w:rsidR="00000000" w:rsidRDefault="00405D16">
            <w:pPr>
              <w:spacing w:after="100"/>
              <w:rPr>
                <w:rFonts w:eastAsia="Times New Roman"/>
              </w:rPr>
            </w:pPr>
            <w:r>
              <w:rPr>
                <w:rFonts w:eastAsia="Times New Roman"/>
                <w:color w:val="000000"/>
                <w:sz w:val="16"/>
                <w:szCs w:val="16"/>
              </w:rPr>
              <w:t>Preferred stock dividends</w:t>
            </w:r>
          </w:p>
        </w:tc>
        <w:tc>
          <w:tcPr>
            <w:tcW w:w="0" w:type="auto"/>
            <w:gridSpan w:val="3"/>
            <w:shd w:val="clear" w:color="auto" w:fill="FFFFFF"/>
            <w:tcMar>
              <w:top w:w="0" w:type="dxa"/>
              <w:left w:w="20" w:type="dxa"/>
              <w:bottom w:w="0" w:type="dxa"/>
              <w:right w:w="20" w:type="dxa"/>
            </w:tcMar>
            <w:vAlign w:val="center"/>
            <w:hideMark/>
          </w:tcPr>
          <w:p w14:paraId="05157533"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33DC9F2" w14:textId="77777777" w:rsidR="00000000" w:rsidRDefault="00405D16">
            <w:pPr>
              <w:spacing w:after="100"/>
              <w:jc w:val="right"/>
              <w:rPr>
                <w:rFonts w:eastAsia="Times New Roman"/>
              </w:rPr>
            </w:pPr>
            <w:r>
              <w:rPr>
                <w:rFonts w:eastAsia="Times New Roman"/>
                <w:b/>
                <w:bCs/>
                <w:color w:val="000000"/>
                <w:sz w:val="16"/>
                <w:szCs w:val="16"/>
              </w:rPr>
              <w:t>(79)</w:t>
            </w:r>
          </w:p>
        </w:tc>
        <w:tc>
          <w:tcPr>
            <w:tcW w:w="0" w:type="auto"/>
            <w:shd w:val="clear" w:color="auto" w:fill="FFFFFF"/>
            <w:tcMar>
              <w:top w:w="30" w:type="dxa"/>
              <w:left w:w="0" w:type="dxa"/>
              <w:bottom w:w="30" w:type="dxa"/>
              <w:right w:w="20" w:type="dxa"/>
            </w:tcMar>
            <w:vAlign w:val="center"/>
            <w:hideMark/>
          </w:tcPr>
          <w:p w14:paraId="1479070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0F87A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8D347DE" w14:textId="77777777" w:rsidR="00000000" w:rsidRDefault="00405D16">
            <w:pPr>
              <w:spacing w:after="100"/>
              <w:jc w:val="right"/>
              <w:rPr>
                <w:rFonts w:eastAsia="Times New Roman"/>
              </w:rPr>
            </w:pPr>
            <w:r>
              <w:rPr>
                <w:rFonts w:eastAsia="Times New Roman"/>
                <w:color w:val="000000"/>
                <w:sz w:val="16"/>
                <w:szCs w:val="16"/>
              </w:rPr>
              <w:t>(67)</w:t>
            </w:r>
          </w:p>
        </w:tc>
        <w:tc>
          <w:tcPr>
            <w:tcW w:w="0" w:type="auto"/>
            <w:shd w:val="clear" w:color="auto" w:fill="FFFFFF"/>
            <w:tcMar>
              <w:top w:w="30" w:type="dxa"/>
              <w:left w:w="0" w:type="dxa"/>
              <w:bottom w:w="30" w:type="dxa"/>
              <w:right w:w="20" w:type="dxa"/>
            </w:tcMar>
            <w:vAlign w:val="center"/>
            <w:hideMark/>
          </w:tcPr>
          <w:p w14:paraId="4C78C65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5E25B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6DAA298" w14:textId="77777777" w:rsidR="00000000" w:rsidRDefault="00405D16">
            <w:pPr>
              <w:spacing w:after="100"/>
              <w:jc w:val="right"/>
              <w:rPr>
                <w:rFonts w:eastAsia="Times New Roman"/>
              </w:rPr>
            </w:pPr>
            <w:r>
              <w:rPr>
                <w:rFonts w:eastAsia="Times New Roman"/>
                <w:b/>
                <w:bCs/>
                <w:color w:val="000000"/>
                <w:sz w:val="16"/>
                <w:szCs w:val="16"/>
              </w:rPr>
              <w:t>(200)</w:t>
            </w:r>
          </w:p>
        </w:tc>
        <w:tc>
          <w:tcPr>
            <w:tcW w:w="0" w:type="auto"/>
            <w:shd w:val="clear" w:color="auto" w:fill="FFFFFF"/>
            <w:tcMar>
              <w:top w:w="30" w:type="dxa"/>
              <w:left w:w="0" w:type="dxa"/>
              <w:bottom w:w="30" w:type="dxa"/>
              <w:right w:w="20" w:type="dxa"/>
            </w:tcMar>
            <w:vAlign w:val="center"/>
            <w:hideMark/>
          </w:tcPr>
          <w:p w14:paraId="4C9C806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F5D6F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4439CE4" w14:textId="77777777" w:rsidR="00000000" w:rsidRDefault="00405D16">
            <w:pPr>
              <w:spacing w:after="100"/>
              <w:jc w:val="right"/>
              <w:rPr>
                <w:rFonts w:eastAsia="Times New Roman"/>
              </w:rPr>
            </w:pPr>
            <w:r>
              <w:rPr>
                <w:rFonts w:eastAsia="Times New Roman"/>
                <w:color w:val="000000"/>
                <w:sz w:val="16"/>
                <w:szCs w:val="16"/>
              </w:rPr>
              <w:t>(212)</w:t>
            </w:r>
          </w:p>
        </w:tc>
        <w:tc>
          <w:tcPr>
            <w:tcW w:w="0" w:type="auto"/>
            <w:shd w:val="clear" w:color="auto" w:fill="FFFFFF"/>
            <w:tcMar>
              <w:top w:w="30" w:type="dxa"/>
              <w:left w:w="0" w:type="dxa"/>
              <w:bottom w:w="30" w:type="dxa"/>
              <w:right w:w="20" w:type="dxa"/>
            </w:tcMar>
            <w:vAlign w:val="center"/>
            <w:hideMark/>
          </w:tcPr>
          <w:p w14:paraId="20E6994B" w14:textId="77777777" w:rsidR="00000000" w:rsidRDefault="00405D16">
            <w:pPr>
              <w:spacing w:after="100"/>
              <w:jc w:val="right"/>
              <w:rPr>
                <w:rFonts w:eastAsia="Times New Roman"/>
              </w:rPr>
            </w:pPr>
          </w:p>
        </w:tc>
        <w:tc>
          <w:tcPr>
            <w:tcW w:w="0" w:type="auto"/>
            <w:vAlign w:val="center"/>
            <w:hideMark/>
          </w:tcPr>
          <w:p w14:paraId="49938A24" w14:textId="77777777" w:rsidR="00000000" w:rsidRDefault="00405D16">
            <w:pPr>
              <w:spacing w:after="100"/>
              <w:jc w:val="right"/>
              <w:rPr>
                <w:rFonts w:eastAsia="Times New Roman"/>
                <w:sz w:val="20"/>
                <w:szCs w:val="20"/>
              </w:rPr>
            </w:pPr>
          </w:p>
        </w:tc>
        <w:tc>
          <w:tcPr>
            <w:tcW w:w="0" w:type="auto"/>
            <w:vAlign w:val="center"/>
            <w:hideMark/>
          </w:tcPr>
          <w:p w14:paraId="3C277440" w14:textId="77777777" w:rsidR="00000000" w:rsidRDefault="00405D16">
            <w:pPr>
              <w:spacing w:after="100"/>
              <w:rPr>
                <w:rFonts w:eastAsia="Times New Roman"/>
                <w:sz w:val="20"/>
                <w:szCs w:val="20"/>
              </w:rPr>
            </w:pPr>
          </w:p>
        </w:tc>
      </w:tr>
      <w:tr w:rsidR="00000000" w14:paraId="2A54F3E6" w14:textId="77777777">
        <w:trPr>
          <w:jc w:val="center"/>
        </w:trPr>
        <w:tc>
          <w:tcPr>
            <w:tcW w:w="0" w:type="auto"/>
            <w:gridSpan w:val="3"/>
            <w:shd w:val="clear" w:color="auto" w:fill="CCEEFF"/>
            <w:tcMar>
              <w:top w:w="30" w:type="dxa"/>
              <w:left w:w="20" w:type="dxa"/>
              <w:bottom w:w="30" w:type="dxa"/>
              <w:right w:w="20" w:type="dxa"/>
            </w:tcMar>
            <w:vAlign w:val="center"/>
            <w:hideMark/>
          </w:tcPr>
          <w:p w14:paraId="2C98DC2E" w14:textId="77777777" w:rsidR="00000000" w:rsidRDefault="00405D16">
            <w:pPr>
              <w:spacing w:after="100"/>
              <w:rPr>
                <w:rFonts w:eastAsia="Times New Roman"/>
              </w:rPr>
            </w:pPr>
            <w:r>
              <w:rPr>
                <w:rFonts w:eastAsia="Times New Roman"/>
                <w:color w:val="000000"/>
                <w:sz w:val="16"/>
                <w:szCs w:val="16"/>
              </w:rPr>
              <w:t>Issuance cost for redeemed preferred stock</w:t>
            </w:r>
          </w:p>
        </w:tc>
        <w:tc>
          <w:tcPr>
            <w:tcW w:w="0" w:type="auto"/>
            <w:gridSpan w:val="3"/>
            <w:shd w:val="clear" w:color="auto" w:fill="CCEEFF"/>
            <w:tcMar>
              <w:top w:w="0" w:type="dxa"/>
              <w:left w:w="20" w:type="dxa"/>
              <w:bottom w:w="0" w:type="dxa"/>
              <w:right w:w="20" w:type="dxa"/>
            </w:tcMar>
            <w:vAlign w:val="center"/>
            <w:hideMark/>
          </w:tcPr>
          <w:p w14:paraId="7F438C80"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D7208C1" w14:textId="77777777" w:rsidR="00000000" w:rsidRDefault="00405D16">
            <w:pPr>
              <w:spacing w:after="100"/>
              <w:jc w:val="right"/>
              <w:rPr>
                <w:rFonts w:eastAsia="Times New Roman"/>
              </w:rPr>
            </w:pPr>
            <w:r>
              <w:rPr>
                <w:rFonts w:eastAsia="Times New Roman"/>
                <w:b/>
                <w:bCs/>
                <w:color w:val="000000"/>
                <w:sz w:val="16"/>
                <w:szCs w:val="16"/>
              </w:rPr>
              <w:t>(12)</w:t>
            </w:r>
          </w:p>
        </w:tc>
        <w:tc>
          <w:tcPr>
            <w:tcW w:w="0" w:type="auto"/>
            <w:shd w:val="clear" w:color="auto" w:fill="CCEEFF"/>
            <w:tcMar>
              <w:top w:w="30" w:type="dxa"/>
              <w:left w:w="0" w:type="dxa"/>
              <w:bottom w:w="30" w:type="dxa"/>
              <w:right w:w="20" w:type="dxa"/>
            </w:tcMar>
            <w:vAlign w:val="center"/>
            <w:hideMark/>
          </w:tcPr>
          <w:p w14:paraId="7AC6B07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6DF6E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CA655BD" w14:textId="77777777" w:rsidR="00000000" w:rsidRDefault="00405D16">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14:paraId="3433E84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62197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C7712B7" w14:textId="77777777" w:rsidR="00000000" w:rsidRDefault="00405D16">
            <w:pPr>
              <w:spacing w:after="100"/>
              <w:jc w:val="right"/>
              <w:rPr>
                <w:rFonts w:eastAsia="Times New Roman"/>
              </w:rPr>
            </w:pPr>
            <w:r>
              <w:rPr>
                <w:rFonts w:eastAsia="Times New Roman"/>
                <w:b/>
                <w:bCs/>
                <w:color w:val="000000"/>
                <w:sz w:val="16"/>
                <w:szCs w:val="16"/>
              </w:rPr>
              <w:t>(12)</w:t>
            </w:r>
          </w:p>
        </w:tc>
        <w:tc>
          <w:tcPr>
            <w:tcW w:w="0" w:type="auto"/>
            <w:shd w:val="clear" w:color="auto" w:fill="CCEEFF"/>
            <w:tcMar>
              <w:top w:w="30" w:type="dxa"/>
              <w:left w:w="0" w:type="dxa"/>
              <w:bottom w:w="30" w:type="dxa"/>
              <w:right w:w="20" w:type="dxa"/>
            </w:tcMar>
            <w:vAlign w:val="center"/>
            <w:hideMark/>
          </w:tcPr>
          <w:p w14:paraId="3F15CA5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FFB5C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9EE9002" w14:textId="77777777" w:rsidR="00000000" w:rsidRDefault="00405D16">
            <w:pPr>
              <w:spacing w:after="100"/>
              <w:jc w:val="right"/>
              <w:rPr>
                <w:rFonts w:eastAsia="Times New Roman"/>
              </w:rPr>
            </w:pPr>
            <w:r>
              <w:rPr>
                <w:rFonts w:eastAsia="Times New Roman"/>
                <w:color w:val="000000"/>
                <w:sz w:val="16"/>
                <w:szCs w:val="16"/>
              </w:rPr>
              <w:t>(22)</w:t>
            </w:r>
          </w:p>
        </w:tc>
        <w:tc>
          <w:tcPr>
            <w:tcW w:w="0" w:type="auto"/>
            <w:shd w:val="clear" w:color="auto" w:fill="CCEEFF"/>
            <w:tcMar>
              <w:top w:w="30" w:type="dxa"/>
              <w:left w:w="0" w:type="dxa"/>
              <w:bottom w:w="30" w:type="dxa"/>
              <w:right w:w="20" w:type="dxa"/>
            </w:tcMar>
            <w:vAlign w:val="center"/>
            <w:hideMark/>
          </w:tcPr>
          <w:p w14:paraId="20174CFC" w14:textId="77777777" w:rsidR="00000000" w:rsidRDefault="00405D16">
            <w:pPr>
              <w:spacing w:after="100"/>
              <w:jc w:val="right"/>
              <w:rPr>
                <w:rFonts w:eastAsia="Times New Roman"/>
              </w:rPr>
            </w:pPr>
          </w:p>
        </w:tc>
        <w:tc>
          <w:tcPr>
            <w:tcW w:w="0" w:type="auto"/>
            <w:vAlign w:val="center"/>
            <w:hideMark/>
          </w:tcPr>
          <w:p w14:paraId="38F11220" w14:textId="77777777" w:rsidR="00000000" w:rsidRDefault="00405D16">
            <w:pPr>
              <w:spacing w:after="100"/>
              <w:jc w:val="right"/>
              <w:rPr>
                <w:rFonts w:eastAsia="Times New Roman"/>
                <w:sz w:val="20"/>
                <w:szCs w:val="20"/>
              </w:rPr>
            </w:pPr>
          </w:p>
        </w:tc>
        <w:tc>
          <w:tcPr>
            <w:tcW w:w="0" w:type="auto"/>
            <w:vAlign w:val="center"/>
            <w:hideMark/>
          </w:tcPr>
          <w:p w14:paraId="13512068" w14:textId="77777777" w:rsidR="00000000" w:rsidRDefault="00405D16">
            <w:pPr>
              <w:spacing w:after="100"/>
              <w:rPr>
                <w:rFonts w:eastAsia="Times New Roman"/>
                <w:sz w:val="20"/>
                <w:szCs w:val="20"/>
              </w:rPr>
            </w:pPr>
          </w:p>
        </w:tc>
      </w:tr>
      <w:tr w:rsidR="00000000" w14:paraId="34640906" w14:textId="77777777">
        <w:trPr>
          <w:jc w:val="center"/>
        </w:trPr>
        <w:tc>
          <w:tcPr>
            <w:tcW w:w="0" w:type="auto"/>
            <w:gridSpan w:val="3"/>
            <w:shd w:val="clear" w:color="auto" w:fill="FFFFFF"/>
            <w:tcMar>
              <w:top w:w="30" w:type="dxa"/>
              <w:left w:w="20" w:type="dxa"/>
              <w:bottom w:w="30" w:type="dxa"/>
              <w:right w:w="20" w:type="dxa"/>
            </w:tcMar>
            <w:vAlign w:val="center"/>
            <w:hideMark/>
          </w:tcPr>
          <w:p w14:paraId="181D8849" w14:textId="77777777" w:rsidR="00000000" w:rsidRDefault="00405D16">
            <w:pPr>
              <w:spacing w:after="100"/>
              <w:rPr>
                <w:rFonts w:eastAsia="Times New Roman"/>
              </w:rPr>
            </w:pPr>
            <w:r>
              <w:rPr>
                <w:rFonts w:eastAsia="Times New Roman"/>
                <w:b/>
                <w:bCs/>
                <w:color w:val="000000"/>
                <w:sz w:val="16"/>
                <w:szCs w:val="16"/>
              </w:rPr>
              <w:t>Net income (loss) available to common stockholders</w:t>
            </w:r>
          </w:p>
        </w:tc>
        <w:tc>
          <w:tcPr>
            <w:tcW w:w="0" w:type="auto"/>
            <w:gridSpan w:val="3"/>
            <w:shd w:val="clear" w:color="auto" w:fill="FFFFFF"/>
            <w:tcMar>
              <w:top w:w="0" w:type="dxa"/>
              <w:left w:w="20" w:type="dxa"/>
              <w:bottom w:w="0" w:type="dxa"/>
              <w:right w:w="20" w:type="dxa"/>
            </w:tcMar>
            <w:vAlign w:val="center"/>
            <w:hideMark/>
          </w:tcPr>
          <w:p w14:paraId="4002282B" w14:textId="77777777" w:rsidR="00000000" w:rsidRDefault="00405D16">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2DCBD6AF" w14:textId="77777777" w:rsidR="00000000" w:rsidRDefault="00405D16">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7FF7C1F9" w14:textId="77777777" w:rsidR="00000000" w:rsidRDefault="00405D16">
            <w:pPr>
              <w:spacing w:after="100"/>
              <w:jc w:val="right"/>
              <w:rPr>
                <w:rFonts w:eastAsia="Times New Roman"/>
              </w:rPr>
            </w:pPr>
            <w:r>
              <w:rPr>
                <w:rFonts w:eastAsia="Times New Roman"/>
                <w:b/>
                <w:bCs/>
                <w:color w:val="000000"/>
                <w:sz w:val="16"/>
                <w:szCs w:val="16"/>
              </w:rPr>
              <w:t>2,987</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ED97BD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70059F"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5C9498E6"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4BBA9E39" w14:textId="77777777" w:rsidR="00000000" w:rsidRDefault="00405D16">
            <w:pPr>
              <w:spacing w:after="100"/>
              <w:jc w:val="right"/>
              <w:rPr>
                <w:rFonts w:eastAsia="Times New Roman"/>
              </w:rPr>
            </w:pPr>
            <w:r>
              <w:rPr>
                <w:rFonts w:eastAsia="Times New Roman"/>
                <w:color w:val="000000"/>
                <w:sz w:val="16"/>
                <w:szCs w:val="16"/>
              </w:rPr>
              <w:t>2,319 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154D56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8BFBC8"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1B46EAF2" w14:textId="77777777" w:rsidR="00000000" w:rsidRDefault="00405D16">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0AAFFDBD" w14:textId="77777777" w:rsidR="00000000" w:rsidRDefault="00405D16">
            <w:pPr>
              <w:spacing w:after="100"/>
              <w:jc w:val="right"/>
              <w:rPr>
                <w:rFonts w:eastAsia="Times New Roman"/>
              </w:rPr>
            </w:pPr>
            <w:r>
              <w:rPr>
                <w:rFonts w:eastAsia="Times New Roman"/>
                <w:b/>
                <w:bCs/>
                <w:color w:val="000000"/>
                <w:sz w:val="16"/>
                <w:szCs w:val="16"/>
              </w:rPr>
              <w:t>9,669</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CA5FB8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AE2E0D"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03296651"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6646F0BD" w14:textId="77777777" w:rsidR="00000000" w:rsidRDefault="00405D16">
            <w:pPr>
              <w:spacing w:after="100"/>
              <w:jc w:val="right"/>
              <w:rPr>
                <w:rFonts w:eastAsia="Times New Roman"/>
              </w:rPr>
            </w:pPr>
            <w:r>
              <w:rPr>
                <w:rFonts w:eastAsia="Times New Roman"/>
                <w:color w:val="000000"/>
                <w:sz w:val="16"/>
                <w:szCs w:val="16"/>
              </w:rPr>
              <w:t>(91)</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A8E6F29" w14:textId="77777777" w:rsidR="00000000" w:rsidRDefault="00405D16">
            <w:pPr>
              <w:spacing w:after="100"/>
              <w:jc w:val="right"/>
              <w:rPr>
                <w:rFonts w:eastAsia="Times New Roman"/>
              </w:rPr>
            </w:pPr>
          </w:p>
        </w:tc>
        <w:tc>
          <w:tcPr>
            <w:tcW w:w="0" w:type="auto"/>
            <w:vAlign w:val="center"/>
            <w:hideMark/>
          </w:tcPr>
          <w:p w14:paraId="554B42F9" w14:textId="77777777" w:rsidR="00000000" w:rsidRDefault="00405D16">
            <w:pPr>
              <w:spacing w:after="100"/>
              <w:jc w:val="right"/>
              <w:rPr>
                <w:rFonts w:eastAsia="Times New Roman"/>
                <w:sz w:val="20"/>
                <w:szCs w:val="20"/>
              </w:rPr>
            </w:pPr>
          </w:p>
        </w:tc>
        <w:tc>
          <w:tcPr>
            <w:tcW w:w="0" w:type="auto"/>
            <w:vAlign w:val="center"/>
            <w:hideMark/>
          </w:tcPr>
          <w:p w14:paraId="43552472" w14:textId="77777777" w:rsidR="00000000" w:rsidRDefault="00405D16">
            <w:pPr>
              <w:spacing w:after="100"/>
              <w:rPr>
                <w:rFonts w:eastAsia="Times New Roman"/>
                <w:sz w:val="20"/>
                <w:szCs w:val="20"/>
              </w:rPr>
            </w:pPr>
          </w:p>
        </w:tc>
      </w:tr>
      <w:tr w:rsidR="00000000" w14:paraId="665D5C38" w14:textId="77777777">
        <w:trPr>
          <w:jc w:val="center"/>
        </w:trPr>
        <w:tc>
          <w:tcPr>
            <w:tcW w:w="0" w:type="auto"/>
            <w:gridSpan w:val="3"/>
            <w:shd w:val="clear" w:color="auto" w:fill="CCEEFF"/>
            <w:tcMar>
              <w:top w:w="30" w:type="dxa"/>
              <w:left w:w="20" w:type="dxa"/>
              <w:bottom w:w="30" w:type="dxa"/>
              <w:right w:w="20" w:type="dxa"/>
            </w:tcMar>
            <w:vAlign w:val="center"/>
            <w:hideMark/>
          </w:tcPr>
          <w:p w14:paraId="7CBAFC53" w14:textId="77777777" w:rsidR="00000000" w:rsidRDefault="00405D16">
            <w:pPr>
              <w:spacing w:after="100"/>
              <w:rPr>
                <w:rFonts w:eastAsia="Times New Roman"/>
              </w:rPr>
            </w:pPr>
            <w:r>
              <w:rPr>
                <w:rFonts w:eastAsia="Times New Roman"/>
                <w:b/>
                <w:bCs/>
                <w:color w:val="000000"/>
                <w:sz w:val="16"/>
                <w:szCs w:val="16"/>
              </w:rPr>
              <w:t>Basic earnings per common share:</w:t>
            </w:r>
          </w:p>
        </w:tc>
        <w:tc>
          <w:tcPr>
            <w:tcW w:w="0" w:type="auto"/>
            <w:gridSpan w:val="3"/>
            <w:shd w:val="clear" w:color="auto" w:fill="CCEEFF"/>
            <w:tcMar>
              <w:top w:w="0" w:type="dxa"/>
              <w:left w:w="20" w:type="dxa"/>
              <w:bottom w:w="0" w:type="dxa"/>
              <w:right w:w="20" w:type="dxa"/>
            </w:tcMar>
            <w:vAlign w:val="center"/>
            <w:hideMark/>
          </w:tcPr>
          <w:p w14:paraId="2C6EF17E" w14:textId="77777777" w:rsidR="00000000" w:rsidRDefault="00405D16">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73333A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50A4EB"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AD3A7C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D795E5"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D9E328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064C8D"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1B38454" w14:textId="77777777" w:rsidR="00000000" w:rsidRDefault="00405D16">
            <w:pPr>
              <w:spacing w:after="100"/>
              <w:rPr>
                <w:rFonts w:eastAsia="Times New Roman"/>
                <w:sz w:val="20"/>
                <w:szCs w:val="20"/>
              </w:rPr>
            </w:pPr>
          </w:p>
        </w:tc>
        <w:tc>
          <w:tcPr>
            <w:tcW w:w="0" w:type="auto"/>
            <w:vAlign w:val="center"/>
            <w:hideMark/>
          </w:tcPr>
          <w:p w14:paraId="0EE872D2" w14:textId="77777777" w:rsidR="00000000" w:rsidRDefault="00405D16">
            <w:pPr>
              <w:spacing w:after="100"/>
              <w:rPr>
                <w:rFonts w:eastAsia="Times New Roman"/>
                <w:sz w:val="20"/>
                <w:szCs w:val="20"/>
              </w:rPr>
            </w:pPr>
          </w:p>
        </w:tc>
        <w:tc>
          <w:tcPr>
            <w:tcW w:w="0" w:type="auto"/>
            <w:vAlign w:val="center"/>
            <w:hideMark/>
          </w:tcPr>
          <w:p w14:paraId="06898FC6" w14:textId="77777777" w:rsidR="00000000" w:rsidRDefault="00405D16">
            <w:pPr>
              <w:spacing w:after="100"/>
              <w:rPr>
                <w:rFonts w:eastAsia="Times New Roman"/>
                <w:sz w:val="20"/>
                <w:szCs w:val="20"/>
              </w:rPr>
            </w:pPr>
          </w:p>
        </w:tc>
      </w:tr>
      <w:tr w:rsidR="00000000" w14:paraId="661DB4B8" w14:textId="77777777">
        <w:trPr>
          <w:jc w:val="center"/>
        </w:trPr>
        <w:tc>
          <w:tcPr>
            <w:tcW w:w="0" w:type="auto"/>
            <w:gridSpan w:val="3"/>
            <w:shd w:val="clear" w:color="auto" w:fill="FFFFFF"/>
            <w:tcMar>
              <w:top w:w="30" w:type="dxa"/>
              <w:left w:w="20" w:type="dxa"/>
              <w:bottom w:w="30" w:type="dxa"/>
              <w:right w:w="20" w:type="dxa"/>
            </w:tcMar>
            <w:vAlign w:val="center"/>
            <w:hideMark/>
          </w:tcPr>
          <w:p w14:paraId="26A7C083" w14:textId="77777777" w:rsidR="00000000" w:rsidRDefault="00405D16">
            <w:pPr>
              <w:spacing w:after="100"/>
              <w:rPr>
                <w:rFonts w:eastAsia="Times New Roman"/>
              </w:rPr>
            </w:pPr>
            <w:r>
              <w:rPr>
                <w:rFonts w:eastAsia="Times New Roman"/>
                <w:color w:val="000000"/>
                <w:sz w:val="16"/>
                <w:szCs w:val="16"/>
              </w:rPr>
              <w:t>Net income (loss) from continuing operations</w:t>
            </w:r>
          </w:p>
        </w:tc>
        <w:tc>
          <w:tcPr>
            <w:tcW w:w="0" w:type="auto"/>
            <w:gridSpan w:val="3"/>
            <w:shd w:val="clear" w:color="auto" w:fill="FFFFFF"/>
            <w:tcMar>
              <w:top w:w="0" w:type="dxa"/>
              <w:left w:w="20" w:type="dxa"/>
              <w:bottom w:w="0" w:type="dxa"/>
              <w:right w:w="20" w:type="dxa"/>
            </w:tcMar>
            <w:vAlign w:val="center"/>
            <w:hideMark/>
          </w:tcPr>
          <w:p w14:paraId="0C913836"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3A262232" w14:textId="77777777" w:rsidR="00000000" w:rsidRDefault="00405D16">
            <w:pPr>
              <w:spacing w:after="100"/>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14:paraId="63FAA2F1" w14:textId="77777777" w:rsidR="00000000" w:rsidRDefault="00405D16">
            <w:pPr>
              <w:spacing w:after="100"/>
              <w:jc w:val="right"/>
              <w:rPr>
                <w:rFonts w:eastAsia="Times New Roman"/>
              </w:rPr>
            </w:pPr>
            <w:r>
              <w:rPr>
                <w:rFonts w:eastAsia="Times New Roman"/>
                <w:b/>
                <w:bCs/>
                <w:color w:val="000000"/>
                <w:sz w:val="16"/>
                <w:szCs w:val="16"/>
              </w:rPr>
              <w:t>6.81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2149DC0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8AE8A3"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10B84DD" w14:textId="77777777" w:rsidR="00000000" w:rsidRDefault="00405D1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41F4EF59" w14:textId="77777777" w:rsidR="00000000" w:rsidRDefault="00405D16">
            <w:pPr>
              <w:spacing w:after="100"/>
              <w:jc w:val="right"/>
              <w:rPr>
                <w:rFonts w:eastAsia="Times New Roman"/>
              </w:rPr>
            </w:pPr>
            <w:r>
              <w:rPr>
                <w:rFonts w:eastAsia="Times New Roman"/>
                <w:color w:val="000000"/>
                <w:sz w:val="16"/>
                <w:szCs w:val="16"/>
              </w:rPr>
              <w:t>5.07 </w:t>
            </w:r>
          </w:p>
        </w:tc>
        <w:tc>
          <w:tcPr>
            <w:tcW w:w="0" w:type="auto"/>
            <w:shd w:val="clear" w:color="auto" w:fill="FFFFFF"/>
            <w:tcMar>
              <w:top w:w="30" w:type="dxa"/>
              <w:left w:w="0" w:type="dxa"/>
              <w:bottom w:w="30" w:type="dxa"/>
              <w:right w:w="20" w:type="dxa"/>
            </w:tcMar>
            <w:vAlign w:val="center"/>
            <w:hideMark/>
          </w:tcPr>
          <w:p w14:paraId="6C8EF3B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295B4C"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4A050F2" w14:textId="77777777" w:rsidR="00000000" w:rsidRDefault="00405D16">
            <w:pPr>
              <w:spacing w:after="100"/>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14:paraId="354E21B1" w14:textId="77777777" w:rsidR="00000000" w:rsidRDefault="00405D16">
            <w:pPr>
              <w:spacing w:after="100"/>
              <w:jc w:val="right"/>
              <w:rPr>
                <w:rFonts w:eastAsia="Times New Roman"/>
              </w:rPr>
            </w:pPr>
            <w:r>
              <w:rPr>
                <w:rFonts w:eastAsia="Times New Roman"/>
                <w:b/>
                <w:bCs/>
                <w:color w:val="000000"/>
                <w:sz w:val="16"/>
                <w:szCs w:val="16"/>
              </w:rPr>
              <w:t>21.53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116F4B9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B45E02"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38777BA" w14:textId="77777777" w:rsidR="00000000" w:rsidRDefault="00405D1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1F08DDEF" w14:textId="77777777" w:rsidR="00000000" w:rsidRDefault="00405D16">
            <w:pPr>
              <w:spacing w:after="100"/>
              <w:jc w:val="right"/>
              <w:rPr>
                <w:rFonts w:eastAsia="Times New Roman"/>
              </w:rPr>
            </w:pPr>
            <w:r>
              <w:rPr>
                <w:rFonts w:eastAsia="Times New Roman"/>
                <w:color w:val="000000"/>
                <w:sz w:val="16"/>
                <w:szCs w:val="16"/>
              </w:rPr>
              <w:t>(0.20)</w:t>
            </w:r>
          </w:p>
        </w:tc>
        <w:tc>
          <w:tcPr>
            <w:tcW w:w="0" w:type="auto"/>
            <w:shd w:val="clear" w:color="auto" w:fill="FFFFFF"/>
            <w:tcMar>
              <w:top w:w="30" w:type="dxa"/>
              <w:left w:w="0" w:type="dxa"/>
              <w:bottom w:w="30" w:type="dxa"/>
              <w:right w:w="20" w:type="dxa"/>
            </w:tcMar>
            <w:vAlign w:val="center"/>
            <w:hideMark/>
          </w:tcPr>
          <w:p w14:paraId="3236D89E" w14:textId="77777777" w:rsidR="00000000" w:rsidRDefault="00405D16">
            <w:pPr>
              <w:spacing w:after="100"/>
              <w:jc w:val="right"/>
              <w:rPr>
                <w:rFonts w:eastAsia="Times New Roman"/>
              </w:rPr>
            </w:pPr>
          </w:p>
        </w:tc>
        <w:tc>
          <w:tcPr>
            <w:tcW w:w="0" w:type="auto"/>
            <w:vAlign w:val="center"/>
            <w:hideMark/>
          </w:tcPr>
          <w:p w14:paraId="7D20E11D" w14:textId="77777777" w:rsidR="00000000" w:rsidRDefault="00405D16">
            <w:pPr>
              <w:spacing w:after="100"/>
              <w:jc w:val="right"/>
              <w:rPr>
                <w:rFonts w:eastAsia="Times New Roman"/>
                <w:sz w:val="20"/>
                <w:szCs w:val="20"/>
              </w:rPr>
            </w:pPr>
          </w:p>
        </w:tc>
        <w:tc>
          <w:tcPr>
            <w:tcW w:w="0" w:type="auto"/>
            <w:vAlign w:val="center"/>
            <w:hideMark/>
          </w:tcPr>
          <w:p w14:paraId="71690CD1" w14:textId="77777777" w:rsidR="00000000" w:rsidRDefault="00405D16">
            <w:pPr>
              <w:spacing w:after="100"/>
              <w:rPr>
                <w:rFonts w:eastAsia="Times New Roman"/>
                <w:sz w:val="20"/>
                <w:szCs w:val="20"/>
              </w:rPr>
            </w:pPr>
          </w:p>
        </w:tc>
      </w:tr>
      <w:tr w:rsidR="00000000" w14:paraId="7C4D6634" w14:textId="77777777">
        <w:trPr>
          <w:jc w:val="center"/>
        </w:trPr>
        <w:tc>
          <w:tcPr>
            <w:tcW w:w="0" w:type="auto"/>
            <w:gridSpan w:val="3"/>
            <w:shd w:val="clear" w:color="auto" w:fill="CCEEFF"/>
            <w:tcMar>
              <w:top w:w="30" w:type="dxa"/>
              <w:left w:w="20" w:type="dxa"/>
              <w:bottom w:w="30" w:type="dxa"/>
              <w:right w:w="20" w:type="dxa"/>
            </w:tcMar>
            <w:vAlign w:val="center"/>
            <w:hideMark/>
          </w:tcPr>
          <w:p w14:paraId="1CAAEE5B" w14:textId="77777777" w:rsidR="00000000" w:rsidRDefault="00405D16">
            <w:pPr>
              <w:spacing w:after="100"/>
              <w:rPr>
                <w:rFonts w:eastAsia="Times New Roman"/>
              </w:rPr>
            </w:pPr>
            <w:r>
              <w:rPr>
                <w:rFonts w:eastAsia="Times New Roman"/>
                <w:color w:val="000000"/>
                <w:sz w:val="16"/>
                <w:szCs w:val="16"/>
              </w:rPr>
              <w:t>Income (loss) from discontinued operations</w:t>
            </w:r>
          </w:p>
        </w:tc>
        <w:tc>
          <w:tcPr>
            <w:tcW w:w="0" w:type="auto"/>
            <w:gridSpan w:val="3"/>
            <w:shd w:val="clear" w:color="auto" w:fill="CCEEFF"/>
            <w:tcMar>
              <w:top w:w="0" w:type="dxa"/>
              <w:left w:w="20" w:type="dxa"/>
              <w:bottom w:w="0" w:type="dxa"/>
              <w:right w:w="20" w:type="dxa"/>
            </w:tcMar>
            <w:vAlign w:val="center"/>
            <w:hideMark/>
          </w:tcPr>
          <w:p w14:paraId="6486E808"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68065FB" w14:textId="77777777" w:rsidR="00000000" w:rsidRDefault="00405D16">
            <w:pPr>
              <w:spacing w:after="100"/>
              <w:jc w:val="right"/>
              <w:rPr>
                <w:rFonts w:eastAsia="Times New Roman"/>
              </w:rPr>
            </w:pPr>
            <w:r>
              <w:rPr>
                <w:rFonts w:eastAsia="Times New Roman"/>
                <w:b/>
                <w:bCs/>
                <w:color w:val="000000"/>
                <w:sz w:val="16"/>
                <w:szCs w:val="16"/>
              </w:rPr>
              <w:t>0.00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26D5175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EC3CB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CE129F8" w14:textId="77777777" w:rsidR="00000000" w:rsidRDefault="00405D16">
            <w:pPr>
              <w:spacing w:after="100"/>
              <w:jc w:val="right"/>
              <w:rPr>
                <w:rFonts w:eastAsia="Times New Roman"/>
              </w:rPr>
            </w:pPr>
            <w:r>
              <w:rPr>
                <w:rFonts w:eastAsia="Times New Roman"/>
                <w:color w:val="000000"/>
                <w:sz w:val="16"/>
                <w:szCs w:val="16"/>
              </w:rPr>
              <w:t>0.00 </w:t>
            </w:r>
          </w:p>
        </w:tc>
        <w:tc>
          <w:tcPr>
            <w:tcW w:w="0" w:type="auto"/>
            <w:shd w:val="clear" w:color="auto" w:fill="CCEEFF"/>
            <w:tcMar>
              <w:top w:w="30" w:type="dxa"/>
              <w:left w:w="0" w:type="dxa"/>
              <w:bottom w:w="30" w:type="dxa"/>
              <w:right w:w="20" w:type="dxa"/>
            </w:tcMar>
            <w:vAlign w:val="center"/>
            <w:hideMark/>
          </w:tcPr>
          <w:p w14:paraId="0513D68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18CA4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316226D" w14:textId="77777777" w:rsidR="00000000" w:rsidRDefault="00405D16">
            <w:pPr>
              <w:spacing w:after="100"/>
              <w:jc w:val="right"/>
              <w:rPr>
                <w:rFonts w:eastAsia="Times New Roman"/>
              </w:rPr>
            </w:pPr>
            <w:r>
              <w:rPr>
                <w:rFonts w:eastAsia="Times New Roman"/>
                <w:b/>
                <w:bCs/>
                <w:color w:val="000000"/>
                <w:sz w:val="16"/>
                <w:szCs w:val="16"/>
              </w:rPr>
              <w:t>(0.01)</w:t>
            </w:r>
          </w:p>
        </w:tc>
        <w:tc>
          <w:tcPr>
            <w:tcW w:w="0" w:type="auto"/>
            <w:shd w:val="clear" w:color="auto" w:fill="CCEEFF"/>
            <w:tcMar>
              <w:top w:w="30" w:type="dxa"/>
              <w:left w:w="0" w:type="dxa"/>
              <w:bottom w:w="30" w:type="dxa"/>
              <w:right w:w="20" w:type="dxa"/>
            </w:tcMar>
            <w:vAlign w:val="center"/>
            <w:hideMark/>
          </w:tcPr>
          <w:p w14:paraId="03336E6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1EAE0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F07EA48" w14:textId="77777777" w:rsidR="00000000" w:rsidRDefault="00405D16">
            <w:pPr>
              <w:spacing w:after="100"/>
              <w:jc w:val="right"/>
              <w:rPr>
                <w:rFonts w:eastAsia="Times New Roman"/>
              </w:rPr>
            </w:pPr>
            <w:r>
              <w:rPr>
                <w:rFonts w:eastAsia="Times New Roman"/>
                <w:color w:val="000000"/>
                <w:sz w:val="16"/>
                <w:szCs w:val="16"/>
              </w:rPr>
              <w:t>0.00 </w:t>
            </w:r>
          </w:p>
        </w:tc>
        <w:tc>
          <w:tcPr>
            <w:tcW w:w="0" w:type="auto"/>
            <w:shd w:val="clear" w:color="auto" w:fill="CCEEFF"/>
            <w:tcMar>
              <w:top w:w="30" w:type="dxa"/>
              <w:left w:w="0" w:type="dxa"/>
              <w:bottom w:w="30" w:type="dxa"/>
              <w:right w:w="20" w:type="dxa"/>
            </w:tcMar>
            <w:vAlign w:val="center"/>
            <w:hideMark/>
          </w:tcPr>
          <w:p w14:paraId="0DB39BE2" w14:textId="77777777" w:rsidR="00000000" w:rsidRDefault="00405D16">
            <w:pPr>
              <w:spacing w:after="100"/>
              <w:jc w:val="right"/>
              <w:rPr>
                <w:rFonts w:eastAsia="Times New Roman"/>
              </w:rPr>
            </w:pPr>
          </w:p>
        </w:tc>
        <w:tc>
          <w:tcPr>
            <w:tcW w:w="0" w:type="auto"/>
            <w:vAlign w:val="center"/>
            <w:hideMark/>
          </w:tcPr>
          <w:p w14:paraId="3E6FEAC5" w14:textId="77777777" w:rsidR="00000000" w:rsidRDefault="00405D16">
            <w:pPr>
              <w:spacing w:after="100"/>
              <w:jc w:val="right"/>
              <w:rPr>
                <w:rFonts w:eastAsia="Times New Roman"/>
                <w:sz w:val="20"/>
                <w:szCs w:val="20"/>
              </w:rPr>
            </w:pPr>
          </w:p>
        </w:tc>
        <w:tc>
          <w:tcPr>
            <w:tcW w:w="0" w:type="auto"/>
            <w:vAlign w:val="center"/>
            <w:hideMark/>
          </w:tcPr>
          <w:p w14:paraId="668E4DD9" w14:textId="77777777" w:rsidR="00000000" w:rsidRDefault="00405D16">
            <w:pPr>
              <w:spacing w:after="100"/>
              <w:rPr>
                <w:rFonts w:eastAsia="Times New Roman"/>
                <w:sz w:val="20"/>
                <w:szCs w:val="20"/>
              </w:rPr>
            </w:pPr>
          </w:p>
        </w:tc>
      </w:tr>
      <w:tr w:rsidR="00000000" w14:paraId="1FD9EBF0" w14:textId="77777777">
        <w:trPr>
          <w:jc w:val="center"/>
        </w:trPr>
        <w:tc>
          <w:tcPr>
            <w:tcW w:w="0" w:type="auto"/>
            <w:gridSpan w:val="3"/>
            <w:shd w:val="clear" w:color="auto" w:fill="FFFFFF"/>
            <w:tcMar>
              <w:top w:w="30" w:type="dxa"/>
              <w:left w:w="20" w:type="dxa"/>
              <w:bottom w:w="30" w:type="dxa"/>
              <w:right w:w="20" w:type="dxa"/>
            </w:tcMar>
            <w:vAlign w:val="center"/>
            <w:hideMark/>
          </w:tcPr>
          <w:p w14:paraId="4056DA11" w14:textId="77777777" w:rsidR="00000000" w:rsidRDefault="00405D16">
            <w:pPr>
              <w:spacing w:after="100"/>
              <w:rPr>
                <w:rFonts w:eastAsia="Times New Roman"/>
              </w:rPr>
            </w:pPr>
            <w:r>
              <w:rPr>
                <w:rFonts w:eastAsia="Times New Roman"/>
                <w:color w:val="000000"/>
                <w:sz w:val="16"/>
                <w:szCs w:val="16"/>
              </w:rPr>
              <w:t>Net income (loss) per basic common share</w:t>
            </w:r>
          </w:p>
        </w:tc>
        <w:tc>
          <w:tcPr>
            <w:tcW w:w="0" w:type="auto"/>
            <w:gridSpan w:val="3"/>
            <w:shd w:val="clear" w:color="auto" w:fill="FFFFFF"/>
            <w:tcMar>
              <w:top w:w="0" w:type="dxa"/>
              <w:left w:w="20" w:type="dxa"/>
              <w:bottom w:w="0" w:type="dxa"/>
              <w:right w:w="20" w:type="dxa"/>
            </w:tcMar>
            <w:vAlign w:val="center"/>
            <w:hideMark/>
          </w:tcPr>
          <w:p w14:paraId="5EF89DB5" w14:textId="77777777" w:rsidR="00000000" w:rsidRDefault="00405D16">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02C7194D" w14:textId="77777777" w:rsidR="00000000" w:rsidRDefault="00405D16">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2B224BB5" w14:textId="77777777" w:rsidR="00000000" w:rsidRDefault="00405D16">
            <w:pPr>
              <w:spacing w:after="100"/>
              <w:jc w:val="right"/>
              <w:rPr>
                <w:rFonts w:eastAsia="Times New Roman"/>
              </w:rPr>
            </w:pPr>
            <w:r>
              <w:rPr>
                <w:rFonts w:eastAsia="Times New Roman"/>
                <w:b/>
                <w:bCs/>
                <w:color w:val="000000"/>
                <w:sz w:val="16"/>
                <w:szCs w:val="16"/>
              </w:rPr>
              <w:t>6.81</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DBF231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B20D04"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31A9F5E5"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604B28CF" w14:textId="77777777" w:rsidR="00000000" w:rsidRDefault="00405D16">
            <w:pPr>
              <w:spacing w:after="100"/>
              <w:jc w:val="right"/>
              <w:rPr>
                <w:rFonts w:eastAsia="Times New Roman"/>
              </w:rPr>
            </w:pPr>
            <w:r>
              <w:rPr>
                <w:rFonts w:eastAsia="Times New Roman"/>
                <w:color w:val="000000"/>
                <w:sz w:val="16"/>
                <w:szCs w:val="16"/>
              </w:rPr>
              <w:t>5.07 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E69662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803DDB"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0ED1DF0A" w14:textId="77777777" w:rsidR="00000000" w:rsidRDefault="00405D16">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24664C70" w14:textId="77777777" w:rsidR="00000000" w:rsidRDefault="00405D16">
            <w:pPr>
              <w:spacing w:after="100"/>
              <w:jc w:val="right"/>
              <w:rPr>
                <w:rFonts w:eastAsia="Times New Roman"/>
              </w:rPr>
            </w:pPr>
            <w:r>
              <w:rPr>
                <w:rFonts w:eastAsia="Times New Roman"/>
                <w:b/>
                <w:bCs/>
                <w:color w:val="000000"/>
                <w:sz w:val="16"/>
                <w:szCs w:val="16"/>
              </w:rPr>
              <w:t>21.52</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38F3B4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E2F847"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265B8693"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20467385" w14:textId="77777777" w:rsidR="00000000" w:rsidRDefault="00405D16">
            <w:pPr>
              <w:spacing w:after="100"/>
              <w:jc w:val="right"/>
              <w:rPr>
                <w:rFonts w:eastAsia="Times New Roman"/>
              </w:rPr>
            </w:pPr>
            <w:r>
              <w:rPr>
                <w:rFonts w:eastAsia="Times New Roman"/>
                <w:color w:val="000000"/>
                <w:sz w:val="16"/>
                <w:szCs w:val="16"/>
              </w:rPr>
              <w:t>(0.20)</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9CA7F0C" w14:textId="77777777" w:rsidR="00000000" w:rsidRDefault="00405D16">
            <w:pPr>
              <w:spacing w:after="100"/>
              <w:jc w:val="right"/>
              <w:rPr>
                <w:rFonts w:eastAsia="Times New Roman"/>
              </w:rPr>
            </w:pPr>
          </w:p>
        </w:tc>
        <w:tc>
          <w:tcPr>
            <w:tcW w:w="0" w:type="auto"/>
            <w:vAlign w:val="center"/>
            <w:hideMark/>
          </w:tcPr>
          <w:p w14:paraId="7878BF01" w14:textId="77777777" w:rsidR="00000000" w:rsidRDefault="00405D16">
            <w:pPr>
              <w:spacing w:after="100"/>
              <w:jc w:val="right"/>
              <w:rPr>
                <w:rFonts w:eastAsia="Times New Roman"/>
                <w:sz w:val="20"/>
                <w:szCs w:val="20"/>
              </w:rPr>
            </w:pPr>
          </w:p>
        </w:tc>
        <w:tc>
          <w:tcPr>
            <w:tcW w:w="0" w:type="auto"/>
            <w:vAlign w:val="center"/>
            <w:hideMark/>
          </w:tcPr>
          <w:p w14:paraId="4B448CCA" w14:textId="77777777" w:rsidR="00000000" w:rsidRDefault="00405D16">
            <w:pPr>
              <w:spacing w:after="100"/>
              <w:rPr>
                <w:rFonts w:eastAsia="Times New Roman"/>
                <w:sz w:val="20"/>
                <w:szCs w:val="20"/>
              </w:rPr>
            </w:pPr>
          </w:p>
        </w:tc>
      </w:tr>
      <w:tr w:rsidR="00000000" w14:paraId="629A178B" w14:textId="77777777">
        <w:trPr>
          <w:jc w:val="center"/>
        </w:trPr>
        <w:tc>
          <w:tcPr>
            <w:tcW w:w="0" w:type="auto"/>
            <w:gridSpan w:val="3"/>
            <w:shd w:val="clear" w:color="auto" w:fill="CCEEFF"/>
            <w:tcMar>
              <w:top w:w="30" w:type="dxa"/>
              <w:left w:w="20" w:type="dxa"/>
              <w:bottom w:w="30" w:type="dxa"/>
              <w:right w:w="20" w:type="dxa"/>
            </w:tcMar>
            <w:vAlign w:val="center"/>
            <w:hideMark/>
          </w:tcPr>
          <w:p w14:paraId="063D25C4" w14:textId="77777777" w:rsidR="00000000" w:rsidRDefault="00405D16">
            <w:pPr>
              <w:spacing w:after="100"/>
              <w:rPr>
                <w:rFonts w:eastAsia="Times New Roman"/>
              </w:rPr>
            </w:pPr>
            <w:r>
              <w:rPr>
                <w:rFonts w:eastAsia="Times New Roman"/>
                <w:b/>
                <w:bCs/>
                <w:color w:val="000000"/>
                <w:sz w:val="16"/>
                <w:szCs w:val="16"/>
              </w:rPr>
              <w:t>Diluted earnings per common share:</w:t>
            </w:r>
          </w:p>
        </w:tc>
        <w:tc>
          <w:tcPr>
            <w:tcW w:w="0" w:type="auto"/>
            <w:gridSpan w:val="3"/>
            <w:shd w:val="clear" w:color="auto" w:fill="CCEEFF"/>
            <w:tcMar>
              <w:top w:w="0" w:type="dxa"/>
              <w:left w:w="20" w:type="dxa"/>
              <w:bottom w:w="0" w:type="dxa"/>
              <w:right w:w="20" w:type="dxa"/>
            </w:tcMar>
            <w:vAlign w:val="center"/>
            <w:hideMark/>
          </w:tcPr>
          <w:p w14:paraId="72DE7FEE" w14:textId="77777777" w:rsidR="00000000" w:rsidRDefault="00405D16">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CDEC25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D2B7F5"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6E813D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4EC14E"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85A93D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E69C63"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B0A506A" w14:textId="77777777" w:rsidR="00000000" w:rsidRDefault="00405D16">
            <w:pPr>
              <w:spacing w:after="100"/>
              <w:rPr>
                <w:rFonts w:eastAsia="Times New Roman"/>
                <w:sz w:val="20"/>
                <w:szCs w:val="20"/>
              </w:rPr>
            </w:pPr>
          </w:p>
        </w:tc>
        <w:tc>
          <w:tcPr>
            <w:tcW w:w="0" w:type="auto"/>
            <w:vAlign w:val="center"/>
            <w:hideMark/>
          </w:tcPr>
          <w:p w14:paraId="05BBD32B" w14:textId="77777777" w:rsidR="00000000" w:rsidRDefault="00405D16">
            <w:pPr>
              <w:spacing w:after="100"/>
              <w:rPr>
                <w:rFonts w:eastAsia="Times New Roman"/>
                <w:sz w:val="20"/>
                <w:szCs w:val="20"/>
              </w:rPr>
            </w:pPr>
          </w:p>
        </w:tc>
        <w:tc>
          <w:tcPr>
            <w:tcW w:w="0" w:type="auto"/>
            <w:vAlign w:val="center"/>
            <w:hideMark/>
          </w:tcPr>
          <w:p w14:paraId="11A0D863" w14:textId="77777777" w:rsidR="00000000" w:rsidRDefault="00405D16">
            <w:pPr>
              <w:spacing w:after="100"/>
              <w:rPr>
                <w:rFonts w:eastAsia="Times New Roman"/>
                <w:sz w:val="20"/>
                <w:szCs w:val="20"/>
              </w:rPr>
            </w:pPr>
          </w:p>
        </w:tc>
      </w:tr>
      <w:tr w:rsidR="00000000" w14:paraId="2AFB73E4" w14:textId="77777777">
        <w:trPr>
          <w:jc w:val="center"/>
        </w:trPr>
        <w:tc>
          <w:tcPr>
            <w:tcW w:w="0" w:type="auto"/>
            <w:gridSpan w:val="3"/>
            <w:shd w:val="clear" w:color="auto" w:fill="FFFFFF"/>
            <w:tcMar>
              <w:top w:w="30" w:type="dxa"/>
              <w:left w:w="20" w:type="dxa"/>
              <w:bottom w:w="30" w:type="dxa"/>
              <w:right w:w="20" w:type="dxa"/>
            </w:tcMar>
            <w:vAlign w:val="center"/>
            <w:hideMark/>
          </w:tcPr>
          <w:p w14:paraId="4C861792" w14:textId="77777777" w:rsidR="00000000" w:rsidRDefault="00405D16">
            <w:pPr>
              <w:spacing w:after="100"/>
              <w:rPr>
                <w:rFonts w:eastAsia="Times New Roman"/>
              </w:rPr>
            </w:pPr>
            <w:r>
              <w:rPr>
                <w:rFonts w:eastAsia="Times New Roman"/>
                <w:color w:val="000000"/>
                <w:sz w:val="16"/>
                <w:szCs w:val="16"/>
              </w:rPr>
              <w:t>Net income (loss) from continuing operations</w:t>
            </w:r>
          </w:p>
        </w:tc>
        <w:tc>
          <w:tcPr>
            <w:tcW w:w="0" w:type="auto"/>
            <w:gridSpan w:val="3"/>
            <w:shd w:val="clear" w:color="auto" w:fill="FFFFFF"/>
            <w:tcMar>
              <w:top w:w="0" w:type="dxa"/>
              <w:left w:w="20" w:type="dxa"/>
              <w:bottom w:w="0" w:type="dxa"/>
              <w:right w:w="20" w:type="dxa"/>
            </w:tcMar>
            <w:vAlign w:val="center"/>
            <w:hideMark/>
          </w:tcPr>
          <w:p w14:paraId="4F432157"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5D62F69F" w14:textId="77777777" w:rsidR="00000000" w:rsidRDefault="00405D16">
            <w:pPr>
              <w:spacing w:after="100"/>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14:paraId="389C20CE" w14:textId="77777777" w:rsidR="00000000" w:rsidRDefault="00405D16">
            <w:pPr>
              <w:spacing w:after="100"/>
              <w:jc w:val="right"/>
              <w:rPr>
                <w:rFonts w:eastAsia="Times New Roman"/>
              </w:rPr>
            </w:pPr>
            <w:r>
              <w:rPr>
                <w:rFonts w:eastAsia="Times New Roman"/>
                <w:b/>
                <w:bCs/>
                <w:color w:val="000000"/>
                <w:sz w:val="16"/>
                <w:szCs w:val="16"/>
              </w:rPr>
              <w:t>6.78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58A3600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A769D9"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7946EFE" w14:textId="77777777" w:rsidR="00000000" w:rsidRDefault="00405D1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2472D2DA" w14:textId="77777777" w:rsidR="00000000" w:rsidRDefault="00405D16">
            <w:pPr>
              <w:spacing w:after="100"/>
              <w:jc w:val="right"/>
              <w:rPr>
                <w:rFonts w:eastAsia="Times New Roman"/>
              </w:rPr>
            </w:pPr>
            <w:r>
              <w:rPr>
                <w:rFonts w:eastAsia="Times New Roman"/>
                <w:color w:val="000000"/>
                <w:sz w:val="16"/>
                <w:szCs w:val="16"/>
              </w:rPr>
              <w:t>5.06 </w:t>
            </w:r>
          </w:p>
        </w:tc>
        <w:tc>
          <w:tcPr>
            <w:tcW w:w="0" w:type="auto"/>
            <w:shd w:val="clear" w:color="auto" w:fill="FFFFFF"/>
            <w:tcMar>
              <w:top w:w="30" w:type="dxa"/>
              <w:left w:w="0" w:type="dxa"/>
              <w:bottom w:w="30" w:type="dxa"/>
              <w:right w:w="20" w:type="dxa"/>
            </w:tcMar>
            <w:vAlign w:val="center"/>
            <w:hideMark/>
          </w:tcPr>
          <w:p w14:paraId="640FC11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6FB5FF"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7A5D048" w14:textId="77777777" w:rsidR="00000000" w:rsidRDefault="00405D16">
            <w:pPr>
              <w:spacing w:after="100"/>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14:paraId="4F340910" w14:textId="77777777" w:rsidR="00000000" w:rsidRDefault="00405D16">
            <w:pPr>
              <w:spacing w:after="100"/>
              <w:jc w:val="right"/>
              <w:rPr>
                <w:rFonts w:eastAsia="Times New Roman"/>
              </w:rPr>
            </w:pPr>
            <w:r>
              <w:rPr>
                <w:rFonts w:eastAsia="Times New Roman"/>
                <w:b/>
                <w:bCs/>
                <w:color w:val="000000"/>
                <w:sz w:val="16"/>
                <w:szCs w:val="16"/>
              </w:rPr>
              <w:t>21.45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1A4C796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DA9FBE"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82EF366" w14:textId="77777777" w:rsidR="00000000" w:rsidRDefault="00405D1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5C3C4C73" w14:textId="77777777" w:rsidR="00000000" w:rsidRDefault="00405D16">
            <w:pPr>
              <w:spacing w:after="100"/>
              <w:jc w:val="right"/>
              <w:rPr>
                <w:rFonts w:eastAsia="Times New Roman"/>
              </w:rPr>
            </w:pPr>
            <w:r>
              <w:rPr>
                <w:rFonts w:eastAsia="Times New Roman"/>
                <w:color w:val="000000"/>
                <w:sz w:val="16"/>
                <w:szCs w:val="16"/>
              </w:rPr>
              <w:t>(0.20)</w:t>
            </w:r>
          </w:p>
        </w:tc>
        <w:tc>
          <w:tcPr>
            <w:tcW w:w="0" w:type="auto"/>
            <w:shd w:val="clear" w:color="auto" w:fill="FFFFFF"/>
            <w:tcMar>
              <w:top w:w="30" w:type="dxa"/>
              <w:left w:w="0" w:type="dxa"/>
              <w:bottom w:w="30" w:type="dxa"/>
              <w:right w:w="20" w:type="dxa"/>
            </w:tcMar>
            <w:vAlign w:val="center"/>
            <w:hideMark/>
          </w:tcPr>
          <w:p w14:paraId="104DB1B2" w14:textId="77777777" w:rsidR="00000000" w:rsidRDefault="00405D16">
            <w:pPr>
              <w:spacing w:after="100"/>
              <w:jc w:val="right"/>
              <w:rPr>
                <w:rFonts w:eastAsia="Times New Roman"/>
              </w:rPr>
            </w:pPr>
          </w:p>
        </w:tc>
        <w:tc>
          <w:tcPr>
            <w:tcW w:w="0" w:type="auto"/>
            <w:vAlign w:val="center"/>
            <w:hideMark/>
          </w:tcPr>
          <w:p w14:paraId="0FA6ABF2" w14:textId="77777777" w:rsidR="00000000" w:rsidRDefault="00405D16">
            <w:pPr>
              <w:spacing w:after="100"/>
              <w:jc w:val="right"/>
              <w:rPr>
                <w:rFonts w:eastAsia="Times New Roman"/>
                <w:sz w:val="20"/>
                <w:szCs w:val="20"/>
              </w:rPr>
            </w:pPr>
          </w:p>
        </w:tc>
        <w:tc>
          <w:tcPr>
            <w:tcW w:w="0" w:type="auto"/>
            <w:vAlign w:val="center"/>
            <w:hideMark/>
          </w:tcPr>
          <w:p w14:paraId="081F11D3" w14:textId="77777777" w:rsidR="00000000" w:rsidRDefault="00405D16">
            <w:pPr>
              <w:spacing w:after="100"/>
              <w:rPr>
                <w:rFonts w:eastAsia="Times New Roman"/>
                <w:sz w:val="20"/>
                <w:szCs w:val="20"/>
              </w:rPr>
            </w:pPr>
          </w:p>
        </w:tc>
      </w:tr>
      <w:tr w:rsidR="00000000" w14:paraId="0DEE7D00" w14:textId="77777777">
        <w:trPr>
          <w:jc w:val="center"/>
        </w:trPr>
        <w:tc>
          <w:tcPr>
            <w:tcW w:w="0" w:type="auto"/>
            <w:gridSpan w:val="3"/>
            <w:shd w:val="clear" w:color="auto" w:fill="CCEEFF"/>
            <w:tcMar>
              <w:top w:w="30" w:type="dxa"/>
              <w:left w:w="20" w:type="dxa"/>
              <w:bottom w:w="30" w:type="dxa"/>
              <w:right w:w="20" w:type="dxa"/>
            </w:tcMar>
            <w:vAlign w:val="center"/>
            <w:hideMark/>
          </w:tcPr>
          <w:p w14:paraId="0B99BA10" w14:textId="77777777" w:rsidR="00000000" w:rsidRDefault="00405D16">
            <w:pPr>
              <w:spacing w:after="100"/>
              <w:rPr>
                <w:rFonts w:eastAsia="Times New Roman"/>
              </w:rPr>
            </w:pPr>
            <w:r>
              <w:rPr>
                <w:rFonts w:eastAsia="Times New Roman"/>
                <w:color w:val="000000"/>
                <w:sz w:val="16"/>
                <w:szCs w:val="16"/>
              </w:rPr>
              <w:t>Income (loss) from discontinued operations</w:t>
            </w:r>
          </w:p>
        </w:tc>
        <w:tc>
          <w:tcPr>
            <w:tcW w:w="0" w:type="auto"/>
            <w:gridSpan w:val="3"/>
            <w:shd w:val="clear" w:color="auto" w:fill="CCEEFF"/>
            <w:tcMar>
              <w:top w:w="0" w:type="dxa"/>
              <w:left w:w="20" w:type="dxa"/>
              <w:bottom w:w="0" w:type="dxa"/>
              <w:right w:w="20" w:type="dxa"/>
            </w:tcMar>
            <w:vAlign w:val="center"/>
            <w:hideMark/>
          </w:tcPr>
          <w:p w14:paraId="2383AF30"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DE480D5" w14:textId="77777777" w:rsidR="00000000" w:rsidRDefault="00405D16">
            <w:pPr>
              <w:spacing w:after="100"/>
              <w:jc w:val="right"/>
              <w:rPr>
                <w:rFonts w:eastAsia="Times New Roman"/>
              </w:rPr>
            </w:pPr>
            <w:r>
              <w:rPr>
                <w:rFonts w:eastAsia="Times New Roman"/>
                <w:b/>
                <w:bCs/>
                <w:color w:val="000000"/>
                <w:sz w:val="16"/>
                <w:szCs w:val="16"/>
              </w:rPr>
              <w:t>0.00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122F2E4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0FAE9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FA9AB4C" w14:textId="77777777" w:rsidR="00000000" w:rsidRDefault="00405D16">
            <w:pPr>
              <w:spacing w:after="100"/>
              <w:jc w:val="right"/>
              <w:rPr>
                <w:rFonts w:eastAsia="Times New Roman"/>
              </w:rPr>
            </w:pPr>
            <w:r>
              <w:rPr>
                <w:rFonts w:eastAsia="Times New Roman"/>
                <w:color w:val="000000"/>
                <w:sz w:val="16"/>
                <w:szCs w:val="16"/>
              </w:rPr>
              <w:t>0.00 </w:t>
            </w:r>
          </w:p>
        </w:tc>
        <w:tc>
          <w:tcPr>
            <w:tcW w:w="0" w:type="auto"/>
            <w:shd w:val="clear" w:color="auto" w:fill="CCEEFF"/>
            <w:tcMar>
              <w:top w:w="30" w:type="dxa"/>
              <w:left w:w="0" w:type="dxa"/>
              <w:bottom w:w="30" w:type="dxa"/>
              <w:right w:w="20" w:type="dxa"/>
            </w:tcMar>
            <w:vAlign w:val="center"/>
            <w:hideMark/>
          </w:tcPr>
          <w:p w14:paraId="5B1D77A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83EAA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3CDF039" w14:textId="77777777" w:rsidR="00000000" w:rsidRDefault="00405D16">
            <w:pPr>
              <w:spacing w:after="100"/>
              <w:jc w:val="right"/>
              <w:rPr>
                <w:rFonts w:eastAsia="Times New Roman"/>
              </w:rPr>
            </w:pPr>
            <w:r>
              <w:rPr>
                <w:rFonts w:eastAsia="Times New Roman"/>
                <w:b/>
                <w:bCs/>
                <w:color w:val="000000"/>
                <w:sz w:val="16"/>
                <w:szCs w:val="16"/>
              </w:rPr>
              <w:t>(0.01)</w:t>
            </w:r>
          </w:p>
        </w:tc>
        <w:tc>
          <w:tcPr>
            <w:tcW w:w="0" w:type="auto"/>
            <w:shd w:val="clear" w:color="auto" w:fill="CCEEFF"/>
            <w:tcMar>
              <w:top w:w="30" w:type="dxa"/>
              <w:left w:w="0" w:type="dxa"/>
              <w:bottom w:w="30" w:type="dxa"/>
              <w:right w:w="20" w:type="dxa"/>
            </w:tcMar>
            <w:vAlign w:val="center"/>
            <w:hideMark/>
          </w:tcPr>
          <w:p w14:paraId="2E856F3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0910E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6DB8D40" w14:textId="77777777" w:rsidR="00000000" w:rsidRDefault="00405D16">
            <w:pPr>
              <w:spacing w:after="100"/>
              <w:jc w:val="right"/>
              <w:rPr>
                <w:rFonts w:eastAsia="Times New Roman"/>
              </w:rPr>
            </w:pPr>
            <w:r>
              <w:rPr>
                <w:rFonts w:eastAsia="Times New Roman"/>
                <w:color w:val="000000"/>
                <w:sz w:val="16"/>
                <w:szCs w:val="16"/>
              </w:rPr>
              <w:t>0.00 </w:t>
            </w:r>
          </w:p>
        </w:tc>
        <w:tc>
          <w:tcPr>
            <w:tcW w:w="0" w:type="auto"/>
            <w:shd w:val="clear" w:color="auto" w:fill="CCEEFF"/>
            <w:tcMar>
              <w:top w:w="30" w:type="dxa"/>
              <w:left w:w="0" w:type="dxa"/>
              <w:bottom w:w="30" w:type="dxa"/>
              <w:right w:w="20" w:type="dxa"/>
            </w:tcMar>
            <w:vAlign w:val="center"/>
            <w:hideMark/>
          </w:tcPr>
          <w:p w14:paraId="2FC67D5C" w14:textId="77777777" w:rsidR="00000000" w:rsidRDefault="00405D16">
            <w:pPr>
              <w:spacing w:after="100"/>
              <w:jc w:val="right"/>
              <w:rPr>
                <w:rFonts w:eastAsia="Times New Roman"/>
              </w:rPr>
            </w:pPr>
          </w:p>
        </w:tc>
        <w:tc>
          <w:tcPr>
            <w:tcW w:w="0" w:type="auto"/>
            <w:vAlign w:val="center"/>
            <w:hideMark/>
          </w:tcPr>
          <w:p w14:paraId="6CC3F33C" w14:textId="77777777" w:rsidR="00000000" w:rsidRDefault="00405D16">
            <w:pPr>
              <w:spacing w:after="100"/>
              <w:jc w:val="right"/>
              <w:rPr>
                <w:rFonts w:eastAsia="Times New Roman"/>
                <w:sz w:val="20"/>
                <w:szCs w:val="20"/>
              </w:rPr>
            </w:pPr>
          </w:p>
        </w:tc>
        <w:tc>
          <w:tcPr>
            <w:tcW w:w="0" w:type="auto"/>
            <w:vAlign w:val="center"/>
            <w:hideMark/>
          </w:tcPr>
          <w:p w14:paraId="34572335" w14:textId="77777777" w:rsidR="00000000" w:rsidRDefault="00405D16">
            <w:pPr>
              <w:spacing w:after="100"/>
              <w:rPr>
                <w:rFonts w:eastAsia="Times New Roman"/>
                <w:sz w:val="20"/>
                <w:szCs w:val="20"/>
              </w:rPr>
            </w:pPr>
          </w:p>
        </w:tc>
      </w:tr>
      <w:tr w:rsidR="00000000" w14:paraId="2C53B584" w14:textId="77777777">
        <w:trPr>
          <w:jc w:val="center"/>
        </w:trPr>
        <w:tc>
          <w:tcPr>
            <w:tcW w:w="0" w:type="auto"/>
            <w:gridSpan w:val="3"/>
            <w:shd w:val="clear" w:color="auto" w:fill="FFFFFF"/>
            <w:tcMar>
              <w:top w:w="30" w:type="dxa"/>
              <w:left w:w="20" w:type="dxa"/>
              <w:bottom w:w="30" w:type="dxa"/>
              <w:right w:w="20" w:type="dxa"/>
            </w:tcMar>
            <w:vAlign w:val="center"/>
            <w:hideMark/>
          </w:tcPr>
          <w:p w14:paraId="113E2D30" w14:textId="77777777" w:rsidR="00000000" w:rsidRDefault="00405D16">
            <w:pPr>
              <w:spacing w:after="100"/>
              <w:rPr>
                <w:rFonts w:eastAsia="Times New Roman"/>
              </w:rPr>
            </w:pPr>
            <w:r>
              <w:rPr>
                <w:rFonts w:eastAsia="Times New Roman"/>
                <w:color w:val="000000"/>
                <w:sz w:val="16"/>
                <w:szCs w:val="16"/>
              </w:rPr>
              <w:t>Net income (loss) per diluted common share</w:t>
            </w:r>
          </w:p>
        </w:tc>
        <w:tc>
          <w:tcPr>
            <w:tcW w:w="0" w:type="auto"/>
            <w:gridSpan w:val="3"/>
            <w:shd w:val="clear" w:color="auto" w:fill="FFFFFF"/>
            <w:tcMar>
              <w:top w:w="0" w:type="dxa"/>
              <w:left w:w="20" w:type="dxa"/>
              <w:bottom w:w="0" w:type="dxa"/>
              <w:right w:w="20" w:type="dxa"/>
            </w:tcMar>
            <w:vAlign w:val="center"/>
            <w:hideMark/>
          </w:tcPr>
          <w:p w14:paraId="19584928"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AFB3847" w14:textId="77777777" w:rsidR="00000000" w:rsidRDefault="00405D16">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2AAF733" w14:textId="77777777" w:rsidR="00000000" w:rsidRDefault="00405D16">
            <w:pPr>
              <w:spacing w:after="100"/>
              <w:jc w:val="right"/>
              <w:rPr>
                <w:rFonts w:eastAsia="Times New Roman"/>
              </w:rPr>
            </w:pPr>
            <w:r>
              <w:rPr>
                <w:rFonts w:eastAsia="Times New Roman"/>
                <w:b/>
                <w:bCs/>
                <w:color w:val="000000"/>
                <w:sz w:val="16"/>
                <w:szCs w:val="16"/>
              </w:rPr>
              <w:t>6.78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3DA3FA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C911F5"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AC2BC7E"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BC61B79" w14:textId="77777777" w:rsidR="00000000" w:rsidRDefault="00405D16">
            <w:pPr>
              <w:spacing w:after="100"/>
              <w:jc w:val="right"/>
              <w:rPr>
                <w:rFonts w:eastAsia="Times New Roman"/>
              </w:rPr>
            </w:pPr>
            <w:r>
              <w:rPr>
                <w:rFonts w:eastAsia="Times New Roman"/>
                <w:color w:val="000000"/>
                <w:sz w:val="16"/>
                <w:szCs w:val="16"/>
              </w:rPr>
              <w:t>5.06 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A18A17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F60D2B"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3640F67" w14:textId="77777777" w:rsidR="00000000" w:rsidRDefault="00405D16">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0AFA1A8" w14:textId="77777777" w:rsidR="00000000" w:rsidRDefault="00405D16">
            <w:pPr>
              <w:spacing w:after="100"/>
              <w:jc w:val="right"/>
              <w:rPr>
                <w:rFonts w:eastAsia="Times New Roman"/>
              </w:rPr>
            </w:pPr>
            <w:r>
              <w:rPr>
                <w:rFonts w:eastAsia="Times New Roman"/>
                <w:b/>
                <w:bCs/>
                <w:color w:val="000000"/>
                <w:sz w:val="16"/>
                <w:szCs w:val="16"/>
              </w:rPr>
              <w:t>21.44</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CD98F8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653F82"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442410E"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CC6A654" w14:textId="77777777" w:rsidR="00000000" w:rsidRDefault="00405D16">
            <w:pPr>
              <w:spacing w:after="100"/>
              <w:jc w:val="right"/>
              <w:rPr>
                <w:rFonts w:eastAsia="Times New Roman"/>
              </w:rPr>
            </w:pPr>
            <w:r>
              <w:rPr>
                <w:rFonts w:eastAsia="Times New Roman"/>
                <w:color w:val="000000"/>
                <w:sz w:val="16"/>
                <w:szCs w:val="16"/>
              </w:rPr>
              <w:t>(0.20)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BE7C21A" w14:textId="77777777" w:rsidR="00000000" w:rsidRDefault="00405D16">
            <w:pPr>
              <w:spacing w:after="100"/>
              <w:jc w:val="right"/>
              <w:rPr>
                <w:rFonts w:eastAsia="Times New Roman"/>
              </w:rPr>
            </w:pPr>
          </w:p>
        </w:tc>
        <w:tc>
          <w:tcPr>
            <w:tcW w:w="0" w:type="auto"/>
            <w:vAlign w:val="center"/>
            <w:hideMark/>
          </w:tcPr>
          <w:p w14:paraId="150E3444" w14:textId="77777777" w:rsidR="00000000" w:rsidRDefault="00405D16">
            <w:pPr>
              <w:spacing w:after="100"/>
              <w:jc w:val="right"/>
              <w:rPr>
                <w:rFonts w:eastAsia="Times New Roman"/>
                <w:sz w:val="20"/>
                <w:szCs w:val="20"/>
              </w:rPr>
            </w:pPr>
          </w:p>
        </w:tc>
        <w:tc>
          <w:tcPr>
            <w:tcW w:w="0" w:type="auto"/>
            <w:vAlign w:val="center"/>
            <w:hideMark/>
          </w:tcPr>
          <w:p w14:paraId="5CF7DFDB" w14:textId="77777777" w:rsidR="00000000" w:rsidRDefault="00405D16">
            <w:pPr>
              <w:spacing w:after="100"/>
              <w:rPr>
                <w:rFonts w:eastAsia="Times New Roman"/>
                <w:sz w:val="20"/>
                <w:szCs w:val="20"/>
              </w:rPr>
            </w:pPr>
          </w:p>
        </w:tc>
      </w:tr>
    </w:tbl>
    <w:p w14:paraId="22676471" w14:textId="77777777" w:rsidR="00000000" w:rsidRDefault="00405D16">
      <w:pPr>
        <w:jc w:val="center"/>
        <w:divId w:val="1368213519"/>
        <w:rPr>
          <w:rFonts w:eastAsia="Times New Roman"/>
          <w:vanish/>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7"/>
        <w:gridCol w:w="69"/>
        <w:gridCol w:w="2663"/>
        <w:gridCol w:w="36"/>
        <w:gridCol w:w="69"/>
        <w:gridCol w:w="2663"/>
        <w:gridCol w:w="37"/>
      </w:tblGrid>
      <w:tr w:rsidR="00000000" w14:paraId="45EFDF24" w14:textId="77777777">
        <w:trPr>
          <w:divId w:val="1368213519"/>
          <w:jc w:val="center"/>
        </w:trPr>
        <w:tc>
          <w:tcPr>
            <w:tcW w:w="50" w:type="pct"/>
            <w:vAlign w:val="center"/>
            <w:hideMark/>
          </w:tcPr>
          <w:p w14:paraId="73851492" w14:textId="77777777" w:rsidR="00000000" w:rsidRDefault="00405D16">
            <w:pPr>
              <w:jc w:val="center"/>
              <w:rPr>
                <w:rFonts w:eastAsia="Times New Roman"/>
              </w:rPr>
            </w:pPr>
          </w:p>
        </w:tc>
        <w:tc>
          <w:tcPr>
            <w:tcW w:w="1606" w:type="pct"/>
            <w:vAlign w:val="center"/>
            <w:hideMark/>
          </w:tcPr>
          <w:p w14:paraId="537316DB" w14:textId="77777777" w:rsidR="00000000" w:rsidRDefault="00405D16">
            <w:pPr>
              <w:spacing w:after="100"/>
              <w:rPr>
                <w:rFonts w:eastAsia="Times New Roman"/>
                <w:sz w:val="20"/>
                <w:szCs w:val="20"/>
              </w:rPr>
            </w:pPr>
          </w:p>
        </w:tc>
        <w:tc>
          <w:tcPr>
            <w:tcW w:w="5" w:type="pct"/>
            <w:vAlign w:val="center"/>
            <w:hideMark/>
          </w:tcPr>
          <w:p w14:paraId="0140A61B" w14:textId="77777777" w:rsidR="00000000" w:rsidRDefault="00405D16">
            <w:pPr>
              <w:spacing w:after="100"/>
              <w:rPr>
                <w:rFonts w:eastAsia="Times New Roman"/>
                <w:sz w:val="20"/>
                <w:szCs w:val="20"/>
              </w:rPr>
            </w:pPr>
          </w:p>
        </w:tc>
        <w:tc>
          <w:tcPr>
            <w:tcW w:w="50" w:type="pct"/>
            <w:vAlign w:val="center"/>
            <w:hideMark/>
          </w:tcPr>
          <w:p w14:paraId="2831056B" w14:textId="77777777" w:rsidR="00000000" w:rsidRDefault="00405D16">
            <w:pPr>
              <w:spacing w:after="100"/>
              <w:rPr>
                <w:rFonts w:eastAsia="Times New Roman"/>
                <w:sz w:val="20"/>
                <w:szCs w:val="20"/>
              </w:rPr>
            </w:pPr>
          </w:p>
        </w:tc>
        <w:tc>
          <w:tcPr>
            <w:tcW w:w="1614" w:type="pct"/>
            <w:vAlign w:val="center"/>
            <w:hideMark/>
          </w:tcPr>
          <w:p w14:paraId="7BA9A8C5" w14:textId="77777777" w:rsidR="00000000" w:rsidRDefault="00405D16">
            <w:pPr>
              <w:spacing w:after="100"/>
              <w:rPr>
                <w:rFonts w:eastAsia="Times New Roman"/>
                <w:sz w:val="20"/>
                <w:szCs w:val="20"/>
              </w:rPr>
            </w:pPr>
          </w:p>
        </w:tc>
        <w:tc>
          <w:tcPr>
            <w:tcW w:w="5" w:type="pct"/>
            <w:vAlign w:val="center"/>
            <w:hideMark/>
          </w:tcPr>
          <w:p w14:paraId="36BC7D2C" w14:textId="77777777" w:rsidR="00000000" w:rsidRDefault="00405D16">
            <w:pPr>
              <w:spacing w:after="100"/>
              <w:rPr>
                <w:rFonts w:eastAsia="Times New Roman"/>
                <w:sz w:val="20"/>
                <w:szCs w:val="20"/>
              </w:rPr>
            </w:pPr>
          </w:p>
        </w:tc>
        <w:tc>
          <w:tcPr>
            <w:tcW w:w="50" w:type="pct"/>
            <w:vAlign w:val="center"/>
            <w:hideMark/>
          </w:tcPr>
          <w:p w14:paraId="781ADCEB" w14:textId="77777777" w:rsidR="00000000" w:rsidRDefault="00405D16">
            <w:pPr>
              <w:spacing w:after="100"/>
              <w:rPr>
                <w:rFonts w:eastAsia="Times New Roman"/>
                <w:sz w:val="20"/>
                <w:szCs w:val="20"/>
              </w:rPr>
            </w:pPr>
          </w:p>
        </w:tc>
        <w:tc>
          <w:tcPr>
            <w:tcW w:w="1614" w:type="pct"/>
            <w:vAlign w:val="center"/>
            <w:hideMark/>
          </w:tcPr>
          <w:p w14:paraId="399A1EB4" w14:textId="77777777" w:rsidR="00000000" w:rsidRDefault="00405D16">
            <w:pPr>
              <w:spacing w:after="100"/>
              <w:rPr>
                <w:rFonts w:eastAsia="Times New Roman"/>
                <w:sz w:val="20"/>
                <w:szCs w:val="20"/>
              </w:rPr>
            </w:pPr>
          </w:p>
        </w:tc>
        <w:tc>
          <w:tcPr>
            <w:tcW w:w="5" w:type="pct"/>
            <w:vAlign w:val="center"/>
            <w:hideMark/>
          </w:tcPr>
          <w:p w14:paraId="6898B8A1" w14:textId="77777777" w:rsidR="00000000" w:rsidRDefault="00405D16">
            <w:pPr>
              <w:spacing w:after="100"/>
              <w:rPr>
                <w:rFonts w:eastAsia="Times New Roman"/>
                <w:sz w:val="20"/>
                <w:szCs w:val="20"/>
              </w:rPr>
            </w:pPr>
          </w:p>
        </w:tc>
      </w:tr>
      <w:tr w:rsidR="00000000" w14:paraId="071D7022" w14:textId="77777777">
        <w:trPr>
          <w:divId w:val="1368213519"/>
          <w:jc w:val="center"/>
        </w:trPr>
        <w:tc>
          <w:tcPr>
            <w:tcW w:w="0" w:type="auto"/>
            <w:gridSpan w:val="9"/>
            <w:tcMar>
              <w:top w:w="30" w:type="dxa"/>
              <w:left w:w="20" w:type="dxa"/>
              <w:bottom w:w="30" w:type="dxa"/>
              <w:right w:w="20" w:type="dxa"/>
            </w:tcMar>
            <w:vAlign w:val="bottom"/>
            <w:hideMark/>
          </w:tcPr>
          <w:p w14:paraId="1E503C13" w14:textId="77777777" w:rsidR="00000000" w:rsidRDefault="00405D16">
            <w:pPr>
              <w:spacing w:after="100"/>
              <w:jc w:val="center"/>
              <w:rPr>
                <w:rFonts w:eastAsia="Times New Roman"/>
              </w:rPr>
            </w:pPr>
            <w:r>
              <w:rPr>
                <w:rFonts w:eastAsia="Times New Roman"/>
                <w:color w:val="000000"/>
                <w:sz w:val="20"/>
                <w:szCs w:val="20"/>
              </w:rPr>
              <w:t>See Notes to Consolidated Financial Statements.</w:t>
            </w:r>
          </w:p>
        </w:tc>
      </w:tr>
      <w:tr w:rsidR="00000000" w14:paraId="47A32CF0" w14:textId="77777777">
        <w:trPr>
          <w:divId w:val="1368213519"/>
          <w:jc w:val="center"/>
        </w:trPr>
        <w:tc>
          <w:tcPr>
            <w:tcW w:w="0" w:type="auto"/>
            <w:gridSpan w:val="3"/>
            <w:tcMar>
              <w:top w:w="0" w:type="dxa"/>
              <w:left w:w="20" w:type="dxa"/>
              <w:bottom w:w="0" w:type="dxa"/>
              <w:right w:w="20" w:type="dxa"/>
            </w:tcMar>
            <w:vAlign w:val="center"/>
            <w:hideMark/>
          </w:tcPr>
          <w:p w14:paraId="0F6389EB"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8AEAD5F" w14:textId="77777777" w:rsidR="00000000" w:rsidRDefault="00405D16">
            <w:pPr>
              <w:spacing w:after="100"/>
              <w:jc w:val="center"/>
              <w:rPr>
                <w:rFonts w:eastAsia="Times New Roman"/>
              </w:rPr>
            </w:pPr>
            <w:r>
              <w:rPr>
                <w:rFonts w:eastAsia="Times New Roman"/>
                <w:color w:val="000000"/>
                <w:sz w:val="16"/>
                <w:szCs w:val="16"/>
              </w:rPr>
              <w:t>69</w:t>
            </w:r>
          </w:p>
        </w:tc>
        <w:tc>
          <w:tcPr>
            <w:tcW w:w="0" w:type="auto"/>
            <w:gridSpan w:val="3"/>
            <w:tcMar>
              <w:top w:w="30" w:type="dxa"/>
              <w:left w:w="20" w:type="dxa"/>
              <w:bottom w:w="30" w:type="dxa"/>
              <w:right w:w="20" w:type="dxa"/>
            </w:tcMar>
            <w:vAlign w:val="bottom"/>
            <w:hideMark/>
          </w:tcPr>
          <w:p w14:paraId="603E0DC5"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59FFBC04" w14:textId="77777777" w:rsidR="00000000" w:rsidRDefault="00405D16">
      <w:pPr>
        <w:rPr>
          <w:rFonts w:eastAsia="Times New Roman"/>
        </w:rPr>
      </w:pPr>
      <w:r>
        <w:rPr>
          <w:rFonts w:eastAsia="Times New Roman"/>
        </w:rPr>
        <w:pict w14:anchorId="721DBB8F">
          <v:rect id="_x0000_i1094" style="width:0;height:1.5pt" o:hralign="center" o:hrstd="t" o:hr="t" fillcolor="#a0a0a0" stroked="f"/>
        </w:pict>
      </w:r>
    </w:p>
    <w:p w14:paraId="42DCD492" w14:textId="77777777" w:rsidR="00000000" w:rsidRDefault="00405D16">
      <w:pPr>
        <w:jc w:val="both"/>
        <w:divId w:val="2017152982"/>
        <w:rPr>
          <w:rFonts w:eastAsia="Times New Roman"/>
        </w:rPr>
      </w:pPr>
      <w:hyperlink w:anchor="idd54a04a485440b4ab4e56094c14d612_13" w:history="1">
        <w:r>
          <w:rPr>
            <w:rStyle w:val="a3"/>
            <w:rFonts w:eastAsia="Times New Roman"/>
            <w:sz w:val="16"/>
            <w:szCs w:val="16"/>
          </w:rPr>
          <w:t>Table of Contents</w:t>
        </w:r>
      </w:hyperlink>
    </w:p>
    <w:p w14:paraId="2CD3CD31" w14:textId="77777777" w:rsidR="00000000" w:rsidRDefault="00405D16">
      <w:pPr>
        <w:jc w:val="center"/>
        <w:divId w:val="2017152982"/>
        <w:rPr>
          <w:rFonts w:eastAsia="Times New Roman"/>
        </w:rPr>
      </w:pPr>
    </w:p>
    <w:p w14:paraId="547396B5" w14:textId="77777777" w:rsidR="00000000" w:rsidRDefault="00405D16">
      <w:pPr>
        <w:jc w:val="center"/>
        <w:divId w:val="2017152982"/>
        <w:rPr>
          <w:rFonts w:eastAsia="Times New Roman"/>
        </w:rPr>
      </w:pPr>
      <w:r>
        <w:rPr>
          <w:rFonts w:eastAsia="Times New Roman"/>
          <w:b/>
          <w:bCs/>
          <w:color w:val="000000"/>
          <w:sz w:val="20"/>
          <w:szCs w:val="20"/>
        </w:rPr>
        <w:t>CAPITAL ONE FINANCIAL CORPORATION</w:t>
      </w:r>
    </w:p>
    <w:p w14:paraId="716989A6" w14:textId="77777777" w:rsidR="00000000" w:rsidRDefault="00405D16">
      <w:pPr>
        <w:jc w:val="center"/>
        <w:divId w:val="2017152982"/>
        <w:rPr>
          <w:rFonts w:eastAsia="Times New Roman"/>
        </w:rPr>
      </w:pPr>
      <w:r>
        <w:rPr>
          <w:rFonts w:eastAsia="Times New Roman"/>
          <w:b/>
          <w:bCs/>
          <w:color w:val="000000"/>
          <w:sz w:val="20"/>
          <w:szCs w:val="20"/>
        </w:rPr>
        <w:t xml:space="preserve">CONSOLIDATED STATEMENTS OF COMPREHENSIVE INCOME (UNAUDITED) </w:t>
      </w: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4433"/>
        <w:gridCol w:w="37"/>
        <w:gridCol w:w="36"/>
        <w:gridCol w:w="36"/>
        <w:gridCol w:w="36"/>
        <w:gridCol w:w="100"/>
        <w:gridCol w:w="715"/>
        <w:gridCol w:w="36"/>
        <w:gridCol w:w="36"/>
        <w:gridCol w:w="36"/>
        <w:gridCol w:w="36"/>
        <w:gridCol w:w="100"/>
        <w:gridCol w:w="674"/>
        <w:gridCol w:w="36"/>
        <w:gridCol w:w="36"/>
        <w:gridCol w:w="36"/>
        <w:gridCol w:w="36"/>
        <w:gridCol w:w="100"/>
        <w:gridCol w:w="674"/>
        <w:gridCol w:w="36"/>
        <w:gridCol w:w="36"/>
        <w:gridCol w:w="36"/>
        <w:gridCol w:w="36"/>
        <w:gridCol w:w="100"/>
        <w:gridCol w:w="674"/>
        <w:gridCol w:w="36"/>
        <w:gridCol w:w="36"/>
        <w:gridCol w:w="36"/>
      </w:tblGrid>
      <w:tr w:rsidR="00000000" w14:paraId="4F61C24E" w14:textId="77777777">
        <w:trPr>
          <w:divId w:val="874777748"/>
          <w:jc w:val="center"/>
        </w:trPr>
        <w:tc>
          <w:tcPr>
            <w:tcW w:w="50" w:type="pct"/>
            <w:vAlign w:val="center"/>
            <w:hideMark/>
          </w:tcPr>
          <w:p w14:paraId="78D294B8" w14:textId="77777777" w:rsidR="00000000" w:rsidRDefault="00405D16">
            <w:pPr>
              <w:jc w:val="center"/>
              <w:rPr>
                <w:rFonts w:eastAsia="Times New Roman"/>
              </w:rPr>
            </w:pPr>
          </w:p>
        </w:tc>
        <w:tc>
          <w:tcPr>
            <w:tcW w:w="2726" w:type="pct"/>
            <w:vAlign w:val="center"/>
            <w:hideMark/>
          </w:tcPr>
          <w:p w14:paraId="41A05AF1" w14:textId="77777777" w:rsidR="00000000" w:rsidRDefault="00405D16">
            <w:pPr>
              <w:spacing w:after="100"/>
              <w:rPr>
                <w:rFonts w:eastAsia="Times New Roman"/>
                <w:sz w:val="20"/>
                <w:szCs w:val="20"/>
              </w:rPr>
            </w:pPr>
          </w:p>
        </w:tc>
        <w:tc>
          <w:tcPr>
            <w:tcW w:w="5" w:type="pct"/>
            <w:vAlign w:val="center"/>
            <w:hideMark/>
          </w:tcPr>
          <w:p w14:paraId="3FCDB262" w14:textId="77777777" w:rsidR="00000000" w:rsidRDefault="00405D16">
            <w:pPr>
              <w:spacing w:after="100"/>
              <w:rPr>
                <w:rFonts w:eastAsia="Times New Roman"/>
                <w:sz w:val="20"/>
                <w:szCs w:val="20"/>
              </w:rPr>
            </w:pPr>
          </w:p>
        </w:tc>
        <w:tc>
          <w:tcPr>
            <w:tcW w:w="5" w:type="pct"/>
            <w:vAlign w:val="center"/>
            <w:hideMark/>
          </w:tcPr>
          <w:p w14:paraId="5141237B" w14:textId="77777777" w:rsidR="00000000" w:rsidRDefault="00405D16">
            <w:pPr>
              <w:spacing w:after="100"/>
              <w:rPr>
                <w:rFonts w:eastAsia="Times New Roman"/>
                <w:sz w:val="20"/>
                <w:szCs w:val="20"/>
              </w:rPr>
            </w:pPr>
          </w:p>
        </w:tc>
        <w:tc>
          <w:tcPr>
            <w:tcW w:w="19" w:type="pct"/>
            <w:vAlign w:val="center"/>
            <w:hideMark/>
          </w:tcPr>
          <w:p w14:paraId="4AFB0345" w14:textId="77777777" w:rsidR="00000000" w:rsidRDefault="00405D16">
            <w:pPr>
              <w:spacing w:after="100"/>
              <w:rPr>
                <w:rFonts w:eastAsia="Times New Roman"/>
                <w:sz w:val="20"/>
                <w:szCs w:val="20"/>
              </w:rPr>
            </w:pPr>
          </w:p>
        </w:tc>
        <w:tc>
          <w:tcPr>
            <w:tcW w:w="5" w:type="pct"/>
            <w:vAlign w:val="center"/>
            <w:hideMark/>
          </w:tcPr>
          <w:p w14:paraId="1AB942E3" w14:textId="77777777" w:rsidR="00000000" w:rsidRDefault="00405D16">
            <w:pPr>
              <w:spacing w:after="100"/>
              <w:rPr>
                <w:rFonts w:eastAsia="Times New Roman"/>
                <w:sz w:val="20"/>
                <w:szCs w:val="20"/>
              </w:rPr>
            </w:pPr>
          </w:p>
        </w:tc>
        <w:tc>
          <w:tcPr>
            <w:tcW w:w="50" w:type="pct"/>
            <w:vAlign w:val="center"/>
            <w:hideMark/>
          </w:tcPr>
          <w:p w14:paraId="5047C99E" w14:textId="77777777" w:rsidR="00000000" w:rsidRDefault="00405D16">
            <w:pPr>
              <w:spacing w:after="100"/>
              <w:rPr>
                <w:rFonts w:eastAsia="Times New Roman"/>
                <w:sz w:val="20"/>
                <w:szCs w:val="20"/>
              </w:rPr>
            </w:pPr>
          </w:p>
        </w:tc>
        <w:tc>
          <w:tcPr>
            <w:tcW w:w="464" w:type="pct"/>
            <w:vAlign w:val="center"/>
            <w:hideMark/>
          </w:tcPr>
          <w:p w14:paraId="6D0E935A" w14:textId="77777777" w:rsidR="00000000" w:rsidRDefault="00405D16">
            <w:pPr>
              <w:spacing w:after="100"/>
              <w:rPr>
                <w:rFonts w:eastAsia="Times New Roman"/>
                <w:sz w:val="20"/>
                <w:szCs w:val="20"/>
              </w:rPr>
            </w:pPr>
          </w:p>
        </w:tc>
        <w:tc>
          <w:tcPr>
            <w:tcW w:w="5" w:type="pct"/>
            <w:vAlign w:val="center"/>
            <w:hideMark/>
          </w:tcPr>
          <w:p w14:paraId="6337E58B" w14:textId="77777777" w:rsidR="00000000" w:rsidRDefault="00405D16">
            <w:pPr>
              <w:spacing w:after="100"/>
              <w:rPr>
                <w:rFonts w:eastAsia="Times New Roman"/>
                <w:sz w:val="20"/>
                <w:szCs w:val="20"/>
              </w:rPr>
            </w:pPr>
          </w:p>
        </w:tc>
        <w:tc>
          <w:tcPr>
            <w:tcW w:w="5" w:type="pct"/>
            <w:vAlign w:val="center"/>
            <w:hideMark/>
          </w:tcPr>
          <w:p w14:paraId="726DFD74" w14:textId="77777777" w:rsidR="00000000" w:rsidRDefault="00405D16">
            <w:pPr>
              <w:spacing w:after="100"/>
              <w:rPr>
                <w:rFonts w:eastAsia="Times New Roman"/>
                <w:sz w:val="20"/>
                <w:szCs w:val="20"/>
              </w:rPr>
            </w:pPr>
          </w:p>
        </w:tc>
        <w:tc>
          <w:tcPr>
            <w:tcW w:w="26" w:type="pct"/>
            <w:vAlign w:val="center"/>
            <w:hideMark/>
          </w:tcPr>
          <w:p w14:paraId="00A143EE" w14:textId="77777777" w:rsidR="00000000" w:rsidRDefault="00405D16">
            <w:pPr>
              <w:spacing w:after="100"/>
              <w:rPr>
                <w:rFonts w:eastAsia="Times New Roman"/>
                <w:sz w:val="20"/>
                <w:szCs w:val="20"/>
              </w:rPr>
            </w:pPr>
          </w:p>
        </w:tc>
        <w:tc>
          <w:tcPr>
            <w:tcW w:w="5" w:type="pct"/>
            <w:vAlign w:val="center"/>
            <w:hideMark/>
          </w:tcPr>
          <w:p w14:paraId="45B7AD72" w14:textId="77777777" w:rsidR="00000000" w:rsidRDefault="00405D16">
            <w:pPr>
              <w:spacing w:after="100"/>
              <w:rPr>
                <w:rFonts w:eastAsia="Times New Roman"/>
                <w:sz w:val="20"/>
                <w:szCs w:val="20"/>
              </w:rPr>
            </w:pPr>
          </w:p>
        </w:tc>
        <w:tc>
          <w:tcPr>
            <w:tcW w:w="50" w:type="pct"/>
            <w:vAlign w:val="center"/>
            <w:hideMark/>
          </w:tcPr>
          <w:p w14:paraId="3285B9CB" w14:textId="77777777" w:rsidR="00000000" w:rsidRDefault="00405D16">
            <w:pPr>
              <w:spacing w:after="100"/>
              <w:rPr>
                <w:rFonts w:eastAsia="Times New Roman"/>
                <w:sz w:val="20"/>
                <w:szCs w:val="20"/>
              </w:rPr>
            </w:pPr>
          </w:p>
        </w:tc>
        <w:tc>
          <w:tcPr>
            <w:tcW w:w="464" w:type="pct"/>
            <w:vAlign w:val="center"/>
            <w:hideMark/>
          </w:tcPr>
          <w:p w14:paraId="4F357BB5" w14:textId="77777777" w:rsidR="00000000" w:rsidRDefault="00405D16">
            <w:pPr>
              <w:spacing w:after="100"/>
              <w:rPr>
                <w:rFonts w:eastAsia="Times New Roman"/>
                <w:sz w:val="20"/>
                <w:szCs w:val="20"/>
              </w:rPr>
            </w:pPr>
          </w:p>
        </w:tc>
        <w:tc>
          <w:tcPr>
            <w:tcW w:w="5" w:type="pct"/>
            <w:vAlign w:val="center"/>
            <w:hideMark/>
          </w:tcPr>
          <w:p w14:paraId="51D7BC39" w14:textId="77777777" w:rsidR="00000000" w:rsidRDefault="00405D16">
            <w:pPr>
              <w:spacing w:after="100"/>
              <w:rPr>
                <w:rFonts w:eastAsia="Times New Roman"/>
                <w:sz w:val="20"/>
                <w:szCs w:val="20"/>
              </w:rPr>
            </w:pPr>
          </w:p>
        </w:tc>
        <w:tc>
          <w:tcPr>
            <w:tcW w:w="5" w:type="pct"/>
            <w:vAlign w:val="center"/>
            <w:hideMark/>
          </w:tcPr>
          <w:p w14:paraId="5C5CBF01" w14:textId="77777777" w:rsidR="00000000" w:rsidRDefault="00405D16">
            <w:pPr>
              <w:spacing w:after="100"/>
              <w:rPr>
                <w:rFonts w:eastAsia="Times New Roman"/>
                <w:sz w:val="20"/>
                <w:szCs w:val="20"/>
              </w:rPr>
            </w:pPr>
          </w:p>
        </w:tc>
        <w:tc>
          <w:tcPr>
            <w:tcW w:w="26" w:type="pct"/>
            <w:vAlign w:val="center"/>
            <w:hideMark/>
          </w:tcPr>
          <w:p w14:paraId="6D188392" w14:textId="77777777" w:rsidR="00000000" w:rsidRDefault="00405D16">
            <w:pPr>
              <w:spacing w:after="100"/>
              <w:rPr>
                <w:rFonts w:eastAsia="Times New Roman"/>
                <w:sz w:val="20"/>
                <w:szCs w:val="20"/>
              </w:rPr>
            </w:pPr>
          </w:p>
        </w:tc>
        <w:tc>
          <w:tcPr>
            <w:tcW w:w="5" w:type="pct"/>
            <w:vAlign w:val="center"/>
            <w:hideMark/>
          </w:tcPr>
          <w:p w14:paraId="607C5BB1" w14:textId="77777777" w:rsidR="00000000" w:rsidRDefault="00405D16">
            <w:pPr>
              <w:spacing w:after="100"/>
              <w:rPr>
                <w:rFonts w:eastAsia="Times New Roman"/>
                <w:sz w:val="20"/>
                <w:szCs w:val="20"/>
              </w:rPr>
            </w:pPr>
          </w:p>
        </w:tc>
        <w:tc>
          <w:tcPr>
            <w:tcW w:w="50" w:type="pct"/>
            <w:vAlign w:val="center"/>
            <w:hideMark/>
          </w:tcPr>
          <w:p w14:paraId="1DD6859F" w14:textId="77777777" w:rsidR="00000000" w:rsidRDefault="00405D16">
            <w:pPr>
              <w:spacing w:after="100"/>
              <w:rPr>
                <w:rFonts w:eastAsia="Times New Roman"/>
                <w:sz w:val="20"/>
                <w:szCs w:val="20"/>
              </w:rPr>
            </w:pPr>
          </w:p>
        </w:tc>
        <w:tc>
          <w:tcPr>
            <w:tcW w:w="464" w:type="pct"/>
            <w:vAlign w:val="center"/>
            <w:hideMark/>
          </w:tcPr>
          <w:p w14:paraId="49D0E2F4" w14:textId="77777777" w:rsidR="00000000" w:rsidRDefault="00405D16">
            <w:pPr>
              <w:spacing w:after="100"/>
              <w:rPr>
                <w:rFonts w:eastAsia="Times New Roman"/>
                <w:sz w:val="20"/>
                <w:szCs w:val="20"/>
              </w:rPr>
            </w:pPr>
          </w:p>
        </w:tc>
        <w:tc>
          <w:tcPr>
            <w:tcW w:w="5" w:type="pct"/>
            <w:vAlign w:val="center"/>
            <w:hideMark/>
          </w:tcPr>
          <w:p w14:paraId="6D9F7B56" w14:textId="77777777" w:rsidR="00000000" w:rsidRDefault="00405D16">
            <w:pPr>
              <w:spacing w:after="100"/>
              <w:rPr>
                <w:rFonts w:eastAsia="Times New Roman"/>
                <w:sz w:val="20"/>
                <w:szCs w:val="20"/>
              </w:rPr>
            </w:pPr>
          </w:p>
        </w:tc>
        <w:tc>
          <w:tcPr>
            <w:tcW w:w="5" w:type="pct"/>
            <w:vAlign w:val="center"/>
            <w:hideMark/>
          </w:tcPr>
          <w:p w14:paraId="1A4B8423" w14:textId="77777777" w:rsidR="00000000" w:rsidRDefault="00405D16">
            <w:pPr>
              <w:spacing w:after="100"/>
              <w:rPr>
                <w:rFonts w:eastAsia="Times New Roman"/>
                <w:sz w:val="20"/>
                <w:szCs w:val="20"/>
              </w:rPr>
            </w:pPr>
          </w:p>
        </w:tc>
        <w:tc>
          <w:tcPr>
            <w:tcW w:w="26" w:type="pct"/>
            <w:vAlign w:val="center"/>
            <w:hideMark/>
          </w:tcPr>
          <w:p w14:paraId="5E18E9C9" w14:textId="77777777" w:rsidR="00000000" w:rsidRDefault="00405D16">
            <w:pPr>
              <w:spacing w:after="100"/>
              <w:rPr>
                <w:rFonts w:eastAsia="Times New Roman"/>
                <w:sz w:val="20"/>
                <w:szCs w:val="20"/>
              </w:rPr>
            </w:pPr>
          </w:p>
        </w:tc>
        <w:tc>
          <w:tcPr>
            <w:tcW w:w="5" w:type="pct"/>
            <w:vAlign w:val="center"/>
            <w:hideMark/>
          </w:tcPr>
          <w:p w14:paraId="7CCDB143" w14:textId="77777777" w:rsidR="00000000" w:rsidRDefault="00405D16">
            <w:pPr>
              <w:spacing w:after="100"/>
              <w:rPr>
                <w:rFonts w:eastAsia="Times New Roman"/>
                <w:sz w:val="20"/>
                <w:szCs w:val="20"/>
              </w:rPr>
            </w:pPr>
          </w:p>
        </w:tc>
        <w:tc>
          <w:tcPr>
            <w:tcW w:w="50" w:type="pct"/>
            <w:vAlign w:val="center"/>
            <w:hideMark/>
          </w:tcPr>
          <w:p w14:paraId="7A165118" w14:textId="77777777" w:rsidR="00000000" w:rsidRDefault="00405D16">
            <w:pPr>
              <w:spacing w:after="100"/>
              <w:rPr>
                <w:rFonts w:eastAsia="Times New Roman"/>
                <w:sz w:val="20"/>
                <w:szCs w:val="20"/>
              </w:rPr>
            </w:pPr>
          </w:p>
        </w:tc>
        <w:tc>
          <w:tcPr>
            <w:tcW w:w="464" w:type="pct"/>
            <w:vAlign w:val="center"/>
            <w:hideMark/>
          </w:tcPr>
          <w:p w14:paraId="45320C5D" w14:textId="77777777" w:rsidR="00000000" w:rsidRDefault="00405D16">
            <w:pPr>
              <w:spacing w:after="100"/>
              <w:rPr>
                <w:rFonts w:eastAsia="Times New Roman"/>
                <w:sz w:val="20"/>
                <w:szCs w:val="20"/>
              </w:rPr>
            </w:pPr>
          </w:p>
        </w:tc>
        <w:tc>
          <w:tcPr>
            <w:tcW w:w="5" w:type="pct"/>
            <w:vAlign w:val="center"/>
            <w:hideMark/>
          </w:tcPr>
          <w:p w14:paraId="2C11355C" w14:textId="77777777" w:rsidR="00000000" w:rsidRDefault="00405D16">
            <w:pPr>
              <w:spacing w:after="100"/>
              <w:rPr>
                <w:rFonts w:eastAsia="Times New Roman"/>
                <w:sz w:val="20"/>
                <w:szCs w:val="20"/>
              </w:rPr>
            </w:pPr>
          </w:p>
        </w:tc>
        <w:tc>
          <w:tcPr>
            <w:tcW w:w="0" w:type="auto"/>
            <w:vAlign w:val="center"/>
            <w:hideMark/>
          </w:tcPr>
          <w:p w14:paraId="2B38E1A4" w14:textId="77777777" w:rsidR="00000000" w:rsidRDefault="00405D16">
            <w:pPr>
              <w:spacing w:after="100"/>
              <w:rPr>
                <w:rFonts w:eastAsia="Times New Roman"/>
                <w:sz w:val="20"/>
                <w:szCs w:val="20"/>
              </w:rPr>
            </w:pPr>
          </w:p>
        </w:tc>
        <w:tc>
          <w:tcPr>
            <w:tcW w:w="0" w:type="auto"/>
            <w:vAlign w:val="center"/>
            <w:hideMark/>
          </w:tcPr>
          <w:p w14:paraId="4035148A" w14:textId="77777777" w:rsidR="00000000" w:rsidRDefault="00405D16">
            <w:pPr>
              <w:spacing w:after="100"/>
              <w:rPr>
                <w:rFonts w:eastAsia="Times New Roman"/>
                <w:sz w:val="20"/>
                <w:szCs w:val="20"/>
              </w:rPr>
            </w:pPr>
          </w:p>
        </w:tc>
      </w:tr>
      <w:tr w:rsidR="00000000" w14:paraId="2EFFF882" w14:textId="77777777">
        <w:trPr>
          <w:divId w:val="874777748"/>
          <w:jc w:val="center"/>
        </w:trPr>
        <w:tc>
          <w:tcPr>
            <w:tcW w:w="0" w:type="auto"/>
            <w:gridSpan w:val="3"/>
            <w:tcMar>
              <w:top w:w="0" w:type="dxa"/>
              <w:left w:w="20" w:type="dxa"/>
              <w:bottom w:w="0" w:type="dxa"/>
              <w:right w:w="20" w:type="dxa"/>
            </w:tcMar>
            <w:vAlign w:val="center"/>
            <w:hideMark/>
          </w:tcPr>
          <w:p w14:paraId="746811CF"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802C7B" w14:textId="77777777" w:rsidR="00000000" w:rsidRDefault="00405D1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B37554E" w14:textId="77777777" w:rsidR="00000000" w:rsidRDefault="00405D16">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44D07D62" w14:textId="77777777" w:rsidR="00000000" w:rsidRDefault="00405D1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D66EFBF" w14:textId="77777777" w:rsidR="00000000" w:rsidRDefault="00405D16">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41082F61" w14:textId="77777777" w:rsidR="00000000" w:rsidRDefault="00405D16">
            <w:pPr>
              <w:spacing w:after="100"/>
              <w:jc w:val="center"/>
              <w:rPr>
                <w:rFonts w:eastAsia="Times New Roman"/>
              </w:rPr>
            </w:pPr>
          </w:p>
        </w:tc>
        <w:tc>
          <w:tcPr>
            <w:tcW w:w="0" w:type="auto"/>
            <w:vAlign w:val="center"/>
            <w:hideMark/>
          </w:tcPr>
          <w:p w14:paraId="720E7088" w14:textId="77777777" w:rsidR="00000000" w:rsidRDefault="00405D16">
            <w:pPr>
              <w:spacing w:after="100"/>
              <w:rPr>
                <w:rFonts w:eastAsia="Times New Roman"/>
                <w:sz w:val="20"/>
                <w:szCs w:val="20"/>
              </w:rPr>
            </w:pPr>
          </w:p>
        </w:tc>
      </w:tr>
      <w:tr w:rsidR="00000000" w14:paraId="414A3FAE" w14:textId="77777777">
        <w:trPr>
          <w:divId w:val="874777748"/>
          <w:jc w:val="center"/>
        </w:trPr>
        <w:tc>
          <w:tcPr>
            <w:tcW w:w="0" w:type="auto"/>
            <w:gridSpan w:val="3"/>
            <w:tcMar>
              <w:top w:w="30" w:type="dxa"/>
              <w:left w:w="20" w:type="dxa"/>
              <w:bottom w:w="30" w:type="dxa"/>
              <w:right w:w="20" w:type="dxa"/>
            </w:tcMar>
            <w:vAlign w:val="bottom"/>
            <w:hideMark/>
          </w:tcPr>
          <w:p w14:paraId="2CED6AAB"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2B21FAFD"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1A67FB8"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7B7E9E71"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39144C5"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37080CD0"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AE059D5"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1BE32B27"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4FB4AC9"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vAlign w:val="center"/>
            <w:hideMark/>
          </w:tcPr>
          <w:p w14:paraId="6770F621" w14:textId="77777777" w:rsidR="00000000" w:rsidRDefault="00405D16">
            <w:pPr>
              <w:spacing w:after="100"/>
              <w:jc w:val="center"/>
              <w:rPr>
                <w:rFonts w:eastAsia="Times New Roman"/>
              </w:rPr>
            </w:pPr>
          </w:p>
        </w:tc>
        <w:tc>
          <w:tcPr>
            <w:tcW w:w="0" w:type="auto"/>
            <w:vAlign w:val="center"/>
            <w:hideMark/>
          </w:tcPr>
          <w:p w14:paraId="739F4C97" w14:textId="77777777" w:rsidR="00000000" w:rsidRDefault="00405D16">
            <w:pPr>
              <w:spacing w:after="100"/>
              <w:rPr>
                <w:rFonts w:eastAsia="Times New Roman"/>
                <w:sz w:val="20"/>
                <w:szCs w:val="20"/>
              </w:rPr>
            </w:pPr>
          </w:p>
        </w:tc>
      </w:tr>
      <w:tr w:rsidR="00000000" w14:paraId="5EA5FBAB" w14:textId="77777777">
        <w:trPr>
          <w:divId w:val="874777748"/>
          <w:jc w:val="center"/>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5879D5BE" w14:textId="77777777" w:rsidR="00000000" w:rsidRDefault="00405D16">
            <w:pPr>
              <w:spacing w:after="100"/>
              <w:rPr>
                <w:rFonts w:eastAsia="Times New Roman"/>
              </w:rPr>
            </w:pPr>
            <w:r>
              <w:rPr>
                <w:rFonts w:eastAsia="Times New Roman"/>
                <w:b/>
                <w:bCs/>
                <w:color w:val="000000"/>
                <w:sz w:val="16"/>
                <w:szCs w:val="16"/>
              </w:rPr>
              <w:t xml:space="preserve">Net income </w:t>
            </w:r>
          </w:p>
        </w:tc>
        <w:tc>
          <w:tcPr>
            <w:tcW w:w="0" w:type="auto"/>
            <w:gridSpan w:val="3"/>
            <w:shd w:val="clear" w:color="auto" w:fill="CCEEFF"/>
            <w:tcMar>
              <w:top w:w="0" w:type="dxa"/>
              <w:left w:w="20" w:type="dxa"/>
              <w:bottom w:w="0" w:type="dxa"/>
              <w:right w:w="20" w:type="dxa"/>
            </w:tcMar>
            <w:vAlign w:val="center"/>
            <w:hideMark/>
          </w:tcPr>
          <w:p w14:paraId="5509CA91"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3ACEFC5" w14:textId="77777777" w:rsidR="00000000" w:rsidRDefault="00405D16">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C774344" w14:textId="77777777" w:rsidR="00000000" w:rsidRDefault="00405D16">
            <w:pPr>
              <w:spacing w:after="100"/>
              <w:jc w:val="right"/>
              <w:rPr>
                <w:rFonts w:eastAsia="Times New Roman"/>
              </w:rPr>
            </w:pPr>
            <w:r>
              <w:rPr>
                <w:rFonts w:eastAsia="Times New Roman"/>
                <w:b/>
                <w:bCs/>
                <w:color w:val="000000"/>
                <w:sz w:val="16"/>
                <w:szCs w:val="16"/>
              </w:rPr>
              <w:t>3,104</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65C545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1CF9ED"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5ACF541"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74997B5" w14:textId="77777777" w:rsidR="00000000" w:rsidRDefault="00405D16">
            <w:pPr>
              <w:spacing w:after="100"/>
              <w:jc w:val="right"/>
              <w:rPr>
                <w:rFonts w:eastAsia="Times New Roman"/>
              </w:rPr>
            </w:pPr>
            <w:r>
              <w:rPr>
                <w:rFonts w:eastAsia="Times New Roman"/>
                <w:color w:val="000000"/>
                <w:sz w:val="16"/>
                <w:szCs w:val="16"/>
              </w:rPr>
              <w:t>2,406 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D4DAD1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F6C10C"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058B3EA" w14:textId="77777777" w:rsidR="00000000" w:rsidRDefault="00405D16">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5FAE795" w14:textId="77777777" w:rsidR="00000000" w:rsidRDefault="00405D16">
            <w:pPr>
              <w:spacing w:after="100"/>
              <w:jc w:val="right"/>
              <w:rPr>
                <w:rFonts w:eastAsia="Times New Roman"/>
              </w:rPr>
            </w:pPr>
            <w:r>
              <w:rPr>
                <w:rFonts w:eastAsia="Times New Roman"/>
                <w:b/>
                <w:bCs/>
                <w:color w:val="000000"/>
                <w:sz w:val="16"/>
                <w:szCs w:val="16"/>
              </w:rPr>
              <w:t>9,965</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593153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A1FA3C"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F09910F"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D0ECE4F" w14:textId="77777777" w:rsidR="00000000" w:rsidRDefault="00405D16">
            <w:pPr>
              <w:spacing w:after="100"/>
              <w:jc w:val="right"/>
              <w:rPr>
                <w:rFonts w:eastAsia="Times New Roman"/>
              </w:rPr>
            </w:pPr>
            <w:r>
              <w:rPr>
                <w:rFonts w:eastAsia="Times New Roman"/>
                <w:color w:val="000000"/>
                <w:sz w:val="16"/>
                <w:szCs w:val="16"/>
              </w:rPr>
              <w:t>148 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C0D68B8" w14:textId="77777777" w:rsidR="00000000" w:rsidRDefault="00405D16">
            <w:pPr>
              <w:spacing w:after="100"/>
              <w:jc w:val="right"/>
              <w:rPr>
                <w:rFonts w:eastAsia="Times New Roman"/>
              </w:rPr>
            </w:pPr>
          </w:p>
        </w:tc>
        <w:tc>
          <w:tcPr>
            <w:tcW w:w="0" w:type="auto"/>
            <w:vAlign w:val="center"/>
            <w:hideMark/>
          </w:tcPr>
          <w:p w14:paraId="79772146" w14:textId="77777777" w:rsidR="00000000" w:rsidRDefault="00405D16">
            <w:pPr>
              <w:spacing w:after="100"/>
              <w:jc w:val="right"/>
              <w:rPr>
                <w:rFonts w:eastAsia="Times New Roman"/>
                <w:sz w:val="20"/>
                <w:szCs w:val="20"/>
              </w:rPr>
            </w:pPr>
          </w:p>
        </w:tc>
        <w:tc>
          <w:tcPr>
            <w:tcW w:w="0" w:type="auto"/>
            <w:vAlign w:val="center"/>
            <w:hideMark/>
          </w:tcPr>
          <w:p w14:paraId="6A4470BD" w14:textId="77777777" w:rsidR="00000000" w:rsidRDefault="00405D16">
            <w:pPr>
              <w:spacing w:after="100"/>
              <w:rPr>
                <w:rFonts w:eastAsia="Times New Roman"/>
                <w:sz w:val="20"/>
                <w:szCs w:val="20"/>
              </w:rPr>
            </w:pPr>
          </w:p>
        </w:tc>
      </w:tr>
      <w:tr w:rsidR="00000000" w14:paraId="458D9C91" w14:textId="77777777">
        <w:trPr>
          <w:divId w:val="874777748"/>
          <w:jc w:val="center"/>
        </w:trPr>
        <w:tc>
          <w:tcPr>
            <w:tcW w:w="0" w:type="auto"/>
            <w:gridSpan w:val="3"/>
            <w:shd w:val="clear" w:color="auto" w:fill="FFFFFF"/>
            <w:tcMar>
              <w:top w:w="30" w:type="dxa"/>
              <w:left w:w="20" w:type="dxa"/>
              <w:bottom w:w="30" w:type="dxa"/>
              <w:right w:w="20" w:type="dxa"/>
            </w:tcMar>
            <w:vAlign w:val="center"/>
            <w:hideMark/>
          </w:tcPr>
          <w:p w14:paraId="20B4B660" w14:textId="77777777" w:rsidR="00000000" w:rsidRDefault="00405D16">
            <w:pPr>
              <w:spacing w:after="100"/>
              <w:rPr>
                <w:rFonts w:eastAsia="Times New Roman"/>
              </w:rPr>
            </w:pPr>
            <w:r>
              <w:rPr>
                <w:rFonts w:eastAsia="Times New Roman"/>
                <w:b/>
                <w:bCs/>
                <w:color w:val="000000"/>
                <w:sz w:val="16"/>
                <w:szCs w:val="16"/>
              </w:rPr>
              <w:t>Other comprehensive income, net of tax:</w:t>
            </w:r>
          </w:p>
        </w:tc>
        <w:tc>
          <w:tcPr>
            <w:tcW w:w="0" w:type="auto"/>
            <w:gridSpan w:val="3"/>
            <w:shd w:val="clear" w:color="auto" w:fill="FFFFFF"/>
            <w:tcMar>
              <w:top w:w="0" w:type="dxa"/>
              <w:left w:w="20" w:type="dxa"/>
              <w:bottom w:w="0" w:type="dxa"/>
              <w:right w:w="20" w:type="dxa"/>
            </w:tcMar>
            <w:vAlign w:val="center"/>
            <w:hideMark/>
          </w:tcPr>
          <w:p w14:paraId="4FC53FE4"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30DE7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D2CCB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03D09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65D10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0FC3E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DBDCD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B344F1" w14:textId="77777777" w:rsidR="00000000" w:rsidRDefault="00405D16">
            <w:pPr>
              <w:spacing w:after="100"/>
              <w:rPr>
                <w:rFonts w:eastAsia="Times New Roman"/>
                <w:sz w:val="20"/>
                <w:szCs w:val="20"/>
              </w:rPr>
            </w:pPr>
          </w:p>
        </w:tc>
        <w:tc>
          <w:tcPr>
            <w:tcW w:w="0" w:type="auto"/>
            <w:vAlign w:val="center"/>
            <w:hideMark/>
          </w:tcPr>
          <w:p w14:paraId="3E68DDE4" w14:textId="77777777" w:rsidR="00000000" w:rsidRDefault="00405D16">
            <w:pPr>
              <w:spacing w:after="100"/>
              <w:rPr>
                <w:rFonts w:eastAsia="Times New Roman"/>
                <w:sz w:val="20"/>
                <w:szCs w:val="20"/>
              </w:rPr>
            </w:pPr>
          </w:p>
        </w:tc>
        <w:tc>
          <w:tcPr>
            <w:tcW w:w="0" w:type="auto"/>
            <w:vAlign w:val="center"/>
            <w:hideMark/>
          </w:tcPr>
          <w:p w14:paraId="581555E8" w14:textId="77777777" w:rsidR="00000000" w:rsidRDefault="00405D16">
            <w:pPr>
              <w:spacing w:after="100"/>
              <w:rPr>
                <w:rFonts w:eastAsia="Times New Roman"/>
                <w:sz w:val="20"/>
                <w:szCs w:val="20"/>
              </w:rPr>
            </w:pPr>
          </w:p>
        </w:tc>
      </w:tr>
      <w:tr w:rsidR="00000000" w14:paraId="5BFB632B" w14:textId="77777777">
        <w:trPr>
          <w:divId w:val="874777748"/>
          <w:jc w:val="center"/>
        </w:trPr>
        <w:tc>
          <w:tcPr>
            <w:tcW w:w="0" w:type="auto"/>
            <w:gridSpan w:val="3"/>
            <w:shd w:val="clear" w:color="auto" w:fill="CCEEFF"/>
            <w:tcMar>
              <w:top w:w="30" w:type="dxa"/>
              <w:left w:w="245" w:type="dxa"/>
              <w:bottom w:w="30" w:type="dxa"/>
              <w:right w:w="20" w:type="dxa"/>
            </w:tcMar>
            <w:vAlign w:val="center"/>
            <w:hideMark/>
          </w:tcPr>
          <w:p w14:paraId="64BC471B" w14:textId="77777777" w:rsidR="00000000" w:rsidRDefault="00405D16">
            <w:pPr>
              <w:spacing w:after="100"/>
              <w:rPr>
                <w:rFonts w:eastAsia="Times New Roman"/>
              </w:rPr>
            </w:pPr>
            <w:r>
              <w:rPr>
                <w:rFonts w:eastAsia="Times New Roman"/>
                <w:color w:val="000000"/>
                <w:sz w:val="16"/>
                <w:szCs w:val="16"/>
              </w:rPr>
              <w:t>Net unrealized gains on securities available for sale</w:t>
            </w:r>
          </w:p>
        </w:tc>
        <w:tc>
          <w:tcPr>
            <w:tcW w:w="0" w:type="auto"/>
            <w:gridSpan w:val="3"/>
            <w:shd w:val="clear" w:color="auto" w:fill="CCEEFF"/>
            <w:tcMar>
              <w:top w:w="0" w:type="dxa"/>
              <w:left w:w="20" w:type="dxa"/>
              <w:bottom w:w="0" w:type="dxa"/>
              <w:right w:w="20" w:type="dxa"/>
            </w:tcMar>
            <w:vAlign w:val="center"/>
            <w:hideMark/>
          </w:tcPr>
          <w:p w14:paraId="2600CE3F"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7F50EE6" w14:textId="77777777" w:rsidR="00000000" w:rsidRDefault="00405D16">
            <w:pPr>
              <w:spacing w:after="100"/>
              <w:jc w:val="right"/>
              <w:rPr>
                <w:rFonts w:eastAsia="Times New Roman"/>
              </w:rPr>
            </w:pPr>
            <w:r>
              <w:rPr>
                <w:rFonts w:eastAsia="Times New Roman"/>
                <w:b/>
                <w:bCs/>
                <w:color w:val="000000"/>
                <w:sz w:val="16"/>
                <w:szCs w:val="16"/>
              </w:rPr>
              <w:t>(208)</w:t>
            </w:r>
          </w:p>
        </w:tc>
        <w:tc>
          <w:tcPr>
            <w:tcW w:w="0" w:type="auto"/>
            <w:shd w:val="clear" w:color="auto" w:fill="CCEEFF"/>
            <w:tcMar>
              <w:top w:w="30" w:type="dxa"/>
              <w:left w:w="0" w:type="dxa"/>
              <w:bottom w:w="30" w:type="dxa"/>
              <w:right w:w="20" w:type="dxa"/>
            </w:tcMar>
            <w:vAlign w:val="center"/>
            <w:hideMark/>
          </w:tcPr>
          <w:p w14:paraId="5F49300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C41EF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FE39EFA" w14:textId="77777777" w:rsidR="00000000" w:rsidRDefault="00405D16">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center"/>
            <w:hideMark/>
          </w:tcPr>
          <w:p w14:paraId="7A56A2B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ADA57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8B1B5A6" w14:textId="77777777" w:rsidR="00000000" w:rsidRDefault="00405D16">
            <w:pPr>
              <w:spacing w:after="100"/>
              <w:jc w:val="right"/>
              <w:rPr>
                <w:rFonts w:eastAsia="Times New Roman"/>
              </w:rPr>
            </w:pPr>
            <w:r>
              <w:rPr>
                <w:rFonts w:eastAsia="Times New Roman"/>
                <w:b/>
                <w:bCs/>
                <w:color w:val="000000"/>
                <w:sz w:val="16"/>
                <w:szCs w:val="16"/>
              </w:rPr>
              <w:t>(1,305)</w:t>
            </w:r>
          </w:p>
        </w:tc>
        <w:tc>
          <w:tcPr>
            <w:tcW w:w="0" w:type="auto"/>
            <w:shd w:val="clear" w:color="auto" w:fill="CCEEFF"/>
            <w:tcMar>
              <w:top w:w="30" w:type="dxa"/>
              <w:left w:w="0" w:type="dxa"/>
              <w:bottom w:w="30" w:type="dxa"/>
              <w:right w:w="20" w:type="dxa"/>
            </w:tcMar>
            <w:vAlign w:val="center"/>
            <w:hideMark/>
          </w:tcPr>
          <w:p w14:paraId="04927EF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1DA58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363A65A" w14:textId="77777777" w:rsidR="00000000" w:rsidRDefault="00405D16">
            <w:pPr>
              <w:spacing w:after="100"/>
              <w:jc w:val="right"/>
              <w:rPr>
                <w:rFonts w:eastAsia="Times New Roman"/>
              </w:rPr>
            </w:pPr>
            <w:r>
              <w:rPr>
                <w:rFonts w:eastAsia="Times New Roman"/>
                <w:color w:val="000000"/>
                <w:sz w:val="16"/>
                <w:szCs w:val="16"/>
              </w:rPr>
              <w:t>1,447 </w:t>
            </w:r>
          </w:p>
        </w:tc>
        <w:tc>
          <w:tcPr>
            <w:tcW w:w="0" w:type="auto"/>
            <w:shd w:val="clear" w:color="auto" w:fill="CCEEFF"/>
            <w:tcMar>
              <w:top w:w="30" w:type="dxa"/>
              <w:left w:w="0" w:type="dxa"/>
              <w:bottom w:w="30" w:type="dxa"/>
              <w:right w:w="20" w:type="dxa"/>
            </w:tcMar>
            <w:vAlign w:val="center"/>
            <w:hideMark/>
          </w:tcPr>
          <w:p w14:paraId="40F185AB" w14:textId="77777777" w:rsidR="00000000" w:rsidRDefault="00405D16">
            <w:pPr>
              <w:spacing w:after="100"/>
              <w:jc w:val="right"/>
              <w:rPr>
                <w:rFonts w:eastAsia="Times New Roman"/>
              </w:rPr>
            </w:pPr>
          </w:p>
        </w:tc>
        <w:tc>
          <w:tcPr>
            <w:tcW w:w="0" w:type="auto"/>
            <w:vAlign w:val="center"/>
            <w:hideMark/>
          </w:tcPr>
          <w:p w14:paraId="0CA1B9BB" w14:textId="77777777" w:rsidR="00000000" w:rsidRDefault="00405D16">
            <w:pPr>
              <w:spacing w:after="100"/>
              <w:jc w:val="right"/>
              <w:rPr>
                <w:rFonts w:eastAsia="Times New Roman"/>
                <w:sz w:val="20"/>
                <w:szCs w:val="20"/>
              </w:rPr>
            </w:pPr>
          </w:p>
        </w:tc>
        <w:tc>
          <w:tcPr>
            <w:tcW w:w="0" w:type="auto"/>
            <w:vAlign w:val="center"/>
            <w:hideMark/>
          </w:tcPr>
          <w:p w14:paraId="335EEEC9" w14:textId="77777777" w:rsidR="00000000" w:rsidRDefault="00405D16">
            <w:pPr>
              <w:spacing w:after="100"/>
              <w:rPr>
                <w:rFonts w:eastAsia="Times New Roman"/>
                <w:sz w:val="20"/>
                <w:szCs w:val="20"/>
              </w:rPr>
            </w:pPr>
          </w:p>
        </w:tc>
      </w:tr>
      <w:tr w:rsidR="00000000" w14:paraId="4FBF850C" w14:textId="77777777">
        <w:trPr>
          <w:divId w:val="874777748"/>
          <w:jc w:val="center"/>
        </w:trPr>
        <w:tc>
          <w:tcPr>
            <w:tcW w:w="0" w:type="auto"/>
            <w:gridSpan w:val="3"/>
            <w:shd w:val="clear" w:color="auto" w:fill="FFFFFF"/>
            <w:tcMar>
              <w:top w:w="30" w:type="dxa"/>
              <w:left w:w="245" w:type="dxa"/>
              <w:bottom w:w="30" w:type="dxa"/>
              <w:right w:w="20" w:type="dxa"/>
            </w:tcMar>
            <w:vAlign w:val="center"/>
            <w:hideMark/>
          </w:tcPr>
          <w:p w14:paraId="561853C4" w14:textId="77777777" w:rsidR="00000000" w:rsidRDefault="00405D16">
            <w:pPr>
              <w:spacing w:after="100"/>
              <w:rPr>
                <w:rFonts w:eastAsia="Times New Roman"/>
              </w:rPr>
            </w:pPr>
            <w:r>
              <w:rPr>
                <w:rFonts w:eastAsia="Times New Roman"/>
                <w:color w:val="000000"/>
                <w:sz w:val="16"/>
                <w:szCs w:val="16"/>
              </w:rPr>
              <w:t>Net unrealized gains (losses) on hedging relationships</w:t>
            </w:r>
          </w:p>
        </w:tc>
        <w:tc>
          <w:tcPr>
            <w:tcW w:w="0" w:type="auto"/>
            <w:gridSpan w:val="3"/>
            <w:shd w:val="clear" w:color="auto" w:fill="FFFFFF"/>
            <w:tcMar>
              <w:top w:w="0" w:type="dxa"/>
              <w:left w:w="20" w:type="dxa"/>
              <w:bottom w:w="0" w:type="dxa"/>
              <w:right w:w="20" w:type="dxa"/>
            </w:tcMar>
            <w:vAlign w:val="center"/>
            <w:hideMark/>
          </w:tcPr>
          <w:p w14:paraId="7E527CA9"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D856644" w14:textId="77777777" w:rsidR="00000000" w:rsidRDefault="00405D16">
            <w:pPr>
              <w:spacing w:after="100"/>
              <w:jc w:val="right"/>
              <w:rPr>
                <w:rFonts w:eastAsia="Times New Roman"/>
              </w:rPr>
            </w:pPr>
            <w:r>
              <w:rPr>
                <w:rFonts w:eastAsia="Times New Roman"/>
                <w:b/>
                <w:bCs/>
                <w:color w:val="000000"/>
                <w:sz w:val="16"/>
                <w:szCs w:val="16"/>
              </w:rPr>
              <w:t>(195)</w:t>
            </w:r>
          </w:p>
        </w:tc>
        <w:tc>
          <w:tcPr>
            <w:tcW w:w="0" w:type="auto"/>
            <w:shd w:val="clear" w:color="auto" w:fill="FFFFFF"/>
            <w:tcMar>
              <w:top w:w="30" w:type="dxa"/>
              <w:left w:w="0" w:type="dxa"/>
              <w:bottom w:w="30" w:type="dxa"/>
              <w:right w:w="20" w:type="dxa"/>
            </w:tcMar>
            <w:vAlign w:val="center"/>
            <w:hideMark/>
          </w:tcPr>
          <w:p w14:paraId="41B116B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C2614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91A83A2" w14:textId="77777777" w:rsidR="00000000" w:rsidRDefault="00405D16">
            <w:pPr>
              <w:spacing w:after="100"/>
              <w:jc w:val="right"/>
              <w:rPr>
                <w:rFonts w:eastAsia="Times New Roman"/>
              </w:rPr>
            </w:pPr>
            <w:r>
              <w:rPr>
                <w:rFonts w:eastAsia="Times New Roman"/>
                <w:color w:val="000000"/>
                <w:sz w:val="16"/>
                <w:szCs w:val="16"/>
              </w:rPr>
              <w:t>(175)</w:t>
            </w:r>
          </w:p>
        </w:tc>
        <w:tc>
          <w:tcPr>
            <w:tcW w:w="0" w:type="auto"/>
            <w:shd w:val="clear" w:color="auto" w:fill="FFFFFF"/>
            <w:tcMar>
              <w:top w:w="30" w:type="dxa"/>
              <w:left w:w="0" w:type="dxa"/>
              <w:bottom w:w="30" w:type="dxa"/>
              <w:right w:w="20" w:type="dxa"/>
            </w:tcMar>
            <w:vAlign w:val="center"/>
            <w:hideMark/>
          </w:tcPr>
          <w:p w14:paraId="6938C97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95145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C397BEE" w14:textId="77777777" w:rsidR="00000000" w:rsidRDefault="00405D16">
            <w:pPr>
              <w:spacing w:after="100"/>
              <w:jc w:val="right"/>
              <w:rPr>
                <w:rFonts w:eastAsia="Times New Roman"/>
              </w:rPr>
            </w:pPr>
            <w:r>
              <w:rPr>
                <w:rFonts w:eastAsia="Times New Roman"/>
                <w:b/>
                <w:bCs/>
                <w:color w:val="000000"/>
                <w:sz w:val="16"/>
                <w:szCs w:val="16"/>
              </w:rPr>
              <w:t>(827)</w:t>
            </w:r>
          </w:p>
        </w:tc>
        <w:tc>
          <w:tcPr>
            <w:tcW w:w="0" w:type="auto"/>
            <w:shd w:val="clear" w:color="auto" w:fill="FFFFFF"/>
            <w:tcMar>
              <w:top w:w="30" w:type="dxa"/>
              <w:left w:w="0" w:type="dxa"/>
              <w:bottom w:w="30" w:type="dxa"/>
              <w:right w:w="20" w:type="dxa"/>
            </w:tcMar>
            <w:vAlign w:val="center"/>
            <w:hideMark/>
          </w:tcPr>
          <w:p w14:paraId="74545A1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11DFB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FC0D0A4" w14:textId="77777777" w:rsidR="00000000" w:rsidRDefault="00405D16">
            <w:pPr>
              <w:spacing w:after="100"/>
              <w:jc w:val="right"/>
              <w:rPr>
                <w:rFonts w:eastAsia="Times New Roman"/>
              </w:rPr>
            </w:pPr>
            <w:r>
              <w:rPr>
                <w:rFonts w:eastAsia="Times New Roman"/>
                <w:color w:val="000000"/>
                <w:sz w:val="16"/>
                <w:szCs w:val="16"/>
              </w:rPr>
              <w:t>1,256 </w:t>
            </w:r>
          </w:p>
        </w:tc>
        <w:tc>
          <w:tcPr>
            <w:tcW w:w="0" w:type="auto"/>
            <w:shd w:val="clear" w:color="auto" w:fill="FFFFFF"/>
            <w:tcMar>
              <w:top w:w="30" w:type="dxa"/>
              <w:left w:w="0" w:type="dxa"/>
              <w:bottom w:w="30" w:type="dxa"/>
              <w:right w:w="20" w:type="dxa"/>
            </w:tcMar>
            <w:vAlign w:val="center"/>
            <w:hideMark/>
          </w:tcPr>
          <w:p w14:paraId="6310F6E6" w14:textId="77777777" w:rsidR="00000000" w:rsidRDefault="00405D16">
            <w:pPr>
              <w:spacing w:after="100"/>
              <w:jc w:val="right"/>
              <w:rPr>
                <w:rFonts w:eastAsia="Times New Roman"/>
              </w:rPr>
            </w:pPr>
          </w:p>
        </w:tc>
        <w:tc>
          <w:tcPr>
            <w:tcW w:w="0" w:type="auto"/>
            <w:vAlign w:val="center"/>
            <w:hideMark/>
          </w:tcPr>
          <w:p w14:paraId="1CDCAECC" w14:textId="77777777" w:rsidR="00000000" w:rsidRDefault="00405D16">
            <w:pPr>
              <w:spacing w:after="100"/>
              <w:jc w:val="right"/>
              <w:rPr>
                <w:rFonts w:eastAsia="Times New Roman"/>
                <w:sz w:val="20"/>
                <w:szCs w:val="20"/>
              </w:rPr>
            </w:pPr>
          </w:p>
        </w:tc>
        <w:tc>
          <w:tcPr>
            <w:tcW w:w="0" w:type="auto"/>
            <w:vAlign w:val="center"/>
            <w:hideMark/>
          </w:tcPr>
          <w:p w14:paraId="592A8866" w14:textId="77777777" w:rsidR="00000000" w:rsidRDefault="00405D16">
            <w:pPr>
              <w:spacing w:after="100"/>
              <w:rPr>
                <w:rFonts w:eastAsia="Times New Roman"/>
                <w:sz w:val="20"/>
                <w:szCs w:val="20"/>
              </w:rPr>
            </w:pPr>
          </w:p>
        </w:tc>
      </w:tr>
      <w:tr w:rsidR="00000000" w14:paraId="5E193420" w14:textId="77777777">
        <w:trPr>
          <w:divId w:val="874777748"/>
          <w:jc w:val="center"/>
        </w:trPr>
        <w:tc>
          <w:tcPr>
            <w:tcW w:w="0" w:type="auto"/>
            <w:gridSpan w:val="3"/>
            <w:shd w:val="clear" w:color="auto" w:fill="CCEEFF"/>
            <w:tcMar>
              <w:top w:w="30" w:type="dxa"/>
              <w:left w:w="245" w:type="dxa"/>
              <w:bottom w:w="30" w:type="dxa"/>
              <w:right w:w="20" w:type="dxa"/>
            </w:tcMar>
            <w:vAlign w:val="center"/>
            <w:hideMark/>
          </w:tcPr>
          <w:p w14:paraId="01600EF4" w14:textId="77777777" w:rsidR="00000000" w:rsidRDefault="00405D16">
            <w:pPr>
              <w:spacing w:after="100"/>
              <w:rPr>
                <w:rFonts w:eastAsia="Times New Roman"/>
              </w:rPr>
            </w:pPr>
            <w:r>
              <w:rPr>
                <w:rFonts w:eastAsia="Times New Roman"/>
                <w:color w:val="000000"/>
                <w:sz w:val="16"/>
                <w:szCs w:val="16"/>
              </w:rPr>
              <w:t>Foreign currency translation adjustments</w:t>
            </w:r>
          </w:p>
        </w:tc>
        <w:tc>
          <w:tcPr>
            <w:tcW w:w="0" w:type="auto"/>
            <w:gridSpan w:val="3"/>
            <w:shd w:val="clear" w:color="auto" w:fill="CCEEFF"/>
            <w:tcMar>
              <w:top w:w="0" w:type="dxa"/>
              <w:left w:w="20" w:type="dxa"/>
              <w:bottom w:w="0" w:type="dxa"/>
              <w:right w:w="20" w:type="dxa"/>
            </w:tcMar>
            <w:vAlign w:val="center"/>
            <w:hideMark/>
          </w:tcPr>
          <w:p w14:paraId="5D2A6834"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EEC6A42" w14:textId="77777777" w:rsidR="00000000" w:rsidRDefault="00405D16">
            <w:pPr>
              <w:spacing w:after="100"/>
              <w:jc w:val="right"/>
              <w:rPr>
                <w:rFonts w:eastAsia="Times New Roman"/>
              </w:rPr>
            </w:pPr>
            <w:r>
              <w:rPr>
                <w:rFonts w:eastAsia="Times New Roman"/>
                <w:b/>
                <w:bCs/>
                <w:color w:val="000000"/>
                <w:sz w:val="16"/>
                <w:szCs w:val="16"/>
              </w:rPr>
              <w:t>(27)</w:t>
            </w:r>
          </w:p>
        </w:tc>
        <w:tc>
          <w:tcPr>
            <w:tcW w:w="0" w:type="auto"/>
            <w:shd w:val="clear" w:color="auto" w:fill="CCEEFF"/>
            <w:tcMar>
              <w:top w:w="30" w:type="dxa"/>
              <w:left w:w="0" w:type="dxa"/>
              <w:bottom w:w="30" w:type="dxa"/>
              <w:right w:w="20" w:type="dxa"/>
            </w:tcMar>
            <w:vAlign w:val="center"/>
            <w:hideMark/>
          </w:tcPr>
          <w:p w14:paraId="0EB5435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E5208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31D65D6" w14:textId="77777777" w:rsidR="00000000" w:rsidRDefault="00405D16">
            <w:pPr>
              <w:spacing w:after="100"/>
              <w:jc w:val="right"/>
              <w:rPr>
                <w:rFonts w:eastAsia="Times New Roman"/>
              </w:rPr>
            </w:pPr>
            <w:r>
              <w:rPr>
                <w:rFonts w:eastAsia="Times New Roman"/>
                <w:color w:val="000000"/>
                <w:sz w:val="16"/>
                <w:szCs w:val="16"/>
              </w:rPr>
              <w:t>28 </w:t>
            </w:r>
          </w:p>
        </w:tc>
        <w:tc>
          <w:tcPr>
            <w:tcW w:w="0" w:type="auto"/>
            <w:shd w:val="clear" w:color="auto" w:fill="CCEEFF"/>
            <w:tcMar>
              <w:top w:w="30" w:type="dxa"/>
              <w:left w:w="0" w:type="dxa"/>
              <w:bottom w:w="30" w:type="dxa"/>
              <w:right w:w="20" w:type="dxa"/>
            </w:tcMar>
            <w:vAlign w:val="center"/>
            <w:hideMark/>
          </w:tcPr>
          <w:p w14:paraId="39D87C3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2209A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1D9CE18" w14:textId="77777777" w:rsidR="00000000" w:rsidRDefault="00405D16">
            <w:pPr>
              <w:spacing w:after="100"/>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2BC45AE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E0A7F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3976F5E" w14:textId="77777777" w:rsidR="00000000" w:rsidRDefault="00405D16">
            <w:pPr>
              <w:spacing w:after="100"/>
              <w:jc w:val="right"/>
              <w:rPr>
                <w:rFonts w:eastAsia="Times New Roman"/>
              </w:rPr>
            </w:pPr>
            <w:r>
              <w:rPr>
                <w:rFonts w:eastAsia="Times New Roman"/>
                <w:color w:val="000000"/>
                <w:sz w:val="16"/>
                <w:szCs w:val="16"/>
              </w:rPr>
              <w:t>(16)</w:t>
            </w:r>
          </w:p>
        </w:tc>
        <w:tc>
          <w:tcPr>
            <w:tcW w:w="0" w:type="auto"/>
            <w:shd w:val="clear" w:color="auto" w:fill="CCEEFF"/>
            <w:tcMar>
              <w:top w:w="30" w:type="dxa"/>
              <w:left w:w="0" w:type="dxa"/>
              <w:bottom w:w="30" w:type="dxa"/>
              <w:right w:w="20" w:type="dxa"/>
            </w:tcMar>
            <w:vAlign w:val="center"/>
            <w:hideMark/>
          </w:tcPr>
          <w:p w14:paraId="33982012" w14:textId="77777777" w:rsidR="00000000" w:rsidRDefault="00405D16">
            <w:pPr>
              <w:spacing w:after="100"/>
              <w:jc w:val="right"/>
              <w:rPr>
                <w:rFonts w:eastAsia="Times New Roman"/>
              </w:rPr>
            </w:pPr>
          </w:p>
        </w:tc>
        <w:tc>
          <w:tcPr>
            <w:tcW w:w="0" w:type="auto"/>
            <w:vAlign w:val="center"/>
            <w:hideMark/>
          </w:tcPr>
          <w:p w14:paraId="6E1331D8" w14:textId="77777777" w:rsidR="00000000" w:rsidRDefault="00405D16">
            <w:pPr>
              <w:spacing w:after="100"/>
              <w:jc w:val="right"/>
              <w:rPr>
                <w:rFonts w:eastAsia="Times New Roman"/>
                <w:sz w:val="20"/>
                <w:szCs w:val="20"/>
              </w:rPr>
            </w:pPr>
          </w:p>
        </w:tc>
        <w:tc>
          <w:tcPr>
            <w:tcW w:w="0" w:type="auto"/>
            <w:vAlign w:val="center"/>
            <w:hideMark/>
          </w:tcPr>
          <w:p w14:paraId="716C2D77" w14:textId="77777777" w:rsidR="00000000" w:rsidRDefault="00405D16">
            <w:pPr>
              <w:spacing w:after="100"/>
              <w:rPr>
                <w:rFonts w:eastAsia="Times New Roman"/>
                <w:sz w:val="20"/>
                <w:szCs w:val="20"/>
              </w:rPr>
            </w:pPr>
          </w:p>
        </w:tc>
      </w:tr>
      <w:tr w:rsidR="00000000" w14:paraId="4973D704" w14:textId="77777777">
        <w:trPr>
          <w:divId w:val="874777748"/>
          <w:jc w:val="center"/>
        </w:trPr>
        <w:tc>
          <w:tcPr>
            <w:tcW w:w="0" w:type="auto"/>
            <w:gridSpan w:val="3"/>
            <w:shd w:val="clear" w:color="auto" w:fill="FFFFFF"/>
            <w:tcMar>
              <w:top w:w="30" w:type="dxa"/>
              <w:left w:w="245" w:type="dxa"/>
              <w:bottom w:w="30" w:type="dxa"/>
              <w:right w:w="20" w:type="dxa"/>
            </w:tcMar>
            <w:vAlign w:val="center"/>
            <w:hideMark/>
          </w:tcPr>
          <w:p w14:paraId="07F1A03F" w14:textId="77777777" w:rsidR="00000000" w:rsidRDefault="00405D16">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14:paraId="5B9D4496"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B5D1512" w14:textId="77777777" w:rsidR="00000000" w:rsidRDefault="00405D16">
            <w:pPr>
              <w:spacing w:after="100"/>
              <w:jc w:val="right"/>
              <w:rPr>
                <w:rFonts w:eastAsia="Times New Roman"/>
              </w:rPr>
            </w:pPr>
            <w:r>
              <w:rPr>
                <w:rFonts w:eastAsia="Times New Roman"/>
                <w:b/>
                <w:bCs/>
                <w:color w:val="000000"/>
                <w:sz w:val="16"/>
                <w:szCs w:val="16"/>
              </w:rPr>
              <w:t>(2)</w:t>
            </w:r>
          </w:p>
        </w:tc>
        <w:tc>
          <w:tcPr>
            <w:tcW w:w="0" w:type="auto"/>
            <w:shd w:val="clear" w:color="auto" w:fill="FFFFFF"/>
            <w:tcMar>
              <w:top w:w="30" w:type="dxa"/>
              <w:left w:w="0" w:type="dxa"/>
              <w:bottom w:w="30" w:type="dxa"/>
              <w:right w:w="20" w:type="dxa"/>
            </w:tcMar>
            <w:vAlign w:val="center"/>
            <w:hideMark/>
          </w:tcPr>
          <w:p w14:paraId="7CFE209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342A0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83D0FCE" w14:textId="77777777" w:rsidR="00000000" w:rsidRDefault="00405D16">
            <w:pPr>
              <w:spacing w:after="100"/>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center"/>
            <w:hideMark/>
          </w:tcPr>
          <w:p w14:paraId="199433B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8FEFA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DEAD301" w14:textId="77777777" w:rsidR="00000000" w:rsidRDefault="00405D16">
            <w:pPr>
              <w:spacing w:after="100"/>
              <w:jc w:val="right"/>
              <w:rPr>
                <w:rFonts w:eastAsia="Times New Roman"/>
              </w:rPr>
            </w:pPr>
            <w:r>
              <w:rPr>
                <w:rFonts w:eastAsia="Times New Roman"/>
                <w:b/>
                <w:bCs/>
                <w:color w:val="000000"/>
                <w:sz w:val="16"/>
                <w:szCs w:val="16"/>
              </w:rPr>
              <w:t>(3)</w:t>
            </w:r>
          </w:p>
        </w:tc>
        <w:tc>
          <w:tcPr>
            <w:tcW w:w="0" w:type="auto"/>
            <w:shd w:val="clear" w:color="auto" w:fill="FFFFFF"/>
            <w:tcMar>
              <w:top w:w="30" w:type="dxa"/>
              <w:left w:w="0" w:type="dxa"/>
              <w:bottom w:w="30" w:type="dxa"/>
              <w:right w:w="20" w:type="dxa"/>
            </w:tcMar>
            <w:vAlign w:val="center"/>
            <w:hideMark/>
          </w:tcPr>
          <w:p w14:paraId="14ADC3A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38966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AEF6728" w14:textId="77777777" w:rsidR="00000000" w:rsidRDefault="00405D16">
            <w:pPr>
              <w:spacing w:after="100"/>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center"/>
            <w:hideMark/>
          </w:tcPr>
          <w:p w14:paraId="0D552CAC" w14:textId="77777777" w:rsidR="00000000" w:rsidRDefault="00405D16">
            <w:pPr>
              <w:spacing w:after="100"/>
              <w:jc w:val="right"/>
              <w:rPr>
                <w:rFonts w:eastAsia="Times New Roman"/>
              </w:rPr>
            </w:pPr>
          </w:p>
        </w:tc>
        <w:tc>
          <w:tcPr>
            <w:tcW w:w="0" w:type="auto"/>
            <w:vAlign w:val="center"/>
            <w:hideMark/>
          </w:tcPr>
          <w:p w14:paraId="179F6C5F" w14:textId="77777777" w:rsidR="00000000" w:rsidRDefault="00405D16">
            <w:pPr>
              <w:spacing w:after="100"/>
              <w:jc w:val="right"/>
              <w:rPr>
                <w:rFonts w:eastAsia="Times New Roman"/>
                <w:sz w:val="20"/>
                <w:szCs w:val="20"/>
              </w:rPr>
            </w:pPr>
          </w:p>
        </w:tc>
        <w:tc>
          <w:tcPr>
            <w:tcW w:w="0" w:type="auto"/>
            <w:vAlign w:val="center"/>
            <w:hideMark/>
          </w:tcPr>
          <w:p w14:paraId="5A0D4097" w14:textId="77777777" w:rsidR="00000000" w:rsidRDefault="00405D16">
            <w:pPr>
              <w:spacing w:after="100"/>
              <w:rPr>
                <w:rFonts w:eastAsia="Times New Roman"/>
                <w:sz w:val="20"/>
                <w:szCs w:val="20"/>
              </w:rPr>
            </w:pPr>
          </w:p>
        </w:tc>
      </w:tr>
      <w:tr w:rsidR="00000000" w14:paraId="6D7836F8" w14:textId="77777777">
        <w:trPr>
          <w:divId w:val="874777748"/>
          <w:jc w:val="center"/>
        </w:trPr>
        <w:tc>
          <w:tcPr>
            <w:tcW w:w="0" w:type="auto"/>
            <w:gridSpan w:val="3"/>
            <w:shd w:val="clear" w:color="auto" w:fill="CCEEFF"/>
            <w:tcMar>
              <w:top w:w="30" w:type="dxa"/>
              <w:left w:w="20" w:type="dxa"/>
              <w:bottom w:w="30" w:type="dxa"/>
              <w:right w:w="20" w:type="dxa"/>
            </w:tcMar>
            <w:vAlign w:val="center"/>
            <w:hideMark/>
          </w:tcPr>
          <w:p w14:paraId="7C0C9F73" w14:textId="77777777" w:rsidR="00000000" w:rsidRDefault="00405D16">
            <w:pPr>
              <w:spacing w:after="100"/>
              <w:rPr>
                <w:rFonts w:eastAsia="Times New Roman"/>
              </w:rPr>
            </w:pPr>
            <w:r>
              <w:rPr>
                <w:rFonts w:eastAsia="Times New Roman"/>
                <w:color w:val="000000"/>
                <w:sz w:val="16"/>
                <w:szCs w:val="16"/>
              </w:rPr>
              <w:t>Other comprehensive income (loss), net of tax</w:t>
            </w:r>
          </w:p>
        </w:tc>
        <w:tc>
          <w:tcPr>
            <w:tcW w:w="0" w:type="auto"/>
            <w:gridSpan w:val="3"/>
            <w:shd w:val="clear" w:color="auto" w:fill="CCEEFF"/>
            <w:tcMar>
              <w:top w:w="0" w:type="dxa"/>
              <w:left w:w="20" w:type="dxa"/>
              <w:bottom w:w="0" w:type="dxa"/>
              <w:right w:w="20" w:type="dxa"/>
            </w:tcMar>
            <w:vAlign w:val="center"/>
            <w:hideMark/>
          </w:tcPr>
          <w:p w14:paraId="0B4DE74E"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6AF5DCC" w14:textId="77777777" w:rsidR="00000000" w:rsidRDefault="00405D16">
            <w:pPr>
              <w:spacing w:after="100"/>
              <w:jc w:val="right"/>
              <w:rPr>
                <w:rFonts w:eastAsia="Times New Roman"/>
              </w:rPr>
            </w:pPr>
            <w:r>
              <w:rPr>
                <w:rFonts w:eastAsia="Times New Roman"/>
                <w:b/>
                <w:bCs/>
                <w:color w:val="000000"/>
                <w:sz w:val="16"/>
                <w:szCs w:val="16"/>
              </w:rPr>
              <w:t>(432)</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0AE395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DBB85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63AEE37" w14:textId="77777777" w:rsidR="00000000" w:rsidRDefault="00405D16">
            <w:pPr>
              <w:spacing w:after="100"/>
              <w:jc w:val="right"/>
              <w:rPr>
                <w:rFonts w:eastAsia="Times New Roman"/>
              </w:rPr>
            </w:pPr>
            <w:r>
              <w:rPr>
                <w:rFonts w:eastAsia="Times New Roman"/>
                <w:color w:val="000000"/>
                <w:sz w:val="16"/>
                <w:szCs w:val="16"/>
              </w:rPr>
              <w:t>(148)</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DD1984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CCF0E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D43B952" w14:textId="77777777" w:rsidR="00000000" w:rsidRDefault="00405D16">
            <w:pPr>
              <w:spacing w:after="100"/>
              <w:jc w:val="right"/>
              <w:rPr>
                <w:rFonts w:eastAsia="Times New Roman"/>
              </w:rPr>
            </w:pPr>
            <w:r>
              <w:rPr>
                <w:rFonts w:eastAsia="Times New Roman"/>
                <w:b/>
                <w:bCs/>
                <w:color w:val="000000"/>
                <w:sz w:val="16"/>
                <w:szCs w:val="16"/>
              </w:rPr>
              <w:t>(2,134)</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A29572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006CB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E58BA78" w14:textId="77777777" w:rsidR="00000000" w:rsidRDefault="00405D16">
            <w:pPr>
              <w:spacing w:after="100"/>
              <w:jc w:val="right"/>
              <w:rPr>
                <w:rFonts w:eastAsia="Times New Roman"/>
              </w:rPr>
            </w:pPr>
            <w:r>
              <w:rPr>
                <w:rFonts w:eastAsia="Times New Roman"/>
                <w:color w:val="000000"/>
                <w:sz w:val="16"/>
                <w:szCs w:val="16"/>
              </w:rPr>
              <w:t>2,685 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CF67AC4" w14:textId="77777777" w:rsidR="00000000" w:rsidRDefault="00405D16">
            <w:pPr>
              <w:spacing w:after="100"/>
              <w:jc w:val="right"/>
              <w:rPr>
                <w:rFonts w:eastAsia="Times New Roman"/>
              </w:rPr>
            </w:pPr>
          </w:p>
        </w:tc>
        <w:tc>
          <w:tcPr>
            <w:tcW w:w="0" w:type="auto"/>
            <w:vAlign w:val="center"/>
            <w:hideMark/>
          </w:tcPr>
          <w:p w14:paraId="06D07DB5" w14:textId="77777777" w:rsidR="00000000" w:rsidRDefault="00405D16">
            <w:pPr>
              <w:spacing w:after="100"/>
              <w:jc w:val="right"/>
              <w:rPr>
                <w:rFonts w:eastAsia="Times New Roman"/>
                <w:sz w:val="20"/>
                <w:szCs w:val="20"/>
              </w:rPr>
            </w:pPr>
          </w:p>
        </w:tc>
        <w:tc>
          <w:tcPr>
            <w:tcW w:w="0" w:type="auto"/>
            <w:vAlign w:val="center"/>
            <w:hideMark/>
          </w:tcPr>
          <w:p w14:paraId="07734DB1" w14:textId="77777777" w:rsidR="00000000" w:rsidRDefault="00405D16">
            <w:pPr>
              <w:spacing w:after="100"/>
              <w:rPr>
                <w:rFonts w:eastAsia="Times New Roman"/>
                <w:sz w:val="20"/>
                <w:szCs w:val="20"/>
              </w:rPr>
            </w:pPr>
          </w:p>
        </w:tc>
      </w:tr>
      <w:tr w:rsidR="00000000" w14:paraId="261F9217" w14:textId="77777777">
        <w:trPr>
          <w:divId w:val="874777748"/>
          <w:jc w:val="center"/>
        </w:trPr>
        <w:tc>
          <w:tcPr>
            <w:tcW w:w="0" w:type="auto"/>
            <w:gridSpan w:val="3"/>
            <w:shd w:val="clear" w:color="auto" w:fill="FFFFFF"/>
            <w:tcMar>
              <w:top w:w="30" w:type="dxa"/>
              <w:left w:w="20" w:type="dxa"/>
              <w:bottom w:w="30" w:type="dxa"/>
              <w:right w:w="20" w:type="dxa"/>
            </w:tcMar>
            <w:vAlign w:val="center"/>
            <w:hideMark/>
          </w:tcPr>
          <w:p w14:paraId="37E1C6B9" w14:textId="77777777" w:rsidR="00000000" w:rsidRDefault="00405D16">
            <w:pPr>
              <w:spacing w:after="100"/>
              <w:rPr>
                <w:rFonts w:eastAsia="Times New Roman"/>
              </w:rPr>
            </w:pPr>
            <w:r>
              <w:rPr>
                <w:rFonts w:eastAsia="Times New Roman"/>
                <w:b/>
                <w:bCs/>
                <w:color w:val="000000"/>
                <w:sz w:val="16"/>
                <w:szCs w:val="16"/>
              </w:rPr>
              <w:t>Comprehensive income</w:t>
            </w:r>
          </w:p>
        </w:tc>
        <w:tc>
          <w:tcPr>
            <w:tcW w:w="0" w:type="auto"/>
            <w:gridSpan w:val="3"/>
            <w:shd w:val="clear" w:color="auto" w:fill="FFFFFF"/>
            <w:tcMar>
              <w:top w:w="0" w:type="dxa"/>
              <w:left w:w="20" w:type="dxa"/>
              <w:bottom w:w="0" w:type="dxa"/>
              <w:right w:w="20" w:type="dxa"/>
            </w:tcMar>
            <w:vAlign w:val="center"/>
            <w:hideMark/>
          </w:tcPr>
          <w:p w14:paraId="6B918025"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7EDFC95" w14:textId="77777777" w:rsidR="00000000" w:rsidRDefault="00405D16">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FFFC4C3" w14:textId="77777777" w:rsidR="00000000" w:rsidRDefault="00405D16">
            <w:pPr>
              <w:spacing w:after="100"/>
              <w:jc w:val="right"/>
              <w:rPr>
                <w:rFonts w:eastAsia="Times New Roman"/>
              </w:rPr>
            </w:pPr>
            <w:r>
              <w:rPr>
                <w:rFonts w:eastAsia="Times New Roman"/>
                <w:b/>
                <w:bCs/>
                <w:color w:val="000000"/>
                <w:sz w:val="16"/>
                <w:szCs w:val="16"/>
              </w:rPr>
              <w:t>2,672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22C1E2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8D38D9"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1CABAA5"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9670F4D" w14:textId="77777777" w:rsidR="00000000" w:rsidRDefault="00405D16">
            <w:pPr>
              <w:spacing w:after="100"/>
              <w:jc w:val="right"/>
              <w:rPr>
                <w:rFonts w:eastAsia="Times New Roman"/>
              </w:rPr>
            </w:pPr>
            <w:r>
              <w:rPr>
                <w:rFonts w:eastAsia="Times New Roman"/>
                <w:color w:val="000000"/>
                <w:sz w:val="16"/>
                <w:szCs w:val="16"/>
              </w:rPr>
              <w:t>2,258 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1C2E22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69C7B4"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11F3BAE" w14:textId="77777777" w:rsidR="00000000" w:rsidRDefault="00405D16">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6413C48" w14:textId="77777777" w:rsidR="00000000" w:rsidRDefault="00405D16">
            <w:pPr>
              <w:spacing w:after="100"/>
              <w:jc w:val="right"/>
              <w:rPr>
                <w:rFonts w:eastAsia="Times New Roman"/>
              </w:rPr>
            </w:pPr>
            <w:r>
              <w:rPr>
                <w:rFonts w:eastAsia="Times New Roman"/>
                <w:b/>
                <w:bCs/>
                <w:color w:val="000000"/>
                <w:sz w:val="16"/>
                <w:szCs w:val="16"/>
              </w:rPr>
              <w:t>7,831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FB2673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2F15F0"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B699608"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CAD7A0A" w14:textId="77777777" w:rsidR="00000000" w:rsidRDefault="00405D16">
            <w:pPr>
              <w:spacing w:after="100"/>
              <w:jc w:val="right"/>
              <w:rPr>
                <w:rFonts w:eastAsia="Times New Roman"/>
              </w:rPr>
            </w:pPr>
            <w:r>
              <w:rPr>
                <w:rFonts w:eastAsia="Times New Roman"/>
                <w:color w:val="000000"/>
                <w:sz w:val="16"/>
                <w:szCs w:val="16"/>
              </w:rPr>
              <w:t>2,833 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62F8FE5" w14:textId="77777777" w:rsidR="00000000" w:rsidRDefault="00405D16">
            <w:pPr>
              <w:spacing w:after="100"/>
              <w:jc w:val="right"/>
              <w:rPr>
                <w:rFonts w:eastAsia="Times New Roman"/>
              </w:rPr>
            </w:pPr>
          </w:p>
        </w:tc>
        <w:tc>
          <w:tcPr>
            <w:tcW w:w="0" w:type="auto"/>
            <w:vAlign w:val="center"/>
            <w:hideMark/>
          </w:tcPr>
          <w:p w14:paraId="19B04239" w14:textId="77777777" w:rsidR="00000000" w:rsidRDefault="00405D16">
            <w:pPr>
              <w:spacing w:after="100"/>
              <w:jc w:val="right"/>
              <w:rPr>
                <w:rFonts w:eastAsia="Times New Roman"/>
                <w:sz w:val="20"/>
                <w:szCs w:val="20"/>
              </w:rPr>
            </w:pPr>
          </w:p>
        </w:tc>
        <w:tc>
          <w:tcPr>
            <w:tcW w:w="0" w:type="auto"/>
            <w:vAlign w:val="center"/>
            <w:hideMark/>
          </w:tcPr>
          <w:p w14:paraId="19E94C44" w14:textId="77777777" w:rsidR="00000000" w:rsidRDefault="00405D16">
            <w:pPr>
              <w:spacing w:after="100"/>
              <w:rPr>
                <w:rFonts w:eastAsia="Times New Roman"/>
                <w:sz w:val="20"/>
                <w:szCs w:val="20"/>
              </w:rPr>
            </w:pPr>
          </w:p>
        </w:tc>
      </w:tr>
    </w:tbl>
    <w:p w14:paraId="2434377A" w14:textId="77777777" w:rsidR="00000000" w:rsidRDefault="00405D16">
      <w:pPr>
        <w:jc w:val="center"/>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7"/>
        <w:gridCol w:w="69"/>
        <w:gridCol w:w="2663"/>
        <w:gridCol w:w="36"/>
        <w:gridCol w:w="69"/>
        <w:gridCol w:w="2663"/>
        <w:gridCol w:w="37"/>
      </w:tblGrid>
      <w:tr w:rsidR="00000000" w14:paraId="0F886823" w14:textId="77777777">
        <w:trPr>
          <w:divId w:val="621155703"/>
          <w:jc w:val="center"/>
        </w:trPr>
        <w:tc>
          <w:tcPr>
            <w:tcW w:w="50" w:type="pct"/>
            <w:vAlign w:val="center"/>
            <w:hideMark/>
          </w:tcPr>
          <w:p w14:paraId="024102DD" w14:textId="77777777" w:rsidR="00000000" w:rsidRDefault="00405D16">
            <w:pPr>
              <w:jc w:val="center"/>
              <w:rPr>
                <w:rFonts w:eastAsia="Times New Roman"/>
              </w:rPr>
            </w:pPr>
          </w:p>
        </w:tc>
        <w:tc>
          <w:tcPr>
            <w:tcW w:w="1606" w:type="pct"/>
            <w:vAlign w:val="center"/>
            <w:hideMark/>
          </w:tcPr>
          <w:p w14:paraId="13178CF6" w14:textId="77777777" w:rsidR="00000000" w:rsidRDefault="00405D16">
            <w:pPr>
              <w:spacing w:after="100"/>
              <w:rPr>
                <w:rFonts w:eastAsia="Times New Roman"/>
                <w:sz w:val="20"/>
                <w:szCs w:val="20"/>
              </w:rPr>
            </w:pPr>
          </w:p>
        </w:tc>
        <w:tc>
          <w:tcPr>
            <w:tcW w:w="5" w:type="pct"/>
            <w:vAlign w:val="center"/>
            <w:hideMark/>
          </w:tcPr>
          <w:p w14:paraId="09878773" w14:textId="77777777" w:rsidR="00000000" w:rsidRDefault="00405D16">
            <w:pPr>
              <w:spacing w:after="100"/>
              <w:rPr>
                <w:rFonts w:eastAsia="Times New Roman"/>
                <w:sz w:val="20"/>
                <w:szCs w:val="20"/>
              </w:rPr>
            </w:pPr>
          </w:p>
        </w:tc>
        <w:tc>
          <w:tcPr>
            <w:tcW w:w="50" w:type="pct"/>
            <w:vAlign w:val="center"/>
            <w:hideMark/>
          </w:tcPr>
          <w:p w14:paraId="2F63F53C" w14:textId="77777777" w:rsidR="00000000" w:rsidRDefault="00405D16">
            <w:pPr>
              <w:spacing w:after="100"/>
              <w:rPr>
                <w:rFonts w:eastAsia="Times New Roman"/>
                <w:sz w:val="20"/>
                <w:szCs w:val="20"/>
              </w:rPr>
            </w:pPr>
          </w:p>
        </w:tc>
        <w:tc>
          <w:tcPr>
            <w:tcW w:w="1614" w:type="pct"/>
            <w:vAlign w:val="center"/>
            <w:hideMark/>
          </w:tcPr>
          <w:p w14:paraId="28C3C9F4" w14:textId="77777777" w:rsidR="00000000" w:rsidRDefault="00405D16">
            <w:pPr>
              <w:spacing w:after="100"/>
              <w:rPr>
                <w:rFonts w:eastAsia="Times New Roman"/>
                <w:sz w:val="20"/>
                <w:szCs w:val="20"/>
              </w:rPr>
            </w:pPr>
          </w:p>
        </w:tc>
        <w:tc>
          <w:tcPr>
            <w:tcW w:w="5" w:type="pct"/>
            <w:vAlign w:val="center"/>
            <w:hideMark/>
          </w:tcPr>
          <w:p w14:paraId="7A27503B" w14:textId="77777777" w:rsidR="00000000" w:rsidRDefault="00405D16">
            <w:pPr>
              <w:spacing w:after="100"/>
              <w:rPr>
                <w:rFonts w:eastAsia="Times New Roman"/>
                <w:sz w:val="20"/>
                <w:szCs w:val="20"/>
              </w:rPr>
            </w:pPr>
          </w:p>
        </w:tc>
        <w:tc>
          <w:tcPr>
            <w:tcW w:w="50" w:type="pct"/>
            <w:vAlign w:val="center"/>
            <w:hideMark/>
          </w:tcPr>
          <w:p w14:paraId="513DE949" w14:textId="77777777" w:rsidR="00000000" w:rsidRDefault="00405D16">
            <w:pPr>
              <w:spacing w:after="100"/>
              <w:rPr>
                <w:rFonts w:eastAsia="Times New Roman"/>
                <w:sz w:val="20"/>
                <w:szCs w:val="20"/>
              </w:rPr>
            </w:pPr>
          </w:p>
        </w:tc>
        <w:tc>
          <w:tcPr>
            <w:tcW w:w="1614" w:type="pct"/>
            <w:vAlign w:val="center"/>
            <w:hideMark/>
          </w:tcPr>
          <w:p w14:paraId="4F2B671E" w14:textId="77777777" w:rsidR="00000000" w:rsidRDefault="00405D16">
            <w:pPr>
              <w:spacing w:after="100"/>
              <w:rPr>
                <w:rFonts w:eastAsia="Times New Roman"/>
                <w:sz w:val="20"/>
                <w:szCs w:val="20"/>
              </w:rPr>
            </w:pPr>
          </w:p>
        </w:tc>
        <w:tc>
          <w:tcPr>
            <w:tcW w:w="5" w:type="pct"/>
            <w:vAlign w:val="center"/>
            <w:hideMark/>
          </w:tcPr>
          <w:p w14:paraId="4F1FBC52" w14:textId="77777777" w:rsidR="00000000" w:rsidRDefault="00405D16">
            <w:pPr>
              <w:spacing w:after="100"/>
              <w:rPr>
                <w:rFonts w:eastAsia="Times New Roman"/>
                <w:sz w:val="20"/>
                <w:szCs w:val="20"/>
              </w:rPr>
            </w:pPr>
          </w:p>
        </w:tc>
      </w:tr>
      <w:tr w:rsidR="00000000" w14:paraId="1CFBB238" w14:textId="77777777">
        <w:trPr>
          <w:divId w:val="621155703"/>
          <w:jc w:val="center"/>
        </w:trPr>
        <w:tc>
          <w:tcPr>
            <w:tcW w:w="0" w:type="auto"/>
            <w:gridSpan w:val="9"/>
            <w:tcMar>
              <w:top w:w="30" w:type="dxa"/>
              <w:left w:w="20" w:type="dxa"/>
              <w:bottom w:w="30" w:type="dxa"/>
              <w:right w:w="20" w:type="dxa"/>
            </w:tcMar>
            <w:vAlign w:val="bottom"/>
            <w:hideMark/>
          </w:tcPr>
          <w:p w14:paraId="7F0FD217" w14:textId="77777777" w:rsidR="00000000" w:rsidRDefault="00405D16">
            <w:pPr>
              <w:spacing w:after="100"/>
              <w:jc w:val="center"/>
              <w:rPr>
                <w:rFonts w:eastAsia="Times New Roman"/>
              </w:rPr>
            </w:pPr>
            <w:r>
              <w:rPr>
                <w:rFonts w:eastAsia="Times New Roman"/>
                <w:color w:val="000000"/>
                <w:sz w:val="20"/>
                <w:szCs w:val="20"/>
              </w:rPr>
              <w:t>See Notes to Consolidated Financial Statements.</w:t>
            </w:r>
          </w:p>
        </w:tc>
      </w:tr>
      <w:tr w:rsidR="00000000" w14:paraId="44AEFFCD" w14:textId="77777777">
        <w:trPr>
          <w:divId w:val="621155703"/>
          <w:jc w:val="center"/>
        </w:trPr>
        <w:tc>
          <w:tcPr>
            <w:tcW w:w="0" w:type="auto"/>
            <w:gridSpan w:val="3"/>
            <w:tcMar>
              <w:top w:w="0" w:type="dxa"/>
              <w:left w:w="20" w:type="dxa"/>
              <w:bottom w:w="0" w:type="dxa"/>
              <w:right w:w="20" w:type="dxa"/>
            </w:tcMar>
            <w:vAlign w:val="center"/>
            <w:hideMark/>
          </w:tcPr>
          <w:p w14:paraId="7EF0DD8A"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96FF71B" w14:textId="77777777" w:rsidR="00000000" w:rsidRDefault="00405D16">
            <w:pPr>
              <w:spacing w:after="100"/>
              <w:jc w:val="center"/>
              <w:rPr>
                <w:rFonts w:eastAsia="Times New Roman"/>
              </w:rPr>
            </w:pPr>
            <w:r>
              <w:rPr>
                <w:rFonts w:eastAsia="Times New Roman"/>
                <w:color w:val="000000"/>
                <w:sz w:val="16"/>
                <w:szCs w:val="16"/>
              </w:rPr>
              <w:t>70</w:t>
            </w:r>
          </w:p>
        </w:tc>
        <w:tc>
          <w:tcPr>
            <w:tcW w:w="0" w:type="auto"/>
            <w:gridSpan w:val="3"/>
            <w:tcMar>
              <w:top w:w="30" w:type="dxa"/>
              <w:left w:w="20" w:type="dxa"/>
              <w:bottom w:w="30" w:type="dxa"/>
              <w:right w:w="20" w:type="dxa"/>
            </w:tcMar>
            <w:vAlign w:val="bottom"/>
            <w:hideMark/>
          </w:tcPr>
          <w:p w14:paraId="5767D04D"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08982F8C" w14:textId="77777777" w:rsidR="00000000" w:rsidRDefault="00405D16">
      <w:pPr>
        <w:rPr>
          <w:rFonts w:eastAsia="Times New Roman"/>
        </w:rPr>
      </w:pPr>
      <w:r>
        <w:rPr>
          <w:rFonts w:eastAsia="Times New Roman"/>
        </w:rPr>
        <w:pict w14:anchorId="79B161CB">
          <v:rect id="_x0000_i1095" style="width:0;height:1.5pt" o:hralign="center" o:hrstd="t" o:hr="t" fillcolor="#a0a0a0" stroked="f"/>
        </w:pict>
      </w:r>
    </w:p>
    <w:p w14:paraId="5164B9B1" w14:textId="77777777" w:rsidR="00000000" w:rsidRDefault="00405D16">
      <w:pPr>
        <w:jc w:val="both"/>
        <w:divId w:val="1709915606"/>
        <w:rPr>
          <w:rFonts w:eastAsia="Times New Roman"/>
        </w:rPr>
      </w:pPr>
      <w:hyperlink w:anchor="idd54a04a485440b4ab4e56094c14d612_13" w:history="1">
        <w:r>
          <w:rPr>
            <w:rStyle w:val="a3"/>
            <w:rFonts w:eastAsia="Times New Roman"/>
            <w:sz w:val="16"/>
            <w:szCs w:val="16"/>
          </w:rPr>
          <w:t>Table of Contents</w:t>
        </w:r>
      </w:hyperlink>
    </w:p>
    <w:p w14:paraId="20349F1C" w14:textId="77777777" w:rsidR="00000000" w:rsidRDefault="00405D16">
      <w:pPr>
        <w:jc w:val="center"/>
        <w:divId w:val="1709915606"/>
        <w:rPr>
          <w:rFonts w:eastAsia="Times New Roman"/>
        </w:rPr>
      </w:pPr>
    </w:p>
    <w:p w14:paraId="1DC8A68D" w14:textId="77777777" w:rsidR="00000000" w:rsidRDefault="00405D16">
      <w:pPr>
        <w:jc w:val="center"/>
        <w:divId w:val="1709915606"/>
        <w:rPr>
          <w:rFonts w:eastAsia="Times New Roman"/>
        </w:rPr>
      </w:pPr>
      <w:r>
        <w:rPr>
          <w:rFonts w:eastAsia="Times New Roman"/>
          <w:b/>
          <w:bCs/>
          <w:color w:val="000000"/>
          <w:sz w:val="20"/>
          <w:szCs w:val="20"/>
        </w:rPr>
        <w:t>CAPITAL ONE FINANCIAL CORPORATION</w:t>
      </w:r>
    </w:p>
    <w:p w14:paraId="35AA3D99" w14:textId="77777777" w:rsidR="00000000" w:rsidRDefault="00405D16">
      <w:pPr>
        <w:jc w:val="center"/>
        <w:divId w:val="1709915606"/>
        <w:rPr>
          <w:rFonts w:eastAsia="Times New Roman"/>
        </w:rPr>
      </w:pPr>
      <w:r>
        <w:rPr>
          <w:rFonts w:eastAsia="Times New Roman"/>
          <w:b/>
          <w:bCs/>
          <w:color w:val="000000"/>
          <w:sz w:val="20"/>
          <w:szCs w:val="20"/>
        </w:rPr>
        <w:t>CONSOLIDATED BALANCE SHEETS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5895"/>
        <w:gridCol w:w="39"/>
        <w:gridCol w:w="36"/>
        <w:gridCol w:w="36"/>
        <w:gridCol w:w="36"/>
        <w:gridCol w:w="101"/>
        <w:gridCol w:w="919"/>
        <w:gridCol w:w="36"/>
        <w:gridCol w:w="36"/>
        <w:gridCol w:w="36"/>
        <w:gridCol w:w="36"/>
        <w:gridCol w:w="101"/>
        <w:gridCol w:w="919"/>
        <w:gridCol w:w="36"/>
      </w:tblGrid>
      <w:tr w:rsidR="00000000" w14:paraId="3C744E09" w14:textId="77777777">
        <w:trPr>
          <w:divId w:val="1888026646"/>
          <w:jc w:val="center"/>
        </w:trPr>
        <w:tc>
          <w:tcPr>
            <w:tcW w:w="50" w:type="pct"/>
            <w:vAlign w:val="center"/>
            <w:hideMark/>
          </w:tcPr>
          <w:p w14:paraId="5F09F045" w14:textId="77777777" w:rsidR="00000000" w:rsidRDefault="00405D16">
            <w:pPr>
              <w:jc w:val="center"/>
              <w:rPr>
                <w:rFonts w:eastAsia="Times New Roman"/>
              </w:rPr>
            </w:pPr>
          </w:p>
        </w:tc>
        <w:tc>
          <w:tcPr>
            <w:tcW w:w="3570" w:type="pct"/>
            <w:vAlign w:val="center"/>
            <w:hideMark/>
          </w:tcPr>
          <w:p w14:paraId="1B53712B" w14:textId="77777777" w:rsidR="00000000" w:rsidRDefault="00405D16">
            <w:pPr>
              <w:spacing w:after="100"/>
              <w:rPr>
                <w:rFonts w:eastAsia="Times New Roman"/>
                <w:sz w:val="20"/>
                <w:szCs w:val="20"/>
              </w:rPr>
            </w:pPr>
          </w:p>
        </w:tc>
        <w:tc>
          <w:tcPr>
            <w:tcW w:w="5" w:type="pct"/>
            <w:vAlign w:val="center"/>
            <w:hideMark/>
          </w:tcPr>
          <w:p w14:paraId="6B2939E3" w14:textId="77777777" w:rsidR="00000000" w:rsidRDefault="00405D16">
            <w:pPr>
              <w:spacing w:after="100"/>
              <w:rPr>
                <w:rFonts w:eastAsia="Times New Roman"/>
                <w:sz w:val="20"/>
                <w:szCs w:val="20"/>
              </w:rPr>
            </w:pPr>
          </w:p>
        </w:tc>
        <w:tc>
          <w:tcPr>
            <w:tcW w:w="5" w:type="pct"/>
            <w:vAlign w:val="center"/>
            <w:hideMark/>
          </w:tcPr>
          <w:p w14:paraId="279EAD4E" w14:textId="77777777" w:rsidR="00000000" w:rsidRDefault="00405D16">
            <w:pPr>
              <w:spacing w:after="100"/>
              <w:rPr>
                <w:rFonts w:eastAsia="Times New Roman"/>
                <w:sz w:val="20"/>
                <w:szCs w:val="20"/>
              </w:rPr>
            </w:pPr>
          </w:p>
        </w:tc>
        <w:tc>
          <w:tcPr>
            <w:tcW w:w="26" w:type="pct"/>
            <w:vAlign w:val="center"/>
            <w:hideMark/>
          </w:tcPr>
          <w:p w14:paraId="0D6B5C49" w14:textId="77777777" w:rsidR="00000000" w:rsidRDefault="00405D16">
            <w:pPr>
              <w:spacing w:after="100"/>
              <w:rPr>
                <w:rFonts w:eastAsia="Times New Roman"/>
                <w:sz w:val="20"/>
                <w:szCs w:val="20"/>
              </w:rPr>
            </w:pPr>
          </w:p>
        </w:tc>
        <w:tc>
          <w:tcPr>
            <w:tcW w:w="5" w:type="pct"/>
            <w:vAlign w:val="center"/>
            <w:hideMark/>
          </w:tcPr>
          <w:p w14:paraId="6AC012EA" w14:textId="77777777" w:rsidR="00000000" w:rsidRDefault="00405D16">
            <w:pPr>
              <w:spacing w:after="100"/>
              <w:rPr>
                <w:rFonts w:eastAsia="Times New Roman"/>
                <w:sz w:val="20"/>
                <w:szCs w:val="20"/>
              </w:rPr>
            </w:pPr>
          </w:p>
        </w:tc>
        <w:tc>
          <w:tcPr>
            <w:tcW w:w="50" w:type="pct"/>
            <w:vAlign w:val="center"/>
            <w:hideMark/>
          </w:tcPr>
          <w:p w14:paraId="65A29643" w14:textId="77777777" w:rsidR="00000000" w:rsidRDefault="00405D16">
            <w:pPr>
              <w:spacing w:after="100"/>
              <w:rPr>
                <w:rFonts w:eastAsia="Times New Roman"/>
                <w:sz w:val="20"/>
                <w:szCs w:val="20"/>
              </w:rPr>
            </w:pPr>
          </w:p>
        </w:tc>
        <w:tc>
          <w:tcPr>
            <w:tcW w:w="595" w:type="pct"/>
            <w:vAlign w:val="center"/>
            <w:hideMark/>
          </w:tcPr>
          <w:p w14:paraId="296B80D4" w14:textId="77777777" w:rsidR="00000000" w:rsidRDefault="00405D16">
            <w:pPr>
              <w:spacing w:after="100"/>
              <w:rPr>
                <w:rFonts w:eastAsia="Times New Roman"/>
                <w:sz w:val="20"/>
                <w:szCs w:val="20"/>
              </w:rPr>
            </w:pPr>
          </w:p>
        </w:tc>
        <w:tc>
          <w:tcPr>
            <w:tcW w:w="5" w:type="pct"/>
            <w:vAlign w:val="center"/>
            <w:hideMark/>
          </w:tcPr>
          <w:p w14:paraId="1C39FB7E" w14:textId="77777777" w:rsidR="00000000" w:rsidRDefault="00405D16">
            <w:pPr>
              <w:spacing w:after="100"/>
              <w:rPr>
                <w:rFonts w:eastAsia="Times New Roman"/>
                <w:sz w:val="20"/>
                <w:szCs w:val="20"/>
              </w:rPr>
            </w:pPr>
          </w:p>
        </w:tc>
        <w:tc>
          <w:tcPr>
            <w:tcW w:w="5" w:type="pct"/>
            <w:vAlign w:val="center"/>
            <w:hideMark/>
          </w:tcPr>
          <w:p w14:paraId="7771C645" w14:textId="77777777" w:rsidR="00000000" w:rsidRDefault="00405D16">
            <w:pPr>
              <w:spacing w:after="100"/>
              <w:rPr>
                <w:rFonts w:eastAsia="Times New Roman"/>
                <w:sz w:val="20"/>
                <w:szCs w:val="20"/>
              </w:rPr>
            </w:pPr>
          </w:p>
        </w:tc>
        <w:tc>
          <w:tcPr>
            <w:tcW w:w="26" w:type="pct"/>
            <w:vAlign w:val="center"/>
            <w:hideMark/>
          </w:tcPr>
          <w:p w14:paraId="62D0396E" w14:textId="77777777" w:rsidR="00000000" w:rsidRDefault="00405D16">
            <w:pPr>
              <w:spacing w:after="100"/>
              <w:rPr>
                <w:rFonts w:eastAsia="Times New Roman"/>
                <w:sz w:val="20"/>
                <w:szCs w:val="20"/>
              </w:rPr>
            </w:pPr>
          </w:p>
        </w:tc>
        <w:tc>
          <w:tcPr>
            <w:tcW w:w="5" w:type="pct"/>
            <w:vAlign w:val="center"/>
            <w:hideMark/>
          </w:tcPr>
          <w:p w14:paraId="69380E3F" w14:textId="77777777" w:rsidR="00000000" w:rsidRDefault="00405D16">
            <w:pPr>
              <w:spacing w:after="100"/>
              <w:rPr>
                <w:rFonts w:eastAsia="Times New Roman"/>
                <w:sz w:val="20"/>
                <w:szCs w:val="20"/>
              </w:rPr>
            </w:pPr>
          </w:p>
        </w:tc>
        <w:tc>
          <w:tcPr>
            <w:tcW w:w="50" w:type="pct"/>
            <w:vAlign w:val="center"/>
            <w:hideMark/>
          </w:tcPr>
          <w:p w14:paraId="26876633" w14:textId="77777777" w:rsidR="00000000" w:rsidRDefault="00405D16">
            <w:pPr>
              <w:spacing w:after="100"/>
              <w:rPr>
                <w:rFonts w:eastAsia="Times New Roman"/>
                <w:sz w:val="20"/>
                <w:szCs w:val="20"/>
              </w:rPr>
            </w:pPr>
          </w:p>
        </w:tc>
        <w:tc>
          <w:tcPr>
            <w:tcW w:w="595" w:type="pct"/>
            <w:vAlign w:val="center"/>
            <w:hideMark/>
          </w:tcPr>
          <w:p w14:paraId="336867CD" w14:textId="77777777" w:rsidR="00000000" w:rsidRDefault="00405D16">
            <w:pPr>
              <w:spacing w:after="100"/>
              <w:rPr>
                <w:rFonts w:eastAsia="Times New Roman"/>
                <w:sz w:val="20"/>
                <w:szCs w:val="20"/>
              </w:rPr>
            </w:pPr>
          </w:p>
        </w:tc>
        <w:tc>
          <w:tcPr>
            <w:tcW w:w="5" w:type="pct"/>
            <w:vAlign w:val="center"/>
            <w:hideMark/>
          </w:tcPr>
          <w:p w14:paraId="476302EE" w14:textId="77777777" w:rsidR="00000000" w:rsidRDefault="00405D16">
            <w:pPr>
              <w:spacing w:after="100"/>
              <w:rPr>
                <w:rFonts w:eastAsia="Times New Roman"/>
                <w:sz w:val="20"/>
                <w:szCs w:val="20"/>
              </w:rPr>
            </w:pPr>
          </w:p>
        </w:tc>
      </w:tr>
      <w:tr w:rsidR="00000000" w14:paraId="36D52E13" w14:textId="77777777">
        <w:trPr>
          <w:divId w:val="1888026646"/>
          <w:jc w:val="center"/>
        </w:trPr>
        <w:tc>
          <w:tcPr>
            <w:tcW w:w="0" w:type="auto"/>
            <w:gridSpan w:val="3"/>
            <w:tcMar>
              <w:top w:w="30" w:type="dxa"/>
              <w:left w:w="20" w:type="dxa"/>
              <w:bottom w:w="30" w:type="dxa"/>
              <w:right w:w="20" w:type="dxa"/>
            </w:tcMar>
            <w:vAlign w:val="bottom"/>
            <w:hideMark/>
          </w:tcPr>
          <w:p w14:paraId="54E2867C" w14:textId="77777777" w:rsidR="00000000" w:rsidRDefault="00405D16">
            <w:pPr>
              <w:spacing w:after="100"/>
              <w:rPr>
                <w:rFonts w:eastAsia="Times New Roman"/>
              </w:rPr>
            </w:pPr>
            <w:r>
              <w:rPr>
                <w:rFonts w:eastAsia="Times New Roman"/>
                <w:i/>
                <w:iCs/>
                <w:color w:val="000000"/>
                <w:sz w:val="16"/>
                <w:szCs w:val="16"/>
              </w:rPr>
              <w:t>(Dollars in millions, except per share-related data)</w:t>
            </w:r>
          </w:p>
        </w:tc>
        <w:tc>
          <w:tcPr>
            <w:tcW w:w="0" w:type="auto"/>
            <w:gridSpan w:val="3"/>
            <w:tcMar>
              <w:top w:w="0" w:type="dxa"/>
              <w:left w:w="20" w:type="dxa"/>
              <w:bottom w:w="0" w:type="dxa"/>
              <w:right w:w="20" w:type="dxa"/>
            </w:tcMar>
            <w:vAlign w:val="center"/>
            <w:hideMark/>
          </w:tcPr>
          <w:p w14:paraId="114E2D60" w14:textId="77777777" w:rsidR="00000000" w:rsidRDefault="00405D16">
            <w:pPr>
              <w:spacing w:after="100"/>
              <w:rPr>
                <w:rFonts w:eastAsia="Times New Roman"/>
              </w:rPr>
            </w:pPr>
          </w:p>
        </w:tc>
        <w:tc>
          <w:tcPr>
            <w:tcW w:w="0" w:type="auto"/>
            <w:gridSpan w:val="3"/>
            <w:tcMar>
              <w:top w:w="30" w:type="dxa"/>
              <w:left w:w="20" w:type="dxa"/>
              <w:bottom w:w="30" w:type="dxa"/>
              <w:right w:w="20" w:type="dxa"/>
            </w:tcMar>
            <w:vAlign w:val="bottom"/>
            <w:hideMark/>
          </w:tcPr>
          <w:p w14:paraId="7F2F65AE" w14:textId="77777777" w:rsidR="00000000" w:rsidRDefault="00405D16">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14:paraId="585CD20D"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BF310B7" w14:textId="77777777" w:rsidR="00000000" w:rsidRDefault="00405D16">
            <w:pPr>
              <w:spacing w:after="100"/>
              <w:jc w:val="center"/>
              <w:rPr>
                <w:rFonts w:eastAsia="Times New Roman"/>
              </w:rPr>
            </w:pPr>
            <w:r>
              <w:rPr>
                <w:rFonts w:eastAsia="Times New Roman"/>
                <w:b/>
                <w:bCs/>
                <w:color w:val="000000"/>
                <w:sz w:val="16"/>
                <w:szCs w:val="16"/>
              </w:rPr>
              <w:t>December 31, 2020</w:t>
            </w:r>
          </w:p>
        </w:tc>
      </w:tr>
      <w:tr w:rsidR="00000000" w14:paraId="05833FAB" w14:textId="77777777">
        <w:trPr>
          <w:divId w:val="1888026646"/>
          <w:jc w:val="center"/>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B555077" w14:textId="77777777" w:rsidR="00000000" w:rsidRDefault="00405D16">
            <w:pPr>
              <w:spacing w:after="100"/>
              <w:rPr>
                <w:rFonts w:eastAsia="Times New Roman"/>
              </w:rPr>
            </w:pPr>
            <w:r>
              <w:rPr>
                <w:rFonts w:eastAsia="Times New Roman"/>
                <w:b/>
                <w:bCs/>
                <w:color w:val="000000"/>
                <w:sz w:val="16"/>
                <w:szCs w:val="16"/>
              </w:rPr>
              <w:t>Assets:</w:t>
            </w:r>
          </w:p>
        </w:tc>
        <w:tc>
          <w:tcPr>
            <w:tcW w:w="0" w:type="auto"/>
            <w:gridSpan w:val="3"/>
            <w:shd w:val="clear" w:color="auto" w:fill="CCEEFF"/>
            <w:tcMar>
              <w:top w:w="0" w:type="dxa"/>
              <w:left w:w="20" w:type="dxa"/>
              <w:bottom w:w="0" w:type="dxa"/>
              <w:right w:w="20" w:type="dxa"/>
            </w:tcMar>
            <w:vAlign w:val="center"/>
            <w:hideMark/>
          </w:tcPr>
          <w:p w14:paraId="02FCBC9A"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4DC0B7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B1359D"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162C743" w14:textId="77777777" w:rsidR="00000000" w:rsidRDefault="00405D16">
            <w:pPr>
              <w:spacing w:after="100"/>
              <w:rPr>
                <w:rFonts w:eastAsia="Times New Roman"/>
                <w:sz w:val="20"/>
                <w:szCs w:val="20"/>
              </w:rPr>
            </w:pPr>
          </w:p>
        </w:tc>
      </w:tr>
      <w:tr w:rsidR="00000000" w14:paraId="3CB325B8" w14:textId="77777777">
        <w:trPr>
          <w:divId w:val="1888026646"/>
          <w:jc w:val="center"/>
        </w:trPr>
        <w:tc>
          <w:tcPr>
            <w:tcW w:w="0" w:type="auto"/>
            <w:gridSpan w:val="3"/>
            <w:shd w:val="clear" w:color="auto" w:fill="FFFFFF"/>
            <w:tcMar>
              <w:top w:w="30" w:type="dxa"/>
              <w:left w:w="20" w:type="dxa"/>
              <w:bottom w:w="30" w:type="dxa"/>
              <w:right w:w="20" w:type="dxa"/>
            </w:tcMar>
            <w:vAlign w:val="center"/>
            <w:hideMark/>
          </w:tcPr>
          <w:p w14:paraId="172E2CEF" w14:textId="77777777" w:rsidR="00000000" w:rsidRDefault="00405D16">
            <w:pPr>
              <w:spacing w:after="100"/>
              <w:rPr>
                <w:rFonts w:eastAsia="Times New Roman"/>
              </w:rPr>
            </w:pPr>
            <w:r>
              <w:rPr>
                <w:rFonts w:eastAsia="Times New Roman"/>
                <w:color w:val="000000"/>
                <w:sz w:val="16"/>
                <w:szCs w:val="16"/>
              </w:rPr>
              <w:t>Cash and cash equivalents:</w:t>
            </w:r>
          </w:p>
        </w:tc>
        <w:tc>
          <w:tcPr>
            <w:tcW w:w="0" w:type="auto"/>
            <w:gridSpan w:val="3"/>
            <w:shd w:val="clear" w:color="auto" w:fill="FFFFFF"/>
            <w:tcMar>
              <w:top w:w="0" w:type="dxa"/>
              <w:left w:w="20" w:type="dxa"/>
              <w:bottom w:w="0" w:type="dxa"/>
              <w:right w:w="20" w:type="dxa"/>
            </w:tcMar>
            <w:vAlign w:val="center"/>
            <w:hideMark/>
          </w:tcPr>
          <w:p w14:paraId="617E8DEF"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18041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626A6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99EA02" w14:textId="77777777" w:rsidR="00000000" w:rsidRDefault="00405D16">
            <w:pPr>
              <w:spacing w:after="100"/>
              <w:rPr>
                <w:rFonts w:eastAsia="Times New Roman"/>
                <w:sz w:val="20"/>
                <w:szCs w:val="20"/>
              </w:rPr>
            </w:pPr>
          </w:p>
        </w:tc>
      </w:tr>
      <w:tr w:rsidR="00000000" w14:paraId="3342F264" w14:textId="77777777">
        <w:trPr>
          <w:divId w:val="1888026646"/>
          <w:jc w:val="center"/>
        </w:trPr>
        <w:tc>
          <w:tcPr>
            <w:tcW w:w="0" w:type="auto"/>
            <w:gridSpan w:val="3"/>
            <w:shd w:val="clear" w:color="auto" w:fill="CCEEFF"/>
            <w:tcMar>
              <w:top w:w="30" w:type="dxa"/>
              <w:left w:w="245" w:type="dxa"/>
              <w:bottom w:w="30" w:type="dxa"/>
              <w:right w:w="20" w:type="dxa"/>
            </w:tcMar>
            <w:vAlign w:val="center"/>
            <w:hideMark/>
          </w:tcPr>
          <w:p w14:paraId="3FBAD943" w14:textId="77777777" w:rsidR="00000000" w:rsidRDefault="00405D16">
            <w:pPr>
              <w:spacing w:after="100"/>
              <w:rPr>
                <w:rFonts w:eastAsia="Times New Roman"/>
              </w:rPr>
            </w:pPr>
            <w:r>
              <w:rPr>
                <w:rFonts w:eastAsia="Times New Roman"/>
                <w:color w:val="000000"/>
                <w:sz w:val="16"/>
                <w:szCs w:val="16"/>
              </w:rPr>
              <w:t>Cash and due from banks</w:t>
            </w:r>
          </w:p>
        </w:tc>
        <w:tc>
          <w:tcPr>
            <w:tcW w:w="0" w:type="auto"/>
            <w:gridSpan w:val="3"/>
            <w:shd w:val="clear" w:color="auto" w:fill="CCEEFF"/>
            <w:tcMar>
              <w:top w:w="0" w:type="dxa"/>
              <w:left w:w="20" w:type="dxa"/>
              <w:bottom w:w="0" w:type="dxa"/>
              <w:right w:w="20" w:type="dxa"/>
            </w:tcMar>
            <w:vAlign w:val="center"/>
            <w:hideMark/>
          </w:tcPr>
          <w:p w14:paraId="7E2DBBDF" w14:textId="77777777" w:rsidR="00000000" w:rsidRDefault="00405D16">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3B8D66BA" w14:textId="77777777" w:rsidR="00000000" w:rsidRDefault="00405D16">
            <w:pPr>
              <w:spacing w:after="100"/>
              <w:rPr>
                <w:rFonts w:eastAsia="Times New Roman"/>
              </w:rPr>
            </w:pPr>
            <w:r>
              <w:rPr>
                <w:rFonts w:eastAsia="Times New Roman"/>
                <w:b/>
                <w:bCs/>
                <w:color w:val="000000"/>
                <w:sz w:val="16"/>
                <w:szCs w:val="16"/>
              </w:rPr>
              <w:t>$</w:t>
            </w:r>
          </w:p>
        </w:tc>
        <w:tc>
          <w:tcPr>
            <w:tcW w:w="0" w:type="auto"/>
            <w:shd w:val="clear" w:color="auto" w:fill="CCEEFF"/>
            <w:tcMar>
              <w:top w:w="30" w:type="dxa"/>
              <w:left w:w="0" w:type="dxa"/>
              <w:bottom w:w="30" w:type="dxa"/>
              <w:right w:w="0" w:type="dxa"/>
            </w:tcMar>
            <w:vAlign w:val="center"/>
            <w:hideMark/>
          </w:tcPr>
          <w:p w14:paraId="3AAACC35" w14:textId="77777777" w:rsidR="00000000" w:rsidRDefault="00405D16">
            <w:pPr>
              <w:spacing w:after="100"/>
              <w:jc w:val="right"/>
              <w:rPr>
                <w:rFonts w:eastAsia="Times New Roman"/>
              </w:rPr>
            </w:pPr>
            <w:r>
              <w:rPr>
                <w:rFonts w:eastAsia="Times New Roman"/>
                <w:b/>
                <w:bCs/>
                <w:color w:val="000000"/>
                <w:sz w:val="16"/>
                <w:szCs w:val="16"/>
              </w:rPr>
              <w:t>5,444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4568D08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151C51"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01EC35A2" w14:textId="77777777" w:rsidR="00000000" w:rsidRDefault="00405D16">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14:paraId="5DD23209" w14:textId="77777777" w:rsidR="00000000" w:rsidRDefault="00405D16">
            <w:pPr>
              <w:spacing w:after="100"/>
              <w:jc w:val="right"/>
              <w:rPr>
                <w:rFonts w:eastAsia="Times New Roman"/>
              </w:rPr>
            </w:pPr>
            <w:r>
              <w:rPr>
                <w:rFonts w:eastAsia="Times New Roman"/>
                <w:color w:val="000000"/>
                <w:sz w:val="16"/>
                <w:szCs w:val="16"/>
              </w:rPr>
              <w:t>4,708 </w:t>
            </w:r>
          </w:p>
        </w:tc>
        <w:tc>
          <w:tcPr>
            <w:tcW w:w="0" w:type="auto"/>
            <w:shd w:val="clear" w:color="auto" w:fill="CCEEFF"/>
            <w:tcMar>
              <w:top w:w="30" w:type="dxa"/>
              <w:left w:w="0" w:type="dxa"/>
              <w:bottom w:w="30" w:type="dxa"/>
              <w:right w:w="20" w:type="dxa"/>
            </w:tcMar>
            <w:vAlign w:val="center"/>
            <w:hideMark/>
          </w:tcPr>
          <w:p w14:paraId="63D66739" w14:textId="77777777" w:rsidR="00000000" w:rsidRDefault="00405D16">
            <w:pPr>
              <w:spacing w:after="100"/>
              <w:jc w:val="right"/>
              <w:rPr>
                <w:rFonts w:eastAsia="Times New Roman"/>
              </w:rPr>
            </w:pPr>
          </w:p>
        </w:tc>
      </w:tr>
      <w:tr w:rsidR="00000000" w14:paraId="6696DEEC" w14:textId="77777777">
        <w:trPr>
          <w:divId w:val="1888026646"/>
          <w:jc w:val="center"/>
        </w:trPr>
        <w:tc>
          <w:tcPr>
            <w:tcW w:w="0" w:type="auto"/>
            <w:gridSpan w:val="3"/>
            <w:shd w:val="clear" w:color="auto" w:fill="FFFFFF"/>
            <w:tcMar>
              <w:top w:w="30" w:type="dxa"/>
              <w:left w:w="245" w:type="dxa"/>
              <w:bottom w:w="30" w:type="dxa"/>
              <w:right w:w="20" w:type="dxa"/>
            </w:tcMar>
            <w:vAlign w:val="center"/>
            <w:hideMark/>
          </w:tcPr>
          <w:p w14:paraId="2A59A365" w14:textId="77777777" w:rsidR="00000000" w:rsidRDefault="00405D16">
            <w:pPr>
              <w:spacing w:after="100"/>
              <w:rPr>
                <w:rFonts w:eastAsia="Times New Roman"/>
              </w:rPr>
            </w:pPr>
            <w:r>
              <w:rPr>
                <w:rFonts w:eastAsia="Times New Roman"/>
                <w:color w:val="000000"/>
                <w:sz w:val="16"/>
                <w:szCs w:val="16"/>
              </w:rPr>
              <w:t>Interest-bearing deposits and other short-term investments</w:t>
            </w:r>
          </w:p>
        </w:tc>
        <w:tc>
          <w:tcPr>
            <w:tcW w:w="0" w:type="auto"/>
            <w:gridSpan w:val="3"/>
            <w:shd w:val="clear" w:color="auto" w:fill="FFFFFF"/>
            <w:tcMar>
              <w:top w:w="0" w:type="dxa"/>
              <w:left w:w="20" w:type="dxa"/>
              <w:bottom w:w="0" w:type="dxa"/>
              <w:right w:w="20" w:type="dxa"/>
            </w:tcMar>
            <w:vAlign w:val="center"/>
            <w:hideMark/>
          </w:tcPr>
          <w:p w14:paraId="4BDE34F4"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6A2579F" w14:textId="77777777" w:rsidR="00000000" w:rsidRDefault="00405D16">
            <w:pPr>
              <w:spacing w:after="100"/>
              <w:jc w:val="right"/>
              <w:rPr>
                <w:rFonts w:eastAsia="Times New Roman"/>
              </w:rPr>
            </w:pPr>
            <w:r>
              <w:rPr>
                <w:rFonts w:eastAsia="Times New Roman"/>
                <w:b/>
                <w:bCs/>
                <w:color w:val="000000"/>
                <w:sz w:val="16"/>
                <w:szCs w:val="16"/>
              </w:rPr>
              <w:t>21,180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3D08469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88711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A6814BD" w14:textId="77777777" w:rsidR="00000000" w:rsidRDefault="00405D16">
            <w:pPr>
              <w:spacing w:after="100"/>
              <w:jc w:val="right"/>
              <w:rPr>
                <w:rFonts w:eastAsia="Times New Roman"/>
              </w:rPr>
            </w:pPr>
            <w:r>
              <w:rPr>
                <w:rFonts w:eastAsia="Times New Roman"/>
                <w:color w:val="000000"/>
                <w:sz w:val="16"/>
                <w:szCs w:val="16"/>
              </w:rPr>
              <w:t>35,801 </w:t>
            </w:r>
          </w:p>
        </w:tc>
        <w:tc>
          <w:tcPr>
            <w:tcW w:w="0" w:type="auto"/>
            <w:shd w:val="clear" w:color="auto" w:fill="FFFFFF"/>
            <w:tcMar>
              <w:top w:w="30" w:type="dxa"/>
              <w:left w:w="0" w:type="dxa"/>
              <w:bottom w:w="30" w:type="dxa"/>
              <w:right w:w="20" w:type="dxa"/>
            </w:tcMar>
            <w:vAlign w:val="center"/>
            <w:hideMark/>
          </w:tcPr>
          <w:p w14:paraId="35F08123" w14:textId="77777777" w:rsidR="00000000" w:rsidRDefault="00405D16">
            <w:pPr>
              <w:spacing w:after="100"/>
              <w:jc w:val="right"/>
              <w:rPr>
                <w:rFonts w:eastAsia="Times New Roman"/>
              </w:rPr>
            </w:pPr>
          </w:p>
        </w:tc>
      </w:tr>
      <w:tr w:rsidR="00000000" w14:paraId="283E3BFD" w14:textId="77777777">
        <w:trPr>
          <w:divId w:val="1888026646"/>
          <w:jc w:val="center"/>
        </w:trPr>
        <w:tc>
          <w:tcPr>
            <w:tcW w:w="0" w:type="auto"/>
            <w:gridSpan w:val="3"/>
            <w:shd w:val="clear" w:color="auto" w:fill="CCEEFF"/>
            <w:tcMar>
              <w:top w:w="30" w:type="dxa"/>
              <w:left w:w="20" w:type="dxa"/>
              <w:bottom w:w="30" w:type="dxa"/>
              <w:right w:w="20" w:type="dxa"/>
            </w:tcMar>
            <w:vAlign w:val="center"/>
            <w:hideMark/>
          </w:tcPr>
          <w:p w14:paraId="44F30150" w14:textId="77777777" w:rsidR="00000000" w:rsidRDefault="00405D16">
            <w:pPr>
              <w:spacing w:after="100"/>
              <w:rPr>
                <w:rFonts w:eastAsia="Times New Roman"/>
              </w:rPr>
            </w:pPr>
            <w:r>
              <w:rPr>
                <w:rFonts w:eastAsia="Times New Roman"/>
                <w:color w:val="000000"/>
                <w:sz w:val="16"/>
                <w:szCs w:val="16"/>
              </w:rPr>
              <w:t>Total cash and cash equivalents</w:t>
            </w:r>
          </w:p>
        </w:tc>
        <w:tc>
          <w:tcPr>
            <w:tcW w:w="0" w:type="auto"/>
            <w:gridSpan w:val="3"/>
            <w:shd w:val="clear" w:color="auto" w:fill="CCEEFF"/>
            <w:tcMar>
              <w:top w:w="0" w:type="dxa"/>
              <w:left w:w="20" w:type="dxa"/>
              <w:bottom w:w="0" w:type="dxa"/>
              <w:right w:w="20" w:type="dxa"/>
            </w:tcMar>
            <w:vAlign w:val="center"/>
            <w:hideMark/>
          </w:tcPr>
          <w:p w14:paraId="39864463"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EFA5A23" w14:textId="77777777" w:rsidR="00000000" w:rsidRDefault="00405D16">
            <w:pPr>
              <w:spacing w:after="100"/>
              <w:jc w:val="right"/>
              <w:rPr>
                <w:rFonts w:eastAsia="Times New Roman"/>
              </w:rPr>
            </w:pPr>
            <w:r>
              <w:rPr>
                <w:rFonts w:eastAsia="Times New Roman"/>
                <w:b/>
                <w:bCs/>
                <w:color w:val="000000"/>
                <w:sz w:val="16"/>
                <w:szCs w:val="16"/>
              </w:rPr>
              <w:t>26,624</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560D83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52A3CC"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0629456" w14:textId="77777777" w:rsidR="00000000" w:rsidRDefault="00405D16">
            <w:pPr>
              <w:spacing w:after="100"/>
              <w:jc w:val="right"/>
              <w:rPr>
                <w:rFonts w:eastAsia="Times New Roman"/>
              </w:rPr>
            </w:pPr>
            <w:r>
              <w:rPr>
                <w:rFonts w:eastAsia="Times New Roman"/>
                <w:color w:val="000000"/>
                <w:sz w:val="16"/>
                <w:szCs w:val="16"/>
              </w:rPr>
              <w:t>40,509 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0E18F2B" w14:textId="77777777" w:rsidR="00000000" w:rsidRDefault="00405D16">
            <w:pPr>
              <w:spacing w:after="100"/>
              <w:jc w:val="right"/>
              <w:rPr>
                <w:rFonts w:eastAsia="Times New Roman"/>
              </w:rPr>
            </w:pPr>
          </w:p>
        </w:tc>
      </w:tr>
      <w:tr w:rsidR="00000000" w14:paraId="1EEFFD4F" w14:textId="77777777">
        <w:trPr>
          <w:divId w:val="1888026646"/>
          <w:jc w:val="center"/>
        </w:trPr>
        <w:tc>
          <w:tcPr>
            <w:tcW w:w="0" w:type="auto"/>
            <w:gridSpan w:val="3"/>
            <w:shd w:val="clear" w:color="auto" w:fill="FFFFFF"/>
            <w:tcMar>
              <w:top w:w="30" w:type="dxa"/>
              <w:left w:w="20" w:type="dxa"/>
              <w:bottom w:w="30" w:type="dxa"/>
              <w:right w:w="20" w:type="dxa"/>
            </w:tcMar>
            <w:vAlign w:val="center"/>
            <w:hideMark/>
          </w:tcPr>
          <w:p w14:paraId="76902ACE" w14:textId="77777777" w:rsidR="00000000" w:rsidRDefault="00405D16">
            <w:pPr>
              <w:spacing w:after="100"/>
              <w:rPr>
                <w:rFonts w:eastAsia="Times New Roman"/>
              </w:rPr>
            </w:pPr>
            <w:r>
              <w:rPr>
                <w:rFonts w:eastAsia="Times New Roman"/>
                <w:color w:val="000000"/>
                <w:sz w:val="16"/>
                <w:szCs w:val="16"/>
              </w:rPr>
              <w:t>Restricted cash for securitization investors</w:t>
            </w:r>
          </w:p>
        </w:tc>
        <w:tc>
          <w:tcPr>
            <w:tcW w:w="0" w:type="auto"/>
            <w:gridSpan w:val="3"/>
            <w:shd w:val="clear" w:color="auto" w:fill="FFFFFF"/>
            <w:tcMar>
              <w:top w:w="0" w:type="dxa"/>
              <w:left w:w="20" w:type="dxa"/>
              <w:bottom w:w="0" w:type="dxa"/>
              <w:right w:w="20" w:type="dxa"/>
            </w:tcMar>
            <w:vAlign w:val="center"/>
            <w:hideMark/>
          </w:tcPr>
          <w:p w14:paraId="13C70F22"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69C4D36" w14:textId="77777777" w:rsidR="00000000" w:rsidRDefault="00405D16">
            <w:pPr>
              <w:spacing w:after="100"/>
              <w:jc w:val="right"/>
              <w:rPr>
                <w:rFonts w:eastAsia="Times New Roman"/>
              </w:rPr>
            </w:pPr>
            <w:r>
              <w:rPr>
                <w:rFonts w:eastAsia="Times New Roman"/>
                <w:b/>
                <w:bCs/>
                <w:color w:val="000000"/>
                <w:sz w:val="16"/>
                <w:szCs w:val="16"/>
              </w:rPr>
              <w:t>234</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54B03D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DFD055"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A483CAC" w14:textId="77777777" w:rsidR="00000000" w:rsidRDefault="00405D16">
            <w:pPr>
              <w:spacing w:after="100"/>
              <w:jc w:val="right"/>
              <w:rPr>
                <w:rFonts w:eastAsia="Times New Roman"/>
              </w:rPr>
            </w:pPr>
            <w:r>
              <w:rPr>
                <w:rFonts w:eastAsia="Times New Roman"/>
                <w:color w:val="000000"/>
                <w:sz w:val="16"/>
                <w:szCs w:val="16"/>
              </w:rPr>
              <w:t>262 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04C6C9F" w14:textId="77777777" w:rsidR="00000000" w:rsidRDefault="00405D16">
            <w:pPr>
              <w:spacing w:after="100"/>
              <w:jc w:val="right"/>
              <w:rPr>
                <w:rFonts w:eastAsia="Times New Roman"/>
              </w:rPr>
            </w:pPr>
          </w:p>
        </w:tc>
      </w:tr>
      <w:tr w:rsidR="00000000" w14:paraId="3400B31B" w14:textId="77777777">
        <w:trPr>
          <w:divId w:val="1888026646"/>
          <w:jc w:val="center"/>
        </w:trPr>
        <w:tc>
          <w:tcPr>
            <w:tcW w:w="0" w:type="auto"/>
            <w:gridSpan w:val="3"/>
            <w:shd w:val="clear" w:color="auto" w:fill="CCEEFF"/>
            <w:tcMar>
              <w:top w:w="30" w:type="dxa"/>
              <w:left w:w="20" w:type="dxa"/>
              <w:bottom w:w="30" w:type="dxa"/>
              <w:right w:w="20" w:type="dxa"/>
            </w:tcMar>
            <w:vAlign w:val="center"/>
            <w:hideMark/>
          </w:tcPr>
          <w:p w14:paraId="77D5889A" w14:textId="77777777" w:rsidR="00000000" w:rsidRDefault="00405D16">
            <w:pPr>
              <w:spacing w:after="100"/>
              <w:divId w:val="1138107855"/>
              <w:rPr>
                <w:rFonts w:eastAsia="Times New Roman"/>
              </w:rPr>
            </w:pPr>
            <w:r>
              <w:rPr>
                <w:rFonts w:eastAsia="Times New Roman"/>
                <w:color w:val="000000"/>
                <w:sz w:val="16"/>
                <w:szCs w:val="16"/>
              </w:rPr>
              <w:t>Securities available for sale (amortized cost of $97.0 billion and $97.6 billion and allowance for credit losses of $1 million as of both September 30, 2021 and December 31, 2020)</w:t>
            </w:r>
          </w:p>
        </w:tc>
        <w:tc>
          <w:tcPr>
            <w:tcW w:w="0" w:type="auto"/>
            <w:gridSpan w:val="3"/>
            <w:shd w:val="clear" w:color="auto" w:fill="CCEEFF"/>
            <w:tcMar>
              <w:top w:w="0" w:type="dxa"/>
              <w:left w:w="20" w:type="dxa"/>
              <w:bottom w:w="0" w:type="dxa"/>
              <w:right w:w="20" w:type="dxa"/>
            </w:tcMar>
            <w:vAlign w:val="center"/>
            <w:hideMark/>
          </w:tcPr>
          <w:p w14:paraId="55E67208"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4B180F1" w14:textId="77777777" w:rsidR="00000000" w:rsidRDefault="00405D16">
            <w:pPr>
              <w:spacing w:after="100"/>
              <w:jc w:val="right"/>
              <w:rPr>
                <w:rFonts w:eastAsia="Times New Roman"/>
              </w:rPr>
            </w:pPr>
            <w:r>
              <w:rPr>
                <w:rFonts w:eastAsia="Times New Roman"/>
                <w:b/>
                <w:bCs/>
                <w:color w:val="000000"/>
                <w:sz w:val="16"/>
                <w:szCs w:val="16"/>
              </w:rPr>
              <w:t>98,149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8AC3D7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BF0CF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6160E9" w14:textId="77777777" w:rsidR="00000000" w:rsidRDefault="00405D16">
            <w:pPr>
              <w:spacing w:after="100"/>
              <w:jc w:val="right"/>
              <w:rPr>
                <w:rFonts w:eastAsia="Times New Roman"/>
              </w:rPr>
            </w:pPr>
            <w:r>
              <w:rPr>
                <w:rFonts w:eastAsia="Times New Roman"/>
                <w:color w:val="000000"/>
                <w:sz w:val="16"/>
                <w:szCs w:val="16"/>
              </w:rPr>
              <w:t>100,445 </w:t>
            </w:r>
          </w:p>
        </w:tc>
        <w:tc>
          <w:tcPr>
            <w:tcW w:w="0" w:type="auto"/>
            <w:shd w:val="clear" w:color="auto" w:fill="CCEEFF"/>
            <w:tcMar>
              <w:top w:w="30" w:type="dxa"/>
              <w:left w:w="0" w:type="dxa"/>
              <w:bottom w:w="30" w:type="dxa"/>
              <w:right w:w="20" w:type="dxa"/>
            </w:tcMar>
            <w:vAlign w:val="bottom"/>
            <w:hideMark/>
          </w:tcPr>
          <w:p w14:paraId="00CF83D2" w14:textId="77777777" w:rsidR="00000000" w:rsidRDefault="00405D16">
            <w:pPr>
              <w:spacing w:after="100"/>
              <w:jc w:val="right"/>
              <w:rPr>
                <w:rFonts w:eastAsia="Times New Roman"/>
              </w:rPr>
            </w:pPr>
          </w:p>
        </w:tc>
      </w:tr>
      <w:tr w:rsidR="00000000" w14:paraId="729CC530" w14:textId="77777777">
        <w:trPr>
          <w:divId w:val="1888026646"/>
          <w:jc w:val="center"/>
        </w:trPr>
        <w:tc>
          <w:tcPr>
            <w:tcW w:w="0" w:type="auto"/>
            <w:gridSpan w:val="3"/>
            <w:shd w:val="clear" w:color="auto" w:fill="FFFFFF"/>
            <w:tcMar>
              <w:top w:w="30" w:type="dxa"/>
              <w:left w:w="20" w:type="dxa"/>
              <w:bottom w:w="30" w:type="dxa"/>
              <w:right w:w="20" w:type="dxa"/>
            </w:tcMar>
            <w:vAlign w:val="center"/>
            <w:hideMark/>
          </w:tcPr>
          <w:p w14:paraId="19E3E5E8" w14:textId="77777777" w:rsidR="00000000" w:rsidRDefault="00405D16">
            <w:pPr>
              <w:spacing w:after="100"/>
              <w:rPr>
                <w:rFonts w:eastAsia="Times New Roman"/>
              </w:rPr>
            </w:pPr>
            <w:r>
              <w:rPr>
                <w:rFonts w:eastAsia="Times New Roman"/>
                <w:color w:val="000000"/>
                <w:sz w:val="16"/>
                <w:szCs w:val="16"/>
              </w:rPr>
              <w:t>Loans held for investment:</w:t>
            </w:r>
          </w:p>
        </w:tc>
        <w:tc>
          <w:tcPr>
            <w:tcW w:w="0" w:type="auto"/>
            <w:gridSpan w:val="3"/>
            <w:shd w:val="clear" w:color="auto" w:fill="FFFFFF"/>
            <w:tcMar>
              <w:top w:w="0" w:type="dxa"/>
              <w:left w:w="20" w:type="dxa"/>
              <w:bottom w:w="0" w:type="dxa"/>
              <w:right w:w="20" w:type="dxa"/>
            </w:tcMar>
            <w:vAlign w:val="center"/>
            <w:hideMark/>
          </w:tcPr>
          <w:p w14:paraId="56F7C51E"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51EB3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B8D6D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171C12" w14:textId="77777777" w:rsidR="00000000" w:rsidRDefault="00405D16">
            <w:pPr>
              <w:spacing w:after="100"/>
              <w:rPr>
                <w:rFonts w:eastAsia="Times New Roman"/>
                <w:sz w:val="20"/>
                <w:szCs w:val="20"/>
              </w:rPr>
            </w:pPr>
          </w:p>
        </w:tc>
      </w:tr>
      <w:tr w:rsidR="00000000" w14:paraId="3930812F" w14:textId="77777777">
        <w:trPr>
          <w:divId w:val="1888026646"/>
          <w:jc w:val="center"/>
        </w:trPr>
        <w:tc>
          <w:tcPr>
            <w:tcW w:w="0" w:type="auto"/>
            <w:gridSpan w:val="3"/>
            <w:shd w:val="clear" w:color="auto" w:fill="CCEEFF"/>
            <w:tcMar>
              <w:top w:w="30" w:type="dxa"/>
              <w:left w:w="245" w:type="dxa"/>
              <w:bottom w:w="30" w:type="dxa"/>
              <w:right w:w="20" w:type="dxa"/>
            </w:tcMar>
            <w:vAlign w:val="center"/>
            <w:hideMark/>
          </w:tcPr>
          <w:p w14:paraId="0345BCCD" w14:textId="77777777" w:rsidR="00000000" w:rsidRDefault="00405D16">
            <w:pPr>
              <w:spacing w:after="100"/>
              <w:rPr>
                <w:rFonts w:eastAsia="Times New Roman"/>
              </w:rPr>
            </w:pPr>
            <w:r>
              <w:rPr>
                <w:rFonts w:eastAsia="Times New Roman"/>
                <w:color w:val="000000"/>
                <w:sz w:val="16"/>
                <w:szCs w:val="16"/>
              </w:rPr>
              <w:t>Unsecuritized loans held for investment</w:t>
            </w:r>
          </w:p>
        </w:tc>
        <w:tc>
          <w:tcPr>
            <w:tcW w:w="0" w:type="auto"/>
            <w:gridSpan w:val="3"/>
            <w:shd w:val="clear" w:color="auto" w:fill="CCEEFF"/>
            <w:tcMar>
              <w:top w:w="0" w:type="dxa"/>
              <w:left w:w="20" w:type="dxa"/>
              <w:bottom w:w="0" w:type="dxa"/>
              <w:right w:w="20" w:type="dxa"/>
            </w:tcMar>
            <w:vAlign w:val="center"/>
            <w:hideMark/>
          </w:tcPr>
          <w:p w14:paraId="2568A96A"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B38100B" w14:textId="77777777" w:rsidR="00000000" w:rsidRDefault="00405D16">
            <w:pPr>
              <w:spacing w:after="100"/>
              <w:jc w:val="right"/>
              <w:rPr>
                <w:rFonts w:eastAsia="Times New Roman"/>
              </w:rPr>
            </w:pPr>
            <w:r>
              <w:rPr>
                <w:rFonts w:eastAsia="Times New Roman"/>
                <w:b/>
                <w:bCs/>
                <w:color w:val="000000"/>
                <w:sz w:val="16"/>
                <w:szCs w:val="16"/>
              </w:rPr>
              <w:t>238,475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70CC39E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D55C4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5430802" w14:textId="77777777" w:rsidR="00000000" w:rsidRDefault="00405D16">
            <w:pPr>
              <w:spacing w:after="100"/>
              <w:jc w:val="right"/>
              <w:rPr>
                <w:rFonts w:eastAsia="Times New Roman"/>
              </w:rPr>
            </w:pPr>
            <w:r>
              <w:rPr>
                <w:rFonts w:eastAsia="Times New Roman"/>
                <w:color w:val="000000"/>
                <w:sz w:val="16"/>
                <w:szCs w:val="16"/>
              </w:rPr>
              <w:t>225,698 </w:t>
            </w:r>
          </w:p>
        </w:tc>
        <w:tc>
          <w:tcPr>
            <w:tcW w:w="0" w:type="auto"/>
            <w:shd w:val="clear" w:color="auto" w:fill="CCEEFF"/>
            <w:tcMar>
              <w:top w:w="30" w:type="dxa"/>
              <w:left w:w="0" w:type="dxa"/>
              <w:bottom w:w="30" w:type="dxa"/>
              <w:right w:w="20" w:type="dxa"/>
            </w:tcMar>
            <w:vAlign w:val="center"/>
            <w:hideMark/>
          </w:tcPr>
          <w:p w14:paraId="37970F3E" w14:textId="77777777" w:rsidR="00000000" w:rsidRDefault="00405D16">
            <w:pPr>
              <w:spacing w:after="100"/>
              <w:jc w:val="right"/>
              <w:rPr>
                <w:rFonts w:eastAsia="Times New Roman"/>
              </w:rPr>
            </w:pPr>
          </w:p>
        </w:tc>
      </w:tr>
      <w:tr w:rsidR="00000000" w14:paraId="1C3BB9C2" w14:textId="77777777">
        <w:trPr>
          <w:divId w:val="1888026646"/>
          <w:jc w:val="center"/>
        </w:trPr>
        <w:tc>
          <w:tcPr>
            <w:tcW w:w="0" w:type="auto"/>
            <w:gridSpan w:val="3"/>
            <w:shd w:val="clear" w:color="auto" w:fill="FFFFFF"/>
            <w:tcMar>
              <w:top w:w="30" w:type="dxa"/>
              <w:left w:w="245" w:type="dxa"/>
              <w:bottom w:w="30" w:type="dxa"/>
              <w:right w:w="20" w:type="dxa"/>
            </w:tcMar>
            <w:vAlign w:val="center"/>
            <w:hideMark/>
          </w:tcPr>
          <w:p w14:paraId="14D8C2BE" w14:textId="77777777" w:rsidR="00000000" w:rsidRDefault="00405D16">
            <w:pPr>
              <w:spacing w:after="100"/>
              <w:rPr>
                <w:rFonts w:eastAsia="Times New Roman"/>
              </w:rPr>
            </w:pPr>
            <w:r>
              <w:rPr>
                <w:rFonts w:eastAsia="Times New Roman"/>
                <w:color w:val="000000"/>
                <w:sz w:val="16"/>
                <w:szCs w:val="16"/>
              </w:rPr>
              <w:t>Loans held in consolidated trusts</w:t>
            </w:r>
          </w:p>
        </w:tc>
        <w:tc>
          <w:tcPr>
            <w:tcW w:w="0" w:type="auto"/>
            <w:gridSpan w:val="3"/>
            <w:shd w:val="clear" w:color="auto" w:fill="FFFFFF"/>
            <w:tcMar>
              <w:top w:w="0" w:type="dxa"/>
              <w:left w:w="20" w:type="dxa"/>
              <w:bottom w:w="0" w:type="dxa"/>
              <w:right w:w="20" w:type="dxa"/>
            </w:tcMar>
            <w:vAlign w:val="center"/>
            <w:hideMark/>
          </w:tcPr>
          <w:p w14:paraId="5AB39E41"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7CB1C66" w14:textId="77777777" w:rsidR="00000000" w:rsidRDefault="00405D16">
            <w:pPr>
              <w:spacing w:after="100"/>
              <w:jc w:val="right"/>
              <w:rPr>
                <w:rFonts w:eastAsia="Times New Roman"/>
              </w:rPr>
            </w:pPr>
            <w:r>
              <w:rPr>
                <w:rFonts w:eastAsia="Times New Roman"/>
                <w:b/>
                <w:bCs/>
                <w:color w:val="000000"/>
                <w:sz w:val="16"/>
                <w:szCs w:val="16"/>
              </w:rPr>
              <w:t>22,915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060D476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7905C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BE0329C" w14:textId="77777777" w:rsidR="00000000" w:rsidRDefault="00405D16">
            <w:pPr>
              <w:spacing w:after="100"/>
              <w:jc w:val="right"/>
              <w:rPr>
                <w:rFonts w:eastAsia="Times New Roman"/>
              </w:rPr>
            </w:pPr>
            <w:r>
              <w:rPr>
                <w:rFonts w:eastAsia="Times New Roman"/>
                <w:color w:val="000000"/>
                <w:sz w:val="16"/>
                <w:szCs w:val="16"/>
              </w:rPr>
              <w:t>25,926 </w:t>
            </w:r>
          </w:p>
        </w:tc>
        <w:tc>
          <w:tcPr>
            <w:tcW w:w="0" w:type="auto"/>
            <w:shd w:val="clear" w:color="auto" w:fill="FFFFFF"/>
            <w:tcMar>
              <w:top w:w="30" w:type="dxa"/>
              <w:left w:w="0" w:type="dxa"/>
              <w:bottom w:w="30" w:type="dxa"/>
              <w:right w:w="20" w:type="dxa"/>
            </w:tcMar>
            <w:vAlign w:val="center"/>
            <w:hideMark/>
          </w:tcPr>
          <w:p w14:paraId="530259CC" w14:textId="77777777" w:rsidR="00000000" w:rsidRDefault="00405D16">
            <w:pPr>
              <w:spacing w:after="100"/>
              <w:jc w:val="right"/>
              <w:rPr>
                <w:rFonts w:eastAsia="Times New Roman"/>
              </w:rPr>
            </w:pPr>
          </w:p>
        </w:tc>
      </w:tr>
      <w:tr w:rsidR="00000000" w14:paraId="7910F8A7" w14:textId="77777777">
        <w:trPr>
          <w:divId w:val="1888026646"/>
          <w:jc w:val="center"/>
        </w:trPr>
        <w:tc>
          <w:tcPr>
            <w:tcW w:w="0" w:type="auto"/>
            <w:gridSpan w:val="3"/>
            <w:shd w:val="clear" w:color="auto" w:fill="CCEEFF"/>
            <w:tcMar>
              <w:top w:w="30" w:type="dxa"/>
              <w:left w:w="20" w:type="dxa"/>
              <w:bottom w:w="30" w:type="dxa"/>
              <w:right w:w="20" w:type="dxa"/>
            </w:tcMar>
            <w:vAlign w:val="center"/>
            <w:hideMark/>
          </w:tcPr>
          <w:p w14:paraId="3A52085D" w14:textId="77777777" w:rsidR="00000000" w:rsidRDefault="00405D16">
            <w:pPr>
              <w:spacing w:after="100"/>
              <w:rPr>
                <w:rFonts w:eastAsia="Times New Roman"/>
              </w:rPr>
            </w:pPr>
            <w:r>
              <w:rPr>
                <w:rFonts w:eastAsia="Times New Roman"/>
                <w:color w:val="000000"/>
                <w:sz w:val="16"/>
                <w:szCs w:val="16"/>
              </w:rPr>
              <w:t>Total loans held for investment</w:t>
            </w:r>
          </w:p>
        </w:tc>
        <w:tc>
          <w:tcPr>
            <w:tcW w:w="0" w:type="auto"/>
            <w:gridSpan w:val="3"/>
            <w:shd w:val="clear" w:color="auto" w:fill="CCEEFF"/>
            <w:tcMar>
              <w:top w:w="0" w:type="dxa"/>
              <w:left w:w="20" w:type="dxa"/>
              <w:bottom w:w="0" w:type="dxa"/>
              <w:right w:w="20" w:type="dxa"/>
            </w:tcMar>
            <w:vAlign w:val="center"/>
            <w:hideMark/>
          </w:tcPr>
          <w:p w14:paraId="7817BD29"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1C0C4E2" w14:textId="77777777" w:rsidR="00000000" w:rsidRDefault="00405D16">
            <w:pPr>
              <w:spacing w:after="100"/>
              <w:jc w:val="right"/>
              <w:rPr>
                <w:rFonts w:eastAsia="Times New Roman"/>
              </w:rPr>
            </w:pPr>
            <w:r>
              <w:rPr>
                <w:rFonts w:eastAsia="Times New Roman"/>
                <w:b/>
                <w:bCs/>
                <w:color w:val="000000"/>
                <w:sz w:val="16"/>
                <w:szCs w:val="16"/>
              </w:rPr>
              <w:t>261,390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B4DD6A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30F2F4"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4E54126" w14:textId="77777777" w:rsidR="00000000" w:rsidRDefault="00405D16">
            <w:pPr>
              <w:spacing w:after="100"/>
              <w:jc w:val="right"/>
              <w:rPr>
                <w:rFonts w:eastAsia="Times New Roman"/>
              </w:rPr>
            </w:pPr>
            <w:r>
              <w:rPr>
                <w:rFonts w:eastAsia="Times New Roman"/>
                <w:color w:val="000000"/>
                <w:sz w:val="16"/>
                <w:szCs w:val="16"/>
              </w:rPr>
              <w:t>251,624 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A0125B8" w14:textId="77777777" w:rsidR="00000000" w:rsidRDefault="00405D16">
            <w:pPr>
              <w:spacing w:after="100"/>
              <w:jc w:val="right"/>
              <w:rPr>
                <w:rFonts w:eastAsia="Times New Roman"/>
              </w:rPr>
            </w:pPr>
          </w:p>
        </w:tc>
      </w:tr>
      <w:tr w:rsidR="00000000" w14:paraId="4BA1CF4A" w14:textId="77777777">
        <w:trPr>
          <w:divId w:val="1888026646"/>
          <w:jc w:val="center"/>
        </w:trPr>
        <w:tc>
          <w:tcPr>
            <w:tcW w:w="0" w:type="auto"/>
            <w:gridSpan w:val="3"/>
            <w:shd w:val="clear" w:color="auto" w:fill="FFFFFF"/>
            <w:tcMar>
              <w:top w:w="30" w:type="dxa"/>
              <w:left w:w="245" w:type="dxa"/>
              <w:bottom w:w="30" w:type="dxa"/>
              <w:right w:w="20" w:type="dxa"/>
            </w:tcMar>
            <w:vAlign w:val="center"/>
            <w:hideMark/>
          </w:tcPr>
          <w:p w14:paraId="1B2025B1" w14:textId="77777777" w:rsidR="00000000" w:rsidRDefault="00405D16">
            <w:pPr>
              <w:spacing w:after="100"/>
              <w:rPr>
                <w:rFonts w:eastAsia="Times New Roman"/>
              </w:rPr>
            </w:pPr>
            <w:r>
              <w:rPr>
                <w:rFonts w:eastAsia="Times New Roman"/>
                <w:color w:val="000000"/>
                <w:sz w:val="16"/>
                <w:szCs w:val="16"/>
              </w:rPr>
              <w:t>Allowance for credit losses</w:t>
            </w:r>
          </w:p>
        </w:tc>
        <w:tc>
          <w:tcPr>
            <w:tcW w:w="0" w:type="auto"/>
            <w:gridSpan w:val="3"/>
            <w:shd w:val="clear" w:color="auto" w:fill="FFFFFF"/>
            <w:tcMar>
              <w:top w:w="0" w:type="dxa"/>
              <w:left w:w="20" w:type="dxa"/>
              <w:bottom w:w="0" w:type="dxa"/>
              <w:right w:w="20" w:type="dxa"/>
            </w:tcMar>
            <w:vAlign w:val="center"/>
            <w:hideMark/>
          </w:tcPr>
          <w:p w14:paraId="3B52B711"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F45D0C1" w14:textId="77777777" w:rsidR="00000000" w:rsidRDefault="00405D16">
            <w:pPr>
              <w:spacing w:after="100"/>
              <w:jc w:val="right"/>
              <w:rPr>
                <w:rFonts w:eastAsia="Times New Roman"/>
              </w:rPr>
            </w:pPr>
            <w:r>
              <w:rPr>
                <w:rFonts w:eastAsia="Times New Roman"/>
                <w:b/>
                <w:bCs/>
                <w:color w:val="000000"/>
                <w:sz w:val="16"/>
                <w:szCs w:val="16"/>
              </w:rPr>
              <w:t>(11,573)</w:t>
            </w:r>
          </w:p>
        </w:tc>
        <w:tc>
          <w:tcPr>
            <w:tcW w:w="0" w:type="auto"/>
            <w:shd w:val="clear" w:color="auto" w:fill="FFFFFF"/>
            <w:tcMar>
              <w:top w:w="30" w:type="dxa"/>
              <w:left w:w="0" w:type="dxa"/>
              <w:bottom w:w="30" w:type="dxa"/>
              <w:right w:w="20" w:type="dxa"/>
            </w:tcMar>
            <w:vAlign w:val="center"/>
            <w:hideMark/>
          </w:tcPr>
          <w:p w14:paraId="6466643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1E6AD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4F4A48C" w14:textId="77777777" w:rsidR="00000000" w:rsidRDefault="00405D16">
            <w:pPr>
              <w:spacing w:after="100"/>
              <w:jc w:val="right"/>
              <w:rPr>
                <w:rFonts w:eastAsia="Times New Roman"/>
              </w:rPr>
            </w:pPr>
            <w:r>
              <w:rPr>
                <w:rFonts w:eastAsia="Times New Roman"/>
                <w:color w:val="000000"/>
                <w:sz w:val="16"/>
                <w:szCs w:val="16"/>
              </w:rPr>
              <w:t>(15,564)</w:t>
            </w:r>
          </w:p>
        </w:tc>
        <w:tc>
          <w:tcPr>
            <w:tcW w:w="0" w:type="auto"/>
            <w:shd w:val="clear" w:color="auto" w:fill="FFFFFF"/>
            <w:tcMar>
              <w:top w:w="30" w:type="dxa"/>
              <w:left w:w="0" w:type="dxa"/>
              <w:bottom w:w="30" w:type="dxa"/>
              <w:right w:w="20" w:type="dxa"/>
            </w:tcMar>
            <w:vAlign w:val="center"/>
            <w:hideMark/>
          </w:tcPr>
          <w:p w14:paraId="685979C8" w14:textId="77777777" w:rsidR="00000000" w:rsidRDefault="00405D16">
            <w:pPr>
              <w:spacing w:after="100"/>
              <w:jc w:val="right"/>
              <w:rPr>
                <w:rFonts w:eastAsia="Times New Roman"/>
              </w:rPr>
            </w:pPr>
          </w:p>
        </w:tc>
      </w:tr>
      <w:tr w:rsidR="00000000" w14:paraId="2452CE37" w14:textId="77777777">
        <w:trPr>
          <w:divId w:val="1888026646"/>
          <w:jc w:val="center"/>
        </w:trPr>
        <w:tc>
          <w:tcPr>
            <w:tcW w:w="0" w:type="auto"/>
            <w:gridSpan w:val="3"/>
            <w:shd w:val="clear" w:color="auto" w:fill="CCEEFF"/>
            <w:tcMar>
              <w:top w:w="30" w:type="dxa"/>
              <w:left w:w="20" w:type="dxa"/>
              <w:bottom w:w="30" w:type="dxa"/>
              <w:right w:w="20" w:type="dxa"/>
            </w:tcMar>
            <w:vAlign w:val="center"/>
            <w:hideMark/>
          </w:tcPr>
          <w:p w14:paraId="199A175D" w14:textId="77777777" w:rsidR="00000000" w:rsidRDefault="00405D16">
            <w:pPr>
              <w:spacing w:after="100"/>
              <w:rPr>
                <w:rFonts w:eastAsia="Times New Roman"/>
              </w:rPr>
            </w:pPr>
            <w:r>
              <w:rPr>
                <w:rFonts w:eastAsia="Times New Roman"/>
                <w:color w:val="000000"/>
                <w:sz w:val="16"/>
                <w:szCs w:val="16"/>
              </w:rPr>
              <w:t>Net loans held for investment</w:t>
            </w:r>
          </w:p>
        </w:tc>
        <w:tc>
          <w:tcPr>
            <w:tcW w:w="0" w:type="auto"/>
            <w:gridSpan w:val="3"/>
            <w:shd w:val="clear" w:color="auto" w:fill="CCEEFF"/>
            <w:tcMar>
              <w:top w:w="0" w:type="dxa"/>
              <w:left w:w="20" w:type="dxa"/>
              <w:bottom w:w="0" w:type="dxa"/>
              <w:right w:w="20" w:type="dxa"/>
            </w:tcMar>
            <w:vAlign w:val="center"/>
            <w:hideMark/>
          </w:tcPr>
          <w:p w14:paraId="477EF738"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CDEEE2A" w14:textId="77777777" w:rsidR="00000000" w:rsidRDefault="00405D16">
            <w:pPr>
              <w:spacing w:after="100"/>
              <w:jc w:val="right"/>
              <w:rPr>
                <w:rFonts w:eastAsia="Times New Roman"/>
              </w:rPr>
            </w:pPr>
            <w:r>
              <w:rPr>
                <w:rFonts w:eastAsia="Times New Roman"/>
                <w:b/>
                <w:bCs/>
                <w:color w:val="000000"/>
                <w:sz w:val="16"/>
                <w:szCs w:val="16"/>
              </w:rPr>
              <w:t>249,817</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F63C4C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8017EC"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A22A395" w14:textId="77777777" w:rsidR="00000000" w:rsidRDefault="00405D16">
            <w:pPr>
              <w:spacing w:after="100"/>
              <w:jc w:val="right"/>
              <w:rPr>
                <w:rFonts w:eastAsia="Times New Roman"/>
              </w:rPr>
            </w:pPr>
            <w:r>
              <w:rPr>
                <w:rFonts w:eastAsia="Times New Roman"/>
                <w:color w:val="000000"/>
                <w:sz w:val="16"/>
                <w:szCs w:val="16"/>
              </w:rPr>
              <w:t>236,060 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DEA65DD" w14:textId="77777777" w:rsidR="00000000" w:rsidRDefault="00405D16">
            <w:pPr>
              <w:spacing w:after="100"/>
              <w:jc w:val="right"/>
              <w:rPr>
                <w:rFonts w:eastAsia="Times New Roman"/>
              </w:rPr>
            </w:pPr>
          </w:p>
        </w:tc>
      </w:tr>
      <w:tr w:rsidR="00000000" w14:paraId="6299D152" w14:textId="77777777">
        <w:trPr>
          <w:divId w:val="1888026646"/>
          <w:jc w:val="center"/>
        </w:trPr>
        <w:tc>
          <w:tcPr>
            <w:tcW w:w="0" w:type="auto"/>
            <w:gridSpan w:val="3"/>
            <w:shd w:val="clear" w:color="auto" w:fill="FFFFFF"/>
            <w:tcMar>
              <w:top w:w="30" w:type="dxa"/>
              <w:left w:w="20" w:type="dxa"/>
              <w:bottom w:w="30" w:type="dxa"/>
              <w:right w:w="20" w:type="dxa"/>
            </w:tcMar>
            <w:vAlign w:val="center"/>
            <w:hideMark/>
          </w:tcPr>
          <w:p w14:paraId="17BDE26F" w14:textId="77777777" w:rsidR="00000000" w:rsidRDefault="00405D16">
            <w:pPr>
              <w:spacing w:after="100"/>
              <w:divId w:val="358891625"/>
              <w:rPr>
                <w:rFonts w:eastAsia="Times New Roman"/>
              </w:rPr>
            </w:pPr>
            <w:r>
              <w:rPr>
                <w:rFonts w:eastAsia="Times New Roman"/>
                <w:color w:val="000000"/>
                <w:sz w:val="16"/>
                <w:szCs w:val="16"/>
              </w:rPr>
              <w:t>Loans held for sale ($1.7 billion and $596 </w:t>
            </w:r>
            <w:r>
              <w:rPr>
                <w:rFonts w:eastAsia="Times New Roman"/>
                <w:color w:val="000000"/>
                <w:sz w:val="16"/>
                <w:szCs w:val="16"/>
              </w:rPr>
              <w:t>million carried at fair value as of September 30, 2021 and December 31, 2020, respectively)</w:t>
            </w:r>
          </w:p>
        </w:tc>
        <w:tc>
          <w:tcPr>
            <w:tcW w:w="0" w:type="auto"/>
            <w:gridSpan w:val="3"/>
            <w:shd w:val="clear" w:color="auto" w:fill="FFFFFF"/>
            <w:tcMar>
              <w:top w:w="0" w:type="dxa"/>
              <w:left w:w="20" w:type="dxa"/>
              <w:bottom w:w="0" w:type="dxa"/>
              <w:right w:w="20" w:type="dxa"/>
            </w:tcMar>
            <w:vAlign w:val="center"/>
            <w:hideMark/>
          </w:tcPr>
          <w:p w14:paraId="6AA4769E"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2677160" w14:textId="77777777" w:rsidR="00000000" w:rsidRDefault="00405D16">
            <w:pPr>
              <w:spacing w:after="100"/>
              <w:jc w:val="right"/>
              <w:rPr>
                <w:rFonts w:eastAsia="Times New Roman"/>
              </w:rPr>
            </w:pPr>
            <w:r>
              <w:rPr>
                <w:rFonts w:eastAsia="Times New Roman"/>
                <w:b/>
                <w:bCs/>
                <w:color w:val="000000"/>
                <w:sz w:val="16"/>
                <w:szCs w:val="16"/>
              </w:rPr>
              <w:t>6,300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57551E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D3150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DB9EA4" w14:textId="77777777" w:rsidR="00000000" w:rsidRDefault="00405D16">
            <w:pPr>
              <w:spacing w:after="100"/>
              <w:jc w:val="right"/>
              <w:rPr>
                <w:rFonts w:eastAsia="Times New Roman"/>
              </w:rPr>
            </w:pPr>
            <w:r>
              <w:rPr>
                <w:rFonts w:eastAsia="Times New Roman"/>
                <w:color w:val="000000"/>
                <w:sz w:val="16"/>
                <w:szCs w:val="16"/>
              </w:rPr>
              <w:t>2,710 </w:t>
            </w:r>
          </w:p>
        </w:tc>
        <w:tc>
          <w:tcPr>
            <w:tcW w:w="0" w:type="auto"/>
            <w:shd w:val="clear" w:color="auto" w:fill="FFFFFF"/>
            <w:tcMar>
              <w:top w:w="30" w:type="dxa"/>
              <w:left w:w="0" w:type="dxa"/>
              <w:bottom w:w="30" w:type="dxa"/>
              <w:right w:w="20" w:type="dxa"/>
            </w:tcMar>
            <w:vAlign w:val="bottom"/>
            <w:hideMark/>
          </w:tcPr>
          <w:p w14:paraId="2061CA47" w14:textId="77777777" w:rsidR="00000000" w:rsidRDefault="00405D16">
            <w:pPr>
              <w:spacing w:after="100"/>
              <w:jc w:val="right"/>
              <w:rPr>
                <w:rFonts w:eastAsia="Times New Roman"/>
              </w:rPr>
            </w:pPr>
          </w:p>
        </w:tc>
      </w:tr>
      <w:tr w:rsidR="00000000" w14:paraId="7583A5EB" w14:textId="77777777">
        <w:trPr>
          <w:divId w:val="1888026646"/>
          <w:jc w:val="center"/>
        </w:trPr>
        <w:tc>
          <w:tcPr>
            <w:tcW w:w="0" w:type="auto"/>
            <w:gridSpan w:val="3"/>
            <w:shd w:val="clear" w:color="auto" w:fill="CCEEFF"/>
            <w:tcMar>
              <w:top w:w="30" w:type="dxa"/>
              <w:left w:w="20" w:type="dxa"/>
              <w:bottom w:w="30" w:type="dxa"/>
              <w:right w:w="20" w:type="dxa"/>
            </w:tcMar>
            <w:vAlign w:val="center"/>
            <w:hideMark/>
          </w:tcPr>
          <w:p w14:paraId="4200143A" w14:textId="77777777" w:rsidR="00000000" w:rsidRDefault="00405D16">
            <w:pPr>
              <w:spacing w:after="100"/>
              <w:rPr>
                <w:rFonts w:eastAsia="Times New Roman"/>
              </w:rPr>
            </w:pPr>
            <w:r>
              <w:rPr>
                <w:rFonts w:eastAsia="Times New Roman"/>
                <w:color w:val="000000"/>
                <w:sz w:val="16"/>
                <w:szCs w:val="16"/>
              </w:rPr>
              <w:t>Premises and equipment, net</w:t>
            </w:r>
          </w:p>
        </w:tc>
        <w:tc>
          <w:tcPr>
            <w:tcW w:w="0" w:type="auto"/>
            <w:gridSpan w:val="3"/>
            <w:shd w:val="clear" w:color="auto" w:fill="CCEEFF"/>
            <w:tcMar>
              <w:top w:w="0" w:type="dxa"/>
              <w:left w:w="20" w:type="dxa"/>
              <w:bottom w:w="0" w:type="dxa"/>
              <w:right w:w="20" w:type="dxa"/>
            </w:tcMar>
            <w:vAlign w:val="center"/>
            <w:hideMark/>
          </w:tcPr>
          <w:p w14:paraId="1814BBF5"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E7B5309" w14:textId="77777777" w:rsidR="00000000" w:rsidRDefault="00405D16">
            <w:pPr>
              <w:spacing w:after="100"/>
              <w:jc w:val="right"/>
              <w:rPr>
                <w:rFonts w:eastAsia="Times New Roman"/>
              </w:rPr>
            </w:pPr>
            <w:r>
              <w:rPr>
                <w:rFonts w:eastAsia="Times New Roman"/>
                <w:b/>
                <w:bCs/>
                <w:color w:val="000000"/>
                <w:sz w:val="16"/>
                <w:szCs w:val="16"/>
              </w:rPr>
              <w:t>4,204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0C2D607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DB0AD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53C2191" w14:textId="77777777" w:rsidR="00000000" w:rsidRDefault="00405D16">
            <w:pPr>
              <w:spacing w:after="100"/>
              <w:jc w:val="right"/>
              <w:rPr>
                <w:rFonts w:eastAsia="Times New Roman"/>
              </w:rPr>
            </w:pPr>
            <w:r>
              <w:rPr>
                <w:rFonts w:eastAsia="Times New Roman"/>
                <w:color w:val="000000"/>
                <w:sz w:val="16"/>
                <w:szCs w:val="16"/>
              </w:rPr>
              <w:t>4,287 </w:t>
            </w:r>
          </w:p>
        </w:tc>
        <w:tc>
          <w:tcPr>
            <w:tcW w:w="0" w:type="auto"/>
            <w:shd w:val="clear" w:color="auto" w:fill="CCEEFF"/>
            <w:tcMar>
              <w:top w:w="30" w:type="dxa"/>
              <w:left w:w="0" w:type="dxa"/>
              <w:bottom w:w="30" w:type="dxa"/>
              <w:right w:w="20" w:type="dxa"/>
            </w:tcMar>
            <w:vAlign w:val="center"/>
            <w:hideMark/>
          </w:tcPr>
          <w:p w14:paraId="2EE07F62" w14:textId="77777777" w:rsidR="00000000" w:rsidRDefault="00405D16">
            <w:pPr>
              <w:spacing w:after="100"/>
              <w:jc w:val="right"/>
              <w:rPr>
                <w:rFonts w:eastAsia="Times New Roman"/>
              </w:rPr>
            </w:pPr>
          </w:p>
        </w:tc>
      </w:tr>
      <w:tr w:rsidR="00000000" w14:paraId="45253762" w14:textId="77777777">
        <w:trPr>
          <w:divId w:val="1888026646"/>
          <w:jc w:val="center"/>
        </w:trPr>
        <w:tc>
          <w:tcPr>
            <w:tcW w:w="0" w:type="auto"/>
            <w:gridSpan w:val="3"/>
            <w:shd w:val="clear" w:color="auto" w:fill="FFFFFF"/>
            <w:tcMar>
              <w:top w:w="30" w:type="dxa"/>
              <w:left w:w="20" w:type="dxa"/>
              <w:bottom w:w="30" w:type="dxa"/>
              <w:right w:w="20" w:type="dxa"/>
            </w:tcMar>
            <w:vAlign w:val="center"/>
            <w:hideMark/>
          </w:tcPr>
          <w:p w14:paraId="568127F9" w14:textId="77777777" w:rsidR="00000000" w:rsidRDefault="00405D16">
            <w:pPr>
              <w:spacing w:after="100"/>
              <w:rPr>
                <w:rFonts w:eastAsia="Times New Roman"/>
              </w:rPr>
            </w:pPr>
            <w:r>
              <w:rPr>
                <w:rFonts w:eastAsia="Times New Roman"/>
                <w:color w:val="000000"/>
                <w:sz w:val="16"/>
                <w:szCs w:val="16"/>
              </w:rPr>
              <w:t>Interest receivable</w:t>
            </w:r>
          </w:p>
        </w:tc>
        <w:tc>
          <w:tcPr>
            <w:tcW w:w="0" w:type="auto"/>
            <w:gridSpan w:val="3"/>
            <w:shd w:val="clear" w:color="auto" w:fill="FFFFFF"/>
            <w:tcMar>
              <w:top w:w="0" w:type="dxa"/>
              <w:left w:w="20" w:type="dxa"/>
              <w:bottom w:w="0" w:type="dxa"/>
              <w:right w:w="20" w:type="dxa"/>
            </w:tcMar>
            <w:vAlign w:val="center"/>
            <w:hideMark/>
          </w:tcPr>
          <w:p w14:paraId="33E7622F"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EAE8009" w14:textId="77777777" w:rsidR="00000000" w:rsidRDefault="00405D16">
            <w:pPr>
              <w:spacing w:after="100"/>
              <w:jc w:val="right"/>
              <w:rPr>
                <w:rFonts w:eastAsia="Times New Roman"/>
              </w:rPr>
            </w:pPr>
            <w:r>
              <w:rPr>
                <w:rFonts w:eastAsia="Times New Roman"/>
                <w:b/>
                <w:bCs/>
                <w:color w:val="000000"/>
                <w:sz w:val="16"/>
                <w:szCs w:val="16"/>
              </w:rPr>
              <w:t>1,418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1772C6B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3F28F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7133935" w14:textId="77777777" w:rsidR="00000000" w:rsidRDefault="00405D16">
            <w:pPr>
              <w:spacing w:after="100"/>
              <w:jc w:val="right"/>
              <w:rPr>
                <w:rFonts w:eastAsia="Times New Roman"/>
              </w:rPr>
            </w:pPr>
            <w:r>
              <w:rPr>
                <w:rFonts w:eastAsia="Times New Roman"/>
                <w:color w:val="000000"/>
                <w:sz w:val="16"/>
                <w:szCs w:val="16"/>
              </w:rPr>
              <w:t>1,471 </w:t>
            </w:r>
          </w:p>
        </w:tc>
        <w:tc>
          <w:tcPr>
            <w:tcW w:w="0" w:type="auto"/>
            <w:shd w:val="clear" w:color="auto" w:fill="FFFFFF"/>
            <w:tcMar>
              <w:top w:w="30" w:type="dxa"/>
              <w:left w:w="0" w:type="dxa"/>
              <w:bottom w:w="30" w:type="dxa"/>
              <w:right w:w="20" w:type="dxa"/>
            </w:tcMar>
            <w:vAlign w:val="center"/>
            <w:hideMark/>
          </w:tcPr>
          <w:p w14:paraId="3786B046" w14:textId="77777777" w:rsidR="00000000" w:rsidRDefault="00405D16">
            <w:pPr>
              <w:spacing w:after="100"/>
              <w:jc w:val="right"/>
              <w:rPr>
                <w:rFonts w:eastAsia="Times New Roman"/>
              </w:rPr>
            </w:pPr>
          </w:p>
        </w:tc>
      </w:tr>
      <w:tr w:rsidR="00000000" w14:paraId="53AD81AE" w14:textId="77777777">
        <w:trPr>
          <w:divId w:val="1888026646"/>
          <w:jc w:val="center"/>
        </w:trPr>
        <w:tc>
          <w:tcPr>
            <w:tcW w:w="0" w:type="auto"/>
            <w:gridSpan w:val="3"/>
            <w:shd w:val="clear" w:color="auto" w:fill="CCEEFF"/>
            <w:tcMar>
              <w:top w:w="30" w:type="dxa"/>
              <w:left w:w="20" w:type="dxa"/>
              <w:bottom w:w="30" w:type="dxa"/>
              <w:right w:w="20" w:type="dxa"/>
            </w:tcMar>
            <w:vAlign w:val="center"/>
            <w:hideMark/>
          </w:tcPr>
          <w:p w14:paraId="3FCA8F28" w14:textId="77777777" w:rsidR="00000000" w:rsidRDefault="00405D16">
            <w:pPr>
              <w:spacing w:after="100"/>
              <w:rPr>
                <w:rFonts w:eastAsia="Times New Roman"/>
              </w:rPr>
            </w:pPr>
            <w:r>
              <w:rPr>
                <w:rFonts w:eastAsia="Times New Roman"/>
                <w:color w:val="000000"/>
                <w:sz w:val="16"/>
                <w:szCs w:val="16"/>
              </w:rPr>
              <w:t>Goodwill</w:t>
            </w:r>
          </w:p>
        </w:tc>
        <w:tc>
          <w:tcPr>
            <w:tcW w:w="0" w:type="auto"/>
            <w:gridSpan w:val="3"/>
            <w:shd w:val="clear" w:color="auto" w:fill="CCEEFF"/>
            <w:tcMar>
              <w:top w:w="0" w:type="dxa"/>
              <w:left w:w="20" w:type="dxa"/>
              <w:bottom w:w="0" w:type="dxa"/>
              <w:right w:w="20" w:type="dxa"/>
            </w:tcMar>
            <w:vAlign w:val="center"/>
            <w:hideMark/>
          </w:tcPr>
          <w:p w14:paraId="58E2C23A"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E421CF7" w14:textId="77777777" w:rsidR="00000000" w:rsidRDefault="00405D16">
            <w:pPr>
              <w:spacing w:after="100"/>
              <w:jc w:val="right"/>
              <w:rPr>
                <w:rFonts w:eastAsia="Times New Roman"/>
              </w:rPr>
            </w:pPr>
            <w:r>
              <w:rPr>
                <w:rFonts w:eastAsia="Times New Roman"/>
                <w:b/>
                <w:bCs/>
                <w:color w:val="000000"/>
                <w:sz w:val="16"/>
                <w:szCs w:val="16"/>
              </w:rPr>
              <w:t>14,652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195DE6C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6C33B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C08ED3D" w14:textId="77777777" w:rsidR="00000000" w:rsidRDefault="00405D16">
            <w:pPr>
              <w:spacing w:after="100"/>
              <w:jc w:val="right"/>
              <w:rPr>
                <w:rFonts w:eastAsia="Times New Roman"/>
              </w:rPr>
            </w:pPr>
            <w:r>
              <w:rPr>
                <w:rFonts w:eastAsia="Times New Roman"/>
                <w:color w:val="000000"/>
                <w:sz w:val="16"/>
                <w:szCs w:val="16"/>
              </w:rPr>
              <w:t>14,653 </w:t>
            </w:r>
          </w:p>
        </w:tc>
        <w:tc>
          <w:tcPr>
            <w:tcW w:w="0" w:type="auto"/>
            <w:shd w:val="clear" w:color="auto" w:fill="CCEEFF"/>
            <w:tcMar>
              <w:top w:w="30" w:type="dxa"/>
              <w:left w:w="0" w:type="dxa"/>
              <w:bottom w:w="30" w:type="dxa"/>
              <w:right w:w="20" w:type="dxa"/>
            </w:tcMar>
            <w:vAlign w:val="center"/>
            <w:hideMark/>
          </w:tcPr>
          <w:p w14:paraId="0D821D5F" w14:textId="77777777" w:rsidR="00000000" w:rsidRDefault="00405D16">
            <w:pPr>
              <w:spacing w:after="100"/>
              <w:jc w:val="right"/>
              <w:rPr>
                <w:rFonts w:eastAsia="Times New Roman"/>
              </w:rPr>
            </w:pPr>
          </w:p>
        </w:tc>
      </w:tr>
      <w:tr w:rsidR="00000000" w14:paraId="29467F97" w14:textId="77777777">
        <w:trPr>
          <w:divId w:val="1888026646"/>
          <w:jc w:val="center"/>
        </w:trPr>
        <w:tc>
          <w:tcPr>
            <w:tcW w:w="0" w:type="auto"/>
            <w:gridSpan w:val="3"/>
            <w:shd w:val="clear" w:color="auto" w:fill="FFFFFF"/>
            <w:tcMar>
              <w:top w:w="30" w:type="dxa"/>
              <w:left w:w="20" w:type="dxa"/>
              <w:bottom w:w="30" w:type="dxa"/>
              <w:right w:w="20" w:type="dxa"/>
            </w:tcMar>
            <w:vAlign w:val="center"/>
            <w:hideMark/>
          </w:tcPr>
          <w:p w14:paraId="4254C495" w14:textId="77777777" w:rsidR="00000000" w:rsidRDefault="00405D16">
            <w:pPr>
              <w:spacing w:after="100"/>
              <w:rPr>
                <w:rFonts w:eastAsia="Times New Roman"/>
              </w:rPr>
            </w:pPr>
            <w:r>
              <w:rPr>
                <w:rFonts w:eastAsia="Times New Roman"/>
                <w:color w:val="000000"/>
                <w:sz w:val="16"/>
                <w:szCs w:val="16"/>
              </w:rPr>
              <w:t>Other assets</w:t>
            </w:r>
          </w:p>
        </w:tc>
        <w:tc>
          <w:tcPr>
            <w:tcW w:w="0" w:type="auto"/>
            <w:gridSpan w:val="3"/>
            <w:shd w:val="clear" w:color="auto" w:fill="FFFFFF"/>
            <w:tcMar>
              <w:top w:w="0" w:type="dxa"/>
              <w:left w:w="20" w:type="dxa"/>
              <w:bottom w:w="0" w:type="dxa"/>
              <w:right w:w="20" w:type="dxa"/>
            </w:tcMar>
            <w:vAlign w:val="center"/>
            <w:hideMark/>
          </w:tcPr>
          <w:p w14:paraId="49064FD6"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2319811" w14:textId="77777777" w:rsidR="00000000" w:rsidRDefault="00405D16">
            <w:pPr>
              <w:spacing w:after="100"/>
              <w:jc w:val="right"/>
              <w:rPr>
                <w:rFonts w:eastAsia="Times New Roman"/>
              </w:rPr>
            </w:pPr>
            <w:r>
              <w:rPr>
                <w:rFonts w:eastAsia="Times New Roman"/>
                <w:b/>
                <w:bCs/>
                <w:color w:val="000000"/>
                <w:sz w:val="16"/>
                <w:szCs w:val="16"/>
              </w:rPr>
              <w:t>23,979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13A3770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1B146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6E97AE0" w14:textId="77777777" w:rsidR="00000000" w:rsidRDefault="00405D16">
            <w:pPr>
              <w:spacing w:after="100"/>
              <w:jc w:val="right"/>
              <w:rPr>
                <w:rFonts w:eastAsia="Times New Roman"/>
              </w:rPr>
            </w:pPr>
            <w:r>
              <w:rPr>
                <w:rFonts w:eastAsia="Times New Roman"/>
                <w:color w:val="000000"/>
                <w:sz w:val="16"/>
                <w:szCs w:val="16"/>
              </w:rPr>
              <w:t>21,205 </w:t>
            </w:r>
          </w:p>
        </w:tc>
        <w:tc>
          <w:tcPr>
            <w:tcW w:w="0" w:type="auto"/>
            <w:shd w:val="clear" w:color="auto" w:fill="FFFFFF"/>
            <w:tcMar>
              <w:top w:w="30" w:type="dxa"/>
              <w:left w:w="0" w:type="dxa"/>
              <w:bottom w:w="30" w:type="dxa"/>
              <w:right w:w="20" w:type="dxa"/>
            </w:tcMar>
            <w:vAlign w:val="center"/>
            <w:hideMark/>
          </w:tcPr>
          <w:p w14:paraId="461B883E" w14:textId="77777777" w:rsidR="00000000" w:rsidRDefault="00405D16">
            <w:pPr>
              <w:spacing w:after="100"/>
              <w:jc w:val="right"/>
              <w:rPr>
                <w:rFonts w:eastAsia="Times New Roman"/>
              </w:rPr>
            </w:pPr>
          </w:p>
        </w:tc>
      </w:tr>
      <w:tr w:rsidR="00000000" w14:paraId="5783F169" w14:textId="77777777">
        <w:trPr>
          <w:divId w:val="1888026646"/>
          <w:jc w:val="center"/>
        </w:trPr>
        <w:tc>
          <w:tcPr>
            <w:tcW w:w="0" w:type="auto"/>
            <w:gridSpan w:val="3"/>
            <w:shd w:val="clear" w:color="auto" w:fill="CCEEFF"/>
            <w:tcMar>
              <w:top w:w="30" w:type="dxa"/>
              <w:left w:w="20" w:type="dxa"/>
              <w:bottom w:w="30" w:type="dxa"/>
              <w:right w:w="20" w:type="dxa"/>
            </w:tcMar>
            <w:vAlign w:val="center"/>
            <w:hideMark/>
          </w:tcPr>
          <w:p w14:paraId="1099838C" w14:textId="77777777" w:rsidR="00000000" w:rsidRDefault="00405D16">
            <w:pPr>
              <w:spacing w:after="100"/>
              <w:rPr>
                <w:rFonts w:eastAsia="Times New Roman"/>
              </w:rPr>
            </w:pPr>
            <w:r>
              <w:rPr>
                <w:rFonts w:eastAsia="Times New Roman"/>
                <w:b/>
                <w:bCs/>
                <w:color w:val="000000"/>
                <w:sz w:val="16"/>
                <w:szCs w:val="16"/>
              </w:rPr>
              <w:t>Total assets</w:t>
            </w:r>
          </w:p>
        </w:tc>
        <w:tc>
          <w:tcPr>
            <w:tcW w:w="0" w:type="auto"/>
            <w:gridSpan w:val="3"/>
            <w:shd w:val="clear" w:color="auto" w:fill="CCEEFF"/>
            <w:tcMar>
              <w:top w:w="0" w:type="dxa"/>
              <w:left w:w="20" w:type="dxa"/>
              <w:bottom w:w="0" w:type="dxa"/>
              <w:right w:w="20" w:type="dxa"/>
            </w:tcMar>
            <w:vAlign w:val="center"/>
            <w:hideMark/>
          </w:tcPr>
          <w:p w14:paraId="6C585478"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3AD6BCB" w14:textId="77777777" w:rsidR="00000000" w:rsidRDefault="00405D16">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F0D094F" w14:textId="77777777" w:rsidR="00000000" w:rsidRDefault="00405D16">
            <w:pPr>
              <w:spacing w:after="100"/>
              <w:jc w:val="right"/>
              <w:rPr>
                <w:rFonts w:eastAsia="Times New Roman"/>
              </w:rPr>
            </w:pPr>
            <w:r>
              <w:rPr>
                <w:rFonts w:eastAsia="Times New Roman"/>
                <w:b/>
                <w:bCs/>
                <w:color w:val="000000"/>
                <w:sz w:val="16"/>
                <w:szCs w:val="16"/>
              </w:rPr>
              <w:t>425,377</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22B0F3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F47499"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529D878"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16220A1" w14:textId="77777777" w:rsidR="00000000" w:rsidRDefault="00405D16">
            <w:pPr>
              <w:spacing w:after="100"/>
              <w:jc w:val="right"/>
              <w:rPr>
                <w:rFonts w:eastAsia="Times New Roman"/>
              </w:rPr>
            </w:pPr>
            <w:r>
              <w:rPr>
                <w:rFonts w:eastAsia="Times New Roman"/>
                <w:color w:val="000000"/>
                <w:sz w:val="16"/>
                <w:szCs w:val="16"/>
              </w:rPr>
              <w:t>421,602 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C8A7A56" w14:textId="77777777" w:rsidR="00000000" w:rsidRDefault="00405D16">
            <w:pPr>
              <w:spacing w:after="100"/>
              <w:jc w:val="right"/>
              <w:rPr>
                <w:rFonts w:eastAsia="Times New Roman"/>
              </w:rPr>
            </w:pPr>
          </w:p>
        </w:tc>
      </w:tr>
      <w:tr w:rsidR="00000000" w14:paraId="17CA0697" w14:textId="77777777">
        <w:trPr>
          <w:divId w:val="1888026646"/>
          <w:trHeight w:val="240"/>
          <w:jc w:val="center"/>
        </w:trPr>
        <w:tc>
          <w:tcPr>
            <w:tcW w:w="0" w:type="auto"/>
            <w:gridSpan w:val="3"/>
            <w:shd w:val="clear" w:color="auto" w:fill="FFFFFF"/>
            <w:tcMar>
              <w:top w:w="0" w:type="dxa"/>
              <w:left w:w="20" w:type="dxa"/>
              <w:bottom w:w="0" w:type="dxa"/>
              <w:right w:w="20" w:type="dxa"/>
            </w:tcMar>
            <w:vAlign w:val="center"/>
            <w:hideMark/>
          </w:tcPr>
          <w:p w14:paraId="7BD12903" w14:textId="77777777" w:rsidR="00000000" w:rsidRDefault="00405D1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1F54C6"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703ED0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A7CDE6"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C92D389" w14:textId="77777777" w:rsidR="00000000" w:rsidRDefault="00405D16">
            <w:pPr>
              <w:spacing w:after="100"/>
              <w:rPr>
                <w:rFonts w:eastAsia="Times New Roman"/>
                <w:sz w:val="20"/>
                <w:szCs w:val="20"/>
              </w:rPr>
            </w:pPr>
          </w:p>
        </w:tc>
      </w:tr>
      <w:tr w:rsidR="00000000" w14:paraId="76DAD39B" w14:textId="77777777">
        <w:trPr>
          <w:divId w:val="1888026646"/>
          <w:jc w:val="center"/>
        </w:trPr>
        <w:tc>
          <w:tcPr>
            <w:tcW w:w="0" w:type="auto"/>
            <w:gridSpan w:val="3"/>
            <w:shd w:val="clear" w:color="auto" w:fill="CCEEFF"/>
            <w:tcMar>
              <w:top w:w="30" w:type="dxa"/>
              <w:left w:w="20" w:type="dxa"/>
              <w:bottom w:w="30" w:type="dxa"/>
              <w:right w:w="20" w:type="dxa"/>
            </w:tcMar>
            <w:vAlign w:val="center"/>
            <w:hideMark/>
          </w:tcPr>
          <w:p w14:paraId="3C6B7DD6" w14:textId="77777777" w:rsidR="00000000" w:rsidRDefault="00405D16">
            <w:pPr>
              <w:spacing w:after="100"/>
              <w:rPr>
                <w:rFonts w:eastAsia="Times New Roman"/>
              </w:rPr>
            </w:pPr>
            <w:r>
              <w:rPr>
                <w:rFonts w:eastAsia="Times New Roman"/>
                <w:b/>
                <w:bCs/>
                <w:color w:val="000000"/>
                <w:sz w:val="16"/>
                <w:szCs w:val="16"/>
              </w:rPr>
              <w:t>Liabilities:</w:t>
            </w:r>
          </w:p>
        </w:tc>
        <w:tc>
          <w:tcPr>
            <w:tcW w:w="0" w:type="auto"/>
            <w:gridSpan w:val="3"/>
            <w:shd w:val="clear" w:color="auto" w:fill="CCEEFF"/>
            <w:tcMar>
              <w:top w:w="0" w:type="dxa"/>
              <w:left w:w="20" w:type="dxa"/>
              <w:bottom w:w="0" w:type="dxa"/>
              <w:right w:w="20" w:type="dxa"/>
            </w:tcMar>
            <w:vAlign w:val="center"/>
            <w:hideMark/>
          </w:tcPr>
          <w:p w14:paraId="02C75050"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60D12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45631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F785F5" w14:textId="77777777" w:rsidR="00000000" w:rsidRDefault="00405D16">
            <w:pPr>
              <w:spacing w:after="100"/>
              <w:rPr>
                <w:rFonts w:eastAsia="Times New Roman"/>
                <w:sz w:val="20"/>
                <w:szCs w:val="20"/>
              </w:rPr>
            </w:pPr>
          </w:p>
        </w:tc>
      </w:tr>
      <w:tr w:rsidR="00000000" w14:paraId="1154283F" w14:textId="77777777">
        <w:trPr>
          <w:divId w:val="1888026646"/>
          <w:jc w:val="center"/>
        </w:trPr>
        <w:tc>
          <w:tcPr>
            <w:tcW w:w="0" w:type="auto"/>
            <w:gridSpan w:val="3"/>
            <w:shd w:val="clear" w:color="auto" w:fill="FFFFFF"/>
            <w:tcMar>
              <w:top w:w="30" w:type="dxa"/>
              <w:left w:w="20" w:type="dxa"/>
              <w:bottom w:w="30" w:type="dxa"/>
              <w:right w:w="20" w:type="dxa"/>
            </w:tcMar>
            <w:vAlign w:val="center"/>
            <w:hideMark/>
          </w:tcPr>
          <w:p w14:paraId="43F4C5B6" w14:textId="77777777" w:rsidR="00000000" w:rsidRDefault="00405D16">
            <w:pPr>
              <w:spacing w:after="100"/>
              <w:rPr>
                <w:rFonts w:eastAsia="Times New Roman"/>
              </w:rPr>
            </w:pPr>
            <w:r>
              <w:rPr>
                <w:rFonts w:eastAsia="Times New Roman"/>
                <w:color w:val="000000"/>
                <w:sz w:val="16"/>
                <w:szCs w:val="16"/>
              </w:rPr>
              <w:t>Interest payable</w:t>
            </w:r>
          </w:p>
        </w:tc>
        <w:tc>
          <w:tcPr>
            <w:tcW w:w="0" w:type="auto"/>
            <w:gridSpan w:val="3"/>
            <w:shd w:val="clear" w:color="auto" w:fill="FFFFFF"/>
            <w:tcMar>
              <w:top w:w="0" w:type="dxa"/>
              <w:left w:w="20" w:type="dxa"/>
              <w:bottom w:w="0" w:type="dxa"/>
              <w:right w:w="20" w:type="dxa"/>
            </w:tcMar>
            <w:vAlign w:val="center"/>
            <w:hideMark/>
          </w:tcPr>
          <w:p w14:paraId="2051C03E"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7B48DE4A" w14:textId="77777777" w:rsidR="00000000" w:rsidRDefault="00405D16">
            <w:pPr>
              <w:spacing w:after="100"/>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14:paraId="3584BFEF" w14:textId="77777777" w:rsidR="00000000" w:rsidRDefault="00405D16">
            <w:pPr>
              <w:spacing w:after="100"/>
              <w:jc w:val="right"/>
              <w:rPr>
                <w:rFonts w:eastAsia="Times New Roman"/>
              </w:rPr>
            </w:pPr>
            <w:r>
              <w:rPr>
                <w:rFonts w:eastAsia="Times New Roman"/>
                <w:b/>
                <w:bCs/>
                <w:color w:val="000000"/>
                <w:sz w:val="16"/>
                <w:szCs w:val="16"/>
              </w:rPr>
              <w:t>241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40C401D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86D8DD"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23A6EA0" w14:textId="77777777" w:rsidR="00000000" w:rsidRDefault="00405D1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76B2CFE1" w14:textId="77777777" w:rsidR="00000000" w:rsidRDefault="00405D16">
            <w:pPr>
              <w:spacing w:after="100"/>
              <w:jc w:val="right"/>
              <w:rPr>
                <w:rFonts w:eastAsia="Times New Roman"/>
              </w:rPr>
            </w:pPr>
            <w:r>
              <w:rPr>
                <w:rFonts w:eastAsia="Times New Roman"/>
                <w:color w:val="000000"/>
                <w:sz w:val="16"/>
                <w:szCs w:val="16"/>
              </w:rPr>
              <w:t>352 </w:t>
            </w:r>
          </w:p>
        </w:tc>
        <w:tc>
          <w:tcPr>
            <w:tcW w:w="0" w:type="auto"/>
            <w:shd w:val="clear" w:color="auto" w:fill="FFFFFF"/>
            <w:tcMar>
              <w:top w:w="30" w:type="dxa"/>
              <w:left w:w="0" w:type="dxa"/>
              <w:bottom w:w="30" w:type="dxa"/>
              <w:right w:w="20" w:type="dxa"/>
            </w:tcMar>
            <w:vAlign w:val="center"/>
            <w:hideMark/>
          </w:tcPr>
          <w:p w14:paraId="44DDF030" w14:textId="77777777" w:rsidR="00000000" w:rsidRDefault="00405D16">
            <w:pPr>
              <w:spacing w:after="100"/>
              <w:jc w:val="right"/>
              <w:rPr>
                <w:rFonts w:eastAsia="Times New Roman"/>
              </w:rPr>
            </w:pPr>
          </w:p>
        </w:tc>
      </w:tr>
      <w:tr w:rsidR="00000000" w14:paraId="0E82DAF3" w14:textId="77777777">
        <w:trPr>
          <w:divId w:val="1888026646"/>
          <w:jc w:val="center"/>
        </w:trPr>
        <w:tc>
          <w:tcPr>
            <w:tcW w:w="0" w:type="auto"/>
            <w:gridSpan w:val="3"/>
            <w:shd w:val="clear" w:color="auto" w:fill="CCEEFF"/>
            <w:tcMar>
              <w:top w:w="30" w:type="dxa"/>
              <w:left w:w="20" w:type="dxa"/>
              <w:bottom w:w="30" w:type="dxa"/>
              <w:right w:w="20" w:type="dxa"/>
            </w:tcMar>
            <w:vAlign w:val="center"/>
            <w:hideMark/>
          </w:tcPr>
          <w:p w14:paraId="6498C550" w14:textId="77777777" w:rsidR="00000000" w:rsidRDefault="00405D16">
            <w:pPr>
              <w:spacing w:after="100"/>
              <w:rPr>
                <w:rFonts w:eastAsia="Times New Roman"/>
              </w:rPr>
            </w:pPr>
            <w:r>
              <w:rPr>
                <w:rFonts w:eastAsia="Times New Roman"/>
                <w:color w:val="000000"/>
                <w:sz w:val="16"/>
                <w:szCs w:val="16"/>
              </w:rPr>
              <w:t>Deposits:</w:t>
            </w:r>
          </w:p>
        </w:tc>
        <w:tc>
          <w:tcPr>
            <w:tcW w:w="0" w:type="auto"/>
            <w:gridSpan w:val="3"/>
            <w:shd w:val="clear" w:color="auto" w:fill="CCEEFF"/>
            <w:tcMar>
              <w:top w:w="0" w:type="dxa"/>
              <w:left w:w="20" w:type="dxa"/>
              <w:bottom w:w="0" w:type="dxa"/>
              <w:right w:w="20" w:type="dxa"/>
            </w:tcMar>
            <w:vAlign w:val="center"/>
            <w:hideMark/>
          </w:tcPr>
          <w:p w14:paraId="53D67264"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EF487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BC94F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AA9780" w14:textId="77777777" w:rsidR="00000000" w:rsidRDefault="00405D16">
            <w:pPr>
              <w:spacing w:after="100"/>
              <w:rPr>
                <w:rFonts w:eastAsia="Times New Roman"/>
                <w:sz w:val="20"/>
                <w:szCs w:val="20"/>
              </w:rPr>
            </w:pPr>
          </w:p>
        </w:tc>
      </w:tr>
      <w:tr w:rsidR="00000000" w14:paraId="44547090" w14:textId="77777777">
        <w:trPr>
          <w:divId w:val="1888026646"/>
          <w:jc w:val="center"/>
        </w:trPr>
        <w:tc>
          <w:tcPr>
            <w:tcW w:w="0" w:type="auto"/>
            <w:gridSpan w:val="3"/>
            <w:shd w:val="clear" w:color="auto" w:fill="FFFFFF"/>
            <w:tcMar>
              <w:top w:w="30" w:type="dxa"/>
              <w:left w:w="245" w:type="dxa"/>
              <w:bottom w:w="30" w:type="dxa"/>
              <w:right w:w="20" w:type="dxa"/>
            </w:tcMar>
            <w:vAlign w:val="center"/>
            <w:hideMark/>
          </w:tcPr>
          <w:p w14:paraId="4D1660C3" w14:textId="77777777" w:rsidR="00000000" w:rsidRDefault="00405D16">
            <w:pPr>
              <w:spacing w:after="100"/>
              <w:rPr>
                <w:rFonts w:eastAsia="Times New Roman"/>
              </w:rPr>
            </w:pPr>
            <w:r>
              <w:rPr>
                <w:rFonts w:eastAsia="Times New Roman"/>
                <w:color w:val="000000"/>
                <w:sz w:val="16"/>
                <w:szCs w:val="16"/>
              </w:rPr>
              <w:t>Non-interest-bearing deposits</w:t>
            </w:r>
          </w:p>
        </w:tc>
        <w:tc>
          <w:tcPr>
            <w:tcW w:w="0" w:type="auto"/>
            <w:gridSpan w:val="3"/>
            <w:shd w:val="clear" w:color="auto" w:fill="FFFFFF"/>
            <w:tcMar>
              <w:top w:w="0" w:type="dxa"/>
              <w:left w:w="20" w:type="dxa"/>
              <w:bottom w:w="0" w:type="dxa"/>
              <w:right w:w="20" w:type="dxa"/>
            </w:tcMar>
            <w:vAlign w:val="center"/>
            <w:hideMark/>
          </w:tcPr>
          <w:p w14:paraId="6E8AF36D"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3A98D96" w14:textId="77777777" w:rsidR="00000000" w:rsidRDefault="00405D16">
            <w:pPr>
              <w:spacing w:after="100"/>
              <w:jc w:val="right"/>
              <w:rPr>
                <w:rFonts w:eastAsia="Times New Roman"/>
              </w:rPr>
            </w:pPr>
            <w:r>
              <w:rPr>
                <w:rFonts w:eastAsia="Times New Roman"/>
                <w:b/>
                <w:bCs/>
                <w:color w:val="000000"/>
                <w:sz w:val="16"/>
                <w:szCs w:val="16"/>
              </w:rPr>
              <w:t>36,804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7AA9B06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E10B0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670DA99" w14:textId="77777777" w:rsidR="00000000" w:rsidRDefault="00405D16">
            <w:pPr>
              <w:spacing w:after="100"/>
              <w:jc w:val="right"/>
              <w:rPr>
                <w:rFonts w:eastAsia="Times New Roman"/>
              </w:rPr>
            </w:pPr>
            <w:r>
              <w:rPr>
                <w:rFonts w:eastAsia="Times New Roman"/>
                <w:color w:val="000000"/>
                <w:sz w:val="16"/>
                <w:szCs w:val="16"/>
              </w:rPr>
              <w:t>31,142 </w:t>
            </w:r>
          </w:p>
        </w:tc>
        <w:tc>
          <w:tcPr>
            <w:tcW w:w="0" w:type="auto"/>
            <w:shd w:val="clear" w:color="auto" w:fill="FFFFFF"/>
            <w:tcMar>
              <w:top w:w="30" w:type="dxa"/>
              <w:left w:w="0" w:type="dxa"/>
              <w:bottom w:w="30" w:type="dxa"/>
              <w:right w:w="20" w:type="dxa"/>
            </w:tcMar>
            <w:vAlign w:val="center"/>
            <w:hideMark/>
          </w:tcPr>
          <w:p w14:paraId="327EC4E6" w14:textId="77777777" w:rsidR="00000000" w:rsidRDefault="00405D16">
            <w:pPr>
              <w:spacing w:after="100"/>
              <w:jc w:val="right"/>
              <w:rPr>
                <w:rFonts w:eastAsia="Times New Roman"/>
              </w:rPr>
            </w:pPr>
          </w:p>
        </w:tc>
      </w:tr>
      <w:tr w:rsidR="00000000" w14:paraId="2661980E" w14:textId="77777777">
        <w:trPr>
          <w:divId w:val="1888026646"/>
          <w:jc w:val="center"/>
        </w:trPr>
        <w:tc>
          <w:tcPr>
            <w:tcW w:w="0" w:type="auto"/>
            <w:gridSpan w:val="3"/>
            <w:shd w:val="clear" w:color="auto" w:fill="CCEEFF"/>
            <w:tcMar>
              <w:top w:w="30" w:type="dxa"/>
              <w:left w:w="245" w:type="dxa"/>
              <w:bottom w:w="30" w:type="dxa"/>
              <w:right w:w="20" w:type="dxa"/>
            </w:tcMar>
            <w:vAlign w:val="center"/>
            <w:hideMark/>
          </w:tcPr>
          <w:p w14:paraId="766F2950" w14:textId="77777777" w:rsidR="00000000" w:rsidRDefault="00405D16">
            <w:pPr>
              <w:spacing w:after="100"/>
              <w:rPr>
                <w:rFonts w:eastAsia="Times New Roman"/>
              </w:rPr>
            </w:pPr>
            <w:r>
              <w:rPr>
                <w:rFonts w:eastAsia="Times New Roman"/>
                <w:color w:val="000000"/>
                <w:sz w:val="16"/>
                <w:szCs w:val="16"/>
              </w:rPr>
              <w:t>Interest-bearing deposits</w:t>
            </w:r>
          </w:p>
        </w:tc>
        <w:tc>
          <w:tcPr>
            <w:tcW w:w="0" w:type="auto"/>
            <w:gridSpan w:val="3"/>
            <w:shd w:val="clear" w:color="auto" w:fill="CCEEFF"/>
            <w:tcMar>
              <w:top w:w="0" w:type="dxa"/>
              <w:left w:w="20" w:type="dxa"/>
              <w:bottom w:w="0" w:type="dxa"/>
              <w:right w:w="20" w:type="dxa"/>
            </w:tcMar>
            <w:vAlign w:val="center"/>
            <w:hideMark/>
          </w:tcPr>
          <w:p w14:paraId="2190DC93"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D6AA647" w14:textId="77777777" w:rsidR="00000000" w:rsidRDefault="00405D16">
            <w:pPr>
              <w:spacing w:after="100"/>
              <w:jc w:val="right"/>
              <w:rPr>
                <w:rFonts w:eastAsia="Times New Roman"/>
              </w:rPr>
            </w:pPr>
            <w:r>
              <w:rPr>
                <w:rFonts w:eastAsia="Times New Roman"/>
                <w:b/>
                <w:bCs/>
                <w:color w:val="000000"/>
                <w:sz w:val="16"/>
                <w:szCs w:val="16"/>
              </w:rPr>
              <w:t>269,134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0F79D87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71616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8B2C460" w14:textId="77777777" w:rsidR="00000000" w:rsidRDefault="00405D16">
            <w:pPr>
              <w:spacing w:after="100"/>
              <w:jc w:val="right"/>
              <w:rPr>
                <w:rFonts w:eastAsia="Times New Roman"/>
              </w:rPr>
            </w:pPr>
            <w:r>
              <w:rPr>
                <w:rFonts w:eastAsia="Times New Roman"/>
                <w:color w:val="000000"/>
                <w:sz w:val="16"/>
                <w:szCs w:val="16"/>
              </w:rPr>
              <w:t>274,300 </w:t>
            </w:r>
          </w:p>
        </w:tc>
        <w:tc>
          <w:tcPr>
            <w:tcW w:w="0" w:type="auto"/>
            <w:shd w:val="clear" w:color="auto" w:fill="CCEEFF"/>
            <w:tcMar>
              <w:top w:w="30" w:type="dxa"/>
              <w:left w:w="0" w:type="dxa"/>
              <w:bottom w:w="30" w:type="dxa"/>
              <w:right w:w="20" w:type="dxa"/>
            </w:tcMar>
            <w:vAlign w:val="center"/>
            <w:hideMark/>
          </w:tcPr>
          <w:p w14:paraId="6D24586F" w14:textId="77777777" w:rsidR="00000000" w:rsidRDefault="00405D16">
            <w:pPr>
              <w:spacing w:after="100"/>
              <w:jc w:val="right"/>
              <w:rPr>
                <w:rFonts w:eastAsia="Times New Roman"/>
              </w:rPr>
            </w:pPr>
          </w:p>
        </w:tc>
      </w:tr>
      <w:tr w:rsidR="00000000" w14:paraId="6FE395D8" w14:textId="77777777">
        <w:trPr>
          <w:divId w:val="1888026646"/>
          <w:jc w:val="center"/>
        </w:trPr>
        <w:tc>
          <w:tcPr>
            <w:tcW w:w="0" w:type="auto"/>
            <w:gridSpan w:val="3"/>
            <w:shd w:val="clear" w:color="auto" w:fill="FFFFFF"/>
            <w:tcMar>
              <w:top w:w="30" w:type="dxa"/>
              <w:left w:w="20" w:type="dxa"/>
              <w:bottom w:w="30" w:type="dxa"/>
              <w:right w:w="20" w:type="dxa"/>
            </w:tcMar>
            <w:vAlign w:val="center"/>
            <w:hideMark/>
          </w:tcPr>
          <w:p w14:paraId="09132323" w14:textId="77777777" w:rsidR="00000000" w:rsidRDefault="00405D16">
            <w:pPr>
              <w:spacing w:after="100"/>
              <w:rPr>
                <w:rFonts w:eastAsia="Times New Roman"/>
              </w:rPr>
            </w:pPr>
            <w:r>
              <w:rPr>
                <w:rFonts w:eastAsia="Times New Roman"/>
                <w:color w:val="000000"/>
                <w:sz w:val="16"/>
                <w:szCs w:val="16"/>
              </w:rPr>
              <w:t>Total deposits</w:t>
            </w:r>
          </w:p>
        </w:tc>
        <w:tc>
          <w:tcPr>
            <w:tcW w:w="0" w:type="auto"/>
            <w:gridSpan w:val="3"/>
            <w:shd w:val="clear" w:color="auto" w:fill="FFFFFF"/>
            <w:tcMar>
              <w:top w:w="0" w:type="dxa"/>
              <w:left w:w="20" w:type="dxa"/>
              <w:bottom w:w="0" w:type="dxa"/>
              <w:right w:w="20" w:type="dxa"/>
            </w:tcMar>
            <w:vAlign w:val="center"/>
            <w:hideMark/>
          </w:tcPr>
          <w:p w14:paraId="3E37A538"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7CA3553" w14:textId="77777777" w:rsidR="00000000" w:rsidRDefault="00405D16">
            <w:pPr>
              <w:spacing w:after="100"/>
              <w:jc w:val="right"/>
              <w:rPr>
                <w:rFonts w:eastAsia="Times New Roman"/>
              </w:rPr>
            </w:pPr>
            <w:r>
              <w:rPr>
                <w:rFonts w:eastAsia="Times New Roman"/>
                <w:b/>
                <w:bCs/>
                <w:color w:val="000000"/>
                <w:sz w:val="16"/>
                <w:szCs w:val="16"/>
              </w:rPr>
              <w:t>305,938</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36CA52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0836D0"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82B9025" w14:textId="77777777" w:rsidR="00000000" w:rsidRDefault="00405D16">
            <w:pPr>
              <w:spacing w:after="100"/>
              <w:jc w:val="right"/>
              <w:rPr>
                <w:rFonts w:eastAsia="Times New Roman"/>
              </w:rPr>
            </w:pPr>
            <w:r>
              <w:rPr>
                <w:rFonts w:eastAsia="Times New Roman"/>
                <w:color w:val="000000"/>
                <w:sz w:val="16"/>
                <w:szCs w:val="16"/>
              </w:rPr>
              <w:t>305,442 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A45B954" w14:textId="77777777" w:rsidR="00000000" w:rsidRDefault="00405D16">
            <w:pPr>
              <w:spacing w:after="100"/>
              <w:jc w:val="right"/>
              <w:rPr>
                <w:rFonts w:eastAsia="Times New Roman"/>
              </w:rPr>
            </w:pPr>
          </w:p>
        </w:tc>
      </w:tr>
      <w:tr w:rsidR="00000000" w14:paraId="29547ACF" w14:textId="77777777">
        <w:trPr>
          <w:divId w:val="1888026646"/>
          <w:jc w:val="center"/>
        </w:trPr>
        <w:tc>
          <w:tcPr>
            <w:tcW w:w="0" w:type="auto"/>
            <w:gridSpan w:val="3"/>
            <w:shd w:val="clear" w:color="auto" w:fill="CCEEFF"/>
            <w:tcMar>
              <w:top w:w="30" w:type="dxa"/>
              <w:left w:w="20" w:type="dxa"/>
              <w:bottom w:w="30" w:type="dxa"/>
              <w:right w:w="20" w:type="dxa"/>
            </w:tcMar>
            <w:vAlign w:val="center"/>
            <w:hideMark/>
          </w:tcPr>
          <w:p w14:paraId="08F86081" w14:textId="77777777" w:rsidR="00000000" w:rsidRDefault="00405D16">
            <w:pPr>
              <w:spacing w:after="100"/>
              <w:rPr>
                <w:rFonts w:eastAsia="Times New Roman"/>
              </w:rPr>
            </w:pPr>
            <w:r>
              <w:rPr>
                <w:rFonts w:eastAsia="Times New Roman"/>
                <w:color w:val="000000"/>
                <w:sz w:val="16"/>
                <w:szCs w:val="16"/>
              </w:rPr>
              <w:t>Securitized debt obligations</w:t>
            </w:r>
          </w:p>
        </w:tc>
        <w:tc>
          <w:tcPr>
            <w:tcW w:w="0" w:type="auto"/>
            <w:gridSpan w:val="3"/>
            <w:shd w:val="clear" w:color="auto" w:fill="CCEEFF"/>
            <w:tcMar>
              <w:top w:w="0" w:type="dxa"/>
              <w:left w:w="20" w:type="dxa"/>
              <w:bottom w:w="0" w:type="dxa"/>
              <w:right w:w="20" w:type="dxa"/>
            </w:tcMar>
            <w:vAlign w:val="center"/>
            <w:hideMark/>
          </w:tcPr>
          <w:p w14:paraId="3B9AF108"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21D9447" w14:textId="77777777" w:rsidR="00000000" w:rsidRDefault="00405D16">
            <w:pPr>
              <w:spacing w:after="100"/>
              <w:jc w:val="right"/>
              <w:rPr>
                <w:rFonts w:eastAsia="Times New Roman"/>
              </w:rPr>
            </w:pPr>
            <w:r>
              <w:rPr>
                <w:rFonts w:eastAsia="Times New Roman"/>
                <w:b/>
                <w:bCs/>
                <w:color w:val="000000"/>
                <w:sz w:val="16"/>
                <w:szCs w:val="16"/>
              </w:rPr>
              <w:t>12,635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03CE2F8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0114D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C889586" w14:textId="77777777" w:rsidR="00000000" w:rsidRDefault="00405D16">
            <w:pPr>
              <w:spacing w:after="100"/>
              <w:jc w:val="right"/>
              <w:rPr>
                <w:rFonts w:eastAsia="Times New Roman"/>
              </w:rPr>
            </w:pPr>
            <w:r>
              <w:rPr>
                <w:rFonts w:eastAsia="Times New Roman"/>
                <w:color w:val="000000"/>
                <w:sz w:val="16"/>
                <w:szCs w:val="16"/>
              </w:rPr>
              <w:t>12,414 </w:t>
            </w:r>
          </w:p>
        </w:tc>
        <w:tc>
          <w:tcPr>
            <w:tcW w:w="0" w:type="auto"/>
            <w:shd w:val="clear" w:color="auto" w:fill="CCEEFF"/>
            <w:tcMar>
              <w:top w:w="30" w:type="dxa"/>
              <w:left w:w="0" w:type="dxa"/>
              <w:bottom w:w="30" w:type="dxa"/>
              <w:right w:w="20" w:type="dxa"/>
            </w:tcMar>
            <w:vAlign w:val="center"/>
            <w:hideMark/>
          </w:tcPr>
          <w:p w14:paraId="1EDD42B2" w14:textId="77777777" w:rsidR="00000000" w:rsidRDefault="00405D16">
            <w:pPr>
              <w:spacing w:after="100"/>
              <w:jc w:val="right"/>
              <w:rPr>
                <w:rFonts w:eastAsia="Times New Roman"/>
              </w:rPr>
            </w:pPr>
          </w:p>
        </w:tc>
      </w:tr>
      <w:tr w:rsidR="00000000" w14:paraId="6258591A" w14:textId="77777777">
        <w:trPr>
          <w:divId w:val="1888026646"/>
          <w:jc w:val="center"/>
        </w:trPr>
        <w:tc>
          <w:tcPr>
            <w:tcW w:w="0" w:type="auto"/>
            <w:gridSpan w:val="3"/>
            <w:shd w:val="clear" w:color="auto" w:fill="FFFFFF"/>
            <w:tcMar>
              <w:top w:w="30" w:type="dxa"/>
              <w:left w:w="20" w:type="dxa"/>
              <w:bottom w:w="30" w:type="dxa"/>
              <w:right w:w="20" w:type="dxa"/>
            </w:tcMar>
            <w:vAlign w:val="center"/>
            <w:hideMark/>
          </w:tcPr>
          <w:p w14:paraId="28F8305E" w14:textId="77777777" w:rsidR="00000000" w:rsidRDefault="00405D16">
            <w:pPr>
              <w:spacing w:after="100"/>
              <w:rPr>
                <w:rFonts w:eastAsia="Times New Roman"/>
              </w:rPr>
            </w:pPr>
            <w:r>
              <w:rPr>
                <w:rFonts w:eastAsia="Times New Roman"/>
                <w:color w:val="000000"/>
                <w:sz w:val="16"/>
                <w:szCs w:val="16"/>
              </w:rPr>
              <w:t>Other debt:</w:t>
            </w:r>
          </w:p>
        </w:tc>
        <w:tc>
          <w:tcPr>
            <w:tcW w:w="0" w:type="auto"/>
            <w:gridSpan w:val="3"/>
            <w:shd w:val="clear" w:color="auto" w:fill="FFFFFF"/>
            <w:tcMar>
              <w:top w:w="0" w:type="dxa"/>
              <w:left w:w="20" w:type="dxa"/>
              <w:bottom w:w="0" w:type="dxa"/>
              <w:right w:w="20" w:type="dxa"/>
            </w:tcMar>
            <w:vAlign w:val="center"/>
            <w:hideMark/>
          </w:tcPr>
          <w:p w14:paraId="54643F78"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E3B6B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E52EF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47CB8A" w14:textId="77777777" w:rsidR="00000000" w:rsidRDefault="00405D16">
            <w:pPr>
              <w:spacing w:after="100"/>
              <w:rPr>
                <w:rFonts w:eastAsia="Times New Roman"/>
                <w:sz w:val="20"/>
                <w:szCs w:val="20"/>
              </w:rPr>
            </w:pPr>
          </w:p>
        </w:tc>
      </w:tr>
      <w:tr w:rsidR="00000000" w14:paraId="25AAF970" w14:textId="77777777">
        <w:trPr>
          <w:divId w:val="1888026646"/>
          <w:jc w:val="center"/>
        </w:trPr>
        <w:tc>
          <w:tcPr>
            <w:tcW w:w="0" w:type="auto"/>
            <w:gridSpan w:val="3"/>
            <w:shd w:val="clear" w:color="auto" w:fill="CCEEFF"/>
            <w:tcMar>
              <w:top w:w="30" w:type="dxa"/>
              <w:left w:w="245" w:type="dxa"/>
              <w:bottom w:w="30" w:type="dxa"/>
              <w:right w:w="20" w:type="dxa"/>
            </w:tcMar>
            <w:vAlign w:val="center"/>
            <w:hideMark/>
          </w:tcPr>
          <w:p w14:paraId="725F30D4" w14:textId="77777777" w:rsidR="00000000" w:rsidRDefault="00405D16">
            <w:pPr>
              <w:spacing w:after="100"/>
              <w:rPr>
                <w:rFonts w:eastAsia="Times New Roman"/>
              </w:rPr>
            </w:pPr>
            <w:r>
              <w:rPr>
                <w:rFonts w:eastAsia="Times New Roman"/>
                <w:color w:val="000000"/>
                <w:sz w:val="16"/>
                <w:szCs w:val="16"/>
              </w:rPr>
              <w:t>Federal funds purchased and securities loaned or sold under agreements to repurchase</w:t>
            </w:r>
          </w:p>
        </w:tc>
        <w:tc>
          <w:tcPr>
            <w:tcW w:w="0" w:type="auto"/>
            <w:gridSpan w:val="3"/>
            <w:shd w:val="clear" w:color="auto" w:fill="CCEEFF"/>
            <w:tcMar>
              <w:top w:w="0" w:type="dxa"/>
              <w:left w:w="20" w:type="dxa"/>
              <w:bottom w:w="0" w:type="dxa"/>
              <w:right w:w="20" w:type="dxa"/>
            </w:tcMar>
            <w:vAlign w:val="center"/>
            <w:hideMark/>
          </w:tcPr>
          <w:p w14:paraId="48E134EB"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2B7F79D" w14:textId="77777777" w:rsidR="00000000" w:rsidRDefault="00405D16">
            <w:pPr>
              <w:spacing w:after="100"/>
              <w:jc w:val="right"/>
              <w:rPr>
                <w:rFonts w:eastAsia="Times New Roman"/>
              </w:rPr>
            </w:pPr>
            <w:r>
              <w:rPr>
                <w:rFonts w:eastAsia="Times New Roman"/>
                <w:b/>
                <w:bCs/>
                <w:color w:val="000000"/>
                <w:sz w:val="16"/>
                <w:szCs w:val="16"/>
              </w:rPr>
              <w:t>825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66A2E62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642EC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8635326" w14:textId="77777777" w:rsidR="00000000" w:rsidRDefault="00405D16">
            <w:pPr>
              <w:spacing w:after="100"/>
              <w:jc w:val="right"/>
              <w:rPr>
                <w:rFonts w:eastAsia="Times New Roman"/>
              </w:rPr>
            </w:pPr>
            <w:r>
              <w:rPr>
                <w:rFonts w:eastAsia="Times New Roman"/>
                <w:color w:val="000000"/>
                <w:sz w:val="16"/>
                <w:szCs w:val="16"/>
              </w:rPr>
              <w:t>668 </w:t>
            </w:r>
          </w:p>
        </w:tc>
        <w:tc>
          <w:tcPr>
            <w:tcW w:w="0" w:type="auto"/>
            <w:shd w:val="clear" w:color="auto" w:fill="CCEEFF"/>
            <w:tcMar>
              <w:top w:w="30" w:type="dxa"/>
              <w:left w:w="0" w:type="dxa"/>
              <w:bottom w:w="30" w:type="dxa"/>
              <w:right w:w="20" w:type="dxa"/>
            </w:tcMar>
            <w:vAlign w:val="center"/>
            <w:hideMark/>
          </w:tcPr>
          <w:p w14:paraId="05799DE4" w14:textId="77777777" w:rsidR="00000000" w:rsidRDefault="00405D16">
            <w:pPr>
              <w:spacing w:after="100"/>
              <w:jc w:val="right"/>
              <w:rPr>
                <w:rFonts w:eastAsia="Times New Roman"/>
              </w:rPr>
            </w:pPr>
          </w:p>
        </w:tc>
      </w:tr>
      <w:tr w:rsidR="00000000" w14:paraId="0151F2BB" w14:textId="77777777">
        <w:trPr>
          <w:divId w:val="1888026646"/>
          <w:jc w:val="center"/>
        </w:trPr>
        <w:tc>
          <w:tcPr>
            <w:tcW w:w="0" w:type="auto"/>
            <w:gridSpan w:val="3"/>
            <w:shd w:val="clear" w:color="auto" w:fill="FFFFFF"/>
            <w:tcMar>
              <w:top w:w="30" w:type="dxa"/>
              <w:left w:w="245" w:type="dxa"/>
              <w:bottom w:w="30" w:type="dxa"/>
              <w:right w:w="20" w:type="dxa"/>
            </w:tcMar>
            <w:vAlign w:val="center"/>
            <w:hideMark/>
          </w:tcPr>
          <w:p w14:paraId="2B300DB6" w14:textId="77777777" w:rsidR="00000000" w:rsidRDefault="00405D16">
            <w:pPr>
              <w:spacing w:after="100"/>
              <w:rPr>
                <w:rFonts w:eastAsia="Times New Roman"/>
              </w:rPr>
            </w:pPr>
            <w:r>
              <w:rPr>
                <w:rFonts w:eastAsia="Times New Roman"/>
                <w:color w:val="000000"/>
                <w:sz w:val="16"/>
                <w:szCs w:val="16"/>
              </w:rPr>
              <w:t>Senior and subordinated notes</w:t>
            </w:r>
          </w:p>
        </w:tc>
        <w:tc>
          <w:tcPr>
            <w:tcW w:w="0" w:type="auto"/>
            <w:gridSpan w:val="3"/>
            <w:shd w:val="clear" w:color="auto" w:fill="FFFFFF"/>
            <w:tcMar>
              <w:top w:w="0" w:type="dxa"/>
              <w:left w:w="20" w:type="dxa"/>
              <w:bottom w:w="0" w:type="dxa"/>
              <w:right w:w="20" w:type="dxa"/>
            </w:tcMar>
            <w:vAlign w:val="center"/>
            <w:hideMark/>
          </w:tcPr>
          <w:p w14:paraId="6D8AD8A7"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2A68132" w14:textId="77777777" w:rsidR="00000000" w:rsidRDefault="00405D16">
            <w:pPr>
              <w:spacing w:after="100"/>
              <w:jc w:val="right"/>
              <w:rPr>
                <w:rFonts w:eastAsia="Times New Roman"/>
              </w:rPr>
            </w:pPr>
            <w:r>
              <w:rPr>
                <w:rFonts w:eastAsia="Times New Roman"/>
                <w:b/>
                <w:bCs/>
                <w:color w:val="000000"/>
                <w:sz w:val="16"/>
                <w:szCs w:val="16"/>
              </w:rPr>
              <w:t>23,983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48B71ED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265F5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F238F07" w14:textId="77777777" w:rsidR="00000000" w:rsidRDefault="00405D16">
            <w:pPr>
              <w:spacing w:after="100"/>
              <w:jc w:val="right"/>
              <w:rPr>
                <w:rFonts w:eastAsia="Times New Roman"/>
              </w:rPr>
            </w:pPr>
            <w:r>
              <w:rPr>
                <w:rFonts w:eastAsia="Times New Roman"/>
                <w:color w:val="000000"/>
                <w:sz w:val="16"/>
                <w:szCs w:val="16"/>
              </w:rPr>
              <w:t>27,382 </w:t>
            </w:r>
          </w:p>
        </w:tc>
        <w:tc>
          <w:tcPr>
            <w:tcW w:w="0" w:type="auto"/>
            <w:shd w:val="clear" w:color="auto" w:fill="FFFFFF"/>
            <w:tcMar>
              <w:top w:w="30" w:type="dxa"/>
              <w:left w:w="0" w:type="dxa"/>
              <w:bottom w:w="30" w:type="dxa"/>
              <w:right w:w="20" w:type="dxa"/>
            </w:tcMar>
            <w:vAlign w:val="center"/>
            <w:hideMark/>
          </w:tcPr>
          <w:p w14:paraId="5232C8E6" w14:textId="77777777" w:rsidR="00000000" w:rsidRDefault="00405D16">
            <w:pPr>
              <w:spacing w:after="100"/>
              <w:jc w:val="right"/>
              <w:rPr>
                <w:rFonts w:eastAsia="Times New Roman"/>
              </w:rPr>
            </w:pPr>
          </w:p>
        </w:tc>
      </w:tr>
      <w:tr w:rsidR="00000000" w14:paraId="28F4EDA0" w14:textId="77777777">
        <w:trPr>
          <w:divId w:val="1888026646"/>
          <w:jc w:val="center"/>
        </w:trPr>
        <w:tc>
          <w:tcPr>
            <w:tcW w:w="0" w:type="auto"/>
            <w:gridSpan w:val="3"/>
            <w:shd w:val="clear" w:color="auto" w:fill="CCEEFF"/>
            <w:tcMar>
              <w:top w:w="30" w:type="dxa"/>
              <w:left w:w="245" w:type="dxa"/>
              <w:bottom w:w="30" w:type="dxa"/>
              <w:right w:w="20" w:type="dxa"/>
            </w:tcMar>
            <w:vAlign w:val="center"/>
            <w:hideMark/>
          </w:tcPr>
          <w:p w14:paraId="3FD994E0" w14:textId="77777777" w:rsidR="00000000" w:rsidRDefault="00405D16">
            <w:pPr>
              <w:spacing w:after="100"/>
              <w:rPr>
                <w:rFonts w:eastAsia="Times New Roman"/>
              </w:rPr>
            </w:pPr>
            <w:r>
              <w:rPr>
                <w:rFonts w:eastAsia="Times New Roman"/>
                <w:color w:val="000000"/>
                <w:sz w:val="16"/>
                <w:szCs w:val="16"/>
              </w:rPr>
              <w:t>Other borrowings</w:t>
            </w:r>
          </w:p>
        </w:tc>
        <w:tc>
          <w:tcPr>
            <w:tcW w:w="0" w:type="auto"/>
            <w:gridSpan w:val="3"/>
            <w:shd w:val="clear" w:color="auto" w:fill="CCEEFF"/>
            <w:tcMar>
              <w:top w:w="0" w:type="dxa"/>
              <w:left w:w="20" w:type="dxa"/>
              <w:bottom w:w="0" w:type="dxa"/>
              <w:right w:w="20" w:type="dxa"/>
            </w:tcMar>
            <w:vAlign w:val="center"/>
            <w:hideMark/>
          </w:tcPr>
          <w:p w14:paraId="19311DE9"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C552BFE" w14:textId="77777777" w:rsidR="00000000" w:rsidRDefault="00405D16">
            <w:pPr>
              <w:spacing w:after="100"/>
              <w:jc w:val="right"/>
              <w:rPr>
                <w:rFonts w:eastAsia="Times New Roman"/>
              </w:rPr>
            </w:pPr>
            <w:r>
              <w:rPr>
                <w:rFonts w:eastAsia="Times New Roman"/>
                <w:b/>
                <w:bCs/>
                <w:color w:val="000000"/>
                <w:sz w:val="16"/>
                <w:szCs w:val="16"/>
              </w:rPr>
              <w:t>58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3A85798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940A1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3549463" w14:textId="77777777" w:rsidR="00000000" w:rsidRDefault="00405D16">
            <w:pPr>
              <w:spacing w:after="100"/>
              <w:jc w:val="right"/>
              <w:rPr>
                <w:rFonts w:eastAsia="Times New Roman"/>
              </w:rPr>
            </w:pPr>
            <w:r>
              <w:rPr>
                <w:rFonts w:eastAsia="Times New Roman"/>
                <w:color w:val="000000"/>
                <w:sz w:val="16"/>
                <w:szCs w:val="16"/>
              </w:rPr>
              <w:t>75 </w:t>
            </w:r>
          </w:p>
        </w:tc>
        <w:tc>
          <w:tcPr>
            <w:tcW w:w="0" w:type="auto"/>
            <w:shd w:val="clear" w:color="auto" w:fill="CCEEFF"/>
            <w:tcMar>
              <w:top w:w="30" w:type="dxa"/>
              <w:left w:w="0" w:type="dxa"/>
              <w:bottom w:w="30" w:type="dxa"/>
              <w:right w:w="20" w:type="dxa"/>
            </w:tcMar>
            <w:vAlign w:val="center"/>
            <w:hideMark/>
          </w:tcPr>
          <w:p w14:paraId="7ECD66FD" w14:textId="77777777" w:rsidR="00000000" w:rsidRDefault="00405D16">
            <w:pPr>
              <w:spacing w:after="100"/>
              <w:jc w:val="right"/>
              <w:rPr>
                <w:rFonts w:eastAsia="Times New Roman"/>
              </w:rPr>
            </w:pPr>
          </w:p>
        </w:tc>
      </w:tr>
      <w:tr w:rsidR="00000000" w14:paraId="06DF912A" w14:textId="77777777">
        <w:trPr>
          <w:divId w:val="1888026646"/>
          <w:jc w:val="center"/>
        </w:trPr>
        <w:tc>
          <w:tcPr>
            <w:tcW w:w="0" w:type="auto"/>
            <w:gridSpan w:val="3"/>
            <w:shd w:val="clear" w:color="auto" w:fill="FFFFFF"/>
            <w:tcMar>
              <w:top w:w="30" w:type="dxa"/>
              <w:left w:w="20" w:type="dxa"/>
              <w:bottom w:w="30" w:type="dxa"/>
              <w:right w:w="20" w:type="dxa"/>
            </w:tcMar>
            <w:vAlign w:val="center"/>
            <w:hideMark/>
          </w:tcPr>
          <w:p w14:paraId="574CD463" w14:textId="77777777" w:rsidR="00000000" w:rsidRDefault="00405D16">
            <w:pPr>
              <w:spacing w:after="100"/>
              <w:rPr>
                <w:rFonts w:eastAsia="Times New Roman"/>
              </w:rPr>
            </w:pPr>
            <w:r>
              <w:rPr>
                <w:rFonts w:eastAsia="Times New Roman"/>
                <w:color w:val="000000"/>
                <w:sz w:val="16"/>
                <w:szCs w:val="16"/>
              </w:rPr>
              <w:t>Total other debt</w:t>
            </w:r>
          </w:p>
        </w:tc>
        <w:tc>
          <w:tcPr>
            <w:tcW w:w="0" w:type="auto"/>
            <w:gridSpan w:val="3"/>
            <w:shd w:val="clear" w:color="auto" w:fill="FFFFFF"/>
            <w:tcMar>
              <w:top w:w="0" w:type="dxa"/>
              <w:left w:w="20" w:type="dxa"/>
              <w:bottom w:w="0" w:type="dxa"/>
              <w:right w:w="20" w:type="dxa"/>
            </w:tcMar>
            <w:vAlign w:val="center"/>
            <w:hideMark/>
          </w:tcPr>
          <w:p w14:paraId="397CBBD2"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13E49AD" w14:textId="77777777" w:rsidR="00000000" w:rsidRDefault="00405D16">
            <w:pPr>
              <w:spacing w:after="100"/>
              <w:jc w:val="right"/>
              <w:rPr>
                <w:rFonts w:eastAsia="Times New Roman"/>
              </w:rPr>
            </w:pPr>
            <w:r>
              <w:rPr>
                <w:rFonts w:eastAsia="Times New Roman"/>
                <w:b/>
                <w:bCs/>
                <w:color w:val="000000"/>
                <w:sz w:val="16"/>
                <w:szCs w:val="16"/>
              </w:rPr>
              <w:t>24,866</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D9D11E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C5345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1750BD3" w14:textId="77777777" w:rsidR="00000000" w:rsidRDefault="00405D16">
            <w:pPr>
              <w:spacing w:after="100"/>
              <w:jc w:val="right"/>
              <w:rPr>
                <w:rFonts w:eastAsia="Times New Roman"/>
              </w:rPr>
            </w:pPr>
            <w:r>
              <w:rPr>
                <w:rFonts w:eastAsia="Times New Roman"/>
                <w:color w:val="000000"/>
                <w:sz w:val="16"/>
                <w:szCs w:val="16"/>
              </w:rPr>
              <w:t>28,125 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25375EA" w14:textId="77777777" w:rsidR="00000000" w:rsidRDefault="00405D16">
            <w:pPr>
              <w:spacing w:after="100"/>
              <w:jc w:val="right"/>
              <w:rPr>
                <w:rFonts w:eastAsia="Times New Roman"/>
              </w:rPr>
            </w:pPr>
          </w:p>
        </w:tc>
      </w:tr>
      <w:tr w:rsidR="00000000" w14:paraId="3F5D048B" w14:textId="77777777">
        <w:trPr>
          <w:divId w:val="1888026646"/>
          <w:jc w:val="center"/>
        </w:trPr>
        <w:tc>
          <w:tcPr>
            <w:tcW w:w="0" w:type="auto"/>
            <w:gridSpan w:val="3"/>
            <w:shd w:val="clear" w:color="auto" w:fill="CCEEFF"/>
            <w:tcMar>
              <w:top w:w="30" w:type="dxa"/>
              <w:left w:w="20" w:type="dxa"/>
              <w:bottom w:w="30" w:type="dxa"/>
              <w:right w:w="20" w:type="dxa"/>
            </w:tcMar>
            <w:vAlign w:val="center"/>
            <w:hideMark/>
          </w:tcPr>
          <w:p w14:paraId="49D0B52D" w14:textId="77777777" w:rsidR="00000000" w:rsidRDefault="00405D16">
            <w:pPr>
              <w:spacing w:after="100"/>
              <w:rPr>
                <w:rFonts w:eastAsia="Times New Roman"/>
              </w:rPr>
            </w:pPr>
            <w:r>
              <w:rPr>
                <w:rFonts w:eastAsia="Times New Roman"/>
                <w:color w:val="000000"/>
                <w:sz w:val="16"/>
                <w:szCs w:val="16"/>
              </w:rPr>
              <w:t>Other liabilities</w:t>
            </w:r>
          </w:p>
        </w:tc>
        <w:tc>
          <w:tcPr>
            <w:tcW w:w="0" w:type="auto"/>
            <w:gridSpan w:val="3"/>
            <w:shd w:val="clear" w:color="auto" w:fill="CCEEFF"/>
            <w:tcMar>
              <w:top w:w="0" w:type="dxa"/>
              <w:left w:w="20" w:type="dxa"/>
              <w:bottom w:w="0" w:type="dxa"/>
              <w:right w:w="20" w:type="dxa"/>
            </w:tcMar>
            <w:vAlign w:val="center"/>
            <w:hideMark/>
          </w:tcPr>
          <w:p w14:paraId="66C34CAC"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D614DB4" w14:textId="77777777" w:rsidR="00000000" w:rsidRDefault="00405D16">
            <w:pPr>
              <w:spacing w:after="100"/>
              <w:jc w:val="right"/>
              <w:rPr>
                <w:rFonts w:eastAsia="Times New Roman"/>
              </w:rPr>
            </w:pPr>
            <w:r>
              <w:rPr>
                <w:rFonts w:eastAsia="Times New Roman"/>
                <w:b/>
                <w:bCs/>
                <w:color w:val="000000"/>
                <w:sz w:val="16"/>
                <w:szCs w:val="16"/>
              </w:rPr>
              <w:t>18,153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48EEEFD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7327D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9CBB002" w14:textId="77777777" w:rsidR="00000000" w:rsidRDefault="00405D16">
            <w:pPr>
              <w:spacing w:after="100"/>
              <w:jc w:val="right"/>
              <w:rPr>
                <w:rFonts w:eastAsia="Times New Roman"/>
              </w:rPr>
            </w:pPr>
            <w:r>
              <w:rPr>
                <w:rFonts w:eastAsia="Times New Roman"/>
                <w:color w:val="000000"/>
                <w:sz w:val="16"/>
                <w:szCs w:val="16"/>
              </w:rPr>
              <w:t>15,065 </w:t>
            </w:r>
          </w:p>
        </w:tc>
        <w:tc>
          <w:tcPr>
            <w:tcW w:w="0" w:type="auto"/>
            <w:shd w:val="clear" w:color="auto" w:fill="CCEEFF"/>
            <w:tcMar>
              <w:top w:w="30" w:type="dxa"/>
              <w:left w:w="0" w:type="dxa"/>
              <w:bottom w:w="30" w:type="dxa"/>
              <w:right w:w="20" w:type="dxa"/>
            </w:tcMar>
            <w:vAlign w:val="center"/>
            <w:hideMark/>
          </w:tcPr>
          <w:p w14:paraId="662BF4D9" w14:textId="77777777" w:rsidR="00000000" w:rsidRDefault="00405D16">
            <w:pPr>
              <w:spacing w:after="100"/>
              <w:jc w:val="right"/>
              <w:rPr>
                <w:rFonts w:eastAsia="Times New Roman"/>
              </w:rPr>
            </w:pPr>
          </w:p>
        </w:tc>
      </w:tr>
      <w:tr w:rsidR="00000000" w14:paraId="7575896D" w14:textId="77777777">
        <w:trPr>
          <w:divId w:val="1888026646"/>
          <w:jc w:val="center"/>
        </w:trPr>
        <w:tc>
          <w:tcPr>
            <w:tcW w:w="0" w:type="auto"/>
            <w:gridSpan w:val="3"/>
            <w:shd w:val="clear" w:color="auto" w:fill="FFFFFF"/>
            <w:tcMar>
              <w:top w:w="30" w:type="dxa"/>
              <w:left w:w="20" w:type="dxa"/>
              <w:bottom w:w="30" w:type="dxa"/>
              <w:right w:w="20" w:type="dxa"/>
            </w:tcMar>
            <w:vAlign w:val="center"/>
            <w:hideMark/>
          </w:tcPr>
          <w:p w14:paraId="6E842EEC" w14:textId="77777777" w:rsidR="00000000" w:rsidRDefault="00405D16">
            <w:pPr>
              <w:spacing w:after="100"/>
              <w:rPr>
                <w:rFonts w:eastAsia="Times New Roman"/>
              </w:rPr>
            </w:pPr>
            <w:r>
              <w:rPr>
                <w:rFonts w:eastAsia="Times New Roman"/>
                <w:b/>
                <w:bCs/>
                <w:color w:val="000000"/>
                <w:sz w:val="16"/>
                <w:szCs w:val="16"/>
              </w:rPr>
              <w:t>Total liabilities</w:t>
            </w:r>
          </w:p>
        </w:tc>
        <w:tc>
          <w:tcPr>
            <w:tcW w:w="0" w:type="auto"/>
            <w:gridSpan w:val="3"/>
            <w:shd w:val="clear" w:color="auto" w:fill="FFFFFF"/>
            <w:tcMar>
              <w:top w:w="0" w:type="dxa"/>
              <w:left w:w="20" w:type="dxa"/>
              <w:bottom w:w="0" w:type="dxa"/>
              <w:right w:w="20" w:type="dxa"/>
            </w:tcMar>
            <w:vAlign w:val="center"/>
            <w:hideMark/>
          </w:tcPr>
          <w:p w14:paraId="6008F930"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34C7E2D" w14:textId="77777777" w:rsidR="00000000" w:rsidRDefault="00405D16">
            <w:pPr>
              <w:spacing w:after="100"/>
              <w:jc w:val="right"/>
              <w:rPr>
                <w:rFonts w:eastAsia="Times New Roman"/>
              </w:rPr>
            </w:pPr>
            <w:r>
              <w:rPr>
                <w:rFonts w:eastAsia="Times New Roman"/>
                <w:b/>
                <w:bCs/>
                <w:color w:val="000000"/>
                <w:sz w:val="16"/>
                <w:szCs w:val="16"/>
              </w:rPr>
              <w:t>361,833</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891791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DF1AAF"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D0F6F4F" w14:textId="77777777" w:rsidR="00000000" w:rsidRDefault="00405D16">
            <w:pPr>
              <w:spacing w:after="100"/>
              <w:jc w:val="right"/>
              <w:rPr>
                <w:rFonts w:eastAsia="Times New Roman"/>
              </w:rPr>
            </w:pPr>
            <w:r>
              <w:rPr>
                <w:rFonts w:eastAsia="Times New Roman"/>
                <w:color w:val="000000"/>
                <w:sz w:val="16"/>
                <w:szCs w:val="16"/>
              </w:rPr>
              <w:t>361,398 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42E0B56" w14:textId="77777777" w:rsidR="00000000" w:rsidRDefault="00405D16">
            <w:pPr>
              <w:spacing w:after="100"/>
              <w:jc w:val="right"/>
              <w:rPr>
                <w:rFonts w:eastAsia="Times New Roman"/>
              </w:rPr>
            </w:pPr>
          </w:p>
        </w:tc>
      </w:tr>
      <w:tr w:rsidR="00000000" w14:paraId="4A82BC9F" w14:textId="77777777">
        <w:trPr>
          <w:divId w:val="1888026646"/>
          <w:jc w:val="center"/>
        </w:trPr>
        <w:tc>
          <w:tcPr>
            <w:tcW w:w="0" w:type="auto"/>
            <w:gridSpan w:val="3"/>
            <w:shd w:val="clear" w:color="auto" w:fill="CCEEFF"/>
            <w:tcMar>
              <w:top w:w="30" w:type="dxa"/>
              <w:left w:w="20" w:type="dxa"/>
              <w:bottom w:w="30" w:type="dxa"/>
              <w:right w:w="20" w:type="dxa"/>
            </w:tcMar>
            <w:vAlign w:val="center"/>
            <w:hideMark/>
          </w:tcPr>
          <w:p w14:paraId="39261ABA" w14:textId="77777777" w:rsidR="00000000" w:rsidRDefault="00405D16">
            <w:pPr>
              <w:spacing w:after="100"/>
              <w:rPr>
                <w:rFonts w:eastAsia="Times New Roman"/>
              </w:rPr>
            </w:pPr>
            <w:r>
              <w:rPr>
                <w:rFonts w:eastAsia="Times New Roman"/>
                <w:color w:val="000000"/>
                <w:sz w:val="16"/>
                <w:szCs w:val="16"/>
              </w:rPr>
              <w:t>Commitments, contingencies and guarantees (see Note 13)</w:t>
            </w:r>
          </w:p>
        </w:tc>
        <w:tc>
          <w:tcPr>
            <w:tcW w:w="0" w:type="auto"/>
            <w:gridSpan w:val="3"/>
            <w:shd w:val="clear" w:color="auto" w:fill="CCEEFF"/>
            <w:tcMar>
              <w:top w:w="0" w:type="dxa"/>
              <w:left w:w="20" w:type="dxa"/>
              <w:bottom w:w="0" w:type="dxa"/>
              <w:right w:w="20" w:type="dxa"/>
            </w:tcMar>
            <w:vAlign w:val="center"/>
            <w:hideMark/>
          </w:tcPr>
          <w:p w14:paraId="05DC1C6D"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3B46A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136D2F"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550741A" w14:textId="77777777" w:rsidR="00000000" w:rsidRDefault="00405D16">
            <w:pPr>
              <w:spacing w:after="100"/>
              <w:rPr>
                <w:rFonts w:eastAsia="Times New Roman"/>
                <w:sz w:val="20"/>
                <w:szCs w:val="20"/>
              </w:rPr>
            </w:pPr>
          </w:p>
        </w:tc>
      </w:tr>
      <w:tr w:rsidR="00000000" w14:paraId="76603AAC" w14:textId="77777777">
        <w:trPr>
          <w:divId w:val="1888026646"/>
          <w:jc w:val="center"/>
        </w:trPr>
        <w:tc>
          <w:tcPr>
            <w:tcW w:w="0" w:type="auto"/>
            <w:gridSpan w:val="3"/>
            <w:shd w:val="clear" w:color="auto" w:fill="FFFFFF"/>
            <w:tcMar>
              <w:top w:w="30" w:type="dxa"/>
              <w:left w:w="20" w:type="dxa"/>
              <w:bottom w:w="30" w:type="dxa"/>
              <w:right w:w="20" w:type="dxa"/>
            </w:tcMar>
            <w:vAlign w:val="center"/>
            <w:hideMark/>
          </w:tcPr>
          <w:p w14:paraId="148AFBED" w14:textId="77777777" w:rsidR="00000000" w:rsidRDefault="00405D16">
            <w:pPr>
              <w:spacing w:after="100"/>
              <w:rPr>
                <w:rFonts w:eastAsia="Times New Roman"/>
              </w:rPr>
            </w:pPr>
            <w:r>
              <w:rPr>
                <w:rFonts w:eastAsia="Times New Roman"/>
                <w:b/>
                <w:bCs/>
                <w:color w:val="000000"/>
                <w:sz w:val="16"/>
                <w:szCs w:val="16"/>
              </w:rPr>
              <w:t>Stockholders’ equity:</w:t>
            </w:r>
          </w:p>
        </w:tc>
        <w:tc>
          <w:tcPr>
            <w:tcW w:w="0" w:type="auto"/>
            <w:gridSpan w:val="3"/>
            <w:shd w:val="clear" w:color="auto" w:fill="FFFFFF"/>
            <w:tcMar>
              <w:top w:w="0" w:type="dxa"/>
              <w:left w:w="20" w:type="dxa"/>
              <w:bottom w:w="0" w:type="dxa"/>
              <w:right w:w="20" w:type="dxa"/>
            </w:tcMar>
            <w:vAlign w:val="center"/>
            <w:hideMark/>
          </w:tcPr>
          <w:p w14:paraId="32EF769C"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A60B6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1021E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F11FDE" w14:textId="77777777" w:rsidR="00000000" w:rsidRDefault="00405D16">
            <w:pPr>
              <w:spacing w:after="100"/>
              <w:rPr>
                <w:rFonts w:eastAsia="Times New Roman"/>
                <w:sz w:val="20"/>
                <w:szCs w:val="20"/>
              </w:rPr>
            </w:pPr>
          </w:p>
        </w:tc>
      </w:tr>
      <w:tr w:rsidR="00000000" w14:paraId="7EF38FB3" w14:textId="77777777">
        <w:trPr>
          <w:divId w:val="1888026646"/>
          <w:jc w:val="center"/>
        </w:trPr>
        <w:tc>
          <w:tcPr>
            <w:tcW w:w="0" w:type="auto"/>
            <w:gridSpan w:val="3"/>
            <w:shd w:val="clear" w:color="auto" w:fill="CCEEFF"/>
            <w:tcMar>
              <w:top w:w="30" w:type="dxa"/>
              <w:left w:w="20" w:type="dxa"/>
              <w:bottom w:w="30" w:type="dxa"/>
              <w:right w:w="20" w:type="dxa"/>
            </w:tcMar>
            <w:vAlign w:val="center"/>
            <w:hideMark/>
          </w:tcPr>
          <w:p w14:paraId="64B7CD12" w14:textId="77777777" w:rsidR="00000000" w:rsidRDefault="00405D16">
            <w:pPr>
              <w:spacing w:after="100"/>
              <w:divId w:val="435172455"/>
              <w:rPr>
                <w:rFonts w:eastAsia="Times New Roman"/>
              </w:rPr>
            </w:pPr>
            <w:r>
              <w:rPr>
                <w:rFonts w:eastAsia="Times New Roman"/>
                <w:color w:val="000000"/>
                <w:sz w:val="16"/>
                <w:szCs w:val="16"/>
              </w:rPr>
              <w:t>Preferred stock (par value $0.01 per share; 50,000,000 shares authorized; 6,075,000 and 4,975,000 shares issued and outstanding as of September 30, 2021 and December 31, 2020, respectively)</w:t>
            </w:r>
          </w:p>
        </w:tc>
        <w:tc>
          <w:tcPr>
            <w:tcW w:w="0" w:type="auto"/>
            <w:gridSpan w:val="3"/>
            <w:shd w:val="clear" w:color="auto" w:fill="CCEEFF"/>
            <w:tcMar>
              <w:top w:w="0" w:type="dxa"/>
              <w:left w:w="20" w:type="dxa"/>
              <w:bottom w:w="0" w:type="dxa"/>
              <w:right w:w="20" w:type="dxa"/>
            </w:tcMar>
            <w:vAlign w:val="center"/>
            <w:hideMark/>
          </w:tcPr>
          <w:p w14:paraId="7A431DA7"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BD58201" w14:textId="77777777" w:rsidR="00000000" w:rsidRDefault="00405D16">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8E967C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3E600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F60119" w14:textId="77777777" w:rsidR="00000000" w:rsidRDefault="00405D16">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14:paraId="2494E3CA" w14:textId="77777777" w:rsidR="00000000" w:rsidRDefault="00405D16">
            <w:pPr>
              <w:spacing w:after="100"/>
              <w:jc w:val="right"/>
              <w:rPr>
                <w:rFonts w:eastAsia="Times New Roman"/>
              </w:rPr>
            </w:pPr>
          </w:p>
        </w:tc>
      </w:tr>
      <w:tr w:rsidR="00000000" w14:paraId="239C4E38" w14:textId="77777777">
        <w:trPr>
          <w:divId w:val="1888026646"/>
          <w:jc w:val="center"/>
        </w:trPr>
        <w:tc>
          <w:tcPr>
            <w:tcW w:w="0" w:type="auto"/>
            <w:gridSpan w:val="3"/>
            <w:shd w:val="clear" w:color="auto" w:fill="FFFFFF"/>
            <w:tcMar>
              <w:top w:w="30" w:type="dxa"/>
              <w:left w:w="20" w:type="dxa"/>
              <w:bottom w:w="30" w:type="dxa"/>
              <w:right w:w="20" w:type="dxa"/>
            </w:tcMar>
            <w:vAlign w:val="center"/>
            <w:hideMark/>
          </w:tcPr>
          <w:p w14:paraId="60DCC5A1" w14:textId="77777777" w:rsidR="00000000" w:rsidRDefault="00405D16">
            <w:pPr>
              <w:spacing w:after="100"/>
              <w:divId w:val="1529562855"/>
              <w:rPr>
                <w:rFonts w:eastAsia="Times New Roman"/>
              </w:rPr>
            </w:pPr>
            <w:r>
              <w:rPr>
                <w:rFonts w:eastAsia="Times New Roman"/>
                <w:color w:val="000000"/>
                <w:sz w:val="16"/>
                <w:szCs w:val="16"/>
              </w:rPr>
              <w:t>Common stock (par value $0.01 per share; 1,000,000,000 shares authorized; 684,515,909 and 679,932,837 shares issued as of September 30, 2021 and December 31, 2020, respectively; 430,375,948 and 458,972,202 shares outstanding as of September 30, 2021 and De</w:t>
            </w:r>
            <w:r>
              <w:rPr>
                <w:rFonts w:eastAsia="Times New Roman"/>
                <w:color w:val="000000"/>
                <w:sz w:val="16"/>
                <w:szCs w:val="16"/>
              </w:rPr>
              <w:t>cember 31, 2020, respectively)</w:t>
            </w:r>
          </w:p>
        </w:tc>
        <w:tc>
          <w:tcPr>
            <w:tcW w:w="0" w:type="auto"/>
            <w:gridSpan w:val="3"/>
            <w:shd w:val="clear" w:color="auto" w:fill="FFFFFF"/>
            <w:tcMar>
              <w:top w:w="0" w:type="dxa"/>
              <w:left w:w="20" w:type="dxa"/>
              <w:bottom w:w="0" w:type="dxa"/>
              <w:right w:w="20" w:type="dxa"/>
            </w:tcMar>
            <w:vAlign w:val="center"/>
            <w:hideMark/>
          </w:tcPr>
          <w:p w14:paraId="10969838"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C5A50F1" w14:textId="77777777" w:rsidR="00000000" w:rsidRDefault="00405D16">
            <w:pPr>
              <w:spacing w:after="100"/>
              <w:jc w:val="right"/>
              <w:rPr>
                <w:rFonts w:eastAsia="Times New Roman"/>
              </w:rPr>
            </w:pPr>
            <w:r>
              <w:rPr>
                <w:rFonts w:eastAsia="Times New Roman"/>
                <w:b/>
                <w:bCs/>
                <w:color w:val="000000"/>
                <w:sz w:val="16"/>
                <w:szCs w:val="16"/>
              </w:rPr>
              <w:t>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FE01B0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79773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DE6D9E" w14:textId="77777777" w:rsidR="00000000" w:rsidRDefault="00405D16">
            <w:pPr>
              <w:spacing w:after="100"/>
              <w:jc w:val="right"/>
              <w:rPr>
                <w:rFonts w:eastAsia="Times New Roman"/>
              </w:rPr>
            </w:pPr>
            <w:r>
              <w:rPr>
                <w:rFonts w:eastAsia="Times New Roman"/>
                <w:color w:val="000000"/>
                <w:sz w:val="16"/>
                <w:szCs w:val="16"/>
              </w:rPr>
              <w:t>7 </w:t>
            </w:r>
          </w:p>
        </w:tc>
        <w:tc>
          <w:tcPr>
            <w:tcW w:w="0" w:type="auto"/>
            <w:shd w:val="clear" w:color="auto" w:fill="FFFFFF"/>
            <w:tcMar>
              <w:top w:w="30" w:type="dxa"/>
              <w:left w:w="0" w:type="dxa"/>
              <w:bottom w:w="30" w:type="dxa"/>
              <w:right w:w="20" w:type="dxa"/>
            </w:tcMar>
            <w:vAlign w:val="bottom"/>
            <w:hideMark/>
          </w:tcPr>
          <w:p w14:paraId="611FFF91" w14:textId="77777777" w:rsidR="00000000" w:rsidRDefault="00405D16">
            <w:pPr>
              <w:spacing w:after="100"/>
              <w:jc w:val="right"/>
              <w:rPr>
                <w:rFonts w:eastAsia="Times New Roman"/>
              </w:rPr>
            </w:pPr>
          </w:p>
        </w:tc>
      </w:tr>
      <w:tr w:rsidR="00000000" w14:paraId="35DAF55A" w14:textId="77777777">
        <w:trPr>
          <w:divId w:val="1888026646"/>
          <w:jc w:val="center"/>
        </w:trPr>
        <w:tc>
          <w:tcPr>
            <w:tcW w:w="0" w:type="auto"/>
            <w:gridSpan w:val="3"/>
            <w:shd w:val="clear" w:color="auto" w:fill="CCEEFF"/>
            <w:tcMar>
              <w:top w:w="30" w:type="dxa"/>
              <w:left w:w="20" w:type="dxa"/>
              <w:bottom w:w="30" w:type="dxa"/>
              <w:right w:w="20" w:type="dxa"/>
            </w:tcMar>
            <w:vAlign w:val="center"/>
            <w:hideMark/>
          </w:tcPr>
          <w:p w14:paraId="3E718D71" w14:textId="77777777" w:rsidR="00000000" w:rsidRDefault="00405D16">
            <w:pPr>
              <w:spacing w:after="100"/>
              <w:rPr>
                <w:rFonts w:eastAsia="Times New Roman"/>
              </w:rPr>
            </w:pPr>
            <w:r>
              <w:rPr>
                <w:rFonts w:eastAsia="Times New Roman"/>
                <w:color w:val="000000"/>
                <w:sz w:val="16"/>
                <w:szCs w:val="16"/>
              </w:rPr>
              <w:t>Additional paid-in capital, net</w:t>
            </w:r>
          </w:p>
        </w:tc>
        <w:tc>
          <w:tcPr>
            <w:tcW w:w="0" w:type="auto"/>
            <w:gridSpan w:val="3"/>
            <w:shd w:val="clear" w:color="auto" w:fill="CCEEFF"/>
            <w:tcMar>
              <w:top w:w="0" w:type="dxa"/>
              <w:left w:w="20" w:type="dxa"/>
              <w:bottom w:w="0" w:type="dxa"/>
              <w:right w:w="20" w:type="dxa"/>
            </w:tcMar>
            <w:vAlign w:val="center"/>
            <w:hideMark/>
          </w:tcPr>
          <w:p w14:paraId="254BEC63"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CB85E9D" w14:textId="77777777" w:rsidR="00000000" w:rsidRDefault="00405D16">
            <w:pPr>
              <w:spacing w:after="100"/>
              <w:jc w:val="right"/>
              <w:rPr>
                <w:rFonts w:eastAsia="Times New Roman"/>
              </w:rPr>
            </w:pPr>
            <w:r>
              <w:rPr>
                <w:rFonts w:eastAsia="Times New Roman"/>
                <w:b/>
                <w:bCs/>
                <w:color w:val="000000"/>
                <w:sz w:val="16"/>
                <w:szCs w:val="16"/>
              </w:rPr>
              <w:t>35,051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7812A64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817B0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858E2C1" w14:textId="77777777" w:rsidR="00000000" w:rsidRDefault="00405D16">
            <w:pPr>
              <w:spacing w:after="100"/>
              <w:jc w:val="right"/>
              <w:rPr>
                <w:rFonts w:eastAsia="Times New Roman"/>
              </w:rPr>
            </w:pPr>
            <w:r>
              <w:rPr>
                <w:rFonts w:eastAsia="Times New Roman"/>
                <w:color w:val="000000"/>
                <w:sz w:val="16"/>
                <w:szCs w:val="16"/>
              </w:rPr>
              <w:t>33,480 </w:t>
            </w:r>
          </w:p>
        </w:tc>
        <w:tc>
          <w:tcPr>
            <w:tcW w:w="0" w:type="auto"/>
            <w:shd w:val="clear" w:color="auto" w:fill="CCEEFF"/>
            <w:tcMar>
              <w:top w:w="30" w:type="dxa"/>
              <w:left w:w="0" w:type="dxa"/>
              <w:bottom w:w="30" w:type="dxa"/>
              <w:right w:w="20" w:type="dxa"/>
            </w:tcMar>
            <w:vAlign w:val="center"/>
            <w:hideMark/>
          </w:tcPr>
          <w:p w14:paraId="14FFD6AA" w14:textId="77777777" w:rsidR="00000000" w:rsidRDefault="00405D16">
            <w:pPr>
              <w:spacing w:after="100"/>
              <w:jc w:val="right"/>
              <w:rPr>
                <w:rFonts w:eastAsia="Times New Roman"/>
              </w:rPr>
            </w:pPr>
          </w:p>
        </w:tc>
      </w:tr>
      <w:tr w:rsidR="00000000" w14:paraId="680C83DD" w14:textId="77777777">
        <w:trPr>
          <w:divId w:val="1888026646"/>
          <w:jc w:val="center"/>
        </w:trPr>
        <w:tc>
          <w:tcPr>
            <w:tcW w:w="0" w:type="auto"/>
            <w:gridSpan w:val="3"/>
            <w:shd w:val="clear" w:color="auto" w:fill="FFFFFF"/>
            <w:tcMar>
              <w:top w:w="30" w:type="dxa"/>
              <w:left w:w="20" w:type="dxa"/>
              <w:bottom w:w="30" w:type="dxa"/>
              <w:right w:w="20" w:type="dxa"/>
            </w:tcMar>
            <w:vAlign w:val="center"/>
            <w:hideMark/>
          </w:tcPr>
          <w:p w14:paraId="2C033D03" w14:textId="77777777" w:rsidR="00000000" w:rsidRDefault="00405D16">
            <w:pPr>
              <w:spacing w:after="100"/>
              <w:rPr>
                <w:rFonts w:eastAsia="Times New Roman"/>
              </w:rPr>
            </w:pPr>
            <w:r>
              <w:rPr>
                <w:rFonts w:eastAsia="Times New Roman"/>
                <w:color w:val="000000"/>
                <w:sz w:val="16"/>
                <w:szCs w:val="16"/>
              </w:rPr>
              <w:t>Retained earnings</w:t>
            </w:r>
          </w:p>
        </w:tc>
        <w:tc>
          <w:tcPr>
            <w:tcW w:w="0" w:type="auto"/>
            <w:gridSpan w:val="3"/>
            <w:shd w:val="clear" w:color="auto" w:fill="FFFFFF"/>
            <w:tcMar>
              <w:top w:w="0" w:type="dxa"/>
              <w:left w:w="20" w:type="dxa"/>
              <w:bottom w:w="0" w:type="dxa"/>
              <w:right w:w="20" w:type="dxa"/>
            </w:tcMar>
            <w:vAlign w:val="center"/>
            <w:hideMark/>
          </w:tcPr>
          <w:p w14:paraId="1348623A"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AECFF25" w14:textId="77777777" w:rsidR="00000000" w:rsidRDefault="00405D16">
            <w:pPr>
              <w:spacing w:after="100"/>
              <w:jc w:val="right"/>
              <w:rPr>
                <w:rFonts w:eastAsia="Times New Roman"/>
              </w:rPr>
            </w:pPr>
            <w:r>
              <w:rPr>
                <w:rFonts w:eastAsia="Times New Roman"/>
                <w:b/>
                <w:bCs/>
                <w:color w:val="000000"/>
                <w:sz w:val="16"/>
                <w:szCs w:val="16"/>
              </w:rPr>
              <w:t>48,944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5105117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7D13E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B7215F5" w14:textId="77777777" w:rsidR="00000000" w:rsidRDefault="00405D16">
            <w:pPr>
              <w:spacing w:after="100"/>
              <w:jc w:val="right"/>
              <w:rPr>
                <w:rFonts w:eastAsia="Times New Roman"/>
              </w:rPr>
            </w:pPr>
            <w:r>
              <w:rPr>
                <w:rFonts w:eastAsia="Times New Roman"/>
                <w:color w:val="000000"/>
                <w:sz w:val="16"/>
                <w:szCs w:val="16"/>
              </w:rPr>
              <w:t>40,088 </w:t>
            </w:r>
          </w:p>
        </w:tc>
        <w:tc>
          <w:tcPr>
            <w:tcW w:w="0" w:type="auto"/>
            <w:shd w:val="clear" w:color="auto" w:fill="FFFFFF"/>
            <w:tcMar>
              <w:top w:w="30" w:type="dxa"/>
              <w:left w:w="0" w:type="dxa"/>
              <w:bottom w:w="30" w:type="dxa"/>
              <w:right w:w="20" w:type="dxa"/>
            </w:tcMar>
            <w:vAlign w:val="center"/>
            <w:hideMark/>
          </w:tcPr>
          <w:p w14:paraId="22C12DF3" w14:textId="77777777" w:rsidR="00000000" w:rsidRDefault="00405D16">
            <w:pPr>
              <w:spacing w:after="100"/>
              <w:jc w:val="right"/>
              <w:rPr>
                <w:rFonts w:eastAsia="Times New Roman"/>
              </w:rPr>
            </w:pPr>
          </w:p>
        </w:tc>
      </w:tr>
      <w:tr w:rsidR="00000000" w14:paraId="14DC0D94" w14:textId="77777777">
        <w:trPr>
          <w:divId w:val="1888026646"/>
          <w:jc w:val="center"/>
        </w:trPr>
        <w:tc>
          <w:tcPr>
            <w:tcW w:w="0" w:type="auto"/>
            <w:gridSpan w:val="3"/>
            <w:shd w:val="clear" w:color="auto" w:fill="CCEEFF"/>
            <w:tcMar>
              <w:top w:w="30" w:type="dxa"/>
              <w:left w:w="20" w:type="dxa"/>
              <w:bottom w:w="30" w:type="dxa"/>
              <w:right w:w="20" w:type="dxa"/>
            </w:tcMar>
            <w:vAlign w:val="center"/>
            <w:hideMark/>
          </w:tcPr>
          <w:p w14:paraId="432BA527" w14:textId="77777777" w:rsidR="00000000" w:rsidRDefault="00405D16">
            <w:pPr>
              <w:spacing w:after="100"/>
              <w:rPr>
                <w:rFonts w:eastAsia="Times New Roman"/>
              </w:rPr>
            </w:pPr>
            <w:r>
              <w:rPr>
                <w:rFonts w:eastAsia="Times New Roman"/>
                <w:color w:val="000000"/>
                <w:sz w:val="16"/>
                <w:szCs w:val="16"/>
              </w:rPr>
              <w:t>Accumulated other comprehensive income</w:t>
            </w:r>
          </w:p>
        </w:tc>
        <w:tc>
          <w:tcPr>
            <w:tcW w:w="0" w:type="auto"/>
            <w:gridSpan w:val="3"/>
            <w:shd w:val="clear" w:color="auto" w:fill="CCEEFF"/>
            <w:tcMar>
              <w:top w:w="0" w:type="dxa"/>
              <w:left w:w="20" w:type="dxa"/>
              <w:bottom w:w="0" w:type="dxa"/>
              <w:right w:w="20" w:type="dxa"/>
            </w:tcMar>
            <w:vAlign w:val="center"/>
            <w:hideMark/>
          </w:tcPr>
          <w:p w14:paraId="7C6BAA46"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97028DB" w14:textId="77777777" w:rsidR="00000000" w:rsidRDefault="00405D16">
            <w:pPr>
              <w:spacing w:after="100"/>
              <w:jc w:val="right"/>
              <w:rPr>
                <w:rFonts w:eastAsia="Times New Roman"/>
              </w:rPr>
            </w:pPr>
            <w:r>
              <w:rPr>
                <w:rFonts w:eastAsia="Times New Roman"/>
                <w:b/>
                <w:bCs/>
                <w:color w:val="000000"/>
                <w:sz w:val="16"/>
                <w:szCs w:val="16"/>
              </w:rPr>
              <w:t>1,360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6EDC22E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343E2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542362B" w14:textId="77777777" w:rsidR="00000000" w:rsidRDefault="00405D16">
            <w:pPr>
              <w:spacing w:after="100"/>
              <w:jc w:val="right"/>
              <w:rPr>
                <w:rFonts w:eastAsia="Times New Roman"/>
              </w:rPr>
            </w:pPr>
            <w:r>
              <w:rPr>
                <w:rFonts w:eastAsia="Times New Roman"/>
                <w:color w:val="000000"/>
                <w:sz w:val="16"/>
                <w:szCs w:val="16"/>
              </w:rPr>
              <w:t>3,494 </w:t>
            </w:r>
          </w:p>
        </w:tc>
        <w:tc>
          <w:tcPr>
            <w:tcW w:w="0" w:type="auto"/>
            <w:shd w:val="clear" w:color="auto" w:fill="CCEEFF"/>
            <w:tcMar>
              <w:top w:w="30" w:type="dxa"/>
              <w:left w:w="0" w:type="dxa"/>
              <w:bottom w:w="30" w:type="dxa"/>
              <w:right w:w="20" w:type="dxa"/>
            </w:tcMar>
            <w:vAlign w:val="center"/>
            <w:hideMark/>
          </w:tcPr>
          <w:p w14:paraId="5824BFB9" w14:textId="77777777" w:rsidR="00000000" w:rsidRDefault="00405D16">
            <w:pPr>
              <w:spacing w:after="100"/>
              <w:jc w:val="right"/>
              <w:rPr>
                <w:rFonts w:eastAsia="Times New Roman"/>
              </w:rPr>
            </w:pPr>
          </w:p>
        </w:tc>
      </w:tr>
      <w:tr w:rsidR="00000000" w14:paraId="0764CEB2" w14:textId="77777777">
        <w:trPr>
          <w:divId w:val="1888026646"/>
          <w:jc w:val="center"/>
        </w:trPr>
        <w:tc>
          <w:tcPr>
            <w:tcW w:w="0" w:type="auto"/>
            <w:gridSpan w:val="3"/>
            <w:shd w:val="clear" w:color="auto" w:fill="FFFFFF"/>
            <w:tcMar>
              <w:top w:w="30" w:type="dxa"/>
              <w:left w:w="20" w:type="dxa"/>
              <w:bottom w:w="30" w:type="dxa"/>
              <w:right w:w="20" w:type="dxa"/>
            </w:tcMar>
            <w:vAlign w:val="center"/>
            <w:hideMark/>
          </w:tcPr>
          <w:p w14:paraId="5901936C" w14:textId="77777777" w:rsidR="00000000" w:rsidRDefault="00405D16">
            <w:pPr>
              <w:spacing w:after="100"/>
              <w:divId w:val="451556284"/>
              <w:rPr>
                <w:rFonts w:eastAsia="Times New Roman"/>
              </w:rPr>
            </w:pPr>
            <w:r>
              <w:rPr>
                <w:rFonts w:eastAsia="Times New Roman"/>
                <w:color w:val="000000"/>
                <w:sz w:val="16"/>
                <w:szCs w:val="16"/>
              </w:rPr>
              <w:t>Treasury stock, at cost (par value $0.01 per share; 254,139,961 and 220,960,635 shares as of September 30, 2021 and December 31, 2020, respectively)</w:t>
            </w:r>
          </w:p>
        </w:tc>
        <w:tc>
          <w:tcPr>
            <w:tcW w:w="0" w:type="auto"/>
            <w:gridSpan w:val="3"/>
            <w:shd w:val="clear" w:color="auto" w:fill="FFFFFF"/>
            <w:tcMar>
              <w:top w:w="0" w:type="dxa"/>
              <w:left w:w="20" w:type="dxa"/>
              <w:bottom w:w="0" w:type="dxa"/>
              <w:right w:w="20" w:type="dxa"/>
            </w:tcMar>
            <w:vAlign w:val="center"/>
            <w:hideMark/>
          </w:tcPr>
          <w:p w14:paraId="2C8179F7"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E30C980" w14:textId="77777777" w:rsidR="00000000" w:rsidRDefault="00405D16">
            <w:pPr>
              <w:spacing w:after="100"/>
              <w:jc w:val="right"/>
              <w:rPr>
                <w:rFonts w:eastAsia="Times New Roman"/>
              </w:rPr>
            </w:pPr>
            <w:r>
              <w:rPr>
                <w:rFonts w:eastAsia="Times New Roman"/>
                <w:b/>
                <w:bCs/>
                <w:color w:val="000000"/>
                <w:sz w:val="16"/>
                <w:szCs w:val="16"/>
              </w:rPr>
              <w:t>(21,818)</w:t>
            </w:r>
          </w:p>
        </w:tc>
        <w:tc>
          <w:tcPr>
            <w:tcW w:w="0" w:type="auto"/>
            <w:shd w:val="clear" w:color="auto" w:fill="FFFFFF"/>
            <w:tcMar>
              <w:top w:w="30" w:type="dxa"/>
              <w:left w:w="0" w:type="dxa"/>
              <w:bottom w:w="30" w:type="dxa"/>
              <w:right w:w="20" w:type="dxa"/>
            </w:tcMar>
            <w:vAlign w:val="center"/>
            <w:hideMark/>
          </w:tcPr>
          <w:p w14:paraId="30AF2C5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459ED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8EA5FCA" w14:textId="77777777" w:rsidR="00000000" w:rsidRDefault="00405D16">
            <w:pPr>
              <w:spacing w:after="100"/>
              <w:jc w:val="right"/>
              <w:rPr>
                <w:rFonts w:eastAsia="Times New Roman"/>
              </w:rPr>
            </w:pPr>
            <w:r>
              <w:rPr>
                <w:rFonts w:eastAsia="Times New Roman"/>
                <w:color w:val="000000"/>
                <w:sz w:val="16"/>
                <w:szCs w:val="16"/>
              </w:rPr>
              <w:t>(16,865)</w:t>
            </w:r>
          </w:p>
        </w:tc>
        <w:tc>
          <w:tcPr>
            <w:tcW w:w="0" w:type="auto"/>
            <w:shd w:val="clear" w:color="auto" w:fill="FFFFFF"/>
            <w:tcMar>
              <w:top w:w="30" w:type="dxa"/>
              <w:left w:w="0" w:type="dxa"/>
              <w:bottom w:w="30" w:type="dxa"/>
              <w:right w:w="20" w:type="dxa"/>
            </w:tcMar>
            <w:vAlign w:val="center"/>
            <w:hideMark/>
          </w:tcPr>
          <w:p w14:paraId="62699422" w14:textId="77777777" w:rsidR="00000000" w:rsidRDefault="00405D16">
            <w:pPr>
              <w:spacing w:after="100"/>
              <w:jc w:val="right"/>
              <w:rPr>
                <w:rFonts w:eastAsia="Times New Roman"/>
              </w:rPr>
            </w:pPr>
          </w:p>
        </w:tc>
      </w:tr>
      <w:tr w:rsidR="00000000" w14:paraId="72CD3921" w14:textId="77777777">
        <w:trPr>
          <w:divId w:val="1888026646"/>
          <w:jc w:val="center"/>
        </w:trPr>
        <w:tc>
          <w:tcPr>
            <w:tcW w:w="0" w:type="auto"/>
            <w:gridSpan w:val="3"/>
            <w:shd w:val="clear" w:color="auto" w:fill="CCEEFF"/>
            <w:tcMar>
              <w:top w:w="30" w:type="dxa"/>
              <w:left w:w="20" w:type="dxa"/>
              <w:bottom w:w="30" w:type="dxa"/>
              <w:right w:w="20" w:type="dxa"/>
            </w:tcMar>
            <w:vAlign w:val="center"/>
            <w:hideMark/>
          </w:tcPr>
          <w:p w14:paraId="415A3D2F" w14:textId="77777777" w:rsidR="00000000" w:rsidRDefault="00405D16">
            <w:pPr>
              <w:spacing w:after="100"/>
              <w:rPr>
                <w:rFonts w:eastAsia="Times New Roman"/>
              </w:rPr>
            </w:pPr>
            <w:r>
              <w:rPr>
                <w:rFonts w:eastAsia="Times New Roman"/>
                <w:b/>
                <w:bCs/>
                <w:color w:val="000000"/>
                <w:sz w:val="16"/>
                <w:szCs w:val="16"/>
              </w:rPr>
              <w:t>Total stockholders’ equity</w:t>
            </w:r>
          </w:p>
        </w:tc>
        <w:tc>
          <w:tcPr>
            <w:tcW w:w="0" w:type="auto"/>
            <w:gridSpan w:val="3"/>
            <w:shd w:val="clear" w:color="auto" w:fill="CCEEFF"/>
            <w:tcMar>
              <w:top w:w="0" w:type="dxa"/>
              <w:left w:w="20" w:type="dxa"/>
              <w:bottom w:w="0" w:type="dxa"/>
              <w:right w:w="20" w:type="dxa"/>
            </w:tcMar>
            <w:vAlign w:val="center"/>
            <w:hideMark/>
          </w:tcPr>
          <w:p w14:paraId="3DEA0898"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65884DC" w14:textId="77777777" w:rsidR="00000000" w:rsidRDefault="00405D16">
            <w:pPr>
              <w:spacing w:after="100"/>
              <w:jc w:val="right"/>
              <w:rPr>
                <w:rFonts w:eastAsia="Times New Roman"/>
              </w:rPr>
            </w:pPr>
            <w:r>
              <w:rPr>
                <w:rFonts w:eastAsia="Times New Roman"/>
                <w:b/>
                <w:bCs/>
                <w:color w:val="000000"/>
                <w:sz w:val="16"/>
                <w:szCs w:val="16"/>
              </w:rPr>
              <w:t>63,544</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CEDDD5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5212C6"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3A7158A" w14:textId="77777777" w:rsidR="00000000" w:rsidRDefault="00405D16">
            <w:pPr>
              <w:spacing w:after="100"/>
              <w:jc w:val="right"/>
              <w:rPr>
                <w:rFonts w:eastAsia="Times New Roman"/>
              </w:rPr>
            </w:pPr>
            <w:r>
              <w:rPr>
                <w:rFonts w:eastAsia="Times New Roman"/>
                <w:color w:val="000000"/>
                <w:sz w:val="16"/>
                <w:szCs w:val="16"/>
              </w:rPr>
              <w:t>60,204 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BF22047" w14:textId="77777777" w:rsidR="00000000" w:rsidRDefault="00405D16">
            <w:pPr>
              <w:spacing w:after="100"/>
              <w:jc w:val="right"/>
              <w:rPr>
                <w:rFonts w:eastAsia="Times New Roman"/>
              </w:rPr>
            </w:pPr>
          </w:p>
        </w:tc>
      </w:tr>
      <w:tr w:rsidR="00000000" w14:paraId="58C6838C" w14:textId="77777777">
        <w:trPr>
          <w:divId w:val="1888026646"/>
          <w:jc w:val="center"/>
        </w:trPr>
        <w:tc>
          <w:tcPr>
            <w:tcW w:w="0" w:type="auto"/>
            <w:gridSpan w:val="3"/>
            <w:shd w:val="clear" w:color="auto" w:fill="FFFFFF"/>
            <w:tcMar>
              <w:top w:w="30" w:type="dxa"/>
              <w:left w:w="20" w:type="dxa"/>
              <w:bottom w:w="30" w:type="dxa"/>
              <w:right w:w="20" w:type="dxa"/>
            </w:tcMar>
            <w:vAlign w:val="center"/>
            <w:hideMark/>
          </w:tcPr>
          <w:p w14:paraId="46159210" w14:textId="77777777" w:rsidR="00000000" w:rsidRDefault="00405D16">
            <w:pPr>
              <w:spacing w:after="100"/>
              <w:rPr>
                <w:rFonts w:eastAsia="Times New Roman"/>
              </w:rPr>
            </w:pPr>
            <w:r>
              <w:rPr>
                <w:rFonts w:eastAsia="Times New Roman"/>
                <w:b/>
                <w:bCs/>
                <w:color w:val="000000"/>
                <w:sz w:val="16"/>
                <w:szCs w:val="16"/>
              </w:rPr>
              <w:t>Total liabilities and stockholders’ equity</w:t>
            </w:r>
          </w:p>
        </w:tc>
        <w:tc>
          <w:tcPr>
            <w:tcW w:w="0" w:type="auto"/>
            <w:gridSpan w:val="3"/>
            <w:shd w:val="clear" w:color="auto" w:fill="FFFFFF"/>
            <w:tcMar>
              <w:top w:w="0" w:type="dxa"/>
              <w:left w:w="20" w:type="dxa"/>
              <w:bottom w:w="0" w:type="dxa"/>
              <w:right w:w="20" w:type="dxa"/>
            </w:tcMar>
            <w:vAlign w:val="center"/>
            <w:hideMark/>
          </w:tcPr>
          <w:p w14:paraId="44913904"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2453A0E" w14:textId="77777777" w:rsidR="00000000" w:rsidRDefault="00405D16">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4D0D846" w14:textId="77777777" w:rsidR="00000000" w:rsidRDefault="00405D16">
            <w:pPr>
              <w:spacing w:after="100"/>
              <w:jc w:val="right"/>
              <w:rPr>
                <w:rFonts w:eastAsia="Times New Roman"/>
              </w:rPr>
            </w:pPr>
            <w:r>
              <w:rPr>
                <w:rFonts w:eastAsia="Times New Roman"/>
                <w:b/>
                <w:bCs/>
                <w:color w:val="000000"/>
                <w:sz w:val="16"/>
                <w:szCs w:val="16"/>
              </w:rPr>
              <w:t>425,377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B0596D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78DD20"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7C7C362"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59F4745" w14:textId="77777777" w:rsidR="00000000" w:rsidRDefault="00405D16">
            <w:pPr>
              <w:spacing w:after="100"/>
              <w:jc w:val="right"/>
              <w:rPr>
                <w:rFonts w:eastAsia="Times New Roman"/>
              </w:rPr>
            </w:pPr>
            <w:r>
              <w:rPr>
                <w:rFonts w:eastAsia="Times New Roman"/>
                <w:color w:val="000000"/>
                <w:sz w:val="16"/>
                <w:szCs w:val="16"/>
              </w:rPr>
              <w:t>421,602 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A7DD7A4" w14:textId="77777777" w:rsidR="00000000" w:rsidRDefault="00405D16">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3D21F6A1" w14:textId="77777777">
        <w:trPr>
          <w:jc w:val="center"/>
        </w:trPr>
        <w:tc>
          <w:tcPr>
            <w:tcW w:w="50" w:type="pct"/>
            <w:vAlign w:val="center"/>
            <w:hideMark/>
          </w:tcPr>
          <w:p w14:paraId="52B16AF3" w14:textId="77777777" w:rsidR="00000000" w:rsidRDefault="00405D16">
            <w:pPr>
              <w:jc w:val="center"/>
              <w:rPr>
                <w:rFonts w:eastAsia="Times New Roman"/>
              </w:rPr>
            </w:pPr>
          </w:p>
        </w:tc>
        <w:tc>
          <w:tcPr>
            <w:tcW w:w="1606" w:type="pct"/>
            <w:vAlign w:val="center"/>
            <w:hideMark/>
          </w:tcPr>
          <w:p w14:paraId="7B60C4FD" w14:textId="77777777" w:rsidR="00000000" w:rsidRDefault="00405D16">
            <w:pPr>
              <w:spacing w:after="100"/>
              <w:rPr>
                <w:rFonts w:eastAsia="Times New Roman"/>
                <w:sz w:val="20"/>
                <w:szCs w:val="20"/>
              </w:rPr>
            </w:pPr>
          </w:p>
        </w:tc>
        <w:tc>
          <w:tcPr>
            <w:tcW w:w="5" w:type="pct"/>
            <w:vAlign w:val="center"/>
            <w:hideMark/>
          </w:tcPr>
          <w:p w14:paraId="4A722083" w14:textId="77777777" w:rsidR="00000000" w:rsidRDefault="00405D16">
            <w:pPr>
              <w:spacing w:after="100"/>
              <w:rPr>
                <w:rFonts w:eastAsia="Times New Roman"/>
                <w:sz w:val="20"/>
                <w:szCs w:val="20"/>
              </w:rPr>
            </w:pPr>
          </w:p>
        </w:tc>
        <w:tc>
          <w:tcPr>
            <w:tcW w:w="50" w:type="pct"/>
            <w:vAlign w:val="center"/>
            <w:hideMark/>
          </w:tcPr>
          <w:p w14:paraId="17560C25" w14:textId="77777777" w:rsidR="00000000" w:rsidRDefault="00405D16">
            <w:pPr>
              <w:spacing w:after="100"/>
              <w:rPr>
                <w:rFonts w:eastAsia="Times New Roman"/>
                <w:sz w:val="20"/>
                <w:szCs w:val="20"/>
              </w:rPr>
            </w:pPr>
          </w:p>
        </w:tc>
        <w:tc>
          <w:tcPr>
            <w:tcW w:w="1614" w:type="pct"/>
            <w:vAlign w:val="center"/>
            <w:hideMark/>
          </w:tcPr>
          <w:p w14:paraId="5B1CB704" w14:textId="77777777" w:rsidR="00000000" w:rsidRDefault="00405D16">
            <w:pPr>
              <w:spacing w:after="100"/>
              <w:rPr>
                <w:rFonts w:eastAsia="Times New Roman"/>
                <w:sz w:val="20"/>
                <w:szCs w:val="20"/>
              </w:rPr>
            </w:pPr>
          </w:p>
        </w:tc>
        <w:tc>
          <w:tcPr>
            <w:tcW w:w="5" w:type="pct"/>
            <w:vAlign w:val="center"/>
            <w:hideMark/>
          </w:tcPr>
          <w:p w14:paraId="77A5EA8B" w14:textId="77777777" w:rsidR="00000000" w:rsidRDefault="00405D16">
            <w:pPr>
              <w:spacing w:after="100"/>
              <w:rPr>
                <w:rFonts w:eastAsia="Times New Roman"/>
                <w:sz w:val="20"/>
                <w:szCs w:val="20"/>
              </w:rPr>
            </w:pPr>
          </w:p>
        </w:tc>
        <w:tc>
          <w:tcPr>
            <w:tcW w:w="50" w:type="pct"/>
            <w:vAlign w:val="center"/>
            <w:hideMark/>
          </w:tcPr>
          <w:p w14:paraId="3323CB63" w14:textId="77777777" w:rsidR="00000000" w:rsidRDefault="00405D16">
            <w:pPr>
              <w:spacing w:after="100"/>
              <w:rPr>
                <w:rFonts w:eastAsia="Times New Roman"/>
                <w:sz w:val="20"/>
                <w:szCs w:val="20"/>
              </w:rPr>
            </w:pPr>
          </w:p>
        </w:tc>
        <w:tc>
          <w:tcPr>
            <w:tcW w:w="1614" w:type="pct"/>
            <w:vAlign w:val="center"/>
            <w:hideMark/>
          </w:tcPr>
          <w:p w14:paraId="7F3E5639" w14:textId="77777777" w:rsidR="00000000" w:rsidRDefault="00405D16">
            <w:pPr>
              <w:spacing w:after="100"/>
              <w:rPr>
                <w:rFonts w:eastAsia="Times New Roman"/>
                <w:sz w:val="20"/>
                <w:szCs w:val="20"/>
              </w:rPr>
            </w:pPr>
          </w:p>
        </w:tc>
        <w:tc>
          <w:tcPr>
            <w:tcW w:w="5" w:type="pct"/>
            <w:vAlign w:val="center"/>
            <w:hideMark/>
          </w:tcPr>
          <w:p w14:paraId="157ED0EE" w14:textId="77777777" w:rsidR="00000000" w:rsidRDefault="00405D16">
            <w:pPr>
              <w:spacing w:after="100"/>
              <w:rPr>
                <w:rFonts w:eastAsia="Times New Roman"/>
                <w:sz w:val="20"/>
                <w:szCs w:val="20"/>
              </w:rPr>
            </w:pPr>
          </w:p>
        </w:tc>
      </w:tr>
      <w:tr w:rsidR="00000000" w14:paraId="101A89A2" w14:textId="77777777">
        <w:trPr>
          <w:jc w:val="center"/>
        </w:trPr>
        <w:tc>
          <w:tcPr>
            <w:tcW w:w="0" w:type="auto"/>
            <w:gridSpan w:val="9"/>
            <w:tcMar>
              <w:top w:w="30" w:type="dxa"/>
              <w:left w:w="20" w:type="dxa"/>
              <w:bottom w:w="30" w:type="dxa"/>
              <w:right w:w="20" w:type="dxa"/>
            </w:tcMar>
            <w:vAlign w:val="bottom"/>
            <w:hideMark/>
          </w:tcPr>
          <w:p w14:paraId="5AFF52DB" w14:textId="77777777" w:rsidR="00000000" w:rsidRDefault="00405D16">
            <w:pPr>
              <w:spacing w:after="100"/>
              <w:jc w:val="center"/>
              <w:rPr>
                <w:rFonts w:eastAsia="Times New Roman"/>
              </w:rPr>
            </w:pPr>
            <w:r>
              <w:rPr>
                <w:rFonts w:eastAsia="Times New Roman"/>
                <w:color w:val="000000"/>
                <w:sz w:val="20"/>
                <w:szCs w:val="20"/>
              </w:rPr>
              <w:t>See Notes to Consolidated Financial Statements.</w:t>
            </w:r>
          </w:p>
        </w:tc>
      </w:tr>
      <w:tr w:rsidR="00000000" w14:paraId="588D5699" w14:textId="77777777">
        <w:trPr>
          <w:jc w:val="center"/>
        </w:trPr>
        <w:tc>
          <w:tcPr>
            <w:tcW w:w="0" w:type="auto"/>
            <w:gridSpan w:val="3"/>
            <w:tcMar>
              <w:top w:w="0" w:type="dxa"/>
              <w:left w:w="20" w:type="dxa"/>
              <w:bottom w:w="0" w:type="dxa"/>
              <w:right w:w="20" w:type="dxa"/>
            </w:tcMar>
            <w:vAlign w:val="center"/>
            <w:hideMark/>
          </w:tcPr>
          <w:p w14:paraId="651EB8CE"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6A4B670" w14:textId="77777777" w:rsidR="00000000" w:rsidRDefault="00405D16">
            <w:pPr>
              <w:spacing w:after="100"/>
              <w:jc w:val="center"/>
              <w:rPr>
                <w:rFonts w:eastAsia="Times New Roman"/>
              </w:rPr>
            </w:pPr>
            <w:r>
              <w:rPr>
                <w:rFonts w:eastAsia="Times New Roman"/>
                <w:color w:val="000000"/>
                <w:sz w:val="16"/>
                <w:szCs w:val="16"/>
              </w:rPr>
              <w:t>71</w:t>
            </w:r>
          </w:p>
        </w:tc>
        <w:tc>
          <w:tcPr>
            <w:tcW w:w="0" w:type="auto"/>
            <w:gridSpan w:val="3"/>
            <w:tcMar>
              <w:top w:w="30" w:type="dxa"/>
              <w:left w:w="20" w:type="dxa"/>
              <w:bottom w:w="30" w:type="dxa"/>
              <w:right w:w="20" w:type="dxa"/>
            </w:tcMar>
            <w:vAlign w:val="bottom"/>
            <w:hideMark/>
          </w:tcPr>
          <w:p w14:paraId="57F7CD57"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41401D2C" w14:textId="77777777" w:rsidR="00000000" w:rsidRDefault="00405D16">
      <w:pPr>
        <w:rPr>
          <w:rFonts w:eastAsia="Times New Roman"/>
        </w:rPr>
      </w:pPr>
      <w:r>
        <w:rPr>
          <w:rFonts w:eastAsia="Times New Roman"/>
        </w:rPr>
        <w:pict w14:anchorId="2501AAE6">
          <v:rect id="_x0000_i1096" style="width:0;height:1.5pt" o:hralign="center" o:hrstd="t" o:hr="t" fillcolor="#a0a0a0" stroked="f"/>
        </w:pict>
      </w:r>
    </w:p>
    <w:p w14:paraId="53AC08E9" w14:textId="77777777" w:rsidR="00000000" w:rsidRDefault="00405D16">
      <w:pPr>
        <w:jc w:val="both"/>
        <w:divId w:val="1146512475"/>
        <w:rPr>
          <w:rFonts w:eastAsia="Times New Roman"/>
        </w:rPr>
      </w:pPr>
      <w:hyperlink w:anchor="idd54a04a485440b4ab4e56094c14d612_13" w:history="1">
        <w:r>
          <w:rPr>
            <w:rStyle w:val="a3"/>
            <w:rFonts w:eastAsia="Times New Roman"/>
            <w:sz w:val="16"/>
            <w:szCs w:val="16"/>
          </w:rPr>
          <w:t>Table of Contents</w:t>
        </w:r>
      </w:hyperlink>
    </w:p>
    <w:p w14:paraId="09DEAA04" w14:textId="77777777" w:rsidR="00000000" w:rsidRDefault="00405D16">
      <w:pPr>
        <w:jc w:val="center"/>
        <w:divId w:val="1146512475"/>
        <w:rPr>
          <w:rFonts w:eastAsia="Times New Roman"/>
        </w:rPr>
      </w:pPr>
    </w:p>
    <w:p w14:paraId="3E2D06FD" w14:textId="77777777" w:rsidR="00000000" w:rsidRDefault="00405D16">
      <w:pPr>
        <w:jc w:val="center"/>
        <w:divId w:val="1146512475"/>
        <w:rPr>
          <w:rFonts w:eastAsia="Times New Roman"/>
        </w:rPr>
      </w:pPr>
      <w:r>
        <w:rPr>
          <w:rFonts w:eastAsia="Times New Roman"/>
          <w:b/>
          <w:bCs/>
          <w:color w:val="000000"/>
          <w:sz w:val="20"/>
          <w:szCs w:val="20"/>
        </w:rPr>
        <w:t>CAPITAL ONE FINANCIAL CORPORATION</w:t>
      </w:r>
    </w:p>
    <w:p w14:paraId="6071DFD7" w14:textId="77777777" w:rsidR="00000000" w:rsidRDefault="00405D16">
      <w:pPr>
        <w:jc w:val="center"/>
        <w:divId w:val="1146512475"/>
        <w:rPr>
          <w:rFonts w:eastAsia="Times New Roman"/>
        </w:rPr>
      </w:pPr>
      <w:r>
        <w:rPr>
          <w:rFonts w:eastAsia="Times New Roman"/>
          <w:b/>
          <w:bCs/>
          <w:color w:val="000000"/>
          <w:sz w:val="20"/>
          <w:szCs w:val="20"/>
        </w:rPr>
        <w:t>CONSOLIDATED STATEMENTS OF CHANGES IN STOCKHOLDERS’ EQUITY (UNAUDITED)</w:t>
      </w:r>
    </w:p>
    <w:tbl>
      <w:tblPr>
        <w:tblW w:w="5000" w:type="pct"/>
        <w:tblCellMar>
          <w:top w:w="15" w:type="dxa"/>
          <w:left w:w="15" w:type="dxa"/>
          <w:bottom w:w="15" w:type="dxa"/>
          <w:right w:w="15" w:type="dxa"/>
        </w:tblCellMar>
        <w:tblLook w:val="04A0" w:firstRow="1" w:lastRow="0" w:firstColumn="1" w:lastColumn="0" w:noHBand="0" w:noVBand="1"/>
      </w:tblPr>
      <w:tblGrid>
        <w:gridCol w:w="52"/>
        <w:gridCol w:w="92"/>
        <w:gridCol w:w="1043"/>
        <w:gridCol w:w="36"/>
        <w:gridCol w:w="36"/>
        <w:gridCol w:w="36"/>
        <w:gridCol w:w="36"/>
        <w:gridCol w:w="97"/>
        <w:gridCol w:w="670"/>
        <w:gridCol w:w="38"/>
        <w:gridCol w:w="36"/>
        <w:gridCol w:w="36"/>
        <w:gridCol w:w="36"/>
        <w:gridCol w:w="101"/>
        <w:gridCol w:w="431"/>
        <w:gridCol w:w="31"/>
        <w:gridCol w:w="5"/>
        <w:gridCol w:w="36"/>
        <w:gridCol w:w="36"/>
        <w:gridCol w:w="36"/>
        <w:gridCol w:w="31"/>
        <w:gridCol w:w="64"/>
        <w:gridCol w:w="80"/>
        <w:gridCol w:w="685"/>
        <w:gridCol w:w="39"/>
        <w:gridCol w:w="37"/>
        <w:gridCol w:w="36"/>
        <w:gridCol w:w="36"/>
        <w:gridCol w:w="101"/>
        <w:gridCol w:w="434"/>
        <w:gridCol w:w="36"/>
        <w:gridCol w:w="36"/>
        <w:gridCol w:w="36"/>
        <w:gridCol w:w="36"/>
        <w:gridCol w:w="101"/>
        <w:gridCol w:w="577"/>
        <w:gridCol w:w="36"/>
        <w:gridCol w:w="36"/>
        <w:gridCol w:w="36"/>
        <w:gridCol w:w="36"/>
        <w:gridCol w:w="100"/>
        <w:gridCol w:w="242"/>
        <w:gridCol w:w="144"/>
        <w:gridCol w:w="94"/>
        <w:gridCol w:w="36"/>
        <w:gridCol w:w="14"/>
        <w:gridCol w:w="22"/>
        <w:gridCol w:w="36"/>
        <w:gridCol w:w="36"/>
        <w:gridCol w:w="101"/>
        <w:gridCol w:w="871"/>
        <w:gridCol w:w="36"/>
        <w:gridCol w:w="36"/>
        <w:gridCol w:w="36"/>
        <w:gridCol w:w="36"/>
        <w:gridCol w:w="100"/>
        <w:gridCol w:w="547"/>
        <w:gridCol w:w="36"/>
        <w:gridCol w:w="36"/>
        <w:gridCol w:w="36"/>
        <w:gridCol w:w="36"/>
        <w:gridCol w:w="101"/>
        <w:gridCol w:w="574"/>
        <w:gridCol w:w="144"/>
        <w:gridCol w:w="45"/>
        <w:gridCol w:w="36"/>
      </w:tblGrid>
      <w:tr w:rsidR="00000000" w14:paraId="55A4F74C" w14:textId="77777777">
        <w:trPr>
          <w:divId w:val="553853218"/>
        </w:trPr>
        <w:tc>
          <w:tcPr>
            <w:tcW w:w="50" w:type="pct"/>
            <w:vAlign w:val="center"/>
            <w:hideMark/>
          </w:tcPr>
          <w:p w14:paraId="0BA52356" w14:textId="77777777" w:rsidR="00000000" w:rsidRDefault="00405D16">
            <w:pPr>
              <w:jc w:val="center"/>
              <w:rPr>
                <w:rFonts w:eastAsia="Times New Roman"/>
              </w:rPr>
            </w:pPr>
          </w:p>
        </w:tc>
        <w:tc>
          <w:tcPr>
            <w:tcW w:w="1092" w:type="pct"/>
            <w:gridSpan w:val="2"/>
            <w:vAlign w:val="center"/>
            <w:hideMark/>
          </w:tcPr>
          <w:p w14:paraId="594940C1" w14:textId="77777777" w:rsidR="00000000" w:rsidRDefault="00405D16">
            <w:pPr>
              <w:spacing w:after="100"/>
              <w:rPr>
                <w:rFonts w:eastAsia="Times New Roman"/>
                <w:sz w:val="20"/>
                <w:szCs w:val="20"/>
              </w:rPr>
            </w:pPr>
          </w:p>
        </w:tc>
        <w:tc>
          <w:tcPr>
            <w:tcW w:w="5" w:type="pct"/>
            <w:vAlign w:val="center"/>
            <w:hideMark/>
          </w:tcPr>
          <w:p w14:paraId="6A4613E3" w14:textId="77777777" w:rsidR="00000000" w:rsidRDefault="00405D16">
            <w:pPr>
              <w:spacing w:after="100"/>
              <w:rPr>
                <w:rFonts w:eastAsia="Times New Roman"/>
                <w:sz w:val="20"/>
                <w:szCs w:val="20"/>
              </w:rPr>
            </w:pPr>
          </w:p>
        </w:tc>
        <w:tc>
          <w:tcPr>
            <w:tcW w:w="5" w:type="pct"/>
            <w:vAlign w:val="center"/>
            <w:hideMark/>
          </w:tcPr>
          <w:p w14:paraId="1D75DB43" w14:textId="77777777" w:rsidR="00000000" w:rsidRDefault="00405D16">
            <w:pPr>
              <w:spacing w:after="100"/>
              <w:rPr>
                <w:rFonts w:eastAsia="Times New Roman"/>
                <w:sz w:val="20"/>
                <w:szCs w:val="20"/>
              </w:rPr>
            </w:pPr>
          </w:p>
        </w:tc>
        <w:tc>
          <w:tcPr>
            <w:tcW w:w="26" w:type="pct"/>
            <w:vAlign w:val="center"/>
            <w:hideMark/>
          </w:tcPr>
          <w:p w14:paraId="4D694D1D" w14:textId="77777777" w:rsidR="00000000" w:rsidRDefault="00405D16">
            <w:pPr>
              <w:spacing w:after="100"/>
              <w:rPr>
                <w:rFonts w:eastAsia="Times New Roman"/>
                <w:sz w:val="20"/>
                <w:szCs w:val="20"/>
              </w:rPr>
            </w:pPr>
          </w:p>
        </w:tc>
        <w:tc>
          <w:tcPr>
            <w:tcW w:w="5" w:type="pct"/>
            <w:vAlign w:val="center"/>
            <w:hideMark/>
          </w:tcPr>
          <w:p w14:paraId="5BC03F14" w14:textId="77777777" w:rsidR="00000000" w:rsidRDefault="00405D16">
            <w:pPr>
              <w:spacing w:after="100"/>
              <w:rPr>
                <w:rFonts w:eastAsia="Times New Roman"/>
                <w:sz w:val="20"/>
                <w:szCs w:val="20"/>
              </w:rPr>
            </w:pPr>
          </w:p>
        </w:tc>
        <w:tc>
          <w:tcPr>
            <w:tcW w:w="50" w:type="pct"/>
            <w:vAlign w:val="center"/>
            <w:hideMark/>
          </w:tcPr>
          <w:p w14:paraId="7940D188" w14:textId="77777777" w:rsidR="00000000" w:rsidRDefault="00405D16">
            <w:pPr>
              <w:spacing w:after="100"/>
              <w:rPr>
                <w:rFonts w:eastAsia="Times New Roman"/>
                <w:sz w:val="20"/>
                <w:szCs w:val="20"/>
              </w:rPr>
            </w:pPr>
          </w:p>
        </w:tc>
        <w:tc>
          <w:tcPr>
            <w:tcW w:w="347" w:type="pct"/>
            <w:vAlign w:val="center"/>
            <w:hideMark/>
          </w:tcPr>
          <w:p w14:paraId="46B3447E" w14:textId="77777777" w:rsidR="00000000" w:rsidRDefault="00405D16">
            <w:pPr>
              <w:spacing w:after="100"/>
              <w:rPr>
                <w:rFonts w:eastAsia="Times New Roman"/>
                <w:sz w:val="20"/>
                <w:szCs w:val="20"/>
              </w:rPr>
            </w:pPr>
          </w:p>
        </w:tc>
        <w:tc>
          <w:tcPr>
            <w:tcW w:w="5" w:type="pct"/>
            <w:vAlign w:val="center"/>
            <w:hideMark/>
          </w:tcPr>
          <w:p w14:paraId="665779CD" w14:textId="77777777" w:rsidR="00000000" w:rsidRDefault="00405D16">
            <w:pPr>
              <w:spacing w:after="100"/>
              <w:rPr>
                <w:rFonts w:eastAsia="Times New Roman"/>
                <w:sz w:val="20"/>
                <w:szCs w:val="20"/>
              </w:rPr>
            </w:pPr>
          </w:p>
        </w:tc>
        <w:tc>
          <w:tcPr>
            <w:tcW w:w="5" w:type="pct"/>
            <w:vAlign w:val="center"/>
            <w:hideMark/>
          </w:tcPr>
          <w:p w14:paraId="44E89A1E" w14:textId="77777777" w:rsidR="00000000" w:rsidRDefault="00405D16">
            <w:pPr>
              <w:spacing w:after="100"/>
              <w:rPr>
                <w:rFonts w:eastAsia="Times New Roman"/>
                <w:sz w:val="20"/>
                <w:szCs w:val="20"/>
              </w:rPr>
            </w:pPr>
          </w:p>
        </w:tc>
        <w:tc>
          <w:tcPr>
            <w:tcW w:w="26" w:type="pct"/>
            <w:vAlign w:val="center"/>
            <w:hideMark/>
          </w:tcPr>
          <w:p w14:paraId="2A6D5946" w14:textId="77777777" w:rsidR="00000000" w:rsidRDefault="00405D16">
            <w:pPr>
              <w:spacing w:after="100"/>
              <w:rPr>
                <w:rFonts w:eastAsia="Times New Roman"/>
                <w:sz w:val="20"/>
                <w:szCs w:val="20"/>
              </w:rPr>
            </w:pPr>
          </w:p>
        </w:tc>
        <w:tc>
          <w:tcPr>
            <w:tcW w:w="5" w:type="pct"/>
            <w:vAlign w:val="center"/>
            <w:hideMark/>
          </w:tcPr>
          <w:p w14:paraId="4006AD3E" w14:textId="77777777" w:rsidR="00000000" w:rsidRDefault="00405D16">
            <w:pPr>
              <w:spacing w:after="100"/>
              <w:rPr>
                <w:rFonts w:eastAsia="Times New Roman"/>
                <w:sz w:val="20"/>
                <w:szCs w:val="20"/>
              </w:rPr>
            </w:pPr>
          </w:p>
        </w:tc>
        <w:tc>
          <w:tcPr>
            <w:tcW w:w="50" w:type="pct"/>
            <w:vAlign w:val="center"/>
            <w:hideMark/>
          </w:tcPr>
          <w:p w14:paraId="5B31030E" w14:textId="77777777" w:rsidR="00000000" w:rsidRDefault="00405D16">
            <w:pPr>
              <w:spacing w:after="100"/>
              <w:rPr>
                <w:rFonts w:eastAsia="Times New Roman"/>
                <w:sz w:val="20"/>
                <w:szCs w:val="20"/>
              </w:rPr>
            </w:pPr>
          </w:p>
        </w:tc>
        <w:tc>
          <w:tcPr>
            <w:tcW w:w="237" w:type="pct"/>
            <w:vAlign w:val="center"/>
            <w:hideMark/>
          </w:tcPr>
          <w:p w14:paraId="024F20A2" w14:textId="77777777" w:rsidR="00000000" w:rsidRDefault="00405D16">
            <w:pPr>
              <w:spacing w:after="100"/>
              <w:rPr>
                <w:rFonts w:eastAsia="Times New Roman"/>
                <w:sz w:val="20"/>
                <w:szCs w:val="20"/>
              </w:rPr>
            </w:pPr>
          </w:p>
        </w:tc>
        <w:tc>
          <w:tcPr>
            <w:tcW w:w="5" w:type="pct"/>
            <w:gridSpan w:val="2"/>
            <w:vAlign w:val="center"/>
            <w:hideMark/>
          </w:tcPr>
          <w:p w14:paraId="30A39396" w14:textId="77777777" w:rsidR="00000000" w:rsidRDefault="00405D16">
            <w:pPr>
              <w:spacing w:after="100"/>
              <w:rPr>
                <w:rFonts w:eastAsia="Times New Roman"/>
                <w:sz w:val="20"/>
                <w:szCs w:val="20"/>
              </w:rPr>
            </w:pPr>
          </w:p>
        </w:tc>
        <w:tc>
          <w:tcPr>
            <w:tcW w:w="5" w:type="pct"/>
            <w:vAlign w:val="center"/>
            <w:hideMark/>
          </w:tcPr>
          <w:p w14:paraId="0E61A5D5" w14:textId="77777777" w:rsidR="00000000" w:rsidRDefault="00405D16">
            <w:pPr>
              <w:spacing w:after="100"/>
              <w:rPr>
                <w:rFonts w:eastAsia="Times New Roman"/>
                <w:sz w:val="20"/>
                <w:szCs w:val="20"/>
              </w:rPr>
            </w:pPr>
          </w:p>
        </w:tc>
        <w:tc>
          <w:tcPr>
            <w:tcW w:w="26" w:type="pct"/>
            <w:vAlign w:val="center"/>
            <w:hideMark/>
          </w:tcPr>
          <w:p w14:paraId="532399AB" w14:textId="77777777" w:rsidR="00000000" w:rsidRDefault="00405D16">
            <w:pPr>
              <w:spacing w:after="100"/>
              <w:rPr>
                <w:rFonts w:eastAsia="Times New Roman"/>
                <w:sz w:val="20"/>
                <w:szCs w:val="20"/>
              </w:rPr>
            </w:pPr>
          </w:p>
        </w:tc>
        <w:tc>
          <w:tcPr>
            <w:tcW w:w="5" w:type="pct"/>
            <w:vAlign w:val="center"/>
            <w:hideMark/>
          </w:tcPr>
          <w:p w14:paraId="17CB254B" w14:textId="77777777" w:rsidR="00000000" w:rsidRDefault="00405D16">
            <w:pPr>
              <w:spacing w:after="100"/>
              <w:rPr>
                <w:rFonts w:eastAsia="Times New Roman"/>
                <w:sz w:val="20"/>
                <w:szCs w:val="20"/>
              </w:rPr>
            </w:pPr>
          </w:p>
        </w:tc>
        <w:tc>
          <w:tcPr>
            <w:tcW w:w="50" w:type="pct"/>
            <w:gridSpan w:val="2"/>
            <w:vAlign w:val="center"/>
            <w:hideMark/>
          </w:tcPr>
          <w:p w14:paraId="67625E7F" w14:textId="77777777" w:rsidR="00000000" w:rsidRDefault="00405D16">
            <w:pPr>
              <w:spacing w:after="100"/>
              <w:rPr>
                <w:rFonts w:eastAsia="Times New Roman"/>
                <w:sz w:val="20"/>
                <w:szCs w:val="20"/>
              </w:rPr>
            </w:pPr>
          </w:p>
        </w:tc>
        <w:tc>
          <w:tcPr>
            <w:tcW w:w="405" w:type="pct"/>
            <w:gridSpan w:val="2"/>
            <w:vAlign w:val="center"/>
            <w:hideMark/>
          </w:tcPr>
          <w:p w14:paraId="43D02D71" w14:textId="77777777" w:rsidR="00000000" w:rsidRDefault="00405D16">
            <w:pPr>
              <w:spacing w:after="100"/>
              <w:rPr>
                <w:rFonts w:eastAsia="Times New Roman"/>
                <w:sz w:val="20"/>
                <w:szCs w:val="20"/>
              </w:rPr>
            </w:pPr>
          </w:p>
        </w:tc>
        <w:tc>
          <w:tcPr>
            <w:tcW w:w="5" w:type="pct"/>
            <w:vAlign w:val="center"/>
            <w:hideMark/>
          </w:tcPr>
          <w:p w14:paraId="246C12D5" w14:textId="77777777" w:rsidR="00000000" w:rsidRDefault="00405D16">
            <w:pPr>
              <w:spacing w:after="100"/>
              <w:rPr>
                <w:rFonts w:eastAsia="Times New Roman"/>
                <w:sz w:val="20"/>
                <w:szCs w:val="20"/>
              </w:rPr>
            </w:pPr>
          </w:p>
        </w:tc>
        <w:tc>
          <w:tcPr>
            <w:tcW w:w="5" w:type="pct"/>
            <w:vAlign w:val="center"/>
            <w:hideMark/>
          </w:tcPr>
          <w:p w14:paraId="611B337E" w14:textId="77777777" w:rsidR="00000000" w:rsidRDefault="00405D16">
            <w:pPr>
              <w:spacing w:after="100"/>
              <w:rPr>
                <w:rFonts w:eastAsia="Times New Roman"/>
                <w:sz w:val="20"/>
                <w:szCs w:val="20"/>
              </w:rPr>
            </w:pPr>
          </w:p>
        </w:tc>
        <w:tc>
          <w:tcPr>
            <w:tcW w:w="26" w:type="pct"/>
            <w:vAlign w:val="center"/>
            <w:hideMark/>
          </w:tcPr>
          <w:p w14:paraId="6B9358DD" w14:textId="77777777" w:rsidR="00000000" w:rsidRDefault="00405D16">
            <w:pPr>
              <w:spacing w:after="100"/>
              <w:rPr>
                <w:rFonts w:eastAsia="Times New Roman"/>
                <w:sz w:val="20"/>
                <w:szCs w:val="20"/>
              </w:rPr>
            </w:pPr>
          </w:p>
        </w:tc>
        <w:tc>
          <w:tcPr>
            <w:tcW w:w="5" w:type="pct"/>
            <w:vAlign w:val="center"/>
            <w:hideMark/>
          </w:tcPr>
          <w:p w14:paraId="0EC50C4D" w14:textId="77777777" w:rsidR="00000000" w:rsidRDefault="00405D16">
            <w:pPr>
              <w:spacing w:after="100"/>
              <w:rPr>
                <w:rFonts w:eastAsia="Times New Roman"/>
                <w:sz w:val="20"/>
                <w:szCs w:val="20"/>
              </w:rPr>
            </w:pPr>
          </w:p>
        </w:tc>
        <w:tc>
          <w:tcPr>
            <w:tcW w:w="50" w:type="pct"/>
            <w:vAlign w:val="center"/>
            <w:hideMark/>
          </w:tcPr>
          <w:p w14:paraId="38759CBF" w14:textId="77777777" w:rsidR="00000000" w:rsidRDefault="00405D16">
            <w:pPr>
              <w:spacing w:after="100"/>
              <w:rPr>
                <w:rFonts w:eastAsia="Times New Roman"/>
                <w:sz w:val="20"/>
                <w:szCs w:val="20"/>
              </w:rPr>
            </w:pPr>
          </w:p>
        </w:tc>
        <w:tc>
          <w:tcPr>
            <w:tcW w:w="244" w:type="pct"/>
            <w:vAlign w:val="center"/>
            <w:hideMark/>
          </w:tcPr>
          <w:p w14:paraId="130B1CC3" w14:textId="77777777" w:rsidR="00000000" w:rsidRDefault="00405D16">
            <w:pPr>
              <w:spacing w:after="100"/>
              <w:rPr>
                <w:rFonts w:eastAsia="Times New Roman"/>
                <w:sz w:val="20"/>
                <w:szCs w:val="20"/>
              </w:rPr>
            </w:pPr>
          </w:p>
        </w:tc>
        <w:tc>
          <w:tcPr>
            <w:tcW w:w="5" w:type="pct"/>
            <w:vAlign w:val="center"/>
            <w:hideMark/>
          </w:tcPr>
          <w:p w14:paraId="2C5B225C" w14:textId="77777777" w:rsidR="00000000" w:rsidRDefault="00405D16">
            <w:pPr>
              <w:spacing w:after="100"/>
              <w:rPr>
                <w:rFonts w:eastAsia="Times New Roman"/>
                <w:sz w:val="20"/>
                <w:szCs w:val="20"/>
              </w:rPr>
            </w:pPr>
          </w:p>
        </w:tc>
        <w:tc>
          <w:tcPr>
            <w:tcW w:w="5" w:type="pct"/>
            <w:vAlign w:val="center"/>
            <w:hideMark/>
          </w:tcPr>
          <w:p w14:paraId="3F41DBC5" w14:textId="77777777" w:rsidR="00000000" w:rsidRDefault="00405D16">
            <w:pPr>
              <w:spacing w:after="100"/>
              <w:rPr>
                <w:rFonts w:eastAsia="Times New Roman"/>
                <w:sz w:val="20"/>
                <w:szCs w:val="20"/>
              </w:rPr>
            </w:pPr>
          </w:p>
        </w:tc>
        <w:tc>
          <w:tcPr>
            <w:tcW w:w="26" w:type="pct"/>
            <w:vAlign w:val="center"/>
            <w:hideMark/>
          </w:tcPr>
          <w:p w14:paraId="5C98DED2" w14:textId="77777777" w:rsidR="00000000" w:rsidRDefault="00405D16">
            <w:pPr>
              <w:spacing w:after="100"/>
              <w:rPr>
                <w:rFonts w:eastAsia="Times New Roman"/>
                <w:sz w:val="20"/>
                <w:szCs w:val="20"/>
              </w:rPr>
            </w:pPr>
          </w:p>
        </w:tc>
        <w:tc>
          <w:tcPr>
            <w:tcW w:w="5" w:type="pct"/>
            <w:vAlign w:val="center"/>
            <w:hideMark/>
          </w:tcPr>
          <w:p w14:paraId="6FA8F85A" w14:textId="77777777" w:rsidR="00000000" w:rsidRDefault="00405D16">
            <w:pPr>
              <w:spacing w:after="100"/>
              <w:rPr>
                <w:rFonts w:eastAsia="Times New Roman"/>
                <w:sz w:val="20"/>
                <w:szCs w:val="20"/>
              </w:rPr>
            </w:pPr>
          </w:p>
        </w:tc>
        <w:tc>
          <w:tcPr>
            <w:tcW w:w="50" w:type="pct"/>
            <w:vAlign w:val="center"/>
            <w:hideMark/>
          </w:tcPr>
          <w:p w14:paraId="404C7B46" w14:textId="77777777" w:rsidR="00000000" w:rsidRDefault="00405D16">
            <w:pPr>
              <w:spacing w:after="100"/>
              <w:rPr>
                <w:rFonts w:eastAsia="Times New Roman"/>
                <w:sz w:val="20"/>
                <w:szCs w:val="20"/>
              </w:rPr>
            </w:pPr>
          </w:p>
        </w:tc>
        <w:tc>
          <w:tcPr>
            <w:tcW w:w="317" w:type="pct"/>
            <w:vAlign w:val="center"/>
            <w:hideMark/>
          </w:tcPr>
          <w:p w14:paraId="5121F988" w14:textId="77777777" w:rsidR="00000000" w:rsidRDefault="00405D16">
            <w:pPr>
              <w:spacing w:after="100"/>
              <w:rPr>
                <w:rFonts w:eastAsia="Times New Roman"/>
                <w:sz w:val="20"/>
                <w:szCs w:val="20"/>
              </w:rPr>
            </w:pPr>
          </w:p>
        </w:tc>
        <w:tc>
          <w:tcPr>
            <w:tcW w:w="5" w:type="pct"/>
            <w:vAlign w:val="center"/>
            <w:hideMark/>
          </w:tcPr>
          <w:p w14:paraId="1F6EACBA" w14:textId="77777777" w:rsidR="00000000" w:rsidRDefault="00405D16">
            <w:pPr>
              <w:spacing w:after="100"/>
              <w:rPr>
                <w:rFonts w:eastAsia="Times New Roman"/>
                <w:sz w:val="20"/>
                <w:szCs w:val="20"/>
              </w:rPr>
            </w:pPr>
          </w:p>
        </w:tc>
        <w:tc>
          <w:tcPr>
            <w:tcW w:w="5" w:type="pct"/>
            <w:vAlign w:val="center"/>
            <w:hideMark/>
          </w:tcPr>
          <w:p w14:paraId="73E518A2" w14:textId="77777777" w:rsidR="00000000" w:rsidRDefault="00405D16">
            <w:pPr>
              <w:spacing w:after="100"/>
              <w:rPr>
                <w:rFonts w:eastAsia="Times New Roman"/>
                <w:sz w:val="20"/>
                <w:szCs w:val="20"/>
              </w:rPr>
            </w:pPr>
          </w:p>
        </w:tc>
        <w:tc>
          <w:tcPr>
            <w:tcW w:w="26" w:type="pct"/>
            <w:vAlign w:val="center"/>
            <w:hideMark/>
          </w:tcPr>
          <w:p w14:paraId="36EF007A" w14:textId="77777777" w:rsidR="00000000" w:rsidRDefault="00405D16">
            <w:pPr>
              <w:spacing w:after="100"/>
              <w:rPr>
                <w:rFonts w:eastAsia="Times New Roman"/>
                <w:sz w:val="20"/>
                <w:szCs w:val="20"/>
              </w:rPr>
            </w:pPr>
          </w:p>
        </w:tc>
        <w:tc>
          <w:tcPr>
            <w:tcW w:w="5" w:type="pct"/>
            <w:vAlign w:val="center"/>
            <w:hideMark/>
          </w:tcPr>
          <w:p w14:paraId="09F22B74" w14:textId="77777777" w:rsidR="00000000" w:rsidRDefault="00405D16">
            <w:pPr>
              <w:spacing w:after="100"/>
              <w:rPr>
                <w:rFonts w:eastAsia="Times New Roman"/>
                <w:sz w:val="20"/>
                <w:szCs w:val="20"/>
              </w:rPr>
            </w:pPr>
          </w:p>
        </w:tc>
        <w:tc>
          <w:tcPr>
            <w:tcW w:w="50" w:type="pct"/>
            <w:vAlign w:val="center"/>
            <w:hideMark/>
          </w:tcPr>
          <w:p w14:paraId="2A79C088" w14:textId="77777777" w:rsidR="00000000" w:rsidRDefault="00405D16">
            <w:pPr>
              <w:spacing w:after="100"/>
              <w:rPr>
                <w:rFonts w:eastAsia="Times New Roman"/>
                <w:sz w:val="20"/>
                <w:szCs w:val="20"/>
              </w:rPr>
            </w:pPr>
          </w:p>
        </w:tc>
        <w:tc>
          <w:tcPr>
            <w:tcW w:w="303" w:type="pct"/>
            <w:gridSpan w:val="3"/>
            <w:vAlign w:val="center"/>
            <w:hideMark/>
          </w:tcPr>
          <w:p w14:paraId="1BDBEE83" w14:textId="77777777" w:rsidR="00000000" w:rsidRDefault="00405D16">
            <w:pPr>
              <w:spacing w:after="100"/>
              <w:rPr>
                <w:rFonts w:eastAsia="Times New Roman"/>
                <w:sz w:val="20"/>
                <w:szCs w:val="20"/>
              </w:rPr>
            </w:pPr>
          </w:p>
        </w:tc>
        <w:tc>
          <w:tcPr>
            <w:tcW w:w="5" w:type="pct"/>
            <w:vAlign w:val="center"/>
            <w:hideMark/>
          </w:tcPr>
          <w:p w14:paraId="5F59C78B" w14:textId="77777777" w:rsidR="00000000" w:rsidRDefault="00405D16">
            <w:pPr>
              <w:spacing w:after="100"/>
              <w:rPr>
                <w:rFonts w:eastAsia="Times New Roman"/>
                <w:sz w:val="20"/>
                <w:szCs w:val="20"/>
              </w:rPr>
            </w:pPr>
          </w:p>
        </w:tc>
        <w:tc>
          <w:tcPr>
            <w:tcW w:w="5" w:type="pct"/>
            <w:gridSpan w:val="2"/>
            <w:vAlign w:val="center"/>
            <w:hideMark/>
          </w:tcPr>
          <w:p w14:paraId="124902EE" w14:textId="77777777" w:rsidR="00000000" w:rsidRDefault="00405D16">
            <w:pPr>
              <w:spacing w:after="100"/>
              <w:rPr>
                <w:rFonts w:eastAsia="Times New Roman"/>
                <w:sz w:val="20"/>
                <w:szCs w:val="20"/>
              </w:rPr>
            </w:pPr>
          </w:p>
        </w:tc>
        <w:tc>
          <w:tcPr>
            <w:tcW w:w="26" w:type="pct"/>
            <w:vAlign w:val="center"/>
            <w:hideMark/>
          </w:tcPr>
          <w:p w14:paraId="1602195D" w14:textId="77777777" w:rsidR="00000000" w:rsidRDefault="00405D16">
            <w:pPr>
              <w:spacing w:after="100"/>
              <w:rPr>
                <w:rFonts w:eastAsia="Times New Roman"/>
                <w:sz w:val="20"/>
                <w:szCs w:val="20"/>
              </w:rPr>
            </w:pPr>
          </w:p>
        </w:tc>
        <w:tc>
          <w:tcPr>
            <w:tcW w:w="5" w:type="pct"/>
            <w:vAlign w:val="center"/>
            <w:hideMark/>
          </w:tcPr>
          <w:p w14:paraId="6993C166" w14:textId="77777777" w:rsidR="00000000" w:rsidRDefault="00405D16">
            <w:pPr>
              <w:spacing w:after="100"/>
              <w:rPr>
                <w:rFonts w:eastAsia="Times New Roman"/>
                <w:sz w:val="20"/>
                <w:szCs w:val="20"/>
              </w:rPr>
            </w:pPr>
          </w:p>
        </w:tc>
        <w:tc>
          <w:tcPr>
            <w:tcW w:w="50" w:type="pct"/>
            <w:vAlign w:val="center"/>
            <w:hideMark/>
          </w:tcPr>
          <w:p w14:paraId="646F643B" w14:textId="77777777" w:rsidR="00000000" w:rsidRDefault="00405D16">
            <w:pPr>
              <w:spacing w:after="100"/>
              <w:rPr>
                <w:rFonts w:eastAsia="Times New Roman"/>
                <w:sz w:val="20"/>
                <w:szCs w:val="20"/>
              </w:rPr>
            </w:pPr>
          </w:p>
        </w:tc>
        <w:tc>
          <w:tcPr>
            <w:tcW w:w="464" w:type="pct"/>
            <w:vAlign w:val="center"/>
            <w:hideMark/>
          </w:tcPr>
          <w:p w14:paraId="20652724" w14:textId="77777777" w:rsidR="00000000" w:rsidRDefault="00405D16">
            <w:pPr>
              <w:spacing w:after="100"/>
              <w:rPr>
                <w:rFonts w:eastAsia="Times New Roman"/>
                <w:sz w:val="20"/>
                <w:szCs w:val="20"/>
              </w:rPr>
            </w:pPr>
          </w:p>
        </w:tc>
        <w:tc>
          <w:tcPr>
            <w:tcW w:w="5" w:type="pct"/>
            <w:vAlign w:val="center"/>
            <w:hideMark/>
          </w:tcPr>
          <w:p w14:paraId="639B65A5" w14:textId="77777777" w:rsidR="00000000" w:rsidRDefault="00405D16">
            <w:pPr>
              <w:spacing w:after="100"/>
              <w:rPr>
                <w:rFonts w:eastAsia="Times New Roman"/>
                <w:sz w:val="20"/>
                <w:szCs w:val="20"/>
              </w:rPr>
            </w:pPr>
          </w:p>
        </w:tc>
        <w:tc>
          <w:tcPr>
            <w:tcW w:w="5" w:type="pct"/>
            <w:vAlign w:val="center"/>
            <w:hideMark/>
          </w:tcPr>
          <w:p w14:paraId="5B97556A" w14:textId="77777777" w:rsidR="00000000" w:rsidRDefault="00405D16">
            <w:pPr>
              <w:spacing w:after="100"/>
              <w:rPr>
                <w:rFonts w:eastAsia="Times New Roman"/>
                <w:sz w:val="20"/>
                <w:szCs w:val="20"/>
              </w:rPr>
            </w:pPr>
          </w:p>
        </w:tc>
        <w:tc>
          <w:tcPr>
            <w:tcW w:w="26" w:type="pct"/>
            <w:vAlign w:val="center"/>
            <w:hideMark/>
          </w:tcPr>
          <w:p w14:paraId="57B4A19E" w14:textId="77777777" w:rsidR="00000000" w:rsidRDefault="00405D16">
            <w:pPr>
              <w:spacing w:after="100"/>
              <w:rPr>
                <w:rFonts w:eastAsia="Times New Roman"/>
                <w:sz w:val="20"/>
                <w:szCs w:val="20"/>
              </w:rPr>
            </w:pPr>
          </w:p>
        </w:tc>
        <w:tc>
          <w:tcPr>
            <w:tcW w:w="5" w:type="pct"/>
            <w:vAlign w:val="center"/>
            <w:hideMark/>
          </w:tcPr>
          <w:p w14:paraId="47A909A2" w14:textId="77777777" w:rsidR="00000000" w:rsidRDefault="00405D16">
            <w:pPr>
              <w:spacing w:after="100"/>
              <w:rPr>
                <w:rFonts w:eastAsia="Times New Roman"/>
                <w:sz w:val="20"/>
                <w:szCs w:val="20"/>
              </w:rPr>
            </w:pPr>
          </w:p>
        </w:tc>
        <w:tc>
          <w:tcPr>
            <w:tcW w:w="50" w:type="pct"/>
            <w:vAlign w:val="center"/>
            <w:hideMark/>
          </w:tcPr>
          <w:p w14:paraId="3AE36085" w14:textId="77777777" w:rsidR="00000000" w:rsidRDefault="00405D16">
            <w:pPr>
              <w:spacing w:after="100"/>
              <w:rPr>
                <w:rFonts w:eastAsia="Times New Roman"/>
                <w:sz w:val="20"/>
                <w:szCs w:val="20"/>
              </w:rPr>
            </w:pPr>
          </w:p>
        </w:tc>
        <w:tc>
          <w:tcPr>
            <w:tcW w:w="295" w:type="pct"/>
            <w:vAlign w:val="center"/>
            <w:hideMark/>
          </w:tcPr>
          <w:p w14:paraId="3FFAB1E5" w14:textId="77777777" w:rsidR="00000000" w:rsidRDefault="00405D16">
            <w:pPr>
              <w:spacing w:after="100"/>
              <w:rPr>
                <w:rFonts w:eastAsia="Times New Roman"/>
                <w:sz w:val="20"/>
                <w:szCs w:val="20"/>
              </w:rPr>
            </w:pPr>
          </w:p>
        </w:tc>
        <w:tc>
          <w:tcPr>
            <w:tcW w:w="5" w:type="pct"/>
            <w:vAlign w:val="center"/>
            <w:hideMark/>
          </w:tcPr>
          <w:p w14:paraId="0F878765" w14:textId="77777777" w:rsidR="00000000" w:rsidRDefault="00405D16">
            <w:pPr>
              <w:spacing w:after="100"/>
              <w:rPr>
                <w:rFonts w:eastAsia="Times New Roman"/>
                <w:sz w:val="20"/>
                <w:szCs w:val="20"/>
              </w:rPr>
            </w:pPr>
          </w:p>
        </w:tc>
        <w:tc>
          <w:tcPr>
            <w:tcW w:w="5" w:type="pct"/>
            <w:vAlign w:val="center"/>
            <w:hideMark/>
          </w:tcPr>
          <w:p w14:paraId="5D61E211" w14:textId="77777777" w:rsidR="00000000" w:rsidRDefault="00405D16">
            <w:pPr>
              <w:spacing w:after="100"/>
              <w:rPr>
                <w:rFonts w:eastAsia="Times New Roman"/>
                <w:sz w:val="20"/>
                <w:szCs w:val="20"/>
              </w:rPr>
            </w:pPr>
          </w:p>
        </w:tc>
        <w:tc>
          <w:tcPr>
            <w:tcW w:w="26" w:type="pct"/>
            <w:vAlign w:val="center"/>
            <w:hideMark/>
          </w:tcPr>
          <w:p w14:paraId="0F2A7EBF" w14:textId="77777777" w:rsidR="00000000" w:rsidRDefault="00405D16">
            <w:pPr>
              <w:spacing w:after="100"/>
              <w:rPr>
                <w:rFonts w:eastAsia="Times New Roman"/>
                <w:sz w:val="20"/>
                <w:szCs w:val="20"/>
              </w:rPr>
            </w:pPr>
          </w:p>
        </w:tc>
        <w:tc>
          <w:tcPr>
            <w:tcW w:w="5" w:type="pct"/>
            <w:vAlign w:val="center"/>
            <w:hideMark/>
          </w:tcPr>
          <w:p w14:paraId="6C4D0D52" w14:textId="77777777" w:rsidR="00000000" w:rsidRDefault="00405D16">
            <w:pPr>
              <w:spacing w:after="100"/>
              <w:rPr>
                <w:rFonts w:eastAsia="Times New Roman"/>
                <w:sz w:val="20"/>
                <w:szCs w:val="20"/>
              </w:rPr>
            </w:pPr>
          </w:p>
        </w:tc>
        <w:tc>
          <w:tcPr>
            <w:tcW w:w="50" w:type="pct"/>
            <w:vAlign w:val="center"/>
            <w:hideMark/>
          </w:tcPr>
          <w:p w14:paraId="6304FBDF" w14:textId="77777777" w:rsidR="00000000" w:rsidRDefault="00405D16">
            <w:pPr>
              <w:spacing w:after="100"/>
              <w:rPr>
                <w:rFonts w:eastAsia="Times New Roman"/>
                <w:sz w:val="20"/>
                <w:szCs w:val="20"/>
              </w:rPr>
            </w:pPr>
          </w:p>
        </w:tc>
        <w:tc>
          <w:tcPr>
            <w:tcW w:w="413" w:type="pct"/>
            <w:gridSpan w:val="3"/>
            <w:vAlign w:val="center"/>
            <w:hideMark/>
          </w:tcPr>
          <w:p w14:paraId="513F883B" w14:textId="77777777" w:rsidR="00000000" w:rsidRDefault="00405D16">
            <w:pPr>
              <w:spacing w:after="100"/>
              <w:rPr>
                <w:rFonts w:eastAsia="Times New Roman"/>
                <w:sz w:val="20"/>
                <w:szCs w:val="20"/>
              </w:rPr>
            </w:pPr>
          </w:p>
        </w:tc>
        <w:tc>
          <w:tcPr>
            <w:tcW w:w="5" w:type="pct"/>
            <w:vAlign w:val="center"/>
            <w:hideMark/>
          </w:tcPr>
          <w:p w14:paraId="0D5A20B2" w14:textId="77777777" w:rsidR="00000000" w:rsidRDefault="00405D16">
            <w:pPr>
              <w:spacing w:after="100"/>
              <w:rPr>
                <w:rFonts w:eastAsia="Times New Roman"/>
                <w:sz w:val="20"/>
                <w:szCs w:val="20"/>
              </w:rPr>
            </w:pPr>
          </w:p>
        </w:tc>
      </w:tr>
      <w:tr w:rsidR="00000000" w14:paraId="3B689848" w14:textId="77777777">
        <w:trPr>
          <w:divId w:val="553853218"/>
          <w:trHeight w:val="220"/>
        </w:trPr>
        <w:tc>
          <w:tcPr>
            <w:tcW w:w="0" w:type="auto"/>
            <w:gridSpan w:val="4"/>
            <w:vMerge w:val="restart"/>
            <w:tcMar>
              <w:top w:w="30" w:type="dxa"/>
              <w:left w:w="20" w:type="dxa"/>
              <w:bottom w:w="30" w:type="dxa"/>
              <w:right w:w="20" w:type="dxa"/>
            </w:tcMar>
            <w:vAlign w:val="bottom"/>
            <w:hideMark/>
          </w:tcPr>
          <w:p w14:paraId="34B00603" w14:textId="77777777" w:rsidR="00000000" w:rsidRDefault="00405D16">
            <w:pPr>
              <w:spacing w:after="100"/>
              <w:rPr>
                <w:rFonts w:eastAsia="Times New Roman"/>
              </w:rPr>
            </w:pPr>
            <w:r>
              <w:rPr>
                <w:rFonts w:eastAsia="Times New Roman"/>
                <w:i/>
                <w:iCs/>
                <w:color w:val="000000"/>
                <w:sz w:val="14"/>
                <w:szCs w:val="14"/>
              </w:rPr>
              <w:t>(Dollars in millions)</w:t>
            </w:r>
          </w:p>
        </w:tc>
        <w:tc>
          <w:tcPr>
            <w:tcW w:w="0" w:type="auto"/>
            <w:gridSpan w:val="3"/>
            <w:vMerge w:val="restart"/>
            <w:tcMar>
              <w:top w:w="0" w:type="dxa"/>
              <w:left w:w="20" w:type="dxa"/>
              <w:bottom w:w="0" w:type="dxa"/>
              <w:right w:w="20" w:type="dxa"/>
            </w:tcMar>
            <w:vAlign w:val="center"/>
            <w:hideMark/>
          </w:tcPr>
          <w:p w14:paraId="5FE36E0A" w14:textId="77777777" w:rsidR="00000000" w:rsidRDefault="00405D16">
            <w:pPr>
              <w:spacing w:after="100"/>
              <w:rPr>
                <w:rFonts w:eastAsia="Times New Roman"/>
              </w:rPr>
            </w:pPr>
          </w:p>
        </w:tc>
        <w:tc>
          <w:tcPr>
            <w:tcW w:w="0" w:type="auto"/>
            <w:gridSpan w:val="10"/>
            <w:tcMar>
              <w:top w:w="30" w:type="dxa"/>
              <w:left w:w="20" w:type="dxa"/>
              <w:bottom w:w="30" w:type="dxa"/>
              <w:right w:w="20" w:type="dxa"/>
            </w:tcMar>
            <w:vAlign w:val="bottom"/>
            <w:hideMark/>
          </w:tcPr>
          <w:p w14:paraId="33016461" w14:textId="77777777" w:rsidR="00000000" w:rsidRDefault="00405D16">
            <w:pPr>
              <w:spacing w:after="100"/>
              <w:jc w:val="center"/>
              <w:rPr>
                <w:rFonts w:eastAsia="Times New Roman"/>
              </w:rPr>
            </w:pPr>
            <w:r>
              <w:rPr>
                <w:rFonts w:eastAsia="Times New Roman"/>
                <w:b/>
                <w:bCs/>
                <w:color w:val="000000"/>
                <w:sz w:val="14"/>
                <w:szCs w:val="14"/>
              </w:rPr>
              <w:t>Preferred Stock</w:t>
            </w:r>
          </w:p>
        </w:tc>
        <w:tc>
          <w:tcPr>
            <w:tcW w:w="0" w:type="auto"/>
            <w:gridSpan w:val="3"/>
            <w:tcMar>
              <w:top w:w="0" w:type="dxa"/>
              <w:left w:w="20" w:type="dxa"/>
              <w:bottom w:w="0" w:type="dxa"/>
              <w:right w:w="20" w:type="dxa"/>
            </w:tcMar>
            <w:vAlign w:val="center"/>
            <w:hideMark/>
          </w:tcPr>
          <w:p w14:paraId="5774A28C" w14:textId="77777777" w:rsidR="00000000" w:rsidRDefault="00405D16">
            <w:pPr>
              <w:spacing w:after="100"/>
              <w:jc w:val="center"/>
              <w:rPr>
                <w:rFonts w:eastAsia="Times New Roman"/>
              </w:rPr>
            </w:pPr>
          </w:p>
        </w:tc>
        <w:tc>
          <w:tcPr>
            <w:tcW w:w="0" w:type="auto"/>
            <w:gridSpan w:val="11"/>
            <w:tcMar>
              <w:top w:w="30" w:type="dxa"/>
              <w:left w:w="20" w:type="dxa"/>
              <w:bottom w:w="30" w:type="dxa"/>
              <w:right w:w="20" w:type="dxa"/>
            </w:tcMar>
            <w:vAlign w:val="bottom"/>
            <w:hideMark/>
          </w:tcPr>
          <w:p w14:paraId="308CAF60" w14:textId="77777777" w:rsidR="00000000" w:rsidRDefault="00405D16">
            <w:pPr>
              <w:spacing w:after="100"/>
              <w:jc w:val="center"/>
              <w:rPr>
                <w:rFonts w:eastAsia="Times New Roman"/>
              </w:rPr>
            </w:pPr>
            <w:r>
              <w:rPr>
                <w:rFonts w:eastAsia="Times New Roman"/>
                <w:b/>
                <w:bCs/>
                <w:color w:val="000000"/>
                <w:sz w:val="14"/>
                <w:szCs w:val="14"/>
              </w:rPr>
              <w:t>Common Stock</w:t>
            </w:r>
          </w:p>
        </w:tc>
        <w:tc>
          <w:tcPr>
            <w:tcW w:w="0" w:type="auto"/>
            <w:gridSpan w:val="3"/>
            <w:tcMar>
              <w:top w:w="0" w:type="dxa"/>
              <w:left w:w="20" w:type="dxa"/>
              <w:bottom w:w="0" w:type="dxa"/>
              <w:right w:w="20" w:type="dxa"/>
            </w:tcMar>
            <w:vAlign w:val="center"/>
            <w:hideMark/>
          </w:tcPr>
          <w:p w14:paraId="2030B98A" w14:textId="77777777" w:rsidR="00000000" w:rsidRDefault="00405D1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084A9770" w14:textId="77777777" w:rsidR="00000000" w:rsidRDefault="00405D16">
            <w:pPr>
              <w:spacing w:after="100"/>
              <w:jc w:val="center"/>
              <w:rPr>
                <w:rFonts w:eastAsia="Times New Roman"/>
              </w:rPr>
            </w:pPr>
            <w:r>
              <w:rPr>
                <w:rFonts w:eastAsia="Times New Roman"/>
                <w:b/>
                <w:bCs/>
                <w:color w:val="000000"/>
                <w:sz w:val="14"/>
                <w:szCs w:val="14"/>
              </w:rPr>
              <w:t>Additional</w:t>
            </w:r>
            <w:r>
              <w:rPr>
                <w:rFonts w:eastAsia="Times New Roman"/>
                <w:b/>
                <w:bCs/>
                <w:color w:val="000000"/>
                <w:sz w:val="14"/>
                <w:szCs w:val="14"/>
              </w:rPr>
              <w:br/>
              <w:t>Paid-In</w:t>
            </w:r>
            <w:r>
              <w:rPr>
                <w:rFonts w:eastAsia="Times New Roman"/>
                <w:b/>
                <w:bCs/>
                <w:color w:val="000000"/>
                <w:sz w:val="14"/>
                <w:szCs w:val="14"/>
              </w:rPr>
              <w:br/>
              <w:t>Capital</w:t>
            </w:r>
          </w:p>
        </w:tc>
        <w:tc>
          <w:tcPr>
            <w:tcW w:w="0" w:type="auto"/>
            <w:gridSpan w:val="3"/>
            <w:vMerge w:val="restart"/>
            <w:tcMar>
              <w:top w:w="0" w:type="dxa"/>
              <w:left w:w="20" w:type="dxa"/>
              <w:bottom w:w="0" w:type="dxa"/>
              <w:right w:w="20" w:type="dxa"/>
            </w:tcMar>
            <w:vAlign w:val="center"/>
            <w:hideMark/>
          </w:tcPr>
          <w:p w14:paraId="30A04EEC" w14:textId="77777777" w:rsidR="00000000" w:rsidRDefault="00405D16">
            <w:pPr>
              <w:spacing w:after="100"/>
              <w:jc w:val="center"/>
              <w:rPr>
                <w:rFonts w:eastAsia="Times New Roman"/>
              </w:rPr>
            </w:pPr>
          </w:p>
        </w:tc>
        <w:tc>
          <w:tcPr>
            <w:tcW w:w="0" w:type="auto"/>
            <w:gridSpan w:val="5"/>
            <w:vMerge w:val="restart"/>
            <w:tcMar>
              <w:top w:w="30" w:type="dxa"/>
              <w:left w:w="20" w:type="dxa"/>
              <w:bottom w:w="30" w:type="dxa"/>
              <w:right w:w="20" w:type="dxa"/>
            </w:tcMar>
            <w:vAlign w:val="bottom"/>
            <w:hideMark/>
          </w:tcPr>
          <w:p w14:paraId="11008629" w14:textId="77777777" w:rsidR="00000000" w:rsidRDefault="00405D16">
            <w:pPr>
              <w:spacing w:after="100"/>
              <w:jc w:val="center"/>
              <w:rPr>
                <w:rFonts w:eastAsia="Times New Roman"/>
              </w:rPr>
            </w:pPr>
            <w:r>
              <w:rPr>
                <w:rFonts w:eastAsia="Times New Roman"/>
                <w:b/>
                <w:bCs/>
                <w:color w:val="000000"/>
                <w:sz w:val="14"/>
                <w:szCs w:val="14"/>
              </w:rPr>
              <w:t>Retained Earnings</w:t>
            </w:r>
          </w:p>
        </w:tc>
        <w:tc>
          <w:tcPr>
            <w:tcW w:w="0" w:type="auto"/>
            <w:gridSpan w:val="4"/>
            <w:vMerge w:val="restart"/>
            <w:tcMar>
              <w:top w:w="0" w:type="dxa"/>
              <w:left w:w="20" w:type="dxa"/>
              <w:bottom w:w="0" w:type="dxa"/>
              <w:right w:w="20" w:type="dxa"/>
            </w:tcMar>
            <w:vAlign w:val="center"/>
            <w:hideMark/>
          </w:tcPr>
          <w:p w14:paraId="5C277EE0" w14:textId="77777777" w:rsidR="00000000" w:rsidRDefault="00405D1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723B491D" w14:textId="77777777" w:rsidR="00000000" w:rsidRDefault="00405D16">
            <w:pPr>
              <w:spacing w:after="100"/>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Other</w:t>
            </w:r>
            <w:r>
              <w:rPr>
                <w:rFonts w:eastAsia="Times New Roman"/>
                <w:b/>
                <w:bCs/>
                <w:color w:val="000000"/>
                <w:sz w:val="14"/>
                <w:szCs w:val="14"/>
              </w:rPr>
              <w:br/>
              <w:t>Comprehensive</w:t>
            </w:r>
            <w:r>
              <w:rPr>
                <w:rFonts w:eastAsia="Times New Roman"/>
                <w:b/>
                <w:bCs/>
                <w:color w:val="000000"/>
                <w:sz w:val="14"/>
                <w:szCs w:val="14"/>
              </w:rPr>
              <w:br/>
              <w:t>Income (Loss)</w:t>
            </w:r>
          </w:p>
        </w:tc>
        <w:tc>
          <w:tcPr>
            <w:tcW w:w="0" w:type="auto"/>
            <w:gridSpan w:val="3"/>
            <w:vMerge w:val="restart"/>
            <w:tcMar>
              <w:top w:w="0" w:type="dxa"/>
              <w:left w:w="20" w:type="dxa"/>
              <w:bottom w:w="0" w:type="dxa"/>
              <w:right w:w="20" w:type="dxa"/>
            </w:tcMar>
            <w:vAlign w:val="center"/>
            <w:hideMark/>
          </w:tcPr>
          <w:p w14:paraId="6770D365" w14:textId="77777777" w:rsidR="00000000" w:rsidRDefault="00405D1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6E6ABF40" w14:textId="77777777" w:rsidR="00000000" w:rsidRDefault="00405D16">
            <w:pPr>
              <w:spacing w:after="100"/>
              <w:jc w:val="center"/>
              <w:rPr>
                <w:rFonts w:eastAsia="Times New Roman"/>
              </w:rPr>
            </w:pPr>
            <w:r>
              <w:rPr>
                <w:rFonts w:eastAsia="Times New Roman"/>
                <w:b/>
                <w:bCs/>
                <w:color w:val="000000"/>
                <w:sz w:val="14"/>
                <w:szCs w:val="14"/>
              </w:rPr>
              <w:t>Treasury</w:t>
            </w:r>
            <w:r>
              <w:rPr>
                <w:rFonts w:eastAsia="Times New Roman"/>
                <w:b/>
                <w:bCs/>
                <w:color w:val="000000"/>
                <w:sz w:val="14"/>
                <w:szCs w:val="14"/>
              </w:rPr>
              <w:br/>
              <w:t>Stock</w:t>
            </w:r>
          </w:p>
        </w:tc>
        <w:tc>
          <w:tcPr>
            <w:tcW w:w="0" w:type="auto"/>
            <w:gridSpan w:val="3"/>
            <w:vMerge w:val="restart"/>
            <w:tcMar>
              <w:top w:w="0" w:type="dxa"/>
              <w:left w:w="20" w:type="dxa"/>
              <w:bottom w:w="0" w:type="dxa"/>
              <w:right w:w="20" w:type="dxa"/>
            </w:tcMar>
            <w:vAlign w:val="center"/>
            <w:hideMark/>
          </w:tcPr>
          <w:p w14:paraId="1037FA3B" w14:textId="77777777" w:rsidR="00000000" w:rsidRDefault="00405D16">
            <w:pPr>
              <w:spacing w:after="100"/>
              <w:jc w:val="center"/>
              <w:rPr>
                <w:rFonts w:eastAsia="Times New Roman"/>
              </w:rPr>
            </w:pPr>
          </w:p>
        </w:tc>
        <w:tc>
          <w:tcPr>
            <w:tcW w:w="0" w:type="auto"/>
            <w:gridSpan w:val="5"/>
            <w:vMerge w:val="restart"/>
            <w:tcMar>
              <w:top w:w="30" w:type="dxa"/>
              <w:left w:w="20" w:type="dxa"/>
              <w:bottom w:w="30" w:type="dxa"/>
              <w:right w:w="20" w:type="dxa"/>
            </w:tcMar>
            <w:vAlign w:val="bottom"/>
            <w:hideMark/>
          </w:tcPr>
          <w:p w14:paraId="4E876633" w14:textId="77777777" w:rsidR="00000000" w:rsidRDefault="00405D16">
            <w:pPr>
              <w:spacing w:after="100"/>
              <w:jc w:val="center"/>
              <w:rPr>
                <w:rFonts w:eastAsia="Times New Roman"/>
              </w:rPr>
            </w:pPr>
            <w:r>
              <w:rPr>
                <w:rFonts w:eastAsia="Times New Roman"/>
                <w:b/>
                <w:bCs/>
                <w:color w:val="000000"/>
                <w:sz w:val="14"/>
                <w:szCs w:val="14"/>
              </w:rPr>
              <w:t>Total</w:t>
            </w:r>
            <w:r>
              <w:rPr>
                <w:rFonts w:eastAsia="Times New Roman"/>
                <w:b/>
                <w:bCs/>
                <w:color w:val="000000"/>
                <w:sz w:val="14"/>
                <w:szCs w:val="14"/>
              </w:rPr>
              <w:br/>
            </w:r>
            <w:r>
              <w:rPr>
                <w:rFonts w:eastAsia="Times New Roman"/>
                <w:b/>
                <w:bCs/>
                <w:color w:val="000000"/>
                <w:sz w:val="14"/>
                <w:szCs w:val="14"/>
              </w:rPr>
              <w:t>Stockholders’</w:t>
            </w:r>
            <w:r>
              <w:rPr>
                <w:rFonts w:eastAsia="Times New Roman"/>
                <w:b/>
                <w:bCs/>
                <w:color w:val="000000"/>
                <w:sz w:val="14"/>
                <w:szCs w:val="14"/>
              </w:rPr>
              <w:br/>
              <w:t>Equity</w:t>
            </w:r>
          </w:p>
        </w:tc>
      </w:tr>
      <w:tr w:rsidR="00000000" w14:paraId="7FEE3470" w14:textId="77777777">
        <w:trPr>
          <w:divId w:val="553853218"/>
          <w:trHeight w:val="400"/>
        </w:trPr>
        <w:tc>
          <w:tcPr>
            <w:tcW w:w="0" w:type="auto"/>
            <w:gridSpan w:val="4"/>
            <w:vMerge/>
            <w:vAlign w:val="center"/>
            <w:hideMark/>
          </w:tcPr>
          <w:p w14:paraId="36A6CF42" w14:textId="77777777" w:rsidR="00000000" w:rsidRDefault="00405D16">
            <w:pPr>
              <w:spacing w:after="100"/>
              <w:rPr>
                <w:rFonts w:eastAsia="Times New Roman"/>
              </w:rPr>
            </w:pPr>
          </w:p>
        </w:tc>
        <w:tc>
          <w:tcPr>
            <w:tcW w:w="0" w:type="auto"/>
            <w:gridSpan w:val="3"/>
            <w:vMerge/>
            <w:vAlign w:val="center"/>
            <w:hideMark/>
          </w:tcPr>
          <w:p w14:paraId="3869ED4B"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2C139AD" w14:textId="77777777" w:rsidR="00000000" w:rsidRDefault="00405D16">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14:paraId="59CE7D1C" w14:textId="77777777" w:rsidR="00000000" w:rsidRDefault="00405D16">
            <w:pPr>
              <w:spacing w:after="100"/>
              <w:jc w:val="center"/>
              <w:rPr>
                <w:rFonts w:eastAsia="Times New Roman"/>
              </w:rPr>
            </w:pPr>
          </w:p>
        </w:tc>
        <w:tc>
          <w:tcPr>
            <w:tcW w:w="0" w:type="auto"/>
            <w:gridSpan w:val="4"/>
            <w:tcBorders>
              <w:top w:val="single" w:sz="8" w:space="0" w:color="000000"/>
            </w:tcBorders>
            <w:tcMar>
              <w:top w:w="30" w:type="dxa"/>
              <w:left w:w="20" w:type="dxa"/>
              <w:bottom w:w="30" w:type="dxa"/>
              <w:right w:w="20" w:type="dxa"/>
            </w:tcMar>
            <w:vAlign w:val="bottom"/>
            <w:hideMark/>
          </w:tcPr>
          <w:p w14:paraId="61A27E27" w14:textId="77777777" w:rsidR="00000000" w:rsidRDefault="00405D16">
            <w:pPr>
              <w:spacing w:after="100"/>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14:paraId="31CE75FC" w14:textId="77777777" w:rsidR="00000000" w:rsidRDefault="00405D16">
            <w:pPr>
              <w:spacing w:after="100"/>
              <w:jc w:val="center"/>
              <w:rPr>
                <w:rFonts w:eastAsia="Times New Roman"/>
              </w:rPr>
            </w:pPr>
          </w:p>
        </w:tc>
        <w:tc>
          <w:tcPr>
            <w:tcW w:w="0" w:type="auto"/>
            <w:gridSpan w:val="5"/>
            <w:tcBorders>
              <w:top w:val="single" w:sz="8" w:space="0" w:color="000000"/>
            </w:tcBorders>
            <w:tcMar>
              <w:top w:w="30" w:type="dxa"/>
              <w:left w:w="20" w:type="dxa"/>
              <w:bottom w:w="30" w:type="dxa"/>
              <w:right w:w="20" w:type="dxa"/>
            </w:tcMar>
            <w:vAlign w:val="bottom"/>
            <w:hideMark/>
          </w:tcPr>
          <w:p w14:paraId="589119E4" w14:textId="77777777" w:rsidR="00000000" w:rsidRDefault="00405D16">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14:paraId="519B1565"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590AE2A" w14:textId="77777777" w:rsidR="00000000" w:rsidRDefault="00405D16">
            <w:pPr>
              <w:spacing w:after="100"/>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14:paraId="5A765F5E" w14:textId="77777777" w:rsidR="00000000" w:rsidRDefault="00405D16">
            <w:pPr>
              <w:spacing w:after="100"/>
              <w:jc w:val="center"/>
              <w:rPr>
                <w:rFonts w:eastAsia="Times New Roman"/>
              </w:rPr>
            </w:pPr>
          </w:p>
        </w:tc>
        <w:tc>
          <w:tcPr>
            <w:tcW w:w="0" w:type="auto"/>
            <w:gridSpan w:val="3"/>
            <w:vMerge/>
            <w:vAlign w:val="center"/>
            <w:hideMark/>
          </w:tcPr>
          <w:p w14:paraId="0A357863" w14:textId="77777777" w:rsidR="00000000" w:rsidRDefault="00405D16">
            <w:pPr>
              <w:spacing w:after="100"/>
              <w:rPr>
                <w:rFonts w:eastAsia="Times New Roman"/>
              </w:rPr>
            </w:pPr>
          </w:p>
        </w:tc>
        <w:tc>
          <w:tcPr>
            <w:tcW w:w="0" w:type="auto"/>
            <w:gridSpan w:val="3"/>
            <w:vMerge/>
            <w:vAlign w:val="center"/>
            <w:hideMark/>
          </w:tcPr>
          <w:p w14:paraId="40581C45" w14:textId="77777777" w:rsidR="00000000" w:rsidRDefault="00405D16">
            <w:pPr>
              <w:spacing w:after="100"/>
              <w:rPr>
                <w:rFonts w:eastAsia="Times New Roman"/>
              </w:rPr>
            </w:pPr>
          </w:p>
        </w:tc>
        <w:tc>
          <w:tcPr>
            <w:tcW w:w="0" w:type="auto"/>
            <w:gridSpan w:val="5"/>
            <w:vMerge/>
            <w:vAlign w:val="center"/>
            <w:hideMark/>
          </w:tcPr>
          <w:p w14:paraId="0F4166A6" w14:textId="77777777" w:rsidR="00000000" w:rsidRDefault="00405D16">
            <w:pPr>
              <w:spacing w:after="100"/>
              <w:rPr>
                <w:rFonts w:eastAsia="Times New Roman"/>
              </w:rPr>
            </w:pPr>
          </w:p>
        </w:tc>
        <w:tc>
          <w:tcPr>
            <w:tcW w:w="0" w:type="auto"/>
            <w:gridSpan w:val="4"/>
            <w:vMerge/>
            <w:vAlign w:val="center"/>
            <w:hideMark/>
          </w:tcPr>
          <w:p w14:paraId="5B0BB124" w14:textId="77777777" w:rsidR="00000000" w:rsidRDefault="00405D16">
            <w:pPr>
              <w:spacing w:after="100"/>
              <w:rPr>
                <w:rFonts w:eastAsia="Times New Roman"/>
              </w:rPr>
            </w:pPr>
          </w:p>
        </w:tc>
        <w:tc>
          <w:tcPr>
            <w:tcW w:w="0" w:type="auto"/>
            <w:gridSpan w:val="3"/>
            <w:vMerge/>
            <w:vAlign w:val="center"/>
            <w:hideMark/>
          </w:tcPr>
          <w:p w14:paraId="6A978CD0" w14:textId="77777777" w:rsidR="00000000" w:rsidRDefault="00405D16">
            <w:pPr>
              <w:spacing w:after="100"/>
              <w:rPr>
                <w:rFonts w:eastAsia="Times New Roman"/>
              </w:rPr>
            </w:pPr>
          </w:p>
        </w:tc>
        <w:tc>
          <w:tcPr>
            <w:tcW w:w="0" w:type="auto"/>
            <w:gridSpan w:val="3"/>
            <w:vMerge/>
            <w:vAlign w:val="center"/>
            <w:hideMark/>
          </w:tcPr>
          <w:p w14:paraId="5302067D" w14:textId="77777777" w:rsidR="00000000" w:rsidRDefault="00405D16">
            <w:pPr>
              <w:spacing w:after="100"/>
              <w:rPr>
                <w:rFonts w:eastAsia="Times New Roman"/>
              </w:rPr>
            </w:pPr>
          </w:p>
        </w:tc>
        <w:tc>
          <w:tcPr>
            <w:tcW w:w="0" w:type="auto"/>
            <w:gridSpan w:val="3"/>
            <w:vMerge/>
            <w:vAlign w:val="center"/>
            <w:hideMark/>
          </w:tcPr>
          <w:p w14:paraId="0FBFDE14" w14:textId="77777777" w:rsidR="00000000" w:rsidRDefault="00405D16">
            <w:pPr>
              <w:spacing w:after="100"/>
              <w:rPr>
                <w:rFonts w:eastAsia="Times New Roman"/>
              </w:rPr>
            </w:pPr>
          </w:p>
        </w:tc>
        <w:tc>
          <w:tcPr>
            <w:tcW w:w="0" w:type="auto"/>
            <w:gridSpan w:val="3"/>
            <w:vMerge/>
            <w:vAlign w:val="center"/>
            <w:hideMark/>
          </w:tcPr>
          <w:p w14:paraId="4EB7519F" w14:textId="77777777" w:rsidR="00000000" w:rsidRDefault="00405D16">
            <w:pPr>
              <w:spacing w:after="100"/>
              <w:rPr>
                <w:rFonts w:eastAsia="Times New Roman"/>
              </w:rPr>
            </w:pPr>
          </w:p>
        </w:tc>
        <w:tc>
          <w:tcPr>
            <w:tcW w:w="0" w:type="auto"/>
            <w:gridSpan w:val="5"/>
            <w:vMerge/>
            <w:vAlign w:val="center"/>
            <w:hideMark/>
          </w:tcPr>
          <w:p w14:paraId="69C32EFB" w14:textId="77777777" w:rsidR="00000000" w:rsidRDefault="00405D16">
            <w:pPr>
              <w:spacing w:after="100"/>
              <w:rPr>
                <w:rFonts w:eastAsia="Times New Roman"/>
              </w:rPr>
            </w:pPr>
          </w:p>
        </w:tc>
      </w:tr>
      <w:tr w:rsidR="00000000" w14:paraId="682BCB7B" w14:textId="77777777">
        <w:trPr>
          <w:divId w:val="553853218"/>
        </w:trPr>
        <w:tc>
          <w:tcPr>
            <w:tcW w:w="0" w:type="auto"/>
            <w:gridSpan w:val="4"/>
            <w:vAlign w:val="center"/>
            <w:hideMark/>
          </w:tcPr>
          <w:p w14:paraId="705EA40C" w14:textId="77777777" w:rsidR="00000000" w:rsidRDefault="00405D16">
            <w:pPr>
              <w:spacing w:after="100"/>
              <w:rPr>
                <w:rFonts w:eastAsia="Times New Roman"/>
                <w:sz w:val="20"/>
                <w:szCs w:val="20"/>
              </w:rPr>
            </w:pPr>
          </w:p>
        </w:tc>
        <w:tc>
          <w:tcPr>
            <w:tcW w:w="0" w:type="auto"/>
            <w:gridSpan w:val="3"/>
            <w:vAlign w:val="center"/>
            <w:hideMark/>
          </w:tcPr>
          <w:p w14:paraId="79C847D5" w14:textId="77777777" w:rsidR="00000000" w:rsidRDefault="00405D16">
            <w:pPr>
              <w:spacing w:after="100"/>
              <w:rPr>
                <w:rFonts w:eastAsia="Times New Roman"/>
                <w:sz w:val="20"/>
                <w:szCs w:val="20"/>
              </w:rPr>
            </w:pPr>
          </w:p>
        </w:tc>
        <w:tc>
          <w:tcPr>
            <w:tcW w:w="0" w:type="auto"/>
            <w:gridSpan w:val="3"/>
            <w:vAlign w:val="center"/>
            <w:hideMark/>
          </w:tcPr>
          <w:p w14:paraId="1378B0BD" w14:textId="77777777" w:rsidR="00000000" w:rsidRDefault="00405D16">
            <w:pPr>
              <w:spacing w:after="100"/>
              <w:rPr>
                <w:rFonts w:eastAsia="Times New Roman"/>
                <w:sz w:val="20"/>
                <w:szCs w:val="20"/>
              </w:rPr>
            </w:pPr>
          </w:p>
        </w:tc>
        <w:tc>
          <w:tcPr>
            <w:tcW w:w="0" w:type="auto"/>
            <w:gridSpan w:val="3"/>
            <w:vAlign w:val="center"/>
            <w:hideMark/>
          </w:tcPr>
          <w:p w14:paraId="18210DF7" w14:textId="77777777" w:rsidR="00000000" w:rsidRDefault="00405D16">
            <w:pPr>
              <w:spacing w:after="100"/>
              <w:rPr>
                <w:rFonts w:eastAsia="Times New Roman"/>
                <w:sz w:val="20"/>
                <w:szCs w:val="20"/>
              </w:rPr>
            </w:pPr>
          </w:p>
        </w:tc>
        <w:tc>
          <w:tcPr>
            <w:tcW w:w="0" w:type="auto"/>
            <w:gridSpan w:val="4"/>
            <w:vAlign w:val="center"/>
            <w:hideMark/>
          </w:tcPr>
          <w:p w14:paraId="47218543" w14:textId="77777777" w:rsidR="00000000" w:rsidRDefault="00405D16">
            <w:pPr>
              <w:spacing w:after="100"/>
              <w:rPr>
                <w:rFonts w:eastAsia="Times New Roman"/>
                <w:sz w:val="20"/>
                <w:szCs w:val="20"/>
              </w:rPr>
            </w:pPr>
          </w:p>
        </w:tc>
        <w:tc>
          <w:tcPr>
            <w:tcW w:w="0" w:type="auto"/>
            <w:gridSpan w:val="3"/>
            <w:vAlign w:val="center"/>
            <w:hideMark/>
          </w:tcPr>
          <w:p w14:paraId="6C022E95" w14:textId="77777777" w:rsidR="00000000" w:rsidRDefault="00405D16">
            <w:pPr>
              <w:spacing w:after="100"/>
              <w:rPr>
                <w:rFonts w:eastAsia="Times New Roman"/>
                <w:sz w:val="20"/>
                <w:szCs w:val="20"/>
              </w:rPr>
            </w:pPr>
          </w:p>
        </w:tc>
        <w:tc>
          <w:tcPr>
            <w:tcW w:w="0" w:type="auto"/>
            <w:gridSpan w:val="5"/>
            <w:vAlign w:val="center"/>
            <w:hideMark/>
          </w:tcPr>
          <w:p w14:paraId="2AC202C4" w14:textId="77777777" w:rsidR="00000000" w:rsidRDefault="00405D16">
            <w:pPr>
              <w:spacing w:after="100"/>
              <w:rPr>
                <w:rFonts w:eastAsia="Times New Roman"/>
                <w:sz w:val="20"/>
                <w:szCs w:val="20"/>
              </w:rPr>
            </w:pPr>
          </w:p>
        </w:tc>
        <w:tc>
          <w:tcPr>
            <w:tcW w:w="0" w:type="auto"/>
            <w:gridSpan w:val="3"/>
            <w:vAlign w:val="center"/>
            <w:hideMark/>
          </w:tcPr>
          <w:p w14:paraId="6FF0DDC3" w14:textId="77777777" w:rsidR="00000000" w:rsidRDefault="00405D16">
            <w:pPr>
              <w:spacing w:after="100"/>
              <w:rPr>
                <w:rFonts w:eastAsia="Times New Roman"/>
                <w:sz w:val="20"/>
                <w:szCs w:val="20"/>
              </w:rPr>
            </w:pPr>
          </w:p>
        </w:tc>
        <w:tc>
          <w:tcPr>
            <w:tcW w:w="0" w:type="auto"/>
            <w:gridSpan w:val="3"/>
            <w:vAlign w:val="center"/>
            <w:hideMark/>
          </w:tcPr>
          <w:p w14:paraId="06786366" w14:textId="77777777" w:rsidR="00000000" w:rsidRDefault="00405D16">
            <w:pPr>
              <w:spacing w:after="100"/>
              <w:rPr>
                <w:rFonts w:eastAsia="Times New Roman"/>
                <w:sz w:val="20"/>
                <w:szCs w:val="20"/>
              </w:rPr>
            </w:pPr>
          </w:p>
        </w:tc>
        <w:tc>
          <w:tcPr>
            <w:tcW w:w="0" w:type="auto"/>
            <w:gridSpan w:val="3"/>
            <w:vAlign w:val="center"/>
            <w:hideMark/>
          </w:tcPr>
          <w:p w14:paraId="538A06B6" w14:textId="77777777" w:rsidR="00000000" w:rsidRDefault="00405D16">
            <w:pPr>
              <w:spacing w:after="100"/>
              <w:rPr>
                <w:rFonts w:eastAsia="Times New Roman"/>
                <w:sz w:val="20"/>
                <w:szCs w:val="20"/>
              </w:rPr>
            </w:pPr>
          </w:p>
        </w:tc>
        <w:tc>
          <w:tcPr>
            <w:tcW w:w="0" w:type="auto"/>
            <w:gridSpan w:val="3"/>
            <w:vAlign w:val="center"/>
            <w:hideMark/>
          </w:tcPr>
          <w:p w14:paraId="713058F8" w14:textId="77777777" w:rsidR="00000000" w:rsidRDefault="00405D16">
            <w:pPr>
              <w:spacing w:after="100"/>
              <w:rPr>
                <w:rFonts w:eastAsia="Times New Roman"/>
                <w:sz w:val="20"/>
                <w:szCs w:val="20"/>
              </w:rPr>
            </w:pPr>
          </w:p>
        </w:tc>
        <w:tc>
          <w:tcPr>
            <w:tcW w:w="0" w:type="auto"/>
            <w:gridSpan w:val="3"/>
            <w:vAlign w:val="center"/>
            <w:hideMark/>
          </w:tcPr>
          <w:p w14:paraId="66D20EAA" w14:textId="77777777" w:rsidR="00000000" w:rsidRDefault="00405D16">
            <w:pPr>
              <w:spacing w:after="100"/>
              <w:rPr>
                <w:rFonts w:eastAsia="Times New Roman"/>
                <w:sz w:val="20"/>
                <w:szCs w:val="20"/>
              </w:rPr>
            </w:pPr>
          </w:p>
        </w:tc>
        <w:tc>
          <w:tcPr>
            <w:tcW w:w="0" w:type="auto"/>
            <w:gridSpan w:val="5"/>
            <w:vAlign w:val="center"/>
            <w:hideMark/>
          </w:tcPr>
          <w:p w14:paraId="2389713E" w14:textId="77777777" w:rsidR="00000000" w:rsidRDefault="00405D16">
            <w:pPr>
              <w:spacing w:after="100"/>
              <w:rPr>
                <w:rFonts w:eastAsia="Times New Roman"/>
                <w:sz w:val="20"/>
                <w:szCs w:val="20"/>
              </w:rPr>
            </w:pPr>
          </w:p>
        </w:tc>
        <w:tc>
          <w:tcPr>
            <w:tcW w:w="0" w:type="auto"/>
            <w:gridSpan w:val="4"/>
            <w:vAlign w:val="center"/>
            <w:hideMark/>
          </w:tcPr>
          <w:p w14:paraId="6ACA170F" w14:textId="77777777" w:rsidR="00000000" w:rsidRDefault="00405D16">
            <w:pPr>
              <w:spacing w:after="100"/>
              <w:rPr>
                <w:rFonts w:eastAsia="Times New Roman"/>
                <w:sz w:val="20"/>
                <w:szCs w:val="20"/>
              </w:rPr>
            </w:pPr>
          </w:p>
        </w:tc>
        <w:tc>
          <w:tcPr>
            <w:tcW w:w="0" w:type="auto"/>
            <w:gridSpan w:val="3"/>
            <w:vAlign w:val="center"/>
            <w:hideMark/>
          </w:tcPr>
          <w:p w14:paraId="65E39BD9" w14:textId="77777777" w:rsidR="00000000" w:rsidRDefault="00405D16">
            <w:pPr>
              <w:spacing w:after="100"/>
              <w:rPr>
                <w:rFonts w:eastAsia="Times New Roman"/>
                <w:sz w:val="20"/>
                <w:szCs w:val="20"/>
              </w:rPr>
            </w:pPr>
          </w:p>
        </w:tc>
        <w:tc>
          <w:tcPr>
            <w:tcW w:w="0" w:type="auto"/>
            <w:gridSpan w:val="3"/>
            <w:vAlign w:val="center"/>
            <w:hideMark/>
          </w:tcPr>
          <w:p w14:paraId="67DEC858" w14:textId="77777777" w:rsidR="00000000" w:rsidRDefault="00405D16">
            <w:pPr>
              <w:spacing w:after="100"/>
              <w:rPr>
                <w:rFonts w:eastAsia="Times New Roman"/>
                <w:sz w:val="20"/>
                <w:szCs w:val="20"/>
              </w:rPr>
            </w:pPr>
          </w:p>
        </w:tc>
        <w:tc>
          <w:tcPr>
            <w:tcW w:w="0" w:type="auto"/>
            <w:gridSpan w:val="3"/>
            <w:vAlign w:val="center"/>
            <w:hideMark/>
          </w:tcPr>
          <w:p w14:paraId="68B8C31D" w14:textId="77777777" w:rsidR="00000000" w:rsidRDefault="00405D16">
            <w:pPr>
              <w:spacing w:after="100"/>
              <w:rPr>
                <w:rFonts w:eastAsia="Times New Roman"/>
                <w:sz w:val="20"/>
                <w:szCs w:val="20"/>
              </w:rPr>
            </w:pPr>
          </w:p>
        </w:tc>
        <w:tc>
          <w:tcPr>
            <w:tcW w:w="0" w:type="auto"/>
            <w:gridSpan w:val="3"/>
            <w:vAlign w:val="center"/>
            <w:hideMark/>
          </w:tcPr>
          <w:p w14:paraId="13222600" w14:textId="77777777" w:rsidR="00000000" w:rsidRDefault="00405D16">
            <w:pPr>
              <w:spacing w:after="100"/>
              <w:rPr>
                <w:rFonts w:eastAsia="Times New Roman"/>
                <w:sz w:val="20"/>
                <w:szCs w:val="20"/>
              </w:rPr>
            </w:pPr>
          </w:p>
        </w:tc>
        <w:tc>
          <w:tcPr>
            <w:tcW w:w="0" w:type="auto"/>
            <w:gridSpan w:val="5"/>
            <w:vAlign w:val="center"/>
            <w:hideMark/>
          </w:tcPr>
          <w:p w14:paraId="20188826" w14:textId="77777777" w:rsidR="00000000" w:rsidRDefault="00405D16">
            <w:pPr>
              <w:spacing w:after="100"/>
              <w:rPr>
                <w:rFonts w:eastAsia="Times New Roman"/>
                <w:sz w:val="20"/>
                <w:szCs w:val="20"/>
              </w:rPr>
            </w:pPr>
          </w:p>
        </w:tc>
      </w:tr>
      <w:tr w:rsidR="00000000" w14:paraId="2947784B" w14:textId="77777777">
        <w:trPr>
          <w:divId w:val="553853218"/>
        </w:trPr>
        <w:tc>
          <w:tcPr>
            <w:tcW w:w="0" w:type="auto"/>
            <w:gridSpan w:val="4"/>
            <w:vAlign w:val="center"/>
            <w:hideMark/>
          </w:tcPr>
          <w:p w14:paraId="732A17EE" w14:textId="77777777" w:rsidR="00000000" w:rsidRDefault="00405D16">
            <w:pPr>
              <w:spacing w:after="100"/>
              <w:rPr>
                <w:rFonts w:eastAsia="Times New Roman"/>
                <w:sz w:val="20"/>
                <w:szCs w:val="20"/>
              </w:rPr>
            </w:pPr>
          </w:p>
        </w:tc>
        <w:tc>
          <w:tcPr>
            <w:tcW w:w="0" w:type="auto"/>
            <w:gridSpan w:val="3"/>
            <w:vAlign w:val="center"/>
            <w:hideMark/>
          </w:tcPr>
          <w:p w14:paraId="30E4F508" w14:textId="77777777" w:rsidR="00000000" w:rsidRDefault="00405D16">
            <w:pPr>
              <w:spacing w:after="100"/>
              <w:rPr>
                <w:rFonts w:eastAsia="Times New Roman"/>
                <w:sz w:val="20"/>
                <w:szCs w:val="20"/>
              </w:rPr>
            </w:pPr>
          </w:p>
        </w:tc>
        <w:tc>
          <w:tcPr>
            <w:tcW w:w="0" w:type="auto"/>
            <w:gridSpan w:val="3"/>
            <w:vAlign w:val="center"/>
            <w:hideMark/>
          </w:tcPr>
          <w:p w14:paraId="5A98F937" w14:textId="77777777" w:rsidR="00000000" w:rsidRDefault="00405D16">
            <w:pPr>
              <w:spacing w:after="100"/>
              <w:rPr>
                <w:rFonts w:eastAsia="Times New Roman"/>
                <w:sz w:val="20"/>
                <w:szCs w:val="20"/>
              </w:rPr>
            </w:pPr>
          </w:p>
        </w:tc>
        <w:tc>
          <w:tcPr>
            <w:tcW w:w="0" w:type="auto"/>
            <w:gridSpan w:val="3"/>
            <w:vAlign w:val="center"/>
            <w:hideMark/>
          </w:tcPr>
          <w:p w14:paraId="399D8D7F" w14:textId="77777777" w:rsidR="00000000" w:rsidRDefault="00405D16">
            <w:pPr>
              <w:spacing w:after="100"/>
              <w:rPr>
                <w:rFonts w:eastAsia="Times New Roman"/>
                <w:sz w:val="20"/>
                <w:szCs w:val="20"/>
              </w:rPr>
            </w:pPr>
          </w:p>
        </w:tc>
        <w:tc>
          <w:tcPr>
            <w:tcW w:w="0" w:type="auto"/>
            <w:gridSpan w:val="4"/>
            <w:vAlign w:val="center"/>
            <w:hideMark/>
          </w:tcPr>
          <w:p w14:paraId="6C4A04CB" w14:textId="77777777" w:rsidR="00000000" w:rsidRDefault="00405D16">
            <w:pPr>
              <w:spacing w:after="100"/>
              <w:rPr>
                <w:rFonts w:eastAsia="Times New Roman"/>
                <w:sz w:val="20"/>
                <w:szCs w:val="20"/>
              </w:rPr>
            </w:pPr>
          </w:p>
        </w:tc>
        <w:tc>
          <w:tcPr>
            <w:tcW w:w="0" w:type="auto"/>
            <w:gridSpan w:val="3"/>
            <w:vAlign w:val="center"/>
            <w:hideMark/>
          </w:tcPr>
          <w:p w14:paraId="6EA6E0C5" w14:textId="77777777" w:rsidR="00000000" w:rsidRDefault="00405D16">
            <w:pPr>
              <w:spacing w:after="100"/>
              <w:rPr>
                <w:rFonts w:eastAsia="Times New Roman"/>
                <w:sz w:val="20"/>
                <w:szCs w:val="20"/>
              </w:rPr>
            </w:pPr>
          </w:p>
        </w:tc>
        <w:tc>
          <w:tcPr>
            <w:tcW w:w="0" w:type="auto"/>
            <w:gridSpan w:val="5"/>
            <w:vAlign w:val="center"/>
            <w:hideMark/>
          </w:tcPr>
          <w:p w14:paraId="1309DDAE" w14:textId="77777777" w:rsidR="00000000" w:rsidRDefault="00405D16">
            <w:pPr>
              <w:spacing w:after="100"/>
              <w:rPr>
                <w:rFonts w:eastAsia="Times New Roman"/>
                <w:sz w:val="20"/>
                <w:szCs w:val="20"/>
              </w:rPr>
            </w:pPr>
          </w:p>
        </w:tc>
        <w:tc>
          <w:tcPr>
            <w:tcW w:w="0" w:type="auto"/>
            <w:gridSpan w:val="3"/>
            <w:vAlign w:val="center"/>
            <w:hideMark/>
          </w:tcPr>
          <w:p w14:paraId="7C8A1647" w14:textId="77777777" w:rsidR="00000000" w:rsidRDefault="00405D16">
            <w:pPr>
              <w:spacing w:after="100"/>
              <w:rPr>
                <w:rFonts w:eastAsia="Times New Roman"/>
                <w:sz w:val="20"/>
                <w:szCs w:val="20"/>
              </w:rPr>
            </w:pPr>
          </w:p>
        </w:tc>
        <w:tc>
          <w:tcPr>
            <w:tcW w:w="0" w:type="auto"/>
            <w:gridSpan w:val="3"/>
            <w:vAlign w:val="center"/>
            <w:hideMark/>
          </w:tcPr>
          <w:p w14:paraId="5885993A" w14:textId="77777777" w:rsidR="00000000" w:rsidRDefault="00405D16">
            <w:pPr>
              <w:spacing w:after="100"/>
              <w:rPr>
                <w:rFonts w:eastAsia="Times New Roman"/>
                <w:sz w:val="20"/>
                <w:szCs w:val="20"/>
              </w:rPr>
            </w:pPr>
          </w:p>
        </w:tc>
        <w:tc>
          <w:tcPr>
            <w:tcW w:w="0" w:type="auto"/>
            <w:gridSpan w:val="3"/>
            <w:vAlign w:val="center"/>
            <w:hideMark/>
          </w:tcPr>
          <w:p w14:paraId="18543498" w14:textId="77777777" w:rsidR="00000000" w:rsidRDefault="00405D16">
            <w:pPr>
              <w:spacing w:after="100"/>
              <w:rPr>
                <w:rFonts w:eastAsia="Times New Roman"/>
                <w:sz w:val="20"/>
                <w:szCs w:val="20"/>
              </w:rPr>
            </w:pPr>
          </w:p>
        </w:tc>
        <w:tc>
          <w:tcPr>
            <w:tcW w:w="0" w:type="auto"/>
            <w:gridSpan w:val="3"/>
            <w:vAlign w:val="center"/>
            <w:hideMark/>
          </w:tcPr>
          <w:p w14:paraId="71725B9F" w14:textId="77777777" w:rsidR="00000000" w:rsidRDefault="00405D16">
            <w:pPr>
              <w:spacing w:after="100"/>
              <w:rPr>
                <w:rFonts w:eastAsia="Times New Roman"/>
                <w:sz w:val="20"/>
                <w:szCs w:val="20"/>
              </w:rPr>
            </w:pPr>
          </w:p>
        </w:tc>
        <w:tc>
          <w:tcPr>
            <w:tcW w:w="0" w:type="auto"/>
            <w:gridSpan w:val="3"/>
            <w:vAlign w:val="center"/>
            <w:hideMark/>
          </w:tcPr>
          <w:p w14:paraId="4B31C9A3" w14:textId="77777777" w:rsidR="00000000" w:rsidRDefault="00405D16">
            <w:pPr>
              <w:spacing w:after="100"/>
              <w:rPr>
                <w:rFonts w:eastAsia="Times New Roman"/>
                <w:sz w:val="20"/>
                <w:szCs w:val="20"/>
              </w:rPr>
            </w:pPr>
          </w:p>
        </w:tc>
        <w:tc>
          <w:tcPr>
            <w:tcW w:w="0" w:type="auto"/>
            <w:gridSpan w:val="5"/>
            <w:vAlign w:val="center"/>
            <w:hideMark/>
          </w:tcPr>
          <w:p w14:paraId="50115B30" w14:textId="77777777" w:rsidR="00000000" w:rsidRDefault="00405D16">
            <w:pPr>
              <w:spacing w:after="100"/>
              <w:rPr>
                <w:rFonts w:eastAsia="Times New Roman"/>
                <w:sz w:val="20"/>
                <w:szCs w:val="20"/>
              </w:rPr>
            </w:pPr>
          </w:p>
        </w:tc>
        <w:tc>
          <w:tcPr>
            <w:tcW w:w="0" w:type="auto"/>
            <w:gridSpan w:val="4"/>
            <w:vAlign w:val="center"/>
            <w:hideMark/>
          </w:tcPr>
          <w:p w14:paraId="44E42CA2" w14:textId="77777777" w:rsidR="00000000" w:rsidRDefault="00405D16">
            <w:pPr>
              <w:spacing w:after="100"/>
              <w:rPr>
                <w:rFonts w:eastAsia="Times New Roman"/>
                <w:sz w:val="20"/>
                <w:szCs w:val="20"/>
              </w:rPr>
            </w:pPr>
          </w:p>
        </w:tc>
        <w:tc>
          <w:tcPr>
            <w:tcW w:w="0" w:type="auto"/>
            <w:gridSpan w:val="3"/>
            <w:vAlign w:val="center"/>
            <w:hideMark/>
          </w:tcPr>
          <w:p w14:paraId="009127C9" w14:textId="77777777" w:rsidR="00000000" w:rsidRDefault="00405D16">
            <w:pPr>
              <w:spacing w:after="100"/>
              <w:rPr>
                <w:rFonts w:eastAsia="Times New Roman"/>
                <w:sz w:val="20"/>
                <w:szCs w:val="20"/>
              </w:rPr>
            </w:pPr>
          </w:p>
        </w:tc>
        <w:tc>
          <w:tcPr>
            <w:tcW w:w="0" w:type="auto"/>
            <w:gridSpan w:val="3"/>
            <w:vAlign w:val="center"/>
            <w:hideMark/>
          </w:tcPr>
          <w:p w14:paraId="5BAFF0D5" w14:textId="77777777" w:rsidR="00000000" w:rsidRDefault="00405D16">
            <w:pPr>
              <w:spacing w:after="100"/>
              <w:rPr>
                <w:rFonts w:eastAsia="Times New Roman"/>
                <w:sz w:val="20"/>
                <w:szCs w:val="20"/>
              </w:rPr>
            </w:pPr>
          </w:p>
        </w:tc>
        <w:tc>
          <w:tcPr>
            <w:tcW w:w="0" w:type="auto"/>
            <w:gridSpan w:val="3"/>
            <w:vAlign w:val="center"/>
            <w:hideMark/>
          </w:tcPr>
          <w:p w14:paraId="07B6F8AB" w14:textId="77777777" w:rsidR="00000000" w:rsidRDefault="00405D16">
            <w:pPr>
              <w:spacing w:after="100"/>
              <w:rPr>
                <w:rFonts w:eastAsia="Times New Roman"/>
                <w:sz w:val="20"/>
                <w:szCs w:val="20"/>
              </w:rPr>
            </w:pPr>
          </w:p>
        </w:tc>
        <w:tc>
          <w:tcPr>
            <w:tcW w:w="0" w:type="auto"/>
            <w:gridSpan w:val="3"/>
            <w:vAlign w:val="center"/>
            <w:hideMark/>
          </w:tcPr>
          <w:p w14:paraId="116E7C89" w14:textId="77777777" w:rsidR="00000000" w:rsidRDefault="00405D16">
            <w:pPr>
              <w:spacing w:after="100"/>
              <w:rPr>
                <w:rFonts w:eastAsia="Times New Roman"/>
                <w:sz w:val="20"/>
                <w:szCs w:val="20"/>
              </w:rPr>
            </w:pPr>
          </w:p>
        </w:tc>
        <w:tc>
          <w:tcPr>
            <w:tcW w:w="0" w:type="auto"/>
            <w:gridSpan w:val="5"/>
            <w:vAlign w:val="center"/>
            <w:hideMark/>
          </w:tcPr>
          <w:p w14:paraId="56AC4106" w14:textId="77777777" w:rsidR="00000000" w:rsidRDefault="00405D16">
            <w:pPr>
              <w:spacing w:after="100"/>
              <w:rPr>
                <w:rFonts w:eastAsia="Times New Roman"/>
                <w:sz w:val="20"/>
                <w:szCs w:val="20"/>
              </w:rPr>
            </w:pPr>
          </w:p>
        </w:tc>
      </w:tr>
      <w:tr w:rsidR="00000000" w14:paraId="210AFAAA" w14:textId="77777777">
        <w:trPr>
          <w:divId w:val="553853218"/>
        </w:trPr>
        <w:tc>
          <w:tcPr>
            <w:tcW w:w="0" w:type="auto"/>
            <w:gridSpan w:val="4"/>
            <w:vAlign w:val="center"/>
            <w:hideMark/>
          </w:tcPr>
          <w:p w14:paraId="35DEAB6A" w14:textId="77777777" w:rsidR="00000000" w:rsidRDefault="00405D16">
            <w:pPr>
              <w:spacing w:after="100"/>
              <w:rPr>
                <w:rFonts w:eastAsia="Times New Roman"/>
                <w:sz w:val="20"/>
                <w:szCs w:val="20"/>
              </w:rPr>
            </w:pPr>
          </w:p>
        </w:tc>
        <w:tc>
          <w:tcPr>
            <w:tcW w:w="0" w:type="auto"/>
            <w:gridSpan w:val="3"/>
            <w:vAlign w:val="center"/>
            <w:hideMark/>
          </w:tcPr>
          <w:p w14:paraId="3A62D700" w14:textId="77777777" w:rsidR="00000000" w:rsidRDefault="00405D16">
            <w:pPr>
              <w:spacing w:after="100"/>
              <w:rPr>
                <w:rFonts w:eastAsia="Times New Roman"/>
                <w:sz w:val="20"/>
                <w:szCs w:val="20"/>
              </w:rPr>
            </w:pPr>
          </w:p>
        </w:tc>
        <w:tc>
          <w:tcPr>
            <w:tcW w:w="0" w:type="auto"/>
            <w:gridSpan w:val="3"/>
            <w:vAlign w:val="center"/>
            <w:hideMark/>
          </w:tcPr>
          <w:p w14:paraId="7CDEFE80" w14:textId="77777777" w:rsidR="00000000" w:rsidRDefault="00405D16">
            <w:pPr>
              <w:spacing w:after="100"/>
              <w:rPr>
                <w:rFonts w:eastAsia="Times New Roman"/>
                <w:sz w:val="20"/>
                <w:szCs w:val="20"/>
              </w:rPr>
            </w:pPr>
          </w:p>
        </w:tc>
        <w:tc>
          <w:tcPr>
            <w:tcW w:w="0" w:type="auto"/>
            <w:gridSpan w:val="3"/>
            <w:vAlign w:val="center"/>
            <w:hideMark/>
          </w:tcPr>
          <w:p w14:paraId="11D67D19" w14:textId="77777777" w:rsidR="00000000" w:rsidRDefault="00405D16">
            <w:pPr>
              <w:spacing w:after="100"/>
              <w:rPr>
                <w:rFonts w:eastAsia="Times New Roman"/>
                <w:sz w:val="20"/>
                <w:szCs w:val="20"/>
              </w:rPr>
            </w:pPr>
          </w:p>
        </w:tc>
        <w:tc>
          <w:tcPr>
            <w:tcW w:w="0" w:type="auto"/>
            <w:gridSpan w:val="4"/>
            <w:vAlign w:val="center"/>
            <w:hideMark/>
          </w:tcPr>
          <w:p w14:paraId="6C89E0A7" w14:textId="77777777" w:rsidR="00000000" w:rsidRDefault="00405D16">
            <w:pPr>
              <w:spacing w:after="100"/>
              <w:rPr>
                <w:rFonts w:eastAsia="Times New Roman"/>
                <w:sz w:val="20"/>
                <w:szCs w:val="20"/>
              </w:rPr>
            </w:pPr>
          </w:p>
        </w:tc>
        <w:tc>
          <w:tcPr>
            <w:tcW w:w="0" w:type="auto"/>
            <w:gridSpan w:val="3"/>
            <w:vAlign w:val="center"/>
            <w:hideMark/>
          </w:tcPr>
          <w:p w14:paraId="007C45D5" w14:textId="77777777" w:rsidR="00000000" w:rsidRDefault="00405D16">
            <w:pPr>
              <w:spacing w:after="100"/>
              <w:rPr>
                <w:rFonts w:eastAsia="Times New Roman"/>
                <w:sz w:val="20"/>
                <w:szCs w:val="20"/>
              </w:rPr>
            </w:pPr>
          </w:p>
        </w:tc>
        <w:tc>
          <w:tcPr>
            <w:tcW w:w="0" w:type="auto"/>
            <w:gridSpan w:val="5"/>
            <w:vAlign w:val="center"/>
            <w:hideMark/>
          </w:tcPr>
          <w:p w14:paraId="3A8FA3DE" w14:textId="77777777" w:rsidR="00000000" w:rsidRDefault="00405D16">
            <w:pPr>
              <w:spacing w:after="100"/>
              <w:rPr>
                <w:rFonts w:eastAsia="Times New Roman"/>
                <w:sz w:val="20"/>
                <w:szCs w:val="20"/>
              </w:rPr>
            </w:pPr>
          </w:p>
        </w:tc>
        <w:tc>
          <w:tcPr>
            <w:tcW w:w="0" w:type="auto"/>
            <w:gridSpan w:val="3"/>
            <w:vAlign w:val="center"/>
            <w:hideMark/>
          </w:tcPr>
          <w:p w14:paraId="338E4AED" w14:textId="77777777" w:rsidR="00000000" w:rsidRDefault="00405D16">
            <w:pPr>
              <w:spacing w:after="100"/>
              <w:rPr>
                <w:rFonts w:eastAsia="Times New Roman"/>
                <w:sz w:val="20"/>
                <w:szCs w:val="20"/>
              </w:rPr>
            </w:pPr>
          </w:p>
        </w:tc>
        <w:tc>
          <w:tcPr>
            <w:tcW w:w="0" w:type="auto"/>
            <w:gridSpan w:val="3"/>
            <w:vAlign w:val="center"/>
            <w:hideMark/>
          </w:tcPr>
          <w:p w14:paraId="74DD2BC7" w14:textId="77777777" w:rsidR="00000000" w:rsidRDefault="00405D16">
            <w:pPr>
              <w:spacing w:after="100"/>
              <w:rPr>
                <w:rFonts w:eastAsia="Times New Roman"/>
                <w:sz w:val="20"/>
                <w:szCs w:val="20"/>
              </w:rPr>
            </w:pPr>
          </w:p>
        </w:tc>
        <w:tc>
          <w:tcPr>
            <w:tcW w:w="0" w:type="auto"/>
            <w:gridSpan w:val="3"/>
            <w:vAlign w:val="center"/>
            <w:hideMark/>
          </w:tcPr>
          <w:p w14:paraId="63E56EA5" w14:textId="77777777" w:rsidR="00000000" w:rsidRDefault="00405D16">
            <w:pPr>
              <w:spacing w:after="100"/>
              <w:rPr>
                <w:rFonts w:eastAsia="Times New Roman"/>
                <w:sz w:val="20"/>
                <w:szCs w:val="20"/>
              </w:rPr>
            </w:pPr>
          </w:p>
        </w:tc>
        <w:tc>
          <w:tcPr>
            <w:tcW w:w="0" w:type="auto"/>
            <w:gridSpan w:val="3"/>
            <w:vAlign w:val="center"/>
            <w:hideMark/>
          </w:tcPr>
          <w:p w14:paraId="73D2ABCC" w14:textId="77777777" w:rsidR="00000000" w:rsidRDefault="00405D16">
            <w:pPr>
              <w:spacing w:after="100"/>
              <w:rPr>
                <w:rFonts w:eastAsia="Times New Roman"/>
                <w:sz w:val="20"/>
                <w:szCs w:val="20"/>
              </w:rPr>
            </w:pPr>
          </w:p>
        </w:tc>
        <w:tc>
          <w:tcPr>
            <w:tcW w:w="0" w:type="auto"/>
            <w:gridSpan w:val="3"/>
            <w:vAlign w:val="center"/>
            <w:hideMark/>
          </w:tcPr>
          <w:p w14:paraId="7415949C" w14:textId="77777777" w:rsidR="00000000" w:rsidRDefault="00405D16">
            <w:pPr>
              <w:spacing w:after="100"/>
              <w:rPr>
                <w:rFonts w:eastAsia="Times New Roman"/>
                <w:sz w:val="20"/>
                <w:szCs w:val="20"/>
              </w:rPr>
            </w:pPr>
          </w:p>
        </w:tc>
        <w:tc>
          <w:tcPr>
            <w:tcW w:w="0" w:type="auto"/>
            <w:gridSpan w:val="5"/>
            <w:vAlign w:val="center"/>
            <w:hideMark/>
          </w:tcPr>
          <w:p w14:paraId="7AF32D43" w14:textId="77777777" w:rsidR="00000000" w:rsidRDefault="00405D16">
            <w:pPr>
              <w:spacing w:after="100"/>
              <w:rPr>
                <w:rFonts w:eastAsia="Times New Roman"/>
                <w:sz w:val="20"/>
                <w:szCs w:val="20"/>
              </w:rPr>
            </w:pPr>
          </w:p>
        </w:tc>
        <w:tc>
          <w:tcPr>
            <w:tcW w:w="0" w:type="auto"/>
            <w:gridSpan w:val="4"/>
            <w:vAlign w:val="center"/>
            <w:hideMark/>
          </w:tcPr>
          <w:p w14:paraId="5E1C68A3" w14:textId="77777777" w:rsidR="00000000" w:rsidRDefault="00405D16">
            <w:pPr>
              <w:spacing w:after="100"/>
              <w:rPr>
                <w:rFonts w:eastAsia="Times New Roman"/>
                <w:sz w:val="20"/>
                <w:szCs w:val="20"/>
              </w:rPr>
            </w:pPr>
          </w:p>
        </w:tc>
        <w:tc>
          <w:tcPr>
            <w:tcW w:w="0" w:type="auto"/>
            <w:gridSpan w:val="3"/>
            <w:vAlign w:val="center"/>
            <w:hideMark/>
          </w:tcPr>
          <w:p w14:paraId="02E71474" w14:textId="77777777" w:rsidR="00000000" w:rsidRDefault="00405D16">
            <w:pPr>
              <w:spacing w:after="100"/>
              <w:rPr>
                <w:rFonts w:eastAsia="Times New Roman"/>
                <w:sz w:val="20"/>
                <w:szCs w:val="20"/>
              </w:rPr>
            </w:pPr>
          </w:p>
        </w:tc>
        <w:tc>
          <w:tcPr>
            <w:tcW w:w="0" w:type="auto"/>
            <w:gridSpan w:val="3"/>
            <w:vAlign w:val="center"/>
            <w:hideMark/>
          </w:tcPr>
          <w:p w14:paraId="76085471" w14:textId="77777777" w:rsidR="00000000" w:rsidRDefault="00405D16">
            <w:pPr>
              <w:spacing w:after="100"/>
              <w:rPr>
                <w:rFonts w:eastAsia="Times New Roman"/>
                <w:sz w:val="20"/>
                <w:szCs w:val="20"/>
              </w:rPr>
            </w:pPr>
          </w:p>
        </w:tc>
        <w:tc>
          <w:tcPr>
            <w:tcW w:w="0" w:type="auto"/>
            <w:gridSpan w:val="3"/>
            <w:vAlign w:val="center"/>
            <w:hideMark/>
          </w:tcPr>
          <w:p w14:paraId="389C7CFF" w14:textId="77777777" w:rsidR="00000000" w:rsidRDefault="00405D16">
            <w:pPr>
              <w:spacing w:after="100"/>
              <w:rPr>
                <w:rFonts w:eastAsia="Times New Roman"/>
                <w:sz w:val="20"/>
                <w:szCs w:val="20"/>
              </w:rPr>
            </w:pPr>
          </w:p>
        </w:tc>
        <w:tc>
          <w:tcPr>
            <w:tcW w:w="0" w:type="auto"/>
            <w:gridSpan w:val="3"/>
            <w:vAlign w:val="center"/>
            <w:hideMark/>
          </w:tcPr>
          <w:p w14:paraId="66741C79" w14:textId="77777777" w:rsidR="00000000" w:rsidRDefault="00405D16">
            <w:pPr>
              <w:spacing w:after="100"/>
              <w:rPr>
                <w:rFonts w:eastAsia="Times New Roman"/>
                <w:sz w:val="20"/>
                <w:szCs w:val="20"/>
              </w:rPr>
            </w:pPr>
          </w:p>
        </w:tc>
        <w:tc>
          <w:tcPr>
            <w:tcW w:w="0" w:type="auto"/>
            <w:gridSpan w:val="5"/>
            <w:vAlign w:val="center"/>
            <w:hideMark/>
          </w:tcPr>
          <w:p w14:paraId="0F7545FF" w14:textId="77777777" w:rsidR="00000000" w:rsidRDefault="00405D16">
            <w:pPr>
              <w:spacing w:after="100"/>
              <w:rPr>
                <w:rFonts w:eastAsia="Times New Roman"/>
                <w:sz w:val="20"/>
                <w:szCs w:val="20"/>
              </w:rPr>
            </w:pPr>
          </w:p>
        </w:tc>
      </w:tr>
      <w:tr w:rsidR="00000000" w14:paraId="37F8EF55" w14:textId="77777777">
        <w:trPr>
          <w:divId w:val="553853218"/>
        </w:trPr>
        <w:tc>
          <w:tcPr>
            <w:tcW w:w="0" w:type="auto"/>
            <w:gridSpan w:val="4"/>
            <w:vAlign w:val="center"/>
            <w:hideMark/>
          </w:tcPr>
          <w:p w14:paraId="3D3F19FC" w14:textId="77777777" w:rsidR="00000000" w:rsidRDefault="00405D16">
            <w:pPr>
              <w:spacing w:after="100"/>
              <w:rPr>
                <w:rFonts w:eastAsia="Times New Roman"/>
                <w:sz w:val="20"/>
                <w:szCs w:val="20"/>
              </w:rPr>
            </w:pPr>
          </w:p>
        </w:tc>
        <w:tc>
          <w:tcPr>
            <w:tcW w:w="0" w:type="auto"/>
            <w:gridSpan w:val="3"/>
            <w:vAlign w:val="center"/>
            <w:hideMark/>
          </w:tcPr>
          <w:p w14:paraId="38D4A44D" w14:textId="77777777" w:rsidR="00000000" w:rsidRDefault="00405D16">
            <w:pPr>
              <w:spacing w:after="100"/>
              <w:rPr>
                <w:rFonts w:eastAsia="Times New Roman"/>
                <w:sz w:val="20"/>
                <w:szCs w:val="20"/>
              </w:rPr>
            </w:pPr>
          </w:p>
        </w:tc>
        <w:tc>
          <w:tcPr>
            <w:tcW w:w="0" w:type="auto"/>
            <w:gridSpan w:val="3"/>
            <w:vAlign w:val="center"/>
            <w:hideMark/>
          </w:tcPr>
          <w:p w14:paraId="50AFE9F3" w14:textId="77777777" w:rsidR="00000000" w:rsidRDefault="00405D16">
            <w:pPr>
              <w:spacing w:after="100"/>
              <w:rPr>
                <w:rFonts w:eastAsia="Times New Roman"/>
                <w:sz w:val="20"/>
                <w:szCs w:val="20"/>
              </w:rPr>
            </w:pPr>
          </w:p>
        </w:tc>
        <w:tc>
          <w:tcPr>
            <w:tcW w:w="0" w:type="auto"/>
            <w:gridSpan w:val="3"/>
            <w:vAlign w:val="center"/>
            <w:hideMark/>
          </w:tcPr>
          <w:p w14:paraId="07AEF02A" w14:textId="77777777" w:rsidR="00000000" w:rsidRDefault="00405D16">
            <w:pPr>
              <w:spacing w:after="100"/>
              <w:rPr>
                <w:rFonts w:eastAsia="Times New Roman"/>
                <w:sz w:val="20"/>
                <w:szCs w:val="20"/>
              </w:rPr>
            </w:pPr>
          </w:p>
        </w:tc>
        <w:tc>
          <w:tcPr>
            <w:tcW w:w="0" w:type="auto"/>
            <w:gridSpan w:val="4"/>
            <w:vAlign w:val="center"/>
            <w:hideMark/>
          </w:tcPr>
          <w:p w14:paraId="5D40296A" w14:textId="77777777" w:rsidR="00000000" w:rsidRDefault="00405D16">
            <w:pPr>
              <w:spacing w:after="100"/>
              <w:rPr>
                <w:rFonts w:eastAsia="Times New Roman"/>
                <w:sz w:val="20"/>
                <w:szCs w:val="20"/>
              </w:rPr>
            </w:pPr>
          </w:p>
        </w:tc>
        <w:tc>
          <w:tcPr>
            <w:tcW w:w="0" w:type="auto"/>
            <w:gridSpan w:val="3"/>
            <w:vAlign w:val="center"/>
            <w:hideMark/>
          </w:tcPr>
          <w:p w14:paraId="01819D28" w14:textId="77777777" w:rsidR="00000000" w:rsidRDefault="00405D16">
            <w:pPr>
              <w:spacing w:after="100"/>
              <w:rPr>
                <w:rFonts w:eastAsia="Times New Roman"/>
                <w:sz w:val="20"/>
                <w:szCs w:val="20"/>
              </w:rPr>
            </w:pPr>
          </w:p>
        </w:tc>
        <w:tc>
          <w:tcPr>
            <w:tcW w:w="0" w:type="auto"/>
            <w:gridSpan w:val="5"/>
            <w:vAlign w:val="center"/>
            <w:hideMark/>
          </w:tcPr>
          <w:p w14:paraId="6476AC3F" w14:textId="77777777" w:rsidR="00000000" w:rsidRDefault="00405D16">
            <w:pPr>
              <w:spacing w:after="100"/>
              <w:rPr>
                <w:rFonts w:eastAsia="Times New Roman"/>
                <w:sz w:val="20"/>
                <w:szCs w:val="20"/>
              </w:rPr>
            </w:pPr>
          </w:p>
        </w:tc>
        <w:tc>
          <w:tcPr>
            <w:tcW w:w="0" w:type="auto"/>
            <w:gridSpan w:val="3"/>
            <w:vAlign w:val="center"/>
            <w:hideMark/>
          </w:tcPr>
          <w:p w14:paraId="37BAC6E1" w14:textId="77777777" w:rsidR="00000000" w:rsidRDefault="00405D16">
            <w:pPr>
              <w:spacing w:after="100"/>
              <w:rPr>
                <w:rFonts w:eastAsia="Times New Roman"/>
                <w:sz w:val="20"/>
                <w:szCs w:val="20"/>
              </w:rPr>
            </w:pPr>
          </w:p>
        </w:tc>
        <w:tc>
          <w:tcPr>
            <w:tcW w:w="0" w:type="auto"/>
            <w:gridSpan w:val="3"/>
            <w:vAlign w:val="center"/>
            <w:hideMark/>
          </w:tcPr>
          <w:p w14:paraId="136C6A73" w14:textId="77777777" w:rsidR="00000000" w:rsidRDefault="00405D16">
            <w:pPr>
              <w:spacing w:after="100"/>
              <w:rPr>
                <w:rFonts w:eastAsia="Times New Roman"/>
                <w:sz w:val="20"/>
                <w:szCs w:val="20"/>
              </w:rPr>
            </w:pPr>
          </w:p>
        </w:tc>
        <w:tc>
          <w:tcPr>
            <w:tcW w:w="0" w:type="auto"/>
            <w:gridSpan w:val="3"/>
            <w:vAlign w:val="center"/>
            <w:hideMark/>
          </w:tcPr>
          <w:p w14:paraId="413C86E8" w14:textId="77777777" w:rsidR="00000000" w:rsidRDefault="00405D16">
            <w:pPr>
              <w:spacing w:after="100"/>
              <w:rPr>
                <w:rFonts w:eastAsia="Times New Roman"/>
                <w:sz w:val="20"/>
                <w:szCs w:val="20"/>
              </w:rPr>
            </w:pPr>
          </w:p>
        </w:tc>
        <w:tc>
          <w:tcPr>
            <w:tcW w:w="0" w:type="auto"/>
            <w:gridSpan w:val="3"/>
            <w:vAlign w:val="center"/>
            <w:hideMark/>
          </w:tcPr>
          <w:p w14:paraId="4A1056E9" w14:textId="77777777" w:rsidR="00000000" w:rsidRDefault="00405D16">
            <w:pPr>
              <w:spacing w:after="100"/>
              <w:rPr>
                <w:rFonts w:eastAsia="Times New Roman"/>
                <w:sz w:val="20"/>
                <w:szCs w:val="20"/>
              </w:rPr>
            </w:pPr>
          </w:p>
        </w:tc>
        <w:tc>
          <w:tcPr>
            <w:tcW w:w="0" w:type="auto"/>
            <w:gridSpan w:val="3"/>
            <w:vAlign w:val="center"/>
            <w:hideMark/>
          </w:tcPr>
          <w:p w14:paraId="6FE3004F" w14:textId="77777777" w:rsidR="00000000" w:rsidRDefault="00405D16">
            <w:pPr>
              <w:spacing w:after="100"/>
              <w:rPr>
                <w:rFonts w:eastAsia="Times New Roman"/>
                <w:sz w:val="20"/>
                <w:szCs w:val="20"/>
              </w:rPr>
            </w:pPr>
          </w:p>
        </w:tc>
        <w:tc>
          <w:tcPr>
            <w:tcW w:w="0" w:type="auto"/>
            <w:gridSpan w:val="5"/>
            <w:vAlign w:val="center"/>
            <w:hideMark/>
          </w:tcPr>
          <w:p w14:paraId="728FC477" w14:textId="77777777" w:rsidR="00000000" w:rsidRDefault="00405D16">
            <w:pPr>
              <w:spacing w:after="100"/>
              <w:rPr>
                <w:rFonts w:eastAsia="Times New Roman"/>
                <w:sz w:val="20"/>
                <w:szCs w:val="20"/>
              </w:rPr>
            </w:pPr>
          </w:p>
        </w:tc>
        <w:tc>
          <w:tcPr>
            <w:tcW w:w="0" w:type="auto"/>
            <w:gridSpan w:val="4"/>
            <w:vAlign w:val="center"/>
            <w:hideMark/>
          </w:tcPr>
          <w:p w14:paraId="10710D7B" w14:textId="77777777" w:rsidR="00000000" w:rsidRDefault="00405D16">
            <w:pPr>
              <w:spacing w:after="100"/>
              <w:rPr>
                <w:rFonts w:eastAsia="Times New Roman"/>
                <w:sz w:val="20"/>
                <w:szCs w:val="20"/>
              </w:rPr>
            </w:pPr>
          </w:p>
        </w:tc>
        <w:tc>
          <w:tcPr>
            <w:tcW w:w="0" w:type="auto"/>
            <w:gridSpan w:val="3"/>
            <w:vAlign w:val="center"/>
            <w:hideMark/>
          </w:tcPr>
          <w:p w14:paraId="5C1EF216" w14:textId="77777777" w:rsidR="00000000" w:rsidRDefault="00405D16">
            <w:pPr>
              <w:spacing w:after="100"/>
              <w:rPr>
                <w:rFonts w:eastAsia="Times New Roman"/>
                <w:sz w:val="20"/>
                <w:szCs w:val="20"/>
              </w:rPr>
            </w:pPr>
          </w:p>
        </w:tc>
        <w:tc>
          <w:tcPr>
            <w:tcW w:w="0" w:type="auto"/>
            <w:gridSpan w:val="3"/>
            <w:vAlign w:val="center"/>
            <w:hideMark/>
          </w:tcPr>
          <w:p w14:paraId="2A3A1DFF" w14:textId="77777777" w:rsidR="00000000" w:rsidRDefault="00405D16">
            <w:pPr>
              <w:spacing w:after="100"/>
              <w:rPr>
                <w:rFonts w:eastAsia="Times New Roman"/>
                <w:sz w:val="20"/>
                <w:szCs w:val="20"/>
              </w:rPr>
            </w:pPr>
          </w:p>
        </w:tc>
        <w:tc>
          <w:tcPr>
            <w:tcW w:w="0" w:type="auto"/>
            <w:gridSpan w:val="3"/>
            <w:vAlign w:val="center"/>
            <w:hideMark/>
          </w:tcPr>
          <w:p w14:paraId="129D779C" w14:textId="77777777" w:rsidR="00000000" w:rsidRDefault="00405D16">
            <w:pPr>
              <w:spacing w:after="100"/>
              <w:rPr>
                <w:rFonts w:eastAsia="Times New Roman"/>
                <w:sz w:val="20"/>
                <w:szCs w:val="20"/>
              </w:rPr>
            </w:pPr>
          </w:p>
        </w:tc>
        <w:tc>
          <w:tcPr>
            <w:tcW w:w="0" w:type="auto"/>
            <w:gridSpan w:val="3"/>
            <w:vAlign w:val="center"/>
            <w:hideMark/>
          </w:tcPr>
          <w:p w14:paraId="3E026973" w14:textId="77777777" w:rsidR="00000000" w:rsidRDefault="00405D16">
            <w:pPr>
              <w:spacing w:after="100"/>
              <w:rPr>
                <w:rFonts w:eastAsia="Times New Roman"/>
                <w:sz w:val="20"/>
                <w:szCs w:val="20"/>
              </w:rPr>
            </w:pPr>
          </w:p>
        </w:tc>
        <w:tc>
          <w:tcPr>
            <w:tcW w:w="0" w:type="auto"/>
            <w:gridSpan w:val="5"/>
            <w:vAlign w:val="center"/>
            <w:hideMark/>
          </w:tcPr>
          <w:p w14:paraId="7D942914" w14:textId="77777777" w:rsidR="00000000" w:rsidRDefault="00405D16">
            <w:pPr>
              <w:spacing w:after="100"/>
              <w:rPr>
                <w:rFonts w:eastAsia="Times New Roman"/>
                <w:sz w:val="20"/>
                <w:szCs w:val="20"/>
              </w:rPr>
            </w:pPr>
          </w:p>
        </w:tc>
      </w:tr>
      <w:tr w:rsidR="00000000" w14:paraId="2B486722" w14:textId="77777777">
        <w:trPr>
          <w:divId w:val="553853218"/>
        </w:trPr>
        <w:tc>
          <w:tcPr>
            <w:tcW w:w="0" w:type="auto"/>
            <w:gridSpan w:val="4"/>
            <w:vAlign w:val="center"/>
            <w:hideMark/>
          </w:tcPr>
          <w:p w14:paraId="64026E83" w14:textId="77777777" w:rsidR="00000000" w:rsidRDefault="00405D16">
            <w:pPr>
              <w:spacing w:after="100"/>
              <w:rPr>
                <w:rFonts w:eastAsia="Times New Roman"/>
                <w:sz w:val="20"/>
                <w:szCs w:val="20"/>
              </w:rPr>
            </w:pPr>
          </w:p>
        </w:tc>
        <w:tc>
          <w:tcPr>
            <w:tcW w:w="0" w:type="auto"/>
            <w:gridSpan w:val="3"/>
            <w:vAlign w:val="center"/>
            <w:hideMark/>
          </w:tcPr>
          <w:p w14:paraId="4C56813D" w14:textId="77777777" w:rsidR="00000000" w:rsidRDefault="00405D16">
            <w:pPr>
              <w:spacing w:after="100"/>
              <w:rPr>
                <w:rFonts w:eastAsia="Times New Roman"/>
                <w:sz w:val="20"/>
                <w:szCs w:val="20"/>
              </w:rPr>
            </w:pPr>
          </w:p>
        </w:tc>
        <w:tc>
          <w:tcPr>
            <w:tcW w:w="0" w:type="auto"/>
            <w:gridSpan w:val="3"/>
            <w:vAlign w:val="center"/>
            <w:hideMark/>
          </w:tcPr>
          <w:p w14:paraId="2DA8DF59" w14:textId="77777777" w:rsidR="00000000" w:rsidRDefault="00405D16">
            <w:pPr>
              <w:spacing w:after="100"/>
              <w:rPr>
                <w:rFonts w:eastAsia="Times New Roman"/>
                <w:sz w:val="20"/>
                <w:szCs w:val="20"/>
              </w:rPr>
            </w:pPr>
          </w:p>
        </w:tc>
        <w:tc>
          <w:tcPr>
            <w:tcW w:w="0" w:type="auto"/>
            <w:gridSpan w:val="3"/>
            <w:vAlign w:val="center"/>
            <w:hideMark/>
          </w:tcPr>
          <w:p w14:paraId="428D192C" w14:textId="77777777" w:rsidR="00000000" w:rsidRDefault="00405D16">
            <w:pPr>
              <w:spacing w:after="100"/>
              <w:rPr>
                <w:rFonts w:eastAsia="Times New Roman"/>
                <w:sz w:val="20"/>
                <w:szCs w:val="20"/>
              </w:rPr>
            </w:pPr>
          </w:p>
        </w:tc>
        <w:tc>
          <w:tcPr>
            <w:tcW w:w="0" w:type="auto"/>
            <w:gridSpan w:val="4"/>
            <w:vAlign w:val="center"/>
            <w:hideMark/>
          </w:tcPr>
          <w:p w14:paraId="3A0B7D88" w14:textId="77777777" w:rsidR="00000000" w:rsidRDefault="00405D16">
            <w:pPr>
              <w:spacing w:after="100"/>
              <w:rPr>
                <w:rFonts w:eastAsia="Times New Roman"/>
                <w:sz w:val="20"/>
                <w:szCs w:val="20"/>
              </w:rPr>
            </w:pPr>
          </w:p>
        </w:tc>
        <w:tc>
          <w:tcPr>
            <w:tcW w:w="0" w:type="auto"/>
            <w:gridSpan w:val="3"/>
            <w:vAlign w:val="center"/>
            <w:hideMark/>
          </w:tcPr>
          <w:p w14:paraId="65DBAE5C" w14:textId="77777777" w:rsidR="00000000" w:rsidRDefault="00405D16">
            <w:pPr>
              <w:spacing w:after="100"/>
              <w:rPr>
                <w:rFonts w:eastAsia="Times New Roman"/>
                <w:sz w:val="20"/>
                <w:szCs w:val="20"/>
              </w:rPr>
            </w:pPr>
          </w:p>
        </w:tc>
        <w:tc>
          <w:tcPr>
            <w:tcW w:w="0" w:type="auto"/>
            <w:gridSpan w:val="5"/>
            <w:vAlign w:val="center"/>
            <w:hideMark/>
          </w:tcPr>
          <w:p w14:paraId="37BCE51A" w14:textId="77777777" w:rsidR="00000000" w:rsidRDefault="00405D16">
            <w:pPr>
              <w:spacing w:after="100"/>
              <w:rPr>
                <w:rFonts w:eastAsia="Times New Roman"/>
                <w:sz w:val="20"/>
                <w:szCs w:val="20"/>
              </w:rPr>
            </w:pPr>
          </w:p>
        </w:tc>
        <w:tc>
          <w:tcPr>
            <w:tcW w:w="0" w:type="auto"/>
            <w:gridSpan w:val="3"/>
            <w:vAlign w:val="center"/>
            <w:hideMark/>
          </w:tcPr>
          <w:p w14:paraId="64ADDC94" w14:textId="77777777" w:rsidR="00000000" w:rsidRDefault="00405D16">
            <w:pPr>
              <w:spacing w:after="100"/>
              <w:rPr>
                <w:rFonts w:eastAsia="Times New Roman"/>
                <w:sz w:val="20"/>
                <w:szCs w:val="20"/>
              </w:rPr>
            </w:pPr>
          </w:p>
        </w:tc>
        <w:tc>
          <w:tcPr>
            <w:tcW w:w="0" w:type="auto"/>
            <w:gridSpan w:val="3"/>
            <w:vAlign w:val="center"/>
            <w:hideMark/>
          </w:tcPr>
          <w:p w14:paraId="7CF3F433" w14:textId="77777777" w:rsidR="00000000" w:rsidRDefault="00405D16">
            <w:pPr>
              <w:spacing w:after="100"/>
              <w:rPr>
                <w:rFonts w:eastAsia="Times New Roman"/>
                <w:sz w:val="20"/>
                <w:szCs w:val="20"/>
              </w:rPr>
            </w:pPr>
          </w:p>
        </w:tc>
        <w:tc>
          <w:tcPr>
            <w:tcW w:w="0" w:type="auto"/>
            <w:gridSpan w:val="3"/>
            <w:vAlign w:val="center"/>
            <w:hideMark/>
          </w:tcPr>
          <w:p w14:paraId="35EC51F2" w14:textId="77777777" w:rsidR="00000000" w:rsidRDefault="00405D16">
            <w:pPr>
              <w:spacing w:after="100"/>
              <w:rPr>
                <w:rFonts w:eastAsia="Times New Roman"/>
                <w:sz w:val="20"/>
                <w:szCs w:val="20"/>
              </w:rPr>
            </w:pPr>
          </w:p>
        </w:tc>
        <w:tc>
          <w:tcPr>
            <w:tcW w:w="0" w:type="auto"/>
            <w:gridSpan w:val="3"/>
            <w:vAlign w:val="center"/>
            <w:hideMark/>
          </w:tcPr>
          <w:p w14:paraId="46108FD9" w14:textId="77777777" w:rsidR="00000000" w:rsidRDefault="00405D16">
            <w:pPr>
              <w:spacing w:after="100"/>
              <w:rPr>
                <w:rFonts w:eastAsia="Times New Roman"/>
                <w:sz w:val="20"/>
                <w:szCs w:val="20"/>
              </w:rPr>
            </w:pPr>
          </w:p>
        </w:tc>
        <w:tc>
          <w:tcPr>
            <w:tcW w:w="0" w:type="auto"/>
            <w:gridSpan w:val="3"/>
            <w:vAlign w:val="center"/>
            <w:hideMark/>
          </w:tcPr>
          <w:p w14:paraId="046B56FF" w14:textId="77777777" w:rsidR="00000000" w:rsidRDefault="00405D16">
            <w:pPr>
              <w:spacing w:after="100"/>
              <w:rPr>
                <w:rFonts w:eastAsia="Times New Roman"/>
                <w:sz w:val="20"/>
                <w:szCs w:val="20"/>
              </w:rPr>
            </w:pPr>
          </w:p>
        </w:tc>
        <w:tc>
          <w:tcPr>
            <w:tcW w:w="0" w:type="auto"/>
            <w:gridSpan w:val="5"/>
            <w:vAlign w:val="center"/>
            <w:hideMark/>
          </w:tcPr>
          <w:p w14:paraId="24F51BFA" w14:textId="77777777" w:rsidR="00000000" w:rsidRDefault="00405D16">
            <w:pPr>
              <w:spacing w:after="100"/>
              <w:rPr>
                <w:rFonts w:eastAsia="Times New Roman"/>
                <w:sz w:val="20"/>
                <w:szCs w:val="20"/>
              </w:rPr>
            </w:pPr>
          </w:p>
        </w:tc>
        <w:tc>
          <w:tcPr>
            <w:tcW w:w="0" w:type="auto"/>
            <w:gridSpan w:val="4"/>
            <w:vAlign w:val="center"/>
            <w:hideMark/>
          </w:tcPr>
          <w:p w14:paraId="6A3F0728" w14:textId="77777777" w:rsidR="00000000" w:rsidRDefault="00405D16">
            <w:pPr>
              <w:spacing w:after="100"/>
              <w:rPr>
                <w:rFonts w:eastAsia="Times New Roman"/>
                <w:sz w:val="20"/>
                <w:szCs w:val="20"/>
              </w:rPr>
            </w:pPr>
          </w:p>
        </w:tc>
        <w:tc>
          <w:tcPr>
            <w:tcW w:w="0" w:type="auto"/>
            <w:gridSpan w:val="3"/>
            <w:vAlign w:val="center"/>
            <w:hideMark/>
          </w:tcPr>
          <w:p w14:paraId="0F02725C" w14:textId="77777777" w:rsidR="00000000" w:rsidRDefault="00405D16">
            <w:pPr>
              <w:spacing w:after="100"/>
              <w:rPr>
                <w:rFonts w:eastAsia="Times New Roman"/>
                <w:sz w:val="20"/>
                <w:szCs w:val="20"/>
              </w:rPr>
            </w:pPr>
          </w:p>
        </w:tc>
        <w:tc>
          <w:tcPr>
            <w:tcW w:w="0" w:type="auto"/>
            <w:gridSpan w:val="3"/>
            <w:vAlign w:val="center"/>
            <w:hideMark/>
          </w:tcPr>
          <w:p w14:paraId="6BE9EB51" w14:textId="77777777" w:rsidR="00000000" w:rsidRDefault="00405D16">
            <w:pPr>
              <w:spacing w:after="100"/>
              <w:rPr>
                <w:rFonts w:eastAsia="Times New Roman"/>
                <w:sz w:val="20"/>
                <w:szCs w:val="20"/>
              </w:rPr>
            </w:pPr>
          </w:p>
        </w:tc>
        <w:tc>
          <w:tcPr>
            <w:tcW w:w="0" w:type="auto"/>
            <w:gridSpan w:val="3"/>
            <w:vAlign w:val="center"/>
            <w:hideMark/>
          </w:tcPr>
          <w:p w14:paraId="07F56F9A" w14:textId="77777777" w:rsidR="00000000" w:rsidRDefault="00405D16">
            <w:pPr>
              <w:spacing w:after="100"/>
              <w:rPr>
                <w:rFonts w:eastAsia="Times New Roman"/>
                <w:sz w:val="20"/>
                <w:szCs w:val="20"/>
              </w:rPr>
            </w:pPr>
          </w:p>
        </w:tc>
        <w:tc>
          <w:tcPr>
            <w:tcW w:w="0" w:type="auto"/>
            <w:gridSpan w:val="3"/>
            <w:vAlign w:val="center"/>
            <w:hideMark/>
          </w:tcPr>
          <w:p w14:paraId="6DC70D15" w14:textId="77777777" w:rsidR="00000000" w:rsidRDefault="00405D16">
            <w:pPr>
              <w:spacing w:after="100"/>
              <w:rPr>
                <w:rFonts w:eastAsia="Times New Roman"/>
                <w:sz w:val="20"/>
                <w:szCs w:val="20"/>
              </w:rPr>
            </w:pPr>
          </w:p>
        </w:tc>
        <w:tc>
          <w:tcPr>
            <w:tcW w:w="0" w:type="auto"/>
            <w:gridSpan w:val="5"/>
            <w:vAlign w:val="center"/>
            <w:hideMark/>
          </w:tcPr>
          <w:p w14:paraId="084DC9EE" w14:textId="77777777" w:rsidR="00000000" w:rsidRDefault="00405D16">
            <w:pPr>
              <w:spacing w:after="100"/>
              <w:rPr>
                <w:rFonts w:eastAsia="Times New Roman"/>
                <w:sz w:val="20"/>
                <w:szCs w:val="20"/>
              </w:rPr>
            </w:pPr>
          </w:p>
        </w:tc>
      </w:tr>
      <w:tr w:rsidR="00000000" w14:paraId="798D4079" w14:textId="77777777">
        <w:trPr>
          <w:divId w:val="553853218"/>
        </w:trPr>
        <w:tc>
          <w:tcPr>
            <w:tcW w:w="0" w:type="auto"/>
            <w:gridSpan w:val="4"/>
            <w:vAlign w:val="center"/>
            <w:hideMark/>
          </w:tcPr>
          <w:p w14:paraId="13A95B9F" w14:textId="77777777" w:rsidR="00000000" w:rsidRDefault="00405D16">
            <w:pPr>
              <w:spacing w:after="100"/>
              <w:rPr>
                <w:rFonts w:eastAsia="Times New Roman"/>
                <w:sz w:val="20"/>
                <w:szCs w:val="20"/>
              </w:rPr>
            </w:pPr>
          </w:p>
        </w:tc>
        <w:tc>
          <w:tcPr>
            <w:tcW w:w="0" w:type="auto"/>
            <w:gridSpan w:val="3"/>
            <w:vAlign w:val="center"/>
            <w:hideMark/>
          </w:tcPr>
          <w:p w14:paraId="632C9530" w14:textId="77777777" w:rsidR="00000000" w:rsidRDefault="00405D16">
            <w:pPr>
              <w:spacing w:after="100"/>
              <w:rPr>
                <w:rFonts w:eastAsia="Times New Roman"/>
                <w:sz w:val="20"/>
                <w:szCs w:val="20"/>
              </w:rPr>
            </w:pPr>
          </w:p>
        </w:tc>
        <w:tc>
          <w:tcPr>
            <w:tcW w:w="0" w:type="auto"/>
            <w:gridSpan w:val="3"/>
            <w:vAlign w:val="center"/>
            <w:hideMark/>
          </w:tcPr>
          <w:p w14:paraId="406435A5" w14:textId="77777777" w:rsidR="00000000" w:rsidRDefault="00405D16">
            <w:pPr>
              <w:spacing w:after="100"/>
              <w:rPr>
                <w:rFonts w:eastAsia="Times New Roman"/>
                <w:sz w:val="20"/>
                <w:szCs w:val="20"/>
              </w:rPr>
            </w:pPr>
          </w:p>
        </w:tc>
        <w:tc>
          <w:tcPr>
            <w:tcW w:w="0" w:type="auto"/>
            <w:gridSpan w:val="3"/>
            <w:vAlign w:val="center"/>
            <w:hideMark/>
          </w:tcPr>
          <w:p w14:paraId="5F6AC14C" w14:textId="77777777" w:rsidR="00000000" w:rsidRDefault="00405D16">
            <w:pPr>
              <w:spacing w:after="100"/>
              <w:rPr>
                <w:rFonts w:eastAsia="Times New Roman"/>
                <w:sz w:val="20"/>
                <w:szCs w:val="20"/>
              </w:rPr>
            </w:pPr>
          </w:p>
        </w:tc>
        <w:tc>
          <w:tcPr>
            <w:tcW w:w="0" w:type="auto"/>
            <w:gridSpan w:val="4"/>
            <w:vAlign w:val="center"/>
            <w:hideMark/>
          </w:tcPr>
          <w:p w14:paraId="1D866FF5" w14:textId="77777777" w:rsidR="00000000" w:rsidRDefault="00405D16">
            <w:pPr>
              <w:spacing w:after="100"/>
              <w:rPr>
                <w:rFonts w:eastAsia="Times New Roman"/>
                <w:sz w:val="20"/>
                <w:szCs w:val="20"/>
              </w:rPr>
            </w:pPr>
          </w:p>
        </w:tc>
        <w:tc>
          <w:tcPr>
            <w:tcW w:w="0" w:type="auto"/>
            <w:gridSpan w:val="3"/>
            <w:vAlign w:val="center"/>
            <w:hideMark/>
          </w:tcPr>
          <w:p w14:paraId="4981BA55" w14:textId="77777777" w:rsidR="00000000" w:rsidRDefault="00405D16">
            <w:pPr>
              <w:spacing w:after="100"/>
              <w:rPr>
                <w:rFonts w:eastAsia="Times New Roman"/>
                <w:sz w:val="20"/>
                <w:szCs w:val="20"/>
              </w:rPr>
            </w:pPr>
          </w:p>
        </w:tc>
        <w:tc>
          <w:tcPr>
            <w:tcW w:w="0" w:type="auto"/>
            <w:gridSpan w:val="5"/>
            <w:vAlign w:val="center"/>
            <w:hideMark/>
          </w:tcPr>
          <w:p w14:paraId="10D62ECA" w14:textId="77777777" w:rsidR="00000000" w:rsidRDefault="00405D16">
            <w:pPr>
              <w:spacing w:after="100"/>
              <w:rPr>
                <w:rFonts w:eastAsia="Times New Roman"/>
                <w:sz w:val="20"/>
                <w:szCs w:val="20"/>
              </w:rPr>
            </w:pPr>
          </w:p>
        </w:tc>
        <w:tc>
          <w:tcPr>
            <w:tcW w:w="0" w:type="auto"/>
            <w:gridSpan w:val="3"/>
            <w:vAlign w:val="center"/>
            <w:hideMark/>
          </w:tcPr>
          <w:p w14:paraId="03CDC20B" w14:textId="77777777" w:rsidR="00000000" w:rsidRDefault="00405D16">
            <w:pPr>
              <w:spacing w:after="100"/>
              <w:rPr>
                <w:rFonts w:eastAsia="Times New Roman"/>
                <w:sz w:val="20"/>
                <w:szCs w:val="20"/>
              </w:rPr>
            </w:pPr>
          </w:p>
        </w:tc>
        <w:tc>
          <w:tcPr>
            <w:tcW w:w="0" w:type="auto"/>
            <w:gridSpan w:val="3"/>
            <w:vAlign w:val="center"/>
            <w:hideMark/>
          </w:tcPr>
          <w:p w14:paraId="0799DE7D" w14:textId="77777777" w:rsidR="00000000" w:rsidRDefault="00405D16">
            <w:pPr>
              <w:spacing w:after="100"/>
              <w:rPr>
                <w:rFonts w:eastAsia="Times New Roman"/>
                <w:sz w:val="20"/>
                <w:szCs w:val="20"/>
              </w:rPr>
            </w:pPr>
          </w:p>
        </w:tc>
        <w:tc>
          <w:tcPr>
            <w:tcW w:w="0" w:type="auto"/>
            <w:gridSpan w:val="3"/>
            <w:vAlign w:val="center"/>
            <w:hideMark/>
          </w:tcPr>
          <w:p w14:paraId="34F9279E" w14:textId="77777777" w:rsidR="00000000" w:rsidRDefault="00405D16">
            <w:pPr>
              <w:spacing w:after="100"/>
              <w:rPr>
                <w:rFonts w:eastAsia="Times New Roman"/>
                <w:sz w:val="20"/>
                <w:szCs w:val="20"/>
              </w:rPr>
            </w:pPr>
          </w:p>
        </w:tc>
        <w:tc>
          <w:tcPr>
            <w:tcW w:w="0" w:type="auto"/>
            <w:gridSpan w:val="3"/>
            <w:vAlign w:val="center"/>
            <w:hideMark/>
          </w:tcPr>
          <w:p w14:paraId="5571B9CE" w14:textId="77777777" w:rsidR="00000000" w:rsidRDefault="00405D16">
            <w:pPr>
              <w:spacing w:after="100"/>
              <w:rPr>
                <w:rFonts w:eastAsia="Times New Roman"/>
                <w:sz w:val="20"/>
                <w:szCs w:val="20"/>
              </w:rPr>
            </w:pPr>
          </w:p>
        </w:tc>
        <w:tc>
          <w:tcPr>
            <w:tcW w:w="0" w:type="auto"/>
            <w:gridSpan w:val="3"/>
            <w:vAlign w:val="center"/>
            <w:hideMark/>
          </w:tcPr>
          <w:p w14:paraId="06F1F2C6" w14:textId="77777777" w:rsidR="00000000" w:rsidRDefault="00405D16">
            <w:pPr>
              <w:spacing w:after="100"/>
              <w:rPr>
                <w:rFonts w:eastAsia="Times New Roman"/>
                <w:sz w:val="20"/>
                <w:szCs w:val="20"/>
              </w:rPr>
            </w:pPr>
          </w:p>
        </w:tc>
        <w:tc>
          <w:tcPr>
            <w:tcW w:w="0" w:type="auto"/>
            <w:gridSpan w:val="5"/>
            <w:vAlign w:val="center"/>
            <w:hideMark/>
          </w:tcPr>
          <w:p w14:paraId="0AFB4EBB" w14:textId="77777777" w:rsidR="00000000" w:rsidRDefault="00405D16">
            <w:pPr>
              <w:spacing w:after="100"/>
              <w:rPr>
                <w:rFonts w:eastAsia="Times New Roman"/>
                <w:sz w:val="20"/>
                <w:szCs w:val="20"/>
              </w:rPr>
            </w:pPr>
          </w:p>
        </w:tc>
        <w:tc>
          <w:tcPr>
            <w:tcW w:w="0" w:type="auto"/>
            <w:gridSpan w:val="4"/>
            <w:vAlign w:val="center"/>
            <w:hideMark/>
          </w:tcPr>
          <w:p w14:paraId="66080345" w14:textId="77777777" w:rsidR="00000000" w:rsidRDefault="00405D16">
            <w:pPr>
              <w:spacing w:after="100"/>
              <w:rPr>
                <w:rFonts w:eastAsia="Times New Roman"/>
                <w:sz w:val="20"/>
                <w:szCs w:val="20"/>
              </w:rPr>
            </w:pPr>
          </w:p>
        </w:tc>
        <w:tc>
          <w:tcPr>
            <w:tcW w:w="0" w:type="auto"/>
            <w:gridSpan w:val="3"/>
            <w:vAlign w:val="center"/>
            <w:hideMark/>
          </w:tcPr>
          <w:p w14:paraId="5C7255C4" w14:textId="77777777" w:rsidR="00000000" w:rsidRDefault="00405D16">
            <w:pPr>
              <w:spacing w:after="100"/>
              <w:rPr>
                <w:rFonts w:eastAsia="Times New Roman"/>
                <w:sz w:val="20"/>
                <w:szCs w:val="20"/>
              </w:rPr>
            </w:pPr>
          </w:p>
        </w:tc>
        <w:tc>
          <w:tcPr>
            <w:tcW w:w="0" w:type="auto"/>
            <w:gridSpan w:val="3"/>
            <w:vAlign w:val="center"/>
            <w:hideMark/>
          </w:tcPr>
          <w:p w14:paraId="29512908" w14:textId="77777777" w:rsidR="00000000" w:rsidRDefault="00405D16">
            <w:pPr>
              <w:spacing w:after="100"/>
              <w:rPr>
                <w:rFonts w:eastAsia="Times New Roman"/>
                <w:sz w:val="20"/>
                <w:szCs w:val="20"/>
              </w:rPr>
            </w:pPr>
          </w:p>
        </w:tc>
        <w:tc>
          <w:tcPr>
            <w:tcW w:w="0" w:type="auto"/>
            <w:gridSpan w:val="3"/>
            <w:vAlign w:val="center"/>
            <w:hideMark/>
          </w:tcPr>
          <w:p w14:paraId="299FCFCE" w14:textId="77777777" w:rsidR="00000000" w:rsidRDefault="00405D16">
            <w:pPr>
              <w:spacing w:after="100"/>
              <w:rPr>
                <w:rFonts w:eastAsia="Times New Roman"/>
                <w:sz w:val="20"/>
                <w:szCs w:val="20"/>
              </w:rPr>
            </w:pPr>
          </w:p>
        </w:tc>
        <w:tc>
          <w:tcPr>
            <w:tcW w:w="0" w:type="auto"/>
            <w:gridSpan w:val="3"/>
            <w:vAlign w:val="center"/>
            <w:hideMark/>
          </w:tcPr>
          <w:p w14:paraId="72F3D8A4" w14:textId="77777777" w:rsidR="00000000" w:rsidRDefault="00405D16">
            <w:pPr>
              <w:spacing w:after="100"/>
              <w:rPr>
                <w:rFonts w:eastAsia="Times New Roman"/>
                <w:sz w:val="20"/>
                <w:szCs w:val="20"/>
              </w:rPr>
            </w:pPr>
          </w:p>
        </w:tc>
        <w:tc>
          <w:tcPr>
            <w:tcW w:w="0" w:type="auto"/>
            <w:gridSpan w:val="5"/>
            <w:vAlign w:val="center"/>
            <w:hideMark/>
          </w:tcPr>
          <w:p w14:paraId="0FCAFE5F" w14:textId="77777777" w:rsidR="00000000" w:rsidRDefault="00405D16">
            <w:pPr>
              <w:spacing w:after="100"/>
              <w:rPr>
                <w:rFonts w:eastAsia="Times New Roman"/>
                <w:sz w:val="20"/>
                <w:szCs w:val="20"/>
              </w:rPr>
            </w:pPr>
          </w:p>
        </w:tc>
      </w:tr>
      <w:tr w:rsidR="00000000" w14:paraId="64ACE0CA" w14:textId="77777777">
        <w:trPr>
          <w:divId w:val="553853218"/>
        </w:trPr>
        <w:tc>
          <w:tcPr>
            <w:tcW w:w="0" w:type="auto"/>
            <w:gridSpan w:val="4"/>
            <w:vAlign w:val="center"/>
            <w:hideMark/>
          </w:tcPr>
          <w:p w14:paraId="3AEF6A7A" w14:textId="77777777" w:rsidR="00000000" w:rsidRDefault="00405D16">
            <w:pPr>
              <w:spacing w:after="100"/>
              <w:rPr>
                <w:rFonts w:eastAsia="Times New Roman"/>
                <w:sz w:val="20"/>
                <w:szCs w:val="20"/>
              </w:rPr>
            </w:pPr>
          </w:p>
        </w:tc>
        <w:tc>
          <w:tcPr>
            <w:tcW w:w="0" w:type="auto"/>
            <w:gridSpan w:val="3"/>
            <w:vAlign w:val="center"/>
            <w:hideMark/>
          </w:tcPr>
          <w:p w14:paraId="0DD4A25D" w14:textId="77777777" w:rsidR="00000000" w:rsidRDefault="00405D16">
            <w:pPr>
              <w:spacing w:after="100"/>
              <w:rPr>
                <w:rFonts w:eastAsia="Times New Roman"/>
                <w:sz w:val="20"/>
                <w:szCs w:val="20"/>
              </w:rPr>
            </w:pPr>
          </w:p>
        </w:tc>
        <w:tc>
          <w:tcPr>
            <w:tcW w:w="0" w:type="auto"/>
            <w:gridSpan w:val="3"/>
            <w:vAlign w:val="center"/>
            <w:hideMark/>
          </w:tcPr>
          <w:p w14:paraId="31658DAC" w14:textId="77777777" w:rsidR="00000000" w:rsidRDefault="00405D16">
            <w:pPr>
              <w:spacing w:after="100"/>
              <w:rPr>
                <w:rFonts w:eastAsia="Times New Roman"/>
                <w:sz w:val="20"/>
                <w:szCs w:val="20"/>
              </w:rPr>
            </w:pPr>
          </w:p>
        </w:tc>
        <w:tc>
          <w:tcPr>
            <w:tcW w:w="0" w:type="auto"/>
            <w:gridSpan w:val="3"/>
            <w:vAlign w:val="center"/>
            <w:hideMark/>
          </w:tcPr>
          <w:p w14:paraId="1FF8C8B1" w14:textId="77777777" w:rsidR="00000000" w:rsidRDefault="00405D16">
            <w:pPr>
              <w:spacing w:after="100"/>
              <w:rPr>
                <w:rFonts w:eastAsia="Times New Roman"/>
                <w:sz w:val="20"/>
                <w:szCs w:val="20"/>
              </w:rPr>
            </w:pPr>
          </w:p>
        </w:tc>
        <w:tc>
          <w:tcPr>
            <w:tcW w:w="0" w:type="auto"/>
            <w:gridSpan w:val="4"/>
            <w:vAlign w:val="center"/>
            <w:hideMark/>
          </w:tcPr>
          <w:p w14:paraId="2637F389" w14:textId="77777777" w:rsidR="00000000" w:rsidRDefault="00405D16">
            <w:pPr>
              <w:spacing w:after="100"/>
              <w:rPr>
                <w:rFonts w:eastAsia="Times New Roman"/>
                <w:sz w:val="20"/>
                <w:szCs w:val="20"/>
              </w:rPr>
            </w:pPr>
          </w:p>
        </w:tc>
        <w:tc>
          <w:tcPr>
            <w:tcW w:w="0" w:type="auto"/>
            <w:gridSpan w:val="3"/>
            <w:vAlign w:val="center"/>
            <w:hideMark/>
          </w:tcPr>
          <w:p w14:paraId="4B86A250" w14:textId="77777777" w:rsidR="00000000" w:rsidRDefault="00405D16">
            <w:pPr>
              <w:spacing w:after="100"/>
              <w:rPr>
                <w:rFonts w:eastAsia="Times New Roman"/>
                <w:sz w:val="20"/>
                <w:szCs w:val="20"/>
              </w:rPr>
            </w:pPr>
          </w:p>
        </w:tc>
        <w:tc>
          <w:tcPr>
            <w:tcW w:w="0" w:type="auto"/>
            <w:gridSpan w:val="5"/>
            <w:vAlign w:val="center"/>
            <w:hideMark/>
          </w:tcPr>
          <w:p w14:paraId="070DC536" w14:textId="77777777" w:rsidR="00000000" w:rsidRDefault="00405D16">
            <w:pPr>
              <w:spacing w:after="100"/>
              <w:rPr>
                <w:rFonts w:eastAsia="Times New Roman"/>
                <w:sz w:val="20"/>
                <w:szCs w:val="20"/>
              </w:rPr>
            </w:pPr>
          </w:p>
        </w:tc>
        <w:tc>
          <w:tcPr>
            <w:tcW w:w="0" w:type="auto"/>
            <w:gridSpan w:val="3"/>
            <w:vAlign w:val="center"/>
            <w:hideMark/>
          </w:tcPr>
          <w:p w14:paraId="36535C8B" w14:textId="77777777" w:rsidR="00000000" w:rsidRDefault="00405D16">
            <w:pPr>
              <w:spacing w:after="100"/>
              <w:rPr>
                <w:rFonts w:eastAsia="Times New Roman"/>
                <w:sz w:val="20"/>
                <w:szCs w:val="20"/>
              </w:rPr>
            </w:pPr>
          </w:p>
        </w:tc>
        <w:tc>
          <w:tcPr>
            <w:tcW w:w="0" w:type="auto"/>
            <w:gridSpan w:val="3"/>
            <w:vAlign w:val="center"/>
            <w:hideMark/>
          </w:tcPr>
          <w:p w14:paraId="3712159E" w14:textId="77777777" w:rsidR="00000000" w:rsidRDefault="00405D16">
            <w:pPr>
              <w:spacing w:after="100"/>
              <w:rPr>
                <w:rFonts w:eastAsia="Times New Roman"/>
                <w:sz w:val="20"/>
                <w:szCs w:val="20"/>
              </w:rPr>
            </w:pPr>
          </w:p>
        </w:tc>
        <w:tc>
          <w:tcPr>
            <w:tcW w:w="0" w:type="auto"/>
            <w:gridSpan w:val="3"/>
            <w:vAlign w:val="center"/>
            <w:hideMark/>
          </w:tcPr>
          <w:p w14:paraId="4BD40F10" w14:textId="77777777" w:rsidR="00000000" w:rsidRDefault="00405D16">
            <w:pPr>
              <w:spacing w:after="100"/>
              <w:rPr>
                <w:rFonts w:eastAsia="Times New Roman"/>
                <w:sz w:val="20"/>
                <w:szCs w:val="20"/>
              </w:rPr>
            </w:pPr>
          </w:p>
        </w:tc>
        <w:tc>
          <w:tcPr>
            <w:tcW w:w="0" w:type="auto"/>
            <w:gridSpan w:val="3"/>
            <w:vAlign w:val="center"/>
            <w:hideMark/>
          </w:tcPr>
          <w:p w14:paraId="2152A94A" w14:textId="77777777" w:rsidR="00000000" w:rsidRDefault="00405D16">
            <w:pPr>
              <w:spacing w:after="100"/>
              <w:rPr>
                <w:rFonts w:eastAsia="Times New Roman"/>
                <w:sz w:val="20"/>
                <w:szCs w:val="20"/>
              </w:rPr>
            </w:pPr>
          </w:p>
        </w:tc>
        <w:tc>
          <w:tcPr>
            <w:tcW w:w="0" w:type="auto"/>
            <w:gridSpan w:val="3"/>
            <w:vAlign w:val="center"/>
            <w:hideMark/>
          </w:tcPr>
          <w:p w14:paraId="7B353281" w14:textId="77777777" w:rsidR="00000000" w:rsidRDefault="00405D16">
            <w:pPr>
              <w:spacing w:after="100"/>
              <w:rPr>
                <w:rFonts w:eastAsia="Times New Roman"/>
                <w:sz w:val="20"/>
                <w:szCs w:val="20"/>
              </w:rPr>
            </w:pPr>
          </w:p>
        </w:tc>
        <w:tc>
          <w:tcPr>
            <w:tcW w:w="0" w:type="auto"/>
            <w:gridSpan w:val="5"/>
            <w:vAlign w:val="center"/>
            <w:hideMark/>
          </w:tcPr>
          <w:p w14:paraId="42DF68AA" w14:textId="77777777" w:rsidR="00000000" w:rsidRDefault="00405D16">
            <w:pPr>
              <w:spacing w:after="100"/>
              <w:rPr>
                <w:rFonts w:eastAsia="Times New Roman"/>
                <w:sz w:val="20"/>
                <w:szCs w:val="20"/>
              </w:rPr>
            </w:pPr>
          </w:p>
        </w:tc>
        <w:tc>
          <w:tcPr>
            <w:tcW w:w="0" w:type="auto"/>
            <w:gridSpan w:val="4"/>
            <w:vAlign w:val="center"/>
            <w:hideMark/>
          </w:tcPr>
          <w:p w14:paraId="0FBF0785" w14:textId="77777777" w:rsidR="00000000" w:rsidRDefault="00405D16">
            <w:pPr>
              <w:spacing w:after="100"/>
              <w:rPr>
                <w:rFonts w:eastAsia="Times New Roman"/>
                <w:sz w:val="20"/>
                <w:szCs w:val="20"/>
              </w:rPr>
            </w:pPr>
          </w:p>
        </w:tc>
        <w:tc>
          <w:tcPr>
            <w:tcW w:w="0" w:type="auto"/>
            <w:gridSpan w:val="3"/>
            <w:vAlign w:val="center"/>
            <w:hideMark/>
          </w:tcPr>
          <w:p w14:paraId="2E9030EA" w14:textId="77777777" w:rsidR="00000000" w:rsidRDefault="00405D16">
            <w:pPr>
              <w:spacing w:after="100"/>
              <w:rPr>
                <w:rFonts w:eastAsia="Times New Roman"/>
                <w:sz w:val="20"/>
                <w:szCs w:val="20"/>
              </w:rPr>
            </w:pPr>
          </w:p>
        </w:tc>
        <w:tc>
          <w:tcPr>
            <w:tcW w:w="0" w:type="auto"/>
            <w:gridSpan w:val="3"/>
            <w:vAlign w:val="center"/>
            <w:hideMark/>
          </w:tcPr>
          <w:p w14:paraId="6CB1524D" w14:textId="77777777" w:rsidR="00000000" w:rsidRDefault="00405D16">
            <w:pPr>
              <w:spacing w:after="100"/>
              <w:rPr>
                <w:rFonts w:eastAsia="Times New Roman"/>
                <w:sz w:val="20"/>
                <w:szCs w:val="20"/>
              </w:rPr>
            </w:pPr>
          </w:p>
        </w:tc>
        <w:tc>
          <w:tcPr>
            <w:tcW w:w="0" w:type="auto"/>
            <w:gridSpan w:val="3"/>
            <w:vAlign w:val="center"/>
            <w:hideMark/>
          </w:tcPr>
          <w:p w14:paraId="69AF573F" w14:textId="77777777" w:rsidR="00000000" w:rsidRDefault="00405D16">
            <w:pPr>
              <w:spacing w:after="100"/>
              <w:rPr>
                <w:rFonts w:eastAsia="Times New Roman"/>
                <w:sz w:val="20"/>
                <w:szCs w:val="20"/>
              </w:rPr>
            </w:pPr>
          </w:p>
        </w:tc>
        <w:tc>
          <w:tcPr>
            <w:tcW w:w="0" w:type="auto"/>
            <w:gridSpan w:val="3"/>
            <w:vAlign w:val="center"/>
            <w:hideMark/>
          </w:tcPr>
          <w:p w14:paraId="06B2EEB9" w14:textId="77777777" w:rsidR="00000000" w:rsidRDefault="00405D16">
            <w:pPr>
              <w:spacing w:after="100"/>
              <w:rPr>
                <w:rFonts w:eastAsia="Times New Roman"/>
                <w:sz w:val="20"/>
                <w:szCs w:val="20"/>
              </w:rPr>
            </w:pPr>
          </w:p>
        </w:tc>
        <w:tc>
          <w:tcPr>
            <w:tcW w:w="0" w:type="auto"/>
            <w:gridSpan w:val="5"/>
            <w:vAlign w:val="center"/>
            <w:hideMark/>
          </w:tcPr>
          <w:p w14:paraId="197CD2BA" w14:textId="77777777" w:rsidR="00000000" w:rsidRDefault="00405D16">
            <w:pPr>
              <w:spacing w:after="100"/>
              <w:rPr>
                <w:rFonts w:eastAsia="Times New Roman"/>
                <w:sz w:val="20"/>
                <w:szCs w:val="20"/>
              </w:rPr>
            </w:pPr>
          </w:p>
        </w:tc>
      </w:tr>
      <w:tr w:rsidR="00000000" w14:paraId="1FFA4917" w14:textId="77777777">
        <w:trPr>
          <w:divId w:val="553853218"/>
        </w:trPr>
        <w:tc>
          <w:tcPr>
            <w:tcW w:w="0" w:type="auto"/>
            <w:gridSpan w:val="4"/>
            <w:vAlign w:val="center"/>
            <w:hideMark/>
          </w:tcPr>
          <w:p w14:paraId="5738A090" w14:textId="77777777" w:rsidR="00000000" w:rsidRDefault="00405D16">
            <w:pPr>
              <w:spacing w:after="100"/>
              <w:rPr>
                <w:rFonts w:eastAsia="Times New Roman"/>
                <w:sz w:val="20"/>
                <w:szCs w:val="20"/>
              </w:rPr>
            </w:pPr>
          </w:p>
        </w:tc>
        <w:tc>
          <w:tcPr>
            <w:tcW w:w="0" w:type="auto"/>
            <w:gridSpan w:val="3"/>
            <w:vAlign w:val="center"/>
            <w:hideMark/>
          </w:tcPr>
          <w:p w14:paraId="3274A5D4" w14:textId="77777777" w:rsidR="00000000" w:rsidRDefault="00405D16">
            <w:pPr>
              <w:spacing w:after="100"/>
              <w:rPr>
                <w:rFonts w:eastAsia="Times New Roman"/>
                <w:sz w:val="20"/>
                <w:szCs w:val="20"/>
              </w:rPr>
            </w:pPr>
          </w:p>
        </w:tc>
        <w:tc>
          <w:tcPr>
            <w:tcW w:w="0" w:type="auto"/>
            <w:gridSpan w:val="3"/>
            <w:vAlign w:val="center"/>
            <w:hideMark/>
          </w:tcPr>
          <w:p w14:paraId="400A96F9" w14:textId="77777777" w:rsidR="00000000" w:rsidRDefault="00405D16">
            <w:pPr>
              <w:spacing w:after="100"/>
              <w:rPr>
                <w:rFonts w:eastAsia="Times New Roman"/>
                <w:sz w:val="20"/>
                <w:szCs w:val="20"/>
              </w:rPr>
            </w:pPr>
          </w:p>
        </w:tc>
        <w:tc>
          <w:tcPr>
            <w:tcW w:w="0" w:type="auto"/>
            <w:gridSpan w:val="3"/>
            <w:vAlign w:val="center"/>
            <w:hideMark/>
          </w:tcPr>
          <w:p w14:paraId="714EA9F1" w14:textId="77777777" w:rsidR="00000000" w:rsidRDefault="00405D16">
            <w:pPr>
              <w:spacing w:after="100"/>
              <w:rPr>
                <w:rFonts w:eastAsia="Times New Roman"/>
                <w:sz w:val="20"/>
                <w:szCs w:val="20"/>
              </w:rPr>
            </w:pPr>
          </w:p>
        </w:tc>
        <w:tc>
          <w:tcPr>
            <w:tcW w:w="0" w:type="auto"/>
            <w:gridSpan w:val="4"/>
            <w:vAlign w:val="center"/>
            <w:hideMark/>
          </w:tcPr>
          <w:p w14:paraId="71DA7A6F" w14:textId="77777777" w:rsidR="00000000" w:rsidRDefault="00405D16">
            <w:pPr>
              <w:spacing w:after="100"/>
              <w:rPr>
                <w:rFonts w:eastAsia="Times New Roman"/>
                <w:sz w:val="20"/>
                <w:szCs w:val="20"/>
              </w:rPr>
            </w:pPr>
          </w:p>
        </w:tc>
        <w:tc>
          <w:tcPr>
            <w:tcW w:w="0" w:type="auto"/>
            <w:gridSpan w:val="3"/>
            <w:vAlign w:val="center"/>
            <w:hideMark/>
          </w:tcPr>
          <w:p w14:paraId="6597E623" w14:textId="77777777" w:rsidR="00000000" w:rsidRDefault="00405D16">
            <w:pPr>
              <w:spacing w:after="100"/>
              <w:rPr>
                <w:rFonts w:eastAsia="Times New Roman"/>
                <w:sz w:val="20"/>
                <w:szCs w:val="20"/>
              </w:rPr>
            </w:pPr>
          </w:p>
        </w:tc>
        <w:tc>
          <w:tcPr>
            <w:tcW w:w="0" w:type="auto"/>
            <w:gridSpan w:val="5"/>
            <w:vAlign w:val="center"/>
            <w:hideMark/>
          </w:tcPr>
          <w:p w14:paraId="0F64C9A0" w14:textId="77777777" w:rsidR="00000000" w:rsidRDefault="00405D16">
            <w:pPr>
              <w:spacing w:after="100"/>
              <w:rPr>
                <w:rFonts w:eastAsia="Times New Roman"/>
                <w:sz w:val="20"/>
                <w:szCs w:val="20"/>
              </w:rPr>
            </w:pPr>
          </w:p>
        </w:tc>
        <w:tc>
          <w:tcPr>
            <w:tcW w:w="0" w:type="auto"/>
            <w:gridSpan w:val="3"/>
            <w:vAlign w:val="center"/>
            <w:hideMark/>
          </w:tcPr>
          <w:p w14:paraId="2897AABC" w14:textId="77777777" w:rsidR="00000000" w:rsidRDefault="00405D16">
            <w:pPr>
              <w:spacing w:after="100"/>
              <w:rPr>
                <w:rFonts w:eastAsia="Times New Roman"/>
                <w:sz w:val="20"/>
                <w:szCs w:val="20"/>
              </w:rPr>
            </w:pPr>
          </w:p>
        </w:tc>
        <w:tc>
          <w:tcPr>
            <w:tcW w:w="0" w:type="auto"/>
            <w:gridSpan w:val="3"/>
            <w:vAlign w:val="center"/>
            <w:hideMark/>
          </w:tcPr>
          <w:p w14:paraId="5D7DBD32" w14:textId="77777777" w:rsidR="00000000" w:rsidRDefault="00405D16">
            <w:pPr>
              <w:spacing w:after="100"/>
              <w:rPr>
                <w:rFonts w:eastAsia="Times New Roman"/>
                <w:sz w:val="20"/>
                <w:szCs w:val="20"/>
              </w:rPr>
            </w:pPr>
          </w:p>
        </w:tc>
        <w:tc>
          <w:tcPr>
            <w:tcW w:w="0" w:type="auto"/>
            <w:gridSpan w:val="3"/>
            <w:vAlign w:val="center"/>
            <w:hideMark/>
          </w:tcPr>
          <w:p w14:paraId="3BD00B45" w14:textId="77777777" w:rsidR="00000000" w:rsidRDefault="00405D16">
            <w:pPr>
              <w:spacing w:after="100"/>
              <w:rPr>
                <w:rFonts w:eastAsia="Times New Roman"/>
                <w:sz w:val="20"/>
                <w:szCs w:val="20"/>
              </w:rPr>
            </w:pPr>
          </w:p>
        </w:tc>
        <w:tc>
          <w:tcPr>
            <w:tcW w:w="0" w:type="auto"/>
            <w:gridSpan w:val="3"/>
            <w:vAlign w:val="center"/>
            <w:hideMark/>
          </w:tcPr>
          <w:p w14:paraId="374D2351" w14:textId="77777777" w:rsidR="00000000" w:rsidRDefault="00405D16">
            <w:pPr>
              <w:spacing w:after="100"/>
              <w:rPr>
                <w:rFonts w:eastAsia="Times New Roman"/>
                <w:sz w:val="20"/>
                <w:szCs w:val="20"/>
              </w:rPr>
            </w:pPr>
          </w:p>
        </w:tc>
        <w:tc>
          <w:tcPr>
            <w:tcW w:w="0" w:type="auto"/>
            <w:gridSpan w:val="3"/>
            <w:vAlign w:val="center"/>
            <w:hideMark/>
          </w:tcPr>
          <w:p w14:paraId="2550BEAF" w14:textId="77777777" w:rsidR="00000000" w:rsidRDefault="00405D16">
            <w:pPr>
              <w:spacing w:after="100"/>
              <w:rPr>
                <w:rFonts w:eastAsia="Times New Roman"/>
                <w:sz w:val="20"/>
                <w:szCs w:val="20"/>
              </w:rPr>
            </w:pPr>
          </w:p>
        </w:tc>
        <w:tc>
          <w:tcPr>
            <w:tcW w:w="0" w:type="auto"/>
            <w:gridSpan w:val="5"/>
            <w:vAlign w:val="center"/>
            <w:hideMark/>
          </w:tcPr>
          <w:p w14:paraId="25AFF467" w14:textId="77777777" w:rsidR="00000000" w:rsidRDefault="00405D16">
            <w:pPr>
              <w:spacing w:after="100"/>
              <w:rPr>
                <w:rFonts w:eastAsia="Times New Roman"/>
                <w:sz w:val="20"/>
                <w:szCs w:val="20"/>
              </w:rPr>
            </w:pPr>
          </w:p>
        </w:tc>
        <w:tc>
          <w:tcPr>
            <w:tcW w:w="0" w:type="auto"/>
            <w:gridSpan w:val="4"/>
            <w:vAlign w:val="center"/>
            <w:hideMark/>
          </w:tcPr>
          <w:p w14:paraId="6A3FC910" w14:textId="77777777" w:rsidR="00000000" w:rsidRDefault="00405D16">
            <w:pPr>
              <w:spacing w:after="100"/>
              <w:rPr>
                <w:rFonts w:eastAsia="Times New Roman"/>
                <w:sz w:val="20"/>
                <w:szCs w:val="20"/>
              </w:rPr>
            </w:pPr>
          </w:p>
        </w:tc>
        <w:tc>
          <w:tcPr>
            <w:tcW w:w="0" w:type="auto"/>
            <w:gridSpan w:val="3"/>
            <w:vAlign w:val="center"/>
            <w:hideMark/>
          </w:tcPr>
          <w:p w14:paraId="2C116D1D" w14:textId="77777777" w:rsidR="00000000" w:rsidRDefault="00405D16">
            <w:pPr>
              <w:spacing w:after="100"/>
              <w:rPr>
                <w:rFonts w:eastAsia="Times New Roman"/>
                <w:sz w:val="20"/>
                <w:szCs w:val="20"/>
              </w:rPr>
            </w:pPr>
          </w:p>
        </w:tc>
        <w:tc>
          <w:tcPr>
            <w:tcW w:w="0" w:type="auto"/>
            <w:gridSpan w:val="3"/>
            <w:vAlign w:val="center"/>
            <w:hideMark/>
          </w:tcPr>
          <w:p w14:paraId="3393C681" w14:textId="77777777" w:rsidR="00000000" w:rsidRDefault="00405D16">
            <w:pPr>
              <w:spacing w:after="100"/>
              <w:rPr>
                <w:rFonts w:eastAsia="Times New Roman"/>
                <w:sz w:val="20"/>
                <w:szCs w:val="20"/>
              </w:rPr>
            </w:pPr>
          </w:p>
        </w:tc>
        <w:tc>
          <w:tcPr>
            <w:tcW w:w="0" w:type="auto"/>
            <w:gridSpan w:val="3"/>
            <w:vAlign w:val="center"/>
            <w:hideMark/>
          </w:tcPr>
          <w:p w14:paraId="47331BF4" w14:textId="77777777" w:rsidR="00000000" w:rsidRDefault="00405D16">
            <w:pPr>
              <w:spacing w:after="100"/>
              <w:rPr>
                <w:rFonts w:eastAsia="Times New Roman"/>
                <w:sz w:val="20"/>
                <w:szCs w:val="20"/>
              </w:rPr>
            </w:pPr>
          </w:p>
        </w:tc>
        <w:tc>
          <w:tcPr>
            <w:tcW w:w="0" w:type="auto"/>
            <w:gridSpan w:val="3"/>
            <w:vAlign w:val="center"/>
            <w:hideMark/>
          </w:tcPr>
          <w:p w14:paraId="0EC4385C" w14:textId="77777777" w:rsidR="00000000" w:rsidRDefault="00405D16">
            <w:pPr>
              <w:spacing w:after="100"/>
              <w:rPr>
                <w:rFonts w:eastAsia="Times New Roman"/>
                <w:sz w:val="20"/>
                <w:szCs w:val="20"/>
              </w:rPr>
            </w:pPr>
          </w:p>
        </w:tc>
        <w:tc>
          <w:tcPr>
            <w:tcW w:w="0" w:type="auto"/>
            <w:gridSpan w:val="5"/>
            <w:vAlign w:val="center"/>
            <w:hideMark/>
          </w:tcPr>
          <w:p w14:paraId="18B2D74C" w14:textId="77777777" w:rsidR="00000000" w:rsidRDefault="00405D16">
            <w:pPr>
              <w:spacing w:after="100"/>
              <w:rPr>
                <w:rFonts w:eastAsia="Times New Roman"/>
                <w:sz w:val="20"/>
                <w:szCs w:val="20"/>
              </w:rPr>
            </w:pPr>
          </w:p>
        </w:tc>
      </w:tr>
      <w:tr w:rsidR="00000000" w14:paraId="7AC1ECC2" w14:textId="77777777">
        <w:trPr>
          <w:divId w:val="553853218"/>
        </w:trPr>
        <w:tc>
          <w:tcPr>
            <w:tcW w:w="0" w:type="auto"/>
            <w:gridSpan w:val="4"/>
            <w:vAlign w:val="center"/>
            <w:hideMark/>
          </w:tcPr>
          <w:p w14:paraId="5FD2BFF6" w14:textId="77777777" w:rsidR="00000000" w:rsidRDefault="00405D16">
            <w:pPr>
              <w:spacing w:after="100"/>
              <w:rPr>
                <w:rFonts w:eastAsia="Times New Roman"/>
                <w:sz w:val="20"/>
                <w:szCs w:val="20"/>
              </w:rPr>
            </w:pPr>
          </w:p>
        </w:tc>
        <w:tc>
          <w:tcPr>
            <w:tcW w:w="0" w:type="auto"/>
            <w:gridSpan w:val="3"/>
            <w:vAlign w:val="center"/>
            <w:hideMark/>
          </w:tcPr>
          <w:p w14:paraId="331B1A95" w14:textId="77777777" w:rsidR="00000000" w:rsidRDefault="00405D16">
            <w:pPr>
              <w:spacing w:after="100"/>
              <w:rPr>
                <w:rFonts w:eastAsia="Times New Roman"/>
                <w:sz w:val="20"/>
                <w:szCs w:val="20"/>
              </w:rPr>
            </w:pPr>
          </w:p>
        </w:tc>
        <w:tc>
          <w:tcPr>
            <w:tcW w:w="0" w:type="auto"/>
            <w:gridSpan w:val="3"/>
            <w:vAlign w:val="center"/>
            <w:hideMark/>
          </w:tcPr>
          <w:p w14:paraId="31D79448" w14:textId="77777777" w:rsidR="00000000" w:rsidRDefault="00405D16">
            <w:pPr>
              <w:spacing w:after="100"/>
              <w:rPr>
                <w:rFonts w:eastAsia="Times New Roman"/>
                <w:sz w:val="20"/>
                <w:szCs w:val="20"/>
              </w:rPr>
            </w:pPr>
          </w:p>
        </w:tc>
        <w:tc>
          <w:tcPr>
            <w:tcW w:w="0" w:type="auto"/>
            <w:gridSpan w:val="3"/>
            <w:vAlign w:val="center"/>
            <w:hideMark/>
          </w:tcPr>
          <w:p w14:paraId="366052F1" w14:textId="77777777" w:rsidR="00000000" w:rsidRDefault="00405D16">
            <w:pPr>
              <w:spacing w:after="100"/>
              <w:rPr>
                <w:rFonts w:eastAsia="Times New Roman"/>
                <w:sz w:val="20"/>
                <w:szCs w:val="20"/>
              </w:rPr>
            </w:pPr>
          </w:p>
        </w:tc>
        <w:tc>
          <w:tcPr>
            <w:tcW w:w="0" w:type="auto"/>
            <w:gridSpan w:val="4"/>
            <w:vAlign w:val="center"/>
            <w:hideMark/>
          </w:tcPr>
          <w:p w14:paraId="285AB7A7" w14:textId="77777777" w:rsidR="00000000" w:rsidRDefault="00405D16">
            <w:pPr>
              <w:spacing w:after="100"/>
              <w:rPr>
                <w:rFonts w:eastAsia="Times New Roman"/>
                <w:sz w:val="20"/>
                <w:szCs w:val="20"/>
              </w:rPr>
            </w:pPr>
          </w:p>
        </w:tc>
        <w:tc>
          <w:tcPr>
            <w:tcW w:w="0" w:type="auto"/>
            <w:gridSpan w:val="3"/>
            <w:vAlign w:val="center"/>
            <w:hideMark/>
          </w:tcPr>
          <w:p w14:paraId="3B443BD0" w14:textId="77777777" w:rsidR="00000000" w:rsidRDefault="00405D16">
            <w:pPr>
              <w:spacing w:after="100"/>
              <w:rPr>
                <w:rFonts w:eastAsia="Times New Roman"/>
                <w:sz w:val="20"/>
                <w:szCs w:val="20"/>
              </w:rPr>
            </w:pPr>
          </w:p>
        </w:tc>
        <w:tc>
          <w:tcPr>
            <w:tcW w:w="0" w:type="auto"/>
            <w:gridSpan w:val="5"/>
            <w:vAlign w:val="center"/>
            <w:hideMark/>
          </w:tcPr>
          <w:p w14:paraId="43B7729A" w14:textId="77777777" w:rsidR="00000000" w:rsidRDefault="00405D16">
            <w:pPr>
              <w:spacing w:after="100"/>
              <w:rPr>
                <w:rFonts w:eastAsia="Times New Roman"/>
                <w:sz w:val="20"/>
                <w:szCs w:val="20"/>
              </w:rPr>
            </w:pPr>
          </w:p>
        </w:tc>
        <w:tc>
          <w:tcPr>
            <w:tcW w:w="0" w:type="auto"/>
            <w:gridSpan w:val="3"/>
            <w:vAlign w:val="center"/>
            <w:hideMark/>
          </w:tcPr>
          <w:p w14:paraId="6FB46831" w14:textId="77777777" w:rsidR="00000000" w:rsidRDefault="00405D16">
            <w:pPr>
              <w:spacing w:after="100"/>
              <w:rPr>
                <w:rFonts w:eastAsia="Times New Roman"/>
                <w:sz w:val="20"/>
                <w:szCs w:val="20"/>
              </w:rPr>
            </w:pPr>
          </w:p>
        </w:tc>
        <w:tc>
          <w:tcPr>
            <w:tcW w:w="0" w:type="auto"/>
            <w:gridSpan w:val="3"/>
            <w:vAlign w:val="center"/>
            <w:hideMark/>
          </w:tcPr>
          <w:p w14:paraId="770E0F5E" w14:textId="77777777" w:rsidR="00000000" w:rsidRDefault="00405D16">
            <w:pPr>
              <w:spacing w:after="100"/>
              <w:rPr>
                <w:rFonts w:eastAsia="Times New Roman"/>
                <w:sz w:val="20"/>
                <w:szCs w:val="20"/>
              </w:rPr>
            </w:pPr>
          </w:p>
        </w:tc>
        <w:tc>
          <w:tcPr>
            <w:tcW w:w="0" w:type="auto"/>
            <w:gridSpan w:val="3"/>
            <w:vAlign w:val="center"/>
            <w:hideMark/>
          </w:tcPr>
          <w:p w14:paraId="717074D1" w14:textId="77777777" w:rsidR="00000000" w:rsidRDefault="00405D16">
            <w:pPr>
              <w:spacing w:after="100"/>
              <w:rPr>
                <w:rFonts w:eastAsia="Times New Roman"/>
                <w:sz w:val="20"/>
                <w:szCs w:val="20"/>
              </w:rPr>
            </w:pPr>
          </w:p>
        </w:tc>
        <w:tc>
          <w:tcPr>
            <w:tcW w:w="0" w:type="auto"/>
            <w:gridSpan w:val="3"/>
            <w:vAlign w:val="center"/>
            <w:hideMark/>
          </w:tcPr>
          <w:p w14:paraId="023E76E2" w14:textId="77777777" w:rsidR="00000000" w:rsidRDefault="00405D16">
            <w:pPr>
              <w:spacing w:after="100"/>
              <w:rPr>
                <w:rFonts w:eastAsia="Times New Roman"/>
                <w:sz w:val="20"/>
                <w:szCs w:val="20"/>
              </w:rPr>
            </w:pPr>
          </w:p>
        </w:tc>
        <w:tc>
          <w:tcPr>
            <w:tcW w:w="0" w:type="auto"/>
            <w:gridSpan w:val="3"/>
            <w:vAlign w:val="center"/>
            <w:hideMark/>
          </w:tcPr>
          <w:p w14:paraId="31636071" w14:textId="77777777" w:rsidR="00000000" w:rsidRDefault="00405D16">
            <w:pPr>
              <w:spacing w:after="100"/>
              <w:rPr>
                <w:rFonts w:eastAsia="Times New Roman"/>
                <w:sz w:val="20"/>
                <w:szCs w:val="20"/>
              </w:rPr>
            </w:pPr>
          </w:p>
        </w:tc>
        <w:tc>
          <w:tcPr>
            <w:tcW w:w="0" w:type="auto"/>
            <w:gridSpan w:val="5"/>
            <w:vAlign w:val="center"/>
            <w:hideMark/>
          </w:tcPr>
          <w:p w14:paraId="4C77AC90" w14:textId="77777777" w:rsidR="00000000" w:rsidRDefault="00405D16">
            <w:pPr>
              <w:spacing w:after="100"/>
              <w:rPr>
                <w:rFonts w:eastAsia="Times New Roman"/>
                <w:sz w:val="20"/>
                <w:szCs w:val="20"/>
              </w:rPr>
            </w:pPr>
          </w:p>
        </w:tc>
        <w:tc>
          <w:tcPr>
            <w:tcW w:w="0" w:type="auto"/>
            <w:gridSpan w:val="4"/>
            <w:vAlign w:val="center"/>
            <w:hideMark/>
          </w:tcPr>
          <w:p w14:paraId="2623F52B" w14:textId="77777777" w:rsidR="00000000" w:rsidRDefault="00405D16">
            <w:pPr>
              <w:spacing w:after="100"/>
              <w:rPr>
                <w:rFonts w:eastAsia="Times New Roman"/>
                <w:sz w:val="20"/>
                <w:szCs w:val="20"/>
              </w:rPr>
            </w:pPr>
          </w:p>
        </w:tc>
        <w:tc>
          <w:tcPr>
            <w:tcW w:w="0" w:type="auto"/>
            <w:gridSpan w:val="3"/>
            <w:vAlign w:val="center"/>
            <w:hideMark/>
          </w:tcPr>
          <w:p w14:paraId="4C8138D4" w14:textId="77777777" w:rsidR="00000000" w:rsidRDefault="00405D16">
            <w:pPr>
              <w:spacing w:after="100"/>
              <w:rPr>
                <w:rFonts w:eastAsia="Times New Roman"/>
                <w:sz w:val="20"/>
                <w:szCs w:val="20"/>
              </w:rPr>
            </w:pPr>
          </w:p>
        </w:tc>
        <w:tc>
          <w:tcPr>
            <w:tcW w:w="0" w:type="auto"/>
            <w:gridSpan w:val="3"/>
            <w:vAlign w:val="center"/>
            <w:hideMark/>
          </w:tcPr>
          <w:p w14:paraId="146DFE6D" w14:textId="77777777" w:rsidR="00000000" w:rsidRDefault="00405D16">
            <w:pPr>
              <w:spacing w:after="100"/>
              <w:rPr>
                <w:rFonts w:eastAsia="Times New Roman"/>
                <w:sz w:val="20"/>
                <w:szCs w:val="20"/>
              </w:rPr>
            </w:pPr>
          </w:p>
        </w:tc>
        <w:tc>
          <w:tcPr>
            <w:tcW w:w="0" w:type="auto"/>
            <w:gridSpan w:val="3"/>
            <w:vAlign w:val="center"/>
            <w:hideMark/>
          </w:tcPr>
          <w:p w14:paraId="5AC6542B" w14:textId="77777777" w:rsidR="00000000" w:rsidRDefault="00405D16">
            <w:pPr>
              <w:spacing w:after="100"/>
              <w:rPr>
                <w:rFonts w:eastAsia="Times New Roman"/>
                <w:sz w:val="20"/>
                <w:szCs w:val="20"/>
              </w:rPr>
            </w:pPr>
          </w:p>
        </w:tc>
        <w:tc>
          <w:tcPr>
            <w:tcW w:w="0" w:type="auto"/>
            <w:gridSpan w:val="3"/>
            <w:vAlign w:val="center"/>
            <w:hideMark/>
          </w:tcPr>
          <w:p w14:paraId="0597D4C9" w14:textId="77777777" w:rsidR="00000000" w:rsidRDefault="00405D16">
            <w:pPr>
              <w:spacing w:after="100"/>
              <w:rPr>
                <w:rFonts w:eastAsia="Times New Roman"/>
                <w:sz w:val="20"/>
                <w:szCs w:val="20"/>
              </w:rPr>
            </w:pPr>
          </w:p>
        </w:tc>
        <w:tc>
          <w:tcPr>
            <w:tcW w:w="0" w:type="auto"/>
            <w:gridSpan w:val="5"/>
            <w:vAlign w:val="center"/>
            <w:hideMark/>
          </w:tcPr>
          <w:p w14:paraId="2CCACA5C" w14:textId="77777777" w:rsidR="00000000" w:rsidRDefault="00405D16">
            <w:pPr>
              <w:spacing w:after="100"/>
              <w:rPr>
                <w:rFonts w:eastAsia="Times New Roman"/>
                <w:sz w:val="20"/>
                <w:szCs w:val="20"/>
              </w:rPr>
            </w:pPr>
          </w:p>
        </w:tc>
      </w:tr>
      <w:tr w:rsidR="00000000" w14:paraId="4067F96C" w14:textId="77777777">
        <w:trPr>
          <w:divId w:val="553853218"/>
        </w:trPr>
        <w:tc>
          <w:tcPr>
            <w:tcW w:w="0" w:type="auto"/>
            <w:gridSpan w:val="4"/>
            <w:vAlign w:val="center"/>
            <w:hideMark/>
          </w:tcPr>
          <w:p w14:paraId="7CA4B74C" w14:textId="77777777" w:rsidR="00000000" w:rsidRDefault="00405D16">
            <w:pPr>
              <w:spacing w:after="100"/>
              <w:rPr>
                <w:rFonts w:eastAsia="Times New Roman"/>
                <w:sz w:val="20"/>
                <w:szCs w:val="20"/>
              </w:rPr>
            </w:pPr>
          </w:p>
        </w:tc>
        <w:tc>
          <w:tcPr>
            <w:tcW w:w="0" w:type="auto"/>
            <w:gridSpan w:val="3"/>
            <w:vAlign w:val="center"/>
            <w:hideMark/>
          </w:tcPr>
          <w:p w14:paraId="5618E34E" w14:textId="77777777" w:rsidR="00000000" w:rsidRDefault="00405D16">
            <w:pPr>
              <w:spacing w:after="100"/>
              <w:rPr>
                <w:rFonts w:eastAsia="Times New Roman"/>
                <w:sz w:val="20"/>
                <w:szCs w:val="20"/>
              </w:rPr>
            </w:pPr>
          </w:p>
        </w:tc>
        <w:tc>
          <w:tcPr>
            <w:tcW w:w="0" w:type="auto"/>
            <w:gridSpan w:val="3"/>
            <w:vAlign w:val="center"/>
            <w:hideMark/>
          </w:tcPr>
          <w:p w14:paraId="13D51B8E" w14:textId="77777777" w:rsidR="00000000" w:rsidRDefault="00405D16">
            <w:pPr>
              <w:spacing w:after="100"/>
              <w:rPr>
                <w:rFonts w:eastAsia="Times New Roman"/>
                <w:sz w:val="20"/>
                <w:szCs w:val="20"/>
              </w:rPr>
            </w:pPr>
          </w:p>
        </w:tc>
        <w:tc>
          <w:tcPr>
            <w:tcW w:w="0" w:type="auto"/>
            <w:gridSpan w:val="3"/>
            <w:vAlign w:val="center"/>
            <w:hideMark/>
          </w:tcPr>
          <w:p w14:paraId="718EBF7E" w14:textId="77777777" w:rsidR="00000000" w:rsidRDefault="00405D16">
            <w:pPr>
              <w:spacing w:after="100"/>
              <w:rPr>
                <w:rFonts w:eastAsia="Times New Roman"/>
                <w:sz w:val="20"/>
                <w:szCs w:val="20"/>
              </w:rPr>
            </w:pPr>
          </w:p>
        </w:tc>
        <w:tc>
          <w:tcPr>
            <w:tcW w:w="0" w:type="auto"/>
            <w:gridSpan w:val="4"/>
            <w:vAlign w:val="center"/>
            <w:hideMark/>
          </w:tcPr>
          <w:p w14:paraId="0C554BB9" w14:textId="77777777" w:rsidR="00000000" w:rsidRDefault="00405D16">
            <w:pPr>
              <w:spacing w:after="100"/>
              <w:rPr>
                <w:rFonts w:eastAsia="Times New Roman"/>
                <w:sz w:val="20"/>
                <w:szCs w:val="20"/>
              </w:rPr>
            </w:pPr>
          </w:p>
        </w:tc>
        <w:tc>
          <w:tcPr>
            <w:tcW w:w="0" w:type="auto"/>
            <w:gridSpan w:val="3"/>
            <w:vAlign w:val="center"/>
            <w:hideMark/>
          </w:tcPr>
          <w:p w14:paraId="3F46B0EE" w14:textId="77777777" w:rsidR="00000000" w:rsidRDefault="00405D16">
            <w:pPr>
              <w:spacing w:after="100"/>
              <w:rPr>
                <w:rFonts w:eastAsia="Times New Roman"/>
                <w:sz w:val="20"/>
                <w:szCs w:val="20"/>
              </w:rPr>
            </w:pPr>
          </w:p>
        </w:tc>
        <w:tc>
          <w:tcPr>
            <w:tcW w:w="0" w:type="auto"/>
            <w:gridSpan w:val="5"/>
            <w:vAlign w:val="center"/>
            <w:hideMark/>
          </w:tcPr>
          <w:p w14:paraId="15FE6132" w14:textId="77777777" w:rsidR="00000000" w:rsidRDefault="00405D16">
            <w:pPr>
              <w:spacing w:after="100"/>
              <w:rPr>
                <w:rFonts w:eastAsia="Times New Roman"/>
                <w:sz w:val="20"/>
                <w:szCs w:val="20"/>
              </w:rPr>
            </w:pPr>
          </w:p>
        </w:tc>
        <w:tc>
          <w:tcPr>
            <w:tcW w:w="0" w:type="auto"/>
            <w:gridSpan w:val="3"/>
            <w:vAlign w:val="center"/>
            <w:hideMark/>
          </w:tcPr>
          <w:p w14:paraId="5AE3809F" w14:textId="77777777" w:rsidR="00000000" w:rsidRDefault="00405D16">
            <w:pPr>
              <w:spacing w:after="100"/>
              <w:rPr>
                <w:rFonts w:eastAsia="Times New Roman"/>
                <w:sz w:val="20"/>
                <w:szCs w:val="20"/>
              </w:rPr>
            </w:pPr>
          </w:p>
        </w:tc>
        <w:tc>
          <w:tcPr>
            <w:tcW w:w="0" w:type="auto"/>
            <w:gridSpan w:val="3"/>
            <w:vAlign w:val="center"/>
            <w:hideMark/>
          </w:tcPr>
          <w:p w14:paraId="64CA3C36" w14:textId="77777777" w:rsidR="00000000" w:rsidRDefault="00405D16">
            <w:pPr>
              <w:spacing w:after="100"/>
              <w:rPr>
                <w:rFonts w:eastAsia="Times New Roman"/>
                <w:sz w:val="20"/>
                <w:szCs w:val="20"/>
              </w:rPr>
            </w:pPr>
          </w:p>
        </w:tc>
        <w:tc>
          <w:tcPr>
            <w:tcW w:w="0" w:type="auto"/>
            <w:gridSpan w:val="3"/>
            <w:vAlign w:val="center"/>
            <w:hideMark/>
          </w:tcPr>
          <w:p w14:paraId="3D74C566" w14:textId="77777777" w:rsidR="00000000" w:rsidRDefault="00405D16">
            <w:pPr>
              <w:spacing w:after="100"/>
              <w:rPr>
                <w:rFonts w:eastAsia="Times New Roman"/>
                <w:sz w:val="20"/>
                <w:szCs w:val="20"/>
              </w:rPr>
            </w:pPr>
          </w:p>
        </w:tc>
        <w:tc>
          <w:tcPr>
            <w:tcW w:w="0" w:type="auto"/>
            <w:gridSpan w:val="3"/>
            <w:vAlign w:val="center"/>
            <w:hideMark/>
          </w:tcPr>
          <w:p w14:paraId="43C5B578" w14:textId="77777777" w:rsidR="00000000" w:rsidRDefault="00405D16">
            <w:pPr>
              <w:spacing w:after="100"/>
              <w:rPr>
                <w:rFonts w:eastAsia="Times New Roman"/>
                <w:sz w:val="20"/>
                <w:szCs w:val="20"/>
              </w:rPr>
            </w:pPr>
          </w:p>
        </w:tc>
        <w:tc>
          <w:tcPr>
            <w:tcW w:w="0" w:type="auto"/>
            <w:gridSpan w:val="3"/>
            <w:vAlign w:val="center"/>
            <w:hideMark/>
          </w:tcPr>
          <w:p w14:paraId="12CF8727" w14:textId="77777777" w:rsidR="00000000" w:rsidRDefault="00405D16">
            <w:pPr>
              <w:spacing w:after="100"/>
              <w:rPr>
                <w:rFonts w:eastAsia="Times New Roman"/>
                <w:sz w:val="20"/>
                <w:szCs w:val="20"/>
              </w:rPr>
            </w:pPr>
          </w:p>
        </w:tc>
        <w:tc>
          <w:tcPr>
            <w:tcW w:w="0" w:type="auto"/>
            <w:gridSpan w:val="5"/>
            <w:vAlign w:val="center"/>
            <w:hideMark/>
          </w:tcPr>
          <w:p w14:paraId="3E808C61" w14:textId="77777777" w:rsidR="00000000" w:rsidRDefault="00405D16">
            <w:pPr>
              <w:spacing w:after="100"/>
              <w:rPr>
                <w:rFonts w:eastAsia="Times New Roman"/>
                <w:sz w:val="20"/>
                <w:szCs w:val="20"/>
              </w:rPr>
            </w:pPr>
          </w:p>
        </w:tc>
        <w:tc>
          <w:tcPr>
            <w:tcW w:w="0" w:type="auto"/>
            <w:gridSpan w:val="4"/>
            <w:vAlign w:val="center"/>
            <w:hideMark/>
          </w:tcPr>
          <w:p w14:paraId="64963B54" w14:textId="77777777" w:rsidR="00000000" w:rsidRDefault="00405D16">
            <w:pPr>
              <w:spacing w:after="100"/>
              <w:rPr>
                <w:rFonts w:eastAsia="Times New Roman"/>
                <w:sz w:val="20"/>
                <w:szCs w:val="20"/>
              </w:rPr>
            </w:pPr>
          </w:p>
        </w:tc>
        <w:tc>
          <w:tcPr>
            <w:tcW w:w="0" w:type="auto"/>
            <w:gridSpan w:val="3"/>
            <w:vAlign w:val="center"/>
            <w:hideMark/>
          </w:tcPr>
          <w:p w14:paraId="726EFA67" w14:textId="77777777" w:rsidR="00000000" w:rsidRDefault="00405D16">
            <w:pPr>
              <w:spacing w:after="100"/>
              <w:rPr>
                <w:rFonts w:eastAsia="Times New Roman"/>
                <w:sz w:val="20"/>
                <w:szCs w:val="20"/>
              </w:rPr>
            </w:pPr>
          </w:p>
        </w:tc>
        <w:tc>
          <w:tcPr>
            <w:tcW w:w="0" w:type="auto"/>
            <w:gridSpan w:val="3"/>
            <w:vAlign w:val="center"/>
            <w:hideMark/>
          </w:tcPr>
          <w:p w14:paraId="2689290C" w14:textId="77777777" w:rsidR="00000000" w:rsidRDefault="00405D16">
            <w:pPr>
              <w:spacing w:after="100"/>
              <w:rPr>
                <w:rFonts w:eastAsia="Times New Roman"/>
                <w:sz w:val="20"/>
                <w:szCs w:val="20"/>
              </w:rPr>
            </w:pPr>
          </w:p>
        </w:tc>
        <w:tc>
          <w:tcPr>
            <w:tcW w:w="0" w:type="auto"/>
            <w:gridSpan w:val="3"/>
            <w:vAlign w:val="center"/>
            <w:hideMark/>
          </w:tcPr>
          <w:p w14:paraId="76F86CED" w14:textId="77777777" w:rsidR="00000000" w:rsidRDefault="00405D16">
            <w:pPr>
              <w:spacing w:after="100"/>
              <w:rPr>
                <w:rFonts w:eastAsia="Times New Roman"/>
                <w:sz w:val="20"/>
                <w:szCs w:val="20"/>
              </w:rPr>
            </w:pPr>
          </w:p>
        </w:tc>
        <w:tc>
          <w:tcPr>
            <w:tcW w:w="0" w:type="auto"/>
            <w:gridSpan w:val="3"/>
            <w:vAlign w:val="center"/>
            <w:hideMark/>
          </w:tcPr>
          <w:p w14:paraId="3377A973" w14:textId="77777777" w:rsidR="00000000" w:rsidRDefault="00405D16">
            <w:pPr>
              <w:spacing w:after="100"/>
              <w:rPr>
                <w:rFonts w:eastAsia="Times New Roman"/>
                <w:sz w:val="20"/>
                <w:szCs w:val="20"/>
              </w:rPr>
            </w:pPr>
          </w:p>
        </w:tc>
        <w:tc>
          <w:tcPr>
            <w:tcW w:w="0" w:type="auto"/>
            <w:gridSpan w:val="5"/>
            <w:vAlign w:val="center"/>
            <w:hideMark/>
          </w:tcPr>
          <w:p w14:paraId="10AC633E" w14:textId="77777777" w:rsidR="00000000" w:rsidRDefault="00405D16">
            <w:pPr>
              <w:spacing w:after="100"/>
              <w:rPr>
                <w:rFonts w:eastAsia="Times New Roman"/>
                <w:sz w:val="20"/>
                <w:szCs w:val="20"/>
              </w:rPr>
            </w:pPr>
          </w:p>
        </w:tc>
      </w:tr>
      <w:tr w:rsidR="00000000" w14:paraId="63F65EB6" w14:textId="77777777">
        <w:trPr>
          <w:divId w:val="553853218"/>
        </w:trPr>
        <w:tc>
          <w:tcPr>
            <w:tcW w:w="0" w:type="auto"/>
            <w:gridSpan w:val="4"/>
            <w:vAlign w:val="center"/>
            <w:hideMark/>
          </w:tcPr>
          <w:p w14:paraId="6FD86B0A" w14:textId="77777777" w:rsidR="00000000" w:rsidRDefault="00405D16">
            <w:pPr>
              <w:spacing w:after="100"/>
              <w:rPr>
                <w:rFonts w:eastAsia="Times New Roman"/>
                <w:sz w:val="20"/>
                <w:szCs w:val="20"/>
              </w:rPr>
            </w:pPr>
          </w:p>
        </w:tc>
        <w:tc>
          <w:tcPr>
            <w:tcW w:w="0" w:type="auto"/>
            <w:gridSpan w:val="3"/>
            <w:vAlign w:val="center"/>
            <w:hideMark/>
          </w:tcPr>
          <w:p w14:paraId="5C8F516C" w14:textId="77777777" w:rsidR="00000000" w:rsidRDefault="00405D16">
            <w:pPr>
              <w:spacing w:after="100"/>
              <w:rPr>
                <w:rFonts w:eastAsia="Times New Roman"/>
                <w:sz w:val="20"/>
                <w:szCs w:val="20"/>
              </w:rPr>
            </w:pPr>
          </w:p>
        </w:tc>
        <w:tc>
          <w:tcPr>
            <w:tcW w:w="0" w:type="auto"/>
            <w:gridSpan w:val="3"/>
            <w:vAlign w:val="center"/>
            <w:hideMark/>
          </w:tcPr>
          <w:p w14:paraId="01338091" w14:textId="77777777" w:rsidR="00000000" w:rsidRDefault="00405D16">
            <w:pPr>
              <w:spacing w:after="100"/>
              <w:rPr>
                <w:rFonts w:eastAsia="Times New Roman"/>
                <w:sz w:val="20"/>
                <w:szCs w:val="20"/>
              </w:rPr>
            </w:pPr>
          </w:p>
        </w:tc>
        <w:tc>
          <w:tcPr>
            <w:tcW w:w="0" w:type="auto"/>
            <w:gridSpan w:val="3"/>
            <w:vAlign w:val="center"/>
            <w:hideMark/>
          </w:tcPr>
          <w:p w14:paraId="2FD7F678" w14:textId="77777777" w:rsidR="00000000" w:rsidRDefault="00405D16">
            <w:pPr>
              <w:spacing w:after="100"/>
              <w:rPr>
                <w:rFonts w:eastAsia="Times New Roman"/>
                <w:sz w:val="20"/>
                <w:szCs w:val="20"/>
              </w:rPr>
            </w:pPr>
          </w:p>
        </w:tc>
        <w:tc>
          <w:tcPr>
            <w:tcW w:w="0" w:type="auto"/>
            <w:gridSpan w:val="4"/>
            <w:vAlign w:val="center"/>
            <w:hideMark/>
          </w:tcPr>
          <w:p w14:paraId="0B17317D" w14:textId="77777777" w:rsidR="00000000" w:rsidRDefault="00405D16">
            <w:pPr>
              <w:spacing w:after="100"/>
              <w:rPr>
                <w:rFonts w:eastAsia="Times New Roman"/>
                <w:sz w:val="20"/>
                <w:szCs w:val="20"/>
              </w:rPr>
            </w:pPr>
          </w:p>
        </w:tc>
        <w:tc>
          <w:tcPr>
            <w:tcW w:w="0" w:type="auto"/>
            <w:gridSpan w:val="3"/>
            <w:vAlign w:val="center"/>
            <w:hideMark/>
          </w:tcPr>
          <w:p w14:paraId="13D249DD" w14:textId="77777777" w:rsidR="00000000" w:rsidRDefault="00405D16">
            <w:pPr>
              <w:spacing w:after="100"/>
              <w:rPr>
                <w:rFonts w:eastAsia="Times New Roman"/>
                <w:sz w:val="20"/>
                <w:szCs w:val="20"/>
              </w:rPr>
            </w:pPr>
          </w:p>
        </w:tc>
        <w:tc>
          <w:tcPr>
            <w:tcW w:w="0" w:type="auto"/>
            <w:gridSpan w:val="5"/>
            <w:vAlign w:val="center"/>
            <w:hideMark/>
          </w:tcPr>
          <w:p w14:paraId="05685D05" w14:textId="77777777" w:rsidR="00000000" w:rsidRDefault="00405D16">
            <w:pPr>
              <w:spacing w:after="100"/>
              <w:rPr>
                <w:rFonts w:eastAsia="Times New Roman"/>
                <w:sz w:val="20"/>
                <w:szCs w:val="20"/>
              </w:rPr>
            </w:pPr>
          </w:p>
        </w:tc>
        <w:tc>
          <w:tcPr>
            <w:tcW w:w="0" w:type="auto"/>
            <w:gridSpan w:val="3"/>
            <w:vAlign w:val="center"/>
            <w:hideMark/>
          </w:tcPr>
          <w:p w14:paraId="0FC54DB7" w14:textId="77777777" w:rsidR="00000000" w:rsidRDefault="00405D16">
            <w:pPr>
              <w:spacing w:after="100"/>
              <w:rPr>
                <w:rFonts w:eastAsia="Times New Roman"/>
                <w:sz w:val="20"/>
                <w:szCs w:val="20"/>
              </w:rPr>
            </w:pPr>
          </w:p>
        </w:tc>
        <w:tc>
          <w:tcPr>
            <w:tcW w:w="0" w:type="auto"/>
            <w:gridSpan w:val="3"/>
            <w:vAlign w:val="center"/>
            <w:hideMark/>
          </w:tcPr>
          <w:p w14:paraId="1F432CDA" w14:textId="77777777" w:rsidR="00000000" w:rsidRDefault="00405D16">
            <w:pPr>
              <w:spacing w:after="100"/>
              <w:rPr>
                <w:rFonts w:eastAsia="Times New Roman"/>
                <w:sz w:val="20"/>
                <w:szCs w:val="20"/>
              </w:rPr>
            </w:pPr>
          </w:p>
        </w:tc>
        <w:tc>
          <w:tcPr>
            <w:tcW w:w="0" w:type="auto"/>
            <w:gridSpan w:val="3"/>
            <w:vAlign w:val="center"/>
            <w:hideMark/>
          </w:tcPr>
          <w:p w14:paraId="6F1C6E56" w14:textId="77777777" w:rsidR="00000000" w:rsidRDefault="00405D16">
            <w:pPr>
              <w:spacing w:after="100"/>
              <w:rPr>
                <w:rFonts w:eastAsia="Times New Roman"/>
                <w:sz w:val="20"/>
                <w:szCs w:val="20"/>
              </w:rPr>
            </w:pPr>
          </w:p>
        </w:tc>
        <w:tc>
          <w:tcPr>
            <w:tcW w:w="0" w:type="auto"/>
            <w:gridSpan w:val="3"/>
            <w:vAlign w:val="center"/>
            <w:hideMark/>
          </w:tcPr>
          <w:p w14:paraId="30C1D836" w14:textId="77777777" w:rsidR="00000000" w:rsidRDefault="00405D16">
            <w:pPr>
              <w:spacing w:after="100"/>
              <w:rPr>
                <w:rFonts w:eastAsia="Times New Roman"/>
                <w:sz w:val="20"/>
                <w:szCs w:val="20"/>
              </w:rPr>
            </w:pPr>
          </w:p>
        </w:tc>
        <w:tc>
          <w:tcPr>
            <w:tcW w:w="0" w:type="auto"/>
            <w:gridSpan w:val="3"/>
            <w:vAlign w:val="center"/>
            <w:hideMark/>
          </w:tcPr>
          <w:p w14:paraId="17904E56" w14:textId="77777777" w:rsidR="00000000" w:rsidRDefault="00405D16">
            <w:pPr>
              <w:spacing w:after="100"/>
              <w:rPr>
                <w:rFonts w:eastAsia="Times New Roman"/>
                <w:sz w:val="20"/>
                <w:szCs w:val="20"/>
              </w:rPr>
            </w:pPr>
          </w:p>
        </w:tc>
        <w:tc>
          <w:tcPr>
            <w:tcW w:w="0" w:type="auto"/>
            <w:gridSpan w:val="5"/>
            <w:vAlign w:val="center"/>
            <w:hideMark/>
          </w:tcPr>
          <w:p w14:paraId="1619EDFF" w14:textId="77777777" w:rsidR="00000000" w:rsidRDefault="00405D16">
            <w:pPr>
              <w:spacing w:after="100"/>
              <w:rPr>
                <w:rFonts w:eastAsia="Times New Roman"/>
                <w:sz w:val="20"/>
                <w:szCs w:val="20"/>
              </w:rPr>
            </w:pPr>
          </w:p>
        </w:tc>
        <w:tc>
          <w:tcPr>
            <w:tcW w:w="0" w:type="auto"/>
            <w:gridSpan w:val="4"/>
            <w:vAlign w:val="center"/>
            <w:hideMark/>
          </w:tcPr>
          <w:p w14:paraId="7BCBFE50" w14:textId="77777777" w:rsidR="00000000" w:rsidRDefault="00405D16">
            <w:pPr>
              <w:spacing w:after="100"/>
              <w:rPr>
                <w:rFonts w:eastAsia="Times New Roman"/>
                <w:sz w:val="20"/>
                <w:szCs w:val="20"/>
              </w:rPr>
            </w:pPr>
          </w:p>
        </w:tc>
        <w:tc>
          <w:tcPr>
            <w:tcW w:w="0" w:type="auto"/>
            <w:gridSpan w:val="3"/>
            <w:vAlign w:val="center"/>
            <w:hideMark/>
          </w:tcPr>
          <w:p w14:paraId="5BE8497C" w14:textId="77777777" w:rsidR="00000000" w:rsidRDefault="00405D16">
            <w:pPr>
              <w:spacing w:after="100"/>
              <w:rPr>
                <w:rFonts w:eastAsia="Times New Roman"/>
                <w:sz w:val="20"/>
                <w:szCs w:val="20"/>
              </w:rPr>
            </w:pPr>
          </w:p>
        </w:tc>
        <w:tc>
          <w:tcPr>
            <w:tcW w:w="0" w:type="auto"/>
            <w:gridSpan w:val="3"/>
            <w:vAlign w:val="center"/>
            <w:hideMark/>
          </w:tcPr>
          <w:p w14:paraId="7957EECA" w14:textId="77777777" w:rsidR="00000000" w:rsidRDefault="00405D16">
            <w:pPr>
              <w:spacing w:after="100"/>
              <w:rPr>
                <w:rFonts w:eastAsia="Times New Roman"/>
                <w:sz w:val="20"/>
                <w:szCs w:val="20"/>
              </w:rPr>
            </w:pPr>
          </w:p>
        </w:tc>
        <w:tc>
          <w:tcPr>
            <w:tcW w:w="0" w:type="auto"/>
            <w:gridSpan w:val="3"/>
            <w:vAlign w:val="center"/>
            <w:hideMark/>
          </w:tcPr>
          <w:p w14:paraId="3D70A5EE" w14:textId="77777777" w:rsidR="00000000" w:rsidRDefault="00405D16">
            <w:pPr>
              <w:spacing w:after="100"/>
              <w:rPr>
                <w:rFonts w:eastAsia="Times New Roman"/>
                <w:sz w:val="20"/>
                <w:szCs w:val="20"/>
              </w:rPr>
            </w:pPr>
          </w:p>
        </w:tc>
        <w:tc>
          <w:tcPr>
            <w:tcW w:w="0" w:type="auto"/>
            <w:gridSpan w:val="3"/>
            <w:vAlign w:val="center"/>
            <w:hideMark/>
          </w:tcPr>
          <w:p w14:paraId="259A80B1" w14:textId="77777777" w:rsidR="00000000" w:rsidRDefault="00405D16">
            <w:pPr>
              <w:spacing w:after="100"/>
              <w:rPr>
                <w:rFonts w:eastAsia="Times New Roman"/>
                <w:sz w:val="20"/>
                <w:szCs w:val="20"/>
              </w:rPr>
            </w:pPr>
          </w:p>
        </w:tc>
        <w:tc>
          <w:tcPr>
            <w:tcW w:w="0" w:type="auto"/>
            <w:gridSpan w:val="5"/>
            <w:vAlign w:val="center"/>
            <w:hideMark/>
          </w:tcPr>
          <w:p w14:paraId="3347C8FD" w14:textId="77777777" w:rsidR="00000000" w:rsidRDefault="00405D16">
            <w:pPr>
              <w:spacing w:after="100"/>
              <w:rPr>
                <w:rFonts w:eastAsia="Times New Roman"/>
                <w:sz w:val="20"/>
                <w:szCs w:val="20"/>
              </w:rPr>
            </w:pPr>
          </w:p>
        </w:tc>
      </w:tr>
      <w:tr w:rsidR="00000000" w14:paraId="70372010" w14:textId="77777777">
        <w:trPr>
          <w:divId w:val="553853218"/>
        </w:trPr>
        <w:tc>
          <w:tcPr>
            <w:tcW w:w="0" w:type="auto"/>
            <w:gridSpan w:val="4"/>
            <w:vAlign w:val="center"/>
            <w:hideMark/>
          </w:tcPr>
          <w:p w14:paraId="7D9C4CEC" w14:textId="77777777" w:rsidR="00000000" w:rsidRDefault="00405D16">
            <w:pPr>
              <w:spacing w:after="100"/>
              <w:rPr>
                <w:rFonts w:eastAsia="Times New Roman"/>
                <w:sz w:val="20"/>
                <w:szCs w:val="20"/>
              </w:rPr>
            </w:pPr>
          </w:p>
        </w:tc>
        <w:tc>
          <w:tcPr>
            <w:tcW w:w="0" w:type="auto"/>
            <w:gridSpan w:val="3"/>
            <w:vAlign w:val="center"/>
            <w:hideMark/>
          </w:tcPr>
          <w:p w14:paraId="703FEDA5" w14:textId="77777777" w:rsidR="00000000" w:rsidRDefault="00405D16">
            <w:pPr>
              <w:spacing w:after="100"/>
              <w:rPr>
                <w:rFonts w:eastAsia="Times New Roman"/>
                <w:sz w:val="20"/>
                <w:szCs w:val="20"/>
              </w:rPr>
            </w:pPr>
          </w:p>
        </w:tc>
        <w:tc>
          <w:tcPr>
            <w:tcW w:w="0" w:type="auto"/>
            <w:gridSpan w:val="3"/>
            <w:vAlign w:val="center"/>
            <w:hideMark/>
          </w:tcPr>
          <w:p w14:paraId="5F8CD324" w14:textId="77777777" w:rsidR="00000000" w:rsidRDefault="00405D16">
            <w:pPr>
              <w:spacing w:after="100"/>
              <w:rPr>
                <w:rFonts w:eastAsia="Times New Roman"/>
                <w:sz w:val="20"/>
                <w:szCs w:val="20"/>
              </w:rPr>
            </w:pPr>
          </w:p>
        </w:tc>
        <w:tc>
          <w:tcPr>
            <w:tcW w:w="0" w:type="auto"/>
            <w:gridSpan w:val="3"/>
            <w:vAlign w:val="center"/>
            <w:hideMark/>
          </w:tcPr>
          <w:p w14:paraId="388D0430" w14:textId="77777777" w:rsidR="00000000" w:rsidRDefault="00405D16">
            <w:pPr>
              <w:spacing w:after="100"/>
              <w:rPr>
                <w:rFonts w:eastAsia="Times New Roman"/>
                <w:sz w:val="20"/>
                <w:szCs w:val="20"/>
              </w:rPr>
            </w:pPr>
          </w:p>
        </w:tc>
        <w:tc>
          <w:tcPr>
            <w:tcW w:w="0" w:type="auto"/>
            <w:gridSpan w:val="4"/>
            <w:vAlign w:val="center"/>
            <w:hideMark/>
          </w:tcPr>
          <w:p w14:paraId="14E685CC" w14:textId="77777777" w:rsidR="00000000" w:rsidRDefault="00405D16">
            <w:pPr>
              <w:spacing w:after="100"/>
              <w:rPr>
                <w:rFonts w:eastAsia="Times New Roman"/>
                <w:sz w:val="20"/>
                <w:szCs w:val="20"/>
              </w:rPr>
            </w:pPr>
          </w:p>
        </w:tc>
        <w:tc>
          <w:tcPr>
            <w:tcW w:w="0" w:type="auto"/>
            <w:gridSpan w:val="3"/>
            <w:vAlign w:val="center"/>
            <w:hideMark/>
          </w:tcPr>
          <w:p w14:paraId="6AA7AD36" w14:textId="77777777" w:rsidR="00000000" w:rsidRDefault="00405D16">
            <w:pPr>
              <w:spacing w:after="100"/>
              <w:rPr>
                <w:rFonts w:eastAsia="Times New Roman"/>
                <w:sz w:val="20"/>
                <w:szCs w:val="20"/>
              </w:rPr>
            </w:pPr>
          </w:p>
        </w:tc>
        <w:tc>
          <w:tcPr>
            <w:tcW w:w="0" w:type="auto"/>
            <w:gridSpan w:val="5"/>
            <w:vAlign w:val="center"/>
            <w:hideMark/>
          </w:tcPr>
          <w:p w14:paraId="3DACE31C" w14:textId="77777777" w:rsidR="00000000" w:rsidRDefault="00405D16">
            <w:pPr>
              <w:spacing w:after="100"/>
              <w:rPr>
                <w:rFonts w:eastAsia="Times New Roman"/>
                <w:sz w:val="20"/>
                <w:szCs w:val="20"/>
              </w:rPr>
            </w:pPr>
          </w:p>
        </w:tc>
        <w:tc>
          <w:tcPr>
            <w:tcW w:w="0" w:type="auto"/>
            <w:gridSpan w:val="3"/>
            <w:vAlign w:val="center"/>
            <w:hideMark/>
          </w:tcPr>
          <w:p w14:paraId="2C9171A1" w14:textId="77777777" w:rsidR="00000000" w:rsidRDefault="00405D16">
            <w:pPr>
              <w:spacing w:after="100"/>
              <w:rPr>
                <w:rFonts w:eastAsia="Times New Roman"/>
                <w:sz w:val="20"/>
                <w:szCs w:val="20"/>
              </w:rPr>
            </w:pPr>
          </w:p>
        </w:tc>
        <w:tc>
          <w:tcPr>
            <w:tcW w:w="0" w:type="auto"/>
            <w:gridSpan w:val="3"/>
            <w:vAlign w:val="center"/>
            <w:hideMark/>
          </w:tcPr>
          <w:p w14:paraId="62C0F9C3" w14:textId="77777777" w:rsidR="00000000" w:rsidRDefault="00405D16">
            <w:pPr>
              <w:spacing w:after="100"/>
              <w:rPr>
                <w:rFonts w:eastAsia="Times New Roman"/>
                <w:sz w:val="20"/>
                <w:szCs w:val="20"/>
              </w:rPr>
            </w:pPr>
          </w:p>
        </w:tc>
        <w:tc>
          <w:tcPr>
            <w:tcW w:w="0" w:type="auto"/>
            <w:gridSpan w:val="3"/>
            <w:vAlign w:val="center"/>
            <w:hideMark/>
          </w:tcPr>
          <w:p w14:paraId="203AAA99" w14:textId="77777777" w:rsidR="00000000" w:rsidRDefault="00405D16">
            <w:pPr>
              <w:spacing w:after="100"/>
              <w:rPr>
                <w:rFonts w:eastAsia="Times New Roman"/>
                <w:sz w:val="20"/>
                <w:szCs w:val="20"/>
              </w:rPr>
            </w:pPr>
          </w:p>
        </w:tc>
        <w:tc>
          <w:tcPr>
            <w:tcW w:w="0" w:type="auto"/>
            <w:gridSpan w:val="3"/>
            <w:vAlign w:val="center"/>
            <w:hideMark/>
          </w:tcPr>
          <w:p w14:paraId="05AF739F" w14:textId="77777777" w:rsidR="00000000" w:rsidRDefault="00405D16">
            <w:pPr>
              <w:spacing w:after="100"/>
              <w:rPr>
                <w:rFonts w:eastAsia="Times New Roman"/>
                <w:sz w:val="20"/>
                <w:szCs w:val="20"/>
              </w:rPr>
            </w:pPr>
          </w:p>
        </w:tc>
        <w:tc>
          <w:tcPr>
            <w:tcW w:w="0" w:type="auto"/>
            <w:gridSpan w:val="3"/>
            <w:vAlign w:val="center"/>
            <w:hideMark/>
          </w:tcPr>
          <w:p w14:paraId="36F34B8A" w14:textId="77777777" w:rsidR="00000000" w:rsidRDefault="00405D16">
            <w:pPr>
              <w:spacing w:after="100"/>
              <w:rPr>
                <w:rFonts w:eastAsia="Times New Roman"/>
                <w:sz w:val="20"/>
                <w:szCs w:val="20"/>
              </w:rPr>
            </w:pPr>
          </w:p>
        </w:tc>
        <w:tc>
          <w:tcPr>
            <w:tcW w:w="0" w:type="auto"/>
            <w:gridSpan w:val="5"/>
            <w:vAlign w:val="center"/>
            <w:hideMark/>
          </w:tcPr>
          <w:p w14:paraId="2EA5D07D" w14:textId="77777777" w:rsidR="00000000" w:rsidRDefault="00405D16">
            <w:pPr>
              <w:spacing w:after="100"/>
              <w:rPr>
                <w:rFonts w:eastAsia="Times New Roman"/>
                <w:sz w:val="20"/>
                <w:szCs w:val="20"/>
              </w:rPr>
            </w:pPr>
          </w:p>
        </w:tc>
        <w:tc>
          <w:tcPr>
            <w:tcW w:w="0" w:type="auto"/>
            <w:gridSpan w:val="4"/>
            <w:vAlign w:val="center"/>
            <w:hideMark/>
          </w:tcPr>
          <w:p w14:paraId="2A3C1FB5" w14:textId="77777777" w:rsidR="00000000" w:rsidRDefault="00405D16">
            <w:pPr>
              <w:spacing w:after="100"/>
              <w:rPr>
                <w:rFonts w:eastAsia="Times New Roman"/>
                <w:sz w:val="20"/>
                <w:szCs w:val="20"/>
              </w:rPr>
            </w:pPr>
          </w:p>
        </w:tc>
        <w:tc>
          <w:tcPr>
            <w:tcW w:w="0" w:type="auto"/>
            <w:gridSpan w:val="3"/>
            <w:vAlign w:val="center"/>
            <w:hideMark/>
          </w:tcPr>
          <w:p w14:paraId="5F99237E" w14:textId="77777777" w:rsidR="00000000" w:rsidRDefault="00405D16">
            <w:pPr>
              <w:spacing w:after="100"/>
              <w:rPr>
                <w:rFonts w:eastAsia="Times New Roman"/>
                <w:sz w:val="20"/>
                <w:szCs w:val="20"/>
              </w:rPr>
            </w:pPr>
          </w:p>
        </w:tc>
        <w:tc>
          <w:tcPr>
            <w:tcW w:w="0" w:type="auto"/>
            <w:gridSpan w:val="3"/>
            <w:vAlign w:val="center"/>
            <w:hideMark/>
          </w:tcPr>
          <w:p w14:paraId="10F37038" w14:textId="77777777" w:rsidR="00000000" w:rsidRDefault="00405D16">
            <w:pPr>
              <w:spacing w:after="100"/>
              <w:rPr>
                <w:rFonts w:eastAsia="Times New Roman"/>
                <w:sz w:val="20"/>
                <w:szCs w:val="20"/>
              </w:rPr>
            </w:pPr>
          </w:p>
        </w:tc>
        <w:tc>
          <w:tcPr>
            <w:tcW w:w="0" w:type="auto"/>
            <w:gridSpan w:val="3"/>
            <w:vAlign w:val="center"/>
            <w:hideMark/>
          </w:tcPr>
          <w:p w14:paraId="6624C6D8" w14:textId="77777777" w:rsidR="00000000" w:rsidRDefault="00405D16">
            <w:pPr>
              <w:spacing w:after="100"/>
              <w:rPr>
                <w:rFonts w:eastAsia="Times New Roman"/>
                <w:sz w:val="20"/>
                <w:szCs w:val="20"/>
              </w:rPr>
            </w:pPr>
          </w:p>
        </w:tc>
        <w:tc>
          <w:tcPr>
            <w:tcW w:w="0" w:type="auto"/>
            <w:gridSpan w:val="3"/>
            <w:vAlign w:val="center"/>
            <w:hideMark/>
          </w:tcPr>
          <w:p w14:paraId="2BED36A5" w14:textId="77777777" w:rsidR="00000000" w:rsidRDefault="00405D16">
            <w:pPr>
              <w:spacing w:after="100"/>
              <w:rPr>
                <w:rFonts w:eastAsia="Times New Roman"/>
                <w:sz w:val="20"/>
                <w:szCs w:val="20"/>
              </w:rPr>
            </w:pPr>
          </w:p>
        </w:tc>
        <w:tc>
          <w:tcPr>
            <w:tcW w:w="0" w:type="auto"/>
            <w:gridSpan w:val="5"/>
            <w:vAlign w:val="center"/>
            <w:hideMark/>
          </w:tcPr>
          <w:p w14:paraId="46561A2E" w14:textId="77777777" w:rsidR="00000000" w:rsidRDefault="00405D16">
            <w:pPr>
              <w:spacing w:after="100"/>
              <w:rPr>
                <w:rFonts w:eastAsia="Times New Roman"/>
                <w:sz w:val="20"/>
                <w:szCs w:val="20"/>
              </w:rPr>
            </w:pPr>
          </w:p>
        </w:tc>
      </w:tr>
      <w:tr w:rsidR="00000000" w14:paraId="3FCAD93F" w14:textId="77777777">
        <w:trPr>
          <w:divId w:val="553853218"/>
        </w:trPr>
        <w:tc>
          <w:tcPr>
            <w:tcW w:w="0" w:type="auto"/>
            <w:gridSpan w:val="4"/>
            <w:vAlign w:val="center"/>
            <w:hideMark/>
          </w:tcPr>
          <w:p w14:paraId="0DD5FF59" w14:textId="77777777" w:rsidR="00000000" w:rsidRDefault="00405D16">
            <w:pPr>
              <w:spacing w:after="100"/>
              <w:rPr>
                <w:rFonts w:eastAsia="Times New Roman"/>
                <w:sz w:val="20"/>
                <w:szCs w:val="20"/>
              </w:rPr>
            </w:pPr>
          </w:p>
        </w:tc>
        <w:tc>
          <w:tcPr>
            <w:tcW w:w="0" w:type="auto"/>
            <w:gridSpan w:val="3"/>
            <w:vAlign w:val="center"/>
            <w:hideMark/>
          </w:tcPr>
          <w:p w14:paraId="65B1C4C8" w14:textId="77777777" w:rsidR="00000000" w:rsidRDefault="00405D16">
            <w:pPr>
              <w:spacing w:after="100"/>
              <w:rPr>
                <w:rFonts w:eastAsia="Times New Roman"/>
                <w:sz w:val="20"/>
                <w:szCs w:val="20"/>
              </w:rPr>
            </w:pPr>
          </w:p>
        </w:tc>
        <w:tc>
          <w:tcPr>
            <w:tcW w:w="0" w:type="auto"/>
            <w:gridSpan w:val="3"/>
            <w:vAlign w:val="center"/>
            <w:hideMark/>
          </w:tcPr>
          <w:p w14:paraId="6FD7297C" w14:textId="77777777" w:rsidR="00000000" w:rsidRDefault="00405D16">
            <w:pPr>
              <w:spacing w:after="100"/>
              <w:rPr>
                <w:rFonts w:eastAsia="Times New Roman"/>
                <w:sz w:val="20"/>
                <w:szCs w:val="20"/>
              </w:rPr>
            </w:pPr>
          </w:p>
        </w:tc>
        <w:tc>
          <w:tcPr>
            <w:tcW w:w="0" w:type="auto"/>
            <w:gridSpan w:val="3"/>
            <w:vAlign w:val="center"/>
            <w:hideMark/>
          </w:tcPr>
          <w:p w14:paraId="2C5F6B6A" w14:textId="77777777" w:rsidR="00000000" w:rsidRDefault="00405D16">
            <w:pPr>
              <w:spacing w:after="100"/>
              <w:rPr>
                <w:rFonts w:eastAsia="Times New Roman"/>
                <w:sz w:val="20"/>
                <w:szCs w:val="20"/>
              </w:rPr>
            </w:pPr>
          </w:p>
        </w:tc>
        <w:tc>
          <w:tcPr>
            <w:tcW w:w="0" w:type="auto"/>
            <w:gridSpan w:val="4"/>
            <w:vAlign w:val="center"/>
            <w:hideMark/>
          </w:tcPr>
          <w:p w14:paraId="63A8949A" w14:textId="77777777" w:rsidR="00000000" w:rsidRDefault="00405D16">
            <w:pPr>
              <w:spacing w:after="100"/>
              <w:rPr>
                <w:rFonts w:eastAsia="Times New Roman"/>
                <w:sz w:val="20"/>
                <w:szCs w:val="20"/>
              </w:rPr>
            </w:pPr>
          </w:p>
        </w:tc>
        <w:tc>
          <w:tcPr>
            <w:tcW w:w="0" w:type="auto"/>
            <w:gridSpan w:val="3"/>
            <w:vAlign w:val="center"/>
            <w:hideMark/>
          </w:tcPr>
          <w:p w14:paraId="5559C2A4" w14:textId="77777777" w:rsidR="00000000" w:rsidRDefault="00405D16">
            <w:pPr>
              <w:spacing w:after="100"/>
              <w:rPr>
                <w:rFonts w:eastAsia="Times New Roman"/>
                <w:sz w:val="20"/>
                <w:szCs w:val="20"/>
              </w:rPr>
            </w:pPr>
          </w:p>
        </w:tc>
        <w:tc>
          <w:tcPr>
            <w:tcW w:w="0" w:type="auto"/>
            <w:gridSpan w:val="5"/>
            <w:vAlign w:val="center"/>
            <w:hideMark/>
          </w:tcPr>
          <w:p w14:paraId="6F8D0097" w14:textId="77777777" w:rsidR="00000000" w:rsidRDefault="00405D16">
            <w:pPr>
              <w:spacing w:after="100"/>
              <w:rPr>
                <w:rFonts w:eastAsia="Times New Roman"/>
                <w:sz w:val="20"/>
                <w:szCs w:val="20"/>
              </w:rPr>
            </w:pPr>
          </w:p>
        </w:tc>
        <w:tc>
          <w:tcPr>
            <w:tcW w:w="0" w:type="auto"/>
            <w:gridSpan w:val="3"/>
            <w:vAlign w:val="center"/>
            <w:hideMark/>
          </w:tcPr>
          <w:p w14:paraId="0F5C9A18" w14:textId="77777777" w:rsidR="00000000" w:rsidRDefault="00405D16">
            <w:pPr>
              <w:spacing w:after="100"/>
              <w:rPr>
                <w:rFonts w:eastAsia="Times New Roman"/>
                <w:sz w:val="20"/>
                <w:szCs w:val="20"/>
              </w:rPr>
            </w:pPr>
          </w:p>
        </w:tc>
        <w:tc>
          <w:tcPr>
            <w:tcW w:w="0" w:type="auto"/>
            <w:gridSpan w:val="3"/>
            <w:vAlign w:val="center"/>
            <w:hideMark/>
          </w:tcPr>
          <w:p w14:paraId="6E903A4C" w14:textId="77777777" w:rsidR="00000000" w:rsidRDefault="00405D16">
            <w:pPr>
              <w:spacing w:after="100"/>
              <w:rPr>
                <w:rFonts w:eastAsia="Times New Roman"/>
                <w:sz w:val="20"/>
                <w:szCs w:val="20"/>
              </w:rPr>
            </w:pPr>
          </w:p>
        </w:tc>
        <w:tc>
          <w:tcPr>
            <w:tcW w:w="0" w:type="auto"/>
            <w:gridSpan w:val="3"/>
            <w:vAlign w:val="center"/>
            <w:hideMark/>
          </w:tcPr>
          <w:p w14:paraId="2E195C90" w14:textId="77777777" w:rsidR="00000000" w:rsidRDefault="00405D16">
            <w:pPr>
              <w:spacing w:after="100"/>
              <w:rPr>
                <w:rFonts w:eastAsia="Times New Roman"/>
                <w:sz w:val="20"/>
                <w:szCs w:val="20"/>
              </w:rPr>
            </w:pPr>
          </w:p>
        </w:tc>
        <w:tc>
          <w:tcPr>
            <w:tcW w:w="0" w:type="auto"/>
            <w:gridSpan w:val="3"/>
            <w:vAlign w:val="center"/>
            <w:hideMark/>
          </w:tcPr>
          <w:p w14:paraId="1E00C9F8" w14:textId="77777777" w:rsidR="00000000" w:rsidRDefault="00405D16">
            <w:pPr>
              <w:spacing w:after="100"/>
              <w:rPr>
                <w:rFonts w:eastAsia="Times New Roman"/>
                <w:sz w:val="20"/>
                <w:szCs w:val="20"/>
              </w:rPr>
            </w:pPr>
          </w:p>
        </w:tc>
        <w:tc>
          <w:tcPr>
            <w:tcW w:w="0" w:type="auto"/>
            <w:gridSpan w:val="3"/>
            <w:vAlign w:val="center"/>
            <w:hideMark/>
          </w:tcPr>
          <w:p w14:paraId="1F50F7C7" w14:textId="77777777" w:rsidR="00000000" w:rsidRDefault="00405D16">
            <w:pPr>
              <w:spacing w:after="100"/>
              <w:rPr>
                <w:rFonts w:eastAsia="Times New Roman"/>
                <w:sz w:val="20"/>
                <w:szCs w:val="20"/>
              </w:rPr>
            </w:pPr>
          </w:p>
        </w:tc>
        <w:tc>
          <w:tcPr>
            <w:tcW w:w="0" w:type="auto"/>
            <w:gridSpan w:val="5"/>
            <w:vAlign w:val="center"/>
            <w:hideMark/>
          </w:tcPr>
          <w:p w14:paraId="003E481E" w14:textId="77777777" w:rsidR="00000000" w:rsidRDefault="00405D16">
            <w:pPr>
              <w:spacing w:after="100"/>
              <w:rPr>
                <w:rFonts w:eastAsia="Times New Roman"/>
                <w:sz w:val="20"/>
                <w:szCs w:val="20"/>
              </w:rPr>
            </w:pPr>
          </w:p>
        </w:tc>
        <w:tc>
          <w:tcPr>
            <w:tcW w:w="0" w:type="auto"/>
            <w:gridSpan w:val="4"/>
            <w:vAlign w:val="center"/>
            <w:hideMark/>
          </w:tcPr>
          <w:p w14:paraId="70614A90" w14:textId="77777777" w:rsidR="00000000" w:rsidRDefault="00405D16">
            <w:pPr>
              <w:spacing w:after="100"/>
              <w:rPr>
                <w:rFonts w:eastAsia="Times New Roman"/>
                <w:sz w:val="20"/>
                <w:szCs w:val="20"/>
              </w:rPr>
            </w:pPr>
          </w:p>
        </w:tc>
        <w:tc>
          <w:tcPr>
            <w:tcW w:w="0" w:type="auto"/>
            <w:gridSpan w:val="3"/>
            <w:vAlign w:val="center"/>
            <w:hideMark/>
          </w:tcPr>
          <w:p w14:paraId="5F7661D6" w14:textId="77777777" w:rsidR="00000000" w:rsidRDefault="00405D16">
            <w:pPr>
              <w:spacing w:after="100"/>
              <w:rPr>
                <w:rFonts w:eastAsia="Times New Roman"/>
                <w:sz w:val="20"/>
                <w:szCs w:val="20"/>
              </w:rPr>
            </w:pPr>
          </w:p>
        </w:tc>
        <w:tc>
          <w:tcPr>
            <w:tcW w:w="0" w:type="auto"/>
            <w:gridSpan w:val="3"/>
            <w:vAlign w:val="center"/>
            <w:hideMark/>
          </w:tcPr>
          <w:p w14:paraId="5B9429C7" w14:textId="77777777" w:rsidR="00000000" w:rsidRDefault="00405D16">
            <w:pPr>
              <w:spacing w:after="100"/>
              <w:rPr>
                <w:rFonts w:eastAsia="Times New Roman"/>
                <w:sz w:val="20"/>
                <w:szCs w:val="20"/>
              </w:rPr>
            </w:pPr>
          </w:p>
        </w:tc>
        <w:tc>
          <w:tcPr>
            <w:tcW w:w="0" w:type="auto"/>
            <w:gridSpan w:val="3"/>
            <w:vAlign w:val="center"/>
            <w:hideMark/>
          </w:tcPr>
          <w:p w14:paraId="5E13ABBB" w14:textId="77777777" w:rsidR="00000000" w:rsidRDefault="00405D16">
            <w:pPr>
              <w:spacing w:after="100"/>
              <w:rPr>
                <w:rFonts w:eastAsia="Times New Roman"/>
                <w:sz w:val="20"/>
                <w:szCs w:val="20"/>
              </w:rPr>
            </w:pPr>
          </w:p>
        </w:tc>
        <w:tc>
          <w:tcPr>
            <w:tcW w:w="0" w:type="auto"/>
            <w:gridSpan w:val="3"/>
            <w:vAlign w:val="center"/>
            <w:hideMark/>
          </w:tcPr>
          <w:p w14:paraId="33B0091D" w14:textId="77777777" w:rsidR="00000000" w:rsidRDefault="00405D16">
            <w:pPr>
              <w:spacing w:after="100"/>
              <w:rPr>
                <w:rFonts w:eastAsia="Times New Roman"/>
                <w:sz w:val="20"/>
                <w:szCs w:val="20"/>
              </w:rPr>
            </w:pPr>
          </w:p>
        </w:tc>
        <w:tc>
          <w:tcPr>
            <w:tcW w:w="0" w:type="auto"/>
            <w:gridSpan w:val="5"/>
            <w:vAlign w:val="center"/>
            <w:hideMark/>
          </w:tcPr>
          <w:p w14:paraId="035A71C2" w14:textId="77777777" w:rsidR="00000000" w:rsidRDefault="00405D16">
            <w:pPr>
              <w:spacing w:after="100"/>
              <w:rPr>
                <w:rFonts w:eastAsia="Times New Roman"/>
                <w:sz w:val="20"/>
                <w:szCs w:val="20"/>
              </w:rPr>
            </w:pPr>
          </w:p>
        </w:tc>
      </w:tr>
      <w:tr w:rsidR="00000000" w14:paraId="6943282B" w14:textId="77777777">
        <w:trPr>
          <w:divId w:val="553853218"/>
        </w:trPr>
        <w:tc>
          <w:tcPr>
            <w:tcW w:w="0" w:type="auto"/>
            <w:gridSpan w:val="4"/>
            <w:vAlign w:val="center"/>
            <w:hideMark/>
          </w:tcPr>
          <w:p w14:paraId="63FD2172" w14:textId="77777777" w:rsidR="00000000" w:rsidRDefault="00405D16">
            <w:pPr>
              <w:spacing w:after="100"/>
              <w:rPr>
                <w:rFonts w:eastAsia="Times New Roman"/>
                <w:sz w:val="20"/>
                <w:szCs w:val="20"/>
              </w:rPr>
            </w:pPr>
          </w:p>
        </w:tc>
        <w:tc>
          <w:tcPr>
            <w:tcW w:w="0" w:type="auto"/>
            <w:gridSpan w:val="3"/>
            <w:vAlign w:val="center"/>
            <w:hideMark/>
          </w:tcPr>
          <w:p w14:paraId="00F91146" w14:textId="77777777" w:rsidR="00000000" w:rsidRDefault="00405D16">
            <w:pPr>
              <w:spacing w:after="100"/>
              <w:rPr>
                <w:rFonts w:eastAsia="Times New Roman"/>
                <w:sz w:val="20"/>
                <w:szCs w:val="20"/>
              </w:rPr>
            </w:pPr>
          </w:p>
        </w:tc>
        <w:tc>
          <w:tcPr>
            <w:tcW w:w="0" w:type="auto"/>
            <w:gridSpan w:val="3"/>
            <w:vAlign w:val="center"/>
            <w:hideMark/>
          </w:tcPr>
          <w:p w14:paraId="6E184B65" w14:textId="77777777" w:rsidR="00000000" w:rsidRDefault="00405D16">
            <w:pPr>
              <w:spacing w:after="100"/>
              <w:rPr>
                <w:rFonts w:eastAsia="Times New Roman"/>
                <w:sz w:val="20"/>
                <w:szCs w:val="20"/>
              </w:rPr>
            </w:pPr>
          </w:p>
        </w:tc>
        <w:tc>
          <w:tcPr>
            <w:tcW w:w="0" w:type="auto"/>
            <w:gridSpan w:val="3"/>
            <w:vAlign w:val="center"/>
            <w:hideMark/>
          </w:tcPr>
          <w:p w14:paraId="35115EE6" w14:textId="77777777" w:rsidR="00000000" w:rsidRDefault="00405D16">
            <w:pPr>
              <w:spacing w:after="100"/>
              <w:rPr>
                <w:rFonts w:eastAsia="Times New Roman"/>
                <w:sz w:val="20"/>
                <w:szCs w:val="20"/>
              </w:rPr>
            </w:pPr>
          </w:p>
        </w:tc>
        <w:tc>
          <w:tcPr>
            <w:tcW w:w="0" w:type="auto"/>
            <w:gridSpan w:val="4"/>
            <w:vAlign w:val="center"/>
            <w:hideMark/>
          </w:tcPr>
          <w:p w14:paraId="767270A6" w14:textId="77777777" w:rsidR="00000000" w:rsidRDefault="00405D16">
            <w:pPr>
              <w:spacing w:after="100"/>
              <w:rPr>
                <w:rFonts w:eastAsia="Times New Roman"/>
                <w:sz w:val="20"/>
                <w:szCs w:val="20"/>
              </w:rPr>
            </w:pPr>
          </w:p>
        </w:tc>
        <w:tc>
          <w:tcPr>
            <w:tcW w:w="0" w:type="auto"/>
            <w:gridSpan w:val="3"/>
            <w:vAlign w:val="center"/>
            <w:hideMark/>
          </w:tcPr>
          <w:p w14:paraId="1F587B01" w14:textId="77777777" w:rsidR="00000000" w:rsidRDefault="00405D16">
            <w:pPr>
              <w:spacing w:after="100"/>
              <w:rPr>
                <w:rFonts w:eastAsia="Times New Roman"/>
                <w:sz w:val="20"/>
                <w:szCs w:val="20"/>
              </w:rPr>
            </w:pPr>
          </w:p>
        </w:tc>
        <w:tc>
          <w:tcPr>
            <w:tcW w:w="0" w:type="auto"/>
            <w:gridSpan w:val="5"/>
            <w:vAlign w:val="center"/>
            <w:hideMark/>
          </w:tcPr>
          <w:p w14:paraId="2073A204" w14:textId="77777777" w:rsidR="00000000" w:rsidRDefault="00405D16">
            <w:pPr>
              <w:spacing w:after="100"/>
              <w:rPr>
                <w:rFonts w:eastAsia="Times New Roman"/>
                <w:sz w:val="20"/>
                <w:szCs w:val="20"/>
              </w:rPr>
            </w:pPr>
          </w:p>
        </w:tc>
        <w:tc>
          <w:tcPr>
            <w:tcW w:w="0" w:type="auto"/>
            <w:gridSpan w:val="3"/>
            <w:vAlign w:val="center"/>
            <w:hideMark/>
          </w:tcPr>
          <w:p w14:paraId="0F1B4654" w14:textId="77777777" w:rsidR="00000000" w:rsidRDefault="00405D16">
            <w:pPr>
              <w:spacing w:after="100"/>
              <w:rPr>
                <w:rFonts w:eastAsia="Times New Roman"/>
                <w:sz w:val="20"/>
                <w:szCs w:val="20"/>
              </w:rPr>
            </w:pPr>
          </w:p>
        </w:tc>
        <w:tc>
          <w:tcPr>
            <w:tcW w:w="0" w:type="auto"/>
            <w:gridSpan w:val="3"/>
            <w:vAlign w:val="center"/>
            <w:hideMark/>
          </w:tcPr>
          <w:p w14:paraId="2465B3F2" w14:textId="77777777" w:rsidR="00000000" w:rsidRDefault="00405D16">
            <w:pPr>
              <w:spacing w:after="100"/>
              <w:rPr>
                <w:rFonts w:eastAsia="Times New Roman"/>
                <w:sz w:val="20"/>
                <w:szCs w:val="20"/>
              </w:rPr>
            </w:pPr>
          </w:p>
        </w:tc>
        <w:tc>
          <w:tcPr>
            <w:tcW w:w="0" w:type="auto"/>
            <w:gridSpan w:val="3"/>
            <w:vAlign w:val="center"/>
            <w:hideMark/>
          </w:tcPr>
          <w:p w14:paraId="6CB523ED" w14:textId="77777777" w:rsidR="00000000" w:rsidRDefault="00405D16">
            <w:pPr>
              <w:spacing w:after="100"/>
              <w:rPr>
                <w:rFonts w:eastAsia="Times New Roman"/>
                <w:sz w:val="20"/>
                <w:szCs w:val="20"/>
              </w:rPr>
            </w:pPr>
          </w:p>
        </w:tc>
        <w:tc>
          <w:tcPr>
            <w:tcW w:w="0" w:type="auto"/>
            <w:gridSpan w:val="3"/>
            <w:vAlign w:val="center"/>
            <w:hideMark/>
          </w:tcPr>
          <w:p w14:paraId="7C303334" w14:textId="77777777" w:rsidR="00000000" w:rsidRDefault="00405D16">
            <w:pPr>
              <w:spacing w:after="100"/>
              <w:rPr>
                <w:rFonts w:eastAsia="Times New Roman"/>
                <w:sz w:val="20"/>
                <w:szCs w:val="20"/>
              </w:rPr>
            </w:pPr>
          </w:p>
        </w:tc>
        <w:tc>
          <w:tcPr>
            <w:tcW w:w="0" w:type="auto"/>
            <w:gridSpan w:val="3"/>
            <w:vAlign w:val="center"/>
            <w:hideMark/>
          </w:tcPr>
          <w:p w14:paraId="602958AF" w14:textId="77777777" w:rsidR="00000000" w:rsidRDefault="00405D16">
            <w:pPr>
              <w:spacing w:after="100"/>
              <w:rPr>
                <w:rFonts w:eastAsia="Times New Roman"/>
                <w:sz w:val="20"/>
                <w:szCs w:val="20"/>
              </w:rPr>
            </w:pPr>
          </w:p>
        </w:tc>
        <w:tc>
          <w:tcPr>
            <w:tcW w:w="0" w:type="auto"/>
            <w:gridSpan w:val="5"/>
            <w:vAlign w:val="center"/>
            <w:hideMark/>
          </w:tcPr>
          <w:p w14:paraId="2D3C2916" w14:textId="77777777" w:rsidR="00000000" w:rsidRDefault="00405D16">
            <w:pPr>
              <w:spacing w:after="100"/>
              <w:rPr>
                <w:rFonts w:eastAsia="Times New Roman"/>
                <w:sz w:val="20"/>
                <w:szCs w:val="20"/>
              </w:rPr>
            </w:pPr>
          </w:p>
        </w:tc>
        <w:tc>
          <w:tcPr>
            <w:tcW w:w="0" w:type="auto"/>
            <w:gridSpan w:val="4"/>
            <w:vAlign w:val="center"/>
            <w:hideMark/>
          </w:tcPr>
          <w:p w14:paraId="7800FFF7" w14:textId="77777777" w:rsidR="00000000" w:rsidRDefault="00405D16">
            <w:pPr>
              <w:spacing w:after="100"/>
              <w:rPr>
                <w:rFonts w:eastAsia="Times New Roman"/>
                <w:sz w:val="20"/>
                <w:szCs w:val="20"/>
              </w:rPr>
            </w:pPr>
          </w:p>
        </w:tc>
        <w:tc>
          <w:tcPr>
            <w:tcW w:w="0" w:type="auto"/>
            <w:gridSpan w:val="3"/>
            <w:vAlign w:val="center"/>
            <w:hideMark/>
          </w:tcPr>
          <w:p w14:paraId="596891CD" w14:textId="77777777" w:rsidR="00000000" w:rsidRDefault="00405D16">
            <w:pPr>
              <w:spacing w:after="100"/>
              <w:rPr>
                <w:rFonts w:eastAsia="Times New Roman"/>
                <w:sz w:val="20"/>
                <w:szCs w:val="20"/>
              </w:rPr>
            </w:pPr>
          </w:p>
        </w:tc>
        <w:tc>
          <w:tcPr>
            <w:tcW w:w="0" w:type="auto"/>
            <w:gridSpan w:val="3"/>
            <w:vAlign w:val="center"/>
            <w:hideMark/>
          </w:tcPr>
          <w:p w14:paraId="1BAE550B" w14:textId="77777777" w:rsidR="00000000" w:rsidRDefault="00405D16">
            <w:pPr>
              <w:spacing w:after="100"/>
              <w:rPr>
                <w:rFonts w:eastAsia="Times New Roman"/>
                <w:sz w:val="20"/>
                <w:szCs w:val="20"/>
              </w:rPr>
            </w:pPr>
          </w:p>
        </w:tc>
        <w:tc>
          <w:tcPr>
            <w:tcW w:w="0" w:type="auto"/>
            <w:gridSpan w:val="3"/>
            <w:vAlign w:val="center"/>
            <w:hideMark/>
          </w:tcPr>
          <w:p w14:paraId="0A014C3C" w14:textId="77777777" w:rsidR="00000000" w:rsidRDefault="00405D16">
            <w:pPr>
              <w:spacing w:after="100"/>
              <w:rPr>
                <w:rFonts w:eastAsia="Times New Roman"/>
                <w:sz w:val="20"/>
                <w:szCs w:val="20"/>
              </w:rPr>
            </w:pPr>
          </w:p>
        </w:tc>
        <w:tc>
          <w:tcPr>
            <w:tcW w:w="0" w:type="auto"/>
            <w:gridSpan w:val="3"/>
            <w:vAlign w:val="center"/>
            <w:hideMark/>
          </w:tcPr>
          <w:p w14:paraId="6ED646FA" w14:textId="77777777" w:rsidR="00000000" w:rsidRDefault="00405D16">
            <w:pPr>
              <w:spacing w:after="100"/>
              <w:rPr>
                <w:rFonts w:eastAsia="Times New Roman"/>
                <w:sz w:val="20"/>
                <w:szCs w:val="20"/>
              </w:rPr>
            </w:pPr>
          </w:p>
        </w:tc>
        <w:tc>
          <w:tcPr>
            <w:tcW w:w="0" w:type="auto"/>
            <w:gridSpan w:val="5"/>
            <w:vAlign w:val="center"/>
            <w:hideMark/>
          </w:tcPr>
          <w:p w14:paraId="2D6DD2F7" w14:textId="77777777" w:rsidR="00000000" w:rsidRDefault="00405D16">
            <w:pPr>
              <w:spacing w:after="100"/>
              <w:rPr>
                <w:rFonts w:eastAsia="Times New Roman"/>
                <w:sz w:val="20"/>
                <w:szCs w:val="20"/>
              </w:rPr>
            </w:pPr>
          </w:p>
        </w:tc>
      </w:tr>
      <w:tr w:rsidR="00000000" w14:paraId="229661B5" w14:textId="77777777">
        <w:trPr>
          <w:divId w:val="553853218"/>
        </w:trPr>
        <w:tc>
          <w:tcPr>
            <w:tcW w:w="0" w:type="auto"/>
            <w:gridSpan w:val="4"/>
            <w:vAlign w:val="center"/>
            <w:hideMark/>
          </w:tcPr>
          <w:p w14:paraId="5068DCAD" w14:textId="77777777" w:rsidR="00000000" w:rsidRDefault="00405D16">
            <w:pPr>
              <w:spacing w:after="100"/>
              <w:rPr>
                <w:rFonts w:eastAsia="Times New Roman"/>
                <w:sz w:val="20"/>
                <w:szCs w:val="20"/>
              </w:rPr>
            </w:pPr>
          </w:p>
        </w:tc>
        <w:tc>
          <w:tcPr>
            <w:tcW w:w="0" w:type="auto"/>
            <w:gridSpan w:val="3"/>
            <w:vAlign w:val="center"/>
            <w:hideMark/>
          </w:tcPr>
          <w:p w14:paraId="61E6B7A1" w14:textId="77777777" w:rsidR="00000000" w:rsidRDefault="00405D16">
            <w:pPr>
              <w:spacing w:after="100"/>
              <w:rPr>
                <w:rFonts w:eastAsia="Times New Roman"/>
                <w:sz w:val="20"/>
                <w:szCs w:val="20"/>
              </w:rPr>
            </w:pPr>
          </w:p>
        </w:tc>
        <w:tc>
          <w:tcPr>
            <w:tcW w:w="0" w:type="auto"/>
            <w:gridSpan w:val="3"/>
            <w:vAlign w:val="center"/>
            <w:hideMark/>
          </w:tcPr>
          <w:p w14:paraId="6B1F9312" w14:textId="77777777" w:rsidR="00000000" w:rsidRDefault="00405D16">
            <w:pPr>
              <w:spacing w:after="100"/>
              <w:rPr>
                <w:rFonts w:eastAsia="Times New Roman"/>
                <w:sz w:val="20"/>
                <w:szCs w:val="20"/>
              </w:rPr>
            </w:pPr>
          </w:p>
        </w:tc>
        <w:tc>
          <w:tcPr>
            <w:tcW w:w="0" w:type="auto"/>
            <w:gridSpan w:val="3"/>
            <w:vAlign w:val="center"/>
            <w:hideMark/>
          </w:tcPr>
          <w:p w14:paraId="355A15D9" w14:textId="77777777" w:rsidR="00000000" w:rsidRDefault="00405D16">
            <w:pPr>
              <w:spacing w:after="100"/>
              <w:rPr>
                <w:rFonts w:eastAsia="Times New Roman"/>
                <w:sz w:val="20"/>
                <w:szCs w:val="20"/>
              </w:rPr>
            </w:pPr>
          </w:p>
        </w:tc>
        <w:tc>
          <w:tcPr>
            <w:tcW w:w="0" w:type="auto"/>
            <w:gridSpan w:val="4"/>
            <w:vAlign w:val="center"/>
            <w:hideMark/>
          </w:tcPr>
          <w:p w14:paraId="5C04E67E" w14:textId="77777777" w:rsidR="00000000" w:rsidRDefault="00405D16">
            <w:pPr>
              <w:spacing w:after="100"/>
              <w:rPr>
                <w:rFonts w:eastAsia="Times New Roman"/>
                <w:sz w:val="20"/>
                <w:szCs w:val="20"/>
              </w:rPr>
            </w:pPr>
          </w:p>
        </w:tc>
        <w:tc>
          <w:tcPr>
            <w:tcW w:w="0" w:type="auto"/>
            <w:gridSpan w:val="3"/>
            <w:vAlign w:val="center"/>
            <w:hideMark/>
          </w:tcPr>
          <w:p w14:paraId="430B669C" w14:textId="77777777" w:rsidR="00000000" w:rsidRDefault="00405D16">
            <w:pPr>
              <w:spacing w:after="100"/>
              <w:rPr>
                <w:rFonts w:eastAsia="Times New Roman"/>
                <w:sz w:val="20"/>
                <w:szCs w:val="20"/>
              </w:rPr>
            </w:pPr>
          </w:p>
        </w:tc>
        <w:tc>
          <w:tcPr>
            <w:tcW w:w="0" w:type="auto"/>
            <w:gridSpan w:val="5"/>
            <w:vAlign w:val="center"/>
            <w:hideMark/>
          </w:tcPr>
          <w:p w14:paraId="276C4BA9" w14:textId="77777777" w:rsidR="00000000" w:rsidRDefault="00405D16">
            <w:pPr>
              <w:spacing w:after="100"/>
              <w:rPr>
                <w:rFonts w:eastAsia="Times New Roman"/>
                <w:sz w:val="20"/>
                <w:szCs w:val="20"/>
              </w:rPr>
            </w:pPr>
          </w:p>
        </w:tc>
        <w:tc>
          <w:tcPr>
            <w:tcW w:w="0" w:type="auto"/>
            <w:gridSpan w:val="3"/>
            <w:vAlign w:val="center"/>
            <w:hideMark/>
          </w:tcPr>
          <w:p w14:paraId="009F55D6" w14:textId="77777777" w:rsidR="00000000" w:rsidRDefault="00405D16">
            <w:pPr>
              <w:spacing w:after="100"/>
              <w:rPr>
                <w:rFonts w:eastAsia="Times New Roman"/>
                <w:sz w:val="20"/>
                <w:szCs w:val="20"/>
              </w:rPr>
            </w:pPr>
          </w:p>
        </w:tc>
        <w:tc>
          <w:tcPr>
            <w:tcW w:w="0" w:type="auto"/>
            <w:gridSpan w:val="3"/>
            <w:vAlign w:val="center"/>
            <w:hideMark/>
          </w:tcPr>
          <w:p w14:paraId="7BAC9222" w14:textId="77777777" w:rsidR="00000000" w:rsidRDefault="00405D16">
            <w:pPr>
              <w:spacing w:after="100"/>
              <w:rPr>
                <w:rFonts w:eastAsia="Times New Roman"/>
                <w:sz w:val="20"/>
                <w:szCs w:val="20"/>
              </w:rPr>
            </w:pPr>
          </w:p>
        </w:tc>
        <w:tc>
          <w:tcPr>
            <w:tcW w:w="0" w:type="auto"/>
            <w:gridSpan w:val="3"/>
            <w:vAlign w:val="center"/>
            <w:hideMark/>
          </w:tcPr>
          <w:p w14:paraId="266F26AE" w14:textId="77777777" w:rsidR="00000000" w:rsidRDefault="00405D16">
            <w:pPr>
              <w:spacing w:after="100"/>
              <w:rPr>
                <w:rFonts w:eastAsia="Times New Roman"/>
                <w:sz w:val="20"/>
                <w:szCs w:val="20"/>
              </w:rPr>
            </w:pPr>
          </w:p>
        </w:tc>
        <w:tc>
          <w:tcPr>
            <w:tcW w:w="0" w:type="auto"/>
            <w:gridSpan w:val="3"/>
            <w:vAlign w:val="center"/>
            <w:hideMark/>
          </w:tcPr>
          <w:p w14:paraId="112B97B0" w14:textId="77777777" w:rsidR="00000000" w:rsidRDefault="00405D16">
            <w:pPr>
              <w:spacing w:after="100"/>
              <w:rPr>
                <w:rFonts w:eastAsia="Times New Roman"/>
                <w:sz w:val="20"/>
                <w:szCs w:val="20"/>
              </w:rPr>
            </w:pPr>
          </w:p>
        </w:tc>
        <w:tc>
          <w:tcPr>
            <w:tcW w:w="0" w:type="auto"/>
            <w:gridSpan w:val="3"/>
            <w:vAlign w:val="center"/>
            <w:hideMark/>
          </w:tcPr>
          <w:p w14:paraId="5066F070" w14:textId="77777777" w:rsidR="00000000" w:rsidRDefault="00405D16">
            <w:pPr>
              <w:spacing w:after="100"/>
              <w:rPr>
                <w:rFonts w:eastAsia="Times New Roman"/>
                <w:sz w:val="20"/>
                <w:szCs w:val="20"/>
              </w:rPr>
            </w:pPr>
          </w:p>
        </w:tc>
        <w:tc>
          <w:tcPr>
            <w:tcW w:w="0" w:type="auto"/>
            <w:gridSpan w:val="5"/>
            <w:vAlign w:val="center"/>
            <w:hideMark/>
          </w:tcPr>
          <w:p w14:paraId="1822C6B1" w14:textId="77777777" w:rsidR="00000000" w:rsidRDefault="00405D16">
            <w:pPr>
              <w:spacing w:after="100"/>
              <w:rPr>
                <w:rFonts w:eastAsia="Times New Roman"/>
                <w:sz w:val="20"/>
                <w:szCs w:val="20"/>
              </w:rPr>
            </w:pPr>
          </w:p>
        </w:tc>
        <w:tc>
          <w:tcPr>
            <w:tcW w:w="0" w:type="auto"/>
            <w:gridSpan w:val="4"/>
            <w:vAlign w:val="center"/>
            <w:hideMark/>
          </w:tcPr>
          <w:p w14:paraId="092D2B27" w14:textId="77777777" w:rsidR="00000000" w:rsidRDefault="00405D16">
            <w:pPr>
              <w:spacing w:after="100"/>
              <w:rPr>
                <w:rFonts w:eastAsia="Times New Roman"/>
                <w:sz w:val="20"/>
                <w:szCs w:val="20"/>
              </w:rPr>
            </w:pPr>
          </w:p>
        </w:tc>
        <w:tc>
          <w:tcPr>
            <w:tcW w:w="0" w:type="auto"/>
            <w:gridSpan w:val="3"/>
            <w:vAlign w:val="center"/>
            <w:hideMark/>
          </w:tcPr>
          <w:p w14:paraId="24DD2926" w14:textId="77777777" w:rsidR="00000000" w:rsidRDefault="00405D16">
            <w:pPr>
              <w:spacing w:after="100"/>
              <w:rPr>
                <w:rFonts w:eastAsia="Times New Roman"/>
                <w:sz w:val="20"/>
                <w:szCs w:val="20"/>
              </w:rPr>
            </w:pPr>
          </w:p>
        </w:tc>
        <w:tc>
          <w:tcPr>
            <w:tcW w:w="0" w:type="auto"/>
            <w:gridSpan w:val="3"/>
            <w:vAlign w:val="center"/>
            <w:hideMark/>
          </w:tcPr>
          <w:p w14:paraId="53805033" w14:textId="77777777" w:rsidR="00000000" w:rsidRDefault="00405D16">
            <w:pPr>
              <w:spacing w:after="100"/>
              <w:rPr>
                <w:rFonts w:eastAsia="Times New Roman"/>
                <w:sz w:val="20"/>
                <w:szCs w:val="20"/>
              </w:rPr>
            </w:pPr>
          </w:p>
        </w:tc>
        <w:tc>
          <w:tcPr>
            <w:tcW w:w="0" w:type="auto"/>
            <w:gridSpan w:val="3"/>
            <w:vAlign w:val="center"/>
            <w:hideMark/>
          </w:tcPr>
          <w:p w14:paraId="7C91939C" w14:textId="77777777" w:rsidR="00000000" w:rsidRDefault="00405D16">
            <w:pPr>
              <w:spacing w:after="100"/>
              <w:rPr>
                <w:rFonts w:eastAsia="Times New Roman"/>
                <w:sz w:val="20"/>
                <w:szCs w:val="20"/>
              </w:rPr>
            </w:pPr>
          </w:p>
        </w:tc>
        <w:tc>
          <w:tcPr>
            <w:tcW w:w="0" w:type="auto"/>
            <w:gridSpan w:val="3"/>
            <w:vAlign w:val="center"/>
            <w:hideMark/>
          </w:tcPr>
          <w:p w14:paraId="77D8B4C4" w14:textId="77777777" w:rsidR="00000000" w:rsidRDefault="00405D16">
            <w:pPr>
              <w:spacing w:after="100"/>
              <w:rPr>
                <w:rFonts w:eastAsia="Times New Roman"/>
                <w:sz w:val="20"/>
                <w:szCs w:val="20"/>
              </w:rPr>
            </w:pPr>
          </w:p>
        </w:tc>
        <w:tc>
          <w:tcPr>
            <w:tcW w:w="0" w:type="auto"/>
            <w:gridSpan w:val="5"/>
            <w:vAlign w:val="center"/>
            <w:hideMark/>
          </w:tcPr>
          <w:p w14:paraId="4F9BAF06" w14:textId="77777777" w:rsidR="00000000" w:rsidRDefault="00405D16">
            <w:pPr>
              <w:spacing w:after="100"/>
              <w:rPr>
                <w:rFonts w:eastAsia="Times New Roman"/>
                <w:sz w:val="20"/>
                <w:szCs w:val="20"/>
              </w:rPr>
            </w:pPr>
          </w:p>
        </w:tc>
      </w:tr>
      <w:tr w:rsidR="00000000" w14:paraId="5D7335CC" w14:textId="77777777">
        <w:trPr>
          <w:divId w:val="553853218"/>
        </w:trPr>
        <w:tc>
          <w:tcPr>
            <w:tcW w:w="0" w:type="auto"/>
            <w:gridSpan w:val="4"/>
            <w:vAlign w:val="center"/>
            <w:hideMark/>
          </w:tcPr>
          <w:p w14:paraId="7E2F1F23" w14:textId="77777777" w:rsidR="00000000" w:rsidRDefault="00405D16">
            <w:pPr>
              <w:spacing w:after="100"/>
              <w:rPr>
                <w:rFonts w:eastAsia="Times New Roman"/>
                <w:sz w:val="20"/>
                <w:szCs w:val="20"/>
              </w:rPr>
            </w:pPr>
          </w:p>
        </w:tc>
        <w:tc>
          <w:tcPr>
            <w:tcW w:w="0" w:type="auto"/>
            <w:gridSpan w:val="3"/>
            <w:vAlign w:val="center"/>
            <w:hideMark/>
          </w:tcPr>
          <w:p w14:paraId="70CA7F5E" w14:textId="77777777" w:rsidR="00000000" w:rsidRDefault="00405D16">
            <w:pPr>
              <w:spacing w:after="100"/>
              <w:rPr>
                <w:rFonts w:eastAsia="Times New Roman"/>
                <w:sz w:val="20"/>
                <w:szCs w:val="20"/>
              </w:rPr>
            </w:pPr>
          </w:p>
        </w:tc>
        <w:tc>
          <w:tcPr>
            <w:tcW w:w="0" w:type="auto"/>
            <w:gridSpan w:val="3"/>
            <w:vAlign w:val="center"/>
            <w:hideMark/>
          </w:tcPr>
          <w:p w14:paraId="23852A84" w14:textId="77777777" w:rsidR="00000000" w:rsidRDefault="00405D16">
            <w:pPr>
              <w:spacing w:after="100"/>
              <w:rPr>
                <w:rFonts w:eastAsia="Times New Roman"/>
                <w:sz w:val="20"/>
                <w:szCs w:val="20"/>
              </w:rPr>
            </w:pPr>
          </w:p>
        </w:tc>
        <w:tc>
          <w:tcPr>
            <w:tcW w:w="0" w:type="auto"/>
            <w:gridSpan w:val="3"/>
            <w:vAlign w:val="center"/>
            <w:hideMark/>
          </w:tcPr>
          <w:p w14:paraId="46BCDD0C" w14:textId="77777777" w:rsidR="00000000" w:rsidRDefault="00405D16">
            <w:pPr>
              <w:spacing w:after="100"/>
              <w:rPr>
                <w:rFonts w:eastAsia="Times New Roman"/>
                <w:sz w:val="20"/>
                <w:szCs w:val="20"/>
              </w:rPr>
            </w:pPr>
          </w:p>
        </w:tc>
        <w:tc>
          <w:tcPr>
            <w:tcW w:w="0" w:type="auto"/>
            <w:gridSpan w:val="4"/>
            <w:vAlign w:val="center"/>
            <w:hideMark/>
          </w:tcPr>
          <w:p w14:paraId="5679000E" w14:textId="77777777" w:rsidR="00000000" w:rsidRDefault="00405D16">
            <w:pPr>
              <w:spacing w:after="100"/>
              <w:rPr>
                <w:rFonts w:eastAsia="Times New Roman"/>
                <w:sz w:val="20"/>
                <w:szCs w:val="20"/>
              </w:rPr>
            </w:pPr>
          </w:p>
        </w:tc>
        <w:tc>
          <w:tcPr>
            <w:tcW w:w="0" w:type="auto"/>
            <w:gridSpan w:val="3"/>
            <w:vAlign w:val="center"/>
            <w:hideMark/>
          </w:tcPr>
          <w:p w14:paraId="7B040C19" w14:textId="77777777" w:rsidR="00000000" w:rsidRDefault="00405D16">
            <w:pPr>
              <w:spacing w:after="100"/>
              <w:rPr>
                <w:rFonts w:eastAsia="Times New Roman"/>
                <w:sz w:val="20"/>
                <w:szCs w:val="20"/>
              </w:rPr>
            </w:pPr>
          </w:p>
        </w:tc>
        <w:tc>
          <w:tcPr>
            <w:tcW w:w="0" w:type="auto"/>
            <w:gridSpan w:val="5"/>
            <w:vAlign w:val="center"/>
            <w:hideMark/>
          </w:tcPr>
          <w:p w14:paraId="65511450" w14:textId="77777777" w:rsidR="00000000" w:rsidRDefault="00405D16">
            <w:pPr>
              <w:spacing w:after="100"/>
              <w:rPr>
                <w:rFonts w:eastAsia="Times New Roman"/>
                <w:sz w:val="20"/>
                <w:szCs w:val="20"/>
              </w:rPr>
            </w:pPr>
          </w:p>
        </w:tc>
        <w:tc>
          <w:tcPr>
            <w:tcW w:w="0" w:type="auto"/>
            <w:gridSpan w:val="3"/>
            <w:vAlign w:val="center"/>
            <w:hideMark/>
          </w:tcPr>
          <w:p w14:paraId="72853D5E" w14:textId="77777777" w:rsidR="00000000" w:rsidRDefault="00405D16">
            <w:pPr>
              <w:spacing w:after="100"/>
              <w:rPr>
                <w:rFonts w:eastAsia="Times New Roman"/>
                <w:sz w:val="20"/>
                <w:szCs w:val="20"/>
              </w:rPr>
            </w:pPr>
          </w:p>
        </w:tc>
        <w:tc>
          <w:tcPr>
            <w:tcW w:w="0" w:type="auto"/>
            <w:gridSpan w:val="3"/>
            <w:vAlign w:val="center"/>
            <w:hideMark/>
          </w:tcPr>
          <w:p w14:paraId="7C902619" w14:textId="77777777" w:rsidR="00000000" w:rsidRDefault="00405D16">
            <w:pPr>
              <w:spacing w:after="100"/>
              <w:rPr>
                <w:rFonts w:eastAsia="Times New Roman"/>
                <w:sz w:val="20"/>
                <w:szCs w:val="20"/>
              </w:rPr>
            </w:pPr>
          </w:p>
        </w:tc>
        <w:tc>
          <w:tcPr>
            <w:tcW w:w="0" w:type="auto"/>
            <w:gridSpan w:val="3"/>
            <w:vAlign w:val="center"/>
            <w:hideMark/>
          </w:tcPr>
          <w:p w14:paraId="41127D1A" w14:textId="77777777" w:rsidR="00000000" w:rsidRDefault="00405D16">
            <w:pPr>
              <w:spacing w:after="100"/>
              <w:rPr>
                <w:rFonts w:eastAsia="Times New Roman"/>
                <w:sz w:val="20"/>
                <w:szCs w:val="20"/>
              </w:rPr>
            </w:pPr>
          </w:p>
        </w:tc>
        <w:tc>
          <w:tcPr>
            <w:tcW w:w="0" w:type="auto"/>
            <w:gridSpan w:val="3"/>
            <w:vAlign w:val="center"/>
            <w:hideMark/>
          </w:tcPr>
          <w:p w14:paraId="7D561733" w14:textId="77777777" w:rsidR="00000000" w:rsidRDefault="00405D16">
            <w:pPr>
              <w:spacing w:after="100"/>
              <w:rPr>
                <w:rFonts w:eastAsia="Times New Roman"/>
                <w:sz w:val="20"/>
                <w:szCs w:val="20"/>
              </w:rPr>
            </w:pPr>
          </w:p>
        </w:tc>
        <w:tc>
          <w:tcPr>
            <w:tcW w:w="0" w:type="auto"/>
            <w:gridSpan w:val="3"/>
            <w:vAlign w:val="center"/>
            <w:hideMark/>
          </w:tcPr>
          <w:p w14:paraId="6AC4E7AD" w14:textId="77777777" w:rsidR="00000000" w:rsidRDefault="00405D16">
            <w:pPr>
              <w:spacing w:after="100"/>
              <w:rPr>
                <w:rFonts w:eastAsia="Times New Roman"/>
                <w:sz w:val="20"/>
                <w:szCs w:val="20"/>
              </w:rPr>
            </w:pPr>
          </w:p>
        </w:tc>
        <w:tc>
          <w:tcPr>
            <w:tcW w:w="0" w:type="auto"/>
            <w:gridSpan w:val="5"/>
            <w:vAlign w:val="center"/>
            <w:hideMark/>
          </w:tcPr>
          <w:p w14:paraId="1EF8C445" w14:textId="77777777" w:rsidR="00000000" w:rsidRDefault="00405D16">
            <w:pPr>
              <w:spacing w:after="100"/>
              <w:rPr>
                <w:rFonts w:eastAsia="Times New Roman"/>
                <w:sz w:val="20"/>
                <w:szCs w:val="20"/>
              </w:rPr>
            </w:pPr>
          </w:p>
        </w:tc>
        <w:tc>
          <w:tcPr>
            <w:tcW w:w="0" w:type="auto"/>
            <w:gridSpan w:val="4"/>
            <w:vAlign w:val="center"/>
            <w:hideMark/>
          </w:tcPr>
          <w:p w14:paraId="488E5E9C" w14:textId="77777777" w:rsidR="00000000" w:rsidRDefault="00405D16">
            <w:pPr>
              <w:spacing w:after="100"/>
              <w:rPr>
                <w:rFonts w:eastAsia="Times New Roman"/>
                <w:sz w:val="20"/>
                <w:szCs w:val="20"/>
              </w:rPr>
            </w:pPr>
          </w:p>
        </w:tc>
        <w:tc>
          <w:tcPr>
            <w:tcW w:w="0" w:type="auto"/>
            <w:gridSpan w:val="3"/>
            <w:vAlign w:val="center"/>
            <w:hideMark/>
          </w:tcPr>
          <w:p w14:paraId="18D074D2" w14:textId="77777777" w:rsidR="00000000" w:rsidRDefault="00405D16">
            <w:pPr>
              <w:spacing w:after="100"/>
              <w:rPr>
                <w:rFonts w:eastAsia="Times New Roman"/>
                <w:sz w:val="20"/>
                <w:szCs w:val="20"/>
              </w:rPr>
            </w:pPr>
          </w:p>
        </w:tc>
        <w:tc>
          <w:tcPr>
            <w:tcW w:w="0" w:type="auto"/>
            <w:gridSpan w:val="3"/>
            <w:vAlign w:val="center"/>
            <w:hideMark/>
          </w:tcPr>
          <w:p w14:paraId="101E5038" w14:textId="77777777" w:rsidR="00000000" w:rsidRDefault="00405D16">
            <w:pPr>
              <w:spacing w:after="100"/>
              <w:rPr>
                <w:rFonts w:eastAsia="Times New Roman"/>
                <w:sz w:val="20"/>
                <w:szCs w:val="20"/>
              </w:rPr>
            </w:pPr>
          </w:p>
        </w:tc>
        <w:tc>
          <w:tcPr>
            <w:tcW w:w="0" w:type="auto"/>
            <w:gridSpan w:val="3"/>
            <w:vAlign w:val="center"/>
            <w:hideMark/>
          </w:tcPr>
          <w:p w14:paraId="75F82319" w14:textId="77777777" w:rsidR="00000000" w:rsidRDefault="00405D16">
            <w:pPr>
              <w:spacing w:after="100"/>
              <w:rPr>
                <w:rFonts w:eastAsia="Times New Roman"/>
                <w:sz w:val="20"/>
                <w:szCs w:val="20"/>
              </w:rPr>
            </w:pPr>
          </w:p>
        </w:tc>
        <w:tc>
          <w:tcPr>
            <w:tcW w:w="0" w:type="auto"/>
            <w:gridSpan w:val="3"/>
            <w:vAlign w:val="center"/>
            <w:hideMark/>
          </w:tcPr>
          <w:p w14:paraId="4B675D1C" w14:textId="77777777" w:rsidR="00000000" w:rsidRDefault="00405D16">
            <w:pPr>
              <w:spacing w:after="100"/>
              <w:rPr>
                <w:rFonts w:eastAsia="Times New Roman"/>
                <w:sz w:val="20"/>
                <w:szCs w:val="20"/>
              </w:rPr>
            </w:pPr>
          </w:p>
        </w:tc>
        <w:tc>
          <w:tcPr>
            <w:tcW w:w="0" w:type="auto"/>
            <w:gridSpan w:val="5"/>
            <w:vAlign w:val="center"/>
            <w:hideMark/>
          </w:tcPr>
          <w:p w14:paraId="576BCBB8" w14:textId="77777777" w:rsidR="00000000" w:rsidRDefault="00405D16">
            <w:pPr>
              <w:spacing w:after="100"/>
              <w:rPr>
                <w:rFonts w:eastAsia="Times New Roman"/>
                <w:sz w:val="20"/>
                <w:szCs w:val="20"/>
              </w:rPr>
            </w:pPr>
          </w:p>
        </w:tc>
      </w:tr>
      <w:tr w:rsidR="00000000" w14:paraId="20AE5623" w14:textId="77777777">
        <w:trPr>
          <w:divId w:val="553853218"/>
        </w:trPr>
        <w:tc>
          <w:tcPr>
            <w:tcW w:w="0" w:type="auto"/>
            <w:gridSpan w:val="4"/>
            <w:vAlign w:val="center"/>
            <w:hideMark/>
          </w:tcPr>
          <w:p w14:paraId="27E3B8CA" w14:textId="77777777" w:rsidR="00000000" w:rsidRDefault="00405D16">
            <w:pPr>
              <w:spacing w:after="100"/>
              <w:rPr>
                <w:rFonts w:eastAsia="Times New Roman"/>
                <w:sz w:val="20"/>
                <w:szCs w:val="20"/>
              </w:rPr>
            </w:pPr>
          </w:p>
        </w:tc>
        <w:tc>
          <w:tcPr>
            <w:tcW w:w="0" w:type="auto"/>
            <w:gridSpan w:val="3"/>
            <w:vAlign w:val="center"/>
            <w:hideMark/>
          </w:tcPr>
          <w:p w14:paraId="6634E384" w14:textId="77777777" w:rsidR="00000000" w:rsidRDefault="00405D16">
            <w:pPr>
              <w:spacing w:after="100"/>
              <w:rPr>
                <w:rFonts w:eastAsia="Times New Roman"/>
                <w:sz w:val="20"/>
                <w:szCs w:val="20"/>
              </w:rPr>
            </w:pPr>
          </w:p>
        </w:tc>
        <w:tc>
          <w:tcPr>
            <w:tcW w:w="0" w:type="auto"/>
            <w:gridSpan w:val="3"/>
            <w:vAlign w:val="center"/>
            <w:hideMark/>
          </w:tcPr>
          <w:p w14:paraId="16091965" w14:textId="77777777" w:rsidR="00000000" w:rsidRDefault="00405D16">
            <w:pPr>
              <w:spacing w:after="100"/>
              <w:rPr>
                <w:rFonts w:eastAsia="Times New Roman"/>
                <w:sz w:val="20"/>
                <w:szCs w:val="20"/>
              </w:rPr>
            </w:pPr>
          </w:p>
        </w:tc>
        <w:tc>
          <w:tcPr>
            <w:tcW w:w="0" w:type="auto"/>
            <w:gridSpan w:val="3"/>
            <w:vAlign w:val="center"/>
            <w:hideMark/>
          </w:tcPr>
          <w:p w14:paraId="761FF461" w14:textId="77777777" w:rsidR="00000000" w:rsidRDefault="00405D16">
            <w:pPr>
              <w:spacing w:after="100"/>
              <w:rPr>
                <w:rFonts w:eastAsia="Times New Roman"/>
                <w:sz w:val="20"/>
                <w:szCs w:val="20"/>
              </w:rPr>
            </w:pPr>
          </w:p>
        </w:tc>
        <w:tc>
          <w:tcPr>
            <w:tcW w:w="0" w:type="auto"/>
            <w:gridSpan w:val="4"/>
            <w:vAlign w:val="center"/>
            <w:hideMark/>
          </w:tcPr>
          <w:p w14:paraId="42EF3263" w14:textId="77777777" w:rsidR="00000000" w:rsidRDefault="00405D16">
            <w:pPr>
              <w:spacing w:after="100"/>
              <w:rPr>
                <w:rFonts w:eastAsia="Times New Roman"/>
                <w:sz w:val="20"/>
                <w:szCs w:val="20"/>
              </w:rPr>
            </w:pPr>
          </w:p>
        </w:tc>
        <w:tc>
          <w:tcPr>
            <w:tcW w:w="0" w:type="auto"/>
            <w:gridSpan w:val="3"/>
            <w:vAlign w:val="center"/>
            <w:hideMark/>
          </w:tcPr>
          <w:p w14:paraId="6D6CD142" w14:textId="77777777" w:rsidR="00000000" w:rsidRDefault="00405D16">
            <w:pPr>
              <w:spacing w:after="100"/>
              <w:rPr>
                <w:rFonts w:eastAsia="Times New Roman"/>
                <w:sz w:val="20"/>
                <w:szCs w:val="20"/>
              </w:rPr>
            </w:pPr>
          </w:p>
        </w:tc>
        <w:tc>
          <w:tcPr>
            <w:tcW w:w="0" w:type="auto"/>
            <w:gridSpan w:val="5"/>
            <w:vAlign w:val="center"/>
            <w:hideMark/>
          </w:tcPr>
          <w:p w14:paraId="02A4D441" w14:textId="77777777" w:rsidR="00000000" w:rsidRDefault="00405D16">
            <w:pPr>
              <w:spacing w:after="100"/>
              <w:rPr>
                <w:rFonts w:eastAsia="Times New Roman"/>
                <w:sz w:val="20"/>
                <w:szCs w:val="20"/>
              </w:rPr>
            </w:pPr>
          </w:p>
        </w:tc>
        <w:tc>
          <w:tcPr>
            <w:tcW w:w="0" w:type="auto"/>
            <w:gridSpan w:val="3"/>
            <w:vAlign w:val="center"/>
            <w:hideMark/>
          </w:tcPr>
          <w:p w14:paraId="086F7E16" w14:textId="77777777" w:rsidR="00000000" w:rsidRDefault="00405D16">
            <w:pPr>
              <w:spacing w:after="100"/>
              <w:rPr>
                <w:rFonts w:eastAsia="Times New Roman"/>
                <w:sz w:val="20"/>
                <w:szCs w:val="20"/>
              </w:rPr>
            </w:pPr>
          </w:p>
        </w:tc>
        <w:tc>
          <w:tcPr>
            <w:tcW w:w="0" w:type="auto"/>
            <w:gridSpan w:val="3"/>
            <w:vAlign w:val="center"/>
            <w:hideMark/>
          </w:tcPr>
          <w:p w14:paraId="3844B583" w14:textId="77777777" w:rsidR="00000000" w:rsidRDefault="00405D16">
            <w:pPr>
              <w:spacing w:after="100"/>
              <w:rPr>
                <w:rFonts w:eastAsia="Times New Roman"/>
                <w:sz w:val="20"/>
                <w:szCs w:val="20"/>
              </w:rPr>
            </w:pPr>
          </w:p>
        </w:tc>
        <w:tc>
          <w:tcPr>
            <w:tcW w:w="0" w:type="auto"/>
            <w:gridSpan w:val="3"/>
            <w:vAlign w:val="center"/>
            <w:hideMark/>
          </w:tcPr>
          <w:p w14:paraId="3EF430CE" w14:textId="77777777" w:rsidR="00000000" w:rsidRDefault="00405D16">
            <w:pPr>
              <w:spacing w:after="100"/>
              <w:rPr>
                <w:rFonts w:eastAsia="Times New Roman"/>
                <w:sz w:val="20"/>
                <w:szCs w:val="20"/>
              </w:rPr>
            </w:pPr>
          </w:p>
        </w:tc>
        <w:tc>
          <w:tcPr>
            <w:tcW w:w="0" w:type="auto"/>
            <w:gridSpan w:val="3"/>
            <w:vAlign w:val="center"/>
            <w:hideMark/>
          </w:tcPr>
          <w:p w14:paraId="390131AB" w14:textId="77777777" w:rsidR="00000000" w:rsidRDefault="00405D16">
            <w:pPr>
              <w:spacing w:after="100"/>
              <w:rPr>
                <w:rFonts w:eastAsia="Times New Roman"/>
                <w:sz w:val="20"/>
                <w:szCs w:val="20"/>
              </w:rPr>
            </w:pPr>
          </w:p>
        </w:tc>
        <w:tc>
          <w:tcPr>
            <w:tcW w:w="0" w:type="auto"/>
            <w:gridSpan w:val="3"/>
            <w:vAlign w:val="center"/>
            <w:hideMark/>
          </w:tcPr>
          <w:p w14:paraId="7DDB36FF" w14:textId="77777777" w:rsidR="00000000" w:rsidRDefault="00405D16">
            <w:pPr>
              <w:spacing w:after="100"/>
              <w:rPr>
                <w:rFonts w:eastAsia="Times New Roman"/>
                <w:sz w:val="20"/>
                <w:szCs w:val="20"/>
              </w:rPr>
            </w:pPr>
          </w:p>
        </w:tc>
        <w:tc>
          <w:tcPr>
            <w:tcW w:w="0" w:type="auto"/>
            <w:gridSpan w:val="5"/>
            <w:vAlign w:val="center"/>
            <w:hideMark/>
          </w:tcPr>
          <w:p w14:paraId="5DD9D895" w14:textId="77777777" w:rsidR="00000000" w:rsidRDefault="00405D16">
            <w:pPr>
              <w:spacing w:after="100"/>
              <w:rPr>
                <w:rFonts w:eastAsia="Times New Roman"/>
                <w:sz w:val="20"/>
                <w:szCs w:val="20"/>
              </w:rPr>
            </w:pPr>
          </w:p>
        </w:tc>
        <w:tc>
          <w:tcPr>
            <w:tcW w:w="0" w:type="auto"/>
            <w:gridSpan w:val="4"/>
            <w:vAlign w:val="center"/>
            <w:hideMark/>
          </w:tcPr>
          <w:p w14:paraId="0956C764" w14:textId="77777777" w:rsidR="00000000" w:rsidRDefault="00405D16">
            <w:pPr>
              <w:spacing w:after="100"/>
              <w:rPr>
                <w:rFonts w:eastAsia="Times New Roman"/>
                <w:sz w:val="20"/>
                <w:szCs w:val="20"/>
              </w:rPr>
            </w:pPr>
          </w:p>
        </w:tc>
        <w:tc>
          <w:tcPr>
            <w:tcW w:w="0" w:type="auto"/>
            <w:gridSpan w:val="3"/>
            <w:vAlign w:val="center"/>
            <w:hideMark/>
          </w:tcPr>
          <w:p w14:paraId="612BF316" w14:textId="77777777" w:rsidR="00000000" w:rsidRDefault="00405D16">
            <w:pPr>
              <w:spacing w:after="100"/>
              <w:rPr>
                <w:rFonts w:eastAsia="Times New Roman"/>
                <w:sz w:val="20"/>
                <w:szCs w:val="20"/>
              </w:rPr>
            </w:pPr>
          </w:p>
        </w:tc>
        <w:tc>
          <w:tcPr>
            <w:tcW w:w="0" w:type="auto"/>
            <w:gridSpan w:val="3"/>
            <w:vAlign w:val="center"/>
            <w:hideMark/>
          </w:tcPr>
          <w:p w14:paraId="6E196FD3" w14:textId="77777777" w:rsidR="00000000" w:rsidRDefault="00405D16">
            <w:pPr>
              <w:spacing w:after="100"/>
              <w:rPr>
                <w:rFonts w:eastAsia="Times New Roman"/>
                <w:sz w:val="20"/>
                <w:szCs w:val="20"/>
              </w:rPr>
            </w:pPr>
          </w:p>
        </w:tc>
        <w:tc>
          <w:tcPr>
            <w:tcW w:w="0" w:type="auto"/>
            <w:gridSpan w:val="3"/>
            <w:vAlign w:val="center"/>
            <w:hideMark/>
          </w:tcPr>
          <w:p w14:paraId="60E3F3E0" w14:textId="77777777" w:rsidR="00000000" w:rsidRDefault="00405D16">
            <w:pPr>
              <w:spacing w:after="100"/>
              <w:rPr>
                <w:rFonts w:eastAsia="Times New Roman"/>
                <w:sz w:val="20"/>
                <w:szCs w:val="20"/>
              </w:rPr>
            </w:pPr>
          </w:p>
        </w:tc>
        <w:tc>
          <w:tcPr>
            <w:tcW w:w="0" w:type="auto"/>
            <w:gridSpan w:val="3"/>
            <w:vAlign w:val="center"/>
            <w:hideMark/>
          </w:tcPr>
          <w:p w14:paraId="240FCCE4" w14:textId="77777777" w:rsidR="00000000" w:rsidRDefault="00405D16">
            <w:pPr>
              <w:spacing w:after="100"/>
              <w:rPr>
                <w:rFonts w:eastAsia="Times New Roman"/>
                <w:sz w:val="20"/>
                <w:szCs w:val="20"/>
              </w:rPr>
            </w:pPr>
          </w:p>
        </w:tc>
        <w:tc>
          <w:tcPr>
            <w:tcW w:w="0" w:type="auto"/>
            <w:gridSpan w:val="5"/>
            <w:vAlign w:val="center"/>
            <w:hideMark/>
          </w:tcPr>
          <w:p w14:paraId="0D340B9E" w14:textId="77777777" w:rsidR="00000000" w:rsidRDefault="00405D16">
            <w:pPr>
              <w:spacing w:after="100"/>
              <w:rPr>
                <w:rFonts w:eastAsia="Times New Roman"/>
                <w:sz w:val="20"/>
                <w:szCs w:val="20"/>
              </w:rPr>
            </w:pPr>
          </w:p>
        </w:tc>
      </w:tr>
      <w:tr w:rsidR="00000000" w14:paraId="5B838BC5" w14:textId="77777777">
        <w:trPr>
          <w:divId w:val="553853218"/>
        </w:trPr>
        <w:tc>
          <w:tcPr>
            <w:tcW w:w="0" w:type="auto"/>
            <w:gridSpan w:val="4"/>
            <w:vAlign w:val="center"/>
            <w:hideMark/>
          </w:tcPr>
          <w:p w14:paraId="5B2B36DC" w14:textId="77777777" w:rsidR="00000000" w:rsidRDefault="00405D16">
            <w:pPr>
              <w:spacing w:after="100"/>
              <w:rPr>
                <w:rFonts w:eastAsia="Times New Roman"/>
                <w:sz w:val="20"/>
                <w:szCs w:val="20"/>
              </w:rPr>
            </w:pPr>
          </w:p>
        </w:tc>
        <w:tc>
          <w:tcPr>
            <w:tcW w:w="0" w:type="auto"/>
            <w:gridSpan w:val="3"/>
            <w:vAlign w:val="center"/>
            <w:hideMark/>
          </w:tcPr>
          <w:p w14:paraId="23E46DF7" w14:textId="77777777" w:rsidR="00000000" w:rsidRDefault="00405D16">
            <w:pPr>
              <w:spacing w:after="100"/>
              <w:rPr>
                <w:rFonts w:eastAsia="Times New Roman"/>
                <w:sz w:val="20"/>
                <w:szCs w:val="20"/>
              </w:rPr>
            </w:pPr>
          </w:p>
        </w:tc>
        <w:tc>
          <w:tcPr>
            <w:tcW w:w="0" w:type="auto"/>
            <w:gridSpan w:val="3"/>
            <w:vAlign w:val="center"/>
            <w:hideMark/>
          </w:tcPr>
          <w:p w14:paraId="0D5B609E" w14:textId="77777777" w:rsidR="00000000" w:rsidRDefault="00405D16">
            <w:pPr>
              <w:spacing w:after="100"/>
              <w:rPr>
                <w:rFonts w:eastAsia="Times New Roman"/>
                <w:sz w:val="20"/>
                <w:szCs w:val="20"/>
              </w:rPr>
            </w:pPr>
          </w:p>
        </w:tc>
        <w:tc>
          <w:tcPr>
            <w:tcW w:w="0" w:type="auto"/>
            <w:gridSpan w:val="3"/>
            <w:vAlign w:val="center"/>
            <w:hideMark/>
          </w:tcPr>
          <w:p w14:paraId="0596569B" w14:textId="77777777" w:rsidR="00000000" w:rsidRDefault="00405D16">
            <w:pPr>
              <w:spacing w:after="100"/>
              <w:rPr>
                <w:rFonts w:eastAsia="Times New Roman"/>
                <w:sz w:val="20"/>
                <w:szCs w:val="20"/>
              </w:rPr>
            </w:pPr>
          </w:p>
        </w:tc>
        <w:tc>
          <w:tcPr>
            <w:tcW w:w="0" w:type="auto"/>
            <w:gridSpan w:val="4"/>
            <w:vAlign w:val="center"/>
            <w:hideMark/>
          </w:tcPr>
          <w:p w14:paraId="73853D8A" w14:textId="77777777" w:rsidR="00000000" w:rsidRDefault="00405D16">
            <w:pPr>
              <w:spacing w:after="100"/>
              <w:rPr>
                <w:rFonts w:eastAsia="Times New Roman"/>
                <w:sz w:val="20"/>
                <w:szCs w:val="20"/>
              </w:rPr>
            </w:pPr>
          </w:p>
        </w:tc>
        <w:tc>
          <w:tcPr>
            <w:tcW w:w="0" w:type="auto"/>
            <w:gridSpan w:val="3"/>
            <w:vAlign w:val="center"/>
            <w:hideMark/>
          </w:tcPr>
          <w:p w14:paraId="5996D10A" w14:textId="77777777" w:rsidR="00000000" w:rsidRDefault="00405D16">
            <w:pPr>
              <w:spacing w:after="100"/>
              <w:rPr>
                <w:rFonts w:eastAsia="Times New Roman"/>
                <w:sz w:val="20"/>
                <w:szCs w:val="20"/>
              </w:rPr>
            </w:pPr>
          </w:p>
        </w:tc>
        <w:tc>
          <w:tcPr>
            <w:tcW w:w="0" w:type="auto"/>
            <w:gridSpan w:val="5"/>
            <w:vAlign w:val="center"/>
            <w:hideMark/>
          </w:tcPr>
          <w:p w14:paraId="09DE5ADB" w14:textId="77777777" w:rsidR="00000000" w:rsidRDefault="00405D16">
            <w:pPr>
              <w:spacing w:after="100"/>
              <w:rPr>
                <w:rFonts w:eastAsia="Times New Roman"/>
                <w:sz w:val="20"/>
                <w:szCs w:val="20"/>
              </w:rPr>
            </w:pPr>
          </w:p>
        </w:tc>
        <w:tc>
          <w:tcPr>
            <w:tcW w:w="0" w:type="auto"/>
            <w:gridSpan w:val="3"/>
            <w:vAlign w:val="center"/>
            <w:hideMark/>
          </w:tcPr>
          <w:p w14:paraId="32503E74" w14:textId="77777777" w:rsidR="00000000" w:rsidRDefault="00405D16">
            <w:pPr>
              <w:spacing w:after="100"/>
              <w:rPr>
                <w:rFonts w:eastAsia="Times New Roman"/>
                <w:sz w:val="20"/>
                <w:szCs w:val="20"/>
              </w:rPr>
            </w:pPr>
          </w:p>
        </w:tc>
        <w:tc>
          <w:tcPr>
            <w:tcW w:w="0" w:type="auto"/>
            <w:gridSpan w:val="3"/>
            <w:vAlign w:val="center"/>
            <w:hideMark/>
          </w:tcPr>
          <w:p w14:paraId="4B78B923" w14:textId="77777777" w:rsidR="00000000" w:rsidRDefault="00405D16">
            <w:pPr>
              <w:spacing w:after="100"/>
              <w:rPr>
                <w:rFonts w:eastAsia="Times New Roman"/>
                <w:sz w:val="20"/>
                <w:szCs w:val="20"/>
              </w:rPr>
            </w:pPr>
          </w:p>
        </w:tc>
        <w:tc>
          <w:tcPr>
            <w:tcW w:w="0" w:type="auto"/>
            <w:gridSpan w:val="3"/>
            <w:vAlign w:val="center"/>
            <w:hideMark/>
          </w:tcPr>
          <w:p w14:paraId="71635B1D" w14:textId="77777777" w:rsidR="00000000" w:rsidRDefault="00405D16">
            <w:pPr>
              <w:spacing w:after="100"/>
              <w:rPr>
                <w:rFonts w:eastAsia="Times New Roman"/>
                <w:sz w:val="20"/>
                <w:szCs w:val="20"/>
              </w:rPr>
            </w:pPr>
          </w:p>
        </w:tc>
        <w:tc>
          <w:tcPr>
            <w:tcW w:w="0" w:type="auto"/>
            <w:gridSpan w:val="3"/>
            <w:vAlign w:val="center"/>
            <w:hideMark/>
          </w:tcPr>
          <w:p w14:paraId="0BAB5ADA" w14:textId="77777777" w:rsidR="00000000" w:rsidRDefault="00405D16">
            <w:pPr>
              <w:spacing w:after="100"/>
              <w:rPr>
                <w:rFonts w:eastAsia="Times New Roman"/>
                <w:sz w:val="20"/>
                <w:szCs w:val="20"/>
              </w:rPr>
            </w:pPr>
          </w:p>
        </w:tc>
        <w:tc>
          <w:tcPr>
            <w:tcW w:w="0" w:type="auto"/>
            <w:gridSpan w:val="3"/>
            <w:vAlign w:val="center"/>
            <w:hideMark/>
          </w:tcPr>
          <w:p w14:paraId="47C925A7" w14:textId="77777777" w:rsidR="00000000" w:rsidRDefault="00405D16">
            <w:pPr>
              <w:spacing w:after="100"/>
              <w:rPr>
                <w:rFonts w:eastAsia="Times New Roman"/>
                <w:sz w:val="20"/>
                <w:szCs w:val="20"/>
              </w:rPr>
            </w:pPr>
          </w:p>
        </w:tc>
        <w:tc>
          <w:tcPr>
            <w:tcW w:w="0" w:type="auto"/>
            <w:gridSpan w:val="5"/>
            <w:vAlign w:val="center"/>
            <w:hideMark/>
          </w:tcPr>
          <w:p w14:paraId="0AB643F3" w14:textId="77777777" w:rsidR="00000000" w:rsidRDefault="00405D16">
            <w:pPr>
              <w:spacing w:after="100"/>
              <w:rPr>
                <w:rFonts w:eastAsia="Times New Roman"/>
                <w:sz w:val="20"/>
                <w:szCs w:val="20"/>
              </w:rPr>
            </w:pPr>
          </w:p>
        </w:tc>
        <w:tc>
          <w:tcPr>
            <w:tcW w:w="0" w:type="auto"/>
            <w:gridSpan w:val="4"/>
            <w:vAlign w:val="center"/>
            <w:hideMark/>
          </w:tcPr>
          <w:p w14:paraId="0D59714F" w14:textId="77777777" w:rsidR="00000000" w:rsidRDefault="00405D16">
            <w:pPr>
              <w:spacing w:after="100"/>
              <w:rPr>
                <w:rFonts w:eastAsia="Times New Roman"/>
                <w:sz w:val="20"/>
                <w:szCs w:val="20"/>
              </w:rPr>
            </w:pPr>
          </w:p>
        </w:tc>
        <w:tc>
          <w:tcPr>
            <w:tcW w:w="0" w:type="auto"/>
            <w:gridSpan w:val="3"/>
            <w:vAlign w:val="center"/>
            <w:hideMark/>
          </w:tcPr>
          <w:p w14:paraId="3B5CA7BC" w14:textId="77777777" w:rsidR="00000000" w:rsidRDefault="00405D16">
            <w:pPr>
              <w:spacing w:after="100"/>
              <w:rPr>
                <w:rFonts w:eastAsia="Times New Roman"/>
                <w:sz w:val="20"/>
                <w:szCs w:val="20"/>
              </w:rPr>
            </w:pPr>
          </w:p>
        </w:tc>
        <w:tc>
          <w:tcPr>
            <w:tcW w:w="0" w:type="auto"/>
            <w:gridSpan w:val="3"/>
            <w:vAlign w:val="center"/>
            <w:hideMark/>
          </w:tcPr>
          <w:p w14:paraId="6C9BAE70" w14:textId="77777777" w:rsidR="00000000" w:rsidRDefault="00405D16">
            <w:pPr>
              <w:spacing w:after="100"/>
              <w:rPr>
                <w:rFonts w:eastAsia="Times New Roman"/>
                <w:sz w:val="20"/>
                <w:szCs w:val="20"/>
              </w:rPr>
            </w:pPr>
          </w:p>
        </w:tc>
        <w:tc>
          <w:tcPr>
            <w:tcW w:w="0" w:type="auto"/>
            <w:gridSpan w:val="3"/>
            <w:vAlign w:val="center"/>
            <w:hideMark/>
          </w:tcPr>
          <w:p w14:paraId="2B7FE20B" w14:textId="77777777" w:rsidR="00000000" w:rsidRDefault="00405D16">
            <w:pPr>
              <w:spacing w:after="100"/>
              <w:rPr>
                <w:rFonts w:eastAsia="Times New Roman"/>
                <w:sz w:val="20"/>
                <w:szCs w:val="20"/>
              </w:rPr>
            </w:pPr>
          </w:p>
        </w:tc>
        <w:tc>
          <w:tcPr>
            <w:tcW w:w="0" w:type="auto"/>
            <w:gridSpan w:val="3"/>
            <w:vAlign w:val="center"/>
            <w:hideMark/>
          </w:tcPr>
          <w:p w14:paraId="640F9470" w14:textId="77777777" w:rsidR="00000000" w:rsidRDefault="00405D16">
            <w:pPr>
              <w:spacing w:after="100"/>
              <w:rPr>
                <w:rFonts w:eastAsia="Times New Roman"/>
                <w:sz w:val="20"/>
                <w:szCs w:val="20"/>
              </w:rPr>
            </w:pPr>
          </w:p>
        </w:tc>
        <w:tc>
          <w:tcPr>
            <w:tcW w:w="0" w:type="auto"/>
            <w:gridSpan w:val="5"/>
            <w:vAlign w:val="center"/>
            <w:hideMark/>
          </w:tcPr>
          <w:p w14:paraId="44BE81BA" w14:textId="77777777" w:rsidR="00000000" w:rsidRDefault="00405D16">
            <w:pPr>
              <w:spacing w:after="100"/>
              <w:rPr>
                <w:rFonts w:eastAsia="Times New Roman"/>
                <w:sz w:val="20"/>
                <w:szCs w:val="20"/>
              </w:rPr>
            </w:pPr>
          </w:p>
        </w:tc>
      </w:tr>
      <w:tr w:rsidR="00000000" w14:paraId="7883DF83" w14:textId="77777777">
        <w:trPr>
          <w:divId w:val="553853218"/>
        </w:trPr>
        <w:tc>
          <w:tcPr>
            <w:tcW w:w="0" w:type="auto"/>
            <w:gridSpan w:val="4"/>
            <w:vAlign w:val="center"/>
            <w:hideMark/>
          </w:tcPr>
          <w:p w14:paraId="6095DE2E" w14:textId="77777777" w:rsidR="00000000" w:rsidRDefault="00405D16">
            <w:pPr>
              <w:spacing w:after="100"/>
              <w:rPr>
                <w:rFonts w:eastAsia="Times New Roman"/>
                <w:sz w:val="20"/>
                <w:szCs w:val="20"/>
              </w:rPr>
            </w:pPr>
          </w:p>
        </w:tc>
        <w:tc>
          <w:tcPr>
            <w:tcW w:w="0" w:type="auto"/>
            <w:gridSpan w:val="3"/>
            <w:vAlign w:val="center"/>
            <w:hideMark/>
          </w:tcPr>
          <w:p w14:paraId="70796DD7" w14:textId="77777777" w:rsidR="00000000" w:rsidRDefault="00405D16">
            <w:pPr>
              <w:spacing w:after="100"/>
              <w:rPr>
                <w:rFonts w:eastAsia="Times New Roman"/>
                <w:sz w:val="20"/>
                <w:szCs w:val="20"/>
              </w:rPr>
            </w:pPr>
          </w:p>
        </w:tc>
        <w:tc>
          <w:tcPr>
            <w:tcW w:w="0" w:type="auto"/>
            <w:gridSpan w:val="3"/>
            <w:vAlign w:val="center"/>
            <w:hideMark/>
          </w:tcPr>
          <w:p w14:paraId="7D77B6DB" w14:textId="77777777" w:rsidR="00000000" w:rsidRDefault="00405D16">
            <w:pPr>
              <w:spacing w:after="100"/>
              <w:rPr>
                <w:rFonts w:eastAsia="Times New Roman"/>
                <w:sz w:val="20"/>
                <w:szCs w:val="20"/>
              </w:rPr>
            </w:pPr>
          </w:p>
        </w:tc>
        <w:tc>
          <w:tcPr>
            <w:tcW w:w="0" w:type="auto"/>
            <w:gridSpan w:val="3"/>
            <w:vAlign w:val="center"/>
            <w:hideMark/>
          </w:tcPr>
          <w:p w14:paraId="74AEE32C" w14:textId="77777777" w:rsidR="00000000" w:rsidRDefault="00405D16">
            <w:pPr>
              <w:spacing w:after="100"/>
              <w:rPr>
                <w:rFonts w:eastAsia="Times New Roman"/>
                <w:sz w:val="20"/>
                <w:szCs w:val="20"/>
              </w:rPr>
            </w:pPr>
          </w:p>
        </w:tc>
        <w:tc>
          <w:tcPr>
            <w:tcW w:w="0" w:type="auto"/>
            <w:gridSpan w:val="4"/>
            <w:vAlign w:val="center"/>
            <w:hideMark/>
          </w:tcPr>
          <w:p w14:paraId="744DF34F" w14:textId="77777777" w:rsidR="00000000" w:rsidRDefault="00405D16">
            <w:pPr>
              <w:spacing w:after="100"/>
              <w:rPr>
                <w:rFonts w:eastAsia="Times New Roman"/>
                <w:sz w:val="20"/>
                <w:szCs w:val="20"/>
              </w:rPr>
            </w:pPr>
          </w:p>
        </w:tc>
        <w:tc>
          <w:tcPr>
            <w:tcW w:w="0" w:type="auto"/>
            <w:gridSpan w:val="3"/>
            <w:vAlign w:val="center"/>
            <w:hideMark/>
          </w:tcPr>
          <w:p w14:paraId="6D7C264B" w14:textId="77777777" w:rsidR="00000000" w:rsidRDefault="00405D16">
            <w:pPr>
              <w:spacing w:after="100"/>
              <w:rPr>
                <w:rFonts w:eastAsia="Times New Roman"/>
                <w:sz w:val="20"/>
                <w:szCs w:val="20"/>
              </w:rPr>
            </w:pPr>
          </w:p>
        </w:tc>
        <w:tc>
          <w:tcPr>
            <w:tcW w:w="0" w:type="auto"/>
            <w:gridSpan w:val="5"/>
            <w:vAlign w:val="center"/>
            <w:hideMark/>
          </w:tcPr>
          <w:p w14:paraId="4ED5EA2E" w14:textId="77777777" w:rsidR="00000000" w:rsidRDefault="00405D16">
            <w:pPr>
              <w:spacing w:after="100"/>
              <w:rPr>
                <w:rFonts w:eastAsia="Times New Roman"/>
                <w:sz w:val="20"/>
                <w:szCs w:val="20"/>
              </w:rPr>
            </w:pPr>
          </w:p>
        </w:tc>
        <w:tc>
          <w:tcPr>
            <w:tcW w:w="0" w:type="auto"/>
            <w:gridSpan w:val="3"/>
            <w:vAlign w:val="center"/>
            <w:hideMark/>
          </w:tcPr>
          <w:p w14:paraId="7F85C5F1" w14:textId="77777777" w:rsidR="00000000" w:rsidRDefault="00405D16">
            <w:pPr>
              <w:spacing w:after="100"/>
              <w:rPr>
                <w:rFonts w:eastAsia="Times New Roman"/>
                <w:sz w:val="20"/>
                <w:szCs w:val="20"/>
              </w:rPr>
            </w:pPr>
          </w:p>
        </w:tc>
        <w:tc>
          <w:tcPr>
            <w:tcW w:w="0" w:type="auto"/>
            <w:gridSpan w:val="3"/>
            <w:vAlign w:val="center"/>
            <w:hideMark/>
          </w:tcPr>
          <w:p w14:paraId="4A07A995" w14:textId="77777777" w:rsidR="00000000" w:rsidRDefault="00405D16">
            <w:pPr>
              <w:spacing w:after="100"/>
              <w:rPr>
                <w:rFonts w:eastAsia="Times New Roman"/>
                <w:sz w:val="20"/>
                <w:szCs w:val="20"/>
              </w:rPr>
            </w:pPr>
          </w:p>
        </w:tc>
        <w:tc>
          <w:tcPr>
            <w:tcW w:w="0" w:type="auto"/>
            <w:gridSpan w:val="3"/>
            <w:vAlign w:val="center"/>
            <w:hideMark/>
          </w:tcPr>
          <w:p w14:paraId="23019CDC" w14:textId="77777777" w:rsidR="00000000" w:rsidRDefault="00405D16">
            <w:pPr>
              <w:spacing w:after="100"/>
              <w:rPr>
                <w:rFonts w:eastAsia="Times New Roman"/>
                <w:sz w:val="20"/>
                <w:szCs w:val="20"/>
              </w:rPr>
            </w:pPr>
          </w:p>
        </w:tc>
        <w:tc>
          <w:tcPr>
            <w:tcW w:w="0" w:type="auto"/>
            <w:gridSpan w:val="3"/>
            <w:vAlign w:val="center"/>
            <w:hideMark/>
          </w:tcPr>
          <w:p w14:paraId="0FEB74B3" w14:textId="77777777" w:rsidR="00000000" w:rsidRDefault="00405D16">
            <w:pPr>
              <w:spacing w:after="100"/>
              <w:rPr>
                <w:rFonts w:eastAsia="Times New Roman"/>
                <w:sz w:val="20"/>
                <w:szCs w:val="20"/>
              </w:rPr>
            </w:pPr>
          </w:p>
        </w:tc>
        <w:tc>
          <w:tcPr>
            <w:tcW w:w="0" w:type="auto"/>
            <w:gridSpan w:val="3"/>
            <w:vAlign w:val="center"/>
            <w:hideMark/>
          </w:tcPr>
          <w:p w14:paraId="56E8A329" w14:textId="77777777" w:rsidR="00000000" w:rsidRDefault="00405D16">
            <w:pPr>
              <w:spacing w:after="100"/>
              <w:rPr>
                <w:rFonts w:eastAsia="Times New Roman"/>
                <w:sz w:val="20"/>
                <w:szCs w:val="20"/>
              </w:rPr>
            </w:pPr>
          </w:p>
        </w:tc>
        <w:tc>
          <w:tcPr>
            <w:tcW w:w="0" w:type="auto"/>
            <w:gridSpan w:val="5"/>
            <w:vAlign w:val="center"/>
            <w:hideMark/>
          </w:tcPr>
          <w:p w14:paraId="35C83536" w14:textId="77777777" w:rsidR="00000000" w:rsidRDefault="00405D16">
            <w:pPr>
              <w:spacing w:after="100"/>
              <w:rPr>
                <w:rFonts w:eastAsia="Times New Roman"/>
                <w:sz w:val="20"/>
                <w:szCs w:val="20"/>
              </w:rPr>
            </w:pPr>
          </w:p>
        </w:tc>
        <w:tc>
          <w:tcPr>
            <w:tcW w:w="0" w:type="auto"/>
            <w:gridSpan w:val="4"/>
            <w:vAlign w:val="center"/>
            <w:hideMark/>
          </w:tcPr>
          <w:p w14:paraId="5CAE1FDF" w14:textId="77777777" w:rsidR="00000000" w:rsidRDefault="00405D16">
            <w:pPr>
              <w:spacing w:after="100"/>
              <w:rPr>
                <w:rFonts w:eastAsia="Times New Roman"/>
                <w:sz w:val="20"/>
                <w:szCs w:val="20"/>
              </w:rPr>
            </w:pPr>
          </w:p>
        </w:tc>
        <w:tc>
          <w:tcPr>
            <w:tcW w:w="0" w:type="auto"/>
            <w:gridSpan w:val="3"/>
            <w:vAlign w:val="center"/>
            <w:hideMark/>
          </w:tcPr>
          <w:p w14:paraId="1F09A440" w14:textId="77777777" w:rsidR="00000000" w:rsidRDefault="00405D16">
            <w:pPr>
              <w:spacing w:after="100"/>
              <w:rPr>
                <w:rFonts w:eastAsia="Times New Roman"/>
                <w:sz w:val="20"/>
                <w:szCs w:val="20"/>
              </w:rPr>
            </w:pPr>
          </w:p>
        </w:tc>
        <w:tc>
          <w:tcPr>
            <w:tcW w:w="0" w:type="auto"/>
            <w:gridSpan w:val="3"/>
            <w:vAlign w:val="center"/>
            <w:hideMark/>
          </w:tcPr>
          <w:p w14:paraId="4FEEF6DA" w14:textId="77777777" w:rsidR="00000000" w:rsidRDefault="00405D16">
            <w:pPr>
              <w:spacing w:after="100"/>
              <w:rPr>
                <w:rFonts w:eastAsia="Times New Roman"/>
                <w:sz w:val="20"/>
                <w:szCs w:val="20"/>
              </w:rPr>
            </w:pPr>
          </w:p>
        </w:tc>
        <w:tc>
          <w:tcPr>
            <w:tcW w:w="0" w:type="auto"/>
            <w:gridSpan w:val="3"/>
            <w:vAlign w:val="center"/>
            <w:hideMark/>
          </w:tcPr>
          <w:p w14:paraId="1D80ED9A" w14:textId="77777777" w:rsidR="00000000" w:rsidRDefault="00405D16">
            <w:pPr>
              <w:spacing w:after="100"/>
              <w:rPr>
                <w:rFonts w:eastAsia="Times New Roman"/>
                <w:sz w:val="20"/>
                <w:szCs w:val="20"/>
              </w:rPr>
            </w:pPr>
          </w:p>
        </w:tc>
        <w:tc>
          <w:tcPr>
            <w:tcW w:w="0" w:type="auto"/>
            <w:gridSpan w:val="3"/>
            <w:vAlign w:val="center"/>
            <w:hideMark/>
          </w:tcPr>
          <w:p w14:paraId="7627EFB4" w14:textId="77777777" w:rsidR="00000000" w:rsidRDefault="00405D16">
            <w:pPr>
              <w:spacing w:after="100"/>
              <w:rPr>
                <w:rFonts w:eastAsia="Times New Roman"/>
                <w:sz w:val="20"/>
                <w:szCs w:val="20"/>
              </w:rPr>
            </w:pPr>
          </w:p>
        </w:tc>
        <w:tc>
          <w:tcPr>
            <w:tcW w:w="0" w:type="auto"/>
            <w:gridSpan w:val="5"/>
            <w:vAlign w:val="center"/>
            <w:hideMark/>
          </w:tcPr>
          <w:p w14:paraId="7523C685" w14:textId="77777777" w:rsidR="00000000" w:rsidRDefault="00405D16">
            <w:pPr>
              <w:spacing w:after="100"/>
              <w:rPr>
                <w:rFonts w:eastAsia="Times New Roman"/>
                <w:sz w:val="20"/>
                <w:szCs w:val="20"/>
              </w:rPr>
            </w:pPr>
          </w:p>
        </w:tc>
      </w:tr>
      <w:tr w:rsidR="00000000" w14:paraId="6254BFA8" w14:textId="77777777">
        <w:trPr>
          <w:divId w:val="553853218"/>
        </w:trPr>
        <w:tc>
          <w:tcPr>
            <w:tcW w:w="0" w:type="auto"/>
            <w:gridSpan w:val="4"/>
            <w:vAlign w:val="center"/>
            <w:hideMark/>
          </w:tcPr>
          <w:p w14:paraId="7622A6E3" w14:textId="77777777" w:rsidR="00000000" w:rsidRDefault="00405D16">
            <w:pPr>
              <w:spacing w:after="100"/>
              <w:rPr>
                <w:rFonts w:eastAsia="Times New Roman"/>
                <w:sz w:val="20"/>
                <w:szCs w:val="20"/>
              </w:rPr>
            </w:pPr>
          </w:p>
        </w:tc>
        <w:tc>
          <w:tcPr>
            <w:tcW w:w="0" w:type="auto"/>
            <w:gridSpan w:val="3"/>
            <w:vAlign w:val="center"/>
            <w:hideMark/>
          </w:tcPr>
          <w:p w14:paraId="2A694DE0" w14:textId="77777777" w:rsidR="00000000" w:rsidRDefault="00405D16">
            <w:pPr>
              <w:spacing w:after="100"/>
              <w:rPr>
                <w:rFonts w:eastAsia="Times New Roman"/>
                <w:sz w:val="20"/>
                <w:szCs w:val="20"/>
              </w:rPr>
            </w:pPr>
          </w:p>
        </w:tc>
        <w:tc>
          <w:tcPr>
            <w:tcW w:w="0" w:type="auto"/>
            <w:gridSpan w:val="3"/>
            <w:vAlign w:val="center"/>
            <w:hideMark/>
          </w:tcPr>
          <w:p w14:paraId="24DD4426" w14:textId="77777777" w:rsidR="00000000" w:rsidRDefault="00405D16">
            <w:pPr>
              <w:spacing w:after="100"/>
              <w:rPr>
                <w:rFonts w:eastAsia="Times New Roman"/>
                <w:sz w:val="20"/>
                <w:szCs w:val="20"/>
              </w:rPr>
            </w:pPr>
          </w:p>
        </w:tc>
        <w:tc>
          <w:tcPr>
            <w:tcW w:w="0" w:type="auto"/>
            <w:gridSpan w:val="3"/>
            <w:vAlign w:val="center"/>
            <w:hideMark/>
          </w:tcPr>
          <w:p w14:paraId="578C1B01" w14:textId="77777777" w:rsidR="00000000" w:rsidRDefault="00405D16">
            <w:pPr>
              <w:spacing w:after="100"/>
              <w:rPr>
                <w:rFonts w:eastAsia="Times New Roman"/>
                <w:sz w:val="20"/>
                <w:szCs w:val="20"/>
              </w:rPr>
            </w:pPr>
          </w:p>
        </w:tc>
        <w:tc>
          <w:tcPr>
            <w:tcW w:w="0" w:type="auto"/>
            <w:gridSpan w:val="4"/>
            <w:vAlign w:val="center"/>
            <w:hideMark/>
          </w:tcPr>
          <w:p w14:paraId="34F4CDDB" w14:textId="77777777" w:rsidR="00000000" w:rsidRDefault="00405D16">
            <w:pPr>
              <w:spacing w:after="100"/>
              <w:rPr>
                <w:rFonts w:eastAsia="Times New Roman"/>
                <w:sz w:val="20"/>
                <w:szCs w:val="20"/>
              </w:rPr>
            </w:pPr>
          </w:p>
        </w:tc>
        <w:tc>
          <w:tcPr>
            <w:tcW w:w="0" w:type="auto"/>
            <w:gridSpan w:val="3"/>
            <w:vAlign w:val="center"/>
            <w:hideMark/>
          </w:tcPr>
          <w:p w14:paraId="2E8A11E4" w14:textId="77777777" w:rsidR="00000000" w:rsidRDefault="00405D16">
            <w:pPr>
              <w:spacing w:after="100"/>
              <w:rPr>
                <w:rFonts w:eastAsia="Times New Roman"/>
                <w:sz w:val="20"/>
                <w:szCs w:val="20"/>
              </w:rPr>
            </w:pPr>
          </w:p>
        </w:tc>
        <w:tc>
          <w:tcPr>
            <w:tcW w:w="0" w:type="auto"/>
            <w:gridSpan w:val="5"/>
            <w:vAlign w:val="center"/>
            <w:hideMark/>
          </w:tcPr>
          <w:p w14:paraId="01DD2EAD" w14:textId="77777777" w:rsidR="00000000" w:rsidRDefault="00405D16">
            <w:pPr>
              <w:spacing w:after="100"/>
              <w:rPr>
                <w:rFonts w:eastAsia="Times New Roman"/>
                <w:sz w:val="20"/>
                <w:szCs w:val="20"/>
              </w:rPr>
            </w:pPr>
          </w:p>
        </w:tc>
        <w:tc>
          <w:tcPr>
            <w:tcW w:w="0" w:type="auto"/>
            <w:gridSpan w:val="3"/>
            <w:vAlign w:val="center"/>
            <w:hideMark/>
          </w:tcPr>
          <w:p w14:paraId="1D5443F8" w14:textId="77777777" w:rsidR="00000000" w:rsidRDefault="00405D16">
            <w:pPr>
              <w:spacing w:after="100"/>
              <w:rPr>
                <w:rFonts w:eastAsia="Times New Roman"/>
                <w:sz w:val="20"/>
                <w:szCs w:val="20"/>
              </w:rPr>
            </w:pPr>
          </w:p>
        </w:tc>
        <w:tc>
          <w:tcPr>
            <w:tcW w:w="0" w:type="auto"/>
            <w:gridSpan w:val="3"/>
            <w:vAlign w:val="center"/>
            <w:hideMark/>
          </w:tcPr>
          <w:p w14:paraId="44C03F83" w14:textId="77777777" w:rsidR="00000000" w:rsidRDefault="00405D16">
            <w:pPr>
              <w:spacing w:after="100"/>
              <w:rPr>
                <w:rFonts w:eastAsia="Times New Roman"/>
                <w:sz w:val="20"/>
                <w:szCs w:val="20"/>
              </w:rPr>
            </w:pPr>
          </w:p>
        </w:tc>
        <w:tc>
          <w:tcPr>
            <w:tcW w:w="0" w:type="auto"/>
            <w:gridSpan w:val="3"/>
            <w:vAlign w:val="center"/>
            <w:hideMark/>
          </w:tcPr>
          <w:p w14:paraId="1E515AD6" w14:textId="77777777" w:rsidR="00000000" w:rsidRDefault="00405D16">
            <w:pPr>
              <w:spacing w:after="100"/>
              <w:rPr>
                <w:rFonts w:eastAsia="Times New Roman"/>
                <w:sz w:val="20"/>
                <w:szCs w:val="20"/>
              </w:rPr>
            </w:pPr>
          </w:p>
        </w:tc>
        <w:tc>
          <w:tcPr>
            <w:tcW w:w="0" w:type="auto"/>
            <w:gridSpan w:val="3"/>
            <w:vAlign w:val="center"/>
            <w:hideMark/>
          </w:tcPr>
          <w:p w14:paraId="321679D7" w14:textId="77777777" w:rsidR="00000000" w:rsidRDefault="00405D16">
            <w:pPr>
              <w:spacing w:after="100"/>
              <w:rPr>
                <w:rFonts w:eastAsia="Times New Roman"/>
                <w:sz w:val="20"/>
                <w:szCs w:val="20"/>
              </w:rPr>
            </w:pPr>
          </w:p>
        </w:tc>
        <w:tc>
          <w:tcPr>
            <w:tcW w:w="0" w:type="auto"/>
            <w:gridSpan w:val="3"/>
            <w:vAlign w:val="center"/>
            <w:hideMark/>
          </w:tcPr>
          <w:p w14:paraId="234D0C7E" w14:textId="77777777" w:rsidR="00000000" w:rsidRDefault="00405D16">
            <w:pPr>
              <w:spacing w:after="100"/>
              <w:rPr>
                <w:rFonts w:eastAsia="Times New Roman"/>
                <w:sz w:val="20"/>
                <w:szCs w:val="20"/>
              </w:rPr>
            </w:pPr>
          </w:p>
        </w:tc>
        <w:tc>
          <w:tcPr>
            <w:tcW w:w="0" w:type="auto"/>
            <w:gridSpan w:val="5"/>
            <w:vAlign w:val="center"/>
            <w:hideMark/>
          </w:tcPr>
          <w:p w14:paraId="5DE4FA04" w14:textId="77777777" w:rsidR="00000000" w:rsidRDefault="00405D16">
            <w:pPr>
              <w:spacing w:after="100"/>
              <w:rPr>
                <w:rFonts w:eastAsia="Times New Roman"/>
                <w:sz w:val="20"/>
                <w:szCs w:val="20"/>
              </w:rPr>
            </w:pPr>
          </w:p>
        </w:tc>
        <w:tc>
          <w:tcPr>
            <w:tcW w:w="0" w:type="auto"/>
            <w:gridSpan w:val="4"/>
            <w:vAlign w:val="center"/>
            <w:hideMark/>
          </w:tcPr>
          <w:p w14:paraId="345846CB" w14:textId="77777777" w:rsidR="00000000" w:rsidRDefault="00405D16">
            <w:pPr>
              <w:spacing w:after="100"/>
              <w:rPr>
                <w:rFonts w:eastAsia="Times New Roman"/>
                <w:sz w:val="20"/>
                <w:szCs w:val="20"/>
              </w:rPr>
            </w:pPr>
          </w:p>
        </w:tc>
        <w:tc>
          <w:tcPr>
            <w:tcW w:w="0" w:type="auto"/>
            <w:gridSpan w:val="3"/>
            <w:vAlign w:val="center"/>
            <w:hideMark/>
          </w:tcPr>
          <w:p w14:paraId="39A09D55" w14:textId="77777777" w:rsidR="00000000" w:rsidRDefault="00405D16">
            <w:pPr>
              <w:spacing w:after="100"/>
              <w:rPr>
                <w:rFonts w:eastAsia="Times New Roman"/>
                <w:sz w:val="20"/>
                <w:szCs w:val="20"/>
              </w:rPr>
            </w:pPr>
          </w:p>
        </w:tc>
        <w:tc>
          <w:tcPr>
            <w:tcW w:w="0" w:type="auto"/>
            <w:gridSpan w:val="3"/>
            <w:vAlign w:val="center"/>
            <w:hideMark/>
          </w:tcPr>
          <w:p w14:paraId="61C09992" w14:textId="77777777" w:rsidR="00000000" w:rsidRDefault="00405D16">
            <w:pPr>
              <w:spacing w:after="100"/>
              <w:rPr>
                <w:rFonts w:eastAsia="Times New Roman"/>
                <w:sz w:val="20"/>
                <w:szCs w:val="20"/>
              </w:rPr>
            </w:pPr>
          </w:p>
        </w:tc>
        <w:tc>
          <w:tcPr>
            <w:tcW w:w="0" w:type="auto"/>
            <w:gridSpan w:val="3"/>
            <w:vAlign w:val="center"/>
            <w:hideMark/>
          </w:tcPr>
          <w:p w14:paraId="34D0721F" w14:textId="77777777" w:rsidR="00000000" w:rsidRDefault="00405D16">
            <w:pPr>
              <w:spacing w:after="100"/>
              <w:rPr>
                <w:rFonts w:eastAsia="Times New Roman"/>
                <w:sz w:val="20"/>
                <w:szCs w:val="20"/>
              </w:rPr>
            </w:pPr>
          </w:p>
        </w:tc>
        <w:tc>
          <w:tcPr>
            <w:tcW w:w="0" w:type="auto"/>
            <w:gridSpan w:val="3"/>
            <w:vAlign w:val="center"/>
            <w:hideMark/>
          </w:tcPr>
          <w:p w14:paraId="3BB6E14F" w14:textId="77777777" w:rsidR="00000000" w:rsidRDefault="00405D16">
            <w:pPr>
              <w:spacing w:after="100"/>
              <w:rPr>
                <w:rFonts w:eastAsia="Times New Roman"/>
                <w:sz w:val="20"/>
                <w:szCs w:val="20"/>
              </w:rPr>
            </w:pPr>
          </w:p>
        </w:tc>
        <w:tc>
          <w:tcPr>
            <w:tcW w:w="0" w:type="auto"/>
            <w:gridSpan w:val="5"/>
            <w:vAlign w:val="center"/>
            <w:hideMark/>
          </w:tcPr>
          <w:p w14:paraId="71EE6990" w14:textId="77777777" w:rsidR="00000000" w:rsidRDefault="00405D16">
            <w:pPr>
              <w:spacing w:after="100"/>
              <w:rPr>
                <w:rFonts w:eastAsia="Times New Roman"/>
                <w:sz w:val="20"/>
                <w:szCs w:val="20"/>
              </w:rPr>
            </w:pPr>
          </w:p>
        </w:tc>
      </w:tr>
      <w:tr w:rsidR="00000000" w14:paraId="7C83C81B" w14:textId="77777777">
        <w:trPr>
          <w:divId w:val="553853218"/>
        </w:trPr>
        <w:tc>
          <w:tcPr>
            <w:tcW w:w="0" w:type="auto"/>
            <w:gridSpan w:val="4"/>
            <w:vAlign w:val="center"/>
            <w:hideMark/>
          </w:tcPr>
          <w:p w14:paraId="68498418" w14:textId="77777777" w:rsidR="00000000" w:rsidRDefault="00405D16">
            <w:pPr>
              <w:spacing w:after="100"/>
              <w:rPr>
                <w:rFonts w:eastAsia="Times New Roman"/>
                <w:sz w:val="20"/>
                <w:szCs w:val="20"/>
              </w:rPr>
            </w:pPr>
          </w:p>
        </w:tc>
        <w:tc>
          <w:tcPr>
            <w:tcW w:w="0" w:type="auto"/>
            <w:gridSpan w:val="3"/>
            <w:vAlign w:val="center"/>
            <w:hideMark/>
          </w:tcPr>
          <w:p w14:paraId="675D746B" w14:textId="77777777" w:rsidR="00000000" w:rsidRDefault="00405D16">
            <w:pPr>
              <w:spacing w:after="100"/>
              <w:rPr>
                <w:rFonts w:eastAsia="Times New Roman"/>
                <w:sz w:val="20"/>
                <w:szCs w:val="20"/>
              </w:rPr>
            </w:pPr>
          </w:p>
        </w:tc>
        <w:tc>
          <w:tcPr>
            <w:tcW w:w="0" w:type="auto"/>
            <w:gridSpan w:val="3"/>
            <w:vAlign w:val="center"/>
            <w:hideMark/>
          </w:tcPr>
          <w:p w14:paraId="074815B3" w14:textId="77777777" w:rsidR="00000000" w:rsidRDefault="00405D16">
            <w:pPr>
              <w:spacing w:after="100"/>
              <w:rPr>
                <w:rFonts w:eastAsia="Times New Roman"/>
                <w:sz w:val="20"/>
                <w:szCs w:val="20"/>
              </w:rPr>
            </w:pPr>
          </w:p>
        </w:tc>
        <w:tc>
          <w:tcPr>
            <w:tcW w:w="0" w:type="auto"/>
            <w:gridSpan w:val="3"/>
            <w:vAlign w:val="center"/>
            <w:hideMark/>
          </w:tcPr>
          <w:p w14:paraId="73752BEC" w14:textId="77777777" w:rsidR="00000000" w:rsidRDefault="00405D16">
            <w:pPr>
              <w:spacing w:after="100"/>
              <w:rPr>
                <w:rFonts w:eastAsia="Times New Roman"/>
                <w:sz w:val="20"/>
                <w:szCs w:val="20"/>
              </w:rPr>
            </w:pPr>
          </w:p>
        </w:tc>
        <w:tc>
          <w:tcPr>
            <w:tcW w:w="0" w:type="auto"/>
            <w:gridSpan w:val="4"/>
            <w:vAlign w:val="center"/>
            <w:hideMark/>
          </w:tcPr>
          <w:p w14:paraId="7122E9E7" w14:textId="77777777" w:rsidR="00000000" w:rsidRDefault="00405D16">
            <w:pPr>
              <w:spacing w:after="100"/>
              <w:rPr>
                <w:rFonts w:eastAsia="Times New Roman"/>
                <w:sz w:val="20"/>
                <w:szCs w:val="20"/>
              </w:rPr>
            </w:pPr>
          </w:p>
        </w:tc>
        <w:tc>
          <w:tcPr>
            <w:tcW w:w="0" w:type="auto"/>
            <w:gridSpan w:val="3"/>
            <w:vAlign w:val="center"/>
            <w:hideMark/>
          </w:tcPr>
          <w:p w14:paraId="637435C8" w14:textId="77777777" w:rsidR="00000000" w:rsidRDefault="00405D16">
            <w:pPr>
              <w:spacing w:after="100"/>
              <w:rPr>
                <w:rFonts w:eastAsia="Times New Roman"/>
                <w:sz w:val="20"/>
                <w:szCs w:val="20"/>
              </w:rPr>
            </w:pPr>
          </w:p>
        </w:tc>
        <w:tc>
          <w:tcPr>
            <w:tcW w:w="0" w:type="auto"/>
            <w:gridSpan w:val="5"/>
            <w:vAlign w:val="center"/>
            <w:hideMark/>
          </w:tcPr>
          <w:p w14:paraId="7C402506" w14:textId="77777777" w:rsidR="00000000" w:rsidRDefault="00405D16">
            <w:pPr>
              <w:spacing w:after="100"/>
              <w:rPr>
                <w:rFonts w:eastAsia="Times New Roman"/>
                <w:sz w:val="20"/>
                <w:szCs w:val="20"/>
              </w:rPr>
            </w:pPr>
          </w:p>
        </w:tc>
        <w:tc>
          <w:tcPr>
            <w:tcW w:w="0" w:type="auto"/>
            <w:gridSpan w:val="3"/>
            <w:vAlign w:val="center"/>
            <w:hideMark/>
          </w:tcPr>
          <w:p w14:paraId="43D9628C" w14:textId="77777777" w:rsidR="00000000" w:rsidRDefault="00405D16">
            <w:pPr>
              <w:spacing w:after="100"/>
              <w:rPr>
                <w:rFonts w:eastAsia="Times New Roman"/>
                <w:sz w:val="20"/>
                <w:szCs w:val="20"/>
              </w:rPr>
            </w:pPr>
          </w:p>
        </w:tc>
        <w:tc>
          <w:tcPr>
            <w:tcW w:w="0" w:type="auto"/>
            <w:gridSpan w:val="3"/>
            <w:vAlign w:val="center"/>
            <w:hideMark/>
          </w:tcPr>
          <w:p w14:paraId="05A66902" w14:textId="77777777" w:rsidR="00000000" w:rsidRDefault="00405D16">
            <w:pPr>
              <w:spacing w:after="100"/>
              <w:rPr>
                <w:rFonts w:eastAsia="Times New Roman"/>
                <w:sz w:val="20"/>
                <w:szCs w:val="20"/>
              </w:rPr>
            </w:pPr>
          </w:p>
        </w:tc>
        <w:tc>
          <w:tcPr>
            <w:tcW w:w="0" w:type="auto"/>
            <w:gridSpan w:val="3"/>
            <w:vAlign w:val="center"/>
            <w:hideMark/>
          </w:tcPr>
          <w:p w14:paraId="5C172487" w14:textId="77777777" w:rsidR="00000000" w:rsidRDefault="00405D16">
            <w:pPr>
              <w:spacing w:after="100"/>
              <w:rPr>
                <w:rFonts w:eastAsia="Times New Roman"/>
                <w:sz w:val="20"/>
                <w:szCs w:val="20"/>
              </w:rPr>
            </w:pPr>
          </w:p>
        </w:tc>
        <w:tc>
          <w:tcPr>
            <w:tcW w:w="0" w:type="auto"/>
            <w:gridSpan w:val="3"/>
            <w:vAlign w:val="center"/>
            <w:hideMark/>
          </w:tcPr>
          <w:p w14:paraId="7EE12EB9" w14:textId="77777777" w:rsidR="00000000" w:rsidRDefault="00405D16">
            <w:pPr>
              <w:spacing w:after="100"/>
              <w:rPr>
                <w:rFonts w:eastAsia="Times New Roman"/>
                <w:sz w:val="20"/>
                <w:szCs w:val="20"/>
              </w:rPr>
            </w:pPr>
          </w:p>
        </w:tc>
        <w:tc>
          <w:tcPr>
            <w:tcW w:w="0" w:type="auto"/>
            <w:gridSpan w:val="3"/>
            <w:vAlign w:val="center"/>
            <w:hideMark/>
          </w:tcPr>
          <w:p w14:paraId="1FCA6DB0" w14:textId="77777777" w:rsidR="00000000" w:rsidRDefault="00405D16">
            <w:pPr>
              <w:spacing w:after="100"/>
              <w:rPr>
                <w:rFonts w:eastAsia="Times New Roman"/>
                <w:sz w:val="20"/>
                <w:szCs w:val="20"/>
              </w:rPr>
            </w:pPr>
          </w:p>
        </w:tc>
        <w:tc>
          <w:tcPr>
            <w:tcW w:w="0" w:type="auto"/>
            <w:gridSpan w:val="5"/>
            <w:vAlign w:val="center"/>
            <w:hideMark/>
          </w:tcPr>
          <w:p w14:paraId="33DEC3CB" w14:textId="77777777" w:rsidR="00000000" w:rsidRDefault="00405D16">
            <w:pPr>
              <w:spacing w:after="100"/>
              <w:rPr>
                <w:rFonts w:eastAsia="Times New Roman"/>
                <w:sz w:val="20"/>
                <w:szCs w:val="20"/>
              </w:rPr>
            </w:pPr>
          </w:p>
        </w:tc>
        <w:tc>
          <w:tcPr>
            <w:tcW w:w="0" w:type="auto"/>
            <w:gridSpan w:val="4"/>
            <w:vAlign w:val="center"/>
            <w:hideMark/>
          </w:tcPr>
          <w:p w14:paraId="040A07D5" w14:textId="77777777" w:rsidR="00000000" w:rsidRDefault="00405D16">
            <w:pPr>
              <w:spacing w:after="100"/>
              <w:rPr>
                <w:rFonts w:eastAsia="Times New Roman"/>
                <w:sz w:val="20"/>
                <w:szCs w:val="20"/>
              </w:rPr>
            </w:pPr>
          </w:p>
        </w:tc>
        <w:tc>
          <w:tcPr>
            <w:tcW w:w="0" w:type="auto"/>
            <w:gridSpan w:val="3"/>
            <w:vAlign w:val="center"/>
            <w:hideMark/>
          </w:tcPr>
          <w:p w14:paraId="0FDB3BFE" w14:textId="77777777" w:rsidR="00000000" w:rsidRDefault="00405D16">
            <w:pPr>
              <w:spacing w:after="100"/>
              <w:rPr>
                <w:rFonts w:eastAsia="Times New Roman"/>
                <w:sz w:val="20"/>
                <w:szCs w:val="20"/>
              </w:rPr>
            </w:pPr>
          </w:p>
        </w:tc>
        <w:tc>
          <w:tcPr>
            <w:tcW w:w="0" w:type="auto"/>
            <w:gridSpan w:val="3"/>
            <w:vAlign w:val="center"/>
            <w:hideMark/>
          </w:tcPr>
          <w:p w14:paraId="689928EE" w14:textId="77777777" w:rsidR="00000000" w:rsidRDefault="00405D16">
            <w:pPr>
              <w:spacing w:after="100"/>
              <w:rPr>
                <w:rFonts w:eastAsia="Times New Roman"/>
                <w:sz w:val="20"/>
                <w:szCs w:val="20"/>
              </w:rPr>
            </w:pPr>
          </w:p>
        </w:tc>
        <w:tc>
          <w:tcPr>
            <w:tcW w:w="0" w:type="auto"/>
            <w:gridSpan w:val="3"/>
            <w:vAlign w:val="center"/>
            <w:hideMark/>
          </w:tcPr>
          <w:p w14:paraId="56C4325D" w14:textId="77777777" w:rsidR="00000000" w:rsidRDefault="00405D16">
            <w:pPr>
              <w:spacing w:after="100"/>
              <w:rPr>
                <w:rFonts w:eastAsia="Times New Roman"/>
                <w:sz w:val="20"/>
                <w:szCs w:val="20"/>
              </w:rPr>
            </w:pPr>
          </w:p>
        </w:tc>
        <w:tc>
          <w:tcPr>
            <w:tcW w:w="0" w:type="auto"/>
            <w:gridSpan w:val="3"/>
            <w:vAlign w:val="center"/>
            <w:hideMark/>
          </w:tcPr>
          <w:p w14:paraId="3FCCF5F3" w14:textId="77777777" w:rsidR="00000000" w:rsidRDefault="00405D16">
            <w:pPr>
              <w:spacing w:after="100"/>
              <w:rPr>
                <w:rFonts w:eastAsia="Times New Roman"/>
                <w:sz w:val="20"/>
                <w:szCs w:val="20"/>
              </w:rPr>
            </w:pPr>
          </w:p>
        </w:tc>
        <w:tc>
          <w:tcPr>
            <w:tcW w:w="0" w:type="auto"/>
            <w:gridSpan w:val="5"/>
            <w:vAlign w:val="center"/>
            <w:hideMark/>
          </w:tcPr>
          <w:p w14:paraId="35042ECA" w14:textId="77777777" w:rsidR="00000000" w:rsidRDefault="00405D16">
            <w:pPr>
              <w:spacing w:after="100"/>
              <w:rPr>
                <w:rFonts w:eastAsia="Times New Roman"/>
                <w:sz w:val="20"/>
                <w:szCs w:val="20"/>
              </w:rPr>
            </w:pPr>
          </w:p>
        </w:tc>
      </w:tr>
      <w:tr w:rsidR="00405D16" w14:paraId="56388CC7" w14:textId="77777777">
        <w:trPr>
          <w:divId w:val="553853218"/>
        </w:trPr>
        <w:tc>
          <w:tcPr>
            <w:tcW w:w="0" w:type="auto"/>
            <w:gridSpan w:val="4"/>
            <w:tcBorders>
              <w:top w:val="single" w:sz="8" w:space="0" w:color="000000"/>
            </w:tcBorders>
            <w:shd w:val="clear" w:color="auto" w:fill="CCEEFF"/>
            <w:tcMar>
              <w:top w:w="30" w:type="dxa"/>
              <w:left w:w="20" w:type="dxa"/>
              <w:bottom w:w="30" w:type="dxa"/>
              <w:right w:w="20" w:type="dxa"/>
            </w:tcMar>
            <w:vAlign w:val="center"/>
            <w:hideMark/>
          </w:tcPr>
          <w:p w14:paraId="66A0B402" w14:textId="77777777" w:rsidR="00000000" w:rsidRDefault="00405D16">
            <w:pPr>
              <w:spacing w:after="100"/>
              <w:rPr>
                <w:rFonts w:eastAsia="Times New Roman"/>
              </w:rPr>
            </w:pPr>
            <w:r>
              <w:rPr>
                <w:rFonts w:eastAsia="Times New Roman"/>
                <w:b/>
                <w:bCs/>
                <w:color w:val="000000"/>
                <w:sz w:val="16"/>
                <w:szCs w:val="16"/>
              </w:rPr>
              <w:t>Balance as of December 31, 2020</w:t>
            </w:r>
          </w:p>
        </w:tc>
        <w:tc>
          <w:tcPr>
            <w:tcW w:w="0" w:type="auto"/>
            <w:gridSpan w:val="3"/>
            <w:shd w:val="clear" w:color="auto" w:fill="CCEEFF"/>
            <w:tcMar>
              <w:top w:w="0" w:type="dxa"/>
              <w:left w:w="20" w:type="dxa"/>
              <w:bottom w:w="0" w:type="dxa"/>
              <w:right w:w="20" w:type="dxa"/>
            </w:tcMar>
            <w:vAlign w:val="center"/>
            <w:hideMark/>
          </w:tcPr>
          <w:p w14:paraId="3E26A8D6"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C27FA19" w14:textId="77777777" w:rsidR="00000000" w:rsidRDefault="00405D16">
            <w:pPr>
              <w:spacing w:after="100"/>
              <w:jc w:val="right"/>
              <w:rPr>
                <w:rFonts w:eastAsia="Times New Roman"/>
              </w:rPr>
            </w:pPr>
            <w:r>
              <w:rPr>
                <w:rFonts w:eastAsia="Times New Roman"/>
                <w:color w:val="000000"/>
                <w:sz w:val="16"/>
                <w:szCs w:val="16"/>
              </w:rPr>
              <w:t>4,975,000 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4B2818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20CA6C"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8028706"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402B955" w14:textId="77777777" w:rsidR="00000000" w:rsidRDefault="00405D16">
            <w:pPr>
              <w:spacing w:after="100"/>
              <w:jc w:val="right"/>
              <w:rPr>
                <w:rFonts w:eastAsia="Times New Roman"/>
              </w:rPr>
            </w:pPr>
            <w:r>
              <w:rPr>
                <w:rFonts w:eastAsia="Times New Roman"/>
                <w:color w:val="000000"/>
                <w:sz w:val="16"/>
                <w:szCs w:val="16"/>
              </w:rPr>
              <w:t>0 </w:t>
            </w:r>
          </w:p>
        </w:tc>
        <w:tc>
          <w:tcPr>
            <w:tcW w:w="0" w:type="auto"/>
            <w:gridSpan w:val="2"/>
            <w:tcBorders>
              <w:top w:val="single" w:sz="8" w:space="0" w:color="000000"/>
            </w:tcBorders>
            <w:shd w:val="clear" w:color="auto" w:fill="CCEEFF"/>
            <w:tcMar>
              <w:top w:w="30" w:type="dxa"/>
              <w:left w:w="0" w:type="dxa"/>
              <w:bottom w:w="30" w:type="dxa"/>
              <w:right w:w="20" w:type="dxa"/>
            </w:tcMar>
            <w:vAlign w:val="center"/>
            <w:hideMark/>
          </w:tcPr>
          <w:p w14:paraId="578CEF0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BA069A" w14:textId="77777777" w:rsidR="00000000" w:rsidRDefault="00405D16">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center"/>
            <w:hideMark/>
          </w:tcPr>
          <w:p w14:paraId="7F9C2AD7" w14:textId="77777777" w:rsidR="00000000" w:rsidRDefault="00405D16">
            <w:pPr>
              <w:spacing w:after="100"/>
              <w:jc w:val="right"/>
              <w:rPr>
                <w:rFonts w:eastAsia="Times New Roman"/>
              </w:rPr>
            </w:pPr>
            <w:r>
              <w:rPr>
                <w:rFonts w:eastAsia="Times New Roman"/>
                <w:color w:val="000000"/>
                <w:sz w:val="16"/>
                <w:szCs w:val="16"/>
              </w:rPr>
              <w:t>679,932,837 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52485B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29E6CB"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387A727"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6245FDA" w14:textId="77777777" w:rsidR="00000000" w:rsidRDefault="00405D16">
            <w:pPr>
              <w:spacing w:after="100"/>
              <w:jc w:val="right"/>
              <w:rPr>
                <w:rFonts w:eastAsia="Times New Roman"/>
              </w:rPr>
            </w:pPr>
            <w:r>
              <w:rPr>
                <w:rFonts w:eastAsia="Times New Roman"/>
                <w:color w:val="000000"/>
                <w:sz w:val="16"/>
                <w:szCs w:val="16"/>
              </w:rPr>
              <w:t>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C7E227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FDC54A"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B86846B"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292E33A" w14:textId="77777777" w:rsidR="00000000" w:rsidRDefault="00405D16">
            <w:pPr>
              <w:spacing w:after="100"/>
              <w:jc w:val="right"/>
              <w:rPr>
                <w:rFonts w:eastAsia="Times New Roman"/>
              </w:rPr>
            </w:pPr>
            <w:r>
              <w:rPr>
                <w:rFonts w:eastAsia="Times New Roman"/>
                <w:color w:val="000000"/>
                <w:sz w:val="16"/>
                <w:szCs w:val="16"/>
              </w:rPr>
              <w:t>33,480 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823E03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5C9383"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1940605" w14:textId="77777777" w:rsidR="00000000" w:rsidRDefault="00405D16">
            <w:pPr>
              <w:spacing w:after="100"/>
              <w:rPr>
                <w:rFonts w:eastAsia="Times New Roman"/>
              </w:rPr>
            </w:pPr>
            <w:r>
              <w:rPr>
                <w:rFonts w:eastAsia="Times New Roman"/>
                <w:color w:val="000000"/>
                <w:sz w:val="16"/>
                <w:szCs w:val="16"/>
              </w:rPr>
              <w:t>$</w:t>
            </w:r>
          </w:p>
        </w:tc>
        <w:tc>
          <w:tcPr>
            <w:tcW w:w="0" w:type="auto"/>
            <w:gridSpan w:val="3"/>
            <w:tcBorders>
              <w:top w:val="single" w:sz="8" w:space="0" w:color="000000"/>
            </w:tcBorders>
            <w:shd w:val="clear" w:color="auto" w:fill="CCEEFF"/>
            <w:tcMar>
              <w:top w:w="30" w:type="dxa"/>
              <w:left w:w="0" w:type="dxa"/>
              <w:bottom w:w="30" w:type="dxa"/>
              <w:right w:w="0" w:type="dxa"/>
            </w:tcMar>
            <w:vAlign w:val="center"/>
            <w:hideMark/>
          </w:tcPr>
          <w:p w14:paraId="66B7CA5A" w14:textId="77777777" w:rsidR="00000000" w:rsidRDefault="00405D16">
            <w:pPr>
              <w:spacing w:after="100"/>
              <w:jc w:val="right"/>
              <w:rPr>
                <w:rFonts w:eastAsia="Times New Roman"/>
              </w:rPr>
            </w:pPr>
            <w:r>
              <w:rPr>
                <w:rFonts w:eastAsia="Times New Roman"/>
                <w:color w:val="000000"/>
                <w:sz w:val="16"/>
                <w:szCs w:val="16"/>
              </w:rPr>
              <w:t>40,088 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3DAC50C"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6AC63BD7"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1F2A92E"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5513023" w14:textId="77777777" w:rsidR="00000000" w:rsidRDefault="00405D16">
            <w:pPr>
              <w:spacing w:after="100"/>
              <w:jc w:val="right"/>
              <w:rPr>
                <w:rFonts w:eastAsia="Times New Roman"/>
              </w:rPr>
            </w:pPr>
            <w:r>
              <w:rPr>
                <w:rFonts w:eastAsia="Times New Roman"/>
                <w:color w:val="000000"/>
                <w:sz w:val="16"/>
                <w:szCs w:val="16"/>
              </w:rPr>
              <w:t>3,494 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6B0942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310D36"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7D4B77E"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69045BF" w14:textId="77777777" w:rsidR="00000000" w:rsidRDefault="00405D16">
            <w:pPr>
              <w:spacing w:after="100"/>
              <w:jc w:val="right"/>
              <w:rPr>
                <w:rFonts w:eastAsia="Times New Roman"/>
              </w:rPr>
            </w:pPr>
            <w:r>
              <w:rPr>
                <w:rFonts w:eastAsia="Times New Roman"/>
                <w:color w:val="000000"/>
                <w:sz w:val="16"/>
                <w:szCs w:val="16"/>
              </w:rPr>
              <w:t>(16,865)</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7D09C9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13E510"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B473DA0" w14:textId="77777777" w:rsidR="00000000" w:rsidRDefault="00405D16">
            <w:pPr>
              <w:spacing w:after="100"/>
              <w:rPr>
                <w:rFonts w:eastAsia="Times New Roman"/>
              </w:rPr>
            </w:pPr>
            <w:r>
              <w:rPr>
                <w:rFonts w:eastAsia="Times New Roman"/>
                <w:color w:val="000000"/>
                <w:sz w:val="16"/>
                <w:szCs w:val="16"/>
              </w:rPr>
              <w:t>$</w:t>
            </w:r>
          </w:p>
        </w:tc>
        <w:tc>
          <w:tcPr>
            <w:tcW w:w="0" w:type="auto"/>
            <w:gridSpan w:val="3"/>
            <w:tcBorders>
              <w:top w:val="single" w:sz="8" w:space="0" w:color="000000"/>
            </w:tcBorders>
            <w:shd w:val="clear" w:color="auto" w:fill="CCEEFF"/>
            <w:tcMar>
              <w:top w:w="30" w:type="dxa"/>
              <w:left w:w="0" w:type="dxa"/>
              <w:bottom w:w="30" w:type="dxa"/>
              <w:right w:w="0" w:type="dxa"/>
            </w:tcMar>
            <w:vAlign w:val="center"/>
            <w:hideMark/>
          </w:tcPr>
          <w:p w14:paraId="57140069" w14:textId="77777777" w:rsidR="00000000" w:rsidRDefault="00405D16">
            <w:pPr>
              <w:spacing w:after="100"/>
              <w:jc w:val="right"/>
              <w:rPr>
                <w:rFonts w:eastAsia="Times New Roman"/>
              </w:rPr>
            </w:pPr>
            <w:r>
              <w:rPr>
                <w:rFonts w:eastAsia="Times New Roman"/>
                <w:color w:val="000000"/>
                <w:sz w:val="16"/>
                <w:szCs w:val="16"/>
              </w:rPr>
              <w:t>60,204 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5609B74" w14:textId="77777777" w:rsidR="00000000" w:rsidRDefault="00405D16">
            <w:pPr>
              <w:spacing w:after="100"/>
              <w:jc w:val="right"/>
              <w:rPr>
                <w:rFonts w:eastAsia="Times New Roman"/>
              </w:rPr>
            </w:pPr>
          </w:p>
        </w:tc>
      </w:tr>
      <w:tr w:rsidR="00000000" w14:paraId="7970AE16" w14:textId="77777777">
        <w:trPr>
          <w:divId w:val="553853218"/>
        </w:trPr>
        <w:tc>
          <w:tcPr>
            <w:tcW w:w="0" w:type="auto"/>
            <w:gridSpan w:val="4"/>
            <w:shd w:val="clear" w:color="auto" w:fill="FFFFFF"/>
            <w:tcMar>
              <w:top w:w="30" w:type="dxa"/>
              <w:left w:w="20" w:type="dxa"/>
              <w:bottom w:w="30" w:type="dxa"/>
              <w:right w:w="20" w:type="dxa"/>
            </w:tcMar>
            <w:vAlign w:val="center"/>
            <w:hideMark/>
          </w:tcPr>
          <w:p w14:paraId="527D8DC0" w14:textId="77777777" w:rsidR="00000000" w:rsidRDefault="00405D16">
            <w:pPr>
              <w:spacing w:after="100"/>
              <w:rPr>
                <w:rFonts w:eastAsia="Times New Roman"/>
              </w:rPr>
            </w:pPr>
            <w:r>
              <w:rPr>
                <w:rFonts w:eastAsia="Times New Roman"/>
                <w:color w:val="000000"/>
                <w:sz w:val="16"/>
                <w:szCs w:val="16"/>
              </w:rPr>
              <w:t>Comprehensive income (loss)</w:t>
            </w:r>
          </w:p>
        </w:tc>
        <w:tc>
          <w:tcPr>
            <w:tcW w:w="0" w:type="auto"/>
            <w:gridSpan w:val="3"/>
            <w:shd w:val="clear" w:color="auto" w:fill="FFFFFF"/>
            <w:tcMar>
              <w:top w:w="0" w:type="dxa"/>
              <w:left w:w="20" w:type="dxa"/>
              <w:bottom w:w="0" w:type="dxa"/>
              <w:right w:w="20" w:type="dxa"/>
            </w:tcMar>
            <w:vAlign w:val="center"/>
            <w:hideMark/>
          </w:tcPr>
          <w:p w14:paraId="35B3E853"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E48F5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5CF379" w14:textId="77777777" w:rsidR="00000000" w:rsidRDefault="00405D16">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30F5392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9D8E77" w14:textId="77777777" w:rsidR="00000000" w:rsidRDefault="00405D16">
            <w:pPr>
              <w:spacing w:after="100"/>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14:paraId="196F3F2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D67F6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E364A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98E4F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937A3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C5790F" w14:textId="77777777" w:rsidR="00000000" w:rsidRDefault="00405D16">
            <w:pPr>
              <w:spacing w:after="100"/>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14:paraId="4EC21AE0" w14:textId="77777777" w:rsidR="00000000" w:rsidRDefault="00405D16">
            <w:pPr>
              <w:spacing w:after="100"/>
              <w:jc w:val="right"/>
              <w:rPr>
                <w:rFonts w:eastAsia="Times New Roman"/>
              </w:rPr>
            </w:pPr>
            <w:r>
              <w:rPr>
                <w:rFonts w:eastAsia="Times New Roman"/>
                <w:color w:val="000000"/>
                <w:sz w:val="16"/>
                <w:szCs w:val="16"/>
              </w:rPr>
              <w:t>3,325 </w:t>
            </w:r>
          </w:p>
        </w:tc>
        <w:tc>
          <w:tcPr>
            <w:tcW w:w="0" w:type="auto"/>
            <w:shd w:val="clear" w:color="auto" w:fill="FFFFFF"/>
            <w:tcMar>
              <w:top w:w="30" w:type="dxa"/>
              <w:left w:w="0" w:type="dxa"/>
              <w:bottom w:w="30" w:type="dxa"/>
              <w:right w:w="20" w:type="dxa"/>
            </w:tcMar>
            <w:vAlign w:val="center"/>
            <w:hideMark/>
          </w:tcPr>
          <w:p w14:paraId="078DE8D5"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6A29E49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433F51C" w14:textId="77777777" w:rsidR="00000000" w:rsidRDefault="00405D16">
            <w:pPr>
              <w:spacing w:after="100"/>
              <w:jc w:val="right"/>
              <w:rPr>
                <w:rFonts w:eastAsia="Times New Roman"/>
              </w:rPr>
            </w:pPr>
            <w:r>
              <w:rPr>
                <w:rFonts w:eastAsia="Times New Roman"/>
                <w:color w:val="000000"/>
                <w:sz w:val="16"/>
                <w:szCs w:val="16"/>
              </w:rPr>
              <w:t>(1,711)</w:t>
            </w:r>
          </w:p>
        </w:tc>
        <w:tc>
          <w:tcPr>
            <w:tcW w:w="0" w:type="auto"/>
            <w:shd w:val="clear" w:color="auto" w:fill="FFFFFF"/>
            <w:tcMar>
              <w:top w:w="30" w:type="dxa"/>
              <w:left w:w="0" w:type="dxa"/>
              <w:bottom w:w="30" w:type="dxa"/>
              <w:right w:w="20" w:type="dxa"/>
            </w:tcMar>
            <w:vAlign w:val="center"/>
            <w:hideMark/>
          </w:tcPr>
          <w:p w14:paraId="384F151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E96FCB" w14:textId="77777777" w:rsidR="00000000" w:rsidRDefault="00405D1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72A76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8DAA8E" w14:textId="77777777" w:rsidR="00000000" w:rsidRDefault="00405D16">
            <w:pPr>
              <w:spacing w:after="100"/>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14:paraId="1CD4FF00" w14:textId="77777777" w:rsidR="00000000" w:rsidRDefault="00405D16">
            <w:pPr>
              <w:spacing w:after="100"/>
              <w:jc w:val="right"/>
              <w:rPr>
                <w:rFonts w:eastAsia="Times New Roman"/>
              </w:rPr>
            </w:pPr>
            <w:r>
              <w:rPr>
                <w:rFonts w:eastAsia="Times New Roman"/>
                <w:color w:val="000000"/>
                <w:sz w:val="16"/>
                <w:szCs w:val="16"/>
              </w:rPr>
              <w:t>1,614 </w:t>
            </w:r>
          </w:p>
        </w:tc>
        <w:tc>
          <w:tcPr>
            <w:tcW w:w="0" w:type="auto"/>
            <w:shd w:val="clear" w:color="auto" w:fill="FFFFFF"/>
            <w:tcMar>
              <w:top w:w="30" w:type="dxa"/>
              <w:left w:w="0" w:type="dxa"/>
              <w:bottom w:w="30" w:type="dxa"/>
              <w:right w:w="20" w:type="dxa"/>
            </w:tcMar>
            <w:vAlign w:val="center"/>
            <w:hideMark/>
          </w:tcPr>
          <w:p w14:paraId="32476EC1" w14:textId="77777777" w:rsidR="00000000" w:rsidRDefault="00405D16">
            <w:pPr>
              <w:spacing w:after="100"/>
              <w:jc w:val="right"/>
              <w:rPr>
                <w:rFonts w:eastAsia="Times New Roman"/>
              </w:rPr>
            </w:pPr>
          </w:p>
        </w:tc>
      </w:tr>
      <w:tr w:rsidR="00000000" w14:paraId="4A9782F1" w14:textId="77777777">
        <w:trPr>
          <w:divId w:val="553853218"/>
        </w:trPr>
        <w:tc>
          <w:tcPr>
            <w:tcW w:w="0" w:type="auto"/>
            <w:gridSpan w:val="4"/>
            <w:shd w:val="clear" w:color="auto" w:fill="CCEEFF"/>
            <w:tcMar>
              <w:top w:w="30" w:type="dxa"/>
              <w:left w:w="20" w:type="dxa"/>
              <w:bottom w:w="30" w:type="dxa"/>
              <w:right w:w="20" w:type="dxa"/>
            </w:tcMar>
            <w:vAlign w:val="center"/>
            <w:hideMark/>
          </w:tcPr>
          <w:p w14:paraId="72D3893C" w14:textId="77777777" w:rsidR="00000000" w:rsidRDefault="00405D16">
            <w:pPr>
              <w:spacing w:after="100"/>
              <w:divId w:val="230431576"/>
              <w:rPr>
                <w:rFonts w:eastAsia="Times New Roman"/>
              </w:rPr>
            </w:pPr>
            <w:r>
              <w:rPr>
                <w:rFonts w:eastAsia="Times New Roman"/>
                <w:color w:val="000000"/>
                <w:sz w:val="16"/>
                <w:szCs w:val="16"/>
              </w:rPr>
              <w:t>Dividends—common stoc</w:t>
            </w:r>
            <w:r>
              <w:rPr>
                <w:rFonts w:eastAsia="Times New Roman"/>
                <w:color w:val="000000"/>
                <w:sz w:val="16"/>
                <w:szCs w:val="16"/>
              </w:rPr>
              <w:t>k</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CCEEFF"/>
            <w:tcMar>
              <w:top w:w="0" w:type="dxa"/>
              <w:left w:w="20" w:type="dxa"/>
              <w:bottom w:w="0" w:type="dxa"/>
              <w:right w:w="20" w:type="dxa"/>
            </w:tcMar>
            <w:vAlign w:val="center"/>
            <w:hideMark/>
          </w:tcPr>
          <w:p w14:paraId="3844BDC1"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3071C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8A9367"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6845864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3DEE12" w14:textId="77777777" w:rsidR="00000000" w:rsidRDefault="00405D16">
            <w:pPr>
              <w:spacing w:after="100"/>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14:paraId="38E307EC" w14:textId="77777777" w:rsidR="00000000" w:rsidRDefault="00405D16">
            <w:pPr>
              <w:spacing w:after="100"/>
              <w:jc w:val="right"/>
              <w:rPr>
                <w:rFonts w:eastAsia="Times New Roman"/>
              </w:rPr>
            </w:pPr>
            <w:r>
              <w:rPr>
                <w:rFonts w:eastAsia="Times New Roman"/>
                <w:color w:val="000000"/>
                <w:sz w:val="16"/>
                <w:szCs w:val="16"/>
              </w:rPr>
              <w:t>13,356 </w:t>
            </w:r>
          </w:p>
        </w:tc>
        <w:tc>
          <w:tcPr>
            <w:tcW w:w="0" w:type="auto"/>
            <w:shd w:val="clear" w:color="auto" w:fill="CCEEFF"/>
            <w:tcMar>
              <w:top w:w="30" w:type="dxa"/>
              <w:left w:w="0" w:type="dxa"/>
              <w:bottom w:w="30" w:type="dxa"/>
              <w:right w:w="20" w:type="dxa"/>
            </w:tcMar>
            <w:vAlign w:val="center"/>
            <w:hideMark/>
          </w:tcPr>
          <w:p w14:paraId="78B3CB5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8CA3F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27A3E93" w14:textId="77777777" w:rsidR="00000000" w:rsidRDefault="00405D16">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14:paraId="66BF681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0825C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B9DEF5A" w14:textId="77777777" w:rsidR="00000000" w:rsidRDefault="00405D16">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center"/>
            <w:hideMark/>
          </w:tcPr>
          <w:p w14:paraId="04F4220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CACB60" w14:textId="77777777" w:rsidR="00000000" w:rsidRDefault="00405D16">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14:paraId="12E8F161" w14:textId="77777777" w:rsidR="00000000" w:rsidRDefault="00405D16">
            <w:pPr>
              <w:spacing w:after="100"/>
              <w:jc w:val="right"/>
              <w:rPr>
                <w:rFonts w:eastAsia="Times New Roman"/>
              </w:rPr>
            </w:pPr>
            <w:r>
              <w:rPr>
                <w:rFonts w:eastAsia="Times New Roman"/>
                <w:color w:val="000000"/>
                <w:sz w:val="16"/>
                <w:szCs w:val="16"/>
              </w:rPr>
              <w:t>(185)</w:t>
            </w:r>
          </w:p>
        </w:tc>
        <w:tc>
          <w:tcPr>
            <w:tcW w:w="0" w:type="auto"/>
            <w:shd w:val="clear" w:color="auto" w:fill="CCEEFF"/>
            <w:tcMar>
              <w:top w:w="30" w:type="dxa"/>
              <w:left w:w="0" w:type="dxa"/>
              <w:bottom w:w="30" w:type="dxa"/>
              <w:right w:w="20" w:type="dxa"/>
            </w:tcMar>
            <w:vAlign w:val="center"/>
            <w:hideMark/>
          </w:tcPr>
          <w:p w14:paraId="0D80BF01"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1F2C35A6" w14:textId="77777777" w:rsidR="00000000" w:rsidRDefault="00405D1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12E23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7C572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29506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FE97AD" w14:textId="77777777" w:rsidR="00000000" w:rsidRDefault="00405D16">
            <w:pPr>
              <w:spacing w:after="100"/>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14:paraId="6F0D7EEB" w14:textId="77777777" w:rsidR="00000000" w:rsidRDefault="00405D16">
            <w:pPr>
              <w:spacing w:after="100"/>
              <w:jc w:val="right"/>
              <w:rPr>
                <w:rFonts w:eastAsia="Times New Roman"/>
              </w:rPr>
            </w:pPr>
            <w:r>
              <w:rPr>
                <w:rFonts w:eastAsia="Times New Roman"/>
                <w:color w:val="000000"/>
                <w:sz w:val="16"/>
                <w:szCs w:val="16"/>
              </w:rPr>
              <w:t>(184)</w:t>
            </w:r>
          </w:p>
        </w:tc>
        <w:tc>
          <w:tcPr>
            <w:tcW w:w="0" w:type="auto"/>
            <w:shd w:val="clear" w:color="auto" w:fill="CCEEFF"/>
            <w:tcMar>
              <w:top w:w="30" w:type="dxa"/>
              <w:left w:w="0" w:type="dxa"/>
              <w:bottom w:w="30" w:type="dxa"/>
              <w:right w:w="20" w:type="dxa"/>
            </w:tcMar>
            <w:vAlign w:val="center"/>
            <w:hideMark/>
          </w:tcPr>
          <w:p w14:paraId="73CAEA9D" w14:textId="77777777" w:rsidR="00000000" w:rsidRDefault="00405D16">
            <w:pPr>
              <w:spacing w:after="100"/>
              <w:jc w:val="right"/>
              <w:rPr>
                <w:rFonts w:eastAsia="Times New Roman"/>
              </w:rPr>
            </w:pPr>
          </w:p>
        </w:tc>
      </w:tr>
      <w:tr w:rsidR="00000000" w14:paraId="4BDC5214" w14:textId="77777777">
        <w:trPr>
          <w:divId w:val="553853218"/>
        </w:trPr>
        <w:tc>
          <w:tcPr>
            <w:tcW w:w="0" w:type="auto"/>
            <w:gridSpan w:val="4"/>
            <w:shd w:val="clear" w:color="auto" w:fill="FFFFFF"/>
            <w:tcMar>
              <w:top w:w="30" w:type="dxa"/>
              <w:left w:w="20" w:type="dxa"/>
              <w:bottom w:w="30" w:type="dxa"/>
              <w:right w:w="20" w:type="dxa"/>
            </w:tcMar>
            <w:vAlign w:val="center"/>
            <w:hideMark/>
          </w:tcPr>
          <w:p w14:paraId="318745C6" w14:textId="77777777" w:rsidR="00000000" w:rsidRDefault="00405D16">
            <w:pPr>
              <w:spacing w:after="100"/>
              <w:rPr>
                <w:rFonts w:eastAsia="Times New Roman"/>
              </w:rPr>
            </w:pPr>
            <w:r>
              <w:rPr>
                <w:rFonts w:eastAsia="Times New Roman"/>
                <w:color w:val="000000"/>
                <w:sz w:val="16"/>
                <w:szCs w:val="16"/>
              </w:rPr>
              <w:t>Dividends—preferred stock</w:t>
            </w:r>
          </w:p>
        </w:tc>
        <w:tc>
          <w:tcPr>
            <w:tcW w:w="0" w:type="auto"/>
            <w:gridSpan w:val="3"/>
            <w:shd w:val="clear" w:color="auto" w:fill="FFFFFF"/>
            <w:tcMar>
              <w:top w:w="0" w:type="dxa"/>
              <w:left w:w="20" w:type="dxa"/>
              <w:bottom w:w="0" w:type="dxa"/>
              <w:right w:w="20" w:type="dxa"/>
            </w:tcMar>
            <w:vAlign w:val="center"/>
            <w:hideMark/>
          </w:tcPr>
          <w:p w14:paraId="2D8C77D3"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DDAAA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E889B4" w14:textId="77777777" w:rsidR="00000000" w:rsidRDefault="00405D16">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3DF7B1B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694099" w14:textId="77777777" w:rsidR="00000000" w:rsidRDefault="00405D16">
            <w:pPr>
              <w:spacing w:after="100"/>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14:paraId="7AE0113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021AF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D14C6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6DAB2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4B7C9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F67D26" w14:textId="77777777" w:rsidR="00000000" w:rsidRDefault="00405D16">
            <w:pPr>
              <w:spacing w:after="100"/>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14:paraId="072BF6AC" w14:textId="77777777" w:rsidR="00000000" w:rsidRDefault="00405D16">
            <w:pPr>
              <w:spacing w:after="100"/>
              <w:jc w:val="right"/>
              <w:rPr>
                <w:rFonts w:eastAsia="Times New Roman"/>
              </w:rPr>
            </w:pPr>
            <w:r>
              <w:rPr>
                <w:rFonts w:eastAsia="Times New Roman"/>
                <w:color w:val="000000"/>
                <w:sz w:val="16"/>
                <w:szCs w:val="16"/>
              </w:rPr>
              <w:t>(61)</w:t>
            </w:r>
          </w:p>
        </w:tc>
        <w:tc>
          <w:tcPr>
            <w:tcW w:w="0" w:type="auto"/>
            <w:shd w:val="clear" w:color="auto" w:fill="FFFFFF"/>
            <w:tcMar>
              <w:top w:w="30" w:type="dxa"/>
              <w:left w:w="0" w:type="dxa"/>
              <w:bottom w:w="30" w:type="dxa"/>
              <w:right w:w="20" w:type="dxa"/>
            </w:tcMar>
            <w:vAlign w:val="center"/>
            <w:hideMark/>
          </w:tcPr>
          <w:p w14:paraId="3CA2CC1F"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4C7D9E79" w14:textId="77777777" w:rsidR="00000000" w:rsidRDefault="00405D1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35604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BC235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A5AC3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CD4088" w14:textId="77777777" w:rsidR="00000000" w:rsidRDefault="00405D16">
            <w:pPr>
              <w:spacing w:after="100"/>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14:paraId="2B3166DE" w14:textId="77777777" w:rsidR="00000000" w:rsidRDefault="00405D16">
            <w:pPr>
              <w:spacing w:after="100"/>
              <w:jc w:val="right"/>
              <w:rPr>
                <w:rFonts w:eastAsia="Times New Roman"/>
              </w:rPr>
            </w:pPr>
            <w:r>
              <w:rPr>
                <w:rFonts w:eastAsia="Times New Roman"/>
                <w:color w:val="000000"/>
                <w:sz w:val="16"/>
                <w:szCs w:val="16"/>
              </w:rPr>
              <w:t>(61)</w:t>
            </w:r>
          </w:p>
        </w:tc>
        <w:tc>
          <w:tcPr>
            <w:tcW w:w="0" w:type="auto"/>
            <w:shd w:val="clear" w:color="auto" w:fill="FFFFFF"/>
            <w:tcMar>
              <w:top w:w="30" w:type="dxa"/>
              <w:left w:w="0" w:type="dxa"/>
              <w:bottom w:w="30" w:type="dxa"/>
              <w:right w:w="20" w:type="dxa"/>
            </w:tcMar>
            <w:vAlign w:val="center"/>
            <w:hideMark/>
          </w:tcPr>
          <w:p w14:paraId="214414BD" w14:textId="77777777" w:rsidR="00000000" w:rsidRDefault="00405D16">
            <w:pPr>
              <w:spacing w:after="100"/>
              <w:jc w:val="right"/>
              <w:rPr>
                <w:rFonts w:eastAsia="Times New Roman"/>
              </w:rPr>
            </w:pPr>
          </w:p>
        </w:tc>
      </w:tr>
      <w:tr w:rsidR="00000000" w14:paraId="020483C5" w14:textId="77777777">
        <w:trPr>
          <w:divId w:val="553853218"/>
        </w:trPr>
        <w:tc>
          <w:tcPr>
            <w:tcW w:w="0" w:type="auto"/>
            <w:gridSpan w:val="4"/>
            <w:shd w:val="clear" w:color="auto" w:fill="CCEEFF"/>
            <w:tcMar>
              <w:top w:w="30" w:type="dxa"/>
              <w:left w:w="20" w:type="dxa"/>
              <w:bottom w:w="30" w:type="dxa"/>
              <w:right w:w="20" w:type="dxa"/>
            </w:tcMar>
            <w:vAlign w:val="center"/>
            <w:hideMark/>
          </w:tcPr>
          <w:p w14:paraId="5E45A4AD" w14:textId="77777777" w:rsidR="00000000" w:rsidRDefault="00405D16">
            <w:pPr>
              <w:spacing w:after="100"/>
              <w:rPr>
                <w:rFonts w:eastAsia="Times New Roman"/>
              </w:rPr>
            </w:pPr>
            <w:r>
              <w:rPr>
                <w:rFonts w:eastAsia="Times New Roman"/>
                <w:color w:val="000000"/>
                <w:sz w:val="16"/>
                <w:szCs w:val="16"/>
              </w:rPr>
              <w:t>Purchases of treasury stock</w:t>
            </w:r>
          </w:p>
        </w:tc>
        <w:tc>
          <w:tcPr>
            <w:tcW w:w="0" w:type="auto"/>
            <w:gridSpan w:val="3"/>
            <w:shd w:val="clear" w:color="auto" w:fill="CCEEFF"/>
            <w:tcMar>
              <w:top w:w="0" w:type="dxa"/>
              <w:left w:w="20" w:type="dxa"/>
              <w:bottom w:w="0" w:type="dxa"/>
              <w:right w:w="20" w:type="dxa"/>
            </w:tcMar>
            <w:vAlign w:val="center"/>
            <w:hideMark/>
          </w:tcPr>
          <w:p w14:paraId="30CB71C4"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D83BC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7A1764"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1FDFFF7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594609" w14:textId="77777777" w:rsidR="00000000" w:rsidRDefault="00405D16">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4EE0A92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C5132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7CB9E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F49AA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DCBF8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AC3186" w14:textId="77777777" w:rsidR="00000000" w:rsidRDefault="00405D16">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56F4C436"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07181FF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8FF49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A824B9"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1958015" w14:textId="77777777" w:rsidR="00000000" w:rsidRDefault="00405D16">
            <w:pPr>
              <w:spacing w:after="100"/>
              <w:jc w:val="right"/>
              <w:rPr>
                <w:rFonts w:eastAsia="Times New Roman"/>
              </w:rPr>
            </w:pPr>
            <w:r>
              <w:rPr>
                <w:rFonts w:eastAsia="Times New Roman"/>
                <w:color w:val="000000"/>
                <w:sz w:val="16"/>
                <w:szCs w:val="16"/>
              </w:rPr>
              <w:t>(575)</w:t>
            </w:r>
          </w:p>
        </w:tc>
        <w:tc>
          <w:tcPr>
            <w:tcW w:w="0" w:type="auto"/>
            <w:shd w:val="clear" w:color="auto" w:fill="CCEEFF"/>
            <w:tcMar>
              <w:top w:w="30" w:type="dxa"/>
              <w:left w:w="0" w:type="dxa"/>
              <w:bottom w:w="30" w:type="dxa"/>
              <w:right w:w="20" w:type="dxa"/>
            </w:tcMar>
            <w:vAlign w:val="center"/>
            <w:hideMark/>
          </w:tcPr>
          <w:p w14:paraId="1F5F8C4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957A27" w14:textId="77777777" w:rsidR="00000000" w:rsidRDefault="00405D16">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14:paraId="147BF566" w14:textId="77777777" w:rsidR="00000000" w:rsidRDefault="00405D16">
            <w:pPr>
              <w:spacing w:after="100"/>
              <w:jc w:val="right"/>
              <w:rPr>
                <w:rFonts w:eastAsia="Times New Roman"/>
              </w:rPr>
            </w:pPr>
            <w:r>
              <w:rPr>
                <w:rFonts w:eastAsia="Times New Roman"/>
                <w:color w:val="000000"/>
                <w:sz w:val="16"/>
                <w:szCs w:val="16"/>
              </w:rPr>
              <w:t>(575)</w:t>
            </w:r>
          </w:p>
        </w:tc>
        <w:tc>
          <w:tcPr>
            <w:tcW w:w="0" w:type="auto"/>
            <w:shd w:val="clear" w:color="auto" w:fill="CCEEFF"/>
            <w:tcMar>
              <w:top w:w="30" w:type="dxa"/>
              <w:left w:w="0" w:type="dxa"/>
              <w:bottom w:w="30" w:type="dxa"/>
              <w:right w:w="20" w:type="dxa"/>
            </w:tcMar>
            <w:vAlign w:val="center"/>
            <w:hideMark/>
          </w:tcPr>
          <w:p w14:paraId="72820B9D" w14:textId="77777777" w:rsidR="00000000" w:rsidRDefault="00405D16">
            <w:pPr>
              <w:spacing w:after="100"/>
              <w:jc w:val="right"/>
              <w:rPr>
                <w:rFonts w:eastAsia="Times New Roman"/>
              </w:rPr>
            </w:pPr>
          </w:p>
        </w:tc>
      </w:tr>
      <w:tr w:rsidR="00000000" w14:paraId="55CEC4A3" w14:textId="77777777">
        <w:trPr>
          <w:divId w:val="553853218"/>
        </w:trPr>
        <w:tc>
          <w:tcPr>
            <w:tcW w:w="0" w:type="auto"/>
            <w:gridSpan w:val="4"/>
            <w:shd w:val="clear" w:color="auto" w:fill="FFFFFF"/>
            <w:tcMar>
              <w:top w:w="30" w:type="dxa"/>
              <w:left w:w="20" w:type="dxa"/>
              <w:bottom w:w="30" w:type="dxa"/>
              <w:right w:w="20" w:type="dxa"/>
            </w:tcMar>
            <w:vAlign w:val="center"/>
            <w:hideMark/>
          </w:tcPr>
          <w:p w14:paraId="023FC841" w14:textId="77777777" w:rsidR="00000000" w:rsidRDefault="00405D16">
            <w:pPr>
              <w:spacing w:after="100"/>
              <w:rPr>
                <w:rFonts w:eastAsia="Times New Roman"/>
              </w:rPr>
            </w:pPr>
            <w:r>
              <w:rPr>
                <w:rFonts w:eastAsia="Times New Roman"/>
                <w:color w:val="000000"/>
                <w:sz w:val="16"/>
                <w:szCs w:val="16"/>
              </w:rPr>
              <w:t>Issuances of common stock and restricted stock, net of forfeitures</w:t>
            </w:r>
          </w:p>
        </w:tc>
        <w:tc>
          <w:tcPr>
            <w:tcW w:w="0" w:type="auto"/>
            <w:gridSpan w:val="3"/>
            <w:shd w:val="clear" w:color="auto" w:fill="FFFFFF"/>
            <w:tcMar>
              <w:top w:w="0" w:type="dxa"/>
              <w:left w:w="20" w:type="dxa"/>
              <w:bottom w:w="0" w:type="dxa"/>
              <w:right w:w="20" w:type="dxa"/>
            </w:tcMar>
            <w:vAlign w:val="center"/>
            <w:hideMark/>
          </w:tcPr>
          <w:p w14:paraId="63F2151E"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2116E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779904" w14:textId="77777777" w:rsidR="00000000" w:rsidRDefault="00405D16">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3836222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C8AA4E" w14:textId="77777777" w:rsidR="00000000" w:rsidRDefault="00405D16">
            <w:pPr>
              <w:spacing w:after="100"/>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14:paraId="203A230B" w14:textId="77777777" w:rsidR="00000000" w:rsidRDefault="00405D16">
            <w:pPr>
              <w:spacing w:after="100"/>
              <w:jc w:val="right"/>
              <w:rPr>
                <w:rFonts w:eastAsia="Times New Roman"/>
              </w:rPr>
            </w:pPr>
            <w:r>
              <w:rPr>
                <w:rFonts w:eastAsia="Times New Roman"/>
                <w:color w:val="000000"/>
                <w:sz w:val="16"/>
                <w:szCs w:val="16"/>
              </w:rPr>
              <w:t>2,531,966 </w:t>
            </w:r>
          </w:p>
        </w:tc>
        <w:tc>
          <w:tcPr>
            <w:tcW w:w="0" w:type="auto"/>
            <w:shd w:val="clear" w:color="auto" w:fill="FFFFFF"/>
            <w:tcMar>
              <w:top w:w="30" w:type="dxa"/>
              <w:left w:w="0" w:type="dxa"/>
              <w:bottom w:w="30" w:type="dxa"/>
              <w:right w:w="20" w:type="dxa"/>
            </w:tcMar>
            <w:vAlign w:val="bottom"/>
            <w:hideMark/>
          </w:tcPr>
          <w:p w14:paraId="715F130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697F3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42E129" w14:textId="77777777" w:rsidR="00000000" w:rsidRDefault="00405D16">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14:paraId="01C4BCD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8E0B0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49F3D9" w14:textId="77777777" w:rsidR="00000000" w:rsidRDefault="00405D16">
            <w:pPr>
              <w:spacing w:after="100"/>
              <w:jc w:val="right"/>
              <w:rPr>
                <w:rFonts w:eastAsia="Times New Roman"/>
              </w:rPr>
            </w:pPr>
            <w:r>
              <w:rPr>
                <w:rFonts w:eastAsia="Times New Roman"/>
                <w:color w:val="000000"/>
                <w:sz w:val="16"/>
                <w:szCs w:val="16"/>
              </w:rPr>
              <w:t>60 </w:t>
            </w:r>
          </w:p>
        </w:tc>
        <w:tc>
          <w:tcPr>
            <w:tcW w:w="0" w:type="auto"/>
            <w:shd w:val="clear" w:color="auto" w:fill="FFFFFF"/>
            <w:tcMar>
              <w:top w:w="30" w:type="dxa"/>
              <w:left w:w="0" w:type="dxa"/>
              <w:bottom w:w="30" w:type="dxa"/>
              <w:right w:w="20" w:type="dxa"/>
            </w:tcMar>
            <w:vAlign w:val="bottom"/>
            <w:hideMark/>
          </w:tcPr>
          <w:p w14:paraId="4F1C906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DC2DE3" w14:textId="77777777" w:rsidR="00000000" w:rsidRDefault="00405D16">
            <w:pPr>
              <w:spacing w:after="100"/>
              <w:jc w:val="right"/>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14:paraId="3AD923F9" w14:textId="77777777" w:rsidR="00000000" w:rsidRDefault="00405D16">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3745DE6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70D754"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016BD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91CA2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06025A" w14:textId="77777777" w:rsidR="00000000" w:rsidRDefault="00405D16">
            <w:pPr>
              <w:spacing w:after="100"/>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14:paraId="40952703" w14:textId="77777777" w:rsidR="00000000" w:rsidRDefault="00405D16">
            <w:pPr>
              <w:spacing w:after="100"/>
              <w:jc w:val="right"/>
              <w:rPr>
                <w:rFonts w:eastAsia="Times New Roman"/>
              </w:rPr>
            </w:pPr>
            <w:r>
              <w:rPr>
                <w:rFonts w:eastAsia="Times New Roman"/>
                <w:color w:val="000000"/>
                <w:sz w:val="16"/>
                <w:szCs w:val="16"/>
              </w:rPr>
              <w:t>60 </w:t>
            </w:r>
          </w:p>
        </w:tc>
        <w:tc>
          <w:tcPr>
            <w:tcW w:w="0" w:type="auto"/>
            <w:shd w:val="clear" w:color="auto" w:fill="FFFFFF"/>
            <w:tcMar>
              <w:top w:w="30" w:type="dxa"/>
              <w:left w:w="0" w:type="dxa"/>
              <w:bottom w:w="30" w:type="dxa"/>
              <w:right w:w="20" w:type="dxa"/>
            </w:tcMar>
            <w:vAlign w:val="bottom"/>
            <w:hideMark/>
          </w:tcPr>
          <w:p w14:paraId="350682A5" w14:textId="77777777" w:rsidR="00000000" w:rsidRDefault="00405D16">
            <w:pPr>
              <w:spacing w:after="100"/>
              <w:jc w:val="right"/>
              <w:rPr>
                <w:rFonts w:eastAsia="Times New Roman"/>
              </w:rPr>
            </w:pPr>
          </w:p>
        </w:tc>
      </w:tr>
      <w:tr w:rsidR="00000000" w14:paraId="43081018" w14:textId="77777777">
        <w:trPr>
          <w:divId w:val="553853218"/>
        </w:trPr>
        <w:tc>
          <w:tcPr>
            <w:tcW w:w="0" w:type="auto"/>
            <w:gridSpan w:val="4"/>
            <w:shd w:val="clear" w:color="auto" w:fill="CCEEFF"/>
            <w:tcMar>
              <w:top w:w="30" w:type="dxa"/>
              <w:left w:w="20" w:type="dxa"/>
              <w:bottom w:w="30" w:type="dxa"/>
              <w:right w:w="20" w:type="dxa"/>
            </w:tcMar>
            <w:vAlign w:val="center"/>
            <w:hideMark/>
          </w:tcPr>
          <w:p w14:paraId="785A931A" w14:textId="77777777" w:rsidR="00000000" w:rsidRDefault="00405D16">
            <w:pPr>
              <w:spacing w:after="100"/>
              <w:rPr>
                <w:rFonts w:eastAsia="Times New Roman"/>
              </w:rPr>
            </w:pPr>
            <w:r>
              <w:rPr>
                <w:rFonts w:eastAsia="Times New Roman"/>
                <w:color w:val="000000"/>
                <w:sz w:val="16"/>
                <w:szCs w:val="16"/>
              </w:rPr>
              <w:t>Exercises of stock options</w:t>
            </w:r>
          </w:p>
        </w:tc>
        <w:tc>
          <w:tcPr>
            <w:tcW w:w="0" w:type="auto"/>
            <w:gridSpan w:val="3"/>
            <w:shd w:val="clear" w:color="auto" w:fill="CCEEFF"/>
            <w:tcMar>
              <w:top w:w="0" w:type="dxa"/>
              <w:left w:w="20" w:type="dxa"/>
              <w:bottom w:w="0" w:type="dxa"/>
              <w:right w:w="20" w:type="dxa"/>
            </w:tcMar>
            <w:vAlign w:val="center"/>
            <w:hideMark/>
          </w:tcPr>
          <w:p w14:paraId="45CA503F"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7547D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5203D6"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4069DE9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8E1DE1" w14:textId="77777777" w:rsidR="00000000" w:rsidRDefault="00405D16">
            <w:pPr>
              <w:spacing w:after="100"/>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14:paraId="3F1D0958" w14:textId="77777777" w:rsidR="00000000" w:rsidRDefault="00405D16">
            <w:pPr>
              <w:spacing w:after="100"/>
              <w:jc w:val="right"/>
              <w:rPr>
                <w:rFonts w:eastAsia="Times New Roman"/>
              </w:rPr>
            </w:pPr>
            <w:r>
              <w:rPr>
                <w:rFonts w:eastAsia="Times New Roman"/>
                <w:color w:val="000000"/>
                <w:sz w:val="16"/>
                <w:szCs w:val="16"/>
              </w:rPr>
              <w:t>283,398 </w:t>
            </w:r>
          </w:p>
        </w:tc>
        <w:tc>
          <w:tcPr>
            <w:tcW w:w="0" w:type="auto"/>
            <w:shd w:val="clear" w:color="auto" w:fill="CCEEFF"/>
            <w:tcMar>
              <w:top w:w="30" w:type="dxa"/>
              <w:left w:w="0" w:type="dxa"/>
              <w:bottom w:w="30" w:type="dxa"/>
              <w:right w:w="20" w:type="dxa"/>
            </w:tcMar>
            <w:vAlign w:val="center"/>
            <w:hideMark/>
          </w:tcPr>
          <w:p w14:paraId="57FC4F2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768C3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FEE51DB" w14:textId="77777777" w:rsidR="00000000" w:rsidRDefault="00405D16">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14:paraId="64C70EA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8A238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5823D2D" w14:textId="77777777" w:rsidR="00000000" w:rsidRDefault="00405D16">
            <w:pPr>
              <w:spacing w:after="100"/>
              <w:jc w:val="right"/>
              <w:rPr>
                <w:rFonts w:eastAsia="Times New Roman"/>
              </w:rPr>
            </w:pPr>
            <w:r>
              <w:rPr>
                <w:rFonts w:eastAsia="Times New Roman"/>
                <w:color w:val="000000"/>
                <w:sz w:val="16"/>
                <w:szCs w:val="16"/>
              </w:rPr>
              <w:t>19 </w:t>
            </w:r>
          </w:p>
        </w:tc>
        <w:tc>
          <w:tcPr>
            <w:tcW w:w="0" w:type="auto"/>
            <w:shd w:val="clear" w:color="auto" w:fill="CCEEFF"/>
            <w:tcMar>
              <w:top w:w="30" w:type="dxa"/>
              <w:left w:w="0" w:type="dxa"/>
              <w:bottom w:w="30" w:type="dxa"/>
              <w:right w:w="20" w:type="dxa"/>
            </w:tcMar>
            <w:vAlign w:val="center"/>
            <w:hideMark/>
          </w:tcPr>
          <w:p w14:paraId="1071AB3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C2E600" w14:textId="77777777" w:rsidR="00000000" w:rsidRDefault="00405D16">
            <w:pPr>
              <w:spacing w:after="100"/>
              <w:jc w:val="right"/>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16FE799A"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3B8BB62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D6D7C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207AD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15F8C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F4CBBF" w14:textId="77777777" w:rsidR="00000000" w:rsidRDefault="00405D16">
            <w:pPr>
              <w:spacing w:after="100"/>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14:paraId="46392ABD" w14:textId="77777777" w:rsidR="00000000" w:rsidRDefault="00405D16">
            <w:pPr>
              <w:spacing w:after="100"/>
              <w:jc w:val="right"/>
              <w:rPr>
                <w:rFonts w:eastAsia="Times New Roman"/>
              </w:rPr>
            </w:pPr>
            <w:r>
              <w:rPr>
                <w:rFonts w:eastAsia="Times New Roman"/>
                <w:color w:val="000000"/>
                <w:sz w:val="16"/>
                <w:szCs w:val="16"/>
              </w:rPr>
              <w:t>19 </w:t>
            </w:r>
          </w:p>
        </w:tc>
        <w:tc>
          <w:tcPr>
            <w:tcW w:w="0" w:type="auto"/>
            <w:shd w:val="clear" w:color="auto" w:fill="CCEEFF"/>
            <w:tcMar>
              <w:top w:w="30" w:type="dxa"/>
              <w:left w:w="0" w:type="dxa"/>
              <w:bottom w:w="30" w:type="dxa"/>
              <w:right w:w="20" w:type="dxa"/>
            </w:tcMar>
            <w:vAlign w:val="center"/>
            <w:hideMark/>
          </w:tcPr>
          <w:p w14:paraId="1A297206" w14:textId="77777777" w:rsidR="00000000" w:rsidRDefault="00405D16">
            <w:pPr>
              <w:spacing w:after="100"/>
              <w:jc w:val="right"/>
              <w:rPr>
                <w:rFonts w:eastAsia="Times New Roman"/>
              </w:rPr>
            </w:pPr>
          </w:p>
        </w:tc>
      </w:tr>
      <w:tr w:rsidR="00000000" w14:paraId="65315B23" w14:textId="77777777">
        <w:trPr>
          <w:divId w:val="553853218"/>
        </w:trPr>
        <w:tc>
          <w:tcPr>
            <w:tcW w:w="0" w:type="auto"/>
            <w:gridSpan w:val="4"/>
            <w:shd w:val="clear" w:color="auto" w:fill="FFFFFF"/>
            <w:tcMar>
              <w:top w:w="30" w:type="dxa"/>
              <w:left w:w="20" w:type="dxa"/>
              <w:bottom w:w="30" w:type="dxa"/>
              <w:right w:w="20" w:type="dxa"/>
            </w:tcMar>
            <w:vAlign w:val="center"/>
            <w:hideMark/>
          </w:tcPr>
          <w:p w14:paraId="275E403D" w14:textId="77777777" w:rsidR="00000000" w:rsidRDefault="00405D16">
            <w:pPr>
              <w:spacing w:after="100"/>
              <w:rPr>
                <w:rFonts w:eastAsia="Times New Roman"/>
              </w:rPr>
            </w:pPr>
            <w:r>
              <w:rPr>
                <w:rFonts w:eastAsia="Times New Roman"/>
                <w:color w:val="000000"/>
                <w:sz w:val="16"/>
                <w:szCs w:val="16"/>
              </w:rPr>
              <w:t xml:space="preserve">Compensation expense for restricted stock units </w:t>
            </w:r>
          </w:p>
        </w:tc>
        <w:tc>
          <w:tcPr>
            <w:tcW w:w="0" w:type="auto"/>
            <w:gridSpan w:val="3"/>
            <w:shd w:val="clear" w:color="auto" w:fill="FFFFFF"/>
            <w:tcMar>
              <w:top w:w="0" w:type="dxa"/>
              <w:left w:w="20" w:type="dxa"/>
              <w:bottom w:w="0" w:type="dxa"/>
              <w:right w:w="20" w:type="dxa"/>
            </w:tcMar>
            <w:vAlign w:val="center"/>
            <w:hideMark/>
          </w:tcPr>
          <w:p w14:paraId="65D31DA1"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248F8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A38A1B" w14:textId="77777777" w:rsidR="00000000" w:rsidRDefault="00405D16">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64F61A14"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535D29" w14:textId="77777777" w:rsidR="00000000" w:rsidRDefault="00405D16">
            <w:pPr>
              <w:spacing w:after="100"/>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14:paraId="2929DD5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1C23B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934BF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D73CAB"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3F4D73" w14:textId="77777777" w:rsidR="00000000" w:rsidRDefault="00405D16">
            <w:pPr>
              <w:spacing w:after="100"/>
              <w:jc w:val="right"/>
              <w:rPr>
                <w:rFonts w:eastAsia="Times New Roman"/>
              </w:rPr>
            </w:pPr>
            <w:r>
              <w:rPr>
                <w:rFonts w:eastAsia="Times New Roman"/>
                <w:color w:val="000000"/>
                <w:sz w:val="16"/>
                <w:szCs w:val="16"/>
              </w:rPr>
              <w:t>111 </w:t>
            </w:r>
          </w:p>
        </w:tc>
        <w:tc>
          <w:tcPr>
            <w:tcW w:w="0" w:type="auto"/>
            <w:shd w:val="clear" w:color="auto" w:fill="FFFFFF"/>
            <w:tcMar>
              <w:top w:w="30" w:type="dxa"/>
              <w:left w:w="0" w:type="dxa"/>
              <w:bottom w:w="30" w:type="dxa"/>
              <w:right w:w="20" w:type="dxa"/>
            </w:tcMar>
            <w:vAlign w:val="bottom"/>
            <w:hideMark/>
          </w:tcPr>
          <w:p w14:paraId="188B332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375609" w14:textId="77777777" w:rsidR="00000000" w:rsidRDefault="00405D16">
            <w:pPr>
              <w:spacing w:after="100"/>
              <w:jc w:val="right"/>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14:paraId="78EC6771" w14:textId="77777777" w:rsidR="00000000" w:rsidRDefault="00405D16">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2049418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63AC0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CBC6D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98CDD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1DD532" w14:textId="77777777" w:rsidR="00000000" w:rsidRDefault="00405D16">
            <w:pPr>
              <w:spacing w:after="100"/>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14:paraId="2B88D76D" w14:textId="77777777" w:rsidR="00000000" w:rsidRDefault="00405D16">
            <w:pPr>
              <w:spacing w:after="100"/>
              <w:jc w:val="right"/>
              <w:rPr>
                <w:rFonts w:eastAsia="Times New Roman"/>
              </w:rPr>
            </w:pPr>
            <w:r>
              <w:rPr>
                <w:rFonts w:eastAsia="Times New Roman"/>
                <w:color w:val="000000"/>
                <w:sz w:val="16"/>
                <w:szCs w:val="16"/>
              </w:rPr>
              <w:t>111 </w:t>
            </w:r>
          </w:p>
        </w:tc>
        <w:tc>
          <w:tcPr>
            <w:tcW w:w="0" w:type="auto"/>
            <w:shd w:val="clear" w:color="auto" w:fill="FFFFFF"/>
            <w:tcMar>
              <w:top w:w="30" w:type="dxa"/>
              <w:left w:w="0" w:type="dxa"/>
              <w:bottom w:w="30" w:type="dxa"/>
              <w:right w:w="20" w:type="dxa"/>
            </w:tcMar>
            <w:vAlign w:val="bottom"/>
            <w:hideMark/>
          </w:tcPr>
          <w:p w14:paraId="3BBD389B" w14:textId="77777777" w:rsidR="00000000" w:rsidRDefault="00405D16">
            <w:pPr>
              <w:spacing w:after="100"/>
              <w:jc w:val="right"/>
              <w:rPr>
                <w:rFonts w:eastAsia="Times New Roman"/>
              </w:rPr>
            </w:pPr>
          </w:p>
        </w:tc>
      </w:tr>
      <w:tr w:rsidR="00405D16" w14:paraId="5BCBBAC2" w14:textId="77777777">
        <w:trPr>
          <w:divId w:val="553853218"/>
        </w:trPr>
        <w:tc>
          <w:tcPr>
            <w:tcW w:w="0" w:type="auto"/>
            <w:gridSpan w:val="4"/>
            <w:shd w:val="clear" w:color="auto" w:fill="CCEEFF"/>
            <w:tcMar>
              <w:top w:w="30" w:type="dxa"/>
              <w:left w:w="20" w:type="dxa"/>
              <w:bottom w:w="30" w:type="dxa"/>
              <w:right w:w="20" w:type="dxa"/>
            </w:tcMar>
            <w:vAlign w:val="center"/>
            <w:hideMark/>
          </w:tcPr>
          <w:p w14:paraId="31823CD6" w14:textId="77777777" w:rsidR="00000000" w:rsidRDefault="00405D16">
            <w:pPr>
              <w:spacing w:after="100"/>
              <w:rPr>
                <w:rFonts w:eastAsia="Times New Roman"/>
              </w:rPr>
            </w:pPr>
            <w:r>
              <w:rPr>
                <w:rFonts w:eastAsia="Times New Roman"/>
                <w:b/>
                <w:bCs/>
                <w:color w:val="000000"/>
                <w:sz w:val="16"/>
                <w:szCs w:val="16"/>
              </w:rPr>
              <w:t>Balance as of March 31, 2021</w:t>
            </w:r>
          </w:p>
        </w:tc>
        <w:tc>
          <w:tcPr>
            <w:tcW w:w="0" w:type="auto"/>
            <w:gridSpan w:val="3"/>
            <w:shd w:val="clear" w:color="auto" w:fill="CCEEFF"/>
            <w:tcMar>
              <w:top w:w="0" w:type="dxa"/>
              <w:left w:w="20" w:type="dxa"/>
              <w:bottom w:w="0" w:type="dxa"/>
              <w:right w:w="20" w:type="dxa"/>
            </w:tcMar>
            <w:vAlign w:val="center"/>
            <w:hideMark/>
          </w:tcPr>
          <w:p w14:paraId="6C649F87"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B48EA50" w14:textId="77777777" w:rsidR="00000000" w:rsidRDefault="00405D16">
            <w:pPr>
              <w:spacing w:after="100"/>
              <w:jc w:val="right"/>
              <w:rPr>
                <w:rFonts w:eastAsia="Times New Roman"/>
              </w:rPr>
            </w:pPr>
            <w:r>
              <w:rPr>
                <w:rFonts w:eastAsia="Times New Roman"/>
                <w:color w:val="000000"/>
                <w:sz w:val="16"/>
                <w:szCs w:val="16"/>
              </w:rPr>
              <w:t>4,975,000 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751EB0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B2885E"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8265EA7"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30A2B12" w14:textId="77777777" w:rsidR="00000000" w:rsidRDefault="00405D16">
            <w:pPr>
              <w:spacing w:after="100"/>
              <w:jc w:val="right"/>
              <w:rPr>
                <w:rFonts w:eastAsia="Times New Roman"/>
              </w:rPr>
            </w:pPr>
            <w:r>
              <w:rPr>
                <w:rFonts w:eastAsia="Times New Roman"/>
                <w:color w:val="000000"/>
                <w:sz w:val="16"/>
                <w:szCs w:val="16"/>
              </w:rPr>
              <w:t>0 </w:t>
            </w:r>
          </w:p>
        </w:tc>
        <w:tc>
          <w:tcPr>
            <w:tcW w:w="0" w:type="auto"/>
            <w:gridSpan w:val="2"/>
            <w:tcBorders>
              <w:top w:val="single" w:sz="8" w:space="0" w:color="000000"/>
            </w:tcBorders>
            <w:shd w:val="clear" w:color="auto" w:fill="CCEEFF"/>
            <w:tcMar>
              <w:top w:w="30" w:type="dxa"/>
              <w:left w:w="0" w:type="dxa"/>
              <w:bottom w:w="30" w:type="dxa"/>
              <w:right w:w="20" w:type="dxa"/>
            </w:tcMar>
            <w:vAlign w:val="center"/>
            <w:hideMark/>
          </w:tcPr>
          <w:p w14:paraId="68233BD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BC5D89" w14:textId="77777777" w:rsidR="00000000" w:rsidRDefault="00405D16">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center"/>
            <w:hideMark/>
          </w:tcPr>
          <w:p w14:paraId="175D18DA" w14:textId="77777777" w:rsidR="00000000" w:rsidRDefault="00405D16">
            <w:pPr>
              <w:spacing w:after="100"/>
              <w:jc w:val="right"/>
              <w:rPr>
                <w:rFonts w:eastAsia="Times New Roman"/>
              </w:rPr>
            </w:pPr>
            <w:r>
              <w:rPr>
                <w:rFonts w:eastAsia="Times New Roman"/>
                <w:color w:val="000000"/>
                <w:sz w:val="16"/>
                <w:szCs w:val="16"/>
              </w:rPr>
              <w:t>682,761,557 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98F32F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A42546"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536B097"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E21799B" w14:textId="77777777" w:rsidR="00000000" w:rsidRDefault="00405D16">
            <w:pPr>
              <w:spacing w:after="100"/>
              <w:jc w:val="right"/>
              <w:rPr>
                <w:rFonts w:eastAsia="Times New Roman"/>
              </w:rPr>
            </w:pPr>
            <w:r>
              <w:rPr>
                <w:rFonts w:eastAsia="Times New Roman"/>
                <w:color w:val="000000"/>
                <w:sz w:val="16"/>
                <w:szCs w:val="16"/>
              </w:rPr>
              <w:t>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54306B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66CC9E"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DC48D5C"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86FD298" w14:textId="77777777" w:rsidR="00000000" w:rsidRDefault="00405D16">
            <w:pPr>
              <w:spacing w:after="100"/>
              <w:jc w:val="right"/>
              <w:rPr>
                <w:rFonts w:eastAsia="Times New Roman"/>
              </w:rPr>
            </w:pPr>
            <w:r>
              <w:rPr>
                <w:rFonts w:eastAsia="Times New Roman"/>
                <w:color w:val="000000"/>
                <w:sz w:val="16"/>
                <w:szCs w:val="16"/>
              </w:rPr>
              <w:t>33,671 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4EEF8B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C79895"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A3576C0" w14:textId="77777777" w:rsidR="00000000" w:rsidRDefault="00405D16">
            <w:pPr>
              <w:spacing w:after="100"/>
              <w:rPr>
                <w:rFonts w:eastAsia="Times New Roman"/>
              </w:rPr>
            </w:pPr>
            <w:r>
              <w:rPr>
                <w:rFonts w:eastAsia="Times New Roman"/>
                <w:color w:val="000000"/>
                <w:sz w:val="16"/>
                <w:szCs w:val="16"/>
              </w:rPr>
              <w:t>$</w:t>
            </w:r>
          </w:p>
        </w:tc>
        <w:tc>
          <w:tcPr>
            <w:tcW w:w="0" w:type="auto"/>
            <w:gridSpan w:val="3"/>
            <w:tcBorders>
              <w:top w:val="single" w:sz="8" w:space="0" w:color="000000"/>
            </w:tcBorders>
            <w:shd w:val="clear" w:color="auto" w:fill="CCEEFF"/>
            <w:tcMar>
              <w:top w:w="30" w:type="dxa"/>
              <w:left w:w="0" w:type="dxa"/>
              <w:bottom w:w="30" w:type="dxa"/>
              <w:right w:w="0" w:type="dxa"/>
            </w:tcMar>
            <w:vAlign w:val="center"/>
            <w:hideMark/>
          </w:tcPr>
          <w:p w14:paraId="00198FE0" w14:textId="77777777" w:rsidR="00000000" w:rsidRDefault="00405D16">
            <w:pPr>
              <w:spacing w:after="100"/>
              <w:jc w:val="right"/>
              <w:rPr>
                <w:rFonts w:eastAsia="Times New Roman"/>
              </w:rPr>
            </w:pPr>
            <w:r>
              <w:rPr>
                <w:rFonts w:eastAsia="Times New Roman"/>
                <w:color w:val="000000"/>
                <w:sz w:val="16"/>
                <w:szCs w:val="16"/>
              </w:rPr>
              <w:t>43,167 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FB13BF8"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D5690C1"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CFC26BC"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066E66A" w14:textId="77777777" w:rsidR="00000000" w:rsidRDefault="00405D16">
            <w:pPr>
              <w:spacing w:after="100"/>
              <w:jc w:val="right"/>
              <w:rPr>
                <w:rFonts w:eastAsia="Times New Roman"/>
              </w:rPr>
            </w:pPr>
            <w:r>
              <w:rPr>
                <w:rFonts w:eastAsia="Times New Roman"/>
                <w:color w:val="000000"/>
                <w:sz w:val="16"/>
                <w:szCs w:val="16"/>
              </w:rPr>
              <w:t>1,783 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6A274E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6BC0A0"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DC97385"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4619466" w14:textId="77777777" w:rsidR="00000000" w:rsidRDefault="00405D16">
            <w:pPr>
              <w:spacing w:after="100"/>
              <w:jc w:val="right"/>
              <w:rPr>
                <w:rFonts w:eastAsia="Times New Roman"/>
              </w:rPr>
            </w:pPr>
            <w:r>
              <w:rPr>
                <w:rFonts w:eastAsia="Times New Roman"/>
                <w:color w:val="000000"/>
                <w:sz w:val="16"/>
                <w:szCs w:val="16"/>
              </w:rPr>
              <w:t>(17,440)</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E86FA3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3A4F7F"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7089F77" w14:textId="77777777" w:rsidR="00000000" w:rsidRDefault="00405D16">
            <w:pPr>
              <w:spacing w:after="100"/>
              <w:rPr>
                <w:rFonts w:eastAsia="Times New Roman"/>
              </w:rPr>
            </w:pPr>
            <w:r>
              <w:rPr>
                <w:rFonts w:eastAsia="Times New Roman"/>
                <w:color w:val="000000"/>
                <w:sz w:val="16"/>
                <w:szCs w:val="16"/>
              </w:rPr>
              <w:t>$</w:t>
            </w:r>
          </w:p>
        </w:tc>
        <w:tc>
          <w:tcPr>
            <w:tcW w:w="0" w:type="auto"/>
            <w:gridSpan w:val="3"/>
            <w:tcBorders>
              <w:top w:val="single" w:sz="8" w:space="0" w:color="000000"/>
            </w:tcBorders>
            <w:shd w:val="clear" w:color="auto" w:fill="CCEEFF"/>
            <w:tcMar>
              <w:top w:w="30" w:type="dxa"/>
              <w:left w:w="0" w:type="dxa"/>
              <w:bottom w:w="30" w:type="dxa"/>
              <w:right w:w="0" w:type="dxa"/>
            </w:tcMar>
            <w:vAlign w:val="center"/>
            <w:hideMark/>
          </w:tcPr>
          <w:p w14:paraId="60DA7A76" w14:textId="77777777" w:rsidR="00000000" w:rsidRDefault="00405D16">
            <w:pPr>
              <w:spacing w:after="100"/>
              <w:jc w:val="right"/>
              <w:rPr>
                <w:rFonts w:eastAsia="Times New Roman"/>
              </w:rPr>
            </w:pPr>
            <w:r>
              <w:rPr>
                <w:rFonts w:eastAsia="Times New Roman"/>
                <w:color w:val="000000"/>
                <w:sz w:val="16"/>
                <w:szCs w:val="16"/>
              </w:rPr>
              <w:t>61,188 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898DFBA" w14:textId="77777777" w:rsidR="00000000" w:rsidRDefault="00405D16">
            <w:pPr>
              <w:spacing w:after="100"/>
              <w:jc w:val="right"/>
              <w:rPr>
                <w:rFonts w:eastAsia="Times New Roman"/>
              </w:rPr>
            </w:pPr>
          </w:p>
        </w:tc>
      </w:tr>
      <w:tr w:rsidR="00000000" w14:paraId="53BF20A3" w14:textId="77777777">
        <w:trPr>
          <w:divId w:val="553853218"/>
        </w:trPr>
        <w:tc>
          <w:tcPr>
            <w:tcW w:w="0" w:type="auto"/>
            <w:gridSpan w:val="4"/>
            <w:shd w:val="clear" w:color="auto" w:fill="FFFFFF"/>
            <w:tcMar>
              <w:top w:w="30" w:type="dxa"/>
              <w:left w:w="20" w:type="dxa"/>
              <w:bottom w:w="30" w:type="dxa"/>
              <w:right w:w="20" w:type="dxa"/>
            </w:tcMar>
            <w:vAlign w:val="center"/>
            <w:hideMark/>
          </w:tcPr>
          <w:p w14:paraId="31C89CAA" w14:textId="77777777" w:rsidR="00000000" w:rsidRDefault="00405D16">
            <w:pPr>
              <w:spacing w:after="100"/>
              <w:rPr>
                <w:rFonts w:eastAsia="Times New Roman"/>
              </w:rPr>
            </w:pPr>
            <w:r>
              <w:rPr>
                <w:rFonts w:eastAsia="Times New Roman"/>
                <w:color w:val="000000"/>
                <w:sz w:val="16"/>
                <w:szCs w:val="16"/>
              </w:rPr>
              <w:t>Comprehensive income</w:t>
            </w:r>
          </w:p>
        </w:tc>
        <w:tc>
          <w:tcPr>
            <w:tcW w:w="0" w:type="auto"/>
            <w:gridSpan w:val="3"/>
            <w:shd w:val="clear" w:color="auto" w:fill="FFFFFF"/>
            <w:tcMar>
              <w:top w:w="0" w:type="dxa"/>
              <w:left w:w="20" w:type="dxa"/>
              <w:bottom w:w="0" w:type="dxa"/>
              <w:right w:w="20" w:type="dxa"/>
            </w:tcMar>
            <w:vAlign w:val="center"/>
            <w:hideMark/>
          </w:tcPr>
          <w:p w14:paraId="782EE6B8" w14:textId="77777777" w:rsidR="00000000" w:rsidRDefault="00405D16">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A560D3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44DD75" w14:textId="77777777" w:rsidR="00000000" w:rsidRDefault="00405D16">
            <w:pPr>
              <w:spacing w:after="100"/>
              <w:rPr>
                <w:rFonts w:eastAsia="Times New Roman"/>
                <w:sz w:val="20"/>
                <w:szCs w:val="20"/>
              </w:rPr>
            </w:pPr>
          </w:p>
        </w:tc>
        <w:tc>
          <w:tcPr>
            <w:tcW w:w="0" w:type="auto"/>
            <w:gridSpan w:val="4"/>
            <w:tcBorders>
              <w:top w:val="single" w:sz="8" w:space="0" w:color="000000"/>
            </w:tcBorders>
            <w:shd w:val="clear" w:color="auto" w:fill="FFFFFF"/>
            <w:tcMar>
              <w:top w:w="0" w:type="dxa"/>
              <w:left w:w="20" w:type="dxa"/>
              <w:bottom w:w="0" w:type="dxa"/>
              <w:right w:w="20" w:type="dxa"/>
            </w:tcMar>
            <w:vAlign w:val="center"/>
            <w:hideMark/>
          </w:tcPr>
          <w:p w14:paraId="76F07E0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1F0EE3" w14:textId="77777777" w:rsidR="00000000" w:rsidRDefault="00405D16">
            <w:pPr>
              <w:spacing w:after="100"/>
              <w:rPr>
                <w:rFonts w:eastAsia="Times New Roman"/>
                <w:sz w:val="20"/>
                <w:szCs w:val="20"/>
              </w:rPr>
            </w:pPr>
          </w:p>
        </w:tc>
        <w:tc>
          <w:tcPr>
            <w:tcW w:w="0" w:type="auto"/>
            <w:gridSpan w:val="5"/>
            <w:tcBorders>
              <w:top w:val="single" w:sz="8" w:space="0" w:color="000000"/>
            </w:tcBorders>
            <w:shd w:val="clear" w:color="auto" w:fill="FFFFFF"/>
            <w:tcMar>
              <w:top w:w="0" w:type="dxa"/>
              <w:left w:w="20" w:type="dxa"/>
              <w:bottom w:w="0" w:type="dxa"/>
              <w:right w:w="20" w:type="dxa"/>
            </w:tcMar>
            <w:vAlign w:val="center"/>
            <w:hideMark/>
          </w:tcPr>
          <w:p w14:paraId="598ACD3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EEA985"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AEA203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E1DF93"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E4AFA3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6D2A4D" w14:textId="77777777" w:rsidR="00000000" w:rsidRDefault="00405D16">
            <w:pPr>
              <w:spacing w:after="100"/>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center"/>
            <w:hideMark/>
          </w:tcPr>
          <w:p w14:paraId="5FFCB984" w14:textId="77777777" w:rsidR="00000000" w:rsidRDefault="00405D16">
            <w:pPr>
              <w:spacing w:after="100"/>
              <w:jc w:val="right"/>
              <w:rPr>
                <w:rFonts w:eastAsia="Times New Roman"/>
              </w:rPr>
            </w:pPr>
            <w:r>
              <w:rPr>
                <w:rFonts w:eastAsia="Times New Roman"/>
                <w:color w:val="000000"/>
                <w:sz w:val="16"/>
                <w:szCs w:val="16"/>
              </w:rPr>
              <w:t>3,536 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D65EC5E"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4A29D62C"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20A31EC" w14:textId="77777777" w:rsidR="00000000" w:rsidRDefault="00405D16">
            <w:pPr>
              <w:spacing w:after="100"/>
              <w:jc w:val="right"/>
              <w:rPr>
                <w:rFonts w:eastAsia="Times New Roman"/>
              </w:rPr>
            </w:pPr>
            <w:r>
              <w:rPr>
                <w:rFonts w:eastAsia="Times New Roman"/>
                <w:color w:val="000000"/>
                <w:sz w:val="16"/>
                <w:szCs w:val="16"/>
              </w:rPr>
              <w:t>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C29FFB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43757C" w14:textId="77777777" w:rsidR="00000000" w:rsidRDefault="00405D16">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0FEC86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5ACD4C" w14:textId="77777777" w:rsidR="00000000" w:rsidRDefault="00405D16">
            <w:pPr>
              <w:spacing w:after="100"/>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center"/>
            <w:hideMark/>
          </w:tcPr>
          <w:p w14:paraId="7B8280B9" w14:textId="77777777" w:rsidR="00000000" w:rsidRDefault="00405D16">
            <w:pPr>
              <w:spacing w:after="100"/>
              <w:jc w:val="right"/>
              <w:rPr>
                <w:rFonts w:eastAsia="Times New Roman"/>
              </w:rPr>
            </w:pPr>
            <w:r>
              <w:rPr>
                <w:rFonts w:eastAsia="Times New Roman"/>
                <w:color w:val="000000"/>
                <w:sz w:val="16"/>
                <w:szCs w:val="16"/>
              </w:rPr>
              <w:t>3,545 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891282D" w14:textId="77777777" w:rsidR="00000000" w:rsidRDefault="00405D16">
            <w:pPr>
              <w:spacing w:after="100"/>
              <w:jc w:val="right"/>
              <w:rPr>
                <w:rFonts w:eastAsia="Times New Roman"/>
              </w:rPr>
            </w:pPr>
          </w:p>
        </w:tc>
      </w:tr>
      <w:tr w:rsidR="00000000" w14:paraId="412B663E" w14:textId="77777777">
        <w:trPr>
          <w:divId w:val="553853218"/>
        </w:trPr>
        <w:tc>
          <w:tcPr>
            <w:tcW w:w="0" w:type="auto"/>
            <w:gridSpan w:val="4"/>
            <w:shd w:val="clear" w:color="auto" w:fill="CCEEFF"/>
            <w:tcMar>
              <w:top w:w="30" w:type="dxa"/>
              <w:left w:w="20" w:type="dxa"/>
              <w:bottom w:w="30" w:type="dxa"/>
              <w:right w:w="20" w:type="dxa"/>
            </w:tcMar>
            <w:vAlign w:val="center"/>
            <w:hideMark/>
          </w:tcPr>
          <w:p w14:paraId="6653E255" w14:textId="77777777" w:rsidR="00000000" w:rsidRDefault="00405D16">
            <w:pPr>
              <w:spacing w:after="100"/>
              <w:divId w:val="42753025"/>
              <w:rPr>
                <w:rFonts w:eastAsia="Times New Roman"/>
              </w:rPr>
            </w:pPr>
            <w:r>
              <w:rPr>
                <w:rFonts w:eastAsia="Times New Roman"/>
                <w:color w:val="000000"/>
                <w:sz w:val="16"/>
                <w:szCs w:val="16"/>
              </w:rPr>
              <w:t>Dividends—common stoc</w:t>
            </w:r>
            <w:r>
              <w:rPr>
                <w:rFonts w:eastAsia="Times New Roman"/>
                <w:color w:val="000000"/>
                <w:sz w:val="16"/>
                <w:szCs w:val="16"/>
              </w:rPr>
              <w:t>k</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CCEEFF"/>
            <w:tcMar>
              <w:top w:w="0" w:type="dxa"/>
              <w:left w:w="20" w:type="dxa"/>
              <w:bottom w:w="0" w:type="dxa"/>
              <w:right w:w="20" w:type="dxa"/>
            </w:tcMar>
            <w:vAlign w:val="center"/>
            <w:hideMark/>
          </w:tcPr>
          <w:p w14:paraId="3B1EBDE8"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683DC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15F21A"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03F592E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10ADDB" w14:textId="77777777" w:rsidR="00000000" w:rsidRDefault="00405D16">
            <w:pPr>
              <w:spacing w:after="100"/>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14:paraId="3DEAAEE2" w14:textId="77777777" w:rsidR="00000000" w:rsidRDefault="00405D16">
            <w:pPr>
              <w:spacing w:after="100"/>
              <w:jc w:val="right"/>
              <w:rPr>
                <w:rFonts w:eastAsia="Times New Roman"/>
              </w:rPr>
            </w:pPr>
            <w:r>
              <w:rPr>
                <w:rFonts w:eastAsia="Times New Roman"/>
                <w:color w:val="000000"/>
                <w:sz w:val="16"/>
                <w:szCs w:val="16"/>
              </w:rPr>
              <w:t>4,954 </w:t>
            </w:r>
          </w:p>
        </w:tc>
        <w:tc>
          <w:tcPr>
            <w:tcW w:w="0" w:type="auto"/>
            <w:shd w:val="clear" w:color="auto" w:fill="CCEEFF"/>
            <w:tcMar>
              <w:top w:w="30" w:type="dxa"/>
              <w:left w:w="0" w:type="dxa"/>
              <w:bottom w:w="30" w:type="dxa"/>
              <w:right w:w="20" w:type="dxa"/>
            </w:tcMar>
            <w:vAlign w:val="center"/>
            <w:hideMark/>
          </w:tcPr>
          <w:p w14:paraId="6F43E58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CA16B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5D5F87E" w14:textId="77777777" w:rsidR="00000000" w:rsidRDefault="00405D16">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14:paraId="0CAAD25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5421E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6A59402" w14:textId="77777777" w:rsidR="00000000" w:rsidRDefault="00405D16">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center"/>
            <w:hideMark/>
          </w:tcPr>
          <w:p w14:paraId="192BB23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60EF9A" w14:textId="77777777" w:rsidR="00000000" w:rsidRDefault="00405D16">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14:paraId="6DD4B7F1" w14:textId="77777777" w:rsidR="00000000" w:rsidRDefault="00405D16">
            <w:pPr>
              <w:spacing w:after="100"/>
              <w:jc w:val="right"/>
              <w:rPr>
                <w:rFonts w:eastAsia="Times New Roman"/>
              </w:rPr>
            </w:pPr>
            <w:r>
              <w:rPr>
                <w:rFonts w:eastAsia="Times New Roman"/>
                <w:color w:val="000000"/>
                <w:sz w:val="16"/>
                <w:szCs w:val="16"/>
              </w:rPr>
              <w:t>(182)</w:t>
            </w:r>
          </w:p>
        </w:tc>
        <w:tc>
          <w:tcPr>
            <w:tcW w:w="0" w:type="auto"/>
            <w:shd w:val="clear" w:color="auto" w:fill="CCEEFF"/>
            <w:tcMar>
              <w:top w:w="30" w:type="dxa"/>
              <w:left w:w="0" w:type="dxa"/>
              <w:bottom w:w="30" w:type="dxa"/>
              <w:right w:w="20" w:type="dxa"/>
            </w:tcMar>
            <w:vAlign w:val="center"/>
            <w:hideMark/>
          </w:tcPr>
          <w:p w14:paraId="14A17FF4"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12B68098" w14:textId="77777777" w:rsidR="00000000" w:rsidRDefault="00405D1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700F9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134C4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61343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1C7985" w14:textId="77777777" w:rsidR="00000000" w:rsidRDefault="00405D16">
            <w:pPr>
              <w:spacing w:after="100"/>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14:paraId="6E6EB9DB" w14:textId="77777777" w:rsidR="00000000" w:rsidRDefault="00405D16">
            <w:pPr>
              <w:spacing w:after="100"/>
              <w:jc w:val="right"/>
              <w:rPr>
                <w:rFonts w:eastAsia="Times New Roman"/>
              </w:rPr>
            </w:pPr>
            <w:r>
              <w:rPr>
                <w:rFonts w:eastAsia="Times New Roman"/>
                <w:color w:val="000000"/>
                <w:sz w:val="16"/>
                <w:szCs w:val="16"/>
              </w:rPr>
              <w:t>(181)</w:t>
            </w:r>
          </w:p>
        </w:tc>
        <w:tc>
          <w:tcPr>
            <w:tcW w:w="0" w:type="auto"/>
            <w:shd w:val="clear" w:color="auto" w:fill="CCEEFF"/>
            <w:tcMar>
              <w:top w:w="30" w:type="dxa"/>
              <w:left w:w="0" w:type="dxa"/>
              <w:bottom w:w="30" w:type="dxa"/>
              <w:right w:w="20" w:type="dxa"/>
            </w:tcMar>
            <w:vAlign w:val="center"/>
            <w:hideMark/>
          </w:tcPr>
          <w:p w14:paraId="28DCFEE5" w14:textId="77777777" w:rsidR="00000000" w:rsidRDefault="00405D16">
            <w:pPr>
              <w:spacing w:after="100"/>
              <w:jc w:val="right"/>
              <w:rPr>
                <w:rFonts w:eastAsia="Times New Roman"/>
              </w:rPr>
            </w:pPr>
          </w:p>
        </w:tc>
      </w:tr>
      <w:tr w:rsidR="00000000" w14:paraId="33B611BD" w14:textId="77777777">
        <w:trPr>
          <w:divId w:val="553853218"/>
        </w:trPr>
        <w:tc>
          <w:tcPr>
            <w:tcW w:w="0" w:type="auto"/>
            <w:gridSpan w:val="4"/>
            <w:shd w:val="clear" w:color="auto" w:fill="FFFFFF"/>
            <w:tcMar>
              <w:top w:w="30" w:type="dxa"/>
              <w:left w:w="20" w:type="dxa"/>
              <w:bottom w:w="30" w:type="dxa"/>
              <w:right w:w="20" w:type="dxa"/>
            </w:tcMar>
            <w:vAlign w:val="center"/>
            <w:hideMark/>
          </w:tcPr>
          <w:p w14:paraId="38FE2434" w14:textId="77777777" w:rsidR="00000000" w:rsidRDefault="00405D16">
            <w:pPr>
              <w:spacing w:after="100"/>
              <w:rPr>
                <w:rFonts w:eastAsia="Times New Roman"/>
              </w:rPr>
            </w:pPr>
            <w:r>
              <w:rPr>
                <w:rFonts w:eastAsia="Times New Roman"/>
                <w:color w:val="000000"/>
                <w:sz w:val="16"/>
                <w:szCs w:val="16"/>
              </w:rPr>
              <w:t>Dividends—preferred stock</w:t>
            </w:r>
          </w:p>
        </w:tc>
        <w:tc>
          <w:tcPr>
            <w:tcW w:w="0" w:type="auto"/>
            <w:gridSpan w:val="3"/>
            <w:shd w:val="clear" w:color="auto" w:fill="FFFFFF"/>
            <w:tcMar>
              <w:top w:w="0" w:type="dxa"/>
              <w:left w:w="20" w:type="dxa"/>
              <w:bottom w:w="0" w:type="dxa"/>
              <w:right w:w="20" w:type="dxa"/>
            </w:tcMar>
            <w:vAlign w:val="center"/>
            <w:hideMark/>
          </w:tcPr>
          <w:p w14:paraId="08BFA3E7"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FF938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CCA917" w14:textId="77777777" w:rsidR="00000000" w:rsidRDefault="00405D16">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3B7FD6E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637BF0" w14:textId="77777777" w:rsidR="00000000" w:rsidRDefault="00405D16">
            <w:pPr>
              <w:spacing w:after="100"/>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14:paraId="2D9665E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CF2B5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BEE18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DEDCF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D009A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0E6923" w14:textId="77777777" w:rsidR="00000000" w:rsidRDefault="00405D16">
            <w:pPr>
              <w:spacing w:after="100"/>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14:paraId="33E44306" w14:textId="77777777" w:rsidR="00000000" w:rsidRDefault="00405D16">
            <w:pPr>
              <w:spacing w:after="100"/>
              <w:jc w:val="right"/>
              <w:rPr>
                <w:rFonts w:eastAsia="Times New Roman"/>
              </w:rPr>
            </w:pPr>
            <w:r>
              <w:rPr>
                <w:rFonts w:eastAsia="Times New Roman"/>
                <w:color w:val="000000"/>
                <w:sz w:val="16"/>
                <w:szCs w:val="16"/>
              </w:rPr>
              <w:t>(60)</w:t>
            </w:r>
          </w:p>
        </w:tc>
        <w:tc>
          <w:tcPr>
            <w:tcW w:w="0" w:type="auto"/>
            <w:shd w:val="clear" w:color="auto" w:fill="FFFFFF"/>
            <w:tcMar>
              <w:top w:w="30" w:type="dxa"/>
              <w:left w:w="0" w:type="dxa"/>
              <w:bottom w:w="30" w:type="dxa"/>
              <w:right w:w="20" w:type="dxa"/>
            </w:tcMar>
            <w:vAlign w:val="center"/>
            <w:hideMark/>
          </w:tcPr>
          <w:p w14:paraId="56EC18D1"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3A80E963" w14:textId="77777777" w:rsidR="00000000" w:rsidRDefault="00405D1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863E2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0C1B9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8A4DA4"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D13676" w14:textId="77777777" w:rsidR="00000000" w:rsidRDefault="00405D16">
            <w:pPr>
              <w:spacing w:after="100"/>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14:paraId="77233B4F" w14:textId="77777777" w:rsidR="00000000" w:rsidRDefault="00405D16">
            <w:pPr>
              <w:spacing w:after="100"/>
              <w:jc w:val="right"/>
              <w:rPr>
                <w:rFonts w:eastAsia="Times New Roman"/>
              </w:rPr>
            </w:pPr>
            <w:r>
              <w:rPr>
                <w:rFonts w:eastAsia="Times New Roman"/>
                <w:color w:val="000000"/>
                <w:sz w:val="16"/>
                <w:szCs w:val="16"/>
              </w:rPr>
              <w:t>(60)</w:t>
            </w:r>
          </w:p>
        </w:tc>
        <w:tc>
          <w:tcPr>
            <w:tcW w:w="0" w:type="auto"/>
            <w:shd w:val="clear" w:color="auto" w:fill="FFFFFF"/>
            <w:tcMar>
              <w:top w:w="30" w:type="dxa"/>
              <w:left w:w="0" w:type="dxa"/>
              <w:bottom w:w="30" w:type="dxa"/>
              <w:right w:w="20" w:type="dxa"/>
            </w:tcMar>
            <w:vAlign w:val="center"/>
            <w:hideMark/>
          </w:tcPr>
          <w:p w14:paraId="1DA73C03" w14:textId="77777777" w:rsidR="00000000" w:rsidRDefault="00405D16">
            <w:pPr>
              <w:spacing w:after="100"/>
              <w:jc w:val="right"/>
              <w:rPr>
                <w:rFonts w:eastAsia="Times New Roman"/>
              </w:rPr>
            </w:pPr>
          </w:p>
        </w:tc>
      </w:tr>
      <w:tr w:rsidR="00000000" w14:paraId="49B36605" w14:textId="77777777">
        <w:trPr>
          <w:divId w:val="553853218"/>
        </w:trPr>
        <w:tc>
          <w:tcPr>
            <w:tcW w:w="0" w:type="auto"/>
            <w:gridSpan w:val="4"/>
            <w:shd w:val="clear" w:color="auto" w:fill="CCEEFF"/>
            <w:tcMar>
              <w:top w:w="30" w:type="dxa"/>
              <w:left w:w="20" w:type="dxa"/>
              <w:bottom w:w="30" w:type="dxa"/>
              <w:right w:w="20" w:type="dxa"/>
            </w:tcMar>
            <w:vAlign w:val="center"/>
            <w:hideMark/>
          </w:tcPr>
          <w:p w14:paraId="6AD3408C" w14:textId="77777777" w:rsidR="00000000" w:rsidRDefault="00405D16">
            <w:pPr>
              <w:spacing w:after="100"/>
              <w:rPr>
                <w:rFonts w:eastAsia="Times New Roman"/>
              </w:rPr>
            </w:pPr>
            <w:r>
              <w:rPr>
                <w:rFonts w:eastAsia="Times New Roman"/>
                <w:color w:val="000000"/>
                <w:sz w:val="16"/>
                <w:szCs w:val="16"/>
              </w:rPr>
              <w:t>Purchases of treasury stock</w:t>
            </w:r>
          </w:p>
        </w:tc>
        <w:tc>
          <w:tcPr>
            <w:tcW w:w="0" w:type="auto"/>
            <w:gridSpan w:val="3"/>
            <w:shd w:val="clear" w:color="auto" w:fill="CCEEFF"/>
            <w:tcMar>
              <w:top w:w="0" w:type="dxa"/>
              <w:left w:w="20" w:type="dxa"/>
              <w:bottom w:w="0" w:type="dxa"/>
              <w:right w:w="20" w:type="dxa"/>
            </w:tcMar>
            <w:vAlign w:val="center"/>
            <w:hideMark/>
          </w:tcPr>
          <w:p w14:paraId="4560203D"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C194D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788774"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1EF1243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0718DD" w14:textId="77777777" w:rsidR="00000000" w:rsidRDefault="00405D16">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3F51A9A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E7586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37E36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1BBAC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D99F1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B908BF" w14:textId="77777777" w:rsidR="00000000" w:rsidRDefault="00405D16">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61918DF5"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27FFD28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3CA62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BE7AC8"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F794456" w14:textId="77777777" w:rsidR="00000000" w:rsidRDefault="00405D16">
            <w:pPr>
              <w:spacing w:after="100"/>
              <w:jc w:val="right"/>
              <w:rPr>
                <w:rFonts w:eastAsia="Times New Roman"/>
              </w:rPr>
            </w:pPr>
            <w:r>
              <w:rPr>
                <w:rFonts w:eastAsia="Times New Roman"/>
                <w:color w:val="000000"/>
                <w:sz w:val="16"/>
                <w:szCs w:val="16"/>
              </w:rPr>
              <w:t>(1,668)</w:t>
            </w:r>
          </w:p>
        </w:tc>
        <w:tc>
          <w:tcPr>
            <w:tcW w:w="0" w:type="auto"/>
            <w:shd w:val="clear" w:color="auto" w:fill="CCEEFF"/>
            <w:tcMar>
              <w:top w:w="30" w:type="dxa"/>
              <w:left w:w="0" w:type="dxa"/>
              <w:bottom w:w="30" w:type="dxa"/>
              <w:right w:w="20" w:type="dxa"/>
            </w:tcMar>
            <w:vAlign w:val="center"/>
            <w:hideMark/>
          </w:tcPr>
          <w:p w14:paraId="1A3F96D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8AC333" w14:textId="77777777" w:rsidR="00000000" w:rsidRDefault="00405D16">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14:paraId="2A6F3021" w14:textId="77777777" w:rsidR="00000000" w:rsidRDefault="00405D16">
            <w:pPr>
              <w:spacing w:after="100"/>
              <w:jc w:val="right"/>
              <w:rPr>
                <w:rFonts w:eastAsia="Times New Roman"/>
              </w:rPr>
            </w:pPr>
            <w:r>
              <w:rPr>
                <w:rFonts w:eastAsia="Times New Roman"/>
                <w:color w:val="000000"/>
                <w:sz w:val="16"/>
                <w:szCs w:val="16"/>
              </w:rPr>
              <w:t>(1,668)</w:t>
            </w:r>
          </w:p>
        </w:tc>
        <w:tc>
          <w:tcPr>
            <w:tcW w:w="0" w:type="auto"/>
            <w:shd w:val="clear" w:color="auto" w:fill="CCEEFF"/>
            <w:tcMar>
              <w:top w:w="30" w:type="dxa"/>
              <w:left w:w="0" w:type="dxa"/>
              <w:bottom w:w="30" w:type="dxa"/>
              <w:right w:w="20" w:type="dxa"/>
            </w:tcMar>
            <w:vAlign w:val="center"/>
            <w:hideMark/>
          </w:tcPr>
          <w:p w14:paraId="06962919" w14:textId="77777777" w:rsidR="00000000" w:rsidRDefault="00405D16">
            <w:pPr>
              <w:spacing w:after="100"/>
              <w:jc w:val="right"/>
              <w:rPr>
                <w:rFonts w:eastAsia="Times New Roman"/>
              </w:rPr>
            </w:pPr>
          </w:p>
        </w:tc>
      </w:tr>
      <w:tr w:rsidR="00000000" w14:paraId="44EDCA29" w14:textId="77777777">
        <w:trPr>
          <w:divId w:val="553853218"/>
        </w:trPr>
        <w:tc>
          <w:tcPr>
            <w:tcW w:w="0" w:type="auto"/>
            <w:gridSpan w:val="4"/>
            <w:shd w:val="clear" w:color="auto" w:fill="FFFFFF"/>
            <w:tcMar>
              <w:top w:w="30" w:type="dxa"/>
              <w:left w:w="20" w:type="dxa"/>
              <w:bottom w:w="30" w:type="dxa"/>
              <w:right w:w="20" w:type="dxa"/>
            </w:tcMar>
            <w:vAlign w:val="center"/>
            <w:hideMark/>
          </w:tcPr>
          <w:p w14:paraId="025DA1AA" w14:textId="77777777" w:rsidR="00000000" w:rsidRDefault="00405D16">
            <w:pPr>
              <w:spacing w:after="100"/>
              <w:rPr>
                <w:rFonts w:eastAsia="Times New Roman"/>
              </w:rPr>
            </w:pPr>
            <w:r>
              <w:rPr>
                <w:rFonts w:eastAsia="Times New Roman"/>
                <w:color w:val="000000"/>
                <w:sz w:val="16"/>
                <w:szCs w:val="16"/>
              </w:rPr>
              <w:t>Issuances of common stock and restricted stock, net of forfeitures</w:t>
            </w:r>
          </w:p>
        </w:tc>
        <w:tc>
          <w:tcPr>
            <w:tcW w:w="0" w:type="auto"/>
            <w:gridSpan w:val="3"/>
            <w:shd w:val="clear" w:color="auto" w:fill="FFFFFF"/>
            <w:tcMar>
              <w:top w:w="0" w:type="dxa"/>
              <w:left w:w="20" w:type="dxa"/>
              <w:bottom w:w="0" w:type="dxa"/>
              <w:right w:w="20" w:type="dxa"/>
            </w:tcMar>
            <w:vAlign w:val="center"/>
            <w:hideMark/>
          </w:tcPr>
          <w:p w14:paraId="5D0FB40C"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7B208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9BC8AB" w14:textId="77777777" w:rsidR="00000000" w:rsidRDefault="00405D16">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376DF1A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DB9F75" w14:textId="77777777" w:rsidR="00000000" w:rsidRDefault="00405D16">
            <w:pPr>
              <w:spacing w:after="100"/>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14:paraId="7781098B" w14:textId="77777777" w:rsidR="00000000" w:rsidRDefault="00405D16">
            <w:pPr>
              <w:spacing w:after="100"/>
              <w:jc w:val="right"/>
              <w:rPr>
                <w:rFonts w:eastAsia="Times New Roman"/>
              </w:rPr>
            </w:pPr>
            <w:r>
              <w:rPr>
                <w:rFonts w:eastAsia="Times New Roman"/>
                <w:color w:val="000000"/>
                <w:sz w:val="16"/>
                <w:szCs w:val="16"/>
              </w:rPr>
              <w:t>583,779 </w:t>
            </w:r>
          </w:p>
        </w:tc>
        <w:tc>
          <w:tcPr>
            <w:tcW w:w="0" w:type="auto"/>
            <w:shd w:val="clear" w:color="auto" w:fill="FFFFFF"/>
            <w:tcMar>
              <w:top w:w="30" w:type="dxa"/>
              <w:left w:w="0" w:type="dxa"/>
              <w:bottom w:w="30" w:type="dxa"/>
              <w:right w:w="20" w:type="dxa"/>
            </w:tcMar>
            <w:vAlign w:val="bottom"/>
            <w:hideMark/>
          </w:tcPr>
          <w:p w14:paraId="2C58029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69619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D25AF7" w14:textId="77777777" w:rsidR="00000000" w:rsidRDefault="00405D16">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14:paraId="10F87F8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41816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0D8BE7" w14:textId="77777777" w:rsidR="00000000" w:rsidRDefault="00405D16">
            <w:pPr>
              <w:spacing w:after="100"/>
              <w:jc w:val="right"/>
              <w:rPr>
                <w:rFonts w:eastAsia="Times New Roman"/>
              </w:rPr>
            </w:pPr>
            <w:r>
              <w:rPr>
                <w:rFonts w:eastAsia="Times New Roman"/>
                <w:color w:val="000000"/>
                <w:sz w:val="16"/>
                <w:szCs w:val="16"/>
              </w:rPr>
              <w:t>60 </w:t>
            </w:r>
          </w:p>
        </w:tc>
        <w:tc>
          <w:tcPr>
            <w:tcW w:w="0" w:type="auto"/>
            <w:shd w:val="clear" w:color="auto" w:fill="FFFFFF"/>
            <w:tcMar>
              <w:top w:w="30" w:type="dxa"/>
              <w:left w:w="0" w:type="dxa"/>
              <w:bottom w:w="30" w:type="dxa"/>
              <w:right w:w="20" w:type="dxa"/>
            </w:tcMar>
            <w:vAlign w:val="bottom"/>
            <w:hideMark/>
          </w:tcPr>
          <w:p w14:paraId="46BD0E0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D13A14" w14:textId="77777777" w:rsidR="00000000" w:rsidRDefault="00405D16">
            <w:pPr>
              <w:spacing w:after="100"/>
              <w:jc w:val="right"/>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14:paraId="3EADE8EF" w14:textId="77777777" w:rsidR="00000000" w:rsidRDefault="00405D16">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30CDE03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20153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DBD54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90B70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CADCB8" w14:textId="77777777" w:rsidR="00000000" w:rsidRDefault="00405D16">
            <w:pPr>
              <w:spacing w:after="100"/>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14:paraId="5182297A" w14:textId="77777777" w:rsidR="00000000" w:rsidRDefault="00405D16">
            <w:pPr>
              <w:spacing w:after="100"/>
              <w:jc w:val="right"/>
              <w:rPr>
                <w:rFonts w:eastAsia="Times New Roman"/>
              </w:rPr>
            </w:pPr>
            <w:r>
              <w:rPr>
                <w:rFonts w:eastAsia="Times New Roman"/>
                <w:color w:val="000000"/>
                <w:sz w:val="16"/>
                <w:szCs w:val="16"/>
              </w:rPr>
              <w:t>60 </w:t>
            </w:r>
          </w:p>
        </w:tc>
        <w:tc>
          <w:tcPr>
            <w:tcW w:w="0" w:type="auto"/>
            <w:shd w:val="clear" w:color="auto" w:fill="FFFFFF"/>
            <w:tcMar>
              <w:top w:w="30" w:type="dxa"/>
              <w:left w:w="0" w:type="dxa"/>
              <w:bottom w:w="30" w:type="dxa"/>
              <w:right w:w="20" w:type="dxa"/>
            </w:tcMar>
            <w:vAlign w:val="bottom"/>
            <w:hideMark/>
          </w:tcPr>
          <w:p w14:paraId="097E14BA" w14:textId="77777777" w:rsidR="00000000" w:rsidRDefault="00405D16">
            <w:pPr>
              <w:spacing w:after="100"/>
              <w:jc w:val="right"/>
              <w:rPr>
                <w:rFonts w:eastAsia="Times New Roman"/>
              </w:rPr>
            </w:pPr>
          </w:p>
        </w:tc>
      </w:tr>
      <w:tr w:rsidR="00000000" w14:paraId="64F57691" w14:textId="77777777">
        <w:trPr>
          <w:divId w:val="553853218"/>
        </w:trPr>
        <w:tc>
          <w:tcPr>
            <w:tcW w:w="0" w:type="auto"/>
            <w:gridSpan w:val="4"/>
            <w:shd w:val="clear" w:color="auto" w:fill="CCEEFF"/>
            <w:tcMar>
              <w:top w:w="30" w:type="dxa"/>
              <w:left w:w="20" w:type="dxa"/>
              <w:bottom w:w="30" w:type="dxa"/>
              <w:right w:w="20" w:type="dxa"/>
            </w:tcMar>
            <w:vAlign w:val="center"/>
            <w:hideMark/>
          </w:tcPr>
          <w:p w14:paraId="71714F46" w14:textId="77777777" w:rsidR="00000000" w:rsidRDefault="00405D16">
            <w:pPr>
              <w:spacing w:after="100"/>
              <w:rPr>
                <w:rFonts w:eastAsia="Times New Roman"/>
              </w:rPr>
            </w:pPr>
            <w:r>
              <w:rPr>
                <w:rFonts w:eastAsia="Times New Roman"/>
                <w:color w:val="000000"/>
                <w:sz w:val="16"/>
                <w:szCs w:val="16"/>
              </w:rPr>
              <w:t>Exercises of stock options</w:t>
            </w:r>
          </w:p>
        </w:tc>
        <w:tc>
          <w:tcPr>
            <w:tcW w:w="0" w:type="auto"/>
            <w:gridSpan w:val="3"/>
            <w:shd w:val="clear" w:color="auto" w:fill="CCEEFF"/>
            <w:tcMar>
              <w:top w:w="0" w:type="dxa"/>
              <w:left w:w="20" w:type="dxa"/>
              <w:bottom w:w="0" w:type="dxa"/>
              <w:right w:w="20" w:type="dxa"/>
            </w:tcMar>
            <w:vAlign w:val="center"/>
            <w:hideMark/>
          </w:tcPr>
          <w:p w14:paraId="22FB1C1B"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71EC0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78DFE6"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5732511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5DFE0E" w14:textId="77777777" w:rsidR="00000000" w:rsidRDefault="00405D16">
            <w:pPr>
              <w:spacing w:after="100"/>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14:paraId="70E82DFC" w14:textId="77777777" w:rsidR="00000000" w:rsidRDefault="00405D16">
            <w:pPr>
              <w:spacing w:after="100"/>
              <w:jc w:val="right"/>
              <w:rPr>
                <w:rFonts w:eastAsia="Times New Roman"/>
              </w:rPr>
            </w:pPr>
            <w:r>
              <w:rPr>
                <w:rFonts w:eastAsia="Times New Roman"/>
                <w:color w:val="000000"/>
                <w:sz w:val="16"/>
                <w:szCs w:val="16"/>
              </w:rPr>
              <w:t>209,528 </w:t>
            </w:r>
          </w:p>
        </w:tc>
        <w:tc>
          <w:tcPr>
            <w:tcW w:w="0" w:type="auto"/>
            <w:shd w:val="clear" w:color="auto" w:fill="CCEEFF"/>
            <w:tcMar>
              <w:top w:w="30" w:type="dxa"/>
              <w:left w:w="0" w:type="dxa"/>
              <w:bottom w:w="30" w:type="dxa"/>
              <w:right w:w="20" w:type="dxa"/>
            </w:tcMar>
            <w:vAlign w:val="center"/>
            <w:hideMark/>
          </w:tcPr>
          <w:p w14:paraId="163900A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DAD3E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D00C2A1" w14:textId="77777777" w:rsidR="00000000" w:rsidRDefault="00405D16">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14:paraId="41374F5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EA8C1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E0C90D7" w14:textId="77777777" w:rsidR="00000000" w:rsidRDefault="00405D16">
            <w:pPr>
              <w:spacing w:after="100"/>
              <w:jc w:val="right"/>
              <w:rPr>
                <w:rFonts w:eastAsia="Times New Roman"/>
              </w:rPr>
            </w:pPr>
            <w:r>
              <w:rPr>
                <w:rFonts w:eastAsia="Times New Roman"/>
                <w:color w:val="000000"/>
                <w:sz w:val="16"/>
                <w:szCs w:val="16"/>
              </w:rPr>
              <w:t>15 </w:t>
            </w:r>
          </w:p>
        </w:tc>
        <w:tc>
          <w:tcPr>
            <w:tcW w:w="0" w:type="auto"/>
            <w:shd w:val="clear" w:color="auto" w:fill="CCEEFF"/>
            <w:tcMar>
              <w:top w:w="30" w:type="dxa"/>
              <w:left w:w="0" w:type="dxa"/>
              <w:bottom w:w="30" w:type="dxa"/>
              <w:right w:w="20" w:type="dxa"/>
            </w:tcMar>
            <w:vAlign w:val="center"/>
            <w:hideMark/>
          </w:tcPr>
          <w:p w14:paraId="631D5D1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8891FE" w14:textId="77777777" w:rsidR="00000000" w:rsidRDefault="00405D16">
            <w:pPr>
              <w:spacing w:after="100"/>
              <w:jc w:val="right"/>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2A55B34A"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34CBD4A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AA026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2B0D4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A9FB5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1B430B" w14:textId="77777777" w:rsidR="00000000" w:rsidRDefault="00405D16">
            <w:pPr>
              <w:spacing w:after="100"/>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14:paraId="05E7D710" w14:textId="77777777" w:rsidR="00000000" w:rsidRDefault="00405D16">
            <w:pPr>
              <w:spacing w:after="100"/>
              <w:jc w:val="right"/>
              <w:rPr>
                <w:rFonts w:eastAsia="Times New Roman"/>
              </w:rPr>
            </w:pPr>
            <w:r>
              <w:rPr>
                <w:rFonts w:eastAsia="Times New Roman"/>
                <w:color w:val="000000"/>
                <w:sz w:val="16"/>
                <w:szCs w:val="16"/>
              </w:rPr>
              <w:t>15 </w:t>
            </w:r>
          </w:p>
        </w:tc>
        <w:tc>
          <w:tcPr>
            <w:tcW w:w="0" w:type="auto"/>
            <w:shd w:val="clear" w:color="auto" w:fill="CCEEFF"/>
            <w:tcMar>
              <w:top w:w="30" w:type="dxa"/>
              <w:left w:w="0" w:type="dxa"/>
              <w:bottom w:w="30" w:type="dxa"/>
              <w:right w:w="20" w:type="dxa"/>
            </w:tcMar>
            <w:vAlign w:val="center"/>
            <w:hideMark/>
          </w:tcPr>
          <w:p w14:paraId="2A324107" w14:textId="77777777" w:rsidR="00000000" w:rsidRDefault="00405D16">
            <w:pPr>
              <w:spacing w:after="100"/>
              <w:jc w:val="right"/>
              <w:rPr>
                <w:rFonts w:eastAsia="Times New Roman"/>
              </w:rPr>
            </w:pPr>
          </w:p>
        </w:tc>
      </w:tr>
      <w:tr w:rsidR="00000000" w14:paraId="00AECB51" w14:textId="77777777">
        <w:trPr>
          <w:divId w:val="553853218"/>
        </w:trPr>
        <w:tc>
          <w:tcPr>
            <w:tcW w:w="0" w:type="auto"/>
            <w:gridSpan w:val="4"/>
            <w:shd w:val="clear" w:color="auto" w:fill="FFFFFF"/>
            <w:tcMar>
              <w:top w:w="30" w:type="dxa"/>
              <w:left w:w="20" w:type="dxa"/>
              <w:bottom w:w="30" w:type="dxa"/>
              <w:right w:w="20" w:type="dxa"/>
            </w:tcMar>
            <w:vAlign w:val="center"/>
            <w:hideMark/>
          </w:tcPr>
          <w:p w14:paraId="37D28E64" w14:textId="77777777" w:rsidR="00000000" w:rsidRDefault="00405D16">
            <w:pPr>
              <w:spacing w:after="100"/>
              <w:rPr>
                <w:rFonts w:eastAsia="Times New Roman"/>
              </w:rPr>
            </w:pPr>
            <w:r>
              <w:rPr>
                <w:rFonts w:eastAsia="Times New Roman"/>
                <w:color w:val="000000"/>
                <w:sz w:val="16"/>
                <w:szCs w:val="16"/>
              </w:rPr>
              <w:t>Issuances of preferred stock</w:t>
            </w:r>
          </w:p>
        </w:tc>
        <w:tc>
          <w:tcPr>
            <w:tcW w:w="0" w:type="auto"/>
            <w:gridSpan w:val="3"/>
            <w:shd w:val="clear" w:color="auto" w:fill="FFFFFF"/>
            <w:tcMar>
              <w:top w:w="0" w:type="dxa"/>
              <w:left w:w="20" w:type="dxa"/>
              <w:bottom w:w="0" w:type="dxa"/>
              <w:right w:w="20" w:type="dxa"/>
            </w:tcMar>
            <w:vAlign w:val="center"/>
            <w:hideMark/>
          </w:tcPr>
          <w:p w14:paraId="23AD5385"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B69C9D7" w14:textId="77777777" w:rsidR="00000000" w:rsidRDefault="00405D16">
            <w:pPr>
              <w:spacing w:after="100"/>
              <w:jc w:val="right"/>
              <w:rPr>
                <w:rFonts w:eastAsia="Times New Roman"/>
              </w:rPr>
            </w:pPr>
            <w:r>
              <w:rPr>
                <w:rFonts w:eastAsia="Times New Roman"/>
                <w:color w:val="000000"/>
                <w:sz w:val="16"/>
                <w:szCs w:val="16"/>
              </w:rPr>
              <w:t>1,675,000 </w:t>
            </w:r>
          </w:p>
        </w:tc>
        <w:tc>
          <w:tcPr>
            <w:tcW w:w="0" w:type="auto"/>
            <w:shd w:val="clear" w:color="auto" w:fill="FFFFFF"/>
            <w:tcMar>
              <w:top w:w="30" w:type="dxa"/>
              <w:left w:w="0" w:type="dxa"/>
              <w:bottom w:w="30" w:type="dxa"/>
              <w:right w:w="20" w:type="dxa"/>
            </w:tcMar>
            <w:vAlign w:val="center"/>
            <w:hideMark/>
          </w:tcPr>
          <w:p w14:paraId="3471239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6FDDB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59A2268" w14:textId="77777777" w:rsidR="00000000" w:rsidRDefault="00405D16">
            <w:pPr>
              <w:spacing w:after="100"/>
              <w:jc w:val="right"/>
              <w:rPr>
                <w:rFonts w:eastAsia="Times New Roman"/>
              </w:rPr>
            </w:pPr>
            <w:r>
              <w:rPr>
                <w:rFonts w:eastAsia="Times New Roman"/>
                <w:color w:val="000000"/>
                <w:sz w:val="16"/>
                <w:szCs w:val="16"/>
              </w:rPr>
              <w:t>0 </w:t>
            </w:r>
          </w:p>
        </w:tc>
        <w:tc>
          <w:tcPr>
            <w:tcW w:w="0" w:type="auto"/>
            <w:gridSpan w:val="2"/>
            <w:shd w:val="clear" w:color="auto" w:fill="FFFFFF"/>
            <w:tcMar>
              <w:top w:w="30" w:type="dxa"/>
              <w:left w:w="0" w:type="dxa"/>
              <w:bottom w:w="30" w:type="dxa"/>
              <w:right w:w="20" w:type="dxa"/>
            </w:tcMar>
            <w:vAlign w:val="center"/>
            <w:hideMark/>
          </w:tcPr>
          <w:p w14:paraId="2526B0B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57555E" w14:textId="77777777" w:rsidR="00000000" w:rsidRDefault="00405D16">
            <w:pPr>
              <w:spacing w:after="100"/>
              <w:jc w:val="right"/>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14:paraId="2972EA04"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88606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E693F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C89C44"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51FB57F" w14:textId="77777777" w:rsidR="00000000" w:rsidRDefault="00405D16">
            <w:pPr>
              <w:spacing w:after="100"/>
              <w:jc w:val="right"/>
              <w:rPr>
                <w:rFonts w:eastAsia="Times New Roman"/>
              </w:rPr>
            </w:pPr>
            <w:r>
              <w:rPr>
                <w:rFonts w:eastAsia="Times New Roman"/>
                <w:color w:val="000000"/>
                <w:sz w:val="16"/>
                <w:szCs w:val="16"/>
              </w:rPr>
              <w:t>1,641 </w:t>
            </w:r>
          </w:p>
        </w:tc>
        <w:tc>
          <w:tcPr>
            <w:tcW w:w="0" w:type="auto"/>
            <w:shd w:val="clear" w:color="auto" w:fill="FFFFFF"/>
            <w:tcMar>
              <w:top w:w="30" w:type="dxa"/>
              <w:left w:w="0" w:type="dxa"/>
              <w:bottom w:w="30" w:type="dxa"/>
              <w:right w:w="20" w:type="dxa"/>
            </w:tcMar>
            <w:vAlign w:val="center"/>
            <w:hideMark/>
          </w:tcPr>
          <w:p w14:paraId="4C8285F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5AB48B" w14:textId="77777777" w:rsidR="00000000" w:rsidRDefault="00405D16">
            <w:pPr>
              <w:spacing w:after="100"/>
              <w:jc w:val="right"/>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14:paraId="20CD017A" w14:textId="77777777" w:rsidR="00000000" w:rsidRDefault="00405D16">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73BE7C0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A85EF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5149A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8396F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43289D" w14:textId="77777777" w:rsidR="00000000" w:rsidRDefault="00405D16">
            <w:pPr>
              <w:spacing w:after="100"/>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14:paraId="4E7A19A7" w14:textId="77777777" w:rsidR="00000000" w:rsidRDefault="00405D16">
            <w:pPr>
              <w:spacing w:after="100"/>
              <w:jc w:val="right"/>
              <w:rPr>
                <w:rFonts w:eastAsia="Times New Roman"/>
              </w:rPr>
            </w:pPr>
            <w:r>
              <w:rPr>
                <w:rFonts w:eastAsia="Times New Roman"/>
                <w:color w:val="000000"/>
                <w:sz w:val="16"/>
                <w:szCs w:val="16"/>
              </w:rPr>
              <w:t>1,641 </w:t>
            </w:r>
          </w:p>
        </w:tc>
        <w:tc>
          <w:tcPr>
            <w:tcW w:w="0" w:type="auto"/>
            <w:shd w:val="clear" w:color="auto" w:fill="FFFFFF"/>
            <w:tcMar>
              <w:top w:w="30" w:type="dxa"/>
              <w:left w:w="0" w:type="dxa"/>
              <w:bottom w:w="30" w:type="dxa"/>
              <w:right w:w="20" w:type="dxa"/>
            </w:tcMar>
            <w:vAlign w:val="center"/>
            <w:hideMark/>
          </w:tcPr>
          <w:p w14:paraId="3D36F702" w14:textId="77777777" w:rsidR="00000000" w:rsidRDefault="00405D16">
            <w:pPr>
              <w:spacing w:after="100"/>
              <w:jc w:val="right"/>
              <w:rPr>
                <w:rFonts w:eastAsia="Times New Roman"/>
              </w:rPr>
            </w:pPr>
          </w:p>
        </w:tc>
      </w:tr>
      <w:tr w:rsidR="00000000" w14:paraId="475BD451" w14:textId="77777777">
        <w:trPr>
          <w:divId w:val="553853218"/>
        </w:trPr>
        <w:tc>
          <w:tcPr>
            <w:tcW w:w="0" w:type="auto"/>
            <w:gridSpan w:val="4"/>
            <w:shd w:val="clear" w:color="auto" w:fill="CCEEFF"/>
            <w:tcMar>
              <w:top w:w="30" w:type="dxa"/>
              <w:left w:w="20" w:type="dxa"/>
              <w:bottom w:w="30" w:type="dxa"/>
              <w:right w:w="20" w:type="dxa"/>
            </w:tcMar>
            <w:vAlign w:val="center"/>
            <w:hideMark/>
          </w:tcPr>
          <w:p w14:paraId="4CBA8FC2" w14:textId="77777777" w:rsidR="00000000" w:rsidRDefault="00405D16">
            <w:pPr>
              <w:spacing w:after="100"/>
              <w:rPr>
                <w:rFonts w:eastAsia="Times New Roman"/>
              </w:rPr>
            </w:pPr>
            <w:r>
              <w:rPr>
                <w:rFonts w:eastAsia="Times New Roman"/>
                <w:color w:val="000000"/>
                <w:sz w:val="16"/>
                <w:szCs w:val="16"/>
              </w:rPr>
              <w:t>Compensation expense for restricted stock units</w:t>
            </w:r>
          </w:p>
        </w:tc>
        <w:tc>
          <w:tcPr>
            <w:tcW w:w="0" w:type="auto"/>
            <w:gridSpan w:val="3"/>
            <w:shd w:val="clear" w:color="auto" w:fill="CCEEFF"/>
            <w:tcMar>
              <w:top w:w="0" w:type="dxa"/>
              <w:left w:w="20" w:type="dxa"/>
              <w:bottom w:w="0" w:type="dxa"/>
              <w:right w:w="20" w:type="dxa"/>
            </w:tcMar>
            <w:vAlign w:val="center"/>
            <w:hideMark/>
          </w:tcPr>
          <w:p w14:paraId="2C29DB32"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CAEAA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99BCB2"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77E8EE4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0AE0B5" w14:textId="77777777" w:rsidR="00000000" w:rsidRDefault="00405D16">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425B466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A90F0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B1393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EC87AA"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1D3D55" w14:textId="77777777" w:rsidR="00000000" w:rsidRDefault="00405D16">
            <w:pPr>
              <w:spacing w:after="100"/>
              <w:jc w:val="right"/>
              <w:rPr>
                <w:rFonts w:eastAsia="Times New Roman"/>
              </w:rPr>
            </w:pPr>
            <w:r>
              <w:rPr>
                <w:rFonts w:eastAsia="Times New Roman"/>
                <w:color w:val="000000"/>
                <w:sz w:val="16"/>
                <w:szCs w:val="16"/>
              </w:rPr>
              <w:t>84 </w:t>
            </w:r>
          </w:p>
        </w:tc>
        <w:tc>
          <w:tcPr>
            <w:tcW w:w="0" w:type="auto"/>
            <w:shd w:val="clear" w:color="auto" w:fill="CCEEFF"/>
            <w:tcMar>
              <w:top w:w="30" w:type="dxa"/>
              <w:left w:w="0" w:type="dxa"/>
              <w:bottom w:w="30" w:type="dxa"/>
              <w:right w:w="20" w:type="dxa"/>
            </w:tcMar>
            <w:vAlign w:val="bottom"/>
            <w:hideMark/>
          </w:tcPr>
          <w:p w14:paraId="78C69EA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C2208C" w14:textId="77777777" w:rsidR="00000000" w:rsidRDefault="00405D16">
            <w:pPr>
              <w:spacing w:after="100"/>
              <w:jc w:val="right"/>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106782A3"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6E0B70B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F023F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A00AB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C764A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6DE6AF" w14:textId="77777777" w:rsidR="00000000" w:rsidRDefault="00405D16">
            <w:pPr>
              <w:spacing w:after="100"/>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4F37BD5C" w14:textId="77777777" w:rsidR="00000000" w:rsidRDefault="00405D16">
            <w:pPr>
              <w:spacing w:after="100"/>
              <w:jc w:val="right"/>
              <w:rPr>
                <w:rFonts w:eastAsia="Times New Roman"/>
              </w:rPr>
            </w:pPr>
            <w:r>
              <w:rPr>
                <w:rFonts w:eastAsia="Times New Roman"/>
                <w:color w:val="000000"/>
                <w:sz w:val="16"/>
                <w:szCs w:val="16"/>
              </w:rPr>
              <w:t>84 </w:t>
            </w:r>
          </w:p>
        </w:tc>
        <w:tc>
          <w:tcPr>
            <w:tcW w:w="0" w:type="auto"/>
            <w:shd w:val="clear" w:color="auto" w:fill="CCEEFF"/>
            <w:tcMar>
              <w:top w:w="30" w:type="dxa"/>
              <w:left w:w="0" w:type="dxa"/>
              <w:bottom w:w="30" w:type="dxa"/>
              <w:right w:w="20" w:type="dxa"/>
            </w:tcMar>
            <w:vAlign w:val="bottom"/>
            <w:hideMark/>
          </w:tcPr>
          <w:p w14:paraId="286860F1" w14:textId="77777777" w:rsidR="00000000" w:rsidRDefault="00405D16">
            <w:pPr>
              <w:spacing w:after="100"/>
              <w:jc w:val="right"/>
              <w:rPr>
                <w:rFonts w:eastAsia="Times New Roman"/>
              </w:rPr>
            </w:pPr>
          </w:p>
        </w:tc>
      </w:tr>
      <w:tr w:rsidR="00405D16" w14:paraId="1341C1D9" w14:textId="77777777">
        <w:trPr>
          <w:divId w:val="553853218"/>
        </w:trPr>
        <w:tc>
          <w:tcPr>
            <w:tcW w:w="0" w:type="auto"/>
            <w:gridSpan w:val="4"/>
            <w:shd w:val="clear" w:color="auto" w:fill="FFFFFF"/>
            <w:tcMar>
              <w:top w:w="30" w:type="dxa"/>
              <w:left w:w="20" w:type="dxa"/>
              <w:bottom w:w="30" w:type="dxa"/>
              <w:right w:w="20" w:type="dxa"/>
            </w:tcMar>
            <w:vAlign w:val="center"/>
            <w:hideMark/>
          </w:tcPr>
          <w:p w14:paraId="28ED0E4E" w14:textId="77777777" w:rsidR="00000000" w:rsidRDefault="00405D16">
            <w:pPr>
              <w:spacing w:after="100"/>
              <w:rPr>
                <w:rFonts w:eastAsia="Times New Roman"/>
              </w:rPr>
            </w:pPr>
            <w:r>
              <w:rPr>
                <w:rFonts w:eastAsia="Times New Roman"/>
                <w:b/>
                <w:bCs/>
                <w:color w:val="000000"/>
                <w:sz w:val="16"/>
                <w:szCs w:val="16"/>
              </w:rPr>
              <w:t>Balance as of June 30, 2021</w:t>
            </w:r>
          </w:p>
        </w:tc>
        <w:tc>
          <w:tcPr>
            <w:tcW w:w="0" w:type="auto"/>
            <w:gridSpan w:val="3"/>
            <w:shd w:val="clear" w:color="auto" w:fill="FFFFFF"/>
            <w:tcMar>
              <w:top w:w="0" w:type="dxa"/>
              <w:left w:w="20" w:type="dxa"/>
              <w:bottom w:w="0" w:type="dxa"/>
              <w:right w:w="20" w:type="dxa"/>
            </w:tcMar>
            <w:vAlign w:val="center"/>
            <w:hideMark/>
          </w:tcPr>
          <w:p w14:paraId="294A88E0"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B71B83E" w14:textId="77777777" w:rsidR="00000000" w:rsidRDefault="00405D16">
            <w:pPr>
              <w:spacing w:after="100"/>
              <w:jc w:val="right"/>
              <w:rPr>
                <w:rFonts w:eastAsia="Times New Roman"/>
              </w:rPr>
            </w:pPr>
            <w:r>
              <w:rPr>
                <w:rFonts w:eastAsia="Times New Roman"/>
                <w:color w:val="000000"/>
                <w:sz w:val="16"/>
                <w:szCs w:val="16"/>
              </w:rPr>
              <w:t>6,650,000 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4B5E53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27156C"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236D8AAE"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3C6E02C3" w14:textId="77777777" w:rsidR="00000000" w:rsidRDefault="00405D16">
            <w:pPr>
              <w:spacing w:after="100"/>
              <w:jc w:val="right"/>
              <w:rPr>
                <w:rFonts w:eastAsia="Times New Roman"/>
              </w:rPr>
            </w:pPr>
            <w:r>
              <w:rPr>
                <w:rFonts w:eastAsia="Times New Roman"/>
                <w:color w:val="000000"/>
                <w:sz w:val="16"/>
                <w:szCs w:val="16"/>
              </w:rPr>
              <w:t>0 </w:t>
            </w:r>
          </w:p>
        </w:tc>
        <w:tc>
          <w:tcPr>
            <w:tcW w:w="0" w:type="auto"/>
            <w:gridSpan w:val="2"/>
            <w:tcBorders>
              <w:top w:val="single" w:sz="8" w:space="0" w:color="000000"/>
            </w:tcBorders>
            <w:shd w:val="clear" w:color="auto" w:fill="FFFFFF"/>
            <w:tcMar>
              <w:top w:w="30" w:type="dxa"/>
              <w:left w:w="0" w:type="dxa"/>
              <w:bottom w:w="30" w:type="dxa"/>
              <w:right w:w="20" w:type="dxa"/>
            </w:tcMar>
            <w:vAlign w:val="center"/>
            <w:hideMark/>
          </w:tcPr>
          <w:p w14:paraId="636CCC9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F22103" w14:textId="77777777" w:rsidR="00000000" w:rsidRDefault="00405D16">
            <w:pPr>
              <w:spacing w:after="100"/>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center"/>
            <w:hideMark/>
          </w:tcPr>
          <w:p w14:paraId="66E94D99" w14:textId="77777777" w:rsidR="00000000" w:rsidRDefault="00405D16">
            <w:pPr>
              <w:spacing w:after="100"/>
              <w:jc w:val="right"/>
              <w:rPr>
                <w:rFonts w:eastAsia="Times New Roman"/>
              </w:rPr>
            </w:pPr>
            <w:r>
              <w:rPr>
                <w:rFonts w:eastAsia="Times New Roman"/>
                <w:color w:val="000000"/>
                <w:sz w:val="16"/>
                <w:szCs w:val="16"/>
              </w:rPr>
              <w:t>683,559,818 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F52DAC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A09362"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5342F72F"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4B11A515" w14:textId="77777777" w:rsidR="00000000" w:rsidRDefault="00405D16">
            <w:pPr>
              <w:spacing w:after="100"/>
              <w:jc w:val="right"/>
              <w:rPr>
                <w:rFonts w:eastAsia="Times New Roman"/>
              </w:rPr>
            </w:pPr>
            <w:r>
              <w:rPr>
                <w:rFonts w:eastAsia="Times New Roman"/>
                <w:color w:val="000000"/>
                <w:sz w:val="16"/>
                <w:szCs w:val="16"/>
              </w:rPr>
              <w:t>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EF6FCC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4B680E"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3BE3C950"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2CAECEF1" w14:textId="77777777" w:rsidR="00000000" w:rsidRDefault="00405D16">
            <w:pPr>
              <w:spacing w:after="100"/>
              <w:jc w:val="right"/>
              <w:rPr>
                <w:rFonts w:eastAsia="Times New Roman"/>
              </w:rPr>
            </w:pPr>
            <w:r>
              <w:rPr>
                <w:rFonts w:eastAsia="Times New Roman"/>
                <w:color w:val="000000"/>
                <w:sz w:val="16"/>
                <w:szCs w:val="16"/>
              </w:rPr>
              <w:t>35,472 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945B4F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3C312A"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2A36CC09" w14:textId="77777777" w:rsidR="00000000" w:rsidRDefault="00405D16">
            <w:pPr>
              <w:spacing w:after="100"/>
              <w:rPr>
                <w:rFonts w:eastAsia="Times New Roman"/>
              </w:rPr>
            </w:pPr>
            <w:r>
              <w:rPr>
                <w:rFonts w:eastAsia="Times New Roman"/>
                <w:color w:val="000000"/>
                <w:sz w:val="16"/>
                <w:szCs w:val="16"/>
              </w:rPr>
              <w:t>$</w:t>
            </w:r>
          </w:p>
        </w:tc>
        <w:tc>
          <w:tcPr>
            <w:tcW w:w="0" w:type="auto"/>
            <w:gridSpan w:val="3"/>
            <w:tcBorders>
              <w:top w:val="single" w:sz="8" w:space="0" w:color="000000"/>
            </w:tcBorders>
            <w:shd w:val="clear" w:color="auto" w:fill="FFFFFF"/>
            <w:tcMar>
              <w:top w:w="30" w:type="dxa"/>
              <w:left w:w="0" w:type="dxa"/>
              <w:bottom w:w="30" w:type="dxa"/>
              <w:right w:w="0" w:type="dxa"/>
            </w:tcMar>
            <w:vAlign w:val="center"/>
            <w:hideMark/>
          </w:tcPr>
          <w:p w14:paraId="133E3C74" w14:textId="77777777" w:rsidR="00000000" w:rsidRDefault="00405D16">
            <w:pPr>
              <w:spacing w:after="100"/>
              <w:jc w:val="right"/>
              <w:rPr>
                <w:rFonts w:eastAsia="Times New Roman"/>
              </w:rPr>
            </w:pPr>
            <w:r>
              <w:rPr>
                <w:rFonts w:eastAsia="Times New Roman"/>
                <w:color w:val="000000"/>
                <w:sz w:val="16"/>
                <w:szCs w:val="16"/>
              </w:rPr>
              <w:t>46,461 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5A1F70B"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418F5715"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330CA4A9"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0715ADAE" w14:textId="77777777" w:rsidR="00000000" w:rsidRDefault="00405D16">
            <w:pPr>
              <w:spacing w:after="100"/>
              <w:jc w:val="right"/>
              <w:rPr>
                <w:rFonts w:eastAsia="Times New Roman"/>
              </w:rPr>
            </w:pPr>
            <w:r>
              <w:rPr>
                <w:rFonts w:eastAsia="Times New Roman"/>
                <w:color w:val="000000"/>
                <w:sz w:val="16"/>
                <w:szCs w:val="16"/>
              </w:rPr>
              <w:t>1,792 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5B4AE3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8C9B85"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30371CDA"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4D5AA160" w14:textId="77777777" w:rsidR="00000000" w:rsidRDefault="00405D16">
            <w:pPr>
              <w:spacing w:after="100"/>
              <w:jc w:val="right"/>
              <w:rPr>
                <w:rFonts w:eastAsia="Times New Roman"/>
              </w:rPr>
            </w:pPr>
            <w:r>
              <w:rPr>
                <w:rFonts w:eastAsia="Times New Roman"/>
                <w:color w:val="000000"/>
                <w:sz w:val="16"/>
                <w:szCs w:val="16"/>
              </w:rPr>
              <w:t>(19,108)</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8EDB2F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F7BECB"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585F3E66" w14:textId="77777777" w:rsidR="00000000" w:rsidRDefault="00405D16">
            <w:pPr>
              <w:spacing w:after="100"/>
              <w:rPr>
                <w:rFonts w:eastAsia="Times New Roman"/>
              </w:rPr>
            </w:pPr>
            <w:r>
              <w:rPr>
                <w:rFonts w:eastAsia="Times New Roman"/>
                <w:color w:val="000000"/>
                <w:sz w:val="16"/>
                <w:szCs w:val="16"/>
              </w:rPr>
              <w:t>$</w:t>
            </w:r>
          </w:p>
        </w:tc>
        <w:tc>
          <w:tcPr>
            <w:tcW w:w="0" w:type="auto"/>
            <w:gridSpan w:val="3"/>
            <w:tcBorders>
              <w:top w:val="single" w:sz="8" w:space="0" w:color="000000"/>
            </w:tcBorders>
            <w:shd w:val="clear" w:color="auto" w:fill="FFFFFF"/>
            <w:tcMar>
              <w:top w:w="30" w:type="dxa"/>
              <w:left w:w="0" w:type="dxa"/>
              <w:bottom w:w="30" w:type="dxa"/>
              <w:right w:w="0" w:type="dxa"/>
            </w:tcMar>
            <w:vAlign w:val="center"/>
            <w:hideMark/>
          </w:tcPr>
          <w:p w14:paraId="58E9A1ED" w14:textId="77777777" w:rsidR="00000000" w:rsidRDefault="00405D16">
            <w:pPr>
              <w:spacing w:after="100"/>
              <w:jc w:val="right"/>
              <w:rPr>
                <w:rFonts w:eastAsia="Times New Roman"/>
              </w:rPr>
            </w:pPr>
            <w:r>
              <w:rPr>
                <w:rFonts w:eastAsia="Times New Roman"/>
                <w:color w:val="000000"/>
                <w:sz w:val="16"/>
                <w:szCs w:val="16"/>
              </w:rPr>
              <w:t>64,624 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5F5D6E5" w14:textId="77777777" w:rsidR="00000000" w:rsidRDefault="00405D16">
            <w:pPr>
              <w:spacing w:after="100"/>
              <w:jc w:val="right"/>
              <w:rPr>
                <w:rFonts w:eastAsia="Times New Roman"/>
              </w:rPr>
            </w:pPr>
          </w:p>
        </w:tc>
      </w:tr>
      <w:tr w:rsidR="00000000" w14:paraId="0EEAD3D2" w14:textId="77777777">
        <w:trPr>
          <w:divId w:val="553853218"/>
        </w:trPr>
        <w:tc>
          <w:tcPr>
            <w:tcW w:w="0" w:type="auto"/>
            <w:gridSpan w:val="4"/>
            <w:vAlign w:val="center"/>
            <w:hideMark/>
          </w:tcPr>
          <w:p w14:paraId="5CB64D37" w14:textId="77777777" w:rsidR="00000000" w:rsidRDefault="00405D16">
            <w:pPr>
              <w:spacing w:after="100"/>
              <w:jc w:val="right"/>
              <w:rPr>
                <w:rFonts w:eastAsia="Times New Roman"/>
                <w:sz w:val="20"/>
                <w:szCs w:val="20"/>
              </w:rPr>
            </w:pPr>
          </w:p>
        </w:tc>
        <w:tc>
          <w:tcPr>
            <w:tcW w:w="0" w:type="auto"/>
            <w:gridSpan w:val="3"/>
            <w:vAlign w:val="center"/>
            <w:hideMark/>
          </w:tcPr>
          <w:p w14:paraId="58BD1756" w14:textId="77777777" w:rsidR="00000000" w:rsidRDefault="00405D16">
            <w:pPr>
              <w:spacing w:after="100"/>
              <w:rPr>
                <w:rFonts w:eastAsia="Times New Roman"/>
                <w:sz w:val="20"/>
                <w:szCs w:val="20"/>
              </w:rPr>
            </w:pPr>
          </w:p>
        </w:tc>
        <w:tc>
          <w:tcPr>
            <w:tcW w:w="0" w:type="auto"/>
            <w:gridSpan w:val="3"/>
            <w:vAlign w:val="center"/>
            <w:hideMark/>
          </w:tcPr>
          <w:p w14:paraId="69352EB5" w14:textId="77777777" w:rsidR="00000000" w:rsidRDefault="00405D16">
            <w:pPr>
              <w:spacing w:after="100"/>
              <w:rPr>
                <w:rFonts w:eastAsia="Times New Roman"/>
                <w:sz w:val="20"/>
                <w:szCs w:val="20"/>
              </w:rPr>
            </w:pPr>
          </w:p>
        </w:tc>
        <w:tc>
          <w:tcPr>
            <w:tcW w:w="0" w:type="auto"/>
            <w:gridSpan w:val="3"/>
            <w:vAlign w:val="center"/>
            <w:hideMark/>
          </w:tcPr>
          <w:p w14:paraId="384DC83F" w14:textId="77777777" w:rsidR="00000000" w:rsidRDefault="00405D16">
            <w:pPr>
              <w:spacing w:after="100"/>
              <w:rPr>
                <w:rFonts w:eastAsia="Times New Roman"/>
                <w:sz w:val="20"/>
                <w:szCs w:val="20"/>
              </w:rPr>
            </w:pPr>
          </w:p>
        </w:tc>
        <w:tc>
          <w:tcPr>
            <w:tcW w:w="0" w:type="auto"/>
            <w:gridSpan w:val="4"/>
            <w:vAlign w:val="center"/>
            <w:hideMark/>
          </w:tcPr>
          <w:p w14:paraId="1B07E158" w14:textId="77777777" w:rsidR="00000000" w:rsidRDefault="00405D16">
            <w:pPr>
              <w:spacing w:after="100"/>
              <w:rPr>
                <w:rFonts w:eastAsia="Times New Roman"/>
                <w:sz w:val="20"/>
                <w:szCs w:val="20"/>
              </w:rPr>
            </w:pPr>
          </w:p>
        </w:tc>
        <w:tc>
          <w:tcPr>
            <w:tcW w:w="0" w:type="auto"/>
            <w:gridSpan w:val="3"/>
            <w:vAlign w:val="center"/>
            <w:hideMark/>
          </w:tcPr>
          <w:p w14:paraId="185CB940" w14:textId="77777777" w:rsidR="00000000" w:rsidRDefault="00405D16">
            <w:pPr>
              <w:spacing w:after="100"/>
              <w:rPr>
                <w:rFonts w:eastAsia="Times New Roman"/>
                <w:sz w:val="20"/>
                <w:szCs w:val="20"/>
              </w:rPr>
            </w:pPr>
          </w:p>
        </w:tc>
        <w:tc>
          <w:tcPr>
            <w:tcW w:w="0" w:type="auto"/>
            <w:gridSpan w:val="5"/>
            <w:vAlign w:val="center"/>
            <w:hideMark/>
          </w:tcPr>
          <w:p w14:paraId="383B7C48" w14:textId="77777777" w:rsidR="00000000" w:rsidRDefault="00405D16">
            <w:pPr>
              <w:spacing w:after="100"/>
              <w:rPr>
                <w:rFonts w:eastAsia="Times New Roman"/>
                <w:sz w:val="20"/>
                <w:szCs w:val="20"/>
              </w:rPr>
            </w:pPr>
          </w:p>
        </w:tc>
        <w:tc>
          <w:tcPr>
            <w:tcW w:w="0" w:type="auto"/>
            <w:gridSpan w:val="3"/>
            <w:vAlign w:val="center"/>
            <w:hideMark/>
          </w:tcPr>
          <w:p w14:paraId="5D1B9A31" w14:textId="77777777" w:rsidR="00000000" w:rsidRDefault="00405D16">
            <w:pPr>
              <w:spacing w:after="100"/>
              <w:rPr>
                <w:rFonts w:eastAsia="Times New Roman"/>
                <w:sz w:val="20"/>
                <w:szCs w:val="20"/>
              </w:rPr>
            </w:pPr>
          </w:p>
        </w:tc>
        <w:tc>
          <w:tcPr>
            <w:tcW w:w="0" w:type="auto"/>
            <w:gridSpan w:val="3"/>
            <w:vAlign w:val="center"/>
            <w:hideMark/>
          </w:tcPr>
          <w:p w14:paraId="06F720F2" w14:textId="77777777" w:rsidR="00000000" w:rsidRDefault="00405D16">
            <w:pPr>
              <w:spacing w:after="100"/>
              <w:rPr>
                <w:rFonts w:eastAsia="Times New Roman"/>
                <w:sz w:val="20"/>
                <w:szCs w:val="20"/>
              </w:rPr>
            </w:pPr>
          </w:p>
        </w:tc>
        <w:tc>
          <w:tcPr>
            <w:tcW w:w="0" w:type="auto"/>
            <w:gridSpan w:val="3"/>
            <w:vAlign w:val="center"/>
            <w:hideMark/>
          </w:tcPr>
          <w:p w14:paraId="51B7A0E8" w14:textId="77777777" w:rsidR="00000000" w:rsidRDefault="00405D16">
            <w:pPr>
              <w:spacing w:after="100"/>
              <w:rPr>
                <w:rFonts w:eastAsia="Times New Roman"/>
                <w:sz w:val="20"/>
                <w:szCs w:val="20"/>
              </w:rPr>
            </w:pPr>
          </w:p>
        </w:tc>
        <w:tc>
          <w:tcPr>
            <w:tcW w:w="0" w:type="auto"/>
            <w:gridSpan w:val="3"/>
            <w:vAlign w:val="center"/>
            <w:hideMark/>
          </w:tcPr>
          <w:p w14:paraId="0CA4B894" w14:textId="77777777" w:rsidR="00000000" w:rsidRDefault="00405D16">
            <w:pPr>
              <w:spacing w:after="100"/>
              <w:rPr>
                <w:rFonts w:eastAsia="Times New Roman"/>
                <w:sz w:val="20"/>
                <w:szCs w:val="20"/>
              </w:rPr>
            </w:pPr>
          </w:p>
        </w:tc>
        <w:tc>
          <w:tcPr>
            <w:tcW w:w="0" w:type="auto"/>
            <w:gridSpan w:val="3"/>
            <w:vAlign w:val="center"/>
            <w:hideMark/>
          </w:tcPr>
          <w:p w14:paraId="2649C681" w14:textId="77777777" w:rsidR="00000000" w:rsidRDefault="00405D16">
            <w:pPr>
              <w:spacing w:after="100"/>
              <w:rPr>
                <w:rFonts w:eastAsia="Times New Roman"/>
                <w:sz w:val="20"/>
                <w:szCs w:val="20"/>
              </w:rPr>
            </w:pPr>
          </w:p>
        </w:tc>
        <w:tc>
          <w:tcPr>
            <w:tcW w:w="0" w:type="auto"/>
            <w:gridSpan w:val="5"/>
            <w:vAlign w:val="center"/>
            <w:hideMark/>
          </w:tcPr>
          <w:p w14:paraId="77511A4D" w14:textId="77777777" w:rsidR="00000000" w:rsidRDefault="00405D16">
            <w:pPr>
              <w:spacing w:after="100"/>
              <w:rPr>
                <w:rFonts w:eastAsia="Times New Roman"/>
                <w:sz w:val="20"/>
                <w:szCs w:val="20"/>
              </w:rPr>
            </w:pPr>
          </w:p>
        </w:tc>
        <w:tc>
          <w:tcPr>
            <w:tcW w:w="0" w:type="auto"/>
            <w:gridSpan w:val="4"/>
            <w:vAlign w:val="center"/>
            <w:hideMark/>
          </w:tcPr>
          <w:p w14:paraId="7D6AFB33" w14:textId="77777777" w:rsidR="00000000" w:rsidRDefault="00405D16">
            <w:pPr>
              <w:spacing w:after="100"/>
              <w:rPr>
                <w:rFonts w:eastAsia="Times New Roman"/>
                <w:sz w:val="20"/>
                <w:szCs w:val="20"/>
              </w:rPr>
            </w:pPr>
          </w:p>
        </w:tc>
        <w:tc>
          <w:tcPr>
            <w:tcW w:w="0" w:type="auto"/>
            <w:gridSpan w:val="3"/>
            <w:vAlign w:val="center"/>
            <w:hideMark/>
          </w:tcPr>
          <w:p w14:paraId="0C33BDDB" w14:textId="77777777" w:rsidR="00000000" w:rsidRDefault="00405D16">
            <w:pPr>
              <w:spacing w:after="100"/>
              <w:rPr>
                <w:rFonts w:eastAsia="Times New Roman"/>
                <w:sz w:val="20"/>
                <w:szCs w:val="20"/>
              </w:rPr>
            </w:pPr>
          </w:p>
        </w:tc>
        <w:tc>
          <w:tcPr>
            <w:tcW w:w="0" w:type="auto"/>
            <w:gridSpan w:val="3"/>
            <w:vAlign w:val="center"/>
            <w:hideMark/>
          </w:tcPr>
          <w:p w14:paraId="38072472" w14:textId="77777777" w:rsidR="00000000" w:rsidRDefault="00405D16">
            <w:pPr>
              <w:spacing w:after="100"/>
              <w:rPr>
                <w:rFonts w:eastAsia="Times New Roman"/>
                <w:sz w:val="20"/>
                <w:szCs w:val="20"/>
              </w:rPr>
            </w:pPr>
          </w:p>
        </w:tc>
        <w:tc>
          <w:tcPr>
            <w:tcW w:w="0" w:type="auto"/>
            <w:gridSpan w:val="3"/>
            <w:vAlign w:val="center"/>
            <w:hideMark/>
          </w:tcPr>
          <w:p w14:paraId="050DF180" w14:textId="77777777" w:rsidR="00000000" w:rsidRDefault="00405D16">
            <w:pPr>
              <w:spacing w:after="100"/>
              <w:rPr>
                <w:rFonts w:eastAsia="Times New Roman"/>
                <w:sz w:val="20"/>
                <w:szCs w:val="20"/>
              </w:rPr>
            </w:pPr>
          </w:p>
        </w:tc>
        <w:tc>
          <w:tcPr>
            <w:tcW w:w="0" w:type="auto"/>
            <w:gridSpan w:val="3"/>
            <w:vAlign w:val="center"/>
            <w:hideMark/>
          </w:tcPr>
          <w:p w14:paraId="02F664F0" w14:textId="77777777" w:rsidR="00000000" w:rsidRDefault="00405D16">
            <w:pPr>
              <w:spacing w:after="100"/>
              <w:rPr>
                <w:rFonts w:eastAsia="Times New Roman"/>
                <w:sz w:val="20"/>
                <w:szCs w:val="20"/>
              </w:rPr>
            </w:pPr>
          </w:p>
        </w:tc>
        <w:tc>
          <w:tcPr>
            <w:tcW w:w="0" w:type="auto"/>
            <w:gridSpan w:val="5"/>
            <w:vAlign w:val="center"/>
            <w:hideMark/>
          </w:tcPr>
          <w:p w14:paraId="418B0FD2" w14:textId="77777777" w:rsidR="00000000" w:rsidRDefault="00405D16">
            <w:pPr>
              <w:spacing w:after="100"/>
              <w:rPr>
                <w:rFonts w:eastAsia="Times New Roman"/>
                <w:sz w:val="20"/>
                <w:szCs w:val="20"/>
              </w:rPr>
            </w:pPr>
          </w:p>
        </w:tc>
      </w:tr>
      <w:tr w:rsidR="00000000" w14:paraId="2DACE9D3" w14:textId="77777777">
        <w:trPr>
          <w:divId w:val="553853218"/>
        </w:trPr>
        <w:tc>
          <w:tcPr>
            <w:tcW w:w="0" w:type="auto"/>
            <w:gridSpan w:val="4"/>
            <w:shd w:val="clear" w:color="auto" w:fill="CCEEFF"/>
            <w:tcMar>
              <w:top w:w="30" w:type="dxa"/>
              <w:left w:w="20" w:type="dxa"/>
              <w:bottom w:w="30" w:type="dxa"/>
              <w:right w:w="20" w:type="dxa"/>
            </w:tcMar>
            <w:vAlign w:val="center"/>
            <w:hideMark/>
          </w:tcPr>
          <w:p w14:paraId="61CCD250" w14:textId="77777777" w:rsidR="00000000" w:rsidRDefault="00405D16">
            <w:pPr>
              <w:spacing w:after="100"/>
              <w:rPr>
                <w:rFonts w:eastAsia="Times New Roman"/>
              </w:rPr>
            </w:pPr>
            <w:r>
              <w:rPr>
                <w:rFonts w:eastAsia="Times New Roman"/>
                <w:color w:val="000000"/>
                <w:sz w:val="16"/>
                <w:szCs w:val="16"/>
              </w:rPr>
              <w:t>Comprehensive income (loss)</w:t>
            </w:r>
          </w:p>
        </w:tc>
        <w:tc>
          <w:tcPr>
            <w:tcW w:w="0" w:type="auto"/>
            <w:gridSpan w:val="3"/>
            <w:shd w:val="clear" w:color="auto" w:fill="CCEEFF"/>
            <w:tcMar>
              <w:top w:w="0" w:type="dxa"/>
              <w:left w:w="20" w:type="dxa"/>
              <w:bottom w:w="0" w:type="dxa"/>
              <w:right w:w="20" w:type="dxa"/>
            </w:tcMar>
            <w:vAlign w:val="center"/>
            <w:hideMark/>
          </w:tcPr>
          <w:p w14:paraId="09AD3BA8"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5D6416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989837" w14:textId="77777777" w:rsidR="00000000" w:rsidRDefault="00405D16">
            <w:pPr>
              <w:spacing w:after="100"/>
              <w:rPr>
                <w:rFonts w:eastAsia="Times New Roman"/>
                <w:sz w:val="20"/>
                <w:szCs w:val="20"/>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14:paraId="5414308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957305" w14:textId="77777777" w:rsidR="00000000" w:rsidRDefault="00405D16">
            <w:pPr>
              <w:spacing w:after="100"/>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14:paraId="716A5C7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69E5F3"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1A74F0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909344"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76E86F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3CCE42" w14:textId="77777777" w:rsidR="00000000" w:rsidRDefault="00405D16">
            <w:pPr>
              <w:spacing w:after="100"/>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center"/>
            <w:hideMark/>
          </w:tcPr>
          <w:p w14:paraId="65C17E9C" w14:textId="77777777" w:rsidR="00000000" w:rsidRDefault="00405D16">
            <w:pPr>
              <w:spacing w:after="100"/>
              <w:jc w:val="right"/>
              <w:rPr>
                <w:rFonts w:eastAsia="Times New Roman"/>
              </w:rPr>
            </w:pPr>
            <w:r>
              <w:rPr>
                <w:rFonts w:eastAsia="Times New Roman"/>
                <w:b/>
                <w:bCs/>
                <w:color w:val="000000"/>
                <w:sz w:val="16"/>
                <w:szCs w:val="16"/>
              </w:rPr>
              <w:t>3,104</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B230F32"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1B0AD9EB"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A56BD4E" w14:textId="77777777" w:rsidR="00000000" w:rsidRDefault="00405D16">
            <w:pPr>
              <w:spacing w:after="100"/>
              <w:jc w:val="right"/>
              <w:rPr>
                <w:rFonts w:eastAsia="Times New Roman"/>
              </w:rPr>
            </w:pPr>
            <w:r>
              <w:rPr>
                <w:rFonts w:eastAsia="Times New Roman"/>
                <w:b/>
                <w:bCs/>
                <w:color w:val="000000"/>
                <w:sz w:val="16"/>
                <w:szCs w:val="16"/>
              </w:rPr>
              <w:t>(432)</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CA8FDE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2152F9" w14:textId="77777777" w:rsidR="00000000" w:rsidRDefault="00405D16">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B78DBF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9AA350" w14:textId="77777777" w:rsidR="00000000" w:rsidRDefault="00405D16">
            <w:pPr>
              <w:spacing w:after="100"/>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center"/>
            <w:hideMark/>
          </w:tcPr>
          <w:p w14:paraId="05780A16" w14:textId="77777777" w:rsidR="00000000" w:rsidRDefault="00405D16">
            <w:pPr>
              <w:spacing w:after="100"/>
              <w:jc w:val="right"/>
              <w:rPr>
                <w:rFonts w:eastAsia="Times New Roman"/>
              </w:rPr>
            </w:pPr>
            <w:r>
              <w:rPr>
                <w:rFonts w:eastAsia="Times New Roman"/>
                <w:b/>
                <w:bCs/>
                <w:color w:val="000000"/>
                <w:sz w:val="16"/>
                <w:szCs w:val="16"/>
              </w:rPr>
              <w:t>2,672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9278F2F" w14:textId="77777777" w:rsidR="00000000" w:rsidRDefault="00405D16">
            <w:pPr>
              <w:spacing w:after="100"/>
              <w:jc w:val="right"/>
              <w:rPr>
                <w:rFonts w:eastAsia="Times New Roman"/>
              </w:rPr>
            </w:pPr>
          </w:p>
        </w:tc>
      </w:tr>
      <w:tr w:rsidR="00000000" w14:paraId="43786050" w14:textId="77777777">
        <w:trPr>
          <w:divId w:val="553853218"/>
        </w:trPr>
        <w:tc>
          <w:tcPr>
            <w:tcW w:w="0" w:type="auto"/>
            <w:gridSpan w:val="4"/>
            <w:shd w:val="clear" w:color="auto" w:fill="FFFFFF"/>
            <w:tcMar>
              <w:top w:w="30" w:type="dxa"/>
              <w:left w:w="20" w:type="dxa"/>
              <w:bottom w:w="30" w:type="dxa"/>
              <w:right w:w="20" w:type="dxa"/>
            </w:tcMar>
            <w:vAlign w:val="center"/>
            <w:hideMark/>
          </w:tcPr>
          <w:p w14:paraId="5D92FEC5" w14:textId="77777777" w:rsidR="00000000" w:rsidRDefault="00405D16">
            <w:pPr>
              <w:spacing w:after="100"/>
              <w:divId w:val="890313604"/>
              <w:rPr>
                <w:rFonts w:eastAsia="Times New Roman"/>
              </w:rPr>
            </w:pPr>
            <w:r>
              <w:rPr>
                <w:rFonts w:eastAsia="Times New Roman"/>
                <w:color w:val="000000"/>
                <w:sz w:val="16"/>
                <w:szCs w:val="16"/>
              </w:rPr>
              <w:t>Dividends—common stoc</w:t>
            </w:r>
            <w:r>
              <w:rPr>
                <w:rFonts w:eastAsia="Times New Roman"/>
                <w:color w:val="000000"/>
                <w:sz w:val="16"/>
                <w:szCs w:val="16"/>
              </w:rPr>
              <w:t>k</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14:paraId="6B44B177"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5923A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B8CC01" w14:textId="77777777" w:rsidR="00000000" w:rsidRDefault="00405D16">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5777072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5A0CE8" w14:textId="77777777" w:rsidR="00000000" w:rsidRDefault="00405D16">
            <w:pPr>
              <w:spacing w:after="100"/>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14:paraId="75ADDA6C" w14:textId="77777777" w:rsidR="00000000" w:rsidRDefault="00405D16">
            <w:pPr>
              <w:spacing w:after="100"/>
              <w:jc w:val="right"/>
              <w:rPr>
                <w:rFonts w:eastAsia="Times New Roman"/>
              </w:rPr>
            </w:pPr>
            <w:r>
              <w:rPr>
                <w:rFonts w:eastAsia="Times New Roman"/>
                <w:b/>
                <w:bCs/>
                <w:color w:val="000000"/>
                <w:sz w:val="16"/>
                <w:szCs w:val="16"/>
              </w:rPr>
              <w:t>6,531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29A15FA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DEDA8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672B04F" w14:textId="77777777" w:rsidR="00000000" w:rsidRDefault="00405D16">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68E287C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810A7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27BFB4E" w14:textId="77777777" w:rsidR="00000000" w:rsidRDefault="00405D16">
            <w:pPr>
              <w:spacing w:after="100"/>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7964CB6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DB4598" w14:textId="77777777" w:rsidR="00000000" w:rsidRDefault="00405D16">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14:paraId="3909ADB6" w14:textId="77777777" w:rsidR="00000000" w:rsidRDefault="00405D16">
            <w:pPr>
              <w:spacing w:after="100"/>
              <w:jc w:val="right"/>
              <w:rPr>
                <w:rFonts w:eastAsia="Times New Roman"/>
              </w:rPr>
            </w:pPr>
            <w:r>
              <w:rPr>
                <w:rFonts w:eastAsia="Times New Roman"/>
                <w:b/>
                <w:bCs/>
                <w:color w:val="000000"/>
                <w:sz w:val="16"/>
                <w:szCs w:val="16"/>
              </w:rPr>
              <w:t>(530)</w:t>
            </w:r>
          </w:p>
        </w:tc>
        <w:tc>
          <w:tcPr>
            <w:tcW w:w="0" w:type="auto"/>
            <w:shd w:val="clear" w:color="auto" w:fill="FFFFFF"/>
            <w:tcMar>
              <w:top w:w="30" w:type="dxa"/>
              <w:left w:w="0" w:type="dxa"/>
              <w:bottom w:w="30" w:type="dxa"/>
              <w:right w:w="20" w:type="dxa"/>
            </w:tcMar>
            <w:vAlign w:val="center"/>
            <w:hideMark/>
          </w:tcPr>
          <w:p w14:paraId="435A029F"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6F236FFD" w14:textId="77777777" w:rsidR="00000000" w:rsidRDefault="00405D1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8C422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D1EAB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25680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15E689" w14:textId="77777777" w:rsidR="00000000" w:rsidRDefault="00405D16">
            <w:pPr>
              <w:spacing w:after="100"/>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14:paraId="7939DC80" w14:textId="77777777" w:rsidR="00000000" w:rsidRDefault="00405D16">
            <w:pPr>
              <w:spacing w:after="100"/>
              <w:jc w:val="right"/>
              <w:rPr>
                <w:rFonts w:eastAsia="Times New Roman"/>
              </w:rPr>
            </w:pPr>
            <w:r>
              <w:rPr>
                <w:rFonts w:eastAsia="Times New Roman"/>
                <w:b/>
                <w:bCs/>
                <w:color w:val="000000"/>
                <w:sz w:val="16"/>
                <w:szCs w:val="16"/>
              </w:rPr>
              <w:t>(529)</w:t>
            </w:r>
          </w:p>
        </w:tc>
        <w:tc>
          <w:tcPr>
            <w:tcW w:w="0" w:type="auto"/>
            <w:shd w:val="clear" w:color="auto" w:fill="FFFFFF"/>
            <w:tcMar>
              <w:top w:w="30" w:type="dxa"/>
              <w:left w:w="0" w:type="dxa"/>
              <w:bottom w:w="30" w:type="dxa"/>
              <w:right w:w="20" w:type="dxa"/>
            </w:tcMar>
            <w:vAlign w:val="center"/>
            <w:hideMark/>
          </w:tcPr>
          <w:p w14:paraId="3BCD0653" w14:textId="77777777" w:rsidR="00000000" w:rsidRDefault="00405D16">
            <w:pPr>
              <w:spacing w:after="100"/>
              <w:jc w:val="right"/>
              <w:rPr>
                <w:rFonts w:eastAsia="Times New Roman"/>
              </w:rPr>
            </w:pPr>
          </w:p>
        </w:tc>
      </w:tr>
      <w:tr w:rsidR="00000000" w14:paraId="6438A271" w14:textId="77777777">
        <w:trPr>
          <w:divId w:val="553853218"/>
        </w:trPr>
        <w:tc>
          <w:tcPr>
            <w:tcW w:w="0" w:type="auto"/>
            <w:gridSpan w:val="4"/>
            <w:shd w:val="clear" w:color="auto" w:fill="CCEEFF"/>
            <w:tcMar>
              <w:top w:w="30" w:type="dxa"/>
              <w:left w:w="20" w:type="dxa"/>
              <w:bottom w:w="30" w:type="dxa"/>
              <w:right w:w="20" w:type="dxa"/>
            </w:tcMar>
            <w:vAlign w:val="center"/>
            <w:hideMark/>
          </w:tcPr>
          <w:p w14:paraId="7C13C5CF" w14:textId="77777777" w:rsidR="00000000" w:rsidRDefault="00405D16">
            <w:pPr>
              <w:spacing w:after="100"/>
              <w:rPr>
                <w:rFonts w:eastAsia="Times New Roman"/>
              </w:rPr>
            </w:pPr>
            <w:r>
              <w:rPr>
                <w:rFonts w:eastAsia="Times New Roman"/>
                <w:color w:val="000000"/>
                <w:sz w:val="16"/>
                <w:szCs w:val="16"/>
              </w:rPr>
              <w:t>Dividends—preferred stock</w:t>
            </w:r>
          </w:p>
        </w:tc>
        <w:tc>
          <w:tcPr>
            <w:tcW w:w="0" w:type="auto"/>
            <w:gridSpan w:val="3"/>
            <w:shd w:val="clear" w:color="auto" w:fill="CCEEFF"/>
            <w:tcMar>
              <w:top w:w="0" w:type="dxa"/>
              <w:left w:w="20" w:type="dxa"/>
              <w:bottom w:w="0" w:type="dxa"/>
              <w:right w:w="20" w:type="dxa"/>
            </w:tcMar>
            <w:vAlign w:val="center"/>
            <w:hideMark/>
          </w:tcPr>
          <w:p w14:paraId="1D9893DB"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6D039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2E7E55"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68B1669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BA4AE8" w14:textId="77777777" w:rsidR="00000000" w:rsidRDefault="00405D16">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1DD8972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2A6F6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FFC46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1DF63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7C47B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D740B8" w14:textId="77777777" w:rsidR="00000000" w:rsidRDefault="00405D16">
            <w:pPr>
              <w:spacing w:after="100"/>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14:paraId="6CDAB080" w14:textId="77777777" w:rsidR="00000000" w:rsidRDefault="00405D16">
            <w:pPr>
              <w:spacing w:after="100"/>
              <w:jc w:val="right"/>
              <w:rPr>
                <w:rFonts w:eastAsia="Times New Roman"/>
              </w:rPr>
            </w:pPr>
            <w:r>
              <w:rPr>
                <w:rFonts w:eastAsia="Times New Roman"/>
                <w:b/>
                <w:bCs/>
                <w:color w:val="000000"/>
                <w:sz w:val="16"/>
                <w:szCs w:val="16"/>
              </w:rPr>
              <w:t>(79)</w:t>
            </w:r>
          </w:p>
        </w:tc>
        <w:tc>
          <w:tcPr>
            <w:tcW w:w="0" w:type="auto"/>
            <w:shd w:val="clear" w:color="auto" w:fill="CCEEFF"/>
            <w:tcMar>
              <w:top w:w="30" w:type="dxa"/>
              <w:left w:w="0" w:type="dxa"/>
              <w:bottom w:w="30" w:type="dxa"/>
              <w:right w:w="20" w:type="dxa"/>
            </w:tcMar>
            <w:vAlign w:val="center"/>
            <w:hideMark/>
          </w:tcPr>
          <w:p w14:paraId="1CB220A7"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89B6DC6" w14:textId="77777777" w:rsidR="00000000" w:rsidRDefault="00405D1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CF2D3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07044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3BFB8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2D1474" w14:textId="77777777" w:rsidR="00000000" w:rsidRDefault="00405D16">
            <w:pPr>
              <w:spacing w:after="100"/>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14:paraId="4C7678C9" w14:textId="77777777" w:rsidR="00000000" w:rsidRDefault="00405D16">
            <w:pPr>
              <w:spacing w:after="100"/>
              <w:jc w:val="right"/>
              <w:rPr>
                <w:rFonts w:eastAsia="Times New Roman"/>
              </w:rPr>
            </w:pPr>
            <w:r>
              <w:rPr>
                <w:rFonts w:eastAsia="Times New Roman"/>
                <w:b/>
                <w:bCs/>
                <w:color w:val="000000"/>
                <w:sz w:val="16"/>
                <w:szCs w:val="16"/>
              </w:rPr>
              <w:t>(79)</w:t>
            </w:r>
          </w:p>
        </w:tc>
        <w:tc>
          <w:tcPr>
            <w:tcW w:w="0" w:type="auto"/>
            <w:shd w:val="clear" w:color="auto" w:fill="CCEEFF"/>
            <w:tcMar>
              <w:top w:w="30" w:type="dxa"/>
              <w:left w:w="0" w:type="dxa"/>
              <w:bottom w:w="30" w:type="dxa"/>
              <w:right w:w="20" w:type="dxa"/>
            </w:tcMar>
            <w:vAlign w:val="center"/>
            <w:hideMark/>
          </w:tcPr>
          <w:p w14:paraId="78049E45" w14:textId="77777777" w:rsidR="00000000" w:rsidRDefault="00405D16">
            <w:pPr>
              <w:spacing w:after="100"/>
              <w:jc w:val="right"/>
              <w:rPr>
                <w:rFonts w:eastAsia="Times New Roman"/>
              </w:rPr>
            </w:pPr>
          </w:p>
        </w:tc>
      </w:tr>
      <w:tr w:rsidR="00000000" w14:paraId="027E2571" w14:textId="77777777">
        <w:trPr>
          <w:divId w:val="553853218"/>
        </w:trPr>
        <w:tc>
          <w:tcPr>
            <w:tcW w:w="0" w:type="auto"/>
            <w:gridSpan w:val="4"/>
            <w:shd w:val="clear" w:color="auto" w:fill="FFFFFF"/>
            <w:tcMar>
              <w:top w:w="30" w:type="dxa"/>
              <w:left w:w="20" w:type="dxa"/>
              <w:bottom w:w="30" w:type="dxa"/>
              <w:right w:w="20" w:type="dxa"/>
            </w:tcMar>
            <w:vAlign w:val="center"/>
            <w:hideMark/>
          </w:tcPr>
          <w:p w14:paraId="6BBCC01C" w14:textId="77777777" w:rsidR="00000000" w:rsidRDefault="00405D16">
            <w:pPr>
              <w:spacing w:after="100"/>
              <w:rPr>
                <w:rFonts w:eastAsia="Times New Roman"/>
              </w:rPr>
            </w:pPr>
            <w:r>
              <w:rPr>
                <w:rFonts w:eastAsia="Times New Roman"/>
                <w:color w:val="000000"/>
                <w:sz w:val="16"/>
                <w:szCs w:val="16"/>
              </w:rPr>
              <w:t>Purchases of treasury stock</w:t>
            </w:r>
          </w:p>
        </w:tc>
        <w:tc>
          <w:tcPr>
            <w:tcW w:w="0" w:type="auto"/>
            <w:gridSpan w:val="3"/>
            <w:shd w:val="clear" w:color="auto" w:fill="FFFFFF"/>
            <w:tcMar>
              <w:top w:w="0" w:type="dxa"/>
              <w:left w:w="20" w:type="dxa"/>
              <w:bottom w:w="0" w:type="dxa"/>
              <w:right w:w="20" w:type="dxa"/>
            </w:tcMar>
            <w:vAlign w:val="center"/>
            <w:hideMark/>
          </w:tcPr>
          <w:p w14:paraId="4322E410"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94174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4CB922" w14:textId="77777777" w:rsidR="00000000" w:rsidRDefault="00405D16">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426720B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601F99" w14:textId="77777777" w:rsidR="00000000" w:rsidRDefault="00405D16">
            <w:pPr>
              <w:spacing w:after="100"/>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14:paraId="47A8ECC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8F561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E7AAF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96BF6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3A1EC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BA6C0A" w14:textId="77777777" w:rsidR="00000000" w:rsidRDefault="00405D16">
            <w:pPr>
              <w:spacing w:after="100"/>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14:paraId="19CF8FA1" w14:textId="77777777" w:rsidR="00000000" w:rsidRDefault="00405D16">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4AC5DEB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FDFA6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7C3F25"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68F66B3" w14:textId="77777777" w:rsidR="00000000" w:rsidRDefault="00405D16">
            <w:pPr>
              <w:spacing w:after="100"/>
              <w:jc w:val="right"/>
              <w:rPr>
                <w:rFonts w:eastAsia="Times New Roman"/>
              </w:rPr>
            </w:pPr>
            <w:r>
              <w:rPr>
                <w:rFonts w:eastAsia="Times New Roman"/>
                <w:b/>
                <w:bCs/>
                <w:color w:val="000000"/>
                <w:sz w:val="16"/>
                <w:szCs w:val="16"/>
              </w:rPr>
              <w:t>(2,710)</w:t>
            </w:r>
          </w:p>
        </w:tc>
        <w:tc>
          <w:tcPr>
            <w:tcW w:w="0" w:type="auto"/>
            <w:shd w:val="clear" w:color="auto" w:fill="FFFFFF"/>
            <w:tcMar>
              <w:top w:w="30" w:type="dxa"/>
              <w:left w:w="0" w:type="dxa"/>
              <w:bottom w:w="30" w:type="dxa"/>
              <w:right w:w="20" w:type="dxa"/>
            </w:tcMar>
            <w:vAlign w:val="center"/>
            <w:hideMark/>
          </w:tcPr>
          <w:p w14:paraId="7663CF5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156503" w14:textId="77777777" w:rsidR="00000000" w:rsidRDefault="00405D16">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14:paraId="45D11768" w14:textId="77777777" w:rsidR="00000000" w:rsidRDefault="00405D16">
            <w:pPr>
              <w:spacing w:after="100"/>
              <w:jc w:val="right"/>
              <w:rPr>
                <w:rFonts w:eastAsia="Times New Roman"/>
              </w:rPr>
            </w:pPr>
            <w:r>
              <w:rPr>
                <w:rFonts w:eastAsia="Times New Roman"/>
                <w:b/>
                <w:bCs/>
                <w:color w:val="000000"/>
                <w:sz w:val="16"/>
                <w:szCs w:val="16"/>
              </w:rPr>
              <w:t>(2,710)</w:t>
            </w:r>
          </w:p>
        </w:tc>
        <w:tc>
          <w:tcPr>
            <w:tcW w:w="0" w:type="auto"/>
            <w:shd w:val="clear" w:color="auto" w:fill="FFFFFF"/>
            <w:tcMar>
              <w:top w:w="30" w:type="dxa"/>
              <w:left w:w="0" w:type="dxa"/>
              <w:bottom w:w="30" w:type="dxa"/>
              <w:right w:w="20" w:type="dxa"/>
            </w:tcMar>
            <w:vAlign w:val="center"/>
            <w:hideMark/>
          </w:tcPr>
          <w:p w14:paraId="017BB93E" w14:textId="77777777" w:rsidR="00000000" w:rsidRDefault="00405D16">
            <w:pPr>
              <w:spacing w:after="100"/>
              <w:jc w:val="right"/>
              <w:rPr>
                <w:rFonts w:eastAsia="Times New Roman"/>
              </w:rPr>
            </w:pPr>
          </w:p>
        </w:tc>
      </w:tr>
      <w:tr w:rsidR="00000000" w14:paraId="606AF456" w14:textId="77777777">
        <w:trPr>
          <w:divId w:val="553853218"/>
        </w:trPr>
        <w:tc>
          <w:tcPr>
            <w:tcW w:w="0" w:type="auto"/>
            <w:gridSpan w:val="4"/>
            <w:shd w:val="clear" w:color="auto" w:fill="CCEEFF"/>
            <w:tcMar>
              <w:top w:w="30" w:type="dxa"/>
              <w:left w:w="20" w:type="dxa"/>
              <w:bottom w:w="30" w:type="dxa"/>
              <w:right w:w="20" w:type="dxa"/>
            </w:tcMar>
            <w:vAlign w:val="center"/>
            <w:hideMark/>
          </w:tcPr>
          <w:p w14:paraId="3C6F1015" w14:textId="77777777" w:rsidR="00000000" w:rsidRDefault="00405D16">
            <w:pPr>
              <w:spacing w:after="100"/>
              <w:rPr>
                <w:rFonts w:eastAsia="Times New Roman"/>
              </w:rPr>
            </w:pPr>
            <w:r>
              <w:rPr>
                <w:rFonts w:eastAsia="Times New Roman"/>
                <w:color w:val="000000"/>
                <w:sz w:val="16"/>
                <w:szCs w:val="16"/>
              </w:rPr>
              <w:t>Issuances of common stock and restricted stock, net of forfeitures</w:t>
            </w:r>
          </w:p>
        </w:tc>
        <w:tc>
          <w:tcPr>
            <w:tcW w:w="0" w:type="auto"/>
            <w:gridSpan w:val="3"/>
            <w:shd w:val="clear" w:color="auto" w:fill="CCEEFF"/>
            <w:tcMar>
              <w:top w:w="0" w:type="dxa"/>
              <w:left w:w="20" w:type="dxa"/>
              <w:bottom w:w="0" w:type="dxa"/>
              <w:right w:w="20" w:type="dxa"/>
            </w:tcMar>
            <w:vAlign w:val="center"/>
            <w:hideMark/>
          </w:tcPr>
          <w:p w14:paraId="0BC8C52B"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40AB1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F021C4"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064C2D9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7D4448" w14:textId="77777777" w:rsidR="00000000" w:rsidRDefault="00405D16">
            <w:pPr>
              <w:spacing w:after="100"/>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67B15CDD" w14:textId="77777777" w:rsidR="00000000" w:rsidRDefault="00405D16">
            <w:pPr>
              <w:spacing w:after="100"/>
              <w:jc w:val="right"/>
              <w:rPr>
                <w:rFonts w:eastAsia="Times New Roman"/>
              </w:rPr>
            </w:pPr>
            <w:r>
              <w:rPr>
                <w:rFonts w:eastAsia="Times New Roman"/>
                <w:b/>
                <w:bCs/>
                <w:color w:val="000000"/>
                <w:sz w:val="16"/>
                <w:szCs w:val="16"/>
              </w:rPr>
              <w:t>531,629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A447AE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2BC9F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F088C3" w14:textId="77777777" w:rsidR="00000000" w:rsidRDefault="00405D16">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8BB6DD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72AD0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639A31" w14:textId="77777777" w:rsidR="00000000" w:rsidRDefault="00405D16">
            <w:pPr>
              <w:spacing w:after="100"/>
              <w:jc w:val="right"/>
              <w:rPr>
                <w:rFonts w:eastAsia="Times New Roman"/>
              </w:rPr>
            </w:pPr>
            <w:r>
              <w:rPr>
                <w:rFonts w:eastAsia="Times New Roman"/>
                <w:b/>
                <w:bCs/>
                <w:color w:val="000000"/>
                <w:sz w:val="16"/>
                <w:szCs w:val="16"/>
              </w:rPr>
              <w:t>71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B1EFE5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0F9CA7" w14:textId="77777777" w:rsidR="00000000" w:rsidRDefault="00405D16">
            <w:pPr>
              <w:spacing w:after="100"/>
              <w:jc w:val="right"/>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44F99F17"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375908E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B74DB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2CA65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F5469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A30965" w14:textId="77777777" w:rsidR="00000000" w:rsidRDefault="00405D16">
            <w:pPr>
              <w:spacing w:after="100"/>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34AC340B" w14:textId="77777777" w:rsidR="00000000" w:rsidRDefault="00405D16">
            <w:pPr>
              <w:spacing w:after="100"/>
              <w:jc w:val="right"/>
              <w:rPr>
                <w:rFonts w:eastAsia="Times New Roman"/>
              </w:rPr>
            </w:pPr>
            <w:r>
              <w:rPr>
                <w:rFonts w:eastAsia="Times New Roman"/>
                <w:b/>
                <w:bCs/>
                <w:color w:val="000000"/>
                <w:sz w:val="16"/>
                <w:szCs w:val="16"/>
              </w:rPr>
              <w:t>71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D55675B" w14:textId="77777777" w:rsidR="00000000" w:rsidRDefault="00405D16">
            <w:pPr>
              <w:spacing w:after="100"/>
              <w:jc w:val="right"/>
              <w:rPr>
                <w:rFonts w:eastAsia="Times New Roman"/>
              </w:rPr>
            </w:pPr>
          </w:p>
        </w:tc>
      </w:tr>
      <w:tr w:rsidR="00000000" w14:paraId="1B3CB734" w14:textId="77777777">
        <w:trPr>
          <w:divId w:val="553853218"/>
        </w:trPr>
        <w:tc>
          <w:tcPr>
            <w:tcW w:w="0" w:type="auto"/>
            <w:gridSpan w:val="4"/>
            <w:shd w:val="clear" w:color="auto" w:fill="FFFFFF"/>
            <w:tcMar>
              <w:top w:w="30" w:type="dxa"/>
              <w:left w:w="20" w:type="dxa"/>
              <w:bottom w:w="30" w:type="dxa"/>
              <w:right w:w="20" w:type="dxa"/>
            </w:tcMar>
            <w:vAlign w:val="center"/>
            <w:hideMark/>
          </w:tcPr>
          <w:p w14:paraId="022C5EC3" w14:textId="77777777" w:rsidR="00000000" w:rsidRDefault="00405D16">
            <w:pPr>
              <w:spacing w:after="100"/>
              <w:rPr>
                <w:rFonts w:eastAsia="Times New Roman"/>
              </w:rPr>
            </w:pPr>
            <w:r>
              <w:rPr>
                <w:rFonts w:eastAsia="Times New Roman"/>
                <w:color w:val="000000"/>
                <w:sz w:val="16"/>
                <w:szCs w:val="16"/>
              </w:rPr>
              <w:t>Exercises of stock options</w:t>
            </w:r>
          </w:p>
        </w:tc>
        <w:tc>
          <w:tcPr>
            <w:tcW w:w="0" w:type="auto"/>
            <w:gridSpan w:val="3"/>
            <w:shd w:val="clear" w:color="auto" w:fill="FFFFFF"/>
            <w:tcMar>
              <w:top w:w="0" w:type="dxa"/>
              <w:left w:w="20" w:type="dxa"/>
              <w:bottom w:w="0" w:type="dxa"/>
              <w:right w:w="20" w:type="dxa"/>
            </w:tcMar>
            <w:vAlign w:val="center"/>
            <w:hideMark/>
          </w:tcPr>
          <w:p w14:paraId="7B3C184E"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7D74C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F4E9CE" w14:textId="77777777" w:rsidR="00000000" w:rsidRDefault="00405D16">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1CBA479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588DAC" w14:textId="77777777" w:rsidR="00000000" w:rsidRDefault="00405D16">
            <w:pPr>
              <w:spacing w:after="100"/>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14:paraId="2D3FCCF6" w14:textId="77777777" w:rsidR="00000000" w:rsidRDefault="00405D16">
            <w:pPr>
              <w:spacing w:after="100"/>
              <w:jc w:val="right"/>
              <w:rPr>
                <w:rFonts w:eastAsia="Times New Roman"/>
              </w:rPr>
            </w:pPr>
            <w:r>
              <w:rPr>
                <w:rFonts w:eastAsia="Times New Roman"/>
                <w:b/>
                <w:bCs/>
                <w:color w:val="000000"/>
                <w:sz w:val="16"/>
                <w:szCs w:val="16"/>
              </w:rPr>
              <w:t>417,931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03A6CC2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F3361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D6EA0C3" w14:textId="77777777" w:rsidR="00000000" w:rsidRDefault="00405D16">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181A509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91FB6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F67979C" w14:textId="77777777" w:rsidR="00000000" w:rsidRDefault="00405D16">
            <w:pPr>
              <w:spacing w:after="100"/>
              <w:jc w:val="right"/>
              <w:rPr>
                <w:rFonts w:eastAsia="Times New Roman"/>
              </w:rPr>
            </w:pPr>
            <w:r>
              <w:rPr>
                <w:rFonts w:eastAsia="Times New Roman"/>
                <w:b/>
                <w:bCs/>
                <w:color w:val="000000"/>
                <w:sz w:val="16"/>
                <w:szCs w:val="16"/>
              </w:rPr>
              <w:t>20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342FFDA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23FD63" w14:textId="77777777" w:rsidR="00000000" w:rsidRDefault="00405D16">
            <w:pPr>
              <w:spacing w:after="100"/>
              <w:jc w:val="right"/>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14:paraId="6FBC9E7F" w14:textId="77777777" w:rsidR="00000000" w:rsidRDefault="00405D16">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32195EA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520C7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B4B6C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D4B4B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253115" w14:textId="77777777" w:rsidR="00000000" w:rsidRDefault="00405D16">
            <w:pPr>
              <w:spacing w:after="100"/>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14:paraId="73D8EEB5" w14:textId="77777777" w:rsidR="00000000" w:rsidRDefault="00405D16">
            <w:pPr>
              <w:spacing w:after="100"/>
              <w:jc w:val="right"/>
              <w:rPr>
                <w:rFonts w:eastAsia="Times New Roman"/>
              </w:rPr>
            </w:pPr>
            <w:r>
              <w:rPr>
                <w:rFonts w:eastAsia="Times New Roman"/>
                <w:b/>
                <w:bCs/>
                <w:color w:val="000000"/>
                <w:sz w:val="16"/>
                <w:szCs w:val="16"/>
              </w:rPr>
              <w:t>20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644A8E29" w14:textId="77777777" w:rsidR="00000000" w:rsidRDefault="00405D16">
            <w:pPr>
              <w:spacing w:after="100"/>
              <w:jc w:val="right"/>
              <w:rPr>
                <w:rFonts w:eastAsia="Times New Roman"/>
              </w:rPr>
            </w:pPr>
          </w:p>
        </w:tc>
      </w:tr>
      <w:tr w:rsidR="00000000" w14:paraId="063BEA46" w14:textId="77777777">
        <w:trPr>
          <w:divId w:val="553853218"/>
        </w:trPr>
        <w:tc>
          <w:tcPr>
            <w:tcW w:w="0" w:type="auto"/>
            <w:gridSpan w:val="4"/>
            <w:shd w:val="clear" w:color="auto" w:fill="CCEEFF"/>
            <w:tcMar>
              <w:top w:w="30" w:type="dxa"/>
              <w:left w:w="20" w:type="dxa"/>
              <w:bottom w:w="30" w:type="dxa"/>
              <w:right w:w="20" w:type="dxa"/>
            </w:tcMar>
            <w:vAlign w:val="center"/>
            <w:hideMark/>
          </w:tcPr>
          <w:p w14:paraId="034D067C" w14:textId="77777777" w:rsidR="00000000" w:rsidRDefault="00405D16">
            <w:pPr>
              <w:spacing w:after="100"/>
              <w:rPr>
                <w:rFonts w:eastAsia="Times New Roman"/>
              </w:rPr>
            </w:pPr>
            <w:r>
              <w:rPr>
                <w:rFonts w:eastAsia="Times New Roman"/>
                <w:color w:val="000000"/>
                <w:sz w:val="16"/>
                <w:szCs w:val="16"/>
              </w:rPr>
              <w:t>Issuances of preferred stock</w:t>
            </w:r>
          </w:p>
        </w:tc>
        <w:tc>
          <w:tcPr>
            <w:tcW w:w="0" w:type="auto"/>
            <w:gridSpan w:val="3"/>
            <w:shd w:val="clear" w:color="auto" w:fill="CCEEFF"/>
            <w:tcMar>
              <w:top w:w="0" w:type="dxa"/>
              <w:left w:w="20" w:type="dxa"/>
              <w:bottom w:w="0" w:type="dxa"/>
              <w:right w:w="20" w:type="dxa"/>
            </w:tcMar>
            <w:vAlign w:val="center"/>
            <w:hideMark/>
          </w:tcPr>
          <w:p w14:paraId="3CFE6630"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6A3208D" w14:textId="77777777" w:rsidR="00000000" w:rsidRDefault="00405D16">
            <w:pPr>
              <w:spacing w:after="100"/>
              <w:jc w:val="right"/>
              <w:rPr>
                <w:rFonts w:eastAsia="Times New Roman"/>
              </w:rPr>
            </w:pPr>
            <w:r>
              <w:rPr>
                <w:rFonts w:eastAsia="Times New Roman"/>
                <w:b/>
                <w:bCs/>
                <w:color w:val="000000"/>
                <w:sz w:val="16"/>
                <w:szCs w:val="16"/>
              </w:rPr>
              <w:t>425,000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3B2474E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A6685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AFC9218" w14:textId="77777777" w:rsidR="00000000" w:rsidRDefault="00405D16">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gridSpan w:val="2"/>
            <w:shd w:val="clear" w:color="auto" w:fill="CCEEFF"/>
            <w:tcMar>
              <w:top w:w="30" w:type="dxa"/>
              <w:left w:w="0" w:type="dxa"/>
              <w:bottom w:w="30" w:type="dxa"/>
              <w:right w:w="20" w:type="dxa"/>
            </w:tcMar>
            <w:vAlign w:val="center"/>
            <w:hideMark/>
          </w:tcPr>
          <w:p w14:paraId="167D4BB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CE2B71" w14:textId="77777777" w:rsidR="00000000" w:rsidRDefault="00405D16">
            <w:pPr>
              <w:spacing w:after="100"/>
              <w:jc w:val="right"/>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0365779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A99C7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E38AE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553A7B"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FB143BF" w14:textId="77777777" w:rsidR="00000000" w:rsidRDefault="00405D16">
            <w:pPr>
              <w:spacing w:after="100"/>
              <w:jc w:val="right"/>
              <w:rPr>
                <w:rFonts w:eastAsia="Times New Roman"/>
              </w:rPr>
            </w:pPr>
            <w:r>
              <w:rPr>
                <w:rFonts w:eastAsia="Times New Roman"/>
                <w:b/>
                <w:bCs/>
                <w:color w:val="000000"/>
                <w:sz w:val="16"/>
                <w:szCs w:val="16"/>
              </w:rPr>
              <w:t>412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3E80BFA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45CF52" w14:textId="77777777" w:rsidR="00000000" w:rsidRDefault="00405D16">
            <w:pPr>
              <w:spacing w:after="100"/>
              <w:jc w:val="right"/>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4D2F7293"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304B5FE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ABB78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AB906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CE9BC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3AE028" w14:textId="77777777" w:rsidR="00000000" w:rsidRDefault="00405D16">
            <w:pPr>
              <w:spacing w:after="100"/>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14:paraId="4EB64795" w14:textId="77777777" w:rsidR="00000000" w:rsidRDefault="00405D16">
            <w:pPr>
              <w:spacing w:after="100"/>
              <w:jc w:val="right"/>
              <w:rPr>
                <w:rFonts w:eastAsia="Times New Roman"/>
              </w:rPr>
            </w:pPr>
            <w:r>
              <w:rPr>
                <w:rFonts w:eastAsia="Times New Roman"/>
                <w:b/>
                <w:bCs/>
                <w:color w:val="000000"/>
                <w:sz w:val="16"/>
                <w:szCs w:val="16"/>
              </w:rPr>
              <w:t>412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41E4EBEE" w14:textId="77777777" w:rsidR="00000000" w:rsidRDefault="00405D16">
            <w:pPr>
              <w:spacing w:after="100"/>
              <w:jc w:val="right"/>
              <w:rPr>
                <w:rFonts w:eastAsia="Times New Roman"/>
              </w:rPr>
            </w:pPr>
          </w:p>
        </w:tc>
      </w:tr>
      <w:tr w:rsidR="00000000" w14:paraId="130A9ED6" w14:textId="77777777">
        <w:trPr>
          <w:divId w:val="553853218"/>
        </w:trPr>
        <w:tc>
          <w:tcPr>
            <w:tcW w:w="0" w:type="auto"/>
            <w:gridSpan w:val="4"/>
            <w:shd w:val="clear" w:color="auto" w:fill="FFFFFF"/>
            <w:tcMar>
              <w:top w:w="30" w:type="dxa"/>
              <w:left w:w="20" w:type="dxa"/>
              <w:bottom w:w="30" w:type="dxa"/>
              <w:right w:w="20" w:type="dxa"/>
            </w:tcMar>
            <w:vAlign w:val="center"/>
            <w:hideMark/>
          </w:tcPr>
          <w:p w14:paraId="4397269E" w14:textId="77777777" w:rsidR="00000000" w:rsidRDefault="00405D16">
            <w:pPr>
              <w:spacing w:after="100"/>
              <w:rPr>
                <w:rFonts w:eastAsia="Times New Roman"/>
              </w:rPr>
            </w:pPr>
            <w:r>
              <w:rPr>
                <w:rFonts w:eastAsia="Times New Roman"/>
                <w:color w:val="000000"/>
                <w:sz w:val="16"/>
                <w:szCs w:val="16"/>
              </w:rPr>
              <w:t xml:space="preserve">Redemptions of preferred stock </w:t>
            </w:r>
          </w:p>
        </w:tc>
        <w:tc>
          <w:tcPr>
            <w:tcW w:w="0" w:type="auto"/>
            <w:gridSpan w:val="3"/>
            <w:shd w:val="clear" w:color="auto" w:fill="FFFFFF"/>
            <w:tcMar>
              <w:top w:w="0" w:type="dxa"/>
              <w:left w:w="20" w:type="dxa"/>
              <w:bottom w:w="0" w:type="dxa"/>
              <w:right w:w="20" w:type="dxa"/>
            </w:tcMar>
            <w:vAlign w:val="center"/>
            <w:hideMark/>
          </w:tcPr>
          <w:p w14:paraId="18B1552A"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61CF6F6" w14:textId="77777777" w:rsidR="00000000" w:rsidRDefault="00405D16">
            <w:pPr>
              <w:spacing w:after="100"/>
              <w:jc w:val="right"/>
              <w:rPr>
                <w:rFonts w:eastAsia="Times New Roman"/>
              </w:rPr>
            </w:pPr>
            <w:r>
              <w:rPr>
                <w:rFonts w:eastAsia="Times New Roman"/>
                <w:b/>
                <w:bCs/>
                <w:color w:val="000000"/>
                <w:sz w:val="16"/>
                <w:szCs w:val="16"/>
              </w:rPr>
              <w:t>(1,000,000)</w:t>
            </w:r>
          </w:p>
        </w:tc>
        <w:tc>
          <w:tcPr>
            <w:tcW w:w="0" w:type="auto"/>
            <w:shd w:val="clear" w:color="auto" w:fill="FFFFFF"/>
            <w:tcMar>
              <w:top w:w="30" w:type="dxa"/>
              <w:left w:w="0" w:type="dxa"/>
              <w:bottom w:w="30" w:type="dxa"/>
              <w:right w:w="20" w:type="dxa"/>
            </w:tcMar>
            <w:vAlign w:val="center"/>
            <w:hideMark/>
          </w:tcPr>
          <w:p w14:paraId="003B18E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363D9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9E59922" w14:textId="77777777" w:rsidR="00000000" w:rsidRDefault="00405D16">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gridSpan w:val="2"/>
            <w:shd w:val="clear" w:color="auto" w:fill="FFFFFF"/>
            <w:tcMar>
              <w:top w:w="30" w:type="dxa"/>
              <w:left w:w="0" w:type="dxa"/>
              <w:bottom w:w="30" w:type="dxa"/>
              <w:right w:w="20" w:type="dxa"/>
            </w:tcMar>
            <w:vAlign w:val="center"/>
            <w:hideMark/>
          </w:tcPr>
          <w:p w14:paraId="183075F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2A1238" w14:textId="77777777" w:rsidR="00000000" w:rsidRDefault="00405D16">
            <w:pPr>
              <w:spacing w:after="100"/>
              <w:jc w:val="right"/>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14:paraId="6709BC7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9118E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75E5D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FEFCF7"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A3B4861" w14:textId="77777777" w:rsidR="00000000" w:rsidRDefault="00405D16">
            <w:pPr>
              <w:spacing w:after="100"/>
              <w:jc w:val="right"/>
              <w:rPr>
                <w:rFonts w:eastAsia="Times New Roman"/>
              </w:rPr>
            </w:pPr>
            <w:r>
              <w:rPr>
                <w:rFonts w:eastAsia="Times New Roman"/>
                <w:b/>
                <w:bCs/>
                <w:color w:val="000000"/>
                <w:sz w:val="16"/>
                <w:szCs w:val="16"/>
              </w:rPr>
              <w:t>(988)</w:t>
            </w:r>
          </w:p>
        </w:tc>
        <w:tc>
          <w:tcPr>
            <w:tcW w:w="0" w:type="auto"/>
            <w:shd w:val="clear" w:color="auto" w:fill="FFFFFF"/>
            <w:tcMar>
              <w:top w:w="30" w:type="dxa"/>
              <w:left w:w="0" w:type="dxa"/>
              <w:bottom w:w="30" w:type="dxa"/>
              <w:right w:w="20" w:type="dxa"/>
            </w:tcMar>
            <w:vAlign w:val="center"/>
            <w:hideMark/>
          </w:tcPr>
          <w:p w14:paraId="3F54710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7FFCF2" w14:textId="77777777" w:rsidR="00000000" w:rsidRDefault="00405D16">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14:paraId="3A1791A0" w14:textId="77777777" w:rsidR="00000000" w:rsidRDefault="00405D16">
            <w:pPr>
              <w:spacing w:after="100"/>
              <w:jc w:val="right"/>
              <w:rPr>
                <w:rFonts w:eastAsia="Times New Roman"/>
              </w:rPr>
            </w:pPr>
            <w:r>
              <w:rPr>
                <w:rFonts w:eastAsia="Times New Roman"/>
                <w:b/>
                <w:bCs/>
                <w:color w:val="000000"/>
                <w:sz w:val="16"/>
                <w:szCs w:val="16"/>
              </w:rPr>
              <w:t>(12)</w:t>
            </w:r>
          </w:p>
        </w:tc>
        <w:tc>
          <w:tcPr>
            <w:tcW w:w="0" w:type="auto"/>
            <w:shd w:val="clear" w:color="auto" w:fill="FFFFFF"/>
            <w:tcMar>
              <w:top w:w="30" w:type="dxa"/>
              <w:left w:w="0" w:type="dxa"/>
              <w:bottom w:w="30" w:type="dxa"/>
              <w:right w:w="20" w:type="dxa"/>
            </w:tcMar>
            <w:vAlign w:val="center"/>
            <w:hideMark/>
          </w:tcPr>
          <w:p w14:paraId="353A8C6E"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222A219E" w14:textId="77777777" w:rsidR="00000000" w:rsidRDefault="00405D1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587314"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43A77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7BB0C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3ABA5C" w14:textId="77777777" w:rsidR="00000000" w:rsidRDefault="00405D16">
            <w:pPr>
              <w:spacing w:after="100"/>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14:paraId="4B0C2800" w14:textId="77777777" w:rsidR="00000000" w:rsidRDefault="00405D16">
            <w:pPr>
              <w:spacing w:after="100"/>
              <w:jc w:val="right"/>
              <w:rPr>
                <w:rFonts w:eastAsia="Times New Roman"/>
              </w:rPr>
            </w:pPr>
            <w:r>
              <w:rPr>
                <w:rFonts w:eastAsia="Times New Roman"/>
                <w:b/>
                <w:bCs/>
                <w:color w:val="000000"/>
                <w:sz w:val="16"/>
                <w:szCs w:val="16"/>
              </w:rPr>
              <w:t>(1,000)</w:t>
            </w:r>
          </w:p>
        </w:tc>
        <w:tc>
          <w:tcPr>
            <w:tcW w:w="0" w:type="auto"/>
            <w:shd w:val="clear" w:color="auto" w:fill="FFFFFF"/>
            <w:tcMar>
              <w:top w:w="30" w:type="dxa"/>
              <w:left w:w="0" w:type="dxa"/>
              <w:bottom w:w="30" w:type="dxa"/>
              <w:right w:w="20" w:type="dxa"/>
            </w:tcMar>
            <w:vAlign w:val="center"/>
            <w:hideMark/>
          </w:tcPr>
          <w:p w14:paraId="2C6753E7" w14:textId="77777777" w:rsidR="00000000" w:rsidRDefault="00405D16">
            <w:pPr>
              <w:spacing w:after="100"/>
              <w:jc w:val="right"/>
              <w:rPr>
                <w:rFonts w:eastAsia="Times New Roman"/>
              </w:rPr>
            </w:pPr>
          </w:p>
        </w:tc>
      </w:tr>
      <w:tr w:rsidR="00000000" w14:paraId="6ED75CAB" w14:textId="77777777">
        <w:trPr>
          <w:divId w:val="553853218"/>
        </w:trPr>
        <w:tc>
          <w:tcPr>
            <w:tcW w:w="0" w:type="auto"/>
            <w:gridSpan w:val="4"/>
            <w:shd w:val="clear" w:color="auto" w:fill="CCEEFF"/>
            <w:tcMar>
              <w:top w:w="30" w:type="dxa"/>
              <w:left w:w="20" w:type="dxa"/>
              <w:bottom w:w="30" w:type="dxa"/>
              <w:right w:w="20" w:type="dxa"/>
            </w:tcMar>
            <w:vAlign w:val="center"/>
            <w:hideMark/>
          </w:tcPr>
          <w:p w14:paraId="197C2A06" w14:textId="77777777" w:rsidR="00000000" w:rsidRDefault="00405D16">
            <w:pPr>
              <w:spacing w:after="100"/>
              <w:rPr>
                <w:rFonts w:eastAsia="Times New Roman"/>
              </w:rPr>
            </w:pPr>
            <w:r>
              <w:rPr>
                <w:rFonts w:eastAsia="Times New Roman"/>
                <w:color w:val="000000"/>
                <w:sz w:val="16"/>
                <w:szCs w:val="16"/>
              </w:rPr>
              <w:t>Compensation expense for restricted stock units</w:t>
            </w:r>
          </w:p>
        </w:tc>
        <w:tc>
          <w:tcPr>
            <w:tcW w:w="0" w:type="auto"/>
            <w:gridSpan w:val="3"/>
            <w:shd w:val="clear" w:color="auto" w:fill="CCEEFF"/>
            <w:tcMar>
              <w:top w:w="0" w:type="dxa"/>
              <w:left w:w="20" w:type="dxa"/>
              <w:bottom w:w="0" w:type="dxa"/>
              <w:right w:w="20" w:type="dxa"/>
            </w:tcMar>
            <w:vAlign w:val="center"/>
            <w:hideMark/>
          </w:tcPr>
          <w:p w14:paraId="4B64D716"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9C359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C0D073"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3D09A98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B8E959" w14:textId="77777777" w:rsidR="00000000" w:rsidRDefault="00405D16">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6EDCBE3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7B323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42D5E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13E769"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A19CB5" w14:textId="77777777" w:rsidR="00000000" w:rsidRDefault="00405D16">
            <w:pPr>
              <w:spacing w:after="100"/>
              <w:jc w:val="right"/>
              <w:rPr>
                <w:rFonts w:eastAsia="Times New Roman"/>
              </w:rPr>
            </w:pPr>
            <w:r>
              <w:rPr>
                <w:rFonts w:eastAsia="Times New Roman"/>
                <w:b/>
                <w:bCs/>
                <w:color w:val="000000"/>
                <w:sz w:val="16"/>
                <w:szCs w:val="16"/>
              </w:rPr>
              <w:t>63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205BC5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1862A7" w14:textId="77777777" w:rsidR="00000000" w:rsidRDefault="00405D16">
            <w:pPr>
              <w:spacing w:after="100"/>
              <w:jc w:val="right"/>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3F8D67DA"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2ED5DF1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DCB82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922DA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EE25F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32C3CD" w14:textId="77777777" w:rsidR="00000000" w:rsidRDefault="00405D16">
            <w:pPr>
              <w:spacing w:after="100"/>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5A8E7839" w14:textId="77777777" w:rsidR="00000000" w:rsidRDefault="00405D16">
            <w:pPr>
              <w:spacing w:after="100"/>
              <w:jc w:val="right"/>
              <w:rPr>
                <w:rFonts w:eastAsia="Times New Roman"/>
              </w:rPr>
            </w:pPr>
            <w:r>
              <w:rPr>
                <w:rFonts w:eastAsia="Times New Roman"/>
                <w:b/>
                <w:bCs/>
                <w:color w:val="000000"/>
                <w:sz w:val="16"/>
                <w:szCs w:val="16"/>
              </w:rPr>
              <w:t>63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6A6FA26" w14:textId="77777777" w:rsidR="00000000" w:rsidRDefault="00405D16">
            <w:pPr>
              <w:spacing w:after="100"/>
              <w:jc w:val="right"/>
              <w:rPr>
                <w:rFonts w:eastAsia="Times New Roman"/>
              </w:rPr>
            </w:pPr>
          </w:p>
        </w:tc>
      </w:tr>
      <w:tr w:rsidR="00405D16" w14:paraId="5D1C26E4" w14:textId="77777777">
        <w:trPr>
          <w:divId w:val="553853218"/>
        </w:trPr>
        <w:tc>
          <w:tcPr>
            <w:tcW w:w="0" w:type="auto"/>
            <w:gridSpan w:val="4"/>
            <w:shd w:val="clear" w:color="auto" w:fill="FFFFFF"/>
            <w:tcMar>
              <w:top w:w="30" w:type="dxa"/>
              <w:left w:w="20" w:type="dxa"/>
              <w:bottom w:w="30" w:type="dxa"/>
              <w:right w:w="20" w:type="dxa"/>
            </w:tcMar>
            <w:vAlign w:val="center"/>
            <w:hideMark/>
          </w:tcPr>
          <w:p w14:paraId="570AF64B" w14:textId="77777777" w:rsidR="00000000" w:rsidRDefault="00405D16">
            <w:pPr>
              <w:spacing w:after="100"/>
              <w:rPr>
                <w:rFonts w:eastAsia="Times New Roman"/>
              </w:rPr>
            </w:pPr>
            <w:r>
              <w:rPr>
                <w:rFonts w:eastAsia="Times New Roman"/>
                <w:b/>
                <w:bCs/>
                <w:color w:val="000000"/>
                <w:sz w:val="16"/>
                <w:szCs w:val="16"/>
              </w:rPr>
              <w:t>Balance as of September 30, 2021</w:t>
            </w:r>
          </w:p>
        </w:tc>
        <w:tc>
          <w:tcPr>
            <w:tcW w:w="0" w:type="auto"/>
            <w:gridSpan w:val="3"/>
            <w:shd w:val="clear" w:color="auto" w:fill="FFFFFF"/>
            <w:tcMar>
              <w:top w:w="0" w:type="dxa"/>
              <w:left w:w="20" w:type="dxa"/>
              <w:bottom w:w="0" w:type="dxa"/>
              <w:right w:w="20" w:type="dxa"/>
            </w:tcMar>
            <w:vAlign w:val="center"/>
            <w:hideMark/>
          </w:tcPr>
          <w:p w14:paraId="5A9783EB" w14:textId="77777777" w:rsidR="00000000" w:rsidRDefault="00405D16">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1ACC510" w14:textId="77777777" w:rsidR="00000000" w:rsidRDefault="00405D16">
            <w:pPr>
              <w:spacing w:after="100"/>
              <w:jc w:val="right"/>
              <w:rPr>
                <w:rFonts w:eastAsia="Times New Roman"/>
              </w:rPr>
            </w:pPr>
            <w:r>
              <w:rPr>
                <w:rFonts w:eastAsia="Times New Roman"/>
                <w:b/>
                <w:bCs/>
                <w:color w:val="000000"/>
                <w:sz w:val="16"/>
                <w:szCs w:val="16"/>
              </w:rPr>
              <w:t>6,075,000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C109F7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C3BD2F"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43D69B9" w14:textId="77777777" w:rsidR="00000000" w:rsidRDefault="00405D16">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30DBA25" w14:textId="77777777" w:rsidR="00000000" w:rsidRDefault="00405D16">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0AAF26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227F3D" w14:textId="77777777" w:rsidR="00000000" w:rsidRDefault="00405D16">
            <w:pPr>
              <w:spacing w:after="100"/>
              <w:jc w:val="right"/>
              <w:rPr>
                <w:rFonts w:eastAsia="Times New Roman"/>
                <w:sz w:val="20"/>
                <w:szCs w:val="20"/>
              </w:rPr>
            </w:pPr>
          </w:p>
        </w:tc>
        <w:tc>
          <w:tcPr>
            <w:tcW w:w="0" w:type="auto"/>
            <w:gridSpan w:val="4"/>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B77F983" w14:textId="77777777" w:rsidR="00000000" w:rsidRDefault="00405D16">
            <w:pPr>
              <w:spacing w:after="100"/>
              <w:jc w:val="right"/>
              <w:rPr>
                <w:rFonts w:eastAsia="Times New Roman"/>
              </w:rPr>
            </w:pPr>
            <w:r>
              <w:rPr>
                <w:rFonts w:eastAsia="Times New Roman"/>
                <w:b/>
                <w:bCs/>
                <w:color w:val="000000"/>
                <w:sz w:val="16"/>
                <w:szCs w:val="16"/>
              </w:rPr>
              <w:t>684,515,909</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4ABF2D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8F797E"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234C5BE" w14:textId="77777777" w:rsidR="00000000" w:rsidRDefault="00405D16">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D92E451" w14:textId="77777777" w:rsidR="00000000" w:rsidRDefault="00405D16">
            <w:pPr>
              <w:spacing w:after="100"/>
              <w:jc w:val="right"/>
              <w:rPr>
                <w:rFonts w:eastAsia="Times New Roman"/>
              </w:rPr>
            </w:pPr>
            <w:r>
              <w:rPr>
                <w:rFonts w:eastAsia="Times New Roman"/>
                <w:b/>
                <w:bCs/>
                <w:color w:val="000000"/>
                <w:sz w:val="16"/>
                <w:szCs w:val="16"/>
              </w:rPr>
              <w:t>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74DA62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ED19BC"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B013821" w14:textId="77777777" w:rsidR="00000000" w:rsidRDefault="00405D16">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8D34D57" w14:textId="77777777" w:rsidR="00000000" w:rsidRDefault="00405D16">
            <w:pPr>
              <w:spacing w:after="100"/>
              <w:jc w:val="right"/>
              <w:rPr>
                <w:rFonts w:eastAsia="Times New Roman"/>
              </w:rPr>
            </w:pPr>
            <w:r>
              <w:rPr>
                <w:rFonts w:eastAsia="Times New Roman"/>
                <w:b/>
                <w:bCs/>
                <w:color w:val="000000"/>
                <w:sz w:val="16"/>
                <w:szCs w:val="16"/>
              </w:rPr>
              <w:t>35,051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D4AC61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9F39A0"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F7288F7" w14:textId="77777777" w:rsidR="00000000" w:rsidRDefault="00405D16">
            <w:pPr>
              <w:spacing w:after="100"/>
              <w:rPr>
                <w:rFonts w:eastAsia="Times New Roman"/>
              </w:rPr>
            </w:pPr>
            <w:r>
              <w:rPr>
                <w:rFonts w:eastAsia="Times New Roman"/>
                <w:b/>
                <w:bCs/>
                <w:color w:val="000000"/>
                <w:sz w:val="16"/>
                <w:szCs w:val="16"/>
              </w:rPr>
              <w:t>$</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7FD3D68" w14:textId="77777777" w:rsidR="00000000" w:rsidRDefault="00405D16">
            <w:pPr>
              <w:spacing w:after="100"/>
              <w:jc w:val="right"/>
              <w:rPr>
                <w:rFonts w:eastAsia="Times New Roman"/>
              </w:rPr>
            </w:pPr>
            <w:r>
              <w:rPr>
                <w:rFonts w:eastAsia="Times New Roman"/>
                <w:b/>
                <w:bCs/>
                <w:color w:val="000000"/>
                <w:sz w:val="16"/>
                <w:szCs w:val="16"/>
              </w:rPr>
              <w:t>48,944</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92971CF"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65FFE06C"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451815A" w14:textId="77777777" w:rsidR="00000000" w:rsidRDefault="00405D16">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5DC25AC" w14:textId="77777777" w:rsidR="00000000" w:rsidRDefault="00405D16">
            <w:pPr>
              <w:spacing w:after="100"/>
              <w:jc w:val="right"/>
              <w:rPr>
                <w:rFonts w:eastAsia="Times New Roman"/>
              </w:rPr>
            </w:pPr>
            <w:r>
              <w:rPr>
                <w:rFonts w:eastAsia="Times New Roman"/>
                <w:b/>
                <w:bCs/>
                <w:color w:val="000000"/>
                <w:sz w:val="16"/>
                <w:szCs w:val="16"/>
              </w:rPr>
              <w:t>1,360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99E185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19A2AB"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F824FC3" w14:textId="77777777" w:rsidR="00000000" w:rsidRDefault="00405D16">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53ADD49" w14:textId="77777777" w:rsidR="00000000" w:rsidRDefault="00405D16">
            <w:pPr>
              <w:spacing w:after="100"/>
              <w:jc w:val="right"/>
              <w:rPr>
                <w:rFonts w:eastAsia="Times New Roman"/>
              </w:rPr>
            </w:pPr>
            <w:r>
              <w:rPr>
                <w:rFonts w:eastAsia="Times New Roman"/>
                <w:b/>
                <w:bCs/>
                <w:color w:val="000000"/>
                <w:sz w:val="16"/>
                <w:szCs w:val="16"/>
              </w:rPr>
              <w:t>(</w:t>
            </w:r>
            <w:r>
              <w:rPr>
                <w:rFonts w:eastAsia="Times New Roman"/>
                <w:b/>
                <w:bCs/>
                <w:color w:val="000000"/>
                <w:sz w:val="16"/>
                <w:szCs w:val="16"/>
              </w:rPr>
              <w:t>21,818)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E47ED2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61840E"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013B7DF" w14:textId="77777777" w:rsidR="00000000" w:rsidRDefault="00405D16">
            <w:pPr>
              <w:spacing w:after="100"/>
              <w:rPr>
                <w:rFonts w:eastAsia="Times New Roman"/>
              </w:rPr>
            </w:pPr>
            <w:r>
              <w:rPr>
                <w:rFonts w:eastAsia="Times New Roman"/>
                <w:b/>
                <w:bCs/>
                <w:color w:val="000000"/>
                <w:sz w:val="16"/>
                <w:szCs w:val="16"/>
              </w:rPr>
              <w:t>$</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F81B4FD" w14:textId="77777777" w:rsidR="00000000" w:rsidRDefault="00405D16">
            <w:pPr>
              <w:spacing w:after="100"/>
              <w:jc w:val="right"/>
              <w:rPr>
                <w:rFonts w:eastAsia="Times New Roman"/>
              </w:rPr>
            </w:pPr>
            <w:r>
              <w:rPr>
                <w:rFonts w:eastAsia="Times New Roman"/>
                <w:b/>
                <w:bCs/>
                <w:color w:val="000000"/>
                <w:sz w:val="16"/>
                <w:szCs w:val="16"/>
              </w:rPr>
              <w:t>63,544</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E09129F" w14:textId="77777777" w:rsidR="00000000" w:rsidRDefault="00405D16">
            <w:pPr>
              <w:spacing w:after="100"/>
              <w:jc w:val="right"/>
              <w:rPr>
                <w:rFonts w:eastAsia="Times New Roman"/>
              </w:rPr>
            </w:pPr>
          </w:p>
        </w:tc>
      </w:tr>
      <w:tr w:rsidR="00000000" w14:paraId="49B2BEA1" w14:textId="77777777">
        <w:tblPrEx>
          <w:tblW w:w="4992" w:type="pct"/>
          <w:jc w:val="center"/>
        </w:tblPrEx>
        <w:trPr>
          <w:gridAfter w:val="2"/>
          <w:jc w:val="center"/>
        </w:trPr>
        <w:tc>
          <w:tcPr>
            <w:tcW w:w="50" w:type="pct"/>
            <w:gridSpan w:val="2"/>
            <w:vAlign w:val="center"/>
            <w:hideMark/>
          </w:tcPr>
          <w:p w14:paraId="1C0CDD76" w14:textId="77777777" w:rsidR="00000000" w:rsidRDefault="00405D16">
            <w:pPr>
              <w:jc w:val="both"/>
              <w:rPr>
                <w:rFonts w:eastAsia="Times New Roman"/>
              </w:rPr>
            </w:pPr>
          </w:p>
        </w:tc>
        <w:tc>
          <w:tcPr>
            <w:tcW w:w="1606" w:type="pct"/>
            <w:gridSpan w:val="14"/>
            <w:vAlign w:val="center"/>
            <w:hideMark/>
          </w:tcPr>
          <w:p w14:paraId="3498A92C" w14:textId="77777777" w:rsidR="00000000" w:rsidRDefault="00405D16">
            <w:pPr>
              <w:spacing w:after="100"/>
              <w:rPr>
                <w:rFonts w:eastAsia="Times New Roman"/>
                <w:sz w:val="20"/>
                <w:szCs w:val="20"/>
              </w:rPr>
            </w:pPr>
          </w:p>
        </w:tc>
        <w:tc>
          <w:tcPr>
            <w:tcW w:w="5" w:type="pct"/>
            <w:gridSpan w:val="5"/>
            <w:vAlign w:val="center"/>
            <w:hideMark/>
          </w:tcPr>
          <w:p w14:paraId="5F9EC464" w14:textId="77777777" w:rsidR="00000000" w:rsidRDefault="00405D16">
            <w:pPr>
              <w:spacing w:after="100"/>
              <w:rPr>
                <w:rFonts w:eastAsia="Times New Roman"/>
                <w:sz w:val="20"/>
                <w:szCs w:val="20"/>
              </w:rPr>
            </w:pPr>
          </w:p>
        </w:tc>
        <w:tc>
          <w:tcPr>
            <w:tcW w:w="50" w:type="pct"/>
            <w:gridSpan w:val="2"/>
            <w:vAlign w:val="center"/>
            <w:hideMark/>
          </w:tcPr>
          <w:p w14:paraId="68E10E23" w14:textId="77777777" w:rsidR="00000000" w:rsidRDefault="00405D16">
            <w:pPr>
              <w:spacing w:after="100"/>
              <w:rPr>
                <w:rFonts w:eastAsia="Times New Roman"/>
                <w:sz w:val="20"/>
                <w:szCs w:val="20"/>
              </w:rPr>
            </w:pPr>
          </w:p>
        </w:tc>
        <w:tc>
          <w:tcPr>
            <w:tcW w:w="1614" w:type="pct"/>
            <w:gridSpan w:val="19"/>
            <w:vAlign w:val="center"/>
            <w:hideMark/>
          </w:tcPr>
          <w:p w14:paraId="1CE83E71" w14:textId="77777777" w:rsidR="00000000" w:rsidRDefault="00405D16">
            <w:pPr>
              <w:spacing w:after="100"/>
              <w:rPr>
                <w:rFonts w:eastAsia="Times New Roman"/>
                <w:sz w:val="20"/>
                <w:szCs w:val="20"/>
              </w:rPr>
            </w:pPr>
          </w:p>
        </w:tc>
        <w:tc>
          <w:tcPr>
            <w:tcW w:w="5" w:type="pct"/>
            <w:vAlign w:val="center"/>
            <w:hideMark/>
          </w:tcPr>
          <w:p w14:paraId="14B033D8" w14:textId="77777777" w:rsidR="00000000" w:rsidRDefault="00405D16">
            <w:pPr>
              <w:spacing w:after="100"/>
              <w:rPr>
                <w:rFonts w:eastAsia="Times New Roman"/>
                <w:sz w:val="20"/>
                <w:szCs w:val="20"/>
              </w:rPr>
            </w:pPr>
          </w:p>
        </w:tc>
        <w:tc>
          <w:tcPr>
            <w:tcW w:w="50" w:type="pct"/>
            <w:gridSpan w:val="3"/>
            <w:vAlign w:val="center"/>
            <w:hideMark/>
          </w:tcPr>
          <w:p w14:paraId="46C1A130" w14:textId="77777777" w:rsidR="00000000" w:rsidRDefault="00405D16">
            <w:pPr>
              <w:spacing w:after="100"/>
              <w:rPr>
                <w:rFonts w:eastAsia="Times New Roman"/>
                <w:sz w:val="20"/>
                <w:szCs w:val="20"/>
              </w:rPr>
            </w:pPr>
          </w:p>
        </w:tc>
        <w:tc>
          <w:tcPr>
            <w:tcW w:w="1614" w:type="pct"/>
            <w:gridSpan w:val="17"/>
            <w:vAlign w:val="center"/>
            <w:hideMark/>
          </w:tcPr>
          <w:p w14:paraId="0D517F5D" w14:textId="77777777" w:rsidR="00000000" w:rsidRDefault="00405D16">
            <w:pPr>
              <w:spacing w:after="100"/>
              <w:rPr>
                <w:rFonts w:eastAsia="Times New Roman"/>
                <w:sz w:val="20"/>
                <w:szCs w:val="20"/>
              </w:rPr>
            </w:pPr>
          </w:p>
        </w:tc>
        <w:tc>
          <w:tcPr>
            <w:tcW w:w="5" w:type="pct"/>
            <w:vAlign w:val="center"/>
            <w:hideMark/>
          </w:tcPr>
          <w:p w14:paraId="0A8FCCDC" w14:textId="77777777" w:rsidR="00000000" w:rsidRDefault="00405D16">
            <w:pPr>
              <w:spacing w:after="100"/>
              <w:rPr>
                <w:rFonts w:eastAsia="Times New Roman"/>
                <w:sz w:val="20"/>
                <w:szCs w:val="20"/>
              </w:rPr>
            </w:pPr>
          </w:p>
        </w:tc>
      </w:tr>
      <w:tr w:rsidR="00000000" w14:paraId="0D5504C1" w14:textId="77777777">
        <w:tblPrEx>
          <w:tblW w:w="4992" w:type="pct"/>
          <w:jc w:val="center"/>
        </w:tblPrEx>
        <w:trPr>
          <w:gridAfter w:val="2"/>
          <w:jc w:val="center"/>
        </w:trPr>
        <w:tc>
          <w:tcPr>
            <w:tcW w:w="0" w:type="auto"/>
            <w:gridSpan w:val="64"/>
            <w:tcMar>
              <w:top w:w="30" w:type="dxa"/>
              <w:left w:w="20" w:type="dxa"/>
              <w:bottom w:w="30" w:type="dxa"/>
              <w:right w:w="20" w:type="dxa"/>
            </w:tcMar>
            <w:vAlign w:val="bottom"/>
            <w:hideMark/>
          </w:tcPr>
          <w:p w14:paraId="694814DB" w14:textId="77777777" w:rsidR="00000000" w:rsidRDefault="00405D16">
            <w:pPr>
              <w:spacing w:after="100"/>
              <w:jc w:val="center"/>
              <w:rPr>
                <w:rFonts w:eastAsia="Times New Roman"/>
              </w:rPr>
            </w:pPr>
            <w:r>
              <w:rPr>
                <w:rFonts w:eastAsia="Times New Roman"/>
                <w:color w:val="000000"/>
                <w:sz w:val="20"/>
                <w:szCs w:val="20"/>
              </w:rPr>
              <w:t>See Notes to Consolidated Financial Statements.</w:t>
            </w:r>
          </w:p>
        </w:tc>
      </w:tr>
      <w:tr w:rsidR="00000000" w14:paraId="3FCD8F23" w14:textId="77777777">
        <w:tblPrEx>
          <w:tblW w:w="4992" w:type="pct"/>
          <w:jc w:val="center"/>
        </w:tblPrEx>
        <w:trPr>
          <w:gridAfter w:val="2"/>
          <w:jc w:val="center"/>
        </w:trPr>
        <w:tc>
          <w:tcPr>
            <w:tcW w:w="0" w:type="auto"/>
            <w:gridSpan w:val="21"/>
            <w:tcMar>
              <w:top w:w="0" w:type="dxa"/>
              <w:left w:w="20" w:type="dxa"/>
              <w:bottom w:w="0" w:type="dxa"/>
              <w:right w:w="20" w:type="dxa"/>
            </w:tcMar>
            <w:vAlign w:val="center"/>
            <w:hideMark/>
          </w:tcPr>
          <w:p w14:paraId="11A428DF" w14:textId="77777777" w:rsidR="00000000" w:rsidRDefault="00405D16">
            <w:pPr>
              <w:spacing w:after="100"/>
              <w:jc w:val="center"/>
              <w:rPr>
                <w:rFonts w:eastAsia="Times New Roman"/>
              </w:rPr>
            </w:pPr>
          </w:p>
        </w:tc>
        <w:tc>
          <w:tcPr>
            <w:tcW w:w="0" w:type="auto"/>
            <w:gridSpan w:val="22"/>
            <w:tcMar>
              <w:top w:w="30" w:type="dxa"/>
              <w:left w:w="20" w:type="dxa"/>
              <w:bottom w:w="30" w:type="dxa"/>
              <w:right w:w="20" w:type="dxa"/>
            </w:tcMar>
            <w:vAlign w:val="bottom"/>
            <w:hideMark/>
          </w:tcPr>
          <w:p w14:paraId="61C0B4CC" w14:textId="77777777" w:rsidR="00000000" w:rsidRDefault="00405D16">
            <w:pPr>
              <w:spacing w:after="100"/>
              <w:jc w:val="center"/>
              <w:rPr>
                <w:rFonts w:eastAsia="Times New Roman"/>
              </w:rPr>
            </w:pPr>
            <w:r>
              <w:rPr>
                <w:rFonts w:eastAsia="Times New Roman"/>
                <w:color w:val="000000"/>
                <w:sz w:val="16"/>
                <w:szCs w:val="16"/>
              </w:rPr>
              <w:t>72</w:t>
            </w:r>
          </w:p>
        </w:tc>
        <w:tc>
          <w:tcPr>
            <w:tcW w:w="0" w:type="auto"/>
            <w:gridSpan w:val="21"/>
            <w:tcMar>
              <w:top w:w="30" w:type="dxa"/>
              <w:left w:w="20" w:type="dxa"/>
              <w:bottom w:w="30" w:type="dxa"/>
              <w:right w:w="20" w:type="dxa"/>
            </w:tcMar>
            <w:vAlign w:val="bottom"/>
            <w:hideMark/>
          </w:tcPr>
          <w:p w14:paraId="38E4E262"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4BF8FAC5" w14:textId="77777777" w:rsidR="00000000" w:rsidRDefault="00405D16">
      <w:pPr>
        <w:rPr>
          <w:rFonts w:eastAsia="Times New Roman"/>
        </w:rPr>
      </w:pPr>
      <w:r>
        <w:rPr>
          <w:rFonts w:eastAsia="Times New Roman"/>
        </w:rPr>
        <w:pict w14:anchorId="4C0600A9">
          <v:rect id="_x0000_i1097" style="width:0;height:1.5pt" o:hralign="center" o:hrstd="t" o:hr="t" fillcolor="#a0a0a0" stroked="f"/>
        </w:pict>
      </w:r>
    </w:p>
    <w:p w14:paraId="29B9353A" w14:textId="77777777" w:rsidR="00000000" w:rsidRDefault="00405D16">
      <w:pPr>
        <w:jc w:val="both"/>
        <w:divId w:val="2070181225"/>
        <w:rPr>
          <w:rFonts w:eastAsia="Times New Roman"/>
        </w:rPr>
      </w:pPr>
      <w:hyperlink w:anchor="idd54a04a485440b4ab4e56094c14d612_13" w:history="1">
        <w:r>
          <w:rPr>
            <w:rStyle w:val="a3"/>
            <w:rFonts w:eastAsia="Times New Roman"/>
            <w:sz w:val="16"/>
            <w:szCs w:val="16"/>
          </w:rPr>
          <w:t>Table of Contents</w:t>
        </w:r>
      </w:hyperlink>
    </w:p>
    <w:p w14:paraId="413BCDDC" w14:textId="77777777" w:rsidR="00000000" w:rsidRDefault="00405D16">
      <w:pPr>
        <w:jc w:val="center"/>
        <w:divId w:val="2070181225"/>
        <w:rPr>
          <w:rFonts w:eastAsia="Times New Roman"/>
        </w:rPr>
      </w:pPr>
    </w:p>
    <w:p w14:paraId="2E5537F5" w14:textId="77777777" w:rsidR="00000000" w:rsidRDefault="00405D16">
      <w:pPr>
        <w:jc w:val="center"/>
        <w:divId w:val="2070181225"/>
        <w:rPr>
          <w:rFonts w:eastAsia="Times New Roman"/>
        </w:rPr>
      </w:pPr>
      <w:r>
        <w:rPr>
          <w:rFonts w:eastAsia="Times New Roman"/>
          <w:b/>
          <w:bCs/>
          <w:color w:val="000000"/>
          <w:sz w:val="20"/>
          <w:szCs w:val="20"/>
        </w:rPr>
        <w:t>CAPITAL ONE FINANCIAL CORPORATION</w:t>
      </w:r>
    </w:p>
    <w:p w14:paraId="16506CFA" w14:textId="77777777" w:rsidR="00000000" w:rsidRDefault="00405D16">
      <w:pPr>
        <w:jc w:val="center"/>
        <w:divId w:val="2070181225"/>
        <w:rPr>
          <w:rFonts w:eastAsia="Times New Roman"/>
        </w:rPr>
      </w:pPr>
      <w:r>
        <w:rPr>
          <w:rFonts w:eastAsia="Times New Roman"/>
          <w:b/>
          <w:bCs/>
          <w:color w:val="000000"/>
          <w:sz w:val="20"/>
          <w:szCs w:val="20"/>
        </w:rPr>
        <w:t>CONSOLIDATED STATEMENTS OF CHANGES IN STOCKHOLDERS’ EQUITY (UNAUDITED)</w:t>
      </w:r>
    </w:p>
    <w:tbl>
      <w:tblPr>
        <w:tblW w:w="5000" w:type="pct"/>
        <w:tblCellMar>
          <w:top w:w="15" w:type="dxa"/>
          <w:left w:w="15" w:type="dxa"/>
          <w:bottom w:w="15" w:type="dxa"/>
          <w:right w:w="15" w:type="dxa"/>
        </w:tblCellMar>
        <w:tblLook w:val="04A0" w:firstRow="1" w:lastRow="0" w:firstColumn="1" w:lastColumn="0" w:noHBand="0" w:noVBand="1"/>
      </w:tblPr>
      <w:tblGrid>
        <w:gridCol w:w="52"/>
        <w:gridCol w:w="1135"/>
        <w:gridCol w:w="36"/>
        <w:gridCol w:w="36"/>
        <w:gridCol w:w="36"/>
        <w:gridCol w:w="36"/>
        <w:gridCol w:w="89"/>
        <w:gridCol w:w="611"/>
        <w:gridCol w:w="38"/>
        <w:gridCol w:w="36"/>
        <w:gridCol w:w="36"/>
        <w:gridCol w:w="36"/>
        <w:gridCol w:w="101"/>
        <w:gridCol w:w="431"/>
        <w:gridCol w:w="36"/>
        <w:gridCol w:w="36"/>
        <w:gridCol w:w="36"/>
        <w:gridCol w:w="36"/>
        <w:gridCol w:w="95"/>
        <w:gridCol w:w="765"/>
        <w:gridCol w:w="39"/>
        <w:gridCol w:w="37"/>
        <w:gridCol w:w="36"/>
        <w:gridCol w:w="36"/>
        <w:gridCol w:w="101"/>
        <w:gridCol w:w="434"/>
        <w:gridCol w:w="36"/>
        <w:gridCol w:w="36"/>
        <w:gridCol w:w="36"/>
        <w:gridCol w:w="36"/>
        <w:gridCol w:w="101"/>
        <w:gridCol w:w="577"/>
        <w:gridCol w:w="36"/>
        <w:gridCol w:w="36"/>
        <w:gridCol w:w="36"/>
        <w:gridCol w:w="36"/>
        <w:gridCol w:w="100"/>
        <w:gridCol w:w="480"/>
        <w:gridCol w:w="36"/>
        <w:gridCol w:w="36"/>
        <w:gridCol w:w="36"/>
        <w:gridCol w:w="36"/>
        <w:gridCol w:w="101"/>
        <w:gridCol w:w="871"/>
        <w:gridCol w:w="36"/>
        <w:gridCol w:w="36"/>
        <w:gridCol w:w="36"/>
        <w:gridCol w:w="36"/>
        <w:gridCol w:w="100"/>
        <w:gridCol w:w="547"/>
        <w:gridCol w:w="36"/>
        <w:gridCol w:w="36"/>
        <w:gridCol w:w="36"/>
        <w:gridCol w:w="36"/>
        <w:gridCol w:w="101"/>
        <w:gridCol w:w="763"/>
        <w:gridCol w:w="36"/>
      </w:tblGrid>
      <w:tr w:rsidR="00000000" w14:paraId="6D211147" w14:textId="77777777">
        <w:trPr>
          <w:divId w:val="1942645398"/>
        </w:trPr>
        <w:tc>
          <w:tcPr>
            <w:tcW w:w="50" w:type="pct"/>
            <w:vAlign w:val="center"/>
            <w:hideMark/>
          </w:tcPr>
          <w:p w14:paraId="2671646D" w14:textId="77777777" w:rsidR="00000000" w:rsidRDefault="00405D16">
            <w:pPr>
              <w:jc w:val="center"/>
              <w:rPr>
                <w:rFonts w:eastAsia="Times New Roman"/>
              </w:rPr>
            </w:pPr>
          </w:p>
        </w:tc>
        <w:tc>
          <w:tcPr>
            <w:tcW w:w="1092" w:type="pct"/>
            <w:vAlign w:val="center"/>
            <w:hideMark/>
          </w:tcPr>
          <w:p w14:paraId="67266683" w14:textId="77777777" w:rsidR="00000000" w:rsidRDefault="00405D16">
            <w:pPr>
              <w:spacing w:after="100"/>
              <w:rPr>
                <w:rFonts w:eastAsia="Times New Roman"/>
                <w:sz w:val="20"/>
                <w:szCs w:val="20"/>
              </w:rPr>
            </w:pPr>
          </w:p>
        </w:tc>
        <w:tc>
          <w:tcPr>
            <w:tcW w:w="5" w:type="pct"/>
            <w:vAlign w:val="center"/>
            <w:hideMark/>
          </w:tcPr>
          <w:p w14:paraId="4737A347" w14:textId="77777777" w:rsidR="00000000" w:rsidRDefault="00405D16">
            <w:pPr>
              <w:spacing w:after="100"/>
              <w:rPr>
                <w:rFonts w:eastAsia="Times New Roman"/>
                <w:sz w:val="20"/>
                <w:szCs w:val="20"/>
              </w:rPr>
            </w:pPr>
          </w:p>
        </w:tc>
        <w:tc>
          <w:tcPr>
            <w:tcW w:w="5" w:type="pct"/>
            <w:vAlign w:val="center"/>
            <w:hideMark/>
          </w:tcPr>
          <w:p w14:paraId="3C7FC604" w14:textId="77777777" w:rsidR="00000000" w:rsidRDefault="00405D16">
            <w:pPr>
              <w:spacing w:after="100"/>
              <w:rPr>
                <w:rFonts w:eastAsia="Times New Roman"/>
                <w:sz w:val="20"/>
                <w:szCs w:val="20"/>
              </w:rPr>
            </w:pPr>
          </w:p>
        </w:tc>
        <w:tc>
          <w:tcPr>
            <w:tcW w:w="26" w:type="pct"/>
            <w:vAlign w:val="center"/>
            <w:hideMark/>
          </w:tcPr>
          <w:p w14:paraId="0CDC5E86" w14:textId="77777777" w:rsidR="00000000" w:rsidRDefault="00405D16">
            <w:pPr>
              <w:spacing w:after="100"/>
              <w:rPr>
                <w:rFonts w:eastAsia="Times New Roman"/>
                <w:sz w:val="20"/>
                <w:szCs w:val="20"/>
              </w:rPr>
            </w:pPr>
          </w:p>
        </w:tc>
        <w:tc>
          <w:tcPr>
            <w:tcW w:w="5" w:type="pct"/>
            <w:vAlign w:val="center"/>
            <w:hideMark/>
          </w:tcPr>
          <w:p w14:paraId="7D22F0B3" w14:textId="77777777" w:rsidR="00000000" w:rsidRDefault="00405D16">
            <w:pPr>
              <w:spacing w:after="100"/>
              <w:rPr>
                <w:rFonts w:eastAsia="Times New Roman"/>
                <w:sz w:val="20"/>
                <w:szCs w:val="20"/>
              </w:rPr>
            </w:pPr>
          </w:p>
        </w:tc>
        <w:tc>
          <w:tcPr>
            <w:tcW w:w="50" w:type="pct"/>
            <w:vAlign w:val="center"/>
            <w:hideMark/>
          </w:tcPr>
          <w:p w14:paraId="407901CE" w14:textId="77777777" w:rsidR="00000000" w:rsidRDefault="00405D16">
            <w:pPr>
              <w:spacing w:after="100"/>
              <w:rPr>
                <w:rFonts w:eastAsia="Times New Roman"/>
                <w:sz w:val="20"/>
                <w:szCs w:val="20"/>
              </w:rPr>
            </w:pPr>
          </w:p>
        </w:tc>
        <w:tc>
          <w:tcPr>
            <w:tcW w:w="347" w:type="pct"/>
            <w:vAlign w:val="center"/>
            <w:hideMark/>
          </w:tcPr>
          <w:p w14:paraId="7D47228F" w14:textId="77777777" w:rsidR="00000000" w:rsidRDefault="00405D16">
            <w:pPr>
              <w:spacing w:after="100"/>
              <w:rPr>
                <w:rFonts w:eastAsia="Times New Roman"/>
                <w:sz w:val="20"/>
                <w:szCs w:val="20"/>
              </w:rPr>
            </w:pPr>
          </w:p>
        </w:tc>
        <w:tc>
          <w:tcPr>
            <w:tcW w:w="5" w:type="pct"/>
            <w:vAlign w:val="center"/>
            <w:hideMark/>
          </w:tcPr>
          <w:p w14:paraId="2D05C947" w14:textId="77777777" w:rsidR="00000000" w:rsidRDefault="00405D16">
            <w:pPr>
              <w:spacing w:after="100"/>
              <w:rPr>
                <w:rFonts w:eastAsia="Times New Roman"/>
                <w:sz w:val="20"/>
                <w:szCs w:val="20"/>
              </w:rPr>
            </w:pPr>
          </w:p>
        </w:tc>
        <w:tc>
          <w:tcPr>
            <w:tcW w:w="5" w:type="pct"/>
            <w:vAlign w:val="center"/>
            <w:hideMark/>
          </w:tcPr>
          <w:p w14:paraId="5207700D" w14:textId="77777777" w:rsidR="00000000" w:rsidRDefault="00405D16">
            <w:pPr>
              <w:spacing w:after="100"/>
              <w:rPr>
                <w:rFonts w:eastAsia="Times New Roman"/>
                <w:sz w:val="20"/>
                <w:szCs w:val="20"/>
              </w:rPr>
            </w:pPr>
          </w:p>
        </w:tc>
        <w:tc>
          <w:tcPr>
            <w:tcW w:w="26" w:type="pct"/>
            <w:vAlign w:val="center"/>
            <w:hideMark/>
          </w:tcPr>
          <w:p w14:paraId="0262729A" w14:textId="77777777" w:rsidR="00000000" w:rsidRDefault="00405D16">
            <w:pPr>
              <w:spacing w:after="100"/>
              <w:rPr>
                <w:rFonts w:eastAsia="Times New Roman"/>
                <w:sz w:val="20"/>
                <w:szCs w:val="20"/>
              </w:rPr>
            </w:pPr>
          </w:p>
        </w:tc>
        <w:tc>
          <w:tcPr>
            <w:tcW w:w="5" w:type="pct"/>
            <w:vAlign w:val="center"/>
            <w:hideMark/>
          </w:tcPr>
          <w:p w14:paraId="15D32330" w14:textId="77777777" w:rsidR="00000000" w:rsidRDefault="00405D16">
            <w:pPr>
              <w:spacing w:after="100"/>
              <w:rPr>
                <w:rFonts w:eastAsia="Times New Roman"/>
                <w:sz w:val="20"/>
                <w:szCs w:val="20"/>
              </w:rPr>
            </w:pPr>
          </w:p>
        </w:tc>
        <w:tc>
          <w:tcPr>
            <w:tcW w:w="50" w:type="pct"/>
            <w:vAlign w:val="center"/>
            <w:hideMark/>
          </w:tcPr>
          <w:p w14:paraId="5FF9A67B" w14:textId="77777777" w:rsidR="00000000" w:rsidRDefault="00405D16">
            <w:pPr>
              <w:spacing w:after="100"/>
              <w:rPr>
                <w:rFonts w:eastAsia="Times New Roman"/>
                <w:sz w:val="20"/>
                <w:szCs w:val="20"/>
              </w:rPr>
            </w:pPr>
          </w:p>
        </w:tc>
        <w:tc>
          <w:tcPr>
            <w:tcW w:w="237" w:type="pct"/>
            <w:vAlign w:val="center"/>
            <w:hideMark/>
          </w:tcPr>
          <w:p w14:paraId="07749674" w14:textId="77777777" w:rsidR="00000000" w:rsidRDefault="00405D16">
            <w:pPr>
              <w:spacing w:after="100"/>
              <w:rPr>
                <w:rFonts w:eastAsia="Times New Roman"/>
                <w:sz w:val="20"/>
                <w:szCs w:val="20"/>
              </w:rPr>
            </w:pPr>
          </w:p>
        </w:tc>
        <w:tc>
          <w:tcPr>
            <w:tcW w:w="5" w:type="pct"/>
            <w:vAlign w:val="center"/>
            <w:hideMark/>
          </w:tcPr>
          <w:p w14:paraId="1EBC847C" w14:textId="77777777" w:rsidR="00000000" w:rsidRDefault="00405D16">
            <w:pPr>
              <w:spacing w:after="100"/>
              <w:rPr>
                <w:rFonts w:eastAsia="Times New Roman"/>
                <w:sz w:val="20"/>
                <w:szCs w:val="20"/>
              </w:rPr>
            </w:pPr>
          </w:p>
        </w:tc>
        <w:tc>
          <w:tcPr>
            <w:tcW w:w="5" w:type="pct"/>
            <w:vAlign w:val="center"/>
            <w:hideMark/>
          </w:tcPr>
          <w:p w14:paraId="41334032" w14:textId="77777777" w:rsidR="00000000" w:rsidRDefault="00405D16">
            <w:pPr>
              <w:spacing w:after="100"/>
              <w:rPr>
                <w:rFonts w:eastAsia="Times New Roman"/>
                <w:sz w:val="20"/>
                <w:szCs w:val="20"/>
              </w:rPr>
            </w:pPr>
          </w:p>
        </w:tc>
        <w:tc>
          <w:tcPr>
            <w:tcW w:w="26" w:type="pct"/>
            <w:vAlign w:val="center"/>
            <w:hideMark/>
          </w:tcPr>
          <w:p w14:paraId="66328C03" w14:textId="77777777" w:rsidR="00000000" w:rsidRDefault="00405D16">
            <w:pPr>
              <w:spacing w:after="100"/>
              <w:rPr>
                <w:rFonts w:eastAsia="Times New Roman"/>
                <w:sz w:val="20"/>
                <w:szCs w:val="20"/>
              </w:rPr>
            </w:pPr>
          </w:p>
        </w:tc>
        <w:tc>
          <w:tcPr>
            <w:tcW w:w="5" w:type="pct"/>
            <w:vAlign w:val="center"/>
            <w:hideMark/>
          </w:tcPr>
          <w:p w14:paraId="3C3244BA" w14:textId="77777777" w:rsidR="00000000" w:rsidRDefault="00405D16">
            <w:pPr>
              <w:spacing w:after="100"/>
              <w:rPr>
                <w:rFonts w:eastAsia="Times New Roman"/>
                <w:sz w:val="20"/>
                <w:szCs w:val="20"/>
              </w:rPr>
            </w:pPr>
          </w:p>
        </w:tc>
        <w:tc>
          <w:tcPr>
            <w:tcW w:w="50" w:type="pct"/>
            <w:vAlign w:val="center"/>
            <w:hideMark/>
          </w:tcPr>
          <w:p w14:paraId="6F837426" w14:textId="77777777" w:rsidR="00000000" w:rsidRDefault="00405D16">
            <w:pPr>
              <w:spacing w:after="100"/>
              <w:rPr>
                <w:rFonts w:eastAsia="Times New Roman"/>
                <w:sz w:val="20"/>
                <w:szCs w:val="20"/>
              </w:rPr>
            </w:pPr>
          </w:p>
        </w:tc>
        <w:tc>
          <w:tcPr>
            <w:tcW w:w="405" w:type="pct"/>
            <w:vAlign w:val="center"/>
            <w:hideMark/>
          </w:tcPr>
          <w:p w14:paraId="210BDB2E" w14:textId="77777777" w:rsidR="00000000" w:rsidRDefault="00405D16">
            <w:pPr>
              <w:spacing w:after="100"/>
              <w:rPr>
                <w:rFonts w:eastAsia="Times New Roman"/>
                <w:sz w:val="20"/>
                <w:szCs w:val="20"/>
              </w:rPr>
            </w:pPr>
          </w:p>
        </w:tc>
        <w:tc>
          <w:tcPr>
            <w:tcW w:w="5" w:type="pct"/>
            <w:vAlign w:val="center"/>
            <w:hideMark/>
          </w:tcPr>
          <w:p w14:paraId="5EE43379" w14:textId="77777777" w:rsidR="00000000" w:rsidRDefault="00405D16">
            <w:pPr>
              <w:spacing w:after="100"/>
              <w:rPr>
                <w:rFonts w:eastAsia="Times New Roman"/>
                <w:sz w:val="20"/>
                <w:szCs w:val="20"/>
              </w:rPr>
            </w:pPr>
          </w:p>
        </w:tc>
        <w:tc>
          <w:tcPr>
            <w:tcW w:w="5" w:type="pct"/>
            <w:vAlign w:val="center"/>
            <w:hideMark/>
          </w:tcPr>
          <w:p w14:paraId="739798E6" w14:textId="77777777" w:rsidR="00000000" w:rsidRDefault="00405D16">
            <w:pPr>
              <w:spacing w:after="100"/>
              <w:rPr>
                <w:rFonts w:eastAsia="Times New Roman"/>
                <w:sz w:val="20"/>
                <w:szCs w:val="20"/>
              </w:rPr>
            </w:pPr>
          </w:p>
        </w:tc>
        <w:tc>
          <w:tcPr>
            <w:tcW w:w="26" w:type="pct"/>
            <w:vAlign w:val="center"/>
            <w:hideMark/>
          </w:tcPr>
          <w:p w14:paraId="19D197A2" w14:textId="77777777" w:rsidR="00000000" w:rsidRDefault="00405D16">
            <w:pPr>
              <w:spacing w:after="100"/>
              <w:rPr>
                <w:rFonts w:eastAsia="Times New Roman"/>
                <w:sz w:val="20"/>
                <w:szCs w:val="20"/>
              </w:rPr>
            </w:pPr>
          </w:p>
        </w:tc>
        <w:tc>
          <w:tcPr>
            <w:tcW w:w="5" w:type="pct"/>
            <w:vAlign w:val="center"/>
            <w:hideMark/>
          </w:tcPr>
          <w:p w14:paraId="18B2E0DE" w14:textId="77777777" w:rsidR="00000000" w:rsidRDefault="00405D16">
            <w:pPr>
              <w:spacing w:after="100"/>
              <w:rPr>
                <w:rFonts w:eastAsia="Times New Roman"/>
                <w:sz w:val="20"/>
                <w:szCs w:val="20"/>
              </w:rPr>
            </w:pPr>
          </w:p>
        </w:tc>
        <w:tc>
          <w:tcPr>
            <w:tcW w:w="50" w:type="pct"/>
            <w:vAlign w:val="center"/>
            <w:hideMark/>
          </w:tcPr>
          <w:p w14:paraId="21697546" w14:textId="77777777" w:rsidR="00000000" w:rsidRDefault="00405D16">
            <w:pPr>
              <w:spacing w:after="100"/>
              <w:rPr>
                <w:rFonts w:eastAsia="Times New Roman"/>
                <w:sz w:val="20"/>
                <w:szCs w:val="20"/>
              </w:rPr>
            </w:pPr>
          </w:p>
        </w:tc>
        <w:tc>
          <w:tcPr>
            <w:tcW w:w="244" w:type="pct"/>
            <w:vAlign w:val="center"/>
            <w:hideMark/>
          </w:tcPr>
          <w:p w14:paraId="65C4C2FD" w14:textId="77777777" w:rsidR="00000000" w:rsidRDefault="00405D16">
            <w:pPr>
              <w:spacing w:after="100"/>
              <w:rPr>
                <w:rFonts w:eastAsia="Times New Roman"/>
                <w:sz w:val="20"/>
                <w:szCs w:val="20"/>
              </w:rPr>
            </w:pPr>
          </w:p>
        </w:tc>
        <w:tc>
          <w:tcPr>
            <w:tcW w:w="5" w:type="pct"/>
            <w:vAlign w:val="center"/>
            <w:hideMark/>
          </w:tcPr>
          <w:p w14:paraId="48794577" w14:textId="77777777" w:rsidR="00000000" w:rsidRDefault="00405D16">
            <w:pPr>
              <w:spacing w:after="100"/>
              <w:rPr>
                <w:rFonts w:eastAsia="Times New Roman"/>
                <w:sz w:val="20"/>
                <w:szCs w:val="20"/>
              </w:rPr>
            </w:pPr>
          </w:p>
        </w:tc>
        <w:tc>
          <w:tcPr>
            <w:tcW w:w="5" w:type="pct"/>
            <w:vAlign w:val="center"/>
            <w:hideMark/>
          </w:tcPr>
          <w:p w14:paraId="6F6AD319" w14:textId="77777777" w:rsidR="00000000" w:rsidRDefault="00405D16">
            <w:pPr>
              <w:spacing w:after="100"/>
              <w:rPr>
                <w:rFonts w:eastAsia="Times New Roman"/>
                <w:sz w:val="20"/>
                <w:szCs w:val="20"/>
              </w:rPr>
            </w:pPr>
          </w:p>
        </w:tc>
        <w:tc>
          <w:tcPr>
            <w:tcW w:w="26" w:type="pct"/>
            <w:vAlign w:val="center"/>
            <w:hideMark/>
          </w:tcPr>
          <w:p w14:paraId="7031635C" w14:textId="77777777" w:rsidR="00000000" w:rsidRDefault="00405D16">
            <w:pPr>
              <w:spacing w:after="100"/>
              <w:rPr>
                <w:rFonts w:eastAsia="Times New Roman"/>
                <w:sz w:val="20"/>
                <w:szCs w:val="20"/>
              </w:rPr>
            </w:pPr>
          </w:p>
        </w:tc>
        <w:tc>
          <w:tcPr>
            <w:tcW w:w="5" w:type="pct"/>
            <w:vAlign w:val="center"/>
            <w:hideMark/>
          </w:tcPr>
          <w:p w14:paraId="31BDB53C" w14:textId="77777777" w:rsidR="00000000" w:rsidRDefault="00405D16">
            <w:pPr>
              <w:spacing w:after="100"/>
              <w:rPr>
                <w:rFonts w:eastAsia="Times New Roman"/>
                <w:sz w:val="20"/>
                <w:szCs w:val="20"/>
              </w:rPr>
            </w:pPr>
          </w:p>
        </w:tc>
        <w:tc>
          <w:tcPr>
            <w:tcW w:w="50" w:type="pct"/>
            <w:vAlign w:val="center"/>
            <w:hideMark/>
          </w:tcPr>
          <w:p w14:paraId="55DE9F87" w14:textId="77777777" w:rsidR="00000000" w:rsidRDefault="00405D16">
            <w:pPr>
              <w:spacing w:after="100"/>
              <w:rPr>
                <w:rFonts w:eastAsia="Times New Roman"/>
                <w:sz w:val="20"/>
                <w:szCs w:val="20"/>
              </w:rPr>
            </w:pPr>
          </w:p>
        </w:tc>
        <w:tc>
          <w:tcPr>
            <w:tcW w:w="317" w:type="pct"/>
            <w:vAlign w:val="center"/>
            <w:hideMark/>
          </w:tcPr>
          <w:p w14:paraId="589AEAFD" w14:textId="77777777" w:rsidR="00000000" w:rsidRDefault="00405D16">
            <w:pPr>
              <w:spacing w:after="100"/>
              <w:rPr>
                <w:rFonts w:eastAsia="Times New Roman"/>
                <w:sz w:val="20"/>
                <w:szCs w:val="20"/>
              </w:rPr>
            </w:pPr>
          </w:p>
        </w:tc>
        <w:tc>
          <w:tcPr>
            <w:tcW w:w="5" w:type="pct"/>
            <w:vAlign w:val="center"/>
            <w:hideMark/>
          </w:tcPr>
          <w:p w14:paraId="4A35C9CC" w14:textId="77777777" w:rsidR="00000000" w:rsidRDefault="00405D16">
            <w:pPr>
              <w:spacing w:after="100"/>
              <w:rPr>
                <w:rFonts w:eastAsia="Times New Roman"/>
                <w:sz w:val="20"/>
                <w:szCs w:val="20"/>
              </w:rPr>
            </w:pPr>
          </w:p>
        </w:tc>
        <w:tc>
          <w:tcPr>
            <w:tcW w:w="5" w:type="pct"/>
            <w:vAlign w:val="center"/>
            <w:hideMark/>
          </w:tcPr>
          <w:p w14:paraId="0C8B6171" w14:textId="77777777" w:rsidR="00000000" w:rsidRDefault="00405D16">
            <w:pPr>
              <w:spacing w:after="100"/>
              <w:rPr>
                <w:rFonts w:eastAsia="Times New Roman"/>
                <w:sz w:val="20"/>
                <w:szCs w:val="20"/>
              </w:rPr>
            </w:pPr>
          </w:p>
        </w:tc>
        <w:tc>
          <w:tcPr>
            <w:tcW w:w="26" w:type="pct"/>
            <w:vAlign w:val="center"/>
            <w:hideMark/>
          </w:tcPr>
          <w:p w14:paraId="5A25E6B8" w14:textId="77777777" w:rsidR="00000000" w:rsidRDefault="00405D16">
            <w:pPr>
              <w:spacing w:after="100"/>
              <w:rPr>
                <w:rFonts w:eastAsia="Times New Roman"/>
                <w:sz w:val="20"/>
                <w:szCs w:val="20"/>
              </w:rPr>
            </w:pPr>
          </w:p>
        </w:tc>
        <w:tc>
          <w:tcPr>
            <w:tcW w:w="5" w:type="pct"/>
            <w:vAlign w:val="center"/>
            <w:hideMark/>
          </w:tcPr>
          <w:p w14:paraId="7B11034C" w14:textId="77777777" w:rsidR="00000000" w:rsidRDefault="00405D16">
            <w:pPr>
              <w:spacing w:after="100"/>
              <w:rPr>
                <w:rFonts w:eastAsia="Times New Roman"/>
                <w:sz w:val="20"/>
                <w:szCs w:val="20"/>
              </w:rPr>
            </w:pPr>
          </w:p>
        </w:tc>
        <w:tc>
          <w:tcPr>
            <w:tcW w:w="50" w:type="pct"/>
            <w:vAlign w:val="center"/>
            <w:hideMark/>
          </w:tcPr>
          <w:p w14:paraId="56B86E5F" w14:textId="77777777" w:rsidR="00000000" w:rsidRDefault="00405D16">
            <w:pPr>
              <w:spacing w:after="100"/>
              <w:rPr>
                <w:rFonts w:eastAsia="Times New Roman"/>
                <w:sz w:val="20"/>
                <w:szCs w:val="20"/>
              </w:rPr>
            </w:pPr>
          </w:p>
        </w:tc>
        <w:tc>
          <w:tcPr>
            <w:tcW w:w="303" w:type="pct"/>
            <w:vAlign w:val="center"/>
            <w:hideMark/>
          </w:tcPr>
          <w:p w14:paraId="7C6F24C6" w14:textId="77777777" w:rsidR="00000000" w:rsidRDefault="00405D16">
            <w:pPr>
              <w:spacing w:after="100"/>
              <w:rPr>
                <w:rFonts w:eastAsia="Times New Roman"/>
                <w:sz w:val="20"/>
                <w:szCs w:val="20"/>
              </w:rPr>
            </w:pPr>
          </w:p>
        </w:tc>
        <w:tc>
          <w:tcPr>
            <w:tcW w:w="5" w:type="pct"/>
            <w:vAlign w:val="center"/>
            <w:hideMark/>
          </w:tcPr>
          <w:p w14:paraId="4EE2C035" w14:textId="77777777" w:rsidR="00000000" w:rsidRDefault="00405D16">
            <w:pPr>
              <w:spacing w:after="100"/>
              <w:rPr>
                <w:rFonts w:eastAsia="Times New Roman"/>
                <w:sz w:val="20"/>
                <w:szCs w:val="20"/>
              </w:rPr>
            </w:pPr>
          </w:p>
        </w:tc>
        <w:tc>
          <w:tcPr>
            <w:tcW w:w="5" w:type="pct"/>
            <w:vAlign w:val="center"/>
            <w:hideMark/>
          </w:tcPr>
          <w:p w14:paraId="6BF489E4" w14:textId="77777777" w:rsidR="00000000" w:rsidRDefault="00405D16">
            <w:pPr>
              <w:spacing w:after="100"/>
              <w:rPr>
                <w:rFonts w:eastAsia="Times New Roman"/>
                <w:sz w:val="20"/>
                <w:szCs w:val="20"/>
              </w:rPr>
            </w:pPr>
          </w:p>
        </w:tc>
        <w:tc>
          <w:tcPr>
            <w:tcW w:w="26" w:type="pct"/>
            <w:vAlign w:val="center"/>
            <w:hideMark/>
          </w:tcPr>
          <w:p w14:paraId="1F5AEB76" w14:textId="77777777" w:rsidR="00000000" w:rsidRDefault="00405D16">
            <w:pPr>
              <w:spacing w:after="100"/>
              <w:rPr>
                <w:rFonts w:eastAsia="Times New Roman"/>
                <w:sz w:val="20"/>
                <w:szCs w:val="20"/>
              </w:rPr>
            </w:pPr>
          </w:p>
        </w:tc>
        <w:tc>
          <w:tcPr>
            <w:tcW w:w="5" w:type="pct"/>
            <w:vAlign w:val="center"/>
            <w:hideMark/>
          </w:tcPr>
          <w:p w14:paraId="7E07DC9D" w14:textId="77777777" w:rsidR="00000000" w:rsidRDefault="00405D16">
            <w:pPr>
              <w:spacing w:after="100"/>
              <w:rPr>
                <w:rFonts w:eastAsia="Times New Roman"/>
                <w:sz w:val="20"/>
                <w:szCs w:val="20"/>
              </w:rPr>
            </w:pPr>
          </w:p>
        </w:tc>
        <w:tc>
          <w:tcPr>
            <w:tcW w:w="50" w:type="pct"/>
            <w:vAlign w:val="center"/>
            <w:hideMark/>
          </w:tcPr>
          <w:p w14:paraId="0EA76F92" w14:textId="77777777" w:rsidR="00000000" w:rsidRDefault="00405D16">
            <w:pPr>
              <w:spacing w:after="100"/>
              <w:rPr>
                <w:rFonts w:eastAsia="Times New Roman"/>
                <w:sz w:val="20"/>
                <w:szCs w:val="20"/>
              </w:rPr>
            </w:pPr>
          </w:p>
        </w:tc>
        <w:tc>
          <w:tcPr>
            <w:tcW w:w="464" w:type="pct"/>
            <w:vAlign w:val="center"/>
            <w:hideMark/>
          </w:tcPr>
          <w:p w14:paraId="486FE352" w14:textId="77777777" w:rsidR="00000000" w:rsidRDefault="00405D16">
            <w:pPr>
              <w:spacing w:after="100"/>
              <w:rPr>
                <w:rFonts w:eastAsia="Times New Roman"/>
                <w:sz w:val="20"/>
                <w:szCs w:val="20"/>
              </w:rPr>
            </w:pPr>
          </w:p>
        </w:tc>
        <w:tc>
          <w:tcPr>
            <w:tcW w:w="5" w:type="pct"/>
            <w:vAlign w:val="center"/>
            <w:hideMark/>
          </w:tcPr>
          <w:p w14:paraId="07708BDF" w14:textId="77777777" w:rsidR="00000000" w:rsidRDefault="00405D16">
            <w:pPr>
              <w:spacing w:after="100"/>
              <w:rPr>
                <w:rFonts w:eastAsia="Times New Roman"/>
                <w:sz w:val="20"/>
                <w:szCs w:val="20"/>
              </w:rPr>
            </w:pPr>
          </w:p>
        </w:tc>
        <w:tc>
          <w:tcPr>
            <w:tcW w:w="5" w:type="pct"/>
            <w:vAlign w:val="center"/>
            <w:hideMark/>
          </w:tcPr>
          <w:p w14:paraId="03B29DA4" w14:textId="77777777" w:rsidR="00000000" w:rsidRDefault="00405D16">
            <w:pPr>
              <w:spacing w:after="100"/>
              <w:rPr>
                <w:rFonts w:eastAsia="Times New Roman"/>
                <w:sz w:val="20"/>
                <w:szCs w:val="20"/>
              </w:rPr>
            </w:pPr>
          </w:p>
        </w:tc>
        <w:tc>
          <w:tcPr>
            <w:tcW w:w="26" w:type="pct"/>
            <w:vAlign w:val="center"/>
            <w:hideMark/>
          </w:tcPr>
          <w:p w14:paraId="765655D2" w14:textId="77777777" w:rsidR="00000000" w:rsidRDefault="00405D16">
            <w:pPr>
              <w:spacing w:after="100"/>
              <w:rPr>
                <w:rFonts w:eastAsia="Times New Roman"/>
                <w:sz w:val="20"/>
                <w:szCs w:val="20"/>
              </w:rPr>
            </w:pPr>
          </w:p>
        </w:tc>
        <w:tc>
          <w:tcPr>
            <w:tcW w:w="5" w:type="pct"/>
            <w:vAlign w:val="center"/>
            <w:hideMark/>
          </w:tcPr>
          <w:p w14:paraId="692750CC" w14:textId="77777777" w:rsidR="00000000" w:rsidRDefault="00405D16">
            <w:pPr>
              <w:spacing w:after="100"/>
              <w:rPr>
                <w:rFonts w:eastAsia="Times New Roman"/>
                <w:sz w:val="20"/>
                <w:szCs w:val="20"/>
              </w:rPr>
            </w:pPr>
          </w:p>
        </w:tc>
        <w:tc>
          <w:tcPr>
            <w:tcW w:w="50" w:type="pct"/>
            <w:vAlign w:val="center"/>
            <w:hideMark/>
          </w:tcPr>
          <w:p w14:paraId="24539786" w14:textId="77777777" w:rsidR="00000000" w:rsidRDefault="00405D16">
            <w:pPr>
              <w:spacing w:after="100"/>
              <w:rPr>
                <w:rFonts w:eastAsia="Times New Roman"/>
                <w:sz w:val="20"/>
                <w:szCs w:val="20"/>
              </w:rPr>
            </w:pPr>
          </w:p>
        </w:tc>
        <w:tc>
          <w:tcPr>
            <w:tcW w:w="295" w:type="pct"/>
            <w:vAlign w:val="center"/>
            <w:hideMark/>
          </w:tcPr>
          <w:p w14:paraId="35E8BB5C" w14:textId="77777777" w:rsidR="00000000" w:rsidRDefault="00405D16">
            <w:pPr>
              <w:spacing w:after="100"/>
              <w:rPr>
                <w:rFonts w:eastAsia="Times New Roman"/>
                <w:sz w:val="20"/>
                <w:szCs w:val="20"/>
              </w:rPr>
            </w:pPr>
          </w:p>
        </w:tc>
        <w:tc>
          <w:tcPr>
            <w:tcW w:w="5" w:type="pct"/>
            <w:vAlign w:val="center"/>
            <w:hideMark/>
          </w:tcPr>
          <w:p w14:paraId="3C687D6E" w14:textId="77777777" w:rsidR="00000000" w:rsidRDefault="00405D16">
            <w:pPr>
              <w:spacing w:after="100"/>
              <w:rPr>
                <w:rFonts w:eastAsia="Times New Roman"/>
                <w:sz w:val="20"/>
                <w:szCs w:val="20"/>
              </w:rPr>
            </w:pPr>
          </w:p>
        </w:tc>
        <w:tc>
          <w:tcPr>
            <w:tcW w:w="5" w:type="pct"/>
            <w:vAlign w:val="center"/>
            <w:hideMark/>
          </w:tcPr>
          <w:p w14:paraId="0FA0C9F8" w14:textId="77777777" w:rsidR="00000000" w:rsidRDefault="00405D16">
            <w:pPr>
              <w:spacing w:after="100"/>
              <w:rPr>
                <w:rFonts w:eastAsia="Times New Roman"/>
                <w:sz w:val="20"/>
                <w:szCs w:val="20"/>
              </w:rPr>
            </w:pPr>
          </w:p>
        </w:tc>
        <w:tc>
          <w:tcPr>
            <w:tcW w:w="26" w:type="pct"/>
            <w:vAlign w:val="center"/>
            <w:hideMark/>
          </w:tcPr>
          <w:p w14:paraId="2670DCE0" w14:textId="77777777" w:rsidR="00000000" w:rsidRDefault="00405D16">
            <w:pPr>
              <w:spacing w:after="100"/>
              <w:rPr>
                <w:rFonts w:eastAsia="Times New Roman"/>
                <w:sz w:val="20"/>
                <w:szCs w:val="20"/>
              </w:rPr>
            </w:pPr>
          </w:p>
        </w:tc>
        <w:tc>
          <w:tcPr>
            <w:tcW w:w="5" w:type="pct"/>
            <w:vAlign w:val="center"/>
            <w:hideMark/>
          </w:tcPr>
          <w:p w14:paraId="52D6568A" w14:textId="77777777" w:rsidR="00000000" w:rsidRDefault="00405D16">
            <w:pPr>
              <w:spacing w:after="100"/>
              <w:rPr>
                <w:rFonts w:eastAsia="Times New Roman"/>
                <w:sz w:val="20"/>
                <w:szCs w:val="20"/>
              </w:rPr>
            </w:pPr>
          </w:p>
        </w:tc>
        <w:tc>
          <w:tcPr>
            <w:tcW w:w="50" w:type="pct"/>
            <w:vAlign w:val="center"/>
            <w:hideMark/>
          </w:tcPr>
          <w:p w14:paraId="03C2CBD2" w14:textId="77777777" w:rsidR="00000000" w:rsidRDefault="00405D16">
            <w:pPr>
              <w:spacing w:after="100"/>
              <w:rPr>
                <w:rFonts w:eastAsia="Times New Roman"/>
                <w:sz w:val="20"/>
                <w:szCs w:val="20"/>
              </w:rPr>
            </w:pPr>
          </w:p>
        </w:tc>
        <w:tc>
          <w:tcPr>
            <w:tcW w:w="413" w:type="pct"/>
            <w:vAlign w:val="center"/>
            <w:hideMark/>
          </w:tcPr>
          <w:p w14:paraId="6311E90A" w14:textId="77777777" w:rsidR="00000000" w:rsidRDefault="00405D16">
            <w:pPr>
              <w:spacing w:after="100"/>
              <w:rPr>
                <w:rFonts w:eastAsia="Times New Roman"/>
                <w:sz w:val="20"/>
                <w:szCs w:val="20"/>
              </w:rPr>
            </w:pPr>
          </w:p>
        </w:tc>
        <w:tc>
          <w:tcPr>
            <w:tcW w:w="5" w:type="pct"/>
            <w:vAlign w:val="center"/>
            <w:hideMark/>
          </w:tcPr>
          <w:p w14:paraId="412615DA" w14:textId="77777777" w:rsidR="00000000" w:rsidRDefault="00405D16">
            <w:pPr>
              <w:spacing w:after="100"/>
              <w:rPr>
                <w:rFonts w:eastAsia="Times New Roman"/>
                <w:sz w:val="20"/>
                <w:szCs w:val="20"/>
              </w:rPr>
            </w:pPr>
          </w:p>
        </w:tc>
      </w:tr>
      <w:tr w:rsidR="00000000" w14:paraId="47387C95" w14:textId="77777777">
        <w:trPr>
          <w:divId w:val="1942645398"/>
          <w:trHeight w:val="240"/>
        </w:trPr>
        <w:tc>
          <w:tcPr>
            <w:tcW w:w="0" w:type="auto"/>
            <w:gridSpan w:val="3"/>
            <w:vMerge w:val="restart"/>
            <w:tcMar>
              <w:top w:w="30" w:type="dxa"/>
              <w:left w:w="20" w:type="dxa"/>
              <w:bottom w:w="30" w:type="dxa"/>
              <w:right w:w="20" w:type="dxa"/>
            </w:tcMar>
            <w:vAlign w:val="bottom"/>
            <w:hideMark/>
          </w:tcPr>
          <w:p w14:paraId="28A0BCC4" w14:textId="77777777" w:rsidR="00000000" w:rsidRDefault="00405D16">
            <w:pPr>
              <w:spacing w:after="100"/>
              <w:rPr>
                <w:rFonts w:eastAsia="Times New Roman"/>
              </w:rPr>
            </w:pPr>
            <w:r>
              <w:rPr>
                <w:rFonts w:eastAsia="Times New Roman"/>
                <w:i/>
                <w:iCs/>
                <w:color w:val="000000"/>
                <w:sz w:val="14"/>
                <w:szCs w:val="14"/>
              </w:rPr>
              <w:t>(Dollars in millions)</w:t>
            </w:r>
          </w:p>
        </w:tc>
        <w:tc>
          <w:tcPr>
            <w:tcW w:w="0" w:type="auto"/>
            <w:gridSpan w:val="3"/>
            <w:vMerge w:val="restart"/>
            <w:tcMar>
              <w:top w:w="0" w:type="dxa"/>
              <w:left w:w="20" w:type="dxa"/>
              <w:bottom w:w="0" w:type="dxa"/>
              <w:right w:w="20" w:type="dxa"/>
            </w:tcMar>
            <w:vAlign w:val="center"/>
            <w:hideMark/>
          </w:tcPr>
          <w:p w14:paraId="39767B4D" w14:textId="77777777" w:rsidR="00000000" w:rsidRDefault="00405D16">
            <w:pPr>
              <w:spacing w:after="100"/>
              <w:rPr>
                <w:rFonts w:eastAsia="Times New Roman"/>
              </w:rPr>
            </w:pPr>
          </w:p>
        </w:tc>
        <w:tc>
          <w:tcPr>
            <w:tcW w:w="0" w:type="auto"/>
            <w:gridSpan w:val="9"/>
            <w:tcMar>
              <w:top w:w="30" w:type="dxa"/>
              <w:left w:w="20" w:type="dxa"/>
              <w:bottom w:w="30" w:type="dxa"/>
              <w:right w:w="20" w:type="dxa"/>
            </w:tcMar>
            <w:vAlign w:val="bottom"/>
            <w:hideMark/>
          </w:tcPr>
          <w:p w14:paraId="1165197C" w14:textId="77777777" w:rsidR="00000000" w:rsidRDefault="00405D16">
            <w:pPr>
              <w:spacing w:after="100"/>
              <w:jc w:val="center"/>
              <w:rPr>
                <w:rFonts w:eastAsia="Times New Roman"/>
              </w:rPr>
            </w:pPr>
            <w:r>
              <w:rPr>
                <w:rFonts w:eastAsia="Times New Roman"/>
                <w:b/>
                <w:bCs/>
                <w:color w:val="000000"/>
                <w:sz w:val="14"/>
                <w:szCs w:val="14"/>
              </w:rPr>
              <w:t>Preferred Stock</w:t>
            </w:r>
          </w:p>
        </w:tc>
        <w:tc>
          <w:tcPr>
            <w:tcW w:w="0" w:type="auto"/>
            <w:gridSpan w:val="3"/>
            <w:tcMar>
              <w:top w:w="0" w:type="dxa"/>
              <w:left w:w="20" w:type="dxa"/>
              <w:bottom w:w="0" w:type="dxa"/>
              <w:right w:w="20" w:type="dxa"/>
            </w:tcMar>
            <w:vAlign w:val="center"/>
            <w:hideMark/>
          </w:tcPr>
          <w:p w14:paraId="6E8F5BB9" w14:textId="77777777" w:rsidR="00000000" w:rsidRDefault="00405D1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CBEB275" w14:textId="77777777" w:rsidR="00000000" w:rsidRDefault="00405D16">
            <w:pPr>
              <w:spacing w:after="100"/>
              <w:jc w:val="center"/>
              <w:rPr>
                <w:rFonts w:eastAsia="Times New Roman"/>
              </w:rPr>
            </w:pPr>
            <w:r>
              <w:rPr>
                <w:rFonts w:eastAsia="Times New Roman"/>
                <w:b/>
                <w:bCs/>
                <w:color w:val="000000"/>
                <w:sz w:val="14"/>
                <w:szCs w:val="14"/>
              </w:rPr>
              <w:t>Common Stock</w:t>
            </w:r>
          </w:p>
        </w:tc>
        <w:tc>
          <w:tcPr>
            <w:tcW w:w="0" w:type="auto"/>
            <w:gridSpan w:val="3"/>
            <w:tcMar>
              <w:top w:w="0" w:type="dxa"/>
              <w:left w:w="20" w:type="dxa"/>
              <w:bottom w:w="0" w:type="dxa"/>
              <w:right w:w="20" w:type="dxa"/>
            </w:tcMar>
            <w:vAlign w:val="center"/>
            <w:hideMark/>
          </w:tcPr>
          <w:p w14:paraId="0AD0FBDD" w14:textId="77777777" w:rsidR="00000000" w:rsidRDefault="00405D1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0E5AFA18" w14:textId="77777777" w:rsidR="00000000" w:rsidRDefault="00405D16">
            <w:pPr>
              <w:spacing w:after="100"/>
              <w:jc w:val="center"/>
              <w:rPr>
                <w:rFonts w:eastAsia="Times New Roman"/>
              </w:rPr>
            </w:pPr>
            <w:r>
              <w:rPr>
                <w:rFonts w:eastAsia="Times New Roman"/>
                <w:b/>
                <w:bCs/>
                <w:color w:val="000000"/>
                <w:sz w:val="14"/>
                <w:szCs w:val="14"/>
              </w:rPr>
              <w:t>Additional</w:t>
            </w:r>
            <w:r>
              <w:rPr>
                <w:rFonts w:eastAsia="Times New Roman"/>
                <w:b/>
                <w:bCs/>
                <w:color w:val="000000"/>
                <w:sz w:val="14"/>
                <w:szCs w:val="14"/>
              </w:rPr>
              <w:br/>
              <w:t>Paid-In</w:t>
            </w:r>
            <w:r>
              <w:rPr>
                <w:rFonts w:eastAsia="Times New Roman"/>
                <w:b/>
                <w:bCs/>
                <w:color w:val="000000"/>
                <w:sz w:val="14"/>
                <w:szCs w:val="14"/>
              </w:rPr>
              <w:br/>
              <w:t>Capital</w:t>
            </w:r>
          </w:p>
        </w:tc>
        <w:tc>
          <w:tcPr>
            <w:tcW w:w="0" w:type="auto"/>
            <w:gridSpan w:val="3"/>
            <w:vMerge w:val="restart"/>
            <w:tcMar>
              <w:top w:w="0" w:type="dxa"/>
              <w:left w:w="20" w:type="dxa"/>
              <w:bottom w:w="0" w:type="dxa"/>
              <w:right w:w="20" w:type="dxa"/>
            </w:tcMar>
            <w:vAlign w:val="center"/>
            <w:hideMark/>
          </w:tcPr>
          <w:p w14:paraId="53393605" w14:textId="77777777" w:rsidR="00000000" w:rsidRDefault="00405D1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54DA4CB6" w14:textId="77777777" w:rsidR="00000000" w:rsidRDefault="00405D16">
            <w:pPr>
              <w:spacing w:after="100"/>
              <w:jc w:val="center"/>
              <w:rPr>
                <w:rFonts w:eastAsia="Times New Roman"/>
              </w:rPr>
            </w:pPr>
            <w:r>
              <w:rPr>
                <w:rFonts w:eastAsia="Times New Roman"/>
                <w:b/>
                <w:bCs/>
                <w:color w:val="000000"/>
                <w:sz w:val="14"/>
                <w:szCs w:val="14"/>
              </w:rPr>
              <w:t>Retained Earnings</w:t>
            </w:r>
          </w:p>
        </w:tc>
        <w:tc>
          <w:tcPr>
            <w:tcW w:w="0" w:type="auto"/>
            <w:gridSpan w:val="3"/>
            <w:vMerge w:val="restart"/>
            <w:tcMar>
              <w:top w:w="0" w:type="dxa"/>
              <w:left w:w="20" w:type="dxa"/>
              <w:bottom w:w="0" w:type="dxa"/>
              <w:right w:w="20" w:type="dxa"/>
            </w:tcMar>
            <w:vAlign w:val="center"/>
            <w:hideMark/>
          </w:tcPr>
          <w:p w14:paraId="55BDB55D" w14:textId="77777777" w:rsidR="00000000" w:rsidRDefault="00405D1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69E3830E" w14:textId="77777777" w:rsidR="00000000" w:rsidRDefault="00405D16">
            <w:pPr>
              <w:spacing w:after="100"/>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Other</w:t>
            </w:r>
            <w:r>
              <w:rPr>
                <w:rFonts w:eastAsia="Times New Roman"/>
                <w:b/>
                <w:bCs/>
                <w:color w:val="000000"/>
                <w:sz w:val="14"/>
                <w:szCs w:val="14"/>
              </w:rPr>
              <w:br/>
              <w:t>Comprehensive</w:t>
            </w:r>
            <w:r>
              <w:rPr>
                <w:rFonts w:eastAsia="Times New Roman"/>
                <w:b/>
                <w:bCs/>
                <w:color w:val="000000"/>
                <w:sz w:val="14"/>
                <w:szCs w:val="14"/>
              </w:rPr>
              <w:br/>
              <w:t>Income (Loss)</w:t>
            </w:r>
          </w:p>
        </w:tc>
        <w:tc>
          <w:tcPr>
            <w:tcW w:w="0" w:type="auto"/>
            <w:gridSpan w:val="3"/>
            <w:vMerge w:val="restart"/>
            <w:tcMar>
              <w:top w:w="0" w:type="dxa"/>
              <w:left w:w="20" w:type="dxa"/>
              <w:bottom w:w="0" w:type="dxa"/>
              <w:right w:w="20" w:type="dxa"/>
            </w:tcMar>
            <w:vAlign w:val="center"/>
            <w:hideMark/>
          </w:tcPr>
          <w:p w14:paraId="58279ADC" w14:textId="77777777" w:rsidR="00000000" w:rsidRDefault="00405D1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026CBD8C" w14:textId="77777777" w:rsidR="00000000" w:rsidRDefault="00405D16">
            <w:pPr>
              <w:spacing w:after="100"/>
              <w:jc w:val="center"/>
              <w:rPr>
                <w:rFonts w:eastAsia="Times New Roman"/>
              </w:rPr>
            </w:pPr>
            <w:r>
              <w:rPr>
                <w:rFonts w:eastAsia="Times New Roman"/>
                <w:b/>
                <w:bCs/>
                <w:color w:val="000000"/>
                <w:sz w:val="14"/>
                <w:szCs w:val="14"/>
              </w:rPr>
              <w:t>Treasury</w:t>
            </w:r>
            <w:r>
              <w:rPr>
                <w:rFonts w:eastAsia="Times New Roman"/>
                <w:b/>
                <w:bCs/>
                <w:color w:val="000000"/>
                <w:sz w:val="14"/>
                <w:szCs w:val="14"/>
              </w:rPr>
              <w:br/>
              <w:t>Stock</w:t>
            </w:r>
          </w:p>
        </w:tc>
        <w:tc>
          <w:tcPr>
            <w:tcW w:w="0" w:type="auto"/>
            <w:gridSpan w:val="3"/>
            <w:vMerge w:val="restart"/>
            <w:tcMar>
              <w:top w:w="0" w:type="dxa"/>
              <w:left w:w="20" w:type="dxa"/>
              <w:bottom w:w="0" w:type="dxa"/>
              <w:right w:w="20" w:type="dxa"/>
            </w:tcMar>
            <w:vAlign w:val="center"/>
            <w:hideMark/>
          </w:tcPr>
          <w:p w14:paraId="20B04C3F" w14:textId="77777777" w:rsidR="00000000" w:rsidRDefault="00405D1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2669E30F" w14:textId="77777777" w:rsidR="00000000" w:rsidRDefault="00405D16">
            <w:pPr>
              <w:spacing w:after="100"/>
              <w:jc w:val="center"/>
              <w:rPr>
                <w:rFonts w:eastAsia="Times New Roman"/>
              </w:rPr>
            </w:pPr>
            <w:r>
              <w:rPr>
                <w:rFonts w:eastAsia="Times New Roman"/>
                <w:b/>
                <w:bCs/>
                <w:color w:val="000000"/>
                <w:sz w:val="14"/>
                <w:szCs w:val="14"/>
              </w:rPr>
              <w:t>Total</w:t>
            </w:r>
            <w:r>
              <w:rPr>
                <w:rFonts w:eastAsia="Times New Roman"/>
                <w:b/>
                <w:bCs/>
                <w:color w:val="000000"/>
                <w:sz w:val="14"/>
                <w:szCs w:val="14"/>
              </w:rPr>
              <w:br/>
            </w:r>
            <w:r>
              <w:rPr>
                <w:rFonts w:eastAsia="Times New Roman"/>
                <w:b/>
                <w:bCs/>
                <w:color w:val="000000"/>
                <w:sz w:val="14"/>
                <w:szCs w:val="14"/>
              </w:rPr>
              <w:t>Stockholders’</w:t>
            </w:r>
            <w:r>
              <w:rPr>
                <w:rFonts w:eastAsia="Times New Roman"/>
                <w:b/>
                <w:bCs/>
                <w:color w:val="000000"/>
                <w:sz w:val="14"/>
                <w:szCs w:val="14"/>
              </w:rPr>
              <w:br/>
              <w:t>Equity</w:t>
            </w:r>
          </w:p>
        </w:tc>
      </w:tr>
      <w:tr w:rsidR="00000000" w14:paraId="24B4776D" w14:textId="77777777">
        <w:trPr>
          <w:divId w:val="1942645398"/>
          <w:trHeight w:val="400"/>
        </w:trPr>
        <w:tc>
          <w:tcPr>
            <w:tcW w:w="0" w:type="auto"/>
            <w:gridSpan w:val="3"/>
            <w:vMerge/>
            <w:vAlign w:val="center"/>
            <w:hideMark/>
          </w:tcPr>
          <w:p w14:paraId="5D103A91" w14:textId="77777777" w:rsidR="00000000" w:rsidRDefault="00405D16">
            <w:pPr>
              <w:spacing w:after="100"/>
              <w:rPr>
                <w:rFonts w:eastAsia="Times New Roman"/>
              </w:rPr>
            </w:pPr>
          </w:p>
        </w:tc>
        <w:tc>
          <w:tcPr>
            <w:tcW w:w="0" w:type="auto"/>
            <w:gridSpan w:val="3"/>
            <w:vMerge/>
            <w:vAlign w:val="center"/>
            <w:hideMark/>
          </w:tcPr>
          <w:p w14:paraId="52A3AFBB"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C9977B7" w14:textId="77777777" w:rsidR="00000000" w:rsidRDefault="00405D16">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14:paraId="56929F11"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1ED251E" w14:textId="77777777" w:rsidR="00000000" w:rsidRDefault="00405D16">
            <w:pPr>
              <w:spacing w:after="100"/>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14:paraId="11B5D6DA"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80032B4" w14:textId="77777777" w:rsidR="00000000" w:rsidRDefault="00405D16">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14:paraId="0AA5DE23"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847A7C7" w14:textId="77777777" w:rsidR="00000000" w:rsidRDefault="00405D16">
            <w:pPr>
              <w:spacing w:after="100"/>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14:paraId="0FFC4693" w14:textId="77777777" w:rsidR="00000000" w:rsidRDefault="00405D16">
            <w:pPr>
              <w:spacing w:after="100"/>
              <w:jc w:val="center"/>
              <w:rPr>
                <w:rFonts w:eastAsia="Times New Roman"/>
              </w:rPr>
            </w:pPr>
          </w:p>
        </w:tc>
        <w:tc>
          <w:tcPr>
            <w:tcW w:w="0" w:type="auto"/>
            <w:gridSpan w:val="3"/>
            <w:vMerge/>
            <w:vAlign w:val="center"/>
            <w:hideMark/>
          </w:tcPr>
          <w:p w14:paraId="5C2C419A" w14:textId="77777777" w:rsidR="00000000" w:rsidRDefault="00405D16">
            <w:pPr>
              <w:spacing w:after="100"/>
              <w:rPr>
                <w:rFonts w:eastAsia="Times New Roman"/>
              </w:rPr>
            </w:pPr>
          </w:p>
        </w:tc>
        <w:tc>
          <w:tcPr>
            <w:tcW w:w="0" w:type="auto"/>
            <w:gridSpan w:val="3"/>
            <w:vMerge/>
            <w:vAlign w:val="center"/>
            <w:hideMark/>
          </w:tcPr>
          <w:p w14:paraId="28DDA6BC" w14:textId="77777777" w:rsidR="00000000" w:rsidRDefault="00405D16">
            <w:pPr>
              <w:spacing w:after="100"/>
              <w:rPr>
                <w:rFonts w:eastAsia="Times New Roman"/>
              </w:rPr>
            </w:pPr>
          </w:p>
        </w:tc>
        <w:tc>
          <w:tcPr>
            <w:tcW w:w="0" w:type="auto"/>
            <w:gridSpan w:val="3"/>
            <w:vMerge/>
            <w:vAlign w:val="center"/>
            <w:hideMark/>
          </w:tcPr>
          <w:p w14:paraId="5A524274" w14:textId="77777777" w:rsidR="00000000" w:rsidRDefault="00405D16">
            <w:pPr>
              <w:spacing w:after="100"/>
              <w:rPr>
                <w:rFonts w:eastAsia="Times New Roman"/>
              </w:rPr>
            </w:pPr>
          </w:p>
        </w:tc>
        <w:tc>
          <w:tcPr>
            <w:tcW w:w="0" w:type="auto"/>
            <w:gridSpan w:val="3"/>
            <w:vMerge/>
            <w:vAlign w:val="center"/>
            <w:hideMark/>
          </w:tcPr>
          <w:p w14:paraId="20CC32E9" w14:textId="77777777" w:rsidR="00000000" w:rsidRDefault="00405D16">
            <w:pPr>
              <w:spacing w:after="100"/>
              <w:rPr>
                <w:rFonts w:eastAsia="Times New Roman"/>
              </w:rPr>
            </w:pPr>
          </w:p>
        </w:tc>
        <w:tc>
          <w:tcPr>
            <w:tcW w:w="0" w:type="auto"/>
            <w:gridSpan w:val="3"/>
            <w:vMerge/>
            <w:vAlign w:val="center"/>
            <w:hideMark/>
          </w:tcPr>
          <w:p w14:paraId="54C9D528" w14:textId="77777777" w:rsidR="00000000" w:rsidRDefault="00405D16">
            <w:pPr>
              <w:spacing w:after="100"/>
              <w:rPr>
                <w:rFonts w:eastAsia="Times New Roman"/>
              </w:rPr>
            </w:pPr>
          </w:p>
        </w:tc>
        <w:tc>
          <w:tcPr>
            <w:tcW w:w="0" w:type="auto"/>
            <w:gridSpan w:val="3"/>
            <w:vMerge/>
            <w:vAlign w:val="center"/>
            <w:hideMark/>
          </w:tcPr>
          <w:p w14:paraId="5E03486E" w14:textId="77777777" w:rsidR="00000000" w:rsidRDefault="00405D16">
            <w:pPr>
              <w:spacing w:after="100"/>
              <w:rPr>
                <w:rFonts w:eastAsia="Times New Roman"/>
              </w:rPr>
            </w:pPr>
          </w:p>
        </w:tc>
        <w:tc>
          <w:tcPr>
            <w:tcW w:w="0" w:type="auto"/>
            <w:gridSpan w:val="3"/>
            <w:vMerge/>
            <w:vAlign w:val="center"/>
            <w:hideMark/>
          </w:tcPr>
          <w:p w14:paraId="3EFE8930" w14:textId="77777777" w:rsidR="00000000" w:rsidRDefault="00405D16">
            <w:pPr>
              <w:spacing w:after="100"/>
              <w:rPr>
                <w:rFonts w:eastAsia="Times New Roman"/>
              </w:rPr>
            </w:pPr>
          </w:p>
        </w:tc>
        <w:tc>
          <w:tcPr>
            <w:tcW w:w="0" w:type="auto"/>
            <w:gridSpan w:val="3"/>
            <w:vMerge/>
            <w:vAlign w:val="center"/>
            <w:hideMark/>
          </w:tcPr>
          <w:p w14:paraId="45E1DF7D" w14:textId="77777777" w:rsidR="00000000" w:rsidRDefault="00405D16">
            <w:pPr>
              <w:spacing w:after="100"/>
              <w:rPr>
                <w:rFonts w:eastAsia="Times New Roman"/>
              </w:rPr>
            </w:pPr>
          </w:p>
        </w:tc>
        <w:tc>
          <w:tcPr>
            <w:tcW w:w="0" w:type="auto"/>
            <w:gridSpan w:val="3"/>
            <w:vMerge/>
            <w:vAlign w:val="center"/>
            <w:hideMark/>
          </w:tcPr>
          <w:p w14:paraId="05478B37" w14:textId="77777777" w:rsidR="00000000" w:rsidRDefault="00405D16">
            <w:pPr>
              <w:spacing w:after="100"/>
              <w:rPr>
                <w:rFonts w:eastAsia="Times New Roman"/>
              </w:rPr>
            </w:pPr>
          </w:p>
        </w:tc>
      </w:tr>
      <w:tr w:rsidR="00405D16" w14:paraId="0CEBBDE7" w14:textId="77777777">
        <w:trPr>
          <w:divId w:val="194264539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A565E26" w14:textId="77777777" w:rsidR="00000000" w:rsidRDefault="00405D16">
            <w:pPr>
              <w:spacing w:after="100"/>
              <w:rPr>
                <w:rFonts w:eastAsia="Times New Roman"/>
              </w:rPr>
            </w:pPr>
            <w:r>
              <w:rPr>
                <w:rFonts w:eastAsia="Times New Roman"/>
                <w:b/>
                <w:bCs/>
                <w:color w:val="000000"/>
                <w:sz w:val="16"/>
                <w:szCs w:val="16"/>
              </w:rPr>
              <w:t>Balance as of December 31, 2019</w:t>
            </w:r>
          </w:p>
        </w:tc>
        <w:tc>
          <w:tcPr>
            <w:tcW w:w="0" w:type="auto"/>
            <w:gridSpan w:val="3"/>
            <w:shd w:val="clear" w:color="auto" w:fill="CCEEFF"/>
            <w:tcMar>
              <w:top w:w="0" w:type="dxa"/>
              <w:left w:w="20" w:type="dxa"/>
              <w:bottom w:w="0" w:type="dxa"/>
              <w:right w:w="20" w:type="dxa"/>
            </w:tcMar>
            <w:vAlign w:val="center"/>
            <w:hideMark/>
          </w:tcPr>
          <w:p w14:paraId="1E66B192"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4B6F8BE" w14:textId="77777777" w:rsidR="00000000" w:rsidRDefault="00405D16">
            <w:pPr>
              <w:spacing w:after="100"/>
              <w:jc w:val="right"/>
              <w:rPr>
                <w:rFonts w:eastAsia="Times New Roman"/>
              </w:rPr>
            </w:pPr>
            <w:r>
              <w:rPr>
                <w:rFonts w:eastAsia="Times New Roman"/>
                <w:color w:val="000000"/>
                <w:sz w:val="16"/>
                <w:szCs w:val="16"/>
              </w:rPr>
              <w:t>4,975,000 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A716E8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AA4B9F"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C23E209"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7A353DA" w14:textId="77777777" w:rsidR="00000000" w:rsidRDefault="00405D16">
            <w:pPr>
              <w:spacing w:after="100"/>
              <w:jc w:val="right"/>
              <w:rPr>
                <w:rFonts w:eastAsia="Times New Roman"/>
              </w:rPr>
            </w:pPr>
            <w:r>
              <w:rPr>
                <w:rFonts w:eastAsia="Times New Roman"/>
                <w:color w:val="000000"/>
                <w:sz w:val="16"/>
                <w:szCs w:val="16"/>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FD4B13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9EFE04"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783CF65" w14:textId="77777777" w:rsidR="00000000" w:rsidRDefault="00405D16">
            <w:pPr>
              <w:spacing w:after="100"/>
              <w:jc w:val="right"/>
              <w:rPr>
                <w:rFonts w:eastAsia="Times New Roman"/>
              </w:rPr>
            </w:pPr>
            <w:r>
              <w:rPr>
                <w:rFonts w:eastAsia="Times New Roman"/>
                <w:color w:val="000000"/>
                <w:sz w:val="16"/>
                <w:szCs w:val="16"/>
              </w:rPr>
              <w:t>672,969,391 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6B83DE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2C2D40"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AD0B1D0"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3424FEF" w14:textId="77777777" w:rsidR="00000000" w:rsidRDefault="00405D16">
            <w:pPr>
              <w:spacing w:after="100"/>
              <w:jc w:val="right"/>
              <w:rPr>
                <w:rFonts w:eastAsia="Times New Roman"/>
              </w:rPr>
            </w:pPr>
            <w:r>
              <w:rPr>
                <w:rFonts w:eastAsia="Times New Roman"/>
                <w:color w:val="000000"/>
                <w:sz w:val="16"/>
                <w:szCs w:val="16"/>
              </w:rPr>
              <w:t>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2012F5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82A45B"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8E7F8EB"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645429C" w14:textId="77777777" w:rsidR="00000000" w:rsidRDefault="00405D16">
            <w:pPr>
              <w:spacing w:after="100"/>
              <w:jc w:val="right"/>
              <w:rPr>
                <w:rFonts w:eastAsia="Times New Roman"/>
              </w:rPr>
            </w:pPr>
            <w:r>
              <w:rPr>
                <w:rFonts w:eastAsia="Times New Roman"/>
                <w:color w:val="000000"/>
                <w:sz w:val="16"/>
                <w:szCs w:val="16"/>
              </w:rPr>
              <w:t>32,980 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A19427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16FF34"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B496E64"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B1CDFF2" w14:textId="77777777" w:rsidR="00000000" w:rsidRDefault="00405D16">
            <w:pPr>
              <w:spacing w:after="100"/>
              <w:jc w:val="right"/>
              <w:rPr>
                <w:rFonts w:eastAsia="Times New Roman"/>
              </w:rPr>
            </w:pPr>
            <w:r>
              <w:rPr>
                <w:rFonts w:eastAsia="Times New Roman"/>
                <w:color w:val="000000"/>
                <w:sz w:val="16"/>
                <w:szCs w:val="16"/>
              </w:rPr>
              <w:t>40,340 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DC83D3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E1ACB8"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DABCFBB"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34D1E50" w14:textId="77777777" w:rsidR="00000000" w:rsidRDefault="00405D16">
            <w:pPr>
              <w:spacing w:after="100"/>
              <w:jc w:val="right"/>
              <w:rPr>
                <w:rFonts w:eastAsia="Times New Roman"/>
              </w:rPr>
            </w:pPr>
            <w:r>
              <w:rPr>
                <w:rFonts w:eastAsia="Times New Roman"/>
                <w:color w:val="000000"/>
                <w:sz w:val="16"/>
                <w:szCs w:val="16"/>
              </w:rPr>
              <w:t>1,156 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090B3A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4A2B80"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A7388B1"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D4FDB2C" w14:textId="77777777" w:rsidR="00000000" w:rsidRDefault="00405D16">
            <w:pPr>
              <w:spacing w:after="100"/>
              <w:jc w:val="right"/>
              <w:rPr>
                <w:rFonts w:eastAsia="Times New Roman"/>
              </w:rPr>
            </w:pPr>
            <w:r>
              <w:rPr>
                <w:rFonts w:eastAsia="Times New Roman"/>
                <w:color w:val="000000"/>
                <w:sz w:val="16"/>
                <w:szCs w:val="16"/>
              </w:rPr>
              <w:t>(16,472)</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B97FDF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F7353D"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6C241B3"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55F3004" w14:textId="77777777" w:rsidR="00000000" w:rsidRDefault="00405D16">
            <w:pPr>
              <w:spacing w:after="100"/>
              <w:jc w:val="right"/>
              <w:rPr>
                <w:rFonts w:eastAsia="Times New Roman"/>
              </w:rPr>
            </w:pPr>
            <w:r>
              <w:rPr>
                <w:rFonts w:eastAsia="Times New Roman"/>
                <w:color w:val="000000"/>
                <w:sz w:val="16"/>
                <w:szCs w:val="16"/>
              </w:rPr>
              <w:t>58,011 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FC1E7F0" w14:textId="77777777" w:rsidR="00000000" w:rsidRDefault="00405D16">
            <w:pPr>
              <w:spacing w:after="100"/>
              <w:jc w:val="right"/>
              <w:rPr>
                <w:rFonts w:eastAsia="Times New Roman"/>
              </w:rPr>
            </w:pPr>
          </w:p>
        </w:tc>
      </w:tr>
      <w:tr w:rsidR="00000000" w14:paraId="130CC5AD" w14:textId="77777777">
        <w:trPr>
          <w:divId w:val="1942645398"/>
        </w:trPr>
        <w:tc>
          <w:tcPr>
            <w:tcW w:w="0" w:type="auto"/>
            <w:gridSpan w:val="3"/>
            <w:shd w:val="clear" w:color="auto" w:fill="FFFFFF"/>
            <w:tcMar>
              <w:top w:w="30" w:type="dxa"/>
              <w:left w:w="20" w:type="dxa"/>
              <w:bottom w:w="30" w:type="dxa"/>
              <w:right w:w="20" w:type="dxa"/>
            </w:tcMar>
            <w:vAlign w:val="center"/>
            <w:hideMark/>
          </w:tcPr>
          <w:p w14:paraId="4AE106FB" w14:textId="77777777" w:rsidR="00000000" w:rsidRDefault="00405D16">
            <w:pPr>
              <w:spacing w:after="100"/>
              <w:rPr>
                <w:rFonts w:eastAsia="Times New Roman"/>
              </w:rPr>
            </w:pPr>
            <w:r>
              <w:rPr>
                <w:rFonts w:eastAsia="Times New Roman"/>
                <w:color w:val="000000"/>
                <w:sz w:val="16"/>
                <w:szCs w:val="16"/>
              </w:rPr>
              <w:t>Cumulative effects from adoption of the CECL standard</w:t>
            </w:r>
          </w:p>
        </w:tc>
        <w:tc>
          <w:tcPr>
            <w:tcW w:w="0" w:type="auto"/>
            <w:gridSpan w:val="3"/>
            <w:shd w:val="clear" w:color="auto" w:fill="FFFFFF"/>
            <w:tcMar>
              <w:top w:w="0" w:type="dxa"/>
              <w:left w:w="20" w:type="dxa"/>
              <w:bottom w:w="0" w:type="dxa"/>
              <w:right w:w="20" w:type="dxa"/>
            </w:tcMar>
            <w:vAlign w:val="center"/>
            <w:hideMark/>
          </w:tcPr>
          <w:p w14:paraId="35D5B0A3" w14:textId="77777777" w:rsidR="00000000" w:rsidRDefault="00405D16">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1E634C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84A9A3"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76CB42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47D8C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F54A60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735DC7"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DE143F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F9BFDC"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942464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8F9040" w14:textId="77777777" w:rsidR="00000000" w:rsidRDefault="00405D16">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49DBB65" w14:textId="77777777" w:rsidR="00000000" w:rsidRDefault="00405D16">
            <w:pPr>
              <w:spacing w:after="100"/>
              <w:jc w:val="right"/>
              <w:rPr>
                <w:rFonts w:eastAsia="Times New Roman"/>
              </w:rPr>
            </w:pPr>
            <w:r>
              <w:rPr>
                <w:rFonts w:eastAsia="Times New Roman"/>
                <w:color w:val="000000"/>
                <w:sz w:val="16"/>
                <w:szCs w:val="16"/>
              </w:rPr>
              <w:t>(2,184)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22AEAD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80B33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B6929A5" w14:textId="77777777" w:rsidR="00000000" w:rsidRDefault="00405D16">
            <w:pPr>
              <w:spacing w:after="100"/>
              <w:jc w:val="right"/>
              <w:rPr>
                <w:rFonts w:eastAsia="Times New Roman"/>
              </w:rPr>
            </w:pPr>
            <w:r>
              <w:rPr>
                <w:rFonts w:eastAsia="Times New Roman"/>
                <w:color w:val="000000"/>
                <w:sz w:val="16"/>
                <w:szCs w:val="16"/>
              </w:rPr>
              <w:t>(8)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C6F436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7ABE69" w14:textId="77777777" w:rsidR="00000000" w:rsidRDefault="00405D16">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6E787C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4FC722" w14:textId="77777777" w:rsidR="00000000" w:rsidRDefault="00405D16">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E976341" w14:textId="77777777" w:rsidR="00000000" w:rsidRDefault="00405D16">
            <w:pPr>
              <w:spacing w:after="100"/>
              <w:jc w:val="right"/>
              <w:rPr>
                <w:rFonts w:eastAsia="Times New Roman"/>
              </w:rPr>
            </w:pPr>
            <w:r>
              <w:rPr>
                <w:rFonts w:eastAsia="Times New Roman"/>
                <w:color w:val="000000"/>
                <w:sz w:val="16"/>
                <w:szCs w:val="16"/>
              </w:rPr>
              <w:t>(2,192)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C790D9" w14:textId="77777777" w:rsidR="00000000" w:rsidRDefault="00405D16">
            <w:pPr>
              <w:spacing w:after="100"/>
              <w:jc w:val="right"/>
              <w:rPr>
                <w:rFonts w:eastAsia="Times New Roman"/>
              </w:rPr>
            </w:pPr>
          </w:p>
        </w:tc>
      </w:tr>
      <w:tr w:rsidR="00000000" w14:paraId="40BE6044" w14:textId="77777777">
        <w:trPr>
          <w:divId w:val="1942645398"/>
        </w:trPr>
        <w:tc>
          <w:tcPr>
            <w:tcW w:w="0" w:type="auto"/>
            <w:gridSpan w:val="3"/>
            <w:shd w:val="clear" w:color="auto" w:fill="CCEEFF"/>
            <w:tcMar>
              <w:top w:w="30" w:type="dxa"/>
              <w:left w:w="20" w:type="dxa"/>
              <w:bottom w:w="30" w:type="dxa"/>
              <w:right w:w="20" w:type="dxa"/>
            </w:tcMar>
            <w:vAlign w:val="center"/>
            <w:hideMark/>
          </w:tcPr>
          <w:p w14:paraId="6C084673" w14:textId="77777777" w:rsidR="00000000" w:rsidRDefault="00405D16">
            <w:pPr>
              <w:spacing w:after="100"/>
              <w:rPr>
                <w:rFonts w:eastAsia="Times New Roman"/>
              </w:rPr>
            </w:pPr>
            <w:r>
              <w:rPr>
                <w:rFonts w:eastAsia="Times New Roman"/>
                <w:color w:val="000000"/>
                <w:sz w:val="16"/>
                <w:szCs w:val="16"/>
              </w:rPr>
              <w:t>Comprehensive income (loss)</w:t>
            </w:r>
          </w:p>
        </w:tc>
        <w:tc>
          <w:tcPr>
            <w:tcW w:w="0" w:type="auto"/>
            <w:gridSpan w:val="3"/>
            <w:shd w:val="clear" w:color="auto" w:fill="CCEEFF"/>
            <w:tcMar>
              <w:top w:w="0" w:type="dxa"/>
              <w:left w:w="20" w:type="dxa"/>
              <w:bottom w:w="0" w:type="dxa"/>
              <w:right w:w="20" w:type="dxa"/>
            </w:tcMar>
            <w:vAlign w:val="center"/>
            <w:hideMark/>
          </w:tcPr>
          <w:p w14:paraId="1483AA5B"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2B333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58636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EA368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3A467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ADF4E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99528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FFF49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57F04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A95A9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0600D1"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45A2C38" w14:textId="77777777" w:rsidR="00000000" w:rsidRDefault="00405D16">
            <w:pPr>
              <w:spacing w:after="100"/>
              <w:jc w:val="right"/>
              <w:rPr>
                <w:rFonts w:eastAsia="Times New Roman"/>
              </w:rPr>
            </w:pPr>
            <w:r>
              <w:rPr>
                <w:rFonts w:eastAsia="Times New Roman"/>
                <w:color w:val="000000"/>
                <w:sz w:val="16"/>
                <w:szCs w:val="16"/>
              </w:rPr>
              <w:t>(1,340)</w:t>
            </w:r>
          </w:p>
        </w:tc>
        <w:tc>
          <w:tcPr>
            <w:tcW w:w="0" w:type="auto"/>
            <w:shd w:val="clear" w:color="auto" w:fill="CCEEFF"/>
            <w:tcMar>
              <w:top w:w="30" w:type="dxa"/>
              <w:left w:w="0" w:type="dxa"/>
              <w:bottom w:w="30" w:type="dxa"/>
              <w:right w:w="20" w:type="dxa"/>
            </w:tcMar>
            <w:vAlign w:val="center"/>
            <w:hideMark/>
          </w:tcPr>
          <w:p w14:paraId="125F0F1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D3191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47717A5" w14:textId="77777777" w:rsidR="00000000" w:rsidRDefault="00405D16">
            <w:pPr>
              <w:spacing w:after="100"/>
              <w:jc w:val="right"/>
              <w:rPr>
                <w:rFonts w:eastAsia="Times New Roman"/>
              </w:rPr>
            </w:pPr>
            <w:r>
              <w:rPr>
                <w:rFonts w:eastAsia="Times New Roman"/>
                <w:color w:val="000000"/>
                <w:sz w:val="16"/>
                <w:szCs w:val="16"/>
              </w:rPr>
              <w:t>2,531 </w:t>
            </w:r>
          </w:p>
        </w:tc>
        <w:tc>
          <w:tcPr>
            <w:tcW w:w="0" w:type="auto"/>
            <w:shd w:val="clear" w:color="auto" w:fill="CCEEFF"/>
            <w:tcMar>
              <w:top w:w="30" w:type="dxa"/>
              <w:left w:w="0" w:type="dxa"/>
              <w:bottom w:w="30" w:type="dxa"/>
              <w:right w:w="20" w:type="dxa"/>
            </w:tcMar>
            <w:vAlign w:val="center"/>
            <w:hideMark/>
          </w:tcPr>
          <w:p w14:paraId="57D2F1E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97FAE5" w14:textId="77777777" w:rsidR="00000000" w:rsidRDefault="00405D1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810F5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354E07"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4FF0D7A" w14:textId="77777777" w:rsidR="00000000" w:rsidRDefault="00405D16">
            <w:pPr>
              <w:spacing w:after="100"/>
              <w:jc w:val="right"/>
              <w:rPr>
                <w:rFonts w:eastAsia="Times New Roman"/>
              </w:rPr>
            </w:pPr>
            <w:r>
              <w:rPr>
                <w:rFonts w:eastAsia="Times New Roman"/>
                <w:color w:val="000000"/>
                <w:sz w:val="16"/>
                <w:szCs w:val="16"/>
              </w:rPr>
              <w:t>1,191 </w:t>
            </w:r>
          </w:p>
        </w:tc>
        <w:tc>
          <w:tcPr>
            <w:tcW w:w="0" w:type="auto"/>
            <w:shd w:val="clear" w:color="auto" w:fill="CCEEFF"/>
            <w:tcMar>
              <w:top w:w="30" w:type="dxa"/>
              <w:left w:w="0" w:type="dxa"/>
              <w:bottom w:w="30" w:type="dxa"/>
              <w:right w:w="20" w:type="dxa"/>
            </w:tcMar>
            <w:vAlign w:val="center"/>
            <w:hideMark/>
          </w:tcPr>
          <w:p w14:paraId="07B4DE3C" w14:textId="77777777" w:rsidR="00000000" w:rsidRDefault="00405D16">
            <w:pPr>
              <w:spacing w:after="100"/>
              <w:jc w:val="right"/>
              <w:rPr>
                <w:rFonts w:eastAsia="Times New Roman"/>
              </w:rPr>
            </w:pPr>
          </w:p>
        </w:tc>
      </w:tr>
      <w:tr w:rsidR="00000000" w14:paraId="34ED8FA1" w14:textId="77777777">
        <w:trPr>
          <w:divId w:val="1942645398"/>
        </w:trPr>
        <w:tc>
          <w:tcPr>
            <w:tcW w:w="0" w:type="auto"/>
            <w:gridSpan w:val="3"/>
            <w:shd w:val="clear" w:color="auto" w:fill="FFFFFF"/>
            <w:tcMar>
              <w:top w:w="30" w:type="dxa"/>
              <w:left w:w="20" w:type="dxa"/>
              <w:bottom w:w="30" w:type="dxa"/>
              <w:right w:w="20" w:type="dxa"/>
            </w:tcMar>
            <w:vAlign w:val="center"/>
            <w:hideMark/>
          </w:tcPr>
          <w:p w14:paraId="627FDA95" w14:textId="77777777" w:rsidR="00000000" w:rsidRDefault="00405D16">
            <w:pPr>
              <w:spacing w:after="100"/>
              <w:divId w:val="1877159550"/>
              <w:rPr>
                <w:rFonts w:eastAsia="Times New Roman"/>
              </w:rPr>
            </w:pPr>
            <w:r>
              <w:rPr>
                <w:rFonts w:eastAsia="Times New Roman"/>
                <w:color w:val="000000"/>
                <w:sz w:val="16"/>
                <w:szCs w:val="16"/>
              </w:rPr>
              <w:t>Dividends—common stoc</w:t>
            </w:r>
            <w:r>
              <w:rPr>
                <w:rFonts w:eastAsia="Times New Roman"/>
                <w:color w:val="000000"/>
                <w:sz w:val="16"/>
                <w:szCs w:val="16"/>
              </w:rPr>
              <w:t>k</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14:paraId="5DF163B6"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8B384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FBAD2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2D859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6A809D"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ED4FEEB" w14:textId="77777777" w:rsidR="00000000" w:rsidRDefault="00405D16">
            <w:pPr>
              <w:spacing w:after="100"/>
              <w:jc w:val="right"/>
              <w:rPr>
                <w:rFonts w:eastAsia="Times New Roman"/>
              </w:rPr>
            </w:pPr>
            <w:r>
              <w:rPr>
                <w:rFonts w:eastAsia="Times New Roman"/>
                <w:color w:val="000000"/>
                <w:sz w:val="16"/>
                <w:szCs w:val="16"/>
              </w:rPr>
              <w:t>23,213 </w:t>
            </w:r>
          </w:p>
        </w:tc>
        <w:tc>
          <w:tcPr>
            <w:tcW w:w="0" w:type="auto"/>
            <w:shd w:val="clear" w:color="auto" w:fill="FFFFFF"/>
            <w:tcMar>
              <w:top w:w="30" w:type="dxa"/>
              <w:left w:w="0" w:type="dxa"/>
              <w:bottom w:w="30" w:type="dxa"/>
              <w:right w:w="20" w:type="dxa"/>
            </w:tcMar>
            <w:vAlign w:val="center"/>
            <w:hideMark/>
          </w:tcPr>
          <w:p w14:paraId="7C446F2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6A5AF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331213B" w14:textId="77777777" w:rsidR="00000000" w:rsidRDefault="00405D16">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14:paraId="1ED4AA4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962BF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F2123A2" w14:textId="77777777" w:rsidR="00000000" w:rsidRDefault="00405D16">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center"/>
            <w:hideMark/>
          </w:tcPr>
          <w:p w14:paraId="5560B83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88294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4A4D9C4" w14:textId="77777777" w:rsidR="00000000" w:rsidRDefault="00405D16">
            <w:pPr>
              <w:spacing w:after="100"/>
              <w:jc w:val="right"/>
              <w:rPr>
                <w:rFonts w:eastAsia="Times New Roman"/>
              </w:rPr>
            </w:pPr>
            <w:r>
              <w:rPr>
                <w:rFonts w:eastAsia="Times New Roman"/>
                <w:color w:val="000000"/>
                <w:sz w:val="16"/>
                <w:szCs w:val="16"/>
              </w:rPr>
              <w:t>(187)</w:t>
            </w:r>
          </w:p>
        </w:tc>
        <w:tc>
          <w:tcPr>
            <w:tcW w:w="0" w:type="auto"/>
            <w:shd w:val="clear" w:color="auto" w:fill="FFFFFF"/>
            <w:tcMar>
              <w:top w:w="30" w:type="dxa"/>
              <w:left w:w="0" w:type="dxa"/>
              <w:bottom w:w="30" w:type="dxa"/>
              <w:right w:w="20" w:type="dxa"/>
            </w:tcMar>
            <w:vAlign w:val="center"/>
            <w:hideMark/>
          </w:tcPr>
          <w:p w14:paraId="534324F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EE2618" w14:textId="77777777" w:rsidR="00000000" w:rsidRDefault="00405D1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38450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BDF7D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DAA19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760290"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74D0695" w14:textId="77777777" w:rsidR="00000000" w:rsidRDefault="00405D16">
            <w:pPr>
              <w:spacing w:after="100"/>
              <w:jc w:val="right"/>
              <w:rPr>
                <w:rFonts w:eastAsia="Times New Roman"/>
              </w:rPr>
            </w:pPr>
            <w:r>
              <w:rPr>
                <w:rFonts w:eastAsia="Times New Roman"/>
                <w:color w:val="000000"/>
                <w:sz w:val="16"/>
                <w:szCs w:val="16"/>
              </w:rPr>
              <w:t>(185)</w:t>
            </w:r>
          </w:p>
        </w:tc>
        <w:tc>
          <w:tcPr>
            <w:tcW w:w="0" w:type="auto"/>
            <w:shd w:val="clear" w:color="auto" w:fill="FFFFFF"/>
            <w:tcMar>
              <w:top w:w="30" w:type="dxa"/>
              <w:left w:w="0" w:type="dxa"/>
              <w:bottom w:w="30" w:type="dxa"/>
              <w:right w:w="20" w:type="dxa"/>
            </w:tcMar>
            <w:vAlign w:val="center"/>
            <w:hideMark/>
          </w:tcPr>
          <w:p w14:paraId="61026BC7" w14:textId="77777777" w:rsidR="00000000" w:rsidRDefault="00405D16">
            <w:pPr>
              <w:spacing w:after="100"/>
              <w:jc w:val="right"/>
              <w:rPr>
                <w:rFonts w:eastAsia="Times New Roman"/>
              </w:rPr>
            </w:pPr>
          </w:p>
        </w:tc>
      </w:tr>
      <w:tr w:rsidR="00000000" w14:paraId="2CF192E9" w14:textId="77777777">
        <w:trPr>
          <w:divId w:val="1942645398"/>
        </w:trPr>
        <w:tc>
          <w:tcPr>
            <w:tcW w:w="0" w:type="auto"/>
            <w:gridSpan w:val="3"/>
            <w:shd w:val="clear" w:color="auto" w:fill="CCEEFF"/>
            <w:tcMar>
              <w:top w:w="30" w:type="dxa"/>
              <w:left w:w="20" w:type="dxa"/>
              <w:bottom w:w="30" w:type="dxa"/>
              <w:right w:w="20" w:type="dxa"/>
            </w:tcMar>
            <w:vAlign w:val="center"/>
            <w:hideMark/>
          </w:tcPr>
          <w:p w14:paraId="18ABE144" w14:textId="77777777" w:rsidR="00000000" w:rsidRDefault="00405D16">
            <w:pPr>
              <w:spacing w:after="100"/>
              <w:rPr>
                <w:rFonts w:eastAsia="Times New Roman"/>
              </w:rPr>
            </w:pPr>
            <w:r>
              <w:rPr>
                <w:rFonts w:eastAsia="Times New Roman"/>
                <w:color w:val="000000"/>
                <w:sz w:val="16"/>
                <w:szCs w:val="16"/>
              </w:rPr>
              <w:t>Dividends—preferred stock</w:t>
            </w:r>
          </w:p>
        </w:tc>
        <w:tc>
          <w:tcPr>
            <w:tcW w:w="0" w:type="auto"/>
            <w:gridSpan w:val="3"/>
            <w:shd w:val="clear" w:color="auto" w:fill="CCEEFF"/>
            <w:tcMar>
              <w:top w:w="0" w:type="dxa"/>
              <w:left w:w="20" w:type="dxa"/>
              <w:bottom w:w="0" w:type="dxa"/>
              <w:right w:w="20" w:type="dxa"/>
            </w:tcMar>
            <w:vAlign w:val="center"/>
            <w:hideMark/>
          </w:tcPr>
          <w:p w14:paraId="14EDB603"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6C4F6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300D9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8669F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9B27B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4F06A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BDE09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5F0BF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5A617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59D33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07EB3A"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BD7BD2E" w14:textId="77777777" w:rsidR="00000000" w:rsidRDefault="00405D16">
            <w:pPr>
              <w:spacing w:after="100"/>
              <w:jc w:val="right"/>
              <w:rPr>
                <w:rFonts w:eastAsia="Times New Roman"/>
              </w:rPr>
            </w:pPr>
            <w:r>
              <w:rPr>
                <w:rFonts w:eastAsia="Times New Roman"/>
                <w:color w:val="000000"/>
                <w:sz w:val="16"/>
                <w:szCs w:val="16"/>
              </w:rPr>
              <w:t>(55)</w:t>
            </w:r>
          </w:p>
        </w:tc>
        <w:tc>
          <w:tcPr>
            <w:tcW w:w="0" w:type="auto"/>
            <w:shd w:val="clear" w:color="auto" w:fill="CCEEFF"/>
            <w:tcMar>
              <w:top w:w="30" w:type="dxa"/>
              <w:left w:w="0" w:type="dxa"/>
              <w:bottom w:w="30" w:type="dxa"/>
              <w:right w:w="20" w:type="dxa"/>
            </w:tcMar>
            <w:vAlign w:val="center"/>
            <w:hideMark/>
          </w:tcPr>
          <w:p w14:paraId="3E814E8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AE4918" w14:textId="77777777" w:rsidR="00000000" w:rsidRDefault="00405D1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36CC1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40C5A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EAAD9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118C17"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C37FDDD" w14:textId="77777777" w:rsidR="00000000" w:rsidRDefault="00405D16">
            <w:pPr>
              <w:spacing w:after="100"/>
              <w:jc w:val="right"/>
              <w:rPr>
                <w:rFonts w:eastAsia="Times New Roman"/>
              </w:rPr>
            </w:pPr>
            <w:r>
              <w:rPr>
                <w:rFonts w:eastAsia="Times New Roman"/>
                <w:color w:val="000000"/>
                <w:sz w:val="16"/>
                <w:szCs w:val="16"/>
              </w:rPr>
              <w:t>(55)</w:t>
            </w:r>
          </w:p>
        </w:tc>
        <w:tc>
          <w:tcPr>
            <w:tcW w:w="0" w:type="auto"/>
            <w:shd w:val="clear" w:color="auto" w:fill="CCEEFF"/>
            <w:tcMar>
              <w:top w:w="30" w:type="dxa"/>
              <w:left w:w="0" w:type="dxa"/>
              <w:bottom w:w="30" w:type="dxa"/>
              <w:right w:w="20" w:type="dxa"/>
            </w:tcMar>
            <w:vAlign w:val="center"/>
            <w:hideMark/>
          </w:tcPr>
          <w:p w14:paraId="4B12D7E7" w14:textId="77777777" w:rsidR="00000000" w:rsidRDefault="00405D16">
            <w:pPr>
              <w:spacing w:after="100"/>
              <w:jc w:val="right"/>
              <w:rPr>
                <w:rFonts w:eastAsia="Times New Roman"/>
              </w:rPr>
            </w:pPr>
          </w:p>
        </w:tc>
      </w:tr>
      <w:tr w:rsidR="00000000" w14:paraId="3071FCFA" w14:textId="77777777">
        <w:trPr>
          <w:divId w:val="1942645398"/>
        </w:trPr>
        <w:tc>
          <w:tcPr>
            <w:tcW w:w="0" w:type="auto"/>
            <w:gridSpan w:val="3"/>
            <w:shd w:val="clear" w:color="auto" w:fill="FFFFFF"/>
            <w:tcMar>
              <w:top w:w="30" w:type="dxa"/>
              <w:left w:w="20" w:type="dxa"/>
              <w:bottom w:w="30" w:type="dxa"/>
              <w:right w:w="20" w:type="dxa"/>
            </w:tcMar>
            <w:vAlign w:val="center"/>
            <w:hideMark/>
          </w:tcPr>
          <w:p w14:paraId="4A9DADE4" w14:textId="77777777" w:rsidR="00000000" w:rsidRDefault="00405D16">
            <w:pPr>
              <w:spacing w:after="100"/>
              <w:rPr>
                <w:rFonts w:eastAsia="Times New Roman"/>
              </w:rPr>
            </w:pPr>
            <w:r>
              <w:rPr>
                <w:rFonts w:eastAsia="Times New Roman"/>
                <w:color w:val="000000"/>
                <w:sz w:val="16"/>
                <w:szCs w:val="16"/>
              </w:rPr>
              <w:t>Purchases of treasury stock</w:t>
            </w:r>
          </w:p>
        </w:tc>
        <w:tc>
          <w:tcPr>
            <w:tcW w:w="0" w:type="auto"/>
            <w:gridSpan w:val="3"/>
            <w:shd w:val="clear" w:color="auto" w:fill="FFFFFF"/>
            <w:tcMar>
              <w:top w:w="0" w:type="dxa"/>
              <w:left w:w="20" w:type="dxa"/>
              <w:bottom w:w="0" w:type="dxa"/>
              <w:right w:w="20" w:type="dxa"/>
            </w:tcMar>
            <w:vAlign w:val="center"/>
            <w:hideMark/>
          </w:tcPr>
          <w:p w14:paraId="1E24D4FA"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0B49C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1ADBD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6FD06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9B7D8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2A6F3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FA6BE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0A303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E9A49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5D4964"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D5752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FCC56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2E68B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7351C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15F6D8"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1ABA05A" w14:textId="77777777" w:rsidR="00000000" w:rsidRDefault="00405D16">
            <w:pPr>
              <w:spacing w:after="100"/>
              <w:jc w:val="right"/>
              <w:rPr>
                <w:rFonts w:eastAsia="Times New Roman"/>
              </w:rPr>
            </w:pPr>
            <w:r>
              <w:rPr>
                <w:rFonts w:eastAsia="Times New Roman"/>
                <w:color w:val="000000"/>
                <w:sz w:val="16"/>
                <w:szCs w:val="16"/>
              </w:rPr>
              <w:t>(386)</w:t>
            </w:r>
          </w:p>
        </w:tc>
        <w:tc>
          <w:tcPr>
            <w:tcW w:w="0" w:type="auto"/>
            <w:shd w:val="clear" w:color="auto" w:fill="FFFFFF"/>
            <w:tcMar>
              <w:top w:w="30" w:type="dxa"/>
              <w:left w:w="0" w:type="dxa"/>
              <w:bottom w:w="30" w:type="dxa"/>
              <w:right w:w="20" w:type="dxa"/>
            </w:tcMar>
            <w:vAlign w:val="center"/>
            <w:hideMark/>
          </w:tcPr>
          <w:p w14:paraId="5033551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55311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B4A4834" w14:textId="77777777" w:rsidR="00000000" w:rsidRDefault="00405D16">
            <w:pPr>
              <w:spacing w:after="100"/>
              <w:jc w:val="right"/>
              <w:rPr>
                <w:rFonts w:eastAsia="Times New Roman"/>
              </w:rPr>
            </w:pPr>
            <w:r>
              <w:rPr>
                <w:rFonts w:eastAsia="Times New Roman"/>
                <w:color w:val="000000"/>
                <w:sz w:val="16"/>
                <w:szCs w:val="16"/>
              </w:rPr>
              <w:t>(386)</w:t>
            </w:r>
          </w:p>
        </w:tc>
        <w:tc>
          <w:tcPr>
            <w:tcW w:w="0" w:type="auto"/>
            <w:shd w:val="clear" w:color="auto" w:fill="FFFFFF"/>
            <w:tcMar>
              <w:top w:w="30" w:type="dxa"/>
              <w:left w:w="0" w:type="dxa"/>
              <w:bottom w:w="30" w:type="dxa"/>
              <w:right w:w="20" w:type="dxa"/>
            </w:tcMar>
            <w:vAlign w:val="center"/>
            <w:hideMark/>
          </w:tcPr>
          <w:p w14:paraId="7BC0D9D7" w14:textId="77777777" w:rsidR="00000000" w:rsidRDefault="00405D16">
            <w:pPr>
              <w:spacing w:after="100"/>
              <w:jc w:val="right"/>
              <w:rPr>
                <w:rFonts w:eastAsia="Times New Roman"/>
              </w:rPr>
            </w:pPr>
          </w:p>
        </w:tc>
      </w:tr>
      <w:tr w:rsidR="00000000" w14:paraId="37A80B54" w14:textId="77777777">
        <w:trPr>
          <w:divId w:val="1942645398"/>
        </w:trPr>
        <w:tc>
          <w:tcPr>
            <w:tcW w:w="0" w:type="auto"/>
            <w:gridSpan w:val="3"/>
            <w:shd w:val="clear" w:color="auto" w:fill="CCEEFF"/>
            <w:tcMar>
              <w:top w:w="30" w:type="dxa"/>
              <w:left w:w="20" w:type="dxa"/>
              <w:bottom w:w="30" w:type="dxa"/>
              <w:right w:w="20" w:type="dxa"/>
            </w:tcMar>
            <w:vAlign w:val="center"/>
            <w:hideMark/>
          </w:tcPr>
          <w:p w14:paraId="2002BDA4" w14:textId="77777777" w:rsidR="00000000" w:rsidRDefault="00405D16">
            <w:pPr>
              <w:spacing w:after="100"/>
              <w:rPr>
                <w:rFonts w:eastAsia="Times New Roman"/>
              </w:rPr>
            </w:pPr>
            <w:r>
              <w:rPr>
                <w:rFonts w:eastAsia="Times New Roman"/>
                <w:color w:val="000000"/>
                <w:sz w:val="16"/>
                <w:szCs w:val="16"/>
              </w:rPr>
              <w:t>Issuances of common stock and restricted stock, net of forfeitures</w:t>
            </w:r>
          </w:p>
        </w:tc>
        <w:tc>
          <w:tcPr>
            <w:tcW w:w="0" w:type="auto"/>
            <w:gridSpan w:val="3"/>
            <w:shd w:val="clear" w:color="auto" w:fill="CCEEFF"/>
            <w:tcMar>
              <w:top w:w="0" w:type="dxa"/>
              <w:left w:w="20" w:type="dxa"/>
              <w:bottom w:w="0" w:type="dxa"/>
              <w:right w:w="20" w:type="dxa"/>
            </w:tcMar>
            <w:vAlign w:val="center"/>
            <w:hideMark/>
          </w:tcPr>
          <w:p w14:paraId="2432069C"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3453D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80DEF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F628E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8C2631"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A224CD" w14:textId="77777777" w:rsidR="00000000" w:rsidRDefault="00405D16">
            <w:pPr>
              <w:spacing w:after="100"/>
              <w:jc w:val="right"/>
              <w:rPr>
                <w:rFonts w:eastAsia="Times New Roman"/>
              </w:rPr>
            </w:pPr>
            <w:r>
              <w:rPr>
                <w:rFonts w:eastAsia="Times New Roman"/>
                <w:color w:val="000000"/>
                <w:sz w:val="16"/>
                <w:szCs w:val="16"/>
              </w:rPr>
              <w:t>2,618,628 </w:t>
            </w:r>
          </w:p>
        </w:tc>
        <w:tc>
          <w:tcPr>
            <w:tcW w:w="0" w:type="auto"/>
            <w:shd w:val="clear" w:color="auto" w:fill="CCEEFF"/>
            <w:tcMar>
              <w:top w:w="30" w:type="dxa"/>
              <w:left w:w="0" w:type="dxa"/>
              <w:bottom w:w="30" w:type="dxa"/>
              <w:right w:w="20" w:type="dxa"/>
            </w:tcMar>
            <w:vAlign w:val="bottom"/>
            <w:hideMark/>
          </w:tcPr>
          <w:p w14:paraId="5E6AC81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8B826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16BE61" w14:textId="77777777" w:rsidR="00000000" w:rsidRDefault="00405D16">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14:paraId="2392469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ABB16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C28BDE" w14:textId="77777777" w:rsidR="00000000" w:rsidRDefault="00405D16">
            <w:pPr>
              <w:spacing w:after="100"/>
              <w:jc w:val="right"/>
              <w:rPr>
                <w:rFonts w:eastAsia="Times New Roman"/>
              </w:rPr>
            </w:pPr>
            <w:r>
              <w:rPr>
                <w:rFonts w:eastAsia="Times New Roman"/>
                <w:color w:val="000000"/>
                <w:sz w:val="16"/>
                <w:szCs w:val="16"/>
              </w:rPr>
              <w:t>63 </w:t>
            </w:r>
          </w:p>
        </w:tc>
        <w:tc>
          <w:tcPr>
            <w:tcW w:w="0" w:type="auto"/>
            <w:shd w:val="clear" w:color="auto" w:fill="CCEEFF"/>
            <w:tcMar>
              <w:top w:w="30" w:type="dxa"/>
              <w:left w:w="0" w:type="dxa"/>
              <w:bottom w:w="30" w:type="dxa"/>
              <w:right w:w="20" w:type="dxa"/>
            </w:tcMar>
            <w:vAlign w:val="bottom"/>
            <w:hideMark/>
          </w:tcPr>
          <w:p w14:paraId="087CCBB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A0264A" w14:textId="77777777" w:rsidR="00000000" w:rsidRDefault="00405D1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E9B38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9A442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353F6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CECF0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E818C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0A7138"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A6384E" w14:textId="77777777" w:rsidR="00000000" w:rsidRDefault="00405D16">
            <w:pPr>
              <w:spacing w:after="100"/>
              <w:jc w:val="right"/>
              <w:rPr>
                <w:rFonts w:eastAsia="Times New Roman"/>
              </w:rPr>
            </w:pPr>
            <w:r>
              <w:rPr>
                <w:rFonts w:eastAsia="Times New Roman"/>
                <w:color w:val="000000"/>
                <w:sz w:val="16"/>
                <w:szCs w:val="16"/>
              </w:rPr>
              <w:t>63 </w:t>
            </w:r>
          </w:p>
        </w:tc>
        <w:tc>
          <w:tcPr>
            <w:tcW w:w="0" w:type="auto"/>
            <w:shd w:val="clear" w:color="auto" w:fill="CCEEFF"/>
            <w:tcMar>
              <w:top w:w="30" w:type="dxa"/>
              <w:left w:w="0" w:type="dxa"/>
              <w:bottom w:w="30" w:type="dxa"/>
              <w:right w:w="20" w:type="dxa"/>
            </w:tcMar>
            <w:vAlign w:val="bottom"/>
            <w:hideMark/>
          </w:tcPr>
          <w:p w14:paraId="77CABC55" w14:textId="77777777" w:rsidR="00000000" w:rsidRDefault="00405D16">
            <w:pPr>
              <w:spacing w:after="100"/>
              <w:jc w:val="right"/>
              <w:rPr>
                <w:rFonts w:eastAsia="Times New Roman"/>
              </w:rPr>
            </w:pPr>
          </w:p>
        </w:tc>
      </w:tr>
      <w:tr w:rsidR="00000000" w14:paraId="7194BDBF" w14:textId="77777777">
        <w:trPr>
          <w:divId w:val="1942645398"/>
        </w:trPr>
        <w:tc>
          <w:tcPr>
            <w:tcW w:w="0" w:type="auto"/>
            <w:gridSpan w:val="3"/>
            <w:shd w:val="clear" w:color="auto" w:fill="FFFFFF"/>
            <w:tcMar>
              <w:top w:w="30" w:type="dxa"/>
              <w:left w:w="20" w:type="dxa"/>
              <w:bottom w:w="30" w:type="dxa"/>
              <w:right w:w="20" w:type="dxa"/>
            </w:tcMar>
            <w:vAlign w:val="center"/>
            <w:hideMark/>
          </w:tcPr>
          <w:p w14:paraId="44C7787F" w14:textId="77777777" w:rsidR="00000000" w:rsidRDefault="00405D16">
            <w:pPr>
              <w:spacing w:after="100"/>
              <w:rPr>
                <w:rFonts w:eastAsia="Times New Roman"/>
              </w:rPr>
            </w:pPr>
            <w:r>
              <w:rPr>
                <w:rFonts w:eastAsia="Times New Roman"/>
                <w:color w:val="000000"/>
                <w:sz w:val="16"/>
                <w:szCs w:val="16"/>
              </w:rPr>
              <w:t>Exercises of stock options</w:t>
            </w:r>
          </w:p>
        </w:tc>
        <w:tc>
          <w:tcPr>
            <w:tcW w:w="0" w:type="auto"/>
            <w:gridSpan w:val="3"/>
            <w:shd w:val="clear" w:color="auto" w:fill="FFFFFF"/>
            <w:tcMar>
              <w:top w:w="0" w:type="dxa"/>
              <w:left w:w="20" w:type="dxa"/>
              <w:bottom w:w="0" w:type="dxa"/>
              <w:right w:w="20" w:type="dxa"/>
            </w:tcMar>
            <w:vAlign w:val="center"/>
            <w:hideMark/>
          </w:tcPr>
          <w:p w14:paraId="336677F4"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14A0F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70B91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7A782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608294"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07E3EC2" w14:textId="77777777" w:rsidR="00000000" w:rsidRDefault="00405D16">
            <w:pPr>
              <w:spacing w:after="100"/>
              <w:jc w:val="right"/>
              <w:rPr>
                <w:rFonts w:eastAsia="Times New Roman"/>
              </w:rPr>
            </w:pPr>
            <w:r>
              <w:rPr>
                <w:rFonts w:eastAsia="Times New Roman"/>
                <w:color w:val="000000"/>
                <w:sz w:val="16"/>
                <w:szCs w:val="16"/>
              </w:rPr>
              <w:t>559,333 </w:t>
            </w:r>
          </w:p>
        </w:tc>
        <w:tc>
          <w:tcPr>
            <w:tcW w:w="0" w:type="auto"/>
            <w:shd w:val="clear" w:color="auto" w:fill="FFFFFF"/>
            <w:tcMar>
              <w:top w:w="30" w:type="dxa"/>
              <w:left w:w="0" w:type="dxa"/>
              <w:bottom w:w="30" w:type="dxa"/>
              <w:right w:w="20" w:type="dxa"/>
            </w:tcMar>
            <w:vAlign w:val="center"/>
            <w:hideMark/>
          </w:tcPr>
          <w:p w14:paraId="163A6DE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96C6B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552B3EC" w14:textId="77777777" w:rsidR="00000000" w:rsidRDefault="00405D16">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14:paraId="30CD433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98970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1E7DA83" w14:textId="77777777" w:rsidR="00000000" w:rsidRDefault="00405D16">
            <w:pPr>
              <w:spacing w:after="100"/>
              <w:jc w:val="right"/>
              <w:rPr>
                <w:rFonts w:eastAsia="Times New Roman"/>
              </w:rPr>
            </w:pPr>
            <w:r>
              <w:rPr>
                <w:rFonts w:eastAsia="Times New Roman"/>
                <w:color w:val="000000"/>
                <w:sz w:val="16"/>
                <w:szCs w:val="16"/>
              </w:rPr>
              <w:t>20 </w:t>
            </w:r>
          </w:p>
        </w:tc>
        <w:tc>
          <w:tcPr>
            <w:tcW w:w="0" w:type="auto"/>
            <w:shd w:val="clear" w:color="auto" w:fill="FFFFFF"/>
            <w:tcMar>
              <w:top w:w="30" w:type="dxa"/>
              <w:left w:w="0" w:type="dxa"/>
              <w:bottom w:w="30" w:type="dxa"/>
              <w:right w:w="20" w:type="dxa"/>
            </w:tcMar>
            <w:vAlign w:val="center"/>
            <w:hideMark/>
          </w:tcPr>
          <w:p w14:paraId="66B6B90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E5B2BE" w14:textId="77777777" w:rsidR="00000000" w:rsidRDefault="00405D1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06CB0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A7F1F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FA2E1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C77D14"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1635B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188CD1"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CDF2331" w14:textId="77777777" w:rsidR="00000000" w:rsidRDefault="00405D16">
            <w:pPr>
              <w:spacing w:after="100"/>
              <w:jc w:val="right"/>
              <w:rPr>
                <w:rFonts w:eastAsia="Times New Roman"/>
              </w:rPr>
            </w:pPr>
            <w:r>
              <w:rPr>
                <w:rFonts w:eastAsia="Times New Roman"/>
                <w:color w:val="000000"/>
                <w:sz w:val="16"/>
                <w:szCs w:val="16"/>
              </w:rPr>
              <w:t>20 </w:t>
            </w:r>
          </w:p>
        </w:tc>
        <w:tc>
          <w:tcPr>
            <w:tcW w:w="0" w:type="auto"/>
            <w:shd w:val="clear" w:color="auto" w:fill="FFFFFF"/>
            <w:tcMar>
              <w:top w:w="30" w:type="dxa"/>
              <w:left w:w="0" w:type="dxa"/>
              <w:bottom w:w="30" w:type="dxa"/>
              <w:right w:w="20" w:type="dxa"/>
            </w:tcMar>
            <w:vAlign w:val="center"/>
            <w:hideMark/>
          </w:tcPr>
          <w:p w14:paraId="3755CC8B" w14:textId="77777777" w:rsidR="00000000" w:rsidRDefault="00405D16">
            <w:pPr>
              <w:spacing w:after="100"/>
              <w:jc w:val="right"/>
              <w:rPr>
                <w:rFonts w:eastAsia="Times New Roman"/>
              </w:rPr>
            </w:pPr>
          </w:p>
        </w:tc>
      </w:tr>
      <w:tr w:rsidR="00000000" w14:paraId="55D438E8" w14:textId="77777777">
        <w:trPr>
          <w:divId w:val="1942645398"/>
        </w:trPr>
        <w:tc>
          <w:tcPr>
            <w:tcW w:w="0" w:type="auto"/>
            <w:gridSpan w:val="3"/>
            <w:shd w:val="clear" w:color="auto" w:fill="CCEEFF"/>
            <w:tcMar>
              <w:top w:w="30" w:type="dxa"/>
              <w:left w:w="20" w:type="dxa"/>
              <w:bottom w:w="30" w:type="dxa"/>
              <w:right w:w="20" w:type="dxa"/>
            </w:tcMar>
            <w:vAlign w:val="center"/>
            <w:hideMark/>
          </w:tcPr>
          <w:p w14:paraId="72402CA3" w14:textId="77777777" w:rsidR="00000000" w:rsidRDefault="00405D16">
            <w:pPr>
              <w:spacing w:after="100"/>
              <w:rPr>
                <w:rFonts w:eastAsia="Times New Roman"/>
              </w:rPr>
            </w:pPr>
            <w:r>
              <w:rPr>
                <w:rFonts w:eastAsia="Times New Roman"/>
                <w:color w:val="000000"/>
                <w:sz w:val="16"/>
                <w:szCs w:val="16"/>
              </w:rPr>
              <w:t>Issuances of preferred stock</w:t>
            </w:r>
          </w:p>
        </w:tc>
        <w:tc>
          <w:tcPr>
            <w:tcW w:w="0" w:type="auto"/>
            <w:gridSpan w:val="3"/>
            <w:shd w:val="clear" w:color="auto" w:fill="CCEEFF"/>
            <w:tcMar>
              <w:top w:w="0" w:type="dxa"/>
              <w:left w:w="20" w:type="dxa"/>
              <w:bottom w:w="0" w:type="dxa"/>
              <w:right w:w="20" w:type="dxa"/>
            </w:tcMar>
            <w:vAlign w:val="center"/>
            <w:hideMark/>
          </w:tcPr>
          <w:p w14:paraId="22FD6AEB"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EFB7D07" w14:textId="77777777" w:rsidR="00000000" w:rsidRDefault="00405D16">
            <w:pPr>
              <w:spacing w:after="100"/>
              <w:jc w:val="right"/>
              <w:rPr>
                <w:rFonts w:eastAsia="Times New Roman"/>
              </w:rPr>
            </w:pPr>
            <w:r>
              <w:rPr>
                <w:rFonts w:eastAsia="Times New Roman"/>
                <w:color w:val="000000"/>
                <w:sz w:val="16"/>
                <w:szCs w:val="16"/>
              </w:rPr>
              <w:t>1,250,000 </w:t>
            </w:r>
          </w:p>
        </w:tc>
        <w:tc>
          <w:tcPr>
            <w:tcW w:w="0" w:type="auto"/>
            <w:shd w:val="clear" w:color="auto" w:fill="CCEEFF"/>
            <w:tcMar>
              <w:top w:w="30" w:type="dxa"/>
              <w:left w:w="0" w:type="dxa"/>
              <w:bottom w:w="30" w:type="dxa"/>
              <w:right w:w="20" w:type="dxa"/>
            </w:tcMar>
            <w:vAlign w:val="center"/>
            <w:hideMark/>
          </w:tcPr>
          <w:p w14:paraId="40F8769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E990C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9644F61" w14:textId="77777777" w:rsidR="00000000" w:rsidRDefault="00405D16">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14:paraId="3846065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6E2A18" w14:textId="77777777" w:rsidR="00000000" w:rsidRDefault="00405D1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51C98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AD7F7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00956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709D10"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1461FF8" w14:textId="77777777" w:rsidR="00000000" w:rsidRDefault="00405D16">
            <w:pPr>
              <w:spacing w:after="100"/>
              <w:jc w:val="right"/>
              <w:rPr>
                <w:rFonts w:eastAsia="Times New Roman"/>
              </w:rPr>
            </w:pPr>
            <w:r>
              <w:rPr>
                <w:rFonts w:eastAsia="Times New Roman"/>
                <w:color w:val="000000"/>
                <w:sz w:val="16"/>
                <w:szCs w:val="16"/>
              </w:rPr>
              <w:t>1,209 </w:t>
            </w:r>
          </w:p>
        </w:tc>
        <w:tc>
          <w:tcPr>
            <w:tcW w:w="0" w:type="auto"/>
            <w:shd w:val="clear" w:color="auto" w:fill="CCEEFF"/>
            <w:tcMar>
              <w:top w:w="30" w:type="dxa"/>
              <w:left w:w="0" w:type="dxa"/>
              <w:bottom w:w="30" w:type="dxa"/>
              <w:right w:w="20" w:type="dxa"/>
            </w:tcMar>
            <w:vAlign w:val="center"/>
            <w:hideMark/>
          </w:tcPr>
          <w:p w14:paraId="4A45321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9E8483" w14:textId="77777777" w:rsidR="00000000" w:rsidRDefault="00405D1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4E7EF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68A5D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AFDFA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25129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4718C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8E4FAE"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9938154" w14:textId="77777777" w:rsidR="00000000" w:rsidRDefault="00405D16">
            <w:pPr>
              <w:spacing w:after="100"/>
              <w:jc w:val="right"/>
              <w:rPr>
                <w:rFonts w:eastAsia="Times New Roman"/>
              </w:rPr>
            </w:pPr>
            <w:r>
              <w:rPr>
                <w:rFonts w:eastAsia="Times New Roman"/>
                <w:color w:val="000000"/>
                <w:sz w:val="16"/>
                <w:szCs w:val="16"/>
              </w:rPr>
              <w:t>1,209 </w:t>
            </w:r>
          </w:p>
        </w:tc>
        <w:tc>
          <w:tcPr>
            <w:tcW w:w="0" w:type="auto"/>
            <w:shd w:val="clear" w:color="auto" w:fill="CCEEFF"/>
            <w:tcMar>
              <w:top w:w="30" w:type="dxa"/>
              <w:left w:w="0" w:type="dxa"/>
              <w:bottom w:w="30" w:type="dxa"/>
              <w:right w:w="20" w:type="dxa"/>
            </w:tcMar>
            <w:vAlign w:val="center"/>
            <w:hideMark/>
          </w:tcPr>
          <w:p w14:paraId="2AD5596B" w14:textId="77777777" w:rsidR="00000000" w:rsidRDefault="00405D16">
            <w:pPr>
              <w:spacing w:after="100"/>
              <w:jc w:val="right"/>
              <w:rPr>
                <w:rFonts w:eastAsia="Times New Roman"/>
              </w:rPr>
            </w:pPr>
          </w:p>
        </w:tc>
      </w:tr>
      <w:tr w:rsidR="00000000" w14:paraId="719C0D19" w14:textId="77777777">
        <w:trPr>
          <w:divId w:val="1942645398"/>
        </w:trPr>
        <w:tc>
          <w:tcPr>
            <w:tcW w:w="0" w:type="auto"/>
            <w:gridSpan w:val="3"/>
            <w:shd w:val="clear" w:color="auto" w:fill="FFFFFF"/>
            <w:tcMar>
              <w:top w:w="30" w:type="dxa"/>
              <w:left w:w="20" w:type="dxa"/>
              <w:bottom w:w="30" w:type="dxa"/>
              <w:right w:w="20" w:type="dxa"/>
            </w:tcMar>
            <w:vAlign w:val="center"/>
            <w:hideMark/>
          </w:tcPr>
          <w:p w14:paraId="499810B8" w14:textId="77777777" w:rsidR="00000000" w:rsidRDefault="00405D16">
            <w:pPr>
              <w:spacing w:after="100"/>
              <w:rPr>
                <w:rFonts w:eastAsia="Times New Roman"/>
              </w:rPr>
            </w:pPr>
            <w:r>
              <w:rPr>
                <w:rFonts w:eastAsia="Times New Roman"/>
                <w:color w:val="000000"/>
                <w:sz w:val="16"/>
                <w:szCs w:val="16"/>
              </w:rPr>
              <w:t>Redemptions of preferred stock</w:t>
            </w:r>
          </w:p>
        </w:tc>
        <w:tc>
          <w:tcPr>
            <w:tcW w:w="0" w:type="auto"/>
            <w:gridSpan w:val="3"/>
            <w:shd w:val="clear" w:color="auto" w:fill="FFFFFF"/>
            <w:tcMar>
              <w:top w:w="0" w:type="dxa"/>
              <w:left w:w="20" w:type="dxa"/>
              <w:bottom w:w="0" w:type="dxa"/>
              <w:right w:w="20" w:type="dxa"/>
            </w:tcMar>
            <w:vAlign w:val="center"/>
            <w:hideMark/>
          </w:tcPr>
          <w:p w14:paraId="69C64705"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69F8565" w14:textId="77777777" w:rsidR="00000000" w:rsidRDefault="00405D16">
            <w:pPr>
              <w:spacing w:after="100"/>
              <w:jc w:val="right"/>
              <w:rPr>
                <w:rFonts w:eastAsia="Times New Roman"/>
              </w:rPr>
            </w:pPr>
            <w:r>
              <w:rPr>
                <w:rFonts w:eastAsia="Times New Roman"/>
                <w:color w:val="000000"/>
                <w:sz w:val="16"/>
                <w:szCs w:val="16"/>
              </w:rPr>
              <w:t>(875,000)</w:t>
            </w:r>
          </w:p>
        </w:tc>
        <w:tc>
          <w:tcPr>
            <w:tcW w:w="0" w:type="auto"/>
            <w:shd w:val="clear" w:color="auto" w:fill="FFFFFF"/>
            <w:tcMar>
              <w:top w:w="30" w:type="dxa"/>
              <w:left w:w="0" w:type="dxa"/>
              <w:bottom w:w="30" w:type="dxa"/>
              <w:right w:w="20" w:type="dxa"/>
            </w:tcMar>
            <w:vAlign w:val="center"/>
            <w:hideMark/>
          </w:tcPr>
          <w:p w14:paraId="60CD7A3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D55F1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5AD3B5D" w14:textId="77777777" w:rsidR="00000000" w:rsidRDefault="00405D16">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14:paraId="01CB220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E40ADA" w14:textId="77777777" w:rsidR="00000000" w:rsidRDefault="00405D1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81378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3BD07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BA502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A2EFD2"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3D70F8D" w14:textId="77777777" w:rsidR="00000000" w:rsidRDefault="00405D16">
            <w:pPr>
              <w:spacing w:after="100"/>
              <w:jc w:val="right"/>
              <w:rPr>
                <w:rFonts w:eastAsia="Times New Roman"/>
              </w:rPr>
            </w:pPr>
            <w:r>
              <w:rPr>
                <w:rFonts w:eastAsia="Times New Roman"/>
                <w:color w:val="000000"/>
                <w:sz w:val="16"/>
                <w:szCs w:val="16"/>
              </w:rPr>
              <w:t>(853)</w:t>
            </w:r>
          </w:p>
        </w:tc>
        <w:tc>
          <w:tcPr>
            <w:tcW w:w="0" w:type="auto"/>
            <w:shd w:val="clear" w:color="auto" w:fill="FFFFFF"/>
            <w:tcMar>
              <w:top w:w="30" w:type="dxa"/>
              <w:left w:w="0" w:type="dxa"/>
              <w:bottom w:w="30" w:type="dxa"/>
              <w:right w:w="20" w:type="dxa"/>
            </w:tcMar>
            <w:vAlign w:val="center"/>
            <w:hideMark/>
          </w:tcPr>
          <w:p w14:paraId="0C7C59E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91F04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EBB82DA" w14:textId="77777777" w:rsidR="00000000" w:rsidRDefault="00405D16">
            <w:pPr>
              <w:spacing w:after="100"/>
              <w:jc w:val="right"/>
              <w:rPr>
                <w:rFonts w:eastAsia="Times New Roman"/>
              </w:rPr>
            </w:pPr>
            <w:r>
              <w:rPr>
                <w:rFonts w:eastAsia="Times New Roman"/>
                <w:color w:val="000000"/>
                <w:sz w:val="16"/>
                <w:szCs w:val="16"/>
              </w:rPr>
              <w:t>(22)</w:t>
            </w:r>
          </w:p>
        </w:tc>
        <w:tc>
          <w:tcPr>
            <w:tcW w:w="0" w:type="auto"/>
            <w:shd w:val="clear" w:color="auto" w:fill="FFFFFF"/>
            <w:tcMar>
              <w:top w:w="30" w:type="dxa"/>
              <w:left w:w="0" w:type="dxa"/>
              <w:bottom w:w="30" w:type="dxa"/>
              <w:right w:w="20" w:type="dxa"/>
            </w:tcMar>
            <w:vAlign w:val="center"/>
            <w:hideMark/>
          </w:tcPr>
          <w:p w14:paraId="4A979B5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304B80" w14:textId="77777777" w:rsidR="00000000" w:rsidRDefault="00405D1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CD4BF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E8DE4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A3706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1C04DF"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0F3B6C1" w14:textId="77777777" w:rsidR="00000000" w:rsidRDefault="00405D16">
            <w:pPr>
              <w:spacing w:after="100"/>
              <w:jc w:val="right"/>
              <w:rPr>
                <w:rFonts w:eastAsia="Times New Roman"/>
              </w:rPr>
            </w:pPr>
            <w:r>
              <w:rPr>
                <w:rFonts w:eastAsia="Times New Roman"/>
                <w:color w:val="000000"/>
                <w:sz w:val="16"/>
                <w:szCs w:val="16"/>
              </w:rPr>
              <w:t>(875)</w:t>
            </w:r>
          </w:p>
        </w:tc>
        <w:tc>
          <w:tcPr>
            <w:tcW w:w="0" w:type="auto"/>
            <w:shd w:val="clear" w:color="auto" w:fill="FFFFFF"/>
            <w:tcMar>
              <w:top w:w="30" w:type="dxa"/>
              <w:left w:w="0" w:type="dxa"/>
              <w:bottom w:w="30" w:type="dxa"/>
              <w:right w:w="20" w:type="dxa"/>
            </w:tcMar>
            <w:vAlign w:val="center"/>
            <w:hideMark/>
          </w:tcPr>
          <w:p w14:paraId="30B6D87D" w14:textId="77777777" w:rsidR="00000000" w:rsidRDefault="00405D16">
            <w:pPr>
              <w:spacing w:after="100"/>
              <w:jc w:val="right"/>
              <w:rPr>
                <w:rFonts w:eastAsia="Times New Roman"/>
              </w:rPr>
            </w:pPr>
          </w:p>
        </w:tc>
      </w:tr>
      <w:tr w:rsidR="00000000" w14:paraId="7B06085F" w14:textId="77777777">
        <w:trPr>
          <w:divId w:val="1942645398"/>
        </w:trPr>
        <w:tc>
          <w:tcPr>
            <w:tcW w:w="0" w:type="auto"/>
            <w:gridSpan w:val="3"/>
            <w:shd w:val="clear" w:color="auto" w:fill="CCEEFF"/>
            <w:tcMar>
              <w:top w:w="30" w:type="dxa"/>
              <w:left w:w="20" w:type="dxa"/>
              <w:bottom w:w="30" w:type="dxa"/>
              <w:right w:w="20" w:type="dxa"/>
            </w:tcMar>
            <w:vAlign w:val="center"/>
            <w:hideMark/>
          </w:tcPr>
          <w:p w14:paraId="0AAF622F" w14:textId="77777777" w:rsidR="00000000" w:rsidRDefault="00405D16">
            <w:pPr>
              <w:spacing w:after="100"/>
              <w:rPr>
                <w:rFonts w:eastAsia="Times New Roman"/>
              </w:rPr>
            </w:pPr>
            <w:r>
              <w:rPr>
                <w:rFonts w:eastAsia="Times New Roman"/>
                <w:color w:val="000000"/>
                <w:sz w:val="16"/>
                <w:szCs w:val="16"/>
              </w:rPr>
              <w:t>Compensation expense for restricted stock units and stock options</w:t>
            </w:r>
          </w:p>
        </w:tc>
        <w:tc>
          <w:tcPr>
            <w:tcW w:w="0" w:type="auto"/>
            <w:gridSpan w:val="3"/>
            <w:shd w:val="clear" w:color="auto" w:fill="CCEEFF"/>
            <w:tcMar>
              <w:top w:w="0" w:type="dxa"/>
              <w:left w:w="20" w:type="dxa"/>
              <w:bottom w:w="0" w:type="dxa"/>
              <w:right w:w="20" w:type="dxa"/>
            </w:tcMar>
            <w:vAlign w:val="center"/>
            <w:hideMark/>
          </w:tcPr>
          <w:p w14:paraId="05566059"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BADD7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CE313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42B37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EAD32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B4A9D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E34E3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3CF3B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5E9BDB"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8DFB5F" w14:textId="77777777" w:rsidR="00000000" w:rsidRDefault="00405D16">
            <w:pPr>
              <w:spacing w:after="100"/>
              <w:jc w:val="right"/>
              <w:rPr>
                <w:rFonts w:eastAsia="Times New Roman"/>
              </w:rPr>
            </w:pPr>
            <w:r>
              <w:rPr>
                <w:rFonts w:eastAsia="Times New Roman"/>
                <w:color w:val="000000"/>
                <w:sz w:val="16"/>
                <w:szCs w:val="16"/>
              </w:rPr>
              <w:t>29 </w:t>
            </w:r>
          </w:p>
        </w:tc>
        <w:tc>
          <w:tcPr>
            <w:tcW w:w="0" w:type="auto"/>
            <w:shd w:val="clear" w:color="auto" w:fill="CCEEFF"/>
            <w:tcMar>
              <w:top w:w="30" w:type="dxa"/>
              <w:left w:w="0" w:type="dxa"/>
              <w:bottom w:w="30" w:type="dxa"/>
              <w:right w:w="20" w:type="dxa"/>
            </w:tcMar>
            <w:vAlign w:val="bottom"/>
            <w:hideMark/>
          </w:tcPr>
          <w:p w14:paraId="5BF14B0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D8D58A" w14:textId="77777777" w:rsidR="00000000" w:rsidRDefault="00405D1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84E23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E7B5C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35133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2F1E4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A9D9A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0F7AD7"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E8532A" w14:textId="77777777" w:rsidR="00000000" w:rsidRDefault="00405D16">
            <w:pPr>
              <w:spacing w:after="100"/>
              <w:jc w:val="right"/>
              <w:rPr>
                <w:rFonts w:eastAsia="Times New Roman"/>
              </w:rPr>
            </w:pPr>
            <w:r>
              <w:rPr>
                <w:rFonts w:eastAsia="Times New Roman"/>
                <w:color w:val="000000"/>
                <w:sz w:val="16"/>
                <w:szCs w:val="16"/>
              </w:rPr>
              <w:t>29 </w:t>
            </w:r>
          </w:p>
        </w:tc>
        <w:tc>
          <w:tcPr>
            <w:tcW w:w="0" w:type="auto"/>
            <w:shd w:val="clear" w:color="auto" w:fill="CCEEFF"/>
            <w:tcMar>
              <w:top w:w="30" w:type="dxa"/>
              <w:left w:w="0" w:type="dxa"/>
              <w:bottom w:w="30" w:type="dxa"/>
              <w:right w:w="20" w:type="dxa"/>
            </w:tcMar>
            <w:vAlign w:val="bottom"/>
            <w:hideMark/>
          </w:tcPr>
          <w:p w14:paraId="46CB298E" w14:textId="77777777" w:rsidR="00000000" w:rsidRDefault="00405D16">
            <w:pPr>
              <w:spacing w:after="100"/>
              <w:jc w:val="right"/>
              <w:rPr>
                <w:rFonts w:eastAsia="Times New Roman"/>
              </w:rPr>
            </w:pPr>
          </w:p>
        </w:tc>
      </w:tr>
      <w:tr w:rsidR="00405D16" w14:paraId="565549FC" w14:textId="77777777">
        <w:trPr>
          <w:divId w:val="1942645398"/>
        </w:trPr>
        <w:tc>
          <w:tcPr>
            <w:tcW w:w="0" w:type="auto"/>
            <w:gridSpan w:val="3"/>
            <w:shd w:val="clear" w:color="auto" w:fill="FFFFFF"/>
            <w:tcMar>
              <w:top w:w="30" w:type="dxa"/>
              <w:left w:w="20" w:type="dxa"/>
              <w:bottom w:w="30" w:type="dxa"/>
              <w:right w:w="20" w:type="dxa"/>
            </w:tcMar>
            <w:vAlign w:val="center"/>
            <w:hideMark/>
          </w:tcPr>
          <w:p w14:paraId="317C11E9" w14:textId="77777777" w:rsidR="00000000" w:rsidRDefault="00405D16">
            <w:pPr>
              <w:spacing w:after="100"/>
              <w:rPr>
                <w:rFonts w:eastAsia="Times New Roman"/>
              </w:rPr>
            </w:pPr>
            <w:r>
              <w:rPr>
                <w:rFonts w:eastAsia="Times New Roman"/>
                <w:b/>
                <w:bCs/>
                <w:color w:val="000000"/>
                <w:sz w:val="16"/>
                <w:szCs w:val="16"/>
              </w:rPr>
              <w:t>Balance as of March 31, 2020</w:t>
            </w:r>
          </w:p>
        </w:tc>
        <w:tc>
          <w:tcPr>
            <w:tcW w:w="0" w:type="auto"/>
            <w:gridSpan w:val="3"/>
            <w:shd w:val="clear" w:color="auto" w:fill="FFFFFF"/>
            <w:tcMar>
              <w:top w:w="0" w:type="dxa"/>
              <w:left w:w="20" w:type="dxa"/>
              <w:bottom w:w="0" w:type="dxa"/>
              <w:right w:w="20" w:type="dxa"/>
            </w:tcMar>
            <w:vAlign w:val="center"/>
            <w:hideMark/>
          </w:tcPr>
          <w:p w14:paraId="7FC7D29C"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FE7A901" w14:textId="77777777" w:rsidR="00000000" w:rsidRDefault="00405D16">
            <w:pPr>
              <w:spacing w:after="100"/>
              <w:jc w:val="right"/>
              <w:rPr>
                <w:rFonts w:eastAsia="Times New Roman"/>
              </w:rPr>
            </w:pPr>
            <w:r>
              <w:rPr>
                <w:rFonts w:eastAsia="Times New Roman"/>
                <w:color w:val="000000"/>
                <w:sz w:val="16"/>
                <w:szCs w:val="16"/>
              </w:rPr>
              <w:t>5,350,000 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54B486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267F3A"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23EB90B0"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1F1A87C1" w14:textId="77777777" w:rsidR="00000000" w:rsidRDefault="00405D16">
            <w:pPr>
              <w:spacing w:after="100"/>
              <w:jc w:val="right"/>
              <w:rPr>
                <w:rFonts w:eastAsia="Times New Roman"/>
              </w:rPr>
            </w:pPr>
            <w:r>
              <w:rPr>
                <w:rFonts w:eastAsia="Times New Roman"/>
                <w:color w:val="000000"/>
                <w:sz w:val="16"/>
                <w:szCs w:val="16"/>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7D6CC7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6E7A1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74DEF03" w14:textId="77777777" w:rsidR="00000000" w:rsidRDefault="00405D16">
            <w:pPr>
              <w:spacing w:after="100"/>
              <w:jc w:val="right"/>
              <w:rPr>
                <w:rFonts w:eastAsia="Times New Roman"/>
              </w:rPr>
            </w:pPr>
            <w:r>
              <w:rPr>
                <w:rFonts w:eastAsia="Times New Roman"/>
                <w:color w:val="000000"/>
                <w:sz w:val="16"/>
                <w:szCs w:val="16"/>
              </w:rPr>
              <w:t>676,170,565 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3D7243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9497C3"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728EE882"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6F7AA6CE" w14:textId="77777777" w:rsidR="00000000" w:rsidRDefault="00405D16">
            <w:pPr>
              <w:spacing w:after="100"/>
              <w:jc w:val="right"/>
              <w:rPr>
                <w:rFonts w:eastAsia="Times New Roman"/>
              </w:rPr>
            </w:pPr>
            <w:r>
              <w:rPr>
                <w:rFonts w:eastAsia="Times New Roman"/>
                <w:color w:val="000000"/>
                <w:sz w:val="16"/>
                <w:szCs w:val="16"/>
              </w:rPr>
              <w:t>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F5E161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8311F4"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2A54990E"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0A8078A5" w14:textId="77777777" w:rsidR="00000000" w:rsidRDefault="00405D16">
            <w:pPr>
              <w:spacing w:after="100"/>
              <w:jc w:val="right"/>
              <w:rPr>
                <w:rFonts w:eastAsia="Times New Roman"/>
              </w:rPr>
            </w:pPr>
            <w:r>
              <w:rPr>
                <w:rFonts w:eastAsia="Times New Roman"/>
                <w:color w:val="000000"/>
                <w:sz w:val="16"/>
                <w:szCs w:val="16"/>
              </w:rPr>
              <w:t>33,450 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DA0FB2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CFDD43"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786821F0"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4DEAE2C8" w14:textId="77777777" w:rsidR="00000000" w:rsidRDefault="00405D16">
            <w:pPr>
              <w:spacing w:after="100"/>
              <w:jc w:val="right"/>
              <w:rPr>
                <w:rFonts w:eastAsia="Times New Roman"/>
              </w:rPr>
            </w:pPr>
            <w:r>
              <w:rPr>
                <w:rFonts w:eastAsia="Times New Roman"/>
                <w:color w:val="000000"/>
                <w:sz w:val="16"/>
                <w:szCs w:val="16"/>
              </w:rPr>
              <w:t>36,552 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70AF06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B50F16"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021081E8"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4E545CA0" w14:textId="77777777" w:rsidR="00000000" w:rsidRDefault="00405D16">
            <w:pPr>
              <w:spacing w:after="100"/>
              <w:jc w:val="right"/>
              <w:rPr>
                <w:rFonts w:eastAsia="Times New Roman"/>
              </w:rPr>
            </w:pPr>
            <w:r>
              <w:rPr>
                <w:rFonts w:eastAsia="Times New Roman"/>
                <w:color w:val="000000"/>
                <w:sz w:val="16"/>
                <w:szCs w:val="16"/>
              </w:rPr>
              <w:t>3,679 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5723A9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3DD8B7"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11AFD0FB"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20F0E143" w14:textId="77777777" w:rsidR="00000000" w:rsidRDefault="00405D16">
            <w:pPr>
              <w:spacing w:after="100"/>
              <w:jc w:val="right"/>
              <w:rPr>
                <w:rFonts w:eastAsia="Times New Roman"/>
              </w:rPr>
            </w:pPr>
            <w:r>
              <w:rPr>
                <w:rFonts w:eastAsia="Times New Roman"/>
                <w:color w:val="000000"/>
                <w:sz w:val="16"/>
                <w:szCs w:val="16"/>
              </w:rPr>
              <w:t>(16,858)</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3FE840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1C05B0"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5C132886"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6606729F" w14:textId="77777777" w:rsidR="00000000" w:rsidRDefault="00405D16">
            <w:pPr>
              <w:spacing w:after="100"/>
              <w:jc w:val="right"/>
              <w:rPr>
                <w:rFonts w:eastAsia="Times New Roman"/>
              </w:rPr>
            </w:pPr>
            <w:r>
              <w:rPr>
                <w:rFonts w:eastAsia="Times New Roman"/>
                <w:color w:val="000000"/>
                <w:sz w:val="16"/>
                <w:szCs w:val="16"/>
              </w:rPr>
              <w:t>56,830 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06824B7" w14:textId="77777777" w:rsidR="00000000" w:rsidRDefault="00405D16">
            <w:pPr>
              <w:spacing w:after="100"/>
              <w:jc w:val="right"/>
              <w:rPr>
                <w:rFonts w:eastAsia="Times New Roman"/>
              </w:rPr>
            </w:pPr>
          </w:p>
        </w:tc>
      </w:tr>
      <w:tr w:rsidR="00000000" w14:paraId="536F36FC" w14:textId="77777777">
        <w:trPr>
          <w:divId w:val="1942645398"/>
        </w:trPr>
        <w:tc>
          <w:tcPr>
            <w:tcW w:w="0" w:type="auto"/>
            <w:gridSpan w:val="3"/>
            <w:shd w:val="clear" w:color="auto" w:fill="CCEEFF"/>
            <w:tcMar>
              <w:top w:w="30" w:type="dxa"/>
              <w:left w:w="20" w:type="dxa"/>
              <w:bottom w:w="30" w:type="dxa"/>
              <w:right w:w="20" w:type="dxa"/>
            </w:tcMar>
            <w:vAlign w:val="center"/>
            <w:hideMark/>
          </w:tcPr>
          <w:p w14:paraId="210429A8" w14:textId="77777777" w:rsidR="00000000" w:rsidRDefault="00405D16">
            <w:pPr>
              <w:spacing w:after="100"/>
              <w:rPr>
                <w:rFonts w:eastAsia="Times New Roman"/>
              </w:rPr>
            </w:pPr>
            <w:r>
              <w:rPr>
                <w:rFonts w:eastAsia="Times New Roman"/>
                <w:color w:val="000000"/>
                <w:sz w:val="16"/>
                <w:szCs w:val="16"/>
              </w:rPr>
              <w:t>Comprehensive income (loss)</w:t>
            </w:r>
          </w:p>
        </w:tc>
        <w:tc>
          <w:tcPr>
            <w:tcW w:w="0" w:type="auto"/>
            <w:gridSpan w:val="3"/>
            <w:shd w:val="clear" w:color="auto" w:fill="CCEEFF"/>
            <w:tcMar>
              <w:top w:w="0" w:type="dxa"/>
              <w:left w:w="20" w:type="dxa"/>
              <w:bottom w:w="0" w:type="dxa"/>
              <w:right w:w="20" w:type="dxa"/>
            </w:tcMar>
            <w:vAlign w:val="center"/>
            <w:hideMark/>
          </w:tcPr>
          <w:p w14:paraId="37BED518"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F01C30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A2A333"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75BD15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79D894"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576A2E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541211"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B45FF1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576122"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36180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45046F" w14:textId="77777777" w:rsidR="00000000" w:rsidRDefault="00405D16">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EC7F721" w14:textId="77777777" w:rsidR="00000000" w:rsidRDefault="00405D16">
            <w:pPr>
              <w:spacing w:after="100"/>
              <w:jc w:val="right"/>
              <w:rPr>
                <w:rFonts w:eastAsia="Times New Roman"/>
              </w:rPr>
            </w:pPr>
            <w:r>
              <w:rPr>
                <w:rFonts w:eastAsia="Times New Roman"/>
                <w:color w:val="000000"/>
                <w:sz w:val="16"/>
                <w:szCs w:val="16"/>
              </w:rPr>
              <w:t>(918)</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860A0E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0997A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10CDF48" w14:textId="77777777" w:rsidR="00000000" w:rsidRDefault="00405D16">
            <w:pPr>
              <w:spacing w:after="100"/>
              <w:jc w:val="right"/>
              <w:rPr>
                <w:rFonts w:eastAsia="Times New Roman"/>
              </w:rPr>
            </w:pPr>
            <w:r>
              <w:rPr>
                <w:rFonts w:eastAsia="Times New Roman"/>
                <w:color w:val="000000"/>
                <w:sz w:val="16"/>
                <w:szCs w:val="16"/>
              </w:rPr>
              <w:t>302 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5DE846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89520F" w14:textId="77777777" w:rsidR="00000000" w:rsidRDefault="00405D16">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31DE01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29C51D" w14:textId="77777777" w:rsidR="00000000" w:rsidRDefault="00405D16">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97BDAAE" w14:textId="77777777" w:rsidR="00000000" w:rsidRDefault="00405D16">
            <w:pPr>
              <w:spacing w:after="100"/>
              <w:jc w:val="right"/>
              <w:rPr>
                <w:rFonts w:eastAsia="Times New Roman"/>
              </w:rPr>
            </w:pPr>
            <w:r>
              <w:rPr>
                <w:rFonts w:eastAsia="Times New Roman"/>
                <w:color w:val="000000"/>
                <w:sz w:val="16"/>
                <w:szCs w:val="16"/>
              </w:rPr>
              <w:t>(616)</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F81037A" w14:textId="77777777" w:rsidR="00000000" w:rsidRDefault="00405D16">
            <w:pPr>
              <w:spacing w:after="100"/>
              <w:jc w:val="right"/>
              <w:rPr>
                <w:rFonts w:eastAsia="Times New Roman"/>
              </w:rPr>
            </w:pPr>
          </w:p>
        </w:tc>
      </w:tr>
      <w:tr w:rsidR="00000000" w14:paraId="41C8785B" w14:textId="77777777">
        <w:trPr>
          <w:divId w:val="1942645398"/>
        </w:trPr>
        <w:tc>
          <w:tcPr>
            <w:tcW w:w="0" w:type="auto"/>
            <w:gridSpan w:val="3"/>
            <w:shd w:val="clear" w:color="auto" w:fill="FFFFFF"/>
            <w:tcMar>
              <w:top w:w="30" w:type="dxa"/>
              <w:left w:w="20" w:type="dxa"/>
              <w:bottom w:w="30" w:type="dxa"/>
              <w:right w:w="20" w:type="dxa"/>
            </w:tcMar>
            <w:vAlign w:val="center"/>
            <w:hideMark/>
          </w:tcPr>
          <w:p w14:paraId="6C9D4F50" w14:textId="77777777" w:rsidR="00000000" w:rsidRDefault="00405D16">
            <w:pPr>
              <w:spacing w:after="100"/>
              <w:divId w:val="1015576623"/>
              <w:rPr>
                <w:rFonts w:eastAsia="Times New Roman"/>
              </w:rPr>
            </w:pPr>
            <w:r>
              <w:rPr>
                <w:rFonts w:eastAsia="Times New Roman"/>
                <w:color w:val="000000"/>
                <w:sz w:val="16"/>
                <w:szCs w:val="16"/>
              </w:rPr>
              <w:t>Dividends—common stoc</w:t>
            </w:r>
            <w:r>
              <w:rPr>
                <w:rFonts w:eastAsia="Times New Roman"/>
                <w:color w:val="000000"/>
                <w:sz w:val="16"/>
                <w:szCs w:val="16"/>
              </w:rPr>
              <w:t>k</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14:paraId="69F8B43C"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274B8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89127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9667A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1428C6"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96CEE00" w14:textId="77777777" w:rsidR="00000000" w:rsidRDefault="00405D16">
            <w:pPr>
              <w:spacing w:after="100"/>
              <w:jc w:val="right"/>
              <w:rPr>
                <w:rFonts w:eastAsia="Times New Roman"/>
              </w:rPr>
            </w:pPr>
            <w:r>
              <w:rPr>
                <w:rFonts w:eastAsia="Times New Roman"/>
                <w:color w:val="000000"/>
                <w:sz w:val="16"/>
                <w:szCs w:val="16"/>
              </w:rPr>
              <w:t>6,521 </w:t>
            </w:r>
          </w:p>
        </w:tc>
        <w:tc>
          <w:tcPr>
            <w:tcW w:w="0" w:type="auto"/>
            <w:shd w:val="clear" w:color="auto" w:fill="FFFFFF"/>
            <w:tcMar>
              <w:top w:w="30" w:type="dxa"/>
              <w:left w:w="0" w:type="dxa"/>
              <w:bottom w:w="30" w:type="dxa"/>
              <w:right w:w="20" w:type="dxa"/>
            </w:tcMar>
            <w:vAlign w:val="center"/>
            <w:hideMark/>
          </w:tcPr>
          <w:p w14:paraId="52F3471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FA6BE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70A9279" w14:textId="77777777" w:rsidR="00000000" w:rsidRDefault="00405D16">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14:paraId="6BA21B1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F5902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BA70EF1" w14:textId="77777777" w:rsidR="00000000" w:rsidRDefault="00405D16">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14:paraId="72F4FBE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71C52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6A483F1" w14:textId="77777777" w:rsidR="00000000" w:rsidRDefault="00405D16">
            <w:pPr>
              <w:spacing w:after="100"/>
              <w:jc w:val="right"/>
              <w:rPr>
                <w:rFonts w:eastAsia="Times New Roman"/>
              </w:rPr>
            </w:pPr>
            <w:r>
              <w:rPr>
                <w:rFonts w:eastAsia="Times New Roman"/>
                <w:color w:val="000000"/>
                <w:sz w:val="16"/>
                <w:szCs w:val="16"/>
              </w:rPr>
              <w:t>(183)</w:t>
            </w:r>
          </w:p>
        </w:tc>
        <w:tc>
          <w:tcPr>
            <w:tcW w:w="0" w:type="auto"/>
            <w:shd w:val="clear" w:color="auto" w:fill="FFFFFF"/>
            <w:tcMar>
              <w:top w:w="30" w:type="dxa"/>
              <w:left w:w="0" w:type="dxa"/>
              <w:bottom w:w="30" w:type="dxa"/>
              <w:right w:w="20" w:type="dxa"/>
            </w:tcMar>
            <w:vAlign w:val="center"/>
            <w:hideMark/>
          </w:tcPr>
          <w:p w14:paraId="40667F2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29DE41" w14:textId="77777777" w:rsidR="00000000" w:rsidRDefault="00405D1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40359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548A6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4E026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C02994"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A07D0A8" w14:textId="77777777" w:rsidR="00000000" w:rsidRDefault="00405D16">
            <w:pPr>
              <w:spacing w:after="100"/>
              <w:jc w:val="right"/>
              <w:rPr>
                <w:rFonts w:eastAsia="Times New Roman"/>
              </w:rPr>
            </w:pPr>
            <w:r>
              <w:rPr>
                <w:rFonts w:eastAsia="Times New Roman"/>
                <w:color w:val="000000"/>
                <w:sz w:val="16"/>
                <w:szCs w:val="16"/>
              </w:rPr>
              <w:t>(183)</w:t>
            </w:r>
          </w:p>
        </w:tc>
        <w:tc>
          <w:tcPr>
            <w:tcW w:w="0" w:type="auto"/>
            <w:shd w:val="clear" w:color="auto" w:fill="FFFFFF"/>
            <w:tcMar>
              <w:top w:w="30" w:type="dxa"/>
              <w:left w:w="0" w:type="dxa"/>
              <w:bottom w:w="30" w:type="dxa"/>
              <w:right w:w="20" w:type="dxa"/>
            </w:tcMar>
            <w:vAlign w:val="center"/>
            <w:hideMark/>
          </w:tcPr>
          <w:p w14:paraId="78DC9837" w14:textId="77777777" w:rsidR="00000000" w:rsidRDefault="00405D16">
            <w:pPr>
              <w:spacing w:after="100"/>
              <w:jc w:val="right"/>
              <w:rPr>
                <w:rFonts w:eastAsia="Times New Roman"/>
              </w:rPr>
            </w:pPr>
          </w:p>
        </w:tc>
      </w:tr>
      <w:tr w:rsidR="00000000" w14:paraId="44504FF7" w14:textId="77777777">
        <w:trPr>
          <w:divId w:val="1942645398"/>
        </w:trPr>
        <w:tc>
          <w:tcPr>
            <w:tcW w:w="0" w:type="auto"/>
            <w:gridSpan w:val="3"/>
            <w:shd w:val="clear" w:color="auto" w:fill="CCEEFF"/>
            <w:tcMar>
              <w:top w:w="30" w:type="dxa"/>
              <w:left w:w="20" w:type="dxa"/>
              <w:bottom w:w="30" w:type="dxa"/>
              <w:right w:w="20" w:type="dxa"/>
            </w:tcMar>
            <w:vAlign w:val="center"/>
            <w:hideMark/>
          </w:tcPr>
          <w:p w14:paraId="42BE16FF" w14:textId="77777777" w:rsidR="00000000" w:rsidRDefault="00405D16">
            <w:pPr>
              <w:spacing w:after="100"/>
              <w:rPr>
                <w:rFonts w:eastAsia="Times New Roman"/>
              </w:rPr>
            </w:pPr>
            <w:r>
              <w:rPr>
                <w:rFonts w:eastAsia="Times New Roman"/>
                <w:color w:val="000000"/>
                <w:sz w:val="16"/>
                <w:szCs w:val="16"/>
              </w:rPr>
              <w:t>Dividends—</w:t>
            </w:r>
            <w:r>
              <w:rPr>
                <w:rFonts w:eastAsia="Times New Roman"/>
                <w:color w:val="000000"/>
                <w:sz w:val="16"/>
                <w:szCs w:val="16"/>
              </w:rPr>
              <w:t>preferred stock</w:t>
            </w:r>
          </w:p>
        </w:tc>
        <w:tc>
          <w:tcPr>
            <w:tcW w:w="0" w:type="auto"/>
            <w:gridSpan w:val="3"/>
            <w:shd w:val="clear" w:color="auto" w:fill="CCEEFF"/>
            <w:tcMar>
              <w:top w:w="0" w:type="dxa"/>
              <w:left w:w="20" w:type="dxa"/>
              <w:bottom w:w="0" w:type="dxa"/>
              <w:right w:w="20" w:type="dxa"/>
            </w:tcMar>
            <w:vAlign w:val="center"/>
            <w:hideMark/>
          </w:tcPr>
          <w:p w14:paraId="1185099C"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CE586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2219C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4376C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31875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210E1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27204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0E81B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93F4D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23E8D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A9588D"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7B6F323" w14:textId="77777777" w:rsidR="00000000" w:rsidRDefault="00405D16">
            <w:pPr>
              <w:spacing w:after="100"/>
              <w:jc w:val="right"/>
              <w:rPr>
                <w:rFonts w:eastAsia="Times New Roman"/>
              </w:rPr>
            </w:pPr>
            <w:r>
              <w:rPr>
                <w:rFonts w:eastAsia="Times New Roman"/>
                <w:color w:val="000000"/>
                <w:sz w:val="16"/>
                <w:szCs w:val="16"/>
              </w:rPr>
              <w:t>(90)</w:t>
            </w:r>
          </w:p>
        </w:tc>
        <w:tc>
          <w:tcPr>
            <w:tcW w:w="0" w:type="auto"/>
            <w:shd w:val="clear" w:color="auto" w:fill="CCEEFF"/>
            <w:tcMar>
              <w:top w:w="30" w:type="dxa"/>
              <w:left w:w="0" w:type="dxa"/>
              <w:bottom w:w="30" w:type="dxa"/>
              <w:right w:w="20" w:type="dxa"/>
            </w:tcMar>
            <w:vAlign w:val="center"/>
            <w:hideMark/>
          </w:tcPr>
          <w:p w14:paraId="509A5E5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229E54" w14:textId="77777777" w:rsidR="00000000" w:rsidRDefault="00405D1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20CB1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1D062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80FDB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9284F6"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403BAA5" w14:textId="77777777" w:rsidR="00000000" w:rsidRDefault="00405D16">
            <w:pPr>
              <w:spacing w:after="100"/>
              <w:jc w:val="right"/>
              <w:rPr>
                <w:rFonts w:eastAsia="Times New Roman"/>
              </w:rPr>
            </w:pPr>
            <w:r>
              <w:rPr>
                <w:rFonts w:eastAsia="Times New Roman"/>
                <w:color w:val="000000"/>
                <w:sz w:val="16"/>
                <w:szCs w:val="16"/>
              </w:rPr>
              <w:t>(90)</w:t>
            </w:r>
          </w:p>
        </w:tc>
        <w:tc>
          <w:tcPr>
            <w:tcW w:w="0" w:type="auto"/>
            <w:shd w:val="clear" w:color="auto" w:fill="CCEEFF"/>
            <w:tcMar>
              <w:top w:w="30" w:type="dxa"/>
              <w:left w:w="0" w:type="dxa"/>
              <w:bottom w:w="30" w:type="dxa"/>
              <w:right w:w="20" w:type="dxa"/>
            </w:tcMar>
            <w:vAlign w:val="center"/>
            <w:hideMark/>
          </w:tcPr>
          <w:p w14:paraId="6E1C0748" w14:textId="77777777" w:rsidR="00000000" w:rsidRDefault="00405D16">
            <w:pPr>
              <w:spacing w:after="100"/>
              <w:jc w:val="right"/>
              <w:rPr>
                <w:rFonts w:eastAsia="Times New Roman"/>
              </w:rPr>
            </w:pPr>
          </w:p>
        </w:tc>
      </w:tr>
      <w:tr w:rsidR="00000000" w14:paraId="33794428" w14:textId="77777777">
        <w:trPr>
          <w:divId w:val="1942645398"/>
        </w:trPr>
        <w:tc>
          <w:tcPr>
            <w:tcW w:w="0" w:type="auto"/>
            <w:gridSpan w:val="3"/>
            <w:shd w:val="clear" w:color="auto" w:fill="FFFFFF"/>
            <w:tcMar>
              <w:top w:w="30" w:type="dxa"/>
              <w:left w:w="20" w:type="dxa"/>
              <w:bottom w:w="30" w:type="dxa"/>
              <w:right w:w="20" w:type="dxa"/>
            </w:tcMar>
            <w:vAlign w:val="center"/>
            <w:hideMark/>
          </w:tcPr>
          <w:p w14:paraId="5818857B" w14:textId="77777777" w:rsidR="00000000" w:rsidRDefault="00405D16">
            <w:pPr>
              <w:spacing w:after="100"/>
              <w:rPr>
                <w:rFonts w:eastAsia="Times New Roman"/>
              </w:rPr>
            </w:pPr>
            <w:r>
              <w:rPr>
                <w:rFonts w:eastAsia="Times New Roman"/>
                <w:color w:val="000000"/>
                <w:sz w:val="16"/>
                <w:szCs w:val="16"/>
              </w:rPr>
              <w:t>Purchases of treasury stock</w:t>
            </w:r>
          </w:p>
        </w:tc>
        <w:tc>
          <w:tcPr>
            <w:tcW w:w="0" w:type="auto"/>
            <w:gridSpan w:val="3"/>
            <w:shd w:val="clear" w:color="auto" w:fill="FFFFFF"/>
            <w:tcMar>
              <w:top w:w="0" w:type="dxa"/>
              <w:left w:w="20" w:type="dxa"/>
              <w:bottom w:w="0" w:type="dxa"/>
              <w:right w:w="20" w:type="dxa"/>
            </w:tcMar>
            <w:vAlign w:val="center"/>
            <w:hideMark/>
          </w:tcPr>
          <w:p w14:paraId="3FC595DA"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12A1B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D1C07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D0914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62560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8AAFA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811ED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88E60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EDCF7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3E080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C642D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000814"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42C16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0279F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0DC1CA"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1D019AE" w14:textId="77777777" w:rsidR="00000000" w:rsidRDefault="00405D16">
            <w:pPr>
              <w:spacing w:after="100"/>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center"/>
            <w:hideMark/>
          </w:tcPr>
          <w:p w14:paraId="6776040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84520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04BFB89" w14:textId="77777777" w:rsidR="00000000" w:rsidRDefault="00405D16">
            <w:pPr>
              <w:spacing w:after="100"/>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center"/>
            <w:hideMark/>
          </w:tcPr>
          <w:p w14:paraId="6DFD8F8F" w14:textId="77777777" w:rsidR="00000000" w:rsidRDefault="00405D16">
            <w:pPr>
              <w:spacing w:after="100"/>
              <w:jc w:val="right"/>
              <w:rPr>
                <w:rFonts w:eastAsia="Times New Roman"/>
              </w:rPr>
            </w:pPr>
          </w:p>
        </w:tc>
      </w:tr>
      <w:tr w:rsidR="00000000" w14:paraId="55E1579E" w14:textId="77777777">
        <w:trPr>
          <w:divId w:val="1942645398"/>
        </w:trPr>
        <w:tc>
          <w:tcPr>
            <w:tcW w:w="0" w:type="auto"/>
            <w:gridSpan w:val="3"/>
            <w:shd w:val="clear" w:color="auto" w:fill="CCEEFF"/>
            <w:tcMar>
              <w:top w:w="30" w:type="dxa"/>
              <w:left w:w="20" w:type="dxa"/>
              <w:bottom w:w="30" w:type="dxa"/>
              <w:right w:w="20" w:type="dxa"/>
            </w:tcMar>
            <w:vAlign w:val="center"/>
            <w:hideMark/>
          </w:tcPr>
          <w:p w14:paraId="4E3878E3" w14:textId="77777777" w:rsidR="00000000" w:rsidRDefault="00405D16">
            <w:pPr>
              <w:spacing w:after="100"/>
              <w:rPr>
                <w:rFonts w:eastAsia="Times New Roman"/>
              </w:rPr>
            </w:pPr>
            <w:r>
              <w:rPr>
                <w:rFonts w:eastAsia="Times New Roman"/>
                <w:color w:val="000000"/>
                <w:sz w:val="16"/>
                <w:szCs w:val="16"/>
              </w:rPr>
              <w:t>Issuances of common stock and restricted stock, net of forfeitures</w:t>
            </w:r>
          </w:p>
        </w:tc>
        <w:tc>
          <w:tcPr>
            <w:tcW w:w="0" w:type="auto"/>
            <w:gridSpan w:val="3"/>
            <w:shd w:val="clear" w:color="auto" w:fill="CCEEFF"/>
            <w:tcMar>
              <w:top w:w="0" w:type="dxa"/>
              <w:left w:w="20" w:type="dxa"/>
              <w:bottom w:w="0" w:type="dxa"/>
              <w:right w:w="20" w:type="dxa"/>
            </w:tcMar>
            <w:vAlign w:val="center"/>
            <w:hideMark/>
          </w:tcPr>
          <w:p w14:paraId="67828BCE"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3A5AE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BDBCB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FE655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81B947"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ADC55D" w14:textId="77777777" w:rsidR="00000000" w:rsidRDefault="00405D16">
            <w:pPr>
              <w:spacing w:after="100"/>
              <w:jc w:val="right"/>
              <w:rPr>
                <w:rFonts w:eastAsia="Times New Roman"/>
              </w:rPr>
            </w:pPr>
            <w:r>
              <w:rPr>
                <w:rFonts w:eastAsia="Times New Roman"/>
                <w:color w:val="000000"/>
                <w:sz w:val="16"/>
                <w:szCs w:val="16"/>
              </w:rPr>
              <w:t>1,041,311 </w:t>
            </w:r>
          </w:p>
        </w:tc>
        <w:tc>
          <w:tcPr>
            <w:tcW w:w="0" w:type="auto"/>
            <w:shd w:val="clear" w:color="auto" w:fill="CCEEFF"/>
            <w:tcMar>
              <w:top w:w="30" w:type="dxa"/>
              <w:left w:w="0" w:type="dxa"/>
              <w:bottom w:w="30" w:type="dxa"/>
              <w:right w:w="20" w:type="dxa"/>
            </w:tcMar>
            <w:vAlign w:val="bottom"/>
            <w:hideMark/>
          </w:tcPr>
          <w:p w14:paraId="6279623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B8D0B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2C9B74" w14:textId="77777777" w:rsidR="00000000" w:rsidRDefault="00405D16">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14:paraId="1054A53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52A3A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5DA08C" w14:textId="77777777" w:rsidR="00000000" w:rsidRDefault="00405D16">
            <w:pPr>
              <w:spacing w:after="100"/>
              <w:jc w:val="right"/>
              <w:rPr>
                <w:rFonts w:eastAsia="Times New Roman"/>
              </w:rPr>
            </w:pPr>
            <w:r>
              <w:rPr>
                <w:rFonts w:eastAsia="Times New Roman"/>
                <w:color w:val="000000"/>
                <w:sz w:val="16"/>
                <w:szCs w:val="16"/>
              </w:rPr>
              <w:t>58 </w:t>
            </w:r>
          </w:p>
        </w:tc>
        <w:tc>
          <w:tcPr>
            <w:tcW w:w="0" w:type="auto"/>
            <w:shd w:val="clear" w:color="auto" w:fill="CCEEFF"/>
            <w:tcMar>
              <w:top w:w="30" w:type="dxa"/>
              <w:left w:w="0" w:type="dxa"/>
              <w:bottom w:w="30" w:type="dxa"/>
              <w:right w:w="20" w:type="dxa"/>
            </w:tcMar>
            <w:vAlign w:val="bottom"/>
            <w:hideMark/>
          </w:tcPr>
          <w:p w14:paraId="75E51B5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57860A" w14:textId="77777777" w:rsidR="00000000" w:rsidRDefault="00405D1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BE23F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75CD9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5BCE3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025FE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2617E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6FE3D7"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8490AA" w14:textId="77777777" w:rsidR="00000000" w:rsidRDefault="00405D16">
            <w:pPr>
              <w:spacing w:after="100"/>
              <w:jc w:val="right"/>
              <w:rPr>
                <w:rFonts w:eastAsia="Times New Roman"/>
              </w:rPr>
            </w:pPr>
            <w:r>
              <w:rPr>
                <w:rFonts w:eastAsia="Times New Roman"/>
                <w:color w:val="000000"/>
                <w:sz w:val="16"/>
                <w:szCs w:val="16"/>
              </w:rPr>
              <w:t>58 </w:t>
            </w:r>
          </w:p>
        </w:tc>
        <w:tc>
          <w:tcPr>
            <w:tcW w:w="0" w:type="auto"/>
            <w:shd w:val="clear" w:color="auto" w:fill="CCEEFF"/>
            <w:tcMar>
              <w:top w:w="30" w:type="dxa"/>
              <w:left w:w="0" w:type="dxa"/>
              <w:bottom w:w="30" w:type="dxa"/>
              <w:right w:w="20" w:type="dxa"/>
            </w:tcMar>
            <w:vAlign w:val="bottom"/>
            <w:hideMark/>
          </w:tcPr>
          <w:p w14:paraId="3AAE9044" w14:textId="77777777" w:rsidR="00000000" w:rsidRDefault="00405D16">
            <w:pPr>
              <w:spacing w:after="100"/>
              <w:jc w:val="right"/>
              <w:rPr>
                <w:rFonts w:eastAsia="Times New Roman"/>
              </w:rPr>
            </w:pPr>
          </w:p>
        </w:tc>
      </w:tr>
      <w:tr w:rsidR="00000000" w14:paraId="03818929" w14:textId="77777777">
        <w:trPr>
          <w:divId w:val="1942645398"/>
        </w:trPr>
        <w:tc>
          <w:tcPr>
            <w:tcW w:w="0" w:type="auto"/>
            <w:gridSpan w:val="3"/>
            <w:shd w:val="clear" w:color="auto" w:fill="FFFFFF"/>
            <w:tcMar>
              <w:top w:w="30" w:type="dxa"/>
              <w:left w:w="20" w:type="dxa"/>
              <w:bottom w:w="30" w:type="dxa"/>
              <w:right w:w="20" w:type="dxa"/>
            </w:tcMar>
            <w:vAlign w:val="center"/>
            <w:hideMark/>
          </w:tcPr>
          <w:p w14:paraId="40EB3D36" w14:textId="77777777" w:rsidR="00000000" w:rsidRDefault="00405D16">
            <w:pPr>
              <w:spacing w:after="100"/>
              <w:rPr>
                <w:rFonts w:eastAsia="Times New Roman"/>
              </w:rPr>
            </w:pPr>
            <w:r>
              <w:rPr>
                <w:rFonts w:eastAsia="Times New Roman"/>
                <w:color w:val="000000"/>
                <w:sz w:val="16"/>
                <w:szCs w:val="16"/>
              </w:rPr>
              <w:t>Exercises of stock options</w:t>
            </w:r>
          </w:p>
        </w:tc>
        <w:tc>
          <w:tcPr>
            <w:tcW w:w="0" w:type="auto"/>
            <w:gridSpan w:val="3"/>
            <w:shd w:val="clear" w:color="auto" w:fill="FFFFFF"/>
            <w:tcMar>
              <w:top w:w="0" w:type="dxa"/>
              <w:left w:w="20" w:type="dxa"/>
              <w:bottom w:w="0" w:type="dxa"/>
              <w:right w:w="20" w:type="dxa"/>
            </w:tcMar>
            <w:vAlign w:val="center"/>
            <w:hideMark/>
          </w:tcPr>
          <w:p w14:paraId="1B982147"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41606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1C57C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60AA5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7389CC"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97A27D0" w14:textId="77777777" w:rsidR="00000000" w:rsidRDefault="00405D16">
            <w:pPr>
              <w:spacing w:after="100"/>
              <w:jc w:val="right"/>
              <w:rPr>
                <w:rFonts w:eastAsia="Times New Roman"/>
              </w:rPr>
            </w:pPr>
            <w:r>
              <w:rPr>
                <w:rFonts w:eastAsia="Times New Roman"/>
                <w:color w:val="000000"/>
                <w:sz w:val="16"/>
                <w:szCs w:val="16"/>
              </w:rPr>
              <w:t>8,410 </w:t>
            </w:r>
          </w:p>
        </w:tc>
        <w:tc>
          <w:tcPr>
            <w:tcW w:w="0" w:type="auto"/>
            <w:shd w:val="clear" w:color="auto" w:fill="FFFFFF"/>
            <w:tcMar>
              <w:top w:w="30" w:type="dxa"/>
              <w:left w:w="0" w:type="dxa"/>
              <w:bottom w:w="30" w:type="dxa"/>
              <w:right w:w="20" w:type="dxa"/>
            </w:tcMar>
            <w:vAlign w:val="center"/>
            <w:hideMark/>
          </w:tcPr>
          <w:p w14:paraId="2E55FBB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A6EC0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5B8CF9C" w14:textId="77777777" w:rsidR="00000000" w:rsidRDefault="00405D16">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14:paraId="3E01671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DBD76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AE2AD22" w14:textId="77777777" w:rsidR="00000000" w:rsidRDefault="00405D16">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14:paraId="7518C5B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6611EA" w14:textId="77777777" w:rsidR="00000000" w:rsidRDefault="00405D1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CA116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0A7CA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5BE8A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F9496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81BC2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1AEAF1"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9B41F28" w14:textId="77777777" w:rsidR="00000000" w:rsidRDefault="00405D16">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14:paraId="2E1C01E5" w14:textId="77777777" w:rsidR="00000000" w:rsidRDefault="00405D16">
            <w:pPr>
              <w:spacing w:after="100"/>
              <w:jc w:val="right"/>
              <w:rPr>
                <w:rFonts w:eastAsia="Times New Roman"/>
              </w:rPr>
            </w:pPr>
          </w:p>
        </w:tc>
      </w:tr>
      <w:tr w:rsidR="00000000" w14:paraId="5E8B8CE8" w14:textId="77777777">
        <w:trPr>
          <w:divId w:val="1942645398"/>
        </w:trPr>
        <w:tc>
          <w:tcPr>
            <w:tcW w:w="0" w:type="auto"/>
            <w:gridSpan w:val="3"/>
            <w:shd w:val="clear" w:color="auto" w:fill="CCEEFF"/>
            <w:tcMar>
              <w:top w:w="30" w:type="dxa"/>
              <w:left w:w="20" w:type="dxa"/>
              <w:bottom w:w="30" w:type="dxa"/>
              <w:right w:w="20" w:type="dxa"/>
            </w:tcMar>
            <w:vAlign w:val="center"/>
            <w:hideMark/>
          </w:tcPr>
          <w:p w14:paraId="1B778AA4" w14:textId="77777777" w:rsidR="00000000" w:rsidRDefault="00405D16">
            <w:pPr>
              <w:spacing w:after="100"/>
              <w:rPr>
                <w:rFonts w:eastAsia="Times New Roman"/>
              </w:rPr>
            </w:pPr>
            <w:r>
              <w:rPr>
                <w:rFonts w:eastAsia="Times New Roman"/>
                <w:color w:val="000000"/>
                <w:sz w:val="16"/>
                <w:szCs w:val="16"/>
              </w:rPr>
              <w:t>Compensation expense for restricted stock units and stock options</w:t>
            </w:r>
          </w:p>
        </w:tc>
        <w:tc>
          <w:tcPr>
            <w:tcW w:w="0" w:type="auto"/>
            <w:gridSpan w:val="3"/>
            <w:shd w:val="clear" w:color="auto" w:fill="CCEEFF"/>
            <w:tcMar>
              <w:top w:w="0" w:type="dxa"/>
              <w:left w:w="20" w:type="dxa"/>
              <w:bottom w:w="0" w:type="dxa"/>
              <w:right w:w="20" w:type="dxa"/>
            </w:tcMar>
            <w:vAlign w:val="center"/>
            <w:hideMark/>
          </w:tcPr>
          <w:p w14:paraId="540E7784"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0BD6C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3C33C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9AB00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5F135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75EFE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81886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5B7BB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A5E537"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571844" w14:textId="77777777" w:rsidR="00000000" w:rsidRDefault="00405D16">
            <w:pPr>
              <w:spacing w:after="100"/>
              <w:jc w:val="right"/>
              <w:rPr>
                <w:rFonts w:eastAsia="Times New Roman"/>
              </w:rPr>
            </w:pPr>
            <w:r>
              <w:rPr>
                <w:rFonts w:eastAsia="Times New Roman"/>
                <w:color w:val="000000"/>
                <w:sz w:val="16"/>
                <w:szCs w:val="16"/>
              </w:rPr>
              <w:t>48 </w:t>
            </w:r>
          </w:p>
        </w:tc>
        <w:tc>
          <w:tcPr>
            <w:tcW w:w="0" w:type="auto"/>
            <w:shd w:val="clear" w:color="auto" w:fill="CCEEFF"/>
            <w:tcMar>
              <w:top w:w="30" w:type="dxa"/>
              <w:left w:w="0" w:type="dxa"/>
              <w:bottom w:w="30" w:type="dxa"/>
              <w:right w:w="20" w:type="dxa"/>
            </w:tcMar>
            <w:vAlign w:val="bottom"/>
            <w:hideMark/>
          </w:tcPr>
          <w:p w14:paraId="744AC5C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91BA9B" w14:textId="77777777" w:rsidR="00000000" w:rsidRDefault="00405D1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B0B46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04F8F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D085C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AA1AC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D1660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442DC6"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9D0235" w14:textId="77777777" w:rsidR="00000000" w:rsidRDefault="00405D16">
            <w:pPr>
              <w:spacing w:after="100"/>
              <w:jc w:val="right"/>
              <w:rPr>
                <w:rFonts w:eastAsia="Times New Roman"/>
              </w:rPr>
            </w:pPr>
            <w:r>
              <w:rPr>
                <w:rFonts w:eastAsia="Times New Roman"/>
                <w:color w:val="000000"/>
                <w:sz w:val="16"/>
                <w:szCs w:val="16"/>
              </w:rPr>
              <w:t>48 </w:t>
            </w:r>
          </w:p>
        </w:tc>
        <w:tc>
          <w:tcPr>
            <w:tcW w:w="0" w:type="auto"/>
            <w:shd w:val="clear" w:color="auto" w:fill="CCEEFF"/>
            <w:tcMar>
              <w:top w:w="30" w:type="dxa"/>
              <w:left w:w="0" w:type="dxa"/>
              <w:bottom w:w="30" w:type="dxa"/>
              <w:right w:w="20" w:type="dxa"/>
            </w:tcMar>
            <w:vAlign w:val="bottom"/>
            <w:hideMark/>
          </w:tcPr>
          <w:p w14:paraId="5D6AA011" w14:textId="77777777" w:rsidR="00000000" w:rsidRDefault="00405D16">
            <w:pPr>
              <w:spacing w:after="100"/>
              <w:jc w:val="right"/>
              <w:rPr>
                <w:rFonts w:eastAsia="Times New Roman"/>
              </w:rPr>
            </w:pPr>
          </w:p>
        </w:tc>
      </w:tr>
      <w:tr w:rsidR="00405D16" w14:paraId="6E32F57C" w14:textId="77777777">
        <w:trPr>
          <w:divId w:val="1942645398"/>
        </w:trPr>
        <w:tc>
          <w:tcPr>
            <w:tcW w:w="0" w:type="auto"/>
            <w:gridSpan w:val="3"/>
            <w:shd w:val="clear" w:color="auto" w:fill="FFFFFF"/>
            <w:tcMar>
              <w:top w:w="30" w:type="dxa"/>
              <w:left w:w="20" w:type="dxa"/>
              <w:bottom w:w="30" w:type="dxa"/>
              <w:right w:w="20" w:type="dxa"/>
            </w:tcMar>
            <w:vAlign w:val="center"/>
            <w:hideMark/>
          </w:tcPr>
          <w:p w14:paraId="2AA98D3B" w14:textId="77777777" w:rsidR="00000000" w:rsidRDefault="00405D16">
            <w:pPr>
              <w:spacing w:after="100"/>
              <w:rPr>
                <w:rFonts w:eastAsia="Times New Roman"/>
              </w:rPr>
            </w:pPr>
            <w:r>
              <w:rPr>
                <w:rFonts w:eastAsia="Times New Roman"/>
                <w:b/>
                <w:bCs/>
                <w:color w:val="000000"/>
                <w:sz w:val="16"/>
                <w:szCs w:val="16"/>
              </w:rPr>
              <w:t>Balance as of June 30, 2020</w:t>
            </w:r>
          </w:p>
        </w:tc>
        <w:tc>
          <w:tcPr>
            <w:tcW w:w="0" w:type="auto"/>
            <w:gridSpan w:val="3"/>
            <w:shd w:val="clear" w:color="auto" w:fill="FFFFFF"/>
            <w:tcMar>
              <w:top w:w="0" w:type="dxa"/>
              <w:left w:w="20" w:type="dxa"/>
              <w:bottom w:w="0" w:type="dxa"/>
              <w:right w:w="20" w:type="dxa"/>
            </w:tcMar>
            <w:vAlign w:val="center"/>
            <w:hideMark/>
          </w:tcPr>
          <w:p w14:paraId="459BC7F5"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452CC56" w14:textId="77777777" w:rsidR="00000000" w:rsidRDefault="00405D16">
            <w:pPr>
              <w:spacing w:after="100"/>
              <w:jc w:val="right"/>
              <w:rPr>
                <w:rFonts w:eastAsia="Times New Roman"/>
              </w:rPr>
            </w:pPr>
            <w:r>
              <w:rPr>
                <w:rFonts w:eastAsia="Times New Roman"/>
                <w:color w:val="000000"/>
                <w:sz w:val="16"/>
                <w:szCs w:val="16"/>
              </w:rPr>
              <w:t>5,350,000 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775B9E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6A0219"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4FDF6CFF"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49654C7A" w14:textId="77777777" w:rsidR="00000000" w:rsidRDefault="00405D16">
            <w:pPr>
              <w:spacing w:after="100"/>
              <w:jc w:val="right"/>
              <w:rPr>
                <w:rFonts w:eastAsia="Times New Roman"/>
              </w:rPr>
            </w:pPr>
            <w:r>
              <w:rPr>
                <w:rFonts w:eastAsia="Times New Roman"/>
                <w:color w:val="000000"/>
                <w:sz w:val="16"/>
                <w:szCs w:val="16"/>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E33B5F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D9AAA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97509FC" w14:textId="77777777" w:rsidR="00000000" w:rsidRDefault="00405D16">
            <w:pPr>
              <w:spacing w:after="100"/>
              <w:jc w:val="right"/>
              <w:rPr>
                <w:rFonts w:eastAsia="Times New Roman"/>
              </w:rPr>
            </w:pPr>
            <w:r>
              <w:rPr>
                <w:rFonts w:eastAsia="Times New Roman"/>
                <w:color w:val="000000"/>
                <w:sz w:val="16"/>
                <w:szCs w:val="16"/>
              </w:rPr>
              <w:t>677,226,807 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A0CD44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3959F4"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183CA02A"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68D91969" w14:textId="77777777" w:rsidR="00000000" w:rsidRDefault="00405D16">
            <w:pPr>
              <w:spacing w:after="100"/>
              <w:jc w:val="right"/>
              <w:rPr>
                <w:rFonts w:eastAsia="Times New Roman"/>
              </w:rPr>
            </w:pPr>
            <w:r>
              <w:rPr>
                <w:rFonts w:eastAsia="Times New Roman"/>
                <w:color w:val="000000"/>
                <w:sz w:val="16"/>
                <w:szCs w:val="16"/>
              </w:rPr>
              <w:t>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BB0CD2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BB1C3E"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3D377707"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13DE0ECE" w14:textId="77777777" w:rsidR="00000000" w:rsidRDefault="00405D16">
            <w:pPr>
              <w:spacing w:after="100"/>
              <w:jc w:val="right"/>
              <w:rPr>
                <w:rFonts w:eastAsia="Times New Roman"/>
              </w:rPr>
            </w:pPr>
            <w:r>
              <w:rPr>
                <w:rFonts w:eastAsia="Times New Roman"/>
                <w:color w:val="000000"/>
                <w:sz w:val="16"/>
                <w:szCs w:val="16"/>
              </w:rPr>
              <w:t>33,556 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8EA9E5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C987EF"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2D70C03B"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98B5A32" w14:textId="77777777" w:rsidR="00000000" w:rsidRDefault="00405D16">
            <w:pPr>
              <w:spacing w:after="100"/>
              <w:jc w:val="right"/>
              <w:rPr>
                <w:rFonts w:eastAsia="Times New Roman"/>
              </w:rPr>
            </w:pPr>
            <w:r>
              <w:rPr>
                <w:rFonts w:eastAsia="Times New Roman"/>
                <w:color w:val="000000"/>
                <w:sz w:val="16"/>
                <w:szCs w:val="16"/>
              </w:rPr>
              <w:t>35,361 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21003E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73C483"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3346A384"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37FBD532" w14:textId="77777777" w:rsidR="00000000" w:rsidRDefault="00405D16">
            <w:pPr>
              <w:spacing w:after="100"/>
              <w:jc w:val="right"/>
              <w:rPr>
                <w:rFonts w:eastAsia="Times New Roman"/>
              </w:rPr>
            </w:pPr>
            <w:r>
              <w:rPr>
                <w:rFonts w:eastAsia="Times New Roman"/>
                <w:color w:val="000000"/>
                <w:sz w:val="16"/>
                <w:szCs w:val="16"/>
              </w:rPr>
              <w:t>3,981 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32EBBA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E0C882"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447905D5"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71E197B7" w14:textId="77777777" w:rsidR="00000000" w:rsidRDefault="00405D16">
            <w:pPr>
              <w:spacing w:after="100"/>
              <w:jc w:val="right"/>
              <w:rPr>
                <w:rFonts w:eastAsia="Times New Roman"/>
              </w:rPr>
            </w:pPr>
            <w:r>
              <w:rPr>
                <w:rFonts w:eastAsia="Times New Roman"/>
                <w:color w:val="000000"/>
                <w:sz w:val="16"/>
                <w:szCs w:val="16"/>
              </w:rPr>
              <w:t>(16,860)</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686316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231CCF"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7F14EE90"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61110172" w14:textId="77777777" w:rsidR="00000000" w:rsidRDefault="00405D16">
            <w:pPr>
              <w:spacing w:after="100"/>
              <w:jc w:val="right"/>
              <w:rPr>
                <w:rFonts w:eastAsia="Times New Roman"/>
              </w:rPr>
            </w:pPr>
            <w:r>
              <w:rPr>
                <w:rFonts w:eastAsia="Times New Roman"/>
                <w:color w:val="000000"/>
                <w:sz w:val="16"/>
                <w:szCs w:val="16"/>
              </w:rPr>
              <w:t>56,045 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4716B6C" w14:textId="77777777" w:rsidR="00000000" w:rsidRDefault="00405D16">
            <w:pPr>
              <w:spacing w:after="100"/>
              <w:jc w:val="right"/>
              <w:rPr>
                <w:rFonts w:eastAsia="Times New Roman"/>
              </w:rPr>
            </w:pPr>
          </w:p>
        </w:tc>
      </w:tr>
      <w:tr w:rsidR="00000000" w14:paraId="644077ED" w14:textId="77777777">
        <w:trPr>
          <w:divId w:val="1942645398"/>
        </w:trPr>
        <w:tc>
          <w:tcPr>
            <w:tcW w:w="0" w:type="auto"/>
            <w:gridSpan w:val="3"/>
            <w:shd w:val="clear" w:color="auto" w:fill="CCEEFF"/>
            <w:tcMar>
              <w:top w:w="30" w:type="dxa"/>
              <w:left w:w="20" w:type="dxa"/>
              <w:bottom w:w="30" w:type="dxa"/>
              <w:right w:w="20" w:type="dxa"/>
            </w:tcMar>
            <w:vAlign w:val="center"/>
            <w:hideMark/>
          </w:tcPr>
          <w:p w14:paraId="34007B6D" w14:textId="77777777" w:rsidR="00000000" w:rsidRDefault="00405D16">
            <w:pPr>
              <w:spacing w:after="100"/>
              <w:rPr>
                <w:rFonts w:eastAsia="Times New Roman"/>
              </w:rPr>
            </w:pPr>
            <w:r>
              <w:rPr>
                <w:rFonts w:eastAsia="Times New Roman"/>
                <w:color w:val="000000"/>
                <w:sz w:val="16"/>
                <w:szCs w:val="16"/>
              </w:rPr>
              <w:t>Comprehensive income (loss)</w:t>
            </w:r>
          </w:p>
        </w:tc>
        <w:tc>
          <w:tcPr>
            <w:tcW w:w="0" w:type="auto"/>
            <w:gridSpan w:val="3"/>
            <w:shd w:val="clear" w:color="auto" w:fill="CCEEFF"/>
            <w:tcMar>
              <w:top w:w="0" w:type="dxa"/>
              <w:left w:w="20" w:type="dxa"/>
              <w:bottom w:w="0" w:type="dxa"/>
              <w:right w:w="20" w:type="dxa"/>
            </w:tcMar>
            <w:vAlign w:val="center"/>
            <w:hideMark/>
          </w:tcPr>
          <w:p w14:paraId="118BD54C"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C82902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E06C26"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7A1DB0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5D5545"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29CFFE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12E1FF"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B749E6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EE6435"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B87305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55CFA6" w14:textId="77777777" w:rsidR="00000000" w:rsidRDefault="00405D16">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30BD192" w14:textId="77777777" w:rsidR="00000000" w:rsidRDefault="00405D16">
            <w:pPr>
              <w:spacing w:after="100"/>
              <w:jc w:val="right"/>
              <w:rPr>
                <w:rFonts w:eastAsia="Times New Roman"/>
              </w:rPr>
            </w:pPr>
            <w:r>
              <w:rPr>
                <w:rFonts w:eastAsia="Times New Roman"/>
                <w:color w:val="000000"/>
                <w:sz w:val="16"/>
                <w:szCs w:val="16"/>
              </w:rPr>
              <w:t>2,406 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773A5B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A8D828"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A797AB5" w14:textId="77777777" w:rsidR="00000000" w:rsidRDefault="00405D16">
            <w:pPr>
              <w:spacing w:after="100"/>
              <w:jc w:val="right"/>
              <w:rPr>
                <w:rFonts w:eastAsia="Times New Roman"/>
              </w:rPr>
            </w:pPr>
            <w:r>
              <w:rPr>
                <w:rFonts w:eastAsia="Times New Roman"/>
                <w:color w:val="000000"/>
                <w:sz w:val="16"/>
                <w:szCs w:val="16"/>
              </w:rPr>
              <w:t>(148)</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165351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B37EB1" w14:textId="77777777" w:rsidR="00000000" w:rsidRDefault="00405D16">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B10080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1078BD" w14:textId="77777777" w:rsidR="00000000" w:rsidRDefault="00405D16">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FF4E219" w14:textId="77777777" w:rsidR="00000000" w:rsidRDefault="00405D16">
            <w:pPr>
              <w:spacing w:after="100"/>
              <w:jc w:val="right"/>
              <w:rPr>
                <w:rFonts w:eastAsia="Times New Roman"/>
              </w:rPr>
            </w:pPr>
            <w:r>
              <w:rPr>
                <w:rFonts w:eastAsia="Times New Roman"/>
                <w:color w:val="000000"/>
                <w:sz w:val="16"/>
                <w:szCs w:val="16"/>
              </w:rPr>
              <w:t>2,258 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092A13E" w14:textId="77777777" w:rsidR="00000000" w:rsidRDefault="00405D16">
            <w:pPr>
              <w:spacing w:after="100"/>
              <w:jc w:val="right"/>
              <w:rPr>
                <w:rFonts w:eastAsia="Times New Roman"/>
              </w:rPr>
            </w:pPr>
          </w:p>
        </w:tc>
      </w:tr>
      <w:tr w:rsidR="00000000" w14:paraId="0ADA470F" w14:textId="77777777">
        <w:trPr>
          <w:divId w:val="1942645398"/>
        </w:trPr>
        <w:tc>
          <w:tcPr>
            <w:tcW w:w="0" w:type="auto"/>
            <w:gridSpan w:val="3"/>
            <w:shd w:val="clear" w:color="auto" w:fill="FFFFFF"/>
            <w:tcMar>
              <w:top w:w="30" w:type="dxa"/>
              <w:left w:w="20" w:type="dxa"/>
              <w:bottom w:w="30" w:type="dxa"/>
              <w:right w:w="20" w:type="dxa"/>
            </w:tcMar>
            <w:vAlign w:val="center"/>
            <w:hideMark/>
          </w:tcPr>
          <w:p w14:paraId="1845A5FA" w14:textId="77777777" w:rsidR="00000000" w:rsidRDefault="00405D16">
            <w:pPr>
              <w:spacing w:after="100"/>
              <w:divId w:val="1600330637"/>
              <w:rPr>
                <w:rFonts w:eastAsia="Times New Roman"/>
              </w:rPr>
            </w:pPr>
            <w:r>
              <w:rPr>
                <w:rFonts w:eastAsia="Times New Roman"/>
                <w:color w:val="000000"/>
                <w:sz w:val="16"/>
                <w:szCs w:val="16"/>
              </w:rPr>
              <w:t>Dividends—common stoc</w:t>
            </w:r>
            <w:r>
              <w:rPr>
                <w:rFonts w:eastAsia="Times New Roman"/>
                <w:color w:val="000000"/>
                <w:sz w:val="16"/>
                <w:szCs w:val="16"/>
              </w:rPr>
              <w:t>k</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14:paraId="42FD2A5B"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4ECA4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B33B9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011CD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BC44EB"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3AC928E" w14:textId="77777777" w:rsidR="00000000" w:rsidRDefault="00405D16">
            <w:pPr>
              <w:spacing w:after="100"/>
              <w:jc w:val="right"/>
              <w:rPr>
                <w:rFonts w:eastAsia="Times New Roman"/>
              </w:rPr>
            </w:pPr>
            <w:r>
              <w:rPr>
                <w:rFonts w:eastAsia="Times New Roman"/>
                <w:color w:val="000000"/>
                <w:sz w:val="16"/>
                <w:szCs w:val="16"/>
              </w:rPr>
              <w:t>1,608 </w:t>
            </w:r>
          </w:p>
        </w:tc>
        <w:tc>
          <w:tcPr>
            <w:tcW w:w="0" w:type="auto"/>
            <w:shd w:val="clear" w:color="auto" w:fill="FFFFFF"/>
            <w:tcMar>
              <w:top w:w="30" w:type="dxa"/>
              <w:left w:w="0" w:type="dxa"/>
              <w:bottom w:w="30" w:type="dxa"/>
              <w:right w:w="20" w:type="dxa"/>
            </w:tcMar>
            <w:vAlign w:val="center"/>
            <w:hideMark/>
          </w:tcPr>
          <w:p w14:paraId="3E7F51B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6EA45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0A33C53" w14:textId="77777777" w:rsidR="00000000" w:rsidRDefault="00405D16">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14:paraId="414E282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6623B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F7550B7" w14:textId="77777777" w:rsidR="00000000" w:rsidRDefault="00405D16">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14:paraId="32A6548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055C9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2BCEFE2" w14:textId="77777777" w:rsidR="00000000" w:rsidRDefault="00405D16">
            <w:pPr>
              <w:spacing w:after="100"/>
              <w:jc w:val="right"/>
              <w:rPr>
                <w:rFonts w:eastAsia="Times New Roman"/>
              </w:rPr>
            </w:pPr>
            <w:r>
              <w:rPr>
                <w:rFonts w:eastAsia="Times New Roman"/>
                <w:color w:val="000000"/>
                <w:sz w:val="16"/>
                <w:szCs w:val="16"/>
              </w:rPr>
              <w:t>(47)</w:t>
            </w:r>
          </w:p>
        </w:tc>
        <w:tc>
          <w:tcPr>
            <w:tcW w:w="0" w:type="auto"/>
            <w:shd w:val="clear" w:color="auto" w:fill="FFFFFF"/>
            <w:tcMar>
              <w:top w:w="30" w:type="dxa"/>
              <w:left w:w="0" w:type="dxa"/>
              <w:bottom w:w="30" w:type="dxa"/>
              <w:right w:w="20" w:type="dxa"/>
            </w:tcMar>
            <w:vAlign w:val="center"/>
            <w:hideMark/>
          </w:tcPr>
          <w:p w14:paraId="754B765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0794C9" w14:textId="77777777" w:rsidR="00000000" w:rsidRDefault="00405D1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E3D13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DEF27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09A3B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DB6D17"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EF4E69F" w14:textId="77777777" w:rsidR="00000000" w:rsidRDefault="00405D16">
            <w:pPr>
              <w:spacing w:after="100"/>
              <w:jc w:val="right"/>
              <w:rPr>
                <w:rFonts w:eastAsia="Times New Roman"/>
              </w:rPr>
            </w:pPr>
            <w:r>
              <w:rPr>
                <w:rFonts w:eastAsia="Times New Roman"/>
                <w:color w:val="000000"/>
                <w:sz w:val="16"/>
                <w:szCs w:val="16"/>
              </w:rPr>
              <w:t>(47)</w:t>
            </w:r>
          </w:p>
        </w:tc>
        <w:tc>
          <w:tcPr>
            <w:tcW w:w="0" w:type="auto"/>
            <w:shd w:val="clear" w:color="auto" w:fill="FFFFFF"/>
            <w:tcMar>
              <w:top w:w="30" w:type="dxa"/>
              <w:left w:w="0" w:type="dxa"/>
              <w:bottom w:w="30" w:type="dxa"/>
              <w:right w:w="20" w:type="dxa"/>
            </w:tcMar>
            <w:vAlign w:val="center"/>
            <w:hideMark/>
          </w:tcPr>
          <w:p w14:paraId="64401E60" w14:textId="77777777" w:rsidR="00000000" w:rsidRDefault="00405D16">
            <w:pPr>
              <w:spacing w:after="100"/>
              <w:jc w:val="right"/>
              <w:rPr>
                <w:rFonts w:eastAsia="Times New Roman"/>
              </w:rPr>
            </w:pPr>
          </w:p>
        </w:tc>
      </w:tr>
      <w:tr w:rsidR="00000000" w14:paraId="311736EA" w14:textId="77777777">
        <w:trPr>
          <w:divId w:val="1942645398"/>
        </w:trPr>
        <w:tc>
          <w:tcPr>
            <w:tcW w:w="0" w:type="auto"/>
            <w:gridSpan w:val="3"/>
            <w:shd w:val="clear" w:color="auto" w:fill="CCEEFF"/>
            <w:tcMar>
              <w:top w:w="30" w:type="dxa"/>
              <w:left w:w="20" w:type="dxa"/>
              <w:bottom w:w="30" w:type="dxa"/>
              <w:right w:w="20" w:type="dxa"/>
            </w:tcMar>
            <w:vAlign w:val="center"/>
            <w:hideMark/>
          </w:tcPr>
          <w:p w14:paraId="72E4B96D" w14:textId="77777777" w:rsidR="00000000" w:rsidRDefault="00405D16">
            <w:pPr>
              <w:spacing w:after="100"/>
              <w:rPr>
                <w:rFonts w:eastAsia="Times New Roman"/>
              </w:rPr>
            </w:pPr>
            <w:r>
              <w:rPr>
                <w:rFonts w:eastAsia="Times New Roman"/>
                <w:color w:val="000000"/>
                <w:sz w:val="16"/>
                <w:szCs w:val="16"/>
              </w:rPr>
              <w:t>Dividends—</w:t>
            </w:r>
            <w:r>
              <w:rPr>
                <w:rFonts w:eastAsia="Times New Roman"/>
                <w:color w:val="000000"/>
                <w:sz w:val="16"/>
                <w:szCs w:val="16"/>
              </w:rPr>
              <w:t>preferred stock</w:t>
            </w:r>
          </w:p>
        </w:tc>
        <w:tc>
          <w:tcPr>
            <w:tcW w:w="0" w:type="auto"/>
            <w:gridSpan w:val="3"/>
            <w:shd w:val="clear" w:color="auto" w:fill="CCEEFF"/>
            <w:tcMar>
              <w:top w:w="0" w:type="dxa"/>
              <w:left w:w="20" w:type="dxa"/>
              <w:bottom w:w="0" w:type="dxa"/>
              <w:right w:w="20" w:type="dxa"/>
            </w:tcMar>
            <w:vAlign w:val="center"/>
            <w:hideMark/>
          </w:tcPr>
          <w:p w14:paraId="4BAA8687"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F7D3A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800CC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7811D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50C77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FFC9D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EFE34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EED31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23F67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B2EB0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F037ED"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D9E4FA5" w14:textId="77777777" w:rsidR="00000000" w:rsidRDefault="00405D16">
            <w:pPr>
              <w:spacing w:after="100"/>
              <w:jc w:val="right"/>
              <w:rPr>
                <w:rFonts w:eastAsia="Times New Roman"/>
              </w:rPr>
            </w:pPr>
            <w:r>
              <w:rPr>
                <w:rFonts w:eastAsia="Times New Roman"/>
                <w:color w:val="000000"/>
                <w:sz w:val="16"/>
                <w:szCs w:val="16"/>
              </w:rPr>
              <w:t>(67)</w:t>
            </w:r>
          </w:p>
        </w:tc>
        <w:tc>
          <w:tcPr>
            <w:tcW w:w="0" w:type="auto"/>
            <w:shd w:val="clear" w:color="auto" w:fill="CCEEFF"/>
            <w:tcMar>
              <w:top w:w="30" w:type="dxa"/>
              <w:left w:w="0" w:type="dxa"/>
              <w:bottom w:w="30" w:type="dxa"/>
              <w:right w:w="20" w:type="dxa"/>
            </w:tcMar>
            <w:vAlign w:val="center"/>
            <w:hideMark/>
          </w:tcPr>
          <w:p w14:paraId="4D6250E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C646DE" w14:textId="77777777" w:rsidR="00000000" w:rsidRDefault="00405D1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999F2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7B28E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DC22C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2FA488"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1C7C6A1" w14:textId="77777777" w:rsidR="00000000" w:rsidRDefault="00405D16">
            <w:pPr>
              <w:spacing w:after="100"/>
              <w:jc w:val="right"/>
              <w:rPr>
                <w:rFonts w:eastAsia="Times New Roman"/>
              </w:rPr>
            </w:pPr>
            <w:r>
              <w:rPr>
                <w:rFonts w:eastAsia="Times New Roman"/>
                <w:color w:val="000000"/>
                <w:sz w:val="16"/>
                <w:szCs w:val="16"/>
              </w:rPr>
              <w:t>(67)</w:t>
            </w:r>
          </w:p>
        </w:tc>
        <w:tc>
          <w:tcPr>
            <w:tcW w:w="0" w:type="auto"/>
            <w:shd w:val="clear" w:color="auto" w:fill="CCEEFF"/>
            <w:tcMar>
              <w:top w:w="30" w:type="dxa"/>
              <w:left w:w="0" w:type="dxa"/>
              <w:bottom w:w="30" w:type="dxa"/>
              <w:right w:w="20" w:type="dxa"/>
            </w:tcMar>
            <w:vAlign w:val="center"/>
            <w:hideMark/>
          </w:tcPr>
          <w:p w14:paraId="081BE46F" w14:textId="77777777" w:rsidR="00000000" w:rsidRDefault="00405D16">
            <w:pPr>
              <w:spacing w:after="100"/>
              <w:jc w:val="right"/>
              <w:rPr>
                <w:rFonts w:eastAsia="Times New Roman"/>
              </w:rPr>
            </w:pPr>
          </w:p>
        </w:tc>
      </w:tr>
      <w:tr w:rsidR="00000000" w14:paraId="305F064F" w14:textId="77777777">
        <w:trPr>
          <w:divId w:val="1942645398"/>
        </w:trPr>
        <w:tc>
          <w:tcPr>
            <w:tcW w:w="0" w:type="auto"/>
            <w:gridSpan w:val="3"/>
            <w:shd w:val="clear" w:color="auto" w:fill="FFFFFF"/>
            <w:tcMar>
              <w:top w:w="30" w:type="dxa"/>
              <w:left w:w="20" w:type="dxa"/>
              <w:bottom w:w="30" w:type="dxa"/>
              <w:right w:w="20" w:type="dxa"/>
            </w:tcMar>
            <w:vAlign w:val="center"/>
            <w:hideMark/>
          </w:tcPr>
          <w:p w14:paraId="62A27883" w14:textId="77777777" w:rsidR="00000000" w:rsidRDefault="00405D16">
            <w:pPr>
              <w:spacing w:after="100"/>
              <w:rPr>
                <w:rFonts w:eastAsia="Times New Roman"/>
              </w:rPr>
            </w:pPr>
            <w:r>
              <w:rPr>
                <w:rFonts w:eastAsia="Times New Roman"/>
                <w:color w:val="000000"/>
                <w:sz w:val="16"/>
                <w:szCs w:val="16"/>
              </w:rPr>
              <w:t>Purchases of treasury stock</w:t>
            </w:r>
          </w:p>
        </w:tc>
        <w:tc>
          <w:tcPr>
            <w:tcW w:w="0" w:type="auto"/>
            <w:gridSpan w:val="3"/>
            <w:shd w:val="clear" w:color="auto" w:fill="FFFFFF"/>
            <w:tcMar>
              <w:top w:w="0" w:type="dxa"/>
              <w:left w:w="20" w:type="dxa"/>
              <w:bottom w:w="0" w:type="dxa"/>
              <w:right w:w="20" w:type="dxa"/>
            </w:tcMar>
            <w:vAlign w:val="center"/>
            <w:hideMark/>
          </w:tcPr>
          <w:p w14:paraId="0DF61AB3"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6B081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2223A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BDF06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BD084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F413C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A71D0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121CD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E948E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9DEBB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683DE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1C3EE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A7132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962E6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7E4B6E"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B208F1A" w14:textId="77777777" w:rsidR="00000000" w:rsidRDefault="00405D16">
            <w:pPr>
              <w:spacing w:after="100"/>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center"/>
            <w:hideMark/>
          </w:tcPr>
          <w:p w14:paraId="5B1ED7F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504B4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8653BF0" w14:textId="77777777" w:rsidR="00000000" w:rsidRDefault="00405D16">
            <w:pPr>
              <w:spacing w:after="100"/>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center"/>
            <w:hideMark/>
          </w:tcPr>
          <w:p w14:paraId="4EB928CC" w14:textId="77777777" w:rsidR="00000000" w:rsidRDefault="00405D16">
            <w:pPr>
              <w:spacing w:after="100"/>
              <w:jc w:val="right"/>
              <w:rPr>
                <w:rFonts w:eastAsia="Times New Roman"/>
              </w:rPr>
            </w:pPr>
          </w:p>
        </w:tc>
      </w:tr>
      <w:tr w:rsidR="00000000" w14:paraId="58F9AC58" w14:textId="77777777">
        <w:trPr>
          <w:divId w:val="1942645398"/>
        </w:trPr>
        <w:tc>
          <w:tcPr>
            <w:tcW w:w="0" w:type="auto"/>
            <w:gridSpan w:val="3"/>
            <w:shd w:val="clear" w:color="auto" w:fill="CCEEFF"/>
            <w:tcMar>
              <w:top w:w="30" w:type="dxa"/>
              <w:left w:w="20" w:type="dxa"/>
              <w:bottom w:w="30" w:type="dxa"/>
              <w:right w:w="20" w:type="dxa"/>
            </w:tcMar>
            <w:vAlign w:val="center"/>
            <w:hideMark/>
          </w:tcPr>
          <w:p w14:paraId="4881C344" w14:textId="77777777" w:rsidR="00000000" w:rsidRDefault="00405D16">
            <w:pPr>
              <w:spacing w:after="100"/>
              <w:rPr>
                <w:rFonts w:eastAsia="Times New Roman"/>
              </w:rPr>
            </w:pPr>
            <w:r>
              <w:rPr>
                <w:rFonts w:eastAsia="Times New Roman"/>
                <w:color w:val="000000"/>
                <w:sz w:val="16"/>
                <w:szCs w:val="16"/>
              </w:rPr>
              <w:t>Issuances of common stock and restricted stock, net of forfeitures</w:t>
            </w:r>
          </w:p>
        </w:tc>
        <w:tc>
          <w:tcPr>
            <w:tcW w:w="0" w:type="auto"/>
            <w:gridSpan w:val="3"/>
            <w:shd w:val="clear" w:color="auto" w:fill="CCEEFF"/>
            <w:tcMar>
              <w:top w:w="0" w:type="dxa"/>
              <w:left w:w="20" w:type="dxa"/>
              <w:bottom w:w="0" w:type="dxa"/>
              <w:right w:w="20" w:type="dxa"/>
            </w:tcMar>
            <w:vAlign w:val="center"/>
            <w:hideMark/>
          </w:tcPr>
          <w:p w14:paraId="352CD4E1"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EF990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CE5A7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72490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6930D2"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82AB80" w14:textId="77777777" w:rsidR="00000000" w:rsidRDefault="00405D16">
            <w:pPr>
              <w:spacing w:after="100"/>
              <w:jc w:val="right"/>
              <w:rPr>
                <w:rFonts w:eastAsia="Times New Roman"/>
              </w:rPr>
            </w:pPr>
            <w:r>
              <w:rPr>
                <w:rFonts w:eastAsia="Times New Roman"/>
                <w:color w:val="000000"/>
                <w:sz w:val="16"/>
                <w:szCs w:val="16"/>
              </w:rPr>
              <w:t>1,073,323 </w:t>
            </w:r>
          </w:p>
        </w:tc>
        <w:tc>
          <w:tcPr>
            <w:tcW w:w="0" w:type="auto"/>
            <w:shd w:val="clear" w:color="auto" w:fill="CCEEFF"/>
            <w:tcMar>
              <w:top w:w="30" w:type="dxa"/>
              <w:left w:w="0" w:type="dxa"/>
              <w:bottom w:w="30" w:type="dxa"/>
              <w:right w:w="20" w:type="dxa"/>
            </w:tcMar>
            <w:vAlign w:val="bottom"/>
            <w:hideMark/>
          </w:tcPr>
          <w:p w14:paraId="04FA24B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5F6AC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913102" w14:textId="77777777" w:rsidR="00000000" w:rsidRDefault="00405D16">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14:paraId="6B12013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C4FBD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FD1ED3" w14:textId="77777777" w:rsidR="00000000" w:rsidRDefault="00405D16">
            <w:pPr>
              <w:spacing w:after="100"/>
              <w:jc w:val="right"/>
              <w:rPr>
                <w:rFonts w:eastAsia="Times New Roman"/>
              </w:rPr>
            </w:pPr>
            <w:r>
              <w:rPr>
                <w:rFonts w:eastAsia="Times New Roman"/>
                <w:color w:val="000000"/>
                <w:sz w:val="16"/>
                <w:szCs w:val="16"/>
              </w:rPr>
              <w:t>63 </w:t>
            </w:r>
          </w:p>
        </w:tc>
        <w:tc>
          <w:tcPr>
            <w:tcW w:w="0" w:type="auto"/>
            <w:shd w:val="clear" w:color="auto" w:fill="CCEEFF"/>
            <w:tcMar>
              <w:top w:w="30" w:type="dxa"/>
              <w:left w:w="0" w:type="dxa"/>
              <w:bottom w:w="30" w:type="dxa"/>
              <w:right w:w="20" w:type="dxa"/>
            </w:tcMar>
            <w:vAlign w:val="bottom"/>
            <w:hideMark/>
          </w:tcPr>
          <w:p w14:paraId="58944A5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F49C3C" w14:textId="77777777" w:rsidR="00000000" w:rsidRDefault="00405D1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1A7F3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8F3D8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37D75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4BC0D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31314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3D17F0"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CC182C" w14:textId="77777777" w:rsidR="00000000" w:rsidRDefault="00405D16">
            <w:pPr>
              <w:spacing w:after="100"/>
              <w:jc w:val="right"/>
              <w:rPr>
                <w:rFonts w:eastAsia="Times New Roman"/>
              </w:rPr>
            </w:pPr>
            <w:r>
              <w:rPr>
                <w:rFonts w:eastAsia="Times New Roman"/>
                <w:color w:val="000000"/>
                <w:sz w:val="16"/>
                <w:szCs w:val="16"/>
              </w:rPr>
              <w:t>63 </w:t>
            </w:r>
          </w:p>
        </w:tc>
        <w:tc>
          <w:tcPr>
            <w:tcW w:w="0" w:type="auto"/>
            <w:shd w:val="clear" w:color="auto" w:fill="CCEEFF"/>
            <w:tcMar>
              <w:top w:w="30" w:type="dxa"/>
              <w:left w:w="0" w:type="dxa"/>
              <w:bottom w:w="30" w:type="dxa"/>
              <w:right w:w="20" w:type="dxa"/>
            </w:tcMar>
            <w:vAlign w:val="bottom"/>
            <w:hideMark/>
          </w:tcPr>
          <w:p w14:paraId="35C81C7D" w14:textId="77777777" w:rsidR="00000000" w:rsidRDefault="00405D16">
            <w:pPr>
              <w:spacing w:after="100"/>
              <w:jc w:val="right"/>
              <w:rPr>
                <w:rFonts w:eastAsia="Times New Roman"/>
              </w:rPr>
            </w:pPr>
          </w:p>
        </w:tc>
      </w:tr>
      <w:tr w:rsidR="00000000" w14:paraId="7CCA72DB" w14:textId="77777777">
        <w:trPr>
          <w:divId w:val="1942645398"/>
        </w:trPr>
        <w:tc>
          <w:tcPr>
            <w:tcW w:w="0" w:type="auto"/>
            <w:gridSpan w:val="3"/>
            <w:shd w:val="clear" w:color="auto" w:fill="FFFFFF"/>
            <w:tcMar>
              <w:top w:w="30" w:type="dxa"/>
              <w:left w:w="20" w:type="dxa"/>
              <w:bottom w:w="30" w:type="dxa"/>
              <w:right w:w="20" w:type="dxa"/>
            </w:tcMar>
            <w:vAlign w:val="center"/>
            <w:hideMark/>
          </w:tcPr>
          <w:p w14:paraId="7D558A00" w14:textId="77777777" w:rsidR="00000000" w:rsidRDefault="00405D16">
            <w:pPr>
              <w:spacing w:after="100"/>
              <w:rPr>
                <w:rFonts w:eastAsia="Times New Roman"/>
              </w:rPr>
            </w:pPr>
            <w:r>
              <w:rPr>
                <w:rFonts w:eastAsia="Times New Roman"/>
                <w:color w:val="000000"/>
                <w:sz w:val="16"/>
                <w:szCs w:val="16"/>
              </w:rPr>
              <w:t>Exercises of stock options</w:t>
            </w:r>
          </w:p>
        </w:tc>
        <w:tc>
          <w:tcPr>
            <w:tcW w:w="0" w:type="auto"/>
            <w:gridSpan w:val="3"/>
            <w:shd w:val="clear" w:color="auto" w:fill="FFFFFF"/>
            <w:tcMar>
              <w:top w:w="0" w:type="dxa"/>
              <w:left w:w="20" w:type="dxa"/>
              <w:bottom w:w="0" w:type="dxa"/>
              <w:right w:w="20" w:type="dxa"/>
            </w:tcMar>
            <w:vAlign w:val="center"/>
            <w:hideMark/>
          </w:tcPr>
          <w:p w14:paraId="559C20A1"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9C996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B6DBB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18C624"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761CD0"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83C00D9" w14:textId="77777777" w:rsidR="00000000" w:rsidRDefault="00405D16">
            <w:pPr>
              <w:spacing w:after="100"/>
              <w:jc w:val="right"/>
              <w:rPr>
                <w:rFonts w:eastAsia="Times New Roman"/>
              </w:rPr>
            </w:pPr>
            <w:r>
              <w:rPr>
                <w:rFonts w:eastAsia="Times New Roman"/>
                <w:color w:val="000000"/>
                <w:sz w:val="16"/>
                <w:szCs w:val="16"/>
              </w:rPr>
              <w:t>16,591 </w:t>
            </w:r>
          </w:p>
        </w:tc>
        <w:tc>
          <w:tcPr>
            <w:tcW w:w="0" w:type="auto"/>
            <w:shd w:val="clear" w:color="auto" w:fill="FFFFFF"/>
            <w:tcMar>
              <w:top w:w="30" w:type="dxa"/>
              <w:left w:w="0" w:type="dxa"/>
              <w:bottom w:w="30" w:type="dxa"/>
              <w:right w:w="20" w:type="dxa"/>
            </w:tcMar>
            <w:vAlign w:val="center"/>
            <w:hideMark/>
          </w:tcPr>
          <w:p w14:paraId="10F961E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2D589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8ACA738" w14:textId="77777777" w:rsidR="00000000" w:rsidRDefault="00405D16">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14:paraId="2297EDA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85F9F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3D42737" w14:textId="77777777" w:rsidR="00000000" w:rsidRDefault="00405D16">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center"/>
            <w:hideMark/>
          </w:tcPr>
          <w:p w14:paraId="5CF14DA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3E1136" w14:textId="77777777" w:rsidR="00000000" w:rsidRDefault="00405D1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2707E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67071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8856A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70EED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88052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3A687B"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7C7232D" w14:textId="77777777" w:rsidR="00000000" w:rsidRDefault="00405D16">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center"/>
            <w:hideMark/>
          </w:tcPr>
          <w:p w14:paraId="5D9D7626" w14:textId="77777777" w:rsidR="00000000" w:rsidRDefault="00405D16">
            <w:pPr>
              <w:spacing w:after="100"/>
              <w:jc w:val="right"/>
              <w:rPr>
                <w:rFonts w:eastAsia="Times New Roman"/>
              </w:rPr>
            </w:pPr>
          </w:p>
        </w:tc>
      </w:tr>
      <w:tr w:rsidR="00000000" w14:paraId="1CF15327" w14:textId="77777777">
        <w:trPr>
          <w:divId w:val="1942645398"/>
        </w:trPr>
        <w:tc>
          <w:tcPr>
            <w:tcW w:w="0" w:type="auto"/>
            <w:gridSpan w:val="3"/>
            <w:shd w:val="clear" w:color="auto" w:fill="CCEEFF"/>
            <w:tcMar>
              <w:top w:w="30" w:type="dxa"/>
              <w:left w:w="20" w:type="dxa"/>
              <w:bottom w:w="30" w:type="dxa"/>
              <w:right w:w="20" w:type="dxa"/>
            </w:tcMar>
            <w:vAlign w:val="center"/>
            <w:hideMark/>
          </w:tcPr>
          <w:p w14:paraId="7DA540B4" w14:textId="77777777" w:rsidR="00000000" w:rsidRDefault="00405D16">
            <w:pPr>
              <w:spacing w:after="100"/>
              <w:rPr>
                <w:rFonts w:eastAsia="Times New Roman"/>
              </w:rPr>
            </w:pPr>
            <w:r>
              <w:rPr>
                <w:rFonts w:eastAsia="Times New Roman"/>
                <w:color w:val="000000"/>
                <w:sz w:val="16"/>
                <w:szCs w:val="16"/>
              </w:rPr>
              <w:t>Issuances of preferred stock</w:t>
            </w:r>
          </w:p>
        </w:tc>
        <w:tc>
          <w:tcPr>
            <w:tcW w:w="0" w:type="auto"/>
            <w:gridSpan w:val="3"/>
            <w:shd w:val="clear" w:color="auto" w:fill="CCEEFF"/>
            <w:tcMar>
              <w:top w:w="0" w:type="dxa"/>
              <w:left w:w="20" w:type="dxa"/>
              <w:bottom w:w="0" w:type="dxa"/>
              <w:right w:w="20" w:type="dxa"/>
            </w:tcMar>
            <w:vAlign w:val="center"/>
            <w:hideMark/>
          </w:tcPr>
          <w:p w14:paraId="47B0310D"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D569CB5" w14:textId="77777777" w:rsidR="00000000" w:rsidRDefault="00405D16">
            <w:pPr>
              <w:spacing w:after="100"/>
              <w:jc w:val="right"/>
              <w:rPr>
                <w:rFonts w:eastAsia="Times New Roman"/>
              </w:rPr>
            </w:pPr>
            <w:r>
              <w:rPr>
                <w:rFonts w:eastAsia="Times New Roman"/>
                <w:color w:val="000000"/>
                <w:sz w:val="16"/>
                <w:szCs w:val="16"/>
              </w:rPr>
              <w:t>125,000 </w:t>
            </w:r>
          </w:p>
        </w:tc>
        <w:tc>
          <w:tcPr>
            <w:tcW w:w="0" w:type="auto"/>
            <w:shd w:val="clear" w:color="auto" w:fill="CCEEFF"/>
            <w:tcMar>
              <w:top w:w="30" w:type="dxa"/>
              <w:left w:w="0" w:type="dxa"/>
              <w:bottom w:w="30" w:type="dxa"/>
              <w:right w:w="20" w:type="dxa"/>
            </w:tcMar>
            <w:vAlign w:val="center"/>
            <w:hideMark/>
          </w:tcPr>
          <w:p w14:paraId="0EC6B58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2FCE5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D0BE3ED" w14:textId="77777777" w:rsidR="00000000" w:rsidRDefault="00405D16">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14:paraId="2C33F2E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FA9921" w14:textId="77777777" w:rsidR="00000000" w:rsidRDefault="00405D1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D1619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99356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A23A3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A0E1C5"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B021178" w14:textId="77777777" w:rsidR="00000000" w:rsidRDefault="00405D16">
            <w:pPr>
              <w:spacing w:after="100"/>
              <w:jc w:val="right"/>
              <w:rPr>
                <w:rFonts w:eastAsia="Times New Roman"/>
              </w:rPr>
            </w:pPr>
            <w:r>
              <w:rPr>
                <w:rFonts w:eastAsia="Times New Roman"/>
                <w:color w:val="000000"/>
                <w:sz w:val="16"/>
                <w:szCs w:val="16"/>
              </w:rPr>
              <w:t>121 </w:t>
            </w:r>
          </w:p>
        </w:tc>
        <w:tc>
          <w:tcPr>
            <w:tcW w:w="0" w:type="auto"/>
            <w:shd w:val="clear" w:color="auto" w:fill="CCEEFF"/>
            <w:tcMar>
              <w:top w:w="30" w:type="dxa"/>
              <w:left w:w="0" w:type="dxa"/>
              <w:bottom w:w="30" w:type="dxa"/>
              <w:right w:w="20" w:type="dxa"/>
            </w:tcMar>
            <w:vAlign w:val="center"/>
            <w:hideMark/>
          </w:tcPr>
          <w:p w14:paraId="2964FD5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57B6CB" w14:textId="77777777" w:rsidR="00000000" w:rsidRDefault="00405D1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0C487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44B1F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6CBF3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F0F42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D26A9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4FB2D0"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18BC9DB" w14:textId="77777777" w:rsidR="00000000" w:rsidRDefault="00405D16">
            <w:pPr>
              <w:spacing w:after="100"/>
              <w:jc w:val="right"/>
              <w:rPr>
                <w:rFonts w:eastAsia="Times New Roman"/>
              </w:rPr>
            </w:pPr>
            <w:r>
              <w:rPr>
                <w:rFonts w:eastAsia="Times New Roman"/>
                <w:color w:val="000000"/>
                <w:sz w:val="16"/>
                <w:szCs w:val="16"/>
              </w:rPr>
              <w:t>121 </w:t>
            </w:r>
          </w:p>
        </w:tc>
        <w:tc>
          <w:tcPr>
            <w:tcW w:w="0" w:type="auto"/>
            <w:shd w:val="clear" w:color="auto" w:fill="CCEEFF"/>
            <w:tcMar>
              <w:top w:w="30" w:type="dxa"/>
              <w:left w:w="0" w:type="dxa"/>
              <w:bottom w:w="30" w:type="dxa"/>
              <w:right w:w="20" w:type="dxa"/>
            </w:tcMar>
            <w:vAlign w:val="center"/>
            <w:hideMark/>
          </w:tcPr>
          <w:p w14:paraId="6ACB866F" w14:textId="77777777" w:rsidR="00000000" w:rsidRDefault="00405D16">
            <w:pPr>
              <w:spacing w:after="100"/>
              <w:jc w:val="right"/>
              <w:rPr>
                <w:rFonts w:eastAsia="Times New Roman"/>
              </w:rPr>
            </w:pPr>
          </w:p>
        </w:tc>
      </w:tr>
      <w:tr w:rsidR="00000000" w14:paraId="55F627D9" w14:textId="77777777">
        <w:trPr>
          <w:divId w:val="1942645398"/>
        </w:trPr>
        <w:tc>
          <w:tcPr>
            <w:tcW w:w="0" w:type="auto"/>
            <w:gridSpan w:val="3"/>
            <w:shd w:val="clear" w:color="auto" w:fill="FFFFFF"/>
            <w:tcMar>
              <w:top w:w="30" w:type="dxa"/>
              <w:left w:w="20" w:type="dxa"/>
              <w:bottom w:w="30" w:type="dxa"/>
              <w:right w:w="20" w:type="dxa"/>
            </w:tcMar>
            <w:vAlign w:val="center"/>
            <w:hideMark/>
          </w:tcPr>
          <w:p w14:paraId="710FC3BA" w14:textId="77777777" w:rsidR="00000000" w:rsidRDefault="00405D16">
            <w:pPr>
              <w:spacing w:after="100"/>
              <w:rPr>
                <w:rFonts w:eastAsia="Times New Roman"/>
              </w:rPr>
            </w:pPr>
            <w:r>
              <w:rPr>
                <w:rFonts w:eastAsia="Times New Roman"/>
                <w:color w:val="000000"/>
                <w:sz w:val="16"/>
                <w:szCs w:val="16"/>
              </w:rPr>
              <w:t>Compensation expense for restricted stock units and stock options</w:t>
            </w:r>
          </w:p>
        </w:tc>
        <w:tc>
          <w:tcPr>
            <w:tcW w:w="0" w:type="auto"/>
            <w:gridSpan w:val="3"/>
            <w:shd w:val="clear" w:color="auto" w:fill="FFFFFF"/>
            <w:tcMar>
              <w:top w:w="0" w:type="dxa"/>
              <w:left w:w="20" w:type="dxa"/>
              <w:bottom w:w="0" w:type="dxa"/>
              <w:right w:w="20" w:type="dxa"/>
            </w:tcMar>
            <w:vAlign w:val="center"/>
            <w:hideMark/>
          </w:tcPr>
          <w:p w14:paraId="04D49822"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DCF0A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08CEC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F22E7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ED7A9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84301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35E8A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2A2F2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5F834C"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3CC0D1" w14:textId="77777777" w:rsidR="00000000" w:rsidRDefault="00405D16">
            <w:pPr>
              <w:spacing w:after="100"/>
              <w:jc w:val="right"/>
              <w:rPr>
                <w:rFonts w:eastAsia="Times New Roman"/>
              </w:rPr>
            </w:pPr>
            <w:r>
              <w:rPr>
                <w:rFonts w:eastAsia="Times New Roman"/>
                <w:color w:val="000000"/>
                <w:sz w:val="16"/>
                <w:szCs w:val="16"/>
              </w:rPr>
              <w:t>52 </w:t>
            </w:r>
          </w:p>
        </w:tc>
        <w:tc>
          <w:tcPr>
            <w:tcW w:w="0" w:type="auto"/>
            <w:shd w:val="clear" w:color="auto" w:fill="FFFFFF"/>
            <w:tcMar>
              <w:top w:w="30" w:type="dxa"/>
              <w:left w:w="0" w:type="dxa"/>
              <w:bottom w:w="30" w:type="dxa"/>
              <w:right w:w="20" w:type="dxa"/>
            </w:tcMar>
            <w:vAlign w:val="bottom"/>
            <w:hideMark/>
          </w:tcPr>
          <w:p w14:paraId="0DBDF35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2CE2D0" w14:textId="77777777" w:rsidR="00000000" w:rsidRDefault="00405D1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0624B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BB9AE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329DF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E38F0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F21DF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7539B7"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341446" w14:textId="77777777" w:rsidR="00000000" w:rsidRDefault="00405D16">
            <w:pPr>
              <w:spacing w:after="100"/>
              <w:jc w:val="right"/>
              <w:rPr>
                <w:rFonts w:eastAsia="Times New Roman"/>
              </w:rPr>
            </w:pPr>
            <w:r>
              <w:rPr>
                <w:rFonts w:eastAsia="Times New Roman"/>
                <w:color w:val="000000"/>
                <w:sz w:val="16"/>
                <w:szCs w:val="16"/>
              </w:rPr>
              <w:t>52 </w:t>
            </w:r>
          </w:p>
        </w:tc>
        <w:tc>
          <w:tcPr>
            <w:tcW w:w="0" w:type="auto"/>
            <w:shd w:val="clear" w:color="auto" w:fill="FFFFFF"/>
            <w:tcMar>
              <w:top w:w="30" w:type="dxa"/>
              <w:left w:w="0" w:type="dxa"/>
              <w:bottom w:w="30" w:type="dxa"/>
              <w:right w:w="20" w:type="dxa"/>
            </w:tcMar>
            <w:vAlign w:val="bottom"/>
            <w:hideMark/>
          </w:tcPr>
          <w:p w14:paraId="65FA7F65" w14:textId="77777777" w:rsidR="00000000" w:rsidRDefault="00405D16">
            <w:pPr>
              <w:spacing w:after="100"/>
              <w:jc w:val="right"/>
              <w:rPr>
                <w:rFonts w:eastAsia="Times New Roman"/>
              </w:rPr>
            </w:pPr>
          </w:p>
        </w:tc>
      </w:tr>
      <w:tr w:rsidR="00405D16" w14:paraId="661C0B53" w14:textId="77777777">
        <w:trPr>
          <w:divId w:val="1942645398"/>
        </w:trPr>
        <w:tc>
          <w:tcPr>
            <w:tcW w:w="0" w:type="auto"/>
            <w:gridSpan w:val="3"/>
            <w:shd w:val="clear" w:color="auto" w:fill="CCEEFF"/>
            <w:tcMar>
              <w:top w:w="30" w:type="dxa"/>
              <w:left w:w="20" w:type="dxa"/>
              <w:bottom w:w="30" w:type="dxa"/>
              <w:right w:w="20" w:type="dxa"/>
            </w:tcMar>
            <w:vAlign w:val="center"/>
            <w:hideMark/>
          </w:tcPr>
          <w:p w14:paraId="5F6387B9" w14:textId="77777777" w:rsidR="00000000" w:rsidRDefault="00405D16">
            <w:pPr>
              <w:spacing w:after="100"/>
              <w:rPr>
                <w:rFonts w:eastAsia="Times New Roman"/>
              </w:rPr>
            </w:pPr>
            <w:r>
              <w:rPr>
                <w:rFonts w:eastAsia="Times New Roman"/>
                <w:b/>
                <w:bCs/>
                <w:color w:val="000000"/>
                <w:sz w:val="16"/>
                <w:szCs w:val="16"/>
              </w:rPr>
              <w:t>Balance as of September 30, 2020</w:t>
            </w:r>
          </w:p>
        </w:tc>
        <w:tc>
          <w:tcPr>
            <w:tcW w:w="0" w:type="auto"/>
            <w:gridSpan w:val="3"/>
            <w:shd w:val="clear" w:color="auto" w:fill="CCEEFF"/>
            <w:tcMar>
              <w:top w:w="0" w:type="dxa"/>
              <w:left w:w="20" w:type="dxa"/>
              <w:bottom w:w="0" w:type="dxa"/>
              <w:right w:w="20" w:type="dxa"/>
            </w:tcMar>
            <w:vAlign w:val="center"/>
            <w:hideMark/>
          </w:tcPr>
          <w:p w14:paraId="085AA086" w14:textId="77777777" w:rsidR="00000000" w:rsidRDefault="00405D16">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7CCDFC4" w14:textId="77777777" w:rsidR="00000000" w:rsidRDefault="00405D16">
            <w:pPr>
              <w:spacing w:after="100"/>
              <w:jc w:val="right"/>
              <w:rPr>
                <w:rFonts w:eastAsia="Times New Roman"/>
              </w:rPr>
            </w:pPr>
            <w:r>
              <w:rPr>
                <w:rFonts w:eastAsia="Times New Roman"/>
                <w:color w:val="000000"/>
                <w:sz w:val="16"/>
                <w:szCs w:val="16"/>
              </w:rPr>
              <w:t>5,475,000 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9B126B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260887"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A21EDAC"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2A7B606" w14:textId="77777777" w:rsidR="00000000" w:rsidRDefault="00405D16">
            <w:pPr>
              <w:spacing w:after="100"/>
              <w:jc w:val="right"/>
              <w:rPr>
                <w:rFonts w:eastAsia="Times New Roman"/>
              </w:rPr>
            </w:pPr>
            <w:r>
              <w:rPr>
                <w:rFonts w:eastAsia="Times New Roman"/>
                <w:color w:val="000000"/>
                <w:sz w:val="16"/>
                <w:szCs w:val="16"/>
              </w:rPr>
              <w:t>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6FEFC8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2A2301" w14:textId="77777777" w:rsidR="00000000" w:rsidRDefault="00405D1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E8DA90B" w14:textId="77777777" w:rsidR="00000000" w:rsidRDefault="00405D16">
            <w:pPr>
              <w:spacing w:after="100"/>
              <w:jc w:val="right"/>
              <w:rPr>
                <w:rFonts w:eastAsia="Times New Roman"/>
              </w:rPr>
            </w:pPr>
            <w:r>
              <w:rPr>
                <w:rFonts w:eastAsia="Times New Roman"/>
                <w:color w:val="000000"/>
                <w:sz w:val="16"/>
                <w:szCs w:val="16"/>
              </w:rPr>
              <w:t>678,318,329 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B9AD00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2A9B5E"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697394A"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27DCB6A" w14:textId="77777777" w:rsidR="00000000" w:rsidRDefault="00405D16">
            <w:pPr>
              <w:spacing w:after="100"/>
              <w:jc w:val="right"/>
              <w:rPr>
                <w:rFonts w:eastAsia="Times New Roman"/>
              </w:rPr>
            </w:pPr>
            <w:r>
              <w:rPr>
                <w:rFonts w:eastAsia="Times New Roman"/>
                <w:color w:val="000000"/>
                <w:sz w:val="16"/>
                <w:szCs w:val="16"/>
              </w:rPr>
              <w:t>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EF15AF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3C0EE0"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71369FC"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ED5D4BE" w14:textId="77777777" w:rsidR="00000000" w:rsidRDefault="00405D16">
            <w:pPr>
              <w:spacing w:after="100"/>
              <w:jc w:val="right"/>
              <w:rPr>
                <w:rFonts w:eastAsia="Times New Roman"/>
              </w:rPr>
            </w:pPr>
            <w:r>
              <w:rPr>
                <w:rFonts w:eastAsia="Times New Roman"/>
                <w:color w:val="000000"/>
                <w:sz w:val="16"/>
                <w:szCs w:val="16"/>
              </w:rPr>
              <w:t>33,793 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C4F61F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6D9AD2"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3D9215C"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BE1B3AB" w14:textId="77777777" w:rsidR="00000000" w:rsidRDefault="00405D16">
            <w:pPr>
              <w:spacing w:after="100"/>
              <w:jc w:val="right"/>
              <w:rPr>
                <w:rFonts w:eastAsia="Times New Roman"/>
              </w:rPr>
            </w:pPr>
            <w:r>
              <w:rPr>
                <w:rFonts w:eastAsia="Times New Roman"/>
                <w:color w:val="000000"/>
                <w:sz w:val="16"/>
                <w:szCs w:val="16"/>
              </w:rPr>
              <w:t>37,653 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CB67A8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86FA29"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837D96D"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19CFEF7" w14:textId="77777777" w:rsidR="00000000" w:rsidRDefault="00405D16">
            <w:pPr>
              <w:spacing w:after="100"/>
              <w:jc w:val="right"/>
              <w:rPr>
                <w:rFonts w:eastAsia="Times New Roman"/>
              </w:rPr>
            </w:pPr>
            <w:r>
              <w:rPr>
                <w:rFonts w:eastAsia="Times New Roman"/>
                <w:color w:val="000000"/>
                <w:sz w:val="16"/>
                <w:szCs w:val="16"/>
              </w:rPr>
              <w:t>3,833 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EEE37C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DF86CB"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142F2FD"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0709433" w14:textId="77777777" w:rsidR="00000000" w:rsidRDefault="00405D16">
            <w:pPr>
              <w:spacing w:after="100"/>
              <w:jc w:val="right"/>
              <w:rPr>
                <w:rFonts w:eastAsia="Times New Roman"/>
              </w:rPr>
            </w:pPr>
            <w:r>
              <w:rPr>
                <w:rFonts w:eastAsia="Times New Roman"/>
                <w:color w:val="000000"/>
                <w:sz w:val="16"/>
                <w:szCs w:val="16"/>
              </w:rPr>
              <w:t>(16,862)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9F23C8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08ABE9"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0B7CB35"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5FB879E" w14:textId="77777777" w:rsidR="00000000" w:rsidRDefault="00405D16">
            <w:pPr>
              <w:spacing w:after="100"/>
              <w:jc w:val="right"/>
              <w:rPr>
                <w:rFonts w:eastAsia="Times New Roman"/>
              </w:rPr>
            </w:pPr>
            <w:r>
              <w:rPr>
                <w:rFonts w:eastAsia="Times New Roman"/>
                <w:color w:val="000000"/>
                <w:sz w:val="16"/>
                <w:szCs w:val="16"/>
              </w:rPr>
              <w:t>58,424 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D8EB0A8" w14:textId="77777777" w:rsidR="00000000" w:rsidRDefault="00405D16">
            <w:pPr>
              <w:spacing w:after="100"/>
              <w:jc w:val="right"/>
              <w:rPr>
                <w:rFonts w:eastAsia="Times New Roman"/>
              </w:rPr>
            </w:pPr>
          </w:p>
        </w:tc>
      </w:tr>
    </w:tbl>
    <w:p w14:paraId="5CEB5760" w14:textId="77777777" w:rsidR="00000000" w:rsidRDefault="00405D16">
      <w:pPr>
        <w:divId w:val="1942645398"/>
        <w:rPr>
          <w:rFonts w:eastAsia="Times New Roman"/>
        </w:rPr>
      </w:pPr>
      <w:r>
        <w:rPr>
          <w:rFonts w:eastAsia="Times New Roman"/>
          <w:color w:val="000000"/>
          <w:sz w:val="20"/>
          <w:szCs w:val="20"/>
        </w:rPr>
        <w:t>__________</w:t>
      </w:r>
    </w:p>
    <w:p w14:paraId="4B83F11D" w14:textId="77777777" w:rsidR="00000000" w:rsidRDefault="00405D16">
      <w:pPr>
        <w:ind w:hanging="360"/>
        <w:jc w:val="both"/>
        <w:divId w:val="72614623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declared dividends per share on our com</w:t>
      </w:r>
      <w:r>
        <w:rPr>
          <w:rFonts w:eastAsia="Times New Roman"/>
          <w:color w:val="000000"/>
          <w:sz w:val="16"/>
          <w:szCs w:val="16"/>
        </w:rPr>
        <w:t>mon stock of $1.20 and $0.10 in the third quarter of 2021 and 2020, respectively, and $2.00 and $0.90 in the first nine months of 2021 and 2020, respectively.</w:t>
      </w:r>
    </w:p>
    <w:tbl>
      <w:tblPr>
        <w:tblW w:w="5000" w:type="pct"/>
        <w:tblCellMar>
          <w:top w:w="15" w:type="dxa"/>
          <w:left w:w="15" w:type="dxa"/>
          <w:bottom w:w="15" w:type="dxa"/>
          <w:right w:w="15" w:type="dxa"/>
        </w:tblCellMar>
        <w:tblLook w:val="04A0" w:firstRow="1" w:lastRow="0" w:firstColumn="1" w:lastColumn="0" w:noHBand="0" w:noVBand="1"/>
      </w:tblPr>
      <w:tblGrid>
        <w:gridCol w:w="56"/>
        <w:gridCol w:w="1852"/>
        <w:gridCol w:w="36"/>
        <w:gridCol w:w="36"/>
        <w:gridCol w:w="36"/>
        <w:gridCol w:w="36"/>
        <w:gridCol w:w="36"/>
        <w:gridCol w:w="515"/>
        <w:gridCol w:w="36"/>
        <w:gridCol w:w="36"/>
        <w:gridCol w:w="36"/>
        <w:gridCol w:w="36"/>
        <w:gridCol w:w="36"/>
        <w:gridCol w:w="378"/>
        <w:gridCol w:w="36"/>
        <w:gridCol w:w="36"/>
        <w:gridCol w:w="36"/>
        <w:gridCol w:w="36"/>
        <w:gridCol w:w="36"/>
        <w:gridCol w:w="647"/>
        <w:gridCol w:w="36"/>
        <w:gridCol w:w="36"/>
        <w:gridCol w:w="36"/>
        <w:gridCol w:w="36"/>
        <w:gridCol w:w="36"/>
        <w:gridCol w:w="378"/>
        <w:gridCol w:w="36"/>
        <w:gridCol w:w="36"/>
        <w:gridCol w:w="36"/>
        <w:gridCol w:w="36"/>
        <w:gridCol w:w="36"/>
        <w:gridCol w:w="501"/>
        <w:gridCol w:w="36"/>
        <w:gridCol w:w="36"/>
        <w:gridCol w:w="36"/>
        <w:gridCol w:w="36"/>
        <w:gridCol w:w="37"/>
        <w:gridCol w:w="466"/>
        <w:gridCol w:w="36"/>
        <w:gridCol w:w="36"/>
        <w:gridCol w:w="36"/>
        <w:gridCol w:w="36"/>
        <w:gridCol w:w="38"/>
        <w:gridCol w:w="746"/>
        <w:gridCol w:w="36"/>
        <w:gridCol w:w="36"/>
        <w:gridCol w:w="36"/>
        <w:gridCol w:w="36"/>
        <w:gridCol w:w="38"/>
        <w:gridCol w:w="454"/>
        <w:gridCol w:w="36"/>
        <w:gridCol w:w="36"/>
        <w:gridCol w:w="36"/>
        <w:gridCol w:w="36"/>
        <w:gridCol w:w="38"/>
        <w:gridCol w:w="650"/>
        <w:gridCol w:w="36"/>
      </w:tblGrid>
      <w:tr w:rsidR="00000000" w14:paraId="615F223C" w14:textId="77777777">
        <w:trPr>
          <w:divId w:val="1868330845"/>
        </w:trPr>
        <w:tc>
          <w:tcPr>
            <w:tcW w:w="50" w:type="pct"/>
            <w:vAlign w:val="center"/>
            <w:hideMark/>
          </w:tcPr>
          <w:p w14:paraId="1FC5CD50" w14:textId="77777777" w:rsidR="00000000" w:rsidRDefault="00405D16">
            <w:pPr>
              <w:ind w:hanging="360"/>
              <w:jc w:val="both"/>
              <w:rPr>
                <w:rFonts w:eastAsia="Times New Roman"/>
              </w:rPr>
            </w:pPr>
          </w:p>
        </w:tc>
        <w:tc>
          <w:tcPr>
            <w:tcW w:w="1129" w:type="pct"/>
            <w:vAlign w:val="center"/>
            <w:hideMark/>
          </w:tcPr>
          <w:p w14:paraId="02623F7F" w14:textId="77777777" w:rsidR="00000000" w:rsidRDefault="00405D16">
            <w:pPr>
              <w:spacing w:after="100"/>
              <w:rPr>
                <w:rFonts w:eastAsia="Times New Roman"/>
                <w:sz w:val="20"/>
                <w:szCs w:val="20"/>
              </w:rPr>
            </w:pPr>
          </w:p>
        </w:tc>
        <w:tc>
          <w:tcPr>
            <w:tcW w:w="5" w:type="pct"/>
            <w:vAlign w:val="center"/>
            <w:hideMark/>
          </w:tcPr>
          <w:p w14:paraId="0E2A9EEA" w14:textId="77777777" w:rsidR="00000000" w:rsidRDefault="00405D16">
            <w:pPr>
              <w:spacing w:after="100"/>
              <w:rPr>
                <w:rFonts w:eastAsia="Times New Roman"/>
                <w:sz w:val="20"/>
                <w:szCs w:val="20"/>
              </w:rPr>
            </w:pPr>
          </w:p>
        </w:tc>
        <w:tc>
          <w:tcPr>
            <w:tcW w:w="5" w:type="pct"/>
            <w:vAlign w:val="center"/>
            <w:hideMark/>
          </w:tcPr>
          <w:p w14:paraId="141F3E32" w14:textId="77777777" w:rsidR="00000000" w:rsidRDefault="00405D16">
            <w:pPr>
              <w:spacing w:after="100"/>
              <w:rPr>
                <w:rFonts w:eastAsia="Times New Roman"/>
                <w:sz w:val="20"/>
                <w:szCs w:val="20"/>
              </w:rPr>
            </w:pPr>
          </w:p>
        </w:tc>
        <w:tc>
          <w:tcPr>
            <w:tcW w:w="26" w:type="pct"/>
            <w:vAlign w:val="center"/>
            <w:hideMark/>
          </w:tcPr>
          <w:p w14:paraId="0DA1BDB6" w14:textId="77777777" w:rsidR="00000000" w:rsidRDefault="00405D16">
            <w:pPr>
              <w:spacing w:after="100"/>
              <w:rPr>
                <w:rFonts w:eastAsia="Times New Roman"/>
                <w:sz w:val="20"/>
                <w:szCs w:val="20"/>
              </w:rPr>
            </w:pPr>
          </w:p>
        </w:tc>
        <w:tc>
          <w:tcPr>
            <w:tcW w:w="5" w:type="pct"/>
            <w:vAlign w:val="center"/>
            <w:hideMark/>
          </w:tcPr>
          <w:p w14:paraId="10F7B5C7" w14:textId="77777777" w:rsidR="00000000" w:rsidRDefault="00405D16">
            <w:pPr>
              <w:spacing w:after="100"/>
              <w:rPr>
                <w:rFonts w:eastAsia="Times New Roman"/>
                <w:sz w:val="20"/>
                <w:szCs w:val="20"/>
              </w:rPr>
            </w:pPr>
          </w:p>
        </w:tc>
        <w:tc>
          <w:tcPr>
            <w:tcW w:w="50" w:type="pct"/>
            <w:vAlign w:val="center"/>
            <w:hideMark/>
          </w:tcPr>
          <w:p w14:paraId="0A0551C9" w14:textId="77777777" w:rsidR="00000000" w:rsidRDefault="00405D16">
            <w:pPr>
              <w:spacing w:after="100"/>
              <w:rPr>
                <w:rFonts w:eastAsia="Times New Roman"/>
                <w:sz w:val="20"/>
                <w:szCs w:val="20"/>
              </w:rPr>
            </w:pPr>
          </w:p>
        </w:tc>
        <w:tc>
          <w:tcPr>
            <w:tcW w:w="325" w:type="pct"/>
            <w:vAlign w:val="center"/>
            <w:hideMark/>
          </w:tcPr>
          <w:p w14:paraId="091F523B" w14:textId="77777777" w:rsidR="00000000" w:rsidRDefault="00405D16">
            <w:pPr>
              <w:spacing w:after="100"/>
              <w:rPr>
                <w:rFonts w:eastAsia="Times New Roman"/>
                <w:sz w:val="20"/>
                <w:szCs w:val="20"/>
              </w:rPr>
            </w:pPr>
          </w:p>
        </w:tc>
        <w:tc>
          <w:tcPr>
            <w:tcW w:w="5" w:type="pct"/>
            <w:vAlign w:val="center"/>
            <w:hideMark/>
          </w:tcPr>
          <w:p w14:paraId="11A25C7B" w14:textId="77777777" w:rsidR="00000000" w:rsidRDefault="00405D16">
            <w:pPr>
              <w:spacing w:after="100"/>
              <w:rPr>
                <w:rFonts w:eastAsia="Times New Roman"/>
                <w:sz w:val="20"/>
                <w:szCs w:val="20"/>
              </w:rPr>
            </w:pPr>
          </w:p>
        </w:tc>
        <w:tc>
          <w:tcPr>
            <w:tcW w:w="5" w:type="pct"/>
            <w:vAlign w:val="center"/>
            <w:hideMark/>
          </w:tcPr>
          <w:p w14:paraId="1CC29342" w14:textId="77777777" w:rsidR="00000000" w:rsidRDefault="00405D16">
            <w:pPr>
              <w:spacing w:after="100"/>
              <w:rPr>
                <w:rFonts w:eastAsia="Times New Roman"/>
                <w:sz w:val="20"/>
                <w:szCs w:val="20"/>
              </w:rPr>
            </w:pPr>
          </w:p>
        </w:tc>
        <w:tc>
          <w:tcPr>
            <w:tcW w:w="26" w:type="pct"/>
            <w:vAlign w:val="center"/>
            <w:hideMark/>
          </w:tcPr>
          <w:p w14:paraId="6F9803C5" w14:textId="77777777" w:rsidR="00000000" w:rsidRDefault="00405D16">
            <w:pPr>
              <w:spacing w:after="100"/>
              <w:rPr>
                <w:rFonts w:eastAsia="Times New Roman"/>
                <w:sz w:val="20"/>
                <w:szCs w:val="20"/>
              </w:rPr>
            </w:pPr>
          </w:p>
        </w:tc>
        <w:tc>
          <w:tcPr>
            <w:tcW w:w="5" w:type="pct"/>
            <w:vAlign w:val="center"/>
            <w:hideMark/>
          </w:tcPr>
          <w:p w14:paraId="35D590A2" w14:textId="77777777" w:rsidR="00000000" w:rsidRDefault="00405D16">
            <w:pPr>
              <w:spacing w:after="100"/>
              <w:rPr>
                <w:rFonts w:eastAsia="Times New Roman"/>
                <w:sz w:val="20"/>
                <w:szCs w:val="20"/>
              </w:rPr>
            </w:pPr>
          </w:p>
        </w:tc>
        <w:tc>
          <w:tcPr>
            <w:tcW w:w="50" w:type="pct"/>
            <w:vAlign w:val="center"/>
            <w:hideMark/>
          </w:tcPr>
          <w:p w14:paraId="5D1A5843" w14:textId="77777777" w:rsidR="00000000" w:rsidRDefault="00405D16">
            <w:pPr>
              <w:spacing w:after="100"/>
              <w:rPr>
                <w:rFonts w:eastAsia="Times New Roman"/>
                <w:sz w:val="20"/>
                <w:szCs w:val="20"/>
              </w:rPr>
            </w:pPr>
          </w:p>
        </w:tc>
        <w:tc>
          <w:tcPr>
            <w:tcW w:w="244" w:type="pct"/>
            <w:vAlign w:val="center"/>
            <w:hideMark/>
          </w:tcPr>
          <w:p w14:paraId="56B8F222" w14:textId="77777777" w:rsidR="00000000" w:rsidRDefault="00405D16">
            <w:pPr>
              <w:spacing w:after="100"/>
              <w:rPr>
                <w:rFonts w:eastAsia="Times New Roman"/>
                <w:sz w:val="20"/>
                <w:szCs w:val="20"/>
              </w:rPr>
            </w:pPr>
          </w:p>
        </w:tc>
        <w:tc>
          <w:tcPr>
            <w:tcW w:w="5" w:type="pct"/>
            <w:vAlign w:val="center"/>
            <w:hideMark/>
          </w:tcPr>
          <w:p w14:paraId="102DDC7E" w14:textId="77777777" w:rsidR="00000000" w:rsidRDefault="00405D16">
            <w:pPr>
              <w:spacing w:after="100"/>
              <w:rPr>
                <w:rFonts w:eastAsia="Times New Roman"/>
                <w:sz w:val="20"/>
                <w:szCs w:val="20"/>
              </w:rPr>
            </w:pPr>
          </w:p>
        </w:tc>
        <w:tc>
          <w:tcPr>
            <w:tcW w:w="5" w:type="pct"/>
            <w:vAlign w:val="center"/>
            <w:hideMark/>
          </w:tcPr>
          <w:p w14:paraId="4A7094F4" w14:textId="77777777" w:rsidR="00000000" w:rsidRDefault="00405D16">
            <w:pPr>
              <w:spacing w:after="100"/>
              <w:rPr>
                <w:rFonts w:eastAsia="Times New Roman"/>
                <w:sz w:val="20"/>
                <w:szCs w:val="20"/>
              </w:rPr>
            </w:pPr>
          </w:p>
        </w:tc>
        <w:tc>
          <w:tcPr>
            <w:tcW w:w="26" w:type="pct"/>
            <w:vAlign w:val="center"/>
            <w:hideMark/>
          </w:tcPr>
          <w:p w14:paraId="5C0F43E8" w14:textId="77777777" w:rsidR="00000000" w:rsidRDefault="00405D16">
            <w:pPr>
              <w:spacing w:after="100"/>
              <w:rPr>
                <w:rFonts w:eastAsia="Times New Roman"/>
                <w:sz w:val="20"/>
                <w:szCs w:val="20"/>
              </w:rPr>
            </w:pPr>
          </w:p>
        </w:tc>
        <w:tc>
          <w:tcPr>
            <w:tcW w:w="5" w:type="pct"/>
            <w:vAlign w:val="center"/>
            <w:hideMark/>
          </w:tcPr>
          <w:p w14:paraId="50AD115E" w14:textId="77777777" w:rsidR="00000000" w:rsidRDefault="00405D16">
            <w:pPr>
              <w:spacing w:after="100"/>
              <w:rPr>
                <w:rFonts w:eastAsia="Times New Roman"/>
                <w:sz w:val="20"/>
                <w:szCs w:val="20"/>
              </w:rPr>
            </w:pPr>
          </w:p>
        </w:tc>
        <w:tc>
          <w:tcPr>
            <w:tcW w:w="50" w:type="pct"/>
            <w:vAlign w:val="center"/>
            <w:hideMark/>
          </w:tcPr>
          <w:p w14:paraId="1A80272E" w14:textId="77777777" w:rsidR="00000000" w:rsidRDefault="00405D16">
            <w:pPr>
              <w:spacing w:after="100"/>
              <w:rPr>
                <w:rFonts w:eastAsia="Times New Roman"/>
                <w:sz w:val="20"/>
                <w:szCs w:val="20"/>
              </w:rPr>
            </w:pPr>
          </w:p>
        </w:tc>
        <w:tc>
          <w:tcPr>
            <w:tcW w:w="405" w:type="pct"/>
            <w:vAlign w:val="center"/>
            <w:hideMark/>
          </w:tcPr>
          <w:p w14:paraId="416BD5FE" w14:textId="77777777" w:rsidR="00000000" w:rsidRDefault="00405D16">
            <w:pPr>
              <w:spacing w:after="100"/>
              <w:rPr>
                <w:rFonts w:eastAsia="Times New Roman"/>
                <w:sz w:val="20"/>
                <w:szCs w:val="20"/>
              </w:rPr>
            </w:pPr>
          </w:p>
        </w:tc>
        <w:tc>
          <w:tcPr>
            <w:tcW w:w="5" w:type="pct"/>
            <w:vAlign w:val="center"/>
            <w:hideMark/>
          </w:tcPr>
          <w:p w14:paraId="60FD59A6" w14:textId="77777777" w:rsidR="00000000" w:rsidRDefault="00405D16">
            <w:pPr>
              <w:spacing w:after="100"/>
              <w:rPr>
                <w:rFonts w:eastAsia="Times New Roman"/>
                <w:sz w:val="20"/>
                <w:szCs w:val="20"/>
              </w:rPr>
            </w:pPr>
          </w:p>
        </w:tc>
        <w:tc>
          <w:tcPr>
            <w:tcW w:w="5" w:type="pct"/>
            <w:vAlign w:val="center"/>
            <w:hideMark/>
          </w:tcPr>
          <w:p w14:paraId="7265101D" w14:textId="77777777" w:rsidR="00000000" w:rsidRDefault="00405D16">
            <w:pPr>
              <w:spacing w:after="100"/>
              <w:rPr>
                <w:rFonts w:eastAsia="Times New Roman"/>
                <w:sz w:val="20"/>
                <w:szCs w:val="20"/>
              </w:rPr>
            </w:pPr>
          </w:p>
        </w:tc>
        <w:tc>
          <w:tcPr>
            <w:tcW w:w="26" w:type="pct"/>
            <w:vAlign w:val="center"/>
            <w:hideMark/>
          </w:tcPr>
          <w:p w14:paraId="2A282E6F" w14:textId="77777777" w:rsidR="00000000" w:rsidRDefault="00405D16">
            <w:pPr>
              <w:spacing w:after="100"/>
              <w:rPr>
                <w:rFonts w:eastAsia="Times New Roman"/>
                <w:sz w:val="20"/>
                <w:szCs w:val="20"/>
              </w:rPr>
            </w:pPr>
          </w:p>
        </w:tc>
        <w:tc>
          <w:tcPr>
            <w:tcW w:w="5" w:type="pct"/>
            <w:vAlign w:val="center"/>
            <w:hideMark/>
          </w:tcPr>
          <w:p w14:paraId="628A2294" w14:textId="77777777" w:rsidR="00000000" w:rsidRDefault="00405D16">
            <w:pPr>
              <w:spacing w:after="100"/>
              <w:rPr>
                <w:rFonts w:eastAsia="Times New Roman"/>
                <w:sz w:val="20"/>
                <w:szCs w:val="20"/>
              </w:rPr>
            </w:pPr>
          </w:p>
        </w:tc>
        <w:tc>
          <w:tcPr>
            <w:tcW w:w="50" w:type="pct"/>
            <w:vAlign w:val="center"/>
            <w:hideMark/>
          </w:tcPr>
          <w:p w14:paraId="685D61D4" w14:textId="77777777" w:rsidR="00000000" w:rsidRDefault="00405D16">
            <w:pPr>
              <w:spacing w:after="100"/>
              <w:rPr>
                <w:rFonts w:eastAsia="Times New Roman"/>
                <w:sz w:val="20"/>
                <w:szCs w:val="20"/>
              </w:rPr>
            </w:pPr>
          </w:p>
        </w:tc>
        <w:tc>
          <w:tcPr>
            <w:tcW w:w="244" w:type="pct"/>
            <w:vAlign w:val="center"/>
            <w:hideMark/>
          </w:tcPr>
          <w:p w14:paraId="617EE897" w14:textId="77777777" w:rsidR="00000000" w:rsidRDefault="00405D16">
            <w:pPr>
              <w:spacing w:after="100"/>
              <w:rPr>
                <w:rFonts w:eastAsia="Times New Roman"/>
                <w:sz w:val="20"/>
                <w:szCs w:val="20"/>
              </w:rPr>
            </w:pPr>
          </w:p>
        </w:tc>
        <w:tc>
          <w:tcPr>
            <w:tcW w:w="5" w:type="pct"/>
            <w:vAlign w:val="center"/>
            <w:hideMark/>
          </w:tcPr>
          <w:p w14:paraId="5CADDC3E" w14:textId="77777777" w:rsidR="00000000" w:rsidRDefault="00405D16">
            <w:pPr>
              <w:spacing w:after="100"/>
              <w:rPr>
                <w:rFonts w:eastAsia="Times New Roman"/>
                <w:sz w:val="20"/>
                <w:szCs w:val="20"/>
              </w:rPr>
            </w:pPr>
          </w:p>
        </w:tc>
        <w:tc>
          <w:tcPr>
            <w:tcW w:w="5" w:type="pct"/>
            <w:vAlign w:val="center"/>
            <w:hideMark/>
          </w:tcPr>
          <w:p w14:paraId="14E72C3D" w14:textId="77777777" w:rsidR="00000000" w:rsidRDefault="00405D16">
            <w:pPr>
              <w:spacing w:after="100"/>
              <w:rPr>
                <w:rFonts w:eastAsia="Times New Roman"/>
                <w:sz w:val="20"/>
                <w:szCs w:val="20"/>
              </w:rPr>
            </w:pPr>
          </w:p>
        </w:tc>
        <w:tc>
          <w:tcPr>
            <w:tcW w:w="26" w:type="pct"/>
            <w:vAlign w:val="center"/>
            <w:hideMark/>
          </w:tcPr>
          <w:p w14:paraId="0398E15A" w14:textId="77777777" w:rsidR="00000000" w:rsidRDefault="00405D16">
            <w:pPr>
              <w:spacing w:after="100"/>
              <w:rPr>
                <w:rFonts w:eastAsia="Times New Roman"/>
                <w:sz w:val="20"/>
                <w:szCs w:val="20"/>
              </w:rPr>
            </w:pPr>
          </w:p>
        </w:tc>
        <w:tc>
          <w:tcPr>
            <w:tcW w:w="5" w:type="pct"/>
            <w:vAlign w:val="center"/>
            <w:hideMark/>
          </w:tcPr>
          <w:p w14:paraId="1B09EE39" w14:textId="77777777" w:rsidR="00000000" w:rsidRDefault="00405D16">
            <w:pPr>
              <w:spacing w:after="100"/>
              <w:rPr>
                <w:rFonts w:eastAsia="Times New Roman"/>
                <w:sz w:val="20"/>
                <w:szCs w:val="20"/>
              </w:rPr>
            </w:pPr>
          </w:p>
        </w:tc>
        <w:tc>
          <w:tcPr>
            <w:tcW w:w="50" w:type="pct"/>
            <w:vAlign w:val="center"/>
            <w:hideMark/>
          </w:tcPr>
          <w:p w14:paraId="6704C0D8" w14:textId="77777777" w:rsidR="00000000" w:rsidRDefault="00405D16">
            <w:pPr>
              <w:spacing w:after="100"/>
              <w:rPr>
                <w:rFonts w:eastAsia="Times New Roman"/>
                <w:sz w:val="20"/>
                <w:szCs w:val="20"/>
              </w:rPr>
            </w:pPr>
          </w:p>
        </w:tc>
        <w:tc>
          <w:tcPr>
            <w:tcW w:w="317" w:type="pct"/>
            <w:vAlign w:val="center"/>
            <w:hideMark/>
          </w:tcPr>
          <w:p w14:paraId="3C670AE4" w14:textId="77777777" w:rsidR="00000000" w:rsidRDefault="00405D16">
            <w:pPr>
              <w:spacing w:after="100"/>
              <w:rPr>
                <w:rFonts w:eastAsia="Times New Roman"/>
                <w:sz w:val="20"/>
                <w:szCs w:val="20"/>
              </w:rPr>
            </w:pPr>
          </w:p>
        </w:tc>
        <w:tc>
          <w:tcPr>
            <w:tcW w:w="5" w:type="pct"/>
            <w:vAlign w:val="center"/>
            <w:hideMark/>
          </w:tcPr>
          <w:p w14:paraId="5819A04C" w14:textId="77777777" w:rsidR="00000000" w:rsidRDefault="00405D16">
            <w:pPr>
              <w:spacing w:after="100"/>
              <w:rPr>
                <w:rFonts w:eastAsia="Times New Roman"/>
                <w:sz w:val="20"/>
                <w:szCs w:val="20"/>
              </w:rPr>
            </w:pPr>
          </w:p>
        </w:tc>
        <w:tc>
          <w:tcPr>
            <w:tcW w:w="5" w:type="pct"/>
            <w:vAlign w:val="center"/>
            <w:hideMark/>
          </w:tcPr>
          <w:p w14:paraId="6A276AC9" w14:textId="77777777" w:rsidR="00000000" w:rsidRDefault="00405D16">
            <w:pPr>
              <w:spacing w:after="100"/>
              <w:rPr>
                <w:rFonts w:eastAsia="Times New Roman"/>
                <w:sz w:val="20"/>
                <w:szCs w:val="20"/>
              </w:rPr>
            </w:pPr>
          </w:p>
        </w:tc>
        <w:tc>
          <w:tcPr>
            <w:tcW w:w="26" w:type="pct"/>
            <w:vAlign w:val="center"/>
            <w:hideMark/>
          </w:tcPr>
          <w:p w14:paraId="05387F6F" w14:textId="77777777" w:rsidR="00000000" w:rsidRDefault="00405D16">
            <w:pPr>
              <w:spacing w:after="100"/>
              <w:rPr>
                <w:rFonts w:eastAsia="Times New Roman"/>
                <w:sz w:val="20"/>
                <w:szCs w:val="20"/>
              </w:rPr>
            </w:pPr>
          </w:p>
        </w:tc>
        <w:tc>
          <w:tcPr>
            <w:tcW w:w="5" w:type="pct"/>
            <w:vAlign w:val="center"/>
            <w:hideMark/>
          </w:tcPr>
          <w:p w14:paraId="637D73B4" w14:textId="77777777" w:rsidR="00000000" w:rsidRDefault="00405D16">
            <w:pPr>
              <w:spacing w:after="100"/>
              <w:rPr>
                <w:rFonts w:eastAsia="Times New Roman"/>
                <w:sz w:val="20"/>
                <w:szCs w:val="20"/>
              </w:rPr>
            </w:pPr>
          </w:p>
        </w:tc>
        <w:tc>
          <w:tcPr>
            <w:tcW w:w="50" w:type="pct"/>
            <w:vAlign w:val="center"/>
            <w:hideMark/>
          </w:tcPr>
          <w:p w14:paraId="5ECCAAF0" w14:textId="77777777" w:rsidR="00000000" w:rsidRDefault="00405D16">
            <w:pPr>
              <w:spacing w:after="100"/>
              <w:rPr>
                <w:rFonts w:eastAsia="Times New Roman"/>
                <w:sz w:val="20"/>
                <w:szCs w:val="20"/>
              </w:rPr>
            </w:pPr>
          </w:p>
        </w:tc>
        <w:tc>
          <w:tcPr>
            <w:tcW w:w="295" w:type="pct"/>
            <w:vAlign w:val="center"/>
            <w:hideMark/>
          </w:tcPr>
          <w:p w14:paraId="6CC69E43" w14:textId="77777777" w:rsidR="00000000" w:rsidRDefault="00405D16">
            <w:pPr>
              <w:spacing w:after="100"/>
              <w:rPr>
                <w:rFonts w:eastAsia="Times New Roman"/>
                <w:sz w:val="20"/>
                <w:szCs w:val="20"/>
              </w:rPr>
            </w:pPr>
          </w:p>
        </w:tc>
        <w:tc>
          <w:tcPr>
            <w:tcW w:w="5" w:type="pct"/>
            <w:vAlign w:val="center"/>
            <w:hideMark/>
          </w:tcPr>
          <w:p w14:paraId="1AB271D2" w14:textId="77777777" w:rsidR="00000000" w:rsidRDefault="00405D16">
            <w:pPr>
              <w:spacing w:after="100"/>
              <w:rPr>
                <w:rFonts w:eastAsia="Times New Roman"/>
                <w:sz w:val="20"/>
                <w:szCs w:val="20"/>
              </w:rPr>
            </w:pPr>
          </w:p>
        </w:tc>
        <w:tc>
          <w:tcPr>
            <w:tcW w:w="5" w:type="pct"/>
            <w:vAlign w:val="center"/>
            <w:hideMark/>
          </w:tcPr>
          <w:p w14:paraId="4AC533F8" w14:textId="77777777" w:rsidR="00000000" w:rsidRDefault="00405D16">
            <w:pPr>
              <w:spacing w:after="100"/>
              <w:rPr>
                <w:rFonts w:eastAsia="Times New Roman"/>
                <w:sz w:val="20"/>
                <w:szCs w:val="20"/>
              </w:rPr>
            </w:pPr>
          </w:p>
        </w:tc>
        <w:tc>
          <w:tcPr>
            <w:tcW w:w="26" w:type="pct"/>
            <w:vAlign w:val="center"/>
            <w:hideMark/>
          </w:tcPr>
          <w:p w14:paraId="0A679128" w14:textId="77777777" w:rsidR="00000000" w:rsidRDefault="00405D16">
            <w:pPr>
              <w:spacing w:after="100"/>
              <w:rPr>
                <w:rFonts w:eastAsia="Times New Roman"/>
                <w:sz w:val="20"/>
                <w:szCs w:val="20"/>
              </w:rPr>
            </w:pPr>
          </w:p>
        </w:tc>
        <w:tc>
          <w:tcPr>
            <w:tcW w:w="5" w:type="pct"/>
            <w:vAlign w:val="center"/>
            <w:hideMark/>
          </w:tcPr>
          <w:p w14:paraId="423859C3" w14:textId="77777777" w:rsidR="00000000" w:rsidRDefault="00405D16">
            <w:pPr>
              <w:spacing w:after="100"/>
              <w:rPr>
                <w:rFonts w:eastAsia="Times New Roman"/>
                <w:sz w:val="20"/>
                <w:szCs w:val="20"/>
              </w:rPr>
            </w:pPr>
          </w:p>
        </w:tc>
        <w:tc>
          <w:tcPr>
            <w:tcW w:w="50" w:type="pct"/>
            <w:vAlign w:val="center"/>
            <w:hideMark/>
          </w:tcPr>
          <w:p w14:paraId="06D86A74" w14:textId="77777777" w:rsidR="00000000" w:rsidRDefault="00405D16">
            <w:pPr>
              <w:spacing w:after="100"/>
              <w:rPr>
                <w:rFonts w:eastAsia="Times New Roman"/>
                <w:sz w:val="20"/>
                <w:szCs w:val="20"/>
              </w:rPr>
            </w:pPr>
          </w:p>
        </w:tc>
        <w:tc>
          <w:tcPr>
            <w:tcW w:w="464" w:type="pct"/>
            <w:vAlign w:val="center"/>
            <w:hideMark/>
          </w:tcPr>
          <w:p w14:paraId="3778AB19" w14:textId="77777777" w:rsidR="00000000" w:rsidRDefault="00405D16">
            <w:pPr>
              <w:spacing w:after="100"/>
              <w:rPr>
                <w:rFonts w:eastAsia="Times New Roman"/>
                <w:sz w:val="20"/>
                <w:szCs w:val="20"/>
              </w:rPr>
            </w:pPr>
          </w:p>
        </w:tc>
        <w:tc>
          <w:tcPr>
            <w:tcW w:w="5" w:type="pct"/>
            <w:vAlign w:val="center"/>
            <w:hideMark/>
          </w:tcPr>
          <w:p w14:paraId="2B48B872" w14:textId="77777777" w:rsidR="00000000" w:rsidRDefault="00405D16">
            <w:pPr>
              <w:spacing w:after="100"/>
              <w:rPr>
                <w:rFonts w:eastAsia="Times New Roman"/>
                <w:sz w:val="20"/>
                <w:szCs w:val="20"/>
              </w:rPr>
            </w:pPr>
          </w:p>
        </w:tc>
        <w:tc>
          <w:tcPr>
            <w:tcW w:w="5" w:type="pct"/>
            <w:vAlign w:val="center"/>
            <w:hideMark/>
          </w:tcPr>
          <w:p w14:paraId="1FD8C981" w14:textId="77777777" w:rsidR="00000000" w:rsidRDefault="00405D16">
            <w:pPr>
              <w:spacing w:after="100"/>
              <w:rPr>
                <w:rFonts w:eastAsia="Times New Roman"/>
                <w:sz w:val="20"/>
                <w:szCs w:val="20"/>
              </w:rPr>
            </w:pPr>
          </w:p>
        </w:tc>
        <w:tc>
          <w:tcPr>
            <w:tcW w:w="26" w:type="pct"/>
            <w:vAlign w:val="center"/>
            <w:hideMark/>
          </w:tcPr>
          <w:p w14:paraId="5AB71667" w14:textId="77777777" w:rsidR="00000000" w:rsidRDefault="00405D16">
            <w:pPr>
              <w:spacing w:after="100"/>
              <w:rPr>
                <w:rFonts w:eastAsia="Times New Roman"/>
                <w:sz w:val="20"/>
                <w:szCs w:val="20"/>
              </w:rPr>
            </w:pPr>
          </w:p>
        </w:tc>
        <w:tc>
          <w:tcPr>
            <w:tcW w:w="5" w:type="pct"/>
            <w:vAlign w:val="center"/>
            <w:hideMark/>
          </w:tcPr>
          <w:p w14:paraId="3CE364A1" w14:textId="77777777" w:rsidR="00000000" w:rsidRDefault="00405D16">
            <w:pPr>
              <w:spacing w:after="100"/>
              <w:rPr>
                <w:rFonts w:eastAsia="Times New Roman"/>
                <w:sz w:val="20"/>
                <w:szCs w:val="20"/>
              </w:rPr>
            </w:pPr>
          </w:p>
        </w:tc>
        <w:tc>
          <w:tcPr>
            <w:tcW w:w="50" w:type="pct"/>
            <w:vAlign w:val="center"/>
            <w:hideMark/>
          </w:tcPr>
          <w:p w14:paraId="7A984DF3" w14:textId="77777777" w:rsidR="00000000" w:rsidRDefault="00405D16">
            <w:pPr>
              <w:spacing w:after="100"/>
              <w:rPr>
                <w:rFonts w:eastAsia="Times New Roman"/>
                <w:sz w:val="20"/>
                <w:szCs w:val="20"/>
              </w:rPr>
            </w:pPr>
          </w:p>
        </w:tc>
        <w:tc>
          <w:tcPr>
            <w:tcW w:w="288" w:type="pct"/>
            <w:vAlign w:val="center"/>
            <w:hideMark/>
          </w:tcPr>
          <w:p w14:paraId="3FF35ED6" w14:textId="77777777" w:rsidR="00000000" w:rsidRDefault="00405D16">
            <w:pPr>
              <w:spacing w:after="100"/>
              <w:rPr>
                <w:rFonts w:eastAsia="Times New Roman"/>
                <w:sz w:val="20"/>
                <w:szCs w:val="20"/>
              </w:rPr>
            </w:pPr>
          </w:p>
        </w:tc>
        <w:tc>
          <w:tcPr>
            <w:tcW w:w="5" w:type="pct"/>
            <w:vAlign w:val="center"/>
            <w:hideMark/>
          </w:tcPr>
          <w:p w14:paraId="7689FF72" w14:textId="77777777" w:rsidR="00000000" w:rsidRDefault="00405D16">
            <w:pPr>
              <w:spacing w:after="100"/>
              <w:rPr>
                <w:rFonts w:eastAsia="Times New Roman"/>
                <w:sz w:val="20"/>
                <w:szCs w:val="20"/>
              </w:rPr>
            </w:pPr>
          </w:p>
        </w:tc>
        <w:tc>
          <w:tcPr>
            <w:tcW w:w="5" w:type="pct"/>
            <w:vAlign w:val="center"/>
            <w:hideMark/>
          </w:tcPr>
          <w:p w14:paraId="2719B219" w14:textId="77777777" w:rsidR="00000000" w:rsidRDefault="00405D16">
            <w:pPr>
              <w:spacing w:after="100"/>
              <w:rPr>
                <w:rFonts w:eastAsia="Times New Roman"/>
                <w:sz w:val="20"/>
                <w:szCs w:val="20"/>
              </w:rPr>
            </w:pPr>
          </w:p>
        </w:tc>
        <w:tc>
          <w:tcPr>
            <w:tcW w:w="26" w:type="pct"/>
            <w:vAlign w:val="center"/>
            <w:hideMark/>
          </w:tcPr>
          <w:p w14:paraId="1FD24253" w14:textId="77777777" w:rsidR="00000000" w:rsidRDefault="00405D16">
            <w:pPr>
              <w:spacing w:after="100"/>
              <w:rPr>
                <w:rFonts w:eastAsia="Times New Roman"/>
                <w:sz w:val="20"/>
                <w:szCs w:val="20"/>
              </w:rPr>
            </w:pPr>
          </w:p>
        </w:tc>
        <w:tc>
          <w:tcPr>
            <w:tcW w:w="5" w:type="pct"/>
            <w:vAlign w:val="center"/>
            <w:hideMark/>
          </w:tcPr>
          <w:p w14:paraId="60472A70" w14:textId="77777777" w:rsidR="00000000" w:rsidRDefault="00405D16">
            <w:pPr>
              <w:spacing w:after="100"/>
              <w:rPr>
                <w:rFonts w:eastAsia="Times New Roman"/>
                <w:sz w:val="20"/>
                <w:szCs w:val="20"/>
              </w:rPr>
            </w:pPr>
          </w:p>
        </w:tc>
        <w:tc>
          <w:tcPr>
            <w:tcW w:w="50" w:type="pct"/>
            <w:vAlign w:val="center"/>
            <w:hideMark/>
          </w:tcPr>
          <w:p w14:paraId="2534050C" w14:textId="77777777" w:rsidR="00000000" w:rsidRDefault="00405D16">
            <w:pPr>
              <w:spacing w:after="100"/>
              <w:rPr>
                <w:rFonts w:eastAsia="Times New Roman"/>
                <w:sz w:val="20"/>
                <w:szCs w:val="20"/>
              </w:rPr>
            </w:pPr>
          </w:p>
        </w:tc>
        <w:tc>
          <w:tcPr>
            <w:tcW w:w="406" w:type="pct"/>
            <w:vAlign w:val="center"/>
            <w:hideMark/>
          </w:tcPr>
          <w:p w14:paraId="57B26896" w14:textId="77777777" w:rsidR="00000000" w:rsidRDefault="00405D16">
            <w:pPr>
              <w:spacing w:after="100"/>
              <w:rPr>
                <w:rFonts w:eastAsia="Times New Roman"/>
                <w:sz w:val="20"/>
                <w:szCs w:val="20"/>
              </w:rPr>
            </w:pPr>
          </w:p>
        </w:tc>
        <w:tc>
          <w:tcPr>
            <w:tcW w:w="5" w:type="pct"/>
            <w:vAlign w:val="center"/>
            <w:hideMark/>
          </w:tcPr>
          <w:p w14:paraId="72632A6A" w14:textId="77777777" w:rsidR="00000000" w:rsidRDefault="00405D16">
            <w:pPr>
              <w:spacing w:after="100"/>
              <w:rPr>
                <w:rFonts w:eastAsia="Times New Roman"/>
                <w:sz w:val="20"/>
                <w:szCs w:val="20"/>
              </w:rPr>
            </w:pPr>
          </w:p>
        </w:tc>
      </w:tr>
      <w:tr w:rsidR="00000000" w14:paraId="425ED71F" w14:textId="77777777">
        <w:trPr>
          <w:divId w:val="1868330845"/>
          <w:trHeight w:val="60"/>
        </w:trPr>
        <w:tc>
          <w:tcPr>
            <w:tcW w:w="0" w:type="auto"/>
            <w:gridSpan w:val="57"/>
            <w:tcMar>
              <w:top w:w="0" w:type="dxa"/>
              <w:left w:w="20" w:type="dxa"/>
              <w:bottom w:w="0" w:type="dxa"/>
              <w:right w:w="20" w:type="dxa"/>
            </w:tcMar>
            <w:vAlign w:val="center"/>
            <w:hideMark/>
          </w:tcPr>
          <w:p w14:paraId="19B15036" w14:textId="77777777" w:rsidR="00000000" w:rsidRDefault="00405D16">
            <w:pPr>
              <w:spacing w:after="100"/>
              <w:rPr>
                <w:rFonts w:eastAsia="Times New Roman"/>
                <w:sz w:val="20"/>
                <w:szCs w:val="20"/>
              </w:rPr>
            </w:pPr>
          </w:p>
        </w:tc>
      </w:tr>
      <w:tr w:rsidR="00000000" w14:paraId="1C5FA112" w14:textId="77777777">
        <w:trPr>
          <w:divId w:val="1868330845"/>
        </w:trPr>
        <w:tc>
          <w:tcPr>
            <w:tcW w:w="0" w:type="auto"/>
            <w:gridSpan w:val="3"/>
            <w:vAlign w:val="center"/>
            <w:hideMark/>
          </w:tcPr>
          <w:p w14:paraId="4B6FA03F" w14:textId="77777777" w:rsidR="00000000" w:rsidRDefault="00405D16">
            <w:pPr>
              <w:spacing w:after="100"/>
              <w:rPr>
                <w:rFonts w:eastAsia="Times New Roman"/>
                <w:sz w:val="20"/>
                <w:szCs w:val="20"/>
              </w:rPr>
            </w:pPr>
          </w:p>
        </w:tc>
        <w:tc>
          <w:tcPr>
            <w:tcW w:w="0" w:type="auto"/>
            <w:gridSpan w:val="3"/>
            <w:vAlign w:val="center"/>
            <w:hideMark/>
          </w:tcPr>
          <w:p w14:paraId="14635E84" w14:textId="77777777" w:rsidR="00000000" w:rsidRDefault="00405D16">
            <w:pPr>
              <w:spacing w:after="100"/>
              <w:rPr>
                <w:rFonts w:eastAsia="Times New Roman"/>
                <w:sz w:val="20"/>
                <w:szCs w:val="20"/>
              </w:rPr>
            </w:pPr>
          </w:p>
        </w:tc>
        <w:tc>
          <w:tcPr>
            <w:tcW w:w="0" w:type="auto"/>
            <w:gridSpan w:val="3"/>
            <w:vAlign w:val="center"/>
            <w:hideMark/>
          </w:tcPr>
          <w:p w14:paraId="432DA853" w14:textId="77777777" w:rsidR="00000000" w:rsidRDefault="00405D16">
            <w:pPr>
              <w:spacing w:after="100"/>
              <w:rPr>
                <w:rFonts w:eastAsia="Times New Roman"/>
                <w:sz w:val="20"/>
                <w:szCs w:val="20"/>
              </w:rPr>
            </w:pPr>
          </w:p>
        </w:tc>
        <w:tc>
          <w:tcPr>
            <w:tcW w:w="0" w:type="auto"/>
            <w:gridSpan w:val="3"/>
            <w:vAlign w:val="center"/>
            <w:hideMark/>
          </w:tcPr>
          <w:p w14:paraId="499F3EBC" w14:textId="77777777" w:rsidR="00000000" w:rsidRDefault="00405D16">
            <w:pPr>
              <w:spacing w:after="100"/>
              <w:rPr>
                <w:rFonts w:eastAsia="Times New Roman"/>
                <w:sz w:val="20"/>
                <w:szCs w:val="20"/>
              </w:rPr>
            </w:pPr>
          </w:p>
        </w:tc>
        <w:tc>
          <w:tcPr>
            <w:tcW w:w="0" w:type="auto"/>
            <w:gridSpan w:val="3"/>
            <w:vAlign w:val="center"/>
            <w:hideMark/>
          </w:tcPr>
          <w:p w14:paraId="7D36902E" w14:textId="77777777" w:rsidR="00000000" w:rsidRDefault="00405D16">
            <w:pPr>
              <w:spacing w:after="100"/>
              <w:rPr>
                <w:rFonts w:eastAsia="Times New Roman"/>
                <w:sz w:val="20"/>
                <w:szCs w:val="20"/>
              </w:rPr>
            </w:pPr>
          </w:p>
        </w:tc>
        <w:tc>
          <w:tcPr>
            <w:tcW w:w="0" w:type="auto"/>
            <w:gridSpan w:val="3"/>
            <w:vAlign w:val="center"/>
            <w:hideMark/>
          </w:tcPr>
          <w:p w14:paraId="31462568" w14:textId="77777777" w:rsidR="00000000" w:rsidRDefault="00405D16">
            <w:pPr>
              <w:spacing w:after="100"/>
              <w:rPr>
                <w:rFonts w:eastAsia="Times New Roman"/>
                <w:sz w:val="20"/>
                <w:szCs w:val="20"/>
              </w:rPr>
            </w:pPr>
          </w:p>
        </w:tc>
        <w:tc>
          <w:tcPr>
            <w:tcW w:w="0" w:type="auto"/>
            <w:gridSpan w:val="3"/>
            <w:vAlign w:val="center"/>
            <w:hideMark/>
          </w:tcPr>
          <w:p w14:paraId="6B15C173" w14:textId="77777777" w:rsidR="00000000" w:rsidRDefault="00405D16">
            <w:pPr>
              <w:spacing w:after="100"/>
              <w:rPr>
                <w:rFonts w:eastAsia="Times New Roman"/>
                <w:sz w:val="20"/>
                <w:szCs w:val="20"/>
              </w:rPr>
            </w:pPr>
          </w:p>
        </w:tc>
        <w:tc>
          <w:tcPr>
            <w:tcW w:w="0" w:type="auto"/>
            <w:gridSpan w:val="3"/>
            <w:vAlign w:val="center"/>
            <w:hideMark/>
          </w:tcPr>
          <w:p w14:paraId="3CAB3B3C" w14:textId="77777777" w:rsidR="00000000" w:rsidRDefault="00405D16">
            <w:pPr>
              <w:spacing w:after="100"/>
              <w:rPr>
                <w:rFonts w:eastAsia="Times New Roman"/>
                <w:sz w:val="20"/>
                <w:szCs w:val="20"/>
              </w:rPr>
            </w:pPr>
          </w:p>
        </w:tc>
        <w:tc>
          <w:tcPr>
            <w:tcW w:w="0" w:type="auto"/>
            <w:gridSpan w:val="3"/>
            <w:vAlign w:val="center"/>
            <w:hideMark/>
          </w:tcPr>
          <w:p w14:paraId="100C3A5A" w14:textId="77777777" w:rsidR="00000000" w:rsidRDefault="00405D16">
            <w:pPr>
              <w:spacing w:after="100"/>
              <w:rPr>
                <w:rFonts w:eastAsia="Times New Roman"/>
                <w:sz w:val="20"/>
                <w:szCs w:val="20"/>
              </w:rPr>
            </w:pPr>
          </w:p>
        </w:tc>
        <w:tc>
          <w:tcPr>
            <w:tcW w:w="0" w:type="auto"/>
            <w:gridSpan w:val="3"/>
            <w:vAlign w:val="center"/>
            <w:hideMark/>
          </w:tcPr>
          <w:p w14:paraId="40274219" w14:textId="77777777" w:rsidR="00000000" w:rsidRDefault="00405D16">
            <w:pPr>
              <w:spacing w:after="100"/>
              <w:rPr>
                <w:rFonts w:eastAsia="Times New Roman"/>
                <w:sz w:val="20"/>
                <w:szCs w:val="20"/>
              </w:rPr>
            </w:pPr>
          </w:p>
        </w:tc>
        <w:tc>
          <w:tcPr>
            <w:tcW w:w="0" w:type="auto"/>
            <w:gridSpan w:val="3"/>
            <w:vAlign w:val="center"/>
            <w:hideMark/>
          </w:tcPr>
          <w:p w14:paraId="3D1F83C9" w14:textId="77777777" w:rsidR="00000000" w:rsidRDefault="00405D16">
            <w:pPr>
              <w:spacing w:after="100"/>
              <w:rPr>
                <w:rFonts w:eastAsia="Times New Roman"/>
                <w:sz w:val="20"/>
                <w:szCs w:val="20"/>
              </w:rPr>
            </w:pPr>
          </w:p>
        </w:tc>
        <w:tc>
          <w:tcPr>
            <w:tcW w:w="0" w:type="auto"/>
            <w:gridSpan w:val="3"/>
            <w:vAlign w:val="center"/>
            <w:hideMark/>
          </w:tcPr>
          <w:p w14:paraId="7D0F9387" w14:textId="77777777" w:rsidR="00000000" w:rsidRDefault="00405D16">
            <w:pPr>
              <w:spacing w:after="100"/>
              <w:rPr>
                <w:rFonts w:eastAsia="Times New Roman"/>
                <w:sz w:val="20"/>
                <w:szCs w:val="20"/>
              </w:rPr>
            </w:pPr>
          </w:p>
        </w:tc>
        <w:tc>
          <w:tcPr>
            <w:tcW w:w="0" w:type="auto"/>
            <w:gridSpan w:val="3"/>
            <w:vAlign w:val="center"/>
            <w:hideMark/>
          </w:tcPr>
          <w:p w14:paraId="599B9641" w14:textId="77777777" w:rsidR="00000000" w:rsidRDefault="00405D16">
            <w:pPr>
              <w:spacing w:after="100"/>
              <w:rPr>
                <w:rFonts w:eastAsia="Times New Roman"/>
                <w:sz w:val="20"/>
                <w:szCs w:val="20"/>
              </w:rPr>
            </w:pPr>
          </w:p>
        </w:tc>
        <w:tc>
          <w:tcPr>
            <w:tcW w:w="0" w:type="auto"/>
            <w:gridSpan w:val="3"/>
            <w:vAlign w:val="center"/>
            <w:hideMark/>
          </w:tcPr>
          <w:p w14:paraId="40E03153" w14:textId="77777777" w:rsidR="00000000" w:rsidRDefault="00405D16">
            <w:pPr>
              <w:spacing w:after="100"/>
              <w:rPr>
                <w:rFonts w:eastAsia="Times New Roman"/>
                <w:sz w:val="20"/>
                <w:szCs w:val="20"/>
              </w:rPr>
            </w:pPr>
          </w:p>
        </w:tc>
        <w:tc>
          <w:tcPr>
            <w:tcW w:w="0" w:type="auto"/>
            <w:gridSpan w:val="3"/>
            <w:vAlign w:val="center"/>
            <w:hideMark/>
          </w:tcPr>
          <w:p w14:paraId="73D124B3" w14:textId="77777777" w:rsidR="00000000" w:rsidRDefault="00405D16">
            <w:pPr>
              <w:spacing w:after="100"/>
              <w:rPr>
                <w:rFonts w:eastAsia="Times New Roman"/>
                <w:sz w:val="20"/>
                <w:szCs w:val="20"/>
              </w:rPr>
            </w:pPr>
          </w:p>
        </w:tc>
        <w:tc>
          <w:tcPr>
            <w:tcW w:w="0" w:type="auto"/>
            <w:vAlign w:val="center"/>
            <w:hideMark/>
          </w:tcPr>
          <w:p w14:paraId="3979E848" w14:textId="77777777" w:rsidR="00000000" w:rsidRDefault="00405D16">
            <w:pPr>
              <w:spacing w:after="100"/>
              <w:rPr>
                <w:rFonts w:eastAsia="Times New Roman"/>
                <w:sz w:val="20"/>
                <w:szCs w:val="20"/>
              </w:rPr>
            </w:pPr>
          </w:p>
        </w:tc>
        <w:tc>
          <w:tcPr>
            <w:tcW w:w="0" w:type="auto"/>
            <w:vAlign w:val="center"/>
            <w:hideMark/>
          </w:tcPr>
          <w:p w14:paraId="14D0D25F" w14:textId="77777777" w:rsidR="00000000" w:rsidRDefault="00405D16">
            <w:pPr>
              <w:spacing w:after="100"/>
              <w:rPr>
                <w:rFonts w:eastAsia="Times New Roman"/>
                <w:sz w:val="20"/>
                <w:szCs w:val="20"/>
              </w:rPr>
            </w:pPr>
          </w:p>
        </w:tc>
        <w:tc>
          <w:tcPr>
            <w:tcW w:w="0" w:type="auto"/>
            <w:vAlign w:val="center"/>
            <w:hideMark/>
          </w:tcPr>
          <w:p w14:paraId="2A23538A" w14:textId="77777777" w:rsidR="00000000" w:rsidRDefault="00405D16">
            <w:pPr>
              <w:spacing w:after="100"/>
              <w:rPr>
                <w:rFonts w:eastAsia="Times New Roman"/>
                <w:sz w:val="20"/>
                <w:szCs w:val="20"/>
              </w:rPr>
            </w:pPr>
          </w:p>
        </w:tc>
        <w:tc>
          <w:tcPr>
            <w:tcW w:w="0" w:type="auto"/>
            <w:vAlign w:val="center"/>
            <w:hideMark/>
          </w:tcPr>
          <w:p w14:paraId="2848A47C" w14:textId="77777777" w:rsidR="00000000" w:rsidRDefault="00405D16">
            <w:pPr>
              <w:spacing w:after="100"/>
              <w:rPr>
                <w:rFonts w:eastAsia="Times New Roman"/>
                <w:sz w:val="20"/>
                <w:szCs w:val="20"/>
              </w:rPr>
            </w:pPr>
          </w:p>
        </w:tc>
        <w:tc>
          <w:tcPr>
            <w:tcW w:w="0" w:type="auto"/>
            <w:vAlign w:val="center"/>
            <w:hideMark/>
          </w:tcPr>
          <w:p w14:paraId="05DAEA3D" w14:textId="77777777" w:rsidR="00000000" w:rsidRDefault="00405D16">
            <w:pPr>
              <w:spacing w:after="100"/>
              <w:rPr>
                <w:rFonts w:eastAsia="Times New Roman"/>
                <w:sz w:val="20"/>
                <w:szCs w:val="20"/>
              </w:rPr>
            </w:pPr>
          </w:p>
        </w:tc>
        <w:tc>
          <w:tcPr>
            <w:tcW w:w="0" w:type="auto"/>
            <w:vAlign w:val="center"/>
            <w:hideMark/>
          </w:tcPr>
          <w:p w14:paraId="3A58DAB0" w14:textId="77777777" w:rsidR="00000000" w:rsidRDefault="00405D16">
            <w:pPr>
              <w:spacing w:after="100"/>
              <w:rPr>
                <w:rFonts w:eastAsia="Times New Roman"/>
                <w:sz w:val="20"/>
                <w:szCs w:val="20"/>
              </w:rPr>
            </w:pPr>
          </w:p>
        </w:tc>
        <w:tc>
          <w:tcPr>
            <w:tcW w:w="0" w:type="auto"/>
            <w:vAlign w:val="center"/>
            <w:hideMark/>
          </w:tcPr>
          <w:p w14:paraId="7DCA5213" w14:textId="77777777" w:rsidR="00000000" w:rsidRDefault="00405D16">
            <w:pPr>
              <w:spacing w:after="100"/>
              <w:rPr>
                <w:rFonts w:eastAsia="Times New Roman"/>
                <w:sz w:val="20"/>
                <w:szCs w:val="20"/>
              </w:rPr>
            </w:pPr>
          </w:p>
        </w:tc>
        <w:tc>
          <w:tcPr>
            <w:tcW w:w="0" w:type="auto"/>
            <w:vAlign w:val="center"/>
            <w:hideMark/>
          </w:tcPr>
          <w:p w14:paraId="55BB8F53" w14:textId="77777777" w:rsidR="00000000" w:rsidRDefault="00405D16">
            <w:pPr>
              <w:spacing w:after="100"/>
              <w:rPr>
                <w:rFonts w:eastAsia="Times New Roman"/>
                <w:sz w:val="20"/>
                <w:szCs w:val="20"/>
              </w:rPr>
            </w:pPr>
          </w:p>
        </w:tc>
        <w:tc>
          <w:tcPr>
            <w:tcW w:w="0" w:type="auto"/>
            <w:vAlign w:val="center"/>
            <w:hideMark/>
          </w:tcPr>
          <w:p w14:paraId="177636B3" w14:textId="77777777" w:rsidR="00000000" w:rsidRDefault="00405D16">
            <w:pPr>
              <w:spacing w:after="100"/>
              <w:rPr>
                <w:rFonts w:eastAsia="Times New Roman"/>
                <w:sz w:val="20"/>
                <w:szCs w:val="20"/>
              </w:rPr>
            </w:pPr>
          </w:p>
        </w:tc>
        <w:tc>
          <w:tcPr>
            <w:tcW w:w="0" w:type="auto"/>
            <w:vAlign w:val="center"/>
            <w:hideMark/>
          </w:tcPr>
          <w:p w14:paraId="2D1D38CF" w14:textId="77777777" w:rsidR="00000000" w:rsidRDefault="00405D16">
            <w:pPr>
              <w:spacing w:after="100"/>
              <w:rPr>
                <w:rFonts w:eastAsia="Times New Roman"/>
                <w:sz w:val="20"/>
                <w:szCs w:val="20"/>
              </w:rPr>
            </w:pPr>
          </w:p>
        </w:tc>
        <w:tc>
          <w:tcPr>
            <w:tcW w:w="0" w:type="auto"/>
            <w:vAlign w:val="center"/>
            <w:hideMark/>
          </w:tcPr>
          <w:p w14:paraId="5519377D" w14:textId="77777777" w:rsidR="00000000" w:rsidRDefault="00405D16">
            <w:pPr>
              <w:spacing w:after="100"/>
              <w:rPr>
                <w:rFonts w:eastAsia="Times New Roman"/>
                <w:sz w:val="20"/>
                <w:szCs w:val="20"/>
              </w:rPr>
            </w:pPr>
          </w:p>
        </w:tc>
        <w:tc>
          <w:tcPr>
            <w:tcW w:w="0" w:type="auto"/>
            <w:vAlign w:val="center"/>
            <w:hideMark/>
          </w:tcPr>
          <w:p w14:paraId="43728B87" w14:textId="77777777" w:rsidR="00000000" w:rsidRDefault="00405D16">
            <w:pPr>
              <w:spacing w:after="100"/>
              <w:rPr>
                <w:rFonts w:eastAsia="Times New Roman"/>
                <w:sz w:val="20"/>
                <w:szCs w:val="20"/>
              </w:rPr>
            </w:pPr>
          </w:p>
        </w:tc>
      </w:tr>
      <w:tr w:rsidR="00000000" w14:paraId="6C3129E6" w14:textId="77777777">
        <w:trPr>
          <w:divId w:val="1868330845"/>
        </w:trPr>
        <w:tc>
          <w:tcPr>
            <w:tcW w:w="0" w:type="auto"/>
            <w:gridSpan w:val="3"/>
            <w:vAlign w:val="center"/>
            <w:hideMark/>
          </w:tcPr>
          <w:p w14:paraId="1BB30004" w14:textId="77777777" w:rsidR="00000000" w:rsidRDefault="00405D16">
            <w:pPr>
              <w:spacing w:after="100"/>
              <w:rPr>
                <w:rFonts w:eastAsia="Times New Roman"/>
                <w:sz w:val="20"/>
                <w:szCs w:val="20"/>
              </w:rPr>
            </w:pPr>
          </w:p>
        </w:tc>
        <w:tc>
          <w:tcPr>
            <w:tcW w:w="0" w:type="auto"/>
            <w:gridSpan w:val="3"/>
            <w:vAlign w:val="center"/>
            <w:hideMark/>
          </w:tcPr>
          <w:p w14:paraId="3D145014" w14:textId="77777777" w:rsidR="00000000" w:rsidRDefault="00405D16">
            <w:pPr>
              <w:spacing w:after="100"/>
              <w:rPr>
                <w:rFonts w:eastAsia="Times New Roman"/>
                <w:sz w:val="20"/>
                <w:szCs w:val="20"/>
              </w:rPr>
            </w:pPr>
          </w:p>
        </w:tc>
        <w:tc>
          <w:tcPr>
            <w:tcW w:w="0" w:type="auto"/>
            <w:gridSpan w:val="3"/>
            <w:vAlign w:val="center"/>
            <w:hideMark/>
          </w:tcPr>
          <w:p w14:paraId="4F50D2B3" w14:textId="77777777" w:rsidR="00000000" w:rsidRDefault="00405D16">
            <w:pPr>
              <w:spacing w:after="100"/>
              <w:rPr>
                <w:rFonts w:eastAsia="Times New Roman"/>
                <w:sz w:val="20"/>
                <w:szCs w:val="20"/>
              </w:rPr>
            </w:pPr>
          </w:p>
        </w:tc>
        <w:tc>
          <w:tcPr>
            <w:tcW w:w="0" w:type="auto"/>
            <w:gridSpan w:val="3"/>
            <w:vAlign w:val="center"/>
            <w:hideMark/>
          </w:tcPr>
          <w:p w14:paraId="6AB00926" w14:textId="77777777" w:rsidR="00000000" w:rsidRDefault="00405D16">
            <w:pPr>
              <w:spacing w:after="100"/>
              <w:rPr>
                <w:rFonts w:eastAsia="Times New Roman"/>
                <w:sz w:val="20"/>
                <w:szCs w:val="20"/>
              </w:rPr>
            </w:pPr>
          </w:p>
        </w:tc>
        <w:tc>
          <w:tcPr>
            <w:tcW w:w="0" w:type="auto"/>
            <w:gridSpan w:val="3"/>
            <w:vAlign w:val="center"/>
            <w:hideMark/>
          </w:tcPr>
          <w:p w14:paraId="7E5BD4C3" w14:textId="77777777" w:rsidR="00000000" w:rsidRDefault="00405D16">
            <w:pPr>
              <w:spacing w:after="100"/>
              <w:rPr>
                <w:rFonts w:eastAsia="Times New Roman"/>
                <w:sz w:val="20"/>
                <w:szCs w:val="20"/>
              </w:rPr>
            </w:pPr>
          </w:p>
        </w:tc>
        <w:tc>
          <w:tcPr>
            <w:tcW w:w="0" w:type="auto"/>
            <w:gridSpan w:val="3"/>
            <w:vAlign w:val="center"/>
            <w:hideMark/>
          </w:tcPr>
          <w:p w14:paraId="23FE3481" w14:textId="77777777" w:rsidR="00000000" w:rsidRDefault="00405D16">
            <w:pPr>
              <w:spacing w:after="100"/>
              <w:rPr>
                <w:rFonts w:eastAsia="Times New Roman"/>
                <w:sz w:val="20"/>
                <w:szCs w:val="20"/>
              </w:rPr>
            </w:pPr>
          </w:p>
        </w:tc>
        <w:tc>
          <w:tcPr>
            <w:tcW w:w="0" w:type="auto"/>
            <w:gridSpan w:val="3"/>
            <w:vAlign w:val="center"/>
            <w:hideMark/>
          </w:tcPr>
          <w:p w14:paraId="6A30EF7C" w14:textId="77777777" w:rsidR="00000000" w:rsidRDefault="00405D16">
            <w:pPr>
              <w:spacing w:after="100"/>
              <w:rPr>
                <w:rFonts w:eastAsia="Times New Roman"/>
                <w:sz w:val="20"/>
                <w:szCs w:val="20"/>
              </w:rPr>
            </w:pPr>
          </w:p>
        </w:tc>
        <w:tc>
          <w:tcPr>
            <w:tcW w:w="0" w:type="auto"/>
            <w:gridSpan w:val="3"/>
            <w:vAlign w:val="center"/>
            <w:hideMark/>
          </w:tcPr>
          <w:p w14:paraId="726051D8" w14:textId="77777777" w:rsidR="00000000" w:rsidRDefault="00405D16">
            <w:pPr>
              <w:spacing w:after="100"/>
              <w:rPr>
                <w:rFonts w:eastAsia="Times New Roman"/>
                <w:sz w:val="20"/>
                <w:szCs w:val="20"/>
              </w:rPr>
            </w:pPr>
          </w:p>
        </w:tc>
        <w:tc>
          <w:tcPr>
            <w:tcW w:w="0" w:type="auto"/>
            <w:vAlign w:val="center"/>
            <w:hideMark/>
          </w:tcPr>
          <w:p w14:paraId="7430B796" w14:textId="77777777" w:rsidR="00000000" w:rsidRDefault="00405D16">
            <w:pPr>
              <w:spacing w:after="100"/>
              <w:rPr>
                <w:rFonts w:eastAsia="Times New Roman"/>
                <w:sz w:val="20"/>
                <w:szCs w:val="20"/>
              </w:rPr>
            </w:pPr>
          </w:p>
        </w:tc>
        <w:tc>
          <w:tcPr>
            <w:tcW w:w="0" w:type="auto"/>
            <w:vAlign w:val="center"/>
            <w:hideMark/>
          </w:tcPr>
          <w:p w14:paraId="0BFFF9E5" w14:textId="77777777" w:rsidR="00000000" w:rsidRDefault="00405D16">
            <w:pPr>
              <w:spacing w:after="100"/>
              <w:rPr>
                <w:rFonts w:eastAsia="Times New Roman"/>
                <w:sz w:val="20"/>
                <w:szCs w:val="20"/>
              </w:rPr>
            </w:pPr>
          </w:p>
        </w:tc>
        <w:tc>
          <w:tcPr>
            <w:tcW w:w="0" w:type="auto"/>
            <w:vAlign w:val="center"/>
            <w:hideMark/>
          </w:tcPr>
          <w:p w14:paraId="7622782A" w14:textId="77777777" w:rsidR="00000000" w:rsidRDefault="00405D16">
            <w:pPr>
              <w:spacing w:after="100"/>
              <w:rPr>
                <w:rFonts w:eastAsia="Times New Roman"/>
                <w:sz w:val="20"/>
                <w:szCs w:val="20"/>
              </w:rPr>
            </w:pPr>
          </w:p>
        </w:tc>
        <w:tc>
          <w:tcPr>
            <w:tcW w:w="0" w:type="auto"/>
            <w:vAlign w:val="center"/>
            <w:hideMark/>
          </w:tcPr>
          <w:p w14:paraId="2368E962" w14:textId="77777777" w:rsidR="00000000" w:rsidRDefault="00405D16">
            <w:pPr>
              <w:spacing w:after="100"/>
              <w:rPr>
                <w:rFonts w:eastAsia="Times New Roman"/>
                <w:sz w:val="20"/>
                <w:szCs w:val="20"/>
              </w:rPr>
            </w:pPr>
          </w:p>
        </w:tc>
        <w:tc>
          <w:tcPr>
            <w:tcW w:w="0" w:type="auto"/>
            <w:vAlign w:val="center"/>
            <w:hideMark/>
          </w:tcPr>
          <w:p w14:paraId="0ACE0D7A" w14:textId="77777777" w:rsidR="00000000" w:rsidRDefault="00405D16">
            <w:pPr>
              <w:spacing w:after="100"/>
              <w:rPr>
                <w:rFonts w:eastAsia="Times New Roman"/>
                <w:sz w:val="20"/>
                <w:szCs w:val="20"/>
              </w:rPr>
            </w:pPr>
          </w:p>
        </w:tc>
        <w:tc>
          <w:tcPr>
            <w:tcW w:w="0" w:type="auto"/>
            <w:vAlign w:val="center"/>
            <w:hideMark/>
          </w:tcPr>
          <w:p w14:paraId="1DE7AFA1" w14:textId="77777777" w:rsidR="00000000" w:rsidRDefault="00405D16">
            <w:pPr>
              <w:spacing w:after="100"/>
              <w:rPr>
                <w:rFonts w:eastAsia="Times New Roman"/>
                <w:sz w:val="20"/>
                <w:szCs w:val="20"/>
              </w:rPr>
            </w:pPr>
          </w:p>
        </w:tc>
        <w:tc>
          <w:tcPr>
            <w:tcW w:w="0" w:type="auto"/>
            <w:vAlign w:val="center"/>
            <w:hideMark/>
          </w:tcPr>
          <w:p w14:paraId="5C4970B4" w14:textId="77777777" w:rsidR="00000000" w:rsidRDefault="00405D16">
            <w:pPr>
              <w:spacing w:after="100"/>
              <w:rPr>
                <w:rFonts w:eastAsia="Times New Roman"/>
                <w:sz w:val="20"/>
                <w:szCs w:val="20"/>
              </w:rPr>
            </w:pPr>
          </w:p>
        </w:tc>
        <w:tc>
          <w:tcPr>
            <w:tcW w:w="0" w:type="auto"/>
            <w:vAlign w:val="center"/>
            <w:hideMark/>
          </w:tcPr>
          <w:p w14:paraId="08759298" w14:textId="77777777" w:rsidR="00000000" w:rsidRDefault="00405D16">
            <w:pPr>
              <w:spacing w:after="100"/>
              <w:rPr>
                <w:rFonts w:eastAsia="Times New Roman"/>
                <w:sz w:val="20"/>
                <w:szCs w:val="20"/>
              </w:rPr>
            </w:pPr>
          </w:p>
        </w:tc>
        <w:tc>
          <w:tcPr>
            <w:tcW w:w="0" w:type="auto"/>
            <w:vAlign w:val="center"/>
            <w:hideMark/>
          </w:tcPr>
          <w:p w14:paraId="21858599" w14:textId="77777777" w:rsidR="00000000" w:rsidRDefault="00405D16">
            <w:pPr>
              <w:spacing w:after="100"/>
              <w:rPr>
                <w:rFonts w:eastAsia="Times New Roman"/>
                <w:sz w:val="20"/>
                <w:szCs w:val="20"/>
              </w:rPr>
            </w:pPr>
          </w:p>
        </w:tc>
        <w:tc>
          <w:tcPr>
            <w:tcW w:w="0" w:type="auto"/>
            <w:vAlign w:val="center"/>
            <w:hideMark/>
          </w:tcPr>
          <w:p w14:paraId="1A62F0C9" w14:textId="77777777" w:rsidR="00000000" w:rsidRDefault="00405D16">
            <w:pPr>
              <w:spacing w:after="100"/>
              <w:rPr>
                <w:rFonts w:eastAsia="Times New Roman"/>
                <w:sz w:val="20"/>
                <w:szCs w:val="20"/>
              </w:rPr>
            </w:pPr>
          </w:p>
        </w:tc>
        <w:tc>
          <w:tcPr>
            <w:tcW w:w="0" w:type="auto"/>
            <w:vAlign w:val="center"/>
            <w:hideMark/>
          </w:tcPr>
          <w:p w14:paraId="60BC1D51" w14:textId="77777777" w:rsidR="00000000" w:rsidRDefault="00405D16">
            <w:pPr>
              <w:spacing w:after="100"/>
              <w:rPr>
                <w:rFonts w:eastAsia="Times New Roman"/>
                <w:sz w:val="20"/>
                <w:szCs w:val="20"/>
              </w:rPr>
            </w:pPr>
          </w:p>
        </w:tc>
        <w:tc>
          <w:tcPr>
            <w:tcW w:w="0" w:type="auto"/>
            <w:vAlign w:val="center"/>
            <w:hideMark/>
          </w:tcPr>
          <w:p w14:paraId="2BBDA583" w14:textId="77777777" w:rsidR="00000000" w:rsidRDefault="00405D16">
            <w:pPr>
              <w:spacing w:after="100"/>
              <w:rPr>
                <w:rFonts w:eastAsia="Times New Roman"/>
                <w:sz w:val="20"/>
                <w:szCs w:val="20"/>
              </w:rPr>
            </w:pPr>
          </w:p>
        </w:tc>
        <w:tc>
          <w:tcPr>
            <w:tcW w:w="0" w:type="auto"/>
            <w:vAlign w:val="center"/>
            <w:hideMark/>
          </w:tcPr>
          <w:p w14:paraId="25835A73" w14:textId="77777777" w:rsidR="00000000" w:rsidRDefault="00405D16">
            <w:pPr>
              <w:spacing w:after="100"/>
              <w:rPr>
                <w:rFonts w:eastAsia="Times New Roman"/>
                <w:sz w:val="20"/>
                <w:szCs w:val="20"/>
              </w:rPr>
            </w:pPr>
          </w:p>
        </w:tc>
        <w:tc>
          <w:tcPr>
            <w:tcW w:w="0" w:type="auto"/>
            <w:vAlign w:val="center"/>
            <w:hideMark/>
          </w:tcPr>
          <w:p w14:paraId="3B31A8AC" w14:textId="77777777" w:rsidR="00000000" w:rsidRDefault="00405D16">
            <w:pPr>
              <w:spacing w:after="100"/>
              <w:rPr>
                <w:rFonts w:eastAsia="Times New Roman"/>
                <w:sz w:val="20"/>
                <w:szCs w:val="20"/>
              </w:rPr>
            </w:pPr>
          </w:p>
        </w:tc>
        <w:tc>
          <w:tcPr>
            <w:tcW w:w="0" w:type="auto"/>
            <w:vAlign w:val="center"/>
            <w:hideMark/>
          </w:tcPr>
          <w:p w14:paraId="7B209F7B" w14:textId="77777777" w:rsidR="00000000" w:rsidRDefault="00405D16">
            <w:pPr>
              <w:spacing w:after="100"/>
              <w:rPr>
                <w:rFonts w:eastAsia="Times New Roman"/>
                <w:sz w:val="20"/>
                <w:szCs w:val="20"/>
              </w:rPr>
            </w:pPr>
          </w:p>
        </w:tc>
        <w:tc>
          <w:tcPr>
            <w:tcW w:w="0" w:type="auto"/>
            <w:vAlign w:val="center"/>
            <w:hideMark/>
          </w:tcPr>
          <w:p w14:paraId="2D931916" w14:textId="77777777" w:rsidR="00000000" w:rsidRDefault="00405D16">
            <w:pPr>
              <w:spacing w:after="100"/>
              <w:rPr>
                <w:rFonts w:eastAsia="Times New Roman"/>
                <w:sz w:val="20"/>
                <w:szCs w:val="20"/>
              </w:rPr>
            </w:pPr>
          </w:p>
        </w:tc>
        <w:tc>
          <w:tcPr>
            <w:tcW w:w="0" w:type="auto"/>
            <w:vAlign w:val="center"/>
            <w:hideMark/>
          </w:tcPr>
          <w:p w14:paraId="7F362DF1" w14:textId="77777777" w:rsidR="00000000" w:rsidRDefault="00405D16">
            <w:pPr>
              <w:spacing w:after="100"/>
              <w:rPr>
                <w:rFonts w:eastAsia="Times New Roman"/>
                <w:sz w:val="20"/>
                <w:szCs w:val="20"/>
              </w:rPr>
            </w:pPr>
          </w:p>
        </w:tc>
        <w:tc>
          <w:tcPr>
            <w:tcW w:w="0" w:type="auto"/>
            <w:vAlign w:val="center"/>
            <w:hideMark/>
          </w:tcPr>
          <w:p w14:paraId="5C8D654B" w14:textId="77777777" w:rsidR="00000000" w:rsidRDefault="00405D16">
            <w:pPr>
              <w:spacing w:after="100"/>
              <w:rPr>
                <w:rFonts w:eastAsia="Times New Roman"/>
                <w:sz w:val="20"/>
                <w:szCs w:val="20"/>
              </w:rPr>
            </w:pPr>
          </w:p>
        </w:tc>
        <w:tc>
          <w:tcPr>
            <w:tcW w:w="0" w:type="auto"/>
            <w:vAlign w:val="center"/>
            <w:hideMark/>
          </w:tcPr>
          <w:p w14:paraId="3773DA12" w14:textId="77777777" w:rsidR="00000000" w:rsidRDefault="00405D16">
            <w:pPr>
              <w:spacing w:after="100"/>
              <w:rPr>
                <w:rFonts w:eastAsia="Times New Roman"/>
                <w:sz w:val="20"/>
                <w:szCs w:val="20"/>
              </w:rPr>
            </w:pPr>
          </w:p>
        </w:tc>
        <w:tc>
          <w:tcPr>
            <w:tcW w:w="0" w:type="auto"/>
            <w:vAlign w:val="center"/>
            <w:hideMark/>
          </w:tcPr>
          <w:p w14:paraId="7281A6A0" w14:textId="77777777" w:rsidR="00000000" w:rsidRDefault="00405D16">
            <w:pPr>
              <w:spacing w:after="100"/>
              <w:rPr>
                <w:rFonts w:eastAsia="Times New Roman"/>
                <w:sz w:val="20"/>
                <w:szCs w:val="20"/>
              </w:rPr>
            </w:pPr>
          </w:p>
        </w:tc>
        <w:tc>
          <w:tcPr>
            <w:tcW w:w="0" w:type="auto"/>
            <w:vAlign w:val="center"/>
            <w:hideMark/>
          </w:tcPr>
          <w:p w14:paraId="72E229E7" w14:textId="77777777" w:rsidR="00000000" w:rsidRDefault="00405D16">
            <w:pPr>
              <w:spacing w:after="100"/>
              <w:rPr>
                <w:rFonts w:eastAsia="Times New Roman"/>
                <w:sz w:val="20"/>
                <w:szCs w:val="20"/>
              </w:rPr>
            </w:pPr>
          </w:p>
        </w:tc>
        <w:tc>
          <w:tcPr>
            <w:tcW w:w="0" w:type="auto"/>
            <w:vAlign w:val="center"/>
            <w:hideMark/>
          </w:tcPr>
          <w:p w14:paraId="696E84C4" w14:textId="77777777" w:rsidR="00000000" w:rsidRDefault="00405D16">
            <w:pPr>
              <w:spacing w:after="100"/>
              <w:rPr>
                <w:rFonts w:eastAsia="Times New Roman"/>
                <w:sz w:val="20"/>
                <w:szCs w:val="20"/>
              </w:rPr>
            </w:pPr>
          </w:p>
        </w:tc>
        <w:tc>
          <w:tcPr>
            <w:tcW w:w="0" w:type="auto"/>
            <w:vAlign w:val="center"/>
            <w:hideMark/>
          </w:tcPr>
          <w:p w14:paraId="4FE84B2A" w14:textId="77777777" w:rsidR="00000000" w:rsidRDefault="00405D16">
            <w:pPr>
              <w:spacing w:after="100"/>
              <w:rPr>
                <w:rFonts w:eastAsia="Times New Roman"/>
                <w:sz w:val="20"/>
                <w:szCs w:val="20"/>
              </w:rPr>
            </w:pPr>
          </w:p>
        </w:tc>
        <w:tc>
          <w:tcPr>
            <w:tcW w:w="0" w:type="auto"/>
            <w:vAlign w:val="center"/>
            <w:hideMark/>
          </w:tcPr>
          <w:p w14:paraId="1D985CAE" w14:textId="77777777" w:rsidR="00000000" w:rsidRDefault="00405D16">
            <w:pPr>
              <w:spacing w:after="100"/>
              <w:rPr>
                <w:rFonts w:eastAsia="Times New Roman"/>
                <w:sz w:val="20"/>
                <w:szCs w:val="20"/>
              </w:rPr>
            </w:pPr>
          </w:p>
        </w:tc>
        <w:tc>
          <w:tcPr>
            <w:tcW w:w="0" w:type="auto"/>
            <w:vAlign w:val="center"/>
            <w:hideMark/>
          </w:tcPr>
          <w:p w14:paraId="7928518E" w14:textId="77777777" w:rsidR="00000000" w:rsidRDefault="00405D16">
            <w:pPr>
              <w:spacing w:after="100"/>
              <w:rPr>
                <w:rFonts w:eastAsia="Times New Roman"/>
                <w:sz w:val="20"/>
                <w:szCs w:val="20"/>
              </w:rPr>
            </w:pPr>
          </w:p>
        </w:tc>
        <w:tc>
          <w:tcPr>
            <w:tcW w:w="0" w:type="auto"/>
            <w:vAlign w:val="center"/>
            <w:hideMark/>
          </w:tcPr>
          <w:p w14:paraId="1ACDA654" w14:textId="77777777" w:rsidR="00000000" w:rsidRDefault="00405D16">
            <w:pPr>
              <w:spacing w:after="100"/>
              <w:rPr>
                <w:rFonts w:eastAsia="Times New Roman"/>
                <w:sz w:val="20"/>
                <w:szCs w:val="20"/>
              </w:rPr>
            </w:pPr>
          </w:p>
        </w:tc>
        <w:tc>
          <w:tcPr>
            <w:tcW w:w="0" w:type="auto"/>
            <w:vAlign w:val="center"/>
            <w:hideMark/>
          </w:tcPr>
          <w:p w14:paraId="5E72B42A" w14:textId="77777777" w:rsidR="00000000" w:rsidRDefault="00405D16">
            <w:pPr>
              <w:spacing w:after="100"/>
              <w:rPr>
                <w:rFonts w:eastAsia="Times New Roman"/>
                <w:sz w:val="20"/>
                <w:szCs w:val="20"/>
              </w:rPr>
            </w:pPr>
          </w:p>
        </w:tc>
        <w:tc>
          <w:tcPr>
            <w:tcW w:w="0" w:type="auto"/>
            <w:vAlign w:val="center"/>
            <w:hideMark/>
          </w:tcPr>
          <w:p w14:paraId="71768C51" w14:textId="77777777" w:rsidR="00000000" w:rsidRDefault="00405D16">
            <w:pPr>
              <w:spacing w:after="100"/>
              <w:rPr>
                <w:rFonts w:eastAsia="Times New Roman"/>
                <w:sz w:val="20"/>
                <w:szCs w:val="20"/>
              </w:rPr>
            </w:pPr>
          </w:p>
        </w:tc>
        <w:tc>
          <w:tcPr>
            <w:tcW w:w="0" w:type="auto"/>
            <w:vAlign w:val="center"/>
            <w:hideMark/>
          </w:tcPr>
          <w:p w14:paraId="6BF1F031" w14:textId="77777777" w:rsidR="00000000" w:rsidRDefault="00405D16">
            <w:pPr>
              <w:spacing w:after="100"/>
              <w:rPr>
                <w:rFonts w:eastAsia="Times New Roman"/>
                <w:sz w:val="20"/>
                <w:szCs w:val="20"/>
              </w:rPr>
            </w:pPr>
          </w:p>
        </w:tc>
        <w:tc>
          <w:tcPr>
            <w:tcW w:w="0" w:type="auto"/>
            <w:vAlign w:val="center"/>
            <w:hideMark/>
          </w:tcPr>
          <w:p w14:paraId="3B986FE0" w14:textId="77777777" w:rsidR="00000000" w:rsidRDefault="00405D16">
            <w:pPr>
              <w:spacing w:after="100"/>
              <w:rPr>
                <w:rFonts w:eastAsia="Times New Roman"/>
                <w:sz w:val="20"/>
                <w:szCs w:val="20"/>
              </w:rPr>
            </w:pPr>
          </w:p>
        </w:tc>
        <w:tc>
          <w:tcPr>
            <w:tcW w:w="0" w:type="auto"/>
            <w:vAlign w:val="center"/>
            <w:hideMark/>
          </w:tcPr>
          <w:p w14:paraId="6208C9C0" w14:textId="77777777" w:rsidR="00000000" w:rsidRDefault="00405D16">
            <w:pPr>
              <w:spacing w:after="100"/>
              <w:rPr>
                <w:rFonts w:eastAsia="Times New Roman"/>
                <w:sz w:val="20"/>
                <w:szCs w:val="20"/>
              </w:rPr>
            </w:pPr>
          </w:p>
        </w:tc>
        <w:tc>
          <w:tcPr>
            <w:tcW w:w="0" w:type="auto"/>
            <w:vAlign w:val="center"/>
            <w:hideMark/>
          </w:tcPr>
          <w:p w14:paraId="0630C1BD" w14:textId="77777777" w:rsidR="00000000" w:rsidRDefault="00405D16">
            <w:pPr>
              <w:spacing w:after="100"/>
              <w:rPr>
                <w:rFonts w:eastAsia="Times New Roman"/>
                <w:sz w:val="20"/>
                <w:szCs w:val="20"/>
              </w:rPr>
            </w:pPr>
          </w:p>
        </w:tc>
        <w:tc>
          <w:tcPr>
            <w:tcW w:w="0" w:type="auto"/>
            <w:vAlign w:val="center"/>
            <w:hideMark/>
          </w:tcPr>
          <w:p w14:paraId="17853439" w14:textId="77777777" w:rsidR="00000000" w:rsidRDefault="00405D16">
            <w:pPr>
              <w:spacing w:after="100"/>
              <w:rPr>
                <w:rFonts w:eastAsia="Times New Roman"/>
                <w:sz w:val="20"/>
                <w:szCs w:val="20"/>
              </w:rPr>
            </w:pPr>
          </w:p>
        </w:tc>
      </w:tr>
      <w:tr w:rsidR="00000000" w14:paraId="1DF2461C" w14:textId="77777777">
        <w:trPr>
          <w:divId w:val="1868330845"/>
        </w:trPr>
        <w:tc>
          <w:tcPr>
            <w:tcW w:w="0" w:type="auto"/>
            <w:gridSpan w:val="3"/>
            <w:vAlign w:val="center"/>
            <w:hideMark/>
          </w:tcPr>
          <w:p w14:paraId="3521496D" w14:textId="77777777" w:rsidR="00000000" w:rsidRDefault="00405D16">
            <w:pPr>
              <w:spacing w:after="100"/>
              <w:rPr>
                <w:rFonts w:eastAsia="Times New Roman"/>
                <w:sz w:val="20"/>
                <w:szCs w:val="20"/>
              </w:rPr>
            </w:pPr>
          </w:p>
        </w:tc>
        <w:tc>
          <w:tcPr>
            <w:tcW w:w="0" w:type="auto"/>
            <w:gridSpan w:val="3"/>
            <w:vAlign w:val="center"/>
            <w:hideMark/>
          </w:tcPr>
          <w:p w14:paraId="590AB197" w14:textId="77777777" w:rsidR="00000000" w:rsidRDefault="00405D16">
            <w:pPr>
              <w:spacing w:after="100"/>
              <w:rPr>
                <w:rFonts w:eastAsia="Times New Roman"/>
                <w:sz w:val="20"/>
                <w:szCs w:val="20"/>
              </w:rPr>
            </w:pPr>
          </w:p>
        </w:tc>
        <w:tc>
          <w:tcPr>
            <w:tcW w:w="0" w:type="auto"/>
            <w:gridSpan w:val="3"/>
            <w:vAlign w:val="center"/>
            <w:hideMark/>
          </w:tcPr>
          <w:p w14:paraId="0A4BC347" w14:textId="77777777" w:rsidR="00000000" w:rsidRDefault="00405D16">
            <w:pPr>
              <w:spacing w:after="100"/>
              <w:rPr>
                <w:rFonts w:eastAsia="Times New Roman"/>
                <w:sz w:val="20"/>
                <w:szCs w:val="20"/>
              </w:rPr>
            </w:pPr>
          </w:p>
        </w:tc>
        <w:tc>
          <w:tcPr>
            <w:tcW w:w="0" w:type="auto"/>
            <w:gridSpan w:val="3"/>
            <w:vAlign w:val="center"/>
            <w:hideMark/>
          </w:tcPr>
          <w:p w14:paraId="178F30F8" w14:textId="77777777" w:rsidR="00000000" w:rsidRDefault="00405D16">
            <w:pPr>
              <w:spacing w:after="100"/>
              <w:rPr>
                <w:rFonts w:eastAsia="Times New Roman"/>
                <w:sz w:val="20"/>
                <w:szCs w:val="20"/>
              </w:rPr>
            </w:pPr>
          </w:p>
        </w:tc>
        <w:tc>
          <w:tcPr>
            <w:tcW w:w="0" w:type="auto"/>
            <w:gridSpan w:val="3"/>
            <w:vAlign w:val="center"/>
            <w:hideMark/>
          </w:tcPr>
          <w:p w14:paraId="6B565A15" w14:textId="77777777" w:rsidR="00000000" w:rsidRDefault="00405D16">
            <w:pPr>
              <w:spacing w:after="100"/>
              <w:rPr>
                <w:rFonts w:eastAsia="Times New Roman"/>
                <w:sz w:val="20"/>
                <w:szCs w:val="20"/>
              </w:rPr>
            </w:pPr>
          </w:p>
        </w:tc>
        <w:tc>
          <w:tcPr>
            <w:tcW w:w="0" w:type="auto"/>
            <w:gridSpan w:val="3"/>
            <w:vAlign w:val="center"/>
            <w:hideMark/>
          </w:tcPr>
          <w:p w14:paraId="6ACAB61C" w14:textId="77777777" w:rsidR="00000000" w:rsidRDefault="00405D16">
            <w:pPr>
              <w:spacing w:after="100"/>
              <w:rPr>
                <w:rFonts w:eastAsia="Times New Roman"/>
                <w:sz w:val="20"/>
                <w:szCs w:val="20"/>
              </w:rPr>
            </w:pPr>
          </w:p>
        </w:tc>
        <w:tc>
          <w:tcPr>
            <w:tcW w:w="0" w:type="auto"/>
            <w:gridSpan w:val="3"/>
            <w:vAlign w:val="center"/>
            <w:hideMark/>
          </w:tcPr>
          <w:p w14:paraId="7DB95252" w14:textId="77777777" w:rsidR="00000000" w:rsidRDefault="00405D16">
            <w:pPr>
              <w:spacing w:after="100"/>
              <w:rPr>
                <w:rFonts w:eastAsia="Times New Roman"/>
                <w:sz w:val="20"/>
                <w:szCs w:val="20"/>
              </w:rPr>
            </w:pPr>
          </w:p>
        </w:tc>
        <w:tc>
          <w:tcPr>
            <w:tcW w:w="0" w:type="auto"/>
            <w:gridSpan w:val="3"/>
            <w:vAlign w:val="center"/>
            <w:hideMark/>
          </w:tcPr>
          <w:p w14:paraId="49980142" w14:textId="77777777" w:rsidR="00000000" w:rsidRDefault="00405D16">
            <w:pPr>
              <w:spacing w:after="100"/>
              <w:rPr>
                <w:rFonts w:eastAsia="Times New Roman"/>
                <w:sz w:val="20"/>
                <w:szCs w:val="20"/>
              </w:rPr>
            </w:pPr>
          </w:p>
        </w:tc>
        <w:tc>
          <w:tcPr>
            <w:tcW w:w="0" w:type="auto"/>
            <w:gridSpan w:val="3"/>
            <w:vAlign w:val="center"/>
            <w:hideMark/>
          </w:tcPr>
          <w:p w14:paraId="67752959" w14:textId="77777777" w:rsidR="00000000" w:rsidRDefault="00405D16">
            <w:pPr>
              <w:spacing w:after="100"/>
              <w:rPr>
                <w:rFonts w:eastAsia="Times New Roman"/>
                <w:sz w:val="20"/>
                <w:szCs w:val="20"/>
              </w:rPr>
            </w:pPr>
          </w:p>
        </w:tc>
        <w:tc>
          <w:tcPr>
            <w:tcW w:w="0" w:type="auto"/>
            <w:gridSpan w:val="3"/>
            <w:vAlign w:val="center"/>
            <w:hideMark/>
          </w:tcPr>
          <w:p w14:paraId="14C03C83" w14:textId="77777777" w:rsidR="00000000" w:rsidRDefault="00405D16">
            <w:pPr>
              <w:spacing w:after="100"/>
              <w:rPr>
                <w:rFonts w:eastAsia="Times New Roman"/>
                <w:sz w:val="20"/>
                <w:szCs w:val="20"/>
              </w:rPr>
            </w:pPr>
          </w:p>
        </w:tc>
        <w:tc>
          <w:tcPr>
            <w:tcW w:w="0" w:type="auto"/>
            <w:gridSpan w:val="3"/>
            <w:vAlign w:val="center"/>
            <w:hideMark/>
          </w:tcPr>
          <w:p w14:paraId="2DDE26C3" w14:textId="77777777" w:rsidR="00000000" w:rsidRDefault="00405D16">
            <w:pPr>
              <w:spacing w:after="100"/>
              <w:rPr>
                <w:rFonts w:eastAsia="Times New Roman"/>
                <w:sz w:val="20"/>
                <w:szCs w:val="20"/>
              </w:rPr>
            </w:pPr>
          </w:p>
        </w:tc>
        <w:tc>
          <w:tcPr>
            <w:tcW w:w="0" w:type="auto"/>
            <w:gridSpan w:val="3"/>
            <w:vAlign w:val="center"/>
            <w:hideMark/>
          </w:tcPr>
          <w:p w14:paraId="3E81D105" w14:textId="77777777" w:rsidR="00000000" w:rsidRDefault="00405D16">
            <w:pPr>
              <w:spacing w:after="100"/>
              <w:rPr>
                <w:rFonts w:eastAsia="Times New Roman"/>
                <w:sz w:val="20"/>
                <w:szCs w:val="20"/>
              </w:rPr>
            </w:pPr>
          </w:p>
        </w:tc>
        <w:tc>
          <w:tcPr>
            <w:tcW w:w="0" w:type="auto"/>
            <w:gridSpan w:val="3"/>
            <w:vAlign w:val="center"/>
            <w:hideMark/>
          </w:tcPr>
          <w:p w14:paraId="153C7FEA" w14:textId="77777777" w:rsidR="00000000" w:rsidRDefault="00405D16">
            <w:pPr>
              <w:spacing w:after="100"/>
              <w:rPr>
                <w:rFonts w:eastAsia="Times New Roman"/>
                <w:sz w:val="20"/>
                <w:szCs w:val="20"/>
              </w:rPr>
            </w:pPr>
          </w:p>
        </w:tc>
        <w:tc>
          <w:tcPr>
            <w:tcW w:w="0" w:type="auto"/>
            <w:gridSpan w:val="3"/>
            <w:vAlign w:val="center"/>
            <w:hideMark/>
          </w:tcPr>
          <w:p w14:paraId="4D03F858" w14:textId="77777777" w:rsidR="00000000" w:rsidRDefault="00405D16">
            <w:pPr>
              <w:spacing w:after="100"/>
              <w:rPr>
                <w:rFonts w:eastAsia="Times New Roman"/>
                <w:sz w:val="20"/>
                <w:szCs w:val="20"/>
              </w:rPr>
            </w:pPr>
          </w:p>
        </w:tc>
        <w:tc>
          <w:tcPr>
            <w:tcW w:w="0" w:type="auto"/>
            <w:gridSpan w:val="3"/>
            <w:vAlign w:val="center"/>
            <w:hideMark/>
          </w:tcPr>
          <w:p w14:paraId="2C5B149F" w14:textId="77777777" w:rsidR="00000000" w:rsidRDefault="00405D16">
            <w:pPr>
              <w:spacing w:after="100"/>
              <w:rPr>
                <w:rFonts w:eastAsia="Times New Roman"/>
                <w:sz w:val="20"/>
                <w:szCs w:val="20"/>
              </w:rPr>
            </w:pPr>
          </w:p>
        </w:tc>
        <w:tc>
          <w:tcPr>
            <w:tcW w:w="0" w:type="auto"/>
            <w:gridSpan w:val="3"/>
            <w:vAlign w:val="center"/>
            <w:hideMark/>
          </w:tcPr>
          <w:p w14:paraId="3D32EAA2" w14:textId="77777777" w:rsidR="00000000" w:rsidRDefault="00405D16">
            <w:pPr>
              <w:spacing w:after="100"/>
              <w:rPr>
                <w:rFonts w:eastAsia="Times New Roman"/>
                <w:sz w:val="20"/>
                <w:szCs w:val="20"/>
              </w:rPr>
            </w:pPr>
          </w:p>
        </w:tc>
        <w:tc>
          <w:tcPr>
            <w:tcW w:w="0" w:type="auto"/>
            <w:gridSpan w:val="3"/>
            <w:vAlign w:val="center"/>
            <w:hideMark/>
          </w:tcPr>
          <w:p w14:paraId="65601EA4" w14:textId="77777777" w:rsidR="00000000" w:rsidRDefault="00405D16">
            <w:pPr>
              <w:spacing w:after="100"/>
              <w:rPr>
                <w:rFonts w:eastAsia="Times New Roman"/>
                <w:sz w:val="20"/>
                <w:szCs w:val="20"/>
              </w:rPr>
            </w:pPr>
          </w:p>
        </w:tc>
        <w:tc>
          <w:tcPr>
            <w:tcW w:w="0" w:type="auto"/>
            <w:gridSpan w:val="3"/>
            <w:vAlign w:val="center"/>
            <w:hideMark/>
          </w:tcPr>
          <w:p w14:paraId="338478F5" w14:textId="77777777" w:rsidR="00000000" w:rsidRDefault="00405D16">
            <w:pPr>
              <w:spacing w:after="100"/>
              <w:rPr>
                <w:rFonts w:eastAsia="Times New Roman"/>
                <w:sz w:val="20"/>
                <w:szCs w:val="20"/>
              </w:rPr>
            </w:pPr>
          </w:p>
        </w:tc>
        <w:tc>
          <w:tcPr>
            <w:tcW w:w="0" w:type="auto"/>
            <w:gridSpan w:val="3"/>
            <w:vAlign w:val="center"/>
            <w:hideMark/>
          </w:tcPr>
          <w:p w14:paraId="7C2120BF" w14:textId="77777777" w:rsidR="00000000" w:rsidRDefault="00405D16">
            <w:pPr>
              <w:spacing w:after="100"/>
              <w:rPr>
                <w:rFonts w:eastAsia="Times New Roman"/>
                <w:sz w:val="20"/>
                <w:szCs w:val="20"/>
              </w:rPr>
            </w:pPr>
          </w:p>
        </w:tc>
      </w:tr>
      <w:tr w:rsidR="00000000" w14:paraId="03E095A0" w14:textId="77777777">
        <w:trPr>
          <w:divId w:val="1868330845"/>
        </w:trPr>
        <w:tc>
          <w:tcPr>
            <w:tcW w:w="0" w:type="auto"/>
            <w:gridSpan w:val="3"/>
            <w:vAlign w:val="center"/>
            <w:hideMark/>
          </w:tcPr>
          <w:p w14:paraId="72786A6C" w14:textId="77777777" w:rsidR="00000000" w:rsidRDefault="00405D16">
            <w:pPr>
              <w:spacing w:after="100"/>
              <w:rPr>
                <w:rFonts w:eastAsia="Times New Roman"/>
                <w:sz w:val="20"/>
                <w:szCs w:val="20"/>
              </w:rPr>
            </w:pPr>
          </w:p>
        </w:tc>
        <w:tc>
          <w:tcPr>
            <w:tcW w:w="0" w:type="auto"/>
            <w:gridSpan w:val="3"/>
            <w:vAlign w:val="center"/>
            <w:hideMark/>
          </w:tcPr>
          <w:p w14:paraId="1097B1AA" w14:textId="77777777" w:rsidR="00000000" w:rsidRDefault="00405D16">
            <w:pPr>
              <w:spacing w:after="100"/>
              <w:rPr>
                <w:rFonts w:eastAsia="Times New Roman"/>
                <w:sz w:val="20"/>
                <w:szCs w:val="20"/>
              </w:rPr>
            </w:pPr>
          </w:p>
        </w:tc>
        <w:tc>
          <w:tcPr>
            <w:tcW w:w="0" w:type="auto"/>
            <w:gridSpan w:val="3"/>
            <w:vAlign w:val="center"/>
            <w:hideMark/>
          </w:tcPr>
          <w:p w14:paraId="26878720" w14:textId="77777777" w:rsidR="00000000" w:rsidRDefault="00405D16">
            <w:pPr>
              <w:spacing w:after="100"/>
              <w:rPr>
                <w:rFonts w:eastAsia="Times New Roman"/>
                <w:sz w:val="20"/>
                <w:szCs w:val="20"/>
              </w:rPr>
            </w:pPr>
          </w:p>
        </w:tc>
        <w:tc>
          <w:tcPr>
            <w:tcW w:w="0" w:type="auto"/>
            <w:gridSpan w:val="3"/>
            <w:vAlign w:val="center"/>
            <w:hideMark/>
          </w:tcPr>
          <w:p w14:paraId="38578B3A" w14:textId="77777777" w:rsidR="00000000" w:rsidRDefault="00405D16">
            <w:pPr>
              <w:spacing w:after="100"/>
              <w:rPr>
                <w:rFonts w:eastAsia="Times New Roman"/>
                <w:sz w:val="20"/>
                <w:szCs w:val="20"/>
              </w:rPr>
            </w:pPr>
          </w:p>
        </w:tc>
        <w:tc>
          <w:tcPr>
            <w:tcW w:w="0" w:type="auto"/>
            <w:gridSpan w:val="3"/>
            <w:vAlign w:val="center"/>
            <w:hideMark/>
          </w:tcPr>
          <w:p w14:paraId="1184F72E" w14:textId="77777777" w:rsidR="00000000" w:rsidRDefault="00405D16">
            <w:pPr>
              <w:spacing w:after="100"/>
              <w:rPr>
                <w:rFonts w:eastAsia="Times New Roman"/>
                <w:sz w:val="20"/>
                <w:szCs w:val="20"/>
              </w:rPr>
            </w:pPr>
          </w:p>
        </w:tc>
        <w:tc>
          <w:tcPr>
            <w:tcW w:w="0" w:type="auto"/>
            <w:gridSpan w:val="3"/>
            <w:vAlign w:val="center"/>
            <w:hideMark/>
          </w:tcPr>
          <w:p w14:paraId="350B61A6" w14:textId="77777777" w:rsidR="00000000" w:rsidRDefault="00405D16">
            <w:pPr>
              <w:spacing w:after="100"/>
              <w:rPr>
                <w:rFonts w:eastAsia="Times New Roman"/>
                <w:sz w:val="20"/>
                <w:szCs w:val="20"/>
              </w:rPr>
            </w:pPr>
          </w:p>
        </w:tc>
        <w:tc>
          <w:tcPr>
            <w:tcW w:w="0" w:type="auto"/>
            <w:gridSpan w:val="3"/>
            <w:vAlign w:val="center"/>
            <w:hideMark/>
          </w:tcPr>
          <w:p w14:paraId="10ADF127" w14:textId="77777777" w:rsidR="00000000" w:rsidRDefault="00405D16">
            <w:pPr>
              <w:spacing w:after="100"/>
              <w:rPr>
                <w:rFonts w:eastAsia="Times New Roman"/>
                <w:sz w:val="20"/>
                <w:szCs w:val="20"/>
              </w:rPr>
            </w:pPr>
          </w:p>
        </w:tc>
        <w:tc>
          <w:tcPr>
            <w:tcW w:w="0" w:type="auto"/>
            <w:gridSpan w:val="3"/>
            <w:vAlign w:val="center"/>
            <w:hideMark/>
          </w:tcPr>
          <w:p w14:paraId="7C092275" w14:textId="77777777" w:rsidR="00000000" w:rsidRDefault="00405D16">
            <w:pPr>
              <w:spacing w:after="100"/>
              <w:rPr>
                <w:rFonts w:eastAsia="Times New Roman"/>
                <w:sz w:val="20"/>
                <w:szCs w:val="20"/>
              </w:rPr>
            </w:pPr>
          </w:p>
        </w:tc>
        <w:tc>
          <w:tcPr>
            <w:tcW w:w="0" w:type="auto"/>
            <w:gridSpan w:val="3"/>
            <w:vAlign w:val="center"/>
            <w:hideMark/>
          </w:tcPr>
          <w:p w14:paraId="057BD2AD" w14:textId="77777777" w:rsidR="00000000" w:rsidRDefault="00405D16">
            <w:pPr>
              <w:spacing w:after="100"/>
              <w:rPr>
                <w:rFonts w:eastAsia="Times New Roman"/>
                <w:sz w:val="20"/>
                <w:szCs w:val="20"/>
              </w:rPr>
            </w:pPr>
          </w:p>
        </w:tc>
        <w:tc>
          <w:tcPr>
            <w:tcW w:w="0" w:type="auto"/>
            <w:gridSpan w:val="3"/>
            <w:vAlign w:val="center"/>
            <w:hideMark/>
          </w:tcPr>
          <w:p w14:paraId="7A4DE72C" w14:textId="77777777" w:rsidR="00000000" w:rsidRDefault="00405D16">
            <w:pPr>
              <w:spacing w:after="100"/>
              <w:rPr>
                <w:rFonts w:eastAsia="Times New Roman"/>
                <w:sz w:val="20"/>
                <w:szCs w:val="20"/>
              </w:rPr>
            </w:pPr>
          </w:p>
        </w:tc>
        <w:tc>
          <w:tcPr>
            <w:tcW w:w="0" w:type="auto"/>
            <w:gridSpan w:val="3"/>
            <w:vAlign w:val="center"/>
            <w:hideMark/>
          </w:tcPr>
          <w:p w14:paraId="19AA8942" w14:textId="77777777" w:rsidR="00000000" w:rsidRDefault="00405D16">
            <w:pPr>
              <w:spacing w:after="100"/>
              <w:rPr>
                <w:rFonts w:eastAsia="Times New Roman"/>
                <w:sz w:val="20"/>
                <w:szCs w:val="20"/>
              </w:rPr>
            </w:pPr>
          </w:p>
        </w:tc>
        <w:tc>
          <w:tcPr>
            <w:tcW w:w="0" w:type="auto"/>
            <w:gridSpan w:val="3"/>
            <w:vAlign w:val="center"/>
            <w:hideMark/>
          </w:tcPr>
          <w:p w14:paraId="3E606FA2" w14:textId="77777777" w:rsidR="00000000" w:rsidRDefault="00405D16">
            <w:pPr>
              <w:spacing w:after="100"/>
              <w:rPr>
                <w:rFonts w:eastAsia="Times New Roman"/>
                <w:sz w:val="20"/>
                <w:szCs w:val="20"/>
              </w:rPr>
            </w:pPr>
          </w:p>
        </w:tc>
        <w:tc>
          <w:tcPr>
            <w:tcW w:w="0" w:type="auto"/>
            <w:gridSpan w:val="3"/>
            <w:vAlign w:val="center"/>
            <w:hideMark/>
          </w:tcPr>
          <w:p w14:paraId="14A77EB5" w14:textId="77777777" w:rsidR="00000000" w:rsidRDefault="00405D16">
            <w:pPr>
              <w:spacing w:after="100"/>
              <w:rPr>
                <w:rFonts w:eastAsia="Times New Roman"/>
                <w:sz w:val="20"/>
                <w:szCs w:val="20"/>
              </w:rPr>
            </w:pPr>
          </w:p>
        </w:tc>
        <w:tc>
          <w:tcPr>
            <w:tcW w:w="0" w:type="auto"/>
            <w:gridSpan w:val="3"/>
            <w:vAlign w:val="center"/>
            <w:hideMark/>
          </w:tcPr>
          <w:p w14:paraId="78B4ABF5" w14:textId="77777777" w:rsidR="00000000" w:rsidRDefault="00405D16">
            <w:pPr>
              <w:spacing w:after="100"/>
              <w:rPr>
                <w:rFonts w:eastAsia="Times New Roman"/>
                <w:sz w:val="20"/>
                <w:szCs w:val="20"/>
              </w:rPr>
            </w:pPr>
          </w:p>
        </w:tc>
        <w:tc>
          <w:tcPr>
            <w:tcW w:w="0" w:type="auto"/>
            <w:gridSpan w:val="3"/>
            <w:vAlign w:val="center"/>
            <w:hideMark/>
          </w:tcPr>
          <w:p w14:paraId="4635DDC6" w14:textId="77777777" w:rsidR="00000000" w:rsidRDefault="00405D16">
            <w:pPr>
              <w:spacing w:after="100"/>
              <w:rPr>
                <w:rFonts w:eastAsia="Times New Roman"/>
                <w:sz w:val="20"/>
                <w:szCs w:val="20"/>
              </w:rPr>
            </w:pPr>
          </w:p>
        </w:tc>
        <w:tc>
          <w:tcPr>
            <w:tcW w:w="0" w:type="auto"/>
            <w:gridSpan w:val="3"/>
            <w:vAlign w:val="center"/>
            <w:hideMark/>
          </w:tcPr>
          <w:p w14:paraId="1B89D3DE" w14:textId="77777777" w:rsidR="00000000" w:rsidRDefault="00405D16">
            <w:pPr>
              <w:spacing w:after="100"/>
              <w:rPr>
                <w:rFonts w:eastAsia="Times New Roman"/>
                <w:sz w:val="20"/>
                <w:szCs w:val="20"/>
              </w:rPr>
            </w:pPr>
          </w:p>
        </w:tc>
        <w:tc>
          <w:tcPr>
            <w:tcW w:w="0" w:type="auto"/>
            <w:gridSpan w:val="3"/>
            <w:vAlign w:val="center"/>
            <w:hideMark/>
          </w:tcPr>
          <w:p w14:paraId="1191A472" w14:textId="77777777" w:rsidR="00000000" w:rsidRDefault="00405D16">
            <w:pPr>
              <w:spacing w:after="100"/>
              <w:rPr>
                <w:rFonts w:eastAsia="Times New Roman"/>
                <w:sz w:val="20"/>
                <w:szCs w:val="20"/>
              </w:rPr>
            </w:pPr>
          </w:p>
        </w:tc>
        <w:tc>
          <w:tcPr>
            <w:tcW w:w="0" w:type="auto"/>
            <w:gridSpan w:val="3"/>
            <w:vAlign w:val="center"/>
            <w:hideMark/>
          </w:tcPr>
          <w:p w14:paraId="1B5E771E" w14:textId="77777777" w:rsidR="00000000" w:rsidRDefault="00405D16">
            <w:pPr>
              <w:spacing w:after="100"/>
              <w:rPr>
                <w:rFonts w:eastAsia="Times New Roman"/>
                <w:sz w:val="20"/>
                <w:szCs w:val="20"/>
              </w:rPr>
            </w:pPr>
          </w:p>
        </w:tc>
        <w:tc>
          <w:tcPr>
            <w:tcW w:w="0" w:type="auto"/>
            <w:gridSpan w:val="3"/>
            <w:vAlign w:val="center"/>
            <w:hideMark/>
          </w:tcPr>
          <w:p w14:paraId="120C7B3D" w14:textId="77777777" w:rsidR="00000000" w:rsidRDefault="00405D16">
            <w:pPr>
              <w:spacing w:after="100"/>
              <w:rPr>
                <w:rFonts w:eastAsia="Times New Roman"/>
                <w:sz w:val="20"/>
                <w:szCs w:val="20"/>
              </w:rPr>
            </w:pPr>
          </w:p>
        </w:tc>
      </w:tr>
      <w:tr w:rsidR="00000000" w14:paraId="17D026BB" w14:textId="77777777">
        <w:trPr>
          <w:divId w:val="1868330845"/>
        </w:trPr>
        <w:tc>
          <w:tcPr>
            <w:tcW w:w="0" w:type="auto"/>
            <w:gridSpan w:val="3"/>
            <w:vAlign w:val="center"/>
            <w:hideMark/>
          </w:tcPr>
          <w:p w14:paraId="59D8D305" w14:textId="77777777" w:rsidR="00000000" w:rsidRDefault="00405D16">
            <w:pPr>
              <w:spacing w:after="100"/>
              <w:rPr>
                <w:rFonts w:eastAsia="Times New Roman"/>
                <w:sz w:val="20"/>
                <w:szCs w:val="20"/>
              </w:rPr>
            </w:pPr>
          </w:p>
        </w:tc>
        <w:tc>
          <w:tcPr>
            <w:tcW w:w="0" w:type="auto"/>
            <w:gridSpan w:val="3"/>
            <w:vAlign w:val="center"/>
            <w:hideMark/>
          </w:tcPr>
          <w:p w14:paraId="6E2453FC" w14:textId="77777777" w:rsidR="00000000" w:rsidRDefault="00405D16">
            <w:pPr>
              <w:spacing w:after="100"/>
              <w:rPr>
                <w:rFonts w:eastAsia="Times New Roman"/>
                <w:sz w:val="20"/>
                <w:szCs w:val="20"/>
              </w:rPr>
            </w:pPr>
          </w:p>
        </w:tc>
        <w:tc>
          <w:tcPr>
            <w:tcW w:w="0" w:type="auto"/>
            <w:gridSpan w:val="3"/>
            <w:vAlign w:val="center"/>
            <w:hideMark/>
          </w:tcPr>
          <w:p w14:paraId="02B6DD57" w14:textId="77777777" w:rsidR="00000000" w:rsidRDefault="00405D16">
            <w:pPr>
              <w:spacing w:after="100"/>
              <w:rPr>
                <w:rFonts w:eastAsia="Times New Roman"/>
                <w:sz w:val="20"/>
                <w:szCs w:val="20"/>
              </w:rPr>
            </w:pPr>
          </w:p>
        </w:tc>
        <w:tc>
          <w:tcPr>
            <w:tcW w:w="0" w:type="auto"/>
            <w:gridSpan w:val="3"/>
            <w:vAlign w:val="center"/>
            <w:hideMark/>
          </w:tcPr>
          <w:p w14:paraId="3C561092" w14:textId="77777777" w:rsidR="00000000" w:rsidRDefault="00405D16">
            <w:pPr>
              <w:spacing w:after="100"/>
              <w:rPr>
                <w:rFonts w:eastAsia="Times New Roman"/>
                <w:sz w:val="20"/>
                <w:szCs w:val="20"/>
              </w:rPr>
            </w:pPr>
          </w:p>
        </w:tc>
        <w:tc>
          <w:tcPr>
            <w:tcW w:w="0" w:type="auto"/>
            <w:gridSpan w:val="3"/>
            <w:vAlign w:val="center"/>
            <w:hideMark/>
          </w:tcPr>
          <w:p w14:paraId="4CC69332" w14:textId="77777777" w:rsidR="00000000" w:rsidRDefault="00405D16">
            <w:pPr>
              <w:spacing w:after="100"/>
              <w:rPr>
                <w:rFonts w:eastAsia="Times New Roman"/>
                <w:sz w:val="20"/>
                <w:szCs w:val="20"/>
              </w:rPr>
            </w:pPr>
          </w:p>
        </w:tc>
        <w:tc>
          <w:tcPr>
            <w:tcW w:w="0" w:type="auto"/>
            <w:gridSpan w:val="3"/>
            <w:vAlign w:val="center"/>
            <w:hideMark/>
          </w:tcPr>
          <w:p w14:paraId="7909D40E" w14:textId="77777777" w:rsidR="00000000" w:rsidRDefault="00405D16">
            <w:pPr>
              <w:spacing w:after="100"/>
              <w:rPr>
                <w:rFonts w:eastAsia="Times New Roman"/>
                <w:sz w:val="20"/>
                <w:szCs w:val="20"/>
              </w:rPr>
            </w:pPr>
          </w:p>
        </w:tc>
        <w:tc>
          <w:tcPr>
            <w:tcW w:w="0" w:type="auto"/>
            <w:gridSpan w:val="3"/>
            <w:vAlign w:val="center"/>
            <w:hideMark/>
          </w:tcPr>
          <w:p w14:paraId="091916B3" w14:textId="77777777" w:rsidR="00000000" w:rsidRDefault="00405D16">
            <w:pPr>
              <w:spacing w:after="100"/>
              <w:rPr>
                <w:rFonts w:eastAsia="Times New Roman"/>
                <w:sz w:val="20"/>
                <w:szCs w:val="20"/>
              </w:rPr>
            </w:pPr>
          </w:p>
        </w:tc>
        <w:tc>
          <w:tcPr>
            <w:tcW w:w="0" w:type="auto"/>
            <w:gridSpan w:val="3"/>
            <w:vAlign w:val="center"/>
            <w:hideMark/>
          </w:tcPr>
          <w:p w14:paraId="22887D03" w14:textId="77777777" w:rsidR="00000000" w:rsidRDefault="00405D16">
            <w:pPr>
              <w:spacing w:after="100"/>
              <w:rPr>
                <w:rFonts w:eastAsia="Times New Roman"/>
                <w:sz w:val="20"/>
                <w:szCs w:val="20"/>
              </w:rPr>
            </w:pPr>
          </w:p>
        </w:tc>
        <w:tc>
          <w:tcPr>
            <w:tcW w:w="0" w:type="auto"/>
            <w:gridSpan w:val="3"/>
            <w:vAlign w:val="center"/>
            <w:hideMark/>
          </w:tcPr>
          <w:p w14:paraId="6930A777" w14:textId="77777777" w:rsidR="00000000" w:rsidRDefault="00405D16">
            <w:pPr>
              <w:spacing w:after="100"/>
              <w:rPr>
                <w:rFonts w:eastAsia="Times New Roman"/>
                <w:sz w:val="20"/>
                <w:szCs w:val="20"/>
              </w:rPr>
            </w:pPr>
          </w:p>
        </w:tc>
        <w:tc>
          <w:tcPr>
            <w:tcW w:w="0" w:type="auto"/>
            <w:gridSpan w:val="3"/>
            <w:vAlign w:val="center"/>
            <w:hideMark/>
          </w:tcPr>
          <w:p w14:paraId="0A957619" w14:textId="77777777" w:rsidR="00000000" w:rsidRDefault="00405D16">
            <w:pPr>
              <w:spacing w:after="100"/>
              <w:rPr>
                <w:rFonts w:eastAsia="Times New Roman"/>
                <w:sz w:val="20"/>
                <w:szCs w:val="20"/>
              </w:rPr>
            </w:pPr>
          </w:p>
        </w:tc>
        <w:tc>
          <w:tcPr>
            <w:tcW w:w="0" w:type="auto"/>
            <w:gridSpan w:val="3"/>
            <w:vAlign w:val="center"/>
            <w:hideMark/>
          </w:tcPr>
          <w:p w14:paraId="22E045D8" w14:textId="77777777" w:rsidR="00000000" w:rsidRDefault="00405D16">
            <w:pPr>
              <w:spacing w:after="100"/>
              <w:rPr>
                <w:rFonts w:eastAsia="Times New Roman"/>
                <w:sz w:val="20"/>
                <w:szCs w:val="20"/>
              </w:rPr>
            </w:pPr>
          </w:p>
        </w:tc>
        <w:tc>
          <w:tcPr>
            <w:tcW w:w="0" w:type="auto"/>
            <w:gridSpan w:val="3"/>
            <w:vAlign w:val="center"/>
            <w:hideMark/>
          </w:tcPr>
          <w:p w14:paraId="10E4421E" w14:textId="77777777" w:rsidR="00000000" w:rsidRDefault="00405D16">
            <w:pPr>
              <w:spacing w:after="100"/>
              <w:rPr>
                <w:rFonts w:eastAsia="Times New Roman"/>
                <w:sz w:val="20"/>
                <w:szCs w:val="20"/>
              </w:rPr>
            </w:pPr>
          </w:p>
        </w:tc>
        <w:tc>
          <w:tcPr>
            <w:tcW w:w="0" w:type="auto"/>
            <w:gridSpan w:val="3"/>
            <w:vAlign w:val="center"/>
            <w:hideMark/>
          </w:tcPr>
          <w:p w14:paraId="1FC939CA" w14:textId="77777777" w:rsidR="00000000" w:rsidRDefault="00405D16">
            <w:pPr>
              <w:spacing w:after="100"/>
              <w:rPr>
                <w:rFonts w:eastAsia="Times New Roman"/>
                <w:sz w:val="20"/>
                <w:szCs w:val="20"/>
              </w:rPr>
            </w:pPr>
          </w:p>
        </w:tc>
        <w:tc>
          <w:tcPr>
            <w:tcW w:w="0" w:type="auto"/>
            <w:gridSpan w:val="3"/>
            <w:vAlign w:val="center"/>
            <w:hideMark/>
          </w:tcPr>
          <w:p w14:paraId="05BAB967" w14:textId="77777777" w:rsidR="00000000" w:rsidRDefault="00405D16">
            <w:pPr>
              <w:spacing w:after="100"/>
              <w:rPr>
                <w:rFonts w:eastAsia="Times New Roman"/>
                <w:sz w:val="20"/>
                <w:szCs w:val="20"/>
              </w:rPr>
            </w:pPr>
          </w:p>
        </w:tc>
        <w:tc>
          <w:tcPr>
            <w:tcW w:w="0" w:type="auto"/>
            <w:gridSpan w:val="3"/>
            <w:vAlign w:val="center"/>
            <w:hideMark/>
          </w:tcPr>
          <w:p w14:paraId="67674EAD" w14:textId="77777777" w:rsidR="00000000" w:rsidRDefault="00405D16">
            <w:pPr>
              <w:spacing w:after="100"/>
              <w:rPr>
                <w:rFonts w:eastAsia="Times New Roman"/>
                <w:sz w:val="20"/>
                <w:szCs w:val="20"/>
              </w:rPr>
            </w:pPr>
          </w:p>
        </w:tc>
        <w:tc>
          <w:tcPr>
            <w:tcW w:w="0" w:type="auto"/>
            <w:gridSpan w:val="3"/>
            <w:vAlign w:val="center"/>
            <w:hideMark/>
          </w:tcPr>
          <w:p w14:paraId="01422DC6" w14:textId="77777777" w:rsidR="00000000" w:rsidRDefault="00405D16">
            <w:pPr>
              <w:spacing w:after="100"/>
              <w:rPr>
                <w:rFonts w:eastAsia="Times New Roman"/>
                <w:sz w:val="20"/>
                <w:szCs w:val="20"/>
              </w:rPr>
            </w:pPr>
          </w:p>
        </w:tc>
        <w:tc>
          <w:tcPr>
            <w:tcW w:w="0" w:type="auto"/>
            <w:gridSpan w:val="3"/>
            <w:vAlign w:val="center"/>
            <w:hideMark/>
          </w:tcPr>
          <w:p w14:paraId="62E2C01F" w14:textId="77777777" w:rsidR="00000000" w:rsidRDefault="00405D16">
            <w:pPr>
              <w:spacing w:after="100"/>
              <w:rPr>
                <w:rFonts w:eastAsia="Times New Roman"/>
                <w:sz w:val="20"/>
                <w:szCs w:val="20"/>
              </w:rPr>
            </w:pPr>
          </w:p>
        </w:tc>
        <w:tc>
          <w:tcPr>
            <w:tcW w:w="0" w:type="auto"/>
            <w:gridSpan w:val="3"/>
            <w:vAlign w:val="center"/>
            <w:hideMark/>
          </w:tcPr>
          <w:p w14:paraId="2FF15223" w14:textId="77777777" w:rsidR="00000000" w:rsidRDefault="00405D16">
            <w:pPr>
              <w:spacing w:after="100"/>
              <w:rPr>
                <w:rFonts w:eastAsia="Times New Roman"/>
                <w:sz w:val="20"/>
                <w:szCs w:val="20"/>
              </w:rPr>
            </w:pPr>
          </w:p>
        </w:tc>
        <w:tc>
          <w:tcPr>
            <w:tcW w:w="0" w:type="auto"/>
            <w:gridSpan w:val="3"/>
            <w:vAlign w:val="center"/>
            <w:hideMark/>
          </w:tcPr>
          <w:p w14:paraId="57E8C4BB" w14:textId="77777777" w:rsidR="00000000" w:rsidRDefault="00405D16">
            <w:pPr>
              <w:spacing w:after="100"/>
              <w:rPr>
                <w:rFonts w:eastAsia="Times New Roman"/>
                <w:sz w:val="20"/>
                <w:szCs w:val="20"/>
              </w:rPr>
            </w:pPr>
          </w:p>
        </w:tc>
      </w:tr>
      <w:tr w:rsidR="00000000" w14:paraId="1DCF1508" w14:textId="77777777">
        <w:trPr>
          <w:divId w:val="1868330845"/>
        </w:trPr>
        <w:tc>
          <w:tcPr>
            <w:tcW w:w="0" w:type="auto"/>
            <w:gridSpan w:val="3"/>
            <w:vAlign w:val="center"/>
            <w:hideMark/>
          </w:tcPr>
          <w:p w14:paraId="276AA3E2" w14:textId="77777777" w:rsidR="00000000" w:rsidRDefault="00405D16">
            <w:pPr>
              <w:spacing w:after="100"/>
              <w:rPr>
                <w:rFonts w:eastAsia="Times New Roman"/>
                <w:sz w:val="20"/>
                <w:szCs w:val="20"/>
              </w:rPr>
            </w:pPr>
          </w:p>
        </w:tc>
        <w:tc>
          <w:tcPr>
            <w:tcW w:w="0" w:type="auto"/>
            <w:gridSpan w:val="3"/>
            <w:vAlign w:val="center"/>
            <w:hideMark/>
          </w:tcPr>
          <w:p w14:paraId="411DE7AC" w14:textId="77777777" w:rsidR="00000000" w:rsidRDefault="00405D16">
            <w:pPr>
              <w:spacing w:after="100"/>
              <w:rPr>
                <w:rFonts w:eastAsia="Times New Roman"/>
                <w:sz w:val="20"/>
                <w:szCs w:val="20"/>
              </w:rPr>
            </w:pPr>
          </w:p>
        </w:tc>
        <w:tc>
          <w:tcPr>
            <w:tcW w:w="0" w:type="auto"/>
            <w:gridSpan w:val="3"/>
            <w:vAlign w:val="center"/>
            <w:hideMark/>
          </w:tcPr>
          <w:p w14:paraId="334D91C5" w14:textId="77777777" w:rsidR="00000000" w:rsidRDefault="00405D16">
            <w:pPr>
              <w:spacing w:after="100"/>
              <w:rPr>
                <w:rFonts w:eastAsia="Times New Roman"/>
                <w:sz w:val="20"/>
                <w:szCs w:val="20"/>
              </w:rPr>
            </w:pPr>
          </w:p>
        </w:tc>
        <w:tc>
          <w:tcPr>
            <w:tcW w:w="0" w:type="auto"/>
            <w:gridSpan w:val="3"/>
            <w:vAlign w:val="center"/>
            <w:hideMark/>
          </w:tcPr>
          <w:p w14:paraId="41DDF5B4" w14:textId="77777777" w:rsidR="00000000" w:rsidRDefault="00405D16">
            <w:pPr>
              <w:spacing w:after="100"/>
              <w:rPr>
                <w:rFonts w:eastAsia="Times New Roman"/>
                <w:sz w:val="20"/>
                <w:szCs w:val="20"/>
              </w:rPr>
            </w:pPr>
          </w:p>
        </w:tc>
        <w:tc>
          <w:tcPr>
            <w:tcW w:w="0" w:type="auto"/>
            <w:gridSpan w:val="3"/>
            <w:vAlign w:val="center"/>
            <w:hideMark/>
          </w:tcPr>
          <w:p w14:paraId="7B27CAA3" w14:textId="77777777" w:rsidR="00000000" w:rsidRDefault="00405D16">
            <w:pPr>
              <w:spacing w:after="100"/>
              <w:rPr>
                <w:rFonts w:eastAsia="Times New Roman"/>
                <w:sz w:val="20"/>
                <w:szCs w:val="20"/>
              </w:rPr>
            </w:pPr>
          </w:p>
        </w:tc>
        <w:tc>
          <w:tcPr>
            <w:tcW w:w="0" w:type="auto"/>
            <w:gridSpan w:val="3"/>
            <w:vAlign w:val="center"/>
            <w:hideMark/>
          </w:tcPr>
          <w:p w14:paraId="4095BDA9" w14:textId="77777777" w:rsidR="00000000" w:rsidRDefault="00405D16">
            <w:pPr>
              <w:spacing w:after="100"/>
              <w:rPr>
                <w:rFonts w:eastAsia="Times New Roman"/>
                <w:sz w:val="20"/>
                <w:szCs w:val="20"/>
              </w:rPr>
            </w:pPr>
          </w:p>
        </w:tc>
        <w:tc>
          <w:tcPr>
            <w:tcW w:w="0" w:type="auto"/>
            <w:gridSpan w:val="3"/>
            <w:vAlign w:val="center"/>
            <w:hideMark/>
          </w:tcPr>
          <w:p w14:paraId="4B99CC58" w14:textId="77777777" w:rsidR="00000000" w:rsidRDefault="00405D16">
            <w:pPr>
              <w:spacing w:after="100"/>
              <w:rPr>
                <w:rFonts w:eastAsia="Times New Roman"/>
                <w:sz w:val="20"/>
                <w:szCs w:val="20"/>
              </w:rPr>
            </w:pPr>
          </w:p>
        </w:tc>
        <w:tc>
          <w:tcPr>
            <w:tcW w:w="0" w:type="auto"/>
            <w:gridSpan w:val="3"/>
            <w:vAlign w:val="center"/>
            <w:hideMark/>
          </w:tcPr>
          <w:p w14:paraId="66411E8A" w14:textId="77777777" w:rsidR="00000000" w:rsidRDefault="00405D16">
            <w:pPr>
              <w:spacing w:after="100"/>
              <w:rPr>
                <w:rFonts w:eastAsia="Times New Roman"/>
                <w:sz w:val="20"/>
                <w:szCs w:val="20"/>
              </w:rPr>
            </w:pPr>
          </w:p>
        </w:tc>
        <w:tc>
          <w:tcPr>
            <w:tcW w:w="0" w:type="auto"/>
            <w:gridSpan w:val="3"/>
            <w:vAlign w:val="center"/>
            <w:hideMark/>
          </w:tcPr>
          <w:p w14:paraId="6B3D746A" w14:textId="77777777" w:rsidR="00000000" w:rsidRDefault="00405D16">
            <w:pPr>
              <w:spacing w:after="100"/>
              <w:rPr>
                <w:rFonts w:eastAsia="Times New Roman"/>
                <w:sz w:val="20"/>
                <w:szCs w:val="20"/>
              </w:rPr>
            </w:pPr>
          </w:p>
        </w:tc>
        <w:tc>
          <w:tcPr>
            <w:tcW w:w="0" w:type="auto"/>
            <w:gridSpan w:val="3"/>
            <w:vAlign w:val="center"/>
            <w:hideMark/>
          </w:tcPr>
          <w:p w14:paraId="2FA7F002" w14:textId="77777777" w:rsidR="00000000" w:rsidRDefault="00405D16">
            <w:pPr>
              <w:spacing w:after="100"/>
              <w:rPr>
                <w:rFonts w:eastAsia="Times New Roman"/>
                <w:sz w:val="20"/>
                <w:szCs w:val="20"/>
              </w:rPr>
            </w:pPr>
          </w:p>
        </w:tc>
        <w:tc>
          <w:tcPr>
            <w:tcW w:w="0" w:type="auto"/>
            <w:gridSpan w:val="3"/>
            <w:vAlign w:val="center"/>
            <w:hideMark/>
          </w:tcPr>
          <w:p w14:paraId="58AF4CF9" w14:textId="77777777" w:rsidR="00000000" w:rsidRDefault="00405D16">
            <w:pPr>
              <w:spacing w:after="100"/>
              <w:rPr>
                <w:rFonts w:eastAsia="Times New Roman"/>
                <w:sz w:val="20"/>
                <w:szCs w:val="20"/>
              </w:rPr>
            </w:pPr>
          </w:p>
        </w:tc>
        <w:tc>
          <w:tcPr>
            <w:tcW w:w="0" w:type="auto"/>
            <w:gridSpan w:val="3"/>
            <w:vAlign w:val="center"/>
            <w:hideMark/>
          </w:tcPr>
          <w:p w14:paraId="5828DAE6" w14:textId="77777777" w:rsidR="00000000" w:rsidRDefault="00405D16">
            <w:pPr>
              <w:spacing w:after="100"/>
              <w:rPr>
                <w:rFonts w:eastAsia="Times New Roman"/>
                <w:sz w:val="20"/>
                <w:szCs w:val="20"/>
              </w:rPr>
            </w:pPr>
          </w:p>
        </w:tc>
        <w:tc>
          <w:tcPr>
            <w:tcW w:w="0" w:type="auto"/>
            <w:gridSpan w:val="3"/>
            <w:vAlign w:val="center"/>
            <w:hideMark/>
          </w:tcPr>
          <w:p w14:paraId="32629FB8" w14:textId="77777777" w:rsidR="00000000" w:rsidRDefault="00405D16">
            <w:pPr>
              <w:spacing w:after="100"/>
              <w:rPr>
                <w:rFonts w:eastAsia="Times New Roman"/>
                <w:sz w:val="20"/>
                <w:szCs w:val="20"/>
              </w:rPr>
            </w:pPr>
          </w:p>
        </w:tc>
        <w:tc>
          <w:tcPr>
            <w:tcW w:w="0" w:type="auto"/>
            <w:gridSpan w:val="3"/>
            <w:vAlign w:val="center"/>
            <w:hideMark/>
          </w:tcPr>
          <w:p w14:paraId="0C961A7B" w14:textId="77777777" w:rsidR="00000000" w:rsidRDefault="00405D16">
            <w:pPr>
              <w:spacing w:after="100"/>
              <w:rPr>
                <w:rFonts w:eastAsia="Times New Roman"/>
                <w:sz w:val="20"/>
                <w:szCs w:val="20"/>
              </w:rPr>
            </w:pPr>
          </w:p>
        </w:tc>
        <w:tc>
          <w:tcPr>
            <w:tcW w:w="0" w:type="auto"/>
            <w:gridSpan w:val="3"/>
            <w:vAlign w:val="center"/>
            <w:hideMark/>
          </w:tcPr>
          <w:p w14:paraId="7582A2D8" w14:textId="77777777" w:rsidR="00000000" w:rsidRDefault="00405D16">
            <w:pPr>
              <w:spacing w:after="100"/>
              <w:rPr>
                <w:rFonts w:eastAsia="Times New Roman"/>
                <w:sz w:val="20"/>
                <w:szCs w:val="20"/>
              </w:rPr>
            </w:pPr>
          </w:p>
        </w:tc>
        <w:tc>
          <w:tcPr>
            <w:tcW w:w="0" w:type="auto"/>
            <w:gridSpan w:val="3"/>
            <w:vAlign w:val="center"/>
            <w:hideMark/>
          </w:tcPr>
          <w:p w14:paraId="2FAE2138" w14:textId="77777777" w:rsidR="00000000" w:rsidRDefault="00405D16">
            <w:pPr>
              <w:spacing w:after="100"/>
              <w:rPr>
                <w:rFonts w:eastAsia="Times New Roman"/>
                <w:sz w:val="20"/>
                <w:szCs w:val="20"/>
              </w:rPr>
            </w:pPr>
          </w:p>
        </w:tc>
        <w:tc>
          <w:tcPr>
            <w:tcW w:w="0" w:type="auto"/>
            <w:gridSpan w:val="3"/>
            <w:vAlign w:val="center"/>
            <w:hideMark/>
          </w:tcPr>
          <w:p w14:paraId="463D38C9" w14:textId="77777777" w:rsidR="00000000" w:rsidRDefault="00405D16">
            <w:pPr>
              <w:spacing w:after="100"/>
              <w:rPr>
                <w:rFonts w:eastAsia="Times New Roman"/>
                <w:sz w:val="20"/>
                <w:szCs w:val="20"/>
              </w:rPr>
            </w:pPr>
          </w:p>
        </w:tc>
        <w:tc>
          <w:tcPr>
            <w:tcW w:w="0" w:type="auto"/>
            <w:gridSpan w:val="3"/>
            <w:vAlign w:val="center"/>
            <w:hideMark/>
          </w:tcPr>
          <w:p w14:paraId="35B84FE3" w14:textId="77777777" w:rsidR="00000000" w:rsidRDefault="00405D16">
            <w:pPr>
              <w:spacing w:after="100"/>
              <w:rPr>
                <w:rFonts w:eastAsia="Times New Roman"/>
                <w:sz w:val="20"/>
                <w:szCs w:val="20"/>
              </w:rPr>
            </w:pPr>
          </w:p>
        </w:tc>
        <w:tc>
          <w:tcPr>
            <w:tcW w:w="0" w:type="auto"/>
            <w:gridSpan w:val="3"/>
            <w:vAlign w:val="center"/>
            <w:hideMark/>
          </w:tcPr>
          <w:p w14:paraId="7ADD7B46" w14:textId="77777777" w:rsidR="00000000" w:rsidRDefault="00405D16">
            <w:pPr>
              <w:spacing w:after="100"/>
              <w:rPr>
                <w:rFonts w:eastAsia="Times New Roman"/>
                <w:sz w:val="20"/>
                <w:szCs w:val="20"/>
              </w:rPr>
            </w:pPr>
          </w:p>
        </w:tc>
      </w:tr>
      <w:tr w:rsidR="00000000" w14:paraId="16ABDC42" w14:textId="77777777">
        <w:trPr>
          <w:divId w:val="1868330845"/>
        </w:trPr>
        <w:tc>
          <w:tcPr>
            <w:tcW w:w="0" w:type="auto"/>
            <w:gridSpan w:val="3"/>
            <w:vAlign w:val="center"/>
            <w:hideMark/>
          </w:tcPr>
          <w:p w14:paraId="2C669D43" w14:textId="77777777" w:rsidR="00000000" w:rsidRDefault="00405D16">
            <w:pPr>
              <w:spacing w:after="100"/>
              <w:rPr>
                <w:rFonts w:eastAsia="Times New Roman"/>
                <w:sz w:val="20"/>
                <w:szCs w:val="20"/>
              </w:rPr>
            </w:pPr>
          </w:p>
        </w:tc>
        <w:tc>
          <w:tcPr>
            <w:tcW w:w="0" w:type="auto"/>
            <w:gridSpan w:val="3"/>
            <w:vAlign w:val="center"/>
            <w:hideMark/>
          </w:tcPr>
          <w:p w14:paraId="77ABE682" w14:textId="77777777" w:rsidR="00000000" w:rsidRDefault="00405D16">
            <w:pPr>
              <w:spacing w:after="100"/>
              <w:rPr>
                <w:rFonts w:eastAsia="Times New Roman"/>
                <w:sz w:val="20"/>
                <w:szCs w:val="20"/>
              </w:rPr>
            </w:pPr>
          </w:p>
        </w:tc>
        <w:tc>
          <w:tcPr>
            <w:tcW w:w="0" w:type="auto"/>
            <w:gridSpan w:val="3"/>
            <w:vAlign w:val="center"/>
            <w:hideMark/>
          </w:tcPr>
          <w:p w14:paraId="18B6FAE5" w14:textId="77777777" w:rsidR="00000000" w:rsidRDefault="00405D16">
            <w:pPr>
              <w:spacing w:after="100"/>
              <w:rPr>
                <w:rFonts w:eastAsia="Times New Roman"/>
                <w:sz w:val="20"/>
                <w:szCs w:val="20"/>
              </w:rPr>
            </w:pPr>
          </w:p>
        </w:tc>
        <w:tc>
          <w:tcPr>
            <w:tcW w:w="0" w:type="auto"/>
            <w:gridSpan w:val="3"/>
            <w:vAlign w:val="center"/>
            <w:hideMark/>
          </w:tcPr>
          <w:p w14:paraId="3EC3EBCC" w14:textId="77777777" w:rsidR="00000000" w:rsidRDefault="00405D16">
            <w:pPr>
              <w:spacing w:after="100"/>
              <w:rPr>
                <w:rFonts w:eastAsia="Times New Roman"/>
                <w:sz w:val="20"/>
                <w:szCs w:val="20"/>
              </w:rPr>
            </w:pPr>
          </w:p>
        </w:tc>
        <w:tc>
          <w:tcPr>
            <w:tcW w:w="0" w:type="auto"/>
            <w:gridSpan w:val="3"/>
            <w:vAlign w:val="center"/>
            <w:hideMark/>
          </w:tcPr>
          <w:p w14:paraId="7D39CB52" w14:textId="77777777" w:rsidR="00000000" w:rsidRDefault="00405D16">
            <w:pPr>
              <w:spacing w:after="100"/>
              <w:rPr>
                <w:rFonts w:eastAsia="Times New Roman"/>
                <w:sz w:val="20"/>
                <w:szCs w:val="20"/>
              </w:rPr>
            </w:pPr>
          </w:p>
        </w:tc>
        <w:tc>
          <w:tcPr>
            <w:tcW w:w="0" w:type="auto"/>
            <w:gridSpan w:val="3"/>
            <w:vAlign w:val="center"/>
            <w:hideMark/>
          </w:tcPr>
          <w:p w14:paraId="2D39FD4E" w14:textId="77777777" w:rsidR="00000000" w:rsidRDefault="00405D16">
            <w:pPr>
              <w:spacing w:after="100"/>
              <w:rPr>
                <w:rFonts w:eastAsia="Times New Roman"/>
                <w:sz w:val="20"/>
                <w:szCs w:val="20"/>
              </w:rPr>
            </w:pPr>
          </w:p>
        </w:tc>
        <w:tc>
          <w:tcPr>
            <w:tcW w:w="0" w:type="auto"/>
            <w:gridSpan w:val="3"/>
            <w:vAlign w:val="center"/>
            <w:hideMark/>
          </w:tcPr>
          <w:p w14:paraId="24B75E32" w14:textId="77777777" w:rsidR="00000000" w:rsidRDefault="00405D16">
            <w:pPr>
              <w:spacing w:after="100"/>
              <w:rPr>
                <w:rFonts w:eastAsia="Times New Roman"/>
                <w:sz w:val="20"/>
                <w:szCs w:val="20"/>
              </w:rPr>
            </w:pPr>
          </w:p>
        </w:tc>
        <w:tc>
          <w:tcPr>
            <w:tcW w:w="0" w:type="auto"/>
            <w:gridSpan w:val="3"/>
            <w:vAlign w:val="center"/>
            <w:hideMark/>
          </w:tcPr>
          <w:p w14:paraId="29A57B3C" w14:textId="77777777" w:rsidR="00000000" w:rsidRDefault="00405D16">
            <w:pPr>
              <w:spacing w:after="100"/>
              <w:rPr>
                <w:rFonts w:eastAsia="Times New Roman"/>
                <w:sz w:val="20"/>
                <w:szCs w:val="20"/>
              </w:rPr>
            </w:pPr>
          </w:p>
        </w:tc>
        <w:tc>
          <w:tcPr>
            <w:tcW w:w="0" w:type="auto"/>
            <w:gridSpan w:val="3"/>
            <w:vAlign w:val="center"/>
            <w:hideMark/>
          </w:tcPr>
          <w:p w14:paraId="4C7562D2" w14:textId="77777777" w:rsidR="00000000" w:rsidRDefault="00405D16">
            <w:pPr>
              <w:spacing w:after="100"/>
              <w:rPr>
                <w:rFonts w:eastAsia="Times New Roman"/>
                <w:sz w:val="20"/>
                <w:szCs w:val="20"/>
              </w:rPr>
            </w:pPr>
          </w:p>
        </w:tc>
        <w:tc>
          <w:tcPr>
            <w:tcW w:w="0" w:type="auto"/>
            <w:gridSpan w:val="3"/>
            <w:vAlign w:val="center"/>
            <w:hideMark/>
          </w:tcPr>
          <w:p w14:paraId="4E5CEAB4" w14:textId="77777777" w:rsidR="00000000" w:rsidRDefault="00405D16">
            <w:pPr>
              <w:spacing w:after="100"/>
              <w:rPr>
                <w:rFonts w:eastAsia="Times New Roman"/>
                <w:sz w:val="20"/>
                <w:szCs w:val="20"/>
              </w:rPr>
            </w:pPr>
          </w:p>
        </w:tc>
        <w:tc>
          <w:tcPr>
            <w:tcW w:w="0" w:type="auto"/>
            <w:gridSpan w:val="3"/>
            <w:vAlign w:val="center"/>
            <w:hideMark/>
          </w:tcPr>
          <w:p w14:paraId="5DA4E21E" w14:textId="77777777" w:rsidR="00000000" w:rsidRDefault="00405D16">
            <w:pPr>
              <w:spacing w:after="100"/>
              <w:rPr>
                <w:rFonts w:eastAsia="Times New Roman"/>
                <w:sz w:val="20"/>
                <w:szCs w:val="20"/>
              </w:rPr>
            </w:pPr>
          </w:p>
        </w:tc>
        <w:tc>
          <w:tcPr>
            <w:tcW w:w="0" w:type="auto"/>
            <w:gridSpan w:val="3"/>
            <w:vAlign w:val="center"/>
            <w:hideMark/>
          </w:tcPr>
          <w:p w14:paraId="198373DD" w14:textId="77777777" w:rsidR="00000000" w:rsidRDefault="00405D16">
            <w:pPr>
              <w:spacing w:after="100"/>
              <w:rPr>
                <w:rFonts w:eastAsia="Times New Roman"/>
                <w:sz w:val="20"/>
                <w:szCs w:val="20"/>
              </w:rPr>
            </w:pPr>
          </w:p>
        </w:tc>
        <w:tc>
          <w:tcPr>
            <w:tcW w:w="0" w:type="auto"/>
            <w:gridSpan w:val="3"/>
            <w:vAlign w:val="center"/>
            <w:hideMark/>
          </w:tcPr>
          <w:p w14:paraId="6300AC64" w14:textId="77777777" w:rsidR="00000000" w:rsidRDefault="00405D16">
            <w:pPr>
              <w:spacing w:after="100"/>
              <w:rPr>
                <w:rFonts w:eastAsia="Times New Roman"/>
                <w:sz w:val="20"/>
                <w:szCs w:val="20"/>
              </w:rPr>
            </w:pPr>
          </w:p>
        </w:tc>
        <w:tc>
          <w:tcPr>
            <w:tcW w:w="0" w:type="auto"/>
            <w:gridSpan w:val="3"/>
            <w:vAlign w:val="center"/>
            <w:hideMark/>
          </w:tcPr>
          <w:p w14:paraId="2BE260A1" w14:textId="77777777" w:rsidR="00000000" w:rsidRDefault="00405D16">
            <w:pPr>
              <w:spacing w:after="100"/>
              <w:rPr>
                <w:rFonts w:eastAsia="Times New Roman"/>
                <w:sz w:val="20"/>
                <w:szCs w:val="20"/>
              </w:rPr>
            </w:pPr>
          </w:p>
        </w:tc>
        <w:tc>
          <w:tcPr>
            <w:tcW w:w="0" w:type="auto"/>
            <w:gridSpan w:val="3"/>
            <w:vAlign w:val="center"/>
            <w:hideMark/>
          </w:tcPr>
          <w:p w14:paraId="26A1D456" w14:textId="77777777" w:rsidR="00000000" w:rsidRDefault="00405D16">
            <w:pPr>
              <w:spacing w:after="100"/>
              <w:rPr>
                <w:rFonts w:eastAsia="Times New Roman"/>
                <w:sz w:val="20"/>
                <w:szCs w:val="20"/>
              </w:rPr>
            </w:pPr>
          </w:p>
        </w:tc>
        <w:tc>
          <w:tcPr>
            <w:tcW w:w="0" w:type="auto"/>
            <w:gridSpan w:val="3"/>
            <w:vAlign w:val="center"/>
            <w:hideMark/>
          </w:tcPr>
          <w:p w14:paraId="295BA489" w14:textId="77777777" w:rsidR="00000000" w:rsidRDefault="00405D16">
            <w:pPr>
              <w:spacing w:after="100"/>
              <w:rPr>
                <w:rFonts w:eastAsia="Times New Roman"/>
                <w:sz w:val="20"/>
                <w:szCs w:val="20"/>
              </w:rPr>
            </w:pPr>
          </w:p>
        </w:tc>
        <w:tc>
          <w:tcPr>
            <w:tcW w:w="0" w:type="auto"/>
            <w:gridSpan w:val="3"/>
            <w:vAlign w:val="center"/>
            <w:hideMark/>
          </w:tcPr>
          <w:p w14:paraId="3BC3E593" w14:textId="77777777" w:rsidR="00000000" w:rsidRDefault="00405D16">
            <w:pPr>
              <w:spacing w:after="100"/>
              <w:rPr>
                <w:rFonts w:eastAsia="Times New Roman"/>
                <w:sz w:val="20"/>
                <w:szCs w:val="20"/>
              </w:rPr>
            </w:pPr>
          </w:p>
        </w:tc>
        <w:tc>
          <w:tcPr>
            <w:tcW w:w="0" w:type="auto"/>
            <w:gridSpan w:val="3"/>
            <w:vAlign w:val="center"/>
            <w:hideMark/>
          </w:tcPr>
          <w:p w14:paraId="654B0F04" w14:textId="77777777" w:rsidR="00000000" w:rsidRDefault="00405D16">
            <w:pPr>
              <w:spacing w:after="100"/>
              <w:rPr>
                <w:rFonts w:eastAsia="Times New Roman"/>
                <w:sz w:val="20"/>
                <w:szCs w:val="20"/>
              </w:rPr>
            </w:pPr>
          </w:p>
        </w:tc>
        <w:tc>
          <w:tcPr>
            <w:tcW w:w="0" w:type="auto"/>
            <w:gridSpan w:val="3"/>
            <w:vAlign w:val="center"/>
            <w:hideMark/>
          </w:tcPr>
          <w:p w14:paraId="0B8C0BC3" w14:textId="77777777" w:rsidR="00000000" w:rsidRDefault="00405D16">
            <w:pPr>
              <w:spacing w:after="100"/>
              <w:rPr>
                <w:rFonts w:eastAsia="Times New Roman"/>
                <w:sz w:val="20"/>
                <w:szCs w:val="20"/>
              </w:rPr>
            </w:pPr>
          </w:p>
        </w:tc>
      </w:tr>
      <w:tr w:rsidR="00000000" w14:paraId="3A8D2243" w14:textId="77777777">
        <w:trPr>
          <w:divId w:val="1868330845"/>
        </w:trPr>
        <w:tc>
          <w:tcPr>
            <w:tcW w:w="0" w:type="auto"/>
            <w:gridSpan w:val="3"/>
            <w:vAlign w:val="center"/>
            <w:hideMark/>
          </w:tcPr>
          <w:p w14:paraId="5A2D8E17" w14:textId="77777777" w:rsidR="00000000" w:rsidRDefault="00405D16">
            <w:pPr>
              <w:spacing w:after="100"/>
              <w:rPr>
                <w:rFonts w:eastAsia="Times New Roman"/>
                <w:sz w:val="20"/>
                <w:szCs w:val="20"/>
              </w:rPr>
            </w:pPr>
          </w:p>
        </w:tc>
        <w:tc>
          <w:tcPr>
            <w:tcW w:w="0" w:type="auto"/>
            <w:gridSpan w:val="3"/>
            <w:vAlign w:val="center"/>
            <w:hideMark/>
          </w:tcPr>
          <w:p w14:paraId="20B0F873" w14:textId="77777777" w:rsidR="00000000" w:rsidRDefault="00405D16">
            <w:pPr>
              <w:spacing w:after="100"/>
              <w:rPr>
                <w:rFonts w:eastAsia="Times New Roman"/>
                <w:sz w:val="20"/>
                <w:szCs w:val="20"/>
              </w:rPr>
            </w:pPr>
          </w:p>
        </w:tc>
        <w:tc>
          <w:tcPr>
            <w:tcW w:w="0" w:type="auto"/>
            <w:gridSpan w:val="3"/>
            <w:vAlign w:val="center"/>
            <w:hideMark/>
          </w:tcPr>
          <w:p w14:paraId="4038236D" w14:textId="77777777" w:rsidR="00000000" w:rsidRDefault="00405D16">
            <w:pPr>
              <w:spacing w:after="100"/>
              <w:rPr>
                <w:rFonts w:eastAsia="Times New Roman"/>
                <w:sz w:val="20"/>
                <w:szCs w:val="20"/>
              </w:rPr>
            </w:pPr>
          </w:p>
        </w:tc>
        <w:tc>
          <w:tcPr>
            <w:tcW w:w="0" w:type="auto"/>
            <w:gridSpan w:val="3"/>
            <w:vAlign w:val="center"/>
            <w:hideMark/>
          </w:tcPr>
          <w:p w14:paraId="44B3E9A9" w14:textId="77777777" w:rsidR="00000000" w:rsidRDefault="00405D16">
            <w:pPr>
              <w:spacing w:after="100"/>
              <w:rPr>
                <w:rFonts w:eastAsia="Times New Roman"/>
                <w:sz w:val="20"/>
                <w:szCs w:val="20"/>
              </w:rPr>
            </w:pPr>
          </w:p>
        </w:tc>
        <w:tc>
          <w:tcPr>
            <w:tcW w:w="0" w:type="auto"/>
            <w:gridSpan w:val="3"/>
            <w:vAlign w:val="center"/>
            <w:hideMark/>
          </w:tcPr>
          <w:p w14:paraId="4517C2CC" w14:textId="77777777" w:rsidR="00000000" w:rsidRDefault="00405D16">
            <w:pPr>
              <w:spacing w:after="100"/>
              <w:rPr>
                <w:rFonts w:eastAsia="Times New Roman"/>
                <w:sz w:val="20"/>
                <w:szCs w:val="20"/>
              </w:rPr>
            </w:pPr>
          </w:p>
        </w:tc>
        <w:tc>
          <w:tcPr>
            <w:tcW w:w="0" w:type="auto"/>
            <w:gridSpan w:val="3"/>
            <w:vAlign w:val="center"/>
            <w:hideMark/>
          </w:tcPr>
          <w:p w14:paraId="3B98F41C" w14:textId="77777777" w:rsidR="00000000" w:rsidRDefault="00405D16">
            <w:pPr>
              <w:spacing w:after="100"/>
              <w:rPr>
                <w:rFonts w:eastAsia="Times New Roman"/>
                <w:sz w:val="20"/>
                <w:szCs w:val="20"/>
              </w:rPr>
            </w:pPr>
          </w:p>
        </w:tc>
        <w:tc>
          <w:tcPr>
            <w:tcW w:w="0" w:type="auto"/>
            <w:gridSpan w:val="3"/>
            <w:vAlign w:val="center"/>
            <w:hideMark/>
          </w:tcPr>
          <w:p w14:paraId="75D9B481" w14:textId="77777777" w:rsidR="00000000" w:rsidRDefault="00405D16">
            <w:pPr>
              <w:spacing w:after="100"/>
              <w:rPr>
                <w:rFonts w:eastAsia="Times New Roman"/>
                <w:sz w:val="20"/>
                <w:szCs w:val="20"/>
              </w:rPr>
            </w:pPr>
          </w:p>
        </w:tc>
        <w:tc>
          <w:tcPr>
            <w:tcW w:w="0" w:type="auto"/>
            <w:gridSpan w:val="3"/>
            <w:vAlign w:val="center"/>
            <w:hideMark/>
          </w:tcPr>
          <w:p w14:paraId="3BEEAD01" w14:textId="77777777" w:rsidR="00000000" w:rsidRDefault="00405D16">
            <w:pPr>
              <w:spacing w:after="100"/>
              <w:rPr>
                <w:rFonts w:eastAsia="Times New Roman"/>
                <w:sz w:val="20"/>
                <w:szCs w:val="20"/>
              </w:rPr>
            </w:pPr>
          </w:p>
        </w:tc>
        <w:tc>
          <w:tcPr>
            <w:tcW w:w="0" w:type="auto"/>
            <w:gridSpan w:val="3"/>
            <w:vAlign w:val="center"/>
            <w:hideMark/>
          </w:tcPr>
          <w:p w14:paraId="4E6FC7D2" w14:textId="77777777" w:rsidR="00000000" w:rsidRDefault="00405D16">
            <w:pPr>
              <w:spacing w:after="100"/>
              <w:rPr>
                <w:rFonts w:eastAsia="Times New Roman"/>
                <w:sz w:val="20"/>
                <w:szCs w:val="20"/>
              </w:rPr>
            </w:pPr>
          </w:p>
        </w:tc>
        <w:tc>
          <w:tcPr>
            <w:tcW w:w="0" w:type="auto"/>
            <w:gridSpan w:val="3"/>
            <w:vAlign w:val="center"/>
            <w:hideMark/>
          </w:tcPr>
          <w:p w14:paraId="31518F91" w14:textId="77777777" w:rsidR="00000000" w:rsidRDefault="00405D16">
            <w:pPr>
              <w:spacing w:after="100"/>
              <w:rPr>
                <w:rFonts w:eastAsia="Times New Roman"/>
                <w:sz w:val="20"/>
                <w:szCs w:val="20"/>
              </w:rPr>
            </w:pPr>
          </w:p>
        </w:tc>
        <w:tc>
          <w:tcPr>
            <w:tcW w:w="0" w:type="auto"/>
            <w:gridSpan w:val="3"/>
            <w:vAlign w:val="center"/>
            <w:hideMark/>
          </w:tcPr>
          <w:p w14:paraId="20FD8412" w14:textId="77777777" w:rsidR="00000000" w:rsidRDefault="00405D16">
            <w:pPr>
              <w:spacing w:after="100"/>
              <w:rPr>
                <w:rFonts w:eastAsia="Times New Roman"/>
                <w:sz w:val="20"/>
                <w:szCs w:val="20"/>
              </w:rPr>
            </w:pPr>
          </w:p>
        </w:tc>
        <w:tc>
          <w:tcPr>
            <w:tcW w:w="0" w:type="auto"/>
            <w:gridSpan w:val="3"/>
            <w:vAlign w:val="center"/>
            <w:hideMark/>
          </w:tcPr>
          <w:p w14:paraId="38C06A93" w14:textId="77777777" w:rsidR="00000000" w:rsidRDefault="00405D16">
            <w:pPr>
              <w:spacing w:after="100"/>
              <w:rPr>
                <w:rFonts w:eastAsia="Times New Roman"/>
                <w:sz w:val="20"/>
                <w:szCs w:val="20"/>
              </w:rPr>
            </w:pPr>
          </w:p>
        </w:tc>
        <w:tc>
          <w:tcPr>
            <w:tcW w:w="0" w:type="auto"/>
            <w:gridSpan w:val="3"/>
            <w:vAlign w:val="center"/>
            <w:hideMark/>
          </w:tcPr>
          <w:p w14:paraId="48C5608B" w14:textId="77777777" w:rsidR="00000000" w:rsidRDefault="00405D16">
            <w:pPr>
              <w:spacing w:after="100"/>
              <w:rPr>
                <w:rFonts w:eastAsia="Times New Roman"/>
                <w:sz w:val="20"/>
                <w:szCs w:val="20"/>
              </w:rPr>
            </w:pPr>
          </w:p>
        </w:tc>
        <w:tc>
          <w:tcPr>
            <w:tcW w:w="0" w:type="auto"/>
            <w:gridSpan w:val="3"/>
            <w:vAlign w:val="center"/>
            <w:hideMark/>
          </w:tcPr>
          <w:p w14:paraId="571597DA" w14:textId="77777777" w:rsidR="00000000" w:rsidRDefault="00405D16">
            <w:pPr>
              <w:spacing w:after="100"/>
              <w:rPr>
                <w:rFonts w:eastAsia="Times New Roman"/>
                <w:sz w:val="20"/>
                <w:szCs w:val="20"/>
              </w:rPr>
            </w:pPr>
          </w:p>
        </w:tc>
        <w:tc>
          <w:tcPr>
            <w:tcW w:w="0" w:type="auto"/>
            <w:gridSpan w:val="3"/>
            <w:vAlign w:val="center"/>
            <w:hideMark/>
          </w:tcPr>
          <w:p w14:paraId="726F5A7D" w14:textId="77777777" w:rsidR="00000000" w:rsidRDefault="00405D16">
            <w:pPr>
              <w:spacing w:after="100"/>
              <w:rPr>
                <w:rFonts w:eastAsia="Times New Roman"/>
                <w:sz w:val="20"/>
                <w:szCs w:val="20"/>
              </w:rPr>
            </w:pPr>
          </w:p>
        </w:tc>
        <w:tc>
          <w:tcPr>
            <w:tcW w:w="0" w:type="auto"/>
            <w:gridSpan w:val="3"/>
            <w:vAlign w:val="center"/>
            <w:hideMark/>
          </w:tcPr>
          <w:p w14:paraId="34EF5483" w14:textId="77777777" w:rsidR="00000000" w:rsidRDefault="00405D16">
            <w:pPr>
              <w:spacing w:after="100"/>
              <w:rPr>
                <w:rFonts w:eastAsia="Times New Roman"/>
                <w:sz w:val="20"/>
                <w:szCs w:val="20"/>
              </w:rPr>
            </w:pPr>
          </w:p>
        </w:tc>
        <w:tc>
          <w:tcPr>
            <w:tcW w:w="0" w:type="auto"/>
            <w:gridSpan w:val="3"/>
            <w:vAlign w:val="center"/>
            <w:hideMark/>
          </w:tcPr>
          <w:p w14:paraId="5C89FD08" w14:textId="77777777" w:rsidR="00000000" w:rsidRDefault="00405D16">
            <w:pPr>
              <w:spacing w:after="100"/>
              <w:rPr>
                <w:rFonts w:eastAsia="Times New Roman"/>
                <w:sz w:val="20"/>
                <w:szCs w:val="20"/>
              </w:rPr>
            </w:pPr>
          </w:p>
        </w:tc>
        <w:tc>
          <w:tcPr>
            <w:tcW w:w="0" w:type="auto"/>
            <w:gridSpan w:val="3"/>
            <w:vAlign w:val="center"/>
            <w:hideMark/>
          </w:tcPr>
          <w:p w14:paraId="34BCF4C6" w14:textId="77777777" w:rsidR="00000000" w:rsidRDefault="00405D16">
            <w:pPr>
              <w:spacing w:after="100"/>
              <w:rPr>
                <w:rFonts w:eastAsia="Times New Roman"/>
                <w:sz w:val="20"/>
                <w:szCs w:val="20"/>
              </w:rPr>
            </w:pPr>
          </w:p>
        </w:tc>
        <w:tc>
          <w:tcPr>
            <w:tcW w:w="0" w:type="auto"/>
            <w:gridSpan w:val="3"/>
            <w:vAlign w:val="center"/>
            <w:hideMark/>
          </w:tcPr>
          <w:p w14:paraId="500713BD" w14:textId="77777777" w:rsidR="00000000" w:rsidRDefault="00405D16">
            <w:pPr>
              <w:spacing w:after="100"/>
              <w:rPr>
                <w:rFonts w:eastAsia="Times New Roman"/>
                <w:sz w:val="20"/>
                <w:szCs w:val="20"/>
              </w:rPr>
            </w:pPr>
          </w:p>
        </w:tc>
      </w:tr>
      <w:tr w:rsidR="00000000" w14:paraId="195958CF" w14:textId="77777777">
        <w:trPr>
          <w:divId w:val="1868330845"/>
        </w:trPr>
        <w:tc>
          <w:tcPr>
            <w:tcW w:w="0" w:type="auto"/>
            <w:gridSpan w:val="3"/>
            <w:vAlign w:val="center"/>
            <w:hideMark/>
          </w:tcPr>
          <w:p w14:paraId="53682DB2" w14:textId="77777777" w:rsidR="00000000" w:rsidRDefault="00405D16">
            <w:pPr>
              <w:spacing w:after="100"/>
              <w:rPr>
                <w:rFonts w:eastAsia="Times New Roman"/>
                <w:sz w:val="20"/>
                <w:szCs w:val="20"/>
              </w:rPr>
            </w:pPr>
          </w:p>
        </w:tc>
        <w:tc>
          <w:tcPr>
            <w:tcW w:w="0" w:type="auto"/>
            <w:gridSpan w:val="3"/>
            <w:vAlign w:val="center"/>
            <w:hideMark/>
          </w:tcPr>
          <w:p w14:paraId="5EADD8D5" w14:textId="77777777" w:rsidR="00000000" w:rsidRDefault="00405D16">
            <w:pPr>
              <w:spacing w:after="100"/>
              <w:rPr>
                <w:rFonts w:eastAsia="Times New Roman"/>
                <w:sz w:val="20"/>
                <w:szCs w:val="20"/>
              </w:rPr>
            </w:pPr>
          </w:p>
        </w:tc>
        <w:tc>
          <w:tcPr>
            <w:tcW w:w="0" w:type="auto"/>
            <w:gridSpan w:val="3"/>
            <w:vAlign w:val="center"/>
            <w:hideMark/>
          </w:tcPr>
          <w:p w14:paraId="4E64550B" w14:textId="77777777" w:rsidR="00000000" w:rsidRDefault="00405D16">
            <w:pPr>
              <w:spacing w:after="100"/>
              <w:rPr>
                <w:rFonts w:eastAsia="Times New Roman"/>
                <w:sz w:val="20"/>
                <w:szCs w:val="20"/>
              </w:rPr>
            </w:pPr>
          </w:p>
        </w:tc>
        <w:tc>
          <w:tcPr>
            <w:tcW w:w="0" w:type="auto"/>
            <w:gridSpan w:val="3"/>
            <w:vAlign w:val="center"/>
            <w:hideMark/>
          </w:tcPr>
          <w:p w14:paraId="7A1F75E3" w14:textId="77777777" w:rsidR="00000000" w:rsidRDefault="00405D16">
            <w:pPr>
              <w:spacing w:after="100"/>
              <w:rPr>
                <w:rFonts w:eastAsia="Times New Roman"/>
                <w:sz w:val="20"/>
                <w:szCs w:val="20"/>
              </w:rPr>
            </w:pPr>
          </w:p>
        </w:tc>
        <w:tc>
          <w:tcPr>
            <w:tcW w:w="0" w:type="auto"/>
            <w:gridSpan w:val="3"/>
            <w:vAlign w:val="center"/>
            <w:hideMark/>
          </w:tcPr>
          <w:p w14:paraId="23FA7F13" w14:textId="77777777" w:rsidR="00000000" w:rsidRDefault="00405D16">
            <w:pPr>
              <w:spacing w:after="100"/>
              <w:rPr>
                <w:rFonts w:eastAsia="Times New Roman"/>
                <w:sz w:val="20"/>
                <w:szCs w:val="20"/>
              </w:rPr>
            </w:pPr>
          </w:p>
        </w:tc>
        <w:tc>
          <w:tcPr>
            <w:tcW w:w="0" w:type="auto"/>
            <w:gridSpan w:val="3"/>
            <w:vAlign w:val="center"/>
            <w:hideMark/>
          </w:tcPr>
          <w:p w14:paraId="5BE9CE3F" w14:textId="77777777" w:rsidR="00000000" w:rsidRDefault="00405D16">
            <w:pPr>
              <w:spacing w:after="100"/>
              <w:rPr>
                <w:rFonts w:eastAsia="Times New Roman"/>
                <w:sz w:val="20"/>
                <w:szCs w:val="20"/>
              </w:rPr>
            </w:pPr>
          </w:p>
        </w:tc>
        <w:tc>
          <w:tcPr>
            <w:tcW w:w="0" w:type="auto"/>
            <w:gridSpan w:val="3"/>
            <w:vAlign w:val="center"/>
            <w:hideMark/>
          </w:tcPr>
          <w:p w14:paraId="339A38A1" w14:textId="77777777" w:rsidR="00000000" w:rsidRDefault="00405D16">
            <w:pPr>
              <w:spacing w:after="100"/>
              <w:rPr>
                <w:rFonts w:eastAsia="Times New Roman"/>
                <w:sz w:val="20"/>
                <w:szCs w:val="20"/>
              </w:rPr>
            </w:pPr>
          </w:p>
        </w:tc>
        <w:tc>
          <w:tcPr>
            <w:tcW w:w="0" w:type="auto"/>
            <w:gridSpan w:val="3"/>
            <w:vAlign w:val="center"/>
            <w:hideMark/>
          </w:tcPr>
          <w:p w14:paraId="3E7B47FD" w14:textId="77777777" w:rsidR="00000000" w:rsidRDefault="00405D16">
            <w:pPr>
              <w:spacing w:after="100"/>
              <w:rPr>
                <w:rFonts w:eastAsia="Times New Roman"/>
                <w:sz w:val="20"/>
                <w:szCs w:val="20"/>
              </w:rPr>
            </w:pPr>
          </w:p>
        </w:tc>
        <w:tc>
          <w:tcPr>
            <w:tcW w:w="0" w:type="auto"/>
            <w:gridSpan w:val="3"/>
            <w:vAlign w:val="center"/>
            <w:hideMark/>
          </w:tcPr>
          <w:p w14:paraId="1A858409" w14:textId="77777777" w:rsidR="00000000" w:rsidRDefault="00405D16">
            <w:pPr>
              <w:spacing w:after="100"/>
              <w:rPr>
                <w:rFonts w:eastAsia="Times New Roman"/>
                <w:sz w:val="20"/>
                <w:szCs w:val="20"/>
              </w:rPr>
            </w:pPr>
          </w:p>
        </w:tc>
        <w:tc>
          <w:tcPr>
            <w:tcW w:w="0" w:type="auto"/>
            <w:gridSpan w:val="3"/>
            <w:vAlign w:val="center"/>
            <w:hideMark/>
          </w:tcPr>
          <w:p w14:paraId="0F271FEB" w14:textId="77777777" w:rsidR="00000000" w:rsidRDefault="00405D16">
            <w:pPr>
              <w:spacing w:after="100"/>
              <w:rPr>
                <w:rFonts w:eastAsia="Times New Roman"/>
                <w:sz w:val="20"/>
                <w:szCs w:val="20"/>
              </w:rPr>
            </w:pPr>
          </w:p>
        </w:tc>
        <w:tc>
          <w:tcPr>
            <w:tcW w:w="0" w:type="auto"/>
            <w:gridSpan w:val="3"/>
            <w:vAlign w:val="center"/>
            <w:hideMark/>
          </w:tcPr>
          <w:p w14:paraId="6B003B42" w14:textId="77777777" w:rsidR="00000000" w:rsidRDefault="00405D16">
            <w:pPr>
              <w:spacing w:after="100"/>
              <w:rPr>
                <w:rFonts w:eastAsia="Times New Roman"/>
                <w:sz w:val="20"/>
                <w:szCs w:val="20"/>
              </w:rPr>
            </w:pPr>
          </w:p>
        </w:tc>
        <w:tc>
          <w:tcPr>
            <w:tcW w:w="0" w:type="auto"/>
            <w:gridSpan w:val="3"/>
            <w:vAlign w:val="center"/>
            <w:hideMark/>
          </w:tcPr>
          <w:p w14:paraId="02EE385C" w14:textId="77777777" w:rsidR="00000000" w:rsidRDefault="00405D16">
            <w:pPr>
              <w:spacing w:after="100"/>
              <w:rPr>
                <w:rFonts w:eastAsia="Times New Roman"/>
                <w:sz w:val="20"/>
                <w:szCs w:val="20"/>
              </w:rPr>
            </w:pPr>
          </w:p>
        </w:tc>
        <w:tc>
          <w:tcPr>
            <w:tcW w:w="0" w:type="auto"/>
            <w:gridSpan w:val="3"/>
            <w:vAlign w:val="center"/>
            <w:hideMark/>
          </w:tcPr>
          <w:p w14:paraId="07F4CBC3" w14:textId="77777777" w:rsidR="00000000" w:rsidRDefault="00405D16">
            <w:pPr>
              <w:spacing w:after="100"/>
              <w:rPr>
                <w:rFonts w:eastAsia="Times New Roman"/>
                <w:sz w:val="20"/>
                <w:szCs w:val="20"/>
              </w:rPr>
            </w:pPr>
          </w:p>
        </w:tc>
        <w:tc>
          <w:tcPr>
            <w:tcW w:w="0" w:type="auto"/>
            <w:gridSpan w:val="3"/>
            <w:vAlign w:val="center"/>
            <w:hideMark/>
          </w:tcPr>
          <w:p w14:paraId="55399D01" w14:textId="77777777" w:rsidR="00000000" w:rsidRDefault="00405D16">
            <w:pPr>
              <w:spacing w:after="100"/>
              <w:rPr>
                <w:rFonts w:eastAsia="Times New Roman"/>
                <w:sz w:val="20"/>
                <w:szCs w:val="20"/>
              </w:rPr>
            </w:pPr>
          </w:p>
        </w:tc>
        <w:tc>
          <w:tcPr>
            <w:tcW w:w="0" w:type="auto"/>
            <w:gridSpan w:val="3"/>
            <w:vAlign w:val="center"/>
            <w:hideMark/>
          </w:tcPr>
          <w:p w14:paraId="1E4923CB" w14:textId="77777777" w:rsidR="00000000" w:rsidRDefault="00405D16">
            <w:pPr>
              <w:spacing w:after="100"/>
              <w:rPr>
                <w:rFonts w:eastAsia="Times New Roman"/>
                <w:sz w:val="20"/>
                <w:szCs w:val="20"/>
              </w:rPr>
            </w:pPr>
          </w:p>
        </w:tc>
        <w:tc>
          <w:tcPr>
            <w:tcW w:w="0" w:type="auto"/>
            <w:gridSpan w:val="3"/>
            <w:vAlign w:val="center"/>
            <w:hideMark/>
          </w:tcPr>
          <w:p w14:paraId="76EEF7A3" w14:textId="77777777" w:rsidR="00000000" w:rsidRDefault="00405D16">
            <w:pPr>
              <w:spacing w:after="100"/>
              <w:rPr>
                <w:rFonts w:eastAsia="Times New Roman"/>
                <w:sz w:val="20"/>
                <w:szCs w:val="20"/>
              </w:rPr>
            </w:pPr>
          </w:p>
        </w:tc>
        <w:tc>
          <w:tcPr>
            <w:tcW w:w="0" w:type="auto"/>
            <w:gridSpan w:val="3"/>
            <w:vAlign w:val="center"/>
            <w:hideMark/>
          </w:tcPr>
          <w:p w14:paraId="489F20B3" w14:textId="77777777" w:rsidR="00000000" w:rsidRDefault="00405D16">
            <w:pPr>
              <w:spacing w:after="100"/>
              <w:rPr>
                <w:rFonts w:eastAsia="Times New Roman"/>
                <w:sz w:val="20"/>
                <w:szCs w:val="20"/>
              </w:rPr>
            </w:pPr>
          </w:p>
        </w:tc>
        <w:tc>
          <w:tcPr>
            <w:tcW w:w="0" w:type="auto"/>
            <w:gridSpan w:val="3"/>
            <w:vAlign w:val="center"/>
            <w:hideMark/>
          </w:tcPr>
          <w:p w14:paraId="1BB64FDE" w14:textId="77777777" w:rsidR="00000000" w:rsidRDefault="00405D16">
            <w:pPr>
              <w:spacing w:after="100"/>
              <w:rPr>
                <w:rFonts w:eastAsia="Times New Roman"/>
                <w:sz w:val="20"/>
                <w:szCs w:val="20"/>
              </w:rPr>
            </w:pPr>
          </w:p>
        </w:tc>
        <w:tc>
          <w:tcPr>
            <w:tcW w:w="0" w:type="auto"/>
            <w:gridSpan w:val="3"/>
            <w:vAlign w:val="center"/>
            <w:hideMark/>
          </w:tcPr>
          <w:p w14:paraId="3C22AD26" w14:textId="77777777" w:rsidR="00000000" w:rsidRDefault="00405D16">
            <w:pPr>
              <w:spacing w:after="100"/>
              <w:rPr>
                <w:rFonts w:eastAsia="Times New Roman"/>
                <w:sz w:val="20"/>
                <w:szCs w:val="20"/>
              </w:rPr>
            </w:pPr>
          </w:p>
        </w:tc>
      </w:tr>
      <w:tr w:rsidR="00000000" w14:paraId="1C5E4168" w14:textId="77777777">
        <w:trPr>
          <w:divId w:val="1868330845"/>
        </w:trPr>
        <w:tc>
          <w:tcPr>
            <w:tcW w:w="0" w:type="auto"/>
            <w:gridSpan w:val="3"/>
            <w:vAlign w:val="center"/>
            <w:hideMark/>
          </w:tcPr>
          <w:p w14:paraId="13B0B40D" w14:textId="77777777" w:rsidR="00000000" w:rsidRDefault="00405D16">
            <w:pPr>
              <w:spacing w:after="100"/>
              <w:rPr>
                <w:rFonts w:eastAsia="Times New Roman"/>
                <w:sz w:val="20"/>
                <w:szCs w:val="20"/>
              </w:rPr>
            </w:pPr>
          </w:p>
        </w:tc>
        <w:tc>
          <w:tcPr>
            <w:tcW w:w="0" w:type="auto"/>
            <w:gridSpan w:val="3"/>
            <w:vAlign w:val="center"/>
            <w:hideMark/>
          </w:tcPr>
          <w:p w14:paraId="7CF808B2" w14:textId="77777777" w:rsidR="00000000" w:rsidRDefault="00405D16">
            <w:pPr>
              <w:spacing w:after="100"/>
              <w:rPr>
                <w:rFonts w:eastAsia="Times New Roman"/>
                <w:sz w:val="20"/>
                <w:szCs w:val="20"/>
              </w:rPr>
            </w:pPr>
          </w:p>
        </w:tc>
        <w:tc>
          <w:tcPr>
            <w:tcW w:w="0" w:type="auto"/>
            <w:gridSpan w:val="3"/>
            <w:vAlign w:val="center"/>
            <w:hideMark/>
          </w:tcPr>
          <w:p w14:paraId="52729AC9" w14:textId="77777777" w:rsidR="00000000" w:rsidRDefault="00405D16">
            <w:pPr>
              <w:spacing w:after="100"/>
              <w:rPr>
                <w:rFonts w:eastAsia="Times New Roman"/>
                <w:sz w:val="20"/>
                <w:szCs w:val="20"/>
              </w:rPr>
            </w:pPr>
          </w:p>
        </w:tc>
        <w:tc>
          <w:tcPr>
            <w:tcW w:w="0" w:type="auto"/>
            <w:gridSpan w:val="3"/>
            <w:vAlign w:val="center"/>
            <w:hideMark/>
          </w:tcPr>
          <w:p w14:paraId="11A8F042" w14:textId="77777777" w:rsidR="00000000" w:rsidRDefault="00405D16">
            <w:pPr>
              <w:spacing w:after="100"/>
              <w:rPr>
                <w:rFonts w:eastAsia="Times New Roman"/>
                <w:sz w:val="20"/>
                <w:szCs w:val="20"/>
              </w:rPr>
            </w:pPr>
          </w:p>
        </w:tc>
        <w:tc>
          <w:tcPr>
            <w:tcW w:w="0" w:type="auto"/>
            <w:gridSpan w:val="3"/>
            <w:vAlign w:val="center"/>
            <w:hideMark/>
          </w:tcPr>
          <w:p w14:paraId="1915C249" w14:textId="77777777" w:rsidR="00000000" w:rsidRDefault="00405D16">
            <w:pPr>
              <w:spacing w:after="100"/>
              <w:rPr>
                <w:rFonts w:eastAsia="Times New Roman"/>
                <w:sz w:val="20"/>
                <w:szCs w:val="20"/>
              </w:rPr>
            </w:pPr>
          </w:p>
        </w:tc>
        <w:tc>
          <w:tcPr>
            <w:tcW w:w="0" w:type="auto"/>
            <w:gridSpan w:val="3"/>
            <w:vAlign w:val="center"/>
            <w:hideMark/>
          </w:tcPr>
          <w:p w14:paraId="72CB27BC" w14:textId="77777777" w:rsidR="00000000" w:rsidRDefault="00405D16">
            <w:pPr>
              <w:spacing w:after="100"/>
              <w:rPr>
                <w:rFonts w:eastAsia="Times New Roman"/>
                <w:sz w:val="20"/>
                <w:szCs w:val="20"/>
              </w:rPr>
            </w:pPr>
          </w:p>
        </w:tc>
        <w:tc>
          <w:tcPr>
            <w:tcW w:w="0" w:type="auto"/>
            <w:gridSpan w:val="3"/>
            <w:vAlign w:val="center"/>
            <w:hideMark/>
          </w:tcPr>
          <w:p w14:paraId="76C0407E" w14:textId="77777777" w:rsidR="00000000" w:rsidRDefault="00405D16">
            <w:pPr>
              <w:spacing w:after="100"/>
              <w:rPr>
                <w:rFonts w:eastAsia="Times New Roman"/>
                <w:sz w:val="20"/>
                <w:szCs w:val="20"/>
              </w:rPr>
            </w:pPr>
          </w:p>
        </w:tc>
        <w:tc>
          <w:tcPr>
            <w:tcW w:w="0" w:type="auto"/>
            <w:gridSpan w:val="3"/>
            <w:vAlign w:val="center"/>
            <w:hideMark/>
          </w:tcPr>
          <w:p w14:paraId="487722E0" w14:textId="77777777" w:rsidR="00000000" w:rsidRDefault="00405D16">
            <w:pPr>
              <w:spacing w:after="100"/>
              <w:rPr>
                <w:rFonts w:eastAsia="Times New Roman"/>
                <w:sz w:val="20"/>
                <w:szCs w:val="20"/>
              </w:rPr>
            </w:pPr>
          </w:p>
        </w:tc>
        <w:tc>
          <w:tcPr>
            <w:tcW w:w="0" w:type="auto"/>
            <w:gridSpan w:val="3"/>
            <w:vAlign w:val="center"/>
            <w:hideMark/>
          </w:tcPr>
          <w:p w14:paraId="1D81C405" w14:textId="77777777" w:rsidR="00000000" w:rsidRDefault="00405D16">
            <w:pPr>
              <w:spacing w:after="100"/>
              <w:rPr>
                <w:rFonts w:eastAsia="Times New Roman"/>
                <w:sz w:val="20"/>
                <w:szCs w:val="20"/>
              </w:rPr>
            </w:pPr>
          </w:p>
        </w:tc>
        <w:tc>
          <w:tcPr>
            <w:tcW w:w="0" w:type="auto"/>
            <w:gridSpan w:val="3"/>
            <w:vAlign w:val="center"/>
            <w:hideMark/>
          </w:tcPr>
          <w:p w14:paraId="1649A2B9" w14:textId="77777777" w:rsidR="00000000" w:rsidRDefault="00405D16">
            <w:pPr>
              <w:spacing w:after="100"/>
              <w:rPr>
                <w:rFonts w:eastAsia="Times New Roman"/>
                <w:sz w:val="20"/>
                <w:szCs w:val="20"/>
              </w:rPr>
            </w:pPr>
          </w:p>
        </w:tc>
        <w:tc>
          <w:tcPr>
            <w:tcW w:w="0" w:type="auto"/>
            <w:gridSpan w:val="3"/>
            <w:vAlign w:val="center"/>
            <w:hideMark/>
          </w:tcPr>
          <w:p w14:paraId="21F461CF" w14:textId="77777777" w:rsidR="00000000" w:rsidRDefault="00405D16">
            <w:pPr>
              <w:spacing w:after="100"/>
              <w:rPr>
                <w:rFonts w:eastAsia="Times New Roman"/>
                <w:sz w:val="20"/>
                <w:szCs w:val="20"/>
              </w:rPr>
            </w:pPr>
          </w:p>
        </w:tc>
        <w:tc>
          <w:tcPr>
            <w:tcW w:w="0" w:type="auto"/>
            <w:gridSpan w:val="3"/>
            <w:vAlign w:val="center"/>
            <w:hideMark/>
          </w:tcPr>
          <w:p w14:paraId="37590A6E" w14:textId="77777777" w:rsidR="00000000" w:rsidRDefault="00405D16">
            <w:pPr>
              <w:spacing w:after="100"/>
              <w:rPr>
                <w:rFonts w:eastAsia="Times New Roman"/>
                <w:sz w:val="20"/>
                <w:szCs w:val="20"/>
              </w:rPr>
            </w:pPr>
          </w:p>
        </w:tc>
        <w:tc>
          <w:tcPr>
            <w:tcW w:w="0" w:type="auto"/>
            <w:gridSpan w:val="3"/>
            <w:vAlign w:val="center"/>
            <w:hideMark/>
          </w:tcPr>
          <w:p w14:paraId="6DF1FBB2" w14:textId="77777777" w:rsidR="00000000" w:rsidRDefault="00405D16">
            <w:pPr>
              <w:spacing w:after="100"/>
              <w:rPr>
                <w:rFonts w:eastAsia="Times New Roman"/>
                <w:sz w:val="20"/>
                <w:szCs w:val="20"/>
              </w:rPr>
            </w:pPr>
          </w:p>
        </w:tc>
        <w:tc>
          <w:tcPr>
            <w:tcW w:w="0" w:type="auto"/>
            <w:gridSpan w:val="3"/>
            <w:vAlign w:val="center"/>
            <w:hideMark/>
          </w:tcPr>
          <w:p w14:paraId="7751BE6B" w14:textId="77777777" w:rsidR="00000000" w:rsidRDefault="00405D16">
            <w:pPr>
              <w:spacing w:after="100"/>
              <w:rPr>
                <w:rFonts w:eastAsia="Times New Roman"/>
                <w:sz w:val="20"/>
                <w:szCs w:val="20"/>
              </w:rPr>
            </w:pPr>
          </w:p>
        </w:tc>
        <w:tc>
          <w:tcPr>
            <w:tcW w:w="0" w:type="auto"/>
            <w:gridSpan w:val="3"/>
            <w:vAlign w:val="center"/>
            <w:hideMark/>
          </w:tcPr>
          <w:p w14:paraId="1602F84C" w14:textId="77777777" w:rsidR="00000000" w:rsidRDefault="00405D16">
            <w:pPr>
              <w:spacing w:after="100"/>
              <w:rPr>
                <w:rFonts w:eastAsia="Times New Roman"/>
                <w:sz w:val="20"/>
                <w:szCs w:val="20"/>
              </w:rPr>
            </w:pPr>
          </w:p>
        </w:tc>
        <w:tc>
          <w:tcPr>
            <w:tcW w:w="0" w:type="auto"/>
            <w:gridSpan w:val="3"/>
            <w:vAlign w:val="center"/>
            <w:hideMark/>
          </w:tcPr>
          <w:p w14:paraId="0AFC44F8" w14:textId="77777777" w:rsidR="00000000" w:rsidRDefault="00405D16">
            <w:pPr>
              <w:spacing w:after="100"/>
              <w:rPr>
                <w:rFonts w:eastAsia="Times New Roman"/>
                <w:sz w:val="20"/>
                <w:szCs w:val="20"/>
              </w:rPr>
            </w:pPr>
          </w:p>
        </w:tc>
        <w:tc>
          <w:tcPr>
            <w:tcW w:w="0" w:type="auto"/>
            <w:gridSpan w:val="3"/>
            <w:vAlign w:val="center"/>
            <w:hideMark/>
          </w:tcPr>
          <w:p w14:paraId="0AEE8AE8" w14:textId="77777777" w:rsidR="00000000" w:rsidRDefault="00405D16">
            <w:pPr>
              <w:spacing w:after="100"/>
              <w:rPr>
                <w:rFonts w:eastAsia="Times New Roman"/>
                <w:sz w:val="20"/>
                <w:szCs w:val="20"/>
              </w:rPr>
            </w:pPr>
          </w:p>
        </w:tc>
        <w:tc>
          <w:tcPr>
            <w:tcW w:w="0" w:type="auto"/>
            <w:gridSpan w:val="3"/>
            <w:vAlign w:val="center"/>
            <w:hideMark/>
          </w:tcPr>
          <w:p w14:paraId="7C538B38" w14:textId="77777777" w:rsidR="00000000" w:rsidRDefault="00405D16">
            <w:pPr>
              <w:spacing w:after="100"/>
              <w:rPr>
                <w:rFonts w:eastAsia="Times New Roman"/>
                <w:sz w:val="20"/>
                <w:szCs w:val="20"/>
              </w:rPr>
            </w:pPr>
          </w:p>
        </w:tc>
        <w:tc>
          <w:tcPr>
            <w:tcW w:w="0" w:type="auto"/>
            <w:gridSpan w:val="3"/>
            <w:vAlign w:val="center"/>
            <w:hideMark/>
          </w:tcPr>
          <w:p w14:paraId="2C10D23D" w14:textId="77777777" w:rsidR="00000000" w:rsidRDefault="00405D16">
            <w:pPr>
              <w:spacing w:after="100"/>
              <w:rPr>
                <w:rFonts w:eastAsia="Times New Roman"/>
                <w:sz w:val="20"/>
                <w:szCs w:val="20"/>
              </w:rPr>
            </w:pPr>
          </w:p>
        </w:tc>
      </w:tr>
      <w:tr w:rsidR="00000000" w14:paraId="629EB307" w14:textId="77777777">
        <w:trPr>
          <w:divId w:val="1868330845"/>
        </w:trPr>
        <w:tc>
          <w:tcPr>
            <w:tcW w:w="0" w:type="auto"/>
            <w:gridSpan w:val="3"/>
            <w:vAlign w:val="center"/>
            <w:hideMark/>
          </w:tcPr>
          <w:p w14:paraId="6700050D" w14:textId="77777777" w:rsidR="00000000" w:rsidRDefault="00405D16">
            <w:pPr>
              <w:spacing w:after="100"/>
              <w:rPr>
                <w:rFonts w:eastAsia="Times New Roman"/>
                <w:sz w:val="20"/>
                <w:szCs w:val="20"/>
              </w:rPr>
            </w:pPr>
          </w:p>
        </w:tc>
        <w:tc>
          <w:tcPr>
            <w:tcW w:w="0" w:type="auto"/>
            <w:gridSpan w:val="3"/>
            <w:vAlign w:val="center"/>
            <w:hideMark/>
          </w:tcPr>
          <w:p w14:paraId="06CEAE80" w14:textId="77777777" w:rsidR="00000000" w:rsidRDefault="00405D16">
            <w:pPr>
              <w:spacing w:after="100"/>
              <w:rPr>
                <w:rFonts w:eastAsia="Times New Roman"/>
                <w:sz w:val="20"/>
                <w:szCs w:val="20"/>
              </w:rPr>
            </w:pPr>
          </w:p>
        </w:tc>
        <w:tc>
          <w:tcPr>
            <w:tcW w:w="0" w:type="auto"/>
            <w:gridSpan w:val="3"/>
            <w:vAlign w:val="center"/>
            <w:hideMark/>
          </w:tcPr>
          <w:p w14:paraId="420911C2" w14:textId="77777777" w:rsidR="00000000" w:rsidRDefault="00405D16">
            <w:pPr>
              <w:spacing w:after="100"/>
              <w:rPr>
                <w:rFonts w:eastAsia="Times New Roman"/>
                <w:sz w:val="20"/>
                <w:szCs w:val="20"/>
              </w:rPr>
            </w:pPr>
          </w:p>
        </w:tc>
        <w:tc>
          <w:tcPr>
            <w:tcW w:w="0" w:type="auto"/>
            <w:gridSpan w:val="3"/>
            <w:vAlign w:val="center"/>
            <w:hideMark/>
          </w:tcPr>
          <w:p w14:paraId="70FB0E39" w14:textId="77777777" w:rsidR="00000000" w:rsidRDefault="00405D16">
            <w:pPr>
              <w:spacing w:after="100"/>
              <w:rPr>
                <w:rFonts w:eastAsia="Times New Roman"/>
                <w:sz w:val="20"/>
                <w:szCs w:val="20"/>
              </w:rPr>
            </w:pPr>
          </w:p>
        </w:tc>
        <w:tc>
          <w:tcPr>
            <w:tcW w:w="0" w:type="auto"/>
            <w:gridSpan w:val="3"/>
            <w:vAlign w:val="center"/>
            <w:hideMark/>
          </w:tcPr>
          <w:p w14:paraId="6A5D9D3C" w14:textId="77777777" w:rsidR="00000000" w:rsidRDefault="00405D16">
            <w:pPr>
              <w:spacing w:after="100"/>
              <w:rPr>
                <w:rFonts w:eastAsia="Times New Roman"/>
                <w:sz w:val="20"/>
                <w:szCs w:val="20"/>
              </w:rPr>
            </w:pPr>
          </w:p>
        </w:tc>
        <w:tc>
          <w:tcPr>
            <w:tcW w:w="0" w:type="auto"/>
            <w:gridSpan w:val="3"/>
            <w:vAlign w:val="center"/>
            <w:hideMark/>
          </w:tcPr>
          <w:p w14:paraId="246602CE" w14:textId="77777777" w:rsidR="00000000" w:rsidRDefault="00405D16">
            <w:pPr>
              <w:spacing w:after="100"/>
              <w:rPr>
                <w:rFonts w:eastAsia="Times New Roman"/>
                <w:sz w:val="20"/>
                <w:szCs w:val="20"/>
              </w:rPr>
            </w:pPr>
          </w:p>
        </w:tc>
        <w:tc>
          <w:tcPr>
            <w:tcW w:w="0" w:type="auto"/>
            <w:gridSpan w:val="3"/>
            <w:vAlign w:val="center"/>
            <w:hideMark/>
          </w:tcPr>
          <w:p w14:paraId="788663E9" w14:textId="77777777" w:rsidR="00000000" w:rsidRDefault="00405D16">
            <w:pPr>
              <w:spacing w:after="100"/>
              <w:rPr>
                <w:rFonts w:eastAsia="Times New Roman"/>
                <w:sz w:val="20"/>
                <w:szCs w:val="20"/>
              </w:rPr>
            </w:pPr>
          </w:p>
        </w:tc>
        <w:tc>
          <w:tcPr>
            <w:tcW w:w="0" w:type="auto"/>
            <w:gridSpan w:val="3"/>
            <w:vAlign w:val="center"/>
            <w:hideMark/>
          </w:tcPr>
          <w:p w14:paraId="56B3E1FF" w14:textId="77777777" w:rsidR="00000000" w:rsidRDefault="00405D16">
            <w:pPr>
              <w:spacing w:after="100"/>
              <w:rPr>
                <w:rFonts w:eastAsia="Times New Roman"/>
                <w:sz w:val="20"/>
                <w:szCs w:val="20"/>
              </w:rPr>
            </w:pPr>
          </w:p>
        </w:tc>
        <w:tc>
          <w:tcPr>
            <w:tcW w:w="0" w:type="auto"/>
            <w:gridSpan w:val="3"/>
            <w:vAlign w:val="center"/>
            <w:hideMark/>
          </w:tcPr>
          <w:p w14:paraId="4DF1D352" w14:textId="77777777" w:rsidR="00000000" w:rsidRDefault="00405D16">
            <w:pPr>
              <w:spacing w:after="100"/>
              <w:rPr>
                <w:rFonts w:eastAsia="Times New Roman"/>
                <w:sz w:val="20"/>
                <w:szCs w:val="20"/>
              </w:rPr>
            </w:pPr>
          </w:p>
        </w:tc>
        <w:tc>
          <w:tcPr>
            <w:tcW w:w="0" w:type="auto"/>
            <w:gridSpan w:val="3"/>
            <w:vAlign w:val="center"/>
            <w:hideMark/>
          </w:tcPr>
          <w:p w14:paraId="5144C8E7" w14:textId="77777777" w:rsidR="00000000" w:rsidRDefault="00405D16">
            <w:pPr>
              <w:spacing w:after="100"/>
              <w:rPr>
                <w:rFonts w:eastAsia="Times New Roman"/>
                <w:sz w:val="20"/>
                <w:szCs w:val="20"/>
              </w:rPr>
            </w:pPr>
          </w:p>
        </w:tc>
        <w:tc>
          <w:tcPr>
            <w:tcW w:w="0" w:type="auto"/>
            <w:gridSpan w:val="3"/>
            <w:vAlign w:val="center"/>
            <w:hideMark/>
          </w:tcPr>
          <w:p w14:paraId="56DC3722" w14:textId="77777777" w:rsidR="00000000" w:rsidRDefault="00405D16">
            <w:pPr>
              <w:spacing w:after="100"/>
              <w:rPr>
                <w:rFonts w:eastAsia="Times New Roman"/>
                <w:sz w:val="20"/>
                <w:szCs w:val="20"/>
              </w:rPr>
            </w:pPr>
          </w:p>
        </w:tc>
        <w:tc>
          <w:tcPr>
            <w:tcW w:w="0" w:type="auto"/>
            <w:gridSpan w:val="3"/>
            <w:vAlign w:val="center"/>
            <w:hideMark/>
          </w:tcPr>
          <w:p w14:paraId="593BFECC" w14:textId="77777777" w:rsidR="00000000" w:rsidRDefault="00405D16">
            <w:pPr>
              <w:spacing w:after="100"/>
              <w:rPr>
                <w:rFonts w:eastAsia="Times New Roman"/>
                <w:sz w:val="20"/>
                <w:szCs w:val="20"/>
              </w:rPr>
            </w:pPr>
          </w:p>
        </w:tc>
        <w:tc>
          <w:tcPr>
            <w:tcW w:w="0" w:type="auto"/>
            <w:gridSpan w:val="3"/>
            <w:vAlign w:val="center"/>
            <w:hideMark/>
          </w:tcPr>
          <w:p w14:paraId="6DAAC414" w14:textId="77777777" w:rsidR="00000000" w:rsidRDefault="00405D16">
            <w:pPr>
              <w:spacing w:after="100"/>
              <w:rPr>
                <w:rFonts w:eastAsia="Times New Roman"/>
                <w:sz w:val="20"/>
                <w:szCs w:val="20"/>
              </w:rPr>
            </w:pPr>
          </w:p>
        </w:tc>
        <w:tc>
          <w:tcPr>
            <w:tcW w:w="0" w:type="auto"/>
            <w:gridSpan w:val="3"/>
            <w:vAlign w:val="center"/>
            <w:hideMark/>
          </w:tcPr>
          <w:p w14:paraId="4B3129A7" w14:textId="77777777" w:rsidR="00000000" w:rsidRDefault="00405D16">
            <w:pPr>
              <w:spacing w:after="100"/>
              <w:rPr>
                <w:rFonts w:eastAsia="Times New Roman"/>
                <w:sz w:val="20"/>
                <w:szCs w:val="20"/>
              </w:rPr>
            </w:pPr>
          </w:p>
        </w:tc>
        <w:tc>
          <w:tcPr>
            <w:tcW w:w="0" w:type="auto"/>
            <w:gridSpan w:val="3"/>
            <w:vAlign w:val="center"/>
            <w:hideMark/>
          </w:tcPr>
          <w:p w14:paraId="3817C535" w14:textId="77777777" w:rsidR="00000000" w:rsidRDefault="00405D16">
            <w:pPr>
              <w:spacing w:after="100"/>
              <w:rPr>
                <w:rFonts w:eastAsia="Times New Roman"/>
                <w:sz w:val="20"/>
                <w:szCs w:val="20"/>
              </w:rPr>
            </w:pPr>
          </w:p>
        </w:tc>
        <w:tc>
          <w:tcPr>
            <w:tcW w:w="0" w:type="auto"/>
            <w:gridSpan w:val="3"/>
            <w:vAlign w:val="center"/>
            <w:hideMark/>
          </w:tcPr>
          <w:p w14:paraId="02F55E6B" w14:textId="77777777" w:rsidR="00000000" w:rsidRDefault="00405D16">
            <w:pPr>
              <w:spacing w:after="100"/>
              <w:rPr>
                <w:rFonts w:eastAsia="Times New Roman"/>
                <w:sz w:val="20"/>
                <w:szCs w:val="20"/>
              </w:rPr>
            </w:pPr>
          </w:p>
        </w:tc>
        <w:tc>
          <w:tcPr>
            <w:tcW w:w="0" w:type="auto"/>
            <w:gridSpan w:val="3"/>
            <w:vAlign w:val="center"/>
            <w:hideMark/>
          </w:tcPr>
          <w:p w14:paraId="1A33F262" w14:textId="77777777" w:rsidR="00000000" w:rsidRDefault="00405D16">
            <w:pPr>
              <w:spacing w:after="100"/>
              <w:rPr>
                <w:rFonts w:eastAsia="Times New Roman"/>
                <w:sz w:val="20"/>
                <w:szCs w:val="20"/>
              </w:rPr>
            </w:pPr>
          </w:p>
        </w:tc>
        <w:tc>
          <w:tcPr>
            <w:tcW w:w="0" w:type="auto"/>
            <w:gridSpan w:val="3"/>
            <w:vAlign w:val="center"/>
            <w:hideMark/>
          </w:tcPr>
          <w:p w14:paraId="55E66654" w14:textId="77777777" w:rsidR="00000000" w:rsidRDefault="00405D16">
            <w:pPr>
              <w:spacing w:after="100"/>
              <w:rPr>
                <w:rFonts w:eastAsia="Times New Roman"/>
                <w:sz w:val="20"/>
                <w:szCs w:val="20"/>
              </w:rPr>
            </w:pPr>
          </w:p>
        </w:tc>
        <w:tc>
          <w:tcPr>
            <w:tcW w:w="0" w:type="auto"/>
            <w:gridSpan w:val="3"/>
            <w:vAlign w:val="center"/>
            <w:hideMark/>
          </w:tcPr>
          <w:p w14:paraId="02F0955D" w14:textId="77777777" w:rsidR="00000000" w:rsidRDefault="00405D16">
            <w:pPr>
              <w:spacing w:after="100"/>
              <w:rPr>
                <w:rFonts w:eastAsia="Times New Roman"/>
                <w:sz w:val="20"/>
                <w:szCs w:val="20"/>
              </w:rPr>
            </w:pPr>
          </w:p>
        </w:tc>
      </w:tr>
      <w:tr w:rsidR="00000000" w14:paraId="4345FB0F" w14:textId="77777777">
        <w:trPr>
          <w:divId w:val="1868330845"/>
        </w:trPr>
        <w:tc>
          <w:tcPr>
            <w:tcW w:w="0" w:type="auto"/>
            <w:gridSpan w:val="3"/>
            <w:vAlign w:val="center"/>
            <w:hideMark/>
          </w:tcPr>
          <w:p w14:paraId="7D46EDC1" w14:textId="77777777" w:rsidR="00000000" w:rsidRDefault="00405D16">
            <w:pPr>
              <w:spacing w:after="100"/>
              <w:rPr>
                <w:rFonts w:eastAsia="Times New Roman"/>
                <w:sz w:val="20"/>
                <w:szCs w:val="20"/>
              </w:rPr>
            </w:pPr>
          </w:p>
        </w:tc>
        <w:tc>
          <w:tcPr>
            <w:tcW w:w="0" w:type="auto"/>
            <w:gridSpan w:val="3"/>
            <w:vAlign w:val="center"/>
            <w:hideMark/>
          </w:tcPr>
          <w:p w14:paraId="251C10A2" w14:textId="77777777" w:rsidR="00000000" w:rsidRDefault="00405D16">
            <w:pPr>
              <w:spacing w:after="100"/>
              <w:rPr>
                <w:rFonts w:eastAsia="Times New Roman"/>
                <w:sz w:val="20"/>
                <w:szCs w:val="20"/>
              </w:rPr>
            </w:pPr>
          </w:p>
        </w:tc>
        <w:tc>
          <w:tcPr>
            <w:tcW w:w="0" w:type="auto"/>
            <w:gridSpan w:val="3"/>
            <w:vAlign w:val="center"/>
            <w:hideMark/>
          </w:tcPr>
          <w:p w14:paraId="40B6D2B8" w14:textId="77777777" w:rsidR="00000000" w:rsidRDefault="00405D16">
            <w:pPr>
              <w:spacing w:after="100"/>
              <w:rPr>
                <w:rFonts w:eastAsia="Times New Roman"/>
                <w:sz w:val="20"/>
                <w:szCs w:val="20"/>
              </w:rPr>
            </w:pPr>
          </w:p>
        </w:tc>
        <w:tc>
          <w:tcPr>
            <w:tcW w:w="0" w:type="auto"/>
            <w:gridSpan w:val="3"/>
            <w:vAlign w:val="center"/>
            <w:hideMark/>
          </w:tcPr>
          <w:p w14:paraId="40BEBBB4" w14:textId="77777777" w:rsidR="00000000" w:rsidRDefault="00405D16">
            <w:pPr>
              <w:spacing w:after="100"/>
              <w:rPr>
                <w:rFonts w:eastAsia="Times New Roman"/>
                <w:sz w:val="20"/>
                <w:szCs w:val="20"/>
              </w:rPr>
            </w:pPr>
          </w:p>
        </w:tc>
        <w:tc>
          <w:tcPr>
            <w:tcW w:w="0" w:type="auto"/>
            <w:gridSpan w:val="3"/>
            <w:vAlign w:val="center"/>
            <w:hideMark/>
          </w:tcPr>
          <w:p w14:paraId="7033C094" w14:textId="77777777" w:rsidR="00000000" w:rsidRDefault="00405D16">
            <w:pPr>
              <w:spacing w:after="100"/>
              <w:rPr>
                <w:rFonts w:eastAsia="Times New Roman"/>
                <w:sz w:val="20"/>
                <w:szCs w:val="20"/>
              </w:rPr>
            </w:pPr>
          </w:p>
        </w:tc>
        <w:tc>
          <w:tcPr>
            <w:tcW w:w="0" w:type="auto"/>
            <w:gridSpan w:val="3"/>
            <w:vAlign w:val="center"/>
            <w:hideMark/>
          </w:tcPr>
          <w:p w14:paraId="0C6FE5F4" w14:textId="77777777" w:rsidR="00000000" w:rsidRDefault="00405D16">
            <w:pPr>
              <w:spacing w:after="100"/>
              <w:rPr>
                <w:rFonts w:eastAsia="Times New Roman"/>
                <w:sz w:val="20"/>
                <w:szCs w:val="20"/>
              </w:rPr>
            </w:pPr>
          </w:p>
        </w:tc>
        <w:tc>
          <w:tcPr>
            <w:tcW w:w="0" w:type="auto"/>
            <w:gridSpan w:val="3"/>
            <w:vAlign w:val="center"/>
            <w:hideMark/>
          </w:tcPr>
          <w:p w14:paraId="3BD5829B" w14:textId="77777777" w:rsidR="00000000" w:rsidRDefault="00405D16">
            <w:pPr>
              <w:spacing w:after="100"/>
              <w:rPr>
                <w:rFonts w:eastAsia="Times New Roman"/>
                <w:sz w:val="20"/>
                <w:szCs w:val="20"/>
              </w:rPr>
            </w:pPr>
          </w:p>
        </w:tc>
        <w:tc>
          <w:tcPr>
            <w:tcW w:w="0" w:type="auto"/>
            <w:gridSpan w:val="3"/>
            <w:vAlign w:val="center"/>
            <w:hideMark/>
          </w:tcPr>
          <w:p w14:paraId="09003A4C" w14:textId="77777777" w:rsidR="00000000" w:rsidRDefault="00405D16">
            <w:pPr>
              <w:spacing w:after="100"/>
              <w:rPr>
                <w:rFonts w:eastAsia="Times New Roman"/>
                <w:sz w:val="20"/>
                <w:szCs w:val="20"/>
              </w:rPr>
            </w:pPr>
          </w:p>
        </w:tc>
        <w:tc>
          <w:tcPr>
            <w:tcW w:w="0" w:type="auto"/>
            <w:gridSpan w:val="3"/>
            <w:vAlign w:val="center"/>
            <w:hideMark/>
          </w:tcPr>
          <w:p w14:paraId="68C91BBF" w14:textId="77777777" w:rsidR="00000000" w:rsidRDefault="00405D16">
            <w:pPr>
              <w:spacing w:after="100"/>
              <w:rPr>
                <w:rFonts w:eastAsia="Times New Roman"/>
                <w:sz w:val="20"/>
                <w:szCs w:val="20"/>
              </w:rPr>
            </w:pPr>
          </w:p>
        </w:tc>
        <w:tc>
          <w:tcPr>
            <w:tcW w:w="0" w:type="auto"/>
            <w:gridSpan w:val="3"/>
            <w:vAlign w:val="center"/>
            <w:hideMark/>
          </w:tcPr>
          <w:p w14:paraId="063A59B0" w14:textId="77777777" w:rsidR="00000000" w:rsidRDefault="00405D16">
            <w:pPr>
              <w:spacing w:after="100"/>
              <w:rPr>
                <w:rFonts w:eastAsia="Times New Roman"/>
                <w:sz w:val="20"/>
                <w:szCs w:val="20"/>
              </w:rPr>
            </w:pPr>
          </w:p>
        </w:tc>
        <w:tc>
          <w:tcPr>
            <w:tcW w:w="0" w:type="auto"/>
            <w:gridSpan w:val="3"/>
            <w:vAlign w:val="center"/>
            <w:hideMark/>
          </w:tcPr>
          <w:p w14:paraId="078F6C9D" w14:textId="77777777" w:rsidR="00000000" w:rsidRDefault="00405D16">
            <w:pPr>
              <w:spacing w:after="100"/>
              <w:rPr>
                <w:rFonts w:eastAsia="Times New Roman"/>
                <w:sz w:val="20"/>
                <w:szCs w:val="20"/>
              </w:rPr>
            </w:pPr>
          </w:p>
        </w:tc>
        <w:tc>
          <w:tcPr>
            <w:tcW w:w="0" w:type="auto"/>
            <w:gridSpan w:val="3"/>
            <w:vAlign w:val="center"/>
            <w:hideMark/>
          </w:tcPr>
          <w:p w14:paraId="244674F0" w14:textId="77777777" w:rsidR="00000000" w:rsidRDefault="00405D16">
            <w:pPr>
              <w:spacing w:after="100"/>
              <w:rPr>
                <w:rFonts w:eastAsia="Times New Roman"/>
                <w:sz w:val="20"/>
                <w:szCs w:val="20"/>
              </w:rPr>
            </w:pPr>
          </w:p>
        </w:tc>
        <w:tc>
          <w:tcPr>
            <w:tcW w:w="0" w:type="auto"/>
            <w:gridSpan w:val="3"/>
            <w:vAlign w:val="center"/>
            <w:hideMark/>
          </w:tcPr>
          <w:p w14:paraId="3E00F3FA" w14:textId="77777777" w:rsidR="00000000" w:rsidRDefault="00405D16">
            <w:pPr>
              <w:spacing w:after="100"/>
              <w:rPr>
                <w:rFonts w:eastAsia="Times New Roman"/>
                <w:sz w:val="20"/>
                <w:szCs w:val="20"/>
              </w:rPr>
            </w:pPr>
          </w:p>
        </w:tc>
        <w:tc>
          <w:tcPr>
            <w:tcW w:w="0" w:type="auto"/>
            <w:gridSpan w:val="3"/>
            <w:vAlign w:val="center"/>
            <w:hideMark/>
          </w:tcPr>
          <w:p w14:paraId="459CA106" w14:textId="77777777" w:rsidR="00000000" w:rsidRDefault="00405D16">
            <w:pPr>
              <w:spacing w:after="100"/>
              <w:rPr>
                <w:rFonts w:eastAsia="Times New Roman"/>
                <w:sz w:val="20"/>
                <w:szCs w:val="20"/>
              </w:rPr>
            </w:pPr>
          </w:p>
        </w:tc>
        <w:tc>
          <w:tcPr>
            <w:tcW w:w="0" w:type="auto"/>
            <w:gridSpan w:val="3"/>
            <w:vAlign w:val="center"/>
            <w:hideMark/>
          </w:tcPr>
          <w:p w14:paraId="24DA4FE7" w14:textId="77777777" w:rsidR="00000000" w:rsidRDefault="00405D16">
            <w:pPr>
              <w:spacing w:after="100"/>
              <w:rPr>
                <w:rFonts w:eastAsia="Times New Roman"/>
                <w:sz w:val="20"/>
                <w:szCs w:val="20"/>
              </w:rPr>
            </w:pPr>
          </w:p>
        </w:tc>
        <w:tc>
          <w:tcPr>
            <w:tcW w:w="0" w:type="auto"/>
            <w:gridSpan w:val="3"/>
            <w:vAlign w:val="center"/>
            <w:hideMark/>
          </w:tcPr>
          <w:p w14:paraId="663819E5" w14:textId="77777777" w:rsidR="00000000" w:rsidRDefault="00405D16">
            <w:pPr>
              <w:spacing w:after="100"/>
              <w:rPr>
                <w:rFonts w:eastAsia="Times New Roman"/>
                <w:sz w:val="20"/>
                <w:szCs w:val="20"/>
              </w:rPr>
            </w:pPr>
          </w:p>
        </w:tc>
        <w:tc>
          <w:tcPr>
            <w:tcW w:w="0" w:type="auto"/>
            <w:gridSpan w:val="3"/>
            <w:vAlign w:val="center"/>
            <w:hideMark/>
          </w:tcPr>
          <w:p w14:paraId="11466340" w14:textId="77777777" w:rsidR="00000000" w:rsidRDefault="00405D16">
            <w:pPr>
              <w:spacing w:after="100"/>
              <w:rPr>
                <w:rFonts w:eastAsia="Times New Roman"/>
                <w:sz w:val="20"/>
                <w:szCs w:val="20"/>
              </w:rPr>
            </w:pPr>
          </w:p>
        </w:tc>
        <w:tc>
          <w:tcPr>
            <w:tcW w:w="0" w:type="auto"/>
            <w:gridSpan w:val="3"/>
            <w:vAlign w:val="center"/>
            <w:hideMark/>
          </w:tcPr>
          <w:p w14:paraId="545A47CB" w14:textId="77777777" w:rsidR="00000000" w:rsidRDefault="00405D16">
            <w:pPr>
              <w:spacing w:after="100"/>
              <w:rPr>
                <w:rFonts w:eastAsia="Times New Roman"/>
                <w:sz w:val="20"/>
                <w:szCs w:val="20"/>
              </w:rPr>
            </w:pPr>
          </w:p>
        </w:tc>
        <w:tc>
          <w:tcPr>
            <w:tcW w:w="0" w:type="auto"/>
            <w:gridSpan w:val="3"/>
            <w:vAlign w:val="center"/>
            <w:hideMark/>
          </w:tcPr>
          <w:p w14:paraId="268123C5" w14:textId="77777777" w:rsidR="00000000" w:rsidRDefault="00405D16">
            <w:pPr>
              <w:spacing w:after="100"/>
              <w:rPr>
                <w:rFonts w:eastAsia="Times New Roman"/>
                <w:sz w:val="20"/>
                <w:szCs w:val="20"/>
              </w:rPr>
            </w:pPr>
          </w:p>
        </w:tc>
      </w:tr>
      <w:tr w:rsidR="00000000" w14:paraId="6C9ACC70" w14:textId="77777777">
        <w:trPr>
          <w:divId w:val="1868330845"/>
        </w:trPr>
        <w:tc>
          <w:tcPr>
            <w:tcW w:w="0" w:type="auto"/>
            <w:gridSpan w:val="3"/>
            <w:vAlign w:val="center"/>
            <w:hideMark/>
          </w:tcPr>
          <w:p w14:paraId="6EBD34A8" w14:textId="77777777" w:rsidR="00000000" w:rsidRDefault="00405D16">
            <w:pPr>
              <w:spacing w:after="100"/>
              <w:rPr>
                <w:rFonts w:eastAsia="Times New Roman"/>
                <w:sz w:val="20"/>
                <w:szCs w:val="20"/>
              </w:rPr>
            </w:pPr>
          </w:p>
        </w:tc>
        <w:tc>
          <w:tcPr>
            <w:tcW w:w="0" w:type="auto"/>
            <w:gridSpan w:val="3"/>
            <w:vAlign w:val="center"/>
            <w:hideMark/>
          </w:tcPr>
          <w:p w14:paraId="6B99F270" w14:textId="77777777" w:rsidR="00000000" w:rsidRDefault="00405D16">
            <w:pPr>
              <w:spacing w:after="100"/>
              <w:rPr>
                <w:rFonts w:eastAsia="Times New Roman"/>
                <w:sz w:val="20"/>
                <w:szCs w:val="20"/>
              </w:rPr>
            </w:pPr>
          </w:p>
        </w:tc>
        <w:tc>
          <w:tcPr>
            <w:tcW w:w="0" w:type="auto"/>
            <w:gridSpan w:val="3"/>
            <w:vAlign w:val="center"/>
            <w:hideMark/>
          </w:tcPr>
          <w:p w14:paraId="0BF691A0" w14:textId="77777777" w:rsidR="00000000" w:rsidRDefault="00405D16">
            <w:pPr>
              <w:spacing w:after="100"/>
              <w:rPr>
                <w:rFonts w:eastAsia="Times New Roman"/>
                <w:sz w:val="20"/>
                <w:szCs w:val="20"/>
              </w:rPr>
            </w:pPr>
          </w:p>
        </w:tc>
        <w:tc>
          <w:tcPr>
            <w:tcW w:w="0" w:type="auto"/>
            <w:gridSpan w:val="3"/>
            <w:vAlign w:val="center"/>
            <w:hideMark/>
          </w:tcPr>
          <w:p w14:paraId="0D3D6000" w14:textId="77777777" w:rsidR="00000000" w:rsidRDefault="00405D16">
            <w:pPr>
              <w:spacing w:after="100"/>
              <w:rPr>
                <w:rFonts w:eastAsia="Times New Roman"/>
                <w:sz w:val="20"/>
                <w:szCs w:val="20"/>
              </w:rPr>
            </w:pPr>
          </w:p>
        </w:tc>
        <w:tc>
          <w:tcPr>
            <w:tcW w:w="0" w:type="auto"/>
            <w:gridSpan w:val="3"/>
            <w:vAlign w:val="center"/>
            <w:hideMark/>
          </w:tcPr>
          <w:p w14:paraId="06988E4F" w14:textId="77777777" w:rsidR="00000000" w:rsidRDefault="00405D16">
            <w:pPr>
              <w:spacing w:after="100"/>
              <w:rPr>
                <w:rFonts w:eastAsia="Times New Roman"/>
                <w:sz w:val="20"/>
                <w:szCs w:val="20"/>
              </w:rPr>
            </w:pPr>
          </w:p>
        </w:tc>
        <w:tc>
          <w:tcPr>
            <w:tcW w:w="0" w:type="auto"/>
            <w:gridSpan w:val="3"/>
            <w:vAlign w:val="center"/>
            <w:hideMark/>
          </w:tcPr>
          <w:p w14:paraId="259829EB" w14:textId="77777777" w:rsidR="00000000" w:rsidRDefault="00405D16">
            <w:pPr>
              <w:spacing w:after="100"/>
              <w:rPr>
                <w:rFonts w:eastAsia="Times New Roman"/>
                <w:sz w:val="20"/>
                <w:szCs w:val="20"/>
              </w:rPr>
            </w:pPr>
          </w:p>
        </w:tc>
        <w:tc>
          <w:tcPr>
            <w:tcW w:w="0" w:type="auto"/>
            <w:gridSpan w:val="3"/>
            <w:vAlign w:val="center"/>
            <w:hideMark/>
          </w:tcPr>
          <w:p w14:paraId="598CDF35" w14:textId="77777777" w:rsidR="00000000" w:rsidRDefault="00405D16">
            <w:pPr>
              <w:spacing w:after="100"/>
              <w:rPr>
                <w:rFonts w:eastAsia="Times New Roman"/>
                <w:sz w:val="20"/>
                <w:szCs w:val="20"/>
              </w:rPr>
            </w:pPr>
          </w:p>
        </w:tc>
        <w:tc>
          <w:tcPr>
            <w:tcW w:w="0" w:type="auto"/>
            <w:gridSpan w:val="3"/>
            <w:vAlign w:val="center"/>
            <w:hideMark/>
          </w:tcPr>
          <w:p w14:paraId="0C5BCEFF" w14:textId="77777777" w:rsidR="00000000" w:rsidRDefault="00405D16">
            <w:pPr>
              <w:spacing w:after="100"/>
              <w:rPr>
                <w:rFonts w:eastAsia="Times New Roman"/>
                <w:sz w:val="20"/>
                <w:szCs w:val="20"/>
              </w:rPr>
            </w:pPr>
          </w:p>
        </w:tc>
        <w:tc>
          <w:tcPr>
            <w:tcW w:w="0" w:type="auto"/>
            <w:gridSpan w:val="3"/>
            <w:vAlign w:val="center"/>
            <w:hideMark/>
          </w:tcPr>
          <w:p w14:paraId="3920BED7" w14:textId="77777777" w:rsidR="00000000" w:rsidRDefault="00405D16">
            <w:pPr>
              <w:spacing w:after="100"/>
              <w:rPr>
                <w:rFonts w:eastAsia="Times New Roman"/>
                <w:sz w:val="20"/>
                <w:szCs w:val="20"/>
              </w:rPr>
            </w:pPr>
          </w:p>
        </w:tc>
        <w:tc>
          <w:tcPr>
            <w:tcW w:w="0" w:type="auto"/>
            <w:gridSpan w:val="3"/>
            <w:vAlign w:val="center"/>
            <w:hideMark/>
          </w:tcPr>
          <w:p w14:paraId="38460C68" w14:textId="77777777" w:rsidR="00000000" w:rsidRDefault="00405D16">
            <w:pPr>
              <w:spacing w:after="100"/>
              <w:rPr>
                <w:rFonts w:eastAsia="Times New Roman"/>
                <w:sz w:val="20"/>
                <w:szCs w:val="20"/>
              </w:rPr>
            </w:pPr>
          </w:p>
        </w:tc>
        <w:tc>
          <w:tcPr>
            <w:tcW w:w="0" w:type="auto"/>
            <w:gridSpan w:val="3"/>
            <w:vAlign w:val="center"/>
            <w:hideMark/>
          </w:tcPr>
          <w:p w14:paraId="7256C480" w14:textId="77777777" w:rsidR="00000000" w:rsidRDefault="00405D16">
            <w:pPr>
              <w:spacing w:after="100"/>
              <w:rPr>
                <w:rFonts w:eastAsia="Times New Roman"/>
                <w:sz w:val="20"/>
                <w:szCs w:val="20"/>
              </w:rPr>
            </w:pPr>
          </w:p>
        </w:tc>
        <w:tc>
          <w:tcPr>
            <w:tcW w:w="0" w:type="auto"/>
            <w:gridSpan w:val="3"/>
            <w:vAlign w:val="center"/>
            <w:hideMark/>
          </w:tcPr>
          <w:p w14:paraId="05BD50B9" w14:textId="77777777" w:rsidR="00000000" w:rsidRDefault="00405D16">
            <w:pPr>
              <w:spacing w:after="100"/>
              <w:rPr>
                <w:rFonts w:eastAsia="Times New Roman"/>
                <w:sz w:val="20"/>
                <w:szCs w:val="20"/>
              </w:rPr>
            </w:pPr>
          </w:p>
        </w:tc>
        <w:tc>
          <w:tcPr>
            <w:tcW w:w="0" w:type="auto"/>
            <w:gridSpan w:val="3"/>
            <w:vAlign w:val="center"/>
            <w:hideMark/>
          </w:tcPr>
          <w:p w14:paraId="4ACE842D" w14:textId="77777777" w:rsidR="00000000" w:rsidRDefault="00405D16">
            <w:pPr>
              <w:spacing w:after="100"/>
              <w:rPr>
                <w:rFonts w:eastAsia="Times New Roman"/>
                <w:sz w:val="20"/>
                <w:szCs w:val="20"/>
              </w:rPr>
            </w:pPr>
          </w:p>
        </w:tc>
        <w:tc>
          <w:tcPr>
            <w:tcW w:w="0" w:type="auto"/>
            <w:gridSpan w:val="3"/>
            <w:vAlign w:val="center"/>
            <w:hideMark/>
          </w:tcPr>
          <w:p w14:paraId="6FB18A50" w14:textId="77777777" w:rsidR="00000000" w:rsidRDefault="00405D16">
            <w:pPr>
              <w:spacing w:after="100"/>
              <w:rPr>
                <w:rFonts w:eastAsia="Times New Roman"/>
                <w:sz w:val="20"/>
                <w:szCs w:val="20"/>
              </w:rPr>
            </w:pPr>
          </w:p>
        </w:tc>
        <w:tc>
          <w:tcPr>
            <w:tcW w:w="0" w:type="auto"/>
            <w:gridSpan w:val="3"/>
            <w:vAlign w:val="center"/>
            <w:hideMark/>
          </w:tcPr>
          <w:p w14:paraId="09140259" w14:textId="77777777" w:rsidR="00000000" w:rsidRDefault="00405D16">
            <w:pPr>
              <w:spacing w:after="100"/>
              <w:rPr>
                <w:rFonts w:eastAsia="Times New Roman"/>
                <w:sz w:val="20"/>
                <w:szCs w:val="20"/>
              </w:rPr>
            </w:pPr>
          </w:p>
        </w:tc>
        <w:tc>
          <w:tcPr>
            <w:tcW w:w="0" w:type="auto"/>
            <w:gridSpan w:val="3"/>
            <w:vAlign w:val="center"/>
            <w:hideMark/>
          </w:tcPr>
          <w:p w14:paraId="5FAAB75E" w14:textId="77777777" w:rsidR="00000000" w:rsidRDefault="00405D16">
            <w:pPr>
              <w:spacing w:after="100"/>
              <w:rPr>
                <w:rFonts w:eastAsia="Times New Roman"/>
                <w:sz w:val="20"/>
                <w:szCs w:val="20"/>
              </w:rPr>
            </w:pPr>
          </w:p>
        </w:tc>
        <w:tc>
          <w:tcPr>
            <w:tcW w:w="0" w:type="auto"/>
            <w:gridSpan w:val="3"/>
            <w:vAlign w:val="center"/>
            <w:hideMark/>
          </w:tcPr>
          <w:p w14:paraId="33498357" w14:textId="77777777" w:rsidR="00000000" w:rsidRDefault="00405D16">
            <w:pPr>
              <w:spacing w:after="100"/>
              <w:rPr>
                <w:rFonts w:eastAsia="Times New Roman"/>
                <w:sz w:val="20"/>
                <w:szCs w:val="20"/>
              </w:rPr>
            </w:pPr>
          </w:p>
        </w:tc>
        <w:tc>
          <w:tcPr>
            <w:tcW w:w="0" w:type="auto"/>
            <w:gridSpan w:val="3"/>
            <w:vAlign w:val="center"/>
            <w:hideMark/>
          </w:tcPr>
          <w:p w14:paraId="2640738E" w14:textId="77777777" w:rsidR="00000000" w:rsidRDefault="00405D16">
            <w:pPr>
              <w:spacing w:after="100"/>
              <w:rPr>
                <w:rFonts w:eastAsia="Times New Roman"/>
                <w:sz w:val="20"/>
                <w:szCs w:val="20"/>
              </w:rPr>
            </w:pPr>
          </w:p>
        </w:tc>
        <w:tc>
          <w:tcPr>
            <w:tcW w:w="0" w:type="auto"/>
            <w:gridSpan w:val="3"/>
            <w:vAlign w:val="center"/>
            <w:hideMark/>
          </w:tcPr>
          <w:p w14:paraId="119DC4FD" w14:textId="77777777" w:rsidR="00000000" w:rsidRDefault="00405D16">
            <w:pPr>
              <w:spacing w:after="100"/>
              <w:rPr>
                <w:rFonts w:eastAsia="Times New Roman"/>
                <w:sz w:val="20"/>
                <w:szCs w:val="20"/>
              </w:rPr>
            </w:pPr>
          </w:p>
        </w:tc>
      </w:tr>
      <w:tr w:rsidR="00000000" w14:paraId="7DBEDC4B" w14:textId="77777777">
        <w:trPr>
          <w:divId w:val="1868330845"/>
        </w:trPr>
        <w:tc>
          <w:tcPr>
            <w:tcW w:w="0" w:type="auto"/>
            <w:gridSpan w:val="3"/>
            <w:vAlign w:val="center"/>
            <w:hideMark/>
          </w:tcPr>
          <w:p w14:paraId="09A1DD2D" w14:textId="77777777" w:rsidR="00000000" w:rsidRDefault="00405D16">
            <w:pPr>
              <w:spacing w:after="100"/>
              <w:rPr>
                <w:rFonts w:eastAsia="Times New Roman"/>
                <w:sz w:val="20"/>
                <w:szCs w:val="20"/>
              </w:rPr>
            </w:pPr>
          </w:p>
        </w:tc>
        <w:tc>
          <w:tcPr>
            <w:tcW w:w="0" w:type="auto"/>
            <w:gridSpan w:val="3"/>
            <w:vAlign w:val="center"/>
            <w:hideMark/>
          </w:tcPr>
          <w:p w14:paraId="21AEBDD3" w14:textId="77777777" w:rsidR="00000000" w:rsidRDefault="00405D16">
            <w:pPr>
              <w:spacing w:after="100"/>
              <w:rPr>
                <w:rFonts w:eastAsia="Times New Roman"/>
                <w:sz w:val="20"/>
                <w:szCs w:val="20"/>
              </w:rPr>
            </w:pPr>
          </w:p>
        </w:tc>
        <w:tc>
          <w:tcPr>
            <w:tcW w:w="0" w:type="auto"/>
            <w:gridSpan w:val="3"/>
            <w:vAlign w:val="center"/>
            <w:hideMark/>
          </w:tcPr>
          <w:p w14:paraId="47B4FD27" w14:textId="77777777" w:rsidR="00000000" w:rsidRDefault="00405D16">
            <w:pPr>
              <w:spacing w:after="100"/>
              <w:rPr>
                <w:rFonts w:eastAsia="Times New Roman"/>
                <w:sz w:val="20"/>
                <w:szCs w:val="20"/>
              </w:rPr>
            </w:pPr>
          </w:p>
        </w:tc>
        <w:tc>
          <w:tcPr>
            <w:tcW w:w="0" w:type="auto"/>
            <w:gridSpan w:val="3"/>
            <w:vAlign w:val="center"/>
            <w:hideMark/>
          </w:tcPr>
          <w:p w14:paraId="05608F2C" w14:textId="77777777" w:rsidR="00000000" w:rsidRDefault="00405D16">
            <w:pPr>
              <w:spacing w:after="100"/>
              <w:rPr>
                <w:rFonts w:eastAsia="Times New Roman"/>
                <w:sz w:val="20"/>
                <w:szCs w:val="20"/>
              </w:rPr>
            </w:pPr>
          </w:p>
        </w:tc>
        <w:tc>
          <w:tcPr>
            <w:tcW w:w="0" w:type="auto"/>
            <w:gridSpan w:val="3"/>
            <w:vAlign w:val="center"/>
            <w:hideMark/>
          </w:tcPr>
          <w:p w14:paraId="646141D4" w14:textId="77777777" w:rsidR="00000000" w:rsidRDefault="00405D16">
            <w:pPr>
              <w:spacing w:after="100"/>
              <w:rPr>
                <w:rFonts w:eastAsia="Times New Roman"/>
                <w:sz w:val="20"/>
                <w:szCs w:val="20"/>
              </w:rPr>
            </w:pPr>
          </w:p>
        </w:tc>
        <w:tc>
          <w:tcPr>
            <w:tcW w:w="0" w:type="auto"/>
            <w:gridSpan w:val="3"/>
            <w:vAlign w:val="center"/>
            <w:hideMark/>
          </w:tcPr>
          <w:p w14:paraId="022760B9" w14:textId="77777777" w:rsidR="00000000" w:rsidRDefault="00405D16">
            <w:pPr>
              <w:spacing w:after="100"/>
              <w:rPr>
                <w:rFonts w:eastAsia="Times New Roman"/>
                <w:sz w:val="20"/>
                <w:szCs w:val="20"/>
              </w:rPr>
            </w:pPr>
          </w:p>
        </w:tc>
        <w:tc>
          <w:tcPr>
            <w:tcW w:w="0" w:type="auto"/>
            <w:gridSpan w:val="3"/>
            <w:vAlign w:val="center"/>
            <w:hideMark/>
          </w:tcPr>
          <w:p w14:paraId="3BB6529A" w14:textId="77777777" w:rsidR="00000000" w:rsidRDefault="00405D16">
            <w:pPr>
              <w:spacing w:after="100"/>
              <w:rPr>
                <w:rFonts w:eastAsia="Times New Roman"/>
                <w:sz w:val="20"/>
                <w:szCs w:val="20"/>
              </w:rPr>
            </w:pPr>
          </w:p>
        </w:tc>
        <w:tc>
          <w:tcPr>
            <w:tcW w:w="0" w:type="auto"/>
            <w:gridSpan w:val="3"/>
            <w:vAlign w:val="center"/>
            <w:hideMark/>
          </w:tcPr>
          <w:p w14:paraId="5C8BBD08" w14:textId="77777777" w:rsidR="00000000" w:rsidRDefault="00405D16">
            <w:pPr>
              <w:spacing w:after="100"/>
              <w:rPr>
                <w:rFonts w:eastAsia="Times New Roman"/>
                <w:sz w:val="20"/>
                <w:szCs w:val="20"/>
              </w:rPr>
            </w:pPr>
          </w:p>
        </w:tc>
        <w:tc>
          <w:tcPr>
            <w:tcW w:w="0" w:type="auto"/>
            <w:gridSpan w:val="3"/>
            <w:vAlign w:val="center"/>
            <w:hideMark/>
          </w:tcPr>
          <w:p w14:paraId="77DFB9A3" w14:textId="77777777" w:rsidR="00000000" w:rsidRDefault="00405D16">
            <w:pPr>
              <w:spacing w:after="100"/>
              <w:rPr>
                <w:rFonts w:eastAsia="Times New Roman"/>
                <w:sz w:val="20"/>
                <w:szCs w:val="20"/>
              </w:rPr>
            </w:pPr>
          </w:p>
        </w:tc>
        <w:tc>
          <w:tcPr>
            <w:tcW w:w="0" w:type="auto"/>
            <w:gridSpan w:val="3"/>
            <w:vAlign w:val="center"/>
            <w:hideMark/>
          </w:tcPr>
          <w:p w14:paraId="5CE1AB55" w14:textId="77777777" w:rsidR="00000000" w:rsidRDefault="00405D16">
            <w:pPr>
              <w:spacing w:after="100"/>
              <w:rPr>
                <w:rFonts w:eastAsia="Times New Roman"/>
                <w:sz w:val="20"/>
                <w:szCs w:val="20"/>
              </w:rPr>
            </w:pPr>
          </w:p>
        </w:tc>
        <w:tc>
          <w:tcPr>
            <w:tcW w:w="0" w:type="auto"/>
            <w:gridSpan w:val="3"/>
            <w:vAlign w:val="center"/>
            <w:hideMark/>
          </w:tcPr>
          <w:p w14:paraId="5876C54D" w14:textId="77777777" w:rsidR="00000000" w:rsidRDefault="00405D16">
            <w:pPr>
              <w:spacing w:after="100"/>
              <w:rPr>
                <w:rFonts w:eastAsia="Times New Roman"/>
                <w:sz w:val="20"/>
                <w:szCs w:val="20"/>
              </w:rPr>
            </w:pPr>
          </w:p>
        </w:tc>
        <w:tc>
          <w:tcPr>
            <w:tcW w:w="0" w:type="auto"/>
            <w:gridSpan w:val="3"/>
            <w:vAlign w:val="center"/>
            <w:hideMark/>
          </w:tcPr>
          <w:p w14:paraId="5F7C0A9D" w14:textId="77777777" w:rsidR="00000000" w:rsidRDefault="00405D16">
            <w:pPr>
              <w:spacing w:after="100"/>
              <w:rPr>
                <w:rFonts w:eastAsia="Times New Roman"/>
                <w:sz w:val="20"/>
                <w:szCs w:val="20"/>
              </w:rPr>
            </w:pPr>
          </w:p>
        </w:tc>
        <w:tc>
          <w:tcPr>
            <w:tcW w:w="0" w:type="auto"/>
            <w:gridSpan w:val="3"/>
            <w:vAlign w:val="center"/>
            <w:hideMark/>
          </w:tcPr>
          <w:p w14:paraId="34B01B9A" w14:textId="77777777" w:rsidR="00000000" w:rsidRDefault="00405D16">
            <w:pPr>
              <w:spacing w:after="100"/>
              <w:rPr>
                <w:rFonts w:eastAsia="Times New Roman"/>
                <w:sz w:val="20"/>
                <w:szCs w:val="20"/>
              </w:rPr>
            </w:pPr>
          </w:p>
        </w:tc>
        <w:tc>
          <w:tcPr>
            <w:tcW w:w="0" w:type="auto"/>
            <w:gridSpan w:val="3"/>
            <w:vAlign w:val="center"/>
            <w:hideMark/>
          </w:tcPr>
          <w:p w14:paraId="631FB25E" w14:textId="77777777" w:rsidR="00000000" w:rsidRDefault="00405D16">
            <w:pPr>
              <w:spacing w:after="100"/>
              <w:rPr>
                <w:rFonts w:eastAsia="Times New Roman"/>
                <w:sz w:val="20"/>
                <w:szCs w:val="20"/>
              </w:rPr>
            </w:pPr>
          </w:p>
        </w:tc>
        <w:tc>
          <w:tcPr>
            <w:tcW w:w="0" w:type="auto"/>
            <w:gridSpan w:val="3"/>
            <w:vAlign w:val="center"/>
            <w:hideMark/>
          </w:tcPr>
          <w:p w14:paraId="520AAEAB" w14:textId="77777777" w:rsidR="00000000" w:rsidRDefault="00405D16">
            <w:pPr>
              <w:spacing w:after="100"/>
              <w:rPr>
                <w:rFonts w:eastAsia="Times New Roman"/>
                <w:sz w:val="20"/>
                <w:szCs w:val="20"/>
              </w:rPr>
            </w:pPr>
          </w:p>
        </w:tc>
        <w:tc>
          <w:tcPr>
            <w:tcW w:w="0" w:type="auto"/>
            <w:gridSpan w:val="3"/>
            <w:vAlign w:val="center"/>
            <w:hideMark/>
          </w:tcPr>
          <w:p w14:paraId="7EDBACE2" w14:textId="77777777" w:rsidR="00000000" w:rsidRDefault="00405D16">
            <w:pPr>
              <w:spacing w:after="100"/>
              <w:rPr>
                <w:rFonts w:eastAsia="Times New Roman"/>
                <w:sz w:val="20"/>
                <w:szCs w:val="20"/>
              </w:rPr>
            </w:pPr>
          </w:p>
        </w:tc>
        <w:tc>
          <w:tcPr>
            <w:tcW w:w="0" w:type="auto"/>
            <w:gridSpan w:val="3"/>
            <w:vAlign w:val="center"/>
            <w:hideMark/>
          </w:tcPr>
          <w:p w14:paraId="4C846757" w14:textId="77777777" w:rsidR="00000000" w:rsidRDefault="00405D16">
            <w:pPr>
              <w:spacing w:after="100"/>
              <w:rPr>
                <w:rFonts w:eastAsia="Times New Roman"/>
                <w:sz w:val="20"/>
                <w:szCs w:val="20"/>
              </w:rPr>
            </w:pPr>
          </w:p>
        </w:tc>
        <w:tc>
          <w:tcPr>
            <w:tcW w:w="0" w:type="auto"/>
            <w:gridSpan w:val="3"/>
            <w:vAlign w:val="center"/>
            <w:hideMark/>
          </w:tcPr>
          <w:p w14:paraId="0E7D5D95" w14:textId="77777777" w:rsidR="00000000" w:rsidRDefault="00405D16">
            <w:pPr>
              <w:spacing w:after="100"/>
              <w:rPr>
                <w:rFonts w:eastAsia="Times New Roman"/>
                <w:sz w:val="20"/>
                <w:szCs w:val="20"/>
              </w:rPr>
            </w:pPr>
          </w:p>
        </w:tc>
        <w:tc>
          <w:tcPr>
            <w:tcW w:w="0" w:type="auto"/>
            <w:gridSpan w:val="3"/>
            <w:vAlign w:val="center"/>
            <w:hideMark/>
          </w:tcPr>
          <w:p w14:paraId="7A7BE2F5" w14:textId="77777777" w:rsidR="00000000" w:rsidRDefault="00405D16">
            <w:pPr>
              <w:spacing w:after="100"/>
              <w:rPr>
                <w:rFonts w:eastAsia="Times New Roman"/>
                <w:sz w:val="20"/>
                <w:szCs w:val="20"/>
              </w:rPr>
            </w:pPr>
          </w:p>
        </w:tc>
      </w:tr>
      <w:tr w:rsidR="00000000" w14:paraId="5241AA23" w14:textId="77777777">
        <w:trPr>
          <w:divId w:val="1868330845"/>
        </w:trPr>
        <w:tc>
          <w:tcPr>
            <w:tcW w:w="0" w:type="auto"/>
            <w:gridSpan w:val="3"/>
            <w:vAlign w:val="center"/>
            <w:hideMark/>
          </w:tcPr>
          <w:p w14:paraId="1E161CDD" w14:textId="77777777" w:rsidR="00000000" w:rsidRDefault="00405D16">
            <w:pPr>
              <w:spacing w:after="100"/>
              <w:rPr>
                <w:rFonts w:eastAsia="Times New Roman"/>
                <w:sz w:val="20"/>
                <w:szCs w:val="20"/>
              </w:rPr>
            </w:pPr>
          </w:p>
        </w:tc>
        <w:tc>
          <w:tcPr>
            <w:tcW w:w="0" w:type="auto"/>
            <w:gridSpan w:val="3"/>
            <w:vAlign w:val="center"/>
            <w:hideMark/>
          </w:tcPr>
          <w:p w14:paraId="515E0840" w14:textId="77777777" w:rsidR="00000000" w:rsidRDefault="00405D16">
            <w:pPr>
              <w:spacing w:after="100"/>
              <w:rPr>
                <w:rFonts w:eastAsia="Times New Roman"/>
                <w:sz w:val="20"/>
                <w:szCs w:val="20"/>
              </w:rPr>
            </w:pPr>
          </w:p>
        </w:tc>
        <w:tc>
          <w:tcPr>
            <w:tcW w:w="0" w:type="auto"/>
            <w:gridSpan w:val="3"/>
            <w:vAlign w:val="center"/>
            <w:hideMark/>
          </w:tcPr>
          <w:p w14:paraId="1F6F6169" w14:textId="77777777" w:rsidR="00000000" w:rsidRDefault="00405D16">
            <w:pPr>
              <w:spacing w:after="100"/>
              <w:rPr>
                <w:rFonts w:eastAsia="Times New Roman"/>
                <w:sz w:val="20"/>
                <w:szCs w:val="20"/>
              </w:rPr>
            </w:pPr>
          </w:p>
        </w:tc>
        <w:tc>
          <w:tcPr>
            <w:tcW w:w="0" w:type="auto"/>
            <w:gridSpan w:val="3"/>
            <w:vAlign w:val="center"/>
            <w:hideMark/>
          </w:tcPr>
          <w:p w14:paraId="0EF8AAAD" w14:textId="77777777" w:rsidR="00000000" w:rsidRDefault="00405D16">
            <w:pPr>
              <w:spacing w:after="100"/>
              <w:rPr>
                <w:rFonts w:eastAsia="Times New Roman"/>
                <w:sz w:val="20"/>
                <w:szCs w:val="20"/>
              </w:rPr>
            </w:pPr>
          </w:p>
        </w:tc>
        <w:tc>
          <w:tcPr>
            <w:tcW w:w="0" w:type="auto"/>
            <w:gridSpan w:val="3"/>
            <w:vAlign w:val="center"/>
            <w:hideMark/>
          </w:tcPr>
          <w:p w14:paraId="74B864CB" w14:textId="77777777" w:rsidR="00000000" w:rsidRDefault="00405D16">
            <w:pPr>
              <w:spacing w:after="100"/>
              <w:rPr>
                <w:rFonts w:eastAsia="Times New Roman"/>
                <w:sz w:val="20"/>
                <w:szCs w:val="20"/>
              </w:rPr>
            </w:pPr>
          </w:p>
        </w:tc>
        <w:tc>
          <w:tcPr>
            <w:tcW w:w="0" w:type="auto"/>
            <w:gridSpan w:val="3"/>
            <w:vAlign w:val="center"/>
            <w:hideMark/>
          </w:tcPr>
          <w:p w14:paraId="60FFB78E" w14:textId="77777777" w:rsidR="00000000" w:rsidRDefault="00405D16">
            <w:pPr>
              <w:spacing w:after="100"/>
              <w:rPr>
                <w:rFonts w:eastAsia="Times New Roman"/>
                <w:sz w:val="20"/>
                <w:szCs w:val="20"/>
              </w:rPr>
            </w:pPr>
          </w:p>
        </w:tc>
        <w:tc>
          <w:tcPr>
            <w:tcW w:w="0" w:type="auto"/>
            <w:gridSpan w:val="3"/>
            <w:vAlign w:val="center"/>
            <w:hideMark/>
          </w:tcPr>
          <w:p w14:paraId="4D31AD82" w14:textId="77777777" w:rsidR="00000000" w:rsidRDefault="00405D16">
            <w:pPr>
              <w:spacing w:after="100"/>
              <w:rPr>
                <w:rFonts w:eastAsia="Times New Roman"/>
                <w:sz w:val="20"/>
                <w:szCs w:val="20"/>
              </w:rPr>
            </w:pPr>
          </w:p>
        </w:tc>
        <w:tc>
          <w:tcPr>
            <w:tcW w:w="0" w:type="auto"/>
            <w:gridSpan w:val="3"/>
            <w:vAlign w:val="center"/>
            <w:hideMark/>
          </w:tcPr>
          <w:p w14:paraId="05DA35C9" w14:textId="77777777" w:rsidR="00000000" w:rsidRDefault="00405D16">
            <w:pPr>
              <w:spacing w:after="100"/>
              <w:rPr>
                <w:rFonts w:eastAsia="Times New Roman"/>
                <w:sz w:val="20"/>
                <w:szCs w:val="20"/>
              </w:rPr>
            </w:pPr>
          </w:p>
        </w:tc>
        <w:tc>
          <w:tcPr>
            <w:tcW w:w="0" w:type="auto"/>
            <w:gridSpan w:val="3"/>
            <w:vAlign w:val="center"/>
            <w:hideMark/>
          </w:tcPr>
          <w:p w14:paraId="1F4E2688" w14:textId="77777777" w:rsidR="00000000" w:rsidRDefault="00405D16">
            <w:pPr>
              <w:spacing w:after="100"/>
              <w:rPr>
                <w:rFonts w:eastAsia="Times New Roman"/>
                <w:sz w:val="20"/>
                <w:szCs w:val="20"/>
              </w:rPr>
            </w:pPr>
          </w:p>
        </w:tc>
        <w:tc>
          <w:tcPr>
            <w:tcW w:w="0" w:type="auto"/>
            <w:gridSpan w:val="3"/>
            <w:vAlign w:val="center"/>
            <w:hideMark/>
          </w:tcPr>
          <w:p w14:paraId="1428DFF6" w14:textId="77777777" w:rsidR="00000000" w:rsidRDefault="00405D16">
            <w:pPr>
              <w:spacing w:after="100"/>
              <w:rPr>
                <w:rFonts w:eastAsia="Times New Roman"/>
                <w:sz w:val="20"/>
                <w:szCs w:val="20"/>
              </w:rPr>
            </w:pPr>
          </w:p>
        </w:tc>
        <w:tc>
          <w:tcPr>
            <w:tcW w:w="0" w:type="auto"/>
            <w:gridSpan w:val="3"/>
            <w:vAlign w:val="center"/>
            <w:hideMark/>
          </w:tcPr>
          <w:p w14:paraId="7F24AED0" w14:textId="77777777" w:rsidR="00000000" w:rsidRDefault="00405D16">
            <w:pPr>
              <w:spacing w:after="100"/>
              <w:rPr>
                <w:rFonts w:eastAsia="Times New Roman"/>
                <w:sz w:val="20"/>
                <w:szCs w:val="20"/>
              </w:rPr>
            </w:pPr>
          </w:p>
        </w:tc>
        <w:tc>
          <w:tcPr>
            <w:tcW w:w="0" w:type="auto"/>
            <w:gridSpan w:val="3"/>
            <w:vAlign w:val="center"/>
            <w:hideMark/>
          </w:tcPr>
          <w:p w14:paraId="3D536895" w14:textId="77777777" w:rsidR="00000000" w:rsidRDefault="00405D16">
            <w:pPr>
              <w:spacing w:after="100"/>
              <w:rPr>
                <w:rFonts w:eastAsia="Times New Roman"/>
                <w:sz w:val="20"/>
                <w:szCs w:val="20"/>
              </w:rPr>
            </w:pPr>
          </w:p>
        </w:tc>
        <w:tc>
          <w:tcPr>
            <w:tcW w:w="0" w:type="auto"/>
            <w:gridSpan w:val="3"/>
            <w:vAlign w:val="center"/>
            <w:hideMark/>
          </w:tcPr>
          <w:p w14:paraId="43E00242" w14:textId="77777777" w:rsidR="00000000" w:rsidRDefault="00405D16">
            <w:pPr>
              <w:spacing w:after="100"/>
              <w:rPr>
                <w:rFonts w:eastAsia="Times New Roman"/>
                <w:sz w:val="20"/>
                <w:szCs w:val="20"/>
              </w:rPr>
            </w:pPr>
          </w:p>
        </w:tc>
        <w:tc>
          <w:tcPr>
            <w:tcW w:w="0" w:type="auto"/>
            <w:gridSpan w:val="3"/>
            <w:vAlign w:val="center"/>
            <w:hideMark/>
          </w:tcPr>
          <w:p w14:paraId="03C3678F" w14:textId="77777777" w:rsidR="00000000" w:rsidRDefault="00405D16">
            <w:pPr>
              <w:spacing w:after="100"/>
              <w:rPr>
                <w:rFonts w:eastAsia="Times New Roman"/>
                <w:sz w:val="20"/>
                <w:szCs w:val="20"/>
              </w:rPr>
            </w:pPr>
          </w:p>
        </w:tc>
        <w:tc>
          <w:tcPr>
            <w:tcW w:w="0" w:type="auto"/>
            <w:gridSpan w:val="3"/>
            <w:vAlign w:val="center"/>
            <w:hideMark/>
          </w:tcPr>
          <w:p w14:paraId="7A689AA8" w14:textId="77777777" w:rsidR="00000000" w:rsidRDefault="00405D16">
            <w:pPr>
              <w:spacing w:after="100"/>
              <w:rPr>
                <w:rFonts w:eastAsia="Times New Roman"/>
                <w:sz w:val="20"/>
                <w:szCs w:val="20"/>
              </w:rPr>
            </w:pPr>
          </w:p>
        </w:tc>
        <w:tc>
          <w:tcPr>
            <w:tcW w:w="0" w:type="auto"/>
            <w:gridSpan w:val="3"/>
            <w:vAlign w:val="center"/>
            <w:hideMark/>
          </w:tcPr>
          <w:p w14:paraId="1A022AB3" w14:textId="77777777" w:rsidR="00000000" w:rsidRDefault="00405D16">
            <w:pPr>
              <w:spacing w:after="100"/>
              <w:rPr>
                <w:rFonts w:eastAsia="Times New Roman"/>
                <w:sz w:val="20"/>
                <w:szCs w:val="20"/>
              </w:rPr>
            </w:pPr>
          </w:p>
        </w:tc>
        <w:tc>
          <w:tcPr>
            <w:tcW w:w="0" w:type="auto"/>
            <w:gridSpan w:val="3"/>
            <w:vAlign w:val="center"/>
            <w:hideMark/>
          </w:tcPr>
          <w:p w14:paraId="602CDEAE" w14:textId="77777777" w:rsidR="00000000" w:rsidRDefault="00405D16">
            <w:pPr>
              <w:spacing w:after="100"/>
              <w:rPr>
                <w:rFonts w:eastAsia="Times New Roman"/>
                <w:sz w:val="20"/>
                <w:szCs w:val="20"/>
              </w:rPr>
            </w:pPr>
          </w:p>
        </w:tc>
        <w:tc>
          <w:tcPr>
            <w:tcW w:w="0" w:type="auto"/>
            <w:gridSpan w:val="3"/>
            <w:vAlign w:val="center"/>
            <w:hideMark/>
          </w:tcPr>
          <w:p w14:paraId="3467A841" w14:textId="77777777" w:rsidR="00000000" w:rsidRDefault="00405D16">
            <w:pPr>
              <w:spacing w:after="100"/>
              <w:rPr>
                <w:rFonts w:eastAsia="Times New Roman"/>
                <w:sz w:val="20"/>
                <w:szCs w:val="20"/>
              </w:rPr>
            </w:pPr>
          </w:p>
        </w:tc>
        <w:tc>
          <w:tcPr>
            <w:tcW w:w="0" w:type="auto"/>
            <w:gridSpan w:val="3"/>
            <w:vAlign w:val="center"/>
            <w:hideMark/>
          </w:tcPr>
          <w:p w14:paraId="07AEA6CD" w14:textId="77777777" w:rsidR="00000000" w:rsidRDefault="00405D16">
            <w:pPr>
              <w:spacing w:after="100"/>
              <w:rPr>
                <w:rFonts w:eastAsia="Times New Roman"/>
                <w:sz w:val="20"/>
                <w:szCs w:val="20"/>
              </w:rPr>
            </w:pPr>
          </w:p>
        </w:tc>
      </w:tr>
      <w:tr w:rsidR="00000000" w14:paraId="7CBB3C91" w14:textId="77777777">
        <w:trPr>
          <w:divId w:val="1868330845"/>
        </w:trPr>
        <w:tc>
          <w:tcPr>
            <w:tcW w:w="0" w:type="auto"/>
            <w:gridSpan w:val="3"/>
            <w:vAlign w:val="center"/>
            <w:hideMark/>
          </w:tcPr>
          <w:p w14:paraId="3C28EC3D" w14:textId="77777777" w:rsidR="00000000" w:rsidRDefault="00405D16">
            <w:pPr>
              <w:spacing w:after="100"/>
              <w:rPr>
                <w:rFonts w:eastAsia="Times New Roman"/>
                <w:sz w:val="20"/>
                <w:szCs w:val="20"/>
              </w:rPr>
            </w:pPr>
          </w:p>
        </w:tc>
        <w:tc>
          <w:tcPr>
            <w:tcW w:w="0" w:type="auto"/>
            <w:gridSpan w:val="3"/>
            <w:vAlign w:val="center"/>
            <w:hideMark/>
          </w:tcPr>
          <w:p w14:paraId="08FBACBE" w14:textId="77777777" w:rsidR="00000000" w:rsidRDefault="00405D16">
            <w:pPr>
              <w:spacing w:after="100"/>
              <w:rPr>
                <w:rFonts w:eastAsia="Times New Roman"/>
                <w:sz w:val="20"/>
                <w:szCs w:val="20"/>
              </w:rPr>
            </w:pPr>
          </w:p>
        </w:tc>
        <w:tc>
          <w:tcPr>
            <w:tcW w:w="0" w:type="auto"/>
            <w:gridSpan w:val="3"/>
            <w:vAlign w:val="center"/>
            <w:hideMark/>
          </w:tcPr>
          <w:p w14:paraId="3A1E9A90" w14:textId="77777777" w:rsidR="00000000" w:rsidRDefault="00405D16">
            <w:pPr>
              <w:spacing w:after="100"/>
              <w:rPr>
                <w:rFonts w:eastAsia="Times New Roman"/>
                <w:sz w:val="20"/>
                <w:szCs w:val="20"/>
              </w:rPr>
            </w:pPr>
          </w:p>
        </w:tc>
        <w:tc>
          <w:tcPr>
            <w:tcW w:w="0" w:type="auto"/>
            <w:gridSpan w:val="3"/>
            <w:vAlign w:val="center"/>
            <w:hideMark/>
          </w:tcPr>
          <w:p w14:paraId="431C603A" w14:textId="77777777" w:rsidR="00000000" w:rsidRDefault="00405D16">
            <w:pPr>
              <w:spacing w:after="100"/>
              <w:rPr>
                <w:rFonts w:eastAsia="Times New Roman"/>
                <w:sz w:val="20"/>
                <w:szCs w:val="20"/>
              </w:rPr>
            </w:pPr>
          </w:p>
        </w:tc>
        <w:tc>
          <w:tcPr>
            <w:tcW w:w="0" w:type="auto"/>
            <w:gridSpan w:val="3"/>
            <w:vAlign w:val="center"/>
            <w:hideMark/>
          </w:tcPr>
          <w:p w14:paraId="32A469B6" w14:textId="77777777" w:rsidR="00000000" w:rsidRDefault="00405D16">
            <w:pPr>
              <w:spacing w:after="100"/>
              <w:rPr>
                <w:rFonts w:eastAsia="Times New Roman"/>
                <w:sz w:val="20"/>
                <w:szCs w:val="20"/>
              </w:rPr>
            </w:pPr>
          </w:p>
        </w:tc>
        <w:tc>
          <w:tcPr>
            <w:tcW w:w="0" w:type="auto"/>
            <w:gridSpan w:val="3"/>
            <w:vAlign w:val="center"/>
            <w:hideMark/>
          </w:tcPr>
          <w:p w14:paraId="68784062" w14:textId="77777777" w:rsidR="00000000" w:rsidRDefault="00405D16">
            <w:pPr>
              <w:spacing w:after="100"/>
              <w:rPr>
                <w:rFonts w:eastAsia="Times New Roman"/>
                <w:sz w:val="20"/>
                <w:szCs w:val="20"/>
              </w:rPr>
            </w:pPr>
          </w:p>
        </w:tc>
        <w:tc>
          <w:tcPr>
            <w:tcW w:w="0" w:type="auto"/>
            <w:gridSpan w:val="3"/>
            <w:vAlign w:val="center"/>
            <w:hideMark/>
          </w:tcPr>
          <w:p w14:paraId="684AE490" w14:textId="77777777" w:rsidR="00000000" w:rsidRDefault="00405D16">
            <w:pPr>
              <w:spacing w:after="100"/>
              <w:rPr>
                <w:rFonts w:eastAsia="Times New Roman"/>
                <w:sz w:val="20"/>
                <w:szCs w:val="20"/>
              </w:rPr>
            </w:pPr>
          </w:p>
        </w:tc>
        <w:tc>
          <w:tcPr>
            <w:tcW w:w="0" w:type="auto"/>
            <w:gridSpan w:val="3"/>
            <w:vAlign w:val="center"/>
            <w:hideMark/>
          </w:tcPr>
          <w:p w14:paraId="1C2F56E9" w14:textId="77777777" w:rsidR="00000000" w:rsidRDefault="00405D16">
            <w:pPr>
              <w:spacing w:after="100"/>
              <w:rPr>
                <w:rFonts w:eastAsia="Times New Roman"/>
                <w:sz w:val="20"/>
                <w:szCs w:val="20"/>
              </w:rPr>
            </w:pPr>
          </w:p>
        </w:tc>
        <w:tc>
          <w:tcPr>
            <w:tcW w:w="0" w:type="auto"/>
            <w:gridSpan w:val="3"/>
            <w:vAlign w:val="center"/>
            <w:hideMark/>
          </w:tcPr>
          <w:p w14:paraId="5F25E004" w14:textId="77777777" w:rsidR="00000000" w:rsidRDefault="00405D16">
            <w:pPr>
              <w:spacing w:after="100"/>
              <w:rPr>
                <w:rFonts w:eastAsia="Times New Roman"/>
                <w:sz w:val="20"/>
                <w:szCs w:val="20"/>
              </w:rPr>
            </w:pPr>
          </w:p>
        </w:tc>
        <w:tc>
          <w:tcPr>
            <w:tcW w:w="0" w:type="auto"/>
            <w:gridSpan w:val="3"/>
            <w:vAlign w:val="center"/>
            <w:hideMark/>
          </w:tcPr>
          <w:p w14:paraId="4B0FDC35" w14:textId="77777777" w:rsidR="00000000" w:rsidRDefault="00405D16">
            <w:pPr>
              <w:spacing w:after="100"/>
              <w:rPr>
                <w:rFonts w:eastAsia="Times New Roman"/>
                <w:sz w:val="20"/>
                <w:szCs w:val="20"/>
              </w:rPr>
            </w:pPr>
          </w:p>
        </w:tc>
        <w:tc>
          <w:tcPr>
            <w:tcW w:w="0" w:type="auto"/>
            <w:gridSpan w:val="3"/>
            <w:vAlign w:val="center"/>
            <w:hideMark/>
          </w:tcPr>
          <w:p w14:paraId="3A7FC687" w14:textId="77777777" w:rsidR="00000000" w:rsidRDefault="00405D16">
            <w:pPr>
              <w:spacing w:after="100"/>
              <w:rPr>
                <w:rFonts w:eastAsia="Times New Roman"/>
                <w:sz w:val="20"/>
                <w:szCs w:val="20"/>
              </w:rPr>
            </w:pPr>
          </w:p>
        </w:tc>
        <w:tc>
          <w:tcPr>
            <w:tcW w:w="0" w:type="auto"/>
            <w:gridSpan w:val="3"/>
            <w:vAlign w:val="center"/>
            <w:hideMark/>
          </w:tcPr>
          <w:p w14:paraId="52F00AC0" w14:textId="77777777" w:rsidR="00000000" w:rsidRDefault="00405D16">
            <w:pPr>
              <w:spacing w:after="100"/>
              <w:rPr>
                <w:rFonts w:eastAsia="Times New Roman"/>
                <w:sz w:val="20"/>
                <w:szCs w:val="20"/>
              </w:rPr>
            </w:pPr>
          </w:p>
        </w:tc>
        <w:tc>
          <w:tcPr>
            <w:tcW w:w="0" w:type="auto"/>
            <w:gridSpan w:val="3"/>
            <w:vAlign w:val="center"/>
            <w:hideMark/>
          </w:tcPr>
          <w:p w14:paraId="5DD93C31" w14:textId="77777777" w:rsidR="00000000" w:rsidRDefault="00405D16">
            <w:pPr>
              <w:spacing w:after="100"/>
              <w:rPr>
                <w:rFonts w:eastAsia="Times New Roman"/>
                <w:sz w:val="20"/>
                <w:szCs w:val="20"/>
              </w:rPr>
            </w:pPr>
          </w:p>
        </w:tc>
        <w:tc>
          <w:tcPr>
            <w:tcW w:w="0" w:type="auto"/>
            <w:gridSpan w:val="3"/>
            <w:vAlign w:val="center"/>
            <w:hideMark/>
          </w:tcPr>
          <w:p w14:paraId="71E718D6" w14:textId="77777777" w:rsidR="00000000" w:rsidRDefault="00405D16">
            <w:pPr>
              <w:spacing w:after="100"/>
              <w:rPr>
                <w:rFonts w:eastAsia="Times New Roman"/>
                <w:sz w:val="20"/>
                <w:szCs w:val="20"/>
              </w:rPr>
            </w:pPr>
          </w:p>
        </w:tc>
        <w:tc>
          <w:tcPr>
            <w:tcW w:w="0" w:type="auto"/>
            <w:gridSpan w:val="3"/>
            <w:vAlign w:val="center"/>
            <w:hideMark/>
          </w:tcPr>
          <w:p w14:paraId="49B0BF4E" w14:textId="77777777" w:rsidR="00000000" w:rsidRDefault="00405D16">
            <w:pPr>
              <w:spacing w:after="100"/>
              <w:rPr>
                <w:rFonts w:eastAsia="Times New Roman"/>
                <w:sz w:val="20"/>
                <w:szCs w:val="20"/>
              </w:rPr>
            </w:pPr>
          </w:p>
        </w:tc>
        <w:tc>
          <w:tcPr>
            <w:tcW w:w="0" w:type="auto"/>
            <w:gridSpan w:val="3"/>
            <w:vAlign w:val="center"/>
            <w:hideMark/>
          </w:tcPr>
          <w:p w14:paraId="1CA7ED07" w14:textId="77777777" w:rsidR="00000000" w:rsidRDefault="00405D16">
            <w:pPr>
              <w:spacing w:after="100"/>
              <w:rPr>
                <w:rFonts w:eastAsia="Times New Roman"/>
                <w:sz w:val="20"/>
                <w:szCs w:val="20"/>
              </w:rPr>
            </w:pPr>
          </w:p>
        </w:tc>
        <w:tc>
          <w:tcPr>
            <w:tcW w:w="0" w:type="auto"/>
            <w:gridSpan w:val="3"/>
            <w:vAlign w:val="center"/>
            <w:hideMark/>
          </w:tcPr>
          <w:p w14:paraId="713CE947" w14:textId="77777777" w:rsidR="00000000" w:rsidRDefault="00405D16">
            <w:pPr>
              <w:spacing w:after="100"/>
              <w:rPr>
                <w:rFonts w:eastAsia="Times New Roman"/>
                <w:sz w:val="20"/>
                <w:szCs w:val="20"/>
              </w:rPr>
            </w:pPr>
          </w:p>
        </w:tc>
        <w:tc>
          <w:tcPr>
            <w:tcW w:w="0" w:type="auto"/>
            <w:gridSpan w:val="3"/>
            <w:vAlign w:val="center"/>
            <w:hideMark/>
          </w:tcPr>
          <w:p w14:paraId="48CE2A6D" w14:textId="77777777" w:rsidR="00000000" w:rsidRDefault="00405D16">
            <w:pPr>
              <w:spacing w:after="100"/>
              <w:rPr>
                <w:rFonts w:eastAsia="Times New Roman"/>
                <w:sz w:val="20"/>
                <w:szCs w:val="20"/>
              </w:rPr>
            </w:pPr>
          </w:p>
        </w:tc>
        <w:tc>
          <w:tcPr>
            <w:tcW w:w="0" w:type="auto"/>
            <w:gridSpan w:val="3"/>
            <w:vAlign w:val="center"/>
            <w:hideMark/>
          </w:tcPr>
          <w:p w14:paraId="283E6526" w14:textId="77777777" w:rsidR="00000000" w:rsidRDefault="00405D16">
            <w:pPr>
              <w:spacing w:after="100"/>
              <w:rPr>
                <w:rFonts w:eastAsia="Times New Roman"/>
                <w:sz w:val="20"/>
                <w:szCs w:val="20"/>
              </w:rPr>
            </w:pPr>
          </w:p>
        </w:tc>
      </w:tr>
      <w:tr w:rsidR="00000000" w14:paraId="2B001B63" w14:textId="77777777">
        <w:trPr>
          <w:divId w:val="1868330845"/>
        </w:trPr>
        <w:tc>
          <w:tcPr>
            <w:tcW w:w="0" w:type="auto"/>
            <w:gridSpan w:val="3"/>
            <w:vAlign w:val="center"/>
            <w:hideMark/>
          </w:tcPr>
          <w:p w14:paraId="360F77BE" w14:textId="77777777" w:rsidR="00000000" w:rsidRDefault="00405D16">
            <w:pPr>
              <w:spacing w:after="100"/>
              <w:rPr>
                <w:rFonts w:eastAsia="Times New Roman"/>
                <w:sz w:val="20"/>
                <w:szCs w:val="20"/>
              </w:rPr>
            </w:pPr>
          </w:p>
        </w:tc>
        <w:tc>
          <w:tcPr>
            <w:tcW w:w="0" w:type="auto"/>
            <w:gridSpan w:val="3"/>
            <w:vAlign w:val="center"/>
            <w:hideMark/>
          </w:tcPr>
          <w:p w14:paraId="0A71919D" w14:textId="77777777" w:rsidR="00000000" w:rsidRDefault="00405D16">
            <w:pPr>
              <w:spacing w:after="100"/>
              <w:rPr>
                <w:rFonts w:eastAsia="Times New Roman"/>
                <w:sz w:val="20"/>
                <w:szCs w:val="20"/>
              </w:rPr>
            </w:pPr>
          </w:p>
        </w:tc>
        <w:tc>
          <w:tcPr>
            <w:tcW w:w="0" w:type="auto"/>
            <w:gridSpan w:val="3"/>
            <w:vAlign w:val="center"/>
            <w:hideMark/>
          </w:tcPr>
          <w:p w14:paraId="41EBE27E" w14:textId="77777777" w:rsidR="00000000" w:rsidRDefault="00405D16">
            <w:pPr>
              <w:spacing w:after="100"/>
              <w:rPr>
                <w:rFonts w:eastAsia="Times New Roman"/>
                <w:sz w:val="20"/>
                <w:szCs w:val="20"/>
              </w:rPr>
            </w:pPr>
          </w:p>
        </w:tc>
        <w:tc>
          <w:tcPr>
            <w:tcW w:w="0" w:type="auto"/>
            <w:gridSpan w:val="3"/>
            <w:vAlign w:val="center"/>
            <w:hideMark/>
          </w:tcPr>
          <w:p w14:paraId="115CC6EE" w14:textId="77777777" w:rsidR="00000000" w:rsidRDefault="00405D16">
            <w:pPr>
              <w:spacing w:after="100"/>
              <w:rPr>
                <w:rFonts w:eastAsia="Times New Roman"/>
                <w:sz w:val="20"/>
                <w:szCs w:val="20"/>
              </w:rPr>
            </w:pPr>
          </w:p>
        </w:tc>
        <w:tc>
          <w:tcPr>
            <w:tcW w:w="0" w:type="auto"/>
            <w:gridSpan w:val="3"/>
            <w:vAlign w:val="center"/>
            <w:hideMark/>
          </w:tcPr>
          <w:p w14:paraId="2F48530E" w14:textId="77777777" w:rsidR="00000000" w:rsidRDefault="00405D16">
            <w:pPr>
              <w:spacing w:after="100"/>
              <w:rPr>
                <w:rFonts w:eastAsia="Times New Roman"/>
                <w:sz w:val="20"/>
                <w:szCs w:val="20"/>
              </w:rPr>
            </w:pPr>
          </w:p>
        </w:tc>
        <w:tc>
          <w:tcPr>
            <w:tcW w:w="0" w:type="auto"/>
            <w:gridSpan w:val="3"/>
            <w:vAlign w:val="center"/>
            <w:hideMark/>
          </w:tcPr>
          <w:p w14:paraId="04A71B94" w14:textId="77777777" w:rsidR="00000000" w:rsidRDefault="00405D16">
            <w:pPr>
              <w:spacing w:after="100"/>
              <w:rPr>
                <w:rFonts w:eastAsia="Times New Roman"/>
                <w:sz w:val="20"/>
                <w:szCs w:val="20"/>
              </w:rPr>
            </w:pPr>
          </w:p>
        </w:tc>
        <w:tc>
          <w:tcPr>
            <w:tcW w:w="0" w:type="auto"/>
            <w:gridSpan w:val="3"/>
            <w:vAlign w:val="center"/>
            <w:hideMark/>
          </w:tcPr>
          <w:p w14:paraId="19D9A7ED" w14:textId="77777777" w:rsidR="00000000" w:rsidRDefault="00405D16">
            <w:pPr>
              <w:spacing w:after="100"/>
              <w:rPr>
                <w:rFonts w:eastAsia="Times New Roman"/>
                <w:sz w:val="20"/>
                <w:szCs w:val="20"/>
              </w:rPr>
            </w:pPr>
          </w:p>
        </w:tc>
        <w:tc>
          <w:tcPr>
            <w:tcW w:w="0" w:type="auto"/>
            <w:gridSpan w:val="3"/>
            <w:vAlign w:val="center"/>
            <w:hideMark/>
          </w:tcPr>
          <w:p w14:paraId="4E0BFA8D" w14:textId="77777777" w:rsidR="00000000" w:rsidRDefault="00405D16">
            <w:pPr>
              <w:spacing w:after="100"/>
              <w:rPr>
                <w:rFonts w:eastAsia="Times New Roman"/>
                <w:sz w:val="20"/>
                <w:szCs w:val="20"/>
              </w:rPr>
            </w:pPr>
          </w:p>
        </w:tc>
        <w:tc>
          <w:tcPr>
            <w:tcW w:w="0" w:type="auto"/>
            <w:gridSpan w:val="3"/>
            <w:vAlign w:val="center"/>
            <w:hideMark/>
          </w:tcPr>
          <w:p w14:paraId="3C97C9B1" w14:textId="77777777" w:rsidR="00000000" w:rsidRDefault="00405D16">
            <w:pPr>
              <w:spacing w:after="100"/>
              <w:rPr>
                <w:rFonts w:eastAsia="Times New Roman"/>
                <w:sz w:val="20"/>
                <w:szCs w:val="20"/>
              </w:rPr>
            </w:pPr>
          </w:p>
        </w:tc>
        <w:tc>
          <w:tcPr>
            <w:tcW w:w="0" w:type="auto"/>
            <w:gridSpan w:val="3"/>
            <w:vAlign w:val="center"/>
            <w:hideMark/>
          </w:tcPr>
          <w:p w14:paraId="2621564E" w14:textId="77777777" w:rsidR="00000000" w:rsidRDefault="00405D16">
            <w:pPr>
              <w:spacing w:after="100"/>
              <w:rPr>
                <w:rFonts w:eastAsia="Times New Roman"/>
                <w:sz w:val="20"/>
                <w:szCs w:val="20"/>
              </w:rPr>
            </w:pPr>
          </w:p>
        </w:tc>
        <w:tc>
          <w:tcPr>
            <w:tcW w:w="0" w:type="auto"/>
            <w:gridSpan w:val="3"/>
            <w:vAlign w:val="center"/>
            <w:hideMark/>
          </w:tcPr>
          <w:p w14:paraId="67F8C15B" w14:textId="77777777" w:rsidR="00000000" w:rsidRDefault="00405D16">
            <w:pPr>
              <w:spacing w:after="100"/>
              <w:rPr>
                <w:rFonts w:eastAsia="Times New Roman"/>
                <w:sz w:val="20"/>
                <w:szCs w:val="20"/>
              </w:rPr>
            </w:pPr>
          </w:p>
        </w:tc>
        <w:tc>
          <w:tcPr>
            <w:tcW w:w="0" w:type="auto"/>
            <w:gridSpan w:val="3"/>
            <w:vAlign w:val="center"/>
            <w:hideMark/>
          </w:tcPr>
          <w:p w14:paraId="4D1EA3CA" w14:textId="77777777" w:rsidR="00000000" w:rsidRDefault="00405D16">
            <w:pPr>
              <w:spacing w:after="100"/>
              <w:rPr>
                <w:rFonts w:eastAsia="Times New Roman"/>
                <w:sz w:val="20"/>
                <w:szCs w:val="20"/>
              </w:rPr>
            </w:pPr>
          </w:p>
        </w:tc>
        <w:tc>
          <w:tcPr>
            <w:tcW w:w="0" w:type="auto"/>
            <w:gridSpan w:val="3"/>
            <w:vAlign w:val="center"/>
            <w:hideMark/>
          </w:tcPr>
          <w:p w14:paraId="2B7E4D28" w14:textId="77777777" w:rsidR="00000000" w:rsidRDefault="00405D16">
            <w:pPr>
              <w:spacing w:after="100"/>
              <w:rPr>
                <w:rFonts w:eastAsia="Times New Roman"/>
                <w:sz w:val="20"/>
                <w:szCs w:val="20"/>
              </w:rPr>
            </w:pPr>
          </w:p>
        </w:tc>
        <w:tc>
          <w:tcPr>
            <w:tcW w:w="0" w:type="auto"/>
            <w:gridSpan w:val="3"/>
            <w:vAlign w:val="center"/>
            <w:hideMark/>
          </w:tcPr>
          <w:p w14:paraId="2762CA07" w14:textId="77777777" w:rsidR="00000000" w:rsidRDefault="00405D16">
            <w:pPr>
              <w:spacing w:after="100"/>
              <w:rPr>
                <w:rFonts w:eastAsia="Times New Roman"/>
                <w:sz w:val="20"/>
                <w:szCs w:val="20"/>
              </w:rPr>
            </w:pPr>
          </w:p>
        </w:tc>
        <w:tc>
          <w:tcPr>
            <w:tcW w:w="0" w:type="auto"/>
            <w:gridSpan w:val="3"/>
            <w:vAlign w:val="center"/>
            <w:hideMark/>
          </w:tcPr>
          <w:p w14:paraId="13ED47DC" w14:textId="77777777" w:rsidR="00000000" w:rsidRDefault="00405D16">
            <w:pPr>
              <w:spacing w:after="100"/>
              <w:rPr>
                <w:rFonts w:eastAsia="Times New Roman"/>
                <w:sz w:val="20"/>
                <w:szCs w:val="20"/>
              </w:rPr>
            </w:pPr>
          </w:p>
        </w:tc>
        <w:tc>
          <w:tcPr>
            <w:tcW w:w="0" w:type="auto"/>
            <w:gridSpan w:val="3"/>
            <w:vAlign w:val="center"/>
            <w:hideMark/>
          </w:tcPr>
          <w:p w14:paraId="10EA8A2F" w14:textId="77777777" w:rsidR="00000000" w:rsidRDefault="00405D16">
            <w:pPr>
              <w:spacing w:after="100"/>
              <w:rPr>
                <w:rFonts w:eastAsia="Times New Roman"/>
                <w:sz w:val="20"/>
                <w:szCs w:val="20"/>
              </w:rPr>
            </w:pPr>
          </w:p>
        </w:tc>
        <w:tc>
          <w:tcPr>
            <w:tcW w:w="0" w:type="auto"/>
            <w:gridSpan w:val="3"/>
            <w:vAlign w:val="center"/>
            <w:hideMark/>
          </w:tcPr>
          <w:p w14:paraId="10C3D696" w14:textId="77777777" w:rsidR="00000000" w:rsidRDefault="00405D16">
            <w:pPr>
              <w:spacing w:after="100"/>
              <w:rPr>
                <w:rFonts w:eastAsia="Times New Roman"/>
                <w:sz w:val="20"/>
                <w:szCs w:val="20"/>
              </w:rPr>
            </w:pPr>
          </w:p>
        </w:tc>
        <w:tc>
          <w:tcPr>
            <w:tcW w:w="0" w:type="auto"/>
            <w:gridSpan w:val="3"/>
            <w:vAlign w:val="center"/>
            <w:hideMark/>
          </w:tcPr>
          <w:p w14:paraId="440C0418" w14:textId="77777777" w:rsidR="00000000" w:rsidRDefault="00405D16">
            <w:pPr>
              <w:spacing w:after="100"/>
              <w:rPr>
                <w:rFonts w:eastAsia="Times New Roman"/>
                <w:sz w:val="20"/>
                <w:szCs w:val="20"/>
              </w:rPr>
            </w:pPr>
          </w:p>
        </w:tc>
        <w:tc>
          <w:tcPr>
            <w:tcW w:w="0" w:type="auto"/>
            <w:gridSpan w:val="3"/>
            <w:vAlign w:val="center"/>
            <w:hideMark/>
          </w:tcPr>
          <w:p w14:paraId="1C05F120" w14:textId="77777777" w:rsidR="00000000" w:rsidRDefault="00405D16">
            <w:pPr>
              <w:spacing w:after="100"/>
              <w:rPr>
                <w:rFonts w:eastAsia="Times New Roman"/>
                <w:sz w:val="20"/>
                <w:szCs w:val="20"/>
              </w:rPr>
            </w:pPr>
          </w:p>
        </w:tc>
      </w:tr>
      <w:tr w:rsidR="00000000" w14:paraId="29B925E1" w14:textId="77777777">
        <w:trPr>
          <w:divId w:val="1868330845"/>
        </w:trPr>
        <w:tc>
          <w:tcPr>
            <w:tcW w:w="0" w:type="auto"/>
            <w:gridSpan w:val="3"/>
            <w:vAlign w:val="center"/>
            <w:hideMark/>
          </w:tcPr>
          <w:p w14:paraId="3E2778BC" w14:textId="77777777" w:rsidR="00000000" w:rsidRDefault="00405D16">
            <w:pPr>
              <w:spacing w:after="100"/>
              <w:rPr>
                <w:rFonts w:eastAsia="Times New Roman"/>
                <w:sz w:val="20"/>
                <w:szCs w:val="20"/>
              </w:rPr>
            </w:pPr>
          </w:p>
        </w:tc>
        <w:tc>
          <w:tcPr>
            <w:tcW w:w="0" w:type="auto"/>
            <w:gridSpan w:val="3"/>
            <w:vAlign w:val="center"/>
            <w:hideMark/>
          </w:tcPr>
          <w:p w14:paraId="0B4FA0FD" w14:textId="77777777" w:rsidR="00000000" w:rsidRDefault="00405D16">
            <w:pPr>
              <w:spacing w:after="100"/>
              <w:rPr>
                <w:rFonts w:eastAsia="Times New Roman"/>
                <w:sz w:val="20"/>
                <w:szCs w:val="20"/>
              </w:rPr>
            </w:pPr>
          </w:p>
        </w:tc>
        <w:tc>
          <w:tcPr>
            <w:tcW w:w="0" w:type="auto"/>
            <w:gridSpan w:val="3"/>
            <w:vAlign w:val="center"/>
            <w:hideMark/>
          </w:tcPr>
          <w:p w14:paraId="08DFB17A" w14:textId="77777777" w:rsidR="00000000" w:rsidRDefault="00405D16">
            <w:pPr>
              <w:spacing w:after="100"/>
              <w:rPr>
                <w:rFonts w:eastAsia="Times New Roman"/>
                <w:sz w:val="20"/>
                <w:szCs w:val="20"/>
              </w:rPr>
            </w:pPr>
          </w:p>
        </w:tc>
        <w:tc>
          <w:tcPr>
            <w:tcW w:w="0" w:type="auto"/>
            <w:gridSpan w:val="3"/>
            <w:vAlign w:val="center"/>
            <w:hideMark/>
          </w:tcPr>
          <w:p w14:paraId="08A84534" w14:textId="77777777" w:rsidR="00000000" w:rsidRDefault="00405D16">
            <w:pPr>
              <w:spacing w:after="100"/>
              <w:rPr>
                <w:rFonts w:eastAsia="Times New Roman"/>
                <w:sz w:val="20"/>
                <w:szCs w:val="20"/>
              </w:rPr>
            </w:pPr>
          </w:p>
        </w:tc>
        <w:tc>
          <w:tcPr>
            <w:tcW w:w="0" w:type="auto"/>
            <w:gridSpan w:val="3"/>
            <w:vAlign w:val="center"/>
            <w:hideMark/>
          </w:tcPr>
          <w:p w14:paraId="3A7391FD" w14:textId="77777777" w:rsidR="00000000" w:rsidRDefault="00405D16">
            <w:pPr>
              <w:spacing w:after="100"/>
              <w:rPr>
                <w:rFonts w:eastAsia="Times New Roman"/>
                <w:sz w:val="20"/>
                <w:szCs w:val="20"/>
              </w:rPr>
            </w:pPr>
          </w:p>
        </w:tc>
        <w:tc>
          <w:tcPr>
            <w:tcW w:w="0" w:type="auto"/>
            <w:gridSpan w:val="3"/>
            <w:vAlign w:val="center"/>
            <w:hideMark/>
          </w:tcPr>
          <w:p w14:paraId="7EB4764A" w14:textId="77777777" w:rsidR="00000000" w:rsidRDefault="00405D16">
            <w:pPr>
              <w:spacing w:after="100"/>
              <w:rPr>
                <w:rFonts w:eastAsia="Times New Roman"/>
                <w:sz w:val="20"/>
                <w:szCs w:val="20"/>
              </w:rPr>
            </w:pPr>
          </w:p>
        </w:tc>
        <w:tc>
          <w:tcPr>
            <w:tcW w:w="0" w:type="auto"/>
            <w:gridSpan w:val="3"/>
            <w:vAlign w:val="center"/>
            <w:hideMark/>
          </w:tcPr>
          <w:p w14:paraId="6C2AFDD9" w14:textId="77777777" w:rsidR="00000000" w:rsidRDefault="00405D16">
            <w:pPr>
              <w:spacing w:after="100"/>
              <w:rPr>
                <w:rFonts w:eastAsia="Times New Roman"/>
                <w:sz w:val="20"/>
                <w:szCs w:val="20"/>
              </w:rPr>
            </w:pPr>
          </w:p>
        </w:tc>
        <w:tc>
          <w:tcPr>
            <w:tcW w:w="0" w:type="auto"/>
            <w:gridSpan w:val="3"/>
            <w:vAlign w:val="center"/>
            <w:hideMark/>
          </w:tcPr>
          <w:p w14:paraId="48596F88" w14:textId="77777777" w:rsidR="00000000" w:rsidRDefault="00405D16">
            <w:pPr>
              <w:spacing w:after="100"/>
              <w:rPr>
                <w:rFonts w:eastAsia="Times New Roman"/>
                <w:sz w:val="20"/>
                <w:szCs w:val="20"/>
              </w:rPr>
            </w:pPr>
          </w:p>
        </w:tc>
        <w:tc>
          <w:tcPr>
            <w:tcW w:w="0" w:type="auto"/>
            <w:gridSpan w:val="3"/>
            <w:vAlign w:val="center"/>
            <w:hideMark/>
          </w:tcPr>
          <w:p w14:paraId="2A189E6E" w14:textId="77777777" w:rsidR="00000000" w:rsidRDefault="00405D16">
            <w:pPr>
              <w:spacing w:after="100"/>
              <w:rPr>
                <w:rFonts w:eastAsia="Times New Roman"/>
                <w:sz w:val="20"/>
                <w:szCs w:val="20"/>
              </w:rPr>
            </w:pPr>
          </w:p>
        </w:tc>
        <w:tc>
          <w:tcPr>
            <w:tcW w:w="0" w:type="auto"/>
            <w:gridSpan w:val="3"/>
            <w:vAlign w:val="center"/>
            <w:hideMark/>
          </w:tcPr>
          <w:p w14:paraId="0D82BCA1" w14:textId="77777777" w:rsidR="00000000" w:rsidRDefault="00405D16">
            <w:pPr>
              <w:spacing w:after="100"/>
              <w:rPr>
                <w:rFonts w:eastAsia="Times New Roman"/>
                <w:sz w:val="20"/>
                <w:szCs w:val="20"/>
              </w:rPr>
            </w:pPr>
          </w:p>
        </w:tc>
        <w:tc>
          <w:tcPr>
            <w:tcW w:w="0" w:type="auto"/>
            <w:gridSpan w:val="3"/>
            <w:vAlign w:val="center"/>
            <w:hideMark/>
          </w:tcPr>
          <w:p w14:paraId="6B8B17B8" w14:textId="77777777" w:rsidR="00000000" w:rsidRDefault="00405D16">
            <w:pPr>
              <w:spacing w:after="100"/>
              <w:rPr>
                <w:rFonts w:eastAsia="Times New Roman"/>
                <w:sz w:val="20"/>
                <w:szCs w:val="20"/>
              </w:rPr>
            </w:pPr>
          </w:p>
        </w:tc>
        <w:tc>
          <w:tcPr>
            <w:tcW w:w="0" w:type="auto"/>
            <w:gridSpan w:val="3"/>
            <w:vAlign w:val="center"/>
            <w:hideMark/>
          </w:tcPr>
          <w:p w14:paraId="5219E6A1" w14:textId="77777777" w:rsidR="00000000" w:rsidRDefault="00405D16">
            <w:pPr>
              <w:spacing w:after="100"/>
              <w:rPr>
                <w:rFonts w:eastAsia="Times New Roman"/>
                <w:sz w:val="20"/>
                <w:szCs w:val="20"/>
              </w:rPr>
            </w:pPr>
          </w:p>
        </w:tc>
        <w:tc>
          <w:tcPr>
            <w:tcW w:w="0" w:type="auto"/>
            <w:gridSpan w:val="3"/>
            <w:vAlign w:val="center"/>
            <w:hideMark/>
          </w:tcPr>
          <w:p w14:paraId="46B180D6" w14:textId="77777777" w:rsidR="00000000" w:rsidRDefault="00405D16">
            <w:pPr>
              <w:spacing w:after="100"/>
              <w:rPr>
                <w:rFonts w:eastAsia="Times New Roman"/>
                <w:sz w:val="20"/>
                <w:szCs w:val="20"/>
              </w:rPr>
            </w:pPr>
          </w:p>
        </w:tc>
        <w:tc>
          <w:tcPr>
            <w:tcW w:w="0" w:type="auto"/>
            <w:gridSpan w:val="3"/>
            <w:vAlign w:val="center"/>
            <w:hideMark/>
          </w:tcPr>
          <w:p w14:paraId="22A85D1F" w14:textId="77777777" w:rsidR="00000000" w:rsidRDefault="00405D16">
            <w:pPr>
              <w:spacing w:after="100"/>
              <w:rPr>
                <w:rFonts w:eastAsia="Times New Roman"/>
                <w:sz w:val="20"/>
                <w:szCs w:val="20"/>
              </w:rPr>
            </w:pPr>
          </w:p>
        </w:tc>
        <w:tc>
          <w:tcPr>
            <w:tcW w:w="0" w:type="auto"/>
            <w:gridSpan w:val="3"/>
            <w:vAlign w:val="center"/>
            <w:hideMark/>
          </w:tcPr>
          <w:p w14:paraId="30093DC3" w14:textId="77777777" w:rsidR="00000000" w:rsidRDefault="00405D16">
            <w:pPr>
              <w:spacing w:after="100"/>
              <w:rPr>
                <w:rFonts w:eastAsia="Times New Roman"/>
                <w:sz w:val="20"/>
                <w:szCs w:val="20"/>
              </w:rPr>
            </w:pPr>
          </w:p>
        </w:tc>
        <w:tc>
          <w:tcPr>
            <w:tcW w:w="0" w:type="auto"/>
            <w:gridSpan w:val="3"/>
            <w:vAlign w:val="center"/>
            <w:hideMark/>
          </w:tcPr>
          <w:p w14:paraId="6D9330F6" w14:textId="77777777" w:rsidR="00000000" w:rsidRDefault="00405D16">
            <w:pPr>
              <w:spacing w:after="100"/>
              <w:rPr>
                <w:rFonts w:eastAsia="Times New Roman"/>
                <w:sz w:val="20"/>
                <w:szCs w:val="20"/>
              </w:rPr>
            </w:pPr>
          </w:p>
        </w:tc>
        <w:tc>
          <w:tcPr>
            <w:tcW w:w="0" w:type="auto"/>
            <w:gridSpan w:val="3"/>
            <w:vAlign w:val="center"/>
            <w:hideMark/>
          </w:tcPr>
          <w:p w14:paraId="42CA4660" w14:textId="77777777" w:rsidR="00000000" w:rsidRDefault="00405D16">
            <w:pPr>
              <w:spacing w:after="100"/>
              <w:rPr>
                <w:rFonts w:eastAsia="Times New Roman"/>
                <w:sz w:val="20"/>
                <w:szCs w:val="20"/>
              </w:rPr>
            </w:pPr>
          </w:p>
        </w:tc>
        <w:tc>
          <w:tcPr>
            <w:tcW w:w="0" w:type="auto"/>
            <w:gridSpan w:val="3"/>
            <w:vAlign w:val="center"/>
            <w:hideMark/>
          </w:tcPr>
          <w:p w14:paraId="64FAB833" w14:textId="77777777" w:rsidR="00000000" w:rsidRDefault="00405D16">
            <w:pPr>
              <w:spacing w:after="100"/>
              <w:rPr>
                <w:rFonts w:eastAsia="Times New Roman"/>
                <w:sz w:val="20"/>
                <w:szCs w:val="20"/>
              </w:rPr>
            </w:pPr>
          </w:p>
        </w:tc>
        <w:tc>
          <w:tcPr>
            <w:tcW w:w="0" w:type="auto"/>
            <w:gridSpan w:val="3"/>
            <w:vAlign w:val="center"/>
            <w:hideMark/>
          </w:tcPr>
          <w:p w14:paraId="017968E1" w14:textId="77777777" w:rsidR="00000000" w:rsidRDefault="00405D16">
            <w:pPr>
              <w:spacing w:after="100"/>
              <w:rPr>
                <w:rFonts w:eastAsia="Times New Roman"/>
                <w:sz w:val="20"/>
                <w:szCs w:val="20"/>
              </w:rPr>
            </w:pPr>
          </w:p>
        </w:tc>
      </w:tr>
      <w:tr w:rsidR="00000000" w14:paraId="79C3626A" w14:textId="77777777">
        <w:trPr>
          <w:divId w:val="1868330845"/>
        </w:trPr>
        <w:tc>
          <w:tcPr>
            <w:tcW w:w="0" w:type="auto"/>
            <w:gridSpan w:val="3"/>
            <w:vAlign w:val="center"/>
            <w:hideMark/>
          </w:tcPr>
          <w:p w14:paraId="3EEEEDAD" w14:textId="77777777" w:rsidR="00000000" w:rsidRDefault="00405D16">
            <w:pPr>
              <w:spacing w:after="100"/>
              <w:rPr>
                <w:rFonts w:eastAsia="Times New Roman"/>
                <w:sz w:val="20"/>
                <w:szCs w:val="20"/>
              </w:rPr>
            </w:pPr>
          </w:p>
        </w:tc>
        <w:tc>
          <w:tcPr>
            <w:tcW w:w="0" w:type="auto"/>
            <w:gridSpan w:val="3"/>
            <w:vAlign w:val="center"/>
            <w:hideMark/>
          </w:tcPr>
          <w:p w14:paraId="6F20C905" w14:textId="77777777" w:rsidR="00000000" w:rsidRDefault="00405D16">
            <w:pPr>
              <w:spacing w:after="100"/>
              <w:rPr>
                <w:rFonts w:eastAsia="Times New Roman"/>
                <w:sz w:val="20"/>
                <w:szCs w:val="20"/>
              </w:rPr>
            </w:pPr>
          </w:p>
        </w:tc>
        <w:tc>
          <w:tcPr>
            <w:tcW w:w="0" w:type="auto"/>
            <w:gridSpan w:val="3"/>
            <w:vAlign w:val="center"/>
            <w:hideMark/>
          </w:tcPr>
          <w:p w14:paraId="57CCABC4" w14:textId="77777777" w:rsidR="00000000" w:rsidRDefault="00405D16">
            <w:pPr>
              <w:spacing w:after="100"/>
              <w:rPr>
                <w:rFonts w:eastAsia="Times New Roman"/>
                <w:sz w:val="20"/>
                <w:szCs w:val="20"/>
              </w:rPr>
            </w:pPr>
          </w:p>
        </w:tc>
        <w:tc>
          <w:tcPr>
            <w:tcW w:w="0" w:type="auto"/>
            <w:gridSpan w:val="3"/>
            <w:vAlign w:val="center"/>
            <w:hideMark/>
          </w:tcPr>
          <w:p w14:paraId="61E66E38" w14:textId="77777777" w:rsidR="00000000" w:rsidRDefault="00405D16">
            <w:pPr>
              <w:spacing w:after="100"/>
              <w:rPr>
                <w:rFonts w:eastAsia="Times New Roman"/>
                <w:sz w:val="20"/>
                <w:szCs w:val="20"/>
              </w:rPr>
            </w:pPr>
          </w:p>
        </w:tc>
        <w:tc>
          <w:tcPr>
            <w:tcW w:w="0" w:type="auto"/>
            <w:gridSpan w:val="3"/>
            <w:vAlign w:val="center"/>
            <w:hideMark/>
          </w:tcPr>
          <w:p w14:paraId="601F4963" w14:textId="77777777" w:rsidR="00000000" w:rsidRDefault="00405D16">
            <w:pPr>
              <w:spacing w:after="100"/>
              <w:rPr>
                <w:rFonts w:eastAsia="Times New Roman"/>
                <w:sz w:val="20"/>
                <w:szCs w:val="20"/>
              </w:rPr>
            </w:pPr>
          </w:p>
        </w:tc>
        <w:tc>
          <w:tcPr>
            <w:tcW w:w="0" w:type="auto"/>
            <w:gridSpan w:val="3"/>
            <w:vAlign w:val="center"/>
            <w:hideMark/>
          </w:tcPr>
          <w:p w14:paraId="2B4F3C26" w14:textId="77777777" w:rsidR="00000000" w:rsidRDefault="00405D16">
            <w:pPr>
              <w:spacing w:after="100"/>
              <w:rPr>
                <w:rFonts w:eastAsia="Times New Roman"/>
                <w:sz w:val="20"/>
                <w:szCs w:val="20"/>
              </w:rPr>
            </w:pPr>
          </w:p>
        </w:tc>
        <w:tc>
          <w:tcPr>
            <w:tcW w:w="0" w:type="auto"/>
            <w:gridSpan w:val="3"/>
            <w:vAlign w:val="center"/>
            <w:hideMark/>
          </w:tcPr>
          <w:p w14:paraId="19C347D6" w14:textId="77777777" w:rsidR="00000000" w:rsidRDefault="00405D16">
            <w:pPr>
              <w:spacing w:after="100"/>
              <w:rPr>
                <w:rFonts w:eastAsia="Times New Roman"/>
                <w:sz w:val="20"/>
                <w:szCs w:val="20"/>
              </w:rPr>
            </w:pPr>
          </w:p>
        </w:tc>
        <w:tc>
          <w:tcPr>
            <w:tcW w:w="0" w:type="auto"/>
            <w:gridSpan w:val="3"/>
            <w:vAlign w:val="center"/>
            <w:hideMark/>
          </w:tcPr>
          <w:p w14:paraId="73A7A1E6" w14:textId="77777777" w:rsidR="00000000" w:rsidRDefault="00405D16">
            <w:pPr>
              <w:spacing w:after="100"/>
              <w:rPr>
                <w:rFonts w:eastAsia="Times New Roman"/>
                <w:sz w:val="20"/>
                <w:szCs w:val="20"/>
              </w:rPr>
            </w:pPr>
          </w:p>
        </w:tc>
        <w:tc>
          <w:tcPr>
            <w:tcW w:w="0" w:type="auto"/>
            <w:gridSpan w:val="3"/>
            <w:vAlign w:val="center"/>
            <w:hideMark/>
          </w:tcPr>
          <w:p w14:paraId="00FAE780" w14:textId="77777777" w:rsidR="00000000" w:rsidRDefault="00405D16">
            <w:pPr>
              <w:spacing w:after="100"/>
              <w:rPr>
                <w:rFonts w:eastAsia="Times New Roman"/>
                <w:sz w:val="20"/>
                <w:szCs w:val="20"/>
              </w:rPr>
            </w:pPr>
          </w:p>
        </w:tc>
        <w:tc>
          <w:tcPr>
            <w:tcW w:w="0" w:type="auto"/>
            <w:gridSpan w:val="3"/>
            <w:vAlign w:val="center"/>
            <w:hideMark/>
          </w:tcPr>
          <w:p w14:paraId="348FBF31" w14:textId="77777777" w:rsidR="00000000" w:rsidRDefault="00405D16">
            <w:pPr>
              <w:spacing w:after="100"/>
              <w:rPr>
                <w:rFonts w:eastAsia="Times New Roman"/>
                <w:sz w:val="20"/>
                <w:szCs w:val="20"/>
              </w:rPr>
            </w:pPr>
          </w:p>
        </w:tc>
        <w:tc>
          <w:tcPr>
            <w:tcW w:w="0" w:type="auto"/>
            <w:gridSpan w:val="3"/>
            <w:vAlign w:val="center"/>
            <w:hideMark/>
          </w:tcPr>
          <w:p w14:paraId="09A67C4B" w14:textId="77777777" w:rsidR="00000000" w:rsidRDefault="00405D16">
            <w:pPr>
              <w:spacing w:after="100"/>
              <w:rPr>
                <w:rFonts w:eastAsia="Times New Roman"/>
                <w:sz w:val="20"/>
                <w:szCs w:val="20"/>
              </w:rPr>
            </w:pPr>
          </w:p>
        </w:tc>
        <w:tc>
          <w:tcPr>
            <w:tcW w:w="0" w:type="auto"/>
            <w:gridSpan w:val="3"/>
            <w:vAlign w:val="center"/>
            <w:hideMark/>
          </w:tcPr>
          <w:p w14:paraId="52FAFEC8" w14:textId="77777777" w:rsidR="00000000" w:rsidRDefault="00405D16">
            <w:pPr>
              <w:spacing w:after="100"/>
              <w:rPr>
                <w:rFonts w:eastAsia="Times New Roman"/>
                <w:sz w:val="20"/>
                <w:szCs w:val="20"/>
              </w:rPr>
            </w:pPr>
          </w:p>
        </w:tc>
        <w:tc>
          <w:tcPr>
            <w:tcW w:w="0" w:type="auto"/>
            <w:gridSpan w:val="3"/>
            <w:vAlign w:val="center"/>
            <w:hideMark/>
          </w:tcPr>
          <w:p w14:paraId="020D2354" w14:textId="77777777" w:rsidR="00000000" w:rsidRDefault="00405D16">
            <w:pPr>
              <w:spacing w:after="100"/>
              <w:rPr>
                <w:rFonts w:eastAsia="Times New Roman"/>
                <w:sz w:val="20"/>
                <w:szCs w:val="20"/>
              </w:rPr>
            </w:pPr>
          </w:p>
        </w:tc>
        <w:tc>
          <w:tcPr>
            <w:tcW w:w="0" w:type="auto"/>
            <w:gridSpan w:val="3"/>
            <w:vAlign w:val="center"/>
            <w:hideMark/>
          </w:tcPr>
          <w:p w14:paraId="4D10EF15" w14:textId="77777777" w:rsidR="00000000" w:rsidRDefault="00405D16">
            <w:pPr>
              <w:spacing w:after="100"/>
              <w:rPr>
                <w:rFonts w:eastAsia="Times New Roman"/>
                <w:sz w:val="20"/>
                <w:szCs w:val="20"/>
              </w:rPr>
            </w:pPr>
          </w:p>
        </w:tc>
        <w:tc>
          <w:tcPr>
            <w:tcW w:w="0" w:type="auto"/>
            <w:gridSpan w:val="3"/>
            <w:vAlign w:val="center"/>
            <w:hideMark/>
          </w:tcPr>
          <w:p w14:paraId="1DB0E0DC" w14:textId="77777777" w:rsidR="00000000" w:rsidRDefault="00405D16">
            <w:pPr>
              <w:spacing w:after="100"/>
              <w:rPr>
                <w:rFonts w:eastAsia="Times New Roman"/>
                <w:sz w:val="20"/>
                <w:szCs w:val="20"/>
              </w:rPr>
            </w:pPr>
          </w:p>
        </w:tc>
        <w:tc>
          <w:tcPr>
            <w:tcW w:w="0" w:type="auto"/>
            <w:gridSpan w:val="3"/>
            <w:vAlign w:val="center"/>
            <w:hideMark/>
          </w:tcPr>
          <w:p w14:paraId="25AF1571" w14:textId="77777777" w:rsidR="00000000" w:rsidRDefault="00405D16">
            <w:pPr>
              <w:spacing w:after="100"/>
              <w:rPr>
                <w:rFonts w:eastAsia="Times New Roman"/>
                <w:sz w:val="20"/>
                <w:szCs w:val="20"/>
              </w:rPr>
            </w:pPr>
          </w:p>
        </w:tc>
        <w:tc>
          <w:tcPr>
            <w:tcW w:w="0" w:type="auto"/>
            <w:gridSpan w:val="3"/>
            <w:vAlign w:val="center"/>
            <w:hideMark/>
          </w:tcPr>
          <w:p w14:paraId="48D64866" w14:textId="77777777" w:rsidR="00000000" w:rsidRDefault="00405D16">
            <w:pPr>
              <w:spacing w:after="100"/>
              <w:rPr>
                <w:rFonts w:eastAsia="Times New Roman"/>
                <w:sz w:val="20"/>
                <w:szCs w:val="20"/>
              </w:rPr>
            </w:pPr>
          </w:p>
        </w:tc>
        <w:tc>
          <w:tcPr>
            <w:tcW w:w="0" w:type="auto"/>
            <w:gridSpan w:val="3"/>
            <w:vAlign w:val="center"/>
            <w:hideMark/>
          </w:tcPr>
          <w:p w14:paraId="5FA43B4F" w14:textId="77777777" w:rsidR="00000000" w:rsidRDefault="00405D16">
            <w:pPr>
              <w:spacing w:after="100"/>
              <w:rPr>
                <w:rFonts w:eastAsia="Times New Roman"/>
                <w:sz w:val="20"/>
                <w:szCs w:val="20"/>
              </w:rPr>
            </w:pPr>
          </w:p>
        </w:tc>
        <w:tc>
          <w:tcPr>
            <w:tcW w:w="0" w:type="auto"/>
            <w:gridSpan w:val="3"/>
            <w:vAlign w:val="center"/>
            <w:hideMark/>
          </w:tcPr>
          <w:p w14:paraId="3A841FC4" w14:textId="77777777" w:rsidR="00000000" w:rsidRDefault="00405D16">
            <w:pPr>
              <w:spacing w:after="100"/>
              <w:rPr>
                <w:rFonts w:eastAsia="Times New Roman"/>
                <w:sz w:val="20"/>
                <w:szCs w:val="20"/>
              </w:rPr>
            </w:pPr>
          </w:p>
        </w:tc>
      </w:tr>
      <w:tr w:rsidR="00000000" w14:paraId="42CDCDC3" w14:textId="77777777">
        <w:trPr>
          <w:divId w:val="1868330845"/>
        </w:trPr>
        <w:tc>
          <w:tcPr>
            <w:tcW w:w="0" w:type="auto"/>
            <w:gridSpan w:val="3"/>
            <w:vAlign w:val="center"/>
            <w:hideMark/>
          </w:tcPr>
          <w:p w14:paraId="57A36FE5" w14:textId="77777777" w:rsidR="00000000" w:rsidRDefault="00405D16">
            <w:pPr>
              <w:spacing w:after="100"/>
              <w:rPr>
                <w:rFonts w:eastAsia="Times New Roman"/>
                <w:sz w:val="20"/>
                <w:szCs w:val="20"/>
              </w:rPr>
            </w:pPr>
          </w:p>
        </w:tc>
        <w:tc>
          <w:tcPr>
            <w:tcW w:w="0" w:type="auto"/>
            <w:gridSpan w:val="3"/>
            <w:vAlign w:val="center"/>
            <w:hideMark/>
          </w:tcPr>
          <w:p w14:paraId="340899E8" w14:textId="77777777" w:rsidR="00000000" w:rsidRDefault="00405D16">
            <w:pPr>
              <w:spacing w:after="100"/>
              <w:rPr>
                <w:rFonts w:eastAsia="Times New Roman"/>
                <w:sz w:val="20"/>
                <w:szCs w:val="20"/>
              </w:rPr>
            </w:pPr>
          </w:p>
        </w:tc>
        <w:tc>
          <w:tcPr>
            <w:tcW w:w="0" w:type="auto"/>
            <w:gridSpan w:val="3"/>
            <w:vAlign w:val="center"/>
            <w:hideMark/>
          </w:tcPr>
          <w:p w14:paraId="49051A78" w14:textId="77777777" w:rsidR="00000000" w:rsidRDefault="00405D16">
            <w:pPr>
              <w:spacing w:after="100"/>
              <w:rPr>
                <w:rFonts w:eastAsia="Times New Roman"/>
                <w:sz w:val="20"/>
                <w:szCs w:val="20"/>
              </w:rPr>
            </w:pPr>
          </w:p>
        </w:tc>
        <w:tc>
          <w:tcPr>
            <w:tcW w:w="0" w:type="auto"/>
            <w:gridSpan w:val="3"/>
            <w:vAlign w:val="center"/>
            <w:hideMark/>
          </w:tcPr>
          <w:p w14:paraId="63D5487B" w14:textId="77777777" w:rsidR="00000000" w:rsidRDefault="00405D16">
            <w:pPr>
              <w:spacing w:after="100"/>
              <w:rPr>
                <w:rFonts w:eastAsia="Times New Roman"/>
                <w:sz w:val="20"/>
                <w:szCs w:val="20"/>
              </w:rPr>
            </w:pPr>
          </w:p>
        </w:tc>
        <w:tc>
          <w:tcPr>
            <w:tcW w:w="0" w:type="auto"/>
            <w:gridSpan w:val="3"/>
            <w:vAlign w:val="center"/>
            <w:hideMark/>
          </w:tcPr>
          <w:p w14:paraId="084A7D30" w14:textId="77777777" w:rsidR="00000000" w:rsidRDefault="00405D16">
            <w:pPr>
              <w:spacing w:after="100"/>
              <w:rPr>
                <w:rFonts w:eastAsia="Times New Roman"/>
                <w:sz w:val="20"/>
                <w:szCs w:val="20"/>
              </w:rPr>
            </w:pPr>
          </w:p>
        </w:tc>
        <w:tc>
          <w:tcPr>
            <w:tcW w:w="0" w:type="auto"/>
            <w:gridSpan w:val="3"/>
            <w:vAlign w:val="center"/>
            <w:hideMark/>
          </w:tcPr>
          <w:p w14:paraId="2CB1607F" w14:textId="77777777" w:rsidR="00000000" w:rsidRDefault="00405D16">
            <w:pPr>
              <w:spacing w:after="100"/>
              <w:rPr>
                <w:rFonts w:eastAsia="Times New Roman"/>
                <w:sz w:val="20"/>
                <w:szCs w:val="20"/>
              </w:rPr>
            </w:pPr>
          </w:p>
        </w:tc>
        <w:tc>
          <w:tcPr>
            <w:tcW w:w="0" w:type="auto"/>
            <w:gridSpan w:val="3"/>
            <w:vAlign w:val="center"/>
            <w:hideMark/>
          </w:tcPr>
          <w:p w14:paraId="2BCFBB9C" w14:textId="77777777" w:rsidR="00000000" w:rsidRDefault="00405D16">
            <w:pPr>
              <w:spacing w:after="100"/>
              <w:rPr>
                <w:rFonts w:eastAsia="Times New Roman"/>
                <w:sz w:val="20"/>
                <w:szCs w:val="20"/>
              </w:rPr>
            </w:pPr>
          </w:p>
        </w:tc>
        <w:tc>
          <w:tcPr>
            <w:tcW w:w="0" w:type="auto"/>
            <w:gridSpan w:val="3"/>
            <w:vAlign w:val="center"/>
            <w:hideMark/>
          </w:tcPr>
          <w:p w14:paraId="5B5D107C" w14:textId="77777777" w:rsidR="00000000" w:rsidRDefault="00405D16">
            <w:pPr>
              <w:spacing w:after="100"/>
              <w:rPr>
                <w:rFonts w:eastAsia="Times New Roman"/>
                <w:sz w:val="20"/>
                <w:szCs w:val="20"/>
              </w:rPr>
            </w:pPr>
          </w:p>
        </w:tc>
        <w:tc>
          <w:tcPr>
            <w:tcW w:w="0" w:type="auto"/>
            <w:gridSpan w:val="3"/>
            <w:vAlign w:val="center"/>
            <w:hideMark/>
          </w:tcPr>
          <w:p w14:paraId="1C4E4376" w14:textId="77777777" w:rsidR="00000000" w:rsidRDefault="00405D16">
            <w:pPr>
              <w:spacing w:after="100"/>
              <w:rPr>
                <w:rFonts w:eastAsia="Times New Roman"/>
                <w:sz w:val="20"/>
                <w:szCs w:val="20"/>
              </w:rPr>
            </w:pPr>
          </w:p>
        </w:tc>
        <w:tc>
          <w:tcPr>
            <w:tcW w:w="0" w:type="auto"/>
            <w:gridSpan w:val="3"/>
            <w:vAlign w:val="center"/>
            <w:hideMark/>
          </w:tcPr>
          <w:p w14:paraId="017EB440" w14:textId="77777777" w:rsidR="00000000" w:rsidRDefault="00405D16">
            <w:pPr>
              <w:spacing w:after="100"/>
              <w:rPr>
                <w:rFonts w:eastAsia="Times New Roman"/>
                <w:sz w:val="20"/>
                <w:szCs w:val="20"/>
              </w:rPr>
            </w:pPr>
          </w:p>
        </w:tc>
        <w:tc>
          <w:tcPr>
            <w:tcW w:w="0" w:type="auto"/>
            <w:gridSpan w:val="3"/>
            <w:vAlign w:val="center"/>
            <w:hideMark/>
          </w:tcPr>
          <w:p w14:paraId="74D5BF6F" w14:textId="77777777" w:rsidR="00000000" w:rsidRDefault="00405D16">
            <w:pPr>
              <w:spacing w:after="100"/>
              <w:rPr>
                <w:rFonts w:eastAsia="Times New Roman"/>
                <w:sz w:val="20"/>
                <w:szCs w:val="20"/>
              </w:rPr>
            </w:pPr>
          </w:p>
        </w:tc>
        <w:tc>
          <w:tcPr>
            <w:tcW w:w="0" w:type="auto"/>
            <w:gridSpan w:val="3"/>
            <w:vAlign w:val="center"/>
            <w:hideMark/>
          </w:tcPr>
          <w:p w14:paraId="471DEA67" w14:textId="77777777" w:rsidR="00000000" w:rsidRDefault="00405D16">
            <w:pPr>
              <w:spacing w:after="100"/>
              <w:rPr>
                <w:rFonts w:eastAsia="Times New Roman"/>
                <w:sz w:val="20"/>
                <w:szCs w:val="20"/>
              </w:rPr>
            </w:pPr>
          </w:p>
        </w:tc>
        <w:tc>
          <w:tcPr>
            <w:tcW w:w="0" w:type="auto"/>
            <w:gridSpan w:val="3"/>
            <w:vAlign w:val="center"/>
            <w:hideMark/>
          </w:tcPr>
          <w:p w14:paraId="61B65825" w14:textId="77777777" w:rsidR="00000000" w:rsidRDefault="00405D16">
            <w:pPr>
              <w:spacing w:after="100"/>
              <w:rPr>
                <w:rFonts w:eastAsia="Times New Roman"/>
                <w:sz w:val="20"/>
                <w:szCs w:val="20"/>
              </w:rPr>
            </w:pPr>
          </w:p>
        </w:tc>
        <w:tc>
          <w:tcPr>
            <w:tcW w:w="0" w:type="auto"/>
            <w:gridSpan w:val="3"/>
            <w:vAlign w:val="center"/>
            <w:hideMark/>
          </w:tcPr>
          <w:p w14:paraId="2B605E68" w14:textId="77777777" w:rsidR="00000000" w:rsidRDefault="00405D16">
            <w:pPr>
              <w:spacing w:after="100"/>
              <w:rPr>
                <w:rFonts w:eastAsia="Times New Roman"/>
                <w:sz w:val="20"/>
                <w:szCs w:val="20"/>
              </w:rPr>
            </w:pPr>
          </w:p>
        </w:tc>
        <w:tc>
          <w:tcPr>
            <w:tcW w:w="0" w:type="auto"/>
            <w:gridSpan w:val="3"/>
            <w:vAlign w:val="center"/>
            <w:hideMark/>
          </w:tcPr>
          <w:p w14:paraId="2B1282E4" w14:textId="77777777" w:rsidR="00000000" w:rsidRDefault="00405D16">
            <w:pPr>
              <w:spacing w:after="100"/>
              <w:rPr>
                <w:rFonts w:eastAsia="Times New Roman"/>
                <w:sz w:val="20"/>
                <w:szCs w:val="20"/>
              </w:rPr>
            </w:pPr>
          </w:p>
        </w:tc>
        <w:tc>
          <w:tcPr>
            <w:tcW w:w="0" w:type="auto"/>
            <w:gridSpan w:val="3"/>
            <w:vAlign w:val="center"/>
            <w:hideMark/>
          </w:tcPr>
          <w:p w14:paraId="003426C5" w14:textId="77777777" w:rsidR="00000000" w:rsidRDefault="00405D16">
            <w:pPr>
              <w:spacing w:after="100"/>
              <w:rPr>
                <w:rFonts w:eastAsia="Times New Roman"/>
                <w:sz w:val="20"/>
                <w:szCs w:val="20"/>
              </w:rPr>
            </w:pPr>
          </w:p>
        </w:tc>
        <w:tc>
          <w:tcPr>
            <w:tcW w:w="0" w:type="auto"/>
            <w:gridSpan w:val="3"/>
            <w:vAlign w:val="center"/>
            <w:hideMark/>
          </w:tcPr>
          <w:p w14:paraId="6BC0010C" w14:textId="77777777" w:rsidR="00000000" w:rsidRDefault="00405D16">
            <w:pPr>
              <w:spacing w:after="100"/>
              <w:rPr>
                <w:rFonts w:eastAsia="Times New Roman"/>
                <w:sz w:val="20"/>
                <w:szCs w:val="20"/>
              </w:rPr>
            </w:pPr>
          </w:p>
        </w:tc>
        <w:tc>
          <w:tcPr>
            <w:tcW w:w="0" w:type="auto"/>
            <w:gridSpan w:val="3"/>
            <w:vAlign w:val="center"/>
            <w:hideMark/>
          </w:tcPr>
          <w:p w14:paraId="3FF50D04" w14:textId="77777777" w:rsidR="00000000" w:rsidRDefault="00405D16">
            <w:pPr>
              <w:spacing w:after="100"/>
              <w:rPr>
                <w:rFonts w:eastAsia="Times New Roman"/>
                <w:sz w:val="20"/>
                <w:szCs w:val="20"/>
              </w:rPr>
            </w:pPr>
          </w:p>
        </w:tc>
        <w:tc>
          <w:tcPr>
            <w:tcW w:w="0" w:type="auto"/>
            <w:gridSpan w:val="3"/>
            <w:vAlign w:val="center"/>
            <w:hideMark/>
          </w:tcPr>
          <w:p w14:paraId="37012AA5" w14:textId="77777777" w:rsidR="00000000" w:rsidRDefault="00405D16">
            <w:pPr>
              <w:spacing w:after="100"/>
              <w:rPr>
                <w:rFonts w:eastAsia="Times New Roman"/>
                <w:sz w:val="20"/>
                <w:szCs w:val="20"/>
              </w:rPr>
            </w:pPr>
          </w:p>
        </w:tc>
      </w:tr>
      <w:tr w:rsidR="00000000" w14:paraId="6C2671B9" w14:textId="77777777">
        <w:trPr>
          <w:divId w:val="1868330845"/>
        </w:trPr>
        <w:tc>
          <w:tcPr>
            <w:tcW w:w="0" w:type="auto"/>
            <w:gridSpan w:val="3"/>
            <w:vAlign w:val="center"/>
            <w:hideMark/>
          </w:tcPr>
          <w:p w14:paraId="6C5B992A" w14:textId="77777777" w:rsidR="00000000" w:rsidRDefault="00405D16">
            <w:pPr>
              <w:spacing w:after="100"/>
              <w:rPr>
                <w:rFonts w:eastAsia="Times New Roman"/>
                <w:sz w:val="20"/>
                <w:szCs w:val="20"/>
              </w:rPr>
            </w:pPr>
          </w:p>
        </w:tc>
        <w:tc>
          <w:tcPr>
            <w:tcW w:w="0" w:type="auto"/>
            <w:gridSpan w:val="3"/>
            <w:vAlign w:val="center"/>
            <w:hideMark/>
          </w:tcPr>
          <w:p w14:paraId="110FCC9B" w14:textId="77777777" w:rsidR="00000000" w:rsidRDefault="00405D16">
            <w:pPr>
              <w:spacing w:after="100"/>
              <w:rPr>
                <w:rFonts w:eastAsia="Times New Roman"/>
                <w:sz w:val="20"/>
                <w:szCs w:val="20"/>
              </w:rPr>
            </w:pPr>
          </w:p>
        </w:tc>
        <w:tc>
          <w:tcPr>
            <w:tcW w:w="0" w:type="auto"/>
            <w:gridSpan w:val="3"/>
            <w:vAlign w:val="center"/>
            <w:hideMark/>
          </w:tcPr>
          <w:p w14:paraId="262922F6" w14:textId="77777777" w:rsidR="00000000" w:rsidRDefault="00405D16">
            <w:pPr>
              <w:spacing w:after="100"/>
              <w:rPr>
                <w:rFonts w:eastAsia="Times New Roman"/>
                <w:sz w:val="20"/>
                <w:szCs w:val="20"/>
              </w:rPr>
            </w:pPr>
          </w:p>
        </w:tc>
        <w:tc>
          <w:tcPr>
            <w:tcW w:w="0" w:type="auto"/>
            <w:gridSpan w:val="3"/>
            <w:vAlign w:val="center"/>
            <w:hideMark/>
          </w:tcPr>
          <w:p w14:paraId="132F0A3E" w14:textId="77777777" w:rsidR="00000000" w:rsidRDefault="00405D16">
            <w:pPr>
              <w:spacing w:after="100"/>
              <w:rPr>
                <w:rFonts w:eastAsia="Times New Roman"/>
                <w:sz w:val="20"/>
                <w:szCs w:val="20"/>
              </w:rPr>
            </w:pPr>
          </w:p>
        </w:tc>
        <w:tc>
          <w:tcPr>
            <w:tcW w:w="0" w:type="auto"/>
            <w:gridSpan w:val="3"/>
            <w:vAlign w:val="center"/>
            <w:hideMark/>
          </w:tcPr>
          <w:p w14:paraId="0EA89BF5" w14:textId="77777777" w:rsidR="00000000" w:rsidRDefault="00405D16">
            <w:pPr>
              <w:spacing w:after="100"/>
              <w:rPr>
                <w:rFonts w:eastAsia="Times New Roman"/>
                <w:sz w:val="20"/>
                <w:szCs w:val="20"/>
              </w:rPr>
            </w:pPr>
          </w:p>
        </w:tc>
        <w:tc>
          <w:tcPr>
            <w:tcW w:w="0" w:type="auto"/>
            <w:gridSpan w:val="3"/>
            <w:vAlign w:val="center"/>
            <w:hideMark/>
          </w:tcPr>
          <w:p w14:paraId="7573B8A7" w14:textId="77777777" w:rsidR="00000000" w:rsidRDefault="00405D16">
            <w:pPr>
              <w:spacing w:after="100"/>
              <w:rPr>
                <w:rFonts w:eastAsia="Times New Roman"/>
                <w:sz w:val="20"/>
                <w:szCs w:val="20"/>
              </w:rPr>
            </w:pPr>
          </w:p>
        </w:tc>
        <w:tc>
          <w:tcPr>
            <w:tcW w:w="0" w:type="auto"/>
            <w:gridSpan w:val="3"/>
            <w:vAlign w:val="center"/>
            <w:hideMark/>
          </w:tcPr>
          <w:p w14:paraId="737FD6C6" w14:textId="77777777" w:rsidR="00000000" w:rsidRDefault="00405D16">
            <w:pPr>
              <w:spacing w:after="100"/>
              <w:rPr>
                <w:rFonts w:eastAsia="Times New Roman"/>
                <w:sz w:val="20"/>
                <w:szCs w:val="20"/>
              </w:rPr>
            </w:pPr>
          </w:p>
        </w:tc>
        <w:tc>
          <w:tcPr>
            <w:tcW w:w="0" w:type="auto"/>
            <w:gridSpan w:val="3"/>
            <w:vAlign w:val="center"/>
            <w:hideMark/>
          </w:tcPr>
          <w:p w14:paraId="0A5F70BB" w14:textId="77777777" w:rsidR="00000000" w:rsidRDefault="00405D16">
            <w:pPr>
              <w:spacing w:after="100"/>
              <w:rPr>
                <w:rFonts w:eastAsia="Times New Roman"/>
                <w:sz w:val="20"/>
                <w:szCs w:val="20"/>
              </w:rPr>
            </w:pPr>
          </w:p>
        </w:tc>
        <w:tc>
          <w:tcPr>
            <w:tcW w:w="0" w:type="auto"/>
            <w:gridSpan w:val="3"/>
            <w:vAlign w:val="center"/>
            <w:hideMark/>
          </w:tcPr>
          <w:p w14:paraId="0A7460B9" w14:textId="77777777" w:rsidR="00000000" w:rsidRDefault="00405D16">
            <w:pPr>
              <w:spacing w:after="100"/>
              <w:rPr>
                <w:rFonts w:eastAsia="Times New Roman"/>
                <w:sz w:val="20"/>
                <w:szCs w:val="20"/>
              </w:rPr>
            </w:pPr>
          </w:p>
        </w:tc>
        <w:tc>
          <w:tcPr>
            <w:tcW w:w="0" w:type="auto"/>
            <w:gridSpan w:val="3"/>
            <w:vAlign w:val="center"/>
            <w:hideMark/>
          </w:tcPr>
          <w:p w14:paraId="2DAF41D2" w14:textId="77777777" w:rsidR="00000000" w:rsidRDefault="00405D16">
            <w:pPr>
              <w:spacing w:after="100"/>
              <w:rPr>
                <w:rFonts w:eastAsia="Times New Roman"/>
                <w:sz w:val="20"/>
                <w:szCs w:val="20"/>
              </w:rPr>
            </w:pPr>
          </w:p>
        </w:tc>
        <w:tc>
          <w:tcPr>
            <w:tcW w:w="0" w:type="auto"/>
            <w:gridSpan w:val="3"/>
            <w:vAlign w:val="center"/>
            <w:hideMark/>
          </w:tcPr>
          <w:p w14:paraId="377CDA00" w14:textId="77777777" w:rsidR="00000000" w:rsidRDefault="00405D16">
            <w:pPr>
              <w:spacing w:after="100"/>
              <w:rPr>
                <w:rFonts w:eastAsia="Times New Roman"/>
                <w:sz w:val="20"/>
                <w:szCs w:val="20"/>
              </w:rPr>
            </w:pPr>
          </w:p>
        </w:tc>
        <w:tc>
          <w:tcPr>
            <w:tcW w:w="0" w:type="auto"/>
            <w:gridSpan w:val="3"/>
            <w:vAlign w:val="center"/>
            <w:hideMark/>
          </w:tcPr>
          <w:p w14:paraId="4BC3FB21" w14:textId="77777777" w:rsidR="00000000" w:rsidRDefault="00405D16">
            <w:pPr>
              <w:spacing w:after="100"/>
              <w:rPr>
                <w:rFonts w:eastAsia="Times New Roman"/>
                <w:sz w:val="20"/>
                <w:szCs w:val="20"/>
              </w:rPr>
            </w:pPr>
          </w:p>
        </w:tc>
        <w:tc>
          <w:tcPr>
            <w:tcW w:w="0" w:type="auto"/>
            <w:gridSpan w:val="3"/>
            <w:vAlign w:val="center"/>
            <w:hideMark/>
          </w:tcPr>
          <w:p w14:paraId="3886059E" w14:textId="77777777" w:rsidR="00000000" w:rsidRDefault="00405D16">
            <w:pPr>
              <w:spacing w:after="100"/>
              <w:rPr>
                <w:rFonts w:eastAsia="Times New Roman"/>
                <w:sz w:val="20"/>
                <w:szCs w:val="20"/>
              </w:rPr>
            </w:pPr>
          </w:p>
        </w:tc>
        <w:tc>
          <w:tcPr>
            <w:tcW w:w="0" w:type="auto"/>
            <w:gridSpan w:val="3"/>
            <w:vAlign w:val="center"/>
            <w:hideMark/>
          </w:tcPr>
          <w:p w14:paraId="08925611" w14:textId="77777777" w:rsidR="00000000" w:rsidRDefault="00405D16">
            <w:pPr>
              <w:spacing w:after="100"/>
              <w:rPr>
                <w:rFonts w:eastAsia="Times New Roman"/>
                <w:sz w:val="20"/>
                <w:szCs w:val="20"/>
              </w:rPr>
            </w:pPr>
          </w:p>
        </w:tc>
        <w:tc>
          <w:tcPr>
            <w:tcW w:w="0" w:type="auto"/>
            <w:gridSpan w:val="3"/>
            <w:vAlign w:val="center"/>
            <w:hideMark/>
          </w:tcPr>
          <w:p w14:paraId="70FC9194" w14:textId="77777777" w:rsidR="00000000" w:rsidRDefault="00405D16">
            <w:pPr>
              <w:spacing w:after="100"/>
              <w:rPr>
                <w:rFonts w:eastAsia="Times New Roman"/>
                <w:sz w:val="20"/>
                <w:szCs w:val="20"/>
              </w:rPr>
            </w:pPr>
          </w:p>
        </w:tc>
        <w:tc>
          <w:tcPr>
            <w:tcW w:w="0" w:type="auto"/>
            <w:gridSpan w:val="3"/>
            <w:vAlign w:val="center"/>
            <w:hideMark/>
          </w:tcPr>
          <w:p w14:paraId="2469DEF1" w14:textId="77777777" w:rsidR="00000000" w:rsidRDefault="00405D16">
            <w:pPr>
              <w:spacing w:after="100"/>
              <w:rPr>
                <w:rFonts w:eastAsia="Times New Roman"/>
                <w:sz w:val="20"/>
                <w:szCs w:val="20"/>
              </w:rPr>
            </w:pPr>
          </w:p>
        </w:tc>
        <w:tc>
          <w:tcPr>
            <w:tcW w:w="0" w:type="auto"/>
            <w:gridSpan w:val="3"/>
            <w:vAlign w:val="center"/>
            <w:hideMark/>
          </w:tcPr>
          <w:p w14:paraId="0C9A86EA" w14:textId="77777777" w:rsidR="00000000" w:rsidRDefault="00405D16">
            <w:pPr>
              <w:spacing w:after="100"/>
              <w:rPr>
                <w:rFonts w:eastAsia="Times New Roman"/>
                <w:sz w:val="20"/>
                <w:szCs w:val="20"/>
              </w:rPr>
            </w:pPr>
          </w:p>
        </w:tc>
        <w:tc>
          <w:tcPr>
            <w:tcW w:w="0" w:type="auto"/>
            <w:gridSpan w:val="3"/>
            <w:vAlign w:val="center"/>
            <w:hideMark/>
          </w:tcPr>
          <w:p w14:paraId="1F367DCD" w14:textId="77777777" w:rsidR="00000000" w:rsidRDefault="00405D16">
            <w:pPr>
              <w:spacing w:after="100"/>
              <w:rPr>
                <w:rFonts w:eastAsia="Times New Roman"/>
                <w:sz w:val="20"/>
                <w:szCs w:val="20"/>
              </w:rPr>
            </w:pPr>
          </w:p>
        </w:tc>
        <w:tc>
          <w:tcPr>
            <w:tcW w:w="0" w:type="auto"/>
            <w:gridSpan w:val="3"/>
            <w:vAlign w:val="center"/>
            <w:hideMark/>
          </w:tcPr>
          <w:p w14:paraId="0884DD32" w14:textId="77777777" w:rsidR="00000000" w:rsidRDefault="00405D16">
            <w:pPr>
              <w:spacing w:after="100"/>
              <w:rPr>
                <w:rFonts w:eastAsia="Times New Roman"/>
                <w:sz w:val="20"/>
                <w:szCs w:val="20"/>
              </w:rPr>
            </w:pPr>
          </w:p>
        </w:tc>
      </w:tr>
      <w:tr w:rsidR="00000000" w14:paraId="27580349" w14:textId="77777777">
        <w:trPr>
          <w:divId w:val="1868330845"/>
        </w:trPr>
        <w:tc>
          <w:tcPr>
            <w:tcW w:w="0" w:type="auto"/>
            <w:gridSpan w:val="3"/>
            <w:vAlign w:val="center"/>
            <w:hideMark/>
          </w:tcPr>
          <w:p w14:paraId="19E5A6A4" w14:textId="77777777" w:rsidR="00000000" w:rsidRDefault="00405D16">
            <w:pPr>
              <w:spacing w:after="100"/>
              <w:rPr>
                <w:rFonts w:eastAsia="Times New Roman"/>
                <w:sz w:val="20"/>
                <w:szCs w:val="20"/>
              </w:rPr>
            </w:pPr>
          </w:p>
        </w:tc>
        <w:tc>
          <w:tcPr>
            <w:tcW w:w="0" w:type="auto"/>
            <w:gridSpan w:val="3"/>
            <w:vAlign w:val="center"/>
            <w:hideMark/>
          </w:tcPr>
          <w:p w14:paraId="1A36B2BA" w14:textId="77777777" w:rsidR="00000000" w:rsidRDefault="00405D16">
            <w:pPr>
              <w:spacing w:after="100"/>
              <w:rPr>
                <w:rFonts w:eastAsia="Times New Roman"/>
                <w:sz w:val="20"/>
                <w:szCs w:val="20"/>
              </w:rPr>
            </w:pPr>
          </w:p>
        </w:tc>
        <w:tc>
          <w:tcPr>
            <w:tcW w:w="0" w:type="auto"/>
            <w:gridSpan w:val="3"/>
            <w:vAlign w:val="center"/>
            <w:hideMark/>
          </w:tcPr>
          <w:p w14:paraId="3F73588C" w14:textId="77777777" w:rsidR="00000000" w:rsidRDefault="00405D16">
            <w:pPr>
              <w:spacing w:after="100"/>
              <w:rPr>
                <w:rFonts w:eastAsia="Times New Roman"/>
                <w:sz w:val="20"/>
                <w:szCs w:val="20"/>
              </w:rPr>
            </w:pPr>
          </w:p>
        </w:tc>
        <w:tc>
          <w:tcPr>
            <w:tcW w:w="0" w:type="auto"/>
            <w:gridSpan w:val="3"/>
            <w:vAlign w:val="center"/>
            <w:hideMark/>
          </w:tcPr>
          <w:p w14:paraId="4718B792" w14:textId="77777777" w:rsidR="00000000" w:rsidRDefault="00405D16">
            <w:pPr>
              <w:spacing w:after="100"/>
              <w:rPr>
                <w:rFonts w:eastAsia="Times New Roman"/>
                <w:sz w:val="20"/>
                <w:szCs w:val="20"/>
              </w:rPr>
            </w:pPr>
          </w:p>
        </w:tc>
        <w:tc>
          <w:tcPr>
            <w:tcW w:w="0" w:type="auto"/>
            <w:gridSpan w:val="3"/>
            <w:vAlign w:val="center"/>
            <w:hideMark/>
          </w:tcPr>
          <w:p w14:paraId="1A47252C" w14:textId="77777777" w:rsidR="00000000" w:rsidRDefault="00405D16">
            <w:pPr>
              <w:spacing w:after="100"/>
              <w:rPr>
                <w:rFonts w:eastAsia="Times New Roman"/>
                <w:sz w:val="20"/>
                <w:szCs w:val="20"/>
              </w:rPr>
            </w:pPr>
          </w:p>
        </w:tc>
        <w:tc>
          <w:tcPr>
            <w:tcW w:w="0" w:type="auto"/>
            <w:gridSpan w:val="3"/>
            <w:vAlign w:val="center"/>
            <w:hideMark/>
          </w:tcPr>
          <w:p w14:paraId="3669C740" w14:textId="77777777" w:rsidR="00000000" w:rsidRDefault="00405D16">
            <w:pPr>
              <w:spacing w:after="100"/>
              <w:rPr>
                <w:rFonts w:eastAsia="Times New Roman"/>
                <w:sz w:val="20"/>
                <w:szCs w:val="20"/>
              </w:rPr>
            </w:pPr>
          </w:p>
        </w:tc>
        <w:tc>
          <w:tcPr>
            <w:tcW w:w="0" w:type="auto"/>
            <w:gridSpan w:val="3"/>
            <w:vAlign w:val="center"/>
            <w:hideMark/>
          </w:tcPr>
          <w:p w14:paraId="130DB9EB" w14:textId="77777777" w:rsidR="00000000" w:rsidRDefault="00405D16">
            <w:pPr>
              <w:spacing w:after="100"/>
              <w:rPr>
                <w:rFonts w:eastAsia="Times New Roman"/>
                <w:sz w:val="20"/>
                <w:szCs w:val="20"/>
              </w:rPr>
            </w:pPr>
          </w:p>
        </w:tc>
        <w:tc>
          <w:tcPr>
            <w:tcW w:w="0" w:type="auto"/>
            <w:gridSpan w:val="3"/>
            <w:vAlign w:val="center"/>
            <w:hideMark/>
          </w:tcPr>
          <w:p w14:paraId="10A233C8" w14:textId="77777777" w:rsidR="00000000" w:rsidRDefault="00405D16">
            <w:pPr>
              <w:spacing w:after="100"/>
              <w:rPr>
                <w:rFonts w:eastAsia="Times New Roman"/>
                <w:sz w:val="20"/>
                <w:szCs w:val="20"/>
              </w:rPr>
            </w:pPr>
          </w:p>
        </w:tc>
        <w:tc>
          <w:tcPr>
            <w:tcW w:w="0" w:type="auto"/>
            <w:gridSpan w:val="3"/>
            <w:vAlign w:val="center"/>
            <w:hideMark/>
          </w:tcPr>
          <w:p w14:paraId="39A9371B" w14:textId="77777777" w:rsidR="00000000" w:rsidRDefault="00405D16">
            <w:pPr>
              <w:spacing w:after="100"/>
              <w:rPr>
                <w:rFonts w:eastAsia="Times New Roman"/>
                <w:sz w:val="20"/>
                <w:szCs w:val="20"/>
              </w:rPr>
            </w:pPr>
          </w:p>
        </w:tc>
        <w:tc>
          <w:tcPr>
            <w:tcW w:w="0" w:type="auto"/>
            <w:gridSpan w:val="3"/>
            <w:vAlign w:val="center"/>
            <w:hideMark/>
          </w:tcPr>
          <w:p w14:paraId="2BB3CA2C" w14:textId="77777777" w:rsidR="00000000" w:rsidRDefault="00405D16">
            <w:pPr>
              <w:spacing w:after="100"/>
              <w:rPr>
                <w:rFonts w:eastAsia="Times New Roman"/>
                <w:sz w:val="20"/>
                <w:szCs w:val="20"/>
              </w:rPr>
            </w:pPr>
          </w:p>
        </w:tc>
        <w:tc>
          <w:tcPr>
            <w:tcW w:w="0" w:type="auto"/>
            <w:gridSpan w:val="3"/>
            <w:vAlign w:val="center"/>
            <w:hideMark/>
          </w:tcPr>
          <w:p w14:paraId="2B5FB8C7" w14:textId="77777777" w:rsidR="00000000" w:rsidRDefault="00405D16">
            <w:pPr>
              <w:spacing w:after="100"/>
              <w:rPr>
                <w:rFonts w:eastAsia="Times New Roman"/>
                <w:sz w:val="20"/>
                <w:szCs w:val="20"/>
              </w:rPr>
            </w:pPr>
          </w:p>
        </w:tc>
        <w:tc>
          <w:tcPr>
            <w:tcW w:w="0" w:type="auto"/>
            <w:gridSpan w:val="3"/>
            <w:vAlign w:val="center"/>
            <w:hideMark/>
          </w:tcPr>
          <w:p w14:paraId="12406604" w14:textId="77777777" w:rsidR="00000000" w:rsidRDefault="00405D16">
            <w:pPr>
              <w:spacing w:after="100"/>
              <w:rPr>
                <w:rFonts w:eastAsia="Times New Roman"/>
                <w:sz w:val="20"/>
                <w:szCs w:val="20"/>
              </w:rPr>
            </w:pPr>
          </w:p>
        </w:tc>
        <w:tc>
          <w:tcPr>
            <w:tcW w:w="0" w:type="auto"/>
            <w:gridSpan w:val="3"/>
            <w:vAlign w:val="center"/>
            <w:hideMark/>
          </w:tcPr>
          <w:p w14:paraId="4B965203" w14:textId="77777777" w:rsidR="00000000" w:rsidRDefault="00405D16">
            <w:pPr>
              <w:spacing w:after="100"/>
              <w:rPr>
                <w:rFonts w:eastAsia="Times New Roman"/>
                <w:sz w:val="20"/>
                <w:szCs w:val="20"/>
              </w:rPr>
            </w:pPr>
          </w:p>
        </w:tc>
        <w:tc>
          <w:tcPr>
            <w:tcW w:w="0" w:type="auto"/>
            <w:gridSpan w:val="3"/>
            <w:vAlign w:val="center"/>
            <w:hideMark/>
          </w:tcPr>
          <w:p w14:paraId="60D51D85" w14:textId="77777777" w:rsidR="00000000" w:rsidRDefault="00405D16">
            <w:pPr>
              <w:spacing w:after="100"/>
              <w:rPr>
                <w:rFonts w:eastAsia="Times New Roman"/>
                <w:sz w:val="20"/>
                <w:szCs w:val="20"/>
              </w:rPr>
            </w:pPr>
          </w:p>
        </w:tc>
        <w:tc>
          <w:tcPr>
            <w:tcW w:w="0" w:type="auto"/>
            <w:gridSpan w:val="3"/>
            <w:vAlign w:val="center"/>
            <w:hideMark/>
          </w:tcPr>
          <w:p w14:paraId="6ADA6EC0" w14:textId="77777777" w:rsidR="00000000" w:rsidRDefault="00405D16">
            <w:pPr>
              <w:spacing w:after="100"/>
              <w:rPr>
                <w:rFonts w:eastAsia="Times New Roman"/>
                <w:sz w:val="20"/>
                <w:szCs w:val="20"/>
              </w:rPr>
            </w:pPr>
          </w:p>
        </w:tc>
        <w:tc>
          <w:tcPr>
            <w:tcW w:w="0" w:type="auto"/>
            <w:gridSpan w:val="3"/>
            <w:vAlign w:val="center"/>
            <w:hideMark/>
          </w:tcPr>
          <w:p w14:paraId="58D7AA1E" w14:textId="77777777" w:rsidR="00000000" w:rsidRDefault="00405D16">
            <w:pPr>
              <w:spacing w:after="100"/>
              <w:rPr>
                <w:rFonts w:eastAsia="Times New Roman"/>
                <w:sz w:val="20"/>
                <w:szCs w:val="20"/>
              </w:rPr>
            </w:pPr>
          </w:p>
        </w:tc>
        <w:tc>
          <w:tcPr>
            <w:tcW w:w="0" w:type="auto"/>
            <w:gridSpan w:val="3"/>
            <w:vAlign w:val="center"/>
            <w:hideMark/>
          </w:tcPr>
          <w:p w14:paraId="64A6302A" w14:textId="77777777" w:rsidR="00000000" w:rsidRDefault="00405D16">
            <w:pPr>
              <w:spacing w:after="100"/>
              <w:rPr>
                <w:rFonts w:eastAsia="Times New Roman"/>
                <w:sz w:val="20"/>
                <w:szCs w:val="20"/>
              </w:rPr>
            </w:pPr>
          </w:p>
        </w:tc>
        <w:tc>
          <w:tcPr>
            <w:tcW w:w="0" w:type="auto"/>
            <w:gridSpan w:val="3"/>
            <w:vAlign w:val="center"/>
            <w:hideMark/>
          </w:tcPr>
          <w:p w14:paraId="5692B158" w14:textId="77777777" w:rsidR="00000000" w:rsidRDefault="00405D16">
            <w:pPr>
              <w:spacing w:after="100"/>
              <w:rPr>
                <w:rFonts w:eastAsia="Times New Roman"/>
                <w:sz w:val="20"/>
                <w:szCs w:val="20"/>
              </w:rPr>
            </w:pPr>
          </w:p>
        </w:tc>
        <w:tc>
          <w:tcPr>
            <w:tcW w:w="0" w:type="auto"/>
            <w:gridSpan w:val="3"/>
            <w:vAlign w:val="center"/>
            <w:hideMark/>
          </w:tcPr>
          <w:p w14:paraId="54AA60FF" w14:textId="77777777" w:rsidR="00000000" w:rsidRDefault="00405D16">
            <w:pPr>
              <w:spacing w:after="100"/>
              <w:rPr>
                <w:rFonts w:eastAsia="Times New Roman"/>
                <w:sz w:val="20"/>
                <w:szCs w:val="20"/>
              </w:rPr>
            </w:pPr>
          </w:p>
        </w:tc>
      </w:tr>
      <w:tr w:rsidR="00000000" w14:paraId="4054933B" w14:textId="77777777">
        <w:trPr>
          <w:divId w:val="1868330845"/>
        </w:trPr>
        <w:tc>
          <w:tcPr>
            <w:tcW w:w="0" w:type="auto"/>
            <w:gridSpan w:val="3"/>
            <w:vAlign w:val="center"/>
            <w:hideMark/>
          </w:tcPr>
          <w:p w14:paraId="7682C987" w14:textId="77777777" w:rsidR="00000000" w:rsidRDefault="00405D16">
            <w:pPr>
              <w:spacing w:after="100"/>
              <w:rPr>
                <w:rFonts w:eastAsia="Times New Roman"/>
                <w:sz w:val="20"/>
                <w:szCs w:val="20"/>
              </w:rPr>
            </w:pPr>
          </w:p>
        </w:tc>
        <w:tc>
          <w:tcPr>
            <w:tcW w:w="0" w:type="auto"/>
            <w:gridSpan w:val="3"/>
            <w:vAlign w:val="center"/>
            <w:hideMark/>
          </w:tcPr>
          <w:p w14:paraId="127A4139" w14:textId="77777777" w:rsidR="00000000" w:rsidRDefault="00405D16">
            <w:pPr>
              <w:spacing w:after="100"/>
              <w:rPr>
                <w:rFonts w:eastAsia="Times New Roman"/>
                <w:sz w:val="20"/>
                <w:szCs w:val="20"/>
              </w:rPr>
            </w:pPr>
          </w:p>
        </w:tc>
        <w:tc>
          <w:tcPr>
            <w:tcW w:w="0" w:type="auto"/>
            <w:gridSpan w:val="3"/>
            <w:vAlign w:val="center"/>
            <w:hideMark/>
          </w:tcPr>
          <w:p w14:paraId="7724E0E0" w14:textId="77777777" w:rsidR="00000000" w:rsidRDefault="00405D16">
            <w:pPr>
              <w:spacing w:after="100"/>
              <w:rPr>
                <w:rFonts w:eastAsia="Times New Roman"/>
                <w:sz w:val="20"/>
                <w:szCs w:val="20"/>
              </w:rPr>
            </w:pPr>
          </w:p>
        </w:tc>
        <w:tc>
          <w:tcPr>
            <w:tcW w:w="0" w:type="auto"/>
            <w:gridSpan w:val="3"/>
            <w:vAlign w:val="center"/>
            <w:hideMark/>
          </w:tcPr>
          <w:p w14:paraId="5CD3E1EA" w14:textId="77777777" w:rsidR="00000000" w:rsidRDefault="00405D16">
            <w:pPr>
              <w:spacing w:after="100"/>
              <w:rPr>
                <w:rFonts w:eastAsia="Times New Roman"/>
                <w:sz w:val="20"/>
                <w:szCs w:val="20"/>
              </w:rPr>
            </w:pPr>
          </w:p>
        </w:tc>
        <w:tc>
          <w:tcPr>
            <w:tcW w:w="0" w:type="auto"/>
            <w:gridSpan w:val="3"/>
            <w:vAlign w:val="center"/>
            <w:hideMark/>
          </w:tcPr>
          <w:p w14:paraId="478EC79E" w14:textId="77777777" w:rsidR="00000000" w:rsidRDefault="00405D16">
            <w:pPr>
              <w:spacing w:after="100"/>
              <w:rPr>
                <w:rFonts w:eastAsia="Times New Roman"/>
                <w:sz w:val="20"/>
                <w:szCs w:val="20"/>
              </w:rPr>
            </w:pPr>
          </w:p>
        </w:tc>
        <w:tc>
          <w:tcPr>
            <w:tcW w:w="0" w:type="auto"/>
            <w:gridSpan w:val="3"/>
            <w:vAlign w:val="center"/>
            <w:hideMark/>
          </w:tcPr>
          <w:p w14:paraId="4B8CCAAB" w14:textId="77777777" w:rsidR="00000000" w:rsidRDefault="00405D16">
            <w:pPr>
              <w:spacing w:after="100"/>
              <w:rPr>
                <w:rFonts w:eastAsia="Times New Roman"/>
                <w:sz w:val="20"/>
                <w:szCs w:val="20"/>
              </w:rPr>
            </w:pPr>
          </w:p>
        </w:tc>
        <w:tc>
          <w:tcPr>
            <w:tcW w:w="0" w:type="auto"/>
            <w:gridSpan w:val="3"/>
            <w:vAlign w:val="center"/>
            <w:hideMark/>
          </w:tcPr>
          <w:p w14:paraId="7347ECE4" w14:textId="77777777" w:rsidR="00000000" w:rsidRDefault="00405D16">
            <w:pPr>
              <w:spacing w:after="100"/>
              <w:rPr>
                <w:rFonts w:eastAsia="Times New Roman"/>
                <w:sz w:val="20"/>
                <w:szCs w:val="20"/>
              </w:rPr>
            </w:pPr>
          </w:p>
        </w:tc>
        <w:tc>
          <w:tcPr>
            <w:tcW w:w="0" w:type="auto"/>
            <w:gridSpan w:val="3"/>
            <w:vAlign w:val="center"/>
            <w:hideMark/>
          </w:tcPr>
          <w:p w14:paraId="2957E0D0" w14:textId="77777777" w:rsidR="00000000" w:rsidRDefault="00405D16">
            <w:pPr>
              <w:spacing w:after="100"/>
              <w:rPr>
                <w:rFonts w:eastAsia="Times New Roman"/>
                <w:sz w:val="20"/>
                <w:szCs w:val="20"/>
              </w:rPr>
            </w:pPr>
          </w:p>
        </w:tc>
        <w:tc>
          <w:tcPr>
            <w:tcW w:w="0" w:type="auto"/>
            <w:gridSpan w:val="3"/>
            <w:vAlign w:val="center"/>
            <w:hideMark/>
          </w:tcPr>
          <w:p w14:paraId="2B585A50" w14:textId="77777777" w:rsidR="00000000" w:rsidRDefault="00405D16">
            <w:pPr>
              <w:spacing w:after="100"/>
              <w:rPr>
                <w:rFonts w:eastAsia="Times New Roman"/>
                <w:sz w:val="20"/>
                <w:szCs w:val="20"/>
              </w:rPr>
            </w:pPr>
          </w:p>
        </w:tc>
        <w:tc>
          <w:tcPr>
            <w:tcW w:w="0" w:type="auto"/>
            <w:gridSpan w:val="3"/>
            <w:vAlign w:val="center"/>
            <w:hideMark/>
          </w:tcPr>
          <w:p w14:paraId="778D853A" w14:textId="77777777" w:rsidR="00000000" w:rsidRDefault="00405D16">
            <w:pPr>
              <w:spacing w:after="100"/>
              <w:rPr>
                <w:rFonts w:eastAsia="Times New Roman"/>
                <w:sz w:val="20"/>
                <w:szCs w:val="20"/>
              </w:rPr>
            </w:pPr>
          </w:p>
        </w:tc>
        <w:tc>
          <w:tcPr>
            <w:tcW w:w="0" w:type="auto"/>
            <w:gridSpan w:val="3"/>
            <w:vAlign w:val="center"/>
            <w:hideMark/>
          </w:tcPr>
          <w:p w14:paraId="0B3CFDEE" w14:textId="77777777" w:rsidR="00000000" w:rsidRDefault="00405D16">
            <w:pPr>
              <w:spacing w:after="100"/>
              <w:rPr>
                <w:rFonts w:eastAsia="Times New Roman"/>
                <w:sz w:val="20"/>
                <w:szCs w:val="20"/>
              </w:rPr>
            </w:pPr>
          </w:p>
        </w:tc>
        <w:tc>
          <w:tcPr>
            <w:tcW w:w="0" w:type="auto"/>
            <w:gridSpan w:val="3"/>
            <w:vAlign w:val="center"/>
            <w:hideMark/>
          </w:tcPr>
          <w:p w14:paraId="3DE650AE" w14:textId="77777777" w:rsidR="00000000" w:rsidRDefault="00405D16">
            <w:pPr>
              <w:spacing w:after="100"/>
              <w:rPr>
                <w:rFonts w:eastAsia="Times New Roman"/>
                <w:sz w:val="20"/>
                <w:szCs w:val="20"/>
              </w:rPr>
            </w:pPr>
          </w:p>
        </w:tc>
        <w:tc>
          <w:tcPr>
            <w:tcW w:w="0" w:type="auto"/>
            <w:gridSpan w:val="3"/>
            <w:vAlign w:val="center"/>
            <w:hideMark/>
          </w:tcPr>
          <w:p w14:paraId="47B1E60C" w14:textId="77777777" w:rsidR="00000000" w:rsidRDefault="00405D16">
            <w:pPr>
              <w:spacing w:after="100"/>
              <w:rPr>
                <w:rFonts w:eastAsia="Times New Roman"/>
                <w:sz w:val="20"/>
                <w:szCs w:val="20"/>
              </w:rPr>
            </w:pPr>
          </w:p>
        </w:tc>
        <w:tc>
          <w:tcPr>
            <w:tcW w:w="0" w:type="auto"/>
            <w:gridSpan w:val="3"/>
            <w:vAlign w:val="center"/>
            <w:hideMark/>
          </w:tcPr>
          <w:p w14:paraId="0ED3351A" w14:textId="77777777" w:rsidR="00000000" w:rsidRDefault="00405D16">
            <w:pPr>
              <w:spacing w:after="100"/>
              <w:rPr>
                <w:rFonts w:eastAsia="Times New Roman"/>
                <w:sz w:val="20"/>
                <w:szCs w:val="20"/>
              </w:rPr>
            </w:pPr>
          </w:p>
        </w:tc>
        <w:tc>
          <w:tcPr>
            <w:tcW w:w="0" w:type="auto"/>
            <w:gridSpan w:val="3"/>
            <w:vAlign w:val="center"/>
            <w:hideMark/>
          </w:tcPr>
          <w:p w14:paraId="57A8D8A5" w14:textId="77777777" w:rsidR="00000000" w:rsidRDefault="00405D16">
            <w:pPr>
              <w:spacing w:after="100"/>
              <w:rPr>
                <w:rFonts w:eastAsia="Times New Roman"/>
                <w:sz w:val="20"/>
                <w:szCs w:val="20"/>
              </w:rPr>
            </w:pPr>
          </w:p>
        </w:tc>
        <w:tc>
          <w:tcPr>
            <w:tcW w:w="0" w:type="auto"/>
            <w:gridSpan w:val="3"/>
            <w:vAlign w:val="center"/>
            <w:hideMark/>
          </w:tcPr>
          <w:p w14:paraId="038C269C" w14:textId="77777777" w:rsidR="00000000" w:rsidRDefault="00405D16">
            <w:pPr>
              <w:spacing w:after="100"/>
              <w:rPr>
                <w:rFonts w:eastAsia="Times New Roman"/>
                <w:sz w:val="20"/>
                <w:szCs w:val="20"/>
              </w:rPr>
            </w:pPr>
          </w:p>
        </w:tc>
        <w:tc>
          <w:tcPr>
            <w:tcW w:w="0" w:type="auto"/>
            <w:gridSpan w:val="3"/>
            <w:vAlign w:val="center"/>
            <w:hideMark/>
          </w:tcPr>
          <w:p w14:paraId="32B1DB08" w14:textId="77777777" w:rsidR="00000000" w:rsidRDefault="00405D16">
            <w:pPr>
              <w:spacing w:after="100"/>
              <w:rPr>
                <w:rFonts w:eastAsia="Times New Roman"/>
                <w:sz w:val="20"/>
                <w:szCs w:val="20"/>
              </w:rPr>
            </w:pPr>
          </w:p>
        </w:tc>
        <w:tc>
          <w:tcPr>
            <w:tcW w:w="0" w:type="auto"/>
            <w:gridSpan w:val="3"/>
            <w:vAlign w:val="center"/>
            <w:hideMark/>
          </w:tcPr>
          <w:p w14:paraId="6C2C89C3" w14:textId="77777777" w:rsidR="00000000" w:rsidRDefault="00405D16">
            <w:pPr>
              <w:spacing w:after="100"/>
              <w:rPr>
                <w:rFonts w:eastAsia="Times New Roman"/>
                <w:sz w:val="20"/>
                <w:szCs w:val="20"/>
              </w:rPr>
            </w:pPr>
          </w:p>
        </w:tc>
        <w:tc>
          <w:tcPr>
            <w:tcW w:w="0" w:type="auto"/>
            <w:gridSpan w:val="3"/>
            <w:vAlign w:val="center"/>
            <w:hideMark/>
          </w:tcPr>
          <w:p w14:paraId="03ADDF1A" w14:textId="77777777" w:rsidR="00000000" w:rsidRDefault="00405D16">
            <w:pPr>
              <w:spacing w:after="100"/>
              <w:rPr>
                <w:rFonts w:eastAsia="Times New Roman"/>
                <w:sz w:val="20"/>
                <w:szCs w:val="20"/>
              </w:rPr>
            </w:pPr>
          </w:p>
        </w:tc>
      </w:tr>
      <w:tr w:rsidR="00000000" w14:paraId="65CF5090" w14:textId="77777777">
        <w:trPr>
          <w:divId w:val="1868330845"/>
        </w:trPr>
        <w:tc>
          <w:tcPr>
            <w:tcW w:w="0" w:type="auto"/>
            <w:gridSpan w:val="3"/>
            <w:vAlign w:val="center"/>
            <w:hideMark/>
          </w:tcPr>
          <w:p w14:paraId="07A10D69" w14:textId="77777777" w:rsidR="00000000" w:rsidRDefault="00405D16">
            <w:pPr>
              <w:spacing w:after="100"/>
              <w:rPr>
                <w:rFonts w:eastAsia="Times New Roman"/>
                <w:sz w:val="20"/>
                <w:szCs w:val="20"/>
              </w:rPr>
            </w:pPr>
          </w:p>
        </w:tc>
        <w:tc>
          <w:tcPr>
            <w:tcW w:w="0" w:type="auto"/>
            <w:gridSpan w:val="3"/>
            <w:vAlign w:val="center"/>
            <w:hideMark/>
          </w:tcPr>
          <w:p w14:paraId="488C39DB" w14:textId="77777777" w:rsidR="00000000" w:rsidRDefault="00405D16">
            <w:pPr>
              <w:spacing w:after="100"/>
              <w:rPr>
                <w:rFonts w:eastAsia="Times New Roman"/>
                <w:sz w:val="20"/>
                <w:szCs w:val="20"/>
              </w:rPr>
            </w:pPr>
          </w:p>
        </w:tc>
        <w:tc>
          <w:tcPr>
            <w:tcW w:w="0" w:type="auto"/>
            <w:gridSpan w:val="3"/>
            <w:vAlign w:val="center"/>
            <w:hideMark/>
          </w:tcPr>
          <w:p w14:paraId="46944FB0" w14:textId="77777777" w:rsidR="00000000" w:rsidRDefault="00405D16">
            <w:pPr>
              <w:spacing w:after="100"/>
              <w:rPr>
                <w:rFonts w:eastAsia="Times New Roman"/>
                <w:sz w:val="20"/>
                <w:szCs w:val="20"/>
              </w:rPr>
            </w:pPr>
          </w:p>
        </w:tc>
        <w:tc>
          <w:tcPr>
            <w:tcW w:w="0" w:type="auto"/>
            <w:gridSpan w:val="3"/>
            <w:vAlign w:val="center"/>
            <w:hideMark/>
          </w:tcPr>
          <w:p w14:paraId="42C1F791" w14:textId="77777777" w:rsidR="00000000" w:rsidRDefault="00405D16">
            <w:pPr>
              <w:spacing w:after="100"/>
              <w:rPr>
                <w:rFonts w:eastAsia="Times New Roman"/>
                <w:sz w:val="20"/>
                <w:szCs w:val="20"/>
              </w:rPr>
            </w:pPr>
          </w:p>
        </w:tc>
        <w:tc>
          <w:tcPr>
            <w:tcW w:w="0" w:type="auto"/>
            <w:gridSpan w:val="3"/>
            <w:vAlign w:val="center"/>
            <w:hideMark/>
          </w:tcPr>
          <w:p w14:paraId="26434D58" w14:textId="77777777" w:rsidR="00000000" w:rsidRDefault="00405D16">
            <w:pPr>
              <w:spacing w:after="100"/>
              <w:rPr>
                <w:rFonts w:eastAsia="Times New Roman"/>
                <w:sz w:val="20"/>
                <w:szCs w:val="20"/>
              </w:rPr>
            </w:pPr>
          </w:p>
        </w:tc>
        <w:tc>
          <w:tcPr>
            <w:tcW w:w="0" w:type="auto"/>
            <w:gridSpan w:val="3"/>
            <w:vAlign w:val="center"/>
            <w:hideMark/>
          </w:tcPr>
          <w:p w14:paraId="7EFAF05F" w14:textId="77777777" w:rsidR="00000000" w:rsidRDefault="00405D16">
            <w:pPr>
              <w:spacing w:after="100"/>
              <w:rPr>
                <w:rFonts w:eastAsia="Times New Roman"/>
                <w:sz w:val="20"/>
                <w:szCs w:val="20"/>
              </w:rPr>
            </w:pPr>
          </w:p>
        </w:tc>
        <w:tc>
          <w:tcPr>
            <w:tcW w:w="0" w:type="auto"/>
            <w:gridSpan w:val="3"/>
            <w:vAlign w:val="center"/>
            <w:hideMark/>
          </w:tcPr>
          <w:p w14:paraId="7BE470AF" w14:textId="77777777" w:rsidR="00000000" w:rsidRDefault="00405D16">
            <w:pPr>
              <w:spacing w:after="100"/>
              <w:rPr>
                <w:rFonts w:eastAsia="Times New Roman"/>
                <w:sz w:val="20"/>
                <w:szCs w:val="20"/>
              </w:rPr>
            </w:pPr>
          </w:p>
        </w:tc>
        <w:tc>
          <w:tcPr>
            <w:tcW w:w="0" w:type="auto"/>
            <w:gridSpan w:val="3"/>
            <w:vAlign w:val="center"/>
            <w:hideMark/>
          </w:tcPr>
          <w:p w14:paraId="05C3D34D" w14:textId="77777777" w:rsidR="00000000" w:rsidRDefault="00405D16">
            <w:pPr>
              <w:spacing w:after="100"/>
              <w:rPr>
                <w:rFonts w:eastAsia="Times New Roman"/>
                <w:sz w:val="20"/>
                <w:szCs w:val="20"/>
              </w:rPr>
            </w:pPr>
          </w:p>
        </w:tc>
        <w:tc>
          <w:tcPr>
            <w:tcW w:w="0" w:type="auto"/>
            <w:gridSpan w:val="3"/>
            <w:vAlign w:val="center"/>
            <w:hideMark/>
          </w:tcPr>
          <w:p w14:paraId="448DEFD6" w14:textId="77777777" w:rsidR="00000000" w:rsidRDefault="00405D16">
            <w:pPr>
              <w:spacing w:after="100"/>
              <w:rPr>
                <w:rFonts w:eastAsia="Times New Roman"/>
                <w:sz w:val="20"/>
                <w:szCs w:val="20"/>
              </w:rPr>
            </w:pPr>
          </w:p>
        </w:tc>
        <w:tc>
          <w:tcPr>
            <w:tcW w:w="0" w:type="auto"/>
            <w:gridSpan w:val="3"/>
            <w:vAlign w:val="center"/>
            <w:hideMark/>
          </w:tcPr>
          <w:p w14:paraId="1436CDCB" w14:textId="77777777" w:rsidR="00000000" w:rsidRDefault="00405D16">
            <w:pPr>
              <w:spacing w:after="100"/>
              <w:rPr>
                <w:rFonts w:eastAsia="Times New Roman"/>
                <w:sz w:val="20"/>
                <w:szCs w:val="20"/>
              </w:rPr>
            </w:pPr>
          </w:p>
        </w:tc>
        <w:tc>
          <w:tcPr>
            <w:tcW w:w="0" w:type="auto"/>
            <w:gridSpan w:val="3"/>
            <w:vAlign w:val="center"/>
            <w:hideMark/>
          </w:tcPr>
          <w:p w14:paraId="1581B18D" w14:textId="77777777" w:rsidR="00000000" w:rsidRDefault="00405D16">
            <w:pPr>
              <w:spacing w:after="100"/>
              <w:rPr>
                <w:rFonts w:eastAsia="Times New Roman"/>
                <w:sz w:val="20"/>
                <w:szCs w:val="20"/>
              </w:rPr>
            </w:pPr>
          </w:p>
        </w:tc>
        <w:tc>
          <w:tcPr>
            <w:tcW w:w="0" w:type="auto"/>
            <w:gridSpan w:val="3"/>
            <w:vAlign w:val="center"/>
            <w:hideMark/>
          </w:tcPr>
          <w:p w14:paraId="2B8528AB" w14:textId="77777777" w:rsidR="00000000" w:rsidRDefault="00405D16">
            <w:pPr>
              <w:spacing w:after="100"/>
              <w:rPr>
                <w:rFonts w:eastAsia="Times New Roman"/>
                <w:sz w:val="20"/>
                <w:szCs w:val="20"/>
              </w:rPr>
            </w:pPr>
          </w:p>
        </w:tc>
        <w:tc>
          <w:tcPr>
            <w:tcW w:w="0" w:type="auto"/>
            <w:gridSpan w:val="3"/>
            <w:vAlign w:val="center"/>
            <w:hideMark/>
          </w:tcPr>
          <w:p w14:paraId="2E75F5AC" w14:textId="77777777" w:rsidR="00000000" w:rsidRDefault="00405D16">
            <w:pPr>
              <w:spacing w:after="100"/>
              <w:rPr>
                <w:rFonts w:eastAsia="Times New Roman"/>
                <w:sz w:val="20"/>
                <w:szCs w:val="20"/>
              </w:rPr>
            </w:pPr>
          </w:p>
        </w:tc>
        <w:tc>
          <w:tcPr>
            <w:tcW w:w="0" w:type="auto"/>
            <w:gridSpan w:val="3"/>
            <w:vAlign w:val="center"/>
            <w:hideMark/>
          </w:tcPr>
          <w:p w14:paraId="7E5EA13F" w14:textId="77777777" w:rsidR="00000000" w:rsidRDefault="00405D16">
            <w:pPr>
              <w:spacing w:after="100"/>
              <w:rPr>
                <w:rFonts w:eastAsia="Times New Roman"/>
                <w:sz w:val="20"/>
                <w:szCs w:val="20"/>
              </w:rPr>
            </w:pPr>
          </w:p>
        </w:tc>
        <w:tc>
          <w:tcPr>
            <w:tcW w:w="0" w:type="auto"/>
            <w:gridSpan w:val="3"/>
            <w:vAlign w:val="center"/>
            <w:hideMark/>
          </w:tcPr>
          <w:p w14:paraId="0F5CDEF5" w14:textId="77777777" w:rsidR="00000000" w:rsidRDefault="00405D16">
            <w:pPr>
              <w:spacing w:after="100"/>
              <w:rPr>
                <w:rFonts w:eastAsia="Times New Roman"/>
                <w:sz w:val="20"/>
                <w:szCs w:val="20"/>
              </w:rPr>
            </w:pPr>
          </w:p>
        </w:tc>
        <w:tc>
          <w:tcPr>
            <w:tcW w:w="0" w:type="auto"/>
            <w:gridSpan w:val="3"/>
            <w:vAlign w:val="center"/>
            <w:hideMark/>
          </w:tcPr>
          <w:p w14:paraId="78E21439" w14:textId="77777777" w:rsidR="00000000" w:rsidRDefault="00405D16">
            <w:pPr>
              <w:spacing w:after="100"/>
              <w:rPr>
                <w:rFonts w:eastAsia="Times New Roman"/>
                <w:sz w:val="20"/>
                <w:szCs w:val="20"/>
              </w:rPr>
            </w:pPr>
          </w:p>
        </w:tc>
        <w:tc>
          <w:tcPr>
            <w:tcW w:w="0" w:type="auto"/>
            <w:gridSpan w:val="3"/>
            <w:vAlign w:val="center"/>
            <w:hideMark/>
          </w:tcPr>
          <w:p w14:paraId="142EC9E4" w14:textId="77777777" w:rsidR="00000000" w:rsidRDefault="00405D16">
            <w:pPr>
              <w:spacing w:after="100"/>
              <w:rPr>
                <w:rFonts w:eastAsia="Times New Roman"/>
                <w:sz w:val="20"/>
                <w:szCs w:val="20"/>
              </w:rPr>
            </w:pPr>
          </w:p>
        </w:tc>
        <w:tc>
          <w:tcPr>
            <w:tcW w:w="0" w:type="auto"/>
            <w:gridSpan w:val="3"/>
            <w:vAlign w:val="center"/>
            <w:hideMark/>
          </w:tcPr>
          <w:p w14:paraId="6203FAFB" w14:textId="77777777" w:rsidR="00000000" w:rsidRDefault="00405D16">
            <w:pPr>
              <w:spacing w:after="100"/>
              <w:rPr>
                <w:rFonts w:eastAsia="Times New Roman"/>
                <w:sz w:val="20"/>
                <w:szCs w:val="20"/>
              </w:rPr>
            </w:pPr>
          </w:p>
        </w:tc>
        <w:tc>
          <w:tcPr>
            <w:tcW w:w="0" w:type="auto"/>
            <w:gridSpan w:val="3"/>
            <w:vAlign w:val="center"/>
            <w:hideMark/>
          </w:tcPr>
          <w:p w14:paraId="4DC05024" w14:textId="77777777" w:rsidR="00000000" w:rsidRDefault="00405D16">
            <w:pPr>
              <w:spacing w:after="100"/>
              <w:rPr>
                <w:rFonts w:eastAsia="Times New Roman"/>
                <w:sz w:val="20"/>
                <w:szCs w:val="20"/>
              </w:rPr>
            </w:pPr>
          </w:p>
        </w:tc>
      </w:tr>
      <w:tr w:rsidR="00000000" w14:paraId="5B509D01" w14:textId="77777777">
        <w:trPr>
          <w:divId w:val="1868330845"/>
        </w:trPr>
        <w:tc>
          <w:tcPr>
            <w:tcW w:w="0" w:type="auto"/>
            <w:gridSpan w:val="3"/>
            <w:vAlign w:val="center"/>
            <w:hideMark/>
          </w:tcPr>
          <w:p w14:paraId="5D529C32" w14:textId="77777777" w:rsidR="00000000" w:rsidRDefault="00405D16">
            <w:pPr>
              <w:spacing w:after="100"/>
              <w:rPr>
                <w:rFonts w:eastAsia="Times New Roman"/>
                <w:sz w:val="20"/>
                <w:szCs w:val="20"/>
              </w:rPr>
            </w:pPr>
          </w:p>
        </w:tc>
        <w:tc>
          <w:tcPr>
            <w:tcW w:w="0" w:type="auto"/>
            <w:gridSpan w:val="3"/>
            <w:vAlign w:val="center"/>
            <w:hideMark/>
          </w:tcPr>
          <w:p w14:paraId="453F1BFB" w14:textId="77777777" w:rsidR="00000000" w:rsidRDefault="00405D16">
            <w:pPr>
              <w:spacing w:after="100"/>
              <w:rPr>
                <w:rFonts w:eastAsia="Times New Roman"/>
                <w:sz w:val="20"/>
                <w:szCs w:val="20"/>
              </w:rPr>
            </w:pPr>
          </w:p>
        </w:tc>
        <w:tc>
          <w:tcPr>
            <w:tcW w:w="0" w:type="auto"/>
            <w:gridSpan w:val="3"/>
            <w:vAlign w:val="center"/>
            <w:hideMark/>
          </w:tcPr>
          <w:p w14:paraId="212142A7" w14:textId="77777777" w:rsidR="00000000" w:rsidRDefault="00405D16">
            <w:pPr>
              <w:spacing w:after="100"/>
              <w:rPr>
                <w:rFonts w:eastAsia="Times New Roman"/>
                <w:sz w:val="20"/>
                <w:szCs w:val="20"/>
              </w:rPr>
            </w:pPr>
          </w:p>
        </w:tc>
        <w:tc>
          <w:tcPr>
            <w:tcW w:w="0" w:type="auto"/>
            <w:gridSpan w:val="3"/>
            <w:vAlign w:val="center"/>
            <w:hideMark/>
          </w:tcPr>
          <w:p w14:paraId="1406CBAD" w14:textId="77777777" w:rsidR="00000000" w:rsidRDefault="00405D16">
            <w:pPr>
              <w:spacing w:after="100"/>
              <w:rPr>
                <w:rFonts w:eastAsia="Times New Roman"/>
                <w:sz w:val="20"/>
                <w:szCs w:val="20"/>
              </w:rPr>
            </w:pPr>
          </w:p>
        </w:tc>
        <w:tc>
          <w:tcPr>
            <w:tcW w:w="0" w:type="auto"/>
            <w:gridSpan w:val="3"/>
            <w:vAlign w:val="center"/>
            <w:hideMark/>
          </w:tcPr>
          <w:p w14:paraId="63C05881" w14:textId="77777777" w:rsidR="00000000" w:rsidRDefault="00405D16">
            <w:pPr>
              <w:spacing w:after="100"/>
              <w:rPr>
                <w:rFonts w:eastAsia="Times New Roman"/>
                <w:sz w:val="20"/>
                <w:szCs w:val="20"/>
              </w:rPr>
            </w:pPr>
          </w:p>
        </w:tc>
        <w:tc>
          <w:tcPr>
            <w:tcW w:w="0" w:type="auto"/>
            <w:gridSpan w:val="3"/>
            <w:vAlign w:val="center"/>
            <w:hideMark/>
          </w:tcPr>
          <w:p w14:paraId="65103097" w14:textId="77777777" w:rsidR="00000000" w:rsidRDefault="00405D16">
            <w:pPr>
              <w:spacing w:after="100"/>
              <w:rPr>
                <w:rFonts w:eastAsia="Times New Roman"/>
                <w:sz w:val="20"/>
                <w:szCs w:val="20"/>
              </w:rPr>
            </w:pPr>
          </w:p>
        </w:tc>
        <w:tc>
          <w:tcPr>
            <w:tcW w:w="0" w:type="auto"/>
            <w:gridSpan w:val="3"/>
            <w:vAlign w:val="center"/>
            <w:hideMark/>
          </w:tcPr>
          <w:p w14:paraId="392507FE" w14:textId="77777777" w:rsidR="00000000" w:rsidRDefault="00405D16">
            <w:pPr>
              <w:spacing w:after="100"/>
              <w:rPr>
                <w:rFonts w:eastAsia="Times New Roman"/>
                <w:sz w:val="20"/>
                <w:szCs w:val="20"/>
              </w:rPr>
            </w:pPr>
          </w:p>
        </w:tc>
        <w:tc>
          <w:tcPr>
            <w:tcW w:w="0" w:type="auto"/>
            <w:gridSpan w:val="3"/>
            <w:vAlign w:val="center"/>
            <w:hideMark/>
          </w:tcPr>
          <w:p w14:paraId="5CB06DC5" w14:textId="77777777" w:rsidR="00000000" w:rsidRDefault="00405D16">
            <w:pPr>
              <w:spacing w:after="100"/>
              <w:rPr>
                <w:rFonts w:eastAsia="Times New Roman"/>
                <w:sz w:val="20"/>
                <w:szCs w:val="20"/>
              </w:rPr>
            </w:pPr>
          </w:p>
        </w:tc>
        <w:tc>
          <w:tcPr>
            <w:tcW w:w="0" w:type="auto"/>
            <w:gridSpan w:val="3"/>
            <w:vAlign w:val="center"/>
            <w:hideMark/>
          </w:tcPr>
          <w:p w14:paraId="776FF7E1" w14:textId="77777777" w:rsidR="00000000" w:rsidRDefault="00405D16">
            <w:pPr>
              <w:spacing w:after="100"/>
              <w:rPr>
                <w:rFonts w:eastAsia="Times New Roman"/>
                <w:sz w:val="20"/>
                <w:szCs w:val="20"/>
              </w:rPr>
            </w:pPr>
          </w:p>
        </w:tc>
        <w:tc>
          <w:tcPr>
            <w:tcW w:w="0" w:type="auto"/>
            <w:gridSpan w:val="3"/>
            <w:vAlign w:val="center"/>
            <w:hideMark/>
          </w:tcPr>
          <w:p w14:paraId="1D85605C" w14:textId="77777777" w:rsidR="00000000" w:rsidRDefault="00405D16">
            <w:pPr>
              <w:spacing w:after="100"/>
              <w:rPr>
                <w:rFonts w:eastAsia="Times New Roman"/>
                <w:sz w:val="20"/>
                <w:szCs w:val="20"/>
              </w:rPr>
            </w:pPr>
          </w:p>
        </w:tc>
        <w:tc>
          <w:tcPr>
            <w:tcW w:w="0" w:type="auto"/>
            <w:gridSpan w:val="3"/>
            <w:vAlign w:val="center"/>
            <w:hideMark/>
          </w:tcPr>
          <w:p w14:paraId="20CE795F" w14:textId="77777777" w:rsidR="00000000" w:rsidRDefault="00405D16">
            <w:pPr>
              <w:spacing w:after="100"/>
              <w:rPr>
                <w:rFonts w:eastAsia="Times New Roman"/>
                <w:sz w:val="20"/>
                <w:szCs w:val="20"/>
              </w:rPr>
            </w:pPr>
          </w:p>
        </w:tc>
        <w:tc>
          <w:tcPr>
            <w:tcW w:w="0" w:type="auto"/>
            <w:gridSpan w:val="3"/>
            <w:vAlign w:val="center"/>
            <w:hideMark/>
          </w:tcPr>
          <w:p w14:paraId="2C130416" w14:textId="77777777" w:rsidR="00000000" w:rsidRDefault="00405D16">
            <w:pPr>
              <w:spacing w:after="100"/>
              <w:rPr>
                <w:rFonts w:eastAsia="Times New Roman"/>
                <w:sz w:val="20"/>
                <w:szCs w:val="20"/>
              </w:rPr>
            </w:pPr>
          </w:p>
        </w:tc>
        <w:tc>
          <w:tcPr>
            <w:tcW w:w="0" w:type="auto"/>
            <w:gridSpan w:val="3"/>
            <w:vAlign w:val="center"/>
            <w:hideMark/>
          </w:tcPr>
          <w:p w14:paraId="709079E9" w14:textId="77777777" w:rsidR="00000000" w:rsidRDefault="00405D16">
            <w:pPr>
              <w:spacing w:after="100"/>
              <w:rPr>
                <w:rFonts w:eastAsia="Times New Roman"/>
                <w:sz w:val="20"/>
                <w:szCs w:val="20"/>
              </w:rPr>
            </w:pPr>
          </w:p>
        </w:tc>
        <w:tc>
          <w:tcPr>
            <w:tcW w:w="0" w:type="auto"/>
            <w:gridSpan w:val="3"/>
            <w:vAlign w:val="center"/>
            <w:hideMark/>
          </w:tcPr>
          <w:p w14:paraId="71A1C924" w14:textId="77777777" w:rsidR="00000000" w:rsidRDefault="00405D16">
            <w:pPr>
              <w:spacing w:after="100"/>
              <w:rPr>
                <w:rFonts w:eastAsia="Times New Roman"/>
                <w:sz w:val="20"/>
                <w:szCs w:val="20"/>
              </w:rPr>
            </w:pPr>
          </w:p>
        </w:tc>
        <w:tc>
          <w:tcPr>
            <w:tcW w:w="0" w:type="auto"/>
            <w:gridSpan w:val="3"/>
            <w:vAlign w:val="center"/>
            <w:hideMark/>
          </w:tcPr>
          <w:p w14:paraId="66AE60B0" w14:textId="77777777" w:rsidR="00000000" w:rsidRDefault="00405D16">
            <w:pPr>
              <w:spacing w:after="100"/>
              <w:rPr>
                <w:rFonts w:eastAsia="Times New Roman"/>
                <w:sz w:val="20"/>
                <w:szCs w:val="20"/>
              </w:rPr>
            </w:pPr>
          </w:p>
        </w:tc>
        <w:tc>
          <w:tcPr>
            <w:tcW w:w="0" w:type="auto"/>
            <w:gridSpan w:val="3"/>
            <w:vAlign w:val="center"/>
            <w:hideMark/>
          </w:tcPr>
          <w:p w14:paraId="4AC02E75" w14:textId="77777777" w:rsidR="00000000" w:rsidRDefault="00405D16">
            <w:pPr>
              <w:spacing w:after="100"/>
              <w:rPr>
                <w:rFonts w:eastAsia="Times New Roman"/>
                <w:sz w:val="20"/>
                <w:szCs w:val="20"/>
              </w:rPr>
            </w:pPr>
          </w:p>
        </w:tc>
        <w:tc>
          <w:tcPr>
            <w:tcW w:w="0" w:type="auto"/>
            <w:gridSpan w:val="3"/>
            <w:vAlign w:val="center"/>
            <w:hideMark/>
          </w:tcPr>
          <w:p w14:paraId="49C31545" w14:textId="77777777" w:rsidR="00000000" w:rsidRDefault="00405D16">
            <w:pPr>
              <w:spacing w:after="100"/>
              <w:rPr>
                <w:rFonts w:eastAsia="Times New Roman"/>
                <w:sz w:val="20"/>
                <w:szCs w:val="20"/>
              </w:rPr>
            </w:pPr>
          </w:p>
        </w:tc>
        <w:tc>
          <w:tcPr>
            <w:tcW w:w="0" w:type="auto"/>
            <w:gridSpan w:val="3"/>
            <w:vAlign w:val="center"/>
            <w:hideMark/>
          </w:tcPr>
          <w:p w14:paraId="5C13DEF1" w14:textId="77777777" w:rsidR="00000000" w:rsidRDefault="00405D16">
            <w:pPr>
              <w:spacing w:after="100"/>
              <w:rPr>
                <w:rFonts w:eastAsia="Times New Roman"/>
                <w:sz w:val="20"/>
                <w:szCs w:val="20"/>
              </w:rPr>
            </w:pPr>
          </w:p>
        </w:tc>
        <w:tc>
          <w:tcPr>
            <w:tcW w:w="0" w:type="auto"/>
            <w:gridSpan w:val="3"/>
            <w:vAlign w:val="center"/>
            <w:hideMark/>
          </w:tcPr>
          <w:p w14:paraId="015CAC74" w14:textId="77777777" w:rsidR="00000000" w:rsidRDefault="00405D16">
            <w:pPr>
              <w:spacing w:after="100"/>
              <w:rPr>
                <w:rFonts w:eastAsia="Times New Roman"/>
                <w:sz w:val="20"/>
                <w:szCs w:val="20"/>
              </w:rPr>
            </w:pPr>
          </w:p>
        </w:tc>
      </w:tr>
      <w:tr w:rsidR="00000000" w14:paraId="61E1D6C6" w14:textId="77777777">
        <w:trPr>
          <w:divId w:val="1868330845"/>
        </w:trPr>
        <w:tc>
          <w:tcPr>
            <w:tcW w:w="0" w:type="auto"/>
            <w:gridSpan w:val="3"/>
            <w:vAlign w:val="center"/>
            <w:hideMark/>
          </w:tcPr>
          <w:p w14:paraId="3EA4186A" w14:textId="77777777" w:rsidR="00000000" w:rsidRDefault="00405D16">
            <w:pPr>
              <w:spacing w:after="100"/>
              <w:rPr>
                <w:rFonts w:eastAsia="Times New Roman"/>
                <w:sz w:val="20"/>
                <w:szCs w:val="20"/>
              </w:rPr>
            </w:pPr>
          </w:p>
        </w:tc>
        <w:tc>
          <w:tcPr>
            <w:tcW w:w="0" w:type="auto"/>
            <w:gridSpan w:val="3"/>
            <w:vAlign w:val="center"/>
            <w:hideMark/>
          </w:tcPr>
          <w:p w14:paraId="384972C6" w14:textId="77777777" w:rsidR="00000000" w:rsidRDefault="00405D16">
            <w:pPr>
              <w:spacing w:after="100"/>
              <w:rPr>
                <w:rFonts w:eastAsia="Times New Roman"/>
                <w:sz w:val="20"/>
                <w:szCs w:val="20"/>
              </w:rPr>
            </w:pPr>
          </w:p>
        </w:tc>
        <w:tc>
          <w:tcPr>
            <w:tcW w:w="0" w:type="auto"/>
            <w:gridSpan w:val="3"/>
            <w:vAlign w:val="center"/>
            <w:hideMark/>
          </w:tcPr>
          <w:p w14:paraId="74C4EEB8" w14:textId="77777777" w:rsidR="00000000" w:rsidRDefault="00405D16">
            <w:pPr>
              <w:spacing w:after="100"/>
              <w:rPr>
                <w:rFonts w:eastAsia="Times New Roman"/>
                <w:sz w:val="20"/>
                <w:szCs w:val="20"/>
              </w:rPr>
            </w:pPr>
          </w:p>
        </w:tc>
        <w:tc>
          <w:tcPr>
            <w:tcW w:w="0" w:type="auto"/>
            <w:gridSpan w:val="3"/>
            <w:vAlign w:val="center"/>
            <w:hideMark/>
          </w:tcPr>
          <w:p w14:paraId="4206EC0D" w14:textId="77777777" w:rsidR="00000000" w:rsidRDefault="00405D16">
            <w:pPr>
              <w:spacing w:after="100"/>
              <w:rPr>
                <w:rFonts w:eastAsia="Times New Roman"/>
                <w:sz w:val="20"/>
                <w:szCs w:val="20"/>
              </w:rPr>
            </w:pPr>
          </w:p>
        </w:tc>
        <w:tc>
          <w:tcPr>
            <w:tcW w:w="0" w:type="auto"/>
            <w:gridSpan w:val="3"/>
            <w:vAlign w:val="center"/>
            <w:hideMark/>
          </w:tcPr>
          <w:p w14:paraId="1E9A7515" w14:textId="77777777" w:rsidR="00000000" w:rsidRDefault="00405D16">
            <w:pPr>
              <w:spacing w:after="100"/>
              <w:rPr>
                <w:rFonts w:eastAsia="Times New Roman"/>
                <w:sz w:val="20"/>
                <w:szCs w:val="20"/>
              </w:rPr>
            </w:pPr>
          </w:p>
        </w:tc>
        <w:tc>
          <w:tcPr>
            <w:tcW w:w="0" w:type="auto"/>
            <w:gridSpan w:val="3"/>
            <w:vAlign w:val="center"/>
            <w:hideMark/>
          </w:tcPr>
          <w:p w14:paraId="268A6F9C" w14:textId="77777777" w:rsidR="00000000" w:rsidRDefault="00405D16">
            <w:pPr>
              <w:spacing w:after="100"/>
              <w:rPr>
                <w:rFonts w:eastAsia="Times New Roman"/>
                <w:sz w:val="20"/>
                <w:szCs w:val="20"/>
              </w:rPr>
            </w:pPr>
          </w:p>
        </w:tc>
        <w:tc>
          <w:tcPr>
            <w:tcW w:w="0" w:type="auto"/>
            <w:gridSpan w:val="3"/>
            <w:vAlign w:val="center"/>
            <w:hideMark/>
          </w:tcPr>
          <w:p w14:paraId="27E88A5E" w14:textId="77777777" w:rsidR="00000000" w:rsidRDefault="00405D16">
            <w:pPr>
              <w:spacing w:after="100"/>
              <w:rPr>
                <w:rFonts w:eastAsia="Times New Roman"/>
                <w:sz w:val="20"/>
                <w:szCs w:val="20"/>
              </w:rPr>
            </w:pPr>
          </w:p>
        </w:tc>
        <w:tc>
          <w:tcPr>
            <w:tcW w:w="0" w:type="auto"/>
            <w:gridSpan w:val="3"/>
            <w:vAlign w:val="center"/>
            <w:hideMark/>
          </w:tcPr>
          <w:p w14:paraId="1F10F1B2" w14:textId="77777777" w:rsidR="00000000" w:rsidRDefault="00405D16">
            <w:pPr>
              <w:spacing w:after="100"/>
              <w:rPr>
                <w:rFonts w:eastAsia="Times New Roman"/>
                <w:sz w:val="20"/>
                <w:szCs w:val="20"/>
              </w:rPr>
            </w:pPr>
          </w:p>
        </w:tc>
        <w:tc>
          <w:tcPr>
            <w:tcW w:w="0" w:type="auto"/>
            <w:gridSpan w:val="3"/>
            <w:vAlign w:val="center"/>
            <w:hideMark/>
          </w:tcPr>
          <w:p w14:paraId="68150052" w14:textId="77777777" w:rsidR="00000000" w:rsidRDefault="00405D16">
            <w:pPr>
              <w:spacing w:after="100"/>
              <w:rPr>
                <w:rFonts w:eastAsia="Times New Roman"/>
                <w:sz w:val="20"/>
                <w:szCs w:val="20"/>
              </w:rPr>
            </w:pPr>
          </w:p>
        </w:tc>
        <w:tc>
          <w:tcPr>
            <w:tcW w:w="0" w:type="auto"/>
            <w:gridSpan w:val="3"/>
            <w:vAlign w:val="center"/>
            <w:hideMark/>
          </w:tcPr>
          <w:p w14:paraId="08BA2EA5" w14:textId="77777777" w:rsidR="00000000" w:rsidRDefault="00405D16">
            <w:pPr>
              <w:spacing w:after="100"/>
              <w:rPr>
                <w:rFonts w:eastAsia="Times New Roman"/>
                <w:sz w:val="20"/>
                <w:szCs w:val="20"/>
              </w:rPr>
            </w:pPr>
          </w:p>
        </w:tc>
        <w:tc>
          <w:tcPr>
            <w:tcW w:w="0" w:type="auto"/>
            <w:gridSpan w:val="3"/>
            <w:vAlign w:val="center"/>
            <w:hideMark/>
          </w:tcPr>
          <w:p w14:paraId="699C3626" w14:textId="77777777" w:rsidR="00000000" w:rsidRDefault="00405D16">
            <w:pPr>
              <w:spacing w:after="100"/>
              <w:rPr>
                <w:rFonts w:eastAsia="Times New Roman"/>
                <w:sz w:val="20"/>
                <w:szCs w:val="20"/>
              </w:rPr>
            </w:pPr>
          </w:p>
        </w:tc>
        <w:tc>
          <w:tcPr>
            <w:tcW w:w="0" w:type="auto"/>
            <w:gridSpan w:val="3"/>
            <w:vAlign w:val="center"/>
            <w:hideMark/>
          </w:tcPr>
          <w:p w14:paraId="28D63137" w14:textId="77777777" w:rsidR="00000000" w:rsidRDefault="00405D16">
            <w:pPr>
              <w:spacing w:after="100"/>
              <w:rPr>
                <w:rFonts w:eastAsia="Times New Roman"/>
                <w:sz w:val="20"/>
                <w:szCs w:val="20"/>
              </w:rPr>
            </w:pPr>
          </w:p>
        </w:tc>
        <w:tc>
          <w:tcPr>
            <w:tcW w:w="0" w:type="auto"/>
            <w:gridSpan w:val="3"/>
            <w:vAlign w:val="center"/>
            <w:hideMark/>
          </w:tcPr>
          <w:p w14:paraId="3C2AC38D" w14:textId="77777777" w:rsidR="00000000" w:rsidRDefault="00405D16">
            <w:pPr>
              <w:spacing w:after="100"/>
              <w:rPr>
                <w:rFonts w:eastAsia="Times New Roman"/>
                <w:sz w:val="20"/>
                <w:szCs w:val="20"/>
              </w:rPr>
            </w:pPr>
          </w:p>
        </w:tc>
        <w:tc>
          <w:tcPr>
            <w:tcW w:w="0" w:type="auto"/>
            <w:gridSpan w:val="3"/>
            <w:vAlign w:val="center"/>
            <w:hideMark/>
          </w:tcPr>
          <w:p w14:paraId="4F9CD762" w14:textId="77777777" w:rsidR="00000000" w:rsidRDefault="00405D16">
            <w:pPr>
              <w:spacing w:after="100"/>
              <w:rPr>
                <w:rFonts w:eastAsia="Times New Roman"/>
                <w:sz w:val="20"/>
                <w:szCs w:val="20"/>
              </w:rPr>
            </w:pPr>
          </w:p>
        </w:tc>
        <w:tc>
          <w:tcPr>
            <w:tcW w:w="0" w:type="auto"/>
            <w:gridSpan w:val="3"/>
            <w:vAlign w:val="center"/>
            <w:hideMark/>
          </w:tcPr>
          <w:p w14:paraId="4EFF984D" w14:textId="77777777" w:rsidR="00000000" w:rsidRDefault="00405D16">
            <w:pPr>
              <w:spacing w:after="100"/>
              <w:rPr>
                <w:rFonts w:eastAsia="Times New Roman"/>
                <w:sz w:val="20"/>
                <w:szCs w:val="20"/>
              </w:rPr>
            </w:pPr>
          </w:p>
        </w:tc>
        <w:tc>
          <w:tcPr>
            <w:tcW w:w="0" w:type="auto"/>
            <w:gridSpan w:val="3"/>
            <w:vAlign w:val="center"/>
            <w:hideMark/>
          </w:tcPr>
          <w:p w14:paraId="3E82A9AC" w14:textId="77777777" w:rsidR="00000000" w:rsidRDefault="00405D16">
            <w:pPr>
              <w:spacing w:after="100"/>
              <w:rPr>
                <w:rFonts w:eastAsia="Times New Roman"/>
                <w:sz w:val="20"/>
                <w:szCs w:val="20"/>
              </w:rPr>
            </w:pPr>
          </w:p>
        </w:tc>
        <w:tc>
          <w:tcPr>
            <w:tcW w:w="0" w:type="auto"/>
            <w:gridSpan w:val="3"/>
            <w:vAlign w:val="center"/>
            <w:hideMark/>
          </w:tcPr>
          <w:p w14:paraId="35B4144F" w14:textId="77777777" w:rsidR="00000000" w:rsidRDefault="00405D16">
            <w:pPr>
              <w:spacing w:after="100"/>
              <w:rPr>
                <w:rFonts w:eastAsia="Times New Roman"/>
                <w:sz w:val="20"/>
                <w:szCs w:val="20"/>
              </w:rPr>
            </w:pPr>
          </w:p>
        </w:tc>
        <w:tc>
          <w:tcPr>
            <w:tcW w:w="0" w:type="auto"/>
            <w:gridSpan w:val="3"/>
            <w:vAlign w:val="center"/>
            <w:hideMark/>
          </w:tcPr>
          <w:p w14:paraId="587BF8F5" w14:textId="77777777" w:rsidR="00000000" w:rsidRDefault="00405D16">
            <w:pPr>
              <w:spacing w:after="100"/>
              <w:rPr>
                <w:rFonts w:eastAsia="Times New Roman"/>
                <w:sz w:val="20"/>
                <w:szCs w:val="20"/>
              </w:rPr>
            </w:pPr>
          </w:p>
        </w:tc>
        <w:tc>
          <w:tcPr>
            <w:tcW w:w="0" w:type="auto"/>
            <w:gridSpan w:val="3"/>
            <w:vAlign w:val="center"/>
            <w:hideMark/>
          </w:tcPr>
          <w:p w14:paraId="270ABC2D" w14:textId="77777777" w:rsidR="00000000" w:rsidRDefault="00405D16">
            <w:pPr>
              <w:spacing w:after="100"/>
              <w:rPr>
                <w:rFonts w:eastAsia="Times New Roman"/>
                <w:sz w:val="20"/>
                <w:szCs w:val="20"/>
              </w:rPr>
            </w:pPr>
          </w:p>
        </w:tc>
      </w:tr>
      <w:tr w:rsidR="00000000" w14:paraId="634E0E42" w14:textId="77777777">
        <w:trPr>
          <w:divId w:val="1868330845"/>
        </w:trPr>
        <w:tc>
          <w:tcPr>
            <w:tcW w:w="0" w:type="auto"/>
            <w:gridSpan w:val="3"/>
            <w:vAlign w:val="center"/>
            <w:hideMark/>
          </w:tcPr>
          <w:p w14:paraId="2FF94E43" w14:textId="77777777" w:rsidR="00000000" w:rsidRDefault="00405D16">
            <w:pPr>
              <w:spacing w:after="100"/>
              <w:rPr>
                <w:rFonts w:eastAsia="Times New Roman"/>
                <w:sz w:val="20"/>
                <w:szCs w:val="20"/>
              </w:rPr>
            </w:pPr>
          </w:p>
        </w:tc>
        <w:tc>
          <w:tcPr>
            <w:tcW w:w="0" w:type="auto"/>
            <w:gridSpan w:val="3"/>
            <w:vAlign w:val="center"/>
            <w:hideMark/>
          </w:tcPr>
          <w:p w14:paraId="0A3C1C23" w14:textId="77777777" w:rsidR="00000000" w:rsidRDefault="00405D16">
            <w:pPr>
              <w:spacing w:after="100"/>
              <w:rPr>
                <w:rFonts w:eastAsia="Times New Roman"/>
                <w:sz w:val="20"/>
                <w:szCs w:val="20"/>
              </w:rPr>
            </w:pPr>
          </w:p>
        </w:tc>
        <w:tc>
          <w:tcPr>
            <w:tcW w:w="0" w:type="auto"/>
            <w:gridSpan w:val="3"/>
            <w:vAlign w:val="center"/>
            <w:hideMark/>
          </w:tcPr>
          <w:p w14:paraId="3F101C3E" w14:textId="77777777" w:rsidR="00000000" w:rsidRDefault="00405D16">
            <w:pPr>
              <w:spacing w:after="100"/>
              <w:rPr>
                <w:rFonts w:eastAsia="Times New Roman"/>
                <w:sz w:val="20"/>
                <w:szCs w:val="20"/>
              </w:rPr>
            </w:pPr>
          </w:p>
        </w:tc>
        <w:tc>
          <w:tcPr>
            <w:tcW w:w="0" w:type="auto"/>
            <w:gridSpan w:val="3"/>
            <w:vAlign w:val="center"/>
            <w:hideMark/>
          </w:tcPr>
          <w:p w14:paraId="681852D5" w14:textId="77777777" w:rsidR="00000000" w:rsidRDefault="00405D16">
            <w:pPr>
              <w:spacing w:after="100"/>
              <w:rPr>
                <w:rFonts w:eastAsia="Times New Roman"/>
                <w:sz w:val="20"/>
                <w:szCs w:val="20"/>
              </w:rPr>
            </w:pPr>
          </w:p>
        </w:tc>
        <w:tc>
          <w:tcPr>
            <w:tcW w:w="0" w:type="auto"/>
            <w:gridSpan w:val="3"/>
            <w:vAlign w:val="center"/>
            <w:hideMark/>
          </w:tcPr>
          <w:p w14:paraId="082EAD31" w14:textId="77777777" w:rsidR="00000000" w:rsidRDefault="00405D16">
            <w:pPr>
              <w:spacing w:after="100"/>
              <w:rPr>
                <w:rFonts w:eastAsia="Times New Roman"/>
                <w:sz w:val="20"/>
                <w:szCs w:val="20"/>
              </w:rPr>
            </w:pPr>
          </w:p>
        </w:tc>
        <w:tc>
          <w:tcPr>
            <w:tcW w:w="0" w:type="auto"/>
            <w:gridSpan w:val="3"/>
            <w:vAlign w:val="center"/>
            <w:hideMark/>
          </w:tcPr>
          <w:p w14:paraId="01B6F54A" w14:textId="77777777" w:rsidR="00000000" w:rsidRDefault="00405D16">
            <w:pPr>
              <w:spacing w:after="100"/>
              <w:rPr>
                <w:rFonts w:eastAsia="Times New Roman"/>
                <w:sz w:val="20"/>
                <w:szCs w:val="20"/>
              </w:rPr>
            </w:pPr>
          </w:p>
        </w:tc>
        <w:tc>
          <w:tcPr>
            <w:tcW w:w="0" w:type="auto"/>
            <w:gridSpan w:val="3"/>
            <w:vAlign w:val="center"/>
            <w:hideMark/>
          </w:tcPr>
          <w:p w14:paraId="62ECCC1B" w14:textId="77777777" w:rsidR="00000000" w:rsidRDefault="00405D16">
            <w:pPr>
              <w:spacing w:after="100"/>
              <w:rPr>
                <w:rFonts w:eastAsia="Times New Roman"/>
                <w:sz w:val="20"/>
                <w:szCs w:val="20"/>
              </w:rPr>
            </w:pPr>
          </w:p>
        </w:tc>
        <w:tc>
          <w:tcPr>
            <w:tcW w:w="0" w:type="auto"/>
            <w:gridSpan w:val="3"/>
            <w:vAlign w:val="center"/>
            <w:hideMark/>
          </w:tcPr>
          <w:p w14:paraId="315F18CE" w14:textId="77777777" w:rsidR="00000000" w:rsidRDefault="00405D16">
            <w:pPr>
              <w:spacing w:after="100"/>
              <w:rPr>
                <w:rFonts w:eastAsia="Times New Roman"/>
                <w:sz w:val="20"/>
                <w:szCs w:val="20"/>
              </w:rPr>
            </w:pPr>
          </w:p>
        </w:tc>
        <w:tc>
          <w:tcPr>
            <w:tcW w:w="0" w:type="auto"/>
            <w:gridSpan w:val="3"/>
            <w:vAlign w:val="center"/>
            <w:hideMark/>
          </w:tcPr>
          <w:p w14:paraId="28475E05" w14:textId="77777777" w:rsidR="00000000" w:rsidRDefault="00405D16">
            <w:pPr>
              <w:spacing w:after="100"/>
              <w:rPr>
                <w:rFonts w:eastAsia="Times New Roman"/>
                <w:sz w:val="20"/>
                <w:szCs w:val="20"/>
              </w:rPr>
            </w:pPr>
          </w:p>
        </w:tc>
        <w:tc>
          <w:tcPr>
            <w:tcW w:w="0" w:type="auto"/>
            <w:gridSpan w:val="3"/>
            <w:vAlign w:val="center"/>
            <w:hideMark/>
          </w:tcPr>
          <w:p w14:paraId="54EEAEB8" w14:textId="77777777" w:rsidR="00000000" w:rsidRDefault="00405D16">
            <w:pPr>
              <w:spacing w:after="100"/>
              <w:rPr>
                <w:rFonts w:eastAsia="Times New Roman"/>
                <w:sz w:val="20"/>
                <w:szCs w:val="20"/>
              </w:rPr>
            </w:pPr>
          </w:p>
        </w:tc>
        <w:tc>
          <w:tcPr>
            <w:tcW w:w="0" w:type="auto"/>
            <w:gridSpan w:val="3"/>
            <w:vAlign w:val="center"/>
            <w:hideMark/>
          </w:tcPr>
          <w:p w14:paraId="63B1BEEE" w14:textId="77777777" w:rsidR="00000000" w:rsidRDefault="00405D16">
            <w:pPr>
              <w:spacing w:after="100"/>
              <w:rPr>
                <w:rFonts w:eastAsia="Times New Roman"/>
                <w:sz w:val="20"/>
                <w:szCs w:val="20"/>
              </w:rPr>
            </w:pPr>
          </w:p>
        </w:tc>
        <w:tc>
          <w:tcPr>
            <w:tcW w:w="0" w:type="auto"/>
            <w:gridSpan w:val="3"/>
            <w:vAlign w:val="center"/>
            <w:hideMark/>
          </w:tcPr>
          <w:p w14:paraId="34F6947E" w14:textId="77777777" w:rsidR="00000000" w:rsidRDefault="00405D16">
            <w:pPr>
              <w:spacing w:after="100"/>
              <w:rPr>
                <w:rFonts w:eastAsia="Times New Roman"/>
                <w:sz w:val="20"/>
                <w:szCs w:val="20"/>
              </w:rPr>
            </w:pPr>
          </w:p>
        </w:tc>
        <w:tc>
          <w:tcPr>
            <w:tcW w:w="0" w:type="auto"/>
            <w:gridSpan w:val="3"/>
            <w:vAlign w:val="center"/>
            <w:hideMark/>
          </w:tcPr>
          <w:p w14:paraId="72AB6C0E" w14:textId="77777777" w:rsidR="00000000" w:rsidRDefault="00405D16">
            <w:pPr>
              <w:spacing w:after="100"/>
              <w:rPr>
                <w:rFonts w:eastAsia="Times New Roman"/>
                <w:sz w:val="20"/>
                <w:szCs w:val="20"/>
              </w:rPr>
            </w:pPr>
          </w:p>
        </w:tc>
        <w:tc>
          <w:tcPr>
            <w:tcW w:w="0" w:type="auto"/>
            <w:gridSpan w:val="3"/>
            <w:vAlign w:val="center"/>
            <w:hideMark/>
          </w:tcPr>
          <w:p w14:paraId="355D3D76" w14:textId="77777777" w:rsidR="00000000" w:rsidRDefault="00405D16">
            <w:pPr>
              <w:spacing w:after="100"/>
              <w:rPr>
                <w:rFonts w:eastAsia="Times New Roman"/>
                <w:sz w:val="20"/>
                <w:szCs w:val="20"/>
              </w:rPr>
            </w:pPr>
          </w:p>
        </w:tc>
        <w:tc>
          <w:tcPr>
            <w:tcW w:w="0" w:type="auto"/>
            <w:gridSpan w:val="3"/>
            <w:vAlign w:val="center"/>
            <w:hideMark/>
          </w:tcPr>
          <w:p w14:paraId="550BB2C1" w14:textId="77777777" w:rsidR="00000000" w:rsidRDefault="00405D16">
            <w:pPr>
              <w:spacing w:after="100"/>
              <w:rPr>
                <w:rFonts w:eastAsia="Times New Roman"/>
                <w:sz w:val="20"/>
                <w:szCs w:val="20"/>
              </w:rPr>
            </w:pPr>
          </w:p>
        </w:tc>
        <w:tc>
          <w:tcPr>
            <w:tcW w:w="0" w:type="auto"/>
            <w:gridSpan w:val="3"/>
            <w:vAlign w:val="center"/>
            <w:hideMark/>
          </w:tcPr>
          <w:p w14:paraId="3CD57C9E" w14:textId="77777777" w:rsidR="00000000" w:rsidRDefault="00405D16">
            <w:pPr>
              <w:spacing w:after="100"/>
              <w:rPr>
                <w:rFonts w:eastAsia="Times New Roman"/>
                <w:sz w:val="20"/>
                <w:szCs w:val="20"/>
              </w:rPr>
            </w:pPr>
          </w:p>
        </w:tc>
        <w:tc>
          <w:tcPr>
            <w:tcW w:w="0" w:type="auto"/>
            <w:gridSpan w:val="3"/>
            <w:vAlign w:val="center"/>
            <w:hideMark/>
          </w:tcPr>
          <w:p w14:paraId="651A7F74" w14:textId="77777777" w:rsidR="00000000" w:rsidRDefault="00405D16">
            <w:pPr>
              <w:spacing w:after="100"/>
              <w:rPr>
                <w:rFonts w:eastAsia="Times New Roman"/>
                <w:sz w:val="20"/>
                <w:szCs w:val="20"/>
              </w:rPr>
            </w:pPr>
          </w:p>
        </w:tc>
        <w:tc>
          <w:tcPr>
            <w:tcW w:w="0" w:type="auto"/>
            <w:gridSpan w:val="3"/>
            <w:vAlign w:val="center"/>
            <w:hideMark/>
          </w:tcPr>
          <w:p w14:paraId="44987EF9" w14:textId="77777777" w:rsidR="00000000" w:rsidRDefault="00405D16">
            <w:pPr>
              <w:spacing w:after="100"/>
              <w:rPr>
                <w:rFonts w:eastAsia="Times New Roman"/>
                <w:sz w:val="20"/>
                <w:szCs w:val="20"/>
              </w:rPr>
            </w:pPr>
          </w:p>
        </w:tc>
        <w:tc>
          <w:tcPr>
            <w:tcW w:w="0" w:type="auto"/>
            <w:gridSpan w:val="3"/>
            <w:vAlign w:val="center"/>
            <w:hideMark/>
          </w:tcPr>
          <w:p w14:paraId="294BFDA3" w14:textId="77777777" w:rsidR="00000000" w:rsidRDefault="00405D16">
            <w:pPr>
              <w:spacing w:after="100"/>
              <w:rPr>
                <w:rFonts w:eastAsia="Times New Roman"/>
                <w:sz w:val="20"/>
                <w:szCs w:val="20"/>
              </w:rPr>
            </w:pPr>
          </w:p>
        </w:tc>
      </w:tr>
      <w:tr w:rsidR="00000000" w14:paraId="206784A3" w14:textId="77777777">
        <w:trPr>
          <w:divId w:val="1868330845"/>
        </w:trPr>
        <w:tc>
          <w:tcPr>
            <w:tcW w:w="0" w:type="auto"/>
            <w:gridSpan w:val="3"/>
            <w:vAlign w:val="center"/>
            <w:hideMark/>
          </w:tcPr>
          <w:p w14:paraId="4485F515" w14:textId="77777777" w:rsidR="00000000" w:rsidRDefault="00405D16">
            <w:pPr>
              <w:spacing w:after="100"/>
              <w:rPr>
                <w:rFonts w:eastAsia="Times New Roman"/>
                <w:sz w:val="20"/>
                <w:szCs w:val="20"/>
              </w:rPr>
            </w:pPr>
          </w:p>
        </w:tc>
        <w:tc>
          <w:tcPr>
            <w:tcW w:w="0" w:type="auto"/>
            <w:gridSpan w:val="3"/>
            <w:vAlign w:val="center"/>
            <w:hideMark/>
          </w:tcPr>
          <w:p w14:paraId="6218112D" w14:textId="77777777" w:rsidR="00000000" w:rsidRDefault="00405D16">
            <w:pPr>
              <w:spacing w:after="100"/>
              <w:rPr>
                <w:rFonts w:eastAsia="Times New Roman"/>
                <w:sz w:val="20"/>
                <w:szCs w:val="20"/>
              </w:rPr>
            </w:pPr>
          </w:p>
        </w:tc>
        <w:tc>
          <w:tcPr>
            <w:tcW w:w="0" w:type="auto"/>
            <w:gridSpan w:val="3"/>
            <w:vAlign w:val="center"/>
            <w:hideMark/>
          </w:tcPr>
          <w:p w14:paraId="5057D06D" w14:textId="77777777" w:rsidR="00000000" w:rsidRDefault="00405D16">
            <w:pPr>
              <w:spacing w:after="100"/>
              <w:rPr>
                <w:rFonts w:eastAsia="Times New Roman"/>
                <w:sz w:val="20"/>
                <w:szCs w:val="20"/>
              </w:rPr>
            </w:pPr>
          </w:p>
        </w:tc>
        <w:tc>
          <w:tcPr>
            <w:tcW w:w="0" w:type="auto"/>
            <w:gridSpan w:val="3"/>
            <w:vAlign w:val="center"/>
            <w:hideMark/>
          </w:tcPr>
          <w:p w14:paraId="53E3C0B6" w14:textId="77777777" w:rsidR="00000000" w:rsidRDefault="00405D16">
            <w:pPr>
              <w:spacing w:after="100"/>
              <w:rPr>
                <w:rFonts w:eastAsia="Times New Roman"/>
                <w:sz w:val="20"/>
                <w:szCs w:val="20"/>
              </w:rPr>
            </w:pPr>
          </w:p>
        </w:tc>
        <w:tc>
          <w:tcPr>
            <w:tcW w:w="0" w:type="auto"/>
            <w:gridSpan w:val="3"/>
            <w:vAlign w:val="center"/>
            <w:hideMark/>
          </w:tcPr>
          <w:p w14:paraId="6364DB29" w14:textId="77777777" w:rsidR="00000000" w:rsidRDefault="00405D16">
            <w:pPr>
              <w:spacing w:after="100"/>
              <w:rPr>
                <w:rFonts w:eastAsia="Times New Roman"/>
                <w:sz w:val="20"/>
                <w:szCs w:val="20"/>
              </w:rPr>
            </w:pPr>
          </w:p>
        </w:tc>
        <w:tc>
          <w:tcPr>
            <w:tcW w:w="0" w:type="auto"/>
            <w:gridSpan w:val="3"/>
            <w:vAlign w:val="center"/>
            <w:hideMark/>
          </w:tcPr>
          <w:p w14:paraId="2F3893F4" w14:textId="77777777" w:rsidR="00000000" w:rsidRDefault="00405D16">
            <w:pPr>
              <w:spacing w:after="100"/>
              <w:rPr>
                <w:rFonts w:eastAsia="Times New Roman"/>
                <w:sz w:val="20"/>
                <w:szCs w:val="20"/>
              </w:rPr>
            </w:pPr>
          </w:p>
        </w:tc>
        <w:tc>
          <w:tcPr>
            <w:tcW w:w="0" w:type="auto"/>
            <w:gridSpan w:val="3"/>
            <w:vAlign w:val="center"/>
            <w:hideMark/>
          </w:tcPr>
          <w:p w14:paraId="2890CC3D" w14:textId="77777777" w:rsidR="00000000" w:rsidRDefault="00405D16">
            <w:pPr>
              <w:spacing w:after="100"/>
              <w:rPr>
                <w:rFonts w:eastAsia="Times New Roman"/>
                <w:sz w:val="20"/>
                <w:szCs w:val="20"/>
              </w:rPr>
            </w:pPr>
          </w:p>
        </w:tc>
        <w:tc>
          <w:tcPr>
            <w:tcW w:w="0" w:type="auto"/>
            <w:gridSpan w:val="3"/>
            <w:vAlign w:val="center"/>
            <w:hideMark/>
          </w:tcPr>
          <w:p w14:paraId="55F7F668" w14:textId="77777777" w:rsidR="00000000" w:rsidRDefault="00405D16">
            <w:pPr>
              <w:spacing w:after="100"/>
              <w:rPr>
                <w:rFonts w:eastAsia="Times New Roman"/>
                <w:sz w:val="20"/>
                <w:szCs w:val="20"/>
              </w:rPr>
            </w:pPr>
          </w:p>
        </w:tc>
        <w:tc>
          <w:tcPr>
            <w:tcW w:w="0" w:type="auto"/>
            <w:gridSpan w:val="3"/>
            <w:vAlign w:val="center"/>
            <w:hideMark/>
          </w:tcPr>
          <w:p w14:paraId="24B4E11B" w14:textId="77777777" w:rsidR="00000000" w:rsidRDefault="00405D16">
            <w:pPr>
              <w:spacing w:after="100"/>
              <w:rPr>
                <w:rFonts w:eastAsia="Times New Roman"/>
                <w:sz w:val="20"/>
                <w:szCs w:val="20"/>
              </w:rPr>
            </w:pPr>
          </w:p>
        </w:tc>
        <w:tc>
          <w:tcPr>
            <w:tcW w:w="0" w:type="auto"/>
            <w:gridSpan w:val="3"/>
            <w:vAlign w:val="center"/>
            <w:hideMark/>
          </w:tcPr>
          <w:p w14:paraId="4A2C7CCF" w14:textId="77777777" w:rsidR="00000000" w:rsidRDefault="00405D16">
            <w:pPr>
              <w:spacing w:after="100"/>
              <w:rPr>
                <w:rFonts w:eastAsia="Times New Roman"/>
                <w:sz w:val="20"/>
                <w:szCs w:val="20"/>
              </w:rPr>
            </w:pPr>
          </w:p>
        </w:tc>
        <w:tc>
          <w:tcPr>
            <w:tcW w:w="0" w:type="auto"/>
            <w:gridSpan w:val="3"/>
            <w:vAlign w:val="center"/>
            <w:hideMark/>
          </w:tcPr>
          <w:p w14:paraId="27BCED4A" w14:textId="77777777" w:rsidR="00000000" w:rsidRDefault="00405D16">
            <w:pPr>
              <w:spacing w:after="100"/>
              <w:rPr>
                <w:rFonts w:eastAsia="Times New Roman"/>
                <w:sz w:val="20"/>
                <w:szCs w:val="20"/>
              </w:rPr>
            </w:pPr>
          </w:p>
        </w:tc>
        <w:tc>
          <w:tcPr>
            <w:tcW w:w="0" w:type="auto"/>
            <w:gridSpan w:val="3"/>
            <w:vAlign w:val="center"/>
            <w:hideMark/>
          </w:tcPr>
          <w:p w14:paraId="15E7EC6E" w14:textId="77777777" w:rsidR="00000000" w:rsidRDefault="00405D16">
            <w:pPr>
              <w:spacing w:after="100"/>
              <w:rPr>
                <w:rFonts w:eastAsia="Times New Roman"/>
                <w:sz w:val="20"/>
                <w:szCs w:val="20"/>
              </w:rPr>
            </w:pPr>
          </w:p>
        </w:tc>
        <w:tc>
          <w:tcPr>
            <w:tcW w:w="0" w:type="auto"/>
            <w:gridSpan w:val="3"/>
            <w:vAlign w:val="center"/>
            <w:hideMark/>
          </w:tcPr>
          <w:p w14:paraId="7D65E271" w14:textId="77777777" w:rsidR="00000000" w:rsidRDefault="00405D16">
            <w:pPr>
              <w:spacing w:after="100"/>
              <w:rPr>
                <w:rFonts w:eastAsia="Times New Roman"/>
                <w:sz w:val="20"/>
                <w:szCs w:val="20"/>
              </w:rPr>
            </w:pPr>
          </w:p>
        </w:tc>
        <w:tc>
          <w:tcPr>
            <w:tcW w:w="0" w:type="auto"/>
            <w:gridSpan w:val="3"/>
            <w:vAlign w:val="center"/>
            <w:hideMark/>
          </w:tcPr>
          <w:p w14:paraId="48AD08E1" w14:textId="77777777" w:rsidR="00000000" w:rsidRDefault="00405D16">
            <w:pPr>
              <w:spacing w:after="100"/>
              <w:rPr>
                <w:rFonts w:eastAsia="Times New Roman"/>
                <w:sz w:val="20"/>
                <w:szCs w:val="20"/>
              </w:rPr>
            </w:pPr>
          </w:p>
        </w:tc>
        <w:tc>
          <w:tcPr>
            <w:tcW w:w="0" w:type="auto"/>
            <w:gridSpan w:val="3"/>
            <w:vAlign w:val="center"/>
            <w:hideMark/>
          </w:tcPr>
          <w:p w14:paraId="313A7515" w14:textId="77777777" w:rsidR="00000000" w:rsidRDefault="00405D16">
            <w:pPr>
              <w:spacing w:after="100"/>
              <w:rPr>
                <w:rFonts w:eastAsia="Times New Roman"/>
                <w:sz w:val="20"/>
                <w:szCs w:val="20"/>
              </w:rPr>
            </w:pPr>
          </w:p>
        </w:tc>
        <w:tc>
          <w:tcPr>
            <w:tcW w:w="0" w:type="auto"/>
            <w:gridSpan w:val="3"/>
            <w:vAlign w:val="center"/>
            <w:hideMark/>
          </w:tcPr>
          <w:p w14:paraId="2AAA7C33" w14:textId="77777777" w:rsidR="00000000" w:rsidRDefault="00405D16">
            <w:pPr>
              <w:spacing w:after="100"/>
              <w:rPr>
                <w:rFonts w:eastAsia="Times New Roman"/>
                <w:sz w:val="20"/>
                <w:szCs w:val="20"/>
              </w:rPr>
            </w:pPr>
          </w:p>
        </w:tc>
        <w:tc>
          <w:tcPr>
            <w:tcW w:w="0" w:type="auto"/>
            <w:gridSpan w:val="3"/>
            <w:vAlign w:val="center"/>
            <w:hideMark/>
          </w:tcPr>
          <w:p w14:paraId="696B74A3" w14:textId="77777777" w:rsidR="00000000" w:rsidRDefault="00405D16">
            <w:pPr>
              <w:spacing w:after="100"/>
              <w:rPr>
                <w:rFonts w:eastAsia="Times New Roman"/>
                <w:sz w:val="20"/>
                <w:szCs w:val="20"/>
              </w:rPr>
            </w:pPr>
          </w:p>
        </w:tc>
        <w:tc>
          <w:tcPr>
            <w:tcW w:w="0" w:type="auto"/>
            <w:gridSpan w:val="3"/>
            <w:vAlign w:val="center"/>
            <w:hideMark/>
          </w:tcPr>
          <w:p w14:paraId="5A666F53" w14:textId="77777777" w:rsidR="00000000" w:rsidRDefault="00405D16">
            <w:pPr>
              <w:spacing w:after="100"/>
              <w:rPr>
                <w:rFonts w:eastAsia="Times New Roman"/>
                <w:sz w:val="20"/>
                <w:szCs w:val="20"/>
              </w:rPr>
            </w:pPr>
          </w:p>
        </w:tc>
        <w:tc>
          <w:tcPr>
            <w:tcW w:w="0" w:type="auto"/>
            <w:gridSpan w:val="3"/>
            <w:vAlign w:val="center"/>
            <w:hideMark/>
          </w:tcPr>
          <w:p w14:paraId="26C9A263" w14:textId="77777777" w:rsidR="00000000" w:rsidRDefault="00405D16">
            <w:pPr>
              <w:spacing w:after="100"/>
              <w:rPr>
                <w:rFonts w:eastAsia="Times New Roman"/>
                <w:sz w:val="20"/>
                <w:szCs w:val="20"/>
              </w:rPr>
            </w:pPr>
          </w:p>
        </w:tc>
      </w:tr>
      <w:tr w:rsidR="00000000" w14:paraId="37433731" w14:textId="77777777">
        <w:trPr>
          <w:divId w:val="1868330845"/>
        </w:trPr>
        <w:tc>
          <w:tcPr>
            <w:tcW w:w="0" w:type="auto"/>
            <w:gridSpan w:val="3"/>
            <w:vAlign w:val="center"/>
            <w:hideMark/>
          </w:tcPr>
          <w:p w14:paraId="3E581E6F" w14:textId="77777777" w:rsidR="00000000" w:rsidRDefault="00405D16">
            <w:pPr>
              <w:spacing w:after="100"/>
              <w:rPr>
                <w:rFonts w:eastAsia="Times New Roman"/>
                <w:sz w:val="20"/>
                <w:szCs w:val="20"/>
              </w:rPr>
            </w:pPr>
          </w:p>
        </w:tc>
        <w:tc>
          <w:tcPr>
            <w:tcW w:w="0" w:type="auto"/>
            <w:gridSpan w:val="3"/>
            <w:vAlign w:val="center"/>
            <w:hideMark/>
          </w:tcPr>
          <w:p w14:paraId="55944B29" w14:textId="77777777" w:rsidR="00000000" w:rsidRDefault="00405D16">
            <w:pPr>
              <w:spacing w:after="100"/>
              <w:rPr>
                <w:rFonts w:eastAsia="Times New Roman"/>
                <w:sz w:val="20"/>
                <w:szCs w:val="20"/>
              </w:rPr>
            </w:pPr>
          </w:p>
        </w:tc>
        <w:tc>
          <w:tcPr>
            <w:tcW w:w="0" w:type="auto"/>
            <w:gridSpan w:val="3"/>
            <w:vAlign w:val="center"/>
            <w:hideMark/>
          </w:tcPr>
          <w:p w14:paraId="35143EA2" w14:textId="77777777" w:rsidR="00000000" w:rsidRDefault="00405D16">
            <w:pPr>
              <w:spacing w:after="100"/>
              <w:rPr>
                <w:rFonts w:eastAsia="Times New Roman"/>
                <w:sz w:val="20"/>
                <w:szCs w:val="20"/>
              </w:rPr>
            </w:pPr>
          </w:p>
        </w:tc>
        <w:tc>
          <w:tcPr>
            <w:tcW w:w="0" w:type="auto"/>
            <w:gridSpan w:val="3"/>
            <w:vAlign w:val="center"/>
            <w:hideMark/>
          </w:tcPr>
          <w:p w14:paraId="64B3A56A" w14:textId="77777777" w:rsidR="00000000" w:rsidRDefault="00405D16">
            <w:pPr>
              <w:spacing w:after="100"/>
              <w:rPr>
                <w:rFonts w:eastAsia="Times New Roman"/>
                <w:sz w:val="20"/>
                <w:szCs w:val="20"/>
              </w:rPr>
            </w:pPr>
          </w:p>
        </w:tc>
        <w:tc>
          <w:tcPr>
            <w:tcW w:w="0" w:type="auto"/>
            <w:gridSpan w:val="3"/>
            <w:vAlign w:val="center"/>
            <w:hideMark/>
          </w:tcPr>
          <w:p w14:paraId="5ADDC82B" w14:textId="77777777" w:rsidR="00000000" w:rsidRDefault="00405D16">
            <w:pPr>
              <w:spacing w:after="100"/>
              <w:rPr>
                <w:rFonts w:eastAsia="Times New Roman"/>
                <w:sz w:val="20"/>
                <w:szCs w:val="20"/>
              </w:rPr>
            </w:pPr>
          </w:p>
        </w:tc>
        <w:tc>
          <w:tcPr>
            <w:tcW w:w="0" w:type="auto"/>
            <w:gridSpan w:val="3"/>
            <w:vAlign w:val="center"/>
            <w:hideMark/>
          </w:tcPr>
          <w:p w14:paraId="095512B5" w14:textId="77777777" w:rsidR="00000000" w:rsidRDefault="00405D16">
            <w:pPr>
              <w:spacing w:after="100"/>
              <w:rPr>
                <w:rFonts w:eastAsia="Times New Roman"/>
                <w:sz w:val="20"/>
                <w:szCs w:val="20"/>
              </w:rPr>
            </w:pPr>
          </w:p>
        </w:tc>
        <w:tc>
          <w:tcPr>
            <w:tcW w:w="0" w:type="auto"/>
            <w:gridSpan w:val="3"/>
            <w:vAlign w:val="center"/>
            <w:hideMark/>
          </w:tcPr>
          <w:p w14:paraId="1FBB719D" w14:textId="77777777" w:rsidR="00000000" w:rsidRDefault="00405D16">
            <w:pPr>
              <w:spacing w:after="100"/>
              <w:rPr>
                <w:rFonts w:eastAsia="Times New Roman"/>
                <w:sz w:val="20"/>
                <w:szCs w:val="20"/>
              </w:rPr>
            </w:pPr>
          </w:p>
        </w:tc>
        <w:tc>
          <w:tcPr>
            <w:tcW w:w="0" w:type="auto"/>
            <w:gridSpan w:val="3"/>
            <w:vAlign w:val="center"/>
            <w:hideMark/>
          </w:tcPr>
          <w:p w14:paraId="75024EED" w14:textId="77777777" w:rsidR="00000000" w:rsidRDefault="00405D16">
            <w:pPr>
              <w:spacing w:after="100"/>
              <w:rPr>
                <w:rFonts w:eastAsia="Times New Roman"/>
                <w:sz w:val="20"/>
                <w:szCs w:val="20"/>
              </w:rPr>
            </w:pPr>
          </w:p>
        </w:tc>
        <w:tc>
          <w:tcPr>
            <w:tcW w:w="0" w:type="auto"/>
            <w:gridSpan w:val="3"/>
            <w:vAlign w:val="center"/>
            <w:hideMark/>
          </w:tcPr>
          <w:p w14:paraId="749AD175" w14:textId="77777777" w:rsidR="00000000" w:rsidRDefault="00405D16">
            <w:pPr>
              <w:spacing w:after="100"/>
              <w:rPr>
                <w:rFonts w:eastAsia="Times New Roman"/>
                <w:sz w:val="20"/>
                <w:szCs w:val="20"/>
              </w:rPr>
            </w:pPr>
          </w:p>
        </w:tc>
        <w:tc>
          <w:tcPr>
            <w:tcW w:w="0" w:type="auto"/>
            <w:gridSpan w:val="3"/>
            <w:vAlign w:val="center"/>
            <w:hideMark/>
          </w:tcPr>
          <w:p w14:paraId="72625CFA" w14:textId="77777777" w:rsidR="00000000" w:rsidRDefault="00405D16">
            <w:pPr>
              <w:spacing w:after="100"/>
              <w:rPr>
                <w:rFonts w:eastAsia="Times New Roman"/>
                <w:sz w:val="20"/>
                <w:szCs w:val="20"/>
              </w:rPr>
            </w:pPr>
          </w:p>
        </w:tc>
        <w:tc>
          <w:tcPr>
            <w:tcW w:w="0" w:type="auto"/>
            <w:gridSpan w:val="3"/>
            <w:vAlign w:val="center"/>
            <w:hideMark/>
          </w:tcPr>
          <w:p w14:paraId="4295DD2E" w14:textId="77777777" w:rsidR="00000000" w:rsidRDefault="00405D16">
            <w:pPr>
              <w:spacing w:after="100"/>
              <w:rPr>
                <w:rFonts w:eastAsia="Times New Roman"/>
                <w:sz w:val="20"/>
                <w:szCs w:val="20"/>
              </w:rPr>
            </w:pPr>
          </w:p>
        </w:tc>
        <w:tc>
          <w:tcPr>
            <w:tcW w:w="0" w:type="auto"/>
            <w:gridSpan w:val="3"/>
            <w:vAlign w:val="center"/>
            <w:hideMark/>
          </w:tcPr>
          <w:p w14:paraId="0A52F904" w14:textId="77777777" w:rsidR="00000000" w:rsidRDefault="00405D16">
            <w:pPr>
              <w:spacing w:after="100"/>
              <w:rPr>
                <w:rFonts w:eastAsia="Times New Roman"/>
                <w:sz w:val="20"/>
                <w:szCs w:val="20"/>
              </w:rPr>
            </w:pPr>
          </w:p>
        </w:tc>
        <w:tc>
          <w:tcPr>
            <w:tcW w:w="0" w:type="auto"/>
            <w:gridSpan w:val="3"/>
            <w:vAlign w:val="center"/>
            <w:hideMark/>
          </w:tcPr>
          <w:p w14:paraId="2C27D6FC" w14:textId="77777777" w:rsidR="00000000" w:rsidRDefault="00405D16">
            <w:pPr>
              <w:spacing w:after="100"/>
              <w:rPr>
                <w:rFonts w:eastAsia="Times New Roman"/>
                <w:sz w:val="20"/>
                <w:szCs w:val="20"/>
              </w:rPr>
            </w:pPr>
          </w:p>
        </w:tc>
        <w:tc>
          <w:tcPr>
            <w:tcW w:w="0" w:type="auto"/>
            <w:gridSpan w:val="3"/>
            <w:vAlign w:val="center"/>
            <w:hideMark/>
          </w:tcPr>
          <w:p w14:paraId="0F6F54CC" w14:textId="77777777" w:rsidR="00000000" w:rsidRDefault="00405D16">
            <w:pPr>
              <w:spacing w:after="100"/>
              <w:rPr>
                <w:rFonts w:eastAsia="Times New Roman"/>
                <w:sz w:val="20"/>
                <w:szCs w:val="20"/>
              </w:rPr>
            </w:pPr>
          </w:p>
        </w:tc>
        <w:tc>
          <w:tcPr>
            <w:tcW w:w="0" w:type="auto"/>
            <w:gridSpan w:val="3"/>
            <w:vAlign w:val="center"/>
            <w:hideMark/>
          </w:tcPr>
          <w:p w14:paraId="3D14C205" w14:textId="77777777" w:rsidR="00000000" w:rsidRDefault="00405D16">
            <w:pPr>
              <w:spacing w:after="100"/>
              <w:rPr>
                <w:rFonts w:eastAsia="Times New Roman"/>
                <w:sz w:val="20"/>
                <w:szCs w:val="20"/>
              </w:rPr>
            </w:pPr>
          </w:p>
        </w:tc>
        <w:tc>
          <w:tcPr>
            <w:tcW w:w="0" w:type="auto"/>
            <w:gridSpan w:val="3"/>
            <w:vAlign w:val="center"/>
            <w:hideMark/>
          </w:tcPr>
          <w:p w14:paraId="6063FE39" w14:textId="77777777" w:rsidR="00000000" w:rsidRDefault="00405D16">
            <w:pPr>
              <w:spacing w:after="100"/>
              <w:rPr>
                <w:rFonts w:eastAsia="Times New Roman"/>
                <w:sz w:val="20"/>
                <w:szCs w:val="20"/>
              </w:rPr>
            </w:pPr>
          </w:p>
        </w:tc>
        <w:tc>
          <w:tcPr>
            <w:tcW w:w="0" w:type="auto"/>
            <w:gridSpan w:val="3"/>
            <w:vAlign w:val="center"/>
            <w:hideMark/>
          </w:tcPr>
          <w:p w14:paraId="771CCAB0" w14:textId="77777777" w:rsidR="00000000" w:rsidRDefault="00405D16">
            <w:pPr>
              <w:spacing w:after="100"/>
              <w:rPr>
                <w:rFonts w:eastAsia="Times New Roman"/>
                <w:sz w:val="20"/>
                <w:szCs w:val="20"/>
              </w:rPr>
            </w:pPr>
          </w:p>
        </w:tc>
        <w:tc>
          <w:tcPr>
            <w:tcW w:w="0" w:type="auto"/>
            <w:gridSpan w:val="3"/>
            <w:vAlign w:val="center"/>
            <w:hideMark/>
          </w:tcPr>
          <w:p w14:paraId="2698B70D" w14:textId="77777777" w:rsidR="00000000" w:rsidRDefault="00405D16">
            <w:pPr>
              <w:spacing w:after="100"/>
              <w:rPr>
                <w:rFonts w:eastAsia="Times New Roman"/>
                <w:sz w:val="20"/>
                <w:szCs w:val="20"/>
              </w:rPr>
            </w:pPr>
          </w:p>
        </w:tc>
        <w:tc>
          <w:tcPr>
            <w:tcW w:w="0" w:type="auto"/>
            <w:gridSpan w:val="3"/>
            <w:vAlign w:val="center"/>
            <w:hideMark/>
          </w:tcPr>
          <w:p w14:paraId="4BB343F7" w14:textId="77777777" w:rsidR="00000000" w:rsidRDefault="00405D16">
            <w:pPr>
              <w:spacing w:after="100"/>
              <w:rPr>
                <w:rFonts w:eastAsia="Times New Roman"/>
                <w:sz w:val="20"/>
                <w:szCs w:val="20"/>
              </w:rPr>
            </w:pPr>
          </w:p>
        </w:tc>
      </w:tr>
    </w:tbl>
    <w:tbl>
      <w:tblPr>
        <w:tblW w:w="4978" w:type="pct"/>
        <w:tblCellMar>
          <w:top w:w="15" w:type="dxa"/>
          <w:left w:w="15" w:type="dxa"/>
          <w:bottom w:w="15" w:type="dxa"/>
          <w:right w:w="15" w:type="dxa"/>
        </w:tblCellMar>
        <w:tblLook w:val="04A0" w:firstRow="1" w:lastRow="0" w:firstColumn="1" w:lastColumn="0" w:noHBand="0" w:noVBand="1"/>
      </w:tblPr>
      <w:tblGrid>
        <w:gridCol w:w="144"/>
        <w:gridCol w:w="1814"/>
        <w:gridCol w:w="144"/>
        <w:gridCol w:w="144"/>
        <w:gridCol w:w="144"/>
        <w:gridCol w:w="144"/>
        <w:gridCol w:w="144"/>
        <w:gridCol w:w="539"/>
        <w:gridCol w:w="144"/>
        <w:gridCol w:w="144"/>
        <w:gridCol w:w="144"/>
        <w:gridCol w:w="144"/>
        <w:gridCol w:w="144"/>
        <w:gridCol w:w="406"/>
        <w:gridCol w:w="144"/>
        <w:gridCol w:w="144"/>
        <w:gridCol w:w="144"/>
        <w:gridCol w:w="144"/>
        <w:gridCol w:w="144"/>
        <w:gridCol w:w="673"/>
        <w:gridCol w:w="144"/>
        <w:gridCol w:w="144"/>
        <w:gridCol w:w="144"/>
        <w:gridCol w:w="144"/>
        <w:gridCol w:w="144"/>
        <w:gridCol w:w="406"/>
        <w:gridCol w:w="144"/>
        <w:gridCol w:w="144"/>
        <w:gridCol w:w="144"/>
        <w:gridCol w:w="144"/>
        <w:gridCol w:w="144"/>
        <w:gridCol w:w="527"/>
        <w:gridCol w:w="144"/>
        <w:gridCol w:w="144"/>
        <w:gridCol w:w="144"/>
        <w:gridCol w:w="144"/>
        <w:gridCol w:w="144"/>
        <w:gridCol w:w="502"/>
        <w:gridCol w:w="144"/>
        <w:gridCol w:w="144"/>
        <w:gridCol w:w="144"/>
        <w:gridCol w:w="144"/>
        <w:gridCol w:w="144"/>
        <w:gridCol w:w="770"/>
        <w:gridCol w:w="144"/>
        <w:gridCol w:w="144"/>
        <w:gridCol w:w="144"/>
        <w:gridCol w:w="144"/>
        <w:gridCol w:w="144"/>
        <w:gridCol w:w="479"/>
        <w:gridCol w:w="144"/>
        <w:gridCol w:w="144"/>
        <w:gridCol w:w="144"/>
        <w:gridCol w:w="144"/>
        <w:gridCol w:w="144"/>
        <w:gridCol w:w="686"/>
        <w:gridCol w:w="144"/>
      </w:tblGrid>
      <w:tr w:rsidR="00000000" w14:paraId="06508BB0" w14:textId="77777777">
        <w:tc>
          <w:tcPr>
            <w:tcW w:w="50" w:type="pct"/>
            <w:vAlign w:val="center"/>
            <w:hideMark/>
          </w:tcPr>
          <w:p w14:paraId="28A93230" w14:textId="77777777" w:rsidR="00000000" w:rsidRDefault="00405D16">
            <w:pPr>
              <w:rPr>
                <w:rFonts w:eastAsia="Times New Roman"/>
              </w:rPr>
            </w:pPr>
          </w:p>
        </w:tc>
        <w:tc>
          <w:tcPr>
            <w:tcW w:w="1097" w:type="pct"/>
            <w:vAlign w:val="center"/>
            <w:hideMark/>
          </w:tcPr>
          <w:p w14:paraId="7DF717AD" w14:textId="77777777" w:rsidR="00000000" w:rsidRDefault="00405D16">
            <w:pPr>
              <w:spacing w:after="100"/>
              <w:rPr>
                <w:rFonts w:eastAsia="Times New Roman"/>
                <w:sz w:val="20"/>
                <w:szCs w:val="20"/>
              </w:rPr>
            </w:pPr>
          </w:p>
        </w:tc>
        <w:tc>
          <w:tcPr>
            <w:tcW w:w="5" w:type="pct"/>
            <w:vAlign w:val="center"/>
            <w:hideMark/>
          </w:tcPr>
          <w:p w14:paraId="0B54498D" w14:textId="77777777" w:rsidR="00000000" w:rsidRDefault="00405D16">
            <w:pPr>
              <w:spacing w:after="100"/>
              <w:rPr>
                <w:rFonts w:eastAsia="Times New Roman"/>
                <w:sz w:val="20"/>
                <w:szCs w:val="20"/>
              </w:rPr>
            </w:pPr>
          </w:p>
        </w:tc>
        <w:tc>
          <w:tcPr>
            <w:tcW w:w="5" w:type="pct"/>
            <w:vAlign w:val="center"/>
            <w:hideMark/>
          </w:tcPr>
          <w:p w14:paraId="3B9669E2" w14:textId="77777777" w:rsidR="00000000" w:rsidRDefault="00405D16">
            <w:pPr>
              <w:spacing w:after="100"/>
              <w:rPr>
                <w:rFonts w:eastAsia="Times New Roman"/>
                <w:sz w:val="20"/>
                <w:szCs w:val="20"/>
              </w:rPr>
            </w:pPr>
          </w:p>
        </w:tc>
        <w:tc>
          <w:tcPr>
            <w:tcW w:w="26" w:type="pct"/>
            <w:vAlign w:val="center"/>
            <w:hideMark/>
          </w:tcPr>
          <w:p w14:paraId="1468DDC5" w14:textId="77777777" w:rsidR="00000000" w:rsidRDefault="00405D16">
            <w:pPr>
              <w:spacing w:after="100"/>
              <w:rPr>
                <w:rFonts w:eastAsia="Times New Roman"/>
                <w:sz w:val="20"/>
                <w:szCs w:val="20"/>
              </w:rPr>
            </w:pPr>
          </w:p>
        </w:tc>
        <w:tc>
          <w:tcPr>
            <w:tcW w:w="5" w:type="pct"/>
            <w:vAlign w:val="center"/>
            <w:hideMark/>
          </w:tcPr>
          <w:p w14:paraId="161079CE" w14:textId="77777777" w:rsidR="00000000" w:rsidRDefault="00405D16">
            <w:pPr>
              <w:spacing w:after="100"/>
              <w:rPr>
                <w:rFonts w:eastAsia="Times New Roman"/>
                <w:sz w:val="20"/>
                <w:szCs w:val="20"/>
              </w:rPr>
            </w:pPr>
          </w:p>
        </w:tc>
        <w:tc>
          <w:tcPr>
            <w:tcW w:w="50" w:type="pct"/>
            <w:vAlign w:val="center"/>
            <w:hideMark/>
          </w:tcPr>
          <w:p w14:paraId="111D7FE6" w14:textId="77777777" w:rsidR="00000000" w:rsidRDefault="00405D16">
            <w:pPr>
              <w:spacing w:after="100"/>
              <w:rPr>
                <w:rFonts w:eastAsia="Times New Roman"/>
                <w:sz w:val="20"/>
                <w:szCs w:val="20"/>
              </w:rPr>
            </w:pPr>
          </w:p>
        </w:tc>
        <w:tc>
          <w:tcPr>
            <w:tcW w:w="326" w:type="pct"/>
            <w:vAlign w:val="center"/>
            <w:hideMark/>
          </w:tcPr>
          <w:p w14:paraId="33C0468A" w14:textId="77777777" w:rsidR="00000000" w:rsidRDefault="00405D16">
            <w:pPr>
              <w:spacing w:after="100"/>
              <w:rPr>
                <w:rFonts w:eastAsia="Times New Roman"/>
                <w:sz w:val="20"/>
                <w:szCs w:val="20"/>
              </w:rPr>
            </w:pPr>
          </w:p>
        </w:tc>
        <w:tc>
          <w:tcPr>
            <w:tcW w:w="5" w:type="pct"/>
            <w:vAlign w:val="center"/>
            <w:hideMark/>
          </w:tcPr>
          <w:p w14:paraId="725EE782" w14:textId="77777777" w:rsidR="00000000" w:rsidRDefault="00405D16">
            <w:pPr>
              <w:spacing w:after="100"/>
              <w:rPr>
                <w:rFonts w:eastAsia="Times New Roman"/>
                <w:sz w:val="20"/>
                <w:szCs w:val="20"/>
              </w:rPr>
            </w:pPr>
          </w:p>
        </w:tc>
        <w:tc>
          <w:tcPr>
            <w:tcW w:w="5" w:type="pct"/>
            <w:vAlign w:val="center"/>
            <w:hideMark/>
          </w:tcPr>
          <w:p w14:paraId="3DE45C17" w14:textId="77777777" w:rsidR="00000000" w:rsidRDefault="00405D16">
            <w:pPr>
              <w:spacing w:after="100"/>
              <w:rPr>
                <w:rFonts w:eastAsia="Times New Roman"/>
                <w:sz w:val="20"/>
                <w:szCs w:val="20"/>
              </w:rPr>
            </w:pPr>
          </w:p>
        </w:tc>
        <w:tc>
          <w:tcPr>
            <w:tcW w:w="26" w:type="pct"/>
            <w:vAlign w:val="center"/>
            <w:hideMark/>
          </w:tcPr>
          <w:p w14:paraId="7CADAD8D" w14:textId="77777777" w:rsidR="00000000" w:rsidRDefault="00405D16">
            <w:pPr>
              <w:spacing w:after="100"/>
              <w:rPr>
                <w:rFonts w:eastAsia="Times New Roman"/>
                <w:sz w:val="20"/>
                <w:szCs w:val="20"/>
              </w:rPr>
            </w:pPr>
          </w:p>
        </w:tc>
        <w:tc>
          <w:tcPr>
            <w:tcW w:w="5" w:type="pct"/>
            <w:vAlign w:val="center"/>
            <w:hideMark/>
          </w:tcPr>
          <w:p w14:paraId="2DE7FA34" w14:textId="77777777" w:rsidR="00000000" w:rsidRDefault="00405D16">
            <w:pPr>
              <w:spacing w:after="100"/>
              <w:rPr>
                <w:rFonts w:eastAsia="Times New Roman"/>
                <w:sz w:val="20"/>
                <w:szCs w:val="20"/>
              </w:rPr>
            </w:pPr>
          </w:p>
        </w:tc>
        <w:tc>
          <w:tcPr>
            <w:tcW w:w="50" w:type="pct"/>
            <w:vAlign w:val="center"/>
            <w:hideMark/>
          </w:tcPr>
          <w:p w14:paraId="377659A9" w14:textId="77777777" w:rsidR="00000000" w:rsidRDefault="00405D16">
            <w:pPr>
              <w:spacing w:after="100"/>
              <w:rPr>
                <w:rFonts w:eastAsia="Times New Roman"/>
                <w:sz w:val="20"/>
                <w:szCs w:val="20"/>
              </w:rPr>
            </w:pPr>
          </w:p>
        </w:tc>
        <w:tc>
          <w:tcPr>
            <w:tcW w:w="246" w:type="pct"/>
            <w:vAlign w:val="center"/>
            <w:hideMark/>
          </w:tcPr>
          <w:p w14:paraId="525A67C8" w14:textId="77777777" w:rsidR="00000000" w:rsidRDefault="00405D16">
            <w:pPr>
              <w:spacing w:after="100"/>
              <w:rPr>
                <w:rFonts w:eastAsia="Times New Roman"/>
                <w:sz w:val="20"/>
                <w:szCs w:val="20"/>
              </w:rPr>
            </w:pPr>
          </w:p>
        </w:tc>
        <w:tc>
          <w:tcPr>
            <w:tcW w:w="5" w:type="pct"/>
            <w:vAlign w:val="center"/>
            <w:hideMark/>
          </w:tcPr>
          <w:p w14:paraId="714C571E" w14:textId="77777777" w:rsidR="00000000" w:rsidRDefault="00405D16">
            <w:pPr>
              <w:spacing w:after="100"/>
              <w:rPr>
                <w:rFonts w:eastAsia="Times New Roman"/>
                <w:sz w:val="20"/>
                <w:szCs w:val="20"/>
              </w:rPr>
            </w:pPr>
          </w:p>
        </w:tc>
        <w:tc>
          <w:tcPr>
            <w:tcW w:w="5" w:type="pct"/>
            <w:vAlign w:val="center"/>
            <w:hideMark/>
          </w:tcPr>
          <w:p w14:paraId="18B71695" w14:textId="77777777" w:rsidR="00000000" w:rsidRDefault="00405D16">
            <w:pPr>
              <w:spacing w:after="100"/>
              <w:rPr>
                <w:rFonts w:eastAsia="Times New Roman"/>
                <w:sz w:val="20"/>
                <w:szCs w:val="20"/>
              </w:rPr>
            </w:pPr>
          </w:p>
        </w:tc>
        <w:tc>
          <w:tcPr>
            <w:tcW w:w="26" w:type="pct"/>
            <w:vAlign w:val="center"/>
            <w:hideMark/>
          </w:tcPr>
          <w:p w14:paraId="42EA0F32" w14:textId="77777777" w:rsidR="00000000" w:rsidRDefault="00405D16">
            <w:pPr>
              <w:spacing w:after="100"/>
              <w:rPr>
                <w:rFonts w:eastAsia="Times New Roman"/>
                <w:sz w:val="20"/>
                <w:szCs w:val="20"/>
              </w:rPr>
            </w:pPr>
          </w:p>
        </w:tc>
        <w:tc>
          <w:tcPr>
            <w:tcW w:w="5" w:type="pct"/>
            <w:vAlign w:val="center"/>
            <w:hideMark/>
          </w:tcPr>
          <w:p w14:paraId="2855CC6E" w14:textId="77777777" w:rsidR="00000000" w:rsidRDefault="00405D16">
            <w:pPr>
              <w:spacing w:after="100"/>
              <w:rPr>
                <w:rFonts w:eastAsia="Times New Roman"/>
                <w:sz w:val="20"/>
                <w:szCs w:val="20"/>
              </w:rPr>
            </w:pPr>
          </w:p>
        </w:tc>
        <w:tc>
          <w:tcPr>
            <w:tcW w:w="50" w:type="pct"/>
            <w:vAlign w:val="center"/>
            <w:hideMark/>
          </w:tcPr>
          <w:p w14:paraId="7E905493" w14:textId="77777777" w:rsidR="00000000" w:rsidRDefault="00405D16">
            <w:pPr>
              <w:spacing w:after="100"/>
              <w:rPr>
                <w:rFonts w:eastAsia="Times New Roman"/>
                <w:sz w:val="20"/>
                <w:szCs w:val="20"/>
              </w:rPr>
            </w:pPr>
          </w:p>
        </w:tc>
        <w:tc>
          <w:tcPr>
            <w:tcW w:w="407" w:type="pct"/>
            <w:vAlign w:val="center"/>
            <w:hideMark/>
          </w:tcPr>
          <w:p w14:paraId="02098996" w14:textId="77777777" w:rsidR="00000000" w:rsidRDefault="00405D16">
            <w:pPr>
              <w:spacing w:after="100"/>
              <w:rPr>
                <w:rFonts w:eastAsia="Times New Roman"/>
                <w:sz w:val="20"/>
                <w:szCs w:val="20"/>
              </w:rPr>
            </w:pPr>
          </w:p>
        </w:tc>
        <w:tc>
          <w:tcPr>
            <w:tcW w:w="5" w:type="pct"/>
            <w:vAlign w:val="center"/>
            <w:hideMark/>
          </w:tcPr>
          <w:p w14:paraId="42EFEE79" w14:textId="77777777" w:rsidR="00000000" w:rsidRDefault="00405D16">
            <w:pPr>
              <w:spacing w:after="100"/>
              <w:rPr>
                <w:rFonts w:eastAsia="Times New Roman"/>
                <w:sz w:val="20"/>
                <w:szCs w:val="20"/>
              </w:rPr>
            </w:pPr>
          </w:p>
        </w:tc>
        <w:tc>
          <w:tcPr>
            <w:tcW w:w="5" w:type="pct"/>
            <w:vAlign w:val="center"/>
            <w:hideMark/>
          </w:tcPr>
          <w:p w14:paraId="099C6D88" w14:textId="77777777" w:rsidR="00000000" w:rsidRDefault="00405D16">
            <w:pPr>
              <w:spacing w:after="100"/>
              <w:rPr>
                <w:rFonts w:eastAsia="Times New Roman"/>
                <w:sz w:val="20"/>
                <w:szCs w:val="20"/>
              </w:rPr>
            </w:pPr>
          </w:p>
        </w:tc>
        <w:tc>
          <w:tcPr>
            <w:tcW w:w="26" w:type="pct"/>
            <w:vAlign w:val="center"/>
            <w:hideMark/>
          </w:tcPr>
          <w:p w14:paraId="5122AF28" w14:textId="77777777" w:rsidR="00000000" w:rsidRDefault="00405D16">
            <w:pPr>
              <w:spacing w:after="100"/>
              <w:rPr>
                <w:rFonts w:eastAsia="Times New Roman"/>
                <w:sz w:val="20"/>
                <w:szCs w:val="20"/>
              </w:rPr>
            </w:pPr>
          </w:p>
        </w:tc>
        <w:tc>
          <w:tcPr>
            <w:tcW w:w="5" w:type="pct"/>
            <w:vAlign w:val="center"/>
            <w:hideMark/>
          </w:tcPr>
          <w:p w14:paraId="3AA66693" w14:textId="77777777" w:rsidR="00000000" w:rsidRDefault="00405D16">
            <w:pPr>
              <w:spacing w:after="100"/>
              <w:rPr>
                <w:rFonts w:eastAsia="Times New Roman"/>
                <w:sz w:val="20"/>
                <w:szCs w:val="20"/>
              </w:rPr>
            </w:pPr>
          </w:p>
        </w:tc>
        <w:tc>
          <w:tcPr>
            <w:tcW w:w="50" w:type="pct"/>
            <w:vAlign w:val="center"/>
            <w:hideMark/>
          </w:tcPr>
          <w:p w14:paraId="1CB9F577" w14:textId="77777777" w:rsidR="00000000" w:rsidRDefault="00405D16">
            <w:pPr>
              <w:spacing w:after="100"/>
              <w:rPr>
                <w:rFonts w:eastAsia="Times New Roman"/>
                <w:sz w:val="20"/>
                <w:szCs w:val="20"/>
              </w:rPr>
            </w:pPr>
          </w:p>
        </w:tc>
        <w:tc>
          <w:tcPr>
            <w:tcW w:w="246" w:type="pct"/>
            <w:vAlign w:val="center"/>
            <w:hideMark/>
          </w:tcPr>
          <w:p w14:paraId="250A8477" w14:textId="77777777" w:rsidR="00000000" w:rsidRDefault="00405D16">
            <w:pPr>
              <w:spacing w:after="100"/>
              <w:rPr>
                <w:rFonts w:eastAsia="Times New Roman"/>
                <w:sz w:val="20"/>
                <w:szCs w:val="20"/>
              </w:rPr>
            </w:pPr>
          </w:p>
        </w:tc>
        <w:tc>
          <w:tcPr>
            <w:tcW w:w="5" w:type="pct"/>
            <w:vAlign w:val="center"/>
            <w:hideMark/>
          </w:tcPr>
          <w:p w14:paraId="1F887F7B" w14:textId="77777777" w:rsidR="00000000" w:rsidRDefault="00405D16">
            <w:pPr>
              <w:spacing w:after="100"/>
              <w:rPr>
                <w:rFonts w:eastAsia="Times New Roman"/>
                <w:sz w:val="20"/>
                <w:szCs w:val="20"/>
              </w:rPr>
            </w:pPr>
          </w:p>
        </w:tc>
        <w:tc>
          <w:tcPr>
            <w:tcW w:w="5" w:type="pct"/>
            <w:vAlign w:val="center"/>
            <w:hideMark/>
          </w:tcPr>
          <w:p w14:paraId="528F58A4" w14:textId="77777777" w:rsidR="00000000" w:rsidRDefault="00405D16">
            <w:pPr>
              <w:spacing w:after="100"/>
              <w:rPr>
                <w:rFonts w:eastAsia="Times New Roman"/>
                <w:sz w:val="20"/>
                <w:szCs w:val="20"/>
              </w:rPr>
            </w:pPr>
          </w:p>
        </w:tc>
        <w:tc>
          <w:tcPr>
            <w:tcW w:w="26" w:type="pct"/>
            <w:vAlign w:val="center"/>
            <w:hideMark/>
          </w:tcPr>
          <w:p w14:paraId="604865F1" w14:textId="77777777" w:rsidR="00000000" w:rsidRDefault="00405D16">
            <w:pPr>
              <w:spacing w:after="100"/>
              <w:rPr>
                <w:rFonts w:eastAsia="Times New Roman"/>
                <w:sz w:val="20"/>
                <w:szCs w:val="20"/>
              </w:rPr>
            </w:pPr>
          </w:p>
        </w:tc>
        <w:tc>
          <w:tcPr>
            <w:tcW w:w="5" w:type="pct"/>
            <w:vAlign w:val="center"/>
            <w:hideMark/>
          </w:tcPr>
          <w:p w14:paraId="547BAAA3" w14:textId="77777777" w:rsidR="00000000" w:rsidRDefault="00405D16">
            <w:pPr>
              <w:spacing w:after="100"/>
              <w:rPr>
                <w:rFonts w:eastAsia="Times New Roman"/>
                <w:sz w:val="20"/>
                <w:szCs w:val="20"/>
              </w:rPr>
            </w:pPr>
          </w:p>
        </w:tc>
        <w:tc>
          <w:tcPr>
            <w:tcW w:w="50" w:type="pct"/>
            <w:vAlign w:val="center"/>
            <w:hideMark/>
          </w:tcPr>
          <w:p w14:paraId="274E121F" w14:textId="77777777" w:rsidR="00000000" w:rsidRDefault="00405D16">
            <w:pPr>
              <w:spacing w:after="100"/>
              <w:rPr>
                <w:rFonts w:eastAsia="Times New Roman"/>
                <w:sz w:val="20"/>
                <w:szCs w:val="20"/>
              </w:rPr>
            </w:pPr>
          </w:p>
        </w:tc>
        <w:tc>
          <w:tcPr>
            <w:tcW w:w="319" w:type="pct"/>
            <w:vAlign w:val="center"/>
            <w:hideMark/>
          </w:tcPr>
          <w:p w14:paraId="791A001B" w14:textId="77777777" w:rsidR="00000000" w:rsidRDefault="00405D16">
            <w:pPr>
              <w:spacing w:after="100"/>
              <w:rPr>
                <w:rFonts w:eastAsia="Times New Roman"/>
                <w:sz w:val="20"/>
                <w:szCs w:val="20"/>
              </w:rPr>
            </w:pPr>
          </w:p>
        </w:tc>
        <w:tc>
          <w:tcPr>
            <w:tcW w:w="5" w:type="pct"/>
            <w:vAlign w:val="center"/>
            <w:hideMark/>
          </w:tcPr>
          <w:p w14:paraId="75830BA2" w14:textId="77777777" w:rsidR="00000000" w:rsidRDefault="00405D16">
            <w:pPr>
              <w:spacing w:after="100"/>
              <w:rPr>
                <w:rFonts w:eastAsia="Times New Roman"/>
                <w:sz w:val="20"/>
                <w:szCs w:val="20"/>
              </w:rPr>
            </w:pPr>
          </w:p>
        </w:tc>
        <w:tc>
          <w:tcPr>
            <w:tcW w:w="5" w:type="pct"/>
            <w:vAlign w:val="center"/>
            <w:hideMark/>
          </w:tcPr>
          <w:p w14:paraId="3F62418F" w14:textId="77777777" w:rsidR="00000000" w:rsidRDefault="00405D16">
            <w:pPr>
              <w:spacing w:after="100"/>
              <w:rPr>
                <w:rFonts w:eastAsia="Times New Roman"/>
                <w:sz w:val="20"/>
                <w:szCs w:val="20"/>
              </w:rPr>
            </w:pPr>
          </w:p>
        </w:tc>
        <w:tc>
          <w:tcPr>
            <w:tcW w:w="26" w:type="pct"/>
            <w:vAlign w:val="center"/>
            <w:hideMark/>
          </w:tcPr>
          <w:p w14:paraId="3779E098" w14:textId="77777777" w:rsidR="00000000" w:rsidRDefault="00405D16">
            <w:pPr>
              <w:spacing w:after="100"/>
              <w:rPr>
                <w:rFonts w:eastAsia="Times New Roman"/>
                <w:sz w:val="20"/>
                <w:szCs w:val="20"/>
              </w:rPr>
            </w:pPr>
          </w:p>
        </w:tc>
        <w:tc>
          <w:tcPr>
            <w:tcW w:w="5" w:type="pct"/>
            <w:vAlign w:val="center"/>
            <w:hideMark/>
          </w:tcPr>
          <w:p w14:paraId="59A9F24C" w14:textId="77777777" w:rsidR="00000000" w:rsidRDefault="00405D16">
            <w:pPr>
              <w:spacing w:after="100"/>
              <w:rPr>
                <w:rFonts w:eastAsia="Times New Roman"/>
                <w:sz w:val="20"/>
                <w:szCs w:val="20"/>
              </w:rPr>
            </w:pPr>
          </w:p>
        </w:tc>
        <w:tc>
          <w:tcPr>
            <w:tcW w:w="50" w:type="pct"/>
            <w:vAlign w:val="center"/>
            <w:hideMark/>
          </w:tcPr>
          <w:p w14:paraId="67C12799" w14:textId="77777777" w:rsidR="00000000" w:rsidRDefault="00405D16">
            <w:pPr>
              <w:spacing w:after="100"/>
              <w:rPr>
                <w:rFonts w:eastAsia="Times New Roman"/>
                <w:sz w:val="20"/>
                <w:szCs w:val="20"/>
              </w:rPr>
            </w:pPr>
          </w:p>
        </w:tc>
        <w:tc>
          <w:tcPr>
            <w:tcW w:w="304" w:type="pct"/>
            <w:vAlign w:val="center"/>
            <w:hideMark/>
          </w:tcPr>
          <w:p w14:paraId="7818F830" w14:textId="77777777" w:rsidR="00000000" w:rsidRDefault="00405D16">
            <w:pPr>
              <w:spacing w:after="100"/>
              <w:rPr>
                <w:rFonts w:eastAsia="Times New Roman"/>
                <w:sz w:val="20"/>
                <w:szCs w:val="20"/>
              </w:rPr>
            </w:pPr>
          </w:p>
        </w:tc>
        <w:tc>
          <w:tcPr>
            <w:tcW w:w="5" w:type="pct"/>
            <w:vAlign w:val="center"/>
            <w:hideMark/>
          </w:tcPr>
          <w:p w14:paraId="70F640F2" w14:textId="77777777" w:rsidR="00000000" w:rsidRDefault="00405D16">
            <w:pPr>
              <w:spacing w:after="100"/>
              <w:rPr>
                <w:rFonts w:eastAsia="Times New Roman"/>
                <w:sz w:val="20"/>
                <w:szCs w:val="20"/>
              </w:rPr>
            </w:pPr>
          </w:p>
        </w:tc>
        <w:tc>
          <w:tcPr>
            <w:tcW w:w="5" w:type="pct"/>
            <w:vAlign w:val="center"/>
            <w:hideMark/>
          </w:tcPr>
          <w:p w14:paraId="32267954" w14:textId="77777777" w:rsidR="00000000" w:rsidRDefault="00405D16">
            <w:pPr>
              <w:spacing w:after="100"/>
              <w:rPr>
                <w:rFonts w:eastAsia="Times New Roman"/>
                <w:sz w:val="20"/>
                <w:szCs w:val="20"/>
              </w:rPr>
            </w:pPr>
          </w:p>
        </w:tc>
        <w:tc>
          <w:tcPr>
            <w:tcW w:w="26" w:type="pct"/>
            <w:vAlign w:val="center"/>
            <w:hideMark/>
          </w:tcPr>
          <w:p w14:paraId="09095746" w14:textId="77777777" w:rsidR="00000000" w:rsidRDefault="00405D16">
            <w:pPr>
              <w:spacing w:after="100"/>
              <w:rPr>
                <w:rFonts w:eastAsia="Times New Roman"/>
                <w:sz w:val="20"/>
                <w:szCs w:val="20"/>
              </w:rPr>
            </w:pPr>
          </w:p>
        </w:tc>
        <w:tc>
          <w:tcPr>
            <w:tcW w:w="5" w:type="pct"/>
            <w:vAlign w:val="center"/>
            <w:hideMark/>
          </w:tcPr>
          <w:p w14:paraId="4665BE0B" w14:textId="77777777" w:rsidR="00000000" w:rsidRDefault="00405D16">
            <w:pPr>
              <w:spacing w:after="100"/>
              <w:rPr>
                <w:rFonts w:eastAsia="Times New Roman"/>
                <w:sz w:val="20"/>
                <w:szCs w:val="20"/>
              </w:rPr>
            </w:pPr>
          </w:p>
        </w:tc>
        <w:tc>
          <w:tcPr>
            <w:tcW w:w="50" w:type="pct"/>
            <w:vAlign w:val="center"/>
            <w:hideMark/>
          </w:tcPr>
          <w:p w14:paraId="48388CE1" w14:textId="77777777" w:rsidR="00000000" w:rsidRDefault="00405D16">
            <w:pPr>
              <w:spacing w:after="100"/>
              <w:rPr>
                <w:rFonts w:eastAsia="Times New Roman"/>
                <w:sz w:val="20"/>
                <w:szCs w:val="20"/>
              </w:rPr>
            </w:pPr>
          </w:p>
        </w:tc>
        <w:tc>
          <w:tcPr>
            <w:tcW w:w="466" w:type="pct"/>
            <w:vAlign w:val="center"/>
            <w:hideMark/>
          </w:tcPr>
          <w:p w14:paraId="3C816842" w14:textId="77777777" w:rsidR="00000000" w:rsidRDefault="00405D16">
            <w:pPr>
              <w:spacing w:after="100"/>
              <w:rPr>
                <w:rFonts w:eastAsia="Times New Roman"/>
                <w:sz w:val="20"/>
                <w:szCs w:val="20"/>
              </w:rPr>
            </w:pPr>
          </w:p>
        </w:tc>
        <w:tc>
          <w:tcPr>
            <w:tcW w:w="5" w:type="pct"/>
            <w:vAlign w:val="center"/>
            <w:hideMark/>
          </w:tcPr>
          <w:p w14:paraId="4B89819F" w14:textId="77777777" w:rsidR="00000000" w:rsidRDefault="00405D16">
            <w:pPr>
              <w:spacing w:after="100"/>
              <w:rPr>
                <w:rFonts w:eastAsia="Times New Roman"/>
                <w:sz w:val="20"/>
                <w:szCs w:val="20"/>
              </w:rPr>
            </w:pPr>
          </w:p>
        </w:tc>
        <w:tc>
          <w:tcPr>
            <w:tcW w:w="5" w:type="pct"/>
            <w:vAlign w:val="center"/>
            <w:hideMark/>
          </w:tcPr>
          <w:p w14:paraId="753E7BD6" w14:textId="77777777" w:rsidR="00000000" w:rsidRDefault="00405D16">
            <w:pPr>
              <w:spacing w:after="100"/>
              <w:rPr>
                <w:rFonts w:eastAsia="Times New Roman"/>
                <w:sz w:val="20"/>
                <w:szCs w:val="20"/>
              </w:rPr>
            </w:pPr>
          </w:p>
        </w:tc>
        <w:tc>
          <w:tcPr>
            <w:tcW w:w="26" w:type="pct"/>
            <w:vAlign w:val="center"/>
            <w:hideMark/>
          </w:tcPr>
          <w:p w14:paraId="7921C117" w14:textId="77777777" w:rsidR="00000000" w:rsidRDefault="00405D16">
            <w:pPr>
              <w:spacing w:after="100"/>
              <w:rPr>
                <w:rFonts w:eastAsia="Times New Roman"/>
                <w:sz w:val="20"/>
                <w:szCs w:val="20"/>
              </w:rPr>
            </w:pPr>
          </w:p>
        </w:tc>
        <w:tc>
          <w:tcPr>
            <w:tcW w:w="5" w:type="pct"/>
            <w:vAlign w:val="center"/>
            <w:hideMark/>
          </w:tcPr>
          <w:p w14:paraId="1EF99568" w14:textId="77777777" w:rsidR="00000000" w:rsidRDefault="00405D16">
            <w:pPr>
              <w:spacing w:after="100"/>
              <w:rPr>
                <w:rFonts w:eastAsia="Times New Roman"/>
                <w:sz w:val="20"/>
                <w:szCs w:val="20"/>
              </w:rPr>
            </w:pPr>
          </w:p>
        </w:tc>
        <w:tc>
          <w:tcPr>
            <w:tcW w:w="50" w:type="pct"/>
            <w:vAlign w:val="center"/>
            <w:hideMark/>
          </w:tcPr>
          <w:p w14:paraId="67E5689B" w14:textId="77777777" w:rsidR="00000000" w:rsidRDefault="00405D16">
            <w:pPr>
              <w:spacing w:after="100"/>
              <w:rPr>
                <w:rFonts w:eastAsia="Times New Roman"/>
                <w:sz w:val="20"/>
                <w:szCs w:val="20"/>
              </w:rPr>
            </w:pPr>
          </w:p>
        </w:tc>
        <w:tc>
          <w:tcPr>
            <w:tcW w:w="290" w:type="pct"/>
            <w:vAlign w:val="center"/>
            <w:hideMark/>
          </w:tcPr>
          <w:p w14:paraId="66EAFA7E" w14:textId="77777777" w:rsidR="00000000" w:rsidRDefault="00405D16">
            <w:pPr>
              <w:spacing w:after="100"/>
              <w:rPr>
                <w:rFonts w:eastAsia="Times New Roman"/>
                <w:sz w:val="20"/>
                <w:szCs w:val="20"/>
              </w:rPr>
            </w:pPr>
          </w:p>
        </w:tc>
        <w:tc>
          <w:tcPr>
            <w:tcW w:w="5" w:type="pct"/>
            <w:vAlign w:val="center"/>
            <w:hideMark/>
          </w:tcPr>
          <w:p w14:paraId="5F989B19" w14:textId="77777777" w:rsidR="00000000" w:rsidRDefault="00405D16">
            <w:pPr>
              <w:spacing w:after="100"/>
              <w:rPr>
                <w:rFonts w:eastAsia="Times New Roman"/>
                <w:sz w:val="20"/>
                <w:szCs w:val="20"/>
              </w:rPr>
            </w:pPr>
          </w:p>
        </w:tc>
        <w:tc>
          <w:tcPr>
            <w:tcW w:w="5" w:type="pct"/>
            <w:vAlign w:val="center"/>
            <w:hideMark/>
          </w:tcPr>
          <w:p w14:paraId="7C82FA6D" w14:textId="77777777" w:rsidR="00000000" w:rsidRDefault="00405D16">
            <w:pPr>
              <w:spacing w:after="100"/>
              <w:rPr>
                <w:rFonts w:eastAsia="Times New Roman"/>
                <w:sz w:val="20"/>
                <w:szCs w:val="20"/>
              </w:rPr>
            </w:pPr>
          </w:p>
        </w:tc>
        <w:tc>
          <w:tcPr>
            <w:tcW w:w="26" w:type="pct"/>
            <w:vAlign w:val="center"/>
            <w:hideMark/>
          </w:tcPr>
          <w:p w14:paraId="47CE1A76" w14:textId="77777777" w:rsidR="00000000" w:rsidRDefault="00405D16">
            <w:pPr>
              <w:spacing w:after="100"/>
              <w:rPr>
                <w:rFonts w:eastAsia="Times New Roman"/>
                <w:sz w:val="20"/>
                <w:szCs w:val="20"/>
              </w:rPr>
            </w:pPr>
          </w:p>
        </w:tc>
        <w:tc>
          <w:tcPr>
            <w:tcW w:w="5" w:type="pct"/>
            <w:vAlign w:val="center"/>
            <w:hideMark/>
          </w:tcPr>
          <w:p w14:paraId="48DA0C3D" w14:textId="77777777" w:rsidR="00000000" w:rsidRDefault="00405D16">
            <w:pPr>
              <w:spacing w:after="100"/>
              <w:rPr>
                <w:rFonts w:eastAsia="Times New Roman"/>
                <w:sz w:val="20"/>
                <w:szCs w:val="20"/>
              </w:rPr>
            </w:pPr>
          </w:p>
        </w:tc>
        <w:tc>
          <w:tcPr>
            <w:tcW w:w="50" w:type="pct"/>
            <w:vAlign w:val="center"/>
            <w:hideMark/>
          </w:tcPr>
          <w:p w14:paraId="70146529" w14:textId="77777777" w:rsidR="00000000" w:rsidRDefault="00405D16">
            <w:pPr>
              <w:spacing w:after="100"/>
              <w:rPr>
                <w:rFonts w:eastAsia="Times New Roman"/>
                <w:sz w:val="20"/>
                <w:szCs w:val="20"/>
              </w:rPr>
            </w:pPr>
          </w:p>
        </w:tc>
        <w:tc>
          <w:tcPr>
            <w:tcW w:w="415" w:type="pct"/>
            <w:vAlign w:val="center"/>
            <w:hideMark/>
          </w:tcPr>
          <w:p w14:paraId="5979D067" w14:textId="77777777" w:rsidR="00000000" w:rsidRDefault="00405D16">
            <w:pPr>
              <w:spacing w:after="100"/>
              <w:rPr>
                <w:rFonts w:eastAsia="Times New Roman"/>
                <w:sz w:val="20"/>
                <w:szCs w:val="20"/>
              </w:rPr>
            </w:pPr>
          </w:p>
        </w:tc>
        <w:tc>
          <w:tcPr>
            <w:tcW w:w="5" w:type="pct"/>
            <w:vAlign w:val="center"/>
            <w:hideMark/>
          </w:tcPr>
          <w:p w14:paraId="313CD8A9" w14:textId="77777777" w:rsidR="00000000" w:rsidRDefault="00405D16">
            <w:pPr>
              <w:spacing w:after="100"/>
              <w:rPr>
                <w:rFonts w:eastAsia="Times New Roman"/>
                <w:sz w:val="20"/>
                <w:szCs w:val="20"/>
              </w:rPr>
            </w:pPr>
          </w:p>
        </w:tc>
      </w:tr>
      <w:tr w:rsidR="00000000" w14:paraId="651C8844" w14:textId="77777777">
        <w:trPr>
          <w:trHeight w:val="60"/>
        </w:trPr>
        <w:tc>
          <w:tcPr>
            <w:tcW w:w="0" w:type="auto"/>
            <w:gridSpan w:val="57"/>
            <w:tcMar>
              <w:top w:w="0" w:type="dxa"/>
              <w:left w:w="20" w:type="dxa"/>
              <w:bottom w:w="0" w:type="dxa"/>
              <w:right w:w="20" w:type="dxa"/>
            </w:tcMar>
            <w:vAlign w:val="center"/>
            <w:hideMark/>
          </w:tcPr>
          <w:p w14:paraId="5B0B8C91" w14:textId="77777777" w:rsidR="00000000" w:rsidRDefault="00405D16">
            <w:pPr>
              <w:spacing w:after="100"/>
              <w:rPr>
                <w:rFonts w:eastAsia="Times New Roman"/>
                <w:sz w:val="20"/>
                <w:szCs w:val="20"/>
              </w:rPr>
            </w:pPr>
          </w:p>
        </w:tc>
      </w:tr>
      <w:tr w:rsidR="00000000" w14:paraId="1D488802" w14:textId="77777777">
        <w:tc>
          <w:tcPr>
            <w:tcW w:w="0" w:type="auto"/>
            <w:gridSpan w:val="3"/>
            <w:vAlign w:val="center"/>
            <w:hideMark/>
          </w:tcPr>
          <w:p w14:paraId="12A480A2" w14:textId="77777777" w:rsidR="00000000" w:rsidRDefault="00405D16">
            <w:pPr>
              <w:spacing w:after="100"/>
              <w:rPr>
                <w:rFonts w:eastAsia="Times New Roman"/>
                <w:sz w:val="20"/>
                <w:szCs w:val="20"/>
              </w:rPr>
            </w:pPr>
          </w:p>
        </w:tc>
        <w:tc>
          <w:tcPr>
            <w:tcW w:w="0" w:type="auto"/>
            <w:gridSpan w:val="3"/>
            <w:vAlign w:val="center"/>
            <w:hideMark/>
          </w:tcPr>
          <w:p w14:paraId="4BE777DB" w14:textId="77777777" w:rsidR="00000000" w:rsidRDefault="00405D16">
            <w:pPr>
              <w:spacing w:after="100"/>
              <w:rPr>
                <w:rFonts w:eastAsia="Times New Roman"/>
                <w:sz w:val="20"/>
                <w:szCs w:val="20"/>
              </w:rPr>
            </w:pPr>
          </w:p>
        </w:tc>
        <w:tc>
          <w:tcPr>
            <w:tcW w:w="0" w:type="auto"/>
            <w:gridSpan w:val="3"/>
            <w:vAlign w:val="center"/>
            <w:hideMark/>
          </w:tcPr>
          <w:p w14:paraId="09EDDE75" w14:textId="77777777" w:rsidR="00000000" w:rsidRDefault="00405D16">
            <w:pPr>
              <w:spacing w:after="100"/>
              <w:rPr>
                <w:rFonts w:eastAsia="Times New Roman"/>
                <w:sz w:val="20"/>
                <w:szCs w:val="20"/>
              </w:rPr>
            </w:pPr>
          </w:p>
        </w:tc>
        <w:tc>
          <w:tcPr>
            <w:tcW w:w="0" w:type="auto"/>
            <w:gridSpan w:val="3"/>
            <w:vAlign w:val="center"/>
            <w:hideMark/>
          </w:tcPr>
          <w:p w14:paraId="057BF670" w14:textId="77777777" w:rsidR="00000000" w:rsidRDefault="00405D16">
            <w:pPr>
              <w:spacing w:after="100"/>
              <w:rPr>
                <w:rFonts w:eastAsia="Times New Roman"/>
                <w:sz w:val="20"/>
                <w:szCs w:val="20"/>
              </w:rPr>
            </w:pPr>
          </w:p>
        </w:tc>
        <w:tc>
          <w:tcPr>
            <w:tcW w:w="0" w:type="auto"/>
            <w:gridSpan w:val="3"/>
            <w:vAlign w:val="center"/>
            <w:hideMark/>
          </w:tcPr>
          <w:p w14:paraId="7FA9E88C" w14:textId="77777777" w:rsidR="00000000" w:rsidRDefault="00405D16">
            <w:pPr>
              <w:spacing w:after="100"/>
              <w:rPr>
                <w:rFonts w:eastAsia="Times New Roman"/>
                <w:sz w:val="20"/>
                <w:szCs w:val="20"/>
              </w:rPr>
            </w:pPr>
          </w:p>
        </w:tc>
        <w:tc>
          <w:tcPr>
            <w:tcW w:w="0" w:type="auto"/>
            <w:gridSpan w:val="3"/>
            <w:vAlign w:val="center"/>
            <w:hideMark/>
          </w:tcPr>
          <w:p w14:paraId="344B361A" w14:textId="77777777" w:rsidR="00000000" w:rsidRDefault="00405D16">
            <w:pPr>
              <w:spacing w:after="100"/>
              <w:rPr>
                <w:rFonts w:eastAsia="Times New Roman"/>
                <w:sz w:val="20"/>
                <w:szCs w:val="20"/>
              </w:rPr>
            </w:pPr>
          </w:p>
        </w:tc>
        <w:tc>
          <w:tcPr>
            <w:tcW w:w="0" w:type="auto"/>
            <w:gridSpan w:val="3"/>
            <w:vAlign w:val="center"/>
            <w:hideMark/>
          </w:tcPr>
          <w:p w14:paraId="44674502" w14:textId="77777777" w:rsidR="00000000" w:rsidRDefault="00405D16">
            <w:pPr>
              <w:spacing w:after="100"/>
              <w:rPr>
                <w:rFonts w:eastAsia="Times New Roman"/>
                <w:sz w:val="20"/>
                <w:szCs w:val="20"/>
              </w:rPr>
            </w:pPr>
          </w:p>
        </w:tc>
        <w:tc>
          <w:tcPr>
            <w:tcW w:w="0" w:type="auto"/>
            <w:gridSpan w:val="3"/>
            <w:vAlign w:val="center"/>
            <w:hideMark/>
          </w:tcPr>
          <w:p w14:paraId="48CF3518" w14:textId="77777777" w:rsidR="00000000" w:rsidRDefault="00405D16">
            <w:pPr>
              <w:spacing w:after="100"/>
              <w:rPr>
                <w:rFonts w:eastAsia="Times New Roman"/>
                <w:sz w:val="20"/>
                <w:szCs w:val="20"/>
              </w:rPr>
            </w:pPr>
          </w:p>
        </w:tc>
        <w:tc>
          <w:tcPr>
            <w:tcW w:w="0" w:type="auto"/>
            <w:gridSpan w:val="3"/>
            <w:vAlign w:val="center"/>
            <w:hideMark/>
          </w:tcPr>
          <w:p w14:paraId="5034AB9D" w14:textId="77777777" w:rsidR="00000000" w:rsidRDefault="00405D16">
            <w:pPr>
              <w:spacing w:after="100"/>
              <w:rPr>
                <w:rFonts w:eastAsia="Times New Roman"/>
                <w:sz w:val="20"/>
                <w:szCs w:val="20"/>
              </w:rPr>
            </w:pPr>
          </w:p>
        </w:tc>
        <w:tc>
          <w:tcPr>
            <w:tcW w:w="0" w:type="auto"/>
            <w:gridSpan w:val="3"/>
            <w:vAlign w:val="center"/>
            <w:hideMark/>
          </w:tcPr>
          <w:p w14:paraId="0FA89455" w14:textId="77777777" w:rsidR="00000000" w:rsidRDefault="00405D16">
            <w:pPr>
              <w:spacing w:after="100"/>
              <w:rPr>
                <w:rFonts w:eastAsia="Times New Roman"/>
                <w:sz w:val="20"/>
                <w:szCs w:val="20"/>
              </w:rPr>
            </w:pPr>
          </w:p>
        </w:tc>
        <w:tc>
          <w:tcPr>
            <w:tcW w:w="0" w:type="auto"/>
            <w:gridSpan w:val="3"/>
            <w:vAlign w:val="center"/>
            <w:hideMark/>
          </w:tcPr>
          <w:p w14:paraId="514F42BD" w14:textId="77777777" w:rsidR="00000000" w:rsidRDefault="00405D16">
            <w:pPr>
              <w:spacing w:after="100"/>
              <w:rPr>
                <w:rFonts w:eastAsia="Times New Roman"/>
                <w:sz w:val="20"/>
                <w:szCs w:val="20"/>
              </w:rPr>
            </w:pPr>
          </w:p>
        </w:tc>
        <w:tc>
          <w:tcPr>
            <w:tcW w:w="0" w:type="auto"/>
            <w:gridSpan w:val="3"/>
            <w:vAlign w:val="center"/>
            <w:hideMark/>
          </w:tcPr>
          <w:p w14:paraId="68C03FE6" w14:textId="77777777" w:rsidR="00000000" w:rsidRDefault="00405D16">
            <w:pPr>
              <w:spacing w:after="100"/>
              <w:rPr>
                <w:rFonts w:eastAsia="Times New Roman"/>
                <w:sz w:val="20"/>
                <w:szCs w:val="20"/>
              </w:rPr>
            </w:pPr>
          </w:p>
        </w:tc>
        <w:tc>
          <w:tcPr>
            <w:tcW w:w="0" w:type="auto"/>
            <w:gridSpan w:val="3"/>
            <w:vAlign w:val="center"/>
            <w:hideMark/>
          </w:tcPr>
          <w:p w14:paraId="32604255" w14:textId="77777777" w:rsidR="00000000" w:rsidRDefault="00405D16">
            <w:pPr>
              <w:spacing w:after="100"/>
              <w:rPr>
                <w:rFonts w:eastAsia="Times New Roman"/>
                <w:sz w:val="20"/>
                <w:szCs w:val="20"/>
              </w:rPr>
            </w:pPr>
          </w:p>
        </w:tc>
        <w:tc>
          <w:tcPr>
            <w:tcW w:w="0" w:type="auto"/>
            <w:gridSpan w:val="3"/>
            <w:vAlign w:val="center"/>
            <w:hideMark/>
          </w:tcPr>
          <w:p w14:paraId="31DD804F" w14:textId="77777777" w:rsidR="00000000" w:rsidRDefault="00405D16">
            <w:pPr>
              <w:spacing w:after="100"/>
              <w:rPr>
                <w:rFonts w:eastAsia="Times New Roman"/>
                <w:sz w:val="20"/>
                <w:szCs w:val="20"/>
              </w:rPr>
            </w:pPr>
          </w:p>
        </w:tc>
        <w:tc>
          <w:tcPr>
            <w:tcW w:w="0" w:type="auto"/>
            <w:gridSpan w:val="3"/>
            <w:vAlign w:val="center"/>
            <w:hideMark/>
          </w:tcPr>
          <w:p w14:paraId="199030D7" w14:textId="77777777" w:rsidR="00000000" w:rsidRDefault="00405D16">
            <w:pPr>
              <w:spacing w:after="100"/>
              <w:rPr>
                <w:rFonts w:eastAsia="Times New Roman"/>
                <w:sz w:val="20"/>
                <w:szCs w:val="20"/>
              </w:rPr>
            </w:pPr>
          </w:p>
        </w:tc>
        <w:tc>
          <w:tcPr>
            <w:tcW w:w="0" w:type="auto"/>
            <w:vAlign w:val="center"/>
            <w:hideMark/>
          </w:tcPr>
          <w:p w14:paraId="4BAE6F49" w14:textId="77777777" w:rsidR="00000000" w:rsidRDefault="00405D16">
            <w:pPr>
              <w:spacing w:after="100"/>
              <w:rPr>
                <w:rFonts w:eastAsia="Times New Roman"/>
                <w:sz w:val="20"/>
                <w:szCs w:val="20"/>
              </w:rPr>
            </w:pPr>
          </w:p>
        </w:tc>
        <w:tc>
          <w:tcPr>
            <w:tcW w:w="0" w:type="auto"/>
            <w:vAlign w:val="center"/>
            <w:hideMark/>
          </w:tcPr>
          <w:p w14:paraId="7DF032C9" w14:textId="77777777" w:rsidR="00000000" w:rsidRDefault="00405D16">
            <w:pPr>
              <w:spacing w:after="100"/>
              <w:rPr>
                <w:rFonts w:eastAsia="Times New Roman"/>
                <w:sz w:val="20"/>
                <w:szCs w:val="20"/>
              </w:rPr>
            </w:pPr>
          </w:p>
        </w:tc>
        <w:tc>
          <w:tcPr>
            <w:tcW w:w="0" w:type="auto"/>
            <w:vAlign w:val="center"/>
            <w:hideMark/>
          </w:tcPr>
          <w:p w14:paraId="02D93F1C" w14:textId="77777777" w:rsidR="00000000" w:rsidRDefault="00405D16">
            <w:pPr>
              <w:spacing w:after="100"/>
              <w:rPr>
                <w:rFonts w:eastAsia="Times New Roman"/>
                <w:sz w:val="20"/>
                <w:szCs w:val="20"/>
              </w:rPr>
            </w:pPr>
          </w:p>
        </w:tc>
        <w:tc>
          <w:tcPr>
            <w:tcW w:w="0" w:type="auto"/>
            <w:vAlign w:val="center"/>
            <w:hideMark/>
          </w:tcPr>
          <w:p w14:paraId="6356D2D6" w14:textId="77777777" w:rsidR="00000000" w:rsidRDefault="00405D16">
            <w:pPr>
              <w:spacing w:after="100"/>
              <w:rPr>
                <w:rFonts w:eastAsia="Times New Roman"/>
                <w:sz w:val="20"/>
                <w:szCs w:val="20"/>
              </w:rPr>
            </w:pPr>
          </w:p>
        </w:tc>
        <w:tc>
          <w:tcPr>
            <w:tcW w:w="0" w:type="auto"/>
            <w:vAlign w:val="center"/>
            <w:hideMark/>
          </w:tcPr>
          <w:p w14:paraId="14E34865" w14:textId="77777777" w:rsidR="00000000" w:rsidRDefault="00405D16">
            <w:pPr>
              <w:spacing w:after="100"/>
              <w:rPr>
                <w:rFonts w:eastAsia="Times New Roman"/>
                <w:sz w:val="20"/>
                <w:szCs w:val="20"/>
              </w:rPr>
            </w:pPr>
          </w:p>
        </w:tc>
        <w:tc>
          <w:tcPr>
            <w:tcW w:w="0" w:type="auto"/>
            <w:vAlign w:val="center"/>
            <w:hideMark/>
          </w:tcPr>
          <w:p w14:paraId="6E5CFD57" w14:textId="77777777" w:rsidR="00000000" w:rsidRDefault="00405D16">
            <w:pPr>
              <w:spacing w:after="100"/>
              <w:rPr>
                <w:rFonts w:eastAsia="Times New Roman"/>
                <w:sz w:val="20"/>
                <w:szCs w:val="20"/>
              </w:rPr>
            </w:pPr>
          </w:p>
        </w:tc>
        <w:tc>
          <w:tcPr>
            <w:tcW w:w="0" w:type="auto"/>
            <w:vAlign w:val="center"/>
            <w:hideMark/>
          </w:tcPr>
          <w:p w14:paraId="006FEAB8" w14:textId="77777777" w:rsidR="00000000" w:rsidRDefault="00405D16">
            <w:pPr>
              <w:spacing w:after="100"/>
              <w:rPr>
                <w:rFonts w:eastAsia="Times New Roman"/>
                <w:sz w:val="20"/>
                <w:szCs w:val="20"/>
              </w:rPr>
            </w:pPr>
          </w:p>
        </w:tc>
        <w:tc>
          <w:tcPr>
            <w:tcW w:w="0" w:type="auto"/>
            <w:vAlign w:val="center"/>
            <w:hideMark/>
          </w:tcPr>
          <w:p w14:paraId="608C4EE9" w14:textId="77777777" w:rsidR="00000000" w:rsidRDefault="00405D16">
            <w:pPr>
              <w:spacing w:after="100"/>
              <w:rPr>
                <w:rFonts w:eastAsia="Times New Roman"/>
                <w:sz w:val="20"/>
                <w:szCs w:val="20"/>
              </w:rPr>
            </w:pPr>
          </w:p>
        </w:tc>
        <w:tc>
          <w:tcPr>
            <w:tcW w:w="0" w:type="auto"/>
            <w:vAlign w:val="center"/>
            <w:hideMark/>
          </w:tcPr>
          <w:p w14:paraId="01BC3816" w14:textId="77777777" w:rsidR="00000000" w:rsidRDefault="00405D16">
            <w:pPr>
              <w:spacing w:after="100"/>
              <w:rPr>
                <w:rFonts w:eastAsia="Times New Roman"/>
                <w:sz w:val="20"/>
                <w:szCs w:val="20"/>
              </w:rPr>
            </w:pPr>
          </w:p>
        </w:tc>
        <w:tc>
          <w:tcPr>
            <w:tcW w:w="0" w:type="auto"/>
            <w:vAlign w:val="center"/>
            <w:hideMark/>
          </w:tcPr>
          <w:p w14:paraId="2CC0511A" w14:textId="77777777" w:rsidR="00000000" w:rsidRDefault="00405D16">
            <w:pPr>
              <w:spacing w:after="100"/>
              <w:rPr>
                <w:rFonts w:eastAsia="Times New Roman"/>
                <w:sz w:val="20"/>
                <w:szCs w:val="20"/>
              </w:rPr>
            </w:pPr>
          </w:p>
        </w:tc>
        <w:tc>
          <w:tcPr>
            <w:tcW w:w="0" w:type="auto"/>
            <w:vAlign w:val="center"/>
            <w:hideMark/>
          </w:tcPr>
          <w:p w14:paraId="68F41342" w14:textId="77777777" w:rsidR="00000000" w:rsidRDefault="00405D16">
            <w:pPr>
              <w:spacing w:after="100"/>
              <w:rPr>
                <w:rFonts w:eastAsia="Times New Roman"/>
                <w:sz w:val="20"/>
                <w:szCs w:val="20"/>
              </w:rPr>
            </w:pPr>
          </w:p>
        </w:tc>
        <w:tc>
          <w:tcPr>
            <w:tcW w:w="0" w:type="auto"/>
            <w:vAlign w:val="center"/>
            <w:hideMark/>
          </w:tcPr>
          <w:p w14:paraId="7693C063" w14:textId="77777777" w:rsidR="00000000" w:rsidRDefault="00405D16">
            <w:pPr>
              <w:spacing w:after="100"/>
              <w:rPr>
                <w:rFonts w:eastAsia="Times New Roman"/>
                <w:sz w:val="20"/>
                <w:szCs w:val="20"/>
              </w:rPr>
            </w:pPr>
          </w:p>
        </w:tc>
      </w:tr>
      <w:tr w:rsidR="00000000" w14:paraId="3EC2FF85" w14:textId="77777777">
        <w:tc>
          <w:tcPr>
            <w:tcW w:w="0" w:type="auto"/>
            <w:gridSpan w:val="3"/>
            <w:vAlign w:val="center"/>
            <w:hideMark/>
          </w:tcPr>
          <w:p w14:paraId="029679E4" w14:textId="77777777" w:rsidR="00000000" w:rsidRDefault="00405D16">
            <w:pPr>
              <w:spacing w:after="100"/>
              <w:rPr>
                <w:rFonts w:eastAsia="Times New Roman"/>
                <w:sz w:val="20"/>
                <w:szCs w:val="20"/>
              </w:rPr>
            </w:pPr>
          </w:p>
        </w:tc>
        <w:tc>
          <w:tcPr>
            <w:tcW w:w="0" w:type="auto"/>
            <w:gridSpan w:val="3"/>
            <w:vAlign w:val="center"/>
            <w:hideMark/>
          </w:tcPr>
          <w:p w14:paraId="61CEC60A" w14:textId="77777777" w:rsidR="00000000" w:rsidRDefault="00405D16">
            <w:pPr>
              <w:spacing w:after="100"/>
              <w:rPr>
                <w:rFonts w:eastAsia="Times New Roman"/>
                <w:sz w:val="20"/>
                <w:szCs w:val="20"/>
              </w:rPr>
            </w:pPr>
          </w:p>
        </w:tc>
        <w:tc>
          <w:tcPr>
            <w:tcW w:w="0" w:type="auto"/>
            <w:gridSpan w:val="3"/>
            <w:vAlign w:val="center"/>
            <w:hideMark/>
          </w:tcPr>
          <w:p w14:paraId="54905FE6" w14:textId="77777777" w:rsidR="00000000" w:rsidRDefault="00405D16">
            <w:pPr>
              <w:spacing w:after="100"/>
              <w:rPr>
                <w:rFonts w:eastAsia="Times New Roman"/>
                <w:sz w:val="20"/>
                <w:szCs w:val="20"/>
              </w:rPr>
            </w:pPr>
          </w:p>
        </w:tc>
        <w:tc>
          <w:tcPr>
            <w:tcW w:w="0" w:type="auto"/>
            <w:gridSpan w:val="3"/>
            <w:vAlign w:val="center"/>
            <w:hideMark/>
          </w:tcPr>
          <w:p w14:paraId="41BBEB79" w14:textId="77777777" w:rsidR="00000000" w:rsidRDefault="00405D16">
            <w:pPr>
              <w:spacing w:after="100"/>
              <w:rPr>
                <w:rFonts w:eastAsia="Times New Roman"/>
                <w:sz w:val="20"/>
                <w:szCs w:val="20"/>
              </w:rPr>
            </w:pPr>
          </w:p>
        </w:tc>
        <w:tc>
          <w:tcPr>
            <w:tcW w:w="0" w:type="auto"/>
            <w:gridSpan w:val="3"/>
            <w:vAlign w:val="center"/>
            <w:hideMark/>
          </w:tcPr>
          <w:p w14:paraId="61455087" w14:textId="77777777" w:rsidR="00000000" w:rsidRDefault="00405D16">
            <w:pPr>
              <w:spacing w:after="100"/>
              <w:rPr>
                <w:rFonts w:eastAsia="Times New Roman"/>
                <w:sz w:val="20"/>
                <w:szCs w:val="20"/>
              </w:rPr>
            </w:pPr>
          </w:p>
        </w:tc>
        <w:tc>
          <w:tcPr>
            <w:tcW w:w="0" w:type="auto"/>
            <w:gridSpan w:val="3"/>
            <w:vAlign w:val="center"/>
            <w:hideMark/>
          </w:tcPr>
          <w:p w14:paraId="3B2F4780" w14:textId="77777777" w:rsidR="00000000" w:rsidRDefault="00405D16">
            <w:pPr>
              <w:spacing w:after="100"/>
              <w:rPr>
                <w:rFonts w:eastAsia="Times New Roman"/>
                <w:sz w:val="20"/>
                <w:szCs w:val="20"/>
              </w:rPr>
            </w:pPr>
          </w:p>
        </w:tc>
        <w:tc>
          <w:tcPr>
            <w:tcW w:w="0" w:type="auto"/>
            <w:gridSpan w:val="3"/>
            <w:vAlign w:val="center"/>
            <w:hideMark/>
          </w:tcPr>
          <w:p w14:paraId="1FD6C807" w14:textId="77777777" w:rsidR="00000000" w:rsidRDefault="00405D16">
            <w:pPr>
              <w:spacing w:after="100"/>
              <w:rPr>
                <w:rFonts w:eastAsia="Times New Roman"/>
                <w:sz w:val="20"/>
                <w:szCs w:val="20"/>
              </w:rPr>
            </w:pPr>
          </w:p>
        </w:tc>
        <w:tc>
          <w:tcPr>
            <w:tcW w:w="0" w:type="auto"/>
            <w:gridSpan w:val="3"/>
            <w:vAlign w:val="center"/>
            <w:hideMark/>
          </w:tcPr>
          <w:p w14:paraId="0DC475CF" w14:textId="77777777" w:rsidR="00000000" w:rsidRDefault="00405D16">
            <w:pPr>
              <w:spacing w:after="100"/>
              <w:rPr>
                <w:rFonts w:eastAsia="Times New Roman"/>
                <w:sz w:val="20"/>
                <w:szCs w:val="20"/>
              </w:rPr>
            </w:pPr>
          </w:p>
        </w:tc>
        <w:tc>
          <w:tcPr>
            <w:tcW w:w="0" w:type="auto"/>
            <w:vAlign w:val="center"/>
            <w:hideMark/>
          </w:tcPr>
          <w:p w14:paraId="44E841B1" w14:textId="77777777" w:rsidR="00000000" w:rsidRDefault="00405D16">
            <w:pPr>
              <w:spacing w:after="100"/>
              <w:rPr>
                <w:rFonts w:eastAsia="Times New Roman"/>
                <w:sz w:val="20"/>
                <w:szCs w:val="20"/>
              </w:rPr>
            </w:pPr>
          </w:p>
        </w:tc>
        <w:tc>
          <w:tcPr>
            <w:tcW w:w="0" w:type="auto"/>
            <w:vAlign w:val="center"/>
            <w:hideMark/>
          </w:tcPr>
          <w:p w14:paraId="1D2D05AF" w14:textId="77777777" w:rsidR="00000000" w:rsidRDefault="00405D16">
            <w:pPr>
              <w:spacing w:after="100"/>
              <w:rPr>
                <w:rFonts w:eastAsia="Times New Roman"/>
                <w:sz w:val="20"/>
                <w:szCs w:val="20"/>
              </w:rPr>
            </w:pPr>
          </w:p>
        </w:tc>
        <w:tc>
          <w:tcPr>
            <w:tcW w:w="0" w:type="auto"/>
            <w:vAlign w:val="center"/>
            <w:hideMark/>
          </w:tcPr>
          <w:p w14:paraId="633FD101" w14:textId="77777777" w:rsidR="00000000" w:rsidRDefault="00405D16">
            <w:pPr>
              <w:spacing w:after="100"/>
              <w:rPr>
                <w:rFonts w:eastAsia="Times New Roman"/>
                <w:sz w:val="20"/>
                <w:szCs w:val="20"/>
              </w:rPr>
            </w:pPr>
          </w:p>
        </w:tc>
        <w:tc>
          <w:tcPr>
            <w:tcW w:w="0" w:type="auto"/>
            <w:vAlign w:val="center"/>
            <w:hideMark/>
          </w:tcPr>
          <w:p w14:paraId="224209AD" w14:textId="77777777" w:rsidR="00000000" w:rsidRDefault="00405D16">
            <w:pPr>
              <w:spacing w:after="100"/>
              <w:rPr>
                <w:rFonts w:eastAsia="Times New Roman"/>
                <w:sz w:val="20"/>
                <w:szCs w:val="20"/>
              </w:rPr>
            </w:pPr>
          </w:p>
        </w:tc>
        <w:tc>
          <w:tcPr>
            <w:tcW w:w="0" w:type="auto"/>
            <w:vAlign w:val="center"/>
            <w:hideMark/>
          </w:tcPr>
          <w:p w14:paraId="5A7A046B" w14:textId="77777777" w:rsidR="00000000" w:rsidRDefault="00405D16">
            <w:pPr>
              <w:spacing w:after="100"/>
              <w:rPr>
                <w:rFonts w:eastAsia="Times New Roman"/>
                <w:sz w:val="20"/>
                <w:szCs w:val="20"/>
              </w:rPr>
            </w:pPr>
          </w:p>
        </w:tc>
        <w:tc>
          <w:tcPr>
            <w:tcW w:w="0" w:type="auto"/>
            <w:vAlign w:val="center"/>
            <w:hideMark/>
          </w:tcPr>
          <w:p w14:paraId="16085D28" w14:textId="77777777" w:rsidR="00000000" w:rsidRDefault="00405D16">
            <w:pPr>
              <w:spacing w:after="100"/>
              <w:rPr>
                <w:rFonts w:eastAsia="Times New Roman"/>
                <w:sz w:val="20"/>
                <w:szCs w:val="20"/>
              </w:rPr>
            </w:pPr>
          </w:p>
        </w:tc>
        <w:tc>
          <w:tcPr>
            <w:tcW w:w="0" w:type="auto"/>
            <w:vAlign w:val="center"/>
            <w:hideMark/>
          </w:tcPr>
          <w:p w14:paraId="59EA8AAA" w14:textId="77777777" w:rsidR="00000000" w:rsidRDefault="00405D16">
            <w:pPr>
              <w:spacing w:after="100"/>
              <w:rPr>
                <w:rFonts w:eastAsia="Times New Roman"/>
                <w:sz w:val="20"/>
                <w:szCs w:val="20"/>
              </w:rPr>
            </w:pPr>
          </w:p>
        </w:tc>
        <w:tc>
          <w:tcPr>
            <w:tcW w:w="0" w:type="auto"/>
            <w:vAlign w:val="center"/>
            <w:hideMark/>
          </w:tcPr>
          <w:p w14:paraId="15D6925F" w14:textId="77777777" w:rsidR="00000000" w:rsidRDefault="00405D16">
            <w:pPr>
              <w:spacing w:after="100"/>
              <w:rPr>
                <w:rFonts w:eastAsia="Times New Roman"/>
                <w:sz w:val="20"/>
                <w:szCs w:val="20"/>
              </w:rPr>
            </w:pPr>
          </w:p>
        </w:tc>
        <w:tc>
          <w:tcPr>
            <w:tcW w:w="0" w:type="auto"/>
            <w:vAlign w:val="center"/>
            <w:hideMark/>
          </w:tcPr>
          <w:p w14:paraId="63BA0E97" w14:textId="77777777" w:rsidR="00000000" w:rsidRDefault="00405D16">
            <w:pPr>
              <w:spacing w:after="100"/>
              <w:rPr>
                <w:rFonts w:eastAsia="Times New Roman"/>
                <w:sz w:val="20"/>
                <w:szCs w:val="20"/>
              </w:rPr>
            </w:pPr>
          </w:p>
        </w:tc>
        <w:tc>
          <w:tcPr>
            <w:tcW w:w="0" w:type="auto"/>
            <w:vAlign w:val="center"/>
            <w:hideMark/>
          </w:tcPr>
          <w:p w14:paraId="73CEAD04" w14:textId="77777777" w:rsidR="00000000" w:rsidRDefault="00405D16">
            <w:pPr>
              <w:spacing w:after="100"/>
              <w:rPr>
                <w:rFonts w:eastAsia="Times New Roman"/>
                <w:sz w:val="20"/>
                <w:szCs w:val="20"/>
              </w:rPr>
            </w:pPr>
          </w:p>
        </w:tc>
        <w:tc>
          <w:tcPr>
            <w:tcW w:w="0" w:type="auto"/>
            <w:vAlign w:val="center"/>
            <w:hideMark/>
          </w:tcPr>
          <w:p w14:paraId="5AD05D73" w14:textId="77777777" w:rsidR="00000000" w:rsidRDefault="00405D16">
            <w:pPr>
              <w:spacing w:after="100"/>
              <w:rPr>
                <w:rFonts w:eastAsia="Times New Roman"/>
                <w:sz w:val="20"/>
                <w:szCs w:val="20"/>
              </w:rPr>
            </w:pPr>
          </w:p>
        </w:tc>
        <w:tc>
          <w:tcPr>
            <w:tcW w:w="0" w:type="auto"/>
            <w:vAlign w:val="center"/>
            <w:hideMark/>
          </w:tcPr>
          <w:p w14:paraId="069DED4E" w14:textId="77777777" w:rsidR="00000000" w:rsidRDefault="00405D16">
            <w:pPr>
              <w:spacing w:after="100"/>
              <w:rPr>
                <w:rFonts w:eastAsia="Times New Roman"/>
                <w:sz w:val="20"/>
                <w:szCs w:val="20"/>
              </w:rPr>
            </w:pPr>
          </w:p>
        </w:tc>
        <w:tc>
          <w:tcPr>
            <w:tcW w:w="0" w:type="auto"/>
            <w:vAlign w:val="center"/>
            <w:hideMark/>
          </w:tcPr>
          <w:p w14:paraId="73A58BB8" w14:textId="77777777" w:rsidR="00000000" w:rsidRDefault="00405D16">
            <w:pPr>
              <w:spacing w:after="100"/>
              <w:rPr>
                <w:rFonts w:eastAsia="Times New Roman"/>
                <w:sz w:val="20"/>
                <w:szCs w:val="20"/>
              </w:rPr>
            </w:pPr>
          </w:p>
        </w:tc>
        <w:tc>
          <w:tcPr>
            <w:tcW w:w="0" w:type="auto"/>
            <w:vAlign w:val="center"/>
            <w:hideMark/>
          </w:tcPr>
          <w:p w14:paraId="30EE0F80" w14:textId="77777777" w:rsidR="00000000" w:rsidRDefault="00405D16">
            <w:pPr>
              <w:spacing w:after="100"/>
              <w:rPr>
                <w:rFonts w:eastAsia="Times New Roman"/>
                <w:sz w:val="20"/>
                <w:szCs w:val="20"/>
              </w:rPr>
            </w:pPr>
          </w:p>
        </w:tc>
        <w:tc>
          <w:tcPr>
            <w:tcW w:w="0" w:type="auto"/>
            <w:vAlign w:val="center"/>
            <w:hideMark/>
          </w:tcPr>
          <w:p w14:paraId="37D56C81" w14:textId="77777777" w:rsidR="00000000" w:rsidRDefault="00405D16">
            <w:pPr>
              <w:spacing w:after="100"/>
              <w:rPr>
                <w:rFonts w:eastAsia="Times New Roman"/>
                <w:sz w:val="20"/>
                <w:szCs w:val="20"/>
              </w:rPr>
            </w:pPr>
          </w:p>
        </w:tc>
        <w:tc>
          <w:tcPr>
            <w:tcW w:w="0" w:type="auto"/>
            <w:vAlign w:val="center"/>
            <w:hideMark/>
          </w:tcPr>
          <w:p w14:paraId="11B063E3" w14:textId="77777777" w:rsidR="00000000" w:rsidRDefault="00405D16">
            <w:pPr>
              <w:spacing w:after="100"/>
              <w:rPr>
                <w:rFonts w:eastAsia="Times New Roman"/>
                <w:sz w:val="20"/>
                <w:szCs w:val="20"/>
              </w:rPr>
            </w:pPr>
          </w:p>
        </w:tc>
        <w:tc>
          <w:tcPr>
            <w:tcW w:w="0" w:type="auto"/>
            <w:vAlign w:val="center"/>
            <w:hideMark/>
          </w:tcPr>
          <w:p w14:paraId="36F4B8D5" w14:textId="77777777" w:rsidR="00000000" w:rsidRDefault="00405D16">
            <w:pPr>
              <w:spacing w:after="100"/>
              <w:rPr>
                <w:rFonts w:eastAsia="Times New Roman"/>
                <w:sz w:val="20"/>
                <w:szCs w:val="20"/>
              </w:rPr>
            </w:pPr>
          </w:p>
        </w:tc>
        <w:tc>
          <w:tcPr>
            <w:tcW w:w="0" w:type="auto"/>
            <w:vAlign w:val="center"/>
            <w:hideMark/>
          </w:tcPr>
          <w:p w14:paraId="65639426" w14:textId="77777777" w:rsidR="00000000" w:rsidRDefault="00405D16">
            <w:pPr>
              <w:spacing w:after="100"/>
              <w:rPr>
                <w:rFonts w:eastAsia="Times New Roman"/>
                <w:sz w:val="20"/>
                <w:szCs w:val="20"/>
              </w:rPr>
            </w:pPr>
          </w:p>
        </w:tc>
        <w:tc>
          <w:tcPr>
            <w:tcW w:w="0" w:type="auto"/>
            <w:vAlign w:val="center"/>
            <w:hideMark/>
          </w:tcPr>
          <w:p w14:paraId="38376EAA" w14:textId="77777777" w:rsidR="00000000" w:rsidRDefault="00405D16">
            <w:pPr>
              <w:spacing w:after="100"/>
              <w:rPr>
                <w:rFonts w:eastAsia="Times New Roman"/>
                <w:sz w:val="20"/>
                <w:szCs w:val="20"/>
              </w:rPr>
            </w:pPr>
          </w:p>
        </w:tc>
        <w:tc>
          <w:tcPr>
            <w:tcW w:w="0" w:type="auto"/>
            <w:vAlign w:val="center"/>
            <w:hideMark/>
          </w:tcPr>
          <w:p w14:paraId="419D4913" w14:textId="77777777" w:rsidR="00000000" w:rsidRDefault="00405D16">
            <w:pPr>
              <w:spacing w:after="100"/>
              <w:rPr>
                <w:rFonts w:eastAsia="Times New Roman"/>
                <w:sz w:val="20"/>
                <w:szCs w:val="20"/>
              </w:rPr>
            </w:pPr>
          </w:p>
        </w:tc>
        <w:tc>
          <w:tcPr>
            <w:tcW w:w="0" w:type="auto"/>
            <w:vAlign w:val="center"/>
            <w:hideMark/>
          </w:tcPr>
          <w:p w14:paraId="4A092529" w14:textId="77777777" w:rsidR="00000000" w:rsidRDefault="00405D16">
            <w:pPr>
              <w:spacing w:after="100"/>
              <w:rPr>
                <w:rFonts w:eastAsia="Times New Roman"/>
                <w:sz w:val="20"/>
                <w:szCs w:val="20"/>
              </w:rPr>
            </w:pPr>
          </w:p>
        </w:tc>
        <w:tc>
          <w:tcPr>
            <w:tcW w:w="0" w:type="auto"/>
            <w:vAlign w:val="center"/>
            <w:hideMark/>
          </w:tcPr>
          <w:p w14:paraId="5BE365C4" w14:textId="77777777" w:rsidR="00000000" w:rsidRDefault="00405D16">
            <w:pPr>
              <w:spacing w:after="100"/>
              <w:rPr>
                <w:rFonts w:eastAsia="Times New Roman"/>
                <w:sz w:val="20"/>
                <w:szCs w:val="20"/>
              </w:rPr>
            </w:pPr>
          </w:p>
        </w:tc>
        <w:tc>
          <w:tcPr>
            <w:tcW w:w="0" w:type="auto"/>
            <w:vAlign w:val="center"/>
            <w:hideMark/>
          </w:tcPr>
          <w:p w14:paraId="3DC4022B" w14:textId="77777777" w:rsidR="00000000" w:rsidRDefault="00405D16">
            <w:pPr>
              <w:spacing w:after="100"/>
              <w:rPr>
                <w:rFonts w:eastAsia="Times New Roman"/>
                <w:sz w:val="20"/>
                <w:szCs w:val="20"/>
              </w:rPr>
            </w:pPr>
          </w:p>
        </w:tc>
        <w:tc>
          <w:tcPr>
            <w:tcW w:w="0" w:type="auto"/>
            <w:vAlign w:val="center"/>
            <w:hideMark/>
          </w:tcPr>
          <w:p w14:paraId="23941007" w14:textId="77777777" w:rsidR="00000000" w:rsidRDefault="00405D16">
            <w:pPr>
              <w:spacing w:after="100"/>
              <w:rPr>
                <w:rFonts w:eastAsia="Times New Roman"/>
                <w:sz w:val="20"/>
                <w:szCs w:val="20"/>
              </w:rPr>
            </w:pPr>
          </w:p>
        </w:tc>
        <w:tc>
          <w:tcPr>
            <w:tcW w:w="0" w:type="auto"/>
            <w:vAlign w:val="center"/>
            <w:hideMark/>
          </w:tcPr>
          <w:p w14:paraId="02379F4F" w14:textId="77777777" w:rsidR="00000000" w:rsidRDefault="00405D16">
            <w:pPr>
              <w:spacing w:after="100"/>
              <w:rPr>
                <w:rFonts w:eastAsia="Times New Roman"/>
                <w:sz w:val="20"/>
                <w:szCs w:val="20"/>
              </w:rPr>
            </w:pPr>
          </w:p>
        </w:tc>
        <w:tc>
          <w:tcPr>
            <w:tcW w:w="0" w:type="auto"/>
            <w:vAlign w:val="center"/>
            <w:hideMark/>
          </w:tcPr>
          <w:p w14:paraId="2AE7471B" w14:textId="77777777" w:rsidR="00000000" w:rsidRDefault="00405D16">
            <w:pPr>
              <w:spacing w:after="100"/>
              <w:rPr>
                <w:rFonts w:eastAsia="Times New Roman"/>
                <w:sz w:val="20"/>
                <w:szCs w:val="20"/>
              </w:rPr>
            </w:pPr>
          </w:p>
        </w:tc>
        <w:tc>
          <w:tcPr>
            <w:tcW w:w="0" w:type="auto"/>
            <w:vAlign w:val="center"/>
            <w:hideMark/>
          </w:tcPr>
          <w:p w14:paraId="059FB380" w14:textId="77777777" w:rsidR="00000000" w:rsidRDefault="00405D16">
            <w:pPr>
              <w:spacing w:after="100"/>
              <w:rPr>
                <w:rFonts w:eastAsia="Times New Roman"/>
                <w:sz w:val="20"/>
                <w:szCs w:val="20"/>
              </w:rPr>
            </w:pPr>
          </w:p>
        </w:tc>
        <w:tc>
          <w:tcPr>
            <w:tcW w:w="0" w:type="auto"/>
            <w:vAlign w:val="center"/>
            <w:hideMark/>
          </w:tcPr>
          <w:p w14:paraId="5AB5F410" w14:textId="77777777" w:rsidR="00000000" w:rsidRDefault="00405D16">
            <w:pPr>
              <w:spacing w:after="100"/>
              <w:rPr>
                <w:rFonts w:eastAsia="Times New Roman"/>
                <w:sz w:val="20"/>
                <w:szCs w:val="20"/>
              </w:rPr>
            </w:pPr>
          </w:p>
        </w:tc>
        <w:tc>
          <w:tcPr>
            <w:tcW w:w="0" w:type="auto"/>
            <w:vAlign w:val="center"/>
            <w:hideMark/>
          </w:tcPr>
          <w:p w14:paraId="1160FD5B" w14:textId="77777777" w:rsidR="00000000" w:rsidRDefault="00405D16">
            <w:pPr>
              <w:spacing w:after="100"/>
              <w:rPr>
                <w:rFonts w:eastAsia="Times New Roman"/>
                <w:sz w:val="20"/>
                <w:szCs w:val="20"/>
              </w:rPr>
            </w:pPr>
          </w:p>
        </w:tc>
        <w:tc>
          <w:tcPr>
            <w:tcW w:w="0" w:type="auto"/>
            <w:vAlign w:val="center"/>
            <w:hideMark/>
          </w:tcPr>
          <w:p w14:paraId="50E442FB" w14:textId="77777777" w:rsidR="00000000" w:rsidRDefault="00405D16">
            <w:pPr>
              <w:spacing w:after="100"/>
              <w:rPr>
                <w:rFonts w:eastAsia="Times New Roman"/>
                <w:sz w:val="20"/>
                <w:szCs w:val="20"/>
              </w:rPr>
            </w:pPr>
          </w:p>
        </w:tc>
        <w:tc>
          <w:tcPr>
            <w:tcW w:w="0" w:type="auto"/>
            <w:vAlign w:val="center"/>
            <w:hideMark/>
          </w:tcPr>
          <w:p w14:paraId="5FEA767E" w14:textId="77777777" w:rsidR="00000000" w:rsidRDefault="00405D16">
            <w:pPr>
              <w:spacing w:after="100"/>
              <w:rPr>
                <w:rFonts w:eastAsia="Times New Roman"/>
                <w:sz w:val="20"/>
                <w:szCs w:val="20"/>
              </w:rPr>
            </w:pPr>
          </w:p>
        </w:tc>
        <w:tc>
          <w:tcPr>
            <w:tcW w:w="0" w:type="auto"/>
            <w:vAlign w:val="center"/>
            <w:hideMark/>
          </w:tcPr>
          <w:p w14:paraId="40D09B69" w14:textId="77777777" w:rsidR="00000000" w:rsidRDefault="00405D16">
            <w:pPr>
              <w:spacing w:after="100"/>
              <w:rPr>
                <w:rFonts w:eastAsia="Times New Roman"/>
                <w:sz w:val="20"/>
                <w:szCs w:val="20"/>
              </w:rPr>
            </w:pPr>
          </w:p>
        </w:tc>
        <w:tc>
          <w:tcPr>
            <w:tcW w:w="0" w:type="auto"/>
            <w:vAlign w:val="center"/>
            <w:hideMark/>
          </w:tcPr>
          <w:p w14:paraId="1DE6EA9B" w14:textId="77777777" w:rsidR="00000000" w:rsidRDefault="00405D16">
            <w:pPr>
              <w:spacing w:after="100"/>
              <w:rPr>
                <w:rFonts w:eastAsia="Times New Roman"/>
                <w:sz w:val="20"/>
                <w:szCs w:val="20"/>
              </w:rPr>
            </w:pPr>
          </w:p>
        </w:tc>
      </w:tr>
      <w:tr w:rsidR="00000000" w14:paraId="3A9E0D43" w14:textId="77777777">
        <w:tc>
          <w:tcPr>
            <w:tcW w:w="0" w:type="auto"/>
            <w:gridSpan w:val="3"/>
            <w:vAlign w:val="center"/>
            <w:hideMark/>
          </w:tcPr>
          <w:p w14:paraId="59D16888" w14:textId="77777777" w:rsidR="00000000" w:rsidRDefault="00405D16">
            <w:pPr>
              <w:spacing w:after="100"/>
              <w:rPr>
                <w:rFonts w:eastAsia="Times New Roman"/>
                <w:sz w:val="20"/>
                <w:szCs w:val="20"/>
              </w:rPr>
            </w:pPr>
          </w:p>
        </w:tc>
        <w:tc>
          <w:tcPr>
            <w:tcW w:w="0" w:type="auto"/>
            <w:gridSpan w:val="3"/>
            <w:vAlign w:val="center"/>
            <w:hideMark/>
          </w:tcPr>
          <w:p w14:paraId="51A413BB" w14:textId="77777777" w:rsidR="00000000" w:rsidRDefault="00405D16">
            <w:pPr>
              <w:spacing w:after="100"/>
              <w:rPr>
                <w:rFonts w:eastAsia="Times New Roman"/>
                <w:sz w:val="20"/>
                <w:szCs w:val="20"/>
              </w:rPr>
            </w:pPr>
          </w:p>
        </w:tc>
        <w:tc>
          <w:tcPr>
            <w:tcW w:w="0" w:type="auto"/>
            <w:gridSpan w:val="3"/>
            <w:vAlign w:val="center"/>
            <w:hideMark/>
          </w:tcPr>
          <w:p w14:paraId="1E95BD1C" w14:textId="77777777" w:rsidR="00000000" w:rsidRDefault="00405D16">
            <w:pPr>
              <w:spacing w:after="100"/>
              <w:rPr>
                <w:rFonts w:eastAsia="Times New Roman"/>
                <w:sz w:val="20"/>
                <w:szCs w:val="20"/>
              </w:rPr>
            </w:pPr>
          </w:p>
        </w:tc>
        <w:tc>
          <w:tcPr>
            <w:tcW w:w="0" w:type="auto"/>
            <w:gridSpan w:val="3"/>
            <w:vAlign w:val="center"/>
            <w:hideMark/>
          </w:tcPr>
          <w:p w14:paraId="71849C48" w14:textId="77777777" w:rsidR="00000000" w:rsidRDefault="00405D16">
            <w:pPr>
              <w:spacing w:after="100"/>
              <w:rPr>
                <w:rFonts w:eastAsia="Times New Roman"/>
                <w:sz w:val="20"/>
                <w:szCs w:val="20"/>
              </w:rPr>
            </w:pPr>
          </w:p>
        </w:tc>
        <w:tc>
          <w:tcPr>
            <w:tcW w:w="0" w:type="auto"/>
            <w:gridSpan w:val="3"/>
            <w:vAlign w:val="center"/>
            <w:hideMark/>
          </w:tcPr>
          <w:p w14:paraId="076C7071" w14:textId="77777777" w:rsidR="00000000" w:rsidRDefault="00405D16">
            <w:pPr>
              <w:spacing w:after="100"/>
              <w:rPr>
                <w:rFonts w:eastAsia="Times New Roman"/>
                <w:sz w:val="20"/>
                <w:szCs w:val="20"/>
              </w:rPr>
            </w:pPr>
          </w:p>
        </w:tc>
        <w:tc>
          <w:tcPr>
            <w:tcW w:w="0" w:type="auto"/>
            <w:gridSpan w:val="3"/>
            <w:vAlign w:val="center"/>
            <w:hideMark/>
          </w:tcPr>
          <w:p w14:paraId="6622634F" w14:textId="77777777" w:rsidR="00000000" w:rsidRDefault="00405D16">
            <w:pPr>
              <w:spacing w:after="100"/>
              <w:rPr>
                <w:rFonts w:eastAsia="Times New Roman"/>
                <w:sz w:val="20"/>
                <w:szCs w:val="20"/>
              </w:rPr>
            </w:pPr>
          </w:p>
        </w:tc>
        <w:tc>
          <w:tcPr>
            <w:tcW w:w="0" w:type="auto"/>
            <w:gridSpan w:val="3"/>
            <w:vAlign w:val="center"/>
            <w:hideMark/>
          </w:tcPr>
          <w:p w14:paraId="5048B9BF" w14:textId="77777777" w:rsidR="00000000" w:rsidRDefault="00405D16">
            <w:pPr>
              <w:spacing w:after="100"/>
              <w:rPr>
                <w:rFonts w:eastAsia="Times New Roman"/>
                <w:sz w:val="20"/>
                <w:szCs w:val="20"/>
              </w:rPr>
            </w:pPr>
          </w:p>
        </w:tc>
        <w:tc>
          <w:tcPr>
            <w:tcW w:w="0" w:type="auto"/>
            <w:gridSpan w:val="3"/>
            <w:vAlign w:val="center"/>
            <w:hideMark/>
          </w:tcPr>
          <w:p w14:paraId="110AAB62" w14:textId="77777777" w:rsidR="00000000" w:rsidRDefault="00405D16">
            <w:pPr>
              <w:spacing w:after="100"/>
              <w:rPr>
                <w:rFonts w:eastAsia="Times New Roman"/>
                <w:sz w:val="20"/>
                <w:szCs w:val="20"/>
              </w:rPr>
            </w:pPr>
          </w:p>
        </w:tc>
        <w:tc>
          <w:tcPr>
            <w:tcW w:w="0" w:type="auto"/>
            <w:gridSpan w:val="3"/>
            <w:vAlign w:val="center"/>
            <w:hideMark/>
          </w:tcPr>
          <w:p w14:paraId="615D7DA8" w14:textId="77777777" w:rsidR="00000000" w:rsidRDefault="00405D16">
            <w:pPr>
              <w:spacing w:after="100"/>
              <w:rPr>
                <w:rFonts w:eastAsia="Times New Roman"/>
                <w:sz w:val="20"/>
                <w:szCs w:val="20"/>
              </w:rPr>
            </w:pPr>
          </w:p>
        </w:tc>
        <w:tc>
          <w:tcPr>
            <w:tcW w:w="0" w:type="auto"/>
            <w:gridSpan w:val="3"/>
            <w:vAlign w:val="center"/>
            <w:hideMark/>
          </w:tcPr>
          <w:p w14:paraId="5AAA7291" w14:textId="77777777" w:rsidR="00000000" w:rsidRDefault="00405D16">
            <w:pPr>
              <w:spacing w:after="100"/>
              <w:rPr>
                <w:rFonts w:eastAsia="Times New Roman"/>
                <w:sz w:val="20"/>
                <w:szCs w:val="20"/>
              </w:rPr>
            </w:pPr>
          </w:p>
        </w:tc>
        <w:tc>
          <w:tcPr>
            <w:tcW w:w="0" w:type="auto"/>
            <w:gridSpan w:val="3"/>
            <w:vAlign w:val="center"/>
            <w:hideMark/>
          </w:tcPr>
          <w:p w14:paraId="57FA0B07" w14:textId="77777777" w:rsidR="00000000" w:rsidRDefault="00405D16">
            <w:pPr>
              <w:spacing w:after="100"/>
              <w:rPr>
                <w:rFonts w:eastAsia="Times New Roman"/>
                <w:sz w:val="20"/>
                <w:szCs w:val="20"/>
              </w:rPr>
            </w:pPr>
          </w:p>
        </w:tc>
        <w:tc>
          <w:tcPr>
            <w:tcW w:w="0" w:type="auto"/>
            <w:gridSpan w:val="3"/>
            <w:vAlign w:val="center"/>
            <w:hideMark/>
          </w:tcPr>
          <w:p w14:paraId="2E85EA07" w14:textId="77777777" w:rsidR="00000000" w:rsidRDefault="00405D16">
            <w:pPr>
              <w:spacing w:after="100"/>
              <w:rPr>
                <w:rFonts w:eastAsia="Times New Roman"/>
                <w:sz w:val="20"/>
                <w:szCs w:val="20"/>
              </w:rPr>
            </w:pPr>
          </w:p>
        </w:tc>
        <w:tc>
          <w:tcPr>
            <w:tcW w:w="0" w:type="auto"/>
            <w:gridSpan w:val="3"/>
            <w:vAlign w:val="center"/>
            <w:hideMark/>
          </w:tcPr>
          <w:p w14:paraId="626FEA41" w14:textId="77777777" w:rsidR="00000000" w:rsidRDefault="00405D16">
            <w:pPr>
              <w:spacing w:after="100"/>
              <w:rPr>
                <w:rFonts w:eastAsia="Times New Roman"/>
                <w:sz w:val="20"/>
                <w:szCs w:val="20"/>
              </w:rPr>
            </w:pPr>
          </w:p>
        </w:tc>
        <w:tc>
          <w:tcPr>
            <w:tcW w:w="0" w:type="auto"/>
            <w:gridSpan w:val="3"/>
            <w:vAlign w:val="center"/>
            <w:hideMark/>
          </w:tcPr>
          <w:p w14:paraId="7A7AA609" w14:textId="77777777" w:rsidR="00000000" w:rsidRDefault="00405D16">
            <w:pPr>
              <w:spacing w:after="100"/>
              <w:rPr>
                <w:rFonts w:eastAsia="Times New Roman"/>
                <w:sz w:val="20"/>
                <w:szCs w:val="20"/>
              </w:rPr>
            </w:pPr>
          </w:p>
        </w:tc>
        <w:tc>
          <w:tcPr>
            <w:tcW w:w="0" w:type="auto"/>
            <w:gridSpan w:val="3"/>
            <w:vAlign w:val="center"/>
            <w:hideMark/>
          </w:tcPr>
          <w:p w14:paraId="4E40B316" w14:textId="77777777" w:rsidR="00000000" w:rsidRDefault="00405D16">
            <w:pPr>
              <w:spacing w:after="100"/>
              <w:rPr>
                <w:rFonts w:eastAsia="Times New Roman"/>
                <w:sz w:val="20"/>
                <w:szCs w:val="20"/>
              </w:rPr>
            </w:pPr>
          </w:p>
        </w:tc>
        <w:tc>
          <w:tcPr>
            <w:tcW w:w="0" w:type="auto"/>
            <w:gridSpan w:val="3"/>
            <w:vAlign w:val="center"/>
            <w:hideMark/>
          </w:tcPr>
          <w:p w14:paraId="23232ABC" w14:textId="77777777" w:rsidR="00000000" w:rsidRDefault="00405D16">
            <w:pPr>
              <w:spacing w:after="100"/>
              <w:rPr>
                <w:rFonts w:eastAsia="Times New Roman"/>
                <w:sz w:val="20"/>
                <w:szCs w:val="20"/>
              </w:rPr>
            </w:pPr>
          </w:p>
        </w:tc>
        <w:tc>
          <w:tcPr>
            <w:tcW w:w="0" w:type="auto"/>
            <w:gridSpan w:val="3"/>
            <w:vAlign w:val="center"/>
            <w:hideMark/>
          </w:tcPr>
          <w:p w14:paraId="172B3CAD" w14:textId="77777777" w:rsidR="00000000" w:rsidRDefault="00405D16">
            <w:pPr>
              <w:spacing w:after="100"/>
              <w:rPr>
                <w:rFonts w:eastAsia="Times New Roman"/>
                <w:sz w:val="20"/>
                <w:szCs w:val="20"/>
              </w:rPr>
            </w:pPr>
          </w:p>
        </w:tc>
        <w:tc>
          <w:tcPr>
            <w:tcW w:w="0" w:type="auto"/>
            <w:gridSpan w:val="3"/>
            <w:vAlign w:val="center"/>
            <w:hideMark/>
          </w:tcPr>
          <w:p w14:paraId="70C36C2C" w14:textId="77777777" w:rsidR="00000000" w:rsidRDefault="00405D16">
            <w:pPr>
              <w:spacing w:after="100"/>
              <w:rPr>
                <w:rFonts w:eastAsia="Times New Roman"/>
                <w:sz w:val="20"/>
                <w:szCs w:val="20"/>
              </w:rPr>
            </w:pPr>
          </w:p>
        </w:tc>
        <w:tc>
          <w:tcPr>
            <w:tcW w:w="0" w:type="auto"/>
            <w:gridSpan w:val="3"/>
            <w:vAlign w:val="center"/>
            <w:hideMark/>
          </w:tcPr>
          <w:p w14:paraId="1419BE16" w14:textId="77777777" w:rsidR="00000000" w:rsidRDefault="00405D16">
            <w:pPr>
              <w:spacing w:after="100"/>
              <w:rPr>
                <w:rFonts w:eastAsia="Times New Roman"/>
                <w:sz w:val="20"/>
                <w:szCs w:val="20"/>
              </w:rPr>
            </w:pPr>
          </w:p>
        </w:tc>
      </w:tr>
      <w:tr w:rsidR="00000000" w14:paraId="40100A7E" w14:textId="77777777">
        <w:tc>
          <w:tcPr>
            <w:tcW w:w="0" w:type="auto"/>
            <w:gridSpan w:val="3"/>
            <w:vAlign w:val="center"/>
            <w:hideMark/>
          </w:tcPr>
          <w:p w14:paraId="5C6F90D0" w14:textId="77777777" w:rsidR="00000000" w:rsidRDefault="00405D16">
            <w:pPr>
              <w:spacing w:after="100"/>
              <w:rPr>
                <w:rFonts w:eastAsia="Times New Roman"/>
                <w:sz w:val="20"/>
                <w:szCs w:val="20"/>
              </w:rPr>
            </w:pPr>
          </w:p>
        </w:tc>
        <w:tc>
          <w:tcPr>
            <w:tcW w:w="0" w:type="auto"/>
            <w:gridSpan w:val="3"/>
            <w:vAlign w:val="center"/>
            <w:hideMark/>
          </w:tcPr>
          <w:p w14:paraId="3F1374B9" w14:textId="77777777" w:rsidR="00000000" w:rsidRDefault="00405D16">
            <w:pPr>
              <w:spacing w:after="100"/>
              <w:rPr>
                <w:rFonts w:eastAsia="Times New Roman"/>
                <w:sz w:val="20"/>
                <w:szCs w:val="20"/>
              </w:rPr>
            </w:pPr>
          </w:p>
        </w:tc>
        <w:tc>
          <w:tcPr>
            <w:tcW w:w="0" w:type="auto"/>
            <w:gridSpan w:val="3"/>
            <w:vAlign w:val="center"/>
            <w:hideMark/>
          </w:tcPr>
          <w:p w14:paraId="6871AC08" w14:textId="77777777" w:rsidR="00000000" w:rsidRDefault="00405D16">
            <w:pPr>
              <w:spacing w:after="100"/>
              <w:rPr>
                <w:rFonts w:eastAsia="Times New Roman"/>
                <w:sz w:val="20"/>
                <w:szCs w:val="20"/>
              </w:rPr>
            </w:pPr>
          </w:p>
        </w:tc>
        <w:tc>
          <w:tcPr>
            <w:tcW w:w="0" w:type="auto"/>
            <w:gridSpan w:val="3"/>
            <w:vAlign w:val="center"/>
            <w:hideMark/>
          </w:tcPr>
          <w:p w14:paraId="6BE18C0A" w14:textId="77777777" w:rsidR="00000000" w:rsidRDefault="00405D16">
            <w:pPr>
              <w:spacing w:after="100"/>
              <w:rPr>
                <w:rFonts w:eastAsia="Times New Roman"/>
                <w:sz w:val="20"/>
                <w:szCs w:val="20"/>
              </w:rPr>
            </w:pPr>
          </w:p>
        </w:tc>
        <w:tc>
          <w:tcPr>
            <w:tcW w:w="0" w:type="auto"/>
            <w:gridSpan w:val="3"/>
            <w:vAlign w:val="center"/>
            <w:hideMark/>
          </w:tcPr>
          <w:p w14:paraId="46C6535E" w14:textId="77777777" w:rsidR="00000000" w:rsidRDefault="00405D16">
            <w:pPr>
              <w:spacing w:after="100"/>
              <w:rPr>
                <w:rFonts w:eastAsia="Times New Roman"/>
                <w:sz w:val="20"/>
                <w:szCs w:val="20"/>
              </w:rPr>
            </w:pPr>
          </w:p>
        </w:tc>
        <w:tc>
          <w:tcPr>
            <w:tcW w:w="0" w:type="auto"/>
            <w:gridSpan w:val="3"/>
            <w:vAlign w:val="center"/>
            <w:hideMark/>
          </w:tcPr>
          <w:p w14:paraId="4179212E" w14:textId="77777777" w:rsidR="00000000" w:rsidRDefault="00405D16">
            <w:pPr>
              <w:spacing w:after="100"/>
              <w:rPr>
                <w:rFonts w:eastAsia="Times New Roman"/>
                <w:sz w:val="20"/>
                <w:szCs w:val="20"/>
              </w:rPr>
            </w:pPr>
          </w:p>
        </w:tc>
        <w:tc>
          <w:tcPr>
            <w:tcW w:w="0" w:type="auto"/>
            <w:gridSpan w:val="3"/>
            <w:vAlign w:val="center"/>
            <w:hideMark/>
          </w:tcPr>
          <w:p w14:paraId="5EFAA7FE" w14:textId="77777777" w:rsidR="00000000" w:rsidRDefault="00405D16">
            <w:pPr>
              <w:spacing w:after="100"/>
              <w:rPr>
                <w:rFonts w:eastAsia="Times New Roman"/>
                <w:sz w:val="20"/>
                <w:szCs w:val="20"/>
              </w:rPr>
            </w:pPr>
          </w:p>
        </w:tc>
        <w:tc>
          <w:tcPr>
            <w:tcW w:w="0" w:type="auto"/>
            <w:gridSpan w:val="3"/>
            <w:vAlign w:val="center"/>
            <w:hideMark/>
          </w:tcPr>
          <w:p w14:paraId="510BA3A6" w14:textId="77777777" w:rsidR="00000000" w:rsidRDefault="00405D16">
            <w:pPr>
              <w:spacing w:after="100"/>
              <w:rPr>
                <w:rFonts w:eastAsia="Times New Roman"/>
                <w:sz w:val="20"/>
                <w:szCs w:val="20"/>
              </w:rPr>
            </w:pPr>
          </w:p>
        </w:tc>
        <w:tc>
          <w:tcPr>
            <w:tcW w:w="0" w:type="auto"/>
            <w:gridSpan w:val="3"/>
            <w:vAlign w:val="center"/>
            <w:hideMark/>
          </w:tcPr>
          <w:p w14:paraId="4691F21E" w14:textId="77777777" w:rsidR="00000000" w:rsidRDefault="00405D16">
            <w:pPr>
              <w:spacing w:after="100"/>
              <w:rPr>
                <w:rFonts w:eastAsia="Times New Roman"/>
                <w:sz w:val="20"/>
                <w:szCs w:val="20"/>
              </w:rPr>
            </w:pPr>
          </w:p>
        </w:tc>
        <w:tc>
          <w:tcPr>
            <w:tcW w:w="0" w:type="auto"/>
            <w:gridSpan w:val="3"/>
            <w:vAlign w:val="center"/>
            <w:hideMark/>
          </w:tcPr>
          <w:p w14:paraId="6802486E" w14:textId="77777777" w:rsidR="00000000" w:rsidRDefault="00405D16">
            <w:pPr>
              <w:spacing w:after="100"/>
              <w:rPr>
                <w:rFonts w:eastAsia="Times New Roman"/>
                <w:sz w:val="20"/>
                <w:szCs w:val="20"/>
              </w:rPr>
            </w:pPr>
          </w:p>
        </w:tc>
        <w:tc>
          <w:tcPr>
            <w:tcW w:w="0" w:type="auto"/>
            <w:gridSpan w:val="3"/>
            <w:vAlign w:val="center"/>
            <w:hideMark/>
          </w:tcPr>
          <w:p w14:paraId="3AA19481" w14:textId="77777777" w:rsidR="00000000" w:rsidRDefault="00405D16">
            <w:pPr>
              <w:spacing w:after="100"/>
              <w:rPr>
                <w:rFonts w:eastAsia="Times New Roman"/>
                <w:sz w:val="20"/>
                <w:szCs w:val="20"/>
              </w:rPr>
            </w:pPr>
          </w:p>
        </w:tc>
        <w:tc>
          <w:tcPr>
            <w:tcW w:w="0" w:type="auto"/>
            <w:gridSpan w:val="3"/>
            <w:vAlign w:val="center"/>
            <w:hideMark/>
          </w:tcPr>
          <w:p w14:paraId="63CAEBF5" w14:textId="77777777" w:rsidR="00000000" w:rsidRDefault="00405D16">
            <w:pPr>
              <w:spacing w:after="100"/>
              <w:rPr>
                <w:rFonts w:eastAsia="Times New Roman"/>
                <w:sz w:val="20"/>
                <w:szCs w:val="20"/>
              </w:rPr>
            </w:pPr>
          </w:p>
        </w:tc>
        <w:tc>
          <w:tcPr>
            <w:tcW w:w="0" w:type="auto"/>
            <w:gridSpan w:val="3"/>
            <w:vAlign w:val="center"/>
            <w:hideMark/>
          </w:tcPr>
          <w:p w14:paraId="7ACB00B3" w14:textId="77777777" w:rsidR="00000000" w:rsidRDefault="00405D16">
            <w:pPr>
              <w:spacing w:after="100"/>
              <w:rPr>
                <w:rFonts w:eastAsia="Times New Roman"/>
                <w:sz w:val="20"/>
                <w:szCs w:val="20"/>
              </w:rPr>
            </w:pPr>
          </w:p>
        </w:tc>
        <w:tc>
          <w:tcPr>
            <w:tcW w:w="0" w:type="auto"/>
            <w:gridSpan w:val="3"/>
            <w:vAlign w:val="center"/>
            <w:hideMark/>
          </w:tcPr>
          <w:p w14:paraId="58E6C60B" w14:textId="77777777" w:rsidR="00000000" w:rsidRDefault="00405D16">
            <w:pPr>
              <w:spacing w:after="100"/>
              <w:rPr>
                <w:rFonts w:eastAsia="Times New Roman"/>
                <w:sz w:val="20"/>
                <w:szCs w:val="20"/>
              </w:rPr>
            </w:pPr>
          </w:p>
        </w:tc>
        <w:tc>
          <w:tcPr>
            <w:tcW w:w="0" w:type="auto"/>
            <w:gridSpan w:val="3"/>
            <w:vAlign w:val="center"/>
            <w:hideMark/>
          </w:tcPr>
          <w:p w14:paraId="284866F2" w14:textId="77777777" w:rsidR="00000000" w:rsidRDefault="00405D16">
            <w:pPr>
              <w:spacing w:after="100"/>
              <w:rPr>
                <w:rFonts w:eastAsia="Times New Roman"/>
                <w:sz w:val="20"/>
                <w:szCs w:val="20"/>
              </w:rPr>
            </w:pPr>
          </w:p>
        </w:tc>
        <w:tc>
          <w:tcPr>
            <w:tcW w:w="0" w:type="auto"/>
            <w:gridSpan w:val="3"/>
            <w:vAlign w:val="center"/>
            <w:hideMark/>
          </w:tcPr>
          <w:p w14:paraId="7CA2084F" w14:textId="77777777" w:rsidR="00000000" w:rsidRDefault="00405D16">
            <w:pPr>
              <w:spacing w:after="100"/>
              <w:rPr>
                <w:rFonts w:eastAsia="Times New Roman"/>
                <w:sz w:val="20"/>
                <w:szCs w:val="20"/>
              </w:rPr>
            </w:pPr>
          </w:p>
        </w:tc>
        <w:tc>
          <w:tcPr>
            <w:tcW w:w="0" w:type="auto"/>
            <w:gridSpan w:val="3"/>
            <w:vAlign w:val="center"/>
            <w:hideMark/>
          </w:tcPr>
          <w:p w14:paraId="6F25B9F4" w14:textId="77777777" w:rsidR="00000000" w:rsidRDefault="00405D16">
            <w:pPr>
              <w:spacing w:after="100"/>
              <w:rPr>
                <w:rFonts w:eastAsia="Times New Roman"/>
                <w:sz w:val="20"/>
                <w:szCs w:val="20"/>
              </w:rPr>
            </w:pPr>
          </w:p>
        </w:tc>
        <w:tc>
          <w:tcPr>
            <w:tcW w:w="0" w:type="auto"/>
            <w:gridSpan w:val="3"/>
            <w:vAlign w:val="center"/>
            <w:hideMark/>
          </w:tcPr>
          <w:p w14:paraId="155BBE34" w14:textId="77777777" w:rsidR="00000000" w:rsidRDefault="00405D16">
            <w:pPr>
              <w:spacing w:after="100"/>
              <w:rPr>
                <w:rFonts w:eastAsia="Times New Roman"/>
                <w:sz w:val="20"/>
                <w:szCs w:val="20"/>
              </w:rPr>
            </w:pPr>
          </w:p>
        </w:tc>
        <w:tc>
          <w:tcPr>
            <w:tcW w:w="0" w:type="auto"/>
            <w:gridSpan w:val="3"/>
            <w:vAlign w:val="center"/>
            <w:hideMark/>
          </w:tcPr>
          <w:p w14:paraId="7B9C8E67" w14:textId="77777777" w:rsidR="00000000" w:rsidRDefault="00405D16">
            <w:pPr>
              <w:spacing w:after="100"/>
              <w:rPr>
                <w:rFonts w:eastAsia="Times New Roman"/>
                <w:sz w:val="20"/>
                <w:szCs w:val="20"/>
              </w:rPr>
            </w:pPr>
          </w:p>
        </w:tc>
      </w:tr>
      <w:tr w:rsidR="00000000" w14:paraId="2D903F27" w14:textId="77777777">
        <w:tc>
          <w:tcPr>
            <w:tcW w:w="0" w:type="auto"/>
            <w:gridSpan w:val="3"/>
            <w:vAlign w:val="center"/>
            <w:hideMark/>
          </w:tcPr>
          <w:p w14:paraId="426F4E07" w14:textId="77777777" w:rsidR="00000000" w:rsidRDefault="00405D16">
            <w:pPr>
              <w:spacing w:after="100"/>
              <w:rPr>
                <w:rFonts w:eastAsia="Times New Roman"/>
                <w:sz w:val="20"/>
                <w:szCs w:val="20"/>
              </w:rPr>
            </w:pPr>
          </w:p>
        </w:tc>
        <w:tc>
          <w:tcPr>
            <w:tcW w:w="0" w:type="auto"/>
            <w:gridSpan w:val="3"/>
            <w:vAlign w:val="center"/>
            <w:hideMark/>
          </w:tcPr>
          <w:p w14:paraId="43113C9B" w14:textId="77777777" w:rsidR="00000000" w:rsidRDefault="00405D16">
            <w:pPr>
              <w:spacing w:after="100"/>
              <w:rPr>
                <w:rFonts w:eastAsia="Times New Roman"/>
                <w:sz w:val="20"/>
                <w:szCs w:val="20"/>
              </w:rPr>
            </w:pPr>
          </w:p>
        </w:tc>
        <w:tc>
          <w:tcPr>
            <w:tcW w:w="0" w:type="auto"/>
            <w:gridSpan w:val="3"/>
            <w:vAlign w:val="center"/>
            <w:hideMark/>
          </w:tcPr>
          <w:p w14:paraId="074EECE4" w14:textId="77777777" w:rsidR="00000000" w:rsidRDefault="00405D16">
            <w:pPr>
              <w:spacing w:after="100"/>
              <w:rPr>
                <w:rFonts w:eastAsia="Times New Roman"/>
                <w:sz w:val="20"/>
                <w:szCs w:val="20"/>
              </w:rPr>
            </w:pPr>
          </w:p>
        </w:tc>
        <w:tc>
          <w:tcPr>
            <w:tcW w:w="0" w:type="auto"/>
            <w:gridSpan w:val="3"/>
            <w:vAlign w:val="center"/>
            <w:hideMark/>
          </w:tcPr>
          <w:p w14:paraId="79E28D7D" w14:textId="77777777" w:rsidR="00000000" w:rsidRDefault="00405D16">
            <w:pPr>
              <w:spacing w:after="100"/>
              <w:rPr>
                <w:rFonts w:eastAsia="Times New Roman"/>
                <w:sz w:val="20"/>
                <w:szCs w:val="20"/>
              </w:rPr>
            </w:pPr>
          </w:p>
        </w:tc>
        <w:tc>
          <w:tcPr>
            <w:tcW w:w="0" w:type="auto"/>
            <w:gridSpan w:val="3"/>
            <w:vAlign w:val="center"/>
            <w:hideMark/>
          </w:tcPr>
          <w:p w14:paraId="035AEA20" w14:textId="77777777" w:rsidR="00000000" w:rsidRDefault="00405D16">
            <w:pPr>
              <w:spacing w:after="100"/>
              <w:rPr>
                <w:rFonts w:eastAsia="Times New Roman"/>
                <w:sz w:val="20"/>
                <w:szCs w:val="20"/>
              </w:rPr>
            </w:pPr>
          </w:p>
        </w:tc>
        <w:tc>
          <w:tcPr>
            <w:tcW w:w="0" w:type="auto"/>
            <w:gridSpan w:val="3"/>
            <w:vAlign w:val="center"/>
            <w:hideMark/>
          </w:tcPr>
          <w:p w14:paraId="51D48EE3" w14:textId="77777777" w:rsidR="00000000" w:rsidRDefault="00405D16">
            <w:pPr>
              <w:spacing w:after="100"/>
              <w:rPr>
                <w:rFonts w:eastAsia="Times New Roman"/>
                <w:sz w:val="20"/>
                <w:szCs w:val="20"/>
              </w:rPr>
            </w:pPr>
          </w:p>
        </w:tc>
        <w:tc>
          <w:tcPr>
            <w:tcW w:w="0" w:type="auto"/>
            <w:gridSpan w:val="3"/>
            <w:vAlign w:val="center"/>
            <w:hideMark/>
          </w:tcPr>
          <w:p w14:paraId="627A7C52" w14:textId="77777777" w:rsidR="00000000" w:rsidRDefault="00405D16">
            <w:pPr>
              <w:spacing w:after="100"/>
              <w:rPr>
                <w:rFonts w:eastAsia="Times New Roman"/>
                <w:sz w:val="20"/>
                <w:szCs w:val="20"/>
              </w:rPr>
            </w:pPr>
          </w:p>
        </w:tc>
        <w:tc>
          <w:tcPr>
            <w:tcW w:w="0" w:type="auto"/>
            <w:gridSpan w:val="3"/>
            <w:vAlign w:val="center"/>
            <w:hideMark/>
          </w:tcPr>
          <w:p w14:paraId="1000382C" w14:textId="77777777" w:rsidR="00000000" w:rsidRDefault="00405D16">
            <w:pPr>
              <w:spacing w:after="100"/>
              <w:rPr>
                <w:rFonts w:eastAsia="Times New Roman"/>
                <w:sz w:val="20"/>
                <w:szCs w:val="20"/>
              </w:rPr>
            </w:pPr>
          </w:p>
        </w:tc>
        <w:tc>
          <w:tcPr>
            <w:tcW w:w="0" w:type="auto"/>
            <w:gridSpan w:val="3"/>
            <w:vAlign w:val="center"/>
            <w:hideMark/>
          </w:tcPr>
          <w:p w14:paraId="7377B66A" w14:textId="77777777" w:rsidR="00000000" w:rsidRDefault="00405D16">
            <w:pPr>
              <w:spacing w:after="100"/>
              <w:rPr>
                <w:rFonts w:eastAsia="Times New Roman"/>
                <w:sz w:val="20"/>
                <w:szCs w:val="20"/>
              </w:rPr>
            </w:pPr>
          </w:p>
        </w:tc>
        <w:tc>
          <w:tcPr>
            <w:tcW w:w="0" w:type="auto"/>
            <w:gridSpan w:val="3"/>
            <w:vAlign w:val="center"/>
            <w:hideMark/>
          </w:tcPr>
          <w:p w14:paraId="529DF6D2" w14:textId="77777777" w:rsidR="00000000" w:rsidRDefault="00405D16">
            <w:pPr>
              <w:spacing w:after="100"/>
              <w:rPr>
                <w:rFonts w:eastAsia="Times New Roman"/>
                <w:sz w:val="20"/>
                <w:szCs w:val="20"/>
              </w:rPr>
            </w:pPr>
          </w:p>
        </w:tc>
        <w:tc>
          <w:tcPr>
            <w:tcW w:w="0" w:type="auto"/>
            <w:gridSpan w:val="3"/>
            <w:vAlign w:val="center"/>
            <w:hideMark/>
          </w:tcPr>
          <w:p w14:paraId="1112A8F0" w14:textId="77777777" w:rsidR="00000000" w:rsidRDefault="00405D16">
            <w:pPr>
              <w:spacing w:after="100"/>
              <w:rPr>
                <w:rFonts w:eastAsia="Times New Roman"/>
                <w:sz w:val="20"/>
                <w:szCs w:val="20"/>
              </w:rPr>
            </w:pPr>
          </w:p>
        </w:tc>
        <w:tc>
          <w:tcPr>
            <w:tcW w:w="0" w:type="auto"/>
            <w:gridSpan w:val="3"/>
            <w:vAlign w:val="center"/>
            <w:hideMark/>
          </w:tcPr>
          <w:p w14:paraId="13E7C014" w14:textId="77777777" w:rsidR="00000000" w:rsidRDefault="00405D16">
            <w:pPr>
              <w:spacing w:after="100"/>
              <w:rPr>
                <w:rFonts w:eastAsia="Times New Roman"/>
                <w:sz w:val="20"/>
                <w:szCs w:val="20"/>
              </w:rPr>
            </w:pPr>
          </w:p>
        </w:tc>
        <w:tc>
          <w:tcPr>
            <w:tcW w:w="0" w:type="auto"/>
            <w:gridSpan w:val="3"/>
            <w:vAlign w:val="center"/>
            <w:hideMark/>
          </w:tcPr>
          <w:p w14:paraId="3CC07E48" w14:textId="77777777" w:rsidR="00000000" w:rsidRDefault="00405D16">
            <w:pPr>
              <w:spacing w:after="100"/>
              <w:rPr>
                <w:rFonts w:eastAsia="Times New Roman"/>
                <w:sz w:val="20"/>
                <w:szCs w:val="20"/>
              </w:rPr>
            </w:pPr>
          </w:p>
        </w:tc>
        <w:tc>
          <w:tcPr>
            <w:tcW w:w="0" w:type="auto"/>
            <w:gridSpan w:val="3"/>
            <w:vAlign w:val="center"/>
            <w:hideMark/>
          </w:tcPr>
          <w:p w14:paraId="3FB960C8" w14:textId="77777777" w:rsidR="00000000" w:rsidRDefault="00405D16">
            <w:pPr>
              <w:spacing w:after="100"/>
              <w:rPr>
                <w:rFonts w:eastAsia="Times New Roman"/>
                <w:sz w:val="20"/>
                <w:szCs w:val="20"/>
              </w:rPr>
            </w:pPr>
          </w:p>
        </w:tc>
        <w:tc>
          <w:tcPr>
            <w:tcW w:w="0" w:type="auto"/>
            <w:gridSpan w:val="3"/>
            <w:vAlign w:val="center"/>
            <w:hideMark/>
          </w:tcPr>
          <w:p w14:paraId="45C29D37" w14:textId="77777777" w:rsidR="00000000" w:rsidRDefault="00405D16">
            <w:pPr>
              <w:spacing w:after="100"/>
              <w:rPr>
                <w:rFonts w:eastAsia="Times New Roman"/>
                <w:sz w:val="20"/>
                <w:szCs w:val="20"/>
              </w:rPr>
            </w:pPr>
          </w:p>
        </w:tc>
        <w:tc>
          <w:tcPr>
            <w:tcW w:w="0" w:type="auto"/>
            <w:gridSpan w:val="3"/>
            <w:vAlign w:val="center"/>
            <w:hideMark/>
          </w:tcPr>
          <w:p w14:paraId="56162889" w14:textId="77777777" w:rsidR="00000000" w:rsidRDefault="00405D16">
            <w:pPr>
              <w:spacing w:after="100"/>
              <w:rPr>
                <w:rFonts w:eastAsia="Times New Roman"/>
                <w:sz w:val="20"/>
                <w:szCs w:val="20"/>
              </w:rPr>
            </w:pPr>
          </w:p>
        </w:tc>
        <w:tc>
          <w:tcPr>
            <w:tcW w:w="0" w:type="auto"/>
            <w:gridSpan w:val="3"/>
            <w:vAlign w:val="center"/>
            <w:hideMark/>
          </w:tcPr>
          <w:p w14:paraId="2B1DFCA4" w14:textId="77777777" w:rsidR="00000000" w:rsidRDefault="00405D16">
            <w:pPr>
              <w:spacing w:after="100"/>
              <w:rPr>
                <w:rFonts w:eastAsia="Times New Roman"/>
                <w:sz w:val="20"/>
                <w:szCs w:val="20"/>
              </w:rPr>
            </w:pPr>
          </w:p>
        </w:tc>
        <w:tc>
          <w:tcPr>
            <w:tcW w:w="0" w:type="auto"/>
            <w:gridSpan w:val="3"/>
            <w:vAlign w:val="center"/>
            <w:hideMark/>
          </w:tcPr>
          <w:p w14:paraId="3871F67F" w14:textId="77777777" w:rsidR="00000000" w:rsidRDefault="00405D16">
            <w:pPr>
              <w:spacing w:after="100"/>
              <w:rPr>
                <w:rFonts w:eastAsia="Times New Roman"/>
                <w:sz w:val="20"/>
                <w:szCs w:val="20"/>
              </w:rPr>
            </w:pPr>
          </w:p>
        </w:tc>
        <w:tc>
          <w:tcPr>
            <w:tcW w:w="0" w:type="auto"/>
            <w:gridSpan w:val="3"/>
            <w:vAlign w:val="center"/>
            <w:hideMark/>
          </w:tcPr>
          <w:p w14:paraId="070A3497" w14:textId="77777777" w:rsidR="00000000" w:rsidRDefault="00405D16">
            <w:pPr>
              <w:spacing w:after="100"/>
              <w:rPr>
                <w:rFonts w:eastAsia="Times New Roman"/>
                <w:sz w:val="20"/>
                <w:szCs w:val="20"/>
              </w:rPr>
            </w:pPr>
          </w:p>
        </w:tc>
      </w:tr>
      <w:tr w:rsidR="00000000" w14:paraId="13B81AF8" w14:textId="77777777">
        <w:tc>
          <w:tcPr>
            <w:tcW w:w="0" w:type="auto"/>
            <w:gridSpan w:val="3"/>
            <w:vAlign w:val="center"/>
            <w:hideMark/>
          </w:tcPr>
          <w:p w14:paraId="11D37AC9" w14:textId="77777777" w:rsidR="00000000" w:rsidRDefault="00405D16">
            <w:pPr>
              <w:spacing w:after="100"/>
              <w:rPr>
                <w:rFonts w:eastAsia="Times New Roman"/>
                <w:sz w:val="20"/>
                <w:szCs w:val="20"/>
              </w:rPr>
            </w:pPr>
          </w:p>
        </w:tc>
        <w:tc>
          <w:tcPr>
            <w:tcW w:w="0" w:type="auto"/>
            <w:gridSpan w:val="3"/>
            <w:vAlign w:val="center"/>
            <w:hideMark/>
          </w:tcPr>
          <w:p w14:paraId="791A2CA9" w14:textId="77777777" w:rsidR="00000000" w:rsidRDefault="00405D16">
            <w:pPr>
              <w:spacing w:after="100"/>
              <w:rPr>
                <w:rFonts w:eastAsia="Times New Roman"/>
                <w:sz w:val="20"/>
                <w:szCs w:val="20"/>
              </w:rPr>
            </w:pPr>
          </w:p>
        </w:tc>
        <w:tc>
          <w:tcPr>
            <w:tcW w:w="0" w:type="auto"/>
            <w:gridSpan w:val="3"/>
            <w:vAlign w:val="center"/>
            <w:hideMark/>
          </w:tcPr>
          <w:p w14:paraId="7C303FB5" w14:textId="77777777" w:rsidR="00000000" w:rsidRDefault="00405D16">
            <w:pPr>
              <w:spacing w:after="100"/>
              <w:rPr>
                <w:rFonts w:eastAsia="Times New Roman"/>
                <w:sz w:val="20"/>
                <w:szCs w:val="20"/>
              </w:rPr>
            </w:pPr>
          </w:p>
        </w:tc>
        <w:tc>
          <w:tcPr>
            <w:tcW w:w="0" w:type="auto"/>
            <w:gridSpan w:val="3"/>
            <w:vAlign w:val="center"/>
            <w:hideMark/>
          </w:tcPr>
          <w:p w14:paraId="62090DBE" w14:textId="77777777" w:rsidR="00000000" w:rsidRDefault="00405D16">
            <w:pPr>
              <w:spacing w:after="100"/>
              <w:rPr>
                <w:rFonts w:eastAsia="Times New Roman"/>
                <w:sz w:val="20"/>
                <w:szCs w:val="20"/>
              </w:rPr>
            </w:pPr>
          </w:p>
        </w:tc>
        <w:tc>
          <w:tcPr>
            <w:tcW w:w="0" w:type="auto"/>
            <w:gridSpan w:val="3"/>
            <w:vAlign w:val="center"/>
            <w:hideMark/>
          </w:tcPr>
          <w:p w14:paraId="10613022" w14:textId="77777777" w:rsidR="00000000" w:rsidRDefault="00405D16">
            <w:pPr>
              <w:spacing w:after="100"/>
              <w:rPr>
                <w:rFonts w:eastAsia="Times New Roman"/>
                <w:sz w:val="20"/>
                <w:szCs w:val="20"/>
              </w:rPr>
            </w:pPr>
          </w:p>
        </w:tc>
        <w:tc>
          <w:tcPr>
            <w:tcW w:w="0" w:type="auto"/>
            <w:gridSpan w:val="3"/>
            <w:vAlign w:val="center"/>
            <w:hideMark/>
          </w:tcPr>
          <w:p w14:paraId="7B80305C" w14:textId="77777777" w:rsidR="00000000" w:rsidRDefault="00405D16">
            <w:pPr>
              <w:spacing w:after="100"/>
              <w:rPr>
                <w:rFonts w:eastAsia="Times New Roman"/>
                <w:sz w:val="20"/>
                <w:szCs w:val="20"/>
              </w:rPr>
            </w:pPr>
          </w:p>
        </w:tc>
        <w:tc>
          <w:tcPr>
            <w:tcW w:w="0" w:type="auto"/>
            <w:gridSpan w:val="3"/>
            <w:vAlign w:val="center"/>
            <w:hideMark/>
          </w:tcPr>
          <w:p w14:paraId="7FCC3979" w14:textId="77777777" w:rsidR="00000000" w:rsidRDefault="00405D16">
            <w:pPr>
              <w:spacing w:after="100"/>
              <w:rPr>
                <w:rFonts w:eastAsia="Times New Roman"/>
                <w:sz w:val="20"/>
                <w:szCs w:val="20"/>
              </w:rPr>
            </w:pPr>
          </w:p>
        </w:tc>
        <w:tc>
          <w:tcPr>
            <w:tcW w:w="0" w:type="auto"/>
            <w:gridSpan w:val="3"/>
            <w:vAlign w:val="center"/>
            <w:hideMark/>
          </w:tcPr>
          <w:p w14:paraId="58C5C121" w14:textId="77777777" w:rsidR="00000000" w:rsidRDefault="00405D16">
            <w:pPr>
              <w:spacing w:after="100"/>
              <w:rPr>
                <w:rFonts w:eastAsia="Times New Roman"/>
                <w:sz w:val="20"/>
                <w:szCs w:val="20"/>
              </w:rPr>
            </w:pPr>
          </w:p>
        </w:tc>
        <w:tc>
          <w:tcPr>
            <w:tcW w:w="0" w:type="auto"/>
            <w:gridSpan w:val="3"/>
            <w:vAlign w:val="center"/>
            <w:hideMark/>
          </w:tcPr>
          <w:p w14:paraId="358EF7AA" w14:textId="77777777" w:rsidR="00000000" w:rsidRDefault="00405D16">
            <w:pPr>
              <w:spacing w:after="100"/>
              <w:rPr>
                <w:rFonts w:eastAsia="Times New Roman"/>
                <w:sz w:val="20"/>
                <w:szCs w:val="20"/>
              </w:rPr>
            </w:pPr>
          </w:p>
        </w:tc>
        <w:tc>
          <w:tcPr>
            <w:tcW w:w="0" w:type="auto"/>
            <w:gridSpan w:val="3"/>
            <w:vAlign w:val="center"/>
            <w:hideMark/>
          </w:tcPr>
          <w:p w14:paraId="48C00515" w14:textId="77777777" w:rsidR="00000000" w:rsidRDefault="00405D16">
            <w:pPr>
              <w:spacing w:after="100"/>
              <w:rPr>
                <w:rFonts w:eastAsia="Times New Roman"/>
                <w:sz w:val="20"/>
                <w:szCs w:val="20"/>
              </w:rPr>
            </w:pPr>
          </w:p>
        </w:tc>
        <w:tc>
          <w:tcPr>
            <w:tcW w:w="0" w:type="auto"/>
            <w:gridSpan w:val="3"/>
            <w:vAlign w:val="center"/>
            <w:hideMark/>
          </w:tcPr>
          <w:p w14:paraId="098FC5AF" w14:textId="77777777" w:rsidR="00000000" w:rsidRDefault="00405D16">
            <w:pPr>
              <w:spacing w:after="100"/>
              <w:rPr>
                <w:rFonts w:eastAsia="Times New Roman"/>
                <w:sz w:val="20"/>
                <w:szCs w:val="20"/>
              </w:rPr>
            </w:pPr>
          </w:p>
        </w:tc>
        <w:tc>
          <w:tcPr>
            <w:tcW w:w="0" w:type="auto"/>
            <w:gridSpan w:val="3"/>
            <w:vAlign w:val="center"/>
            <w:hideMark/>
          </w:tcPr>
          <w:p w14:paraId="6B9F6FE3" w14:textId="77777777" w:rsidR="00000000" w:rsidRDefault="00405D16">
            <w:pPr>
              <w:spacing w:after="100"/>
              <w:rPr>
                <w:rFonts w:eastAsia="Times New Roman"/>
                <w:sz w:val="20"/>
                <w:szCs w:val="20"/>
              </w:rPr>
            </w:pPr>
          </w:p>
        </w:tc>
        <w:tc>
          <w:tcPr>
            <w:tcW w:w="0" w:type="auto"/>
            <w:gridSpan w:val="3"/>
            <w:vAlign w:val="center"/>
            <w:hideMark/>
          </w:tcPr>
          <w:p w14:paraId="5E9442D6" w14:textId="77777777" w:rsidR="00000000" w:rsidRDefault="00405D16">
            <w:pPr>
              <w:spacing w:after="100"/>
              <w:rPr>
                <w:rFonts w:eastAsia="Times New Roman"/>
                <w:sz w:val="20"/>
                <w:szCs w:val="20"/>
              </w:rPr>
            </w:pPr>
          </w:p>
        </w:tc>
        <w:tc>
          <w:tcPr>
            <w:tcW w:w="0" w:type="auto"/>
            <w:gridSpan w:val="3"/>
            <w:vAlign w:val="center"/>
            <w:hideMark/>
          </w:tcPr>
          <w:p w14:paraId="78D4F0D1" w14:textId="77777777" w:rsidR="00000000" w:rsidRDefault="00405D16">
            <w:pPr>
              <w:spacing w:after="100"/>
              <w:rPr>
                <w:rFonts w:eastAsia="Times New Roman"/>
                <w:sz w:val="20"/>
                <w:szCs w:val="20"/>
              </w:rPr>
            </w:pPr>
          </w:p>
        </w:tc>
        <w:tc>
          <w:tcPr>
            <w:tcW w:w="0" w:type="auto"/>
            <w:gridSpan w:val="3"/>
            <w:vAlign w:val="center"/>
            <w:hideMark/>
          </w:tcPr>
          <w:p w14:paraId="1C278368" w14:textId="77777777" w:rsidR="00000000" w:rsidRDefault="00405D16">
            <w:pPr>
              <w:spacing w:after="100"/>
              <w:rPr>
                <w:rFonts w:eastAsia="Times New Roman"/>
                <w:sz w:val="20"/>
                <w:szCs w:val="20"/>
              </w:rPr>
            </w:pPr>
          </w:p>
        </w:tc>
        <w:tc>
          <w:tcPr>
            <w:tcW w:w="0" w:type="auto"/>
            <w:gridSpan w:val="3"/>
            <w:vAlign w:val="center"/>
            <w:hideMark/>
          </w:tcPr>
          <w:p w14:paraId="32E8DB76" w14:textId="77777777" w:rsidR="00000000" w:rsidRDefault="00405D16">
            <w:pPr>
              <w:spacing w:after="100"/>
              <w:rPr>
                <w:rFonts w:eastAsia="Times New Roman"/>
                <w:sz w:val="20"/>
                <w:szCs w:val="20"/>
              </w:rPr>
            </w:pPr>
          </w:p>
        </w:tc>
        <w:tc>
          <w:tcPr>
            <w:tcW w:w="0" w:type="auto"/>
            <w:gridSpan w:val="3"/>
            <w:vAlign w:val="center"/>
            <w:hideMark/>
          </w:tcPr>
          <w:p w14:paraId="2A381DED" w14:textId="77777777" w:rsidR="00000000" w:rsidRDefault="00405D16">
            <w:pPr>
              <w:spacing w:after="100"/>
              <w:rPr>
                <w:rFonts w:eastAsia="Times New Roman"/>
                <w:sz w:val="20"/>
                <w:szCs w:val="20"/>
              </w:rPr>
            </w:pPr>
          </w:p>
        </w:tc>
        <w:tc>
          <w:tcPr>
            <w:tcW w:w="0" w:type="auto"/>
            <w:gridSpan w:val="3"/>
            <w:vAlign w:val="center"/>
            <w:hideMark/>
          </w:tcPr>
          <w:p w14:paraId="45E0E1B1" w14:textId="77777777" w:rsidR="00000000" w:rsidRDefault="00405D16">
            <w:pPr>
              <w:spacing w:after="100"/>
              <w:rPr>
                <w:rFonts w:eastAsia="Times New Roman"/>
                <w:sz w:val="20"/>
                <w:szCs w:val="20"/>
              </w:rPr>
            </w:pPr>
          </w:p>
        </w:tc>
        <w:tc>
          <w:tcPr>
            <w:tcW w:w="0" w:type="auto"/>
            <w:gridSpan w:val="3"/>
            <w:vAlign w:val="center"/>
            <w:hideMark/>
          </w:tcPr>
          <w:p w14:paraId="5F3F1FE9" w14:textId="77777777" w:rsidR="00000000" w:rsidRDefault="00405D16">
            <w:pPr>
              <w:spacing w:after="100"/>
              <w:rPr>
                <w:rFonts w:eastAsia="Times New Roman"/>
                <w:sz w:val="20"/>
                <w:szCs w:val="20"/>
              </w:rPr>
            </w:pPr>
          </w:p>
        </w:tc>
      </w:tr>
      <w:tr w:rsidR="00000000" w14:paraId="084B83FD" w14:textId="77777777">
        <w:tc>
          <w:tcPr>
            <w:tcW w:w="0" w:type="auto"/>
            <w:gridSpan w:val="3"/>
            <w:vAlign w:val="center"/>
            <w:hideMark/>
          </w:tcPr>
          <w:p w14:paraId="18EF5019" w14:textId="77777777" w:rsidR="00000000" w:rsidRDefault="00405D16">
            <w:pPr>
              <w:spacing w:after="100"/>
              <w:rPr>
                <w:rFonts w:eastAsia="Times New Roman"/>
                <w:sz w:val="20"/>
                <w:szCs w:val="20"/>
              </w:rPr>
            </w:pPr>
          </w:p>
        </w:tc>
        <w:tc>
          <w:tcPr>
            <w:tcW w:w="0" w:type="auto"/>
            <w:gridSpan w:val="3"/>
            <w:vAlign w:val="center"/>
            <w:hideMark/>
          </w:tcPr>
          <w:p w14:paraId="2FE084CF" w14:textId="77777777" w:rsidR="00000000" w:rsidRDefault="00405D16">
            <w:pPr>
              <w:spacing w:after="100"/>
              <w:rPr>
                <w:rFonts w:eastAsia="Times New Roman"/>
                <w:sz w:val="20"/>
                <w:szCs w:val="20"/>
              </w:rPr>
            </w:pPr>
          </w:p>
        </w:tc>
        <w:tc>
          <w:tcPr>
            <w:tcW w:w="0" w:type="auto"/>
            <w:gridSpan w:val="3"/>
            <w:vAlign w:val="center"/>
            <w:hideMark/>
          </w:tcPr>
          <w:p w14:paraId="5353B5BE" w14:textId="77777777" w:rsidR="00000000" w:rsidRDefault="00405D16">
            <w:pPr>
              <w:spacing w:after="100"/>
              <w:rPr>
                <w:rFonts w:eastAsia="Times New Roman"/>
                <w:sz w:val="20"/>
                <w:szCs w:val="20"/>
              </w:rPr>
            </w:pPr>
          </w:p>
        </w:tc>
        <w:tc>
          <w:tcPr>
            <w:tcW w:w="0" w:type="auto"/>
            <w:gridSpan w:val="3"/>
            <w:vAlign w:val="center"/>
            <w:hideMark/>
          </w:tcPr>
          <w:p w14:paraId="4D700ADF" w14:textId="77777777" w:rsidR="00000000" w:rsidRDefault="00405D16">
            <w:pPr>
              <w:spacing w:after="100"/>
              <w:rPr>
                <w:rFonts w:eastAsia="Times New Roman"/>
                <w:sz w:val="20"/>
                <w:szCs w:val="20"/>
              </w:rPr>
            </w:pPr>
          </w:p>
        </w:tc>
        <w:tc>
          <w:tcPr>
            <w:tcW w:w="0" w:type="auto"/>
            <w:gridSpan w:val="3"/>
            <w:vAlign w:val="center"/>
            <w:hideMark/>
          </w:tcPr>
          <w:p w14:paraId="5E5DE679" w14:textId="77777777" w:rsidR="00000000" w:rsidRDefault="00405D16">
            <w:pPr>
              <w:spacing w:after="100"/>
              <w:rPr>
                <w:rFonts w:eastAsia="Times New Roman"/>
                <w:sz w:val="20"/>
                <w:szCs w:val="20"/>
              </w:rPr>
            </w:pPr>
          </w:p>
        </w:tc>
        <w:tc>
          <w:tcPr>
            <w:tcW w:w="0" w:type="auto"/>
            <w:gridSpan w:val="3"/>
            <w:vAlign w:val="center"/>
            <w:hideMark/>
          </w:tcPr>
          <w:p w14:paraId="535FAB83" w14:textId="77777777" w:rsidR="00000000" w:rsidRDefault="00405D16">
            <w:pPr>
              <w:spacing w:after="100"/>
              <w:rPr>
                <w:rFonts w:eastAsia="Times New Roman"/>
                <w:sz w:val="20"/>
                <w:szCs w:val="20"/>
              </w:rPr>
            </w:pPr>
          </w:p>
        </w:tc>
        <w:tc>
          <w:tcPr>
            <w:tcW w:w="0" w:type="auto"/>
            <w:gridSpan w:val="3"/>
            <w:vAlign w:val="center"/>
            <w:hideMark/>
          </w:tcPr>
          <w:p w14:paraId="1843AE96" w14:textId="77777777" w:rsidR="00000000" w:rsidRDefault="00405D16">
            <w:pPr>
              <w:spacing w:after="100"/>
              <w:rPr>
                <w:rFonts w:eastAsia="Times New Roman"/>
                <w:sz w:val="20"/>
                <w:szCs w:val="20"/>
              </w:rPr>
            </w:pPr>
          </w:p>
        </w:tc>
        <w:tc>
          <w:tcPr>
            <w:tcW w:w="0" w:type="auto"/>
            <w:gridSpan w:val="3"/>
            <w:vAlign w:val="center"/>
            <w:hideMark/>
          </w:tcPr>
          <w:p w14:paraId="778D7CD7" w14:textId="77777777" w:rsidR="00000000" w:rsidRDefault="00405D16">
            <w:pPr>
              <w:spacing w:after="100"/>
              <w:rPr>
                <w:rFonts w:eastAsia="Times New Roman"/>
                <w:sz w:val="20"/>
                <w:szCs w:val="20"/>
              </w:rPr>
            </w:pPr>
          </w:p>
        </w:tc>
        <w:tc>
          <w:tcPr>
            <w:tcW w:w="0" w:type="auto"/>
            <w:gridSpan w:val="3"/>
            <w:vAlign w:val="center"/>
            <w:hideMark/>
          </w:tcPr>
          <w:p w14:paraId="09FB47D5" w14:textId="77777777" w:rsidR="00000000" w:rsidRDefault="00405D16">
            <w:pPr>
              <w:spacing w:after="100"/>
              <w:rPr>
                <w:rFonts w:eastAsia="Times New Roman"/>
                <w:sz w:val="20"/>
                <w:szCs w:val="20"/>
              </w:rPr>
            </w:pPr>
          </w:p>
        </w:tc>
        <w:tc>
          <w:tcPr>
            <w:tcW w:w="0" w:type="auto"/>
            <w:gridSpan w:val="3"/>
            <w:vAlign w:val="center"/>
            <w:hideMark/>
          </w:tcPr>
          <w:p w14:paraId="07FF7672" w14:textId="77777777" w:rsidR="00000000" w:rsidRDefault="00405D16">
            <w:pPr>
              <w:spacing w:after="100"/>
              <w:rPr>
                <w:rFonts w:eastAsia="Times New Roman"/>
                <w:sz w:val="20"/>
                <w:szCs w:val="20"/>
              </w:rPr>
            </w:pPr>
          </w:p>
        </w:tc>
        <w:tc>
          <w:tcPr>
            <w:tcW w:w="0" w:type="auto"/>
            <w:gridSpan w:val="3"/>
            <w:vAlign w:val="center"/>
            <w:hideMark/>
          </w:tcPr>
          <w:p w14:paraId="6E6FB280" w14:textId="77777777" w:rsidR="00000000" w:rsidRDefault="00405D16">
            <w:pPr>
              <w:spacing w:after="100"/>
              <w:rPr>
                <w:rFonts w:eastAsia="Times New Roman"/>
                <w:sz w:val="20"/>
                <w:szCs w:val="20"/>
              </w:rPr>
            </w:pPr>
          </w:p>
        </w:tc>
        <w:tc>
          <w:tcPr>
            <w:tcW w:w="0" w:type="auto"/>
            <w:gridSpan w:val="3"/>
            <w:vAlign w:val="center"/>
            <w:hideMark/>
          </w:tcPr>
          <w:p w14:paraId="4E1FD674" w14:textId="77777777" w:rsidR="00000000" w:rsidRDefault="00405D16">
            <w:pPr>
              <w:spacing w:after="100"/>
              <w:rPr>
                <w:rFonts w:eastAsia="Times New Roman"/>
                <w:sz w:val="20"/>
                <w:szCs w:val="20"/>
              </w:rPr>
            </w:pPr>
          </w:p>
        </w:tc>
        <w:tc>
          <w:tcPr>
            <w:tcW w:w="0" w:type="auto"/>
            <w:gridSpan w:val="3"/>
            <w:vAlign w:val="center"/>
            <w:hideMark/>
          </w:tcPr>
          <w:p w14:paraId="36730705" w14:textId="77777777" w:rsidR="00000000" w:rsidRDefault="00405D16">
            <w:pPr>
              <w:spacing w:after="100"/>
              <w:rPr>
                <w:rFonts w:eastAsia="Times New Roman"/>
                <w:sz w:val="20"/>
                <w:szCs w:val="20"/>
              </w:rPr>
            </w:pPr>
          </w:p>
        </w:tc>
        <w:tc>
          <w:tcPr>
            <w:tcW w:w="0" w:type="auto"/>
            <w:gridSpan w:val="3"/>
            <w:vAlign w:val="center"/>
            <w:hideMark/>
          </w:tcPr>
          <w:p w14:paraId="75E10D5A" w14:textId="77777777" w:rsidR="00000000" w:rsidRDefault="00405D16">
            <w:pPr>
              <w:spacing w:after="100"/>
              <w:rPr>
                <w:rFonts w:eastAsia="Times New Roman"/>
                <w:sz w:val="20"/>
                <w:szCs w:val="20"/>
              </w:rPr>
            </w:pPr>
          </w:p>
        </w:tc>
        <w:tc>
          <w:tcPr>
            <w:tcW w:w="0" w:type="auto"/>
            <w:gridSpan w:val="3"/>
            <w:vAlign w:val="center"/>
            <w:hideMark/>
          </w:tcPr>
          <w:p w14:paraId="55CA1AEC" w14:textId="77777777" w:rsidR="00000000" w:rsidRDefault="00405D16">
            <w:pPr>
              <w:spacing w:after="100"/>
              <w:rPr>
                <w:rFonts w:eastAsia="Times New Roman"/>
                <w:sz w:val="20"/>
                <w:szCs w:val="20"/>
              </w:rPr>
            </w:pPr>
          </w:p>
        </w:tc>
        <w:tc>
          <w:tcPr>
            <w:tcW w:w="0" w:type="auto"/>
            <w:gridSpan w:val="3"/>
            <w:vAlign w:val="center"/>
            <w:hideMark/>
          </w:tcPr>
          <w:p w14:paraId="4577B8DC" w14:textId="77777777" w:rsidR="00000000" w:rsidRDefault="00405D16">
            <w:pPr>
              <w:spacing w:after="100"/>
              <w:rPr>
                <w:rFonts w:eastAsia="Times New Roman"/>
                <w:sz w:val="20"/>
                <w:szCs w:val="20"/>
              </w:rPr>
            </w:pPr>
          </w:p>
        </w:tc>
        <w:tc>
          <w:tcPr>
            <w:tcW w:w="0" w:type="auto"/>
            <w:gridSpan w:val="3"/>
            <w:vAlign w:val="center"/>
            <w:hideMark/>
          </w:tcPr>
          <w:p w14:paraId="1CFBA3B2" w14:textId="77777777" w:rsidR="00000000" w:rsidRDefault="00405D16">
            <w:pPr>
              <w:spacing w:after="100"/>
              <w:rPr>
                <w:rFonts w:eastAsia="Times New Roman"/>
                <w:sz w:val="20"/>
                <w:szCs w:val="20"/>
              </w:rPr>
            </w:pPr>
          </w:p>
        </w:tc>
        <w:tc>
          <w:tcPr>
            <w:tcW w:w="0" w:type="auto"/>
            <w:gridSpan w:val="3"/>
            <w:vAlign w:val="center"/>
            <w:hideMark/>
          </w:tcPr>
          <w:p w14:paraId="7CC399FC" w14:textId="77777777" w:rsidR="00000000" w:rsidRDefault="00405D16">
            <w:pPr>
              <w:spacing w:after="100"/>
              <w:rPr>
                <w:rFonts w:eastAsia="Times New Roman"/>
                <w:sz w:val="20"/>
                <w:szCs w:val="20"/>
              </w:rPr>
            </w:pPr>
          </w:p>
        </w:tc>
        <w:tc>
          <w:tcPr>
            <w:tcW w:w="0" w:type="auto"/>
            <w:gridSpan w:val="3"/>
            <w:vAlign w:val="center"/>
            <w:hideMark/>
          </w:tcPr>
          <w:p w14:paraId="76F74CD5" w14:textId="77777777" w:rsidR="00000000" w:rsidRDefault="00405D16">
            <w:pPr>
              <w:spacing w:after="100"/>
              <w:rPr>
                <w:rFonts w:eastAsia="Times New Roman"/>
                <w:sz w:val="20"/>
                <w:szCs w:val="20"/>
              </w:rPr>
            </w:pPr>
          </w:p>
        </w:tc>
      </w:tr>
      <w:tr w:rsidR="00000000" w14:paraId="2BC6B31A" w14:textId="77777777">
        <w:tc>
          <w:tcPr>
            <w:tcW w:w="0" w:type="auto"/>
            <w:gridSpan w:val="3"/>
            <w:vAlign w:val="center"/>
            <w:hideMark/>
          </w:tcPr>
          <w:p w14:paraId="54133715" w14:textId="77777777" w:rsidR="00000000" w:rsidRDefault="00405D16">
            <w:pPr>
              <w:spacing w:after="100"/>
              <w:rPr>
                <w:rFonts w:eastAsia="Times New Roman"/>
                <w:sz w:val="20"/>
                <w:szCs w:val="20"/>
              </w:rPr>
            </w:pPr>
          </w:p>
        </w:tc>
        <w:tc>
          <w:tcPr>
            <w:tcW w:w="0" w:type="auto"/>
            <w:gridSpan w:val="3"/>
            <w:vAlign w:val="center"/>
            <w:hideMark/>
          </w:tcPr>
          <w:p w14:paraId="003506FC" w14:textId="77777777" w:rsidR="00000000" w:rsidRDefault="00405D16">
            <w:pPr>
              <w:spacing w:after="100"/>
              <w:rPr>
                <w:rFonts w:eastAsia="Times New Roman"/>
                <w:sz w:val="20"/>
                <w:szCs w:val="20"/>
              </w:rPr>
            </w:pPr>
          </w:p>
        </w:tc>
        <w:tc>
          <w:tcPr>
            <w:tcW w:w="0" w:type="auto"/>
            <w:gridSpan w:val="3"/>
            <w:vAlign w:val="center"/>
            <w:hideMark/>
          </w:tcPr>
          <w:p w14:paraId="0D59A9AC" w14:textId="77777777" w:rsidR="00000000" w:rsidRDefault="00405D16">
            <w:pPr>
              <w:spacing w:after="100"/>
              <w:rPr>
                <w:rFonts w:eastAsia="Times New Roman"/>
                <w:sz w:val="20"/>
                <w:szCs w:val="20"/>
              </w:rPr>
            </w:pPr>
          </w:p>
        </w:tc>
        <w:tc>
          <w:tcPr>
            <w:tcW w:w="0" w:type="auto"/>
            <w:gridSpan w:val="3"/>
            <w:vAlign w:val="center"/>
            <w:hideMark/>
          </w:tcPr>
          <w:p w14:paraId="43CEE0D6" w14:textId="77777777" w:rsidR="00000000" w:rsidRDefault="00405D16">
            <w:pPr>
              <w:spacing w:after="100"/>
              <w:rPr>
                <w:rFonts w:eastAsia="Times New Roman"/>
                <w:sz w:val="20"/>
                <w:szCs w:val="20"/>
              </w:rPr>
            </w:pPr>
          </w:p>
        </w:tc>
        <w:tc>
          <w:tcPr>
            <w:tcW w:w="0" w:type="auto"/>
            <w:gridSpan w:val="3"/>
            <w:vAlign w:val="center"/>
            <w:hideMark/>
          </w:tcPr>
          <w:p w14:paraId="7294402C" w14:textId="77777777" w:rsidR="00000000" w:rsidRDefault="00405D16">
            <w:pPr>
              <w:spacing w:after="100"/>
              <w:rPr>
                <w:rFonts w:eastAsia="Times New Roman"/>
                <w:sz w:val="20"/>
                <w:szCs w:val="20"/>
              </w:rPr>
            </w:pPr>
          </w:p>
        </w:tc>
        <w:tc>
          <w:tcPr>
            <w:tcW w:w="0" w:type="auto"/>
            <w:gridSpan w:val="3"/>
            <w:vAlign w:val="center"/>
            <w:hideMark/>
          </w:tcPr>
          <w:p w14:paraId="3C6EC083" w14:textId="77777777" w:rsidR="00000000" w:rsidRDefault="00405D16">
            <w:pPr>
              <w:spacing w:after="100"/>
              <w:rPr>
                <w:rFonts w:eastAsia="Times New Roman"/>
                <w:sz w:val="20"/>
                <w:szCs w:val="20"/>
              </w:rPr>
            </w:pPr>
          </w:p>
        </w:tc>
        <w:tc>
          <w:tcPr>
            <w:tcW w:w="0" w:type="auto"/>
            <w:gridSpan w:val="3"/>
            <w:vAlign w:val="center"/>
            <w:hideMark/>
          </w:tcPr>
          <w:p w14:paraId="7FDC240C" w14:textId="77777777" w:rsidR="00000000" w:rsidRDefault="00405D16">
            <w:pPr>
              <w:spacing w:after="100"/>
              <w:rPr>
                <w:rFonts w:eastAsia="Times New Roman"/>
                <w:sz w:val="20"/>
                <w:szCs w:val="20"/>
              </w:rPr>
            </w:pPr>
          </w:p>
        </w:tc>
        <w:tc>
          <w:tcPr>
            <w:tcW w:w="0" w:type="auto"/>
            <w:gridSpan w:val="3"/>
            <w:vAlign w:val="center"/>
            <w:hideMark/>
          </w:tcPr>
          <w:p w14:paraId="3B5FE4FC" w14:textId="77777777" w:rsidR="00000000" w:rsidRDefault="00405D16">
            <w:pPr>
              <w:spacing w:after="100"/>
              <w:rPr>
                <w:rFonts w:eastAsia="Times New Roman"/>
                <w:sz w:val="20"/>
                <w:szCs w:val="20"/>
              </w:rPr>
            </w:pPr>
          </w:p>
        </w:tc>
        <w:tc>
          <w:tcPr>
            <w:tcW w:w="0" w:type="auto"/>
            <w:gridSpan w:val="3"/>
            <w:vAlign w:val="center"/>
            <w:hideMark/>
          </w:tcPr>
          <w:p w14:paraId="68E05E80" w14:textId="77777777" w:rsidR="00000000" w:rsidRDefault="00405D16">
            <w:pPr>
              <w:spacing w:after="100"/>
              <w:rPr>
                <w:rFonts w:eastAsia="Times New Roman"/>
                <w:sz w:val="20"/>
                <w:szCs w:val="20"/>
              </w:rPr>
            </w:pPr>
          </w:p>
        </w:tc>
        <w:tc>
          <w:tcPr>
            <w:tcW w:w="0" w:type="auto"/>
            <w:gridSpan w:val="3"/>
            <w:vAlign w:val="center"/>
            <w:hideMark/>
          </w:tcPr>
          <w:p w14:paraId="0296553B" w14:textId="77777777" w:rsidR="00000000" w:rsidRDefault="00405D16">
            <w:pPr>
              <w:spacing w:after="100"/>
              <w:rPr>
                <w:rFonts w:eastAsia="Times New Roman"/>
                <w:sz w:val="20"/>
                <w:szCs w:val="20"/>
              </w:rPr>
            </w:pPr>
          </w:p>
        </w:tc>
        <w:tc>
          <w:tcPr>
            <w:tcW w:w="0" w:type="auto"/>
            <w:gridSpan w:val="3"/>
            <w:vAlign w:val="center"/>
            <w:hideMark/>
          </w:tcPr>
          <w:p w14:paraId="5C506E28" w14:textId="77777777" w:rsidR="00000000" w:rsidRDefault="00405D16">
            <w:pPr>
              <w:spacing w:after="100"/>
              <w:rPr>
                <w:rFonts w:eastAsia="Times New Roman"/>
                <w:sz w:val="20"/>
                <w:szCs w:val="20"/>
              </w:rPr>
            </w:pPr>
          </w:p>
        </w:tc>
        <w:tc>
          <w:tcPr>
            <w:tcW w:w="0" w:type="auto"/>
            <w:gridSpan w:val="3"/>
            <w:vAlign w:val="center"/>
            <w:hideMark/>
          </w:tcPr>
          <w:p w14:paraId="149ED771" w14:textId="77777777" w:rsidR="00000000" w:rsidRDefault="00405D16">
            <w:pPr>
              <w:spacing w:after="100"/>
              <w:rPr>
                <w:rFonts w:eastAsia="Times New Roman"/>
                <w:sz w:val="20"/>
                <w:szCs w:val="20"/>
              </w:rPr>
            </w:pPr>
          </w:p>
        </w:tc>
        <w:tc>
          <w:tcPr>
            <w:tcW w:w="0" w:type="auto"/>
            <w:gridSpan w:val="3"/>
            <w:vAlign w:val="center"/>
            <w:hideMark/>
          </w:tcPr>
          <w:p w14:paraId="2CBBCB8A" w14:textId="77777777" w:rsidR="00000000" w:rsidRDefault="00405D16">
            <w:pPr>
              <w:spacing w:after="100"/>
              <w:rPr>
                <w:rFonts w:eastAsia="Times New Roman"/>
                <w:sz w:val="20"/>
                <w:szCs w:val="20"/>
              </w:rPr>
            </w:pPr>
          </w:p>
        </w:tc>
        <w:tc>
          <w:tcPr>
            <w:tcW w:w="0" w:type="auto"/>
            <w:gridSpan w:val="3"/>
            <w:vAlign w:val="center"/>
            <w:hideMark/>
          </w:tcPr>
          <w:p w14:paraId="3B7C3D88" w14:textId="77777777" w:rsidR="00000000" w:rsidRDefault="00405D16">
            <w:pPr>
              <w:spacing w:after="100"/>
              <w:rPr>
                <w:rFonts w:eastAsia="Times New Roman"/>
                <w:sz w:val="20"/>
                <w:szCs w:val="20"/>
              </w:rPr>
            </w:pPr>
          </w:p>
        </w:tc>
        <w:tc>
          <w:tcPr>
            <w:tcW w:w="0" w:type="auto"/>
            <w:gridSpan w:val="3"/>
            <w:vAlign w:val="center"/>
            <w:hideMark/>
          </w:tcPr>
          <w:p w14:paraId="2851606D" w14:textId="77777777" w:rsidR="00000000" w:rsidRDefault="00405D16">
            <w:pPr>
              <w:spacing w:after="100"/>
              <w:rPr>
                <w:rFonts w:eastAsia="Times New Roman"/>
                <w:sz w:val="20"/>
                <w:szCs w:val="20"/>
              </w:rPr>
            </w:pPr>
          </w:p>
        </w:tc>
        <w:tc>
          <w:tcPr>
            <w:tcW w:w="0" w:type="auto"/>
            <w:gridSpan w:val="3"/>
            <w:vAlign w:val="center"/>
            <w:hideMark/>
          </w:tcPr>
          <w:p w14:paraId="54ECFD27" w14:textId="77777777" w:rsidR="00000000" w:rsidRDefault="00405D16">
            <w:pPr>
              <w:spacing w:after="100"/>
              <w:rPr>
                <w:rFonts w:eastAsia="Times New Roman"/>
                <w:sz w:val="20"/>
                <w:szCs w:val="20"/>
              </w:rPr>
            </w:pPr>
          </w:p>
        </w:tc>
        <w:tc>
          <w:tcPr>
            <w:tcW w:w="0" w:type="auto"/>
            <w:gridSpan w:val="3"/>
            <w:vAlign w:val="center"/>
            <w:hideMark/>
          </w:tcPr>
          <w:p w14:paraId="22B8ACEB" w14:textId="77777777" w:rsidR="00000000" w:rsidRDefault="00405D16">
            <w:pPr>
              <w:spacing w:after="100"/>
              <w:rPr>
                <w:rFonts w:eastAsia="Times New Roman"/>
                <w:sz w:val="20"/>
                <w:szCs w:val="20"/>
              </w:rPr>
            </w:pPr>
          </w:p>
        </w:tc>
        <w:tc>
          <w:tcPr>
            <w:tcW w:w="0" w:type="auto"/>
            <w:gridSpan w:val="3"/>
            <w:vAlign w:val="center"/>
            <w:hideMark/>
          </w:tcPr>
          <w:p w14:paraId="21CE6E7E" w14:textId="77777777" w:rsidR="00000000" w:rsidRDefault="00405D16">
            <w:pPr>
              <w:spacing w:after="100"/>
              <w:rPr>
                <w:rFonts w:eastAsia="Times New Roman"/>
                <w:sz w:val="20"/>
                <w:szCs w:val="20"/>
              </w:rPr>
            </w:pPr>
          </w:p>
        </w:tc>
        <w:tc>
          <w:tcPr>
            <w:tcW w:w="0" w:type="auto"/>
            <w:gridSpan w:val="3"/>
            <w:vAlign w:val="center"/>
            <w:hideMark/>
          </w:tcPr>
          <w:p w14:paraId="07719751" w14:textId="77777777" w:rsidR="00000000" w:rsidRDefault="00405D16">
            <w:pPr>
              <w:spacing w:after="100"/>
              <w:rPr>
                <w:rFonts w:eastAsia="Times New Roman"/>
                <w:sz w:val="20"/>
                <w:szCs w:val="20"/>
              </w:rPr>
            </w:pPr>
          </w:p>
        </w:tc>
      </w:tr>
      <w:tr w:rsidR="00000000" w14:paraId="1432E39D" w14:textId="77777777">
        <w:tc>
          <w:tcPr>
            <w:tcW w:w="0" w:type="auto"/>
            <w:gridSpan w:val="3"/>
            <w:vAlign w:val="center"/>
            <w:hideMark/>
          </w:tcPr>
          <w:p w14:paraId="00D1BA86" w14:textId="77777777" w:rsidR="00000000" w:rsidRDefault="00405D16">
            <w:pPr>
              <w:spacing w:after="100"/>
              <w:rPr>
                <w:rFonts w:eastAsia="Times New Roman"/>
                <w:sz w:val="20"/>
                <w:szCs w:val="20"/>
              </w:rPr>
            </w:pPr>
          </w:p>
        </w:tc>
        <w:tc>
          <w:tcPr>
            <w:tcW w:w="0" w:type="auto"/>
            <w:gridSpan w:val="3"/>
            <w:vAlign w:val="center"/>
            <w:hideMark/>
          </w:tcPr>
          <w:p w14:paraId="08ED6480" w14:textId="77777777" w:rsidR="00000000" w:rsidRDefault="00405D16">
            <w:pPr>
              <w:spacing w:after="100"/>
              <w:rPr>
                <w:rFonts w:eastAsia="Times New Roman"/>
                <w:sz w:val="20"/>
                <w:szCs w:val="20"/>
              </w:rPr>
            </w:pPr>
          </w:p>
        </w:tc>
        <w:tc>
          <w:tcPr>
            <w:tcW w:w="0" w:type="auto"/>
            <w:gridSpan w:val="3"/>
            <w:vAlign w:val="center"/>
            <w:hideMark/>
          </w:tcPr>
          <w:p w14:paraId="1635305C" w14:textId="77777777" w:rsidR="00000000" w:rsidRDefault="00405D16">
            <w:pPr>
              <w:spacing w:after="100"/>
              <w:rPr>
                <w:rFonts w:eastAsia="Times New Roman"/>
                <w:sz w:val="20"/>
                <w:szCs w:val="20"/>
              </w:rPr>
            </w:pPr>
          </w:p>
        </w:tc>
        <w:tc>
          <w:tcPr>
            <w:tcW w:w="0" w:type="auto"/>
            <w:gridSpan w:val="3"/>
            <w:vAlign w:val="center"/>
            <w:hideMark/>
          </w:tcPr>
          <w:p w14:paraId="118CFEB2" w14:textId="77777777" w:rsidR="00000000" w:rsidRDefault="00405D16">
            <w:pPr>
              <w:spacing w:after="100"/>
              <w:rPr>
                <w:rFonts w:eastAsia="Times New Roman"/>
                <w:sz w:val="20"/>
                <w:szCs w:val="20"/>
              </w:rPr>
            </w:pPr>
          </w:p>
        </w:tc>
        <w:tc>
          <w:tcPr>
            <w:tcW w:w="0" w:type="auto"/>
            <w:gridSpan w:val="3"/>
            <w:vAlign w:val="center"/>
            <w:hideMark/>
          </w:tcPr>
          <w:p w14:paraId="6913B682" w14:textId="77777777" w:rsidR="00000000" w:rsidRDefault="00405D16">
            <w:pPr>
              <w:spacing w:after="100"/>
              <w:rPr>
                <w:rFonts w:eastAsia="Times New Roman"/>
                <w:sz w:val="20"/>
                <w:szCs w:val="20"/>
              </w:rPr>
            </w:pPr>
          </w:p>
        </w:tc>
        <w:tc>
          <w:tcPr>
            <w:tcW w:w="0" w:type="auto"/>
            <w:gridSpan w:val="3"/>
            <w:vAlign w:val="center"/>
            <w:hideMark/>
          </w:tcPr>
          <w:p w14:paraId="344D987E" w14:textId="77777777" w:rsidR="00000000" w:rsidRDefault="00405D16">
            <w:pPr>
              <w:spacing w:after="100"/>
              <w:rPr>
                <w:rFonts w:eastAsia="Times New Roman"/>
                <w:sz w:val="20"/>
                <w:szCs w:val="20"/>
              </w:rPr>
            </w:pPr>
          </w:p>
        </w:tc>
        <w:tc>
          <w:tcPr>
            <w:tcW w:w="0" w:type="auto"/>
            <w:gridSpan w:val="3"/>
            <w:vAlign w:val="center"/>
            <w:hideMark/>
          </w:tcPr>
          <w:p w14:paraId="1FDFF44A" w14:textId="77777777" w:rsidR="00000000" w:rsidRDefault="00405D16">
            <w:pPr>
              <w:spacing w:after="100"/>
              <w:rPr>
                <w:rFonts w:eastAsia="Times New Roman"/>
                <w:sz w:val="20"/>
                <w:szCs w:val="20"/>
              </w:rPr>
            </w:pPr>
          </w:p>
        </w:tc>
        <w:tc>
          <w:tcPr>
            <w:tcW w:w="0" w:type="auto"/>
            <w:gridSpan w:val="3"/>
            <w:vAlign w:val="center"/>
            <w:hideMark/>
          </w:tcPr>
          <w:p w14:paraId="6DAB7E8A" w14:textId="77777777" w:rsidR="00000000" w:rsidRDefault="00405D16">
            <w:pPr>
              <w:spacing w:after="100"/>
              <w:rPr>
                <w:rFonts w:eastAsia="Times New Roman"/>
                <w:sz w:val="20"/>
                <w:szCs w:val="20"/>
              </w:rPr>
            </w:pPr>
          </w:p>
        </w:tc>
        <w:tc>
          <w:tcPr>
            <w:tcW w:w="0" w:type="auto"/>
            <w:gridSpan w:val="3"/>
            <w:vAlign w:val="center"/>
            <w:hideMark/>
          </w:tcPr>
          <w:p w14:paraId="67227528" w14:textId="77777777" w:rsidR="00000000" w:rsidRDefault="00405D16">
            <w:pPr>
              <w:spacing w:after="100"/>
              <w:rPr>
                <w:rFonts w:eastAsia="Times New Roman"/>
                <w:sz w:val="20"/>
                <w:szCs w:val="20"/>
              </w:rPr>
            </w:pPr>
          </w:p>
        </w:tc>
        <w:tc>
          <w:tcPr>
            <w:tcW w:w="0" w:type="auto"/>
            <w:gridSpan w:val="3"/>
            <w:vAlign w:val="center"/>
            <w:hideMark/>
          </w:tcPr>
          <w:p w14:paraId="2FF577A5" w14:textId="77777777" w:rsidR="00000000" w:rsidRDefault="00405D16">
            <w:pPr>
              <w:spacing w:after="100"/>
              <w:rPr>
                <w:rFonts w:eastAsia="Times New Roman"/>
                <w:sz w:val="20"/>
                <w:szCs w:val="20"/>
              </w:rPr>
            </w:pPr>
          </w:p>
        </w:tc>
        <w:tc>
          <w:tcPr>
            <w:tcW w:w="0" w:type="auto"/>
            <w:gridSpan w:val="3"/>
            <w:vAlign w:val="center"/>
            <w:hideMark/>
          </w:tcPr>
          <w:p w14:paraId="76FBAEEF" w14:textId="77777777" w:rsidR="00000000" w:rsidRDefault="00405D16">
            <w:pPr>
              <w:spacing w:after="100"/>
              <w:rPr>
                <w:rFonts w:eastAsia="Times New Roman"/>
                <w:sz w:val="20"/>
                <w:szCs w:val="20"/>
              </w:rPr>
            </w:pPr>
          </w:p>
        </w:tc>
        <w:tc>
          <w:tcPr>
            <w:tcW w:w="0" w:type="auto"/>
            <w:gridSpan w:val="3"/>
            <w:vAlign w:val="center"/>
            <w:hideMark/>
          </w:tcPr>
          <w:p w14:paraId="3072F74B" w14:textId="77777777" w:rsidR="00000000" w:rsidRDefault="00405D16">
            <w:pPr>
              <w:spacing w:after="100"/>
              <w:rPr>
                <w:rFonts w:eastAsia="Times New Roman"/>
                <w:sz w:val="20"/>
                <w:szCs w:val="20"/>
              </w:rPr>
            </w:pPr>
          </w:p>
        </w:tc>
        <w:tc>
          <w:tcPr>
            <w:tcW w:w="0" w:type="auto"/>
            <w:gridSpan w:val="3"/>
            <w:vAlign w:val="center"/>
            <w:hideMark/>
          </w:tcPr>
          <w:p w14:paraId="4585C473" w14:textId="77777777" w:rsidR="00000000" w:rsidRDefault="00405D16">
            <w:pPr>
              <w:spacing w:after="100"/>
              <w:rPr>
                <w:rFonts w:eastAsia="Times New Roman"/>
                <w:sz w:val="20"/>
                <w:szCs w:val="20"/>
              </w:rPr>
            </w:pPr>
          </w:p>
        </w:tc>
        <w:tc>
          <w:tcPr>
            <w:tcW w:w="0" w:type="auto"/>
            <w:gridSpan w:val="3"/>
            <w:vAlign w:val="center"/>
            <w:hideMark/>
          </w:tcPr>
          <w:p w14:paraId="37CE3F34" w14:textId="77777777" w:rsidR="00000000" w:rsidRDefault="00405D16">
            <w:pPr>
              <w:spacing w:after="100"/>
              <w:rPr>
                <w:rFonts w:eastAsia="Times New Roman"/>
                <w:sz w:val="20"/>
                <w:szCs w:val="20"/>
              </w:rPr>
            </w:pPr>
          </w:p>
        </w:tc>
        <w:tc>
          <w:tcPr>
            <w:tcW w:w="0" w:type="auto"/>
            <w:gridSpan w:val="3"/>
            <w:vAlign w:val="center"/>
            <w:hideMark/>
          </w:tcPr>
          <w:p w14:paraId="7E5B760B" w14:textId="77777777" w:rsidR="00000000" w:rsidRDefault="00405D16">
            <w:pPr>
              <w:spacing w:after="100"/>
              <w:rPr>
                <w:rFonts w:eastAsia="Times New Roman"/>
                <w:sz w:val="20"/>
                <w:szCs w:val="20"/>
              </w:rPr>
            </w:pPr>
          </w:p>
        </w:tc>
        <w:tc>
          <w:tcPr>
            <w:tcW w:w="0" w:type="auto"/>
            <w:gridSpan w:val="3"/>
            <w:vAlign w:val="center"/>
            <w:hideMark/>
          </w:tcPr>
          <w:p w14:paraId="15CC8121" w14:textId="77777777" w:rsidR="00000000" w:rsidRDefault="00405D16">
            <w:pPr>
              <w:spacing w:after="100"/>
              <w:rPr>
                <w:rFonts w:eastAsia="Times New Roman"/>
                <w:sz w:val="20"/>
                <w:szCs w:val="20"/>
              </w:rPr>
            </w:pPr>
          </w:p>
        </w:tc>
        <w:tc>
          <w:tcPr>
            <w:tcW w:w="0" w:type="auto"/>
            <w:gridSpan w:val="3"/>
            <w:vAlign w:val="center"/>
            <w:hideMark/>
          </w:tcPr>
          <w:p w14:paraId="61828FA6" w14:textId="77777777" w:rsidR="00000000" w:rsidRDefault="00405D16">
            <w:pPr>
              <w:spacing w:after="100"/>
              <w:rPr>
                <w:rFonts w:eastAsia="Times New Roman"/>
                <w:sz w:val="20"/>
                <w:szCs w:val="20"/>
              </w:rPr>
            </w:pPr>
          </w:p>
        </w:tc>
        <w:tc>
          <w:tcPr>
            <w:tcW w:w="0" w:type="auto"/>
            <w:gridSpan w:val="3"/>
            <w:vAlign w:val="center"/>
            <w:hideMark/>
          </w:tcPr>
          <w:p w14:paraId="68CDCA24" w14:textId="77777777" w:rsidR="00000000" w:rsidRDefault="00405D16">
            <w:pPr>
              <w:spacing w:after="100"/>
              <w:rPr>
                <w:rFonts w:eastAsia="Times New Roman"/>
                <w:sz w:val="20"/>
                <w:szCs w:val="20"/>
              </w:rPr>
            </w:pPr>
          </w:p>
        </w:tc>
        <w:tc>
          <w:tcPr>
            <w:tcW w:w="0" w:type="auto"/>
            <w:gridSpan w:val="3"/>
            <w:vAlign w:val="center"/>
            <w:hideMark/>
          </w:tcPr>
          <w:p w14:paraId="39D0A411" w14:textId="77777777" w:rsidR="00000000" w:rsidRDefault="00405D16">
            <w:pPr>
              <w:spacing w:after="100"/>
              <w:rPr>
                <w:rFonts w:eastAsia="Times New Roman"/>
                <w:sz w:val="20"/>
                <w:szCs w:val="20"/>
              </w:rPr>
            </w:pPr>
          </w:p>
        </w:tc>
      </w:tr>
      <w:tr w:rsidR="00000000" w14:paraId="35922AD7" w14:textId="77777777">
        <w:tc>
          <w:tcPr>
            <w:tcW w:w="0" w:type="auto"/>
            <w:gridSpan w:val="3"/>
            <w:vAlign w:val="center"/>
            <w:hideMark/>
          </w:tcPr>
          <w:p w14:paraId="7F52C3CA" w14:textId="77777777" w:rsidR="00000000" w:rsidRDefault="00405D16">
            <w:pPr>
              <w:spacing w:after="100"/>
              <w:rPr>
                <w:rFonts w:eastAsia="Times New Roman"/>
                <w:sz w:val="20"/>
                <w:szCs w:val="20"/>
              </w:rPr>
            </w:pPr>
          </w:p>
        </w:tc>
        <w:tc>
          <w:tcPr>
            <w:tcW w:w="0" w:type="auto"/>
            <w:gridSpan w:val="3"/>
            <w:vAlign w:val="center"/>
            <w:hideMark/>
          </w:tcPr>
          <w:p w14:paraId="252E20B5" w14:textId="77777777" w:rsidR="00000000" w:rsidRDefault="00405D16">
            <w:pPr>
              <w:spacing w:after="100"/>
              <w:rPr>
                <w:rFonts w:eastAsia="Times New Roman"/>
                <w:sz w:val="20"/>
                <w:szCs w:val="20"/>
              </w:rPr>
            </w:pPr>
          </w:p>
        </w:tc>
        <w:tc>
          <w:tcPr>
            <w:tcW w:w="0" w:type="auto"/>
            <w:gridSpan w:val="3"/>
            <w:vAlign w:val="center"/>
            <w:hideMark/>
          </w:tcPr>
          <w:p w14:paraId="75A99133" w14:textId="77777777" w:rsidR="00000000" w:rsidRDefault="00405D16">
            <w:pPr>
              <w:spacing w:after="100"/>
              <w:rPr>
                <w:rFonts w:eastAsia="Times New Roman"/>
                <w:sz w:val="20"/>
                <w:szCs w:val="20"/>
              </w:rPr>
            </w:pPr>
          </w:p>
        </w:tc>
        <w:tc>
          <w:tcPr>
            <w:tcW w:w="0" w:type="auto"/>
            <w:gridSpan w:val="3"/>
            <w:vAlign w:val="center"/>
            <w:hideMark/>
          </w:tcPr>
          <w:p w14:paraId="05343C61" w14:textId="77777777" w:rsidR="00000000" w:rsidRDefault="00405D16">
            <w:pPr>
              <w:spacing w:after="100"/>
              <w:rPr>
                <w:rFonts w:eastAsia="Times New Roman"/>
                <w:sz w:val="20"/>
                <w:szCs w:val="20"/>
              </w:rPr>
            </w:pPr>
          </w:p>
        </w:tc>
        <w:tc>
          <w:tcPr>
            <w:tcW w:w="0" w:type="auto"/>
            <w:gridSpan w:val="3"/>
            <w:vAlign w:val="center"/>
            <w:hideMark/>
          </w:tcPr>
          <w:p w14:paraId="3FFD099D" w14:textId="77777777" w:rsidR="00000000" w:rsidRDefault="00405D16">
            <w:pPr>
              <w:spacing w:after="100"/>
              <w:rPr>
                <w:rFonts w:eastAsia="Times New Roman"/>
                <w:sz w:val="20"/>
                <w:szCs w:val="20"/>
              </w:rPr>
            </w:pPr>
          </w:p>
        </w:tc>
        <w:tc>
          <w:tcPr>
            <w:tcW w:w="0" w:type="auto"/>
            <w:gridSpan w:val="3"/>
            <w:vAlign w:val="center"/>
            <w:hideMark/>
          </w:tcPr>
          <w:p w14:paraId="6966A499" w14:textId="77777777" w:rsidR="00000000" w:rsidRDefault="00405D16">
            <w:pPr>
              <w:spacing w:after="100"/>
              <w:rPr>
                <w:rFonts w:eastAsia="Times New Roman"/>
                <w:sz w:val="20"/>
                <w:szCs w:val="20"/>
              </w:rPr>
            </w:pPr>
          </w:p>
        </w:tc>
        <w:tc>
          <w:tcPr>
            <w:tcW w:w="0" w:type="auto"/>
            <w:gridSpan w:val="3"/>
            <w:vAlign w:val="center"/>
            <w:hideMark/>
          </w:tcPr>
          <w:p w14:paraId="21C5763F" w14:textId="77777777" w:rsidR="00000000" w:rsidRDefault="00405D16">
            <w:pPr>
              <w:spacing w:after="100"/>
              <w:rPr>
                <w:rFonts w:eastAsia="Times New Roman"/>
                <w:sz w:val="20"/>
                <w:szCs w:val="20"/>
              </w:rPr>
            </w:pPr>
          </w:p>
        </w:tc>
        <w:tc>
          <w:tcPr>
            <w:tcW w:w="0" w:type="auto"/>
            <w:gridSpan w:val="3"/>
            <w:vAlign w:val="center"/>
            <w:hideMark/>
          </w:tcPr>
          <w:p w14:paraId="2F56219C" w14:textId="77777777" w:rsidR="00000000" w:rsidRDefault="00405D16">
            <w:pPr>
              <w:spacing w:after="100"/>
              <w:rPr>
                <w:rFonts w:eastAsia="Times New Roman"/>
                <w:sz w:val="20"/>
                <w:szCs w:val="20"/>
              </w:rPr>
            </w:pPr>
          </w:p>
        </w:tc>
        <w:tc>
          <w:tcPr>
            <w:tcW w:w="0" w:type="auto"/>
            <w:gridSpan w:val="3"/>
            <w:vAlign w:val="center"/>
            <w:hideMark/>
          </w:tcPr>
          <w:p w14:paraId="16542588" w14:textId="77777777" w:rsidR="00000000" w:rsidRDefault="00405D16">
            <w:pPr>
              <w:spacing w:after="100"/>
              <w:rPr>
                <w:rFonts w:eastAsia="Times New Roman"/>
                <w:sz w:val="20"/>
                <w:szCs w:val="20"/>
              </w:rPr>
            </w:pPr>
          </w:p>
        </w:tc>
        <w:tc>
          <w:tcPr>
            <w:tcW w:w="0" w:type="auto"/>
            <w:gridSpan w:val="3"/>
            <w:vAlign w:val="center"/>
            <w:hideMark/>
          </w:tcPr>
          <w:p w14:paraId="35308D4D" w14:textId="77777777" w:rsidR="00000000" w:rsidRDefault="00405D16">
            <w:pPr>
              <w:spacing w:after="100"/>
              <w:rPr>
                <w:rFonts w:eastAsia="Times New Roman"/>
                <w:sz w:val="20"/>
                <w:szCs w:val="20"/>
              </w:rPr>
            </w:pPr>
          </w:p>
        </w:tc>
        <w:tc>
          <w:tcPr>
            <w:tcW w:w="0" w:type="auto"/>
            <w:gridSpan w:val="3"/>
            <w:vAlign w:val="center"/>
            <w:hideMark/>
          </w:tcPr>
          <w:p w14:paraId="22A993F9" w14:textId="77777777" w:rsidR="00000000" w:rsidRDefault="00405D16">
            <w:pPr>
              <w:spacing w:after="100"/>
              <w:rPr>
                <w:rFonts w:eastAsia="Times New Roman"/>
                <w:sz w:val="20"/>
                <w:szCs w:val="20"/>
              </w:rPr>
            </w:pPr>
          </w:p>
        </w:tc>
        <w:tc>
          <w:tcPr>
            <w:tcW w:w="0" w:type="auto"/>
            <w:gridSpan w:val="3"/>
            <w:vAlign w:val="center"/>
            <w:hideMark/>
          </w:tcPr>
          <w:p w14:paraId="5E9E787E" w14:textId="77777777" w:rsidR="00000000" w:rsidRDefault="00405D16">
            <w:pPr>
              <w:spacing w:after="100"/>
              <w:rPr>
                <w:rFonts w:eastAsia="Times New Roman"/>
                <w:sz w:val="20"/>
                <w:szCs w:val="20"/>
              </w:rPr>
            </w:pPr>
          </w:p>
        </w:tc>
        <w:tc>
          <w:tcPr>
            <w:tcW w:w="0" w:type="auto"/>
            <w:gridSpan w:val="3"/>
            <w:vAlign w:val="center"/>
            <w:hideMark/>
          </w:tcPr>
          <w:p w14:paraId="00816D18" w14:textId="77777777" w:rsidR="00000000" w:rsidRDefault="00405D16">
            <w:pPr>
              <w:spacing w:after="100"/>
              <w:rPr>
                <w:rFonts w:eastAsia="Times New Roman"/>
                <w:sz w:val="20"/>
                <w:szCs w:val="20"/>
              </w:rPr>
            </w:pPr>
          </w:p>
        </w:tc>
        <w:tc>
          <w:tcPr>
            <w:tcW w:w="0" w:type="auto"/>
            <w:gridSpan w:val="3"/>
            <w:vAlign w:val="center"/>
            <w:hideMark/>
          </w:tcPr>
          <w:p w14:paraId="0042D3BE" w14:textId="77777777" w:rsidR="00000000" w:rsidRDefault="00405D16">
            <w:pPr>
              <w:spacing w:after="100"/>
              <w:rPr>
                <w:rFonts w:eastAsia="Times New Roman"/>
                <w:sz w:val="20"/>
                <w:szCs w:val="20"/>
              </w:rPr>
            </w:pPr>
          </w:p>
        </w:tc>
        <w:tc>
          <w:tcPr>
            <w:tcW w:w="0" w:type="auto"/>
            <w:gridSpan w:val="3"/>
            <w:vAlign w:val="center"/>
            <w:hideMark/>
          </w:tcPr>
          <w:p w14:paraId="1EC1BEF9" w14:textId="77777777" w:rsidR="00000000" w:rsidRDefault="00405D16">
            <w:pPr>
              <w:spacing w:after="100"/>
              <w:rPr>
                <w:rFonts w:eastAsia="Times New Roman"/>
                <w:sz w:val="20"/>
                <w:szCs w:val="20"/>
              </w:rPr>
            </w:pPr>
          </w:p>
        </w:tc>
        <w:tc>
          <w:tcPr>
            <w:tcW w:w="0" w:type="auto"/>
            <w:gridSpan w:val="3"/>
            <w:vAlign w:val="center"/>
            <w:hideMark/>
          </w:tcPr>
          <w:p w14:paraId="09C8161C" w14:textId="77777777" w:rsidR="00000000" w:rsidRDefault="00405D16">
            <w:pPr>
              <w:spacing w:after="100"/>
              <w:rPr>
                <w:rFonts w:eastAsia="Times New Roman"/>
                <w:sz w:val="20"/>
                <w:szCs w:val="20"/>
              </w:rPr>
            </w:pPr>
          </w:p>
        </w:tc>
        <w:tc>
          <w:tcPr>
            <w:tcW w:w="0" w:type="auto"/>
            <w:gridSpan w:val="3"/>
            <w:vAlign w:val="center"/>
            <w:hideMark/>
          </w:tcPr>
          <w:p w14:paraId="5C04EE5C" w14:textId="77777777" w:rsidR="00000000" w:rsidRDefault="00405D16">
            <w:pPr>
              <w:spacing w:after="100"/>
              <w:rPr>
                <w:rFonts w:eastAsia="Times New Roman"/>
                <w:sz w:val="20"/>
                <w:szCs w:val="20"/>
              </w:rPr>
            </w:pPr>
          </w:p>
        </w:tc>
        <w:tc>
          <w:tcPr>
            <w:tcW w:w="0" w:type="auto"/>
            <w:gridSpan w:val="3"/>
            <w:vAlign w:val="center"/>
            <w:hideMark/>
          </w:tcPr>
          <w:p w14:paraId="4439367C" w14:textId="77777777" w:rsidR="00000000" w:rsidRDefault="00405D16">
            <w:pPr>
              <w:spacing w:after="100"/>
              <w:rPr>
                <w:rFonts w:eastAsia="Times New Roman"/>
                <w:sz w:val="20"/>
                <w:szCs w:val="20"/>
              </w:rPr>
            </w:pPr>
          </w:p>
        </w:tc>
        <w:tc>
          <w:tcPr>
            <w:tcW w:w="0" w:type="auto"/>
            <w:gridSpan w:val="3"/>
            <w:vAlign w:val="center"/>
            <w:hideMark/>
          </w:tcPr>
          <w:p w14:paraId="61EBFE93" w14:textId="77777777" w:rsidR="00000000" w:rsidRDefault="00405D16">
            <w:pPr>
              <w:spacing w:after="100"/>
              <w:rPr>
                <w:rFonts w:eastAsia="Times New Roman"/>
                <w:sz w:val="20"/>
                <w:szCs w:val="20"/>
              </w:rPr>
            </w:pPr>
          </w:p>
        </w:tc>
      </w:tr>
      <w:tr w:rsidR="00000000" w14:paraId="52255B0E" w14:textId="77777777">
        <w:tc>
          <w:tcPr>
            <w:tcW w:w="0" w:type="auto"/>
            <w:gridSpan w:val="3"/>
            <w:vAlign w:val="center"/>
            <w:hideMark/>
          </w:tcPr>
          <w:p w14:paraId="438240FD" w14:textId="77777777" w:rsidR="00000000" w:rsidRDefault="00405D16">
            <w:pPr>
              <w:spacing w:after="100"/>
              <w:rPr>
                <w:rFonts w:eastAsia="Times New Roman"/>
                <w:sz w:val="20"/>
                <w:szCs w:val="20"/>
              </w:rPr>
            </w:pPr>
          </w:p>
        </w:tc>
        <w:tc>
          <w:tcPr>
            <w:tcW w:w="0" w:type="auto"/>
            <w:gridSpan w:val="3"/>
            <w:vAlign w:val="center"/>
            <w:hideMark/>
          </w:tcPr>
          <w:p w14:paraId="7703FD4D" w14:textId="77777777" w:rsidR="00000000" w:rsidRDefault="00405D16">
            <w:pPr>
              <w:spacing w:after="100"/>
              <w:rPr>
                <w:rFonts w:eastAsia="Times New Roman"/>
                <w:sz w:val="20"/>
                <w:szCs w:val="20"/>
              </w:rPr>
            </w:pPr>
          </w:p>
        </w:tc>
        <w:tc>
          <w:tcPr>
            <w:tcW w:w="0" w:type="auto"/>
            <w:gridSpan w:val="3"/>
            <w:vAlign w:val="center"/>
            <w:hideMark/>
          </w:tcPr>
          <w:p w14:paraId="6F19798B" w14:textId="77777777" w:rsidR="00000000" w:rsidRDefault="00405D16">
            <w:pPr>
              <w:spacing w:after="100"/>
              <w:rPr>
                <w:rFonts w:eastAsia="Times New Roman"/>
                <w:sz w:val="20"/>
                <w:szCs w:val="20"/>
              </w:rPr>
            </w:pPr>
          </w:p>
        </w:tc>
        <w:tc>
          <w:tcPr>
            <w:tcW w:w="0" w:type="auto"/>
            <w:gridSpan w:val="3"/>
            <w:vAlign w:val="center"/>
            <w:hideMark/>
          </w:tcPr>
          <w:p w14:paraId="3F58AC07" w14:textId="77777777" w:rsidR="00000000" w:rsidRDefault="00405D16">
            <w:pPr>
              <w:spacing w:after="100"/>
              <w:rPr>
                <w:rFonts w:eastAsia="Times New Roman"/>
                <w:sz w:val="20"/>
                <w:szCs w:val="20"/>
              </w:rPr>
            </w:pPr>
          </w:p>
        </w:tc>
        <w:tc>
          <w:tcPr>
            <w:tcW w:w="0" w:type="auto"/>
            <w:gridSpan w:val="3"/>
            <w:vAlign w:val="center"/>
            <w:hideMark/>
          </w:tcPr>
          <w:p w14:paraId="47CC5CFD" w14:textId="77777777" w:rsidR="00000000" w:rsidRDefault="00405D16">
            <w:pPr>
              <w:spacing w:after="100"/>
              <w:rPr>
                <w:rFonts w:eastAsia="Times New Roman"/>
                <w:sz w:val="20"/>
                <w:szCs w:val="20"/>
              </w:rPr>
            </w:pPr>
          </w:p>
        </w:tc>
        <w:tc>
          <w:tcPr>
            <w:tcW w:w="0" w:type="auto"/>
            <w:gridSpan w:val="3"/>
            <w:vAlign w:val="center"/>
            <w:hideMark/>
          </w:tcPr>
          <w:p w14:paraId="06182497" w14:textId="77777777" w:rsidR="00000000" w:rsidRDefault="00405D16">
            <w:pPr>
              <w:spacing w:after="100"/>
              <w:rPr>
                <w:rFonts w:eastAsia="Times New Roman"/>
                <w:sz w:val="20"/>
                <w:szCs w:val="20"/>
              </w:rPr>
            </w:pPr>
          </w:p>
        </w:tc>
        <w:tc>
          <w:tcPr>
            <w:tcW w:w="0" w:type="auto"/>
            <w:gridSpan w:val="3"/>
            <w:vAlign w:val="center"/>
            <w:hideMark/>
          </w:tcPr>
          <w:p w14:paraId="67405DB0" w14:textId="77777777" w:rsidR="00000000" w:rsidRDefault="00405D16">
            <w:pPr>
              <w:spacing w:after="100"/>
              <w:rPr>
                <w:rFonts w:eastAsia="Times New Roman"/>
                <w:sz w:val="20"/>
                <w:szCs w:val="20"/>
              </w:rPr>
            </w:pPr>
          </w:p>
        </w:tc>
        <w:tc>
          <w:tcPr>
            <w:tcW w:w="0" w:type="auto"/>
            <w:gridSpan w:val="3"/>
            <w:vAlign w:val="center"/>
            <w:hideMark/>
          </w:tcPr>
          <w:p w14:paraId="2B5728EB" w14:textId="77777777" w:rsidR="00000000" w:rsidRDefault="00405D16">
            <w:pPr>
              <w:spacing w:after="100"/>
              <w:rPr>
                <w:rFonts w:eastAsia="Times New Roman"/>
                <w:sz w:val="20"/>
                <w:szCs w:val="20"/>
              </w:rPr>
            </w:pPr>
          </w:p>
        </w:tc>
        <w:tc>
          <w:tcPr>
            <w:tcW w:w="0" w:type="auto"/>
            <w:gridSpan w:val="3"/>
            <w:vAlign w:val="center"/>
            <w:hideMark/>
          </w:tcPr>
          <w:p w14:paraId="49C97C23" w14:textId="77777777" w:rsidR="00000000" w:rsidRDefault="00405D16">
            <w:pPr>
              <w:spacing w:after="100"/>
              <w:rPr>
                <w:rFonts w:eastAsia="Times New Roman"/>
                <w:sz w:val="20"/>
                <w:szCs w:val="20"/>
              </w:rPr>
            </w:pPr>
          </w:p>
        </w:tc>
        <w:tc>
          <w:tcPr>
            <w:tcW w:w="0" w:type="auto"/>
            <w:gridSpan w:val="3"/>
            <w:vAlign w:val="center"/>
            <w:hideMark/>
          </w:tcPr>
          <w:p w14:paraId="51AC3077" w14:textId="77777777" w:rsidR="00000000" w:rsidRDefault="00405D16">
            <w:pPr>
              <w:spacing w:after="100"/>
              <w:rPr>
                <w:rFonts w:eastAsia="Times New Roman"/>
                <w:sz w:val="20"/>
                <w:szCs w:val="20"/>
              </w:rPr>
            </w:pPr>
          </w:p>
        </w:tc>
        <w:tc>
          <w:tcPr>
            <w:tcW w:w="0" w:type="auto"/>
            <w:gridSpan w:val="3"/>
            <w:vAlign w:val="center"/>
            <w:hideMark/>
          </w:tcPr>
          <w:p w14:paraId="55CC38B2" w14:textId="77777777" w:rsidR="00000000" w:rsidRDefault="00405D16">
            <w:pPr>
              <w:spacing w:after="100"/>
              <w:rPr>
                <w:rFonts w:eastAsia="Times New Roman"/>
                <w:sz w:val="20"/>
                <w:szCs w:val="20"/>
              </w:rPr>
            </w:pPr>
          </w:p>
        </w:tc>
        <w:tc>
          <w:tcPr>
            <w:tcW w:w="0" w:type="auto"/>
            <w:gridSpan w:val="3"/>
            <w:vAlign w:val="center"/>
            <w:hideMark/>
          </w:tcPr>
          <w:p w14:paraId="16A7DAFC" w14:textId="77777777" w:rsidR="00000000" w:rsidRDefault="00405D16">
            <w:pPr>
              <w:spacing w:after="100"/>
              <w:rPr>
                <w:rFonts w:eastAsia="Times New Roman"/>
                <w:sz w:val="20"/>
                <w:szCs w:val="20"/>
              </w:rPr>
            </w:pPr>
          </w:p>
        </w:tc>
        <w:tc>
          <w:tcPr>
            <w:tcW w:w="0" w:type="auto"/>
            <w:gridSpan w:val="3"/>
            <w:vAlign w:val="center"/>
            <w:hideMark/>
          </w:tcPr>
          <w:p w14:paraId="4088B29D" w14:textId="77777777" w:rsidR="00000000" w:rsidRDefault="00405D16">
            <w:pPr>
              <w:spacing w:after="100"/>
              <w:rPr>
                <w:rFonts w:eastAsia="Times New Roman"/>
                <w:sz w:val="20"/>
                <w:szCs w:val="20"/>
              </w:rPr>
            </w:pPr>
          </w:p>
        </w:tc>
        <w:tc>
          <w:tcPr>
            <w:tcW w:w="0" w:type="auto"/>
            <w:gridSpan w:val="3"/>
            <w:vAlign w:val="center"/>
            <w:hideMark/>
          </w:tcPr>
          <w:p w14:paraId="57390C4C" w14:textId="77777777" w:rsidR="00000000" w:rsidRDefault="00405D16">
            <w:pPr>
              <w:spacing w:after="100"/>
              <w:rPr>
                <w:rFonts w:eastAsia="Times New Roman"/>
                <w:sz w:val="20"/>
                <w:szCs w:val="20"/>
              </w:rPr>
            </w:pPr>
          </w:p>
        </w:tc>
        <w:tc>
          <w:tcPr>
            <w:tcW w:w="0" w:type="auto"/>
            <w:gridSpan w:val="3"/>
            <w:vAlign w:val="center"/>
            <w:hideMark/>
          </w:tcPr>
          <w:p w14:paraId="4299A297" w14:textId="77777777" w:rsidR="00000000" w:rsidRDefault="00405D16">
            <w:pPr>
              <w:spacing w:after="100"/>
              <w:rPr>
                <w:rFonts w:eastAsia="Times New Roman"/>
                <w:sz w:val="20"/>
                <w:szCs w:val="20"/>
              </w:rPr>
            </w:pPr>
          </w:p>
        </w:tc>
        <w:tc>
          <w:tcPr>
            <w:tcW w:w="0" w:type="auto"/>
            <w:gridSpan w:val="3"/>
            <w:vAlign w:val="center"/>
            <w:hideMark/>
          </w:tcPr>
          <w:p w14:paraId="1AFF52AD" w14:textId="77777777" w:rsidR="00000000" w:rsidRDefault="00405D16">
            <w:pPr>
              <w:spacing w:after="100"/>
              <w:rPr>
                <w:rFonts w:eastAsia="Times New Roman"/>
                <w:sz w:val="20"/>
                <w:szCs w:val="20"/>
              </w:rPr>
            </w:pPr>
          </w:p>
        </w:tc>
        <w:tc>
          <w:tcPr>
            <w:tcW w:w="0" w:type="auto"/>
            <w:gridSpan w:val="3"/>
            <w:vAlign w:val="center"/>
            <w:hideMark/>
          </w:tcPr>
          <w:p w14:paraId="501365D4" w14:textId="77777777" w:rsidR="00000000" w:rsidRDefault="00405D16">
            <w:pPr>
              <w:spacing w:after="100"/>
              <w:rPr>
                <w:rFonts w:eastAsia="Times New Roman"/>
                <w:sz w:val="20"/>
                <w:szCs w:val="20"/>
              </w:rPr>
            </w:pPr>
          </w:p>
        </w:tc>
        <w:tc>
          <w:tcPr>
            <w:tcW w:w="0" w:type="auto"/>
            <w:gridSpan w:val="3"/>
            <w:vAlign w:val="center"/>
            <w:hideMark/>
          </w:tcPr>
          <w:p w14:paraId="13364B96" w14:textId="77777777" w:rsidR="00000000" w:rsidRDefault="00405D16">
            <w:pPr>
              <w:spacing w:after="100"/>
              <w:rPr>
                <w:rFonts w:eastAsia="Times New Roman"/>
                <w:sz w:val="20"/>
                <w:szCs w:val="20"/>
              </w:rPr>
            </w:pPr>
          </w:p>
        </w:tc>
        <w:tc>
          <w:tcPr>
            <w:tcW w:w="0" w:type="auto"/>
            <w:gridSpan w:val="3"/>
            <w:vAlign w:val="center"/>
            <w:hideMark/>
          </w:tcPr>
          <w:p w14:paraId="24FE7D9B" w14:textId="77777777" w:rsidR="00000000" w:rsidRDefault="00405D16">
            <w:pPr>
              <w:spacing w:after="100"/>
              <w:rPr>
                <w:rFonts w:eastAsia="Times New Roman"/>
                <w:sz w:val="20"/>
                <w:szCs w:val="20"/>
              </w:rPr>
            </w:pPr>
          </w:p>
        </w:tc>
      </w:tr>
      <w:tr w:rsidR="00000000" w14:paraId="555B6EC6" w14:textId="77777777">
        <w:tc>
          <w:tcPr>
            <w:tcW w:w="0" w:type="auto"/>
            <w:gridSpan w:val="3"/>
            <w:vAlign w:val="center"/>
            <w:hideMark/>
          </w:tcPr>
          <w:p w14:paraId="7E230751" w14:textId="77777777" w:rsidR="00000000" w:rsidRDefault="00405D16">
            <w:pPr>
              <w:spacing w:after="100"/>
              <w:rPr>
                <w:rFonts w:eastAsia="Times New Roman"/>
                <w:sz w:val="20"/>
                <w:szCs w:val="20"/>
              </w:rPr>
            </w:pPr>
          </w:p>
        </w:tc>
        <w:tc>
          <w:tcPr>
            <w:tcW w:w="0" w:type="auto"/>
            <w:gridSpan w:val="3"/>
            <w:vAlign w:val="center"/>
            <w:hideMark/>
          </w:tcPr>
          <w:p w14:paraId="20DCA976" w14:textId="77777777" w:rsidR="00000000" w:rsidRDefault="00405D16">
            <w:pPr>
              <w:spacing w:after="100"/>
              <w:rPr>
                <w:rFonts w:eastAsia="Times New Roman"/>
                <w:sz w:val="20"/>
                <w:szCs w:val="20"/>
              </w:rPr>
            </w:pPr>
          </w:p>
        </w:tc>
        <w:tc>
          <w:tcPr>
            <w:tcW w:w="0" w:type="auto"/>
            <w:gridSpan w:val="3"/>
            <w:vAlign w:val="center"/>
            <w:hideMark/>
          </w:tcPr>
          <w:p w14:paraId="4C5DD13C" w14:textId="77777777" w:rsidR="00000000" w:rsidRDefault="00405D16">
            <w:pPr>
              <w:spacing w:after="100"/>
              <w:rPr>
                <w:rFonts w:eastAsia="Times New Roman"/>
                <w:sz w:val="20"/>
                <w:szCs w:val="20"/>
              </w:rPr>
            </w:pPr>
          </w:p>
        </w:tc>
        <w:tc>
          <w:tcPr>
            <w:tcW w:w="0" w:type="auto"/>
            <w:gridSpan w:val="3"/>
            <w:vAlign w:val="center"/>
            <w:hideMark/>
          </w:tcPr>
          <w:p w14:paraId="4630BB92" w14:textId="77777777" w:rsidR="00000000" w:rsidRDefault="00405D16">
            <w:pPr>
              <w:spacing w:after="100"/>
              <w:rPr>
                <w:rFonts w:eastAsia="Times New Roman"/>
                <w:sz w:val="20"/>
                <w:szCs w:val="20"/>
              </w:rPr>
            </w:pPr>
          </w:p>
        </w:tc>
        <w:tc>
          <w:tcPr>
            <w:tcW w:w="0" w:type="auto"/>
            <w:gridSpan w:val="3"/>
            <w:vAlign w:val="center"/>
            <w:hideMark/>
          </w:tcPr>
          <w:p w14:paraId="5698A289" w14:textId="77777777" w:rsidR="00000000" w:rsidRDefault="00405D16">
            <w:pPr>
              <w:spacing w:after="100"/>
              <w:rPr>
                <w:rFonts w:eastAsia="Times New Roman"/>
                <w:sz w:val="20"/>
                <w:szCs w:val="20"/>
              </w:rPr>
            </w:pPr>
          </w:p>
        </w:tc>
        <w:tc>
          <w:tcPr>
            <w:tcW w:w="0" w:type="auto"/>
            <w:gridSpan w:val="3"/>
            <w:vAlign w:val="center"/>
            <w:hideMark/>
          </w:tcPr>
          <w:p w14:paraId="38A03B16" w14:textId="77777777" w:rsidR="00000000" w:rsidRDefault="00405D16">
            <w:pPr>
              <w:spacing w:after="100"/>
              <w:rPr>
                <w:rFonts w:eastAsia="Times New Roman"/>
                <w:sz w:val="20"/>
                <w:szCs w:val="20"/>
              </w:rPr>
            </w:pPr>
          </w:p>
        </w:tc>
        <w:tc>
          <w:tcPr>
            <w:tcW w:w="0" w:type="auto"/>
            <w:gridSpan w:val="3"/>
            <w:vAlign w:val="center"/>
            <w:hideMark/>
          </w:tcPr>
          <w:p w14:paraId="7607823F" w14:textId="77777777" w:rsidR="00000000" w:rsidRDefault="00405D16">
            <w:pPr>
              <w:spacing w:after="100"/>
              <w:rPr>
                <w:rFonts w:eastAsia="Times New Roman"/>
                <w:sz w:val="20"/>
                <w:szCs w:val="20"/>
              </w:rPr>
            </w:pPr>
          </w:p>
        </w:tc>
        <w:tc>
          <w:tcPr>
            <w:tcW w:w="0" w:type="auto"/>
            <w:gridSpan w:val="3"/>
            <w:vAlign w:val="center"/>
            <w:hideMark/>
          </w:tcPr>
          <w:p w14:paraId="191CA120" w14:textId="77777777" w:rsidR="00000000" w:rsidRDefault="00405D16">
            <w:pPr>
              <w:spacing w:after="100"/>
              <w:rPr>
                <w:rFonts w:eastAsia="Times New Roman"/>
                <w:sz w:val="20"/>
                <w:szCs w:val="20"/>
              </w:rPr>
            </w:pPr>
          </w:p>
        </w:tc>
        <w:tc>
          <w:tcPr>
            <w:tcW w:w="0" w:type="auto"/>
            <w:gridSpan w:val="3"/>
            <w:vAlign w:val="center"/>
            <w:hideMark/>
          </w:tcPr>
          <w:p w14:paraId="7A5E1460" w14:textId="77777777" w:rsidR="00000000" w:rsidRDefault="00405D16">
            <w:pPr>
              <w:spacing w:after="100"/>
              <w:rPr>
                <w:rFonts w:eastAsia="Times New Roman"/>
                <w:sz w:val="20"/>
                <w:szCs w:val="20"/>
              </w:rPr>
            </w:pPr>
          </w:p>
        </w:tc>
        <w:tc>
          <w:tcPr>
            <w:tcW w:w="0" w:type="auto"/>
            <w:gridSpan w:val="3"/>
            <w:vAlign w:val="center"/>
            <w:hideMark/>
          </w:tcPr>
          <w:p w14:paraId="06409938" w14:textId="77777777" w:rsidR="00000000" w:rsidRDefault="00405D16">
            <w:pPr>
              <w:spacing w:after="100"/>
              <w:rPr>
                <w:rFonts w:eastAsia="Times New Roman"/>
                <w:sz w:val="20"/>
                <w:szCs w:val="20"/>
              </w:rPr>
            </w:pPr>
          </w:p>
        </w:tc>
        <w:tc>
          <w:tcPr>
            <w:tcW w:w="0" w:type="auto"/>
            <w:gridSpan w:val="3"/>
            <w:vAlign w:val="center"/>
            <w:hideMark/>
          </w:tcPr>
          <w:p w14:paraId="7742B402" w14:textId="77777777" w:rsidR="00000000" w:rsidRDefault="00405D16">
            <w:pPr>
              <w:spacing w:after="100"/>
              <w:rPr>
                <w:rFonts w:eastAsia="Times New Roman"/>
                <w:sz w:val="20"/>
                <w:szCs w:val="20"/>
              </w:rPr>
            </w:pPr>
          </w:p>
        </w:tc>
        <w:tc>
          <w:tcPr>
            <w:tcW w:w="0" w:type="auto"/>
            <w:gridSpan w:val="3"/>
            <w:vAlign w:val="center"/>
            <w:hideMark/>
          </w:tcPr>
          <w:p w14:paraId="5500B98B" w14:textId="77777777" w:rsidR="00000000" w:rsidRDefault="00405D16">
            <w:pPr>
              <w:spacing w:after="100"/>
              <w:rPr>
                <w:rFonts w:eastAsia="Times New Roman"/>
                <w:sz w:val="20"/>
                <w:szCs w:val="20"/>
              </w:rPr>
            </w:pPr>
          </w:p>
        </w:tc>
        <w:tc>
          <w:tcPr>
            <w:tcW w:w="0" w:type="auto"/>
            <w:gridSpan w:val="3"/>
            <w:vAlign w:val="center"/>
            <w:hideMark/>
          </w:tcPr>
          <w:p w14:paraId="17DAFD6A" w14:textId="77777777" w:rsidR="00000000" w:rsidRDefault="00405D16">
            <w:pPr>
              <w:spacing w:after="100"/>
              <w:rPr>
                <w:rFonts w:eastAsia="Times New Roman"/>
                <w:sz w:val="20"/>
                <w:szCs w:val="20"/>
              </w:rPr>
            </w:pPr>
          </w:p>
        </w:tc>
        <w:tc>
          <w:tcPr>
            <w:tcW w:w="0" w:type="auto"/>
            <w:gridSpan w:val="3"/>
            <w:vAlign w:val="center"/>
            <w:hideMark/>
          </w:tcPr>
          <w:p w14:paraId="47387EE9" w14:textId="77777777" w:rsidR="00000000" w:rsidRDefault="00405D16">
            <w:pPr>
              <w:spacing w:after="100"/>
              <w:rPr>
                <w:rFonts w:eastAsia="Times New Roman"/>
                <w:sz w:val="20"/>
                <w:szCs w:val="20"/>
              </w:rPr>
            </w:pPr>
          </w:p>
        </w:tc>
        <w:tc>
          <w:tcPr>
            <w:tcW w:w="0" w:type="auto"/>
            <w:gridSpan w:val="3"/>
            <w:vAlign w:val="center"/>
            <w:hideMark/>
          </w:tcPr>
          <w:p w14:paraId="5D697B59" w14:textId="77777777" w:rsidR="00000000" w:rsidRDefault="00405D16">
            <w:pPr>
              <w:spacing w:after="100"/>
              <w:rPr>
                <w:rFonts w:eastAsia="Times New Roman"/>
                <w:sz w:val="20"/>
                <w:szCs w:val="20"/>
              </w:rPr>
            </w:pPr>
          </w:p>
        </w:tc>
        <w:tc>
          <w:tcPr>
            <w:tcW w:w="0" w:type="auto"/>
            <w:gridSpan w:val="3"/>
            <w:vAlign w:val="center"/>
            <w:hideMark/>
          </w:tcPr>
          <w:p w14:paraId="32ADE2D8" w14:textId="77777777" w:rsidR="00000000" w:rsidRDefault="00405D16">
            <w:pPr>
              <w:spacing w:after="100"/>
              <w:rPr>
                <w:rFonts w:eastAsia="Times New Roman"/>
                <w:sz w:val="20"/>
                <w:szCs w:val="20"/>
              </w:rPr>
            </w:pPr>
          </w:p>
        </w:tc>
        <w:tc>
          <w:tcPr>
            <w:tcW w:w="0" w:type="auto"/>
            <w:gridSpan w:val="3"/>
            <w:vAlign w:val="center"/>
            <w:hideMark/>
          </w:tcPr>
          <w:p w14:paraId="53E44651" w14:textId="77777777" w:rsidR="00000000" w:rsidRDefault="00405D16">
            <w:pPr>
              <w:spacing w:after="100"/>
              <w:rPr>
                <w:rFonts w:eastAsia="Times New Roman"/>
                <w:sz w:val="20"/>
                <w:szCs w:val="20"/>
              </w:rPr>
            </w:pPr>
          </w:p>
        </w:tc>
        <w:tc>
          <w:tcPr>
            <w:tcW w:w="0" w:type="auto"/>
            <w:gridSpan w:val="3"/>
            <w:vAlign w:val="center"/>
            <w:hideMark/>
          </w:tcPr>
          <w:p w14:paraId="776A870F" w14:textId="77777777" w:rsidR="00000000" w:rsidRDefault="00405D16">
            <w:pPr>
              <w:spacing w:after="100"/>
              <w:rPr>
                <w:rFonts w:eastAsia="Times New Roman"/>
                <w:sz w:val="20"/>
                <w:szCs w:val="20"/>
              </w:rPr>
            </w:pPr>
          </w:p>
        </w:tc>
        <w:tc>
          <w:tcPr>
            <w:tcW w:w="0" w:type="auto"/>
            <w:gridSpan w:val="3"/>
            <w:vAlign w:val="center"/>
            <w:hideMark/>
          </w:tcPr>
          <w:p w14:paraId="4CCC5165" w14:textId="77777777" w:rsidR="00000000" w:rsidRDefault="00405D16">
            <w:pPr>
              <w:spacing w:after="100"/>
              <w:rPr>
                <w:rFonts w:eastAsia="Times New Roman"/>
                <w:sz w:val="20"/>
                <w:szCs w:val="20"/>
              </w:rPr>
            </w:pPr>
          </w:p>
        </w:tc>
      </w:tr>
    </w:tbl>
    <w:p w14:paraId="2FB58F07" w14:textId="77777777" w:rsidR="00000000" w:rsidRDefault="00405D16">
      <w:pPr>
        <w:jc w:val="both"/>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7"/>
        <w:gridCol w:w="69"/>
        <w:gridCol w:w="2663"/>
        <w:gridCol w:w="36"/>
        <w:gridCol w:w="69"/>
        <w:gridCol w:w="2663"/>
        <w:gridCol w:w="37"/>
      </w:tblGrid>
      <w:tr w:rsidR="00000000" w14:paraId="5D136837" w14:textId="77777777">
        <w:trPr>
          <w:divId w:val="441610691"/>
          <w:jc w:val="center"/>
        </w:trPr>
        <w:tc>
          <w:tcPr>
            <w:tcW w:w="50" w:type="pct"/>
            <w:vAlign w:val="center"/>
            <w:hideMark/>
          </w:tcPr>
          <w:p w14:paraId="633CC500" w14:textId="77777777" w:rsidR="00000000" w:rsidRDefault="00405D16">
            <w:pPr>
              <w:jc w:val="both"/>
              <w:rPr>
                <w:rFonts w:eastAsia="Times New Roman"/>
              </w:rPr>
            </w:pPr>
          </w:p>
        </w:tc>
        <w:tc>
          <w:tcPr>
            <w:tcW w:w="1606" w:type="pct"/>
            <w:vAlign w:val="center"/>
            <w:hideMark/>
          </w:tcPr>
          <w:p w14:paraId="2D5E7974" w14:textId="77777777" w:rsidR="00000000" w:rsidRDefault="00405D16">
            <w:pPr>
              <w:spacing w:after="100"/>
              <w:rPr>
                <w:rFonts w:eastAsia="Times New Roman"/>
                <w:sz w:val="20"/>
                <w:szCs w:val="20"/>
              </w:rPr>
            </w:pPr>
          </w:p>
        </w:tc>
        <w:tc>
          <w:tcPr>
            <w:tcW w:w="5" w:type="pct"/>
            <w:vAlign w:val="center"/>
            <w:hideMark/>
          </w:tcPr>
          <w:p w14:paraId="1C661290" w14:textId="77777777" w:rsidR="00000000" w:rsidRDefault="00405D16">
            <w:pPr>
              <w:spacing w:after="100"/>
              <w:rPr>
                <w:rFonts w:eastAsia="Times New Roman"/>
                <w:sz w:val="20"/>
                <w:szCs w:val="20"/>
              </w:rPr>
            </w:pPr>
          </w:p>
        </w:tc>
        <w:tc>
          <w:tcPr>
            <w:tcW w:w="50" w:type="pct"/>
            <w:vAlign w:val="center"/>
            <w:hideMark/>
          </w:tcPr>
          <w:p w14:paraId="12E2D35D" w14:textId="77777777" w:rsidR="00000000" w:rsidRDefault="00405D16">
            <w:pPr>
              <w:spacing w:after="100"/>
              <w:rPr>
                <w:rFonts w:eastAsia="Times New Roman"/>
                <w:sz w:val="20"/>
                <w:szCs w:val="20"/>
              </w:rPr>
            </w:pPr>
          </w:p>
        </w:tc>
        <w:tc>
          <w:tcPr>
            <w:tcW w:w="1614" w:type="pct"/>
            <w:vAlign w:val="center"/>
            <w:hideMark/>
          </w:tcPr>
          <w:p w14:paraId="22D36157" w14:textId="77777777" w:rsidR="00000000" w:rsidRDefault="00405D16">
            <w:pPr>
              <w:spacing w:after="100"/>
              <w:rPr>
                <w:rFonts w:eastAsia="Times New Roman"/>
                <w:sz w:val="20"/>
                <w:szCs w:val="20"/>
              </w:rPr>
            </w:pPr>
          </w:p>
        </w:tc>
        <w:tc>
          <w:tcPr>
            <w:tcW w:w="5" w:type="pct"/>
            <w:vAlign w:val="center"/>
            <w:hideMark/>
          </w:tcPr>
          <w:p w14:paraId="224A162E" w14:textId="77777777" w:rsidR="00000000" w:rsidRDefault="00405D16">
            <w:pPr>
              <w:spacing w:after="100"/>
              <w:rPr>
                <w:rFonts w:eastAsia="Times New Roman"/>
                <w:sz w:val="20"/>
                <w:szCs w:val="20"/>
              </w:rPr>
            </w:pPr>
          </w:p>
        </w:tc>
        <w:tc>
          <w:tcPr>
            <w:tcW w:w="50" w:type="pct"/>
            <w:vAlign w:val="center"/>
            <w:hideMark/>
          </w:tcPr>
          <w:p w14:paraId="0F41B8CF" w14:textId="77777777" w:rsidR="00000000" w:rsidRDefault="00405D16">
            <w:pPr>
              <w:spacing w:after="100"/>
              <w:rPr>
                <w:rFonts w:eastAsia="Times New Roman"/>
                <w:sz w:val="20"/>
                <w:szCs w:val="20"/>
              </w:rPr>
            </w:pPr>
          </w:p>
        </w:tc>
        <w:tc>
          <w:tcPr>
            <w:tcW w:w="1614" w:type="pct"/>
            <w:vAlign w:val="center"/>
            <w:hideMark/>
          </w:tcPr>
          <w:p w14:paraId="675B855C" w14:textId="77777777" w:rsidR="00000000" w:rsidRDefault="00405D16">
            <w:pPr>
              <w:spacing w:after="100"/>
              <w:rPr>
                <w:rFonts w:eastAsia="Times New Roman"/>
                <w:sz w:val="20"/>
                <w:szCs w:val="20"/>
              </w:rPr>
            </w:pPr>
          </w:p>
        </w:tc>
        <w:tc>
          <w:tcPr>
            <w:tcW w:w="5" w:type="pct"/>
            <w:vAlign w:val="center"/>
            <w:hideMark/>
          </w:tcPr>
          <w:p w14:paraId="3D18020C" w14:textId="77777777" w:rsidR="00000000" w:rsidRDefault="00405D16">
            <w:pPr>
              <w:spacing w:after="100"/>
              <w:rPr>
                <w:rFonts w:eastAsia="Times New Roman"/>
                <w:sz w:val="20"/>
                <w:szCs w:val="20"/>
              </w:rPr>
            </w:pPr>
          </w:p>
        </w:tc>
      </w:tr>
      <w:tr w:rsidR="00000000" w14:paraId="148BFE39" w14:textId="77777777">
        <w:trPr>
          <w:divId w:val="441610691"/>
          <w:jc w:val="center"/>
        </w:trPr>
        <w:tc>
          <w:tcPr>
            <w:tcW w:w="0" w:type="auto"/>
            <w:gridSpan w:val="9"/>
            <w:tcMar>
              <w:top w:w="30" w:type="dxa"/>
              <w:left w:w="20" w:type="dxa"/>
              <w:bottom w:w="30" w:type="dxa"/>
              <w:right w:w="20" w:type="dxa"/>
            </w:tcMar>
            <w:vAlign w:val="bottom"/>
            <w:hideMark/>
          </w:tcPr>
          <w:p w14:paraId="4C91E85C" w14:textId="77777777" w:rsidR="00000000" w:rsidRDefault="00405D16">
            <w:pPr>
              <w:spacing w:after="100"/>
              <w:jc w:val="center"/>
              <w:rPr>
                <w:rFonts w:eastAsia="Times New Roman"/>
              </w:rPr>
            </w:pPr>
            <w:r>
              <w:rPr>
                <w:rFonts w:eastAsia="Times New Roman"/>
                <w:color w:val="000000"/>
                <w:sz w:val="20"/>
                <w:szCs w:val="20"/>
              </w:rPr>
              <w:t>See Notes to Consolidated Financial Statements.</w:t>
            </w:r>
          </w:p>
        </w:tc>
      </w:tr>
      <w:tr w:rsidR="00000000" w14:paraId="110C2DC2" w14:textId="77777777">
        <w:trPr>
          <w:divId w:val="441610691"/>
          <w:jc w:val="center"/>
        </w:trPr>
        <w:tc>
          <w:tcPr>
            <w:tcW w:w="0" w:type="auto"/>
            <w:gridSpan w:val="3"/>
            <w:tcMar>
              <w:top w:w="0" w:type="dxa"/>
              <w:left w:w="20" w:type="dxa"/>
              <w:bottom w:w="0" w:type="dxa"/>
              <w:right w:w="20" w:type="dxa"/>
            </w:tcMar>
            <w:vAlign w:val="center"/>
            <w:hideMark/>
          </w:tcPr>
          <w:p w14:paraId="59A47A4A"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5F461D2" w14:textId="77777777" w:rsidR="00000000" w:rsidRDefault="00405D16">
            <w:pPr>
              <w:spacing w:after="100"/>
              <w:jc w:val="center"/>
              <w:rPr>
                <w:rFonts w:eastAsia="Times New Roman"/>
              </w:rPr>
            </w:pPr>
            <w:r>
              <w:rPr>
                <w:rFonts w:eastAsia="Times New Roman"/>
                <w:color w:val="000000"/>
                <w:sz w:val="16"/>
                <w:szCs w:val="16"/>
              </w:rPr>
              <w:t>73</w:t>
            </w:r>
          </w:p>
        </w:tc>
        <w:tc>
          <w:tcPr>
            <w:tcW w:w="0" w:type="auto"/>
            <w:gridSpan w:val="3"/>
            <w:tcMar>
              <w:top w:w="30" w:type="dxa"/>
              <w:left w:w="20" w:type="dxa"/>
              <w:bottom w:w="30" w:type="dxa"/>
              <w:right w:w="20" w:type="dxa"/>
            </w:tcMar>
            <w:vAlign w:val="bottom"/>
            <w:hideMark/>
          </w:tcPr>
          <w:p w14:paraId="5B596F35"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1B44155D" w14:textId="77777777" w:rsidR="00000000" w:rsidRDefault="00405D16">
      <w:pPr>
        <w:rPr>
          <w:rFonts w:eastAsia="Times New Roman"/>
        </w:rPr>
      </w:pPr>
      <w:r>
        <w:rPr>
          <w:rFonts w:eastAsia="Times New Roman"/>
        </w:rPr>
        <w:pict w14:anchorId="1D543BB2">
          <v:rect id="_x0000_i1098" style="width:0;height:1.5pt" o:hralign="center" o:hrstd="t" o:hr="t" fillcolor="#a0a0a0" stroked="f"/>
        </w:pict>
      </w:r>
    </w:p>
    <w:p w14:paraId="1DF458DE" w14:textId="77777777" w:rsidR="00000000" w:rsidRDefault="00405D16">
      <w:pPr>
        <w:jc w:val="both"/>
        <w:divId w:val="233128868"/>
        <w:rPr>
          <w:rFonts w:eastAsia="Times New Roman"/>
        </w:rPr>
      </w:pPr>
      <w:hyperlink w:anchor="idd54a04a485440b4ab4e56094c14d612_13" w:history="1">
        <w:r>
          <w:rPr>
            <w:rStyle w:val="a3"/>
            <w:rFonts w:eastAsia="Times New Roman"/>
            <w:sz w:val="16"/>
            <w:szCs w:val="16"/>
          </w:rPr>
          <w:t>Table of Contents</w:t>
        </w:r>
      </w:hyperlink>
    </w:p>
    <w:p w14:paraId="42020C73" w14:textId="77777777" w:rsidR="00000000" w:rsidRDefault="00405D16">
      <w:pPr>
        <w:jc w:val="center"/>
        <w:divId w:val="233128868"/>
        <w:rPr>
          <w:rFonts w:eastAsia="Times New Roman"/>
        </w:rPr>
      </w:pPr>
    </w:p>
    <w:p w14:paraId="63A45C69" w14:textId="77777777" w:rsidR="00000000" w:rsidRDefault="00405D16">
      <w:pPr>
        <w:jc w:val="center"/>
        <w:divId w:val="233128868"/>
        <w:rPr>
          <w:rFonts w:eastAsia="Times New Roman"/>
        </w:rPr>
      </w:pPr>
      <w:r>
        <w:rPr>
          <w:rFonts w:eastAsia="Times New Roman"/>
          <w:b/>
          <w:bCs/>
          <w:color w:val="000000"/>
          <w:sz w:val="20"/>
          <w:szCs w:val="20"/>
        </w:rPr>
        <w:t>CAPITAL ONE FINANCIAL CORPORATION</w:t>
      </w:r>
    </w:p>
    <w:p w14:paraId="337A10AC" w14:textId="77777777" w:rsidR="00000000" w:rsidRDefault="00405D16">
      <w:pPr>
        <w:jc w:val="center"/>
        <w:divId w:val="233128868"/>
        <w:rPr>
          <w:rFonts w:eastAsia="Times New Roman"/>
        </w:rPr>
      </w:pPr>
      <w:r>
        <w:rPr>
          <w:rFonts w:eastAsia="Times New Roman"/>
          <w:b/>
          <w:bCs/>
          <w:color w:val="000000"/>
          <w:sz w:val="20"/>
          <w:szCs w:val="20"/>
        </w:rPr>
        <w:t>CONSOLIDATED STATEMENTS OF CASH FLOWS (UNAUDITED)</w:t>
      </w:r>
    </w:p>
    <w:tbl>
      <w:tblPr>
        <w:tblW w:w="5000" w:type="pct"/>
        <w:tblCellMar>
          <w:top w:w="15" w:type="dxa"/>
          <w:left w:w="15" w:type="dxa"/>
          <w:bottom w:w="15" w:type="dxa"/>
          <w:right w:w="15" w:type="dxa"/>
        </w:tblCellMar>
        <w:tblLook w:val="04A0" w:firstRow="1" w:lastRow="0" w:firstColumn="1" w:lastColumn="0" w:noHBand="0" w:noVBand="1"/>
      </w:tblPr>
      <w:tblGrid>
        <w:gridCol w:w="41"/>
        <w:gridCol w:w="5503"/>
        <w:gridCol w:w="39"/>
        <w:gridCol w:w="36"/>
        <w:gridCol w:w="36"/>
        <w:gridCol w:w="36"/>
        <w:gridCol w:w="101"/>
        <w:gridCol w:w="1008"/>
        <w:gridCol w:w="36"/>
        <w:gridCol w:w="36"/>
        <w:gridCol w:w="36"/>
        <w:gridCol w:w="36"/>
        <w:gridCol w:w="101"/>
        <w:gridCol w:w="1009"/>
        <w:gridCol w:w="36"/>
        <w:gridCol w:w="36"/>
        <w:gridCol w:w="36"/>
        <w:gridCol w:w="36"/>
        <w:gridCol w:w="36"/>
        <w:gridCol w:w="36"/>
        <w:gridCol w:w="36"/>
      </w:tblGrid>
      <w:tr w:rsidR="00000000" w14:paraId="77E663DB" w14:textId="77777777">
        <w:trPr>
          <w:divId w:val="402947182"/>
        </w:trPr>
        <w:tc>
          <w:tcPr>
            <w:tcW w:w="50" w:type="pct"/>
            <w:vAlign w:val="center"/>
            <w:hideMark/>
          </w:tcPr>
          <w:p w14:paraId="6CDE58DE" w14:textId="77777777" w:rsidR="00000000" w:rsidRDefault="00405D16">
            <w:pPr>
              <w:jc w:val="center"/>
              <w:rPr>
                <w:rFonts w:eastAsia="Times New Roman"/>
              </w:rPr>
            </w:pPr>
          </w:p>
        </w:tc>
        <w:tc>
          <w:tcPr>
            <w:tcW w:w="3424" w:type="pct"/>
            <w:vAlign w:val="center"/>
            <w:hideMark/>
          </w:tcPr>
          <w:p w14:paraId="29043A4E" w14:textId="77777777" w:rsidR="00000000" w:rsidRDefault="00405D16">
            <w:pPr>
              <w:spacing w:after="100"/>
              <w:rPr>
                <w:rFonts w:eastAsia="Times New Roman"/>
                <w:sz w:val="20"/>
                <w:szCs w:val="20"/>
              </w:rPr>
            </w:pPr>
          </w:p>
        </w:tc>
        <w:tc>
          <w:tcPr>
            <w:tcW w:w="5" w:type="pct"/>
            <w:vAlign w:val="center"/>
            <w:hideMark/>
          </w:tcPr>
          <w:p w14:paraId="223D8D57" w14:textId="77777777" w:rsidR="00000000" w:rsidRDefault="00405D16">
            <w:pPr>
              <w:spacing w:after="100"/>
              <w:rPr>
                <w:rFonts w:eastAsia="Times New Roman"/>
                <w:sz w:val="20"/>
                <w:szCs w:val="20"/>
              </w:rPr>
            </w:pPr>
          </w:p>
        </w:tc>
        <w:tc>
          <w:tcPr>
            <w:tcW w:w="5" w:type="pct"/>
            <w:vAlign w:val="center"/>
            <w:hideMark/>
          </w:tcPr>
          <w:p w14:paraId="2E6415A1" w14:textId="77777777" w:rsidR="00000000" w:rsidRDefault="00405D16">
            <w:pPr>
              <w:spacing w:after="100"/>
              <w:rPr>
                <w:rFonts w:eastAsia="Times New Roman"/>
                <w:sz w:val="20"/>
                <w:szCs w:val="20"/>
              </w:rPr>
            </w:pPr>
          </w:p>
        </w:tc>
        <w:tc>
          <w:tcPr>
            <w:tcW w:w="26" w:type="pct"/>
            <w:vAlign w:val="center"/>
            <w:hideMark/>
          </w:tcPr>
          <w:p w14:paraId="509E7EDB" w14:textId="77777777" w:rsidR="00000000" w:rsidRDefault="00405D16">
            <w:pPr>
              <w:spacing w:after="100"/>
              <w:rPr>
                <w:rFonts w:eastAsia="Times New Roman"/>
                <w:sz w:val="20"/>
                <w:szCs w:val="20"/>
              </w:rPr>
            </w:pPr>
          </w:p>
        </w:tc>
        <w:tc>
          <w:tcPr>
            <w:tcW w:w="5" w:type="pct"/>
            <w:vAlign w:val="center"/>
            <w:hideMark/>
          </w:tcPr>
          <w:p w14:paraId="6B756854" w14:textId="77777777" w:rsidR="00000000" w:rsidRDefault="00405D16">
            <w:pPr>
              <w:spacing w:after="100"/>
              <w:rPr>
                <w:rFonts w:eastAsia="Times New Roman"/>
                <w:sz w:val="20"/>
                <w:szCs w:val="20"/>
              </w:rPr>
            </w:pPr>
          </w:p>
        </w:tc>
        <w:tc>
          <w:tcPr>
            <w:tcW w:w="50" w:type="pct"/>
            <w:vAlign w:val="center"/>
            <w:hideMark/>
          </w:tcPr>
          <w:p w14:paraId="12305761" w14:textId="77777777" w:rsidR="00000000" w:rsidRDefault="00405D16">
            <w:pPr>
              <w:spacing w:after="100"/>
              <w:rPr>
                <w:rFonts w:eastAsia="Times New Roman"/>
                <w:sz w:val="20"/>
                <w:szCs w:val="20"/>
              </w:rPr>
            </w:pPr>
          </w:p>
        </w:tc>
        <w:tc>
          <w:tcPr>
            <w:tcW w:w="668" w:type="pct"/>
            <w:vAlign w:val="center"/>
            <w:hideMark/>
          </w:tcPr>
          <w:p w14:paraId="6394D743" w14:textId="77777777" w:rsidR="00000000" w:rsidRDefault="00405D16">
            <w:pPr>
              <w:spacing w:after="100"/>
              <w:rPr>
                <w:rFonts w:eastAsia="Times New Roman"/>
                <w:sz w:val="20"/>
                <w:szCs w:val="20"/>
              </w:rPr>
            </w:pPr>
          </w:p>
        </w:tc>
        <w:tc>
          <w:tcPr>
            <w:tcW w:w="5" w:type="pct"/>
            <w:vAlign w:val="center"/>
            <w:hideMark/>
          </w:tcPr>
          <w:p w14:paraId="601319ED" w14:textId="77777777" w:rsidR="00000000" w:rsidRDefault="00405D16">
            <w:pPr>
              <w:spacing w:after="100"/>
              <w:rPr>
                <w:rFonts w:eastAsia="Times New Roman"/>
                <w:sz w:val="20"/>
                <w:szCs w:val="20"/>
              </w:rPr>
            </w:pPr>
          </w:p>
        </w:tc>
        <w:tc>
          <w:tcPr>
            <w:tcW w:w="5" w:type="pct"/>
            <w:vAlign w:val="center"/>
            <w:hideMark/>
          </w:tcPr>
          <w:p w14:paraId="57D68B36" w14:textId="77777777" w:rsidR="00000000" w:rsidRDefault="00405D16">
            <w:pPr>
              <w:spacing w:after="100"/>
              <w:rPr>
                <w:rFonts w:eastAsia="Times New Roman"/>
                <w:sz w:val="20"/>
                <w:szCs w:val="20"/>
              </w:rPr>
            </w:pPr>
          </w:p>
        </w:tc>
        <w:tc>
          <w:tcPr>
            <w:tcW w:w="26" w:type="pct"/>
            <w:vAlign w:val="center"/>
            <w:hideMark/>
          </w:tcPr>
          <w:p w14:paraId="5CA788F5" w14:textId="77777777" w:rsidR="00000000" w:rsidRDefault="00405D16">
            <w:pPr>
              <w:spacing w:after="100"/>
              <w:rPr>
                <w:rFonts w:eastAsia="Times New Roman"/>
                <w:sz w:val="20"/>
                <w:szCs w:val="20"/>
              </w:rPr>
            </w:pPr>
          </w:p>
        </w:tc>
        <w:tc>
          <w:tcPr>
            <w:tcW w:w="5" w:type="pct"/>
            <w:vAlign w:val="center"/>
            <w:hideMark/>
          </w:tcPr>
          <w:p w14:paraId="223DFFE3" w14:textId="77777777" w:rsidR="00000000" w:rsidRDefault="00405D16">
            <w:pPr>
              <w:spacing w:after="100"/>
              <w:rPr>
                <w:rFonts w:eastAsia="Times New Roman"/>
                <w:sz w:val="20"/>
                <w:szCs w:val="20"/>
              </w:rPr>
            </w:pPr>
          </w:p>
        </w:tc>
        <w:tc>
          <w:tcPr>
            <w:tcW w:w="50" w:type="pct"/>
            <w:vAlign w:val="center"/>
            <w:hideMark/>
          </w:tcPr>
          <w:p w14:paraId="3F8E7BFC" w14:textId="77777777" w:rsidR="00000000" w:rsidRDefault="00405D16">
            <w:pPr>
              <w:spacing w:after="100"/>
              <w:rPr>
                <w:rFonts w:eastAsia="Times New Roman"/>
                <w:sz w:val="20"/>
                <w:szCs w:val="20"/>
              </w:rPr>
            </w:pPr>
          </w:p>
        </w:tc>
        <w:tc>
          <w:tcPr>
            <w:tcW w:w="668" w:type="pct"/>
            <w:vAlign w:val="center"/>
            <w:hideMark/>
          </w:tcPr>
          <w:p w14:paraId="58374830" w14:textId="77777777" w:rsidR="00000000" w:rsidRDefault="00405D16">
            <w:pPr>
              <w:spacing w:after="100"/>
              <w:rPr>
                <w:rFonts w:eastAsia="Times New Roman"/>
                <w:sz w:val="20"/>
                <w:szCs w:val="20"/>
              </w:rPr>
            </w:pPr>
          </w:p>
        </w:tc>
        <w:tc>
          <w:tcPr>
            <w:tcW w:w="5" w:type="pct"/>
            <w:vAlign w:val="center"/>
            <w:hideMark/>
          </w:tcPr>
          <w:p w14:paraId="5BD94AE1" w14:textId="77777777" w:rsidR="00000000" w:rsidRDefault="00405D16">
            <w:pPr>
              <w:spacing w:after="100"/>
              <w:rPr>
                <w:rFonts w:eastAsia="Times New Roman"/>
                <w:sz w:val="20"/>
                <w:szCs w:val="20"/>
              </w:rPr>
            </w:pPr>
          </w:p>
        </w:tc>
        <w:tc>
          <w:tcPr>
            <w:tcW w:w="0" w:type="auto"/>
            <w:gridSpan w:val="3"/>
            <w:vAlign w:val="center"/>
            <w:hideMark/>
          </w:tcPr>
          <w:p w14:paraId="3A1A73BA" w14:textId="77777777" w:rsidR="00000000" w:rsidRDefault="00405D16">
            <w:pPr>
              <w:spacing w:after="100"/>
              <w:rPr>
                <w:rFonts w:eastAsia="Times New Roman"/>
                <w:sz w:val="20"/>
                <w:szCs w:val="20"/>
              </w:rPr>
            </w:pPr>
          </w:p>
        </w:tc>
        <w:tc>
          <w:tcPr>
            <w:tcW w:w="0" w:type="auto"/>
            <w:gridSpan w:val="3"/>
            <w:vAlign w:val="center"/>
            <w:hideMark/>
          </w:tcPr>
          <w:p w14:paraId="23D6862E" w14:textId="77777777" w:rsidR="00000000" w:rsidRDefault="00405D16">
            <w:pPr>
              <w:spacing w:after="100"/>
              <w:rPr>
                <w:rFonts w:eastAsia="Times New Roman"/>
                <w:sz w:val="20"/>
                <w:szCs w:val="20"/>
              </w:rPr>
            </w:pPr>
          </w:p>
        </w:tc>
      </w:tr>
      <w:tr w:rsidR="00000000" w14:paraId="6F5D1E8D" w14:textId="77777777">
        <w:trPr>
          <w:divId w:val="402947182"/>
        </w:trPr>
        <w:tc>
          <w:tcPr>
            <w:tcW w:w="0" w:type="auto"/>
            <w:gridSpan w:val="3"/>
            <w:tcMar>
              <w:top w:w="0" w:type="dxa"/>
              <w:left w:w="20" w:type="dxa"/>
              <w:bottom w:w="0" w:type="dxa"/>
              <w:right w:w="20" w:type="dxa"/>
            </w:tcMar>
            <w:vAlign w:val="center"/>
            <w:hideMark/>
          </w:tcPr>
          <w:p w14:paraId="5C91BDE5"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E2EE56A" w14:textId="77777777" w:rsidR="00000000" w:rsidRDefault="00405D16">
            <w:pPr>
              <w:spacing w:after="100"/>
              <w:rPr>
                <w:rFonts w:eastAsia="Times New Roman"/>
                <w:sz w:val="20"/>
                <w:szCs w:val="20"/>
              </w:rPr>
            </w:pPr>
          </w:p>
        </w:tc>
        <w:tc>
          <w:tcPr>
            <w:tcW w:w="0" w:type="auto"/>
            <w:gridSpan w:val="9"/>
            <w:tcMar>
              <w:top w:w="30" w:type="dxa"/>
              <w:left w:w="20" w:type="dxa"/>
              <w:bottom w:w="30" w:type="dxa"/>
              <w:right w:w="20" w:type="dxa"/>
            </w:tcMar>
            <w:vAlign w:val="center"/>
            <w:hideMark/>
          </w:tcPr>
          <w:p w14:paraId="4823EA93" w14:textId="77777777" w:rsidR="00000000" w:rsidRDefault="00405D16">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24EAE5CA" w14:textId="77777777" w:rsidR="00000000" w:rsidRDefault="00405D16">
            <w:pPr>
              <w:spacing w:after="100"/>
              <w:rPr>
                <w:rFonts w:eastAsia="Times New Roman"/>
                <w:sz w:val="20"/>
                <w:szCs w:val="20"/>
              </w:rPr>
            </w:pPr>
          </w:p>
        </w:tc>
        <w:tc>
          <w:tcPr>
            <w:tcW w:w="0" w:type="auto"/>
            <w:vAlign w:val="center"/>
            <w:hideMark/>
          </w:tcPr>
          <w:p w14:paraId="627E4ECC" w14:textId="77777777" w:rsidR="00000000" w:rsidRDefault="00405D16">
            <w:pPr>
              <w:spacing w:after="100"/>
              <w:rPr>
                <w:rFonts w:eastAsia="Times New Roman"/>
                <w:sz w:val="20"/>
                <w:szCs w:val="20"/>
              </w:rPr>
            </w:pPr>
          </w:p>
        </w:tc>
        <w:tc>
          <w:tcPr>
            <w:tcW w:w="0" w:type="auto"/>
            <w:vAlign w:val="center"/>
            <w:hideMark/>
          </w:tcPr>
          <w:p w14:paraId="22A1CED7" w14:textId="77777777" w:rsidR="00000000" w:rsidRDefault="00405D16">
            <w:pPr>
              <w:spacing w:after="100"/>
              <w:rPr>
                <w:rFonts w:eastAsia="Times New Roman"/>
                <w:sz w:val="20"/>
                <w:szCs w:val="20"/>
              </w:rPr>
            </w:pPr>
          </w:p>
        </w:tc>
        <w:tc>
          <w:tcPr>
            <w:tcW w:w="0" w:type="auto"/>
            <w:vAlign w:val="center"/>
            <w:hideMark/>
          </w:tcPr>
          <w:p w14:paraId="3488C2B5" w14:textId="77777777" w:rsidR="00000000" w:rsidRDefault="00405D16">
            <w:pPr>
              <w:spacing w:after="100"/>
              <w:rPr>
                <w:rFonts w:eastAsia="Times New Roman"/>
                <w:sz w:val="20"/>
                <w:szCs w:val="20"/>
              </w:rPr>
            </w:pPr>
          </w:p>
        </w:tc>
        <w:tc>
          <w:tcPr>
            <w:tcW w:w="0" w:type="auto"/>
            <w:vAlign w:val="center"/>
            <w:hideMark/>
          </w:tcPr>
          <w:p w14:paraId="7DA260DB" w14:textId="77777777" w:rsidR="00000000" w:rsidRDefault="00405D16">
            <w:pPr>
              <w:spacing w:after="100"/>
              <w:rPr>
                <w:rFonts w:eastAsia="Times New Roman"/>
                <w:sz w:val="20"/>
                <w:szCs w:val="20"/>
              </w:rPr>
            </w:pPr>
          </w:p>
        </w:tc>
        <w:tc>
          <w:tcPr>
            <w:tcW w:w="0" w:type="auto"/>
            <w:vAlign w:val="center"/>
            <w:hideMark/>
          </w:tcPr>
          <w:p w14:paraId="596AC039" w14:textId="77777777" w:rsidR="00000000" w:rsidRDefault="00405D16">
            <w:pPr>
              <w:spacing w:after="100"/>
              <w:rPr>
                <w:rFonts w:eastAsia="Times New Roman"/>
                <w:sz w:val="20"/>
                <w:szCs w:val="20"/>
              </w:rPr>
            </w:pPr>
          </w:p>
        </w:tc>
      </w:tr>
      <w:tr w:rsidR="00000000" w14:paraId="138EE129" w14:textId="77777777">
        <w:trPr>
          <w:divId w:val="402947182"/>
        </w:trPr>
        <w:tc>
          <w:tcPr>
            <w:tcW w:w="0" w:type="auto"/>
            <w:gridSpan w:val="3"/>
            <w:tcMar>
              <w:top w:w="30" w:type="dxa"/>
              <w:left w:w="20" w:type="dxa"/>
              <w:bottom w:w="30" w:type="dxa"/>
              <w:right w:w="20" w:type="dxa"/>
            </w:tcMar>
            <w:vAlign w:val="center"/>
            <w:hideMark/>
          </w:tcPr>
          <w:p w14:paraId="6269EAE0" w14:textId="77777777" w:rsidR="00000000" w:rsidRDefault="00405D16">
            <w:pPr>
              <w:spacing w:after="100"/>
              <w:rPr>
                <w:rFonts w:eastAsia="Times New Roman"/>
              </w:rPr>
            </w:pPr>
            <w:r>
              <w:rPr>
                <w:rFonts w:eastAsia="Times New Roman"/>
                <w:i/>
                <w:iCs/>
                <w:color w:val="000000"/>
                <w:sz w:val="16"/>
                <w:szCs w:val="16"/>
              </w:rPr>
              <w:t xml:space="preserve">(Dollars in millions) </w:t>
            </w:r>
          </w:p>
        </w:tc>
        <w:tc>
          <w:tcPr>
            <w:tcW w:w="0" w:type="auto"/>
            <w:gridSpan w:val="3"/>
            <w:tcMar>
              <w:top w:w="0" w:type="dxa"/>
              <w:left w:w="20" w:type="dxa"/>
              <w:bottom w:w="0" w:type="dxa"/>
              <w:right w:w="20" w:type="dxa"/>
            </w:tcMar>
            <w:vAlign w:val="center"/>
            <w:hideMark/>
          </w:tcPr>
          <w:p w14:paraId="146483B2"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6F1D01DA"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46DCFF42"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27395295"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gridSpan w:val="3"/>
            <w:vAlign w:val="center"/>
            <w:hideMark/>
          </w:tcPr>
          <w:p w14:paraId="5D21DC2B" w14:textId="77777777" w:rsidR="00000000" w:rsidRDefault="00405D16">
            <w:pPr>
              <w:spacing w:after="100"/>
              <w:jc w:val="center"/>
              <w:rPr>
                <w:rFonts w:eastAsia="Times New Roman"/>
              </w:rPr>
            </w:pPr>
          </w:p>
        </w:tc>
        <w:tc>
          <w:tcPr>
            <w:tcW w:w="0" w:type="auto"/>
            <w:gridSpan w:val="3"/>
            <w:vAlign w:val="center"/>
            <w:hideMark/>
          </w:tcPr>
          <w:p w14:paraId="770846BE" w14:textId="77777777" w:rsidR="00000000" w:rsidRDefault="00405D16">
            <w:pPr>
              <w:spacing w:after="100"/>
              <w:rPr>
                <w:rFonts w:eastAsia="Times New Roman"/>
                <w:sz w:val="20"/>
                <w:szCs w:val="20"/>
              </w:rPr>
            </w:pPr>
          </w:p>
        </w:tc>
      </w:tr>
      <w:tr w:rsidR="00000000" w14:paraId="20E7DB67" w14:textId="77777777">
        <w:trPr>
          <w:divId w:val="40294718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6B60985D" w14:textId="77777777" w:rsidR="00000000" w:rsidRDefault="00405D16">
            <w:pPr>
              <w:spacing w:after="100"/>
              <w:rPr>
                <w:rFonts w:eastAsia="Times New Roman"/>
              </w:rPr>
            </w:pPr>
            <w:r>
              <w:rPr>
                <w:rFonts w:eastAsia="Times New Roman"/>
                <w:b/>
                <w:bCs/>
                <w:color w:val="000000"/>
                <w:sz w:val="16"/>
                <w:szCs w:val="16"/>
              </w:rPr>
              <w:t>Operating activities:</w:t>
            </w:r>
          </w:p>
        </w:tc>
        <w:tc>
          <w:tcPr>
            <w:tcW w:w="0" w:type="auto"/>
            <w:gridSpan w:val="3"/>
            <w:shd w:val="clear" w:color="auto" w:fill="CCEEFF"/>
            <w:tcMar>
              <w:top w:w="0" w:type="dxa"/>
              <w:left w:w="20" w:type="dxa"/>
              <w:bottom w:w="0" w:type="dxa"/>
              <w:right w:w="20" w:type="dxa"/>
            </w:tcMar>
            <w:vAlign w:val="center"/>
            <w:hideMark/>
          </w:tcPr>
          <w:p w14:paraId="73C22A02"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AD2833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01A661"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F58D4BE" w14:textId="77777777" w:rsidR="00000000" w:rsidRDefault="00405D16">
            <w:pPr>
              <w:spacing w:after="100"/>
              <w:rPr>
                <w:rFonts w:eastAsia="Times New Roman"/>
                <w:sz w:val="20"/>
                <w:szCs w:val="20"/>
              </w:rPr>
            </w:pPr>
          </w:p>
        </w:tc>
        <w:tc>
          <w:tcPr>
            <w:tcW w:w="0" w:type="auto"/>
            <w:gridSpan w:val="3"/>
            <w:vAlign w:val="center"/>
            <w:hideMark/>
          </w:tcPr>
          <w:p w14:paraId="1DE66075" w14:textId="77777777" w:rsidR="00000000" w:rsidRDefault="00405D16">
            <w:pPr>
              <w:spacing w:after="100"/>
              <w:rPr>
                <w:rFonts w:eastAsia="Times New Roman"/>
                <w:sz w:val="20"/>
                <w:szCs w:val="20"/>
              </w:rPr>
            </w:pPr>
          </w:p>
        </w:tc>
        <w:tc>
          <w:tcPr>
            <w:tcW w:w="0" w:type="auto"/>
            <w:gridSpan w:val="3"/>
            <w:vAlign w:val="center"/>
            <w:hideMark/>
          </w:tcPr>
          <w:p w14:paraId="2A0F1D68" w14:textId="77777777" w:rsidR="00000000" w:rsidRDefault="00405D16">
            <w:pPr>
              <w:spacing w:after="100"/>
              <w:rPr>
                <w:rFonts w:eastAsia="Times New Roman"/>
                <w:sz w:val="20"/>
                <w:szCs w:val="20"/>
              </w:rPr>
            </w:pPr>
          </w:p>
        </w:tc>
      </w:tr>
      <w:tr w:rsidR="00000000" w14:paraId="6D99B15B" w14:textId="77777777">
        <w:trPr>
          <w:divId w:val="402947182"/>
        </w:trPr>
        <w:tc>
          <w:tcPr>
            <w:tcW w:w="0" w:type="auto"/>
            <w:gridSpan w:val="3"/>
            <w:shd w:val="clear" w:color="auto" w:fill="FFFFFF"/>
            <w:tcMar>
              <w:top w:w="30" w:type="dxa"/>
              <w:left w:w="20" w:type="dxa"/>
              <w:bottom w:w="30" w:type="dxa"/>
              <w:right w:w="20" w:type="dxa"/>
            </w:tcMar>
            <w:vAlign w:val="center"/>
            <w:hideMark/>
          </w:tcPr>
          <w:p w14:paraId="79D8AFDE" w14:textId="77777777" w:rsidR="00000000" w:rsidRDefault="00405D16">
            <w:pPr>
              <w:spacing w:after="100"/>
              <w:rPr>
                <w:rFonts w:eastAsia="Times New Roman"/>
              </w:rPr>
            </w:pPr>
            <w:r>
              <w:rPr>
                <w:rFonts w:eastAsia="Times New Roman"/>
                <w:color w:val="000000"/>
                <w:sz w:val="16"/>
                <w:szCs w:val="16"/>
              </w:rPr>
              <w:t>Income from continuing operations, net of tax</w:t>
            </w:r>
          </w:p>
        </w:tc>
        <w:tc>
          <w:tcPr>
            <w:tcW w:w="0" w:type="auto"/>
            <w:gridSpan w:val="3"/>
            <w:shd w:val="clear" w:color="auto" w:fill="FFFFFF"/>
            <w:tcMar>
              <w:top w:w="0" w:type="dxa"/>
              <w:left w:w="20" w:type="dxa"/>
              <w:bottom w:w="0" w:type="dxa"/>
              <w:right w:w="20" w:type="dxa"/>
            </w:tcMar>
            <w:vAlign w:val="center"/>
            <w:hideMark/>
          </w:tcPr>
          <w:p w14:paraId="08DFD35C"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0DBC1FB4" w14:textId="77777777" w:rsidR="00000000" w:rsidRDefault="00405D16">
            <w:pPr>
              <w:spacing w:after="100"/>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14:paraId="05190779" w14:textId="77777777" w:rsidR="00000000" w:rsidRDefault="00405D16">
            <w:pPr>
              <w:spacing w:after="100"/>
              <w:jc w:val="right"/>
              <w:rPr>
                <w:rFonts w:eastAsia="Times New Roman"/>
              </w:rPr>
            </w:pPr>
            <w:r>
              <w:rPr>
                <w:rFonts w:eastAsia="Times New Roman"/>
                <w:b/>
                <w:bCs/>
                <w:color w:val="000000"/>
                <w:sz w:val="16"/>
                <w:szCs w:val="16"/>
              </w:rPr>
              <w:t>9,968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2C40609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C613BD"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5F00ACF" w14:textId="77777777" w:rsidR="00000000" w:rsidRDefault="00405D1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34DB762D" w14:textId="77777777" w:rsidR="00000000" w:rsidRDefault="00405D16">
            <w:pPr>
              <w:spacing w:after="100"/>
              <w:jc w:val="right"/>
              <w:rPr>
                <w:rFonts w:eastAsia="Times New Roman"/>
              </w:rPr>
            </w:pPr>
            <w:r>
              <w:rPr>
                <w:rFonts w:eastAsia="Times New Roman"/>
                <w:color w:val="000000"/>
                <w:sz w:val="16"/>
                <w:szCs w:val="16"/>
              </w:rPr>
              <w:t>149 </w:t>
            </w:r>
          </w:p>
        </w:tc>
        <w:tc>
          <w:tcPr>
            <w:tcW w:w="0" w:type="auto"/>
            <w:shd w:val="clear" w:color="auto" w:fill="FFFFFF"/>
            <w:tcMar>
              <w:top w:w="30" w:type="dxa"/>
              <w:left w:w="0" w:type="dxa"/>
              <w:bottom w:w="30" w:type="dxa"/>
              <w:right w:w="20" w:type="dxa"/>
            </w:tcMar>
            <w:vAlign w:val="center"/>
            <w:hideMark/>
          </w:tcPr>
          <w:p w14:paraId="6251610E" w14:textId="77777777" w:rsidR="00000000" w:rsidRDefault="00405D16">
            <w:pPr>
              <w:spacing w:after="100"/>
              <w:jc w:val="right"/>
              <w:rPr>
                <w:rFonts w:eastAsia="Times New Roman"/>
              </w:rPr>
            </w:pPr>
          </w:p>
        </w:tc>
        <w:tc>
          <w:tcPr>
            <w:tcW w:w="0" w:type="auto"/>
            <w:gridSpan w:val="3"/>
            <w:vAlign w:val="center"/>
            <w:hideMark/>
          </w:tcPr>
          <w:p w14:paraId="67054594" w14:textId="77777777" w:rsidR="00000000" w:rsidRDefault="00405D16">
            <w:pPr>
              <w:spacing w:after="100"/>
              <w:jc w:val="right"/>
              <w:rPr>
                <w:rFonts w:eastAsia="Times New Roman"/>
                <w:sz w:val="20"/>
                <w:szCs w:val="20"/>
              </w:rPr>
            </w:pPr>
          </w:p>
        </w:tc>
        <w:tc>
          <w:tcPr>
            <w:tcW w:w="0" w:type="auto"/>
            <w:gridSpan w:val="3"/>
            <w:vAlign w:val="center"/>
            <w:hideMark/>
          </w:tcPr>
          <w:p w14:paraId="504B2365" w14:textId="77777777" w:rsidR="00000000" w:rsidRDefault="00405D16">
            <w:pPr>
              <w:spacing w:after="100"/>
              <w:rPr>
                <w:rFonts w:eastAsia="Times New Roman"/>
                <w:sz w:val="20"/>
                <w:szCs w:val="20"/>
              </w:rPr>
            </w:pPr>
          </w:p>
        </w:tc>
      </w:tr>
      <w:tr w:rsidR="00000000" w14:paraId="2E63D63D" w14:textId="77777777">
        <w:trPr>
          <w:divId w:val="402947182"/>
        </w:trPr>
        <w:tc>
          <w:tcPr>
            <w:tcW w:w="0" w:type="auto"/>
            <w:gridSpan w:val="3"/>
            <w:shd w:val="clear" w:color="auto" w:fill="CCEEFF"/>
            <w:tcMar>
              <w:top w:w="30" w:type="dxa"/>
              <w:left w:w="20" w:type="dxa"/>
              <w:bottom w:w="30" w:type="dxa"/>
              <w:right w:w="20" w:type="dxa"/>
            </w:tcMar>
            <w:vAlign w:val="center"/>
            <w:hideMark/>
          </w:tcPr>
          <w:p w14:paraId="3C35DDD4" w14:textId="77777777" w:rsidR="00000000" w:rsidRDefault="00405D16">
            <w:pPr>
              <w:spacing w:after="100"/>
              <w:rPr>
                <w:rFonts w:eastAsia="Times New Roman"/>
              </w:rPr>
            </w:pPr>
            <w:r>
              <w:rPr>
                <w:rFonts w:eastAsia="Times New Roman"/>
                <w:color w:val="000000"/>
                <w:sz w:val="16"/>
                <w:szCs w:val="16"/>
              </w:rPr>
              <w:t>Loss from discontinued operations, net of tax</w:t>
            </w:r>
          </w:p>
        </w:tc>
        <w:tc>
          <w:tcPr>
            <w:tcW w:w="0" w:type="auto"/>
            <w:gridSpan w:val="3"/>
            <w:shd w:val="clear" w:color="auto" w:fill="CCEEFF"/>
            <w:tcMar>
              <w:top w:w="0" w:type="dxa"/>
              <w:left w:w="20" w:type="dxa"/>
              <w:bottom w:w="0" w:type="dxa"/>
              <w:right w:w="20" w:type="dxa"/>
            </w:tcMar>
            <w:vAlign w:val="center"/>
            <w:hideMark/>
          </w:tcPr>
          <w:p w14:paraId="798BEBE6"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7E5C740" w14:textId="77777777" w:rsidR="00000000" w:rsidRDefault="00405D16">
            <w:pPr>
              <w:spacing w:after="100"/>
              <w:jc w:val="right"/>
              <w:rPr>
                <w:rFonts w:eastAsia="Times New Roman"/>
              </w:rPr>
            </w:pPr>
            <w:r>
              <w:rPr>
                <w:rFonts w:eastAsia="Times New Roman"/>
                <w:b/>
                <w:bCs/>
                <w:color w:val="000000"/>
                <w:sz w:val="16"/>
                <w:szCs w:val="16"/>
              </w:rPr>
              <w:t>(3)</w:t>
            </w:r>
          </w:p>
        </w:tc>
        <w:tc>
          <w:tcPr>
            <w:tcW w:w="0" w:type="auto"/>
            <w:shd w:val="clear" w:color="auto" w:fill="CCEEFF"/>
            <w:tcMar>
              <w:top w:w="30" w:type="dxa"/>
              <w:left w:w="0" w:type="dxa"/>
              <w:bottom w:w="30" w:type="dxa"/>
              <w:right w:w="20" w:type="dxa"/>
            </w:tcMar>
            <w:vAlign w:val="center"/>
            <w:hideMark/>
          </w:tcPr>
          <w:p w14:paraId="15199CE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A5C5D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CA3236A" w14:textId="77777777" w:rsidR="00000000" w:rsidRDefault="00405D16">
            <w:pPr>
              <w:spacing w:after="100"/>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center"/>
            <w:hideMark/>
          </w:tcPr>
          <w:p w14:paraId="19928BB4" w14:textId="77777777" w:rsidR="00000000" w:rsidRDefault="00405D16">
            <w:pPr>
              <w:spacing w:after="100"/>
              <w:jc w:val="right"/>
              <w:rPr>
                <w:rFonts w:eastAsia="Times New Roman"/>
              </w:rPr>
            </w:pPr>
          </w:p>
        </w:tc>
        <w:tc>
          <w:tcPr>
            <w:tcW w:w="0" w:type="auto"/>
            <w:gridSpan w:val="3"/>
            <w:vAlign w:val="center"/>
            <w:hideMark/>
          </w:tcPr>
          <w:p w14:paraId="260624FA" w14:textId="77777777" w:rsidR="00000000" w:rsidRDefault="00405D16">
            <w:pPr>
              <w:spacing w:after="100"/>
              <w:jc w:val="right"/>
              <w:rPr>
                <w:rFonts w:eastAsia="Times New Roman"/>
                <w:sz w:val="20"/>
                <w:szCs w:val="20"/>
              </w:rPr>
            </w:pPr>
          </w:p>
        </w:tc>
        <w:tc>
          <w:tcPr>
            <w:tcW w:w="0" w:type="auto"/>
            <w:gridSpan w:val="3"/>
            <w:vAlign w:val="center"/>
            <w:hideMark/>
          </w:tcPr>
          <w:p w14:paraId="54C54138" w14:textId="77777777" w:rsidR="00000000" w:rsidRDefault="00405D16">
            <w:pPr>
              <w:spacing w:after="100"/>
              <w:rPr>
                <w:rFonts w:eastAsia="Times New Roman"/>
                <w:sz w:val="20"/>
                <w:szCs w:val="20"/>
              </w:rPr>
            </w:pPr>
          </w:p>
        </w:tc>
      </w:tr>
      <w:tr w:rsidR="00000000" w14:paraId="447A5C04" w14:textId="77777777">
        <w:trPr>
          <w:divId w:val="402947182"/>
        </w:trPr>
        <w:tc>
          <w:tcPr>
            <w:tcW w:w="0" w:type="auto"/>
            <w:gridSpan w:val="3"/>
            <w:shd w:val="clear" w:color="auto" w:fill="FFFFFF"/>
            <w:tcMar>
              <w:top w:w="30" w:type="dxa"/>
              <w:left w:w="20" w:type="dxa"/>
              <w:bottom w:w="30" w:type="dxa"/>
              <w:right w:w="20" w:type="dxa"/>
            </w:tcMar>
            <w:vAlign w:val="center"/>
            <w:hideMark/>
          </w:tcPr>
          <w:p w14:paraId="471EB448" w14:textId="77777777" w:rsidR="00000000" w:rsidRDefault="00405D16">
            <w:pPr>
              <w:spacing w:after="100"/>
              <w:rPr>
                <w:rFonts w:eastAsia="Times New Roman"/>
              </w:rPr>
            </w:pPr>
            <w:r>
              <w:rPr>
                <w:rFonts w:eastAsia="Times New Roman"/>
                <w:color w:val="000000"/>
                <w:sz w:val="16"/>
                <w:szCs w:val="16"/>
              </w:rPr>
              <w:t>Net income</w:t>
            </w:r>
          </w:p>
        </w:tc>
        <w:tc>
          <w:tcPr>
            <w:tcW w:w="0" w:type="auto"/>
            <w:gridSpan w:val="3"/>
            <w:shd w:val="clear" w:color="auto" w:fill="FFFFFF"/>
            <w:tcMar>
              <w:top w:w="0" w:type="dxa"/>
              <w:left w:w="20" w:type="dxa"/>
              <w:bottom w:w="0" w:type="dxa"/>
              <w:right w:w="20" w:type="dxa"/>
            </w:tcMar>
            <w:vAlign w:val="center"/>
            <w:hideMark/>
          </w:tcPr>
          <w:p w14:paraId="7FF70AFD"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36D8E23" w14:textId="77777777" w:rsidR="00000000" w:rsidRDefault="00405D16">
            <w:pPr>
              <w:spacing w:after="100"/>
              <w:jc w:val="right"/>
              <w:rPr>
                <w:rFonts w:eastAsia="Times New Roman"/>
              </w:rPr>
            </w:pPr>
            <w:r>
              <w:rPr>
                <w:rFonts w:eastAsia="Times New Roman"/>
                <w:b/>
                <w:bCs/>
                <w:color w:val="000000"/>
                <w:sz w:val="16"/>
                <w:szCs w:val="16"/>
              </w:rPr>
              <w:t>9,965</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CF2A2D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5EE36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A47E96C" w14:textId="77777777" w:rsidR="00000000" w:rsidRDefault="00405D16">
            <w:pPr>
              <w:spacing w:after="100"/>
              <w:jc w:val="right"/>
              <w:rPr>
                <w:rFonts w:eastAsia="Times New Roman"/>
              </w:rPr>
            </w:pPr>
            <w:r>
              <w:rPr>
                <w:rFonts w:eastAsia="Times New Roman"/>
                <w:color w:val="000000"/>
                <w:sz w:val="16"/>
                <w:szCs w:val="16"/>
              </w:rPr>
              <w:t>148 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3D2B4BE" w14:textId="77777777" w:rsidR="00000000" w:rsidRDefault="00405D16">
            <w:pPr>
              <w:spacing w:after="100"/>
              <w:jc w:val="right"/>
              <w:rPr>
                <w:rFonts w:eastAsia="Times New Roman"/>
              </w:rPr>
            </w:pPr>
          </w:p>
        </w:tc>
        <w:tc>
          <w:tcPr>
            <w:tcW w:w="0" w:type="auto"/>
            <w:gridSpan w:val="3"/>
            <w:vAlign w:val="center"/>
            <w:hideMark/>
          </w:tcPr>
          <w:p w14:paraId="056CB511" w14:textId="77777777" w:rsidR="00000000" w:rsidRDefault="00405D16">
            <w:pPr>
              <w:spacing w:after="100"/>
              <w:jc w:val="right"/>
              <w:rPr>
                <w:rFonts w:eastAsia="Times New Roman"/>
                <w:sz w:val="20"/>
                <w:szCs w:val="20"/>
              </w:rPr>
            </w:pPr>
          </w:p>
        </w:tc>
        <w:tc>
          <w:tcPr>
            <w:tcW w:w="0" w:type="auto"/>
            <w:gridSpan w:val="3"/>
            <w:vAlign w:val="center"/>
            <w:hideMark/>
          </w:tcPr>
          <w:p w14:paraId="366B1110" w14:textId="77777777" w:rsidR="00000000" w:rsidRDefault="00405D16">
            <w:pPr>
              <w:spacing w:after="100"/>
              <w:rPr>
                <w:rFonts w:eastAsia="Times New Roman"/>
                <w:sz w:val="20"/>
                <w:szCs w:val="20"/>
              </w:rPr>
            </w:pPr>
          </w:p>
        </w:tc>
      </w:tr>
      <w:tr w:rsidR="00000000" w14:paraId="2935BA56" w14:textId="77777777">
        <w:trPr>
          <w:divId w:val="402947182"/>
        </w:trPr>
        <w:tc>
          <w:tcPr>
            <w:tcW w:w="0" w:type="auto"/>
            <w:gridSpan w:val="3"/>
            <w:shd w:val="clear" w:color="auto" w:fill="CCEEFF"/>
            <w:tcMar>
              <w:top w:w="30" w:type="dxa"/>
              <w:left w:w="20" w:type="dxa"/>
              <w:bottom w:w="30" w:type="dxa"/>
              <w:right w:w="20" w:type="dxa"/>
            </w:tcMar>
            <w:vAlign w:val="center"/>
            <w:hideMark/>
          </w:tcPr>
          <w:p w14:paraId="2528F10D" w14:textId="77777777" w:rsidR="00000000" w:rsidRDefault="00405D16">
            <w:pPr>
              <w:spacing w:after="100"/>
              <w:rPr>
                <w:rFonts w:eastAsia="Times New Roman"/>
              </w:rPr>
            </w:pPr>
            <w:r>
              <w:rPr>
                <w:rFonts w:eastAsia="Times New Roman"/>
                <w:color w:val="000000"/>
                <w:sz w:val="16"/>
                <w:szCs w:val="16"/>
              </w:rPr>
              <w:t>Adjustments to reconcile net income (loss) to net cash from operating activities:</w:t>
            </w:r>
          </w:p>
        </w:tc>
        <w:tc>
          <w:tcPr>
            <w:tcW w:w="0" w:type="auto"/>
            <w:gridSpan w:val="3"/>
            <w:shd w:val="clear" w:color="auto" w:fill="CCEEFF"/>
            <w:tcMar>
              <w:top w:w="0" w:type="dxa"/>
              <w:left w:w="20" w:type="dxa"/>
              <w:bottom w:w="0" w:type="dxa"/>
              <w:right w:w="20" w:type="dxa"/>
            </w:tcMar>
            <w:vAlign w:val="center"/>
            <w:hideMark/>
          </w:tcPr>
          <w:p w14:paraId="2EB45345"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6EB45D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E37020"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2512A62" w14:textId="77777777" w:rsidR="00000000" w:rsidRDefault="00405D16">
            <w:pPr>
              <w:spacing w:after="100"/>
              <w:rPr>
                <w:rFonts w:eastAsia="Times New Roman"/>
                <w:sz w:val="20"/>
                <w:szCs w:val="20"/>
              </w:rPr>
            </w:pPr>
          </w:p>
        </w:tc>
        <w:tc>
          <w:tcPr>
            <w:tcW w:w="0" w:type="auto"/>
            <w:gridSpan w:val="3"/>
            <w:vAlign w:val="center"/>
            <w:hideMark/>
          </w:tcPr>
          <w:p w14:paraId="1ED3B244" w14:textId="77777777" w:rsidR="00000000" w:rsidRDefault="00405D16">
            <w:pPr>
              <w:spacing w:after="100"/>
              <w:rPr>
                <w:rFonts w:eastAsia="Times New Roman"/>
                <w:sz w:val="20"/>
                <w:szCs w:val="20"/>
              </w:rPr>
            </w:pPr>
          </w:p>
        </w:tc>
        <w:tc>
          <w:tcPr>
            <w:tcW w:w="0" w:type="auto"/>
            <w:gridSpan w:val="3"/>
            <w:vAlign w:val="center"/>
            <w:hideMark/>
          </w:tcPr>
          <w:p w14:paraId="3A6AAB2D" w14:textId="77777777" w:rsidR="00000000" w:rsidRDefault="00405D16">
            <w:pPr>
              <w:spacing w:after="100"/>
              <w:rPr>
                <w:rFonts w:eastAsia="Times New Roman"/>
                <w:sz w:val="20"/>
                <w:szCs w:val="20"/>
              </w:rPr>
            </w:pPr>
          </w:p>
        </w:tc>
      </w:tr>
      <w:tr w:rsidR="00000000" w14:paraId="20076B91" w14:textId="77777777">
        <w:trPr>
          <w:divId w:val="402947182"/>
        </w:trPr>
        <w:tc>
          <w:tcPr>
            <w:tcW w:w="0" w:type="auto"/>
            <w:gridSpan w:val="3"/>
            <w:shd w:val="clear" w:color="auto" w:fill="FFFFFF"/>
            <w:tcMar>
              <w:top w:w="30" w:type="dxa"/>
              <w:left w:w="245" w:type="dxa"/>
              <w:bottom w:w="30" w:type="dxa"/>
              <w:right w:w="20" w:type="dxa"/>
            </w:tcMar>
            <w:vAlign w:val="center"/>
            <w:hideMark/>
          </w:tcPr>
          <w:p w14:paraId="0D3A38AE" w14:textId="77777777" w:rsidR="00000000" w:rsidRDefault="00405D16">
            <w:pPr>
              <w:spacing w:after="100"/>
              <w:rPr>
                <w:rFonts w:eastAsia="Times New Roman"/>
              </w:rPr>
            </w:pPr>
            <w:r>
              <w:rPr>
                <w:rFonts w:eastAsia="Times New Roman"/>
                <w:color w:val="000000"/>
                <w:sz w:val="16"/>
                <w:szCs w:val="16"/>
              </w:rPr>
              <w:t>Provision (benefit) for credit losses</w:t>
            </w:r>
          </w:p>
        </w:tc>
        <w:tc>
          <w:tcPr>
            <w:tcW w:w="0" w:type="auto"/>
            <w:gridSpan w:val="3"/>
            <w:shd w:val="clear" w:color="auto" w:fill="FFFFFF"/>
            <w:tcMar>
              <w:top w:w="0" w:type="dxa"/>
              <w:left w:w="20" w:type="dxa"/>
              <w:bottom w:w="0" w:type="dxa"/>
              <w:right w:w="20" w:type="dxa"/>
            </w:tcMar>
            <w:vAlign w:val="center"/>
            <w:hideMark/>
          </w:tcPr>
          <w:p w14:paraId="0D9D30F9"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26C780D" w14:textId="77777777" w:rsidR="00000000" w:rsidRDefault="00405D16">
            <w:pPr>
              <w:spacing w:after="100"/>
              <w:jc w:val="right"/>
              <w:rPr>
                <w:rFonts w:eastAsia="Times New Roman"/>
              </w:rPr>
            </w:pPr>
            <w:r>
              <w:rPr>
                <w:rFonts w:eastAsia="Times New Roman"/>
                <w:b/>
                <w:bCs/>
                <w:color w:val="000000"/>
                <w:sz w:val="16"/>
                <w:szCs w:val="16"/>
              </w:rPr>
              <w:t>(2,325)</w:t>
            </w:r>
          </w:p>
        </w:tc>
        <w:tc>
          <w:tcPr>
            <w:tcW w:w="0" w:type="auto"/>
            <w:shd w:val="clear" w:color="auto" w:fill="FFFFFF"/>
            <w:tcMar>
              <w:top w:w="30" w:type="dxa"/>
              <w:left w:w="0" w:type="dxa"/>
              <w:bottom w:w="30" w:type="dxa"/>
              <w:right w:w="20" w:type="dxa"/>
            </w:tcMar>
            <w:vAlign w:val="center"/>
            <w:hideMark/>
          </w:tcPr>
          <w:p w14:paraId="7646826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04C68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440726B" w14:textId="77777777" w:rsidR="00000000" w:rsidRDefault="00405D16">
            <w:pPr>
              <w:spacing w:after="100"/>
              <w:jc w:val="right"/>
              <w:rPr>
                <w:rFonts w:eastAsia="Times New Roman"/>
              </w:rPr>
            </w:pPr>
            <w:r>
              <w:rPr>
                <w:rFonts w:eastAsia="Times New Roman"/>
                <w:color w:val="000000"/>
                <w:sz w:val="16"/>
                <w:szCs w:val="16"/>
              </w:rPr>
              <w:t>10,000 </w:t>
            </w:r>
          </w:p>
        </w:tc>
        <w:tc>
          <w:tcPr>
            <w:tcW w:w="0" w:type="auto"/>
            <w:shd w:val="clear" w:color="auto" w:fill="FFFFFF"/>
            <w:tcMar>
              <w:top w:w="30" w:type="dxa"/>
              <w:left w:w="0" w:type="dxa"/>
              <w:bottom w:w="30" w:type="dxa"/>
              <w:right w:w="20" w:type="dxa"/>
            </w:tcMar>
            <w:vAlign w:val="center"/>
            <w:hideMark/>
          </w:tcPr>
          <w:p w14:paraId="6772631D" w14:textId="77777777" w:rsidR="00000000" w:rsidRDefault="00405D16">
            <w:pPr>
              <w:spacing w:after="100"/>
              <w:jc w:val="right"/>
              <w:rPr>
                <w:rFonts w:eastAsia="Times New Roman"/>
              </w:rPr>
            </w:pPr>
          </w:p>
        </w:tc>
        <w:tc>
          <w:tcPr>
            <w:tcW w:w="0" w:type="auto"/>
            <w:gridSpan w:val="3"/>
            <w:vAlign w:val="center"/>
            <w:hideMark/>
          </w:tcPr>
          <w:p w14:paraId="2A512D46" w14:textId="77777777" w:rsidR="00000000" w:rsidRDefault="00405D16">
            <w:pPr>
              <w:spacing w:after="100"/>
              <w:jc w:val="right"/>
              <w:rPr>
                <w:rFonts w:eastAsia="Times New Roman"/>
                <w:sz w:val="20"/>
                <w:szCs w:val="20"/>
              </w:rPr>
            </w:pPr>
          </w:p>
        </w:tc>
        <w:tc>
          <w:tcPr>
            <w:tcW w:w="0" w:type="auto"/>
            <w:gridSpan w:val="3"/>
            <w:vAlign w:val="center"/>
            <w:hideMark/>
          </w:tcPr>
          <w:p w14:paraId="074292D3" w14:textId="77777777" w:rsidR="00000000" w:rsidRDefault="00405D16">
            <w:pPr>
              <w:spacing w:after="100"/>
              <w:rPr>
                <w:rFonts w:eastAsia="Times New Roman"/>
                <w:sz w:val="20"/>
                <w:szCs w:val="20"/>
              </w:rPr>
            </w:pPr>
          </w:p>
        </w:tc>
      </w:tr>
      <w:tr w:rsidR="00000000" w14:paraId="2E91E80E" w14:textId="77777777">
        <w:trPr>
          <w:divId w:val="402947182"/>
        </w:trPr>
        <w:tc>
          <w:tcPr>
            <w:tcW w:w="0" w:type="auto"/>
            <w:gridSpan w:val="3"/>
            <w:shd w:val="clear" w:color="auto" w:fill="CCEEFF"/>
            <w:tcMar>
              <w:top w:w="30" w:type="dxa"/>
              <w:left w:w="245" w:type="dxa"/>
              <w:bottom w:w="30" w:type="dxa"/>
              <w:right w:w="20" w:type="dxa"/>
            </w:tcMar>
            <w:vAlign w:val="center"/>
            <w:hideMark/>
          </w:tcPr>
          <w:p w14:paraId="57B65505" w14:textId="77777777" w:rsidR="00000000" w:rsidRDefault="00405D16">
            <w:pPr>
              <w:spacing w:after="100"/>
              <w:rPr>
                <w:rFonts w:eastAsia="Times New Roman"/>
              </w:rPr>
            </w:pPr>
            <w:r>
              <w:rPr>
                <w:rFonts w:eastAsia="Times New Roman"/>
                <w:color w:val="000000"/>
                <w:sz w:val="16"/>
                <w:szCs w:val="16"/>
              </w:rPr>
              <w:t>Depreciation and amortization, net</w:t>
            </w:r>
          </w:p>
        </w:tc>
        <w:tc>
          <w:tcPr>
            <w:tcW w:w="0" w:type="auto"/>
            <w:gridSpan w:val="3"/>
            <w:shd w:val="clear" w:color="auto" w:fill="CCEEFF"/>
            <w:tcMar>
              <w:top w:w="0" w:type="dxa"/>
              <w:left w:w="20" w:type="dxa"/>
              <w:bottom w:w="0" w:type="dxa"/>
              <w:right w:w="20" w:type="dxa"/>
            </w:tcMar>
            <w:vAlign w:val="center"/>
            <w:hideMark/>
          </w:tcPr>
          <w:p w14:paraId="08E87544"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8E75A03" w14:textId="77777777" w:rsidR="00000000" w:rsidRDefault="00405D16">
            <w:pPr>
              <w:spacing w:after="100"/>
              <w:jc w:val="right"/>
              <w:rPr>
                <w:rFonts w:eastAsia="Times New Roman"/>
              </w:rPr>
            </w:pPr>
            <w:r>
              <w:rPr>
                <w:rFonts w:eastAsia="Times New Roman"/>
                <w:b/>
                <w:bCs/>
                <w:color w:val="000000"/>
                <w:sz w:val="16"/>
                <w:szCs w:val="16"/>
              </w:rPr>
              <w:t>2,628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3E751AA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8C524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B3D7748" w14:textId="77777777" w:rsidR="00000000" w:rsidRDefault="00405D16">
            <w:pPr>
              <w:spacing w:after="100"/>
              <w:jc w:val="right"/>
              <w:rPr>
                <w:rFonts w:eastAsia="Times New Roman"/>
              </w:rPr>
            </w:pPr>
            <w:r>
              <w:rPr>
                <w:rFonts w:eastAsia="Times New Roman"/>
                <w:color w:val="000000"/>
                <w:sz w:val="16"/>
                <w:szCs w:val="16"/>
              </w:rPr>
              <w:t>2,701 </w:t>
            </w:r>
          </w:p>
        </w:tc>
        <w:tc>
          <w:tcPr>
            <w:tcW w:w="0" w:type="auto"/>
            <w:shd w:val="clear" w:color="auto" w:fill="CCEEFF"/>
            <w:tcMar>
              <w:top w:w="30" w:type="dxa"/>
              <w:left w:w="0" w:type="dxa"/>
              <w:bottom w:w="30" w:type="dxa"/>
              <w:right w:w="20" w:type="dxa"/>
            </w:tcMar>
            <w:vAlign w:val="center"/>
            <w:hideMark/>
          </w:tcPr>
          <w:p w14:paraId="00161147" w14:textId="77777777" w:rsidR="00000000" w:rsidRDefault="00405D16">
            <w:pPr>
              <w:spacing w:after="100"/>
              <w:jc w:val="right"/>
              <w:rPr>
                <w:rFonts w:eastAsia="Times New Roman"/>
              </w:rPr>
            </w:pPr>
          </w:p>
        </w:tc>
        <w:tc>
          <w:tcPr>
            <w:tcW w:w="0" w:type="auto"/>
            <w:gridSpan w:val="3"/>
            <w:vAlign w:val="center"/>
            <w:hideMark/>
          </w:tcPr>
          <w:p w14:paraId="69A177AE" w14:textId="77777777" w:rsidR="00000000" w:rsidRDefault="00405D16">
            <w:pPr>
              <w:spacing w:after="100"/>
              <w:jc w:val="right"/>
              <w:rPr>
                <w:rFonts w:eastAsia="Times New Roman"/>
                <w:sz w:val="20"/>
                <w:szCs w:val="20"/>
              </w:rPr>
            </w:pPr>
          </w:p>
        </w:tc>
        <w:tc>
          <w:tcPr>
            <w:tcW w:w="0" w:type="auto"/>
            <w:gridSpan w:val="3"/>
            <w:vAlign w:val="center"/>
            <w:hideMark/>
          </w:tcPr>
          <w:p w14:paraId="72793277" w14:textId="77777777" w:rsidR="00000000" w:rsidRDefault="00405D16">
            <w:pPr>
              <w:spacing w:after="100"/>
              <w:rPr>
                <w:rFonts w:eastAsia="Times New Roman"/>
                <w:sz w:val="20"/>
                <w:szCs w:val="20"/>
              </w:rPr>
            </w:pPr>
          </w:p>
        </w:tc>
      </w:tr>
      <w:tr w:rsidR="00000000" w14:paraId="6C2ABEEC" w14:textId="77777777">
        <w:trPr>
          <w:divId w:val="402947182"/>
        </w:trPr>
        <w:tc>
          <w:tcPr>
            <w:tcW w:w="0" w:type="auto"/>
            <w:gridSpan w:val="3"/>
            <w:shd w:val="clear" w:color="auto" w:fill="FFFFFF"/>
            <w:tcMar>
              <w:top w:w="30" w:type="dxa"/>
              <w:left w:w="245" w:type="dxa"/>
              <w:bottom w:w="30" w:type="dxa"/>
              <w:right w:w="20" w:type="dxa"/>
            </w:tcMar>
            <w:vAlign w:val="center"/>
            <w:hideMark/>
          </w:tcPr>
          <w:p w14:paraId="2E803F6C" w14:textId="77777777" w:rsidR="00000000" w:rsidRDefault="00405D16">
            <w:pPr>
              <w:spacing w:after="100"/>
              <w:rPr>
                <w:rFonts w:eastAsia="Times New Roman"/>
              </w:rPr>
            </w:pPr>
            <w:r>
              <w:rPr>
                <w:rFonts w:eastAsia="Times New Roman"/>
                <w:color w:val="000000"/>
                <w:sz w:val="16"/>
                <w:szCs w:val="16"/>
              </w:rPr>
              <w:t>Deferred tax provision (benefit)</w:t>
            </w:r>
          </w:p>
        </w:tc>
        <w:tc>
          <w:tcPr>
            <w:tcW w:w="0" w:type="auto"/>
            <w:gridSpan w:val="3"/>
            <w:shd w:val="clear" w:color="auto" w:fill="FFFFFF"/>
            <w:tcMar>
              <w:top w:w="0" w:type="dxa"/>
              <w:left w:w="20" w:type="dxa"/>
              <w:bottom w:w="0" w:type="dxa"/>
              <w:right w:w="20" w:type="dxa"/>
            </w:tcMar>
            <w:vAlign w:val="center"/>
            <w:hideMark/>
          </w:tcPr>
          <w:p w14:paraId="090DE003"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4579B65" w14:textId="77777777" w:rsidR="00000000" w:rsidRDefault="00405D16">
            <w:pPr>
              <w:spacing w:after="100"/>
              <w:jc w:val="right"/>
              <w:rPr>
                <w:rFonts w:eastAsia="Times New Roman"/>
              </w:rPr>
            </w:pPr>
            <w:r>
              <w:rPr>
                <w:rFonts w:eastAsia="Times New Roman"/>
                <w:b/>
                <w:bCs/>
                <w:color w:val="000000"/>
                <w:sz w:val="16"/>
                <w:szCs w:val="16"/>
              </w:rPr>
              <w:t>580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5FF1566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8C3F5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7663CCD" w14:textId="77777777" w:rsidR="00000000" w:rsidRDefault="00405D16">
            <w:pPr>
              <w:spacing w:after="100"/>
              <w:jc w:val="right"/>
              <w:rPr>
                <w:rFonts w:eastAsia="Times New Roman"/>
              </w:rPr>
            </w:pPr>
            <w:r>
              <w:rPr>
                <w:rFonts w:eastAsia="Times New Roman"/>
                <w:color w:val="000000"/>
                <w:sz w:val="16"/>
                <w:szCs w:val="16"/>
              </w:rPr>
              <w:t>(1,420)</w:t>
            </w:r>
          </w:p>
        </w:tc>
        <w:tc>
          <w:tcPr>
            <w:tcW w:w="0" w:type="auto"/>
            <w:shd w:val="clear" w:color="auto" w:fill="FFFFFF"/>
            <w:tcMar>
              <w:top w:w="30" w:type="dxa"/>
              <w:left w:w="0" w:type="dxa"/>
              <w:bottom w:w="30" w:type="dxa"/>
              <w:right w:w="20" w:type="dxa"/>
            </w:tcMar>
            <w:vAlign w:val="center"/>
            <w:hideMark/>
          </w:tcPr>
          <w:p w14:paraId="383762A9" w14:textId="77777777" w:rsidR="00000000" w:rsidRDefault="00405D16">
            <w:pPr>
              <w:spacing w:after="100"/>
              <w:jc w:val="right"/>
              <w:rPr>
                <w:rFonts w:eastAsia="Times New Roman"/>
              </w:rPr>
            </w:pPr>
          </w:p>
        </w:tc>
        <w:tc>
          <w:tcPr>
            <w:tcW w:w="0" w:type="auto"/>
            <w:gridSpan w:val="3"/>
            <w:vAlign w:val="center"/>
            <w:hideMark/>
          </w:tcPr>
          <w:p w14:paraId="3FD0AD3C" w14:textId="77777777" w:rsidR="00000000" w:rsidRDefault="00405D16">
            <w:pPr>
              <w:spacing w:after="100"/>
              <w:jc w:val="right"/>
              <w:rPr>
                <w:rFonts w:eastAsia="Times New Roman"/>
                <w:sz w:val="20"/>
                <w:szCs w:val="20"/>
              </w:rPr>
            </w:pPr>
          </w:p>
        </w:tc>
        <w:tc>
          <w:tcPr>
            <w:tcW w:w="0" w:type="auto"/>
            <w:gridSpan w:val="3"/>
            <w:vAlign w:val="center"/>
            <w:hideMark/>
          </w:tcPr>
          <w:p w14:paraId="4392A758" w14:textId="77777777" w:rsidR="00000000" w:rsidRDefault="00405D16">
            <w:pPr>
              <w:spacing w:after="100"/>
              <w:rPr>
                <w:rFonts w:eastAsia="Times New Roman"/>
                <w:sz w:val="20"/>
                <w:szCs w:val="20"/>
              </w:rPr>
            </w:pPr>
          </w:p>
        </w:tc>
      </w:tr>
      <w:tr w:rsidR="00000000" w14:paraId="27D3718A" w14:textId="77777777">
        <w:trPr>
          <w:divId w:val="402947182"/>
        </w:trPr>
        <w:tc>
          <w:tcPr>
            <w:tcW w:w="0" w:type="auto"/>
            <w:gridSpan w:val="3"/>
            <w:shd w:val="clear" w:color="auto" w:fill="CCEEFF"/>
            <w:tcMar>
              <w:top w:w="30" w:type="dxa"/>
              <w:left w:w="245" w:type="dxa"/>
              <w:bottom w:w="30" w:type="dxa"/>
              <w:right w:w="20" w:type="dxa"/>
            </w:tcMar>
            <w:vAlign w:val="center"/>
            <w:hideMark/>
          </w:tcPr>
          <w:p w14:paraId="3EEB496A" w14:textId="77777777" w:rsidR="00000000" w:rsidRDefault="00405D16">
            <w:pPr>
              <w:spacing w:after="100"/>
              <w:rPr>
                <w:rFonts w:eastAsia="Times New Roman"/>
              </w:rPr>
            </w:pPr>
            <w:r>
              <w:rPr>
                <w:rFonts w:eastAsia="Times New Roman"/>
                <w:color w:val="000000"/>
                <w:sz w:val="16"/>
                <w:szCs w:val="16"/>
              </w:rPr>
              <w:t>Net securities losses (gains)</w:t>
            </w:r>
          </w:p>
        </w:tc>
        <w:tc>
          <w:tcPr>
            <w:tcW w:w="0" w:type="auto"/>
            <w:gridSpan w:val="3"/>
            <w:shd w:val="clear" w:color="auto" w:fill="CCEEFF"/>
            <w:tcMar>
              <w:top w:w="0" w:type="dxa"/>
              <w:left w:w="20" w:type="dxa"/>
              <w:bottom w:w="0" w:type="dxa"/>
              <w:right w:w="20" w:type="dxa"/>
            </w:tcMar>
            <w:vAlign w:val="center"/>
            <w:hideMark/>
          </w:tcPr>
          <w:p w14:paraId="636C2DB7"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822A6E3" w14:textId="77777777" w:rsidR="00000000" w:rsidRDefault="00405D16">
            <w:pPr>
              <w:spacing w:after="100"/>
              <w:jc w:val="right"/>
              <w:rPr>
                <w:rFonts w:eastAsia="Times New Roman"/>
              </w:rPr>
            </w:pPr>
            <w:r>
              <w:rPr>
                <w:rFonts w:eastAsia="Times New Roman"/>
                <w:b/>
                <w:bCs/>
                <w:color w:val="000000"/>
                <w:sz w:val="16"/>
                <w:szCs w:val="16"/>
              </w:rPr>
              <w:t>(6)</w:t>
            </w:r>
          </w:p>
        </w:tc>
        <w:tc>
          <w:tcPr>
            <w:tcW w:w="0" w:type="auto"/>
            <w:shd w:val="clear" w:color="auto" w:fill="CCEEFF"/>
            <w:tcMar>
              <w:top w:w="30" w:type="dxa"/>
              <w:left w:w="0" w:type="dxa"/>
              <w:bottom w:w="30" w:type="dxa"/>
              <w:right w:w="20" w:type="dxa"/>
            </w:tcMar>
            <w:vAlign w:val="center"/>
            <w:hideMark/>
          </w:tcPr>
          <w:p w14:paraId="7469316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98F53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1040CD5" w14:textId="77777777" w:rsidR="00000000" w:rsidRDefault="00405D16">
            <w:pPr>
              <w:spacing w:after="100"/>
              <w:jc w:val="right"/>
              <w:rPr>
                <w:rFonts w:eastAsia="Times New Roman"/>
              </w:rPr>
            </w:pPr>
            <w:r>
              <w:rPr>
                <w:rFonts w:eastAsia="Times New Roman"/>
                <w:color w:val="000000"/>
                <w:sz w:val="16"/>
                <w:szCs w:val="16"/>
              </w:rPr>
              <w:t>(25)</w:t>
            </w:r>
          </w:p>
        </w:tc>
        <w:tc>
          <w:tcPr>
            <w:tcW w:w="0" w:type="auto"/>
            <w:shd w:val="clear" w:color="auto" w:fill="CCEEFF"/>
            <w:tcMar>
              <w:top w:w="30" w:type="dxa"/>
              <w:left w:w="0" w:type="dxa"/>
              <w:bottom w:w="30" w:type="dxa"/>
              <w:right w:w="20" w:type="dxa"/>
            </w:tcMar>
            <w:vAlign w:val="center"/>
            <w:hideMark/>
          </w:tcPr>
          <w:p w14:paraId="536D16A8" w14:textId="77777777" w:rsidR="00000000" w:rsidRDefault="00405D16">
            <w:pPr>
              <w:spacing w:after="100"/>
              <w:jc w:val="right"/>
              <w:rPr>
                <w:rFonts w:eastAsia="Times New Roman"/>
              </w:rPr>
            </w:pPr>
          </w:p>
        </w:tc>
        <w:tc>
          <w:tcPr>
            <w:tcW w:w="0" w:type="auto"/>
            <w:gridSpan w:val="3"/>
            <w:vAlign w:val="center"/>
            <w:hideMark/>
          </w:tcPr>
          <w:p w14:paraId="1B0AFC42" w14:textId="77777777" w:rsidR="00000000" w:rsidRDefault="00405D16">
            <w:pPr>
              <w:spacing w:after="100"/>
              <w:jc w:val="right"/>
              <w:rPr>
                <w:rFonts w:eastAsia="Times New Roman"/>
                <w:sz w:val="20"/>
                <w:szCs w:val="20"/>
              </w:rPr>
            </w:pPr>
          </w:p>
        </w:tc>
        <w:tc>
          <w:tcPr>
            <w:tcW w:w="0" w:type="auto"/>
            <w:gridSpan w:val="3"/>
            <w:vAlign w:val="center"/>
            <w:hideMark/>
          </w:tcPr>
          <w:p w14:paraId="0F7C1F8F" w14:textId="77777777" w:rsidR="00000000" w:rsidRDefault="00405D16">
            <w:pPr>
              <w:spacing w:after="100"/>
              <w:rPr>
                <w:rFonts w:eastAsia="Times New Roman"/>
                <w:sz w:val="20"/>
                <w:szCs w:val="20"/>
              </w:rPr>
            </w:pPr>
          </w:p>
        </w:tc>
      </w:tr>
      <w:tr w:rsidR="00000000" w14:paraId="20C33483" w14:textId="77777777">
        <w:trPr>
          <w:divId w:val="402947182"/>
        </w:trPr>
        <w:tc>
          <w:tcPr>
            <w:tcW w:w="0" w:type="auto"/>
            <w:gridSpan w:val="3"/>
            <w:shd w:val="clear" w:color="auto" w:fill="FFFFFF"/>
            <w:tcMar>
              <w:top w:w="30" w:type="dxa"/>
              <w:left w:w="245" w:type="dxa"/>
              <w:bottom w:w="30" w:type="dxa"/>
              <w:right w:w="20" w:type="dxa"/>
            </w:tcMar>
            <w:vAlign w:val="center"/>
            <w:hideMark/>
          </w:tcPr>
          <w:p w14:paraId="75B784A2" w14:textId="77777777" w:rsidR="00000000" w:rsidRDefault="00405D16">
            <w:pPr>
              <w:spacing w:after="100"/>
              <w:rPr>
                <w:rFonts w:eastAsia="Times New Roman"/>
              </w:rPr>
            </w:pPr>
            <w:r>
              <w:rPr>
                <w:rFonts w:eastAsia="Times New Roman"/>
                <w:color w:val="000000"/>
                <w:sz w:val="16"/>
                <w:szCs w:val="16"/>
              </w:rPr>
              <w:t>Gain on sales of loans</w:t>
            </w:r>
          </w:p>
        </w:tc>
        <w:tc>
          <w:tcPr>
            <w:tcW w:w="0" w:type="auto"/>
            <w:gridSpan w:val="3"/>
            <w:shd w:val="clear" w:color="auto" w:fill="FFFFFF"/>
            <w:tcMar>
              <w:top w:w="0" w:type="dxa"/>
              <w:left w:w="20" w:type="dxa"/>
              <w:bottom w:w="0" w:type="dxa"/>
              <w:right w:w="20" w:type="dxa"/>
            </w:tcMar>
            <w:vAlign w:val="center"/>
            <w:hideMark/>
          </w:tcPr>
          <w:p w14:paraId="1C684253"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6C52D36" w14:textId="77777777" w:rsidR="00000000" w:rsidRDefault="00405D16">
            <w:pPr>
              <w:spacing w:after="100"/>
              <w:jc w:val="right"/>
              <w:rPr>
                <w:rFonts w:eastAsia="Times New Roman"/>
              </w:rPr>
            </w:pPr>
            <w:r>
              <w:rPr>
                <w:rFonts w:eastAsia="Times New Roman"/>
                <w:b/>
                <w:bCs/>
                <w:color w:val="000000"/>
                <w:sz w:val="16"/>
                <w:szCs w:val="16"/>
              </w:rPr>
              <w:t>(8)</w:t>
            </w:r>
          </w:p>
        </w:tc>
        <w:tc>
          <w:tcPr>
            <w:tcW w:w="0" w:type="auto"/>
            <w:shd w:val="clear" w:color="auto" w:fill="FFFFFF"/>
            <w:tcMar>
              <w:top w:w="30" w:type="dxa"/>
              <w:left w:w="0" w:type="dxa"/>
              <w:bottom w:w="30" w:type="dxa"/>
              <w:right w:w="20" w:type="dxa"/>
            </w:tcMar>
            <w:vAlign w:val="center"/>
            <w:hideMark/>
          </w:tcPr>
          <w:p w14:paraId="3564604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CDB68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CE0C1EB" w14:textId="77777777" w:rsidR="00000000" w:rsidRDefault="00405D16">
            <w:pPr>
              <w:spacing w:after="100"/>
              <w:jc w:val="right"/>
              <w:rPr>
                <w:rFonts w:eastAsia="Times New Roman"/>
              </w:rPr>
            </w:pPr>
            <w:r>
              <w:rPr>
                <w:rFonts w:eastAsia="Times New Roman"/>
                <w:color w:val="000000"/>
                <w:sz w:val="16"/>
                <w:szCs w:val="16"/>
              </w:rPr>
              <w:t>(15)</w:t>
            </w:r>
          </w:p>
        </w:tc>
        <w:tc>
          <w:tcPr>
            <w:tcW w:w="0" w:type="auto"/>
            <w:shd w:val="clear" w:color="auto" w:fill="FFFFFF"/>
            <w:tcMar>
              <w:top w:w="30" w:type="dxa"/>
              <w:left w:w="0" w:type="dxa"/>
              <w:bottom w:w="30" w:type="dxa"/>
              <w:right w:w="20" w:type="dxa"/>
            </w:tcMar>
            <w:vAlign w:val="center"/>
            <w:hideMark/>
          </w:tcPr>
          <w:p w14:paraId="557C42E4" w14:textId="77777777" w:rsidR="00000000" w:rsidRDefault="00405D16">
            <w:pPr>
              <w:spacing w:after="100"/>
              <w:jc w:val="right"/>
              <w:rPr>
                <w:rFonts w:eastAsia="Times New Roman"/>
              </w:rPr>
            </w:pPr>
          </w:p>
        </w:tc>
        <w:tc>
          <w:tcPr>
            <w:tcW w:w="0" w:type="auto"/>
            <w:gridSpan w:val="3"/>
            <w:vAlign w:val="center"/>
            <w:hideMark/>
          </w:tcPr>
          <w:p w14:paraId="1B1EFBAC" w14:textId="77777777" w:rsidR="00000000" w:rsidRDefault="00405D16">
            <w:pPr>
              <w:spacing w:after="100"/>
              <w:jc w:val="right"/>
              <w:rPr>
                <w:rFonts w:eastAsia="Times New Roman"/>
                <w:sz w:val="20"/>
                <w:szCs w:val="20"/>
              </w:rPr>
            </w:pPr>
          </w:p>
        </w:tc>
        <w:tc>
          <w:tcPr>
            <w:tcW w:w="0" w:type="auto"/>
            <w:gridSpan w:val="3"/>
            <w:vAlign w:val="center"/>
            <w:hideMark/>
          </w:tcPr>
          <w:p w14:paraId="0EA9BCF8" w14:textId="77777777" w:rsidR="00000000" w:rsidRDefault="00405D16">
            <w:pPr>
              <w:spacing w:after="100"/>
              <w:rPr>
                <w:rFonts w:eastAsia="Times New Roman"/>
                <w:sz w:val="20"/>
                <w:szCs w:val="20"/>
              </w:rPr>
            </w:pPr>
          </w:p>
        </w:tc>
      </w:tr>
      <w:tr w:rsidR="00000000" w14:paraId="50F9E35A" w14:textId="77777777">
        <w:trPr>
          <w:divId w:val="402947182"/>
        </w:trPr>
        <w:tc>
          <w:tcPr>
            <w:tcW w:w="0" w:type="auto"/>
            <w:gridSpan w:val="3"/>
            <w:shd w:val="clear" w:color="auto" w:fill="CCEEFF"/>
            <w:tcMar>
              <w:top w:w="30" w:type="dxa"/>
              <w:left w:w="245" w:type="dxa"/>
              <w:bottom w:w="30" w:type="dxa"/>
              <w:right w:w="20" w:type="dxa"/>
            </w:tcMar>
            <w:vAlign w:val="center"/>
            <w:hideMark/>
          </w:tcPr>
          <w:p w14:paraId="7BC244D3" w14:textId="77777777" w:rsidR="00000000" w:rsidRDefault="00405D16">
            <w:pPr>
              <w:spacing w:after="100"/>
              <w:rPr>
                <w:rFonts w:eastAsia="Times New Roman"/>
              </w:rPr>
            </w:pPr>
            <w:r>
              <w:rPr>
                <w:rFonts w:eastAsia="Times New Roman"/>
                <w:color w:val="000000"/>
                <w:sz w:val="16"/>
                <w:szCs w:val="16"/>
              </w:rPr>
              <w:t>Stock-based compensation expense</w:t>
            </w:r>
          </w:p>
        </w:tc>
        <w:tc>
          <w:tcPr>
            <w:tcW w:w="0" w:type="auto"/>
            <w:gridSpan w:val="3"/>
            <w:shd w:val="clear" w:color="auto" w:fill="CCEEFF"/>
            <w:tcMar>
              <w:top w:w="0" w:type="dxa"/>
              <w:left w:w="20" w:type="dxa"/>
              <w:bottom w:w="0" w:type="dxa"/>
              <w:right w:w="20" w:type="dxa"/>
            </w:tcMar>
            <w:vAlign w:val="center"/>
            <w:hideMark/>
          </w:tcPr>
          <w:p w14:paraId="66D75E8B"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F52D921" w14:textId="77777777" w:rsidR="00000000" w:rsidRDefault="00405D16">
            <w:pPr>
              <w:spacing w:after="100"/>
              <w:jc w:val="right"/>
              <w:rPr>
                <w:rFonts w:eastAsia="Times New Roman"/>
              </w:rPr>
            </w:pPr>
            <w:r>
              <w:rPr>
                <w:rFonts w:eastAsia="Times New Roman"/>
                <w:b/>
                <w:bCs/>
                <w:color w:val="000000"/>
                <w:sz w:val="16"/>
                <w:szCs w:val="16"/>
              </w:rPr>
              <w:t>270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5860B0A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653B8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6AA5E00" w14:textId="77777777" w:rsidR="00000000" w:rsidRDefault="00405D16">
            <w:pPr>
              <w:spacing w:after="100"/>
              <w:jc w:val="right"/>
              <w:rPr>
                <w:rFonts w:eastAsia="Times New Roman"/>
              </w:rPr>
            </w:pPr>
            <w:r>
              <w:rPr>
                <w:rFonts w:eastAsia="Times New Roman"/>
                <w:color w:val="000000"/>
                <w:sz w:val="16"/>
                <w:szCs w:val="16"/>
              </w:rPr>
              <w:t>128 </w:t>
            </w:r>
          </w:p>
        </w:tc>
        <w:tc>
          <w:tcPr>
            <w:tcW w:w="0" w:type="auto"/>
            <w:shd w:val="clear" w:color="auto" w:fill="CCEEFF"/>
            <w:tcMar>
              <w:top w:w="30" w:type="dxa"/>
              <w:left w:w="0" w:type="dxa"/>
              <w:bottom w:w="30" w:type="dxa"/>
              <w:right w:w="20" w:type="dxa"/>
            </w:tcMar>
            <w:vAlign w:val="center"/>
            <w:hideMark/>
          </w:tcPr>
          <w:p w14:paraId="20E4EE4F" w14:textId="77777777" w:rsidR="00000000" w:rsidRDefault="00405D16">
            <w:pPr>
              <w:spacing w:after="100"/>
              <w:jc w:val="right"/>
              <w:rPr>
                <w:rFonts w:eastAsia="Times New Roman"/>
              </w:rPr>
            </w:pPr>
          </w:p>
        </w:tc>
        <w:tc>
          <w:tcPr>
            <w:tcW w:w="0" w:type="auto"/>
            <w:gridSpan w:val="3"/>
            <w:vAlign w:val="center"/>
            <w:hideMark/>
          </w:tcPr>
          <w:p w14:paraId="09970B0B" w14:textId="77777777" w:rsidR="00000000" w:rsidRDefault="00405D16">
            <w:pPr>
              <w:spacing w:after="100"/>
              <w:jc w:val="right"/>
              <w:rPr>
                <w:rFonts w:eastAsia="Times New Roman"/>
                <w:sz w:val="20"/>
                <w:szCs w:val="20"/>
              </w:rPr>
            </w:pPr>
          </w:p>
        </w:tc>
        <w:tc>
          <w:tcPr>
            <w:tcW w:w="0" w:type="auto"/>
            <w:gridSpan w:val="3"/>
            <w:vAlign w:val="center"/>
            <w:hideMark/>
          </w:tcPr>
          <w:p w14:paraId="028F5D45" w14:textId="77777777" w:rsidR="00000000" w:rsidRDefault="00405D16">
            <w:pPr>
              <w:spacing w:after="100"/>
              <w:rPr>
                <w:rFonts w:eastAsia="Times New Roman"/>
                <w:sz w:val="20"/>
                <w:szCs w:val="20"/>
              </w:rPr>
            </w:pPr>
          </w:p>
        </w:tc>
      </w:tr>
      <w:tr w:rsidR="00000000" w14:paraId="69F95B15" w14:textId="77777777">
        <w:trPr>
          <w:divId w:val="402947182"/>
        </w:trPr>
        <w:tc>
          <w:tcPr>
            <w:tcW w:w="0" w:type="auto"/>
            <w:gridSpan w:val="3"/>
            <w:shd w:val="clear" w:color="auto" w:fill="FFFFFF"/>
            <w:tcMar>
              <w:top w:w="30" w:type="dxa"/>
              <w:left w:w="245" w:type="dxa"/>
              <w:bottom w:w="30" w:type="dxa"/>
              <w:right w:w="20" w:type="dxa"/>
            </w:tcMar>
            <w:vAlign w:val="center"/>
            <w:hideMark/>
          </w:tcPr>
          <w:p w14:paraId="1D93D1E3" w14:textId="77777777" w:rsidR="00000000" w:rsidRDefault="00405D16">
            <w:pPr>
              <w:spacing w:after="100"/>
              <w:rPr>
                <w:rFonts w:eastAsia="Times New Roman"/>
              </w:rPr>
            </w:pPr>
            <w:r>
              <w:rPr>
                <w:rFonts w:eastAsia="Times New Roman"/>
                <w:color w:val="000000"/>
                <w:sz w:val="16"/>
                <w:szCs w:val="16"/>
              </w:rPr>
              <w:t>Other (including (gains) and losses from equity investments)</w:t>
            </w:r>
          </w:p>
        </w:tc>
        <w:tc>
          <w:tcPr>
            <w:tcW w:w="0" w:type="auto"/>
            <w:gridSpan w:val="3"/>
            <w:shd w:val="clear" w:color="auto" w:fill="FFFFFF"/>
            <w:tcMar>
              <w:top w:w="0" w:type="dxa"/>
              <w:left w:w="20" w:type="dxa"/>
              <w:bottom w:w="0" w:type="dxa"/>
              <w:right w:w="20" w:type="dxa"/>
            </w:tcMar>
            <w:vAlign w:val="center"/>
            <w:hideMark/>
          </w:tcPr>
          <w:p w14:paraId="4AE7A1F1"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33C8866" w14:textId="77777777" w:rsidR="00000000" w:rsidRDefault="00405D16">
            <w:pPr>
              <w:spacing w:after="100"/>
              <w:jc w:val="right"/>
              <w:rPr>
                <w:rFonts w:eastAsia="Times New Roman"/>
              </w:rPr>
            </w:pPr>
            <w:r>
              <w:rPr>
                <w:rFonts w:eastAsia="Times New Roman"/>
                <w:b/>
                <w:bCs/>
                <w:color w:val="000000"/>
                <w:sz w:val="16"/>
                <w:szCs w:val="16"/>
              </w:rPr>
              <w:t>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34496F7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46343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04D47B2" w14:textId="77777777" w:rsidR="00000000" w:rsidRDefault="00405D16">
            <w:pPr>
              <w:spacing w:after="100"/>
              <w:jc w:val="right"/>
              <w:rPr>
                <w:rFonts w:eastAsia="Times New Roman"/>
              </w:rPr>
            </w:pPr>
            <w:r>
              <w:rPr>
                <w:rFonts w:eastAsia="Times New Roman"/>
                <w:color w:val="000000"/>
                <w:sz w:val="16"/>
                <w:szCs w:val="16"/>
              </w:rPr>
              <w:t>(477)</w:t>
            </w:r>
          </w:p>
        </w:tc>
        <w:tc>
          <w:tcPr>
            <w:tcW w:w="0" w:type="auto"/>
            <w:shd w:val="clear" w:color="auto" w:fill="FFFFFF"/>
            <w:tcMar>
              <w:top w:w="30" w:type="dxa"/>
              <w:left w:w="0" w:type="dxa"/>
              <w:bottom w:w="30" w:type="dxa"/>
              <w:right w:w="20" w:type="dxa"/>
            </w:tcMar>
            <w:vAlign w:val="center"/>
            <w:hideMark/>
          </w:tcPr>
          <w:p w14:paraId="4FC42FDC" w14:textId="77777777" w:rsidR="00000000" w:rsidRDefault="00405D16">
            <w:pPr>
              <w:spacing w:after="100"/>
              <w:jc w:val="right"/>
              <w:rPr>
                <w:rFonts w:eastAsia="Times New Roman"/>
              </w:rPr>
            </w:pPr>
          </w:p>
        </w:tc>
        <w:tc>
          <w:tcPr>
            <w:tcW w:w="0" w:type="auto"/>
            <w:gridSpan w:val="3"/>
            <w:vAlign w:val="center"/>
            <w:hideMark/>
          </w:tcPr>
          <w:p w14:paraId="346CFBFD" w14:textId="77777777" w:rsidR="00000000" w:rsidRDefault="00405D16">
            <w:pPr>
              <w:spacing w:after="100"/>
              <w:jc w:val="right"/>
              <w:rPr>
                <w:rFonts w:eastAsia="Times New Roman"/>
                <w:sz w:val="20"/>
                <w:szCs w:val="20"/>
              </w:rPr>
            </w:pPr>
          </w:p>
        </w:tc>
        <w:tc>
          <w:tcPr>
            <w:tcW w:w="0" w:type="auto"/>
            <w:gridSpan w:val="3"/>
            <w:vAlign w:val="center"/>
            <w:hideMark/>
          </w:tcPr>
          <w:p w14:paraId="540BF66B" w14:textId="77777777" w:rsidR="00000000" w:rsidRDefault="00405D16">
            <w:pPr>
              <w:spacing w:after="100"/>
              <w:rPr>
                <w:rFonts w:eastAsia="Times New Roman"/>
                <w:sz w:val="20"/>
                <w:szCs w:val="20"/>
              </w:rPr>
            </w:pPr>
          </w:p>
        </w:tc>
      </w:tr>
      <w:tr w:rsidR="00000000" w14:paraId="6B67FFB8" w14:textId="77777777">
        <w:trPr>
          <w:divId w:val="402947182"/>
        </w:trPr>
        <w:tc>
          <w:tcPr>
            <w:tcW w:w="0" w:type="auto"/>
            <w:gridSpan w:val="3"/>
            <w:shd w:val="clear" w:color="auto" w:fill="CCEEFF"/>
            <w:tcMar>
              <w:top w:w="30" w:type="dxa"/>
              <w:left w:w="20" w:type="dxa"/>
              <w:bottom w:w="30" w:type="dxa"/>
              <w:right w:w="20" w:type="dxa"/>
            </w:tcMar>
            <w:vAlign w:val="center"/>
            <w:hideMark/>
          </w:tcPr>
          <w:p w14:paraId="1E282A45" w14:textId="77777777" w:rsidR="00000000" w:rsidRDefault="00405D16">
            <w:pPr>
              <w:spacing w:after="100"/>
              <w:rPr>
                <w:rFonts w:eastAsia="Times New Roman"/>
              </w:rPr>
            </w:pPr>
            <w:r>
              <w:rPr>
                <w:rFonts w:eastAsia="Times New Roman"/>
                <w:color w:val="000000"/>
                <w:sz w:val="16"/>
                <w:szCs w:val="16"/>
              </w:rPr>
              <w:t>Loans held for sale:</w:t>
            </w:r>
          </w:p>
        </w:tc>
        <w:tc>
          <w:tcPr>
            <w:tcW w:w="0" w:type="auto"/>
            <w:gridSpan w:val="3"/>
            <w:shd w:val="clear" w:color="auto" w:fill="CCEEFF"/>
            <w:tcMar>
              <w:top w:w="0" w:type="dxa"/>
              <w:left w:w="20" w:type="dxa"/>
              <w:bottom w:w="0" w:type="dxa"/>
              <w:right w:w="20" w:type="dxa"/>
            </w:tcMar>
            <w:vAlign w:val="center"/>
            <w:hideMark/>
          </w:tcPr>
          <w:p w14:paraId="05EA534A"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89F68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C37F2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F28490" w14:textId="77777777" w:rsidR="00000000" w:rsidRDefault="00405D16">
            <w:pPr>
              <w:spacing w:after="100"/>
              <w:rPr>
                <w:rFonts w:eastAsia="Times New Roman"/>
                <w:sz w:val="20"/>
                <w:szCs w:val="20"/>
              </w:rPr>
            </w:pPr>
          </w:p>
        </w:tc>
        <w:tc>
          <w:tcPr>
            <w:tcW w:w="0" w:type="auto"/>
            <w:gridSpan w:val="3"/>
            <w:vAlign w:val="center"/>
            <w:hideMark/>
          </w:tcPr>
          <w:p w14:paraId="6CD47063" w14:textId="77777777" w:rsidR="00000000" w:rsidRDefault="00405D16">
            <w:pPr>
              <w:spacing w:after="100"/>
              <w:rPr>
                <w:rFonts w:eastAsia="Times New Roman"/>
                <w:sz w:val="20"/>
                <w:szCs w:val="20"/>
              </w:rPr>
            </w:pPr>
          </w:p>
        </w:tc>
        <w:tc>
          <w:tcPr>
            <w:tcW w:w="0" w:type="auto"/>
            <w:gridSpan w:val="3"/>
            <w:vAlign w:val="center"/>
            <w:hideMark/>
          </w:tcPr>
          <w:p w14:paraId="2CE86B45" w14:textId="77777777" w:rsidR="00000000" w:rsidRDefault="00405D16">
            <w:pPr>
              <w:spacing w:after="100"/>
              <w:rPr>
                <w:rFonts w:eastAsia="Times New Roman"/>
                <w:sz w:val="20"/>
                <w:szCs w:val="20"/>
              </w:rPr>
            </w:pPr>
          </w:p>
        </w:tc>
      </w:tr>
      <w:tr w:rsidR="00000000" w14:paraId="60F7FE2B" w14:textId="77777777">
        <w:trPr>
          <w:divId w:val="402947182"/>
        </w:trPr>
        <w:tc>
          <w:tcPr>
            <w:tcW w:w="0" w:type="auto"/>
            <w:gridSpan w:val="3"/>
            <w:shd w:val="clear" w:color="auto" w:fill="FFFFFF"/>
            <w:tcMar>
              <w:top w:w="30" w:type="dxa"/>
              <w:left w:w="245" w:type="dxa"/>
              <w:bottom w:w="30" w:type="dxa"/>
              <w:right w:w="20" w:type="dxa"/>
            </w:tcMar>
            <w:vAlign w:val="center"/>
            <w:hideMark/>
          </w:tcPr>
          <w:p w14:paraId="0FCA24E4" w14:textId="77777777" w:rsidR="00000000" w:rsidRDefault="00405D16">
            <w:pPr>
              <w:spacing w:after="100"/>
              <w:rPr>
                <w:rFonts w:eastAsia="Times New Roman"/>
              </w:rPr>
            </w:pPr>
            <w:r>
              <w:rPr>
                <w:rFonts w:eastAsia="Times New Roman"/>
                <w:color w:val="000000"/>
                <w:sz w:val="16"/>
                <w:szCs w:val="16"/>
              </w:rPr>
              <w:t>Originations and purchases</w:t>
            </w:r>
          </w:p>
        </w:tc>
        <w:tc>
          <w:tcPr>
            <w:tcW w:w="0" w:type="auto"/>
            <w:gridSpan w:val="3"/>
            <w:shd w:val="clear" w:color="auto" w:fill="FFFFFF"/>
            <w:tcMar>
              <w:top w:w="0" w:type="dxa"/>
              <w:left w:w="20" w:type="dxa"/>
              <w:bottom w:w="0" w:type="dxa"/>
              <w:right w:w="20" w:type="dxa"/>
            </w:tcMar>
            <w:vAlign w:val="center"/>
            <w:hideMark/>
          </w:tcPr>
          <w:p w14:paraId="58F5F9CC"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F7CDF13" w14:textId="77777777" w:rsidR="00000000" w:rsidRDefault="00405D16">
            <w:pPr>
              <w:spacing w:after="100"/>
              <w:jc w:val="right"/>
              <w:rPr>
                <w:rFonts w:eastAsia="Times New Roman"/>
              </w:rPr>
            </w:pPr>
            <w:r>
              <w:rPr>
                <w:rFonts w:eastAsia="Times New Roman"/>
                <w:b/>
                <w:bCs/>
                <w:color w:val="000000"/>
                <w:sz w:val="16"/>
                <w:szCs w:val="16"/>
              </w:rPr>
              <w:t>(7,011)</w:t>
            </w:r>
          </w:p>
        </w:tc>
        <w:tc>
          <w:tcPr>
            <w:tcW w:w="0" w:type="auto"/>
            <w:shd w:val="clear" w:color="auto" w:fill="FFFFFF"/>
            <w:tcMar>
              <w:top w:w="30" w:type="dxa"/>
              <w:left w:w="0" w:type="dxa"/>
              <w:bottom w:w="30" w:type="dxa"/>
              <w:right w:w="20" w:type="dxa"/>
            </w:tcMar>
            <w:vAlign w:val="center"/>
            <w:hideMark/>
          </w:tcPr>
          <w:p w14:paraId="2486BF2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613B7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D338327" w14:textId="77777777" w:rsidR="00000000" w:rsidRDefault="00405D16">
            <w:pPr>
              <w:spacing w:after="100"/>
              <w:jc w:val="right"/>
              <w:rPr>
                <w:rFonts w:eastAsia="Times New Roman"/>
              </w:rPr>
            </w:pPr>
            <w:r>
              <w:rPr>
                <w:rFonts w:eastAsia="Times New Roman"/>
                <w:color w:val="000000"/>
                <w:sz w:val="16"/>
                <w:szCs w:val="16"/>
              </w:rPr>
              <w:t>(6,739)</w:t>
            </w:r>
          </w:p>
        </w:tc>
        <w:tc>
          <w:tcPr>
            <w:tcW w:w="0" w:type="auto"/>
            <w:shd w:val="clear" w:color="auto" w:fill="FFFFFF"/>
            <w:tcMar>
              <w:top w:w="30" w:type="dxa"/>
              <w:left w:w="0" w:type="dxa"/>
              <w:bottom w:w="30" w:type="dxa"/>
              <w:right w:w="20" w:type="dxa"/>
            </w:tcMar>
            <w:vAlign w:val="center"/>
            <w:hideMark/>
          </w:tcPr>
          <w:p w14:paraId="0C3B1BC1" w14:textId="77777777" w:rsidR="00000000" w:rsidRDefault="00405D16">
            <w:pPr>
              <w:spacing w:after="100"/>
              <w:jc w:val="right"/>
              <w:rPr>
                <w:rFonts w:eastAsia="Times New Roman"/>
              </w:rPr>
            </w:pPr>
          </w:p>
        </w:tc>
        <w:tc>
          <w:tcPr>
            <w:tcW w:w="0" w:type="auto"/>
            <w:gridSpan w:val="3"/>
            <w:vAlign w:val="center"/>
            <w:hideMark/>
          </w:tcPr>
          <w:p w14:paraId="52A47183" w14:textId="77777777" w:rsidR="00000000" w:rsidRDefault="00405D16">
            <w:pPr>
              <w:spacing w:after="100"/>
              <w:jc w:val="right"/>
              <w:rPr>
                <w:rFonts w:eastAsia="Times New Roman"/>
                <w:sz w:val="20"/>
                <w:szCs w:val="20"/>
              </w:rPr>
            </w:pPr>
          </w:p>
        </w:tc>
        <w:tc>
          <w:tcPr>
            <w:tcW w:w="0" w:type="auto"/>
            <w:gridSpan w:val="3"/>
            <w:vAlign w:val="center"/>
            <w:hideMark/>
          </w:tcPr>
          <w:p w14:paraId="09A3837D" w14:textId="77777777" w:rsidR="00000000" w:rsidRDefault="00405D16">
            <w:pPr>
              <w:spacing w:after="100"/>
              <w:rPr>
                <w:rFonts w:eastAsia="Times New Roman"/>
                <w:sz w:val="20"/>
                <w:szCs w:val="20"/>
              </w:rPr>
            </w:pPr>
          </w:p>
        </w:tc>
      </w:tr>
      <w:tr w:rsidR="00000000" w14:paraId="0E135E50" w14:textId="77777777">
        <w:trPr>
          <w:divId w:val="402947182"/>
        </w:trPr>
        <w:tc>
          <w:tcPr>
            <w:tcW w:w="0" w:type="auto"/>
            <w:gridSpan w:val="3"/>
            <w:shd w:val="clear" w:color="auto" w:fill="CCEEFF"/>
            <w:tcMar>
              <w:top w:w="30" w:type="dxa"/>
              <w:left w:w="245" w:type="dxa"/>
              <w:bottom w:w="30" w:type="dxa"/>
              <w:right w:w="20" w:type="dxa"/>
            </w:tcMar>
            <w:vAlign w:val="center"/>
            <w:hideMark/>
          </w:tcPr>
          <w:p w14:paraId="24DE9476" w14:textId="77777777" w:rsidR="00000000" w:rsidRDefault="00405D16">
            <w:pPr>
              <w:spacing w:after="100"/>
              <w:rPr>
                <w:rFonts w:eastAsia="Times New Roman"/>
              </w:rPr>
            </w:pPr>
            <w:r>
              <w:rPr>
                <w:rFonts w:eastAsia="Times New Roman"/>
                <w:color w:val="000000"/>
                <w:sz w:val="16"/>
                <w:szCs w:val="16"/>
              </w:rPr>
              <w:t>Proceeds from sales and paydowns</w:t>
            </w:r>
          </w:p>
        </w:tc>
        <w:tc>
          <w:tcPr>
            <w:tcW w:w="0" w:type="auto"/>
            <w:gridSpan w:val="3"/>
            <w:shd w:val="clear" w:color="auto" w:fill="CCEEFF"/>
            <w:tcMar>
              <w:top w:w="0" w:type="dxa"/>
              <w:left w:w="20" w:type="dxa"/>
              <w:bottom w:w="0" w:type="dxa"/>
              <w:right w:w="20" w:type="dxa"/>
            </w:tcMar>
            <w:vAlign w:val="center"/>
            <w:hideMark/>
          </w:tcPr>
          <w:p w14:paraId="09F2285F"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A036C27" w14:textId="77777777" w:rsidR="00000000" w:rsidRDefault="00405D16">
            <w:pPr>
              <w:spacing w:after="100"/>
              <w:jc w:val="right"/>
              <w:rPr>
                <w:rFonts w:eastAsia="Times New Roman"/>
              </w:rPr>
            </w:pPr>
            <w:r>
              <w:rPr>
                <w:rFonts w:eastAsia="Times New Roman"/>
                <w:b/>
                <w:bCs/>
                <w:color w:val="000000"/>
                <w:sz w:val="16"/>
                <w:szCs w:val="16"/>
              </w:rPr>
              <w:t>6,227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6058CB0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7130C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669BB82" w14:textId="77777777" w:rsidR="00000000" w:rsidRDefault="00405D16">
            <w:pPr>
              <w:spacing w:after="100"/>
              <w:jc w:val="right"/>
              <w:rPr>
                <w:rFonts w:eastAsia="Times New Roman"/>
              </w:rPr>
            </w:pPr>
            <w:r>
              <w:rPr>
                <w:rFonts w:eastAsia="Times New Roman"/>
                <w:color w:val="000000"/>
                <w:sz w:val="16"/>
                <w:szCs w:val="16"/>
              </w:rPr>
              <w:t>5,833 </w:t>
            </w:r>
          </w:p>
        </w:tc>
        <w:tc>
          <w:tcPr>
            <w:tcW w:w="0" w:type="auto"/>
            <w:shd w:val="clear" w:color="auto" w:fill="CCEEFF"/>
            <w:tcMar>
              <w:top w:w="30" w:type="dxa"/>
              <w:left w:w="0" w:type="dxa"/>
              <w:bottom w:w="30" w:type="dxa"/>
              <w:right w:w="20" w:type="dxa"/>
            </w:tcMar>
            <w:vAlign w:val="center"/>
            <w:hideMark/>
          </w:tcPr>
          <w:p w14:paraId="714B22F2" w14:textId="77777777" w:rsidR="00000000" w:rsidRDefault="00405D16">
            <w:pPr>
              <w:spacing w:after="100"/>
              <w:jc w:val="right"/>
              <w:rPr>
                <w:rFonts w:eastAsia="Times New Roman"/>
              </w:rPr>
            </w:pPr>
          </w:p>
        </w:tc>
        <w:tc>
          <w:tcPr>
            <w:tcW w:w="0" w:type="auto"/>
            <w:gridSpan w:val="3"/>
            <w:vAlign w:val="center"/>
            <w:hideMark/>
          </w:tcPr>
          <w:p w14:paraId="6A888B02" w14:textId="77777777" w:rsidR="00000000" w:rsidRDefault="00405D16">
            <w:pPr>
              <w:spacing w:after="100"/>
              <w:jc w:val="right"/>
              <w:rPr>
                <w:rFonts w:eastAsia="Times New Roman"/>
                <w:sz w:val="20"/>
                <w:szCs w:val="20"/>
              </w:rPr>
            </w:pPr>
          </w:p>
        </w:tc>
        <w:tc>
          <w:tcPr>
            <w:tcW w:w="0" w:type="auto"/>
            <w:gridSpan w:val="3"/>
            <w:vAlign w:val="center"/>
            <w:hideMark/>
          </w:tcPr>
          <w:p w14:paraId="1349B78D" w14:textId="77777777" w:rsidR="00000000" w:rsidRDefault="00405D16">
            <w:pPr>
              <w:spacing w:after="100"/>
              <w:rPr>
                <w:rFonts w:eastAsia="Times New Roman"/>
                <w:sz w:val="20"/>
                <w:szCs w:val="20"/>
              </w:rPr>
            </w:pPr>
          </w:p>
        </w:tc>
      </w:tr>
      <w:tr w:rsidR="00000000" w14:paraId="046CF694" w14:textId="77777777">
        <w:trPr>
          <w:divId w:val="402947182"/>
        </w:trPr>
        <w:tc>
          <w:tcPr>
            <w:tcW w:w="0" w:type="auto"/>
            <w:gridSpan w:val="3"/>
            <w:shd w:val="clear" w:color="auto" w:fill="FFFFFF"/>
            <w:tcMar>
              <w:top w:w="30" w:type="dxa"/>
              <w:left w:w="20" w:type="dxa"/>
              <w:bottom w:w="30" w:type="dxa"/>
              <w:right w:w="20" w:type="dxa"/>
            </w:tcMar>
            <w:vAlign w:val="center"/>
            <w:hideMark/>
          </w:tcPr>
          <w:p w14:paraId="1815DE7C" w14:textId="77777777" w:rsidR="00000000" w:rsidRDefault="00405D16">
            <w:pPr>
              <w:spacing w:after="100"/>
              <w:rPr>
                <w:rFonts w:eastAsia="Times New Roman"/>
              </w:rPr>
            </w:pPr>
            <w:r>
              <w:rPr>
                <w:rFonts w:eastAsia="Times New Roman"/>
                <w:color w:val="000000"/>
                <w:sz w:val="16"/>
                <w:szCs w:val="16"/>
              </w:rPr>
              <w:t>Changes in operating assets and liabilities:</w:t>
            </w:r>
          </w:p>
        </w:tc>
        <w:tc>
          <w:tcPr>
            <w:tcW w:w="0" w:type="auto"/>
            <w:gridSpan w:val="3"/>
            <w:shd w:val="clear" w:color="auto" w:fill="FFFFFF"/>
            <w:tcMar>
              <w:top w:w="0" w:type="dxa"/>
              <w:left w:w="20" w:type="dxa"/>
              <w:bottom w:w="0" w:type="dxa"/>
              <w:right w:w="20" w:type="dxa"/>
            </w:tcMar>
            <w:vAlign w:val="center"/>
            <w:hideMark/>
          </w:tcPr>
          <w:p w14:paraId="1A04F019"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7BB9A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8D71C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532879" w14:textId="77777777" w:rsidR="00000000" w:rsidRDefault="00405D16">
            <w:pPr>
              <w:spacing w:after="100"/>
              <w:rPr>
                <w:rFonts w:eastAsia="Times New Roman"/>
                <w:sz w:val="20"/>
                <w:szCs w:val="20"/>
              </w:rPr>
            </w:pPr>
          </w:p>
        </w:tc>
        <w:tc>
          <w:tcPr>
            <w:tcW w:w="0" w:type="auto"/>
            <w:gridSpan w:val="3"/>
            <w:vAlign w:val="center"/>
            <w:hideMark/>
          </w:tcPr>
          <w:p w14:paraId="09449ED9" w14:textId="77777777" w:rsidR="00000000" w:rsidRDefault="00405D16">
            <w:pPr>
              <w:spacing w:after="100"/>
              <w:rPr>
                <w:rFonts w:eastAsia="Times New Roman"/>
                <w:sz w:val="20"/>
                <w:szCs w:val="20"/>
              </w:rPr>
            </w:pPr>
          </w:p>
        </w:tc>
        <w:tc>
          <w:tcPr>
            <w:tcW w:w="0" w:type="auto"/>
            <w:gridSpan w:val="3"/>
            <w:vAlign w:val="center"/>
            <w:hideMark/>
          </w:tcPr>
          <w:p w14:paraId="288EAC19" w14:textId="77777777" w:rsidR="00000000" w:rsidRDefault="00405D16">
            <w:pPr>
              <w:spacing w:after="100"/>
              <w:rPr>
                <w:rFonts w:eastAsia="Times New Roman"/>
                <w:sz w:val="20"/>
                <w:szCs w:val="20"/>
              </w:rPr>
            </w:pPr>
          </w:p>
        </w:tc>
      </w:tr>
      <w:tr w:rsidR="00000000" w14:paraId="42677E09" w14:textId="77777777">
        <w:trPr>
          <w:divId w:val="402947182"/>
        </w:trPr>
        <w:tc>
          <w:tcPr>
            <w:tcW w:w="0" w:type="auto"/>
            <w:gridSpan w:val="3"/>
            <w:shd w:val="clear" w:color="auto" w:fill="CCEEFF"/>
            <w:tcMar>
              <w:top w:w="30" w:type="dxa"/>
              <w:left w:w="245" w:type="dxa"/>
              <w:bottom w:w="30" w:type="dxa"/>
              <w:right w:w="20" w:type="dxa"/>
            </w:tcMar>
            <w:vAlign w:val="center"/>
            <w:hideMark/>
          </w:tcPr>
          <w:p w14:paraId="633C47C8" w14:textId="77777777" w:rsidR="00000000" w:rsidRDefault="00405D16">
            <w:pPr>
              <w:spacing w:after="100"/>
              <w:rPr>
                <w:rFonts w:eastAsia="Times New Roman"/>
              </w:rPr>
            </w:pPr>
            <w:r>
              <w:rPr>
                <w:rFonts w:eastAsia="Times New Roman"/>
                <w:color w:val="000000"/>
                <w:sz w:val="16"/>
                <w:szCs w:val="16"/>
              </w:rPr>
              <w:t>Changes in interest receivable</w:t>
            </w:r>
          </w:p>
        </w:tc>
        <w:tc>
          <w:tcPr>
            <w:tcW w:w="0" w:type="auto"/>
            <w:gridSpan w:val="3"/>
            <w:shd w:val="clear" w:color="auto" w:fill="CCEEFF"/>
            <w:tcMar>
              <w:top w:w="0" w:type="dxa"/>
              <w:left w:w="20" w:type="dxa"/>
              <w:bottom w:w="0" w:type="dxa"/>
              <w:right w:w="20" w:type="dxa"/>
            </w:tcMar>
            <w:vAlign w:val="center"/>
            <w:hideMark/>
          </w:tcPr>
          <w:p w14:paraId="1A9AB074"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B702217" w14:textId="77777777" w:rsidR="00000000" w:rsidRDefault="00405D16">
            <w:pPr>
              <w:spacing w:after="100"/>
              <w:jc w:val="right"/>
              <w:rPr>
                <w:rFonts w:eastAsia="Times New Roman"/>
              </w:rPr>
            </w:pPr>
            <w:r>
              <w:rPr>
                <w:rFonts w:eastAsia="Times New Roman"/>
                <w:b/>
                <w:bCs/>
                <w:color w:val="000000"/>
                <w:sz w:val="16"/>
                <w:szCs w:val="16"/>
              </w:rPr>
              <w:t>59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57D89EE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55CA6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241D4BC" w14:textId="77777777" w:rsidR="00000000" w:rsidRDefault="00405D16">
            <w:pPr>
              <w:spacing w:after="100"/>
              <w:jc w:val="right"/>
              <w:rPr>
                <w:rFonts w:eastAsia="Times New Roman"/>
              </w:rPr>
            </w:pPr>
            <w:r>
              <w:rPr>
                <w:rFonts w:eastAsia="Times New Roman"/>
                <w:color w:val="000000"/>
                <w:sz w:val="16"/>
                <w:szCs w:val="16"/>
              </w:rPr>
              <w:t>207 </w:t>
            </w:r>
          </w:p>
        </w:tc>
        <w:tc>
          <w:tcPr>
            <w:tcW w:w="0" w:type="auto"/>
            <w:shd w:val="clear" w:color="auto" w:fill="CCEEFF"/>
            <w:tcMar>
              <w:top w:w="30" w:type="dxa"/>
              <w:left w:w="0" w:type="dxa"/>
              <w:bottom w:w="30" w:type="dxa"/>
              <w:right w:w="20" w:type="dxa"/>
            </w:tcMar>
            <w:vAlign w:val="center"/>
            <w:hideMark/>
          </w:tcPr>
          <w:p w14:paraId="628B26E8" w14:textId="77777777" w:rsidR="00000000" w:rsidRDefault="00405D16">
            <w:pPr>
              <w:spacing w:after="100"/>
              <w:jc w:val="right"/>
              <w:rPr>
                <w:rFonts w:eastAsia="Times New Roman"/>
              </w:rPr>
            </w:pPr>
          </w:p>
        </w:tc>
        <w:tc>
          <w:tcPr>
            <w:tcW w:w="0" w:type="auto"/>
            <w:gridSpan w:val="3"/>
            <w:vAlign w:val="center"/>
            <w:hideMark/>
          </w:tcPr>
          <w:p w14:paraId="0F6080CE" w14:textId="77777777" w:rsidR="00000000" w:rsidRDefault="00405D16">
            <w:pPr>
              <w:spacing w:after="100"/>
              <w:jc w:val="right"/>
              <w:rPr>
                <w:rFonts w:eastAsia="Times New Roman"/>
                <w:sz w:val="20"/>
                <w:szCs w:val="20"/>
              </w:rPr>
            </w:pPr>
          </w:p>
        </w:tc>
        <w:tc>
          <w:tcPr>
            <w:tcW w:w="0" w:type="auto"/>
            <w:gridSpan w:val="3"/>
            <w:vAlign w:val="center"/>
            <w:hideMark/>
          </w:tcPr>
          <w:p w14:paraId="043A0F3E" w14:textId="77777777" w:rsidR="00000000" w:rsidRDefault="00405D16">
            <w:pPr>
              <w:spacing w:after="100"/>
              <w:rPr>
                <w:rFonts w:eastAsia="Times New Roman"/>
                <w:sz w:val="20"/>
                <w:szCs w:val="20"/>
              </w:rPr>
            </w:pPr>
          </w:p>
        </w:tc>
      </w:tr>
      <w:tr w:rsidR="00000000" w14:paraId="063A22E9" w14:textId="77777777">
        <w:trPr>
          <w:divId w:val="402947182"/>
        </w:trPr>
        <w:tc>
          <w:tcPr>
            <w:tcW w:w="0" w:type="auto"/>
            <w:gridSpan w:val="3"/>
            <w:shd w:val="clear" w:color="auto" w:fill="FFFFFF"/>
            <w:tcMar>
              <w:top w:w="30" w:type="dxa"/>
              <w:left w:w="245" w:type="dxa"/>
              <w:bottom w:w="30" w:type="dxa"/>
              <w:right w:w="20" w:type="dxa"/>
            </w:tcMar>
            <w:vAlign w:val="center"/>
            <w:hideMark/>
          </w:tcPr>
          <w:p w14:paraId="175B082C" w14:textId="77777777" w:rsidR="00000000" w:rsidRDefault="00405D16">
            <w:pPr>
              <w:spacing w:after="100"/>
              <w:rPr>
                <w:rFonts w:eastAsia="Times New Roman"/>
              </w:rPr>
            </w:pPr>
            <w:r>
              <w:rPr>
                <w:rFonts w:eastAsia="Times New Roman"/>
                <w:color w:val="000000"/>
                <w:sz w:val="16"/>
                <w:szCs w:val="16"/>
              </w:rPr>
              <w:t>Changes in other assets</w:t>
            </w:r>
          </w:p>
        </w:tc>
        <w:tc>
          <w:tcPr>
            <w:tcW w:w="0" w:type="auto"/>
            <w:gridSpan w:val="3"/>
            <w:shd w:val="clear" w:color="auto" w:fill="FFFFFF"/>
            <w:tcMar>
              <w:top w:w="0" w:type="dxa"/>
              <w:left w:w="20" w:type="dxa"/>
              <w:bottom w:w="0" w:type="dxa"/>
              <w:right w:w="20" w:type="dxa"/>
            </w:tcMar>
            <w:vAlign w:val="center"/>
            <w:hideMark/>
          </w:tcPr>
          <w:p w14:paraId="1A553EDA"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358F3E1" w14:textId="77777777" w:rsidR="00000000" w:rsidRDefault="00405D16">
            <w:pPr>
              <w:spacing w:after="100"/>
              <w:jc w:val="right"/>
              <w:rPr>
                <w:rFonts w:eastAsia="Times New Roman"/>
              </w:rPr>
            </w:pPr>
            <w:r>
              <w:rPr>
                <w:rFonts w:eastAsia="Times New Roman"/>
                <w:b/>
                <w:bCs/>
                <w:color w:val="000000"/>
                <w:sz w:val="16"/>
                <w:szCs w:val="16"/>
              </w:rPr>
              <w:t>(4,833)</w:t>
            </w:r>
          </w:p>
        </w:tc>
        <w:tc>
          <w:tcPr>
            <w:tcW w:w="0" w:type="auto"/>
            <w:shd w:val="clear" w:color="auto" w:fill="FFFFFF"/>
            <w:tcMar>
              <w:top w:w="30" w:type="dxa"/>
              <w:left w:w="0" w:type="dxa"/>
              <w:bottom w:w="30" w:type="dxa"/>
              <w:right w:w="20" w:type="dxa"/>
            </w:tcMar>
            <w:vAlign w:val="center"/>
            <w:hideMark/>
          </w:tcPr>
          <w:p w14:paraId="1690F1E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9D0BB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0D7AC20" w14:textId="77777777" w:rsidR="00000000" w:rsidRDefault="00405D16">
            <w:pPr>
              <w:spacing w:after="100"/>
              <w:jc w:val="right"/>
              <w:rPr>
                <w:rFonts w:eastAsia="Times New Roman"/>
              </w:rPr>
            </w:pPr>
            <w:r>
              <w:rPr>
                <w:rFonts w:eastAsia="Times New Roman"/>
                <w:color w:val="000000"/>
                <w:sz w:val="16"/>
                <w:szCs w:val="16"/>
              </w:rPr>
              <w:t>1,052 </w:t>
            </w:r>
          </w:p>
        </w:tc>
        <w:tc>
          <w:tcPr>
            <w:tcW w:w="0" w:type="auto"/>
            <w:shd w:val="clear" w:color="auto" w:fill="FFFFFF"/>
            <w:tcMar>
              <w:top w:w="30" w:type="dxa"/>
              <w:left w:w="0" w:type="dxa"/>
              <w:bottom w:w="30" w:type="dxa"/>
              <w:right w:w="20" w:type="dxa"/>
            </w:tcMar>
            <w:vAlign w:val="center"/>
            <w:hideMark/>
          </w:tcPr>
          <w:p w14:paraId="3CF2FB07" w14:textId="77777777" w:rsidR="00000000" w:rsidRDefault="00405D16">
            <w:pPr>
              <w:spacing w:after="100"/>
              <w:jc w:val="right"/>
              <w:rPr>
                <w:rFonts w:eastAsia="Times New Roman"/>
              </w:rPr>
            </w:pPr>
          </w:p>
        </w:tc>
        <w:tc>
          <w:tcPr>
            <w:tcW w:w="0" w:type="auto"/>
            <w:gridSpan w:val="3"/>
            <w:vAlign w:val="center"/>
            <w:hideMark/>
          </w:tcPr>
          <w:p w14:paraId="5095063F" w14:textId="77777777" w:rsidR="00000000" w:rsidRDefault="00405D16">
            <w:pPr>
              <w:spacing w:after="100"/>
              <w:jc w:val="right"/>
              <w:rPr>
                <w:rFonts w:eastAsia="Times New Roman"/>
                <w:sz w:val="20"/>
                <w:szCs w:val="20"/>
              </w:rPr>
            </w:pPr>
          </w:p>
        </w:tc>
        <w:tc>
          <w:tcPr>
            <w:tcW w:w="0" w:type="auto"/>
            <w:gridSpan w:val="3"/>
            <w:vAlign w:val="center"/>
            <w:hideMark/>
          </w:tcPr>
          <w:p w14:paraId="001D7C67" w14:textId="77777777" w:rsidR="00000000" w:rsidRDefault="00405D16">
            <w:pPr>
              <w:spacing w:after="100"/>
              <w:rPr>
                <w:rFonts w:eastAsia="Times New Roman"/>
                <w:sz w:val="20"/>
                <w:szCs w:val="20"/>
              </w:rPr>
            </w:pPr>
          </w:p>
        </w:tc>
      </w:tr>
      <w:tr w:rsidR="00000000" w14:paraId="29D60E88" w14:textId="77777777">
        <w:trPr>
          <w:divId w:val="402947182"/>
        </w:trPr>
        <w:tc>
          <w:tcPr>
            <w:tcW w:w="0" w:type="auto"/>
            <w:gridSpan w:val="3"/>
            <w:shd w:val="clear" w:color="auto" w:fill="CCEEFF"/>
            <w:tcMar>
              <w:top w:w="30" w:type="dxa"/>
              <w:left w:w="245" w:type="dxa"/>
              <w:bottom w:w="30" w:type="dxa"/>
              <w:right w:w="20" w:type="dxa"/>
            </w:tcMar>
            <w:vAlign w:val="center"/>
            <w:hideMark/>
          </w:tcPr>
          <w:p w14:paraId="7F59ED8E" w14:textId="77777777" w:rsidR="00000000" w:rsidRDefault="00405D16">
            <w:pPr>
              <w:spacing w:after="100"/>
              <w:rPr>
                <w:rFonts w:eastAsia="Times New Roman"/>
              </w:rPr>
            </w:pPr>
            <w:r>
              <w:rPr>
                <w:rFonts w:eastAsia="Times New Roman"/>
                <w:color w:val="000000"/>
                <w:sz w:val="16"/>
                <w:szCs w:val="16"/>
              </w:rPr>
              <w:t>Changes in interest payable</w:t>
            </w:r>
          </w:p>
        </w:tc>
        <w:tc>
          <w:tcPr>
            <w:tcW w:w="0" w:type="auto"/>
            <w:gridSpan w:val="3"/>
            <w:shd w:val="clear" w:color="auto" w:fill="CCEEFF"/>
            <w:tcMar>
              <w:top w:w="0" w:type="dxa"/>
              <w:left w:w="20" w:type="dxa"/>
              <w:bottom w:w="0" w:type="dxa"/>
              <w:right w:w="20" w:type="dxa"/>
            </w:tcMar>
            <w:vAlign w:val="center"/>
            <w:hideMark/>
          </w:tcPr>
          <w:p w14:paraId="37FB4F8B"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F274ADB" w14:textId="77777777" w:rsidR="00000000" w:rsidRDefault="00405D16">
            <w:pPr>
              <w:spacing w:after="100"/>
              <w:jc w:val="right"/>
              <w:rPr>
                <w:rFonts w:eastAsia="Times New Roman"/>
              </w:rPr>
            </w:pPr>
            <w:r>
              <w:rPr>
                <w:rFonts w:eastAsia="Times New Roman"/>
                <w:b/>
                <w:bCs/>
                <w:color w:val="000000"/>
                <w:sz w:val="16"/>
                <w:szCs w:val="16"/>
              </w:rPr>
              <w:t>(111)</w:t>
            </w:r>
          </w:p>
        </w:tc>
        <w:tc>
          <w:tcPr>
            <w:tcW w:w="0" w:type="auto"/>
            <w:shd w:val="clear" w:color="auto" w:fill="CCEEFF"/>
            <w:tcMar>
              <w:top w:w="30" w:type="dxa"/>
              <w:left w:w="0" w:type="dxa"/>
              <w:bottom w:w="30" w:type="dxa"/>
              <w:right w:w="20" w:type="dxa"/>
            </w:tcMar>
            <w:vAlign w:val="center"/>
            <w:hideMark/>
          </w:tcPr>
          <w:p w14:paraId="616F98B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42603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A715573" w14:textId="77777777" w:rsidR="00000000" w:rsidRDefault="00405D16">
            <w:pPr>
              <w:spacing w:after="100"/>
              <w:jc w:val="right"/>
              <w:rPr>
                <w:rFonts w:eastAsia="Times New Roman"/>
              </w:rPr>
            </w:pPr>
            <w:r>
              <w:rPr>
                <w:rFonts w:eastAsia="Times New Roman"/>
                <w:color w:val="000000"/>
                <w:sz w:val="16"/>
                <w:szCs w:val="16"/>
              </w:rPr>
              <w:t>(107)</w:t>
            </w:r>
          </w:p>
        </w:tc>
        <w:tc>
          <w:tcPr>
            <w:tcW w:w="0" w:type="auto"/>
            <w:shd w:val="clear" w:color="auto" w:fill="CCEEFF"/>
            <w:tcMar>
              <w:top w:w="30" w:type="dxa"/>
              <w:left w:w="0" w:type="dxa"/>
              <w:bottom w:w="30" w:type="dxa"/>
              <w:right w:w="20" w:type="dxa"/>
            </w:tcMar>
            <w:vAlign w:val="center"/>
            <w:hideMark/>
          </w:tcPr>
          <w:p w14:paraId="28E7FD36" w14:textId="77777777" w:rsidR="00000000" w:rsidRDefault="00405D16">
            <w:pPr>
              <w:spacing w:after="100"/>
              <w:jc w:val="right"/>
              <w:rPr>
                <w:rFonts w:eastAsia="Times New Roman"/>
              </w:rPr>
            </w:pPr>
          </w:p>
        </w:tc>
        <w:tc>
          <w:tcPr>
            <w:tcW w:w="0" w:type="auto"/>
            <w:gridSpan w:val="3"/>
            <w:vAlign w:val="center"/>
            <w:hideMark/>
          </w:tcPr>
          <w:p w14:paraId="66E9D1B0" w14:textId="77777777" w:rsidR="00000000" w:rsidRDefault="00405D16">
            <w:pPr>
              <w:spacing w:after="100"/>
              <w:jc w:val="right"/>
              <w:rPr>
                <w:rFonts w:eastAsia="Times New Roman"/>
                <w:sz w:val="20"/>
                <w:szCs w:val="20"/>
              </w:rPr>
            </w:pPr>
          </w:p>
        </w:tc>
        <w:tc>
          <w:tcPr>
            <w:tcW w:w="0" w:type="auto"/>
            <w:gridSpan w:val="3"/>
            <w:vAlign w:val="center"/>
            <w:hideMark/>
          </w:tcPr>
          <w:p w14:paraId="331E3B4F" w14:textId="77777777" w:rsidR="00000000" w:rsidRDefault="00405D16">
            <w:pPr>
              <w:spacing w:after="100"/>
              <w:rPr>
                <w:rFonts w:eastAsia="Times New Roman"/>
                <w:sz w:val="20"/>
                <w:szCs w:val="20"/>
              </w:rPr>
            </w:pPr>
          </w:p>
        </w:tc>
      </w:tr>
      <w:tr w:rsidR="00000000" w14:paraId="5114B5EF" w14:textId="77777777">
        <w:trPr>
          <w:divId w:val="402947182"/>
        </w:trPr>
        <w:tc>
          <w:tcPr>
            <w:tcW w:w="0" w:type="auto"/>
            <w:gridSpan w:val="3"/>
            <w:shd w:val="clear" w:color="auto" w:fill="FFFFFF"/>
            <w:tcMar>
              <w:top w:w="30" w:type="dxa"/>
              <w:left w:w="245" w:type="dxa"/>
              <w:bottom w:w="30" w:type="dxa"/>
              <w:right w:w="20" w:type="dxa"/>
            </w:tcMar>
            <w:vAlign w:val="center"/>
            <w:hideMark/>
          </w:tcPr>
          <w:p w14:paraId="13F8402A" w14:textId="77777777" w:rsidR="00000000" w:rsidRDefault="00405D16">
            <w:pPr>
              <w:spacing w:after="100"/>
              <w:rPr>
                <w:rFonts w:eastAsia="Times New Roman"/>
              </w:rPr>
            </w:pPr>
            <w:r>
              <w:rPr>
                <w:rFonts w:eastAsia="Times New Roman"/>
                <w:color w:val="000000"/>
                <w:sz w:val="16"/>
                <w:szCs w:val="16"/>
              </w:rPr>
              <w:t>Changes in other liabilities</w:t>
            </w:r>
          </w:p>
        </w:tc>
        <w:tc>
          <w:tcPr>
            <w:tcW w:w="0" w:type="auto"/>
            <w:gridSpan w:val="3"/>
            <w:shd w:val="clear" w:color="auto" w:fill="FFFFFF"/>
            <w:tcMar>
              <w:top w:w="0" w:type="dxa"/>
              <w:left w:w="20" w:type="dxa"/>
              <w:bottom w:w="0" w:type="dxa"/>
              <w:right w:w="20" w:type="dxa"/>
            </w:tcMar>
            <w:vAlign w:val="center"/>
            <w:hideMark/>
          </w:tcPr>
          <w:p w14:paraId="35C24D0C"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A128B44" w14:textId="77777777" w:rsidR="00000000" w:rsidRDefault="00405D16">
            <w:pPr>
              <w:spacing w:after="100"/>
              <w:jc w:val="right"/>
              <w:rPr>
                <w:rFonts w:eastAsia="Times New Roman"/>
              </w:rPr>
            </w:pPr>
            <w:r>
              <w:rPr>
                <w:rFonts w:eastAsia="Times New Roman"/>
                <w:b/>
                <w:bCs/>
                <w:color w:val="000000"/>
                <w:sz w:val="16"/>
                <w:szCs w:val="16"/>
              </w:rPr>
              <w:t>2,211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34759B9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DF2C0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2A7D9A8" w14:textId="77777777" w:rsidR="00000000" w:rsidRDefault="00405D16">
            <w:pPr>
              <w:spacing w:after="100"/>
              <w:jc w:val="right"/>
              <w:rPr>
                <w:rFonts w:eastAsia="Times New Roman"/>
              </w:rPr>
            </w:pPr>
            <w:r>
              <w:rPr>
                <w:rFonts w:eastAsia="Times New Roman"/>
                <w:color w:val="000000"/>
                <w:sz w:val="16"/>
                <w:szCs w:val="16"/>
              </w:rPr>
              <w:t>785 </w:t>
            </w:r>
          </w:p>
        </w:tc>
        <w:tc>
          <w:tcPr>
            <w:tcW w:w="0" w:type="auto"/>
            <w:shd w:val="clear" w:color="auto" w:fill="FFFFFF"/>
            <w:tcMar>
              <w:top w:w="30" w:type="dxa"/>
              <w:left w:w="0" w:type="dxa"/>
              <w:bottom w:w="30" w:type="dxa"/>
              <w:right w:w="20" w:type="dxa"/>
            </w:tcMar>
            <w:vAlign w:val="center"/>
            <w:hideMark/>
          </w:tcPr>
          <w:p w14:paraId="2C56042F" w14:textId="77777777" w:rsidR="00000000" w:rsidRDefault="00405D16">
            <w:pPr>
              <w:spacing w:after="100"/>
              <w:jc w:val="right"/>
              <w:rPr>
                <w:rFonts w:eastAsia="Times New Roman"/>
              </w:rPr>
            </w:pPr>
          </w:p>
        </w:tc>
        <w:tc>
          <w:tcPr>
            <w:tcW w:w="0" w:type="auto"/>
            <w:gridSpan w:val="3"/>
            <w:vAlign w:val="center"/>
            <w:hideMark/>
          </w:tcPr>
          <w:p w14:paraId="7AEB462E" w14:textId="77777777" w:rsidR="00000000" w:rsidRDefault="00405D16">
            <w:pPr>
              <w:spacing w:after="100"/>
              <w:jc w:val="right"/>
              <w:rPr>
                <w:rFonts w:eastAsia="Times New Roman"/>
                <w:sz w:val="20"/>
                <w:szCs w:val="20"/>
              </w:rPr>
            </w:pPr>
          </w:p>
        </w:tc>
        <w:tc>
          <w:tcPr>
            <w:tcW w:w="0" w:type="auto"/>
            <w:gridSpan w:val="3"/>
            <w:vAlign w:val="center"/>
            <w:hideMark/>
          </w:tcPr>
          <w:p w14:paraId="2EF03B03" w14:textId="77777777" w:rsidR="00000000" w:rsidRDefault="00405D16">
            <w:pPr>
              <w:spacing w:after="100"/>
              <w:rPr>
                <w:rFonts w:eastAsia="Times New Roman"/>
                <w:sz w:val="20"/>
                <w:szCs w:val="20"/>
              </w:rPr>
            </w:pPr>
          </w:p>
        </w:tc>
      </w:tr>
      <w:tr w:rsidR="00000000" w14:paraId="43CB791D" w14:textId="77777777">
        <w:trPr>
          <w:divId w:val="402947182"/>
        </w:trPr>
        <w:tc>
          <w:tcPr>
            <w:tcW w:w="0" w:type="auto"/>
            <w:gridSpan w:val="3"/>
            <w:shd w:val="clear" w:color="auto" w:fill="CCEEFF"/>
            <w:tcMar>
              <w:top w:w="30" w:type="dxa"/>
              <w:left w:w="20" w:type="dxa"/>
              <w:bottom w:w="30" w:type="dxa"/>
              <w:right w:w="20" w:type="dxa"/>
            </w:tcMar>
            <w:vAlign w:val="center"/>
            <w:hideMark/>
          </w:tcPr>
          <w:p w14:paraId="2294757B" w14:textId="77777777" w:rsidR="00000000" w:rsidRDefault="00405D16">
            <w:pPr>
              <w:spacing w:after="100"/>
              <w:rPr>
                <w:rFonts w:eastAsia="Times New Roman"/>
              </w:rPr>
            </w:pPr>
            <w:r>
              <w:rPr>
                <w:rFonts w:eastAsia="Times New Roman"/>
                <w:color w:val="000000"/>
                <w:sz w:val="16"/>
                <w:szCs w:val="16"/>
              </w:rPr>
              <w:t>Net change from discontinued operations</w:t>
            </w:r>
          </w:p>
        </w:tc>
        <w:tc>
          <w:tcPr>
            <w:tcW w:w="0" w:type="auto"/>
            <w:gridSpan w:val="3"/>
            <w:shd w:val="clear" w:color="auto" w:fill="CCEEFF"/>
            <w:tcMar>
              <w:top w:w="0" w:type="dxa"/>
              <w:left w:w="20" w:type="dxa"/>
              <w:bottom w:w="0" w:type="dxa"/>
              <w:right w:w="20" w:type="dxa"/>
            </w:tcMar>
            <w:vAlign w:val="center"/>
            <w:hideMark/>
          </w:tcPr>
          <w:p w14:paraId="346BB97D"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3B7C708" w14:textId="77777777" w:rsidR="00000000" w:rsidRDefault="00405D16">
            <w:pPr>
              <w:spacing w:after="100"/>
              <w:jc w:val="right"/>
              <w:rPr>
                <w:rFonts w:eastAsia="Times New Roman"/>
              </w:rPr>
            </w:pPr>
            <w:r>
              <w:rPr>
                <w:rFonts w:eastAsia="Times New Roman"/>
                <w:b/>
                <w:bCs/>
                <w:color w:val="000000"/>
                <w:sz w:val="16"/>
                <w:szCs w:val="16"/>
              </w:rPr>
              <w:t>(6)</w:t>
            </w:r>
          </w:p>
        </w:tc>
        <w:tc>
          <w:tcPr>
            <w:tcW w:w="0" w:type="auto"/>
            <w:shd w:val="clear" w:color="auto" w:fill="CCEEFF"/>
            <w:tcMar>
              <w:top w:w="30" w:type="dxa"/>
              <w:left w:w="0" w:type="dxa"/>
              <w:bottom w:w="30" w:type="dxa"/>
              <w:right w:w="20" w:type="dxa"/>
            </w:tcMar>
            <w:vAlign w:val="center"/>
            <w:hideMark/>
          </w:tcPr>
          <w:p w14:paraId="5C5B307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5FCFD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3B4B622" w14:textId="77777777" w:rsidR="00000000" w:rsidRDefault="00405D16">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center"/>
            <w:hideMark/>
          </w:tcPr>
          <w:p w14:paraId="06BC0016" w14:textId="77777777" w:rsidR="00000000" w:rsidRDefault="00405D16">
            <w:pPr>
              <w:spacing w:after="100"/>
              <w:jc w:val="right"/>
              <w:rPr>
                <w:rFonts w:eastAsia="Times New Roman"/>
              </w:rPr>
            </w:pPr>
          </w:p>
        </w:tc>
        <w:tc>
          <w:tcPr>
            <w:tcW w:w="0" w:type="auto"/>
            <w:gridSpan w:val="3"/>
            <w:vAlign w:val="center"/>
            <w:hideMark/>
          </w:tcPr>
          <w:p w14:paraId="755BF546" w14:textId="77777777" w:rsidR="00000000" w:rsidRDefault="00405D16">
            <w:pPr>
              <w:spacing w:after="100"/>
              <w:jc w:val="right"/>
              <w:rPr>
                <w:rFonts w:eastAsia="Times New Roman"/>
                <w:sz w:val="20"/>
                <w:szCs w:val="20"/>
              </w:rPr>
            </w:pPr>
          </w:p>
        </w:tc>
        <w:tc>
          <w:tcPr>
            <w:tcW w:w="0" w:type="auto"/>
            <w:gridSpan w:val="3"/>
            <w:vAlign w:val="center"/>
            <w:hideMark/>
          </w:tcPr>
          <w:p w14:paraId="63DD81DA" w14:textId="77777777" w:rsidR="00000000" w:rsidRDefault="00405D16">
            <w:pPr>
              <w:spacing w:after="100"/>
              <w:rPr>
                <w:rFonts w:eastAsia="Times New Roman"/>
                <w:sz w:val="20"/>
                <w:szCs w:val="20"/>
              </w:rPr>
            </w:pPr>
          </w:p>
        </w:tc>
      </w:tr>
      <w:tr w:rsidR="00000000" w14:paraId="58EA2E90" w14:textId="77777777">
        <w:trPr>
          <w:divId w:val="402947182"/>
        </w:trPr>
        <w:tc>
          <w:tcPr>
            <w:tcW w:w="0" w:type="auto"/>
            <w:gridSpan w:val="3"/>
            <w:shd w:val="clear" w:color="auto" w:fill="FFFFFF"/>
            <w:tcMar>
              <w:top w:w="30" w:type="dxa"/>
              <w:left w:w="20" w:type="dxa"/>
              <w:bottom w:w="30" w:type="dxa"/>
              <w:right w:w="20" w:type="dxa"/>
            </w:tcMar>
            <w:vAlign w:val="center"/>
            <w:hideMark/>
          </w:tcPr>
          <w:p w14:paraId="6FF21D1B" w14:textId="77777777" w:rsidR="00000000" w:rsidRDefault="00405D16">
            <w:pPr>
              <w:spacing w:after="100"/>
              <w:rPr>
                <w:rFonts w:eastAsia="Times New Roman"/>
              </w:rPr>
            </w:pPr>
            <w:r>
              <w:rPr>
                <w:rFonts w:eastAsia="Times New Roman"/>
                <w:b/>
                <w:bCs/>
                <w:color w:val="000000"/>
                <w:sz w:val="16"/>
                <w:szCs w:val="16"/>
              </w:rPr>
              <w:t>Net cash from operating activities</w:t>
            </w:r>
          </w:p>
        </w:tc>
        <w:tc>
          <w:tcPr>
            <w:tcW w:w="0" w:type="auto"/>
            <w:gridSpan w:val="3"/>
            <w:shd w:val="clear" w:color="auto" w:fill="FFFFFF"/>
            <w:tcMar>
              <w:top w:w="0" w:type="dxa"/>
              <w:left w:w="20" w:type="dxa"/>
              <w:bottom w:w="0" w:type="dxa"/>
              <w:right w:w="20" w:type="dxa"/>
            </w:tcMar>
            <w:vAlign w:val="center"/>
            <w:hideMark/>
          </w:tcPr>
          <w:p w14:paraId="36539144"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EF8AC4E" w14:textId="77777777" w:rsidR="00000000" w:rsidRDefault="00405D16">
            <w:pPr>
              <w:spacing w:after="100"/>
              <w:jc w:val="right"/>
              <w:rPr>
                <w:rFonts w:eastAsia="Times New Roman"/>
              </w:rPr>
            </w:pPr>
            <w:r>
              <w:rPr>
                <w:rFonts w:eastAsia="Times New Roman"/>
                <w:b/>
                <w:bCs/>
                <w:color w:val="000000"/>
                <w:sz w:val="16"/>
                <w:szCs w:val="16"/>
              </w:rPr>
              <w:t>7,648</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4F6F49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113C69"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D476AE7" w14:textId="77777777" w:rsidR="00000000" w:rsidRDefault="00405D16">
            <w:pPr>
              <w:spacing w:after="100"/>
              <w:jc w:val="right"/>
              <w:rPr>
                <w:rFonts w:eastAsia="Times New Roman"/>
              </w:rPr>
            </w:pPr>
            <w:r>
              <w:rPr>
                <w:rFonts w:eastAsia="Times New Roman"/>
                <w:color w:val="000000"/>
                <w:sz w:val="16"/>
                <w:szCs w:val="16"/>
              </w:rPr>
              <w:t>12,072 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7DCE2FA" w14:textId="77777777" w:rsidR="00000000" w:rsidRDefault="00405D16">
            <w:pPr>
              <w:spacing w:after="100"/>
              <w:jc w:val="right"/>
              <w:rPr>
                <w:rFonts w:eastAsia="Times New Roman"/>
              </w:rPr>
            </w:pPr>
          </w:p>
        </w:tc>
        <w:tc>
          <w:tcPr>
            <w:tcW w:w="0" w:type="auto"/>
            <w:gridSpan w:val="3"/>
            <w:vAlign w:val="center"/>
            <w:hideMark/>
          </w:tcPr>
          <w:p w14:paraId="6FFC8076" w14:textId="77777777" w:rsidR="00000000" w:rsidRDefault="00405D16">
            <w:pPr>
              <w:spacing w:after="100"/>
              <w:jc w:val="right"/>
              <w:rPr>
                <w:rFonts w:eastAsia="Times New Roman"/>
                <w:sz w:val="20"/>
                <w:szCs w:val="20"/>
              </w:rPr>
            </w:pPr>
          </w:p>
        </w:tc>
        <w:tc>
          <w:tcPr>
            <w:tcW w:w="0" w:type="auto"/>
            <w:gridSpan w:val="3"/>
            <w:vAlign w:val="center"/>
            <w:hideMark/>
          </w:tcPr>
          <w:p w14:paraId="44D92195" w14:textId="77777777" w:rsidR="00000000" w:rsidRDefault="00405D16">
            <w:pPr>
              <w:spacing w:after="100"/>
              <w:rPr>
                <w:rFonts w:eastAsia="Times New Roman"/>
                <w:sz w:val="20"/>
                <w:szCs w:val="20"/>
              </w:rPr>
            </w:pPr>
          </w:p>
        </w:tc>
      </w:tr>
      <w:tr w:rsidR="00000000" w14:paraId="773420B0" w14:textId="77777777">
        <w:trPr>
          <w:divId w:val="402947182"/>
        </w:trPr>
        <w:tc>
          <w:tcPr>
            <w:tcW w:w="0" w:type="auto"/>
            <w:gridSpan w:val="3"/>
            <w:shd w:val="clear" w:color="auto" w:fill="CCEEFF"/>
            <w:tcMar>
              <w:top w:w="30" w:type="dxa"/>
              <w:left w:w="20" w:type="dxa"/>
              <w:bottom w:w="30" w:type="dxa"/>
              <w:right w:w="20" w:type="dxa"/>
            </w:tcMar>
            <w:vAlign w:val="center"/>
            <w:hideMark/>
          </w:tcPr>
          <w:p w14:paraId="2B09378F" w14:textId="77777777" w:rsidR="00000000" w:rsidRDefault="00405D16">
            <w:pPr>
              <w:spacing w:after="100"/>
              <w:rPr>
                <w:rFonts w:eastAsia="Times New Roman"/>
              </w:rPr>
            </w:pPr>
            <w:r>
              <w:rPr>
                <w:rFonts w:eastAsia="Times New Roman"/>
                <w:b/>
                <w:bCs/>
                <w:color w:val="000000"/>
                <w:sz w:val="16"/>
                <w:szCs w:val="16"/>
              </w:rPr>
              <w:t>Investing activities:</w:t>
            </w:r>
          </w:p>
        </w:tc>
        <w:tc>
          <w:tcPr>
            <w:tcW w:w="0" w:type="auto"/>
            <w:gridSpan w:val="3"/>
            <w:shd w:val="clear" w:color="auto" w:fill="CCEEFF"/>
            <w:tcMar>
              <w:top w:w="0" w:type="dxa"/>
              <w:left w:w="20" w:type="dxa"/>
              <w:bottom w:w="0" w:type="dxa"/>
              <w:right w:w="20" w:type="dxa"/>
            </w:tcMar>
            <w:vAlign w:val="center"/>
            <w:hideMark/>
          </w:tcPr>
          <w:p w14:paraId="1BA53C59"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D08DC2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F38CE1"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570681B" w14:textId="77777777" w:rsidR="00000000" w:rsidRDefault="00405D16">
            <w:pPr>
              <w:spacing w:after="100"/>
              <w:rPr>
                <w:rFonts w:eastAsia="Times New Roman"/>
                <w:sz w:val="20"/>
                <w:szCs w:val="20"/>
              </w:rPr>
            </w:pPr>
          </w:p>
        </w:tc>
        <w:tc>
          <w:tcPr>
            <w:tcW w:w="0" w:type="auto"/>
            <w:gridSpan w:val="3"/>
            <w:vAlign w:val="center"/>
            <w:hideMark/>
          </w:tcPr>
          <w:p w14:paraId="2456C1E1" w14:textId="77777777" w:rsidR="00000000" w:rsidRDefault="00405D16">
            <w:pPr>
              <w:spacing w:after="100"/>
              <w:rPr>
                <w:rFonts w:eastAsia="Times New Roman"/>
                <w:sz w:val="20"/>
                <w:szCs w:val="20"/>
              </w:rPr>
            </w:pPr>
          </w:p>
        </w:tc>
        <w:tc>
          <w:tcPr>
            <w:tcW w:w="0" w:type="auto"/>
            <w:gridSpan w:val="3"/>
            <w:vAlign w:val="center"/>
            <w:hideMark/>
          </w:tcPr>
          <w:p w14:paraId="2F58A80F" w14:textId="77777777" w:rsidR="00000000" w:rsidRDefault="00405D16">
            <w:pPr>
              <w:spacing w:after="100"/>
              <w:rPr>
                <w:rFonts w:eastAsia="Times New Roman"/>
                <w:sz w:val="20"/>
                <w:szCs w:val="20"/>
              </w:rPr>
            </w:pPr>
          </w:p>
        </w:tc>
      </w:tr>
      <w:tr w:rsidR="00000000" w14:paraId="1DE675E4" w14:textId="77777777">
        <w:trPr>
          <w:divId w:val="402947182"/>
        </w:trPr>
        <w:tc>
          <w:tcPr>
            <w:tcW w:w="0" w:type="auto"/>
            <w:gridSpan w:val="3"/>
            <w:vAlign w:val="center"/>
            <w:hideMark/>
          </w:tcPr>
          <w:p w14:paraId="25D6E697" w14:textId="77777777" w:rsidR="00000000" w:rsidRDefault="00405D16">
            <w:pPr>
              <w:spacing w:after="100"/>
              <w:rPr>
                <w:rFonts w:eastAsia="Times New Roman"/>
                <w:sz w:val="20"/>
                <w:szCs w:val="20"/>
              </w:rPr>
            </w:pPr>
          </w:p>
        </w:tc>
        <w:tc>
          <w:tcPr>
            <w:tcW w:w="0" w:type="auto"/>
            <w:gridSpan w:val="3"/>
            <w:vAlign w:val="center"/>
            <w:hideMark/>
          </w:tcPr>
          <w:p w14:paraId="40590300" w14:textId="77777777" w:rsidR="00000000" w:rsidRDefault="00405D16">
            <w:pPr>
              <w:spacing w:after="100"/>
              <w:rPr>
                <w:rFonts w:eastAsia="Times New Roman"/>
                <w:sz w:val="20"/>
                <w:szCs w:val="20"/>
              </w:rPr>
            </w:pPr>
          </w:p>
        </w:tc>
        <w:tc>
          <w:tcPr>
            <w:tcW w:w="0" w:type="auto"/>
            <w:gridSpan w:val="3"/>
            <w:vAlign w:val="center"/>
            <w:hideMark/>
          </w:tcPr>
          <w:p w14:paraId="31D4F02A" w14:textId="77777777" w:rsidR="00000000" w:rsidRDefault="00405D16">
            <w:pPr>
              <w:spacing w:after="100"/>
              <w:rPr>
                <w:rFonts w:eastAsia="Times New Roman"/>
                <w:sz w:val="20"/>
                <w:szCs w:val="20"/>
              </w:rPr>
            </w:pPr>
          </w:p>
        </w:tc>
        <w:tc>
          <w:tcPr>
            <w:tcW w:w="0" w:type="auto"/>
            <w:gridSpan w:val="3"/>
            <w:vAlign w:val="center"/>
            <w:hideMark/>
          </w:tcPr>
          <w:p w14:paraId="510E5AF1" w14:textId="77777777" w:rsidR="00000000" w:rsidRDefault="00405D16">
            <w:pPr>
              <w:spacing w:after="100"/>
              <w:rPr>
                <w:rFonts w:eastAsia="Times New Roman"/>
                <w:sz w:val="20"/>
                <w:szCs w:val="20"/>
              </w:rPr>
            </w:pPr>
          </w:p>
        </w:tc>
        <w:tc>
          <w:tcPr>
            <w:tcW w:w="0" w:type="auto"/>
            <w:gridSpan w:val="3"/>
            <w:vAlign w:val="center"/>
            <w:hideMark/>
          </w:tcPr>
          <w:p w14:paraId="2EC3A7AB" w14:textId="77777777" w:rsidR="00000000" w:rsidRDefault="00405D16">
            <w:pPr>
              <w:spacing w:after="100"/>
              <w:rPr>
                <w:rFonts w:eastAsia="Times New Roman"/>
                <w:sz w:val="20"/>
                <w:szCs w:val="20"/>
              </w:rPr>
            </w:pPr>
          </w:p>
        </w:tc>
        <w:tc>
          <w:tcPr>
            <w:tcW w:w="0" w:type="auto"/>
            <w:gridSpan w:val="3"/>
            <w:vAlign w:val="center"/>
            <w:hideMark/>
          </w:tcPr>
          <w:p w14:paraId="230415FA" w14:textId="77777777" w:rsidR="00000000" w:rsidRDefault="00405D16">
            <w:pPr>
              <w:spacing w:after="100"/>
              <w:rPr>
                <w:rFonts w:eastAsia="Times New Roman"/>
                <w:sz w:val="20"/>
                <w:szCs w:val="20"/>
              </w:rPr>
            </w:pPr>
          </w:p>
        </w:tc>
        <w:tc>
          <w:tcPr>
            <w:tcW w:w="0" w:type="auto"/>
            <w:gridSpan w:val="3"/>
            <w:vAlign w:val="center"/>
            <w:hideMark/>
          </w:tcPr>
          <w:p w14:paraId="6ECBDCE7" w14:textId="77777777" w:rsidR="00000000" w:rsidRDefault="00405D16">
            <w:pPr>
              <w:spacing w:after="100"/>
              <w:rPr>
                <w:rFonts w:eastAsia="Times New Roman"/>
                <w:sz w:val="20"/>
                <w:szCs w:val="20"/>
              </w:rPr>
            </w:pPr>
          </w:p>
        </w:tc>
      </w:tr>
      <w:tr w:rsidR="00000000" w14:paraId="1F6E196F" w14:textId="77777777">
        <w:trPr>
          <w:divId w:val="402947182"/>
        </w:trPr>
        <w:tc>
          <w:tcPr>
            <w:tcW w:w="0" w:type="auto"/>
            <w:gridSpan w:val="3"/>
            <w:shd w:val="clear" w:color="auto" w:fill="FFFFFF"/>
            <w:tcMar>
              <w:top w:w="30" w:type="dxa"/>
              <w:left w:w="20" w:type="dxa"/>
              <w:bottom w:w="30" w:type="dxa"/>
              <w:right w:w="20" w:type="dxa"/>
            </w:tcMar>
            <w:vAlign w:val="center"/>
            <w:hideMark/>
          </w:tcPr>
          <w:p w14:paraId="2D457BEE" w14:textId="77777777" w:rsidR="00000000" w:rsidRDefault="00405D16">
            <w:pPr>
              <w:spacing w:after="100"/>
              <w:rPr>
                <w:rFonts w:eastAsia="Times New Roman"/>
              </w:rPr>
            </w:pPr>
            <w:r>
              <w:rPr>
                <w:rFonts w:eastAsia="Times New Roman"/>
                <w:color w:val="000000"/>
                <w:sz w:val="16"/>
                <w:szCs w:val="16"/>
              </w:rPr>
              <w:t>Securities available for sale:</w:t>
            </w:r>
          </w:p>
        </w:tc>
        <w:tc>
          <w:tcPr>
            <w:tcW w:w="0" w:type="auto"/>
            <w:gridSpan w:val="3"/>
            <w:shd w:val="clear" w:color="auto" w:fill="FFFFFF"/>
            <w:tcMar>
              <w:top w:w="0" w:type="dxa"/>
              <w:left w:w="20" w:type="dxa"/>
              <w:bottom w:w="0" w:type="dxa"/>
              <w:right w:w="20" w:type="dxa"/>
            </w:tcMar>
            <w:vAlign w:val="center"/>
            <w:hideMark/>
          </w:tcPr>
          <w:p w14:paraId="5DB0139B"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ECF95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26B59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10DE55" w14:textId="77777777" w:rsidR="00000000" w:rsidRDefault="00405D16">
            <w:pPr>
              <w:spacing w:after="100"/>
              <w:rPr>
                <w:rFonts w:eastAsia="Times New Roman"/>
                <w:sz w:val="20"/>
                <w:szCs w:val="20"/>
              </w:rPr>
            </w:pPr>
          </w:p>
        </w:tc>
        <w:tc>
          <w:tcPr>
            <w:tcW w:w="0" w:type="auto"/>
            <w:gridSpan w:val="3"/>
            <w:vAlign w:val="center"/>
            <w:hideMark/>
          </w:tcPr>
          <w:p w14:paraId="562E4E7A" w14:textId="77777777" w:rsidR="00000000" w:rsidRDefault="00405D16">
            <w:pPr>
              <w:spacing w:after="100"/>
              <w:rPr>
                <w:rFonts w:eastAsia="Times New Roman"/>
                <w:sz w:val="20"/>
                <w:szCs w:val="20"/>
              </w:rPr>
            </w:pPr>
          </w:p>
        </w:tc>
        <w:tc>
          <w:tcPr>
            <w:tcW w:w="0" w:type="auto"/>
            <w:gridSpan w:val="3"/>
            <w:vAlign w:val="center"/>
            <w:hideMark/>
          </w:tcPr>
          <w:p w14:paraId="498571DD" w14:textId="77777777" w:rsidR="00000000" w:rsidRDefault="00405D16">
            <w:pPr>
              <w:spacing w:after="100"/>
              <w:rPr>
                <w:rFonts w:eastAsia="Times New Roman"/>
                <w:sz w:val="20"/>
                <w:szCs w:val="20"/>
              </w:rPr>
            </w:pPr>
          </w:p>
        </w:tc>
      </w:tr>
      <w:tr w:rsidR="00000000" w14:paraId="45B8ECFD" w14:textId="77777777">
        <w:trPr>
          <w:divId w:val="402947182"/>
        </w:trPr>
        <w:tc>
          <w:tcPr>
            <w:tcW w:w="0" w:type="auto"/>
            <w:gridSpan w:val="3"/>
            <w:shd w:val="clear" w:color="auto" w:fill="CCEEFF"/>
            <w:tcMar>
              <w:top w:w="30" w:type="dxa"/>
              <w:left w:w="245" w:type="dxa"/>
              <w:bottom w:w="30" w:type="dxa"/>
              <w:right w:w="20" w:type="dxa"/>
            </w:tcMar>
            <w:vAlign w:val="center"/>
            <w:hideMark/>
          </w:tcPr>
          <w:p w14:paraId="5DD26B3F" w14:textId="77777777" w:rsidR="00000000" w:rsidRDefault="00405D16">
            <w:pPr>
              <w:spacing w:after="100"/>
              <w:rPr>
                <w:rFonts w:eastAsia="Times New Roman"/>
              </w:rPr>
            </w:pPr>
            <w:r>
              <w:rPr>
                <w:rFonts w:eastAsia="Times New Roman"/>
                <w:color w:val="000000"/>
                <w:sz w:val="16"/>
                <w:szCs w:val="16"/>
              </w:rPr>
              <w:t>Purchases</w:t>
            </w:r>
          </w:p>
        </w:tc>
        <w:tc>
          <w:tcPr>
            <w:tcW w:w="0" w:type="auto"/>
            <w:gridSpan w:val="3"/>
            <w:shd w:val="clear" w:color="auto" w:fill="CCEEFF"/>
            <w:tcMar>
              <w:top w:w="0" w:type="dxa"/>
              <w:left w:w="20" w:type="dxa"/>
              <w:bottom w:w="0" w:type="dxa"/>
              <w:right w:w="20" w:type="dxa"/>
            </w:tcMar>
            <w:vAlign w:val="center"/>
            <w:hideMark/>
          </w:tcPr>
          <w:p w14:paraId="6C694B5E"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E7D3C2D" w14:textId="77777777" w:rsidR="00000000" w:rsidRDefault="00405D16">
            <w:pPr>
              <w:spacing w:after="100"/>
              <w:jc w:val="right"/>
              <w:rPr>
                <w:rFonts w:eastAsia="Times New Roman"/>
              </w:rPr>
            </w:pPr>
            <w:r>
              <w:rPr>
                <w:rFonts w:eastAsia="Times New Roman"/>
                <w:b/>
                <w:bCs/>
                <w:color w:val="000000"/>
                <w:sz w:val="16"/>
                <w:szCs w:val="16"/>
              </w:rPr>
              <w:t>(21,951)</w:t>
            </w:r>
          </w:p>
        </w:tc>
        <w:tc>
          <w:tcPr>
            <w:tcW w:w="0" w:type="auto"/>
            <w:shd w:val="clear" w:color="auto" w:fill="CCEEFF"/>
            <w:tcMar>
              <w:top w:w="30" w:type="dxa"/>
              <w:left w:w="0" w:type="dxa"/>
              <w:bottom w:w="30" w:type="dxa"/>
              <w:right w:w="20" w:type="dxa"/>
            </w:tcMar>
            <w:vAlign w:val="center"/>
            <w:hideMark/>
          </w:tcPr>
          <w:p w14:paraId="457A5AE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FDE72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4995C20" w14:textId="77777777" w:rsidR="00000000" w:rsidRDefault="00405D16">
            <w:pPr>
              <w:spacing w:after="100"/>
              <w:jc w:val="right"/>
              <w:rPr>
                <w:rFonts w:eastAsia="Times New Roman"/>
              </w:rPr>
            </w:pPr>
            <w:r>
              <w:rPr>
                <w:rFonts w:eastAsia="Times New Roman"/>
                <w:color w:val="000000"/>
                <w:sz w:val="16"/>
                <w:szCs w:val="16"/>
              </w:rPr>
              <w:t>(35,189)</w:t>
            </w:r>
          </w:p>
        </w:tc>
        <w:tc>
          <w:tcPr>
            <w:tcW w:w="0" w:type="auto"/>
            <w:shd w:val="clear" w:color="auto" w:fill="CCEEFF"/>
            <w:tcMar>
              <w:top w:w="30" w:type="dxa"/>
              <w:left w:w="0" w:type="dxa"/>
              <w:bottom w:w="30" w:type="dxa"/>
              <w:right w:w="20" w:type="dxa"/>
            </w:tcMar>
            <w:vAlign w:val="center"/>
            <w:hideMark/>
          </w:tcPr>
          <w:p w14:paraId="0A6FD767" w14:textId="77777777" w:rsidR="00000000" w:rsidRDefault="00405D16">
            <w:pPr>
              <w:spacing w:after="100"/>
              <w:jc w:val="right"/>
              <w:rPr>
                <w:rFonts w:eastAsia="Times New Roman"/>
              </w:rPr>
            </w:pPr>
          </w:p>
        </w:tc>
        <w:tc>
          <w:tcPr>
            <w:tcW w:w="0" w:type="auto"/>
            <w:gridSpan w:val="3"/>
            <w:vAlign w:val="center"/>
            <w:hideMark/>
          </w:tcPr>
          <w:p w14:paraId="7FA72F1F" w14:textId="77777777" w:rsidR="00000000" w:rsidRDefault="00405D16">
            <w:pPr>
              <w:spacing w:after="100"/>
              <w:jc w:val="right"/>
              <w:rPr>
                <w:rFonts w:eastAsia="Times New Roman"/>
                <w:sz w:val="20"/>
                <w:szCs w:val="20"/>
              </w:rPr>
            </w:pPr>
          </w:p>
        </w:tc>
        <w:tc>
          <w:tcPr>
            <w:tcW w:w="0" w:type="auto"/>
            <w:gridSpan w:val="3"/>
            <w:vAlign w:val="center"/>
            <w:hideMark/>
          </w:tcPr>
          <w:p w14:paraId="4BC7A95B" w14:textId="77777777" w:rsidR="00000000" w:rsidRDefault="00405D16">
            <w:pPr>
              <w:spacing w:after="100"/>
              <w:rPr>
                <w:rFonts w:eastAsia="Times New Roman"/>
                <w:sz w:val="20"/>
                <w:szCs w:val="20"/>
              </w:rPr>
            </w:pPr>
          </w:p>
        </w:tc>
      </w:tr>
      <w:tr w:rsidR="00000000" w14:paraId="19B7732D" w14:textId="77777777">
        <w:trPr>
          <w:divId w:val="402947182"/>
        </w:trPr>
        <w:tc>
          <w:tcPr>
            <w:tcW w:w="0" w:type="auto"/>
            <w:gridSpan w:val="3"/>
            <w:shd w:val="clear" w:color="auto" w:fill="FFFFFF"/>
            <w:tcMar>
              <w:top w:w="30" w:type="dxa"/>
              <w:left w:w="245" w:type="dxa"/>
              <w:bottom w:w="30" w:type="dxa"/>
              <w:right w:w="20" w:type="dxa"/>
            </w:tcMar>
            <w:vAlign w:val="center"/>
            <w:hideMark/>
          </w:tcPr>
          <w:p w14:paraId="62687316" w14:textId="77777777" w:rsidR="00000000" w:rsidRDefault="00405D16">
            <w:pPr>
              <w:spacing w:after="100"/>
              <w:rPr>
                <w:rFonts w:eastAsia="Times New Roman"/>
              </w:rPr>
            </w:pPr>
            <w:r>
              <w:rPr>
                <w:rFonts w:eastAsia="Times New Roman"/>
                <w:color w:val="000000"/>
                <w:sz w:val="16"/>
                <w:szCs w:val="16"/>
              </w:rPr>
              <w:t>Proceeds from paydowns and maturities</w:t>
            </w:r>
          </w:p>
        </w:tc>
        <w:tc>
          <w:tcPr>
            <w:tcW w:w="0" w:type="auto"/>
            <w:gridSpan w:val="3"/>
            <w:shd w:val="clear" w:color="auto" w:fill="FFFFFF"/>
            <w:tcMar>
              <w:top w:w="0" w:type="dxa"/>
              <w:left w:w="20" w:type="dxa"/>
              <w:bottom w:w="0" w:type="dxa"/>
              <w:right w:w="20" w:type="dxa"/>
            </w:tcMar>
            <w:vAlign w:val="center"/>
            <w:hideMark/>
          </w:tcPr>
          <w:p w14:paraId="5C13F047"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3F5B31B" w14:textId="77777777" w:rsidR="00000000" w:rsidRDefault="00405D16">
            <w:pPr>
              <w:spacing w:after="100"/>
              <w:jc w:val="right"/>
              <w:rPr>
                <w:rFonts w:eastAsia="Times New Roman"/>
              </w:rPr>
            </w:pPr>
            <w:r>
              <w:rPr>
                <w:rFonts w:eastAsia="Times New Roman"/>
                <w:b/>
                <w:bCs/>
                <w:color w:val="000000"/>
                <w:sz w:val="16"/>
                <w:szCs w:val="16"/>
              </w:rPr>
              <w:t>20,795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03E4C81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DCAD1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EE90E90" w14:textId="77777777" w:rsidR="00000000" w:rsidRDefault="00405D16">
            <w:pPr>
              <w:spacing w:after="100"/>
              <w:jc w:val="right"/>
              <w:rPr>
                <w:rFonts w:eastAsia="Times New Roman"/>
              </w:rPr>
            </w:pPr>
            <w:r>
              <w:rPr>
                <w:rFonts w:eastAsia="Times New Roman"/>
                <w:color w:val="000000"/>
                <w:sz w:val="16"/>
                <w:szCs w:val="16"/>
              </w:rPr>
              <w:t>15,593 </w:t>
            </w:r>
          </w:p>
        </w:tc>
        <w:tc>
          <w:tcPr>
            <w:tcW w:w="0" w:type="auto"/>
            <w:shd w:val="clear" w:color="auto" w:fill="FFFFFF"/>
            <w:tcMar>
              <w:top w:w="30" w:type="dxa"/>
              <w:left w:w="0" w:type="dxa"/>
              <w:bottom w:w="30" w:type="dxa"/>
              <w:right w:w="20" w:type="dxa"/>
            </w:tcMar>
            <w:vAlign w:val="center"/>
            <w:hideMark/>
          </w:tcPr>
          <w:p w14:paraId="4DE0A7F7" w14:textId="77777777" w:rsidR="00000000" w:rsidRDefault="00405D16">
            <w:pPr>
              <w:spacing w:after="100"/>
              <w:jc w:val="right"/>
              <w:rPr>
                <w:rFonts w:eastAsia="Times New Roman"/>
              </w:rPr>
            </w:pPr>
          </w:p>
        </w:tc>
        <w:tc>
          <w:tcPr>
            <w:tcW w:w="0" w:type="auto"/>
            <w:gridSpan w:val="3"/>
            <w:vAlign w:val="center"/>
            <w:hideMark/>
          </w:tcPr>
          <w:p w14:paraId="3E98A019" w14:textId="77777777" w:rsidR="00000000" w:rsidRDefault="00405D16">
            <w:pPr>
              <w:spacing w:after="100"/>
              <w:jc w:val="right"/>
              <w:rPr>
                <w:rFonts w:eastAsia="Times New Roman"/>
                <w:sz w:val="20"/>
                <w:szCs w:val="20"/>
              </w:rPr>
            </w:pPr>
          </w:p>
        </w:tc>
        <w:tc>
          <w:tcPr>
            <w:tcW w:w="0" w:type="auto"/>
            <w:gridSpan w:val="3"/>
            <w:vAlign w:val="center"/>
            <w:hideMark/>
          </w:tcPr>
          <w:p w14:paraId="0042B21B" w14:textId="77777777" w:rsidR="00000000" w:rsidRDefault="00405D16">
            <w:pPr>
              <w:spacing w:after="100"/>
              <w:rPr>
                <w:rFonts w:eastAsia="Times New Roman"/>
                <w:sz w:val="20"/>
                <w:szCs w:val="20"/>
              </w:rPr>
            </w:pPr>
          </w:p>
        </w:tc>
      </w:tr>
      <w:tr w:rsidR="00000000" w14:paraId="5CF8B48D" w14:textId="77777777">
        <w:trPr>
          <w:divId w:val="402947182"/>
        </w:trPr>
        <w:tc>
          <w:tcPr>
            <w:tcW w:w="0" w:type="auto"/>
            <w:gridSpan w:val="3"/>
            <w:shd w:val="clear" w:color="auto" w:fill="CCEEFF"/>
            <w:tcMar>
              <w:top w:w="30" w:type="dxa"/>
              <w:left w:w="245" w:type="dxa"/>
              <w:bottom w:w="30" w:type="dxa"/>
              <w:right w:w="20" w:type="dxa"/>
            </w:tcMar>
            <w:vAlign w:val="center"/>
            <w:hideMark/>
          </w:tcPr>
          <w:p w14:paraId="2DCA5620" w14:textId="77777777" w:rsidR="00000000" w:rsidRDefault="00405D16">
            <w:pPr>
              <w:spacing w:after="100"/>
              <w:rPr>
                <w:rFonts w:eastAsia="Times New Roman"/>
              </w:rPr>
            </w:pPr>
            <w:r>
              <w:rPr>
                <w:rFonts w:eastAsia="Times New Roman"/>
                <w:color w:val="000000"/>
                <w:sz w:val="16"/>
                <w:szCs w:val="16"/>
              </w:rPr>
              <w:t>Proceeds from sales</w:t>
            </w:r>
          </w:p>
        </w:tc>
        <w:tc>
          <w:tcPr>
            <w:tcW w:w="0" w:type="auto"/>
            <w:gridSpan w:val="3"/>
            <w:shd w:val="clear" w:color="auto" w:fill="CCEEFF"/>
            <w:tcMar>
              <w:top w:w="0" w:type="dxa"/>
              <w:left w:w="20" w:type="dxa"/>
              <w:bottom w:w="0" w:type="dxa"/>
              <w:right w:w="20" w:type="dxa"/>
            </w:tcMar>
            <w:vAlign w:val="center"/>
            <w:hideMark/>
          </w:tcPr>
          <w:p w14:paraId="4656C420"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9AEDC04" w14:textId="77777777" w:rsidR="00000000" w:rsidRDefault="00405D16">
            <w:pPr>
              <w:spacing w:after="100"/>
              <w:jc w:val="right"/>
              <w:rPr>
                <w:rFonts w:eastAsia="Times New Roman"/>
              </w:rPr>
            </w:pPr>
            <w:r>
              <w:rPr>
                <w:rFonts w:eastAsia="Times New Roman"/>
                <w:b/>
                <w:bCs/>
                <w:color w:val="000000"/>
                <w:sz w:val="16"/>
                <w:szCs w:val="16"/>
              </w:rPr>
              <w:t>1,735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143B378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CD369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1B419D1" w14:textId="77777777" w:rsidR="00000000" w:rsidRDefault="00405D16">
            <w:pPr>
              <w:spacing w:after="100"/>
              <w:jc w:val="right"/>
              <w:rPr>
                <w:rFonts w:eastAsia="Times New Roman"/>
              </w:rPr>
            </w:pPr>
            <w:r>
              <w:rPr>
                <w:rFonts w:eastAsia="Times New Roman"/>
                <w:color w:val="000000"/>
                <w:sz w:val="16"/>
                <w:szCs w:val="16"/>
              </w:rPr>
              <w:t>812 </w:t>
            </w:r>
          </w:p>
        </w:tc>
        <w:tc>
          <w:tcPr>
            <w:tcW w:w="0" w:type="auto"/>
            <w:shd w:val="clear" w:color="auto" w:fill="CCEEFF"/>
            <w:tcMar>
              <w:top w:w="30" w:type="dxa"/>
              <w:left w:w="0" w:type="dxa"/>
              <w:bottom w:w="30" w:type="dxa"/>
              <w:right w:w="20" w:type="dxa"/>
            </w:tcMar>
            <w:vAlign w:val="center"/>
            <w:hideMark/>
          </w:tcPr>
          <w:p w14:paraId="554F5465" w14:textId="77777777" w:rsidR="00000000" w:rsidRDefault="00405D16">
            <w:pPr>
              <w:spacing w:after="100"/>
              <w:jc w:val="right"/>
              <w:rPr>
                <w:rFonts w:eastAsia="Times New Roman"/>
              </w:rPr>
            </w:pPr>
          </w:p>
        </w:tc>
        <w:tc>
          <w:tcPr>
            <w:tcW w:w="0" w:type="auto"/>
            <w:gridSpan w:val="3"/>
            <w:vAlign w:val="center"/>
            <w:hideMark/>
          </w:tcPr>
          <w:p w14:paraId="5F658EFD" w14:textId="77777777" w:rsidR="00000000" w:rsidRDefault="00405D16">
            <w:pPr>
              <w:spacing w:after="100"/>
              <w:jc w:val="right"/>
              <w:rPr>
                <w:rFonts w:eastAsia="Times New Roman"/>
                <w:sz w:val="20"/>
                <w:szCs w:val="20"/>
              </w:rPr>
            </w:pPr>
          </w:p>
        </w:tc>
        <w:tc>
          <w:tcPr>
            <w:tcW w:w="0" w:type="auto"/>
            <w:gridSpan w:val="3"/>
            <w:vAlign w:val="center"/>
            <w:hideMark/>
          </w:tcPr>
          <w:p w14:paraId="562B7A1E" w14:textId="77777777" w:rsidR="00000000" w:rsidRDefault="00405D16">
            <w:pPr>
              <w:spacing w:after="100"/>
              <w:rPr>
                <w:rFonts w:eastAsia="Times New Roman"/>
                <w:sz w:val="20"/>
                <w:szCs w:val="20"/>
              </w:rPr>
            </w:pPr>
          </w:p>
        </w:tc>
      </w:tr>
      <w:tr w:rsidR="00000000" w14:paraId="735D0C2B" w14:textId="77777777">
        <w:trPr>
          <w:divId w:val="402947182"/>
        </w:trPr>
        <w:tc>
          <w:tcPr>
            <w:tcW w:w="0" w:type="auto"/>
            <w:gridSpan w:val="3"/>
            <w:vAlign w:val="center"/>
            <w:hideMark/>
          </w:tcPr>
          <w:p w14:paraId="4C337564" w14:textId="77777777" w:rsidR="00000000" w:rsidRDefault="00405D16">
            <w:pPr>
              <w:spacing w:after="100"/>
              <w:rPr>
                <w:rFonts w:eastAsia="Times New Roman"/>
                <w:sz w:val="20"/>
                <w:szCs w:val="20"/>
              </w:rPr>
            </w:pPr>
          </w:p>
        </w:tc>
        <w:tc>
          <w:tcPr>
            <w:tcW w:w="0" w:type="auto"/>
            <w:gridSpan w:val="3"/>
            <w:vAlign w:val="center"/>
            <w:hideMark/>
          </w:tcPr>
          <w:p w14:paraId="6D2B53F1" w14:textId="77777777" w:rsidR="00000000" w:rsidRDefault="00405D16">
            <w:pPr>
              <w:spacing w:after="100"/>
              <w:rPr>
                <w:rFonts w:eastAsia="Times New Roman"/>
                <w:sz w:val="20"/>
                <w:szCs w:val="20"/>
              </w:rPr>
            </w:pPr>
          </w:p>
        </w:tc>
        <w:tc>
          <w:tcPr>
            <w:tcW w:w="0" w:type="auto"/>
            <w:gridSpan w:val="3"/>
            <w:vAlign w:val="center"/>
            <w:hideMark/>
          </w:tcPr>
          <w:p w14:paraId="324043DB" w14:textId="77777777" w:rsidR="00000000" w:rsidRDefault="00405D16">
            <w:pPr>
              <w:spacing w:after="100"/>
              <w:rPr>
                <w:rFonts w:eastAsia="Times New Roman"/>
                <w:sz w:val="20"/>
                <w:szCs w:val="20"/>
              </w:rPr>
            </w:pPr>
          </w:p>
        </w:tc>
        <w:tc>
          <w:tcPr>
            <w:tcW w:w="0" w:type="auto"/>
            <w:gridSpan w:val="3"/>
            <w:vAlign w:val="center"/>
            <w:hideMark/>
          </w:tcPr>
          <w:p w14:paraId="6677F369" w14:textId="77777777" w:rsidR="00000000" w:rsidRDefault="00405D16">
            <w:pPr>
              <w:spacing w:after="100"/>
              <w:rPr>
                <w:rFonts w:eastAsia="Times New Roman"/>
                <w:sz w:val="20"/>
                <w:szCs w:val="20"/>
              </w:rPr>
            </w:pPr>
          </w:p>
        </w:tc>
        <w:tc>
          <w:tcPr>
            <w:tcW w:w="0" w:type="auto"/>
            <w:gridSpan w:val="3"/>
            <w:vAlign w:val="center"/>
            <w:hideMark/>
          </w:tcPr>
          <w:p w14:paraId="22C1EE98" w14:textId="77777777" w:rsidR="00000000" w:rsidRDefault="00405D16">
            <w:pPr>
              <w:spacing w:after="100"/>
              <w:rPr>
                <w:rFonts w:eastAsia="Times New Roman"/>
                <w:sz w:val="20"/>
                <w:szCs w:val="20"/>
              </w:rPr>
            </w:pPr>
          </w:p>
        </w:tc>
        <w:tc>
          <w:tcPr>
            <w:tcW w:w="0" w:type="auto"/>
            <w:gridSpan w:val="3"/>
            <w:vAlign w:val="center"/>
            <w:hideMark/>
          </w:tcPr>
          <w:p w14:paraId="04EB02D5" w14:textId="77777777" w:rsidR="00000000" w:rsidRDefault="00405D16">
            <w:pPr>
              <w:spacing w:after="100"/>
              <w:rPr>
                <w:rFonts w:eastAsia="Times New Roman"/>
                <w:sz w:val="20"/>
                <w:szCs w:val="20"/>
              </w:rPr>
            </w:pPr>
          </w:p>
        </w:tc>
        <w:tc>
          <w:tcPr>
            <w:tcW w:w="0" w:type="auto"/>
            <w:gridSpan w:val="3"/>
            <w:vAlign w:val="center"/>
            <w:hideMark/>
          </w:tcPr>
          <w:p w14:paraId="46D84F0A" w14:textId="77777777" w:rsidR="00000000" w:rsidRDefault="00405D16">
            <w:pPr>
              <w:spacing w:after="100"/>
              <w:rPr>
                <w:rFonts w:eastAsia="Times New Roman"/>
                <w:sz w:val="20"/>
                <w:szCs w:val="20"/>
              </w:rPr>
            </w:pPr>
          </w:p>
        </w:tc>
      </w:tr>
      <w:tr w:rsidR="00000000" w14:paraId="0FDC9DA5" w14:textId="77777777">
        <w:trPr>
          <w:divId w:val="402947182"/>
        </w:trPr>
        <w:tc>
          <w:tcPr>
            <w:tcW w:w="0" w:type="auto"/>
            <w:gridSpan w:val="3"/>
            <w:vAlign w:val="center"/>
            <w:hideMark/>
          </w:tcPr>
          <w:p w14:paraId="53A8D025" w14:textId="77777777" w:rsidR="00000000" w:rsidRDefault="00405D16">
            <w:pPr>
              <w:spacing w:after="100"/>
              <w:rPr>
                <w:rFonts w:eastAsia="Times New Roman"/>
                <w:sz w:val="20"/>
                <w:szCs w:val="20"/>
              </w:rPr>
            </w:pPr>
          </w:p>
        </w:tc>
        <w:tc>
          <w:tcPr>
            <w:tcW w:w="0" w:type="auto"/>
            <w:gridSpan w:val="3"/>
            <w:vAlign w:val="center"/>
            <w:hideMark/>
          </w:tcPr>
          <w:p w14:paraId="0E460578" w14:textId="77777777" w:rsidR="00000000" w:rsidRDefault="00405D16">
            <w:pPr>
              <w:spacing w:after="100"/>
              <w:rPr>
                <w:rFonts w:eastAsia="Times New Roman"/>
                <w:sz w:val="20"/>
                <w:szCs w:val="20"/>
              </w:rPr>
            </w:pPr>
          </w:p>
        </w:tc>
        <w:tc>
          <w:tcPr>
            <w:tcW w:w="0" w:type="auto"/>
            <w:gridSpan w:val="3"/>
            <w:vAlign w:val="center"/>
            <w:hideMark/>
          </w:tcPr>
          <w:p w14:paraId="2F4C80E5" w14:textId="77777777" w:rsidR="00000000" w:rsidRDefault="00405D16">
            <w:pPr>
              <w:spacing w:after="100"/>
              <w:rPr>
                <w:rFonts w:eastAsia="Times New Roman"/>
                <w:sz w:val="20"/>
                <w:szCs w:val="20"/>
              </w:rPr>
            </w:pPr>
          </w:p>
        </w:tc>
        <w:tc>
          <w:tcPr>
            <w:tcW w:w="0" w:type="auto"/>
            <w:gridSpan w:val="3"/>
            <w:vAlign w:val="center"/>
            <w:hideMark/>
          </w:tcPr>
          <w:p w14:paraId="24F9A2CA" w14:textId="77777777" w:rsidR="00000000" w:rsidRDefault="00405D16">
            <w:pPr>
              <w:spacing w:after="100"/>
              <w:rPr>
                <w:rFonts w:eastAsia="Times New Roman"/>
                <w:sz w:val="20"/>
                <w:szCs w:val="20"/>
              </w:rPr>
            </w:pPr>
          </w:p>
        </w:tc>
        <w:tc>
          <w:tcPr>
            <w:tcW w:w="0" w:type="auto"/>
            <w:gridSpan w:val="3"/>
            <w:vAlign w:val="center"/>
            <w:hideMark/>
          </w:tcPr>
          <w:p w14:paraId="17E6F1CF" w14:textId="77777777" w:rsidR="00000000" w:rsidRDefault="00405D16">
            <w:pPr>
              <w:spacing w:after="100"/>
              <w:rPr>
                <w:rFonts w:eastAsia="Times New Roman"/>
                <w:sz w:val="20"/>
                <w:szCs w:val="20"/>
              </w:rPr>
            </w:pPr>
          </w:p>
        </w:tc>
        <w:tc>
          <w:tcPr>
            <w:tcW w:w="0" w:type="auto"/>
            <w:gridSpan w:val="3"/>
            <w:vAlign w:val="center"/>
            <w:hideMark/>
          </w:tcPr>
          <w:p w14:paraId="11D73E2F" w14:textId="77777777" w:rsidR="00000000" w:rsidRDefault="00405D16">
            <w:pPr>
              <w:spacing w:after="100"/>
              <w:rPr>
                <w:rFonts w:eastAsia="Times New Roman"/>
                <w:sz w:val="20"/>
                <w:szCs w:val="20"/>
              </w:rPr>
            </w:pPr>
          </w:p>
        </w:tc>
        <w:tc>
          <w:tcPr>
            <w:tcW w:w="0" w:type="auto"/>
            <w:gridSpan w:val="3"/>
            <w:vAlign w:val="center"/>
            <w:hideMark/>
          </w:tcPr>
          <w:p w14:paraId="09795C75" w14:textId="77777777" w:rsidR="00000000" w:rsidRDefault="00405D16">
            <w:pPr>
              <w:spacing w:after="100"/>
              <w:rPr>
                <w:rFonts w:eastAsia="Times New Roman"/>
                <w:sz w:val="20"/>
                <w:szCs w:val="20"/>
              </w:rPr>
            </w:pPr>
          </w:p>
        </w:tc>
      </w:tr>
      <w:tr w:rsidR="00000000" w14:paraId="4F4F0FDC" w14:textId="77777777">
        <w:trPr>
          <w:divId w:val="402947182"/>
        </w:trPr>
        <w:tc>
          <w:tcPr>
            <w:tcW w:w="0" w:type="auto"/>
            <w:gridSpan w:val="3"/>
            <w:vAlign w:val="center"/>
            <w:hideMark/>
          </w:tcPr>
          <w:p w14:paraId="1D986BB4" w14:textId="77777777" w:rsidR="00000000" w:rsidRDefault="00405D16">
            <w:pPr>
              <w:spacing w:after="100"/>
              <w:rPr>
                <w:rFonts w:eastAsia="Times New Roman"/>
                <w:sz w:val="20"/>
                <w:szCs w:val="20"/>
              </w:rPr>
            </w:pPr>
          </w:p>
        </w:tc>
        <w:tc>
          <w:tcPr>
            <w:tcW w:w="0" w:type="auto"/>
            <w:gridSpan w:val="3"/>
            <w:vAlign w:val="center"/>
            <w:hideMark/>
          </w:tcPr>
          <w:p w14:paraId="7B68AB09" w14:textId="77777777" w:rsidR="00000000" w:rsidRDefault="00405D16">
            <w:pPr>
              <w:spacing w:after="100"/>
              <w:rPr>
                <w:rFonts w:eastAsia="Times New Roman"/>
                <w:sz w:val="20"/>
                <w:szCs w:val="20"/>
              </w:rPr>
            </w:pPr>
          </w:p>
        </w:tc>
        <w:tc>
          <w:tcPr>
            <w:tcW w:w="0" w:type="auto"/>
            <w:gridSpan w:val="3"/>
            <w:vAlign w:val="center"/>
            <w:hideMark/>
          </w:tcPr>
          <w:p w14:paraId="79765F84" w14:textId="77777777" w:rsidR="00000000" w:rsidRDefault="00405D16">
            <w:pPr>
              <w:spacing w:after="100"/>
              <w:rPr>
                <w:rFonts w:eastAsia="Times New Roman"/>
                <w:sz w:val="20"/>
                <w:szCs w:val="20"/>
              </w:rPr>
            </w:pPr>
          </w:p>
        </w:tc>
        <w:tc>
          <w:tcPr>
            <w:tcW w:w="0" w:type="auto"/>
            <w:gridSpan w:val="3"/>
            <w:vAlign w:val="center"/>
            <w:hideMark/>
          </w:tcPr>
          <w:p w14:paraId="4D3B56D8" w14:textId="77777777" w:rsidR="00000000" w:rsidRDefault="00405D16">
            <w:pPr>
              <w:spacing w:after="100"/>
              <w:rPr>
                <w:rFonts w:eastAsia="Times New Roman"/>
                <w:sz w:val="20"/>
                <w:szCs w:val="20"/>
              </w:rPr>
            </w:pPr>
          </w:p>
        </w:tc>
        <w:tc>
          <w:tcPr>
            <w:tcW w:w="0" w:type="auto"/>
            <w:gridSpan w:val="3"/>
            <w:vAlign w:val="center"/>
            <w:hideMark/>
          </w:tcPr>
          <w:p w14:paraId="787F7B1A" w14:textId="77777777" w:rsidR="00000000" w:rsidRDefault="00405D16">
            <w:pPr>
              <w:spacing w:after="100"/>
              <w:rPr>
                <w:rFonts w:eastAsia="Times New Roman"/>
                <w:sz w:val="20"/>
                <w:szCs w:val="20"/>
              </w:rPr>
            </w:pPr>
          </w:p>
        </w:tc>
        <w:tc>
          <w:tcPr>
            <w:tcW w:w="0" w:type="auto"/>
            <w:gridSpan w:val="3"/>
            <w:vAlign w:val="center"/>
            <w:hideMark/>
          </w:tcPr>
          <w:p w14:paraId="4DA27E18" w14:textId="77777777" w:rsidR="00000000" w:rsidRDefault="00405D16">
            <w:pPr>
              <w:spacing w:after="100"/>
              <w:rPr>
                <w:rFonts w:eastAsia="Times New Roman"/>
                <w:sz w:val="20"/>
                <w:szCs w:val="20"/>
              </w:rPr>
            </w:pPr>
          </w:p>
        </w:tc>
        <w:tc>
          <w:tcPr>
            <w:tcW w:w="0" w:type="auto"/>
            <w:gridSpan w:val="3"/>
            <w:vAlign w:val="center"/>
            <w:hideMark/>
          </w:tcPr>
          <w:p w14:paraId="6DCC3D0D" w14:textId="77777777" w:rsidR="00000000" w:rsidRDefault="00405D16">
            <w:pPr>
              <w:spacing w:after="100"/>
              <w:rPr>
                <w:rFonts w:eastAsia="Times New Roman"/>
                <w:sz w:val="20"/>
                <w:szCs w:val="20"/>
              </w:rPr>
            </w:pPr>
          </w:p>
        </w:tc>
      </w:tr>
      <w:tr w:rsidR="00000000" w14:paraId="3A7320DF" w14:textId="77777777">
        <w:trPr>
          <w:divId w:val="402947182"/>
        </w:trPr>
        <w:tc>
          <w:tcPr>
            <w:tcW w:w="0" w:type="auto"/>
            <w:gridSpan w:val="3"/>
            <w:shd w:val="clear" w:color="auto" w:fill="FFFFFF"/>
            <w:tcMar>
              <w:top w:w="30" w:type="dxa"/>
              <w:left w:w="20" w:type="dxa"/>
              <w:bottom w:w="30" w:type="dxa"/>
              <w:right w:w="20" w:type="dxa"/>
            </w:tcMar>
            <w:vAlign w:val="center"/>
            <w:hideMark/>
          </w:tcPr>
          <w:p w14:paraId="272059BE" w14:textId="77777777" w:rsidR="00000000" w:rsidRDefault="00405D16">
            <w:pPr>
              <w:spacing w:after="100"/>
              <w:rPr>
                <w:rFonts w:eastAsia="Times New Roman"/>
              </w:rPr>
            </w:pPr>
            <w:r>
              <w:rPr>
                <w:rFonts w:eastAsia="Times New Roman"/>
                <w:color w:val="000000"/>
                <w:sz w:val="16"/>
                <w:szCs w:val="16"/>
              </w:rPr>
              <w:t>Loans:</w:t>
            </w:r>
          </w:p>
        </w:tc>
        <w:tc>
          <w:tcPr>
            <w:tcW w:w="0" w:type="auto"/>
            <w:gridSpan w:val="3"/>
            <w:shd w:val="clear" w:color="auto" w:fill="FFFFFF"/>
            <w:tcMar>
              <w:top w:w="0" w:type="dxa"/>
              <w:left w:w="20" w:type="dxa"/>
              <w:bottom w:w="0" w:type="dxa"/>
              <w:right w:w="20" w:type="dxa"/>
            </w:tcMar>
            <w:vAlign w:val="center"/>
            <w:hideMark/>
          </w:tcPr>
          <w:p w14:paraId="1F1F9A4E"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6F525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B7A42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227638" w14:textId="77777777" w:rsidR="00000000" w:rsidRDefault="00405D16">
            <w:pPr>
              <w:spacing w:after="100"/>
              <w:rPr>
                <w:rFonts w:eastAsia="Times New Roman"/>
                <w:sz w:val="20"/>
                <w:szCs w:val="20"/>
              </w:rPr>
            </w:pPr>
          </w:p>
        </w:tc>
        <w:tc>
          <w:tcPr>
            <w:tcW w:w="0" w:type="auto"/>
            <w:gridSpan w:val="3"/>
            <w:vAlign w:val="center"/>
            <w:hideMark/>
          </w:tcPr>
          <w:p w14:paraId="381DFF56" w14:textId="77777777" w:rsidR="00000000" w:rsidRDefault="00405D16">
            <w:pPr>
              <w:spacing w:after="100"/>
              <w:rPr>
                <w:rFonts w:eastAsia="Times New Roman"/>
                <w:sz w:val="20"/>
                <w:szCs w:val="20"/>
              </w:rPr>
            </w:pPr>
          </w:p>
        </w:tc>
        <w:tc>
          <w:tcPr>
            <w:tcW w:w="0" w:type="auto"/>
            <w:gridSpan w:val="3"/>
            <w:vAlign w:val="center"/>
            <w:hideMark/>
          </w:tcPr>
          <w:p w14:paraId="71D95A89" w14:textId="77777777" w:rsidR="00000000" w:rsidRDefault="00405D16">
            <w:pPr>
              <w:spacing w:after="100"/>
              <w:rPr>
                <w:rFonts w:eastAsia="Times New Roman"/>
                <w:sz w:val="20"/>
                <w:szCs w:val="20"/>
              </w:rPr>
            </w:pPr>
          </w:p>
        </w:tc>
      </w:tr>
      <w:tr w:rsidR="00000000" w14:paraId="6C6B19F7" w14:textId="77777777">
        <w:trPr>
          <w:divId w:val="402947182"/>
        </w:trPr>
        <w:tc>
          <w:tcPr>
            <w:tcW w:w="0" w:type="auto"/>
            <w:gridSpan w:val="3"/>
            <w:shd w:val="clear" w:color="auto" w:fill="CCEEFF"/>
            <w:tcMar>
              <w:top w:w="30" w:type="dxa"/>
              <w:left w:w="245" w:type="dxa"/>
              <w:bottom w:w="30" w:type="dxa"/>
              <w:right w:w="20" w:type="dxa"/>
            </w:tcMar>
            <w:vAlign w:val="center"/>
            <w:hideMark/>
          </w:tcPr>
          <w:p w14:paraId="6DC0E273" w14:textId="77777777" w:rsidR="00000000" w:rsidRDefault="00405D16">
            <w:pPr>
              <w:spacing w:after="100"/>
              <w:rPr>
                <w:rFonts w:eastAsia="Times New Roman"/>
              </w:rPr>
            </w:pPr>
            <w:r>
              <w:rPr>
                <w:rFonts w:eastAsia="Times New Roman"/>
                <w:color w:val="000000"/>
                <w:sz w:val="16"/>
                <w:szCs w:val="16"/>
              </w:rPr>
              <w:t>Net changes in loans held for investment</w:t>
            </w:r>
          </w:p>
        </w:tc>
        <w:tc>
          <w:tcPr>
            <w:tcW w:w="0" w:type="auto"/>
            <w:gridSpan w:val="3"/>
            <w:shd w:val="clear" w:color="auto" w:fill="CCEEFF"/>
            <w:tcMar>
              <w:top w:w="0" w:type="dxa"/>
              <w:left w:w="20" w:type="dxa"/>
              <w:bottom w:w="0" w:type="dxa"/>
              <w:right w:w="20" w:type="dxa"/>
            </w:tcMar>
            <w:vAlign w:val="center"/>
            <w:hideMark/>
          </w:tcPr>
          <w:p w14:paraId="1BBC5502"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315F1B0" w14:textId="77777777" w:rsidR="00000000" w:rsidRDefault="00405D16">
            <w:pPr>
              <w:spacing w:after="100"/>
              <w:jc w:val="right"/>
              <w:rPr>
                <w:rFonts w:eastAsia="Times New Roman"/>
              </w:rPr>
            </w:pPr>
            <w:r>
              <w:rPr>
                <w:rFonts w:eastAsia="Times New Roman"/>
                <w:b/>
                <w:bCs/>
                <w:color w:val="000000"/>
                <w:sz w:val="16"/>
                <w:szCs w:val="16"/>
              </w:rPr>
              <w:t>(16,185)</w:t>
            </w:r>
          </w:p>
        </w:tc>
        <w:tc>
          <w:tcPr>
            <w:tcW w:w="0" w:type="auto"/>
            <w:shd w:val="clear" w:color="auto" w:fill="CCEEFF"/>
            <w:tcMar>
              <w:top w:w="30" w:type="dxa"/>
              <w:left w:w="0" w:type="dxa"/>
              <w:bottom w:w="30" w:type="dxa"/>
              <w:right w:w="20" w:type="dxa"/>
            </w:tcMar>
            <w:vAlign w:val="center"/>
            <w:hideMark/>
          </w:tcPr>
          <w:p w14:paraId="1BE5BD1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94C2A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0FC2E3B" w14:textId="77777777" w:rsidR="00000000" w:rsidRDefault="00405D16">
            <w:pPr>
              <w:spacing w:after="100"/>
              <w:jc w:val="right"/>
              <w:rPr>
                <w:rFonts w:eastAsia="Times New Roman"/>
              </w:rPr>
            </w:pPr>
            <w:r>
              <w:rPr>
                <w:rFonts w:eastAsia="Times New Roman"/>
                <w:color w:val="000000"/>
                <w:sz w:val="16"/>
                <w:szCs w:val="16"/>
              </w:rPr>
              <w:t>9,083 </w:t>
            </w:r>
          </w:p>
        </w:tc>
        <w:tc>
          <w:tcPr>
            <w:tcW w:w="0" w:type="auto"/>
            <w:shd w:val="clear" w:color="auto" w:fill="CCEEFF"/>
            <w:tcMar>
              <w:top w:w="30" w:type="dxa"/>
              <w:left w:w="0" w:type="dxa"/>
              <w:bottom w:w="30" w:type="dxa"/>
              <w:right w:w="20" w:type="dxa"/>
            </w:tcMar>
            <w:vAlign w:val="center"/>
            <w:hideMark/>
          </w:tcPr>
          <w:p w14:paraId="65862B54" w14:textId="77777777" w:rsidR="00000000" w:rsidRDefault="00405D16">
            <w:pPr>
              <w:spacing w:after="100"/>
              <w:jc w:val="right"/>
              <w:rPr>
                <w:rFonts w:eastAsia="Times New Roman"/>
              </w:rPr>
            </w:pPr>
          </w:p>
        </w:tc>
        <w:tc>
          <w:tcPr>
            <w:tcW w:w="0" w:type="auto"/>
            <w:gridSpan w:val="3"/>
            <w:vAlign w:val="center"/>
            <w:hideMark/>
          </w:tcPr>
          <w:p w14:paraId="67392190" w14:textId="77777777" w:rsidR="00000000" w:rsidRDefault="00405D16">
            <w:pPr>
              <w:spacing w:after="100"/>
              <w:jc w:val="right"/>
              <w:rPr>
                <w:rFonts w:eastAsia="Times New Roman"/>
                <w:sz w:val="20"/>
                <w:szCs w:val="20"/>
              </w:rPr>
            </w:pPr>
          </w:p>
        </w:tc>
        <w:tc>
          <w:tcPr>
            <w:tcW w:w="0" w:type="auto"/>
            <w:gridSpan w:val="3"/>
            <w:vAlign w:val="center"/>
            <w:hideMark/>
          </w:tcPr>
          <w:p w14:paraId="15C973C5" w14:textId="77777777" w:rsidR="00000000" w:rsidRDefault="00405D16">
            <w:pPr>
              <w:spacing w:after="100"/>
              <w:rPr>
                <w:rFonts w:eastAsia="Times New Roman"/>
                <w:sz w:val="20"/>
                <w:szCs w:val="20"/>
              </w:rPr>
            </w:pPr>
          </w:p>
        </w:tc>
      </w:tr>
      <w:tr w:rsidR="00000000" w14:paraId="47D11C6B" w14:textId="77777777">
        <w:trPr>
          <w:divId w:val="402947182"/>
        </w:trPr>
        <w:tc>
          <w:tcPr>
            <w:tcW w:w="0" w:type="auto"/>
            <w:gridSpan w:val="3"/>
            <w:shd w:val="clear" w:color="auto" w:fill="FFFFFF"/>
            <w:tcMar>
              <w:top w:w="30" w:type="dxa"/>
              <w:left w:w="245" w:type="dxa"/>
              <w:bottom w:w="30" w:type="dxa"/>
              <w:right w:w="20" w:type="dxa"/>
            </w:tcMar>
            <w:vAlign w:val="center"/>
            <w:hideMark/>
          </w:tcPr>
          <w:p w14:paraId="63D00AEB" w14:textId="77777777" w:rsidR="00000000" w:rsidRDefault="00405D16">
            <w:pPr>
              <w:spacing w:after="100"/>
              <w:rPr>
                <w:rFonts w:eastAsia="Times New Roman"/>
              </w:rPr>
            </w:pPr>
            <w:r>
              <w:rPr>
                <w:rFonts w:eastAsia="Times New Roman"/>
                <w:color w:val="000000"/>
                <w:sz w:val="16"/>
                <w:szCs w:val="16"/>
              </w:rPr>
              <w:t>Principal recoveries of loans previously charged off</w:t>
            </w:r>
          </w:p>
        </w:tc>
        <w:tc>
          <w:tcPr>
            <w:tcW w:w="0" w:type="auto"/>
            <w:gridSpan w:val="3"/>
            <w:shd w:val="clear" w:color="auto" w:fill="FFFFFF"/>
            <w:tcMar>
              <w:top w:w="0" w:type="dxa"/>
              <w:left w:w="20" w:type="dxa"/>
              <w:bottom w:w="0" w:type="dxa"/>
              <w:right w:w="20" w:type="dxa"/>
            </w:tcMar>
            <w:vAlign w:val="center"/>
            <w:hideMark/>
          </w:tcPr>
          <w:p w14:paraId="3F3FD2AE"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E8239FA" w14:textId="77777777" w:rsidR="00000000" w:rsidRDefault="00405D16">
            <w:pPr>
              <w:spacing w:after="100"/>
              <w:jc w:val="right"/>
              <w:rPr>
                <w:rFonts w:eastAsia="Times New Roman"/>
              </w:rPr>
            </w:pPr>
            <w:r>
              <w:rPr>
                <w:rFonts w:eastAsia="Times New Roman"/>
                <w:b/>
                <w:bCs/>
                <w:color w:val="000000"/>
                <w:sz w:val="16"/>
                <w:szCs w:val="16"/>
              </w:rPr>
              <w:t>1,901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34F6DA5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2380D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611AEC3" w14:textId="77777777" w:rsidR="00000000" w:rsidRDefault="00405D16">
            <w:pPr>
              <w:spacing w:after="100"/>
              <w:jc w:val="right"/>
              <w:rPr>
                <w:rFonts w:eastAsia="Times New Roman"/>
              </w:rPr>
            </w:pPr>
            <w:r>
              <w:rPr>
                <w:rFonts w:eastAsia="Times New Roman"/>
                <w:color w:val="000000"/>
                <w:sz w:val="16"/>
                <w:szCs w:val="16"/>
              </w:rPr>
              <w:t>1,898 </w:t>
            </w:r>
          </w:p>
        </w:tc>
        <w:tc>
          <w:tcPr>
            <w:tcW w:w="0" w:type="auto"/>
            <w:shd w:val="clear" w:color="auto" w:fill="FFFFFF"/>
            <w:tcMar>
              <w:top w:w="30" w:type="dxa"/>
              <w:left w:w="0" w:type="dxa"/>
              <w:bottom w:w="30" w:type="dxa"/>
              <w:right w:w="20" w:type="dxa"/>
            </w:tcMar>
            <w:vAlign w:val="center"/>
            <w:hideMark/>
          </w:tcPr>
          <w:p w14:paraId="7F6A4AC6" w14:textId="77777777" w:rsidR="00000000" w:rsidRDefault="00405D16">
            <w:pPr>
              <w:spacing w:after="100"/>
              <w:jc w:val="right"/>
              <w:rPr>
                <w:rFonts w:eastAsia="Times New Roman"/>
              </w:rPr>
            </w:pPr>
          </w:p>
        </w:tc>
        <w:tc>
          <w:tcPr>
            <w:tcW w:w="0" w:type="auto"/>
            <w:gridSpan w:val="3"/>
            <w:vAlign w:val="center"/>
            <w:hideMark/>
          </w:tcPr>
          <w:p w14:paraId="2BC38943" w14:textId="77777777" w:rsidR="00000000" w:rsidRDefault="00405D16">
            <w:pPr>
              <w:spacing w:after="100"/>
              <w:jc w:val="right"/>
              <w:rPr>
                <w:rFonts w:eastAsia="Times New Roman"/>
                <w:sz w:val="20"/>
                <w:szCs w:val="20"/>
              </w:rPr>
            </w:pPr>
          </w:p>
        </w:tc>
        <w:tc>
          <w:tcPr>
            <w:tcW w:w="0" w:type="auto"/>
            <w:gridSpan w:val="3"/>
            <w:vAlign w:val="center"/>
            <w:hideMark/>
          </w:tcPr>
          <w:p w14:paraId="0775A895" w14:textId="77777777" w:rsidR="00000000" w:rsidRDefault="00405D16">
            <w:pPr>
              <w:spacing w:after="100"/>
              <w:rPr>
                <w:rFonts w:eastAsia="Times New Roman"/>
                <w:sz w:val="20"/>
                <w:szCs w:val="20"/>
              </w:rPr>
            </w:pPr>
          </w:p>
        </w:tc>
      </w:tr>
      <w:tr w:rsidR="00000000" w14:paraId="0387468A" w14:textId="77777777">
        <w:trPr>
          <w:divId w:val="402947182"/>
        </w:trPr>
        <w:tc>
          <w:tcPr>
            <w:tcW w:w="0" w:type="auto"/>
            <w:gridSpan w:val="3"/>
            <w:shd w:val="clear" w:color="auto" w:fill="CCEEFF"/>
            <w:tcMar>
              <w:top w:w="30" w:type="dxa"/>
              <w:left w:w="20" w:type="dxa"/>
              <w:bottom w:w="30" w:type="dxa"/>
              <w:right w:w="20" w:type="dxa"/>
            </w:tcMar>
            <w:vAlign w:val="center"/>
            <w:hideMark/>
          </w:tcPr>
          <w:p w14:paraId="3C3C08DE" w14:textId="77777777" w:rsidR="00000000" w:rsidRDefault="00405D16">
            <w:pPr>
              <w:spacing w:after="100"/>
              <w:rPr>
                <w:rFonts w:eastAsia="Times New Roman"/>
              </w:rPr>
            </w:pPr>
            <w:r>
              <w:rPr>
                <w:rFonts w:eastAsia="Times New Roman"/>
                <w:color w:val="000000"/>
                <w:sz w:val="16"/>
                <w:szCs w:val="16"/>
              </w:rPr>
              <w:t>Net purchases of premises and equipment</w:t>
            </w:r>
          </w:p>
        </w:tc>
        <w:tc>
          <w:tcPr>
            <w:tcW w:w="0" w:type="auto"/>
            <w:gridSpan w:val="3"/>
            <w:shd w:val="clear" w:color="auto" w:fill="CCEEFF"/>
            <w:tcMar>
              <w:top w:w="0" w:type="dxa"/>
              <w:left w:w="20" w:type="dxa"/>
              <w:bottom w:w="0" w:type="dxa"/>
              <w:right w:w="20" w:type="dxa"/>
            </w:tcMar>
            <w:vAlign w:val="center"/>
            <w:hideMark/>
          </w:tcPr>
          <w:p w14:paraId="662CF7E0"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62E344C" w14:textId="77777777" w:rsidR="00000000" w:rsidRDefault="00405D16">
            <w:pPr>
              <w:spacing w:after="100"/>
              <w:jc w:val="right"/>
              <w:rPr>
                <w:rFonts w:eastAsia="Times New Roman"/>
              </w:rPr>
            </w:pPr>
            <w:r>
              <w:rPr>
                <w:rFonts w:eastAsia="Times New Roman"/>
                <w:b/>
                <w:bCs/>
                <w:color w:val="000000"/>
                <w:sz w:val="16"/>
                <w:szCs w:val="16"/>
              </w:rPr>
              <w:t>(504)</w:t>
            </w:r>
          </w:p>
        </w:tc>
        <w:tc>
          <w:tcPr>
            <w:tcW w:w="0" w:type="auto"/>
            <w:shd w:val="clear" w:color="auto" w:fill="CCEEFF"/>
            <w:tcMar>
              <w:top w:w="30" w:type="dxa"/>
              <w:left w:w="0" w:type="dxa"/>
              <w:bottom w:w="30" w:type="dxa"/>
              <w:right w:w="20" w:type="dxa"/>
            </w:tcMar>
            <w:vAlign w:val="center"/>
            <w:hideMark/>
          </w:tcPr>
          <w:p w14:paraId="1599455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05EC8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24ED8CB" w14:textId="77777777" w:rsidR="00000000" w:rsidRDefault="00405D16">
            <w:pPr>
              <w:spacing w:after="100"/>
              <w:jc w:val="right"/>
              <w:rPr>
                <w:rFonts w:eastAsia="Times New Roman"/>
              </w:rPr>
            </w:pPr>
            <w:r>
              <w:rPr>
                <w:rFonts w:eastAsia="Times New Roman"/>
                <w:color w:val="000000"/>
                <w:sz w:val="16"/>
                <w:szCs w:val="16"/>
              </w:rPr>
              <w:t>(543)</w:t>
            </w:r>
          </w:p>
        </w:tc>
        <w:tc>
          <w:tcPr>
            <w:tcW w:w="0" w:type="auto"/>
            <w:shd w:val="clear" w:color="auto" w:fill="CCEEFF"/>
            <w:tcMar>
              <w:top w:w="30" w:type="dxa"/>
              <w:left w:w="0" w:type="dxa"/>
              <w:bottom w:w="30" w:type="dxa"/>
              <w:right w:w="20" w:type="dxa"/>
            </w:tcMar>
            <w:vAlign w:val="center"/>
            <w:hideMark/>
          </w:tcPr>
          <w:p w14:paraId="05DFCBFA" w14:textId="77777777" w:rsidR="00000000" w:rsidRDefault="00405D16">
            <w:pPr>
              <w:spacing w:after="100"/>
              <w:jc w:val="right"/>
              <w:rPr>
                <w:rFonts w:eastAsia="Times New Roman"/>
              </w:rPr>
            </w:pPr>
          </w:p>
        </w:tc>
        <w:tc>
          <w:tcPr>
            <w:tcW w:w="0" w:type="auto"/>
            <w:gridSpan w:val="3"/>
            <w:vAlign w:val="center"/>
            <w:hideMark/>
          </w:tcPr>
          <w:p w14:paraId="75A0DC55" w14:textId="77777777" w:rsidR="00000000" w:rsidRDefault="00405D16">
            <w:pPr>
              <w:spacing w:after="100"/>
              <w:jc w:val="right"/>
              <w:rPr>
                <w:rFonts w:eastAsia="Times New Roman"/>
                <w:sz w:val="20"/>
                <w:szCs w:val="20"/>
              </w:rPr>
            </w:pPr>
          </w:p>
        </w:tc>
        <w:tc>
          <w:tcPr>
            <w:tcW w:w="0" w:type="auto"/>
            <w:gridSpan w:val="3"/>
            <w:vAlign w:val="center"/>
            <w:hideMark/>
          </w:tcPr>
          <w:p w14:paraId="373190A8" w14:textId="77777777" w:rsidR="00000000" w:rsidRDefault="00405D16">
            <w:pPr>
              <w:spacing w:after="100"/>
              <w:rPr>
                <w:rFonts w:eastAsia="Times New Roman"/>
                <w:sz w:val="20"/>
                <w:szCs w:val="20"/>
              </w:rPr>
            </w:pPr>
          </w:p>
        </w:tc>
      </w:tr>
      <w:tr w:rsidR="00000000" w14:paraId="2D597AE3" w14:textId="77777777">
        <w:trPr>
          <w:divId w:val="402947182"/>
        </w:trPr>
        <w:tc>
          <w:tcPr>
            <w:tcW w:w="0" w:type="auto"/>
            <w:gridSpan w:val="3"/>
            <w:shd w:val="clear" w:color="auto" w:fill="FFFFFF"/>
            <w:tcMar>
              <w:top w:w="30" w:type="dxa"/>
              <w:left w:w="20" w:type="dxa"/>
              <w:bottom w:w="30" w:type="dxa"/>
              <w:right w:w="20" w:type="dxa"/>
            </w:tcMar>
            <w:vAlign w:val="center"/>
            <w:hideMark/>
          </w:tcPr>
          <w:p w14:paraId="77A9D6E0" w14:textId="77777777" w:rsidR="00000000" w:rsidRDefault="00405D16">
            <w:pPr>
              <w:spacing w:after="100"/>
              <w:rPr>
                <w:rFonts w:eastAsia="Times New Roman"/>
              </w:rPr>
            </w:pPr>
            <w:r>
              <w:rPr>
                <w:rFonts w:eastAsia="Times New Roman"/>
                <w:color w:val="000000"/>
                <w:sz w:val="16"/>
                <w:szCs w:val="16"/>
              </w:rPr>
              <w:t>Net cash from acquisition activities</w:t>
            </w:r>
          </w:p>
        </w:tc>
        <w:tc>
          <w:tcPr>
            <w:tcW w:w="0" w:type="auto"/>
            <w:gridSpan w:val="3"/>
            <w:shd w:val="clear" w:color="auto" w:fill="FFFFFF"/>
            <w:tcMar>
              <w:top w:w="0" w:type="dxa"/>
              <w:left w:w="20" w:type="dxa"/>
              <w:bottom w:w="0" w:type="dxa"/>
              <w:right w:w="20" w:type="dxa"/>
            </w:tcMar>
            <w:vAlign w:val="center"/>
            <w:hideMark/>
          </w:tcPr>
          <w:p w14:paraId="49A538CD"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280D9D3" w14:textId="77777777" w:rsidR="00000000" w:rsidRDefault="00405D16">
            <w:pPr>
              <w:spacing w:after="100"/>
              <w:jc w:val="right"/>
              <w:rPr>
                <w:rFonts w:eastAsia="Times New Roman"/>
              </w:rPr>
            </w:pPr>
            <w:r>
              <w:rPr>
                <w:rFonts w:eastAsia="Times New Roman"/>
                <w:b/>
                <w:bCs/>
                <w:color w:val="000000"/>
                <w:sz w:val="16"/>
                <w:szCs w:val="16"/>
              </w:rPr>
              <w:t>(551)</w:t>
            </w:r>
          </w:p>
        </w:tc>
        <w:tc>
          <w:tcPr>
            <w:tcW w:w="0" w:type="auto"/>
            <w:shd w:val="clear" w:color="auto" w:fill="FFFFFF"/>
            <w:tcMar>
              <w:top w:w="30" w:type="dxa"/>
              <w:left w:w="0" w:type="dxa"/>
              <w:bottom w:w="30" w:type="dxa"/>
              <w:right w:w="20" w:type="dxa"/>
            </w:tcMar>
            <w:vAlign w:val="center"/>
            <w:hideMark/>
          </w:tcPr>
          <w:p w14:paraId="04316D3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3695B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41B628F" w14:textId="77777777" w:rsidR="00000000" w:rsidRDefault="00405D16">
            <w:pPr>
              <w:spacing w:after="100"/>
              <w:jc w:val="right"/>
              <w:rPr>
                <w:rFonts w:eastAsia="Times New Roman"/>
              </w:rPr>
            </w:pPr>
            <w:r>
              <w:rPr>
                <w:rFonts w:eastAsia="Times New Roman"/>
                <w:color w:val="000000"/>
                <w:sz w:val="16"/>
                <w:szCs w:val="16"/>
              </w:rPr>
              <w:t>(7)</w:t>
            </w:r>
          </w:p>
        </w:tc>
        <w:tc>
          <w:tcPr>
            <w:tcW w:w="0" w:type="auto"/>
            <w:shd w:val="clear" w:color="auto" w:fill="FFFFFF"/>
            <w:tcMar>
              <w:top w:w="30" w:type="dxa"/>
              <w:left w:w="0" w:type="dxa"/>
              <w:bottom w:w="30" w:type="dxa"/>
              <w:right w:w="20" w:type="dxa"/>
            </w:tcMar>
            <w:vAlign w:val="center"/>
            <w:hideMark/>
          </w:tcPr>
          <w:p w14:paraId="29A0B4D5" w14:textId="77777777" w:rsidR="00000000" w:rsidRDefault="00405D16">
            <w:pPr>
              <w:spacing w:after="100"/>
              <w:jc w:val="right"/>
              <w:rPr>
                <w:rFonts w:eastAsia="Times New Roman"/>
              </w:rPr>
            </w:pPr>
          </w:p>
        </w:tc>
        <w:tc>
          <w:tcPr>
            <w:tcW w:w="0" w:type="auto"/>
            <w:gridSpan w:val="3"/>
            <w:vAlign w:val="center"/>
            <w:hideMark/>
          </w:tcPr>
          <w:p w14:paraId="154621A7" w14:textId="77777777" w:rsidR="00000000" w:rsidRDefault="00405D16">
            <w:pPr>
              <w:spacing w:after="100"/>
              <w:jc w:val="right"/>
              <w:rPr>
                <w:rFonts w:eastAsia="Times New Roman"/>
                <w:sz w:val="20"/>
                <w:szCs w:val="20"/>
              </w:rPr>
            </w:pPr>
          </w:p>
        </w:tc>
        <w:tc>
          <w:tcPr>
            <w:tcW w:w="0" w:type="auto"/>
            <w:gridSpan w:val="3"/>
            <w:vAlign w:val="center"/>
            <w:hideMark/>
          </w:tcPr>
          <w:p w14:paraId="3E85C814" w14:textId="77777777" w:rsidR="00000000" w:rsidRDefault="00405D16">
            <w:pPr>
              <w:spacing w:after="100"/>
              <w:rPr>
                <w:rFonts w:eastAsia="Times New Roman"/>
                <w:sz w:val="20"/>
                <w:szCs w:val="20"/>
              </w:rPr>
            </w:pPr>
          </w:p>
        </w:tc>
      </w:tr>
      <w:tr w:rsidR="00000000" w14:paraId="2EBA7CB3" w14:textId="77777777">
        <w:trPr>
          <w:divId w:val="402947182"/>
        </w:trPr>
        <w:tc>
          <w:tcPr>
            <w:tcW w:w="0" w:type="auto"/>
            <w:gridSpan w:val="3"/>
            <w:shd w:val="clear" w:color="auto" w:fill="CCEEFF"/>
            <w:tcMar>
              <w:top w:w="30" w:type="dxa"/>
              <w:left w:w="20" w:type="dxa"/>
              <w:bottom w:w="30" w:type="dxa"/>
              <w:right w:w="20" w:type="dxa"/>
            </w:tcMar>
            <w:vAlign w:val="center"/>
            <w:hideMark/>
          </w:tcPr>
          <w:p w14:paraId="5CCC2537" w14:textId="77777777" w:rsidR="00000000" w:rsidRDefault="00405D16">
            <w:pPr>
              <w:spacing w:after="100"/>
              <w:rPr>
                <w:rFonts w:eastAsia="Times New Roman"/>
              </w:rPr>
            </w:pPr>
            <w:r>
              <w:rPr>
                <w:rFonts w:eastAsia="Times New Roman"/>
                <w:color w:val="000000"/>
                <w:sz w:val="16"/>
                <w:szCs w:val="16"/>
              </w:rPr>
              <w:t>Net cash from other investing activities</w:t>
            </w:r>
          </w:p>
        </w:tc>
        <w:tc>
          <w:tcPr>
            <w:tcW w:w="0" w:type="auto"/>
            <w:gridSpan w:val="3"/>
            <w:shd w:val="clear" w:color="auto" w:fill="CCEEFF"/>
            <w:tcMar>
              <w:top w:w="0" w:type="dxa"/>
              <w:left w:w="20" w:type="dxa"/>
              <w:bottom w:w="0" w:type="dxa"/>
              <w:right w:w="20" w:type="dxa"/>
            </w:tcMar>
            <w:vAlign w:val="center"/>
            <w:hideMark/>
          </w:tcPr>
          <w:p w14:paraId="1EBC8526"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14CD84C" w14:textId="77777777" w:rsidR="00000000" w:rsidRDefault="00405D16">
            <w:pPr>
              <w:spacing w:after="100"/>
              <w:jc w:val="right"/>
              <w:rPr>
                <w:rFonts w:eastAsia="Times New Roman"/>
              </w:rPr>
            </w:pPr>
            <w:r>
              <w:rPr>
                <w:rFonts w:eastAsia="Times New Roman"/>
                <w:b/>
                <w:bCs/>
                <w:color w:val="000000"/>
                <w:sz w:val="16"/>
                <w:szCs w:val="16"/>
              </w:rPr>
              <w:t>(286)</w:t>
            </w:r>
          </w:p>
        </w:tc>
        <w:tc>
          <w:tcPr>
            <w:tcW w:w="0" w:type="auto"/>
            <w:shd w:val="clear" w:color="auto" w:fill="CCEEFF"/>
            <w:tcMar>
              <w:top w:w="30" w:type="dxa"/>
              <w:left w:w="0" w:type="dxa"/>
              <w:bottom w:w="30" w:type="dxa"/>
              <w:right w:w="20" w:type="dxa"/>
            </w:tcMar>
            <w:vAlign w:val="center"/>
            <w:hideMark/>
          </w:tcPr>
          <w:p w14:paraId="3C12BF1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3A9DC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1C34711" w14:textId="77777777" w:rsidR="00000000" w:rsidRDefault="00405D16">
            <w:pPr>
              <w:spacing w:after="100"/>
              <w:jc w:val="right"/>
              <w:rPr>
                <w:rFonts w:eastAsia="Times New Roman"/>
              </w:rPr>
            </w:pPr>
            <w:r>
              <w:rPr>
                <w:rFonts w:eastAsia="Times New Roman"/>
                <w:color w:val="000000"/>
                <w:sz w:val="16"/>
                <w:szCs w:val="16"/>
              </w:rPr>
              <w:t>(564)</w:t>
            </w:r>
          </w:p>
        </w:tc>
        <w:tc>
          <w:tcPr>
            <w:tcW w:w="0" w:type="auto"/>
            <w:shd w:val="clear" w:color="auto" w:fill="CCEEFF"/>
            <w:tcMar>
              <w:top w:w="30" w:type="dxa"/>
              <w:left w:w="0" w:type="dxa"/>
              <w:bottom w:w="30" w:type="dxa"/>
              <w:right w:w="20" w:type="dxa"/>
            </w:tcMar>
            <w:vAlign w:val="center"/>
            <w:hideMark/>
          </w:tcPr>
          <w:p w14:paraId="3B8A0901" w14:textId="77777777" w:rsidR="00000000" w:rsidRDefault="00405D16">
            <w:pPr>
              <w:spacing w:after="100"/>
              <w:jc w:val="right"/>
              <w:rPr>
                <w:rFonts w:eastAsia="Times New Roman"/>
              </w:rPr>
            </w:pPr>
          </w:p>
        </w:tc>
        <w:tc>
          <w:tcPr>
            <w:tcW w:w="0" w:type="auto"/>
            <w:gridSpan w:val="3"/>
            <w:vAlign w:val="center"/>
            <w:hideMark/>
          </w:tcPr>
          <w:p w14:paraId="39883D30" w14:textId="77777777" w:rsidR="00000000" w:rsidRDefault="00405D16">
            <w:pPr>
              <w:spacing w:after="100"/>
              <w:jc w:val="right"/>
              <w:rPr>
                <w:rFonts w:eastAsia="Times New Roman"/>
                <w:sz w:val="20"/>
                <w:szCs w:val="20"/>
              </w:rPr>
            </w:pPr>
          </w:p>
        </w:tc>
        <w:tc>
          <w:tcPr>
            <w:tcW w:w="0" w:type="auto"/>
            <w:gridSpan w:val="3"/>
            <w:vAlign w:val="center"/>
            <w:hideMark/>
          </w:tcPr>
          <w:p w14:paraId="3AA03267" w14:textId="77777777" w:rsidR="00000000" w:rsidRDefault="00405D16">
            <w:pPr>
              <w:spacing w:after="100"/>
              <w:rPr>
                <w:rFonts w:eastAsia="Times New Roman"/>
                <w:sz w:val="20"/>
                <w:szCs w:val="20"/>
              </w:rPr>
            </w:pPr>
          </w:p>
        </w:tc>
      </w:tr>
      <w:tr w:rsidR="00000000" w14:paraId="6AFA05AE" w14:textId="77777777">
        <w:trPr>
          <w:divId w:val="402947182"/>
        </w:trPr>
        <w:tc>
          <w:tcPr>
            <w:tcW w:w="0" w:type="auto"/>
            <w:gridSpan w:val="3"/>
            <w:shd w:val="clear" w:color="auto" w:fill="FFFFFF"/>
            <w:tcMar>
              <w:top w:w="30" w:type="dxa"/>
              <w:left w:w="20" w:type="dxa"/>
              <w:bottom w:w="30" w:type="dxa"/>
              <w:right w:w="20" w:type="dxa"/>
            </w:tcMar>
            <w:vAlign w:val="center"/>
            <w:hideMark/>
          </w:tcPr>
          <w:p w14:paraId="434EAC5A" w14:textId="77777777" w:rsidR="00000000" w:rsidRDefault="00405D16">
            <w:pPr>
              <w:spacing w:after="100"/>
              <w:rPr>
                <w:rFonts w:eastAsia="Times New Roman"/>
              </w:rPr>
            </w:pPr>
            <w:r>
              <w:rPr>
                <w:rFonts w:eastAsia="Times New Roman"/>
                <w:b/>
                <w:bCs/>
                <w:color w:val="000000"/>
                <w:sz w:val="16"/>
                <w:szCs w:val="16"/>
              </w:rPr>
              <w:t>Net cash from investing activities</w:t>
            </w:r>
          </w:p>
        </w:tc>
        <w:tc>
          <w:tcPr>
            <w:tcW w:w="0" w:type="auto"/>
            <w:gridSpan w:val="3"/>
            <w:shd w:val="clear" w:color="auto" w:fill="FFFFFF"/>
            <w:tcMar>
              <w:top w:w="0" w:type="dxa"/>
              <w:left w:w="20" w:type="dxa"/>
              <w:bottom w:w="0" w:type="dxa"/>
              <w:right w:w="20" w:type="dxa"/>
            </w:tcMar>
            <w:vAlign w:val="center"/>
            <w:hideMark/>
          </w:tcPr>
          <w:p w14:paraId="3C36E3EB" w14:textId="77777777" w:rsidR="00000000" w:rsidRDefault="00405D16">
            <w:pPr>
              <w:spacing w:after="100"/>
              <w:rPr>
                <w:rFonts w:eastAsia="Times New Roman"/>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20D28571" w14:textId="77777777" w:rsidR="00000000" w:rsidRDefault="00405D16">
            <w:pPr>
              <w:spacing w:after="100"/>
              <w:jc w:val="right"/>
              <w:rPr>
                <w:rFonts w:eastAsia="Times New Roman"/>
              </w:rPr>
            </w:pPr>
            <w:r>
              <w:rPr>
                <w:rFonts w:eastAsia="Times New Roman"/>
                <w:b/>
                <w:bCs/>
                <w:color w:val="000000"/>
                <w:sz w:val="16"/>
                <w:szCs w:val="16"/>
              </w:rPr>
              <w:t>(15,046)</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4755F61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CE0F51" w14:textId="77777777" w:rsidR="00000000" w:rsidRDefault="00405D16">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472E7D27" w14:textId="77777777" w:rsidR="00000000" w:rsidRDefault="00405D16">
            <w:pPr>
              <w:spacing w:after="100"/>
              <w:jc w:val="right"/>
              <w:rPr>
                <w:rFonts w:eastAsia="Times New Roman"/>
              </w:rPr>
            </w:pPr>
            <w:r>
              <w:rPr>
                <w:rFonts w:eastAsia="Times New Roman"/>
                <w:color w:val="000000"/>
                <w:sz w:val="16"/>
                <w:szCs w:val="16"/>
              </w:rPr>
              <w:t>(8,917)</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5D841C21" w14:textId="77777777" w:rsidR="00000000" w:rsidRDefault="00405D16">
            <w:pPr>
              <w:spacing w:after="100"/>
              <w:jc w:val="right"/>
              <w:rPr>
                <w:rFonts w:eastAsia="Times New Roman"/>
              </w:rPr>
            </w:pPr>
          </w:p>
        </w:tc>
        <w:tc>
          <w:tcPr>
            <w:tcW w:w="0" w:type="auto"/>
            <w:gridSpan w:val="3"/>
            <w:vAlign w:val="center"/>
            <w:hideMark/>
          </w:tcPr>
          <w:p w14:paraId="30380B76" w14:textId="77777777" w:rsidR="00000000" w:rsidRDefault="00405D16">
            <w:pPr>
              <w:spacing w:after="100"/>
              <w:jc w:val="right"/>
              <w:rPr>
                <w:rFonts w:eastAsia="Times New Roman"/>
                <w:sz w:val="20"/>
                <w:szCs w:val="20"/>
              </w:rPr>
            </w:pPr>
          </w:p>
        </w:tc>
        <w:tc>
          <w:tcPr>
            <w:tcW w:w="0" w:type="auto"/>
            <w:gridSpan w:val="3"/>
            <w:vAlign w:val="center"/>
            <w:hideMark/>
          </w:tcPr>
          <w:p w14:paraId="711C6FCD" w14:textId="77777777" w:rsidR="00000000" w:rsidRDefault="00405D16">
            <w:pPr>
              <w:spacing w:after="100"/>
              <w:rPr>
                <w:rFonts w:eastAsia="Times New Roman"/>
                <w:sz w:val="20"/>
                <w:szCs w:val="20"/>
              </w:rPr>
            </w:pPr>
          </w:p>
        </w:tc>
      </w:tr>
      <w:tr w:rsidR="00000000" w14:paraId="5A67B17A" w14:textId="77777777">
        <w:trPr>
          <w:divId w:val="402947182"/>
          <w:trHeight w:val="60"/>
        </w:trPr>
        <w:tc>
          <w:tcPr>
            <w:tcW w:w="0" w:type="auto"/>
            <w:gridSpan w:val="15"/>
            <w:tcMar>
              <w:top w:w="0" w:type="dxa"/>
              <w:left w:w="20" w:type="dxa"/>
              <w:bottom w:w="0" w:type="dxa"/>
              <w:right w:w="20" w:type="dxa"/>
            </w:tcMar>
            <w:vAlign w:val="center"/>
            <w:hideMark/>
          </w:tcPr>
          <w:p w14:paraId="14B8C7F2" w14:textId="77777777" w:rsidR="00000000" w:rsidRDefault="00405D16">
            <w:pPr>
              <w:spacing w:after="100"/>
              <w:rPr>
                <w:rFonts w:eastAsia="Times New Roman"/>
                <w:sz w:val="20"/>
                <w:szCs w:val="20"/>
              </w:rPr>
            </w:pPr>
          </w:p>
        </w:tc>
        <w:tc>
          <w:tcPr>
            <w:tcW w:w="0" w:type="auto"/>
            <w:vAlign w:val="center"/>
            <w:hideMark/>
          </w:tcPr>
          <w:p w14:paraId="0FDB3967" w14:textId="77777777" w:rsidR="00000000" w:rsidRDefault="00405D16">
            <w:pPr>
              <w:spacing w:after="100"/>
              <w:rPr>
                <w:rFonts w:eastAsia="Times New Roman"/>
                <w:sz w:val="20"/>
                <w:szCs w:val="20"/>
              </w:rPr>
            </w:pPr>
          </w:p>
        </w:tc>
        <w:tc>
          <w:tcPr>
            <w:tcW w:w="0" w:type="auto"/>
            <w:vAlign w:val="center"/>
            <w:hideMark/>
          </w:tcPr>
          <w:p w14:paraId="6835D784" w14:textId="77777777" w:rsidR="00000000" w:rsidRDefault="00405D16">
            <w:pPr>
              <w:spacing w:after="100"/>
              <w:rPr>
                <w:rFonts w:eastAsia="Times New Roman"/>
                <w:sz w:val="20"/>
                <w:szCs w:val="20"/>
              </w:rPr>
            </w:pPr>
          </w:p>
        </w:tc>
        <w:tc>
          <w:tcPr>
            <w:tcW w:w="0" w:type="auto"/>
            <w:vAlign w:val="center"/>
            <w:hideMark/>
          </w:tcPr>
          <w:p w14:paraId="7499DE82" w14:textId="77777777" w:rsidR="00000000" w:rsidRDefault="00405D16">
            <w:pPr>
              <w:spacing w:after="100"/>
              <w:rPr>
                <w:rFonts w:eastAsia="Times New Roman"/>
                <w:sz w:val="20"/>
                <w:szCs w:val="20"/>
              </w:rPr>
            </w:pPr>
          </w:p>
        </w:tc>
        <w:tc>
          <w:tcPr>
            <w:tcW w:w="0" w:type="auto"/>
            <w:vAlign w:val="center"/>
            <w:hideMark/>
          </w:tcPr>
          <w:p w14:paraId="4DFA0F39" w14:textId="77777777" w:rsidR="00000000" w:rsidRDefault="00405D16">
            <w:pPr>
              <w:spacing w:after="100"/>
              <w:rPr>
                <w:rFonts w:eastAsia="Times New Roman"/>
                <w:sz w:val="20"/>
                <w:szCs w:val="20"/>
              </w:rPr>
            </w:pPr>
          </w:p>
        </w:tc>
        <w:tc>
          <w:tcPr>
            <w:tcW w:w="0" w:type="auto"/>
            <w:vAlign w:val="center"/>
            <w:hideMark/>
          </w:tcPr>
          <w:p w14:paraId="0D26CA10" w14:textId="77777777" w:rsidR="00000000" w:rsidRDefault="00405D16">
            <w:pPr>
              <w:spacing w:after="100"/>
              <w:rPr>
                <w:rFonts w:eastAsia="Times New Roman"/>
                <w:sz w:val="20"/>
                <w:szCs w:val="20"/>
              </w:rPr>
            </w:pPr>
          </w:p>
        </w:tc>
        <w:tc>
          <w:tcPr>
            <w:tcW w:w="0" w:type="auto"/>
            <w:vAlign w:val="center"/>
            <w:hideMark/>
          </w:tcPr>
          <w:p w14:paraId="24227ED0" w14:textId="77777777" w:rsidR="00000000" w:rsidRDefault="00405D16">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620A30F5" w14:textId="77777777">
        <w:trPr>
          <w:jc w:val="center"/>
        </w:trPr>
        <w:tc>
          <w:tcPr>
            <w:tcW w:w="50" w:type="pct"/>
            <w:vAlign w:val="center"/>
            <w:hideMark/>
          </w:tcPr>
          <w:p w14:paraId="57106CD6" w14:textId="77777777" w:rsidR="00000000" w:rsidRDefault="00405D16">
            <w:pPr>
              <w:rPr>
                <w:rFonts w:eastAsia="Times New Roman"/>
              </w:rPr>
            </w:pPr>
          </w:p>
        </w:tc>
        <w:tc>
          <w:tcPr>
            <w:tcW w:w="1606" w:type="pct"/>
            <w:vAlign w:val="center"/>
            <w:hideMark/>
          </w:tcPr>
          <w:p w14:paraId="2C2C2D94" w14:textId="77777777" w:rsidR="00000000" w:rsidRDefault="00405D16">
            <w:pPr>
              <w:spacing w:after="100"/>
              <w:rPr>
                <w:rFonts w:eastAsia="Times New Roman"/>
                <w:sz w:val="20"/>
                <w:szCs w:val="20"/>
              </w:rPr>
            </w:pPr>
          </w:p>
        </w:tc>
        <w:tc>
          <w:tcPr>
            <w:tcW w:w="5" w:type="pct"/>
            <w:vAlign w:val="center"/>
            <w:hideMark/>
          </w:tcPr>
          <w:p w14:paraId="35DD4675" w14:textId="77777777" w:rsidR="00000000" w:rsidRDefault="00405D16">
            <w:pPr>
              <w:spacing w:after="100"/>
              <w:rPr>
                <w:rFonts w:eastAsia="Times New Roman"/>
                <w:sz w:val="20"/>
                <w:szCs w:val="20"/>
              </w:rPr>
            </w:pPr>
          </w:p>
        </w:tc>
        <w:tc>
          <w:tcPr>
            <w:tcW w:w="50" w:type="pct"/>
            <w:vAlign w:val="center"/>
            <w:hideMark/>
          </w:tcPr>
          <w:p w14:paraId="04E4B91E" w14:textId="77777777" w:rsidR="00000000" w:rsidRDefault="00405D16">
            <w:pPr>
              <w:spacing w:after="100"/>
              <w:rPr>
                <w:rFonts w:eastAsia="Times New Roman"/>
                <w:sz w:val="20"/>
                <w:szCs w:val="20"/>
              </w:rPr>
            </w:pPr>
          </w:p>
        </w:tc>
        <w:tc>
          <w:tcPr>
            <w:tcW w:w="1614" w:type="pct"/>
            <w:vAlign w:val="center"/>
            <w:hideMark/>
          </w:tcPr>
          <w:p w14:paraId="559E79BB" w14:textId="77777777" w:rsidR="00000000" w:rsidRDefault="00405D16">
            <w:pPr>
              <w:spacing w:after="100"/>
              <w:rPr>
                <w:rFonts w:eastAsia="Times New Roman"/>
                <w:sz w:val="20"/>
                <w:szCs w:val="20"/>
              </w:rPr>
            </w:pPr>
          </w:p>
        </w:tc>
        <w:tc>
          <w:tcPr>
            <w:tcW w:w="5" w:type="pct"/>
            <w:vAlign w:val="center"/>
            <w:hideMark/>
          </w:tcPr>
          <w:p w14:paraId="3BB0DFDD" w14:textId="77777777" w:rsidR="00000000" w:rsidRDefault="00405D16">
            <w:pPr>
              <w:spacing w:after="100"/>
              <w:rPr>
                <w:rFonts w:eastAsia="Times New Roman"/>
                <w:sz w:val="20"/>
                <w:szCs w:val="20"/>
              </w:rPr>
            </w:pPr>
          </w:p>
        </w:tc>
        <w:tc>
          <w:tcPr>
            <w:tcW w:w="50" w:type="pct"/>
            <w:vAlign w:val="center"/>
            <w:hideMark/>
          </w:tcPr>
          <w:p w14:paraId="0B88EE77" w14:textId="77777777" w:rsidR="00000000" w:rsidRDefault="00405D16">
            <w:pPr>
              <w:spacing w:after="100"/>
              <w:rPr>
                <w:rFonts w:eastAsia="Times New Roman"/>
                <w:sz w:val="20"/>
                <w:szCs w:val="20"/>
              </w:rPr>
            </w:pPr>
          </w:p>
        </w:tc>
        <w:tc>
          <w:tcPr>
            <w:tcW w:w="1614" w:type="pct"/>
            <w:vAlign w:val="center"/>
            <w:hideMark/>
          </w:tcPr>
          <w:p w14:paraId="1F310228" w14:textId="77777777" w:rsidR="00000000" w:rsidRDefault="00405D16">
            <w:pPr>
              <w:spacing w:after="100"/>
              <w:rPr>
                <w:rFonts w:eastAsia="Times New Roman"/>
                <w:sz w:val="20"/>
                <w:szCs w:val="20"/>
              </w:rPr>
            </w:pPr>
          </w:p>
        </w:tc>
        <w:tc>
          <w:tcPr>
            <w:tcW w:w="5" w:type="pct"/>
            <w:vAlign w:val="center"/>
            <w:hideMark/>
          </w:tcPr>
          <w:p w14:paraId="362C717A" w14:textId="77777777" w:rsidR="00000000" w:rsidRDefault="00405D16">
            <w:pPr>
              <w:spacing w:after="100"/>
              <w:rPr>
                <w:rFonts w:eastAsia="Times New Roman"/>
                <w:sz w:val="20"/>
                <w:szCs w:val="20"/>
              </w:rPr>
            </w:pPr>
          </w:p>
        </w:tc>
      </w:tr>
      <w:tr w:rsidR="00000000" w14:paraId="27D5C671" w14:textId="77777777">
        <w:trPr>
          <w:jc w:val="center"/>
        </w:trPr>
        <w:tc>
          <w:tcPr>
            <w:tcW w:w="0" w:type="auto"/>
            <w:gridSpan w:val="9"/>
            <w:tcMar>
              <w:top w:w="30" w:type="dxa"/>
              <w:left w:w="20" w:type="dxa"/>
              <w:bottom w:w="30" w:type="dxa"/>
              <w:right w:w="20" w:type="dxa"/>
            </w:tcMar>
            <w:vAlign w:val="bottom"/>
            <w:hideMark/>
          </w:tcPr>
          <w:p w14:paraId="3C050677" w14:textId="77777777" w:rsidR="00000000" w:rsidRDefault="00405D16">
            <w:pPr>
              <w:spacing w:after="100"/>
              <w:jc w:val="center"/>
              <w:rPr>
                <w:rFonts w:eastAsia="Times New Roman"/>
              </w:rPr>
            </w:pPr>
            <w:r>
              <w:rPr>
                <w:rFonts w:eastAsia="Times New Roman"/>
                <w:color w:val="000000"/>
                <w:sz w:val="20"/>
                <w:szCs w:val="20"/>
              </w:rPr>
              <w:t>See Notes to Consolidated Financial Statements.</w:t>
            </w:r>
          </w:p>
        </w:tc>
      </w:tr>
      <w:tr w:rsidR="00000000" w14:paraId="3B61F6F5" w14:textId="77777777">
        <w:trPr>
          <w:jc w:val="center"/>
        </w:trPr>
        <w:tc>
          <w:tcPr>
            <w:tcW w:w="0" w:type="auto"/>
            <w:gridSpan w:val="3"/>
            <w:tcMar>
              <w:top w:w="0" w:type="dxa"/>
              <w:left w:w="20" w:type="dxa"/>
              <w:bottom w:w="0" w:type="dxa"/>
              <w:right w:w="20" w:type="dxa"/>
            </w:tcMar>
            <w:vAlign w:val="center"/>
            <w:hideMark/>
          </w:tcPr>
          <w:p w14:paraId="4F2AB444"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4527F07" w14:textId="77777777" w:rsidR="00000000" w:rsidRDefault="00405D16">
            <w:pPr>
              <w:spacing w:after="100"/>
              <w:jc w:val="center"/>
              <w:rPr>
                <w:rFonts w:eastAsia="Times New Roman"/>
              </w:rPr>
            </w:pPr>
            <w:r>
              <w:rPr>
                <w:rFonts w:eastAsia="Times New Roman"/>
                <w:color w:val="000000"/>
                <w:sz w:val="16"/>
                <w:szCs w:val="16"/>
              </w:rPr>
              <w:t>74</w:t>
            </w:r>
          </w:p>
        </w:tc>
        <w:tc>
          <w:tcPr>
            <w:tcW w:w="0" w:type="auto"/>
            <w:gridSpan w:val="3"/>
            <w:tcMar>
              <w:top w:w="30" w:type="dxa"/>
              <w:left w:w="20" w:type="dxa"/>
              <w:bottom w:w="30" w:type="dxa"/>
              <w:right w:w="20" w:type="dxa"/>
            </w:tcMar>
            <w:vAlign w:val="bottom"/>
            <w:hideMark/>
          </w:tcPr>
          <w:p w14:paraId="5BDFFFB7"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384BE8ED" w14:textId="77777777" w:rsidR="00000000" w:rsidRDefault="00405D16">
      <w:pPr>
        <w:rPr>
          <w:rFonts w:eastAsia="Times New Roman"/>
        </w:rPr>
      </w:pPr>
      <w:r>
        <w:rPr>
          <w:rFonts w:eastAsia="Times New Roman"/>
        </w:rPr>
        <w:pict w14:anchorId="4382EF82">
          <v:rect id="_x0000_i1099" style="width:0;height:1.5pt" o:hralign="center" o:hrstd="t" o:hr="t" fillcolor="#a0a0a0" stroked="f"/>
        </w:pict>
      </w:r>
    </w:p>
    <w:p w14:paraId="5333905B" w14:textId="77777777" w:rsidR="00000000" w:rsidRDefault="00405D16">
      <w:pPr>
        <w:jc w:val="both"/>
        <w:divId w:val="483396291"/>
        <w:rPr>
          <w:rFonts w:eastAsia="Times New Roman"/>
        </w:rPr>
      </w:pPr>
      <w:hyperlink w:anchor="idd54a04a485440b4ab4e56094c14d612_13" w:history="1">
        <w:r>
          <w:rPr>
            <w:rStyle w:val="a3"/>
            <w:rFonts w:eastAsia="Times New Roman"/>
            <w:sz w:val="16"/>
            <w:szCs w:val="16"/>
          </w:rPr>
          <w:t>Table of Contents</w:t>
        </w:r>
      </w:hyperlink>
    </w:p>
    <w:p w14:paraId="7C35DF1A" w14:textId="77777777" w:rsidR="00000000" w:rsidRDefault="00405D16">
      <w:pPr>
        <w:jc w:val="center"/>
        <w:divId w:val="483396291"/>
        <w:rPr>
          <w:rFonts w:eastAsia="Times New Roman"/>
        </w:rPr>
      </w:pPr>
    </w:p>
    <w:p w14:paraId="39BCE5CD" w14:textId="77777777" w:rsidR="00000000" w:rsidRDefault="00405D16">
      <w:pPr>
        <w:jc w:val="center"/>
        <w:divId w:val="483396291"/>
        <w:rPr>
          <w:rFonts w:eastAsia="Times New Roman"/>
        </w:rPr>
      </w:pPr>
      <w:r>
        <w:rPr>
          <w:rFonts w:eastAsia="Times New Roman"/>
          <w:b/>
          <w:bCs/>
          <w:color w:val="000000"/>
          <w:sz w:val="20"/>
          <w:szCs w:val="20"/>
        </w:rPr>
        <w:t>CAPITAL ONE FINANCIAL CORPORATION</w:t>
      </w:r>
    </w:p>
    <w:p w14:paraId="1EC8BEF8" w14:textId="77777777" w:rsidR="00000000" w:rsidRDefault="00405D16">
      <w:pPr>
        <w:jc w:val="center"/>
        <w:divId w:val="483396291"/>
        <w:rPr>
          <w:rFonts w:eastAsia="Times New Roman"/>
        </w:rPr>
      </w:pPr>
      <w:r>
        <w:rPr>
          <w:rFonts w:eastAsia="Times New Roman"/>
          <w:b/>
          <w:bCs/>
          <w:color w:val="000000"/>
          <w:sz w:val="20"/>
          <w:szCs w:val="20"/>
        </w:rPr>
        <w:t>CONSOLIDATED STATEMENTS OF CASH FLOWS (UNAUDITED)</w:t>
      </w:r>
    </w:p>
    <w:tbl>
      <w:tblPr>
        <w:tblW w:w="5000" w:type="pct"/>
        <w:tblCellMar>
          <w:top w:w="15" w:type="dxa"/>
          <w:left w:w="15" w:type="dxa"/>
          <w:bottom w:w="15" w:type="dxa"/>
          <w:right w:w="15" w:type="dxa"/>
        </w:tblCellMar>
        <w:tblLook w:val="04A0" w:firstRow="1" w:lastRow="0" w:firstColumn="1" w:lastColumn="0" w:noHBand="0" w:noVBand="1"/>
      </w:tblPr>
      <w:tblGrid>
        <w:gridCol w:w="41"/>
        <w:gridCol w:w="5503"/>
        <w:gridCol w:w="40"/>
        <w:gridCol w:w="36"/>
        <w:gridCol w:w="36"/>
        <w:gridCol w:w="36"/>
        <w:gridCol w:w="100"/>
        <w:gridCol w:w="1009"/>
        <w:gridCol w:w="36"/>
        <w:gridCol w:w="36"/>
        <w:gridCol w:w="36"/>
        <w:gridCol w:w="36"/>
        <w:gridCol w:w="100"/>
        <w:gridCol w:w="1009"/>
        <w:gridCol w:w="36"/>
        <w:gridCol w:w="36"/>
        <w:gridCol w:w="36"/>
        <w:gridCol w:w="36"/>
        <w:gridCol w:w="36"/>
        <w:gridCol w:w="36"/>
        <w:gridCol w:w="36"/>
      </w:tblGrid>
      <w:tr w:rsidR="00000000" w14:paraId="1B3D105D" w14:textId="77777777">
        <w:trPr>
          <w:divId w:val="1202203938"/>
        </w:trPr>
        <w:tc>
          <w:tcPr>
            <w:tcW w:w="50" w:type="pct"/>
            <w:vAlign w:val="center"/>
            <w:hideMark/>
          </w:tcPr>
          <w:p w14:paraId="1652ED3D" w14:textId="77777777" w:rsidR="00000000" w:rsidRDefault="00405D16">
            <w:pPr>
              <w:jc w:val="center"/>
              <w:rPr>
                <w:rFonts w:eastAsia="Times New Roman"/>
              </w:rPr>
            </w:pPr>
          </w:p>
        </w:tc>
        <w:tc>
          <w:tcPr>
            <w:tcW w:w="3424" w:type="pct"/>
            <w:vAlign w:val="center"/>
            <w:hideMark/>
          </w:tcPr>
          <w:p w14:paraId="0663F908" w14:textId="77777777" w:rsidR="00000000" w:rsidRDefault="00405D16">
            <w:pPr>
              <w:spacing w:after="100"/>
              <w:rPr>
                <w:rFonts w:eastAsia="Times New Roman"/>
                <w:sz w:val="20"/>
                <w:szCs w:val="20"/>
              </w:rPr>
            </w:pPr>
          </w:p>
        </w:tc>
        <w:tc>
          <w:tcPr>
            <w:tcW w:w="5" w:type="pct"/>
            <w:vAlign w:val="center"/>
            <w:hideMark/>
          </w:tcPr>
          <w:p w14:paraId="44556067" w14:textId="77777777" w:rsidR="00000000" w:rsidRDefault="00405D16">
            <w:pPr>
              <w:spacing w:after="100"/>
              <w:rPr>
                <w:rFonts w:eastAsia="Times New Roman"/>
                <w:sz w:val="20"/>
                <w:szCs w:val="20"/>
              </w:rPr>
            </w:pPr>
          </w:p>
        </w:tc>
        <w:tc>
          <w:tcPr>
            <w:tcW w:w="5" w:type="pct"/>
            <w:vAlign w:val="center"/>
            <w:hideMark/>
          </w:tcPr>
          <w:p w14:paraId="1A60279C" w14:textId="77777777" w:rsidR="00000000" w:rsidRDefault="00405D16">
            <w:pPr>
              <w:spacing w:after="100"/>
              <w:rPr>
                <w:rFonts w:eastAsia="Times New Roman"/>
                <w:sz w:val="20"/>
                <w:szCs w:val="20"/>
              </w:rPr>
            </w:pPr>
          </w:p>
        </w:tc>
        <w:tc>
          <w:tcPr>
            <w:tcW w:w="26" w:type="pct"/>
            <w:vAlign w:val="center"/>
            <w:hideMark/>
          </w:tcPr>
          <w:p w14:paraId="75DC5D7E" w14:textId="77777777" w:rsidR="00000000" w:rsidRDefault="00405D16">
            <w:pPr>
              <w:spacing w:after="100"/>
              <w:rPr>
                <w:rFonts w:eastAsia="Times New Roman"/>
                <w:sz w:val="20"/>
                <w:szCs w:val="20"/>
              </w:rPr>
            </w:pPr>
          </w:p>
        </w:tc>
        <w:tc>
          <w:tcPr>
            <w:tcW w:w="5" w:type="pct"/>
            <w:vAlign w:val="center"/>
            <w:hideMark/>
          </w:tcPr>
          <w:p w14:paraId="21FB921A" w14:textId="77777777" w:rsidR="00000000" w:rsidRDefault="00405D16">
            <w:pPr>
              <w:spacing w:after="100"/>
              <w:rPr>
                <w:rFonts w:eastAsia="Times New Roman"/>
                <w:sz w:val="20"/>
                <w:szCs w:val="20"/>
              </w:rPr>
            </w:pPr>
          </w:p>
        </w:tc>
        <w:tc>
          <w:tcPr>
            <w:tcW w:w="50" w:type="pct"/>
            <w:vAlign w:val="center"/>
            <w:hideMark/>
          </w:tcPr>
          <w:p w14:paraId="4B20B581" w14:textId="77777777" w:rsidR="00000000" w:rsidRDefault="00405D16">
            <w:pPr>
              <w:spacing w:after="100"/>
              <w:rPr>
                <w:rFonts w:eastAsia="Times New Roman"/>
                <w:sz w:val="20"/>
                <w:szCs w:val="20"/>
              </w:rPr>
            </w:pPr>
          </w:p>
        </w:tc>
        <w:tc>
          <w:tcPr>
            <w:tcW w:w="668" w:type="pct"/>
            <w:vAlign w:val="center"/>
            <w:hideMark/>
          </w:tcPr>
          <w:p w14:paraId="40DFE955" w14:textId="77777777" w:rsidR="00000000" w:rsidRDefault="00405D16">
            <w:pPr>
              <w:spacing w:after="100"/>
              <w:rPr>
                <w:rFonts w:eastAsia="Times New Roman"/>
                <w:sz w:val="20"/>
                <w:szCs w:val="20"/>
              </w:rPr>
            </w:pPr>
          </w:p>
        </w:tc>
        <w:tc>
          <w:tcPr>
            <w:tcW w:w="5" w:type="pct"/>
            <w:vAlign w:val="center"/>
            <w:hideMark/>
          </w:tcPr>
          <w:p w14:paraId="6907490E" w14:textId="77777777" w:rsidR="00000000" w:rsidRDefault="00405D16">
            <w:pPr>
              <w:spacing w:after="100"/>
              <w:rPr>
                <w:rFonts w:eastAsia="Times New Roman"/>
                <w:sz w:val="20"/>
                <w:szCs w:val="20"/>
              </w:rPr>
            </w:pPr>
          </w:p>
        </w:tc>
        <w:tc>
          <w:tcPr>
            <w:tcW w:w="5" w:type="pct"/>
            <w:vAlign w:val="center"/>
            <w:hideMark/>
          </w:tcPr>
          <w:p w14:paraId="578A7C7F" w14:textId="77777777" w:rsidR="00000000" w:rsidRDefault="00405D16">
            <w:pPr>
              <w:spacing w:after="100"/>
              <w:rPr>
                <w:rFonts w:eastAsia="Times New Roman"/>
                <w:sz w:val="20"/>
                <w:szCs w:val="20"/>
              </w:rPr>
            </w:pPr>
          </w:p>
        </w:tc>
        <w:tc>
          <w:tcPr>
            <w:tcW w:w="26" w:type="pct"/>
            <w:vAlign w:val="center"/>
            <w:hideMark/>
          </w:tcPr>
          <w:p w14:paraId="76D6E8E1" w14:textId="77777777" w:rsidR="00000000" w:rsidRDefault="00405D16">
            <w:pPr>
              <w:spacing w:after="100"/>
              <w:rPr>
                <w:rFonts w:eastAsia="Times New Roman"/>
                <w:sz w:val="20"/>
                <w:szCs w:val="20"/>
              </w:rPr>
            </w:pPr>
          </w:p>
        </w:tc>
        <w:tc>
          <w:tcPr>
            <w:tcW w:w="5" w:type="pct"/>
            <w:vAlign w:val="center"/>
            <w:hideMark/>
          </w:tcPr>
          <w:p w14:paraId="2DB0EA4A" w14:textId="77777777" w:rsidR="00000000" w:rsidRDefault="00405D16">
            <w:pPr>
              <w:spacing w:after="100"/>
              <w:rPr>
                <w:rFonts w:eastAsia="Times New Roman"/>
                <w:sz w:val="20"/>
                <w:szCs w:val="20"/>
              </w:rPr>
            </w:pPr>
          </w:p>
        </w:tc>
        <w:tc>
          <w:tcPr>
            <w:tcW w:w="50" w:type="pct"/>
            <w:vAlign w:val="center"/>
            <w:hideMark/>
          </w:tcPr>
          <w:p w14:paraId="7718D7BF" w14:textId="77777777" w:rsidR="00000000" w:rsidRDefault="00405D16">
            <w:pPr>
              <w:spacing w:after="100"/>
              <w:rPr>
                <w:rFonts w:eastAsia="Times New Roman"/>
                <w:sz w:val="20"/>
                <w:szCs w:val="20"/>
              </w:rPr>
            </w:pPr>
          </w:p>
        </w:tc>
        <w:tc>
          <w:tcPr>
            <w:tcW w:w="668" w:type="pct"/>
            <w:vAlign w:val="center"/>
            <w:hideMark/>
          </w:tcPr>
          <w:p w14:paraId="0F19A371" w14:textId="77777777" w:rsidR="00000000" w:rsidRDefault="00405D16">
            <w:pPr>
              <w:spacing w:after="100"/>
              <w:rPr>
                <w:rFonts w:eastAsia="Times New Roman"/>
                <w:sz w:val="20"/>
                <w:szCs w:val="20"/>
              </w:rPr>
            </w:pPr>
          </w:p>
        </w:tc>
        <w:tc>
          <w:tcPr>
            <w:tcW w:w="5" w:type="pct"/>
            <w:vAlign w:val="center"/>
            <w:hideMark/>
          </w:tcPr>
          <w:p w14:paraId="659FCCA3" w14:textId="77777777" w:rsidR="00000000" w:rsidRDefault="00405D16">
            <w:pPr>
              <w:spacing w:after="100"/>
              <w:rPr>
                <w:rFonts w:eastAsia="Times New Roman"/>
                <w:sz w:val="20"/>
                <w:szCs w:val="20"/>
              </w:rPr>
            </w:pPr>
          </w:p>
        </w:tc>
        <w:tc>
          <w:tcPr>
            <w:tcW w:w="0" w:type="auto"/>
            <w:gridSpan w:val="3"/>
            <w:vAlign w:val="center"/>
            <w:hideMark/>
          </w:tcPr>
          <w:p w14:paraId="3E7A77F6" w14:textId="77777777" w:rsidR="00000000" w:rsidRDefault="00405D16">
            <w:pPr>
              <w:spacing w:after="100"/>
              <w:rPr>
                <w:rFonts w:eastAsia="Times New Roman"/>
                <w:sz w:val="20"/>
                <w:szCs w:val="20"/>
              </w:rPr>
            </w:pPr>
          </w:p>
        </w:tc>
        <w:tc>
          <w:tcPr>
            <w:tcW w:w="0" w:type="auto"/>
            <w:gridSpan w:val="3"/>
            <w:vAlign w:val="center"/>
            <w:hideMark/>
          </w:tcPr>
          <w:p w14:paraId="7B58DDAC" w14:textId="77777777" w:rsidR="00000000" w:rsidRDefault="00405D16">
            <w:pPr>
              <w:spacing w:after="100"/>
              <w:rPr>
                <w:rFonts w:eastAsia="Times New Roman"/>
                <w:sz w:val="20"/>
                <w:szCs w:val="20"/>
              </w:rPr>
            </w:pPr>
          </w:p>
        </w:tc>
      </w:tr>
      <w:tr w:rsidR="00000000" w14:paraId="2268A02F" w14:textId="77777777">
        <w:trPr>
          <w:divId w:val="1202203938"/>
          <w:trHeight w:val="60"/>
        </w:trPr>
        <w:tc>
          <w:tcPr>
            <w:tcW w:w="0" w:type="auto"/>
            <w:gridSpan w:val="15"/>
            <w:tcMar>
              <w:top w:w="0" w:type="dxa"/>
              <w:left w:w="20" w:type="dxa"/>
              <w:bottom w:w="0" w:type="dxa"/>
              <w:right w:w="20" w:type="dxa"/>
            </w:tcMar>
            <w:vAlign w:val="center"/>
            <w:hideMark/>
          </w:tcPr>
          <w:p w14:paraId="10A98373" w14:textId="77777777" w:rsidR="00000000" w:rsidRDefault="00405D16">
            <w:pPr>
              <w:spacing w:after="100"/>
              <w:rPr>
                <w:rFonts w:eastAsia="Times New Roman"/>
                <w:sz w:val="20"/>
                <w:szCs w:val="20"/>
              </w:rPr>
            </w:pPr>
          </w:p>
        </w:tc>
        <w:tc>
          <w:tcPr>
            <w:tcW w:w="0" w:type="auto"/>
            <w:vAlign w:val="center"/>
            <w:hideMark/>
          </w:tcPr>
          <w:p w14:paraId="52248714" w14:textId="77777777" w:rsidR="00000000" w:rsidRDefault="00405D16">
            <w:pPr>
              <w:spacing w:after="100"/>
              <w:rPr>
                <w:rFonts w:eastAsia="Times New Roman"/>
                <w:sz w:val="20"/>
                <w:szCs w:val="20"/>
              </w:rPr>
            </w:pPr>
          </w:p>
        </w:tc>
        <w:tc>
          <w:tcPr>
            <w:tcW w:w="0" w:type="auto"/>
            <w:vAlign w:val="center"/>
            <w:hideMark/>
          </w:tcPr>
          <w:p w14:paraId="5E5EDBDC" w14:textId="77777777" w:rsidR="00000000" w:rsidRDefault="00405D16">
            <w:pPr>
              <w:spacing w:after="100"/>
              <w:rPr>
                <w:rFonts w:eastAsia="Times New Roman"/>
                <w:sz w:val="20"/>
                <w:szCs w:val="20"/>
              </w:rPr>
            </w:pPr>
          </w:p>
        </w:tc>
        <w:tc>
          <w:tcPr>
            <w:tcW w:w="0" w:type="auto"/>
            <w:vAlign w:val="center"/>
            <w:hideMark/>
          </w:tcPr>
          <w:p w14:paraId="78257FB4" w14:textId="77777777" w:rsidR="00000000" w:rsidRDefault="00405D16">
            <w:pPr>
              <w:spacing w:after="100"/>
              <w:rPr>
                <w:rFonts w:eastAsia="Times New Roman"/>
                <w:sz w:val="20"/>
                <w:szCs w:val="20"/>
              </w:rPr>
            </w:pPr>
          </w:p>
        </w:tc>
        <w:tc>
          <w:tcPr>
            <w:tcW w:w="0" w:type="auto"/>
            <w:vAlign w:val="center"/>
            <w:hideMark/>
          </w:tcPr>
          <w:p w14:paraId="51A11519" w14:textId="77777777" w:rsidR="00000000" w:rsidRDefault="00405D16">
            <w:pPr>
              <w:spacing w:after="100"/>
              <w:rPr>
                <w:rFonts w:eastAsia="Times New Roman"/>
                <w:sz w:val="20"/>
                <w:szCs w:val="20"/>
              </w:rPr>
            </w:pPr>
          </w:p>
        </w:tc>
        <w:tc>
          <w:tcPr>
            <w:tcW w:w="0" w:type="auto"/>
            <w:vAlign w:val="center"/>
            <w:hideMark/>
          </w:tcPr>
          <w:p w14:paraId="2BB351E6" w14:textId="77777777" w:rsidR="00000000" w:rsidRDefault="00405D16">
            <w:pPr>
              <w:spacing w:after="100"/>
              <w:rPr>
                <w:rFonts w:eastAsia="Times New Roman"/>
                <w:sz w:val="20"/>
                <w:szCs w:val="20"/>
              </w:rPr>
            </w:pPr>
          </w:p>
        </w:tc>
        <w:tc>
          <w:tcPr>
            <w:tcW w:w="0" w:type="auto"/>
            <w:vAlign w:val="center"/>
            <w:hideMark/>
          </w:tcPr>
          <w:p w14:paraId="1959BB06" w14:textId="77777777" w:rsidR="00000000" w:rsidRDefault="00405D16">
            <w:pPr>
              <w:spacing w:after="100"/>
              <w:rPr>
                <w:rFonts w:eastAsia="Times New Roman"/>
                <w:sz w:val="20"/>
                <w:szCs w:val="20"/>
              </w:rPr>
            </w:pPr>
          </w:p>
        </w:tc>
      </w:tr>
      <w:tr w:rsidR="00000000" w14:paraId="03F5FBAD" w14:textId="77777777">
        <w:trPr>
          <w:divId w:val="1202203938"/>
        </w:trPr>
        <w:tc>
          <w:tcPr>
            <w:tcW w:w="0" w:type="auto"/>
            <w:gridSpan w:val="3"/>
            <w:tcMar>
              <w:top w:w="0" w:type="dxa"/>
              <w:left w:w="20" w:type="dxa"/>
              <w:bottom w:w="0" w:type="dxa"/>
              <w:right w:w="20" w:type="dxa"/>
            </w:tcMar>
            <w:vAlign w:val="center"/>
            <w:hideMark/>
          </w:tcPr>
          <w:p w14:paraId="22D5FE19"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81C274" w14:textId="77777777" w:rsidR="00000000" w:rsidRDefault="00405D16">
            <w:pPr>
              <w:spacing w:after="100"/>
              <w:rPr>
                <w:rFonts w:eastAsia="Times New Roman"/>
                <w:sz w:val="20"/>
                <w:szCs w:val="20"/>
              </w:rPr>
            </w:pPr>
          </w:p>
        </w:tc>
        <w:tc>
          <w:tcPr>
            <w:tcW w:w="0" w:type="auto"/>
            <w:gridSpan w:val="9"/>
            <w:tcMar>
              <w:top w:w="30" w:type="dxa"/>
              <w:left w:w="20" w:type="dxa"/>
              <w:bottom w:w="30" w:type="dxa"/>
              <w:right w:w="20" w:type="dxa"/>
            </w:tcMar>
            <w:vAlign w:val="center"/>
            <w:hideMark/>
          </w:tcPr>
          <w:p w14:paraId="3B0D868D" w14:textId="77777777" w:rsidR="00000000" w:rsidRDefault="00405D16">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10EFA1B9" w14:textId="77777777" w:rsidR="00000000" w:rsidRDefault="00405D16">
            <w:pPr>
              <w:spacing w:after="100"/>
              <w:rPr>
                <w:rFonts w:eastAsia="Times New Roman"/>
                <w:sz w:val="20"/>
                <w:szCs w:val="20"/>
              </w:rPr>
            </w:pPr>
          </w:p>
        </w:tc>
        <w:tc>
          <w:tcPr>
            <w:tcW w:w="0" w:type="auto"/>
            <w:vAlign w:val="center"/>
            <w:hideMark/>
          </w:tcPr>
          <w:p w14:paraId="541BE928" w14:textId="77777777" w:rsidR="00000000" w:rsidRDefault="00405D16">
            <w:pPr>
              <w:spacing w:after="100"/>
              <w:rPr>
                <w:rFonts w:eastAsia="Times New Roman"/>
                <w:sz w:val="20"/>
                <w:szCs w:val="20"/>
              </w:rPr>
            </w:pPr>
          </w:p>
        </w:tc>
        <w:tc>
          <w:tcPr>
            <w:tcW w:w="0" w:type="auto"/>
            <w:vAlign w:val="center"/>
            <w:hideMark/>
          </w:tcPr>
          <w:p w14:paraId="4DCC9127" w14:textId="77777777" w:rsidR="00000000" w:rsidRDefault="00405D16">
            <w:pPr>
              <w:spacing w:after="100"/>
              <w:rPr>
                <w:rFonts w:eastAsia="Times New Roman"/>
                <w:sz w:val="20"/>
                <w:szCs w:val="20"/>
              </w:rPr>
            </w:pPr>
          </w:p>
        </w:tc>
        <w:tc>
          <w:tcPr>
            <w:tcW w:w="0" w:type="auto"/>
            <w:vAlign w:val="center"/>
            <w:hideMark/>
          </w:tcPr>
          <w:p w14:paraId="3BE9550B" w14:textId="77777777" w:rsidR="00000000" w:rsidRDefault="00405D16">
            <w:pPr>
              <w:spacing w:after="100"/>
              <w:rPr>
                <w:rFonts w:eastAsia="Times New Roman"/>
                <w:sz w:val="20"/>
                <w:szCs w:val="20"/>
              </w:rPr>
            </w:pPr>
          </w:p>
        </w:tc>
        <w:tc>
          <w:tcPr>
            <w:tcW w:w="0" w:type="auto"/>
            <w:vAlign w:val="center"/>
            <w:hideMark/>
          </w:tcPr>
          <w:p w14:paraId="0170529A" w14:textId="77777777" w:rsidR="00000000" w:rsidRDefault="00405D16">
            <w:pPr>
              <w:spacing w:after="100"/>
              <w:rPr>
                <w:rFonts w:eastAsia="Times New Roman"/>
                <w:sz w:val="20"/>
                <w:szCs w:val="20"/>
              </w:rPr>
            </w:pPr>
          </w:p>
        </w:tc>
        <w:tc>
          <w:tcPr>
            <w:tcW w:w="0" w:type="auto"/>
            <w:vAlign w:val="center"/>
            <w:hideMark/>
          </w:tcPr>
          <w:p w14:paraId="4D1D9BFC" w14:textId="77777777" w:rsidR="00000000" w:rsidRDefault="00405D16">
            <w:pPr>
              <w:spacing w:after="100"/>
              <w:rPr>
                <w:rFonts w:eastAsia="Times New Roman"/>
                <w:sz w:val="20"/>
                <w:szCs w:val="20"/>
              </w:rPr>
            </w:pPr>
          </w:p>
        </w:tc>
      </w:tr>
      <w:tr w:rsidR="00000000" w14:paraId="5CF86EC0" w14:textId="77777777">
        <w:trPr>
          <w:divId w:val="1202203938"/>
        </w:trPr>
        <w:tc>
          <w:tcPr>
            <w:tcW w:w="0" w:type="auto"/>
            <w:gridSpan w:val="3"/>
            <w:tcMar>
              <w:top w:w="30" w:type="dxa"/>
              <w:left w:w="20" w:type="dxa"/>
              <w:bottom w:w="30" w:type="dxa"/>
              <w:right w:w="20" w:type="dxa"/>
            </w:tcMar>
            <w:vAlign w:val="center"/>
            <w:hideMark/>
          </w:tcPr>
          <w:p w14:paraId="0EC4D4B9" w14:textId="77777777" w:rsidR="00000000" w:rsidRDefault="00405D16">
            <w:pPr>
              <w:spacing w:after="100"/>
              <w:rPr>
                <w:rFonts w:eastAsia="Times New Roman"/>
              </w:rPr>
            </w:pPr>
            <w:r>
              <w:rPr>
                <w:rFonts w:eastAsia="Times New Roman"/>
                <w:i/>
                <w:iCs/>
                <w:color w:val="000000"/>
                <w:sz w:val="16"/>
                <w:szCs w:val="16"/>
              </w:rPr>
              <w:t xml:space="preserve">(Dollars in millions) </w:t>
            </w:r>
          </w:p>
        </w:tc>
        <w:tc>
          <w:tcPr>
            <w:tcW w:w="0" w:type="auto"/>
            <w:gridSpan w:val="3"/>
            <w:tcMar>
              <w:top w:w="0" w:type="dxa"/>
              <w:left w:w="20" w:type="dxa"/>
              <w:bottom w:w="0" w:type="dxa"/>
              <w:right w:w="20" w:type="dxa"/>
            </w:tcMar>
            <w:vAlign w:val="center"/>
            <w:hideMark/>
          </w:tcPr>
          <w:p w14:paraId="30216B84"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0D26642C"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14DDAED3"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17888908"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gridSpan w:val="3"/>
            <w:vAlign w:val="center"/>
            <w:hideMark/>
          </w:tcPr>
          <w:p w14:paraId="6BFDAA1B" w14:textId="77777777" w:rsidR="00000000" w:rsidRDefault="00405D16">
            <w:pPr>
              <w:spacing w:after="100"/>
              <w:jc w:val="center"/>
              <w:rPr>
                <w:rFonts w:eastAsia="Times New Roman"/>
              </w:rPr>
            </w:pPr>
          </w:p>
        </w:tc>
        <w:tc>
          <w:tcPr>
            <w:tcW w:w="0" w:type="auto"/>
            <w:gridSpan w:val="3"/>
            <w:vAlign w:val="center"/>
            <w:hideMark/>
          </w:tcPr>
          <w:p w14:paraId="7D73C278" w14:textId="77777777" w:rsidR="00000000" w:rsidRDefault="00405D16">
            <w:pPr>
              <w:spacing w:after="100"/>
              <w:rPr>
                <w:rFonts w:eastAsia="Times New Roman"/>
                <w:sz w:val="20"/>
                <w:szCs w:val="20"/>
              </w:rPr>
            </w:pPr>
          </w:p>
        </w:tc>
      </w:tr>
      <w:tr w:rsidR="00000000" w14:paraId="0A9045BA" w14:textId="77777777">
        <w:trPr>
          <w:divId w:val="120220393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1BDB103" w14:textId="77777777" w:rsidR="00000000" w:rsidRDefault="00405D16">
            <w:pPr>
              <w:spacing w:after="100"/>
              <w:rPr>
                <w:rFonts w:eastAsia="Times New Roman"/>
              </w:rPr>
            </w:pPr>
            <w:r>
              <w:rPr>
                <w:rFonts w:eastAsia="Times New Roman"/>
                <w:b/>
                <w:bCs/>
                <w:color w:val="000000"/>
                <w:sz w:val="16"/>
                <w:szCs w:val="16"/>
              </w:rPr>
              <w:t>Financing activities:</w:t>
            </w:r>
          </w:p>
        </w:tc>
        <w:tc>
          <w:tcPr>
            <w:tcW w:w="0" w:type="auto"/>
            <w:gridSpan w:val="3"/>
            <w:shd w:val="clear" w:color="auto" w:fill="CCEEFF"/>
            <w:tcMar>
              <w:top w:w="0" w:type="dxa"/>
              <w:left w:w="20" w:type="dxa"/>
              <w:bottom w:w="0" w:type="dxa"/>
              <w:right w:w="20" w:type="dxa"/>
            </w:tcMar>
            <w:vAlign w:val="center"/>
            <w:hideMark/>
          </w:tcPr>
          <w:p w14:paraId="253CA432"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273DF6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4EC9C3"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39F1907" w14:textId="77777777" w:rsidR="00000000" w:rsidRDefault="00405D16">
            <w:pPr>
              <w:spacing w:after="100"/>
              <w:rPr>
                <w:rFonts w:eastAsia="Times New Roman"/>
                <w:sz w:val="20"/>
                <w:szCs w:val="20"/>
              </w:rPr>
            </w:pPr>
          </w:p>
        </w:tc>
        <w:tc>
          <w:tcPr>
            <w:tcW w:w="0" w:type="auto"/>
            <w:gridSpan w:val="3"/>
            <w:vAlign w:val="center"/>
            <w:hideMark/>
          </w:tcPr>
          <w:p w14:paraId="798FFD8D" w14:textId="77777777" w:rsidR="00000000" w:rsidRDefault="00405D16">
            <w:pPr>
              <w:spacing w:after="100"/>
              <w:rPr>
                <w:rFonts w:eastAsia="Times New Roman"/>
                <w:sz w:val="20"/>
                <w:szCs w:val="20"/>
              </w:rPr>
            </w:pPr>
          </w:p>
        </w:tc>
        <w:tc>
          <w:tcPr>
            <w:tcW w:w="0" w:type="auto"/>
            <w:gridSpan w:val="3"/>
            <w:vAlign w:val="center"/>
            <w:hideMark/>
          </w:tcPr>
          <w:p w14:paraId="23FF0C86" w14:textId="77777777" w:rsidR="00000000" w:rsidRDefault="00405D16">
            <w:pPr>
              <w:spacing w:after="100"/>
              <w:rPr>
                <w:rFonts w:eastAsia="Times New Roman"/>
                <w:sz w:val="20"/>
                <w:szCs w:val="20"/>
              </w:rPr>
            </w:pPr>
          </w:p>
        </w:tc>
      </w:tr>
      <w:tr w:rsidR="00000000" w14:paraId="3DB046E1" w14:textId="77777777">
        <w:trPr>
          <w:divId w:val="1202203938"/>
        </w:trPr>
        <w:tc>
          <w:tcPr>
            <w:tcW w:w="0" w:type="auto"/>
            <w:gridSpan w:val="3"/>
            <w:shd w:val="clear" w:color="auto" w:fill="FFFFFF"/>
            <w:tcMar>
              <w:top w:w="30" w:type="dxa"/>
              <w:left w:w="20" w:type="dxa"/>
              <w:bottom w:w="30" w:type="dxa"/>
              <w:right w:w="20" w:type="dxa"/>
            </w:tcMar>
            <w:vAlign w:val="center"/>
            <w:hideMark/>
          </w:tcPr>
          <w:p w14:paraId="5BCFAA44" w14:textId="77777777" w:rsidR="00000000" w:rsidRDefault="00405D16">
            <w:pPr>
              <w:spacing w:after="100"/>
              <w:rPr>
                <w:rFonts w:eastAsia="Times New Roman"/>
              </w:rPr>
            </w:pPr>
            <w:r>
              <w:rPr>
                <w:rFonts w:eastAsia="Times New Roman"/>
                <w:color w:val="000000"/>
                <w:sz w:val="16"/>
                <w:szCs w:val="16"/>
              </w:rPr>
              <w:t>Deposits and borrowings:</w:t>
            </w:r>
          </w:p>
        </w:tc>
        <w:tc>
          <w:tcPr>
            <w:tcW w:w="0" w:type="auto"/>
            <w:gridSpan w:val="3"/>
            <w:shd w:val="clear" w:color="auto" w:fill="FFFFFF"/>
            <w:tcMar>
              <w:top w:w="0" w:type="dxa"/>
              <w:left w:w="20" w:type="dxa"/>
              <w:bottom w:w="0" w:type="dxa"/>
              <w:right w:w="20" w:type="dxa"/>
            </w:tcMar>
            <w:vAlign w:val="center"/>
            <w:hideMark/>
          </w:tcPr>
          <w:p w14:paraId="48C3C74C"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C18B3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06D0A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7FE41E" w14:textId="77777777" w:rsidR="00000000" w:rsidRDefault="00405D16">
            <w:pPr>
              <w:spacing w:after="100"/>
              <w:rPr>
                <w:rFonts w:eastAsia="Times New Roman"/>
                <w:sz w:val="20"/>
                <w:szCs w:val="20"/>
              </w:rPr>
            </w:pPr>
          </w:p>
        </w:tc>
        <w:tc>
          <w:tcPr>
            <w:tcW w:w="0" w:type="auto"/>
            <w:gridSpan w:val="3"/>
            <w:vAlign w:val="center"/>
            <w:hideMark/>
          </w:tcPr>
          <w:p w14:paraId="5E5F5559" w14:textId="77777777" w:rsidR="00000000" w:rsidRDefault="00405D16">
            <w:pPr>
              <w:spacing w:after="100"/>
              <w:rPr>
                <w:rFonts w:eastAsia="Times New Roman"/>
                <w:sz w:val="20"/>
                <w:szCs w:val="20"/>
              </w:rPr>
            </w:pPr>
          </w:p>
        </w:tc>
        <w:tc>
          <w:tcPr>
            <w:tcW w:w="0" w:type="auto"/>
            <w:gridSpan w:val="3"/>
            <w:vAlign w:val="center"/>
            <w:hideMark/>
          </w:tcPr>
          <w:p w14:paraId="0A5A1A51" w14:textId="77777777" w:rsidR="00000000" w:rsidRDefault="00405D16">
            <w:pPr>
              <w:spacing w:after="100"/>
              <w:rPr>
                <w:rFonts w:eastAsia="Times New Roman"/>
                <w:sz w:val="20"/>
                <w:szCs w:val="20"/>
              </w:rPr>
            </w:pPr>
          </w:p>
        </w:tc>
      </w:tr>
      <w:tr w:rsidR="00000000" w14:paraId="6CB89794" w14:textId="77777777">
        <w:trPr>
          <w:divId w:val="1202203938"/>
        </w:trPr>
        <w:tc>
          <w:tcPr>
            <w:tcW w:w="0" w:type="auto"/>
            <w:gridSpan w:val="3"/>
            <w:shd w:val="clear" w:color="auto" w:fill="CCEEFF"/>
            <w:tcMar>
              <w:top w:w="30" w:type="dxa"/>
              <w:left w:w="245" w:type="dxa"/>
              <w:bottom w:w="30" w:type="dxa"/>
              <w:right w:w="20" w:type="dxa"/>
            </w:tcMar>
            <w:vAlign w:val="center"/>
            <w:hideMark/>
          </w:tcPr>
          <w:p w14:paraId="2E9BFB15" w14:textId="77777777" w:rsidR="00000000" w:rsidRDefault="00405D16">
            <w:pPr>
              <w:spacing w:after="100"/>
              <w:rPr>
                <w:rFonts w:eastAsia="Times New Roman"/>
              </w:rPr>
            </w:pPr>
            <w:r>
              <w:rPr>
                <w:rFonts w:eastAsia="Times New Roman"/>
                <w:color w:val="000000"/>
                <w:sz w:val="16"/>
                <w:szCs w:val="16"/>
              </w:rPr>
              <w:t>Changes in deposits</w:t>
            </w:r>
          </w:p>
        </w:tc>
        <w:tc>
          <w:tcPr>
            <w:tcW w:w="0" w:type="auto"/>
            <w:gridSpan w:val="3"/>
            <w:shd w:val="clear" w:color="auto" w:fill="CCEEFF"/>
            <w:tcMar>
              <w:top w:w="0" w:type="dxa"/>
              <w:left w:w="20" w:type="dxa"/>
              <w:bottom w:w="0" w:type="dxa"/>
              <w:right w:w="20" w:type="dxa"/>
            </w:tcMar>
            <w:vAlign w:val="center"/>
            <w:hideMark/>
          </w:tcPr>
          <w:p w14:paraId="30FC2A33" w14:textId="77777777" w:rsidR="00000000" w:rsidRDefault="00405D16">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54EBAAA3" w14:textId="77777777" w:rsidR="00000000" w:rsidRDefault="00405D16">
            <w:pPr>
              <w:spacing w:after="100"/>
              <w:rPr>
                <w:rFonts w:eastAsia="Times New Roman"/>
              </w:rPr>
            </w:pPr>
            <w:r>
              <w:rPr>
                <w:rFonts w:eastAsia="Times New Roman"/>
                <w:b/>
                <w:bCs/>
                <w:color w:val="000000"/>
                <w:sz w:val="16"/>
                <w:szCs w:val="16"/>
              </w:rPr>
              <w:t>$</w:t>
            </w:r>
          </w:p>
        </w:tc>
        <w:tc>
          <w:tcPr>
            <w:tcW w:w="0" w:type="auto"/>
            <w:shd w:val="clear" w:color="auto" w:fill="CCEEFF"/>
            <w:tcMar>
              <w:top w:w="30" w:type="dxa"/>
              <w:left w:w="0" w:type="dxa"/>
              <w:bottom w:w="30" w:type="dxa"/>
              <w:right w:w="0" w:type="dxa"/>
            </w:tcMar>
            <w:vAlign w:val="center"/>
            <w:hideMark/>
          </w:tcPr>
          <w:p w14:paraId="6FFE0D52" w14:textId="77777777" w:rsidR="00000000" w:rsidRDefault="00405D16">
            <w:pPr>
              <w:spacing w:after="100"/>
              <w:jc w:val="right"/>
              <w:rPr>
                <w:rFonts w:eastAsia="Times New Roman"/>
              </w:rPr>
            </w:pPr>
            <w:r>
              <w:rPr>
                <w:rFonts w:eastAsia="Times New Roman"/>
                <w:b/>
                <w:bCs/>
                <w:color w:val="000000"/>
                <w:sz w:val="16"/>
                <w:szCs w:val="16"/>
              </w:rPr>
              <w:t>597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0052086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1892B5"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57C1144D" w14:textId="77777777" w:rsidR="00000000" w:rsidRDefault="00405D16">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14:paraId="2534C170" w14:textId="77777777" w:rsidR="00000000" w:rsidRDefault="00405D16">
            <w:pPr>
              <w:spacing w:after="100"/>
              <w:jc w:val="right"/>
              <w:rPr>
                <w:rFonts w:eastAsia="Times New Roman"/>
              </w:rPr>
            </w:pPr>
            <w:r>
              <w:rPr>
                <w:rFonts w:eastAsia="Times New Roman"/>
                <w:color w:val="000000"/>
                <w:sz w:val="16"/>
                <w:szCs w:val="16"/>
              </w:rPr>
              <w:t>42,763 </w:t>
            </w:r>
          </w:p>
        </w:tc>
        <w:tc>
          <w:tcPr>
            <w:tcW w:w="0" w:type="auto"/>
            <w:shd w:val="clear" w:color="auto" w:fill="CCEEFF"/>
            <w:tcMar>
              <w:top w:w="30" w:type="dxa"/>
              <w:left w:w="0" w:type="dxa"/>
              <w:bottom w:w="30" w:type="dxa"/>
              <w:right w:w="20" w:type="dxa"/>
            </w:tcMar>
            <w:vAlign w:val="center"/>
            <w:hideMark/>
          </w:tcPr>
          <w:p w14:paraId="73EDBC01" w14:textId="77777777" w:rsidR="00000000" w:rsidRDefault="00405D16">
            <w:pPr>
              <w:spacing w:after="100"/>
              <w:jc w:val="right"/>
              <w:rPr>
                <w:rFonts w:eastAsia="Times New Roman"/>
              </w:rPr>
            </w:pPr>
          </w:p>
        </w:tc>
        <w:tc>
          <w:tcPr>
            <w:tcW w:w="0" w:type="auto"/>
            <w:gridSpan w:val="3"/>
            <w:vAlign w:val="center"/>
            <w:hideMark/>
          </w:tcPr>
          <w:p w14:paraId="025255CC" w14:textId="77777777" w:rsidR="00000000" w:rsidRDefault="00405D16">
            <w:pPr>
              <w:spacing w:after="100"/>
              <w:jc w:val="right"/>
              <w:rPr>
                <w:rFonts w:eastAsia="Times New Roman"/>
                <w:sz w:val="20"/>
                <w:szCs w:val="20"/>
              </w:rPr>
            </w:pPr>
          </w:p>
        </w:tc>
        <w:tc>
          <w:tcPr>
            <w:tcW w:w="0" w:type="auto"/>
            <w:gridSpan w:val="3"/>
            <w:vAlign w:val="center"/>
            <w:hideMark/>
          </w:tcPr>
          <w:p w14:paraId="2BB22816" w14:textId="77777777" w:rsidR="00000000" w:rsidRDefault="00405D16">
            <w:pPr>
              <w:spacing w:after="100"/>
              <w:rPr>
                <w:rFonts w:eastAsia="Times New Roman"/>
                <w:sz w:val="20"/>
                <w:szCs w:val="20"/>
              </w:rPr>
            </w:pPr>
          </w:p>
        </w:tc>
      </w:tr>
      <w:tr w:rsidR="00000000" w14:paraId="13C19406" w14:textId="77777777">
        <w:trPr>
          <w:divId w:val="1202203938"/>
        </w:trPr>
        <w:tc>
          <w:tcPr>
            <w:tcW w:w="0" w:type="auto"/>
            <w:gridSpan w:val="3"/>
            <w:shd w:val="clear" w:color="auto" w:fill="FFFFFF"/>
            <w:tcMar>
              <w:top w:w="30" w:type="dxa"/>
              <w:left w:w="245" w:type="dxa"/>
              <w:bottom w:w="30" w:type="dxa"/>
              <w:right w:w="20" w:type="dxa"/>
            </w:tcMar>
            <w:vAlign w:val="center"/>
            <w:hideMark/>
          </w:tcPr>
          <w:p w14:paraId="009BF378" w14:textId="77777777" w:rsidR="00000000" w:rsidRDefault="00405D16">
            <w:pPr>
              <w:spacing w:after="100"/>
              <w:rPr>
                <w:rFonts w:eastAsia="Times New Roman"/>
              </w:rPr>
            </w:pPr>
            <w:r>
              <w:rPr>
                <w:rFonts w:eastAsia="Times New Roman"/>
                <w:color w:val="000000"/>
                <w:sz w:val="16"/>
                <w:szCs w:val="16"/>
              </w:rPr>
              <w:t>Issuance of securitized debt obligations</w:t>
            </w:r>
          </w:p>
        </w:tc>
        <w:tc>
          <w:tcPr>
            <w:tcW w:w="0" w:type="auto"/>
            <w:gridSpan w:val="3"/>
            <w:shd w:val="clear" w:color="auto" w:fill="FFFFFF"/>
            <w:tcMar>
              <w:top w:w="0" w:type="dxa"/>
              <w:left w:w="20" w:type="dxa"/>
              <w:bottom w:w="0" w:type="dxa"/>
              <w:right w:w="20" w:type="dxa"/>
            </w:tcMar>
            <w:vAlign w:val="center"/>
            <w:hideMark/>
          </w:tcPr>
          <w:p w14:paraId="79D7E8E1"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B0DF8F9" w14:textId="77777777" w:rsidR="00000000" w:rsidRDefault="00405D16">
            <w:pPr>
              <w:spacing w:after="100"/>
              <w:jc w:val="right"/>
              <w:rPr>
                <w:rFonts w:eastAsia="Times New Roman"/>
              </w:rPr>
            </w:pPr>
            <w:r>
              <w:rPr>
                <w:rFonts w:eastAsia="Times New Roman"/>
                <w:b/>
                <w:bCs/>
                <w:color w:val="000000"/>
                <w:sz w:val="16"/>
                <w:szCs w:val="16"/>
              </w:rPr>
              <w:t>2,991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121549C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BCA26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0AFF37C" w14:textId="77777777" w:rsidR="00000000" w:rsidRDefault="00405D16">
            <w:pPr>
              <w:spacing w:after="100"/>
              <w:jc w:val="right"/>
              <w:rPr>
                <w:rFonts w:eastAsia="Times New Roman"/>
              </w:rPr>
            </w:pPr>
            <w:r>
              <w:rPr>
                <w:rFonts w:eastAsia="Times New Roman"/>
                <w:color w:val="000000"/>
                <w:sz w:val="16"/>
                <w:szCs w:val="16"/>
              </w:rPr>
              <w:t>1,248 </w:t>
            </w:r>
          </w:p>
        </w:tc>
        <w:tc>
          <w:tcPr>
            <w:tcW w:w="0" w:type="auto"/>
            <w:shd w:val="clear" w:color="auto" w:fill="FFFFFF"/>
            <w:tcMar>
              <w:top w:w="30" w:type="dxa"/>
              <w:left w:w="0" w:type="dxa"/>
              <w:bottom w:w="30" w:type="dxa"/>
              <w:right w:w="20" w:type="dxa"/>
            </w:tcMar>
            <w:vAlign w:val="center"/>
            <w:hideMark/>
          </w:tcPr>
          <w:p w14:paraId="391CA541" w14:textId="77777777" w:rsidR="00000000" w:rsidRDefault="00405D16">
            <w:pPr>
              <w:spacing w:after="100"/>
              <w:jc w:val="right"/>
              <w:rPr>
                <w:rFonts w:eastAsia="Times New Roman"/>
              </w:rPr>
            </w:pPr>
          </w:p>
        </w:tc>
        <w:tc>
          <w:tcPr>
            <w:tcW w:w="0" w:type="auto"/>
            <w:gridSpan w:val="3"/>
            <w:vAlign w:val="center"/>
            <w:hideMark/>
          </w:tcPr>
          <w:p w14:paraId="1AFC73DA" w14:textId="77777777" w:rsidR="00000000" w:rsidRDefault="00405D16">
            <w:pPr>
              <w:spacing w:after="100"/>
              <w:jc w:val="right"/>
              <w:rPr>
                <w:rFonts w:eastAsia="Times New Roman"/>
                <w:sz w:val="20"/>
                <w:szCs w:val="20"/>
              </w:rPr>
            </w:pPr>
          </w:p>
        </w:tc>
        <w:tc>
          <w:tcPr>
            <w:tcW w:w="0" w:type="auto"/>
            <w:gridSpan w:val="3"/>
            <w:vAlign w:val="center"/>
            <w:hideMark/>
          </w:tcPr>
          <w:p w14:paraId="61F51F60" w14:textId="77777777" w:rsidR="00000000" w:rsidRDefault="00405D16">
            <w:pPr>
              <w:spacing w:after="100"/>
              <w:rPr>
                <w:rFonts w:eastAsia="Times New Roman"/>
                <w:sz w:val="20"/>
                <w:szCs w:val="20"/>
              </w:rPr>
            </w:pPr>
          </w:p>
        </w:tc>
      </w:tr>
      <w:tr w:rsidR="00000000" w14:paraId="483E9AA2" w14:textId="77777777">
        <w:trPr>
          <w:divId w:val="1202203938"/>
        </w:trPr>
        <w:tc>
          <w:tcPr>
            <w:tcW w:w="0" w:type="auto"/>
            <w:gridSpan w:val="3"/>
            <w:shd w:val="clear" w:color="auto" w:fill="CCEEFF"/>
            <w:tcMar>
              <w:top w:w="30" w:type="dxa"/>
              <w:left w:w="245" w:type="dxa"/>
              <w:bottom w:w="30" w:type="dxa"/>
              <w:right w:w="20" w:type="dxa"/>
            </w:tcMar>
            <w:vAlign w:val="center"/>
            <w:hideMark/>
          </w:tcPr>
          <w:p w14:paraId="04585E1C" w14:textId="77777777" w:rsidR="00000000" w:rsidRDefault="00405D16">
            <w:pPr>
              <w:spacing w:after="100"/>
              <w:rPr>
                <w:rFonts w:eastAsia="Times New Roman"/>
              </w:rPr>
            </w:pPr>
            <w:r>
              <w:rPr>
                <w:rFonts w:eastAsia="Times New Roman"/>
                <w:color w:val="000000"/>
                <w:sz w:val="16"/>
                <w:szCs w:val="16"/>
              </w:rPr>
              <w:t>Maturities and paydowns of securitized debt obligations</w:t>
            </w:r>
          </w:p>
        </w:tc>
        <w:tc>
          <w:tcPr>
            <w:tcW w:w="0" w:type="auto"/>
            <w:gridSpan w:val="3"/>
            <w:shd w:val="clear" w:color="auto" w:fill="CCEEFF"/>
            <w:tcMar>
              <w:top w:w="0" w:type="dxa"/>
              <w:left w:w="20" w:type="dxa"/>
              <w:bottom w:w="0" w:type="dxa"/>
              <w:right w:w="20" w:type="dxa"/>
            </w:tcMar>
            <w:vAlign w:val="center"/>
            <w:hideMark/>
          </w:tcPr>
          <w:p w14:paraId="4D1F06ED"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A599920" w14:textId="77777777" w:rsidR="00000000" w:rsidRDefault="00405D16">
            <w:pPr>
              <w:spacing w:after="100"/>
              <w:jc w:val="right"/>
              <w:rPr>
                <w:rFonts w:eastAsia="Times New Roman"/>
              </w:rPr>
            </w:pPr>
            <w:r>
              <w:rPr>
                <w:rFonts w:eastAsia="Times New Roman"/>
                <w:b/>
                <w:bCs/>
                <w:color w:val="000000"/>
                <w:sz w:val="16"/>
                <w:szCs w:val="16"/>
              </w:rPr>
              <w:t>(2,638)</w:t>
            </w:r>
          </w:p>
        </w:tc>
        <w:tc>
          <w:tcPr>
            <w:tcW w:w="0" w:type="auto"/>
            <w:shd w:val="clear" w:color="auto" w:fill="CCEEFF"/>
            <w:tcMar>
              <w:top w:w="30" w:type="dxa"/>
              <w:left w:w="0" w:type="dxa"/>
              <w:bottom w:w="30" w:type="dxa"/>
              <w:right w:w="20" w:type="dxa"/>
            </w:tcMar>
            <w:vAlign w:val="center"/>
            <w:hideMark/>
          </w:tcPr>
          <w:p w14:paraId="1A54311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EC691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A879AF9" w14:textId="77777777" w:rsidR="00000000" w:rsidRDefault="00405D16">
            <w:pPr>
              <w:spacing w:after="100"/>
              <w:jc w:val="right"/>
              <w:rPr>
                <w:rFonts w:eastAsia="Times New Roman"/>
              </w:rPr>
            </w:pPr>
            <w:r>
              <w:rPr>
                <w:rFonts w:eastAsia="Times New Roman"/>
                <w:color w:val="000000"/>
                <w:sz w:val="16"/>
                <w:szCs w:val="16"/>
              </w:rPr>
              <w:t>(5,752)</w:t>
            </w:r>
          </w:p>
        </w:tc>
        <w:tc>
          <w:tcPr>
            <w:tcW w:w="0" w:type="auto"/>
            <w:shd w:val="clear" w:color="auto" w:fill="CCEEFF"/>
            <w:tcMar>
              <w:top w:w="30" w:type="dxa"/>
              <w:left w:w="0" w:type="dxa"/>
              <w:bottom w:w="30" w:type="dxa"/>
              <w:right w:w="20" w:type="dxa"/>
            </w:tcMar>
            <w:vAlign w:val="center"/>
            <w:hideMark/>
          </w:tcPr>
          <w:p w14:paraId="4F512E94" w14:textId="77777777" w:rsidR="00000000" w:rsidRDefault="00405D16">
            <w:pPr>
              <w:spacing w:after="100"/>
              <w:jc w:val="right"/>
              <w:rPr>
                <w:rFonts w:eastAsia="Times New Roman"/>
              </w:rPr>
            </w:pPr>
          </w:p>
        </w:tc>
        <w:tc>
          <w:tcPr>
            <w:tcW w:w="0" w:type="auto"/>
            <w:gridSpan w:val="3"/>
            <w:vAlign w:val="center"/>
            <w:hideMark/>
          </w:tcPr>
          <w:p w14:paraId="7874C1B9" w14:textId="77777777" w:rsidR="00000000" w:rsidRDefault="00405D16">
            <w:pPr>
              <w:spacing w:after="100"/>
              <w:jc w:val="right"/>
              <w:rPr>
                <w:rFonts w:eastAsia="Times New Roman"/>
                <w:sz w:val="20"/>
                <w:szCs w:val="20"/>
              </w:rPr>
            </w:pPr>
          </w:p>
        </w:tc>
        <w:tc>
          <w:tcPr>
            <w:tcW w:w="0" w:type="auto"/>
            <w:gridSpan w:val="3"/>
            <w:vAlign w:val="center"/>
            <w:hideMark/>
          </w:tcPr>
          <w:p w14:paraId="3238CDDE" w14:textId="77777777" w:rsidR="00000000" w:rsidRDefault="00405D16">
            <w:pPr>
              <w:spacing w:after="100"/>
              <w:rPr>
                <w:rFonts w:eastAsia="Times New Roman"/>
                <w:sz w:val="20"/>
                <w:szCs w:val="20"/>
              </w:rPr>
            </w:pPr>
          </w:p>
        </w:tc>
      </w:tr>
      <w:tr w:rsidR="00000000" w14:paraId="23BFAE5E" w14:textId="77777777">
        <w:trPr>
          <w:divId w:val="1202203938"/>
        </w:trPr>
        <w:tc>
          <w:tcPr>
            <w:tcW w:w="0" w:type="auto"/>
            <w:gridSpan w:val="3"/>
            <w:shd w:val="clear" w:color="auto" w:fill="FFFFFF"/>
            <w:tcMar>
              <w:top w:w="30" w:type="dxa"/>
              <w:left w:w="245" w:type="dxa"/>
              <w:bottom w:w="30" w:type="dxa"/>
              <w:right w:w="20" w:type="dxa"/>
            </w:tcMar>
            <w:vAlign w:val="center"/>
            <w:hideMark/>
          </w:tcPr>
          <w:p w14:paraId="24BF22A7" w14:textId="77777777" w:rsidR="00000000" w:rsidRDefault="00405D16">
            <w:pPr>
              <w:spacing w:after="100"/>
              <w:rPr>
                <w:rFonts w:eastAsia="Times New Roman"/>
              </w:rPr>
            </w:pPr>
            <w:r>
              <w:rPr>
                <w:rFonts w:eastAsia="Times New Roman"/>
                <w:color w:val="000000"/>
                <w:sz w:val="16"/>
                <w:szCs w:val="16"/>
              </w:rPr>
              <w:t>Issuance of senior and subordinated notes and long-term FHLB advances</w:t>
            </w:r>
          </w:p>
        </w:tc>
        <w:tc>
          <w:tcPr>
            <w:tcW w:w="0" w:type="auto"/>
            <w:gridSpan w:val="3"/>
            <w:shd w:val="clear" w:color="auto" w:fill="FFFFFF"/>
            <w:tcMar>
              <w:top w:w="0" w:type="dxa"/>
              <w:left w:w="20" w:type="dxa"/>
              <w:bottom w:w="0" w:type="dxa"/>
              <w:right w:w="20" w:type="dxa"/>
            </w:tcMar>
            <w:vAlign w:val="center"/>
            <w:hideMark/>
          </w:tcPr>
          <w:p w14:paraId="53A1266D"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84C018E" w14:textId="77777777" w:rsidR="00000000" w:rsidRDefault="00405D16">
            <w:pPr>
              <w:spacing w:after="100"/>
              <w:jc w:val="right"/>
              <w:rPr>
                <w:rFonts w:eastAsia="Times New Roman"/>
              </w:rPr>
            </w:pPr>
            <w:r>
              <w:rPr>
                <w:rFonts w:eastAsia="Times New Roman"/>
                <w:b/>
                <w:bCs/>
                <w:color w:val="000000"/>
                <w:sz w:val="16"/>
                <w:szCs w:val="16"/>
              </w:rPr>
              <w:t>996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46E49C3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4AF9C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65DE9F1" w14:textId="77777777" w:rsidR="00000000" w:rsidRDefault="00405D16">
            <w:pPr>
              <w:spacing w:after="100"/>
              <w:jc w:val="right"/>
              <w:rPr>
                <w:rFonts w:eastAsia="Times New Roman"/>
              </w:rPr>
            </w:pPr>
            <w:r>
              <w:rPr>
                <w:rFonts w:eastAsia="Times New Roman"/>
                <w:color w:val="000000"/>
                <w:sz w:val="16"/>
                <w:szCs w:val="16"/>
              </w:rPr>
              <w:t>3,987 </w:t>
            </w:r>
          </w:p>
        </w:tc>
        <w:tc>
          <w:tcPr>
            <w:tcW w:w="0" w:type="auto"/>
            <w:shd w:val="clear" w:color="auto" w:fill="FFFFFF"/>
            <w:tcMar>
              <w:top w:w="30" w:type="dxa"/>
              <w:left w:w="0" w:type="dxa"/>
              <w:bottom w:w="30" w:type="dxa"/>
              <w:right w:w="20" w:type="dxa"/>
            </w:tcMar>
            <w:vAlign w:val="center"/>
            <w:hideMark/>
          </w:tcPr>
          <w:p w14:paraId="2BE48C6E" w14:textId="77777777" w:rsidR="00000000" w:rsidRDefault="00405D16">
            <w:pPr>
              <w:spacing w:after="100"/>
              <w:jc w:val="right"/>
              <w:rPr>
                <w:rFonts w:eastAsia="Times New Roman"/>
              </w:rPr>
            </w:pPr>
          </w:p>
        </w:tc>
        <w:tc>
          <w:tcPr>
            <w:tcW w:w="0" w:type="auto"/>
            <w:gridSpan w:val="3"/>
            <w:vAlign w:val="center"/>
            <w:hideMark/>
          </w:tcPr>
          <w:p w14:paraId="79EC358B" w14:textId="77777777" w:rsidR="00000000" w:rsidRDefault="00405D16">
            <w:pPr>
              <w:spacing w:after="100"/>
              <w:jc w:val="right"/>
              <w:rPr>
                <w:rFonts w:eastAsia="Times New Roman"/>
                <w:sz w:val="20"/>
                <w:szCs w:val="20"/>
              </w:rPr>
            </w:pPr>
          </w:p>
        </w:tc>
        <w:tc>
          <w:tcPr>
            <w:tcW w:w="0" w:type="auto"/>
            <w:gridSpan w:val="3"/>
            <w:vAlign w:val="center"/>
            <w:hideMark/>
          </w:tcPr>
          <w:p w14:paraId="75CF10AD" w14:textId="77777777" w:rsidR="00000000" w:rsidRDefault="00405D16">
            <w:pPr>
              <w:spacing w:after="100"/>
              <w:rPr>
                <w:rFonts w:eastAsia="Times New Roman"/>
                <w:sz w:val="20"/>
                <w:szCs w:val="20"/>
              </w:rPr>
            </w:pPr>
          </w:p>
        </w:tc>
      </w:tr>
      <w:tr w:rsidR="00000000" w14:paraId="31FED371" w14:textId="77777777">
        <w:trPr>
          <w:divId w:val="1202203938"/>
        </w:trPr>
        <w:tc>
          <w:tcPr>
            <w:tcW w:w="0" w:type="auto"/>
            <w:gridSpan w:val="3"/>
            <w:shd w:val="clear" w:color="auto" w:fill="CCEEFF"/>
            <w:tcMar>
              <w:top w:w="30" w:type="dxa"/>
              <w:left w:w="245" w:type="dxa"/>
              <w:bottom w:w="30" w:type="dxa"/>
              <w:right w:w="20" w:type="dxa"/>
            </w:tcMar>
            <w:vAlign w:val="center"/>
            <w:hideMark/>
          </w:tcPr>
          <w:p w14:paraId="0B9106D2" w14:textId="77777777" w:rsidR="00000000" w:rsidRDefault="00405D16">
            <w:pPr>
              <w:spacing w:after="100"/>
              <w:rPr>
                <w:rFonts w:eastAsia="Times New Roman"/>
              </w:rPr>
            </w:pPr>
            <w:r>
              <w:rPr>
                <w:rFonts w:eastAsia="Times New Roman"/>
                <w:color w:val="000000"/>
                <w:sz w:val="16"/>
                <w:szCs w:val="16"/>
              </w:rPr>
              <w:t>Maturities and paydowns of senior and subordinated notes and long-term FHLB advances</w:t>
            </w:r>
          </w:p>
        </w:tc>
        <w:tc>
          <w:tcPr>
            <w:tcW w:w="0" w:type="auto"/>
            <w:gridSpan w:val="3"/>
            <w:shd w:val="clear" w:color="auto" w:fill="CCEEFF"/>
            <w:tcMar>
              <w:top w:w="0" w:type="dxa"/>
              <w:left w:w="20" w:type="dxa"/>
              <w:bottom w:w="0" w:type="dxa"/>
              <w:right w:w="20" w:type="dxa"/>
            </w:tcMar>
            <w:vAlign w:val="center"/>
            <w:hideMark/>
          </w:tcPr>
          <w:p w14:paraId="55BF6261"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A2E1701" w14:textId="77777777" w:rsidR="00000000" w:rsidRDefault="00405D16">
            <w:pPr>
              <w:spacing w:after="100"/>
              <w:jc w:val="right"/>
              <w:rPr>
                <w:rFonts w:eastAsia="Times New Roman"/>
              </w:rPr>
            </w:pPr>
            <w:r>
              <w:rPr>
                <w:rFonts w:eastAsia="Times New Roman"/>
                <w:b/>
                <w:bCs/>
                <w:color w:val="000000"/>
                <w:sz w:val="16"/>
                <w:szCs w:val="16"/>
              </w:rPr>
              <w:t>(3,851)</w:t>
            </w:r>
          </w:p>
        </w:tc>
        <w:tc>
          <w:tcPr>
            <w:tcW w:w="0" w:type="auto"/>
            <w:shd w:val="clear" w:color="auto" w:fill="CCEEFF"/>
            <w:tcMar>
              <w:top w:w="30" w:type="dxa"/>
              <w:left w:w="0" w:type="dxa"/>
              <w:bottom w:w="30" w:type="dxa"/>
              <w:right w:w="20" w:type="dxa"/>
            </w:tcMar>
            <w:vAlign w:val="center"/>
            <w:hideMark/>
          </w:tcPr>
          <w:p w14:paraId="45354D3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DF23C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36B3327" w14:textId="77777777" w:rsidR="00000000" w:rsidRDefault="00405D16">
            <w:pPr>
              <w:spacing w:after="100"/>
              <w:jc w:val="right"/>
              <w:rPr>
                <w:rFonts w:eastAsia="Times New Roman"/>
              </w:rPr>
            </w:pPr>
            <w:r>
              <w:rPr>
                <w:rFonts w:eastAsia="Times New Roman"/>
                <w:color w:val="000000"/>
                <w:sz w:val="16"/>
                <w:szCs w:val="16"/>
              </w:rPr>
              <w:t>(7,156)</w:t>
            </w:r>
          </w:p>
        </w:tc>
        <w:tc>
          <w:tcPr>
            <w:tcW w:w="0" w:type="auto"/>
            <w:shd w:val="clear" w:color="auto" w:fill="CCEEFF"/>
            <w:tcMar>
              <w:top w:w="30" w:type="dxa"/>
              <w:left w:w="0" w:type="dxa"/>
              <w:bottom w:w="30" w:type="dxa"/>
              <w:right w:w="20" w:type="dxa"/>
            </w:tcMar>
            <w:vAlign w:val="center"/>
            <w:hideMark/>
          </w:tcPr>
          <w:p w14:paraId="12960DB4" w14:textId="77777777" w:rsidR="00000000" w:rsidRDefault="00405D16">
            <w:pPr>
              <w:spacing w:after="100"/>
              <w:jc w:val="right"/>
              <w:rPr>
                <w:rFonts w:eastAsia="Times New Roman"/>
              </w:rPr>
            </w:pPr>
          </w:p>
        </w:tc>
        <w:tc>
          <w:tcPr>
            <w:tcW w:w="0" w:type="auto"/>
            <w:gridSpan w:val="3"/>
            <w:vAlign w:val="center"/>
            <w:hideMark/>
          </w:tcPr>
          <w:p w14:paraId="21985E27" w14:textId="77777777" w:rsidR="00000000" w:rsidRDefault="00405D16">
            <w:pPr>
              <w:spacing w:after="100"/>
              <w:jc w:val="right"/>
              <w:rPr>
                <w:rFonts w:eastAsia="Times New Roman"/>
                <w:sz w:val="20"/>
                <w:szCs w:val="20"/>
              </w:rPr>
            </w:pPr>
          </w:p>
        </w:tc>
        <w:tc>
          <w:tcPr>
            <w:tcW w:w="0" w:type="auto"/>
            <w:gridSpan w:val="3"/>
            <w:vAlign w:val="center"/>
            <w:hideMark/>
          </w:tcPr>
          <w:p w14:paraId="6D60B4A3" w14:textId="77777777" w:rsidR="00000000" w:rsidRDefault="00405D16">
            <w:pPr>
              <w:spacing w:after="100"/>
              <w:rPr>
                <w:rFonts w:eastAsia="Times New Roman"/>
                <w:sz w:val="20"/>
                <w:szCs w:val="20"/>
              </w:rPr>
            </w:pPr>
          </w:p>
        </w:tc>
      </w:tr>
      <w:tr w:rsidR="00000000" w14:paraId="04325D40" w14:textId="77777777">
        <w:trPr>
          <w:divId w:val="1202203938"/>
        </w:trPr>
        <w:tc>
          <w:tcPr>
            <w:tcW w:w="0" w:type="auto"/>
            <w:gridSpan w:val="3"/>
            <w:shd w:val="clear" w:color="auto" w:fill="FFFFFF"/>
            <w:tcMar>
              <w:top w:w="30" w:type="dxa"/>
              <w:left w:w="245" w:type="dxa"/>
              <w:bottom w:w="30" w:type="dxa"/>
              <w:right w:w="20" w:type="dxa"/>
            </w:tcMar>
            <w:vAlign w:val="center"/>
            <w:hideMark/>
          </w:tcPr>
          <w:p w14:paraId="18026434" w14:textId="77777777" w:rsidR="00000000" w:rsidRDefault="00405D16">
            <w:pPr>
              <w:spacing w:after="100"/>
              <w:rPr>
                <w:rFonts w:eastAsia="Times New Roman"/>
              </w:rPr>
            </w:pPr>
            <w:r>
              <w:rPr>
                <w:rFonts w:eastAsia="Times New Roman"/>
                <w:color w:val="000000"/>
                <w:sz w:val="16"/>
                <w:szCs w:val="16"/>
              </w:rPr>
              <w:t>Changes in other borrowings</w:t>
            </w:r>
          </w:p>
        </w:tc>
        <w:tc>
          <w:tcPr>
            <w:tcW w:w="0" w:type="auto"/>
            <w:gridSpan w:val="3"/>
            <w:shd w:val="clear" w:color="auto" w:fill="FFFFFF"/>
            <w:tcMar>
              <w:top w:w="0" w:type="dxa"/>
              <w:left w:w="20" w:type="dxa"/>
              <w:bottom w:w="0" w:type="dxa"/>
              <w:right w:w="20" w:type="dxa"/>
            </w:tcMar>
            <w:vAlign w:val="center"/>
            <w:hideMark/>
          </w:tcPr>
          <w:p w14:paraId="2ECAE3AD"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88D33F2" w14:textId="77777777" w:rsidR="00000000" w:rsidRDefault="00405D16">
            <w:pPr>
              <w:spacing w:after="100"/>
              <w:jc w:val="right"/>
              <w:rPr>
                <w:rFonts w:eastAsia="Times New Roman"/>
              </w:rPr>
            </w:pPr>
            <w:r>
              <w:rPr>
                <w:rFonts w:eastAsia="Times New Roman"/>
                <w:b/>
                <w:bCs/>
                <w:color w:val="000000"/>
                <w:sz w:val="16"/>
                <w:szCs w:val="16"/>
              </w:rPr>
              <w:t>139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1C0EAB6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D3264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47035AE" w14:textId="77777777" w:rsidR="00000000" w:rsidRDefault="00405D16">
            <w:pPr>
              <w:spacing w:after="100"/>
              <w:jc w:val="right"/>
              <w:rPr>
                <w:rFonts w:eastAsia="Times New Roman"/>
              </w:rPr>
            </w:pPr>
            <w:r>
              <w:rPr>
                <w:rFonts w:eastAsia="Times New Roman"/>
                <w:color w:val="000000"/>
                <w:sz w:val="16"/>
                <w:szCs w:val="16"/>
              </w:rPr>
              <w:t>(6,636)</w:t>
            </w:r>
          </w:p>
        </w:tc>
        <w:tc>
          <w:tcPr>
            <w:tcW w:w="0" w:type="auto"/>
            <w:shd w:val="clear" w:color="auto" w:fill="FFFFFF"/>
            <w:tcMar>
              <w:top w:w="30" w:type="dxa"/>
              <w:left w:w="0" w:type="dxa"/>
              <w:bottom w:w="30" w:type="dxa"/>
              <w:right w:w="20" w:type="dxa"/>
            </w:tcMar>
            <w:vAlign w:val="center"/>
            <w:hideMark/>
          </w:tcPr>
          <w:p w14:paraId="4FC81D91" w14:textId="77777777" w:rsidR="00000000" w:rsidRDefault="00405D16">
            <w:pPr>
              <w:spacing w:after="100"/>
              <w:jc w:val="right"/>
              <w:rPr>
                <w:rFonts w:eastAsia="Times New Roman"/>
              </w:rPr>
            </w:pPr>
          </w:p>
        </w:tc>
        <w:tc>
          <w:tcPr>
            <w:tcW w:w="0" w:type="auto"/>
            <w:gridSpan w:val="3"/>
            <w:vAlign w:val="center"/>
            <w:hideMark/>
          </w:tcPr>
          <w:p w14:paraId="4B2316D9" w14:textId="77777777" w:rsidR="00000000" w:rsidRDefault="00405D16">
            <w:pPr>
              <w:spacing w:after="100"/>
              <w:jc w:val="right"/>
              <w:rPr>
                <w:rFonts w:eastAsia="Times New Roman"/>
                <w:sz w:val="20"/>
                <w:szCs w:val="20"/>
              </w:rPr>
            </w:pPr>
          </w:p>
        </w:tc>
        <w:tc>
          <w:tcPr>
            <w:tcW w:w="0" w:type="auto"/>
            <w:gridSpan w:val="3"/>
            <w:vAlign w:val="center"/>
            <w:hideMark/>
          </w:tcPr>
          <w:p w14:paraId="1C304E23" w14:textId="77777777" w:rsidR="00000000" w:rsidRDefault="00405D16">
            <w:pPr>
              <w:spacing w:after="100"/>
              <w:rPr>
                <w:rFonts w:eastAsia="Times New Roman"/>
                <w:sz w:val="20"/>
                <w:szCs w:val="20"/>
              </w:rPr>
            </w:pPr>
          </w:p>
        </w:tc>
      </w:tr>
      <w:tr w:rsidR="00000000" w14:paraId="4494C06E" w14:textId="77777777">
        <w:trPr>
          <w:divId w:val="1202203938"/>
        </w:trPr>
        <w:tc>
          <w:tcPr>
            <w:tcW w:w="0" w:type="auto"/>
            <w:gridSpan w:val="3"/>
            <w:shd w:val="clear" w:color="auto" w:fill="CCEEFF"/>
            <w:tcMar>
              <w:top w:w="30" w:type="dxa"/>
              <w:left w:w="20" w:type="dxa"/>
              <w:bottom w:w="30" w:type="dxa"/>
              <w:right w:w="20" w:type="dxa"/>
            </w:tcMar>
            <w:vAlign w:val="center"/>
            <w:hideMark/>
          </w:tcPr>
          <w:p w14:paraId="1B300D22" w14:textId="77777777" w:rsidR="00000000" w:rsidRDefault="00405D16">
            <w:pPr>
              <w:spacing w:after="100"/>
              <w:rPr>
                <w:rFonts w:eastAsia="Times New Roman"/>
              </w:rPr>
            </w:pPr>
            <w:r>
              <w:rPr>
                <w:rFonts w:eastAsia="Times New Roman"/>
                <w:color w:val="000000"/>
                <w:sz w:val="16"/>
                <w:szCs w:val="16"/>
              </w:rPr>
              <w:t>Common stock:</w:t>
            </w:r>
          </w:p>
        </w:tc>
        <w:tc>
          <w:tcPr>
            <w:tcW w:w="0" w:type="auto"/>
            <w:gridSpan w:val="3"/>
            <w:shd w:val="clear" w:color="auto" w:fill="CCEEFF"/>
            <w:tcMar>
              <w:top w:w="0" w:type="dxa"/>
              <w:left w:w="20" w:type="dxa"/>
              <w:bottom w:w="0" w:type="dxa"/>
              <w:right w:w="20" w:type="dxa"/>
            </w:tcMar>
            <w:vAlign w:val="center"/>
            <w:hideMark/>
          </w:tcPr>
          <w:p w14:paraId="1D74A3A0"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B5F58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995C6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7A3714" w14:textId="77777777" w:rsidR="00000000" w:rsidRDefault="00405D16">
            <w:pPr>
              <w:spacing w:after="100"/>
              <w:rPr>
                <w:rFonts w:eastAsia="Times New Roman"/>
                <w:sz w:val="20"/>
                <w:szCs w:val="20"/>
              </w:rPr>
            </w:pPr>
          </w:p>
        </w:tc>
        <w:tc>
          <w:tcPr>
            <w:tcW w:w="0" w:type="auto"/>
            <w:gridSpan w:val="3"/>
            <w:vAlign w:val="center"/>
            <w:hideMark/>
          </w:tcPr>
          <w:p w14:paraId="169FD070" w14:textId="77777777" w:rsidR="00000000" w:rsidRDefault="00405D16">
            <w:pPr>
              <w:spacing w:after="100"/>
              <w:rPr>
                <w:rFonts w:eastAsia="Times New Roman"/>
                <w:sz w:val="20"/>
                <w:szCs w:val="20"/>
              </w:rPr>
            </w:pPr>
          </w:p>
        </w:tc>
        <w:tc>
          <w:tcPr>
            <w:tcW w:w="0" w:type="auto"/>
            <w:gridSpan w:val="3"/>
            <w:vAlign w:val="center"/>
            <w:hideMark/>
          </w:tcPr>
          <w:p w14:paraId="0C0C07D2" w14:textId="77777777" w:rsidR="00000000" w:rsidRDefault="00405D16">
            <w:pPr>
              <w:spacing w:after="100"/>
              <w:rPr>
                <w:rFonts w:eastAsia="Times New Roman"/>
                <w:sz w:val="20"/>
                <w:szCs w:val="20"/>
              </w:rPr>
            </w:pPr>
          </w:p>
        </w:tc>
      </w:tr>
      <w:tr w:rsidR="00000000" w14:paraId="085E2706" w14:textId="77777777">
        <w:trPr>
          <w:divId w:val="1202203938"/>
        </w:trPr>
        <w:tc>
          <w:tcPr>
            <w:tcW w:w="0" w:type="auto"/>
            <w:gridSpan w:val="3"/>
            <w:shd w:val="clear" w:color="auto" w:fill="FFFFFF"/>
            <w:tcMar>
              <w:top w:w="30" w:type="dxa"/>
              <w:left w:w="245" w:type="dxa"/>
              <w:bottom w:w="30" w:type="dxa"/>
              <w:right w:w="20" w:type="dxa"/>
            </w:tcMar>
            <w:vAlign w:val="center"/>
            <w:hideMark/>
          </w:tcPr>
          <w:p w14:paraId="19A71E32" w14:textId="77777777" w:rsidR="00000000" w:rsidRDefault="00405D16">
            <w:pPr>
              <w:spacing w:after="100"/>
              <w:rPr>
                <w:rFonts w:eastAsia="Times New Roman"/>
              </w:rPr>
            </w:pPr>
            <w:r>
              <w:rPr>
                <w:rFonts w:eastAsia="Times New Roman"/>
                <w:color w:val="000000"/>
                <w:sz w:val="16"/>
                <w:szCs w:val="16"/>
              </w:rPr>
              <w:t>Net proceeds from issuances</w:t>
            </w:r>
          </w:p>
        </w:tc>
        <w:tc>
          <w:tcPr>
            <w:tcW w:w="0" w:type="auto"/>
            <w:gridSpan w:val="3"/>
            <w:shd w:val="clear" w:color="auto" w:fill="FFFFFF"/>
            <w:tcMar>
              <w:top w:w="0" w:type="dxa"/>
              <w:left w:w="20" w:type="dxa"/>
              <w:bottom w:w="0" w:type="dxa"/>
              <w:right w:w="20" w:type="dxa"/>
            </w:tcMar>
            <w:vAlign w:val="center"/>
            <w:hideMark/>
          </w:tcPr>
          <w:p w14:paraId="3B3E1CA9"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8DE5795" w14:textId="77777777" w:rsidR="00000000" w:rsidRDefault="00405D16">
            <w:pPr>
              <w:spacing w:after="100"/>
              <w:jc w:val="right"/>
              <w:rPr>
                <w:rFonts w:eastAsia="Times New Roman"/>
              </w:rPr>
            </w:pPr>
            <w:r>
              <w:rPr>
                <w:rFonts w:eastAsia="Times New Roman"/>
                <w:b/>
                <w:bCs/>
                <w:color w:val="000000"/>
                <w:sz w:val="16"/>
                <w:szCs w:val="16"/>
              </w:rPr>
              <w:t>191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64D2E75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00CF6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C20F54F" w14:textId="77777777" w:rsidR="00000000" w:rsidRDefault="00405D16">
            <w:pPr>
              <w:spacing w:after="100"/>
              <w:jc w:val="right"/>
              <w:rPr>
                <w:rFonts w:eastAsia="Times New Roman"/>
              </w:rPr>
            </w:pPr>
            <w:r>
              <w:rPr>
                <w:rFonts w:eastAsia="Times New Roman"/>
                <w:color w:val="000000"/>
                <w:sz w:val="16"/>
                <w:szCs w:val="16"/>
              </w:rPr>
              <w:t>184 </w:t>
            </w:r>
          </w:p>
        </w:tc>
        <w:tc>
          <w:tcPr>
            <w:tcW w:w="0" w:type="auto"/>
            <w:shd w:val="clear" w:color="auto" w:fill="FFFFFF"/>
            <w:tcMar>
              <w:top w:w="30" w:type="dxa"/>
              <w:left w:w="0" w:type="dxa"/>
              <w:bottom w:w="30" w:type="dxa"/>
              <w:right w:w="20" w:type="dxa"/>
            </w:tcMar>
            <w:vAlign w:val="center"/>
            <w:hideMark/>
          </w:tcPr>
          <w:p w14:paraId="776FCA90" w14:textId="77777777" w:rsidR="00000000" w:rsidRDefault="00405D16">
            <w:pPr>
              <w:spacing w:after="100"/>
              <w:jc w:val="right"/>
              <w:rPr>
                <w:rFonts w:eastAsia="Times New Roman"/>
              </w:rPr>
            </w:pPr>
          </w:p>
        </w:tc>
        <w:tc>
          <w:tcPr>
            <w:tcW w:w="0" w:type="auto"/>
            <w:gridSpan w:val="3"/>
            <w:vAlign w:val="center"/>
            <w:hideMark/>
          </w:tcPr>
          <w:p w14:paraId="16BAE19D" w14:textId="77777777" w:rsidR="00000000" w:rsidRDefault="00405D16">
            <w:pPr>
              <w:spacing w:after="100"/>
              <w:jc w:val="right"/>
              <w:rPr>
                <w:rFonts w:eastAsia="Times New Roman"/>
                <w:sz w:val="20"/>
                <w:szCs w:val="20"/>
              </w:rPr>
            </w:pPr>
          </w:p>
        </w:tc>
        <w:tc>
          <w:tcPr>
            <w:tcW w:w="0" w:type="auto"/>
            <w:gridSpan w:val="3"/>
            <w:vAlign w:val="center"/>
            <w:hideMark/>
          </w:tcPr>
          <w:p w14:paraId="1A6DFBB6" w14:textId="77777777" w:rsidR="00000000" w:rsidRDefault="00405D16">
            <w:pPr>
              <w:spacing w:after="100"/>
              <w:rPr>
                <w:rFonts w:eastAsia="Times New Roman"/>
                <w:sz w:val="20"/>
                <w:szCs w:val="20"/>
              </w:rPr>
            </w:pPr>
          </w:p>
        </w:tc>
      </w:tr>
      <w:tr w:rsidR="00000000" w14:paraId="5CAD41A3" w14:textId="77777777">
        <w:trPr>
          <w:divId w:val="1202203938"/>
        </w:trPr>
        <w:tc>
          <w:tcPr>
            <w:tcW w:w="0" w:type="auto"/>
            <w:gridSpan w:val="3"/>
            <w:shd w:val="clear" w:color="auto" w:fill="CCEEFF"/>
            <w:tcMar>
              <w:top w:w="30" w:type="dxa"/>
              <w:left w:w="245" w:type="dxa"/>
              <w:bottom w:w="30" w:type="dxa"/>
              <w:right w:w="20" w:type="dxa"/>
            </w:tcMar>
            <w:vAlign w:val="center"/>
            <w:hideMark/>
          </w:tcPr>
          <w:p w14:paraId="1F0BC39C" w14:textId="77777777" w:rsidR="00000000" w:rsidRDefault="00405D16">
            <w:pPr>
              <w:spacing w:after="100"/>
              <w:rPr>
                <w:rFonts w:eastAsia="Times New Roman"/>
              </w:rPr>
            </w:pPr>
            <w:r>
              <w:rPr>
                <w:rFonts w:eastAsia="Times New Roman"/>
                <w:color w:val="000000"/>
                <w:sz w:val="16"/>
                <w:szCs w:val="16"/>
              </w:rPr>
              <w:t>Dividends paid</w:t>
            </w:r>
          </w:p>
        </w:tc>
        <w:tc>
          <w:tcPr>
            <w:tcW w:w="0" w:type="auto"/>
            <w:gridSpan w:val="3"/>
            <w:shd w:val="clear" w:color="auto" w:fill="CCEEFF"/>
            <w:tcMar>
              <w:top w:w="0" w:type="dxa"/>
              <w:left w:w="20" w:type="dxa"/>
              <w:bottom w:w="0" w:type="dxa"/>
              <w:right w:w="20" w:type="dxa"/>
            </w:tcMar>
            <w:vAlign w:val="center"/>
            <w:hideMark/>
          </w:tcPr>
          <w:p w14:paraId="215BF484"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FC0324F" w14:textId="77777777" w:rsidR="00000000" w:rsidRDefault="00405D16">
            <w:pPr>
              <w:spacing w:after="100"/>
              <w:jc w:val="right"/>
              <w:rPr>
                <w:rFonts w:eastAsia="Times New Roman"/>
              </w:rPr>
            </w:pPr>
            <w:r>
              <w:rPr>
                <w:rFonts w:eastAsia="Times New Roman"/>
                <w:b/>
                <w:bCs/>
                <w:color w:val="000000"/>
                <w:sz w:val="16"/>
                <w:szCs w:val="16"/>
              </w:rPr>
              <w:t>(894)</w:t>
            </w:r>
          </w:p>
        </w:tc>
        <w:tc>
          <w:tcPr>
            <w:tcW w:w="0" w:type="auto"/>
            <w:shd w:val="clear" w:color="auto" w:fill="CCEEFF"/>
            <w:tcMar>
              <w:top w:w="30" w:type="dxa"/>
              <w:left w:w="0" w:type="dxa"/>
              <w:bottom w:w="30" w:type="dxa"/>
              <w:right w:w="20" w:type="dxa"/>
            </w:tcMar>
            <w:vAlign w:val="center"/>
            <w:hideMark/>
          </w:tcPr>
          <w:p w14:paraId="6B56F00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43ACB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C44BBEC" w14:textId="77777777" w:rsidR="00000000" w:rsidRDefault="00405D16">
            <w:pPr>
              <w:spacing w:after="100"/>
              <w:jc w:val="right"/>
              <w:rPr>
                <w:rFonts w:eastAsia="Times New Roman"/>
              </w:rPr>
            </w:pPr>
            <w:r>
              <w:rPr>
                <w:rFonts w:eastAsia="Times New Roman"/>
                <w:color w:val="000000"/>
                <w:sz w:val="16"/>
                <w:szCs w:val="16"/>
              </w:rPr>
              <w:t>(415)</w:t>
            </w:r>
          </w:p>
        </w:tc>
        <w:tc>
          <w:tcPr>
            <w:tcW w:w="0" w:type="auto"/>
            <w:shd w:val="clear" w:color="auto" w:fill="CCEEFF"/>
            <w:tcMar>
              <w:top w:w="30" w:type="dxa"/>
              <w:left w:w="0" w:type="dxa"/>
              <w:bottom w:w="30" w:type="dxa"/>
              <w:right w:w="20" w:type="dxa"/>
            </w:tcMar>
            <w:vAlign w:val="center"/>
            <w:hideMark/>
          </w:tcPr>
          <w:p w14:paraId="13EA1A5D" w14:textId="77777777" w:rsidR="00000000" w:rsidRDefault="00405D16">
            <w:pPr>
              <w:spacing w:after="100"/>
              <w:jc w:val="right"/>
              <w:rPr>
                <w:rFonts w:eastAsia="Times New Roman"/>
              </w:rPr>
            </w:pPr>
          </w:p>
        </w:tc>
        <w:tc>
          <w:tcPr>
            <w:tcW w:w="0" w:type="auto"/>
            <w:gridSpan w:val="3"/>
            <w:vAlign w:val="center"/>
            <w:hideMark/>
          </w:tcPr>
          <w:p w14:paraId="170227A9" w14:textId="77777777" w:rsidR="00000000" w:rsidRDefault="00405D16">
            <w:pPr>
              <w:spacing w:after="100"/>
              <w:jc w:val="right"/>
              <w:rPr>
                <w:rFonts w:eastAsia="Times New Roman"/>
                <w:sz w:val="20"/>
                <w:szCs w:val="20"/>
              </w:rPr>
            </w:pPr>
          </w:p>
        </w:tc>
        <w:tc>
          <w:tcPr>
            <w:tcW w:w="0" w:type="auto"/>
            <w:gridSpan w:val="3"/>
            <w:vAlign w:val="center"/>
            <w:hideMark/>
          </w:tcPr>
          <w:p w14:paraId="48B82D43" w14:textId="77777777" w:rsidR="00000000" w:rsidRDefault="00405D16">
            <w:pPr>
              <w:spacing w:after="100"/>
              <w:rPr>
                <w:rFonts w:eastAsia="Times New Roman"/>
                <w:sz w:val="20"/>
                <w:szCs w:val="20"/>
              </w:rPr>
            </w:pPr>
          </w:p>
        </w:tc>
      </w:tr>
      <w:tr w:rsidR="00000000" w14:paraId="112090B2" w14:textId="77777777">
        <w:trPr>
          <w:divId w:val="1202203938"/>
        </w:trPr>
        <w:tc>
          <w:tcPr>
            <w:tcW w:w="0" w:type="auto"/>
            <w:gridSpan w:val="3"/>
            <w:shd w:val="clear" w:color="auto" w:fill="FFFFFF"/>
            <w:tcMar>
              <w:top w:w="30" w:type="dxa"/>
              <w:left w:w="20" w:type="dxa"/>
              <w:bottom w:w="30" w:type="dxa"/>
              <w:right w:w="20" w:type="dxa"/>
            </w:tcMar>
            <w:vAlign w:val="center"/>
            <w:hideMark/>
          </w:tcPr>
          <w:p w14:paraId="7DBBE7B9" w14:textId="77777777" w:rsidR="00000000" w:rsidRDefault="00405D16">
            <w:pPr>
              <w:spacing w:after="100"/>
              <w:rPr>
                <w:rFonts w:eastAsia="Times New Roman"/>
              </w:rPr>
            </w:pPr>
            <w:r>
              <w:rPr>
                <w:rFonts w:eastAsia="Times New Roman"/>
                <w:color w:val="000000"/>
                <w:sz w:val="16"/>
                <w:szCs w:val="16"/>
              </w:rPr>
              <w:t>Preferred stock:</w:t>
            </w:r>
          </w:p>
        </w:tc>
        <w:tc>
          <w:tcPr>
            <w:tcW w:w="0" w:type="auto"/>
            <w:gridSpan w:val="3"/>
            <w:shd w:val="clear" w:color="auto" w:fill="FFFFFF"/>
            <w:tcMar>
              <w:top w:w="0" w:type="dxa"/>
              <w:left w:w="20" w:type="dxa"/>
              <w:bottom w:w="0" w:type="dxa"/>
              <w:right w:w="20" w:type="dxa"/>
            </w:tcMar>
            <w:vAlign w:val="center"/>
            <w:hideMark/>
          </w:tcPr>
          <w:p w14:paraId="2CB5986C"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A5369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2BD9A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4AC319" w14:textId="77777777" w:rsidR="00000000" w:rsidRDefault="00405D16">
            <w:pPr>
              <w:spacing w:after="100"/>
              <w:rPr>
                <w:rFonts w:eastAsia="Times New Roman"/>
                <w:sz w:val="20"/>
                <w:szCs w:val="20"/>
              </w:rPr>
            </w:pPr>
          </w:p>
        </w:tc>
        <w:tc>
          <w:tcPr>
            <w:tcW w:w="0" w:type="auto"/>
            <w:gridSpan w:val="3"/>
            <w:vAlign w:val="center"/>
            <w:hideMark/>
          </w:tcPr>
          <w:p w14:paraId="2E2B7C96" w14:textId="77777777" w:rsidR="00000000" w:rsidRDefault="00405D16">
            <w:pPr>
              <w:spacing w:after="100"/>
              <w:rPr>
                <w:rFonts w:eastAsia="Times New Roman"/>
                <w:sz w:val="20"/>
                <w:szCs w:val="20"/>
              </w:rPr>
            </w:pPr>
          </w:p>
        </w:tc>
        <w:tc>
          <w:tcPr>
            <w:tcW w:w="0" w:type="auto"/>
            <w:gridSpan w:val="3"/>
            <w:vAlign w:val="center"/>
            <w:hideMark/>
          </w:tcPr>
          <w:p w14:paraId="55574C8D" w14:textId="77777777" w:rsidR="00000000" w:rsidRDefault="00405D16">
            <w:pPr>
              <w:spacing w:after="100"/>
              <w:rPr>
                <w:rFonts w:eastAsia="Times New Roman"/>
                <w:sz w:val="20"/>
                <w:szCs w:val="20"/>
              </w:rPr>
            </w:pPr>
          </w:p>
        </w:tc>
      </w:tr>
      <w:tr w:rsidR="00000000" w14:paraId="767C9A30" w14:textId="77777777">
        <w:trPr>
          <w:divId w:val="1202203938"/>
        </w:trPr>
        <w:tc>
          <w:tcPr>
            <w:tcW w:w="0" w:type="auto"/>
            <w:gridSpan w:val="3"/>
            <w:shd w:val="clear" w:color="auto" w:fill="CCEEFF"/>
            <w:tcMar>
              <w:top w:w="30" w:type="dxa"/>
              <w:left w:w="20" w:type="dxa"/>
              <w:bottom w:w="30" w:type="dxa"/>
              <w:right w:w="20" w:type="dxa"/>
            </w:tcMar>
            <w:vAlign w:val="center"/>
            <w:hideMark/>
          </w:tcPr>
          <w:p w14:paraId="295BBD7B" w14:textId="77777777" w:rsidR="00000000" w:rsidRDefault="00405D16">
            <w:pPr>
              <w:spacing w:after="100"/>
              <w:rPr>
                <w:rFonts w:eastAsia="Times New Roman"/>
              </w:rPr>
            </w:pPr>
            <w:r>
              <w:rPr>
                <w:rFonts w:eastAsia="Times New Roman"/>
                <w:color w:val="000000"/>
                <w:sz w:val="16"/>
                <w:szCs w:val="16"/>
              </w:rPr>
              <w:t>Net proceeds from issuances</w:t>
            </w:r>
          </w:p>
        </w:tc>
        <w:tc>
          <w:tcPr>
            <w:tcW w:w="0" w:type="auto"/>
            <w:gridSpan w:val="3"/>
            <w:shd w:val="clear" w:color="auto" w:fill="CCEEFF"/>
            <w:tcMar>
              <w:top w:w="0" w:type="dxa"/>
              <w:left w:w="20" w:type="dxa"/>
              <w:bottom w:w="0" w:type="dxa"/>
              <w:right w:w="20" w:type="dxa"/>
            </w:tcMar>
            <w:vAlign w:val="center"/>
            <w:hideMark/>
          </w:tcPr>
          <w:p w14:paraId="3F80CFBB"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BAE0DAD" w14:textId="77777777" w:rsidR="00000000" w:rsidRDefault="00405D16">
            <w:pPr>
              <w:spacing w:after="100"/>
              <w:jc w:val="right"/>
              <w:rPr>
                <w:rFonts w:eastAsia="Times New Roman"/>
              </w:rPr>
            </w:pPr>
            <w:r>
              <w:rPr>
                <w:rFonts w:eastAsia="Times New Roman"/>
                <w:b/>
                <w:bCs/>
                <w:color w:val="000000"/>
                <w:sz w:val="16"/>
                <w:szCs w:val="16"/>
              </w:rPr>
              <w:t>2,053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6F4F906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6357C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02AFBC1" w14:textId="77777777" w:rsidR="00000000" w:rsidRDefault="00405D16">
            <w:pPr>
              <w:spacing w:after="100"/>
              <w:jc w:val="right"/>
              <w:rPr>
                <w:rFonts w:eastAsia="Times New Roman"/>
              </w:rPr>
            </w:pPr>
            <w:r>
              <w:rPr>
                <w:rFonts w:eastAsia="Times New Roman"/>
                <w:color w:val="000000"/>
                <w:sz w:val="16"/>
                <w:szCs w:val="16"/>
              </w:rPr>
              <w:t>1,330 </w:t>
            </w:r>
          </w:p>
        </w:tc>
        <w:tc>
          <w:tcPr>
            <w:tcW w:w="0" w:type="auto"/>
            <w:shd w:val="clear" w:color="auto" w:fill="CCEEFF"/>
            <w:tcMar>
              <w:top w:w="30" w:type="dxa"/>
              <w:left w:w="0" w:type="dxa"/>
              <w:bottom w:w="30" w:type="dxa"/>
              <w:right w:w="20" w:type="dxa"/>
            </w:tcMar>
            <w:vAlign w:val="center"/>
            <w:hideMark/>
          </w:tcPr>
          <w:p w14:paraId="7C08F71F" w14:textId="77777777" w:rsidR="00000000" w:rsidRDefault="00405D16">
            <w:pPr>
              <w:spacing w:after="100"/>
              <w:jc w:val="right"/>
              <w:rPr>
                <w:rFonts w:eastAsia="Times New Roman"/>
              </w:rPr>
            </w:pPr>
          </w:p>
        </w:tc>
        <w:tc>
          <w:tcPr>
            <w:tcW w:w="0" w:type="auto"/>
            <w:gridSpan w:val="3"/>
            <w:vAlign w:val="center"/>
            <w:hideMark/>
          </w:tcPr>
          <w:p w14:paraId="7EFD628F" w14:textId="77777777" w:rsidR="00000000" w:rsidRDefault="00405D16">
            <w:pPr>
              <w:spacing w:after="100"/>
              <w:jc w:val="right"/>
              <w:rPr>
                <w:rFonts w:eastAsia="Times New Roman"/>
                <w:sz w:val="20"/>
                <w:szCs w:val="20"/>
              </w:rPr>
            </w:pPr>
          </w:p>
        </w:tc>
        <w:tc>
          <w:tcPr>
            <w:tcW w:w="0" w:type="auto"/>
            <w:gridSpan w:val="3"/>
            <w:vAlign w:val="center"/>
            <w:hideMark/>
          </w:tcPr>
          <w:p w14:paraId="59BB035B" w14:textId="77777777" w:rsidR="00000000" w:rsidRDefault="00405D16">
            <w:pPr>
              <w:spacing w:after="100"/>
              <w:rPr>
                <w:rFonts w:eastAsia="Times New Roman"/>
                <w:sz w:val="20"/>
                <w:szCs w:val="20"/>
              </w:rPr>
            </w:pPr>
          </w:p>
        </w:tc>
      </w:tr>
      <w:tr w:rsidR="00000000" w14:paraId="7E452627" w14:textId="77777777">
        <w:trPr>
          <w:divId w:val="1202203938"/>
        </w:trPr>
        <w:tc>
          <w:tcPr>
            <w:tcW w:w="0" w:type="auto"/>
            <w:gridSpan w:val="3"/>
            <w:shd w:val="clear" w:color="auto" w:fill="FFFFFF"/>
            <w:tcMar>
              <w:top w:w="30" w:type="dxa"/>
              <w:left w:w="245" w:type="dxa"/>
              <w:bottom w:w="30" w:type="dxa"/>
              <w:right w:w="20" w:type="dxa"/>
            </w:tcMar>
            <w:vAlign w:val="center"/>
            <w:hideMark/>
          </w:tcPr>
          <w:p w14:paraId="2534255D" w14:textId="77777777" w:rsidR="00000000" w:rsidRDefault="00405D16">
            <w:pPr>
              <w:spacing w:after="100"/>
              <w:rPr>
                <w:rFonts w:eastAsia="Times New Roman"/>
              </w:rPr>
            </w:pPr>
            <w:r>
              <w:rPr>
                <w:rFonts w:eastAsia="Times New Roman"/>
                <w:color w:val="000000"/>
                <w:sz w:val="16"/>
                <w:szCs w:val="16"/>
              </w:rPr>
              <w:t>Dividends paid</w:t>
            </w:r>
          </w:p>
        </w:tc>
        <w:tc>
          <w:tcPr>
            <w:tcW w:w="0" w:type="auto"/>
            <w:gridSpan w:val="3"/>
            <w:shd w:val="clear" w:color="auto" w:fill="FFFFFF"/>
            <w:tcMar>
              <w:top w:w="0" w:type="dxa"/>
              <w:left w:w="20" w:type="dxa"/>
              <w:bottom w:w="0" w:type="dxa"/>
              <w:right w:w="20" w:type="dxa"/>
            </w:tcMar>
            <w:vAlign w:val="center"/>
            <w:hideMark/>
          </w:tcPr>
          <w:p w14:paraId="5C8A396D"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DC9DFDE" w14:textId="77777777" w:rsidR="00000000" w:rsidRDefault="00405D16">
            <w:pPr>
              <w:spacing w:after="100"/>
              <w:jc w:val="right"/>
              <w:rPr>
                <w:rFonts w:eastAsia="Times New Roman"/>
              </w:rPr>
            </w:pPr>
            <w:r>
              <w:rPr>
                <w:rFonts w:eastAsia="Times New Roman"/>
                <w:b/>
                <w:bCs/>
                <w:color w:val="000000"/>
                <w:sz w:val="16"/>
                <w:szCs w:val="16"/>
              </w:rPr>
              <w:t>(200)</w:t>
            </w:r>
          </w:p>
        </w:tc>
        <w:tc>
          <w:tcPr>
            <w:tcW w:w="0" w:type="auto"/>
            <w:shd w:val="clear" w:color="auto" w:fill="FFFFFF"/>
            <w:tcMar>
              <w:top w:w="30" w:type="dxa"/>
              <w:left w:w="0" w:type="dxa"/>
              <w:bottom w:w="30" w:type="dxa"/>
              <w:right w:w="20" w:type="dxa"/>
            </w:tcMar>
            <w:vAlign w:val="center"/>
            <w:hideMark/>
          </w:tcPr>
          <w:p w14:paraId="049E164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C85D7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4B7156C" w14:textId="77777777" w:rsidR="00000000" w:rsidRDefault="00405D16">
            <w:pPr>
              <w:spacing w:after="100"/>
              <w:jc w:val="right"/>
              <w:rPr>
                <w:rFonts w:eastAsia="Times New Roman"/>
              </w:rPr>
            </w:pPr>
            <w:r>
              <w:rPr>
                <w:rFonts w:eastAsia="Times New Roman"/>
                <w:color w:val="000000"/>
                <w:sz w:val="16"/>
                <w:szCs w:val="16"/>
              </w:rPr>
              <w:t>(212)</w:t>
            </w:r>
          </w:p>
        </w:tc>
        <w:tc>
          <w:tcPr>
            <w:tcW w:w="0" w:type="auto"/>
            <w:shd w:val="clear" w:color="auto" w:fill="FFFFFF"/>
            <w:tcMar>
              <w:top w:w="30" w:type="dxa"/>
              <w:left w:w="0" w:type="dxa"/>
              <w:bottom w:w="30" w:type="dxa"/>
              <w:right w:w="20" w:type="dxa"/>
            </w:tcMar>
            <w:vAlign w:val="center"/>
            <w:hideMark/>
          </w:tcPr>
          <w:p w14:paraId="7EBD8CA0" w14:textId="77777777" w:rsidR="00000000" w:rsidRDefault="00405D16">
            <w:pPr>
              <w:spacing w:after="100"/>
              <w:jc w:val="right"/>
              <w:rPr>
                <w:rFonts w:eastAsia="Times New Roman"/>
              </w:rPr>
            </w:pPr>
          </w:p>
        </w:tc>
        <w:tc>
          <w:tcPr>
            <w:tcW w:w="0" w:type="auto"/>
            <w:gridSpan w:val="3"/>
            <w:vAlign w:val="center"/>
            <w:hideMark/>
          </w:tcPr>
          <w:p w14:paraId="48C8BF66" w14:textId="77777777" w:rsidR="00000000" w:rsidRDefault="00405D16">
            <w:pPr>
              <w:spacing w:after="100"/>
              <w:jc w:val="right"/>
              <w:rPr>
                <w:rFonts w:eastAsia="Times New Roman"/>
                <w:sz w:val="20"/>
                <w:szCs w:val="20"/>
              </w:rPr>
            </w:pPr>
          </w:p>
        </w:tc>
        <w:tc>
          <w:tcPr>
            <w:tcW w:w="0" w:type="auto"/>
            <w:gridSpan w:val="3"/>
            <w:vAlign w:val="center"/>
            <w:hideMark/>
          </w:tcPr>
          <w:p w14:paraId="58638DD6" w14:textId="77777777" w:rsidR="00000000" w:rsidRDefault="00405D16">
            <w:pPr>
              <w:spacing w:after="100"/>
              <w:rPr>
                <w:rFonts w:eastAsia="Times New Roman"/>
                <w:sz w:val="20"/>
                <w:szCs w:val="20"/>
              </w:rPr>
            </w:pPr>
          </w:p>
        </w:tc>
      </w:tr>
      <w:tr w:rsidR="00000000" w14:paraId="53C3EDE0" w14:textId="77777777">
        <w:trPr>
          <w:divId w:val="1202203938"/>
        </w:trPr>
        <w:tc>
          <w:tcPr>
            <w:tcW w:w="0" w:type="auto"/>
            <w:gridSpan w:val="3"/>
            <w:shd w:val="clear" w:color="auto" w:fill="CCEEFF"/>
            <w:tcMar>
              <w:top w:w="30" w:type="dxa"/>
              <w:left w:w="245" w:type="dxa"/>
              <w:bottom w:w="30" w:type="dxa"/>
              <w:right w:w="20" w:type="dxa"/>
            </w:tcMar>
            <w:vAlign w:val="center"/>
            <w:hideMark/>
          </w:tcPr>
          <w:p w14:paraId="3DD59716" w14:textId="77777777" w:rsidR="00000000" w:rsidRDefault="00405D16">
            <w:pPr>
              <w:spacing w:after="100"/>
              <w:rPr>
                <w:rFonts w:eastAsia="Times New Roman"/>
              </w:rPr>
            </w:pPr>
            <w:r>
              <w:rPr>
                <w:rFonts w:eastAsia="Times New Roman"/>
                <w:color w:val="000000"/>
                <w:sz w:val="16"/>
                <w:szCs w:val="16"/>
              </w:rPr>
              <w:t>Redemptions</w:t>
            </w:r>
          </w:p>
        </w:tc>
        <w:tc>
          <w:tcPr>
            <w:tcW w:w="0" w:type="auto"/>
            <w:gridSpan w:val="3"/>
            <w:shd w:val="clear" w:color="auto" w:fill="CCEEFF"/>
            <w:tcMar>
              <w:top w:w="0" w:type="dxa"/>
              <w:left w:w="20" w:type="dxa"/>
              <w:bottom w:w="0" w:type="dxa"/>
              <w:right w:w="20" w:type="dxa"/>
            </w:tcMar>
            <w:vAlign w:val="center"/>
            <w:hideMark/>
          </w:tcPr>
          <w:p w14:paraId="4611F6A4"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A2FCEA4" w14:textId="77777777" w:rsidR="00000000" w:rsidRDefault="00405D16">
            <w:pPr>
              <w:spacing w:after="100"/>
              <w:jc w:val="right"/>
              <w:rPr>
                <w:rFonts w:eastAsia="Times New Roman"/>
              </w:rPr>
            </w:pPr>
            <w:r>
              <w:rPr>
                <w:rFonts w:eastAsia="Times New Roman"/>
                <w:b/>
                <w:bCs/>
                <w:color w:val="000000"/>
                <w:sz w:val="16"/>
                <w:szCs w:val="16"/>
              </w:rPr>
              <w:t>(1,000)</w:t>
            </w:r>
          </w:p>
        </w:tc>
        <w:tc>
          <w:tcPr>
            <w:tcW w:w="0" w:type="auto"/>
            <w:shd w:val="clear" w:color="auto" w:fill="CCEEFF"/>
            <w:tcMar>
              <w:top w:w="30" w:type="dxa"/>
              <w:left w:w="0" w:type="dxa"/>
              <w:bottom w:w="30" w:type="dxa"/>
              <w:right w:w="20" w:type="dxa"/>
            </w:tcMar>
            <w:vAlign w:val="center"/>
            <w:hideMark/>
          </w:tcPr>
          <w:p w14:paraId="571733F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320C2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B0A456A" w14:textId="77777777" w:rsidR="00000000" w:rsidRDefault="00405D16">
            <w:pPr>
              <w:spacing w:after="100"/>
              <w:jc w:val="right"/>
              <w:rPr>
                <w:rFonts w:eastAsia="Times New Roman"/>
              </w:rPr>
            </w:pPr>
            <w:r>
              <w:rPr>
                <w:rFonts w:eastAsia="Times New Roman"/>
                <w:color w:val="000000"/>
                <w:sz w:val="16"/>
                <w:szCs w:val="16"/>
              </w:rPr>
              <w:t>(875)</w:t>
            </w:r>
          </w:p>
        </w:tc>
        <w:tc>
          <w:tcPr>
            <w:tcW w:w="0" w:type="auto"/>
            <w:shd w:val="clear" w:color="auto" w:fill="CCEEFF"/>
            <w:tcMar>
              <w:top w:w="30" w:type="dxa"/>
              <w:left w:w="0" w:type="dxa"/>
              <w:bottom w:w="30" w:type="dxa"/>
              <w:right w:w="20" w:type="dxa"/>
            </w:tcMar>
            <w:vAlign w:val="center"/>
            <w:hideMark/>
          </w:tcPr>
          <w:p w14:paraId="24159AEC" w14:textId="77777777" w:rsidR="00000000" w:rsidRDefault="00405D16">
            <w:pPr>
              <w:spacing w:after="100"/>
              <w:jc w:val="right"/>
              <w:rPr>
                <w:rFonts w:eastAsia="Times New Roman"/>
              </w:rPr>
            </w:pPr>
          </w:p>
        </w:tc>
        <w:tc>
          <w:tcPr>
            <w:tcW w:w="0" w:type="auto"/>
            <w:gridSpan w:val="3"/>
            <w:vAlign w:val="center"/>
            <w:hideMark/>
          </w:tcPr>
          <w:p w14:paraId="6BE5180A" w14:textId="77777777" w:rsidR="00000000" w:rsidRDefault="00405D16">
            <w:pPr>
              <w:spacing w:after="100"/>
              <w:jc w:val="right"/>
              <w:rPr>
                <w:rFonts w:eastAsia="Times New Roman"/>
                <w:sz w:val="20"/>
                <w:szCs w:val="20"/>
              </w:rPr>
            </w:pPr>
          </w:p>
        </w:tc>
        <w:tc>
          <w:tcPr>
            <w:tcW w:w="0" w:type="auto"/>
            <w:gridSpan w:val="3"/>
            <w:vAlign w:val="center"/>
            <w:hideMark/>
          </w:tcPr>
          <w:p w14:paraId="4ED81C56" w14:textId="77777777" w:rsidR="00000000" w:rsidRDefault="00405D16">
            <w:pPr>
              <w:spacing w:after="100"/>
              <w:rPr>
                <w:rFonts w:eastAsia="Times New Roman"/>
                <w:sz w:val="20"/>
                <w:szCs w:val="20"/>
              </w:rPr>
            </w:pPr>
          </w:p>
        </w:tc>
      </w:tr>
      <w:tr w:rsidR="00000000" w14:paraId="2AF156C0" w14:textId="77777777">
        <w:trPr>
          <w:divId w:val="1202203938"/>
        </w:trPr>
        <w:tc>
          <w:tcPr>
            <w:tcW w:w="0" w:type="auto"/>
            <w:gridSpan w:val="3"/>
            <w:shd w:val="clear" w:color="auto" w:fill="FFFFFF"/>
            <w:tcMar>
              <w:top w:w="30" w:type="dxa"/>
              <w:left w:w="20" w:type="dxa"/>
              <w:bottom w:w="30" w:type="dxa"/>
              <w:right w:w="20" w:type="dxa"/>
            </w:tcMar>
            <w:vAlign w:val="center"/>
            <w:hideMark/>
          </w:tcPr>
          <w:p w14:paraId="1E899407" w14:textId="77777777" w:rsidR="00000000" w:rsidRDefault="00405D16">
            <w:pPr>
              <w:spacing w:after="100"/>
              <w:rPr>
                <w:rFonts w:eastAsia="Times New Roman"/>
              </w:rPr>
            </w:pPr>
            <w:r>
              <w:rPr>
                <w:rFonts w:eastAsia="Times New Roman"/>
                <w:color w:val="000000"/>
                <w:sz w:val="16"/>
                <w:szCs w:val="16"/>
              </w:rPr>
              <w:t>Purchases of treasury stock</w:t>
            </w:r>
          </w:p>
        </w:tc>
        <w:tc>
          <w:tcPr>
            <w:tcW w:w="0" w:type="auto"/>
            <w:gridSpan w:val="3"/>
            <w:shd w:val="clear" w:color="auto" w:fill="FFFFFF"/>
            <w:tcMar>
              <w:top w:w="0" w:type="dxa"/>
              <w:left w:w="20" w:type="dxa"/>
              <w:bottom w:w="0" w:type="dxa"/>
              <w:right w:w="20" w:type="dxa"/>
            </w:tcMar>
            <w:vAlign w:val="center"/>
            <w:hideMark/>
          </w:tcPr>
          <w:p w14:paraId="1F00885E"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27C3DFC" w14:textId="77777777" w:rsidR="00000000" w:rsidRDefault="00405D16">
            <w:pPr>
              <w:spacing w:after="100"/>
              <w:jc w:val="right"/>
              <w:rPr>
                <w:rFonts w:eastAsia="Times New Roman"/>
              </w:rPr>
            </w:pPr>
            <w:r>
              <w:rPr>
                <w:rFonts w:eastAsia="Times New Roman"/>
                <w:b/>
                <w:bCs/>
                <w:color w:val="000000"/>
                <w:sz w:val="16"/>
                <w:szCs w:val="16"/>
              </w:rPr>
              <w:t>(4,953)</w:t>
            </w:r>
          </w:p>
        </w:tc>
        <w:tc>
          <w:tcPr>
            <w:tcW w:w="0" w:type="auto"/>
            <w:shd w:val="clear" w:color="auto" w:fill="FFFFFF"/>
            <w:tcMar>
              <w:top w:w="30" w:type="dxa"/>
              <w:left w:w="0" w:type="dxa"/>
              <w:bottom w:w="30" w:type="dxa"/>
              <w:right w:w="20" w:type="dxa"/>
            </w:tcMar>
            <w:vAlign w:val="center"/>
            <w:hideMark/>
          </w:tcPr>
          <w:p w14:paraId="2362E37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BCE38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071C50E" w14:textId="77777777" w:rsidR="00000000" w:rsidRDefault="00405D16">
            <w:pPr>
              <w:spacing w:after="100"/>
              <w:jc w:val="right"/>
              <w:rPr>
                <w:rFonts w:eastAsia="Times New Roman"/>
              </w:rPr>
            </w:pPr>
            <w:r>
              <w:rPr>
                <w:rFonts w:eastAsia="Times New Roman"/>
                <w:color w:val="000000"/>
                <w:sz w:val="16"/>
                <w:szCs w:val="16"/>
              </w:rPr>
              <w:t>(390)</w:t>
            </w:r>
          </w:p>
        </w:tc>
        <w:tc>
          <w:tcPr>
            <w:tcW w:w="0" w:type="auto"/>
            <w:shd w:val="clear" w:color="auto" w:fill="FFFFFF"/>
            <w:tcMar>
              <w:top w:w="30" w:type="dxa"/>
              <w:left w:w="0" w:type="dxa"/>
              <w:bottom w:w="30" w:type="dxa"/>
              <w:right w:w="20" w:type="dxa"/>
            </w:tcMar>
            <w:vAlign w:val="center"/>
            <w:hideMark/>
          </w:tcPr>
          <w:p w14:paraId="47A16C19" w14:textId="77777777" w:rsidR="00000000" w:rsidRDefault="00405D16">
            <w:pPr>
              <w:spacing w:after="100"/>
              <w:jc w:val="right"/>
              <w:rPr>
                <w:rFonts w:eastAsia="Times New Roman"/>
              </w:rPr>
            </w:pPr>
          </w:p>
        </w:tc>
        <w:tc>
          <w:tcPr>
            <w:tcW w:w="0" w:type="auto"/>
            <w:gridSpan w:val="3"/>
            <w:vAlign w:val="center"/>
            <w:hideMark/>
          </w:tcPr>
          <w:p w14:paraId="16BCD5E6" w14:textId="77777777" w:rsidR="00000000" w:rsidRDefault="00405D16">
            <w:pPr>
              <w:spacing w:after="100"/>
              <w:jc w:val="right"/>
              <w:rPr>
                <w:rFonts w:eastAsia="Times New Roman"/>
                <w:sz w:val="20"/>
                <w:szCs w:val="20"/>
              </w:rPr>
            </w:pPr>
          </w:p>
        </w:tc>
        <w:tc>
          <w:tcPr>
            <w:tcW w:w="0" w:type="auto"/>
            <w:gridSpan w:val="3"/>
            <w:vAlign w:val="center"/>
            <w:hideMark/>
          </w:tcPr>
          <w:p w14:paraId="656691B9" w14:textId="77777777" w:rsidR="00000000" w:rsidRDefault="00405D16">
            <w:pPr>
              <w:spacing w:after="100"/>
              <w:rPr>
                <w:rFonts w:eastAsia="Times New Roman"/>
                <w:sz w:val="20"/>
                <w:szCs w:val="20"/>
              </w:rPr>
            </w:pPr>
          </w:p>
        </w:tc>
      </w:tr>
      <w:tr w:rsidR="00000000" w14:paraId="7A484C9E" w14:textId="77777777">
        <w:trPr>
          <w:divId w:val="1202203938"/>
        </w:trPr>
        <w:tc>
          <w:tcPr>
            <w:tcW w:w="0" w:type="auto"/>
            <w:gridSpan w:val="3"/>
            <w:shd w:val="clear" w:color="auto" w:fill="CCEEFF"/>
            <w:tcMar>
              <w:top w:w="30" w:type="dxa"/>
              <w:left w:w="20" w:type="dxa"/>
              <w:bottom w:w="30" w:type="dxa"/>
              <w:right w:w="20" w:type="dxa"/>
            </w:tcMar>
            <w:vAlign w:val="center"/>
            <w:hideMark/>
          </w:tcPr>
          <w:p w14:paraId="0799D6D9" w14:textId="77777777" w:rsidR="00000000" w:rsidRDefault="00405D16">
            <w:pPr>
              <w:spacing w:after="100"/>
              <w:rPr>
                <w:rFonts w:eastAsia="Times New Roman"/>
              </w:rPr>
            </w:pPr>
            <w:r>
              <w:rPr>
                <w:rFonts w:eastAsia="Times New Roman"/>
                <w:color w:val="000000"/>
                <w:sz w:val="16"/>
                <w:szCs w:val="16"/>
              </w:rPr>
              <w:t>Proceeds from share-based payment activities</w:t>
            </w:r>
          </w:p>
        </w:tc>
        <w:tc>
          <w:tcPr>
            <w:tcW w:w="0" w:type="auto"/>
            <w:gridSpan w:val="3"/>
            <w:shd w:val="clear" w:color="auto" w:fill="CCEEFF"/>
            <w:tcMar>
              <w:top w:w="0" w:type="dxa"/>
              <w:left w:w="20" w:type="dxa"/>
              <w:bottom w:w="0" w:type="dxa"/>
              <w:right w:w="20" w:type="dxa"/>
            </w:tcMar>
            <w:vAlign w:val="center"/>
            <w:hideMark/>
          </w:tcPr>
          <w:p w14:paraId="33D4072B"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823C945" w14:textId="77777777" w:rsidR="00000000" w:rsidRDefault="00405D16">
            <w:pPr>
              <w:spacing w:after="100"/>
              <w:jc w:val="right"/>
              <w:rPr>
                <w:rFonts w:eastAsia="Times New Roman"/>
              </w:rPr>
            </w:pPr>
            <w:r>
              <w:rPr>
                <w:rFonts w:eastAsia="Times New Roman"/>
                <w:b/>
                <w:bCs/>
                <w:color w:val="000000"/>
                <w:sz w:val="16"/>
                <w:szCs w:val="16"/>
              </w:rPr>
              <w:t>54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3FED554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EE40C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5377837" w14:textId="77777777" w:rsidR="00000000" w:rsidRDefault="00405D16">
            <w:pPr>
              <w:spacing w:after="100"/>
              <w:jc w:val="right"/>
              <w:rPr>
                <w:rFonts w:eastAsia="Times New Roman"/>
              </w:rPr>
            </w:pPr>
            <w:r>
              <w:rPr>
                <w:rFonts w:eastAsia="Times New Roman"/>
                <w:color w:val="000000"/>
                <w:sz w:val="16"/>
                <w:szCs w:val="16"/>
              </w:rPr>
              <w:t>21 </w:t>
            </w:r>
          </w:p>
        </w:tc>
        <w:tc>
          <w:tcPr>
            <w:tcW w:w="0" w:type="auto"/>
            <w:shd w:val="clear" w:color="auto" w:fill="CCEEFF"/>
            <w:tcMar>
              <w:top w:w="30" w:type="dxa"/>
              <w:left w:w="0" w:type="dxa"/>
              <w:bottom w:w="30" w:type="dxa"/>
              <w:right w:w="20" w:type="dxa"/>
            </w:tcMar>
            <w:vAlign w:val="center"/>
            <w:hideMark/>
          </w:tcPr>
          <w:p w14:paraId="1C0BCE18" w14:textId="77777777" w:rsidR="00000000" w:rsidRDefault="00405D16">
            <w:pPr>
              <w:spacing w:after="100"/>
              <w:jc w:val="right"/>
              <w:rPr>
                <w:rFonts w:eastAsia="Times New Roman"/>
              </w:rPr>
            </w:pPr>
          </w:p>
        </w:tc>
        <w:tc>
          <w:tcPr>
            <w:tcW w:w="0" w:type="auto"/>
            <w:gridSpan w:val="3"/>
            <w:vAlign w:val="center"/>
            <w:hideMark/>
          </w:tcPr>
          <w:p w14:paraId="0BEE28B7" w14:textId="77777777" w:rsidR="00000000" w:rsidRDefault="00405D16">
            <w:pPr>
              <w:spacing w:after="100"/>
              <w:jc w:val="right"/>
              <w:rPr>
                <w:rFonts w:eastAsia="Times New Roman"/>
                <w:sz w:val="20"/>
                <w:szCs w:val="20"/>
              </w:rPr>
            </w:pPr>
          </w:p>
        </w:tc>
        <w:tc>
          <w:tcPr>
            <w:tcW w:w="0" w:type="auto"/>
            <w:gridSpan w:val="3"/>
            <w:vAlign w:val="center"/>
            <w:hideMark/>
          </w:tcPr>
          <w:p w14:paraId="4A9CBE96" w14:textId="77777777" w:rsidR="00000000" w:rsidRDefault="00405D16">
            <w:pPr>
              <w:spacing w:after="100"/>
              <w:rPr>
                <w:rFonts w:eastAsia="Times New Roman"/>
                <w:sz w:val="20"/>
                <w:szCs w:val="20"/>
              </w:rPr>
            </w:pPr>
          </w:p>
        </w:tc>
      </w:tr>
      <w:tr w:rsidR="00000000" w14:paraId="11EB86C7" w14:textId="77777777">
        <w:trPr>
          <w:divId w:val="1202203938"/>
        </w:trPr>
        <w:tc>
          <w:tcPr>
            <w:tcW w:w="0" w:type="auto"/>
            <w:gridSpan w:val="3"/>
            <w:shd w:val="clear" w:color="auto" w:fill="FFFFFF"/>
            <w:tcMar>
              <w:top w:w="30" w:type="dxa"/>
              <w:left w:w="20" w:type="dxa"/>
              <w:bottom w:w="30" w:type="dxa"/>
              <w:right w:w="20" w:type="dxa"/>
            </w:tcMar>
            <w:vAlign w:val="center"/>
            <w:hideMark/>
          </w:tcPr>
          <w:p w14:paraId="42B03838" w14:textId="77777777" w:rsidR="00000000" w:rsidRDefault="00405D16">
            <w:pPr>
              <w:spacing w:after="100"/>
              <w:rPr>
                <w:rFonts w:eastAsia="Times New Roman"/>
              </w:rPr>
            </w:pPr>
            <w:r>
              <w:rPr>
                <w:rFonts w:eastAsia="Times New Roman"/>
                <w:b/>
                <w:bCs/>
                <w:color w:val="000000"/>
                <w:sz w:val="16"/>
                <w:szCs w:val="16"/>
              </w:rPr>
              <w:t>Net cash from financing activities</w:t>
            </w:r>
          </w:p>
        </w:tc>
        <w:tc>
          <w:tcPr>
            <w:tcW w:w="0" w:type="auto"/>
            <w:gridSpan w:val="3"/>
            <w:shd w:val="clear" w:color="auto" w:fill="FFFFFF"/>
            <w:tcMar>
              <w:top w:w="0" w:type="dxa"/>
              <w:left w:w="20" w:type="dxa"/>
              <w:bottom w:w="0" w:type="dxa"/>
              <w:right w:w="20" w:type="dxa"/>
            </w:tcMar>
            <w:vAlign w:val="center"/>
            <w:hideMark/>
          </w:tcPr>
          <w:p w14:paraId="7D6988B1"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4ADF206" w14:textId="77777777" w:rsidR="00000000" w:rsidRDefault="00405D16">
            <w:pPr>
              <w:spacing w:after="100"/>
              <w:jc w:val="right"/>
              <w:rPr>
                <w:rFonts w:eastAsia="Times New Roman"/>
              </w:rPr>
            </w:pPr>
            <w:r>
              <w:rPr>
                <w:rFonts w:eastAsia="Times New Roman"/>
                <w:b/>
                <w:bCs/>
                <w:color w:val="000000"/>
                <w:sz w:val="16"/>
                <w:szCs w:val="16"/>
              </w:rPr>
              <w:t>(6,515)</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02AB69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AC3DC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7CA396E" w14:textId="77777777" w:rsidR="00000000" w:rsidRDefault="00405D16">
            <w:pPr>
              <w:spacing w:after="100"/>
              <w:jc w:val="right"/>
              <w:rPr>
                <w:rFonts w:eastAsia="Times New Roman"/>
              </w:rPr>
            </w:pPr>
            <w:r>
              <w:rPr>
                <w:rFonts w:eastAsia="Times New Roman"/>
                <w:color w:val="000000"/>
                <w:sz w:val="16"/>
                <w:szCs w:val="16"/>
              </w:rPr>
              <w:t>28,097 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40A17D7" w14:textId="77777777" w:rsidR="00000000" w:rsidRDefault="00405D16">
            <w:pPr>
              <w:spacing w:after="100"/>
              <w:jc w:val="right"/>
              <w:rPr>
                <w:rFonts w:eastAsia="Times New Roman"/>
              </w:rPr>
            </w:pPr>
          </w:p>
        </w:tc>
        <w:tc>
          <w:tcPr>
            <w:tcW w:w="0" w:type="auto"/>
            <w:gridSpan w:val="3"/>
            <w:vAlign w:val="center"/>
            <w:hideMark/>
          </w:tcPr>
          <w:p w14:paraId="324155B8" w14:textId="77777777" w:rsidR="00000000" w:rsidRDefault="00405D16">
            <w:pPr>
              <w:spacing w:after="100"/>
              <w:jc w:val="right"/>
              <w:rPr>
                <w:rFonts w:eastAsia="Times New Roman"/>
                <w:sz w:val="20"/>
                <w:szCs w:val="20"/>
              </w:rPr>
            </w:pPr>
          </w:p>
        </w:tc>
        <w:tc>
          <w:tcPr>
            <w:tcW w:w="0" w:type="auto"/>
            <w:gridSpan w:val="3"/>
            <w:vAlign w:val="center"/>
            <w:hideMark/>
          </w:tcPr>
          <w:p w14:paraId="0F8239AE" w14:textId="77777777" w:rsidR="00000000" w:rsidRDefault="00405D16">
            <w:pPr>
              <w:spacing w:after="100"/>
              <w:rPr>
                <w:rFonts w:eastAsia="Times New Roman"/>
                <w:sz w:val="20"/>
                <w:szCs w:val="20"/>
              </w:rPr>
            </w:pPr>
          </w:p>
        </w:tc>
      </w:tr>
      <w:tr w:rsidR="00000000" w14:paraId="2A1CDB23" w14:textId="77777777">
        <w:trPr>
          <w:divId w:val="1202203938"/>
        </w:trPr>
        <w:tc>
          <w:tcPr>
            <w:tcW w:w="0" w:type="auto"/>
            <w:gridSpan w:val="3"/>
            <w:shd w:val="clear" w:color="auto" w:fill="CCEEFF"/>
            <w:tcMar>
              <w:top w:w="30" w:type="dxa"/>
              <w:left w:w="20" w:type="dxa"/>
              <w:bottom w:w="30" w:type="dxa"/>
              <w:right w:w="20" w:type="dxa"/>
            </w:tcMar>
            <w:vAlign w:val="center"/>
            <w:hideMark/>
          </w:tcPr>
          <w:p w14:paraId="139E4D79" w14:textId="77777777" w:rsidR="00000000" w:rsidRDefault="00405D16">
            <w:pPr>
              <w:spacing w:after="100"/>
              <w:rPr>
                <w:rFonts w:eastAsia="Times New Roman"/>
              </w:rPr>
            </w:pPr>
            <w:r>
              <w:rPr>
                <w:rFonts w:eastAsia="Times New Roman"/>
                <w:color w:val="000000"/>
                <w:sz w:val="16"/>
                <w:szCs w:val="16"/>
              </w:rPr>
              <w:t>Changes in cash, cash equivalents and restricted cash for securitization investors</w:t>
            </w:r>
          </w:p>
        </w:tc>
        <w:tc>
          <w:tcPr>
            <w:tcW w:w="0" w:type="auto"/>
            <w:gridSpan w:val="3"/>
            <w:shd w:val="clear" w:color="auto" w:fill="CCEEFF"/>
            <w:tcMar>
              <w:top w:w="0" w:type="dxa"/>
              <w:left w:w="20" w:type="dxa"/>
              <w:bottom w:w="0" w:type="dxa"/>
              <w:right w:w="20" w:type="dxa"/>
            </w:tcMar>
            <w:vAlign w:val="center"/>
            <w:hideMark/>
          </w:tcPr>
          <w:p w14:paraId="3B0ED1E1"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296840C" w14:textId="77777777" w:rsidR="00000000" w:rsidRDefault="00405D16">
            <w:pPr>
              <w:spacing w:after="100"/>
              <w:jc w:val="right"/>
              <w:rPr>
                <w:rFonts w:eastAsia="Times New Roman"/>
              </w:rPr>
            </w:pPr>
            <w:r>
              <w:rPr>
                <w:rFonts w:eastAsia="Times New Roman"/>
                <w:b/>
                <w:bCs/>
                <w:color w:val="000000"/>
                <w:sz w:val="16"/>
                <w:szCs w:val="16"/>
              </w:rPr>
              <w:t>(13,913)</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3549C0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F16517"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AC0334A" w14:textId="77777777" w:rsidR="00000000" w:rsidRDefault="00405D16">
            <w:pPr>
              <w:spacing w:after="100"/>
              <w:jc w:val="right"/>
              <w:rPr>
                <w:rFonts w:eastAsia="Times New Roman"/>
              </w:rPr>
            </w:pPr>
            <w:r>
              <w:rPr>
                <w:rFonts w:eastAsia="Times New Roman"/>
                <w:color w:val="000000"/>
                <w:sz w:val="16"/>
                <w:szCs w:val="16"/>
              </w:rPr>
              <w:t>31,252 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A7C9B89" w14:textId="77777777" w:rsidR="00000000" w:rsidRDefault="00405D16">
            <w:pPr>
              <w:spacing w:after="100"/>
              <w:jc w:val="right"/>
              <w:rPr>
                <w:rFonts w:eastAsia="Times New Roman"/>
              </w:rPr>
            </w:pPr>
          </w:p>
        </w:tc>
        <w:tc>
          <w:tcPr>
            <w:tcW w:w="0" w:type="auto"/>
            <w:gridSpan w:val="3"/>
            <w:vAlign w:val="center"/>
            <w:hideMark/>
          </w:tcPr>
          <w:p w14:paraId="4967C810" w14:textId="77777777" w:rsidR="00000000" w:rsidRDefault="00405D16">
            <w:pPr>
              <w:spacing w:after="100"/>
              <w:jc w:val="right"/>
              <w:rPr>
                <w:rFonts w:eastAsia="Times New Roman"/>
                <w:sz w:val="20"/>
                <w:szCs w:val="20"/>
              </w:rPr>
            </w:pPr>
          </w:p>
        </w:tc>
        <w:tc>
          <w:tcPr>
            <w:tcW w:w="0" w:type="auto"/>
            <w:gridSpan w:val="3"/>
            <w:vAlign w:val="center"/>
            <w:hideMark/>
          </w:tcPr>
          <w:p w14:paraId="2D72D9DE" w14:textId="77777777" w:rsidR="00000000" w:rsidRDefault="00405D16">
            <w:pPr>
              <w:spacing w:after="100"/>
              <w:rPr>
                <w:rFonts w:eastAsia="Times New Roman"/>
                <w:sz w:val="20"/>
                <w:szCs w:val="20"/>
              </w:rPr>
            </w:pPr>
          </w:p>
        </w:tc>
      </w:tr>
      <w:tr w:rsidR="00000000" w14:paraId="46AAD11C" w14:textId="77777777">
        <w:trPr>
          <w:divId w:val="1202203938"/>
        </w:trPr>
        <w:tc>
          <w:tcPr>
            <w:tcW w:w="0" w:type="auto"/>
            <w:gridSpan w:val="3"/>
            <w:shd w:val="clear" w:color="auto" w:fill="FFFFFF"/>
            <w:tcMar>
              <w:top w:w="30" w:type="dxa"/>
              <w:left w:w="20" w:type="dxa"/>
              <w:bottom w:w="30" w:type="dxa"/>
              <w:right w:w="20" w:type="dxa"/>
            </w:tcMar>
            <w:vAlign w:val="center"/>
            <w:hideMark/>
          </w:tcPr>
          <w:p w14:paraId="300F9E1D" w14:textId="77777777" w:rsidR="00000000" w:rsidRDefault="00405D16">
            <w:pPr>
              <w:spacing w:after="100"/>
              <w:rPr>
                <w:rFonts w:eastAsia="Times New Roman"/>
              </w:rPr>
            </w:pPr>
            <w:r>
              <w:rPr>
                <w:rFonts w:eastAsia="Times New Roman"/>
                <w:color w:val="000000"/>
                <w:sz w:val="16"/>
                <w:szCs w:val="16"/>
              </w:rPr>
              <w:t>Cash, cash equivalents and restricted cash for securitization investors, beginning of the period</w:t>
            </w:r>
          </w:p>
        </w:tc>
        <w:tc>
          <w:tcPr>
            <w:tcW w:w="0" w:type="auto"/>
            <w:gridSpan w:val="3"/>
            <w:shd w:val="clear" w:color="auto" w:fill="FFFFFF"/>
            <w:tcMar>
              <w:top w:w="0" w:type="dxa"/>
              <w:left w:w="20" w:type="dxa"/>
              <w:bottom w:w="0" w:type="dxa"/>
              <w:right w:w="20" w:type="dxa"/>
            </w:tcMar>
            <w:vAlign w:val="center"/>
            <w:hideMark/>
          </w:tcPr>
          <w:p w14:paraId="6231948D"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31CD325" w14:textId="77777777" w:rsidR="00000000" w:rsidRDefault="00405D16">
            <w:pPr>
              <w:spacing w:after="100"/>
              <w:jc w:val="right"/>
              <w:rPr>
                <w:rFonts w:eastAsia="Times New Roman"/>
              </w:rPr>
            </w:pPr>
            <w:r>
              <w:rPr>
                <w:rFonts w:eastAsia="Times New Roman"/>
                <w:b/>
                <w:bCs/>
                <w:color w:val="000000"/>
                <w:sz w:val="16"/>
                <w:szCs w:val="16"/>
              </w:rPr>
              <w:t>40,771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23DCF7D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1C3B2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9156D41" w14:textId="77777777" w:rsidR="00000000" w:rsidRDefault="00405D16">
            <w:pPr>
              <w:spacing w:after="100"/>
              <w:jc w:val="right"/>
              <w:rPr>
                <w:rFonts w:eastAsia="Times New Roman"/>
              </w:rPr>
            </w:pPr>
            <w:r>
              <w:rPr>
                <w:rFonts w:eastAsia="Times New Roman"/>
                <w:color w:val="000000"/>
                <w:sz w:val="16"/>
                <w:szCs w:val="16"/>
              </w:rPr>
              <w:t>13,749 </w:t>
            </w:r>
          </w:p>
        </w:tc>
        <w:tc>
          <w:tcPr>
            <w:tcW w:w="0" w:type="auto"/>
            <w:shd w:val="clear" w:color="auto" w:fill="FFFFFF"/>
            <w:tcMar>
              <w:top w:w="30" w:type="dxa"/>
              <w:left w:w="0" w:type="dxa"/>
              <w:bottom w:w="30" w:type="dxa"/>
              <w:right w:w="20" w:type="dxa"/>
            </w:tcMar>
            <w:vAlign w:val="center"/>
            <w:hideMark/>
          </w:tcPr>
          <w:p w14:paraId="360D31A7" w14:textId="77777777" w:rsidR="00000000" w:rsidRDefault="00405D16">
            <w:pPr>
              <w:spacing w:after="100"/>
              <w:jc w:val="right"/>
              <w:rPr>
                <w:rFonts w:eastAsia="Times New Roman"/>
              </w:rPr>
            </w:pPr>
          </w:p>
        </w:tc>
        <w:tc>
          <w:tcPr>
            <w:tcW w:w="0" w:type="auto"/>
            <w:gridSpan w:val="3"/>
            <w:vAlign w:val="center"/>
            <w:hideMark/>
          </w:tcPr>
          <w:p w14:paraId="3336A1BF" w14:textId="77777777" w:rsidR="00000000" w:rsidRDefault="00405D16">
            <w:pPr>
              <w:spacing w:after="100"/>
              <w:jc w:val="right"/>
              <w:rPr>
                <w:rFonts w:eastAsia="Times New Roman"/>
                <w:sz w:val="20"/>
                <w:szCs w:val="20"/>
              </w:rPr>
            </w:pPr>
          </w:p>
        </w:tc>
        <w:tc>
          <w:tcPr>
            <w:tcW w:w="0" w:type="auto"/>
            <w:gridSpan w:val="3"/>
            <w:vAlign w:val="center"/>
            <w:hideMark/>
          </w:tcPr>
          <w:p w14:paraId="51E7DA34" w14:textId="77777777" w:rsidR="00000000" w:rsidRDefault="00405D16">
            <w:pPr>
              <w:spacing w:after="100"/>
              <w:rPr>
                <w:rFonts w:eastAsia="Times New Roman"/>
                <w:sz w:val="20"/>
                <w:szCs w:val="20"/>
              </w:rPr>
            </w:pPr>
          </w:p>
        </w:tc>
      </w:tr>
      <w:tr w:rsidR="00000000" w14:paraId="0915BF7D" w14:textId="77777777">
        <w:trPr>
          <w:divId w:val="1202203938"/>
        </w:trPr>
        <w:tc>
          <w:tcPr>
            <w:tcW w:w="0" w:type="auto"/>
            <w:gridSpan w:val="3"/>
            <w:shd w:val="clear" w:color="auto" w:fill="CCEEFF"/>
            <w:tcMar>
              <w:top w:w="30" w:type="dxa"/>
              <w:left w:w="20" w:type="dxa"/>
              <w:bottom w:w="30" w:type="dxa"/>
              <w:right w:w="20" w:type="dxa"/>
            </w:tcMar>
            <w:vAlign w:val="center"/>
            <w:hideMark/>
          </w:tcPr>
          <w:p w14:paraId="2224FF4F" w14:textId="77777777" w:rsidR="00000000" w:rsidRDefault="00405D16">
            <w:pPr>
              <w:spacing w:after="100"/>
              <w:rPr>
                <w:rFonts w:eastAsia="Times New Roman"/>
              </w:rPr>
            </w:pPr>
            <w:r>
              <w:rPr>
                <w:rFonts w:eastAsia="Times New Roman"/>
                <w:color w:val="000000"/>
                <w:sz w:val="16"/>
                <w:szCs w:val="16"/>
              </w:rPr>
              <w:t>Cash, cash equivalents and restricted cash for securitization investors, end of the period</w:t>
            </w:r>
          </w:p>
        </w:tc>
        <w:tc>
          <w:tcPr>
            <w:tcW w:w="0" w:type="auto"/>
            <w:gridSpan w:val="3"/>
            <w:shd w:val="clear" w:color="auto" w:fill="CCEEFF"/>
            <w:tcMar>
              <w:top w:w="0" w:type="dxa"/>
              <w:left w:w="20" w:type="dxa"/>
              <w:bottom w:w="0" w:type="dxa"/>
              <w:right w:w="20" w:type="dxa"/>
            </w:tcMar>
            <w:vAlign w:val="center"/>
            <w:hideMark/>
          </w:tcPr>
          <w:p w14:paraId="00632EE7"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80B060B" w14:textId="77777777" w:rsidR="00000000" w:rsidRDefault="00405D16">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9F3C1B1" w14:textId="77777777" w:rsidR="00000000" w:rsidRDefault="00405D16">
            <w:pPr>
              <w:spacing w:after="100"/>
              <w:jc w:val="right"/>
              <w:rPr>
                <w:rFonts w:eastAsia="Times New Roman"/>
              </w:rPr>
            </w:pPr>
            <w:r>
              <w:rPr>
                <w:rFonts w:eastAsia="Times New Roman"/>
                <w:b/>
                <w:bCs/>
                <w:color w:val="000000"/>
                <w:sz w:val="16"/>
                <w:szCs w:val="16"/>
              </w:rPr>
              <w:t>26,858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75A888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348C17"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5EF41AB"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6B72BDE" w14:textId="77777777" w:rsidR="00000000" w:rsidRDefault="00405D16">
            <w:pPr>
              <w:spacing w:after="100"/>
              <w:jc w:val="right"/>
              <w:rPr>
                <w:rFonts w:eastAsia="Times New Roman"/>
              </w:rPr>
            </w:pPr>
            <w:r>
              <w:rPr>
                <w:rFonts w:eastAsia="Times New Roman"/>
                <w:color w:val="000000"/>
                <w:sz w:val="16"/>
                <w:szCs w:val="16"/>
              </w:rPr>
              <w:t>45,001 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C1AA8F5" w14:textId="77777777" w:rsidR="00000000" w:rsidRDefault="00405D16">
            <w:pPr>
              <w:spacing w:after="100"/>
              <w:jc w:val="right"/>
              <w:rPr>
                <w:rFonts w:eastAsia="Times New Roman"/>
              </w:rPr>
            </w:pPr>
          </w:p>
        </w:tc>
        <w:tc>
          <w:tcPr>
            <w:tcW w:w="0" w:type="auto"/>
            <w:gridSpan w:val="3"/>
            <w:vAlign w:val="center"/>
            <w:hideMark/>
          </w:tcPr>
          <w:p w14:paraId="05D09985" w14:textId="77777777" w:rsidR="00000000" w:rsidRDefault="00405D16">
            <w:pPr>
              <w:spacing w:after="100"/>
              <w:jc w:val="right"/>
              <w:rPr>
                <w:rFonts w:eastAsia="Times New Roman"/>
                <w:sz w:val="20"/>
                <w:szCs w:val="20"/>
              </w:rPr>
            </w:pPr>
          </w:p>
        </w:tc>
        <w:tc>
          <w:tcPr>
            <w:tcW w:w="0" w:type="auto"/>
            <w:gridSpan w:val="3"/>
            <w:vAlign w:val="center"/>
            <w:hideMark/>
          </w:tcPr>
          <w:p w14:paraId="2E9E46FA" w14:textId="77777777" w:rsidR="00000000" w:rsidRDefault="00405D16">
            <w:pPr>
              <w:spacing w:after="100"/>
              <w:rPr>
                <w:rFonts w:eastAsia="Times New Roman"/>
                <w:sz w:val="20"/>
                <w:szCs w:val="20"/>
              </w:rPr>
            </w:pPr>
          </w:p>
        </w:tc>
      </w:tr>
      <w:tr w:rsidR="00000000" w14:paraId="4955247C" w14:textId="77777777">
        <w:trPr>
          <w:divId w:val="1202203938"/>
        </w:trPr>
        <w:tc>
          <w:tcPr>
            <w:tcW w:w="0" w:type="auto"/>
            <w:gridSpan w:val="3"/>
            <w:shd w:val="clear" w:color="auto" w:fill="FFFFFF"/>
            <w:tcMar>
              <w:top w:w="30" w:type="dxa"/>
              <w:left w:w="20" w:type="dxa"/>
              <w:bottom w:w="30" w:type="dxa"/>
              <w:right w:w="20" w:type="dxa"/>
            </w:tcMar>
            <w:vAlign w:val="center"/>
            <w:hideMark/>
          </w:tcPr>
          <w:p w14:paraId="225FC9A5" w14:textId="77777777" w:rsidR="00000000" w:rsidRDefault="00405D16">
            <w:pPr>
              <w:spacing w:after="100"/>
              <w:rPr>
                <w:rFonts w:eastAsia="Times New Roman"/>
              </w:rPr>
            </w:pPr>
            <w:r>
              <w:rPr>
                <w:rFonts w:eastAsia="Times New Roman"/>
                <w:b/>
                <w:bCs/>
                <w:color w:val="000000"/>
                <w:sz w:val="16"/>
                <w:szCs w:val="16"/>
              </w:rPr>
              <w:t>Supplemental cash flow information:</w:t>
            </w:r>
          </w:p>
        </w:tc>
        <w:tc>
          <w:tcPr>
            <w:tcW w:w="0" w:type="auto"/>
            <w:gridSpan w:val="3"/>
            <w:shd w:val="clear" w:color="auto" w:fill="FFFFFF"/>
            <w:tcMar>
              <w:top w:w="0" w:type="dxa"/>
              <w:left w:w="20" w:type="dxa"/>
              <w:bottom w:w="0" w:type="dxa"/>
              <w:right w:w="20" w:type="dxa"/>
            </w:tcMar>
            <w:vAlign w:val="center"/>
            <w:hideMark/>
          </w:tcPr>
          <w:p w14:paraId="4FC7915D" w14:textId="77777777" w:rsidR="00000000" w:rsidRDefault="00405D16">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6206F2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5436BB"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AC4736E" w14:textId="77777777" w:rsidR="00000000" w:rsidRDefault="00405D16">
            <w:pPr>
              <w:spacing w:after="100"/>
              <w:rPr>
                <w:rFonts w:eastAsia="Times New Roman"/>
                <w:sz w:val="20"/>
                <w:szCs w:val="20"/>
              </w:rPr>
            </w:pPr>
          </w:p>
        </w:tc>
        <w:tc>
          <w:tcPr>
            <w:tcW w:w="0" w:type="auto"/>
            <w:gridSpan w:val="3"/>
            <w:vAlign w:val="center"/>
            <w:hideMark/>
          </w:tcPr>
          <w:p w14:paraId="3D8D3873" w14:textId="77777777" w:rsidR="00000000" w:rsidRDefault="00405D16">
            <w:pPr>
              <w:spacing w:after="100"/>
              <w:rPr>
                <w:rFonts w:eastAsia="Times New Roman"/>
                <w:sz w:val="20"/>
                <w:szCs w:val="20"/>
              </w:rPr>
            </w:pPr>
          </w:p>
        </w:tc>
        <w:tc>
          <w:tcPr>
            <w:tcW w:w="0" w:type="auto"/>
            <w:gridSpan w:val="3"/>
            <w:vAlign w:val="center"/>
            <w:hideMark/>
          </w:tcPr>
          <w:p w14:paraId="6DBB666C" w14:textId="77777777" w:rsidR="00000000" w:rsidRDefault="00405D16">
            <w:pPr>
              <w:spacing w:after="100"/>
              <w:rPr>
                <w:rFonts w:eastAsia="Times New Roman"/>
                <w:sz w:val="20"/>
                <w:szCs w:val="20"/>
              </w:rPr>
            </w:pPr>
          </w:p>
        </w:tc>
      </w:tr>
      <w:tr w:rsidR="00000000" w14:paraId="50590E45" w14:textId="77777777">
        <w:trPr>
          <w:divId w:val="1202203938"/>
        </w:trPr>
        <w:tc>
          <w:tcPr>
            <w:tcW w:w="0" w:type="auto"/>
            <w:gridSpan w:val="3"/>
            <w:shd w:val="clear" w:color="auto" w:fill="CCEEFF"/>
            <w:tcMar>
              <w:top w:w="30" w:type="dxa"/>
              <w:left w:w="20" w:type="dxa"/>
              <w:bottom w:w="30" w:type="dxa"/>
              <w:right w:w="20" w:type="dxa"/>
            </w:tcMar>
            <w:vAlign w:val="center"/>
            <w:hideMark/>
          </w:tcPr>
          <w:p w14:paraId="62658E93" w14:textId="77777777" w:rsidR="00000000" w:rsidRDefault="00405D16">
            <w:pPr>
              <w:spacing w:after="100"/>
              <w:rPr>
                <w:rFonts w:eastAsia="Times New Roman"/>
              </w:rPr>
            </w:pPr>
            <w:r>
              <w:rPr>
                <w:rFonts w:eastAsia="Times New Roman"/>
                <w:color w:val="000000"/>
                <w:sz w:val="16"/>
                <w:szCs w:val="16"/>
              </w:rPr>
              <w:t>Non-cash items:</w:t>
            </w:r>
          </w:p>
        </w:tc>
        <w:tc>
          <w:tcPr>
            <w:tcW w:w="0" w:type="auto"/>
            <w:gridSpan w:val="3"/>
            <w:shd w:val="clear" w:color="auto" w:fill="CCEEFF"/>
            <w:tcMar>
              <w:top w:w="0" w:type="dxa"/>
              <w:left w:w="20" w:type="dxa"/>
              <w:bottom w:w="0" w:type="dxa"/>
              <w:right w:w="20" w:type="dxa"/>
            </w:tcMar>
            <w:vAlign w:val="center"/>
            <w:hideMark/>
          </w:tcPr>
          <w:p w14:paraId="6D1B7BF6"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6F6F0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0401B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C39C74" w14:textId="77777777" w:rsidR="00000000" w:rsidRDefault="00405D16">
            <w:pPr>
              <w:spacing w:after="100"/>
              <w:rPr>
                <w:rFonts w:eastAsia="Times New Roman"/>
                <w:sz w:val="20"/>
                <w:szCs w:val="20"/>
              </w:rPr>
            </w:pPr>
          </w:p>
        </w:tc>
        <w:tc>
          <w:tcPr>
            <w:tcW w:w="0" w:type="auto"/>
            <w:gridSpan w:val="3"/>
            <w:vAlign w:val="center"/>
            <w:hideMark/>
          </w:tcPr>
          <w:p w14:paraId="27560474" w14:textId="77777777" w:rsidR="00000000" w:rsidRDefault="00405D16">
            <w:pPr>
              <w:spacing w:after="100"/>
              <w:rPr>
                <w:rFonts w:eastAsia="Times New Roman"/>
                <w:sz w:val="20"/>
                <w:szCs w:val="20"/>
              </w:rPr>
            </w:pPr>
          </w:p>
        </w:tc>
        <w:tc>
          <w:tcPr>
            <w:tcW w:w="0" w:type="auto"/>
            <w:gridSpan w:val="3"/>
            <w:vAlign w:val="center"/>
            <w:hideMark/>
          </w:tcPr>
          <w:p w14:paraId="29F5A8CA" w14:textId="77777777" w:rsidR="00000000" w:rsidRDefault="00405D16">
            <w:pPr>
              <w:spacing w:after="100"/>
              <w:rPr>
                <w:rFonts w:eastAsia="Times New Roman"/>
                <w:sz w:val="20"/>
                <w:szCs w:val="20"/>
              </w:rPr>
            </w:pPr>
          </w:p>
        </w:tc>
      </w:tr>
      <w:tr w:rsidR="00000000" w14:paraId="2C2C35D1" w14:textId="77777777">
        <w:trPr>
          <w:divId w:val="1202203938"/>
        </w:trPr>
        <w:tc>
          <w:tcPr>
            <w:tcW w:w="0" w:type="auto"/>
            <w:gridSpan w:val="3"/>
            <w:shd w:val="clear" w:color="auto" w:fill="FFFFFF"/>
            <w:tcMar>
              <w:top w:w="30" w:type="dxa"/>
              <w:left w:w="245" w:type="dxa"/>
              <w:bottom w:w="30" w:type="dxa"/>
              <w:right w:w="20" w:type="dxa"/>
            </w:tcMar>
            <w:vAlign w:val="center"/>
            <w:hideMark/>
          </w:tcPr>
          <w:p w14:paraId="03855273" w14:textId="77777777" w:rsidR="00000000" w:rsidRDefault="00405D16">
            <w:pPr>
              <w:spacing w:after="100"/>
              <w:rPr>
                <w:rFonts w:eastAsia="Times New Roman"/>
              </w:rPr>
            </w:pPr>
            <w:r>
              <w:rPr>
                <w:rFonts w:eastAsia="Times New Roman"/>
                <w:color w:val="000000"/>
                <w:sz w:val="16"/>
                <w:szCs w:val="16"/>
              </w:rPr>
              <w:t>Net transfers from (to) loans held for investment to (from) loans held for sale</w:t>
            </w:r>
          </w:p>
        </w:tc>
        <w:tc>
          <w:tcPr>
            <w:tcW w:w="0" w:type="auto"/>
            <w:gridSpan w:val="3"/>
            <w:shd w:val="clear" w:color="auto" w:fill="FFFFFF"/>
            <w:tcMar>
              <w:top w:w="0" w:type="dxa"/>
              <w:left w:w="20" w:type="dxa"/>
              <w:bottom w:w="0" w:type="dxa"/>
              <w:right w:w="20" w:type="dxa"/>
            </w:tcMar>
            <w:vAlign w:val="center"/>
            <w:hideMark/>
          </w:tcPr>
          <w:p w14:paraId="2CB8B00A"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44463431" w14:textId="77777777" w:rsidR="00000000" w:rsidRDefault="00405D16">
            <w:pPr>
              <w:spacing w:after="100"/>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14:paraId="544D1D5B" w14:textId="77777777" w:rsidR="00000000" w:rsidRDefault="00405D16">
            <w:pPr>
              <w:spacing w:after="100"/>
              <w:jc w:val="right"/>
              <w:rPr>
                <w:rFonts w:eastAsia="Times New Roman"/>
              </w:rPr>
            </w:pPr>
            <w:r>
              <w:rPr>
                <w:rFonts w:eastAsia="Times New Roman"/>
                <w:b/>
                <w:bCs/>
                <w:color w:val="000000"/>
                <w:sz w:val="16"/>
                <w:szCs w:val="16"/>
              </w:rPr>
              <w:t>4,577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2D6C18E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053961"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E770CB1" w14:textId="77777777" w:rsidR="00000000" w:rsidRDefault="00405D16">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082E9C99" w14:textId="77777777" w:rsidR="00000000" w:rsidRDefault="00405D16">
            <w:pPr>
              <w:spacing w:after="100"/>
              <w:jc w:val="right"/>
              <w:rPr>
                <w:rFonts w:eastAsia="Times New Roman"/>
              </w:rPr>
            </w:pPr>
            <w:r>
              <w:rPr>
                <w:rFonts w:eastAsia="Times New Roman"/>
                <w:color w:val="000000"/>
                <w:sz w:val="16"/>
                <w:szCs w:val="16"/>
              </w:rPr>
              <w:t>2,173 </w:t>
            </w:r>
          </w:p>
        </w:tc>
        <w:tc>
          <w:tcPr>
            <w:tcW w:w="0" w:type="auto"/>
            <w:shd w:val="clear" w:color="auto" w:fill="FFFFFF"/>
            <w:tcMar>
              <w:top w:w="30" w:type="dxa"/>
              <w:left w:w="0" w:type="dxa"/>
              <w:bottom w:w="30" w:type="dxa"/>
              <w:right w:w="20" w:type="dxa"/>
            </w:tcMar>
            <w:vAlign w:val="center"/>
            <w:hideMark/>
          </w:tcPr>
          <w:p w14:paraId="7F3A5931" w14:textId="77777777" w:rsidR="00000000" w:rsidRDefault="00405D16">
            <w:pPr>
              <w:spacing w:after="100"/>
              <w:jc w:val="right"/>
              <w:rPr>
                <w:rFonts w:eastAsia="Times New Roman"/>
              </w:rPr>
            </w:pPr>
          </w:p>
        </w:tc>
        <w:tc>
          <w:tcPr>
            <w:tcW w:w="0" w:type="auto"/>
            <w:gridSpan w:val="3"/>
            <w:vAlign w:val="center"/>
            <w:hideMark/>
          </w:tcPr>
          <w:p w14:paraId="7C7CB52B" w14:textId="77777777" w:rsidR="00000000" w:rsidRDefault="00405D16">
            <w:pPr>
              <w:spacing w:after="100"/>
              <w:jc w:val="right"/>
              <w:rPr>
                <w:rFonts w:eastAsia="Times New Roman"/>
                <w:sz w:val="20"/>
                <w:szCs w:val="20"/>
              </w:rPr>
            </w:pPr>
          </w:p>
        </w:tc>
        <w:tc>
          <w:tcPr>
            <w:tcW w:w="0" w:type="auto"/>
            <w:gridSpan w:val="3"/>
            <w:vAlign w:val="center"/>
            <w:hideMark/>
          </w:tcPr>
          <w:p w14:paraId="573F22F0" w14:textId="77777777" w:rsidR="00000000" w:rsidRDefault="00405D16">
            <w:pPr>
              <w:spacing w:after="100"/>
              <w:rPr>
                <w:rFonts w:eastAsia="Times New Roman"/>
                <w:sz w:val="20"/>
                <w:szCs w:val="20"/>
              </w:rPr>
            </w:pPr>
          </w:p>
        </w:tc>
      </w:tr>
      <w:tr w:rsidR="00000000" w14:paraId="7CD2DE95" w14:textId="77777777">
        <w:trPr>
          <w:divId w:val="1202203938"/>
        </w:trPr>
        <w:tc>
          <w:tcPr>
            <w:tcW w:w="0" w:type="auto"/>
            <w:gridSpan w:val="3"/>
            <w:vAlign w:val="center"/>
            <w:hideMark/>
          </w:tcPr>
          <w:p w14:paraId="37196A98" w14:textId="77777777" w:rsidR="00000000" w:rsidRDefault="00405D16">
            <w:pPr>
              <w:spacing w:after="100"/>
              <w:rPr>
                <w:rFonts w:eastAsia="Times New Roman"/>
                <w:sz w:val="20"/>
                <w:szCs w:val="20"/>
              </w:rPr>
            </w:pPr>
          </w:p>
        </w:tc>
        <w:tc>
          <w:tcPr>
            <w:tcW w:w="0" w:type="auto"/>
            <w:gridSpan w:val="3"/>
            <w:vAlign w:val="center"/>
            <w:hideMark/>
          </w:tcPr>
          <w:p w14:paraId="651B10A0" w14:textId="77777777" w:rsidR="00000000" w:rsidRDefault="00405D16">
            <w:pPr>
              <w:spacing w:after="100"/>
              <w:rPr>
                <w:rFonts w:eastAsia="Times New Roman"/>
                <w:sz w:val="20"/>
                <w:szCs w:val="20"/>
              </w:rPr>
            </w:pPr>
          </w:p>
        </w:tc>
        <w:tc>
          <w:tcPr>
            <w:tcW w:w="0" w:type="auto"/>
            <w:gridSpan w:val="3"/>
            <w:vAlign w:val="center"/>
            <w:hideMark/>
          </w:tcPr>
          <w:p w14:paraId="5A59A7EF" w14:textId="77777777" w:rsidR="00000000" w:rsidRDefault="00405D16">
            <w:pPr>
              <w:spacing w:after="100"/>
              <w:rPr>
                <w:rFonts w:eastAsia="Times New Roman"/>
                <w:sz w:val="20"/>
                <w:szCs w:val="20"/>
              </w:rPr>
            </w:pPr>
          </w:p>
        </w:tc>
        <w:tc>
          <w:tcPr>
            <w:tcW w:w="0" w:type="auto"/>
            <w:gridSpan w:val="3"/>
            <w:vAlign w:val="center"/>
            <w:hideMark/>
          </w:tcPr>
          <w:p w14:paraId="3C8C658C" w14:textId="77777777" w:rsidR="00000000" w:rsidRDefault="00405D16">
            <w:pPr>
              <w:spacing w:after="100"/>
              <w:rPr>
                <w:rFonts w:eastAsia="Times New Roman"/>
                <w:sz w:val="20"/>
                <w:szCs w:val="20"/>
              </w:rPr>
            </w:pPr>
          </w:p>
        </w:tc>
        <w:tc>
          <w:tcPr>
            <w:tcW w:w="0" w:type="auto"/>
            <w:gridSpan w:val="3"/>
            <w:vAlign w:val="center"/>
            <w:hideMark/>
          </w:tcPr>
          <w:p w14:paraId="71209103" w14:textId="77777777" w:rsidR="00000000" w:rsidRDefault="00405D16">
            <w:pPr>
              <w:spacing w:after="100"/>
              <w:rPr>
                <w:rFonts w:eastAsia="Times New Roman"/>
                <w:sz w:val="20"/>
                <w:szCs w:val="20"/>
              </w:rPr>
            </w:pPr>
          </w:p>
        </w:tc>
        <w:tc>
          <w:tcPr>
            <w:tcW w:w="0" w:type="auto"/>
            <w:gridSpan w:val="3"/>
            <w:vAlign w:val="center"/>
            <w:hideMark/>
          </w:tcPr>
          <w:p w14:paraId="0968022D" w14:textId="77777777" w:rsidR="00000000" w:rsidRDefault="00405D16">
            <w:pPr>
              <w:spacing w:after="100"/>
              <w:rPr>
                <w:rFonts w:eastAsia="Times New Roman"/>
                <w:sz w:val="20"/>
                <w:szCs w:val="20"/>
              </w:rPr>
            </w:pPr>
          </w:p>
        </w:tc>
        <w:tc>
          <w:tcPr>
            <w:tcW w:w="0" w:type="auto"/>
            <w:gridSpan w:val="3"/>
            <w:vAlign w:val="center"/>
            <w:hideMark/>
          </w:tcPr>
          <w:p w14:paraId="762822FB" w14:textId="77777777" w:rsidR="00000000" w:rsidRDefault="00405D16">
            <w:pPr>
              <w:spacing w:after="100"/>
              <w:rPr>
                <w:rFonts w:eastAsia="Times New Roman"/>
                <w:sz w:val="20"/>
                <w:szCs w:val="20"/>
              </w:rPr>
            </w:pPr>
          </w:p>
        </w:tc>
      </w:tr>
      <w:tr w:rsidR="00000000" w14:paraId="68D682C2" w14:textId="77777777">
        <w:trPr>
          <w:divId w:val="1202203938"/>
        </w:trPr>
        <w:tc>
          <w:tcPr>
            <w:tcW w:w="0" w:type="auto"/>
            <w:gridSpan w:val="3"/>
            <w:vAlign w:val="center"/>
            <w:hideMark/>
          </w:tcPr>
          <w:p w14:paraId="40B1ED72" w14:textId="77777777" w:rsidR="00000000" w:rsidRDefault="00405D16">
            <w:pPr>
              <w:spacing w:after="100"/>
              <w:rPr>
                <w:rFonts w:eastAsia="Times New Roman"/>
                <w:sz w:val="20"/>
                <w:szCs w:val="20"/>
              </w:rPr>
            </w:pPr>
          </w:p>
        </w:tc>
        <w:tc>
          <w:tcPr>
            <w:tcW w:w="0" w:type="auto"/>
            <w:gridSpan w:val="3"/>
            <w:vAlign w:val="center"/>
            <w:hideMark/>
          </w:tcPr>
          <w:p w14:paraId="04EEF6E0" w14:textId="77777777" w:rsidR="00000000" w:rsidRDefault="00405D16">
            <w:pPr>
              <w:spacing w:after="100"/>
              <w:rPr>
                <w:rFonts w:eastAsia="Times New Roman"/>
                <w:sz w:val="20"/>
                <w:szCs w:val="20"/>
              </w:rPr>
            </w:pPr>
          </w:p>
        </w:tc>
        <w:tc>
          <w:tcPr>
            <w:tcW w:w="0" w:type="auto"/>
            <w:gridSpan w:val="3"/>
            <w:vAlign w:val="center"/>
            <w:hideMark/>
          </w:tcPr>
          <w:p w14:paraId="5E81954A" w14:textId="77777777" w:rsidR="00000000" w:rsidRDefault="00405D16">
            <w:pPr>
              <w:spacing w:after="100"/>
              <w:rPr>
                <w:rFonts w:eastAsia="Times New Roman"/>
                <w:sz w:val="20"/>
                <w:szCs w:val="20"/>
              </w:rPr>
            </w:pPr>
          </w:p>
        </w:tc>
        <w:tc>
          <w:tcPr>
            <w:tcW w:w="0" w:type="auto"/>
            <w:gridSpan w:val="3"/>
            <w:vAlign w:val="center"/>
            <w:hideMark/>
          </w:tcPr>
          <w:p w14:paraId="2C490E47" w14:textId="77777777" w:rsidR="00000000" w:rsidRDefault="00405D16">
            <w:pPr>
              <w:spacing w:after="100"/>
              <w:rPr>
                <w:rFonts w:eastAsia="Times New Roman"/>
                <w:sz w:val="20"/>
                <w:szCs w:val="20"/>
              </w:rPr>
            </w:pPr>
          </w:p>
        </w:tc>
        <w:tc>
          <w:tcPr>
            <w:tcW w:w="0" w:type="auto"/>
            <w:gridSpan w:val="3"/>
            <w:vAlign w:val="center"/>
            <w:hideMark/>
          </w:tcPr>
          <w:p w14:paraId="09B57DD5" w14:textId="77777777" w:rsidR="00000000" w:rsidRDefault="00405D16">
            <w:pPr>
              <w:spacing w:after="100"/>
              <w:rPr>
                <w:rFonts w:eastAsia="Times New Roman"/>
                <w:sz w:val="20"/>
                <w:szCs w:val="20"/>
              </w:rPr>
            </w:pPr>
          </w:p>
        </w:tc>
        <w:tc>
          <w:tcPr>
            <w:tcW w:w="0" w:type="auto"/>
            <w:gridSpan w:val="3"/>
            <w:vAlign w:val="center"/>
            <w:hideMark/>
          </w:tcPr>
          <w:p w14:paraId="12A90529" w14:textId="77777777" w:rsidR="00000000" w:rsidRDefault="00405D16">
            <w:pPr>
              <w:spacing w:after="100"/>
              <w:rPr>
                <w:rFonts w:eastAsia="Times New Roman"/>
                <w:sz w:val="20"/>
                <w:szCs w:val="20"/>
              </w:rPr>
            </w:pPr>
          </w:p>
        </w:tc>
        <w:tc>
          <w:tcPr>
            <w:tcW w:w="0" w:type="auto"/>
            <w:gridSpan w:val="3"/>
            <w:vAlign w:val="center"/>
            <w:hideMark/>
          </w:tcPr>
          <w:p w14:paraId="7937B2E2" w14:textId="77777777" w:rsidR="00000000" w:rsidRDefault="00405D16">
            <w:pPr>
              <w:spacing w:after="100"/>
              <w:rPr>
                <w:rFonts w:eastAsia="Times New Roman"/>
                <w:sz w:val="20"/>
                <w:szCs w:val="20"/>
              </w:rPr>
            </w:pPr>
          </w:p>
        </w:tc>
      </w:tr>
      <w:tr w:rsidR="00000000" w14:paraId="7BE42DC4" w14:textId="77777777">
        <w:trPr>
          <w:divId w:val="1202203938"/>
        </w:trPr>
        <w:tc>
          <w:tcPr>
            <w:tcW w:w="0" w:type="auto"/>
            <w:gridSpan w:val="3"/>
            <w:vAlign w:val="center"/>
            <w:hideMark/>
          </w:tcPr>
          <w:p w14:paraId="086333A8" w14:textId="77777777" w:rsidR="00000000" w:rsidRDefault="00405D16">
            <w:pPr>
              <w:spacing w:after="100"/>
              <w:rPr>
                <w:rFonts w:eastAsia="Times New Roman"/>
                <w:sz w:val="20"/>
                <w:szCs w:val="20"/>
              </w:rPr>
            </w:pPr>
          </w:p>
        </w:tc>
        <w:tc>
          <w:tcPr>
            <w:tcW w:w="0" w:type="auto"/>
            <w:gridSpan w:val="3"/>
            <w:vAlign w:val="center"/>
            <w:hideMark/>
          </w:tcPr>
          <w:p w14:paraId="60C16C13" w14:textId="77777777" w:rsidR="00000000" w:rsidRDefault="00405D16">
            <w:pPr>
              <w:spacing w:after="100"/>
              <w:rPr>
                <w:rFonts w:eastAsia="Times New Roman"/>
                <w:sz w:val="20"/>
                <w:szCs w:val="20"/>
              </w:rPr>
            </w:pPr>
          </w:p>
        </w:tc>
        <w:tc>
          <w:tcPr>
            <w:tcW w:w="0" w:type="auto"/>
            <w:gridSpan w:val="3"/>
            <w:vAlign w:val="center"/>
            <w:hideMark/>
          </w:tcPr>
          <w:p w14:paraId="775C1002" w14:textId="77777777" w:rsidR="00000000" w:rsidRDefault="00405D16">
            <w:pPr>
              <w:spacing w:after="100"/>
              <w:rPr>
                <w:rFonts w:eastAsia="Times New Roman"/>
                <w:sz w:val="20"/>
                <w:szCs w:val="20"/>
              </w:rPr>
            </w:pPr>
          </w:p>
        </w:tc>
        <w:tc>
          <w:tcPr>
            <w:tcW w:w="0" w:type="auto"/>
            <w:gridSpan w:val="3"/>
            <w:vAlign w:val="center"/>
            <w:hideMark/>
          </w:tcPr>
          <w:p w14:paraId="21DF0747" w14:textId="77777777" w:rsidR="00000000" w:rsidRDefault="00405D16">
            <w:pPr>
              <w:spacing w:after="100"/>
              <w:rPr>
                <w:rFonts w:eastAsia="Times New Roman"/>
                <w:sz w:val="20"/>
                <w:szCs w:val="20"/>
              </w:rPr>
            </w:pPr>
          </w:p>
        </w:tc>
        <w:tc>
          <w:tcPr>
            <w:tcW w:w="0" w:type="auto"/>
            <w:gridSpan w:val="3"/>
            <w:vAlign w:val="center"/>
            <w:hideMark/>
          </w:tcPr>
          <w:p w14:paraId="0426EDA9" w14:textId="77777777" w:rsidR="00000000" w:rsidRDefault="00405D16">
            <w:pPr>
              <w:spacing w:after="100"/>
              <w:rPr>
                <w:rFonts w:eastAsia="Times New Roman"/>
                <w:sz w:val="20"/>
                <w:szCs w:val="20"/>
              </w:rPr>
            </w:pPr>
          </w:p>
        </w:tc>
        <w:tc>
          <w:tcPr>
            <w:tcW w:w="0" w:type="auto"/>
            <w:gridSpan w:val="3"/>
            <w:vAlign w:val="center"/>
            <w:hideMark/>
          </w:tcPr>
          <w:p w14:paraId="64782F14" w14:textId="77777777" w:rsidR="00000000" w:rsidRDefault="00405D16">
            <w:pPr>
              <w:spacing w:after="100"/>
              <w:rPr>
                <w:rFonts w:eastAsia="Times New Roman"/>
                <w:sz w:val="20"/>
                <w:szCs w:val="20"/>
              </w:rPr>
            </w:pPr>
          </w:p>
        </w:tc>
        <w:tc>
          <w:tcPr>
            <w:tcW w:w="0" w:type="auto"/>
            <w:gridSpan w:val="3"/>
            <w:vAlign w:val="center"/>
            <w:hideMark/>
          </w:tcPr>
          <w:p w14:paraId="71B3056D" w14:textId="77777777" w:rsidR="00000000" w:rsidRDefault="00405D16">
            <w:pPr>
              <w:spacing w:after="100"/>
              <w:rPr>
                <w:rFonts w:eastAsia="Times New Roman"/>
                <w:sz w:val="20"/>
                <w:szCs w:val="20"/>
              </w:rPr>
            </w:pPr>
          </w:p>
        </w:tc>
      </w:tr>
      <w:tr w:rsidR="00000000" w14:paraId="73D7B435" w14:textId="77777777">
        <w:trPr>
          <w:divId w:val="1202203938"/>
        </w:trPr>
        <w:tc>
          <w:tcPr>
            <w:tcW w:w="0" w:type="auto"/>
            <w:gridSpan w:val="3"/>
            <w:shd w:val="clear" w:color="auto" w:fill="CCEEFF"/>
            <w:tcMar>
              <w:top w:w="30" w:type="dxa"/>
              <w:left w:w="20" w:type="dxa"/>
              <w:bottom w:w="30" w:type="dxa"/>
              <w:right w:w="20" w:type="dxa"/>
            </w:tcMar>
            <w:vAlign w:val="center"/>
            <w:hideMark/>
          </w:tcPr>
          <w:p w14:paraId="7BBCAC1D" w14:textId="77777777" w:rsidR="00000000" w:rsidRDefault="00405D16">
            <w:pPr>
              <w:spacing w:after="100"/>
              <w:rPr>
                <w:rFonts w:eastAsia="Times New Roman"/>
              </w:rPr>
            </w:pPr>
            <w:r>
              <w:rPr>
                <w:rFonts w:eastAsia="Times New Roman"/>
                <w:color w:val="000000"/>
                <w:sz w:val="16"/>
                <w:szCs w:val="16"/>
              </w:rPr>
              <w:t>Interest paid</w:t>
            </w:r>
          </w:p>
        </w:tc>
        <w:tc>
          <w:tcPr>
            <w:tcW w:w="0" w:type="auto"/>
            <w:gridSpan w:val="3"/>
            <w:shd w:val="clear" w:color="auto" w:fill="CCEEFF"/>
            <w:tcMar>
              <w:top w:w="0" w:type="dxa"/>
              <w:left w:w="20" w:type="dxa"/>
              <w:bottom w:w="0" w:type="dxa"/>
              <w:right w:w="20" w:type="dxa"/>
            </w:tcMar>
            <w:vAlign w:val="center"/>
            <w:hideMark/>
          </w:tcPr>
          <w:p w14:paraId="1023D4BE"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9A52868" w14:textId="77777777" w:rsidR="00000000" w:rsidRDefault="00405D16">
            <w:pPr>
              <w:spacing w:after="100"/>
              <w:jc w:val="right"/>
              <w:rPr>
                <w:rFonts w:eastAsia="Times New Roman"/>
              </w:rPr>
            </w:pPr>
            <w:r>
              <w:rPr>
                <w:rFonts w:eastAsia="Times New Roman"/>
                <w:b/>
                <w:bCs/>
                <w:color w:val="000000"/>
                <w:sz w:val="16"/>
                <w:szCs w:val="16"/>
              </w:rPr>
              <w:t>1,703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600BFE2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21752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9995833" w14:textId="77777777" w:rsidR="00000000" w:rsidRDefault="00405D16">
            <w:pPr>
              <w:spacing w:after="100"/>
              <w:jc w:val="right"/>
              <w:rPr>
                <w:rFonts w:eastAsia="Times New Roman"/>
              </w:rPr>
            </w:pPr>
            <w:r>
              <w:rPr>
                <w:rFonts w:eastAsia="Times New Roman"/>
                <w:color w:val="000000"/>
                <w:sz w:val="16"/>
                <w:szCs w:val="16"/>
              </w:rPr>
              <w:t>2,944 </w:t>
            </w:r>
          </w:p>
        </w:tc>
        <w:tc>
          <w:tcPr>
            <w:tcW w:w="0" w:type="auto"/>
            <w:shd w:val="clear" w:color="auto" w:fill="CCEEFF"/>
            <w:tcMar>
              <w:top w:w="30" w:type="dxa"/>
              <w:left w:w="0" w:type="dxa"/>
              <w:bottom w:w="30" w:type="dxa"/>
              <w:right w:w="20" w:type="dxa"/>
            </w:tcMar>
            <w:vAlign w:val="center"/>
            <w:hideMark/>
          </w:tcPr>
          <w:p w14:paraId="3AD98B59" w14:textId="77777777" w:rsidR="00000000" w:rsidRDefault="00405D16">
            <w:pPr>
              <w:spacing w:after="100"/>
              <w:jc w:val="right"/>
              <w:rPr>
                <w:rFonts w:eastAsia="Times New Roman"/>
              </w:rPr>
            </w:pPr>
          </w:p>
        </w:tc>
        <w:tc>
          <w:tcPr>
            <w:tcW w:w="0" w:type="auto"/>
            <w:gridSpan w:val="3"/>
            <w:vAlign w:val="center"/>
            <w:hideMark/>
          </w:tcPr>
          <w:p w14:paraId="46C3A19C" w14:textId="77777777" w:rsidR="00000000" w:rsidRDefault="00405D16">
            <w:pPr>
              <w:spacing w:after="100"/>
              <w:jc w:val="right"/>
              <w:rPr>
                <w:rFonts w:eastAsia="Times New Roman"/>
                <w:sz w:val="20"/>
                <w:szCs w:val="20"/>
              </w:rPr>
            </w:pPr>
          </w:p>
        </w:tc>
        <w:tc>
          <w:tcPr>
            <w:tcW w:w="0" w:type="auto"/>
            <w:gridSpan w:val="3"/>
            <w:vAlign w:val="center"/>
            <w:hideMark/>
          </w:tcPr>
          <w:p w14:paraId="5A1BB410" w14:textId="77777777" w:rsidR="00000000" w:rsidRDefault="00405D16">
            <w:pPr>
              <w:spacing w:after="100"/>
              <w:rPr>
                <w:rFonts w:eastAsia="Times New Roman"/>
                <w:sz w:val="20"/>
                <w:szCs w:val="20"/>
              </w:rPr>
            </w:pPr>
          </w:p>
        </w:tc>
      </w:tr>
      <w:tr w:rsidR="00000000" w14:paraId="0C45AB7E" w14:textId="77777777">
        <w:trPr>
          <w:divId w:val="1202203938"/>
        </w:trPr>
        <w:tc>
          <w:tcPr>
            <w:tcW w:w="0" w:type="auto"/>
            <w:gridSpan w:val="3"/>
            <w:shd w:val="clear" w:color="auto" w:fill="FFFFFF"/>
            <w:tcMar>
              <w:top w:w="30" w:type="dxa"/>
              <w:left w:w="20" w:type="dxa"/>
              <w:bottom w:w="30" w:type="dxa"/>
              <w:right w:w="20" w:type="dxa"/>
            </w:tcMar>
            <w:vAlign w:val="center"/>
            <w:hideMark/>
          </w:tcPr>
          <w:p w14:paraId="352952C3" w14:textId="77777777" w:rsidR="00000000" w:rsidRDefault="00405D16">
            <w:pPr>
              <w:spacing w:after="100"/>
              <w:rPr>
                <w:rFonts w:eastAsia="Times New Roman"/>
              </w:rPr>
            </w:pPr>
            <w:r>
              <w:rPr>
                <w:rFonts w:eastAsia="Times New Roman"/>
                <w:color w:val="000000"/>
                <w:sz w:val="16"/>
                <w:szCs w:val="16"/>
              </w:rPr>
              <w:t>Income tax paid</w:t>
            </w:r>
          </w:p>
        </w:tc>
        <w:tc>
          <w:tcPr>
            <w:tcW w:w="0" w:type="auto"/>
            <w:gridSpan w:val="3"/>
            <w:shd w:val="clear" w:color="auto" w:fill="FFFFFF"/>
            <w:tcMar>
              <w:top w:w="0" w:type="dxa"/>
              <w:left w:w="20" w:type="dxa"/>
              <w:bottom w:w="0" w:type="dxa"/>
              <w:right w:w="20" w:type="dxa"/>
            </w:tcMar>
            <w:vAlign w:val="center"/>
            <w:hideMark/>
          </w:tcPr>
          <w:p w14:paraId="0D58BFE9"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0C7028C" w14:textId="77777777" w:rsidR="00000000" w:rsidRDefault="00405D16">
            <w:pPr>
              <w:spacing w:after="100"/>
              <w:jc w:val="right"/>
              <w:rPr>
                <w:rFonts w:eastAsia="Times New Roman"/>
              </w:rPr>
            </w:pPr>
            <w:r>
              <w:rPr>
                <w:rFonts w:eastAsia="Times New Roman"/>
                <w:b/>
                <w:bCs/>
                <w:color w:val="000000"/>
                <w:sz w:val="16"/>
                <w:szCs w:val="16"/>
              </w:rPr>
              <w:t>1,672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0DB9717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432D2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2276D10" w14:textId="77777777" w:rsidR="00000000" w:rsidRDefault="00405D16">
            <w:pPr>
              <w:spacing w:after="100"/>
              <w:jc w:val="right"/>
              <w:rPr>
                <w:rFonts w:eastAsia="Times New Roman"/>
              </w:rPr>
            </w:pPr>
            <w:r>
              <w:rPr>
                <w:rFonts w:eastAsia="Times New Roman"/>
                <w:color w:val="000000"/>
                <w:sz w:val="16"/>
                <w:szCs w:val="16"/>
              </w:rPr>
              <w:t>625 </w:t>
            </w:r>
          </w:p>
        </w:tc>
        <w:tc>
          <w:tcPr>
            <w:tcW w:w="0" w:type="auto"/>
            <w:shd w:val="clear" w:color="auto" w:fill="FFFFFF"/>
            <w:tcMar>
              <w:top w:w="30" w:type="dxa"/>
              <w:left w:w="0" w:type="dxa"/>
              <w:bottom w:w="30" w:type="dxa"/>
              <w:right w:w="20" w:type="dxa"/>
            </w:tcMar>
            <w:vAlign w:val="center"/>
            <w:hideMark/>
          </w:tcPr>
          <w:p w14:paraId="0D8FAE05" w14:textId="77777777" w:rsidR="00000000" w:rsidRDefault="00405D16">
            <w:pPr>
              <w:spacing w:after="100"/>
              <w:jc w:val="right"/>
              <w:rPr>
                <w:rFonts w:eastAsia="Times New Roman"/>
              </w:rPr>
            </w:pPr>
          </w:p>
        </w:tc>
        <w:tc>
          <w:tcPr>
            <w:tcW w:w="0" w:type="auto"/>
            <w:gridSpan w:val="3"/>
            <w:vAlign w:val="center"/>
            <w:hideMark/>
          </w:tcPr>
          <w:p w14:paraId="5C13B9ED" w14:textId="77777777" w:rsidR="00000000" w:rsidRDefault="00405D16">
            <w:pPr>
              <w:spacing w:after="100"/>
              <w:jc w:val="right"/>
              <w:rPr>
                <w:rFonts w:eastAsia="Times New Roman"/>
                <w:sz w:val="20"/>
                <w:szCs w:val="20"/>
              </w:rPr>
            </w:pPr>
          </w:p>
        </w:tc>
        <w:tc>
          <w:tcPr>
            <w:tcW w:w="0" w:type="auto"/>
            <w:gridSpan w:val="3"/>
            <w:vAlign w:val="center"/>
            <w:hideMark/>
          </w:tcPr>
          <w:p w14:paraId="7BD09734" w14:textId="77777777" w:rsidR="00000000" w:rsidRDefault="00405D16">
            <w:pPr>
              <w:spacing w:after="100"/>
              <w:rPr>
                <w:rFonts w:eastAsia="Times New Roman"/>
                <w:sz w:val="20"/>
                <w:szCs w:val="20"/>
              </w:rPr>
            </w:pPr>
          </w:p>
        </w:tc>
      </w:tr>
    </w:tbl>
    <w:p w14:paraId="67D0AF27" w14:textId="77777777" w:rsidR="00000000" w:rsidRDefault="00405D16">
      <w:pPr>
        <w:ind w:firstLine="720"/>
        <w:divId w:val="411858270"/>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7"/>
        <w:gridCol w:w="69"/>
        <w:gridCol w:w="2663"/>
        <w:gridCol w:w="36"/>
        <w:gridCol w:w="69"/>
        <w:gridCol w:w="2663"/>
        <w:gridCol w:w="37"/>
      </w:tblGrid>
      <w:tr w:rsidR="00000000" w14:paraId="68B254AB" w14:textId="77777777">
        <w:trPr>
          <w:divId w:val="75908436"/>
          <w:jc w:val="center"/>
        </w:trPr>
        <w:tc>
          <w:tcPr>
            <w:tcW w:w="50" w:type="pct"/>
            <w:vAlign w:val="center"/>
            <w:hideMark/>
          </w:tcPr>
          <w:p w14:paraId="4BDC55B7" w14:textId="77777777" w:rsidR="00000000" w:rsidRDefault="00405D16">
            <w:pPr>
              <w:ind w:firstLine="720"/>
              <w:rPr>
                <w:rFonts w:eastAsia="Times New Roman"/>
              </w:rPr>
            </w:pPr>
          </w:p>
        </w:tc>
        <w:tc>
          <w:tcPr>
            <w:tcW w:w="1606" w:type="pct"/>
            <w:vAlign w:val="center"/>
            <w:hideMark/>
          </w:tcPr>
          <w:p w14:paraId="5ED1328F" w14:textId="77777777" w:rsidR="00000000" w:rsidRDefault="00405D16">
            <w:pPr>
              <w:spacing w:after="100"/>
              <w:rPr>
                <w:rFonts w:eastAsia="Times New Roman"/>
                <w:sz w:val="20"/>
                <w:szCs w:val="20"/>
              </w:rPr>
            </w:pPr>
          </w:p>
        </w:tc>
        <w:tc>
          <w:tcPr>
            <w:tcW w:w="5" w:type="pct"/>
            <w:vAlign w:val="center"/>
            <w:hideMark/>
          </w:tcPr>
          <w:p w14:paraId="1A8D7311" w14:textId="77777777" w:rsidR="00000000" w:rsidRDefault="00405D16">
            <w:pPr>
              <w:spacing w:after="100"/>
              <w:rPr>
                <w:rFonts w:eastAsia="Times New Roman"/>
                <w:sz w:val="20"/>
                <w:szCs w:val="20"/>
              </w:rPr>
            </w:pPr>
          </w:p>
        </w:tc>
        <w:tc>
          <w:tcPr>
            <w:tcW w:w="50" w:type="pct"/>
            <w:vAlign w:val="center"/>
            <w:hideMark/>
          </w:tcPr>
          <w:p w14:paraId="3F8401DB" w14:textId="77777777" w:rsidR="00000000" w:rsidRDefault="00405D16">
            <w:pPr>
              <w:spacing w:after="100"/>
              <w:rPr>
                <w:rFonts w:eastAsia="Times New Roman"/>
                <w:sz w:val="20"/>
                <w:szCs w:val="20"/>
              </w:rPr>
            </w:pPr>
          </w:p>
        </w:tc>
        <w:tc>
          <w:tcPr>
            <w:tcW w:w="1614" w:type="pct"/>
            <w:vAlign w:val="center"/>
            <w:hideMark/>
          </w:tcPr>
          <w:p w14:paraId="46480E9E" w14:textId="77777777" w:rsidR="00000000" w:rsidRDefault="00405D16">
            <w:pPr>
              <w:spacing w:after="100"/>
              <w:rPr>
                <w:rFonts w:eastAsia="Times New Roman"/>
                <w:sz w:val="20"/>
                <w:szCs w:val="20"/>
              </w:rPr>
            </w:pPr>
          </w:p>
        </w:tc>
        <w:tc>
          <w:tcPr>
            <w:tcW w:w="5" w:type="pct"/>
            <w:vAlign w:val="center"/>
            <w:hideMark/>
          </w:tcPr>
          <w:p w14:paraId="556597FE" w14:textId="77777777" w:rsidR="00000000" w:rsidRDefault="00405D16">
            <w:pPr>
              <w:spacing w:after="100"/>
              <w:rPr>
                <w:rFonts w:eastAsia="Times New Roman"/>
                <w:sz w:val="20"/>
                <w:szCs w:val="20"/>
              </w:rPr>
            </w:pPr>
          </w:p>
        </w:tc>
        <w:tc>
          <w:tcPr>
            <w:tcW w:w="50" w:type="pct"/>
            <w:vAlign w:val="center"/>
            <w:hideMark/>
          </w:tcPr>
          <w:p w14:paraId="3584C7E3" w14:textId="77777777" w:rsidR="00000000" w:rsidRDefault="00405D16">
            <w:pPr>
              <w:spacing w:after="100"/>
              <w:rPr>
                <w:rFonts w:eastAsia="Times New Roman"/>
                <w:sz w:val="20"/>
                <w:szCs w:val="20"/>
              </w:rPr>
            </w:pPr>
          </w:p>
        </w:tc>
        <w:tc>
          <w:tcPr>
            <w:tcW w:w="1614" w:type="pct"/>
            <w:vAlign w:val="center"/>
            <w:hideMark/>
          </w:tcPr>
          <w:p w14:paraId="41F5166C" w14:textId="77777777" w:rsidR="00000000" w:rsidRDefault="00405D16">
            <w:pPr>
              <w:spacing w:after="100"/>
              <w:rPr>
                <w:rFonts w:eastAsia="Times New Roman"/>
                <w:sz w:val="20"/>
                <w:szCs w:val="20"/>
              </w:rPr>
            </w:pPr>
          </w:p>
        </w:tc>
        <w:tc>
          <w:tcPr>
            <w:tcW w:w="5" w:type="pct"/>
            <w:vAlign w:val="center"/>
            <w:hideMark/>
          </w:tcPr>
          <w:p w14:paraId="726A0798" w14:textId="77777777" w:rsidR="00000000" w:rsidRDefault="00405D16">
            <w:pPr>
              <w:spacing w:after="100"/>
              <w:rPr>
                <w:rFonts w:eastAsia="Times New Roman"/>
                <w:sz w:val="20"/>
                <w:szCs w:val="20"/>
              </w:rPr>
            </w:pPr>
          </w:p>
        </w:tc>
      </w:tr>
      <w:tr w:rsidR="00000000" w14:paraId="37884843" w14:textId="77777777">
        <w:trPr>
          <w:divId w:val="75908436"/>
          <w:jc w:val="center"/>
        </w:trPr>
        <w:tc>
          <w:tcPr>
            <w:tcW w:w="0" w:type="auto"/>
            <w:gridSpan w:val="9"/>
            <w:tcMar>
              <w:top w:w="30" w:type="dxa"/>
              <w:left w:w="20" w:type="dxa"/>
              <w:bottom w:w="30" w:type="dxa"/>
              <w:right w:w="20" w:type="dxa"/>
            </w:tcMar>
            <w:vAlign w:val="bottom"/>
            <w:hideMark/>
          </w:tcPr>
          <w:p w14:paraId="1C67071B" w14:textId="77777777" w:rsidR="00000000" w:rsidRDefault="00405D16">
            <w:pPr>
              <w:spacing w:after="100"/>
              <w:jc w:val="center"/>
              <w:rPr>
                <w:rFonts w:eastAsia="Times New Roman"/>
              </w:rPr>
            </w:pPr>
            <w:r>
              <w:rPr>
                <w:rFonts w:eastAsia="Times New Roman"/>
                <w:color w:val="000000"/>
                <w:sz w:val="20"/>
                <w:szCs w:val="20"/>
              </w:rPr>
              <w:t>See Notes to Consolidated Financial Statements.</w:t>
            </w:r>
          </w:p>
        </w:tc>
      </w:tr>
      <w:tr w:rsidR="00000000" w14:paraId="5F25B356" w14:textId="77777777">
        <w:trPr>
          <w:divId w:val="75908436"/>
          <w:jc w:val="center"/>
        </w:trPr>
        <w:tc>
          <w:tcPr>
            <w:tcW w:w="0" w:type="auto"/>
            <w:gridSpan w:val="3"/>
            <w:tcMar>
              <w:top w:w="0" w:type="dxa"/>
              <w:left w:w="20" w:type="dxa"/>
              <w:bottom w:w="0" w:type="dxa"/>
              <w:right w:w="20" w:type="dxa"/>
            </w:tcMar>
            <w:vAlign w:val="center"/>
            <w:hideMark/>
          </w:tcPr>
          <w:p w14:paraId="024907B0"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6B89A24" w14:textId="77777777" w:rsidR="00000000" w:rsidRDefault="00405D16">
            <w:pPr>
              <w:spacing w:after="100"/>
              <w:jc w:val="center"/>
              <w:rPr>
                <w:rFonts w:eastAsia="Times New Roman"/>
              </w:rPr>
            </w:pPr>
            <w:r>
              <w:rPr>
                <w:rFonts w:eastAsia="Times New Roman"/>
                <w:color w:val="000000"/>
                <w:sz w:val="16"/>
                <w:szCs w:val="16"/>
              </w:rPr>
              <w:t>75</w:t>
            </w:r>
          </w:p>
        </w:tc>
        <w:tc>
          <w:tcPr>
            <w:tcW w:w="0" w:type="auto"/>
            <w:gridSpan w:val="3"/>
            <w:tcMar>
              <w:top w:w="30" w:type="dxa"/>
              <w:left w:w="20" w:type="dxa"/>
              <w:bottom w:w="30" w:type="dxa"/>
              <w:right w:w="20" w:type="dxa"/>
            </w:tcMar>
            <w:vAlign w:val="bottom"/>
            <w:hideMark/>
          </w:tcPr>
          <w:p w14:paraId="32FE418E"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445DC069" w14:textId="77777777" w:rsidR="00000000" w:rsidRDefault="00405D16">
      <w:pPr>
        <w:rPr>
          <w:rFonts w:eastAsia="Times New Roman"/>
        </w:rPr>
      </w:pPr>
      <w:r>
        <w:rPr>
          <w:rFonts w:eastAsia="Times New Roman"/>
        </w:rPr>
        <w:pict w14:anchorId="112B31E2">
          <v:rect id="_x0000_i1100" style="width:0;height:1.5pt" o:hralign="center" o:hrstd="t" o:hr="t" fillcolor="#a0a0a0" stroked="f"/>
        </w:pict>
      </w:r>
    </w:p>
    <w:p w14:paraId="5BAB51A3" w14:textId="77777777" w:rsidR="00000000" w:rsidRDefault="00405D16">
      <w:pPr>
        <w:jc w:val="both"/>
        <w:divId w:val="1986546828"/>
        <w:rPr>
          <w:rFonts w:eastAsia="Times New Roman"/>
        </w:rPr>
      </w:pPr>
      <w:hyperlink w:anchor="idd54a04a485440b4ab4e56094c14d612_13" w:history="1">
        <w:r>
          <w:rPr>
            <w:rStyle w:val="a3"/>
            <w:rFonts w:eastAsia="Times New Roman"/>
            <w:sz w:val="16"/>
            <w:szCs w:val="16"/>
          </w:rPr>
          <w:t>Table of Contents</w:t>
        </w:r>
      </w:hyperlink>
    </w:p>
    <w:p w14:paraId="5667BDB8" w14:textId="77777777" w:rsidR="00000000" w:rsidRDefault="00405D16">
      <w:pPr>
        <w:jc w:val="center"/>
        <w:divId w:val="1986546828"/>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143C76CE" w14:textId="77777777">
        <w:trPr>
          <w:divId w:val="1965380409"/>
          <w:jc w:val="center"/>
        </w:trPr>
        <w:tc>
          <w:tcPr>
            <w:tcW w:w="50" w:type="pct"/>
            <w:vAlign w:val="center"/>
            <w:hideMark/>
          </w:tcPr>
          <w:p w14:paraId="64E61E13" w14:textId="77777777" w:rsidR="00000000" w:rsidRDefault="00405D16">
            <w:pPr>
              <w:jc w:val="center"/>
              <w:rPr>
                <w:rFonts w:eastAsia="Times New Roman"/>
              </w:rPr>
            </w:pPr>
          </w:p>
        </w:tc>
        <w:tc>
          <w:tcPr>
            <w:tcW w:w="4945" w:type="pct"/>
            <w:vAlign w:val="center"/>
            <w:hideMark/>
          </w:tcPr>
          <w:p w14:paraId="6B1C9DC2" w14:textId="77777777" w:rsidR="00000000" w:rsidRDefault="00405D16">
            <w:pPr>
              <w:spacing w:after="100"/>
              <w:rPr>
                <w:rFonts w:eastAsia="Times New Roman"/>
                <w:sz w:val="20"/>
                <w:szCs w:val="20"/>
              </w:rPr>
            </w:pPr>
          </w:p>
        </w:tc>
        <w:tc>
          <w:tcPr>
            <w:tcW w:w="5" w:type="pct"/>
            <w:vAlign w:val="center"/>
            <w:hideMark/>
          </w:tcPr>
          <w:p w14:paraId="43DD1A08" w14:textId="77777777" w:rsidR="00000000" w:rsidRDefault="00405D16">
            <w:pPr>
              <w:spacing w:after="100"/>
              <w:rPr>
                <w:rFonts w:eastAsia="Times New Roman"/>
                <w:sz w:val="20"/>
                <w:szCs w:val="20"/>
              </w:rPr>
            </w:pPr>
          </w:p>
        </w:tc>
      </w:tr>
      <w:tr w:rsidR="00000000" w14:paraId="05403B6F" w14:textId="77777777">
        <w:trPr>
          <w:divId w:val="1965380409"/>
          <w:jc w:val="center"/>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6EA684C4" w14:textId="77777777" w:rsidR="00000000" w:rsidRDefault="00405D16">
            <w:pPr>
              <w:spacing w:after="100"/>
              <w:rPr>
                <w:rFonts w:eastAsia="Times New Roman"/>
              </w:rPr>
            </w:pPr>
            <w:r>
              <w:rPr>
                <w:rFonts w:eastAsia="Times New Roman"/>
                <w:b/>
                <w:bCs/>
                <w:color w:val="000000"/>
                <w:sz w:val="20"/>
                <w:szCs w:val="20"/>
              </w:rPr>
              <w:t>NOTE 1—SUMMARY OF SIGNIFICANT ACCOUNTING POLICIES</w:t>
            </w:r>
          </w:p>
        </w:tc>
      </w:tr>
    </w:tbl>
    <w:p w14:paraId="0C34B7EA" w14:textId="77777777" w:rsidR="00000000" w:rsidRDefault="00405D16">
      <w:pPr>
        <w:divId w:val="1325165724"/>
        <w:rPr>
          <w:rFonts w:eastAsia="Times New Roman"/>
        </w:rPr>
      </w:pPr>
      <w:r>
        <w:rPr>
          <w:rFonts w:eastAsia="Times New Roman"/>
          <w:b/>
          <w:bCs/>
          <w:color w:val="000000"/>
          <w:sz w:val="20"/>
          <w:szCs w:val="20"/>
        </w:rPr>
        <w:t>The Company</w:t>
      </w:r>
    </w:p>
    <w:p w14:paraId="5D805463" w14:textId="77777777" w:rsidR="00000000" w:rsidRDefault="00405D16">
      <w:pPr>
        <w:jc w:val="both"/>
        <w:divId w:val="1112164194"/>
        <w:rPr>
          <w:rFonts w:eastAsia="Times New Roman"/>
        </w:rPr>
      </w:pPr>
      <w:r>
        <w:rPr>
          <w:rFonts w:eastAsia="Times New Roman"/>
          <w:color w:val="000000"/>
          <w:sz w:val="20"/>
          <w:szCs w:val="20"/>
        </w:rPr>
        <w:t>Capital One Financial Corporation, a Delaware Corporation established in 1994 and headquartered in McLean, Virginia, is a diversified financial services holding company with banking and non-banking subsidiaries. Capital One Financial Corporation and its su</w:t>
      </w:r>
      <w:r>
        <w:rPr>
          <w:rFonts w:eastAsia="Times New Roman"/>
          <w:color w:val="000000"/>
          <w:sz w:val="20"/>
          <w:szCs w:val="20"/>
        </w:rPr>
        <w:t>bsidiaries (the “Company”) offer a broad array of financial products and services to consumers, small businesses and commercial clients through digital channels, branches, Cafés and other distribution channels. As of September 30, 2021, our principal subsi</w:t>
      </w:r>
      <w:r>
        <w:rPr>
          <w:rFonts w:eastAsia="Times New Roman"/>
          <w:color w:val="000000"/>
          <w:sz w:val="20"/>
          <w:szCs w:val="20"/>
        </w:rPr>
        <w:t>diaries included:</w:t>
      </w:r>
    </w:p>
    <w:p w14:paraId="1F3245A4" w14:textId="77777777" w:rsidR="00000000" w:rsidRDefault="00405D16">
      <w:pPr>
        <w:ind w:hanging="360"/>
        <w:jc w:val="both"/>
        <w:divId w:val="563297409"/>
        <w:rPr>
          <w:rFonts w:eastAsia="Times New Roman"/>
        </w:rPr>
      </w:pPr>
      <w:r>
        <w:rPr>
          <w:rFonts w:eastAsia="Times New Roman"/>
          <w:color w:val="000000"/>
          <w:sz w:val="20"/>
          <w:szCs w:val="20"/>
        </w:rPr>
        <w:t>•Capital One Bank (USA), National Association (“COBNA”</w:t>
      </w:r>
      <w:r>
        <w:rPr>
          <w:rFonts w:eastAsia="Times New Roman"/>
          <w:color w:val="000000"/>
          <w:sz w:val="20"/>
          <w:szCs w:val="20"/>
        </w:rPr>
        <w:t>), which offers credit card products along with other lending products and consumer services; and</w:t>
      </w:r>
    </w:p>
    <w:p w14:paraId="66A658BA" w14:textId="77777777" w:rsidR="00000000" w:rsidRDefault="00405D16">
      <w:pPr>
        <w:ind w:hanging="360"/>
        <w:jc w:val="both"/>
        <w:divId w:val="1290353028"/>
        <w:rPr>
          <w:rFonts w:eastAsia="Times New Roman"/>
        </w:rPr>
      </w:pPr>
      <w:r>
        <w:rPr>
          <w:rFonts w:eastAsia="Times New Roman"/>
          <w:color w:val="000000"/>
          <w:sz w:val="20"/>
          <w:szCs w:val="20"/>
        </w:rPr>
        <w:t>•Capital One, National Association (“CONA”), which offers a broad spectrum of banking products and financial services to consumers, small businesses and comme</w:t>
      </w:r>
      <w:r>
        <w:rPr>
          <w:rFonts w:eastAsia="Times New Roman"/>
          <w:color w:val="000000"/>
          <w:sz w:val="20"/>
          <w:szCs w:val="20"/>
        </w:rPr>
        <w:t>rcial clients.</w:t>
      </w:r>
    </w:p>
    <w:p w14:paraId="16A6C199" w14:textId="77777777" w:rsidR="00000000" w:rsidRDefault="00405D16">
      <w:pPr>
        <w:jc w:val="both"/>
        <w:divId w:val="634720067"/>
        <w:rPr>
          <w:rFonts w:eastAsia="Times New Roman"/>
        </w:rPr>
      </w:pPr>
      <w:r>
        <w:rPr>
          <w:rFonts w:eastAsia="Times New Roman"/>
          <w:color w:val="000000"/>
          <w:sz w:val="20"/>
          <w:szCs w:val="20"/>
        </w:rPr>
        <w:t>The Company is hereafter collectively referred to as “we,” “us” or “our.” COBNA and CONA are collectively referred to as the “Banks.”</w:t>
      </w:r>
    </w:p>
    <w:p w14:paraId="165DBEE3" w14:textId="77777777" w:rsidR="00000000" w:rsidRDefault="00405D16">
      <w:pPr>
        <w:jc w:val="both"/>
        <w:divId w:val="339821333"/>
        <w:rPr>
          <w:rFonts w:eastAsia="Times New Roman"/>
        </w:rPr>
      </w:pPr>
      <w:r>
        <w:rPr>
          <w:rFonts w:eastAsia="Times New Roman"/>
          <w:color w:val="000000"/>
          <w:sz w:val="20"/>
          <w:szCs w:val="20"/>
        </w:rPr>
        <w:t>We also offer products outside of the United States of America (“U.S.”) principally through Capital One (Eu</w:t>
      </w:r>
      <w:r>
        <w:rPr>
          <w:rFonts w:eastAsia="Times New Roman"/>
          <w:color w:val="000000"/>
          <w:sz w:val="20"/>
          <w:szCs w:val="20"/>
        </w:rPr>
        <w:t xml:space="preserve">rope) plc (“COEP”), an indirect subsidiary of COBNA organized and located in the United Kingdom (“U.K.”), and through a branch of COBNA in Canada. COEP has authority, among other things, to provide credit card loans. Our branch of COBNA in Canada also has </w:t>
      </w:r>
      <w:r>
        <w:rPr>
          <w:rFonts w:eastAsia="Times New Roman"/>
          <w:color w:val="000000"/>
          <w:sz w:val="20"/>
          <w:szCs w:val="20"/>
        </w:rPr>
        <w:t>the authority to provide credit card loans.</w:t>
      </w:r>
    </w:p>
    <w:p w14:paraId="2570B5B3" w14:textId="77777777" w:rsidR="00000000" w:rsidRDefault="00405D16">
      <w:pPr>
        <w:jc w:val="both"/>
        <w:divId w:val="293297214"/>
        <w:rPr>
          <w:rFonts w:eastAsia="Times New Roman"/>
        </w:rPr>
      </w:pPr>
      <w:r>
        <w:rPr>
          <w:rFonts w:eastAsia="Times New Roman"/>
          <w:color w:val="000000"/>
          <w:sz w:val="20"/>
          <w:szCs w:val="20"/>
        </w:rPr>
        <w:t>Our principal operations are organized for management reporting purposes into three major business segments, which are defined primarily based on the products and services provided or the types of customer served</w:t>
      </w:r>
      <w:r>
        <w:rPr>
          <w:rFonts w:eastAsia="Times New Roman"/>
          <w:color w:val="000000"/>
          <w:sz w:val="20"/>
          <w:szCs w:val="20"/>
        </w:rPr>
        <w:t>: Credit Card, Consumer Banking and Commercial Banking. We provide details on our business segments, the integration of recent acquisitions, if any, into our business segments and the allocation methodologies and accounting policies used to derive our busi</w:t>
      </w:r>
      <w:r>
        <w:rPr>
          <w:rFonts w:eastAsia="Times New Roman"/>
          <w:color w:val="000000"/>
          <w:sz w:val="20"/>
          <w:szCs w:val="20"/>
        </w:rPr>
        <w:t>ness segment results in “Note 12—Business Segments and Revenue from Contracts with Customers.”</w:t>
      </w:r>
    </w:p>
    <w:p w14:paraId="6FF76672" w14:textId="77777777" w:rsidR="00000000" w:rsidRDefault="00405D16">
      <w:pPr>
        <w:divId w:val="1339573951"/>
        <w:rPr>
          <w:rFonts w:eastAsia="Times New Roman"/>
        </w:rPr>
      </w:pPr>
      <w:r>
        <w:rPr>
          <w:rFonts w:eastAsia="Times New Roman"/>
          <w:b/>
          <w:bCs/>
          <w:color w:val="000000"/>
          <w:sz w:val="20"/>
          <w:szCs w:val="20"/>
        </w:rPr>
        <w:t>Basis of Presentation and Use of Estimates</w:t>
      </w:r>
    </w:p>
    <w:p w14:paraId="01221C21" w14:textId="77777777" w:rsidR="00000000" w:rsidRDefault="00405D16">
      <w:pPr>
        <w:jc w:val="both"/>
        <w:divId w:val="468518120"/>
        <w:rPr>
          <w:rFonts w:eastAsia="Times New Roman"/>
        </w:rPr>
      </w:pPr>
      <w:r>
        <w:rPr>
          <w:rFonts w:eastAsia="Times New Roman"/>
          <w:color w:val="000000"/>
          <w:sz w:val="20"/>
          <w:szCs w:val="20"/>
        </w:rPr>
        <w:t>The accompanying unaudited interim consolidated financial statements have been prepared in accordance with generally a</w:t>
      </w:r>
      <w:r>
        <w:rPr>
          <w:rFonts w:eastAsia="Times New Roman"/>
          <w:color w:val="000000"/>
          <w:sz w:val="20"/>
          <w:szCs w:val="20"/>
        </w:rPr>
        <w:t>ccepted accounting principles in the U.S. (“U.S. GAAP”). The preparation of the consolidated financial statements in conformity with U.S. GAAP requires management to make estimates and assumptions that affect the amounts reported in the consolidated financ</w:t>
      </w:r>
      <w:r>
        <w:rPr>
          <w:rFonts w:eastAsia="Times New Roman"/>
          <w:color w:val="000000"/>
          <w:sz w:val="20"/>
          <w:szCs w:val="20"/>
        </w:rPr>
        <w:t>ial statements and in the related disclosures. These estimates are based on information available as of the date of the consolidated financial statements. While management makes its best judgments, actual amounts or results could differ from these estimate</w:t>
      </w:r>
      <w:r>
        <w:rPr>
          <w:rFonts w:eastAsia="Times New Roman"/>
          <w:color w:val="000000"/>
          <w:sz w:val="20"/>
          <w:szCs w:val="20"/>
        </w:rPr>
        <w:t>s. In the opinion of management, all normal, recurring adjustments have been included for a fair statement of this interim financial information.</w:t>
      </w:r>
      <w:r>
        <w:rPr>
          <w:rFonts w:eastAsia="Times New Roman"/>
          <w:i/>
          <w:iCs/>
          <w:color w:val="000000"/>
          <w:sz w:val="20"/>
          <w:szCs w:val="20"/>
        </w:rPr>
        <w:t xml:space="preserve"> </w:t>
      </w:r>
      <w:r>
        <w:rPr>
          <w:rFonts w:eastAsia="Times New Roman"/>
          <w:color w:val="000000"/>
          <w:sz w:val="20"/>
          <w:szCs w:val="20"/>
        </w:rPr>
        <w:t>Certain prior period amounts have been reclassified to conform to the current period presentation.</w:t>
      </w:r>
    </w:p>
    <w:p w14:paraId="149DC315" w14:textId="77777777" w:rsidR="00000000" w:rsidRDefault="00405D16">
      <w:pPr>
        <w:jc w:val="both"/>
        <w:divId w:val="964964353"/>
        <w:rPr>
          <w:rFonts w:eastAsia="Times New Roman"/>
        </w:rPr>
      </w:pPr>
      <w:r>
        <w:rPr>
          <w:rFonts w:eastAsia="Times New Roman"/>
          <w:color w:val="000000"/>
          <w:sz w:val="20"/>
          <w:szCs w:val="20"/>
        </w:rPr>
        <w:t>These unaudited interim consolidated financial statements should be read in conjunction with the audited consolidated financial statements, and related notes thereto, included in Capital One Financial Corporation’s 2020 Annual Report on Form 10-K (“2020 Fo</w:t>
      </w:r>
      <w:r>
        <w:rPr>
          <w:rFonts w:eastAsia="Times New Roman"/>
          <w:color w:val="000000"/>
          <w:sz w:val="20"/>
          <w:szCs w:val="20"/>
        </w:rPr>
        <w:t>rm 10-K”).</w:t>
      </w:r>
    </w:p>
    <w:p w14:paraId="0351ACBD" w14:textId="77777777" w:rsidR="00000000" w:rsidRDefault="00405D16">
      <w:pPr>
        <w:jc w:val="both"/>
        <w:divId w:val="675305331"/>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30FE7F63" w14:textId="77777777">
        <w:trPr>
          <w:divId w:val="1517309949"/>
          <w:jc w:val="center"/>
        </w:trPr>
        <w:tc>
          <w:tcPr>
            <w:tcW w:w="50" w:type="pct"/>
            <w:vAlign w:val="center"/>
            <w:hideMark/>
          </w:tcPr>
          <w:p w14:paraId="6F5C7ECD" w14:textId="77777777" w:rsidR="00000000" w:rsidRDefault="00405D16">
            <w:pPr>
              <w:jc w:val="both"/>
              <w:rPr>
                <w:rFonts w:eastAsia="Times New Roman"/>
              </w:rPr>
            </w:pPr>
          </w:p>
        </w:tc>
        <w:tc>
          <w:tcPr>
            <w:tcW w:w="1606" w:type="pct"/>
            <w:vAlign w:val="center"/>
            <w:hideMark/>
          </w:tcPr>
          <w:p w14:paraId="4A796025" w14:textId="77777777" w:rsidR="00000000" w:rsidRDefault="00405D16">
            <w:pPr>
              <w:spacing w:after="100"/>
              <w:rPr>
                <w:rFonts w:eastAsia="Times New Roman"/>
                <w:sz w:val="20"/>
                <w:szCs w:val="20"/>
              </w:rPr>
            </w:pPr>
          </w:p>
        </w:tc>
        <w:tc>
          <w:tcPr>
            <w:tcW w:w="5" w:type="pct"/>
            <w:vAlign w:val="center"/>
            <w:hideMark/>
          </w:tcPr>
          <w:p w14:paraId="2D6A4056" w14:textId="77777777" w:rsidR="00000000" w:rsidRDefault="00405D16">
            <w:pPr>
              <w:spacing w:after="100"/>
              <w:rPr>
                <w:rFonts w:eastAsia="Times New Roman"/>
                <w:sz w:val="20"/>
                <w:szCs w:val="20"/>
              </w:rPr>
            </w:pPr>
          </w:p>
        </w:tc>
        <w:tc>
          <w:tcPr>
            <w:tcW w:w="50" w:type="pct"/>
            <w:vAlign w:val="center"/>
            <w:hideMark/>
          </w:tcPr>
          <w:p w14:paraId="6032F55D" w14:textId="77777777" w:rsidR="00000000" w:rsidRDefault="00405D16">
            <w:pPr>
              <w:spacing w:after="100"/>
              <w:rPr>
                <w:rFonts w:eastAsia="Times New Roman"/>
                <w:sz w:val="20"/>
                <w:szCs w:val="20"/>
              </w:rPr>
            </w:pPr>
          </w:p>
        </w:tc>
        <w:tc>
          <w:tcPr>
            <w:tcW w:w="1614" w:type="pct"/>
            <w:vAlign w:val="center"/>
            <w:hideMark/>
          </w:tcPr>
          <w:p w14:paraId="1DFBCDA0" w14:textId="77777777" w:rsidR="00000000" w:rsidRDefault="00405D16">
            <w:pPr>
              <w:spacing w:after="100"/>
              <w:rPr>
                <w:rFonts w:eastAsia="Times New Roman"/>
                <w:sz w:val="20"/>
                <w:szCs w:val="20"/>
              </w:rPr>
            </w:pPr>
          </w:p>
        </w:tc>
        <w:tc>
          <w:tcPr>
            <w:tcW w:w="5" w:type="pct"/>
            <w:vAlign w:val="center"/>
            <w:hideMark/>
          </w:tcPr>
          <w:p w14:paraId="600C289F" w14:textId="77777777" w:rsidR="00000000" w:rsidRDefault="00405D16">
            <w:pPr>
              <w:spacing w:after="100"/>
              <w:rPr>
                <w:rFonts w:eastAsia="Times New Roman"/>
                <w:sz w:val="20"/>
                <w:szCs w:val="20"/>
              </w:rPr>
            </w:pPr>
          </w:p>
        </w:tc>
        <w:tc>
          <w:tcPr>
            <w:tcW w:w="50" w:type="pct"/>
            <w:vAlign w:val="center"/>
            <w:hideMark/>
          </w:tcPr>
          <w:p w14:paraId="4D7F5020" w14:textId="77777777" w:rsidR="00000000" w:rsidRDefault="00405D16">
            <w:pPr>
              <w:spacing w:after="100"/>
              <w:rPr>
                <w:rFonts w:eastAsia="Times New Roman"/>
                <w:sz w:val="20"/>
                <w:szCs w:val="20"/>
              </w:rPr>
            </w:pPr>
          </w:p>
        </w:tc>
        <w:tc>
          <w:tcPr>
            <w:tcW w:w="1614" w:type="pct"/>
            <w:vAlign w:val="center"/>
            <w:hideMark/>
          </w:tcPr>
          <w:p w14:paraId="2831B8D6" w14:textId="77777777" w:rsidR="00000000" w:rsidRDefault="00405D16">
            <w:pPr>
              <w:spacing w:after="100"/>
              <w:rPr>
                <w:rFonts w:eastAsia="Times New Roman"/>
                <w:sz w:val="20"/>
                <w:szCs w:val="20"/>
              </w:rPr>
            </w:pPr>
          </w:p>
        </w:tc>
        <w:tc>
          <w:tcPr>
            <w:tcW w:w="5" w:type="pct"/>
            <w:vAlign w:val="center"/>
            <w:hideMark/>
          </w:tcPr>
          <w:p w14:paraId="168CC216" w14:textId="77777777" w:rsidR="00000000" w:rsidRDefault="00405D16">
            <w:pPr>
              <w:spacing w:after="100"/>
              <w:rPr>
                <w:rFonts w:eastAsia="Times New Roman"/>
                <w:sz w:val="20"/>
                <w:szCs w:val="20"/>
              </w:rPr>
            </w:pPr>
          </w:p>
        </w:tc>
      </w:tr>
      <w:tr w:rsidR="00000000" w14:paraId="2D923175" w14:textId="77777777">
        <w:trPr>
          <w:divId w:val="1517309949"/>
          <w:trHeight w:val="300"/>
          <w:jc w:val="center"/>
        </w:trPr>
        <w:tc>
          <w:tcPr>
            <w:tcW w:w="0" w:type="auto"/>
            <w:gridSpan w:val="9"/>
            <w:tcMar>
              <w:top w:w="0" w:type="dxa"/>
              <w:left w:w="20" w:type="dxa"/>
              <w:bottom w:w="0" w:type="dxa"/>
              <w:right w:w="20" w:type="dxa"/>
            </w:tcMar>
            <w:vAlign w:val="center"/>
            <w:hideMark/>
          </w:tcPr>
          <w:p w14:paraId="2E69D80D" w14:textId="77777777" w:rsidR="00000000" w:rsidRDefault="00405D16">
            <w:pPr>
              <w:spacing w:after="100"/>
              <w:rPr>
                <w:rFonts w:eastAsia="Times New Roman"/>
                <w:sz w:val="20"/>
                <w:szCs w:val="20"/>
              </w:rPr>
            </w:pPr>
          </w:p>
        </w:tc>
      </w:tr>
      <w:tr w:rsidR="00000000" w14:paraId="6E1DB12A" w14:textId="77777777">
        <w:trPr>
          <w:divId w:val="1517309949"/>
          <w:jc w:val="center"/>
        </w:trPr>
        <w:tc>
          <w:tcPr>
            <w:tcW w:w="0" w:type="auto"/>
            <w:gridSpan w:val="3"/>
            <w:tcMar>
              <w:top w:w="0" w:type="dxa"/>
              <w:left w:w="20" w:type="dxa"/>
              <w:bottom w:w="0" w:type="dxa"/>
              <w:right w:w="20" w:type="dxa"/>
            </w:tcMar>
            <w:vAlign w:val="center"/>
            <w:hideMark/>
          </w:tcPr>
          <w:p w14:paraId="5C801AF6"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99737D1" w14:textId="77777777" w:rsidR="00000000" w:rsidRDefault="00405D16">
            <w:pPr>
              <w:spacing w:after="100"/>
              <w:jc w:val="center"/>
              <w:rPr>
                <w:rFonts w:eastAsia="Times New Roman"/>
              </w:rPr>
            </w:pPr>
            <w:r>
              <w:rPr>
                <w:rFonts w:eastAsia="Times New Roman"/>
                <w:color w:val="000000"/>
                <w:sz w:val="16"/>
                <w:szCs w:val="16"/>
              </w:rPr>
              <w:t>76</w:t>
            </w:r>
          </w:p>
        </w:tc>
        <w:tc>
          <w:tcPr>
            <w:tcW w:w="0" w:type="auto"/>
            <w:gridSpan w:val="3"/>
            <w:tcMar>
              <w:top w:w="30" w:type="dxa"/>
              <w:left w:w="20" w:type="dxa"/>
              <w:bottom w:w="30" w:type="dxa"/>
              <w:right w:w="20" w:type="dxa"/>
            </w:tcMar>
            <w:vAlign w:val="bottom"/>
            <w:hideMark/>
          </w:tcPr>
          <w:p w14:paraId="79452EB4"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0422892E" w14:textId="77777777" w:rsidR="00000000" w:rsidRDefault="00405D16">
      <w:pPr>
        <w:rPr>
          <w:rFonts w:eastAsia="Times New Roman"/>
        </w:rPr>
      </w:pPr>
      <w:r>
        <w:rPr>
          <w:rFonts w:eastAsia="Times New Roman"/>
        </w:rPr>
        <w:pict w14:anchorId="412574E8">
          <v:rect id="_x0000_i1101" style="width:0;height:1.5pt" o:hralign="center" o:hrstd="t" o:hr="t" fillcolor="#a0a0a0" stroked="f"/>
        </w:pict>
      </w:r>
    </w:p>
    <w:p w14:paraId="3BF552FF" w14:textId="77777777" w:rsidR="00000000" w:rsidRDefault="00405D16">
      <w:pPr>
        <w:jc w:val="both"/>
        <w:divId w:val="1791165872"/>
        <w:rPr>
          <w:rFonts w:eastAsia="Times New Roman"/>
        </w:rPr>
      </w:pPr>
      <w:hyperlink w:anchor="idd54a04a485440b4ab4e56094c14d612_13" w:history="1">
        <w:r>
          <w:rPr>
            <w:rStyle w:val="a3"/>
            <w:rFonts w:eastAsia="Times New Roman"/>
            <w:sz w:val="16"/>
            <w:szCs w:val="16"/>
          </w:rPr>
          <w:t>Table of Contents</w:t>
        </w:r>
      </w:hyperlink>
    </w:p>
    <w:p w14:paraId="4D7DDDB2" w14:textId="77777777" w:rsidR="00000000" w:rsidRDefault="00405D16">
      <w:pPr>
        <w:jc w:val="center"/>
        <w:divId w:val="1791165872"/>
        <w:rPr>
          <w:rFonts w:eastAsia="Times New Roman"/>
        </w:rPr>
      </w:pPr>
    </w:p>
    <w:p w14:paraId="70AEE66E" w14:textId="77777777" w:rsidR="00000000" w:rsidRDefault="00405D16">
      <w:pPr>
        <w:divId w:val="863908183"/>
        <w:rPr>
          <w:rFonts w:eastAsia="Times New Roman"/>
        </w:rPr>
      </w:pPr>
      <w:r>
        <w:rPr>
          <w:rFonts w:eastAsia="Times New Roman"/>
          <w:b/>
          <w:bCs/>
          <w:color w:val="000000"/>
          <w:sz w:val="20"/>
          <w:szCs w:val="20"/>
        </w:rPr>
        <w:t>Newly Adopted Accounting Standards During the Nine Months Ended September 30, 2021</w:t>
      </w:r>
    </w:p>
    <w:tbl>
      <w:tblPr>
        <w:tblW w:w="4970" w:type="pct"/>
        <w:jc w:val="center"/>
        <w:tblCellMar>
          <w:top w:w="15" w:type="dxa"/>
          <w:left w:w="15" w:type="dxa"/>
          <w:bottom w:w="15" w:type="dxa"/>
          <w:right w:w="15" w:type="dxa"/>
        </w:tblCellMar>
        <w:tblLook w:val="04A0" w:firstRow="1" w:lastRow="0" w:firstColumn="1" w:lastColumn="0" w:noHBand="0" w:noVBand="1"/>
      </w:tblPr>
      <w:tblGrid>
        <w:gridCol w:w="58"/>
        <w:gridCol w:w="2592"/>
        <w:gridCol w:w="36"/>
        <w:gridCol w:w="36"/>
        <w:gridCol w:w="36"/>
        <w:gridCol w:w="36"/>
        <w:gridCol w:w="40"/>
        <w:gridCol w:w="2593"/>
        <w:gridCol w:w="36"/>
        <w:gridCol w:w="36"/>
        <w:gridCol w:w="36"/>
        <w:gridCol w:w="36"/>
        <w:gridCol w:w="42"/>
        <w:gridCol w:w="2606"/>
        <w:gridCol w:w="37"/>
      </w:tblGrid>
      <w:tr w:rsidR="00000000" w14:paraId="545CBC81" w14:textId="77777777">
        <w:trPr>
          <w:divId w:val="1633558671"/>
          <w:jc w:val="center"/>
        </w:trPr>
        <w:tc>
          <w:tcPr>
            <w:tcW w:w="50" w:type="pct"/>
            <w:vAlign w:val="center"/>
            <w:hideMark/>
          </w:tcPr>
          <w:p w14:paraId="00CAF1F7" w14:textId="77777777" w:rsidR="00000000" w:rsidRDefault="00405D16">
            <w:pPr>
              <w:rPr>
                <w:rFonts w:eastAsia="Times New Roman"/>
              </w:rPr>
            </w:pPr>
          </w:p>
        </w:tc>
        <w:tc>
          <w:tcPr>
            <w:tcW w:w="1584" w:type="pct"/>
            <w:vAlign w:val="center"/>
            <w:hideMark/>
          </w:tcPr>
          <w:p w14:paraId="04B148B5" w14:textId="77777777" w:rsidR="00000000" w:rsidRDefault="00405D16">
            <w:pPr>
              <w:spacing w:after="100"/>
              <w:rPr>
                <w:rFonts w:eastAsia="Times New Roman"/>
                <w:sz w:val="20"/>
                <w:szCs w:val="20"/>
              </w:rPr>
            </w:pPr>
          </w:p>
        </w:tc>
        <w:tc>
          <w:tcPr>
            <w:tcW w:w="5" w:type="pct"/>
            <w:vAlign w:val="center"/>
            <w:hideMark/>
          </w:tcPr>
          <w:p w14:paraId="203EEF2B" w14:textId="77777777" w:rsidR="00000000" w:rsidRDefault="00405D16">
            <w:pPr>
              <w:spacing w:after="100"/>
              <w:rPr>
                <w:rFonts w:eastAsia="Times New Roman"/>
                <w:sz w:val="20"/>
                <w:szCs w:val="20"/>
              </w:rPr>
            </w:pPr>
          </w:p>
        </w:tc>
        <w:tc>
          <w:tcPr>
            <w:tcW w:w="5" w:type="pct"/>
            <w:vAlign w:val="center"/>
            <w:hideMark/>
          </w:tcPr>
          <w:p w14:paraId="296A186D" w14:textId="77777777" w:rsidR="00000000" w:rsidRDefault="00405D16">
            <w:pPr>
              <w:spacing w:after="100"/>
              <w:rPr>
                <w:rFonts w:eastAsia="Times New Roman"/>
                <w:sz w:val="20"/>
                <w:szCs w:val="20"/>
              </w:rPr>
            </w:pPr>
          </w:p>
        </w:tc>
        <w:tc>
          <w:tcPr>
            <w:tcW w:w="26" w:type="pct"/>
            <w:vAlign w:val="center"/>
            <w:hideMark/>
          </w:tcPr>
          <w:p w14:paraId="6637D2F1" w14:textId="77777777" w:rsidR="00000000" w:rsidRDefault="00405D16">
            <w:pPr>
              <w:spacing w:after="100"/>
              <w:rPr>
                <w:rFonts w:eastAsia="Times New Roman"/>
                <w:sz w:val="20"/>
                <w:szCs w:val="20"/>
              </w:rPr>
            </w:pPr>
          </w:p>
        </w:tc>
        <w:tc>
          <w:tcPr>
            <w:tcW w:w="5" w:type="pct"/>
            <w:vAlign w:val="center"/>
            <w:hideMark/>
          </w:tcPr>
          <w:p w14:paraId="06A458BC" w14:textId="77777777" w:rsidR="00000000" w:rsidRDefault="00405D16">
            <w:pPr>
              <w:spacing w:after="100"/>
              <w:rPr>
                <w:rFonts w:eastAsia="Times New Roman"/>
                <w:sz w:val="20"/>
                <w:szCs w:val="20"/>
              </w:rPr>
            </w:pPr>
          </w:p>
        </w:tc>
        <w:tc>
          <w:tcPr>
            <w:tcW w:w="50" w:type="pct"/>
            <w:vAlign w:val="center"/>
            <w:hideMark/>
          </w:tcPr>
          <w:p w14:paraId="69ECD2C0" w14:textId="77777777" w:rsidR="00000000" w:rsidRDefault="00405D16">
            <w:pPr>
              <w:spacing w:after="100"/>
              <w:rPr>
                <w:rFonts w:eastAsia="Times New Roman"/>
                <w:sz w:val="20"/>
                <w:szCs w:val="20"/>
              </w:rPr>
            </w:pPr>
          </w:p>
        </w:tc>
        <w:tc>
          <w:tcPr>
            <w:tcW w:w="1584" w:type="pct"/>
            <w:vAlign w:val="center"/>
            <w:hideMark/>
          </w:tcPr>
          <w:p w14:paraId="3D5E0144" w14:textId="77777777" w:rsidR="00000000" w:rsidRDefault="00405D16">
            <w:pPr>
              <w:spacing w:after="100"/>
              <w:rPr>
                <w:rFonts w:eastAsia="Times New Roman"/>
                <w:sz w:val="20"/>
                <w:szCs w:val="20"/>
              </w:rPr>
            </w:pPr>
          </w:p>
        </w:tc>
        <w:tc>
          <w:tcPr>
            <w:tcW w:w="5" w:type="pct"/>
            <w:vAlign w:val="center"/>
            <w:hideMark/>
          </w:tcPr>
          <w:p w14:paraId="5A636EA9" w14:textId="77777777" w:rsidR="00000000" w:rsidRDefault="00405D16">
            <w:pPr>
              <w:spacing w:after="100"/>
              <w:rPr>
                <w:rFonts w:eastAsia="Times New Roman"/>
                <w:sz w:val="20"/>
                <w:szCs w:val="20"/>
              </w:rPr>
            </w:pPr>
          </w:p>
        </w:tc>
        <w:tc>
          <w:tcPr>
            <w:tcW w:w="5" w:type="pct"/>
            <w:vAlign w:val="center"/>
            <w:hideMark/>
          </w:tcPr>
          <w:p w14:paraId="339924E2" w14:textId="77777777" w:rsidR="00000000" w:rsidRDefault="00405D16">
            <w:pPr>
              <w:spacing w:after="100"/>
              <w:rPr>
                <w:rFonts w:eastAsia="Times New Roman"/>
                <w:sz w:val="20"/>
                <w:szCs w:val="20"/>
              </w:rPr>
            </w:pPr>
          </w:p>
        </w:tc>
        <w:tc>
          <w:tcPr>
            <w:tcW w:w="26" w:type="pct"/>
            <w:vAlign w:val="center"/>
            <w:hideMark/>
          </w:tcPr>
          <w:p w14:paraId="1528C3A0" w14:textId="77777777" w:rsidR="00000000" w:rsidRDefault="00405D16">
            <w:pPr>
              <w:spacing w:after="100"/>
              <w:rPr>
                <w:rFonts w:eastAsia="Times New Roman"/>
                <w:sz w:val="20"/>
                <w:szCs w:val="20"/>
              </w:rPr>
            </w:pPr>
          </w:p>
        </w:tc>
        <w:tc>
          <w:tcPr>
            <w:tcW w:w="5" w:type="pct"/>
            <w:vAlign w:val="center"/>
            <w:hideMark/>
          </w:tcPr>
          <w:p w14:paraId="57E59C94" w14:textId="77777777" w:rsidR="00000000" w:rsidRDefault="00405D16">
            <w:pPr>
              <w:spacing w:after="100"/>
              <w:rPr>
                <w:rFonts w:eastAsia="Times New Roman"/>
                <w:sz w:val="20"/>
                <w:szCs w:val="20"/>
              </w:rPr>
            </w:pPr>
          </w:p>
        </w:tc>
        <w:tc>
          <w:tcPr>
            <w:tcW w:w="50" w:type="pct"/>
            <w:vAlign w:val="center"/>
            <w:hideMark/>
          </w:tcPr>
          <w:p w14:paraId="1EB4B03C" w14:textId="77777777" w:rsidR="00000000" w:rsidRDefault="00405D16">
            <w:pPr>
              <w:spacing w:after="100"/>
              <w:rPr>
                <w:rFonts w:eastAsia="Times New Roman"/>
                <w:sz w:val="20"/>
                <w:szCs w:val="20"/>
              </w:rPr>
            </w:pPr>
          </w:p>
        </w:tc>
        <w:tc>
          <w:tcPr>
            <w:tcW w:w="1592" w:type="pct"/>
            <w:vAlign w:val="center"/>
            <w:hideMark/>
          </w:tcPr>
          <w:p w14:paraId="14D9B8CE" w14:textId="77777777" w:rsidR="00000000" w:rsidRDefault="00405D16">
            <w:pPr>
              <w:spacing w:after="100"/>
              <w:rPr>
                <w:rFonts w:eastAsia="Times New Roman"/>
                <w:sz w:val="20"/>
                <w:szCs w:val="20"/>
              </w:rPr>
            </w:pPr>
          </w:p>
        </w:tc>
        <w:tc>
          <w:tcPr>
            <w:tcW w:w="5" w:type="pct"/>
            <w:vAlign w:val="center"/>
            <w:hideMark/>
          </w:tcPr>
          <w:p w14:paraId="7F93637D" w14:textId="77777777" w:rsidR="00000000" w:rsidRDefault="00405D16">
            <w:pPr>
              <w:spacing w:after="100"/>
              <w:rPr>
                <w:rFonts w:eastAsia="Times New Roman"/>
                <w:sz w:val="20"/>
                <w:szCs w:val="20"/>
              </w:rPr>
            </w:pPr>
          </w:p>
        </w:tc>
      </w:tr>
      <w:tr w:rsidR="00000000" w14:paraId="60AA60DF" w14:textId="77777777">
        <w:trPr>
          <w:divId w:val="1633558671"/>
          <w:jc w:val="center"/>
        </w:trPr>
        <w:tc>
          <w:tcPr>
            <w:tcW w:w="0" w:type="auto"/>
            <w:gridSpan w:val="3"/>
            <w:tcMar>
              <w:top w:w="30" w:type="dxa"/>
              <w:left w:w="20" w:type="dxa"/>
              <w:bottom w:w="30" w:type="dxa"/>
              <w:right w:w="20" w:type="dxa"/>
            </w:tcMar>
            <w:vAlign w:val="center"/>
            <w:hideMark/>
          </w:tcPr>
          <w:p w14:paraId="04B871B7" w14:textId="77777777" w:rsidR="00000000" w:rsidRDefault="00405D16">
            <w:pPr>
              <w:spacing w:after="100"/>
              <w:jc w:val="center"/>
              <w:rPr>
                <w:rFonts w:eastAsia="Times New Roman"/>
              </w:rPr>
            </w:pPr>
            <w:r>
              <w:rPr>
                <w:rFonts w:eastAsia="Times New Roman"/>
                <w:b/>
                <w:bCs/>
                <w:color w:val="000000"/>
                <w:sz w:val="16"/>
                <w:szCs w:val="16"/>
              </w:rPr>
              <w:t>Standard</w:t>
            </w:r>
          </w:p>
        </w:tc>
        <w:tc>
          <w:tcPr>
            <w:tcW w:w="0" w:type="auto"/>
            <w:gridSpan w:val="3"/>
            <w:tcMar>
              <w:top w:w="0" w:type="dxa"/>
              <w:left w:w="20" w:type="dxa"/>
              <w:bottom w:w="0" w:type="dxa"/>
              <w:right w:w="20" w:type="dxa"/>
            </w:tcMar>
            <w:vAlign w:val="center"/>
            <w:hideMark/>
          </w:tcPr>
          <w:p w14:paraId="32EF2C95"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1C8E2553" w14:textId="77777777" w:rsidR="00000000" w:rsidRDefault="00405D16">
            <w:pPr>
              <w:spacing w:after="100"/>
              <w:jc w:val="center"/>
              <w:rPr>
                <w:rFonts w:eastAsia="Times New Roman"/>
              </w:rPr>
            </w:pPr>
            <w:r>
              <w:rPr>
                <w:rFonts w:eastAsia="Times New Roman"/>
                <w:b/>
                <w:bCs/>
                <w:color w:val="000000"/>
                <w:sz w:val="16"/>
                <w:szCs w:val="16"/>
              </w:rPr>
              <w:t>Guidance</w:t>
            </w:r>
          </w:p>
        </w:tc>
        <w:tc>
          <w:tcPr>
            <w:tcW w:w="0" w:type="auto"/>
            <w:gridSpan w:val="3"/>
            <w:tcMar>
              <w:top w:w="0" w:type="dxa"/>
              <w:left w:w="20" w:type="dxa"/>
              <w:bottom w:w="0" w:type="dxa"/>
              <w:right w:w="20" w:type="dxa"/>
            </w:tcMar>
            <w:vAlign w:val="center"/>
            <w:hideMark/>
          </w:tcPr>
          <w:p w14:paraId="143AA8C9"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2969F360" w14:textId="77777777" w:rsidR="00000000" w:rsidRDefault="00405D16">
            <w:pPr>
              <w:spacing w:after="100"/>
              <w:jc w:val="center"/>
              <w:rPr>
                <w:rFonts w:eastAsia="Times New Roman"/>
              </w:rPr>
            </w:pPr>
            <w:r>
              <w:rPr>
                <w:rFonts w:eastAsia="Times New Roman"/>
                <w:b/>
                <w:bCs/>
                <w:color w:val="000000"/>
                <w:sz w:val="16"/>
                <w:szCs w:val="16"/>
              </w:rPr>
              <w:t>Adoption Timing and Financial Statement Impacts</w:t>
            </w:r>
          </w:p>
        </w:tc>
      </w:tr>
      <w:tr w:rsidR="00000000" w14:paraId="175189BB" w14:textId="77777777">
        <w:trPr>
          <w:divId w:val="1633558671"/>
          <w:jc w:val="center"/>
        </w:trPr>
        <w:tc>
          <w:tcPr>
            <w:tcW w:w="0" w:type="auto"/>
            <w:gridSpan w:val="3"/>
            <w:vAlign w:val="center"/>
            <w:hideMark/>
          </w:tcPr>
          <w:p w14:paraId="0353314B" w14:textId="77777777" w:rsidR="00000000" w:rsidRDefault="00405D16">
            <w:pPr>
              <w:spacing w:after="100"/>
              <w:jc w:val="center"/>
              <w:rPr>
                <w:rFonts w:eastAsia="Times New Roman"/>
              </w:rPr>
            </w:pPr>
          </w:p>
        </w:tc>
        <w:tc>
          <w:tcPr>
            <w:tcW w:w="0" w:type="auto"/>
            <w:gridSpan w:val="3"/>
            <w:vAlign w:val="center"/>
            <w:hideMark/>
          </w:tcPr>
          <w:p w14:paraId="2996BB67" w14:textId="77777777" w:rsidR="00000000" w:rsidRDefault="00405D16">
            <w:pPr>
              <w:spacing w:after="100"/>
              <w:rPr>
                <w:rFonts w:eastAsia="Times New Roman"/>
                <w:sz w:val="20"/>
                <w:szCs w:val="20"/>
              </w:rPr>
            </w:pPr>
          </w:p>
        </w:tc>
        <w:tc>
          <w:tcPr>
            <w:tcW w:w="0" w:type="auto"/>
            <w:gridSpan w:val="3"/>
            <w:vAlign w:val="center"/>
            <w:hideMark/>
          </w:tcPr>
          <w:p w14:paraId="16A017E5" w14:textId="77777777" w:rsidR="00000000" w:rsidRDefault="00405D16">
            <w:pPr>
              <w:spacing w:after="100"/>
              <w:rPr>
                <w:rFonts w:eastAsia="Times New Roman"/>
                <w:sz w:val="20"/>
                <w:szCs w:val="20"/>
              </w:rPr>
            </w:pPr>
          </w:p>
        </w:tc>
        <w:tc>
          <w:tcPr>
            <w:tcW w:w="0" w:type="auto"/>
            <w:gridSpan w:val="3"/>
            <w:vAlign w:val="center"/>
            <w:hideMark/>
          </w:tcPr>
          <w:p w14:paraId="16C15C86" w14:textId="77777777" w:rsidR="00000000" w:rsidRDefault="00405D16">
            <w:pPr>
              <w:spacing w:after="100"/>
              <w:rPr>
                <w:rFonts w:eastAsia="Times New Roman"/>
                <w:sz w:val="20"/>
                <w:szCs w:val="20"/>
              </w:rPr>
            </w:pPr>
          </w:p>
        </w:tc>
        <w:tc>
          <w:tcPr>
            <w:tcW w:w="0" w:type="auto"/>
            <w:gridSpan w:val="3"/>
            <w:vAlign w:val="center"/>
            <w:hideMark/>
          </w:tcPr>
          <w:p w14:paraId="13073A3A" w14:textId="77777777" w:rsidR="00000000" w:rsidRDefault="00405D16">
            <w:pPr>
              <w:spacing w:after="100"/>
              <w:rPr>
                <w:rFonts w:eastAsia="Times New Roman"/>
                <w:sz w:val="20"/>
                <w:szCs w:val="20"/>
              </w:rPr>
            </w:pPr>
          </w:p>
        </w:tc>
      </w:tr>
      <w:tr w:rsidR="00000000" w14:paraId="5E958EEC" w14:textId="77777777">
        <w:trPr>
          <w:divId w:val="1633558671"/>
          <w:jc w:val="center"/>
        </w:trPr>
        <w:tc>
          <w:tcPr>
            <w:tcW w:w="0" w:type="auto"/>
            <w:gridSpan w:val="3"/>
            <w:vAlign w:val="center"/>
            <w:hideMark/>
          </w:tcPr>
          <w:p w14:paraId="2E1D896D" w14:textId="77777777" w:rsidR="00000000" w:rsidRDefault="00405D16">
            <w:pPr>
              <w:spacing w:after="100"/>
              <w:rPr>
                <w:rFonts w:eastAsia="Times New Roman"/>
                <w:sz w:val="20"/>
                <w:szCs w:val="20"/>
              </w:rPr>
            </w:pPr>
          </w:p>
        </w:tc>
        <w:tc>
          <w:tcPr>
            <w:tcW w:w="0" w:type="auto"/>
            <w:gridSpan w:val="3"/>
            <w:vAlign w:val="center"/>
            <w:hideMark/>
          </w:tcPr>
          <w:p w14:paraId="3E2DE0CE" w14:textId="77777777" w:rsidR="00000000" w:rsidRDefault="00405D16">
            <w:pPr>
              <w:spacing w:after="100"/>
              <w:rPr>
                <w:rFonts w:eastAsia="Times New Roman"/>
                <w:sz w:val="20"/>
                <w:szCs w:val="20"/>
              </w:rPr>
            </w:pPr>
          </w:p>
        </w:tc>
        <w:tc>
          <w:tcPr>
            <w:tcW w:w="0" w:type="auto"/>
            <w:gridSpan w:val="3"/>
            <w:vAlign w:val="center"/>
            <w:hideMark/>
          </w:tcPr>
          <w:p w14:paraId="0116203F" w14:textId="77777777" w:rsidR="00000000" w:rsidRDefault="00405D16">
            <w:pPr>
              <w:spacing w:after="100"/>
              <w:rPr>
                <w:rFonts w:eastAsia="Times New Roman"/>
                <w:sz w:val="20"/>
                <w:szCs w:val="20"/>
              </w:rPr>
            </w:pPr>
          </w:p>
        </w:tc>
        <w:tc>
          <w:tcPr>
            <w:tcW w:w="0" w:type="auto"/>
            <w:gridSpan w:val="3"/>
            <w:vAlign w:val="center"/>
            <w:hideMark/>
          </w:tcPr>
          <w:p w14:paraId="48DFC975" w14:textId="77777777" w:rsidR="00000000" w:rsidRDefault="00405D16">
            <w:pPr>
              <w:spacing w:after="100"/>
              <w:rPr>
                <w:rFonts w:eastAsia="Times New Roman"/>
                <w:sz w:val="20"/>
                <w:szCs w:val="20"/>
              </w:rPr>
            </w:pPr>
          </w:p>
        </w:tc>
        <w:tc>
          <w:tcPr>
            <w:tcW w:w="0" w:type="auto"/>
            <w:gridSpan w:val="3"/>
            <w:vAlign w:val="center"/>
            <w:hideMark/>
          </w:tcPr>
          <w:p w14:paraId="4C406CAA" w14:textId="77777777" w:rsidR="00000000" w:rsidRDefault="00405D16">
            <w:pPr>
              <w:spacing w:after="100"/>
              <w:rPr>
                <w:rFonts w:eastAsia="Times New Roman"/>
                <w:sz w:val="20"/>
                <w:szCs w:val="20"/>
              </w:rPr>
            </w:pPr>
          </w:p>
        </w:tc>
      </w:tr>
      <w:tr w:rsidR="00000000" w14:paraId="1FE25C8A" w14:textId="77777777">
        <w:trPr>
          <w:divId w:val="1633558671"/>
          <w:jc w:val="center"/>
        </w:trPr>
        <w:tc>
          <w:tcPr>
            <w:tcW w:w="0" w:type="auto"/>
            <w:gridSpan w:val="3"/>
            <w:vAlign w:val="center"/>
            <w:hideMark/>
          </w:tcPr>
          <w:p w14:paraId="2A98D36B" w14:textId="77777777" w:rsidR="00000000" w:rsidRDefault="00405D16">
            <w:pPr>
              <w:spacing w:after="100"/>
              <w:rPr>
                <w:rFonts w:eastAsia="Times New Roman"/>
                <w:sz w:val="20"/>
                <w:szCs w:val="20"/>
              </w:rPr>
            </w:pPr>
          </w:p>
        </w:tc>
        <w:tc>
          <w:tcPr>
            <w:tcW w:w="0" w:type="auto"/>
            <w:gridSpan w:val="3"/>
            <w:vAlign w:val="center"/>
            <w:hideMark/>
          </w:tcPr>
          <w:p w14:paraId="43F387FD" w14:textId="77777777" w:rsidR="00000000" w:rsidRDefault="00405D16">
            <w:pPr>
              <w:spacing w:after="100"/>
              <w:rPr>
                <w:rFonts w:eastAsia="Times New Roman"/>
                <w:sz w:val="20"/>
                <w:szCs w:val="20"/>
              </w:rPr>
            </w:pPr>
          </w:p>
        </w:tc>
        <w:tc>
          <w:tcPr>
            <w:tcW w:w="0" w:type="auto"/>
            <w:gridSpan w:val="3"/>
            <w:vAlign w:val="center"/>
            <w:hideMark/>
          </w:tcPr>
          <w:p w14:paraId="70B4BFC3" w14:textId="77777777" w:rsidR="00000000" w:rsidRDefault="00405D16">
            <w:pPr>
              <w:spacing w:after="100"/>
              <w:rPr>
                <w:rFonts w:eastAsia="Times New Roman"/>
                <w:sz w:val="20"/>
                <w:szCs w:val="20"/>
              </w:rPr>
            </w:pPr>
          </w:p>
        </w:tc>
        <w:tc>
          <w:tcPr>
            <w:tcW w:w="0" w:type="auto"/>
            <w:gridSpan w:val="3"/>
            <w:vAlign w:val="center"/>
            <w:hideMark/>
          </w:tcPr>
          <w:p w14:paraId="612D8749" w14:textId="77777777" w:rsidR="00000000" w:rsidRDefault="00405D16">
            <w:pPr>
              <w:spacing w:after="100"/>
              <w:rPr>
                <w:rFonts w:eastAsia="Times New Roman"/>
                <w:sz w:val="20"/>
                <w:szCs w:val="20"/>
              </w:rPr>
            </w:pPr>
          </w:p>
        </w:tc>
        <w:tc>
          <w:tcPr>
            <w:tcW w:w="0" w:type="auto"/>
            <w:gridSpan w:val="3"/>
            <w:vAlign w:val="center"/>
            <w:hideMark/>
          </w:tcPr>
          <w:p w14:paraId="2AABE7A5" w14:textId="77777777" w:rsidR="00000000" w:rsidRDefault="00405D16">
            <w:pPr>
              <w:spacing w:after="100"/>
              <w:rPr>
                <w:rFonts w:eastAsia="Times New Roman"/>
                <w:sz w:val="20"/>
                <w:szCs w:val="20"/>
              </w:rPr>
            </w:pPr>
          </w:p>
        </w:tc>
      </w:tr>
      <w:tr w:rsidR="00000000" w14:paraId="39C7B12A" w14:textId="77777777">
        <w:trPr>
          <w:divId w:val="1633558671"/>
          <w:jc w:val="center"/>
        </w:trPr>
        <w:tc>
          <w:tcPr>
            <w:tcW w:w="0" w:type="auto"/>
            <w:gridSpan w:val="3"/>
            <w:tcBorders>
              <w:top w:val="single" w:sz="8" w:space="0" w:color="000000"/>
            </w:tcBorders>
            <w:tcMar>
              <w:top w:w="30" w:type="dxa"/>
              <w:left w:w="20" w:type="dxa"/>
              <w:bottom w:w="30" w:type="dxa"/>
              <w:right w:w="20" w:type="dxa"/>
            </w:tcMar>
            <w:hideMark/>
          </w:tcPr>
          <w:p w14:paraId="4A04EB6E" w14:textId="77777777" w:rsidR="00000000" w:rsidRDefault="00405D16">
            <w:pPr>
              <w:spacing w:after="100"/>
              <w:divId w:val="1605454505"/>
              <w:rPr>
                <w:rFonts w:eastAsia="Times New Roman"/>
              </w:rPr>
            </w:pPr>
            <w:r>
              <w:rPr>
                <w:rFonts w:eastAsia="Times New Roman"/>
                <w:b/>
                <w:bCs/>
                <w:color w:val="000000"/>
                <w:sz w:val="18"/>
                <w:szCs w:val="18"/>
              </w:rPr>
              <w:t>Income Tax Accounting Simplification</w:t>
            </w:r>
          </w:p>
          <w:p w14:paraId="39C8B7DF" w14:textId="77777777" w:rsidR="00000000" w:rsidRDefault="00405D16">
            <w:pPr>
              <w:spacing w:after="100"/>
              <w:divId w:val="1183471537"/>
              <w:rPr>
                <w:rFonts w:eastAsia="Times New Roman"/>
              </w:rPr>
            </w:pPr>
            <w:r>
              <w:rPr>
                <w:rFonts w:eastAsia="Times New Roman"/>
                <w:color w:val="000000"/>
                <w:sz w:val="18"/>
                <w:szCs w:val="18"/>
              </w:rPr>
              <w:t>ASU No. 2019-12, Income Taxes (Topic 740):</w:t>
            </w:r>
            <w:r>
              <w:rPr>
                <w:rFonts w:eastAsia="Times New Roman"/>
                <w:i/>
                <w:iCs/>
                <w:color w:val="000000"/>
                <w:sz w:val="18"/>
                <w:szCs w:val="18"/>
              </w:rPr>
              <w:t xml:space="preserve"> </w:t>
            </w:r>
            <w:r>
              <w:rPr>
                <w:rFonts w:eastAsia="Times New Roman"/>
                <w:i/>
                <w:iCs/>
                <w:color w:val="000000"/>
                <w:sz w:val="18"/>
                <w:szCs w:val="18"/>
              </w:rPr>
              <w:t>Simplifying the Accounting for Income Taxes</w:t>
            </w:r>
          </w:p>
          <w:p w14:paraId="6442C8D7" w14:textId="77777777" w:rsidR="00000000" w:rsidRDefault="00405D16">
            <w:pPr>
              <w:spacing w:after="100"/>
              <w:divId w:val="1028219671"/>
              <w:rPr>
                <w:rFonts w:eastAsia="Times New Roman"/>
              </w:rPr>
            </w:pPr>
            <w:r>
              <w:rPr>
                <w:rFonts w:eastAsia="Times New Roman"/>
                <w:i/>
                <w:iCs/>
                <w:color w:val="000000"/>
                <w:sz w:val="18"/>
                <w:szCs w:val="18"/>
              </w:rPr>
              <w:t>Issued December 2019</w:t>
            </w:r>
          </w:p>
          <w:p w14:paraId="711FD058" w14:textId="77777777" w:rsidR="00000000" w:rsidRDefault="00405D16">
            <w:pPr>
              <w:spacing w:after="100"/>
              <w:divId w:val="400180997"/>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6C88C3EA"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55D0E344" w14:textId="77777777" w:rsidR="00000000" w:rsidRDefault="00405D16">
            <w:pPr>
              <w:spacing w:after="100"/>
              <w:divId w:val="737438435"/>
              <w:rPr>
                <w:rFonts w:eastAsia="Times New Roman"/>
              </w:rPr>
            </w:pPr>
            <w:r>
              <w:rPr>
                <w:rFonts w:eastAsia="Times New Roman"/>
                <w:color w:val="000000"/>
                <w:sz w:val="18"/>
                <w:szCs w:val="18"/>
              </w:rPr>
              <w:t>Simplifies various aspects of the guidance on accounting for income taxes.</w:t>
            </w:r>
          </w:p>
        </w:tc>
        <w:tc>
          <w:tcPr>
            <w:tcW w:w="0" w:type="auto"/>
            <w:gridSpan w:val="3"/>
            <w:tcBorders>
              <w:top w:val="single" w:sz="8" w:space="0" w:color="000000"/>
            </w:tcBorders>
            <w:tcMar>
              <w:top w:w="0" w:type="dxa"/>
              <w:left w:w="20" w:type="dxa"/>
              <w:bottom w:w="0" w:type="dxa"/>
              <w:right w:w="20" w:type="dxa"/>
            </w:tcMar>
            <w:vAlign w:val="center"/>
            <w:hideMark/>
          </w:tcPr>
          <w:p w14:paraId="49AB79E6"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5270505C" w14:textId="77777777" w:rsidR="00000000" w:rsidRDefault="00405D16">
            <w:pPr>
              <w:spacing w:after="100"/>
              <w:rPr>
                <w:rFonts w:eastAsia="Times New Roman"/>
              </w:rPr>
            </w:pPr>
            <w:r>
              <w:rPr>
                <w:rFonts w:eastAsia="Times New Roman"/>
                <w:color w:val="000000"/>
                <w:sz w:val="18"/>
                <w:szCs w:val="18"/>
              </w:rPr>
              <w:t xml:space="preserve">We adopted this guidance in the first quarter of 2021 using the modified retrospective and prospective methods of adoption. </w:t>
            </w:r>
            <w:r>
              <w:rPr>
                <w:rFonts w:eastAsia="Times New Roman"/>
                <w:color w:val="000000"/>
                <w:sz w:val="18"/>
                <w:szCs w:val="18"/>
              </w:rPr>
              <w:br/>
            </w:r>
            <w:r>
              <w:rPr>
                <w:rFonts w:eastAsia="Times New Roman"/>
                <w:sz w:val="18"/>
                <w:szCs w:val="18"/>
              </w:rPr>
              <w:br/>
            </w:r>
            <w:r>
              <w:rPr>
                <w:rFonts w:eastAsia="Times New Roman"/>
                <w:color w:val="000000"/>
                <w:sz w:val="18"/>
                <w:szCs w:val="18"/>
              </w:rPr>
              <w:t>Our adoption of this standard did not have a material impact on our consolidated financial statements.</w:t>
            </w:r>
          </w:p>
        </w:tc>
      </w:tr>
      <w:tr w:rsidR="00000000" w14:paraId="21840C78" w14:textId="77777777">
        <w:trPr>
          <w:divId w:val="1633558671"/>
          <w:trHeight w:val="300"/>
          <w:jc w:val="center"/>
        </w:trPr>
        <w:tc>
          <w:tcPr>
            <w:tcW w:w="0" w:type="auto"/>
            <w:gridSpan w:val="3"/>
            <w:tcBorders>
              <w:top w:val="single" w:sz="8" w:space="0" w:color="000000"/>
            </w:tcBorders>
            <w:tcMar>
              <w:top w:w="0" w:type="dxa"/>
              <w:left w:w="20" w:type="dxa"/>
              <w:bottom w:w="0" w:type="dxa"/>
              <w:right w:w="20" w:type="dxa"/>
            </w:tcMar>
            <w:vAlign w:val="center"/>
            <w:hideMark/>
          </w:tcPr>
          <w:p w14:paraId="3CE466A2" w14:textId="77777777" w:rsidR="00000000" w:rsidRDefault="00405D16">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21422E8B"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3004E3C"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DC60F11"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23CCCA7" w14:textId="77777777" w:rsidR="00000000" w:rsidRDefault="00405D16">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5D5E5077" w14:textId="77777777">
        <w:trPr>
          <w:jc w:val="center"/>
        </w:trPr>
        <w:tc>
          <w:tcPr>
            <w:tcW w:w="50" w:type="pct"/>
            <w:vAlign w:val="center"/>
            <w:hideMark/>
          </w:tcPr>
          <w:p w14:paraId="61DF1D5A" w14:textId="77777777" w:rsidR="00000000" w:rsidRDefault="00405D16">
            <w:pPr>
              <w:jc w:val="center"/>
              <w:rPr>
                <w:rFonts w:eastAsia="Times New Roman"/>
              </w:rPr>
            </w:pPr>
          </w:p>
        </w:tc>
        <w:tc>
          <w:tcPr>
            <w:tcW w:w="1606" w:type="pct"/>
            <w:vAlign w:val="center"/>
            <w:hideMark/>
          </w:tcPr>
          <w:p w14:paraId="4775E3A8" w14:textId="77777777" w:rsidR="00000000" w:rsidRDefault="00405D16">
            <w:pPr>
              <w:spacing w:after="100"/>
              <w:rPr>
                <w:rFonts w:eastAsia="Times New Roman"/>
                <w:sz w:val="20"/>
                <w:szCs w:val="20"/>
              </w:rPr>
            </w:pPr>
          </w:p>
        </w:tc>
        <w:tc>
          <w:tcPr>
            <w:tcW w:w="5" w:type="pct"/>
            <w:vAlign w:val="center"/>
            <w:hideMark/>
          </w:tcPr>
          <w:p w14:paraId="10AB7555" w14:textId="77777777" w:rsidR="00000000" w:rsidRDefault="00405D16">
            <w:pPr>
              <w:spacing w:after="100"/>
              <w:rPr>
                <w:rFonts w:eastAsia="Times New Roman"/>
                <w:sz w:val="20"/>
                <w:szCs w:val="20"/>
              </w:rPr>
            </w:pPr>
          </w:p>
        </w:tc>
        <w:tc>
          <w:tcPr>
            <w:tcW w:w="50" w:type="pct"/>
            <w:vAlign w:val="center"/>
            <w:hideMark/>
          </w:tcPr>
          <w:p w14:paraId="1CC0F46E" w14:textId="77777777" w:rsidR="00000000" w:rsidRDefault="00405D16">
            <w:pPr>
              <w:spacing w:after="100"/>
              <w:rPr>
                <w:rFonts w:eastAsia="Times New Roman"/>
                <w:sz w:val="20"/>
                <w:szCs w:val="20"/>
              </w:rPr>
            </w:pPr>
          </w:p>
        </w:tc>
        <w:tc>
          <w:tcPr>
            <w:tcW w:w="1614" w:type="pct"/>
            <w:vAlign w:val="center"/>
            <w:hideMark/>
          </w:tcPr>
          <w:p w14:paraId="316DDC6E" w14:textId="77777777" w:rsidR="00000000" w:rsidRDefault="00405D16">
            <w:pPr>
              <w:spacing w:after="100"/>
              <w:rPr>
                <w:rFonts w:eastAsia="Times New Roman"/>
                <w:sz w:val="20"/>
                <w:szCs w:val="20"/>
              </w:rPr>
            </w:pPr>
          </w:p>
        </w:tc>
        <w:tc>
          <w:tcPr>
            <w:tcW w:w="5" w:type="pct"/>
            <w:vAlign w:val="center"/>
            <w:hideMark/>
          </w:tcPr>
          <w:p w14:paraId="5EAE31D7" w14:textId="77777777" w:rsidR="00000000" w:rsidRDefault="00405D16">
            <w:pPr>
              <w:spacing w:after="100"/>
              <w:rPr>
                <w:rFonts w:eastAsia="Times New Roman"/>
                <w:sz w:val="20"/>
                <w:szCs w:val="20"/>
              </w:rPr>
            </w:pPr>
          </w:p>
        </w:tc>
        <w:tc>
          <w:tcPr>
            <w:tcW w:w="50" w:type="pct"/>
            <w:vAlign w:val="center"/>
            <w:hideMark/>
          </w:tcPr>
          <w:p w14:paraId="5BBAE2B1" w14:textId="77777777" w:rsidR="00000000" w:rsidRDefault="00405D16">
            <w:pPr>
              <w:spacing w:after="100"/>
              <w:rPr>
                <w:rFonts w:eastAsia="Times New Roman"/>
                <w:sz w:val="20"/>
                <w:szCs w:val="20"/>
              </w:rPr>
            </w:pPr>
          </w:p>
        </w:tc>
        <w:tc>
          <w:tcPr>
            <w:tcW w:w="1614" w:type="pct"/>
            <w:vAlign w:val="center"/>
            <w:hideMark/>
          </w:tcPr>
          <w:p w14:paraId="2B97751F" w14:textId="77777777" w:rsidR="00000000" w:rsidRDefault="00405D16">
            <w:pPr>
              <w:spacing w:after="100"/>
              <w:rPr>
                <w:rFonts w:eastAsia="Times New Roman"/>
                <w:sz w:val="20"/>
                <w:szCs w:val="20"/>
              </w:rPr>
            </w:pPr>
          </w:p>
        </w:tc>
        <w:tc>
          <w:tcPr>
            <w:tcW w:w="5" w:type="pct"/>
            <w:vAlign w:val="center"/>
            <w:hideMark/>
          </w:tcPr>
          <w:p w14:paraId="6C74F16A" w14:textId="77777777" w:rsidR="00000000" w:rsidRDefault="00405D16">
            <w:pPr>
              <w:spacing w:after="100"/>
              <w:rPr>
                <w:rFonts w:eastAsia="Times New Roman"/>
                <w:sz w:val="20"/>
                <w:szCs w:val="20"/>
              </w:rPr>
            </w:pPr>
          </w:p>
        </w:tc>
      </w:tr>
      <w:tr w:rsidR="00000000" w14:paraId="2390E41C" w14:textId="77777777">
        <w:trPr>
          <w:trHeight w:val="300"/>
          <w:jc w:val="center"/>
        </w:trPr>
        <w:tc>
          <w:tcPr>
            <w:tcW w:w="0" w:type="auto"/>
            <w:gridSpan w:val="9"/>
            <w:tcMar>
              <w:top w:w="0" w:type="dxa"/>
              <w:left w:w="20" w:type="dxa"/>
              <w:bottom w:w="0" w:type="dxa"/>
              <w:right w:w="20" w:type="dxa"/>
            </w:tcMar>
            <w:vAlign w:val="center"/>
            <w:hideMark/>
          </w:tcPr>
          <w:p w14:paraId="0641C0DF" w14:textId="77777777" w:rsidR="00000000" w:rsidRDefault="00405D16">
            <w:pPr>
              <w:spacing w:after="100"/>
              <w:rPr>
                <w:rFonts w:eastAsia="Times New Roman"/>
                <w:sz w:val="20"/>
                <w:szCs w:val="20"/>
              </w:rPr>
            </w:pPr>
          </w:p>
        </w:tc>
      </w:tr>
      <w:tr w:rsidR="00000000" w14:paraId="2A5D5680" w14:textId="77777777">
        <w:trPr>
          <w:jc w:val="center"/>
        </w:trPr>
        <w:tc>
          <w:tcPr>
            <w:tcW w:w="0" w:type="auto"/>
            <w:gridSpan w:val="3"/>
            <w:tcMar>
              <w:top w:w="0" w:type="dxa"/>
              <w:left w:w="20" w:type="dxa"/>
              <w:bottom w:w="0" w:type="dxa"/>
              <w:right w:w="20" w:type="dxa"/>
            </w:tcMar>
            <w:vAlign w:val="center"/>
            <w:hideMark/>
          </w:tcPr>
          <w:p w14:paraId="088BC963"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5B98BD1" w14:textId="77777777" w:rsidR="00000000" w:rsidRDefault="00405D16">
            <w:pPr>
              <w:spacing w:after="100"/>
              <w:jc w:val="center"/>
              <w:rPr>
                <w:rFonts w:eastAsia="Times New Roman"/>
              </w:rPr>
            </w:pPr>
            <w:r>
              <w:rPr>
                <w:rFonts w:eastAsia="Times New Roman"/>
                <w:color w:val="000000"/>
                <w:sz w:val="16"/>
                <w:szCs w:val="16"/>
              </w:rPr>
              <w:t>77</w:t>
            </w:r>
          </w:p>
        </w:tc>
        <w:tc>
          <w:tcPr>
            <w:tcW w:w="0" w:type="auto"/>
            <w:gridSpan w:val="3"/>
            <w:tcMar>
              <w:top w:w="30" w:type="dxa"/>
              <w:left w:w="20" w:type="dxa"/>
              <w:bottom w:w="30" w:type="dxa"/>
              <w:right w:w="20" w:type="dxa"/>
            </w:tcMar>
            <w:vAlign w:val="bottom"/>
            <w:hideMark/>
          </w:tcPr>
          <w:p w14:paraId="6A35BB3F"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59CC3494" w14:textId="77777777" w:rsidR="00000000" w:rsidRDefault="00405D16">
      <w:pPr>
        <w:rPr>
          <w:rFonts w:eastAsia="Times New Roman"/>
        </w:rPr>
      </w:pPr>
      <w:r>
        <w:rPr>
          <w:rFonts w:eastAsia="Times New Roman"/>
        </w:rPr>
        <w:pict w14:anchorId="5502BEE6">
          <v:rect id="_x0000_i1102" style="width:0;height:1.5pt" o:hralign="center" o:hrstd="t" o:hr="t" fillcolor="#a0a0a0" stroked="f"/>
        </w:pict>
      </w:r>
    </w:p>
    <w:p w14:paraId="0A0A07EE" w14:textId="77777777" w:rsidR="00000000" w:rsidRDefault="00405D16">
      <w:pPr>
        <w:jc w:val="both"/>
        <w:divId w:val="104691436"/>
        <w:rPr>
          <w:rFonts w:eastAsia="Times New Roman"/>
        </w:rPr>
      </w:pPr>
      <w:hyperlink w:anchor="idd54a04a485440b4ab4e56094c14d612_13" w:history="1">
        <w:r>
          <w:rPr>
            <w:rStyle w:val="a3"/>
            <w:rFonts w:eastAsia="Times New Roman"/>
            <w:sz w:val="16"/>
            <w:szCs w:val="16"/>
          </w:rPr>
          <w:t>Table of Contents</w:t>
        </w:r>
      </w:hyperlink>
    </w:p>
    <w:p w14:paraId="3DDEFA19" w14:textId="77777777" w:rsidR="00000000" w:rsidRDefault="00405D16">
      <w:pPr>
        <w:jc w:val="center"/>
        <w:divId w:val="10469143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56E9B222" w14:textId="77777777">
        <w:trPr>
          <w:divId w:val="1256288580"/>
        </w:trPr>
        <w:tc>
          <w:tcPr>
            <w:tcW w:w="50" w:type="pct"/>
            <w:vAlign w:val="center"/>
            <w:hideMark/>
          </w:tcPr>
          <w:p w14:paraId="2E2D533F" w14:textId="77777777" w:rsidR="00000000" w:rsidRDefault="00405D16">
            <w:pPr>
              <w:jc w:val="center"/>
              <w:rPr>
                <w:rFonts w:eastAsia="Times New Roman"/>
              </w:rPr>
            </w:pPr>
          </w:p>
        </w:tc>
        <w:tc>
          <w:tcPr>
            <w:tcW w:w="4945" w:type="pct"/>
            <w:vAlign w:val="center"/>
            <w:hideMark/>
          </w:tcPr>
          <w:p w14:paraId="1BDF5A47" w14:textId="77777777" w:rsidR="00000000" w:rsidRDefault="00405D16">
            <w:pPr>
              <w:spacing w:after="100"/>
              <w:rPr>
                <w:rFonts w:eastAsia="Times New Roman"/>
                <w:sz w:val="20"/>
                <w:szCs w:val="20"/>
              </w:rPr>
            </w:pPr>
          </w:p>
        </w:tc>
        <w:tc>
          <w:tcPr>
            <w:tcW w:w="5" w:type="pct"/>
            <w:vAlign w:val="center"/>
            <w:hideMark/>
          </w:tcPr>
          <w:p w14:paraId="629706B8" w14:textId="77777777" w:rsidR="00000000" w:rsidRDefault="00405D16">
            <w:pPr>
              <w:spacing w:after="100"/>
              <w:rPr>
                <w:rFonts w:eastAsia="Times New Roman"/>
                <w:sz w:val="20"/>
                <w:szCs w:val="20"/>
              </w:rPr>
            </w:pPr>
          </w:p>
        </w:tc>
      </w:tr>
      <w:tr w:rsidR="00000000" w14:paraId="321AAB0E" w14:textId="77777777">
        <w:trPr>
          <w:divId w:val="1256288580"/>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5E63B4C4" w14:textId="77777777" w:rsidR="00000000" w:rsidRDefault="00405D16">
            <w:pPr>
              <w:spacing w:after="100"/>
              <w:rPr>
                <w:rFonts w:eastAsia="Times New Roman"/>
              </w:rPr>
            </w:pPr>
            <w:r>
              <w:rPr>
                <w:rFonts w:eastAsia="Times New Roman"/>
                <w:b/>
                <w:bCs/>
                <w:color w:val="000000"/>
                <w:sz w:val="20"/>
                <w:szCs w:val="20"/>
              </w:rPr>
              <w:t>NOTE 2—INVESTMENT SECURITIES</w:t>
            </w:r>
          </w:p>
        </w:tc>
      </w:tr>
    </w:tbl>
    <w:p w14:paraId="4421087C" w14:textId="77777777" w:rsidR="00000000" w:rsidRDefault="00405D16">
      <w:pPr>
        <w:jc w:val="both"/>
        <w:divId w:val="1857428196"/>
        <w:rPr>
          <w:rFonts w:eastAsia="Times New Roman"/>
        </w:rPr>
      </w:pPr>
      <w:r>
        <w:rPr>
          <w:rFonts w:eastAsia="Times New Roman"/>
          <w:color w:val="000000"/>
          <w:sz w:val="20"/>
          <w:szCs w:val="20"/>
        </w:rPr>
        <w:t>Our investment securities portfolio consists of the following: U.S. government-sponsored enterprise or agency (“Agency”) and non-agency residential mortgage-backed securities (“RMBS”), Agency commercial mortgage-backed securities (“CMBS”), U.S. Treasury se</w:t>
      </w:r>
      <w:r>
        <w:rPr>
          <w:rFonts w:eastAsia="Times New Roman"/>
          <w:color w:val="000000"/>
          <w:sz w:val="20"/>
          <w:szCs w:val="20"/>
        </w:rPr>
        <w:t>curities and other securities. Agency securities include Government National Mortgage Association (“Ginnie Mae”) guaranteed securities, Federal National Mortgage Association (“Fannie Mae”) and Federal Home Loan Mortgage Corporation (“Freddie Mac”) issued s</w:t>
      </w:r>
      <w:r>
        <w:rPr>
          <w:rFonts w:eastAsia="Times New Roman"/>
          <w:color w:val="000000"/>
          <w:sz w:val="20"/>
          <w:szCs w:val="20"/>
        </w:rPr>
        <w:t>ecurities. The carrying value of our investments in Agency and U.S. Treasury securities represented 96% of our total investment securities portfolio as of both September 30, 2021 and December 31, 2020.</w:t>
      </w:r>
    </w:p>
    <w:p w14:paraId="424F5311" w14:textId="77777777" w:rsidR="00000000" w:rsidRDefault="00405D16">
      <w:pPr>
        <w:jc w:val="both"/>
        <w:divId w:val="533271735"/>
        <w:rPr>
          <w:rFonts w:eastAsia="Times New Roman"/>
        </w:rPr>
      </w:pPr>
      <w:r>
        <w:rPr>
          <w:rFonts w:eastAsia="Times New Roman"/>
          <w:color w:val="000000"/>
          <w:sz w:val="20"/>
          <w:szCs w:val="20"/>
        </w:rPr>
        <w:t>The table below presents the amortized cost, gross unr</w:t>
      </w:r>
      <w:r>
        <w:rPr>
          <w:rFonts w:eastAsia="Times New Roman"/>
          <w:color w:val="000000"/>
          <w:sz w:val="20"/>
          <w:szCs w:val="20"/>
        </w:rPr>
        <w:t>ealized gains and losses, and fair value of securities available for sale as of September 30, 2021 and December 31, 2020. Accrued interest receivable of $227 million and $230 million as of September 30, 2021, and December 31, 2020, respectively, is not inc</w:t>
      </w:r>
      <w:r>
        <w:rPr>
          <w:rFonts w:eastAsia="Times New Roman"/>
          <w:color w:val="000000"/>
          <w:sz w:val="20"/>
          <w:szCs w:val="20"/>
        </w:rPr>
        <w:t>luded in the table below.</w:t>
      </w:r>
    </w:p>
    <w:p w14:paraId="78327ABB" w14:textId="77777777" w:rsidR="00000000" w:rsidRDefault="00405D16">
      <w:pPr>
        <w:divId w:val="937830237"/>
        <w:rPr>
          <w:rFonts w:eastAsia="Times New Roman"/>
        </w:rPr>
      </w:pPr>
      <w:r>
        <w:rPr>
          <w:rFonts w:eastAsia="Times New Roman"/>
          <w:b/>
          <w:bCs/>
          <w:color w:val="000000"/>
          <w:sz w:val="18"/>
          <w:szCs w:val="18"/>
        </w:rPr>
        <w:t xml:space="preserve">Table 2.1: Investment Securities Available for Sale </w:t>
      </w:r>
    </w:p>
    <w:tbl>
      <w:tblPr>
        <w:tblW w:w="4978" w:type="pct"/>
        <w:tblCellMar>
          <w:top w:w="15" w:type="dxa"/>
          <w:left w:w="15" w:type="dxa"/>
          <w:bottom w:w="15" w:type="dxa"/>
          <w:right w:w="15" w:type="dxa"/>
        </w:tblCellMar>
        <w:tblLook w:val="04A0" w:firstRow="1" w:lastRow="0" w:firstColumn="1" w:lastColumn="0" w:noHBand="0" w:noVBand="1"/>
      </w:tblPr>
      <w:tblGrid>
        <w:gridCol w:w="38"/>
        <w:gridCol w:w="3667"/>
        <w:gridCol w:w="37"/>
        <w:gridCol w:w="36"/>
        <w:gridCol w:w="36"/>
        <w:gridCol w:w="36"/>
        <w:gridCol w:w="111"/>
        <w:gridCol w:w="674"/>
        <w:gridCol w:w="36"/>
        <w:gridCol w:w="36"/>
        <w:gridCol w:w="36"/>
        <w:gridCol w:w="36"/>
        <w:gridCol w:w="111"/>
        <w:gridCol w:w="659"/>
        <w:gridCol w:w="36"/>
        <w:gridCol w:w="36"/>
        <w:gridCol w:w="36"/>
        <w:gridCol w:w="36"/>
        <w:gridCol w:w="111"/>
        <w:gridCol w:w="690"/>
        <w:gridCol w:w="36"/>
        <w:gridCol w:w="36"/>
        <w:gridCol w:w="36"/>
        <w:gridCol w:w="36"/>
        <w:gridCol w:w="111"/>
        <w:gridCol w:w="690"/>
        <w:gridCol w:w="36"/>
        <w:gridCol w:w="36"/>
        <w:gridCol w:w="36"/>
        <w:gridCol w:w="36"/>
        <w:gridCol w:w="110"/>
        <w:gridCol w:w="540"/>
        <w:gridCol w:w="36"/>
      </w:tblGrid>
      <w:tr w:rsidR="00000000" w14:paraId="78AB6291" w14:textId="77777777">
        <w:trPr>
          <w:divId w:val="1042092283"/>
        </w:trPr>
        <w:tc>
          <w:tcPr>
            <w:tcW w:w="50" w:type="pct"/>
            <w:vAlign w:val="center"/>
            <w:hideMark/>
          </w:tcPr>
          <w:p w14:paraId="439B43AE" w14:textId="77777777" w:rsidR="00000000" w:rsidRDefault="00405D16">
            <w:pPr>
              <w:rPr>
                <w:rFonts w:eastAsia="Times New Roman"/>
              </w:rPr>
            </w:pPr>
          </w:p>
        </w:tc>
        <w:tc>
          <w:tcPr>
            <w:tcW w:w="2522" w:type="pct"/>
            <w:vAlign w:val="center"/>
            <w:hideMark/>
          </w:tcPr>
          <w:p w14:paraId="36804BD8" w14:textId="77777777" w:rsidR="00000000" w:rsidRDefault="00405D16">
            <w:pPr>
              <w:spacing w:after="100"/>
              <w:rPr>
                <w:rFonts w:eastAsia="Times New Roman"/>
                <w:sz w:val="20"/>
                <w:szCs w:val="20"/>
              </w:rPr>
            </w:pPr>
          </w:p>
        </w:tc>
        <w:tc>
          <w:tcPr>
            <w:tcW w:w="5" w:type="pct"/>
            <w:vAlign w:val="center"/>
            <w:hideMark/>
          </w:tcPr>
          <w:p w14:paraId="72EA6AF1" w14:textId="77777777" w:rsidR="00000000" w:rsidRDefault="00405D16">
            <w:pPr>
              <w:spacing w:after="100"/>
              <w:rPr>
                <w:rFonts w:eastAsia="Times New Roman"/>
                <w:sz w:val="20"/>
                <w:szCs w:val="20"/>
              </w:rPr>
            </w:pPr>
          </w:p>
        </w:tc>
        <w:tc>
          <w:tcPr>
            <w:tcW w:w="5" w:type="pct"/>
            <w:vAlign w:val="center"/>
            <w:hideMark/>
          </w:tcPr>
          <w:p w14:paraId="261598B6" w14:textId="77777777" w:rsidR="00000000" w:rsidRDefault="00405D16">
            <w:pPr>
              <w:spacing w:after="100"/>
              <w:rPr>
                <w:rFonts w:eastAsia="Times New Roman"/>
                <w:sz w:val="20"/>
                <w:szCs w:val="20"/>
              </w:rPr>
            </w:pPr>
          </w:p>
        </w:tc>
        <w:tc>
          <w:tcPr>
            <w:tcW w:w="26" w:type="pct"/>
            <w:vAlign w:val="center"/>
            <w:hideMark/>
          </w:tcPr>
          <w:p w14:paraId="25904D05" w14:textId="77777777" w:rsidR="00000000" w:rsidRDefault="00405D16">
            <w:pPr>
              <w:spacing w:after="100"/>
              <w:rPr>
                <w:rFonts w:eastAsia="Times New Roman"/>
                <w:sz w:val="20"/>
                <w:szCs w:val="20"/>
              </w:rPr>
            </w:pPr>
          </w:p>
        </w:tc>
        <w:tc>
          <w:tcPr>
            <w:tcW w:w="5" w:type="pct"/>
            <w:vAlign w:val="center"/>
            <w:hideMark/>
          </w:tcPr>
          <w:p w14:paraId="2BE7768F" w14:textId="77777777" w:rsidR="00000000" w:rsidRDefault="00405D16">
            <w:pPr>
              <w:spacing w:after="100"/>
              <w:rPr>
                <w:rFonts w:eastAsia="Times New Roman"/>
                <w:sz w:val="20"/>
                <w:szCs w:val="20"/>
              </w:rPr>
            </w:pPr>
          </w:p>
        </w:tc>
        <w:tc>
          <w:tcPr>
            <w:tcW w:w="50" w:type="pct"/>
            <w:vAlign w:val="center"/>
            <w:hideMark/>
          </w:tcPr>
          <w:p w14:paraId="69BC1933" w14:textId="77777777" w:rsidR="00000000" w:rsidRDefault="00405D16">
            <w:pPr>
              <w:spacing w:after="100"/>
              <w:rPr>
                <w:rFonts w:eastAsia="Times New Roman"/>
                <w:sz w:val="20"/>
                <w:szCs w:val="20"/>
              </w:rPr>
            </w:pPr>
          </w:p>
        </w:tc>
        <w:tc>
          <w:tcPr>
            <w:tcW w:w="392" w:type="pct"/>
            <w:vAlign w:val="center"/>
            <w:hideMark/>
          </w:tcPr>
          <w:p w14:paraId="701F9DC7" w14:textId="77777777" w:rsidR="00000000" w:rsidRDefault="00405D16">
            <w:pPr>
              <w:spacing w:after="100"/>
              <w:rPr>
                <w:rFonts w:eastAsia="Times New Roman"/>
                <w:sz w:val="20"/>
                <w:szCs w:val="20"/>
              </w:rPr>
            </w:pPr>
          </w:p>
        </w:tc>
        <w:tc>
          <w:tcPr>
            <w:tcW w:w="5" w:type="pct"/>
            <w:vAlign w:val="center"/>
            <w:hideMark/>
          </w:tcPr>
          <w:p w14:paraId="07F4DCD9" w14:textId="77777777" w:rsidR="00000000" w:rsidRDefault="00405D16">
            <w:pPr>
              <w:spacing w:after="100"/>
              <w:rPr>
                <w:rFonts w:eastAsia="Times New Roman"/>
                <w:sz w:val="20"/>
                <w:szCs w:val="20"/>
              </w:rPr>
            </w:pPr>
          </w:p>
        </w:tc>
        <w:tc>
          <w:tcPr>
            <w:tcW w:w="5" w:type="pct"/>
            <w:vAlign w:val="center"/>
            <w:hideMark/>
          </w:tcPr>
          <w:p w14:paraId="57C9268E" w14:textId="77777777" w:rsidR="00000000" w:rsidRDefault="00405D16">
            <w:pPr>
              <w:spacing w:after="100"/>
              <w:rPr>
                <w:rFonts w:eastAsia="Times New Roman"/>
                <w:sz w:val="20"/>
                <w:szCs w:val="20"/>
              </w:rPr>
            </w:pPr>
          </w:p>
        </w:tc>
        <w:tc>
          <w:tcPr>
            <w:tcW w:w="26" w:type="pct"/>
            <w:vAlign w:val="center"/>
            <w:hideMark/>
          </w:tcPr>
          <w:p w14:paraId="5AD8F87D" w14:textId="77777777" w:rsidR="00000000" w:rsidRDefault="00405D16">
            <w:pPr>
              <w:spacing w:after="100"/>
              <w:rPr>
                <w:rFonts w:eastAsia="Times New Roman"/>
                <w:sz w:val="20"/>
                <w:szCs w:val="20"/>
              </w:rPr>
            </w:pPr>
          </w:p>
        </w:tc>
        <w:tc>
          <w:tcPr>
            <w:tcW w:w="5" w:type="pct"/>
            <w:vAlign w:val="center"/>
            <w:hideMark/>
          </w:tcPr>
          <w:p w14:paraId="50C1CA9F" w14:textId="77777777" w:rsidR="00000000" w:rsidRDefault="00405D16">
            <w:pPr>
              <w:spacing w:after="100"/>
              <w:rPr>
                <w:rFonts w:eastAsia="Times New Roman"/>
                <w:sz w:val="20"/>
                <w:szCs w:val="20"/>
              </w:rPr>
            </w:pPr>
          </w:p>
        </w:tc>
        <w:tc>
          <w:tcPr>
            <w:tcW w:w="50" w:type="pct"/>
            <w:vAlign w:val="center"/>
            <w:hideMark/>
          </w:tcPr>
          <w:p w14:paraId="35870F3A" w14:textId="77777777" w:rsidR="00000000" w:rsidRDefault="00405D16">
            <w:pPr>
              <w:spacing w:after="100"/>
              <w:rPr>
                <w:rFonts w:eastAsia="Times New Roman"/>
                <w:sz w:val="20"/>
                <w:szCs w:val="20"/>
              </w:rPr>
            </w:pPr>
          </w:p>
        </w:tc>
        <w:tc>
          <w:tcPr>
            <w:tcW w:w="392" w:type="pct"/>
            <w:vAlign w:val="center"/>
            <w:hideMark/>
          </w:tcPr>
          <w:p w14:paraId="195FF944" w14:textId="77777777" w:rsidR="00000000" w:rsidRDefault="00405D16">
            <w:pPr>
              <w:spacing w:after="100"/>
              <w:rPr>
                <w:rFonts w:eastAsia="Times New Roman"/>
                <w:sz w:val="20"/>
                <w:szCs w:val="20"/>
              </w:rPr>
            </w:pPr>
          </w:p>
        </w:tc>
        <w:tc>
          <w:tcPr>
            <w:tcW w:w="5" w:type="pct"/>
            <w:vAlign w:val="center"/>
            <w:hideMark/>
          </w:tcPr>
          <w:p w14:paraId="11EA6D56" w14:textId="77777777" w:rsidR="00000000" w:rsidRDefault="00405D16">
            <w:pPr>
              <w:spacing w:after="100"/>
              <w:rPr>
                <w:rFonts w:eastAsia="Times New Roman"/>
                <w:sz w:val="20"/>
                <w:szCs w:val="20"/>
              </w:rPr>
            </w:pPr>
          </w:p>
        </w:tc>
        <w:tc>
          <w:tcPr>
            <w:tcW w:w="5" w:type="pct"/>
            <w:vAlign w:val="center"/>
            <w:hideMark/>
          </w:tcPr>
          <w:p w14:paraId="69714898" w14:textId="77777777" w:rsidR="00000000" w:rsidRDefault="00405D16">
            <w:pPr>
              <w:spacing w:after="100"/>
              <w:rPr>
                <w:rFonts w:eastAsia="Times New Roman"/>
                <w:sz w:val="20"/>
                <w:szCs w:val="20"/>
              </w:rPr>
            </w:pPr>
          </w:p>
        </w:tc>
        <w:tc>
          <w:tcPr>
            <w:tcW w:w="26" w:type="pct"/>
            <w:vAlign w:val="center"/>
            <w:hideMark/>
          </w:tcPr>
          <w:p w14:paraId="39FACC95" w14:textId="77777777" w:rsidR="00000000" w:rsidRDefault="00405D16">
            <w:pPr>
              <w:spacing w:after="100"/>
              <w:rPr>
                <w:rFonts w:eastAsia="Times New Roman"/>
                <w:sz w:val="20"/>
                <w:szCs w:val="20"/>
              </w:rPr>
            </w:pPr>
          </w:p>
        </w:tc>
        <w:tc>
          <w:tcPr>
            <w:tcW w:w="5" w:type="pct"/>
            <w:vAlign w:val="center"/>
            <w:hideMark/>
          </w:tcPr>
          <w:p w14:paraId="6587300A" w14:textId="77777777" w:rsidR="00000000" w:rsidRDefault="00405D16">
            <w:pPr>
              <w:spacing w:after="100"/>
              <w:rPr>
                <w:rFonts w:eastAsia="Times New Roman"/>
                <w:sz w:val="20"/>
                <w:szCs w:val="20"/>
              </w:rPr>
            </w:pPr>
          </w:p>
        </w:tc>
        <w:tc>
          <w:tcPr>
            <w:tcW w:w="50" w:type="pct"/>
            <w:vAlign w:val="center"/>
            <w:hideMark/>
          </w:tcPr>
          <w:p w14:paraId="0E4AED84" w14:textId="77777777" w:rsidR="00000000" w:rsidRDefault="00405D16">
            <w:pPr>
              <w:spacing w:after="100"/>
              <w:rPr>
                <w:rFonts w:eastAsia="Times New Roman"/>
                <w:sz w:val="20"/>
                <w:szCs w:val="20"/>
              </w:rPr>
            </w:pPr>
          </w:p>
        </w:tc>
        <w:tc>
          <w:tcPr>
            <w:tcW w:w="392" w:type="pct"/>
            <w:vAlign w:val="center"/>
            <w:hideMark/>
          </w:tcPr>
          <w:p w14:paraId="6B869A6C" w14:textId="77777777" w:rsidR="00000000" w:rsidRDefault="00405D16">
            <w:pPr>
              <w:spacing w:after="100"/>
              <w:rPr>
                <w:rFonts w:eastAsia="Times New Roman"/>
                <w:sz w:val="20"/>
                <w:szCs w:val="20"/>
              </w:rPr>
            </w:pPr>
          </w:p>
        </w:tc>
        <w:tc>
          <w:tcPr>
            <w:tcW w:w="5" w:type="pct"/>
            <w:vAlign w:val="center"/>
            <w:hideMark/>
          </w:tcPr>
          <w:p w14:paraId="25DF074A" w14:textId="77777777" w:rsidR="00000000" w:rsidRDefault="00405D16">
            <w:pPr>
              <w:spacing w:after="100"/>
              <w:rPr>
                <w:rFonts w:eastAsia="Times New Roman"/>
                <w:sz w:val="20"/>
                <w:szCs w:val="20"/>
              </w:rPr>
            </w:pPr>
          </w:p>
        </w:tc>
        <w:tc>
          <w:tcPr>
            <w:tcW w:w="5" w:type="pct"/>
            <w:vAlign w:val="center"/>
            <w:hideMark/>
          </w:tcPr>
          <w:p w14:paraId="782764A4" w14:textId="77777777" w:rsidR="00000000" w:rsidRDefault="00405D16">
            <w:pPr>
              <w:spacing w:after="100"/>
              <w:rPr>
                <w:rFonts w:eastAsia="Times New Roman"/>
                <w:sz w:val="20"/>
                <w:szCs w:val="20"/>
              </w:rPr>
            </w:pPr>
          </w:p>
        </w:tc>
        <w:tc>
          <w:tcPr>
            <w:tcW w:w="26" w:type="pct"/>
            <w:vAlign w:val="center"/>
            <w:hideMark/>
          </w:tcPr>
          <w:p w14:paraId="1A4CE1B7" w14:textId="77777777" w:rsidR="00000000" w:rsidRDefault="00405D16">
            <w:pPr>
              <w:spacing w:after="100"/>
              <w:rPr>
                <w:rFonts w:eastAsia="Times New Roman"/>
                <w:sz w:val="20"/>
                <w:szCs w:val="20"/>
              </w:rPr>
            </w:pPr>
          </w:p>
        </w:tc>
        <w:tc>
          <w:tcPr>
            <w:tcW w:w="5" w:type="pct"/>
            <w:vAlign w:val="center"/>
            <w:hideMark/>
          </w:tcPr>
          <w:p w14:paraId="127BDFF5" w14:textId="77777777" w:rsidR="00000000" w:rsidRDefault="00405D16">
            <w:pPr>
              <w:spacing w:after="100"/>
              <w:rPr>
                <w:rFonts w:eastAsia="Times New Roman"/>
                <w:sz w:val="20"/>
                <w:szCs w:val="20"/>
              </w:rPr>
            </w:pPr>
          </w:p>
        </w:tc>
        <w:tc>
          <w:tcPr>
            <w:tcW w:w="50" w:type="pct"/>
            <w:vAlign w:val="center"/>
            <w:hideMark/>
          </w:tcPr>
          <w:p w14:paraId="354B6F81" w14:textId="77777777" w:rsidR="00000000" w:rsidRDefault="00405D16">
            <w:pPr>
              <w:spacing w:after="100"/>
              <w:rPr>
                <w:rFonts w:eastAsia="Times New Roman"/>
                <w:sz w:val="20"/>
                <w:szCs w:val="20"/>
              </w:rPr>
            </w:pPr>
          </w:p>
        </w:tc>
        <w:tc>
          <w:tcPr>
            <w:tcW w:w="392" w:type="pct"/>
            <w:vAlign w:val="center"/>
            <w:hideMark/>
          </w:tcPr>
          <w:p w14:paraId="2A0175DE" w14:textId="77777777" w:rsidR="00000000" w:rsidRDefault="00405D16">
            <w:pPr>
              <w:spacing w:after="100"/>
              <w:rPr>
                <w:rFonts w:eastAsia="Times New Roman"/>
                <w:sz w:val="20"/>
                <w:szCs w:val="20"/>
              </w:rPr>
            </w:pPr>
          </w:p>
        </w:tc>
        <w:tc>
          <w:tcPr>
            <w:tcW w:w="5" w:type="pct"/>
            <w:vAlign w:val="center"/>
            <w:hideMark/>
          </w:tcPr>
          <w:p w14:paraId="15137C80" w14:textId="77777777" w:rsidR="00000000" w:rsidRDefault="00405D16">
            <w:pPr>
              <w:spacing w:after="100"/>
              <w:rPr>
                <w:rFonts w:eastAsia="Times New Roman"/>
                <w:sz w:val="20"/>
                <w:szCs w:val="20"/>
              </w:rPr>
            </w:pPr>
          </w:p>
        </w:tc>
        <w:tc>
          <w:tcPr>
            <w:tcW w:w="5" w:type="pct"/>
            <w:vAlign w:val="center"/>
            <w:hideMark/>
          </w:tcPr>
          <w:p w14:paraId="279BEC7B" w14:textId="77777777" w:rsidR="00000000" w:rsidRDefault="00405D16">
            <w:pPr>
              <w:spacing w:after="100"/>
              <w:rPr>
                <w:rFonts w:eastAsia="Times New Roman"/>
                <w:sz w:val="20"/>
                <w:szCs w:val="20"/>
              </w:rPr>
            </w:pPr>
          </w:p>
        </w:tc>
        <w:tc>
          <w:tcPr>
            <w:tcW w:w="26" w:type="pct"/>
            <w:vAlign w:val="center"/>
            <w:hideMark/>
          </w:tcPr>
          <w:p w14:paraId="23CBE415" w14:textId="77777777" w:rsidR="00000000" w:rsidRDefault="00405D16">
            <w:pPr>
              <w:spacing w:after="100"/>
              <w:rPr>
                <w:rFonts w:eastAsia="Times New Roman"/>
                <w:sz w:val="20"/>
                <w:szCs w:val="20"/>
              </w:rPr>
            </w:pPr>
          </w:p>
        </w:tc>
        <w:tc>
          <w:tcPr>
            <w:tcW w:w="5" w:type="pct"/>
            <w:vAlign w:val="center"/>
            <w:hideMark/>
          </w:tcPr>
          <w:p w14:paraId="5FF9B259" w14:textId="77777777" w:rsidR="00000000" w:rsidRDefault="00405D16">
            <w:pPr>
              <w:spacing w:after="100"/>
              <w:rPr>
                <w:rFonts w:eastAsia="Times New Roman"/>
                <w:sz w:val="20"/>
                <w:szCs w:val="20"/>
              </w:rPr>
            </w:pPr>
          </w:p>
        </w:tc>
        <w:tc>
          <w:tcPr>
            <w:tcW w:w="50" w:type="pct"/>
            <w:vAlign w:val="center"/>
            <w:hideMark/>
          </w:tcPr>
          <w:p w14:paraId="093BED6E" w14:textId="77777777" w:rsidR="00000000" w:rsidRDefault="00405D16">
            <w:pPr>
              <w:spacing w:after="100"/>
              <w:rPr>
                <w:rFonts w:eastAsia="Times New Roman"/>
                <w:sz w:val="20"/>
                <w:szCs w:val="20"/>
              </w:rPr>
            </w:pPr>
          </w:p>
        </w:tc>
        <w:tc>
          <w:tcPr>
            <w:tcW w:w="393" w:type="pct"/>
            <w:vAlign w:val="center"/>
            <w:hideMark/>
          </w:tcPr>
          <w:p w14:paraId="5B105A6B" w14:textId="77777777" w:rsidR="00000000" w:rsidRDefault="00405D16">
            <w:pPr>
              <w:spacing w:after="100"/>
              <w:rPr>
                <w:rFonts w:eastAsia="Times New Roman"/>
                <w:sz w:val="20"/>
                <w:szCs w:val="20"/>
              </w:rPr>
            </w:pPr>
          </w:p>
        </w:tc>
        <w:tc>
          <w:tcPr>
            <w:tcW w:w="5" w:type="pct"/>
            <w:vAlign w:val="center"/>
            <w:hideMark/>
          </w:tcPr>
          <w:p w14:paraId="1D69A353" w14:textId="77777777" w:rsidR="00000000" w:rsidRDefault="00405D16">
            <w:pPr>
              <w:spacing w:after="100"/>
              <w:rPr>
                <w:rFonts w:eastAsia="Times New Roman"/>
                <w:sz w:val="20"/>
                <w:szCs w:val="20"/>
              </w:rPr>
            </w:pPr>
          </w:p>
        </w:tc>
      </w:tr>
      <w:tr w:rsidR="00000000" w14:paraId="10E94042" w14:textId="77777777">
        <w:trPr>
          <w:divId w:val="1042092283"/>
        </w:trPr>
        <w:tc>
          <w:tcPr>
            <w:tcW w:w="0" w:type="auto"/>
            <w:gridSpan w:val="3"/>
            <w:tcMar>
              <w:top w:w="0" w:type="dxa"/>
              <w:left w:w="20" w:type="dxa"/>
              <w:bottom w:w="0" w:type="dxa"/>
              <w:right w:w="20" w:type="dxa"/>
            </w:tcMar>
            <w:vAlign w:val="center"/>
            <w:hideMark/>
          </w:tcPr>
          <w:p w14:paraId="61F15673"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28E6AB3" w14:textId="77777777" w:rsidR="00000000" w:rsidRDefault="00405D16">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2C9FFE3D" w14:textId="77777777" w:rsidR="00000000" w:rsidRDefault="00405D16">
            <w:pPr>
              <w:spacing w:after="100"/>
              <w:jc w:val="center"/>
              <w:rPr>
                <w:rFonts w:eastAsia="Times New Roman"/>
              </w:rPr>
            </w:pPr>
            <w:r>
              <w:rPr>
                <w:rFonts w:eastAsia="Times New Roman"/>
                <w:b/>
                <w:bCs/>
                <w:color w:val="000000"/>
                <w:sz w:val="16"/>
                <w:szCs w:val="16"/>
              </w:rPr>
              <w:t>September 30, 2021</w:t>
            </w:r>
          </w:p>
        </w:tc>
      </w:tr>
      <w:tr w:rsidR="00000000" w14:paraId="64FD4F80" w14:textId="77777777">
        <w:trPr>
          <w:divId w:val="1042092283"/>
        </w:trPr>
        <w:tc>
          <w:tcPr>
            <w:tcW w:w="0" w:type="auto"/>
            <w:gridSpan w:val="3"/>
            <w:tcBorders>
              <w:bottom w:val="single" w:sz="8" w:space="0" w:color="000000"/>
            </w:tcBorders>
            <w:tcMar>
              <w:top w:w="30" w:type="dxa"/>
              <w:left w:w="20" w:type="dxa"/>
              <w:bottom w:w="30" w:type="dxa"/>
              <w:right w:w="20" w:type="dxa"/>
            </w:tcMar>
            <w:vAlign w:val="bottom"/>
            <w:hideMark/>
          </w:tcPr>
          <w:p w14:paraId="5F52E324"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09E0BAA4" w14:textId="77777777" w:rsidR="00000000" w:rsidRDefault="00405D16">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D64E1E6" w14:textId="77777777" w:rsidR="00000000" w:rsidRDefault="00405D16">
            <w:pPr>
              <w:spacing w:after="100"/>
              <w:jc w:val="center"/>
              <w:rPr>
                <w:rFonts w:eastAsia="Times New Roman"/>
              </w:rPr>
            </w:pPr>
            <w:r>
              <w:rPr>
                <w:rFonts w:eastAsia="Times New Roman"/>
                <w:b/>
                <w:bCs/>
                <w:color w:val="000000"/>
                <w:sz w:val="16"/>
                <w:szCs w:val="16"/>
              </w:rPr>
              <w:t>Amortized</w:t>
            </w:r>
            <w:r>
              <w:rPr>
                <w:rFonts w:eastAsia="Times New Roman"/>
                <w:b/>
                <w:bCs/>
                <w:color w:val="00000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14:paraId="723AF07F" w14:textId="77777777" w:rsidR="00000000" w:rsidRDefault="00405D1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A291DF7" w14:textId="77777777" w:rsidR="00000000" w:rsidRDefault="00405D16">
            <w:pPr>
              <w:spacing w:after="100"/>
              <w:jc w:val="center"/>
              <w:rPr>
                <w:rFonts w:eastAsia="Times New Roman"/>
              </w:rPr>
            </w:pPr>
            <w:r>
              <w:rPr>
                <w:rFonts w:eastAsia="Times New Roman"/>
                <w:b/>
                <w:bCs/>
                <w:color w:val="000000"/>
                <w:sz w:val="16"/>
                <w:szCs w:val="16"/>
              </w:rPr>
              <w:t>Allowance</w:t>
            </w:r>
            <w:r>
              <w:rPr>
                <w:rFonts w:eastAsia="Times New Roman"/>
                <w:b/>
                <w:bCs/>
                <w:color w:val="000000"/>
                <w:sz w:val="16"/>
                <w:szCs w:val="16"/>
              </w:rPr>
              <w:br/>
              <w:t> for Credit</w:t>
            </w:r>
            <w:r>
              <w:rPr>
                <w:rFonts w:eastAsia="Times New Roman"/>
                <w:b/>
                <w:bCs/>
                <w:color w:val="000000"/>
                <w:sz w:val="16"/>
                <w:szCs w:val="16"/>
              </w:rPr>
              <w:br/>
              <w:t> Losses</w:t>
            </w:r>
          </w:p>
        </w:tc>
        <w:tc>
          <w:tcPr>
            <w:tcW w:w="0" w:type="auto"/>
            <w:gridSpan w:val="3"/>
            <w:tcBorders>
              <w:top w:val="single" w:sz="8" w:space="0" w:color="000000"/>
            </w:tcBorders>
            <w:tcMar>
              <w:top w:w="0" w:type="dxa"/>
              <w:left w:w="20" w:type="dxa"/>
              <w:bottom w:w="0" w:type="dxa"/>
              <w:right w:w="20" w:type="dxa"/>
            </w:tcMar>
            <w:vAlign w:val="center"/>
            <w:hideMark/>
          </w:tcPr>
          <w:p w14:paraId="766F60DF" w14:textId="77777777" w:rsidR="00000000" w:rsidRDefault="00405D1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9E44A8B" w14:textId="77777777" w:rsidR="00000000" w:rsidRDefault="00405D16">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Gains</w:t>
            </w:r>
          </w:p>
        </w:tc>
        <w:tc>
          <w:tcPr>
            <w:tcW w:w="0" w:type="auto"/>
            <w:gridSpan w:val="3"/>
            <w:tcBorders>
              <w:top w:val="single" w:sz="8" w:space="0" w:color="000000"/>
            </w:tcBorders>
            <w:tcMar>
              <w:top w:w="0" w:type="dxa"/>
              <w:left w:w="20" w:type="dxa"/>
              <w:bottom w:w="0" w:type="dxa"/>
              <w:right w:w="20" w:type="dxa"/>
            </w:tcMar>
            <w:vAlign w:val="center"/>
            <w:hideMark/>
          </w:tcPr>
          <w:p w14:paraId="360C6FF8" w14:textId="77777777" w:rsidR="00000000" w:rsidRDefault="00405D1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6303CC9" w14:textId="77777777" w:rsidR="00000000" w:rsidRDefault="00405D16">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Borders>
              <w:top w:val="single" w:sz="8" w:space="0" w:color="000000"/>
            </w:tcBorders>
            <w:tcMar>
              <w:top w:w="0" w:type="dxa"/>
              <w:left w:w="20" w:type="dxa"/>
              <w:bottom w:w="0" w:type="dxa"/>
              <w:right w:w="20" w:type="dxa"/>
            </w:tcMar>
            <w:vAlign w:val="center"/>
            <w:hideMark/>
          </w:tcPr>
          <w:p w14:paraId="5398ADA1" w14:textId="77777777" w:rsidR="00000000" w:rsidRDefault="00405D1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349E5B0" w14:textId="77777777" w:rsidR="00000000" w:rsidRDefault="00405D16">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r>
      <w:tr w:rsidR="00000000" w14:paraId="4AB0ADDD" w14:textId="77777777">
        <w:trPr>
          <w:divId w:val="104209228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64DFD50A" w14:textId="77777777" w:rsidR="00000000" w:rsidRDefault="00405D16">
            <w:pPr>
              <w:spacing w:after="100"/>
              <w:rPr>
                <w:rFonts w:eastAsia="Times New Roman"/>
              </w:rPr>
            </w:pPr>
            <w:r>
              <w:rPr>
                <w:rFonts w:eastAsia="Times New Roman"/>
                <w:b/>
                <w:bCs/>
                <w:color w:val="000000"/>
                <w:sz w:val="18"/>
                <w:szCs w:val="18"/>
              </w:rPr>
              <w:t>Investment securities available for sale:</w:t>
            </w:r>
          </w:p>
        </w:tc>
        <w:tc>
          <w:tcPr>
            <w:tcW w:w="0" w:type="auto"/>
            <w:gridSpan w:val="3"/>
            <w:shd w:val="clear" w:color="auto" w:fill="CCEEFF"/>
            <w:tcMar>
              <w:top w:w="0" w:type="dxa"/>
              <w:left w:w="20" w:type="dxa"/>
              <w:bottom w:w="0" w:type="dxa"/>
              <w:right w:w="20" w:type="dxa"/>
            </w:tcMar>
            <w:vAlign w:val="center"/>
            <w:hideMark/>
          </w:tcPr>
          <w:p w14:paraId="79FCBDEA"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00EBFA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DC51D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F3CD15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38CD53"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29EE1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A0A1A1"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965883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266616"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727533A" w14:textId="77777777" w:rsidR="00000000" w:rsidRDefault="00405D16">
            <w:pPr>
              <w:spacing w:after="100"/>
              <w:rPr>
                <w:rFonts w:eastAsia="Times New Roman"/>
                <w:sz w:val="20"/>
                <w:szCs w:val="20"/>
              </w:rPr>
            </w:pPr>
          </w:p>
        </w:tc>
      </w:tr>
      <w:tr w:rsidR="00000000" w14:paraId="631002FF" w14:textId="77777777">
        <w:trPr>
          <w:divId w:val="1042092283"/>
        </w:trPr>
        <w:tc>
          <w:tcPr>
            <w:tcW w:w="0" w:type="auto"/>
            <w:gridSpan w:val="3"/>
            <w:shd w:val="clear" w:color="auto" w:fill="FFFFFF"/>
            <w:tcMar>
              <w:top w:w="30" w:type="dxa"/>
              <w:left w:w="20" w:type="dxa"/>
              <w:bottom w:w="30" w:type="dxa"/>
              <w:right w:w="20" w:type="dxa"/>
            </w:tcMar>
            <w:vAlign w:val="center"/>
            <w:hideMark/>
          </w:tcPr>
          <w:p w14:paraId="770AD04C" w14:textId="77777777" w:rsidR="00000000" w:rsidRDefault="00405D16">
            <w:pPr>
              <w:spacing w:after="100"/>
              <w:rPr>
                <w:rFonts w:eastAsia="Times New Roman"/>
              </w:rPr>
            </w:pPr>
            <w:r>
              <w:rPr>
                <w:rFonts w:eastAsia="Times New Roman"/>
                <w:color w:val="000000"/>
                <w:sz w:val="18"/>
                <w:szCs w:val="18"/>
              </w:rPr>
              <w:t>U.S. Treasury securities</w:t>
            </w:r>
          </w:p>
        </w:tc>
        <w:tc>
          <w:tcPr>
            <w:tcW w:w="0" w:type="auto"/>
            <w:gridSpan w:val="3"/>
            <w:shd w:val="clear" w:color="auto" w:fill="FFFFFF"/>
            <w:tcMar>
              <w:top w:w="0" w:type="dxa"/>
              <w:left w:w="20" w:type="dxa"/>
              <w:bottom w:w="0" w:type="dxa"/>
              <w:right w:w="20" w:type="dxa"/>
            </w:tcMar>
            <w:vAlign w:val="center"/>
            <w:hideMark/>
          </w:tcPr>
          <w:p w14:paraId="74E5EBB7"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3390D247"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55DFBEF0" w14:textId="77777777" w:rsidR="00000000" w:rsidRDefault="00405D16">
            <w:pPr>
              <w:spacing w:after="100"/>
              <w:jc w:val="right"/>
              <w:rPr>
                <w:rFonts w:eastAsia="Times New Roman"/>
              </w:rPr>
            </w:pPr>
            <w:r>
              <w:rPr>
                <w:rFonts w:eastAsia="Times New Roman"/>
                <w:b/>
                <w:bCs/>
                <w:color w:val="000000"/>
                <w:sz w:val="18"/>
                <w:szCs w:val="18"/>
              </w:rPr>
              <w:t>9,094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3ACF28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E0E9C1"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B745A3D"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39B6E127"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7E86CE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A6F504"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2129A82"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3EBE30F6" w14:textId="77777777" w:rsidR="00000000" w:rsidRDefault="00405D16">
            <w:pPr>
              <w:spacing w:after="100"/>
              <w:jc w:val="right"/>
              <w:rPr>
                <w:rFonts w:eastAsia="Times New Roman"/>
              </w:rPr>
            </w:pPr>
            <w:r>
              <w:rPr>
                <w:rFonts w:eastAsia="Times New Roman"/>
                <w:b/>
                <w:bCs/>
                <w:color w:val="000000"/>
                <w:sz w:val="18"/>
                <w:szCs w:val="18"/>
              </w:rPr>
              <w:t>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1692F0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3CE079"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97C7B1E"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478BFCB9"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06B225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115B58"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9E9FC7B"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2087FFC2" w14:textId="77777777" w:rsidR="00000000" w:rsidRDefault="00405D16">
            <w:pPr>
              <w:spacing w:after="100"/>
              <w:jc w:val="right"/>
              <w:rPr>
                <w:rFonts w:eastAsia="Times New Roman"/>
              </w:rPr>
            </w:pPr>
            <w:r>
              <w:rPr>
                <w:rFonts w:eastAsia="Times New Roman"/>
                <w:b/>
                <w:bCs/>
                <w:color w:val="000000"/>
                <w:sz w:val="18"/>
                <w:szCs w:val="18"/>
              </w:rPr>
              <w:t>9,109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C6B7FBC" w14:textId="77777777" w:rsidR="00000000" w:rsidRDefault="00405D16">
            <w:pPr>
              <w:spacing w:after="100"/>
              <w:jc w:val="right"/>
              <w:rPr>
                <w:rFonts w:eastAsia="Times New Roman"/>
              </w:rPr>
            </w:pPr>
          </w:p>
        </w:tc>
      </w:tr>
      <w:tr w:rsidR="00000000" w14:paraId="509F6ECF" w14:textId="77777777">
        <w:trPr>
          <w:divId w:val="1042092283"/>
        </w:trPr>
        <w:tc>
          <w:tcPr>
            <w:tcW w:w="0" w:type="auto"/>
            <w:gridSpan w:val="3"/>
            <w:shd w:val="clear" w:color="auto" w:fill="CCEEFF"/>
            <w:tcMar>
              <w:top w:w="30" w:type="dxa"/>
              <w:left w:w="20" w:type="dxa"/>
              <w:bottom w:w="30" w:type="dxa"/>
              <w:right w:w="20" w:type="dxa"/>
            </w:tcMar>
            <w:vAlign w:val="center"/>
            <w:hideMark/>
          </w:tcPr>
          <w:p w14:paraId="784FD736" w14:textId="77777777" w:rsidR="00000000" w:rsidRDefault="00405D16">
            <w:pPr>
              <w:spacing w:after="100"/>
              <w:rPr>
                <w:rFonts w:eastAsia="Times New Roman"/>
              </w:rPr>
            </w:pPr>
            <w:r>
              <w:rPr>
                <w:rFonts w:eastAsia="Times New Roman"/>
                <w:color w:val="000000"/>
                <w:sz w:val="18"/>
                <w:szCs w:val="18"/>
              </w:rPr>
              <w:t>RMBS:</w:t>
            </w:r>
          </w:p>
        </w:tc>
        <w:tc>
          <w:tcPr>
            <w:tcW w:w="0" w:type="auto"/>
            <w:gridSpan w:val="3"/>
            <w:shd w:val="clear" w:color="auto" w:fill="CCEEFF"/>
            <w:tcMar>
              <w:top w:w="0" w:type="dxa"/>
              <w:left w:w="20" w:type="dxa"/>
              <w:bottom w:w="0" w:type="dxa"/>
              <w:right w:w="20" w:type="dxa"/>
            </w:tcMar>
            <w:vAlign w:val="center"/>
            <w:hideMark/>
          </w:tcPr>
          <w:p w14:paraId="2A002602"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BEEA1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26C27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FEB70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C06E0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4A886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60445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2AA4C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006B2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1B1FCA" w14:textId="77777777" w:rsidR="00000000" w:rsidRDefault="00405D16">
            <w:pPr>
              <w:spacing w:after="100"/>
              <w:rPr>
                <w:rFonts w:eastAsia="Times New Roman"/>
                <w:sz w:val="20"/>
                <w:szCs w:val="20"/>
              </w:rPr>
            </w:pPr>
          </w:p>
        </w:tc>
      </w:tr>
      <w:tr w:rsidR="00000000" w14:paraId="573689B4" w14:textId="77777777">
        <w:trPr>
          <w:divId w:val="1042092283"/>
        </w:trPr>
        <w:tc>
          <w:tcPr>
            <w:tcW w:w="0" w:type="auto"/>
            <w:gridSpan w:val="3"/>
            <w:shd w:val="clear" w:color="auto" w:fill="FFFFFF"/>
            <w:tcMar>
              <w:top w:w="30" w:type="dxa"/>
              <w:left w:w="245" w:type="dxa"/>
              <w:bottom w:w="30" w:type="dxa"/>
              <w:right w:w="20" w:type="dxa"/>
            </w:tcMar>
            <w:vAlign w:val="center"/>
            <w:hideMark/>
          </w:tcPr>
          <w:p w14:paraId="0F6AE0A8" w14:textId="77777777" w:rsidR="00000000" w:rsidRDefault="00405D16">
            <w:pPr>
              <w:spacing w:after="100"/>
              <w:rPr>
                <w:rFonts w:eastAsia="Times New Roman"/>
              </w:rPr>
            </w:pPr>
            <w:r>
              <w:rPr>
                <w:rFonts w:eastAsia="Times New Roman"/>
                <w:color w:val="000000"/>
                <w:sz w:val="18"/>
                <w:szCs w:val="18"/>
              </w:rPr>
              <w:t>Agency</w:t>
            </w:r>
          </w:p>
        </w:tc>
        <w:tc>
          <w:tcPr>
            <w:tcW w:w="0" w:type="auto"/>
            <w:gridSpan w:val="3"/>
            <w:shd w:val="clear" w:color="auto" w:fill="FFFFFF"/>
            <w:tcMar>
              <w:top w:w="0" w:type="dxa"/>
              <w:left w:w="20" w:type="dxa"/>
              <w:bottom w:w="0" w:type="dxa"/>
              <w:right w:w="20" w:type="dxa"/>
            </w:tcMar>
            <w:vAlign w:val="center"/>
            <w:hideMark/>
          </w:tcPr>
          <w:p w14:paraId="12393E43"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91650C7" w14:textId="77777777" w:rsidR="00000000" w:rsidRDefault="00405D16">
            <w:pPr>
              <w:spacing w:after="100"/>
              <w:jc w:val="right"/>
              <w:rPr>
                <w:rFonts w:eastAsia="Times New Roman"/>
              </w:rPr>
            </w:pPr>
            <w:r>
              <w:rPr>
                <w:rFonts w:eastAsia="Times New Roman"/>
                <w:b/>
                <w:bCs/>
                <w:color w:val="000000"/>
                <w:sz w:val="18"/>
                <w:szCs w:val="18"/>
              </w:rPr>
              <w:t>73,924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825C43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E5A80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46D09C3"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61C4E2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EF704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AB45260" w14:textId="77777777" w:rsidR="00000000" w:rsidRDefault="00405D16">
            <w:pPr>
              <w:spacing w:after="100"/>
              <w:jc w:val="right"/>
              <w:rPr>
                <w:rFonts w:eastAsia="Times New Roman"/>
              </w:rPr>
            </w:pPr>
            <w:r>
              <w:rPr>
                <w:rFonts w:eastAsia="Times New Roman"/>
                <w:b/>
                <w:bCs/>
                <w:color w:val="000000"/>
                <w:sz w:val="18"/>
                <w:szCs w:val="18"/>
              </w:rPr>
              <w:t>1,325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2C9184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B40DE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185B7F9" w14:textId="77777777" w:rsidR="00000000" w:rsidRDefault="00405D16">
            <w:pPr>
              <w:spacing w:after="100"/>
              <w:jc w:val="right"/>
              <w:rPr>
                <w:rFonts w:eastAsia="Times New Roman"/>
              </w:rPr>
            </w:pPr>
            <w:r>
              <w:rPr>
                <w:rFonts w:eastAsia="Times New Roman"/>
                <w:b/>
                <w:bCs/>
                <w:color w:val="000000"/>
                <w:sz w:val="18"/>
                <w:szCs w:val="18"/>
              </w:rPr>
              <w:t>(617)</w:t>
            </w:r>
          </w:p>
        </w:tc>
        <w:tc>
          <w:tcPr>
            <w:tcW w:w="0" w:type="auto"/>
            <w:shd w:val="clear" w:color="auto" w:fill="FFFFFF"/>
            <w:tcMar>
              <w:top w:w="30" w:type="dxa"/>
              <w:left w:w="0" w:type="dxa"/>
              <w:bottom w:w="30" w:type="dxa"/>
              <w:right w:w="20" w:type="dxa"/>
            </w:tcMar>
            <w:vAlign w:val="center"/>
            <w:hideMark/>
          </w:tcPr>
          <w:p w14:paraId="11EFBBA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FDBFB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5B1B4F8" w14:textId="77777777" w:rsidR="00000000" w:rsidRDefault="00405D16">
            <w:pPr>
              <w:spacing w:after="100"/>
              <w:jc w:val="right"/>
              <w:rPr>
                <w:rFonts w:eastAsia="Times New Roman"/>
              </w:rPr>
            </w:pPr>
            <w:r>
              <w:rPr>
                <w:rFonts w:eastAsia="Times New Roman"/>
                <w:b/>
                <w:bCs/>
                <w:color w:val="000000"/>
                <w:sz w:val="18"/>
                <w:szCs w:val="18"/>
              </w:rPr>
              <w:t>74,632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D783283" w14:textId="77777777" w:rsidR="00000000" w:rsidRDefault="00405D16">
            <w:pPr>
              <w:spacing w:after="100"/>
              <w:jc w:val="right"/>
              <w:rPr>
                <w:rFonts w:eastAsia="Times New Roman"/>
              </w:rPr>
            </w:pPr>
          </w:p>
        </w:tc>
      </w:tr>
      <w:tr w:rsidR="00000000" w14:paraId="4B40C13F" w14:textId="77777777">
        <w:trPr>
          <w:divId w:val="1042092283"/>
        </w:trPr>
        <w:tc>
          <w:tcPr>
            <w:tcW w:w="0" w:type="auto"/>
            <w:gridSpan w:val="3"/>
            <w:shd w:val="clear" w:color="auto" w:fill="CCEEFF"/>
            <w:tcMar>
              <w:top w:w="30" w:type="dxa"/>
              <w:left w:w="245" w:type="dxa"/>
              <w:bottom w:w="30" w:type="dxa"/>
              <w:right w:w="20" w:type="dxa"/>
            </w:tcMar>
            <w:vAlign w:val="center"/>
            <w:hideMark/>
          </w:tcPr>
          <w:p w14:paraId="624DAE7B" w14:textId="77777777" w:rsidR="00000000" w:rsidRDefault="00405D16">
            <w:pPr>
              <w:spacing w:after="100"/>
              <w:rPr>
                <w:rFonts w:eastAsia="Times New Roman"/>
              </w:rPr>
            </w:pPr>
            <w:r>
              <w:rPr>
                <w:rFonts w:eastAsia="Times New Roman"/>
                <w:color w:val="000000"/>
                <w:sz w:val="18"/>
                <w:szCs w:val="18"/>
              </w:rPr>
              <w:t>Non-agency</w:t>
            </w:r>
          </w:p>
        </w:tc>
        <w:tc>
          <w:tcPr>
            <w:tcW w:w="0" w:type="auto"/>
            <w:gridSpan w:val="3"/>
            <w:shd w:val="clear" w:color="auto" w:fill="CCEEFF"/>
            <w:tcMar>
              <w:top w:w="0" w:type="dxa"/>
              <w:left w:w="20" w:type="dxa"/>
              <w:bottom w:w="0" w:type="dxa"/>
              <w:right w:w="20" w:type="dxa"/>
            </w:tcMar>
            <w:vAlign w:val="center"/>
            <w:hideMark/>
          </w:tcPr>
          <w:p w14:paraId="592B9AB2"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8DA7BB9" w14:textId="77777777" w:rsidR="00000000" w:rsidRDefault="00405D16">
            <w:pPr>
              <w:spacing w:after="100"/>
              <w:jc w:val="right"/>
              <w:rPr>
                <w:rFonts w:eastAsia="Times New Roman"/>
              </w:rPr>
            </w:pPr>
            <w:r>
              <w:rPr>
                <w:rFonts w:eastAsia="Times New Roman"/>
                <w:b/>
                <w:bCs/>
                <w:color w:val="000000"/>
                <w:sz w:val="18"/>
                <w:szCs w:val="18"/>
              </w:rPr>
              <w:t>844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0C958F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67308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CBDB6C9" w14:textId="77777777" w:rsidR="00000000" w:rsidRDefault="00405D16">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center"/>
            <w:hideMark/>
          </w:tcPr>
          <w:p w14:paraId="251A0DB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8D175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6C674F3" w14:textId="77777777" w:rsidR="00000000" w:rsidRDefault="00405D16">
            <w:pPr>
              <w:spacing w:after="100"/>
              <w:jc w:val="right"/>
              <w:rPr>
                <w:rFonts w:eastAsia="Times New Roman"/>
              </w:rPr>
            </w:pPr>
            <w:r>
              <w:rPr>
                <w:rFonts w:eastAsia="Times New Roman"/>
                <w:b/>
                <w:bCs/>
                <w:color w:val="000000"/>
                <w:sz w:val="18"/>
                <w:szCs w:val="18"/>
              </w:rPr>
              <w:t>206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681553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AFB92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25F35FC"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9A6C11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4A603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959845C" w14:textId="77777777" w:rsidR="00000000" w:rsidRDefault="00405D16">
            <w:pPr>
              <w:spacing w:after="100"/>
              <w:jc w:val="right"/>
              <w:rPr>
                <w:rFonts w:eastAsia="Times New Roman"/>
              </w:rPr>
            </w:pPr>
            <w:r>
              <w:rPr>
                <w:rFonts w:eastAsia="Times New Roman"/>
                <w:b/>
                <w:bCs/>
                <w:color w:val="000000"/>
                <w:sz w:val="18"/>
                <w:szCs w:val="18"/>
              </w:rPr>
              <w:t>1,049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A376C40" w14:textId="77777777" w:rsidR="00000000" w:rsidRDefault="00405D16">
            <w:pPr>
              <w:spacing w:after="100"/>
              <w:jc w:val="right"/>
              <w:rPr>
                <w:rFonts w:eastAsia="Times New Roman"/>
              </w:rPr>
            </w:pPr>
          </w:p>
        </w:tc>
      </w:tr>
      <w:tr w:rsidR="00000000" w14:paraId="3101E0B5" w14:textId="77777777">
        <w:trPr>
          <w:divId w:val="1042092283"/>
        </w:trPr>
        <w:tc>
          <w:tcPr>
            <w:tcW w:w="0" w:type="auto"/>
            <w:gridSpan w:val="3"/>
            <w:shd w:val="clear" w:color="auto" w:fill="FFFFFF"/>
            <w:tcMar>
              <w:top w:w="30" w:type="dxa"/>
              <w:left w:w="20" w:type="dxa"/>
              <w:bottom w:w="30" w:type="dxa"/>
              <w:right w:w="20" w:type="dxa"/>
            </w:tcMar>
            <w:vAlign w:val="center"/>
            <w:hideMark/>
          </w:tcPr>
          <w:p w14:paraId="0E425A3E" w14:textId="77777777" w:rsidR="00000000" w:rsidRDefault="00405D16">
            <w:pPr>
              <w:spacing w:after="100"/>
              <w:rPr>
                <w:rFonts w:eastAsia="Times New Roman"/>
              </w:rPr>
            </w:pPr>
            <w:r>
              <w:rPr>
                <w:rFonts w:eastAsia="Times New Roman"/>
                <w:color w:val="000000"/>
                <w:sz w:val="18"/>
                <w:szCs w:val="18"/>
              </w:rPr>
              <w:t>Total RMBS</w:t>
            </w:r>
          </w:p>
        </w:tc>
        <w:tc>
          <w:tcPr>
            <w:tcW w:w="0" w:type="auto"/>
            <w:gridSpan w:val="3"/>
            <w:shd w:val="clear" w:color="auto" w:fill="FFFFFF"/>
            <w:tcMar>
              <w:top w:w="0" w:type="dxa"/>
              <w:left w:w="20" w:type="dxa"/>
              <w:bottom w:w="0" w:type="dxa"/>
              <w:right w:w="20" w:type="dxa"/>
            </w:tcMar>
            <w:vAlign w:val="center"/>
            <w:hideMark/>
          </w:tcPr>
          <w:p w14:paraId="228CB386"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ACFDB99" w14:textId="77777777" w:rsidR="00000000" w:rsidRDefault="00405D16">
            <w:pPr>
              <w:spacing w:after="100"/>
              <w:jc w:val="right"/>
              <w:rPr>
                <w:rFonts w:eastAsia="Times New Roman"/>
              </w:rPr>
            </w:pPr>
            <w:r>
              <w:rPr>
                <w:rFonts w:eastAsia="Times New Roman"/>
                <w:b/>
                <w:bCs/>
                <w:color w:val="000000"/>
                <w:sz w:val="18"/>
                <w:szCs w:val="18"/>
              </w:rPr>
              <w:t>74,768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3282DB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6F652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787890B" w14:textId="77777777" w:rsidR="00000000" w:rsidRDefault="00405D16">
            <w:pPr>
              <w:spacing w:after="100"/>
              <w:jc w:val="right"/>
              <w:rPr>
                <w:rFonts w:eastAsia="Times New Roman"/>
              </w:rPr>
            </w:pPr>
            <w:r>
              <w:rPr>
                <w:rFonts w:eastAsia="Times New Roman"/>
                <w:b/>
                <w:bCs/>
                <w:color w:val="000000"/>
                <w:sz w:val="18"/>
                <w:szCs w:val="18"/>
              </w:rPr>
              <w:t>(1)</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5A12D9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5F7F81"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1AB5CCA" w14:textId="77777777" w:rsidR="00000000" w:rsidRDefault="00405D16">
            <w:pPr>
              <w:spacing w:after="100"/>
              <w:jc w:val="right"/>
              <w:rPr>
                <w:rFonts w:eastAsia="Times New Roman"/>
              </w:rPr>
            </w:pPr>
            <w:r>
              <w:rPr>
                <w:rFonts w:eastAsia="Times New Roman"/>
                <w:b/>
                <w:bCs/>
                <w:color w:val="000000"/>
                <w:sz w:val="18"/>
                <w:szCs w:val="18"/>
              </w:rPr>
              <w:t>1,531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613A4E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AACF05"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5D4D220" w14:textId="77777777" w:rsidR="00000000" w:rsidRDefault="00405D16">
            <w:pPr>
              <w:spacing w:after="100"/>
              <w:jc w:val="right"/>
              <w:rPr>
                <w:rFonts w:eastAsia="Times New Roman"/>
              </w:rPr>
            </w:pPr>
            <w:r>
              <w:rPr>
                <w:rFonts w:eastAsia="Times New Roman"/>
                <w:b/>
                <w:bCs/>
                <w:color w:val="000000"/>
                <w:sz w:val="18"/>
                <w:szCs w:val="18"/>
              </w:rPr>
              <w:t>(617)</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08DF14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6D76C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27359AE" w14:textId="77777777" w:rsidR="00000000" w:rsidRDefault="00405D16">
            <w:pPr>
              <w:spacing w:after="100"/>
              <w:jc w:val="right"/>
              <w:rPr>
                <w:rFonts w:eastAsia="Times New Roman"/>
              </w:rPr>
            </w:pPr>
            <w:r>
              <w:rPr>
                <w:rFonts w:eastAsia="Times New Roman"/>
                <w:b/>
                <w:bCs/>
                <w:color w:val="000000"/>
                <w:sz w:val="18"/>
                <w:szCs w:val="18"/>
              </w:rPr>
              <w:t>75,681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E4465CA" w14:textId="77777777" w:rsidR="00000000" w:rsidRDefault="00405D16">
            <w:pPr>
              <w:spacing w:after="100"/>
              <w:jc w:val="right"/>
              <w:rPr>
                <w:rFonts w:eastAsia="Times New Roman"/>
              </w:rPr>
            </w:pPr>
          </w:p>
        </w:tc>
      </w:tr>
      <w:tr w:rsidR="00000000" w14:paraId="39380E6B" w14:textId="77777777">
        <w:trPr>
          <w:divId w:val="1042092283"/>
        </w:trPr>
        <w:tc>
          <w:tcPr>
            <w:tcW w:w="0" w:type="auto"/>
            <w:gridSpan w:val="3"/>
            <w:shd w:val="clear" w:color="auto" w:fill="CCEEFF"/>
            <w:tcMar>
              <w:top w:w="30" w:type="dxa"/>
              <w:left w:w="20" w:type="dxa"/>
              <w:bottom w:w="30" w:type="dxa"/>
              <w:right w:w="20" w:type="dxa"/>
            </w:tcMar>
            <w:vAlign w:val="center"/>
            <w:hideMark/>
          </w:tcPr>
          <w:p w14:paraId="30164FEE" w14:textId="77777777" w:rsidR="00000000" w:rsidRDefault="00405D16">
            <w:pPr>
              <w:spacing w:after="100"/>
              <w:rPr>
                <w:rFonts w:eastAsia="Times New Roman"/>
              </w:rPr>
            </w:pPr>
            <w:r>
              <w:rPr>
                <w:rFonts w:eastAsia="Times New Roman"/>
                <w:color w:val="000000"/>
                <w:sz w:val="18"/>
                <w:szCs w:val="18"/>
              </w:rPr>
              <w:t>Agency CMBS</w:t>
            </w:r>
          </w:p>
        </w:tc>
        <w:tc>
          <w:tcPr>
            <w:tcW w:w="0" w:type="auto"/>
            <w:gridSpan w:val="3"/>
            <w:shd w:val="clear" w:color="auto" w:fill="CCEEFF"/>
            <w:tcMar>
              <w:top w:w="0" w:type="dxa"/>
              <w:left w:w="20" w:type="dxa"/>
              <w:bottom w:w="0" w:type="dxa"/>
              <w:right w:w="20" w:type="dxa"/>
            </w:tcMar>
            <w:vAlign w:val="center"/>
            <w:hideMark/>
          </w:tcPr>
          <w:p w14:paraId="63051E92"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672C152" w14:textId="77777777" w:rsidR="00000000" w:rsidRDefault="00405D16">
            <w:pPr>
              <w:spacing w:after="100"/>
              <w:jc w:val="right"/>
              <w:rPr>
                <w:rFonts w:eastAsia="Times New Roman"/>
              </w:rPr>
            </w:pPr>
            <w:r>
              <w:rPr>
                <w:rFonts w:eastAsia="Times New Roman"/>
                <w:b/>
                <w:bCs/>
                <w:color w:val="000000"/>
                <w:sz w:val="18"/>
                <w:szCs w:val="18"/>
              </w:rPr>
              <w:t>9,973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B6F516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93153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DA0CFCB"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D50742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854BC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EB99119" w14:textId="77777777" w:rsidR="00000000" w:rsidRDefault="00405D16">
            <w:pPr>
              <w:spacing w:after="100"/>
              <w:jc w:val="right"/>
              <w:rPr>
                <w:rFonts w:eastAsia="Times New Roman"/>
              </w:rPr>
            </w:pPr>
            <w:r>
              <w:rPr>
                <w:rFonts w:eastAsia="Times New Roman"/>
                <w:b/>
                <w:bCs/>
                <w:color w:val="000000"/>
                <w:sz w:val="18"/>
                <w:szCs w:val="18"/>
              </w:rPr>
              <w:t>265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0004A9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398F6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93ECCB0" w14:textId="77777777" w:rsidR="00000000" w:rsidRDefault="00405D16">
            <w:pPr>
              <w:spacing w:after="100"/>
              <w:jc w:val="right"/>
              <w:rPr>
                <w:rFonts w:eastAsia="Times New Roman"/>
              </w:rPr>
            </w:pPr>
            <w:r>
              <w:rPr>
                <w:rFonts w:eastAsia="Times New Roman"/>
                <w:b/>
                <w:bCs/>
                <w:color w:val="000000"/>
                <w:sz w:val="18"/>
                <w:szCs w:val="18"/>
              </w:rPr>
              <w:t>(41)</w:t>
            </w:r>
          </w:p>
        </w:tc>
        <w:tc>
          <w:tcPr>
            <w:tcW w:w="0" w:type="auto"/>
            <w:shd w:val="clear" w:color="auto" w:fill="CCEEFF"/>
            <w:tcMar>
              <w:top w:w="30" w:type="dxa"/>
              <w:left w:w="0" w:type="dxa"/>
              <w:bottom w:w="30" w:type="dxa"/>
              <w:right w:w="20" w:type="dxa"/>
            </w:tcMar>
            <w:vAlign w:val="center"/>
            <w:hideMark/>
          </w:tcPr>
          <w:p w14:paraId="093F623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A7AF7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F047AF8" w14:textId="77777777" w:rsidR="00000000" w:rsidRDefault="00405D16">
            <w:pPr>
              <w:spacing w:after="100"/>
              <w:jc w:val="right"/>
              <w:rPr>
                <w:rFonts w:eastAsia="Times New Roman"/>
              </w:rPr>
            </w:pPr>
            <w:r>
              <w:rPr>
                <w:rFonts w:eastAsia="Times New Roman"/>
                <w:b/>
                <w:bCs/>
                <w:color w:val="000000"/>
                <w:sz w:val="18"/>
                <w:szCs w:val="18"/>
              </w:rPr>
              <w:t>10,197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9EE6226" w14:textId="77777777" w:rsidR="00000000" w:rsidRDefault="00405D16">
            <w:pPr>
              <w:spacing w:after="100"/>
              <w:jc w:val="right"/>
              <w:rPr>
                <w:rFonts w:eastAsia="Times New Roman"/>
              </w:rPr>
            </w:pPr>
          </w:p>
        </w:tc>
      </w:tr>
      <w:tr w:rsidR="00000000" w14:paraId="27139A74" w14:textId="77777777">
        <w:trPr>
          <w:divId w:val="1042092283"/>
        </w:trPr>
        <w:tc>
          <w:tcPr>
            <w:tcW w:w="0" w:type="auto"/>
            <w:gridSpan w:val="3"/>
            <w:shd w:val="clear" w:color="auto" w:fill="FFFFFF"/>
            <w:tcMar>
              <w:top w:w="30" w:type="dxa"/>
              <w:left w:w="20" w:type="dxa"/>
              <w:bottom w:w="30" w:type="dxa"/>
              <w:right w:w="20" w:type="dxa"/>
            </w:tcMar>
            <w:vAlign w:val="center"/>
            <w:hideMark/>
          </w:tcPr>
          <w:p w14:paraId="368DE4B5" w14:textId="77777777" w:rsidR="00000000" w:rsidRDefault="00405D16">
            <w:pPr>
              <w:spacing w:after="100"/>
              <w:divId w:val="939527433"/>
              <w:rPr>
                <w:rFonts w:eastAsia="Times New Roman"/>
              </w:rPr>
            </w:pPr>
            <w:r>
              <w:rPr>
                <w:rFonts w:eastAsia="Times New Roman"/>
                <w:color w:val="000000"/>
                <w:sz w:val="18"/>
                <w:szCs w:val="18"/>
              </w:rPr>
              <w:t>Other securitie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7C8BB251"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644C0F8" w14:textId="77777777" w:rsidR="00000000" w:rsidRDefault="00405D16">
            <w:pPr>
              <w:spacing w:after="100"/>
              <w:jc w:val="right"/>
              <w:rPr>
                <w:rFonts w:eastAsia="Times New Roman"/>
              </w:rPr>
            </w:pPr>
            <w:r>
              <w:rPr>
                <w:rFonts w:eastAsia="Times New Roman"/>
                <w:b/>
                <w:bCs/>
                <w:color w:val="000000"/>
                <w:sz w:val="18"/>
                <w:szCs w:val="18"/>
              </w:rPr>
              <w:t>3,154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6ABA12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52B58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D09E942"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046692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3E129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05C98AE" w14:textId="77777777" w:rsidR="00000000" w:rsidRDefault="00405D16">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B5A12E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9494B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419238A"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3754BD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EC11E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C76F892" w14:textId="77777777" w:rsidR="00000000" w:rsidRDefault="00405D16">
            <w:pPr>
              <w:spacing w:after="100"/>
              <w:jc w:val="right"/>
              <w:rPr>
                <w:rFonts w:eastAsia="Times New Roman"/>
              </w:rPr>
            </w:pPr>
            <w:r>
              <w:rPr>
                <w:rFonts w:eastAsia="Times New Roman"/>
                <w:b/>
                <w:bCs/>
                <w:color w:val="000000"/>
                <w:sz w:val="18"/>
                <w:szCs w:val="18"/>
              </w:rPr>
              <w:t>3,162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B2AE157" w14:textId="77777777" w:rsidR="00000000" w:rsidRDefault="00405D16">
            <w:pPr>
              <w:spacing w:after="100"/>
              <w:jc w:val="right"/>
              <w:rPr>
                <w:rFonts w:eastAsia="Times New Roman"/>
              </w:rPr>
            </w:pPr>
          </w:p>
        </w:tc>
      </w:tr>
      <w:tr w:rsidR="00000000" w14:paraId="2FB2F55C" w14:textId="77777777">
        <w:trPr>
          <w:divId w:val="1042092283"/>
        </w:trPr>
        <w:tc>
          <w:tcPr>
            <w:tcW w:w="0" w:type="auto"/>
            <w:gridSpan w:val="3"/>
            <w:shd w:val="clear" w:color="auto" w:fill="CCEEFF"/>
            <w:tcMar>
              <w:top w:w="30" w:type="dxa"/>
              <w:left w:w="20" w:type="dxa"/>
              <w:bottom w:w="30" w:type="dxa"/>
              <w:right w:w="20" w:type="dxa"/>
            </w:tcMar>
            <w:vAlign w:val="center"/>
            <w:hideMark/>
          </w:tcPr>
          <w:p w14:paraId="3619116F" w14:textId="77777777" w:rsidR="00000000" w:rsidRDefault="00405D16">
            <w:pPr>
              <w:spacing w:after="100"/>
              <w:rPr>
                <w:rFonts w:eastAsia="Times New Roman"/>
              </w:rPr>
            </w:pPr>
            <w:r>
              <w:rPr>
                <w:rFonts w:eastAsia="Times New Roman"/>
                <w:color w:val="000000"/>
                <w:sz w:val="18"/>
                <w:szCs w:val="18"/>
              </w:rPr>
              <w:t>Total investment securities available for sale</w:t>
            </w:r>
          </w:p>
        </w:tc>
        <w:tc>
          <w:tcPr>
            <w:tcW w:w="0" w:type="auto"/>
            <w:gridSpan w:val="3"/>
            <w:shd w:val="clear" w:color="auto" w:fill="CCEEFF"/>
            <w:tcMar>
              <w:top w:w="0" w:type="dxa"/>
              <w:left w:w="20" w:type="dxa"/>
              <w:bottom w:w="0" w:type="dxa"/>
              <w:right w:w="20" w:type="dxa"/>
            </w:tcMar>
            <w:vAlign w:val="center"/>
            <w:hideMark/>
          </w:tcPr>
          <w:p w14:paraId="7ABE9920"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D055D9A"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1E4DC3F" w14:textId="77777777" w:rsidR="00000000" w:rsidRDefault="00405D16">
            <w:pPr>
              <w:spacing w:after="100"/>
              <w:jc w:val="right"/>
              <w:rPr>
                <w:rFonts w:eastAsia="Times New Roman"/>
              </w:rPr>
            </w:pPr>
            <w:r>
              <w:rPr>
                <w:rFonts w:eastAsia="Times New Roman"/>
                <w:b/>
                <w:bCs/>
                <w:color w:val="000000"/>
                <w:sz w:val="18"/>
                <w:szCs w:val="18"/>
              </w:rPr>
              <w:t>96,989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3E24E1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DB26E5"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16FE4CE"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CA95C80" w14:textId="77777777" w:rsidR="00000000" w:rsidRDefault="00405D16">
            <w:pPr>
              <w:spacing w:after="100"/>
              <w:jc w:val="right"/>
              <w:rPr>
                <w:rFonts w:eastAsia="Times New Roman"/>
              </w:rPr>
            </w:pPr>
            <w:r>
              <w:rPr>
                <w:rFonts w:eastAsia="Times New Roman"/>
                <w:b/>
                <w:bCs/>
                <w:color w:val="000000"/>
                <w:sz w:val="18"/>
                <w:szCs w:val="18"/>
              </w:rPr>
              <w:t>(1)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84E4DA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06C202"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14DB099"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C7CD0AC" w14:textId="77777777" w:rsidR="00000000" w:rsidRDefault="00405D16">
            <w:pPr>
              <w:spacing w:after="100"/>
              <w:jc w:val="right"/>
              <w:rPr>
                <w:rFonts w:eastAsia="Times New Roman"/>
              </w:rPr>
            </w:pPr>
            <w:r>
              <w:rPr>
                <w:rFonts w:eastAsia="Times New Roman"/>
                <w:b/>
                <w:bCs/>
                <w:color w:val="000000"/>
                <w:sz w:val="18"/>
                <w:szCs w:val="18"/>
              </w:rPr>
              <w:t>1,819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B5E305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70B1D2"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962C50B"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D2E054C" w14:textId="77777777" w:rsidR="00000000" w:rsidRDefault="00405D16">
            <w:pPr>
              <w:spacing w:after="100"/>
              <w:jc w:val="right"/>
              <w:rPr>
                <w:rFonts w:eastAsia="Times New Roman"/>
              </w:rPr>
            </w:pPr>
            <w:r>
              <w:rPr>
                <w:rFonts w:eastAsia="Times New Roman"/>
                <w:b/>
                <w:bCs/>
                <w:color w:val="000000"/>
                <w:sz w:val="18"/>
                <w:szCs w:val="18"/>
              </w:rPr>
              <w:t>(658)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98E075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BC0FBD"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1B4808E"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4B49896" w14:textId="77777777" w:rsidR="00000000" w:rsidRDefault="00405D16">
            <w:pPr>
              <w:spacing w:after="100"/>
              <w:jc w:val="right"/>
              <w:rPr>
                <w:rFonts w:eastAsia="Times New Roman"/>
              </w:rPr>
            </w:pPr>
            <w:r>
              <w:rPr>
                <w:rFonts w:eastAsia="Times New Roman"/>
                <w:b/>
                <w:bCs/>
                <w:color w:val="000000"/>
                <w:sz w:val="18"/>
                <w:szCs w:val="18"/>
              </w:rPr>
              <w:t>98,149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F4E7387" w14:textId="77777777" w:rsidR="00000000" w:rsidRDefault="00405D16">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206"/>
        <w:gridCol w:w="144"/>
        <w:gridCol w:w="144"/>
        <w:gridCol w:w="144"/>
        <w:gridCol w:w="144"/>
        <w:gridCol w:w="144"/>
        <w:gridCol w:w="647"/>
        <w:gridCol w:w="144"/>
        <w:gridCol w:w="144"/>
        <w:gridCol w:w="144"/>
        <w:gridCol w:w="144"/>
        <w:gridCol w:w="144"/>
        <w:gridCol w:w="647"/>
        <w:gridCol w:w="144"/>
        <w:gridCol w:w="144"/>
        <w:gridCol w:w="144"/>
        <w:gridCol w:w="144"/>
        <w:gridCol w:w="144"/>
        <w:gridCol w:w="647"/>
        <w:gridCol w:w="144"/>
        <w:gridCol w:w="144"/>
        <w:gridCol w:w="144"/>
        <w:gridCol w:w="144"/>
        <w:gridCol w:w="144"/>
        <w:gridCol w:w="647"/>
        <w:gridCol w:w="144"/>
        <w:gridCol w:w="144"/>
        <w:gridCol w:w="144"/>
        <w:gridCol w:w="144"/>
        <w:gridCol w:w="144"/>
        <w:gridCol w:w="649"/>
        <w:gridCol w:w="144"/>
      </w:tblGrid>
      <w:tr w:rsidR="00000000" w14:paraId="281F0EC4" w14:textId="77777777">
        <w:tc>
          <w:tcPr>
            <w:tcW w:w="50" w:type="pct"/>
            <w:vAlign w:val="center"/>
            <w:hideMark/>
          </w:tcPr>
          <w:p w14:paraId="7F7B92E0" w14:textId="77777777" w:rsidR="00000000" w:rsidRDefault="00405D16">
            <w:pPr>
              <w:rPr>
                <w:rFonts w:eastAsia="Times New Roman"/>
              </w:rPr>
            </w:pPr>
          </w:p>
        </w:tc>
        <w:tc>
          <w:tcPr>
            <w:tcW w:w="2532" w:type="pct"/>
            <w:vAlign w:val="center"/>
            <w:hideMark/>
          </w:tcPr>
          <w:p w14:paraId="42BE8E04" w14:textId="77777777" w:rsidR="00000000" w:rsidRDefault="00405D16">
            <w:pPr>
              <w:spacing w:after="100"/>
              <w:rPr>
                <w:rFonts w:eastAsia="Times New Roman"/>
                <w:sz w:val="20"/>
                <w:szCs w:val="20"/>
              </w:rPr>
            </w:pPr>
          </w:p>
        </w:tc>
        <w:tc>
          <w:tcPr>
            <w:tcW w:w="5" w:type="pct"/>
            <w:vAlign w:val="center"/>
            <w:hideMark/>
          </w:tcPr>
          <w:p w14:paraId="235B05FF" w14:textId="77777777" w:rsidR="00000000" w:rsidRDefault="00405D16">
            <w:pPr>
              <w:spacing w:after="100"/>
              <w:rPr>
                <w:rFonts w:eastAsia="Times New Roman"/>
                <w:sz w:val="20"/>
                <w:szCs w:val="20"/>
              </w:rPr>
            </w:pPr>
          </w:p>
        </w:tc>
        <w:tc>
          <w:tcPr>
            <w:tcW w:w="5" w:type="pct"/>
            <w:vAlign w:val="center"/>
            <w:hideMark/>
          </w:tcPr>
          <w:p w14:paraId="7601D99B" w14:textId="77777777" w:rsidR="00000000" w:rsidRDefault="00405D16">
            <w:pPr>
              <w:spacing w:after="100"/>
              <w:rPr>
                <w:rFonts w:eastAsia="Times New Roman"/>
                <w:sz w:val="20"/>
                <w:szCs w:val="20"/>
              </w:rPr>
            </w:pPr>
          </w:p>
        </w:tc>
        <w:tc>
          <w:tcPr>
            <w:tcW w:w="26" w:type="pct"/>
            <w:vAlign w:val="center"/>
            <w:hideMark/>
          </w:tcPr>
          <w:p w14:paraId="40060492" w14:textId="77777777" w:rsidR="00000000" w:rsidRDefault="00405D16">
            <w:pPr>
              <w:spacing w:after="100"/>
              <w:rPr>
                <w:rFonts w:eastAsia="Times New Roman"/>
                <w:sz w:val="20"/>
                <w:szCs w:val="20"/>
              </w:rPr>
            </w:pPr>
          </w:p>
        </w:tc>
        <w:tc>
          <w:tcPr>
            <w:tcW w:w="5" w:type="pct"/>
            <w:vAlign w:val="center"/>
            <w:hideMark/>
          </w:tcPr>
          <w:p w14:paraId="41EA3938" w14:textId="77777777" w:rsidR="00000000" w:rsidRDefault="00405D16">
            <w:pPr>
              <w:spacing w:after="100"/>
              <w:rPr>
                <w:rFonts w:eastAsia="Times New Roman"/>
                <w:sz w:val="20"/>
                <w:szCs w:val="20"/>
              </w:rPr>
            </w:pPr>
          </w:p>
        </w:tc>
        <w:tc>
          <w:tcPr>
            <w:tcW w:w="50" w:type="pct"/>
            <w:vAlign w:val="center"/>
            <w:hideMark/>
          </w:tcPr>
          <w:p w14:paraId="51A1ED90" w14:textId="77777777" w:rsidR="00000000" w:rsidRDefault="00405D16">
            <w:pPr>
              <w:spacing w:after="100"/>
              <w:rPr>
                <w:rFonts w:eastAsia="Times New Roman"/>
                <w:sz w:val="20"/>
                <w:szCs w:val="20"/>
              </w:rPr>
            </w:pPr>
          </w:p>
        </w:tc>
        <w:tc>
          <w:tcPr>
            <w:tcW w:w="390" w:type="pct"/>
            <w:vAlign w:val="center"/>
            <w:hideMark/>
          </w:tcPr>
          <w:p w14:paraId="4C238D72" w14:textId="77777777" w:rsidR="00000000" w:rsidRDefault="00405D16">
            <w:pPr>
              <w:spacing w:after="100"/>
              <w:rPr>
                <w:rFonts w:eastAsia="Times New Roman"/>
                <w:sz w:val="20"/>
                <w:szCs w:val="20"/>
              </w:rPr>
            </w:pPr>
          </w:p>
        </w:tc>
        <w:tc>
          <w:tcPr>
            <w:tcW w:w="5" w:type="pct"/>
            <w:vAlign w:val="center"/>
            <w:hideMark/>
          </w:tcPr>
          <w:p w14:paraId="0AF629FB" w14:textId="77777777" w:rsidR="00000000" w:rsidRDefault="00405D16">
            <w:pPr>
              <w:spacing w:after="100"/>
              <w:rPr>
                <w:rFonts w:eastAsia="Times New Roman"/>
                <w:sz w:val="20"/>
                <w:szCs w:val="20"/>
              </w:rPr>
            </w:pPr>
          </w:p>
        </w:tc>
        <w:tc>
          <w:tcPr>
            <w:tcW w:w="5" w:type="pct"/>
            <w:vAlign w:val="center"/>
            <w:hideMark/>
          </w:tcPr>
          <w:p w14:paraId="20B53450" w14:textId="77777777" w:rsidR="00000000" w:rsidRDefault="00405D16">
            <w:pPr>
              <w:spacing w:after="100"/>
              <w:rPr>
                <w:rFonts w:eastAsia="Times New Roman"/>
                <w:sz w:val="20"/>
                <w:szCs w:val="20"/>
              </w:rPr>
            </w:pPr>
          </w:p>
        </w:tc>
        <w:tc>
          <w:tcPr>
            <w:tcW w:w="26" w:type="pct"/>
            <w:vAlign w:val="center"/>
            <w:hideMark/>
          </w:tcPr>
          <w:p w14:paraId="62A4A864" w14:textId="77777777" w:rsidR="00000000" w:rsidRDefault="00405D16">
            <w:pPr>
              <w:spacing w:after="100"/>
              <w:rPr>
                <w:rFonts w:eastAsia="Times New Roman"/>
                <w:sz w:val="20"/>
                <w:szCs w:val="20"/>
              </w:rPr>
            </w:pPr>
          </w:p>
        </w:tc>
        <w:tc>
          <w:tcPr>
            <w:tcW w:w="5" w:type="pct"/>
            <w:vAlign w:val="center"/>
            <w:hideMark/>
          </w:tcPr>
          <w:p w14:paraId="61DD0188" w14:textId="77777777" w:rsidR="00000000" w:rsidRDefault="00405D16">
            <w:pPr>
              <w:spacing w:after="100"/>
              <w:rPr>
                <w:rFonts w:eastAsia="Times New Roman"/>
                <w:sz w:val="20"/>
                <w:szCs w:val="20"/>
              </w:rPr>
            </w:pPr>
          </w:p>
        </w:tc>
        <w:tc>
          <w:tcPr>
            <w:tcW w:w="50" w:type="pct"/>
            <w:vAlign w:val="center"/>
            <w:hideMark/>
          </w:tcPr>
          <w:p w14:paraId="7690AC40" w14:textId="77777777" w:rsidR="00000000" w:rsidRDefault="00405D16">
            <w:pPr>
              <w:spacing w:after="100"/>
              <w:rPr>
                <w:rFonts w:eastAsia="Times New Roman"/>
                <w:sz w:val="20"/>
                <w:szCs w:val="20"/>
              </w:rPr>
            </w:pPr>
          </w:p>
        </w:tc>
        <w:tc>
          <w:tcPr>
            <w:tcW w:w="390" w:type="pct"/>
            <w:vAlign w:val="center"/>
            <w:hideMark/>
          </w:tcPr>
          <w:p w14:paraId="272CF808" w14:textId="77777777" w:rsidR="00000000" w:rsidRDefault="00405D16">
            <w:pPr>
              <w:spacing w:after="100"/>
              <w:rPr>
                <w:rFonts w:eastAsia="Times New Roman"/>
                <w:sz w:val="20"/>
                <w:szCs w:val="20"/>
              </w:rPr>
            </w:pPr>
          </w:p>
        </w:tc>
        <w:tc>
          <w:tcPr>
            <w:tcW w:w="5" w:type="pct"/>
            <w:vAlign w:val="center"/>
            <w:hideMark/>
          </w:tcPr>
          <w:p w14:paraId="03340A3A" w14:textId="77777777" w:rsidR="00000000" w:rsidRDefault="00405D16">
            <w:pPr>
              <w:spacing w:after="100"/>
              <w:rPr>
                <w:rFonts w:eastAsia="Times New Roman"/>
                <w:sz w:val="20"/>
                <w:szCs w:val="20"/>
              </w:rPr>
            </w:pPr>
          </w:p>
        </w:tc>
        <w:tc>
          <w:tcPr>
            <w:tcW w:w="5" w:type="pct"/>
            <w:vAlign w:val="center"/>
            <w:hideMark/>
          </w:tcPr>
          <w:p w14:paraId="7E78F2D6" w14:textId="77777777" w:rsidR="00000000" w:rsidRDefault="00405D16">
            <w:pPr>
              <w:spacing w:after="100"/>
              <w:rPr>
                <w:rFonts w:eastAsia="Times New Roman"/>
                <w:sz w:val="20"/>
                <w:szCs w:val="20"/>
              </w:rPr>
            </w:pPr>
          </w:p>
        </w:tc>
        <w:tc>
          <w:tcPr>
            <w:tcW w:w="26" w:type="pct"/>
            <w:vAlign w:val="center"/>
            <w:hideMark/>
          </w:tcPr>
          <w:p w14:paraId="0108FC8D" w14:textId="77777777" w:rsidR="00000000" w:rsidRDefault="00405D16">
            <w:pPr>
              <w:spacing w:after="100"/>
              <w:rPr>
                <w:rFonts w:eastAsia="Times New Roman"/>
                <w:sz w:val="20"/>
                <w:szCs w:val="20"/>
              </w:rPr>
            </w:pPr>
          </w:p>
        </w:tc>
        <w:tc>
          <w:tcPr>
            <w:tcW w:w="5" w:type="pct"/>
            <w:vAlign w:val="center"/>
            <w:hideMark/>
          </w:tcPr>
          <w:p w14:paraId="50CD5A8E" w14:textId="77777777" w:rsidR="00000000" w:rsidRDefault="00405D16">
            <w:pPr>
              <w:spacing w:after="100"/>
              <w:rPr>
                <w:rFonts w:eastAsia="Times New Roman"/>
                <w:sz w:val="20"/>
                <w:szCs w:val="20"/>
              </w:rPr>
            </w:pPr>
          </w:p>
        </w:tc>
        <w:tc>
          <w:tcPr>
            <w:tcW w:w="50" w:type="pct"/>
            <w:vAlign w:val="center"/>
            <w:hideMark/>
          </w:tcPr>
          <w:p w14:paraId="7117CF4D" w14:textId="77777777" w:rsidR="00000000" w:rsidRDefault="00405D16">
            <w:pPr>
              <w:spacing w:after="100"/>
              <w:rPr>
                <w:rFonts w:eastAsia="Times New Roman"/>
                <w:sz w:val="20"/>
                <w:szCs w:val="20"/>
              </w:rPr>
            </w:pPr>
          </w:p>
        </w:tc>
        <w:tc>
          <w:tcPr>
            <w:tcW w:w="390" w:type="pct"/>
            <w:vAlign w:val="center"/>
            <w:hideMark/>
          </w:tcPr>
          <w:p w14:paraId="3978C0D9" w14:textId="77777777" w:rsidR="00000000" w:rsidRDefault="00405D16">
            <w:pPr>
              <w:spacing w:after="100"/>
              <w:rPr>
                <w:rFonts w:eastAsia="Times New Roman"/>
                <w:sz w:val="20"/>
                <w:szCs w:val="20"/>
              </w:rPr>
            </w:pPr>
          </w:p>
        </w:tc>
        <w:tc>
          <w:tcPr>
            <w:tcW w:w="5" w:type="pct"/>
            <w:vAlign w:val="center"/>
            <w:hideMark/>
          </w:tcPr>
          <w:p w14:paraId="688B12AE" w14:textId="77777777" w:rsidR="00000000" w:rsidRDefault="00405D16">
            <w:pPr>
              <w:spacing w:after="100"/>
              <w:rPr>
                <w:rFonts w:eastAsia="Times New Roman"/>
                <w:sz w:val="20"/>
                <w:szCs w:val="20"/>
              </w:rPr>
            </w:pPr>
          </w:p>
        </w:tc>
        <w:tc>
          <w:tcPr>
            <w:tcW w:w="5" w:type="pct"/>
            <w:vAlign w:val="center"/>
            <w:hideMark/>
          </w:tcPr>
          <w:p w14:paraId="3A5892D9" w14:textId="77777777" w:rsidR="00000000" w:rsidRDefault="00405D16">
            <w:pPr>
              <w:spacing w:after="100"/>
              <w:rPr>
                <w:rFonts w:eastAsia="Times New Roman"/>
                <w:sz w:val="20"/>
                <w:szCs w:val="20"/>
              </w:rPr>
            </w:pPr>
          </w:p>
        </w:tc>
        <w:tc>
          <w:tcPr>
            <w:tcW w:w="26" w:type="pct"/>
            <w:vAlign w:val="center"/>
            <w:hideMark/>
          </w:tcPr>
          <w:p w14:paraId="73066F69" w14:textId="77777777" w:rsidR="00000000" w:rsidRDefault="00405D16">
            <w:pPr>
              <w:spacing w:after="100"/>
              <w:rPr>
                <w:rFonts w:eastAsia="Times New Roman"/>
                <w:sz w:val="20"/>
                <w:szCs w:val="20"/>
              </w:rPr>
            </w:pPr>
          </w:p>
        </w:tc>
        <w:tc>
          <w:tcPr>
            <w:tcW w:w="5" w:type="pct"/>
            <w:vAlign w:val="center"/>
            <w:hideMark/>
          </w:tcPr>
          <w:p w14:paraId="58ED1484" w14:textId="77777777" w:rsidR="00000000" w:rsidRDefault="00405D16">
            <w:pPr>
              <w:spacing w:after="100"/>
              <w:rPr>
                <w:rFonts w:eastAsia="Times New Roman"/>
                <w:sz w:val="20"/>
                <w:szCs w:val="20"/>
              </w:rPr>
            </w:pPr>
          </w:p>
        </w:tc>
        <w:tc>
          <w:tcPr>
            <w:tcW w:w="50" w:type="pct"/>
            <w:vAlign w:val="center"/>
            <w:hideMark/>
          </w:tcPr>
          <w:p w14:paraId="1A38F215" w14:textId="77777777" w:rsidR="00000000" w:rsidRDefault="00405D16">
            <w:pPr>
              <w:spacing w:after="100"/>
              <w:rPr>
                <w:rFonts w:eastAsia="Times New Roman"/>
                <w:sz w:val="20"/>
                <w:szCs w:val="20"/>
              </w:rPr>
            </w:pPr>
          </w:p>
        </w:tc>
        <w:tc>
          <w:tcPr>
            <w:tcW w:w="390" w:type="pct"/>
            <w:vAlign w:val="center"/>
            <w:hideMark/>
          </w:tcPr>
          <w:p w14:paraId="15ABD936" w14:textId="77777777" w:rsidR="00000000" w:rsidRDefault="00405D16">
            <w:pPr>
              <w:spacing w:after="100"/>
              <w:rPr>
                <w:rFonts w:eastAsia="Times New Roman"/>
                <w:sz w:val="20"/>
                <w:szCs w:val="20"/>
              </w:rPr>
            </w:pPr>
          </w:p>
        </w:tc>
        <w:tc>
          <w:tcPr>
            <w:tcW w:w="5" w:type="pct"/>
            <w:vAlign w:val="center"/>
            <w:hideMark/>
          </w:tcPr>
          <w:p w14:paraId="7CB8AE53" w14:textId="77777777" w:rsidR="00000000" w:rsidRDefault="00405D16">
            <w:pPr>
              <w:spacing w:after="100"/>
              <w:rPr>
                <w:rFonts w:eastAsia="Times New Roman"/>
                <w:sz w:val="20"/>
                <w:szCs w:val="20"/>
              </w:rPr>
            </w:pPr>
          </w:p>
        </w:tc>
        <w:tc>
          <w:tcPr>
            <w:tcW w:w="5" w:type="pct"/>
            <w:vAlign w:val="center"/>
            <w:hideMark/>
          </w:tcPr>
          <w:p w14:paraId="5404B1D1" w14:textId="77777777" w:rsidR="00000000" w:rsidRDefault="00405D16">
            <w:pPr>
              <w:spacing w:after="100"/>
              <w:rPr>
                <w:rFonts w:eastAsia="Times New Roman"/>
                <w:sz w:val="20"/>
                <w:szCs w:val="20"/>
              </w:rPr>
            </w:pPr>
          </w:p>
        </w:tc>
        <w:tc>
          <w:tcPr>
            <w:tcW w:w="26" w:type="pct"/>
            <w:vAlign w:val="center"/>
            <w:hideMark/>
          </w:tcPr>
          <w:p w14:paraId="53268EF1" w14:textId="77777777" w:rsidR="00000000" w:rsidRDefault="00405D16">
            <w:pPr>
              <w:spacing w:after="100"/>
              <w:rPr>
                <w:rFonts w:eastAsia="Times New Roman"/>
                <w:sz w:val="20"/>
                <w:szCs w:val="20"/>
              </w:rPr>
            </w:pPr>
          </w:p>
        </w:tc>
        <w:tc>
          <w:tcPr>
            <w:tcW w:w="5" w:type="pct"/>
            <w:vAlign w:val="center"/>
            <w:hideMark/>
          </w:tcPr>
          <w:p w14:paraId="0946A299" w14:textId="77777777" w:rsidR="00000000" w:rsidRDefault="00405D16">
            <w:pPr>
              <w:spacing w:after="100"/>
              <w:rPr>
                <w:rFonts w:eastAsia="Times New Roman"/>
                <w:sz w:val="20"/>
                <w:szCs w:val="20"/>
              </w:rPr>
            </w:pPr>
          </w:p>
        </w:tc>
        <w:tc>
          <w:tcPr>
            <w:tcW w:w="50" w:type="pct"/>
            <w:vAlign w:val="center"/>
            <w:hideMark/>
          </w:tcPr>
          <w:p w14:paraId="75D88266" w14:textId="77777777" w:rsidR="00000000" w:rsidRDefault="00405D16">
            <w:pPr>
              <w:spacing w:after="100"/>
              <w:rPr>
                <w:rFonts w:eastAsia="Times New Roman"/>
                <w:sz w:val="20"/>
                <w:szCs w:val="20"/>
              </w:rPr>
            </w:pPr>
          </w:p>
        </w:tc>
        <w:tc>
          <w:tcPr>
            <w:tcW w:w="391" w:type="pct"/>
            <w:vAlign w:val="center"/>
            <w:hideMark/>
          </w:tcPr>
          <w:p w14:paraId="0E0F7373" w14:textId="77777777" w:rsidR="00000000" w:rsidRDefault="00405D16">
            <w:pPr>
              <w:spacing w:after="100"/>
              <w:rPr>
                <w:rFonts w:eastAsia="Times New Roman"/>
                <w:sz w:val="20"/>
                <w:szCs w:val="20"/>
              </w:rPr>
            </w:pPr>
          </w:p>
        </w:tc>
        <w:tc>
          <w:tcPr>
            <w:tcW w:w="5" w:type="pct"/>
            <w:vAlign w:val="center"/>
            <w:hideMark/>
          </w:tcPr>
          <w:p w14:paraId="01CCC7F1" w14:textId="77777777" w:rsidR="00000000" w:rsidRDefault="00405D16">
            <w:pPr>
              <w:spacing w:after="100"/>
              <w:rPr>
                <w:rFonts w:eastAsia="Times New Roman"/>
                <w:sz w:val="20"/>
                <w:szCs w:val="20"/>
              </w:rPr>
            </w:pPr>
          </w:p>
        </w:tc>
      </w:tr>
      <w:tr w:rsidR="00000000" w14:paraId="3B9D1589" w14:textId="77777777">
        <w:tc>
          <w:tcPr>
            <w:tcW w:w="0" w:type="auto"/>
            <w:gridSpan w:val="3"/>
            <w:tcMar>
              <w:top w:w="30" w:type="dxa"/>
              <w:left w:w="20" w:type="dxa"/>
              <w:bottom w:w="30" w:type="dxa"/>
              <w:right w:w="20" w:type="dxa"/>
            </w:tcMar>
            <w:vAlign w:val="bottom"/>
            <w:hideMark/>
          </w:tcPr>
          <w:p w14:paraId="4A86411C"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1B7C99BA" w14:textId="77777777" w:rsidR="00000000" w:rsidRDefault="00405D16">
            <w:pPr>
              <w:spacing w:after="100"/>
              <w:rPr>
                <w:rFonts w:eastAsia="Times New Roman"/>
              </w:rPr>
            </w:pPr>
          </w:p>
        </w:tc>
        <w:tc>
          <w:tcPr>
            <w:tcW w:w="0" w:type="auto"/>
            <w:gridSpan w:val="27"/>
            <w:tcMar>
              <w:top w:w="30" w:type="dxa"/>
              <w:left w:w="20" w:type="dxa"/>
              <w:bottom w:w="30" w:type="dxa"/>
              <w:right w:w="20" w:type="dxa"/>
            </w:tcMar>
            <w:vAlign w:val="bottom"/>
            <w:hideMark/>
          </w:tcPr>
          <w:p w14:paraId="16224426" w14:textId="77777777" w:rsidR="00000000" w:rsidRDefault="00405D16">
            <w:pPr>
              <w:spacing w:after="100"/>
              <w:jc w:val="center"/>
              <w:rPr>
                <w:rFonts w:eastAsia="Times New Roman"/>
              </w:rPr>
            </w:pPr>
            <w:r>
              <w:rPr>
                <w:rFonts w:eastAsia="Times New Roman"/>
                <w:b/>
                <w:bCs/>
                <w:color w:val="000000"/>
                <w:sz w:val="16"/>
                <w:szCs w:val="16"/>
              </w:rPr>
              <w:t>December 31, 2020</w:t>
            </w:r>
          </w:p>
        </w:tc>
      </w:tr>
      <w:tr w:rsidR="00000000" w14:paraId="10DA50FE" w14:textId="77777777">
        <w:tc>
          <w:tcPr>
            <w:tcW w:w="0" w:type="auto"/>
            <w:gridSpan w:val="3"/>
            <w:tcMar>
              <w:top w:w="30" w:type="dxa"/>
              <w:left w:w="20" w:type="dxa"/>
              <w:bottom w:w="30" w:type="dxa"/>
              <w:right w:w="20" w:type="dxa"/>
            </w:tcMar>
            <w:vAlign w:val="bottom"/>
            <w:hideMark/>
          </w:tcPr>
          <w:p w14:paraId="144FF74C"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5ACEDFDF"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D6F4FDE" w14:textId="77777777" w:rsidR="00000000" w:rsidRDefault="00405D16">
            <w:pPr>
              <w:spacing w:after="100"/>
              <w:jc w:val="center"/>
              <w:rPr>
                <w:rFonts w:eastAsia="Times New Roman"/>
              </w:rPr>
            </w:pPr>
            <w:r>
              <w:rPr>
                <w:rFonts w:eastAsia="Times New Roman"/>
                <w:b/>
                <w:bCs/>
                <w:color w:val="000000"/>
                <w:sz w:val="16"/>
                <w:szCs w:val="16"/>
              </w:rPr>
              <w:t>Amortized</w:t>
            </w:r>
            <w:r>
              <w:rPr>
                <w:rFonts w:eastAsia="Times New Roman"/>
                <w:b/>
                <w:bCs/>
                <w:color w:val="00000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14:paraId="4257DA08"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F542B57" w14:textId="77777777" w:rsidR="00000000" w:rsidRDefault="00405D16">
            <w:pPr>
              <w:spacing w:after="100"/>
              <w:jc w:val="center"/>
              <w:rPr>
                <w:rFonts w:eastAsia="Times New Roman"/>
              </w:rPr>
            </w:pPr>
            <w:r>
              <w:rPr>
                <w:rFonts w:eastAsia="Times New Roman"/>
                <w:b/>
                <w:bCs/>
                <w:color w:val="000000"/>
                <w:sz w:val="16"/>
                <w:szCs w:val="16"/>
              </w:rPr>
              <w:t>Allowance</w:t>
            </w:r>
            <w:r>
              <w:rPr>
                <w:rFonts w:eastAsia="Times New Roman"/>
                <w:b/>
                <w:bCs/>
                <w:color w:val="000000"/>
                <w:sz w:val="16"/>
                <w:szCs w:val="16"/>
              </w:rPr>
              <w:br/>
              <w:t> for Credit</w:t>
            </w:r>
            <w:r>
              <w:rPr>
                <w:rFonts w:eastAsia="Times New Roman"/>
                <w:b/>
                <w:bCs/>
                <w:color w:val="000000"/>
                <w:sz w:val="16"/>
                <w:szCs w:val="16"/>
              </w:rPr>
              <w:br/>
              <w:t> Losses</w:t>
            </w:r>
          </w:p>
        </w:tc>
        <w:tc>
          <w:tcPr>
            <w:tcW w:w="0" w:type="auto"/>
            <w:gridSpan w:val="3"/>
            <w:tcBorders>
              <w:top w:val="single" w:sz="8" w:space="0" w:color="000000"/>
            </w:tcBorders>
            <w:tcMar>
              <w:top w:w="0" w:type="dxa"/>
              <w:left w:w="20" w:type="dxa"/>
              <w:bottom w:w="0" w:type="dxa"/>
              <w:right w:w="20" w:type="dxa"/>
            </w:tcMar>
            <w:vAlign w:val="center"/>
            <w:hideMark/>
          </w:tcPr>
          <w:p w14:paraId="1B0F788E"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B90B228" w14:textId="77777777" w:rsidR="00000000" w:rsidRDefault="00405D16">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Gains</w:t>
            </w:r>
          </w:p>
        </w:tc>
        <w:tc>
          <w:tcPr>
            <w:tcW w:w="0" w:type="auto"/>
            <w:gridSpan w:val="3"/>
            <w:tcBorders>
              <w:top w:val="single" w:sz="8" w:space="0" w:color="000000"/>
            </w:tcBorders>
            <w:tcMar>
              <w:top w:w="0" w:type="dxa"/>
              <w:left w:w="20" w:type="dxa"/>
              <w:bottom w:w="0" w:type="dxa"/>
              <w:right w:w="20" w:type="dxa"/>
            </w:tcMar>
            <w:vAlign w:val="center"/>
            <w:hideMark/>
          </w:tcPr>
          <w:p w14:paraId="390F88D1"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4007D10" w14:textId="77777777" w:rsidR="00000000" w:rsidRDefault="00405D16">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Borders>
              <w:top w:val="single" w:sz="8" w:space="0" w:color="000000"/>
            </w:tcBorders>
            <w:tcMar>
              <w:top w:w="0" w:type="dxa"/>
              <w:left w:w="20" w:type="dxa"/>
              <w:bottom w:w="0" w:type="dxa"/>
              <w:right w:w="20" w:type="dxa"/>
            </w:tcMar>
            <w:vAlign w:val="center"/>
            <w:hideMark/>
          </w:tcPr>
          <w:p w14:paraId="41CA9F10"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544F0E5" w14:textId="77777777" w:rsidR="00000000" w:rsidRDefault="00405D16">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r>
      <w:tr w:rsidR="00000000" w14:paraId="3C7D300D" w14:textId="7777777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261E4E9" w14:textId="77777777" w:rsidR="00000000" w:rsidRDefault="00405D16">
            <w:pPr>
              <w:spacing w:after="100"/>
              <w:rPr>
                <w:rFonts w:eastAsia="Times New Roman"/>
              </w:rPr>
            </w:pPr>
            <w:r>
              <w:rPr>
                <w:rFonts w:eastAsia="Times New Roman"/>
                <w:b/>
                <w:bCs/>
                <w:color w:val="000000"/>
                <w:sz w:val="18"/>
                <w:szCs w:val="18"/>
              </w:rPr>
              <w:t>Investment securities available for sale:</w:t>
            </w:r>
          </w:p>
        </w:tc>
        <w:tc>
          <w:tcPr>
            <w:tcW w:w="0" w:type="auto"/>
            <w:gridSpan w:val="3"/>
            <w:shd w:val="clear" w:color="auto" w:fill="CCEEFF"/>
            <w:tcMar>
              <w:top w:w="0" w:type="dxa"/>
              <w:left w:w="20" w:type="dxa"/>
              <w:bottom w:w="0" w:type="dxa"/>
              <w:right w:w="20" w:type="dxa"/>
            </w:tcMar>
            <w:vAlign w:val="center"/>
            <w:hideMark/>
          </w:tcPr>
          <w:p w14:paraId="209780CF"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F35479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081CC8"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45160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6AB732"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E03034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A0CBD4"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7B8371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274F19"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C121359" w14:textId="77777777" w:rsidR="00000000" w:rsidRDefault="00405D16">
            <w:pPr>
              <w:spacing w:after="100"/>
              <w:rPr>
                <w:rFonts w:eastAsia="Times New Roman"/>
                <w:sz w:val="20"/>
                <w:szCs w:val="20"/>
              </w:rPr>
            </w:pPr>
          </w:p>
        </w:tc>
      </w:tr>
      <w:tr w:rsidR="00000000" w14:paraId="1F0B3163" w14:textId="77777777">
        <w:tc>
          <w:tcPr>
            <w:tcW w:w="0" w:type="auto"/>
            <w:gridSpan w:val="3"/>
            <w:shd w:val="clear" w:color="auto" w:fill="FFFFFF"/>
            <w:tcMar>
              <w:top w:w="30" w:type="dxa"/>
              <w:left w:w="20" w:type="dxa"/>
              <w:bottom w:w="30" w:type="dxa"/>
              <w:right w:w="20" w:type="dxa"/>
            </w:tcMar>
            <w:vAlign w:val="center"/>
            <w:hideMark/>
          </w:tcPr>
          <w:p w14:paraId="29A92530" w14:textId="77777777" w:rsidR="00000000" w:rsidRDefault="00405D16">
            <w:pPr>
              <w:spacing w:after="100"/>
              <w:rPr>
                <w:rFonts w:eastAsia="Times New Roman"/>
              </w:rPr>
            </w:pPr>
            <w:r>
              <w:rPr>
                <w:rFonts w:eastAsia="Times New Roman"/>
                <w:color w:val="000000"/>
                <w:sz w:val="18"/>
                <w:szCs w:val="18"/>
              </w:rPr>
              <w:t>U.S. Treasury securities</w:t>
            </w:r>
          </w:p>
        </w:tc>
        <w:tc>
          <w:tcPr>
            <w:tcW w:w="0" w:type="auto"/>
            <w:gridSpan w:val="3"/>
            <w:shd w:val="clear" w:color="auto" w:fill="FFFFFF"/>
            <w:tcMar>
              <w:top w:w="0" w:type="dxa"/>
              <w:left w:w="20" w:type="dxa"/>
              <w:bottom w:w="0" w:type="dxa"/>
              <w:right w:w="20" w:type="dxa"/>
            </w:tcMar>
            <w:vAlign w:val="center"/>
            <w:hideMark/>
          </w:tcPr>
          <w:p w14:paraId="59045A55"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170A5C0D"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037A2B27" w14:textId="77777777" w:rsidR="00000000" w:rsidRDefault="00405D16">
            <w:pPr>
              <w:spacing w:after="100"/>
              <w:jc w:val="right"/>
              <w:rPr>
                <w:rFonts w:eastAsia="Times New Roman"/>
              </w:rPr>
            </w:pPr>
            <w:r>
              <w:rPr>
                <w:rFonts w:eastAsia="Times New Roman"/>
                <w:color w:val="000000"/>
                <w:sz w:val="18"/>
                <w:szCs w:val="18"/>
              </w:rPr>
              <w:t>9,302 </w:t>
            </w:r>
          </w:p>
        </w:tc>
        <w:tc>
          <w:tcPr>
            <w:tcW w:w="0" w:type="auto"/>
            <w:shd w:val="clear" w:color="auto" w:fill="FFFFFF"/>
            <w:tcMar>
              <w:top w:w="30" w:type="dxa"/>
              <w:left w:w="0" w:type="dxa"/>
              <w:bottom w:w="30" w:type="dxa"/>
              <w:right w:w="20" w:type="dxa"/>
            </w:tcMar>
            <w:vAlign w:val="center"/>
            <w:hideMark/>
          </w:tcPr>
          <w:p w14:paraId="00D6352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C13B82"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414C21E"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5B67E0B6"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3B24864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3F20D1"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7DAA40E"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09D4746C" w14:textId="77777777" w:rsidR="00000000" w:rsidRDefault="00405D16">
            <w:pPr>
              <w:spacing w:after="100"/>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center"/>
            <w:hideMark/>
          </w:tcPr>
          <w:p w14:paraId="36831AB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A4C342"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1E3A094"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4494334B"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0480A2E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F57B63"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58B6326"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0F678F03" w14:textId="77777777" w:rsidR="00000000" w:rsidRDefault="00405D16">
            <w:pPr>
              <w:spacing w:after="100"/>
              <w:jc w:val="right"/>
              <w:rPr>
                <w:rFonts w:eastAsia="Times New Roman"/>
              </w:rPr>
            </w:pPr>
            <w:r>
              <w:rPr>
                <w:rFonts w:eastAsia="Times New Roman"/>
                <w:color w:val="000000"/>
                <w:sz w:val="18"/>
                <w:szCs w:val="18"/>
              </w:rPr>
              <w:t>9,318 </w:t>
            </w:r>
          </w:p>
        </w:tc>
        <w:tc>
          <w:tcPr>
            <w:tcW w:w="0" w:type="auto"/>
            <w:shd w:val="clear" w:color="auto" w:fill="FFFFFF"/>
            <w:tcMar>
              <w:top w:w="30" w:type="dxa"/>
              <w:left w:w="0" w:type="dxa"/>
              <w:bottom w:w="30" w:type="dxa"/>
              <w:right w:w="20" w:type="dxa"/>
            </w:tcMar>
            <w:vAlign w:val="center"/>
            <w:hideMark/>
          </w:tcPr>
          <w:p w14:paraId="12E61047" w14:textId="77777777" w:rsidR="00000000" w:rsidRDefault="00405D16">
            <w:pPr>
              <w:spacing w:after="100"/>
              <w:jc w:val="right"/>
              <w:rPr>
                <w:rFonts w:eastAsia="Times New Roman"/>
              </w:rPr>
            </w:pPr>
          </w:p>
        </w:tc>
      </w:tr>
      <w:tr w:rsidR="00000000" w14:paraId="03D6BF05" w14:textId="77777777">
        <w:tc>
          <w:tcPr>
            <w:tcW w:w="0" w:type="auto"/>
            <w:gridSpan w:val="3"/>
            <w:shd w:val="clear" w:color="auto" w:fill="CCEEFF"/>
            <w:tcMar>
              <w:top w:w="30" w:type="dxa"/>
              <w:left w:w="20" w:type="dxa"/>
              <w:bottom w:w="30" w:type="dxa"/>
              <w:right w:w="20" w:type="dxa"/>
            </w:tcMar>
            <w:vAlign w:val="center"/>
            <w:hideMark/>
          </w:tcPr>
          <w:p w14:paraId="0B726248" w14:textId="77777777" w:rsidR="00000000" w:rsidRDefault="00405D16">
            <w:pPr>
              <w:spacing w:after="100"/>
              <w:rPr>
                <w:rFonts w:eastAsia="Times New Roman"/>
              </w:rPr>
            </w:pPr>
            <w:r>
              <w:rPr>
                <w:rFonts w:eastAsia="Times New Roman"/>
                <w:color w:val="000000"/>
                <w:sz w:val="18"/>
                <w:szCs w:val="18"/>
              </w:rPr>
              <w:t>RMBS:</w:t>
            </w:r>
          </w:p>
        </w:tc>
        <w:tc>
          <w:tcPr>
            <w:tcW w:w="0" w:type="auto"/>
            <w:gridSpan w:val="3"/>
            <w:shd w:val="clear" w:color="auto" w:fill="CCEEFF"/>
            <w:tcMar>
              <w:top w:w="0" w:type="dxa"/>
              <w:left w:w="20" w:type="dxa"/>
              <w:bottom w:w="0" w:type="dxa"/>
              <w:right w:w="20" w:type="dxa"/>
            </w:tcMar>
            <w:vAlign w:val="center"/>
            <w:hideMark/>
          </w:tcPr>
          <w:p w14:paraId="3E312A4A"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30335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2DB3D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59446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A202A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4C955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09E7D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0F4C9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F9120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351E44" w14:textId="77777777" w:rsidR="00000000" w:rsidRDefault="00405D16">
            <w:pPr>
              <w:spacing w:after="100"/>
              <w:rPr>
                <w:rFonts w:eastAsia="Times New Roman"/>
                <w:sz w:val="20"/>
                <w:szCs w:val="20"/>
              </w:rPr>
            </w:pPr>
          </w:p>
        </w:tc>
      </w:tr>
      <w:tr w:rsidR="00000000" w14:paraId="5EC81630" w14:textId="77777777">
        <w:tc>
          <w:tcPr>
            <w:tcW w:w="0" w:type="auto"/>
            <w:gridSpan w:val="3"/>
            <w:shd w:val="clear" w:color="auto" w:fill="FFFFFF"/>
            <w:tcMar>
              <w:top w:w="30" w:type="dxa"/>
              <w:left w:w="245" w:type="dxa"/>
              <w:bottom w:w="30" w:type="dxa"/>
              <w:right w:w="20" w:type="dxa"/>
            </w:tcMar>
            <w:vAlign w:val="center"/>
            <w:hideMark/>
          </w:tcPr>
          <w:p w14:paraId="606ACBA7" w14:textId="77777777" w:rsidR="00000000" w:rsidRDefault="00405D16">
            <w:pPr>
              <w:spacing w:after="100"/>
              <w:rPr>
                <w:rFonts w:eastAsia="Times New Roman"/>
              </w:rPr>
            </w:pPr>
            <w:r>
              <w:rPr>
                <w:rFonts w:eastAsia="Times New Roman"/>
                <w:color w:val="000000"/>
                <w:sz w:val="18"/>
                <w:szCs w:val="18"/>
              </w:rPr>
              <w:t>Agency</w:t>
            </w:r>
          </w:p>
        </w:tc>
        <w:tc>
          <w:tcPr>
            <w:tcW w:w="0" w:type="auto"/>
            <w:gridSpan w:val="3"/>
            <w:shd w:val="clear" w:color="auto" w:fill="FFFFFF"/>
            <w:tcMar>
              <w:top w:w="0" w:type="dxa"/>
              <w:left w:w="20" w:type="dxa"/>
              <w:bottom w:w="0" w:type="dxa"/>
              <w:right w:w="20" w:type="dxa"/>
            </w:tcMar>
            <w:vAlign w:val="center"/>
            <w:hideMark/>
          </w:tcPr>
          <w:p w14:paraId="7C139F47"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7D2704A" w14:textId="77777777" w:rsidR="00000000" w:rsidRDefault="00405D16">
            <w:pPr>
              <w:spacing w:after="100"/>
              <w:jc w:val="right"/>
              <w:rPr>
                <w:rFonts w:eastAsia="Times New Roman"/>
              </w:rPr>
            </w:pPr>
            <w:r>
              <w:rPr>
                <w:rFonts w:eastAsia="Times New Roman"/>
                <w:color w:val="000000"/>
                <w:sz w:val="18"/>
                <w:szCs w:val="18"/>
              </w:rPr>
              <w:t>73,248 </w:t>
            </w:r>
          </w:p>
        </w:tc>
        <w:tc>
          <w:tcPr>
            <w:tcW w:w="0" w:type="auto"/>
            <w:shd w:val="clear" w:color="auto" w:fill="FFFFFF"/>
            <w:tcMar>
              <w:top w:w="30" w:type="dxa"/>
              <w:left w:w="0" w:type="dxa"/>
              <w:bottom w:w="30" w:type="dxa"/>
              <w:right w:w="20" w:type="dxa"/>
            </w:tcMar>
            <w:vAlign w:val="center"/>
            <w:hideMark/>
          </w:tcPr>
          <w:p w14:paraId="7F2A865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70D86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D2AB9C5"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3B255F9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D0A6A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6953D9E" w14:textId="77777777" w:rsidR="00000000" w:rsidRDefault="00405D16">
            <w:pPr>
              <w:spacing w:after="100"/>
              <w:jc w:val="right"/>
              <w:rPr>
                <w:rFonts w:eastAsia="Times New Roman"/>
              </w:rPr>
            </w:pPr>
            <w:r>
              <w:rPr>
                <w:rFonts w:eastAsia="Times New Roman"/>
                <w:color w:val="000000"/>
                <w:sz w:val="18"/>
                <w:szCs w:val="18"/>
              </w:rPr>
              <w:t>2,326 </w:t>
            </w:r>
          </w:p>
        </w:tc>
        <w:tc>
          <w:tcPr>
            <w:tcW w:w="0" w:type="auto"/>
            <w:shd w:val="clear" w:color="auto" w:fill="FFFFFF"/>
            <w:tcMar>
              <w:top w:w="30" w:type="dxa"/>
              <w:left w:w="0" w:type="dxa"/>
              <w:bottom w:w="30" w:type="dxa"/>
              <w:right w:w="20" w:type="dxa"/>
            </w:tcMar>
            <w:vAlign w:val="center"/>
            <w:hideMark/>
          </w:tcPr>
          <w:p w14:paraId="766982A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C7347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D347866" w14:textId="77777777" w:rsidR="00000000" w:rsidRDefault="00405D16">
            <w:pPr>
              <w:spacing w:after="100"/>
              <w:jc w:val="right"/>
              <w:rPr>
                <w:rFonts w:eastAsia="Times New Roman"/>
              </w:rPr>
            </w:pPr>
            <w:r>
              <w:rPr>
                <w:rFonts w:eastAsia="Times New Roman"/>
                <w:color w:val="000000"/>
                <w:sz w:val="18"/>
                <w:szCs w:val="18"/>
              </w:rPr>
              <w:t>(108)</w:t>
            </w:r>
          </w:p>
        </w:tc>
        <w:tc>
          <w:tcPr>
            <w:tcW w:w="0" w:type="auto"/>
            <w:shd w:val="clear" w:color="auto" w:fill="FFFFFF"/>
            <w:tcMar>
              <w:top w:w="30" w:type="dxa"/>
              <w:left w:w="0" w:type="dxa"/>
              <w:bottom w:w="30" w:type="dxa"/>
              <w:right w:w="20" w:type="dxa"/>
            </w:tcMar>
            <w:vAlign w:val="center"/>
            <w:hideMark/>
          </w:tcPr>
          <w:p w14:paraId="00FB994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330EE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4D0A2C4" w14:textId="77777777" w:rsidR="00000000" w:rsidRDefault="00405D16">
            <w:pPr>
              <w:spacing w:after="100"/>
              <w:jc w:val="right"/>
              <w:rPr>
                <w:rFonts w:eastAsia="Times New Roman"/>
              </w:rPr>
            </w:pPr>
            <w:r>
              <w:rPr>
                <w:rFonts w:eastAsia="Times New Roman"/>
                <w:color w:val="000000"/>
                <w:sz w:val="18"/>
                <w:szCs w:val="18"/>
              </w:rPr>
              <w:t>75,466 </w:t>
            </w:r>
          </w:p>
        </w:tc>
        <w:tc>
          <w:tcPr>
            <w:tcW w:w="0" w:type="auto"/>
            <w:shd w:val="clear" w:color="auto" w:fill="FFFFFF"/>
            <w:tcMar>
              <w:top w:w="30" w:type="dxa"/>
              <w:left w:w="0" w:type="dxa"/>
              <w:bottom w:w="30" w:type="dxa"/>
              <w:right w:w="20" w:type="dxa"/>
            </w:tcMar>
            <w:vAlign w:val="center"/>
            <w:hideMark/>
          </w:tcPr>
          <w:p w14:paraId="03012A80" w14:textId="77777777" w:rsidR="00000000" w:rsidRDefault="00405D16">
            <w:pPr>
              <w:spacing w:after="100"/>
              <w:jc w:val="right"/>
              <w:rPr>
                <w:rFonts w:eastAsia="Times New Roman"/>
              </w:rPr>
            </w:pPr>
          </w:p>
        </w:tc>
      </w:tr>
      <w:tr w:rsidR="00000000" w14:paraId="10457059" w14:textId="77777777">
        <w:tc>
          <w:tcPr>
            <w:tcW w:w="0" w:type="auto"/>
            <w:gridSpan w:val="3"/>
            <w:shd w:val="clear" w:color="auto" w:fill="CCEEFF"/>
            <w:tcMar>
              <w:top w:w="30" w:type="dxa"/>
              <w:left w:w="245" w:type="dxa"/>
              <w:bottom w:w="30" w:type="dxa"/>
              <w:right w:w="20" w:type="dxa"/>
            </w:tcMar>
            <w:vAlign w:val="center"/>
            <w:hideMark/>
          </w:tcPr>
          <w:p w14:paraId="3D08174A" w14:textId="77777777" w:rsidR="00000000" w:rsidRDefault="00405D16">
            <w:pPr>
              <w:spacing w:after="100"/>
              <w:rPr>
                <w:rFonts w:eastAsia="Times New Roman"/>
              </w:rPr>
            </w:pPr>
            <w:r>
              <w:rPr>
                <w:rFonts w:eastAsia="Times New Roman"/>
                <w:color w:val="000000"/>
                <w:sz w:val="18"/>
                <w:szCs w:val="18"/>
              </w:rPr>
              <w:t>Non-agency</w:t>
            </w:r>
          </w:p>
        </w:tc>
        <w:tc>
          <w:tcPr>
            <w:tcW w:w="0" w:type="auto"/>
            <w:gridSpan w:val="3"/>
            <w:shd w:val="clear" w:color="auto" w:fill="CCEEFF"/>
            <w:tcMar>
              <w:top w:w="0" w:type="dxa"/>
              <w:left w:w="20" w:type="dxa"/>
              <w:bottom w:w="0" w:type="dxa"/>
              <w:right w:w="20" w:type="dxa"/>
            </w:tcMar>
            <w:vAlign w:val="center"/>
            <w:hideMark/>
          </w:tcPr>
          <w:p w14:paraId="7A725948"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FD81279" w14:textId="77777777" w:rsidR="00000000" w:rsidRDefault="00405D16">
            <w:pPr>
              <w:spacing w:after="100"/>
              <w:jc w:val="right"/>
              <w:rPr>
                <w:rFonts w:eastAsia="Times New Roman"/>
              </w:rPr>
            </w:pPr>
            <w:r>
              <w:rPr>
                <w:rFonts w:eastAsia="Times New Roman"/>
                <w:color w:val="000000"/>
                <w:sz w:val="18"/>
                <w:szCs w:val="18"/>
              </w:rPr>
              <w:t>1,035 </w:t>
            </w:r>
          </w:p>
        </w:tc>
        <w:tc>
          <w:tcPr>
            <w:tcW w:w="0" w:type="auto"/>
            <w:shd w:val="clear" w:color="auto" w:fill="CCEEFF"/>
            <w:tcMar>
              <w:top w:w="30" w:type="dxa"/>
              <w:left w:w="0" w:type="dxa"/>
              <w:bottom w:w="30" w:type="dxa"/>
              <w:right w:w="20" w:type="dxa"/>
            </w:tcMar>
            <w:vAlign w:val="center"/>
            <w:hideMark/>
          </w:tcPr>
          <w:p w14:paraId="6F49746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03D2C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DBA3F8F" w14:textId="77777777" w:rsidR="00000000" w:rsidRDefault="00405D16">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center"/>
            <w:hideMark/>
          </w:tcPr>
          <w:p w14:paraId="4D25495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7C244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7890ADD" w14:textId="77777777" w:rsidR="00000000" w:rsidRDefault="00405D16">
            <w:pPr>
              <w:spacing w:after="100"/>
              <w:jc w:val="right"/>
              <w:rPr>
                <w:rFonts w:eastAsia="Times New Roman"/>
              </w:rPr>
            </w:pPr>
            <w:r>
              <w:rPr>
                <w:rFonts w:eastAsia="Times New Roman"/>
                <w:color w:val="000000"/>
                <w:sz w:val="18"/>
                <w:szCs w:val="18"/>
              </w:rPr>
              <w:t>204 </w:t>
            </w:r>
          </w:p>
        </w:tc>
        <w:tc>
          <w:tcPr>
            <w:tcW w:w="0" w:type="auto"/>
            <w:shd w:val="clear" w:color="auto" w:fill="CCEEFF"/>
            <w:tcMar>
              <w:top w:w="30" w:type="dxa"/>
              <w:left w:w="0" w:type="dxa"/>
              <w:bottom w:w="30" w:type="dxa"/>
              <w:right w:w="20" w:type="dxa"/>
            </w:tcMar>
            <w:vAlign w:val="center"/>
            <w:hideMark/>
          </w:tcPr>
          <w:p w14:paraId="5F72B44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7AC22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6778BD7" w14:textId="77777777" w:rsidR="00000000" w:rsidRDefault="00405D16">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center"/>
            <w:hideMark/>
          </w:tcPr>
          <w:p w14:paraId="433C94F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2C9E9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8CD5AF9" w14:textId="77777777" w:rsidR="00000000" w:rsidRDefault="00405D16">
            <w:pPr>
              <w:spacing w:after="100"/>
              <w:jc w:val="right"/>
              <w:rPr>
                <w:rFonts w:eastAsia="Times New Roman"/>
              </w:rPr>
            </w:pPr>
            <w:r>
              <w:rPr>
                <w:rFonts w:eastAsia="Times New Roman"/>
                <w:color w:val="000000"/>
                <w:sz w:val="18"/>
                <w:szCs w:val="18"/>
              </w:rPr>
              <w:t>1,237 </w:t>
            </w:r>
          </w:p>
        </w:tc>
        <w:tc>
          <w:tcPr>
            <w:tcW w:w="0" w:type="auto"/>
            <w:shd w:val="clear" w:color="auto" w:fill="CCEEFF"/>
            <w:tcMar>
              <w:top w:w="30" w:type="dxa"/>
              <w:left w:w="0" w:type="dxa"/>
              <w:bottom w:w="30" w:type="dxa"/>
              <w:right w:w="20" w:type="dxa"/>
            </w:tcMar>
            <w:vAlign w:val="center"/>
            <w:hideMark/>
          </w:tcPr>
          <w:p w14:paraId="79280B46" w14:textId="77777777" w:rsidR="00000000" w:rsidRDefault="00405D16">
            <w:pPr>
              <w:spacing w:after="100"/>
              <w:jc w:val="right"/>
              <w:rPr>
                <w:rFonts w:eastAsia="Times New Roman"/>
              </w:rPr>
            </w:pPr>
          </w:p>
        </w:tc>
      </w:tr>
      <w:tr w:rsidR="00000000" w14:paraId="79AE329C" w14:textId="77777777">
        <w:tc>
          <w:tcPr>
            <w:tcW w:w="0" w:type="auto"/>
            <w:gridSpan w:val="3"/>
            <w:shd w:val="clear" w:color="auto" w:fill="FFFFFF"/>
            <w:tcMar>
              <w:top w:w="30" w:type="dxa"/>
              <w:left w:w="20" w:type="dxa"/>
              <w:bottom w:w="30" w:type="dxa"/>
              <w:right w:w="20" w:type="dxa"/>
            </w:tcMar>
            <w:vAlign w:val="center"/>
            <w:hideMark/>
          </w:tcPr>
          <w:p w14:paraId="52F3B9CF" w14:textId="77777777" w:rsidR="00000000" w:rsidRDefault="00405D16">
            <w:pPr>
              <w:spacing w:after="100"/>
              <w:rPr>
                <w:rFonts w:eastAsia="Times New Roman"/>
              </w:rPr>
            </w:pPr>
            <w:r>
              <w:rPr>
                <w:rFonts w:eastAsia="Times New Roman"/>
                <w:color w:val="000000"/>
                <w:sz w:val="18"/>
                <w:szCs w:val="18"/>
              </w:rPr>
              <w:t>Total RMBS</w:t>
            </w:r>
          </w:p>
        </w:tc>
        <w:tc>
          <w:tcPr>
            <w:tcW w:w="0" w:type="auto"/>
            <w:gridSpan w:val="3"/>
            <w:shd w:val="clear" w:color="auto" w:fill="FFFFFF"/>
            <w:tcMar>
              <w:top w:w="0" w:type="dxa"/>
              <w:left w:w="20" w:type="dxa"/>
              <w:bottom w:w="0" w:type="dxa"/>
              <w:right w:w="20" w:type="dxa"/>
            </w:tcMar>
            <w:vAlign w:val="center"/>
            <w:hideMark/>
          </w:tcPr>
          <w:p w14:paraId="6B2C0BDE"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3D04367" w14:textId="77777777" w:rsidR="00000000" w:rsidRDefault="00405D16">
            <w:pPr>
              <w:spacing w:after="100"/>
              <w:jc w:val="right"/>
              <w:rPr>
                <w:rFonts w:eastAsia="Times New Roman"/>
              </w:rPr>
            </w:pPr>
            <w:r>
              <w:rPr>
                <w:rFonts w:eastAsia="Times New Roman"/>
                <w:color w:val="000000"/>
                <w:sz w:val="18"/>
                <w:szCs w:val="18"/>
              </w:rPr>
              <w:t>74,283 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7B694B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742990"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D6B6788" w14:textId="77777777" w:rsidR="00000000" w:rsidRDefault="00405D16">
            <w:pPr>
              <w:spacing w:after="100"/>
              <w:jc w:val="right"/>
              <w:rPr>
                <w:rFonts w:eastAsia="Times New Roman"/>
              </w:rPr>
            </w:pPr>
            <w:r>
              <w:rPr>
                <w:rFonts w:eastAsia="Times New Roman"/>
                <w:color w:val="000000"/>
                <w:sz w:val="18"/>
                <w:szCs w:val="18"/>
              </w:rPr>
              <w:t>(1)</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C6FADB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6903B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EBFD447" w14:textId="77777777" w:rsidR="00000000" w:rsidRDefault="00405D16">
            <w:pPr>
              <w:spacing w:after="100"/>
              <w:jc w:val="right"/>
              <w:rPr>
                <w:rFonts w:eastAsia="Times New Roman"/>
              </w:rPr>
            </w:pPr>
            <w:r>
              <w:rPr>
                <w:rFonts w:eastAsia="Times New Roman"/>
                <w:color w:val="000000"/>
                <w:sz w:val="18"/>
                <w:szCs w:val="18"/>
              </w:rPr>
              <w:t>2,530 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03F712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E491F9"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7C0EF20" w14:textId="77777777" w:rsidR="00000000" w:rsidRDefault="00405D16">
            <w:pPr>
              <w:spacing w:after="100"/>
              <w:jc w:val="right"/>
              <w:rPr>
                <w:rFonts w:eastAsia="Times New Roman"/>
              </w:rPr>
            </w:pPr>
            <w:r>
              <w:rPr>
                <w:rFonts w:eastAsia="Times New Roman"/>
                <w:color w:val="000000"/>
                <w:sz w:val="18"/>
                <w:szCs w:val="18"/>
              </w:rPr>
              <w:t>(109)</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FA2672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5C3CC7"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1947092" w14:textId="77777777" w:rsidR="00000000" w:rsidRDefault="00405D16">
            <w:pPr>
              <w:spacing w:after="100"/>
              <w:jc w:val="right"/>
              <w:rPr>
                <w:rFonts w:eastAsia="Times New Roman"/>
              </w:rPr>
            </w:pPr>
            <w:r>
              <w:rPr>
                <w:rFonts w:eastAsia="Times New Roman"/>
                <w:color w:val="000000"/>
                <w:sz w:val="18"/>
                <w:szCs w:val="18"/>
              </w:rPr>
              <w:t>76,703 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6AF2F16" w14:textId="77777777" w:rsidR="00000000" w:rsidRDefault="00405D16">
            <w:pPr>
              <w:spacing w:after="100"/>
              <w:jc w:val="right"/>
              <w:rPr>
                <w:rFonts w:eastAsia="Times New Roman"/>
              </w:rPr>
            </w:pPr>
          </w:p>
        </w:tc>
      </w:tr>
      <w:tr w:rsidR="00000000" w14:paraId="5ED62402" w14:textId="77777777">
        <w:tc>
          <w:tcPr>
            <w:tcW w:w="0" w:type="auto"/>
            <w:gridSpan w:val="3"/>
            <w:shd w:val="clear" w:color="auto" w:fill="CCEEFF"/>
            <w:tcMar>
              <w:top w:w="30" w:type="dxa"/>
              <w:left w:w="20" w:type="dxa"/>
              <w:bottom w:w="30" w:type="dxa"/>
              <w:right w:w="20" w:type="dxa"/>
            </w:tcMar>
            <w:vAlign w:val="center"/>
            <w:hideMark/>
          </w:tcPr>
          <w:p w14:paraId="2AD88B40" w14:textId="77777777" w:rsidR="00000000" w:rsidRDefault="00405D16">
            <w:pPr>
              <w:spacing w:after="100"/>
              <w:rPr>
                <w:rFonts w:eastAsia="Times New Roman"/>
              </w:rPr>
            </w:pPr>
            <w:r>
              <w:rPr>
                <w:rFonts w:eastAsia="Times New Roman"/>
                <w:color w:val="000000"/>
                <w:sz w:val="18"/>
                <w:szCs w:val="18"/>
              </w:rPr>
              <w:t>Agency CMBS</w:t>
            </w:r>
          </w:p>
        </w:tc>
        <w:tc>
          <w:tcPr>
            <w:tcW w:w="0" w:type="auto"/>
            <w:gridSpan w:val="3"/>
            <w:shd w:val="clear" w:color="auto" w:fill="CCEEFF"/>
            <w:tcMar>
              <w:top w:w="0" w:type="dxa"/>
              <w:left w:w="20" w:type="dxa"/>
              <w:bottom w:w="0" w:type="dxa"/>
              <w:right w:w="20" w:type="dxa"/>
            </w:tcMar>
            <w:vAlign w:val="center"/>
            <w:hideMark/>
          </w:tcPr>
          <w:p w14:paraId="5062E466"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CE10833" w14:textId="77777777" w:rsidR="00000000" w:rsidRDefault="00405D16">
            <w:pPr>
              <w:spacing w:after="100"/>
              <w:jc w:val="right"/>
              <w:rPr>
                <w:rFonts w:eastAsia="Times New Roman"/>
              </w:rPr>
            </w:pPr>
            <w:r>
              <w:rPr>
                <w:rFonts w:eastAsia="Times New Roman"/>
                <w:color w:val="000000"/>
                <w:sz w:val="18"/>
                <w:szCs w:val="18"/>
              </w:rPr>
              <w:t>11,298 </w:t>
            </w:r>
          </w:p>
        </w:tc>
        <w:tc>
          <w:tcPr>
            <w:tcW w:w="0" w:type="auto"/>
            <w:shd w:val="clear" w:color="auto" w:fill="CCEEFF"/>
            <w:tcMar>
              <w:top w:w="30" w:type="dxa"/>
              <w:left w:w="0" w:type="dxa"/>
              <w:bottom w:w="30" w:type="dxa"/>
              <w:right w:w="20" w:type="dxa"/>
            </w:tcMar>
            <w:vAlign w:val="center"/>
            <w:hideMark/>
          </w:tcPr>
          <w:p w14:paraId="600482F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22047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C1334C8"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47DCC2C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29629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DB86FA7" w14:textId="77777777" w:rsidR="00000000" w:rsidRDefault="00405D16">
            <w:pPr>
              <w:spacing w:after="100"/>
              <w:jc w:val="right"/>
              <w:rPr>
                <w:rFonts w:eastAsia="Times New Roman"/>
              </w:rPr>
            </w:pPr>
            <w:r>
              <w:rPr>
                <w:rFonts w:eastAsia="Times New Roman"/>
                <w:color w:val="000000"/>
                <w:sz w:val="18"/>
                <w:szCs w:val="18"/>
              </w:rPr>
              <w:t>448 </w:t>
            </w:r>
          </w:p>
        </w:tc>
        <w:tc>
          <w:tcPr>
            <w:tcW w:w="0" w:type="auto"/>
            <w:shd w:val="clear" w:color="auto" w:fill="CCEEFF"/>
            <w:tcMar>
              <w:top w:w="30" w:type="dxa"/>
              <w:left w:w="0" w:type="dxa"/>
              <w:bottom w:w="30" w:type="dxa"/>
              <w:right w:w="20" w:type="dxa"/>
            </w:tcMar>
            <w:vAlign w:val="center"/>
            <w:hideMark/>
          </w:tcPr>
          <w:p w14:paraId="27A0656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5F3DD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3D45300" w14:textId="77777777" w:rsidR="00000000" w:rsidRDefault="00405D16">
            <w:pPr>
              <w:spacing w:after="100"/>
              <w:jc w:val="right"/>
              <w:rPr>
                <w:rFonts w:eastAsia="Times New Roman"/>
              </w:rPr>
            </w:pPr>
            <w:r>
              <w:rPr>
                <w:rFonts w:eastAsia="Times New Roman"/>
                <w:color w:val="000000"/>
                <w:sz w:val="18"/>
                <w:szCs w:val="18"/>
              </w:rPr>
              <w:t>(11)</w:t>
            </w:r>
          </w:p>
        </w:tc>
        <w:tc>
          <w:tcPr>
            <w:tcW w:w="0" w:type="auto"/>
            <w:shd w:val="clear" w:color="auto" w:fill="CCEEFF"/>
            <w:tcMar>
              <w:top w:w="30" w:type="dxa"/>
              <w:left w:w="0" w:type="dxa"/>
              <w:bottom w:w="30" w:type="dxa"/>
              <w:right w:w="20" w:type="dxa"/>
            </w:tcMar>
            <w:vAlign w:val="center"/>
            <w:hideMark/>
          </w:tcPr>
          <w:p w14:paraId="5380DE1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D445C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786036B" w14:textId="77777777" w:rsidR="00000000" w:rsidRDefault="00405D16">
            <w:pPr>
              <w:spacing w:after="100"/>
              <w:jc w:val="right"/>
              <w:rPr>
                <w:rFonts w:eastAsia="Times New Roman"/>
              </w:rPr>
            </w:pPr>
            <w:r>
              <w:rPr>
                <w:rFonts w:eastAsia="Times New Roman"/>
                <w:color w:val="000000"/>
                <w:sz w:val="18"/>
                <w:szCs w:val="18"/>
              </w:rPr>
              <w:t>11,735 </w:t>
            </w:r>
          </w:p>
        </w:tc>
        <w:tc>
          <w:tcPr>
            <w:tcW w:w="0" w:type="auto"/>
            <w:shd w:val="clear" w:color="auto" w:fill="CCEEFF"/>
            <w:tcMar>
              <w:top w:w="30" w:type="dxa"/>
              <w:left w:w="0" w:type="dxa"/>
              <w:bottom w:w="30" w:type="dxa"/>
              <w:right w:w="20" w:type="dxa"/>
            </w:tcMar>
            <w:vAlign w:val="center"/>
            <w:hideMark/>
          </w:tcPr>
          <w:p w14:paraId="0B3DD9B8" w14:textId="77777777" w:rsidR="00000000" w:rsidRDefault="00405D16">
            <w:pPr>
              <w:spacing w:after="100"/>
              <w:jc w:val="right"/>
              <w:rPr>
                <w:rFonts w:eastAsia="Times New Roman"/>
              </w:rPr>
            </w:pPr>
          </w:p>
        </w:tc>
      </w:tr>
      <w:tr w:rsidR="00000000" w14:paraId="42239DB6" w14:textId="77777777">
        <w:tc>
          <w:tcPr>
            <w:tcW w:w="0" w:type="auto"/>
            <w:gridSpan w:val="3"/>
            <w:shd w:val="clear" w:color="auto" w:fill="FFFFFF"/>
            <w:tcMar>
              <w:top w:w="30" w:type="dxa"/>
              <w:left w:w="20" w:type="dxa"/>
              <w:bottom w:w="30" w:type="dxa"/>
              <w:right w:w="20" w:type="dxa"/>
            </w:tcMar>
            <w:vAlign w:val="center"/>
            <w:hideMark/>
          </w:tcPr>
          <w:p w14:paraId="58305B75" w14:textId="77777777" w:rsidR="00000000" w:rsidRDefault="00405D16">
            <w:pPr>
              <w:spacing w:after="100"/>
              <w:divId w:val="1920868249"/>
              <w:rPr>
                <w:rFonts w:eastAsia="Times New Roman"/>
              </w:rPr>
            </w:pPr>
            <w:r>
              <w:rPr>
                <w:rFonts w:eastAsia="Times New Roman"/>
                <w:color w:val="000000"/>
                <w:sz w:val="18"/>
                <w:szCs w:val="18"/>
              </w:rPr>
              <w:t>Other securitie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52318593"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0DE2BB9" w14:textId="77777777" w:rsidR="00000000" w:rsidRDefault="00405D16">
            <w:pPr>
              <w:spacing w:after="100"/>
              <w:jc w:val="right"/>
              <w:rPr>
                <w:rFonts w:eastAsia="Times New Roman"/>
              </w:rPr>
            </w:pPr>
            <w:r>
              <w:rPr>
                <w:rFonts w:eastAsia="Times New Roman"/>
                <w:color w:val="000000"/>
                <w:sz w:val="18"/>
                <w:szCs w:val="18"/>
              </w:rPr>
              <w:t>2,686 </w:t>
            </w:r>
          </w:p>
        </w:tc>
        <w:tc>
          <w:tcPr>
            <w:tcW w:w="0" w:type="auto"/>
            <w:shd w:val="clear" w:color="auto" w:fill="FFFFFF"/>
            <w:tcMar>
              <w:top w:w="30" w:type="dxa"/>
              <w:left w:w="0" w:type="dxa"/>
              <w:bottom w:w="30" w:type="dxa"/>
              <w:right w:w="20" w:type="dxa"/>
            </w:tcMar>
            <w:vAlign w:val="center"/>
            <w:hideMark/>
          </w:tcPr>
          <w:p w14:paraId="7640317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B5C91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3EF6552"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020ED3F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E6175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F19A345" w14:textId="77777777" w:rsidR="00000000" w:rsidRDefault="00405D16">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center"/>
            <w:hideMark/>
          </w:tcPr>
          <w:p w14:paraId="25996FE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67931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283AC55"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507708D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9A7F9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F1D7DC7" w14:textId="77777777" w:rsidR="00000000" w:rsidRDefault="00405D16">
            <w:pPr>
              <w:spacing w:after="100"/>
              <w:jc w:val="right"/>
              <w:rPr>
                <w:rFonts w:eastAsia="Times New Roman"/>
              </w:rPr>
            </w:pPr>
            <w:r>
              <w:rPr>
                <w:rFonts w:eastAsia="Times New Roman"/>
                <w:color w:val="000000"/>
                <w:sz w:val="18"/>
                <w:szCs w:val="18"/>
              </w:rPr>
              <w:t>2,689 </w:t>
            </w:r>
          </w:p>
        </w:tc>
        <w:tc>
          <w:tcPr>
            <w:tcW w:w="0" w:type="auto"/>
            <w:shd w:val="clear" w:color="auto" w:fill="FFFFFF"/>
            <w:tcMar>
              <w:top w:w="30" w:type="dxa"/>
              <w:left w:w="0" w:type="dxa"/>
              <w:bottom w:w="30" w:type="dxa"/>
              <w:right w:w="20" w:type="dxa"/>
            </w:tcMar>
            <w:vAlign w:val="center"/>
            <w:hideMark/>
          </w:tcPr>
          <w:p w14:paraId="496EFE6E" w14:textId="77777777" w:rsidR="00000000" w:rsidRDefault="00405D16">
            <w:pPr>
              <w:spacing w:after="100"/>
              <w:jc w:val="right"/>
              <w:rPr>
                <w:rFonts w:eastAsia="Times New Roman"/>
              </w:rPr>
            </w:pPr>
          </w:p>
        </w:tc>
      </w:tr>
      <w:tr w:rsidR="00000000" w14:paraId="093E7008" w14:textId="77777777">
        <w:tc>
          <w:tcPr>
            <w:tcW w:w="0" w:type="auto"/>
            <w:gridSpan w:val="3"/>
            <w:shd w:val="clear" w:color="auto" w:fill="CCEEFF"/>
            <w:tcMar>
              <w:top w:w="30" w:type="dxa"/>
              <w:left w:w="20" w:type="dxa"/>
              <w:bottom w:w="30" w:type="dxa"/>
              <w:right w:w="20" w:type="dxa"/>
            </w:tcMar>
            <w:vAlign w:val="center"/>
            <w:hideMark/>
          </w:tcPr>
          <w:p w14:paraId="6B6625E2" w14:textId="77777777" w:rsidR="00000000" w:rsidRDefault="00405D16">
            <w:pPr>
              <w:spacing w:after="100"/>
              <w:rPr>
                <w:rFonts w:eastAsia="Times New Roman"/>
              </w:rPr>
            </w:pPr>
            <w:r>
              <w:rPr>
                <w:rFonts w:eastAsia="Times New Roman"/>
                <w:color w:val="000000"/>
                <w:sz w:val="18"/>
                <w:szCs w:val="18"/>
              </w:rPr>
              <w:t>Total investment securities available for sale</w:t>
            </w:r>
          </w:p>
        </w:tc>
        <w:tc>
          <w:tcPr>
            <w:tcW w:w="0" w:type="auto"/>
            <w:gridSpan w:val="3"/>
            <w:shd w:val="clear" w:color="auto" w:fill="CCEEFF"/>
            <w:tcMar>
              <w:top w:w="0" w:type="dxa"/>
              <w:left w:w="20" w:type="dxa"/>
              <w:bottom w:w="0" w:type="dxa"/>
              <w:right w:w="20" w:type="dxa"/>
            </w:tcMar>
            <w:vAlign w:val="center"/>
            <w:hideMark/>
          </w:tcPr>
          <w:p w14:paraId="48C835FA"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3CBA0CC"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5E477F1" w14:textId="77777777" w:rsidR="00000000" w:rsidRDefault="00405D16">
            <w:pPr>
              <w:spacing w:after="100"/>
              <w:jc w:val="right"/>
              <w:rPr>
                <w:rFonts w:eastAsia="Times New Roman"/>
              </w:rPr>
            </w:pPr>
            <w:r>
              <w:rPr>
                <w:rFonts w:eastAsia="Times New Roman"/>
                <w:color w:val="000000"/>
                <w:sz w:val="18"/>
                <w:szCs w:val="18"/>
              </w:rPr>
              <w:t>97,569 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8DA3D7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7564EF"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DAE0913"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89F1F75" w14:textId="77777777" w:rsidR="00000000" w:rsidRDefault="00405D16">
            <w:pPr>
              <w:spacing w:after="100"/>
              <w:jc w:val="right"/>
              <w:rPr>
                <w:rFonts w:eastAsia="Times New Roman"/>
              </w:rPr>
            </w:pPr>
            <w:r>
              <w:rPr>
                <w:rFonts w:eastAsia="Times New Roman"/>
                <w:color w:val="000000"/>
                <w:sz w:val="18"/>
                <w:szCs w:val="18"/>
              </w:rPr>
              <w:t>(1)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B86813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1870F9"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EB2F7AB"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2D43497" w14:textId="77777777" w:rsidR="00000000" w:rsidRDefault="00405D16">
            <w:pPr>
              <w:spacing w:after="100"/>
              <w:jc w:val="right"/>
              <w:rPr>
                <w:rFonts w:eastAsia="Times New Roman"/>
              </w:rPr>
            </w:pPr>
            <w:r>
              <w:rPr>
                <w:rFonts w:eastAsia="Times New Roman"/>
                <w:color w:val="000000"/>
                <w:sz w:val="18"/>
                <w:szCs w:val="18"/>
              </w:rPr>
              <w:t>2,997 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1F233A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B5AE91"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BF6E365"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97E50C3" w14:textId="77777777" w:rsidR="00000000" w:rsidRDefault="00405D16">
            <w:pPr>
              <w:spacing w:after="100"/>
              <w:jc w:val="right"/>
              <w:rPr>
                <w:rFonts w:eastAsia="Times New Roman"/>
              </w:rPr>
            </w:pPr>
            <w:r>
              <w:rPr>
                <w:rFonts w:eastAsia="Times New Roman"/>
                <w:color w:val="000000"/>
                <w:sz w:val="18"/>
                <w:szCs w:val="18"/>
              </w:rPr>
              <w:t>(120)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DED361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40BD64"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EAE5F2C"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285FD85" w14:textId="77777777" w:rsidR="00000000" w:rsidRDefault="00405D16">
            <w:pPr>
              <w:spacing w:after="100"/>
              <w:jc w:val="right"/>
              <w:rPr>
                <w:rFonts w:eastAsia="Times New Roman"/>
              </w:rPr>
            </w:pPr>
            <w:r>
              <w:rPr>
                <w:rFonts w:eastAsia="Times New Roman"/>
                <w:color w:val="000000"/>
                <w:sz w:val="18"/>
                <w:szCs w:val="18"/>
              </w:rPr>
              <w:t>100,445 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95B93B6" w14:textId="77777777" w:rsidR="00000000" w:rsidRDefault="00405D16">
            <w:pPr>
              <w:spacing w:after="100"/>
              <w:jc w:val="right"/>
              <w:rPr>
                <w:rFonts w:eastAsia="Times New Roman"/>
              </w:rPr>
            </w:pPr>
          </w:p>
        </w:tc>
      </w:tr>
    </w:tbl>
    <w:p w14:paraId="3B5C9E40" w14:textId="77777777" w:rsidR="00000000" w:rsidRDefault="00405D16">
      <w:pPr>
        <w:divId w:val="1428691322"/>
        <w:rPr>
          <w:rFonts w:eastAsia="Times New Roman"/>
        </w:rPr>
      </w:pPr>
      <w:r>
        <w:rPr>
          <w:rFonts w:eastAsia="Times New Roman"/>
          <w:b/>
          <w:bCs/>
          <w:color w:val="000000"/>
          <w:sz w:val="18"/>
          <w:szCs w:val="18"/>
        </w:rPr>
        <w:t>__________    </w:t>
      </w:r>
    </w:p>
    <w:p w14:paraId="6B2FD1B1" w14:textId="77777777" w:rsidR="00000000" w:rsidRDefault="00405D16">
      <w:pPr>
        <w:ind w:hanging="360"/>
        <w:jc w:val="both"/>
        <w:divId w:val="202724584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$2.3 billion and $1.8 billion of asset-backed securities (“ABS”) as of September 30, 2021, and December 31, 2020, respectively. The remaining amount is primarily comprised of s</w:t>
      </w:r>
      <w:r>
        <w:rPr>
          <w:rFonts w:eastAsia="Times New Roman"/>
          <w:color w:val="000000"/>
          <w:sz w:val="16"/>
          <w:szCs w:val="16"/>
        </w:rPr>
        <w:t>upranational bonds and foreign government bonds.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10AA6BA1" w14:textId="77777777">
        <w:trPr>
          <w:divId w:val="1629697654"/>
          <w:jc w:val="center"/>
        </w:trPr>
        <w:tc>
          <w:tcPr>
            <w:tcW w:w="50" w:type="pct"/>
            <w:vAlign w:val="center"/>
            <w:hideMark/>
          </w:tcPr>
          <w:p w14:paraId="248C6857" w14:textId="77777777" w:rsidR="00000000" w:rsidRDefault="00405D16">
            <w:pPr>
              <w:ind w:hanging="360"/>
              <w:jc w:val="both"/>
              <w:rPr>
                <w:rFonts w:eastAsia="Times New Roman"/>
              </w:rPr>
            </w:pPr>
          </w:p>
        </w:tc>
        <w:tc>
          <w:tcPr>
            <w:tcW w:w="1606" w:type="pct"/>
            <w:vAlign w:val="center"/>
            <w:hideMark/>
          </w:tcPr>
          <w:p w14:paraId="398BA0F5" w14:textId="77777777" w:rsidR="00000000" w:rsidRDefault="00405D16">
            <w:pPr>
              <w:spacing w:after="100"/>
              <w:rPr>
                <w:rFonts w:eastAsia="Times New Roman"/>
                <w:sz w:val="20"/>
                <w:szCs w:val="20"/>
              </w:rPr>
            </w:pPr>
          </w:p>
        </w:tc>
        <w:tc>
          <w:tcPr>
            <w:tcW w:w="5" w:type="pct"/>
            <w:vAlign w:val="center"/>
            <w:hideMark/>
          </w:tcPr>
          <w:p w14:paraId="3CAA9831" w14:textId="77777777" w:rsidR="00000000" w:rsidRDefault="00405D16">
            <w:pPr>
              <w:spacing w:after="100"/>
              <w:rPr>
                <w:rFonts w:eastAsia="Times New Roman"/>
                <w:sz w:val="20"/>
                <w:szCs w:val="20"/>
              </w:rPr>
            </w:pPr>
          </w:p>
        </w:tc>
        <w:tc>
          <w:tcPr>
            <w:tcW w:w="50" w:type="pct"/>
            <w:vAlign w:val="center"/>
            <w:hideMark/>
          </w:tcPr>
          <w:p w14:paraId="779D6AB0" w14:textId="77777777" w:rsidR="00000000" w:rsidRDefault="00405D16">
            <w:pPr>
              <w:spacing w:after="100"/>
              <w:rPr>
                <w:rFonts w:eastAsia="Times New Roman"/>
                <w:sz w:val="20"/>
                <w:szCs w:val="20"/>
              </w:rPr>
            </w:pPr>
          </w:p>
        </w:tc>
        <w:tc>
          <w:tcPr>
            <w:tcW w:w="1614" w:type="pct"/>
            <w:vAlign w:val="center"/>
            <w:hideMark/>
          </w:tcPr>
          <w:p w14:paraId="6D12C870" w14:textId="77777777" w:rsidR="00000000" w:rsidRDefault="00405D16">
            <w:pPr>
              <w:spacing w:after="100"/>
              <w:rPr>
                <w:rFonts w:eastAsia="Times New Roman"/>
                <w:sz w:val="20"/>
                <w:szCs w:val="20"/>
              </w:rPr>
            </w:pPr>
          </w:p>
        </w:tc>
        <w:tc>
          <w:tcPr>
            <w:tcW w:w="5" w:type="pct"/>
            <w:vAlign w:val="center"/>
            <w:hideMark/>
          </w:tcPr>
          <w:p w14:paraId="04A05D1D" w14:textId="77777777" w:rsidR="00000000" w:rsidRDefault="00405D16">
            <w:pPr>
              <w:spacing w:after="100"/>
              <w:rPr>
                <w:rFonts w:eastAsia="Times New Roman"/>
                <w:sz w:val="20"/>
                <w:szCs w:val="20"/>
              </w:rPr>
            </w:pPr>
          </w:p>
        </w:tc>
        <w:tc>
          <w:tcPr>
            <w:tcW w:w="50" w:type="pct"/>
            <w:vAlign w:val="center"/>
            <w:hideMark/>
          </w:tcPr>
          <w:p w14:paraId="1720CEB8" w14:textId="77777777" w:rsidR="00000000" w:rsidRDefault="00405D16">
            <w:pPr>
              <w:spacing w:after="100"/>
              <w:rPr>
                <w:rFonts w:eastAsia="Times New Roman"/>
                <w:sz w:val="20"/>
                <w:szCs w:val="20"/>
              </w:rPr>
            </w:pPr>
          </w:p>
        </w:tc>
        <w:tc>
          <w:tcPr>
            <w:tcW w:w="1614" w:type="pct"/>
            <w:vAlign w:val="center"/>
            <w:hideMark/>
          </w:tcPr>
          <w:p w14:paraId="60A730A0" w14:textId="77777777" w:rsidR="00000000" w:rsidRDefault="00405D16">
            <w:pPr>
              <w:spacing w:after="100"/>
              <w:rPr>
                <w:rFonts w:eastAsia="Times New Roman"/>
                <w:sz w:val="20"/>
                <w:szCs w:val="20"/>
              </w:rPr>
            </w:pPr>
          </w:p>
        </w:tc>
        <w:tc>
          <w:tcPr>
            <w:tcW w:w="5" w:type="pct"/>
            <w:vAlign w:val="center"/>
            <w:hideMark/>
          </w:tcPr>
          <w:p w14:paraId="0901446B" w14:textId="77777777" w:rsidR="00000000" w:rsidRDefault="00405D16">
            <w:pPr>
              <w:spacing w:after="100"/>
              <w:rPr>
                <w:rFonts w:eastAsia="Times New Roman"/>
                <w:sz w:val="20"/>
                <w:szCs w:val="20"/>
              </w:rPr>
            </w:pPr>
          </w:p>
        </w:tc>
      </w:tr>
      <w:tr w:rsidR="00000000" w14:paraId="2CAB68A4" w14:textId="77777777">
        <w:trPr>
          <w:divId w:val="1629697654"/>
          <w:trHeight w:val="300"/>
          <w:jc w:val="center"/>
        </w:trPr>
        <w:tc>
          <w:tcPr>
            <w:tcW w:w="0" w:type="auto"/>
            <w:gridSpan w:val="9"/>
            <w:tcMar>
              <w:top w:w="0" w:type="dxa"/>
              <w:left w:w="20" w:type="dxa"/>
              <w:bottom w:w="0" w:type="dxa"/>
              <w:right w:w="20" w:type="dxa"/>
            </w:tcMar>
            <w:vAlign w:val="center"/>
            <w:hideMark/>
          </w:tcPr>
          <w:p w14:paraId="74EFC026" w14:textId="77777777" w:rsidR="00000000" w:rsidRDefault="00405D16">
            <w:pPr>
              <w:spacing w:after="100"/>
              <w:rPr>
                <w:rFonts w:eastAsia="Times New Roman"/>
                <w:sz w:val="20"/>
                <w:szCs w:val="20"/>
              </w:rPr>
            </w:pPr>
          </w:p>
        </w:tc>
      </w:tr>
      <w:tr w:rsidR="00000000" w14:paraId="4E7AA79C" w14:textId="77777777">
        <w:trPr>
          <w:divId w:val="1629697654"/>
          <w:jc w:val="center"/>
        </w:trPr>
        <w:tc>
          <w:tcPr>
            <w:tcW w:w="0" w:type="auto"/>
            <w:gridSpan w:val="3"/>
            <w:tcMar>
              <w:top w:w="0" w:type="dxa"/>
              <w:left w:w="20" w:type="dxa"/>
              <w:bottom w:w="0" w:type="dxa"/>
              <w:right w:w="20" w:type="dxa"/>
            </w:tcMar>
            <w:vAlign w:val="center"/>
            <w:hideMark/>
          </w:tcPr>
          <w:p w14:paraId="46DA38B7"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CBE95DA" w14:textId="77777777" w:rsidR="00000000" w:rsidRDefault="00405D16">
            <w:pPr>
              <w:spacing w:after="100"/>
              <w:jc w:val="center"/>
              <w:rPr>
                <w:rFonts w:eastAsia="Times New Roman"/>
              </w:rPr>
            </w:pPr>
            <w:r>
              <w:rPr>
                <w:rFonts w:eastAsia="Times New Roman"/>
                <w:color w:val="000000"/>
                <w:sz w:val="16"/>
                <w:szCs w:val="16"/>
              </w:rPr>
              <w:t>78</w:t>
            </w:r>
          </w:p>
        </w:tc>
        <w:tc>
          <w:tcPr>
            <w:tcW w:w="0" w:type="auto"/>
            <w:gridSpan w:val="3"/>
            <w:tcMar>
              <w:top w:w="30" w:type="dxa"/>
              <w:left w:w="20" w:type="dxa"/>
              <w:bottom w:w="30" w:type="dxa"/>
              <w:right w:w="20" w:type="dxa"/>
            </w:tcMar>
            <w:vAlign w:val="bottom"/>
            <w:hideMark/>
          </w:tcPr>
          <w:p w14:paraId="7687B012"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527CFC4A" w14:textId="77777777" w:rsidR="00000000" w:rsidRDefault="00405D16">
      <w:pPr>
        <w:rPr>
          <w:rFonts w:eastAsia="Times New Roman"/>
        </w:rPr>
      </w:pPr>
      <w:r>
        <w:rPr>
          <w:rFonts w:eastAsia="Times New Roman"/>
        </w:rPr>
        <w:pict w14:anchorId="6562567E">
          <v:rect id="_x0000_i1103" style="width:0;height:1.5pt" o:hralign="center" o:hrstd="t" o:hr="t" fillcolor="#a0a0a0" stroked="f"/>
        </w:pict>
      </w:r>
    </w:p>
    <w:p w14:paraId="1FE77CF3" w14:textId="77777777" w:rsidR="00000000" w:rsidRDefault="00405D16">
      <w:pPr>
        <w:jc w:val="both"/>
        <w:divId w:val="355928225"/>
        <w:rPr>
          <w:rFonts w:eastAsia="Times New Roman"/>
        </w:rPr>
      </w:pPr>
      <w:hyperlink w:anchor="idd54a04a485440b4ab4e56094c14d612_13" w:history="1">
        <w:r>
          <w:rPr>
            <w:rStyle w:val="a3"/>
            <w:rFonts w:eastAsia="Times New Roman"/>
            <w:sz w:val="16"/>
            <w:szCs w:val="16"/>
          </w:rPr>
          <w:t>Table of Contents</w:t>
        </w:r>
      </w:hyperlink>
    </w:p>
    <w:p w14:paraId="0EB1367F" w14:textId="77777777" w:rsidR="00000000" w:rsidRDefault="00405D16">
      <w:pPr>
        <w:jc w:val="center"/>
        <w:divId w:val="355928225"/>
        <w:rPr>
          <w:rFonts w:eastAsia="Times New Roman"/>
        </w:rPr>
      </w:pPr>
    </w:p>
    <w:p w14:paraId="3F844CCD" w14:textId="77777777" w:rsidR="00000000" w:rsidRDefault="00405D16">
      <w:pPr>
        <w:divId w:val="450247174"/>
        <w:rPr>
          <w:rFonts w:eastAsia="Times New Roman"/>
        </w:rPr>
      </w:pPr>
      <w:r>
        <w:rPr>
          <w:rFonts w:eastAsia="Times New Roman"/>
          <w:b/>
          <w:bCs/>
          <w:color w:val="000000"/>
          <w:sz w:val="20"/>
          <w:szCs w:val="20"/>
        </w:rPr>
        <w:t>Investment Securities in a Gross Unrealized Loss Position</w:t>
      </w:r>
    </w:p>
    <w:p w14:paraId="518323D2" w14:textId="77777777" w:rsidR="00000000" w:rsidRDefault="00405D16">
      <w:pPr>
        <w:jc w:val="both"/>
        <w:divId w:val="503012529"/>
        <w:rPr>
          <w:rFonts w:eastAsia="Times New Roman"/>
        </w:rPr>
      </w:pPr>
      <w:r>
        <w:rPr>
          <w:rFonts w:eastAsia="Times New Roman"/>
          <w:color w:val="000000"/>
          <w:sz w:val="20"/>
          <w:szCs w:val="20"/>
        </w:rPr>
        <w:t xml:space="preserve">The table below provides the gross unrealized losses and fair value of our securities available for sale aggregated by major security type and the length of time that individual securities have been in a continuous unrealized loss position as of September </w:t>
      </w:r>
      <w:r>
        <w:rPr>
          <w:rFonts w:eastAsia="Times New Roman"/>
          <w:color w:val="000000"/>
          <w:sz w:val="20"/>
          <w:szCs w:val="20"/>
        </w:rPr>
        <w:t xml:space="preserve">30, 2021 and December 31, 2020. The amounts include securities available for sale without an allowance for credit losses. </w:t>
      </w:r>
    </w:p>
    <w:p w14:paraId="2F0216D7" w14:textId="77777777" w:rsidR="00000000" w:rsidRDefault="00405D16">
      <w:pPr>
        <w:divId w:val="586576837"/>
        <w:rPr>
          <w:rFonts w:eastAsia="Times New Roman"/>
        </w:rPr>
      </w:pPr>
      <w:r>
        <w:rPr>
          <w:rFonts w:eastAsia="Times New Roman"/>
          <w:b/>
          <w:bCs/>
          <w:color w:val="000000"/>
          <w:sz w:val="18"/>
          <w:szCs w:val="18"/>
        </w:rPr>
        <w:t>Table 2.2: Securities in a Gross Unrealized Loss Position</w:t>
      </w:r>
    </w:p>
    <w:tbl>
      <w:tblPr>
        <w:tblW w:w="5000" w:type="pct"/>
        <w:tblCellMar>
          <w:top w:w="15" w:type="dxa"/>
          <w:left w:w="15" w:type="dxa"/>
          <w:bottom w:w="15" w:type="dxa"/>
          <w:right w:w="15" w:type="dxa"/>
        </w:tblCellMar>
        <w:tblLook w:val="04A0" w:firstRow="1" w:lastRow="0" w:firstColumn="1" w:lastColumn="0" w:noHBand="0" w:noVBand="1"/>
      </w:tblPr>
      <w:tblGrid>
        <w:gridCol w:w="38"/>
        <w:gridCol w:w="2615"/>
        <w:gridCol w:w="37"/>
        <w:gridCol w:w="36"/>
        <w:gridCol w:w="36"/>
        <w:gridCol w:w="36"/>
        <w:gridCol w:w="111"/>
        <w:gridCol w:w="676"/>
        <w:gridCol w:w="36"/>
        <w:gridCol w:w="36"/>
        <w:gridCol w:w="36"/>
        <w:gridCol w:w="36"/>
        <w:gridCol w:w="111"/>
        <w:gridCol w:w="686"/>
        <w:gridCol w:w="36"/>
        <w:gridCol w:w="36"/>
        <w:gridCol w:w="36"/>
        <w:gridCol w:w="36"/>
        <w:gridCol w:w="111"/>
        <w:gridCol w:w="676"/>
        <w:gridCol w:w="36"/>
        <w:gridCol w:w="36"/>
        <w:gridCol w:w="36"/>
        <w:gridCol w:w="36"/>
        <w:gridCol w:w="111"/>
        <w:gridCol w:w="686"/>
        <w:gridCol w:w="36"/>
        <w:gridCol w:w="36"/>
        <w:gridCol w:w="36"/>
        <w:gridCol w:w="36"/>
        <w:gridCol w:w="111"/>
        <w:gridCol w:w="676"/>
        <w:gridCol w:w="36"/>
        <w:gridCol w:w="36"/>
        <w:gridCol w:w="36"/>
        <w:gridCol w:w="36"/>
        <w:gridCol w:w="111"/>
        <w:gridCol w:w="686"/>
        <w:gridCol w:w="36"/>
      </w:tblGrid>
      <w:tr w:rsidR="00000000" w14:paraId="134D1B02" w14:textId="77777777">
        <w:trPr>
          <w:divId w:val="743991477"/>
        </w:trPr>
        <w:tc>
          <w:tcPr>
            <w:tcW w:w="50" w:type="pct"/>
            <w:vAlign w:val="center"/>
            <w:hideMark/>
          </w:tcPr>
          <w:p w14:paraId="7E3310FD" w14:textId="77777777" w:rsidR="00000000" w:rsidRDefault="00405D16">
            <w:pPr>
              <w:rPr>
                <w:rFonts w:eastAsia="Times New Roman"/>
              </w:rPr>
            </w:pPr>
          </w:p>
        </w:tc>
        <w:tc>
          <w:tcPr>
            <w:tcW w:w="2137" w:type="pct"/>
            <w:vAlign w:val="center"/>
            <w:hideMark/>
          </w:tcPr>
          <w:p w14:paraId="081FC6C7" w14:textId="77777777" w:rsidR="00000000" w:rsidRDefault="00405D16">
            <w:pPr>
              <w:spacing w:after="100"/>
              <w:rPr>
                <w:rFonts w:eastAsia="Times New Roman"/>
                <w:sz w:val="20"/>
                <w:szCs w:val="20"/>
              </w:rPr>
            </w:pPr>
          </w:p>
        </w:tc>
        <w:tc>
          <w:tcPr>
            <w:tcW w:w="5" w:type="pct"/>
            <w:vAlign w:val="center"/>
            <w:hideMark/>
          </w:tcPr>
          <w:p w14:paraId="4619865A" w14:textId="77777777" w:rsidR="00000000" w:rsidRDefault="00405D16">
            <w:pPr>
              <w:spacing w:after="100"/>
              <w:rPr>
                <w:rFonts w:eastAsia="Times New Roman"/>
                <w:sz w:val="20"/>
                <w:szCs w:val="20"/>
              </w:rPr>
            </w:pPr>
          </w:p>
        </w:tc>
        <w:tc>
          <w:tcPr>
            <w:tcW w:w="5" w:type="pct"/>
            <w:vAlign w:val="center"/>
            <w:hideMark/>
          </w:tcPr>
          <w:p w14:paraId="5C43FE2A" w14:textId="77777777" w:rsidR="00000000" w:rsidRDefault="00405D16">
            <w:pPr>
              <w:spacing w:after="100"/>
              <w:rPr>
                <w:rFonts w:eastAsia="Times New Roman"/>
                <w:sz w:val="20"/>
                <w:szCs w:val="20"/>
              </w:rPr>
            </w:pPr>
          </w:p>
        </w:tc>
        <w:tc>
          <w:tcPr>
            <w:tcW w:w="26" w:type="pct"/>
            <w:vAlign w:val="center"/>
            <w:hideMark/>
          </w:tcPr>
          <w:p w14:paraId="377A786F" w14:textId="77777777" w:rsidR="00000000" w:rsidRDefault="00405D16">
            <w:pPr>
              <w:spacing w:after="100"/>
              <w:rPr>
                <w:rFonts w:eastAsia="Times New Roman"/>
                <w:sz w:val="20"/>
                <w:szCs w:val="20"/>
              </w:rPr>
            </w:pPr>
          </w:p>
        </w:tc>
        <w:tc>
          <w:tcPr>
            <w:tcW w:w="5" w:type="pct"/>
            <w:vAlign w:val="center"/>
            <w:hideMark/>
          </w:tcPr>
          <w:p w14:paraId="706B18BB" w14:textId="77777777" w:rsidR="00000000" w:rsidRDefault="00405D16">
            <w:pPr>
              <w:spacing w:after="100"/>
              <w:rPr>
                <w:rFonts w:eastAsia="Times New Roman"/>
                <w:sz w:val="20"/>
                <w:szCs w:val="20"/>
              </w:rPr>
            </w:pPr>
          </w:p>
        </w:tc>
        <w:tc>
          <w:tcPr>
            <w:tcW w:w="50" w:type="pct"/>
            <w:vAlign w:val="center"/>
            <w:hideMark/>
          </w:tcPr>
          <w:p w14:paraId="57A0B90A" w14:textId="77777777" w:rsidR="00000000" w:rsidRDefault="00405D16">
            <w:pPr>
              <w:spacing w:after="100"/>
              <w:rPr>
                <w:rFonts w:eastAsia="Times New Roman"/>
                <w:sz w:val="20"/>
                <w:szCs w:val="20"/>
              </w:rPr>
            </w:pPr>
          </w:p>
        </w:tc>
        <w:tc>
          <w:tcPr>
            <w:tcW w:w="376" w:type="pct"/>
            <w:vAlign w:val="center"/>
            <w:hideMark/>
          </w:tcPr>
          <w:p w14:paraId="4BE79F41" w14:textId="77777777" w:rsidR="00000000" w:rsidRDefault="00405D16">
            <w:pPr>
              <w:spacing w:after="100"/>
              <w:rPr>
                <w:rFonts w:eastAsia="Times New Roman"/>
                <w:sz w:val="20"/>
                <w:szCs w:val="20"/>
              </w:rPr>
            </w:pPr>
          </w:p>
        </w:tc>
        <w:tc>
          <w:tcPr>
            <w:tcW w:w="5" w:type="pct"/>
            <w:vAlign w:val="center"/>
            <w:hideMark/>
          </w:tcPr>
          <w:p w14:paraId="0FD56CAA" w14:textId="77777777" w:rsidR="00000000" w:rsidRDefault="00405D16">
            <w:pPr>
              <w:spacing w:after="100"/>
              <w:rPr>
                <w:rFonts w:eastAsia="Times New Roman"/>
                <w:sz w:val="20"/>
                <w:szCs w:val="20"/>
              </w:rPr>
            </w:pPr>
          </w:p>
        </w:tc>
        <w:tc>
          <w:tcPr>
            <w:tcW w:w="5" w:type="pct"/>
            <w:vAlign w:val="center"/>
            <w:hideMark/>
          </w:tcPr>
          <w:p w14:paraId="09B66664" w14:textId="77777777" w:rsidR="00000000" w:rsidRDefault="00405D16">
            <w:pPr>
              <w:spacing w:after="100"/>
              <w:rPr>
                <w:rFonts w:eastAsia="Times New Roman"/>
                <w:sz w:val="20"/>
                <w:szCs w:val="20"/>
              </w:rPr>
            </w:pPr>
          </w:p>
        </w:tc>
        <w:tc>
          <w:tcPr>
            <w:tcW w:w="26" w:type="pct"/>
            <w:vAlign w:val="center"/>
            <w:hideMark/>
          </w:tcPr>
          <w:p w14:paraId="3582B962" w14:textId="77777777" w:rsidR="00000000" w:rsidRDefault="00405D16">
            <w:pPr>
              <w:spacing w:after="100"/>
              <w:rPr>
                <w:rFonts w:eastAsia="Times New Roman"/>
                <w:sz w:val="20"/>
                <w:szCs w:val="20"/>
              </w:rPr>
            </w:pPr>
          </w:p>
        </w:tc>
        <w:tc>
          <w:tcPr>
            <w:tcW w:w="5" w:type="pct"/>
            <w:vAlign w:val="center"/>
            <w:hideMark/>
          </w:tcPr>
          <w:p w14:paraId="730EC123" w14:textId="77777777" w:rsidR="00000000" w:rsidRDefault="00405D16">
            <w:pPr>
              <w:spacing w:after="100"/>
              <w:rPr>
                <w:rFonts w:eastAsia="Times New Roman"/>
                <w:sz w:val="20"/>
                <w:szCs w:val="20"/>
              </w:rPr>
            </w:pPr>
          </w:p>
        </w:tc>
        <w:tc>
          <w:tcPr>
            <w:tcW w:w="50" w:type="pct"/>
            <w:vAlign w:val="center"/>
            <w:hideMark/>
          </w:tcPr>
          <w:p w14:paraId="18144212" w14:textId="77777777" w:rsidR="00000000" w:rsidRDefault="00405D16">
            <w:pPr>
              <w:spacing w:after="100"/>
              <w:rPr>
                <w:rFonts w:eastAsia="Times New Roman"/>
                <w:sz w:val="20"/>
                <w:szCs w:val="20"/>
              </w:rPr>
            </w:pPr>
          </w:p>
        </w:tc>
        <w:tc>
          <w:tcPr>
            <w:tcW w:w="376" w:type="pct"/>
            <w:vAlign w:val="center"/>
            <w:hideMark/>
          </w:tcPr>
          <w:p w14:paraId="5C3764CF" w14:textId="77777777" w:rsidR="00000000" w:rsidRDefault="00405D16">
            <w:pPr>
              <w:spacing w:after="100"/>
              <w:rPr>
                <w:rFonts w:eastAsia="Times New Roman"/>
                <w:sz w:val="20"/>
                <w:szCs w:val="20"/>
              </w:rPr>
            </w:pPr>
          </w:p>
        </w:tc>
        <w:tc>
          <w:tcPr>
            <w:tcW w:w="5" w:type="pct"/>
            <w:vAlign w:val="center"/>
            <w:hideMark/>
          </w:tcPr>
          <w:p w14:paraId="542342D9" w14:textId="77777777" w:rsidR="00000000" w:rsidRDefault="00405D16">
            <w:pPr>
              <w:spacing w:after="100"/>
              <w:rPr>
                <w:rFonts w:eastAsia="Times New Roman"/>
                <w:sz w:val="20"/>
                <w:szCs w:val="20"/>
              </w:rPr>
            </w:pPr>
          </w:p>
        </w:tc>
        <w:tc>
          <w:tcPr>
            <w:tcW w:w="5" w:type="pct"/>
            <w:vAlign w:val="center"/>
            <w:hideMark/>
          </w:tcPr>
          <w:p w14:paraId="67C85D04" w14:textId="77777777" w:rsidR="00000000" w:rsidRDefault="00405D16">
            <w:pPr>
              <w:spacing w:after="100"/>
              <w:rPr>
                <w:rFonts w:eastAsia="Times New Roman"/>
                <w:sz w:val="20"/>
                <w:szCs w:val="20"/>
              </w:rPr>
            </w:pPr>
          </w:p>
        </w:tc>
        <w:tc>
          <w:tcPr>
            <w:tcW w:w="26" w:type="pct"/>
            <w:vAlign w:val="center"/>
            <w:hideMark/>
          </w:tcPr>
          <w:p w14:paraId="0CA548A9" w14:textId="77777777" w:rsidR="00000000" w:rsidRDefault="00405D16">
            <w:pPr>
              <w:spacing w:after="100"/>
              <w:rPr>
                <w:rFonts w:eastAsia="Times New Roman"/>
                <w:sz w:val="20"/>
                <w:szCs w:val="20"/>
              </w:rPr>
            </w:pPr>
          </w:p>
        </w:tc>
        <w:tc>
          <w:tcPr>
            <w:tcW w:w="5" w:type="pct"/>
            <w:vAlign w:val="center"/>
            <w:hideMark/>
          </w:tcPr>
          <w:p w14:paraId="3BE12594" w14:textId="77777777" w:rsidR="00000000" w:rsidRDefault="00405D16">
            <w:pPr>
              <w:spacing w:after="100"/>
              <w:rPr>
                <w:rFonts w:eastAsia="Times New Roman"/>
                <w:sz w:val="20"/>
                <w:szCs w:val="20"/>
              </w:rPr>
            </w:pPr>
          </w:p>
        </w:tc>
        <w:tc>
          <w:tcPr>
            <w:tcW w:w="50" w:type="pct"/>
            <w:vAlign w:val="center"/>
            <w:hideMark/>
          </w:tcPr>
          <w:p w14:paraId="476B82B8" w14:textId="77777777" w:rsidR="00000000" w:rsidRDefault="00405D16">
            <w:pPr>
              <w:spacing w:after="100"/>
              <w:rPr>
                <w:rFonts w:eastAsia="Times New Roman"/>
                <w:sz w:val="20"/>
                <w:szCs w:val="20"/>
              </w:rPr>
            </w:pPr>
          </w:p>
        </w:tc>
        <w:tc>
          <w:tcPr>
            <w:tcW w:w="376" w:type="pct"/>
            <w:vAlign w:val="center"/>
            <w:hideMark/>
          </w:tcPr>
          <w:p w14:paraId="0282B287" w14:textId="77777777" w:rsidR="00000000" w:rsidRDefault="00405D16">
            <w:pPr>
              <w:spacing w:after="100"/>
              <w:rPr>
                <w:rFonts w:eastAsia="Times New Roman"/>
                <w:sz w:val="20"/>
                <w:szCs w:val="20"/>
              </w:rPr>
            </w:pPr>
          </w:p>
        </w:tc>
        <w:tc>
          <w:tcPr>
            <w:tcW w:w="5" w:type="pct"/>
            <w:vAlign w:val="center"/>
            <w:hideMark/>
          </w:tcPr>
          <w:p w14:paraId="6B0784CF" w14:textId="77777777" w:rsidR="00000000" w:rsidRDefault="00405D16">
            <w:pPr>
              <w:spacing w:after="100"/>
              <w:rPr>
                <w:rFonts w:eastAsia="Times New Roman"/>
                <w:sz w:val="20"/>
                <w:szCs w:val="20"/>
              </w:rPr>
            </w:pPr>
          </w:p>
        </w:tc>
        <w:tc>
          <w:tcPr>
            <w:tcW w:w="5" w:type="pct"/>
            <w:vAlign w:val="center"/>
            <w:hideMark/>
          </w:tcPr>
          <w:p w14:paraId="1A7EFA02" w14:textId="77777777" w:rsidR="00000000" w:rsidRDefault="00405D16">
            <w:pPr>
              <w:spacing w:after="100"/>
              <w:rPr>
                <w:rFonts w:eastAsia="Times New Roman"/>
                <w:sz w:val="20"/>
                <w:szCs w:val="20"/>
              </w:rPr>
            </w:pPr>
          </w:p>
        </w:tc>
        <w:tc>
          <w:tcPr>
            <w:tcW w:w="26" w:type="pct"/>
            <w:vAlign w:val="center"/>
            <w:hideMark/>
          </w:tcPr>
          <w:p w14:paraId="1449CC10" w14:textId="77777777" w:rsidR="00000000" w:rsidRDefault="00405D16">
            <w:pPr>
              <w:spacing w:after="100"/>
              <w:rPr>
                <w:rFonts w:eastAsia="Times New Roman"/>
                <w:sz w:val="20"/>
                <w:szCs w:val="20"/>
              </w:rPr>
            </w:pPr>
          </w:p>
        </w:tc>
        <w:tc>
          <w:tcPr>
            <w:tcW w:w="5" w:type="pct"/>
            <w:vAlign w:val="center"/>
            <w:hideMark/>
          </w:tcPr>
          <w:p w14:paraId="6E26312A" w14:textId="77777777" w:rsidR="00000000" w:rsidRDefault="00405D16">
            <w:pPr>
              <w:spacing w:after="100"/>
              <w:rPr>
                <w:rFonts w:eastAsia="Times New Roman"/>
                <w:sz w:val="20"/>
                <w:szCs w:val="20"/>
              </w:rPr>
            </w:pPr>
          </w:p>
        </w:tc>
        <w:tc>
          <w:tcPr>
            <w:tcW w:w="50" w:type="pct"/>
            <w:vAlign w:val="center"/>
            <w:hideMark/>
          </w:tcPr>
          <w:p w14:paraId="4A3910AB" w14:textId="77777777" w:rsidR="00000000" w:rsidRDefault="00405D16">
            <w:pPr>
              <w:spacing w:after="100"/>
              <w:rPr>
                <w:rFonts w:eastAsia="Times New Roman"/>
                <w:sz w:val="20"/>
                <w:szCs w:val="20"/>
              </w:rPr>
            </w:pPr>
          </w:p>
        </w:tc>
        <w:tc>
          <w:tcPr>
            <w:tcW w:w="376" w:type="pct"/>
            <w:vAlign w:val="center"/>
            <w:hideMark/>
          </w:tcPr>
          <w:p w14:paraId="0A414611" w14:textId="77777777" w:rsidR="00000000" w:rsidRDefault="00405D16">
            <w:pPr>
              <w:spacing w:after="100"/>
              <w:rPr>
                <w:rFonts w:eastAsia="Times New Roman"/>
                <w:sz w:val="20"/>
                <w:szCs w:val="20"/>
              </w:rPr>
            </w:pPr>
          </w:p>
        </w:tc>
        <w:tc>
          <w:tcPr>
            <w:tcW w:w="5" w:type="pct"/>
            <w:vAlign w:val="center"/>
            <w:hideMark/>
          </w:tcPr>
          <w:p w14:paraId="0529BAC5" w14:textId="77777777" w:rsidR="00000000" w:rsidRDefault="00405D16">
            <w:pPr>
              <w:spacing w:after="100"/>
              <w:rPr>
                <w:rFonts w:eastAsia="Times New Roman"/>
                <w:sz w:val="20"/>
                <w:szCs w:val="20"/>
              </w:rPr>
            </w:pPr>
          </w:p>
        </w:tc>
        <w:tc>
          <w:tcPr>
            <w:tcW w:w="5" w:type="pct"/>
            <w:vAlign w:val="center"/>
            <w:hideMark/>
          </w:tcPr>
          <w:p w14:paraId="2CEEBAB6" w14:textId="77777777" w:rsidR="00000000" w:rsidRDefault="00405D16">
            <w:pPr>
              <w:spacing w:after="100"/>
              <w:rPr>
                <w:rFonts w:eastAsia="Times New Roman"/>
                <w:sz w:val="20"/>
                <w:szCs w:val="20"/>
              </w:rPr>
            </w:pPr>
          </w:p>
        </w:tc>
        <w:tc>
          <w:tcPr>
            <w:tcW w:w="26" w:type="pct"/>
            <w:vAlign w:val="center"/>
            <w:hideMark/>
          </w:tcPr>
          <w:p w14:paraId="5D7D92DC" w14:textId="77777777" w:rsidR="00000000" w:rsidRDefault="00405D16">
            <w:pPr>
              <w:spacing w:after="100"/>
              <w:rPr>
                <w:rFonts w:eastAsia="Times New Roman"/>
                <w:sz w:val="20"/>
                <w:szCs w:val="20"/>
              </w:rPr>
            </w:pPr>
          </w:p>
        </w:tc>
        <w:tc>
          <w:tcPr>
            <w:tcW w:w="5" w:type="pct"/>
            <w:vAlign w:val="center"/>
            <w:hideMark/>
          </w:tcPr>
          <w:p w14:paraId="3577EB59" w14:textId="77777777" w:rsidR="00000000" w:rsidRDefault="00405D16">
            <w:pPr>
              <w:spacing w:after="100"/>
              <w:rPr>
                <w:rFonts w:eastAsia="Times New Roman"/>
                <w:sz w:val="20"/>
                <w:szCs w:val="20"/>
              </w:rPr>
            </w:pPr>
          </w:p>
        </w:tc>
        <w:tc>
          <w:tcPr>
            <w:tcW w:w="50" w:type="pct"/>
            <w:vAlign w:val="center"/>
            <w:hideMark/>
          </w:tcPr>
          <w:p w14:paraId="548C7E9C" w14:textId="77777777" w:rsidR="00000000" w:rsidRDefault="00405D16">
            <w:pPr>
              <w:spacing w:after="100"/>
              <w:rPr>
                <w:rFonts w:eastAsia="Times New Roman"/>
                <w:sz w:val="20"/>
                <w:szCs w:val="20"/>
              </w:rPr>
            </w:pPr>
          </w:p>
        </w:tc>
        <w:tc>
          <w:tcPr>
            <w:tcW w:w="376" w:type="pct"/>
            <w:vAlign w:val="center"/>
            <w:hideMark/>
          </w:tcPr>
          <w:p w14:paraId="2CE2193D" w14:textId="77777777" w:rsidR="00000000" w:rsidRDefault="00405D16">
            <w:pPr>
              <w:spacing w:after="100"/>
              <w:rPr>
                <w:rFonts w:eastAsia="Times New Roman"/>
                <w:sz w:val="20"/>
                <w:szCs w:val="20"/>
              </w:rPr>
            </w:pPr>
          </w:p>
        </w:tc>
        <w:tc>
          <w:tcPr>
            <w:tcW w:w="5" w:type="pct"/>
            <w:vAlign w:val="center"/>
            <w:hideMark/>
          </w:tcPr>
          <w:p w14:paraId="78EF0895" w14:textId="77777777" w:rsidR="00000000" w:rsidRDefault="00405D16">
            <w:pPr>
              <w:spacing w:after="100"/>
              <w:rPr>
                <w:rFonts w:eastAsia="Times New Roman"/>
                <w:sz w:val="20"/>
                <w:szCs w:val="20"/>
              </w:rPr>
            </w:pPr>
          </w:p>
        </w:tc>
        <w:tc>
          <w:tcPr>
            <w:tcW w:w="5" w:type="pct"/>
            <w:vAlign w:val="center"/>
            <w:hideMark/>
          </w:tcPr>
          <w:p w14:paraId="05292AA7" w14:textId="77777777" w:rsidR="00000000" w:rsidRDefault="00405D16">
            <w:pPr>
              <w:spacing w:after="100"/>
              <w:rPr>
                <w:rFonts w:eastAsia="Times New Roman"/>
                <w:sz w:val="20"/>
                <w:szCs w:val="20"/>
              </w:rPr>
            </w:pPr>
          </w:p>
        </w:tc>
        <w:tc>
          <w:tcPr>
            <w:tcW w:w="26" w:type="pct"/>
            <w:vAlign w:val="center"/>
            <w:hideMark/>
          </w:tcPr>
          <w:p w14:paraId="1755F926" w14:textId="77777777" w:rsidR="00000000" w:rsidRDefault="00405D16">
            <w:pPr>
              <w:spacing w:after="100"/>
              <w:rPr>
                <w:rFonts w:eastAsia="Times New Roman"/>
                <w:sz w:val="20"/>
                <w:szCs w:val="20"/>
              </w:rPr>
            </w:pPr>
          </w:p>
        </w:tc>
        <w:tc>
          <w:tcPr>
            <w:tcW w:w="5" w:type="pct"/>
            <w:vAlign w:val="center"/>
            <w:hideMark/>
          </w:tcPr>
          <w:p w14:paraId="5843EE49" w14:textId="77777777" w:rsidR="00000000" w:rsidRDefault="00405D16">
            <w:pPr>
              <w:spacing w:after="100"/>
              <w:rPr>
                <w:rFonts w:eastAsia="Times New Roman"/>
                <w:sz w:val="20"/>
                <w:szCs w:val="20"/>
              </w:rPr>
            </w:pPr>
          </w:p>
        </w:tc>
        <w:tc>
          <w:tcPr>
            <w:tcW w:w="50" w:type="pct"/>
            <w:vAlign w:val="center"/>
            <w:hideMark/>
          </w:tcPr>
          <w:p w14:paraId="41194B4C" w14:textId="77777777" w:rsidR="00000000" w:rsidRDefault="00405D16">
            <w:pPr>
              <w:spacing w:after="100"/>
              <w:rPr>
                <w:rFonts w:eastAsia="Times New Roman"/>
                <w:sz w:val="20"/>
                <w:szCs w:val="20"/>
              </w:rPr>
            </w:pPr>
          </w:p>
        </w:tc>
        <w:tc>
          <w:tcPr>
            <w:tcW w:w="376" w:type="pct"/>
            <w:vAlign w:val="center"/>
            <w:hideMark/>
          </w:tcPr>
          <w:p w14:paraId="026A8837" w14:textId="77777777" w:rsidR="00000000" w:rsidRDefault="00405D16">
            <w:pPr>
              <w:spacing w:after="100"/>
              <w:rPr>
                <w:rFonts w:eastAsia="Times New Roman"/>
                <w:sz w:val="20"/>
                <w:szCs w:val="20"/>
              </w:rPr>
            </w:pPr>
          </w:p>
        </w:tc>
        <w:tc>
          <w:tcPr>
            <w:tcW w:w="5" w:type="pct"/>
            <w:vAlign w:val="center"/>
            <w:hideMark/>
          </w:tcPr>
          <w:p w14:paraId="4BF86525" w14:textId="77777777" w:rsidR="00000000" w:rsidRDefault="00405D16">
            <w:pPr>
              <w:spacing w:after="100"/>
              <w:rPr>
                <w:rFonts w:eastAsia="Times New Roman"/>
                <w:sz w:val="20"/>
                <w:szCs w:val="20"/>
              </w:rPr>
            </w:pPr>
          </w:p>
        </w:tc>
      </w:tr>
      <w:tr w:rsidR="00000000" w14:paraId="2953A5FA" w14:textId="77777777">
        <w:trPr>
          <w:divId w:val="743991477"/>
        </w:trPr>
        <w:tc>
          <w:tcPr>
            <w:tcW w:w="0" w:type="auto"/>
            <w:gridSpan w:val="3"/>
            <w:tcMar>
              <w:top w:w="0" w:type="dxa"/>
              <w:left w:w="20" w:type="dxa"/>
              <w:bottom w:w="0" w:type="dxa"/>
              <w:right w:w="20" w:type="dxa"/>
            </w:tcMar>
            <w:vAlign w:val="center"/>
            <w:hideMark/>
          </w:tcPr>
          <w:p w14:paraId="1011C8B0"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54CBAD1" w14:textId="77777777" w:rsidR="00000000" w:rsidRDefault="00405D16">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14:paraId="3BA7A437" w14:textId="77777777" w:rsidR="00000000" w:rsidRDefault="00405D16">
            <w:pPr>
              <w:spacing w:after="100"/>
              <w:jc w:val="center"/>
              <w:rPr>
                <w:rFonts w:eastAsia="Times New Roman"/>
              </w:rPr>
            </w:pPr>
            <w:r>
              <w:rPr>
                <w:rFonts w:eastAsia="Times New Roman"/>
                <w:b/>
                <w:bCs/>
                <w:color w:val="000000"/>
                <w:sz w:val="16"/>
                <w:szCs w:val="16"/>
              </w:rPr>
              <w:t>September 30, 2021</w:t>
            </w:r>
          </w:p>
        </w:tc>
      </w:tr>
      <w:tr w:rsidR="00000000" w14:paraId="45A34F77" w14:textId="77777777">
        <w:trPr>
          <w:divId w:val="743991477"/>
        </w:trPr>
        <w:tc>
          <w:tcPr>
            <w:tcW w:w="0" w:type="auto"/>
            <w:gridSpan w:val="3"/>
            <w:tcMar>
              <w:top w:w="0" w:type="dxa"/>
              <w:left w:w="20" w:type="dxa"/>
              <w:bottom w:w="0" w:type="dxa"/>
              <w:right w:w="20" w:type="dxa"/>
            </w:tcMar>
            <w:vAlign w:val="center"/>
            <w:hideMark/>
          </w:tcPr>
          <w:p w14:paraId="0913330D" w14:textId="77777777" w:rsidR="00000000" w:rsidRDefault="00405D1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09A3B49" w14:textId="77777777" w:rsidR="00000000" w:rsidRDefault="00405D16">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77E136E2" w14:textId="77777777" w:rsidR="00000000" w:rsidRDefault="00405D16">
            <w:pPr>
              <w:spacing w:after="100"/>
              <w:jc w:val="center"/>
              <w:rPr>
                <w:rFonts w:eastAsia="Times New Roman"/>
              </w:rPr>
            </w:pPr>
            <w:r>
              <w:rPr>
                <w:rFonts w:eastAsia="Times New Roman"/>
                <w:b/>
                <w:bCs/>
                <w:color w:val="000000"/>
                <w:sz w:val="16"/>
                <w:szCs w:val="16"/>
              </w:rPr>
              <w:t>Less than 12 Months</w:t>
            </w:r>
          </w:p>
        </w:tc>
        <w:tc>
          <w:tcPr>
            <w:tcW w:w="0" w:type="auto"/>
            <w:gridSpan w:val="3"/>
            <w:tcBorders>
              <w:top w:val="single" w:sz="8" w:space="0" w:color="000000"/>
            </w:tcBorders>
            <w:tcMar>
              <w:top w:w="0" w:type="dxa"/>
              <w:left w:w="20" w:type="dxa"/>
              <w:bottom w:w="0" w:type="dxa"/>
              <w:right w:w="20" w:type="dxa"/>
            </w:tcMar>
            <w:vAlign w:val="center"/>
            <w:hideMark/>
          </w:tcPr>
          <w:p w14:paraId="1603745D" w14:textId="77777777" w:rsidR="00000000" w:rsidRDefault="00405D16">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1D93DBCB" w14:textId="77777777" w:rsidR="00000000" w:rsidRDefault="00405D16">
            <w:pPr>
              <w:spacing w:after="100"/>
              <w:jc w:val="center"/>
              <w:rPr>
                <w:rFonts w:eastAsia="Times New Roman"/>
              </w:rPr>
            </w:pPr>
            <w:r>
              <w:rPr>
                <w:rFonts w:eastAsia="Times New Roman"/>
                <w:b/>
                <w:bCs/>
                <w:color w:val="000000"/>
                <w:sz w:val="16"/>
                <w:szCs w:val="16"/>
              </w:rPr>
              <w:t>12 Months or Longer</w:t>
            </w:r>
          </w:p>
        </w:tc>
        <w:tc>
          <w:tcPr>
            <w:tcW w:w="0" w:type="auto"/>
            <w:gridSpan w:val="3"/>
            <w:tcBorders>
              <w:top w:val="single" w:sz="8" w:space="0" w:color="000000"/>
            </w:tcBorders>
            <w:tcMar>
              <w:top w:w="0" w:type="dxa"/>
              <w:left w:w="20" w:type="dxa"/>
              <w:bottom w:w="0" w:type="dxa"/>
              <w:right w:w="20" w:type="dxa"/>
            </w:tcMar>
            <w:vAlign w:val="center"/>
            <w:hideMark/>
          </w:tcPr>
          <w:p w14:paraId="4C63C393" w14:textId="77777777" w:rsidR="00000000" w:rsidRDefault="00405D16">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2A52CD86" w14:textId="77777777" w:rsidR="00000000" w:rsidRDefault="00405D16">
            <w:pPr>
              <w:spacing w:after="100"/>
              <w:jc w:val="center"/>
              <w:rPr>
                <w:rFonts w:eastAsia="Times New Roman"/>
              </w:rPr>
            </w:pPr>
            <w:r>
              <w:rPr>
                <w:rFonts w:eastAsia="Times New Roman"/>
                <w:b/>
                <w:bCs/>
                <w:color w:val="000000"/>
                <w:sz w:val="16"/>
                <w:szCs w:val="16"/>
              </w:rPr>
              <w:t>Total</w:t>
            </w:r>
          </w:p>
        </w:tc>
      </w:tr>
      <w:tr w:rsidR="00000000" w14:paraId="51A9EA99" w14:textId="77777777">
        <w:trPr>
          <w:divId w:val="743991477"/>
        </w:trPr>
        <w:tc>
          <w:tcPr>
            <w:tcW w:w="0" w:type="auto"/>
            <w:gridSpan w:val="3"/>
            <w:tcMar>
              <w:top w:w="30" w:type="dxa"/>
              <w:left w:w="20" w:type="dxa"/>
              <w:bottom w:w="30" w:type="dxa"/>
              <w:right w:w="20" w:type="dxa"/>
            </w:tcMar>
            <w:vAlign w:val="bottom"/>
            <w:hideMark/>
          </w:tcPr>
          <w:p w14:paraId="252C7481"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357E3E66"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72C981C" w14:textId="77777777" w:rsidR="00000000" w:rsidRDefault="00405D16">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14:paraId="14D447D6"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ED4922B" w14:textId="77777777" w:rsidR="00000000" w:rsidRDefault="00405D16">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Mar>
              <w:top w:w="0" w:type="dxa"/>
              <w:left w:w="20" w:type="dxa"/>
              <w:bottom w:w="0" w:type="dxa"/>
              <w:right w:w="20" w:type="dxa"/>
            </w:tcMar>
            <w:vAlign w:val="center"/>
            <w:hideMark/>
          </w:tcPr>
          <w:p w14:paraId="2BF842A8"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E21E1FF" w14:textId="77777777" w:rsidR="00000000" w:rsidRDefault="00405D16">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14:paraId="24E7F1F8"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13A7428" w14:textId="77777777" w:rsidR="00000000" w:rsidRDefault="00405D16">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Mar>
              <w:top w:w="0" w:type="dxa"/>
              <w:left w:w="20" w:type="dxa"/>
              <w:bottom w:w="0" w:type="dxa"/>
              <w:right w:w="20" w:type="dxa"/>
            </w:tcMar>
            <w:vAlign w:val="center"/>
            <w:hideMark/>
          </w:tcPr>
          <w:p w14:paraId="6A872428"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D82F5A9" w14:textId="77777777" w:rsidR="00000000" w:rsidRDefault="00405D16">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14:paraId="04173A27"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A1E90E9" w14:textId="77777777" w:rsidR="00000000" w:rsidRDefault="00405D16">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r>
      <w:tr w:rsidR="00000000" w14:paraId="6CCAD1A5" w14:textId="77777777">
        <w:trPr>
          <w:divId w:val="74399147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E99D302" w14:textId="77777777" w:rsidR="00000000" w:rsidRDefault="00405D16">
            <w:pPr>
              <w:spacing w:after="100"/>
              <w:rPr>
                <w:rFonts w:eastAsia="Times New Roman"/>
              </w:rPr>
            </w:pPr>
            <w:r>
              <w:rPr>
                <w:rFonts w:eastAsia="Times New Roman"/>
                <w:b/>
                <w:bCs/>
                <w:color w:val="000000"/>
                <w:sz w:val="18"/>
                <w:szCs w:val="18"/>
              </w:rPr>
              <w:t>Investment securities available for sale without an allowance for credit losses:</w:t>
            </w:r>
          </w:p>
        </w:tc>
        <w:tc>
          <w:tcPr>
            <w:tcW w:w="0" w:type="auto"/>
            <w:gridSpan w:val="3"/>
            <w:shd w:val="clear" w:color="auto" w:fill="CCEEFF"/>
            <w:tcMar>
              <w:top w:w="0" w:type="dxa"/>
              <w:left w:w="20" w:type="dxa"/>
              <w:bottom w:w="0" w:type="dxa"/>
              <w:right w:w="20" w:type="dxa"/>
            </w:tcMar>
            <w:vAlign w:val="center"/>
            <w:hideMark/>
          </w:tcPr>
          <w:p w14:paraId="6E40F55A"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1160D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BC647B"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C6796C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0F3C4E"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C89868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F9DA9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6443AA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8C2544"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57E657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065B51"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7EA2643" w14:textId="77777777" w:rsidR="00000000" w:rsidRDefault="00405D16">
            <w:pPr>
              <w:spacing w:after="100"/>
              <w:rPr>
                <w:rFonts w:eastAsia="Times New Roman"/>
                <w:sz w:val="20"/>
                <w:szCs w:val="20"/>
              </w:rPr>
            </w:pPr>
          </w:p>
        </w:tc>
      </w:tr>
      <w:tr w:rsidR="00000000" w14:paraId="1B8F2BC0" w14:textId="77777777">
        <w:trPr>
          <w:divId w:val="743991477"/>
        </w:trPr>
        <w:tc>
          <w:tcPr>
            <w:tcW w:w="0" w:type="auto"/>
            <w:gridSpan w:val="3"/>
            <w:vAlign w:val="center"/>
            <w:hideMark/>
          </w:tcPr>
          <w:p w14:paraId="3BD9AA24" w14:textId="77777777" w:rsidR="00000000" w:rsidRDefault="00405D16">
            <w:pPr>
              <w:spacing w:after="100"/>
              <w:rPr>
                <w:rFonts w:eastAsia="Times New Roman"/>
                <w:sz w:val="20"/>
                <w:szCs w:val="20"/>
              </w:rPr>
            </w:pPr>
          </w:p>
        </w:tc>
        <w:tc>
          <w:tcPr>
            <w:tcW w:w="0" w:type="auto"/>
            <w:gridSpan w:val="3"/>
            <w:vAlign w:val="center"/>
            <w:hideMark/>
          </w:tcPr>
          <w:p w14:paraId="28610304" w14:textId="77777777" w:rsidR="00000000" w:rsidRDefault="00405D16">
            <w:pPr>
              <w:spacing w:after="100"/>
              <w:rPr>
                <w:rFonts w:eastAsia="Times New Roman"/>
                <w:sz w:val="20"/>
                <w:szCs w:val="20"/>
              </w:rPr>
            </w:pPr>
          </w:p>
        </w:tc>
        <w:tc>
          <w:tcPr>
            <w:tcW w:w="0" w:type="auto"/>
            <w:gridSpan w:val="3"/>
            <w:vAlign w:val="center"/>
            <w:hideMark/>
          </w:tcPr>
          <w:p w14:paraId="2CBD856C" w14:textId="77777777" w:rsidR="00000000" w:rsidRDefault="00405D16">
            <w:pPr>
              <w:spacing w:after="100"/>
              <w:rPr>
                <w:rFonts w:eastAsia="Times New Roman"/>
                <w:sz w:val="20"/>
                <w:szCs w:val="20"/>
              </w:rPr>
            </w:pPr>
          </w:p>
        </w:tc>
        <w:tc>
          <w:tcPr>
            <w:tcW w:w="0" w:type="auto"/>
            <w:gridSpan w:val="3"/>
            <w:vAlign w:val="center"/>
            <w:hideMark/>
          </w:tcPr>
          <w:p w14:paraId="7DB45952" w14:textId="77777777" w:rsidR="00000000" w:rsidRDefault="00405D16">
            <w:pPr>
              <w:spacing w:after="100"/>
              <w:rPr>
                <w:rFonts w:eastAsia="Times New Roman"/>
                <w:sz w:val="20"/>
                <w:szCs w:val="20"/>
              </w:rPr>
            </w:pPr>
          </w:p>
        </w:tc>
        <w:tc>
          <w:tcPr>
            <w:tcW w:w="0" w:type="auto"/>
            <w:gridSpan w:val="3"/>
            <w:vAlign w:val="center"/>
            <w:hideMark/>
          </w:tcPr>
          <w:p w14:paraId="0AD39DDF" w14:textId="77777777" w:rsidR="00000000" w:rsidRDefault="00405D16">
            <w:pPr>
              <w:spacing w:after="100"/>
              <w:rPr>
                <w:rFonts w:eastAsia="Times New Roman"/>
                <w:sz w:val="20"/>
                <w:szCs w:val="20"/>
              </w:rPr>
            </w:pPr>
          </w:p>
        </w:tc>
        <w:tc>
          <w:tcPr>
            <w:tcW w:w="0" w:type="auto"/>
            <w:gridSpan w:val="3"/>
            <w:vAlign w:val="center"/>
            <w:hideMark/>
          </w:tcPr>
          <w:p w14:paraId="735C29E2" w14:textId="77777777" w:rsidR="00000000" w:rsidRDefault="00405D16">
            <w:pPr>
              <w:spacing w:after="100"/>
              <w:rPr>
                <w:rFonts w:eastAsia="Times New Roman"/>
                <w:sz w:val="20"/>
                <w:szCs w:val="20"/>
              </w:rPr>
            </w:pPr>
          </w:p>
        </w:tc>
        <w:tc>
          <w:tcPr>
            <w:tcW w:w="0" w:type="auto"/>
            <w:gridSpan w:val="3"/>
            <w:vAlign w:val="center"/>
            <w:hideMark/>
          </w:tcPr>
          <w:p w14:paraId="31BFB3F2" w14:textId="77777777" w:rsidR="00000000" w:rsidRDefault="00405D16">
            <w:pPr>
              <w:spacing w:after="100"/>
              <w:rPr>
                <w:rFonts w:eastAsia="Times New Roman"/>
                <w:sz w:val="20"/>
                <w:szCs w:val="20"/>
              </w:rPr>
            </w:pPr>
          </w:p>
        </w:tc>
        <w:tc>
          <w:tcPr>
            <w:tcW w:w="0" w:type="auto"/>
            <w:gridSpan w:val="3"/>
            <w:vAlign w:val="center"/>
            <w:hideMark/>
          </w:tcPr>
          <w:p w14:paraId="226713AC" w14:textId="77777777" w:rsidR="00000000" w:rsidRDefault="00405D16">
            <w:pPr>
              <w:spacing w:after="100"/>
              <w:rPr>
                <w:rFonts w:eastAsia="Times New Roman"/>
                <w:sz w:val="20"/>
                <w:szCs w:val="20"/>
              </w:rPr>
            </w:pPr>
          </w:p>
        </w:tc>
        <w:tc>
          <w:tcPr>
            <w:tcW w:w="0" w:type="auto"/>
            <w:gridSpan w:val="3"/>
            <w:vAlign w:val="center"/>
            <w:hideMark/>
          </w:tcPr>
          <w:p w14:paraId="676A6F45" w14:textId="77777777" w:rsidR="00000000" w:rsidRDefault="00405D16">
            <w:pPr>
              <w:spacing w:after="100"/>
              <w:rPr>
                <w:rFonts w:eastAsia="Times New Roman"/>
                <w:sz w:val="20"/>
                <w:szCs w:val="20"/>
              </w:rPr>
            </w:pPr>
          </w:p>
        </w:tc>
        <w:tc>
          <w:tcPr>
            <w:tcW w:w="0" w:type="auto"/>
            <w:gridSpan w:val="3"/>
            <w:vAlign w:val="center"/>
            <w:hideMark/>
          </w:tcPr>
          <w:p w14:paraId="793B9656" w14:textId="77777777" w:rsidR="00000000" w:rsidRDefault="00405D16">
            <w:pPr>
              <w:spacing w:after="100"/>
              <w:rPr>
                <w:rFonts w:eastAsia="Times New Roman"/>
                <w:sz w:val="20"/>
                <w:szCs w:val="20"/>
              </w:rPr>
            </w:pPr>
          </w:p>
        </w:tc>
        <w:tc>
          <w:tcPr>
            <w:tcW w:w="0" w:type="auto"/>
            <w:gridSpan w:val="3"/>
            <w:vAlign w:val="center"/>
            <w:hideMark/>
          </w:tcPr>
          <w:p w14:paraId="7E034D23" w14:textId="77777777" w:rsidR="00000000" w:rsidRDefault="00405D16">
            <w:pPr>
              <w:spacing w:after="100"/>
              <w:rPr>
                <w:rFonts w:eastAsia="Times New Roman"/>
                <w:sz w:val="20"/>
                <w:szCs w:val="20"/>
              </w:rPr>
            </w:pPr>
          </w:p>
        </w:tc>
        <w:tc>
          <w:tcPr>
            <w:tcW w:w="0" w:type="auto"/>
            <w:gridSpan w:val="3"/>
            <w:vAlign w:val="center"/>
            <w:hideMark/>
          </w:tcPr>
          <w:p w14:paraId="5FB32722" w14:textId="77777777" w:rsidR="00000000" w:rsidRDefault="00405D16">
            <w:pPr>
              <w:spacing w:after="100"/>
              <w:rPr>
                <w:rFonts w:eastAsia="Times New Roman"/>
                <w:sz w:val="20"/>
                <w:szCs w:val="20"/>
              </w:rPr>
            </w:pPr>
          </w:p>
        </w:tc>
        <w:tc>
          <w:tcPr>
            <w:tcW w:w="0" w:type="auto"/>
            <w:gridSpan w:val="3"/>
            <w:vAlign w:val="center"/>
            <w:hideMark/>
          </w:tcPr>
          <w:p w14:paraId="76F12115" w14:textId="77777777" w:rsidR="00000000" w:rsidRDefault="00405D16">
            <w:pPr>
              <w:spacing w:after="100"/>
              <w:rPr>
                <w:rFonts w:eastAsia="Times New Roman"/>
                <w:sz w:val="20"/>
                <w:szCs w:val="20"/>
              </w:rPr>
            </w:pPr>
          </w:p>
        </w:tc>
      </w:tr>
      <w:tr w:rsidR="00000000" w14:paraId="3F926916" w14:textId="77777777">
        <w:trPr>
          <w:divId w:val="743991477"/>
        </w:trPr>
        <w:tc>
          <w:tcPr>
            <w:tcW w:w="0" w:type="auto"/>
            <w:gridSpan w:val="3"/>
            <w:shd w:val="clear" w:color="auto" w:fill="FFFFFF"/>
            <w:tcMar>
              <w:top w:w="30" w:type="dxa"/>
              <w:left w:w="20" w:type="dxa"/>
              <w:bottom w:w="30" w:type="dxa"/>
              <w:right w:w="20" w:type="dxa"/>
            </w:tcMar>
            <w:vAlign w:val="center"/>
            <w:hideMark/>
          </w:tcPr>
          <w:p w14:paraId="5E8E27CF" w14:textId="77777777" w:rsidR="00000000" w:rsidRDefault="00405D16">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14:paraId="0E9A1FD9"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C46DA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B02EE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0468C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35573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60A63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D44FE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0A7AA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0F5C4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5448A4"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73998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D61FE4" w14:textId="77777777" w:rsidR="00000000" w:rsidRDefault="00405D16">
            <w:pPr>
              <w:spacing w:after="100"/>
              <w:rPr>
                <w:rFonts w:eastAsia="Times New Roman"/>
                <w:sz w:val="20"/>
                <w:szCs w:val="20"/>
              </w:rPr>
            </w:pPr>
          </w:p>
        </w:tc>
      </w:tr>
      <w:tr w:rsidR="00000000" w14:paraId="64996745" w14:textId="77777777">
        <w:trPr>
          <w:divId w:val="743991477"/>
        </w:trPr>
        <w:tc>
          <w:tcPr>
            <w:tcW w:w="0" w:type="auto"/>
            <w:gridSpan w:val="3"/>
            <w:shd w:val="clear" w:color="auto" w:fill="CCEEFF"/>
            <w:tcMar>
              <w:top w:w="30" w:type="dxa"/>
              <w:left w:w="245" w:type="dxa"/>
              <w:bottom w:w="30" w:type="dxa"/>
              <w:right w:w="20" w:type="dxa"/>
            </w:tcMar>
            <w:vAlign w:val="center"/>
            <w:hideMark/>
          </w:tcPr>
          <w:p w14:paraId="6ED6431C" w14:textId="77777777" w:rsidR="00000000" w:rsidRDefault="00405D16">
            <w:pPr>
              <w:spacing w:after="100"/>
              <w:rPr>
                <w:rFonts w:eastAsia="Times New Roman"/>
              </w:rPr>
            </w:pPr>
            <w:r>
              <w:rPr>
                <w:rFonts w:eastAsia="Times New Roman"/>
                <w:color w:val="000000"/>
                <w:sz w:val="18"/>
                <w:szCs w:val="18"/>
              </w:rPr>
              <w:t>Agency</w:t>
            </w:r>
          </w:p>
        </w:tc>
        <w:tc>
          <w:tcPr>
            <w:tcW w:w="0" w:type="auto"/>
            <w:gridSpan w:val="3"/>
            <w:shd w:val="clear" w:color="auto" w:fill="CCEEFF"/>
            <w:tcMar>
              <w:top w:w="0" w:type="dxa"/>
              <w:left w:w="20" w:type="dxa"/>
              <w:bottom w:w="0" w:type="dxa"/>
              <w:right w:w="20" w:type="dxa"/>
            </w:tcMar>
            <w:vAlign w:val="center"/>
            <w:hideMark/>
          </w:tcPr>
          <w:p w14:paraId="2CD98C5F" w14:textId="77777777" w:rsidR="00000000" w:rsidRDefault="00405D16">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30EAF473"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40B0B4BF" w14:textId="77777777" w:rsidR="00000000" w:rsidRDefault="00405D16">
            <w:pPr>
              <w:spacing w:after="100"/>
              <w:jc w:val="right"/>
              <w:rPr>
                <w:rFonts w:eastAsia="Times New Roman"/>
              </w:rPr>
            </w:pPr>
            <w:r>
              <w:rPr>
                <w:rFonts w:eastAsia="Times New Roman"/>
                <w:b/>
                <w:bCs/>
                <w:color w:val="000000"/>
                <w:sz w:val="18"/>
                <w:szCs w:val="18"/>
              </w:rPr>
              <w:t>35,415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612DC7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A10D09"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397DEE82"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2F33BBB5" w14:textId="77777777" w:rsidR="00000000" w:rsidRDefault="00405D16">
            <w:pPr>
              <w:spacing w:after="100"/>
              <w:jc w:val="right"/>
              <w:rPr>
                <w:rFonts w:eastAsia="Times New Roman"/>
              </w:rPr>
            </w:pPr>
            <w:r>
              <w:rPr>
                <w:rFonts w:eastAsia="Times New Roman"/>
                <w:b/>
                <w:bCs/>
                <w:color w:val="000000"/>
                <w:sz w:val="18"/>
                <w:szCs w:val="18"/>
              </w:rPr>
              <w:t>(519)</w:t>
            </w:r>
          </w:p>
        </w:tc>
        <w:tc>
          <w:tcPr>
            <w:tcW w:w="0" w:type="auto"/>
            <w:shd w:val="clear" w:color="auto" w:fill="CCEEFF"/>
            <w:tcMar>
              <w:top w:w="30" w:type="dxa"/>
              <w:left w:w="0" w:type="dxa"/>
              <w:bottom w:w="30" w:type="dxa"/>
              <w:right w:w="20" w:type="dxa"/>
            </w:tcMar>
            <w:vAlign w:val="center"/>
            <w:hideMark/>
          </w:tcPr>
          <w:p w14:paraId="6EB4D75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B6BEA3"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3FBC415E"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342477EF" w14:textId="77777777" w:rsidR="00000000" w:rsidRDefault="00405D16">
            <w:pPr>
              <w:spacing w:after="100"/>
              <w:jc w:val="right"/>
              <w:rPr>
                <w:rFonts w:eastAsia="Times New Roman"/>
              </w:rPr>
            </w:pPr>
            <w:r>
              <w:rPr>
                <w:rFonts w:eastAsia="Times New Roman"/>
                <w:b/>
                <w:bCs/>
                <w:color w:val="000000"/>
                <w:sz w:val="18"/>
                <w:szCs w:val="18"/>
              </w:rPr>
              <w:t>4,068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619DBE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16CD3E"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5ACC9B90"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7678CD8F" w14:textId="77777777" w:rsidR="00000000" w:rsidRDefault="00405D16">
            <w:pPr>
              <w:spacing w:after="100"/>
              <w:jc w:val="right"/>
              <w:rPr>
                <w:rFonts w:eastAsia="Times New Roman"/>
              </w:rPr>
            </w:pPr>
            <w:r>
              <w:rPr>
                <w:rFonts w:eastAsia="Times New Roman"/>
                <w:b/>
                <w:bCs/>
                <w:color w:val="000000"/>
                <w:sz w:val="18"/>
                <w:szCs w:val="18"/>
              </w:rPr>
              <w:t>(98)</w:t>
            </w:r>
          </w:p>
        </w:tc>
        <w:tc>
          <w:tcPr>
            <w:tcW w:w="0" w:type="auto"/>
            <w:shd w:val="clear" w:color="auto" w:fill="CCEEFF"/>
            <w:tcMar>
              <w:top w:w="30" w:type="dxa"/>
              <w:left w:w="0" w:type="dxa"/>
              <w:bottom w:w="30" w:type="dxa"/>
              <w:right w:w="20" w:type="dxa"/>
            </w:tcMar>
            <w:vAlign w:val="center"/>
            <w:hideMark/>
          </w:tcPr>
          <w:p w14:paraId="1372D68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9C71A0"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07BFE1A4"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6740143C" w14:textId="77777777" w:rsidR="00000000" w:rsidRDefault="00405D16">
            <w:pPr>
              <w:spacing w:after="100"/>
              <w:jc w:val="right"/>
              <w:rPr>
                <w:rFonts w:eastAsia="Times New Roman"/>
              </w:rPr>
            </w:pPr>
            <w:r>
              <w:rPr>
                <w:rFonts w:eastAsia="Times New Roman"/>
                <w:b/>
                <w:bCs/>
                <w:color w:val="000000"/>
                <w:sz w:val="18"/>
                <w:szCs w:val="18"/>
              </w:rPr>
              <w:t>39,483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05542D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F16A41"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2585EBAC"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1DAEF7D6" w14:textId="77777777" w:rsidR="00000000" w:rsidRDefault="00405D16">
            <w:pPr>
              <w:spacing w:after="100"/>
              <w:jc w:val="right"/>
              <w:rPr>
                <w:rFonts w:eastAsia="Times New Roman"/>
              </w:rPr>
            </w:pPr>
            <w:r>
              <w:rPr>
                <w:rFonts w:eastAsia="Times New Roman"/>
                <w:b/>
                <w:bCs/>
                <w:color w:val="000000"/>
                <w:sz w:val="18"/>
                <w:szCs w:val="18"/>
              </w:rPr>
              <w:t>(617)</w:t>
            </w:r>
          </w:p>
        </w:tc>
        <w:tc>
          <w:tcPr>
            <w:tcW w:w="0" w:type="auto"/>
            <w:shd w:val="clear" w:color="auto" w:fill="CCEEFF"/>
            <w:tcMar>
              <w:top w:w="30" w:type="dxa"/>
              <w:left w:w="0" w:type="dxa"/>
              <w:bottom w:w="30" w:type="dxa"/>
              <w:right w:w="20" w:type="dxa"/>
            </w:tcMar>
            <w:vAlign w:val="center"/>
            <w:hideMark/>
          </w:tcPr>
          <w:p w14:paraId="5C6688C2" w14:textId="77777777" w:rsidR="00000000" w:rsidRDefault="00405D16">
            <w:pPr>
              <w:spacing w:after="100"/>
              <w:jc w:val="right"/>
              <w:rPr>
                <w:rFonts w:eastAsia="Times New Roman"/>
              </w:rPr>
            </w:pPr>
          </w:p>
        </w:tc>
      </w:tr>
      <w:tr w:rsidR="00000000" w14:paraId="36A260B4" w14:textId="77777777">
        <w:trPr>
          <w:divId w:val="743991477"/>
        </w:trPr>
        <w:tc>
          <w:tcPr>
            <w:tcW w:w="0" w:type="auto"/>
            <w:gridSpan w:val="3"/>
            <w:shd w:val="clear" w:color="auto" w:fill="FFFFFF"/>
            <w:tcMar>
              <w:top w:w="30" w:type="dxa"/>
              <w:left w:w="245" w:type="dxa"/>
              <w:bottom w:w="30" w:type="dxa"/>
              <w:right w:w="20" w:type="dxa"/>
            </w:tcMar>
            <w:vAlign w:val="center"/>
            <w:hideMark/>
          </w:tcPr>
          <w:p w14:paraId="6C1BB860" w14:textId="77777777" w:rsidR="00000000" w:rsidRDefault="00405D16">
            <w:pPr>
              <w:spacing w:after="100"/>
              <w:rPr>
                <w:rFonts w:eastAsia="Times New Roman"/>
              </w:rPr>
            </w:pPr>
            <w:r>
              <w:rPr>
                <w:rFonts w:eastAsia="Times New Roman"/>
                <w:color w:val="000000"/>
                <w:sz w:val="18"/>
                <w:szCs w:val="18"/>
              </w:rPr>
              <w:t>Non-agency</w:t>
            </w:r>
          </w:p>
        </w:tc>
        <w:tc>
          <w:tcPr>
            <w:tcW w:w="0" w:type="auto"/>
            <w:gridSpan w:val="3"/>
            <w:shd w:val="clear" w:color="auto" w:fill="FFFFFF"/>
            <w:tcMar>
              <w:top w:w="0" w:type="dxa"/>
              <w:left w:w="20" w:type="dxa"/>
              <w:bottom w:w="0" w:type="dxa"/>
              <w:right w:w="20" w:type="dxa"/>
            </w:tcMar>
            <w:vAlign w:val="center"/>
            <w:hideMark/>
          </w:tcPr>
          <w:p w14:paraId="7E7D33CE"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4396CA2"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A09540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E852F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5C40589"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C14FB8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029B6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B106FB8" w14:textId="77777777" w:rsidR="00000000" w:rsidRDefault="00405D16">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09AD39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B50BE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2972724"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BC551C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DF97B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BCB1BAC" w14:textId="77777777" w:rsidR="00000000" w:rsidRDefault="00405D16">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9F15C1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65D61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CD1EE23"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CA9BC1D" w14:textId="77777777" w:rsidR="00000000" w:rsidRDefault="00405D16">
            <w:pPr>
              <w:spacing w:after="100"/>
              <w:jc w:val="right"/>
              <w:rPr>
                <w:rFonts w:eastAsia="Times New Roman"/>
              </w:rPr>
            </w:pPr>
          </w:p>
        </w:tc>
      </w:tr>
      <w:tr w:rsidR="00000000" w14:paraId="655EE26E" w14:textId="77777777">
        <w:trPr>
          <w:divId w:val="743991477"/>
        </w:trPr>
        <w:tc>
          <w:tcPr>
            <w:tcW w:w="0" w:type="auto"/>
            <w:gridSpan w:val="3"/>
            <w:shd w:val="clear" w:color="auto" w:fill="CCEEFF"/>
            <w:tcMar>
              <w:top w:w="30" w:type="dxa"/>
              <w:left w:w="20" w:type="dxa"/>
              <w:bottom w:w="30" w:type="dxa"/>
              <w:right w:w="20" w:type="dxa"/>
            </w:tcMar>
            <w:vAlign w:val="center"/>
            <w:hideMark/>
          </w:tcPr>
          <w:p w14:paraId="0E64ADC3" w14:textId="77777777" w:rsidR="00000000" w:rsidRDefault="00405D16">
            <w:pPr>
              <w:spacing w:after="100"/>
              <w:rPr>
                <w:rFonts w:eastAsia="Times New Roman"/>
              </w:rPr>
            </w:pPr>
            <w:r>
              <w:rPr>
                <w:rFonts w:eastAsia="Times New Roman"/>
                <w:color w:val="000000"/>
                <w:sz w:val="18"/>
                <w:szCs w:val="18"/>
              </w:rPr>
              <w:t>Total RMBS</w:t>
            </w:r>
          </w:p>
        </w:tc>
        <w:tc>
          <w:tcPr>
            <w:tcW w:w="0" w:type="auto"/>
            <w:gridSpan w:val="3"/>
            <w:shd w:val="clear" w:color="auto" w:fill="CCEEFF"/>
            <w:tcMar>
              <w:top w:w="0" w:type="dxa"/>
              <w:left w:w="20" w:type="dxa"/>
              <w:bottom w:w="0" w:type="dxa"/>
              <w:right w:w="20" w:type="dxa"/>
            </w:tcMar>
            <w:vAlign w:val="center"/>
            <w:hideMark/>
          </w:tcPr>
          <w:p w14:paraId="476AD98C"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928A32D" w14:textId="77777777" w:rsidR="00000000" w:rsidRDefault="00405D16">
            <w:pPr>
              <w:spacing w:after="100"/>
              <w:jc w:val="right"/>
              <w:rPr>
                <w:rFonts w:eastAsia="Times New Roman"/>
              </w:rPr>
            </w:pPr>
            <w:r>
              <w:rPr>
                <w:rFonts w:eastAsia="Times New Roman"/>
                <w:b/>
                <w:bCs/>
                <w:color w:val="000000"/>
                <w:sz w:val="18"/>
                <w:szCs w:val="18"/>
              </w:rPr>
              <w:t>35,415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708F4F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A9F4EF"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C262275" w14:textId="77777777" w:rsidR="00000000" w:rsidRDefault="00405D16">
            <w:pPr>
              <w:spacing w:after="100"/>
              <w:jc w:val="right"/>
              <w:rPr>
                <w:rFonts w:eastAsia="Times New Roman"/>
              </w:rPr>
            </w:pPr>
            <w:r>
              <w:rPr>
                <w:rFonts w:eastAsia="Times New Roman"/>
                <w:b/>
                <w:bCs/>
                <w:color w:val="000000"/>
                <w:sz w:val="18"/>
                <w:szCs w:val="18"/>
              </w:rPr>
              <w:t>(519)</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E04ADB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89C6DC"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49EBD5C" w14:textId="77777777" w:rsidR="00000000" w:rsidRDefault="00405D16">
            <w:pPr>
              <w:spacing w:after="100"/>
              <w:jc w:val="right"/>
              <w:rPr>
                <w:rFonts w:eastAsia="Times New Roman"/>
              </w:rPr>
            </w:pPr>
            <w:r>
              <w:rPr>
                <w:rFonts w:eastAsia="Times New Roman"/>
                <w:b/>
                <w:bCs/>
                <w:color w:val="000000"/>
                <w:sz w:val="18"/>
                <w:szCs w:val="18"/>
              </w:rPr>
              <w:t>4,069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8D371A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BBD7A1"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B4C0BA9" w14:textId="77777777" w:rsidR="00000000" w:rsidRDefault="00405D16">
            <w:pPr>
              <w:spacing w:after="100"/>
              <w:jc w:val="right"/>
              <w:rPr>
                <w:rFonts w:eastAsia="Times New Roman"/>
              </w:rPr>
            </w:pPr>
            <w:r>
              <w:rPr>
                <w:rFonts w:eastAsia="Times New Roman"/>
                <w:b/>
                <w:bCs/>
                <w:color w:val="000000"/>
                <w:sz w:val="18"/>
                <w:szCs w:val="18"/>
              </w:rPr>
              <w:t>(98)</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F6839D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80F40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A1DBBF5" w14:textId="77777777" w:rsidR="00000000" w:rsidRDefault="00405D16">
            <w:pPr>
              <w:spacing w:after="100"/>
              <w:jc w:val="right"/>
              <w:rPr>
                <w:rFonts w:eastAsia="Times New Roman"/>
              </w:rPr>
            </w:pPr>
            <w:r>
              <w:rPr>
                <w:rFonts w:eastAsia="Times New Roman"/>
                <w:b/>
                <w:bCs/>
                <w:color w:val="000000"/>
                <w:sz w:val="18"/>
                <w:szCs w:val="18"/>
              </w:rPr>
              <w:t>39,484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1C0679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51FD0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D6560E4" w14:textId="77777777" w:rsidR="00000000" w:rsidRDefault="00405D16">
            <w:pPr>
              <w:spacing w:after="100"/>
              <w:jc w:val="right"/>
              <w:rPr>
                <w:rFonts w:eastAsia="Times New Roman"/>
              </w:rPr>
            </w:pPr>
            <w:r>
              <w:rPr>
                <w:rFonts w:eastAsia="Times New Roman"/>
                <w:b/>
                <w:bCs/>
                <w:color w:val="000000"/>
                <w:sz w:val="18"/>
                <w:szCs w:val="18"/>
              </w:rPr>
              <w:t>(617)</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542F933" w14:textId="77777777" w:rsidR="00000000" w:rsidRDefault="00405D16">
            <w:pPr>
              <w:spacing w:after="100"/>
              <w:jc w:val="right"/>
              <w:rPr>
                <w:rFonts w:eastAsia="Times New Roman"/>
              </w:rPr>
            </w:pPr>
          </w:p>
        </w:tc>
      </w:tr>
      <w:tr w:rsidR="00000000" w14:paraId="3C3A3294" w14:textId="77777777">
        <w:trPr>
          <w:divId w:val="743991477"/>
        </w:trPr>
        <w:tc>
          <w:tcPr>
            <w:tcW w:w="0" w:type="auto"/>
            <w:gridSpan w:val="3"/>
            <w:shd w:val="clear" w:color="auto" w:fill="FFFFFF"/>
            <w:tcMar>
              <w:top w:w="30" w:type="dxa"/>
              <w:left w:w="20" w:type="dxa"/>
              <w:bottom w:w="30" w:type="dxa"/>
              <w:right w:w="20" w:type="dxa"/>
            </w:tcMar>
            <w:vAlign w:val="center"/>
            <w:hideMark/>
          </w:tcPr>
          <w:p w14:paraId="04218C0D" w14:textId="77777777" w:rsidR="00000000" w:rsidRDefault="00405D16">
            <w:pPr>
              <w:spacing w:after="100"/>
              <w:rPr>
                <w:rFonts w:eastAsia="Times New Roman"/>
              </w:rPr>
            </w:pPr>
            <w:r>
              <w:rPr>
                <w:rFonts w:eastAsia="Times New Roman"/>
                <w:color w:val="000000"/>
                <w:sz w:val="18"/>
                <w:szCs w:val="18"/>
              </w:rPr>
              <w:t>Agency CMBS</w:t>
            </w:r>
          </w:p>
        </w:tc>
        <w:tc>
          <w:tcPr>
            <w:tcW w:w="0" w:type="auto"/>
            <w:gridSpan w:val="3"/>
            <w:shd w:val="clear" w:color="auto" w:fill="FFFFFF"/>
            <w:tcMar>
              <w:top w:w="0" w:type="dxa"/>
              <w:left w:w="20" w:type="dxa"/>
              <w:bottom w:w="0" w:type="dxa"/>
              <w:right w:w="20" w:type="dxa"/>
            </w:tcMar>
            <w:vAlign w:val="center"/>
            <w:hideMark/>
          </w:tcPr>
          <w:p w14:paraId="16068C64"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4449E9D" w14:textId="77777777" w:rsidR="00000000" w:rsidRDefault="00405D16">
            <w:pPr>
              <w:spacing w:after="100"/>
              <w:jc w:val="right"/>
              <w:rPr>
                <w:rFonts w:eastAsia="Times New Roman"/>
              </w:rPr>
            </w:pPr>
            <w:r>
              <w:rPr>
                <w:rFonts w:eastAsia="Times New Roman"/>
                <w:b/>
                <w:bCs/>
                <w:color w:val="000000"/>
                <w:sz w:val="18"/>
                <w:szCs w:val="18"/>
              </w:rPr>
              <w:t>1,746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785AF0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993A2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7598984" w14:textId="77777777" w:rsidR="00000000" w:rsidRDefault="00405D16">
            <w:pPr>
              <w:spacing w:after="100"/>
              <w:jc w:val="right"/>
              <w:rPr>
                <w:rFonts w:eastAsia="Times New Roman"/>
              </w:rPr>
            </w:pPr>
            <w:r>
              <w:rPr>
                <w:rFonts w:eastAsia="Times New Roman"/>
                <w:b/>
                <w:bCs/>
                <w:color w:val="000000"/>
                <w:sz w:val="18"/>
                <w:szCs w:val="18"/>
              </w:rPr>
              <w:t>(26)</w:t>
            </w:r>
          </w:p>
        </w:tc>
        <w:tc>
          <w:tcPr>
            <w:tcW w:w="0" w:type="auto"/>
            <w:shd w:val="clear" w:color="auto" w:fill="FFFFFF"/>
            <w:tcMar>
              <w:top w:w="30" w:type="dxa"/>
              <w:left w:w="0" w:type="dxa"/>
              <w:bottom w:w="30" w:type="dxa"/>
              <w:right w:w="20" w:type="dxa"/>
            </w:tcMar>
            <w:vAlign w:val="center"/>
            <w:hideMark/>
          </w:tcPr>
          <w:p w14:paraId="70FD7D7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C4443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F7A7635" w14:textId="77777777" w:rsidR="00000000" w:rsidRDefault="00405D16">
            <w:pPr>
              <w:spacing w:after="100"/>
              <w:jc w:val="right"/>
              <w:rPr>
                <w:rFonts w:eastAsia="Times New Roman"/>
              </w:rPr>
            </w:pPr>
            <w:r>
              <w:rPr>
                <w:rFonts w:eastAsia="Times New Roman"/>
                <w:b/>
                <w:bCs/>
                <w:color w:val="000000"/>
                <w:sz w:val="18"/>
                <w:szCs w:val="18"/>
              </w:rPr>
              <w:t>561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815A2E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163A1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CC0B3CB" w14:textId="77777777" w:rsidR="00000000" w:rsidRDefault="00405D16">
            <w:pPr>
              <w:spacing w:after="100"/>
              <w:jc w:val="right"/>
              <w:rPr>
                <w:rFonts w:eastAsia="Times New Roman"/>
              </w:rPr>
            </w:pPr>
            <w:r>
              <w:rPr>
                <w:rFonts w:eastAsia="Times New Roman"/>
                <w:b/>
                <w:bCs/>
                <w:color w:val="000000"/>
                <w:sz w:val="18"/>
                <w:szCs w:val="18"/>
              </w:rPr>
              <w:t>(15)</w:t>
            </w:r>
          </w:p>
        </w:tc>
        <w:tc>
          <w:tcPr>
            <w:tcW w:w="0" w:type="auto"/>
            <w:shd w:val="clear" w:color="auto" w:fill="FFFFFF"/>
            <w:tcMar>
              <w:top w:w="30" w:type="dxa"/>
              <w:left w:w="0" w:type="dxa"/>
              <w:bottom w:w="30" w:type="dxa"/>
              <w:right w:w="20" w:type="dxa"/>
            </w:tcMar>
            <w:vAlign w:val="center"/>
            <w:hideMark/>
          </w:tcPr>
          <w:p w14:paraId="77BE483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E62FA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EBF6EFC" w14:textId="77777777" w:rsidR="00000000" w:rsidRDefault="00405D16">
            <w:pPr>
              <w:spacing w:after="100"/>
              <w:jc w:val="right"/>
              <w:rPr>
                <w:rFonts w:eastAsia="Times New Roman"/>
              </w:rPr>
            </w:pPr>
            <w:r>
              <w:rPr>
                <w:rFonts w:eastAsia="Times New Roman"/>
                <w:b/>
                <w:bCs/>
                <w:color w:val="000000"/>
                <w:sz w:val="18"/>
                <w:szCs w:val="18"/>
              </w:rPr>
              <w:t>2,307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111BEC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D063E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5959B0A" w14:textId="77777777" w:rsidR="00000000" w:rsidRDefault="00405D16">
            <w:pPr>
              <w:spacing w:after="100"/>
              <w:jc w:val="right"/>
              <w:rPr>
                <w:rFonts w:eastAsia="Times New Roman"/>
              </w:rPr>
            </w:pPr>
            <w:r>
              <w:rPr>
                <w:rFonts w:eastAsia="Times New Roman"/>
                <w:b/>
                <w:bCs/>
                <w:color w:val="000000"/>
                <w:sz w:val="18"/>
                <w:szCs w:val="18"/>
              </w:rPr>
              <w:t>(41)</w:t>
            </w:r>
          </w:p>
        </w:tc>
        <w:tc>
          <w:tcPr>
            <w:tcW w:w="0" w:type="auto"/>
            <w:shd w:val="clear" w:color="auto" w:fill="FFFFFF"/>
            <w:tcMar>
              <w:top w:w="30" w:type="dxa"/>
              <w:left w:w="0" w:type="dxa"/>
              <w:bottom w:w="30" w:type="dxa"/>
              <w:right w:w="20" w:type="dxa"/>
            </w:tcMar>
            <w:vAlign w:val="center"/>
            <w:hideMark/>
          </w:tcPr>
          <w:p w14:paraId="4769ADB7" w14:textId="77777777" w:rsidR="00000000" w:rsidRDefault="00405D16">
            <w:pPr>
              <w:spacing w:after="100"/>
              <w:jc w:val="right"/>
              <w:rPr>
                <w:rFonts w:eastAsia="Times New Roman"/>
              </w:rPr>
            </w:pPr>
          </w:p>
        </w:tc>
      </w:tr>
      <w:tr w:rsidR="00000000" w14:paraId="17D1AD47" w14:textId="77777777">
        <w:trPr>
          <w:divId w:val="743991477"/>
        </w:trPr>
        <w:tc>
          <w:tcPr>
            <w:tcW w:w="0" w:type="auto"/>
            <w:gridSpan w:val="3"/>
            <w:shd w:val="clear" w:color="auto" w:fill="CCEEFF"/>
            <w:tcMar>
              <w:top w:w="30" w:type="dxa"/>
              <w:left w:w="20" w:type="dxa"/>
              <w:bottom w:w="30" w:type="dxa"/>
              <w:right w:w="20" w:type="dxa"/>
            </w:tcMar>
            <w:vAlign w:val="center"/>
            <w:hideMark/>
          </w:tcPr>
          <w:p w14:paraId="1FB31D3A" w14:textId="77777777" w:rsidR="00000000" w:rsidRDefault="00405D16">
            <w:pPr>
              <w:spacing w:after="100"/>
              <w:divId w:val="93674412"/>
              <w:rPr>
                <w:rFonts w:eastAsia="Times New Roman"/>
              </w:rPr>
            </w:pPr>
            <w:r>
              <w:rPr>
                <w:rFonts w:eastAsia="Times New Roman"/>
                <w:color w:val="000000"/>
                <w:sz w:val="18"/>
                <w:szCs w:val="18"/>
              </w:rPr>
              <w:t>Other securitie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3574FC28"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3FA6C50" w14:textId="77777777" w:rsidR="00000000" w:rsidRDefault="00405D16">
            <w:pPr>
              <w:spacing w:after="100"/>
              <w:jc w:val="right"/>
              <w:rPr>
                <w:rFonts w:eastAsia="Times New Roman"/>
              </w:rPr>
            </w:pPr>
            <w:r>
              <w:rPr>
                <w:rFonts w:eastAsia="Times New Roman"/>
                <w:b/>
                <w:bCs/>
                <w:color w:val="000000"/>
                <w:sz w:val="18"/>
                <w:szCs w:val="18"/>
              </w:rPr>
              <w:t>470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91A147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9056E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4619EF2"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01BA65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CA591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0C975C4"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BB7BDF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FE82F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8F240D3"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0ADC05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B95DD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652DC54" w14:textId="77777777" w:rsidR="00000000" w:rsidRDefault="00405D16">
            <w:pPr>
              <w:spacing w:after="100"/>
              <w:jc w:val="right"/>
              <w:rPr>
                <w:rFonts w:eastAsia="Times New Roman"/>
              </w:rPr>
            </w:pPr>
            <w:r>
              <w:rPr>
                <w:rFonts w:eastAsia="Times New Roman"/>
                <w:b/>
                <w:bCs/>
                <w:color w:val="000000"/>
                <w:sz w:val="18"/>
                <w:szCs w:val="18"/>
              </w:rPr>
              <w:t>470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3DB2B8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20B50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3CE8E9C"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641DD40" w14:textId="77777777" w:rsidR="00000000" w:rsidRDefault="00405D16">
            <w:pPr>
              <w:spacing w:after="100"/>
              <w:jc w:val="right"/>
              <w:rPr>
                <w:rFonts w:eastAsia="Times New Roman"/>
              </w:rPr>
            </w:pPr>
          </w:p>
        </w:tc>
      </w:tr>
      <w:tr w:rsidR="00000000" w14:paraId="11D0219E" w14:textId="77777777">
        <w:trPr>
          <w:divId w:val="743991477"/>
        </w:trPr>
        <w:tc>
          <w:tcPr>
            <w:tcW w:w="0" w:type="auto"/>
            <w:gridSpan w:val="3"/>
            <w:shd w:val="clear" w:color="auto" w:fill="FFFFFF"/>
            <w:tcMar>
              <w:top w:w="30" w:type="dxa"/>
              <w:left w:w="20" w:type="dxa"/>
              <w:bottom w:w="30" w:type="dxa"/>
              <w:right w:w="20" w:type="dxa"/>
            </w:tcMar>
            <w:vAlign w:val="bottom"/>
            <w:hideMark/>
          </w:tcPr>
          <w:p w14:paraId="61F14C24" w14:textId="77777777" w:rsidR="00000000" w:rsidRDefault="00405D16">
            <w:pPr>
              <w:spacing w:after="100"/>
              <w:divId w:val="1818112037"/>
              <w:rPr>
                <w:rFonts w:eastAsia="Times New Roman"/>
              </w:rPr>
            </w:pPr>
            <w:r>
              <w:rPr>
                <w:rFonts w:eastAsia="Times New Roman"/>
                <w:color w:val="000000"/>
                <w:sz w:val="18"/>
                <w:szCs w:val="18"/>
              </w:rPr>
              <w:t>Total investment securities available for sale in a gross unrealized loss position without an allowance for credit losse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0102E8A2"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7A34360"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D5CA060" w14:textId="77777777" w:rsidR="00000000" w:rsidRDefault="00405D16">
            <w:pPr>
              <w:spacing w:after="100"/>
              <w:jc w:val="right"/>
              <w:rPr>
                <w:rFonts w:eastAsia="Times New Roman"/>
              </w:rPr>
            </w:pPr>
            <w:r>
              <w:rPr>
                <w:rFonts w:eastAsia="Times New Roman"/>
                <w:b/>
                <w:bCs/>
                <w:color w:val="000000"/>
                <w:sz w:val="18"/>
                <w:szCs w:val="18"/>
              </w:rPr>
              <w:t>37,631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5817AC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4F564B"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5AE51B8"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B81A47D" w14:textId="77777777" w:rsidR="00000000" w:rsidRDefault="00405D16">
            <w:pPr>
              <w:spacing w:after="100"/>
              <w:jc w:val="right"/>
              <w:rPr>
                <w:rFonts w:eastAsia="Times New Roman"/>
              </w:rPr>
            </w:pPr>
            <w:r>
              <w:rPr>
                <w:rFonts w:eastAsia="Times New Roman"/>
                <w:b/>
                <w:bCs/>
                <w:color w:val="000000"/>
                <w:sz w:val="18"/>
                <w:szCs w:val="18"/>
              </w:rPr>
              <w:t>(545)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78FFC1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C5FBE8"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B5DC40D"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7371F95" w14:textId="77777777" w:rsidR="00000000" w:rsidRDefault="00405D16">
            <w:pPr>
              <w:spacing w:after="100"/>
              <w:jc w:val="right"/>
              <w:rPr>
                <w:rFonts w:eastAsia="Times New Roman"/>
              </w:rPr>
            </w:pPr>
            <w:r>
              <w:rPr>
                <w:rFonts w:eastAsia="Times New Roman"/>
                <w:b/>
                <w:bCs/>
                <w:color w:val="000000"/>
                <w:sz w:val="18"/>
                <w:szCs w:val="18"/>
              </w:rPr>
              <w:t>4,630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8C3708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C06C8A"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D10DC3F"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ADE4F4E" w14:textId="77777777" w:rsidR="00000000" w:rsidRDefault="00405D16">
            <w:pPr>
              <w:spacing w:after="100"/>
              <w:jc w:val="right"/>
              <w:rPr>
                <w:rFonts w:eastAsia="Times New Roman"/>
              </w:rPr>
            </w:pPr>
            <w:r>
              <w:rPr>
                <w:rFonts w:eastAsia="Times New Roman"/>
                <w:b/>
                <w:bCs/>
                <w:color w:val="000000"/>
                <w:sz w:val="18"/>
                <w:szCs w:val="18"/>
              </w:rPr>
              <w:t>(113)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D9524E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B562EC"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2A0C9A2"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D6413C9" w14:textId="77777777" w:rsidR="00000000" w:rsidRDefault="00405D16">
            <w:pPr>
              <w:spacing w:after="100"/>
              <w:jc w:val="right"/>
              <w:rPr>
                <w:rFonts w:eastAsia="Times New Roman"/>
              </w:rPr>
            </w:pPr>
            <w:r>
              <w:rPr>
                <w:rFonts w:eastAsia="Times New Roman"/>
                <w:b/>
                <w:bCs/>
                <w:color w:val="000000"/>
                <w:sz w:val="18"/>
                <w:szCs w:val="18"/>
              </w:rPr>
              <w:t>42,261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357C7E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9BF5FA"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F385F99"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0B83A03" w14:textId="77777777" w:rsidR="00000000" w:rsidRDefault="00405D16">
            <w:pPr>
              <w:spacing w:after="100"/>
              <w:jc w:val="right"/>
              <w:rPr>
                <w:rFonts w:eastAsia="Times New Roman"/>
              </w:rPr>
            </w:pPr>
            <w:r>
              <w:rPr>
                <w:rFonts w:eastAsia="Times New Roman"/>
                <w:b/>
                <w:bCs/>
                <w:color w:val="000000"/>
                <w:sz w:val="18"/>
                <w:szCs w:val="18"/>
              </w:rPr>
              <w:t>(658)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6965F3A" w14:textId="77777777" w:rsidR="00000000" w:rsidRDefault="00405D16">
            <w:pPr>
              <w:spacing w:after="100"/>
              <w:jc w:val="right"/>
              <w:rPr>
                <w:rFonts w:eastAsia="Times New Roman"/>
              </w:rPr>
            </w:pPr>
          </w:p>
        </w:tc>
      </w:tr>
    </w:tbl>
    <w:p w14:paraId="78A6734D" w14:textId="77777777" w:rsidR="00000000" w:rsidRDefault="00405D16">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615"/>
        <w:gridCol w:w="37"/>
        <w:gridCol w:w="36"/>
        <w:gridCol w:w="36"/>
        <w:gridCol w:w="36"/>
        <w:gridCol w:w="111"/>
        <w:gridCol w:w="676"/>
        <w:gridCol w:w="36"/>
        <w:gridCol w:w="36"/>
        <w:gridCol w:w="36"/>
        <w:gridCol w:w="36"/>
        <w:gridCol w:w="111"/>
        <w:gridCol w:w="686"/>
        <w:gridCol w:w="36"/>
        <w:gridCol w:w="36"/>
        <w:gridCol w:w="36"/>
        <w:gridCol w:w="36"/>
        <w:gridCol w:w="111"/>
        <w:gridCol w:w="675"/>
        <w:gridCol w:w="37"/>
        <w:gridCol w:w="36"/>
        <w:gridCol w:w="36"/>
        <w:gridCol w:w="36"/>
        <w:gridCol w:w="111"/>
        <w:gridCol w:w="686"/>
        <w:gridCol w:w="36"/>
        <w:gridCol w:w="36"/>
        <w:gridCol w:w="36"/>
        <w:gridCol w:w="36"/>
        <w:gridCol w:w="111"/>
        <w:gridCol w:w="676"/>
        <w:gridCol w:w="36"/>
        <w:gridCol w:w="36"/>
        <w:gridCol w:w="36"/>
        <w:gridCol w:w="36"/>
        <w:gridCol w:w="111"/>
        <w:gridCol w:w="686"/>
        <w:gridCol w:w="36"/>
      </w:tblGrid>
      <w:tr w:rsidR="00000000" w14:paraId="49F68A67" w14:textId="77777777">
        <w:trPr>
          <w:divId w:val="1169633125"/>
        </w:trPr>
        <w:tc>
          <w:tcPr>
            <w:tcW w:w="50" w:type="pct"/>
            <w:vAlign w:val="center"/>
            <w:hideMark/>
          </w:tcPr>
          <w:p w14:paraId="24A24710" w14:textId="77777777" w:rsidR="00000000" w:rsidRDefault="00405D16">
            <w:pPr>
              <w:jc w:val="both"/>
              <w:rPr>
                <w:rFonts w:eastAsia="Times New Roman"/>
              </w:rPr>
            </w:pPr>
          </w:p>
        </w:tc>
        <w:tc>
          <w:tcPr>
            <w:tcW w:w="2137" w:type="pct"/>
            <w:vAlign w:val="center"/>
            <w:hideMark/>
          </w:tcPr>
          <w:p w14:paraId="008CEE7C" w14:textId="77777777" w:rsidR="00000000" w:rsidRDefault="00405D16">
            <w:pPr>
              <w:spacing w:after="100"/>
              <w:rPr>
                <w:rFonts w:eastAsia="Times New Roman"/>
                <w:sz w:val="20"/>
                <w:szCs w:val="20"/>
              </w:rPr>
            </w:pPr>
          </w:p>
        </w:tc>
        <w:tc>
          <w:tcPr>
            <w:tcW w:w="5" w:type="pct"/>
            <w:vAlign w:val="center"/>
            <w:hideMark/>
          </w:tcPr>
          <w:p w14:paraId="39A5AAF8" w14:textId="77777777" w:rsidR="00000000" w:rsidRDefault="00405D16">
            <w:pPr>
              <w:spacing w:after="100"/>
              <w:rPr>
                <w:rFonts w:eastAsia="Times New Roman"/>
                <w:sz w:val="20"/>
                <w:szCs w:val="20"/>
              </w:rPr>
            </w:pPr>
          </w:p>
        </w:tc>
        <w:tc>
          <w:tcPr>
            <w:tcW w:w="5" w:type="pct"/>
            <w:vAlign w:val="center"/>
            <w:hideMark/>
          </w:tcPr>
          <w:p w14:paraId="239CAE1C" w14:textId="77777777" w:rsidR="00000000" w:rsidRDefault="00405D16">
            <w:pPr>
              <w:spacing w:after="100"/>
              <w:rPr>
                <w:rFonts w:eastAsia="Times New Roman"/>
                <w:sz w:val="20"/>
                <w:szCs w:val="20"/>
              </w:rPr>
            </w:pPr>
          </w:p>
        </w:tc>
        <w:tc>
          <w:tcPr>
            <w:tcW w:w="26" w:type="pct"/>
            <w:vAlign w:val="center"/>
            <w:hideMark/>
          </w:tcPr>
          <w:p w14:paraId="4CD02816" w14:textId="77777777" w:rsidR="00000000" w:rsidRDefault="00405D16">
            <w:pPr>
              <w:spacing w:after="100"/>
              <w:rPr>
                <w:rFonts w:eastAsia="Times New Roman"/>
                <w:sz w:val="20"/>
                <w:szCs w:val="20"/>
              </w:rPr>
            </w:pPr>
          </w:p>
        </w:tc>
        <w:tc>
          <w:tcPr>
            <w:tcW w:w="5" w:type="pct"/>
            <w:vAlign w:val="center"/>
            <w:hideMark/>
          </w:tcPr>
          <w:p w14:paraId="689EAB82" w14:textId="77777777" w:rsidR="00000000" w:rsidRDefault="00405D16">
            <w:pPr>
              <w:spacing w:after="100"/>
              <w:rPr>
                <w:rFonts w:eastAsia="Times New Roman"/>
                <w:sz w:val="20"/>
                <w:szCs w:val="20"/>
              </w:rPr>
            </w:pPr>
          </w:p>
        </w:tc>
        <w:tc>
          <w:tcPr>
            <w:tcW w:w="50" w:type="pct"/>
            <w:vAlign w:val="center"/>
            <w:hideMark/>
          </w:tcPr>
          <w:p w14:paraId="2A267A10" w14:textId="77777777" w:rsidR="00000000" w:rsidRDefault="00405D16">
            <w:pPr>
              <w:spacing w:after="100"/>
              <w:rPr>
                <w:rFonts w:eastAsia="Times New Roman"/>
                <w:sz w:val="20"/>
                <w:szCs w:val="20"/>
              </w:rPr>
            </w:pPr>
          </w:p>
        </w:tc>
        <w:tc>
          <w:tcPr>
            <w:tcW w:w="376" w:type="pct"/>
            <w:vAlign w:val="center"/>
            <w:hideMark/>
          </w:tcPr>
          <w:p w14:paraId="21257781" w14:textId="77777777" w:rsidR="00000000" w:rsidRDefault="00405D16">
            <w:pPr>
              <w:spacing w:after="100"/>
              <w:rPr>
                <w:rFonts w:eastAsia="Times New Roman"/>
                <w:sz w:val="20"/>
                <w:szCs w:val="20"/>
              </w:rPr>
            </w:pPr>
          </w:p>
        </w:tc>
        <w:tc>
          <w:tcPr>
            <w:tcW w:w="5" w:type="pct"/>
            <w:vAlign w:val="center"/>
            <w:hideMark/>
          </w:tcPr>
          <w:p w14:paraId="3566527A" w14:textId="77777777" w:rsidR="00000000" w:rsidRDefault="00405D16">
            <w:pPr>
              <w:spacing w:after="100"/>
              <w:rPr>
                <w:rFonts w:eastAsia="Times New Roman"/>
                <w:sz w:val="20"/>
                <w:szCs w:val="20"/>
              </w:rPr>
            </w:pPr>
          </w:p>
        </w:tc>
        <w:tc>
          <w:tcPr>
            <w:tcW w:w="5" w:type="pct"/>
            <w:vAlign w:val="center"/>
            <w:hideMark/>
          </w:tcPr>
          <w:p w14:paraId="3176D828" w14:textId="77777777" w:rsidR="00000000" w:rsidRDefault="00405D16">
            <w:pPr>
              <w:spacing w:after="100"/>
              <w:rPr>
                <w:rFonts w:eastAsia="Times New Roman"/>
                <w:sz w:val="20"/>
                <w:szCs w:val="20"/>
              </w:rPr>
            </w:pPr>
          </w:p>
        </w:tc>
        <w:tc>
          <w:tcPr>
            <w:tcW w:w="26" w:type="pct"/>
            <w:vAlign w:val="center"/>
            <w:hideMark/>
          </w:tcPr>
          <w:p w14:paraId="374F3519" w14:textId="77777777" w:rsidR="00000000" w:rsidRDefault="00405D16">
            <w:pPr>
              <w:spacing w:after="100"/>
              <w:rPr>
                <w:rFonts w:eastAsia="Times New Roman"/>
                <w:sz w:val="20"/>
                <w:szCs w:val="20"/>
              </w:rPr>
            </w:pPr>
          </w:p>
        </w:tc>
        <w:tc>
          <w:tcPr>
            <w:tcW w:w="5" w:type="pct"/>
            <w:vAlign w:val="center"/>
            <w:hideMark/>
          </w:tcPr>
          <w:p w14:paraId="74B4CD41" w14:textId="77777777" w:rsidR="00000000" w:rsidRDefault="00405D16">
            <w:pPr>
              <w:spacing w:after="100"/>
              <w:rPr>
                <w:rFonts w:eastAsia="Times New Roman"/>
                <w:sz w:val="20"/>
                <w:szCs w:val="20"/>
              </w:rPr>
            </w:pPr>
          </w:p>
        </w:tc>
        <w:tc>
          <w:tcPr>
            <w:tcW w:w="50" w:type="pct"/>
            <w:vAlign w:val="center"/>
            <w:hideMark/>
          </w:tcPr>
          <w:p w14:paraId="57333A43" w14:textId="77777777" w:rsidR="00000000" w:rsidRDefault="00405D16">
            <w:pPr>
              <w:spacing w:after="100"/>
              <w:rPr>
                <w:rFonts w:eastAsia="Times New Roman"/>
                <w:sz w:val="20"/>
                <w:szCs w:val="20"/>
              </w:rPr>
            </w:pPr>
          </w:p>
        </w:tc>
        <w:tc>
          <w:tcPr>
            <w:tcW w:w="376" w:type="pct"/>
            <w:vAlign w:val="center"/>
            <w:hideMark/>
          </w:tcPr>
          <w:p w14:paraId="634EFBB9" w14:textId="77777777" w:rsidR="00000000" w:rsidRDefault="00405D16">
            <w:pPr>
              <w:spacing w:after="100"/>
              <w:rPr>
                <w:rFonts w:eastAsia="Times New Roman"/>
                <w:sz w:val="20"/>
                <w:szCs w:val="20"/>
              </w:rPr>
            </w:pPr>
          </w:p>
        </w:tc>
        <w:tc>
          <w:tcPr>
            <w:tcW w:w="5" w:type="pct"/>
            <w:vAlign w:val="center"/>
            <w:hideMark/>
          </w:tcPr>
          <w:p w14:paraId="681BCACF" w14:textId="77777777" w:rsidR="00000000" w:rsidRDefault="00405D16">
            <w:pPr>
              <w:spacing w:after="100"/>
              <w:rPr>
                <w:rFonts w:eastAsia="Times New Roman"/>
                <w:sz w:val="20"/>
                <w:szCs w:val="20"/>
              </w:rPr>
            </w:pPr>
          </w:p>
        </w:tc>
        <w:tc>
          <w:tcPr>
            <w:tcW w:w="5" w:type="pct"/>
            <w:vAlign w:val="center"/>
            <w:hideMark/>
          </w:tcPr>
          <w:p w14:paraId="0D4068E7" w14:textId="77777777" w:rsidR="00000000" w:rsidRDefault="00405D16">
            <w:pPr>
              <w:spacing w:after="100"/>
              <w:rPr>
                <w:rFonts w:eastAsia="Times New Roman"/>
                <w:sz w:val="20"/>
                <w:szCs w:val="20"/>
              </w:rPr>
            </w:pPr>
          </w:p>
        </w:tc>
        <w:tc>
          <w:tcPr>
            <w:tcW w:w="26" w:type="pct"/>
            <w:vAlign w:val="center"/>
            <w:hideMark/>
          </w:tcPr>
          <w:p w14:paraId="7B052980" w14:textId="77777777" w:rsidR="00000000" w:rsidRDefault="00405D16">
            <w:pPr>
              <w:spacing w:after="100"/>
              <w:rPr>
                <w:rFonts w:eastAsia="Times New Roman"/>
                <w:sz w:val="20"/>
                <w:szCs w:val="20"/>
              </w:rPr>
            </w:pPr>
          </w:p>
        </w:tc>
        <w:tc>
          <w:tcPr>
            <w:tcW w:w="5" w:type="pct"/>
            <w:vAlign w:val="center"/>
            <w:hideMark/>
          </w:tcPr>
          <w:p w14:paraId="10160D90" w14:textId="77777777" w:rsidR="00000000" w:rsidRDefault="00405D16">
            <w:pPr>
              <w:spacing w:after="100"/>
              <w:rPr>
                <w:rFonts w:eastAsia="Times New Roman"/>
                <w:sz w:val="20"/>
                <w:szCs w:val="20"/>
              </w:rPr>
            </w:pPr>
          </w:p>
        </w:tc>
        <w:tc>
          <w:tcPr>
            <w:tcW w:w="50" w:type="pct"/>
            <w:vAlign w:val="center"/>
            <w:hideMark/>
          </w:tcPr>
          <w:p w14:paraId="3912FCBE" w14:textId="77777777" w:rsidR="00000000" w:rsidRDefault="00405D16">
            <w:pPr>
              <w:spacing w:after="100"/>
              <w:rPr>
                <w:rFonts w:eastAsia="Times New Roman"/>
                <w:sz w:val="20"/>
                <w:szCs w:val="20"/>
              </w:rPr>
            </w:pPr>
          </w:p>
        </w:tc>
        <w:tc>
          <w:tcPr>
            <w:tcW w:w="376" w:type="pct"/>
            <w:vAlign w:val="center"/>
            <w:hideMark/>
          </w:tcPr>
          <w:p w14:paraId="2876DE0A" w14:textId="77777777" w:rsidR="00000000" w:rsidRDefault="00405D16">
            <w:pPr>
              <w:spacing w:after="100"/>
              <w:rPr>
                <w:rFonts w:eastAsia="Times New Roman"/>
                <w:sz w:val="20"/>
                <w:szCs w:val="20"/>
              </w:rPr>
            </w:pPr>
          </w:p>
        </w:tc>
        <w:tc>
          <w:tcPr>
            <w:tcW w:w="5" w:type="pct"/>
            <w:vAlign w:val="center"/>
            <w:hideMark/>
          </w:tcPr>
          <w:p w14:paraId="7330F760" w14:textId="77777777" w:rsidR="00000000" w:rsidRDefault="00405D16">
            <w:pPr>
              <w:spacing w:after="100"/>
              <w:rPr>
                <w:rFonts w:eastAsia="Times New Roman"/>
                <w:sz w:val="20"/>
                <w:szCs w:val="20"/>
              </w:rPr>
            </w:pPr>
          </w:p>
        </w:tc>
        <w:tc>
          <w:tcPr>
            <w:tcW w:w="5" w:type="pct"/>
            <w:vAlign w:val="center"/>
            <w:hideMark/>
          </w:tcPr>
          <w:p w14:paraId="388F2499" w14:textId="77777777" w:rsidR="00000000" w:rsidRDefault="00405D16">
            <w:pPr>
              <w:spacing w:after="100"/>
              <w:rPr>
                <w:rFonts w:eastAsia="Times New Roman"/>
                <w:sz w:val="20"/>
                <w:szCs w:val="20"/>
              </w:rPr>
            </w:pPr>
          </w:p>
        </w:tc>
        <w:tc>
          <w:tcPr>
            <w:tcW w:w="26" w:type="pct"/>
            <w:vAlign w:val="center"/>
            <w:hideMark/>
          </w:tcPr>
          <w:p w14:paraId="667BCBD5" w14:textId="77777777" w:rsidR="00000000" w:rsidRDefault="00405D16">
            <w:pPr>
              <w:spacing w:after="100"/>
              <w:rPr>
                <w:rFonts w:eastAsia="Times New Roman"/>
                <w:sz w:val="20"/>
                <w:szCs w:val="20"/>
              </w:rPr>
            </w:pPr>
          </w:p>
        </w:tc>
        <w:tc>
          <w:tcPr>
            <w:tcW w:w="5" w:type="pct"/>
            <w:vAlign w:val="center"/>
            <w:hideMark/>
          </w:tcPr>
          <w:p w14:paraId="3647AACF" w14:textId="77777777" w:rsidR="00000000" w:rsidRDefault="00405D16">
            <w:pPr>
              <w:spacing w:after="100"/>
              <w:rPr>
                <w:rFonts w:eastAsia="Times New Roman"/>
                <w:sz w:val="20"/>
                <w:szCs w:val="20"/>
              </w:rPr>
            </w:pPr>
          </w:p>
        </w:tc>
        <w:tc>
          <w:tcPr>
            <w:tcW w:w="50" w:type="pct"/>
            <w:vAlign w:val="center"/>
            <w:hideMark/>
          </w:tcPr>
          <w:p w14:paraId="76708769" w14:textId="77777777" w:rsidR="00000000" w:rsidRDefault="00405D16">
            <w:pPr>
              <w:spacing w:after="100"/>
              <w:rPr>
                <w:rFonts w:eastAsia="Times New Roman"/>
                <w:sz w:val="20"/>
                <w:szCs w:val="20"/>
              </w:rPr>
            </w:pPr>
          </w:p>
        </w:tc>
        <w:tc>
          <w:tcPr>
            <w:tcW w:w="376" w:type="pct"/>
            <w:vAlign w:val="center"/>
            <w:hideMark/>
          </w:tcPr>
          <w:p w14:paraId="5607BA88" w14:textId="77777777" w:rsidR="00000000" w:rsidRDefault="00405D16">
            <w:pPr>
              <w:spacing w:after="100"/>
              <w:rPr>
                <w:rFonts w:eastAsia="Times New Roman"/>
                <w:sz w:val="20"/>
                <w:szCs w:val="20"/>
              </w:rPr>
            </w:pPr>
          </w:p>
        </w:tc>
        <w:tc>
          <w:tcPr>
            <w:tcW w:w="5" w:type="pct"/>
            <w:vAlign w:val="center"/>
            <w:hideMark/>
          </w:tcPr>
          <w:p w14:paraId="018BE91F" w14:textId="77777777" w:rsidR="00000000" w:rsidRDefault="00405D16">
            <w:pPr>
              <w:spacing w:after="100"/>
              <w:rPr>
                <w:rFonts w:eastAsia="Times New Roman"/>
                <w:sz w:val="20"/>
                <w:szCs w:val="20"/>
              </w:rPr>
            </w:pPr>
          </w:p>
        </w:tc>
        <w:tc>
          <w:tcPr>
            <w:tcW w:w="5" w:type="pct"/>
            <w:vAlign w:val="center"/>
            <w:hideMark/>
          </w:tcPr>
          <w:p w14:paraId="6F7B0B72" w14:textId="77777777" w:rsidR="00000000" w:rsidRDefault="00405D16">
            <w:pPr>
              <w:spacing w:after="100"/>
              <w:rPr>
                <w:rFonts w:eastAsia="Times New Roman"/>
                <w:sz w:val="20"/>
                <w:szCs w:val="20"/>
              </w:rPr>
            </w:pPr>
          </w:p>
        </w:tc>
        <w:tc>
          <w:tcPr>
            <w:tcW w:w="26" w:type="pct"/>
            <w:vAlign w:val="center"/>
            <w:hideMark/>
          </w:tcPr>
          <w:p w14:paraId="5E7315AA" w14:textId="77777777" w:rsidR="00000000" w:rsidRDefault="00405D16">
            <w:pPr>
              <w:spacing w:after="100"/>
              <w:rPr>
                <w:rFonts w:eastAsia="Times New Roman"/>
                <w:sz w:val="20"/>
                <w:szCs w:val="20"/>
              </w:rPr>
            </w:pPr>
          </w:p>
        </w:tc>
        <w:tc>
          <w:tcPr>
            <w:tcW w:w="5" w:type="pct"/>
            <w:vAlign w:val="center"/>
            <w:hideMark/>
          </w:tcPr>
          <w:p w14:paraId="00130CE1" w14:textId="77777777" w:rsidR="00000000" w:rsidRDefault="00405D16">
            <w:pPr>
              <w:spacing w:after="100"/>
              <w:rPr>
                <w:rFonts w:eastAsia="Times New Roman"/>
                <w:sz w:val="20"/>
                <w:szCs w:val="20"/>
              </w:rPr>
            </w:pPr>
          </w:p>
        </w:tc>
        <w:tc>
          <w:tcPr>
            <w:tcW w:w="50" w:type="pct"/>
            <w:vAlign w:val="center"/>
            <w:hideMark/>
          </w:tcPr>
          <w:p w14:paraId="75E1B959" w14:textId="77777777" w:rsidR="00000000" w:rsidRDefault="00405D16">
            <w:pPr>
              <w:spacing w:after="100"/>
              <w:rPr>
                <w:rFonts w:eastAsia="Times New Roman"/>
                <w:sz w:val="20"/>
                <w:szCs w:val="20"/>
              </w:rPr>
            </w:pPr>
          </w:p>
        </w:tc>
        <w:tc>
          <w:tcPr>
            <w:tcW w:w="376" w:type="pct"/>
            <w:vAlign w:val="center"/>
            <w:hideMark/>
          </w:tcPr>
          <w:p w14:paraId="6F909294" w14:textId="77777777" w:rsidR="00000000" w:rsidRDefault="00405D16">
            <w:pPr>
              <w:spacing w:after="100"/>
              <w:rPr>
                <w:rFonts w:eastAsia="Times New Roman"/>
                <w:sz w:val="20"/>
                <w:szCs w:val="20"/>
              </w:rPr>
            </w:pPr>
          </w:p>
        </w:tc>
        <w:tc>
          <w:tcPr>
            <w:tcW w:w="5" w:type="pct"/>
            <w:vAlign w:val="center"/>
            <w:hideMark/>
          </w:tcPr>
          <w:p w14:paraId="18541A00" w14:textId="77777777" w:rsidR="00000000" w:rsidRDefault="00405D16">
            <w:pPr>
              <w:spacing w:after="100"/>
              <w:rPr>
                <w:rFonts w:eastAsia="Times New Roman"/>
                <w:sz w:val="20"/>
                <w:szCs w:val="20"/>
              </w:rPr>
            </w:pPr>
          </w:p>
        </w:tc>
        <w:tc>
          <w:tcPr>
            <w:tcW w:w="5" w:type="pct"/>
            <w:vAlign w:val="center"/>
            <w:hideMark/>
          </w:tcPr>
          <w:p w14:paraId="6D762A92" w14:textId="77777777" w:rsidR="00000000" w:rsidRDefault="00405D16">
            <w:pPr>
              <w:spacing w:after="100"/>
              <w:rPr>
                <w:rFonts w:eastAsia="Times New Roman"/>
                <w:sz w:val="20"/>
                <w:szCs w:val="20"/>
              </w:rPr>
            </w:pPr>
          </w:p>
        </w:tc>
        <w:tc>
          <w:tcPr>
            <w:tcW w:w="26" w:type="pct"/>
            <w:vAlign w:val="center"/>
            <w:hideMark/>
          </w:tcPr>
          <w:p w14:paraId="694C0232" w14:textId="77777777" w:rsidR="00000000" w:rsidRDefault="00405D16">
            <w:pPr>
              <w:spacing w:after="100"/>
              <w:rPr>
                <w:rFonts w:eastAsia="Times New Roman"/>
                <w:sz w:val="20"/>
                <w:szCs w:val="20"/>
              </w:rPr>
            </w:pPr>
          </w:p>
        </w:tc>
        <w:tc>
          <w:tcPr>
            <w:tcW w:w="5" w:type="pct"/>
            <w:vAlign w:val="center"/>
            <w:hideMark/>
          </w:tcPr>
          <w:p w14:paraId="23FD2C61" w14:textId="77777777" w:rsidR="00000000" w:rsidRDefault="00405D16">
            <w:pPr>
              <w:spacing w:after="100"/>
              <w:rPr>
                <w:rFonts w:eastAsia="Times New Roman"/>
                <w:sz w:val="20"/>
                <w:szCs w:val="20"/>
              </w:rPr>
            </w:pPr>
          </w:p>
        </w:tc>
        <w:tc>
          <w:tcPr>
            <w:tcW w:w="50" w:type="pct"/>
            <w:vAlign w:val="center"/>
            <w:hideMark/>
          </w:tcPr>
          <w:p w14:paraId="429C5483" w14:textId="77777777" w:rsidR="00000000" w:rsidRDefault="00405D16">
            <w:pPr>
              <w:spacing w:after="100"/>
              <w:rPr>
                <w:rFonts w:eastAsia="Times New Roman"/>
                <w:sz w:val="20"/>
                <w:szCs w:val="20"/>
              </w:rPr>
            </w:pPr>
          </w:p>
        </w:tc>
        <w:tc>
          <w:tcPr>
            <w:tcW w:w="376" w:type="pct"/>
            <w:vAlign w:val="center"/>
            <w:hideMark/>
          </w:tcPr>
          <w:p w14:paraId="0263062D" w14:textId="77777777" w:rsidR="00000000" w:rsidRDefault="00405D16">
            <w:pPr>
              <w:spacing w:after="100"/>
              <w:rPr>
                <w:rFonts w:eastAsia="Times New Roman"/>
                <w:sz w:val="20"/>
                <w:szCs w:val="20"/>
              </w:rPr>
            </w:pPr>
          </w:p>
        </w:tc>
        <w:tc>
          <w:tcPr>
            <w:tcW w:w="5" w:type="pct"/>
            <w:vAlign w:val="center"/>
            <w:hideMark/>
          </w:tcPr>
          <w:p w14:paraId="2BF0A4FF" w14:textId="77777777" w:rsidR="00000000" w:rsidRDefault="00405D16">
            <w:pPr>
              <w:spacing w:after="100"/>
              <w:rPr>
                <w:rFonts w:eastAsia="Times New Roman"/>
                <w:sz w:val="20"/>
                <w:szCs w:val="20"/>
              </w:rPr>
            </w:pPr>
          </w:p>
        </w:tc>
      </w:tr>
      <w:tr w:rsidR="00000000" w14:paraId="6CFD1623" w14:textId="77777777">
        <w:trPr>
          <w:divId w:val="1169633125"/>
        </w:trPr>
        <w:tc>
          <w:tcPr>
            <w:tcW w:w="0" w:type="auto"/>
            <w:gridSpan w:val="3"/>
            <w:tcMar>
              <w:top w:w="0" w:type="dxa"/>
              <w:left w:w="20" w:type="dxa"/>
              <w:bottom w:w="0" w:type="dxa"/>
              <w:right w:w="20" w:type="dxa"/>
            </w:tcMar>
            <w:vAlign w:val="center"/>
            <w:hideMark/>
          </w:tcPr>
          <w:p w14:paraId="12287201"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4AA4903" w14:textId="77777777" w:rsidR="00000000" w:rsidRDefault="00405D16">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14:paraId="03BFB7DC" w14:textId="77777777" w:rsidR="00000000" w:rsidRDefault="00405D16">
            <w:pPr>
              <w:spacing w:after="100"/>
              <w:jc w:val="center"/>
              <w:rPr>
                <w:rFonts w:eastAsia="Times New Roman"/>
              </w:rPr>
            </w:pPr>
            <w:r>
              <w:rPr>
                <w:rFonts w:eastAsia="Times New Roman"/>
                <w:b/>
                <w:bCs/>
                <w:color w:val="000000"/>
                <w:sz w:val="16"/>
                <w:szCs w:val="16"/>
              </w:rPr>
              <w:t>December 31, 2020</w:t>
            </w:r>
          </w:p>
        </w:tc>
      </w:tr>
      <w:tr w:rsidR="00000000" w14:paraId="1971F09A" w14:textId="77777777">
        <w:trPr>
          <w:divId w:val="1169633125"/>
        </w:trPr>
        <w:tc>
          <w:tcPr>
            <w:tcW w:w="0" w:type="auto"/>
            <w:gridSpan w:val="3"/>
            <w:tcMar>
              <w:top w:w="0" w:type="dxa"/>
              <w:left w:w="20" w:type="dxa"/>
              <w:bottom w:w="0" w:type="dxa"/>
              <w:right w:w="20" w:type="dxa"/>
            </w:tcMar>
            <w:vAlign w:val="center"/>
            <w:hideMark/>
          </w:tcPr>
          <w:p w14:paraId="444724CA" w14:textId="77777777" w:rsidR="00000000" w:rsidRDefault="00405D1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85B3EC2" w14:textId="77777777" w:rsidR="00000000" w:rsidRDefault="00405D16">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5F838F76" w14:textId="77777777" w:rsidR="00000000" w:rsidRDefault="00405D16">
            <w:pPr>
              <w:spacing w:after="100"/>
              <w:jc w:val="center"/>
              <w:rPr>
                <w:rFonts w:eastAsia="Times New Roman"/>
              </w:rPr>
            </w:pPr>
            <w:r>
              <w:rPr>
                <w:rFonts w:eastAsia="Times New Roman"/>
                <w:b/>
                <w:bCs/>
                <w:color w:val="000000"/>
                <w:sz w:val="16"/>
                <w:szCs w:val="16"/>
              </w:rPr>
              <w:t>Less than 12 Months</w:t>
            </w:r>
          </w:p>
        </w:tc>
        <w:tc>
          <w:tcPr>
            <w:tcW w:w="0" w:type="auto"/>
            <w:gridSpan w:val="3"/>
            <w:tcBorders>
              <w:top w:val="single" w:sz="8" w:space="0" w:color="000000"/>
            </w:tcBorders>
            <w:tcMar>
              <w:top w:w="0" w:type="dxa"/>
              <w:left w:w="20" w:type="dxa"/>
              <w:bottom w:w="0" w:type="dxa"/>
              <w:right w:w="20" w:type="dxa"/>
            </w:tcMar>
            <w:vAlign w:val="center"/>
            <w:hideMark/>
          </w:tcPr>
          <w:p w14:paraId="55238CCA" w14:textId="77777777" w:rsidR="00000000" w:rsidRDefault="00405D16">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4FDD02F0" w14:textId="77777777" w:rsidR="00000000" w:rsidRDefault="00405D16">
            <w:pPr>
              <w:spacing w:after="100"/>
              <w:jc w:val="center"/>
              <w:rPr>
                <w:rFonts w:eastAsia="Times New Roman"/>
              </w:rPr>
            </w:pPr>
            <w:r>
              <w:rPr>
                <w:rFonts w:eastAsia="Times New Roman"/>
                <w:b/>
                <w:bCs/>
                <w:color w:val="000000"/>
                <w:sz w:val="16"/>
                <w:szCs w:val="16"/>
              </w:rPr>
              <w:t>12 Months or Longer</w:t>
            </w:r>
          </w:p>
        </w:tc>
        <w:tc>
          <w:tcPr>
            <w:tcW w:w="0" w:type="auto"/>
            <w:gridSpan w:val="3"/>
            <w:tcBorders>
              <w:top w:val="single" w:sz="8" w:space="0" w:color="000000"/>
            </w:tcBorders>
            <w:tcMar>
              <w:top w:w="0" w:type="dxa"/>
              <w:left w:w="20" w:type="dxa"/>
              <w:bottom w:w="0" w:type="dxa"/>
              <w:right w:w="20" w:type="dxa"/>
            </w:tcMar>
            <w:vAlign w:val="center"/>
            <w:hideMark/>
          </w:tcPr>
          <w:p w14:paraId="6CC69E0E" w14:textId="77777777" w:rsidR="00000000" w:rsidRDefault="00405D16">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1AAA7C5E" w14:textId="77777777" w:rsidR="00000000" w:rsidRDefault="00405D16">
            <w:pPr>
              <w:spacing w:after="100"/>
              <w:jc w:val="center"/>
              <w:rPr>
                <w:rFonts w:eastAsia="Times New Roman"/>
              </w:rPr>
            </w:pPr>
            <w:r>
              <w:rPr>
                <w:rFonts w:eastAsia="Times New Roman"/>
                <w:b/>
                <w:bCs/>
                <w:color w:val="000000"/>
                <w:sz w:val="16"/>
                <w:szCs w:val="16"/>
              </w:rPr>
              <w:t>Total</w:t>
            </w:r>
          </w:p>
        </w:tc>
      </w:tr>
      <w:tr w:rsidR="00000000" w14:paraId="0B1B6FD3" w14:textId="77777777">
        <w:trPr>
          <w:divId w:val="1169633125"/>
        </w:trPr>
        <w:tc>
          <w:tcPr>
            <w:tcW w:w="0" w:type="auto"/>
            <w:gridSpan w:val="3"/>
            <w:tcMar>
              <w:top w:w="30" w:type="dxa"/>
              <w:left w:w="20" w:type="dxa"/>
              <w:bottom w:w="30" w:type="dxa"/>
              <w:right w:w="20" w:type="dxa"/>
            </w:tcMar>
            <w:vAlign w:val="bottom"/>
            <w:hideMark/>
          </w:tcPr>
          <w:p w14:paraId="4327FE3D"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70515023"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A7C30B8" w14:textId="77777777" w:rsidR="00000000" w:rsidRDefault="00405D16">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14:paraId="0965F32A"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72E5086" w14:textId="77777777" w:rsidR="00000000" w:rsidRDefault="00405D16">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Mar>
              <w:top w:w="0" w:type="dxa"/>
              <w:left w:w="20" w:type="dxa"/>
              <w:bottom w:w="0" w:type="dxa"/>
              <w:right w:w="20" w:type="dxa"/>
            </w:tcMar>
            <w:vAlign w:val="center"/>
            <w:hideMark/>
          </w:tcPr>
          <w:p w14:paraId="36D3FC59"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D84A9BC" w14:textId="77777777" w:rsidR="00000000" w:rsidRDefault="00405D16">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14:paraId="65709578"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B230652" w14:textId="77777777" w:rsidR="00000000" w:rsidRDefault="00405D16">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Mar>
              <w:top w:w="0" w:type="dxa"/>
              <w:left w:w="20" w:type="dxa"/>
              <w:bottom w:w="0" w:type="dxa"/>
              <w:right w:w="20" w:type="dxa"/>
            </w:tcMar>
            <w:vAlign w:val="center"/>
            <w:hideMark/>
          </w:tcPr>
          <w:p w14:paraId="79B63693"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E58ADD8" w14:textId="77777777" w:rsidR="00000000" w:rsidRDefault="00405D16">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14:paraId="0B122ED5"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39B626A" w14:textId="77777777" w:rsidR="00000000" w:rsidRDefault="00405D16">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r>
      <w:tr w:rsidR="00000000" w14:paraId="3775899C" w14:textId="77777777">
        <w:trPr>
          <w:divId w:val="116963312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69DBA09" w14:textId="77777777" w:rsidR="00000000" w:rsidRDefault="00405D16">
            <w:pPr>
              <w:spacing w:after="100"/>
              <w:rPr>
                <w:rFonts w:eastAsia="Times New Roman"/>
              </w:rPr>
            </w:pPr>
            <w:r>
              <w:rPr>
                <w:rFonts w:eastAsia="Times New Roman"/>
                <w:b/>
                <w:bCs/>
                <w:color w:val="000000"/>
                <w:sz w:val="18"/>
                <w:szCs w:val="18"/>
              </w:rPr>
              <w:t>Investment securities available for sale without an allowance for credit losses:</w:t>
            </w:r>
          </w:p>
        </w:tc>
        <w:tc>
          <w:tcPr>
            <w:tcW w:w="0" w:type="auto"/>
            <w:gridSpan w:val="3"/>
            <w:shd w:val="clear" w:color="auto" w:fill="CCEEFF"/>
            <w:tcMar>
              <w:top w:w="0" w:type="dxa"/>
              <w:left w:w="20" w:type="dxa"/>
              <w:bottom w:w="0" w:type="dxa"/>
              <w:right w:w="20" w:type="dxa"/>
            </w:tcMar>
            <w:vAlign w:val="center"/>
            <w:hideMark/>
          </w:tcPr>
          <w:p w14:paraId="5BF6B094"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1E0F84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A1A5D1"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A631D9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72FB74"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125639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695DA9"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F3AE7C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DA666E"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298591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9E73A3"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EC71B76" w14:textId="77777777" w:rsidR="00000000" w:rsidRDefault="00405D16">
            <w:pPr>
              <w:spacing w:after="100"/>
              <w:rPr>
                <w:rFonts w:eastAsia="Times New Roman"/>
                <w:sz w:val="20"/>
                <w:szCs w:val="20"/>
              </w:rPr>
            </w:pPr>
          </w:p>
        </w:tc>
      </w:tr>
      <w:tr w:rsidR="00000000" w14:paraId="07B47212" w14:textId="77777777">
        <w:trPr>
          <w:divId w:val="1169633125"/>
        </w:trPr>
        <w:tc>
          <w:tcPr>
            <w:tcW w:w="0" w:type="auto"/>
            <w:gridSpan w:val="3"/>
            <w:vAlign w:val="center"/>
            <w:hideMark/>
          </w:tcPr>
          <w:p w14:paraId="332CF65F" w14:textId="77777777" w:rsidR="00000000" w:rsidRDefault="00405D16">
            <w:pPr>
              <w:spacing w:after="100"/>
              <w:rPr>
                <w:rFonts w:eastAsia="Times New Roman"/>
                <w:sz w:val="20"/>
                <w:szCs w:val="20"/>
              </w:rPr>
            </w:pPr>
          </w:p>
        </w:tc>
        <w:tc>
          <w:tcPr>
            <w:tcW w:w="0" w:type="auto"/>
            <w:gridSpan w:val="3"/>
            <w:vAlign w:val="center"/>
            <w:hideMark/>
          </w:tcPr>
          <w:p w14:paraId="5EF4660A" w14:textId="77777777" w:rsidR="00000000" w:rsidRDefault="00405D16">
            <w:pPr>
              <w:spacing w:after="100"/>
              <w:rPr>
                <w:rFonts w:eastAsia="Times New Roman"/>
                <w:sz w:val="20"/>
                <w:szCs w:val="20"/>
              </w:rPr>
            </w:pPr>
          </w:p>
        </w:tc>
        <w:tc>
          <w:tcPr>
            <w:tcW w:w="0" w:type="auto"/>
            <w:gridSpan w:val="3"/>
            <w:vAlign w:val="center"/>
            <w:hideMark/>
          </w:tcPr>
          <w:p w14:paraId="60FB6B11" w14:textId="77777777" w:rsidR="00000000" w:rsidRDefault="00405D16">
            <w:pPr>
              <w:spacing w:after="100"/>
              <w:rPr>
                <w:rFonts w:eastAsia="Times New Roman"/>
                <w:sz w:val="20"/>
                <w:szCs w:val="20"/>
              </w:rPr>
            </w:pPr>
          </w:p>
        </w:tc>
        <w:tc>
          <w:tcPr>
            <w:tcW w:w="0" w:type="auto"/>
            <w:gridSpan w:val="3"/>
            <w:vAlign w:val="center"/>
            <w:hideMark/>
          </w:tcPr>
          <w:p w14:paraId="2847586C" w14:textId="77777777" w:rsidR="00000000" w:rsidRDefault="00405D16">
            <w:pPr>
              <w:spacing w:after="100"/>
              <w:rPr>
                <w:rFonts w:eastAsia="Times New Roman"/>
                <w:sz w:val="20"/>
                <w:szCs w:val="20"/>
              </w:rPr>
            </w:pPr>
          </w:p>
        </w:tc>
        <w:tc>
          <w:tcPr>
            <w:tcW w:w="0" w:type="auto"/>
            <w:gridSpan w:val="3"/>
            <w:vAlign w:val="center"/>
            <w:hideMark/>
          </w:tcPr>
          <w:p w14:paraId="5417FAA1" w14:textId="77777777" w:rsidR="00000000" w:rsidRDefault="00405D16">
            <w:pPr>
              <w:spacing w:after="100"/>
              <w:rPr>
                <w:rFonts w:eastAsia="Times New Roman"/>
                <w:sz w:val="20"/>
                <w:szCs w:val="20"/>
              </w:rPr>
            </w:pPr>
          </w:p>
        </w:tc>
        <w:tc>
          <w:tcPr>
            <w:tcW w:w="0" w:type="auto"/>
            <w:gridSpan w:val="3"/>
            <w:vAlign w:val="center"/>
            <w:hideMark/>
          </w:tcPr>
          <w:p w14:paraId="36F6D2B2" w14:textId="77777777" w:rsidR="00000000" w:rsidRDefault="00405D16">
            <w:pPr>
              <w:spacing w:after="100"/>
              <w:rPr>
                <w:rFonts w:eastAsia="Times New Roman"/>
                <w:sz w:val="20"/>
                <w:szCs w:val="20"/>
              </w:rPr>
            </w:pPr>
          </w:p>
        </w:tc>
        <w:tc>
          <w:tcPr>
            <w:tcW w:w="0" w:type="auto"/>
            <w:gridSpan w:val="3"/>
            <w:vAlign w:val="center"/>
            <w:hideMark/>
          </w:tcPr>
          <w:p w14:paraId="35FDD932" w14:textId="77777777" w:rsidR="00000000" w:rsidRDefault="00405D16">
            <w:pPr>
              <w:spacing w:after="100"/>
              <w:rPr>
                <w:rFonts w:eastAsia="Times New Roman"/>
                <w:sz w:val="20"/>
                <w:szCs w:val="20"/>
              </w:rPr>
            </w:pPr>
          </w:p>
        </w:tc>
        <w:tc>
          <w:tcPr>
            <w:tcW w:w="0" w:type="auto"/>
            <w:gridSpan w:val="3"/>
            <w:vAlign w:val="center"/>
            <w:hideMark/>
          </w:tcPr>
          <w:p w14:paraId="66822788" w14:textId="77777777" w:rsidR="00000000" w:rsidRDefault="00405D16">
            <w:pPr>
              <w:spacing w:after="100"/>
              <w:rPr>
                <w:rFonts w:eastAsia="Times New Roman"/>
                <w:sz w:val="20"/>
                <w:szCs w:val="20"/>
              </w:rPr>
            </w:pPr>
          </w:p>
        </w:tc>
        <w:tc>
          <w:tcPr>
            <w:tcW w:w="0" w:type="auto"/>
            <w:gridSpan w:val="3"/>
            <w:vAlign w:val="center"/>
            <w:hideMark/>
          </w:tcPr>
          <w:p w14:paraId="2A337A7A" w14:textId="77777777" w:rsidR="00000000" w:rsidRDefault="00405D16">
            <w:pPr>
              <w:spacing w:after="100"/>
              <w:rPr>
                <w:rFonts w:eastAsia="Times New Roman"/>
                <w:sz w:val="20"/>
                <w:szCs w:val="20"/>
              </w:rPr>
            </w:pPr>
          </w:p>
        </w:tc>
        <w:tc>
          <w:tcPr>
            <w:tcW w:w="0" w:type="auto"/>
            <w:gridSpan w:val="3"/>
            <w:vAlign w:val="center"/>
            <w:hideMark/>
          </w:tcPr>
          <w:p w14:paraId="13EE6DA5" w14:textId="77777777" w:rsidR="00000000" w:rsidRDefault="00405D16">
            <w:pPr>
              <w:spacing w:after="100"/>
              <w:rPr>
                <w:rFonts w:eastAsia="Times New Roman"/>
                <w:sz w:val="20"/>
                <w:szCs w:val="20"/>
              </w:rPr>
            </w:pPr>
          </w:p>
        </w:tc>
        <w:tc>
          <w:tcPr>
            <w:tcW w:w="0" w:type="auto"/>
            <w:gridSpan w:val="3"/>
            <w:vAlign w:val="center"/>
            <w:hideMark/>
          </w:tcPr>
          <w:p w14:paraId="3CF105D1" w14:textId="77777777" w:rsidR="00000000" w:rsidRDefault="00405D16">
            <w:pPr>
              <w:spacing w:after="100"/>
              <w:rPr>
                <w:rFonts w:eastAsia="Times New Roman"/>
                <w:sz w:val="20"/>
                <w:szCs w:val="20"/>
              </w:rPr>
            </w:pPr>
          </w:p>
        </w:tc>
        <w:tc>
          <w:tcPr>
            <w:tcW w:w="0" w:type="auto"/>
            <w:gridSpan w:val="3"/>
            <w:vAlign w:val="center"/>
            <w:hideMark/>
          </w:tcPr>
          <w:p w14:paraId="05790995" w14:textId="77777777" w:rsidR="00000000" w:rsidRDefault="00405D16">
            <w:pPr>
              <w:spacing w:after="100"/>
              <w:rPr>
                <w:rFonts w:eastAsia="Times New Roman"/>
                <w:sz w:val="20"/>
                <w:szCs w:val="20"/>
              </w:rPr>
            </w:pPr>
          </w:p>
        </w:tc>
        <w:tc>
          <w:tcPr>
            <w:tcW w:w="0" w:type="auto"/>
            <w:gridSpan w:val="3"/>
            <w:vAlign w:val="center"/>
            <w:hideMark/>
          </w:tcPr>
          <w:p w14:paraId="0F7146C3" w14:textId="77777777" w:rsidR="00000000" w:rsidRDefault="00405D16">
            <w:pPr>
              <w:spacing w:after="100"/>
              <w:rPr>
                <w:rFonts w:eastAsia="Times New Roman"/>
                <w:sz w:val="20"/>
                <w:szCs w:val="20"/>
              </w:rPr>
            </w:pPr>
          </w:p>
        </w:tc>
      </w:tr>
      <w:tr w:rsidR="00000000" w14:paraId="3563E69C" w14:textId="77777777">
        <w:trPr>
          <w:divId w:val="1169633125"/>
        </w:trPr>
        <w:tc>
          <w:tcPr>
            <w:tcW w:w="0" w:type="auto"/>
            <w:gridSpan w:val="3"/>
            <w:shd w:val="clear" w:color="auto" w:fill="FFFFFF"/>
            <w:tcMar>
              <w:top w:w="30" w:type="dxa"/>
              <w:left w:w="20" w:type="dxa"/>
              <w:bottom w:w="30" w:type="dxa"/>
              <w:right w:w="20" w:type="dxa"/>
            </w:tcMar>
            <w:vAlign w:val="center"/>
            <w:hideMark/>
          </w:tcPr>
          <w:p w14:paraId="3088DE1A" w14:textId="77777777" w:rsidR="00000000" w:rsidRDefault="00405D16">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14:paraId="0DBD62D1"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84977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B351C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55E75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989B1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83B5A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DD774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35B8E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04700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49C5A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2FA794"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3C966F" w14:textId="77777777" w:rsidR="00000000" w:rsidRDefault="00405D16">
            <w:pPr>
              <w:spacing w:after="100"/>
              <w:rPr>
                <w:rFonts w:eastAsia="Times New Roman"/>
                <w:sz w:val="20"/>
                <w:szCs w:val="20"/>
              </w:rPr>
            </w:pPr>
          </w:p>
        </w:tc>
      </w:tr>
      <w:tr w:rsidR="00000000" w14:paraId="063A06FF" w14:textId="77777777">
        <w:trPr>
          <w:divId w:val="1169633125"/>
        </w:trPr>
        <w:tc>
          <w:tcPr>
            <w:tcW w:w="0" w:type="auto"/>
            <w:gridSpan w:val="3"/>
            <w:shd w:val="clear" w:color="auto" w:fill="CCEEFF"/>
            <w:tcMar>
              <w:top w:w="30" w:type="dxa"/>
              <w:left w:w="245" w:type="dxa"/>
              <w:bottom w:w="30" w:type="dxa"/>
              <w:right w:w="20" w:type="dxa"/>
            </w:tcMar>
            <w:vAlign w:val="center"/>
            <w:hideMark/>
          </w:tcPr>
          <w:p w14:paraId="5492B0AF" w14:textId="77777777" w:rsidR="00000000" w:rsidRDefault="00405D16">
            <w:pPr>
              <w:spacing w:after="100"/>
              <w:rPr>
                <w:rFonts w:eastAsia="Times New Roman"/>
              </w:rPr>
            </w:pPr>
            <w:r>
              <w:rPr>
                <w:rFonts w:eastAsia="Times New Roman"/>
                <w:color w:val="000000"/>
                <w:sz w:val="18"/>
                <w:szCs w:val="18"/>
              </w:rPr>
              <w:t>Agency</w:t>
            </w:r>
          </w:p>
        </w:tc>
        <w:tc>
          <w:tcPr>
            <w:tcW w:w="0" w:type="auto"/>
            <w:gridSpan w:val="3"/>
            <w:shd w:val="clear" w:color="auto" w:fill="CCEEFF"/>
            <w:tcMar>
              <w:top w:w="0" w:type="dxa"/>
              <w:left w:w="20" w:type="dxa"/>
              <w:bottom w:w="0" w:type="dxa"/>
              <w:right w:w="20" w:type="dxa"/>
            </w:tcMar>
            <w:vAlign w:val="center"/>
            <w:hideMark/>
          </w:tcPr>
          <w:p w14:paraId="1A910464" w14:textId="77777777" w:rsidR="00000000" w:rsidRDefault="00405D16">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48622980"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78DEDDAD" w14:textId="77777777" w:rsidR="00000000" w:rsidRDefault="00405D16">
            <w:pPr>
              <w:spacing w:after="100"/>
              <w:jc w:val="right"/>
              <w:rPr>
                <w:rFonts w:eastAsia="Times New Roman"/>
              </w:rPr>
            </w:pPr>
            <w:r>
              <w:rPr>
                <w:rFonts w:eastAsia="Times New Roman"/>
                <w:color w:val="000000"/>
                <w:sz w:val="18"/>
                <w:szCs w:val="18"/>
              </w:rPr>
              <w:t>7,424 </w:t>
            </w:r>
          </w:p>
        </w:tc>
        <w:tc>
          <w:tcPr>
            <w:tcW w:w="0" w:type="auto"/>
            <w:shd w:val="clear" w:color="auto" w:fill="CCEEFF"/>
            <w:tcMar>
              <w:top w:w="30" w:type="dxa"/>
              <w:left w:w="0" w:type="dxa"/>
              <w:bottom w:w="30" w:type="dxa"/>
              <w:right w:w="20" w:type="dxa"/>
            </w:tcMar>
            <w:vAlign w:val="center"/>
            <w:hideMark/>
          </w:tcPr>
          <w:p w14:paraId="18EB2F4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82AE1D"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5D5E3BCA"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0328A980" w14:textId="77777777" w:rsidR="00000000" w:rsidRDefault="00405D16">
            <w:pPr>
              <w:spacing w:after="100"/>
              <w:jc w:val="right"/>
              <w:rPr>
                <w:rFonts w:eastAsia="Times New Roman"/>
              </w:rPr>
            </w:pPr>
            <w:r>
              <w:rPr>
                <w:rFonts w:eastAsia="Times New Roman"/>
                <w:color w:val="000000"/>
                <w:sz w:val="18"/>
                <w:szCs w:val="18"/>
              </w:rPr>
              <w:t>(57)</w:t>
            </w:r>
          </w:p>
        </w:tc>
        <w:tc>
          <w:tcPr>
            <w:tcW w:w="0" w:type="auto"/>
            <w:shd w:val="clear" w:color="auto" w:fill="CCEEFF"/>
            <w:tcMar>
              <w:top w:w="30" w:type="dxa"/>
              <w:left w:w="0" w:type="dxa"/>
              <w:bottom w:w="30" w:type="dxa"/>
              <w:right w:w="20" w:type="dxa"/>
            </w:tcMar>
            <w:vAlign w:val="center"/>
            <w:hideMark/>
          </w:tcPr>
          <w:p w14:paraId="49FB434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51DCD5"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2A91AB86"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316E0CD8" w14:textId="77777777" w:rsidR="00000000" w:rsidRDefault="00405D16">
            <w:pPr>
              <w:spacing w:after="100"/>
              <w:jc w:val="right"/>
              <w:rPr>
                <w:rFonts w:eastAsia="Times New Roman"/>
              </w:rPr>
            </w:pPr>
            <w:r>
              <w:rPr>
                <w:rFonts w:eastAsia="Times New Roman"/>
                <w:color w:val="000000"/>
                <w:sz w:val="18"/>
                <w:szCs w:val="18"/>
              </w:rPr>
              <w:t>1,791 </w:t>
            </w:r>
          </w:p>
        </w:tc>
        <w:tc>
          <w:tcPr>
            <w:tcW w:w="0" w:type="auto"/>
            <w:shd w:val="clear" w:color="auto" w:fill="CCEEFF"/>
            <w:tcMar>
              <w:top w:w="30" w:type="dxa"/>
              <w:left w:w="0" w:type="dxa"/>
              <w:bottom w:w="30" w:type="dxa"/>
              <w:right w:w="20" w:type="dxa"/>
            </w:tcMar>
            <w:vAlign w:val="center"/>
            <w:hideMark/>
          </w:tcPr>
          <w:p w14:paraId="65EF9A2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F9A249"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0AD39560"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721648F5" w14:textId="77777777" w:rsidR="00000000" w:rsidRDefault="00405D16">
            <w:pPr>
              <w:spacing w:after="100"/>
              <w:jc w:val="right"/>
              <w:rPr>
                <w:rFonts w:eastAsia="Times New Roman"/>
              </w:rPr>
            </w:pPr>
            <w:r>
              <w:rPr>
                <w:rFonts w:eastAsia="Times New Roman"/>
                <w:color w:val="000000"/>
                <w:sz w:val="18"/>
                <w:szCs w:val="18"/>
              </w:rPr>
              <w:t>(51)</w:t>
            </w:r>
          </w:p>
        </w:tc>
        <w:tc>
          <w:tcPr>
            <w:tcW w:w="0" w:type="auto"/>
            <w:shd w:val="clear" w:color="auto" w:fill="CCEEFF"/>
            <w:tcMar>
              <w:top w:w="30" w:type="dxa"/>
              <w:left w:w="0" w:type="dxa"/>
              <w:bottom w:w="30" w:type="dxa"/>
              <w:right w:w="20" w:type="dxa"/>
            </w:tcMar>
            <w:vAlign w:val="center"/>
            <w:hideMark/>
          </w:tcPr>
          <w:p w14:paraId="5BF9CAF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ECA8EC"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4A191FE1"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40E8D2C7" w14:textId="77777777" w:rsidR="00000000" w:rsidRDefault="00405D16">
            <w:pPr>
              <w:spacing w:after="100"/>
              <w:jc w:val="right"/>
              <w:rPr>
                <w:rFonts w:eastAsia="Times New Roman"/>
              </w:rPr>
            </w:pPr>
            <w:r>
              <w:rPr>
                <w:rFonts w:eastAsia="Times New Roman"/>
                <w:color w:val="000000"/>
                <w:sz w:val="18"/>
                <w:szCs w:val="18"/>
              </w:rPr>
              <w:t>9,215 </w:t>
            </w:r>
          </w:p>
        </w:tc>
        <w:tc>
          <w:tcPr>
            <w:tcW w:w="0" w:type="auto"/>
            <w:shd w:val="clear" w:color="auto" w:fill="CCEEFF"/>
            <w:tcMar>
              <w:top w:w="30" w:type="dxa"/>
              <w:left w:w="0" w:type="dxa"/>
              <w:bottom w:w="30" w:type="dxa"/>
              <w:right w:w="20" w:type="dxa"/>
            </w:tcMar>
            <w:vAlign w:val="center"/>
            <w:hideMark/>
          </w:tcPr>
          <w:p w14:paraId="3EEB068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66CBB3"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57A17DA0"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695D36AB" w14:textId="77777777" w:rsidR="00000000" w:rsidRDefault="00405D16">
            <w:pPr>
              <w:spacing w:after="100"/>
              <w:jc w:val="right"/>
              <w:rPr>
                <w:rFonts w:eastAsia="Times New Roman"/>
              </w:rPr>
            </w:pPr>
            <w:r>
              <w:rPr>
                <w:rFonts w:eastAsia="Times New Roman"/>
                <w:color w:val="000000"/>
                <w:sz w:val="18"/>
                <w:szCs w:val="18"/>
              </w:rPr>
              <w:t>(108)</w:t>
            </w:r>
          </w:p>
        </w:tc>
        <w:tc>
          <w:tcPr>
            <w:tcW w:w="0" w:type="auto"/>
            <w:shd w:val="clear" w:color="auto" w:fill="CCEEFF"/>
            <w:tcMar>
              <w:top w:w="30" w:type="dxa"/>
              <w:left w:w="0" w:type="dxa"/>
              <w:bottom w:w="30" w:type="dxa"/>
              <w:right w:w="20" w:type="dxa"/>
            </w:tcMar>
            <w:vAlign w:val="center"/>
            <w:hideMark/>
          </w:tcPr>
          <w:p w14:paraId="38072C44" w14:textId="77777777" w:rsidR="00000000" w:rsidRDefault="00405D16">
            <w:pPr>
              <w:spacing w:after="100"/>
              <w:jc w:val="right"/>
              <w:rPr>
                <w:rFonts w:eastAsia="Times New Roman"/>
              </w:rPr>
            </w:pPr>
          </w:p>
        </w:tc>
      </w:tr>
      <w:tr w:rsidR="00000000" w14:paraId="4550F230" w14:textId="77777777">
        <w:trPr>
          <w:divId w:val="1169633125"/>
        </w:trPr>
        <w:tc>
          <w:tcPr>
            <w:tcW w:w="0" w:type="auto"/>
            <w:gridSpan w:val="3"/>
            <w:shd w:val="clear" w:color="auto" w:fill="FFFFFF"/>
            <w:tcMar>
              <w:top w:w="30" w:type="dxa"/>
              <w:left w:w="245" w:type="dxa"/>
              <w:bottom w:w="30" w:type="dxa"/>
              <w:right w:w="20" w:type="dxa"/>
            </w:tcMar>
            <w:vAlign w:val="center"/>
            <w:hideMark/>
          </w:tcPr>
          <w:p w14:paraId="7B2B1364" w14:textId="77777777" w:rsidR="00000000" w:rsidRDefault="00405D16">
            <w:pPr>
              <w:spacing w:after="100"/>
              <w:rPr>
                <w:rFonts w:eastAsia="Times New Roman"/>
              </w:rPr>
            </w:pPr>
            <w:r>
              <w:rPr>
                <w:rFonts w:eastAsia="Times New Roman"/>
                <w:color w:val="000000"/>
                <w:sz w:val="18"/>
                <w:szCs w:val="18"/>
              </w:rPr>
              <w:t>Non-agency</w:t>
            </w:r>
          </w:p>
        </w:tc>
        <w:tc>
          <w:tcPr>
            <w:tcW w:w="0" w:type="auto"/>
            <w:gridSpan w:val="3"/>
            <w:shd w:val="clear" w:color="auto" w:fill="FFFFFF"/>
            <w:tcMar>
              <w:top w:w="0" w:type="dxa"/>
              <w:left w:w="20" w:type="dxa"/>
              <w:bottom w:w="0" w:type="dxa"/>
              <w:right w:w="20" w:type="dxa"/>
            </w:tcMar>
            <w:vAlign w:val="center"/>
            <w:hideMark/>
          </w:tcPr>
          <w:p w14:paraId="3E93CA5B"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6C6D59B" w14:textId="77777777" w:rsidR="00000000" w:rsidRDefault="00405D16">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center"/>
            <w:hideMark/>
          </w:tcPr>
          <w:p w14:paraId="54FD7F4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08130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CCE6CF2"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163680B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F4CF9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1CD796D"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62B817B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72045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01D8765"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37E02F5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84198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CD54257" w14:textId="77777777" w:rsidR="00000000" w:rsidRDefault="00405D16">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center"/>
            <w:hideMark/>
          </w:tcPr>
          <w:p w14:paraId="3C5ED0B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79861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D1943F7"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4D515C5B" w14:textId="77777777" w:rsidR="00000000" w:rsidRDefault="00405D16">
            <w:pPr>
              <w:spacing w:after="100"/>
              <w:jc w:val="right"/>
              <w:rPr>
                <w:rFonts w:eastAsia="Times New Roman"/>
              </w:rPr>
            </w:pPr>
          </w:p>
        </w:tc>
      </w:tr>
      <w:tr w:rsidR="00000000" w14:paraId="6EB63AB0" w14:textId="77777777">
        <w:trPr>
          <w:divId w:val="1169633125"/>
        </w:trPr>
        <w:tc>
          <w:tcPr>
            <w:tcW w:w="0" w:type="auto"/>
            <w:gridSpan w:val="3"/>
            <w:shd w:val="clear" w:color="auto" w:fill="CCEEFF"/>
            <w:tcMar>
              <w:top w:w="30" w:type="dxa"/>
              <w:left w:w="20" w:type="dxa"/>
              <w:bottom w:w="30" w:type="dxa"/>
              <w:right w:w="20" w:type="dxa"/>
            </w:tcMar>
            <w:vAlign w:val="center"/>
            <w:hideMark/>
          </w:tcPr>
          <w:p w14:paraId="4D680131" w14:textId="77777777" w:rsidR="00000000" w:rsidRDefault="00405D16">
            <w:pPr>
              <w:spacing w:after="100"/>
              <w:rPr>
                <w:rFonts w:eastAsia="Times New Roman"/>
              </w:rPr>
            </w:pPr>
            <w:r>
              <w:rPr>
                <w:rFonts w:eastAsia="Times New Roman"/>
                <w:color w:val="000000"/>
                <w:sz w:val="18"/>
                <w:szCs w:val="18"/>
              </w:rPr>
              <w:t>Total RMBS</w:t>
            </w:r>
          </w:p>
        </w:tc>
        <w:tc>
          <w:tcPr>
            <w:tcW w:w="0" w:type="auto"/>
            <w:gridSpan w:val="3"/>
            <w:shd w:val="clear" w:color="auto" w:fill="CCEEFF"/>
            <w:tcMar>
              <w:top w:w="0" w:type="dxa"/>
              <w:left w:w="20" w:type="dxa"/>
              <w:bottom w:w="0" w:type="dxa"/>
              <w:right w:w="20" w:type="dxa"/>
            </w:tcMar>
            <w:vAlign w:val="center"/>
            <w:hideMark/>
          </w:tcPr>
          <w:p w14:paraId="2A0281E7"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D3E513C" w14:textId="77777777" w:rsidR="00000000" w:rsidRDefault="00405D16">
            <w:pPr>
              <w:spacing w:after="100"/>
              <w:jc w:val="right"/>
              <w:rPr>
                <w:rFonts w:eastAsia="Times New Roman"/>
              </w:rPr>
            </w:pPr>
            <w:r>
              <w:rPr>
                <w:rFonts w:eastAsia="Times New Roman"/>
                <w:color w:val="000000"/>
                <w:sz w:val="18"/>
                <w:szCs w:val="18"/>
              </w:rPr>
              <w:t>7,436 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ABF4E3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28E255"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37FB9DD" w14:textId="77777777" w:rsidR="00000000" w:rsidRDefault="00405D16">
            <w:pPr>
              <w:spacing w:after="100"/>
              <w:jc w:val="right"/>
              <w:rPr>
                <w:rFonts w:eastAsia="Times New Roman"/>
              </w:rPr>
            </w:pPr>
            <w:r>
              <w:rPr>
                <w:rFonts w:eastAsia="Times New Roman"/>
                <w:color w:val="000000"/>
                <w:sz w:val="18"/>
                <w:szCs w:val="18"/>
              </w:rPr>
              <w:t>(57)</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60A04B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649C00"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3C1A7EE" w14:textId="77777777" w:rsidR="00000000" w:rsidRDefault="00405D16">
            <w:pPr>
              <w:spacing w:after="100"/>
              <w:jc w:val="right"/>
              <w:rPr>
                <w:rFonts w:eastAsia="Times New Roman"/>
              </w:rPr>
            </w:pPr>
            <w:r>
              <w:rPr>
                <w:rFonts w:eastAsia="Times New Roman"/>
                <w:color w:val="000000"/>
                <w:sz w:val="18"/>
                <w:szCs w:val="18"/>
              </w:rPr>
              <w:t>1,791 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7543FE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2591F0"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A5C5D0E" w14:textId="77777777" w:rsidR="00000000" w:rsidRDefault="00405D16">
            <w:pPr>
              <w:spacing w:after="100"/>
              <w:jc w:val="right"/>
              <w:rPr>
                <w:rFonts w:eastAsia="Times New Roman"/>
              </w:rPr>
            </w:pPr>
            <w:r>
              <w:rPr>
                <w:rFonts w:eastAsia="Times New Roman"/>
                <w:color w:val="000000"/>
                <w:sz w:val="18"/>
                <w:szCs w:val="18"/>
              </w:rPr>
              <w:t>(51)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46ADD1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B1AB7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50C5098" w14:textId="77777777" w:rsidR="00000000" w:rsidRDefault="00405D16">
            <w:pPr>
              <w:spacing w:after="100"/>
              <w:jc w:val="right"/>
              <w:rPr>
                <w:rFonts w:eastAsia="Times New Roman"/>
              </w:rPr>
            </w:pPr>
            <w:r>
              <w:rPr>
                <w:rFonts w:eastAsia="Times New Roman"/>
                <w:color w:val="000000"/>
                <w:sz w:val="18"/>
                <w:szCs w:val="18"/>
              </w:rPr>
              <w:t>9,227 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47CB8E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CF308B"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A86132C" w14:textId="77777777" w:rsidR="00000000" w:rsidRDefault="00405D16">
            <w:pPr>
              <w:spacing w:after="100"/>
              <w:jc w:val="right"/>
              <w:rPr>
                <w:rFonts w:eastAsia="Times New Roman"/>
              </w:rPr>
            </w:pPr>
            <w:r>
              <w:rPr>
                <w:rFonts w:eastAsia="Times New Roman"/>
                <w:color w:val="000000"/>
                <w:sz w:val="18"/>
                <w:szCs w:val="18"/>
              </w:rPr>
              <w:t>(108)</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49A4E2F" w14:textId="77777777" w:rsidR="00000000" w:rsidRDefault="00405D16">
            <w:pPr>
              <w:spacing w:after="100"/>
              <w:jc w:val="right"/>
              <w:rPr>
                <w:rFonts w:eastAsia="Times New Roman"/>
              </w:rPr>
            </w:pPr>
          </w:p>
        </w:tc>
      </w:tr>
      <w:tr w:rsidR="00000000" w14:paraId="76515DB7" w14:textId="77777777">
        <w:trPr>
          <w:divId w:val="1169633125"/>
        </w:trPr>
        <w:tc>
          <w:tcPr>
            <w:tcW w:w="0" w:type="auto"/>
            <w:gridSpan w:val="3"/>
            <w:shd w:val="clear" w:color="auto" w:fill="FFFFFF"/>
            <w:tcMar>
              <w:top w:w="30" w:type="dxa"/>
              <w:left w:w="20" w:type="dxa"/>
              <w:bottom w:w="30" w:type="dxa"/>
              <w:right w:w="20" w:type="dxa"/>
            </w:tcMar>
            <w:vAlign w:val="center"/>
            <w:hideMark/>
          </w:tcPr>
          <w:p w14:paraId="5FF65511" w14:textId="77777777" w:rsidR="00000000" w:rsidRDefault="00405D16">
            <w:pPr>
              <w:spacing w:after="100"/>
              <w:rPr>
                <w:rFonts w:eastAsia="Times New Roman"/>
              </w:rPr>
            </w:pPr>
            <w:r>
              <w:rPr>
                <w:rFonts w:eastAsia="Times New Roman"/>
                <w:color w:val="000000"/>
                <w:sz w:val="18"/>
                <w:szCs w:val="18"/>
              </w:rPr>
              <w:t>Agency CMBS</w:t>
            </w:r>
          </w:p>
        </w:tc>
        <w:tc>
          <w:tcPr>
            <w:tcW w:w="0" w:type="auto"/>
            <w:gridSpan w:val="3"/>
            <w:shd w:val="clear" w:color="auto" w:fill="FFFFFF"/>
            <w:tcMar>
              <w:top w:w="0" w:type="dxa"/>
              <w:left w:w="20" w:type="dxa"/>
              <w:bottom w:w="0" w:type="dxa"/>
              <w:right w:w="20" w:type="dxa"/>
            </w:tcMar>
            <w:vAlign w:val="center"/>
            <w:hideMark/>
          </w:tcPr>
          <w:p w14:paraId="082A5302"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ABF216E" w14:textId="77777777" w:rsidR="00000000" w:rsidRDefault="00405D16">
            <w:pPr>
              <w:spacing w:after="100"/>
              <w:jc w:val="right"/>
              <w:rPr>
                <w:rFonts w:eastAsia="Times New Roman"/>
              </w:rPr>
            </w:pPr>
            <w:r>
              <w:rPr>
                <w:rFonts w:eastAsia="Times New Roman"/>
                <w:color w:val="000000"/>
                <w:sz w:val="18"/>
                <w:szCs w:val="18"/>
              </w:rPr>
              <w:t>1,545 </w:t>
            </w:r>
          </w:p>
        </w:tc>
        <w:tc>
          <w:tcPr>
            <w:tcW w:w="0" w:type="auto"/>
            <w:shd w:val="clear" w:color="auto" w:fill="FFFFFF"/>
            <w:tcMar>
              <w:top w:w="30" w:type="dxa"/>
              <w:left w:w="0" w:type="dxa"/>
              <w:bottom w:w="30" w:type="dxa"/>
              <w:right w:w="20" w:type="dxa"/>
            </w:tcMar>
            <w:vAlign w:val="center"/>
            <w:hideMark/>
          </w:tcPr>
          <w:p w14:paraId="7172718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79DF1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4718001" w14:textId="77777777" w:rsidR="00000000" w:rsidRDefault="00405D16">
            <w:pPr>
              <w:spacing w:after="100"/>
              <w:jc w:val="right"/>
              <w:rPr>
                <w:rFonts w:eastAsia="Times New Roman"/>
              </w:rPr>
            </w:pPr>
            <w:r>
              <w:rPr>
                <w:rFonts w:eastAsia="Times New Roman"/>
                <w:color w:val="000000"/>
                <w:sz w:val="18"/>
                <w:szCs w:val="18"/>
              </w:rPr>
              <w:t>(7)</w:t>
            </w:r>
          </w:p>
        </w:tc>
        <w:tc>
          <w:tcPr>
            <w:tcW w:w="0" w:type="auto"/>
            <w:shd w:val="clear" w:color="auto" w:fill="FFFFFF"/>
            <w:tcMar>
              <w:top w:w="30" w:type="dxa"/>
              <w:left w:w="0" w:type="dxa"/>
              <w:bottom w:w="30" w:type="dxa"/>
              <w:right w:w="20" w:type="dxa"/>
            </w:tcMar>
            <w:vAlign w:val="center"/>
            <w:hideMark/>
          </w:tcPr>
          <w:p w14:paraId="014874B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B3505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11E506F" w14:textId="77777777" w:rsidR="00000000" w:rsidRDefault="00405D16">
            <w:pPr>
              <w:spacing w:after="100"/>
              <w:jc w:val="right"/>
              <w:rPr>
                <w:rFonts w:eastAsia="Times New Roman"/>
              </w:rPr>
            </w:pPr>
            <w:r>
              <w:rPr>
                <w:rFonts w:eastAsia="Times New Roman"/>
                <w:color w:val="000000"/>
                <w:sz w:val="18"/>
                <w:szCs w:val="18"/>
              </w:rPr>
              <w:t>267 </w:t>
            </w:r>
          </w:p>
        </w:tc>
        <w:tc>
          <w:tcPr>
            <w:tcW w:w="0" w:type="auto"/>
            <w:shd w:val="clear" w:color="auto" w:fill="FFFFFF"/>
            <w:tcMar>
              <w:top w:w="30" w:type="dxa"/>
              <w:left w:w="0" w:type="dxa"/>
              <w:bottom w:w="30" w:type="dxa"/>
              <w:right w:w="20" w:type="dxa"/>
            </w:tcMar>
            <w:vAlign w:val="center"/>
            <w:hideMark/>
          </w:tcPr>
          <w:p w14:paraId="2300790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30F9E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5F021BB" w14:textId="77777777" w:rsidR="00000000" w:rsidRDefault="00405D16">
            <w:pPr>
              <w:spacing w:after="100"/>
              <w:jc w:val="right"/>
              <w:rPr>
                <w:rFonts w:eastAsia="Times New Roman"/>
              </w:rPr>
            </w:pPr>
            <w:r>
              <w:rPr>
                <w:rFonts w:eastAsia="Times New Roman"/>
                <w:color w:val="000000"/>
                <w:sz w:val="18"/>
                <w:szCs w:val="18"/>
              </w:rPr>
              <w:t>(4)</w:t>
            </w:r>
          </w:p>
        </w:tc>
        <w:tc>
          <w:tcPr>
            <w:tcW w:w="0" w:type="auto"/>
            <w:shd w:val="clear" w:color="auto" w:fill="FFFFFF"/>
            <w:tcMar>
              <w:top w:w="30" w:type="dxa"/>
              <w:left w:w="0" w:type="dxa"/>
              <w:bottom w:w="30" w:type="dxa"/>
              <w:right w:w="20" w:type="dxa"/>
            </w:tcMar>
            <w:vAlign w:val="center"/>
            <w:hideMark/>
          </w:tcPr>
          <w:p w14:paraId="284AE4B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351BE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C7BEABE" w14:textId="77777777" w:rsidR="00000000" w:rsidRDefault="00405D16">
            <w:pPr>
              <w:spacing w:after="100"/>
              <w:jc w:val="right"/>
              <w:rPr>
                <w:rFonts w:eastAsia="Times New Roman"/>
              </w:rPr>
            </w:pPr>
            <w:r>
              <w:rPr>
                <w:rFonts w:eastAsia="Times New Roman"/>
                <w:color w:val="000000"/>
                <w:sz w:val="18"/>
                <w:szCs w:val="18"/>
              </w:rPr>
              <w:t>1,812 </w:t>
            </w:r>
          </w:p>
        </w:tc>
        <w:tc>
          <w:tcPr>
            <w:tcW w:w="0" w:type="auto"/>
            <w:shd w:val="clear" w:color="auto" w:fill="FFFFFF"/>
            <w:tcMar>
              <w:top w:w="30" w:type="dxa"/>
              <w:left w:w="0" w:type="dxa"/>
              <w:bottom w:w="30" w:type="dxa"/>
              <w:right w:w="20" w:type="dxa"/>
            </w:tcMar>
            <w:vAlign w:val="center"/>
            <w:hideMark/>
          </w:tcPr>
          <w:p w14:paraId="38E970F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9F639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3BD3421" w14:textId="77777777" w:rsidR="00000000" w:rsidRDefault="00405D16">
            <w:pPr>
              <w:spacing w:after="100"/>
              <w:jc w:val="right"/>
              <w:rPr>
                <w:rFonts w:eastAsia="Times New Roman"/>
              </w:rPr>
            </w:pPr>
            <w:r>
              <w:rPr>
                <w:rFonts w:eastAsia="Times New Roman"/>
                <w:color w:val="000000"/>
                <w:sz w:val="18"/>
                <w:szCs w:val="18"/>
              </w:rPr>
              <w:t>(11)</w:t>
            </w:r>
          </w:p>
        </w:tc>
        <w:tc>
          <w:tcPr>
            <w:tcW w:w="0" w:type="auto"/>
            <w:shd w:val="clear" w:color="auto" w:fill="FFFFFF"/>
            <w:tcMar>
              <w:top w:w="30" w:type="dxa"/>
              <w:left w:w="0" w:type="dxa"/>
              <w:bottom w:w="30" w:type="dxa"/>
              <w:right w:w="20" w:type="dxa"/>
            </w:tcMar>
            <w:vAlign w:val="center"/>
            <w:hideMark/>
          </w:tcPr>
          <w:p w14:paraId="3C85DBE3" w14:textId="77777777" w:rsidR="00000000" w:rsidRDefault="00405D16">
            <w:pPr>
              <w:spacing w:after="100"/>
              <w:jc w:val="right"/>
              <w:rPr>
                <w:rFonts w:eastAsia="Times New Roman"/>
              </w:rPr>
            </w:pPr>
          </w:p>
        </w:tc>
      </w:tr>
      <w:tr w:rsidR="00000000" w14:paraId="518405AB" w14:textId="77777777">
        <w:trPr>
          <w:divId w:val="1169633125"/>
        </w:trPr>
        <w:tc>
          <w:tcPr>
            <w:tcW w:w="0" w:type="auto"/>
            <w:gridSpan w:val="3"/>
            <w:shd w:val="clear" w:color="auto" w:fill="CCEEFF"/>
            <w:tcMar>
              <w:top w:w="30" w:type="dxa"/>
              <w:left w:w="20" w:type="dxa"/>
              <w:bottom w:w="30" w:type="dxa"/>
              <w:right w:w="20" w:type="dxa"/>
            </w:tcMar>
            <w:vAlign w:val="center"/>
            <w:hideMark/>
          </w:tcPr>
          <w:p w14:paraId="2A8535E9" w14:textId="77777777" w:rsidR="00000000" w:rsidRDefault="00405D16">
            <w:pPr>
              <w:spacing w:after="100"/>
              <w:divId w:val="23141347"/>
              <w:rPr>
                <w:rFonts w:eastAsia="Times New Roman"/>
              </w:rPr>
            </w:pPr>
            <w:r>
              <w:rPr>
                <w:rFonts w:eastAsia="Times New Roman"/>
                <w:color w:val="000000"/>
                <w:sz w:val="18"/>
                <w:szCs w:val="18"/>
              </w:rPr>
              <w:t>Other securitie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5371EC02"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477E3B0" w14:textId="77777777" w:rsidR="00000000" w:rsidRDefault="00405D16">
            <w:pPr>
              <w:spacing w:after="100"/>
              <w:jc w:val="right"/>
              <w:rPr>
                <w:rFonts w:eastAsia="Times New Roman"/>
              </w:rPr>
            </w:pPr>
            <w:r>
              <w:rPr>
                <w:rFonts w:eastAsia="Times New Roman"/>
                <w:color w:val="000000"/>
                <w:sz w:val="18"/>
                <w:szCs w:val="18"/>
              </w:rPr>
              <w:t>114 </w:t>
            </w:r>
          </w:p>
        </w:tc>
        <w:tc>
          <w:tcPr>
            <w:tcW w:w="0" w:type="auto"/>
            <w:shd w:val="clear" w:color="auto" w:fill="CCEEFF"/>
            <w:tcMar>
              <w:top w:w="30" w:type="dxa"/>
              <w:left w:w="0" w:type="dxa"/>
              <w:bottom w:w="30" w:type="dxa"/>
              <w:right w:w="20" w:type="dxa"/>
            </w:tcMar>
            <w:vAlign w:val="center"/>
            <w:hideMark/>
          </w:tcPr>
          <w:p w14:paraId="1666C46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89B21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081A379"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68693CA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49FCB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970A49D" w14:textId="77777777" w:rsidR="00000000" w:rsidRDefault="00405D16">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14:paraId="3167F45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15E7F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F704B83"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420DD2B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5935C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47207B0" w14:textId="77777777" w:rsidR="00000000" w:rsidRDefault="00405D16">
            <w:pPr>
              <w:spacing w:after="100"/>
              <w:jc w:val="right"/>
              <w:rPr>
                <w:rFonts w:eastAsia="Times New Roman"/>
              </w:rPr>
            </w:pPr>
            <w:r>
              <w:rPr>
                <w:rFonts w:eastAsia="Times New Roman"/>
                <w:color w:val="000000"/>
                <w:sz w:val="18"/>
                <w:szCs w:val="18"/>
              </w:rPr>
              <w:t>115 </w:t>
            </w:r>
          </w:p>
        </w:tc>
        <w:tc>
          <w:tcPr>
            <w:tcW w:w="0" w:type="auto"/>
            <w:shd w:val="clear" w:color="auto" w:fill="CCEEFF"/>
            <w:tcMar>
              <w:top w:w="30" w:type="dxa"/>
              <w:left w:w="0" w:type="dxa"/>
              <w:bottom w:w="30" w:type="dxa"/>
              <w:right w:w="20" w:type="dxa"/>
            </w:tcMar>
            <w:vAlign w:val="center"/>
            <w:hideMark/>
          </w:tcPr>
          <w:p w14:paraId="459DBB5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28A84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5CBD9E5"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587311F0" w14:textId="77777777" w:rsidR="00000000" w:rsidRDefault="00405D16">
            <w:pPr>
              <w:spacing w:after="100"/>
              <w:jc w:val="right"/>
              <w:rPr>
                <w:rFonts w:eastAsia="Times New Roman"/>
              </w:rPr>
            </w:pPr>
          </w:p>
        </w:tc>
      </w:tr>
      <w:tr w:rsidR="00000000" w14:paraId="63327E50" w14:textId="77777777">
        <w:trPr>
          <w:divId w:val="1169633125"/>
        </w:trPr>
        <w:tc>
          <w:tcPr>
            <w:tcW w:w="0" w:type="auto"/>
            <w:gridSpan w:val="3"/>
            <w:shd w:val="clear" w:color="auto" w:fill="FFFFFF"/>
            <w:tcMar>
              <w:top w:w="30" w:type="dxa"/>
              <w:left w:w="20" w:type="dxa"/>
              <w:bottom w:w="30" w:type="dxa"/>
              <w:right w:w="20" w:type="dxa"/>
            </w:tcMar>
            <w:vAlign w:val="bottom"/>
            <w:hideMark/>
          </w:tcPr>
          <w:p w14:paraId="50DA5706" w14:textId="77777777" w:rsidR="00000000" w:rsidRDefault="00405D16">
            <w:pPr>
              <w:spacing w:after="100"/>
              <w:divId w:val="1873104571"/>
              <w:rPr>
                <w:rFonts w:eastAsia="Times New Roman"/>
              </w:rPr>
            </w:pPr>
            <w:r>
              <w:rPr>
                <w:rFonts w:eastAsia="Times New Roman"/>
                <w:color w:val="000000"/>
                <w:sz w:val="18"/>
                <w:szCs w:val="18"/>
              </w:rPr>
              <w:t>Total investment securities available for sale in a gross unrealized loss position without an allowance for credit losse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63495C37"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0639E6C"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8C1530D" w14:textId="77777777" w:rsidR="00000000" w:rsidRDefault="00405D16">
            <w:pPr>
              <w:spacing w:after="100"/>
              <w:jc w:val="right"/>
              <w:rPr>
                <w:rFonts w:eastAsia="Times New Roman"/>
              </w:rPr>
            </w:pPr>
            <w:r>
              <w:rPr>
                <w:rFonts w:eastAsia="Times New Roman"/>
                <w:color w:val="000000"/>
                <w:sz w:val="18"/>
                <w:szCs w:val="18"/>
              </w:rPr>
              <w:t>9,095 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B9BEDF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0416AE"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FE71323"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ED5FE5A" w14:textId="77777777" w:rsidR="00000000" w:rsidRDefault="00405D16">
            <w:pPr>
              <w:spacing w:after="100"/>
              <w:jc w:val="right"/>
              <w:rPr>
                <w:rFonts w:eastAsia="Times New Roman"/>
              </w:rPr>
            </w:pPr>
            <w:r>
              <w:rPr>
                <w:rFonts w:eastAsia="Times New Roman"/>
                <w:color w:val="000000"/>
                <w:sz w:val="18"/>
                <w:szCs w:val="18"/>
              </w:rPr>
              <w:t>(64)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28BBE5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116B43"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54CE5DF"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21B7182" w14:textId="77777777" w:rsidR="00000000" w:rsidRDefault="00405D16">
            <w:pPr>
              <w:spacing w:after="100"/>
              <w:jc w:val="right"/>
              <w:rPr>
                <w:rFonts w:eastAsia="Times New Roman"/>
              </w:rPr>
            </w:pPr>
            <w:r>
              <w:rPr>
                <w:rFonts w:eastAsia="Times New Roman"/>
                <w:color w:val="000000"/>
                <w:sz w:val="18"/>
                <w:szCs w:val="18"/>
              </w:rPr>
              <w:t>2,059 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1DE455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180962"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02CAD19"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CF97046" w14:textId="77777777" w:rsidR="00000000" w:rsidRDefault="00405D16">
            <w:pPr>
              <w:spacing w:after="100"/>
              <w:jc w:val="right"/>
              <w:rPr>
                <w:rFonts w:eastAsia="Times New Roman"/>
              </w:rPr>
            </w:pPr>
            <w:r>
              <w:rPr>
                <w:rFonts w:eastAsia="Times New Roman"/>
                <w:color w:val="000000"/>
                <w:sz w:val="18"/>
                <w:szCs w:val="18"/>
              </w:rPr>
              <w:t>(55)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854FF4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D12193"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501F0D3"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680A232" w14:textId="77777777" w:rsidR="00000000" w:rsidRDefault="00405D16">
            <w:pPr>
              <w:spacing w:after="100"/>
              <w:jc w:val="right"/>
              <w:rPr>
                <w:rFonts w:eastAsia="Times New Roman"/>
              </w:rPr>
            </w:pPr>
            <w:r>
              <w:rPr>
                <w:rFonts w:eastAsia="Times New Roman"/>
                <w:color w:val="000000"/>
                <w:sz w:val="18"/>
                <w:szCs w:val="18"/>
              </w:rPr>
              <w:t>11,154 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FDB464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251F23"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D2864C5"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1AEB859" w14:textId="77777777" w:rsidR="00000000" w:rsidRDefault="00405D16">
            <w:pPr>
              <w:spacing w:after="100"/>
              <w:jc w:val="right"/>
              <w:rPr>
                <w:rFonts w:eastAsia="Times New Roman"/>
              </w:rPr>
            </w:pPr>
            <w:r>
              <w:rPr>
                <w:rFonts w:eastAsia="Times New Roman"/>
                <w:color w:val="000000"/>
                <w:sz w:val="18"/>
                <w:szCs w:val="18"/>
              </w:rPr>
              <w:t>(119)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6E325EB" w14:textId="77777777" w:rsidR="00000000" w:rsidRDefault="00405D16">
            <w:pPr>
              <w:spacing w:after="100"/>
              <w:jc w:val="right"/>
              <w:rPr>
                <w:rFonts w:eastAsia="Times New Roman"/>
              </w:rPr>
            </w:pPr>
          </w:p>
        </w:tc>
      </w:tr>
    </w:tbl>
    <w:p w14:paraId="2324AA04" w14:textId="77777777" w:rsidR="00000000" w:rsidRDefault="00405D16">
      <w:pPr>
        <w:divId w:val="1313801472"/>
        <w:rPr>
          <w:rFonts w:eastAsia="Times New Roman"/>
        </w:rPr>
      </w:pPr>
      <w:r>
        <w:rPr>
          <w:rFonts w:eastAsia="Times New Roman"/>
          <w:color w:val="000000"/>
          <w:sz w:val="20"/>
          <w:szCs w:val="20"/>
        </w:rPr>
        <w:t>__________</w:t>
      </w:r>
    </w:p>
    <w:p w14:paraId="509B24F5" w14:textId="77777777" w:rsidR="00000000" w:rsidRDefault="00405D16">
      <w:pPr>
        <w:ind w:hanging="360"/>
        <w:jc w:val="both"/>
        <w:divId w:val="142811246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w:t>
      </w:r>
      <w:r>
        <w:rPr>
          <w:rFonts w:eastAsia="Times New Roman"/>
          <w:color w:val="000000"/>
          <w:sz w:val="16"/>
          <w:szCs w:val="16"/>
        </w:rPr>
        <w:t>Includes primarily other asset-backed securities, foreign government bonds, and supranational bonds.</w:t>
      </w:r>
    </w:p>
    <w:p w14:paraId="6AE5AC1C" w14:textId="77777777" w:rsidR="00000000" w:rsidRDefault="00405D16">
      <w:pPr>
        <w:ind w:hanging="360"/>
        <w:jc w:val="both"/>
        <w:divId w:val="2109347480"/>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Consists of approxima</w:t>
      </w:r>
      <w:r>
        <w:rPr>
          <w:rFonts w:eastAsia="Times New Roman"/>
          <w:color w:val="000000"/>
          <w:sz w:val="16"/>
          <w:szCs w:val="16"/>
          <w:shd w:val="clear" w:color="auto" w:fill="FFFFFF"/>
        </w:rPr>
        <w:t>tely</w:t>
      </w:r>
      <w:r>
        <w:rPr>
          <w:rFonts w:eastAsia="Times New Roman"/>
          <w:color w:val="000000"/>
          <w:sz w:val="16"/>
          <w:szCs w:val="16"/>
        </w:rPr>
        <w:t xml:space="preserve"> 540 and 320 se</w:t>
      </w:r>
      <w:r>
        <w:rPr>
          <w:rFonts w:eastAsia="Times New Roman"/>
          <w:color w:val="000000"/>
          <w:sz w:val="16"/>
          <w:szCs w:val="16"/>
          <w:shd w:val="clear" w:color="auto" w:fill="FFFFFF"/>
        </w:rPr>
        <w:t>cur</w:t>
      </w:r>
      <w:r>
        <w:rPr>
          <w:rFonts w:eastAsia="Times New Roman"/>
          <w:color w:val="000000"/>
          <w:sz w:val="16"/>
          <w:szCs w:val="16"/>
        </w:rPr>
        <w:t>ities in gross unrealized loss positions as of September 30, 2021 and December 31, 2020, respectively.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6B5E8ED2" w14:textId="77777777">
        <w:trPr>
          <w:divId w:val="1839425211"/>
          <w:jc w:val="center"/>
        </w:trPr>
        <w:tc>
          <w:tcPr>
            <w:tcW w:w="50" w:type="pct"/>
            <w:vAlign w:val="center"/>
            <w:hideMark/>
          </w:tcPr>
          <w:p w14:paraId="0808979A" w14:textId="77777777" w:rsidR="00000000" w:rsidRDefault="00405D16">
            <w:pPr>
              <w:ind w:hanging="360"/>
              <w:jc w:val="both"/>
              <w:rPr>
                <w:rFonts w:eastAsia="Times New Roman"/>
              </w:rPr>
            </w:pPr>
          </w:p>
        </w:tc>
        <w:tc>
          <w:tcPr>
            <w:tcW w:w="1606" w:type="pct"/>
            <w:vAlign w:val="center"/>
            <w:hideMark/>
          </w:tcPr>
          <w:p w14:paraId="4CAC91F0" w14:textId="77777777" w:rsidR="00000000" w:rsidRDefault="00405D16">
            <w:pPr>
              <w:spacing w:after="100"/>
              <w:rPr>
                <w:rFonts w:eastAsia="Times New Roman"/>
                <w:sz w:val="20"/>
                <w:szCs w:val="20"/>
              </w:rPr>
            </w:pPr>
          </w:p>
        </w:tc>
        <w:tc>
          <w:tcPr>
            <w:tcW w:w="5" w:type="pct"/>
            <w:vAlign w:val="center"/>
            <w:hideMark/>
          </w:tcPr>
          <w:p w14:paraId="1367775C" w14:textId="77777777" w:rsidR="00000000" w:rsidRDefault="00405D16">
            <w:pPr>
              <w:spacing w:after="100"/>
              <w:rPr>
                <w:rFonts w:eastAsia="Times New Roman"/>
                <w:sz w:val="20"/>
                <w:szCs w:val="20"/>
              </w:rPr>
            </w:pPr>
          </w:p>
        </w:tc>
        <w:tc>
          <w:tcPr>
            <w:tcW w:w="50" w:type="pct"/>
            <w:vAlign w:val="center"/>
            <w:hideMark/>
          </w:tcPr>
          <w:p w14:paraId="035ACFBB" w14:textId="77777777" w:rsidR="00000000" w:rsidRDefault="00405D16">
            <w:pPr>
              <w:spacing w:after="100"/>
              <w:rPr>
                <w:rFonts w:eastAsia="Times New Roman"/>
                <w:sz w:val="20"/>
                <w:szCs w:val="20"/>
              </w:rPr>
            </w:pPr>
          </w:p>
        </w:tc>
        <w:tc>
          <w:tcPr>
            <w:tcW w:w="1614" w:type="pct"/>
            <w:vAlign w:val="center"/>
            <w:hideMark/>
          </w:tcPr>
          <w:p w14:paraId="4DDFDB1A" w14:textId="77777777" w:rsidR="00000000" w:rsidRDefault="00405D16">
            <w:pPr>
              <w:spacing w:after="100"/>
              <w:rPr>
                <w:rFonts w:eastAsia="Times New Roman"/>
                <w:sz w:val="20"/>
                <w:szCs w:val="20"/>
              </w:rPr>
            </w:pPr>
          </w:p>
        </w:tc>
        <w:tc>
          <w:tcPr>
            <w:tcW w:w="5" w:type="pct"/>
            <w:vAlign w:val="center"/>
            <w:hideMark/>
          </w:tcPr>
          <w:p w14:paraId="1FE547B1" w14:textId="77777777" w:rsidR="00000000" w:rsidRDefault="00405D16">
            <w:pPr>
              <w:spacing w:after="100"/>
              <w:rPr>
                <w:rFonts w:eastAsia="Times New Roman"/>
                <w:sz w:val="20"/>
                <w:szCs w:val="20"/>
              </w:rPr>
            </w:pPr>
          </w:p>
        </w:tc>
        <w:tc>
          <w:tcPr>
            <w:tcW w:w="50" w:type="pct"/>
            <w:vAlign w:val="center"/>
            <w:hideMark/>
          </w:tcPr>
          <w:p w14:paraId="39FC2393" w14:textId="77777777" w:rsidR="00000000" w:rsidRDefault="00405D16">
            <w:pPr>
              <w:spacing w:after="100"/>
              <w:rPr>
                <w:rFonts w:eastAsia="Times New Roman"/>
                <w:sz w:val="20"/>
                <w:szCs w:val="20"/>
              </w:rPr>
            </w:pPr>
          </w:p>
        </w:tc>
        <w:tc>
          <w:tcPr>
            <w:tcW w:w="1614" w:type="pct"/>
            <w:vAlign w:val="center"/>
            <w:hideMark/>
          </w:tcPr>
          <w:p w14:paraId="18ED82D1" w14:textId="77777777" w:rsidR="00000000" w:rsidRDefault="00405D16">
            <w:pPr>
              <w:spacing w:after="100"/>
              <w:rPr>
                <w:rFonts w:eastAsia="Times New Roman"/>
                <w:sz w:val="20"/>
                <w:szCs w:val="20"/>
              </w:rPr>
            </w:pPr>
          </w:p>
        </w:tc>
        <w:tc>
          <w:tcPr>
            <w:tcW w:w="5" w:type="pct"/>
            <w:vAlign w:val="center"/>
            <w:hideMark/>
          </w:tcPr>
          <w:p w14:paraId="6AC0392E" w14:textId="77777777" w:rsidR="00000000" w:rsidRDefault="00405D16">
            <w:pPr>
              <w:spacing w:after="100"/>
              <w:rPr>
                <w:rFonts w:eastAsia="Times New Roman"/>
                <w:sz w:val="20"/>
                <w:szCs w:val="20"/>
              </w:rPr>
            </w:pPr>
          </w:p>
        </w:tc>
      </w:tr>
      <w:tr w:rsidR="00000000" w14:paraId="219DEFEF" w14:textId="77777777">
        <w:trPr>
          <w:divId w:val="1839425211"/>
          <w:trHeight w:val="300"/>
          <w:jc w:val="center"/>
        </w:trPr>
        <w:tc>
          <w:tcPr>
            <w:tcW w:w="0" w:type="auto"/>
            <w:gridSpan w:val="9"/>
            <w:tcMar>
              <w:top w:w="0" w:type="dxa"/>
              <w:left w:w="20" w:type="dxa"/>
              <w:bottom w:w="0" w:type="dxa"/>
              <w:right w:w="20" w:type="dxa"/>
            </w:tcMar>
            <w:vAlign w:val="center"/>
            <w:hideMark/>
          </w:tcPr>
          <w:p w14:paraId="259A0AD2" w14:textId="77777777" w:rsidR="00000000" w:rsidRDefault="00405D16">
            <w:pPr>
              <w:spacing w:after="100"/>
              <w:rPr>
                <w:rFonts w:eastAsia="Times New Roman"/>
                <w:sz w:val="20"/>
                <w:szCs w:val="20"/>
              </w:rPr>
            </w:pPr>
          </w:p>
        </w:tc>
      </w:tr>
      <w:tr w:rsidR="00000000" w14:paraId="58F2C7FA" w14:textId="77777777">
        <w:trPr>
          <w:divId w:val="1839425211"/>
          <w:jc w:val="center"/>
        </w:trPr>
        <w:tc>
          <w:tcPr>
            <w:tcW w:w="0" w:type="auto"/>
            <w:gridSpan w:val="3"/>
            <w:tcMar>
              <w:top w:w="0" w:type="dxa"/>
              <w:left w:w="20" w:type="dxa"/>
              <w:bottom w:w="0" w:type="dxa"/>
              <w:right w:w="20" w:type="dxa"/>
            </w:tcMar>
            <w:vAlign w:val="center"/>
            <w:hideMark/>
          </w:tcPr>
          <w:p w14:paraId="430A6EE7"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24D6DE9" w14:textId="77777777" w:rsidR="00000000" w:rsidRDefault="00405D16">
            <w:pPr>
              <w:spacing w:after="100"/>
              <w:jc w:val="center"/>
              <w:rPr>
                <w:rFonts w:eastAsia="Times New Roman"/>
              </w:rPr>
            </w:pPr>
            <w:r>
              <w:rPr>
                <w:rFonts w:eastAsia="Times New Roman"/>
                <w:color w:val="000000"/>
                <w:sz w:val="16"/>
                <w:szCs w:val="16"/>
              </w:rPr>
              <w:t>79</w:t>
            </w:r>
          </w:p>
        </w:tc>
        <w:tc>
          <w:tcPr>
            <w:tcW w:w="0" w:type="auto"/>
            <w:gridSpan w:val="3"/>
            <w:tcMar>
              <w:top w:w="30" w:type="dxa"/>
              <w:left w:w="20" w:type="dxa"/>
              <w:bottom w:w="30" w:type="dxa"/>
              <w:right w:w="20" w:type="dxa"/>
            </w:tcMar>
            <w:vAlign w:val="bottom"/>
            <w:hideMark/>
          </w:tcPr>
          <w:p w14:paraId="6F7E3CE3"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74EEA7CB" w14:textId="77777777" w:rsidR="00000000" w:rsidRDefault="00405D16">
      <w:pPr>
        <w:rPr>
          <w:rFonts w:eastAsia="Times New Roman"/>
        </w:rPr>
      </w:pPr>
      <w:r>
        <w:rPr>
          <w:rFonts w:eastAsia="Times New Roman"/>
        </w:rPr>
        <w:pict w14:anchorId="089D10EB">
          <v:rect id="_x0000_i1104" style="width:0;height:1.5pt" o:hralign="center" o:hrstd="t" o:hr="t" fillcolor="#a0a0a0" stroked="f"/>
        </w:pict>
      </w:r>
    </w:p>
    <w:p w14:paraId="02A81F1F" w14:textId="77777777" w:rsidR="00000000" w:rsidRDefault="00405D16">
      <w:pPr>
        <w:jc w:val="both"/>
        <w:divId w:val="1626888330"/>
        <w:rPr>
          <w:rFonts w:eastAsia="Times New Roman"/>
        </w:rPr>
      </w:pPr>
      <w:hyperlink w:anchor="idd54a04a485440b4ab4e56094c14d612_13" w:history="1">
        <w:r>
          <w:rPr>
            <w:rStyle w:val="a3"/>
            <w:rFonts w:eastAsia="Times New Roman"/>
            <w:sz w:val="16"/>
            <w:szCs w:val="16"/>
          </w:rPr>
          <w:t>Table of Contents</w:t>
        </w:r>
      </w:hyperlink>
    </w:p>
    <w:p w14:paraId="06BE8BDB" w14:textId="77777777" w:rsidR="00000000" w:rsidRDefault="00405D16">
      <w:pPr>
        <w:jc w:val="center"/>
        <w:divId w:val="1626888330"/>
        <w:rPr>
          <w:rFonts w:eastAsia="Times New Roman"/>
        </w:rPr>
      </w:pPr>
    </w:p>
    <w:p w14:paraId="57080EC0" w14:textId="77777777" w:rsidR="00000000" w:rsidRDefault="00405D16">
      <w:pPr>
        <w:divId w:val="1070541254"/>
        <w:rPr>
          <w:rFonts w:eastAsia="Times New Roman"/>
        </w:rPr>
      </w:pPr>
      <w:r>
        <w:rPr>
          <w:rFonts w:eastAsia="Times New Roman"/>
          <w:b/>
          <w:bCs/>
          <w:color w:val="000000"/>
          <w:sz w:val="20"/>
          <w:szCs w:val="20"/>
        </w:rPr>
        <w:t>Maturities and Yields of Investment Securities</w:t>
      </w:r>
    </w:p>
    <w:p w14:paraId="6B2AC370" w14:textId="77777777" w:rsidR="00000000" w:rsidRDefault="00405D16">
      <w:pPr>
        <w:jc w:val="both"/>
        <w:divId w:val="934098320"/>
        <w:rPr>
          <w:rFonts w:eastAsia="Times New Roman"/>
        </w:rPr>
      </w:pPr>
      <w:r>
        <w:rPr>
          <w:rFonts w:eastAsia="Times New Roman"/>
          <w:color w:val="000000"/>
          <w:sz w:val="20"/>
          <w:szCs w:val="20"/>
        </w:rPr>
        <w:t>The table below summarizes, by major security type, the contractual maturities and weighted-average yields of our investment securities as of September 30, 2021. Because borrowers may have the right to call or prepay certain obligations, the expected matur</w:t>
      </w:r>
      <w:r>
        <w:rPr>
          <w:rFonts w:eastAsia="Times New Roman"/>
          <w:color w:val="000000"/>
          <w:sz w:val="20"/>
          <w:szCs w:val="20"/>
        </w:rPr>
        <w:t>ities of our securities are likely to differ from the scheduled contractual maturities presented below. The weighted-average yield below represents the effective yield for the investment securities and is calculated based on the amortized cost of each secu</w:t>
      </w:r>
      <w:r>
        <w:rPr>
          <w:rFonts w:eastAsia="Times New Roman"/>
          <w:color w:val="000000"/>
          <w:sz w:val="20"/>
          <w:szCs w:val="20"/>
        </w:rPr>
        <w:t>rity.</w:t>
      </w:r>
    </w:p>
    <w:p w14:paraId="62989F97" w14:textId="77777777" w:rsidR="00000000" w:rsidRDefault="00405D16">
      <w:pPr>
        <w:divId w:val="2096438489"/>
        <w:rPr>
          <w:rFonts w:eastAsia="Times New Roman"/>
        </w:rPr>
      </w:pPr>
      <w:r>
        <w:rPr>
          <w:rFonts w:eastAsia="Times New Roman"/>
          <w:b/>
          <w:bCs/>
          <w:color w:val="000000"/>
          <w:sz w:val="18"/>
          <w:szCs w:val="18"/>
        </w:rPr>
        <w:t>Table 2.3: Contractual Maturities and Weighted-Average Yields of Securities</w:t>
      </w:r>
    </w:p>
    <w:tbl>
      <w:tblPr>
        <w:tblW w:w="4985" w:type="pct"/>
        <w:tblCellMar>
          <w:top w:w="15" w:type="dxa"/>
          <w:left w:w="15" w:type="dxa"/>
          <w:bottom w:w="15" w:type="dxa"/>
          <w:right w:w="15" w:type="dxa"/>
        </w:tblCellMar>
        <w:tblLook w:val="04A0" w:firstRow="1" w:lastRow="0" w:firstColumn="1" w:lastColumn="0" w:noHBand="0" w:noVBand="1"/>
      </w:tblPr>
      <w:tblGrid>
        <w:gridCol w:w="39"/>
        <w:gridCol w:w="3329"/>
        <w:gridCol w:w="38"/>
        <w:gridCol w:w="36"/>
        <w:gridCol w:w="36"/>
        <w:gridCol w:w="36"/>
        <w:gridCol w:w="110"/>
        <w:gridCol w:w="556"/>
        <w:gridCol w:w="200"/>
        <w:gridCol w:w="36"/>
        <w:gridCol w:w="36"/>
        <w:gridCol w:w="36"/>
        <w:gridCol w:w="110"/>
        <w:gridCol w:w="556"/>
        <w:gridCol w:w="200"/>
        <w:gridCol w:w="36"/>
        <w:gridCol w:w="36"/>
        <w:gridCol w:w="36"/>
        <w:gridCol w:w="110"/>
        <w:gridCol w:w="557"/>
        <w:gridCol w:w="200"/>
        <w:gridCol w:w="36"/>
        <w:gridCol w:w="36"/>
        <w:gridCol w:w="36"/>
        <w:gridCol w:w="110"/>
        <w:gridCol w:w="558"/>
        <w:gridCol w:w="200"/>
        <w:gridCol w:w="36"/>
        <w:gridCol w:w="36"/>
        <w:gridCol w:w="36"/>
        <w:gridCol w:w="110"/>
        <w:gridCol w:w="558"/>
        <w:gridCol w:w="200"/>
      </w:tblGrid>
      <w:tr w:rsidR="00000000" w14:paraId="2439258A" w14:textId="77777777">
        <w:trPr>
          <w:divId w:val="665670485"/>
        </w:trPr>
        <w:tc>
          <w:tcPr>
            <w:tcW w:w="50" w:type="pct"/>
            <w:vAlign w:val="center"/>
            <w:hideMark/>
          </w:tcPr>
          <w:p w14:paraId="142F4018" w14:textId="77777777" w:rsidR="00000000" w:rsidRDefault="00405D16">
            <w:pPr>
              <w:rPr>
                <w:rFonts w:eastAsia="Times New Roman"/>
              </w:rPr>
            </w:pPr>
          </w:p>
        </w:tc>
        <w:tc>
          <w:tcPr>
            <w:tcW w:w="2122" w:type="pct"/>
            <w:vAlign w:val="center"/>
            <w:hideMark/>
          </w:tcPr>
          <w:p w14:paraId="73BAA332" w14:textId="77777777" w:rsidR="00000000" w:rsidRDefault="00405D16">
            <w:pPr>
              <w:spacing w:after="100"/>
              <w:rPr>
                <w:rFonts w:eastAsia="Times New Roman"/>
                <w:sz w:val="20"/>
                <w:szCs w:val="20"/>
              </w:rPr>
            </w:pPr>
          </w:p>
        </w:tc>
        <w:tc>
          <w:tcPr>
            <w:tcW w:w="5" w:type="pct"/>
            <w:vAlign w:val="center"/>
            <w:hideMark/>
          </w:tcPr>
          <w:p w14:paraId="5A13A422" w14:textId="77777777" w:rsidR="00000000" w:rsidRDefault="00405D16">
            <w:pPr>
              <w:spacing w:after="100"/>
              <w:rPr>
                <w:rFonts w:eastAsia="Times New Roman"/>
                <w:sz w:val="20"/>
                <w:szCs w:val="20"/>
              </w:rPr>
            </w:pPr>
          </w:p>
        </w:tc>
        <w:tc>
          <w:tcPr>
            <w:tcW w:w="5" w:type="pct"/>
            <w:vAlign w:val="center"/>
            <w:hideMark/>
          </w:tcPr>
          <w:p w14:paraId="3E8C86A4" w14:textId="77777777" w:rsidR="00000000" w:rsidRDefault="00405D16">
            <w:pPr>
              <w:spacing w:after="100"/>
              <w:rPr>
                <w:rFonts w:eastAsia="Times New Roman"/>
                <w:sz w:val="20"/>
                <w:szCs w:val="20"/>
              </w:rPr>
            </w:pPr>
          </w:p>
        </w:tc>
        <w:tc>
          <w:tcPr>
            <w:tcW w:w="26" w:type="pct"/>
            <w:vAlign w:val="center"/>
            <w:hideMark/>
          </w:tcPr>
          <w:p w14:paraId="301616B3" w14:textId="77777777" w:rsidR="00000000" w:rsidRDefault="00405D16">
            <w:pPr>
              <w:spacing w:after="100"/>
              <w:rPr>
                <w:rFonts w:eastAsia="Times New Roman"/>
                <w:sz w:val="20"/>
                <w:szCs w:val="20"/>
              </w:rPr>
            </w:pPr>
          </w:p>
        </w:tc>
        <w:tc>
          <w:tcPr>
            <w:tcW w:w="5" w:type="pct"/>
            <w:vAlign w:val="center"/>
            <w:hideMark/>
          </w:tcPr>
          <w:p w14:paraId="5A7191B0" w14:textId="77777777" w:rsidR="00000000" w:rsidRDefault="00405D16">
            <w:pPr>
              <w:spacing w:after="100"/>
              <w:rPr>
                <w:rFonts w:eastAsia="Times New Roman"/>
                <w:sz w:val="20"/>
                <w:szCs w:val="20"/>
              </w:rPr>
            </w:pPr>
          </w:p>
        </w:tc>
        <w:tc>
          <w:tcPr>
            <w:tcW w:w="50" w:type="pct"/>
            <w:vAlign w:val="center"/>
            <w:hideMark/>
          </w:tcPr>
          <w:p w14:paraId="51EF03C6" w14:textId="77777777" w:rsidR="00000000" w:rsidRDefault="00405D16">
            <w:pPr>
              <w:spacing w:after="100"/>
              <w:rPr>
                <w:rFonts w:eastAsia="Times New Roman"/>
                <w:sz w:val="20"/>
                <w:szCs w:val="20"/>
              </w:rPr>
            </w:pPr>
          </w:p>
        </w:tc>
        <w:tc>
          <w:tcPr>
            <w:tcW w:w="472" w:type="pct"/>
            <w:vAlign w:val="center"/>
            <w:hideMark/>
          </w:tcPr>
          <w:p w14:paraId="59709FEA" w14:textId="77777777" w:rsidR="00000000" w:rsidRDefault="00405D16">
            <w:pPr>
              <w:spacing w:after="100"/>
              <w:rPr>
                <w:rFonts w:eastAsia="Times New Roman"/>
                <w:sz w:val="20"/>
                <w:szCs w:val="20"/>
              </w:rPr>
            </w:pPr>
          </w:p>
        </w:tc>
        <w:tc>
          <w:tcPr>
            <w:tcW w:w="5" w:type="pct"/>
            <w:vAlign w:val="center"/>
            <w:hideMark/>
          </w:tcPr>
          <w:p w14:paraId="50B3BDCE" w14:textId="77777777" w:rsidR="00000000" w:rsidRDefault="00405D16">
            <w:pPr>
              <w:spacing w:after="100"/>
              <w:rPr>
                <w:rFonts w:eastAsia="Times New Roman"/>
                <w:sz w:val="20"/>
                <w:szCs w:val="20"/>
              </w:rPr>
            </w:pPr>
          </w:p>
        </w:tc>
        <w:tc>
          <w:tcPr>
            <w:tcW w:w="5" w:type="pct"/>
            <w:vAlign w:val="center"/>
            <w:hideMark/>
          </w:tcPr>
          <w:p w14:paraId="1A8573F6" w14:textId="77777777" w:rsidR="00000000" w:rsidRDefault="00405D16">
            <w:pPr>
              <w:spacing w:after="100"/>
              <w:rPr>
                <w:rFonts w:eastAsia="Times New Roman"/>
                <w:sz w:val="20"/>
                <w:szCs w:val="20"/>
              </w:rPr>
            </w:pPr>
          </w:p>
        </w:tc>
        <w:tc>
          <w:tcPr>
            <w:tcW w:w="26" w:type="pct"/>
            <w:vAlign w:val="center"/>
            <w:hideMark/>
          </w:tcPr>
          <w:p w14:paraId="0CBE5BF8" w14:textId="77777777" w:rsidR="00000000" w:rsidRDefault="00405D16">
            <w:pPr>
              <w:spacing w:after="100"/>
              <w:rPr>
                <w:rFonts w:eastAsia="Times New Roman"/>
                <w:sz w:val="20"/>
                <w:szCs w:val="20"/>
              </w:rPr>
            </w:pPr>
          </w:p>
        </w:tc>
        <w:tc>
          <w:tcPr>
            <w:tcW w:w="5" w:type="pct"/>
            <w:vAlign w:val="center"/>
            <w:hideMark/>
          </w:tcPr>
          <w:p w14:paraId="7DDAE406" w14:textId="77777777" w:rsidR="00000000" w:rsidRDefault="00405D16">
            <w:pPr>
              <w:spacing w:after="100"/>
              <w:rPr>
                <w:rFonts w:eastAsia="Times New Roman"/>
                <w:sz w:val="20"/>
                <w:szCs w:val="20"/>
              </w:rPr>
            </w:pPr>
          </w:p>
        </w:tc>
        <w:tc>
          <w:tcPr>
            <w:tcW w:w="50" w:type="pct"/>
            <w:vAlign w:val="center"/>
            <w:hideMark/>
          </w:tcPr>
          <w:p w14:paraId="516ABD74" w14:textId="77777777" w:rsidR="00000000" w:rsidRDefault="00405D16">
            <w:pPr>
              <w:spacing w:after="100"/>
              <w:rPr>
                <w:rFonts w:eastAsia="Times New Roman"/>
                <w:sz w:val="20"/>
                <w:szCs w:val="20"/>
              </w:rPr>
            </w:pPr>
          </w:p>
        </w:tc>
        <w:tc>
          <w:tcPr>
            <w:tcW w:w="472" w:type="pct"/>
            <w:vAlign w:val="center"/>
            <w:hideMark/>
          </w:tcPr>
          <w:p w14:paraId="06F2EDFA" w14:textId="77777777" w:rsidR="00000000" w:rsidRDefault="00405D16">
            <w:pPr>
              <w:spacing w:after="100"/>
              <w:rPr>
                <w:rFonts w:eastAsia="Times New Roman"/>
                <w:sz w:val="20"/>
                <w:szCs w:val="20"/>
              </w:rPr>
            </w:pPr>
          </w:p>
        </w:tc>
        <w:tc>
          <w:tcPr>
            <w:tcW w:w="5" w:type="pct"/>
            <w:vAlign w:val="center"/>
            <w:hideMark/>
          </w:tcPr>
          <w:p w14:paraId="30A03356" w14:textId="77777777" w:rsidR="00000000" w:rsidRDefault="00405D16">
            <w:pPr>
              <w:spacing w:after="100"/>
              <w:rPr>
                <w:rFonts w:eastAsia="Times New Roman"/>
                <w:sz w:val="20"/>
                <w:szCs w:val="20"/>
              </w:rPr>
            </w:pPr>
          </w:p>
        </w:tc>
        <w:tc>
          <w:tcPr>
            <w:tcW w:w="5" w:type="pct"/>
            <w:vAlign w:val="center"/>
            <w:hideMark/>
          </w:tcPr>
          <w:p w14:paraId="0CDE47D5" w14:textId="77777777" w:rsidR="00000000" w:rsidRDefault="00405D16">
            <w:pPr>
              <w:spacing w:after="100"/>
              <w:rPr>
                <w:rFonts w:eastAsia="Times New Roman"/>
                <w:sz w:val="20"/>
                <w:szCs w:val="20"/>
              </w:rPr>
            </w:pPr>
          </w:p>
        </w:tc>
        <w:tc>
          <w:tcPr>
            <w:tcW w:w="26" w:type="pct"/>
            <w:vAlign w:val="center"/>
            <w:hideMark/>
          </w:tcPr>
          <w:p w14:paraId="467664D6" w14:textId="77777777" w:rsidR="00000000" w:rsidRDefault="00405D16">
            <w:pPr>
              <w:spacing w:after="100"/>
              <w:rPr>
                <w:rFonts w:eastAsia="Times New Roman"/>
                <w:sz w:val="20"/>
                <w:szCs w:val="20"/>
              </w:rPr>
            </w:pPr>
          </w:p>
        </w:tc>
        <w:tc>
          <w:tcPr>
            <w:tcW w:w="5" w:type="pct"/>
            <w:vAlign w:val="center"/>
            <w:hideMark/>
          </w:tcPr>
          <w:p w14:paraId="470730E5" w14:textId="77777777" w:rsidR="00000000" w:rsidRDefault="00405D16">
            <w:pPr>
              <w:spacing w:after="100"/>
              <w:rPr>
                <w:rFonts w:eastAsia="Times New Roman"/>
                <w:sz w:val="20"/>
                <w:szCs w:val="20"/>
              </w:rPr>
            </w:pPr>
          </w:p>
        </w:tc>
        <w:tc>
          <w:tcPr>
            <w:tcW w:w="50" w:type="pct"/>
            <w:vAlign w:val="center"/>
            <w:hideMark/>
          </w:tcPr>
          <w:p w14:paraId="79EBA225" w14:textId="77777777" w:rsidR="00000000" w:rsidRDefault="00405D16">
            <w:pPr>
              <w:spacing w:after="100"/>
              <w:rPr>
                <w:rFonts w:eastAsia="Times New Roman"/>
                <w:sz w:val="20"/>
                <w:szCs w:val="20"/>
              </w:rPr>
            </w:pPr>
          </w:p>
        </w:tc>
        <w:tc>
          <w:tcPr>
            <w:tcW w:w="472" w:type="pct"/>
            <w:vAlign w:val="center"/>
            <w:hideMark/>
          </w:tcPr>
          <w:p w14:paraId="5FB8674A" w14:textId="77777777" w:rsidR="00000000" w:rsidRDefault="00405D16">
            <w:pPr>
              <w:spacing w:after="100"/>
              <w:rPr>
                <w:rFonts w:eastAsia="Times New Roman"/>
                <w:sz w:val="20"/>
                <w:szCs w:val="20"/>
              </w:rPr>
            </w:pPr>
          </w:p>
        </w:tc>
        <w:tc>
          <w:tcPr>
            <w:tcW w:w="5" w:type="pct"/>
            <w:vAlign w:val="center"/>
            <w:hideMark/>
          </w:tcPr>
          <w:p w14:paraId="405F79D8" w14:textId="77777777" w:rsidR="00000000" w:rsidRDefault="00405D16">
            <w:pPr>
              <w:spacing w:after="100"/>
              <w:rPr>
                <w:rFonts w:eastAsia="Times New Roman"/>
                <w:sz w:val="20"/>
                <w:szCs w:val="20"/>
              </w:rPr>
            </w:pPr>
          </w:p>
        </w:tc>
        <w:tc>
          <w:tcPr>
            <w:tcW w:w="5" w:type="pct"/>
            <w:vAlign w:val="center"/>
            <w:hideMark/>
          </w:tcPr>
          <w:p w14:paraId="29D225E4" w14:textId="77777777" w:rsidR="00000000" w:rsidRDefault="00405D16">
            <w:pPr>
              <w:spacing w:after="100"/>
              <w:rPr>
                <w:rFonts w:eastAsia="Times New Roman"/>
                <w:sz w:val="20"/>
                <w:szCs w:val="20"/>
              </w:rPr>
            </w:pPr>
          </w:p>
        </w:tc>
        <w:tc>
          <w:tcPr>
            <w:tcW w:w="26" w:type="pct"/>
            <w:vAlign w:val="center"/>
            <w:hideMark/>
          </w:tcPr>
          <w:p w14:paraId="7E046E2C" w14:textId="77777777" w:rsidR="00000000" w:rsidRDefault="00405D16">
            <w:pPr>
              <w:spacing w:after="100"/>
              <w:rPr>
                <w:rFonts w:eastAsia="Times New Roman"/>
                <w:sz w:val="20"/>
                <w:szCs w:val="20"/>
              </w:rPr>
            </w:pPr>
          </w:p>
        </w:tc>
        <w:tc>
          <w:tcPr>
            <w:tcW w:w="5" w:type="pct"/>
            <w:vAlign w:val="center"/>
            <w:hideMark/>
          </w:tcPr>
          <w:p w14:paraId="0B037FBB" w14:textId="77777777" w:rsidR="00000000" w:rsidRDefault="00405D16">
            <w:pPr>
              <w:spacing w:after="100"/>
              <w:rPr>
                <w:rFonts w:eastAsia="Times New Roman"/>
                <w:sz w:val="20"/>
                <w:szCs w:val="20"/>
              </w:rPr>
            </w:pPr>
          </w:p>
        </w:tc>
        <w:tc>
          <w:tcPr>
            <w:tcW w:w="50" w:type="pct"/>
            <w:vAlign w:val="center"/>
            <w:hideMark/>
          </w:tcPr>
          <w:p w14:paraId="2047D239" w14:textId="77777777" w:rsidR="00000000" w:rsidRDefault="00405D16">
            <w:pPr>
              <w:spacing w:after="100"/>
              <w:rPr>
                <w:rFonts w:eastAsia="Times New Roman"/>
                <w:sz w:val="20"/>
                <w:szCs w:val="20"/>
              </w:rPr>
            </w:pPr>
          </w:p>
        </w:tc>
        <w:tc>
          <w:tcPr>
            <w:tcW w:w="472" w:type="pct"/>
            <w:vAlign w:val="center"/>
            <w:hideMark/>
          </w:tcPr>
          <w:p w14:paraId="7E588B67" w14:textId="77777777" w:rsidR="00000000" w:rsidRDefault="00405D16">
            <w:pPr>
              <w:spacing w:after="100"/>
              <w:rPr>
                <w:rFonts w:eastAsia="Times New Roman"/>
                <w:sz w:val="20"/>
                <w:szCs w:val="20"/>
              </w:rPr>
            </w:pPr>
          </w:p>
        </w:tc>
        <w:tc>
          <w:tcPr>
            <w:tcW w:w="5" w:type="pct"/>
            <w:vAlign w:val="center"/>
            <w:hideMark/>
          </w:tcPr>
          <w:p w14:paraId="25E8DF30" w14:textId="77777777" w:rsidR="00000000" w:rsidRDefault="00405D16">
            <w:pPr>
              <w:spacing w:after="100"/>
              <w:rPr>
                <w:rFonts w:eastAsia="Times New Roman"/>
                <w:sz w:val="20"/>
                <w:szCs w:val="20"/>
              </w:rPr>
            </w:pPr>
          </w:p>
        </w:tc>
        <w:tc>
          <w:tcPr>
            <w:tcW w:w="5" w:type="pct"/>
            <w:vAlign w:val="center"/>
            <w:hideMark/>
          </w:tcPr>
          <w:p w14:paraId="71C6F626" w14:textId="77777777" w:rsidR="00000000" w:rsidRDefault="00405D16">
            <w:pPr>
              <w:spacing w:after="100"/>
              <w:rPr>
                <w:rFonts w:eastAsia="Times New Roman"/>
                <w:sz w:val="20"/>
                <w:szCs w:val="20"/>
              </w:rPr>
            </w:pPr>
          </w:p>
        </w:tc>
        <w:tc>
          <w:tcPr>
            <w:tcW w:w="26" w:type="pct"/>
            <w:vAlign w:val="center"/>
            <w:hideMark/>
          </w:tcPr>
          <w:p w14:paraId="78DDF51B" w14:textId="77777777" w:rsidR="00000000" w:rsidRDefault="00405D16">
            <w:pPr>
              <w:spacing w:after="100"/>
              <w:rPr>
                <w:rFonts w:eastAsia="Times New Roman"/>
                <w:sz w:val="20"/>
                <w:szCs w:val="20"/>
              </w:rPr>
            </w:pPr>
          </w:p>
        </w:tc>
        <w:tc>
          <w:tcPr>
            <w:tcW w:w="5" w:type="pct"/>
            <w:vAlign w:val="center"/>
            <w:hideMark/>
          </w:tcPr>
          <w:p w14:paraId="7610FCD3" w14:textId="77777777" w:rsidR="00000000" w:rsidRDefault="00405D16">
            <w:pPr>
              <w:spacing w:after="100"/>
              <w:rPr>
                <w:rFonts w:eastAsia="Times New Roman"/>
                <w:sz w:val="20"/>
                <w:szCs w:val="20"/>
              </w:rPr>
            </w:pPr>
          </w:p>
        </w:tc>
        <w:tc>
          <w:tcPr>
            <w:tcW w:w="50" w:type="pct"/>
            <w:vAlign w:val="center"/>
            <w:hideMark/>
          </w:tcPr>
          <w:p w14:paraId="04C019C6" w14:textId="77777777" w:rsidR="00000000" w:rsidRDefault="00405D16">
            <w:pPr>
              <w:spacing w:after="100"/>
              <w:rPr>
                <w:rFonts w:eastAsia="Times New Roman"/>
                <w:sz w:val="20"/>
                <w:szCs w:val="20"/>
              </w:rPr>
            </w:pPr>
          </w:p>
        </w:tc>
        <w:tc>
          <w:tcPr>
            <w:tcW w:w="472" w:type="pct"/>
            <w:vAlign w:val="center"/>
            <w:hideMark/>
          </w:tcPr>
          <w:p w14:paraId="58A982CA" w14:textId="77777777" w:rsidR="00000000" w:rsidRDefault="00405D16">
            <w:pPr>
              <w:spacing w:after="100"/>
              <w:rPr>
                <w:rFonts w:eastAsia="Times New Roman"/>
                <w:sz w:val="20"/>
                <w:szCs w:val="20"/>
              </w:rPr>
            </w:pPr>
          </w:p>
        </w:tc>
        <w:tc>
          <w:tcPr>
            <w:tcW w:w="5" w:type="pct"/>
            <w:vAlign w:val="center"/>
            <w:hideMark/>
          </w:tcPr>
          <w:p w14:paraId="7A0B729F" w14:textId="77777777" w:rsidR="00000000" w:rsidRDefault="00405D16">
            <w:pPr>
              <w:spacing w:after="100"/>
              <w:rPr>
                <w:rFonts w:eastAsia="Times New Roman"/>
                <w:sz w:val="20"/>
                <w:szCs w:val="20"/>
              </w:rPr>
            </w:pPr>
          </w:p>
        </w:tc>
      </w:tr>
      <w:tr w:rsidR="00000000" w14:paraId="2FD85443" w14:textId="77777777">
        <w:trPr>
          <w:divId w:val="665670485"/>
        </w:trPr>
        <w:tc>
          <w:tcPr>
            <w:tcW w:w="0" w:type="auto"/>
            <w:gridSpan w:val="3"/>
            <w:tcMar>
              <w:top w:w="0" w:type="dxa"/>
              <w:left w:w="20" w:type="dxa"/>
              <w:bottom w:w="0" w:type="dxa"/>
              <w:right w:w="20" w:type="dxa"/>
            </w:tcMar>
            <w:vAlign w:val="center"/>
            <w:hideMark/>
          </w:tcPr>
          <w:p w14:paraId="3F61E8A3"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A269653" w14:textId="77777777" w:rsidR="00000000" w:rsidRDefault="00405D16">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2561B137" w14:textId="77777777" w:rsidR="00000000" w:rsidRDefault="00405D16">
            <w:pPr>
              <w:spacing w:after="100"/>
              <w:jc w:val="center"/>
              <w:rPr>
                <w:rFonts w:eastAsia="Times New Roman"/>
              </w:rPr>
            </w:pPr>
            <w:r>
              <w:rPr>
                <w:rFonts w:eastAsia="Times New Roman"/>
                <w:b/>
                <w:bCs/>
                <w:color w:val="000000"/>
                <w:sz w:val="16"/>
                <w:szCs w:val="16"/>
              </w:rPr>
              <w:t>September 30, 2021</w:t>
            </w:r>
          </w:p>
        </w:tc>
      </w:tr>
      <w:tr w:rsidR="00000000" w14:paraId="777DFBEA" w14:textId="77777777">
        <w:trPr>
          <w:divId w:val="665670485"/>
        </w:trPr>
        <w:tc>
          <w:tcPr>
            <w:tcW w:w="0" w:type="auto"/>
            <w:gridSpan w:val="3"/>
            <w:tcMar>
              <w:top w:w="30" w:type="dxa"/>
              <w:left w:w="20" w:type="dxa"/>
              <w:bottom w:w="30" w:type="dxa"/>
              <w:right w:w="20" w:type="dxa"/>
            </w:tcMar>
            <w:vAlign w:val="bottom"/>
            <w:hideMark/>
          </w:tcPr>
          <w:p w14:paraId="19255A8B"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490F55EB"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C6006E3" w14:textId="77777777" w:rsidR="00000000" w:rsidRDefault="00405D16">
            <w:pPr>
              <w:spacing w:after="100"/>
              <w:jc w:val="center"/>
              <w:rPr>
                <w:rFonts w:eastAsia="Times New Roman"/>
              </w:rPr>
            </w:pPr>
            <w:r>
              <w:rPr>
                <w:rFonts w:eastAsia="Times New Roman"/>
                <w:b/>
                <w:bCs/>
                <w:color w:val="000000"/>
                <w:sz w:val="16"/>
                <w:szCs w:val="16"/>
              </w:rPr>
              <w:t xml:space="preserve">Due in </w:t>
            </w:r>
            <w:r>
              <w:rPr>
                <w:rFonts w:eastAsia="Times New Roman"/>
                <w:b/>
                <w:bCs/>
                <w:color w:val="000000"/>
                <w:sz w:val="16"/>
                <w:szCs w:val="16"/>
              </w:rPr>
              <w:br/>
              <w:t>1 Year or Less</w:t>
            </w:r>
          </w:p>
        </w:tc>
        <w:tc>
          <w:tcPr>
            <w:tcW w:w="0" w:type="auto"/>
            <w:gridSpan w:val="3"/>
            <w:tcBorders>
              <w:top w:val="single" w:sz="8" w:space="0" w:color="000000"/>
            </w:tcBorders>
            <w:tcMar>
              <w:top w:w="0" w:type="dxa"/>
              <w:left w:w="20" w:type="dxa"/>
              <w:bottom w:w="0" w:type="dxa"/>
              <w:right w:w="20" w:type="dxa"/>
            </w:tcMar>
            <w:vAlign w:val="center"/>
            <w:hideMark/>
          </w:tcPr>
          <w:p w14:paraId="3AF52F99"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B2FC13E" w14:textId="77777777" w:rsidR="00000000" w:rsidRDefault="00405D16">
            <w:pPr>
              <w:spacing w:after="100"/>
              <w:jc w:val="center"/>
              <w:rPr>
                <w:rFonts w:eastAsia="Times New Roman"/>
              </w:rPr>
            </w:pPr>
            <w:r>
              <w:rPr>
                <w:rFonts w:eastAsia="Times New Roman"/>
                <w:b/>
                <w:bCs/>
                <w:color w:val="000000"/>
                <w:sz w:val="16"/>
                <w:szCs w:val="16"/>
              </w:rPr>
              <w:t>Due &gt; 1 Year</w:t>
            </w:r>
            <w:r>
              <w:rPr>
                <w:rFonts w:eastAsia="Times New Roman"/>
                <w:b/>
                <w:bCs/>
                <w:color w:val="000000"/>
                <w:sz w:val="16"/>
                <w:szCs w:val="16"/>
              </w:rPr>
              <w:br/>
              <w:t>through</w:t>
            </w:r>
            <w:r>
              <w:rPr>
                <w:rFonts w:eastAsia="Times New Roman"/>
                <w:b/>
                <w:bCs/>
                <w:color w:val="000000"/>
                <w:sz w:val="16"/>
                <w:szCs w:val="16"/>
              </w:rPr>
              <w:br/>
            </w:r>
            <w:r>
              <w:rPr>
                <w:rFonts w:eastAsia="Times New Roman"/>
                <w:b/>
                <w:bCs/>
                <w:color w:val="000000"/>
                <w:sz w:val="16"/>
                <w:szCs w:val="16"/>
              </w:rPr>
              <w:t>5 Years</w:t>
            </w:r>
          </w:p>
        </w:tc>
        <w:tc>
          <w:tcPr>
            <w:tcW w:w="0" w:type="auto"/>
            <w:gridSpan w:val="3"/>
            <w:tcBorders>
              <w:top w:val="single" w:sz="8" w:space="0" w:color="000000"/>
            </w:tcBorders>
            <w:tcMar>
              <w:top w:w="0" w:type="dxa"/>
              <w:left w:w="20" w:type="dxa"/>
              <w:bottom w:w="0" w:type="dxa"/>
              <w:right w:w="20" w:type="dxa"/>
            </w:tcMar>
            <w:vAlign w:val="center"/>
            <w:hideMark/>
          </w:tcPr>
          <w:p w14:paraId="22155E5D"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8D1CC8F" w14:textId="77777777" w:rsidR="00000000" w:rsidRDefault="00405D16">
            <w:pPr>
              <w:spacing w:after="100"/>
              <w:jc w:val="center"/>
              <w:rPr>
                <w:rFonts w:eastAsia="Times New Roman"/>
              </w:rPr>
            </w:pPr>
            <w:r>
              <w:rPr>
                <w:rFonts w:eastAsia="Times New Roman"/>
                <w:b/>
                <w:bCs/>
                <w:color w:val="000000"/>
                <w:sz w:val="16"/>
                <w:szCs w:val="16"/>
              </w:rPr>
              <w:t>Due &gt; 5 Years</w:t>
            </w:r>
            <w:r>
              <w:rPr>
                <w:rFonts w:eastAsia="Times New Roman"/>
                <w:b/>
                <w:bCs/>
                <w:color w:val="000000"/>
                <w:sz w:val="16"/>
                <w:szCs w:val="16"/>
              </w:rPr>
              <w:br/>
              <w:t>through</w:t>
            </w:r>
            <w:r>
              <w:rPr>
                <w:rFonts w:eastAsia="Times New Roman"/>
                <w:b/>
                <w:bCs/>
                <w:color w:val="000000"/>
                <w:sz w:val="16"/>
                <w:szCs w:val="16"/>
              </w:rPr>
              <w:br/>
              <w:t>10 Years</w:t>
            </w:r>
          </w:p>
        </w:tc>
        <w:tc>
          <w:tcPr>
            <w:tcW w:w="0" w:type="auto"/>
            <w:gridSpan w:val="3"/>
            <w:tcBorders>
              <w:top w:val="single" w:sz="8" w:space="0" w:color="000000"/>
            </w:tcBorders>
            <w:tcMar>
              <w:top w:w="0" w:type="dxa"/>
              <w:left w:w="20" w:type="dxa"/>
              <w:bottom w:w="0" w:type="dxa"/>
              <w:right w:w="20" w:type="dxa"/>
            </w:tcMar>
            <w:vAlign w:val="center"/>
            <w:hideMark/>
          </w:tcPr>
          <w:p w14:paraId="13A15B53"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0393CAB" w14:textId="77777777" w:rsidR="00000000" w:rsidRDefault="00405D16">
            <w:pPr>
              <w:spacing w:after="100"/>
              <w:jc w:val="center"/>
              <w:rPr>
                <w:rFonts w:eastAsia="Times New Roman"/>
              </w:rPr>
            </w:pPr>
            <w:r>
              <w:rPr>
                <w:rFonts w:eastAsia="Times New Roman"/>
                <w:b/>
                <w:bCs/>
                <w:color w:val="000000"/>
                <w:sz w:val="16"/>
                <w:szCs w:val="16"/>
              </w:rPr>
              <w:t>Due &gt; 10 Years</w:t>
            </w:r>
          </w:p>
        </w:tc>
        <w:tc>
          <w:tcPr>
            <w:tcW w:w="0" w:type="auto"/>
            <w:gridSpan w:val="3"/>
            <w:tcBorders>
              <w:top w:val="single" w:sz="8" w:space="0" w:color="000000"/>
            </w:tcBorders>
            <w:tcMar>
              <w:top w:w="0" w:type="dxa"/>
              <w:left w:w="20" w:type="dxa"/>
              <w:bottom w:w="0" w:type="dxa"/>
              <w:right w:w="20" w:type="dxa"/>
            </w:tcMar>
            <w:vAlign w:val="center"/>
            <w:hideMark/>
          </w:tcPr>
          <w:p w14:paraId="1ED94AD5"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11897A3" w14:textId="77777777" w:rsidR="00000000" w:rsidRDefault="00405D16">
            <w:pPr>
              <w:spacing w:after="100"/>
              <w:jc w:val="center"/>
              <w:rPr>
                <w:rFonts w:eastAsia="Times New Roman"/>
              </w:rPr>
            </w:pPr>
            <w:r>
              <w:rPr>
                <w:rFonts w:eastAsia="Times New Roman"/>
                <w:b/>
                <w:bCs/>
                <w:color w:val="000000"/>
                <w:sz w:val="16"/>
                <w:szCs w:val="16"/>
              </w:rPr>
              <w:t>Total</w:t>
            </w:r>
          </w:p>
        </w:tc>
      </w:tr>
      <w:tr w:rsidR="00000000" w14:paraId="5DD1F3A7" w14:textId="77777777">
        <w:trPr>
          <w:divId w:val="66567048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7362696" w14:textId="77777777" w:rsidR="00000000" w:rsidRDefault="00405D16">
            <w:pPr>
              <w:spacing w:after="100"/>
              <w:rPr>
                <w:rFonts w:eastAsia="Times New Roman"/>
              </w:rPr>
            </w:pPr>
            <w:r>
              <w:rPr>
                <w:rFonts w:eastAsia="Times New Roman"/>
                <w:b/>
                <w:bCs/>
                <w:color w:val="000000"/>
                <w:sz w:val="18"/>
                <w:szCs w:val="18"/>
              </w:rPr>
              <w:t>Fair value of securities available for sale:</w:t>
            </w:r>
          </w:p>
        </w:tc>
        <w:tc>
          <w:tcPr>
            <w:tcW w:w="0" w:type="auto"/>
            <w:gridSpan w:val="3"/>
            <w:shd w:val="clear" w:color="auto" w:fill="CCEEFF"/>
            <w:tcMar>
              <w:top w:w="0" w:type="dxa"/>
              <w:left w:w="20" w:type="dxa"/>
              <w:bottom w:w="0" w:type="dxa"/>
              <w:right w:w="20" w:type="dxa"/>
            </w:tcMar>
            <w:vAlign w:val="center"/>
            <w:hideMark/>
          </w:tcPr>
          <w:p w14:paraId="33731598"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1103E8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3BF133"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1A10CC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74845C"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306BB9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57D84B"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911647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477A3F"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029C75D" w14:textId="77777777" w:rsidR="00000000" w:rsidRDefault="00405D16">
            <w:pPr>
              <w:spacing w:after="100"/>
              <w:rPr>
                <w:rFonts w:eastAsia="Times New Roman"/>
                <w:sz w:val="20"/>
                <w:szCs w:val="20"/>
              </w:rPr>
            </w:pPr>
          </w:p>
        </w:tc>
      </w:tr>
      <w:tr w:rsidR="00000000" w14:paraId="1B1C3ED9" w14:textId="77777777">
        <w:trPr>
          <w:divId w:val="665670485"/>
        </w:trPr>
        <w:tc>
          <w:tcPr>
            <w:tcW w:w="0" w:type="auto"/>
            <w:gridSpan w:val="3"/>
            <w:shd w:val="clear" w:color="auto" w:fill="FFFFFF"/>
            <w:tcMar>
              <w:top w:w="30" w:type="dxa"/>
              <w:left w:w="20" w:type="dxa"/>
              <w:bottom w:w="30" w:type="dxa"/>
              <w:right w:w="20" w:type="dxa"/>
            </w:tcMar>
            <w:vAlign w:val="center"/>
            <w:hideMark/>
          </w:tcPr>
          <w:p w14:paraId="5A7D48B3" w14:textId="77777777" w:rsidR="00000000" w:rsidRDefault="00405D16">
            <w:pPr>
              <w:spacing w:after="100"/>
              <w:rPr>
                <w:rFonts w:eastAsia="Times New Roman"/>
              </w:rPr>
            </w:pPr>
            <w:r>
              <w:rPr>
                <w:rFonts w:eastAsia="Times New Roman"/>
                <w:color w:val="000000"/>
                <w:sz w:val="18"/>
                <w:szCs w:val="18"/>
              </w:rPr>
              <w:t>U.S. Treasury securities</w:t>
            </w:r>
          </w:p>
        </w:tc>
        <w:tc>
          <w:tcPr>
            <w:tcW w:w="0" w:type="auto"/>
            <w:gridSpan w:val="3"/>
            <w:shd w:val="clear" w:color="auto" w:fill="FFFFFF"/>
            <w:tcMar>
              <w:top w:w="0" w:type="dxa"/>
              <w:left w:w="20" w:type="dxa"/>
              <w:bottom w:w="0" w:type="dxa"/>
              <w:right w:w="20" w:type="dxa"/>
            </w:tcMar>
            <w:vAlign w:val="center"/>
            <w:hideMark/>
          </w:tcPr>
          <w:p w14:paraId="135AECFF"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242B0AE"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7380C5F8" w14:textId="77777777" w:rsidR="00000000" w:rsidRDefault="00405D16">
            <w:pPr>
              <w:spacing w:after="100"/>
              <w:jc w:val="right"/>
              <w:rPr>
                <w:rFonts w:eastAsia="Times New Roman"/>
              </w:rPr>
            </w:pPr>
            <w:r>
              <w:rPr>
                <w:rFonts w:eastAsia="Times New Roman"/>
                <w:b/>
                <w:bCs/>
                <w:color w:val="000000"/>
                <w:sz w:val="18"/>
                <w:szCs w:val="18"/>
              </w:rPr>
              <w:t>5,203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E37B53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304EE8"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A4FF625"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08A2B772" w14:textId="77777777" w:rsidR="00000000" w:rsidRDefault="00405D16">
            <w:pPr>
              <w:spacing w:after="100"/>
              <w:jc w:val="right"/>
              <w:rPr>
                <w:rFonts w:eastAsia="Times New Roman"/>
              </w:rPr>
            </w:pPr>
            <w:r>
              <w:rPr>
                <w:rFonts w:eastAsia="Times New Roman"/>
                <w:b/>
                <w:bCs/>
                <w:color w:val="000000"/>
                <w:sz w:val="18"/>
                <w:szCs w:val="18"/>
              </w:rPr>
              <w:t>3,906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564474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0EADAE"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529CBF7"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5F82C82D"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746538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FEE1BF"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0271A5B"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472AD0DA"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09B131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380F4D"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9AFF4C8"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7E4E8780" w14:textId="77777777" w:rsidR="00000000" w:rsidRDefault="00405D16">
            <w:pPr>
              <w:spacing w:after="100"/>
              <w:jc w:val="right"/>
              <w:rPr>
                <w:rFonts w:eastAsia="Times New Roman"/>
              </w:rPr>
            </w:pPr>
            <w:r>
              <w:rPr>
                <w:rFonts w:eastAsia="Times New Roman"/>
                <w:b/>
                <w:bCs/>
                <w:color w:val="000000"/>
                <w:sz w:val="18"/>
                <w:szCs w:val="18"/>
              </w:rPr>
              <w:t>9,109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5B13A74" w14:textId="77777777" w:rsidR="00000000" w:rsidRDefault="00405D16">
            <w:pPr>
              <w:spacing w:after="100"/>
              <w:jc w:val="right"/>
              <w:rPr>
                <w:rFonts w:eastAsia="Times New Roman"/>
              </w:rPr>
            </w:pPr>
          </w:p>
        </w:tc>
      </w:tr>
      <w:tr w:rsidR="00000000" w14:paraId="6EB71250" w14:textId="77777777">
        <w:trPr>
          <w:divId w:val="665670485"/>
        </w:trPr>
        <w:tc>
          <w:tcPr>
            <w:tcW w:w="0" w:type="auto"/>
            <w:gridSpan w:val="3"/>
            <w:shd w:val="clear" w:color="auto" w:fill="CCEEFF"/>
            <w:tcMar>
              <w:top w:w="30" w:type="dxa"/>
              <w:left w:w="20" w:type="dxa"/>
              <w:bottom w:w="30" w:type="dxa"/>
              <w:right w:w="20" w:type="dxa"/>
            </w:tcMar>
            <w:vAlign w:val="center"/>
            <w:hideMark/>
          </w:tcPr>
          <w:p w14:paraId="25A3C1FB" w14:textId="77777777" w:rsidR="00000000" w:rsidRDefault="00405D16">
            <w:pPr>
              <w:spacing w:after="100"/>
              <w:divId w:val="986007070"/>
              <w:rPr>
                <w:rFonts w:eastAsia="Times New Roman"/>
              </w:rPr>
            </w:pPr>
            <w:r>
              <w:rPr>
                <w:rFonts w:eastAsia="Times New Roman"/>
                <w:color w:val="000000"/>
                <w:sz w:val="18"/>
                <w:szCs w:val="18"/>
              </w:rPr>
              <w:t>RMB</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6558809"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50908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C6051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BDAF4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F9F68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74958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99441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D7183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C84C8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2D5F8A" w14:textId="77777777" w:rsidR="00000000" w:rsidRDefault="00405D16">
            <w:pPr>
              <w:spacing w:after="100"/>
              <w:rPr>
                <w:rFonts w:eastAsia="Times New Roman"/>
                <w:sz w:val="20"/>
                <w:szCs w:val="20"/>
              </w:rPr>
            </w:pPr>
          </w:p>
        </w:tc>
      </w:tr>
      <w:tr w:rsidR="00000000" w14:paraId="4C2C94E7" w14:textId="77777777">
        <w:trPr>
          <w:divId w:val="665670485"/>
        </w:trPr>
        <w:tc>
          <w:tcPr>
            <w:tcW w:w="0" w:type="auto"/>
            <w:gridSpan w:val="3"/>
            <w:shd w:val="clear" w:color="auto" w:fill="FFFFFF"/>
            <w:tcMar>
              <w:top w:w="30" w:type="dxa"/>
              <w:left w:w="245" w:type="dxa"/>
              <w:bottom w:w="30" w:type="dxa"/>
              <w:right w:w="20" w:type="dxa"/>
            </w:tcMar>
            <w:vAlign w:val="center"/>
            <w:hideMark/>
          </w:tcPr>
          <w:p w14:paraId="00467776" w14:textId="77777777" w:rsidR="00000000" w:rsidRDefault="00405D16">
            <w:pPr>
              <w:spacing w:after="100"/>
              <w:rPr>
                <w:rFonts w:eastAsia="Times New Roman"/>
              </w:rPr>
            </w:pPr>
            <w:r>
              <w:rPr>
                <w:rFonts w:eastAsia="Times New Roman"/>
                <w:color w:val="000000"/>
                <w:sz w:val="18"/>
                <w:szCs w:val="18"/>
              </w:rPr>
              <w:t>Agency</w:t>
            </w:r>
          </w:p>
        </w:tc>
        <w:tc>
          <w:tcPr>
            <w:tcW w:w="0" w:type="auto"/>
            <w:gridSpan w:val="3"/>
            <w:shd w:val="clear" w:color="auto" w:fill="FFFFFF"/>
            <w:tcMar>
              <w:top w:w="0" w:type="dxa"/>
              <w:left w:w="20" w:type="dxa"/>
              <w:bottom w:w="0" w:type="dxa"/>
              <w:right w:w="20" w:type="dxa"/>
            </w:tcMar>
            <w:vAlign w:val="center"/>
            <w:hideMark/>
          </w:tcPr>
          <w:p w14:paraId="2A6188AA"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AC4AE55"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660F38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6B7D9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BE4494" w14:textId="77777777" w:rsidR="00000000" w:rsidRDefault="00405D16">
            <w:pPr>
              <w:spacing w:after="100"/>
              <w:jc w:val="right"/>
              <w:rPr>
                <w:rFonts w:eastAsia="Times New Roman"/>
              </w:rPr>
            </w:pPr>
            <w:r>
              <w:rPr>
                <w:rFonts w:eastAsia="Times New Roman"/>
                <w:b/>
                <w:bCs/>
                <w:color w:val="000000"/>
                <w:sz w:val="18"/>
                <w:szCs w:val="18"/>
              </w:rPr>
              <w:t>137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C59AE1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79924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ECD468" w14:textId="77777777" w:rsidR="00000000" w:rsidRDefault="00405D16">
            <w:pPr>
              <w:spacing w:after="100"/>
              <w:jc w:val="right"/>
              <w:rPr>
                <w:rFonts w:eastAsia="Times New Roman"/>
              </w:rPr>
            </w:pPr>
            <w:r>
              <w:rPr>
                <w:rFonts w:eastAsia="Times New Roman"/>
                <w:b/>
                <w:bCs/>
                <w:color w:val="000000"/>
                <w:sz w:val="18"/>
                <w:szCs w:val="18"/>
              </w:rPr>
              <w:t>1,106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19D58E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673A9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400CC0" w14:textId="77777777" w:rsidR="00000000" w:rsidRDefault="00405D16">
            <w:pPr>
              <w:spacing w:after="100"/>
              <w:jc w:val="right"/>
              <w:rPr>
                <w:rFonts w:eastAsia="Times New Roman"/>
              </w:rPr>
            </w:pPr>
            <w:r>
              <w:rPr>
                <w:rFonts w:eastAsia="Times New Roman"/>
                <w:b/>
                <w:bCs/>
                <w:color w:val="000000"/>
                <w:sz w:val="18"/>
                <w:szCs w:val="18"/>
              </w:rPr>
              <w:t>73,389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735DD5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7855C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7F759B" w14:textId="77777777" w:rsidR="00000000" w:rsidRDefault="00405D16">
            <w:pPr>
              <w:spacing w:after="100"/>
              <w:jc w:val="right"/>
              <w:rPr>
                <w:rFonts w:eastAsia="Times New Roman"/>
              </w:rPr>
            </w:pPr>
            <w:r>
              <w:rPr>
                <w:rFonts w:eastAsia="Times New Roman"/>
                <w:b/>
                <w:bCs/>
                <w:color w:val="000000"/>
                <w:sz w:val="18"/>
                <w:szCs w:val="18"/>
              </w:rPr>
              <w:t>74,632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3CF8BA3" w14:textId="77777777" w:rsidR="00000000" w:rsidRDefault="00405D16">
            <w:pPr>
              <w:spacing w:after="100"/>
              <w:jc w:val="right"/>
              <w:rPr>
                <w:rFonts w:eastAsia="Times New Roman"/>
              </w:rPr>
            </w:pPr>
          </w:p>
        </w:tc>
      </w:tr>
      <w:tr w:rsidR="00000000" w14:paraId="38E5EEC8" w14:textId="77777777">
        <w:trPr>
          <w:divId w:val="665670485"/>
        </w:trPr>
        <w:tc>
          <w:tcPr>
            <w:tcW w:w="0" w:type="auto"/>
            <w:gridSpan w:val="3"/>
            <w:shd w:val="clear" w:color="auto" w:fill="CCEEFF"/>
            <w:tcMar>
              <w:top w:w="30" w:type="dxa"/>
              <w:left w:w="245" w:type="dxa"/>
              <w:bottom w:w="30" w:type="dxa"/>
              <w:right w:w="20" w:type="dxa"/>
            </w:tcMar>
            <w:vAlign w:val="center"/>
            <w:hideMark/>
          </w:tcPr>
          <w:p w14:paraId="65592D98" w14:textId="77777777" w:rsidR="00000000" w:rsidRDefault="00405D16">
            <w:pPr>
              <w:spacing w:after="100"/>
              <w:rPr>
                <w:rFonts w:eastAsia="Times New Roman"/>
              </w:rPr>
            </w:pPr>
            <w:r>
              <w:rPr>
                <w:rFonts w:eastAsia="Times New Roman"/>
                <w:color w:val="000000"/>
                <w:sz w:val="18"/>
                <w:szCs w:val="18"/>
              </w:rPr>
              <w:t>Non-agency</w:t>
            </w:r>
          </w:p>
        </w:tc>
        <w:tc>
          <w:tcPr>
            <w:tcW w:w="0" w:type="auto"/>
            <w:gridSpan w:val="3"/>
            <w:shd w:val="clear" w:color="auto" w:fill="CCEEFF"/>
            <w:tcMar>
              <w:top w:w="0" w:type="dxa"/>
              <w:left w:w="20" w:type="dxa"/>
              <w:bottom w:w="0" w:type="dxa"/>
              <w:right w:w="20" w:type="dxa"/>
            </w:tcMar>
            <w:vAlign w:val="center"/>
            <w:hideMark/>
          </w:tcPr>
          <w:p w14:paraId="29370B98"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FC484DC"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129C01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BA255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375A71"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79560B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AD1BA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0A020C"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EFD6B4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09C30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8CF3BB" w14:textId="77777777" w:rsidR="00000000" w:rsidRDefault="00405D16">
            <w:pPr>
              <w:spacing w:after="100"/>
              <w:jc w:val="right"/>
              <w:rPr>
                <w:rFonts w:eastAsia="Times New Roman"/>
              </w:rPr>
            </w:pPr>
            <w:r>
              <w:rPr>
                <w:rFonts w:eastAsia="Times New Roman"/>
                <w:b/>
                <w:bCs/>
                <w:color w:val="000000"/>
                <w:sz w:val="18"/>
                <w:szCs w:val="18"/>
              </w:rPr>
              <w:t>1,049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A6F52A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C3BFE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A57023" w14:textId="77777777" w:rsidR="00000000" w:rsidRDefault="00405D16">
            <w:pPr>
              <w:spacing w:after="100"/>
              <w:jc w:val="right"/>
              <w:rPr>
                <w:rFonts w:eastAsia="Times New Roman"/>
              </w:rPr>
            </w:pPr>
            <w:r>
              <w:rPr>
                <w:rFonts w:eastAsia="Times New Roman"/>
                <w:b/>
                <w:bCs/>
                <w:color w:val="000000"/>
                <w:sz w:val="18"/>
                <w:szCs w:val="18"/>
              </w:rPr>
              <w:t>1,049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8CBAE2D" w14:textId="77777777" w:rsidR="00000000" w:rsidRDefault="00405D16">
            <w:pPr>
              <w:spacing w:after="100"/>
              <w:jc w:val="right"/>
              <w:rPr>
                <w:rFonts w:eastAsia="Times New Roman"/>
              </w:rPr>
            </w:pPr>
          </w:p>
        </w:tc>
      </w:tr>
      <w:tr w:rsidR="00000000" w14:paraId="0D2903AB" w14:textId="77777777">
        <w:trPr>
          <w:divId w:val="665670485"/>
        </w:trPr>
        <w:tc>
          <w:tcPr>
            <w:tcW w:w="0" w:type="auto"/>
            <w:gridSpan w:val="3"/>
            <w:shd w:val="clear" w:color="auto" w:fill="FFFFFF"/>
            <w:tcMar>
              <w:top w:w="30" w:type="dxa"/>
              <w:left w:w="20" w:type="dxa"/>
              <w:bottom w:w="30" w:type="dxa"/>
              <w:right w:w="20" w:type="dxa"/>
            </w:tcMar>
            <w:vAlign w:val="center"/>
            <w:hideMark/>
          </w:tcPr>
          <w:p w14:paraId="68064100" w14:textId="77777777" w:rsidR="00000000" w:rsidRDefault="00405D16">
            <w:pPr>
              <w:spacing w:after="100"/>
              <w:rPr>
                <w:rFonts w:eastAsia="Times New Roman"/>
              </w:rPr>
            </w:pPr>
            <w:r>
              <w:rPr>
                <w:rFonts w:eastAsia="Times New Roman"/>
                <w:color w:val="000000"/>
                <w:sz w:val="18"/>
                <w:szCs w:val="18"/>
              </w:rPr>
              <w:t>Total RMBS</w:t>
            </w:r>
          </w:p>
        </w:tc>
        <w:tc>
          <w:tcPr>
            <w:tcW w:w="0" w:type="auto"/>
            <w:gridSpan w:val="3"/>
            <w:shd w:val="clear" w:color="auto" w:fill="FFFFFF"/>
            <w:tcMar>
              <w:top w:w="0" w:type="dxa"/>
              <w:left w:w="20" w:type="dxa"/>
              <w:bottom w:w="0" w:type="dxa"/>
              <w:right w:w="20" w:type="dxa"/>
            </w:tcMar>
            <w:vAlign w:val="center"/>
            <w:hideMark/>
          </w:tcPr>
          <w:p w14:paraId="52F88EBE"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488DE86"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1CD89C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2C767C"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5CA33F0" w14:textId="77777777" w:rsidR="00000000" w:rsidRDefault="00405D16">
            <w:pPr>
              <w:spacing w:after="100"/>
              <w:jc w:val="right"/>
              <w:rPr>
                <w:rFonts w:eastAsia="Times New Roman"/>
              </w:rPr>
            </w:pPr>
            <w:r>
              <w:rPr>
                <w:rFonts w:eastAsia="Times New Roman"/>
                <w:b/>
                <w:bCs/>
                <w:color w:val="000000"/>
                <w:sz w:val="18"/>
                <w:szCs w:val="18"/>
              </w:rPr>
              <w:t>137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9373D3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33C484"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806C083" w14:textId="77777777" w:rsidR="00000000" w:rsidRDefault="00405D16">
            <w:pPr>
              <w:spacing w:after="100"/>
              <w:jc w:val="right"/>
              <w:rPr>
                <w:rFonts w:eastAsia="Times New Roman"/>
              </w:rPr>
            </w:pPr>
            <w:r>
              <w:rPr>
                <w:rFonts w:eastAsia="Times New Roman"/>
                <w:b/>
                <w:bCs/>
                <w:color w:val="000000"/>
                <w:sz w:val="18"/>
                <w:szCs w:val="18"/>
              </w:rPr>
              <w:t>1,106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614432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60CF51"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6FE070E" w14:textId="77777777" w:rsidR="00000000" w:rsidRDefault="00405D16">
            <w:pPr>
              <w:spacing w:after="100"/>
              <w:jc w:val="right"/>
              <w:rPr>
                <w:rFonts w:eastAsia="Times New Roman"/>
              </w:rPr>
            </w:pPr>
            <w:r>
              <w:rPr>
                <w:rFonts w:eastAsia="Times New Roman"/>
                <w:b/>
                <w:bCs/>
                <w:color w:val="000000"/>
                <w:sz w:val="18"/>
                <w:szCs w:val="18"/>
              </w:rPr>
              <w:t>74,438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A61798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7F3D67"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46375B5" w14:textId="77777777" w:rsidR="00000000" w:rsidRDefault="00405D16">
            <w:pPr>
              <w:spacing w:after="100"/>
              <w:jc w:val="right"/>
              <w:rPr>
                <w:rFonts w:eastAsia="Times New Roman"/>
              </w:rPr>
            </w:pPr>
            <w:r>
              <w:rPr>
                <w:rFonts w:eastAsia="Times New Roman"/>
                <w:b/>
                <w:bCs/>
                <w:color w:val="000000"/>
                <w:sz w:val="18"/>
                <w:szCs w:val="18"/>
              </w:rPr>
              <w:t>75,681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6A759B2" w14:textId="77777777" w:rsidR="00000000" w:rsidRDefault="00405D16">
            <w:pPr>
              <w:spacing w:after="100"/>
              <w:jc w:val="right"/>
              <w:rPr>
                <w:rFonts w:eastAsia="Times New Roman"/>
              </w:rPr>
            </w:pPr>
          </w:p>
        </w:tc>
      </w:tr>
      <w:tr w:rsidR="00000000" w14:paraId="270F5528" w14:textId="77777777">
        <w:trPr>
          <w:divId w:val="665670485"/>
        </w:trPr>
        <w:tc>
          <w:tcPr>
            <w:tcW w:w="0" w:type="auto"/>
            <w:gridSpan w:val="3"/>
            <w:shd w:val="clear" w:color="auto" w:fill="CCEEFF"/>
            <w:tcMar>
              <w:top w:w="30" w:type="dxa"/>
              <w:left w:w="20" w:type="dxa"/>
              <w:bottom w:w="30" w:type="dxa"/>
              <w:right w:w="20" w:type="dxa"/>
            </w:tcMar>
            <w:vAlign w:val="center"/>
            <w:hideMark/>
          </w:tcPr>
          <w:p w14:paraId="797E704A" w14:textId="77777777" w:rsidR="00000000" w:rsidRDefault="00405D16">
            <w:pPr>
              <w:spacing w:after="100"/>
              <w:divId w:val="339967272"/>
              <w:rPr>
                <w:rFonts w:eastAsia="Times New Roman"/>
              </w:rPr>
            </w:pPr>
            <w:r>
              <w:rPr>
                <w:rFonts w:eastAsia="Times New Roman"/>
                <w:color w:val="000000"/>
                <w:sz w:val="18"/>
                <w:szCs w:val="18"/>
              </w:rPr>
              <w:t>Agency CMB</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02A6B76E"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0D7A3D8" w14:textId="77777777" w:rsidR="00000000" w:rsidRDefault="00405D16">
            <w:pPr>
              <w:spacing w:after="100"/>
              <w:jc w:val="right"/>
              <w:rPr>
                <w:rFonts w:eastAsia="Times New Roman"/>
              </w:rPr>
            </w:pPr>
            <w:r>
              <w:rPr>
                <w:rFonts w:eastAsia="Times New Roman"/>
                <w:b/>
                <w:bCs/>
                <w:color w:val="000000"/>
                <w:sz w:val="18"/>
                <w:szCs w:val="18"/>
              </w:rPr>
              <w:t>570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BB567B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59BF6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11F63F" w14:textId="77777777" w:rsidR="00000000" w:rsidRDefault="00405D16">
            <w:pPr>
              <w:spacing w:after="100"/>
              <w:jc w:val="right"/>
              <w:rPr>
                <w:rFonts w:eastAsia="Times New Roman"/>
              </w:rPr>
            </w:pPr>
            <w:r>
              <w:rPr>
                <w:rFonts w:eastAsia="Times New Roman"/>
                <w:b/>
                <w:bCs/>
                <w:color w:val="000000"/>
                <w:sz w:val="18"/>
                <w:szCs w:val="18"/>
              </w:rPr>
              <w:t>2,489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320782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AF0D0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9466C5" w14:textId="77777777" w:rsidR="00000000" w:rsidRDefault="00405D16">
            <w:pPr>
              <w:spacing w:after="100"/>
              <w:jc w:val="right"/>
              <w:rPr>
                <w:rFonts w:eastAsia="Times New Roman"/>
              </w:rPr>
            </w:pPr>
            <w:r>
              <w:rPr>
                <w:rFonts w:eastAsia="Times New Roman"/>
                <w:b/>
                <w:bCs/>
                <w:color w:val="000000"/>
                <w:sz w:val="18"/>
                <w:szCs w:val="18"/>
              </w:rPr>
              <w:t>4,462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D374C2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70B9E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979414" w14:textId="77777777" w:rsidR="00000000" w:rsidRDefault="00405D16">
            <w:pPr>
              <w:spacing w:after="100"/>
              <w:jc w:val="right"/>
              <w:rPr>
                <w:rFonts w:eastAsia="Times New Roman"/>
              </w:rPr>
            </w:pPr>
            <w:r>
              <w:rPr>
                <w:rFonts w:eastAsia="Times New Roman"/>
                <w:b/>
                <w:bCs/>
                <w:color w:val="000000"/>
                <w:sz w:val="18"/>
                <w:szCs w:val="18"/>
              </w:rPr>
              <w:t>2,676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A18849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A3F0C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5893D3" w14:textId="77777777" w:rsidR="00000000" w:rsidRDefault="00405D16">
            <w:pPr>
              <w:spacing w:after="100"/>
              <w:jc w:val="right"/>
              <w:rPr>
                <w:rFonts w:eastAsia="Times New Roman"/>
              </w:rPr>
            </w:pPr>
            <w:r>
              <w:rPr>
                <w:rFonts w:eastAsia="Times New Roman"/>
                <w:b/>
                <w:bCs/>
                <w:color w:val="000000"/>
                <w:sz w:val="18"/>
                <w:szCs w:val="18"/>
              </w:rPr>
              <w:t>10,197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E2BF2D2" w14:textId="77777777" w:rsidR="00000000" w:rsidRDefault="00405D16">
            <w:pPr>
              <w:spacing w:after="100"/>
              <w:jc w:val="right"/>
              <w:rPr>
                <w:rFonts w:eastAsia="Times New Roman"/>
              </w:rPr>
            </w:pPr>
          </w:p>
        </w:tc>
      </w:tr>
      <w:tr w:rsidR="00000000" w14:paraId="627A66CB" w14:textId="77777777">
        <w:trPr>
          <w:divId w:val="665670485"/>
        </w:trPr>
        <w:tc>
          <w:tcPr>
            <w:tcW w:w="0" w:type="auto"/>
            <w:gridSpan w:val="3"/>
            <w:shd w:val="clear" w:color="auto" w:fill="FFFFFF"/>
            <w:tcMar>
              <w:top w:w="30" w:type="dxa"/>
              <w:left w:w="20" w:type="dxa"/>
              <w:bottom w:w="30" w:type="dxa"/>
              <w:right w:w="20" w:type="dxa"/>
            </w:tcMar>
            <w:vAlign w:val="center"/>
            <w:hideMark/>
          </w:tcPr>
          <w:p w14:paraId="1242A48B" w14:textId="77777777" w:rsidR="00000000" w:rsidRDefault="00405D16">
            <w:pPr>
              <w:spacing w:after="100"/>
              <w:rPr>
                <w:rFonts w:eastAsia="Times New Roman"/>
              </w:rPr>
            </w:pPr>
            <w:r>
              <w:rPr>
                <w:rFonts w:eastAsia="Times New Roman"/>
                <w:color w:val="000000"/>
                <w:sz w:val="18"/>
                <w:szCs w:val="18"/>
              </w:rPr>
              <w:t>Other securities</w:t>
            </w:r>
          </w:p>
        </w:tc>
        <w:tc>
          <w:tcPr>
            <w:tcW w:w="0" w:type="auto"/>
            <w:gridSpan w:val="3"/>
            <w:shd w:val="clear" w:color="auto" w:fill="FFFFFF"/>
            <w:tcMar>
              <w:top w:w="0" w:type="dxa"/>
              <w:left w:w="20" w:type="dxa"/>
              <w:bottom w:w="0" w:type="dxa"/>
              <w:right w:w="20" w:type="dxa"/>
            </w:tcMar>
            <w:vAlign w:val="center"/>
            <w:hideMark/>
          </w:tcPr>
          <w:p w14:paraId="21AF2723"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77D3DDC" w14:textId="77777777" w:rsidR="00000000" w:rsidRDefault="00405D16">
            <w:pPr>
              <w:spacing w:after="100"/>
              <w:jc w:val="right"/>
              <w:rPr>
                <w:rFonts w:eastAsia="Times New Roman"/>
              </w:rPr>
            </w:pPr>
            <w:r>
              <w:rPr>
                <w:rFonts w:eastAsia="Times New Roman"/>
                <w:b/>
                <w:bCs/>
                <w:color w:val="000000"/>
                <w:sz w:val="18"/>
                <w:szCs w:val="18"/>
              </w:rPr>
              <w:t>252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ABAFA1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18FDA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C8AE0A" w14:textId="77777777" w:rsidR="00000000" w:rsidRDefault="00405D16">
            <w:pPr>
              <w:spacing w:after="100"/>
              <w:jc w:val="right"/>
              <w:rPr>
                <w:rFonts w:eastAsia="Times New Roman"/>
              </w:rPr>
            </w:pPr>
            <w:r>
              <w:rPr>
                <w:rFonts w:eastAsia="Times New Roman"/>
                <w:b/>
                <w:bCs/>
                <w:color w:val="000000"/>
                <w:sz w:val="18"/>
                <w:szCs w:val="18"/>
              </w:rPr>
              <w:t>2,585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4C9878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61345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21AF78" w14:textId="77777777" w:rsidR="00000000" w:rsidRDefault="00405D16">
            <w:pPr>
              <w:spacing w:after="100"/>
              <w:jc w:val="right"/>
              <w:rPr>
                <w:rFonts w:eastAsia="Times New Roman"/>
              </w:rPr>
            </w:pPr>
            <w:r>
              <w:rPr>
                <w:rFonts w:eastAsia="Times New Roman"/>
                <w:b/>
                <w:bCs/>
                <w:color w:val="000000"/>
                <w:sz w:val="18"/>
                <w:szCs w:val="18"/>
              </w:rPr>
              <w:t>325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5555B7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A2F25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38F005"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75CAA8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08195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C24127" w14:textId="77777777" w:rsidR="00000000" w:rsidRDefault="00405D16">
            <w:pPr>
              <w:spacing w:after="100"/>
              <w:jc w:val="right"/>
              <w:rPr>
                <w:rFonts w:eastAsia="Times New Roman"/>
              </w:rPr>
            </w:pPr>
            <w:r>
              <w:rPr>
                <w:rFonts w:eastAsia="Times New Roman"/>
                <w:b/>
                <w:bCs/>
                <w:color w:val="000000"/>
                <w:sz w:val="18"/>
                <w:szCs w:val="18"/>
              </w:rPr>
              <w:t>3,162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54A67BC" w14:textId="77777777" w:rsidR="00000000" w:rsidRDefault="00405D16">
            <w:pPr>
              <w:spacing w:after="100"/>
              <w:jc w:val="right"/>
              <w:rPr>
                <w:rFonts w:eastAsia="Times New Roman"/>
              </w:rPr>
            </w:pPr>
          </w:p>
        </w:tc>
      </w:tr>
      <w:tr w:rsidR="00000000" w14:paraId="7E3C3032" w14:textId="77777777">
        <w:trPr>
          <w:divId w:val="665670485"/>
        </w:trPr>
        <w:tc>
          <w:tcPr>
            <w:tcW w:w="0" w:type="auto"/>
            <w:gridSpan w:val="3"/>
            <w:shd w:val="clear" w:color="auto" w:fill="CCEEFF"/>
            <w:tcMar>
              <w:top w:w="30" w:type="dxa"/>
              <w:left w:w="20" w:type="dxa"/>
              <w:bottom w:w="30" w:type="dxa"/>
              <w:right w:w="20" w:type="dxa"/>
            </w:tcMar>
            <w:vAlign w:val="center"/>
            <w:hideMark/>
          </w:tcPr>
          <w:p w14:paraId="0CC66F3D" w14:textId="77777777" w:rsidR="00000000" w:rsidRDefault="00405D16">
            <w:pPr>
              <w:spacing w:after="100"/>
              <w:rPr>
                <w:rFonts w:eastAsia="Times New Roman"/>
              </w:rPr>
            </w:pPr>
            <w:r>
              <w:rPr>
                <w:rFonts w:eastAsia="Times New Roman"/>
                <w:color w:val="000000"/>
                <w:sz w:val="18"/>
                <w:szCs w:val="18"/>
              </w:rPr>
              <w:t>Total securities available for sale</w:t>
            </w:r>
          </w:p>
        </w:tc>
        <w:tc>
          <w:tcPr>
            <w:tcW w:w="0" w:type="auto"/>
            <w:gridSpan w:val="3"/>
            <w:shd w:val="clear" w:color="auto" w:fill="CCEEFF"/>
            <w:tcMar>
              <w:top w:w="0" w:type="dxa"/>
              <w:left w:w="20" w:type="dxa"/>
              <w:bottom w:w="0" w:type="dxa"/>
              <w:right w:w="20" w:type="dxa"/>
            </w:tcMar>
            <w:vAlign w:val="center"/>
            <w:hideMark/>
          </w:tcPr>
          <w:p w14:paraId="33A62372"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7AA8D4E"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4FBA85A" w14:textId="77777777" w:rsidR="00000000" w:rsidRDefault="00405D16">
            <w:pPr>
              <w:spacing w:after="100"/>
              <w:jc w:val="right"/>
              <w:rPr>
                <w:rFonts w:eastAsia="Times New Roman"/>
              </w:rPr>
            </w:pPr>
            <w:r>
              <w:rPr>
                <w:rFonts w:eastAsia="Times New Roman"/>
                <w:b/>
                <w:bCs/>
                <w:color w:val="000000"/>
                <w:sz w:val="18"/>
                <w:szCs w:val="18"/>
              </w:rPr>
              <w:t>6,025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76555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B3EF5A"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CF20AE3"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C989357" w14:textId="77777777" w:rsidR="00000000" w:rsidRDefault="00405D16">
            <w:pPr>
              <w:spacing w:after="100"/>
              <w:jc w:val="right"/>
              <w:rPr>
                <w:rFonts w:eastAsia="Times New Roman"/>
              </w:rPr>
            </w:pPr>
            <w:r>
              <w:rPr>
                <w:rFonts w:eastAsia="Times New Roman"/>
                <w:b/>
                <w:bCs/>
                <w:color w:val="000000"/>
                <w:sz w:val="18"/>
                <w:szCs w:val="18"/>
              </w:rPr>
              <w:t>9,117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59213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5CD038"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5ACAA85"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C16704E" w14:textId="77777777" w:rsidR="00000000" w:rsidRDefault="00405D16">
            <w:pPr>
              <w:spacing w:after="100"/>
              <w:jc w:val="right"/>
              <w:rPr>
                <w:rFonts w:eastAsia="Times New Roman"/>
              </w:rPr>
            </w:pPr>
            <w:r>
              <w:rPr>
                <w:rFonts w:eastAsia="Times New Roman"/>
                <w:b/>
                <w:bCs/>
                <w:color w:val="000000"/>
                <w:sz w:val="18"/>
                <w:szCs w:val="18"/>
              </w:rPr>
              <w:t>5,893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DF3ED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79DA14"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BAFF84C"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8D55CF2" w14:textId="77777777" w:rsidR="00000000" w:rsidRDefault="00405D16">
            <w:pPr>
              <w:spacing w:after="100"/>
              <w:jc w:val="right"/>
              <w:rPr>
                <w:rFonts w:eastAsia="Times New Roman"/>
              </w:rPr>
            </w:pPr>
            <w:r>
              <w:rPr>
                <w:rFonts w:eastAsia="Times New Roman"/>
                <w:b/>
                <w:bCs/>
                <w:color w:val="000000"/>
                <w:sz w:val="18"/>
                <w:szCs w:val="18"/>
              </w:rPr>
              <w:t>77,114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5B618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B8E83B"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8B21333"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297575A" w14:textId="77777777" w:rsidR="00000000" w:rsidRDefault="00405D16">
            <w:pPr>
              <w:spacing w:after="100"/>
              <w:jc w:val="right"/>
              <w:rPr>
                <w:rFonts w:eastAsia="Times New Roman"/>
              </w:rPr>
            </w:pPr>
            <w:r>
              <w:rPr>
                <w:rFonts w:eastAsia="Times New Roman"/>
                <w:b/>
                <w:bCs/>
                <w:color w:val="000000"/>
                <w:sz w:val="18"/>
                <w:szCs w:val="18"/>
              </w:rPr>
              <w:t>98,149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FF1101" w14:textId="77777777" w:rsidR="00000000" w:rsidRDefault="00405D16">
            <w:pPr>
              <w:spacing w:after="100"/>
              <w:jc w:val="right"/>
              <w:rPr>
                <w:rFonts w:eastAsia="Times New Roman"/>
              </w:rPr>
            </w:pPr>
          </w:p>
        </w:tc>
      </w:tr>
      <w:tr w:rsidR="00000000" w14:paraId="776D9376" w14:textId="77777777">
        <w:trPr>
          <w:divId w:val="665670485"/>
        </w:trPr>
        <w:tc>
          <w:tcPr>
            <w:tcW w:w="0" w:type="auto"/>
            <w:gridSpan w:val="3"/>
            <w:shd w:val="clear" w:color="auto" w:fill="FFFFFF"/>
            <w:tcMar>
              <w:top w:w="30" w:type="dxa"/>
              <w:left w:w="20" w:type="dxa"/>
              <w:bottom w:w="30" w:type="dxa"/>
              <w:right w:w="20" w:type="dxa"/>
            </w:tcMar>
            <w:vAlign w:val="center"/>
            <w:hideMark/>
          </w:tcPr>
          <w:p w14:paraId="6611F063" w14:textId="77777777" w:rsidR="00000000" w:rsidRDefault="00405D16">
            <w:pPr>
              <w:spacing w:after="100"/>
              <w:rPr>
                <w:rFonts w:eastAsia="Times New Roman"/>
              </w:rPr>
            </w:pPr>
            <w:r>
              <w:rPr>
                <w:rFonts w:eastAsia="Times New Roman"/>
                <w:b/>
                <w:bCs/>
                <w:color w:val="000000"/>
                <w:sz w:val="18"/>
                <w:szCs w:val="18"/>
              </w:rPr>
              <w:t>Amortized cost of securities available for sale</w:t>
            </w:r>
          </w:p>
        </w:tc>
        <w:tc>
          <w:tcPr>
            <w:tcW w:w="0" w:type="auto"/>
            <w:gridSpan w:val="3"/>
            <w:shd w:val="clear" w:color="auto" w:fill="FFFFFF"/>
            <w:tcMar>
              <w:top w:w="0" w:type="dxa"/>
              <w:left w:w="20" w:type="dxa"/>
              <w:bottom w:w="0" w:type="dxa"/>
              <w:right w:w="20" w:type="dxa"/>
            </w:tcMar>
            <w:vAlign w:val="center"/>
            <w:hideMark/>
          </w:tcPr>
          <w:p w14:paraId="593FFA7A" w14:textId="77777777" w:rsidR="00000000" w:rsidRDefault="00405D16">
            <w:pPr>
              <w:spacing w:after="100"/>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06790579"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6BD39CB1" w14:textId="77777777" w:rsidR="00000000" w:rsidRDefault="00405D16">
            <w:pPr>
              <w:spacing w:after="100"/>
              <w:jc w:val="right"/>
              <w:rPr>
                <w:rFonts w:eastAsia="Times New Roman"/>
              </w:rPr>
            </w:pPr>
            <w:r>
              <w:rPr>
                <w:rFonts w:eastAsia="Times New Roman"/>
                <w:b/>
                <w:bCs/>
                <w:color w:val="000000"/>
                <w:sz w:val="18"/>
                <w:szCs w:val="18"/>
              </w:rPr>
              <w:t>6,019</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302F12C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F1673E" w14:textId="77777777" w:rsidR="00000000" w:rsidRDefault="00405D16">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0012796A"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5FC87A59" w14:textId="77777777" w:rsidR="00000000" w:rsidRDefault="00405D16">
            <w:pPr>
              <w:spacing w:after="100"/>
              <w:jc w:val="right"/>
              <w:rPr>
                <w:rFonts w:eastAsia="Times New Roman"/>
              </w:rPr>
            </w:pPr>
            <w:r>
              <w:rPr>
                <w:rFonts w:eastAsia="Times New Roman"/>
                <w:b/>
                <w:bCs/>
                <w:color w:val="000000"/>
                <w:sz w:val="18"/>
                <w:szCs w:val="18"/>
              </w:rPr>
              <w:t>9,062</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290A93E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D9F2A5" w14:textId="77777777" w:rsidR="00000000" w:rsidRDefault="00405D16">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653E6DF8"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270DAE9E" w14:textId="77777777" w:rsidR="00000000" w:rsidRDefault="00405D16">
            <w:pPr>
              <w:spacing w:after="100"/>
              <w:jc w:val="right"/>
              <w:rPr>
                <w:rFonts w:eastAsia="Times New Roman"/>
              </w:rPr>
            </w:pPr>
            <w:r>
              <w:rPr>
                <w:rFonts w:eastAsia="Times New Roman"/>
                <w:b/>
                <w:bCs/>
                <w:color w:val="000000"/>
                <w:sz w:val="18"/>
                <w:szCs w:val="18"/>
              </w:rPr>
              <w:t>5,761</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52F0AFF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9BD5B8" w14:textId="77777777" w:rsidR="00000000" w:rsidRDefault="00405D16">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5362F41F"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163C21E8" w14:textId="77777777" w:rsidR="00000000" w:rsidRDefault="00405D16">
            <w:pPr>
              <w:spacing w:after="100"/>
              <w:jc w:val="right"/>
              <w:rPr>
                <w:rFonts w:eastAsia="Times New Roman"/>
              </w:rPr>
            </w:pPr>
            <w:r>
              <w:rPr>
                <w:rFonts w:eastAsia="Times New Roman"/>
                <w:b/>
                <w:bCs/>
                <w:color w:val="000000"/>
                <w:sz w:val="18"/>
                <w:szCs w:val="18"/>
              </w:rPr>
              <w:t>76,147</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1BED703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F5B009" w14:textId="77777777" w:rsidR="00000000" w:rsidRDefault="00405D16">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326F37DD"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6FBEF705" w14:textId="77777777" w:rsidR="00000000" w:rsidRDefault="00405D16">
            <w:pPr>
              <w:spacing w:after="100"/>
              <w:jc w:val="right"/>
              <w:rPr>
                <w:rFonts w:eastAsia="Times New Roman"/>
              </w:rPr>
            </w:pPr>
            <w:r>
              <w:rPr>
                <w:rFonts w:eastAsia="Times New Roman"/>
                <w:b/>
                <w:bCs/>
                <w:color w:val="000000"/>
                <w:sz w:val="18"/>
                <w:szCs w:val="18"/>
              </w:rPr>
              <w:t>96,989</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0C175D93" w14:textId="77777777" w:rsidR="00000000" w:rsidRDefault="00405D16">
            <w:pPr>
              <w:spacing w:after="100"/>
              <w:jc w:val="right"/>
              <w:rPr>
                <w:rFonts w:eastAsia="Times New Roman"/>
              </w:rPr>
            </w:pPr>
          </w:p>
        </w:tc>
      </w:tr>
      <w:tr w:rsidR="00000000" w14:paraId="024FC4B0" w14:textId="77777777">
        <w:trPr>
          <w:divId w:val="665670485"/>
        </w:trPr>
        <w:tc>
          <w:tcPr>
            <w:tcW w:w="0" w:type="auto"/>
            <w:gridSpan w:val="3"/>
            <w:shd w:val="clear" w:color="auto" w:fill="CCEEFF"/>
            <w:tcMar>
              <w:top w:w="30" w:type="dxa"/>
              <w:left w:w="20" w:type="dxa"/>
              <w:bottom w:w="30" w:type="dxa"/>
              <w:right w:w="20" w:type="dxa"/>
            </w:tcMar>
            <w:vAlign w:val="center"/>
            <w:hideMark/>
          </w:tcPr>
          <w:p w14:paraId="41BF0583" w14:textId="77777777" w:rsidR="00000000" w:rsidRDefault="00405D16">
            <w:pPr>
              <w:spacing w:after="100"/>
              <w:rPr>
                <w:rFonts w:eastAsia="Times New Roman"/>
              </w:rPr>
            </w:pPr>
            <w:r>
              <w:rPr>
                <w:rFonts w:eastAsia="Times New Roman"/>
                <w:b/>
                <w:bCs/>
                <w:color w:val="000000"/>
                <w:sz w:val="18"/>
                <w:szCs w:val="18"/>
              </w:rPr>
              <w:t>Weighted-average yield for securities available for sale</w:t>
            </w:r>
          </w:p>
        </w:tc>
        <w:tc>
          <w:tcPr>
            <w:tcW w:w="0" w:type="auto"/>
            <w:gridSpan w:val="3"/>
            <w:shd w:val="clear" w:color="auto" w:fill="CCEEFF"/>
            <w:tcMar>
              <w:top w:w="0" w:type="dxa"/>
              <w:left w:w="20" w:type="dxa"/>
              <w:bottom w:w="0" w:type="dxa"/>
              <w:right w:w="20" w:type="dxa"/>
            </w:tcMar>
            <w:vAlign w:val="center"/>
            <w:hideMark/>
          </w:tcPr>
          <w:p w14:paraId="58433EF1"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6D280EA" w14:textId="77777777" w:rsidR="00000000" w:rsidRDefault="00405D16">
            <w:pPr>
              <w:spacing w:after="100"/>
              <w:jc w:val="right"/>
              <w:rPr>
                <w:rFonts w:eastAsia="Times New Roman"/>
              </w:rPr>
            </w:pPr>
            <w:r>
              <w:rPr>
                <w:rFonts w:eastAsia="Times New Roman"/>
                <w:b/>
                <w:bCs/>
                <w:color w:val="000000"/>
                <w:sz w:val="18"/>
                <w:szCs w:val="18"/>
              </w:rPr>
              <w:t>0.31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4A850EB"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835453F"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EAE8816" w14:textId="77777777" w:rsidR="00000000" w:rsidRDefault="00405D16">
            <w:pPr>
              <w:spacing w:after="100"/>
              <w:jc w:val="right"/>
              <w:rPr>
                <w:rFonts w:eastAsia="Times New Roman"/>
              </w:rPr>
            </w:pPr>
            <w:r>
              <w:rPr>
                <w:rFonts w:eastAsia="Times New Roman"/>
                <w:b/>
                <w:bCs/>
                <w:color w:val="000000"/>
                <w:sz w:val="18"/>
                <w:szCs w:val="18"/>
              </w:rPr>
              <w:t>0.72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8A773C1"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B10A30E"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4C384F" w14:textId="77777777" w:rsidR="00000000" w:rsidRDefault="00405D16">
            <w:pPr>
              <w:spacing w:after="100"/>
              <w:jc w:val="right"/>
              <w:rPr>
                <w:rFonts w:eastAsia="Times New Roman"/>
              </w:rPr>
            </w:pPr>
            <w:r>
              <w:rPr>
                <w:rFonts w:eastAsia="Times New Roman"/>
                <w:b/>
                <w:bCs/>
                <w:color w:val="000000"/>
                <w:sz w:val="18"/>
                <w:szCs w:val="18"/>
              </w:rPr>
              <w:t>1.66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F1921EF"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237DBF8"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3FE5C3C" w14:textId="77777777" w:rsidR="00000000" w:rsidRDefault="00405D16">
            <w:pPr>
              <w:spacing w:after="100"/>
              <w:jc w:val="right"/>
              <w:rPr>
                <w:rFonts w:eastAsia="Times New Roman"/>
              </w:rPr>
            </w:pPr>
            <w:r>
              <w:rPr>
                <w:rFonts w:eastAsia="Times New Roman"/>
                <w:b/>
                <w:bCs/>
                <w:color w:val="000000"/>
                <w:sz w:val="18"/>
                <w:szCs w:val="18"/>
              </w:rPr>
              <w:t>1.71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0254AE8"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1B78058"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7C3968C" w14:textId="77777777" w:rsidR="00000000" w:rsidRDefault="00405D16">
            <w:pPr>
              <w:spacing w:after="100"/>
              <w:jc w:val="right"/>
              <w:rPr>
                <w:rFonts w:eastAsia="Times New Roman"/>
              </w:rPr>
            </w:pPr>
            <w:r>
              <w:rPr>
                <w:rFonts w:eastAsia="Times New Roman"/>
                <w:b/>
                <w:bCs/>
                <w:color w:val="000000"/>
                <w:sz w:val="18"/>
                <w:szCs w:val="18"/>
              </w:rPr>
              <w:t>1.53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57345F7" w14:textId="77777777" w:rsidR="00000000" w:rsidRDefault="00405D16">
            <w:pPr>
              <w:spacing w:after="100"/>
              <w:jc w:val="right"/>
              <w:rPr>
                <w:rFonts w:eastAsia="Times New Roman"/>
              </w:rPr>
            </w:pPr>
            <w:r>
              <w:rPr>
                <w:rFonts w:eastAsia="Times New Roman"/>
                <w:b/>
                <w:bCs/>
                <w:color w:val="000000"/>
                <w:sz w:val="18"/>
                <w:szCs w:val="18"/>
              </w:rPr>
              <w:t>%</w:t>
            </w:r>
          </w:p>
        </w:tc>
      </w:tr>
      <w:tr w:rsidR="00000000" w14:paraId="5D9E5833" w14:textId="77777777">
        <w:trPr>
          <w:divId w:val="665670485"/>
        </w:trPr>
        <w:tc>
          <w:tcPr>
            <w:tcW w:w="0" w:type="auto"/>
            <w:gridSpan w:val="3"/>
            <w:vAlign w:val="center"/>
            <w:hideMark/>
          </w:tcPr>
          <w:p w14:paraId="49395101" w14:textId="77777777" w:rsidR="00000000" w:rsidRDefault="00405D16">
            <w:pPr>
              <w:spacing w:after="100"/>
              <w:jc w:val="right"/>
              <w:rPr>
                <w:rFonts w:eastAsia="Times New Roman"/>
              </w:rPr>
            </w:pPr>
          </w:p>
        </w:tc>
        <w:tc>
          <w:tcPr>
            <w:tcW w:w="0" w:type="auto"/>
            <w:vAlign w:val="center"/>
            <w:hideMark/>
          </w:tcPr>
          <w:p w14:paraId="36E56EA1" w14:textId="77777777" w:rsidR="00000000" w:rsidRDefault="00405D16">
            <w:pPr>
              <w:spacing w:after="100"/>
              <w:rPr>
                <w:rFonts w:eastAsia="Times New Roman"/>
                <w:sz w:val="20"/>
                <w:szCs w:val="20"/>
              </w:rPr>
            </w:pPr>
          </w:p>
        </w:tc>
        <w:tc>
          <w:tcPr>
            <w:tcW w:w="0" w:type="auto"/>
            <w:vAlign w:val="center"/>
            <w:hideMark/>
          </w:tcPr>
          <w:p w14:paraId="1AD1EA1C" w14:textId="77777777" w:rsidR="00000000" w:rsidRDefault="00405D16">
            <w:pPr>
              <w:spacing w:after="100"/>
              <w:rPr>
                <w:rFonts w:eastAsia="Times New Roman"/>
                <w:sz w:val="20"/>
                <w:szCs w:val="20"/>
              </w:rPr>
            </w:pPr>
          </w:p>
        </w:tc>
        <w:tc>
          <w:tcPr>
            <w:tcW w:w="0" w:type="auto"/>
            <w:vAlign w:val="center"/>
            <w:hideMark/>
          </w:tcPr>
          <w:p w14:paraId="020F02ED" w14:textId="77777777" w:rsidR="00000000" w:rsidRDefault="00405D16">
            <w:pPr>
              <w:spacing w:after="100"/>
              <w:rPr>
                <w:rFonts w:eastAsia="Times New Roman"/>
                <w:sz w:val="20"/>
                <w:szCs w:val="20"/>
              </w:rPr>
            </w:pPr>
          </w:p>
        </w:tc>
        <w:tc>
          <w:tcPr>
            <w:tcW w:w="0" w:type="auto"/>
            <w:vAlign w:val="center"/>
            <w:hideMark/>
          </w:tcPr>
          <w:p w14:paraId="14EFEDE8" w14:textId="77777777" w:rsidR="00000000" w:rsidRDefault="00405D16">
            <w:pPr>
              <w:spacing w:after="100"/>
              <w:rPr>
                <w:rFonts w:eastAsia="Times New Roman"/>
                <w:sz w:val="20"/>
                <w:szCs w:val="20"/>
              </w:rPr>
            </w:pPr>
          </w:p>
        </w:tc>
        <w:tc>
          <w:tcPr>
            <w:tcW w:w="0" w:type="auto"/>
            <w:vAlign w:val="center"/>
            <w:hideMark/>
          </w:tcPr>
          <w:p w14:paraId="53868C6A" w14:textId="77777777" w:rsidR="00000000" w:rsidRDefault="00405D16">
            <w:pPr>
              <w:spacing w:after="100"/>
              <w:rPr>
                <w:rFonts w:eastAsia="Times New Roman"/>
                <w:sz w:val="20"/>
                <w:szCs w:val="20"/>
              </w:rPr>
            </w:pPr>
          </w:p>
        </w:tc>
        <w:tc>
          <w:tcPr>
            <w:tcW w:w="0" w:type="auto"/>
            <w:vAlign w:val="center"/>
            <w:hideMark/>
          </w:tcPr>
          <w:p w14:paraId="6BC592A6" w14:textId="77777777" w:rsidR="00000000" w:rsidRDefault="00405D16">
            <w:pPr>
              <w:spacing w:after="100"/>
              <w:rPr>
                <w:rFonts w:eastAsia="Times New Roman"/>
                <w:sz w:val="20"/>
                <w:szCs w:val="20"/>
              </w:rPr>
            </w:pPr>
          </w:p>
        </w:tc>
        <w:tc>
          <w:tcPr>
            <w:tcW w:w="0" w:type="auto"/>
            <w:vAlign w:val="center"/>
            <w:hideMark/>
          </w:tcPr>
          <w:p w14:paraId="1597E9D6" w14:textId="77777777" w:rsidR="00000000" w:rsidRDefault="00405D16">
            <w:pPr>
              <w:spacing w:after="100"/>
              <w:rPr>
                <w:rFonts w:eastAsia="Times New Roman"/>
                <w:sz w:val="20"/>
                <w:szCs w:val="20"/>
              </w:rPr>
            </w:pPr>
          </w:p>
        </w:tc>
        <w:tc>
          <w:tcPr>
            <w:tcW w:w="0" w:type="auto"/>
            <w:vAlign w:val="center"/>
            <w:hideMark/>
          </w:tcPr>
          <w:p w14:paraId="7FF27035" w14:textId="77777777" w:rsidR="00000000" w:rsidRDefault="00405D16">
            <w:pPr>
              <w:spacing w:after="100"/>
              <w:rPr>
                <w:rFonts w:eastAsia="Times New Roman"/>
                <w:sz w:val="20"/>
                <w:szCs w:val="20"/>
              </w:rPr>
            </w:pPr>
          </w:p>
        </w:tc>
        <w:tc>
          <w:tcPr>
            <w:tcW w:w="0" w:type="auto"/>
            <w:vAlign w:val="center"/>
            <w:hideMark/>
          </w:tcPr>
          <w:p w14:paraId="12C7ADAC" w14:textId="77777777" w:rsidR="00000000" w:rsidRDefault="00405D16">
            <w:pPr>
              <w:spacing w:after="100"/>
              <w:rPr>
                <w:rFonts w:eastAsia="Times New Roman"/>
                <w:sz w:val="20"/>
                <w:szCs w:val="20"/>
              </w:rPr>
            </w:pPr>
          </w:p>
        </w:tc>
        <w:tc>
          <w:tcPr>
            <w:tcW w:w="0" w:type="auto"/>
            <w:vAlign w:val="center"/>
            <w:hideMark/>
          </w:tcPr>
          <w:p w14:paraId="115E6240" w14:textId="77777777" w:rsidR="00000000" w:rsidRDefault="00405D16">
            <w:pPr>
              <w:spacing w:after="100"/>
              <w:rPr>
                <w:rFonts w:eastAsia="Times New Roman"/>
                <w:sz w:val="20"/>
                <w:szCs w:val="20"/>
              </w:rPr>
            </w:pPr>
          </w:p>
        </w:tc>
        <w:tc>
          <w:tcPr>
            <w:tcW w:w="0" w:type="auto"/>
            <w:vAlign w:val="center"/>
            <w:hideMark/>
          </w:tcPr>
          <w:p w14:paraId="6CEBDEA7" w14:textId="77777777" w:rsidR="00000000" w:rsidRDefault="00405D16">
            <w:pPr>
              <w:spacing w:after="100"/>
              <w:rPr>
                <w:rFonts w:eastAsia="Times New Roman"/>
                <w:sz w:val="20"/>
                <w:szCs w:val="20"/>
              </w:rPr>
            </w:pPr>
          </w:p>
        </w:tc>
        <w:tc>
          <w:tcPr>
            <w:tcW w:w="0" w:type="auto"/>
            <w:vAlign w:val="center"/>
            <w:hideMark/>
          </w:tcPr>
          <w:p w14:paraId="2FC9AFB8" w14:textId="77777777" w:rsidR="00000000" w:rsidRDefault="00405D16">
            <w:pPr>
              <w:spacing w:after="100"/>
              <w:rPr>
                <w:rFonts w:eastAsia="Times New Roman"/>
                <w:sz w:val="20"/>
                <w:szCs w:val="20"/>
              </w:rPr>
            </w:pPr>
          </w:p>
        </w:tc>
        <w:tc>
          <w:tcPr>
            <w:tcW w:w="0" w:type="auto"/>
            <w:vAlign w:val="center"/>
            <w:hideMark/>
          </w:tcPr>
          <w:p w14:paraId="6766F3D8" w14:textId="77777777" w:rsidR="00000000" w:rsidRDefault="00405D16">
            <w:pPr>
              <w:spacing w:after="100"/>
              <w:rPr>
                <w:rFonts w:eastAsia="Times New Roman"/>
                <w:sz w:val="20"/>
                <w:szCs w:val="20"/>
              </w:rPr>
            </w:pPr>
          </w:p>
        </w:tc>
        <w:tc>
          <w:tcPr>
            <w:tcW w:w="0" w:type="auto"/>
            <w:vAlign w:val="center"/>
            <w:hideMark/>
          </w:tcPr>
          <w:p w14:paraId="73A582AD" w14:textId="77777777" w:rsidR="00000000" w:rsidRDefault="00405D16">
            <w:pPr>
              <w:spacing w:after="100"/>
              <w:rPr>
                <w:rFonts w:eastAsia="Times New Roman"/>
                <w:sz w:val="20"/>
                <w:szCs w:val="20"/>
              </w:rPr>
            </w:pPr>
          </w:p>
        </w:tc>
        <w:tc>
          <w:tcPr>
            <w:tcW w:w="0" w:type="auto"/>
            <w:vAlign w:val="center"/>
            <w:hideMark/>
          </w:tcPr>
          <w:p w14:paraId="2F93258D" w14:textId="77777777" w:rsidR="00000000" w:rsidRDefault="00405D16">
            <w:pPr>
              <w:spacing w:after="100"/>
              <w:rPr>
                <w:rFonts w:eastAsia="Times New Roman"/>
                <w:sz w:val="20"/>
                <w:szCs w:val="20"/>
              </w:rPr>
            </w:pPr>
          </w:p>
        </w:tc>
        <w:tc>
          <w:tcPr>
            <w:tcW w:w="0" w:type="auto"/>
            <w:vAlign w:val="center"/>
            <w:hideMark/>
          </w:tcPr>
          <w:p w14:paraId="3B14720E" w14:textId="77777777" w:rsidR="00000000" w:rsidRDefault="00405D16">
            <w:pPr>
              <w:spacing w:after="100"/>
              <w:rPr>
                <w:rFonts w:eastAsia="Times New Roman"/>
                <w:sz w:val="20"/>
                <w:szCs w:val="20"/>
              </w:rPr>
            </w:pPr>
          </w:p>
        </w:tc>
        <w:tc>
          <w:tcPr>
            <w:tcW w:w="0" w:type="auto"/>
            <w:vAlign w:val="center"/>
            <w:hideMark/>
          </w:tcPr>
          <w:p w14:paraId="1A686924" w14:textId="77777777" w:rsidR="00000000" w:rsidRDefault="00405D16">
            <w:pPr>
              <w:spacing w:after="100"/>
              <w:rPr>
                <w:rFonts w:eastAsia="Times New Roman"/>
                <w:sz w:val="20"/>
                <w:szCs w:val="20"/>
              </w:rPr>
            </w:pPr>
          </w:p>
        </w:tc>
        <w:tc>
          <w:tcPr>
            <w:tcW w:w="0" w:type="auto"/>
            <w:vAlign w:val="center"/>
            <w:hideMark/>
          </w:tcPr>
          <w:p w14:paraId="32964CB1" w14:textId="77777777" w:rsidR="00000000" w:rsidRDefault="00405D16">
            <w:pPr>
              <w:spacing w:after="100"/>
              <w:rPr>
                <w:rFonts w:eastAsia="Times New Roman"/>
                <w:sz w:val="20"/>
                <w:szCs w:val="20"/>
              </w:rPr>
            </w:pPr>
          </w:p>
        </w:tc>
        <w:tc>
          <w:tcPr>
            <w:tcW w:w="0" w:type="auto"/>
            <w:vAlign w:val="center"/>
            <w:hideMark/>
          </w:tcPr>
          <w:p w14:paraId="4B08E822" w14:textId="77777777" w:rsidR="00000000" w:rsidRDefault="00405D16">
            <w:pPr>
              <w:spacing w:after="100"/>
              <w:rPr>
                <w:rFonts w:eastAsia="Times New Roman"/>
                <w:sz w:val="20"/>
                <w:szCs w:val="20"/>
              </w:rPr>
            </w:pPr>
          </w:p>
        </w:tc>
        <w:tc>
          <w:tcPr>
            <w:tcW w:w="0" w:type="auto"/>
            <w:vAlign w:val="center"/>
            <w:hideMark/>
          </w:tcPr>
          <w:p w14:paraId="2FBE4548" w14:textId="77777777" w:rsidR="00000000" w:rsidRDefault="00405D16">
            <w:pPr>
              <w:spacing w:after="100"/>
              <w:rPr>
                <w:rFonts w:eastAsia="Times New Roman"/>
                <w:sz w:val="20"/>
                <w:szCs w:val="20"/>
              </w:rPr>
            </w:pPr>
          </w:p>
        </w:tc>
        <w:tc>
          <w:tcPr>
            <w:tcW w:w="0" w:type="auto"/>
            <w:vAlign w:val="center"/>
            <w:hideMark/>
          </w:tcPr>
          <w:p w14:paraId="3174A855" w14:textId="77777777" w:rsidR="00000000" w:rsidRDefault="00405D16">
            <w:pPr>
              <w:spacing w:after="100"/>
              <w:rPr>
                <w:rFonts w:eastAsia="Times New Roman"/>
                <w:sz w:val="20"/>
                <w:szCs w:val="20"/>
              </w:rPr>
            </w:pPr>
          </w:p>
        </w:tc>
        <w:tc>
          <w:tcPr>
            <w:tcW w:w="0" w:type="auto"/>
            <w:vAlign w:val="center"/>
            <w:hideMark/>
          </w:tcPr>
          <w:p w14:paraId="636AA22A" w14:textId="77777777" w:rsidR="00000000" w:rsidRDefault="00405D16">
            <w:pPr>
              <w:spacing w:after="100"/>
              <w:rPr>
                <w:rFonts w:eastAsia="Times New Roman"/>
                <w:sz w:val="20"/>
                <w:szCs w:val="20"/>
              </w:rPr>
            </w:pPr>
          </w:p>
        </w:tc>
        <w:tc>
          <w:tcPr>
            <w:tcW w:w="0" w:type="auto"/>
            <w:vAlign w:val="center"/>
            <w:hideMark/>
          </w:tcPr>
          <w:p w14:paraId="0CDC0492" w14:textId="77777777" w:rsidR="00000000" w:rsidRDefault="00405D16">
            <w:pPr>
              <w:spacing w:after="100"/>
              <w:rPr>
                <w:rFonts w:eastAsia="Times New Roman"/>
                <w:sz w:val="20"/>
                <w:szCs w:val="20"/>
              </w:rPr>
            </w:pPr>
          </w:p>
        </w:tc>
        <w:tc>
          <w:tcPr>
            <w:tcW w:w="0" w:type="auto"/>
            <w:vAlign w:val="center"/>
            <w:hideMark/>
          </w:tcPr>
          <w:p w14:paraId="6FA80A4F" w14:textId="77777777" w:rsidR="00000000" w:rsidRDefault="00405D16">
            <w:pPr>
              <w:spacing w:after="100"/>
              <w:rPr>
                <w:rFonts w:eastAsia="Times New Roman"/>
                <w:sz w:val="20"/>
                <w:szCs w:val="20"/>
              </w:rPr>
            </w:pPr>
          </w:p>
        </w:tc>
        <w:tc>
          <w:tcPr>
            <w:tcW w:w="0" w:type="auto"/>
            <w:vAlign w:val="center"/>
            <w:hideMark/>
          </w:tcPr>
          <w:p w14:paraId="1CA07E86" w14:textId="77777777" w:rsidR="00000000" w:rsidRDefault="00405D16">
            <w:pPr>
              <w:spacing w:after="100"/>
              <w:rPr>
                <w:rFonts w:eastAsia="Times New Roman"/>
                <w:sz w:val="20"/>
                <w:szCs w:val="20"/>
              </w:rPr>
            </w:pPr>
          </w:p>
        </w:tc>
        <w:tc>
          <w:tcPr>
            <w:tcW w:w="0" w:type="auto"/>
            <w:vAlign w:val="center"/>
            <w:hideMark/>
          </w:tcPr>
          <w:p w14:paraId="54229E0A" w14:textId="77777777" w:rsidR="00000000" w:rsidRDefault="00405D16">
            <w:pPr>
              <w:spacing w:after="100"/>
              <w:rPr>
                <w:rFonts w:eastAsia="Times New Roman"/>
                <w:sz w:val="20"/>
                <w:szCs w:val="20"/>
              </w:rPr>
            </w:pPr>
          </w:p>
        </w:tc>
        <w:tc>
          <w:tcPr>
            <w:tcW w:w="0" w:type="auto"/>
            <w:vAlign w:val="center"/>
            <w:hideMark/>
          </w:tcPr>
          <w:p w14:paraId="4F15CAC9" w14:textId="77777777" w:rsidR="00000000" w:rsidRDefault="00405D16">
            <w:pPr>
              <w:spacing w:after="100"/>
              <w:rPr>
                <w:rFonts w:eastAsia="Times New Roman"/>
                <w:sz w:val="20"/>
                <w:szCs w:val="20"/>
              </w:rPr>
            </w:pPr>
          </w:p>
        </w:tc>
        <w:tc>
          <w:tcPr>
            <w:tcW w:w="0" w:type="auto"/>
            <w:vAlign w:val="center"/>
            <w:hideMark/>
          </w:tcPr>
          <w:p w14:paraId="1211631B" w14:textId="77777777" w:rsidR="00000000" w:rsidRDefault="00405D16">
            <w:pPr>
              <w:spacing w:after="100"/>
              <w:rPr>
                <w:rFonts w:eastAsia="Times New Roman"/>
                <w:sz w:val="20"/>
                <w:szCs w:val="20"/>
              </w:rPr>
            </w:pPr>
          </w:p>
        </w:tc>
        <w:tc>
          <w:tcPr>
            <w:tcW w:w="0" w:type="auto"/>
            <w:vAlign w:val="center"/>
            <w:hideMark/>
          </w:tcPr>
          <w:p w14:paraId="4013AD5E" w14:textId="77777777" w:rsidR="00000000" w:rsidRDefault="00405D16">
            <w:pPr>
              <w:spacing w:after="100"/>
              <w:rPr>
                <w:rFonts w:eastAsia="Times New Roman"/>
                <w:sz w:val="20"/>
                <w:szCs w:val="20"/>
              </w:rPr>
            </w:pPr>
          </w:p>
        </w:tc>
        <w:tc>
          <w:tcPr>
            <w:tcW w:w="0" w:type="auto"/>
            <w:vAlign w:val="center"/>
            <w:hideMark/>
          </w:tcPr>
          <w:p w14:paraId="4DEECF95" w14:textId="77777777" w:rsidR="00000000" w:rsidRDefault="00405D16">
            <w:pPr>
              <w:spacing w:after="100"/>
              <w:rPr>
                <w:rFonts w:eastAsia="Times New Roman"/>
                <w:sz w:val="20"/>
                <w:szCs w:val="20"/>
              </w:rPr>
            </w:pPr>
          </w:p>
        </w:tc>
      </w:tr>
      <w:tr w:rsidR="00000000" w14:paraId="2A21EBB7" w14:textId="77777777">
        <w:trPr>
          <w:divId w:val="665670485"/>
        </w:trPr>
        <w:tc>
          <w:tcPr>
            <w:tcW w:w="0" w:type="auto"/>
            <w:gridSpan w:val="3"/>
            <w:vAlign w:val="center"/>
            <w:hideMark/>
          </w:tcPr>
          <w:p w14:paraId="1EAA8AE6" w14:textId="77777777" w:rsidR="00000000" w:rsidRDefault="00405D16">
            <w:pPr>
              <w:spacing w:after="100"/>
              <w:rPr>
                <w:rFonts w:eastAsia="Times New Roman"/>
                <w:sz w:val="20"/>
                <w:szCs w:val="20"/>
              </w:rPr>
            </w:pPr>
          </w:p>
        </w:tc>
        <w:tc>
          <w:tcPr>
            <w:tcW w:w="0" w:type="auto"/>
            <w:gridSpan w:val="3"/>
            <w:vAlign w:val="center"/>
            <w:hideMark/>
          </w:tcPr>
          <w:p w14:paraId="0F9F6263" w14:textId="77777777" w:rsidR="00000000" w:rsidRDefault="00405D16">
            <w:pPr>
              <w:spacing w:after="100"/>
              <w:rPr>
                <w:rFonts w:eastAsia="Times New Roman"/>
                <w:sz w:val="20"/>
                <w:szCs w:val="20"/>
              </w:rPr>
            </w:pPr>
          </w:p>
        </w:tc>
        <w:tc>
          <w:tcPr>
            <w:tcW w:w="0" w:type="auto"/>
            <w:gridSpan w:val="3"/>
            <w:vAlign w:val="center"/>
            <w:hideMark/>
          </w:tcPr>
          <w:p w14:paraId="708E38B8" w14:textId="77777777" w:rsidR="00000000" w:rsidRDefault="00405D16">
            <w:pPr>
              <w:spacing w:after="100"/>
              <w:rPr>
                <w:rFonts w:eastAsia="Times New Roman"/>
                <w:sz w:val="20"/>
                <w:szCs w:val="20"/>
              </w:rPr>
            </w:pPr>
          </w:p>
        </w:tc>
        <w:tc>
          <w:tcPr>
            <w:tcW w:w="0" w:type="auto"/>
            <w:gridSpan w:val="3"/>
            <w:vAlign w:val="center"/>
            <w:hideMark/>
          </w:tcPr>
          <w:p w14:paraId="1B22D2FF" w14:textId="77777777" w:rsidR="00000000" w:rsidRDefault="00405D16">
            <w:pPr>
              <w:spacing w:after="100"/>
              <w:rPr>
                <w:rFonts w:eastAsia="Times New Roman"/>
                <w:sz w:val="20"/>
                <w:szCs w:val="20"/>
              </w:rPr>
            </w:pPr>
          </w:p>
        </w:tc>
        <w:tc>
          <w:tcPr>
            <w:tcW w:w="0" w:type="auto"/>
            <w:gridSpan w:val="3"/>
            <w:vAlign w:val="center"/>
            <w:hideMark/>
          </w:tcPr>
          <w:p w14:paraId="220546B2" w14:textId="77777777" w:rsidR="00000000" w:rsidRDefault="00405D16">
            <w:pPr>
              <w:spacing w:after="100"/>
              <w:rPr>
                <w:rFonts w:eastAsia="Times New Roman"/>
                <w:sz w:val="20"/>
                <w:szCs w:val="20"/>
              </w:rPr>
            </w:pPr>
          </w:p>
        </w:tc>
        <w:tc>
          <w:tcPr>
            <w:tcW w:w="0" w:type="auto"/>
            <w:gridSpan w:val="3"/>
            <w:vAlign w:val="center"/>
            <w:hideMark/>
          </w:tcPr>
          <w:p w14:paraId="3F75EE22" w14:textId="77777777" w:rsidR="00000000" w:rsidRDefault="00405D16">
            <w:pPr>
              <w:spacing w:after="100"/>
              <w:rPr>
                <w:rFonts w:eastAsia="Times New Roman"/>
                <w:sz w:val="20"/>
                <w:szCs w:val="20"/>
              </w:rPr>
            </w:pPr>
          </w:p>
        </w:tc>
        <w:tc>
          <w:tcPr>
            <w:tcW w:w="0" w:type="auto"/>
            <w:gridSpan w:val="3"/>
            <w:vAlign w:val="center"/>
            <w:hideMark/>
          </w:tcPr>
          <w:p w14:paraId="2A3D7588" w14:textId="77777777" w:rsidR="00000000" w:rsidRDefault="00405D16">
            <w:pPr>
              <w:spacing w:after="100"/>
              <w:rPr>
                <w:rFonts w:eastAsia="Times New Roman"/>
                <w:sz w:val="20"/>
                <w:szCs w:val="20"/>
              </w:rPr>
            </w:pPr>
          </w:p>
        </w:tc>
        <w:tc>
          <w:tcPr>
            <w:tcW w:w="0" w:type="auto"/>
            <w:gridSpan w:val="3"/>
            <w:vAlign w:val="center"/>
            <w:hideMark/>
          </w:tcPr>
          <w:p w14:paraId="12D29A75" w14:textId="77777777" w:rsidR="00000000" w:rsidRDefault="00405D16">
            <w:pPr>
              <w:spacing w:after="100"/>
              <w:rPr>
                <w:rFonts w:eastAsia="Times New Roman"/>
                <w:sz w:val="20"/>
                <w:szCs w:val="20"/>
              </w:rPr>
            </w:pPr>
          </w:p>
        </w:tc>
        <w:tc>
          <w:tcPr>
            <w:tcW w:w="0" w:type="auto"/>
            <w:gridSpan w:val="3"/>
            <w:vAlign w:val="center"/>
            <w:hideMark/>
          </w:tcPr>
          <w:p w14:paraId="347C28E3" w14:textId="77777777" w:rsidR="00000000" w:rsidRDefault="00405D16">
            <w:pPr>
              <w:spacing w:after="100"/>
              <w:rPr>
                <w:rFonts w:eastAsia="Times New Roman"/>
                <w:sz w:val="20"/>
                <w:szCs w:val="20"/>
              </w:rPr>
            </w:pPr>
          </w:p>
        </w:tc>
        <w:tc>
          <w:tcPr>
            <w:tcW w:w="0" w:type="auto"/>
            <w:gridSpan w:val="3"/>
            <w:vAlign w:val="center"/>
            <w:hideMark/>
          </w:tcPr>
          <w:p w14:paraId="1A3950A7" w14:textId="77777777" w:rsidR="00000000" w:rsidRDefault="00405D16">
            <w:pPr>
              <w:spacing w:after="100"/>
              <w:rPr>
                <w:rFonts w:eastAsia="Times New Roman"/>
                <w:sz w:val="20"/>
                <w:szCs w:val="20"/>
              </w:rPr>
            </w:pPr>
          </w:p>
        </w:tc>
        <w:tc>
          <w:tcPr>
            <w:tcW w:w="0" w:type="auto"/>
            <w:gridSpan w:val="3"/>
            <w:vAlign w:val="center"/>
            <w:hideMark/>
          </w:tcPr>
          <w:p w14:paraId="23D7D563" w14:textId="77777777" w:rsidR="00000000" w:rsidRDefault="00405D16">
            <w:pPr>
              <w:spacing w:after="100"/>
              <w:rPr>
                <w:rFonts w:eastAsia="Times New Roman"/>
                <w:sz w:val="20"/>
                <w:szCs w:val="20"/>
              </w:rPr>
            </w:pPr>
          </w:p>
        </w:tc>
      </w:tr>
      <w:tr w:rsidR="00000000" w14:paraId="4C25F2D9" w14:textId="77777777">
        <w:trPr>
          <w:divId w:val="665670485"/>
        </w:trPr>
        <w:tc>
          <w:tcPr>
            <w:tcW w:w="0" w:type="auto"/>
            <w:gridSpan w:val="3"/>
            <w:vAlign w:val="center"/>
            <w:hideMark/>
          </w:tcPr>
          <w:p w14:paraId="725CA085" w14:textId="77777777" w:rsidR="00000000" w:rsidRDefault="00405D16">
            <w:pPr>
              <w:spacing w:after="100"/>
              <w:rPr>
                <w:rFonts w:eastAsia="Times New Roman"/>
                <w:sz w:val="20"/>
                <w:szCs w:val="20"/>
              </w:rPr>
            </w:pPr>
          </w:p>
        </w:tc>
        <w:tc>
          <w:tcPr>
            <w:tcW w:w="0" w:type="auto"/>
            <w:gridSpan w:val="3"/>
            <w:vAlign w:val="center"/>
            <w:hideMark/>
          </w:tcPr>
          <w:p w14:paraId="668714BC" w14:textId="77777777" w:rsidR="00000000" w:rsidRDefault="00405D16">
            <w:pPr>
              <w:spacing w:after="100"/>
              <w:rPr>
                <w:rFonts w:eastAsia="Times New Roman"/>
                <w:sz w:val="20"/>
                <w:szCs w:val="20"/>
              </w:rPr>
            </w:pPr>
          </w:p>
        </w:tc>
        <w:tc>
          <w:tcPr>
            <w:tcW w:w="0" w:type="auto"/>
            <w:gridSpan w:val="3"/>
            <w:vAlign w:val="center"/>
            <w:hideMark/>
          </w:tcPr>
          <w:p w14:paraId="67336B67" w14:textId="77777777" w:rsidR="00000000" w:rsidRDefault="00405D16">
            <w:pPr>
              <w:spacing w:after="100"/>
              <w:rPr>
                <w:rFonts w:eastAsia="Times New Roman"/>
                <w:sz w:val="20"/>
                <w:szCs w:val="20"/>
              </w:rPr>
            </w:pPr>
          </w:p>
        </w:tc>
        <w:tc>
          <w:tcPr>
            <w:tcW w:w="0" w:type="auto"/>
            <w:gridSpan w:val="3"/>
            <w:vAlign w:val="center"/>
            <w:hideMark/>
          </w:tcPr>
          <w:p w14:paraId="3AAC38F7" w14:textId="77777777" w:rsidR="00000000" w:rsidRDefault="00405D16">
            <w:pPr>
              <w:spacing w:after="100"/>
              <w:rPr>
                <w:rFonts w:eastAsia="Times New Roman"/>
                <w:sz w:val="20"/>
                <w:szCs w:val="20"/>
              </w:rPr>
            </w:pPr>
          </w:p>
        </w:tc>
        <w:tc>
          <w:tcPr>
            <w:tcW w:w="0" w:type="auto"/>
            <w:gridSpan w:val="3"/>
            <w:vAlign w:val="center"/>
            <w:hideMark/>
          </w:tcPr>
          <w:p w14:paraId="7C1240CE" w14:textId="77777777" w:rsidR="00000000" w:rsidRDefault="00405D16">
            <w:pPr>
              <w:spacing w:after="100"/>
              <w:rPr>
                <w:rFonts w:eastAsia="Times New Roman"/>
                <w:sz w:val="20"/>
                <w:szCs w:val="20"/>
              </w:rPr>
            </w:pPr>
          </w:p>
        </w:tc>
        <w:tc>
          <w:tcPr>
            <w:tcW w:w="0" w:type="auto"/>
            <w:gridSpan w:val="3"/>
            <w:vAlign w:val="center"/>
            <w:hideMark/>
          </w:tcPr>
          <w:p w14:paraId="634D204F" w14:textId="77777777" w:rsidR="00000000" w:rsidRDefault="00405D16">
            <w:pPr>
              <w:spacing w:after="100"/>
              <w:rPr>
                <w:rFonts w:eastAsia="Times New Roman"/>
                <w:sz w:val="20"/>
                <w:szCs w:val="20"/>
              </w:rPr>
            </w:pPr>
          </w:p>
        </w:tc>
        <w:tc>
          <w:tcPr>
            <w:tcW w:w="0" w:type="auto"/>
            <w:gridSpan w:val="3"/>
            <w:vAlign w:val="center"/>
            <w:hideMark/>
          </w:tcPr>
          <w:p w14:paraId="20DD721C" w14:textId="77777777" w:rsidR="00000000" w:rsidRDefault="00405D16">
            <w:pPr>
              <w:spacing w:after="100"/>
              <w:rPr>
                <w:rFonts w:eastAsia="Times New Roman"/>
                <w:sz w:val="20"/>
                <w:szCs w:val="20"/>
              </w:rPr>
            </w:pPr>
          </w:p>
        </w:tc>
        <w:tc>
          <w:tcPr>
            <w:tcW w:w="0" w:type="auto"/>
            <w:gridSpan w:val="3"/>
            <w:vAlign w:val="center"/>
            <w:hideMark/>
          </w:tcPr>
          <w:p w14:paraId="6A6F55DD" w14:textId="77777777" w:rsidR="00000000" w:rsidRDefault="00405D16">
            <w:pPr>
              <w:spacing w:after="100"/>
              <w:rPr>
                <w:rFonts w:eastAsia="Times New Roman"/>
                <w:sz w:val="20"/>
                <w:szCs w:val="20"/>
              </w:rPr>
            </w:pPr>
          </w:p>
        </w:tc>
        <w:tc>
          <w:tcPr>
            <w:tcW w:w="0" w:type="auto"/>
            <w:gridSpan w:val="3"/>
            <w:vAlign w:val="center"/>
            <w:hideMark/>
          </w:tcPr>
          <w:p w14:paraId="4C3DFA3E" w14:textId="77777777" w:rsidR="00000000" w:rsidRDefault="00405D16">
            <w:pPr>
              <w:spacing w:after="100"/>
              <w:rPr>
                <w:rFonts w:eastAsia="Times New Roman"/>
                <w:sz w:val="20"/>
                <w:szCs w:val="20"/>
              </w:rPr>
            </w:pPr>
          </w:p>
        </w:tc>
        <w:tc>
          <w:tcPr>
            <w:tcW w:w="0" w:type="auto"/>
            <w:gridSpan w:val="3"/>
            <w:vAlign w:val="center"/>
            <w:hideMark/>
          </w:tcPr>
          <w:p w14:paraId="00B5F924" w14:textId="77777777" w:rsidR="00000000" w:rsidRDefault="00405D16">
            <w:pPr>
              <w:spacing w:after="100"/>
              <w:rPr>
                <w:rFonts w:eastAsia="Times New Roman"/>
                <w:sz w:val="20"/>
                <w:szCs w:val="20"/>
              </w:rPr>
            </w:pPr>
          </w:p>
        </w:tc>
        <w:tc>
          <w:tcPr>
            <w:tcW w:w="0" w:type="auto"/>
            <w:gridSpan w:val="3"/>
            <w:vAlign w:val="center"/>
            <w:hideMark/>
          </w:tcPr>
          <w:p w14:paraId="60237AAC" w14:textId="77777777" w:rsidR="00000000" w:rsidRDefault="00405D16">
            <w:pPr>
              <w:spacing w:after="100"/>
              <w:rPr>
                <w:rFonts w:eastAsia="Times New Roman"/>
                <w:sz w:val="20"/>
                <w:szCs w:val="20"/>
              </w:rPr>
            </w:pPr>
          </w:p>
        </w:tc>
      </w:tr>
      <w:tr w:rsidR="00000000" w14:paraId="3593FC7D" w14:textId="77777777">
        <w:trPr>
          <w:divId w:val="665670485"/>
        </w:trPr>
        <w:tc>
          <w:tcPr>
            <w:tcW w:w="0" w:type="auto"/>
            <w:gridSpan w:val="3"/>
            <w:vAlign w:val="center"/>
            <w:hideMark/>
          </w:tcPr>
          <w:p w14:paraId="66E25662" w14:textId="77777777" w:rsidR="00000000" w:rsidRDefault="00405D16">
            <w:pPr>
              <w:spacing w:after="100"/>
              <w:rPr>
                <w:rFonts w:eastAsia="Times New Roman"/>
                <w:sz w:val="20"/>
                <w:szCs w:val="20"/>
              </w:rPr>
            </w:pPr>
          </w:p>
        </w:tc>
        <w:tc>
          <w:tcPr>
            <w:tcW w:w="0" w:type="auto"/>
            <w:gridSpan w:val="3"/>
            <w:vAlign w:val="center"/>
            <w:hideMark/>
          </w:tcPr>
          <w:p w14:paraId="1418C87E" w14:textId="77777777" w:rsidR="00000000" w:rsidRDefault="00405D16">
            <w:pPr>
              <w:spacing w:after="100"/>
              <w:rPr>
                <w:rFonts w:eastAsia="Times New Roman"/>
                <w:sz w:val="20"/>
                <w:szCs w:val="20"/>
              </w:rPr>
            </w:pPr>
          </w:p>
        </w:tc>
        <w:tc>
          <w:tcPr>
            <w:tcW w:w="0" w:type="auto"/>
            <w:gridSpan w:val="3"/>
            <w:vAlign w:val="center"/>
            <w:hideMark/>
          </w:tcPr>
          <w:p w14:paraId="15D049EA" w14:textId="77777777" w:rsidR="00000000" w:rsidRDefault="00405D16">
            <w:pPr>
              <w:spacing w:after="100"/>
              <w:rPr>
                <w:rFonts w:eastAsia="Times New Roman"/>
                <w:sz w:val="20"/>
                <w:szCs w:val="20"/>
              </w:rPr>
            </w:pPr>
          </w:p>
        </w:tc>
        <w:tc>
          <w:tcPr>
            <w:tcW w:w="0" w:type="auto"/>
            <w:gridSpan w:val="3"/>
            <w:vAlign w:val="center"/>
            <w:hideMark/>
          </w:tcPr>
          <w:p w14:paraId="72B05C10" w14:textId="77777777" w:rsidR="00000000" w:rsidRDefault="00405D16">
            <w:pPr>
              <w:spacing w:after="100"/>
              <w:rPr>
                <w:rFonts w:eastAsia="Times New Roman"/>
                <w:sz w:val="20"/>
                <w:szCs w:val="20"/>
              </w:rPr>
            </w:pPr>
          </w:p>
        </w:tc>
        <w:tc>
          <w:tcPr>
            <w:tcW w:w="0" w:type="auto"/>
            <w:gridSpan w:val="3"/>
            <w:vAlign w:val="center"/>
            <w:hideMark/>
          </w:tcPr>
          <w:p w14:paraId="72C8CBA5" w14:textId="77777777" w:rsidR="00000000" w:rsidRDefault="00405D16">
            <w:pPr>
              <w:spacing w:after="100"/>
              <w:rPr>
                <w:rFonts w:eastAsia="Times New Roman"/>
                <w:sz w:val="20"/>
                <w:szCs w:val="20"/>
              </w:rPr>
            </w:pPr>
          </w:p>
        </w:tc>
        <w:tc>
          <w:tcPr>
            <w:tcW w:w="0" w:type="auto"/>
            <w:gridSpan w:val="3"/>
            <w:vAlign w:val="center"/>
            <w:hideMark/>
          </w:tcPr>
          <w:p w14:paraId="1C396045" w14:textId="77777777" w:rsidR="00000000" w:rsidRDefault="00405D16">
            <w:pPr>
              <w:spacing w:after="100"/>
              <w:rPr>
                <w:rFonts w:eastAsia="Times New Roman"/>
                <w:sz w:val="20"/>
                <w:szCs w:val="20"/>
              </w:rPr>
            </w:pPr>
          </w:p>
        </w:tc>
        <w:tc>
          <w:tcPr>
            <w:tcW w:w="0" w:type="auto"/>
            <w:gridSpan w:val="3"/>
            <w:vAlign w:val="center"/>
            <w:hideMark/>
          </w:tcPr>
          <w:p w14:paraId="602EFD1F" w14:textId="77777777" w:rsidR="00000000" w:rsidRDefault="00405D16">
            <w:pPr>
              <w:spacing w:after="100"/>
              <w:rPr>
                <w:rFonts w:eastAsia="Times New Roman"/>
                <w:sz w:val="20"/>
                <w:szCs w:val="20"/>
              </w:rPr>
            </w:pPr>
          </w:p>
        </w:tc>
        <w:tc>
          <w:tcPr>
            <w:tcW w:w="0" w:type="auto"/>
            <w:gridSpan w:val="3"/>
            <w:vAlign w:val="center"/>
            <w:hideMark/>
          </w:tcPr>
          <w:p w14:paraId="05B18819" w14:textId="77777777" w:rsidR="00000000" w:rsidRDefault="00405D16">
            <w:pPr>
              <w:spacing w:after="100"/>
              <w:rPr>
                <w:rFonts w:eastAsia="Times New Roman"/>
                <w:sz w:val="20"/>
                <w:szCs w:val="20"/>
              </w:rPr>
            </w:pPr>
          </w:p>
        </w:tc>
        <w:tc>
          <w:tcPr>
            <w:tcW w:w="0" w:type="auto"/>
            <w:gridSpan w:val="3"/>
            <w:vAlign w:val="center"/>
            <w:hideMark/>
          </w:tcPr>
          <w:p w14:paraId="06BEE7E6" w14:textId="77777777" w:rsidR="00000000" w:rsidRDefault="00405D16">
            <w:pPr>
              <w:spacing w:after="100"/>
              <w:rPr>
                <w:rFonts w:eastAsia="Times New Roman"/>
                <w:sz w:val="20"/>
                <w:szCs w:val="20"/>
              </w:rPr>
            </w:pPr>
          </w:p>
        </w:tc>
        <w:tc>
          <w:tcPr>
            <w:tcW w:w="0" w:type="auto"/>
            <w:gridSpan w:val="3"/>
            <w:vAlign w:val="center"/>
            <w:hideMark/>
          </w:tcPr>
          <w:p w14:paraId="64D31A99" w14:textId="77777777" w:rsidR="00000000" w:rsidRDefault="00405D16">
            <w:pPr>
              <w:spacing w:after="100"/>
              <w:rPr>
                <w:rFonts w:eastAsia="Times New Roman"/>
                <w:sz w:val="20"/>
                <w:szCs w:val="20"/>
              </w:rPr>
            </w:pPr>
          </w:p>
        </w:tc>
        <w:tc>
          <w:tcPr>
            <w:tcW w:w="0" w:type="auto"/>
            <w:gridSpan w:val="3"/>
            <w:vAlign w:val="center"/>
            <w:hideMark/>
          </w:tcPr>
          <w:p w14:paraId="11B05AB1" w14:textId="77777777" w:rsidR="00000000" w:rsidRDefault="00405D16">
            <w:pPr>
              <w:spacing w:after="100"/>
              <w:rPr>
                <w:rFonts w:eastAsia="Times New Roman"/>
                <w:sz w:val="20"/>
                <w:szCs w:val="20"/>
              </w:rPr>
            </w:pPr>
          </w:p>
        </w:tc>
      </w:tr>
      <w:tr w:rsidR="00000000" w14:paraId="7D979DC3" w14:textId="77777777">
        <w:trPr>
          <w:divId w:val="665670485"/>
        </w:trPr>
        <w:tc>
          <w:tcPr>
            <w:tcW w:w="0" w:type="auto"/>
            <w:gridSpan w:val="3"/>
            <w:vAlign w:val="center"/>
            <w:hideMark/>
          </w:tcPr>
          <w:p w14:paraId="094A0621" w14:textId="77777777" w:rsidR="00000000" w:rsidRDefault="00405D16">
            <w:pPr>
              <w:spacing w:after="100"/>
              <w:rPr>
                <w:rFonts w:eastAsia="Times New Roman"/>
                <w:sz w:val="20"/>
                <w:szCs w:val="20"/>
              </w:rPr>
            </w:pPr>
          </w:p>
        </w:tc>
        <w:tc>
          <w:tcPr>
            <w:tcW w:w="0" w:type="auto"/>
            <w:gridSpan w:val="3"/>
            <w:vAlign w:val="center"/>
            <w:hideMark/>
          </w:tcPr>
          <w:p w14:paraId="77D9D4BC" w14:textId="77777777" w:rsidR="00000000" w:rsidRDefault="00405D16">
            <w:pPr>
              <w:spacing w:after="100"/>
              <w:rPr>
                <w:rFonts w:eastAsia="Times New Roman"/>
                <w:sz w:val="20"/>
                <w:szCs w:val="20"/>
              </w:rPr>
            </w:pPr>
          </w:p>
        </w:tc>
        <w:tc>
          <w:tcPr>
            <w:tcW w:w="0" w:type="auto"/>
            <w:gridSpan w:val="3"/>
            <w:vAlign w:val="center"/>
            <w:hideMark/>
          </w:tcPr>
          <w:p w14:paraId="7AC32BB3" w14:textId="77777777" w:rsidR="00000000" w:rsidRDefault="00405D16">
            <w:pPr>
              <w:spacing w:after="100"/>
              <w:rPr>
                <w:rFonts w:eastAsia="Times New Roman"/>
                <w:sz w:val="20"/>
                <w:szCs w:val="20"/>
              </w:rPr>
            </w:pPr>
          </w:p>
        </w:tc>
        <w:tc>
          <w:tcPr>
            <w:tcW w:w="0" w:type="auto"/>
            <w:gridSpan w:val="3"/>
            <w:vAlign w:val="center"/>
            <w:hideMark/>
          </w:tcPr>
          <w:p w14:paraId="2C707886" w14:textId="77777777" w:rsidR="00000000" w:rsidRDefault="00405D16">
            <w:pPr>
              <w:spacing w:after="100"/>
              <w:rPr>
                <w:rFonts w:eastAsia="Times New Roman"/>
                <w:sz w:val="20"/>
                <w:szCs w:val="20"/>
              </w:rPr>
            </w:pPr>
          </w:p>
        </w:tc>
        <w:tc>
          <w:tcPr>
            <w:tcW w:w="0" w:type="auto"/>
            <w:gridSpan w:val="3"/>
            <w:vAlign w:val="center"/>
            <w:hideMark/>
          </w:tcPr>
          <w:p w14:paraId="71CC8850" w14:textId="77777777" w:rsidR="00000000" w:rsidRDefault="00405D16">
            <w:pPr>
              <w:spacing w:after="100"/>
              <w:rPr>
                <w:rFonts w:eastAsia="Times New Roman"/>
                <w:sz w:val="20"/>
                <w:szCs w:val="20"/>
              </w:rPr>
            </w:pPr>
          </w:p>
        </w:tc>
        <w:tc>
          <w:tcPr>
            <w:tcW w:w="0" w:type="auto"/>
            <w:gridSpan w:val="3"/>
            <w:vAlign w:val="center"/>
            <w:hideMark/>
          </w:tcPr>
          <w:p w14:paraId="4E966AE2" w14:textId="77777777" w:rsidR="00000000" w:rsidRDefault="00405D16">
            <w:pPr>
              <w:spacing w:after="100"/>
              <w:rPr>
                <w:rFonts w:eastAsia="Times New Roman"/>
                <w:sz w:val="20"/>
                <w:szCs w:val="20"/>
              </w:rPr>
            </w:pPr>
          </w:p>
        </w:tc>
        <w:tc>
          <w:tcPr>
            <w:tcW w:w="0" w:type="auto"/>
            <w:gridSpan w:val="3"/>
            <w:vAlign w:val="center"/>
            <w:hideMark/>
          </w:tcPr>
          <w:p w14:paraId="7B8F49D2" w14:textId="77777777" w:rsidR="00000000" w:rsidRDefault="00405D16">
            <w:pPr>
              <w:spacing w:after="100"/>
              <w:rPr>
                <w:rFonts w:eastAsia="Times New Roman"/>
                <w:sz w:val="20"/>
                <w:szCs w:val="20"/>
              </w:rPr>
            </w:pPr>
          </w:p>
        </w:tc>
        <w:tc>
          <w:tcPr>
            <w:tcW w:w="0" w:type="auto"/>
            <w:gridSpan w:val="3"/>
            <w:vAlign w:val="center"/>
            <w:hideMark/>
          </w:tcPr>
          <w:p w14:paraId="431008CE" w14:textId="77777777" w:rsidR="00000000" w:rsidRDefault="00405D16">
            <w:pPr>
              <w:spacing w:after="100"/>
              <w:rPr>
                <w:rFonts w:eastAsia="Times New Roman"/>
                <w:sz w:val="20"/>
                <w:szCs w:val="20"/>
              </w:rPr>
            </w:pPr>
          </w:p>
        </w:tc>
        <w:tc>
          <w:tcPr>
            <w:tcW w:w="0" w:type="auto"/>
            <w:gridSpan w:val="3"/>
            <w:vAlign w:val="center"/>
            <w:hideMark/>
          </w:tcPr>
          <w:p w14:paraId="592EA911" w14:textId="77777777" w:rsidR="00000000" w:rsidRDefault="00405D16">
            <w:pPr>
              <w:spacing w:after="100"/>
              <w:rPr>
                <w:rFonts w:eastAsia="Times New Roman"/>
                <w:sz w:val="20"/>
                <w:szCs w:val="20"/>
              </w:rPr>
            </w:pPr>
          </w:p>
        </w:tc>
        <w:tc>
          <w:tcPr>
            <w:tcW w:w="0" w:type="auto"/>
            <w:gridSpan w:val="3"/>
            <w:vAlign w:val="center"/>
            <w:hideMark/>
          </w:tcPr>
          <w:p w14:paraId="6E18D008" w14:textId="77777777" w:rsidR="00000000" w:rsidRDefault="00405D16">
            <w:pPr>
              <w:spacing w:after="100"/>
              <w:rPr>
                <w:rFonts w:eastAsia="Times New Roman"/>
                <w:sz w:val="20"/>
                <w:szCs w:val="20"/>
              </w:rPr>
            </w:pPr>
          </w:p>
        </w:tc>
        <w:tc>
          <w:tcPr>
            <w:tcW w:w="0" w:type="auto"/>
            <w:gridSpan w:val="3"/>
            <w:vAlign w:val="center"/>
            <w:hideMark/>
          </w:tcPr>
          <w:p w14:paraId="48F1C176" w14:textId="77777777" w:rsidR="00000000" w:rsidRDefault="00405D16">
            <w:pPr>
              <w:spacing w:after="100"/>
              <w:rPr>
                <w:rFonts w:eastAsia="Times New Roman"/>
                <w:sz w:val="20"/>
                <w:szCs w:val="20"/>
              </w:rPr>
            </w:pPr>
          </w:p>
        </w:tc>
      </w:tr>
      <w:tr w:rsidR="00000000" w14:paraId="39FA7071" w14:textId="77777777">
        <w:trPr>
          <w:divId w:val="665670485"/>
        </w:trPr>
        <w:tc>
          <w:tcPr>
            <w:tcW w:w="0" w:type="auto"/>
            <w:gridSpan w:val="3"/>
            <w:vAlign w:val="center"/>
            <w:hideMark/>
          </w:tcPr>
          <w:p w14:paraId="3C8C3023" w14:textId="77777777" w:rsidR="00000000" w:rsidRDefault="00405D16">
            <w:pPr>
              <w:spacing w:after="100"/>
              <w:rPr>
                <w:rFonts w:eastAsia="Times New Roman"/>
                <w:sz w:val="20"/>
                <w:szCs w:val="20"/>
              </w:rPr>
            </w:pPr>
          </w:p>
        </w:tc>
        <w:tc>
          <w:tcPr>
            <w:tcW w:w="0" w:type="auto"/>
            <w:gridSpan w:val="3"/>
            <w:vAlign w:val="center"/>
            <w:hideMark/>
          </w:tcPr>
          <w:p w14:paraId="691F7093" w14:textId="77777777" w:rsidR="00000000" w:rsidRDefault="00405D16">
            <w:pPr>
              <w:spacing w:after="100"/>
              <w:rPr>
                <w:rFonts w:eastAsia="Times New Roman"/>
                <w:sz w:val="20"/>
                <w:szCs w:val="20"/>
              </w:rPr>
            </w:pPr>
          </w:p>
        </w:tc>
        <w:tc>
          <w:tcPr>
            <w:tcW w:w="0" w:type="auto"/>
            <w:gridSpan w:val="3"/>
            <w:vAlign w:val="center"/>
            <w:hideMark/>
          </w:tcPr>
          <w:p w14:paraId="762EAAA4" w14:textId="77777777" w:rsidR="00000000" w:rsidRDefault="00405D16">
            <w:pPr>
              <w:spacing w:after="100"/>
              <w:rPr>
                <w:rFonts w:eastAsia="Times New Roman"/>
                <w:sz w:val="20"/>
                <w:szCs w:val="20"/>
              </w:rPr>
            </w:pPr>
          </w:p>
        </w:tc>
        <w:tc>
          <w:tcPr>
            <w:tcW w:w="0" w:type="auto"/>
            <w:gridSpan w:val="3"/>
            <w:vAlign w:val="center"/>
            <w:hideMark/>
          </w:tcPr>
          <w:p w14:paraId="77553D5A" w14:textId="77777777" w:rsidR="00000000" w:rsidRDefault="00405D16">
            <w:pPr>
              <w:spacing w:after="100"/>
              <w:rPr>
                <w:rFonts w:eastAsia="Times New Roman"/>
                <w:sz w:val="20"/>
                <w:szCs w:val="20"/>
              </w:rPr>
            </w:pPr>
          </w:p>
        </w:tc>
        <w:tc>
          <w:tcPr>
            <w:tcW w:w="0" w:type="auto"/>
            <w:gridSpan w:val="3"/>
            <w:vAlign w:val="center"/>
            <w:hideMark/>
          </w:tcPr>
          <w:p w14:paraId="1C1F9591" w14:textId="77777777" w:rsidR="00000000" w:rsidRDefault="00405D16">
            <w:pPr>
              <w:spacing w:after="100"/>
              <w:rPr>
                <w:rFonts w:eastAsia="Times New Roman"/>
                <w:sz w:val="20"/>
                <w:szCs w:val="20"/>
              </w:rPr>
            </w:pPr>
          </w:p>
        </w:tc>
        <w:tc>
          <w:tcPr>
            <w:tcW w:w="0" w:type="auto"/>
            <w:gridSpan w:val="3"/>
            <w:vAlign w:val="center"/>
            <w:hideMark/>
          </w:tcPr>
          <w:p w14:paraId="02B99680" w14:textId="77777777" w:rsidR="00000000" w:rsidRDefault="00405D16">
            <w:pPr>
              <w:spacing w:after="100"/>
              <w:rPr>
                <w:rFonts w:eastAsia="Times New Roman"/>
                <w:sz w:val="20"/>
                <w:szCs w:val="20"/>
              </w:rPr>
            </w:pPr>
          </w:p>
        </w:tc>
        <w:tc>
          <w:tcPr>
            <w:tcW w:w="0" w:type="auto"/>
            <w:gridSpan w:val="3"/>
            <w:vAlign w:val="center"/>
            <w:hideMark/>
          </w:tcPr>
          <w:p w14:paraId="24CF502B" w14:textId="77777777" w:rsidR="00000000" w:rsidRDefault="00405D16">
            <w:pPr>
              <w:spacing w:after="100"/>
              <w:rPr>
                <w:rFonts w:eastAsia="Times New Roman"/>
                <w:sz w:val="20"/>
                <w:szCs w:val="20"/>
              </w:rPr>
            </w:pPr>
          </w:p>
        </w:tc>
        <w:tc>
          <w:tcPr>
            <w:tcW w:w="0" w:type="auto"/>
            <w:gridSpan w:val="3"/>
            <w:vAlign w:val="center"/>
            <w:hideMark/>
          </w:tcPr>
          <w:p w14:paraId="404346C8" w14:textId="77777777" w:rsidR="00000000" w:rsidRDefault="00405D16">
            <w:pPr>
              <w:spacing w:after="100"/>
              <w:rPr>
                <w:rFonts w:eastAsia="Times New Roman"/>
                <w:sz w:val="20"/>
                <w:szCs w:val="20"/>
              </w:rPr>
            </w:pPr>
          </w:p>
        </w:tc>
        <w:tc>
          <w:tcPr>
            <w:tcW w:w="0" w:type="auto"/>
            <w:gridSpan w:val="3"/>
            <w:vAlign w:val="center"/>
            <w:hideMark/>
          </w:tcPr>
          <w:p w14:paraId="6FFF4A3C" w14:textId="77777777" w:rsidR="00000000" w:rsidRDefault="00405D16">
            <w:pPr>
              <w:spacing w:after="100"/>
              <w:rPr>
                <w:rFonts w:eastAsia="Times New Roman"/>
                <w:sz w:val="20"/>
                <w:szCs w:val="20"/>
              </w:rPr>
            </w:pPr>
          </w:p>
        </w:tc>
        <w:tc>
          <w:tcPr>
            <w:tcW w:w="0" w:type="auto"/>
            <w:gridSpan w:val="3"/>
            <w:vAlign w:val="center"/>
            <w:hideMark/>
          </w:tcPr>
          <w:p w14:paraId="2FCFC8FF" w14:textId="77777777" w:rsidR="00000000" w:rsidRDefault="00405D16">
            <w:pPr>
              <w:spacing w:after="100"/>
              <w:rPr>
                <w:rFonts w:eastAsia="Times New Roman"/>
                <w:sz w:val="20"/>
                <w:szCs w:val="20"/>
              </w:rPr>
            </w:pPr>
          </w:p>
        </w:tc>
        <w:tc>
          <w:tcPr>
            <w:tcW w:w="0" w:type="auto"/>
            <w:gridSpan w:val="3"/>
            <w:vAlign w:val="center"/>
            <w:hideMark/>
          </w:tcPr>
          <w:p w14:paraId="515EB960" w14:textId="77777777" w:rsidR="00000000" w:rsidRDefault="00405D16">
            <w:pPr>
              <w:spacing w:after="100"/>
              <w:rPr>
                <w:rFonts w:eastAsia="Times New Roman"/>
                <w:sz w:val="20"/>
                <w:szCs w:val="20"/>
              </w:rPr>
            </w:pPr>
          </w:p>
        </w:tc>
      </w:tr>
      <w:tr w:rsidR="00000000" w14:paraId="3272A998" w14:textId="77777777">
        <w:trPr>
          <w:divId w:val="665670485"/>
        </w:trPr>
        <w:tc>
          <w:tcPr>
            <w:tcW w:w="0" w:type="auto"/>
            <w:gridSpan w:val="3"/>
            <w:vAlign w:val="center"/>
            <w:hideMark/>
          </w:tcPr>
          <w:p w14:paraId="57B86D5A" w14:textId="77777777" w:rsidR="00000000" w:rsidRDefault="00405D16">
            <w:pPr>
              <w:spacing w:after="100"/>
              <w:rPr>
                <w:rFonts w:eastAsia="Times New Roman"/>
                <w:sz w:val="20"/>
                <w:szCs w:val="20"/>
              </w:rPr>
            </w:pPr>
          </w:p>
        </w:tc>
        <w:tc>
          <w:tcPr>
            <w:tcW w:w="0" w:type="auto"/>
            <w:gridSpan w:val="3"/>
            <w:vAlign w:val="center"/>
            <w:hideMark/>
          </w:tcPr>
          <w:p w14:paraId="5947E86A" w14:textId="77777777" w:rsidR="00000000" w:rsidRDefault="00405D16">
            <w:pPr>
              <w:spacing w:after="100"/>
              <w:rPr>
                <w:rFonts w:eastAsia="Times New Roman"/>
                <w:sz w:val="20"/>
                <w:szCs w:val="20"/>
              </w:rPr>
            </w:pPr>
          </w:p>
        </w:tc>
        <w:tc>
          <w:tcPr>
            <w:tcW w:w="0" w:type="auto"/>
            <w:gridSpan w:val="3"/>
            <w:vAlign w:val="center"/>
            <w:hideMark/>
          </w:tcPr>
          <w:p w14:paraId="36AC18BA" w14:textId="77777777" w:rsidR="00000000" w:rsidRDefault="00405D16">
            <w:pPr>
              <w:spacing w:after="100"/>
              <w:rPr>
                <w:rFonts w:eastAsia="Times New Roman"/>
                <w:sz w:val="20"/>
                <w:szCs w:val="20"/>
              </w:rPr>
            </w:pPr>
          </w:p>
        </w:tc>
        <w:tc>
          <w:tcPr>
            <w:tcW w:w="0" w:type="auto"/>
            <w:gridSpan w:val="3"/>
            <w:vAlign w:val="center"/>
            <w:hideMark/>
          </w:tcPr>
          <w:p w14:paraId="033D78D5" w14:textId="77777777" w:rsidR="00000000" w:rsidRDefault="00405D16">
            <w:pPr>
              <w:spacing w:after="100"/>
              <w:rPr>
                <w:rFonts w:eastAsia="Times New Roman"/>
                <w:sz w:val="20"/>
                <w:szCs w:val="20"/>
              </w:rPr>
            </w:pPr>
          </w:p>
        </w:tc>
        <w:tc>
          <w:tcPr>
            <w:tcW w:w="0" w:type="auto"/>
            <w:gridSpan w:val="3"/>
            <w:vAlign w:val="center"/>
            <w:hideMark/>
          </w:tcPr>
          <w:p w14:paraId="68512E03" w14:textId="77777777" w:rsidR="00000000" w:rsidRDefault="00405D16">
            <w:pPr>
              <w:spacing w:after="100"/>
              <w:rPr>
                <w:rFonts w:eastAsia="Times New Roman"/>
                <w:sz w:val="20"/>
                <w:szCs w:val="20"/>
              </w:rPr>
            </w:pPr>
          </w:p>
        </w:tc>
        <w:tc>
          <w:tcPr>
            <w:tcW w:w="0" w:type="auto"/>
            <w:gridSpan w:val="3"/>
            <w:vAlign w:val="center"/>
            <w:hideMark/>
          </w:tcPr>
          <w:p w14:paraId="0D5F107F" w14:textId="77777777" w:rsidR="00000000" w:rsidRDefault="00405D16">
            <w:pPr>
              <w:spacing w:after="100"/>
              <w:rPr>
                <w:rFonts w:eastAsia="Times New Roman"/>
                <w:sz w:val="20"/>
                <w:szCs w:val="20"/>
              </w:rPr>
            </w:pPr>
          </w:p>
        </w:tc>
        <w:tc>
          <w:tcPr>
            <w:tcW w:w="0" w:type="auto"/>
            <w:gridSpan w:val="3"/>
            <w:vAlign w:val="center"/>
            <w:hideMark/>
          </w:tcPr>
          <w:p w14:paraId="130895BB" w14:textId="77777777" w:rsidR="00000000" w:rsidRDefault="00405D16">
            <w:pPr>
              <w:spacing w:after="100"/>
              <w:rPr>
                <w:rFonts w:eastAsia="Times New Roman"/>
                <w:sz w:val="20"/>
                <w:szCs w:val="20"/>
              </w:rPr>
            </w:pPr>
          </w:p>
        </w:tc>
        <w:tc>
          <w:tcPr>
            <w:tcW w:w="0" w:type="auto"/>
            <w:gridSpan w:val="3"/>
            <w:vAlign w:val="center"/>
            <w:hideMark/>
          </w:tcPr>
          <w:p w14:paraId="4B64E63F" w14:textId="77777777" w:rsidR="00000000" w:rsidRDefault="00405D16">
            <w:pPr>
              <w:spacing w:after="100"/>
              <w:rPr>
                <w:rFonts w:eastAsia="Times New Roman"/>
                <w:sz w:val="20"/>
                <w:szCs w:val="20"/>
              </w:rPr>
            </w:pPr>
          </w:p>
        </w:tc>
        <w:tc>
          <w:tcPr>
            <w:tcW w:w="0" w:type="auto"/>
            <w:gridSpan w:val="3"/>
            <w:vAlign w:val="center"/>
            <w:hideMark/>
          </w:tcPr>
          <w:p w14:paraId="78E1EB61" w14:textId="77777777" w:rsidR="00000000" w:rsidRDefault="00405D16">
            <w:pPr>
              <w:spacing w:after="100"/>
              <w:rPr>
                <w:rFonts w:eastAsia="Times New Roman"/>
                <w:sz w:val="20"/>
                <w:szCs w:val="20"/>
              </w:rPr>
            </w:pPr>
          </w:p>
        </w:tc>
        <w:tc>
          <w:tcPr>
            <w:tcW w:w="0" w:type="auto"/>
            <w:gridSpan w:val="3"/>
            <w:vAlign w:val="center"/>
            <w:hideMark/>
          </w:tcPr>
          <w:p w14:paraId="0E0FE90B" w14:textId="77777777" w:rsidR="00000000" w:rsidRDefault="00405D16">
            <w:pPr>
              <w:spacing w:after="100"/>
              <w:rPr>
                <w:rFonts w:eastAsia="Times New Roman"/>
                <w:sz w:val="20"/>
                <w:szCs w:val="20"/>
              </w:rPr>
            </w:pPr>
          </w:p>
        </w:tc>
        <w:tc>
          <w:tcPr>
            <w:tcW w:w="0" w:type="auto"/>
            <w:gridSpan w:val="3"/>
            <w:vAlign w:val="center"/>
            <w:hideMark/>
          </w:tcPr>
          <w:p w14:paraId="136C07C4" w14:textId="77777777" w:rsidR="00000000" w:rsidRDefault="00405D16">
            <w:pPr>
              <w:spacing w:after="100"/>
              <w:rPr>
                <w:rFonts w:eastAsia="Times New Roman"/>
                <w:sz w:val="20"/>
                <w:szCs w:val="20"/>
              </w:rPr>
            </w:pPr>
          </w:p>
        </w:tc>
      </w:tr>
    </w:tbl>
    <w:p w14:paraId="73E0F951" w14:textId="77777777" w:rsidR="00000000" w:rsidRDefault="00405D16">
      <w:pPr>
        <w:divId w:val="254021060"/>
        <w:rPr>
          <w:rFonts w:eastAsia="Times New Roman"/>
        </w:rPr>
      </w:pPr>
      <w:r>
        <w:rPr>
          <w:rFonts w:eastAsia="Times New Roman"/>
          <w:color w:val="000000"/>
          <w:sz w:val="20"/>
          <w:szCs w:val="20"/>
        </w:rPr>
        <w:t>__________</w:t>
      </w:r>
    </w:p>
    <w:p w14:paraId="18C9951C" w14:textId="77777777" w:rsidR="00000000" w:rsidRDefault="00405D16">
      <w:pPr>
        <w:ind w:hanging="360"/>
        <w:jc w:val="both"/>
        <w:divId w:val="80126660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As of September 30, 2021, the weighted-average expected maturities of RMBS and Agency CMBS were 5.3 years and 5.5 years, respectively.</w:t>
      </w:r>
    </w:p>
    <w:p w14:paraId="086A103E" w14:textId="77777777" w:rsidR="00000000" w:rsidRDefault="00405D16">
      <w:pPr>
        <w:divId w:val="348872493"/>
        <w:rPr>
          <w:rFonts w:eastAsia="Times New Roman"/>
        </w:rPr>
      </w:pPr>
      <w:r>
        <w:rPr>
          <w:rFonts w:eastAsia="Times New Roman"/>
          <w:b/>
          <w:bCs/>
          <w:color w:val="000000"/>
          <w:sz w:val="20"/>
          <w:szCs w:val="20"/>
        </w:rPr>
        <w:t>Net Securities Gains or Losses and Proceeds from Sales</w:t>
      </w:r>
    </w:p>
    <w:p w14:paraId="67FDCF6C" w14:textId="77777777" w:rsidR="00000000" w:rsidRDefault="00405D16">
      <w:pPr>
        <w:jc w:val="both"/>
        <w:divId w:val="1851290219"/>
        <w:rPr>
          <w:rFonts w:eastAsia="Times New Roman"/>
        </w:rPr>
      </w:pPr>
      <w:r>
        <w:rPr>
          <w:rFonts w:eastAsia="Times New Roman"/>
          <w:color w:val="000000"/>
          <w:sz w:val="20"/>
          <w:szCs w:val="20"/>
        </w:rPr>
        <w:t>For the three and nine months ended September 30, 2021, total proceeds from sales of our securities were $1.1 billion and $1.7 billion, respectively, with gains of $2 million and $6 million, respectively. For the three and nine months ended September 30, 2</w:t>
      </w:r>
      <w:r>
        <w:rPr>
          <w:rFonts w:eastAsia="Times New Roman"/>
          <w:color w:val="000000"/>
          <w:sz w:val="20"/>
          <w:szCs w:val="20"/>
        </w:rPr>
        <w:t>020, total proceeds from the sale of our securities were $668 million and $812 million respectively, with gains of $25 million in both periods.</w:t>
      </w:r>
    </w:p>
    <w:p w14:paraId="0F0B4538" w14:textId="77777777" w:rsidR="00000000" w:rsidRDefault="00405D16">
      <w:pPr>
        <w:divId w:val="743799941"/>
        <w:rPr>
          <w:rFonts w:eastAsia="Times New Roman"/>
        </w:rPr>
      </w:pPr>
      <w:r>
        <w:rPr>
          <w:rFonts w:eastAsia="Times New Roman"/>
          <w:b/>
          <w:bCs/>
          <w:color w:val="000000"/>
          <w:sz w:val="20"/>
          <w:szCs w:val="20"/>
        </w:rPr>
        <w:t>Securities Pledged and Received</w:t>
      </w:r>
    </w:p>
    <w:p w14:paraId="3E6B26CC" w14:textId="77777777" w:rsidR="00000000" w:rsidRDefault="00405D16">
      <w:pPr>
        <w:jc w:val="both"/>
        <w:rPr>
          <w:rFonts w:eastAsia="Times New Roman"/>
        </w:rPr>
      </w:pPr>
      <w:r>
        <w:rPr>
          <w:rFonts w:eastAsia="Times New Roman"/>
          <w:color w:val="000000"/>
          <w:sz w:val="20"/>
          <w:szCs w:val="20"/>
        </w:rPr>
        <w:t xml:space="preserve">We pledged investment securities totaling $19.6 billion and $16.5 billion as of </w:t>
      </w:r>
      <w:r>
        <w:rPr>
          <w:rFonts w:eastAsia="Times New Roman"/>
          <w:color w:val="000000"/>
          <w:sz w:val="20"/>
          <w:szCs w:val="20"/>
        </w:rPr>
        <w:t>September 30, 2021 and December 31, 2020, respectively. These securities are primarily pledged to secure FHLB advances and Public Funds deposits, as well as for other purposes as required or permitted by law. We accepted pledges of securities with a fair v</w:t>
      </w:r>
      <w:r>
        <w:rPr>
          <w:rFonts w:eastAsia="Times New Roman"/>
          <w:color w:val="000000"/>
          <w:sz w:val="20"/>
          <w:szCs w:val="20"/>
        </w:rPr>
        <w:t>alue of approximately $1 million as of both September 30, 2021 and December 31, 2020, related to our derivative transactions.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669BFBCD" w14:textId="77777777">
        <w:trPr>
          <w:divId w:val="719867102"/>
          <w:jc w:val="center"/>
        </w:trPr>
        <w:tc>
          <w:tcPr>
            <w:tcW w:w="50" w:type="pct"/>
            <w:vAlign w:val="center"/>
            <w:hideMark/>
          </w:tcPr>
          <w:p w14:paraId="2FBC3574" w14:textId="77777777" w:rsidR="00000000" w:rsidRDefault="00405D16">
            <w:pPr>
              <w:jc w:val="both"/>
              <w:rPr>
                <w:rFonts w:eastAsia="Times New Roman"/>
              </w:rPr>
            </w:pPr>
          </w:p>
        </w:tc>
        <w:tc>
          <w:tcPr>
            <w:tcW w:w="1606" w:type="pct"/>
            <w:vAlign w:val="center"/>
            <w:hideMark/>
          </w:tcPr>
          <w:p w14:paraId="625B78B5" w14:textId="77777777" w:rsidR="00000000" w:rsidRDefault="00405D16">
            <w:pPr>
              <w:spacing w:after="100"/>
              <w:rPr>
                <w:rFonts w:eastAsia="Times New Roman"/>
                <w:sz w:val="20"/>
                <w:szCs w:val="20"/>
              </w:rPr>
            </w:pPr>
          </w:p>
        </w:tc>
        <w:tc>
          <w:tcPr>
            <w:tcW w:w="5" w:type="pct"/>
            <w:vAlign w:val="center"/>
            <w:hideMark/>
          </w:tcPr>
          <w:p w14:paraId="6A32A23A" w14:textId="77777777" w:rsidR="00000000" w:rsidRDefault="00405D16">
            <w:pPr>
              <w:spacing w:after="100"/>
              <w:rPr>
                <w:rFonts w:eastAsia="Times New Roman"/>
                <w:sz w:val="20"/>
                <w:szCs w:val="20"/>
              </w:rPr>
            </w:pPr>
          </w:p>
        </w:tc>
        <w:tc>
          <w:tcPr>
            <w:tcW w:w="50" w:type="pct"/>
            <w:vAlign w:val="center"/>
            <w:hideMark/>
          </w:tcPr>
          <w:p w14:paraId="3386692E" w14:textId="77777777" w:rsidR="00000000" w:rsidRDefault="00405D16">
            <w:pPr>
              <w:spacing w:after="100"/>
              <w:rPr>
                <w:rFonts w:eastAsia="Times New Roman"/>
                <w:sz w:val="20"/>
                <w:szCs w:val="20"/>
              </w:rPr>
            </w:pPr>
          </w:p>
        </w:tc>
        <w:tc>
          <w:tcPr>
            <w:tcW w:w="1614" w:type="pct"/>
            <w:vAlign w:val="center"/>
            <w:hideMark/>
          </w:tcPr>
          <w:p w14:paraId="467DE8F2" w14:textId="77777777" w:rsidR="00000000" w:rsidRDefault="00405D16">
            <w:pPr>
              <w:spacing w:after="100"/>
              <w:rPr>
                <w:rFonts w:eastAsia="Times New Roman"/>
                <w:sz w:val="20"/>
                <w:szCs w:val="20"/>
              </w:rPr>
            </w:pPr>
          </w:p>
        </w:tc>
        <w:tc>
          <w:tcPr>
            <w:tcW w:w="5" w:type="pct"/>
            <w:vAlign w:val="center"/>
            <w:hideMark/>
          </w:tcPr>
          <w:p w14:paraId="675E6095" w14:textId="77777777" w:rsidR="00000000" w:rsidRDefault="00405D16">
            <w:pPr>
              <w:spacing w:after="100"/>
              <w:rPr>
                <w:rFonts w:eastAsia="Times New Roman"/>
                <w:sz w:val="20"/>
                <w:szCs w:val="20"/>
              </w:rPr>
            </w:pPr>
          </w:p>
        </w:tc>
        <w:tc>
          <w:tcPr>
            <w:tcW w:w="50" w:type="pct"/>
            <w:vAlign w:val="center"/>
            <w:hideMark/>
          </w:tcPr>
          <w:p w14:paraId="2AAC17B6" w14:textId="77777777" w:rsidR="00000000" w:rsidRDefault="00405D16">
            <w:pPr>
              <w:spacing w:after="100"/>
              <w:rPr>
                <w:rFonts w:eastAsia="Times New Roman"/>
                <w:sz w:val="20"/>
                <w:szCs w:val="20"/>
              </w:rPr>
            </w:pPr>
          </w:p>
        </w:tc>
        <w:tc>
          <w:tcPr>
            <w:tcW w:w="1614" w:type="pct"/>
            <w:vAlign w:val="center"/>
            <w:hideMark/>
          </w:tcPr>
          <w:p w14:paraId="271663F4" w14:textId="77777777" w:rsidR="00000000" w:rsidRDefault="00405D16">
            <w:pPr>
              <w:spacing w:after="100"/>
              <w:rPr>
                <w:rFonts w:eastAsia="Times New Roman"/>
                <w:sz w:val="20"/>
                <w:szCs w:val="20"/>
              </w:rPr>
            </w:pPr>
          </w:p>
        </w:tc>
        <w:tc>
          <w:tcPr>
            <w:tcW w:w="5" w:type="pct"/>
            <w:vAlign w:val="center"/>
            <w:hideMark/>
          </w:tcPr>
          <w:p w14:paraId="21056262" w14:textId="77777777" w:rsidR="00000000" w:rsidRDefault="00405D16">
            <w:pPr>
              <w:spacing w:after="100"/>
              <w:rPr>
                <w:rFonts w:eastAsia="Times New Roman"/>
                <w:sz w:val="20"/>
                <w:szCs w:val="20"/>
              </w:rPr>
            </w:pPr>
          </w:p>
        </w:tc>
      </w:tr>
      <w:tr w:rsidR="00000000" w14:paraId="7364FD6F" w14:textId="77777777">
        <w:trPr>
          <w:divId w:val="719867102"/>
          <w:trHeight w:val="300"/>
          <w:jc w:val="center"/>
        </w:trPr>
        <w:tc>
          <w:tcPr>
            <w:tcW w:w="0" w:type="auto"/>
            <w:gridSpan w:val="9"/>
            <w:tcMar>
              <w:top w:w="0" w:type="dxa"/>
              <w:left w:w="20" w:type="dxa"/>
              <w:bottom w:w="0" w:type="dxa"/>
              <w:right w:w="20" w:type="dxa"/>
            </w:tcMar>
            <w:vAlign w:val="center"/>
            <w:hideMark/>
          </w:tcPr>
          <w:p w14:paraId="0917DC24" w14:textId="77777777" w:rsidR="00000000" w:rsidRDefault="00405D16">
            <w:pPr>
              <w:spacing w:after="100"/>
              <w:rPr>
                <w:rFonts w:eastAsia="Times New Roman"/>
                <w:sz w:val="20"/>
                <w:szCs w:val="20"/>
              </w:rPr>
            </w:pPr>
          </w:p>
        </w:tc>
      </w:tr>
      <w:tr w:rsidR="00000000" w14:paraId="1BF8A677" w14:textId="77777777">
        <w:trPr>
          <w:divId w:val="719867102"/>
          <w:jc w:val="center"/>
        </w:trPr>
        <w:tc>
          <w:tcPr>
            <w:tcW w:w="0" w:type="auto"/>
            <w:gridSpan w:val="3"/>
            <w:tcMar>
              <w:top w:w="0" w:type="dxa"/>
              <w:left w:w="20" w:type="dxa"/>
              <w:bottom w:w="0" w:type="dxa"/>
              <w:right w:w="20" w:type="dxa"/>
            </w:tcMar>
            <w:vAlign w:val="center"/>
            <w:hideMark/>
          </w:tcPr>
          <w:p w14:paraId="045B798C"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452AAD4" w14:textId="77777777" w:rsidR="00000000" w:rsidRDefault="00405D16">
            <w:pPr>
              <w:spacing w:after="100"/>
              <w:jc w:val="center"/>
              <w:rPr>
                <w:rFonts w:eastAsia="Times New Roman"/>
              </w:rPr>
            </w:pPr>
            <w:r>
              <w:rPr>
                <w:rFonts w:eastAsia="Times New Roman"/>
                <w:color w:val="000000"/>
                <w:sz w:val="16"/>
                <w:szCs w:val="16"/>
              </w:rPr>
              <w:t>80</w:t>
            </w:r>
          </w:p>
        </w:tc>
        <w:tc>
          <w:tcPr>
            <w:tcW w:w="0" w:type="auto"/>
            <w:gridSpan w:val="3"/>
            <w:tcMar>
              <w:top w:w="30" w:type="dxa"/>
              <w:left w:w="20" w:type="dxa"/>
              <w:bottom w:w="30" w:type="dxa"/>
              <w:right w:w="20" w:type="dxa"/>
            </w:tcMar>
            <w:vAlign w:val="bottom"/>
            <w:hideMark/>
          </w:tcPr>
          <w:p w14:paraId="32705EFC"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2D16F08F" w14:textId="77777777" w:rsidR="00000000" w:rsidRDefault="00405D16">
      <w:pPr>
        <w:rPr>
          <w:rFonts w:eastAsia="Times New Roman"/>
        </w:rPr>
      </w:pPr>
      <w:r>
        <w:rPr>
          <w:rFonts w:eastAsia="Times New Roman"/>
        </w:rPr>
        <w:pict w14:anchorId="0C9EC57D">
          <v:rect id="_x0000_i1105" style="width:0;height:1.5pt" o:hralign="center" o:hrstd="t" o:hr="t" fillcolor="#a0a0a0" stroked="f"/>
        </w:pict>
      </w:r>
    </w:p>
    <w:p w14:paraId="641762CE" w14:textId="77777777" w:rsidR="00000000" w:rsidRDefault="00405D16">
      <w:pPr>
        <w:jc w:val="both"/>
        <w:divId w:val="1754663376"/>
        <w:rPr>
          <w:rFonts w:eastAsia="Times New Roman"/>
        </w:rPr>
      </w:pPr>
      <w:hyperlink w:anchor="idd54a04a485440b4ab4e56094c14d612_13" w:history="1">
        <w:r>
          <w:rPr>
            <w:rStyle w:val="a3"/>
            <w:rFonts w:eastAsia="Times New Roman"/>
            <w:sz w:val="16"/>
            <w:szCs w:val="16"/>
          </w:rPr>
          <w:t>Table of Contents</w:t>
        </w:r>
      </w:hyperlink>
    </w:p>
    <w:p w14:paraId="70367643" w14:textId="77777777" w:rsidR="00000000" w:rsidRDefault="00405D16">
      <w:pPr>
        <w:jc w:val="center"/>
        <w:divId w:val="175466337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36CA4EF9" w14:textId="77777777">
        <w:trPr>
          <w:divId w:val="1459302487"/>
        </w:trPr>
        <w:tc>
          <w:tcPr>
            <w:tcW w:w="50" w:type="pct"/>
            <w:vAlign w:val="center"/>
            <w:hideMark/>
          </w:tcPr>
          <w:p w14:paraId="7463EB16" w14:textId="77777777" w:rsidR="00000000" w:rsidRDefault="00405D16">
            <w:pPr>
              <w:jc w:val="center"/>
              <w:rPr>
                <w:rFonts w:eastAsia="Times New Roman"/>
              </w:rPr>
            </w:pPr>
          </w:p>
        </w:tc>
        <w:tc>
          <w:tcPr>
            <w:tcW w:w="4945" w:type="pct"/>
            <w:vAlign w:val="center"/>
            <w:hideMark/>
          </w:tcPr>
          <w:p w14:paraId="383EA9D9" w14:textId="77777777" w:rsidR="00000000" w:rsidRDefault="00405D16">
            <w:pPr>
              <w:spacing w:after="100"/>
              <w:rPr>
                <w:rFonts w:eastAsia="Times New Roman"/>
                <w:sz w:val="20"/>
                <w:szCs w:val="20"/>
              </w:rPr>
            </w:pPr>
          </w:p>
        </w:tc>
        <w:tc>
          <w:tcPr>
            <w:tcW w:w="5" w:type="pct"/>
            <w:vAlign w:val="center"/>
            <w:hideMark/>
          </w:tcPr>
          <w:p w14:paraId="5706B13D" w14:textId="77777777" w:rsidR="00000000" w:rsidRDefault="00405D16">
            <w:pPr>
              <w:spacing w:after="100"/>
              <w:rPr>
                <w:rFonts w:eastAsia="Times New Roman"/>
                <w:sz w:val="20"/>
                <w:szCs w:val="20"/>
              </w:rPr>
            </w:pPr>
          </w:p>
        </w:tc>
      </w:tr>
      <w:tr w:rsidR="00000000" w14:paraId="7D9C5C13" w14:textId="77777777">
        <w:trPr>
          <w:divId w:val="1459302487"/>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0A4469D2" w14:textId="77777777" w:rsidR="00000000" w:rsidRDefault="00405D16">
            <w:pPr>
              <w:spacing w:after="100"/>
              <w:rPr>
                <w:rFonts w:eastAsia="Times New Roman"/>
              </w:rPr>
            </w:pPr>
            <w:r>
              <w:rPr>
                <w:rFonts w:eastAsia="Times New Roman"/>
                <w:b/>
                <w:bCs/>
                <w:color w:val="000000"/>
                <w:sz w:val="20"/>
                <w:szCs w:val="20"/>
              </w:rPr>
              <w:t>NOTE 3—LOANS</w:t>
            </w:r>
          </w:p>
        </w:tc>
      </w:tr>
    </w:tbl>
    <w:p w14:paraId="72854D58" w14:textId="77777777" w:rsidR="00000000" w:rsidRDefault="00405D16">
      <w:pPr>
        <w:jc w:val="both"/>
        <w:divId w:val="561403031"/>
        <w:rPr>
          <w:rFonts w:eastAsia="Times New Roman"/>
        </w:rPr>
      </w:pPr>
      <w:r>
        <w:rPr>
          <w:rFonts w:eastAsia="Times New Roman"/>
          <w:color w:val="000000"/>
          <w:sz w:val="20"/>
          <w:szCs w:val="20"/>
        </w:rPr>
        <w:t xml:space="preserve">Our loan portfolio consists of loans held for investment, including loans held in our consolidated trusts, and loans held for sale. We further divide our loans held for investment into three portfolio segments: credit card, consumer banking and commercial </w:t>
      </w:r>
      <w:r>
        <w:rPr>
          <w:rFonts w:eastAsia="Times New Roman"/>
          <w:color w:val="000000"/>
          <w:sz w:val="20"/>
          <w:szCs w:val="20"/>
        </w:rPr>
        <w:t>banking. Credit card loans consist of domestic and international credit card loans. Consumer banking loans consist of auto and retail banking loans. Commercial banking loans consist of commercial and multifamily real estate as well as commercial and indust</w:t>
      </w:r>
      <w:r>
        <w:rPr>
          <w:rFonts w:eastAsia="Times New Roman"/>
          <w:color w:val="000000"/>
          <w:sz w:val="20"/>
          <w:szCs w:val="20"/>
        </w:rPr>
        <w:t>rial loans. The information presented in this section excludes loans held for sale, which are carried at either fair value (if we elect the fair value option) or at the lower of cost or fair value. Amounts include the impacts of COVID-19 customer assistanc</w:t>
      </w:r>
      <w:r>
        <w:rPr>
          <w:rFonts w:eastAsia="Times New Roman"/>
          <w:color w:val="000000"/>
          <w:sz w:val="20"/>
          <w:szCs w:val="20"/>
        </w:rPr>
        <w:t>e programs where applicable.</w:t>
      </w:r>
    </w:p>
    <w:p w14:paraId="7EF52053" w14:textId="77777777" w:rsidR="00000000" w:rsidRDefault="00405D16">
      <w:pPr>
        <w:jc w:val="both"/>
        <w:divId w:val="1271668665"/>
        <w:rPr>
          <w:rFonts w:eastAsia="Times New Roman"/>
        </w:rPr>
      </w:pPr>
      <w:r>
        <w:rPr>
          <w:rFonts w:eastAsia="Times New Roman"/>
          <w:color w:val="000000"/>
          <w:sz w:val="20"/>
          <w:szCs w:val="20"/>
        </w:rPr>
        <w:t>Accrued interest receivable of</w:t>
      </w:r>
      <w:r>
        <w:rPr>
          <w:rFonts w:eastAsia="Times New Roman"/>
          <w:color w:val="000000"/>
          <w:sz w:val="20"/>
          <w:szCs w:val="20"/>
          <w:shd w:val="clear" w:color="auto" w:fill="FFFFFF"/>
        </w:rPr>
        <w:t xml:space="preserve"> </w:t>
      </w:r>
      <w:r>
        <w:rPr>
          <w:rFonts w:eastAsia="Times New Roman"/>
          <w:color w:val="000000"/>
          <w:sz w:val="20"/>
          <w:szCs w:val="20"/>
        </w:rPr>
        <w:t>$1.2 billion as of both September 30, 2021 and December 31, 2020, is not included in the tables in this note. The table below presents the composition and aging analysis of our loans held for inve</w:t>
      </w:r>
      <w:r>
        <w:rPr>
          <w:rFonts w:eastAsia="Times New Roman"/>
          <w:color w:val="000000"/>
          <w:sz w:val="20"/>
          <w:szCs w:val="20"/>
        </w:rPr>
        <w:t xml:space="preserve">stment portfolio as of September 30, 2021 and December 31, 2020. The delinquency aging includes all past due loans, both performing and nonperforming. </w:t>
      </w:r>
    </w:p>
    <w:p w14:paraId="1CE61DFE" w14:textId="77777777" w:rsidR="00000000" w:rsidRDefault="00405D16">
      <w:pPr>
        <w:divId w:val="543491723"/>
        <w:rPr>
          <w:rFonts w:eastAsia="Times New Roman"/>
        </w:rPr>
      </w:pPr>
      <w:r>
        <w:rPr>
          <w:rFonts w:eastAsia="Times New Roman"/>
          <w:b/>
          <w:bCs/>
          <w:color w:val="000000"/>
          <w:sz w:val="18"/>
          <w:szCs w:val="18"/>
        </w:rPr>
        <w:t>Table 3.1: Loan Portfolio Composition and Aging Analysis</w:t>
      </w:r>
    </w:p>
    <w:tbl>
      <w:tblPr>
        <w:tblW w:w="5000" w:type="pct"/>
        <w:tblCellMar>
          <w:top w:w="15" w:type="dxa"/>
          <w:left w:w="15" w:type="dxa"/>
          <w:bottom w:w="15" w:type="dxa"/>
          <w:right w:w="15" w:type="dxa"/>
        </w:tblCellMar>
        <w:tblLook w:val="04A0" w:firstRow="1" w:lastRow="0" w:firstColumn="1" w:lastColumn="0" w:noHBand="0" w:noVBand="1"/>
      </w:tblPr>
      <w:tblGrid>
        <w:gridCol w:w="40"/>
        <w:gridCol w:w="2382"/>
        <w:gridCol w:w="38"/>
        <w:gridCol w:w="36"/>
        <w:gridCol w:w="36"/>
        <w:gridCol w:w="36"/>
        <w:gridCol w:w="110"/>
        <w:gridCol w:w="683"/>
        <w:gridCol w:w="36"/>
        <w:gridCol w:w="36"/>
        <w:gridCol w:w="36"/>
        <w:gridCol w:w="36"/>
        <w:gridCol w:w="110"/>
        <w:gridCol w:w="538"/>
        <w:gridCol w:w="200"/>
        <w:gridCol w:w="36"/>
        <w:gridCol w:w="36"/>
        <w:gridCol w:w="36"/>
        <w:gridCol w:w="110"/>
        <w:gridCol w:w="538"/>
        <w:gridCol w:w="200"/>
        <w:gridCol w:w="36"/>
        <w:gridCol w:w="36"/>
        <w:gridCol w:w="36"/>
        <w:gridCol w:w="110"/>
        <w:gridCol w:w="538"/>
        <w:gridCol w:w="200"/>
        <w:gridCol w:w="36"/>
        <w:gridCol w:w="36"/>
        <w:gridCol w:w="36"/>
        <w:gridCol w:w="111"/>
        <w:gridCol w:w="721"/>
        <w:gridCol w:w="200"/>
        <w:gridCol w:w="36"/>
        <w:gridCol w:w="36"/>
        <w:gridCol w:w="36"/>
        <w:gridCol w:w="110"/>
        <w:gridCol w:w="647"/>
        <w:gridCol w:w="36"/>
      </w:tblGrid>
      <w:tr w:rsidR="00000000" w14:paraId="1CB00C2B" w14:textId="77777777">
        <w:trPr>
          <w:divId w:val="40711176"/>
        </w:trPr>
        <w:tc>
          <w:tcPr>
            <w:tcW w:w="50" w:type="pct"/>
            <w:vAlign w:val="center"/>
            <w:hideMark/>
          </w:tcPr>
          <w:p w14:paraId="43196D45" w14:textId="77777777" w:rsidR="00000000" w:rsidRDefault="00405D16">
            <w:pPr>
              <w:rPr>
                <w:rFonts w:eastAsia="Times New Roman"/>
              </w:rPr>
            </w:pPr>
          </w:p>
        </w:tc>
        <w:tc>
          <w:tcPr>
            <w:tcW w:w="1523" w:type="pct"/>
            <w:vAlign w:val="center"/>
            <w:hideMark/>
          </w:tcPr>
          <w:p w14:paraId="4181BB4B" w14:textId="77777777" w:rsidR="00000000" w:rsidRDefault="00405D16">
            <w:pPr>
              <w:spacing w:after="100"/>
              <w:rPr>
                <w:rFonts w:eastAsia="Times New Roman"/>
                <w:sz w:val="20"/>
                <w:szCs w:val="20"/>
              </w:rPr>
            </w:pPr>
          </w:p>
        </w:tc>
        <w:tc>
          <w:tcPr>
            <w:tcW w:w="5" w:type="pct"/>
            <w:vAlign w:val="center"/>
            <w:hideMark/>
          </w:tcPr>
          <w:p w14:paraId="28FB142C" w14:textId="77777777" w:rsidR="00000000" w:rsidRDefault="00405D16">
            <w:pPr>
              <w:spacing w:after="100"/>
              <w:rPr>
                <w:rFonts w:eastAsia="Times New Roman"/>
                <w:sz w:val="20"/>
                <w:szCs w:val="20"/>
              </w:rPr>
            </w:pPr>
          </w:p>
        </w:tc>
        <w:tc>
          <w:tcPr>
            <w:tcW w:w="5" w:type="pct"/>
            <w:vAlign w:val="center"/>
            <w:hideMark/>
          </w:tcPr>
          <w:p w14:paraId="4341B35A" w14:textId="77777777" w:rsidR="00000000" w:rsidRDefault="00405D16">
            <w:pPr>
              <w:spacing w:after="100"/>
              <w:rPr>
                <w:rFonts w:eastAsia="Times New Roman"/>
                <w:sz w:val="20"/>
                <w:szCs w:val="20"/>
              </w:rPr>
            </w:pPr>
          </w:p>
        </w:tc>
        <w:tc>
          <w:tcPr>
            <w:tcW w:w="26" w:type="pct"/>
            <w:vAlign w:val="center"/>
            <w:hideMark/>
          </w:tcPr>
          <w:p w14:paraId="4A8A5597" w14:textId="77777777" w:rsidR="00000000" w:rsidRDefault="00405D16">
            <w:pPr>
              <w:spacing w:after="100"/>
              <w:rPr>
                <w:rFonts w:eastAsia="Times New Roman"/>
                <w:sz w:val="20"/>
                <w:szCs w:val="20"/>
              </w:rPr>
            </w:pPr>
          </w:p>
        </w:tc>
        <w:tc>
          <w:tcPr>
            <w:tcW w:w="5" w:type="pct"/>
            <w:vAlign w:val="center"/>
            <w:hideMark/>
          </w:tcPr>
          <w:p w14:paraId="38027027" w14:textId="77777777" w:rsidR="00000000" w:rsidRDefault="00405D16">
            <w:pPr>
              <w:spacing w:after="100"/>
              <w:rPr>
                <w:rFonts w:eastAsia="Times New Roman"/>
                <w:sz w:val="20"/>
                <w:szCs w:val="20"/>
              </w:rPr>
            </w:pPr>
          </w:p>
        </w:tc>
        <w:tc>
          <w:tcPr>
            <w:tcW w:w="50" w:type="pct"/>
            <w:vAlign w:val="center"/>
            <w:hideMark/>
          </w:tcPr>
          <w:p w14:paraId="50954A07" w14:textId="77777777" w:rsidR="00000000" w:rsidRDefault="00405D16">
            <w:pPr>
              <w:spacing w:after="100"/>
              <w:rPr>
                <w:rFonts w:eastAsia="Times New Roman"/>
                <w:sz w:val="20"/>
                <w:szCs w:val="20"/>
              </w:rPr>
            </w:pPr>
          </w:p>
        </w:tc>
        <w:tc>
          <w:tcPr>
            <w:tcW w:w="522" w:type="pct"/>
            <w:vAlign w:val="center"/>
            <w:hideMark/>
          </w:tcPr>
          <w:p w14:paraId="0A45E1C9" w14:textId="77777777" w:rsidR="00000000" w:rsidRDefault="00405D16">
            <w:pPr>
              <w:spacing w:after="100"/>
              <w:rPr>
                <w:rFonts w:eastAsia="Times New Roman"/>
                <w:sz w:val="20"/>
                <w:szCs w:val="20"/>
              </w:rPr>
            </w:pPr>
          </w:p>
        </w:tc>
        <w:tc>
          <w:tcPr>
            <w:tcW w:w="5" w:type="pct"/>
            <w:vAlign w:val="center"/>
            <w:hideMark/>
          </w:tcPr>
          <w:p w14:paraId="35F39D6F" w14:textId="77777777" w:rsidR="00000000" w:rsidRDefault="00405D16">
            <w:pPr>
              <w:spacing w:after="100"/>
              <w:rPr>
                <w:rFonts w:eastAsia="Times New Roman"/>
                <w:sz w:val="20"/>
                <w:szCs w:val="20"/>
              </w:rPr>
            </w:pPr>
          </w:p>
        </w:tc>
        <w:tc>
          <w:tcPr>
            <w:tcW w:w="5" w:type="pct"/>
            <w:vAlign w:val="center"/>
            <w:hideMark/>
          </w:tcPr>
          <w:p w14:paraId="5DEB74C1" w14:textId="77777777" w:rsidR="00000000" w:rsidRDefault="00405D16">
            <w:pPr>
              <w:spacing w:after="100"/>
              <w:rPr>
                <w:rFonts w:eastAsia="Times New Roman"/>
                <w:sz w:val="20"/>
                <w:szCs w:val="20"/>
              </w:rPr>
            </w:pPr>
          </w:p>
        </w:tc>
        <w:tc>
          <w:tcPr>
            <w:tcW w:w="26" w:type="pct"/>
            <w:vAlign w:val="center"/>
            <w:hideMark/>
          </w:tcPr>
          <w:p w14:paraId="2CEAEA41" w14:textId="77777777" w:rsidR="00000000" w:rsidRDefault="00405D16">
            <w:pPr>
              <w:spacing w:after="100"/>
              <w:rPr>
                <w:rFonts w:eastAsia="Times New Roman"/>
                <w:sz w:val="20"/>
                <w:szCs w:val="20"/>
              </w:rPr>
            </w:pPr>
          </w:p>
        </w:tc>
        <w:tc>
          <w:tcPr>
            <w:tcW w:w="5" w:type="pct"/>
            <w:vAlign w:val="center"/>
            <w:hideMark/>
          </w:tcPr>
          <w:p w14:paraId="4B2986CB" w14:textId="77777777" w:rsidR="00000000" w:rsidRDefault="00405D16">
            <w:pPr>
              <w:spacing w:after="100"/>
              <w:rPr>
                <w:rFonts w:eastAsia="Times New Roman"/>
                <w:sz w:val="20"/>
                <w:szCs w:val="20"/>
              </w:rPr>
            </w:pPr>
          </w:p>
        </w:tc>
        <w:tc>
          <w:tcPr>
            <w:tcW w:w="50" w:type="pct"/>
            <w:vAlign w:val="center"/>
            <w:hideMark/>
          </w:tcPr>
          <w:p w14:paraId="13250905" w14:textId="77777777" w:rsidR="00000000" w:rsidRDefault="00405D16">
            <w:pPr>
              <w:spacing w:after="100"/>
              <w:rPr>
                <w:rFonts w:eastAsia="Times New Roman"/>
                <w:sz w:val="20"/>
                <w:szCs w:val="20"/>
              </w:rPr>
            </w:pPr>
          </w:p>
        </w:tc>
        <w:tc>
          <w:tcPr>
            <w:tcW w:w="434" w:type="pct"/>
            <w:vAlign w:val="center"/>
            <w:hideMark/>
          </w:tcPr>
          <w:p w14:paraId="0ED7AE2E" w14:textId="77777777" w:rsidR="00000000" w:rsidRDefault="00405D16">
            <w:pPr>
              <w:spacing w:after="100"/>
              <w:rPr>
                <w:rFonts w:eastAsia="Times New Roman"/>
                <w:sz w:val="20"/>
                <w:szCs w:val="20"/>
              </w:rPr>
            </w:pPr>
          </w:p>
        </w:tc>
        <w:tc>
          <w:tcPr>
            <w:tcW w:w="5" w:type="pct"/>
            <w:vAlign w:val="center"/>
            <w:hideMark/>
          </w:tcPr>
          <w:p w14:paraId="0341D862" w14:textId="77777777" w:rsidR="00000000" w:rsidRDefault="00405D16">
            <w:pPr>
              <w:spacing w:after="100"/>
              <w:rPr>
                <w:rFonts w:eastAsia="Times New Roman"/>
                <w:sz w:val="20"/>
                <w:szCs w:val="20"/>
              </w:rPr>
            </w:pPr>
          </w:p>
        </w:tc>
        <w:tc>
          <w:tcPr>
            <w:tcW w:w="5" w:type="pct"/>
            <w:vAlign w:val="center"/>
            <w:hideMark/>
          </w:tcPr>
          <w:p w14:paraId="1016C786" w14:textId="77777777" w:rsidR="00000000" w:rsidRDefault="00405D16">
            <w:pPr>
              <w:spacing w:after="100"/>
              <w:rPr>
                <w:rFonts w:eastAsia="Times New Roman"/>
                <w:sz w:val="20"/>
                <w:szCs w:val="20"/>
              </w:rPr>
            </w:pPr>
          </w:p>
        </w:tc>
        <w:tc>
          <w:tcPr>
            <w:tcW w:w="26" w:type="pct"/>
            <w:vAlign w:val="center"/>
            <w:hideMark/>
          </w:tcPr>
          <w:p w14:paraId="54F121B1" w14:textId="77777777" w:rsidR="00000000" w:rsidRDefault="00405D16">
            <w:pPr>
              <w:spacing w:after="100"/>
              <w:rPr>
                <w:rFonts w:eastAsia="Times New Roman"/>
                <w:sz w:val="20"/>
                <w:szCs w:val="20"/>
              </w:rPr>
            </w:pPr>
          </w:p>
        </w:tc>
        <w:tc>
          <w:tcPr>
            <w:tcW w:w="5" w:type="pct"/>
            <w:vAlign w:val="center"/>
            <w:hideMark/>
          </w:tcPr>
          <w:p w14:paraId="41A6751E" w14:textId="77777777" w:rsidR="00000000" w:rsidRDefault="00405D16">
            <w:pPr>
              <w:spacing w:after="100"/>
              <w:rPr>
                <w:rFonts w:eastAsia="Times New Roman"/>
                <w:sz w:val="20"/>
                <w:szCs w:val="20"/>
              </w:rPr>
            </w:pPr>
          </w:p>
        </w:tc>
        <w:tc>
          <w:tcPr>
            <w:tcW w:w="50" w:type="pct"/>
            <w:vAlign w:val="center"/>
            <w:hideMark/>
          </w:tcPr>
          <w:p w14:paraId="29E7D65E" w14:textId="77777777" w:rsidR="00000000" w:rsidRDefault="00405D16">
            <w:pPr>
              <w:spacing w:after="100"/>
              <w:rPr>
                <w:rFonts w:eastAsia="Times New Roman"/>
                <w:sz w:val="20"/>
                <w:szCs w:val="20"/>
              </w:rPr>
            </w:pPr>
          </w:p>
        </w:tc>
        <w:tc>
          <w:tcPr>
            <w:tcW w:w="434" w:type="pct"/>
            <w:vAlign w:val="center"/>
            <w:hideMark/>
          </w:tcPr>
          <w:p w14:paraId="3E179F27" w14:textId="77777777" w:rsidR="00000000" w:rsidRDefault="00405D16">
            <w:pPr>
              <w:spacing w:after="100"/>
              <w:rPr>
                <w:rFonts w:eastAsia="Times New Roman"/>
                <w:sz w:val="20"/>
                <w:szCs w:val="20"/>
              </w:rPr>
            </w:pPr>
          </w:p>
        </w:tc>
        <w:tc>
          <w:tcPr>
            <w:tcW w:w="5" w:type="pct"/>
            <w:vAlign w:val="center"/>
            <w:hideMark/>
          </w:tcPr>
          <w:p w14:paraId="2B416E31" w14:textId="77777777" w:rsidR="00000000" w:rsidRDefault="00405D16">
            <w:pPr>
              <w:spacing w:after="100"/>
              <w:rPr>
                <w:rFonts w:eastAsia="Times New Roman"/>
                <w:sz w:val="20"/>
                <w:szCs w:val="20"/>
              </w:rPr>
            </w:pPr>
          </w:p>
        </w:tc>
        <w:tc>
          <w:tcPr>
            <w:tcW w:w="5" w:type="pct"/>
            <w:vAlign w:val="center"/>
            <w:hideMark/>
          </w:tcPr>
          <w:p w14:paraId="082D0B2C" w14:textId="77777777" w:rsidR="00000000" w:rsidRDefault="00405D16">
            <w:pPr>
              <w:spacing w:after="100"/>
              <w:rPr>
                <w:rFonts w:eastAsia="Times New Roman"/>
                <w:sz w:val="20"/>
                <w:szCs w:val="20"/>
              </w:rPr>
            </w:pPr>
          </w:p>
        </w:tc>
        <w:tc>
          <w:tcPr>
            <w:tcW w:w="26" w:type="pct"/>
            <w:vAlign w:val="center"/>
            <w:hideMark/>
          </w:tcPr>
          <w:p w14:paraId="43124165" w14:textId="77777777" w:rsidR="00000000" w:rsidRDefault="00405D16">
            <w:pPr>
              <w:spacing w:after="100"/>
              <w:rPr>
                <w:rFonts w:eastAsia="Times New Roman"/>
                <w:sz w:val="20"/>
                <w:szCs w:val="20"/>
              </w:rPr>
            </w:pPr>
          </w:p>
        </w:tc>
        <w:tc>
          <w:tcPr>
            <w:tcW w:w="5" w:type="pct"/>
            <w:vAlign w:val="center"/>
            <w:hideMark/>
          </w:tcPr>
          <w:p w14:paraId="2E639230" w14:textId="77777777" w:rsidR="00000000" w:rsidRDefault="00405D16">
            <w:pPr>
              <w:spacing w:after="100"/>
              <w:rPr>
                <w:rFonts w:eastAsia="Times New Roman"/>
                <w:sz w:val="20"/>
                <w:szCs w:val="20"/>
              </w:rPr>
            </w:pPr>
          </w:p>
        </w:tc>
        <w:tc>
          <w:tcPr>
            <w:tcW w:w="50" w:type="pct"/>
            <w:vAlign w:val="center"/>
            <w:hideMark/>
          </w:tcPr>
          <w:p w14:paraId="3CEC14C1" w14:textId="77777777" w:rsidR="00000000" w:rsidRDefault="00405D16">
            <w:pPr>
              <w:spacing w:after="100"/>
              <w:rPr>
                <w:rFonts w:eastAsia="Times New Roman"/>
                <w:sz w:val="20"/>
                <w:szCs w:val="20"/>
              </w:rPr>
            </w:pPr>
          </w:p>
        </w:tc>
        <w:tc>
          <w:tcPr>
            <w:tcW w:w="434" w:type="pct"/>
            <w:vAlign w:val="center"/>
            <w:hideMark/>
          </w:tcPr>
          <w:p w14:paraId="47E4F75F" w14:textId="77777777" w:rsidR="00000000" w:rsidRDefault="00405D16">
            <w:pPr>
              <w:spacing w:after="100"/>
              <w:rPr>
                <w:rFonts w:eastAsia="Times New Roman"/>
                <w:sz w:val="20"/>
                <w:szCs w:val="20"/>
              </w:rPr>
            </w:pPr>
          </w:p>
        </w:tc>
        <w:tc>
          <w:tcPr>
            <w:tcW w:w="5" w:type="pct"/>
            <w:vAlign w:val="center"/>
            <w:hideMark/>
          </w:tcPr>
          <w:p w14:paraId="35F2C763" w14:textId="77777777" w:rsidR="00000000" w:rsidRDefault="00405D16">
            <w:pPr>
              <w:spacing w:after="100"/>
              <w:rPr>
                <w:rFonts w:eastAsia="Times New Roman"/>
                <w:sz w:val="20"/>
                <w:szCs w:val="20"/>
              </w:rPr>
            </w:pPr>
          </w:p>
        </w:tc>
        <w:tc>
          <w:tcPr>
            <w:tcW w:w="5" w:type="pct"/>
            <w:vAlign w:val="center"/>
            <w:hideMark/>
          </w:tcPr>
          <w:p w14:paraId="3DD7EC91" w14:textId="77777777" w:rsidR="00000000" w:rsidRDefault="00405D16">
            <w:pPr>
              <w:spacing w:after="100"/>
              <w:rPr>
                <w:rFonts w:eastAsia="Times New Roman"/>
                <w:sz w:val="20"/>
                <w:szCs w:val="20"/>
              </w:rPr>
            </w:pPr>
          </w:p>
        </w:tc>
        <w:tc>
          <w:tcPr>
            <w:tcW w:w="26" w:type="pct"/>
            <w:vAlign w:val="center"/>
            <w:hideMark/>
          </w:tcPr>
          <w:p w14:paraId="1F9B5B15" w14:textId="77777777" w:rsidR="00000000" w:rsidRDefault="00405D16">
            <w:pPr>
              <w:spacing w:after="100"/>
              <w:rPr>
                <w:rFonts w:eastAsia="Times New Roman"/>
                <w:sz w:val="20"/>
                <w:szCs w:val="20"/>
              </w:rPr>
            </w:pPr>
          </w:p>
        </w:tc>
        <w:tc>
          <w:tcPr>
            <w:tcW w:w="5" w:type="pct"/>
            <w:vAlign w:val="center"/>
            <w:hideMark/>
          </w:tcPr>
          <w:p w14:paraId="2601F764" w14:textId="77777777" w:rsidR="00000000" w:rsidRDefault="00405D16">
            <w:pPr>
              <w:spacing w:after="100"/>
              <w:rPr>
                <w:rFonts w:eastAsia="Times New Roman"/>
                <w:sz w:val="20"/>
                <w:szCs w:val="20"/>
              </w:rPr>
            </w:pPr>
          </w:p>
        </w:tc>
        <w:tc>
          <w:tcPr>
            <w:tcW w:w="50" w:type="pct"/>
            <w:vAlign w:val="center"/>
            <w:hideMark/>
          </w:tcPr>
          <w:p w14:paraId="347C8B19" w14:textId="77777777" w:rsidR="00000000" w:rsidRDefault="00405D16">
            <w:pPr>
              <w:spacing w:after="100"/>
              <w:rPr>
                <w:rFonts w:eastAsia="Times New Roman"/>
                <w:sz w:val="20"/>
                <w:szCs w:val="20"/>
              </w:rPr>
            </w:pPr>
          </w:p>
        </w:tc>
        <w:tc>
          <w:tcPr>
            <w:tcW w:w="522" w:type="pct"/>
            <w:vAlign w:val="center"/>
            <w:hideMark/>
          </w:tcPr>
          <w:p w14:paraId="28F11AC5" w14:textId="77777777" w:rsidR="00000000" w:rsidRDefault="00405D16">
            <w:pPr>
              <w:spacing w:after="100"/>
              <w:rPr>
                <w:rFonts w:eastAsia="Times New Roman"/>
                <w:sz w:val="20"/>
                <w:szCs w:val="20"/>
              </w:rPr>
            </w:pPr>
          </w:p>
        </w:tc>
        <w:tc>
          <w:tcPr>
            <w:tcW w:w="5" w:type="pct"/>
            <w:vAlign w:val="center"/>
            <w:hideMark/>
          </w:tcPr>
          <w:p w14:paraId="449CC57E" w14:textId="77777777" w:rsidR="00000000" w:rsidRDefault="00405D16">
            <w:pPr>
              <w:spacing w:after="100"/>
              <w:rPr>
                <w:rFonts w:eastAsia="Times New Roman"/>
                <w:sz w:val="20"/>
                <w:szCs w:val="20"/>
              </w:rPr>
            </w:pPr>
          </w:p>
        </w:tc>
        <w:tc>
          <w:tcPr>
            <w:tcW w:w="5" w:type="pct"/>
            <w:vAlign w:val="center"/>
            <w:hideMark/>
          </w:tcPr>
          <w:p w14:paraId="4D514904" w14:textId="77777777" w:rsidR="00000000" w:rsidRDefault="00405D16">
            <w:pPr>
              <w:spacing w:after="100"/>
              <w:rPr>
                <w:rFonts w:eastAsia="Times New Roman"/>
                <w:sz w:val="20"/>
                <w:szCs w:val="20"/>
              </w:rPr>
            </w:pPr>
          </w:p>
        </w:tc>
        <w:tc>
          <w:tcPr>
            <w:tcW w:w="26" w:type="pct"/>
            <w:vAlign w:val="center"/>
            <w:hideMark/>
          </w:tcPr>
          <w:p w14:paraId="426AFAEA" w14:textId="77777777" w:rsidR="00000000" w:rsidRDefault="00405D16">
            <w:pPr>
              <w:spacing w:after="100"/>
              <w:rPr>
                <w:rFonts w:eastAsia="Times New Roman"/>
                <w:sz w:val="20"/>
                <w:szCs w:val="20"/>
              </w:rPr>
            </w:pPr>
          </w:p>
        </w:tc>
        <w:tc>
          <w:tcPr>
            <w:tcW w:w="5" w:type="pct"/>
            <w:vAlign w:val="center"/>
            <w:hideMark/>
          </w:tcPr>
          <w:p w14:paraId="1D28C265" w14:textId="77777777" w:rsidR="00000000" w:rsidRDefault="00405D16">
            <w:pPr>
              <w:spacing w:after="100"/>
              <w:rPr>
                <w:rFonts w:eastAsia="Times New Roman"/>
                <w:sz w:val="20"/>
                <w:szCs w:val="20"/>
              </w:rPr>
            </w:pPr>
          </w:p>
        </w:tc>
        <w:tc>
          <w:tcPr>
            <w:tcW w:w="50" w:type="pct"/>
            <w:vAlign w:val="center"/>
            <w:hideMark/>
          </w:tcPr>
          <w:p w14:paraId="3FB658EF" w14:textId="77777777" w:rsidR="00000000" w:rsidRDefault="00405D16">
            <w:pPr>
              <w:spacing w:after="100"/>
              <w:rPr>
                <w:rFonts w:eastAsia="Times New Roman"/>
                <w:sz w:val="20"/>
                <w:szCs w:val="20"/>
              </w:rPr>
            </w:pPr>
          </w:p>
        </w:tc>
        <w:tc>
          <w:tcPr>
            <w:tcW w:w="522" w:type="pct"/>
            <w:vAlign w:val="center"/>
            <w:hideMark/>
          </w:tcPr>
          <w:p w14:paraId="517EA429" w14:textId="77777777" w:rsidR="00000000" w:rsidRDefault="00405D16">
            <w:pPr>
              <w:spacing w:after="100"/>
              <w:rPr>
                <w:rFonts w:eastAsia="Times New Roman"/>
                <w:sz w:val="20"/>
                <w:szCs w:val="20"/>
              </w:rPr>
            </w:pPr>
          </w:p>
        </w:tc>
        <w:tc>
          <w:tcPr>
            <w:tcW w:w="5" w:type="pct"/>
            <w:vAlign w:val="center"/>
            <w:hideMark/>
          </w:tcPr>
          <w:p w14:paraId="026CA2D9" w14:textId="77777777" w:rsidR="00000000" w:rsidRDefault="00405D16">
            <w:pPr>
              <w:spacing w:after="100"/>
              <w:rPr>
                <w:rFonts w:eastAsia="Times New Roman"/>
                <w:sz w:val="20"/>
                <w:szCs w:val="20"/>
              </w:rPr>
            </w:pPr>
          </w:p>
        </w:tc>
      </w:tr>
      <w:tr w:rsidR="00000000" w14:paraId="5BBD0A5E" w14:textId="77777777">
        <w:trPr>
          <w:divId w:val="40711176"/>
        </w:trPr>
        <w:tc>
          <w:tcPr>
            <w:tcW w:w="0" w:type="auto"/>
            <w:gridSpan w:val="3"/>
            <w:tcMar>
              <w:top w:w="30" w:type="dxa"/>
              <w:left w:w="155" w:type="dxa"/>
              <w:bottom w:w="30" w:type="dxa"/>
              <w:right w:w="20" w:type="dxa"/>
            </w:tcMar>
            <w:vAlign w:val="bottom"/>
            <w:hideMark/>
          </w:tcPr>
          <w:p w14:paraId="28CF7CFB"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AFA6BDF" w14:textId="77777777" w:rsidR="00000000" w:rsidRDefault="00405D16">
            <w:pPr>
              <w:spacing w:after="100"/>
              <w:rPr>
                <w:rFonts w:eastAsia="Times New Roman"/>
              </w:rPr>
            </w:pPr>
          </w:p>
        </w:tc>
        <w:tc>
          <w:tcPr>
            <w:tcW w:w="0" w:type="auto"/>
            <w:gridSpan w:val="33"/>
            <w:tcMar>
              <w:top w:w="30" w:type="dxa"/>
              <w:left w:w="20" w:type="dxa"/>
              <w:bottom w:w="30" w:type="dxa"/>
              <w:right w:w="20" w:type="dxa"/>
            </w:tcMar>
            <w:vAlign w:val="bottom"/>
            <w:hideMark/>
          </w:tcPr>
          <w:p w14:paraId="340916D0" w14:textId="77777777" w:rsidR="00000000" w:rsidRDefault="00405D16">
            <w:pPr>
              <w:spacing w:after="100"/>
              <w:jc w:val="center"/>
              <w:rPr>
                <w:rFonts w:eastAsia="Times New Roman"/>
              </w:rPr>
            </w:pPr>
            <w:r>
              <w:rPr>
                <w:rFonts w:eastAsia="Times New Roman"/>
                <w:b/>
                <w:bCs/>
                <w:color w:val="000000"/>
                <w:sz w:val="16"/>
                <w:szCs w:val="16"/>
              </w:rPr>
              <w:t>September 30, 2021</w:t>
            </w:r>
          </w:p>
        </w:tc>
      </w:tr>
      <w:tr w:rsidR="00000000" w14:paraId="2D23D137" w14:textId="77777777">
        <w:trPr>
          <w:divId w:val="40711176"/>
        </w:trPr>
        <w:tc>
          <w:tcPr>
            <w:tcW w:w="0" w:type="auto"/>
            <w:gridSpan w:val="3"/>
            <w:tcMar>
              <w:top w:w="0" w:type="dxa"/>
              <w:left w:w="20" w:type="dxa"/>
              <w:bottom w:w="0" w:type="dxa"/>
              <w:right w:w="20" w:type="dxa"/>
            </w:tcMar>
            <w:vAlign w:val="center"/>
            <w:hideMark/>
          </w:tcPr>
          <w:p w14:paraId="7E43AC0F" w14:textId="77777777" w:rsidR="00000000" w:rsidRDefault="00405D1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52CBB95"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024E79F"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2D683D9" w14:textId="77777777" w:rsidR="00000000" w:rsidRDefault="00405D16">
            <w:pPr>
              <w:spacing w:after="100"/>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14:paraId="3A8CE171" w14:textId="77777777" w:rsidR="00000000" w:rsidRDefault="00405D16">
            <w:pPr>
              <w:spacing w:after="100"/>
              <w:jc w:val="center"/>
              <w:rPr>
                <w:rFonts w:eastAsia="Times New Roman"/>
              </w:rPr>
            </w:pPr>
            <w:r>
              <w:rPr>
                <w:rFonts w:eastAsia="Times New Roman"/>
                <w:b/>
                <w:bCs/>
                <w:color w:val="000000"/>
                <w:sz w:val="16"/>
                <w:szCs w:val="16"/>
              </w:rPr>
              <w:t>Delinquent Loans</w:t>
            </w:r>
          </w:p>
        </w:tc>
        <w:tc>
          <w:tcPr>
            <w:tcW w:w="0" w:type="auto"/>
            <w:gridSpan w:val="3"/>
            <w:tcBorders>
              <w:top w:val="single" w:sz="8" w:space="0" w:color="000000"/>
            </w:tcBorders>
            <w:tcMar>
              <w:top w:w="0" w:type="dxa"/>
              <w:left w:w="20" w:type="dxa"/>
              <w:bottom w:w="0" w:type="dxa"/>
              <w:right w:w="20" w:type="dxa"/>
            </w:tcMar>
            <w:vAlign w:val="center"/>
            <w:hideMark/>
          </w:tcPr>
          <w:p w14:paraId="49B17C13" w14:textId="77777777" w:rsidR="00000000" w:rsidRDefault="00405D16">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38F1BE71" w14:textId="77777777" w:rsidR="00000000" w:rsidRDefault="00405D16">
            <w:pPr>
              <w:spacing w:after="100"/>
              <w:rPr>
                <w:rFonts w:eastAsia="Times New Roman"/>
                <w:sz w:val="20"/>
                <w:szCs w:val="20"/>
              </w:rPr>
            </w:pPr>
          </w:p>
        </w:tc>
      </w:tr>
      <w:tr w:rsidR="00000000" w14:paraId="2CCCD573" w14:textId="77777777">
        <w:trPr>
          <w:divId w:val="40711176"/>
        </w:trPr>
        <w:tc>
          <w:tcPr>
            <w:tcW w:w="0" w:type="auto"/>
            <w:gridSpan w:val="3"/>
            <w:tcMar>
              <w:top w:w="30" w:type="dxa"/>
              <w:left w:w="20" w:type="dxa"/>
              <w:bottom w:w="30" w:type="dxa"/>
              <w:right w:w="20" w:type="dxa"/>
            </w:tcMar>
            <w:vAlign w:val="bottom"/>
            <w:hideMark/>
          </w:tcPr>
          <w:p w14:paraId="521DEE7D"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61532480" w14:textId="77777777" w:rsidR="00000000" w:rsidRDefault="00405D16">
            <w:pPr>
              <w:spacing w:after="100"/>
              <w:rPr>
                <w:rFonts w:eastAsia="Times New Roman"/>
              </w:rPr>
            </w:pPr>
          </w:p>
        </w:tc>
        <w:tc>
          <w:tcPr>
            <w:tcW w:w="0" w:type="auto"/>
            <w:gridSpan w:val="3"/>
            <w:tcMar>
              <w:top w:w="30" w:type="dxa"/>
              <w:left w:w="20" w:type="dxa"/>
              <w:bottom w:w="30" w:type="dxa"/>
              <w:right w:w="20" w:type="dxa"/>
            </w:tcMar>
            <w:vAlign w:val="bottom"/>
            <w:hideMark/>
          </w:tcPr>
          <w:p w14:paraId="4DAC1C57" w14:textId="77777777" w:rsidR="00000000" w:rsidRDefault="00405D16">
            <w:pPr>
              <w:spacing w:after="100"/>
              <w:jc w:val="center"/>
              <w:rPr>
                <w:rFonts w:eastAsia="Times New Roman"/>
              </w:rPr>
            </w:pPr>
            <w:r>
              <w:rPr>
                <w:rFonts w:eastAsia="Times New Roman"/>
                <w:b/>
                <w:bCs/>
                <w:color w:val="000000"/>
                <w:sz w:val="16"/>
                <w:szCs w:val="16"/>
              </w:rPr>
              <w:t>Current</w:t>
            </w:r>
          </w:p>
        </w:tc>
        <w:tc>
          <w:tcPr>
            <w:tcW w:w="0" w:type="auto"/>
            <w:gridSpan w:val="3"/>
            <w:tcMar>
              <w:top w:w="0" w:type="dxa"/>
              <w:left w:w="20" w:type="dxa"/>
              <w:bottom w:w="0" w:type="dxa"/>
              <w:right w:w="20" w:type="dxa"/>
            </w:tcMar>
            <w:vAlign w:val="center"/>
            <w:hideMark/>
          </w:tcPr>
          <w:p w14:paraId="5EC80747"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ACC082F" w14:textId="77777777" w:rsidR="00000000" w:rsidRDefault="00405D16">
            <w:pPr>
              <w:spacing w:after="100"/>
              <w:jc w:val="center"/>
              <w:rPr>
                <w:rFonts w:eastAsia="Times New Roman"/>
              </w:rPr>
            </w:pPr>
            <w:r>
              <w:rPr>
                <w:rFonts w:eastAsia="Times New Roman"/>
                <w:b/>
                <w:bCs/>
                <w:color w:val="000000"/>
                <w:sz w:val="16"/>
                <w:szCs w:val="16"/>
              </w:rPr>
              <w:t>30-59</w:t>
            </w:r>
            <w:r>
              <w:rPr>
                <w:rFonts w:eastAsia="Times New Roman"/>
                <w:b/>
                <w:bCs/>
                <w:color w:val="000000"/>
                <w:sz w:val="16"/>
                <w:szCs w:val="16"/>
              </w:rPr>
              <w:br/>
              <w:t>Days</w:t>
            </w:r>
          </w:p>
        </w:tc>
        <w:tc>
          <w:tcPr>
            <w:tcW w:w="0" w:type="auto"/>
            <w:gridSpan w:val="3"/>
            <w:tcBorders>
              <w:top w:val="single" w:sz="8" w:space="0" w:color="000000"/>
            </w:tcBorders>
            <w:tcMar>
              <w:top w:w="0" w:type="dxa"/>
              <w:left w:w="20" w:type="dxa"/>
              <w:bottom w:w="0" w:type="dxa"/>
              <w:right w:w="20" w:type="dxa"/>
            </w:tcMar>
            <w:vAlign w:val="center"/>
            <w:hideMark/>
          </w:tcPr>
          <w:p w14:paraId="4062C14D"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79E72BA" w14:textId="77777777" w:rsidR="00000000" w:rsidRDefault="00405D16">
            <w:pPr>
              <w:spacing w:after="100"/>
              <w:jc w:val="center"/>
              <w:rPr>
                <w:rFonts w:eastAsia="Times New Roman"/>
              </w:rPr>
            </w:pPr>
            <w:r>
              <w:rPr>
                <w:rFonts w:eastAsia="Times New Roman"/>
                <w:b/>
                <w:bCs/>
                <w:color w:val="000000"/>
                <w:sz w:val="16"/>
                <w:szCs w:val="16"/>
              </w:rPr>
              <w:t>60-89</w:t>
            </w:r>
            <w:r>
              <w:rPr>
                <w:rFonts w:eastAsia="Times New Roman"/>
                <w:b/>
                <w:bCs/>
                <w:color w:val="000000"/>
                <w:sz w:val="16"/>
                <w:szCs w:val="16"/>
              </w:rPr>
              <w:br/>
              <w:t>Days</w:t>
            </w:r>
          </w:p>
        </w:tc>
        <w:tc>
          <w:tcPr>
            <w:tcW w:w="0" w:type="auto"/>
            <w:gridSpan w:val="3"/>
            <w:tcBorders>
              <w:top w:val="single" w:sz="8" w:space="0" w:color="000000"/>
            </w:tcBorders>
            <w:tcMar>
              <w:top w:w="0" w:type="dxa"/>
              <w:left w:w="20" w:type="dxa"/>
              <w:bottom w:w="0" w:type="dxa"/>
              <w:right w:w="20" w:type="dxa"/>
            </w:tcMar>
            <w:vAlign w:val="center"/>
            <w:hideMark/>
          </w:tcPr>
          <w:p w14:paraId="04A4158D"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5DB7CBE" w14:textId="77777777" w:rsidR="00000000" w:rsidRDefault="00405D16">
            <w:pPr>
              <w:spacing w:after="100"/>
              <w:jc w:val="center"/>
              <w:rPr>
                <w:rFonts w:eastAsia="Times New Roman"/>
              </w:rPr>
            </w:pPr>
            <w:r>
              <w:rPr>
                <w:rFonts w:eastAsia="Times New Roman"/>
                <w:b/>
                <w:bCs/>
                <w:color w:val="000000"/>
                <w:sz w:val="16"/>
                <w:szCs w:val="16"/>
                <w:u w:val="single"/>
              </w:rPr>
              <w:t>&gt;</w:t>
            </w:r>
            <w:r>
              <w:rPr>
                <w:rFonts w:eastAsia="Times New Roman"/>
                <w:b/>
                <w:bCs/>
                <w:color w:val="000000"/>
                <w:sz w:val="16"/>
                <w:szCs w:val="16"/>
              </w:rPr>
              <w:t xml:space="preserve"> 90</w:t>
            </w:r>
          </w:p>
          <w:p w14:paraId="704D598A" w14:textId="77777777" w:rsidR="00000000" w:rsidRDefault="00405D16">
            <w:pPr>
              <w:spacing w:after="100"/>
              <w:jc w:val="center"/>
              <w:rPr>
                <w:rFonts w:eastAsia="Times New Roman"/>
              </w:rPr>
            </w:pPr>
            <w:r>
              <w:rPr>
                <w:rFonts w:eastAsia="Times New Roman"/>
                <w:b/>
                <w:bCs/>
                <w:color w:val="000000"/>
                <w:sz w:val="16"/>
                <w:szCs w:val="16"/>
              </w:rPr>
              <w:t>Days</w:t>
            </w:r>
          </w:p>
        </w:tc>
        <w:tc>
          <w:tcPr>
            <w:tcW w:w="0" w:type="auto"/>
            <w:gridSpan w:val="3"/>
            <w:tcBorders>
              <w:top w:val="single" w:sz="8" w:space="0" w:color="000000"/>
            </w:tcBorders>
            <w:tcMar>
              <w:top w:w="0" w:type="dxa"/>
              <w:left w:w="20" w:type="dxa"/>
              <w:bottom w:w="0" w:type="dxa"/>
              <w:right w:w="20" w:type="dxa"/>
            </w:tcMar>
            <w:vAlign w:val="center"/>
            <w:hideMark/>
          </w:tcPr>
          <w:p w14:paraId="6270FF23"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3F8D33C" w14:textId="77777777" w:rsidR="00000000" w:rsidRDefault="00405D16">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Delinquent</w:t>
            </w:r>
            <w:r>
              <w:rPr>
                <w:rFonts w:eastAsia="Times New Roman"/>
                <w:b/>
                <w:bCs/>
                <w:color w:val="000000"/>
                <w:sz w:val="16"/>
                <w:szCs w:val="16"/>
              </w:rPr>
              <w:br/>
              <w:t>Loans</w:t>
            </w:r>
          </w:p>
        </w:tc>
        <w:tc>
          <w:tcPr>
            <w:tcW w:w="0" w:type="auto"/>
            <w:gridSpan w:val="3"/>
            <w:tcMar>
              <w:top w:w="0" w:type="dxa"/>
              <w:left w:w="20" w:type="dxa"/>
              <w:bottom w:w="0" w:type="dxa"/>
              <w:right w:w="20" w:type="dxa"/>
            </w:tcMar>
            <w:vAlign w:val="center"/>
            <w:hideMark/>
          </w:tcPr>
          <w:p w14:paraId="1BCC5F65"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A745AD2" w14:textId="77777777" w:rsidR="00000000" w:rsidRDefault="00405D16">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Loans</w:t>
            </w:r>
          </w:p>
        </w:tc>
      </w:tr>
      <w:tr w:rsidR="00000000" w14:paraId="4B241276" w14:textId="77777777">
        <w:trPr>
          <w:divId w:val="4071117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925683B" w14:textId="77777777" w:rsidR="00000000" w:rsidRDefault="00405D16">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14:paraId="3B1C75E7"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E3E9E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91D5C1"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4C230D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D89F3F"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961E00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DBF922"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3F1549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47B48B"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5E62A7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F7D559"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3C08110" w14:textId="77777777" w:rsidR="00000000" w:rsidRDefault="00405D16">
            <w:pPr>
              <w:spacing w:after="100"/>
              <w:rPr>
                <w:rFonts w:eastAsia="Times New Roman"/>
                <w:sz w:val="20"/>
                <w:szCs w:val="20"/>
              </w:rPr>
            </w:pPr>
          </w:p>
        </w:tc>
      </w:tr>
      <w:tr w:rsidR="00000000" w14:paraId="3D7201C7" w14:textId="77777777">
        <w:trPr>
          <w:divId w:val="40711176"/>
        </w:trPr>
        <w:tc>
          <w:tcPr>
            <w:tcW w:w="0" w:type="auto"/>
            <w:gridSpan w:val="3"/>
            <w:shd w:val="clear" w:color="auto" w:fill="FFFFFF"/>
            <w:tcMar>
              <w:top w:w="30" w:type="dxa"/>
              <w:left w:w="245" w:type="dxa"/>
              <w:bottom w:w="30" w:type="dxa"/>
              <w:right w:w="20" w:type="dxa"/>
            </w:tcMar>
            <w:vAlign w:val="center"/>
            <w:hideMark/>
          </w:tcPr>
          <w:p w14:paraId="41E515EE" w14:textId="77777777" w:rsidR="00000000" w:rsidRDefault="00405D16">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14:paraId="0C8715DE"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355EA749"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0B4479DC" w14:textId="77777777" w:rsidR="00000000" w:rsidRDefault="00405D16">
            <w:pPr>
              <w:spacing w:after="100"/>
              <w:jc w:val="right"/>
              <w:rPr>
                <w:rFonts w:eastAsia="Times New Roman"/>
              </w:rPr>
            </w:pPr>
            <w:r>
              <w:rPr>
                <w:rFonts w:eastAsia="Times New Roman"/>
                <w:b/>
                <w:bCs/>
                <w:color w:val="000000"/>
                <w:sz w:val="18"/>
                <w:szCs w:val="18"/>
              </w:rPr>
              <w:t>97,346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D03945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5E6F8C"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AEA3290"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65A29CF2" w14:textId="77777777" w:rsidR="00000000" w:rsidRDefault="00405D16">
            <w:pPr>
              <w:spacing w:after="100"/>
              <w:jc w:val="right"/>
              <w:rPr>
                <w:rFonts w:eastAsia="Times New Roman"/>
              </w:rPr>
            </w:pPr>
            <w:r>
              <w:rPr>
                <w:rFonts w:eastAsia="Times New Roman"/>
                <w:b/>
                <w:bCs/>
                <w:color w:val="000000"/>
                <w:sz w:val="18"/>
                <w:szCs w:val="18"/>
              </w:rPr>
              <w:t>646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A6BD99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864780"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871B956"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6DE00F27" w14:textId="77777777" w:rsidR="00000000" w:rsidRDefault="00405D16">
            <w:pPr>
              <w:spacing w:after="100"/>
              <w:jc w:val="right"/>
              <w:rPr>
                <w:rFonts w:eastAsia="Times New Roman"/>
              </w:rPr>
            </w:pPr>
            <w:r>
              <w:rPr>
                <w:rFonts w:eastAsia="Times New Roman"/>
                <w:b/>
                <w:bCs/>
                <w:color w:val="000000"/>
                <w:sz w:val="18"/>
                <w:szCs w:val="18"/>
              </w:rPr>
              <w:t>425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7B22F1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C69E18"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3ABAC6C"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1C02A3CC" w14:textId="77777777" w:rsidR="00000000" w:rsidRDefault="00405D16">
            <w:pPr>
              <w:spacing w:after="100"/>
              <w:jc w:val="right"/>
              <w:rPr>
                <w:rFonts w:eastAsia="Times New Roman"/>
              </w:rPr>
            </w:pPr>
            <w:r>
              <w:rPr>
                <w:rFonts w:eastAsia="Times New Roman"/>
                <w:b/>
                <w:bCs/>
                <w:color w:val="000000"/>
                <w:sz w:val="18"/>
                <w:szCs w:val="18"/>
              </w:rPr>
              <w:t>841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C5286A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0386D5"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3588A00"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16B2D5C7" w14:textId="77777777" w:rsidR="00000000" w:rsidRDefault="00405D16">
            <w:pPr>
              <w:spacing w:after="100"/>
              <w:jc w:val="right"/>
              <w:rPr>
                <w:rFonts w:eastAsia="Times New Roman"/>
              </w:rPr>
            </w:pPr>
            <w:r>
              <w:rPr>
                <w:rFonts w:eastAsia="Times New Roman"/>
                <w:b/>
                <w:bCs/>
                <w:color w:val="000000"/>
                <w:sz w:val="18"/>
                <w:szCs w:val="18"/>
              </w:rPr>
              <w:t>1,912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5BFFA7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F8E33B"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731F7CB"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12FC0AC7" w14:textId="77777777" w:rsidR="00000000" w:rsidRDefault="00405D16">
            <w:pPr>
              <w:spacing w:after="100"/>
              <w:jc w:val="right"/>
              <w:rPr>
                <w:rFonts w:eastAsia="Times New Roman"/>
              </w:rPr>
            </w:pPr>
            <w:r>
              <w:rPr>
                <w:rFonts w:eastAsia="Times New Roman"/>
                <w:b/>
                <w:bCs/>
                <w:color w:val="000000"/>
                <w:sz w:val="18"/>
                <w:szCs w:val="18"/>
              </w:rPr>
              <w:t>99,258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A363A93" w14:textId="77777777" w:rsidR="00000000" w:rsidRDefault="00405D16">
            <w:pPr>
              <w:spacing w:after="100"/>
              <w:jc w:val="right"/>
              <w:rPr>
                <w:rFonts w:eastAsia="Times New Roman"/>
              </w:rPr>
            </w:pPr>
          </w:p>
        </w:tc>
      </w:tr>
      <w:tr w:rsidR="00000000" w14:paraId="56D833BD" w14:textId="77777777">
        <w:trPr>
          <w:divId w:val="40711176"/>
        </w:trPr>
        <w:tc>
          <w:tcPr>
            <w:tcW w:w="0" w:type="auto"/>
            <w:gridSpan w:val="3"/>
            <w:shd w:val="clear" w:color="auto" w:fill="CCEEFF"/>
            <w:tcMar>
              <w:top w:w="30" w:type="dxa"/>
              <w:left w:w="245" w:type="dxa"/>
              <w:bottom w:w="30" w:type="dxa"/>
              <w:right w:w="20" w:type="dxa"/>
            </w:tcMar>
            <w:vAlign w:val="center"/>
            <w:hideMark/>
          </w:tcPr>
          <w:p w14:paraId="59BB0A1B" w14:textId="77777777" w:rsidR="00000000" w:rsidRDefault="00405D16">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14:paraId="777F8D57"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35E3325" w14:textId="77777777" w:rsidR="00000000" w:rsidRDefault="00405D16">
            <w:pPr>
              <w:spacing w:after="100"/>
              <w:jc w:val="right"/>
              <w:rPr>
                <w:rFonts w:eastAsia="Times New Roman"/>
              </w:rPr>
            </w:pPr>
            <w:r>
              <w:rPr>
                <w:rFonts w:eastAsia="Times New Roman"/>
                <w:b/>
                <w:bCs/>
                <w:color w:val="000000"/>
                <w:sz w:val="18"/>
                <w:szCs w:val="18"/>
              </w:rPr>
              <w:t>5,579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FDD0C0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24211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157AFE" w14:textId="77777777" w:rsidR="00000000" w:rsidRDefault="00405D16">
            <w:pPr>
              <w:spacing w:after="100"/>
              <w:jc w:val="right"/>
              <w:rPr>
                <w:rFonts w:eastAsia="Times New Roman"/>
              </w:rPr>
            </w:pPr>
            <w:r>
              <w:rPr>
                <w:rFonts w:eastAsia="Times New Roman"/>
                <w:b/>
                <w:bCs/>
                <w:color w:val="000000"/>
                <w:sz w:val="18"/>
                <w:szCs w:val="18"/>
              </w:rPr>
              <w:t>72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21C38B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B99C0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A38BA3" w14:textId="77777777" w:rsidR="00000000" w:rsidRDefault="00405D16">
            <w:pPr>
              <w:spacing w:after="100"/>
              <w:jc w:val="right"/>
              <w:rPr>
                <w:rFonts w:eastAsia="Times New Roman"/>
              </w:rPr>
            </w:pPr>
            <w:r>
              <w:rPr>
                <w:rFonts w:eastAsia="Times New Roman"/>
                <w:b/>
                <w:bCs/>
                <w:color w:val="000000"/>
                <w:sz w:val="18"/>
                <w:szCs w:val="18"/>
              </w:rPr>
              <w:t>45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330D6E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B19BA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AD7557" w14:textId="77777777" w:rsidR="00000000" w:rsidRDefault="00405D16">
            <w:pPr>
              <w:spacing w:after="100"/>
              <w:jc w:val="right"/>
              <w:rPr>
                <w:rFonts w:eastAsia="Times New Roman"/>
              </w:rPr>
            </w:pPr>
            <w:r>
              <w:rPr>
                <w:rFonts w:eastAsia="Times New Roman"/>
                <w:b/>
                <w:bCs/>
                <w:color w:val="000000"/>
                <w:sz w:val="18"/>
                <w:szCs w:val="18"/>
              </w:rPr>
              <w:t>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C7B675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39560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A6B632" w14:textId="77777777" w:rsidR="00000000" w:rsidRDefault="00405D16">
            <w:pPr>
              <w:spacing w:after="100"/>
              <w:jc w:val="right"/>
              <w:rPr>
                <w:rFonts w:eastAsia="Times New Roman"/>
              </w:rPr>
            </w:pPr>
            <w:r>
              <w:rPr>
                <w:rFonts w:eastAsia="Times New Roman"/>
                <w:b/>
                <w:bCs/>
                <w:color w:val="000000"/>
                <w:sz w:val="18"/>
                <w:szCs w:val="18"/>
              </w:rPr>
              <w:t>193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DA8599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82670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B82C18" w14:textId="77777777" w:rsidR="00000000" w:rsidRDefault="00405D16">
            <w:pPr>
              <w:spacing w:after="100"/>
              <w:jc w:val="right"/>
              <w:rPr>
                <w:rFonts w:eastAsia="Times New Roman"/>
              </w:rPr>
            </w:pPr>
            <w:r>
              <w:rPr>
                <w:rFonts w:eastAsia="Times New Roman"/>
                <w:b/>
                <w:bCs/>
                <w:color w:val="000000"/>
                <w:sz w:val="18"/>
                <w:szCs w:val="18"/>
              </w:rPr>
              <w:t>5,772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38094C5" w14:textId="77777777" w:rsidR="00000000" w:rsidRDefault="00405D16">
            <w:pPr>
              <w:spacing w:after="100"/>
              <w:jc w:val="right"/>
              <w:rPr>
                <w:rFonts w:eastAsia="Times New Roman"/>
              </w:rPr>
            </w:pPr>
          </w:p>
        </w:tc>
      </w:tr>
      <w:tr w:rsidR="00000000" w14:paraId="546BF516" w14:textId="77777777">
        <w:trPr>
          <w:divId w:val="40711176"/>
        </w:trPr>
        <w:tc>
          <w:tcPr>
            <w:tcW w:w="0" w:type="auto"/>
            <w:gridSpan w:val="3"/>
            <w:shd w:val="clear" w:color="auto" w:fill="FFFFFF"/>
            <w:tcMar>
              <w:top w:w="30" w:type="dxa"/>
              <w:left w:w="20" w:type="dxa"/>
              <w:bottom w:w="30" w:type="dxa"/>
              <w:right w:w="20" w:type="dxa"/>
            </w:tcMar>
            <w:vAlign w:val="center"/>
            <w:hideMark/>
          </w:tcPr>
          <w:p w14:paraId="3F45C243" w14:textId="77777777" w:rsidR="00000000" w:rsidRDefault="00405D16">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14:paraId="723A4DB1"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1C378D6" w14:textId="77777777" w:rsidR="00000000" w:rsidRDefault="00405D16">
            <w:pPr>
              <w:spacing w:after="100"/>
              <w:jc w:val="right"/>
              <w:rPr>
                <w:rFonts w:eastAsia="Times New Roman"/>
              </w:rPr>
            </w:pPr>
            <w:r>
              <w:rPr>
                <w:rFonts w:eastAsia="Times New Roman"/>
                <w:b/>
                <w:bCs/>
                <w:color w:val="000000"/>
                <w:sz w:val="18"/>
                <w:szCs w:val="18"/>
              </w:rPr>
              <w:t>102,925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2FF753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3FD5A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4F372DC" w14:textId="77777777" w:rsidR="00000000" w:rsidRDefault="00405D16">
            <w:pPr>
              <w:spacing w:after="100"/>
              <w:jc w:val="right"/>
              <w:rPr>
                <w:rFonts w:eastAsia="Times New Roman"/>
              </w:rPr>
            </w:pPr>
            <w:r>
              <w:rPr>
                <w:rFonts w:eastAsia="Times New Roman"/>
                <w:b/>
                <w:bCs/>
                <w:color w:val="000000"/>
                <w:sz w:val="18"/>
                <w:szCs w:val="18"/>
              </w:rPr>
              <w:t>718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A8A259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D09FCB"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E8F007D" w14:textId="77777777" w:rsidR="00000000" w:rsidRDefault="00405D16">
            <w:pPr>
              <w:spacing w:after="100"/>
              <w:jc w:val="right"/>
              <w:rPr>
                <w:rFonts w:eastAsia="Times New Roman"/>
              </w:rPr>
            </w:pPr>
            <w:r>
              <w:rPr>
                <w:rFonts w:eastAsia="Times New Roman"/>
                <w:b/>
                <w:bCs/>
                <w:color w:val="000000"/>
                <w:sz w:val="18"/>
                <w:szCs w:val="18"/>
              </w:rPr>
              <w:t>470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F12C22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AE5C9C"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523805F" w14:textId="77777777" w:rsidR="00000000" w:rsidRDefault="00405D16">
            <w:pPr>
              <w:spacing w:after="100"/>
              <w:jc w:val="right"/>
              <w:rPr>
                <w:rFonts w:eastAsia="Times New Roman"/>
              </w:rPr>
            </w:pPr>
            <w:r>
              <w:rPr>
                <w:rFonts w:eastAsia="Times New Roman"/>
                <w:b/>
                <w:bCs/>
                <w:color w:val="000000"/>
                <w:sz w:val="18"/>
                <w:szCs w:val="18"/>
              </w:rPr>
              <w:t>917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E00A31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7D7661"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D335CF3" w14:textId="77777777" w:rsidR="00000000" w:rsidRDefault="00405D16">
            <w:pPr>
              <w:spacing w:after="100"/>
              <w:jc w:val="right"/>
              <w:rPr>
                <w:rFonts w:eastAsia="Times New Roman"/>
              </w:rPr>
            </w:pPr>
            <w:r>
              <w:rPr>
                <w:rFonts w:eastAsia="Times New Roman"/>
                <w:b/>
                <w:bCs/>
                <w:color w:val="000000"/>
                <w:sz w:val="18"/>
                <w:szCs w:val="18"/>
              </w:rPr>
              <w:t>2,105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681BDE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5F28C7"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FAC164F" w14:textId="77777777" w:rsidR="00000000" w:rsidRDefault="00405D16">
            <w:pPr>
              <w:spacing w:after="100"/>
              <w:jc w:val="right"/>
              <w:rPr>
                <w:rFonts w:eastAsia="Times New Roman"/>
              </w:rPr>
            </w:pPr>
            <w:r>
              <w:rPr>
                <w:rFonts w:eastAsia="Times New Roman"/>
                <w:b/>
                <w:bCs/>
                <w:color w:val="000000"/>
                <w:sz w:val="18"/>
                <w:szCs w:val="18"/>
              </w:rPr>
              <w:t>105,030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7E0C180" w14:textId="77777777" w:rsidR="00000000" w:rsidRDefault="00405D16">
            <w:pPr>
              <w:spacing w:after="100"/>
              <w:jc w:val="right"/>
              <w:rPr>
                <w:rFonts w:eastAsia="Times New Roman"/>
              </w:rPr>
            </w:pPr>
          </w:p>
        </w:tc>
      </w:tr>
      <w:tr w:rsidR="00000000" w14:paraId="50DC1BAA" w14:textId="77777777">
        <w:trPr>
          <w:divId w:val="40711176"/>
        </w:trPr>
        <w:tc>
          <w:tcPr>
            <w:tcW w:w="0" w:type="auto"/>
            <w:gridSpan w:val="3"/>
            <w:shd w:val="clear" w:color="auto" w:fill="CCEEFF"/>
            <w:tcMar>
              <w:top w:w="30" w:type="dxa"/>
              <w:left w:w="20" w:type="dxa"/>
              <w:bottom w:w="30" w:type="dxa"/>
              <w:right w:w="20" w:type="dxa"/>
            </w:tcMar>
            <w:vAlign w:val="center"/>
            <w:hideMark/>
          </w:tcPr>
          <w:p w14:paraId="4CA61F90" w14:textId="77777777" w:rsidR="00000000" w:rsidRDefault="00405D16">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14:paraId="1C15B799"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8312BB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670217"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7C81AC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B8FA45"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D66141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1C9257"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326D61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EF286F"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EF25E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8D16BC"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4ADF6A5" w14:textId="77777777" w:rsidR="00000000" w:rsidRDefault="00405D16">
            <w:pPr>
              <w:spacing w:after="100"/>
              <w:rPr>
                <w:rFonts w:eastAsia="Times New Roman"/>
                <w:sz w:val="20"/>
                <w:szCs w:val="20"/>
              </w:rPr>
            </w:pPr>
          </w:p>
        </w:tc>
      </w:tr>
      <w:tr w:rsidR="00000000" w14:paraId="73405945" w14:textId="77777777">
        <w:trPr>
          <w:divId w:val="40711176"/>
        </w:trPr>
        <w:tc>
          <w:tcPr>
            <w:tcW w:w="0" w:type="auto"/>
            <w:gridSpan w:val="3"/>
            <w:shd w:val="clear" w:color="auto" w:fill="FFFFFF"/>
            <w:tcMar>
              <w:top w:w="30" w:type="dxa"/>
              <w:left w:w="245" w:type="dxa"/>
              <w:bottom w:w="30" w:type="dxa"/>
              <w:right w:w="20" w:type="dxa"/>
            </w:tcMar>
            <w:vAlign w:val="center"/>
            <w:hideMark/>
          </w:tcPr>
          <w:p w14:paraId="271E2F30" w14:textId="77777777" w:rsidR="00000000" w:rsidRDefault="00405D16">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14:paraId="4C050387"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76529A2" w14:textId="77777777" w:rsidR="00000000" w:rsidRDefault="00405D16">
            <w:pPr>
              <w:spacing w:after="100"/>
              <w:jc w:val="right"/>
              <w:rPr>
                <w:rFonts w:eastAsia="Times New Roman"/>
              </w:rPr>
            </w:pPr>
            <w:r>
              <w:rPr>
                <w:rFonts w:eastAsia="Times New Roman"/>
                <w:b/>
                <w:bCs/>
                <w:color w:val="000000"/>
                <w:sz w:val="18"/>
                <w:szCs w:val="18"/>
              </w:rPr>
              <w:t>71,770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EFB12A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07729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5C44102" w14:textId="77777777" w:rsidR="00000000" w:rsidRDefault="00405D16">
            <w:pPr>
              <w:spacing w:after="100"/>
              <w:jc w:val="right"/>
              <w:rPr>
                <w:rFonts w:eastAsia="Times New Roman"/>
              </w:rPr>
            </w:pPr>
            <w:r>
              <w:rPr>
                <w:rFonts w:eastAsia="Times New Roman"/>
                <w:b/>
                <w:bCs/>
                <w:color w:val="000000"/>
                <w:sz w:val="18"/>
                <w:szCs w:val="18"/>
              </w:rPr>
              <w:t>1,996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4FEB30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262B6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55CF90A" w14:textId="77777777" w:rsidR="00000000" w:rsidRDefault="00405D16">
            <w:pPr>
              <w:spacing w:after="100"/>
              <w:jc w:val="right"/>
              <w:rPr>
                <w:rFonts w:eastAsia="Times New Roman"/>
              </w:rPr>
            </w:pPr>
            <w:r>
              <w:rPr>
                <w:rFonts w:eastAsia="Times New Roman"/>
                <w:b/>
                <w:bCs/>
                <w:color w:val="000000"/>
                <w:sz w:val="18"/>
                <w:szCs w:val="18"/>
              </w:rPr>
              <w:t>769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ACA96C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0809B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469AA1E" w14:textId="77777777" w:rsidR="00000000" w:rsidRDefault="00405D16">
            <w:pPr>
              <w:spacing w:after="100"/>
              <w:jc w:val="right"/>
              <w:rPr>
                <w:rFonts w:eastAsia="Times New Roman"/>
              </w:rPr>
            </w:pPr>
            <w:r>
              <w:rPr>
                <w:rFonts w:eastAsia="Times New Roman"/>
                <w:b/>
                <w:bCs/>
                <w:color w:val="000000"/>
                <w:sz w:val="18"/>
                <w:szCs w:val="18"/>
              </w:rPr>
              <w:t>181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4B0054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C87B5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92FC78A" w14:textId="77777777" w:rsidR="00000000" w:rsidRDefault="00405D16">
            <w:pPr>
              <w:spacing w:after="100"/>
              <w:jc w:val="right"/>
              <w:rPr>
                <w:rFonts w:eastAsia="Times New Roman"/>
              </w:rPr>
            </w:pPr>
            <w:r>
              <w:rPr>
                <w:rFonts w:eastAsia="Times New Roman"/>
                <w:b/>
                <w:bCs/>
                <w:color w:val="000000"/>
                <w:sz w:val="18"/>
                <w:szCs w:val="18"/>
              </w:rPr>
              <w:t>2,946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906CF6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4E725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D852CA0" w14:textId="77777777" w:rsidR="00000000" w:rsidRDefault="00405D16">
            <w:pPr>
              <w:spacing w:after="100"/>
              <w:jc w:val="right"/>
              <w:rPr>
                <w:rFonts w:eastAsia="Times New Roman"/>
              </w:rPr>
            </w:pPr>
            <w:r>
              <w:rPr>
                <w:rFonts w:eastAsia="Times New Roman"/>
                <w:b/>
                <w:bCs/>
                <w:color w:val="000000"/>
                <w:sz w:val="18"/>
                <w:szCs w:val="18"/>
              </w:rPr>
              <w:t>74,716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90DD8BC" w14:textId="77777777" w:rsidR="00000000" w:rsidRDefault="00405D16">
            <w:pPr>
              <w:spacing w:after="100"/>
              <w:jc w:val="right"/>
              <w:rPr>
                <w:rFonts w:eastAsia="Times New Roman"/>
              </w:rPr>
            </w:pPr>
          </w:p>
        </w:tc>
      </w:tr>
      <w:tr w:rsidR="00000000" w14:paraId="1C12227A" w14:textId="77777777">
        <w:trPr>
          <w:divId w:val="40711176"/>
        </w:trPr>
        <w:tc>
          <w:tcPr>
            <w:tcW w:w="0" w:type="auto"/>
            <w:gridSpan w:val="3"/>
            <w:shd w:val="clear" w:color="auto" w:fill="CCEEFF"/>
            <w:tcMar>
              <w:top w:w="30" w:type="dxa"/>
              <w:left w:w="245" w:type="dxa"/>
              <w:bottom w:w="30" w:type="dxa"/>
              <w:right w:w="20" w:type="dxa"/>
            </w:tcMar>
            <w:vAlign w:val="center"/>
            <w:hideMark/>
          </w:tcPr>
          <w:p w14:paraId="06AD9605" w14:textId="77777777" w:rsidR="00000000" w:rsidRDefault="00405D16">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14:paraId="4C60EB4C"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D2FA644" w14:textId="77777777" w:rsidR="00000000" w:rsidRDefault="00405D16">
            <w:pPr>
              <w:spacing w:after="100"/>
              <w:jc w:val="right"/>
              <w:rPr>
                <w:rFonts w:eastAsia="Times New Roman"/>
              </w:rPr>
            </w:pPr>
            <w:r>
              <w:rPr>
                <w:rFonts w:eastAsia="Times New Roman"/>
                <w:b/>
                <w:bCs/>
                <w:color w:val="000000"/>
                <w:sz w:val="18"/>
                <w:szCs w:val="18"/>
              </w:rPr>
              <w:t>2,347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80A488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8C79D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12B2C69" w14:textId="77777777" w:rsidR="00000000" w:rsidRDefault="00405D16">
            <w:pPr>
              <w:spacing w:after="100"/>
              <w:jc w:val="right"/>
              <w:rPr>
                <w:rFonts w:eastAsia="Times New Roman"/>
              </w:rPr>
            </w:pPr>
            <w:r>
              <w:rPr>
                <w:rFonts w:eastAsia="Times New Roman"/>
                <w:b/>
                <w:bCs/>
                <w:color w:val="000000"/>
                <w:sz w:val="18"/>
                <w:szCs w:val="18"/>
              </w:rPr>
              <w:t>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053830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D55C1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A3A7D9A" w14:textId="77777777" w:rsidR="00000000" w:rsidRDefault="00405D16">
            <w:pPr>
              <w:spacing w:after="100"/>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0F14CF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229FA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F52E604" w14:textId="77777777" w:rsidR="00000000" w:rsidRDefault="00405D16">
            <w:pPr>
              <w:spacing w:after="100"/>
              <w:jc w:val="right"/>
              <w:rPr>
                <w:rFonts w:eastAsia="Times New Roman"/>
              </w:rPr>
            </w:pPr>
            <w:r>
              <w:rPr>
                <w:rFonts w:eastAsia="Times New Roman"/>
                <w:b/>
                <w:bCs/>
                <w:color w:val="000000"/>
                <w:sz w:val="18"/>
                <w:szCs w:val="18"/>
              </w:rPr>
              <w:t>18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A4EEAF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98D27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1CEAC59" w14:textId="77777777" w:rsidR="00000000" w:rsidRDefault="00405D16">
            <w:pPr>
              <w:spacing w:after="100"/>
              <w:jc w:val="right"/>
              <w:rPr>
                <w:rFonts w:eastAsia="Times New Roman"/>
              </w:rPr>
            </w:pPr>
            <w:r>
              <w:rPr>
                <w:rFonts w:eastAsia="Times New Roman"/>
                <w:b/>
                <w:bCs/>
                <w:color w:val="000000"/>
                <w:sz w:val="18"/>
                <w:szCs w:val="18"/>
              </w:rPr>
              <w:t>49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0B67DA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FED5F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2635951" w14:textId="77777777" w:rsidR="00000000" w:rsidRDefault="00405D16">
            <w:pPr>
              <w:spacing w:after="100"/>
              <w:jc w:val="right"/>
              <w:rPr>
                <w:rFonts w:eastAsia="Times New Roman"/>
              </w:rPr>
            </w:pPr>
            <w:r>
              <w:rPr>
                <w:rFonts w:eastAsia="Times New Roman"/>
                <w:b/>
                <w:bCs/>
                <w:color w:val="000000"/>
                <w:sz w:val="18"/>
                <w:szCs w:val="18"/>
              </w:rPr>
              <w:t>2,396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8666A8B" w14:textId="77777777" w:rsidR="00000000" w:rsidRDefault="00405D16">
            <w:pPr>
              <w:spacing w:after="100"/>
              <w:jc w:val="right"/>
              <w:rPr>
                <w:rFonts w:eastAsia="Times New Roman"/>
              </w:rPr>
            </w:pPr>
          </w:p>
        </w:tc>
      </w:tr>
      <w:tr w:rsidR="00000000" w14:paraId="6D66BD8B" w14:textId="77777777">
        <w:trPr>
          <w:divId w:val="40711176"/>
        </w:trPr>
        <w:tc>
          <w:tcPr>
            <w:tcW w:w="0" w:type="auto"/>
            <w:gridSpan w:val="3"/>
            <w:shd w:val="clear" w:color="auto" w:fill="FFFFFF"/>
            <w:tcMar>
              <w:top w:w="30" w:type="dxa"/>
              <w:left w:w="20" w:type="dxa"/>
              <w:bottom w:w="30" w:type="dxa"/>
              <w:right w:w="20" w:type="dxa"/>
            </w:tcMar>
            <w:vAlign w:val="center"/>
            <w:hideMark/>
          </w:tcPr>
          <w:p w14:paraId="7EC15CD6" w14:textId="77777777" w:rsidR="00000000" w:rsidRDefault="00405D16">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14:paraId="5B1378A0"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50767C5" w14:textId="77777777" w:rsidR="00000000" w:rsidRDefault="00405D16">
            <w:pPr>
              <w:spacing w:after="100"/>
              <w:jc w:val="right"/>
              <w:rPr>
                <w:rFonts w:eastAsia="Times New Roman"/>
              </w:rPr>
            </w:pPr>
            <w:r>
              <w:rPr>
                <w:rFonts w:eastAsia="Times New Roman"/>
                <w:b/>
                <w:bCs/>
                <w:color w:val="000000"/>
                <w:sz w:val="18"/>
                <w:szCs w:val="18"/>
              </w:rPr>
              <w:t>74,117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824BBA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3F82EF"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38EC411" w14:textId="77777777" w:rsidR="00000000" w:rsidRDefault="00405D16">
            <w:pPr>
              <w:spacing w:after="100"/>
              <w:jc w:val="right"/>
              <w:rPr>
                <w:rFonts w:eastAsia="Times New Roman"/>
              </w:rPr>
            </w:pPr>
            <w:r>
              <w:rPr>
                <w:rFonts w:eastAsia="Times New Roman"/>
                <w:b/>
                <w:bCs/>
                <w:color w:val="000000"/>
                <w:sz w:val="18"/>
                <w:szCs w:val="18"/>
              </w:rPr>
              <w:t>2,022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704B7A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07A9E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00E3ADE" w14:textId="77777777" w:rsidR="00000000" w:rsidRDefault="00405D16">
            <w:pPr>
              <w:spacing w:after="100"/>
              <w:jc w:val="right"/>
              <w:rPr>
                <w:rFonts w:eastAsia="Times New Roman"/>
              </w:rPr>
            </w:pPr>
            <w:r>
              <w:rPr>
                <w:rFonts w:eastAsia="Times New Roman"/>
                <w:b/>
                <w:bCs/>
                <w:color w:val="000000"/>
                <w:sz w:val="18"/>
                <w:szCs w:val="18"/>
              </w:rPr>
              <w:t>774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CF52DB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E7A1D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5399A24" w14:textId="77777777" w:rsidR="00000000" w:rsidRDefault="00405D16">
            <w:pPr>
              <w:spacing w:after="100"/>
              <w:jc w:val="right"/>
              <w:rPr>
                <w:rFonts w:eastAsia="Times New Roman"/>
              </w:rPr>
            </w:pPr>
            <w:r>
              <w:rPr>
                <w:rFonts w:eastAsia="Times New Roman"/>
                <w:b/>
                <w:bCs/>
                <w:color w:val="000000"/>
                <w:sz w:val="18"/>
                <w:szCs w:val="18"/>
              </w:rPr>
              <w:t>199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DDB1E6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2A78FC"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A704964" w14:textId="77777777" w:rsidR="00000000" w:rsidRDefault="00405D16">
            <w:pPr>
              <w:spacing w:after="100"/>
              <w:jc w:val="right"/>
              <w:rPr>
                <w:rFonts w:eastAsia="Times New Roman"/>
              </w:rPr>
            </w:pPr>
            <w:r>
              <w:rPr>
                <w:rFonts w:eastAsia="Times New Roman"/>
                <w:b/>
                <w:bCs/>
                <w:color w:val="000000"/>
                <w:sz w:val="18"/>
                <w:szCs w:val="18"/>
              </w:rPr>
              <w:t>2,995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0BC661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A5FF69"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94444AC" w14:textId="77777777" w:rsidR="00000000" w:rsidRDefault="00405D16">
            <w:pPr>
              <w:spacing w:after="100"/>
              <w:jc w:val="right"/>
              <w:rPr>
                <w:rFonts w:eastAsia="Times New Roman"/>
              </w:rPr>
            </w:pPr>
            <w:r>
              <w:rPr>
                <w:rFonts w:eastAsia="Times New Roman"/>
                <w:b/>
                <w:bCs/>
                <w:color w:val="000000"/>
                <w:sz w:val="18"/>
                <w:szCs w:val="18"/>
              </w:rPr>
              <w:t>77,112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B0B591F" w14:textId="77777777" w:rsidR="00000000" w:rsidRDefault="00405D16">
            <w:pPr>
              <w:spacing w:after="100"/>
              <w:jc w:val="right"/>
              <w:rPr>
                <w:rFonts w:eastAsia="Times New Roman"/>
              </w:rPr>
            </w:pPr>
          </w:p>
        </w:tc>
      </w:tr>
      <w:tr w:rsidR="00000000" w14:paraId="3CF4BEC3" w14:textId="77777777">
        <w:trPr>
          <w:divId w:val="40711176"/>
        </w:trPr>
        <w:tc>
          <w:tcPr>
            <w:tcW w:w="0" w:type="auto"/>
            <w:gridSpan w:val="3"/>
            <w:shd w:val="clear" w:color="auto" w:fill="CCEEFF"/>
            <w:tcMar>
              <w:top w:w="30" w:type="dxa"/>
              <w:left w:w="20" w:type="dxa"/>
              <w:bottom w:w="30" w:type="dxa"/>
              <w:right w:w="20" w:type="dxa"/>
            </w:tcMar>
            <w:vAlign w:val="center"/>
            <w:hideMark/>
          </w:tcPr>
          <w:p w14:paraId="1982820C" w14:textId="77777777" w:rsidR="00000000" w:rsidRDefault="00405D16">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14:paraId="3EC3C646"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79A42F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071DBF"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0D0E8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F2A79C"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B14D45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2361E1"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6EBEC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9950B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0BABC2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D0C9B4"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2D6FEAA" w14:textId="77777777" w:rsidR="00000000" w:rsidRDefault="00405D16">
            <w:pPr>
              <w:spacing w:after="100"/>
              <w:rPr>
                <w:rFonts w:eastAsia="Times New Roman"/>
                <w:sz w:val="20"/>
                <w:szCs w:val="20"/>
              </w:rPr>
            </w:pPr>
          </w:p>
        </w:tc>
      </w:tr>
      <w:tr w:rsidR="00000000" w14:paraId="09B4B60E" w14:textId="77777777">
        <w:trPr>
          <w:divId w:val="40711176"/>
        </w:trPr>
        <w:tc>
          <w:tcPr>
            <w:tcW w:w="0" w:type="auto"/>
            <w:gridSpan w:val="3"/>
            <w:shd w:val="clear" w:color="auto" w:fill="FFFFFF"/>
            <w:tcMar>
              <w:top w:w="30" w:type="dxa"/>
              <w:left w:w="245" w:type="dxa"/>
              <w:bottom w:w="30" w:type="dxa"/>
              <w:right w:w="20" w:type="dxa"/>
            </w:tcMar>
            <w:vAlign w:val="center"/>
            <w:hideMark/>
          </w:tcPr>
          <w:p w14:paraId="14471430" w14:textId="77777777" w:rsidR="00000000" w:rsidRDefault="00405D16">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14:paraId="05DE24A5"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630920D" w14:textId="77777777" w:rsidR="00000000" w:rsidRDefault="00405D16">
            <w:pPr>
              <w:spacing w:after="100"/>
              <w:jc w:val="right"/>
              <w:rPr>
                <w:rFonts w:eastAsia="Times New Roman"/>
              </w:rPr>
            </w:pPr>
            <w:r>
              <w:rPr>
                <w:rFonts w:eastAsia="Times New Roman"/>
                <w:b/>
                <w:bCs/>
                <w:color w:val="000000"/>
                <w:sz w:val="18"/>
                <w:szCs w:val="18"/>
              </w:rPr>
              <w:t>32,973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05FDAD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5AFC9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99E7B4" w14:textId="77777777" w:rsidR="00000000" w:rsidRDefault="00405D16">
            <w:pPr>
              <w:spacing w:after="100"/>
              <w:jc w:val="right"/>
              <w:rPr>
                <w:rFonts w:eastAsia="Times New Roman"/>
              </w:rPr>
            </w:pPr>
            <w:r>
              <w:rPr>
                <w:rFonts w:eastAsia="Times New Roman"/>
                <w:b/>
                <w:bCs/>
                <w:color w:val="000000"/>
                <w:sz w:val="18"/>
                <w:szCs w:val="18"/>
              </w:rPr>
              <w:t>72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C5AD65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DE457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1BA8FE" w14:textId="77777777" w:rsidR="00000000" w:rsidRDefault="00405D16">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D2EEC0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223EA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CB8D80" w14:textId="77777777" w:rsidR="00000000" w:rsidRDefault="00405D16">
            <w:pPr>
              <w:spacing w:after="100"/>
              <w:jc w:val="right"/>
              <w:rPr>
                <w:rFonts w:eastAsia="Times New Roman"/>
              </w:rPr>
            </w:pPr>
            <w:r>
              <w:rPr>
                <w:rFonts w:eastAsia="Times New Roman"/>
                <w:b/>
                <w:bCs/>
                <w:color w:val="000000"/>
                <w:sz w:val="18"/>
                <w:szCs w:val="18"/>
              </w:rPr>
              <w:t>50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4003DB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4D7E7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FA3A6F" w14:textId="77777777" w:rsidR="00000000" w:rsidRDefault="00405D16">
            <w:pPr>
              <w:spacing w:after="100"/>
              <w:jc w:val="right"/>
              <w:rPr>
                <w:rFonts w:eastAsia="Times New Roman"/>
              </w:rPr>
            </w:pPr>
            <w:r>
              <w:rPr>
                <w:rFonts w:eastAsia="Times New Roman"/>
                <w:b/>
                <w:bCs/>
                <w:color w:val="000000"/>
                <w:sz w:val="18"/>
                <w:szCs w:val="18"/>
              </w:rPr>
              <w:t>123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DA0709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0B460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89CB09" w14:textId="77777777" w:rsidR="00000000" w:rsidRDefault="00405D16">
            <w:pPr>
              <w:spacing w:after="100"/>
              <w:jc w:val="right"/>
              <w:rPr>
                <w:rFonts w:eastAsia="Times New Roman"/>
              </w:rPr>
            </w:pPr>
            <w:r>
              <w:rPr>
                <w:rFonts w:eastAsia="Times New Roman"/>
                <w:b/>
                <w:bCs/>
                <w:color w:val="000000"/>
                <w:sz w:val="18"/>
                <w:szCs w:val="18"/>
              </w:rPr>
              <w:t>33,096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73F127A" w14:textId="77777777" w:rsidR="00000000" w:rsidRDefault="00405D16">
            <w:pPr>
              <w:spacing w:after="100"/>
              <w:jc w:val="right"/>
              <w:rPr>
                <w:rFonts w:eastAsia="Times New Roman"/>
              </w:rPr>
            </w:pPr>
          </w:p>
        </w:tc>
      </w:tr>
      <w:tr w:rsidR="00000000" w14:paraId="3D49DFAF" w14:textId="77777777">
        <w:trPr>
          <w:divId w:val="40711176"/>
        </w:trPr>
        <w:tc>
          <w:tcPr>
            <w:tcW w:w="0" w:type="auto"/>
            <w:gridSpan w:val="3"/>
            <w:shd w:val="clear" w:color="auto" w:fill="CCEEFF"/>
            <w:tcMar>
              <w:top w:w="30" w:type="dxa"/>
              <w:left w:w="245" w:type="dxa"/>
              <w:bottom w:w="30" w:type="dxa"/>
              <w:right w:w="20" w:type="dxa"/>
            </w:tcMar>
            <w:vAlign w:val="center"/>
            <w:hideMark/>
          </w:tcPr>
          <w:p w14:paraId="74B8E17E" w14:textId="77777777" w:rsidR="00000000" w:rsidRDefault="00405D16">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14:paraId="73AF97A1"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258FB3E" w14:textId="77777777" w:rsidR="00000000" w:rsidRDefault="00405D16">
            <w:pPr>
              <w:spacing w:after="100"/>
              <w:jc w:val="right"/>
              <w:rPr>
                <w:rFonts w:eastAsia="Times New Roman"/>
              </w:rPr>
            </w:pPr>
            <w:r>
              <w:rPr>
                <w:rFonts w:eastAsia="Times New Roman"/>
                <w:b/>
                <w:bCs/>
                <w:color w:val="000000"/>
                <w:sz w:val="18"/>
                <w:szCs w:val="18"/>
              </w:rPr>
              <w:t>45,808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AAB47D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EF3C6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FEBF6BB" w14:textId="77777777" w:rsidR="00000000" w:rsidRDefault="00405D16">
            <w:pPr>
              <w:spacing w:after="100"/>
              <w:jc w:val="right"/>
              <w:rPr>
                <w:rFonts w:eastAsia="Times New Roman"/>
              </w:rPr>
            </w:pPr>
            <w:r>
              <w:rPr>
                <w:rFonts w:eastAsia="Times New Roman"/>
                <w:b/>
                <w:bCs/>
                <w:color w:val="000000"/>
                <w:sz w:val="18"/>
                <w:szCs w:val="18"/>
              </w:rPr>
              <w:t>181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A65453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1C39F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7E7EE41" w14:textId="77777777" w:rsidR="00000000" w:rsidRDefault="00405D16">
            <w:pPr>
              <w:spacing w:after="100"/>
              <w:jc w:val="right"/>
              <w:rPr>
                <w:rFonts w:eastAsia="Times New Roman"/>
              </w:rPr>
            </w:pPr>
            <w:r>
              <w:rPr>
                <w:rFonts w:eastAsia="Times New Roman"/>
                <w:b/>
                <w:bCs/>
                <w:color w:val="000000"/>
                <w:sz w:val="18"/>
                <w:szCs w:val="18"/>
              </w:rPr>
              <w:t>134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7ABF85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62514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5D51BC8" w14:textId="77777777" w:rsidR="00000000" w:rsidRDefault="00405D16">
            <w:pPr>
              <w:spacing w:after="100"/>
              <w:jc w:val="right"/>
              <w:rPr>
                <w:rFonts w:eastAsia="Times New Roman"/>
              </w:rPr>
            </w:pPr>
            <w:r>
              <w:rPr>
                <w:rFonts w:eastAsia="Times New Roman"/>
                <w:b/>
                <w:bCs/>
                <w:color w:val="000000"/>
                <w:sz w:val="18"/>
                <w:szCs w:val="18"/>
              </w:rPr>
              <w:t>29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B97C5B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87B85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9B7E5C8" w14:textId="77777777" w:rsidR="00000000" w:rsidRDefault="00405D16">
            <w:pPr>
              <w:spacing w:after="100"/>
              <w:jc w:val="right"/>
              <w:rPr>
                <w:rFonts w:eastAsia="Times New Roman"/>
              </w:rPr>
            </w:pPr>
            <w:r>
              <w:rPr>
                <w:rFonts w:eastAsia="Times New Roman"/>
                <w:b/>
                <w:bCs/>
                <w:color w:val="000000"/>
                <w:sz w:val="18"/>
                <w:szCs w:val="18"/>
              </w:rPr>
              <w:t>344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EF6ED0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EF979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F97F763" w14:textId="77777777" w:rsidR="00000000" w:rsidRDefault="00405D16">
            <w:pPr>
              <w:spacing w:after="100"/>
              <w:jc w:val="right"/>
              <w:rPr>
                <w:rFonts w:eastAsia="Times New Roman"/>
              </w:rPr>
            </w:pPr>
            <w:r>
              <w:rPr>
                <w:rFonts w:eastAsia="Times New Roman"/>
                <w:b/>
                <w:bCs/>
                <w:color w:val="000000"/>
                <w:sz w:val="18"/>
                <w:szCs w:val="18"/>
              </w:rPr>
              <w:t>46,152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3FA8841" w14:textId="77777777" w:rsidR="00000000" w:rsidRDefault="00405D16">
            <w:pPr>
              <w:spacing w:after="100"/>
              <w:jc w:val="right"/>
              <w:rPr>
                <w:rFonts w:eastAsia="Times New Roman"/>
              </w:rPr>
            </w:pPr>
          </w:p>
        </w:tc>
      </w:tr>
      <w:tr w:rsidR="00000000" w14:paraId="404B8E79" w14:textId="77777777">
        <w:trPr>
          <w:divId w:val="40711176"/>
        </w:trPr>
        <w:tc>
          <w:tcPr>
            <w:tcW w:w="0" w:type="auto"/>
            <w:gridSpan w:val="3"/>
            <w:shd w:val="clear" w:color="auto" w:fill="FFFFFF"/>
            <w:tcMar>
              <w:top w:w="30" w:type="dxa"/>
              <w:left w:w="20" w:type="dxa"/>
              <w:bottom w:w="30" w:type="dxa"/>
              <w:right w:w="20" w:type="dxa"/>
            </w:tcMar>
            <w:vAlign w:val="center"/>
            <w:hideMark/>
          </w:tcPr>
          <w:p w14:paraId="56170DA5" w14:textId="77777777" w:rsidR="00000000" w:rsidRDefault="00405D16">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14:paraId="4D73614F"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E6902E4" w14:textId="77777777" w:rsidR="00000000" w:rsidRDefault="00405D16">
            <w:pPr>
              <w:spacing w:after="100"/>
              <w:jc w:val="right"/>
              <w:rPr>
                <w:rFonts w:eastAsia="Times New Roman"/>
              </w:rPr>
            </w:pPr>
            <w:r>
              <w:rPr>
                <w:rFonts w:eastAsia="Times New Roman"/>
                <w:b/>
                <w:bCs/>
                <w:color w:val="000000"/>
                <w:sz w:val="18"/>
                <w:szCs w:val="18"/>
              </w:rPr>
              <w:t>78,781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DA0D3F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EFD311"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480F93D" w14:textId="77777777" w:rsidR="00000000" w:rsidRDefault="00405D16">
            <w:pPr>
              <w:spacing w:after="100"/>
              <w:jc w:val="right"/>
              <w:rPr>
                <w:rFonts w:eastAsia="Times New Roman"/>
              </w:rPr>
            </w:pPr>
            <w:r>
              <w:rPr>
                <w:rFonts w:eastAsia="Times New Roman"/>
                <w:b/>
                <w:bCs/>
                <w:color w:val="000000"/>
                <w:sz w:val="18"/>
                <w:szCs w:val="18"/>
              </w:rPr>
              <w:t>253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2E6464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2285E1"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276E727" w14:textId="77777777" w:rsidR="00000000" w:rsidRDefault="00405D16">
            <w:pPr>
              <w:spacing w:after="100"/>
              <w:jc w:val="right"/>
              <w:rPr>
                <w:rFonts w:eastAsia="Times New Roman"/>
              </w:rPr>
            </w:pPr>
            <w:r>
              <w:rPr>
                <w:rFonts w:eastAsia="Times New Roman"/>
                <w:b/>
                <w:bCs/>
                <w:color w:val="000000"/>
                <w:sz w:val="18"/>
                <w:szCs w:val="18"/>
              </w:rPr>
              <w:t>135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68E718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A6F268"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CAE6503" w14:textId="77777777" w:rsidR="00000000" w:rsidRDefault="00405D16">
            <w:pPr>
              <w:spacing w:after="100"/>
              <w:jc w:val="right"/>
              <w:rPr>
                <w:rFonts w:eastAsia="Times New Roman"/>
              </w:rPr>
            </w:pPr>
            <w:r>
              <w:rPr>
                <w:rFonts w:eastAsia="Times New Roman"/>
                <w:b/>
                <w:bCs/>
                <w:color w:val="000000"/>
                <w:sz w:val="18"/>
                <w:szCs w:val="18"/>
              </w:rPr>
              <w:t>79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965E6C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532D17"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2F5D287" w14:textId="77777777" w:rsidR="00000000" w:rsidRDefault="00405D16">
            <w:pPr>
              <w:spacing w:after="100"/>
              <w:jc w:val="right"/>
              <w:rPr>
                <w:rFonts w:eastAsia="Times New Roman"/>
              </w:rPr>
            </w:pPr>
            <w:r>
              <w:rPr>
                <w:rFonts w:eastAsia="Times New Roman"/>
                <w:b/>
                <w:bCs/>
                <w:color w:val="000000"/>
                <w:sz w:val="18"/>
                <w:szCs w:val="18"/>
              </w:rPr>
              <w:t>467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B9A529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5F6AFB"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9981066" w14:textId="77777777" w:rsidR="00000000" w:rsidRDefault="00405D16">
            <w:pPr>
              <w:spacing w:after="100"/>
              <w:jc w:val="right"/>
              <w:rPr>
                <w:rFonts w:eastAsia="Times New Roman"/>
              </w:rPr>
            </w:pPr>
            <w:r>
              <w:rPr>
                <w:rFonts w:eastAsia="Times New Roman"/>
                <w:b/>
                <w:bCs/>
                <w:color w:val="000000"/>
                <w:sz w:val="18"/>
                <w:szCs w:val="18"/>
              </w:rPr>
              <w:t>79,248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9BA0481" w14:textId="77777777" w:rsidR="00000000" w:rsidRDefault="00405D16">
            <w:pPr>
              <w:spacing w:after="100"/>
              <w:jc w:val="right"/>
              <w:rPr>
                <w:rFonts w:eastAsia="Times New Roman"/>
              </w:rPr>
            </w:pPr>
          </w:p>
        </w:tc>
      </w:tr>
      <w:tr w:rsidR="00000000" w14:paraId="421D71B6" w14:textId="77777777">
        <w:trPr>
          <w:divId w:val="40711176"/>
        </w:trPr>
        <w:tc>
          <w:tcPr>
            <w:tcW w:w="0" w:type="auto"/>
            <w:gridSpan w:val="3"/>
            <w:shd w:val="clear" w:color="auto" w:fill="CCEEFF"/>
            <w:tcMar>
              <w:top w:w="30" w:type="dxa"/>
              <w:left w:w="20" w:type="dxa"/>
              <w:bottom w:w="30" w:type="dxa"/>
              <w:right w:w="20" w:type="dxa"/>
            </w:tcMar>
            <w:vAlign w:val="center"/>
            <w:hideMark/>
          </w:tcPr>
          <w:p w14:paraId="2DA587FB" w14:textId="77777777" w:rsidR="00000000" w:rsidRDefault="00405D16">
            <w:pPr>
              <w:spacing w:after="100"/>
              <w:divId w:val="44721140"/>
              <w:rPr>
                <w:rFonts w:eastAsia="Times New Roman"/>
              </w:rPr>
            </w:pPr>
            <w:r>
              <w:rPr>
                <w:rFonts w:eastAsia="Times New Roman"/>
                <w:color w:val="000000"/>
                <w:sz w:val="18"/>
                <w:szCs w:val="18"/>
              </w:rPr>
              <w:t>Total loan</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425E81B9"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EA3725F"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F676A06" w14:textId="77777777" w:rsidR="00000000" w:rsidRDefault="00405D16">
            <w:pPr>
              <w:spacing w:after="100"/>
              <w:jc w:val="right"/>
              <w:rPr>
                <w:rFonts w:eastAsia="Times New Roman"/>
              </w:rPr>
            </w:pPr>
            <w:r>
              <w:rPr>
                <w:rFonts w:eastAsia="Times New Roman"/>
                <w:b/>
                <w:bCs/>
                <w:color w:val="000000"/>
                <w:sz w:val="18"/>
                <w:szCs w:val="18"/>
              </w:rPr>
              <w:t>255,823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D5B34E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098220"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AD1B0EE"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97D9A36" w14:textId="77777777" w:rsidR="00000000" w:rsidRDefault="00405D16">
            <w:pPr>
              <w:spacing w:after="100"/>
              <w:jc w:val="right"/>
              <w:rPr>
                <w:rFonts w:eastAsia="Times New Roman"/>
              </w:rPr>
            </w:pPr>
            <w:r>
              <w:rPr>
                <w:rFonts w:eastAsia="Times New Roman"/>
                <w:b/>
                <w:bCs/>
                <w:color w:val="000000"/>
                <w:sz w:val="18"/>
                <w:szCs w:val="18"/>
              </w:rPr>
              <w:t>2,993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291FE4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D4E2E0"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3109999"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EE13D8D" w14:textId="77777777" w:rsidR="00000000" w:rsidRDefault="00405D16">
            <w:pPr>
              <w:spacing w:after="100"/>
              <w:jc w:val="right"/>
              <w:rPr>
                <w:rFonts w:eastAsia="Times New Roman"/>
              </w:rPr>
            </w:pPr>
            <w:r>
              <w:rPr>
                <w:rFonts w:eastAsia="Times New Roman"/>
                <w:b/>
                <w:bCs/>
                <w:color w:val="000000"/>
                <w:sz w:val="18"/>
                <w:szCs w:val="18"/>
              </w:rPr>
              <w:t>1,379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203223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4385B9"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26DCE78"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9969748" w14:textId="77777777" w:rsidR="00000000" w:rsidRDefault="00405D16">
            <w:pPr>
              <w:spacing w:after="100"/>
              <w:jc w:val="right"/>
              <w:rPr>
                <w:rFonts w:eastAsia="Times New Roman"/>
              </w:rPr>
            </w:pPr>
            <w:r>
              <w:rPr>
                <w:rFonts w:eastAsia="Times New Roman"/>
                <w:b/>
                <w:bCs/>
                <w:color w:val="000000"/>
                <w:sz w:val="18"/>
                <w:szCs w:val="18"/>
              </w:rPr>
              <w:t>1,195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13655C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85D570"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55A0639"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9AD9F10" w14:textId="77777777" w:rsidR="00000000" w:rsidRDefault="00405D16">
            <w:pPr>
              <w:spacing w:after="100"/>
              <w:jc w:val="right"/>
              <w:rPr>
                <w:rFonts w:eastAsia="Times New Roman"/>
              </w:rPr>
            </w:pPr>
            <w:r>
              <w:rPr>
                <w:rFonts w:eastAsia="Times New Roman"/>
                <w:b/>
                <w:bCs/>
                <w:color w:val="000000"/>
                <w:sz w:val="18"/>
                <w:szCs w:val="18"/>
              </w:rPr>
              <w:t>5,567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4BBE0F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B10C8A"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13ACA32"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76BC59F" w14:textId="77777777" w:rsidR="00000000" w:rsidRDefault="00405D16">
            <w:pPr>
              <w:spacing w:after="100"/>
              <w:jc w:val="right"/>
              <w:rPr>
                <w:rFonts w:eastAsia="Times New Roman"/>
              </w:rPr>
            </w:pPr>
            <w:r>
              <w:rPr>
                <w:rFonts w:eastAsia="Times New Roman"/>
                <w:b/>
                <w:bCs/>
                <w:color w:val="000000"/>
                <w:sz w:val="18"/>
                <w:szCs w:val="18"/>
              </w:rPr>
              <w:t>261,390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C8915FD" w14:textId="77777777" w:rsidR="00000000" w:rsidRDefault="00405D16">
            <w:pPr>
              <w:spacing w:after="100"/>
              <w:jc w:val="right"/>
              <w:rPr>
                <w:rFonts w:eastAsia="Times New Roman"/>
              </w:rPr>
            </w:pPr>
          </w:p>
        </w:tc>
      </w:tr>
      <w:tr w:rsidR="00000000" w14:paraId="418AE0C7" w14:textId="77777777">
        <w:trPr>
          <w:divId w:val="40711176"/>
        </w:trPr>
        <w:tc>
          <w:tcPr>
            <w:tcW w:w="0" w:type="auto"/>
            <w:gridSpan w:val="3"/>
            <w:shd w:val="clear" w:color="auto" w:fill="FFFFFF"/>
            <w:tcMar>
              <w:top w:w="30" w:type="dxa"/>
              <w:left w:w="20" w:type="dxa"/>
              <w:bottom w:w="30" w:type="dxa"/>
              <w:right w:w="20" w:type="dxa"/>
            </w:tcMar>
            <w:vAlign w:val="center"/>
            <w:hideMark/>
          </w:tcPr>
          <w:p w14:paraId="7EA0350C" w14:textId="77777777" w:rsidR="00000000" w:rsidRDefault="00405D16">
            <w:pPr>
              <w:spacing w:after="100"/>
              <w:rPr>
                <w:rFonts w:eastAsia="Times New Roman"/>
              </w:rPr>
            </w:pPr>
            <w:r>
              <w:rPr>
                <w:rFonts w:eastAsia="Times New Roman"/>
                <w:color w:val="000000"/>
                <w:sz w:val="18"/>
                <w:szCs w:val="18"/>
              </w:rPr>
              <w:t>% of Total loans</w:t>
            </w:r>
          </w:p>
        </w:tc>
        <w:tc>
          <w:tcPr>
            <w:tcW w:w="0" w:type="auto"/>
            <w:gridSpan w:val="3"/>
            <w:shd w:val="clear" w:color="auto" w:fill="FFFFFF"/>
            <w:tcMar>
              <w:top w:w="0" w:type="dxa"/>
              <w:left w:w="20" w:type="dxa"/>
              <w:bottom w:w="0" w:type="dxa"/>
              <w:right w:w="20" w:type="dxa"/>
            </w:tcMar>
            <w:vAlign w:val="center"/>
            <w:hideMark/>
          </w:tcPr>
          <w:p w14:paraId="631FF6B5" w14:textId="77777777" w:rsidR="00000000" w:rsidRDefault="00405D16">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center"/>
            <w:hideMark/>
          </w:tcPr>
          <w:p w14:paraId="5C486694" w14:textId="77777777" w:rsidR="00000000" w:rsidRDefault="00405D16">
            <w:pPr>
              <w:spacing w:after="100"/>
              <w:jc w:val="right"/>
              <w:rPr>
                <w:rFonts w:eastAsia="Times New Roman"/>
              </w:rPr>
            </w:pPr>
            <w:r>
              <w:rPr>
                <w:rFonts w:eastAsia="Times New Roman"/>
                <w:b/>
                <w:bCs/>
                <w:color w:val="000000"/>
                <w:sz w:val="18"/>
                <w:szCs w:val="18"/>
              </w:rPr>
              <w:t>97.87 %</w:t>
            </w:r>
          </w:p>
        </w:tc>
        <w:tc>
          <w:tcPr>
            <w:tcW w:w="0" w:type="auto"/>
            <w:gridSpan w:val="3"/>
            <w:shd w:val="clear" w:color="auto" w:fill="FFFFFF"/>
            <w:tcMar>
              <w:top w:w="0" w:type="dxa"/>
              <w:left w:w="20" w:type="dxa"/>
              <w:bottom w:w="0" w:type="dxa"/>
              <w:right w:w="20" w:type="dxa"/>
            </w:tcMar>
            <w:vAlign w:val="center"/>
            <w:hideMark/>
          </w:tcPr>
          <w:p w14:paraId="60941A06" w14:textId="77777777" w:rsidR="00000000" w:rsidRDefault="00405D16">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14:paraId="2CB7455A" w14:textId="77777777" w:rsidR="00000000" w:rsidRDefault="00405D16">
            <w:pPr>
              <w:spacing w:after="100"/>
              <w:jc w:val="right"/>
              <w:rPr>
                <w:rFonts w:eastAsia="Times New Roman"/>
              </w:rPr>
            </w:pPr>
            <w:r>
              <w:rPr>
                <w:rFonts w:eastAsia="Times New Roman"/>
                <w:b/>
                <w:bCs/>
                <w:color w:val="000000"/>
                <w:sz w:val="18"/>
                <w:szCs w:val="18"/>
              </w:rPr>
              <w:t>1.14</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0DEC5A20"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F4A3B97" w14:textId="77777777" w:rsidR="00000000" w:rsidRDefault="00405D16">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14:paraId="1DDCF204" w14:textId="77777777" w:rsidR="00000000" w:rsidRDefault="00405D16">
            <w:pPr>
              <w:spacing w:after="100"/>
              <w:jc w:val="right"/>
              <w:rPr>
                <w:rFonts w:eastAsia="Times New Roman"/>
              </w:rPr>
            </w:pPr>
            <w:r>
              <w:rPr>
                <w:rFonts w:eastAsia="Times New Roman"/>
                <w:b/>
                <w:bCs/>
                <w:color w:val="000000"/>
                <w:sz w:val="18"/>
                <w:szCs w:val="18"/>
              </w:rPr>
              <w:t>0.53</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403D34FB"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7265D80" w14:textId="77777777" w:rsidR="00000000" w:rsidRDefault="00405D16">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14:paraId="65DDA295" w14:textId="77777777" w:rsidR="00000000" w:rsidRDefault="00405D16">
            <w:pPr>
              <w:spacing w:after="100"/>
              <w:jc w:val="right"/>
              <w:rPr>
                <w:rFonts w:eastAsia="Times New Roman"/>
              </w:rPr>
            </w:pPr>
            <w:r>
              <w:rPr>
                <w:rFonts w:eastAsia="Times New Roman"/>
                <w:b/>
                <w:bCs/>
                <w:color w:val="000000"/>
                <w:sz w:val="18"/>
                <w:szCs w:val="18"/>
              </w:rPr>
              <w:t>0.46</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02B318FB"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BD20969" w14:textId="77777777" w:rsidR="00000000" w:rsidRDefault="00405D16">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14:paraId="33BFCBC7" w14:textId="77777777" w:rsidR="00000000" w:rsidRDefault="00405D16">
            <w:pPr>
              <w:spacing w:after="100"/>
              <w:jc w:val="right"/>
              <w:rPr>
                <w:rFonts w:eastAsia="Times New Roman"/>
              </w:rPr>
            </w:pPr>
            <w:r>
              <w:rPr>
                <w:rFonts w:eastAsia="Times New Roman"/>
                <w:b/>
                <w:bCs/>
                <w:color w:val="000000"/>
                <w:sz w:val="18"/>
                <w:szCs w:val="18"/>
              </w:rPr>
              <w:t>2.13</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5FF95879"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BC40939" w14:textId="77777777" w:rsidR="00000000" w:rsidRDefault="00405D16">
            <w:pPr>
              <w:spacing w:after="100"/>
              <w:jc w:val="right"/>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center"/>
            <w:hideMark/>
          </w:tcPr>
          <w:p w14:paraId="2AA2C5CC" w14:textId="77777777" w:rsidR="00000000" w:rsidRDefault="00405D16">
            <w:pPr>
              <w:spacing w:after="100"/>
              <w:jc w:val="right"/>
              <w:rPr>
                <w:rFonts w:eastAsia="Times New Roman"/>
              </w:rPr>
            </w:pPr>
            <w:r>
              <w:rPr>
                <w:rFonts w:eastAsia="Times New Roman"/>
                <w:b/>
                <w:bCs/>
                <w:color w:val="000000"/>
                <w:sz w:val="18"/>
                <w:szCs w:val="18"/>
              </w:rPr>
              <w:t>100.00 %</w:t>
            </w: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7E9CF931" w14:textId="77777777">
        <w:trPr>
          <w:jc w:val="center"/>
        </w:trPr>
        <w:tc>
          <w:tcPr>
            <w:tcW w:w="50" w:type="pct"/>
            <w:vAlign w:val="center"/>
            <w:hideMark/>
          </w:tcPr>
          <w:p w14:paraId="07DDF894" w14:textId="77777777" w:rsidR="00000000" w:rsidRDefault="00405D16">
            <w:pPr>
              <w:rPr>
                <w:rFonts w:eastAsia="Times New Roman"/>
              </w:rPr>
            </w:pPr>
          </w:p>
        </w:tc>
        <w:tc>
          <w:tcPr>
            <w:tcW w:w="1606" w:type="pct"/>
            <w:vAlign w:val="center"/>
            <w:hideMark/>
          </w:tcPr>
          <w:p w14:paraId="699607C6" w14:textId="77777777" w:rsidR="00000000" w:rsidRDefault="00405D16">
            <w:pPr>
              <w:spacing w:after="100"/>
              <w:rPr>
                <w:rFonts w:eastAsia="Times New Roman"/>
                <w:sz w:val="20"/>
                <w:szCs w:val="20"/>
              </w:rPr>
            </w:pPr>
          </w:p>
        </w:tc>
        <w:tc>
          <w:tcPr>
            <w:tcW w:w="5" w:type="pct"/>
            <w:vAlign w:val="center"/>
            <w:hideMark/>
          </w:tcPr>
          <w:p w14:paraId="3BB5381B" w14:textId="77777777" w:rsidR="00000000" w:rsidRDefault="00405D16">
            <w:pPr>
              <w:spacing w:after="100"/>
              <w:rPr>
                <w:rFonts w:eastAsia="Times New Roman"/>
                <w:sz w:val="20"/>
                <w:szCs w:val="20"/>
              </w:rPr>
            </w:pPr>
          </w:p>
        </w:tc>
        <w:tc>
          <w:tcPr>
            <w:tcW w:w="50" w:type="pct"/>
            <w:vAlign w:val="center"/>
            <w:hideMark/>
          </w:tcPr>
          <w:p w14:paraId="32364358" w14:textId="77777777" w:rsidR="00000000" w:rsidRDefault="00405D16">
            <w:pPr>
              <w:spacing w:after="100"/>
              <w:rPr>
                <w:rFonts w:eastAsia="Times New Roman"/>
                <w:sz w:val="20"/>
                <w:szCs w:val="20"/>
              </w:rPr>
            </w:pPr>
          </w:p>
        </w:tc>
        <w:tc>
          <w:tcPr>
            <w:tcW w:w="1614" w:type="pct"/>
            <w:vAlign w:val="center"/>
            <w:hideMark/>
          </w:tcPr>
          <w:p w14:paraId="66C25125" w14:textId="77777777" w:rsidR="00000000" w:rsidRDefault="00405D16">
            <w:pPr>
              <w:spacing w:after="100"/>
              <w:rPr>
                <w:rFonts w:eastAsia="Times New Roman"/>
                <w:sz w:val="20"/>
                <w:szCs w:val="20"/>
              </w:rPr>
            </w:pPr>
          </w:p>
        </w:tc>
        <w:tc>
          <w:tcPr>
            <w:tcW w:w="5" w:type="pct"/>
            <w:vAlign w:val="center"/>
            <w:hideMark/>
          </w:tcPr>
          <w:p w14:paraId="47AFF1E6" w14:textId="77777777" w:rsidR="00000000" w:rsidRDefault="00405D16">
            <w:pPr>
              <w:spacing w:after="100"/>
              <w:rPr>
                <w:rFonts w:eastAsia="Times New Roman"/>
                <w:sz w:val="20"/>
                <w:szCs w:val="20"/>
              </w:rPr>
            </w:pPr>
          </w:p>
        </w:tc>
        <w:tc>
          <w:tcPr>
            <w:tcW w:w="50" w:type="pct"/>
            <w:vAlign w:val="center"/>
            <w:hideMark/>
          </w:tcPr>
          <w:p w14:paraId="43DFEF41" w14:textId="77777777" w:rsidR="00000000" w:rsidRDefault="00405D16">
            <w:pPr>
              <w:spacing w:after="100"/>
              <w:rPr>
                <w:rFonts w:eastAsia="Times New Roman"/>
                <w:sz w:val="20"/>
                <w:szCs w:val="20"/>
              </w:rPr>
            </w:pPr>
          </w:p>
        </w:tc>
        <w:tc>
          <w:tcPr>
            <w:tcW w:w="1614" w:type="pct"/>
            <w:vAlign w:val="center"/>
            <w:hideMark/>
          </w:tcPr>
          <w:p w14:paraId="00EA5D45" w14:textId="77777777" w:rsidR="00000000" w:rsidRDefault="00405D16">
            <w:pPr>
              <w:spacing w:after="100"/>
              <w:rPr>
                <w:rFonts w:eastAsia="Times New Roman"/>
                <w:sz w:val="20"/>
                <w:szCs w:val="20"/>
              </w:rPr>
            </w:pPr>
          </w:p>
        </w:tc>
        <w:tc>
          <w:tcPr>
            <w:tcW w:w="5" w:type="pct"/>
            <w:vAlign w:val="center"/>
            <w:hideMark/>
          </w:tcPr>
          <w:p w14:paraId="3A08CC93" w14:textId="77777777" w:rsidR="00000000" w:rsidRDefault="00405D16">
            <w:pPr>
              <w:spacing w:after="100"/>
              <w:rPr>
                <w:rFonts w:eastAsia="Times New Roman"/>
                <w:sz w:val="20"/>
                <w:szCs w:val="20"/>
              </w:rPr>
            </w:pPr>
          </w:p>
        </w:tc>
      </w:tr>
      <w:tr w:rsidR="00000000" w14:paraId="0C2D9EC0" w14:textId="77777777">
        <w:trPr>
          <w:trHeight w:val="300"/>
          <w:jc w:val="center"/>
        </w:trPr>
        <w:tc>
          <w:tcPr>
            <w:tcW w:w="0" w:type="auto"/>
            <w:gridSpan w:val="9"/>
            <w:tcMar>
              <w:top w:w="0" w:type="dxa"/>
              <w:left w:w="20" w:type="dxa"/>
              <w:bottom w:w="0" w:type="dxa"/>
              <w:right w:w="20" w:type="dxa"/>
            </w:tcMar>
            <w:vAlign w:val="center"/>
            <w:hideMark/>
          </w:tcPr>
          <w:p w14:paraId="6710D7A4" w14:textId="77777777" w:rsidR="00000000" w:rsidRDefault="00405D16">
            <w:pPr>
              <w:spacing w:after="100"/>
              <w:rPr>
                <w:rFonts w:eastAsia="Times New Roman"/>
                <w:sz w:val="20"/>
                <w:szCs w:val="20"/>
              </w:rPr>
            </w:pPr>
          </w:p>
        </w:tc>
      </w:tr>
      <w:tr w:rsidR="00000000" w14:paraId="657E6F03" w14:textId="77777777">
        <w:trPr>
          <w:jc w:val="center"/>
        </w:trPr>
        <w:tc>
          <w:tcPr>
            <w:tcW w:w="0" w:type="auto"/>
            <w:gridSpan w:val="3"/>
            <w:tcMar>
              <w:top w:w="0" w:type="dxa"/>
              <w:left w:w="20" w:type="dxa"/>
              <w:bottom w:w="0" w:type="dxa"/>
              <w:right w:w="20" w:type="dxa"/>
            </w:tcMar>
            <w:vAlign w:val="center"/>
            <w:hideMark/>
          </w:tcPr>
          <w:p w14:paraId="4D2FDC01"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017EB4E" w14:textId="77777777" w:rsidR="00000000" w:rsidRDefault="00405D16">
            <w:pPr>
              <w:spacing w:after="100"/>
              <w:jc w:val="center"/>
              <w:rPr>
                <w:rFonts w:eastAsia="Times New Roman"/>
              </w:rPr>
            </w:pPr>
            <w:r>
              <w:rPr>
                <w:rFonts w:eastAsia="Times New Roman"/>
                <w:color w:val="000000"/>
                <w:sz w:val="16"/>
                <w:szCs w:val="16"/>
              </w:rPr>
              <w:t>81</w:t>
            </w:r>
          </w:p>
        </w:tc>
        <w:tc>
          <w:tcPr>
            <w:tcW w:w="0" w:type="auto"/>
            <w:gridSpan w:val="3"/>
            <w:tcMar>
              <w:top w:w="30" w:type="dxa"/>
              <w:left w:w="20" w:type="dxa"/>
              <w:bottom w:w="30" w:type="dxa"/>
              <w:right w:w="20" w:type="dxa"/>
            </w:tcMar>
            <w:vAlign w:val="bottom"/>
            <w:hideMark/>
          </w:tcPr>
          <w:p w14:paraId="70AADA1D"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3E75B642" w14:textId="77777777" w:rsidR="00000000" w:rsidRDefault="00405D16">
      <w:pPr>
        <w:rPr>
          <w:rFonts w:eastAsia="Times New Roman"/>
        </w:rPr>
      </w:pPr>
      <w:r>
        <w:rPr>
          <w:rFonts w:eastAsia="Times New Roman"/>
        </w:rPr>
        <w:pict w14:anchorId="420B1624">
          <v:rect id="_x0000_i1106" style="width:0;height:1.5pt" o:hralign="center" o:hrstd="t" o:hr="t" fillcolor="#a0a0a0" stroked="f"/>
        </w:pict>
      </w:r>
    </w:p>
    <w:p w14:paraId="44DDD898" w14:textId="77777777" w:rsidR="00000000" w:rsidRDefault="00405D16">
      <w:pPr>
        <w:jc w:val="both"/>
        <w:divId w:val="1525168776"/>
        <w:rPr>
          <w:rFonts w:eastAsia="Times New Roman"/>
        </w:rPr>
      </w:pPr>
      <w:hyperlink w:anchor="idd54a04a485440b4ab4e56094c14d612_13" w:history="1">
        <w:r>
          <w:rPr>
            <w:rStyle w:val="a3"/>
            <w:rFonts w:eastAsia="Times New Roman"/>
            <w:sz w:val="16"/>
            <w:szCs w:val="16"/>
          </w:rPr>
          <w:t>Table of Contents</w:t>
        </w:r>
      </w:hyperlink>
    </w:p>
    <w:p w14:paraId="0DCB1829" w14:textId="77777777" w:rsidR="00000000" w:rsidRDefault="00405D16">
      <w:pPr>
        <w:jc w:val="center"/>
        <w:divId w:val="152516877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2358"/>
        <w:gridCol w:w="38"/>
        <w:gridCol w:w="36"/>
        <w:gridCol w:w="36"/>
        <w:gridCol w:w="36"/>
        <w:gridCol w:w="110"/>
        <w:gridCol w:w="657"/>
        <w:gridCol w:w="170"/>
        <w:gridCol w:w="36"/>
        <w:gridCol w:w="36"/>
        <w:gridCol w:w="36"/>
        <w:gridCol w:w="110"/>
        <w:gridCol w:w="511"/>
        <w:gridCol w:w="170"/>
        <w:gridCol w:w="36"/>
        <w:gridCol w:w="36"/>
        <w:gridCol w:w="36"/>
        <w:gridCol w:w="110"/>
        <w:gridCol w:w="511"/>
        <w:gridCol w:w="170"/>
        <w:gridCol w:w="36"/>
        <w:gridCol w:w="36"/>
        <w:gridCol w:w="36"/>
        <w:gridCol w:w="110"/>
        <w:gridCol w:w="512"/>
        <w:gridCol w:w="170"/>
        <w:gridCol w:w="36"/>
        <w:gridCol w:w="36"/>
        <w:gridCol w:w="36"/>
        <w:gridCol w:w="111"/>
        <w:gridCol w:w="721"/>
        <w:gridCol w:w="170"/>
        <w:gridCol w:w="36"/>
        <w:gridCol w:w="36"/>
        <w:gridCol w:w="36"/>
        <w:gridCol w:w="110"/>
        <w:gridCol w:w="630"/>
        <w:gridCol w:w="170"/>
      </w:tblGrid>
      <w:tr w:rsidR="00000000" w14:paraId="4E60E0AD" w14:textId="77777777">
        <w:trPr>
          <w:divId w:val="1734621037"/>
        </w:trPr>
        <w:tc>
          <w:tcPr>
            <w:tcW w:w="50" w:type="pct"/>
            <w:vAlign w:val="center"/>
            <w:hideMark/>
          </w:tcPr>
          <w:p w14:paraId="436AA7AC" w14:textId="77777777" w:rsidR="00000000" w:rsidRDefault="00405D16">
            <w:pPr>
              <w:jc w:val="center"/>
              <w:rPr>
                <w:rFonts w:eastAsia="Times New Roman"/>
              </w:rPr>
            </w:pPr>
          </w:p>
        </w:tc>
        <w:tc>
          <w:tcPr>
            <w:tcW w:w="1523" w:type="pct"/>
            <w:vAlign w:val="center"/>
            <w:hideMark/>
          </w:tcPr>
          <w:p w14:paraId="6DAF55F6" w14:textId="77777777" w:rsidR="00000000" w:rsidRDefault="00405D16">
            <w:pPr>
              <w:spacing w:after="100"/>
              <w:rPr>
                <w:rFonts w:eastAsia="Times New Roman"/>
                <w:sz w:val="20"/>
                <w:szCs w:val="20"/>
              </w:rPr>
            </w:pPr>
          </w:p>
        </w:tc>
        <w:tc>
          <w:tcPr>
            <w:tcW w:w="5" w:type="pct"/>
            <w:vAlign w:val="center"/>
            <w:hideMark/>
          </w:tcPr>
          <w:p w14:paraId="7A81AE75" w14:textId="77777777" w:rsidR="00000000" w:rsidRDefault="00405D16">
            <w:pPr>
              <w:spacing w:after="100"/>
              <w:rPr>
                <w:rFonts w:eastAsia="Times New Roman"/>
                <w:sz w:val="20"/>
                <w:szCs w:val="20"/>
              </w:rPr>
            </w:pPr>
          </w:p>
        </w:tc>
        <w:tc>
          <w:tcPr>
            <w:tcW w:w="5" w:type="pct"/>
            <w:vAlign w:val="center"/>
            <w:hideMark/>
          </w:tcPr>
          <w:p w14:paraId="5C0EB484" w14:textId="77777777" w:rsidR="00000000" w:rsidRDefault="00405D16">
            <w:pPr>
              <w:spacing w:after="100"/>
              <w:rPr>
                <w:rFonts w:eastAsia="Times New Roman"/>
                <w:sz w:val="20"/>
                <w:szCs w:val="20"/>
              </w:rPr>
            </w:pPr>
          </w:p>
        </w:tc>
        <w:tc>
          <w:tcPr>
            <w:tcW w:w="26" w:type="pct"/>
            <w:vAlign w:val="center"/>
            <w:hideMark/>
          </w:tcPr>
          <w:p w14:paraId="3B300917" w14:textId="77777777" w:rsidR="00000000" w:rsidRDefault="00405D16">
            <w:pPr>
              <w:spacing w:after="100"/>
              <w:rPr>
                <w:rFonts w:eastAsia="Times New Roman"/>
                <w:sz w:val="20"/>
                <w:szCs w:val="20"/>
              </w:rPr>
            </w:pPr>
          </w:p>
        </w:tc>
        <w:tc>
          <w:tcPr>
            <w:tcW w:w="5" w:type="pct"/>
            <w:vAlign w:val="center"/>
            <w:hideMark/>
          </w:tcPr>
          <w:p w14:paraId="3CD988BA" w14:textId="77777777" w:rsidR="00000000" w:rsidRDefault="00405D16">
            <w:pPr>
              <w:spacing w:after="100"/>
              <w:rPr>
                <w:rFonts w:eastAsia="Times New Roman"/>
                <w:sz w:val="20"/>
                <w:szCs w:val="20"/>
              </w:rPr>
            </w:pPr>
          </w:p>
        </w:tc>
        <w:tc>
          <w:tcPr>
            <w:tcW w:w="50" w:type="pct"/>
            <w:vAlign w:val="center"/>
            <w:hideMark/>
          </w:tcPr>
          <w:p w14:paraId="005F2B74" w14:textId="77777777" w:rsidR="00000000" w:rsidRDefault="00405D16">
            <w:pPr>
              <w:spacing w:after="100"/>
              <w:rPr>
                <w:rFonts w:eastAsia="Times New Roman"/>
                <w:sz w:val="20"/>
                <w:szCs w:val="20"/>
              </w:rPr>
            </w:pPr>
          </w:p>
        </w:tc>
        <w:tc>
          <w:tcPr>
            <w:tcW w:w="522" w:type="pct"/>
            <w:vAlign w:val="center"/>
            <w:hideMark/>
          </w:tcPr>
          <w:p w14:paraId="5E12B97C" w14:textId="77777777" w:rsidR="00000000" w:rsidRDefault="00405D16">
            <w:pPr>
              <w:spacing w:after="100"/>
              <w:rPr>
                <w:rFonts w:eastAsia="Times New Roman"/>
                <w:sz w:val="20"/>
                <w:szCs w:val="20"/>
              </w:rPr>
            </w:pPr>
          </w:p>
        </w:tc>
        <w:tc>
          <w:tcPr>
            <w:tcW w:w="5" w:type="pct"/>
            <w:vAlign w:val="center"/>
            <w:hideMark/>
          </w:tcPr>
          <w:p w14:paraId="0F62BAAB" w14:textId="77777777" w:rsidR="00000000" w:rsidRDefault="00405D16">
            <w:pPr>
              <w:spacing w:after="100"/>
              <w:rPr>
                <w:rFonts w:eastAsia="Times New Roman"/>
                <w:sz w:val="20"/>
                <w:szCs w:val="20"/>
              </w:rPr>
            </w:pPr>
          </w:p>
        </w:tc>
        <w:tc>
          <w:tcPr>
            <w:tcW w:w="5" w:type="pct"/>
            <w:vAlign w:val="center"/>
            <w:hideMark/>
          </w:tcPr>
          <w:p w14:paraId="599FF435" w14:textId="77777777" w:rsidR="00000000" w:rsidRDefault="00405D16">
            <w:pPr>
              <w:spacing w:after="100"/>
              <w:rPr>
                <w:rFonts w:eastAsia="Times New Roman"/>
                <w:sz w:val="20"/>
                <w:szCs w:val="20"/>
              </w:rPr>
            </w:pPr>
          </w:p>
        </w:tc>
        <w:tc>
          <w:tcPr>
            <w:tcW w:w="26" w:type="pct"/>
            <w:vAlign w:val="center"/>
            <w:hideMark/>
          </w:tcPr>
          <w:p w14:paraId="68687708" w14:textId="77777777" w:rsidR="00000000" w:rsidRDefault="00405D16">
            <w:pPr>
              <w:spacing w:after="100"/>
              <w:rPr>
                <w:rFonts w:eastAsia="Times New Roman"/>
                <w:sz w:val="20"/>
                <w:szCs w:val="20"/>
              </w:rPr>
            </w:pPr>
          </w:p>
        </w:tc>
        <w:tc>
          <w:tcPr>
            <w:tcW w:w="5" w:type="pct"/>
            <w:vAlign w:val="center"/>
            <w:hideMark/>
          </w:tcPr>
          <w:p w14:paraId="0AAB6FB0" w14:textId="77777777" w:rsidR="00000000" w:rsidRDefault="00405D16">
            <w:pPr>
              <w:spacing w:after="100"/>
              <w:rPr>
                <w:rFonts w:eastAsia="Times New Roman"/>
                <w:sz w:val="20"/>
                <w:szCs w:val="20"/>
              </w:rPr>
            </w:pPr>
          </w:p>
        </w:tc>
        <w:tc>
          <w:tcPr>
            <w:tcW w:w="50" w:type="pct"/>
            <w:vAlign w:val="center"/>
            <w:hideMark/>
          </w:tcPr>
          <w:p w14:paraId="6DE85720" w14:textId="77777777" w:rsidR="00000000" w:rsidRDefault="00405D16">
            <w:pPr>
              <w:spacing w:after="100"/>
              <w:rPr>
                <w:rFonts w:eastAsia="Times New Roman"/>
                <w:sz w:val="20"/>
                <w:szCs w:val="20"/>
              </w:rPr>
            </w:pPr>
          </w:p>
        </w:tc>
        <w:tc>
          <w:tcPr>
            <w:tcW w:w="434" w:type="pct"/>
            <w:vAlign w:val="center"/>
            <w:hideMark/>
          </w:tcPr>
          <w:p w14:paraId="05635C91" w14:textId="77777777" w:rsidR="00000000" w:rsidRDefault="00405D16">
            <w:pPr>
              <w:spacing w:after="100"/>
              <w:rPr>
                <w:rFonts w:eastAsia="Times New Roman"/>
                <w:sz w:val="20"/>
                <w:szCs w:val="20"/>
              </w:rPr>
            </w:pPr>
          </w:p>
        </w:tc>
        <w:tc>
          <w:tcPr>
            <w:tcW w:w="5" w:type="pct"/>
            <w:vAlign w:val="center"/>
            <w:hideMark/>
          </w:tcPr>
          <w:p w14:paraId="4FE2D68E" w14:textId="77777777" w:rsidR="00000000" w:rsidRDefault="00405D16">
            <w:pPr>
              <w:spacing w:after="100"/>
              <w:rPr>
                <w:rFonts w:eastAsia="Times New Roman"/>
                <w:sz w:val="20"/>
                <w:szCs w:val="20"/>
              </w:rPr>
            </w:pPr>
          </w:p>
        </w:tc>
        <w:tc>
          <w:tcPr>
            <w:tcW w:w="5" w:type="pct"/>
            <w:vAlign w:val="center"/>
            <w:hideMark/>
          </w:tcPr>
          <w:p w14:paraId="4C4DE20C" w14:textId="77777777" w:rsidR="00000000" w:rsidRDefault="00405D16">
            <w:pPr>
              <w:spacing w:after="100"/>
              <w:rPr>
                <w:rFonts w:eastAsia="Times New Roman"/>
                <w:sz w:val="20"/>
                <w:szCs w:val="20"/>
              </w:rPr>
            </w:pPr>
          </w:p>
        </w:tc>
        <w:tc>
          <w:tcPr>
            <w:tcW w:w="26" w:type="pct"/>
            <w:vAlign w:val="center"/>
            <w:hideMark/>
          </w:tcPr>
          <w:p w14:paraId="62E5C5BE" w14:textId="77777777" w:rsidR="00000000" w:rsidRDefault="00405D16">
            <w:pPr>
              <w:spacing w:after="100"/>
              <w:rPr>
                <w:rFonts w:eastAsia="Times New Roman"/>
                <w:sz w:val="20"/>
                <w:szCs w:val="20"/>
              </w:rPr>
            </w:pPr>
          </w:p>
        </w:tc>
        <w:tc>
          <w:tcPr>
            <w:tcW w:w="5" w:type="pct"/>
            <w:vAlign w:val="center"/>
            <w:hideMark/>
          </w:tcPr>
          <w:p w14:paraId="23DFECA2" w14:textId="77777777" w:rsidR="00000000" w:rsidRDefault="00405D16">
            <w:pPr>
              <w:spacing w:after="100"/>
              <w:rPr>
                <w:rFonts w:eastAsia="Times New Roman"/>
                <w:sz w:val="20"/>
                <w:szCs w:val="20"/>
              </w:rPr>
            </w:pPr>
          </w:p>
        </w:tc>
        <w:tc>
          <w:tcPr>
            <w:tcW w:w="50" w:type="pct"/>
            <w:vAlign w:val="center"/>
            <w:hideMark/>
          </w:tcPr>
          <w:p w14:paraId="6085B7D3" w14:textId="77777777" w:rsidR="00000000" w:rsidRDefault="00405D16">
            <w:pPr>
              <w:spacing w:after="100"/>
              <w:rPr>
                <w:rFonts w:eastAsia="Times New Roman"/>
                <w:sz w:val="20"/>
                <w:szCs w:val="20"/>
              </w:rPr>
            </w:pPr>
          </w:p>
        </w:tc>
        <w:tc>
          <w:tcPr>
            <w:tcW w:w="434" w:type="pct"/>
            <w:vAlign w:val="center"/>
            <w:hideMark/>
          </w:tcPr>
          <w:p w14:paraId="04EA039B" w14:textId="77777777" w:rsidR="00000000" w:rsidRDefault="00405D16">
            <w:pPr>
              <w:spacing w:after="100"/>
              <w:rPr>
                <w:rFonts w:eastAsia="Times New Roman"/>
                <w:sz w:val="20"/>
                <w:szCs w:val="20"/>
              </w:rPr>
            </w:pPr>
          </w:p>
        </w:tc>
        <w:tc>
          <w:tcPr>
            <w:tcW w:w="5" w:type="pct"/>
            <w:vAlign w:val="center"/>
            <w:hideMark/>
          </w:tcPr>
          <w:p w14:paraId="2098FEA4" w14:textId="77777777" w:rsidR="00000000" w:rsidRDefault="00405D16">
            <w:pPr>
              <w:spacing w:after="100"/>
              <w:rPr>
                <w:rFonts w:eastAsia="Times New Roman"/>
                <w:sz w:val="20"/>
                <w:szCs w:val="20"/>
              </w:rPr>
            </w:pPr>
          </w:p>
        </w:tc>
        <w:tc>
          <w:tcPr>
            <w:tcW w:w="5" w:type="pct"/>
            <w:vAlign w:val="center"/>
            <w:hideMark/>
          </w:tcPr>
          <w:p w14:paraId="286DAF4C" w14:textId="77777777" w:rsidR="00000000" w:rsidRDefault="00405D16">
            <w:pPr>
              <w:spacing w:after="100"/>
              <w:rPr>
                <w:rFonts w:eastAsia="Times New Roman"/>
                <w:sz w:val="20"/>
                <w:szCs w:val="20"/>
              </w:rPr>
            </w:pPr>
          </w:p>
        </w:tc>
        <w:tc>
          <w:tcPr>
            <w:tcW w:w="26" w:type="pct"/>
            <w:vAlign w:val="center"/>
            <w:hideMark/>
          </w:tcPr>
          <w:p w14:paraId="12EAC8A9" w14:textId="77777777" w:rsidR="00000000" w:rsidRDefault="00405D16">
            <w:pPr>
              <w:spacing w:after="100"/>
              <w:rPr>
                <w:rFonts w:eastAsia="Times New Roman"/>
                <w:sz w:val="20"/>
                <w:szCs w:val="20"/>
              </w:rPr>
            </w:pPr>
          </w:p>
        </w:tc>
        <w:tc>
          <w:tcPr>
            <w:tcW w:w="5" w:type="pct"/>
            <w:vAlign w:val="center"/>
            <w:hideMark/>
          </w:tcPr>
          <w:p w14:paraId="5420AAE6" w14:textId="77777777" w:rsidR="00000000" w:rsidRDefault="00405D16">
            <w:pPr>
              <w:spacing w:after="100"/>
              <w:rPr>
                <w:rFonts w:eastAsia="Times New Roman"/>
                <w:sz w:val="20"/>
                <w:szCs w:val="20"/>
              </w:rPr>
            </w:pPr>
          </w:p>
        </w:tc>
        <w:tc>
          <w:tcPr>
            <w:tcW w:w="50" w:type="pct"/>
            <w:vAlign w:val="center"/>
            <w:hideMark/>
          </w:tcPr>
          <w:p w14:paraId="0449198B" w14:textId="77777777" w:rsidR="00000000" w:rsidRDefault="00405D16">
            <w:pPr>
              <w:spacing w:after="100"/>
              <w:rPr>
                <w:rFonts w:eastAsia="Times New Roman"/>
                <w:sz w:val="20"/>
                <w:szCs w:val="20"/>
              </w:rPr>
            </w:pPr>
          </w:p>
        </w:tc>
        <w:tc>
          <w:tcPr>
            <w:tcW w:w="434" w:type="pct"/>
            <w:vAlign w:val="center"/>
            <w:hideMark/>
          </w:tcPr>
          <w:p w14:paraId="036590C3" w14:textId="77777777" w:rsidR="00000000" w:rsidRDefault="00405D16">
            <w:pPr>
              <w:spacing w:after="100"/>
              <w:rPr>
                <w:rFonts w:eastAsia="Times New Roman"/>
                <w:sz w:val="20"/>
                <w:szCs w:val="20"/>
              </w:rPr>
            </w:pPr>
          </w:p>
        </w:tc>
        <w:tc>
          <w:tcPr>
            <w:tcW w:w="5" w:type="pct"/>
            <w:vAlign w:val="center"/>
            <w:hideMark/>
          </w:tcPr>
          <w:p w14:paraId="6A6F4335" w14:textId="77777777" w:rsidR="00000000" w:rsidRDefault="00405D16">
            <w:pPr>
              <w:spacing w:after="100"/>
              <w:rPr>
                <w:rFonts w:eastAsia="Times New Roman"/>
                <w:sz w:val="20"/>
                <w:szCs w:val="20"/>
              </w:rPr>
            </w:pPr>
          </w:p>
        </w:tc>
        <w:tc>
          <w:tcPr>
            <w:tcW w:w="5" w:type="pct"/>
            <w:vAlign w:val="center"/>
            <w:hideMark/>
          </w:tcPr>
          <w:p w14:paraId="49723533" w14:textId="77777777" w:rsidR="00000000" w:rsidRDefault="00405D16">
            <w:pPr>
              <w:spacing w:after="100"/>
              <w:rPr>
                <w:rFonts w:eastAsia="Times New Roman"/>
                <w:sz w:val="20"/>
                <w:szCs w:val="20"/>
              </w:rPr>
            </w:pPr>
          </w:p>
        </w:tc>
        <w:tc>
          <w:tcPr>
            <w:tcW w:w="26" w:type="pct"/>
            <w:vAlign w:val="center"/>
            <w:hideMark/>
          </w:tcPr>
          <w:p w14:paraId="3D6FC36A" w14:textId="77777777" w:rsidR="00000000" w:rsidRDefault="00405D16">
            <w:pPr>
              <w:spacing w:after="100"/>
              <w:rPr>
                <w:rFonts w:eastAsia="Times New Roman"/>
                <w:sz w:val="20"/>
                <w:szCs w:val="20"/>
              </w:rPr>
            </w:pPr>
          </w:p>
        </w:tc>
        <w:tc>
          <w:tcPr>
            <w:tcW w:w="5" w:type="pct"/>
            <w:vAlign w:val="center"/>
            <w:hideMark/>
          </w:tcPr>
          <w:p w14:paraId="03A883D7" w14:textId="77777777" w:rsidR="00000000" w:rsidRDefault="00405D16">
            <w:pPr>
              <w:spacing w:after="100"/>
              <w:rPr>
                <w:rFonts w:eastAsia="Times New Roman"/>
                <w:sz w:val="20"/>
                <w:szCs w:val="20"/>
              </w:rPr>
            </w:pPr>
          </w:p>
        </w:tc>
        <w:tc>
          <w:tcPr>
            <w:tcW w:w="50" w:type="pct"/>
            <w:vAlign w:val="center"/>
            <w:hideMark/>
          </w:tcPr>
          <w:p w14:paraId="72D689C6" w14:textId="77777777" w:rsidR="00000000" w:rsidRDefault="00405D16">
            <w:pPr>
              <w:spacing w:after="100"/>
              <w:rPr>
                <w:rFonts w:eastAsia="Times New Roman"/>
                <w:sz w:val="20"/>
                <w:szCs w:val="20"/>
              </w:rPr>
            </w:pPr>
          </w:p>
        </w:tc>
        <w:tc>
          <w:tcPr>
            <w:tcW w:w="522" w:type="pct"/>
            <w:vAlign w:val="center"/>
            <w:hideMark/>
          </w:tcPr>
          <w:p w14:paraId="2B705363" w14:textId="77777777" w:rsidR="00000000" w:rsidRDefault="00405D16">
            <w:pPr>
              <w:spacing w:after="100"/>
              <w:rPr>
                <w:rFonts w:eastAsia="Times New Roman"/>
                <w:sz w:val="20"/>
                <w:szCs w:val="20"/>
              </w:rPr>
            </w:pPr>
          </w:p>
        </w:tc>
        <w:tc>
          <w:tcPr>
            <w:tcW w:w="5" w:type="pct"/>
            <w:vAlign w:val="center"/>
            <w:hideMark/>
          </w:tcPr>
          <w:p w14:paraId="0F3BCA85" w14:textId="77777777" w:rsidR="00000000" w:rsidRDefault="00405D16">
            <w:pPr>
              <w:spacing w:after="100"/>
              <w:rPr>
                <w:rFonts w:eastAsia="Times New Roman"/>
                <w:sz w:val="20"/>
                <w:szCs w:val="20"/>
              </w:rPr>
            </w:pPr>
          </w:p>
        </w:tc>
        <w:tc>
          <w:tcPr>
            <w:tcW w:w="5" w:type="pct"/>
            <w:vAlign w:val="center"/>
            <w:hideMark/>
          </w:tcPr>
          <w:p w14:paraId="03D503B9" w14:textId="77777777" w:rsidR="00000000" w:rsidRDefault="00405D16">
            <w:pPr>
              <w:spacing w:after="100"/>
              <w:rPr>
                <w:rFonts w:eastAsia="Times New Roman"/>
                <w:sz w:val="20"/>
                <w:szCs w:val="20"/>
              </w:rPr>
            </w:pPr>
          </w:p>
        </w:tc>
        <w:tc>
          <w:tcPr>
            <w:tcW w:w="26" w:type="pct"/>
            <w:vAlign w:val="center"/>
            <w:hideMark/>
          </w:tcPr>
          <w:p w14:paraId="1DFC748D" w14:textId="77777777" w:rsidR="00000000" w:rsidRDefault="00405D16">
            <w:pPr>
              <w:spacing w:after="100"/>
              <w:rPr>
                <w:rFonts w:eastAsia="Times New Roman"/>
                <w:sz w:val="20"/>
                <w:szCs w:val="20"/>
              </w:rPr>
            </w:pPr>
          </w:p>
        </w:tc>
        <w:tc>
          <w:tcPr>
            <w:tcW w:w="5" w:type="pct"/>
            <w:vAlign w:val="center"/>
            <w:hideMark/>
          </w:tcPr>
          <w:p w14:paraId="790FFC5E" w14:textId="77777777" w:rsidR="00000000" w:rsidRDefault="00405D16">
            <w:pPr>
              <w:spacing w:after="100"/>
              <w:rPr>
                <w:rFonts w:eastAsia="Times New Roman"/>
                <w:sz w:val="20"/>
                <w:szCs w:val="20"/>
              </w:rPr>
            </w:pPr>
          </w:p>
        </w:tc>
        <w:tc>
          <w:tcPr>
            <w:tcW w:w="50" w:type="pct"/>
            <w:vAlign w:val="center"/>
            <w:hideMark/>
          </w:tcPr>
          <w:p w14:paraId="7551965C" w14:textId="77777777" w:rsidR="00000000" w:rsidRDefault="00405D16">
            <w:pPr>
              <w:spacing w:after="100"/>
              <w:rPr>
                <w:rFonts w:eastAsia="Times New Roman"/>
                <w:sz w:val="20"/>
                <w:szCs w:val="20"/>
              </w:rPr>
            </w:pPr>
          </w:p>
        </w:tc>
        <w:tc>
          <w:tcPr>
            <w:tcW w:w="522" w:type="pct"/>
            <w:vAlign w:val="center"/>
            <w:hideMark/>
          </w:tcPr>
          <w:p w14:paraId="56023D22" w14:textId="77777777" w:rsidR="00000000" w:rsidRDefault="00405D16">
            <w:pPr>
              <w:spacing w:after="100"/>
              <w:rPr>
                <w:rFonts w:eastAsia="Times New Roman"/>
                <w:sz w:val="20"/>
                <w:szCs w:val="20"/>
              </w:rPr>
            </w:pPr>
          </w:p>
        </w:tc>
        <w:tc>
          <w:tcPr>
            <w:tcW w:w="5" w:type="pct"/>
            <w:vAlign w:val="center"/>
            <w:hideMark/>
          </w:tcPr>
          <w:p w14:paraId="2EF028FB" w14:textId="77777777" w:rsidR="00000000" w:rsidRDefault="00405D16">
            <w:pPr>
              <w:spacing w:after="100"/>
              <w:rPr>
                <w:rFonts w:eastAsia="Times New Roman"/>
                <w:sz w:val="20"/>
                <w:szCs w:val="20"/>
              </w:rPr>
            </w:pPr>
          </w:p>
        </w:tc>
      </w:tr>
      <w:tr w:rsidR="00000000" w14:paraId="1B6B3428" w14:textId="77777777">
        <w:trPr>
          <w:divId w:val="1734621037"/>
        </w:trPr>
        <w:tc>
          <w:tcPr>
            <w:tcW w:w="0" w:type="auto"/>
            <w:gridSpan w:val="3"/>
            <w:tcMar>
              <w:top w:w="0" w:type="dxa"/>
              <w:left w:w="20" w:type="dxa"/>
              <w:bottom w:w="0" w:type="dxa"/>
              <w:right w:w="20" w:type="dxa"/>
            </w:tcMar>
            <w:vAlign w:val="center"/>
            <w:hideMark/>
          </w:tcPr>
          <w:p w14:paraId="75982F3A"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A58B0DD" w14:textId="77777777" w:rsidR="00000000" w:rsidRDefault="00405D16">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14:paraId="67860498" w14:textId="77777777" w:rsidR="00000000" w:rsidRDefault="00405D16">
            <w:pPr>
              <w:spacing w:after="100"/>
              <w:jc w:val="center"/>
              <w:rPr>
                <w:rFonts w:eastAsia="Times New Roman"/>
              </w:rPr>
            </w:pPr>
            <w:r>
              <w:rPr>
                <w:rFonts w:eastAsia="Times New Roman"/>
                <w:b/>
                <w:bCs/>
                <w:color w:val="000000"/>
                <w:sz w:val="16"/>
                <w:szCs w:val="16"/>
              </w:rPr>
              <w:t>December 31, 2020</w:t>
            </w:r>
          </w:p>
        </w:tc>
      </w:tr>
      <w:tr w:rsidR="00000000" w14:paraId="1EAEAF82" w14:textId="77777777">
        <w:trPr>
          <w:divId w:val="1734621037"/>
        </w:trPr>
        <w:tc>
          <w:tcPr>
            <w:tcW w:w="0" w:type="auto"/>
            <w:gridSpan w:val="3"/>
            <w:tcMar>
              <w:top w:w="0" w:type="dxa"/>
              <w:left w:w="20" w:type="dxa"/>
              <w:bottom w:w="0" w:type="dxa"/>
              <w:right w:w="20" w:type="dxa"/>
            </w:tcMar>
            <w:vAlign w:val="center"/>
            <w:hideMark/>
          </w:tcPr>
          <w:p w14:paraId="7ABC9C73" w14:textId="77777777" w:rsidR="00000000" w:rsidRDefault="00405D1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0CAD147"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FCB610A"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856AB13" w14:textId="77777777" w:rsidR="00000000" w:rsidRDefault="00405D16">
            <w:pPr>
              <w:spacing w:after="100"/>
              <w:rPr>
                <w:rFonts w:eastAsia="Times New Roman"/>
                <w:sz w:val="20"/>
                <w:szCs w:val="20"/>
              </w:rPr>
            </w:pPr>
          </w:p>
        </w:tc>
        <w:tc>
          <w:tcPr>
            <w:tcW w:w="0" w:type="auto"/>
            <w:gridSpan w:val="24"/>
            <w:tcBorders>
              <w:top w:val="single" w:sz="8" w:space="0" w:color="000000"/>
            </w:tcBorders>
            <w:shd w:val="clear" w:color="auto" w:fill="FFFFFF"/>
            <w:tcMar>
              <w:top w:w="30" w:type="dxa"/>
              <w:left w:w="20" w:type="dxa"/>
              <w:bottom w:w="30" w:type="dxa"/>
              <w:right w:w="20" w:type="dxa"/>
            </w:tcMar>
            <w:vAlign w:val="bottom"/>
            <w:hideMark/>
          </w:tcPr>
          <w:p w14:paraId="5FEDEE36" w14:textId="77777777" w:rsidR="00000000" w:rsidRDefault="00405D16">
            <w:pPr>
              <w:spacing w:after="100"/>
              <w:jc w:val="center"/>
              <w:rPr>
                <w:rFonts w:eastAsia="Times New Roman"/>
              </w:rPr>
            </w:pPr>
            <w:r>
              <w:rPr>
                <w:rFonts w:eastAsia="Times New Roman"/>
                <w:b/>
                <w:bCs/>
                <w:color w:val="000000"/>
                <w:sz w:val="16"/>
                <w:szCs w:val="16"/>
              </w:rPr>
              <w:t>Delinquent Loans</w:t>
            </w:r>
          </w:p>
        </w:tc>
        <w:tc>
          <w:tcPr>
            <w:tcW w:w="0" w:type="auto"/>
            <w:gridSpan w:val="3"/>
            <w:tcBorders>
              <w:top w:val="single" w:sz="8" w:space="0" w:color="000000"/>
            </w:tcBorders>
            <w:tcMar>
              <w:top w:w="0" w:type="dxa"/>
              <w:left w:w="20" w:type="dxa"/>
              <w:bottom w:w="0" w:type="dxa"/>
              <w:right w:w="20" w:type="dxa"/>
            </w:tcMar>
            <w:vAlign w:val="center"/>
            <w:hideMark/>
          </w:tcPr>
          <w:p w14:paraId="45D8868D" w14:textId="77777777" w:rsidR="00000000" w:rsidRDefault="00405D16">
            <w:pPr>
              <w:spacing w:after="100"/>
              <w:jc w:val="center"/>
              <w:rPr>
                <w:rFonts w:eastAsia="Times New Roman"/>
              </w:rPr>
            </w:pPr>
          </w:p>
        </w:tc>
      </w:tr>
      <w:tr w:rsidR="00000000" w14:paraId="0BACEBF7" w14:textId="77777777">
        <w:trPr>
          <w:divId w:val="1734621037"/>
        </w:trPr>
        <w:tc>
          <w:tcPr>
            <w:tcW w:w="0" w:type="auto"/>
            <w:gridSpan w:val="3"/>
            <w:tcMar>
              <w:top w:w="30" w:type="dxa"/>
              <w:left w:w="20" w:type="dxa"/>
              <w:bottom w:w="30" w:type="dxa"/>
              <w:right w:w="20" w:type="dxa"/>
            </w:tcMar>
            <w:vAlign w:val="bottom"/>
            <w:hideMark/>
          </w:tcPr>
          <w:p w14:paraId="2E8FD15D"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5E5FAD08" w14:textId="77777777" w:rsidR="00000000" w:rsidRDefault="00405D16">
            <w:pPr>
              <w:spacing w:after="100"/>
              <w:rPr>
                <w:rFonts w:eastAsia="Times New Roman"/>
              </w:rPr>
            </w:pPr>
          </w:p>
        </w:tc>
        <w:tc>
          <w:tcPr>
            <w:tcW w:w="0" w:type="auto"/>
            <w:gridSpan w:val="3"/>
            <w:tcMar>
              <w:top w:w="30" w:type="dxa"/>
              <w:left w:w="20" w:type="dxa"/>
              <w:bottom w:w="30" w:type="dxa"/>
              <w:right w:w="20" w:type="dxa"/>
            </w:tcMar>
            <w:vAlign w:val="bottom"/>
            <w:hideMark/>
          </w:tcPr>
          <w:p w14:paraId="177DFA5A" w14:textId="77777777" w:rsidR="00000000" w:rsidRDefault="00405D16">
            <w:pPr>
              <w:spacing w:after="100"/>
              <w:jc w:val="center"/>
              <w:rPr>
                <w:rFonts w:eastAsia="Times New Roman"/>
              </w:rPr>
            </w:pPr>
            <w:r>
              <w:rPr>
                <w:rFonts w:eastAsia="Times New Roman"/>
                <w:b/>
                <w:bCs/>
                <w:color w:val="000000"/>
                <w:sz w:val="16"/>
                <w:szCs w:val="16"/>
              </w:rPr>
              <w:t>Current</w:t>
            </w:r>
          </w:p>
        </w:tc>
        <w:tc>
          <w:tcPr>
            <w:tcW w:w="0" w:type="auto"/>
            <w:gridSpan w:val="3"/>
            <w:tcMar>
              <w:top w:w="0" w:type="dxa"/>
              <w:left w:w="20" w:type="dxa"/>
              <w:bottom w:w="0" w:type="dxa"/>
              <w:right w:w="20" w:type="dxa"/>
            </w:tcMar>
            <w:vAlign w:val="center"/>
            <w:hideMark/>
          </w:tcPr>
          <w:p w14:paraId="56FA1E7E"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470B2C5" w14:textId="77777777" w:rsidR="00000000" w:rsidRDefault="00405D16">
            <w:pPr>
              <w:spacing w:after="100"/>
              <w:jc w:val="center"/>
              <w:rPr>
                <w:rFonts w:eastAsia="Times New Roman"/>
              </w:rPr>
            </w:pPr>
            <w:r>
              <w:rPr>
                <w:rFonts w:eastAsia="Times New Roman"/>
                <w:b/>
                <w:bCs/>
                <w:color w:val="000000"/>
                <w:sz w:val="16"/>
                <w:szCs w:val="16"/>
              </w:rPr>
              <w:t>30-59</w:t>
            </w:r>
            <w:r>
              <w:rPr>
                <w:rFonts w:eastAsia="Times New Roman"/>
                <w:b/>
                <w:bCs/>
                <w:color w:val="000000"/>
                <w:sz w:val="16"/>
                <w:szCs w:val="16"/>
              </w:rPr>
              <w:br/>
              <w:t>Days</w:t>
            </w:r>
          </w:p>
        </w:tc>
        <w:tc>
          <w:tcPr>
            <w:tcW w:w="0" w:type="auto"/>
            <w:gridSpan w:val="3"/>
            <w:tcBorders>
              <w:top w:val="single" w:sz="8" w:space="0" w:color="000000"/>
            </w:tcBorders>
            <w:tcMar>
              <w:top w:w="0" w:type="dxa"/>
              <w:left w:w="20" w:type="dxa"/>
              <w:bottom w:w="0" w:type="dxa"/>
              <w:right w:w="20" w:type="dxa"/>
            </w:tcMar>
            <w:vAlign w:val="center"/>
            <w:hideMark/>
          </w:tcPr>
          <w:p w14:paraId="02871818"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3B4131C" w14:textId="77777777" w:rsidR="00000000" w:rsidRDefault="00405D16">
            <w:pPr>
              <w:spacing w:after="100"/>
              <w:jc w:val="center"/>
              <w:rPr>
                <w:rFonts w:eastAsia="Times New Roman"/>
              </w:rPr>
            </w:pPr>
            <w:r>
              <w:rPr>
                <w:rFonts w:eastAsia="Times New Roman"/>
                <w:b/>
                <w:bCs/>
                <w:color w:val="000000"/>
                <w:sz w:val="16"/>
                <w:szCs w:val="16"/>
              </w:rPr>
              <w:t>60-89</w:t>
            </w:r>
            <w:r>
              <w:rPr>
                <w:rFonts w:eastAsia="Times New Roman"/>
                <w:b/>
                <w:bCs/>
                <w:color w:val="000000"/>
                <w:sz w:val="16"/>
                <w:szCs w:val="16"/>
              </w:rPr>
              <w:br/>
              <w:t>Days</w:t>
            </w:r>
          </w:p>
        </w:tc>
        <w:tc>
          <w:tcPr>
            <w:tcW w:w="0" w:type="auto"/>
            <w:gridSpan w:val="3"/>
            <w:tcBorders>
              <w:top w:val="single" w:sz="8" w:space="0" w:color="000000"/>
            </w:tcBorders>
            <w:tcMar>
              <w:top w:w="0" w:type="dxa"/>
              <w:left w:w="20" w:type="dxa"/>
              <w:bottom w:w="0" w:type="dxa"/>
              <w:right w:w="20" w:type="dxa"/>
            </w:tcMar>
            <w:vAlign w:val="center"/>
            <w:hideMark/>
          </w:tcPr>
          <w:p w14:paraId="7E4DCA19"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94F2961" w14:textId="77777777" w:rsidR="00000000" w:rsidRDefault="00405D16">
            <w:pPr>
              <w:spacing w:after="100"/>
              <w:jc w:val="center"/>
              <w:rPr>
                <w:rFonts w:eastAsia="Times New Roman"/>
              </w:rPr>
            </w:pPr>
            <w:r>
              <w:rPr>
                <w:rFonts w:eastAsia="Times New Roman"/>
                <w:b/>
                <w:bCs/>
                <w:color w:val="000000"/>
                <w:sz w:val="16"/>
                <w:szCs w:val="16"/>
                <w:u w:val="single"/>
              </w:rPr>
              <w:t>&gt;</w:t>
            </w:r>
            <w:r>
              <w:rPr>
                <w:rFonts w:eastAsia="Times New Roman"/>
                <w:b/>
                <w:bCs/>
                <w:color w:val="000000"/>
                <w:sz w:val="16"/>
                <w:szCs w:val="16"/>
              </w:rPr>
              <w:t xml:space="preserve"> 90</w:t>
            </w:r>
          </w:p>
          <w:p w14:paraId="3CF3314D" w14:textId="77777777" w:rsidR="00000000" w:rsidRDefault="00405D16">
            <w:pPr>
              <w:spacing w:after="100"/>
              <w:jc w:val="center"/>
              <w:rPr>
                <w:rFonts w:eastAsia="Times New Roman"/>
              </w:rPr>
            </w:pPr>
            <w:r>
              <w:rPr>
                <w:rFonts w:eastAsia="Times New Roman"/>
                <w:b/>
                <w:bCs/>
                <w:color w:val="000000"/>
                <w:sz w:val="16"/>
                <w:szCs w:val="16"/>
              </w:rPr>
              <w:t>Days</w:t>
            </w:r>
          </w:p>
        </w:tc>
        <w:tc>
          <w:tcPr>
            <w:tcW w:w="0" w:type="auto"/>
            <w:gridSpan w:val="3"/>
            <w:tcBorders>
              <w:top w:val="single" w:sz="8" w:space="0" w:color="000000"/>
            </w:tcBorders>
            <w:tcMar>
              <w:top w:w="0" w:type="dxa"/>
              <w:left w:w="20" w:type="dxa"/>
              <w:bottom w:w="0" w:type="dxa"/>
              <w:right w:w="20" w:type="dxa"/>
            </w:tcMar>
            <w:vAlign w:val="center"/>
            <w:hideMark/>
          </w:tcPr>
          <w:p w14:paraId="58B72040"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45D29D2" w14:textId="77777777" w:rsidR="00000000" w:rsidRDefault="00405D16">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Delinquent</w:t>
            </w:r>
            <w:r>
              <w:rPr>
                <w:rFonts w:eastAsia="Times New Roman"/>
                <w:b/>
                <w:bCs/>
                <w:color w:val="000000"/>
                <w:sz w:val="16"/>
                <w:szCs w:val="16"/>
              </w:rPr>
              <w:br/>
              <w:t>Loans</w:t>
            </w:r>
          </w:p>
        </w:tc>
        <w:tc>
          <w:tcPr>
            <w:tcW w:w="0" w:type="auto"/>
            <w:gridSpan w:val="3"/>
            <w:tcBorders>
              <w:top w:val="single" w:sz="8" w:space="0" w:color="000000"/>
            </w:tcBorders>
            <w:tcMar>
              <w:top w:w="0" w:type="dxa"/>
              <w:left w:w="20" w:type="dxa"/>
              <w:bottom w:w="0" w:type="dxa"/>
              <w:right w:w="20" w:type="dxa"/>
            </w:tcMar>
            <w:vAlign w:val="center"/>
            <w:hideMark/>
          </w:tcPr>
          <w:p w14:paraId="051A065B"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27272DA" w14:textId="77777777" w:rsidR="00000000" w:rsidRDefault="00405D16">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Loans</w:t>
            </w:r>
          </w:p>
        </w:tc>
      </w:tr>
      <w:tr w:rsidR="00000000" w14:paraId="64135D36" w14:textId="77777777">
        <w:trPr>
          <w:divId w:val="173462103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3E5233F" w14:textId="77777777" w:rsidR="00000000" w:rsidRDefault="00405D16">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14:paraId="0885EA6D"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47F167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8D95E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BD252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47E9C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CE0DE4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BCE372"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6E847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DC0951"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45E449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7A185E"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A059AE1" w14:textId="77777777" w:rsidR="00000000" w:rsidRDefault="00405D16">
            <w:pPr>
              <w:spacing w:after="100"/>
              <w:rPr>
                <w:rFonts w:eastAsia="Times New Roman"/>
                <w:sz w:val="20"/>
                <w:szCs w:val="20"/>
              </w:rPr>
            </w:pPr>
          </w:p>
        </w:tc>
      </w:tr>
      <w:tr w:rsidR="00000000" w14:paraId="1735815D" w14:textId="77777777">
        <w:trPr>
          <w:divId w:val="1734621037"/>
        </w:trPr>
        <w:tc>
          <w:tcPr>
            <w:tcW w:w="0" w:type="auto"/>
            <w:gridSpan w:val="3"/>
            <w:shd w:val="clear" w:color="auto" w:fill="FFFFFF"/>
            <w:tcMar>
              <w:top w:w="30" w:type="dxa"/>
              <w:left w:w="245" w:type="dxa"/>
              <w:bottom w:w="30" w:type="dxa"/>
              <w:right w:w="20" w:type="dxa"/>
            </w:tcMar>
            <w:vAlign w:val="center"/>
            <w:hideMark/>
          </w:tcPr>
          <w:p w14:paraId="55EBD8A7" w14:textId="77777777" w:rsidR="00000000" w:rsidRDefault="00405D16">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14:paraId="53E3580E"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53B605AC"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0904899B" w14:textId="77777777" w:rsidR="00000000" w:rsidRDefault="00405D16">
            <w:pPr>
              <w:spacing w:after="100"/>
              <w:jc w:val="right"/>
              <w:rPr>
                <w:rFonts w:eastAsia="Times New Roman"/>
              </w:rPr>
            </w:pPr>
            <w:r>
              <w:rPr>
                <w:rFonts w:eastAsia="Times New Roman"/>
                <w:color w:val="000000"/>
                <w:sz w:val="18"/>
                <w:szCs w:val="18"/>
              </w:rPr>
              <w:t>96,116 </w:t>
            </w:r>
          </w:p>
        </w:tc>
        <w:tc>
          <w:tcPr>
            <w:tcW w:w="0" w:type="auto"/>
            <w:shd w:val="clear" w:color="auto" w:fill="FFFFFF"/>
            <w:tcMar>
              <w:top w:w="30" w:type="dxa"/>
              <w:left w:w="0" w:type="dxa"/>
              <w:bottom w:w="30" w:type="dxa"/>
              <w:right w:w="20" w:type="dxa"/>
            </w:tcMar>
            <w:vAlign w:val="center"/>
            <w:hideMark/>
          </w:tcPr>
          <w:p w14:paraId="0E1FA4E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06D29D"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3CACBEA"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45FDCC04" w14:textId="77777777" w:rsidR="00000000" w:rsidRDefault="00405D16">
            <w:pPr>
              <w:spacing w:after="100"/>
              <w:jc w:val="right"/>
              <w:rPr>
                <w:rFonts w:eastAsia="Times New Roman"/>
              </w:rPr>
            </w:pPr>
            <w:r>
              <w:rPr>
                <w:rFonts w:eastAsia="Times New Roman"/>
                <w:color w:val="000000"/>
                <w:sz w:val="18"/>
                <w:szCs w:val="18"/>
              </w:rPr>
              <w:t>755 </w:t>
            </w:r>
          </w:p>
        </w:tc>
        <w:tc>
          <w:tcPr>
            <w:tcW w:w="0" w:type="auto"/>
            <w:shd w:val="clear" w:color="auto" w:fill="FFFFFF"/>
            <w:tcMar>
              <w:top w:w="30" w:type="dxa"/>
              <w:left w:w="0" w:type="dxa"/>
              <w:bottom w:w="30" w:type="dxa"/>
              <w:right w:w="20" w:type="dxa"/>
            </w:tcMar>
            <w:vAlign w:val="center"/>
            <w:hideMark/>
          </w:tcPr>
          <w:p w14:paraId="3488809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BA9B43"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8E35B30"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252E3866" w14:textId="77777777" w:rsidR="00000000" w:rsidRDefault="00405D16">
            <w:pPr>
              <w:spacing w:after="100"/>
              <w:jc w:val="right"/>
              <w:rPr>
                <w:rFonts w:eastAsia="Times New Roman"/>
              </w:rPr>
            </w:pPr>
            <w:r>
              <w:rPr>
                <w:rFonts w:eastAsia="Times New Roman"/>
                <w:color w:val="000000"/>
                <w:sz w:val="18"/>
                <w:szCs w:val="18"/>
              </w:rPr>
              <w:t>464 </w:t>
            </w:r>
          </w:p>
        </w:tc>
        <w:tc>
          <w:tcPr>
            <w:tcW w:w="0" w:type="auto"/>
            <w:shd w:val="clear" w:color="auto" w:fill="FFFFFF"/>
            <w:tcMar>
              <w:top w:w="30" w:type="dxa"/>
              <w:left w:w="0" w:type="dxa"/>
              <w:bottom w:w="30" w:type="dxa"/>
              <w:right w:w="20" w:type="dxa"/>
            </w:tcMar>
            <w:vAlign w:val="center"/>
            <w:hideMark/>
          </w:tcPr>
          <w:p w14:paraId="7936737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F8E1AB"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EF62893"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047F65E0" w14:textId="77777777" w:rsidR="00000000" w:rsidRDefault="00405D16">
            <w:pPr>
              <w:spacing w:after="100"/>
              <w:jc w:val="right"/>
              <w:rPr>
                <w:rFonts w:eastAsia="Times New Roman"/>
              </w:rPr>
            </w:pPr>
            <w:r>
              <w:rPr>
                <w:rFonts w:eastAsia="Times New Roman"/>
                <w:color w:val="000000"/>
                <w:sz w:val="18"/>
                <w:szCs w:val="18"/>
              </w:rPr>
              <w:t>1,169 </w:t>
            </w:r>
          </w:p>
        </w:tc>
        <w:tc>
          <w:tcPr>
            <w:tcW w:w="0" w:type="auto"/>
            <w:shd w:val="clear" w:color="auto" w:fill="FFFFFF"/>
            <w:tcMar>
              <w:top w:w="30" w:type="dxa"/>
              <w:left w:w="0" w:type="dxa"/>
              <w:bottom w:w="30" w:type="dxa"/>
              <w:right w:w="20" w:type="dxa"/>
            </w:tcMar>
            <w:vAlign w:val="center"/>
            <w:hideMark/>
          </w:tcPr>
          <w:p w14:paraId="2673E70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725779"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892A0B1"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7C2B50B5" w14:textId="77777777" w:rsidR="00000000" w:rsidRDefault="00405D16">
            <w:pPr>
              <w:spacing w:after="100"/>
              <w:jc w:val="right"/>
              <w:rPr>
                <w:rFonts w:eastAsia="Times New Roman"/>
              </w:rPr>
            </w:pPr>
            <w:r>
              <w:rPr>
                <w:rFonts w:eastAsia="Times New Roman"/>
                <w:color w:val="000000"/>
                <w:sz w:val="18"/>
                <w:szCs w:val="18"/>
              </w:rPr>
              <w:t>2,388 </w:t>
            </w:r>
          </w:p>
        </w:tc>
        <w:tc>
          <w:tcPr>
            <w:tcW w:w="0" w:type="auto"/>
            <w:shd w:val="clear" w:color="auto" w:fill="FFFFFF"/>
            <w:tcMar>
              <w:top w:w="30" w:type="dxa"/>
              <w:left w:w="0" w:type="dxa"/>
              <w:bottom w:w="30" w:type="dxa"/>
              <w:right w:w="20" w:type="dxa"/>
            </w:tcMar>
            <w:vAlign w:val="center"/>
            <w:hideMark/>
          </w:tcPr>
          <w:p w14:paraId="24C4289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56E86D"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51F6BD2"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01784969" w14:textId="77777777" w:rsidR="00000000" w:rsidRDefault="00405D16">
            <w:pPr>
              <w:spacing w:after="100"/>
              <w:jc w:val="right"/>
              <w:rPr>
                <w:rFonts w:eastAsia="Times New Roman"/>
              </w:rPr>
            </w:pPr>
            <w:r>
              <w:rPr>
                <w:rFonts w:eastAsia="Times New Roman"/>
                <w:color w:val="000000"/>
                <w:sz w:val="18"/>
                <w:szCs w:val="18"/>
              </w:rPr>
              <w:t>98,504 </w:t>
            </w:r>
          </w:p>
        </w:tc>
        <w:tc>
          <w:tcPr>
            <w:tcW w:w="0" w:type="auto"/>
            <w:shd w:val="clear" w:color="auto" w:fill="FFFFFF"/>
            <w:tcMar>
              <w:top w:w="30" w:type="dxa"/>
              <w:left w:w="0" w:type="dxa"/>
              <w:bottom w:w="30" w:type="dxa"/>
              <w:right w:w="20" w:type="dxa"/>
            </w:tcMar>
            <w:vAlign w:val="center"/>
            <w:hideMark/>
          </w:tcPr>
          <w:p w14:paraId="7EA4E6C1" w14:textId="77777777" w:rsidR="00000000" w:rsidRDefault="00405D16">
            <w:pPr>
              <w:spacing w:after="100"/>
              <w:jc w:val="right"/>
              <w:rPr>
                <w:rFonts w:eastAsia="Times New Roman"/>
              </w:rPr>
            </w:pPr>
          </w:p>
        </w:tc>
      </w:tr>
      <w:tr w:rsidR="00000000" w14:paraId="24894E7C" w14:textId="77777777">
        <w:trPr>
          <w:divId w:val="1734621037"/>
        </w:trPr>
        <w:tc>
          <w:tcPr>
            <w:tcW w:w="0" w:type="auto"/>
            <w:gridSpan w:val="3"/>
            <w:shd w:val="clear" w:color="auto" w:fill="CCEEFF"/>
            <w:tcMar>
              <w:top w:w="30" w:type="dxa"/>
              <w:left w:w="245" w:type="dxa"/>
              <w:bottom w:w="30" w:type="dxa"/>
              <w:right w:w="20" w:type="dxa"/>
            </w:tcMar>
            <w:vAlign w:val="center"/>
            <w:hideMark/>
          </w:tcPr>
          <w:p w14:paraId="7AB0868D" w14:textId="77777777" w:rsidR="00000000" w:rsidRDefault="00405D16">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14:paraId="6126D126"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9327772" w14:textId="77777777" w:rsidR="00000000" w:rsidRDefault="00405D16">
            <w:pPr>
              <w:spacing w:after="100"/>
              <w:jc w:val="right"/>
              <w:rPr>
                <w:rFonts w:eastAsia="Times New Roman"/>
              </w:rPr>
            </w:pPr>
            <w:r>
              <w:rPr>
                <w:rFonts w:eastAsia="Times New Roman"/>
                <w:color w:val="000000"/>
                <w:sz w:val="18"/>
                <w:szCs w:val="18"/>
              </w:rPr>
              <w:t>8,218 </w:t>
            </w:r>
          </w:p>
        </w:tc>
        <w:tc>
          <w:tcPr>
            <w:tcW w:w="0" w:type="auto"/>
            <w:shd w:val="clear" w:color="auto" w:fill="CCEEFF"/>
            <w:tcMar>
              <w:top w:w="30" w:type="dxa"/>
              <w:left w:w="0" w:type="dxa"/>
              <w:bottom w:w="30" w:type="dxa"/>
              <w:right w:w="20" w:type="dxa"/>
            </w:tcMar>
            <w:vAlign w:val="center"/>
            <w:hideMark/>
          </w:tcPr>
          <w:p w14:paraId="101D25B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3B792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9A47B95" w14:textId="77777777" w:rsidR="00000000" w:rsidRDefault="00405D16">
            <w:pPr>
              <w:spacing w:after="100"/>
              <w:jc w:val="right"/>
              <w:rPr>
                <w:rFonts w:eastAsia="Times New Roman"/>
              </w:rPr>
            </w:pPr>
            <w:r>
              <w:rPr>
                <w:rFonts w:eastAsia="Times New Roman"/>
                <w:color w:val="000000"/>
                <w:sz w:val="18"/>
                <w:szCs w:val="18"/>
              </w:rPr>
              <w:t>90 </w:t>
            </w:r>
          </w:p>
        </w:tc>
        <w:tc>
          <w:tcPr>
            <w:tcW w:w="0" w:type="auto"/>
            <w:shd w:val="clear" w:color="auto" w:fill="CCEEFF"/>
            <w:tcMar>
              <w:top w:w="30" w:type="dxa"/>
              <w:left w:w="0" w:type="dxa"/>
              <w:bottom w:w="30" w:type="dxa"/>
              <w:right w:w="20" w:type="dxa"/>
            </w:tcMar>
            <w:vAlign w:val="center"/>
            <w:hideMark/>
          </w:tcPr>
          <w:p w14:paraId="0625BA8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70A34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C33DDE4" w14:textId="77777777" w:rsidR="00000000" w:rsidRDefault="00405D16">
            <w:pPr>
              <w:spacing w:after="100"/>
              <w:jc w:val="right"/>
              <w:rPr>
                <w:rFonts w:eastAsia="Times New Roman"/>
              </w:rPr>
            </w:pPr>
            <w:r>
              <w:rPr>
                <w:rFonts w:eastAsia="Times New Roman"/>
                <w:color w:val="000000"/>
                <w:sz w:val="18"/>
                <w:szCs w:val="18"/>
              </w:rPr>
              <w:t>58 </w:t>
            </w:r>
          </w:p>
        </w:tc>
        <w:tc>
          <w:tcPr>
            <w:tcW w:w="0" w:type="auto"/>
            <w:shd w:val="clear" w:color="auto" w:fill="CCEEFF"/>
            <w:tcMar>
              <w:top w:w="30" w:type="dxa"/>
              <w:left w:w="0" w:type="dxa"/>
              <w:bottom w:w="30" w:type="dxa"/>
              <w:right w:w="20" w:type="dxa"/>
            </w:tcMar>
            <w:vAlign w:val="center"/>
            <w:hideMark/>
          </w:tcPr>
          <w:p w14:paraId="5CD42F3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255F4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BC5D786" w14:textId="77777777" w:rsidR="00000000" w:rsidRDefault="00405D16">
            <w:pPr>
              <w:spacing w:after="100"/>
              <w:jc w:val="right"/>
              <w:rPr>
                <w:rFonts w:eastAsia="Times New Roman"/>
              </w:rPr>
            </w:pPr>
            <w:r>
              <w:rPr>
                <w:rFonts w:eastAsia="Times New Roman"/>
                <w:color w:val="000000"/>
                <w:sz w:val="18"/>
                <w:szCs w:val="18"/>
              </w:rPr>
              <w:t>86 </w:t>
            </w:r>
          </w:p>
        </w:tc>
        <w:tc>
          <w:tcPr>
            <w:tcW w:w="0" w:type="auto"/>
            <w:shd w:val="clear" w:color="auto" w:fill="CCEEFF"/>
            <w:tcMar>
              <w:top w:w="30" w:type="dxa"/>
              <w:left w:w="0" w:type="dxa"/>
              <w:bottom w:w="30" w:type="dxa"/>
              <w:right w:w="20" w:type="dxa"/>
            </w:tcMar>
            <w:vAlign w:val="center"/>
            <w:hideMark/>
          </w:tcPr>
          <w:p w14:paraId="4FEA259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B1F47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9FD544D" w14:textId="77777777" w:rsidR="00000000" w:rsidRDefault="00405D16">
            <w:pPr>
              <w:spacing w:after="100"/>
              <w:jc w:val="right"/>
              <w:rPr>
                <w:rFonts w:eastAsia="Times New Roman"/>
              </w:rPr>
            </w:pPr>
            <w:r>
              <w:rPr>
                <w:rFonts w:eastAsia="Times New Roman"/>
                <w:color w:val="000000"/>
                <w:sz w:val="18"/>
                <w:szCs w:val="18"/>
              </w:rPr>
              <w:t>234 </w:t>
            </w:r>
          </w:p>
        </w:tc>
        <w:tc>
          <w:tcPr>
            <w:tcW w:w="0" w:type="auto"/>
            <w:shd w:val="clear" w:color="auto" w:fill="CCEEFF"/>
            <w:tcMar>
              <w:top w:w="30" w:type="dxa"/>
              <w:left w:w="0" w:type="dxa"/>
              <w:bottom w:w="30" w:type="dxa"/>
              <w:right w:w="20" w:type="dxa"/>
            </w:tcMar>
            <w:vAlign w:val="center"/>
            <w:hideMark/>
          </w:tcPr>
          <w:p w14:paraId="2697CF3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F612A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336730E" w14:textId="77777777" w:rsidR="00000000" w:rsidRDefault="00405D16">
            <w:pPr>
              <w:spacing w:after="100"/>
              <w:jc w:val="right"/>
              <w:rPr>
                <w:rFonts w:eastAsia="Times New Roman"/>
              </w:rPr>
            </w:pPr>
            <w:r>
              <w:rPr>
                <w:rFonts w:eastAsia="Times New Roman"/>
                <w:color w:val="000000"/>
                <w:sz w:val="18"/>
                <w:szCs w:val="18"/>
              </w:rPr>
              <w:t>8,452 </w:t>
            </w:r>
          </w:p>
        </w:tc>
        <w:tc>
          <w:tcPr>
            <w:tcW w:w="0" w:type="auto"/>
            <w:shd w:val="clear" w:color="auto" w:fill="CCEEFF"/>
            <w:tcMar>
              <w:top w:w="30" w:type="dxa"/>
              <w:left w:w="0" w:type="dxa"/>
              <w:bottom w:w="30" w:type="dxa"/>
              <w:right w:w="20" w:type="dxa"/>
            </w:tcMar>
            <w:vAlign w:val="center"/>
            <w:hideMark/>
          </w:tcPr>
          <w:p w14:paraId="5AE88027" w14:textId="77777777" w:rsidR="00000000" w:rsidRDefault="00405D16">
            <w:pPr>
              <w:spacing w:after="100"/>
              <w:jc w:val="right"/>
              <w:rPr>
                <w:rFonts w:eastAsia="Times New Roman"/>
              </w:rPr>
            </w:pPr>
          </w:p>
        </w:tc>
      </w:tr>
      <w:tr w:rsidR="00000000" w14:paraId="47F179A0" w14:textId="77777777">
        <w:trPr>
          <w:divId w:val="1734621037"/>
        </w:trPr>
        <w:tc>
          <w:tcPr>
            <w:tcW w:w="0" w:type="auto"/>
            <w:gridSpan w:val="3"/>
            <w:shd w:val="clear" w:color="auto" w:fill="FFFFFF"/>
            <w:tcMar>
              <w:top w:w="30" w:type="dxa"/>
              <w:left w:w="20" w:type="dxa"/>
              <w:bottom w:w="30" w:type="dxa"/>
              <w:right w:w="20" w:type="dxa"/>
            </w:tcMar>
            <w:vAlign w:val="center"/>
            <w:hideMark/>
          </w:tcPr>
          <w:p w14:paraId="4294AE42" w14:textId="77777777" w:rsidR="00000000" w:rsidRDefault="00405D16">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14:paraId="5CEDF131"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F4ACF20" w14:textId="77777777" w:rsidR="00000000" w:rsidRDefault="00405D16">
            <w:pPr>
              <w:spacing w:after="100"/>
              <w:jc w:val="right"/>
              <w:rPr>
                <w:rFonts w:eastAsia="Times New Roman"/>
              </w:rPr>
            </w:pPr>
            <w:r>
              <w:rPr>
                <w:rFonts w:eastAsia="Times New Roman"/>
                <w:color w:val="000000"/>
                <w:sz w:val="18"/>
                <w:szCs w:val="18"/>
              </w:rPr>
              <w:t>104,334 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3F8CEC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224F96"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E540169" w14:textId="77777777" w:rsidR="00000000" w:rsidRDefault="00405D16">
            <w:pPr>
              <w:spacing w:after="100"/>
              <w:jc w:val="right"/>
              <w:rPr>
                <w:rFonts w:eastAsia="Times New Roman"/>
              </w:rPr>
            </w:pPr>
            <w:r>
              <w:rPr>
                <w:rFonts w:eastAsia="Times New Roman"/>
                <w:color w:val="000000"/>
                <w:sz w:val="18"/>
                <w:szCs w:val="18"/>
              </w:rPr>
              <w:t>845 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7C703C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E8623F"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60E083F" w14:textId="77777777" w:rsidR="00000000" w:rsidRDefault="00405D16">
            <w:pPr>
              <w:spacing w:after="100"/>
              <w:jc w:val="right"/>
              <w:rPr>
                <w:rFonts w:eastAsia="Times New Roman"/>
              </w:rPr>
            </w:pPr>
            <w:r>
              <w:rPr>
                <w:rFonts w:eastAsia="Times New Roman"/>
                <w:color w:val="000000"/>
                <w:sz w:val="18"/>
                <w:szCs w:val="18"/>
              </w:rPr>
              <w:t>522 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35F080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C364F5"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604ED3D" w14:textId="77777777" w:rsidR="00000000" w:rsidRDefault="00405D16">
            <w:pPr>
              <w:spacing w:after="100"/>
              <w:jc w:val="right"/>
              <w:rPr>
                <w:rFonts w:eastAsia="Times New Roman"/>
              </w:rPr>
            </w:pPr>
            <w:r>
              <w:rPr>
                <w:rFonts w:eastAsia="Times New Roman"/>
                <w:color w:val="000000"/>
                <w:sz w:val="18"/>
                <w:szCs w:val="18"/>
              </w:rPr>
              <w:t>1,255 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60DF5A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960638"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6798A87" w14:textId="77777777" w:rsidR="00000000" w:rsidRDefault="00405D16">
            <w:pPr>
              <w:spacing w:after="100"/>
              <w:jc w:val="right"/>
              <w:rPr>
                <w:rFonts w:eastAsia="Times New Roman"/>
              </w:rPr>
            </w:pPr>
            <w:r>
              <w:rPr>
                <w:rFonts w:eastAsia="Times New Roman"/>
                <w:color w:val="000000"/>
                <w:sz w:val="18"/>
                <w:szCs w:val="18"/>
              </w:rPr>
              <w:t>2,622 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FC4445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7FB67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988F2A4" w14:textId="77777777" w:rsidR="00000000" w:rsidRDefault="00405D16">
            <w:pPr>
              <w:spacing w:after="100"/>
              <w:jc w:val="right"/>
              <w:rPr>
                <w:rFonts w:eastAsia="Times New Roman"/>
              </w:rPr>
            </w:pPr>
            <w:r>
              <w:rPr>
                <w:rFonts w:eastAsia="Times New Roman"/>
                <w:color w:val="000000"/>
                <w:sz w:val="18"/>
                <w:szCs w:val="18"/>
              </w:rPr>
              <w:t>106,956 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5D14284" w14:textId="77777777" w:rsidR="00000000" w:rsidRDefault="00405D16">
            <w:pPr>
              <w:spacing w:after="100"/>
              <w:jc w:val="right"/>
              <w:rPr>
                <w:rFonts w:eastAsia="Times New Roman"/>
              </w:rPr>
            </w:pPr>
          </w:p>
        </w:tc>
      </w:tr>
      <w:tr w:rsidR="00000000" w14:paraId="4EB3F253" w14:textId="77777777">
        <w:trPr>
          <w:divId w:val="1734621037"/>
        </w:trPr>
        <w:tc>
          <w:tcPr>
            <w:tcW w:w="0" w:type="auto"/>
            <w:gridSpan w:val="3"/>
            <w:shd w:val="clear" w:color="auto" w:fill="CCEEFF"/>
            <w:tcMar>
              <w:top w:w="30" w:type="dxa"/>
              <w:left w:w="20" w:type="dxa"/>
              <w:bottom w:w="30" w:type="dxa"/>
              <w:right w:w="20" w:type="dxa"/>
            </w:tcMar>
            <w:vAlign w:val="center"/>
            <w:hideMark/>
          </w:tcPr>
          <w:p w14:paraId="15D3C765" w14:textId="77777777" w:rsidR="00000000" w:rsidRDefault="00405D16">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14:paraId="7895201D"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BFE021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A38C2B"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F45169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80E8A2"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469952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8AB348"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10CB60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AF574B"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4B4E00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02D864"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A342D20" w14:textId="77777777" w:rsidR="00000000" w:rsidRDefault="00405D16">
            <w:pPr>
              <w:spacing w:after="100"/>
              <w:rPr>
                <w:rFonts w:eastAsia="Times New Roman"/>
                <w:sz w:val="20"/>
                <w:szCs w:val="20"/>
              </w:rPr>
            </w:pPr>
          </w:p>
        </w:tc>
      </w:tr>
      <w:tr w:rsidR="00000000" w14:paraId="444043A9" w14:textId="77777777">
        <w:trPr>
          <w:divId w:val="1734621037"/>
        </w:trPr>
        <w:tc>
          <w:tcPr>
            <w:tcW w:w="0" w:type="auto"/>
            <w:gridSpan w:val="3"/>
            <w:shd w:val="clear" w:color="auto" w:fill="FFFFFF"/>
            <w:tcMar>
              <w:top w:w="30" w:type="dxa"/>
              <w:left w:w="245" w:type="dxa"/>
              <w:bottom w:w="30" w:type="dxa"/>
              <w:right w:w="20" w:type="dxa"/>
            </w:tcMar>
            <w:vAlign w:val="center"/>
            <w:hideMark/>
          </w:tcPr>
          <w:p w14:paraId="686441DA" w14:textId="77777777" w:rsidR="00000000" w:rsidRDefault="00405D16">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14:paraId="693F3105"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8486B14" w14:textId="77777777" w:rsidR="00000000" w:rsidRDefault="00405D16">
            <w:pPr>
              <w:spacing w:after="100"/>
              <w:jc w:val="right"/>
              <w:rPr>
                <w:rFonts w:eastAsia="Times New Roman"/>
              </w:rPr>
            </w:pPr>
            <w:r>
              <w:rPr>
                <w:rFonts w:eastAsia="Times New Roman"/>
                <w:color w:val="000000"/>
                <w:sz w:val="18"/>
                <w:szCs w:val="18"/>
              </w:rPr>
              <w:t>62,381 </w:t>
            </w:r>
          </w:p>
        </w:tc>
        <w:tc>
          <w:tcPr>
            <w:tcW w:w="0" w:type="auto"/>
            <w:shd w:val="clear" w:color="auto" w:fill="FFFFFF"/>
            <w:tcMar>
              <w:top w:w="30" w:type="dxa"/>
              <w:left w:w="0" w:type="dxa"/>
              <w:bottom w:w="30" w:type="dxa"/>
              <w:right w:w="20" w:type="dxa"/>
            </w:tcMar>
            <w:vAlign w:val="center"/>
            <w:hideMark/>
          </w:tcPr>
          <w:p w14:paraId="4D40A51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09965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ED8F8D8" w14:textId="77777777" w:rsidR="00000000" w:rsidRDefault="00405D16">
            <w:pPr>
              <w:spacing w:after="100"/>
              <w:jc w:val="right"/>
              <w:rPr>
                <w:rFonts w:eastAsia="Times New Roman"/>
              </w:rPr>
            </w:pPr>
            <w:r>
              <w:rPr>
                <w:rFonts w:eastAsia="Times New Roman"/>
                <w:color w:val="000000"/>
                <w:sz w:val="18"/>
                <w:szCs w:val="18"/>
              </w:rPr>
              <w:t>2,252 </w:t>
            </w:r>
          </w:p>
        </w:tc>
        <w:tc>
          <w:tcPr>
            <w:tcW w:w="0" w:type="auto"/>
            <w:shd w:val="clear" w:color="auto" w:fill="FFFFFF"/>
            <w:tcMar>
              <w:top w:w="30" w:type="dxa"/>
              <w:left w:w="0" w:type="dxa"/>
              <w:bottom w:w="30" w:type="dxa"/>
              <w:right w:w="20" w:type="dxa"/>
            </w:tcMar>
            <w:vAlign w:val="center"/>
            <w:hideMark/>
          </w:tcPr>
          <w:p w14:paraId="24CF58A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87CA0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15DD7C5" w14:textId="77777777" w:rsidR="00000000" w:rsidRDefault="00405D16">
            <w:pPr>
              <w:spacing w:after="100"/>
              <w:jc w:val="right"/>
              <w:rPr>
                <w:rFonts w:eastAsia="Times New Roman"/>
              </w:rPr>
            </w:pPr>
            <w:r>
              <w:rPr>
                <w:rFonts w:eastAsia="Times New Roman"/>
                <w:color w:val="000000"/>
                <w:sz w:val="18"/>
                <w:szCs w:val="18"/>
              </w:rPr>
              <w:t>907 </w:t>
            </w:r>
          </w:p>
        </w:tc>
        <w:tc>
          <w:tcPr>
            <w:tcW w:w="0" w:type="auto"/>
            <w:shd w:val="clear" w:color="auto" w:fill="FFFFFF"/>
            <w:tcMar>
              <w:top w:w="30" w:type="dxa"/>
              <w:left w:w="0" w:type="dxa"/>
              <w:bottom w:w="30" w:type="dxa"/>
              <w:right w:w="20" w:type="dxa"/>
            </w:tcMar>
            <w:vAlign w:val="center"/>
            <w:hideMark/>
          </w:tcPr>
          <w:p w14:paraId="582B4BA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020A2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94C54C2" w14:textId="77777777" w:rsidR="00000000" w:rsidRDefault="00405D16">
            <w:pPr>
              <w:spacing w:after="100"/>
              <w:jc w:val="right"/>
              <w:rPr>
                <w:rFonts w:eastAsia="Times New Roman"/>
              </w:rPr>
            </w:pPr>
            <w:r>
              <w:rPr>
                <w:rFonts w:eastAsia="Times New Roman"/>
                <w:color w:val="000000"/>
                <w:sz w:val="18"/>
                <w:szCs w:val="18"/>
              </w:rPr>
              <w:t>222 </w:t>
            </w:r>
          </w:p>
        </w:tc>
        <w:tc>
          <w:tcPr>
            <w:tcW w:w="0" w:type="auto"/>
            <w:shd w:val="clear" w:color="auto" w:fill="FFFFFF"/>
            <w:tcMar>
              <w:top w:w="30" w:type="dxa"/>
              <w:left w:w="0" w:type="dxa"/>
              <w:bottom w:w="30" w:type="dxa"/>
              <w:right w:w="20" w:type="dxa"/>
            </w:tcMar>
            <w:vAlign w:val="center"/>
            <w:hideMark/>
          </w:tcPr>
          <w:p w14:paraId="405C611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061F5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CED91AC" w14:textId="77777777" w:rsidR="00000000" w:rsidRDefault="00405D16">
            <w:pPr>
              <w:spacing w:after="100"/>
              <w:jc w:val="right"/>
              <w:rPr>
                <w:rFonts w:eastAsia="Times New Roman"/>
              </w:rPr>
            </w:pPr>
            <w:r>
              <w:rPr>
                <w:rFonts w:eastAsia="Times New Roman"/>
                <w:color w:val="000000"/>
                <w:sz w:val="18"/>
                <w:szCs w:val="18"/>
              </w:rPr>
              <w:t>3,381 </w:t>
            </w:r>
          </w:p>
        </w:tc>
        <w:tc>
          <w:tcPr>
            <w:tcW w:w="0" w:type="auto"/>
            <w:shd w:val="clear" w:color="auto" w:fill="FFFFFF"/>
            <w:tcMar>
              <w:top w:w="30" w:type="dxa"/>
              <w:left w:w="0" w:type="dxa"/>
              <w:bottom w:w="30" w:type="dxa"/>
              <w:right w:w="20" w:type="dxa"/>
            </w:tcMar>
            <w:vAlign w:val="center"/>
            <w:hideMark/>
          </w:tcPr>
          <w:p w14:paraId="10FA1C0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11CFE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4625DFC" w14:textId="77777777" w:rsidR="00000000" w:rsidRDefault="00405D16">
            <w:pPr>
              <w:spacing w:after="100"/>
              <w:jc w:val="right"/>
              <w:rPr>
                <w:rFonts w:eastAsia="Times New Roman"/>
              </w:rPr>
            </w:pPr>
            <w:r>
              <w:rPr>
                <w:rFonts w:eastAsia="Times New Roman"/>
                <w:color w:val="000000"/>
                <w:sz w:val="18"/>
                <w:szCs w:val="18"/>
              </w:rPr>
              <w:t>65,762 </w:t>
            </w:r>
          </w:p>
        </w:tc>
        <w:tc>
          <w:tcPr>
            <w:tcW w:w="0" w:type="auto"/>
            <w:shd w:val="clear" w:color="auto" w:fill="FFFFFF"/>
            <w:tcMar>
              <w:top w:w="30" w:type="dxa"/>
              <w:left w:w="0" w:type="dxa"/>
              <w:bottom w:w="30" w:type="dxa"/>
              <w:right w:w="20" w:type="dxa"/>
            </w:tcMar>
            <w:vAlign w:val="center"/>
            <w:hideMark/>
          </w:tcPr>
          <w:p w14:paraId="5CBC70CD" w14:textId="77777777" w:rsidR="00000000" w:rsidRDefault="00405D16">
            <w:pPr>
              <w:spacing w:after="100"/>
              <w:jc w:val="right"/>
              <w:rPr>
                <w:rFonts w:eastAsia="Times New Roman"/>
              </w:rPr>
            </w:pPr>
          </w:p>
        </w:tc>
      </w:tr>
      <w:tr w:rsidR="00000000" w14:paraId="1F33BC11" w14:textId="77777777">
        <w:trPr>
          <w:divId w:val="1734621037"/>
        </w:trPr>
        <w:tc>
          <w:tcPr>
            <w:tcW w:w="0" w:type="auto"/>
            <w:gridSpan w:val="3"/>
            <w:shd w:val="clear" w:color="auto" w:fill="CCEEFF"/>
            <w:tcMar>
              <w:top w:w="30" w:type="dxa"/>
              <w:left w:w="245" w:type="dxa"/>
              <w:bottom w:w="30" w:type="dxa"/>
              <w:right w:w="20" w:type="dxa"/>
            </w:tcMar>
            <w:vAlign w:val="center"/>
            <w:hideMark/>
          </w:tcPr>
          <w:p w14:paraId="70708667" w14:textId="77777777" w:rsidR="00000000" w:rsidRDefault="00405D16">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14:paraId="27E11FB8"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28AAAE4" w14:textId="77777777" w:rsidR="00000000" w:rsidRDefault="00405D16">
            <w:pPr>
              <w:spacing w:after="100"/>
              <w:jc w:val="right"/>
              <w:rPr>
                <w:rFonts w:eastAsia="Times New Roman"/>
              </w:rPr>
            </w:pPr>
            <w:r>
              <w:rPr>
                <w:rFonts w:eastAsia="Times New Roman"/>
                <w:color w:val="000000"/>
                <w:sz w:val="18"/>
                <w:szCs w:val="18"/>
              </w:rPr>
              <w:t>3,064 </w:t>
            </w:r>
          </w:p>
        </w:tc>
        <w:tc>
          <w:tcPr>
            <w:tcW w:w="0" w:type="auto"/>
            <w:shd w:val="clear" w:color="auto" w:fill="CCEEFF"/>
            <w:tcMar>
              <w:top w:w="30" w:type="dxa"/>
              <w:left w:w="0" w:type="dxa"/>
              <w:bottom w:w="30" w:type="dxa"/>
              <w:right w:w="20" w:type="dxa"/>
            </w:tcMar>
            <w:vAlign w:val="center"/>
            <w:hideMark/>
          </w:tcPr>
          <w:p w14:paraId="1CCAA68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63374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A4C6C0B" w14:textId="77777777" w:rsidR="00000000" w:rsidRDefault="00405D16">
            <w:pPr>
              <w:spacing w:after="100"/>
              <w:jc w:val="right"/>
              <w:rPr>
                <w:rFonts w:eastAsia="Times New Roman"/>
              </w:rPr>
            </w:pPr>
            <w:r>
              <w:rPr>
                <w:rFonts w:eastAsia="Times New Roman"/>
                <w:color w:val="000000"/>
                <w:sz w:val="18"/>
                <w:szCs w:val="18"/>
              </w:rPr>
              <w:t>28 </w:t>
            </w:r>
          </w:p>
        </w:tc>
        <w:tc>
          <w:tcPr>
            <w:tcW w:w="0" w:type="auto"/>
            <w:shd w:val="clear" w:color="auto" w:fill="CCEEFF"/>
            <w:tcMar>
              <w:top w:w="30" w:type="dxa"/>
              <w:left w:w="0" w:type="dxa"/>
              <w:bottom w:w="30" w:type="dxa"/>
              <w:right w:w="20" w:type="dxa"/>
            </w:tcMar>
            <w:vAlign w:val="center"/>
            <w:hideMark/>
          </w:tcPr>
          <w:p w14:paraId="10D9C64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97607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35B84B4" w14:textId="77777777" w:rsidR="00000000" w:rsidRDefault="00405D16">
            <w:pPr>
              <w:spacing w:after="100"/>
              <w:jc w:val="right"/>
              <w:rPr>
                <w:rFonts w:eastAsia="Times New Roman"/>
              </w:rPr>
            </w:pPr>
            <w:r>
              <w:rPr>
                <w:rFonts w:eastAsia="Times New Roman"/>
                <w:color w:val="000000"/>
                <w:sz w:val="18"/>
                <w:szCs w:val="18"/>
              </w:rPr>
              <w:t>19 </w:t>
            </w:r>
          </w:p>
        </w:tc>
        <w:tc>
          <w:tcPr>
            <w:tcW w:w="0" w:type="auto"/>
            <w:shd w:val="clear" w:color="auto" w:fill="CCEEFF"/>
            <w:tcMar>
              <w:top w:w="30" w:type="dxa"/>
              <w:left w:w="0" w:type="dxa"/>
              <w:bottom w:w="30" w:type="dxa"/>
              <w:right w:w="20" w:type="dxa"/>
            </w:tcMar>
            <w:vAlign w:val="center"/>
            <w:hideMark/>
          </w:tcPr>
          <w:p w14:paraId="68FEA2F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BEB2B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DDA561E" w14:textId="77777777" w:rsidR="00000000" w:rsidRDefault="00405D16">
            <w:pPr>
              <w:spacing w:after="100"/>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center"/>
            <w:hideMark/>
          </w:tcPr>
          <w:p w14:paraId="2C26959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46844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F4D3BE9" w14:textId="77777777" w:rsidR="00000000" w:rsidRDefault="00405D16">
            <w:pPr>
              <w:spacing w:after="100"/>
              <w:jc w:val="right"/>
              <w:rPr>
                <w:rFonts w:eastAsia="Times New Roman"/>
              </w:rPr>
            </w:pPr>
            <w:r>
              <w:rPr>
                <w:rFonts w:eastAsia="Times New Roman"/>
                <w:color w:val="000000"/>
                <w:sz w:val="18"/>
                <w:szCs w:val="18"/>
              </w:rPr>
              <w:t>62 </w:t>
            </w:r>
          </w:p>
        </w:tc>
        <w:tc>
          <w:tcPr>
            <w:tcW w:w="0" w:type="auto"/>
            <w:shd w:val="clear" w:color="auto" w:fill="CCEEFF"/>
            <w:tcMar>
              <w:top w:w="30" w:type="dxa"/>
              <w:left w:w="0" w:type="dxa"/>
              <w:bottom w:w="30" w:type="dxa"/>
              <w:right w:w="20" w:type="dxa"/>
            </w:tcMar>
            <w:vAlign w:val="center"/>
            <w:hideMark/>
          </w:tcPr>
          <w:p w14:paraId="4100224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2ECB7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7406261" w14:textId="77777777" w:rsidR="00000000" w:rsidRDefault="00405D16">
            <w:pPr>
              <w:spacing w:after="100"/>
              <w:jc w:val="right"/>
              <w:rPr>
                <w:rFonts w:eastAsia="Times New Roman"/>
              </w:rPr>
            </w:pPr>
            <w:r>
              <w:rPr>
                <w:rFonts w:eastAsia="Times New Roman"/>
                <w:color w:val="000000"/>
                <w:sz w:val="18"/>
                <w:szCs w:val="18"/>
              </w:rPr>
              <w:t>3,126 </w:t>
            </w:r>
          </w:p>
        </w:tc>
        <w:tc>
          <w:tcPr>
            <w:tcW w:w="0" w:type="auto"/>
            <w:shd w:val="clear" w:color="auto" w:fill="CCEEFF"/>
            <w:tcMar>
              <w:top w:w="30" w:type="dxa"/>
              <w:left w:w="0" w:type="dxa"/>
              <w:bottom w:w="30" w:type="dxa"/>
              <w:right w:w="20" w:type="dxa"/>
            </w:tcMar>
            <w:vAlign w:val="center"/>
            <w:hideMark/>
          </w:tcPr>
          <w:p w14:paraId="0C0B0E64" w14:textId="77777777" w:rsidR="00000000" w:rsidRDefault="00405D16">
            <w:pPr>
              <w:spacing w:after="100"/>
              <w:jc w:val="right"/>
              <w:rPr>
                <w:rFonts w:eastAsia="Times New Roman"/>
              </w:rPr>
            </w:pPr>
          </w:p>
        </w:tc>
      </w:tr>
      <w:tr w:rsidR="00000000" w14:paraId="64EEBBDD" w14:textId="77777777">
        <w:trPr>
          <w:divId w:val="1734621037"/>
        </w:trPr>
        <w:tc>
          <w:tcPr>
            <w:tcW w:w="0" w:type="auto"/>
            <w:gridSpan w:val="3"/>
            <w:shd w:val="clear" w:color="auto" w:fill="FFFFFF"/>
            <w:tcMar>
              <w:top w:w="30" w:type="dxa"/>
              <w:left w:w="20" w:type="dxa"/>
              <w:bottom w:w="30" w:type="dxa"/>
              <w:right w:w="20" w:type="dxa"/>
            </w:tcMar>
            <w:vAlign w:val="center"/>
            <w:hideMark/>
          </w:tcPr>
          <w:p w14:paraId="1EC29253" w14:textId="77777777" w:rsidR="00000000" w:rsidRDefault="00405D16">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14:paraId="29742BD5"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8C24E43" w14:textId="77777777" w:rsidR="00000000" w:rsidRDefault="00405D16">
            <w:pPr>
              <w:spacing w:after="100"/>
              <w:jc w:val="right"/>
              <w:rPr>
                <w:rFonts w:eastAsia="Times New Roman"/>
              </w:rPr>
            </w:pPr>
            <w:r>
              <w:rPr>
                <w:rFonts w:eastAsia="Times New Roman"/>
                <w:color w:val="000000"/>
                <w:sz w:val="18"/>
                <w:szCs w:val="18"/>
              </w:rPr>
              <w:t>65,445 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1414FE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A362E1"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4152549" w14:textId="77777777" w:rsidR="00000000" w:rsidRDefault="00405D16">
            <w:pPr>
              <w:spacing w:after="100"/>
              <w:jc w:val="right"/>
              <w:rPr>
                <w:rFonts w:eastAsia="Times New Roman"/>
              </w:rPr>
            </w:pPr>
            <w:r>
              <w:rPr>
                <w:rFonts w:eastAsia="Times New Roman"/>
                <w:color w:val="000000"/>
                <w:sz w:val="18"/>
                <w:szCs w:val="18"/>
              </w:rPr>
              <w:t>2,280 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A4434C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A9157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2A9ADBC" w14:textId="77777777" w:rsidR="00000000" w:rsidRDefault="00405D16">
            <w:pPr>
              <w:spacing w:after="100"/>
              <w:jc w:val="right"/>
              <w:rPr>
                <w:rFonts w:eastAsia="Times New Roman"/>
              </w:rPr>
            </w:pPr>
            <w:r>
              <w:rPr>
                <w:rFonts w:eastAsia="Times New Roman"/>
                <w:color w:val="000000"/>
                <w:sz w:val="18"/>
                <w:szCs w:val="18"/>
              </w:rPr>
              <w:t>926 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27AB28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20C057"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B7F7968" w14:textId="77777777" w:rsidR="00000000" w:rsidRDefault="00405D16">
            <w:pPr>
              <w:spacing w:after="100"/>
              <w:jc w:val="right"/>
              <w:rPr>
                <w:rFonts w:eastAsia="Times New Roman"/>
              </w:rPr>
            </w:pPr>
            <w:r>
              <w:rPr>
                <w:rFonts w:eastAsia="Times New Roman"/>
                <w:color w:val="000000"/>
                <w:sz w:val="18"/>
                <w:szCs w:val="18"/>
              </w:rPr>
              <w:t>237 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46186A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76FECB"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C199AF1" w14:textId="77777777" w:rsidR="00000000" w:rsidRDefault="00405D16">
            <w:pPr>
              <w:spacing w:after="100"/>
              <w:jc w:val="right"/>
              <w:rPr>
                <w:rFonts w:eastAsia="Times New Roman"/>
              </w:rPr>
            </w:pPr>
            <w:r>
              <w:rPr>
                <w:rFonts w:eastAsia="Times New Roman"/>
                <w:color w:val="000000"/>
                <w:sz w:val="18"/>
                <w:szCs w:val="18"/>
              </w:rPr>
              <w:t>3,443 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D5A10A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3DAF50"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07B3F0A" w14:textId="77777777" w:rsidR="00000000" w:rsidRDefault="00405D16">
            <w:pPr>
              <w:spacing w:after="100"/>
              <w:jc w:val="right"/>
              <w:rPr>
                <w:rFonts w:eastAsia="Times New Roman"/>
              </w:rPr>
            </w:pPr>
            <w:r>
              <w:rPr>
                <w:rFonts w:eastAsia="Times New Roman"/>
                <w:color w:val="000000"/>
                <w:sz w:val="18"/>
                <w:szCs w:val="18"/>
              </w:rPr>
              <w:t>68,888 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32E5E91" w14:textId="77777777" w:rsidR="00000000" w:rsidRDefault="00405D16">
            <w:pPr>
              <w:spacing w:after="100"/>
              <w:jc w:val="right"/>
              <w:rPr>
                <w:rFonts w:eastAsia="Times New Roman"/>
              </w:rPr>
            </w:pPr>
          </w:p>
        </w:tc>
      </w:tr>
      <w:tr w:rsidR="00000000" w14:paraId="65001879" w14:textId="77777777">
        <w:trPr>
          <w:divId w:val="1734621037"/>
        </w:trPr>
        <w:tc>
          <w:tcPr>
            <w:tcW w:w="0" w:type="auto"/>
            <w:gridSpan w:val="3"/>
            <w:shd w:val="clear" w:color="auto" w:fill="CCEEFF"/>
            <w:tcMar>
              <w:top w:w="30" w:type="dxa"/>
              <w:left w:w="20" w:type="dxa"/>
              <w:bottom w:w="30" w:type="dxa"/>
              <w:right w:w="20" w:type="dxa"/>
            </w:tcMar>
            <w:vAlign w:val="center"/>
            <w:hideMark/>
          </w:tcPr>
          <w:p w14:paraId="35A9E94C" w14:textId="77777777" w:rsidR="00000000" w:rsidRDefault="00405D16">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14:paraId="5267E48C"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6B7A3D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14D51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040459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BAE1DD"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77A89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8C6248"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1A3366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6BDE5F"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E3EB62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DE0519"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E768CB0" w14:textId="77777777" w:rsidR="00000000" w:rsidRDefault="00405D16">
            <w:pPr>
              <w:spacing w:after="100"/>
              <w:rPr>
                <w:rFonts w:eastAsia="Times New Roman"/>
                <w:sz w:val="20"/>
                <w:szCs w:val="20"/>
              </w:rPr>
            </w:pPr>
          </w:p>
        </w:tc>
      </w:tr>
      <w:tr w:rsidR="00000000" w14:paraId="6E9884B4" w14:textId="77777777">
        <w:trPr>
          <w:divId w:val="1734621037"/>
        </w:trPr>
        <w:tc>
          <w:tcPr>
            <w:tcW w:w="0" w:type="auto"/>
            <w:gridSpan w:val="3"/>
            <w:shd w:val="clear" w:color="auto" w:fill="FFFFFF"/>
            <w:tcMar>
              <w:top w:w="30" w:type="dxa"/>
              <w:left w:w="245" w:type="dxa"/>
              <w:bottom w:w="30" w:type="dxa"/>
              <w:right w:w="20" w:type="dxa"/>
            </w:tcMar>
            <w:vAlign w:val="center"/>
            <w:hideMark/>
          </w:tcPr>
          <w:p w14:paraId="4FB7C04F" w14:textId="77777777" w:rsidR="00000000" w:rsidRDefault="00405D16">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14:paraId="5759752F"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DF167CA" w14:textId="77777777" w:rsidR="00000000" w:rsidRDefault="00405D16">
            <w:pPr>
              <w:spacing w:after="100"/>
              <w:jc w:val="right"/>
              <w:rPr>
                <w:rFonts w:eastAsia="Times New Roman"/>
              </w:rPr>
            </w:pPr>
            <w:r>
              <w:rPr>
                <w:rFonts w:eastAsia="Times New Roman"/>
                <w:color w:val="000000"/>
                <w:sz w:val="18"/>
                <w:szCs w:val="18"/>
              </w:rPr>
              <w:t>30,340 </w:t>
            </w:r>
          </w:p>
        </w:tc>
        <w:tc>
          <w:tcPr>
            <w:tcW w:w="0" w:type="auto"/>
            <w:shd w:val="clear" w:color="auto" w:fill="FFFFFF"/>
            <w:tcMar>
              <w:top w:w="30" w:type="dxa"/>
              <w:left w:w="0" w:type="dxa"/>
              <w:bottom w:w="30" w:type="dxa"/>
              <w:right w:w="20" w:type="dxa"/>
            </w:tcMar>
            <w:vAlign w:val="bottom"/>
            <w:hideMark/>
          </w:tcPr>
          <w:p w14:paraId="5127707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11AAD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D4DE3D" w14:textId="77777777" w:rsidR="00000000" w:rsidRDefault="00405D16">
            <w:pPr>
              <w:spacing w:after="100"/>
              <w:jc w:val="right"/>
              <w:rPr>
                <w:rFonts w:eastAsia="Times New Roman"/>
              </w:rPr>
            </w:pPr>
            <w:r>
              <w:rPr>
                <w:rFonts w:eastAsia="Times New Roman"/>
                <w:color w:val="000000"/>
                <w:sz w:val="18"/>
                <w:szCs w:val="18"/>
              </w:rPr>
              <w:t>136 </w:t>
            </w:r>
          </w:p>
        </w:tc>
        <w:tc>
          <w:tcPr>
            <w:tcW w:w="0" w:type="auto"/>
            <w:shd w:val="clear" w:color="auto" w:fill="FFFFFF"/>
            <w:tcMar>
              <w:top w:w="30" w:type="dxa"/>
              <w:left w:w="0" w:type="dxa"/>
              <w:bottom w:w="30" w:type="dxa"/>
              <w:right w:w="20" w:type="dxa"/>
            </w:tcMar>
            <w:vAlign w:val="bottom"/>
            <w:hideMark/>
          </w:tcPr>
          <w:p w14:paraId="7A5EB10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BA8F2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1349DA" w14:textId="77777777" w:rsidR="00000000" w:rsidRDefault="00405D16">
            <w:pPr>
              <w:spacing w:after="100"/>
              <w:jc w:val="right"/>
              <w:rPr>
                <w:rFonts w:eastAsia="Times New Roman"/>
              </w:rPr>
            </w:pPr>
            <w:r>
              <w:rPr>
                <w:rFonts w:eastAsia="Times New Roman"/>
                <w:color w:val="000000"/>
                <w:sz w:val="18"/>
                <w:szCs w:val="18"/>
              </w:rPr>
              <w:t>22 </w:t>
            </w:r>
          </w:p>
        </w:tc>
        <w:tc>
          <w:tcPr>
            <w:tcW w:w="0" w:type="auto"/>
            <w:shd w:val="clear" w:color="auto" w:fill="FFFFFF"/>
            <w:tcMar>
              <w:top w:w="30" w:type="dxa"/>
              <w:left w:w="0" w:type="dxa"/>
              <w:bottom w:w="30" w:type="dxa"/>
              <w:right w:w="20" w:type="dxa"/>
            </w:tcMar>
            <w:vAlign w:val="bottom"/>
            <w:hideMark/>
          </w:tcPr>
          <w:p w14:paraId="1404F2E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E694E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EB42B9" w14:textId="77777777" w:rsidR="00000000" w:rsidRDefault="00405D16">
            <w:pPr>
              <w:spacing w:after="100"/>
              <w:jc w:val="right"/>
              <w:rPr>
                <w:rFonts w:eastAsia="Times New Roman"/>
              </w:rPr>
            </w:pPr>
            <w:r>
              <w:rPr>
                <w:rFonts w:eastAsia="Times New Roman"/>
                <w:color w:val="000000"/>
                <w:sz w:val="18"/>
                <w:szCs w:val="18"/>
              </w:rPr>
              <w:t>183 </w:t>
            </w:r>
          </w:p>
        </w:tc>
        <w:tc>
          <w:tcPr>
            <w:tcW w:w="0" w:type="auto"/>
            <w:shd w:val="clear" w:color="auto" w:fill="FFFFFF"/>
            <w:tcMar>
              <w:top w:w="30" w:type="dxa"/>
              <w:left w:w="0" w:type="dxa"/>
              <w:bottom w:w="30" w:type="dxa"/>
              <w:right w:w="20" w:type="dxa"/>
            </w:tcMar>
            <w:vAlign w:val="bottom"/>
            <w:hideMark/>
          </w:tcPr>
          <w:p w14:paraId="606BA71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F72A0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14193F" w14:textId="77777777" w:rsidR="00000000" w:rsidRDefault="00405D16">
            <w:pPr>
              <w:spacing w:after="100"/>
              <w:jc w:val="right"/>
              <w:rPr>
                <w:rFonts w:eastAsia="Times New Roman"/>
              </w:rPr>
            </w:pPr>
            <w:r>
              <w:rPr>
                <w:rFonts w:eastAsia="Times New Roman"/>
                <w:color w:val="000000"/>
                <w:sz w:val="18"/>
                <w:szCs w:val="18"/>
              </w:rPr>
              <w:t>341 </w:t>
            </w:r>
          </w:p>
        </w:tc>
        <w:tc>
          <w:tcPr>
            <w:tcW w:w="0" w:type="auto"/>
            <w:shd w:val="clear" w:color="auto" w:fill="FFFFFF"/>
            <w:tcMar>
              <w:top w:w="30" w:type="dxa"/>
              <w:left w:w="0" w:type="dxa"/>
              <w:bottom w:w="30" w:type="dxa"/>
              <w:right w:w="20" w:type="dxa"/>
            </w:tcMar>
            <w:vAlign w:val="bottom"/>
            <w:hideMark/>
          </w:tcPr>
          <w:p w14:paraId="0B19636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070DE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AD4C8D" w14:textId="77777777" w:rsidR="00000000" w:rsidRDefault="00405D16">
            <w:pPr>
              <w:spacing w:after="100"/>
              <w:jc w:val="right"/>
              <w:rPr>
                <w:rFonts w:eastAsia="Times New Roman"/>
              </w:rPr>
            </w:pPr>
            <w:r>
              <w:rPr>
                <w:rFonts w:eastAsia="Times New Roman"/>
                <w:color w:val="000000"/>
                <w:sz w:val="18"/>
                <w:szCs w:val="18"/>
              </w:rPr>
              <w:t>30,681 </w:t>
            </w:r>
          </w:p>
        </w:tc>
        <w:tc>
          <w:tcPr>
            <w:tcW w:w="0" w:type="auto"/>
            <w:shd w:val="clear" w:color="auto" w:fill="FFFFFF"/>
            <w:tcMar>
              <w:top w:w="30" w:type="dxa"/>
              <w:left w:w="0" w:type="dxa"/>
              <w:bottom w:w="30" w:type="dxa"/>
              <w:right w:w="20" w:type="dxa"/>
            </w:tcMar>
            <w:vAlign w:val="bottom"/>
            <w:hideMark/>
          </w:tcPr>
          <w:p w14:paraId="205EC42C" w14:textId="77777777" w:rsidR="00000000" w:rsidRDefault="00405D16">
            <w:pPr>
              <w:spacing w:after="100"/>
              <w:jc w:val="right"/>
              <w:rPr>
                <w:rFonts w:eastAsia="Times New Roman"/>
              </w:rPr>
            </w:pPr>
          </w:p>
        </w:tc>
      </w:tr>
      <w:tr w:rsidR="00000000" w14:paraId="12E6D306" w14:textId="77777777">
        <w:trPr>
          <w:divId w:val="1734621037"/>
        </w:trPr>
        <w:tc>
          <w:tcPr>
            <w:tcW w:w="0" w:type="auto"/>
            <w:gridSpan w:val="3"/>
            <w:shd w:val="clear" w:color="auto" w:fill="CCEEFF"/>
            <w:tcMar>
              <w:top w:w="30" w:type="dxa"/>
              <w:left w:w="245" w:type="dxa"/>
              <w:bottom w:w="30" w:type="dxa"/>
              <w:right w:w="20" w:type="dxa"/>
            </w:tcMar>
            <w:vAlign w:val="center"/>
            <w:hideMark/>
          </w:tcPr>
          <w:p w14:paraId="6C27DA7C" w14:textId="77777777" w:rsidR="00000000" w:rsidRDefault="00405D16">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14:paraId="4FF5B2DE"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FDBD72D" w14:textId="77777777" w:rsidR="00000000" w:rsidRDefault="00405D16">
            <w:pPr>
              <w:spacing w:after="100"/>
              <w:jc w:val="right"/>
              <w:rPr>
                <w:rFonts w:eastAsia="Times New Roman"/>
              </w:rPr>
            </w:pPr>
            <w:r>
              <w:rPr>
                <w:rFonts w:eastAsia="Times New Roman"/>
                <w:color w:val="000000"/>
                <w:sz w:val="18"/>
                <w:szCs w:val="18"/>
              </w:rPr>
              <w:t>44,941 </w:t>
            </w:r>
          </w:p>
        </w:tc>
        <w:tc>
          <w:tcPr>
            <w:tcW w:w="0" w:type="auto"/>
            <w:shd w:val="clear" w:color="auto" w:fill="CCEEFF"/>
            <w:tcMar>
              <w:top w:w="30" w:type="dxa"/>
              <w:left w:w="0" w:type="dxa"/>
              <w:bottom w:w="30" w:type="dxa"/>
              <w:right w:w="20" w:type="dxa"/>
            </w:tcMar>
            <w:vAlign w:val="bottom"/>
            <w:hideMark/>
          </w:tcPr>
          <w:p w14:paraId="4FDA9BB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95529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8E35C9" w14:textId="77777777" w:rsidR="00000000" w:rsidRDefault="00405D16">
            <w:pPr>
              <w:spacing w:after="100"/>
              <w:jc w:val="right"/>
              <w:rPr>
                <w:rFonts w:eastAsia="Times New Roman"/>
              </w:rPr>
            </w:pPr>
            <w:r>
              <w:rPr>
                <w:rFonts w:eastAsia="Times New Roman"/>
                <w:color w:val="000000"/>
                <w:sz w:val="18"/>
                <w:szCs w:val="18"/>
              </w:rPr>
              <w:t>69 </w:t>
            </w:r>
          </w:p>
        </w:tc>
        <w:tc>
          <w:tcPr>
            <w:tcW w:w="0" w:type="auto"/>
            <w:shd w:val="clear" w:color="auto" w:fill="CCEEFF"/>
            <w:tcMar>
              <w:top w:w="30" w:type="dxa"/>
              <w:left w:w="0" w:type="dxa"/>
              <w:bottom w:w="30" w:type="dxa"/>
              <w:right w:w="20" w:type="dxa"/>
            </w:tcMar>
            <w:vAlign w:val="bottom"/>
            <w:hideMark/>
          </w:tcPr>
          <w:p w14:paraId="29B22C1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51966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034ABA" w14:textId="77777777" w:rsidR="00000000" w:rsidRDefault="00405D16">
            <w:pPr>
              <w:spacing w:after="100"/>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bottom"/>
            <w:hideMark/>
          </w:tcPr>
          <w:p w14:paraId="0556979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02436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E0FEE3" w14:textId="77777777" w:rsidR="00000000" w:rsidRDefault="00405D16">
            <w:pPr>
              <w:spacing w:after="100"/>
              <w:jc w:val="right"/>
              <w:rPr>
                <w:rFonts w:eastAsia="Times New Roman"/>
              </w:rPr>
            </w:pPr>
            <w:r>
              <w:rPr>
                <w:rFonts w:eastAsia="Times New Roman"/>
                <w:color w:val="000000"/>
                <w:sz w:val="18"/>
                <w:szCs w:val="18"/>
              </w:rPr>
              <w:t>74 </w:t>
            </w:r>
          </w:p>
        </w:tc>
        <w:tc>
          <w:tcPr>
            <w:tcW w:w="0" w:type="auto"/>
            <w:shd w:val="clear" w:color="auto" w:fill="CCEEFF"/>
            <w:tcMar>
              <w:top w:w="30" w:type="dxa"/>
              <w:left w:w="0" w:type="dxa"/>
              <w:bottom w:w="30" w:type="dxa"/>
              <w:right w:w="20" w:type="dxa"/>
            </w:tcMar>
            <w:vAlign w:val="bottom"/>
            <w:hideMark/>
          </w:tcPr>
          <w:p w14:paraId="759F524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2586A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AC7CEE" w14:textId="77777777" w:rsidR="00000000" w:rsidRDefault="00405D16">
            <w:pPr>
              <w:spacing w:after="100"/>
              <w:jc w:val="right"/>
              <w:rPr>
                <w:rFonts w:eastAsia="Times New Roman"/>
              </w:rPr>
            </w:pPr>
            <w:r>
              <w:rPr>
                <w:rFonts w:eastAsia="Times New Roman"/>
                <w:color w:val="000000"/>
                <w:sz w:val="18"/>
                <w:szCs w:val="18"/>
              </w:rPr>
              <w:t>158 </w:t>
            </w:r>
          </w:p>
        </w:tc>
        <w:tc>
          <w:tcPr>
            <w:tcW w:w="0" w:type="auto"/>
            <w:shd w:val="clear" w:color="auto" w:fill="CCEEFF"/>
            <w:tcMar>
              <w:top w:w="30" w:type="dxa"/>
              <w:left w:w="0" w:type="dxa"/>
              <w:bottom w:w="30" w:type="dxa"/>
              <w:right w:w="20" w:type="dxa"/>
            </w:tcMar>
            <w:vAlign w:val="bottom"/>
            <w:hideMark/>
          </w:tcPr>
          <w:p w14:paraId="6241877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F67AE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D5E33C" w14:textId="77777777" w:rsidR="00000000" w:rsidRDefault="00405D16">
            <w:pPr>
              <w:spacing w:after="100"/>
              <w:jc w:val="right"/>
              <w:rPr>
                <w:rFonts w:eastAsia="Times New Roman"/>
              </w:rPr>
            </w:pPr>
            <w:r>
              <w:rPr>
                <w:rFonts w:eastAsia="Times New Roman"/>
                <w:color w:val="000000"/>
                <w:sz w:val="18"/>
                <w:szCs w:val="18"/>
              </w:rPr>
              <w:t>45,099 </w:t>
            </w:r>
          </w:p>
        </w:tc>
        <w:tc>
          <w:tcPr>
            <w:tcW w:w="0" w:type="auto"/>
            <w:shd w:val="clear" w:color="auto" w:fill="CCEEFF"/>
            <w:tcMar>
              <w:top w:w="30" w:type="dxa"/>
              <w:left w:w="0" w:type="dxa"/>
              <w:bottom w:w="30" w:type="dxa"/>
              <w:right w:w="20" w:type="dxa"/>
            </w:tcMar>
            <w:vAlign w:val="bottom"/>
            <w:hideMark/>
          </w:tcPr>
          <w:p w14:paraId="007B3D2F" w14:textId="77777777" w:rsidR="00000000" w:rsidRDefault="00405D16">
            <w:pPr>
              <w:spacing w:after="100"/>
              <w:jc w:val="right"/>
              <w:rPr>
                <w:rFonts w:eastAsia="Times New Roman"/>
              </w:rPr>
            </w:pPr>
          </w:p>
        </w:tc>
      </w:tr>
      <w:tr w:rsidR="00000000" w14:paraId="4ABCB102" w14:textId="77777777">
        <w:trPr>
          <w:divId w:val="1734621037"/>
        </w:trPr>
        <w:tc>
          <w:tcPr>
            <w:tcW w:w="0" w:type="auto"/>
            <w:gridSpan w:val="3"/>
            <w:shd w:val="clear" w:color="auto" w:fill="FFFFFF"/>
            <w:tcMar>
              <w:top w:w="30" w:type="dxa"/>
              <w:left w:w="20" w:type="dxa"/>
              <w:bottom w:w="30" w:type="dxa"/>
              <w:right w:w="20" w:type="dxa"/>
            </w:tcMar>
            <w:vAlign w:val="center"/>
            <w:hideMark/>
          </w:tcPr>
          <w:p w14:paraId="3C3A4155" w14:textId="77777777" w:rsidR="00000000" w:rsidRDefault="00405D16">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14:paraId="21E9290B"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8D84DFC" w14:textId="77777777" w:rsidR="00000000" w:rsidRDefault="00405D16">
            <w:pPr>
              <w:spacing w:after="100"/>
              <w:jc w:val="right"/>
              <w:rPr>
                <w:rFonts w:eastAsia="Times New Roman"/>
              </w:rPr>
            </w:pPr>
            <w:r>
              <w:rPr>
                <w:rFonts w:eastAsia="Times New Roman"/>
                <w:color w:val="000000"/>
                <w:sz w:val="18"/>
                <w:szCs w:val="18"/>
              </w:rPr>
              <w:t>75,281 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D347ED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F38E40"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7A4D5F0" w14:textId="77777777" w:rsidR="00000000" w:rsidRDefault="00405D16">
            <w:pPr>
              <w:spacing w:after="100"/>
              <w:jc w:val="right"/>
              <w:rPr>
                <w:rFonts w:eastAsia="Times New Roman"/>
              </w:rPr>
            </w:pPr>
            <w:r>
              <w:rPr>
                <w:rFonts w:eastAsia="Times New Roman"/>
                <w:color w:val="000000"/>
                <w:sz w:val="18"/>
                <w:szCs w:val="18"/>
              </w:rPr>
              <w:t>205 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9B023D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5CC0A9"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257D209" w14:textId="77777777" w:rsidR="00000000" w:rsidRDefault="00405D16">
            <w:pPr>
              <w:spacing w:after="100"/>
              <w:jc w:val="right"/>
              <w:rPr>
                <w:rFonts w:eastAsia="Times New Roman"/>
              </w:rPr>
            </w:pPr>
            <w:r>
              <w:rPr>
                <w:rFonts w:eastAsia="Times New Roman"/>
                <w:color w:val="000000"/>
                <w:sz w:val="18"/>
                <w:szCs w:val="18"/>
              </w:rPr>
              <w:t>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E21776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EEF6A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E7A042B" w14:textId="77777777" w:rsidR="00000000" w:rsidRDefault="00405D16">
            <w:pPr>
              <w:spacing w:after="100"/>
              <w:jc w:val="right"/>
              <w:rPr>
                <w:rFonts w:eastAsia="Times New Roman"/>
              </w:rPr>
            </w:pPr>
            <w:r>
              <w:rPr>
                <w:rFonts w:eastAsia="Times New Roman"/>
                <w:color w:val="000000"/>
                <w:sz w:val="18"/>
                <w:szCs w:val="18"/>
              </w:rPr>
              <w:t>257 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9FEBDB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C1C684"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0E97B0B" w14:textId="77777777" w:rsidR="00000000" w:rsidRDefault="00405D16">
            <w:pPr>
              <w:spacing w:after="100"/>
              <w:jc w:val="right"/>
              <w:rPr>
                <w:rFonts w:eastAsia="Times New Roman"/>
              </w:rPr>
            </w:pPr>
            <w:r>
              <w:rPr>
                <w:rFonts w:eastAsia="Times New Roman"/>
                <w:color w:val="000000"/>
                <w:sz w:val="18"/>
                <w:szCs w:val="18"/>
              </w:rPr>
              <w:t>499 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821F43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A3BE8C"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9D1E5E6" w14:textId="77777777" w:rsidR="00000000" w:rsidRDefault="00405D16">
            <w:pPr>
              <w:spacing w:after="100"/>
              <w:jc w:val="right"/>
              <w:rPr>
                <w:rFonts w:eastAsia="Times New Roman"/>
              </w:rPr>
            </w:pPr>
            <w:r>
              <w:rPr>
                <w:rFonts w:eastAsia="Times New Roman"/>
                <w:color w:val="000000"/>
                <w:sz w:val="18"/>
                <w:szCs w:val="18"/>
              </w:rPr>
              <w:t>75,780 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46D9368" w14:textId="77777777" w:rsidR="00000000" w:rsidRDefault="00405D16">
            <w:pPr>
              <w:spacing w:after="100"/>
              <w:jc w:val="right"/>
              <w:rPr>
                <w:rFonts w:eastAsia="Times New Roman"/>
              </w:rPr>
            </w:pPr>
          </w:p>
        </w:tc>
      </w:tr>
      <w:tr w:rsidR="00000000" w14:paraId="10BF8486" w14:textId="77777777">
        <w:trPr>
          <w:divId w:val="1734621037"/>
        </w:trPr>
        <w:tc>
          <w:tcPr>
            <w:tcW w:w="0" w:type="auto"/>
            <w:gridSpan w:val="3"/>
            <w:shd w:val="clear" w:color="auto" w:fill="CCEEFF"/>
            <w:tcMar>
              <w:top w:w="30" w:type="dxa"/>
              <w:left w:w="20" w:type="dxa"/>
              <w:bottom w:w="30" w:type="dxa"/>
              <w:right w:w="20" w:type="dxa"/>
            </w:tcMar>
            <w:vAlign w:val="center"/>
            <w:hideMark/>
          </w:tcPr>
          <w:p w14:paraId="43DF645B" w14:textId="77777777" w:rsidR="00000000" w:rsidRDefault="00405D16">
            <w:pPr>
              <w:spacing w:after="100"/>
              <w:divId w:val="50156620"/>
              <w:rPr>
                <w:rFonts w:eastAsia="Times New Roman"/>
              </w:rPr>
            </w:pPr>
            <w:r>
              <w:rPr>
                <w:rFonts w:eastAsia="Times New Roman"/>
                <w:color w:val="000000"/>
                <w:sz w:val="18"/>
                <w:szCs w:val="18"/>
              </w:rPr>
              <w:t>Total loan</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6C19CD99"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4F15EEB"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AD32C6C" w14:textId="77777777" w:rsidR="00000000" w:rsidRDefault="00405D16">
            <w:pPr>
              <w:spacing w:after="100"/>
              <w:jc w:val="right"/>
              <w:rPr>
                <w:rFonts w:eastAsia="Times New Roman"/>
              </w:rPr>
            </w:pPr>
            <w:r>
              <w:rPr>
                <w:rFonts w:eastAsia="Times New Roman"/>
                <w:color w:val="000000"/>
                <w:sz w:val="18"/>
                <w:szCs w:val="18"/>
              </w:rPr>
              <w:t>245,060 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5BF6E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1C3405"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E046275"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9420DA6" w14:textId="77777777" w:rsidR="00000000" w:rsidRDefault="00405D16">
            <w:pPr>
              <w:spacing w:after="100"/>
              <w:jc w:val="right"/>
              <w:rPr>
                <w:rFonts w:eastAsia="Times New Roman"/>
              </w:rPr>
            </w:pPr>
            <w:r>
              <w:rPr>
                <w:rFonts w:eastAsia="Times New Roman"/>
                <w:color w:val="000000"/>
                <w:sz w:val="18"/>
                <w:szCs w:val="18"/>
              </w:rPr>
              <w:t>3,330 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128FC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2232B6"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8004829"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DDD10C8" w14:textId="77777777" w:rsidR="00000000" w:rsidRDefault="00405D16">
            <w:pPr>
              <w:spacing w:after="100"/>
              <w:jc w:val="right"/>
              <w:rPr>
                <w:rFonts w:eastAsia="Times New Roman"/>
              </w:rPr>
            </w:pPr>
            <w:r>
              <w:rPr>
                <w:rFonts w:eastAsia="Times New Roman"/>
                <w:color w:val="000000"/>
                <w:sz w:val="18"/>
                <w:szCs w:val="18"/>
              </w:rPr>
              <w:t>1,485 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D991D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BD9085"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85E11DC"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BE01311" w14:textId="77777777" w:rsidR="00000000" w:rsidRDefault="00405D16">
            <w:pPr>
              <w:spacing w:after="100"/>
              <w:jc w:val="right"/>
              <w:rPr>
                <w:rFonts w:eastAsia="Times New Roman"/>
              </w:rPr>
            </w:pPr>
            <w:r>
              <w:rPr>
                <w:rFonts w:eastAsia="Times New Roman"/>
                <w:color w:val="000000"/>
                <w:sz w:val="18"/>
                <w:szCs w:val="18"/>
              </w:rPr>
              <w:t>1,749 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484D7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D0A359"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D17745C"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7D7BDE6" w14:textId="77777777" w:rsidR="00000000" w:rsidRDefault="00405D16">
            <w:pPr>
              <w:spacing w:after="100"/>
              <w:jc w:val="right"/>
              <w:rPr>
                <w:rFonts w:eastAsia="Times New Roman"/>
              </w:rPr>
            </w:pPr>
            <w:r>
              <w:rPr>
                <w:rFonts w:eastAsia="Times New Roman"/>
                <w:color w:val="000000"/>
                <w:sz w:val="18"/>
                <w:szCs w:val="18"/>
              </w:rPr>
              <w:t>6,564 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9CD72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F7C325"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5064E91"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E00C858" w14:textId="77777777" w:rsidR="00000000" w:rsidRDefault="00405D16">
            <w:pPr>
              <w:spacing w:after="100"/>
              <w:jc w:val="right"/>
              <w:rPr>
                <w:rFonts w:eastAsia="Times New Roman"/>
              </w:rPr>
            </w:pPr>
            <w:r>
              <w:rPr>
                <w:rFonts w:eastAsia="Times New Roman"/>
                <w:color w:val="000000"/>
                <w:sz w:val="18"/>
                <w:szCs w:val="18"/>
              </w:rPr>
              <w:t>251,624 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12D698" w14:textId="77777777" w:rsidR="00000000" w:rsidRDefault="00405D16">
            <w:pPr>
              <w:spacing w:after="100"/>
              <w:jc w:val="right"/>
              <w:rPr>
                <w:rFonts w:eastAsia="Times New Roman"/>
              </w:rPr>
            </w:pPr>
          </w:p>
        </w:tc>
      </w:tr>
      <w:tr w:rsidR="00000000" w14:paraId="045C6292" w14:textId="77777777">
        <w:trPr>
          <w:divId w:val="1734621037"/>
        </w:trPr>
        <w:tc>
          <w:tcPr>
            <w:tcW w:w="0" w:type="auto"/>
            <w:gridSpan w:val="3"/>
            <w:shd w:val="clear" w:color="auto" w:fill="FFFFFF"/>
            <w:tcMar>
              <w:top w:w="30" w:type="dxa"/>
              <w:left w:w="20" w:type="dxa"/>
              <w:bottom w:w="30" w:type="dxa"/>
              <w:right w:w="20" w:type="dxa"/>
            </w:tcMar>
            <w:vAlign w:val="center"/>
            <w:hideMark/>
          </w:tcPr>
          <w:p w14:paraId="1E4BD389" w14:textId="77777777" w:rsidR="00000000" w:rsidRDefault="00405D16">
            <w:pPr>
              <w:spacing w:after="100"/>
              <w:rPr>
                <w:rFonts w:eastAsia="Times New Roman"/>
              </w:rPr>
            </w:pPr>
            <w:r>
              <w:rPr>
                <w:rFonts w:eastAsia="Times New Roman"/>
                <w:color w:val="000000"/>
                <w:sz w:val="18"/>
                <w:szCs w:val="18"/>
              </w:rPr>
              <w:t>% of Total loans</w:t>
            </w:r>
          </w:p>
        </w:tc>
        <w:tc>
          <w:tcPr>
            <w:tcW w:w="0" w:type="auto"/>
            <w:gridSpan w:val="3"/>
            <w:shd w:val="clear" w:color="auto" w:fill="FFFFFF"/>
            <w:tcMar>
              <w:top w:w="0" w:type="dxa"/>
              <w:left w:w="20" w:type="dxa"/>
              <w:bottom w:w="0" w:type="dxa"/>
              <w:right w:w="20" w:type="dxa"/>
            </w:tcMar>
            <w:vAlign w:val="center"/>
            <w:hideMark/>
          </w:tcPr>
          <w:p w14:paraId="5DFEF3DA" w14:textId="77777777" w:rsidR="00000000" w:rsidRDefault="00405D16">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18DDDE2B" w14:textId="77777777" w:rsidR="00000000" w:rsidRDefault="00405D16">
            <w:pPr>
              <w:spacing w:after="100"/>
              <w:jc w:val="right"/>
              <w:rPr>
                <w:rFonts w:eastAsia="Times New Roman"/>
              </w:rPr>
            </w:pPr>
            <w:r>
              <w:rPr>
                <w:rFonts w:eastAsia="Times New Roman"/>
                <w:color w:val="000000"/>
                <w:sz w:val="18"/>
                <w:szCs w:val="18"/>
              </w:rPr>
              <w:t>97.39 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12A0E7A6"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1E37E7B" w14:textId="77777777" w:rsidR="00000000" w:rsidRDefault="00405D16">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4F7810D8" w14:textId="77777777" w:rsidR="00000000" w:rsidRDefault="00405D16">
            <w:pPr>
              <w:spacing w:after="100"/>
              <w:jc w:val="right"/>
              <w:rPr>
                <w:rFonts w:eastAsia="Times New Roman"/>
              </w:rPr>
            </w:pPr>
            <w:r>
              <w:rPr>
                <w:rFonts w:eastAsia="Times New Roman"/>
                <w:color w:val="000000"/>
                <w:sz w:val="18"/>
                <w:szCs w:val="18"/>
              </w:rPr>
              <w:t>1.32 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4C2B1858"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C51B4B2" w14:textId="77777777" w:rsidR="00000000" w:rsidRDefault="00405D16">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558DEA81" w14:textId="77777777" w:rsidR="00000000" w:rsidRDefault="00405D16">
            <w:pPr>
              <w:spacing w:after="100"/>
              <w:jc w:val="right"/>
              <w:rPr>
                <w:rFonts w:eastAsia="Times New Roman"/>
              </w:rPr>
            </w:pPr>
            <w:r>
              <w:rPr>
                <w:rFonts w:eastAsia="Times New Roman"/>
                <w:color w:val="000000"/>
                <w:sz w:val="18"/>
                <w:szCs w:val="18"/>
              </w:rPr>
              <w:t>0.59 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406A2889"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3A1E929" w14:textId="77777777" w:rsidR="00000000" w:rsidRDefault="00405D16">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357A981F" w14:textId="77777777" w:rsidR="00000000" w:rsidRDefault="00405D16">
            <w:pPr>
              <w:spacing w:after="100"/>
              <w:jc w:val="right"/>
              <w:rPr>
                <w:rFonts w:eastAsia="Times New Roman"/>
              </w:rPr>
            </w:pPr>
            <w:r>
              <w:rPr>
                <w:rFonts w:eastAsia="Times New Roman"/>
                <w:color w:val="000000"/>
                <w:sz w:val="18"/>
                <w:szCs w:val="18"/>
              </w:rPr>
              <w:t>0.70 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3B2AA904"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EA2CA6E" w14:textId="77777777" w:rsidR="00000000" w:rsidRDefault="00405D16">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763CBED7" w14:textId="77777777" w:rsidR="00000000" w:rsidRDefault="00405D16">
            <w:pPr>
              <w:spacing w:after="100"/>
              <w:jc w:val="right"/>
              <w:rPr>
                <w:rFonts w:eastAsia="Times New Roman"/>
              </w:rPr>
            </w:pPr>
            <w:r>
              <w:rPr>
                <w:rFonts w:eastAsia="Times New Roman"/>
                <w:color w:val="000000"/>
                <w:sz w:val="18"/>
                <w:szCs w:val="18"/>
              </w:rPr>
              <w:t>2.61 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13723911"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003F780" w14:textId="77777777" w:rsidR="00000000" w:rsidRDefault="00405D16">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533AB76D" w14:textId="77777777" w:rsidR="00000000" w:rsidRDefault="00405D16">
            <w:pPr>
              <w:spacing w:after="100"/>
              <w:jc w:val="right"/>
              <w:rPr>
                <w:rFonts w:eastAsia="Times New Roman"/>
              </w:rPr>
            </w:pPr>
            <w:r>
              <w:rPr>
                <w:rFonts w:eastAsia="Times New Roman"/>
                <w:color w:val="000000"/>
                <w:sz w:val="18"/>
                <w:szCs w:val="18"/>
              </w:rPr>
              <w:t>100.00 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0E9BA6D8" w14:textId="77777777" w:rsidR="00000000" w:rsidRDefault="00405D16">
            <w:pPr>
              <w:spacing w:after="100"/>
              <w:jc w:val="right"/>
              <w:rPr>
                <w:rFonts w:eastAsia="Times New Roman"/>
              </w:rPr>
            </w:pPr>
            <w:r>
              <w:rPr>
                <w:rFonts w:eastAsia="Times New Roman"/>
                <w:color w:val="000000"/>
                <w:sz w:val="18"/>
                <w:szCs w:val="18"/>
              </w:rPr>
              <w:t>%</w:t>
            </w:r>
          </w:p>
        </w:tc>
      </w:tr>
    </w:tbl>
    <w:p w14:paraId="673E340F" w14:textId="77777777" w:rsidR="00000000" w:rsidRDefault="00405D16">
      <w:pPr>
        <w:divId w:val="1734621037"/>
        <w:rPr>
          <w:rFonts w:eastAsia="Times New Roman"/>
        </w:rPr>
      </w:pPr>
      <w:r>
        <w:rPr>
          <w:rFonts w:eastAsia="Times New Roman"/>
          <w:color w:val="000000"/>
          <w:sz w:val="20"/>
          <w:szCs w:val="20"/>
        </w:rPr>
        <w:t>____</w:t>
      </w:r>
      <w:r>
        <w:rPr>
          <w:rFonts w:eastAsia="Times New Roman"/>
          <w:color w:val="000000"/>
          <w:sz w:val="20"/>
          <w:szCs w:val="20"/>
        </w:rPr>
        <w:t>______</w:t>
      </w:r>
    </w:p>
    <w:p w14:paraId="5860060E" w14:textId="77777777" w:rsidR="00000000" w:rsidRDefault="00405D16">
      <w:pPr>
        <w:ind w:hanging="360"/>
        <w:jc w:val="both"/>
        <w:divId w:val="203916006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Loans include unamortized premiums and discounts, and unamortized deferred fees and costs totaling $1.4 billion</w:t>
      </w:r>
      <w:r>
        <w:rPr>
          <w:rFonts w:eastAsia="Times New Roman"/>
          <w:color w:val="000000"/>
          <w:sz w:val="16"/>
          <w:szCs w:val="16"/>
          <w:shd w:val="clear" w:color="auto" w:fill="FFFFFF"/>
        </w:rPr>
        <w:t xml:space="preserve"> </w:t>
      </w:r>
      <w:r>
        <w:rPr>
          <w:rFonts w:eastAsia="Times New Roman"/>
          <w:color w:val="000000"/>
          <w:sz w:val="16"/>
          <w:szCs w:val="16"/>
        </w:rPr>
        <w:t>and $1.1 </w:t>
      </w:r>
      <w:r>
        <w:rPr>
          <w:rFonts w:eastAsia="Times New Roman"/>
          <w:color w:val="000000"/>
          <w:sz w:val="16"/>
          <w:szCs w:val="16"/>
        </w:rPr>
        <w:t>billion as of September 30, 2021 and December 31, 2020, respectively.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03F673C2" w14:textId="77777777">
        <w:trPr>
          <w:divId w:val="1497649097"/>
          <w:jc w:val="center"/>
        </w:trPr>
        <w:tc>
          <w:tcPr>
            <w:tcW w:w="50" w:type="pct"/>
            <w:vAlign w:val="center"/>
            <w:hideMark/>
          </w:tcPr>
          <w:p w14:paraId="76D5226C" w14:textId="77777777" w:rsidR="00000000" w:rsidRDefault="00405D16">
            <w:pPr>
              <w:ind w:hanging="360"/>
              <w:jc w:val="both"/>
              <w:rPr>
                <w:rFonts w:eastAsia="Times New Roman"/>
              </w:rPr>
            </w:pPr>
          </w:p>
        </w:tc>
        <w:tc>
          <w:tcPr>
            <w:tcW w:w="1606" w:type="pct"/>
            <w:vAlign w:val="center"/>
            <w:hideMark/>
          </w:tcPr>
          <w:p w14:paraId="6996732E" w14:textId="77777777" w:rsidR="00000000" w:rsidRDefault="00405D16">
            <w:pPr>
              <w:spacing w:after="100"/>
              <w:rPr>
                <w:rFonts w:eastAsia="Times New Roman"/>
                <w:sz w:val="20"/>
                <w:szCs w:val="20"/>
              </w:rPr>
            </w:pPr>
          </w:p>
        </w:tc>
        <w:tc>
          <w:tcPr>
            <w:tcW w:w="5" w:type="pct"/>
            <w:vAlign w:val="center"/>
            <w:hideMark/>
          </w:tcPr>
          <w:p w14:paraId="4BCDA5EB" w14:textId="77777777" w:rsidR="00000000" w:rsidRDefault="00405D16">
            <w:pPr>
              <w:spacing w:after="100"/>
              <w:rPr>
                <w:rFonts w:eastAsia="Times New Roman"/>
                <w:sz w:val="20"/>
                <w:szCs w:val="20"/>
              </w:rPr>
            </w:pPr>
          </w:p>
        </w:tc>
        <w:tc>
          <w:tcPr>
            <w:tcW w:w="50" w:type="pct"/>
            <w:vAlign w:val="center"/>
            <w:hideMark/>
          </w:tcPr>
          <w:p w14:paraId="2B630C07" w14:textId="77777777" w:rsidR="00000000" w:rsidRDefault="00405D16">
            <w:pPr>
              <w:spacing w:after="100"/>
              <w:rPr>
                <w:rFonts w:eastAsia="Times New Roman"/>
                <w:sz w:val="20"/>
                <w:szCs w:val="20"/>
              </w:rPr>
            </w:pPr>
          </w:p>
        </w:tc>
        <w:tc>
          <w:tcPr>
            <w:tcW w:w="1614" w:type="pct"/>
            <w:vAlign w:val="center"/>
            <w:hideMark/>
          </w:tcPr>
          <w:p w14:paraId="11D1325A" w14:textId="77777777" w:rsidR="00000000" w:rsidRDefault="00405D16">
            <w:pPr>
              <w:spacing w:after="100"/>
              <w:rPr>
                <w:rFonts w:eastAsia="Times New Roman"/>
                <w:sz w:val="20"/>
                <w:szCs w:val="20"/>
              </w:rPr>
            </w:pPr>
          </w:p>
        </w:tc>
        <w:tc>
          <w:tcPr>
            <w:tcW w:w="5" w:type="pct"/>
            <w:vAlign w:val="center"/>
            <w:hideMark/>
          </w:tcPr>
          <w:p w14:paraId="218556F4" w14:textId="77777777" w:rsidR="00000000" w:rsidRDefault="00405D16">
            <w:pPr>
              <w:spacing w:after="100"/>
              <w:rPr>
                <w:rFonts w:eastAsia="Times New Roman"/>
                <w:sz w:val="20"/>
                <w:szCs w:val="20"/>
              </w:rPr>
            </w:pPr>
          </w:p>
        </w:tc>
        <w:tc>
          <w:tcPr>
            <w:tcW w:w="50" w:type="pct"/>
            <w:vAlign w:val="center"/>
            <w:hideMark/>
          </w:tcPr>
          <w:p w14:paraId="13658138" w14:textId="77777777" w:rsidR="00000000" w:rsidRDefault="00405D16">
            <w:pPr>
              <w:spacing w:after="100"/>
              <w:rPr>
                <w:rFonts w:eastAsia="Times New Roman"/>
                <w:sz w:val="20"/>
                <w:szCs w:val="20"/>
              </w:rPr>
            </w:pPr>
          </w:p>
        </w:tc>
        <w:tc>
          <w:tcPr>
            <w:tcW w:w="1614" w:type="pct"/>
            <w:vAlign w:val="center"/>
            <w:hideMark/>
          </w:tcPr>
          <w:p w14:paraId="381B0C1F" w14:textId="77777777" w:rsidR="00000000" w:rsidRDefault="00405D16">
            <w:pPr>
              <w:spacing w:after="100"/>
              <w:rPr>
                <w:rFonts w:eastAsia="Times New Roman"/>
                <w:sz w:val="20"/>
                <w:szCs w:val="20"/>
              </w:rPr>
            </w:pPr>
          </w:p>
        </w:tc>
        <w:tc>
          <w:tcPr>
            <w:tcW w:w="5" w:type="pct"/>
            <w:vAlign w:val="center"/>
            <w:hideMark/>
          </w:tcPr>
          <w:p w14:paraId="00ACE5BF" w14:textId="77777777" w:rsidR="00000000" w:rsidRDefault="00405D16">
            <w:pPr>
              <w:spacing w:after="100"/>
              <w:rPr>
                <w:rFonts w:eastAsia="Times New Roman"/>
                <w:sz w:val="20"/>
                <w:szCs w:val="20"/>
              </w:rPr>
            </w:pPr>
          </w:p>
        </w:tc>
      </w:tr>
      <w:tr w:rsidR="00000000" w14:paraId="077C5B67" w14:textId="77777777">
        <w:trPr>
          <w:divId w:val="1497649097"/>
          <w:trHeight w:val="300"/>
          <w:jc w:val="center"/>
        </w:trPr>
        <w:tc>
          <w:tcPr>
            <w:tcW w:w="0" w:type="auto"/>
            <w:gridSpan w:val="9"/>
            <w:tcMar>
              <w:top w:w="0" w:type="dxa"/>
              <w:left w:w="20" w:type="dxa"/>
              <w:bottom w:w="0" w:type="dxa"/>
              <w:right w:w="20" w:type="dxa"/>
            </w:tcMar>
            <w:vAlign w:val="center"/>
            <w:hideMark/>
          </w:tcPr>
          <w:p w14:paraId="20C382C4" w14:textId="77777777" w:rsidR="00000000" w:rsidRDefault="00405D16">
            <w:pPr>
              <w:spacing w:after="100"/>
              <w:rPr>
                <w:rFonts w:eastAsia="Times New Roman"/>
                <w:sz w:val="20"/>
                <w:szCs w:val="20"/>
              </w:rPr>
            </w:pPr>
          </w:p>
        </w:tc>
      </w:tr>
      <w:tr w:rsidR="00000000" w14:paraId="29D46E54" w14:textId="77777777">
        <w:trPr>
          <w:divId w:val="1497649097"/>
          <w:jc w:val="center"/>
        </w:trPr>
        <w:tc>
          <w:tcPr>
            <w:tcW w:w="0" w:type="auto"/>
            <w:gridSpan w:val="3"/>
            <w:tcMar>
              <w:top w:w="0" w:type="dxa"/>
              <w:left w:w="20" w:type="dxa"/>
              <w:bottom w:w="0" w:type="dxa"/>
              <w:right w:w="20" w:type="dxa"/>
            </w:tcMar>
            <w:vAlign w:val="center"/>
            <w:hideMark/>
          </w:tcPr>
          <w:p w14:paraId="48CB2977"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5028E6A" w14:textId="77777777" w:rsidR="00000000" w:rsidRDefault="00405D16">
            <w:pPr>
              <w:spacing w:after="100"/>
              <w:jc w:val="center"/>
              <w:rPr>
                <w:rFonts w:eastAsia="Times New Roman"/>
              </w:rPr>
            </w:pPr>
            <w:r>
              <w:rPr>
                <w:rFonts w:eastAsia="Times New Roman"/>
                <w:color w:val="000000"/>
                <w:sz w:val="16"/>
                <w:szCs w:val="16"/>
              </w:rPr>
              <w:t>82</w:t>
            </w:r>
          </w:p>
        </w:tc>
        <w:tc>
          <w:tcPr>
            <w:tcW w:w="0" w:type="auto"/>
            <w:gridSpan w:val="3"/>
            <w:tcMar>
              <w:top w:w="30" w:type="dxa"/>
              <w:left w:w="20" w:type="dxa"/>
              <w:bottom w:w="30" w:type="dxa"/>
              <w:right w:w="20" w:type="dxa"/>
            </w:tcMar>
            <w:vAlign w:val="bottom"/>
            <w:hideMark/>
          </w:tcPr>
          <w:p w14:paraId="3E1E41F0"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559953B2" w14:textId="77777777" w:rsidR="00000000" w:rsidRDefault="00405D16">
      <w:pPr>
        <w:rPr>
          <w:rFonts w:eastAsia="Times New Roman"/>
        </w:rPr>
      </w:pPr>
      <w:r>
        <w:rPr>
          <w:rFonts w:eastAsia="Times New Roman"/>
        </w:rPr>
        <w:pict w14:anchorId="3E5D32BA">
          <v:rect id="_x0000_i1107" style="width:0;height:1.5pt" o:hralign="center" o:hrstd="t" o:hr="t" fillcolor="#a0a0a0" stroked="f"/>
        </w:pict>
      </w:r>
    </w:p>
    <w:p w14:paraId="762CC2EE" w14:textId="77777777" w:rsidR="00000000" w:rsidRDefault="00405D16">
      <w:pPr>
        <w:jc w:val="both"/>
        <w:divId w:val="546111550"/>
        <w:rPr>
          <w:rFonts w:eastAsia="Times New Roman"/>
        </w:rPr>
      </w:pPr>
      <w:hyperlink w:anchor="idd54a04a485440b4ab4e56094c14d612_13" w:history="1">
        <w:r>
          <w:rPr>
            <w:rStyle w:val="a3"/>
            <w:rFonts w:eastAsia="Times New Roman"/>
            <w:sz w:val="16"/>
            <w:szCs w:val="16"/>
          </w:rPr>
          <w:t>Table of Contents</w:t>
        </w:r>
      </w:hyperlink>
    </w:p>
    <w:p w14:paraId="2E3F1A8D" w14:textId="77777777" w:rsidR="00000000" w:rsidRDefault="00405D16">
      <w:pPr>
        <w:jc w:val="center"/>
        <w:divId w:val="546111550"/>
        <w:rPr>
          <w:rFonts w:eastAsia="Times New Roman"/>
        </w:rPr>
      </w:pPr>
    </w:p>
    <w:p w14:paraId="45EA50E3" w14:textId="77777777" w:rsidR="00000000" w:rsidRDefault="00405D16">
      <w:pPr>
        <w:jc w:val="both"/>
        <w:divId w:val="1396584256"/>
        <w:rPr>
          <w:rFonts w:eastAsia="Times New Roman"/>
        </w:rPr>
      </w:pPr>
      <w:r>
        <w:rPr>
          <w:rFonts w:eastAsia="Times New Roman"/>
          <w:color w:val="000000"/>
          <w:sz w:val="20"/>
          <w:szCs w:val="20"/>
        </w:rPr>
        <w:t>The following table presents our loans held for investment that are 90 days or more past due that continue to accrue interest, loans that are</w:t>
      </w:r>
      <w:r>
        <w:rPr>
          <w:rFonts w:eastAsia="Times New Roman"/>
          <w:color w:val="000000"/>
          <w:sz w:val="20"/>
          <w:szCs w:val="20"/>
        </w:rPr>
        <w:t xml:space="preserve"> classified as nonperforming and loans that are classified as nonperforming without an allowance as of September 30, 2021 and December 31, 2020. Nonperforming loans generally include loans that have been placed on nonaccrual status.</w:t>
      </w:r>
    </w:p>
    <w:p w14:paraId="492E011C" w14:textId="77777777" w:rsidR="00000000" w:rsidRDefault="00405D16">
      <w:pPr>
        <w:divId w:val="936671089"/>
        <w:rPr>
          <w:rFonts w:eastAsia="Times New Roman"/>
        </w:rPr>
      </w:pPr>
      <w:r>
        <w:rPr>
          <w:rFonts w:eastAsia="Times New Roman"/>
          <w:b/>
          <w:bCs/>
          <w:color w:val="000000"/>
          <w:sz w:val="18"/>
          <w:szCs w:val="18"/>
        </w:rPr>
        <w:t>Table 3.2: 90+ Day Deli</w:t>
      </w:r>
      <w:r>
        <w:rPr>
          <w:rFonts w:eastAsia="Times New Roman"/>
          <w:b/>
          <w:bCs/>
          <w:color w:val="000000"/>
          <w:sz w:val="18"/>
          <w:szCs w:val="18"/>
        </w:rPr>
        <w:t>nquent Loans Accruing Interest and Nonperforming Loans</w:t>
      </w:r>
    </w:p>
    <w:tbl>
      <w:tblPr>
        <w:tblW w:w="5000" w:type="pct"/>
        <w:tblCellMar>
          <w:top w:w="15" w:type="dxa"/>
          <w:left w:w="15" w:type="dxa"/>
          <w:bottom w:w="15" w:type="dxa"/>
          <w:right w:w="15" w:type="dxa"/>
        </w:tblCellMar>
        <w:tblLook w:val="04A0" w:firstRow="1" w:lastRow="0" w:firstColumn="1" w:lastColumn="0" w:noHBand="0" w:noVBand="1"/>
      </w:tblPr>
      <w:tblGrid>
        <w:gridCol w:w="45"/>
        <w:gridCol w:w="1137"/>
        <w:gridCol w:w="38"/>
        <w:gridCol w:w="36"/>
        <w:gridCol w:w="36"/>
        <w:gridCol w:w="36"/>
        <w:gridCol w:w="111"/>
        <w:gridCol w:w="604"/>
        <w:gridCol w:w="200"/>
        <w:gridCol w:w="36"/>
        <w:gridCol w:w="36"/>
        <w:gridCol w:w="36"/>
        <w:gridCol w:w="111"/>
        <w:gridCol w:w="1002"/>
        <w:gridCol w:w="200"/>
        <w:gridCol w:w="36"/>
        <w:gridCol w:w="36"/>
        <w:gridCol w:w="36"/>
        <w:gridCol w:w="111"/>
        <w:gridCol w:w="1004"/>
        <w:gridCol w:w="200"/>
        <w:gridCol w:w="36"/>
        <w:gridCol w:w="36"/>
        <w:gridCol w:w="36"/>
        <w:gridCol w:w="110"/>
        <w:gridCol w:w="450"/>
        <w:gridCol w:w="170"/>
        <w:gridCol w:w="36"/>
        <w:gridCol w:w="36"/>
        <w:gridCol w:w="36"/>
        <w:gridCol w:w="111"/>
        <w:gridCol w:w="1002"/>
        <w:gridCol w:w="170"/>
        <w:gridCol w:w="36"/>
        <w:gridCol w:w="36"/>
        <w:gridCol w:w="36"/>
        <w:gridCol w:w="111"/>
        <w:gridCol w:w="1004"/>
        <w:gridCol w:w="170"/>
      </w:tblGrid>
      <w:tr w:rsidR="00000000" w14:paraId="1282463C" w14:textId="77777777">
        <w:trPr>
          <w:divId w:val="103697404"/>
        </w:trPr>
        <w:tc>
          <w:tcPr>
            <w:tcW w:w="50" w:type="pct"/>
            <w:vAlign w:val="center"/>
            <w:hideMark/>
          </w:tcPr>
          <w:p w14:paraId="04ED778D" w14:textId="77777777" w:rsidR="00000000" w:rsidRDefault="00405D16">
            <w:pPr>
              <w:rPr>
                <w:rFonts w:eastAsia="Times New Roman"/>
              </w:rPr>
            </w:pPr>
          </w:p>
        </w:tc>
        <w:tc>
          <w:tcPr>
            <w:tcW w:w="1290" w:type="pct"/>
            <w:vAlign w:val="center"/>
            <w:hideMark/>
          </w:tcPr>
          <w:p w14:paraId="251010AD" w14:textId="77777777" w:rsidR="00000000" w:rsidRDefault="00405D16">
            <w:pPr>
              <w:spacing w:after="100"/>
              <w:rPr>
                <w:rFonts w:eastAsia="Times New Roman"/>
                <w:sz w:val="20"/>
                <w:szCs w:val="20"/>
              </w:rPr>
            </w:pPr>
          </w:p>
        </w:tc>
        <w:tc>
          <w:tcPr>
            <w:tcW w:w="5" w:type="pct"/>
            <w:vAlign w:val="center"/>
            <w:hideMark/>
          </w:tcPr>
          <w:p w14:paraId="745C7604" w14:textId="77777777" w:rsidR="00000000" w:rsidRDefault="00405D16">
            <w:pPr>
              <w:spacing w:after="100"/>
              <w:rPr>
                <w:rFonts w:eastAsia="Times New Roman"/>
                <w:sz w:val="20"/>
                <w:szCs w:val="20"/>
              </w:rPr>
            </w:pPr>
          </w:p>
        </w:tc>
        <w:tc>
          <w:tcPr>
            <w:tcW w:w="5" w:type="pct"/>
            <w:vAlign w:val="center"/>
            <w:hideMark/>
          </w:tcPr>
          <w:p w14:paraId="1A286800" w14:textId="77777777" w:rsidR="00000000" w:rsidRDefault="00405D16">
            <w:pPr>
              <w:spacing w:after="100"/>
              <w:rPr>
                <w:rFonts w:eastAsia="Times New Roman"/>
                <w:sz w:val="20"/>
                <w:szCs w:val="20"/>
              </w:rPr>
            </w:pPr>
          </w:p>
        </w:tc>
        <w:tc>
          <w:tcPr>
            <w:tcW w:w="26" w:type="pct"/>
            <w:vAlign w:val="center"/>
            <w:hideMark/>
          </w:tcPr>
          <w:p w14:paraId="1B2A74E2" w14:textId="77777777" w:rsidR="00000000" w:rsidRDefault="00405D16">
            <w:pPr>
              <w:spacing w:after="100"/>
              <w:rPr>
                <w:rFonts w:eastAsia="Times New Roman"/>
                <w:sz w:val="20"/>
                <w:szCs w:val="20"/>
              </w:rPr>
            </w:pPr>
          </w:p>
        </w:tc>
        <w:tc>
          <w:tcPr>
            <w:tcW w:w="5" w:type="pct"/>
            <w:vAlign w:val="center"/>
            <w:hideMark/>
          </w:tcPr>
          <w:p w14:paraId="46D2D45F" w14:textId="77777777" w:rsidR="00000000" w:rsidRDefault="00405D16">
            <w:pPr>
              <w:spacing w:after="100"/>
              <w:rPr>
                <w:rFonts w:eastAsia="Times New Roman"/>
                <w:sz w:val="20"/>
                <w:szCs w:val="20"/>
              </w:rPr>
            </w:pPr>
          </w:p>
        </w:tc>
        <w:tc>
          <w:tcPr>
            <w:tcW w:w="50" w:type="pct"/>
            <w:vAlign w:val="center"/>
            <w:hideMark/>
          </w:tcPr>
          <w:p w14:paraId="212A2B49" w14:textId="77777777" w:rsidR="00000000" w:rsidRDefault="00405D16">
            <w:pPr>
              <w:spacing w:after="100"/>
              <w:rPr>
                <w:rFonts w:eastAsia="Times New Roman"/>
                <w:sz w:val="20"/>
                <w:szCs w:val="20"/>
              </w:rPr>
            </w:pPr>
          </w:p>
        </w:tc>
        <w:tc>
          <w:tcPr>
            <w:tcW w:w="493" w:type="pct"/>
            <w:vAlign w:val="center"/>
            <w:hideMark/>
          </w:tcPr>
          <w:p w14:paraId="69CB6323" w14:textId="77777777" w:rsidR="00000000" w:rsidRDefault="00405D16">
            <w:pPr>
              <w:spacing w:after="100"/>
              <w:rPr>
                <w:rFonts w:eastAsia="Times New Roman"/>
                <w:sz w:val="20"/>
                <w:szCs w:val="20"/>
              </w:rPr>
            </w:pPr>
          </w:p>
        </w:tc>
        <w:tc>
          <w:tcPr>
            <w:tcW w:w="5" w:type="pct"/>
            <w:vAlign w:val="center"/>
            <w:hideMark/>
          </w:tcPr>
          <w:p w14:paraId="3AA72AD4" w14:textId="77777777" w:rsidR="00000000" w:rsidRDefault="00405D16">
            <w:pPr>
              <w:spacing w:after="100"/>
              <w:rPr>
                <w:rFonts w:eastAsia="Times New Roman"/>
                <w:sz w:val="20"/>
                <w:szCs w:val="20"/>
              </w:rPr>
            </w:pPr>
          </w:p>
        </w:tc>
        <w:tc>
          <w:tcPr>
            <w:tcW w:w="5" w:type="pct"/>
            <w:vAlign w:val="center"/>
            <w:hideMark/>
          </w:tcPr>
          <w:p w14:paraId="3A22DD2F" w14:textId="77777777" w:rsidR="00000000" w:rsidRDefault="00405D16">
            <w:pPr>
              <w:spacing w:after="100"/>
              <w:rPr>
                <w:rFonts w:eastAsia="Times New Roman"/>
                <w:sz w:val="20"/>
                <w:szCs w:val="20"/>
              </w:rPr>
            </w:pPr>
          </w:p>
        </w:tc>
        <w:tc>
          <w:tcPr>
            <w:tcW w:w="26" w:type="pct"/>
            <w:vAlign w:val="center"/>
            <w:hideMark/>
          </w:tcPr>
          <w:p w14:paraId="668C2991" w14:textId="77777777" w:rsidR="00000000" w:rsidRDefault="00405D16">
            <w:pPr>
              <w:spacing w:after="100"/>
              <w:rPr>
                <w:rFonts w:eastAsia="Times New Roman"/>
                <w:sz w:val="20"/>
                <w:szCs w:val="20"/>
              </w:rPr>
            </w:pPr>
          </w:p>
        </w:tc>
        <w:tc>
          <w:tcPr>
            <w:tcW w:w="5" w:type="pct"/>
            <w:vAlign w:val="center"/>
            <w:hideMark/>
          </w:tcPr>
          <w:p w14:paraId="2A23832F" w14:textId="77777777" w:rsidR="00000000" w:rsidRDefault="00405D16">
            <w:pPr>
              <w:spacing w:after="100"/>
              <w:rPr>
                <w:rFonts w:eastAsia="Times New Roman"/>
                <w:sz w:val="20"/>
                <w:szCs w:val="20"/>
              </w:rPr>
            </w:pPr>
          </w:p>
        </w:tc>
        <w:tc>
          <w:tcPr>
            <w:tcW w:w="50" w:type="pct"/>
            <w:vAlign w:val="center"/>
            <w:hideMark/>
          </w:tcPr>
          <w:p w14:paraId="2F6C5DF1" w14:textId="77777777" w:rsidR="00000000" w:rsidRDefault="00405D16">
            <w:pPr>
              <w:spacing w:after="100"/>
              <w:rPr>
                <w:rFonts w:eastAsia="Times New Roman"/>
                <w:sz w:val="20"/>
                <w:szCs w:val="20"/>
              </w:rPr>
            </w:pPr>
          </w:p>
        </w:tc>
        <w:tc>
          <w:tcPr>
            <w:tcW w:w="522" w:type="pct"/>
            <w:vAlign w:val="center"/>
            <w:hideMark/>
          </w:tcPr>
          <w:p w14:paraId="6B5CC568" w14:textId="77777777" w:rsidR="00000000" w:rsidRDefault="00405D16">
            <w:pPr>
              <w:spacing w:after="100"/>
              <w:rPr>
                <w:rFonts w:eastAsia="Times New Roman"/>
                <w:sz w:val="20"/>
                <w:szCs w:val="20"/>
              </w:rPr>
            </w:pPr>
          </w:p>
        </w:tc>
        <w:tc>
          <w:tcPr>
            <w:tcW w:w="5" w:type="pct"/>
            <w:vAlign w:val="center"/>
            <w:hideMark/>
          </w:tcPr>
          <w:p w14:paraId="610E2555" w14:textId="77777777" w:rsidR="00000000" w:rsidRDefault="00405D16">
            <w:pPr>
              <w:spacing w:after="100"/>
              <w:rPr>
                <w:rFonts w:eastAsia="Times New Roman"/>
                <w:sz w:val="20"/>
                <w:szCs w:val="20"/>
              </w:rPr>
            </w:pPr>
          </w:p>
        </w:tc>
        <w:tc>
          <w:tcPr>
            <w:tcW w:w="5" w:type="pct"/>
            <w:vAlign w:val="center"/>
            <w:hideMark/>
          </w:tcPr>
          <w:p w14:paraId="76BB2623" w14:textId="77777777" w:rsidR="00000000" w:rsidRDefault="00405D16">
            <w:pPr>
              <w:spacing w:after="100"/>
              <w:rPr>
                <w:rFonts w:eastAsia="Times New Roman"/>
                <w:sz w:val="20"/>
                <w:szCs w:val="20"/>
              </w:rPr>
            </w:pPr>
          </w:p>
        </w:tc>
        <w:tc>
          <w:tcPr>
            <w:tcW w:w="26" w:type="pct"/>
            <w:vAlign w:val="center"/>
            <w:hideMark/>
          </w:tcPr>
          <w:p w14:paraId="04B2FB03" w14:textId="77777777" w:rsidR="00000000" w:rsidRDefault="00405D16">
            <w:pPr>
              <w:spacing w:after="100"/>
              <w:rPr>
                <w:rFonts w:eastAsia="Times New Roman"/>
                <w:sz w:val="20"/>
                <w:szCs w:val="20"/>
              </w:rPr>
            </w:pPr>
          </w:p>
        </w:tc>
        <w:tc>
          <w:tcPr>
            <w:tcW w:w="5" w:type="pct"/>
            <w:vAlign w:val="center"/>
            <w:hideMark/>
          </w:tcPr>
          <w:p w14:paraId="615463F3" w14:textId="77777777" w:rsidR="00000000" w:rsidRDefault="00405D16">
            <w:pPr>
              <w:spacing w:after="100"/>
              <w:rPr>
                <w:rFonts w:eastAsia="Times New Roman"/>
                <w:sz w:val="20"/>
                <w:szCs w:val="20"/>
              </w:rPr>
            </w:pPr>
          </w:p>
        </w:tc>
        <w:tc>
          <w:tcPr>
            <w:tcW w:w="50" w:type="pct"/>
            <w:vAlign w:val="center"/>
            <w:hideMark/>
          </w:tcPr>
          <w:p w14:paraId="7D8B5483" w14:textId="77777777" w:rsidR="00000000" w:rsidRDefault="00405D16">
            <w:pPr>
              <w:spacing w:after="100"/>
              <w:rPr>
                <w:rFonts w:eastAsia="Times New Roman"/>
                <w:sz w:val="20"/>
                <w:szCs w:val="20"/>
              </w:rPr>
            </w:pPr>
          </w:p>
        </w:tc>
        <w:tc>
          <w:tcPr>
            <w:tcW w:w="537" w:type="pct"/>
            <w:vAlign w:val="center"/>
            <w:hideMark/>
          </w:tcPr>
          <w:p w14:paraId="653633BA" w14:textId="77777777" w:rsidR="00000000" w:rsidRDefault="00405D16">
            <w:pPr>
              <w:spacing w:after="100"/>
              <w:rPr>
                <w:rFonts w:eastAsia="Times New Roman"/>
                <w:sz w:val="20"/>
                <w:szCs w:val="20"/>
              </w:rPr>
            </w:pPr>
          </w:p>
        </w:tc>
        <w:tc>
          <w:tcPr>
            <w:tcW w:w="5" w:type="pct"/>
            <w:vAlign w:val="center"/>
            <w:hideMark/>
          </w:tcPr>
          <w:p w14:paraId="6B6B5670" w14:textId="77777777" w:rsidR="00000000" w:rsidRDefault="00405D16">
            <w:pPr>
              <w:spacing w:after="100"/>
              <w:rPr>
                <w:rFonts w:eastAsia="Times New Roman"/>
                <w:sz w:val="20"/>
                <w:szCs w:val="20"/>
              </w:rPr>
            </w:pPr>
          </w:p>
        </w:tc>
        <w:tc>
          <w:tcPr>
            <w:tcW w:w="5" w:type="pct"/>
            <w:vAlign w:val="center"/>
            <w:hideMark/>
          </w:tcPr>
          <w:p w14:paraId="0FDFE7CC" w14:textId="77777777" w:rsidR="00000000" w:rsidRDefault="00405D16">
            <w:pPr>
              <w:spacing w:after="100"/>
              <w:rPr>
                <w:rFonts w:eastAsia="Times New Roman"/>
                <w:sz w:val="20"/>
                <w:szCs w:val="20"/>
              </w:rPr>
            </w:pPr>
          </w:p>
        </w:tc>
        <w:tc>
          <w:tcPr>
            <w:tcW w:w="26" w:type="pct"/>
            <w:vAlign w:val="center"/>
            <w:hideMark/>
          </w:tcPr>
          <w:p w14:paraId="1BCC402C" w14:textId="77777777" w:rsidR="00000000" w:rsidRDefault="00405D16">
            <w:pPr>
              <w:spacing w:after="100"/>
              <w:rPr>
                <w:rFonts w:eastAsia="Times New Roman"/>
                <w:sz w:val="20"/>
                <w:szCs w:val="20"/>
              </w:rPr>
            </w:pPr>
          </w:p>
        </w:tc>
        <w:tc>
          <w:tcPr>
            <w:tcW w:w="5" w:type="pct"/>
            <w:vAlign w:val="center"/>
            <w:hideMark/>
          </w:tcPr>
          <w:p w14:paraId="05C6A145" w14:textId="77777777" w:rsidR="00000000" w:rsidRDefault="00405D16">
            <w:pPr>
              <w:spacing w:after="100"/>
              <w:rPr>
                <w:rFonts w:eastAsia="Times New Roman"/>
                <w:sz w:val="20"/>
                <w:szCs w:val="20"/>
              </w:rPr>
            </w:pPr>
          </w:p>
        </w:tc>
        <w:tc>
          <w:tcPr>
            <w:tcW w:w="50" w:type="pct"/>
            <w:vAlign w:val="center"/>
            <w:hideMark/>
          </w:tcPr>
          <w:p w14:paraId="302579E8" w14:textId="77777777" w:rsidR="00000000" w:rsidRDefault="00405D16">
            <w:pPr>
              <w:spacing w:after="100"/>
              <w:rPr>
                <w:rFonts w:eastAsia="Times New Roman"/>
                <w:sz w:val="20"/>
                <w:szCs w:val="20"/>
              </w:rPr>
            </w:pPr>
          </w:p>
        </w:tc>
        <w:tc>
          <w:tcPr>
            <w:tcW w:w="493" w:type="pct"/>
            <w:vAlign w:val="center"/>
            <w:hideMark/>
          </w:tcPr>
          <w:p w14:paraId="28C288B5" w14:textId="77777777" w:rsidR="00000000" w:rsidRDefault="00405D16">
            <w:pPr>
              <w:spacing w:after="100"/>
              <w:rPr>
                <w:rFonts w:eastAsia="Times New Roman"/>
                <w:sz w:val="20"/>
                <w:szCs w:val="20"/>
              </w:rPr>
            </w:pPr>
          </w:p>
        </w:tc>
        <w:tc>
          <w:tcPr>
            <w:tcW w:w="5" w:type="pct"/>
            <w:vAlign w:val="center"/>
            <w:hideMark/>
          </w:tcPr>
          <w:p w14:paraId="4A034FE9" w14:textId="77777777" w:rsidR="00000000" w:rsidRDefault="00405D16">
            <w:pPr>
              <w:spacing w:after="100"/>
              <w:rPr>
                <w:rFonts w:eastAsia="Times New Roman"/>
                <w:sz w:val="20"/>
                <w:szCs w:val="20"/>
              </w:rPr>
            </w:pPr>
          </w:p>
        </w:tc>
        <w:tc>
          <w:tcPr>
            <w:tcW w:w="5" w:type="pct"/>
            <w:vAlign w:val="center"/>
            <w:hideMark/>
          </w:tcPr>
          <w:p w14:paraId="7C1D7468" w14:textId="77777777" w:rsidR="00000000" w:rsidRDefault="00405D16">
            <w:pPr>
              <w:spacing w:after="100"/>
              <w:rPr>
                <w:rFonts w:eastAsia="Times New Roman"/>
                <w:sz w:val="20"/>
                <w:szCs w:val="20"/>
              </w:rPr>
            </w:pPr>
          </w:p>
        </w:tc>
        <w:tc>
          <w:tcPr>
            <w:tcW w:w="26" w:type="pct"/>
            <w:vAlign w:val="center"/>
            <w:hideMark/>
          </w:tcPr>
          <w:p w14:paraId="1107C706" w14:textId="77777777" w:rsidR="00000000" w:rsidRDefault="00405D16">
            <w:pPr>
              <w:spacing w:after="100"/>
              <w:rPr>
                <w:rFonts w:eastAsia="Times New Roman"/>
                <w:sz w:val="20"/>
                <w:szCs w:val="20"/>
              </w:rPr>
            </w:pPr>
          </w:p>
        </w:tc>
        <w:tc>
          <w:tcPr>
            <w:tcW w:w="5" w:type="pct"/>
            <w:vAlign w:val="center"/>
            <w:hideMark/>
          </w:tcPr>
          <w:p w14:paraId="726AF3CA" w14:textId="77777777" w:rsidR="00000000" w:rsidRDefault="00405D16">
            <w:pPr>
              <w:spacing w:after="100"/>
              <w:rPr>
                <w:rFonts w:eastAsia="Times New Roman"/>
                <w:sz w:val="20"/>
                <w:szCs w:val="20"/>
              </w:rPr>
            </w:pPr>
          </w:p>
        </w:tc>
        <w:tc>
          <w:tcPr>
            <w:tcW w:w="50" w:type="pct"/>
            <w:vAlign w:val="center"/>
            <w:hideMark/>
          </w:tcPr>
          <w:p w14:paraId="0C177895" w14:textId="77777777" w:rsidR="00000000" w:rsidRDefault="00405D16">
            <w:pPr>
              <w:spacing w:after="100"/>
              <w:rPr>
                <w:rFonts w:eastAsia="Times New Roman"/>
                <w:sz w:val="20"/>
                <w:szCs w:val="20"/>
              </w:rPr>
            </w:pPr>
          </w:p>
        </w:tc>
        <w:tc>
          <w:tcPr>
            <w:tcW w:w="522" w:type="pct"/>
            <w:vAlign w:val="center"/>
            <w:hideMark/>
          </w:tcPr>
          <w:p w14:paraId="7B79AAB1" w14:textId="77777777" w:rsidR="00000000" w:rsidRDefault="00405D16">
            <w:pPr>
              <w:spacing w:after="100"/>
              <w:rPr>
                <w:rFonts w:eastAsia="Times New Roman"/>
                <w:sz w:val="20"/>
                <w:szCs w:val="20"/>
              </w:rPr>
            </w:pPr>
          </w:p>
        </w:tc>
        <w:tc>
          <w:tcPr>
            <w:tcW w:w="5" w:type="pct"/>
            <w:vAlign w:val="center"/>
            <w:hideMark/>
          </w:tcPr>
          <w:p w14:paraId="05963BD8" w14:textId="77777777" w:rsidR="00000000" w:rsidRDefault="00405D16">
            <w:pPr>
              <w:spacing w:after="100"/>
              <w:rPr>
                <w:rFonts w:eastAsia="Times New Roman"/>
                <w:sz w:val="20"/>
                <w:szCs w:val="20"/>
              </w:rPr>
            </w:pPr>
          </w:p>
        </w:tc>
        <w:tc>
          <w:tcPr>
            <w:tcW w:w="5" w:type="pct"/>
            <w:vAlign w:val="center"/>
            <w:hideMark/>
          </w:tcPr>
          <w:p w14:paraId="6F82848A" w14:textId="77777777" w:rsidR="00000000" w:rsidRDefault="00405D16">
            <w:pPr>
              <w:spacing w:after="100"/>
              <w:rPr>
                <w:rFonts w:eastAsia="Times New Roman"/>
                <w:sz w:val="20"/>
                <w:szCs w:val="20"/>
              </w:rPr>
            </w:pPr>
          </w:p>
        </w:tc>
        <w:tc>
          <w:tcPr>
            <w:tcW w:w="26" w:type="pct"/>
            <w:vAlign w:val="center"/>
            <w:hideMark/>
          </w:tcPr>
          <w:p w14:paraId="7D238F60" w14:textId="77777777" w:rsidR="00000000" w:rsidRDefault="00405D16">
            <w:pPr>
              <w:spacing w:after="100"/>
              <w:rPr>
                <w:rFonts w:eastAsia="Times New Roman"/>
                <w:sz w:val="20"/>
                <w:szCs w:val="20"/>
              </w:rPr>
            </w:pPr>
          </w:p>
        </w:tc>
        <w:tc>
          <w:tcPr>
            <w:tcW w:w="5" w:type="pct"/>
            <w:vAlign w:val="center"/>
            <w:hideMark/>
          </w:tcPr>
          <w:p w14:paraId="58404FC8" w14:textId="77777777" w:rsidR="00000000" w:rsidRDefault="00405D16">
            <w:pPr>
              <w:spacing w:after="100"/>
              <w:rPr>
                <w:rFonts w:eastAsia="Times New Roman"/>
                <w:sz w:val="20"/>
                <w:szCs w:val="20"/>
              </w:rPr>
            </w:pPr>
          </w:p>
        </w:tc>
        <w:tc>
          <w:tcPr>
            <w:tcW w:w="50" w:type="pct"/>
            <w:vAlign w:val="center"/>
            <w:hideMark/>
          </w:tcPr>
          <w:p w14:paraId="364199E0" w14:textId="77777777" w:rsidR="00000000" w:rsidRDefault="00405D16">
            <w:pPr>
              <w:spacing w:after="100"/>
              <w:rPr>
                <w:rFonts w:eastAsia="Times New Roman"/>
                <w:sz w:val="20"/>
                <w:szCs w:val="20"/>
              </w:rPr>
            </w:pPr>
          </w:p>
        </w:tc>
        <w:tc>
          <w:tcPr>
            <w:tcW w:w="537" w:type="pct"/>
            <w:vAlign w:val="center"/>
            <w:hideMark/>
          </w:tcPr>
          <w:p w14:paraId="0DB907A3" w14:textId="77777777" w:rsidR="00000000" w:rsidRDefault="00405D16">
            <w:pPr>
              <w:spacing w:after="100"/>
              <w:rPr>
                <w:rFonts w:eastAsia="Times New Roman"/>
                <w:sz w:val="20"/>
                <w:szCs w:val="20"/>
              </w:rPr>
            </w:pPr>
          </w:p>
        </w:tc>
        <w:tc>
          <w:tcPr>
            <w:tcW w:w="5" w:type="pct"/>
            <w:vAlign w:val="center"/>
            <w:hideMark/>
          </w:tcPr>
          <w:p w14:paraId="0E66A2DA" w14:textId="77777777" w:rsidR="00000000" w:rsidRDefault="00405D16">
            <w:pPr>
              <w:spacing w:after="100"/>
              <w:rPr>
                <w:rFonts w:eastAsia="Times New Roman"/>
                <w:sz w:val="20"/>
                <w:szCs w:val="20"/>
              </w:rPr>
            </w:pPr>
          </w:p>
        </w:tc>
      </w:tr>
      <w:tr w:rsidR="00000000" w14:paraId="4F9E2D00" w14:textId="77777777">
        <w:trPr>
          <w:divId w:val="103697404"/>
        </w:trPr>
        <w:tc>
          <w:tcPr>
            <w:tcW w:w="0" w:type="auto"/>
            <w:gridSpan w:val="3"/>
            <w:tcMar>
              <w:top w:w="0" w:type="dxa"/>
              <w:left w:w="20" w:type="dxa"/>
              <w:bottom w:w="0" w:type="dxa"/>
              <w:right w:w="20" w:type="dxa"/>
            </w:tcMar>
            <w:vAlign w:val="center"/>
            <w:hideMark/>
          </w:tcPr>
          <w:p w14:paraId="2ACD38C0"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E06E622" w14:textId="77777777" w:rsidR="00000000" w:rsidRDefault="00405D16">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09B76BAA" w14:textId="77777777" w:rsidR="00000000" w:rsidRDefault="00405D16">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14:paraId="5CAA0CE8" w14:textId="77777777" w:rsidR="00000000" w:rsidRDefault="00405D16">
            <w:pPr>
              <w:spacing w:after="100"/>
              <w:jc w:val="center"/>
              <w:rPr>
                <w:rFonts w:eastAsia="Times New Roman"/>
              </w:rPr>
            </w:pPr>
          </w:p>
        </w:tc>
        <w:tc>
          <w:tcPr>
            <w:tcW w:w="0" w:type="auto"/>
            <w:gridSpan w:val="15"/>
            <w:tcMar>
              <w:top w:w="30" w:type="dxa"/>
              <w:left w:w="20" w:type="dxa"/>
              <w:bottom w:w="30" w:type="dxa"/>
              <w:right w:w="20" w:type="dxa"/>
            </w:tcMar>
            <w:vAlign w:val="bottom"/>
            <w:hideMark/>
          </w:tcPr>
          <w:p w14:paraId="02BE0A4F" w14:textId="77777777" w:rsidR="00000000" w:rsidRDefault="00405D16">
            <w:pPr>
              <w:spacing w:after="100"/>
              <w:jc w:val="center"/>
              <w:rPr>
                <w:rFonts w:eastAsia="Times New Roman"/>
              </w:rPr>
            </w:pPr>
            <w:r>
              <w:rPr>
                <w:rFonts w:eastAsia="Times New Roman"/>
                <w:b/>
                <w:bCs/>
                <w:color w:val="000000"/>
                <w:sz w:val="16"/>
                <w:szCs w:val="16"/>
              </w:rPr>
              <w:t>December 31, 2020</w:t>
            </w:r>
          </w:p>
        </w:tc>
      </w:tr>
      <w:tr w:rsidR="00000000" w14:paraId="5D2DCFDD" w14:textId="77777777">
        <w:trPr>
          <w:divId w:val="103697404"/>
        </w:trPr>
        <w:tc>
          <w:tcPr>
            <w:tcW w:w="0" w:type="auto"/>
            <w:gridSpan w:val="3"/>
            <w:tcBorders>
              <w:bottom w:val="single" w:sz="8" w:space="0" w:color="000000"/>
            </w:tcBorders>
            <w:tcMar>
              <w:top w:w="30" w:type="dxa"/>
              <w:left w:w="20" w:type="dxa"/>
              <w:bottom w:w="30" w:type="dxa"/>
              <w:right w:w="20" w:type="dxa"/>
            </w:tcMar>
            <w:vAlign w:val="bottom"/>
            <w:hideMark/>
          </w:tcPr>
          <w:p w14:paraId="02312A9A"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333C1902" w14:textId="77777777" w:rsidR="00000000" w:rsidRDefault="00405D16">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3982B03" w14:textId="77777777" w:rsidR="00000000" w:rsidRDefault="00405D16">
            <w:pPr>
              <w:spacing w:after="100"/>
              <w:jc w:val="center"/>
              <w:rPr>
                <w:rFonts w:eastAsia="Times New Roman"/>
              </w:rPr>
            </w:pPr>
            <w:r>
              <w:rPr>
                <w:rFonts w:eastAsia="Times New Roman"/>
                <w:b/>
                <w:bCs/>
                <w:color w:val="000000"/>
                <w:sz w:val="16"/>
                <w:szCs w:val="16"/>
                <w:u w:val="single"/>
              </w:rPr>
              <w:t>&gt;</w:t>
            </w:r>
            <w:r>
              <w:rPr>
                <w:rFonts w:eastAsia="Times New Roman"/>
                <w:b/>
                <w:bCs/>
                <w:color w:val="000000"/>
                <w:sz w:val="16"/>
                <w:szCs w:val="16"/>
              </w:rPr>
              <w:t xml:space="preserve"> 90 Days and Accruing</w:t>
            </w:r>
          </w:p>
        </w:tc>
        <w:tc>
          <w:tcPr>
            <w:tcW w:w="0" w:type="auto"/>
            <w:gridSpan w:val="3"/>
            <w:tcBorders>
              <w:top w:val="single" w:sz="8" w:space="0" w:color="000000"/>
            </w:tcBorders>
            <w:tcMar>
              <w:top w:w="0" w:type="dxa"/>
              <w:left w:w="20" w:type="dxa"/>
              <w:bottom w:w="0" w:type="dxa"/>
              <w:right w:w="20" w:type="dxa"/>
            </w:tcMar>
            <w:vAlign w:val="center"/>
            <w:hideMark/>
          </w:tcPr>
          <w:p w14:paraId="1FB6CEEF" w14:textId="77777777" w:rsidR="00000000" w:rsidRDefault="00405D1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32D6D2F" w14:textId="77777777" w:rsidR="00000000" w:rsidRDefault="00405D16">
            <w:pPr>
              <w:spacing w:after="100"/>
              <w:jc w:val="center"/>
              <w:rPr>
                <w:rFonts w:eastAsia="Times New Roman"/>
              </w:rPr>
            </w:pPr>
            <w:r>
              <w:rPr>
                <w:rFonts w:eastAsia="Times New Roman"/>
                <w:b/>
                <w:bCs/>
                <w:color w:val="000000"/>
                <w:sz w:val="16"/>
                <w:szCs w:val="16"/>
              </w:rPr>
              <w:t xml:space="preserve">Nonperforming </w:t>
            </w:r>
          </w:p>
          <w:p w14:paraId="40C26D0E" w14:textId="77777777" w:rsidR="00000000" w:rsidRDefault="00405D16">
            <w:pPr>
              <w:spacing w:after="100"/>
              <w:jc w:val="center"/>
              <w:rPr>
                <w:rFonts w:eastAsia="Times New Roman"/>
              </w:rPr>
            </w:pPr>
            <w:r>
              <w:rPr>
                <w:rFonts w:eastAsia="Times New Roman"/>
                <w:b/>
                <w:bCs/>
                <w:color w:val="000000"/>
                <w:sz w:val="16"/>
                <w:szCs w:val="16"/>
              </w:rPr>
              <w:t>Loan</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7DDE88C6" w14:textId="77777777" w:rsidR="00000000" w:rsidRDefault="00405D1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D321A33" w14:textId="77777777" w:rsidR="00000000" w:rsidRDefault="00405D16">
            <w:pPr>
              <w:spacing w:after="100"/>
              <w:jc w:val="center"/>
              <w:rPr>
                <w:rFonts w:eastAsia="Times New Roman"/>
              </w:rPr>
            </w:pPr>
            <w:r>
              <w:rPr>
                <w:rFonts w:eastAsia="Times New Roman"/>
                <w:b/>
                <w:bCs/>
                <w:color w:val="000000"/>
                <w:sz w:val="16"/>
                <w:szCs w:val="16"/>
              </w:rPr>
              <w:t>Nonperforming</w:t>
            </w:r>
            <w:r>
              <w:rPr>
                <w:rFonts w:eastAsia="Times New Roman"/>
                <w:b/>
                <w:bCs/>
                <w:color w:val="000000"/>
                <w:sz w:val="16"/>
                <w:szCs w:val="16"/>
              </w:rPr>
              <w:br/>
              <w:t> Loans Without an Allowance</w:t>
            </w:r>
          </w:p>
        </w:tc>
        <w:tc>
          <w:tcPr>
            <w:tcW w:w="0" w:type="auto"/>
            <w:gridSpan w:val="3"/>
            <w:tcMar>
              <w:top w:w="0" w:type="dxa"/>
              <w:left w:w="20" w:type="dxa"/>
              <w:bottom w:w="0" w:type="dxa"/>
              <w:right w:w="20" w:type="dxa"/>
            </w:tcMar>
            <w:vAlign w:val="center"/>
            <w:hideMark/>
          </w:tcPr>
          <w:p w14:paraId="6624038C" w14:textId="77777777" w:rsidR="00000000" w:rsidRDefault="00405D1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EA8F6B7" w14:textId="77777777" w:rsidR="00000000" w:rsidRDefault="00405D16">
            <w:pPr>
              <w:spacing w:after="100"/>
              <w:jc w:val="center"/>
              <w:rPr>
                <w:rFonts w:eastAsia="Times New Roman"/>
              </w:rPr>
            </w:pPr>
            <w:r>
              <w:rPr>
                <w:rFonts w:eastAsia="Times New Roman"/>
                <w:b/>
                <w:bCs/>
                <w:color w:val="000000"/>
                <w:sz w:val="16"/>
                <w:szCs w:val="16"/>
                <w:u w:val="single"/>
              </w:rPr>
              <w:t>&gt;</w:t>
            </w:r>
            <w:r>
              <w:rPr>
                <w:rFonts w:eastAsia="Times New Roman"/>
                <w:b/>
                <w:bCs/>
                <w:color w:val="000000"/>
                <w:sz w:val="16"/>
                <w:szCs w:val="16"/>
              </w:rPr>
              <w:t xml:space="preserve"> 90 Days and Accruing</w:t>
            </w:r>
          </w:p>
        </w:tc>
        <w:tc>
          <w:tcPr>
            <w:tcW w:w="0" w:type="auto"/>
            <w:gridSpan w:val="3"/>
            <w:tcBorders>
              <w:top w:val="single" w:sz="8" w:space="0" w:color="000000"/>
            </w:tcBorders>
            <w:tcMar>
              <w:top w:w="0" w:type="dxa"/>
              <w:left w:w="20" w:type="dxa"/>
              <w:bottom w:w="0" w:type="dxa"/>
              <w:right w:w="20" w:type="dxa"/>
            </w:tcMar>
            <w:vAlign w:val="center"/>
            <w:hideMark/>
          </w:tcPr>
          <w:p w14:paraId="030D90B1" w14:textId="77777777" w:rsidR="00000000" w:rsidRDefault="00405D1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A749158" w14:textId="77777777" w:rsidR="00000000" w:rsidRDefault="00405D16">
            <w:pPr>
              <w:spacing w:after="100"/>
              <w:jc w:val="center"/>
              <w:rPr>
                <w:rFonts w:eastAsia="Times New Roman"/>
              </w:rPr>
            </w:pPr>
            <w:r>
              <w:rPr>
                <w:rFonts w:eastAsia="Times New Roman"/>
                <w:b/>
                <w:bCs/>
                <w:color w:val="000000"/>
                <w:sz w:val="16"/>
                <w:szCs w:val="16"/>
              </w:rPr>
              <w:t xml:space="preserve">Nonperforming </w:t>
            </w:r>
          </w:p>
          <w:p w14:paraId="24F8BBE8" w14:textId="77777777" w:rsidR="00000000" w:rsidRDefault="00405D16">
            <w:pPr>
              <w:spacing w:after="100"/>
              <w:jc w:val="center"/>
              <w:rPr>
                <w:rFonts w:eastAsia="Times New Roman"/>
              </w:rPr>
            </w:pPr>
            <w:r>
              <w:rPr>
                <w:rFonts w:eastAsia="Times New Roman"/>
                <w:b/>
                <w:bCs/>
                <w:color w:val="000000"/>
                <w:sz w:val="16"/>
                <w:szCs w:val="16"/>
              </w:rPr>
              <w:t>Loan</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754D8314" w14:textId="77777777" w:rsidR="00000000" w:rsidRDefault="00405D1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9AA8144" w14:textId="77777777" w:rsidR="00000000" w:rsidRDefault="00405D16">
            <w:pPr>
              <w:spacing w:after="100"/>
              <w:jc w:val="center"/>
              <w:rPr>
                <w:rFonts w:eastAsia="Times New Roman"/>
              </w:rPr>
            </w:pPr>
            <w:r>
              <w:rPr>
                <w:rFonts w:eastAsia="Times New Roman"/>
                <w:b/>
                <w:bCs/>
                <w:color w:val="000000"/>
                <w:sz w:val="16"/>
                <w:szCs w:val="16"/>
              </w:rPr>
              <w:t>Nonperforming</w:t>
            </w:r>
            <w:r>
              <w:rPr>
                <w:rFonts w:eastAsia="Times New Roman"/>
                <w:b/>
                <w:bCs/>
                <w:color w:val="000000"/>
                <w:sz w:val="16"/>
                <w:szCs w:val="16"/>
              </w:rPr>
              <w:br/>
              <w:t> Loans Without an Allowance</w:t>
            </w:r>
          </w:p>
        </w:tc>
      </w:tr>
      <w:tr w:rsidR="00000000" w14:paraId="16ED5FDB" w14:textId="77777777">
        <w:trPr>
          <w:divId w:val="10369740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18C3A09" w14:textId="77777777" w:rsidR="00000000" w:rsidRDefault="00405D16">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14:paraId="3B9B4290"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E55593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4D6B94"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424CE4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096403"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A4E9D1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EE02BB"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9EB855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6655E9"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FFA8B2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BA651E"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EC5D79C" w14:textId="77777777" w:rsidR="00000000" w:rsidRDefault="00405D16">
            <w:pPr>
              <w:spacing w:after="100"/>
              <w:rPr>
                <w:rFonts w:eastAsia="Times New Roman"/>
                <w:sz w:val="20"/>
                <w:szCs w:val="20"/>
              </w:rPr>
            </w:pPr>
          </w:p>
        </w:tc>
      </w:tr>
      <w:tr w:rsidR="00000000" w14:paraId="0E6BFB35" w14:textId="77777777">
        <w:trPr>
          <w:divId w:val="103697404"/>
        </w:trPr>
        <w:tc>
          <w:tcPr>
            <w:tcW w:w="0" w:type="auto"/>
            <w:gridSpan w:val="3"/>
            <w:shd w:val="clear" w:color="auto" w:fill="FFFFFF"/>
            <w:tcMar>
              <w:top w:w="30" w:type="dxa"/>
              <w:left w:w="245" w:type="dxa"/>
              <w:bottom w:w="30" w:type="dxa"/>
              <w:right w:w="20" w:type="dxa"/>
            </w:tcMar>
            <w:vAlign w:val="center"/>
            <w:hideMark/>
          </w:tcPr>
          <w:p w14:paraId="2B83026B" w14:textId="77777777" w:rsidR="00000000" w:rsidRDefault="00405D16">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14:paraId="5C007CA4"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19BA7B25"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2212EC92" w14:textId="77777777" w:rsidR="00000000" w:rsidRDefault="00405D16">
            <w:pPr>
              <w:spacing w:after="100"/>
              <w:jc w:val="right"/>
              <w:rPr>
                <w:rFonts w:eastAsia="Times New Roman"/>
              </w:rPr>
            </w:pPr>
            <w:r>
              <w:rPr>
                <w:rFonts w:eastAsia="Times New Roman"/>
                <w:b/>
                <w:bCs/>
                <w:color w:val="000000"/>
                <w:sz w:val="18"/>
                <w:szCs w:val="18"/>
              </w:rPr>
              <w:t>841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B0A645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B9675A"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2BBED58B" w14:textId="77777777" w:rsidR="00000000" w:rsidRDefault="00405D16">
            <w:pPr>
              <w:spacing w:after="100"/>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14:paraId="5312F3E9" w14:textId="77777777" w:rsidR="00000000" w:rsidRDefault="00405D16">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19241740"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189CB16B"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E4F0E1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DB84DB"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584A7DE"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D28AF1D" w14:textId="77777777" w:rsidR="00000000" w:rsidRDefault="00405D16">
            <w:pPr>
              <w:spacing w:after="100"/>
              <w:jc w:val="right"/>
              <w:rPr>
                <w:rFonts w:eastAsia="Times New Roman"/>
              </w:rPr>
            </w:pPr>
            <w:r>
              <w:rPr>
                <w:rFonts w:eastAsia="Times New Roman"/>
                <w:color w:val="000000"/>
                <w:sz w:val="18"/>
                <w:szCs w:val="18"/>
              </w:rPr>
              <w:t>1,169 </w:t>
            </w:r>
          </w:p>
        </w:tc>
        <w:tc>
          <w:tcPr>
            <w:tcW w:w="0" w:type="auto"/>
            <w:shd w:val="clear" w:color="auto" w:fill="FFFFFF"/>
            <w:tcMar>
              <w:top w:w="30" w:type="dxa"/>
              <w:left w:w="0" w:type="dxa"/>
              <w:bottom w:w="30" w:type="dxa"/>
              <w:right w:w="20" w:type="dxa"/>
            </w:tcMar>
            <w:vAlign w:val="bottom"/>
            <w:hideMark/>
          </w:tcPr>
          <w:p w14:paraId="2CD2BF9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0D6F82"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1A7B8BAC" w14:textId="77777777" w:rsidR="00000000" w:rsidRDefault="00405D16">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14:paraId="10A9F6DE" w14:textId="77777777" w:rsidR="00000000" w:rsidRDefault="00405D16">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63704AA9"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5ED0F15"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526882BA" w14:textId="77777777" w:rsidR="00000000" w:rsidRDefault="00405D16">
            <w:pPr>
              <w:spacing w:after="100"/>
              <w:jc w:val="right"/>
              <w:rPr>
                <w:rFonts w:eastAsia="Times New Roman"/>
              </w:rPr>
            </w:pPr>
          </w:p>
        </w:tc>
      </w:tr>
      <w:tr w:rsidR="00000000" w14:paraId="6CE39B10" w14:textId="77777777">
        <w:trPr>
          <w:divId w:val="103697404"/>
        </w:trPr>
        <w:tc>
          <w:tcPr>
            <w:tcW w:w="0" w:type="auto"/>
            <w:gridSpan w:val="3"/>
            <w:shd w:val="clear" w:color="auto" w:fill="CCEEFF"/>
            <w:tcMar>
              <w:top w:w="30" w:type="dxa"/>
              <w:left w:w="245" w:type="dxa"/>
              <w:bottom w:w="30" w:type="dxa"/>
              <w:right w:w="20" w:type="dxa"/>
            </w:tcMar>
            <w:vAlign w:val="center"/>
            <w:hideMark/>
          </w:tcPr>
          <w:p w14:paraId="5F90C75D" w14:textId="77777777" w:rsidR="00000000" w:rsidRDefault="00405D16">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14:paraId="503D33F2"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6FE99BD" w14:textId="77777777" w:rsidR="00000000" w:rsidRDefault="00405D16">
            <w:pPr>
              <w:spacing w:after="100"/>
              <w:jc w:val="right"/>
              <w:rPr>
                <w:rFonts w:eastAsia="Times New Roman"/>
              </w:rPr>
            </w:pPr>
            <w:r>
              <w:rPr>
                <w:rFonts w:eastAsia="Times New Roman"/>
                <w:b/>
                <w:bCs/>
                <w:color w:val="000000"/>
                <w:sz w:val="18"/>
                <w:szCs w:val="18"/>
              </w:rPr>
              <w:t>74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05CC4C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F6977C"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C1E2D90"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5CC6DA65" w14:textId="77777777" w:rsidR="00000000" w:rsidRDefault="00405D16">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3B540A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7E89C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789731"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D4D356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067AF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A87207" w14:textId="77777777" w:rsidR="00000000" w:rsidRDefault="00405D16">
            <w:pPr>
              <w:spacing w:after="100"/>
              <w:jc w:val="right"/>
              <w:rPr>
                <w:rFonts w:eastAsia="Times New Roman"/>
              </w:rPr>
            </w:pPr>
            <w:r>
              <w:rPr>
                <w:rFonts w:eastAsia="Times New Roman"/>
                <w:color w:val="000000"/>
                <w:sz w:val="18"/>
                <w:szCs w:val="18"/>
              </w:rPr>
              <w:t>82 </w:t>
            </w:r>
          </w:p>
        </w:tc>
        <w:tc>
          <w:tcPr>
            <w:tcW w:w="0" w:type="auto"/>
            <w:shd w:val="clear" w:color="auto" w:fill="CCEEFF"/>
            <w:tcMar>
              <w:top w:w="30" w:type="dxa"/>
              <w:left w:w="0" w:type="dxa"/>
              <w:bottom w:w="30" w:type="dxa"/>
              <w:right w:w="20" w:type="dxa"/>
            </w:tcMar>
            <w:vAlign w:val="bottom"/>
            <w:hideMark/>
          </w:tcPr>
          <w:p w14:paraId="662B732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ED5558"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AEFD0F5"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D30257C" w14:textId="77777777" w:rsidR="00000000" w:rsidRDefault="00405D16">
            <w:pPr>
              <w:spacing w:after="100"/>
              <w:jc w:val="right"/>
              <w:rPr>
                <w:rFonts w:eastAsia="Times New Roman"/>
              </w:rPr>
            </w:pPr>
            <w:r>
              <w:rPr>
                <w:rFonts w:eastAsia="Times New Roman"/>
                <w:color w:val="000000"/>
                <w:sz w:val="18"/>
                <w:szCs w:val="18"/>
              </w:rPr>
              <w:t>21 </w:t>
            </w:r>
          </w:p>
        </w:tc>
        <w:tc>
          <w:tcPr>
            <w:tcW w:w="0" w:type="auto"/>
            <w:shd w:val="clear" w:color="auto" w:fill="CCEEFF"/>
            <w:tcMar>
              <w:top w:w="30" w:type="dxa"/>
              <w:left w:w="0" w:type="dxa"/>
              <w:bottom w:w="30" w:type="dxa"/>
              <w:right w:w="20" w:type="dxa"/>
            </w:tcMar>
            <w:vAlign w:val="bottom"/>
            <w:hideMark/>
          </w:tcPr>
          <w:p w14:paraId="6B1B081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1373B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4A0C78"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03CD0FCB" w14:textId="77777777" w:rsidR="00000000" w:rsidRDefault="00405D16">
            <w:pPr>
              <w:spacing w:after="100"/>
              <w:jc w:val="right"/>
              <w:rPr>
                <w:rFonts w:eastAsia="Times New Roman"/>
              </w:rPr>
            </w:pPr>
          </w:p>
        </w:tc>
      </w:tr>
      <w:tr w:rsidR="00000000" w14:paraId="724DBCAB" w14:textId="77777777">
        <w:trPr>
          <w:divId w:val="103697404"/>
        </w:trPr>
        <w:tc>
          <w:tcPr>
            <w:tcW w:w="0" w:type="auto"/>
            <w:gridSpan w:val="3"/>
            <w:shd w:val="clear" w:color="auto" w:fill="FFFFFF"/>
            <w:tcMar>
              <w:top w:w="30" w:type="dxa"/>
              <w:left w:w="20" w:type="dxa"/>
              <w:bottom w:w="30" w:type="dxa"/>
              <w:right w:w="20" w:type="dxa"/>
            </w:tcMar>
            <w:vAlign w:val="center"/>
            <w:hideMark/>
          </w:tcPr>
          <w:p w14:paraId="72C0971E" w14:textId="77777777" w:rsidR="00000000" w:rsidRDefault="00405D16">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14:paraId="61723FB9"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70396B6" w14:textId="77777777" w:rsidR="00000000" w:rsidRDefault="00405D16">
            <w:pPr>
              <w:spacing w:after="100"/>
              <w:jc w:val="right"/>
              <w:rPr>
                <w:rFonts w:eastAsia="Times New Roman"/>
              </w:rPr>
            </w:pPr>
            <w:r>
              <w:rPr>
                <w:rFonts w:eastAsia="Times New Roman"/>
                <w:b/>
                <w:bCs/>
                <w:color w:val="000000"/>
                <w:sz w:val="18"/>
                <w:szCs w:val="18"/>
              </w:rPr>
              <w:t>915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FB9C3A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9370C6"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75A41FB" w14:textId="77777777" w:rsidR="00000000" w:rsidRDefault="00405D16">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CA2234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316178"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8751549"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EBE391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A0B0DF"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9AE3779" w14:textId="77777777" w:rsidR="00000000" w:rsidRDefault="00405D16">
            <w:pPr>
              <w:spacing w:after="100"/>
              <w:jc w:val="right"/>
              <w:rPr>
                <w:rFonts w:eastAsia="Times New Roman"/>
              </w:rPr>
            </w:pPr>
            <w:r>
              <w:rPr>
                <w:rFonts w:eastAsia="Times New Roman"/>
                <w:color w:val="000000"/>
                <w:sz w:val="18"/>
                <w:szCs w:val="18"/>
              </w:rPr>
              <w:t>1,251 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B92FC5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E77837"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AFB8AF4" w14:textId="77777777" w:rsidR="00000000" w:rsidRDefault="00405D16">
            <w:pPr>
              <w:spacing w:after="100"/>
              <w:jc w:val="right"/>
              <w:rPr>
                <w:rFonts w:eastAsia="Times New Roman"/>
              </w:rPr>
            </w:pPr>
            <w:r>
              <w:rPr>
                <w:rFonts w:eastAsia="Times New Roman"/>
                <w:color w:val="000000"/>
                <w:sz w:val="18"/>
                <w:szCs w:val="18"/>
              </w:rPr>
              <w:t>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F0E9C9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9A20B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9E556AE" w14:textId="77777777" w:rsidR="00000000" w:rsidRDefault="00405D16">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E3B4187" w14:textId="77777777" w:rsidR="00000000" w:rsidRDefault="00405D16">
            <w:pPr>
              <w:spacing w:after="100"/>
              <w:jc w:val="right"/>
              <w:rPr>
                <w:rFonts w:eastAsia="Times New Roman"/>
              </w:rPr>
            </w:pPr>
          </w:p>
        </w:tc>
      </w:tr>
      <w:tr w:rsidR="00000000" w14:paraId="317E581E" w14:textId="77777777">
        <w:trPr>
          <w:divId w:val="103697404"/>
        </w:trPr>
        <w:tc>
          <w:tcPr>
            <w:tcW w:w="0" w:type="auto"/>
            <w:gridSpan w:val="3"/>
            <w:shd w:val="clear" w:color="auto" w:fill="CCEEFF"/>
            <w:tcMar>
              <w:top w:w="30" w:type="dxa"/>
              <w:left w:w="20" w:type="dxa"/>
              <w:bottom w:w="30" w:type="dxa"/>
              <w:right w:w="20" w:type="dxa"/>
            </w:tcMar>
            <w:vAlign w:val="center"/>
            <w:hideMark/>
          </w:tcPr>
          <w:p w14:paraId="2B4BEA3A" w14:textId="77777777" w:rsidR="00000000" w:rsidRDefault="00405D16">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14:paraId="1A658186"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326ABF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A0556F"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AFA655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0E37D6"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380CAE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F60387"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EF20E3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1801FC"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F110E9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6A96C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027CA08" w14:textId="77777777" w:rsidR="00000000" w:rsidRDefault="00405D16">
            <w:pPr>
              <w:spacing w:after="100"/>
              <w:rPr>
                <w:rFonts w:eastAsia="Times New Roman"/>
                <w:sz w:val="20"/>
                <w:szCs w:val="20"/>
              </w:rPr>
            </w:pPr>
          </w:p>
        </w:tc>
      </w:tr>
      <w:tr w:rsidR="00000000" w14:paraId="5E7D0251" w14:textId="77777777">
        <w:trPr>
          <w:divId w:val="103697404"/>
        </w:trPr>
        <w:tc>
          <w:tcPr>
            <w:tcW w:w="0" w:type="auto"/>
            <w:gridSpan w:val="3"/>
            <w:shd w:val="clear" w:color="auto" w:fill="FFFFFF"/>
            <w:tcMar>
              <w:top w:w="30" w:type="dxa"/>
              <w:left w:w="245" w:type="dxa"/>
              <w:bottom w:w="30" w:type="dxa"/>
              <w:right w:w="20" w:type="dxa"/>
            </w:tcMar>
            <w:vAlign w:val="center"/>
            <w:hideMark/>
          </w:tcPr>
          <w:p w14:paraId="57074E1D" w14:textId="77777777" w:rsidR="00000000" w:rsidRDefault="00405D16">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14:paraId="4E4C98DC"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B910018"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4BD803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EBD22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EA3A1F" w14:textId="77777777" w:rsidR="00000000" w:rsidRDefault="00405D16">
            <w:pPr>
              <w:spacing w:after="100"/>
              <w:jc w:val="right"/>
              <w:rPr>
                <w:rFonts w:eastAsia="Times New Roman"/>
              </w:rPr>
            </w:pPr>
            <w:r>
              <w:rPr>
                <w:rFonts w:eastAsia="Times New Roman"/>
                <w:b/>
                <w:bCs/>
                <w:color w:val="000000"/>
                <w:sz w:val="18"/>
                <w:szCs w:val="18"/>
              </w:rPr>
              <w:t>270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5C49F3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1BCBC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666FBB"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0D9473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8E644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AA847D"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2FA97C5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13543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9335FC" w14:textId="77777777" w:rsidR="00000000" w:rsidRDefault="00405D16">
            <w:pPr>
              <w:spacing w:after="100"/>
              <w:jc w:val="right"/>
              <w:rPr>
                <w:rFonts w:eastAsia="Times New Roman"/>
              </w:rPr>
            </w:pPr>
            <w:r>
              <w:rPr>
                <w:rFonts w:eastAsia="Times New Roman"/>
                <w:color w:val="000000"/>
                <w:sz w:val="18"/>
                <w:szCs w:val="18"/>
              </w:rPr>
              <w:t>294 </w:t>
            </w:r>
          </w:p>
        </w:tc>
        <w:tc>
          <w:tcPr>
            <w:tcW w:w="0" w:type="auto"/>
            <w:shd w:val="clear" w:color="auto" w:fill="FFFFFF"/>
            <w:tcMar>
              <w:top w:w="30" w:type="dxa"/>
              <w:left w:w="0" w:type="dxa"/>
              <w:bottom w:w="30" w:type="dxa"/>
              <w:right w:w="20" w:type="dxa"/>
            </w:tcMar>
            <w:vAlign w:val="bottom"/>
            <w:hideMark/>
          </w:tcPr>
          <w:p w14:paraId="5E8ADED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94FCC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B17FF5"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3A86BFE8" w14:textId="77777777" w:rsidR="00000000" w:rsidRDefault="00405D16">
            <w:pPr>
              <w:spacing w:after="100"/>
              <w:jc w:val="right"/>
              <w:rPr>
                <w:rFonts w:eastAsia="Times New Roman"/>
              </w:rPr>
            </w:pPr>
          </w:p>
        </w:tc>
      </w:tr>
      <w:tr w:rsidR="00000000" w14:paraId="7BC412FD" w14:textId="77777777">
        <w:trPr>
          <w:divId w:val="103697404"/>
        </w:trPr>
        <w:tc>
          <w:tcPr>
            <w:tcW w:w="0" w:type="auto"/>
            <w:gridSpan w:val="3"/>
            <w:shd w:val="clear" w:color="auto" w:fill="CCEEFF"/>
            <w:tcMar>
              <w:top w:w="30" w:type="dxa"/>
              <w:left w:w="245" w:type="dxa"/>
              <w:bottom w:w="30" w:type="dxa"/>
              <w:right w:w="20" w:type="dxa"/>
            </w:tcMar>
            <w:vAlign w:val="center"/>
            <w:hideMark/>
          </w:tcPr>
          <w:p w14:paraId="7CCED1DC" w14:textId="77777777" w:rsidR="00000000" w:rsidRDefault="00405D16">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14:paraId="2555EF77"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CD07C86"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54607C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A55B1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A4A6F2" w14:textId="77777777" w:rsidR="00000000" w:rsidRDefault="00405D16">
            <w:pPr>
              <w:spacing w:after="100"/>
              <w:jc w:val="right"/>
              <w:rPr>
                <w:rFonts w:eastAsia="Times New Roman"/>
              </w:rPr>
            </w:pPr>
            <w:r>
              <w:rPr>
                <w:rFonts w:eastAsia="Times New Roman"/>
                <w:b/>
                <w:bCs/>
                <w:color w:val="000000"/>
                <w:sz w:val="18"/>
                <w:szCs w:val="18"/>
              </w:rPr>
              <w:t>53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BA57C1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9640A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3BB086" w14:textId="77777777" w:rsidR="00000000" w:rsidRDefault="00405D16">
            <w:pPr>
              <w:spacing w:after="100"/>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5EFB45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E60EC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D293DB"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7C7F1A0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16D79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5A5DC2" w14:textId="77777777" w:rsidR="00000000" w:rsidRDefault="00405D16">
            <w:pPr>
              <w:spacing w:after="100"/>
              <w:jc w:val="right"/>
              <w:rPr>
                <w:rFonts w:eastAsia="Times New Roman"/>
              </w:rPr>
            </w:pPr>
            <w:r>
              <w:rPr>
                <w:rFonts w:eastAsia="Times New Roman"/>
                <w:color w:val="000000"/>
                <w:sz w:val="18"/>
                <w:szCs w:val="18"/>
              </w:rPr>
              <w:t>30 </w:t>
            </w:r>
          </w:p>
        </w:tc>
        <w:tc>
          <w:tcPr>
            <w:tcW w:w="0" w:type="auto"/>
            <w:shd w:val="clear" w:color="auto" w:fill="CCEEFF"/>
            <w:tcMar>
              <w:top w:w="30" w:type="dxa"/>
              <w:left w:w="0" w:type="dxa"/>
              <w:bottom w:w="30" w:type="dxa"/>
              <w:right w:w="20" w:type="dxa"/>
            </w:tcMar>
            <w:vAlign w:val="bottom"/>
            <w:hideMark/>
          </w:tcPr>
          <w:p w14:paraId="3BCB860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E1E7B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82B577"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43785E3D" w14:textId="77777777" w:rsidR="00000000" w:rsidRDefault="00405D16">
            <w:pPr>
              <w:spacing w:after="100"/>
              <w:jc w:val="right"/>
              <w:rPr>
                <w:rFonts w:eastAsia="Times New Roman"/>
              </w:rPr>
            </w:pPr>
          </w:p>
        </w:tc>
      </w:tr>
      <w:tr w:rsidR="00000000" w14:paraId="6D198D6B" w14:textId="77777777">
        <w:trPr>
          <w:divId w:val="103697404"/>
        </w:trPr>
        <w:tc>
          <w:tcPr>
            <w:tcW w:w="0" w:type="auto"/>
            <w:gridSpan w:val="3"/>
            <w:shd w:val="clear" w:color="auto" w:fill="FFFFFF"/>
            <w:tcMar>
              <w:top w:w="30" w:type="dxa"/>
              <w:left w:w="20" w:type="dxa"/>
              <w:bottom w:w="30" w:type="dxa"/>
              <w:right w:w="20" w:type="dxa"/>
            </w:tcMar>
            <w:vAlign w:val="center"/>
            <w:hideMark/>
          </w:tcPr>
          <w:p w14:paraId="2C196308" w14:textId="77777777" w:rsidR="00000000" w:rsidRDefault="00405D16">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14:paraId="64F8EBC4"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C79B172"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9923D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00457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675008E" w14:textId="77777777" w:rsidR="00000000" w:rsidRDefault="00405D16">
            <w:pPr>
              <w:spacing w:after="100"/>
              <w:jc w:val="right"/>
              <w:rPr>
                <w:rFonts w:eastAsia="Times New Roman"/>
              </w:rPr>
            </w:pPr>
            <w:r>
              <w:rPr>
                <w:rFonts w:eastAsia="Times New Roman"/>
                <w:b/>
                <w:bCs/>
                <w:color w:val="000000"/>
                <w:sz w:val="18"/>
                <w:szCs w:val="18"/>
              </w:rPr>
              <w:t>323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1A30EC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7A6479"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D6D45AF" w14:textId="77777777" w:rsidR="00000000" w:rsidRDefault="00405D16">
            <w:pPr>
              <w:spacing w:after="100"/>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17083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A3F8CF"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78CDF35" w14:textId="77777777" w:rsidR="00000000" w:rsidRDefault="00405D16">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25BF56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E3737F"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CD2B69C" w14:textId="77777777" w:rsidR="00000000" w:rsidRDefault="00405D16">
            <w:pPr>
              <w:spacing w:after="100"/>
              <w:jc w:val="right"/>
              <w:rPr>
                <w:rFonts w:eastAsia="Times New Roman"/>
              </w:rPr>
            </w:pPr>
            <w:r>
              <w:rPr>
                <w:rFonts w:eastAsia="Times New Roman"/>
                <w:color w:val="000000"/>
                <w:sz w:val="18"/>
                <w:szCs w:val="18"/>
              </w:rPr>
              <w:t>324 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AB478F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911344"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09CDD63" w14:textId="77777777" w:rsidR="00000000" w:rsidRDefault="00405D16">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CE5F5F6" w14:textId="77777777" w:rsidR="00000000" w:rsidRDefault="00405D16">
            <w:pPr>
              <w:spacing w:after="100"/>
              <w:jc w:val="right"/>
              <w:rPr>
                <w:rFonts w:eastAsia="Times New Roman"/>
              </w:rPr>
            </w:pPr>
          </w:p>
        </w:tc>
      </w:tr>
      <w:tr w:rsidR="00000000" w14:paraId="7AB0748B" w14:textId="77777777">
        <w:trPr>
          <w:divId w:val="103697404"/>
        </w:trPr>
        <w:tc>
          <w:tcPr>
            <w:tcW w:w="0" w:type="auto"/>
            <w:gridSpan w:val="3"/>
            <w:shd w:val="clear" w:color="auto" w:fill="CCEEFF"/>
            <w:tcMar>
              <w:top w:w="30" w:type="dxa"/>
              <w:left w:w="20" w:type="dxa"/>
              <w:bottom w:w="30" w:type="dxa"/>
              <w:right w:w="20" w:type="dxa"/>
            </w:tcMar>
            <w:vAlign w:val="center"/>
            <w:hideMark/>
          </w:tcPr>
          <w:p w14:paraId="085344C6" w14:textId="77777777" w:rsidR="00000000" w:rsidRDefault="00405D16">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14:paraId="7D821FFD"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41238B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170F50"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1B33E6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6F2861"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76CD50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3615F5"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6F547B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CD5760"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29DEF8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FB701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C086FA9" w14:textId="77777777" w:rsidR="00000000" w:rsidRDefault="00405D16">
            <w:pPr>
              <w:spacing w:after="100"/>
              <w:rPr>
                <w:rFonts w:eastAsia="Times New Roman"/>
                <w:sz w:val="20"/>
                <w:szCs w:val="20"/>
              </w:rPr>
            </w:pPr>
          </w:p>
        </w:tc>
      </w:tr>
      <w:tr w:rsidR="00000000" w14:paraId="3CC5DC29" w14:textId="77777777">
        <w:trPr>
          <w:divId w:val="103697404"/>
        </w:trPr>
        <w:tc>
          <w:tcPr>
            <w:tcW w:w="0" w:type="auto"/>
            <w:gridSpan w:val="3"/>
            <w:shd w:val="clear" w:color="auto" w:fill="FFFFFF"/>
            <w:tcMar>
              <w:top w:w="30" w:type="dxa"/>
              <w:left w:w="245" w:type="dxa"/>
              <w:bottom w:w="30" w:type="dxa"/>
              <w:right w:w="20" w:type="dxa"/>
            </w:tcMar>
            <w:vAlign w:val="center"/>
            <w:hideMark/>
          </w:tcPr>
          <w:p w14:paraId="5E73E3A4" w14:textId="77777777" w:rsidR="00000000" w:rsidRDefault="00405D16">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14:paraId="1EF10131"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C77CE2"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60EB9E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FE978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08E4C0" w14:textId="77777777" w:rsidR="00000000" w:rsidRDefault="00405D16">
            <w:pPr>
              <w:spacing w:after="100"/>
              <w:jc w:val="right"/>
              <w:rPr>
                <w:rFonts w:eastAsia="Times New Roman"/>
              </w:rPr>
            </w:pPr>
            <w:r>
              <w:rPr>
                <w:rFonts w:eastAsia="Times New Roman"/>
                <w:b/>
                <w:bCs/>
                <w:color w:val="000000"/>
                <w:sz w:val="18"/>
                <w:szCs w:val="18"/>
              </w:rPr>
              <w:t>287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F3C5C2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A7820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3351BB" w14:textId="77777777" w:rsidR="00000000" w:rsidRDefault="00405D16">
            <w:pPr>
              <w:spacing w:after="100"/>
              <w:jc w:val="right"/>
              <w:rPr>
                <w:rFonts w:eastAsia="Times New Roman"/>
              </w:rPr>
            </w:pPr>
            <w:r>
              <w:rPr>
                <w:rFonts w:eastAsia="Times New Roman"/>
                <w:b/>
                <w:bCs/>
                <w:color w:val="000000"/>
                <w:sz w:val="18"/>
                <w:szCs w:val="18"/>
              </w:rPr>
              <w:t>265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DD3460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32653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62C82E" w14:textId="77777777" w:rsidR="00000000" w:rsidRDefault="00405D16">
            <w:pPr>
              <w:spacing w:after="100"/>
              <w:jc w:val="right"/>
              <w:rPr>
                <w:rFonts w:eastAsia="Times New Roman"/>
              </w:rPr>
            </w:pPr>
            <w:r>
              <w:rPr>
                <w:rFonts w:eastAsia="Times New Roman"/>
                <w:color w:val="000000"/>
                <w:sz w:val="18"/>
                <w:szCs w:val="18"/>
              </w:rPr>
              <w:t>51 </w:t>
            </w:r>
          </w:p>
        </w:tc>
        <w:tc>
          <w:tcPr>
            <w:tcW w:w="0" w:type="auto"/>
            <w:shd w:val="clear" w:color="auto" w:fill="FFFFFF"/>
            <w:tcMar>
              <w:top w:w="30" w:type="dxa"/>
              <w:left w:w="0" w:type="dxa"/>
              <w:bottom w:w="30" w:type="dxa"/>
              <w:right w:w="20" w:type="dxa"/>
            </w:tcMar>
            <w:vAlign w:val="bottom"/>
            <w:hideMark/>
          </w:tcPr>
          <w:p w14:paraId="15A6394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F0CF0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42549F" w14:textId="77777777" w:rsidR="00000000" w:rsidRDefault="00405D16">
            <w:pPr>
              <w:spacing w:after="100"/>
              <w:jc w:val="right"/>
              <w:rPr>
                <w:rFonts w:eastAsia="Times New Roman"/>
              </w:rPr>
            </w:pPr>
            <w:r>
              <w:rPr>
                <w:rFonts w:eastAsia="Times New Roman"/>
                <w:color w:val="000000"/>
                <w:sz w:val="18"/>
                <w:szCs w:val="18"/>
              </w:rPr>
              <w:t>200 </w:t>
            </w:r>
          </w:p>
        </w:tc>
        <w:tc>
          <w:tcPr>
            <w:tcW w:w="0" w:type="auto"/>
            <w:shd w:val="clear" w:color="auto" w:fill="FFFFFF"/>
            <w:tcMar>
              <w:top w:w="30" w:type="dxa"/>
              <w:left w:w="0" w:type="dxa"/>
              <w:bottom w:w="30" w:type="dxa"/>
              <w:right w:w="20" w:type="dxa"/>
            </w:tcMar>
            <w:vAlign w:val="bottom"/>
            <w:hideMark/>
          </w:tcPr>
          <w:p w14:paraId="1CB529E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149FE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48960D" w14:textId="77777777" w:rsidR="00000000" w:rsidRDefault="00405D16">
            <w:pPr>
              <w:spacing w:after="100"/>
              <w:jc w:val="right"/>
              <w:rPr>
                <w:rFonts w:eastAsia="Times New Roman"/>
              </w:rPr>
            </w:pPr>
            <w:r>
              <w:rPr>
                <w:rFonts w:eastAsia="Times New Roman"/>
                <w:color w:val="000000"/>
                <w:sz w:val="18"/>
                <w:szCs w:val="18"/>
              </w:rPr>
              <w:t>184 </w:t>
            </w:r>
          </w:p>
        </w:tc>
        <w:tc>
          <w:tcPr>
            <w:tcW w:w="0" w:type="auto"/>
            <w:shd w:val="clear" w:color="auto" w:fill="FFFFFF"/>
            <w:tcMar>
              <w:top w:w="30" w:type="dxa"/>
              <w:left w:w="0" w:type="dxa"/>
              <w:bottom w:w="30" w:type="dxa"/>
              <w:right w:w="20" w:type="dxa"/>
            </w:tcMar>
            <w:vAlign w:val="bottom"/>
            <w:hideMark/>
          </w:tcPr>
          <w:p w14:paraId="3AB13EE0" w14:textId="77777777" w:rsidR="00000000" w:rsidRDefault="00405D16">
            <w:pPr>
              <w:spacing w:after="100"/>
              <w:jc w:val="right"/>
              <w:rPr>
                <w:rFonts w:eastAsia="Times New Roman"/>
              </w:rPr>
            </w:pPr>
          </w:p>
        </w:tc>
      </w:tr>
      <w:tr w:rsidR="00000000" w14:paraId="236DBFE7" w14:textId="77777777">
        <w:trPr>
          <w:divId w:val="103697404"/>
        </w:trPr>
        <w:tc>
          <w:tcPr>
            <w:tcW w:w="0" w:type="auto"/>
            <w:gridSpan w:val="3"/>
            <w:shd w:val="clear" w:color="auto" w:fill="CCEEFF"/>
            <w:tcMar>
              <w:top w:w="30" w:type="dxa"/>
              <w:left w:w="245" w:type="dxa"/>
              <w:bottom w:w="30" w:type="dxa"/>
              <w:right w:w="20" w:type="dxa"/>
            </w:tcMar>
            <w:vAlign w:val="center"/>
            <w:hideMark/>
          </w:tcPr>
          <w:p w14:paraId="0D9BE0FF" w14:textId="77777777" w:rsidR="00000000" w:rsidRDefault="00405D16">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14:paraId="301350C8"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00EE0B2" w14:textId="77777777" w:rsidR="00000000" w:rsidRDefault="00405D16">
            <w:pPr>
              <w:spacing w:after="100"/>
              <w:jc w:val="right"/>
              <w:rPr>
                <w:rFonts w:eastAsia="Times New Roman"/>
              </w:rPr>
            </w:pPr>
            <w:r>
              <w:rPr>
                <w:rFonts w:eastAsia="Times New Roman"/>
                <w:b/>
                <w:bCs/>
                <w:color w:val="000000"/>
                <w:sz w:val="18"/>
                <w:szCs w:val="18"/>
              </w:rPr>
              <w:t>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5CEF6E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E3385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F61AF4" w14:textId="77777777" w:rsidR="00000000" w:rsidRDefault="00405D16">
            <w:pPr>
              <w:spacing w:after="100"/>
              <w:jc w:val="right"/>
              <w:rPr>
                <w:rFonts w:eastAsia="Times New Roman"/>
              </w:rPr>
            </w:pPr>
            <w:r>
              <w:rPr>
                <w:rFonts w:eastAsia="Times New Roman"/>
                <w:b/>
                <w:bCs/>
                <w:color w:val="000000"/>
                <w:sz w:val="18"/>
                <w:szCs w:val="18"/>
              </w:rPr>
              <w:t>314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E74F47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D3030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28B554" w14:textId="77777777" w:rsidR="00000000" w:rsidRDefault="00405D16">
            <w:pPr>
              <w:spacing w:after="100"/>
              <w:jc w:val="right"/>
              <w:rPr>
                <w:rFonts w:eastAsia="Times New Roman"/>
              </w:rPr>
            </w:pPr>
            <w:r>
              <w:rPr>
                <w:rFonts w:eastAsia="Times New Roman"/>
                <w:b/>
                <w:bCs/>
                <w:color w:val="000000"/>
                <w:sz w:val="18"/>
                <w:szCs w:val="18"/>
              </w:rPr>
              <w:t>233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5C14CE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B1123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1493F5"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6F7CFEE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4B1EF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F07F31" w14:textId="77777777" w:rsidR="00000000" w:rsidRDefault="00405D16">
            <w:pPr>
              <w:spacing w:after="100"/>
              <w:jc w:val="right"/>
              <w:rPr>
                <w:rFonts w:eastAsia="Times New Roman"/>
              </w:rPr>
            </w:pPr>
            <w:r>
              <w:rPr>
                <w:rFonts w:eastAsia="Times New Roman"/>
                <w:color w:val="000000"/>
                <w:sz w:val="18"/>
                <w:szCs w:val="18"/>
              </w:rPr>
              <w:t>450 </w:t>
            </w:r>
          </w:p>
        </w:tc>
        <w:tc>
          <w:tcPr>
            <w:tcW w:w="0" w:type="auto"/>
            <w:shd w:val="clear" w:color="auto" w:fill="CCEEFF"/>
            <w:tcMar>
              <w:top w:w="30" w:type="dxa"/>
              <w:left w:w="0" w:type="dxa"/>
              <w:bottom w:w="30" w:type="dxa"/>
              <w:right w:w="20" w:type="dxa"/>
            </w:tcMar>
            <w:vAlign w:val="bottom"/>
            <w:hideMark/>
          </w:tcPr>
          <w:p w14:paraId="424C45E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21A2B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6C992E" w14:textId="77777777" w:rsidR="00000000" w:rsidRDefault="00405D16">
            <w:pPr>
              <w:spacing w:after="100"/>
              <w:jc w:val="right"/>
              <w:rPr>
                <w:rFonts w:eastAsia="Times New Roman"/>
              </w:rPr>
            </w:pPr>
            <w:r>
              <w:rPr>
                <w:rFonts w:eastAsia="Times New Roman"/>
                <w:color w:val="000000"/>
                <w:sz w:val="18"/>
                <w:szCs w:val="18"/>
              </w:rPr>
              <w:t>265 </w:t>
            </w:r>
          </w:p>
        </w:tc>
        <w:tc>
          <w:tcPr>
            <w:tcW w:w="0" w:type="auto"/>
            <w:shd w:val="clear" w:color="auto" w:fill="CCEEFF"/>
            <w:tcMar>
              <w:top w:w="30" w:type="dxa"/>
              <w:left w:w="0" w:type="dxa"/>
              <w:bottom w:w="30" w:type="dxa"/>
              <w:right w:w="20" w:type="dxa"/>
            </w:tcMar>
            <w:vAlign w:val="bottom"/>
            <w:hideMark/>
          </w:tcPr>
          <w:p w14:paraId="2D3D4ADD" w14:textId="77777777" w:rsidR="00000000" w:rsidRDefault="00405D16">
            <w:pPr>
              <w:spacing w:after="100"/>
              <w:jc w:val="right"/>
              <w:rPr>
                <w:rFonts w:eastAsia="Times New Roman"/>
              </w:rPr>
            </w:pPr>
          </w:p>
        </w:tc>
      </w:tr>
      <w:tr w:rsidR="00000000" w14:paraId="5368DEB2" w14:textId="77777777">
        <w:trPr>
          <w:divId w:val="103697404"/>
        </w:trPr>
        <w:tc>
          <w:tcPr>
            <w:tcW w:w="0" w:type="auto"/>
            <w:gridSpan w:val="3"/>
            <w:shd w:val="clear" w:color="auto" w:fill="FFFFFF"/>
            <w:tcMar>
              <w:top w:w="30" w:type="dxa"/>
              <w:left w:w="20" w:type="dxa"/>
              <w:bottom w:w="30" w:type="dxa"/>
              <w:right w:w="20" w:type="dxa"/>
            </w:tcMar>
            <w:vAlign w:val="center"/>
            <w:hideMark/>
          </w:tcPr>
          <w:p w14:paraId="4467BC90" w14:textId="77777777" w:rsidR="00000000" w:rsidRDefault="00405D16">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14:paraId="5AB9AA44"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FC5D742" w14:textId="77777777" w:rsidR="00000000" w:rsidRDefault="00405D16">
            <w:pPr>
              <w:spacing w:after="100"/>
              <w:jc w:val="right"/>
              <w:rPr>
                <w:rFonts w:eastAsia="Times New Roman"/>
              </w:rPr>
            </w:pPr>
            <w:r>
              <w:rPr>
                <w:rFonts w:eastAsia="Times New Roman"/>
                <w:b/>
                <w:bCs/>
                <w:color w:val="000000"/>
                <w:sz w:val="18"/>
                <w:szCs w:val="18"/>
              </w:rPr>
              <w:t>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DFCFA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2EEB60"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F089F4F" w14:textId="77777777" w:rsidR="00000000" w:rsidRDefault="00405D16">
            <w:pPr>
              <w:spacing w:after="100"/>
              <w:jc w:val="right"/>
              <w:rPr>
                <w:rFonts w:eastAsia="Times New Roman"/>
              </w:rPr>
            </w:pPr>
            <w:r>
              <w:rPr>
                <w:rFonts w:eastAsia="Times New Roman"/>
                <w:b/>
                <w:bCs/>
                <w:color w:val="000000"/>
                <w:sz w:val="18"/>
                <w:szCs w:val="18"/>
              </w:rPr>
              <w:t>601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D486F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49C575"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52907A6" w14:textId="77777777" w:rsidR="00000000" w:rsidRDefault="00405D16">
            <w:pPr>
              <w:spacing w:after="100"/>
              <w:jc w:val="right"/>
              <w:rPr>
                <w:rFonts w:eastAsia="Times New Roman"/>
              </w:rPr>
            </w:pPr>
            <w:r>
              <w:rPr>
                <w:rFonts w:eastAsia="Times New Roman"/>
                <w:b/>
                <w:bCs/>
                <w:color w:val="000000"/>
                <w:sz w:val="18"/>
                <w:szCs w:val="18"/>
              </w:rPr>
              <w:t>498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217459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D5AD56"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D67A344" w14:textId="77777777" w:rsidR="00000000" w:rsidRDefault="00405D16">
            <w:pPr>
              <w:spacing w:after="100"/>
              <w:jc w:val="right"/>
              <w:rPr>
                <w:rFonts w:eastAsia="Times New Roman"/>
              </w:rPr>
            </w:pPr>
            <w:r>
              <w:rPr>
                <w:rFonts w:eastAsia="Times New Roman"/>
                <w:color w:val="000000"/>
                <w:sz w:val="18"/>
                <w:szCs w:val="18"/>
              </w:rPr>
              <w:t>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BEF5E8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0AB11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A39B5C7" w14:textId="77777777" w:rsidR="00000000" w:rsidRDefault="00405D16">
            <w:pPr>
              <w:spacing w:after="100"/>
              <w:jc w:val="right"/>
              <w:rPr>
                <w:rFonts w:eastAsia="Times New Roman"/>
              </w:rPr>
            </w:pPr>
            <w:r>
              <w:rPr>
                <w:rFonts w:eastAsia="Times New Roman"/>
                <w:color w:val="000000"/>
                <w:sz w:val="18"/>
                <w:szCs w:val="18"/>
              </w:rPr>
              <w:t>650 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2FF39A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53BBD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B5B2BAF" w14:textId="77777777" w:rsidR="00000000" w:rsidRDefault="00405D16">
            <w:pPr>
              <w:spacing w:after="100"/>
              <w:jc w:val="right"/>
              <w:rPr>
                <w:rFonts w:eastAsia="Times New Roman"/>
              </w:rPr>
            </w:pPr>
            <w:r>
              <w:rPr>
                <w:rFonts w:eastAsia="Times New Roman"/>
                <w:color w:val="000000"/>
                <w:sz w:val="18"/>
                <w:szCs w:val="18"/>
              </w:rPr>
              <w:t>449 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A7B21E" w14:textId="77777777" w:rsidR="00000000" w:rsidRDefault="00405D16">
            <w:pPr>
              <w:spacing w:after="100"/>
              <w:jc w:val="right"/>
              <w:rPr>
                <w:rFonts w:eastAsia="Times New Roman"/>
              </w:rPr>
            </w:pPr>
          </w:p>
        </w:tc>
      </w:tr>
      <w:tr w:rsidR="00000000" w14:paraId="26751D3F" w14:textId="77777777">
        <w:trPr>
          <w:divId w:val="103697404"/>
        </w:trPr>
        <w:tc>
          <w:tcPr>
            <w:tcW w:w="0" w:type="auto"/>
            <w:gridSpan w:val="3"/>
            <w:shd w:val="clear" w:color="auto" w:fill="CCEEFF"/>
            <w:tcMar>
              <w:top w:w="30" w:type="dxa"/>
              <w:left w:w="20" w:type="dxa"/>
              <w:bottom w:w="30" w:type="dxa"/>
              <w:right w:w="20" w:type="dxa"/>
            </w:tcMar>
            <w:vAlign w:val="center"/>
            <w:hideMark/>
          </w:tcPr>
          <w:p w14:paraId="79343C89" w14:textId="77777777" w:rsidR="00000000" w:rsidRDefault="00405D16">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640346DC"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CC23FC2"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314ED82" w14:textId="77777777" w:rsidR="00000000" w:rsidRDefault="00405D16">
            <w:pPr>
              <w:spacing w:after="100"/>
              <w:jc w:val="right"/>
              <w:rPr>
                <w:rFonts w:eastAsia="Times New Roman"/>
              </w:rPr>
            </w:pPr>
            <w:r>
              <w:rPr>
                <w:rFonts w:eastAsia="Times New Roman"/>
                <w:b/>
                <w:bCs/>
                <w:color w:val="000000"/>
                <w:sz w:val="18"/>
                <w:szCs w:val="18"/>
              </w:rPr>
              <w:t>922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E8942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879239"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101858D"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26D3AD5" w14:textId="77777777" w:rsidR="00000000" w:rsidRDefault="00405D16">
            <w:pPr>
              <w:spacing w:after="100"/>
              <w:jc w:val="right"/>
              <w:rPr>
                <w:rFonts w:eastAsia="Times New Roman"/>
              </w:rPr>
            </w:pPr>
            <w:r>
              <w:rPr>
                <w:rFonts w:eastAsia="Times New Roman"/>
                <w:b/>
                <w:bCs/>
                <w:color w:val="000000"/>
                <w:sz w:val="18"/>
                <w:szCs w:val="18"/>
              </w:rPr>
              <w:t>933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76B13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79F295"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05C4048"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E1AD144" w14:textId="77777777" w:rsidR="00000000" w:rsidRDefault="00405D16">
            <w:pPr>
              <w:spacing w:after="100"/>
              <w:jc w:val="right"/>
              <w:rPr>
                <w:rFonts w:eastAsia="Times New Roman"/>
              </w:rPr>
            </w:pPr>
            <w:r>
              <w:rPr>
                <w:rFonts w:eastAsia="Times New Roman"/>
                <w:b/>
                <w:bCs/>
                <w:color w:val="000000"/>
                <w:sz w:val="18"/>
                <w:szCs w:val="18"/>
              </w:rPr>
              <w:t>517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DADFA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C26A6C"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57994E3"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451B8A3" w14:textId="77777777" w:rsidR="00000000" w:rsidRDefault="00405D16">
            <w:pPr>
              <w:spacing w:after="100"/>
              <w:jc w:val="right"/>
              <w:rPr>
                <w:rFonts w:eastAsia="Times New Roman"/>
              </w:rPr>
            </w:pPr>
            <w:r>
              <w:rPr>
                <w:rFonts w:eastAsia="Times New Roman"/>
                <w:color w:val="000000"/>
                <w:sz w:val="18"/>
                <w:szCs w:val="18"/>
              </w:rPr>
              <w:t>1,302 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24F57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E9D588"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7B1B38B"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741E67C" w14:textId="77777777" w:rsidR="00000000" w:rsidRDefault="00405D16">
            <w:pPr>
              <w:spacing w:after="100"/>
              <w:jc w:val="right"/>
              <w:rPr>
                <w:rFonts w:eastAsia="Times New Roman"/>
              </w:rPr>
            </w:pPr>
            <w:r>
              <w:rPr>
                <w:rFonts w:eastAsia="Times New Roman"/>
                <w:color w:val="000000"/>
                <w:sz w:val="18"/>
                <w:szCs w:val="18"/>
              </w:rPr>
              <w:t>995 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34212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E8A39F"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FD9C50E"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0699010" w14:textId="77777777" w:rsidR="00000000" w:rsidRDefault="00405D16">
            <w:pPr>
              <w:spacing w:after="100"/>
              <w:jc w:val="right"/>
              <w:rPr>
                <w:rFonts w:eastAsia="Times New Roman"/>
              </w:rPr>
            </w:pPr>
            <w:r>
              <w:rPr>
                <w:rFonts w:eastAsia="Times New Roman"/>
                <w:color w:val="000000"/>
                <w:sz w:val="18"/>
                <w:szCs w:val="18"/>
              </w:rPr>
              <w:t>449 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C897D2" w14:textId="77777777" w:rsidR="00000000" w:rsidRDefault="00405D16">
            <w:pPr>
              <w:spacing w:after="100"/>
              <w:jc w:val="right"/>
              <w:rPr>
                <w:rFonts w:eastAsia="Times New Roman"/>
              </w:rPr>
            </w:pPr>
          </w:p>
        </w:tc>
      </w:tr>
      <w:tr w:rsidR="00000000" w14:paraId="370164A8" w14:textId="77777777">
        <w:trPr>
          <w:divId w:val="103697404"/>
        </w:trPr>
        <w:tc>
          <w:tcPr>
            <w:tcW w:w="0" w:type="auto"/>
            <w:gridSpan w:val="3"/>
            <w:shd w:val="clear" w:color="auto" w:fill="FFFFFF"/>
            <w:tcMar>
              <w:top w:w="30" w:type="dxa"/>
              <w:left w:w="20" w:type="dxa"/>
              <w:bottom w:w="30" w:type="dxa"/>
              <w:right w:w="20" w:type="dxa"/>
            </w:tcMar>
            <w:vAlign w:val="center"/>
            <w:hideMark/>
          </w:tcPr>
          <w:p w14:paraId="75EFB813" w14:textId="77777777" w:rsidR="00000000" w:rsidRDefault="00405D16">
            <w:pPr>
              <w:spacing w:after="100"/>
              <w:rPr>
                <w:rFonts w:eastAsia="Times New Roman"/>
              </w:rPr>
            </w:pPr>
            <w:r>
              <w:rPr>
                <w:rFonts w:eastAsia="Times New Roman"/>
                <w:color w:val="000000"/>
                <w:sz w:val="18"/>
                <w:szCs w:val="18"/>
              </w:rPr>
              <w:t>% of Total loans held for investment</w:t>
            </w:r>
          </w:p>
        </w:tc>
        <w:tc>
          <w:tcPr>
            <w:tcW w:w="0" w:type="auto"/>
            <w:gridSpan w:val="3"/>
            <w:shd w:val="clear" w:color="auto" w:fill="FFFFFF"/>
            <w:tcMar>
              <w:top w:w="0" w:type="dxa"/>
              <w:left w:w="20" w:type="dxa"/>
              <w:bottom w:w="0" w:type="dxa"/>
              <w:right w:w="20" w:type="dxa"/>
            </w:tcMar>
            <w:vAlign w:val="center"/>
            <w:hideMark/>
          </w:tcPr>
          <w:p w14:paraId="0875A7F8" w14:textId="77777777" w:rsidR="00000000" w:rsidRDefault="00405D16">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24B97A56" w14:textId="77777777" w:rsidR="00000000" w:rsidRDefault="00405D16">
            <w:pPr>
              <w:spacing w:after="100"/>
              <w:jc w:val="right"/>
              <w:rPr>
                <w:rFonts w:eastAsia="Times New Roman"/>
              </w:rPr>
            </w:pPr>
            <w:r>
              <w:rPr>
                <w:rFonts w:eastAsia="Times New Roman"/>
                <w:b/>
                <w:bCs/>
                <w:color w:val="000000"/>
                <w:sz w:val="18"/>
                <w:szCs w:val="18"/>
              </w:rPr>
              <w:t>0.35</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7A96F348"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BFFFA49" w14:textId="77777777" w:rsidR="00000000" w:rsidRDefault="00405D16">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76316FFF" w14:textId="77777777" w:rsidR="00000000" w:rsidRDefault="00405D16">
            <w:pPr>
              <w:spacing w:after="100"/>
              <w:jc w:val="right"/>
              <w:rPr>
                <w:rFonts w:eastAsia="Times New Roman"/>
              </w:rPr>
            </w:pPr>
            <w:r>
              <w:rPr>
                <w:rFonts w:eastAsia="Times New Roman"/>
                <w:b/>
                <w:bCs/>
                <w:color w:val="000000"/>
                <w:sz w:val="18"/>
                <w:szCs w:val="18"/>
              </w:rPr>
              <w:t>0.35</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61A293A7"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5075DFD" w14:textId="77777777" w:rsidR="00000000" w:rsidRDefault="00405D16">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76AD7119" w14:textId="77777777" w:rsidR="00000000" w:rsidRDefault="00405D16">
            <w:pPr>
              <w:spacing w:after="100"/>
              <w:jc w:val="right"/>
              <w:rPr>
                <w:rFonts w:eastAsia="Times New Roman"/>
              </w:rPr>
            </w:pPr>
            <w:r>
              <w:rPr>
                <w:rFonts w:eastAsia="Times New Roman"/>
                <w:b/>
                <w:bCs/>
                <w:color w:val="000000"/>
                <w:sz w:val="18"/>
                <w:szCs w:val="18"/>
              </w:rPr>
              <w:t>0.20</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76D8C324"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4C32E0B" w14:textId="77777777" w:rsidR="00000000" w:rsidRDefault="00405D16">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7ECA4079" w14:textId="77777777" w:rsidR="00000000" w:rsidRDefault="00405D16">
            <w:pPr>
              <w:spacing w:after="100"/>
              <w:jc w:val="right"/>
              <w:rPr>
                <w:rFonts w:eastAsia="Times New Roman"/>
              </w:rPr>
            </w:pPr>
            <w:r>
              <w:rPr>
                <w:rFonts w:eastAsia="Times New Roman"/>
                <w:color w:val="000000"/>
                <w:sz w:val="18"/>
                <w:szCs w:val="18"/>
              </w:rPr>
              <w:t>0.52 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30185220"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0136C51" w14:textId="77777777" w:rsidR="00000000" w:rsidRDefault="00405D16">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742F3F55" w14:textId="77777777" w:rsidR="00000000" w:rsidRDefault="00405D16">
            <w:pPr>
              <w:spacing w:after="100"/>
              <w:jc w:val="right"/>
              <w:rPr>
                <w:rFonts w:eastAsia="Times New Roman"/>
              </w:rPr>
            </w:pPr>
            <w:r>
              <w:rPr>
                <w:rFonts w:eastAsia="Times New Roman"/>
                <w:color w:val="000000"/>
                <w:sz w:val="18"/>
                <w:szCs w:val="18"/>
              </w:rPr>
              <w:t>0.40 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539D8CE6"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E33387B" w14:textId="77777777" w:rsidR="00000000" w:rsidRDefault="00405D16">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6E0ABA38" w14:textId="77777777" w:rsidR="00000000" w:rsidRDefault="00405D16">
            <w:pPr>
              <w:spacing w:after="100"/>
              <w:jc w:val="right"/>
              <w:rPr>
                <w:rFonts w:eastAsia="Times New Roman"/>
              </w:rPr>
            </w:pPr>
            <w:r>
              <w:rPr>
                <w:rFonts w:eastAsia="Times New Roman"/>
                <w:color w:val="000000"/>
                <w:sz w:val="18"/>
                <w:szCs w:val="18"/>
              </w:rPr>
              <w:t>0.18 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2C96F9FF" w14:textId="77777777" w:rsidR="00000000" w:rsidRDefault="00405D16">
            <w:pPr>
              <w:spacing w:after="100"/>
              <w:jc w:val="right"/>
              <w:rPr>
                <w:rFonts w:eastAsia="Times New Roman"/>
              </w:rPr>
            </w:pPr>
            <w:r>
              <w:rPr>
                <w:rFonts w:eastAsia="Times New Roman"/>
                <w:color w:val="000000"/>
                <w:sz w:val="18"/>
                <w:szCs w:val="18"/>
              </w:rPr>
              <w:t>%</w:t>
            </w:r>
          </w:p>
        </w:tc>
      </w:tr>
    </w:tbl>
    <w:p w14:paraId="4B7F63A3" w14:textId="77777777" w:rsidR="00000000" w:rsidRDefault="00405D16">
      <w:pPr>
        <w:divId w:val="103697404"/>
        <w:rPr>
          <w:rFonts w:eastAsia="Times New Roman"/>
        </w:rPr>
      </w:pPr>
      <w:r>
        <w:rPr>
          <w:rFonts w:eastAsia="Times New Roman"/>
          <w:color w:val="000000"/>
          <w:sz w:val="20"/>
          <w:szCs w:val="20"/>
        </w:rPr>
        <w:t>__________</w:t>
      </w:r>
    </w:p>
    <w:p w14:paraId="711E3F8D" w14:textId="77777777" w:rsidR="00000000" w:rsidRDefault="00405D16">
      <w:pPr>
        <w:ind w:hanging="360"/>
        <w:jc w:val="both"/>
        <w:divId w:val="56750026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recognized interest income for loans classified as nonperforming of $1 million and $21 million for the three and nine months ended September 30, 2021, respectively, and $4</w:t>
      </w:r>
      <w:r>
        <w:rPr>
          <w:rFonts w:eastAsia="Times New Roman"/>
          <w:color w:val="000000"/>
          <w:sz w:val="16"/>
          <w:szCs w:val="16"/>
        </w:rPr>
        <w:t xml:space="preserve"> million and $22 million for the three and nine months ended September 30, 2020, respectively.</w:t>
      </w:r>
    </w:p>
    <w:p w14:paraId="3078EE2C" w14:textId="77777777" w:rsidR="00000000" w:rsidRDefault="00405D16">
      <w:pPr>
        <w:divId w:val="79567682"/>
        <w:rPr>
          <w:rFonts w:eastAsia="Times New Roman"/>
        </w:rPr>
      </w:pPr>
      <w:r>
        <w:rPr>
          <w:rFonts w:eastAsia="Times New Roman"/>
          <w:b/>
          <w:bCs/>
          <w:color w:val="000000"/>
          <w:sz w:val="20"/>
          <w:szCs w:val="20"/>
        </w:rPr>
        <w:t>Credit Quality Indicators</w:t>
      </w:r>
    </w:p>
    <w:p w14:paraId="2A55E1D5" w14:textId="77777777" w:rsidR="00000000" w:rsidRDefault="00405D16">
      <w:pPr>
        <w:jc w:val="both"/>
        <w:divId w:val="1175918460"/>
        <w:rPr>
          <w:rFonts w:eastAsia="Times New Roman"/>
        </w:rPr>
      </w:pPr>
      <w:r>
        <w:rPr>
          <w:rFonts w:eastAsia="Times New Roman"/>
          <w:color w:val="000000"/>
          <w:sz w:val="20"/>
          <w:szCs w:val="20"/>
        </w:rPr>
        <w:t>We closely monitor economic conditions and loan performance trends to assess and manage our exposure to credit risk. We discuss these r</w:t>
      </w:r>
      <w:r>
        <w:rPr>
          <w:rFonts w:eastAsia="Times New Roman"/>
          <w:color w:val="000000"/>
          <w:sz w:val="20"/>
          <w:szCs w:val="20"/>
        </w:rPr>
        <w:t>isks and our credit quality indicator for each portfolio segment below.</w:t>
      </w:r>
    </w:p>
    <w:p w14:paraId="3BC565AC" w14:textId="77777777" w:rsidR="00000000" w:rsidRDefault="00405D16">
      <w:pPr>
        <w:jc w:val="both"/>
        <w:divId w:val="71702924"/>
        <w:rPr>
          <w:rFonts w:eastAsia="Times New Roman"/>
        </w:rPr>
      </w:pPr>
      <w:r>
        <w:rPr>
          <w:rFonts w:eastAsia="Times New Roman"/>
          <w:b/>
          <w:bCs/>
          <w:i/>
          <w:iCs/>
          <w:color w:val="000000"/>
          <w:sz w:val="20"/>
          <w:szCs w:val="20"/>
        </w:rPr>
        <w:t>Credit Card</w:t>
      </w:r>
    </w:p>
    <w:p w14:paraId="1EDA414B" w14:textId="77777777" w:rsidR="00000000" w:rsidRDefault="00405D16">
      <w:pPr>
        <w:jc w:val="both"/>
        <w:divId w:val="294413920"/>
        <w:rPr>
          <w:rFonts w:eastAsia="Times New Roman"/>
        </w:rPr>
      </w:pPr>
      <w:r>
        <w:rPr>
          <w:rFonts w:eastAsia="Times New Roman"/>
          <w:color w:val="000000"/>
          <w:sz w:val="20"/>
          <w:szCs w:val="20"/>
        </w:rPr>
        <w:t>Our credit card loan portfolio is highly diversified across millions of accounts and numerous geographies without significant individual exposure. We therefore generally ma</w:t>
      </w:r>
      <w:r>
        <w:rPr>
          <w:rFonts w:eastAsia="Times New Roman"/>
          <w:color w:val="000000"/>
          <w:sz w:val="20"/>
          <w:szCs w:val="20"/>
        </w:rPr>
        <w:t>nage credit risk based on portfolios with common risk characteristics. The risk in our credit card loan portfolio correlates to broad economic trends, such as unemployment rates and home values, as well as consumers’ financial condition, all of which can h</w:t>
      </w:r>
      <w:r>
        <w:rPr>
          <w:rFonts w:eastAsia="Times New Roman"/>
          <w:color w:val="000000"/>
          <w:sz w:val="20"/>
          <w:szCs w:val="20"/>
        </w:rPr>
        <w:t xml:space="preserve">ave a material effect on credit performance. The key indicator we assess in monitoring the credit quality and risk of our credit card loan portfolio is delinquency trends, including an analysis of loan migration between delinquency categories over time.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18BEE783" w14:textId="77777777">
        <w:trPr>
          <w:divId w:val="1104420194"/>
          <w:jc w:val="center"/>
        </w:trPr>
        <w:tc>
          <w:tcPr>
            <w:tcW w:w="50" w:type="pct"/>
            <w:vAlign w:val="center"/>
            <w:hideMark/>
          </w:tcPr>
          <w:p w14:paraId="36078A80" w14:textId="77777777" w:rsidR="00000000" w:rsidRDefault="00405D16">
            <w:pPr>
              <w:jc w:val="both"/>
              <w:rPr>
                <w:rFonts w:eastAsia="Times New Roman"/>
              </w:rPr>
            </w:pPr>
          </w:p>
        </w:tc>
        <w:tc>
          <w:tcPr>
            <w:tcW w:w="1606" w:type="pct"/>
            <w:vAlign w:val="center"/>
            <w:hideMark/>
          </w:tcPr>
          <w:p w14:paraId="5A592970" w14:textId="77777777" w:rsidR="00000000" w:rsidRDefault="00405D16">
            <w:pPr>
              <w:spacing w:after="100"/>
              <w:rPr>
                <w:rFonts w:eastAsia="Times New Roman"/>
                <w:sz w:val="20"/>
                <w:szCs w:val="20"/>
              </w:rPr>
            </w:pPr>
          </w:p>
        </w:tc>
        <w:tc>
          <w:tcPr>
            <w:tcW w:w="5" w:type="pct"/>
            <w:vAlign w:val="center"/>
            <w:hideMark/>
          </w:tcPr>
          <w:p w14:paraId="29979ED5" w14:textId="77777777" w:rsidR="00000000" w:rsidRDefault="00405D16">
            <w:pPr>
              <w:spacing w:after="100"/>
              <w:rPr>
                <w:rFonts w:eastAsia="Times New Roman"/>
                <w:sz w:val="20"/>
                <w:szCs w:val="20"/>
              </w:rPr>
            </w:pPr>
          </w:p>
        </w:tc>
        <w:tc>
          <w:tcPr>
            <w:tcW w:w="50" w:type="pct"/>
            <w:vAlign w:val="center"/>
            <w:hideMark/>
          </w:tcPr>
          <w:p w14:paraId="38B50F7F" w14:textId="77777777" w:rsidR="00000000" w:rsidRDefault="00405D16">
            <w:pPr>
              <w:spacing w:after="100"/>
              <w:rPr>
                <w:rFonts w:eastAsia="Times New Roman"/>
                <w:sz w:val="20"/>
                <w:szCs w:val="20"/>
              </w:rPr>
            </w:pPr>
          </w:p>
        </w:tc>
        <w:tc>
          <w:tcPr>
            <w:tcW w:w="1614" w:type="pct"/>
            <w:vAlign w:val="center"/>
            <w:hideMark/>
          </w:tcPr>
          <w:p w14:paraId="152044DE" w14:textId="77777777" w:rsidR="00000000" w:rsidRDefault="00405D16">
            <w:pPr>
              <w:spacing w:after="100"/>
              <w:rPr>
                <w:rFonts w:eastAsia="Times New Roman"/>
                <w:sz w:val="20"/>
                <w:szCs w:val="20"/>
              </w:rPr>
            </w:pPr>
          </w:p>
        </w:tc>
        <w:tc>
          <w:tcPr>
            <w:tcW w:w="5" w:type="pct"/>
            <w:vAlign w:val="center"/>
            <w:hideMark/>
          </w:tcPr>
          <w:p w14:paraId="11FEC84D" w14:textId="77777777" w:rsidR="00000000" w:rsidRDefault="00405D16">
            <w:pPr>
              <w:spacing w:after="100"/>
              <w:rPr>
                <w:rFonts w:eastAsia="Times New Roman"/>
                <w:sz w:val="20"/>
                <w:szCs w:val="20"/>
              </w:rPr>
            </w:pPr>
          </w:p>
        </w:tc>
        <w:tc>
          <w:tcPr>
            <w:tcW w:w="50" w:type="pct"/>
            <w:vAlign w:val="center"/>
            <w:hideMark/>
          </w:tcPr>
          <w:p w14:paraId="7656E8AB" w14:textId="77777777" w:rsidR="00000000" w:rsidRDefault="00405D16">
            <w:pPr>
              <w:spacing w:after="100"/>
              <w:rPr>
                <w:rFonts w:eastAsia="Times New Roman"/>
                <w:sz w:val="20"/>
                <w:szCs w:val="20"/>
              </w:rPr>
            </w:pPr>
          </w:p>
        </w:tc>
        <w:tc>
          <w:tcPr>
            <w:tcW w:w="1614" w:type="pct"/>
            <w:vAlign w:val="center"/>
            <w:hideMark/>
          </w:tcPr>
          <w:p w14:paraId="7F28D8E2" w14:textId="77777777" w:rsidR="00000000" w:rsidRDefault="00405D16">
            <w:pPr>
              <w:spacing w:after="100"/>
              <w:rPr>
                <w:rFonts w:eastAsia="Times New Roman"/>
                <w:sz w:val="20"/>
                <w:szCs w:val="20"/>
              </w:rPr>
            </w:pPr>
          </w:p>
        </w:tc>
        <w:tc>
          <w:tcPr>
            <w:tcW w:w="5" w:type="pct"/>
            <w:vAlign w:val="center"/>
            <w:hideMark/>
          </w:tcPr>
          <w:p w14:paraId="5D15648A" w14:textId="77777777" w:rsidR="00000000" w:rsidRDefault="00405D16">
            <w:pPr>
              <w:spacing w:after="100"/>
              <w:rPr>
                <w:rFonts w:eastAsia="Times New Roman"/>
                <w:sz w:val="20"/>
                <w:szCs w:val="20"/>
              </w:rPr>
            </w:pPr>
          </w:p>
        </w:tc>
      </w:tr>
      <w:tr w:rsidR="00000000" w14:paraId="7E38CB89" w14:textId="77777777">
        <w:trPr>
          <w:divId w:val="1104420194"/>
          <w:trHeight w:val="300"/>
          <w:jc w:val="center"/>
        </w:trPr>
        <w:tc>
          <w:tcPr>
            <w:tcW w:w="0" w:type="auto"/>
            <w:gridSpan w:val="9"/>
            <w:tcMar>
              <w:top w:w="0" w:type="dxa"/>
              <w:left w:w="20" w:type="dxa"/>
              <w:bottom w:w="0" w:type="dxa"/>
              <w:right w:w="20" w:type="dxa"/>
            </w:tcMar>
            <w:vAlign w:val="center"/>
            <w:hideMark/>
          </w:tcPr>
          <w:p w14:paraId="6EC45D36" w14:textId="77777777" w:rsidR="00000000" w:rsidRDefault="00405D16">
            <w:pPr>
              <w:spacing w:after="100"/>
              <w:rPr>
                <w:rFonts w:eastAsia="Times New Roman"/>
                <w:sz w:val="20"/>
                <w:szCs w:val="20"/>
              </w:rPr>
            </w:pPr>
          </w:p>
        </w:tc>
      </w:tr>
      <w:tr w:rsidR="00000000" w14:paraId="599C2597" w14:textId="77777777">
        <w:trPr>
          <w:divId w:val="1104420194"/>
          <w:jc w:val="center"/>
        </w:trPr>
        <w:tc>
          <w:tcPr>
            <w:tcW w:w="0" w:type="auto"/>
            <w:gridSpan w:val="3"/>
            <w:tcMar>
              <w:top w:w="0" w:type="dxa"/>
              <w:left w:w="20" w:type="dxa"/>
              <w:bottom w:w="0" w:type="dxa"/>
              <w:right w:w="20" w:type="dxa"/>
            </w:tcMar>
            <w:vAlign w:val="center"/>
            <w:hideMark/>
          </w:tcPr>
          <w:p w14:paraId="63E54EC3"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F0B82C0" w14:textId="77777777" w:rsidR="00000000" w:rsidRDefault="00405D16">
            <w:pPr>
              <w:spacing w:after="100"/>
              <w:jc w:val="center"/>
              <w:rPr>
                <w:rFonts w:eastAsia="Times New Roman"/>
              </w:rPr>
            </w:pPr>
            <w:r>
              <w:rPr>
                <w:rFonts w:eastAsia="Times New Roman"/>
                <w:color w:val="000000"/>
                <w:sz w:val="16"/>
                <w:szCs w:val="16"/>
              </w:rPr>
              <w:t>83</w:t>
            </w:r>
          </w:p>
        </w:tc>
        <w:tc>
          <w:tcPr>
            <w:tcW w:w="0" w:type="auto"/>
            <w:gridSpan w:val="3"/>
            <w:tcMar>
              <w:top w:w="30" w:type="dxa"/>
              <w:left w:w="20" w:type="dxa"/>
              <w:bottom w:w="30" w:type="dxa"/>
              <w:right w:w="20" w:type="dxa"/>
            </w:tcMar>
            <w:vAlign w:val="bottom"/>
            <w:hideMark/>
          </w:tcPr>
          <w:p w14:paraId="27A3FFE1"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565AFD4D" w14:textId="77777777" w:rsidR="00000000" w:rsidRDefault="00405D16">
      <w:pPr>
        <w:rPr>
          <w:rFonts w:eastAsia="Times New Roman"/>
        </w:rPr>
      </w:pPr>
      <w:r>
        <w:rPr>
          <w:rFonts w:eastAsia="Times New Roman"/>
        </w:rPr>
        <w:pict w14:anchorId="186FE6A2">
          <v:rect id="_x0000_i1108" style="width:0;height:1.5pt" o:hralign="center" o:hrstd="t" o:hr="t" fillcolor="#a0a0a0" stroked="f"/>
        </w:pict>
      </w:r>
    </w:p>
    <w:p w14:paraId="7BB45EF1" w14:textId="77777777" w:rsidR="00000000" w:rsidRDefault="00405D16">
      <w:pPr>
        <w:jc w:val="both"/>
        <w:divId w:val="1454858510"/>
        <w:rPr>
          <w:rFonts w:eastAsia="Times New Roman"/>
        </w:rPr>
      </w:pPr>
      <w:hyperlink w:anchor="idd54a04a485440b4ab4e56094c14d612_13" w:history="1">
        <w:r>
          <w:rPr>
            <w:rStyle w:val="a3"/>
            <w:rFonts w:eastAsia="Times New Roman"/>
            <w:sz w:val="16"/>
            <w:szCs w:val="16"/>
          </w:rPr>
          <w:t>Table of Contents</w:t>
        </w:r>
      </w:hyperlink>
    </w:p>
    <w:p w14:paraId="51AB39F0" w14:textId="77777777" w:rsidR="00000000" w:rsidRDefault="00405D16">
      <w:pPr>
        <w:jc w:val="center"/>
        <w:divId w:val="1454858510"/>
        <w:rPr>
          <w:rFonts w:eastAsia="Times New Roman"/>
        </w:rPr>
      </w:pPr>
    </w:p>
    <w:p w14:paraId="30DA85BA" w14:textId="77777777" w:rsidR="00000000" w:rsidRDefault="00405D16">
      <w:pPr>
        <w:jc w:val="both"/>
        <w:divId w:val="43454802"/>
        <w:rPr>
          <w:rFonts w:eastAsia="Times New Roman"/>
        </w:rPr>
      </w:pPr>
      <w:r>
        <w:rPr>
          <w:rFonts w:eastAsia="Times New Roman"/>
          <w:color w:val="000000"/>
          <w:sz w:val="20"/>
          <w:szCs w:val="20"/>
        </w:rPr>
        <w:t>The table below presents our credit card portfolio by delinquency status as of September 30, 2021 and December 31, 2020.</w:t>
      </w:r>
    </w:p>
    <w:p w14:paraId="4A490CBB" w14:textId="77777777" w:rsidR="00000000" w:rsidRDefault="00405D16">
      <w:pPr>
        <w:divId w:val="2129737056"/>
        <w:rPr>
          <w:rFonts w:eastAsia="Times New Roman"/>
        </w:rPr>
      </w:pPr>
      <w:r>
        <w:rPr>
          <w:rFonts w:eastAsia="Times New Roman"/>
          <w:b/>
          <w:bCs/>
          <w:color w:val="000000"/>
          <w:sz w:val="18"/>
          <w:szCs w:val="18"/>
        </w:rPr>
        <w:t>Table 3.3: Credit Ca</w:t>
      </w:r>
      <w:r>
        <w:rPr>
          <w:rFonts w:eastAsia="Times New Roman"/>
          <w:b/>
          <w:bCs/>
          <w:color w:val="000000"/>
          <w:sz w:val="18"/>
          <w:szCs w:val="18"/>
        </w:rPr>
        <w:t>rd Delinquency Status</w:t>
      </w:r>
    </w:p>
    <w:tbl>
      <w:tblPr>
        <w:tblW w:w="5000" w:type="pct"/>
        <w:tblCellMar>
          <w:top w:w="15" w:type="dxa"/>
          <w:left w:w="15" w:type="dxa"/>
          <w:bottom w:w="15" w:type="dxa"/>
          <w:right w:w="15" w:type="dxa"/>
        </w:tblCellMar>
        <w:tblLook w:val="04A0" w:firstRow="1" w:lastRow="0" w:firstColumn="1" w:lastColumn="0" w:noHBand="0" w:noVBand="1"/>
      </w:tblPr>
      <w:tblGrid>
        <w:gridCol w:w="41"/>
        <w:gridCol w:w="2460"/>
        <w:gridCol w:w="40"/>
        <w:gridCol w:w="36"/>
        <w:gridCol w:w="36"/>
        <w:gridCol w:w="36"/>
        <w:gridCol w:w="36"/>
        <w:gridCol w:w="36"/>
        <w:gridCol w:w="110"/>
        <w:gridCol w:w="722"/>
        <w:gridCol w:w="36"/>
        <w:gridCol w:w="36"/>
        <w:gridCol w:w="36"/>
        <w:gridCol w:w="36"/>
        <w:gridCol w:w="111"/>
        <w:gridCol w:w="722"/>
        <w:gridCol w:w="36"/>
        <w:gridCol w:w="36"/>
        <w:gridCol w:w="36"/>
        <w:gridCol w:w="36"/>
        <w:gridCol w:w="110"/>
        <w:gridCol w:w="666"/>
        <w:gridCol w:w="36"/>
        <w:gridCol w:w="36"/>
        <w:gridCol w:w="36"/>
        <w:gridCol w:w="36"/>
        <w:gridCol w:w="110"/>
        <w:gridCol w:w="723"/>
        <w:gridCol w:w="36"/>
        <w:gridCol w:w="36"/>
        <w:gridCol w:w="36"/>
        <w:gridCol w:w="36"/>
        <w:gridCol w:w="111"/>
        <w:gridCol w:w="681"/>
        <w:gridCol w:w="36"/>
        <w:gridCol w:w="36"/>
        <w:gridCol w:w="36"/>
        <w:gridCol w:w="36"/>
        <w:gridCol w:w="110"/>
        <w:gridCol w:w="653"/>
        <w:gridCol w:w="36"/>
      </w:tblGrid>
      <w:tr w:rsidR="00000000" w14:paraId="31DA995E" w14:textId="77777777">
        <w:trPr>
          <w:divId w:val="776606051"/>
        </w:trPr>
        <w:tc>
          <w:tcPr>
            <w:tcW w:w="50" w:type="pct"/>
            <w:vAlign w:val="center"/>
            <w:hideMark/>
          </w:tcPr>
          <w:p w14:paraId="6F7A4BCE" w14:textId="77777777" w:rsidR="00000000" w:rsidRDefault="00405D16">
            <w:pPr>
              <w:rPr>
                <w:rFonts w:eastAsia="Times New Roman"/>
              </w:rPr>
            </w:pPr>
          </w:p>
        </w:tc>
        <w:tc>
          <w:tcPr>
            <w:tcW w:w="1545" w:type="pct"/>
            <w:vAlign w:val="center"/>
            <w:hideMark/>
          </w:tcPr>
          <w:p w14:paraId="41BB10ED" w14:textId="77777777" w:rsidR="00000000" w:rsidRDefault="00405D16">
            <w:pPr>
              <w:spacing w:after="100"/>
              <w:rPr>
                <w:rFonts w:eastAsia="Times New Roman"/>
                <w:sz w:val="20"/>
                <w:szCs w:val="20"/>
              </w:rPr>
            </w:pPr>
          </w:p>
        </w:tc>
        <w:tc>
          <w:tcPr>
            <w:tcW w:w="5" w:type="pct"/>
            <w:vAlign w:val="center"/>
            <w:hideMark/>
          </w:tcPr>
          <w:p w14:paraId="40852DF0" w14:textId="77777777" w:rsidR="00000000" w:rsidRDefault="00405D16">
            <w:pPr>
              <w:spacing w:after="100"/>
              <w:rPr>
                <w:rFonts w:eastAsia="Times New Roman"/>
                <w:sz w:val="20"/>
                <w:szCs w:val="20"/>
              </w:rPr>
            </w:pPr>
          </w:p>
        </w:tc>
        <w:tc>
          <w:tcPr>
            <w:tcW w:w="5" w:type="pct"/>
            <w:vAlign w:val="center"/>
            <w:hideMark/>
          </w:tcPr>
          <w:p w14:paraId="504021DC" w14:textId="77777777" w:rsidR="00000000" w:rsidRDefault="00405D16">
            <w:pPr>
              <w:spacing w:after="100"/>
              <w:rPr>
                <w:rFonts w:eastAsia="Times New Roman"/>
                <w:sz w:val="20"/>
                <w:szCs w:val="20"/>
              </w:rPr>
            </w:pPr>
          </w:p>
        </w:tc>
        <w:tc>
          <w:tcPr>
            <w:tcW w:w="19" w:type="pct"/>
            <w:vAlign w:val="center"/>
            <w:hideMark/>
          </w:tcPr>
          <w:p w14:paraId="475FCE50" w14:textId="77777777" w:rsidR="00000000" w:rsidRDefault="00405D16">
            <w:pPr>
              <w:spacing w:after="100"/>
              <w:rPr>
                <w:rFonts w:eastAsia="Times New Roman"/>
                <w:sz w:val="20"/>
                <w:szCs w:val="20"/>
              </w:rPr>
            </w:pPr>
          </w:p>
        </w:tc>
        <w:tc>
          <w:tcPr>
            <w:tcW w:w="5" w:type="pct"/>
            <w:vAlign w:val="center"/>
            <w:hideMark/>
          </w:tcPr>
          <w:p w14:paraId="417AA14A" w14:textId="77777777" w:rsidR="00000000" w:rsidRDefault="00405D16">
            <w:pPr>
              <w:spacing w:after="100"/>
              <w:rPr>
                <w:rFonts w:eastAsia="Times New Roman"/>
                <w:sz w:val="20"/>
                <w:szCs w:val="20"/>
              </w:rPr>
            </w:pPr>
          </w:p>
        </w:tc>
        <w:tc>
          <w:tcPr>
            <w:tcW w:w="0" w:type="auto"/>
            <w:vAlign w:val="center"/>
            <w:hideMark/>
          </w:tcPr>
          <w:p w14:paraId="188A5FA3" w14:textId="77777777" w:rsidR="00000000" w:rsidRDefault="00405D16">
            <w:pPr>
              <w:spacing w:after="100"/>
              <w:rPr>
                <w:rFonts w:eastAsia="Times New Roman"/>
                <w:sz w:val="20"/>
                <w:szCs w:val="20"/>
              </w:rPr>
            </w:pPr>
          </w:p>
        </w:tc>
        <w:tc>
          <w:tcPr>
            <w:tcW w:w="0" w:type="auto"/>
            <w:vAlign w:val="center"/>
            <w:hideMark/>
          </w:tcPr>
          <w:p w14:paraId="0F83BC32" w14:textId="77777777" w:rsidR="00000000" w:rsidRDefault="00405D16">
            <w:pPr>
              <w:spacing w:after="100"/>
              <w:rPr>
                <w:rFonts w:eastAsia="Times New Roman"/>
                <w:sz w:val="20"/>
                <w:szCs w:val="20"/>
              </w:rPr>
            </w:pPr>
          </w:p>
        </w:tc>
        <w:tc>
          <w:tcPr>
            <w:tcW w:w="50" w:type="pct"/>
            <w:vAlign w:val="center"/>
            <w:hideMark/>
          </w:tcPr>
          <w:p w14:paraId="4BD784AF" w14:textId="77777777" w:rsidR="00000000" w:rsidRDefault="00405D16">
            <w:pPr>
              <w:spacing w:after="100"/>
              <w:rPr>
                <w:rFonts w:eastAsia="Times New Roman"/>
                <w:sz w:val="20"/>
                <w:szCs w:val="20"/>
              </w:rPr>
            </w:pPr>
          </w:p>
        </w:tc>
        <w:tc>
          <w:tcPr>
            <w:tcW w:w="478" w:type="pct"/>
            <w:vAlign w:val="center"/>
            <w:hideMark/>
          </w:tcPr>
          <w:p w14:paraId="260A0218" w14:textId="77777777" w:rsidR="00000000" w:rsidRDefault="00405D16">
            <w:pPr>
              <w:spacing w:after="100"/>
              <w:rPr>
                <w:rFonts w:eastAsia="Times New Roman"/>
                <w:sz w:val="20"/>
                <w:szCs w:val="20"/>
              </w:rPr>
            </w:pPr>
          </w:p>
        </w:tc>
        <w:tc>
          <w:tcPr>
            <w:tcW w:w="5" w:type="pct"/>
            <w:vAlign w:val="center"/>
            <w:hideMark/>
          </w:tcPr>
          <w:p w14:paraId="68FF285C" w14:textId="77777777" w:rsidR="00000000" w:rsidRDefault="00405D16">
            <w:pPr>
              <w:spacing w:after="100"/>
              <w:rPr>
                <w:rFonts w:eastAsia="Times New Roman"/>
                <w:sz w:val="20"/>
                <w:szCs w:val="20"/>
              </w:rPr>
            </w:pPr>
          </w:p>
        </w:tc>
        <w:tc>
          <w:tcPr>
            <w:tcW w:w="5" w:type="pct"/>
            <w:vAlign w:val="center"/>
            <w:hideMark/>
          </w:tcPr>
          <w:p w14:paraId="1FBC42DE" w14:textId="77777777" w:rsidR="00000000" w:rsidRDefault="00405D16">
            <w:pPr>
              <w:spacing w:after="100"/>
              <w:rPr>
                <w:rFonts w:eastAsia="Times New Roman"/>
                <w:sz w:val="20"/>
                <w:szCs w:val="20"/>
              </w:rPr>
            </w:pPr>
          </w:p>
        </w:tc>
        <w:tc>
          <w:tcPr>
            <w:tcW w:w="19" w:type="pct"/>
            <w:vAlign w:val="center"/>
            <w:hideMark/>
          </w:tcPr>
          <w:p w14:paraId="145DF247" w14:textId="77777777" w:rsidR="00000000" w:rsidRDefault="00405D16">
            <w:pPr>
              <w:spacing w:after="100"/>
              <w:rPr>
                <w:rFonts w:eastAsia="Times New Roman"/>
                <w:sz w:val="20"/>
                <w:szCs w:val="20"/>
              </w:rPr>
            </w:pPr>
          </w:p>
        </w:tc>
        <w:tc>
          <w:tcPr>
            <w:tcW w:w="5" w:type="pct"/>
            <w:vAlign w:val="center"/>
            <w:hideMark/>
          </w:tcPr>
          <w:p w14:paraId="73244709" w14:textId="77777777" w:rsidR="00000000" w:rsidRDefault="00405D16">
            <w:pPr>
              <w:spacing w:after="100"/>
              <w:rPr>
                <w:rFonts w:eastAsia="Times New Roman"/>
                <w:sz w:val="20"/>
                <w:szCs w:val="20"/>
              </w:rPr>
            </w:pPr>
          </w:p>
        </w:tc>
        <w:tc>
          <w:tcPr>
            <w:tcW w:w="50" w:type="pct"/>
            <w:vAlign w:val="center"/>
            <w:hideMark/>
          </w:tcPr>
          <w:p w14:paraId="51C61BC8" w14:textId="77777777" w:rsidR="00000000" w:rsidRDefault="00405D16">
            <w:pPr>
              <w:spacing w:after="100"/>
              <w:rPr>
                <w:rFonts w:eastAsia="Times New Roman"/>
                <w:sz w:val="20"/>
                <w:szCs w:val="20"/>
              </w:rPr>
            </w:pPr>
          </w:p>
        </w:tc>
        <w:tc>
          <w:tcPr>
            <w:tcW w:w="478" w:type="pct"/>
            <w:vAlign w:val="center"/>
            <w:hideMark/>
          </w:tcPr>
          <w:p w14:paraId="382496B5" w14:textId="77777777" w:rsidR="00000000" w:rsidRDefault="00405D16">
            <w:pPr>
              <w:spacing w:after="100"/>
              <w:rPr>
                <w:rFonts w:eastAsia="Times New Roman"/>
                <w:sz w:val="20"/>
                <w:szCs w:val="20"/>
              </w:rPr>
            </w:pPr>
          </w:p>
        </w:tc>
        <w:tc>
          <w:tcPr>
            <w:tcW w:w="5" w:type="pct"/>
            <w:vAlign w:val="center"/>
            <w:hideMark/>
          </w:tcPr>
          <w:p w14:paraId="6EB6696E" w14:textId="77777777" w:rsidR="00000000" w:rsidRDefault="00405D16">
            <w:pPr>
              <w:spacing w:after="100"/>
              <w:rPr>
                <w:rFonts w:eastAsia="Times New Roman"/>
                <w:sz w:val="20"/>
                <w:szCs w:val="20"/>
              </w:rPr>
            </w:pPr>
          </w:p>
        </w:tc>
        <w:tc>
          <w:tcPr>
            <w:tcW w:w="5" w:type="pct"/>
            <w:vAlign w:val="center"/>
            <w:hideMark/>
          </w:tcPr>
          <w:p w14:paraId="66F78C55" w14:textId="77777777" w:rsidR="00000000" w:rsidRDefault="00405D16">
            <w:pPr>
              <w:spacing w:after="100"/>
              <w:rPr>
                <w:rFonts w:eastAsia="Times New Roman"/>
                <w:sz w:val="20"/>
                <w:szCs w:val="20"/>
              </w:rPr>
            </w:pPr>
          </w:p>
        </w:tc>
        <w:tc>
          <w:tcPr>
            <w:tcW w:w="26" w:type="pct"/>
            <w:vAlign w:val="center"/>
            <w:hideMark/>
          </w:tcPr>
          <w:p w14:paraId="41CF7DF5" w14:textId="77777777" w:rsidR="00000000" w:rsidRDefault="00405D16">
            <w:pPr>
              <w:spacing w:after="100"/>
              <w:rPr>
                <w:rFonts w:eastAsia="Times New Roman"/>
                <w:sz w:val="20"/>
                <w:szCs w:val="20"/>
              </w:rPr>
            </w:pPr>
          </w:p>
        </w:tc>
        <w:tc>
          <w:tcPr>
            <w:tcW w:w="5" w:type="pct"/>
            <w:vAlign w:val="center"/>
            <w:hideMark/>
          </w:tcPr>
          <w:p w14:paraId="501FFB1E" w14:textId="77777777" w:rsidR="00000000" w:rsidRDefault="00405D16">
            <w:pPr>
              <w:spacing w:after="100"/>
              <w:rPr>
                <w:rFonts w:eastAsia="Times New Roman"/>
                <w:sz w:val="20"/>
                <w:szCs w:val="20"/>
              </w:rPr>
            </w:pPr>
          </w:p>
        </w:tc>
        <w:tc>
          <w:tcPr>
            <w:tcW w:w="50" w:type="pct"/>
            <w:vAlign w:val="center"/>
            <w:hideMark/>
          </w:tcPr>
          <w:p w14:paraId="75F182F0" w14:textId="77777777" w:rsidR="00000000" w:rsidRDefault="00405D16">
            <w:pPr>
              <w:spacing w:after="100"/>
              <w:rPr>
                <w:rFonts w:eastAsia="Times New Roman"/>
                <w:sz w:val="20"/>
                <w:szCs w:val="20"/>
              </w:rPr>
            </w:pPr>
          </w:p>
        </w:tc>
        <w:tc>
          <w:tcPr>
            <w:tcW w:w="478" w:type="pct"/>
            <w:vAlign w:val="center"/>
            <w:hideMark/>
          </w:tcPr>
          <w:p w14:paraId="4D39379C" w14:textId="77777777" w:rsidR="00000000" w:rsidRDefault="00405D16">
            <w:pPr>
              <w:spacing w:after="100"/>
              <w:rPr>
                <w:rFonts w:eastAsia="Times New Roman"/>
                <w:sz w:val="20"/>
                <w:szCs w:val="20"/>
              </w:rPr>
            </w:pPr>
          </w:p>
        </w:tc>
        <w:tc>
          <w:tcPr>
            <w:tcW w:w="5" w:type="pct"/>
            <w:vAlign w:val="center"/>
            <w:hideMark/>
          </w:tcPr>
          <w:p w14:paraId="2717306B" w14:textId="77777777" w:rsidR="00000000" w:rsidRDefault="00405D16">
            <w:pPr>
              <w:spacing w:after="100"/>
              <w:rPr>
                <w:rFonts w:eastAsia="Times New Roman"/>
                <w:sz w:val="20"/>
                <w:szCs w:val="20"/>
              </w:rPr>
            </w:pPr>
          </w:p>
        </w:tc>
        <w:tc>
          <w:tcPr>
            <w:tcW w:w="5" w:type="pct"/>
            <w:vAlign w:val="center"/>
            <w:hideMark/>
          </w:tcPr>
          <w:p w14:paraId="3FA93D0E" w14:textId="77777777" w:rsidR="00000000" w:rsidRDefault="00405D16">
            <w:pPr>
              <w:spacing w:after="100"/>
              <w:rPr>
                <w:rFonts w:eastAsia="Times New Roman"/>
                <w:sz w:val="20"/>
                <w:szCs w:val="20"/>
              </w:rPr>
            </w:pPr>
          </w:p>
        </w:tc>
        <w:tc>
          <w:tcPr>
            <w:tcW w:w="19" w:type="pct"/>
            <w:vAlign w:val="center"/>
            <w:hideMark/>
          </w:tcPr>
          <w:p w14:paraId="5A98272A" w14:textId="77777777" w:rsidR="00000000" w:rsidRDefault="00405D16">
            <w:pPr>
              <w:spacing w:after="100"/>
              <w:rPr>
                <w:rFonts w:eastAsia="Times New Roman"/>
                <w:sz w:val="20"/>
                <w:szCs w:val="20"/>
              </w:rPr>
            </w:pPr>
          </w:p>
        </w:tc>
        <w:tc>
          <w:tcPr>
            <w:tcW w:w="5" w:type="pct"/>
            <w:vAlign w:val="center"/>
            <w:hideMark/>
          </w:tcPr>
          <w:p w14:paraId="1A235160" w14:textId="77777777" w:rsidR="00000000" w:rsidRDefault="00405D16">
            <w:pPr>
              <w:spacing w:after="100"/>
              <w:rPr>
                <w:rFonts w:eastAsia="Times New Roman"/>
                <w:sz w:val="20"/>
                <w:szCs w:val="20"/>
              </w:rPr>
            </w:pPr>
          </w:p>
        </w:tc>
        <w:tc>
          <w:tcPr>
            <w:tcW w:w="50" w:type="pct"/>
            <w:vAlign w:val="center"/>
            <w:hideMark/>
          </w:tcPr>
          <w:p w14:paraId="57F57E8E" w14:textId="77777777" w:rsidR="00000000" w:rsidRDefault="00405D16">
            <w:pPr>
              <w:spacing w:after="100"/>
              <w:rPr>
                <w:rFonts w:eastAsia="Times New Roman"/>
                <w:sz w:val="20"/>
                <w:szCs w:val="20"/>
              </w:rPr>
            </w:pPr>
          </w:p>
        </w:tc>
        <w:tc>
          <w:tcPr>
            <w:tcW w:w="478" w:type="pct"/>
            <w:vAlign w:val="center"/>
            <w:hideMark/>
          </w:tcPr>
          <w:p w14:paraId="0004EDA6" w14:textId="77777777" w:rsidR="00000000" w:rsidRDefault="00405D16">
            <w:pPr>
              <w:spacing w:after="100"/>
              <w:rPr>
                <w:rFonts w:eastAsia="Times New Roman"/>
                <w:sz w:val="20"/>
                <w:szCs w:val="20"/>
              </w:rPr>
            </w:pPr>
          </w:p>
        </w:tc>
        <w:tc>
          <w:tcPr>
            <w:tcW w:w="5" w:type="pct"/>
            <w:vAlign w:val="center"/>
            <w:hideMark/>
          </w:tcPr>
          <w:p w14:paraId="581DA789" w14:textId="77777777" w:rsidR="00000000" w:rsidRDefault="00405D16">
            <w:pPr>
              <w:spacing w:after="100"/>
              <w:rPr>
                <w:rFonts w:eastAsia="Times New Roman"/>
                <w:sz w:val="20"/>
                <w:szCs w:val="20"/>
              </w:rPr>
            </w:pPr>
          </w:p>
        </w:tc>
        <w:tc>
          <w:tcPr>
            <w:tcW w:w="5" w:type="pct"/>
            <w:vAlign w:val="center"/>
            <w:hideMark/>
          </w:tcPr>
          <w:p w14:paraId="04B10F63" w14:textId="77777777" w:rsidR="00000000" w:rsidRDefault="00405D16">
            <w:pPr>
              <w:spacing w:after="100"/>
              <w:rPr>
                <w:rFonts w:eastAsia="Times New Roman"/>
                <w:sz w:val="20"/>
                <w:szCs w:val="20"/>
              </w:rPr>
            </w:pPr>
          </w:p>
        </w:tc>
        <w:tc>
          <w:tcPr>
            <w:tcW w:w="26" w:type="pct"/>
            <w:vAlign w:val="center"/>
            <w:hideMark/>
          </w:tcPr>
          <w:p w14:paraId="17A7F76C" w14:textId="77777777" w:rsidR="00000000" w:rsidRDefault="00405D16">
            <w:pPr>
              <w:spacing w:after="100"/>
              <w:rPr>
                <w:rFonts w:eastAsia="Times New Roman"/>
                <w:sz w:val="20"/>
                <w:szCs w:val="20"/>
              </w:rPr>
            </w:pPr>
          </w:p>
        </w:tc>
        <w:tc>
          <w:tcPr>
            <w:tcW w:w="5" w:type="pct"/>
            <w:vAlign w:val="center"/>
            <w:hideMark/>
          </w:tcPr>
          <w:p w14:paraId="21CBB564" w14:textId="77777777" w:rsidR="00000000" w:rsidRDefault="00405D16">
            <w:pPr>
              <w:spacing w:after="100"/>
              <w:rPr>
                <w:rFonts w:eastAsia="Times New Roman"/>
                <w:sz w:val="20"/>
                <w:szCs w:val="20"/>
              </w:rPr>
            </w:pPr>
          </w:p>
        </w:tc>
        <w:tc>
          <w:tcPr>
            <w:tcW w:w="50" w:type="pct"/>
            <w:vAlign w:val="center"/>
            <w:hideMark/>
          </w:tcPr>
          <w:p w14:paraId="1EFA77ED" w14:textId="77777777" w:rsidR="00000000" w:rsidRDefault="00405D16">
            <w:pPr>
              <w:spacing w:after="100"/>
              <w:rPr>
                <w:rFonts w:eastAsia="Times New Roman"/>
                <w:sz w:val="20"/>
                <w:szCs w:val="20"/>
              </w:rPr>
            </w:pPr>
          </w:p>
        </w:tc>
        <w:tc>
          <w:tcPr>
            <w:tcW w:w="478" w:type="pct"/>
            <w:vAlign w:val="center"/>
            <w:hideMark/>
          </w:tcPr>
          <w:p w14:paraId="09D7743A" w14:textId="77777777" w:rsidR="00000000" w:rsidRDefault="00405D16">
            <w:pPr>
              <w:spacing w:after="100"/>
              <w:rPr>
                <w:rFonts w:eastAsia="Times New Roman"/>
                <w:sz w:val="20"/>
                <w:szCs w:val="20"/>
              </w:rPr>
            </w:pPr>
          </w:p>
        </w:tc>
        <w:tc>
          <w:tcPr>
            <w:tcW w:w="5" w:type="pct"/>
            <w:vAlign w:val="center"/>
            <w:hideMark/>
          </w:tcPr>
          <w:p w14:paraId="2992803B" w14:textId="77777777" w:rsidR="00000000" w:rsidRDefault="00405D16">
            <w:pPr>
              <w:spacing w:after="100"/>
              <w:rPr>
                <w:rFonts w:eastAsia="Times New Roman"/>
                <w:sz w:val="20"/>
                <w:szCs w:val="20"/>
              </w:rPr>
            </w:pPr>
          </w:p>
        </w:tc>
        <w:tc>
          <w:tcPr>
            <w:tcW w:w="5" w:type="pct"/>
            <w:vAlign w:val="center"/>
            <w:hideMark/>
          </w:tcPr>
          <w:p w14:paraId="744E22E2" w14:textId="77777777" w:rsidR="00000000" w:rsidRDefault="00405D16">
            <w:pPr>
              <w:spacing w:after="100"/>
              <w:rPr>
                <w:rFonts w:eastAsia="Times New Roman"/>
                <w:sz w:val="20"/>
                <w:szCs w:val="20"/>
              </w:rPr>
            </w:pPr>
          </w:p>
        </w:tc>
        <w:tc>
          <w:tcPr>
            <w:tcW w:w="26" w:type="pct"/>
            <w:vAlign w:val="center"/>
            <w:hideMark/>
          </w:tcPr>
          <w:p w14:paraId="749D34EE" w14:textId="77777777" w:rsidR="00000000" w:rsidRDefault="00405D16">
            <w:pPr>
              <w:spacing w:after="100"/>
              <w:rPr>
                <w:rFonts w:eastAsia="Times New Roman"/>
                <w:sz w:val="20"/>
                <w:szCs w:val="20"/>
              </w:rPr>
            </w:pPr>
          </w:p>
        </w:tc>
        <w:tc>
          <w:tcPr>
            <w:tcW w:w="5" w:type="pct"/>
            <w:vAlign w:val="center"/>
            <w:hideMark/>
          </w:tcPr>
          <w:p w14:paraId="4E047FFA" w14:textId="77777777" w:rsidR="00000000" w:rsidRDefault="00405D16">
            <w:pPr>
              <w:spacing w:after="100"/>
              <w:rPr>
                <w:rFonts w:eastAsia="Times New Roman"/>
                <w:sz w:val="20"/>
                <w:szCs w:val="20"/>
              </w:rPr>
            </w:pPr>
          </w:p>
        </w:tc>
        <w:tc>
          <w:tcPr>
            <w:tcW w:w="50" w:type="pct"/>
            <w:vAlign w:val="center"/>
            <w:hideMark/>
          </w:tcPr>
          <w:p w14:paraId="1DAE7ADB" w14:textId="77777777" w:rsidR="00000000" w:rsidRDefault="00405D16">
            <w:pPr>
              <w:spacing w:after="100"/>
              <w:rPr>
                <w:rFonts w:eastAsia="Times New Roman"/>
                <w:sz w:val="20"/>
                <w:szCs w:val="20"/>
              </w:rPr>
            </w:pPr>
          </w:p>
        </w:tc>
        <w:tc>
          <w:tcPr>
            <w:tcW w:w="479" w:type="pct"/>
            <w:vAlign w:val="center"/>
            <w:hideMark/>
          </w:tcPr>
          <w:p w14:paraId="49ABDFA7" w14:textId="77777777" w:rsidR="00000000" w:rsidRDefault="00405D16">
            <w:pPr>
              <w:spacing w:after="100"/>
              <w:rPr>
                <w:rFonts w:eastAsia="Times New Roman"/>
                <w:sz w:val="20"/>
                <w:szCs w:val="20"/>
              </w:rPr>
            </w:pPr>
          </w:p>
        </w:tc>
        <w:tc>
          <w:tcPr>
            <w:tcW w:w="5" w:type="pct"/>
            <w:vAlign w:val="center"/>
            <w:hideMark/>
          </w:tcPr>
          <w:p w14:paraId="61AFD711" w14:textId="77777777" w:rsidR="00000000" w:rsidRDefault="00405D16">
            <w:pPr>
              <w:spacing w:after="100"/>
              <w:rPr>
                <w:rFonts w:eastAsia="Times New Roman"/>
                <w:sz w:val="20"/>
                <w:szCs w:val="20"/>
              </w:rPr>
            </w:pPr>
          </w:p>
        </w:tc>
      </w:tr>
      <w:tr w:rsidR="00000000" w14:paraId="69A5043B" w14:textId="77777777">
        <w:trPr>
          <w:divId w:val="776606051"/>
        </w:trPr>
        <w:tc>
          <w:tcPr>
            <w:tcW w:w="0" w:type="auto"/>
            <w:gridSpan w:val="3"/>
            <w:tcMar>
              <w:top w:w="0" w:type="dxa"/>
              <w:left w:w="20" w:type="dxa"/>
              <w:bottom w:w="0" w:type="dxa"/>
              <w:right w:w="20" w:type="dxa"/>
            </w:tcMar>
            <w:vAlign w:val="center"/>
            <w:hideMark/>
          </w:tcPr>
          <w:p w14:paraId="2A3A7E19"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1043B7B" w14:textId="77777777" w:rsidR="00000000" w:rsidRDefault="00405D16">
            <w:pPr>
              <w:spacing w:after="100"/>
              <w:rPr>
                <w:rFonts w:eastAsia="Times New Roman"/>
                <w:sz w:val="20"/>
                <w:szCs w:val="20"/>
              </w:rPr>
            </w:pPr>
          </w:p>
        </w:tc>
        <w:tc>
          <w:tcPr>
            <w:tcW w:w="0" w:type="auto"/>
            <w:vAlign w:val="center"/>
            <w:hideMark/>
          </w:tcPr>
          <w:p w14:paraId="3A6AB294" w14:textId="77777777" w:rsidR="00000000" w:rsidRDefault="00405D16">
            <w:pPr>
              <w:spacing w:after="100"/>
              <w:rPr>
                <w:rFonts w:eastAsia="Times New Roman"/>
                <w:sz w:val="20"/>
                <w:szCs w:val="20"/>
              </w:rPr>
            </w:pPr>
          </w:p>
        </w:tc>
        <w:tc>
          <w:tcPr>
            <w:tcW w:w="0" w:type="auto"/>
            <w:vAlign w:val="center"/>
            <w:hideMark/>
          </w:tcPr>
          <w:p w14:paraId="2A51A9E4" w14:textId="77777777" w:rsidR="00000000" w:rsidRDefault="00405D16">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19EF464E" w14:textId="77777777" w:rsidR="00000000" w:rsidRDefault="00405D16">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14:paraId="0B68D3D7" w14:textId="77777777" w:rsidR="00000000" w:rsidRDefault="00405D16">
            <w:pPr>
              <w:spacing w:after="100"/>
              <w:jc w:val="center"/>
              <w:rPr>
                <w:rFonts w:eastAsia="Times New Roman"/>
              </w:rPr>
            </w:pPr>
          </w:p>
        </w:tc>
        <w:tc>
          <w:tcPr>
            <w:tcW w:w="0" w:type="auto"/>
            <w:gridSpan w:val="15"/>
            <w:tcMar>
              <w:top w:w="30" w:type="dxa"/>
              <w:left w:w="20" w:type="dxa"/>
              <w:bottom w:w="30" w:type="dxa"/>
              <w:right w:w="20" w:type="dxa"/>
            </w:tcMar>
            <w:vAlign w:val="bottom"/>
            <w:hideMark/>
          </w:tcPr>
          <w:p w14:paraId="4F9386BE" w14:textId="77777777" w:rsidR="00000000" w:rsidRDefault="00405D16">
            <w:pPr>
              <w:spacing w:after="100"/>
              <w:jc w:val="center"/>
              <w:rPr>
                <w:rFonts w:eastAsia="Times New Roman"/>
              </w:rPr>
            </w:pPr>
            <w:r>
              <w:rPr>
                <w:rFonts w:eastAsia="Times New Roman"/>
                <w:b/>
                <w:bCs/>
                <w:color w:val="000000"/>
                <w:sz w:val="16"/>
                <w:szCs w:val="16"/>
              </w:rPr>
              <w:t>December 31, 2020</w:t>
            </w:r>
          </w:p>
        </w:tc>
      </w:tr>
      <w:tr w:rsidR="00000000" w14:paraId="0CEBA7DA" w14:textId="77777777">
        <w:trPr>
          <w:divId w:val="776606051"/>
        </w:trPr>
        <w:tc>
          <w:tcPr>
            <w:tcW w:w="0" w:type="auto"/>
            <w:gridSpan w:val="3"/>
            <w:tcMar>
              <w:top w:w="30" w:type="dxa"/>
              <w:left w:w="20" w:type="dxa"/>
              <w:bottom w:w="30" w:type="dxa"/>
              <w:right w:w="20" w:type="dxa"/>
            </w:tcMar>
            <w:vAlign w:val="bottom"/>
            <w:hideMark/>
          </w:tcPr>
          <w:p w14:paraId="7AA04A22"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72490078" w14:textId="77777777" w:rsidR="00000000" w:rsidRDefault="00405D16">
            <w:pPr>
              <w:spacing w:after="100"/>
              <w:rPr>
                <w:rFonts w:eastAsia="Times New Roman"/>
              </w:rPr>
            </w:pPr>
          </w:p>
        </w:tc>
        <w:tc>
          <w:tcPr>
            <w:tcW w:w="0" w:type="auto"/>
            <w:vAlign w:val="center"/>
            <w:hideMark/>
          </w:tcPr>
          <w:p w14:paraId="75A40130" w14:textId="77777777" w:rsidR="00000000" w:rsidRDefault="00405D16">
            <w:pPr>
              <w:spacing w:after="100"/>
              <w:rPr>
                <w:rFonts w:eastAsia="Times New Roman"/>
                <w:sz w:val="20"/>
                <w:szCs w:val="20"/>
              </w:rPr>
            </w:pPr>
          </w:p>
        </w:tc>
        <w:tc>
          <w:tcPr>
            <w:tcW w:w="0" w:type="auto"/>
            <w:vAlign w:val="center"/>
            <w:hideMark/>
          </w:tcPr>
          <w:p w14:paraId="2FCE898C"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17F841F" w14:textId="77777777" w:rsidR="00000000" w:rsidRDefault="00405D16">
            <w:pPr>
              <w:spacing w:after="100"/>
              <w:jc w:val="center"/>
              <w:rPr>
                <w:rFonts w:eastAsia="Times New Roman"/>
              </w:rPr>
            </w:pPr>
            <w:r>
              <w:rPr>
                <w:rFonts w:eastAsia="Times New Roman"/>
                <w:b/>
                <w:bCs/>
                <w:color w:val="000000"/>
                <w:sz w:val="16"/>
                <w:szCs w:val="16"/>
              </w:rPr>
              <w:t>Revolving Loans</w:t>
            </w:r>
          </w:p>
        </w:tc>
        <w:tc>
          <w:tcPr>
            <w:tcW w:w="0" w:type="auto"/>
            <w:gridSpan w:val="3"/>
            <w:tcBorders>
              <w:top w:val="single" w:sz="8" w:space="0" w:color="000000"/>
            </w:tcBorders>
            <w:tcMar>
              <w:top w:w="0" w:type="dxa"/>
              <w:left w:w="20" w:type="dxa"/>
              <w:bottom w:w="0" w:type="dxa"/>
              <w:right w:w="20" w:type="dxa"/>
            </w:tcMar>
            <w:vAlign w:val="center"/>
            <w:hideMark/>
          </w:tcPr>
          <w:p w14:paraId="33FC5EF2"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3D340E7" w14:textId="77777777" w:rsidR="00000000" w:rsidRDefault="00405D16">
            <w:pPr>
              <w:spacing w:after="100"/>
              <w:jc w:val="center"/>
              <w:rPr>
                <w:rFonts w:eastAsia="Times New Roman"/>
              </w:rPr>
            </w:pPr>
            <w:r>
              <w:rPr>
                <w:rFonts w:eastAsia="Times New Roman"/>
                <w:b/>
                <w:bCs/>
                <w:color w:val="000000"/>
                <w:sz w:val="16"/>
                <w:szCs w:val="16"/>
              </w:rPr>
              <w:t>Revolving Loans Converted to Term</w:t>
            </w:r>
          </w:p>
        </w:tc>
        <w:tc>
          <w:tcPr>
            <w:tcW w:w="0" w:type="auto"/>
            <w:gridSpan w:val="3"/>
            <w:tcBorders>
              <w:top w:val="single" w:sz="8" w:space="0" w:color="000000"/>
            </w:tcBorders>
            <w:tcMar>
              <w:top w:w="0" w:type="dxa"/>
              <w:left w:w="20" w:type="dxa"/>
              <w:bottom w:w="0" w:type="dxa"/>
              <w:right w:w="20" w:type="dxa"/>
            </w:tcMar>
            <w:vAlign w:val="center"/>
            <w:hideMark/>
          </w:tcPr>
          <w:p w14:paraId="0A6DD9B4"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3458491" w14:textId="77777777" w:rsidR="00000000" w:rsidRDefault="00405D16">
            <w:pPr>
              <w:spacing w:after="100"/>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14:paraId="0CFB6EAB"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4D14E3F" w14:textId="77777777" w:rsidR="00000000" w:rsidRDefault="00405D16">
            <w:pPr>
              <w:spacing w:after="100"/>
              <w:jc w:val="center"/>
              <w:rPr>
                <w:rFonts w:eastAsia="Times New Roman"/>
              </w:rPr>
            </w:pPr>
            <w:r>
              <w:rPr>
                <w:rFonts w:eastAsia="Times New Roman"/>
                <w:b/>
                <w:bCs/>
                <w:color w:val="000000"/>
                <w:sz w:val="16"/>
                <w:szCs w:val="16"/>
              </w:rPr>
              <w:t>Revolving Loans</w:t>
            </w:r>
          </w:p>
        </w:tc>
        <w:tc>
          <w:tcPr>
            <w:tcW w:w="0" w:type="auto"/>
            <w:gridSpan w:val="3"/>
            <w:tcBorders>
              <w:top w:val="single" w:sz="8" w:space="0" w:color="000000"/>
            </w:tcBorders>
            <w:tcMar>
              <w:top w:w="0" w:type="dxa"/>
              <w:left w:w="20" w:type="dxa"/>
              <w:bottom w:w="0" w:type="dxa"/>
              <w:right w:w="20" w:type="dxa"/>
            </w:tcMar>
            <w:vAlign w:val="center"/>
            <w:hideMark/>
          </w:tcPr>
          <w:p w14:paraId="0CB37C3D"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CB1F039" w14:textId="77777777" w:rsidR="00000000" w:rsidRDefault="00405D16">
            <w:pPr>
              <w:spacing w:after="100"/>
              <w:jc w:val="center"/>
              <w:rPr>
                <w:rFonts w:eastAsia="Times New Roman"/>
              </w:rPr>
            </w:pPr>
            <w:r>
              <w:rPr>
                <w:rFonts w:eastAsia="Times New Roman"/>
                <w:b/>
                <w:bCs/>
                <w:color w:val="000000"/>
                <w:sz w:val="16"/>
                <w:szCs w:val="16"/>
              </w:rPr>
              <w:t>Revolving Loans Converted to Term</w:t>
            </w:r>
          </w:p>
        </w:tc>
        <w:tc>
          <w:tcPr>
            <w:tcW w:w="0" w:type="auto"/>
            <w:gridSpan w:val="3"/>
            <w:tcBorders>
              <w:top w:val="single" w:sz="8" w:space="0" w:color="000000"/>
            </w:tcBorders>
            <w:tcMar>
              <w:top w:w="0" w:type="dxa"/>
              <w:left w:w="20" w:type="dxa"/>
              <w:bottom w:w="0" w:type="dxa"/>
              <w:right w:w="20" w:type="dxa"/>
            </w:tcMar>
            <w:vAlign w:val="center"/>
            <w:hideMark/>
          </w:tcPr>
          <w:p w14:paraId="3159A029"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6621C7C" w14:textId="77777777" w:rsidR="00000000" w:rsidRDefault="00405D16">
            <w:pPr>
              <w:spacing w:after="100"/>
              <w:jc w:val="center"/>
              <w:rPr>
                <w:rFonts w:eastAsia="Times New Roman"/>
              </w:rPr>
            </w:pPr>
            <w:r>
              <w:rPr>
                <w:rFonts w:eastAsia="Times New Roman"/>
                <w:b/>
                <w:bCs/>
                <w:color w:val="000000"/>
                <w:sz w:val="16"/>
                <w:szCs w:val="16"/>
              </w:rPr>
              <w:t>Total</w:t>
            </w:r>
          </w:p>
        </w:tc>
      </w:tr>
      <w:tr w:rsidR="00000000" w14:paraId="09D0C7FE" w14:textId="77777777">
        <w:trPr>
          <w:divId w:val="77660605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79311C3" w14:textId="77777777" w:rsidR="00000000" w:rsidRDefault="00405D16">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14:paraId="701D4F30" w14:textId="77777777" w:rsidR="00000000" w:rsidRDefault="00405D16">
            <w:pPr>
              <w:spacing w:after="100"/>
              <w:rPr>
                <w:rFonts w:eastAsia="Times New Roman"/>
              </w:rPr>
            </w:pPr>
          </w:p>
        </w:tc>
        <w:tc>
          <w:tcPr>
            <w:tcW w:w="0" w:type="auto"/>
            <w:vAlign w:val="center"/>
            <w:hideMark/>
          </w:tcPr>
          <w:p w14:paraId="2F73CD1D" w14:textId="77777777" w:rsidR="00000000" w:rsidRDefault="00405D16">
            <w:pPr>
              <w:spacing w:after="100"/>
              <w:rPr>
                <w:rFonts w:eastAsia="Times New Roman"/>
                <w:sz w:val="20"/>
                <w:szCs w:val="20"/>
              </w:rPr>
            </w:pPr>
          </w:p>
        </w:tc>
        <w:tc>
          <w:tcPr>
            <w:tcW w:w="0" w:type="auto"/>
            <w:vAlign w:val="center"/>
            <w:hideMark/>
          </w:tcPr>
          <w:p w14:paraId="0890A1F0"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FA123D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E8DD06"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7741AE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39D795"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2102EA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DB312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F9BFF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467147"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17475A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D25EBC"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0892EAF" w14:textId="77777777" w:rsidR="00000000" w:rsidRDefault="00405D16">
            <w:pPr>
              <w:spacing w:after="100"/>
              <w:rPr>
                <w:rFonts w:eastAsia="Times New Roman"/>
                <w:sz w:val="20"/>
                <w:szCs w:val="20"/>
              </w:rPr>
            </w:pPr>
          </w:p>
        </w:tc>
      </w:tr>
      <w:tr w:rsidR="00000000" w14:paraId="463079A7" w14:textId="77777777">
        <w:trPr>
          <w:divId w:val="776606051"/>
        </w:trPr>
        <w:tc>
          <w:tcPr>
            <w:tcW w:w="0" w:type="auto"/>
            <w:gridSpan w:val="3"/>
            <w:shd w:val="clear" w:color="auto" w:fill="FFFFFF"/>
            <w:tcMar>
              <w:top w:w="30" w:type="dxa"/>
              <w:left w:w="20" w:type="dxa"/>
              <w:bottom w:w="30" w:type="dxa"/>
              <w:right w:w="20" w:type="dxa"/>
            </w:tcMar>
            <w:vAlign w:val="center"/>
            <w:hideMark/>
          </w:tcPr>
          <w:p w14:paraId="29951BA3" w14:textId="77777777" w:rsidR="00000000" w:rsidRDefault="00405D16">
            <w:pPr>
              <w:spacing w:after="100"/>
              <w:rPr>
                <w:rFonts w:eastAsia="Times New Roman"/>
              </w:rPr>
            </w:pPr>
            <w:r>
              <w:rPr>
                <w:rFonts w:eastAsia="Times New Roman"/>
                <w:b/>
                <w:bCs/>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14:paraId="5852172D" w14:textId="77777777" w:rsidR="00000000" w:rsidRDefault="00405D16">
            <w:pPr>
              <w:spacing w:after="100"/>
              <w:rPr>
                <w:rFonts w:eastAsia="Times New Roman"/>
              </w:rPr>
            </w:pPr>
          </w:p>
        </w:tc>
        <w:tc>
          <w:tcPr>
            <w:tcW w:w="0" w:type="auto"/>
            <w:vAlign w:val="center"/>
            <w:hideMark/>
          </w:tcPr>
          <w:p w14:paraId="605006D1" w14:textId="77777777" w:rsidR="00000000" w:rsidRDefault="00405D16">
            <w:pPr>
              <w:spacing w:after="100"/>
              <w:rPr>
                <w:rFonts w:eastAsia="Times New Roman"/>
                <w:sz w:val="20"/>
                <w:szCs w:val="20"/>
              </w:rPr>
            </w:pPr>
          </w:p>
        </w:tc>
        <w:tc>
          <w:tcPr>
            <w:tcW w:w="0" w:type="auto"/>
            <w:vAlign w:val="center"/>
            <w:hideMark/>
          </w:tcPr>
          <w:p w14:paraId="7922683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054CE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6490B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11736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863BD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B1C09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36C19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ACA78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A497D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615E0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62283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AD7364" w14:textId="77777777" w:rsidR="00000000" w:rsidRDefault="00405D16">
            <w:pPr>
              <w:spacing w:after="100"/>
              <w:rPr>
                <w:rFonts w:eastAsia="Times New Roman"/>
                <w:sz w:val="20"/>
                <w:szCs w:val="20"/>
              </w:rPr>
            </w:pPr>
          </w:p>
        </w:tc>
      </w:tr>
      <w:tr w:rsidR="00000000" w14:paraId="5C050D2B" w14:textId="77777777">
        <w:trPr>
          <w:divId w:val="776606051"/>
        </w:trPr>
        <w:tc>
          <w:tcPr>
            <w:tcW w:w="0" w:type="auto"/>
            <w:gridSpan w:val="3"/>
            <w:shd w:val="clear" w:color="auto" w:fill="CCEEFF"/>
            <w:tcMar>
              <w:top w:w="30" w:type="dxa"/>
              <w:left w:w="20" w:type="dxa"/>
              <w:bottom w:w="30" w:type="dxa"/>
              <w:right w:w="20" w:type="dxa"/>
            </w:tcMar>
            <w:vAlign w:val="center"/>
            <w:hideMark/>
          </w:tcPr>
          <w:p w14:paraId="4CB7C998" w14:textId="77777777" w:rsidR="00000000" w:rsidRDefault="00405D16">
            <w:pPr>
              <w:spacing w:after="100"/>
              <w:divId w:val="1202934636"/>
              <w:rPr>
                <w:rFonts w:eastAsia="Times New Roman"/>
              </w:rPr>
            </w:pPr>
            <w:r>
              <w:rPr>
                <w:rFonts w:eastAsia="Times New Roman"/>
                <w:color w:val="000000"/>
                <w:sz w:val="18"/>
                <w:szCs w:val="18"/>
              </w:rPr>
              <w:t>Current</w:t>
            </w:r>
          </w:p>
        </w:tc>
        <w:tc>
          <w:tcPr>
            <w:tcW w:w="0" w:type="auto"/>
            <w:gridSpan w:val="3"/>
            <w:shd w:val="clear" w:color="auto" w:fill="CCEEFF"/>
            <w:tcMar>
              <w:top w:w="0" w:type="dxa"/>
              <w:left w:w="20" w:type="dxa"/>
              <w:bottom w:w="0" w:type="dxa"/>
              <w:right w:w="20" w:type="dxa"/>
            </w:tcMar>
            <w:vAlign w:val="center"/>
            <w:hideMark/>
          </w:tcPr>
          <w:p w14:paraId="41BDA276" w14:textId="77777777" w:rsidR="00000000" w:rsidRDefault="00405D16">
            <w:pPr>
              <w:spacing w:after="100"/>
              <w:rPr>
                <w:rFonts w:eastAsia="Times New Roman"/>
              </w:rPr>
            </w:pPr>
          </w:p>
        </w:tc>
        <w:tc>
          <w:tcPr>
            <w:tcW w:w="0" w:type="auto"/>
            <w:vAlign w:val="center"/>
            <w:hideMark/>
          </w:tcPr>
          <w:p w14:paraId="230E6555" w14:textId="77777777" w:rsidR="00000000" w:rsidRDefault="00405D16">
            <w:pPr>
              <w:spacing w:after="100"/>
              <w:rPr>
                <w:rFonts w:eastAsia="Times New Roman"/>
                <w:sz w:val="20"/>
                <w:szCs w:val="20"/>
              </w:rPr>
            </w:pPr>
          </w:p>
        </w:tc>
        <w:tc>
          <w:tcPr>
            <w:tcW w:w="0" w:type="auto"/>
            <w:vAlign w:val="center"/>
            <w:hideMark/>
          </w:tcPr>
          <w:p w14:paraId="7A5226E5" w14:textId="77777777" w:rsidR="00000000" w:rsidRDefault="00405D16">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CAB2829"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0D30883C" w14:textId="77777777" w:rsidR="00000000" w:rsidRDefault="00405D16">
            <w:pPr>
              <w:spacing w:after="100"/>
              <w:jc w:val="right"/>
              <w:rPr>
                <w:rFonts w:eastAsia="Times New Roman"/>
              </w:rPr>
            </w:pPr>
            <w:r>
              <w:rPr>
                <w:rFonts w:eastAsia="Times New Roman"/>
                <w:b/>
                <w:bCs/>
                <w:color w:val="000000"/>
                <w:sz w:val="18"/>
                <w:szCs w:val="18"/>
              </w:rPr>
              <w:t>96,977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9E7296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2B684C"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04D0154"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4538C590" w14:textId="77777777" w:rsidR="00000000" w:rsidRDefault="00405D16">
            <w:pPr>
              <w:spacing w:after="100"/>
              <w:jc w:val="right"/>
              <w:rPr>
                <w:rFonts w:eastAsia="Times New Roman"/>
              </w:rPr>
            </w:pPr>
            <w:r>
              <w:rPr>
                <w:rFonts w:eastAsia="Times New Roman"/>
                <w:b/>
                <w:bCs/>
                <w:color w:val="000000"/>
                <w:sz w:val="18"/>
                <w:szCs w:val="18"/>
              </w:rPr>
              <w:t>369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DFFFB2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53F3B2"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FB8C14A"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2DDC149E" w14:textId="77777777" w:rsidR="00000000" w:rsidRDefault="00405D16">
            <w:pPr>
              <w:spacing w:after="100"/>
              <w:jc w:val="right"/>
              <w:rPr>
                <w:rFonts w:eastAsia="Times New Roman"/>
              </w:rPr>
            </w:pPr>
            <w:r>
              <w:rPr>
                <w:rFonts w:eastAsia="Times New Roman"/>
                <w:b/>
                <w:bCs/>
                <w:color w:val="000000"/>
                <w:sz w:val="18"/>
                <w:szCs w:val="18"/>
              </w:rPr>
              <w:t>97,346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F0FB7F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11F612"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119DAF1"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7F1378D" w14:textId="77777777" w:rsidR="00000000" w:rsidRDefault="00405D16">
            <w:pPr>
              <w:spacing w:after="100"/>
              <w:jc w:val="right"/>
              <w:rPr>
                <w:rFonts w:eastAsia="Times New Roman"/>
              </w:rPr>
            </w:pPr>
            <w:r>
              <w:rPr>
                <w:rFonts w:eastAsia="Times New Roman"/>
                <w:color w:val="000000"/>
                <w:sz w:val="18"/>
                <w:szCs w:val="18"/>
              </w:rPr>
              <w:t>95,629 </w:t>
            </w:r>
          </w:p>
        </w:tc>
        <w:tc>
          <w:tcPr>
            <w:tcW w:w="0" w:type="auto"/>
            <w:shd w:val="clear" w:color="auto" w:fill="CCEEFF"/>
            <w:tcMar>
              <w:top w:w="30" w:type="dxa"/>
              <w:left w:w="0" w:type="dxa"/>
              <w:bottom w:w="30" w:type="dxa"/>
              <w:right w:w="20" w:type="dxa"/>
            </w:tcMar>
            <w:vAlign w:val="bottom"/>
            <w:hideMark/>
          </w:tcPr>
          <w:p w14:paraId="2BECFA8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550DBA"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2FC60E1"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71D5615" w14:textId="77777777" w:rsidR="00000000" w:rsidRDefault="00405D16">
            <w:pPr>
              <w:spacing w:after="100"/>
              <w:jc w:val="right"/>
              <w:rPr>
                <w:rFonts w:eastAsia="Times New Roman"/>
              </w:rPr>
            </w:pPr>
            <w:r>
              <w:rPr>
                <w:rFonts w:eastAsia="Times New Roman"/>
                <w:color w:val="000000"/>
                <w:sz w:val="18"/>
                <w:szCs w:val="18"/>
              </w:rPr>
              <w:t>487 </w:t>
            </w:r>
          </w:p>
        </w:tc>
        <w:tc>
          <w:tcPr>
            <w:tcW w:w="0" w:type="auto"/>
            <w:shd w:val="clear" w:color="auto" w:fill="CCEEFF"/>
            <w:tcMar>
              <w:top w:w="30" w:type="dxa"/>
              <w:left w:w="0" w:type="dxa"/>
              <w:bottom w:w="30" w:type="dxa"/>
              <w:right w:w="20" w:type="dxa"/>
            </w:tcMar>
            <w:vAlign w:val="bottom"/>
            <w:hideMark/>
          </w:tcPr>
          <w:p w14:paraId="2B7C1BE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474735"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083915F"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26CD08B" w14:textId="77777777" w:rsidR="00000000" w:rsidRDefault="00405D16">
            <w:pPr>
              <w:spacing w:after="100"/>
              <w:jc w:val="right"/>
              <w:rPr>
                <w:rFonts w:eastAsia="Times New Roman"/>
              </w:rPr>
            </w:pPr>
            <w:r>
              <w:rPr>
                <w:rFonts w:eastAsia="Times New Roman"/>
                <w:color w:val="000000"/>
                <w:sz w:val="18"/>
                <w:szCs w:val="18"/>
              </w:rPr>
              <w:t>96,116 </w:t>
            </w:r>
          </w:p>
        </w:tc>
        <w:tc>
          <w:tcPr>
            <w:tcW w:w="0" w:type="auto"/>
            <w:shd w:val="clear" w:color="auto" w:fill="CCEEFF"/>
            <w:tcMar>
              <w:top w:w="30" w:type="dxa"/>
              <w:left w:w="0" w:type="dxa"/>
              <w:bottom w:w="30" w:type="dxa"/>
              <w:right w:w="20" w:type="dxa"/>
            </w:tcMar>
            <w:vAlign w:val="bottom"/>
            <w:hideMark/>
          </w:tcPr>
          <w:p w14:paraId="23890EAF" w14:textId="77777777" w:rsidR="00000000" w:rsidRDefault="00405D16">
            <w:pPr>
              <w:spacing w:after="100"/>
              <w:jc w:val="right"/>
              <w:rPr>
                <w:rFonts w:eastAsia="Times New Roman"/>
              </w:rPr>
            </w:pPr>
          </w:p>
        </w:tc>
      </w:tr>
      <w:tr w:rsidR="00000000" w14:paraId="174249F1" w14:textId="77777777">
        <w:trPr>
          <w:divId w:val="776606051"/>
        </w:trPr>
        <w:tc>
          <w:tcPr>
            <w:tcW w:w="0" w:type="auto"/>
            <w:gridSpan w:val="3"/>
            <w:shd w:val="clear" w:color="auto" w:fill="FFFFFF"/>
            <w:tcMar>
              <w:top w:w="30" w:type="dxa"/>
              <w:left w:w="20" w:type="dxa"/>
              <w:bottom w:w="30" w:type="dxa"/>
              <w:right w:w="20" w:type="dxa"/>
            </w:tcMar>
            <w:vAlign w:val="center"/>
            <w:hideMark/>
          </w:tcPr>
          <w:p w14:paraId="48D700F0" w14:textId="77777777" w:rsidR="00000000" w:rsidRDefault="00405D16">
            <w:pPr>
              <w:spacing w:after="100"/>
              <w:divId w:val="2120752778"/>
              <w:rPr>
                <w:rFonts w:eastAsia="Times New Roman"/>
              </w:rPr>
            </w:pPr>
            <w:r>
              <w:rPr>
                <w:rFonts w:eastAsia="Times New Roman"/>
                <w:color w:val="000000"/>
                <w:sz w:val="18"/>
                <w:szCs w:val="18"/>
              </w:rPr>
              <w:t>30-59 days</w:t>
            </w:r>
          </w:p>
        </w:tc>
        <w:tc>
          <w:tcPr>
            <w:tcW w:w="0" w:type="auto"/>
            <w:gridSpan w:val="3"/>
            <w:shd w:val="clear" w:color="auto" w:fill="FFFFFF"/>
            <w:tcMar>
              <w:top w:w="0" w:type="dxa"/>
              <w:left w:w="20" w:type="dxa"/>
              <w:bottom w:w="0" w:type="dxa"/>
              <w:right w:w="20" w:type="dxa"/>
            </w:tcMar>
            <w:vAlign w:val="center"/>
            <w:hideMark/>
          </w:tcPr>
          <w:p w14:paraId="7B4BDA9D" w14:textId="77777777" w:rsidR="00000000" w:rsidRDefault="00405D16">
            <w:pPr>
              <w:spacing w:after="100"/>
              <w:rPr>
                <w:rFonts w:eastAsia="Times New Roman"/>
              </w:rPr>
            </w:pPr>
          </w:p>
        </w:tc>
        <w:tc>
          <w:tcPr>
            <w:tcW w:w="0" w:type="auto"/>
            <w:vAlign w:val="center"/>
            <w:hideMark/>
          </w:tcPr>
          <w:p w14:paraId="280EBAAA" w14:textId="77777777" w:rsidR="00000000" w:rsidRDefault="00405D16">
            <w:pPr>
              <w:spacing w:after="100"/>
              <w:rPr>
                <w:rFonts w:eastAsia="Times New Roman"/>
                <w:sz w:val="20"/>
                <w:szCs w:val="20"/>
              </w:rPr>
            </w:pPr>
          </w:p>
        </w:tc>
        <w:tc>
          <w:tcPr>
            <w:tcW w:w="0" w:type="auto"/>
            <w:vAlign w:val="center"/>
            <w:hideMark/>
          </w:tcPr>
          <w:p w14:paraId="581BC886"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E8A26F" w14:textId="77777777" w:rsidR="00000000" w:rsidRDefault="00405D16">
            <w:pPr>
              <w:spacing w:after="100"/>
              <w:jc w:val="right"/>
              <w:rPr>
                <w:rFonts w:eastAsia="Times New Roman"/>
              </w:rPr>
            </w:pPr>
            <w:r>
              <w:rPr>
                <w:rFonts w:eastAsia="Times New Roman"/>
                <w:b/>
                <w:bCs/>
                <w:color w:val="000000"/>
                <w:sz w:val="18"/>
                <w:szCs w:val="18"/>
              </w:rPr>
              <w:t>632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3AC496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89B0E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54E471" w14:textId="77777777" w:rsidR="00000000" w:rsidRDefault="00405D16">
            <w:pPr>
              <w:spacing w:after="100"/>
              <w:jc w:val="right"/>
              <w:rPr>
                <w:rFonts w:eastAsia="Times New Roman"/>
              </w:rPr>
            </w:pPr>
            <w:r>
              <w:rPr>
                <w:rFonts w:eastAsia="Times New Roman"/>
                <w:b/>
                <w:bCs/>
                <w:color w:val="000000"/>
                <w:sz w:val="18"/>
                <w:szCs w:val="18"/>
              </w:rPr>
              <w:t>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7CC77F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22884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D223CB" w14:textId="77777777" w:rsidR="00000000" w:rsidRDefault="00405D16">
            <w:pPr>
              <w:spacing w:after="100"/>
              <w:jc w:val="right"/>
              <w:rPr>
                <w:rFonts w:eastAsia="Times New Roman"/>
              </w:rPr>
            </w:pPr>
            <w:r>
              <w:rPr>
                <w:rFonts w:eastAsia="Times New Roman"/>
                <w:b/>
                <w:bCs/>
                <w:color w:val="000000"/>
                <w:sz w:val="18"/>
                <w:szCs w:val="18"/>
              </w:rPr>
              <w:t>646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DB3F81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415FE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09CB35" w14:textId="77777777" w:rsidR="00000000" w:rsidRDefault="00405D16">
            <w:pPr>
              <w:spacing w:after="100"/>
              <w:jc w:val="right"/>
              <w:rPr>
                <w:rFonts w:eastAsia="Times New Roman"/>
              </w:rPr>
            </w:pPr>
            <w:r>
              <w:rPr>
                <w:rFonts w:eastAsia="Times New Roman"/>
                <w:color w:val="000000"/>
                <w:sz w:val="18"/>
                <w:szCs w:val="18"/>
              </w:rPr>
              <w:t>734 </w:t>
            </w:r>
          </w:p>
        </w:tc>
        <w:tc>
          <w:tcPr>
            <w:tcW w:w="0" w:type="auto"/>
            <w:shd w:val="clear" w:color="auto" w:fill="FFFFFF"/>
            <w:tcMar>
              <w:top w:w="30" w:type="dxa"/>
              <w:left w:w="0" w:type="dxa"/>
              <w:bottom w:w="30" w:type="dxa"/>
              <w:right w:w="20" w:type="dxa"/>
            </w:tcMar>
            <w:vAlign w:val="bottom"/>
            <w:hideMark/>
          </w:tcPr>
          <w:p w14:paraId="69C58E5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F3650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77457C" w14:textId="77777777" w:rsidR="00000000" w:rsidRDefault="00405D16">
            <w:pPr>
              <w:spacing w:after="100"/>
              <w:jc w:val="right"/>
              <w:rPr>
                <w:rFonts w:eastAsia="Times New Roman"/>
              </w:rPr>
            </w:pPr>
            <w:r>
              <w:rPr>
                <w:rFonts w:eastAsia="Times New Roman"/>
                <w:color w:val="000000"/>
                <w:sz w:val="18"/>
                <w:szCs w:val="18"/>
              </w:rPr>
              <w:t>21 </w:t>
            </w:r>
          </w:p>
        </w:tc>
        <w:tc>
          <w:tcPr>
            <w:tcW w:w="0" w:type="auto"/>
            <w:shd w:val="clear" w:color="auto" w:fill="FFFFFF"/>
            <w:tcMar>
              <w:top w:w="30" w:type="dxa"/>
              <w:left w:w="0" w:type="dxa"/>
              <w:bottom w:w="30" w:type="dxa"/>
              <w:right w:w="20" w:type="dxa"/>
            </w:tcMar>
            <w:vAlign w:val="bottom"/>
            <w:hideMark/>
          </w:tcPr>
          <w:p w14:paraId="68B189A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F9A85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BB52E3" w14:textId="77777777" w:rsidR="00000000" w:rsidRDefault="00405D16">
            <w:pPr>
              <w:spacing w:after="100"/>
              <w:jc w:val="right"/>
              <w:rPr>
                <w:rFonts w:eastAsia="Times New Roman"/>
              </w:rPr>
            </w:pPr>
            <w:r>
              <w:rPr>
                <w:rFonts w:eastAsia="Times New Roman"/>
                <w:color w:val="000000"/>
                <w:sz w:val="18"/>
                <w:szCs w:val="18"/>
              </w:rPr>
              <w:t>755 </w:t>
            </w:r>
          </w:p>
        </w:tc>
        <w:tc>
          <w:tcPr>
            <w:tcW w:w="0" w:type="auto"/>
            <w:shd w:val="clear" w:color="auto" w:fill="FFFFFF"/>
            <w:tcMar>
              <w:top w:w="30" w:type="dxa"/>
              <w:left w:w="0" w:type="dxa"/>
              <w:bottom w:w="30" w:type="dxa"/>
              <w:right w:w="20" w:type="dxa"/>
            </w:tcMar>
            <w:vAlign w:val="bottom"/>
            <w:hideMark/>
          </w:tcPr>
          <w:p w14:paraId="4667CD78" w14:textId="77777777" w:rsidR="00000000" w:rsidRDefault="00405D16">
            <w:pPr>
              <w:spacing w:after="100"/>
              <w:jc w:val="right"/>
              <w:rPr>
                <w:rFonts w:eastAsia="Times New Roman"/>
              </w:rPr>
            </w:pPr>
          </w:p>
        </w:tc>
      </w:tr>
      <w:tr w:rsidR="00000000" w14:paraId="5EDF2872" w14:textId="77777777">
        <w:trPr>
          <w:divId w:val="776606051"/>
        </w:trPr>
        <w:tc>
          <w:tcPr>
            <w:tcW w:w="0" w:type="auto"/>
            <w:gridSpan w:val="3"/>
            <w:shd w:val="clear" w:color="auto" w:fill="CCEEFF"/>
            <w:tcMar>
              <w:top w:w="30" w:type="dxa"/>
              <w:left w:w="20" w:type="dxa"/>
              <w:bottom w:w="30" w:type="dxa"/>
              <w:right w:w="20" w:type="dxa"/>
            </w:tcMar>
            <w:vAlign w:val="center"/>
            <w:hideMark/>
          </w:tcPr>
          <w:p w14:paraId="651B51C1" w14:textId="77777777" w:rsidR="00000000" w:rsidRDefault="00405D16">
            <w:pPr>
              <w:spacing w:after="100"/>
              <w:divId w:val="442921014"/>
              <w:rPr>
                <w:rFonts w:eastAsia="Times New Roman"/>
              </w:rPr>
            </w:pPr>
            <w:r>
              <w:rPr>
                <w:rFonts w:eastAsia="Times New Roman"/>
                <w:color w:val="000000"/>
                <w:sz w:val="18"/>
                <w:szCs w:val="18"/>
              </w:rPr>
              <w:t>60-89 days</w:t>
            </w:r>
          </w:p>
        </w:tc>
        <w:tc>
          <w:tcPr>
            <w:tcW w:w="0" w:type="auto"/>
            <w:gridSpan w:val="3"/>
            <w:shd w:val="clear" w:color="auto" w:fill="CCEEFF"/>
            <w:tcMar>
              <w:top w:w="0" w:type="dxa"/>
              <w:left w:w="20" w:type="dxa"/>
              <w:bottom w:w="0" w:type="dxa"/>
              <w:right w:w="20" w:type="dxa"/>
            </w:tcMar>
            <w:vAlign w:val="center"/>
            <w:hideMark/>
          </w:tcPr>
          <w:p w14:paraId="641C4396" w14:textId="77777777" w:rsidR="00000000" w:rsidRDefault="00405D16">
            <w:pPr>
              <w:spacing w:after="100"/>
              <w:rPr>
                <w:rFonts w:eastAsia="Times New Roman"/>
              </w:rPr>
            </w:pPr>
          </w:p>
        </w:tc>
        <w:tc>
          <w:tcPr>
            <w:tcW w:w="0" w:type="auto"/>
            <w:vAlign w:val="center"/>
            <w:hideMark/>
          </w:tcPr>
          <w:p w14:paraId="2B59AF9B" w14:textId="77777777" w:rsidR="00000000" w:rsidRDefault="00405D16">
            <w:pPr>
              <w:spacing w:after="100"/>
              <w:rPr>
                <w:rFonts w:eastAsia="Times New Roman"/>
                <w:sz w:val="20"/>
                <w:szCs w:val="20"/>
              </w:rPr>
            </w:pPr>
          </w:p>
        </w:tc>
        <w:tc>
          <w:tcPr>
            <w:tcW w:w="0" w:type="auto"/>
            <w:vAlign w:val="center"/>
            <w:hideMark/>
          </w:tcPr>
          <w:p w14:paraId="2AB2862E"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D26762" w14:textId="77777777" w:rsidR="00000000" w:rsidRDefault="00405D16">
            <w:pPr>
              <w:spacing w:after="100"/>
              <w:jc w:val="right"/>
              <w:rPr>
                <w:rFonts w:eastAsia="Times New Roman"/>
              </w:rPr>
            </w:pPr>
            <w:r>
              <w:rPr>
                <w:rFonts w:eastAsia="Times New Roman"/>
                <w:b/>
                <w:bCs/>
                <w:color w:val="000000"/>
                <w:sz w:val="18"/>
                <w:szCs w:val="18"/>
              </w:rPr>
              <w:t>417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BD4D7D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68562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BCE45E" w14:textId="77777777" w:rsidR="00000000" w:rsidRDefault="00405D16">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9919C5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27F70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3B72D3" w14:textId="77777777" w:rsidR="00000000" w:rsidRDefault="00405D16">
            <w:pPr>
              <w:spacing w:after="100"/>
              <w:jc w:val="right"/>
              <w:rPr>
                <w:rFonts w:eastAsia="Times New Roman"/>
              </w:rPr>
            </w:pPr>
            <w:r>
              <w:rPr>
                <w:rFonts w:eastAsia="Times New Roman"/>
                <w:b/>
                <w:bCs/>
                <w:color w:val="000000"/>
                <w:sz w:val="18"/>
                <w:szCs w:val="18"/>
              </w:rPr>
              <w:t>425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DB0C87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085A5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7DDFBE" w14:textId="77777777" w:rsidR="00000000" w:rsidRDefault="00405D16">
            <w:pPr>
              <w:spacing w:after="100"/>
              <w:jc w:val="right"/>
              <w:rPr>
                <w:rFonts w:eastAsia="Times New Roman"/>
              </w:rPr>
            </w:pPr>
            <w:r>
              <w:rPr>
                <w:rFonts w:eastAsia="Times New Roman"/>
                <w:color w:val="000000"/>
                <w:sz w:val="18"/>
                <w:szCs w:val="18"/>
              </w:rPr>
              <w:t>451 </w:t>
            </w:r>
          </w:p>
        </w:tc>
        <w:tc>
          <w:tcPr>
            <w:tcW w:w="0" w:type="auto"/>
            <w:shd w:val="clear" w:color="auto" w:fill="CCEEFF"/>
            <w:tcMar>
              <w:top w:w="30" w:type="dxa"/>
              <w:left w:w="0" w:type="dxa"/>
              <w:bottom w:w="30" w:type="dxa"/>
              <w:right w:w="20" w:type="dxa"/>
            </w:tcMar>
            <w:vAlign w:val="bottom"/>
            <w:hideMark/>
          </w:tcPr>
          <w:p w14:paraId="78FD61B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99FC9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7C5B10" w14:textId="77777777" w:rsidR="00000000" w:rsidRDefault="00405D16">
            <w:pPr>
              <w:spacing w:after="100"/>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bottom"/>
            <w:hideMark/>
          </w:tcPr>
          <w:p w14:paraId="36BE5AB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AAF98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333165" w14:textId="77777777" w:rsidR="00000000" w:rsidRDefault="00405D16">
            <w:pPr>
              <w:spacing w:after="100"/>
              <w:jc w:val="right"/>
              <w:rPr>
                <w:rFonts w:eastAsia="Times New Roman"/>
              </w:rPr>
            </w:pPr>
            <w:r>
              <w:rPr>
                <w:rFonts w:eastAsia="Times New Roman"/>
                <w:color w:val="000000"/>
                <w:sz w:val="18"/>
                <w:szCs w:val="18"/>
              </w:rPr>
              <w:t>464 </w:t>
            </w:r>
          </w:p>
        </w:tc>
        <w:tc>
          <w:tcPr>
            <w:tcW w:w="0" w:type="auto"/>
            <w:shd w:val="clear" w:color="auto" w:fill="CCEEFF"/>
            <w:tcMar>
              <w:top w:w="30" w:type="dxa"/>
              <w:left w:w="0" w:type="dxa"/>
              <w:bottom w:w="30" w:type="dxa"/>
              <w:right w:w="20" w:type="dxa"/>
            </w:tcMar>
            <w:vAlign w:val="bottom"/>
            <w:hideMark/>
          </w:tcPr>
          <w:p w14:paraId="4FFAAD82" w14:textId="77777777" w:rsidR="00000000" w:rsidRDefault="00405D16">
            <w:pPr>
              <w:spacing w:after="100"/>
              <w:jc w:val="right"/>
              <w:rPr>
                <w:rFonts w:eastAsia="Times New Roman"/>
              </w:rPr>
            </w:pPr>
          </w:p>
        </w:tc>
      </w:tr>
      <w:tr w:rsidR="00000000" w14:paraId="1740DDD5" w14:textId="77777777">
        <w:trPr>
          <w:divId w:val="776606051"/>
        </w:trPr>
        <w:tc>
          <w:tcPr>
            <w:tcW w:w="0" w:type="auto"/>
            <w:gridSpan w:val="3"/>
            <w:shd w:val="clear" w:color="auto" w:fill="FFFFFF"/>
            <w:tcMar>
              <w:top w:w="30" w:type="dxa"/>
              <w:left w:w="20" w:type="dxa"/>
              <w:bottom w:w="30" w:type="dxa"/>
              <w:right w:w="20" w:type="dxa"/>
            </w:tcMar>
            <w:vAlign w:val="center"/>
            <w:hideMark/>
          </w:tcPr>
          <w:p w14:paraId="321F7D8C" w14:textId="77777777" w:rsidR="00000000" w:rsidRDefault="00405D16">
            <w:pPr>
              <w:spacing w:after="100"/>
              <w:divId w:val="1950969255"/>
              <w:rPr>
                <w:rFonts w:eastAsia="Times New Roman"/>
              </w:rPr>
            </w:pPr>
            <w:r>
              <w:rPr>
                <w:rFonts w:eastAsia="Times New Roman"/>
                <w:color w:val="000000"/>
                <w:sz w:val="18"/>
                <w:szCs w:val="18"/>
              </w:rPr>
              <w:t>Greater than 90 days</w:t>
            </w:r>
          </w:p>
        </w:tc>
        <w:tc>
          <w:tcPr>
            <w:tcW w:w="0" w:type="auto"/>
            <w:gridSpan w:val="3"/>
            <w:shd w:val="clear" w:color="auto" w:fill="FFFFFF"/>
            <w:tcMar>
              <w:top w:w="0" w:type="dxa"/>
              <w:left w:w="20" w:type="dxa"/>
              <w:bottom w:w="0" w:type="dxa"/>
              <w:right w:w="20" w:type="dxa"/>
            </w:tcMar>
            <w:vAlign w:val="center"/>
            <w:hideMark/>
          </w:tcPr>
          <w:p w14:paraId="7D203F6B" w14:textId="77777777" w:rsidR="00000000" w:rsidRDefault="00405D16">
            <w:pPr>
              <w:spacing w:after="100"/>
              <w:rPr>
                <w:rFonts w:eastAsia="Times New Roman"/>
              </w:rPr>
            </w:pPr>
          </w:p>
        </w:tc>
        <w:tc>
          <w:tcPr>
            <w:tcW w:w="0" w:type="auto"/>
            <w:vAlign w:val="center"/>
            <w:hideMark/>
          </w:tcPr>
          <w:p w14:paraId="592DEAB9" w14:textId="77777777" w:rsidR="00000000" w:rsidRDefault="00405D16">
            <w:pPr>
              <w:spacing w:after="100"/>
              <w:rPr>
                <w:rFonts w:eastAsia="Times New Roman"/>
                <w:sz w:val="20"/>
                <w:szCs w:val="20"/>
              </w:rPr>
            </w:pPr>
          </w:p>
        </w:tc>
        <w:tc>
          <w:tcPr>
            <w:tcW w:w="0" w:type="auto"/>
            <w:vAlign w:val="center"/>
            <w:hideMark/>
          </w:tcPr>
          <w:p w14:paraId="5192A8FA"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695CA2" w14:textId="77777777" w:rsidR="00000000" w:rsidRDefault="00405D16">
            <w:pPr>
              <w:spacing w:after="100"/>
              <w:jc w:val="right"/>
              <w:rPr>
                <w:rFonts w:eastAsia="Times New Roman"/>
              </w:rPr>
            </w:pPr>
            <w:r>
              <w:rPr>
                <w:rFonts w:eastAsia="Times New Roman"/>
                <w:b/>
                <w:bCs/>
                <w:color w:val="000000"/>
                <w:sz w:val="18"/>
                <w:szCs w:val="18"/>
              </w:rPr>
              <w:t>832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F13763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AADAC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97B0A6" w14:textId="77777777" w:rsidR="00000000" w:rsidRDefault="00405D16">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F60BE8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79FBE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C2F730" w14:textId="77777777" w:rsidR="00000000" w:rsidRDefault="00405D16">
            <w:pPr>
              <w:spacing w:after="100"/>
              <w:jc w:val="right"/>
              <w:rPr>
                <w:rFonts w:eastAsia="Times New Roman"/>
              </w:rPr>
            </w:pPr>
            <w:r>
              <w:rPr>
                <w:rFonts w:eastAsia="Times New Roman"/>
                <w:b/>
                <w:bCs/>
                <w:color w:val="000000"/>
                <w:sz w:val="18"/>
                <w:szCs w:val="18"/>
              </w:rPr>
              <w:t>841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191AD7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B8EE4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99BBE2" w14:textId="77777777" w:rsidR="00000000" w:rsidRDefault="00405D16">
            <w:pPr>
              <w:spacing w:after="100"/>
              <w:jc w:val="right"/>
              <w:rPr>
                <w:rFonts w:eastAsia="Times New Roman"/>
              </w:rPr>
            </w:pPr>
            <w:r>
              <w:rPr>
                <w:rFonts w:eastAsia="Times New Roman"/>
                <w:color w:val="000000"/>
                <w:sz w:val="18"/>
                <w:szCs w:val="18"/>
              </w:rPr>
              <w:t>1,155 </w:t>
            </w:r>
          </w:p>
        </w:tc>
        <w:tc>
          <w:tcPr>
            <w:tcW w:w="0" w:type="auto"/>
            <w:shd w:val="clear" w:color="auto" w:fill="FFFFFF"/>
            <w:tcMar>
              <w:top w:w="30" w:type="dxa"/>
              <w:left w:w="0" w:type="dxa"/>
              <w:bottom w:w="30" w:type="dxa"/>
              <w:right w:w="20" w:type="dxa"/>
            </w:tcMar>
            <w:vAlign w:val="bottom"/>
            <w:hideMark/>
          </w:tcPr>
          <w:p w14:paraId="6DC9BFD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D0924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88E0F3" w14:textId="77777777" w:rsidR="00000000" w:rsidRDefault="00405D16">
            <w:pPr>
              <w:spacing w:after="100"/>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bottom"/>
            <w:hideMark/>
          </w:tcPr>
          <w:p w14:paraId="312A897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E7929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F04D5B" w14:textId="77777777" w:rsidR="00000000" w:rsidRDefault="00405D16">
            <w:pPr>
              <w:spacing w:after="100"/>
              <w:jc w:val="right"/>
              <w:rPr>
                <w:rFonts w:eastAsia="Times New Roman"/>
              </w:rPr>
            </w:pPr>
            <w:r>
              <w:rPr>
                <w:rFonts w:eastAsia="Times New Roman"/>
                <w:color w:val="000000"/>
                <w:sz w:val="18"/>
                <w:szCs w:val="18"/>
              </w:rPr>
              <w:t>1,169 </w:t>
            </w:r>
          </w:p>
        </w:tc>
        <w:tc>
          <w:tcPr>
            <w:tcW w:w="0" w:type="auto"/>
            <w:shd w:val="clear" w:color="auto" w:fill="FFFFFF"/>
            <w:tcMar>
              <w:top w:w="30" w:type="dxa"/>
              <w:left w:w="0" w:type="dxa"/>
              <w:bottom w:w="30" w:type="dxa"/>
              <w:right w:w="20" w:type="dxa"/>
            </w:tcMar>
            <w:vAlign w:val="bottom"/>
            <w:hideMark/>
          </w:tcPr>
          <w:p w14:paraId="32D45801" w14:textId="77777777" w:rsidR="00000000" w:rsidRDefault="00405D16">
            <w:pPr>
              <w:spacing w:after="100"/>
              <w:jc w:val="right"/>
              <w:rPr>
                <w:rFonts w:eastAsia="Times New Roman"/>
              </w:rPr>
            </w:pPr>
          </w:p>
        </w:tc>
      </w:tr>
      <w:tr w:rsidR="00000000" w14:paraId="26AB2B42" w14:textId="77777777">
        <w:trPr>
          <w:divId w:val="776606051"/>
        </w:trPr>
        <w:tc>
          <w:tcPr>
            <w:tcW w:w="0" w:type="auto"/>
            <w:gridSpan w:val="3"/>
            <w:shd w:val="clear" w:color="auto" w:fill="CCEEFF"/>
            <w:tcMar>
              <w:top w:w="30" w:type="dxa"/>
              <w:left w:w="245" w:type="dxa"/>
              <w:bottom w:w="30" w:type="dxa"/>
              <w:right w:w="20" w:type="dxa"/>
            </w:tcMar>
            <w:vAlign w:val="center"/>
            <w:hideMark/>
          </w:tcPr>
          <w:p w14:paraId="2E8AE216" w14:textId="77777777" w:rsidR="00000000" w:rsidRDefault="00405D16">
            <w:pPr>
              <w:spacing w:after="100"/>
              <w:rPr>
                <w:rFonts w:eastAsia="Times New Roman"/>
              </w:rPr>
            </w:pPr>
            <w:r>
              <w:rPr>
                <w:rFonts w:eastAsia="Times New Roman"/>
                <w:b/>
                <w:bCs/>
                <w:color w:val="000000"/>
                <w:sz w:val="18"/>
                <w:szCs w:val="18"/>
              </w:rPr>
              <w:t>Total domestic credit card</w:t>
            </w:r>
          </w:p>
        </w:tc>
        <w:tc>
          <w:tcPr>
            <w:tcW w:w="0" w:type="auto"/>
            <w:gridSpan w:val="3"/>
            <w:shd w:val="clear" w:color="auto" w:fill="CCEEFF"/>
            <w:tcMar>
              <w:top w:w="0" w:type="dxa"/>
              <w:left w:w="20" w:type="dxa"/>
              <w:bottom w:w="0" w:type="dxa"/>
              <w:right w:w="20" w:type="dxa"/>
            </w:tcMar>
            <w:vAlign w:val="center"/>
            <w:hideMark/>
          </w:tcPr>
          <w:p w14:paraId="21103831" w14:textId="77777777" w:rsidR="00000000" w:rsidRDefault="00405D16">
            <w:pPr>
              <w:spacing w:after="100"/>
              <w:rPr>
                <w:rFonts w:eastAsia="Times New Roman"/>
              </w:rPr>
            </w:pPr>
          </w:p>
        </w:tc>
        <w:tc>
          <w:tcPr>
            <w:tcW w:w="0" w:type="auto"/>
            <w:vAlign w:val="center"/>
            <w:hideMark/>
          </w:tcPr>
          <w:p w14:paraId="06486D3F" w14:textId="77777777" w:rsidR="00000000" w:rsidRDefault="00405D16">
            <w:pPr>
              <w:spacing w:after="100"/>
              <w:rPr>
                <w:rFonts w:eastAsia="Times New Roman"/>
                <w:sz w:val="20"/>
                <w:szCs w:val="20"/>
              </w:rPr>
            </w:pPr>
          </w:p>
        </w:tc>
        <w:tc>
          <w:tcPr>
            <w:tcW w:w="0" w:type="auto"/>
            <w:vAlign w:val="center"/>
            <w:hideMark/>
          </w:tcPr>
          <w:p w14:paraId="2393BB44" w14:textId="77777777" w:rsidR="00000000" w:rsidRDefault="00405D16">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583EE13" w14:textId="77777777" w:rsidR="00000000" w:rsidRDefault="00405D16">
            <w:pPr>
              <w:spacing w:after="100"/>
              <w:jc w:val="right"/>
              <w:rPr>
                <w:rFonts w:eastAsia="Times New Roman"/>
              </w:rPr>
            </w:pPr>
            <w:r>
              <w:rPr>
                <w:rFonts w:eastAsia="Times New Roman"/>
                <w:b/>
                <w:bCs/>
                <w:color w:val="000000"/>
                <w:sz w:val="18"/>
                <w:szCs w:val="18"/>
              </w:rPr>
              <w:t>98,858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514EF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4ED0D1"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5ADA429" w14:textId="77777777" w:rsidR="00000000" w:rsidRDefault="00405D16">
            <w:pPr>
              <w:spacing w:after="100"/>
              <w:jc w:val="right"/>
              <w:rPr>
                <w:rFonts w:eastAsia="Times New Roman"/>
              </w:rPr>
            </w:pPr>
            <w:r>
              <w:rPr>
                <w:rFonts w:eastAsia="Times New Roman"/>
                <w:b/>
                <w:bCs/>
                <w:color w:val="000000"/>
                <w:sz w:val="18"/>
                <w:szCs w:val="18"/>
              </w:rPr>
              <w:t>400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7FA89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746248"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0EB366E" w14:textId="77777777" w:rsidR="00000000" w:rsidRDefault="00405D16">
            <w:pPr>
              <w:spacing w:after="100"/>
              <w:jc w:val="right"/>
              <w:rPr>
                <w:rFonts w:eastAsia="Times New Roman"/>
              </w:rPr>
            </w:pPr>
            <w:r>
              <w:rPr>
                <w:rFonts w:eastAsia="Times New Roman"/>
                <w:b/>
                <w:bCs/>
                <w:color w:val="000000"/>
                <w:sz w:val="18"/>
                <w:szCs w:val="18"/>
              </w:rPr>
              <w:t>99,258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93DE6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C6B62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346051A" w14:textId="77777777" w:rsidR="00000000" w:rsidRDefault="00405D16">
            <w:pPr>
              <w:spacing w:after="100"/>
              <w:jc w:val="right"/>
              <w:rPr>
                <w:rFonts w:eastAsia="Times New Roman"/>
              </w:rPr>
            </w:pPr>
            <w:r>
              <w:rPr>
                <w:rFonts w:eastAsia="Times New Roman"/>
                <w:color w:val="000000"/>
                <w:sz w:val="18"/>
                <w:szCs w:val="18"/>
              </w:rPr>
              <w:t>97,969 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3E8C9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A53888"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F76768B" w14:textId="77777777" w:rsidR="00000000" w:rsidRDefault="00405D16">
            <w:pPr>
              <w:spacing w:after="100"/>
              <w:jc w:val="right"/>
              <w:rPr>
                <w:rFonts w:eastAsia="Times New Roman"/>
              </w:rPr>
            </w:pPr>
            <w:r>
              <w:rPr>
                <w:rFonts w:eastAsia="Times New Roman"/>
                <w:color w:val="000000"/>
                <w:sz w:val="18"/>
                <w:szCs w:val="18"/>
              </w:rPr>
              <w:t>535 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AEBB1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4C404B"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84B361E" w14:textId="77777777" w:rsidR="00000000" w:rsidRDefault="00405D16">
            <w:pPr>
              <w:spacing w:after="100"/>
              <w:jc w:val="right"/>
              <w:rPr>
                <w:rFonts w:eastAsia="Times New Roman"/>
              </w:rPr>
            </w:pPr>
            <w:r>
              <w:rPr>
                <w:rFonts w:eastAsia="Times New Roman"/>
                <w:color w:val="000000"/>
                <w:sz w:val="18"/>
                <w:szCs w:val="18"/>
              </w:rPr>
              <w:t>98,504 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67F191" w14:textId="77777777" w:rsidR="00000000" w:rsidRDefault="00405D16">
            <w:pPr>
              <w:spacing w:after="100"/>
              <w:jc w:val="right"/>
              <w:rPr>
                <w:rFonts w:eastAsia="Times New Roman"/>
              </w:rPr>
            </w:pPr>
          </w:p>
        </w:tc>
      </w:tr>
      <w:tr w:rsidR="00000000" w14:paraId="131BAB49" w14:textId="77777777">
        <w:trPr>
          <w:divId w:val="776606051"/>
          <w:trHeight w:val="240"/>
        </w:trPr>
        <w:tc>
          <w:tcPr>
            <w:tcW w:w="0" w:type="auto"/>
            <w:gridSpan w:val="3"/>
            <w:shd w:val="clear" w:color="auto" w:fill="FFFFFF"/>
            <w:tcMar>
              <w:top w:w="0" w:type="dxa"/>
              <w:left w:w="20" w:type="dxa"/>
              <w:bottom w:w="0" w:type="dxa"/>
              <w:right w:w="20" w:type="dxa"/>
            </w:tcMar>
            <w:vAlign w:val="center"/>
            <w:hideMark/>
          </w:tcPr>
          <w:p w14:paraId="0FA745D1" w14:textId="77777777" w:rsidR="00000000" w:rsidRDefault="00405D1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2E174E" w14:textId="77777777" w:rsidR="00000000" w:rsidRDefault="00405D16">
            <w:pPr>
              <w:spacing w:after="100"/>
              <w:rPr>
                <w:rFonts w:eastAsia="Times New Roman"/>
                <w:sz w:val="20"/>
                <w:szCs w:val="20"/>
              </w:rPr>
            </w:pPr>
          </w:p>
        </w:tc>
        <w:tc>
          <w:tcPr>
            <w:tcW w:w="0" w:type="auto"/>
            <w:vAlign w:val="center"/>
            <w:hideMark/>
          </w:tcPr>
          <w:p w14:paraId="4640BD8A" w14:textId="77777777" w:rsidR="00000000" w:rsidRDefault="00405D16">
            <w:pPr>
              <w:spacing w:after="100"/>
              <w:rPr>
                <w:rFonts w:eastAsia="Times New Roman"/>
                <w:sz w:val="20"/>
                <w:szCs w:val="20"/>
              </w:rPr>
            </w:pPr>
          </w:p>
        </w:tc>
        <w:tc>
          <w:tcPr>
            <w:tcW w:w="0" w:type="auto"/>
            <w:vAlign w:val="center"/>
            <w:hideMark/>
          </w:tcPr>
          <w:p w14:paraId="3CB4256F"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60CE60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E22238"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947793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02EA29"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8DDE7E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1788C6"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5E702A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5E6C28"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368150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FC3105"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7F1677B" w14:textId="77777777" w:rsidR="00000000" w:rsidRDefault="00405D16">
            <w:pPr>
              <w:spacing w:after="100"/>
              <w:rPr>
                <w:rFonts w:eastAsia="Times New Roman"/>
                <w:sz w:val="20"/>
                <w:szCs w:val="20"/>
              </w:rPr>
            </w:pPr>
          </w:p>
        </w:tc>
      </w:tr>
      <w:tr w:rsidR="00000000" w14:paraId="022E9964" w14:textId="77777777">
        <w:trPr>
          <w:divId w:val="776606051"/>
        </w:trPr>
        <w:tc>
          <w:tcPr>
            <w:tcW w:w="0" w:type="auto"/>
            <w:gridSpan w:val="3"/>
            <w:shd w:val="clear" w:color="auto" w:fill="CCEEFF"/>
            <w:tcMar>
              <w:top w:w="30" w:type="dxa"/>
              <w:left w:w="20" w:type="dxa"/>
              <w:bottom w:w="30" w:type="dxa"/>
              <w:right w:w="20" w:type="dxa"/>
            </w:tcMar>
            <w:vAlign w:val="center"/>
            <w:hideMark/>
          </w:tcPr>
          <w:p w14:paraId="2786BB94" w14:textId="77777777" w:rsidR="00000000" w:rsidRDefault="00405D16">
            <w:pPr>
              <w:spacing w:after="100"/>
              <w:rPr>
                <w:rFonts w:eastAsia="Times New Roman"/>
              </w:rPr>
            </w:pPr>
            <w:r>
              <w:rPr>
                <w:rFonts w:eastAsia="Times New Roman"/>
                <w:b/>
                <w:bCs/>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14:paraId="76D6EF1C" w14:textId="77777777" w:rsidR="00000000" w:rsidRDefault="00405D16">
            <w:pPr>
              <w:spacing w:after="100"/>
              <w:rPr>
                <w:rFonts w:eastAsia="Times New Roman"/>
              </w:rPr>
            </w:pPr>
          </w:p>
        </w:tc>
        <w:tc>
          <w:tcPr>
            <w:tcW w:w="0" w:type="auto"/>
            <w:vAlign w:val="center"/>
            <w:hideMark/>
          </w:tcPr>
          <w:p w14:paraId="2E9FF6EA" w14:textId="77777777" w:rsidR="00000000" w:rsidRDefault="00405D16">
            <w:pPr>
              <w:spacing w:after="100"/>
              <w:rPr>
                <w:rFonts w:eastAsia="Times New Roman"/>
                <w:sz w:val="20"/>
                <w:szCs w:val="20"/>
              </w:rPr>
            </w:pPr>
          </w:p>
        </w:tc>
        <w:tc>
          <w:tcPr>
            <w:tcW w:w="0" w:type="auto"/>
            <w:vAlign w:val="center"/>
            <w:hideMark/>
          </w:tcPr>
          <w:p w14:paraId="49D03EA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00901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A4B32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78944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DCACA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D936B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14404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F3AA8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E2E8A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04D53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748AC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FDC2FF" w14:textId="77777777" w:rsidR="00000000" w:rsidRDefault="00405D16">
            <w:pPr>
              <w:spacing w:after="100"/>
              <w:rPr>
                <w:rFonts w:eastAsia="Times New Roman"/>
                <w:sz w:val="20"/>
                <w:szCs w:val="20"/>
              </w:rPr>
            </w:pPr>
          </w:p>
        </w:tc>
      </w:tr>
      <w:tr w:rsidR="00000000" w14:paraId="6062B884" w14:textId="77777777">
        <w:trPr>
          <w:divId w:val="776606051"/>
        </w:trPr>
        <w:tc>
          <w:tcPr>
            <w:tcW w:w="0" w:type="auto"/>
            <w:gridSpan w:val="3"/>
            <w:shd w:val="clear" w:color="auto" w:fill="FFFFFF"/>
            <w:tcMar>
              <w:top w:w="30" w:type="dxa"/>
              <w:left w:w="20" w:type="dxa"/>
              <w:bottom w:w="30" w:type="dxa"/>
              <w:right w:w="20" w:type="dxa"/>
            </w:tcMar>
            <w:vAlign w:val="center"/>
            <w:hideMark/>
          </w:tcPr>
          <w:p w14:paraId="50BF4241" w14:textId="77777777" w:rsidR="00000000" w:rsidRDefault="00405D16">
            <w:pPr>
              <w:spacing w:after="100"/>
              <w:divId w:val="1198200610"/>
              <w:rPr>
                <w:rFonts w:eastAsia="Times New Roman"/>
              </w:rPr>
            </w:pPr>
            <w:r>
              <w:rPr>
                <w:rFonts w:eastAsia="Times New Roman"/>
                <w:color w:val="000000"/>
                <w:sz w:val="18"/>
                <w:szCs w:val="18"/>
              </w:rPr>
              <w:t>Current</w:t>
            </w:r>
          </w:p>
        </w:tc>
        <w:tc>
          <w:tcPr>
            <w:tcW w:w="0" w:type="auto"/>
            <w:gridSpan w:val="3"/>
            <w:shd w:val="clear" w:color="auto" w:fill="FFFFFF"/>
            <w:tcMar>
              <w:top w:w="0" w:type="dxa"/>
              <w:left w:w="20" w:type="dxa"/>
              <w:bottom w:w="0" w:type="dxa"/>
              <w:right w:w="20" w:type="dxa"/>
            </w:tcMar>
            <w:vAlign w:val="center"/>
            <w:hideMark/>
          </w:tcPr>
          <w:p w14:paraId="545DA8E8" w14:textId="77777777" w:rsidR="00000000" w:rsidRDefault="00405D16">
            <w:pPr>
              <w:spacing w:after="100"/>
              <w:rPr>
                <w:rFonts w:eastAsia="Times New Roman"/>
              </w:rPr>
            </w:pPr>
          </w:p>
        </w:tc>
        <w:tc>
          <w:tcPr>
            <w:tcW w:w="0" w:type="auto"/>
            <w:vAlign w:val="center"/>
            <w:hideMark/>
          </w:tcPr>
          <w:p w14:paraId="2825AF57" w14:textId="77777777" w:rsidR="00000000" w:rsidRDefault="00405D16">
            <w:pPr>
              <w:spacing w:after="100"/>
              <w:rPr>
                <w:rFonts w:eastAsia="Times New Roman"/>
                <w:sz w:val="20"/>
                <w:szCs w:val="20"/>
              </w:rPr>
            </w:pPr>
          </w:p>
        </w:tc>
        <w:tc>
          <w:tcPr>
            <w:tcW w:w="0" w:type="auto"/>
            <w:vAlign w:val="center"/>
            <w:hideMark/>
          </w:tcPr>
          <w:p w14:paraId="48C45507"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FEBEC4" w14:textId="77777777" w:rsidR="00000000" w:rsidRDefault="00405D16">
            <w:pPr>
              <w:spacing w:after="100"/>
              <w:jc w:val="right"/>
              <w:rPr>
                <w:rFonts w:eastAsia="Times New Roman"/>
              </w:rPr>
            </w:pPr>
            <w:r>
              <w:rPr>
                <w:rFonts w:eastAsia="Times New Roman"/>
                <w:b/>
                <w:bCs/>
                <w:color w:val="000000"/>
                <w:sz w:val="18"/>
                <w:szCs w:val="18"/>
              </w:rPr>
              <w:t>5,534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DE93B2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8EE16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69A959" w14:textId="77777777" w:rsidR="00000000" w:rsidRDefault="00405D16">
            <w:pPr>
              <w:spacing w:after="100"/>
              <w:jc w:val="right"/>
              <w:rPr>
                <w:rFonts w:eastAsia="Times New Roman"/>
              </w:rPr>
            </w:pPr>
            <w:r>
              <w:rPr>
                <w:rFonts w:eastAsia="Times New Roman"/>
                <w:b/>
                <w:bCs/>
                <w:color w:val="000000"/>
                <w:sz w:val="18"/>
                <w:szCs w:val="18"/>
              </w:rPr>
              <w:t>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392841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E2282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2AD95A" w14:textId="77777777" w:rsidR="00000000" w:rsidRDefault="00405D16">
            <w:pPr>
              <w:spacing w:after="100"/>
              <w:jc w:val="right"/>
              <w:rPr>
                <w:rFonts w:eastAsia="Times New Roman"/>
              </w:rPr>
            </w:pPr>
            <w:r>
              <w:rPr>
                <w:rFonts w:eastAsia="Times New Roman"/>
                <w:b/>
                <w:bCs/>
                <w:color w:val="000000"/>
                <w:sz w:val="18"/>
                <w:szCs w:val="18"/>
              </w:rPr>
              <w:t>5,579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FE1173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44FB7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70C811" w14:textId="77777777" w:rsidR="00000000" w:rsidRDefault="00405D16">
            <w:pPr>
              <w:spacing w:after="100"/>
              <w:jc w:val="right"/>
              <w:rPr>
                <w:rFonts w:eastAsia="Times New Roman"/>
              </w:rPr>
            </w:pPr>
            <w:r>
              <w:rPr>
                <w:rFonts w:eastAsia="Times New Roman"/>
                <w:color w:val="000000"/>
                <w:sz w:val="18"/>
                <w:szCs w:val="18"/>
              </w:rPr>
              <w:t>8,152 </w:t>
            </w:r>
          </w:p>
        </w:tc>
        <w:tc>
          <w:tcPr>
            <w:tcW w:w="0" w:type="auto"/>
            <w:shd w:val="clear" w:color="auto" w:fill="FFFFFF"/>
            <w:tcMar>
              <w:top w:w="30" w:type="dxa"/>
              <w:left w:w="0" w:type="dxa"/>
              <w:bottom w:w="30" w:type="dxa"/>
              <w:right w:w="20" w:type="dxa"/>
            </w:tcMar>
            <w:vAlign w:val="bottom"/>
            <w:hideMark/>
          </w:tcPr>
          <w:p w14:paraId="5FB8365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08FBA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A9EB10" w14:textId="77777777" w:rsidR="00000000" w:rsidRDefault="00405D16">
            <w:pPr>
              <w:spacing w:after="100"/>
              <w:jc w:val="right"/>
              <w:rPr>
                <w:rFonts w:eastAsia="Times New Roman"/>
              </w:rPr>
            </w:pPr>
            <w:r>
              <w:rPr>
                <w:rFonts w:eastAsia="Times New Roman"/>
                <w:color w:val="000000"/>
                <w:sz w:val="18"/>
                <w:szCs w:val="18"/>
              </w:rPr>
              <w:t>66 </w:t>
            </w:r>
          </w:p>
        </w:tc>
        <w:tc>
          <w:tcPr>
            <w:tcW w:w="0" w:type="auto"/>
            <w:shd w:val="clear" w:color="auto" w:fill="FFFFFF"/>
            <w:tcMar>
              <w:top w:w="30" w:type="dxa"/>
              <w:left w:w="0" w:type="dxa"/>
              <w:bottom w:w="30" w:type="dxa"/>
              <w:right w:w="20" w:type="dxa"/>
            </w:tcMar>
            <w:vAlign w:val="bottom"/>
            <w:hideMark/>
          </w:tcPr>
          <w:p w14:paraId="19AB98A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0C48A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4D51BE" w14:textId="77777777" w:rsidR="00000000" w:rsidRDefault="00405D16">
            <w:pPr>
              <w:spacing w:after="100"/>
              <w:jc w:val="right"/>
              <w:rPr>
                <w:rFonts w:eastAsia="Times New Roman"/>
              </w:rPr>
            </w:pPr>
            <w:r>
              <w:rPr>
                <w:rFonts w:eastAsia="Times New Roman"/>
                <w:color w:val="000000"/>
                <w:sz w:val="18"/>
                <w:szCs w:val="18"/>
              </w:rPr>
              <w:t>8,218 </w:t>
            </w:r>
          </w:p>
        </w:tc>
        <w:tc>
          <w:tcPr>
            <w:tcW w:w="0" w:type="auto"/>
            <w:shd w:val="clear" w:color="auto" w:fill="FFFFFF"/>
            <w:tcMar>
              <w:top w:w="30" w:type="dxa"/>
              <w:left w:w="0" w:type="dxa"/>
              <w:bottom w:w="30" w:type="dxa"/>
              <w:right w:w="20" w:type="dxa"/>
            </w:tcMar>
            <w:vAlign w:val="bottom"/>
            <w:hideMark/>
          </w:tcPr>
          <w:p w14:paraId="7A45BCA3" w14:textId="77777777" w:rsidR="00000000" w:rsidRDefault="00405D16">
            <w:pPr>
              <w:spacing w:after="100"/>
              <w:jc w:val="right"/>
              <w:rPr>
                <w:rFonts w:eastAsia="Times New Roman"/>
              </w:rPr>
            </w:pPr>
          </w:p>
        </w:tc>
      </w:tr>
      <w:tr w:rsidR="00000000" w14:paraId="774D0EAD" w14:textId="77777777">
        <w:trPr>
          <w:divId w:val="776606051"/>
        </w:trPr>
        <w:tc>
          <w:tcPr>
            <w:tcW w:w="0" w:type="auto"/>
            <w:gridSpan w:val="3"/>
            <w:shd w:val="clear" w:color="auto" w:fill="CCEEFF"/>
            <w:tcMar>
              <w:top w:w="30" w:type="dxa"/>
              <w:left w:w="20" w:type="dxa"/>
              <w:bottom w:w="30" w:type="dxa"/>
              <w:right w:w="20" w:type="dxa"/>
            </w:tcMar>
            <w:vAlign w:val="center"/>
            <w:hideMark/>
          </w:tcPr>
          <w:p w14:paraId="464D912B" w14:textId="77777777" w:rsidR="00000000" w:rsidRDefault="00405D16">
            <w:pPr>
              <w:spacing w:after="100"/>
              <w:divId w:val="1966426803"/>
              <w:rPr>
                <w:rFonts w:eastAsia="Times New Roman"/>
              </w:rPr>
            </w:pPr>
            <w:r>
              <w:rPr>
                <w:rFonts w:eastAsia="Times New Roman"/>
                <w:color w:val="000000"/>
                <w:sz w:val="18"/>
                <w:szCs w:val="18"/>
              </w:rPr>
              <w:t>30-59 days</w:t>
            </w:r>
          </w:p>
        </w:tc>
        <w:tc>
          <w:tcPr>
            <w:tcW w:w="0" w:type="auto"/>
            <w:gridSpan w:val="3"/>
            <w:shd w:val="clear" w:color="auto" w:fill="CCEEFF"/>
            <w:tcMar>
              <w:top w:w="0" w:type="dxa"/>
              <w:left w:w="20" w:type="dxa"/>
              <w:bottom w:w="0" w:type="dxa"/>
              <w:right w:w="20" w:type="dxa"/>
            </w:tcMar>
            <w:vAlign w:val="center"/>
            <w:hideMark/>
          </w:tcPr>
          <w:p w14:paraId="28C70A12" w14:textId="77777777" w:rsidR="00000000" w:rsidRDefault="00405D16">
            <w:pPr>
              <w:spacing w:after="100"/>
              <w:rPr>
                <w:rFonts w:eastAsia="Times New Roman"/>
              </w:rPr>
            </w:pPr>
          </w:p>
        </w:tc>
        <w:tc>
          <w:tcPr>
            <w:tcW w:w="0" w:type="auto"/>
            <w:vAlign w:val="center"/>
            <w:hideMark/>
          </w:tcPr>
          <w:p w14:paraId="76DA1A25" w14:textId="77777777" w:rsidR="00000000" w:rsidRDefault="00405D16">
            <w:pPr>
              <w:spacing w:after="100"/>
              <w:rPr>
                <w:rFonts w:eastAsia="Times New Roman"/>
                <w:sz w:val="20"/>
                <w:szCs w:val="20"/>
              </w:rPr>
            </w:pPr>
          </w:p>
        </w:tc>
        <w:tc>
          <w:tcPr>
            <w:tcW w:w="0" w:type="auto"/>
            <w:vAlign w:val="center"/>
            <w:hideMark/>
          </w:tcPr>
          <w:p w14:paraId="2829F3D4"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7BE58D" w14:textId="77777777" w:rsidR="00000000" w:rsidRDefault="00405D16">
            <w:pPr>
              <w:spacing w:after="100"/>
              <w:jc w:val="right"/>
              <w:rPr>
                <w:rFonts w:eastAsia="Times New Roman"/>
              </w:rPr>
            </w:pPr>
            <w:r>
              <w:rPr>
                <w:rFonts w:eastAsia="Times New Roman"/>
                <w:b/>
                <w:bCs/>
                <w:color w:val="000000"/>
                <w:sz w:val="18"/>
                <w:szCs w:val="18"/>
              </w:rPr>
              <w:t>67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82254B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1A0D6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814FCE" w14:textId="77777777" w:rsidR="00000000" w:rsidRDefault="00405D16">
            <w:pPr>
              <w:spacing w:after="100"/>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DDF89C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B6298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6418C0" w14:textId="77777777" w:rsidR="00000000" w:rsidRDefault="00405D16">
            <w:pPr>
              <w:spacing w:after="100"/>
              <w:jc w:val="right"/>
              <w:rPr>
                <w:rFonts w:eastAsia="Times New Roman"/>
              </w:rPr>
            </w:pPr>
            <w:r>
              <w:rPr>
                <w:rFonts w:eastAsia="Times New Roman"/>
                <w:b/>
                <w:bCs/>
                <w:color w:val="000000"/>
                <w:sz w:val="18"/>
                <w:szCs w:val="18"/>
              </w:rPr>
              <w:t>72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1166F7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C0046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76804C" w14:textId="77777777" w:rsidR="00000000" w:rsidRDefault="00405D16">
            <w:pPr>
              <w:spacing w:after="100"/>
              <w:jc w:val="right"/>
              <w:rPr>
                <w:rFonts w:eastAsia="Times New Roman"/>
              </w:rPr>
            </w:pPr>
            <w:r>
              <w:rPr>
                <w:rFonts w:eastAsia="Times New Roman"/>
                <w:color w:val="000000"/>
                <w:sz w:val="18"/>
                <w:szCs w:val="18"/>
              </w:rPr>
              <w:t>79 </w:t>
            </w:r>
          </w:p>
        </w:tc>
        <w:tc>
          <w:tcPr>
            <w:tcW w:w="0" w:type="auto"/>
            <w:shd w:val="clear" w:color="auto" w:fill="CCEEFF"/>
            <w:tcMar>
              <w:top w:w="30" w:type="dxa"/>
              <w:left w:w="0" w:type="dxa"/>
              <w:bottom w:w="30" w:type="dxa"/>
              <w:right w:w="20" w:type="dxa"/>
            </w:tcMar>
            <w:vAlign w:val="bottom"/>
            <w:hideMark/>
          </w:tcPr>
          <w:p w14:paraId="6E24AE0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34911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AEFDB1" w14:textId="77777777" w:rsidR="00000000" w:rsidRDefault="00405D16">
            <w:pPr>
              <w:spacing w:after="100"/>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bottom"/>
            <w:hideMark/>
          </w:tcPr>
          <w:p w14:paraId="13473D1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FEF09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5FF5BF" w14:textId="77777777" w:rsidR="00000000" w:rsidRDefault="00405D16">
            <w:pPr>
              <w:spacing w:after="100"/>
              <w:jc w:val="right"/>
              <w:rPr>
                <w:rFonts w:eastAsia="Times New Roman"/>
              </w:rPr>
            </w:pPr>
            <w:r>
              <w:rPr>
                <w:rFonts w:eastAsia="Times New Roman"/>
                <w:color w:val="000000"/>
                <w:sz w:val="18"/>
                <w:szCs w:val="18"/>
              </w:rPr>
              <w:t>90 </w:t>
            </w:r>
          </w:p>
        </w:tc>
        <w:tc>
          <w:tcPr>
            <w:tcW w:w="0" w:type="auto"/>
            <w:shd w:val="clear" w:color="auto" w:fill="CCEEFF"/>
            <w:tcMar>
              <w:top w:w="30" w:type="dxa"/>
              <w:left w:w="0" w:type="dxa"/>
              <w:bottom w:w="30" w:type="dxa"/>
              <w:right w:w="20" w:type="dxa"/>
            </w:tcMar>
            <w:vAlign w:val="bottom"/>
            <w:hideMark/>
          </w:tcPr>
          <w:p w14:paraId="4D6358A8" w14:textId="77777777" w:rsidR="00000000" w:rsidRDefault="00405D16">
            <w:pPr>
              <w:spacing w:after="100"/>
              <w:jc w:val="right"/>
              <w:rPr>
                <w:rFonts w:eastAsia="Times New Roman"/>
              </w:rPr>
            </w:pPr>
          </w:p>
        </w:tc>
      </w:tr>
      <w:tr w:rsidR="00000000" w14:paraId="69771138" w14:textId="77777777">
        <w:trPr>
          <w:divId w:val="776606051"/>
        </w:trPr>
        <w:tc>
          <w:tcPr>
            <w:tcW w:w="0" w:type="auto"/>
            <w:gridSpan w:val="3"/>
            <w:shd w:val="clear" w:color="auto" w:fill="FFFFFF"/>
            <w:tcMar>
              <w:top w:w="30" w:type="dxa"/>
              <w:left w:w="20" w:type="dxa"/>
              <w:bottom w:w="30" w:type="dxa"/>
              <w:right w:w="20" w:type="dxa"/>
            </w:tcMar>
            <w:vAlign w:val="center"/>
            <w:hideMark/>
          </w:tcPr>
          <w:p w14:paraId="62390765" w14:textId="77777777" w:rsidR="00000000" w:rsidRDefault="00405D16">
            <w:pPr>
              <w:spacing w:after="100"/>
              <w:divId w:val="1597907117"/>
              <w:rPr>
                <w:rFonts w:eastAsia="Times New Roman"/>
              </w:rPr>
            </w:pPr>
            <w:r>
              <w:rPr>
                <w:rFonts w:eastAsia="Times New Roman"/>
                <w:color w:val="000000"/>
                <w:sz w:val="18"/>
                <w:szCs w:val="18"/>
              </w:rPr>
              <w:t>60-89 days</w:t>
            </w:r>
          </w:p>
        </w:tc>
        <w:tc>
          <w:tcPr>
            <w:tcW w:w="0" w:type="auto"/>
            <w:gridSpan w:val="3"/>
            <w:shd w:val="clear" w:color="auto" w:fill="FFFFFF"/>
            <w:tcMar>
              <w:top w:w="0" w:type="dxa"/>
              <w:left w:w="20" w:type="dxa"/>
              <w:bottom w:w="0" w:type="dxa"/>
              <w:right w:w="20" w:type="dxa"/>
            </w:tcMar>
            <w:vAlign w:val="center"/>
            <w:hideMark/>
          </w:tcPr>
          <w:p w14:paraId="40DD93F8" w14:textId="77777777" w:rsidR="00000000" w:rsidRDefault="00405D16">
            <w:pPr>
              <w:spacing w:after="100"/>
              <w:rPr>
                <w:rFonts w:eastAsia="Times New Roman"/>
              </w:rPr>
            </w:pPr>
          </w:p>
        </w:tc>
        <w:tc>
          <w:tcPr>
            <w:tcW w:w="0" w:type="auto"/>
            <w:vAlign w:val="center"/>
            <w:hideMark/>
          </w:tcPr>
          <w:p w14:paraId="0F82689D" w14:textId="77777777" w:rsidR="00000000" w:rsidRDefault="00405D16">
            <w:pPr>
              <w:spacing w:after="100"/>
              <w:rPr>
                <w:rFonts w:eastAsia="Times New Roman"/>
                <w:sz w:val="20"/>
                <w:szCs w:val="20"/>
              </w:rPr>
            </w:pPr>
          </w:p>
        </w:tc>
        <w:tc>
          <w:tcPr>
            <w:tcW w:w="0" w:type="auto"/>
            <w:vAlign w:val="center"/>
            <w:hideMark/>
          </w:tcPr>
          <w:p w14:paraId="18F40882"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F722EA" w14:textId="77777777" w:rsidR="00000000" w:rsidRDefault="00405D16">
            <w:pPr>
              <w:spacing w:after="100"/>
              <w:jc w:val="right"/>
              <w:rPr>
                <w:rFonts w:eastAsia="Times New Roman"/>
              </w:rPr>
            </w:pPr>
            <w:r>
              <w:rPr>
                <w:rFonts w:eastAsia="Times New Roman"/>
                <w:b/>
                <w:bCs/>
                <w:color w:val="000000"/>
                <w:sz w:val="18"/>
                <w:szCs w:val="18"/>
              </w:rPr>
              <w:t>41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80353F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B9B06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B05E2B" w14:textId="77777777" w:rsidR="00000000" w:rsidRDefault="00405D16">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11964C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3CC36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20D900" w14:textId="77777777" w:rsidR="00000000" w:rsidRDefault="00405D16">
            <w:pPr>
              <w:spacing w:after="100"/>
              <w:jc w:val="right"/>
              <w:rPr>
                <w:rFonts w:eastAsia="Times New Roman"/>
              </w:rPr>
            </w:pPr>
            <w:r>
              <w:rPr>
                <w:rFonts w:eastAsia="Times New Roman"/>
                <w:b/>
                <w:bCs/>
                <w:color w:val="000000"/>
                <w:sz w:val="18"/>
                <w:szCs w:val="18"/>
              </w:rPr>
              <w:t>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B31B0A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523CA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EE7C10" w14:textId="77777777" w:rsidR="00000000" w:rsidRDefault="00405D16">
            <w:pPr>
              <w:spacing w:after="100"/>
              <w:jc w:val="right"/>
              <w:rPr>
                <w:rFonts w:eastAsia="Times New Roman"/>
              </w:rPr>
            </w:pPr>
            <w:r>
              <w:rPr>
                <w:rFonts w:eastAsia="Times New Roman"/>
                <w:color w:val="000000"/>
                <w:sz w:val="18"/>
                <w:szCs w:val="18"/>
              </w:rPr>
              <w:t>47 </w:t>
            </w:r>
          </w:p>
        </w:tc>
        <w:tc>
          <w:tcPr>
            <w:tcW w:w="0" w:type="auto"/>
            <w:shd w:val="clear" w:color="auto" w:fill="FFFFFF"/>
            <w:tcMar>
              <w:top w:w="30" w:type="dxa"/>
              <w:left w:w="0" w:type="dxa"/>
              <w:bottom w:w="30" w:type="dxa"/>
              <w:right w:w="20" w:type="dxa"/>
            </w:tcMar>
            <w:vAlign w:val="bottom"/>
            <w:hideMark/>
          </w:tcPr>
          <w:p w14:paraId="6D1A22A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B0BE1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78FBE0" w14:textId="77777777" w:rsidR="00000000" w:rsidRDefault="00405D16">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14:paraId="2563AED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367E3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95BCBB" w14:textId="77777777" w:rsidR="00000000" w:rsidRDefault="00405D16">
            <w:pPr>
              <w:spacing w:after="100"/>
              <w:jc w:val="right"/>
              <w:rPr>
                <w:rFonts w:eastAsia="Times New Roman"/>
              </w:rPr>
            </w:pPr>
            <w:r>
              <w:rPr>
                <w:rFonts w:eastAsia="Times New Roman"/>
                <w:color w:val="000000"/>
                <w:sz w:val="18"/>
                <w:szCs w:val="18"/>
              </w:rPr>
              <w:t>58 </w:t>
            </w:r>
          </w:p>
        </w:tc>
        <w:tc>
          <w:tcPr>
            <w:tcW w:w="0" w:type="auto"/>
            <w:shd w:val="clear" w:color="auto" w:fill="FFFFFF"/>
            <w:tcMar>
              <w:top w:w="30" w:type="dxa"/>
              <w:left w:w="0" w:type="dxa"/>
              <w:bottom w:w="30" w:type="dxa"/>
              <w:right w:w="20" w:type="dxa"/>
            </w:tcMar>
            <w:vAlign w:val="bottom"/>
            <w:hideMark/>
          </w:tcPr>
          <w:p w14:paraId="7876325D" w14:textId="77777777" w:rsidR="00000000" w:rsidRDefault="00405D16">
            <w:pPr>
              <w:spacing w:after="100"/>
              <w:jc w:val="right"/>
              <w:rPr>
                <w:rFonts w:eastAsia="Times New Roman"/>
              </w:rPr>
            </w:pPr>
          </w:p>
        </w:tc>
      </w:tr>
      <w:tr w:rsidR="00000000" w14:paraId="2F7224C3" w14:textId="77777777">
        <w:trPr>
          <w:divId w:val="776606051"/>
        </w:trPr>
        <w:tc>
          <w:tcPr>
            <w:tcW w:w="0" w:type="auto"/>
            <w:gridSpan w:val="3"/>
            <w:shd w:val="clear" w:color="auto" w:fill="CCEEFF"/>
            <w:tcMar>
              <w:top w:w="30" w:type="dxa"/>
              <w:left w:w="20" w:type="dxa"/>
              <w:bottom w:w="30" w:type="dxa"/>
              <w:right w:w="20" w:type="dxa"/>
            </w:tcMar>
            <w:vAlign w:val="center"/>
            <w:hideMark/>
          </w:tcPr>
          <w:p w14:paraId="17DC7FDE" w14:textId="77777777" w:rsidR="00000000" w:rsidRDefault="00405D16">
            <w:pPr>
              <w:spacing w:after="100"/>
              <w:divId w:val="202863302"/>
              <w:rPr>
                <w:rFonts w:eastAsia="Times New Roman"/>
              </w:rPr>
            </w:pPr>
            <w:r>
              <w:rPr>
                <w:rFonts w:eastAsia="Times New Roman"/>
                <w:color w:val="000000"/>
                <w:sz w:val="18"/>
                <w:szCs w:val="18"/>
              </w:rPr>
              <w:t>Greater than 90 days</w:t>
            </w:r>
          </w:p>
        </w:tc>
        <w:tc>
          <w:tcPr>
            <w:tcW w:w="0" w:type="auto"/>
            <w:gridSpan w:val="3"/>
            <w:shd w:val="clear" w:color="auto" w:fill="CCEEFF"/>
            <w:tcMar>
              <w:top w:w="0" w:type="dxa"/>
              <w:left w:w="20" w:type="dxa"/>
              <w:bottom w:w="0" w:type="dxa"/>
              <w:right w:w="20" w:type="dxa"/>
            </w:tcMar>
            <w:vAlign w:val="center"/>
            <w:hideMark/>
          </w:tcPr>
          <w:p w14:paraId="0122180E" w14:textId="77777777" w:rsidR="00000000" w:rsidRDefault="00405D16">
            <w:pPr>
              <w:spacing w:after="100"/>
              <w:rPr>
                <w:rFonts w:eastAsia="Times New Roman"/>
              </w:rPr>
            </w:pPr>
          </w:p>
        </w:tc>
        <w:tc>
          <w:tcPr>
            <w:tcW w:w="0" w:type="auto"/>
            <w:vAlign w:val="center"/>
            <w:hideMark/>
          </w:tcPr>
          <w:p w14:paraId="1401919A" w14:textId="77777777" w:rsidR="00000000" w:rsidRDefault="00405D16">
            <w:pPr>
              <w:spacing w:after="100"/>
              <w:rPr>
                <w:rFonts w:eastAsia="Times New Roman"/>
                <w:sz w:val="20"/>
                <w:szCs w:val="20"/>
              </w:rPr>
            </w:pPr>
          </w:p>
        </w:tc>
        <w:tc>
          <w:tcPr>
            <w:tcW w:w="0" w:type="auto"/>
            <w:vAlign w:val="center"/>
            <w:hideMark/>
          </w:tcPr>
          <w:p w14:paraId="1B3B837C"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2FF66A" w14:textId="77777777" w:rsidR="00000000" w:rsidRDefault="00405D16">
            <w:pPr>
              <w:spacing w:after="100"/>
              <w:jc w:val="right"/>
              <w:rPr>
                <w:rFonts w:eastAsia="Times New Roman"/>
              </w:rPr>
            </w:pPr>
            <w:r>
              <w:rPr>
                <w:rFonts w:eastAsia="Times New Roman"/>
                <w:b/>
                <w:bCs/>
                <w:color w:val="000000"/>
                <w:sz w:val="18"/>
                <w:szCs w:val="18"/>
              </w:rPr>
              <w:t>72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C0D11D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7258A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BF8F3B" w14:textId="77777777" w:rsidR="00000000" w:rsidRDefault="00405D16">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4E6836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4AFBD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AD9FD6" w14:textId="77777777" w:rsidR="00000000" w:rsidRDefault="00405D16">
            <w:pPr>
              <w:spacing w:after="100"/>
              <w:jc w:val="right"/>
              <w:rPr>
                <w:rFonts w:eastAsia="Times New Roman"/>
              </w:rPr>
            </w:pPr>
            <w:r>
              <w:rPr>
                <w:rFonts w:eastAsia="Times New Roman"/>
                <w:b/>
                <w:bCs/>
                <w:color w:val="000000"/>
                <w:sz w:val="18"/>
                <w:szCs w:val="18"/>
              </w:rPr>
              <w:t>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4D9981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AD029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4989AA" w14:textId="77777777" w:rsidR="00000000" w:rsidRDefault="00405D16">
            <w:pPr>
              <w:spacing w:after="100"/>
              <w:jc w:val="right"/>
              <w:rPr>
                <w:rFonts w:eastAsia="Times New Roman"/>
              </w:rPr>
            </w:pPr>
            <w:r>
              <w:rPr>
                <w:rFonts w:eastAsia="Times New Roman"/>
                <w:color w:val="000000"/>
                <w:sz w:val="18"/>
                <w:szCs w:val="18"/>
              </w:rPr>
              <w:t>76 </w:t>
            </w:r>
          </w:p>
        </w:tc>
        <w:tc>
          <w:tcPr>
            <w:tcW w:w="0" w:type="auto"/>
            <w:shd w:val="clear" w:color="auto" w:fill="CCEEFF"/>
            <w:tcMar>
              <w:top w:w="30" w:type="dxa"/>
              <w:left w:w="0" w:type="dxa"/>
              <w:bottom w:w="30" w:type="dxa"/>
              <w:right w:w="20" w:type="dxa"/>
            </w:tcMar>
            <w:vAlign w:val="bottom"/>
            <w:hideMark/>
          </w:tcPr>
          <w:p w14:paraId="02330FA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ED66A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879904" w14:textId="77777777" w:rsidR="00000000" w:rsidRDefault="00405D16">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14:paraId="36060D8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422DD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E6631C" w14:textId="77777777" w:rsidR="00000000" w:rsidRDefault="00405D16">
            <w:pPr>
              <w:spacing w:after="100"/>
              <w:jc w:val="right"/>
              <w:rPr>
                <w:rFonts w:eastAsia="Times New Roman"/>
              </w:rPr>
            </w:pPr>
            <w:r>
              <w:rPr>
                <w:rFonts w:eastAsia="Times New Roman"/>
                <w:color w:val="000000"/>
                <w:sz w:val="18"/>
                <w:szCs w:val="18"/>
              </w:rPr>
              <w:t>86 </w:t>
            </w:r>
          </w:p>
        </w:tc>
        <w:tc>
          <w:tcPr>
            <w:tcW w:w="0" w:type="auto"/>
            <w:shd w:val="clear" w:color="auto" w:fill="CCEEFF"/>
            <w:tcMar>
              <w:top w:w="30" w:type="dxa"/>
              <w:left w:w="0" w:type="dxa"/>
              <w:bottom w:w="30" w:type="dxa"/>
              <w:right w:w="20" w:type="dxa"/>
            </w:tcMar>
            <w:vAlign w:val="bottom"/>
            <w:hideMark/>
          </w:tcPr>
          <w:p w14:paraId="5B74EB42" w14:textId="77777777" w:rsidR="00000000" w:rsidRDefault="00405D16">
            <w:pPr>
              <w:spacing w:after="100"/>
              <w:jc w:val="right"/>
              <w:rPr>
                <w:rFonts w:eastAsia="Times New Roman"/>
              </w:rPr>
            </w:pPr>
          </w:p>
        </w:tc>
      </w:tr>
      <w:tr w:rsidR="00000000" w14:paraId="0EB8B358" w14:textId="77777777">
        <w:trPr>
          <w:divId w:val="776606051"/>
        </w:trPr>
        <w:tc>
          <w:tcPr>
            <w:tcW w:w="0" w:type="auto"/>
            <w:gridSpan w:val="3"/>
            <w:shd w:val="clear" w:color="auto" w:fill="FFFFFF"/>
            <w:tcMar>
              <w:top w:w="30" w:type="dxa"/>
              <w:left w:w="245" w:type="dxa"/>
              <w:bottom w:w="30" w:type="dxa"/>
              <w:right w:w="20" w:type="dxa"/>
            </w:tcMar>
            <w:vAlign w:val="center"/>
            <w:hideMark/>
          </w:tcPr>
          <w:p w14:paraId="48F918E4" w14:textId="77777777" w:rsidR="00000000" w:rsidRDefault="00405D16">
            <w:pPr>
              <w:spacing w:after="100"/>
              <w:rPr>
                <w:rFonts w:eastAsia="Times New Roman"/>
              </w:rPr>
            </w:pPr>
            <w:r>
              <w:rPr>
                <w:rFonts w:eastAsia="Times New Roman"/>
                <w:b/>
                <w:bCs/>
                <w:color w:val="000000"/>
                <w:sz w:val="18"/>
                <w:szCs w:val="18"/>
              </w:rPr>
              <w:t>Total international card businesses</w:t>
            </w:r>
          </w:p>
        </w:tc>
        <w:tc>
          <w:tcPr>
            <w:tcW w:w="0" w:type="auto"/>
            <w:gridSpan w:val="3"/>
            <w:shd w:val="clear" w:color="auto" w:fill="FFFFFF"/>
            <w:tcMar>
              <w:top w:w="0" w:type="dxa"/>
              <w:left w:w="20" w:type="dxa"/>
              <w:bottom w:w="0" w:type="dxa"/>
              <w:right w:w="20" w:type="dxa"/>
            </w:tcMar>
            <w:vAlign w:val="center"/>
            <w:hideMark/>
          </w:tcPr>
          <w:p w14:paraId="173CCAAE" w14:textId="77777777" w:rsidR="00000000" w:rsidRDefault="00405D16">
            <w:pPr>
              <w:spacing w:after="100"/>
              <w:rPr>
                <w:rFonts w:eastAsia="Times New Roman"/>
              </w:rPr>
            </w:pPr>
          </w:p>
        </w:tc>
        <w:tc>
          <w:tcPr>
            <w:tcW w:w="0" w:type="auto"/>
            <w:vAlign w:val="center"/>
            <w:hideMark/>
          </w:tcPr>
          <w:p w14:paraId="1238459D" w14:textId="77777777" w:rsidR="00000000" w:rsidRDefault="00405D16">
            <w:pPr>
              <w:spacing w:after="100"/>
              <w:rPr>
                <w:rFonts w:eastAsia="Times New Roman"/>
                <w:sz w:val="20"/>
                <w:szCs w:val="20"/>
              </w:rPr>
            </w:pPr>
          </w:p>
        </w:tc>
        <w:tc>
          <w:tcPr>
            <w:tcW w:w="0" w:type="auto"/>
            <w:vAlign w:val="center"/>
            <w:hideMark/>
          </w:tcPr>
          <w:p w14:paraId="13D347B1" w14:textId="77777777" w:rsidR="00000000" w:rsidRDefault="00405D16">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B7218DC" w14:textId="77777777" w:rsidR="00000000" w:rsidRDefault="00405D16">
            <w:pPr>
              <w:spacing w:after="100"/>
              <w:jc w:val="right"/>
              <w:rPr>
                <w:rFonts w:eastAsia="Times New Roman"/>
              </w:rPr>
            </w:pPr>
            <w:r>
              <w:rPr>
                <w:rFonts w:eastAsia="Times New Roman"/>
                <w:b/>
                <w:bCs/>
                <w:color w:val="000000"/>
                <w:sz w:val="18"/>
                <w:szCs w:val="18"/>
              </w:rPr>
              <w:t>5,714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330754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1112D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B0BC1D3" w14:textId="77777777" w:rsidR="00000000" w:rsidRDefault="00405D16">
            <w:pPr>
              <w:spacing w:after="100"/>
              <w:jc w:val="right"/>
              <w:rPr>
                <w:rFonts w:eastAsia="Times New Roman"/>
              </w:rPr>
            </w:pPr>
            <w:r>
              <w:rPr>
                <w:rFonts w:eastAsia="Times New Roman"/>
                <w:b/>
                <w:bCs/>
                <w:color w:val="000000"/>
                <w:sz w:val="18"/>
                <w:szCs w:val="18"/>
              </w:rPr>
              <w:t>58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D17BD0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BC903C"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6F638F1" w14:textId="77777777" w:rsidR="00000000" w:rsidRDefault="00405D16">
            <w:pPr>
              <w:spacing w:after="100"/>
              <w:jc w:val="right"/>
              <w:rPr>
                <w:rFonts w:eastAsia="Times New Roman"/>
              </w:rPr>
            </w:pPr>
            <w:r>
              <w:rPr>
                <w:rFonts w:eastAsia="Times New Roman"/>
                <w:b/>
                <w:bCs/>
                <w:color w:val="000000"/>
                <w:sz w:val="18"/>
                <w:szCs w:val="18"/>
              </w:rPr>
              <w:t>5,772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EF36C0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838FAC"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12B987E" w14:textId="77777777" w:rsidR="00000000" w:rsidRDefault="00405D16">
            <w:pPr>
              <w:spacing w:after="100"/>
              <w:jc w:val="right"/>
              <w:rPr>
                <w:rFonts w:eastAsia="Times New Roman"/>
              </w:rPr>
            </w:pPr>
            <w:r>
              <w:rPr>
                <w:rFonts w:eastAsia="Times New Roman"/>
                <w:color w:val="000000"/>
                <w:sz w:val="18"/>
                <w:szCs w:val="18"/>
              </w:rPr>
              <w:t>8,354 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085FFE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B70A7F"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C1A9236" w14:textId="77777777" w:rsidR="00000000" w:rsidRDefault="00405D16">
            <w:pPr>
              <w:spacing w:after="100"/>
              <w:jc w:val="right"/>
              <w:rPr>
                <w:rFonts w:eastAsia="Times New Roman"/>
              </w:rPr>
            </w:pPr>
            <w:r>
              <w:rPr>
                <w:rFonts w:eastAsia="Times New Roman"/>
                <w:color w:val="000000"/>
                <w:sz w:val="18"/>
                <w:szCs w:val="18"/>
              </w:rPr>
              <w:t>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268070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E1354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9C50FE7" w14:textId="77777777" w:rsidR="00000000" w:rsidRDefault="00405D16">
            <w:pPr>
              <w:spacing w:after="100"/>
              <w:jc w:val="right"/>
              <w:rPr>
                <w:rFonts w:eastAsia="Times New Roman"/>
              </w:rPr>
            </w:pPr>
            <w:r>
              <w:rPr>
                <w:rFonts w:eastAsia="Times New Roman"/>
                <w:color w:val="000000"/>
                <w:sz w:val="18"/>
                <w:szCs w:val="18"/>
              </w:rPr>
              <w:t>8,452 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7FFE31D" w14:textId="77777777" w:rsidR="00000000" w:rsidRDefault="00405D16">
            <w:pPr>
              <w:spacing w:after="100"/>
              <w:jc w:val="right"/>
              <w:rPr>
                <w:rFonts w:eastAsia="Times New Roman"/>
              </w:rPr>
            </w:pPr>
          </w:p>
        </w:tc>
      </w:tr>
      <w:tr w:rsidR="00000000" w14:paraId="7C50B80B" w14:textId="77777777">
        <w:trPr>
          <w:divId w:val="776606051"/>
        </w:trPr>
        <w:tc>
          <w:tcPr>
            <w:tcW w:w="0" w:type="auto"/>
            <w:gridSpan w:val="3"/>
            <w:shd w:val="clear" w:color="auto" w:fill="CCEEFF"/>
            <w:tcMar>
              <w:top w:w="30" w:type="dxa"/>
              <w:left w:w="20" w:type="dxa"/>
              <w:bottom w:w="30" w:type="dxa"/>
              <w:right w:w="20" w:type="dxa"/>
            </w:tcMar>
            <w:vAlign w:val="center"/>
            <w:hideMark/>
          </w:tcPr>
          <w:p w14:paraId="5EC4E858" w14:textId="77777777" w:rsidR="00000000" w:rsidRDefault="00405D16">
            <w:pPr>
              <w:spacing w:after="100"/>
              <w:rPr>
                <w:rFonts w:eastAsia="Times New Roman"/>
              </w:rPr>
            </w:pPr>
            <w:r>
              <w:rPr>
                <w:rFonts w:eastAsia="Times New Roman"/>
                <w:b/>
                <w:bCs/>
                <w:color w:val="000000"/>
                <w:sz w:val="18"/>
                <w:szCs w:val="18"/>
              </w:rPr>
              <w:t>Total credit card</w:t>
            </w:r>
          </w:p>
        </w:tc>
        <w:tc>
          <w:tcPr>
            <w:tcW w:w="0" w:type="auto"/>
            <w:gridSpan w:val="3"/>
            <w:shd w:val="clear" w:color="auto" w:fill="CCEEFF"/>
            <w:tcMar>
              <w:top w:w="0" w:type="dxa"/>
              <w:left w:w="20" w:type="dxa"/>
              <w:bottom w:w="0" w:type="dxa"/>
              <w:right w:w="20" w:type="dxa"/>
            </w:tcMar>
            <w:vAlign w:val="center"/>
            <w:hideMark/>
          </w:tcPr>
          <w:p w14:paraId="43126CB5" w14:textId="77777777" w:rsidR="00000000" w:rsidRDefault="00405D16">
            <w:pPr>
              <w:spacing w:after="100"/>
              <w:rPr>
                <w:rFonts w:eastAsia="Times New Roman"/>
              </w:rPr>
            </w:pPr>
          </w:p>
        </w:tc>
        <w:tc>
          <w:tcPr>
            <w:tcW w:w="0" w:type="auto"/>
            <w:vAlign w:val="center"/>
            <w:hideMark/>
          </w:tcPr>
          <w:p w14:paraId="34E13572" w14:textId="77777777" w:rsidR="00000000" w:rsidRDefault="00405D16">
            <w:pPr>
              <w:spacing w:after="100"/>
              <w:rPr>
                <w:rFonts w:eastAsia="Times New Roman"/>
                <w:sz w:val="20"/>
                <w:szCs w:val="20"/>
              </w:rPr>
            </w:pPr>
          </w:p>
        </w:tc>
        <w:tc>
          <w:tcPr>
            <w:tcW w:w="0" w:type="auto"/>
            <w:vAlign w:val="center"/>
            <w:hideMark/>
          </w:tcPr>
          <w:p w14:paraId="3ECC1A26" w14:textId="77777777" w:rsidR="00000000" w:rsidRDefault="00405D16">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7140570"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621672B" w14:textId="77777777" w:rsidR="00000000" w:rsidRDefault="00405D16">
            <w:pPr>
              <w:spacing w:after="100"/>
              <w:jc w:val="right"/>
              <w:rPr>
                <w:rFonts w:eastAsia="Times New Roman"/>
              </w:rPr>
            </w:pPr>
            <w:r>
              <w:rPr>
                <w:rFonts w:eastAsia="Times New Roman"/>
                <w:b/>
                <w:bCs/>
                <w:color w:val="000000"/>
                <w:sz w:val="18"/>
                <w:szCs w:val="18"/>
              </w:rPr>
              <w:t>104,572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A7F890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B9ACEA"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32B43C8"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DD42107" w14:textId="77777777" w:rsidR="00000000" w:rsidRDefault="00405D16">
            <w:pPr>
              <w:spacing w:after="100"/>
              <w:jc w:val="right"/>
              <w:rPr>
                <w:rFonts w:eastAsia="Times New Roman"/>
              </w:rPr>
            </w:pPr>
            <w:r>
              <w:rPr>
                <w:rFonts w:eastAsia="Times New Roman"/>
                <w:b/>
                <w:bCs/>
                <w:color w:val="000000"/>
                <w:sz w:val="18"/>
                <w:szCs w:val="18"/>
              </w:rPr>
              <w:t>458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E03ED6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B826F2"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EBADC2A"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19D37AF" w14:textId="77777777" w:rsidR="00000000" w:rsidRDefault="00405D16">
            <w:pPr>
              <w:spacing w:after="100"/>
              <w:jc w:val="right"/>
              <w:rPr>
                <w:rFonts w:eastAsia="Times New Roman"/>
              </w:rPr>
            </w:pPr>
            <w:r>
              <w:rPr>
                <w:rFonts w:eastAsia="Times New Roman"/>
                <w:b/>
                <w:bCs/>
                <w:color w:val="000000"/>
                <w:sz w:val="18"/>
                <w:szCs w:val="18"/>
              </w:rPr>
              <w:t>105,030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76E1B4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1A33F1"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647454C"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73A368B" w14:textId="77777777" w:rsidR="00000000" w:rsidRDefault="00405D16">
            <w:pPr>
              <w:spacing w:after="100"/>
              <w:jc w:val="right"/>
              <w:rPr>
                <w:rFonts w:eastAsia="Times New Roman"/>
              </w:rPr>
            </w:pPr>
            <w:r>
              <w:rPr>
                <w:rFonts w:eastAsia="Times New Roman"/>
                <w:color w:val="000000"/>
                <w:sz w:val="18"/>
                <w:szCs w:val="18"/>
              </w:rPr>
              <w:t>106,323 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F4B6CB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96190B"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84BAB2A"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9F240DF" w14:textId="77777777" w:rsidR="00000000" w:rsidRDefault="00405D16">
            <w:pPr>
              <w:spacing w:after="100"/>
              <w:jc w:val="right"/>
              <w:rPr>
                <w:rFonts w:eastAsia="Times New Roman"/>
              </w:rPr>
            </w:pPr>
            <w:r>
              <w:rPr>
                <w:rFonts w:eastAsia="Times New Roman"/>
                <w:color w:val="000000"/>
                <w:sz w:val="18"/>
                <w:szCs w:val="18"/>
              </w:rPr>
              <w:t>633 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DAFAA5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25B035"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BE59F5E"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31FC93D" w14:textId="77777777" w:rsidR="00000000" w:rsidRDefault="00405D16">
            <w:pPr>
              <w:spacing w:after="100"/>
              <w:jc w:val="right"/>
              <w:rPr>
                <w:rFonts w:eastAsia="Times New Roman"/>
              </w:rPr>
            </w:pPr>
            <w:r>
              <w:rPr>
                <w:rFonts w:eastAsia="Times New Roman"/>
                <w:color w:val="000000"/>
                <w:sz w:val="18"/>
                <w:szCs w:val="18"/>
              </w:rPr>
              <w:t>106,956 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5781F2C" w14:textId="77777777" w:rsidR="00000000" w:rsidRDefault="00405D16">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62E8462D" w14:textId="77777777">
        <w:trPr>
          <w:jc w:val="center"/>
        </w:trPr>
        <w:tc>
          <w:tcPr>
            <w:tcW w:w="50" w:type="pct"/>
            <w:vAlign w:val="center"/>
            <w:hideMark/>
          </w:tcPr>
          <w:p w14:paraId="3FB16EC3" w14:textId="77777777" w:rsidR="00000000" w:rsidRDefault="00405D16">
            <w:pPr>
              <w:rPr>
                <w:rFonts w:eastAsia="Times New Roman"/>
              </w:rPr>
            </w:pPr>
          </w:p>
        </w:tc>
        <w:tc>
          <w:tcPr>
            <w:tcW w:w="1606" w:type="pct"/>
            <w:vAlign w:val="center"/>
            <w:hideMark/>
          </w:tcPr>
          <w:p w14:paraId="14F316EB" w14:textId="77777777" w:rsidR="00000000" w:rsidRDefault="00405D16">
            <w:pPr>
              <w:spacing w:after="100"/>
              <w:rPr>
                <w:rFonts w:eastAsia="Times New Roman"/>
                <w:sz w:val="20"/>
                <w:szCs w:val="20"/>
              </w:rPr>
            </w:pPr>
          </w:p>
        </w:tc>
        <w:tc>
          <w:tcPr>
            <w:tcW w:w="5" w:type="pct"/>
            <w:vAlign w:val="center"/>
            <w:hideMark/>
          </w:tcPr>
          <w:p w14:paraId="4CC2F44F" w14:textId="77777777" w:rsidR="00000000" w:rsidRDefault="00405D16">
            <w:pPr>
              <w:spacing w:after="100"/>
              <w:rPr>
                <w:rFonts w:eastAsia="Times New Roman"/>
                <w:sz w:val="20"/>
                <w:szCs w:val="20"/>
              </w:rPr>
            </w:pPr>
          </w:p>
        </w:tc>
        <w:tc>
          <w:tcPr>
            <w:tcW w:w="50" w:type="pct"/>
            <w:vAlign w:val="center"/>
            <w:hideMark/>
          </w:tcPr>
          <w:p w14:paraId="6E236AB7" w14:textId="77777777" w:rsidR="00000000" w:rsidRDefault="00405D16">
            <w:pPr>
              <w:spacing w:after="100"/>
              <w:rPr>
                <w:rFonts w:eastAsia="Times New Roman"/>
                <w:sz w:val="20"/>
                <w:szCs w:val="20"/>
              </w:rPr>
            </w:pPr>
          </w:p>
        </w:tc>
        <w:tc>
          <w:tcPr>
            <w:tcW w:w="1614" w:type="pct"/>
            <w:vAlign w:val="center"/>
            <w:hideMark/>
          </w:tcPr>
          <w:p w14:paraId="5FC1DD86" w14:textId="77777777" w:rsidR="00000000" w:rsidRDefault="00405D16">
            <w:pPr>
              <w:spacing w:after="100"/>
              <w:rPr>
                <w:rFonts w:eastAsia="Times New Roman"/>
                <w:sz w:val="20"/>
                <w:szCs w:val="20"/>
              </w:rPr>
            </w:pPr>
          </w:p>
        </w:tc>
        <w:tc>
          <w:tcPr>
            <w:tcW w:w="5" w:type="pct"/>
            <w:vAlign w:val="center"/>
            <w:hideMark/>
          </w:tcPr>
          <w:p w14:paraId="2B5C3F03" w14:textId="77777777" w:rsidR="00000000" w:rsidRDefault="00405D16">
            <w:pPr>
              <w:spacing w:after="100"/>
              <w:rPr>
                <w:rFonts w:eastAsia="Times New Roman"/>
                <w:sz w:val="20"/>
                <w:szCs w:val="20"/>
              </w:rPr>
            </w:pPr>
          </w:p>
        </w:tc>
        <w:tc>
          <w:tcPr>
            <w:tcW w:w="50" w:type="pct"/>
            <w:vAlign w:val="center"/>
            <w:hideMark/>
          </w:tcPr>
          <w:p w14:paraId="0CEA2E0F" w14:textId="77777777" w:rsidR="00000000" w:rsidRDefault="00405D16">
            <w:pPr>
              <w:spacing w:after="100"/>
              <w:rPr>
                <w:rFonts w:eastAsia="Times New Roman"/>
                <w:sz w:val="20"/>
                <w:szCs w:val="20"/>
              </w:rPr>
            </w:pPr>
          </w:p>
        </w:tc>
        <w:tc>
          <w:tcPr>
            <w:tcW w:w="1614" w:type="pct"/>
            <w:vAlign w:val="center"/>
            <w:hideMark/>
          </w:tcPr>
          <w:p w14:paraId="0EF5B25F" w14:textId="77777777" w:rsidR="00000000" w:rsidRDefault="00405D16">
            <w:pPr>
              <w:spacing w:after="100"/>
              <w:rPr>
                <w:rFonts w:eastAsia="Times New Roman"/>
                <w:sz w:val="20"/>
                <w:szCs w:val="20"/>
              </w:rPr>
            </w:pPr>
          </w:p>
        </w:tc>
        <w:tc>
          <w:tcPr>
            <w:tcW w:w="5" w:type="pct"/>
            <w:vAlign w:val="center"/>
            <w:hideMark/>
          </w:tcPr>
          <w:p w14:paraId="02C88D7A" w14:textId="77777777" w:rsidR="00000000" w:rsidRDefault="00405D16">
            <w:pPr>
              <w:spacing w:after="100"/>
              <w:rPr>
                <w:rFonts w:eastAsia="Times New Roman"/>
                <w:sz w:val="20"/>
                <w:szCs w:val="20"/>
              </w:rPr>
            </w:pPr>
          </w:p>
        </w:tc>
      </w:tr>
      <w:tr w:rsidR="00000000" w14:paraId="3D24AAAF" w14:textId="77777777">
        <w:trPr>
          <w:trHeight w:val="300"/>
          <w:jc w:val="center"/>
        </w:trPr>
        <w:tc>
          <w:tcPr>
            <w:tcW w:w="0" w:type="auto"/>
            <w:gridSpan w:val="9"/>
            <w:tcMar>
              <w:top w:w="0" w:type="dxa"/>
              <w:left w:w="20" w:type="dxa"/>
              <w:bottom w:w="0" w:type="dxa"/>
              <w:right w:w="20" w:type="dxa"/>
            </w:tcMar>
            <w:vAlign w:val="center"/>
            <w:hideMark/>
          </w:tcPr>
          <w:p w14:paraId="03D929C9" w14:textId="77777777" w:rsidR="00000000" w:rsidRDefault="00405D16">
            <w:pPr>
              <w:spacing w:after="100"/>
              <w:rPr>
                <w:rFonts w:eastAsia="Times New Roman"/>
                <w:sz w:val="20"/>
                <w:szCs w:val="20"/>
              </w:rPr>
            </w:pPr>
          </w:p>
        </w:tc>
      </w:tr>
      <w:tr w:rsidR="00000000" w14:paraId="7B125A48" w14:textId="77777777">
        <w:trPr>
          <w:jc w:val="center"/>
        </w:trPr>
        <w:tc>
          <w:tcPr>
            <w:tcW w:w="0" w:type="auto"/>
            <w:gridSpan w:val="3"/>
            <w:tcMar>
              <w:top w:w="0" w:type="dxa"/>
              <w:left w:w="20" w:type="dxa"/>
              <w:bottom w:w="0" w:type="dxa"/>
              <w:right w:w="20" w:type="dxa"/>
            </w:tcMar>
            <w:vAlign w:val="center"/>
            <w:hideMark/>
          </w:tcPr>
          <w:p w14:paraId="42B4CAEC"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CD9A749" w14:textId="77777777" w:rsidR="00000000" w:rsidRDefault="00405D16">
            <w:pPr>
              <w:spacing w:after="100"/>
              <w:jc w:val="center"/>
              <w:rPr>
                <w:rFonts w:eastAsia="Times New Roman"/>
              </w:rPr>
            </w:pPr>
            <w:r>
              <w:rPr>
                <w:rFonts w:eastAsia="Times New Roman"/>
                <w:color w:val="000000"/>
                <w:sz w:val="16"/>
                <w:szCs w:val="16"/>
              </w:rPr>
              <w:t>84</w:t>
            </w:r>
          </w:p>
        </w:tc>
        <w:tc>
          <w:tcPr>
            <w:tcW w:w="0" w:type="auto"/>
            <w:gridSpan w:val="3"/>
            <w:tcMar>
              <w:top w:w="30" w:type="dxa"/>
              <w:left w:w="20" w:type="dxa"/>
              <w:bottom w:w="30" w:type="dxa"/>
              <w:right w:w="20" w:type="dxa"/>
            </w:tcMar>
            <w:vAlign w:val="bottom"/>
            <w:hideMark/>
          </w:tcPr>
          <w:p w14:paraId="34F37669"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0A1E6895" w14:textId="77777777" w:rsidR="00000000" w:rsidRDefault="00405D16">
      <w:pPr>
        <w:rPr>
          <w:rFonts w:eastAsia="Times New Roman"/>
        </w:rPr>
      </w:pPr>
      <w:r>
        <w:rPr>
          <w:rFonts w:eastAsia="Times New Roman"/>
        </w:rPr>
        <w:pict w14:anchorId="17EF9F42">
          <v:rect id="_x0000_i1109" style="width:0;height:1.5pt" o:hralign="center" o:hrstd="t" o:hr="t" fillcolor="#a0a0a0" stroked="f"/>
        </w:pict>
      </w:r>
    </w:p>
    <w:p w14:paraId="4B9EC94F" w14:textId="77777777" w:rsidR="00000000" w:rsidRDefault="00405D16">
      <w:pPr>
        <w:jc w:val="both"/>
        <w:divId w:val="958800758"/>
        <w:rPr>
          <w:rFonts w:eastAsia="Times New Roman"/>
        </w:rPr>
      </w:pPr>
      <w:hyperlink w:anchor="idd54a04a485440b4ab4e56094c14d612_13" w:history="1">
        <w:r>
          <w:rPr>
            <w:rStyle w:val="a3"/>
            <w:rFonts w:eastAsia="Times New Roman"/>
            <w:sz w:val="16"/>
            <w:szCs w:val="16"/>
          </w:rPr>
          <w:t>Table of Contents</w:t>
        </w:r>
      </w:hyperlink>
    </w:p>
    <w:p w14:paraId="259DC9D9" w14:textId="77777777" w:rsidR="00000000" w:rsidRDefault="00405D16">
      <w:pPr>
        <w:jc w:val="center"/>
        <w:divId w:val="958800758"/>
        <w:rPr>
          <w:rFonts w:eastAsia="Times New Roman"/>
        </w:rPr>
      </w:pPr>
    </w:p>
    <w:p w14:paraId="31553DC2" w14:textId="77777777" w:rsidR="00000000" w:rsidRDefault="00405D16">
      <w:pPr>
        <w:divId w:val="1808400556"/>
        <w:rPr>
          <w:rFonts w:eastAsia="Times New Roman"/>
        </w:rPr>
      </w:pPr>
      <w:r>
        <w:rPr>
          <w:rFonts w:eastAsia="Times New Roman"/>
          <w:b/>
          <w:bCs/>
          <w:i/>
          <w:iCs/>
          <w:color w:val="000000"/>
          <w:sz w:val="20"/>
          <w:szCs w:val="20"/>
        </w:rPr>
        <w:t>Consumer Banking</w:t>
      </w:r>
    </w:p>
    <w:p w14:paraId="2E2F1099" w14:textId="77777777" w:rsidR="00000000" w:rsidRDefault="00405D16">
      <w:pPr>
        <w:jc w:val="both"/>
        <w:divId w:val="1370182282"/>
        <w:rPr>
          <w:rFonts w:eastAsia="Times New Roman"/>
        </w:rPr>
      </w:pPr>
      <w:r>
        <w:rPr>
          <w:rFonts w:eastAsia="Times New Roman"/>
          <w:color w:val="000000"/>
          <w:sz w:val="20"/>
          <w:szCs w:val="20"/>
        </w:rPr>
        <w:t>Our consumer banking loan portfolio consists of auto and retail banking loans. Similar to our credit card loan portfolio, the risk in our consumer banking loan portfolio correlates to broad economic trends, such as unemployment rates, gross domestic produc</w:t>
      </w:r>
      <w:r>
        <w:rPr>
          <w:rFonts w:eastAsia="Times New Roman"/>
          <w:color w:val="000000"/>
          <w:sz w:val="20"/>
          <w:szCs w:val="20"/>
        </w:rPr>
        <w:t>t and home values, as well as consumers’ financial condition, all of which can have a material effect on credit performance. The key indicator we monitor when assessing the credit quality and risk of our auto loan portfolio is borrower credit scores as the</w:t>
      </w:r>
      <w:r>
        <w:rPr>
          <w:rFonts w:eastAsia="Times New Roman"/>
          <w:color w:val="000000"/>
          <w:sz w:val="20"/>
          <w:szCs w:val="20"/>
        </w:rPr>
        <w:t xml:space="preserve">y measure the creditworthiness of borrowers. Delinquency trends are the key indicator we assess in monitoring the credit quality and risk of our retail banking loan portfolio. </w:t>
      </w:r>
    </w:p>
    <w:p w14:paraId="5E9C7E3E" w14:textId="77777777" w:rsidR="00000000" w:rsidRDefault="00405D16">
      <w:pPr>
        <w:jc w:val="both"/>
        <w:divId w:val="450393792"/>
        <w:rPr>
          <w:rFonts w:eastAsia="Times New Roman"/>
        </w:rPr>
      </w:pPr>
      <w:r>
        <w:rPr>
          <w:rFonts w:eastAsia="Times New Roman"/>
          <w:color w:val="000000"/>
          <w:sz w:val="20"/>
          <w:szCs w:val="20"/>
        </w:rPr>
        <w:t>The table below presents our consumer banking portfolio of loans held for inves</w:t>
      </w:r>
      <w:r>
        <w:rPr>
          <w:rFonts w:eastAsia="Times New Roman"/>
          <w:color w:val="000000"/>
          <w:sz w:val="20"/>
          <w:szCs w:val="20"/>
        </w:rPr>
        <w:t>tment by credit quality indicator as of September 30, 2021 and December 31, 2020. We present our auto loan portfolio by FICO scores at origination and our retail banking loan portfolio by delinquency status, which includes all past due loans, both performi</w:t>
      </w:r>
      <w:r>
        <w:rPr>
          <w:rFonts w:eastAsia="Times New Roman"/>
          <w:color w:val="000000"/>
          <w:sz w:val="20"/>
          <w:szCs w:val="20"/>
        </w:rPr>
        <w:t xml:space="preserve">ng and nonperforming. </w:t>
      </w:r>
    </w:p>
    <w:p w14:paraId="34A4075C" w14:textId="77777777" w:rsidR="00000000" w:rsidRDefault="00405D16">
      <w:pPr>
        <w:divId w:val="1411266444"/>
        <w:rPr>
          <w:rFonts w:eastAsia="Times New Roman"/>
        </w:rPr>
      </w:pPr>
      <w:r>
        <w:rPr>
          <w:rFonts w:eastAsia="Times New Roman"/>
          <w:b/>
          <w:bCs/>
          <w:color w:val="000000"/>
          <w:sz w:val="18"/>
          <w:szCs w:val="18"/>
        </w:rPr>
        <w:t>Table 3.4: Consumer Banking Portfolio by Credit Quality Indicator</w:t>
      </w:r>
    </w:p>
    <w:tbl>
      <w:tblPr>
        <w:tblW w:w="5000" w:type="pct"/>
        <w:tblCellMar>
          <w:top w:w="15" w:type="dxa"/>
          <w:left w:w="15" w:type="dxa"/>
          <w:bottom w:w="15" w:type="dxa"/>
          <w:right w:w="15" w:type="dxa"/>
        </w:tblCellMar>
        <w:tblLook w:val="04A0" w:firstRow="1" w:lastRow="0" w:firstColumn="1" w:lastColumn="0" w:noHBand="0" w:noVBand="1"/>
      </w:tblPr>
      <w:tblGrid>
        <w:gridCol w:w="49"/>
        <w:gridCol w:w="95"/>
        <w:gridCol w:w="853"/>
        <w:gridCol w:w="39"/>
        <w:gridCol w:w="36"/>
        <w:gridCol w:w="36"/>
        <w:gridCol w:w="36"/>
        <w:gridCol w:w="110"/>
        <w:gridCol w:w="540"/>
        <w:gridCol w:w="36"/>
        <w:gridCol w:w="36"/>
        <w:gridCol w:w="36"/>
        <w:gridCol w:w="36"/>
        <w:gridCol w:w="110"/>
        <w:gridCol w:w="540"/>
        <w:gridCol w:w="36"/>
        <w:gridCol w:w="36"/>
        <w:gridCol w:w="36"/>
        <w:gridCol w:w="36"/>
        <w:gridCol w:w="75"/>
        <w:gridCol w:w="35"/>
        <w:gridCol w:w="109"/>
        <w:gridCol w:w="144"/>
        <w:gridCol w:w="287"/>
        <w:gridCol w:w="36"/>
        <w:gridCol w:w="36"/>
        <w:gridCol w:w="36"/>
        <w:gridCol w:w="36"/>
        <w:gridCol w:w="110"/>
        <w:gridCol w:w="450"/>
        <w:gridCol w:w="36"/>
        <w:gridCol w:w="36"/>
        <w:gridCol w:w="36"/>
        <w:gridCol w:w="36"/>
        <w:gridCol w:w="110"/>
        <w:gridCol w:w="450"/>
        <w:gridCol w:w="36"/>
        <w:gridCol w:w="36"/>
        <w:gridCol w:w="36"/>
        <w:gridCol w:w="36"/>
        <w:gridCol w:w="110"/>
        <w:gridCol w:w="450"/>
        <w:gridCol w:w="36"/>
        <w:gridCol w:w="36"/>
        <w:gridCol w:w="36"/>
        <w:gridCol w:w="36"/>
        <w:gridCol w:w="110"/>
        <w:gridCol w:w="23"/>
        <w:gridCol w:w="144"/>
        <w:gridCol w:w="144"/>
        <w:gridCol w:w="229"/>
        <w:gridCol w:w="36"/>
        <w:gridCol w:w="36"/>
        <w:gridCol w:w="36"/>
        <w:gridCol w:w="36"/>
        <w:gridCol w:w="111"/>
        <w:gridCol w:w="581"/>
        <w:gridCol w:w="36"/>
        <w:gridCol w:w="36"/>
        <w:gridCol w:w="36"/>
        <w:gridCol w:w="36"/>
        <w:gridCol w:w="111"/>
        <w:gridCol w:w="630"/>
        <w:gridCol w:w="36"/>
        <w:gridCol w:w="36"/>
        <w:gridCol w:w="36"/>
        <w:gridCol w:w="36"/>
        <w:gridCol w:w="110"/>
        <w:gridCol w:w="472"/>
        <w:gridCol w:w="68"/>
        <w:gridCol w:w="36"/>
        <w:gridCol w:w="40"/>
      </w:tblGrid>
      <w:tr w:rsidR="00000000" w14:paraId="3D39FF35" w14:textId="77777777">
        <w:trPr>
          <w:gridAfter w:val="1"/>
          <w:divId w:val="1051461310"/>
        </w:trPr>
        <w:tc>
          <w:tcPr>
            <w:tcW w:w="50" w:type="pct"/>
            <w:vAlign w:val="center"/>
            <w:hideMark/>
          </w:tcPr>
          <w:p w14:paraId="13BB3169" w14:textId="77777777" w:rsidR="00000000" w:rsidRDefault="00405D16">
            <w:pPr>
              <w:rPr>
                <w:rFonts w:eastAsia="Times New Roman"/>
              </w:rPr>
            </w:pPr>
          </w:p>
        </w:tc>
        <w:tc>
          <w:tcPr>
            <w:tcW w:w="968" w:type="pct"/>
            <w:gridSpan w:val="2"/>
            <w:vAlign w:val="center"/>
            <w:hideMark/>
          </w:tcPr>
          <w:p w14:paraId="0F634C95" w14:textId="77777777" w:rsidR="00000000" w:rsidRDefault="00405D16">
            <w:pPr>
              <w:spacing w:after="100"/>
              <w:rPr>
                <w:rFonts w:eastAsia="Times New Roman"/>
                <w:sz w:val="20"/>
                <w:szCs w:val="20"/>
              </w:rPr>
            </w:pPr>
          </w:p>
        </w:tc>
        <w:tc>
          <w:tcPr>
            <w:tcW w:w="5" w:type="pct"/>
            <w:vAlign w:val="center"/>
            <w:hideMark/>
          </w:tcPr>
          <w:p w14:paraId="6F7DB5E2" w14:textId="77777777" w:rsidR="00000000" w:rsidRDefault="00405D16">
            <w:pPr>
              <w:spacing w:after="100"/>
              <w:rPr>
                <w:rFonts w:eastAsia="Times New Roman"/>
                <w:sz w:val="20"/>
                <w:szCs w:val="20"/>
              </w:rPr>
            </w:pPr>
          </w:p>
        </w:tc>
        <w:tc>
          <w:tcPr>
            <w:tcW w:w="5" w:type="pct"/>
            <w:vAlign w:val="center"/>
            <w:hideMark/>
          </w:tcPr>
          <w:p w14:paraId="44B7A36D" w14:textId="77777777" w:rsidR="00000000" w:rsidRDefault="00405D16">
            <w:pPr>
              <w:spacing w:after="100"/>
              <w:rPr>
                <w:rFonts w:eastAsia="Times New Roman"/>
                <w:sz w:val="20"/>
                <w:szCs w:val="20"/>
              </w:rPr>
            </w:pPr>
          </w:p>
        </w:tc>
        <w:tc>
          <w:tcPr>
            <w:tcW w:w="26" w:type="pct"/>
            <w:vAlign w:val="center"/>
            <w:hideMark/>
          </w:tcPr>
          <w:p w14:paraId="54055E0B" w14:textId="77777777" w:rsidR="00000000" w:rsidRDefault="00405D16">
            <w:pPr>
              <w:spacing w:after="100"/>
              <w:rPr>
                <w:rFonts w:eastAsia="Times New Roman"/>
                <w:sz w:val="20"/>
                <w:szCs w:val="20"/>
              </w:rPr>
            </w:pPr>
          </w:p>
        </w:tc>
        <w:tc>
          <w:tcPr>
            <w:tcW w:w="5" w:type="pct"/>
            <w:vAlign w:val="center"/>
            <w:hideMark/>
          </w:tcPr>
          <w:p w14:paraId="6CF5B6D7" w14:textId="77777777" w:rsidR="00000000" w:rsidRDefault="00405D16">
            <w:pPr>
              <w:spacing w:after="100"/>
              <w:rPr>
                <w:rFonts w:eastAsia="Times New Roman"/>
                <w:sz w:val="20"/>
                <w:szCs w:val="20"/>
              </w:rPr>
            </w:pPr>
          </w:p>
        </w:tc>
        <w:tc>
          <w:tcPr>
            <w:tcW w:w="50" w:type="pct"/>
            <w:vAlign w:val="center"/>
            <w:hideMark/>
          </w:tcPr>
          <w:p w14:paraId="2974570F" w14:textId="77777777" w:rsidR="00000000" w:rsidRDefault="00405D16">
            <w:pPr>
              <w:spacing w:after="100"/>
              <w:rPr>
                <w:rFonts w:eastAsia="Times New Roman"/>
                <w:sz w:val="20"/>
                <w:szCs w:val="20"/>
              </w:rPr>
            </w:pPr>
          </w:p>
        </w:tc>
        <w:tc>
          <w:tcPr>
            <w:tcW w:w="295" w:type="pct"/>
            <w:vAlign w:val="center"/>
            <w:hideMark/>
          </w:tcPr>
          <w:p w14:paraId="6F3CA526" w14:textId="77777777" w:rsidR="00000000" w:rsidRDefault="00405D16">
            <w:pPr>
              <w:spacing w:after="100"/>
              <w:rPr>
                <w:rFonts w:eastAsia="Times New Roman"/>
                <w:sz w:val="20"/>
                <w:szCs w:val="20"/>
              </w:rPr>
            </w:pPr>
          </w:p>
        </w:tc>
        <w:tc>
          <w:tcPr>
            <w:tcW w:w="5" w:type="pct"/>
            <w:vAlign w:val="center"/>
            <w:hideMark/>
          </w:tcPr>
          <w:p w14:paraId="0498A6AF" w14:textId="77777777" w:rsidR="00000000" w:rsidRDefault="00405D16">
            <w:pPr>
              <w:spacing w:after="100"/>
              <w:rPr>
                <w:rFonts w:eastAsia="Times New Roman"/>
                <w:sz w:val="20"/>
                <w:szCs w:val="20"/>
              </w:rPr>
            </w:pPr>
          </w:p>
        </w:tc>
        <w:tc>
          <w:tcPr>
            <w:tcW w:w="5" w:type="pct"/>
            <w:vAlign w:val="center"/>
            <w:hideMark/>
          </w:tcPr>
          <w:p w14:paraId="6F3F2F0F" w14:textId="77777777" w:rsidR="00000000" w:rsidRDefault="00405D16">
            <w:pPr>
              <w:spacing w:after="100"/>
              <w:rPr>
                <w:rFonts w:eastAsia="Times New Roman"/>
                <w:sz w:val="20"/>
                <w:szCs w:val="20"/>
              </w:rPr>
            </w:pPr>
          </w:p>
        </w:tc>
        <w:tc>
          <w:tcPr>
            <w:tcW w:w="26" w:type="pct"/>
            <w:vAlign w:val="center"/>
            <w:hideMark/>
          </w:tcPr>
          <w:p w14:paraId="65FD4816" w14:textId="77777777" w:rsidR="00000000" w:rsidRDefault="00405D16">
            <w:pPr>
              <w:spacing w:after="100"/>
              <w:rPr>
                <w:rFonts w:eastAsia="Times New Roman"/>
                <w:sz w:val="20"/>
                <w:szCs w:val="20"/>
              </w:rPr>
            </w:pPr>
          </w:p>
        </w:tc>
        <w:tc>
          <w:tcPr>
            <w:tcW w:w="5" w:type="pct"/>
            <w:vAlign w:val="center"/>
            <w:hideMark/>
          </w:tcPr>
          <w:p w14:paraId="40C354BA" w14:textId="77777777" w:rsidR="00000000" w:rsidRDefault="00405D16">
            <w:pPr>
              <w:spacing w:after="100"/>
              <w:rPr>
                <w:rFonts w:eastAsia="Times New Roman"/>
                <w:sz w:val="20"/>
                <w:szCs w:val="20"/>
              </w:rPr>
            </w:pPr>
          </w:p>
        </w:tc>
        <w:tc>
          <w:tcPr>
            <w:tcW w:w="50" w:type="pct"/>
            <w:vAlign w:val="center"/>
            <w:hideMark/>
          </w:tcPr>
          <w:p w14:paraId="20962A28" w14:textId="77777777" w:rsidR="00000000" w:rsidRDefault="00405D16">
            <w:pPr>
              <w:spacing w:after="100"/>
              <w:rPr>
                <w:rFonts w:eastAsia="Times New Roman"/>
                <w:sz w:val="20"/>
                <w:szCs w:val="20"/>
              </w:rPr>
            </w:pPr>
          </w:p>
        </w:tc>
        <w:tc>
          <w:tcPr>
            <w:tcW w:w="295" w:type="pct"/>
            <w:vAlign w:val="center"/>
            <w:hideMark/>
          </w:tcPr>
          <w:p w14:paraId="3BDBF80E" w14:textId="77777777" w:rsidR="00000000" w:rsidRDefault="00405D16">
            <w:pPr>
              <w:spacing w:after="100"/>
              <w:rPr>
                <w:rFonts w:eastAsia="Times New Roman"/>
                <w:sz w:val="20"/>
                <w:szCs w:val="20"/>
              </w:rPr>
            </w:pPr>
          </w:p>
        </w:tc>
        <w:tc>
          <w:tcPr>
            <w:tcW w:w="5" w:type="pct"/>
            <w:vAlign w:val="center"/>
            <w:hideMark/>
          </w:tcPr>
          <w:p w14:paraId="00C7FB6B" w14:textId="77777777" w:rsidR="00000000" w:rsidRDefault="00405D16">
            <w:pPr>
              <w:spacing w:after="100"/>
              <w:rPr>
                <w:rFonts w:eastAsia="Times New Roman"/>
                <w:sz w:val="20"/>
                <w:szCs w:val="20"/>
              </w:rPr>
            </w:pPr>
          </w:p>
        </w:tc>
        <w:tc>
          <w:tcPr>
            <w:tcW w:w="5" w:type="pct"/>
            <w:vAlign w:val="center"/>
            <w:hideMark/>
          </w:tcPr>
          <w:p w14:paraId="1304F28B" w14:textId="77777777" w:rsidR="00000000" w:rsidRDefault="00405D16">
            <w:pPr>
              <w:spacing w:after="100"/>
              <w:rPr>
                <w:rFonts w:eastAsia="Times New Roman"/>
                <w:sz w:val="20"/>
                <w:szCs w:val="20"/>
              </w:rPr>
            </w:pPr>
          </w:p>
        </w:tc>
        <w:tc>
          <w:tcPr>
            <w:tcW w:w="26" w:type="pct"/>
            <w:vAlign w:val="center"/>
            <w:hideMark/>
          </w:tcPr>
          <w:p w14:paraId="3FD97A97" w14:textId="77777777" w:rsidR="00000000" w:rsidRDefault="00405D16">
            <w:pPr>
              <w:spacing w:after="100"/>
              <w:rPr>
                <w:rFonts w:eastAsia="Times New Roman"/>
                <w:sz w:val="20"/>
                <w:szCs w:val="20"/>
              </w:rPr>
            </w:pPr>
          </w:p>
        </w:tc>
        <w:tc>
          <w:tcPr>
            <w:tcW w:w="5" w:type="pct"/>
            <w:vAlign w:val="center"/>
            <w:hideMark/>
          </w:tcPr>
          <w:p w14:paraId="1540CBC3" w14:textId="77777777" w:rsidR="00000000" w:rsidRDefault="00405D16">
            <w:pPr>
              <w:spacing w:after="100"/>
              <w:rPr>
                <w:rFonts w:eastAsia="Times New Roman"/>
                <w:sz w:val="20"/>
                <w:szCs w:val="20"/>
              </w:rPr>
            </w:pPr>
          </w:p>
        </w:tc>
        <w:tc>
          <w:tcPr>
            <w:tcW w:w="50" w:type="pct"/>
            <w:gridSpan w:val="2"/>
            <w:vAlign w:val="center"/>
            <w:hideMark/>
          </w:tcPr>
          <w:p w14:paraId="71D5ABFD" w14:textId="77777777" w:rsidR="00000000" w:rsidRDefault="00405D16">
            <w:pPr>
              <w:spacing w:after="100"/>
              <w:rPr>
                <w:rFonts w:eastAsia="Times New Roman"/>
                <w:sz w:val="20"/>
                <w:szCs w:val="20"/>
              </w:rPr>
            </w:pPr>
          </w:p>
        </w:tc>
        <w:tc>
          <w:tcPr>
            <w:tcW w:w="295" w:type="pct"/>
            <w:gridSpan w:val="3"/>
            <w:vAlign w:val="center"/>
            <w:hideMark/>
          </w:tcPr>
          <w:p w14:paraId="2D33F2EF" w14:textId="77777777" w:rsidR="00000000" w:rsidRDefault="00405D16">
            <w:pPr>
              <w:spacing w:after="100"/>
              <w:rPr>
                <w:rFonts w:eastAsia="Times New Roman"/>
                <w:sz w:val="20"/>
                <w:szCs w:val="20"/>
              </w:rPr>
            </w:pPr>
          </w:p>
        </w:tc>
        <w:tc>
          <w:tcPr>
            <w:tcW w:w="5" w:type="pct"/>
            <w:vAlign w:val="center"/>
            <w:hideMark/>
          </w:tcPr>
          <w:p w14:paraId="3CFB9590" w14:textId="77777777" w:rsidR="00000000" w:rsidRDefault="00405D16">
            <w:pPr>
              <w:spacing w:after="100"/>
              <w:rPr>
                <w:rFonts w:eastAsia="Times New Roman"/>
                <w:sz w:val="20"/>
                <w:szCs w:val="20"/>
              </w:rPr>
            </w:pPr>
          </w:p>
        </w:tc>
        <w:tc>
          <w:tcPr>
            <w:tcW w:w="5" w:type="pct"/>
            <w:vAlign w:val="center"/>
            <w:hideMark/>
          </w:tcPr>
          <w:p w14:paraId="1AA58DE1" w14:textId="77777777" w:rsidR="00000000" w:rsidRDefault="00405D16">
            <w:pPr>
              <w:spacing w:after="100"/>
              <w:rPr>
                <w:rFonts w:eastAsia="Times New Roman"/>
                <w:sz w:val="20"/>
                <w:szCs w:val="20"/>
              </w:rPr>
            </w:pPr>
          </w:p>
        </w:tc>
        <w:tc>
          <w:tcPr>
            <w:tcW w:w="26" w:type="pct"/>
            <w:vAlign w:val="center"/>
            <w:hideMark/>
          </w:tcPr>
          <w:p w14:paraId="5C40BF09" w14:textId="77777777" w:rsidR="00000000" w:rsidRDefault="00405D16">
            <w:pPr>
              <w:spacing w:after="100"/>
              <w:rPr>
                <w:rFonts w:eastAsia="Times New Roman"/>
                <w:sz w:val="20"/>
                <w:szCs w:val="20"/>
              </w:rPr>
            </w:pPr>
          </w:p>
        </w:tc>
        <w:tc>
          <w:tcPr>
            <w:tcW w:w="5" w:type="pct"/>
            <w:vAlign w:val="center"/>
            <w:hideMark/>
          </w:tcPr>
          <w:p w14:paraId="3AEDB55B" w14:textId="77777777" w:rsidR="00000000" w:rsidRDefault="00405D16">
            <w:pPr>
              <w:spacing w:after="100"/>
              <w:rPr>
                <w:rFonts w:eastAsia="Times New Roman"/>
                <w:sz w:val="20"/>
                <w:szCs w:val="20"/>
              </w:rPr>
            </w:pPr>
          </w:p>
        </w:tc>
        <w:tc>
          <w:tcPr>
            <w:tcW w:w="50" w:type="pct"/>
            <w:vAlign w:val="center"/>
            <w:hideMark/>
          </w:tcPr>
          <w:p w14:paraId="4C532BEA" w14:textId="77777777" w:rsidR="00000000" w:rsidRDefault="00405D16">
            <w:pPr>
              <w:spacing w:after="100"/>
              <w:rPr>
                <w:rFonts w:eastAsia="Times New Roman"/>
                <w:sz w:val="20"/>
                <w:szCs w:val="20"/>
              </w:rPr>
            </w:pPr>
          </w:p>
        </w:tc>
        <w:tc>
          <w:tcPr>
            <w:tcW w:w="295" w:type="pct"/>
            <w:vAlign w:val="center"/>
            <w:hideMark/>
          </w:tcPr>
          <w:p w14:paraId="2DC89144" w14:textId="77777777" w:rsidR="00000000" w:rsidRDefault="00405D16">
            <w:pPr>
              <w:spacing w:after="100"/>
              <w:rPr>
                <w:rFonts w:eastAsia="Times New Roman"/>
                <w:sz w:val="20"/>
                <w:szCs w:val="20"/>
              </w:rPr>
            </w:pPr>
          </w:p>
        </w:tc>
        <w:tc>
          <w:tcPr>
            <w:tcW w:w="5" w:type="pct"/>
            <w:vAlign w:val="center"/>
            <w:hideMark/>
          </w:tcPr>
          <w:p w14:paraId="0279AEB4" w14:textId="77777777" w:rsidR="00000000" w:rsidRDefault="00405D16">
            <w:pPr>
              <w:spacing w:after="100"/>
              <w:rPr>
                <w:rFonts w:eastAsia="Times New Roman"/>
                <w:sz w:val="20"/>
                <w:szCs w:val="20"/>
              </w:rPr>
            </w:pPr>
          </w:p>
        </w:tc>
        <w:tc>
          <w:tcPr>
            <w:tcW w:w="5" w:type="pct"/>
            <w:vAlign w:val="center"/>
            <w:hideMark/>
          </w:tcPr>
          <w:p w14:paraId="112FF06E" w14:textId="77777777" w:rsidR="00000000" w:rsidRDefault="00405D16">
            <w:pPr>
              <w:spacing w:after="100"/>
              <w:rPr>
                <w:rFonts w:eastAsia="Times New Roman"/>
                <w:sz w:val="20"/>
                <w:szCs w:val="20"/>
              </w:rPr>
            </w:pPr>
          </w:p>
        </w:tc>
        <w:tc>
          <w:tcPr>
            <w:tcW w:w="26" w:type="pct"/>
            <w:vAlign w:val="center"/>
            <w:hideMark/>
          </w:tcPr>
          <w:p w14:paraId="772778E9" w14:textId="77777777" w:rsidR="00000000" w:rsidRDefault="00405D16">
            <w:pPr>
              <w:spacing w:after="100"/>
              <w:rPr>
                <w:rFonts w:eastAsia="Times New Roman"/>
                <w:sz w:val="20"/>
                <w:szCs w:val="20"/>
              </w:rPr>
            </w:pPr>
          </w:p>
        </w:tc>
        <w:tc>
          <w:tcPr>
            <w:tcW w:w="5" w:type="pct"/>
            <w:vAlign w:val="center"/>
            <w:hideMark/>
          </w:tcPr>
          <w:p w14:paraId="40568864" w14:textId="77777777" w:rsidR="00000000" w:rsidRDefault="00405D16">
            <w:pPr>
              <w:spacing w:after="100"/>
              <w:rPr>
                <w:rFonts w:eastAsia="Times New Roman"/>
                <w:sz w:val="20"/>
                <w:szCs w:val="20"/>
              </w:rPr>
            </w:pPr>
          </w:p>
        </w:tc>
        <w:tc>
          <w:tcPr>
            <w:tcW w:w="50" w:type="pct"/>
            <w:vAlign w:val="center"/>
            <w:hideMark/>
          </w:tcPr>
          <w:p w14:paraId="52BB4702" w14:textId="77777777" w:rsidR="00000000" w:rsidRDefault="00405D16">
            <w:pPr>
              <w:spacing w:after="100"/>
              <w:rPr>
                <w:rFonts w:eastAsia="Times New Roman"/>
                <w:sz w:val="20"/>
                <w:szCs w:val="20"/>
              </w:rPr>
            </w:pPr>
          </w:p>
        </w:tc>
        <w:tc>
          <w:tcPr>
            <w:tcW w:w="295" w:type="pct"/>
            <w:vAlign w:val="center"/>
            <w:hideMark/>
          </w:tcPr>
          <w:p w14:paraId="759FFA08" w14:textId="77777777" w:rsidR="00000000" w:rsidRDefault="00405D16">
            <w:pPr>
              <w:spacing w:after="100"/>
              <w:rPr>
                <w:rFonts w:eastAsia="Times New Roman"/>
                <w:sz w:val="20"/>
                <w:szCs w:val="20"/>
              </w:rPr>
            </w:pPr>
          </w:p>
        </w:tc>
        <w:tc>
          <w:tcPr>
            <w:tcW w:w="5" w:type="pct"/>
            <w:vAlign w:val="center"/>
            <w:hideMark/>
          </w:tcPr>
          <w:p w14:paraId="1547EABD" w14:textId="77777777" w:rsidR="00000000" w:rsidRDefault="00405D16">
            <w:pPr>
              <w:spacing w:after="100"/>
              <w:rPr>
                <w:rFonts w:eastAsia="Times New Roman"/>
                <w:sz w:val="20"/>
                <w:szCs w:val="20"/>
              </w:rPr>
            </w:pPr>
          </w:p>
        </w:tc>
        <w:tc>
          <w:tcPr>
            <w:tcW w:w="5" w:type="pct"/>
            <w:vAlign w:val="center"/>
            <w:hideMark/>
          </w:tcPr>
          <w:p w14:paraId="03050272" w14:textId="77777777" w:rsidR="00000000" w:rsidRDefault="00405D16">
            <w:pPr>
              <w:spacing w:after="100"/>
              <w:rPr>
                <w:rFonts w:eastAsia="Times New Roman"/>
                <w:sz w:val="20"/>
                <w:szCs w:val="20"/>
              </w:rPr>
            </w:pPr>
          </w:p>
        </w:tc>
        <w:tc>
          <w:tcPr>
            <w:tcW w:w="26" w:type="pct"/>
            <w:vAlign w:val="center"/>
            <w:hideMark/>
          </w:tcPr>
          <w:p w14:paraId="723B8236" w14:textId="77777777" w:rsidR="00000000" w:rsidRDefault="00405D16">
            <w:pPr>
              <w:spacing w:after="100"/>
              <w:rPr>
                <w:rFonts w:eastAsia="Times New Roman"/>
                <w:sz w:val="20"/>
                <w:szCs w:val="20"/>
              </w:rPr>
            </w:pPr>
          </w:p>
        </w:tc>
        <w:tc>
          <w:tcPr>
            <w:tcW w:w="5" w:type="pct"/>
            <w:vAlign w:val="center"/>
            <w:hideMark/>
          </w:tcPr>
          <w:p w14:paraId="6FFF57AA" w14:textId="77777777" w:rsidR="00000000" w:rsidRDefault="00405D16">
            <w:pPr>
              <w:spacing w:after="100"/>
              <w:rPr>
                <w:rFonts w:eastAsia="Times New Roman"/>
                <w:sz w:val="20"/>
                <w:szCs w:val="20"/>
              </w:rPr>
            </w:pPr>
          </w:p>
        </w:tc>
        <w:tc>
          <w:tcPr>
            <w:tcW w:w="50" w:type="pct"/>
            <w:vAlign w:val="center"/>
            <w:hideMark/>
          </w:tcPr>
          <w:p w14:paraId="31D303E1" w14:textId="77777777" w:rsidR="00000000" w:rsidRDefault="00405D16">
            <w:pPr>
              <w:spacing w:after="100"/>
              <w:rPr>
                <w:rFonts w:eastAsia="Times New Roman"/>
                <w:sz w:val="20"/>
                <w:szCs w:val="20"/>
              </w:rPr>
            </w:pPr>
          </w:p>
        </w:tc>
        <w:tc>
          <w:tcPr>
            <w:tcW w:w="266" w:type="pct"/>
            <w:vAlign w:val="center"/>
            <w:hideMark/>
          </w:tcPr>
          <w:p w14:paraId="0748909B" w14:textId="77777777" w:rsidR="00000000" w:rsidRDefault="00405D16">
            <w:pPr>
              <w:spacing w:after="100"/>
              <w:rPr>
                <w:rFonts w:eastAsia="Times New Roman"/>
                <w:sz w:val="20"/>
                <w:szCs w:val="20"/>
              </w:rPr>
            </w:pPr>
          </w:p>
        </w:tc>
        <w:tc>
          <w:tcPr>
            <w:tcW w:w="5" w:type="pct"/>
            <w:vAlign w:val="center"/>
            <w:hideMark/>
          </w:tcPr>
          <w:p w14:paraId="05E030D3" w14:textId="77777777" w:rsidR="00000000" w:rsidRDefault="00405D16">
            <w:pPr>
              <w:spacing w:after="100"/>
              <w:rPr>
                <w:rFonts w:eastAsia="Times New Roman"/>
                <w:sz w:val="20"/>
                <w:szCs w:val="20"/>
              </w:rPr>
            </w:pPr>
          </w:p>
        </w:tc>
        <w:tc>
          <w:tcPr>
            <w:tcW w:w="5" w:type="pct"/>
            <w:vAlign w:val="center"/>
            <w:hideMark/>
          </w:tcPr>
          <w:p w14:paraId="04BDD012" w14:textId="77777777" w:rsidR="00000000" w:rsidRDefault="00405D16">
            <w:pPr>
              <w:spacing w:after="100"/>
              <w:rPr>
                <w:rFonts w:eastAsia="Times New Roman"/>
                <w:sz w:val="20"/>
                <w:szCs w:val="20"/>
              </w:rPr>
            </w:pPr>
          </w:p>
        </w:tc>
        <w:tc>
          <w:tcPr>
            <w:tcW w:w="26" w:type="pct"/>
            <w:vAlign w:val="center"/>
            <w:hideMark/>
          </w:tcPr>
          <w:p w14:paraId="00E3E59C" w14:textId="77777777" w:rsidR="00000000" w:rsidRDefault="00405D16">
            <w:pPr>
              <w:spacing w:after="100"/>
              <w:rPr>
                <w:rFonts w:eastAsia="Times New Roman"/>
                <w:sz w:val="20"/>
                <w:szCs w:val="20"/>
              </w:rPr>
            </w:pPr>
          </w:p>
        </w:tc>
        <w:tc>
          <w:tcPr>
            <w:tcW w:w="5" w:type="pct"/>
            <w:vAlign w:val="center"/>
            <w:hideMark/>
          </w:tcPr>
          <w:p w14:paraId="41EC4573" w14:textId="77777777" w:rsidR="00000000" w:rsidRDefault="00405D16">
            <w:pPr>
              <w:spacing w:after="100"/>
              <w:rPr>
                <w:rFonts w:eastAsia="Times New Roman"/>
                <w:sz w:val="20"/>
                <w:szCs w:val="20"/>
              </w:rPr>
            </w:pPr>
          </w:p>
        </w:tc>
        <w:tc>
          <w:tcPr>
            <w:tcW w:w="50" w:type="pct"/>
            <w:vAlign w:val="center"/>
            <w:hideMark/>
          </w:tcPr>
          <w:p w14:paraId="203113F6" w14:textId="77777777" w:rsidR="00000000" w:rsidRDefault="00405D16">
            <w:pPr>
              <w:spacing w:after="100"/>
              <w:rPr>
                <w:rFonts w:eastAsia="Times New Roman"/>
                <w:sz w:val="20"/>
                <w:szCs w:val="20"/>
              </w:rPr>
            </w:pPr>
          </w:p>
        </w:tc>
        <w:tc>
          <w:tcPr>
            <w:tcW w:w="295" w:type="pct"/>
            <w:gridSpan w:val="4"/>
            <w:vAlign w:val="center"/>
            <w:hideMark/>
          </w:tcPr>
          <w:p w14:paraId="15D798BD" w14:textId="77777777" w:rsidR="00000000" w:rsidRDefault="00405D16">
            <w:pPr>
              <w:spacing w:after="100"/>
              <w:rPr>
                <w:rFonts w:eastAsia="Times New Roman"/>
                <w:sz w:val="20"/>
                <w:szCs w:val="20"/>
              </w:rPr>
            </w:pPr>
          </w:p>
        </w:tc>
        <w:tc>
          <w:tcPr>
            <w:tcW w:w="5" w:type="pct"/>
            <w:vAlign w:val="center"/>
            <w:hideMark/>
          </w:tcPr>
          <w:p w14:paraId="0B0B525F" w14:textId="77777777" w:rsidR="00000000" w:rsidRDefault="00405D16">
            <w:pPr>
              <w:spacing w:after="100"/>
              <w:rPr>
                <w:rFonts w:eastAsia="Times New Roman"/>
                <w:sz w:val="20"/>
                <w:szCs w:val="20"/>
              </w:rPr>
            </w:pPr>
          </w:p>
        </w:tc>
        <w:tc>
          <w:tcPr>
            <w:tcW w:w="5" w:type="pct"/>
            <w:vAlign w:val="center"/>
            <w:hideMark/>
          </w:tcPr>
          <w:p w14:paraId="4C63B378" w14:textId="77777777" w:rsidR="00000000" w:rsidRDefault="00405D16">
            <w:pPr>
              <w:spacing w:after="100"/>
              <w:rPr>
                <w:rFonts w:eastAsia="Times New Roman"/>
                <w:sz w:val="20"/>
                <w:szCs w:val="20"/>
              </w:rPr>
            </w:pPr>
          </w:p>
        </w:tc>
        <w:tc>
          <w:tcPr>
            <w:tcW w:w="26" w:type="pct"/>
            <w:vAlign w:val="center"/>
            <w:hideMark/>
          </w:tcPr>
          <w:p w14:paraId="27E8DBD6" w14:textId="77777777" w:rsidR="00000000" w:rsidRDefault="00405D16">
            <w:pPr>
              <w:spacing w:after="100"/>
              <w:rPr>
                <w:rFonts w:eastAsia="Times New Roman"/>
                <w:sz w:val="20"/>
                <w:szCs w:val="20"/>
              </w:rPr>
            </w:pPr>
          </w:p>
        </w:tc>
        <w:tc>
          <w:tcPr>
            <w:tcW w:w="5" w:type="pct"/>
            <w:vAlign w:val="center"/>
            <w:hideMark/>
          </w:tcPr>
          <w:p w14:paraId="2B466108" w14:textId="77777777" w:rsidR="00000000" w:rsidRDefault="00405D16">
            <w:pPr>
              <w:spacing w:after="100"/>
              <w:rPr>
                <w:rFonts w:eastAsia="Times New Roman"/>
                <w:sz w:val="20"/>
                <w:szCs w:val="20"/>
              </w:rPr>
            </w:pPr>
          </w:p>
        </w:tc>
        <w:tc>
          <w:tcPr>
            <w:tcW w:w="50" w:type="pct"/>
            <w:vAlign w:val="center"/>
            <w:hideMark/>
          </w:tcPr>
          <w:p w14:paraId="460543E7" w14:textId="77777777" w:rsidR="00000000" w:rsidRDefault="00405D16">
            <w:pPr>
              <w:spacing w:after="100"/>
              <w:rPr>
                <w:rFonts w:eastAsia="Times New Roman"/>
                <w:sz w:val="20"/>
                <w:szCs w:val="20"/>
              </w:rPr>
            </w:pPr>
          </w:p>
        </w:tc>
        <w:tc>
          <w:tcPr>
            <w:tcW w:w="317" w:type="pct"/>
            <w:vAlign w:val="center"/>
            <w:hideMark/>
          </w:tcPr>
          <w:p w14:paraId="530AC025" w14:textId="77777777" w:rsidR="00000000" w:rsidRDefault="00405D16">
            <w:pPr>
              <w:spacing w:after="100"/>
              <w:rPr>
                <w:rFonts w:eastAsia="Times New Roman"/>
                <w:sz w:val="20"/>
                <w:szCs w:val="20"/>
              </w:rPr>
            </w:pPr>
          </w:p>
        </w:tc>
        <w:tc>
          <w:tcPr>
            <w:tcW w:w="5" w:type="pct"/>
            <w:vAlign w:val="center"/>
            <w:hideMark/>
          </w:tcPr>
          <w:p w14:paraId="5E7A335E" w14:textId="77777777" w:rsidR="00000000" w:rsidRDefault="00405D16">
            <w:pPr>
              <w:spacing w:after="100"/>
              <w:rPr>
                <w:rFonts w:eastAsia="Times New Roman"/>
                <w:sz w:val="20"/>
                <w:szCs w:val="20"/>
              </w:rPr>
            </w:pPr>
          </w:p>
        </w:tc>
        <w:tc>
          <w:tcPr>
            <w:tcW w:w="5" w:type="pct"/>
            <w:vAlign w:val="center"/>
            <w:hideMark/>
          </w:tcPr>
          <w:p w14:paraId="11117485" w14:textId="77777777" w:rsidR="00000000" w:rsidRDefault="00405D16">
            <w:pPr>
              <w:spacing w:after="100"/>
              <w:rPr>
                <w:rFonts w:eastAsia="Times New Roman"/>
                <w:sz w:val="20"/>
                <w:szCs w:val="20"/>
              </w:rPr>
            </w:pPr>
          </w:p>
        </w:tc>
        <w:tc>
          <w:tcPr>
            <w:tcW w:w="26" w:type="pct"/>
            <w:vAlign w:val="center"/>
            <w:hideMark/>
          </w:tcPr>
          <w:p w14:paraId="65AFBDD9" w14:textId="77777777" w:rsidR="00000000" w:rsidRDefault="00405D16">
            <w:pPr>
              <w:spacing w:after="100"/>
              <w:rPr>
                <w:rFonts w:eastAsia="Times New Roman"/>
                <w:sz w:val="20"/>
                <w:szCs w:val="20"/>
              </w:rPr>
            </w:pPr>
          </w:p>
        </w:tc>
        <w:tc>
          <w:tcPr>
            <w:tcW w:w="5" w:type="pct"/>
            <w:vAlign w:val="center"/>
            <w:hideMark/>
          </w:tcPr>
          <w:p w14:paraId="22131C21" w14:textId="77777777" w:rsidR="00000000" w:rsidRDefault="00405D16">
            <w:pPr>
              <w:spacing w:after="100"/>
              <w:rPr>
                <w:rFonts w:eastAsia="Times New Roman"/>
                <w:sz w:val="20"/>
                <w:szCs w:val="20"/>
              </w:rPr>
            </w:pPr>
          </w:p>
        </w:tc>
        <w:tc>
          <w:tcPr>
            <w:tcW w:w="50" w:type="pct"/>
            <w:vAlign w:val="center"/>
            <w:hideMark/>
          </w:tcPr>
          <w:p w14:paraId="522ADFD9" w14:textId="77777777" w:rsidR="00000000" w:rsidRDefault="00405D16">
            <w:pPr>
              <w:spacing w:after="100"/>
              <w:rPr>
                <w:rFonts w:eastAsia="Times New Roman"/>
                <w:sz w:val="20"/>
                <w:szCs w:val="20"/>
              </w:rPr>
            </w:pPr>
          </w:p>
        </w:tc>
        <w:tc>
          <w:tcPr>
            <w:tcW w:w="405" w:type="pct"/>
            <w:vAlign w:val="center"/>
            <w:hideMark/>
          </w:tcPr>
          <w:p w14:paraId="51DA7B12" w14:textId="77777777" w:rsidR="00000000" w:rsidRDefault="00405D16">
            <w:pPr>
              <w:spacing w:after="100"/>
              <w:rPr>
                <w:rFonts w:eastAsia="Times New Roman"/>
                <w:sz w:val="20"/>
                <w:szCs w:val="20"/>
              </w:rPr>
            </w:pPr>
          </w:p>
        </w:tc>
        <w:tc>
          <w:tcPr>
            <w:tcW w:w="5" w:type="pct"/>
            <w:vAlign w:val="center"/>
            <w:hideMark/>
          </w:tcPr>
          <w:p w14:paraId="45B04951" w14:textId="77777777" w:rsidR="00000000" w:rsidRDefault="00405D16">
            <w:pPr>
              <w:spacing w:after="100"/>
              <w:rPr>
                <w:rFonts w:eastAsia="Times New Roman"/>
                <w:sz w:val="20"/>
                <w:szCs w:val="20"/>
              </w:rPr>
            </w:pPr>
          </w:p>
        </w:tc>
        <w:tc>
          <w:tcPr>
            <w:tcW w:w="5" w:type="pct"/>
            <w:vAlign w:val="center"/>
            <w:hideMark/>
          </w:tcPr>
          <w:p w14:paraId="16F971DC" w14:textId="77777777" w:rsidR="00000000" w:rsidRDefault="00405D16">
            <w:pPr>
              <w:spacing w:after="100"/>
              <w:rPr>
                <w:rFonts w:eastAsia="Times New Roman"/>
                <w:sz w:val="20"/>
                <w:szCs w:val="20"/>
              </w:rPr>
            </w:pPr>
          </w:p>
        </w:tc>
        <w:tc>
          <w:tcPr>
            <w:tcW w:w="26" w:type="pct"/>
            <w:vAlign w:val="center"/>
            <w:hideMark/>
          </w:tcPr>
          <w:p w14:paraId="7A91B8B2" w14:textId="77777777" w:rsidR="00000000" w:rsidRDefault="00405D16">
            <w:pPr>
              <w:spacing w:after="100"/>
              <w:rPr>
                <w:rFonts w:eastAsia="Times New Roman"/>
                <w:sz w:val="20"/>
                <w:szCs w:val="20"/>
              </w:rPr>
            </w:pPr>
          </w:p>
        </w:tc>
        <w:tc>
          <w:tcPr>
            <w:tcW w:w="5" w:type="pct"/>
            <w:vAlign w:val="center"/>
            <w:hideMark/>
          </w:tcPr>
          <w:p w14:paraId="43677236" w14:textId="77777777" w:rsidR="00000000" w:rsidRDefault="00405D16">
            <w:pPr>
              <w:spacing w:after="100"/>
              <w:rPr>
                <w:rFonts w:eastAsia="Times New Roman"/>
                <w:sz w:val="20"/>
                <w:szCs w:val="20"/>
              </w:rPr>
            </w:pPr>
          </w:p>
        </w:tc>
        <w:tc>
          <w:tcPr>
            <w:tcW w:w="50" w:type="pct"/>
            <w:vAlign w:val="center"/>
            <w:hideMark/>
          </w:tcPr>
          <w:p w14:paraId="72954AAB" w14:textId="77777777" w:rsidR="00000000" w:rsidRDefault="00405D16">
            <w:pPr>
              <w:spacing w:after="100"/>
              <w:rPr>
                <w:rFonts w:eastAsia="Times New Roman"/>
                <w:sz w:val="20"/>
                <w:szCs w:val="20"/>
              </w:rPr>
            </w:pPr>
          </w:p>
        </w:tc>
        <w:tc>
          <w:tcPr>
            <w:tcW w:w="296" w:type="pct"/>
            <w:gridSpan w:val="2"/>
            <w:vAlign w:val="center"/>
            <w:hideMark/>
          </w:tcPr>
          <w:p w14:paraId="645E8625" w14:textId="77777777" w:rsidR="00000000" w:rsidRDefault="00405D16">
            <w:pPr>
              <w:spacing w:after="100"/>
              <w:rPr>
                <w:rFonts w:eastAsia="Times New Roman"/>
                <w:sz w:val="20"/>
                <w:szCs w:val="20"/>
              </w:rPr>
            </w:pPr>
          </w:p>
        </w:tc>
        <w:tc>
          <w:tcPr>
            <w:tcW w:w="5" w:type="pct"/>
            <w:vAlign w:val="center"/>
            <w:hideMark/>
          </w:tcPr>
          <w:p w14:paraId="194D1562" w14:textId="77777777" w:rsidR="00000000" w:rsidRDefault="00405D16">
            <w:pPr>
              <w:spacing w:after="100"/>
              <w:rPr>
                <w:rFonts w:eastAsia="Times New Roman"/>
                <w:sz w:val="20"/>
                <w:szCs w:val="20"/>
              </w:rPr>
            </w:pPr>
          </w:p>
        </w:tc>
      </w:tr>
      <w:tr w:rsidR="00000000" w14:paraId="1EB16E9B" w14:textId="77777777">
        <w:trPr>
          <w:gridAfter w:val="1"/>
          <w:divId w:val="1051461310"/>
        </w:trPr>
        <w:tc>
          <w:tcPr>
            <w:tcW w:w="0" w:type="auto"/>
            <w:gridSpan w:val="4"/>
            <w:tcMar>
              <w:top w:w="0" w:type="dxa"/>
              <w:left w:w="20" w:type="dxa"/>
              <w:bottom w:w="0" w:type="dxa"/>
              <w:right w:w="20" w:type="dxa"/>
            </w:tcMar>
            <w:vAlign w:val="center"/>
            <w:hideMark/>
          </w:tcPr>
          <w:p w14:paraId="75006D57"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C6FA1AF" w14:textId="77777777" w:rsidR="00000000" w:rsidRDefault="00405D16">
            <w:pPr>
              <w:spacing w:after="100"/>
              <w:rPr>
                <w:rFonts w:eastAsia="Times New Roman"/>
                <w:sz w:val="20"/>
                <w:szCs w:val="20"/>
              </w:rPr>
            </w:pPr>
          </w:p>
        </w:tc>
        <w:tc>
          <w:tcPr>
            <w:tcW w:w="0" w:type="auto"/>
            <w:gridSpan w:val="63"/>
            <w:tcMar>
              <w:top w:w="30" w:type="dxa"/>
              <w:left w:w="20" w:type="dxa"/>
              <w:bottom w:w="30" w:type="dxa"/>
              <w:right w:w="20" w:type="dxa"/>
            </w:tcMar>
            <w:vAlign w:val="bottom"/>
            <w:hideMark/>
          </w:tcPr>
          <w:p w14:paraId="519A92CF" w14:textId="77777777" w:rsidR="00000000" w:rsidRDefault="00405D16">
            <w:pPr>
              <w:spacing w:after="100"/>
              <w:jc w:val="center"/>
              <w:rPr>
                <w:rFonts w:eastAsia="Times New Roman"/>
              </w:rPr>
            </w:pPr>
            <w:r>
              <w:rPr>
                <w:rFonts w:eastAsia="Times New Roman"/>
                <w:b/>
                <w:bCs/>
                <w:color w:val="000000"/>
                <w:sz w:val="15"/>
                <w:szCs w:val="15"/>
              </w:rPr>
              <w:t>September 30, 2021</w:t>
            </w:r>
          </w:p>
        </w:tc>
        <w:tc>
          <w:tcPr>
            <w:tcW w:w="0" w:type="auto"/>
            <w:vAlign w:val="center"/>
            <w:hideMark/>
          </w:tcPr>
          <w:p w14:paraId="31FF000B" w14:textId="77777777" w:rsidR="00000000" w:rsidRDefault="00405D16">
            <w:pPr>
              <w:spacing w:after="100"/>
              <w:jc w:val="center"/>
              <w:rPr>
                <w:rFonts w:eastAsia="Times New Roman"/>
              </w:rPr>
            </w:pPr>
          </w:p>
        </w:tc>
      </w:tr>
      <w:tr w:rsidR="00000000" w14:paraId="3FC30432" w14:textId="77777777">
        <w:trPr>
          <w:gridAfter w:val="1"/>
          <w:divId w:val="1051461310"/>
        </w:trPr>
        <w:tc>
          <w:tcPr>
            <w:tcW w:w="0" w:type="auto"/>
            <w:gridSpan w:val="4"/>
            <w:tcMar>
              <w:top w:w="0" w:type="dxa"/>
              <w:left w:w="20" w:type="dxa"/>
              <w:bottom w:w="0" w:type="dxa"/>
              <w:right w:w="20" w:type="dxa"/>
            </w:tcMar>
            <w:vAlign w:val="center"/>
            <w:hideMark/>
          </w:tcPr>
          <w:p w14:paraId="17ECE429"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5F9C70B" w14:textId="77777777" w:rsidR="00000000" w:rsidRDefault="00405D16">
            <w:pPr>
              <w:spacing w:after="100"/>
              <w:rPr>
                <w:rFonts w:eastAsia="Times New Roman"/>
                <w:sz w:val="20"/>
                <w:szCs w:val="20"/>
              </w:rPr>
            </w:pPr>
          </w:p>
        </w:tc>
        <w:tc>
          <w:tcPr>
            <w:tcW w:w="0" w:type="auto"/>
            <w:gridSpan w:val="45"/>
            <w:tcBorders>
              <w:top w:val="single" w:sz="8" w:space="0" w:color="000000"/>
            </w:tcBorders>
            <w:tcMar>
              <w:top w:w="30" w:type="dxa"/>
              <w:left w:w="20" w:type="dxa"/>
              <w:bottom w:w="30" w:type="dxa"/>
              <w:right w:w="20" w:type="dxa"/>
            </w:tcMar>
            <w:vAlign w:val="bottom"/>
            <w:hideMark/>
          </w:tcPr>
          <w:p w14:paraId="0A55DC26" w14:textId="77777777" w:rsidR="00000000" w:rsidRDefault="00405D16">
            <w:pPr>
              <w:spacing w:after="100"/>
              <w:jc w:val="center"/>
              <w:rPr>
                <w:rFonts w:eastAsia="Times New Roman"/>
              </w:rPr>
            </w:pPr>
            <w:r>
              <w:rPr>
                <w:rFonts w:eastAsia="Times New Roman"/>
                <w:b/>
                <w:bCs/>
                <w:color w:val="000000"/>
                <w:sz w:val="15"/>
                <w:szCs w:val="15"/>
              </w:rPr>
              <w:t>Term Loans by Vintage Year</w:t>
            </w:r>
          </w:p>
        </w:tc>
        <w:tc>
          <w:tcPr>
            <w:tcW w:w="0" w:type="auto"/>
            <w:gridSpan w:val="3"/>
            <w:tcBorders>
              <w:top w:val="single" w:sz="8" w:space="0" w:color="000000"/>
            </w:tcBorders>
            <w:tcMar>
              <w:top w:w="0" w:type="dxa"/>
              <w:left w:w="20" w:type="dxa"/>
              <w:bottom w:w="0" w:type="dxa"/>
              <w:right w:w="20" w:type="dxa"/>
            </w:tcMar>
            <w:vAlign w:val="center"/>
            <w:hideMark/>
          </w:tcPr>
          <w:p w14:paraId="1AEB47B1" w14:textId="77777777" w:rsidR="00000000" w:rsidRDefault="00405D16">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F2A1962"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D1C9467"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C75F80D"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4B9F340"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CB5A0B6" w14:textId="77777777" w:rsidR="00000000" w:rsidRDefault="00405D16">
            <w:pPr>
              <w:spacing w:after="100"/>
              <w:rPr>
                <w:rFonts w:eastAsia="Times New Roman"/>
                <w:sz w:val="20"/>
                <w:szCs w:val="20"/>
              </w:rPr>
            </w:pPr>
          </w:p>
        </w:tc>
        <w:tc>
          <w:tcPr>
            <w:tcW w:w="0" w:type="auto"/>
            <w:vAlign w:val="center"/>
            <w:hideMark/>
          </w:tcPr>
          <w:p w14:paraId="0EE34461" w14:textId="77777777" w:rsidR="00000000" w:rsidRDefault="00405D16">
            <w:pPr>
              <w:spacing w:after="100"/>
              <w:rPr>
                <w:rFonts w:eastAsia="Times New Roman"/>
                <w:sz w:val="20"/>
                <w:szCs w:val="20"/>
              </w:rPr>
            </w:pPr>
          </w:p>
        </w:tc>
      </w:tr>
      <w:tr w:rsidR="00000000" w14:paraId="26B220DF" w14:textId="77777777">
        <w:trPr>
          <w:gridAfter w:val="1"/>
          <w:divId w:val="1051461310"/>
        </w:trPr>
        <w:tc>
          <w:tcPr>
            <w:tcW w:w="0" w:type="auto"/>
            <w:gridSpan w:val="4"/>
            <w:tcMar>
              <w:top w:w="30" w:type="dxa"/>
              <w:left w:w="20" w:type="dxa"/>
              <w:bottom w:w="30" w:type="dxa"/>
              <w:right w:w="20" w:type="dxa"/>
            </w:tcMar>
            <w:vAlign w:val="bottom"/>
            <w:hideMark/>
          </w:tcPr>
          <w:p w14:paraId="3784CC87" w14:textId="77777777" w:rsidR="00000000" w:rsidRDefault="00405D16">
            <w:pPr>
              <w:spacing w:after="100"/>
              <w:rPr>
                <w:rFonts w:eastAsia="Times New Roman"/>
              </w:rPr>
            </w:pPr>
            <w:r>
              <w:rPr>
                <w:rFonts w:eastAsia="Times New Roman"/>
                <w:i/>
                <w:iCs/>
                <w:color w:val="000000"/>
                <w:sz w:val="15"/>
                <w:szCs w:val="15"/>
              </w:rPr>
              <w:t>(Dollars in millions)</w:t>
            </w:r>
          </w:p>
        </w:tc>
        <w:tc>
          <w:tcPr>
            <w:tcW w:w="0" w:type="auto"/>
            <w:gridSpan w:val="3"/>
            <w:tcMar>
              <w:top w:w="0" w:type="dxa"/>
              <w:left w:w="20" w:type="dxa"/>
              <w:bottom w:w="0" w:type="dxa"/>
              <w:right w:w="20" w:type="dxa"/>
            </w:tcMar>
            <w:vAlign w:val="center"/>
            <w:hideMark/>
          </w:tcPr>
          <w:p w14:paraId="7CA73320"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5615BE5" w14:textId="77777777" w:rsidR="00000000" w:rsidRDefault="00405D16">
            <w:pPr>
              <w:spacing w:after="100"/>
              <w:jc w:val="center"/>
              <w:rPr>
                <w:rFonts w:eastAsia="Times New Roman"/>
              </w:rPr>
            </w:pPr>
            <w:r>
              <w:rPr>
                <w:rFonts w:eastAsia="Times New Roman"/>
                <w:b/>
                <w:bCs/>
                <w:color w:val="000000"/>
                <w:sz w:val="15"/>
                <w:szCs w:val="15"/>
              </w:rPr>
              <w:t>2021</w:t>
            </w:r>
          </w:p>
        </w:tc>
        <w:tc>
          <w:tcPr>
            <w:tcW w:w="0" w:type="auto"/>
            <w:gridSpan w:val="3"/>
            <w:tcBorders>
              <w:top w:val="single" w:sz="8" w:space="0" w:color="000000"/>
            </w:tcBorders>
            <w:tcMar>
              <w:top w:w="0" w:type="dxa"/>
              <w:left w:w="20" w:type="dxa"/>
              <w:bottom w:w="0" w:type="dxa"/>
              <w:right w:w="20" w:type="dxa"/>
            </w:tcMar>
            <w:vAlign w:val="center"/>
            <w:hideMark/>
          </w:tcPr>
          <w:p w14:paraId="730F3109"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8D92619" w14:textId="77777777" w:rsidR="00000000" w:rsidRDefault="00405D16">
            <w:pPr>
              <w:spacing w:after="100"/>
              <w:jc w:val="center"/>
              <w:rPr>
                <w:rFonts w:eastAsia="Times New Roman"/>
              </w:rPr>
            </w:pPr>
            <w:r>
              <w:rPr>
                <w:rFonts w:eastAsia="Times New Roman"/>
                <w:b/>
                <w:bCs/>
                <w:color w:val="000000"/>
                <w:sz w:val="15"/>
                <w:szCs w:val="15"/>
              </w:rPr>
              <w:t>2020</w:t>
            </w:r>
          </w:p>
        </w:tc>
        <w:tc>
          <w:tcPr>
            <w:tcW w:w="0" w:type="auto"/>
            <w:gridSpan w:val="3"/>
            <w:tcBorders>
              <w:top w:val="single" w:sz="8" w:space="0" w:color="000000"/>
            </w:tcBorders>
            <w:tcMar>
              <w:top w:w="0" w:type="dxa"/>
              <w:left w:w="20" w:type="dxa"/>
              <w:bottom w:w="0" w:type="dxa"/>
              <w:right w:w="20" w:type="dxa"/>
            </w:tcMar>
            <w:vAlign w:val="center"/>
            <w:hideMark/>
          </w:tcPr>
          <w:p w14:paraId="2D97626D" w14:textId="77777777" w:rsidR="00000000" w:rsidRDefault="00405D16">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14:paraId="23A7C52B" w14:textId="77777777" w:rsidR="00000000" w:rsidRDefault="00405D16">
            <w:pPr>
              <w:spacing w:after="100"/>
              <w:jc w:val="center"/>
              <w:rPr>
                <w:rFonts w:eastAsia="Times New Roman"/>
              </w:rPr>
            </w:pPr>
            <w:r>
              <w:rPr>
                <w:rFonts w:eastAsia="Times New Roman"/>
                <w:b/>
                <w:bCs/>
                <w:color w:val="000000"/>
                <w:sz w:val="15"/>
                <w:szCs w:val="15"/>
              </w:rPr>
              <w:t>2019</w:t>
            </w:r>
          </w:p>
        </w:tc>
        <w:tc>
          <w:tcPr>
            <w:tcW w:w="0" w:type="auto"/>
            <w:gridSpan w:val="3"/>
            <w:tcBorders>
              <w:top w:val="single" w:sz="8" w:space="0" w:color="000000"/>
            </w:tcBorders>
            <w:tcMar>
              <w:top w:w="0" w:type="dxa"/>
              <w:left w:w="20" w:type="dxa"/>
              <w:bottom w:w="0" w:type="dxa"/>
              <w:right w:w="20" w:type="dxa"/>
            </w:tcMar>
            <w:vAlign w:val="center"/>
            <w:hideMark/>
          </w:tcPr>
          <w:p w14:paraId="7643C6BA"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12BD20C" w14:textId="77777777" w:rsidR="00000000" w:rsidRDefault="00405D16">
            <w:pPr>
              <w:spacing w:after="100"/>
              <w:jc w:val="center"/>
              <w:rPr>
                <w:rFonts w:eastAsia="Times New Roman"/>
              </w:rPr>
            </w:pPr>
            <w:r>
              <w:rPr>
                <w:rFonts w:eastAsia="Times New Roman"/>
                <w:b/>
                <w:bCs/>
                <w:color w:val="000000"/>
                <w:sz w:val="15"/>
                <w:szCs w:val="15"/>
              </w:rPr>
              <w:t>2018</w:t>
            </w:r>
          </w:p>
        </w:tc>
        <w:tc>
          <w:tcPr>
            <w:tcW w:w="0" w:type="auto"/>
            <w:gridSpan w:val="3"/>
            <w:tcBorders>
              <w:top w:val="single" w:sz="8" w:space="0" w:color="000000"/>
            </w:tcBorders>
            <w:tcMar>
              <w:top w:w="0" w:type="dxa"/>
              <w:left w:w="20" w:type="dxa"/>
              <w:bottom w:w="0" w:type="dxa"/>
              <w:right w:w="20" w:type="dxa"/>
            </w:tcMar>
            <w:vAlign w:val="center"/>
            <w:hideMark/>
          </w:tcPr>
          <w:p w14:paraId="2925CF3B"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A8BDF1B" w14:textId="77777777" w:rsidR="00000000" w:rsidRDefault="00405D16">
            <w:pPr>
              <w:spacing w:after="100"/>
              <w:jc w:val="center"/>
              <w:rPr>
                <w:rFonts w:eastAsia="Times New Roman"/>
              </w:rPr>
            </w:pPr>
            <w:r>
              <w:rPr>
                <w:rFonts w:eastAsia="Times New Roman"/>
                <w:b/>
                <w:bCs/>
                <w:color w:val="000000"/>
                <w:sz w:val="15"/>
                <w:szCs w:val="15"/>
              </w:rPr>
              <w:t>2017</w:t>
            </w:r>
          </w:p>
        </w:tc>
        <w:tc>
          <w:tcPr>
            <w:tcW w:w="0" w:type="auto"/>
            <w:gridSpan w:val="3"/>
            <w:tcBorders>
              <w:top w:val="single" w:sz="8" w:space="0" w:color="000000"/>
            </w:tcBorders>
            <w:tcMar>
              <w:top w:w="0" w:type="dxa"/>
              <w:left w:w="20" w:type="dxa"/>
              <w:bottom w:w="0" w:type="dxa"/>
              <w:right w:w="20" w:type="dxa"/>
            </w:tcMar>
            <w:vAlign w:val="center"/>
            <w:hideMark/>
          </w:tcPr>
          <w:p w14:paraId="52FACC06"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A71EB60" w14:textId="77777777" w:rsidR="00000000" w:rsidRDefault="00405D16">
            <w:pPr>
              <w:spacing w:after="100"/>
              <w:jc w:val="center"/>
              <w:rPr>
                <w:rFonts w:eastAsia="Times New Roman"/>
              </w:rPr>
            </w:pPr>
            <w:r>
              <w:rPr>
                <w:rFonts w:eastAsia="Times New Roman"/>
                <w:b/>
                <w:bCs/>
                <w:color w:val="000000"/>
                <w:sz w:val="15"/>
                <w:szCs w:val="15"/>
              </w:rPr>
              <w:t>Prior</w:t>
            </w:r>
          </w:p>
        </w:tc>
        <w:tc>
          <w:tcPr>
            <w:tcW w:w="0" w:type="auto"/>
            <w:gridSpan w:val="3"/>
            <w:tcBorders>
              <w:top w:val="single" w:sz="8" w:space="0" w:color="000000"/>
            </w:tcBorders>
            <w:tcMar>
              <w:top w:w="0" w:type="dxa"/>
              <w:left w:w="20" w:type="dxa"/>
              <w:bottom w:w="0" w:type="dxa"/>
              <w:right w:w="20" w:type="dxa"/>
            </w:tcMar>
            <w:vAlign w:val="center"/>
            <w:hideMark/>
          </w:tcPr>
          <w:p w14:paraId="7F5FC2F9" w14:textId="77777777" w:rsidR="00000000" w:rsidRDefault="00405D16">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14:paraId="17C7C977" w14:textId="77777777" w:rsidR="00000000" w:rsidRDefault="00405D16">
            <w:pPr>
              <w:spacing w:after="100"/>
              <w:jc w:val="center"/>
              <w:rPr>
                <w:rFonts w:eastAsia="Times New Roman"/>
              </w:rPr>
            </w:pPr>
            <w:r>
              <w:rPr>
                <w:rFonts w:eastAsia="Times New Roman"/>
                <w:b/>
                <w:bCs/>
                <w:color w:val="000000"/>
                <w:sz w:val="15"/>
                <w:szCs w:val="15"/>
              </w:rPr>
              <w:t>Total Term Loans</w:t>
            </w:r>
          </w:p>
        </w:tc>
        <w:tc>
          <w:tcPr>
            <w:tcW w:w="0" w:type="auto"/>
            <w:gridSpan w:val="3"/>
            <w:tcMar>
              <w:top w:w="0" w:type="dxa"/>
              <w:left w:w="20" w:type="dxa"/>
              <w:bottom w:w="0" w:type="dxa"/>
              <w:right w:w="20" w:type="dxa"/>
            </w:tcMar>
            <w:vAlign w:val="center"/>
            <w:hideMark/>
          </w:tcPr>
          <w:p w14:paraId="66888935"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F04B230" w14:textId="77777777" w:rsidR="00000000" w:rsidRDefault="00405D16">
            <w:pPr>
              <w:spacing w:after="100"/>
              <w:jc w:val="center"/>
              <w:rPr>
                <w:rFonts w:eastAsia="Times New Roman"/>
              </w:rPr>
            </w:pPr>
            <w:r>
              <w:rPr>
                <w:rFonts w:eastAsia="Times New Roman"/>
                <w:b/>
                <w:bCs/>
                <w:color w:val="000000"/>
                <w:sz w:val="15"/>
                <w:szCs w:val="15"/>
              </w:rPr>
              <w:t>Revolving Loans</w:t>
            </w:r>
          </w:p>
        </w:tc>
        <w:tc>
          <w:tcPr>
            <w:tcW w:w="0" w:type="auto"/>
            <w:gridSpan w:val="3"/>
            <w:tcMar>
              <w:top w:w="0" w:type="dxa"/>
              <w:left w:w="20" w:type="dxa"/>
              <w:bottom w:w="0" w:type="dxa"/>
              <w:right w:w="20" w:type="dxa"/>
            </w:tcMar>
            <w:vAlign w:val="center"/>
            <w:hideMark/>
          </w:tcPr>
          <w:p w14:paraId="12349F8D"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7D99BF9" w14:textId="77777777" w:rsidR="00000000" w:rsidRDefault="00405D16">
            <w:pPr>
              <w:spacing w:after="100"/>
              <w:jc w:val="center"/>
              <w:rPr>
                <w:rFonts w:eastAsia="Times New Roman"/>
              </w:rPr>
            </w:pPr>
            <w:r>
              <w:rPr>
                <w:rFonts w:eastAsia="Times New Roman"/>
                <w:b/>
                <w:bCs/>
                <w:color w:val="000000"/>
                <w:sz w:val="15"/>
                <w:szCs w:val="15"/>
              </w:rPr>
              <w:t>Revolving Loans Converted to Term</w:t>
            </w:r>
          </w:p>
        </w:tc>
        <w:tc>
          <w:tcPr>
            <w:tcW w:w="0" w:type="auto"/>
            <w:gridSpan w:val="3"/>
            <w:tcMar>
              <w:top w:w="0" w:type="dxa"/>
              <w:left w:w="20" w:type="dxa"/>
              <w:bottom w:w="0" w:type="dxa"/>
              <w:right w:w="20" w:type="dxa"/>
            </w:tcMar>
            <w:vAlign w:val="center"/>
            <w:hideMark/>
          </w:tcPr>
          <w:p w14:paraId="42415854"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FE6632F" w14:textId="77777777" w:rsidR="00000000" w:rsidRDefault="00405D16">
            <w:pPr>
              <w:spacing w:after="100"/>
              <w:jc w:val="center"/>
              <w:rPr>
                <w:rFonts w:eastAsia="Times New Roman"/>
              </w:rPr>
            </w:pPr>
            <w:r>
              <w:rPr>
                <w:rFonts w:eastAsia="Times New Roman"/>
                <w:b/>
                <w:bCs/>
                <w:color w:val="000000"/>
                <w:sz w:val="15"/>
                <w:szCs w:val="15"/>
              </w:rPr>
              <w:t>Total</w:t>
            </w:r>
          </w:p>
        </w:tc>
        <w:tc>
          <w:tcPr>
            <w:tcW w:w="0" w:type="auto"/>
            <w:vAlign w:val="center"/>
            <w:hideMark/>
          </w:tcPr>
          <w:p w14:paraId="2477E5A8" w14:textId="77777777" w:rsidR="00000000" w:rsidRDefault="00405D16">
            <w:pPr>
              <w:spacing w:after="100"/>
              <w:jc w:val="center"/>
              <w:rPr>
                <w:rFonts w:eastAsia="Times New Roman"/>
              </w:rPr>
            </w:pPr>
          </w:p>
        </w:tc>
      </w:tr>
      <w:tr w:rsidR="00000000" w14:paraId="7FBFB6DA" w14:textId="77777777">
        <w:trPr>
          <w:gridAfter w:val="1"/>
          <w:divId w:val="1051461310"/>
        </w:trPr>
        <w:tc>
          <w:tcPr>
            <w:tcW w:w="0" w:type="auto"/>
            <w:gridSpan w:val="4"/>
            <w:vAlign w:val="center"/>
            <w:hideMark/>
          </w:tcPr>
          <w:p w14:paraId="1AA3BF64" w14:textId="77777777" w:rsidR="00000000" w:rsidRDefault="00405D16">
            <w:pPr>
              <w:spacing w:after="100"/>
              <w:rPr>
                <w:rFonts w:eastAsia="Times New Roman"/>
                <w:sz w:val="20"/>
                <w:szCs w:val="20"/>
              </w:rPr>
            </w:pPr>
          </w:p>
        </w:tc>
        <w:tc>
          <w:tcPr>
            <w:tcW w:w="0" w:type="auto"/>
            <w:gridSpan w:val="3"/>
            <w:vAlign w:val="center"/>
            <w:hideMark/>
          </w:tcPr>
          <w:p w14:paraId="16F21188" w14:textId="77777777" w:rsidR="00000000" w:rsidRDefault="00405D16">
            <w:pPr>
              <w:spacing w:after="100"/>
              <w:rPr>
                <w:rFonts w:eastAsia="Times New Roman"/>
                <w:sz w:val="20"/>
                <w:szCs w:val="20"/>
              </w:rPr>
            </w:pPr>
          </w:p>
        </w:tc>
        <w:tc>
          <w:tcPr>
            <w:tcW w:w="0" w:type="auto"/>
            <w:gridSpan w:val="3"/>
            <w:vAlign w:val="center"/>
            <w:hideMark/>
          </w:tcPr>
          <w:p w14:paraId="5F975CB4" w14:textId="77777777" w:rsidR="00000000" w:rsidRDefault="00405D16">
            <w:pPr>
              <w:spacing w:after="100"/>
              <w:rPr>
                <w:rFonts w:eastAsia="Times New Roman"/>
                <w:sz w:val="20"/>
                <w:szCs w:val="20"/>
              </w:rPr>
            </w:pPr>
          </w:p>
        </w:tc>
        <w:tc>
          <w:tcPr>
            <w:tcW w:w="0" w:type="auto"/>
            <w:gridSpan w:val="3"/>
            <w:vAlign w:val="center"/>
            <w:hideMark/>
          </w:tcPr>
          <w:p w14:paraId="4CCC5E79" w14:textId="77777777" w:rsidR="00000000" w:rsidRDefault="00405D16">
            <w:pPr>
              <w:spacing w:after="100"/>
              <w:rPr>
                <w:rFonts w:eastAsia="Times New Roman"/>
                <w:sz w:val="20"/>
                <w:szCs w:val="20"/>
              </w:rPr>
            </w:pPr>
          </w:p>
        </w:tc>
        <w:tc>
          <w:tcPr>
            <w:tcW w:w="0" w:type="auto"/>
            <w:gridSpan w:val="3"/>
            <w:vAlign w:val="center"/>
            <w:hideMark/>
          </w:tcPr>
          <w:p w14:paraId="5751362D" w14:textId="77777777" w:rsidR="00000000" w:rsidRDefault="00405D16">
            <w:pPr>
              <w:spacing w:after="100"/>
              <w:rPr>
                <w:rFonts w:eastAsia="Times New Roman"/>
                <w:sz w:val="20"/>
                <w:szCs w:val="20"/>
              </w:rPr>
            </w:pPr>
          </w:p>
        </w:tc>
        <w:tc>
          <w:tcPr>
            <w:tcW w:w="0" w:type="auto"/>
            <w:gridSpan w:val="3"/>
            <w:vAlign w:val="center"/>
            <w:hideMark/>
          </w:tcPr>
          <w:p w14:paraId="61983D9A" w14:textId="77777777" w:rsidR="00000000" w:rsidRDefault="00405D16">
            <w:pPr>
              <w:spacing w:after="100"/>
              <w:rPr>
                <w:rFonts w:eastAsia="Times New Roman"/>
                <w:sz w:val="20"/>
                <w:szCs w:val="20"/>
              </w:rPr>
            </w:pPr>
          </w:p>
        </w:tc>
        <w:tc>
          <w:tcPr>
            <w:tcW w:w="0" w:type="auto"/>
            <w:gridSpan w:val="6"/>
            <w:vAlign w:val="center"/>
            <w:hideMark/>
          </w:tcPr>
          <w:p w14:paraId="2880344F" w14:textId="77777777" w:rsidR="00000000" w:rsidRDefault="00405D16">
            <w:pPr>
              <w:spacing w:after="100"/>
              <w:rPr>
                <w:rFonts w:eastAsia="Times New Roman"/>
                <w:sz w:val="20"/>
                <w:szCs w:val="20"/>
              </w:rPr>
            </w:pPr>
          </w:p>
        </w:tc>
        <w:tc>
          <w:tcPr>
            <w:tcW w:w="0" w:type="auto"/>
            <w:gridSpan w:val="3"/>
            <w:vAlign w:val="center"/>
            <w:hideMark/>
          </w:tcPr>
          <w:p w14:paraId="59637BBC" w14:textId="77777777" w:rsidR="00000000" w:rsidRDefault="00405D16">
            <w:pPr>
              <w:spacing w:after="100"/>
              <w:rPr>
                <w:rFonts w:eastAsia="Times New Roman"/>
                <w:sz w:val="20"/>
                <w:szCs w:val="20"/>
              </w:rPr>
            </w:pPr>
          </w:p>
        </w:tc>
        <w:tc>
          <w:tcPr>
            <w:tcW w:w="0" w:type="auto"/>
            <w:gridSpan w:val="3"/>
            <w:vAlign w:val="center"/>
            <w:hideMark/>
          </w:tcPr>
          <w:p w14:paraId="588ECE9C" w14:textId="77777777" w:rsidR="00000000" w:rsidRDefault="00405D16">
            <w:pPr>
              <w:spacing w:after="100"/>
              <w:rPr>
                <w:rFonts w:eastAsia="Times New Roman"/>
                <w:sz w:val="20"/>
                <w:szCs w:val="20"/>
              </w:rPr>
            </w:pPr>
          </w:p>
        </w:tc>
        <w:tc>
          <w:tcPr>
            <w:tcW w:w="0" w:type="auto"/>
            <w:gridSpan w:val="3"/>
            <w:vAlign w:val="center"/>
            <w:hideMark/>
          </w:tcPr>
          <w:p w14:paraId="7999256A" w14:textId="77777777" w:rsidR="00000000" w:rsidRDefault="00405D16">
            <w:pPr>
              <w:spacing w:after="100"/>
              <w:rPr>
                <w:rFonts w:eastAsia="Times New Roman"/>
                <w:sz w:val="20"/>
                <w:szCs w:val="20"/>
              </w:rPr>
            </w:pPr>
          </w:p>
        </w:tc>
        <w:tc>
          <w:tcPr>
            <w:tcW w:w="0" w:type="auto"/>
            <w:gridSpan w:val="3"/>
            <w:vAlign w:val="center"/>
            <w:hideMark/>
          </w:tcPr>
          <w:p w14:paraId="033D3F2F" w14:textId="77777777" w:rsidR="00000000" w:rsidRDefault="00405D16">
            <w:pPr>
              <w:spacing w:after="100"/>
              <w:rPr>
                <w:rFonts w:eastAsia="Times New Roman"/>
                <w:sz w:val="20"/>
                <w:szCs w:val="20"/>
              </w:rPr>
            </w:pPr>
          </w:p>
        </w:tc>
        <w:tc>
          <w:tcPr>
            <w:tcW w:w="0" w:type="auto"/>
            <w:gridSpan w:val="3"/>
            <w:vAlign w:val="center"/>
            <w:hideMark/>
          </w:tcPr>
          <w:p w14:paraId="5FADA24C" w14:textId="77777777" w:rsidR="00000000" w:rsidRDefault="00405D16">
            <w:pPr>
              <w:spacing w:after="100"/>
              <w:rPr>
                <w:rFonts w:eastAsia="Times New Roman"/>
                <w:sz w:val="20"/>
                <w:szCs w:val="20"/>
              </w:rPr>
            </w:pPr>
          </w:p>
        </w:tc>
        <w:tc>
          <w:tcPr>
            <w:tcW w:w="0" w:type="auto"/>
            <w:gridSpan w:val="3"/>
            <w:vAlign w:val="center"/>
            <w:hideMark/>
          </w:tcPr>
          <w:p w14:paraId="23382E9B" w14:textId="77777777" w:rsidR="00000000" w:rsidRDefault="00405D16">
            <w:pPr>
              <w:spacing w:after="100"/>
              <w:rPr>
                <w:rFonts w:eastAsia="Times New Roman"/>
                <w:sz w:val="20"/>
                <w:szCs w:val="20"/>
              </w:rPr>
            </w:pPr>
          </w:p>
        </w:tc>
        <w:tc>
          <w:tcPr>
            <w:tcW w:w="0" w:type="auto"/>
            <w:gridSpan w:val="3"/>
            <w:vAlign w:val="center"/>
            <w:hideMark/>
          </w:tcPr>
          <w:p w14:paraId="3D60B77E" w14:textId="77777777" w:rsidR="00000000" w:rsidRDefault="00405D16">
            <w:pPr>
              <w:spacing w:after="100"/>
              <w:rPr>
                <w:rFonts w:eastAsia="Times New Roman"/>
                <w:sz w:val="20"/>
                <w:szCs w:val="20"/>
              </w:rPr>
            </w:pPr>
          </w:p>
        </w:tc>
        <w:tc>
          <w:tcPr>
            <w:tcW w:w="0" w:type="auto"/>
            <w:gridSpan w:val="6"/>
            <w:vAlign w:val="center"/>
            <w:hideMark/>
          </w:tcPr>
          <w:p w14:paraId="426C25AE" w14:textId="77777777" w:rsidR="00000000" w:rsidRDefault="00405D16">
            <w:pPr>
              <w:spacing w:after="100"/>
              <w:rPr>
                <w:rFonts w:eastAsia="Times New Roman"/>
                <w:sz w:val="20"/>
                <w:szCs w:val="20"/>
              </w:rPr>
            </w:pPr>
          </w:p>
        </w:tc>
        <w:tc>
          <w:tcPr>
            <w:tcW w:w="0" w:type="auto"/>
            <w:gridSpan w:val="3"/>
            <w:vAlign w:val="center"/>
            <w:hideMark/>
          </w:tcPr>
          <w:p w14:paraId="49EE53EF" w14:textId="77777777" w:rsidR="00000000" w:rsidRDefault="00405D16">
            <w:pPr>
              <w:spacing w:after="100"/>
              <w:rPr>
                <w:rFonts w:eastAsia="Times New Roman"/>
                <w:sz w:val="20"/>
                <w:szCs w:val="20"/>
              </w:rPr>
            </w:pPr>
          </w:p>
        </w:tc>
        <w:tc>
          <w:tcPr>
            <w:tcW w:w="0" w:type="auto"/>
            <w:gridSpan w:val="3"/>
            <w:vAlign w:val="center"/>
            <w:hideMark/>
          </w:tcPr>
          <w:p w14:paraId="5716DBDA" w14:textId="77777777" w:rsidR="00000000" w:rsidRDefault="00405D16">
            <w:pPr>
              <w:spacing w:after="100"/>
              <w:rPr>
                <w:rFonts w:eastAsia="Times New Roman"/>
                <w:sz w:val="20"/>
                <w:szCs w:val="20"/>
              </w:rPr>
            </w:pPr>
          </w:p>
        </w:tc>
        <w:tc>
          <w:tcPr>
            <w:tcW w:w="0" w:type="auto"/>
            <w:gridSpan w:val="3"/>
            <w:vAlign w:val="center"/>
            <w:hideMark/>
          </w:tcPr>
          <w:p w14:paraId="22FD26D8" w14:textId="77777777" w:rsidR="00000000" w:rsidRDefault="00405D16">
            <w:pPr>
              <w:spacing w:after="100"/>
              <w:rPr>
                <w:rFonts w:eastAsia="Times New Roman"/>
                <w:sz w:val="20"/>
                <w:szCs w:val="20"/>
              </w:rPr>
            </w:pPr>
          </w:p>
        </w:tc>
        <w:tc>
          <w:tcPr>
            <w:tcW w:w="0" w:type="auto"/>
            <w:gridSpan w:val="3"/>
            <w:vAlign w:val="center"/>
            <w:hideMark/>
          </w:tcPr>
          <w:p w14:paraId="64C7EE7B" w14:textId="77777777" w:rsidR="00000000" w:rsidRDefault="00405D16">
            <w:pPr>
              <w:spacing w:after="100"/>
              <w:rPr>
                <w:rFonts w:eastAsia="Times New Roman"/>
                <w:sz w:val="20"/>
                <w:szCs w:val="20"/>
              </w:rPr>
            </w:pPr>
          </w:p>
        </w:tc>
        <w:tc>
          <w:tcPr>
            <w:tcW w:w="0" w:type="auto"/>
            <w:gridSpan w:val="3"/>
            <w:vAlign w:val="center"/>
            <w:hideMark/>
          </w:tcPr>
          <w:p w14:paraId="6514BF7F" w14:textId="77777777" w:rsidR="00000000" w:rsidRDefault="00405D16">
            <w:pPr>
              <w:spacing w:after="100"/>
              <w:rPr>
                <w:rFonts w:eastAsia="Times New Roman"/>
                <w:sz w:val="20"/>
                <w:szCs w:val="20"/>
              </w:rPr>
            </w:pPr>
          </w:p>
        </w:tc>
        <w:tc>
          <w:tcPr>
            <w:tcW w:w="0" w:type="auto"/>
            <w:gridSpan w:val="3"/>
            <w:vAlign w:val="center"/>
            <w:hideMark/>
          </w:tcPr>
          <w:p w14:paraId="68034AAB" w14:textId="77777777" w:rsidR="00000000" w:rsidRDefault="00405D16">
            <w:pPr>
              <w:spacing w:after="100"/>
              <w:rPr>
                <w:rFonts w:eastAsia="Times New Roman"/>
                <w:sz w:val="20"/>
                <w:szCs w:val="20"/>
              </w:rPr>
            </w:pPr>
          </w:p>
        </w:tc>
        <w:tc>
          <w:tcPr>
            <w:tcW w:w="0" w:type="auto"/>
            <w:vAlign w:val="center"/>
            <w:hideMark/>
          </w:tcPr>
          <w:p w14:paraId="615472A9" w14:textId="77777777" w:rsidR="00000000" w:rsidRDefault="00405D16">
            <w:pPr>
              <w:spacing w:after="100"/>
              <w:rPr>
                <w:rFonts w:eastAsia="Times New Roman"/>
                <w:sz w:val="20"/>
                <w:szCs w:val="20"/>
              </w:rPr>
            </w:pPr>
          </w:p>
        </w:tc>
      </w:tr>
      <w:tr w:rsidR="00000000" w14:paraId="6D0661A5" w14:textId="77777777">
        <w:trPr>
          <w:gridAfter w:val="1"/>
          <w:divId w:val="1051461310"/>
        </w:trPr>
        <w:tc>
          <w:tcPr>
            <w:tcW w:w="0" w:type="auto"/>
            <w:gridSpan w:val="4"/>
            <w:tcBorders>
              <w:top w:val="single" w:sz="8" w:space="0" w:color="000000"/>
            </w:tcBorders>
            <w:shd w:val="clear" w:color="auto" w:fill="CCEEFF"/>
            <w:tcMar>
              <w:top w:w="30" w:type="dxa"/>
              <w:left w:w="20" w:type="dxa"/>
              <w:bottom w:w="30" w:type="dxa"/>
              <w:right w:w="20" w:type="dxa"/>
            </w:tcMar>
            <w:vAlign w:val="center"/>
            <w:hideMark/>
          </w:tcPr>
          <w:p w14:paraId="78D6B3E4" w14:textId="77777777" w:rsidR="00000000" w:rsidRDefault="00405D16">
            <w:pPr>
              <w:spacing w:after="100"/>
              <w:divId w:val="13238939"/>
              <w:rPr>
                <w:rFonts w:eastAsia="Times New Roman"/>
              </w:rPr>
            </w:pPr>
            <w:r>
              <w:rPr>
                <w:rFonts w:eastAsia="Times New Roman"/>
                <w:b/>
                <w:bCs/>
                <w:color w:val="000000"/>
                <w:sz w:val="18"/>
                <w:szCs w:val="18"/>
              </w:rPr>
              <w:t>Auto</w:t>
            </w:r>
            <w:r>
              <w:rPr>
                <w:rFonts w:eastAsia="Times New Roman"/>
                <w:color w:val="000000"/>
                <w:sz w:val="18"/>
                <w:szCs w:val="18"/>
              </w:rPr>
              <w:t>—</w:t>
            </w:r>
            <w:r>
              <w:rPr>
                <w:rFonts w:eastAsia="Times New Roman"/>
                <w:b/>
                <w:bCs/>
                <w:color w:val="000000"/>
                <w:sz w:val="18"/>
                <w:szCs w:val="18"/>
              </w:rPr>
              <w:t>At origination FICO scores</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5FC024D7"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952456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3DD046"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26BBBF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169E7E" w14:textId="77777777" w:rsidR="00000000" w:rsidRDefault="00405D16">
            <w:pPr>
              <w:spacing w:after="100"/>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14:paraId="70CAFE3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8892C0"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0729DE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206BB4"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ED0A87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DCA3EB"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C89466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5F1464" w14:textId="77777777" w:rsidR="00000000" w:rsidRDefault="00405D16">
            <w:pPr>
              <w:spacing w:after="100"/>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14:paraId="7F9E300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A60F87"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7AE9FD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379177"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BD4543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AF1DC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16B27C" w14:textId="77777777" w:rsidR="00000000" w:rsidRDefault="00405D16">
            <w:pPr>
              <w:spacing w:after="100"/>
              <w:rPr>
                <w:rFonts w:eastAsia="Times New Roman"/>
                <w:sz w:val="20"/>
                <w:szCs w:val="20"/>
              </w:rPr>
            </w:pPr>
          </w:p>
        </w:tc>
        <w:tc>
          <w:tcPr>
            <w:tcW w:w="0" w:type="auto"/>
            <w:vAlign w:val="center"/>
            <w:hideMark/>
          </w:tcPr>
          <w:p w14:paraId="49CA32A9" w14:textId="77777777" w:rsidR="00000000" w:rsidRDefault="00405D16">
            <w:pPr>
              <w:spacing w:after="100"/>
              <w:rPr>
                <w:rFonts w:eastAsia="Times New Roman"/>
                <w:sz w:val="20"/>
                <w:szCs w:val="20"/>
              </w:rPr>
            </w:pPr>
          </w:p>
        </w:tc>
      </w:tr>
      <w:tr w:rsidR="00405D16" w14:paraId="5104528C" w14:textId="77777777">
        <w:trPr>
          <w:gridAfter w:val="1"/>
          <w:divId w:val="1051461310"/>
        </w:trPr>
        <w:tc>
          <w:tcPr>
            <w:tcW w:w="0" w:type="auto"/>
            <w:gridSpan w:val="4"/>
            <w:shd w:val="clear" w:color="auto" w:fill="FFFFFF"/>
            <w:tcMar>
              <w:top w:w="30" w:type="dxa"/>
              <w:left w:w="380" w:type="dxa"/>
              <w:bottom w:w="30" w:type="dxa"/>
              <w:right w:w="20" w:type="dxa"/>
            </w:tcMar>
            <w:vAlign w:val="center"/>
            <w:hideMark/>
          </w:tcPr>
          <w:p w14:paraId="28DCF87F" w14:textId="77777777" w:rsidR="00000000" w:rsidRDefault="00405D16">
            <w:pPr>
              <w:spacing w:after="100"/>
              <w:rPr>
                <w:rFonts w:eastAsia="Times New Roman"/>
              </w:rPr>
            </w:pPr>
            <w:r>
              <w:rPr>
                <w:rFonts w:eastAsia="Times New Roman"/>
                <w:color w:val="000000"/>
                <w:sz w:val="18"/>
                <w:szCs w:val="18"/>
              </w:rPr>
              <w:t>Greater than 660</w:t>
            </w:r>
          </w:p>
        </w:tc>
        <w:tc>
          <w:tcPr>
            <w:tcW w:w="0" w:type="auto"/>
            <w:gridSpan w:val="3"/>
            <w:shd w:val="clear" w:color="auto" w:fill="FFFFFF"/>
            <w:tcMar>
              <w:top w:w="0" w:type="dxa"/>
              <w:left w:w="20" w:type="dxa"/>
              <w:bottom w:w="0" w:type="dxa"/>
              <w:right w:w="20" w:type="dxa"/>
            </w:tcMar>
            <w:vAlign w:val="center"/>
            <w:hideMark/>
          </w:tcPr>
          <w:p w14:paraId="4035D5DC"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6C5A3BD3"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5CB604DD" w14:textId="77777777" w:rsidR="00000000" w:rsidRDefault="00405D16">
            <w:pPr>
              <w:spacing w:after="100"/>
              <w:jc w:val="right"/>
              <w:rPr>
                <w:rFonts w:eastAsia="Times New Roman"/>
              </w:rPr>
            </w:pPr>
            <w:r>
              <w:rPr>
                <w:rFonts w:eastAsia="Times New Roman"/>
                <w:b/>
                <w:bCs/>
                <w:color w:val="000000"/>
                <w:sz w:val="18"/>
                <w:szCs w:val="18"/>
              </w:rPr>
              <w:t>16,685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DE56BD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6659D0"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2906A6F"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2950177E" w14:textId="77777777" w:rsidR="00000000" w:rsidRDefault="00405D16">
            <w:pPr>
              <w:spacing w:after="100"/>
              <w:jc w:val="right"/>
              <w:rPr>
                <w:rFonts w:eastAsia="Times New Roman"/>
              </w:rPr>
            </w:pPr>
            <w:r>
              <w:rPr>
                <w:rFonts w:eastAsia="Times New Roman"/>
                <w:b/>
                <w:bCs/>
                <w:color w:val="000000"/>
                <w:sz w:val="18"/>
                <w:szCs w:val="18"/>
              </w:rPr>
              <w:t>9,696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0A1F74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98CCC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F450D8"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30" w:type="dxa"/>
              <w:left w:w="0" w:type="dxa"/>
              <w:bottom w:w="30" w:type="dxa"/>
              <w:right w:w="0" w:type="dxa"/>
            </w:tcMar>
            <w:vAlign w:val="bottom"/>
            <w:hideMark/>
          </w:tcPr>
          <w:p w14:paraId="17CE6B61" w14:textId="77777777" w:rsidR="00000000" w:rsidRDefault="00405D16">
            <w:pPr>
              <w:spacing w:after="100"/>
              <w:jc w:val="right"/>
              <w:rPr>
                <w:rFonts w:eastAsia="Times New Roman"/>
              </w:rPr>
            </w:pPr>
            <w:r>
              <w:rPr>
                <w:rFonts w:eastAsia="Times New Roman"/>
                <w:b/>
                <w:bCs/>
                <w:color w:val="000000"/>
                <w:sz w:val="18"/>
                <w:szCs w:val="18"/>
              </w:rPr>
              <w:t>5,448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4FA13D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D83ABB"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A51FC0A"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463ED8E2" w14:textId="77777777" w:rsidR="00000000" w:rsidRDefault="00405D16">
            <w:pPr>
              <w:spacing w:after="100"/>
              <w:jc w:val="right"/>
              <w:rPr>
                <w:rFonts w:eastAsia="Times New Roman"/>
              </w:rPr>
            </w:pPr>
            <w:r>
              <w:rPr>
                <w:rFonts w:eastAsia="Times New Roman"/>
                <w:b/>
                <w:bCs/>
                <w:color w:val="000000"/>
                <w:sz w:val="18"/>
                <w:szCs w:val="18"/>
              </w:rPr>
              <w:t>2,860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4133A5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B29040"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D549CF8"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3216DF5D" w14:textId="77777777" w:rsidR="00000000" w:rsidRDefault="00405D16">
            <w:pPr>
              <w:spacing w:after="100"/>
              <w:jc w:val="right"/>
              <w:rPr>
                <w:rFonts w:eastAsia="Times New Roman"/>
              </w:rPr>
            </w:pPr>
            <w:r>
              <w:rPr>
                <w:rFonts w:eastAsia="Times New Roman"/>
                <w:b/>
                <w:bCs/>
                <w:color w:val="000000"/>
                <w:sz w:val="18"/>
                <w:szCs w:val="18"/>
              </w:rPr>
              <w:t>1,475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283C3A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F4F752"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7C0B39E"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66B7A264" w14:textId="77777777" w:rsidR="00000000" w:rsidRDefault="00405D16">
            <w:pPr>
              <w:spacing w:after="100"/>
              <w:jc w:val="right"/>
              <w:rPr>
                <w:rFonts w:eastAsia="Times New Roman"/>
              </w:rPr>
            </w:pPr>
            <w:r>
              <w:rPr>
                <w:rFonts w:eastAsia="Times New Roman"/>
                <w:b/>
                <w:bCs/>
                <w:color w:val="000000"/>
                <w:sz w:val="18"/>
                <w:szCs w:val="18"/>
              </w:rPr>
              <w:t>462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DDDC90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76885C"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E59F156"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4"/>
            <w:shd w:val="clear" w:color="auto" w:fill="FFFFFF"/>
            <w:tcMar>
              <w:top w:w="30" w:type="dxa"/>
              <w:left w:w="0" w:type="dxa"/>
              <w:bottom w:w="30" w:type="dxa"/>
              <w:right w:w="0" w:type="dxa"/>
            </w:tcMar>
            <w:vAlign w:val="bottom"/>
            <w:hideMark/>
          </w:tcPr>
          <w:p w14:paraId="6B8C47C2" w14:textId="77777777" w:rsidR="00000000" w:rsidRDefault="00405D16">
            <w:pPr>
              <w:spacing w:after="100"/>
              <w:jc w:val="right"/>
              <w:rPr>
                <w:rFonts w:eastAsia="Times New Roman"/>
              </w:rPr>
            </w:pPr>
            <w:r>
              <w:rPr>
                <w:rFonts w:eastAsia="Times New Roman"/>
                <w:b/>
                <w:bCs/>
                <w:color w:val="000000"/>
                <w:sz w:val="18"/>
                <w:szCs w:val="18"/>
              </w:rPr>
              <w:t>36,626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FA9BD4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D065D4"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EDF3FAC"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459A722A"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11A967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0A3715"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6EFE5CA"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0C4F42F7"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7C8A34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2C67FB"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D9DE0D4"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0" w:type="dxa"/>
            </w:tcMar>
            <w:vAlign w:val="bottom"/>
            <w:hideMark/>
          </w:tcPr>
          <w:p w14:paraId="7CC6D3EB" w14:textId="77777777" w:rsidR="00000000" w:rsidRDefault="00405D16">
            <w:pPr>
              <w:spacing w:after="100"/>
              <w:jc w:val="right"/>
              <w:rPr>
                <w:rFonts w:eastAsia="Times New Roman"/>
              </w:rPr>
            </w:pPr>
            <w:r>
              <w:rPr>
                <w:rFonts w:eastAsia="Times New Roman"/>
                <w:b/>
                <w:bCs/>
                <w:color w:val="000000"/>
                <w:sz w:val="18"/>
                <w:szCs w:val="18"/>
              </w:rPr>
              <w:t>36,626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2BCD355" w14:textId="77777777" w:rsidR="00000000" w:rsidRDefault="00405D16">
            <w:pPr>
              <w:spacing w:after="100"/>
              <w:jc w:val="right"/>
              <w:rPr>
                <w:rFonts w:eastAsia="Times New Roman"/>
              </w:rPr>
            </w:pPr>
          </w:p>
        </w:tc>
      </w:tr>
      <w:tr w:rsidR="00405D16" w14:paraId="26CB8FEF" w14:textId="77777777">
        <w:trPr>
          <w:gridAfter w:val="1"/>
          <w:divId w:val="1051461310"/>
        </w:trPr>
        <w:tc>
          <w:tcPr>
            <w:tcW w:w="0" w:type="auto"/>
            <w:gridSpan w:val="4"/>
            <w:shd w:val="clear" w:color="auto" w:fill="CCEEFF"/>
            <w:tcMar>
              <w:top w:w="30" w:type="dxa"/>
              <w:left w:w="380" w:type="dxa"/>
              <w:bottom w:w="30" w:type="dxa"/>
              <w:right w:w="20" w:type="dxa"/>
            </w:tcMar>
            <w:vAlign w:val="center"/>
            <w:hideMark/>
          </w:tcPr>
          <w:p w14:paraId="2DDFA9A4" w14:textId="77777777" w:rsidR="00000000" w:rsidRDefault="00405D16">
            <w:pPr>
              <w:spacing w:after="100"/>
              <w:rPr>
                <w:rFonts w:eastAsia="Times New Roman"/>
              </w:rPr>
            </w:pPr>
            <w:r>
              <w:rPr>
                <w:rFonts w:eastAsia="Times New Roman"/>
                <w:color w:val="000000"/>
                <w:sz w:val="18"/>
                <w:szCs w:val="18"/>
              </w:rPr>
              <w:t>621-660</w:t>
            </w:r>
          </w:p>
        </w:tc>
        <w:tc>
          <w:tcPr>
            <w:tcW w:w="0" w:type="auto"/>
            <w:gridSpan w:val="3"/>
            <w:shd w:val="clear" w:color="auto" w:fill="CCEEFF"/>
            <w:tcMar>
              <w:top w:w="0" w:type="dxa"/>
              <w:left w:w="20" w:type="dxa"/>
              <w:bottom w:w="0" w:type="dxa"/>
              <w:right w:w="20" w:type="dxa"/>
            </w:tcMar>
            <w:vAlign w:val="center"/>
            <w:hideMark/>
          </w:tcPr>
          <w:p w14:paraId="787BB7D1"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D47B274" w14:textId="77777777" w:rsidR="00000000" w:rsidRDefault="00405D16">
            <w:pPr>
              <w:spacing w:after="100"/>
              <w:jc w:val="right"/>
              <w:rPr>
                <w:rFonts w:eastAsia="Times New Roman"/>
              </w:rPr>
            </w:pPr>
            <w:r>
              <w:rPr>
                <w:rFonts w:eastAsia="Times New Roman"/>
                <w:b/>
                <w:bCs/>
                <w:color w:val="000000"/>
                <w:sz w:val="18"/>
                <w:szCs w:val="18"/>
              </w:rPr>
              <w:t>6,093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295EAC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5C979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72FE6F5" w14:textId="77777777" w:rsidR="00000000" w:rsidRDefault="00405D16">
            <w:pPr>
              <w:spacing w:after="100"/>
              <w:jc w:val="right"/>
              <w:rPr>
                <w:rFonts w:eastAsia="Times New Roman"/>
              </w:rPr>
            </w:pPr>
            <w:r>
              <w:rPr>
                <w:rFonts w:eastAsia="Times New Roman"/>
                <w:b/>
                <w:bCs/>
                <w:color w:val="000000"/>
                <w:sz w:val="18"/>
                <w:szCs w:val="18"/>
              </w:rPr>
              <w:t>4,212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3BBF57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C55D86" w14:textId="77777777" w:rsidR="00000000" w:rsidRDefault="00405D16">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14:paraId="3AA1E8D2" w14:textId="77777777" w:rsidR="00000000" w:rsidRDefault="00405D16">
            <w:pPr>
              <w:spacing w:after="100"/>
              <w:jc w:val="right"/>
              <w:rPr>
                <w:rFonts w:eastAsia="Times New Roman"/>
              </w:rPr>
            </w:pPr>
            <w:r>
              <w:rPr>
                <w:rFonts w:eastAsia="Times New Roman"/>
                <w:b/>
                <w:bCs/>
                <w:color w:val="000000"/>
                <w:sz w:val="18"/>
                <w:szCs w:val="18"/>
              </w:rPr>
              <w:t>2,435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06DA5F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84E13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9C14882" w14:textId="77777777" w:rsidR="00000000" w:rsidRDefault="00405D16">
            <w:pPr>
              <w:spacing w:after="100"/>
              <w:jc w:val="right"/>
              <w:rPr>
                <w:rFonts w:eastAsia="Times New Roman"/>
              </w:rPr>
            </w:pPr>
            <w:r>
              <w:rPr>
                <w:rFonts w:eastAsia="Times New Roman"/>
                <w:b/>
                <w:bCs/>
                <w:color w:val="000000"/>
                <w:sz w:val="18"/>
                <w:szCs w:val="18"/>
              </w:rPr>
              <w:t>1,276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707864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B756F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28F2CC6" w14:textId="77777777" w:rsidR="00000000" w:rsidRDefault="00405D16">
            <w:pPr>
              <w:spacing w:after="100"/>
              <w:jc w:val="right"/>
              <w:rPr>
                <w:rFonts w:eastAsia="Times New Roman"/>
              </w:rPr>
            </w:pPr>
            <w:r>
              <w:rPr>
                <w:rFonts w:eastAsia="Times New Roman"/>
                <w:b/>
                <w:bCs/>
                <w:color w:val="000000"/>
                <w:sz w:val="18"/>
                <w:szCs w:val="18"/>
              </w:rPr>
              <w:t>666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9B57DE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AABAF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AD35F3C" w14:textId="77777777" w:rsidR="00000000" w:rsidRDefault="00405D16">
            <w:pPr>
              <w:spacing w:after="100"/>
              <w:jc w:val="right"/>
              <w:rPr>
                <w:rFonts w:eastAsia="Times New Roman"/>
              </w:rPr>
            </w:pPr>
            <w:r>
              <w:rPr>
                <w:rFonts w:eastAsia="Times New Roman"/>
                <w:b/>
                <w:bCs/>
                <w:color w:val="000000"/>
                <w:sz w:val="18"/>
                <w:szCs w:val="18"/>
              </w:rPr>
              <w:t>231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9F961E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2DC457" w14:textId="77777777" w:rsidR="00000000" w:rsidRDefault="00405D16">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14:paraId="29D22D40" w14:textId="77777777" w:rsidR="00000000" w:rsidRDefault="00405D16">
            <w:pPr>
              <w:spacing w:after="100"/>
              <w:jc w:val="right"/>
              <w:rPr>
                <w:rFonts w:eastAsia="Times New Roman"/>
              </w:rPr>
            </w:pPr>
            <w:r>
              <w:rPr>
                <w:rFonts w:eastAsia="Times New Roman"/>
                <w:b/>
                <w:bCs/>
                <w:color w:val="000000"/>
                <w:sz w:val="18"/>
                <w:szCs w:val="18"/>
              </w:rPr>
              <w:t>14,913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F1EBC7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307D9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44DEBD5"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C5D212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CD6F5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3345F53"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B39D86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2EEA4A"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14:paraId="13DEE5D6" w14:textId="77777777" w:rsidR="00000000" w:rsidRDefault="00405D16">
            <w:pPr>
              <w:spacing w:after="100"/>
              <w:jc w:val="right"/>
              <w:rPr>
                <w:rFonts w:eastAsia="Times New Roman"/>
              </w:rPr>
            </w:pPr>
            <w:r>
              <w:rPr>
                <w:rFonts w:eastAsia="Times New Roman"/>
                <w:b/>
                <w:bCs/>
                <w:color w:val="000000"/>
                <w:sz w:val="18"/>
                <w:szCs w:val="18"/>
              </w:rPr>
              <w:t>14,913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9240B1F" w14:textId="77777777" w:rsidR="00000000" w:rsidRDefault="00405D16">
            <w:pPr>
              <w:spacing w:after="100"/>
              <w:jc w:val="right"/>
              <w:rPr>
                <w:rFonts w:eastAsia="Times New Roman"/>
              </w:rPr>
            </w:pPr>
          </w:p>
        </w:tc>
      </w:tr>
      <w:tr w:rsidR="00405D16" w14:paraId="45FDF82D" w14:textId="77777777">
        <w:trPr>
          <w:gridAfter w:val="1"/>
          <w:divId w:val="1051461310"/>
        </w:trPr>
        <w:tc>
          <w:tcPr>
            <w:tcW w:w="0" w:type="auto"/>
            <w:gridSpan w:val="4"/>
            <w:shd w:val="clear" w:color="auto" w:fill="FFFFFF"/>
            <w:tcMar>
              <w:top w:w="30" w:type="dxa"/>
              <w:left w:w="380" w:type="dxa"/>
              <w:bottom w:w="30" w:type="dxa"/>
              <w:right w:w="20" w:type="dxa"/>
            </w:tcMar>
            <w:vAlign w:val="center"/>
            <w:hideMark/>
          </w:tcPr>
          <w:p w14:paraId="6A5D9E56" w14:textId="77777777" w:rsidR="00000000" w:rsidRDefault="00405D16">
            <w:pPr>
              <w:spacing w:after="100"/>
              <w:rPr>
                <w:rFonts w:eastAsia="Times New Roman"/>
              </w:rPr>
            </w:pPr>
            <w:r>
              <w:rPr>
                <w:rFonts w:eastAsia="Times New Roman"/>
                <w:color w:val="000000"/>
                <w:sz w:val="18"/>
                <w:szCs w:val="18"/>
              </w:rPr>
              <w:t>620 or below</w:t>
            </w:r>
          </w:p>
        </w:tc>
        <w:tc>
          <w:tcPr>
            <w:tcW w:w="0" w:type="auto"/>
            <w:gridSpan w:val="3"/>
            <w:shd w:val="clear" w:color="auto" w:fill="FFFFFF"/>
            <w:tcMar>
              <w:top w:w="0" w:type="dxa"/>
              <w:left w:w="20" w:type="dxa"/>
              <w:bottom w:w="0" w:type="dxa"/>
              <w:right w:w="20" w:type="dxa"/>
            </w:tcMar>
            <w:vAlign w:val="center"/>
            <w:hideMark/>
          </w:tcPr>
          <w:p w14:paraId="24903345"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B0B925E" w14:textId="77777777" w:rsidR="00000000" w:rsidRDefault="00405D16">
            <w:pPr>
              <w:spacing w:after="100"/>
              <w:jc w:val="right"/>
              <w:rPr>
                <w:rFonts w:eastAsia="Times New Roman"/>
              </w:rPr>
            </w:pPr>
            <w:r>
              <w:rPr>
                <w:rFonts w:eastAsia="Times New Roman"/>
                <w:b/>
                <w:bCs/>
                <w:color w:val="000000"/>
                <w:sz w:val="18"/>
                <w:szCs w:val="18"/>
              </w:rPr>
              <w:t>7,949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5FAF1C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18FEC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4F41D8B" w14:textId="77777777" w:rsidR="00000000" w:rsidRDefault="00405D16">
            <w:pPr>
              <w:spacing w:after="100"/>
              <w:jc w:val="right"/>
              <w:rPr>
                <w:rFonts w:eastAsia="Times New Roman"/>
              </w:rPr>
            </w:pPr>
            <w:r>
              <w:rPr>
                <w:rFonts w:eastAsia="Times New Roman"/>
                <w:b/>
                <w:bCs/>
                <w:color w:val="000000"/>
                <w:sz w:val="18"/>
                <w:szCs w:val="18"/>
              </w:rPr>
              <w:t>7,131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41E4F3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D2A6D0" w14:textId="77777777" w:rsidR="00000000" w:rsidRDefault="00405D16">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14:paraId="11563043" w14:textId="77777777" w:rsidR="00000000" w:rsidRDefault="00405D16">
            <w:pPr>
              <w:spacing w:after="100"/>
              <w:jc w:val="right"/>
              <w:rPr>
                <w:rFonts w:eastAsia="Times New Roman"/>
              </w:rPr>
            </w:pPr>
            <w:r>
              <w:rPr>
                <w:rFonts w:eastAsia="Times New Roman"/>
                <w:b/>
                <w:bCs/>
                <w:color w:val="000000"/>
                <w:sz w:val="18"/>
                <w:szCs w:val="18"/>
              </w:rPr>
              <w:t>4,321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28644B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08150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51B6584" w14:textId="77777777" w:rsidR="00000000" w:rsidRDefault="00405D16">
            <w:pPr>
              <w:spacing w:after="100"/>
              <w:jc w:val="right"/>
              <w:rPr>
                <w:rFonts w:eastAsia="Times New Roman"/>
              </w:rPr>
            </w:pPr>
            <w:r>
              <w:rPr>
                <w:rFonts w:eastAsia="Times New Roman"/>
                <w:b/>
                <w:bCs/>
                <w:color w:val="000000"/>
                <w:sz w:val="18"/>
                <w:szCs w:val="18"/>
              </w:rPr>
              <w:t>2,150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71246B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303C3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C83D4DD" w14:textId="77777777" w:rsidR="00000000" w:rsidRDefault="00405D16">
            <w:pPr>
              <w:spacing w:after="100"/>
              <w:jc w:val="right"/>
              <w:rPr>
                <w:rFonts w:eastAsia="Times New Roman"/>
              </w:rPr>
            </w:pPr>
            <w:r>
              <w:rPr>
                <w:rFonts w:eastAsia="Times New Roman"/>
                <w:b/>
                <w:bCs/>
                <w:color w:val="000000"/>
                <w:sz w:val="18"/>
                <w:szCs w:val="18"/>
              </w:rPr>
              <w:t>1,161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88A00E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52380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A3C134C" w14:textId="77777777" w:rsidR="00000000" w:rsidRDefault="00405D16">
            <w:pPr>
              <w:spacing w:after="100"/>
              <w:jc w:val="right"/>
              <w:rPr>
                <w:rFonts w:eastAsia="Times New Roman"/>
              </w:rPr>
            </w:pPr>
            <w:r>
              <w:rPr>
                <w:rFonts w:eastAsia="Times New Roman"/>
                <w:b/>
                <w:bCs/>
                <w:color w:val="000000"/>
                <w:sz w:val="18"/>
                <w:szCs w:val="18"/>
              </w:rPr>
              <w:t>465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DBD31A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261626" w14:textId="77777777" w:rsidR="00000000" w:rsidRDefault="00405D16">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14:paraId="762CAB35" w14:textId="77777777" w:rsidR="00000000" w:rsidRDefault="00405D16">
            <w:pPr>
              <w:spacing w:after="100"/>
              <w:jc w:val="right"/>
              <w:rPr>
                <w:rFonts w:eastAsia="Times New Roman"/>
              </w:rPr>
            </w:pPr>
            <w:r>
              <w:rPr>
                <w:rFonts w:eastAsia="Times New Roman"/>
                <w:b/>
                <w:bCs/>
                <w:color w:val="000000"/>
                <w:sz w:val="18"/>
                <w:szCs w:val="18"/>
              </w:rPr>
              <w:t>23,177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AB116A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BFBF9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525EE67"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B37CA7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60454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64D7D4B"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5CC864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4932EE"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14:paraId="0D33B127" w14:textId="77777777" w:rsidR="00000000" w:rsidRDefault="00405D16">
            <w:pPr>
              <w:spacing w:after="100"/>
              <w:jc w:val="right"/>
              <w:rPr>
                <w:rFonts w:eastAsia="Times New Roman"/>
              </w:rPr>
            </w:pPr>
            <w:r>
              <w:rPr>
                <w:rFonts w:eastAsia="Times New Roman"/>
                <w:b/>
                <w:bCs/>
                <w:color w:val="000000"/>
                <w:sz w:val="18"/>
                <w:szCs w:val="18"/>
              </w:rPr>
              <w:t>23,177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31FCCBC" w14:textId="77777777" w:rsidR="00000000" w:rsidRDefault="00405D16">
            <w:pPr>
              <w:spacing w:after="100"/>
              <w:jc w:val="right"/>
              <w:rPr>
                <w:rFonts w:eastAsia="Times New Roman"/>
              </w:rPr>
            </w:pPr>
          </w:p>
        </w:tc>
      </w:tr>
      <w:tr w:rsidR="00405D16" w14:paraId="4AF3E432" w14:textId="77777777">
        <w:trPr>
          <w:gridAfter w:val="1"/>
          <w:divId w:val="1051461310"/>
        </w:trPr>
        <w:tc>
          <w:tcPr>
            <w:tcW w:w="0" w:type="auto"/>
            <w:gridSpan w:val="4"/>
            <w:shd w:val="clear" w:color="auto" w:fill="CCEEFF"/>
            <w:tcMar>
              <w:top w:w="30" w:type="dxa"/>
              <w:left w:w="20" w:type="dxa"/>
              <w:bottom w:w="30" w:type="dxa"/>
              <w:right w:w="20" w:type="dxa"/>
            </w:tcMar>
            <w:vAlign w:val="center"/>
            <w:hideMark/>
          </w:tcPr>
          <w:p w14:paraId="3B26B2CF" w14:textId="77777777" w:rsidR="00000000" w:rsidRDefault="00405D16">
            <w:pPr>
              <w:spacing w:after="100"/>
              <w:rPr>
                <w:rFonts w:eastAsia="Times New Roman"/>
              </w:rPr>
            </w:pPr>
            <w:r>
              <w:rPr>
                <w:rFonts w:eastAsia="Times New Roman"/>
                <w:b/>
                <w:bCs/>
                <w:color w:val="000000"/>
                <w:sz w:val="18"/>
                <w:szCs w:val="18"/>
              </w:rPr>
              <w:t>Total auto</w:t>
            </w:r>
          </w:p>
        </w:tc>
        <w:tc>
          <w:tcPr>
            <w:tcW w:w="0" w:type="auto"/>
            <w:gridSpan w:val="3"/>
            <w:shd w:val="clear" w:color="auto" w:fill="CCEEFF"/>
            <w:tcMar>
              <w:top w:w="0" w:type="dxa"/>
              <w:left w:w="20" w:type="dxa"/>
              <w:bottom w:w="0" w:type="dxa"/>
              <w:right w:w="20" w:type="dxa"/>
            </w:tcMar>
            <w:vAlign w:val="center"/>
            <w:hideMark/>
          </w:tcPr>
          <w:p w14:paraId="56A68E95"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EB8CCBC" w14:textId="77777777" w:rsidR="00000000" w:rsidRDefault="00405D16">
            <w:pPr>
              <w:spacing w:after="100"/>
              <w:jc w:val="right"/>
              <w:rPr>
                <w:rFonts w:eastAsia="Times New Roman"/>
              </w:rPr>
            </w:pPr>
            <w:r>
              <w:rPr>
                <w:rFonts w:eastAsia="Times New Roman"/>
                <w:b/>
                <w:bCs/>
                <w:color w:val="000000"/>
                <w:sz w:val="18"/>
                <w:szCs w:val="18"/>
              </w:rPr>
              <w:t>30,727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29323A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CAE7C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02B772A" w14:textId="77777777" w:rsidR="00000000" w:rsidRDefault="00405D16">
            <w:pPr>
              <w:spacing w:after="100"/>
              <w:jc w:val="right"/>
              <w:rPr>
                <w:rFonts w:eastAsia="Times New Roman"/>
              </w:rPr>
            </w:pPr>
            <w:r>
              <w:rPr>
                <w:rFonts w:eastAsia="Times New Roman"/>
                <w:b/>
                <w:bCs/>
                <w:color w:val="000000"/>
                <w:sz w:val="18"/>
                <w:szCs w:val="18"/>
              </w:rPr>
              <w:t>21,039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E87825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A02CA8" w14:textId="77777777" w:rsidR="00000000" w:rsidRDefault="00405D16">
            <w:pPr>
              <w:spacing w:after="100"/>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center"/>
            <w:hideMark/>
          </w:tcPr>
          <w:p w14:paraId="2EDDF5FC" w14:textId="77777777" w:rsidR="00000000" w:rsidRDefault="00405D16">
            <w:pPr>
              <w:spacing w:after="100"/>
              <w:jc w:val="right"/>
              <w:rPr>
                <w:rFonts w:eastAsia="Times New Roman"/>
              </w:rPr>
            </w:pPr>
            <w:r>
              <w:rPr>
                <w:rFonts w:eastAsia="Times New Roman"/>
                <w:b/>
                <w:bCs/>
                <w:color w:val="000000"/>
                <w:sz w:val="18"/>
                <w:szCs w:val="18"/>
              </w:rPr>
              <w:t>12,204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4328CE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554BC4"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D489F14" w14:textId="77777777" w:rsidR="00000000" w:rsidRDefault="00405D16">
            <w:pPr>
              <w:spacing w:after="100"/>
              <w:jc w:val="right"/>
              <w:rPr>
                <w:rFonts w:eastAsia="Times New Roman"/>
              </w:rPr>
            </w:pPr>
            <w:r>
              <w:rPr>
                <w:rFonts w:eastAsia="Times New Roman"/>
                <w:b/>
                <w:bCs/>
                <w:color w:val="000000"/>
                <w:sz w:val="18"/>
                <w:szCs w:val="18"/>
              </w:rPr>
              <w:t>6,286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60BAC4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DD6D8C"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1C0659C" w14:textId="77777777" w:rsidR="00000000" w:rsidRDefault="00405D16">
            <w:pPr>
              <w:spacing w:after="100"/>
              <w:jc w:val="right"/>
              <w:rPr>
                <w:rFonts w:eastAsia="Times New Roman"/>
              </w:rPr>
            </w:pPr>
            <w:r>
              <w:rPr>
                <w:rFonts w:eastAsia="Times New Roman"/>
                <w:b/>
                <w:bCs/>
                <w:color w:val="000000"/>
                <w:sz w:val="18"/>
                <w:szCs w:val="18"/>
              </w:rPr>
              <w:t>3,302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D06CBA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C0293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EFA6246" w14:textId="77777777" w:rsidR="00000000" w:rsidRDefault="00405D16">
            <w:pPr>
              <w:spacing w:after="100"/>
              <w:jc w:val="right"/>
              <w:rPr>
                <w:rFonts w:eastAsia="Times New Roman"/>
              </w:rPr>
            </w:pPr>
            <w:r>
              <w:rPr>
                <w:rFonts w:eastAsia="Times New Roman"/>
                <w:b/>
                <w:bCs/>
                <w:color w:val="000000"/>
                <w:sz w:val="18"/>
                <w:szCs w:val="18"/>
              </w:rPr>
              <w:t>1,158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698E6D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DD27B7" w14:textId="77777777" w:rsidR="00000000" w:rsidRDefault="00405D16">
            <w:pPr>
              <w:spacing w:after="100"/>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center"/>
            <w:hideMark/>
          </w:tcPr>
          <w:p w14:paraId="09496E40" w14:textId="77777777" w:rsidR="00000000" w:rsidRDefault="00405D16">
            <w:pPr>
              <w:spacing w:after="100"/>
              <w:jc w:val="right"/>
              <w:rPr>
                <w:rFonts w:eastAsia="Times New Roman"/>
              </w:rPr>
            </w:pPr>
            <w:r>
              <w:rPr>
                <w:rFonts w:eastAsia="Times New Roman"/>
                <w:b/>
                <w:bCs/>
                <w:color w:val="000000"/>
                <w:sz w:val="18"/>
                <w:szCs w:val="18"/>
              </w:rPr>
              <w:t>74,716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1174DC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0F1AB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C81A9E4"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55F528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ED5EC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158F2EC"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C6C154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796B49" w14:textId="77777777" w:rsidR="00000000" w:rsidRDefault="00405D16">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0" w:type="dxa"/>
            </w:tcMar>
            <w:vAlign w:val="center"/>
            <w:hideMark/>
          </w:tcPr>
          <w:p w14:paraId="32159A39" w14:textId="77777777" w:rsidR="00000000" w:rsidRDefault="00405D16">
            <w:pPr>
              <w:spacing w:after="100"/>
              <w:jc w:val="right"/>
              <w:rPr>
                <w:rFonts w:eastAsia="Times New Roman"/>
              </w:rPr>
            </w:pPr>
            <w:r>
              <w:rPr>
                <w:rFonts w:eastAsia="Times New Roman"/>
                <w:b/>
                <w:bCs/>
                <w:color w:val="000000"/>
                <w:sz w:val="18"/>
                <w:szCs w:val="18"/>
              </w:rPr>
              <w:t>74,716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1CA5A39" w14:textId="77777777" w:rsidR="00000000" w:rsidRDefault="00405D16">
            <w:pPr>
              <w:spacing w:after="100"/>
              <w:jc w:val="right"/>
              <w:rPr>
                <w:rFonts w:eastAsia="Times New Roman"/>
              </w:rPr>
            </w:pPr>
          </w:p>
        </w:tc>
      </w:tr>
      <w:tr w:rsidR="00000000" w14:paraId="3B7FB42A" w14:textId="77777777">
        <w:trPr>
          <w:gridAfter w:val="1"/>
          <w:divId w:val="1051461310"/>
          <w:trHeight w:val="280"/>
        </w:trPr>
        <w:tc>
          <w:tcPr>
            <w:tcW w:w="0" w:type="auto"/>
            <w:gridSpan w:val="4"/>
            <w:shd w:val="clear" w:color="auto" w:fill="FFFFFF"/>
            <w:tcMar>
              <w:top w:w="0" w:type="dxa"/>
              <w:left w:w="20" w:type="dxa"/>
              <w:bottom w:w="0" w:type="dxa"/>
              <w:right w:w="20" w:type="dxa"/>
            </w:tcMar>
            <w:vAlign w:val="center"/>
            <w:hideMark/>
          </w:tcPr>
          <w:p w14:paraId="09862172" w14:textId="77777777" w:rsidR="00000000" w:rsidRDefault="00405D1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BDBD45"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F12FC5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68AF8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92311A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6A242A" w14:textId="77777777" w:rsidR="00000000" w:rsidRDefault="00405D16">
            <w:pPr>
              <w:spacing w:after="100"/>
              <w:rPr>
                <w:rFonts w:eastAsia="Times New Roman"/>
                <w:sz w:val="20"/>
                <w:szCs w:val="20"/>
              </w:rPr>
            </w:pPr>
          </w:p>
        </w:tc>
        <w:tc>
          <w:tcPr>
            <w:tcW w:w="0" w:type="auto"/>
            <w:gridSpan w:val="6"/>
            <w:tcBorders>
              <w:top w:val="single" w:sz="8" w:space="0" w:color="000000"/>
            </w:tcBorders>
            <w:shd w:val="clear" w:color="auto" w:fill="FFFFFF"/>
            <w:tcMar>
              <w:top w:w="0" w:type="dxa"/>
              <w:left w:w="20" w:type="dxa"/>
              <w:bottom w:w="0" w:type="dxa"/>
              <w:right w:w="20" w:type="dxa"/>
            </w:tcMar>
            <w:vAlign w:val="center"/>
            <w:hideMark/>
          </w:tcPr>
          <w:p w14:paraId="3FFA44F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337151"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38F313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606133"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77DC75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55C221"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8053E2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2F74E1" w14:textId="77777777" w:rsidR="00000000" w:rsidRDefault="00405D16">
            <w:pPr>
              <w:spacing w:after="100"/>
              <w:rPr>
                <w:rFonts w:eastAsia="Times New Roman"/>
                <w:sz w:val="20"/>
                <w:szCs w:val="20"/>
              </w:rPr>
            </w:pPr>
          </w:p>
        </w:tc>
        <w:tc>
          <w:tcPr>
            <w:tcW w:w="0" w:type="auto"/>
            <w:gridSpan w:val="6"/>
            <w:tcBorders>
              <w:top w:val="single" w:sz="8" w:space="0" w:color="000000"/>
            </w:tcBorders>
            <w:shd w:val="clear" w:color="auto" w:fill="FFFFFF"/>
            <w:tcMar>
              <w:top w:w="0" w:type="dxa"/>
              <w:left w:w="20" w:type="dxa"/>
              <w:bottom w:w="0" w:type="dxa"/>
              <w:right w:w="20" w:type="dxa"/>
            </w:tcMar>
            <w:vAlign w:val="center"/>
            <w:hideMark/>
          </w:tcPr>
          <w:p w14:paraId="03A3B37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29440F"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C24CD2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DEA1D1"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9F28A3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AC6DA5"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9F6FF5F" w14:textId="77777777" w:rsidR="00000000" w:rsidRDefault="00405D16">
            <w:pPr>
              <w:spacing w:after="100"/>
              <w:rPr>
                <w:rFonts w:eastAsia="Times New Roman"/>
                <w:sz w:val="20"/>
                <w:szCs w:val="20"/>
              </w:rPr>
            </w:pPr>
          </w:p>
        </w:tc>
        <w:tc>
          <w:tcPr>
            <w:tcW w:w="0" w:type="auto"/>
            <w:vAlign w:val="center"/>
            <w:hideMark/>
          </w:tcPr>
          <w:p w14:paraId="73AFD4B2" w14:textId="77777777" w:rsidR="00000000" w:rsidRDefault="00405D16">
            <w:pPr>
              <w:spacing w:after="100"/>
              <w:rPr>
                <w:rFonts w:eastAsia="Times New Roman"/>
                <w:sz w:val="20"/>
                <w:szCs w:val="20"/>
              </w:rPr>
            </w:pPr>
          </w:p>
        </w:tc>
      </w:tr>
      <w:tr w:rsidR="00000000" w14:paraId="2D9461B8" w14:textId="77777777">
        <w:trPr>
          <w:gridAfter w:val="1"/>
          <w:divId w:val="1051461310"/>
        </w:trPr>
        <w:tc>
          <w:tcPr>
            <w:tcW w:w="0" w:type="auto"/>
            <w:gridSpan w:val="4"/>
            <w:shd w:val="clear" w:color="auto" w:fill="CCEEFF"/>
            <w:tcMar>
              <w:top w:w="30" w:type="dxa"/>
              <w:left w:w="20" w:type="dxa"/>
              <w:bottom w:w="30" w:type="dxa"/>
              <w:right w:w="20" w:type="dxa"/>
            </w:tcMar>
            <w:vAlign w:val="center"/>
            <w:hideMark/>
          </w:tcPr>
          <w:p w14:paraId="2D2F80B5" w14:textId="77777777" w:rsidR="00000000" w:rsidRDefault="00405D16">
            <w:pPr>
              <w:spacing w:after="100"/>
              <w:rPr>
                <w:rFonts w:eastAsia="Times New Roman"/>
              </w:rPr>
            </w:pPr>
            <w:r>
              <w:rPr>
                <w:rFonts w:eastAsia="Times New Roman"/>
                <w:b/>
                <w:bCs/>
                <w:color w:val="000000"/>
                <w:sz w:val="18"/>
                <w:szCs w:val="18"/>
              </w:rPr>
              <w:t>Retail banking—Delinquency status:</w:t>
            </w:r>
          </w:p>
        </w:tc>
        <w:tc>
          <w:tcPr>
            <w:tcW w:w="0" w:type="auto"/>
            <w:gridSpan w:val="3"/>
            <w:shd w:val="clear" w:color="auto" w:fill="CCEEFF"/>
            <w:tcMar>
              <w:top w:w="0" w:type="dxa"/>
              <w:left w:w="20" w:type="dxa"/>
              <w:bottom w:w="0" w:type="dxa"/>
              <w:right w:w="20" w:type="dxa"/>
            </w:tcMar>
            <w:vAlign w:val="center"/>
            <w:hideMark/>
          </w:tcPr>
          <w:p w14:paraId="1269643E"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3752B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6E5A6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8E11C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4CF7A0" w14:textId="77777777" w:rsidR="00000000" w:rsidRDefault="00405D16">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14:paraId="01C4AA6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C97C2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AC6BA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AB299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67F8D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C2791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AB720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41F292" w14:textId="77777777" w:rsidR="00000000" w:rsidRDefault="00405D16">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14:paraId="4503B33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FE24B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D31FA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7212B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4520D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0AC09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8B0F76" w14:textId="77777777" w:rsidR="00000000" w:rsidRDefault="00405D16">
            <w:pPr>
              <w:spacing w:after="100"/>
              <w:rPr>
                <w:rFonts w:eastAsia="Times New Roman"/>
                <w:sz w:val="20"/>
                <w:szCs w:val="20"/>
              </w:rPr>
            </w:pPr>
          </w:p>
        </w:tc>
        <w:tc>
          <w:tcPr>
            <w:tcW w:w="0" w:type="auto"/>
            <w:vAlign w:val="center"/>
            <w:hideMark/>
          </w:tcPr>
          <w:p w14:paraId="79DCFAF4" w14:textId="77777777" w:rsidR="00000000" w:rsidRDefault="00405D16">
            <w:pPr>
              <w:spacing w:after="100"/>
              <w:rPr>
                <w:rFonts w:eastAsia="Times New Roman"/>
                <w:sz w:val="20"/>
                <w:szCs w:val="20"/>
              </w:rPr>
            </w:pPr>
          </w:p>
        </w:tc>
      </w:tr>
      <w:tr w:rsidR="00405D16" w14:paraId="4F236183" w14:textId="77777777">
        <w:trPr>
          <w:gridAfter w:val="1"/>
          <w:divId w:val="1051461310"/>
        </w:trPr>
        <w:tc>
          <w:tcPr>
            <w:tcW w:w="0" w:type="auto"/>
            <w:gridSpan w:val="4"/>
            <w:shd w:val="clear" w:color="auto" w:fill="FFFFFF"/>
            <w:tcMar>
              <w:top w:w="30" w:type="dxa"/>
              <w:left w:w="380" w:type="dxa"/>
              <w:bottom w:w="30" w:type="dxa"/>
              <w:right w:w="20" w:type="dxa"/>
            </w:tcMar>
            <w:vAlign w:val="center"/>
            <w:hideMark/>
          </w:tcPr>
          <w:p w14:paraId="3075AC15" w14:textId="77777777" w:rsidR="00000000" w:rsidRDefault="00405D16">
            <w:pPr>
              <w:spacing w:after="100"/>
              <w:rPr>
                <w:rFonts w:eastAsia="Times New Roman"/>
              </w:rPr>
            </w:pPr>
            <w:r>
              <w:rPr>
                <w:rFonts w:eastAsia="Times New Roman"/>
                <w:color w:val="000000"/>
                <w:sz w:val="18"/>
                <w:szCs w:val="18"/>
              </w:rPr>
              <w:t>Current</w:t>
            </w:r>
          </w:p>
        </w:tc>
        <w:tc>
          <w:tcPr>
            <w:tcW w:w="0" w:type="auto"/>
            <w:gridSpan w:val="3"/>
            <w:shd w:val="clear" w:color="auto" w:fill="FFFFFF"/>
            <w:tcMar>
              <w:top w:w="0" w:type="dxa"/>
              <w:left w:w="20" w:type="dxa"/>
              <w:bottom w:w="0" w:type="dxa"/>
              <w:right w:w="20" w:type="dxa"/>
            </w:tcMar>
            <w:vAlign w:val="center"/>
            <w:hideMark/>
          </w:tcPr>
          <w:p w14:paraId="2D576C1C"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DDB36C8" w14:textId="77777777" w:rsidR="00000000" w:rsidRDefault="00405D16">
            <w:pPr>
              <w:spacing w:after="100"/>
              <w:jc w:val="right"/>
              <w:rPr>
                <w:rFonts w:eastAsia="Times New Roman"/>
              </w:rPr>
            </w:pPr>
            <w:r>
              <w:rPr>
                <w:rFonts w:eastAsia="Times New Roman"/>
                <w:b/>
                <w:bCs/>
                <w:color w:val="000000"/>
                <w:sz w:val="18"/>
                <w:szCs w:val="18"/>
              </w:rPr>
              <w:t>420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DD14A8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242B6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3A0ED05" w14:textId="77777777" w:rsidR="00000000" w:rsidRDefault="00405D16">
            <w:pPr>
              <w:spacing w:after="100"/>
              <w:jc w:val="right"/>
              <w:rPr>
                <w:rFonts w:eastAsia="Times New Roman"/>
              </w:rPr>
            </w:pPr>
            <w:r>
              <w:rPr>
                <w:rFonts w:eastAsia="Times New Roman"/>
                <w:b/>
                <w:bCs/>
                <w:color w:val="000000"/>
                <w:sz w:val="18"/>
                <w:szCs w:val="18"/>
              </w:rPr>
              <w:t>324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FB1CF4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69B760" w14:textId="77777777" w:rsidR="00000000" w:rsidRDefault="00405D16">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14:paraId="69ACBCF5" w14:textId="77777777" w:rsidR="00000000" w:rsidRDefault="00405D16">
            <w:pPr>
              <w:spacing w:after="100"/>
              <w:jc w:val="right"/>
              <w:rPr>
                <w:rFonts w:eastAsia="Times New Roman"/>
              </w:rPr>
            </w:pPr>
            <w:r>
              <w:rPr>
                <w:rFonts w:eastAsia="Times New Roman"/>
                <w:b/>
                <w:bCs/>
                <w:color w:val="000000"/>
                <w:sz w:val="18"/>
                <w:szCs w:val="18"/>
              </w:rPr>
              <w:t>184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2D9F01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DCDAE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CC6B85E" w14:textId="77777777" w:rsidR="00000000" w:rsidRDefault="00405D16">
            <w:pPr>
              <w:spacing w:after="100"/>
              <w:jc w:val="right"/>
              <w:rPr>
                <w:rFonts w:eastAsia="Times New Roman"/>
              </w:rPr>
            </w:pPr>
            <w:r>
              <w:rPr>
                <w:rFonts w:eastAsia="Times New Roman"/>
                <w:b/>
                <w:bCs/>
                <w:color w:val="000000"/>
                <w:sz w:val="18"/>
                <w:szCs w:val="18"/>
              </w:rPr>
              <w:t>185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E9BCFE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84B8E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0B533EE" w14:textId="77777777" w:rsidR="00000000" w:rsidRDefault="00405D16">
            <w:pPr>
              <w:spacing w:after="100"/>
              <w:jc w:val="right"/>
              <w:rPr>
                <w:rFonts w:eastAsia="Times New Roman"/>
              </w:rPr>
            </w:pPr>
            <w:r>
              <w:rPr>
                <w:rFonts w:eastAsia="Times New Roman"/>
                <w:b/>
                <w:bCs/>
                <w:color w:val="000000"/>
                <w:sz w:val="18"/>
                <w:szCs w:val="18"/>
              </w:rPr>
              <w:t>187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296010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B28C5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FBF9A51" w14:textId="77777777" w:rsidR="00000000" w:rsidRDefault="00405D16">
            <w:pPr>
              <w:spacing w:after="100"/>
              <w:jc w:val="right"/>
              <w:rPr>
                <w:rFonts w:eastAsia="Times New Roman"/>
              </w:rPr>
            </w:pPr>
            <w:r>
              <w:rPr>
                <w:rFonts w:eastAsia="Times New Roman"/>
                <w:b/>
                <w:bCs/>
                <w:color w:val="000000"/>
                <w:sz w:val="18"/>
                <w:szCs w:val="18"/>
              </w:rPr>
              <w:t>544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48FC75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DEBA4E" w14:textId="77777777" w:rsidR="00000000" w:rsidRDefault="00405D16">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14:paraId="2D9E258B" w14:textId="77777777" w:rsidR="00000000" w:rsidRDefault="00405D16">
            <w:pPr>
              <w:spacing w:after="100"/>
              <w:jc w:val="right"/>
              <w:rPr>
                <w:rFonts w:eastAsia="Times New Roman"/>
              </w:rPr>
            </w:pPr>
            <w:r>
              <w:rPr>
                <w:rFonts w:eastAsia="Times New Roman"/>
                <w:b/>
                <w:bCs/>
                <w:color w:val="000000"/>
                <w:sz w:val="18"/>
                <w:szCs w:val="18"/>
              </w:rPr>
              <w:t>1,844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7130BD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BA998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1A119D3" w14:textId="77777777" w:rsidR="00000000" w:rsidRDefault="00405D16">
            <w:pPr>
              <w:spacing w:after="100"/>
              <w:jc w:val="right"/>
              <w:rPr>
                <w:rFonts w:eastAsia="Times New Roman"/>
              </w:rPr>
            </w:pPr>
            <w:r>
              <w:rPr>
                <w:rFonts w:eastAsia="Times New Roman"/>
                <w:b/>
                <w:bCs/>
                <w:color w:val="000000"/>
                <w:sz w:val="18"/>
                <w:szCs w:val="18"/>
              </w:rPr>
              <w:t>497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C68939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F1C1F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FAB2BF3" w14:textId="77777777" w:rsidR="00000000" w:rsidRDefault="00405D16">
            <w:pPr>
              <w:spacing w:after="100"/>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4C1CF7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41A975"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14:paraId="340EA613" w14:textId="77777777" w:rsidR="00000000" w:rsidRDefault="00405D16">
            <w:pPr>
              <w:spacing w:after="100"/>
              <w:jc w:val="right"/>
              <w:rPr>
                <w:rFonts w:eastAsia="Times New Roman"/>
              </w:rPr>
            </w:pPr>
            <w:r>
              <w:rPr>
                <w:rFonts w:eastAsia="Times New Roman"/>
                <w:b/>
                <w:bCs/>
                <w:color w:val="000000"/>
                <w:sz w:val="18"/>
                <w:szCs w:val="18"/>
              </w:rPr>
              <w:t>2,347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1060610" w14:textId="77777777" w:rsidR="00000000" w:rsidRDefault="00405D16">
            <w:pPr>
              <w:spacing w:after="100"/>
              <w:jc w:val="right"/>
              <w:rPr>
                <w:rFonts w:eastAsia="Times New Roman"/>
              </w:rPr>
            </w:pPr>
          </w:p>
        </w:tc>
      </w:tr>
      <w:tr w:rsidR="00405D16" w14:paraId="5C6155FB" w14:textId="77777777">
        <w:trPr>
          <w:gridAfter w:val="1"/>
          <w:divId w:val="1051461310"/>
        </w:trPr>
        <w:tc>
          <w:tcPr>
            <w:tcW w:w="0" w:type="auto"/>
            <w:gridSpan w:val="4"/>
            <w:shd w:val="clear" w:color="auto" w:fill="CCEEFF"/>
            <w:tcMar>
              <w:top w:w="30" w:type="dxa"/>
              <w:left w:w="380" w:type="dxa"/>
              <w:bottom w:w="30" w:type="dxa"/>
              <w:right w:w="20" w:type="dxa"/>
            </w:tcMar>
            <w:vAlign w:val="center"/>
            <w:hideMark/>
          </w:tcPr>
          <w:p w14:paraId="1B60C64B" w14:textId="77777777" w:rsidR="00000000" w:rsidRDefault="00405D16">
            <w:pPr>
              <w:spacing w:after="100"/>
              <w:rPr>
                <w:rFonts w:eastAsia="Times New Roman"/>
              </w:rPr>
            </w:pPr>
            <w:r>
              <w:rPr>
                <w:rFonts w:eastAsia="Times New Roman"/>
                <w:color w:val="000000"/>
                <w:sz w:val="18"/>
                <w:szCs w:val="18"/>
              </w:rPr>
              <w:t>30-59 days</w:t>
            </w:r>
          </w:p>
        </w:tc>
        <w:tc>
          <w:tcPr>
            <w:tcW w:w="0" w:type="auto"/>
            <w:gridSpan w:val="3"/>
            <w:shd w:val="clear" w:color="auto" w:fill="CCEEFF"/>
            <w:tcMar>
              <w:top w:w="0" w:type="dxa"/>
              <w:left w:w="20" w:type="dxa"/>
              <w:bottom w:w="0" w:type="dxa"/>
              <w:right w:w="20" w:type="dxa"/>
            </w:tcMar>
            <w:vAlign w:val="center"/>
            <w:hideMark/>
          </w:tcPr>
          <w:p w14:paraId="6AA3EDB5"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DE31704"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BF6BB4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7AC5C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801D488" w14:textId="77777777" w:rsidR="00000000" w:rsidRDefault="00405D16">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943479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1D3735" w14:textId="77777777" w:rsidR="00000000" w:rsidRDefault="00405D16">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14:paraId="4CDBA234"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0EA765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CAAC1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338C8F2"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481B68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44C90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CE156AD"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BC7271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330A6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B22C6B2" w14:textId="77777777" w:rsidR="00000000" w:rsidRDefault="00405D16">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02D53C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F3230C" w14:textId="77777777" w:rsidR="00000000" w:rsidRDefault="00405D16">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14:paraId="0B9480F1" w14:textId="77777777" w:rsidR="00000000" w:rsidRDefault="00405D16">
            <w:pPr>
              <w:spacing w:after="100"/>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B23618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60AEC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31D5651" w14:textId="77777777" w:rsidR="00000000" w:rsidRDefault="00405D16">
            <w:pPr>
              <w:spacing w:after="100"/>
              <w:jc w:val="right"/>
              <w:rPr>
                <w:rFonts w:eastAsia="Times New Roman"/>
              </w:rPr>
            </w:pPr>
            <w:r>
              <w:rPr>
                <w:rFonts w:eastAsia="Times New Roman"/>
                <w:b/>
                <w:bCs/>
                <w:color w:val="000000"/>
                <w:sz w:val="18"/>
                <w:szCs w:val="18"/>
              </w:rPr>
              <w:t>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785356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5F3B7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C7905CB" w14:textId="77777777" w:rsidR="00000000" w:rsidRDefault="00405D16">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9E0141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706E6E"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14:paraId="48496041" w14:textId="77777777" w:rsidR="00000000" w:rsidRDefault="00405D16">
            <w:pPr>
              <w:spacing w:after="100"/>
              <w:jc w:val="right"/>
              <w:rPr>
                <w:rFonts w:eastAsia="Times New Roman"/>
              </w:rPr>
            </w:pPr>
            <w:r>
              <w:rPr>
                <w:rFonts w:eastAsia="Times New Roman"/>
                <w:b/>
                <w:bCs/>
                <w:color w:val="000000"/>
                <w:sz w:val="18"/>
                <w:szCs w:val="18"/>
              </w:rPr>
              <w:t>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1FE85D7" w14:textId="77777777" w:rsidR="00000000" w:rsidRDefault="00405D16">
            <w:pPr>
              <w:spacing w:after="100"/>
              <w:jc w:val="right"/>
              <w:rPr>
                <w:rFonts w:eastAsia="Times New Roman"/>
              </w:rPr>
            </w:pPr>
          </w:p>
        </w:tc>
      </w:tr>
      <w:tr w:rsidR="00405D16" w14:paraId="3363BE6F" w14:textId="77777777">
        <w:trPr>
          <w:gridAfter w:val="1"/>
          <w:divId w:val="1051461310"/>
        </w:trPr>
        <w:tc>
          <w:tcPr>
            <w:tcW w:w="0" w:type="auto"/>
            <w:gridSpan w:val="4"/>
            <w:shd w:val="clear" w:color="auto" w:fill="FFFFFF"/>
            <w:tcMar>
              <w:top w:w="30" w:type="dxa"/>
              <w:left w:w="380" w:type="dxa"/>
              <w:bottom w:w="30" w:type="dxa"/>
              <w:right w:w="20" w:type="dxa"/>
            </w:tcMar>
            <w:vAlign w:val="center"/>
            <w:hideMark/>
          </w:tcPr>
          <w:p w14:paraId="1D2C65F6" w14:textId="77777777" w:rsidR="00000000" w:rsidRDefault="00405D16">
            <w:pPr>
              <w:spacing w:after="100"/>
              <w:rPr>
                <w:rFonts w:eastAsia="Times New Roman"/>
              </w:rPr>
            </w:pPr>
            <w:r>
              <w:rPr>
                <w:rFonts w:eastAsia="Times New Roman"/>
                <w:color w:val="000000"/>
                <w:sz w:val="18"/>
                <w:szCs w:val="18"/>
              </w:rPr>
              <w:t>60-89 days</w:t>
            </w:r>
          </w:p>
        </w:tc>
        <w:tc>
          <w:tcPr>
            <w:tcW w:w="0" w:type="auto"/>
            <w:gridSpan w:val="3"/>
            <w:shd w:val="clear" w:color="auto" w:fill="FFFFFF"/>
            <w:tcMar>
              <w:top w:w="0" w:type="dxa"/>
              <w:left w:w="20" w:type="dxa"/>
              <w:bottom w:w="0" w:type="dxa"/>
              <w:right w:w="20" w:type="dxa"/>
            </w:tcMar>
            <w:vAlign w:val="center"/>
            <w:hideMark/>
          </w:tcPr>
          <w:p w14:paraId="4B5057CC"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445073F"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733E96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8F103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46E7728"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CDE1D8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20E398" w14:textId="77777777" w:rsidR="00000000" w:rsidRDefault="00405D16">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14:paraId="38C826BF"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1832FD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CF761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1F23DAD"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534F03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F023B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996934C"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09D9B7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61B0F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3CEEF4A" w14:textId="77777777" w:rsidR="00000000" w:rsidRDefault="00405D16">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4BEB18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ACE14E" w14:textId="77777777" w:rsidR="00000000" w:rsidRDefault="00405D16">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14:paraId="2D4C4AB3" w14:textId="77777777" w:rsidR="00000000" w:rsidRDefault="00405D16">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2DA74F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C5191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15F8103" w14:textId="77777777" w:rsidR="00000000" w:rsidRDefault="00405D16">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7E50FD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9E0E2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F913CCA"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1D5F6B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658797"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14:paraId="6A0F9AE6" w14:textId="77777777" w:rsidR="00000000" w:rsidRDefault="00405D16">
            <w:pPr>
              <w:spacing w:after="100"/>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3B64AE2" w14:textId="77777777" w:rsidR="00000000" w:rsidRDefault="00405D16">
            <w:pPr>
              <w:spacing w:after="100"/>
              <w:jc w:val="right"/>
              <w:rPr>
                <w:rFonts w:eastAsia="Times New Roman"/>
              </w:rPr>
            </w:pPr>
          </w:p>
        </w:tc>
      </w:tr>
      <w:tr w:rsidR="00405D16" w14:paraId="0577E0F9" w14:textId="77777777">
        <w:trPr>
          <w:gridAfter w:val="1"/>
          <w:divId w:val="1051461310"/>
        </w:trPr>
        <w:tc>
          <w:tcPr>
            <w:tcW w:w="0" w:type="auto"/>
            <w:gridSpan w:val="4"/>
            <w:shd w:val="clear" w:color="auto" w:fill="CCEEFF"/>
            <w:tcMar>
              <w:top w:w="30" w:type="dxa"/>
              <w:left w:w="380" w:type="dxa"/>
              <w:bottom w:w="30" w:type="dxa"/>
              <w:right w:w="20" w:type="dxa"/>
            </w:tcMar>
            <w:vAlign w:val="center"/>
            <w:hideMark/>
          </w:tcPr>
          <w:p w14:paraId="148D6565" w14:textId="77777777" w:rsidR="00000000" w:rsidRDefault="00405D16">
            <w:pPr>
              <w:spacing w:after="100"/>
              <w:rPr>
                <w:rFonts w:eastAsia="Times New Roman"/>
              </w:rPr>
            </w:pPr>
            <w:r>
              <w:rPr>
                <w:rFonts w:eastAsia="Times New Roman"/>
                <w:color w:val="000000"/>
                <w:sz w:val="18"/>
                <w:szCs w:val="18"/>
              </w:rPr>
              <w:t>Greater than 90 days</w:t>
            </w:r>
          </w:p>
        </w:tc>
        <w:tc>
          <w:tcPr>
            <w:tcW w:w="0" w:type="auto"/>
            <w:gridSpan w:val="3"/>
            <w:shd w:val="clear" w:color="auto" w:fill="CCEEFF"/>
            <w:tcMar>
              <w:top w:w="0" w:type="dxa"/>
              <w:left w:w="20" w:type="dxa"/>
              <w:bottom w:w="0" w:type="dxa"/>
              <w:right w:w="20" w:type="dxa"/>
            </w:tcMar>
            <w:vAlign w:val="center"/>
            <w:hideMark/>
          </w:tcPr>
          <w:p w14:paraId="0F778898"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7BFEBD5"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8C7489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376B4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1BF1D0" w14:textId="77777777" w:rsidR="00000000" w:rsidRDefault="00405D16">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018A30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336E61" w14:textId="77777777" w:rsidR="00000000" w:rsidRDefault="00405D16">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0C1E5E7A"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41B1CB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28E99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95917A" w14:textId="77777777" w:rsidR="00000000" w:rsidRDefault="00405D16">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7FAF6C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DAC52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CA493A" w14:textId="77777777" w:rsidR="00000000" w:rsidRDefault="00405D16">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B680AA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6DF85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DE1B78" w14:textId="77777777" w:rsidR="00000000" w:rsidRDefault="00405D16">
            <w:pPr>
              <w:spacing w:after="100"/>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DD0A4F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552717" w14:textId="77777777" w:rsidR="00000000" w:rsidRDefault="00405D16">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05C98057" w14:textId="77777777" w:rsidR="00000000" w:rsidRDefault="00405D16">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E4D3B0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DF83C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CFD852" w14:textId="77777777" w:rsidR="00000000" w:rsidRDefault="00405D16">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0AA5F8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1FE8E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35EA6F" w14:textId="77777777" w:rsidR="00000000" w:rsidRDefault="00405D16">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16F975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0DB77B"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5644991D" w14:textId="77777777" w:rsidR="00000000" w:rsidRDefault="00405D16">
            <w:pPr>
              <w:spacing w:after="100"/>
              <w:jc w:val="right"/>
              <w:rPr>
                <w:rFonts w:eastAsia="Times New Roman"/>
              </w:rPr>
            </w:pPr>
            <w:r>
              <w:rPr>
                <w:rFonts w:eastAsia="Times New Roman"/>
                <w:b/>
                <w:bCs/>
                <w:color w:val="000000"/>
                <w:sz w:val="18"/>
                <w:szCs w:val="18"/>
              </w:rPr>
              <w:t>18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0B2C68D" w14:textId="77777777" w:rsidR="00000000" w:rsidRDefault="00405D16">
            <w:pPr>
              <w:spacing w:after="100"/>
              <w:jc w:val="right"/>
              <w:rPr>
                <w:rFonts w:eastAsia="Times New Roman"/>
              </w:rPr>
            </w:pPr>
          </w:p>
        </w:tc>
      </w:tr>
      <w:tr w:rsidR="00405D16" w14:paraId="40A892FF" w14:textId="77777777">
        <w:trPr>
          <w:gridAfter w:val="1"/>
          <w:divId w:val="1051461310"/>
        </w:trPr>
        <w:tc>
          <w:tcPr>
            <w:tcW w:w="0" w:type="auto"/>
            <w:gridSpan w:val="4"/>
            <w:shd w:val="clear" w:color="auto" w:fill="FFFFFF"/>
            <w:tcMar>
              <w:top w:w="30" w:type="dxa"/>
              <w:left w:w="20" w:type="dxa"/>
              <w:bottom w:w="30" w:type="dxa"/>
              <w:right w:w="20" w:type="dxa"/>
            </w:tcMar>
            <w:vAlign w:val="center"/>
            <w:hideMark/>
          </w:tcPr>
          <w:p w14:paraId="62FE6A73" w14:textId="77777777" w:rsidR="00000000" w:rsidRDefault="00405D16">
            <w:pPr>
              <w:spacing w:after="100"/>
              <w:divId w:val="182477776"/>
              <w:rPr>
                <w:rFonts w:eastAsia="Times New Roman"/>
              </w:rPr>
            </w:pPr>
            <w:r>
              <w:rPr>
                <w:rFonts w:eastAsia="Times New Roman"/>
                <w:b/>
                <w:bCs/>
                <w:color w:val="000000"/>
                <w:sz w:val="18"/>
                <w:szCs w:val="18"/>
              </w:rPr>
              <w:t>Total retail bankin</w:t>
            </w:r>
            <w:r>
              <w:rPr>
                <w:rFonts w:eastAsia="Times New Roman"/>
                <w:b/>
                <w:bCs/>
                <w:color w:val="000000"/>
                <w:sz w:val="18"/>
                <w:szCs w:val="18"/>
              </w:rPr>
              <w:t>g</w:t>
            </w:r>
            <w:r>
              <w:rPr>
                <w:rFonts w:eastAsia="Times New Roman"/>
                <w:b/>
                <w:bCs/>
                <w:color w:val="000000"/>
                <w:sz w:val="12"/>
                <w:szCs w:val="12"/>
              </w:rPr>
              <w:t>(2</w:t>
            </w:r>
            <w:r>
              <w:rPr>
                <w:rFonts w:eastAsia="Times New Roman"/>
                <w:b/>
                <w:b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5546AE3E"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3977304" w14:textId="77777777" w:rsidR="00000000" w:rsidRDefault="00405D16">
            <w:pPr>
              <w:spacing w:after="100"/>
              <w:jc w:val="right"/>
              <w:rPr>
                <w:rFonts w:eastAsia="Times New Roman"/>
              </w:rPr>
            </w:pPr>
            <w:r>
              <w:rPr>
                <w:rFonts w:eastAsia="Times New Roman"/>
                <w:b/>
                <w:bCs/>
                <w:color w:val="000000"/>
                <w:sz w:val="18"/>
                <w:szCs w:val="18"/>
              </w:rPr>
              <w:t>420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42428E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423EEB"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A74BA21" w14:textId="77777777" w:rsidR="00000000" w:rsidRDefault="00405D16">
            <w:pPr>
              <w:spacing w:after="100"/>
              <w:jc w:val="right"/>
              <w:rPr>
                <w:rFonts w:eastAsia="Times New Roman"/>
              </w:rPr>
            </w:pPr>
            <w:r>
              <w:rPr>
                <w:rFonts w:eastAsia="Times New Roman"/>
                <w:b/>
                <w:bCs/>
                <w:color w:val="000000"/>
                <w:sz w:val="18"/>
                <w:szCs w:val="18"/>
              </w:rPr>
              <w:t>326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B15480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78E552" w14:textId="77777777" w:rsidR="00000000" w:rsidRDefault="00405D16">
            <w:pPr>
              <w:spacing w:after="100"/>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14:paraId="4B025E25" w14:textId="77777777" w:rsidR="00000000" w:rsidRDefault="00405D16">
            <w:pPr>
              <w:spacing w:after="100"/>
              <w:jc w:val="right"/>
              <w:rPr>
                <w:rFonts w:eastAsia="Times New Roman"/>
              </w:rPr>
            </w:pPr>
            <w:r>
              <w:rPr>
                <w:rFonts w:eastAsia="Times New Roman"/>
                <w:b/>
                <w:bCs/>
                <w:color w:val="000000"/>
                <w:sz w:val="18"/>
                <w:szCs w:val="18"/>
              </w:rPr>
              <w:t>184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4E285B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316465"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EE57480" w14:textId="77777777" w:rsidR="00000000" w:rsidRDefault="00405D16">
            <w:pPr>
              <w:spacing w:after="100"/>
              <w:jc w:val="right"/>
              <w:rPr>
                <w:rFonts w:eastAsia="Times New Roman"/>
              </w:rPr>
            </w:pPr>
            <w:r>
              <w:rPr>
                <w:rFonts w:eastAsia="Times New Roman"/>
                <w:b/>
                <w:bCs/>
                <w:color w:val="000000"/>
                <w:sz w:val="18"/>
                <w:szCs w:val="18"/>
              </w:rPr>
              <w:t>186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3B3051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D69B0B"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506D97A" w14:textId="77777777" w:rsidR="00000000" w:rsidRDefault="00405D16">
            <w:pPr>
              <w:spacing w:after="100"/>
              <w:jc w:val="right"/>
              <w:rPr>
                <w:rFonts w:eastAsia="Times New Roman"/>
              </w:rPr>
            </w:pPr>
            <w:r>
              <w:rPr>
                <w:rFonts w:eastAsia="Times New Roman"/>
                <w:b/>
                <w:bCs/>
                <w:color w:val="000000"/>
                <w:sz w:val="18"/>
                <w:szCs w:val="18"/>
              </w:rPr>
              <w:t>188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2D1E70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99AD60"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79CF293" w14:textId="77777777" w:rsidR="00000000" w:rsidRDefault="00405D16">
            <w:pPr>
              <w:spacing w:after="100"/>
              <w:jc w:val="right"/>
              <w:rPr>
                <w:rFonts w:eastAsia="Times New Roman"/>
              </w:rPr>
            </w:pPr>
            <w:r>
              <w:rPr>
                <w:rFonts w:eastAsia="Times New Roman"/>
                <w:b/>
                <w:bCs/>
                <w:color w:val="000000"/>
                <w:sz w:val="18"/>
                <w:szCs w:val="18"/>
              </w:rPr>
              <w:t>556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B12BBC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BBB5D6" w14:textId="77777777" w:rsidR="00000000" w:rsidRDefault="00405D16">
            <w:pPr>
              <w:spacing w:after="100"/>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14:paraId="143BB114" w14:textId="77777777" w:rsidR="00000000" w:rsidRDefault="00405D16">
            <w:pPr>
              <w:spacing w:after="100"/>
              <w:jc w:val="right"/>
              <w:rPr>
                <w:rFonts w:eastAsia="Times New Roman"/>
              </w:rPr>
            </w:pPr>
            <w:r>
              <w:rPr>
                <w:rFonts w:eastAsia="Times New Roman"/>
                <w:b/>
                <w:bCs/>
                <w:color w:val="000000"/>
                <w:sz w:val="18"/>
                <w:szCs w:val="18"/>
              </w:rPr>
              <w:t>1,860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1051A0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C4E04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ADDCEAD" w14:textId="77777777" w:rsidR="00000000" w:rsidRDefault="00405D16">
            <w:pPr>
              <w:spacing w:after="100"/>
              <w:jc w:val="right"/>
              <w:rPr>
                <w:rFonts w:eastAsia="Times New Roman"/>
              </w:rPr>
            </w:pPr>
            <w:r>
              <w:rPr>
                <w:rFonts w:eastAsia="Times New Roman"/>
                <w:b/>
                <w:bCs/>
                <w:color w:val="000000"/>
                <w:sz w:val="18"/>
                <w:szCs w:val="18"/>
              </w:rPr>
              <w:t>528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4EA17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95D556"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025FC10" w14:textId="77777777" w:rsidR="00000000" w:rsidRDefault="00405D16">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C43D80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C2E200" w14:textId="77777777" w:rsidR="00000000" w:rsidRDefault="00405D16">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0" w:type="dxa"/>
            </w:tcMar>
            <w:vAlign w:val="bottom"/>
            <w:hideMark/>
          </w:tcPr>
          <w:p w14:paraId="6C64FDF4" w14:textId="77777777" w:rsidR="00000000" w:rsidRDefault="00405D16">
            <w:pPr>
              <w:spacing w:after="100"/>
              <w:jc w:val="right"/>
              <w:rPr>
                <w:rFonts w:eastAsia="Times New Roman"/>
              </w:rPr>
            </w:pPr>
            <w:r>
              <w:rPr>
                <w:rFonts w:eastAsia="Times New Roman"/>
                <w:b/>
                <w:bCs/>
                <w:color w:val="000000"/>
                <w:sz w:val="18"/>
                <w:szCs w:val="18"/>
              </w:rPr>
              <w:t>2,396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96F5F51" w14:textId="77777777" w:rsidR="00000000" w:rsidRDefault="00405D16">
            <w:pPr>
              <w:spacing w:after="100"/>
              <w:jc w:val="right"/>
              <w:rPr>
                <w:rFonts w:eastAsia="Times New Roman"/>
              </w:rPr>
            </w:pPr>
          </w:p>
        </w:tc>
      </w:tr>
      <w:tr w:rsidR="00405D16" w14:paraId="7733C6D5" w14:textId="77777777">
        <w:trPr>
          <w:gridAfter w:val="1"/>
          <w:divId w:val="1051461310"/>
        </w:trPr>
        <w:tc>
          <w:tcPr>
            <w:tcW w:w="0" w:type="auto"/>
            <w:gridSpan w:val="4"/>
            <w:shd w:val="clear" w:color="auto" w:fill="CCEEFF"/>
            <w:tcMar>
              <w:top w:w="30" w:type="dxa"/>
              <w:left w:w="20" w:type="dxa"/>
              <w:bottom w:w="30" w:type="dxa"/>
              <w:right w:w="20" w:type="dxa"/>
            </w:tcMar>
            <w:vAlign w:val="center"/>
            <w:hideMark/>
          </w:tcPr>
          <w:p w14:paraId="1E1C221F" w14:textId="77777777" w:rsidR="00000000" w:rsidRDefault="00405D16">
            <w:pPr>
              <w:spacing w:after="100"/>
              <w:rPr>
                <w:rFonts w:eastAsia="Times New Roman"/>
              </w:rPr>
            </w:pPr>
            <w:r>
              <w:rPr>
                <w:rFonts w:eastAsia="Times New Roman"/>
                <w:b/>
                <w:bCs/>
                <w:color w:val="000000"/>
                <w:sz w:val="18"/>
                <w:szCs w:val="18"/>
              </w:rPr>
              <w:t>Total consumer banking</w:t>
            </w:r>
          </w:p>
        </w:tc>
        <w:tc>
          <w:tcPr>
            <w:tcW w:w="0" w:type="auto"/>
            <w:gridSpan w:val="3"/>
            <w:shd w:val="clear" w:color="auto" w:fill="CCEEFF"/>
            <w:tcMar>
              <w:top w:w="0" w:type="dxa"/>
              <w:left w:w="20" w:type="dxa"/>
              <w:bottom w:w="0" w:type="dxa"/>
              <w:right w:w="20" w:type="dxa"/>
            </w:tcMar>
            <w:vAlign w:val="center"/>
            <w:hideMark/>
          </w:tcPr>
          <w:p w14:paraId="3855BECD"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C859983"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C5F04AA" w14:textId="77777777" w:rsidR="00000000" w:rsidRDefault="00405D16">
            <w:pPr>
              <w:spacing w:after="100"/>
              <w:jc w:val="right"/>
              <w:rPr>
                <w:rFonts w:eastAsia="Times New Roman"/>
              </w:rPr>
            </w:pPr>
            <w:r>
              <w:rPr>
                <w:rFonts w:eastAsia="Times New Roman"/>
                <w:b/>
                <w:bCs/>
                <w:color w:val="000000"/>
                <w:sz w:val="18"/>
                <w:szCs w:val="18"/>
              </w:rPr>
              <w:t>31,147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442D1F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7CB868"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5BB4DE9"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DA8E592" w14:textId="77777777" w:rsidR="00000000" w:rsidRDefault="00405D16">
            <w:pPr>
              <w:spacing w:after="100"/>
              <w:jc w:val="right"/>
              <w:rPr>
                <w:rFonts w:eastAsia="Times New Roman"/>
              </w:rPr>
            </w:pPr>
            <w:r>
              <w:rPr>
                <w:rFonts w:eastAsia="Times New Roman"/>
                <w:b/>
                <w:bCs/>
                <w:color w:val="000000"/>
                <w:sz w:val="18"/>
                <w:szCs w:val="18"/>
              </w:rPr>
              <w:t>21,365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37BEAA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E6EA7C" w14:textId="77777777" w:rsidR="00000000" w:rsidRDefault="00405D1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CBE3F48"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98E9BC0" w14:textId="77777777" w:rsidR="00000000" w:rsidRDefault="00405D16">
            <w:pPr>
              <w:spacing w:after="100"/>
              <w:jc w:val="right"/>
              <w:rPr>
                <w:rFonts w:eastAsia="Times New Roman"/>
              </w:rPr>
            </w:pPr>
            <w:r>
              <w:rPr>
                <w:rFonts w:eastAsia="Times New Roman"/>
                <w:b/>
                <w:bCs/>
                <w:color w:val="000000"/>
                <w:sz w:val="18"/>
                <w:szCs w:val="18"/>
              </w:rPr>
              <w:t>12,388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EF9F27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D861CD"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92CDEC0"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96A2717" w14:textId="77777777" w:rsidR="00000000" w:rsidRDefault="00405D16">
            <w:pPr>
              <w:spacing w:after="100"/>
              <w:jc w:val="right"/>
              <w:rPr>
                <w:rFonts w:eastAsia="Times New Roman"/>
              </w:rPr>
            </w:pPr>
            <w:r>
              <w:rPr>
                <w:rFonts w:eastAsia="Times New Roman"/>
                <w:b/>
                <w:bCs/>
                <w:color w:val="000000"/>
                <w:sz w:val="18"/>
                <w:szCs w:val="18"/>
              </w:rPr>
              <w:t>6,472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86A982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5C51EF"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CC00D07"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EC078CC" w14:textId="77777777" w:rsidR="00000000" w:rsidRDefault="00405D16">
            <w:pPr>
              <w:spacing w:after="100"/>
              <w:jc w:val="right"/>
              <w:rPr>
                <w:rFonts w:eastAsia="Times New Roman"/>
              </w:rPr>
            </w:pPr>
            <w:r>
              <w:rPr>
                <w:rFonts w:eastAsia="Times New Roman"/>
                <w:b/>
                <w:bCs/>
                <w:color w:val="000000"/>
                <w:sz w:val="18"/>
                <w:szCs w:val="18"/>
              </w:rPr>
              <w:t>3,490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8E6E6E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340521"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FB59016"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36598AD" w14:textId="77777777" w:rsidR="00000000" w:rsidRDefault="00405D16">
            <w:pPr>
              <w:spacing w:after="100"/>
              <w:jc w:val="right"/>
              <w:rPr>
                <w:rFonts w:eastAsia="Times New Roman"/>
              </w:rPr>
            </w:pPr>
            <w:r>
              <w:rPr>
                <w:rFonts w:eastAsia="Times New Roman"/>
                <w:b/>
                <w:bCs/>
                <w:color w:val="000000"/>
                <w:sz w:val="18"/>
                <w:szCs w:val="18"/>
              </w:rPr>
              <w:t>1,714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B9EE1E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4DA945"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3639F0B"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FD9672C" w14:textId="77777777" w:rsidR="00000000" w:rsidRDefault="00405D16">
            <w:pPr>
              <w:spacing w:after="100"/>
              <w:jc w:val="right"/>
              <w:rPr>
                <w:rFonts w:eastAsia="Times New Roman"/>
              </w:rPr>
            </w:pPr>
            <w:r>
              <w:rPr>
                <w:rFonts w:eastAsia="Times New Roman"/>
                <w:b/>
                <w:bCs/>
                <w:color w:val="000000"/>
                <w:sz w:val="18"/>
                <w:szCs w:val="18"/>
              </w:rPr>
              <w:t>76,576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257FEB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D2A1F2"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F9B8BFD"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D566943" w14:textId="77777777" w:rsidR="00000000" w:rsidRDefault="00405D16">
            <w:pPr>
              <w:spacing w:after="100"/>
              <w:jc w:val="right"/>
              <w:rPr>
                <w:rFonts w:eastAsia="Times New Roman"/>
              </w:rPr>
            </w:pPr>
            <w:r>
              <w:rPr>
                <w:rFonts w:eastAsia="Times New Roman"/>
                <w:b/>
                <w:bCs/>
                <w:color w:val="000000"/>
                <w:sz w:val="18"/>
                <w:szCs w:val="18"/>
              </w:rPr>
              <w:t>528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7110F0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7A314C"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EC1FB76"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2D8C950" w14:textId="77777777" w:rsidR="00000000" w:rsidRDefault="00405D16">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1AFEE3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515F1C"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DBA8D71"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8D0F17A" w14:textId="77777777" w:rsidR="00000000" w:rsidRDefault="00405D16">
            <w:pPr>
              <w:spacing w:after="100"/>
              <w:jc w:val="right"/>
              <w:rPr>
                <w:rFonts w:eastAsia="Times New Roman"/>
              </w:rPr>
            </w:pPr>
            <w:r>
              <w:rPr>
                <w:rFonts w:eastAsia="Times New Roman"/>
                <w:b/>
                <w:bCs/>
                <w:color w:val="000000"/>
                <w:sz w:val="18"/>
                <w:szCs w:val="18"/>
              </w:rPr>
              <w:t>77,112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2CCD5D3" w14:textId="77777777" w:rsidR="00000000" w:rsidRDefault="00405D16">
            <w:pPr>
              <w:spacing w:after="100"/>
              <w:jc w:val="right"/>
              <w:rPr>
                <w:rFonts w:eastAsia="Times New Roman"/>
              </w:rPr>
            </w:pPr>
          </w:p>
        </w:tc>
      </w:tr>
      <w:tr w:rsidR="00000000" w14:paraId="24956CC9" w14:textId="77777777">
        <w:tblPrEx>
          <w:tblW w:w="4992" w:type="pct"/>
          <w:jc w:val="center"/>
        </w:tblPrEx>
        <w:trPr>
          <w:jc w:val="center"/>
        </w:trPr>
        <w:tc>
          <w:tcPr>
            <w:tcW w:w="50" w:type="pct"/>
            <w:gridSpan w:val="2"/>
            <w:vAlign w:val="center"/>
            <w:hideMark/>
          </w:tcPr>
          <w:p w14:paraId="185FC8A6" w14:textId="77777777" w:rsidR="00000000" w:rsidRDefault="00405D16">
            <w:pPr>
              <w:rPr>
                <w:rFonts w:eastAsia="Times New Roman"/>
              </w:rPr>
            </w:pPr>
          </w:p>
        </w:tc>
        <w:tc>
          <w:tcPr>
            <w:tcW w:w="1606" w:type="pct"/>
            <w:gridSpan w:val="18"/>
            <w:vAlign w:val="center"/>
            <w:hideMark/>
          </w:tcPr>
          <w:p w14:paraId="2DA1581B" w14:textId="77777777" w:rsidR="00000000" w:rsidRDefault="00405D16">
            <w:pPr>
              <w:spacing w:after="100"/>
              <w:rPr>
                <w:rFonts w:eastAsia="Times New Roman"/>
                <w:sz w:val="20"/>
                <w:szCs w:val="20"/>
              </w:rPr>
            </w:pPr>
          </w:p>
        </w:tc>
        <w:tc>
          <w:tcPr>
            <w:tcW w:w="5" w:type="pct"/>
            <w:gridSpan w:val="2"/>
            <w:vAlign w:val="center"/>
            <w:hideMark/>
          </w:tcPr>
          <w:p w14:paraId="21BDC872" w14:textId="77777777" w:rsidR="00000000" w:rsidRDefault="00405D16">
            <w:pPr>
              <w:spacing w:after="100"/>
              <w:rPr>
                <w:rFonts w:eastAsia="Times New Roman"/>
                <w:sz w:val="20"/>
                <w:szCs w:val="20"/>
              </w:rPr>
            </w:pPr>
          </w:p>
        </w:tc>
        <w:tc>
          <w:tcPr>
            <w:tcW w:w="50" w:type="pct"/>
            <w:vAlign w:val="center"/>
            <w:hideMark/>
          </w:tcPr>
          <w:p w14:paraId="08BF7F94" w14:textId="77777777" w:rsidR="00000000" w:rsidRDefault="00405D16">
            <w:pPr>
              <w:spacing w:after="100"/>
              <w:rPr>
                <w:rFonts w:eastAsia="Times New Roman"/>
                <w:sz w:val="20"/>
                <w:szCs w:val="20"/>
              </w:rPr>
            </w:pPr>
          </w:p>
        </w:tc>
        <w:tc>
          <w:tcPr>
            <w:tcW w:w="1614" w:type="pct"/>
            <w:gridSpan w:val="25"/>
            <w:vAlign w:val="center"/>
            <w:hideMark/>
          </w:tcPr>
          <w:p w14:paraId="358E1327" w14:textId="77777777" w:rsidR="00000000" w:rsidRDefault="00405D16">
            <w:pPr>
              <w:spacing w:after="100"/>
              <w:rPr>
                <w:rFonts w:eastAsia="Times New Roman"/>
                <w:sz w:val="20"/>
                <w:szCs w:val="20"/>
              </w:rPr>
            </w:pPr>
          </w:p>
        </w:tc>
        <w:tc>
          <w:tcPr>
            <w:tcW w:w="5" w:type="pct"/>
            <w:vAlign w:val="center"/>
            <w:hideMark/>
          </w:tcPr>
          <w:p w14:paraId="26819676" w14:textId="77777777" w:rsidR="00000000" w:rsidRDefault="00405D16">
            <w:pPr>
              <w:spacing w:after="100"/>
              <w:rPr>
                <w:rFonts w:eastAsia="Times New Roman"/>
                <w:sz w:val="20"/>
                <w:szCs w:val="20"/>
              </w:rPr>
            </w:pPr>
          </w:p>
        </w:tc>
        <w:tc>
          <w:tcPr>
            <w:tcW w:w="50" w:type="pct"/>
            <w:vAlign w:val="center"/>
            <w:hideMark/>
          </w:tcPr>
          <w:p w14:paraId="5475F7CB" w14:textId="77777777" w:rsidR="00000000" w:rsidRDefault="00405D16">
            <w:pPr>
              <w:spacing w:after="100"/>
              <w:rPr>
                <w:rFonts w:eastAsia="Times New Roman"/>
                <w:sz w:val="20"/>
                <w:szCs w:val="20"/>
              </w:rPr>
            </w:pPr>
          </w:p>
        </w:tc>
        <w:tc>
          <w:tcPr>
            <w:tcW w:w="1614" w:type="pct"/>
            <w:gridSpan w:val="19"/>
            <w:vAlign w:val="center"/>
            <w:hideMark/>
          </w:tcPr>
          <w:p w14:paraId="4CB01929" w14:textId="77777777" w:rsidR="00000000" w:rsidRDefault="00405D16">
            <w:pPr>
              <w:spacing w:after="100"/>
              <w:rPr>
                <w:rFonts w:eastAsia="Times New Roman"/>
                <w:sz w:val="20"/>
                <w:szCs w:val="20"/>
              </w:rPr>
            </w:pPr>
          </w:p>
        </w:tc>
        <w:tc>
          <w:tcPr>
            <w:tcW w:w="5" w:type="pct"/>
            <w:gridSpan w:val="3"/>
            <w:vAlign w:val="center"/>
            <w:hideMark/>
          </w:tcPr>
          <w:p w14:paraId="1AC221BF" w14:textId="77777777" w:rsidR="00000000" w:rsidRDefault="00405D16">
            <w:pPr>
              <w:spacing w:after="100"/>
              <w:rPr>
                <w:rFonts w:eastAsia="Times New Roman"/>
                <w:sz w:val="20"/>
                <w:szCs w:val="20"/>
              </w:rPr>
            </w:pPr>
          </w:p>
        </w:tc>
      </w:tr>
      <w:tr w:rsidR="00000000" w14:paraId="78151430" w14:textId="77777777">
        <w:tblPrEx>
          <w:tblW w:w="4992" w:type="pct"/>
          <w:jc w:val="center"/>
        </w:tblPrEx>
        <w:trPr>
          <w:trHeight w:val="300"/>
          <w:jc w:val="center"/>
        </w:trPr>
        <w:tc>
          <w:tcPr>
            <w:tcW w:w="0" w:type="auto"/>
            <w:gridSpan w:val="72"/>
            <w:tcMar>
              <w:top w:w="0" w:type="dxa"/>
              <w:left w:w="20" w:type="dxa"/>
              <w:bottom w:w="0" w:type="dxa"/>
              <w:right w:w="20" w:type="dxa"/>
            </w:tcMar>
            <w:vAlign w:val="center"/>
            <w:hideMark/>
          </w:tcPr>
          <w:p w14:paraId="137B310A" w14:textId="77777777" w:rsidR="00000000" w:rsidRDefault="00405D16">
            <w:pPr>
              <w:spacing w:after="100"/>
              <w:rPr>
                <w:rFonts w:eastAsia="Times New Roman"/>
                <w:sz w:val="20"/>
                <w:szCs w:val="20"/>
              </w:rPr>
            </w:pPr>
          </w:p>
        </w:tc>
      </w:tr>
      <w:tr w:rsidR="00000000" w14:paraId="1AF2F43B" w14:textId="77777777">
        <w:tblPrEx>
          <w:tblW w:w="4992" w:type="pct"/>
          <w:jc w:val="center"/>
        </w:tblPrEx>
        <w:trPr>
          <w:jc w:val="center"/>
        </w:trPr>
        <w:tc>
          <w:tcPr>
            <w:tcW w:w="0" w:type="auto"/>
            <w:gridSpan w:val="22"/>
            <w:tcMar>
              <w:top w:w="0" w:type="dxa"/>
              <w:left w:w="20" w:type="dxa"/>
              <w:bottom w:w="0" w:type="dxa"/>
              <w:right w:w="20" w:type="dxa"/>
            </w:tcMar>
            <w:vAlign w:val="center"/>
            <w:hideMark/>
          </w:tcPr>
          <w:p w14:paraId="5BB4612F" w14:textId="77777777" w:rsidR="00000000" w:rsidRDefault="00405D16">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320129B5" w14:textId="77777777" w:rsidR="00000000" w:rsidRDefault="00405D16">
            <w:pPr>
              <w:spacing w:after="100"/>
              <w:jc w:val="center"/>
              <w:rPr>
                <w:rFonts w:eastAsia="Times New Roman"/>
              </w:rPr>
            </w:pPr>
            <w:r>
              <w:rPr>
                <w:rFonts w:eastAsia="Times New Roman"/>
                <w:color w:val="000000"/>
                <w:sz w:val="16"/>
                <w:szCs w:val="16"/>
              </w:rPr>
              <w:t>85</w:t>
            </w:r>
          </w:p>
        </w:tc>
        <w:tc>
          <w:tcPr>
            <w:tcW w:w="0" w:type="auto"/>
            <w:gridSpan w:val="23"/>
            <w:tcMar>
              <w:top w:w="30" w:type="dxa"/>
              <w:left w:w="20" w:type="dxa"/>
              <w:bottom w:w="30" w:type="dxa"/>
              <w:right w:w="20" w:type="dxa"/>
            </w:tcMar>
            <w:vAlign w:val="bottom"/>
            <w:hideMark/>
          </w:tcPr>
          <w:p w14:paraId="71A9D23A"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75904A55" w14:textId="77777777" w:rsidR="00000000" w:rsidRDefault="00405D16">
      <w:pPr>
        <w:rPr>
          <w:rFonts w:eastAsia="Times New Roman"/>
        </w:rPr>
      </w:pPr>
      <w:r>
        <w:rPr>
          <w:rFonts w:eastAsia="Times New Roman"/>
        </w:rPr>
        <w:pict w14:anchorId="5EBD689D">
          <v:rect id="_x0000_i1110" style="width:0;height:1.5pt" o:hralign="center" o:hrstd="t" o:hr="t" fillcolor="#a0a0a0" stroked="f"/>
        </w:pict>
      </w:r>
    </w:p>
    <w:p w14:paraId="3B8082FC" w14:textId="77777777" w:rsidR="00000000" w:rsidRDefault="00405D16">
      <w:pPr>
        <w:jc w:val="both"/>
        <w:divId w:val="184832866"/>
        <w:rPr>
          <w:rFonts w:eastAsia="Times New Roman"/>
        </w:rPr>
      </w:pPr>
      <w:hyperlink w:anchor="idd54a04a485440b4ab4e56094c14d612_13" w:history="1">
        <w:r>
          <w:rPr>
            <w:rStyle w:val="a3"/>
            <w:rFonts w:eastAsia="Times New Roman"/>
            <w:sz w:val="16"/>
            <w:szCs w:val="16"/>
          </w:rPr>
          <w:t>Table of Contents</w:t>
        </w:r>
      </w:hyperlink>
    </w:p>
    <w:p w14:paraId="4C2DCACC" w14:textId="77777777" w:rsidR="00000000" w:rsidRDefault="00405D16">
      <w:pPr>
        <w:jc w:val="center"/>
        <w:divId w:val="18483286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1"/>
        <w:gridCol w:w="946"/>
        <w:gridCol w:w="39"/>
        <w:gridCol w:w="36"/>
        <w:gridCol w:w="36"/>
        <w:gridCol w:w="36"/>
        <w:gridCol w:w="110"/>
        <w:gridCol w:w="540"/>
        <w:gridCol w:w="36"/>
        <w:gridCol w:w="36"/>
        <w:gridCol w:w="36"/>
        <w:gridCol w:w="36"/>
        <w:gridCol w:w="110"/>
        <w:gridCol w:w="540"/>
        <w:gridCol w:w="36"/>
        <w:gridCol w:w="36"/>
        <w:gridCol w:w="36"/>
        <w:gridCol w:w="36"/>
        <w:gridCol w:w="110"/>
        <w:gridCol w:w="540"/>
        <w:gridCol w:w="36"/>
        <w:gridCol w:w="36"/>
        <w:gridCol w:w="36"/>
        <w:gridCol w:w="36"/>
        <w:gridCol w:w="110"/>
        <w:gridCol w:w="450"/>
        <w:gridCol w:w="36"/>
        <w:gridCol w:w="36"/>
        <w:gridCol w:w="36"/>
        <w:gridCol w:w="36"/>
        <w:gridCol w:w="110"/>
        <w:gridCol w:w="450"/>
        <w:gridCol w:w="36"/>
        <w:gridCol w:w="36"/>
        <w:gridCol w:w="36"/>
        <w:gridCol w:w="36"/>
        <w:gridCol w:w="110"/>
        <w:gridCol w:w="450"/>
        <w:gridCol w:w="36"/>
        <w:gridCol w:w="36"/>
        <w:gridCol w:w="36"/>
        <w:gridCol w:w="36"/>
        <w:gridCol w:w="110"/>
        <w:gridCol w:w="540"/>
        <w:gridCol w:w="36"/>
        <w:gridCol w:w="36"/>
        <w:gridCol w:w="36"/>
        <w:gridCol w:w="36"/>
        <w:gridCol w:w="111"/>
        <w:gridCol w:w="581"/>
        <w:gridCol w:w="36"/>
        <w:gridCol w:w="36"/>
        <w:gridCol w:w="36"/>
        <w:gridCol w:w="36"/>
        <w:gridCol w:w="111"/>
        <w:gridCol w:w="630"/>
        <w:gridCol w:w="36"/>
        <w:gridCol w:w="36"/>
        <w:gridCol w:w="36"/>
        <w:gridCol w:w="36"/>
        <w:gridCol w:w="110"/>
        <w:gridCol w:w="540"/>
        <w:gridCol w:w="36"/>
      </w:tblGrid>
      <w:tr w:rsidR="00000000" w14:paraId="2005F728" w14:textId="77777777">
        <w:trPr>
          <w:divId w:val="2094276027"/>
        </w:trPr>
        <w:tc>
          <w:tcPr>
            <w:tcW w:w="50" w:type="pct"/>
            <w:vAlign w:val="center"/>
            <w:hideMark/>
          </w:tcPr>
          <w:p w14:paraId="13C9D85E" w14:textId="77777777" w:rsidR="00000000" w:rsidRDefault="00405D16">
            <w:pPr>
              <w:jc w:val="center"/>
              <w:rPr>
                <w:rFonts w:eastAsia="Times New Roman"/>
              </w:rPr>
            </w:pPr>
          </w:p>
        </w:tc>
        <w:tc>
          <w:tcPr>
            <w:tcW w:w="939" w:type="pct"/>
            <w:vAlign w:val="center"/>
            <w:hideMark/>
          </w:tcPr>
          <w:p w14:paraId="417E42F9" w14:textId="77777777" w:rsidR="00000000" w:rsidRDefault="00405D16">
            <w:pPr>
              <w:spacing w:after="100"/>
              <w:rPr>
                <w:rFonts w:eastAsia="Times New Roman"/>
                <w:sz w:val="20"/>
                <w:szCs w:val="20"/>
              </w:rPr>
            </w:pPr>
          </w:p>
        </w:tc>
        <w:tc>
          <w:tcPr>
            <w:tcW w:w="5" w:type="pct"/>
            <w:vAlign w:val="center"/>
            <w:hideMark/>
          </w:tcPr>
          <w:p w14:paraId="23DC2679" w14:textId="77777777" w:rsidR="00000000" w:rsidRDefault="00405D16">
            <w:pPr>
              <w:spacing w:after="100"/>
              <w:rPr>
                <w:rFonts w:eastAsia="Times New Roman"/>
                <w:sz w:val="20"/>
                <w:szCs w:val="20"/>
              </w:rPr>
            </w:pPr>
          </w:p>
        </w:tc>
        <w:tc>
          <w:tcPr>
            <w:tcW w:w="5" w:type="pct"/>
            <w:vAlign w:val="center"/>
            <w:hideMark/>
          </w:tcPr>
          <w:p w14:paraId="4FBCA588" w14:textId="77777777" w:rsidR="00000000" w:rsidRDefault="00405D16">
            <w:pPr>
              <w:spacing w:after="100"/>
              <w:rPr>
                <w:rFonts w:eastAsia="Times New Roman"/>
                <w:sz w:val="20"/>
                <w:szCs w:val="20"/>
              </w:rPr>
            </w:pPr>
          </w:p>
        </w:tc>
        <w:tc>
          <w:tcPr>
            <w:tcW w:w="26" w:type="pct"/>
            <w:vAlign w:val="center"/>
            <w:hideMark/>
          </w:tcPr>
          <w:p w14:paraId="13272761" w14:textId="77777777" w:rsidR="00000000" w:rsidRDefault="00405D16">
            <w:pPr>
              <w:spacing w:after="100"/>
              <w:rPr>
                <w:rFonts w:eastAsia="Times New Roman"/>
                <w:sz w:val="20"/>
                <w:szCs w:val="20"/>
              </w:rPr>
            </w:pPr>
          </w:p>
        </w:tc>
        <w:tc>
          <w:tcPr>
            <w:tcW w:w="5" w:type="pct"/>
            <w:vAlign w:val="center"/>
            <w:hideMark/>
          </w:tcPr>
          <w:p w14:paraId="601E66F7" w14:textId="77777777" w:rsidR="00000000" w:rsidRDefault="00405D16">
            <w:pPr>
              <w:spacing w:after="100"/>
              <w:rPr>
                <w:rFonts w:eastAsia="Times New Roman"/>
                <w:sz w:val="20"/>
                <w:szCs w:val="20"/>
              </w:rPr>
            </w:pPr>
          </w:p>
        </w:tc>
        <w:tc>
          <w:tcPr>
            <w:tcW w:w="50" w:type="pct"/>
            <w:vAlign w:val="center"/>
            <w:hideMark/>
          </w:tcPr>
          <w:p w14:paraId="0960EA73" w14:textId="77777777" w:rsidR="00000000" w:rsidRDefault="00405D16">
            <w:pPr>
              <w:spacing w:after="100"/>
              <w:rPr>
                <w:rFonts w:eastAsia="Times New Roman"/>
                <w:sz w:val="20"/>
                <w:szCs w:val="20"/>
              </w:rPr>
            </w:pPr>
          </w:p>
        </w:tc>
        <w:tc>
          <w:tcPr>
            <w:tcW w:w="295" w:type="pct"/>
            <w:vAlign w:val="center"/>
            <w:hideMark/>
          </w:tcPr>
          <w:p w14:paraId="660EF3A6" w14:textId="77777777" w:rsidR="00000000" w:rsidRDefault="00405D16">
            <w:pPr>
              <w:spacing w:after="100"/>
              <w:rPr>
                <w:rFonts w:eastAsia="Times New Roman"/>
                <w:sz w:val="20"/>
                <w:szCs w:val="20"/>
              </w:rPr>
            </w:pPr>
          </w:p>
        </w:tc>
        <w:tc>
          <w:tcPr>
            <w:tcW w:w="5" w:type="pct"/>
            <w:vAlign w:val="center"/>
            <w:hideMark/>
          </w:tcPr>
          <w:p w14:paraId="66A61825" w14:textId="77777777" w:rsidR="00000000" w:rsidRDefault="00405D16">
            <w:pPr>
              <w:spacing w:after="100"/>
              <w:rPr>
                <w:rFonts w:eastAsia="Times New Roman"/>
                <w:sz w:val="20"/>
                <w:szCs w:val="20"/>
              </w:rPr>
            </w:pPr>
          </w:p>
        </w:tc>
        <w:tc>
          <w:tcPr>
            <w:tcW w:w="5" w:type="pct"/>
            <w:vAlign w:val="center"/>
            <w:hideMark/>
          </w:tcPr>
          <w:p w14:paraId="0CF9326A" w14:textId="77777777" w:rsidR="00000000" w:rsidRDefault="00405D16">
            <w:pPr>
              <w:spacing w:after="100"/>
              <w:rPr>
                <w:rFonts w:eastAsia="Times New Roman"/>
                <w:sz w:val="20"/>
                <w:szCs w:val="20"/>
              </w:rPr>
            </w:pPr>
          </w:p>
        </w:tc>
        <w:tc>
          <w:tcPr>
            <w:tcW w:w="26" w:type="pct"/>
            <w:vAlign w:val="center"/>
            <w:hideMark/>
          </w:tcPr>
          <w:p w14:paraId="4F0FC05C" w14:textId="77777777" w:rsidR="00000000" w:rsidRDefault="00405D16">
            <w:pPr>
              <w:spacing w:after="100"/>
              <w:rPr>
                <w:rFonts w:eastAsia="Times New Roman"/>
                <w:sz w:val="20"/>
                <w:szCs w:val="20"/>
              </w:rPr>
            </w:pPr>
          </w:p>
        </w:tc>
        <w:tc>
          <w:tcPr>
            <w:tcW w:w="5" w:type="pct"/>
            <w:vAlign w:val="center"/>
            <w:hideMark/>
          </w:tcPr>
          <w:p w14:paraId="2A535793" w14:textId="77777777" w:rsidR="00000000" w:rsidRDefault="00405D16">
            <w:pPr>
              <w:spacing w:after="100"/>
              <w:rPr>
                <w:rFonts w:eastAsia="Times New Roman"/>
                <w:sz w:val="20"/>
                <w:szCs w:val="20"/>
              </w:rPr>
            </w:pPr>
          </w:p>
        </w:tc>
        <w:tc>
          <w:tcPr>
            <w:tcW w:w="50" w:type="pct"/>
            <w:vAlign w:val="center"/>
            <w:hideMark/>
          </w:tcPr>
          <w:p w14:paraId="5A53672F" w14:textId="77777777" w:rsidR="00000000" w:rsidRDefault="00405D16">
            <w:pPr>
              <w:spacing w:after="100"/>
              <w:rPr>
                <w:rFonts w:eastAsia="Times New Roman"/>
                <w:sz w:val="20"/>
                <w:szCs w:val="20"/>
              </w:rPr>
            </w:pPr>
          </w:p>
        </w:tc>
        <w:tc>
          <w:tcPr>
            <w:tcW w:w="295" w:type="pct"/>
            <w:vAlign w:val="center"/>
            <w:hideMark/>
          </w:tcPr>
          <w:p w14:paraId="4CAA6C89" w14:textId="77777777" w:rsidR="00000000" w:rsidRDefault="00405D16">
            <w:pPr>
              <w:spacing w:after="100"/>
              <w:rPr>
                <w:rFonts w:eastAsia="Times New Roman"/>
                <w:sz w:val="20"/>
                <w:szCs w:val="20"/>
              </w:rPr>
            </w:pPr>
          </w:p>
        </w:tc>
        <w:tc>
          <w:tcPr>
            <w:tcW w:w="5" w:type="pct"/>
            <w:vAlign w:val="center"/>
            <w:hideMark/>
          </w:tcPr>
          <w:p w14:paraId="4112A447" w14:textId="77777777" w:rsidR="00000000" w:rsidRDefault="00405D16">
            <w:pPr>
              <w:spacing w:after="100"/>
              <w:rPr>
                <w:rFonts w:eastAsia="Times New Roman"/>
                <w:sz w:val="20"/>
                <w:szCs w:val="20"/>
              </w:rPr>
            </w:pPr>
          </w:p>
        </w:tc>
        <w:tc>
          <w:tcPr>
            <w:tcW w:w="5" w:type="pct"/>
            <w:vAlign w:val="center"/>
            <w:hideMark/>
          </w:tcPr>
          <w:p w14:paraId="03350FD6" w14:textId="77777777" w:rsidR="00000000" w:rsidRDefault="00405D16">
            <w:pPr>
              <w:spacing w:after="100"/>
              <w:rPr>
                <w:rFonts w:eastAsia="Times New Roman"/>
                <w:sz w:val="20"/>
                <w:szCs w:val="20"/>
              </w:rPr>
            </w:pPr>
          </w:p>
        </w:tc>
        <w:tc>
          <w:tcPr>
            <w:tcW w:w="26" w:type="pct"/>
            <w:vAlign w:val="center"/>
            <w:hideMark/>
          </w:tcPr>
          <w:p w14:paraId="25AD48A1" w14:textId="77777777" w:rsidR="00000000" w:rsidRDefault="00405D16">
            <w:pPr>
              <w:spacing w:after="100"/>
              <w:rPr>
                <w:rFonts w:eastAsia="Times New Roman"/>
                <w:sz w:val="20"/>
                <w:szCs w:val="20"/>
              </w:rPr>
            </w:pPr>
          </w:p>
        </w:tc>
        <w:tc>
          <w:tcPr>
            <w:tcW w:w="5" w:type="pct"/>
            <w:vAlign w:val="center"/>
            <w:hideMark/>
          </w:tcPr>
          <w:p w14:paraId="03C811B3" w14:textId="77777777" w:rsidR="00000000" w:rsidRDefault="00405D16">
            <w:pPr>
              <w:spacing w:after="100"/>
              <w:rPr>
                <w:rFonts w:eastAsia="Times New Roman"/>
                <w:sz w:val="20"/>
                <w:szCs w:val="20"/>
              </w:rPr>
            </w:pPr>
          </w:p>
        </w:tc>
        <w:tc>
          <w:tcPr>
            <w:tcW w:w="50" w:type="pct"/>
            <w:vAlign w:val="center"/>
            <w:hideMark/>
          </w:tcPr>
          <w:p w14:paraId="2D5BB5E7" w14:textId="77777777" w:rsidR="00000000" w:rsidRDefault="00405D16">
            <w:pPr>
              <w:spacing w:after="100"/>
              <w:rPr>
                <w:rFonts w:eastAsia="Times New Roman"/>
                <w:sz w:val="20"/>
                <w:szCs w:val="20"/>
              </w:rPr>
            </w:pPr>
          </w:p>
        </w:tc>
        <w:tc>
          <w:tcPr>
            <w:tcW w:w="295" w:type="pct"/>
            <w:vAlign w:val="center"/>
            <w:hideMark/>
          </w:tcPr>
          <w:p w14:paraId="325E2966" w14:textId="77777777" w:rsidR="00000000" w:rsidRDefault="00405D16">
            <w:pPr>
              <w:spacing w:after="100"/>
              <w:rPr>
                <w:rFonts w:eastAsia="Times New Roman"/>
                <w:sz w:val="20"/>
                <w:szCs w:val="20"/>
              </w:rPr>
            </w:pPr>
          </w:p>
        </w:tc>
        <w:tc>
          <w:tcPr>
            <w:tcW w:w="5" w:type="pct"/>
            <w:vAlign w:val="center"/>
            <w:hideMark/>
          </w:tcPr>
          <w:p w14:paraId="6166F6A9" w14:textId="77777777" w:rsidR="00000000" w:rsidRDefault="00405D16">
            <w:pPr>
              <w:spacing w:after="100"/>
              <w:rPr>
                <w:rFonts w:eastAsia="Times New Roman"/>
                <w:sz w:val="20"/>
                <w:szCs w:val="20"/>
              </w:rPr>
            </w:pPr>
          </w:p>
        </w:tc>
        <w:tc>
          <w:tcPr>
            <w:tcW w:w="5" w:type="pct"/>
            <w:vAlign w:val="center"/>
            <w:hideMark/>
          </w:tcPr>
          <w:p w14:paraId="46118B9C" w14:textId="77777777" w:rsidR="00000000" w:rsidRDefault="00405D16">
            <w:pPr>
              <w:spacing w:after="100"/>
              <w:rPr>
                <w:rFonts w:eastAsia="Times New Roman"/>
                <w:sz w:val="20"/>
                <w:szCs w:val="20"/>
              </w:rPr>
            </w:pPr>
          </w:p>
        </w:tc>
        <w:tc>
          <w:tcPr>
            <w:tcW w:w="26" w:type="pct"/>
            <w:vAlign w:val="center"/>
            <w:hideMark/>
          </w:tcPr>
          <w:p w14:paraId="2A25ADD3" w14:textId="77777777" w:rsidR="00000000" w:rsidRDefault="00405D16">
            <w:pPr>
              <w:spacing w:after="100"/>
              <w:rPr>
                <w:rFonts w:eastAsia="Times New Roman"/>
                <w:sz w:val="20"/>
                <w:szCs w:val="20"/>
              </w:rPr>
            </w:pPr>
          </w:p>
        </w:tc>
        <w:tc>
          <w:tcPr>
            <w:tcW w:w="5" w:type="pct"/>
            <w:vAlign w:val="center"/>
            <w:hideMark/>
          </w:tcPr>
          <w:p w14:paraId="028A3C71" w14:textId="77777777" w:rsidR="00000000" w:rsidRDefault="00405D16">
            <w:pPr>
              <w:spacing w:after="100"/>
              <w:rPr>
                <w:rFonts w:eastAsia="Times New Roman"/>
                <w:sz w:val="20"/>
                <w:szCs w:val="20"/>
              </w:rPr>
            </w:pPr>
          </w:p>
        </w:tc>
        <w:tc>
          <w:tcPr>
            <w:tcW w:w="50" w:type="pct"/>
            <w:vAlign w:val="center"/>
            <w:hideMark/>
          </w:tcPr>
          <w:p w14:paraId="0C3D64CA" w14:textId="77777777" w:rsidR="00000000" w:rsidRDefault="00405D16">
            <w:pPr>
              <w:spacing w:after="100"/>
              <w:rPr>
                <w:rFonts w:eastAsia="Times New Roman"/>
                <w:sz w:val="20"/>
                <w:szCs w:val="20"/>
              </w:rPr>
            </w:pPr>
          </w:p>
        </w:tc>
        <w:tc>
          <w:tcPr>
            <w:tcW w:w="295" w:type="pct"/>
            <w:vAlign w:val="center"/>
            <w:hideMark/>
          </w:tcPr>
          <w:p w14:paraId="2A505388" w14:textId="77777777" w:rsidR="00000000" w:rsidRDefault="00405D16">
            <w:pPr>
              <w:spacing w:after="100"/>
              <w:rPr>
                <w:rFonts w:eastAsia="Times New Roman"/>
                <w:sz w:val="20"/>
                <w:szCs w:val="20"/>
              </w:rPr>
            </w:pPr>
          </w:p>
        </w:tc>
        <w:tc>
          <w:tcPr>
            <w:tcW w:w="5" w:type="pct"/>
            <w:vAlign w:val="center"/>
            <w:hideMark/>
          </w:tcPr>
          <w:p w14:paraId="66A15113" w14:textId="77777777" w:rsidR="00000000" w:rsidRDefault="00405D16">
            <w:pPr>
              <w:spacing w:after="100"/>
              <w:rPr>
                <w:rFonts w:eastAsia="Times New Roman"/>
                <w:sz w:val="20"/>
                <w:szCs w:val="20"/>
              </w:rPr>
            </w:pPr>
          </w:p>
        </w:tc>
        <w:tc>
          <w:tcPr>
            <w:tcW w:w="5" w:type="pct"/>
            <w:vAlign w:val="center"/>
            <w:hideMark/>
          </w:tcPr>
          <w:p w14:paraId="55B03E33" w14:textId="77777777" w:rsidR="00000000" w:rsidRDefault="00405D16">
            <w:pPr>
              <w:spacing w:after="100"/>
              <w:rPr>
                <w:rFonts w:eastAsia="Times New Roman"/>
                <w:sz w:val="20"/>
                <w:szCs w:val="20"/>
              </w:rPr>
            </w:pPr>
          </w:p>
        </w:tc>
        <w:tc>
          <w:tcPr>
            <w:tcW w:w="26" w:type="pct"/>
            <w:vAlign w:val="center"/>
            <w:hideMark/>
          </w:tcPr>
          <w:p w14:paraId="654F0916" w14:textId="77777777" w:rsidR="00000000" w:rsidRDefault="00405D16">
            <w:pPr>
              <w:spacing w:after="100"/>
              <w:rPr>
                <w:rFonts w:eastAsia="Times New Roman"/>
                <w:sz w:val="20"/>
                <w:szCs w:val="20"/>
              </w:rPr>
            </w:pPr>
          </w:p>
        </w:tc>
        <w:tc>
          <w:tcPr>
            <w:tcW w:w="5" w:type="pct"/>
            <w:vAlign w:val="center"/>
            <w:hideMark/>
          </w:tcPr>
          <w:p w14:paraId="241C73AD" w14:textId="77777777" w:rsidR="00000000" w:rsidRDefault="00405D16">
            <w:pPr>
              <w:spacing w:after="100"/>
              <w:rPr>
                <w:rFonts w:eastAsia="Times New Roman"/>
                <w:sz w:val="20"/>
                <w:szCs w:val="20"/>
              </w:rPr>
            </w:pPr>
          </w:p>
        </w:tc>
        <w:tc>
          <w:tcPr>
            <w:tcW w:w="50" w:type="pct"/>
            <w:vAlign w:val="center"/>
            <w:hideMark/>
          </w:tcPr>
          <w:p w14:paraId="728E6FCA" w14:textId="77777777" w:rsidR="00000000" w:rsidRDefault="00405D16">
            <w:pPr>
              <w:spacing w:after="100"/>
              <w:rPr>
                <w:rFonts w:eastAsia="Times New Roman"/>
                <w:sz w:val="20"/>
                <w:szCs w:val="20"/>
              </w:rPr>
            </w:pPr>
          </w:p>
        </w:tc>
        <w:tc>
          <w:tcPr>
            <w:tcW w:w="295" w:type="pct"/>
            <w:vAlign w:val="center"/>
            <w:hideMark/>
          </w:tcPr>
          <w:p w14:paraId="5D637E35" w14:textId="77777777" w:rsidR="00000000" w:rsidRDefault="00405D16">
            <w:pPr>
              <w:spacing w:after="100"/>
              <w:rPr>
                <w:rFonts w:eastAsia="Times New Roman"/>
                <w:sz w:val="20"/>
                <w:szCs w:val="20"/>
              </w:rPr>
            </w:pPr>
          </w:p>
        </w:tc>
        <w:tc>
          <w:tcPr>
            <w:tcW w:w="5" w:type="pct"/>
            <w:vAlign w:val="center"/>
            <w:hideMark/>
          </w:tcPr>
          <w:p w14:paraId="4CEDB1C3" w14:textId="77777777" w:rsidR="00000000" w:rsidRDefault="00405D16">
            <w:pPr>
              <w:spacing w:after="100"/>
              <w:rPr>
                <w:rFonts w:eastAsia="Times New Roman"/>
                <w:sz w:val="20"/>
                <w:szCs w:val="20"/>
              </w:rPr>
            </w:pPr>
          </w:p>
        </w:tc>
        <w:tc>
          <w:tcPr>
            <w:tcW w:w="5" w:type="pct"/>
            <w:vAlign w:val="center"/>
            <w:hideMark/>
          </w:tcPr>
          <w:p w14:paraId="55C95F01" w14:textId="77777777" w:rsidR="00000000" w:rsidRDefault="00405D16">
            <w:pPr>
              <w:spacing w:after="100"/>
              <w:rPr>
                <w:rFonts w:eastAsia="Times New Roman"/>
                <w:sz w:val="20"/>
                <w:szCs w:val="20"/>
              </w:rPr>
            </w:pPr>
          </w:p>
        </w:tc>
        <w:tc>
          <w:tcPr>
            <w:tcW w:w="26" w:type="pct"/>
            <w:vAlign w:val="center"/>
            <w:hideMark/>
          </w:tcPr>
          <w:p w14:paraId="294E890C" w14:textId="77777777" w:rsidR="00000000" w:rsidRDefault="00405D16">
            <w:pPr>
              <w:spacing w:after="100"/>
              <w:rPr>
                <w:rFonts w:eastAsia="Times New Roman"/>
                <w:sz w:val="20"/>
                <w:szCs w:val="20"/>
              </w:rPr>
            </w:pPr>
          </w:p>
        </w:tc>
        <w:tc>
          <w:tcPr>
            <w:tcW w:w="5" w:type="pct"/>
            <w:vAlign w:val="center"/>
            <w:hideMark/>
          </w:tcPr>
          <w:p w14:paraId="44EC697A" w14:textId="77777777" w:rsidR="00000000" w:rsidRDefault="00405D16">
            <w:pPr>
              <w:spacing w:after="100"/>
              <w:rPr>
                <w:rFonts w:eastAsia="Times New Roman"/>
                <w:sz w:val="20"/>
                <w:szCs w:val="20"/>
              </w:rPr>
            </w:pPr>
          </w:p>
        </w:tc>
        <w:tc>
          <w:tcPr>
            <w:tcW w:w="50" w:type="pct"/>
            <w:vAlign w:val="center"/>
            <w:hideMark/>
          </w:tcPr>
          <w:p w14:paraId="3C97382D" w14:textId="77777777" w:rsidR="00000000" w:rsidRDefault="00405D16">
            <w:pPr>
              <w:spacing w:after="100"/>
              <w:rPr>
                <w:rFonts w:eastAsia="Times New Roman"/>
                <w:sz w:val="20"/>
                <w:szCs w:val="20"/>
              </w:rPr>
            </w:pPr>
          </w:p>
        </w:tc>
        <w:tc>
          <w:tcPr>
            <w:tcW w:w="295" w:type="pct"/>
            <w:vAlign w:val="center"/>
            <w:hideMark/>
          </w:tcPr>
          <w:p w14:paraId="1052DB6F" w14:textId="77777777" w:rsidR="00000000" w:rsidRDefault="00405D16">
            <w:pPr>
              <w:spacing w:after="100"/>
              <w:rPr>
                <w:rFonts w:eastAsia="Times New Roman"/>
                <w:sz w:val="20"/>
                <w:szCs w:val="20"/>
              </w:rPr>
            </w:pPr>
          </w:p>
        </w:tc>
        <w:tc>
          <w:tcPr>
            <w:tcW w:w="5" w:type="pct"/>
            <w:vAlign w:val="center"/>
            <w:hideMark/>
          </w:tcPr>
          <w:p w14:paraId="55B8F6EE" w14:textId="77777777" w:rsidR="00000000" w:rsidRDefault="00405D16">
            <w:pPr>
              <w:spacing w:after="100"/>
              <w:rPr>
                <w:rFonts w:eastAsia="Times New Roman"/>
                <w:sz w:val="20"/>
                <w:szCs w:val="20"/>
              </w:rPr>
            </w:pPr>
          </w:p>
        </w:tc>
        <w:tc>
          <w:tcPr>
            <w:tcW w:w="5" w:type="pct"/>
            <w:vAlign w:val="center"/>
            <w:hideMark/>
          </w:tcPr>
          <w:p w14:paraId="33E5FED9" w14:textId="77777777" w:rsidR="00000000" w:rsidRDefault="00405D16">
            <w:pPr>
              <w:spacing w:after="100"/>
              <w:rPr>
                <w:rFonts w:eastAsia="Times New Roman"/>
                <w:sz w:val="20"/>
                <w:szCs w:val="20"/>
              </w:rPr>
            </w:pPr>
          </w:p>
        </w:tc>
        <w:tc>
          <w:tcPr>
            <w:tcW w:w="26" w:type="pct"/>
            <w:vAlign w:val="center"/>
            <w:hideMark/>
          </w:tcPr>
          <w:p w14:paraId="196EA460" w14:textId="77777777" w:rsidR="00000000" w:rsidRDefault="00405D16">
            <w:pPr>
              <w:spacing w:after="100"/>
              <w:rPr>
                <w:rFonts w:eastAsia="Times New Roman"/>
                <w:sz w:val="20"/>
                <w:szCs w:val="20"/>
              </w:rPr>
            </w:pPr>
          </w:p>
        </w:tc>
        <w:tc>
          <w:tcPr>
            <w:tcW w:w="5" w:type="pct"/>
            <w:vAlign w:val="center"/>
            <w:hideMark/>
          </w:tcPr>
          <w:p w14:paraId="44A4ACAC" w14:textId="77777777" w:rsidR="00000000" w:rsidRDefault="00405D16">
            <w:pPr>
              <w:spacing w:after="100"/>
              <w:rPr>
                <w:rFonts w:eastAsia="Times New Roman"/>
                <w:sz w:val="20"/>
                <w:szCs w:val="20"/>
              </w:rPr>
            </w:pPr>
          </w:p>
        </w:tc>
        <w:tc>
          <w:tcPr>
            <w:tcW w:w="50" w:type="pct"/>
            <w:vAlign w:val="center"/>
            <w:hideMark/>
          </w:tcPr>
          <w:p w14:paraId="7C812C5B" w14:textId="77777777" w:rsidR="00000000" w:rsidRDefault="00405D16">
            <w:pPr>
              <w:spacing w:after="100"/>
              <w:rPr>
                <w:rFonts w:eastAsia="Times New Roman"/>
                <w:sz w:val="20"/>
                <w:szCs w:val="20"/>
              </w:rPr>
            </w:pPr>
          </w:p>
        </w:tc>
        <w:tc>
          <w:tcPr>
            <w:tcW w:w="295" w:type="pct"/>
            <w:vAlign w:val="center"/>
            <w:hideMark/>
          </w:tcPr>
          <w:p w14:paraId="028F9227" w14:textId="77777777" w:rsidR="00000000" w:rsidRDefault="00405D16">
            <w:pPr>
              <w:spacing w:after="100"/>
              <w:rPr>
                <w:rFonts w:eastAsia="Times New Roman"/>
                <w:sz w:val="20"/>
                <w:szCs w:val="20"/>
              </w:rPr>
            </w:pPr>
          </w:p>
        </w:tc>
        <w:tc>
          <w:tcPr>
            <w:tcW w:w="5" w:type="pct"/>
            <w:vAlign w:val="center"/>
            <w:hideMark/>
          </w:tcPr>
          <w:p w14:paraId="58E695A4" w14:textId="77777777" w:rsidR="00000000" w:rsidRDefault="00405D16">
            <w:pPr>
              <w:spacing w:after="100"/>
              <w:rPr>
                <w:rFonts w:eastAsia="Times New Roman"/>
                <w:sz w:val="20"/>
                <w:szCs w:val="20"/>
              </w:rPr>
            </w:pPr>
          </w:p>
        </w:tc>
        <w:tc>
          <w:tcPr>
            <w:tcW w:w="5" w:type="pct"/>
            <w:vAlign w:val="center"/>
            <w:hideMark/>
          </w:tcPr>
          <w:p w14:paraId="2107AC9E" w14:textId="77777777" w:rsidR="00000000" w:rsidRDefault="00405D16">
            <w:pPr>
              <w:spacing w:after="100"/>
              <w:rPr>
                <w:rFonts w:eastAsia="Times New Roman"/>
                <w:sz w:val="20"/>
                <w:szCs w:val="20"/>
              </w:rPr>
            </w:pPr>
          </w:p>
        </w:tc>
        <w:tc>
          <w:tcPr>
            <w:tcW w:w="26" w:type="pct"/>
            <w:vAlign w:val="center"/>
            <w:hideMark/>
          </w:tcPr>
          <w:p w14:paraId="3E75F36E" w14:textId="77777777" w:rsidR="00000000" w:rsidRDefault="00405D16">
            <w:pPr>
              <w:spacing w:after="100"/>
              <w:rPr>
                <w:rFonts w:eastAsia="Times New Roman"/>
                <w:sz w:val="20"/>
                <w:szCs w:val="20"/>
              </w:rPr>
            </w:pPr>
          </w:p>
        </w:tc>
        <w:tc>
          <w:tcPr>
            <w:tcW w:w="5" w:type="pct"/>
            <w:vAlign w:val="center"/>
            <w:hideMark/>
          </w:tcPr>
          <w:p w14:paraId="4E08881F" w14:textId="77777777" w:rsidR="00000000" w:rsidRDefault="00405D16">
            <w:pPr>
              <w:spacing w:after="100"/>
              <w:rPr>
                <w:rFonts w:eastAsia="Times New Roman"/>
                <w:sz w:val="20"/>
                <w:szCs w:val="20"/>
              </w:rPr>
            </w:pPr>
          </w:p>
        </w:tc>
        <w:tc>
          <w:tcPr>
            <w:tcW w:w="50" w:type="pct"/>
            <w:vAlign w:val="center"/>
            <w:hideMark/>
          </w:tcPr>
          <w:p w14:paraId="385AD9D7" w14:textId="77777777" w:rsidR="00000000" w:rsidRDefault="00405D16">
            <w:pPr>
              <w:spacing w:after="100"/>
              <w:rPr>
                <w:rFonts w:eastAsia="Times New Roman"/>
                <w:sz w:val="20"/>
                <w:szCs w:val="20"/>
              </w:rPr>
            </w:pPr>
          </w:p>
        </w:tc>
        <w:tc>
          <w:tcPr>
            <w:tcW w:w="317" w:type="pct"/>
            <w:vAlign w:val="center"/>
            <w:hideMark/>
          </w:tcPr>
          <w:p w14:paraId="1063D903" w14:textId="77777777" w:rsidR="00000000" w:rsidRDefault="00405D16">
            <w:pPr>
              <w:spacing w:after="100"/>
              <w:rPr>
                <w:rFonts w:eastAsia="Times New Roman"/>
                <w:sz w:val="20"/>
                <w:szCs w:val="20"/>
              </w:rPr>
            </w:pPr>
          </w:p>
        </w:tc>
        <w:tc>
          <w:tcPr>
            <w:tcW w:w="5" w:type="pct"/>
            <w:vAlign w:val="center"/>
            <w:hideMark/>
          </w:tcPr>
          <w:p w14:paraId="6188FBA4" w14:textId="77777777" w:rsidR="00000000" w:rsidRDefault="00405D16">
            <w:pPr>
              <w:spacing w:after="100"/>
              <w:rPr>
                <w:rFonts w:eastAsia="Times New Roman"/>
                <w:sz w:val="20"/>
                <w:szCs w:val="20"/>
              </w:rPr>
            </w:pPr>
          </w:p>
        </w:tc>
        <w:tc>
          <w:tcPr>
            <w:tcW w:w="5" w:type="pct"/>
            <w:vAlign w:val="center"/>
            <w:hideMark/>
          </w:tcPr>
          <w:p w14:paraId="5F2A9B37" w14:textId="77777777" w:rsidR="00000000" w:rsidRDefault="00405D16">
            <w:pPr>
              <w:spacing w:after="100"/>
              <w:rPr>
                <w:rFonts w:eastAsia="Times New Roman"/>
                <w:sz w:val="20"/>
                <w:szCs w:val="20"/>
              </w:rPr>
            </w:pPr>
          </w:p>
        </w:tc>
        <w:tc>
          <w:tcPr>
            <w:tcW w:w="26" w:type="pct"/>
            <w:vAlign w:val="center"/>
            <w:hideMark/>
          </w:tcPr>
          <w:p w14:paraId="0091889E" w14:textId="77777777" w:rsidR="00000000" w:rsidRDefault="00405D16">
            <w:pPr>
              <w:spacing w:after="100"/>
              <w:rPr>
                <w:rFonts w:eastAsia="Times New Roman"/>
                <w:sz w:val="20"/>
                <w:szCs w:val="20"/>
              </w:rPr>
            </w:pPr>
          </w:p>
        </w:tc>
        <w:tc>
          <w:tcPr>
            <w:tcW w:w="5" w:type="pct"/>
            <w:vAlign w:val="center"/>
            <w:hideMark/>
          </w:tcPr>
          <w:p w14:paraId="6A32BDA2" w14:textId="77777777" w:rsidR="00000000" w:rsidRDefault="00405D16">
            <w:pPr>
              <w:spacing w:after="100"/>
              <w:rPr>
                <w:rFonts w:eastAsia="Times New Roman"/>
                <w:sz w:val="20"/>
                <w:szCs w:val="20"/>
              </w:rPr>
            </w:pPr>
          </w:p>
        </w:tc>
        <w:tc>
          <w:tcPr>
            <w:tcW w:w="50" w:type="pct"/>
            <w:vAlign w:val="center"/>
            <w:hideMark/>
          </w:tcPr>
          <w:p w14:paraId="37A1DE73" w14:textId="77777777" w:rsidR="00000000" w:rsidRDefault="00405D16">
            <w:pPr>
              <w:spacing w:after="100"/>
              <w:rPr>
                <w:rFonts w:eastAsia="Times New Roman"/>
                <w:sz w:val="20"/>
                <w:szCs w:val="20"/>
              </w:rPr>
            </w:pPr>
          </w:p>
        </w:tc>
        <w:tc>
          <w:tcPr>
            <w:tcW w:w="405" w:type="pct"/>
            <w:vAlign w:val="center"/>
            <w:hideMark/>
          </w:tcPr>
          <w:p w14:paraId="57DFA49D" w14:textId="77777777" w:rsidR="00000000" w:rsidRDefault="00405D16">
            <w:pPr>
              <w:spacing w:after="100"/>
              <w:rPr>
                <w:rFonts w:eastAsia="Times New Roman"/>
                <w:sz w:val="20"/>
                <w:szCs w:val="20"/>
              </w:rPr>
            </w:pPr>
          </w:p>
        </w:tc>
        <w:tc>
          <w:tcPr>
            <w:tcW w:w="5" w:type="pct"/>
            <w:vAlign w:val="center"/>
            <w:hideMark/>
          </w:tcPr>
          <w:p w14:paraId="39BAF5C6" w14:textId="77777777" w:rsidR="00000000" w:rsidRDefault="00405D16">
            <w:pPr>
              <w:spacing w:after="100"/>
              <w:rPr>
                <w:rFonts w:eastAsia="Times New Roman"/>
                <w:sz w:val="20"/>
                <w:szCs w:val="20"/>
              </w:rPr>
            </w:pPr>
          </w:p>
        </w:tc>
        <w:tc>
          <w:tcPr>
            <w:tcW w:w="5" w:type="pct"/>
            <w:vAlign w:val="center"/>
            <w:hideMark/>
          </w:tcPr>
          <w:p w14:paraId="5473857E" w14:textId="77777777" w:rsidR="00000000" w:rsidRDefault="00405D16">
            <w:pPr>
              <w:spacing w:after="100"/>
              <w:rPr>
                <w:rFonts w:eastAsia="Times New Roman"/>
                <w:sz w:val="20"/>
                <w:szCs w:val="20"/>
              </w:rPr>
            </w:pPr>
          </w:p>
        </w:tc>
        <w:tc>
          <w:tcPr>
            <w:tcW w:w="26" w:type="pct"/>
            <w:vAlign w:val="center"/>
            <w:hideMark/>
          </w:tcPr>
          <w:p w14:paraId="6ED5276F" w14:textId="77777777" w:rsidR="00000000" w:rsidRDefault="00405D16">
            <w:pPr>
              <w:spacing w:after="100"/>
              <w:rPr>
                <w:rFonts w:eastAsia="Times New Roman"/>
                <w:sz w:val="20"/>
                <w:szCs w:val="20"/>
              </w:rPr>
            </w:pPr>
          </w:p>
        </w:tc>
        <w:tc>
          <w:tcPr>
            <w:tcW w:w="5" w:type="pct"/>
            <w:vAlign w:val="center"/>
            <w:hideMark/>
          </w:tcPr>
          <w:p w14:paraId="0256C66A" w14:textId="77777777" w:rsidR="00000000" w:rsidRDefault="00405D16">
            <w:pPr>
              <w:spacing w:after="100"/>
              <w:rPr>
                <w:rFonts w:eastAsia="Times New Roman"/>
                <w:sz w:val="20"/>
                <w:szCs w:val="20"/>
              </w:rPr>
            </w:pPr>
          </w:p>
        </w:tc>
        <w:tc>
          <w:tcPr>
            <w:tcW w:w="50" w:type="pct"/>
            <w:vAlign w:val="center"/>
            <w:hideMark/>
          </w:tcPr>
          <w:p w14:paraId="56067200" w14:textId="77777777" w:rsidR="00000000" w:rsidRDefault="00405D16">
            <w:pPr>
              <w:spacing w:after="100"/>
              <w:rPr>
                <w:rFonts w:eastAsia="Times New Roman"/>
                <w:sz w:val="20"/>
                <w:szCs w:val="20"/>
              </w:rPr>
            </w:pPr>
          </w:p>
        </w:tc>
        <w:tc>
          <w:tcPr>
            <w:tcW w:w="296" w:type="pct"/>
            <w:vAlign w:val="center"/>
            <w:hideMark/>
          </w:tcPr>
          <w:p w14:paraId="50504B42" w14:textId="77777777" w:rsidR="00000000" w:rsidRDefault="00405D16">
            <w:pPr>
              <w:spacing w:after="100"/>
              <w:rPr>
                <w:rFonts w:eastAsia="Times New Roman"/>
                <w:sz w:val="20"/>
                <w:szCs w:val="20"/>
              </w:rPr>
            </w:pPr>
          </w:p>
        </w:tc>
        <w:tc>
          <w:tcPr>
            <w:tcW w:w="5" w:type="pct"/>
            <w:vAlign w:val="center"/>
            <w:hideMark/>
          </w:tcPr>
          <w:p w14:paraId="33640AFA" w14:textId="77777777" w:rsidR="00000000" w:rsidRDefault="00405D16">
            <w:pPr>
              <w:spacing w:after="100"/>
              <w:rPr>
                <w:rFonts w:eastAsia="Times New Roman"/>
                <w:sz w:val="20"/>
                <w:szCs w:val="20"/>
              </w:rPr>
            </w:pPr>
          </w:p>
        </w:tc>
      </w:tr>
      <w:tr w:rsidR="00000000" w14:paraId="30E765D9" w14:textId="77777777">
        <w:trPr>
          <w:divId w:val="2094276027"/>
        </w:trPr>
        <w:tc>
          <w:tcPr>
            <w:tcW w:w="0" w:type="auto"/>
            <w:gridSpan w:val="3"/>
            <w:tcMar>
              <w:top w:w="0" w:type="dxa"/>
              <w:left w:w="20" w:type="dxa"/>
              <w:bottom w:w="0" w:type="dxa"/>
              <w:right w:w="20" w:type="dxa"/>
            </w:tcMar>
            <w:vAlign w:val="center"/>
            <w:hideMark/>
          </w:tcPr>
          <w:p w14:paraId="1FE7874F"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3EAA02" w14:textId="77777777" w:rsidR="00000000" w:rsidRDefault="00405D16">
            <w:pPr>
              <w:spacing w:after="100"/>
              <w:rPr>
                <w:rFonts w:eastAsia="Times New Roman"/>
                <w:sz w:val="20"/>
                <w:szCs w:val="20"/>
              </w:rPr>
            </w:pPr>
          </w:p>
        </w:tc>
        <w:tc>
          <w:tcPr>
            <w:tcW w:w="0" w:type="auto"/>
            <w:gridSpan w:val="56"/>
            <w:tcMar>
              <w:top w:w="30" w:type="dxa"/>
              <w:left w:w="20" w:type="dxa"/>
              <w:bottom w:w="30" w:type="dxa"/>
              <w:right w:w="20" w:type="dxa"/>
            </w:tcMar>
            <w:vAlign w:val="bottom"/>
            <w:hideMark/>
          </w:tcPr>
          <w:p w14:paraId="4F0CCD11" w14:textId="77777777" w:rsidR="00000000" w:rsidRDefault="00405D16">
            <w:pPr>
              <w:spacing w:after="100"/>
              <w:jc w:val="center"/>
              <w:rPr>
                <w:rFonts w:eastAsia="Times New Roman"/>
              </w:rPr>
            </w:pPr>
            <w:r>
              <w:rPr>
                <w:rFonts w:eastAsia="Times New Roman"/>
                <w:b/>
                <w:bCs/>
                <w:color w:val="000000"/>
                <w:sz w:val="15"/>
                <w:szCs w:val="15"/>
              </w:rPr>
              <w:t>December 31, 2020</w:t>
            </w:r>
          </w:p>
        </w:tc>
        <w:tc>
          <w:tcPr>
            <w:tcW w:w="0" w:type="auto"/>
            <w:vAlign w:val="center"/>
            <w:hideMark/>
          </w:tcPr>
          <w:p w14:paraId="3923E3D0" w14:textId="77777777" w:rsidR="00000000" w:rsidRDefault="00405D16">
            <w:pPr>
              <w:spacing w:after="100"/>
              <w:rPr>
                <w:rFonts w:eastAsia="Times New Roman"/>
                <w:sz w:val="20"/>
                <w:szCs w:val="20"/>
              </w:rPr>
            </w:pPr>
          </w:p>
        </w:tc>
      </w:tr>
      <w:tr w:rsidR="00000000" w14:paraId="207F26BE" w14:textId="77777777">
        <w:trPr>
          <w:divId w:val="2094276027"/>
        </w:trPr>
        <w:tc>
          <w:tcPr>
            <w:tcW w:w="0" w:type="auto"/>
            <w:gridSpan w:val="3"/>
            <w:tcMar>
              <w:top w:w="0" w:type="dxa"/>
              <w:left w:w="20" w:type="dxa"/>
              <w:bottom w:w="0" w:type="dxa"/>
              <w:right w:w="20" w:type="dxa"/>
            </w:tcMar>
            <w:vAlign w:val="center"/>
            <w:hideMark/>
          </w:tcPr>
          <w:p w14:paraId="383B1405" w14:textId="77777777" w:rsidR="00000000" w:rsidRDefault="00405D1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D7BC3A8" w14:textId="77777777" w:rsidR="00000000" w:rsidRDefault="00405D16">
            <w:pPr>
              <w:spacing w:after="100"/>
              <w:rPr>
                <w:rFonts w:eastAsia="Times New Roman"/>
                <w:sz w:val="20"/>
                <w:szCs w:val="20"/>
              </w:rPr>
            </w:pPr>
          </w:p>
        </w:tc>
        <w:tc>
          <w:tcPr>
            <w:tcW w:w="0" w:type="auto"/>
            <w:gridSpan w:val="39"/>
            <w:tcBorders>
              <w:top w:val="single" w:sz="8" w:space="0" w:color="000000"/>
            </w:tcBorders>
            <w:tcMar>
              <w:top w:w="30" w:type="dxa"/>
              <w:left w:w="20" w:type="dxa"/>
              <w:bottom w:w="30" w:type="dxa"/>
              <w:right w:w="20" w:type="dxa"/>
            </w:tcMar>
            <w:vAlign w:val="bottom"/>
            <w:hideMark/>
          </w:tcPr>
          <w:p w14:paraId="200DD495" w14:textId="77777777" w:rsidR="00000000" w:rsidRDefault="00405D16">
            <w:pPr>
              <w:spacing w:after="100"/>
              <w:jc w:val="center"/>
              <w:rPr>
                <w:rFonts w:eastAsia="Times New Roman"/>
              </w:rPr>
            </w:pPr>
            <w:r>
              <w:rPr>
                <w:rFonts w:eastAsia="Times New Roman"/>
                <w:b/>
                <w:bCs/>
                <w:color w:val="000000"/>
                <w:sz w:val="15"/>
                <w:szCs w:val="15"/>
              </w:rPr>
              <w:t>Term Loans by Vintage Year</w:t>
            </w:r>
          </w:p>
        </w:tc>
        <w:tc>
          <w:tcPr>
            <w:tcW w:w="0" w:type="auto"/>
            <w:gridSpan w:val="3"/>
            <w:tcBorders>
              <w:top w:val="single" w:sz="8" w:space="0" w:color="000000"/>
            </w:tcBorders>
            <w:tcMar>
              <w:top w:w="0" w:type="dxa"/>
              <w:left w:w="20" w:type="dxa"/>
              <w:bottom w:w="0" w:type="dxa"/>
              <w:right w:w="20" w:type="dxa"/>
            </w:tcMar>
            <w:vAlign w:val="center"/>
            <w:hideMark/>
          </w:tcPr>
          <w:p w14:paraId="4DA115B8" w14:textId="77777777" w:rsidR="00000000" w:rsidRDefault="00405D16">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37CB1986"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59EEFD1"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D62D900"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42BB80F" w14:textId="77777777" w:rsidR="00000000" w:rsidRDefault="00405D16">
            <w:pPr>
              <w:spacing w:after="100"/>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14:paraId="6C40CFDE" w14:textId="77777777" w:rsidR="00000000" w:rsidRDefault="00405D16">
            <w:pPr>
              <w:spacing w:after="100"/>
              <w:rPr>
                <w:rFonts w:eastAsia="Times New Roman"/>
                <w:sz w:val="20"/>
                <w:szCs w:val="20"/>
              </w:rPr>
            </w:pPr>
          </w:p>
        </w:tc>
        <w:tc>
          <w:tcPr>
            <w:tcW w:w="0" w:type="auto"/>
            <w:vAlign w:val="center"/>
            <w:hideMark/>
          </w:tcPr>
          <w:p w14:paraId="0D736F3D" w14:textId="77777777" w:rsidR="00000000" w:rsidRDefault="00405D16">
            <w:pPr>
              <w:spacing w:after="100"/>
              <w:rPr>
                <w:rFonts w:eastAsia="Times New Roman"/>
                <w:sz w:val="20"/>
                <w:szCs w:val="20"/>
              </w:rPr>
            </w:pPr>
          </w:p>
        </w:tc>
      </w:tr>
      <w:tr w:rsidR="00000000" w14:paraId="633E257A" w14:textId="77777777">
        <w:trPr>
          <w:divId w:val="2094276027"/>
        </w:trPr>
        <w:tc>
          <w:tcPr>
            <w:tcW w:w="0" w:type="auto"/>
            <w:gridSpan w:val="3"/>
            <w:tcMar>
              <w:top w:w="30" w:type="dxa"/>
              <w:left w:w="20" w:type="dxa"/>
              <w:bottom w:w="30" w:type="dxa"/>
              <w:right w:w="20" w:type="dxa"/>
            </w:tcMar>
            <w:vAlign w:val="bottom"/>
            <w:hideMark/>
          </w:tcPr>
          <w:p w14:paraId="48FE079D" w14:textId="77777777" w:rsidR="00000000" w:rsidRDefault="00405D16">
            <w:pPr>
              <w:spacing w:after="100"/>
              <w:rPr>
                <w:rFonts w:eastAsia="Times New Roman"/>
              </w:rPr>
            </w:pPr>
            <w:r>
              <w:rPr>
                <w:rFonts w:eastAsia="Times New Roman"/>
                <w:i/>
                <w:iCs/>
                <w:color w:val="000000"/>
                <w:sz w:val="15"/>
                <w:szCs w:val="15"/>
              </w:rPr>
              <w:t>(Dollars in millions)</w:t>
            </w:r>
          </w:p>
        </w:tc>
        <w:tc>
          <w:tcPr>
            <w:tcW w:w="0" w:type="auto"/>
            <w:gridSpan w:val="3"/>
            <w:tcMar>
              <w:top w:w="0" w:type="dxa"/>
              <w:left w:w="20" w:type="dxa"/>
              <w:bottom w:w="0" w:type="dxa"/>
              <w:right w:w="20" w:type="dxa"/>
            </w:tcMar>
            <w:vAlign w:val="center"/>
            <w:hideMark/>
          </w:tcPr>
          <w:p w14:paraId="5476DB8A"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ED11E3D" w14:textId="77777777" w:rsidR="00000000" w:rsidRDefault="00405D16">
            <w:pPr>
              <w:spacing w:after="100"/>
              <w:jc w:val="center"/>
              <w:rPr>
                <w:rFonts w:eastAsia="Times New Roman"/>
              </w:rPr>
            </w:pPr>
            <w:r>
              <w:rPr>
                <w:rFonts w:eastAsia="Times New Roman"/>
                <w:b/>
                <w:bCs/>
                <w:color w:val="000000"/>
                <w:sz w:val="15"/>
                <w:szCs w:val="15"/>
              </w:rPr>
              <w:t>2020</w:t>
            </w:r>
          </w:p>
        </w:tc>
        <w:tc>
          <w:tcPr>
            <w:tcW w:w="0" w:type="auto"/>
            <w:gridSpan w:val="3"/>
            <w:tcBorders>
              <w:top w:val="single" w:sz="8" w:space="0" w:color="000000"/>
            </w:tcBorders>
            <w:tcMar>
              <w:top w:w="0" w:type="dxa"/>
              <w:left w:w="20" w:type="dxa"/>
              <w:bottom w:w="0" w:type="dxa"/>
              <w:right w:w="20" w:type="dxa"/>
            </w:tcMar>
            <w:vAlign w:val="center"/>
            <w:hideMark/>
          </w:tcPr>
          <w:p w14:paraId="6781F395"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F6A8AD8" w14:textId="77777777" w:rsidR="00000000" w:rsidRDefault="00405D16">
            <w:pPr>
              <w:spacing w:after="100"/>
              <w:jc w:val="center"/>
              <w:rPr>
                <w:rFonts w:eastAsia="Times New Roman"/>
              </w:rPr>
            </w:pPr>
            <w:r>
              <w:rPr>
                <w:rFonts w:eastAsia="Times New Roman"/>
                <w:b/>
                <w:bCs/>
                <w:color w:val="000000"/>
                <w:sz w:val="15"/>
                <w:szCs w:val="15"/>
              </w:rPr>
              <w:t>2019</w:t>
            </w:r>
          </w:p>
        </w:tc>
        <w:tc>
          <w:tcPr>
            <w:tcW w:w="0" w:type="auto"/>
            <w:gridSpan w:val="3"/>
            <w:tcBorders>
              <w:top w:val="single" w:sz="8" w:space="0" w:color="000000"/>
            </w:tcBorders>
            <w:tcMar>
              <w:top w:w="0" w:type="dxa"/>
              <w:left w:w="20" w:type="dxa"/>
              <w:bottom w:w="0" w:type="dxa"/>
              <w:right w:w="20" w:type="dxa"/>
            </w:tcMar>
            <w:vAlign w:val="center"/>
            <w:hideMark/>
          </w:tcPr>
          <w:p w14:paraId="355D7A01"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E1E43D1" w14:textId="77777777" w:rsidR="00000000" w:rsidRDefault="00405D16">
            <w:pPr>
              <w:spacing w:after="100"/>
              <w:jc w:val="center"/>
              <w:rPr>
                <w:rFonts w:eastAsia="Times New Roman"/>
              </w:rPr>
            </w:pPr>
            <w:r>
              <w:rPr>
                <w:rFonts w:eastAsia="Times New Roman"/>
                <w:b/>
                <w:bCs/>
                <w:color w:val="000000"/>
                <w:sz w:val="15"/>
                <w:szCs w:val="15"/>
              </w:rPr>
              <w:t>2018</w:t>
            </w:r>
          </w:p>
        </w:tc>
        <w:tc>
          <w:tcPr>
            <w:tcW w:w="0" w:type="auto"/>
            <w:gridSpan w:val="3"/>
            <w:tcBorders>
              <w:top w:val="single" w:sz="8" w:space="0" w:color="000000"/>
            </w:tcBorders>
            <w:tcMar>
              <w:top w:w="0" w:type="dxa"/>
              <w:left w:w="20" w:type="dxa"/>
              <w:bottom w:w="0" w:type="dxa"/>
              <w:right w:w="20" w:type="dxa"/>
            </w:tcMar>
            <w:vAlign w:val="center"/>
            <w:hideMark/>
          </w:tcPr>
          <w:p w14:paraId="4A1C7F65"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25010B2" w14:textId="77777777" w:rsidR="00000000" w:rsidRDefault="00405D16">
            <w:pPr>
              <w:spacing w:after="100"/>
              <w:jc w:val="center"/>
              <w:rPr>
                <w:rFonts w:eastAsia="Times New Roman"/>
              </w:rPr>
            </w:pPr>
            <w:r>
              <w:rPr>
                <w:rFonts w:eastAsia="Times New Roman"/>
                <w:b/>
                <w:bCs/>
                <w:color w:val="000000"/>
                <w:sz w:val="15"/>
                <w:szCs w:val="15"/>
              </w:rPr>
              <w:t>2017</w:t>
            </w:r>
          </w:p>
        </w:tc>
        <w:tc>
          <w:tcPr>
            <w:tcW w:w="0" w:type="auto"/>
            <w:gridSpan w:val="3"/>
            <w:tcBorders>
              <w:top w:val="single" w:sz="8" w:space="0" w:color="000000"/>
            </w:tcBorders>
            <w:tcMar>
              <w:top w:w="0" w:type="dxa"/>
              <w:left w:w="20" w:type="dxa"/>
              <w:bottom w:w="0" w:type="dxa"/>
              <w:right w:w="20" w:type="dxa"/>
            </w:tcMar>
            <w:vAlign w:val="center"/>
            <w:hideMark/>
          </w:tcPr>
          <w:p w14:paraId="149D4FB0"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206D04D" w14:textId="77777777" w:rsidR="00000000" w:rsidRDefault="00405D16">
            <w:pPr>
              <w:spacing w:after="100"/>
              <w:jc w:val="center"/>
              <w:rPr>
                <w:rFonts w:eastAsia="Times New Roman"/>
              </w:rPr>
            </w:pPr>
            <w:r>
              <w:rPr>
                <w:rFonts w:eastAsia="Times New Roman"/>
                <w:b/>
                <w:bCs/>
                <w:color w:val="000000"/>
                <w:sz w:val="15"/>
                <w:szCs w:val="15"/>
              </w:rPr>
              <w:t>2016</w:t>
            </w:r>
          </w:p>
        </w:tc>
        <w:tc>
          <w:tcPr>
            <w:tcW w:w="0" w:type="auto"/>
            <w:gridSpan w:val="3"/>
            <w:tcBorders>
              <w:top w:val="single" w:sz="8" w:space="0" w:color="000000"/>
            </w:tcBorders>
            <w:tcMar>
              <w:top w:w="0" w:type="dxa"/>
              <w:left w:w="20" w:type="dxa"/>
              <w:bottom w:w="0" w:type="dxa"/>
              <w:right w:w="20" w:type="dxa"/>
            </w:tcMar>
            <w:vAlign w:val="center"/>
            <w:hideMark/>
          </w:tcPr>
          <w:p w14:paraId="0A72111D"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50731D1" w14:textId="77777777" w:rsidR="00000000" w:rsidRDefault="00405D16">
            <w:pPr>
              <w:spacing w:after="100"/>
              <w:jc w:val="center"/>
              <w:rPr>
                <w:rFonts w:eastAsia="Times New Roman"/>
              </w:rPr>
            </w:pPr>
            <w:r>
              <w:rPr>
                <w:rFonts w:eastAsia="Times New Roman"/>
                <w:b/>
                <w:bCs/>
                <w:color w:val="000000"/>
                <w:sz w:val="15"/>
                <w:szCs w:val="15"/>
              </w:rPr>
              <w:t>Prior</w:t>
            </w:r>
          </w:p>
        </w:tc>
        <w:tc>
          <w:tcPr>
            <w:tcW w:w="0" w:type="auto"/>
            <w:gridSpan w:val="3"/>
            <w:tcBorders>
              <w:top w:val="single" w:sz="8" w:space="0" w:color="000000"/>
            </w:tcBorders>
            <w:tcMar>
              <w:top w:w="0" w:type="dxa"/>
              <w:left w:w="20" w:type="dxa"/>
              <w:bottom w:w="0" w:type="dxa"/>
              <w:right w:w="20" w:type="dxa"/>
            </w:tcMar>
            <w:vAlign w:val="center"/>
            <w:hideMark/>
          </w:tcPr>
          <w:p w14:paraId="100F062E"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B6CD1BA" w14:textId="77777777" w:rsidR="00000000" w:rsidRDefault="00405D16">
            <w:pPr>
              <w:spacing w:after="100"/>
              <w:jc w:val="center"/>
              <w:rPr>
                <w:rFonts w:eastAsia="Times New Roman"/>
              </w:rPr>
            </w:pPr>
            <w:r>
              <w:rPr>
                <w:rFonts w:eastAsia="Times New Roman"/>
                <w:b/>
                <w:bCs/>
                <w:color w:val="000000"/>
                <w:sz w:val="15"/>
                <w:szCs w:val="15"/>
              </w:rPr>
              <w:t>Total Term Loans</w:t>
            </w:r>
          </w:p>
        </w:tc>
        <w:tc>
          <w:tcPr>
            <w:tcW w:w="0" w:type="auto"/>
            <w:gridSpan w:val="3"/>
            <w:tcMar>
              <w:top w:w="0" w:type="dxa"/>
              <w:left w:w="20" w:type="dxa"/>
              <w:bottom w:w="0" w:type="dxa"/>
              <w:right w:w="20" w:type="dxa"/>
            </w:tcMar>
            <w:vAlign w:val="center"/>
            <w:hideMark/>
          </w:tcPr>
          <w:p w14:paraId="08B69D32"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0B94BB9" w14:textId="77777777" w:rsidR="00000000" w:rsidRDefault="00405D16">
            <w:pPr>
              <w:spacing w:after="100"/>
              <w:jc w:val="center"/>
              <w:rPr>
                <w:rFonts w:eastAsia="Times New Roman"/>
              </w:rPr>
            </w:pPr>
            <w:r>
              <w:rPr>
                <w:rFonts w:eastAsia="Times New Roman"/>
                <w:b/>
                <w:bCs/>
                <w:color w:val="000000"/>
                <w:sz w:val="15"/>
                <w:szCs w:val="15"/>
              </w:rPr>
              <w:t>Revolving Loans</w:t>
            </w:r>
          </w:p>
        </w:tc>
        <w:tc>
          <w:tcPr>
            <w:tcW w:w="0" w:type="auto"/>
            <w:gridSpan w:val="3"/>
            <w:tcMar>
              <w:top w:w="0" w:type="dxa"/>
              <w:left w:w="20" w:type="dxa"/>
              <w:bottom w:w="0" w:type="dxa"/>
              <w:right w:w="20" w:type="dxa"/>
            </w:tcMar>
            <w:vAlign w:val="center"/>
            <w:hideMark/>
          </w:tcPr>
          <w:p w14:paraId="3F9AD9C4"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2A0FAB6" w14:textId="77777777" w:rsidR="00000000" w:rsidRDefault="00405D16">
            <w:pPr>
              <w:spacing w:after="100"/>
              <w:jc w:val="center"/>
              <w:rPr>
                <w:rFonts w:eastAsia="Times New Roman"/>
              </w:rPr>
            </w:pPr>
            <w:r>
              <w:rPr>
                <w:rFonts w:eastAsia="Times New Roman"/>
                <w:b/>
                <w:bCs/>
                <w:color w:val="000000"/>
                <w:sz w:val="15"/>
                <w:szCs w:val="15"/>
              </w:rPr>
              <w:t>Revolving Loans Converted to Term</w:t>
            </w:r>
          </w:p>
        </w:tc>
        <w:tc>
          <w:tcPr>
            <w:tcW w:w="0" w:type="auto"/>
            <w:gridSpan w:val="3"/>
            <w:tcMar>
              <w:top w:w="0" w:type="dxa"/>
              <w:left w:w="20" w:type="dxa"/>
              <w:bottom w:w="0" w:type="dxa"/>
              <w:right w:w="20" w:type="dxa"/>
            </w:tcMar>
            <w:vAlign w:val="center"/>
            <w:hideMark/>
          </w:tcPr>
          <w:p w14:paraId="64BEEF08" w14:textId="77777777" w:rsidR="00000000" w:rsidRDefault="00405D16">
            <w:pPr>
              <w:spacing w:after="100"/>
              <w:jc w:val="center"/>
              <w:rPr>
                <w:rFonts w:eastAsia="Times New Roman"/>
              </w:rPr>
            </w:pPr>
          </w:p>
        </w:tc>
        <w:tc>
          <w:tcPr>
            <w:tcW w:w="0" w:type="auto"/>
            <w:gridSpan w:val="2"/>
            <w:tcMar>
              <w:top w:w="30" w:type="dxa"/>
              <w:left w:w="20" w:type="dxa"/>
              <w:bottom w:w="30" w:type="dxa"/>
              <w:right w:w="20" w:type="dxa"/>
            </w:tcMar>
            <w:vAlign w:val="bottom"/>
            <w:hideMark/>
          </w:tcPr>
          <w:p w14:paraId="0BE4FAB9" w14:textId="77777777" w:rsidR="00000000" w:rsidRDefault="00405D16">
            <w:pPr>
              <w:spacing w:after="100"/>
              <w:jc w:val="center"/>
              <w:rPr>
                <w:rFonts w:eastAsia="Times New Roman"/>
              </w:rPr>
            </w:pPr>
            <w:r>
              <w:rPr>
                <w:rFonts w:eastAsia="Times New Roman"/>
                <w:b/>
                <w:bCs/>
                <w:color w:val="000000"/>
                <w:sz w:val="15"/>
                <w:szCs w:val="15"/>
              </w:rPr>
              <w:t>Total</w:t>
            </w:r>
          </w:p>
        </w:tc>
        <w:tc>
          <w:tcPr>
            <w:tcW w:w="0" w:type="auto"/>
            <w:vAlign w:val="center"/>
            <w:hideMark/>
          </w:tcPr>
          <w:p w14:paraId="6A734580" w14:textId="77777777" w:rsidR="00000000" w:rsidRDefault="00405D16">
            <w:pPr>
              <w:spacing w:after="100"/>
              <w:rPr>
                <w:rFonts w:eastAsia="Times New Roman"/>
                <w:sz w:val="20"/>
                <w:szCs w:val="20"/>
              </w:rPr>
            </w:pPr>
          </w:p>
        </w:tc>
      </w:tr>
      <w:tr w:rsidR="00000000" w14:paraId="5971DA29" w14:textId="77777777">
        <w:trPr>
          <w:divId w:val="2094276027"/>
        </w:trPr>
        <w:tc>
          <w:tcPr>
            <w:tcW w:w="0" w:type="auto"/>
            <w:gridSpan w:val="3"/>
            <w:vAlign w:val="center"/>
            <w:hideMark/>
          </w:tcPr>
          <w:p w14:paraId="62309B53" w14:textId="77777777" w:rsidR="00000000" w:rsidRDefault="00405D16">
            <w:pPr>
              <w:spacing w:after="100"/>
              <w:jc w:val="center"/>
              <w:rPr>
                <w:rFonts w:eastAsia="Times New Roman"/>
              </w:rPr>
            </w:pPr>
          </w:p>
        </w:tc>
        <w:tc>
          <w:tcPr>
            <w:tcW w:w="0" w:type="auto"/>
            <w:gridSpan w:val="3"/>
            <w:vAlign w:val="center"/>
            <w:hideMark/>
          </w:tcPr>
          <w:p w14:paraId="7DC3AF77" w14:textId="77777777" w:rsidR="00000000" w:rsidRDefault="00405D16">
            <w:pPr>
              <w:spacing w:after="100"/>
              <w:rPr>
                <w:rFonts w:eastAsia="Times New Roman"/>
                <w:sz w:val="20"/>
                <w:szCs w:val="20"/>
              </w:rPr>
            </w:pPr>
          </w:p>
        </w:tc>
        <w:tc>
          <w:tcPr>
            <w:tcW w:w="0" w:type="auto"/>
            <w:gridSpan w:val="3"/>
            <w:vAlign w:val="center"/>
            <w:hideMark/>
          </w:tcPr>
          <w:p w14:paraId="572F7325" w14:textId="77777777" w:rsidR="00000000" w:rsidRDefault="00405D16">
            <w:pPr>
              <w:spacing w:after="100"/>
              <w:rPr>
                <w:rFonts w:eastAsia="Times New Roman"/>
                <w:sz w:val="20"/>
                <w:szCs w:val="20"/>
              </w:rPr>
            </w:pPr>
          </w:p>
        </w:tc>
        <w:tc>
          <w:tcPr>
            <w:tcW w:w="0" w:type="auto"/>
            <w:gridSpan w:val="3"/>
            <w:vAlign w:val="center"/>
            <w:hideMark/>
          </w:tcPr>
          <w:p w14:paraId="526149A7" w14:textId="77777777" w:rsidR="00000000" w:rsidRDefault="00405D16">
            <w:pPr>
              <w:spacing w:after="100"/>
              <w:rPr>
                <w:rFonts w:eastAsia="Times New Roman"/>
                <w:sz w:val="20"/>
                <w:szCs w:val="20"/>
              </w:rPr>
            </w:pPr>
          </w:p>
        </w:tc>
        <w:tc>
          <w:tcPr>
            <w:tcW w:w="0" w:type="auto"/>
            <w:gridSpan w:val="3"/>
            <w:vAlign w:val="center"/>
            <w:hideMark/>
          </w:tcPr>
          <w:p w14:paraId="79536521" w14:textId="77777777" w:rsidR="00000000" w:rsidRDefault="00405D16">
            <w:pPr>
              <w:spacing w:after="100"/>
              <w:rPr>
                <w:rFonts w:eastAsia="Times New Roman"/>
                <w:sz w:val="20"/>
                <w:szCs w:val="20"/>
              </w:rPr>
            </w:pPr>
          </w:p>
        </w:tc>
        <w:tc>
          <w:tcPr>
            <w:tcW w:w="0" w:type="auto"/>
            <w:gridSpan w:val="3"/>
            <w:vAlign w:val="center"/>
            <w:hideMark/>
          </w:tcPr>
          <w:p w14:paraId="0F5B9E8C" w14:textId="77777777" w:rsidR="00000000" w:rsidRDefault="00405D16">
            <w:pPr>
              <w:spacing w:after="100"/>
              <w:rPr>
                <w:rFonts w:eastAsia="Times New Roman"/>
                <w:sz w:val="20"/>
                <w:szCs w:val="20"/>
              </w:rPr>
            </w:pPr>
          </w:p>
        </w:tc>
        <w:tc>
          <w:tcPr>
            <w:tcW w:w="0" w:type="auto"/>
            <w:gridSpan w:val="3"/>
            <w:vAlign w:val="center"/>
            <w:hideMark/>
          </w:tcPr>
          <w:p w14:paraId="48DE2891" w14:textId="77777777" w:rsidR="00000000" w:rsidRDefault="00405D16">
            <w:pPr>
              <w:spacing w:after="100"/>
              <w:rPr>
                <w:rFonts w:eastAsia="Times New Roman"/>
                <w:sz w:val="20"/>
                <w:szCs w:val="20"/>
              </w:rPr>
            </w:pPr>
          </w:p>
        </w:tc>
        <w:tc>
          <w:tcPr>
            <w:tcW w:w="0" w:type="auto"/>
            <w:gridSpan w:val="3"/>
            <w:vAlign w:val="center"/>
            <w:hideMark/>
          </w:tcPr>
          <w:p w14:paraId="0DC71600" w14:textId="77777777" w:rsidR="00000000" w:rsidRDefault="00405D16">
            <w:pPr>
              <w:spacing w:after="100"/>
              <w:rPr>
                <w:rFonts w:eastAsia="Times New Roman"/>
                <w:sz w:val="20"/>
                <w:szCs w:val="20"/>
              </w:rPr>
            </w:pPr>
          </w:p>
        </w:tc>
        <w:tc>
          <w:tcPr>
            <w:tcW w:w="0" w:type="auto"/>
            <w:gridSpan w:val="3"/>
            <w:vAlign w:val="center"/>
            <w:hideMark/>
          </w:tcPr>
          <w:p w14:paraId="29A3B0E1" w14:textId="77777777" w:rsidR="00000000" w:rsidRDefault="00405D16">
            <w:pPr>
              <w:spacing w:after="100"/>
              <w:rPr>
                <w:rFonts w:eastAsia="Times New Roman"/>
                <w:sz w:val="20"/>
                <w:szCs w:val="20"/>
              </w:rPr>
            </w:pPr>
          </w:p>
        </w:tc>
        <w:tc>
          <w:tcPr>
            <w:tcW w:w="0" w:type="auto"/>
            <w:gridSpan w:val="3"/>
            <w:vAlign w:val="center"/>
            <w:hideMark/>
          </w:tcPr>
          <w:p w14:paraId="07C56808" w14:textId="77777777" w:rsidR="00000000" w:rsidRDefault="00405D16">
            <w:pPr>
              <w:spacing w:after="100"/>
              <w:rPr>
                <w:rFonts w:eastAsia="Times New Roman"/>
                <w:sz w:val="20"/>
                <w:szCs w:val="20"/>
              </w:rPr>
            </w:pPr>
          </w:p>
        </w:tc>
        <w:tc>
          <w:tcPr>
            <w:tcW w:w="0" w:type="auto"/>
            <w:gridSpan w:val="3"/>
            <w:vAlign w:val="center"/>
            <w:hideMark/>
          </w:tcPr>
          <w:p w14:paraId="3B34A88A" w14:textId="77777777" w:rsidR="00000000" w:rsidRDefault="00405D16">
            <w:pPr>
              <w:spacing w:after="100"/>
              <w:rPr>
                <w:rFonts w:eastAsia="Times New Roman"/>
                <w:sz w:val="20"/>
                <w:szCs w:val="20"/>
              </w:rPr>
            </w:pPr>
          </w:p>
        </w:tc>
        <w:tc>
          <w:tcPr>
            <w:tcW w:w="0" w:type="auto"/>
            <w:gridSpan w:val="3"/>
            <w:vAlign w:val="center"/>
            <w:hideMark/>
          </w:tcPr>
          <w:p w14:paraId="6E32815C" w14:textId="77777777" w:rsidR="00000000" w:rsidRDefault="00405D16">
            <w:pPr>
              <w:spacing w:after="100"/>
              <w:rPr>
                <w:rFonts w:eastAsia="Times New Roman"/>
                <w:sz w:val="20"/>
                <w:szCs w:val="20"/>
              </w:rPr>
            </w:pPr>
          </w:p>
        </w:tc>
        <w:tc>
          <w:tcPr>
            <w:tcW w:w="0" w:type="auto"/>
            <w:gridSpan w:val="3"/>
            <w:vAlign w:val="center"/>
            <w:hideMark/>
          </w:tcPr>
          <w:p w14:paraId="22998E59" w14:textId="77777777" w:rsidR="00000000" w:rsidRDefault="00405D16">
            <w:pPr>
              <w:spacing w:after="100"/>
              <w:rPr>
                <w:rFonts w:eastAsia="Times New Roman"/>
                <w:sz w:val="20"/>
                <w:szCs w:val="20"/>
              </w:rPr>
            </w:pPr>
          </w:p>
        </w:tc>
        <w:tc>
          <w:tcPr>
            <w:tcW w:w="0" w:type="auto"/>
            <w:gridSpan w:val="3"/>
            <w:vAlign w:val="center"/>
            <w:hideMark/>
          </w:tcPr>
          <w:p w14:paraId="77F6C3C5" w14:textId="77777777" w:rsidR="00000000" w:rsidRDefault="00405D16">
            <w:pPr>
              <w:spacing w:after="100"/>
              <w:rPr>
                <w:rFonts w:eastAsia="Times New Roman"/>
                <w:sz w:val="20"/>
                <w:szCs w:val="20"/>
              </w:rPr>
            </w:pPr>
          </w:p>
        </w:tc>
        <w:tc>
          <w:tcPr>
            <w:tcW w:w="0" w:type="auto"/>
            <w:gridSpan w:val="3"/>
            <w:vAlign w:val="center"/>
            <w:hideMark/>
          </w:tcPr>
          <w:p w14:paraId="50C15BCB" w14:textId="77777777" w:rsidR="00000000" w:rsidRDefault="00405D16">
            <w:pPr>
              <w:spacing w:after="100"/>
              <w:rPr>
                <w:rFonts w:eastAsia="Times New Roman"/>
                <w:sz w:val="20"/>
                <w:szCs w:val="20"/>
              </w:rPr>
            </w:pPr>
          </w:p>
        </w:tc>
        <w:tc>
          <w:tcPr>
            <w:tcW w:w="0" w:type="auto"/>
            <w:gridSpan w:val="3"/>
            <w:vAlign w:val="center"/>
            <w:hideMark/>
          </w:tcPr>
          <w:p w14:paraId="24EB6512" w14:textId="77777777" w:rsidR="00000000" w:rsidRDefault="00405D16">
            <w:pPr>
              <w:spacing w:after="100"/>
              <w:rPr>
                <w:rFonts w:eastAsia="Times New Roman"/>
                <w:sz w:val="20"/>
                <w:szCs w:val="20"/>
              </w:rPr>
            </w:pPr>
          </w:p>
        </w:tc>
        <w:tc>
          <w:tcPr>
            <w:tcW w:w="0" w:type="auto"/>
            <w:gridSpan w:val="3"/>
            <w:vAlign w:val="center"/>
            <w:hideMark/>
          </w:tcPr>
          <w:p w14:paraId="759133B6" w14:textId="77777777" w:rsidR="00000000" w:rsidRDefault="00405D16">
            <w:pPr>
              <w:spacing w:after="100"/>
              <w:rPr>
                <w:rFonts w:eastAsia="Times New Roman"/>
                <w:sz w:val="20"/>
                <w:szCs w:val="20"/>
              </w:rPr>
            </w:pPr>
          </w:p>
        </w:tc>
        <w:tc>
          <w:tcPr>
            <w:tcW w:w="0" w:type="auto"/>
            <w:gridSpan w:val="3"/>
            <w:vAlign w:val="center"/>
            <w:hideMark/>
          </w:tcPr>
          <w:p w14:paraId="5E79B497" w14:textId="77777777" w:rsidR="00000000" w:rsidRDefault="00405D16">
            <w:pPr>
              <w:spacing w:after="100"/>
              <w:rPr>
                <w:rFonts w:eastAsia="Times New Roman"/>
                <w:sz w:val="20"/>
                <w:szCs w:val="20"/>
              </w:rPr>
            </w:pPr>
          </w:p>
        </w:tc>
        <w:tc>
          <w:tcPr>
            <w:tcW w:w="0" w:type="auto"/>
            <w:gridSpan w:val="3"/>
            <w:vAlign w:val="center"/>
            <w:hideMark/>
          </w:tcPr>
          <w:p w14:paraId="7E11FF36" w14:textId="77777777" w:rsidR="00000000" w:rsidRDefault="00405D16">
            <w:pPr>
              <w:spacing w:after="100"/>
              <w:rPr>
                <w:rFonts w:eastAsia="Times New Roman"/>
                <w:sz w:val="20"/>
                <w:szCs w:val="20"/>
              </w:rPr>
            </w:pPr>
          </w:p>
        </w:tc>
        <w:tc>
          <w:tcPr>
            <w:tcW w:w="0" w:type="auto"/>
            <w:gridSpan w:val="3"/>
            <w:vAlign w:val="center"/>
            <w:hideMark/>
          </w:tcPr>
          <w:p w14:paraId="1378AC36" w14:textId="77777777" w:rsidR="00000000" w:rsidRDefault="00405D16">
            <w:pPr>
              <w:spacing w:after="100"/>
              <w:rPr>
                <w:rFonts w:eastAsia="Times New Roman"/>
                <w:sz w:val="20"/>
                <w:szCs w:val="20"/>
              </w:rPr>
            </w:pPr>
          </w:p>
        </w:tc>
        <w:tc>
          <w:tcPr>
            <w:tcW w:w="0" w:type="auto"/>
            <w:gridSpan w:val="2"/>
            <w:vAlign w:val="center"/>
            <w:hideMark/>
          </w:tcPr>
          <w:p w14:paraId="1773552F" w14:textId="77777777" w:rsidR="00000000" w:rsidRDefault="00405D16">
            <w:pPr>
              <w:spacing w:after="100"/>
              <w:rPr>
                <w:rFonts w:eastAsia="Times New Roman"/>
                <w:sz w:val="20"/>
                <w:szCs w:val="20"/>
              </w:rPr>
            </w:pPr>
          </w:p>
        </w:tc>
        <w:tc>
          <w:tcPr>
            <w:tcW w:w="0" w:type="auto"/>
            <w:vAlign w:val="center"/>
            <w:hideMark/>
          </w:tcPr>
          <w:p w14:paraId="3E979D14" w14:textId="77777777" w:rsidR="00000000" w:rsidRDefault="00405D16">
            <w:pPr>
              <w:spacing w:after="100"/>
              <w:rPr>
                <w:rFonts w:eastAsia="Times New Roman"/>
                <w:sz w:val="20"/>
                <w:szCs w:val="20"/>
              </w:rPr>
            </w:pPr>
          </w:p>
        </w:tc>
      </w:tr>
      <w:tr w:rsidR="00000000" w14:paraId="1A44FAA6" w14:textId="77777777">
        <w:trPr>
          <w:divId w:val="209427602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FCB452F" w14:textId="77777777" w:rsidR="00000000" w:rsidRDefault="00405D16">
            <w:pPr>
              <w:spacing w:after="100"/>
              <w:divId w:val="1898276069"/>
              <w:rPr>
                <w:rFonts w:eastAsia="Times New Roman"/>
              </w:rPr>
            </w:pPr>
            <w:r>
              <w:rPr>
                <w:rFonts w:eastAsia="Times New Roman"/>
                <w:b/>
                <w:bCs/>
                <w:color w:val="000000"/>
                <w:sz w:val="18"/>
                <w:szCs w:val="18"/>
              </w:rPr>
              <w:t>Auto</w:t>
            </w:r>
            <w:r>
              <w:rPr>
                <w:rFonts w:eastAsia="Times New Roman"/>
                <w:color w:val="000000"/>
                <w:sz w:val="18"/>
                <w:szCs w:val="18"/>
              </w:rPr>
              <w:t>—</w:t>
            </w:r>
            <w:r>
              <w:rPr>
                <w:rFonts w:eastAsia="Times New Roman"/>
                <w:b/>
                <w:bCs/>
                <w:color w:val="000000"/>
                <w:sz w:val="18"/>
                <w:szCs w:val="18"/>
              </w:rPr>
              <w:t>At origination FICO scores</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342A2AAA"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B388B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907680"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B1ED1C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63CCB6"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7B14C2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C2DBD1"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977B97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13E513"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347DC9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E7ADFB"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10A577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C95B0C"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BB6C2C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5A7FCB"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3E5572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4C524D"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AFE082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8A7748" w14:textId="77777777" w:rsidR="00000000" w:rsidRDefault="00405D16">
            <w:pPr>
              <w:spacing w:after="100"/>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14:paraId="510F062F" w14:textId="77777777" w:rsidR="00000000" w:rsidRDefault="00405D16">
            <w:pPr>
              <w:spacing w:after="100"/>
              <w:rPr>
                <w:rFonts w:eastAsia="Times New Roman"/>
                <w:sz w:val="20"/>
                <w:szCs w:val="20"/>
              </w:rPr>
            </w:pPr>
          </w:p>
        </w:tc>
        <w:tc>
          <w:tcPr>
            <w:tcW w:w="0" w:type="auto"/>
            <w:vAlign w:val="center"/>
            <w:hideMark/>
          </w:tcPr>
          <w:p w14:paraId="486D0AD2" w14:textId="77777777" w:rsidR="00000000" w:rsidRDefault="00405D16">
            <w:pPr>
              <w:spacing w:after="100"/>
              <w:rPr>
                <w:rFonts w:eastAsia="Times New Roman"/>
                <w:sz w:val="20"/>
                <w:szCs w:val="20"/>
              </w:rPr>
            </w:pPr>
          </w:p>
        </w:tc>
      </w:tr>
      <w:tr w:rsidR="00405D16" w14:paraId="3B3ED0D6" w14:textId="77777777">
        <w:trPr>
          <w:divId w:val="2094276027"/>
        </w:trPr>
        <w:tc>
          <w:tcPr>
            <w:tcW w:w="0" w:type="auto"/>
            <w:gridSpan w:val="3"/>
            <w:shd w:val="clear" w:color="auto" w:fill="FFFFFF"/>
            <w:tcMar>
              <w:top w:w="30" w:type="dxa"/>
              <w:left w:w="380" w:type="dxa"/>
              <w:bottom w:w="30" w:type="dxa"/>
              <w:right w:w="20" w:type="dxa"/>
            </w:tcMar>
            <w:vAlign w:val="center"/>
            <w:hideMark/>
          </w:tcPr>
          <w:p w14:paraId="63507C68" w14:textId="77777777" w:rsidR="00000000" w:rsidRDefault="00405D16">
            <w:pPr>
              <w:spacing w:after="100"/>
              <w:rPr>
                <w:rFonts w:eastAsia="Times New Roman"/>
              </w:rPr>
            </w:pPr>
            <w:r>
              <w:rPr>
                <w:rFonts w:eastAsia="Times New Roman"/>
                <w:color w:val="000000"/>
                <w:sz w:val="18"/>
                <w:szCs w:val="18"/>
              </w:rPr>
              <w:t>Greater than 660</w:t>
            </w:r>
          </w:p>
        </w:tc>
        <w:tc>
          <w:tcPr>
            <w:tcW w:w="0" w:type="auto"/>
            <w:gridSpan w:val="3"/>
            <w:shd w:val="clear" w:color="auto" w:fill="FFFFFF"/>
            <w:tcMar>
              <w:top w:w="0" w:type="dxa"/>
              <w:left w:w="20" w:type="dxa"/>
              <w:bottom w:w="0" w:type="dxa"/>
              <w:right w:w="20" w:type="dxa"/>
            </w:tcMar>
            <w:vAlign w:val="center"/>
            <w:hideMark/>
          </w:tcPr>
          <w:p w14:paraId="21C19446"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1A6209E3"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E2215BE" w14:textId="77777777" w:rsidR="00000000" w:rsidRDefault="00405D16">
            <w:pPr>
              <w:spacing w:after="100"/>
              <w:jc w:val="right"/>
              <w:rPr>
                <w:rFonts w:eastAsia="Times New Roman"/>
              </w:rPr>
            </w:pPr>
            <w:r>
              <w:rPr>
                <w:rFonts w:eastAsia="Times New Roman"/>
                <w:color w:val="000000"/>
                <w:sz w:val="18"/>
                <w:szCs w:val="18"/>
              </w:rPr>
              <w:t>13,352 </w:t>
            </w:r>
          </w:p>
        </w:tc>
        <w:tc>
          <w:tcPr>
            <w:tcW w:w="0" w:type="auto"/>
            <w:shd w:val="clear" w:color="auto" w:fill="FFFFFF"/>
            <w:tcMar>
              <w:top w:w="30" w:type="dxa"/>
              <w:left w:w="0" w:type="dxa"/>
              <w:bottom w:w="30" w:type="dxa"/>
              <w:right w:w="20" w:type="dxa"/>
            </w:tcMar>
            <w:vAlign w:val="bottom"/>
            <w:hideMark/>
          </w:tcPr>
          <w:p w14:paraId="3CA8F06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1BFCE8"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4C2276D"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76F3D97" w14:textId="77777777" w:rsidR="00000000" w:rsidRDefault="00405D16">
            <w:pPr>
              <w:spacing w:after="100"/>
              <w:jc w:val="right"/>
              <w:rPr>
                <w:rFonts w:eastAsia="Times New Roman"/>
              </w:rPr>
            </w:pPr>
            <w:r>
              <w:rPr>
                <w:rFonts w:eastAsia="Times New Roman"/>
                <w:color w:val="000000"/>
                <w:sz w:val="18"/>
                <w:szCs w:val="18"/>
              </w:rPr>
              <w:t>8,091 </w:t>
            </w:r>
          </w:p>
        </w:tc>
        <w:tc>
          <w:tcPr>
            <w:tcW w:w="0" w:type="auto"/>
            <w:shd w:val="clear" w:color="auto" w:fill="FFFFFF"/>
            <w:tcMar>
              <w:top w:w="30" w:type="dxa"/>
              <w:left w:w="0" w:type="dxa"/>
              <w:bottom w:w="30" w:type="dxa"/>
              <w:right w:w="20" w:type="dxa"/>
            </w:tcMar>
            <w:vAlign w:val="bottom"/>
            <w:hideMark/>
          </w:tcPr>
          <w:p w14:paraId="119A9E2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B1FEE7"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E8CE1BA"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DBC4F25" w14:textId="77777777" w:rsidR="00000000" w:rsidRDefault="00405D16">
            <w:pPr>
              <w:spacing w:after="100"/>
              <w:jc w:val="right"/>
              <w:rPr>
                <w:rFonts w:eastAsia="Times New Roman"/>
              </w:rPr>
            </w:pPr>
            <w:r>
              <w:rPr>
                <w:rFonts w:eastAsia="Times New Roman"/>
                <w:color w:val="000000"/>
                <w:sz w:val="18"/>
                <w:szCs w:val="18"/>
              </w:rPr>
              <w:t>4,675 </w:t>
            </w:r>
          </w:p>
        </w:tc>
        <w:tc>
          <w:tcPr>
            <w:tcW w:w="0" w:type="auto"/>
            <w:shd w:val="clear" w:color="auto" w:fill="FFFFFF"/>
            <w:tcMar>
              <w:top w:w="30" w:type="dxa"/>
              <w:left w:w="0" w:type="dxa"/>
              <w:bottom w:w="30" w:type="dxa"/>
              <w:right w:w="20" w:type="dxa"/>
            </w:tcMar>
            <w:vAlign w:val="bottom"/>
            <w:hideMark/>
          </w:tcPr>
          <w:p w14:paraId="4C352F9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6F4B9C"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BB46966"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33C6411" w14:textId="77777777" w:rsidR="00000000" w:rsidRDefault="00405D16">
            <w:pPr>
              <w:spacing w:after="100"/>
              <w:jc w:val="right"/>
              <w:rPr>
                <w:rFonts w:eastAsia="Times New Roman"/>
              </w:rPr>
            </w:pPr>
            <w:r>
              <w:rPr>
                <w:rFonts w:eastAsia="Times New Roman"/>
                <w:color w:val="000000"/>
                <w:sz w:val="18"/>
                <w:szCs w:val="18"/>
              </w:rPr>
              <w:t>2,810 </w:t>
            </w:r>
          </w:p>
        </w:tc>
        <w:tc>
          <w:tcPr>
            <w:tcW w:w="0" w:type="auto"/>
            <w:shd w:val="clear" w:color="auto" w:fill="FFFFFF"/>
            <w:tcMar>
              <w:top w:w="30" w:type="dxa"/>
              <w:left w:w="0" w:type="dxa"/>
              <w:bottom w:w="30" w:type="dxa"/>
              <w:right w:w="20" w:type="dxa"/>
            </w:tcMar>
            <w:vAlign w:val="bottom"/>
            <w:hideMark/>
          </w:tcPr>
          <w:p w14:paraId="2ED7BD3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839791"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45A5750"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8D47665" w14:textId="77777777" w:rsidR="00000000" w:rsidRDefault="00405D16">
            <w:pPr>
              <w:spacing w:after="100"/>
              <w:jc w:val="right"/>
              <w:rPr>
                <w:rFonts w:eastAsia="Times New Roman"/>
              </w:rPr>
            </w:pPr>
            <w:r>
              <w:rPr>
                <w:rFonts w:eastAsia="Times New Roman"/>
                <w:color w:val="000000"/>
                <w:sz w:val="18"/>
                <w:szCs w:val="18"/>
              </w:rPr>
              <w:t>1,168 </w:t>
            </w:r>
          </w:p>
        </w:tc>
        <w:tc>
          <w:tcPr>
            <w:tcW w:w="0" w:type="auto"/>
            <w:shd w:val="clear" w:color="auto" w:fill="FFFFFF"/>
            <w:tcMar>
              <w:top w:w="30" w:type="dxa"/>
              <w:left w:w="0" w:type="dxa"/>
              <w:bottom w:w="30" w:type="dxa"/>
              <w:right w:w="20" w:type="dxa"/>
            </w:tcMar>
            <w:vAlign w:val="bottom"/>
            <w:hideMark/>
          </w:tcPr>
          <w:p w14:paraId="69CEF4D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9357AF"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697B948"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5ABB76E" w14:textId="77777777" w:rsidR="00000000" w:rsidRDefault="00405D16">
            <w:pPr>
              <w:spacing w:after="100"/>
              <w:jc w:val="right"/>
              <w:rPr>
                <w:rFonts w:eastAsia="Times New Roman"/>
              </w:rPr>
            </w:pPr>
            <w:r>
              <w:rPr>
                <w:rFonts w:eastAsia="Times New Roman"/>
                <w:color w:val="000000"/>
                <w:sz w:val="18"/>
                <w:szCs w:val="18"/>
              </w:rPr>
              <w:t>203 </w:t>
            </w:r>
          </w:p>
        </w:tc>
        <w:tc>
          <w:tcPr>
            <w:tcW w:w="0" w:type="auto"/>
            <w:shd w:val="clear" w:color="auto" w:fill="FFFFFF"/>
            <w:tcMar>
              <w:top w:w="30" w:type="dxa"/>
              <w:left w:w="0" w:type="dxa"/>
              <w:bottom w:w="30" w:type="dxa"/>
              <w:right w:w="20" w:type="dxa"/>
            </w:tcMar>
            <w:vAlign w:val="bottom"/>
            <w:hideMark/>
          </w:tcPr>
          <w:p w14:paraId="27A8BA4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FDE113"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CB055BE"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3D62A92" w14:textId="77777777" w:rsidR="00000000" w:rsidRDefault="00405D16">
            <w:pPr>
              <w:spacing w:after="100"/>
              <w:jc w:val="right"/>
              <w:rPr>
                <w:rFonts w:eastAsia="Times New Roman"/>
              </w:rPr>
            </w:pPr>
            <w:r>
              <w:rPr>
                <w:rFonts w:eastAsia="Times New Roman"/>
                <w:color w:val="000000"/>
                <w:sz w:val="18"/>
                <w:szCs w:val="18"/>
              </w:rPr>
              <w:t>30,299 </w:t>
            </w:r>
          </w:p>
        </w:tc>
        <w:tc>
          <w:tcPr>
            <w:tcW w:w="0" w:type="auto"/>
            <w:shd w:val="clear" w:color="auto" w:fill="FFFFFF"/>
            <w:tcMar>
              <w:top w:w="30" w:type="dxa"/>
              <w:left w:w="0" w:type="dxa"/>
              <w:bottom w:w="30" w:type="dxa"/>
              <w:right w:w="20" w:type="dxa"/>
            </w:tcMar>
            <w:vAlign w:val="bottom"/>
            <w:hideMark/>
          </w:tcPr>
          <w:p w14:paraId="5A2C06F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1523F3"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4110DC6"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D4A3F5F"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146DDC3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A595AD"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C6BDF12"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1598B7B"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4348D4A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123AB8"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26385F3"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F16A4B3" w14:textId="77777777" w:rsidR="00000000" w:rsidRDefault="00405D16">
            <w:pPr>
              <w:spacing w:after="100"/>
              <w:jc w:val="right"/>
              <w:rPr>
                <w:rFonts w:eastAsia="Times New Roman"/>
              </w:rPr>
            </w:pPr>
            <w:r>
              <w:rPr>
                <w:rFonts w:eastAsia="Times New Roman"/>
                <w:color w:val="000000"/>
                <w:sz w:val="18"/>
                <w:szCs w:val="18"/>
              </w:rPr>
              <w:t>30,299 </w:t>
            </w:r>
          </w:p>
        </w:tc>
        <w:tc>
          <w:tcPr>
            <w:tcW w:w="0" w:type="auto"/>
            <w:shd w:val="clear" w:color="auto" w:fill="FFFFFF"/>
            <w:tcMar>
              <w:top w:w="30" w:type="dxa"/>
              <w:left w:w="0" w:type="dxa"/>
              <w:bottom w:w="30" w:type="dxa"/>
              <w:right w:w="20" w:type="dxa"/>
            </w:tcMar>
            <w:vAlign w:val="bottom"/>
            <w:hideMark/>
          </w:tcPr>
          <w:p w14:paraId="22B956AC" w14:textId="77777777" w:rsidR="00000000" w:rsidRDefault="00405D16">
            <w:pPr>
              <w:spacing w:after="100"/>
              <w:jc w:val="right"/>
              <w:rPr>
                <w:rFonts w:eastAsia="Times New Roman"/>
              </w:rPr>
            </w:pPr>
          </w:p>
        </w:tc>
      </w:tr>
      <w:tr w:rsidR="00405D16" w14:paraId="30D3203A" w14:textId="77777777">
        <w:trPr>
          <w:divId w:val="2094276027"/>
        </w:trPr>
        <w:tc>
          <w:tcPr>
            <w:tcW w:w="0" w:type="auto"/>
            <w:gridSpan w:val="3"/>
            <w:shd w:val="clear" w:color="auto" w:fill="CCEEFF"/>
            <w:tcMar>
              <w:top w:w="30" w:type="dxa"/>
              <w:left w:w="380" w:type="dxa"/>
              <w:bottom w:w="30" w:type="dxa"/>
              <w:right w:w="20" w:type="dxa"/>
            </w:tcMar>
            <w:vAlign w:val="center"/>
            <w:hideMark/>
          </w:tcPr>
          <w:p w14:paraId="73DE7F1A" w14:textId="77777777" w:rsidR="00000000" w:rsidRDefault="00405D16">
            <w:pPr>
              <w:spacing w:after="100"/>
              <w:rPr>
                <w:rFonts w:eastAsia="Times New Roman"/>
              </w:rPr>
            </w:pPr>
            <w:r>
              <w:rPr>
                <w:rFonts w:eastAsia="Times New Roman"/>
                <w:color w:val="000000"/>
                <w:sz w:val="18"/>
                <w:szCs w:val="18"/>
              </w:rPr>
              <w:t>621-660</w:t>
            </w:r>
          </w:p>
        </w:tc>
        <w:tc>
          <w:tcPr>
            <w:tcW w:w="0" w:type="auto"/>
            <w:gridSpan w:val="3"/>
            <w:shd w:val="clear" w:color="auto" w:fill="CCEEFF"/>
            <w:tcMar>
              <w:top w:w="0" w:type="dxa"/>
              <w:left w:w="20" w:type="dxa"/>
              <w:bottom w:w="0" w:type="dxa"/>
              <w:right w:w="20" w:type="dxa"/>
            </w:tcMar>
            <w:vAlign w:val="center"/>
            <w:hideMark/>
          </w:tcPr>
          <w:p w14:paraId="39BEEEB9"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CD906CC" w14:textId="77777777" w:rsidR="00000000" w:rsidRDefault="00405D16">
            <w:pPr>
              <w:spacing w:after="100"/>
              <w:jc w:val="right"/>
              <w:rPr>
                <w:rFonts w:eastAsia="Times New Roman"/>
              </w:rPr>
            </w:pPr>
            <w:r>
              <w:rPr>
                <w:rFonts w:eastAsia="Times New Roman"/>
                <w:color w:val="000000"/>
                <w:sz w:val="18"/>
                <w:szCs w:val="18"/>
              </w:rPr>
              <w:t>5,781 </w:t>
            </w:r>
          </w:p>
        </w:tc>
        <w:tc>
          <w:tcPr>
            <w:tcW w:w="0" w:type="auto"/>
            <w:shd w:val="clear" w:color="auto" w:fill="CCEEFF"/>
            <w:tcMar>
              <w:top w:w="30" w:type="dxa"/>
              <w:left w:w="0" w:type="dxa"/>
              <w:bottom w:w="30" w:type="dxa"/>
              <w:right w:w="20" w:type="dxa"/>
            </w:tcMar>
            <w:vAlign w:val="center"/>
            <w:hideMark/>
          </w:tcPr>
          <w:p w14:paraId="5CE6A6E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9E1A9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76E62C1" w14:textId="77777777" w:rsidR="00000000" w:rsidRDefault="00405D16">
            <w:pPr>
              <w:spacing w:after="100"/>
              <w:jc w:val="right"/>
              <w:rPr>
                <w:rFonts w:eastAsia="Times New Roman"/>
              </w:rPr>
            </w:pPr>
            <w:r>
              <w:rPr>
                <w:rFonts w:eastAsia="Times New Roman"/>
                <w:color w:val="000000"/>
                <w:sz w:val="18"/>
                <w:szCs w:val="18"/>
              </w:rPr>
              <w:t>3,631 </w:t>
            </w:r>
          </w:p>
        </w:tc>
        <w:tc>
          <w:tcPr>
            <w:tcW w:w="0" w:type="auto"/>
            <w:shd w:val="clear" w:color="auto" w:fill="CCEEFF"/>
            <w:tcMar>
              <w:top w:w="30" w:type="dxa"/>
              <w:left w:w="0" w:type="dxa"/>
              <w:bottom w:w="30" w:type="dxa"/>
              <w:right w:w="20" w:type="dxa"/>
            </w:tcMar>
            <w:vAlign w:val="center"/>
            <w:hideMark/>
          </w:tcPr>
          <w:p w14:paraId="50CF486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1A4DE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B2C25C8" w14:textId="77777777" w:rsidR="00000000" w:rsidRDefault="00405D16">
            <w:pPr>
              <w:spacing w:after="100"/>
              <w:jc w:val="right"/>
              <w:rPr>
                <w:rFonts w:eastAsia="Times New Roman"/>
              </w:rPr>
            </w:pPr>
            <w:r>
              <w:rPr>
                <w:rFonts w:eastAsia="Times New Roman"/>
                <w:color w:val="000000"/>
                <w:sz w:val="18"/>
                <w:szCs w:val="18"/>
              </w:rPr>
              <w:t>2,003 </w:t>
            </w:r>
          </w:p>
        </w:tc>
        <w:tc>
          <w:tcPr>
            <w:tcW w:w="0" w:type="auto"/>
            <w:shd w:val="clear" w:color="auto" w:fill="CCEEFF"/>
            <w:tcMar>
              <w:top w:w="30" w:type="dxa"/>
              <w:left w:w="0" w:type="dxa"/>
              <w:bottom w:w="30" w:type="dxa"/>
              <w:right w:w="20" w:type="dxa"/>
            </w:tcMar>
            <w:vAlign w:val="center"/>
            <w:hideMark/>
          </w:tcPr>
          <w:p w14:paraId="67B25BB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74A73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63EA903" w14:textId="77777777" w:rsidR="00000000" w:rsidRDefault="00405D16">
            <w:pPr>
              <w:spacing w:after="100"/>
              <w:jc w:val="right"/>
              <w:rPr>
                <w:rFonts w:eastAsia="Times New Roman"/>
              </w:rPr>
            </w:pPr>
            <w:r>
              <w:rPr>
                <w:rFonts w:eastAsia="Times New Roman"/>
                <w:color w:val="000000"/>
                <w:sz w:val="18"/>
                <w:szCs w:val="18"/>
              </w:rPr>
              <w:t>1,172 </w:t>
            </w:r>
          </w:p>
        </w:tc>
        <w:tc>
          <w:tcPr>
            <w:tcW w:w="0" w:type="auto"/>
            <w:shd w:val="clear" w:color="auto" w:fill="CCEEFF"/>
            <w:tcMar>
              <w:top w:w="30" w:type="dxa"/>
              <w:left w:w="0" w:type="dxa"/>
              <w:bottom w:w="30" w:type="dxa"/>
              <w:right w:w="20" w:type="dxa"/>
            </w:tcMar>
            <w:vAlign w:val="center"/>
            <w:hideMark/>
          </w:tcPr>
          <w:p w14:paraId="3CE6CA5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EDDEF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C8FCF19" w14:textId="77777777" w:rsidR="00000000" w:rsidRDefault="00405D16">
            <w:pPr>
              <w:spacing w:after="100"/>
              <w:jc w:val="right"/>
              <w:rPr>
                <w:rFonts w:eastAsia="Times New Roman"/>
              </w:rPr>
            </w:pPr>
            <w:r>
              <w:rPr>
                <w:rFonts w:eastAsia="Times New Roman"/>
                <w:color w:val="000000"/>
                <w:sz w:val="18"/>
                <w:szCs w:val="18"/>
              </w:rPr>
              <w:t>488 </w:t>
            </w:r>
          </w:p>
        </w:tc>
        <w:tc>
          <w:tcPr>
            <w:tcW w:w="0" w:type="auto"/>
            <w:shd w:val="clear" w:color="auto" w:fill="CCEEFF"/>
            <w:tcMar>
              <w:top w:w="30" w:type="dxa"/>
              <w:left w:w="0" w:type="dxa"/>
              <w:bottom w:w="30" w:type="dxa"/>
              <w:right w:w="20" w:type="dxa"/>
            </w:tcMar>
            <w:vAlign w:val="center"/>
            <w:hideMark/>
          </w:tcPr>
          <w:p w14:paraId="4408C76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D7762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7DD13BC" w14:textId="77777777" w:rsidR="00000000" w:rsidRDefault="00405D16">
            <w:pPr>
              <w:spacing w:after="100"/>
              <w:jc w:val="right"/>
              <w:rPr>
                <w:rFonts w:eastAsia="Times New Roman"/>
              </w:rPr>
            </w:pPr>
            <w:r>
              <w:rPr>
                <w:rFonts w:eastAsia="Times New Roman"/>
                <w:color w:val="000000"/>
                <w:sz w:val="18"/>
                <w:szCs w:val="18"/>
              </w:rPr>
              <w:t>109 </w:t>
            </w:r>
          </w:p>
        </w:tc>
        <w:tc>
          <w:tcPr>
            <w:tcW w:w="0" w:type="auto"/>
            <w:shd w:val="clear" w:color="auto" w:fill="CCEEFF"/>
            <w:tcMar>
              <w:top w:w="30" w:type="dxa"/>
              <w:left w:w="0" w:type="dxa"/>
              <w:bottom w:w="30" w:type="dxa"/>
              <w:right w:w="20" w:type="dxa"/>
            </w:tcMar>
            <w:vAlign w:val="center"/>
            <w:hideMark/>
          </w:tcPr>
          <w:p w14:paraId="674ACB0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5C443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DB2601A" w14:textId="77777777" w:rsidR="00000000" w:rsidRDefault="00405D16">
            <w:pPr>
              <w:spacing w:after="100"/>
              <w:jc w:val="right"/>
              <w:rPr>
                <w:rFonts w:eastAsia="Times New Roman"/>
              </w:rPr>
            </w:pPr>
            <w:r>
              <w:rPr>
                <w:rFonts w:eastAsia="Times New Roman"/>
                <w:color w:val="000000"/>
                <w:sz w:val="18"/>
                <w:szCs w:val="18"/>
              </w:rPr>
              <w:t>13,184 </w:t>
            </w:r>
          </w:p>
        </w:tc>
        <w:tc>
          <w:tcPr>
            <w:tcW w:w="0" w:type="auto"/>
            <w:shd w:val="clear" w:color="auto" w:fill="CCEEFF"/>
            <w:tcMar>
              <w:top w:w="30" w:type="dxa"/>
              <w:left w:w="0" w:type="dxa"/>
              <w:bottom w:w="30" w:type="dxa"/>
              <w:right w:w="20" w:type="dxa"/>
            </w:tcMar>
            <w:vAlign w:val="center"/>
            <w:hideMark/>
          </w:tcPr>
          <w:p w14:paraId="1F1DA90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EA346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6E847F9"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781E1A6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E7164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D4E017F"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349C5A5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41FF4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7EB8B42" w14:textId="77777777" w:rsidR="00000000" w:rsidRDefault="00405D16">
            <w:pPr>
              <w:spacing w:after="100"/>
              <w:jc w:val="right"/>
              <w:rPr>
                <w:rFonts w:eastAsia="Times New Roman"/>
              </w:rPr>
            </w:pPr>
            <w:r>
              <w:rPr>
                <w:rFonts w:eastAsia="Times New Roman"/>
                <w:color w:val="000000"/>
                <w:sz w:val="18"/>
                <w:szCs w:val="18"/>
              </w:rPr>
              <w:t>13,184 </w:t>
            </w:r>
          </w:p>
        </w:tc>
        <w:tc>
          <w:tcPr>
            <w:tcW w:w="0" w:type="auto"/>
            <w:shd w:val="clear" w:color="auto" w:fill="CCEEFF"/>
            <w:tcMar>
              <w:top w:w="30" w:type="dxa"/>
              <w:left w:w="0" w:type="dxa"/>
              <w:bottom w:w="30" w:type="dxa"/>
              <w:right w:w="20" w:type="dxa"/>
            </w:tcMar>
            <w:vAlign w:val="center"/>
            <w:hideMark/>
          </w:tcPr>
          <w:p w14:paraId="424A20A5" w14:textId="77777777" w:rsidR="00000000" w:rsidRDefault="00405D16">
            <w:pPr>
              <w:spacing w:after="100"/>
              <w:jc w:val="right"/>
              <w:rPr>
                <w:rFonts w:eastAsia="Times New Roman"/>
              </w:rPr>
            </w:pPr>
          </w:p>
        </w:tc>
      </w:tr>
      <w:tr w:rsidR="00405D16" w14:paraId="08D888E5" w14:textId="77777777">
        <w:trPr>
          <w:divId w:val="2094276027"/>
        </w:trPr>
        <w:tc>
          <w:tcPr>
            <w:tcW w:w="0" w:type="auto"/>
            <w:gridSpan w:val="3"/>
            <w:shd w:val="clear" w:color="auto" w:fill="FFFFFF"/>
            <w:tcMar>
              <w:top w:w="30" w:type="dxa"/>
              <w:left w:w="380" w:type="dxa"/>
              <w:bottom w:w="30" w:type="dxa"/>
              <w:right w:w="20" w:type="dxa"/>
            </w:tcMar>
            <w:vAlign w:val="center"/>
            <w:hideMark/>
          </w:tcPr>
          <w:p w14:paraId="2E881315" w14:textId="77777777" w:rsidR="00000000" w:rsidRDefault="00405D16">
            <w:pPr>
              <w:spacing w:after="100"/>
              <w:rPr>
                <w:rFonts w:eastAsia="Times New Roman"/>
              </w:rPr>
            </w:pPr>
            <w:r>
              <w:rPr>
                <w:rFonts w:eastAsia="Times New Roman"/>
                <w:color w:val="000000"/>
                <w:sz w:val="18"/>
                <w:szCs w:val="18"/>
              </w:rPr>
              <w:t>620 or below</w:t>
            </w:r>
          </w:p>
        </w:tc>
        <w:tc>
          <w:tcPr>
            <w:tcW w:w="0" w:type="auto"/>
            <w:gridSpan w:val="3"/>
            <w:shd w:val="clear" w:color="auto" w:fill="FFFFFF"/>
            <w:tcMar>
              <w:top w:w="0" w:type="dxa"/>
              <w:left w:w="20" w:type="dxa"/>
              <w:bottom w:w="0" w:type="dxa"/>
              <w:right w:w="20" w:type="dxa"/>
            </w:tcMar>
            <w:vAlign w:val="center"/>
            <w:hideMark/>
          </w:tcPr>
          <w:p w14:paraId="3550E771"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BCBB995" w14:textId="77777777" w:rsidR="00000000" w:rsidRDefault="00405D16">
            <w:pPr>
              <w:spacing w:after="100"/>
              <w:jc w:val="right"/>
              <w:rPr>
                <w:rFonts w:eastAsia="Times New Roman"/>
              </w:rPr>
            </w:pPr>
            <w:r>
              <w:rPr>
                <w:rFonts w:eastAsia="Times New Roman"/>
                <w:color w:val="000000"/>
                <w:sz w:val="18"/>
                <w:szCs w:val="18"/>
              </w:rPr>
              <w:t>9,550 </w:t>
            </w:r>
          </w:p>
        </w:tc>
        <w:tc>
          <w:tcPr>
            <w:tcW w:w="0" w:type="auto"/>
            <w:shd w:val="clear" w:color="auto" w:fill="FFFFFF"/>
            <w:tcMar>
              <w:top w:w="30" w:type="dxa"/>
              <w:left w:w="0" w:type="dxa"/>
              <w:bottom w:w="30" w:type="dxa"/>
              <w:right w:w="20" w:type="dxa"/>
            </w:tcMar>
            <w:vAlign w:val="center"/>
            <w:hideMark/>
          </w:tcPr>
          <w:p w14:paraId="519B79A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978EB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54B6E34" w14:textId="77777777" w:rsidR="00000000" w:rsidRDefault="00405D16">
            <w:pPr>
              <w:spacing w:after="100"/>
              <w:jc w:val="right"/>
              <w:rPr>
                <w:rFonts w:eastAsia="Times New Roman"/>
              </w:rPr>
            </w:pPr>
            <w:r>
              <w:rPr>
                <w:rFonts w:eastAsia="Times New Roman"/>
                <w:color w:val="000000"/>
                <w:sz w:val="18"/>
                <w:szCs w:val="18"/>
              </w:rPr>
              <w:t>6,298 </w:t>
            </w:r>
          </w:p>
        </w:tc>
        <w:tc>
          <w:tcPr>
            <w:tcW w:w="0" w:type="auto"/>
            <w:shd w:val="clear" w:color="auto" w:fill="FFFFFF"/>
            <w:tcMar>
              <w:top w:w="30" w:type="dxa"/>
              <w:left w:w="0" w:type="dxa"/>
              <w:bottom w:w="30" w:type="dxa"/>
              <w:right w:w="20" w:type="dxa"/>
            </w:tcMar>
            <w:vAlign w:val="center"/>
            <w:hideMark/>
          </w:tcPr>
          <w:p w14:paraId="49CFABA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F96C6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1BF93FE" w14:textId="77777777" w:rsidR="00000000" w:rsidRDefault="00405D16">
            <w:pPr>
              <w:spacing w:after="100"/>
              <w:jc w:val="right"/>
              <w:rPr>
                <w:rFonts w:eastAsia="Times New Roman"/>
              </w:rPr>
            </w:pPr>
            <w:r>
              <w:rPr>
                <w:rFonts w:eastAsia="Times New Roman"/>
                <w:color w:val="000000"/>
                <w:sz w:val="18"/>
                <w:szCs w:val="18"/>
              </w:rPr>
              <w:t>3,317 </w:t>
            </w:r>
          </w:p>
        </w:tc>
        <w:tc>
          <w:tcPr>
            <w:tcW w:w="0" w:type="auto"/>
            <w:shd w:val="clear" w:color="auto" w:fill="FFFFFF"/>
            <w:tcMar>
              <w:top w:w="30" w:type="dxa"/>
              <w:left w:w="0" w:type="dxa"/>
              <w:bottom w:w="30" w:type="dxa"/>
              <w:right w:w="20" w:type="dxa"/>
            </w:tcMar>
            <w:vAlign w:val="center"/>
            <w:hideMark/>
          </w:tcPr>
          <w:p w14:paraId="2D9D271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F0FFC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890AFFC" w14:textId="77777777" w:rsidR="00000000" w:rsidRDefault="00405D16">
            <w:pPr>
              <w:spacing w:after="100"/>
              <w:jc w:val="right"/>
              <w:rPr>
                <w:rFonts w:eastAsia="Times New Roman"/>
              </w:rPr>
            </w:pPr>
            <w:r>
              <w:rPr>
                <w:rFonts w:eastAsia="Times New Roman"/>
                <w:color w:val="000000"/>
                <w:sz w:val="18"/>
                <w:szCs w:val="18"/>
              </w:rPr>
              <w:t>1,985 </w:t>
            </w:r>
          </w:p>
        </w:tc>
        <w:tc>
          <w:tcPr>
            <w:tcW w:w="0" w:type="auto"/>
            <w:shd w:val="clear" w:color="auto" w:fill="FFFFFF"/>
            <w:tcMar>
              <w:top w:w="30" w:type="dxa"/>
              <w:left w:w="0" w:type="dxa"/>
              <w:bottom w:w="30" w:type="dxa"/>
              <w:right w:w="20" w:type="dxa"/>
            </w:tcMar>
            <w:vAlign w:val="center"/>
            <w:hideMark/>
          </w:tcPr>
          <w:p w14:paraId="21BC2FB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7F444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C6AB4CD" w14:textId="77777777" w:rsidR="00000000" w:rsidRDefault="00405D16">
            <w:pPr>
              <w:spacing w:after="100"/>
              <w:jc w:val="right"/>
              <w:rPr>
                <w:rFonts w:eastAsia="Times New Roman"/>
              </w:rPr>
            </w:pPr>
            <w:r>
              <w:rPr>
                <w:rFonts w:eastAsia="Times New Roman"/>
                <w:color w:val="000000"/>
                <w:sz w:val="18"/>
                <w:szCs w:val="18"/>
              </w:rPr>
              <w:t>886 </w:t>
            </w:r>
          </w:p>
        </w:tc>
        <w:tc>
          <w:tcPr>
            <w:tcW w:w="0" w:type="auto"/>
            <w:shd w:val="clear" w:color="auto" w:fill="FFFFFF"/>
            <w:tcMar>
              <w:top w:w="30" w:type="dxa"/>
              <w:left w:w="0" w:type="dxa"/>
              <w:bottom w:w="30" w:type="dxa"/>
              <w:right w:w="20" w:type="dxa"/>
            </w:tcMar>
            <w:vAlign w:val="center"/>
            <w:hideMark/>
          </w:tcPr>
          <w:p w14:paraId="54A6FCF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44013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CEFD1F5" w14:textId="77777777" w:rsidR="00000000" w:rsidRDefault="00405D16">
            <w:pPr>
              <w:spacing w:after="100"/>
              <w:jc w:val="right"/>
              <w:rPr>
                <w:rFonts w:eastAsia="Times New Roman"/>
              </w:rPr>
            </w:pPr>
            <w:r>
              <w:rPr>
                <w:rFonts w:eastAsia="Times New Roman"/>
                <w:color w:val="000000"/>
                <w:sz w:val="18"/>
                <w:szCs w:val="18"/>
              </w:rPr>
              <w:t>243 </w:t>
            </w:r>
          </w:p>
        </w:tc>
        <w:tc>
          <w:tcPr>
            <w:tcW w:w="0" w:type="auto"/>
            <w:shd w:val="clear" w:color="auto" w:fill="FFFFFF"/>
            <w:tcMar>
              <w:top w:w="30" w:type="dxa"/>
              <w:left w:w="0" w:type="dxa"/>
              <w:bottom w:w="30" w:type="dxa"/>
              <w:right w:w="20" w:type="dxa"/>
            </w:tcMar>
            <w:vAlign w:val="center"/>
            <w:hideMark/>
          </w:tcPr>
          <w:p w14:paraId="57566D3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A875D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EBDFFBE" w14:textId="77777777" w:rsidR="00000000" w:rsidRDefault="00405D16">
            <w:pPr>
              <w:spacing w:after="100"/>
              <w:jc w:val="right"/>
              <w:rPr>
                <w:rFonts w:eastAsia="Times New Roman"/>
              </w:rPr>
            </w:pPr>
            <w:r>
              <w:rPr>
                <w:rFonts w:eastAsia="Times New Roman"/>
                <w:color w:val="000000"/>
                <w:sz w:val="18"/>
                <w:szCs w:val="18"/>
              </w:rPr>
              <w:t>22,279 </w:t>
            </w:r>
          </w:p>
        </w:tc>
        <w:tc>
          <w:tcPr>
            <w:tcW w:w="0" w:type="auto"/>
            <w:shd w:val="clear" w:color="auto" w:fill="FFFFFF"/>
            <w:tcMar>
              <w:top w:w="30" w:type="dxa"/>
              <w:left w:w="0" w:type="dxa"/>
              <w:bottom w:w="30" w:type="dxa"/>
              <w:right w:w="20" w:type="dxa"/>
            </w:tcMar>
            <w:vAlign w:val="center"/>
            <w:hideMark/>
          </w:tcPr>
          <w:p w14:paraId="1A08E3C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18301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4FB10BE"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3EBE300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46333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D26E227"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77BEB59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49C11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A808736" w14:textId="77777777" w:rsidR="00000000" w:rsidRDefault="00405D16">
            <w:pPr>
              <w:spacing w:after="100"/>
              <w:jc w:val="right"/>
              <w:rPr>
                <w:rFonts w:eastAsia="Times New Roman"/>
              </w:rPr>
            </w:pPr>
            <w:r>
              <w:rPr>
                <w:rFonts w:eastAsia="Times New Roman"/>
                <w:color w:val="000000"/>
                <w:sz w:val="18"/>
                <w:szCs w:val="18"/>
              </w:rPr>
              <w:t>22,279 </w:t>
            </w:r>
          </w:p>
        </w:tc>
        <w:tc>
          <w:tcPr>
            <w:tcW w:w="0" w:type="auto"/>
            <w:shd w:val="clear" w:color="auto" w:fill="FFFFFF"/>
            <w:tcMar>
              <w:top w:w="30" w:type="dxa"/>
              <w:left w:w="0" w:type="dxa"/>
              <w:bottom w:w="30" w:type="dxa"/>
              <w:right w:w="20" w:type="dxa"/>
            </w:tcMar>
            <w:vAlign w:val="center"/>
            <w:hideMark/>
          </w:tcPr>
          <w:p w14:paraId="1FCFFAE3" w14:textId="77777777" w:rsidR="00000000" w:rsidRDefault="00405D16">
            <w:pPr>
              <w:spacing w:after="100"/>
              <w:jc w:val="right"/>
              <w:rPr>
                <w:rFonts w:eastAsia="Times New Roman"/>
              </w:rPr>
            </w:pPr>
          </w:p>
        </w:tc>
      </w:tr>
      <w:tr w:rsidR="00405D16" w14:paraId="5C95C82C" w14:textId="77777777">
        <w:trPr>
          <w:divId w:val="2094276027"/>
        </w:trPr>
        <w:tc>
          <w:tcPr>
            <w:tcW w:w="0" w:type="auto"/>
            <w:gridSpan w:val="3"/>
            <w:shd w:val="clear" w:color="auto" w:fill="CCEEFF"/>
            <w:tcMar>
              <w:top w:w="30" w:type="dxa"/>
              <w:left w:w="20" w:type="dxa"/>
              <w:bottom w:w="30" w:type="dxa"/>
              <w:right w:w="20" w:type="dxa"/>
            </w:tcMar>
            <w:vAlign w:val="center"/>
            <w:hideMark/>
          </w:tcPr>
          <w:p w14:paraId="76087608" w14:textId="77777777" w:rsidR="00000000" w:rsidRDefault="00405D16">
            <w:pPr>
              <w:spacing w:after="100"/>
              <w:rPr>
                <w:rFonts w:eastAsia="Times New Roman"/>
              </w:rPr>
            </w:pPr>
            <w:r>
              <w:rPr>
                <w:rFonts w:eastAsia="Times New Roman"/>
                <w:b/>
                <w:bCs/>
                <w:color w:val="000000"/>
                <w:sz w:val="18"/>
                <w:szCs w:val="18"/>
              </w:rPr>
              <w:t>Total auto</w:t>
            </w:r>
          </w:p>
        </w:tc>
        <w:tc>
          <w:tcPr>
            <w:tcW w:w="0" w:type="auto"/>
            <w:gridSpan w:val="3"/>
            <w:shd w:val="clear" w:color="auto" w:fill="CCEEFF"/>
            <w:tcMar>
              <w:top w:w="0" w:type="dxa"/>
              <w:left w:w="20" w:type="dxa"/>
              <w:bottom w:w="0" w:type="dxa"/>
              <w:right w:w="20" w:type="dxa"/>
            </w:tcMar>
            <w:vAlign w:val="center"/>
            <w:hideMark/>
          </w:tcPr>
          <w:p w14:paraId="3DA4FDA1"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DA2D28A" w14:textId="77777777" w:rsidR="00000000" w:rsidRDefault="00405D16">
            <w:pPr>
              <w:spacing w:after="100"/>
              <w:jc w:val="right"/>
              <w:rPr>
                <w:rFonts w:eastAsia="Times New Roman"/>
              </w:rPr>
            </w:pPr>
            <w:r>
              <w:rPr>
                <w:rFonts w:eastAsia="Times New Roman"/>
                <w:color w:val="000000"/>
                <w:sz w:val="18"/>
                <w:szCs w:val="18"/>
              </w:rPr>
              <w:t>28,683 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A73FC2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9D6677"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770DE8F" w14:textId="77777777" w:rsidR="00000000" w:rsidRDefault="00405D16">
            <w:pPr>
              <w:spacing w:after="100"/>
              <w:jc w:val="right"/>
              <w:rPr>
                <w:rFonts w:eastAsia="Times New Roman"/>
              </w:rPr>
            </w:pPr>
            <w:r>
              <w:rPr>
                <w:rFonts w:eastAsia="Times New Roman"/>
                <w:color w:val="000000"/>
                <w:sz w:val="18"/>
                <w:szCs w:val="18"/>
              </w:rPr>
              <w:t>18,020 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017138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55EEF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BBCBB3E" w14:textId="77777777" w:rsidR="00000000" w:rsidRDefault="00405D16">
            <w:pPr>
              <w:spacing w:after="100"/>
              <w:jc w:val="right"/>
              <w:rPr>
                <w:rFonts w:eastAsia="Times New Roman"/>
              </w:rPr>
            </w:pPr>
            <w:r>
              <w:rPr>
                <w:rFonts w:eastAsia="Times New Roman"/>
                <w:color w:val="000000"/>
                <w:sz w:val="18"/>
                <w:szCs w:val="18"/>
              </w:rPr>
              <w:t>9,995 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26800A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ED08C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277013B" w14:textId="77777777" w:rsidR="00000000" w:rsidRDefault="00405D16">
            <w:pPr>
              <w:spacing w:after="100"/>
              <w:jc w:val="right"/>
              <w:rPr>
                <w:rFonts w:eastAsia="Times New Roman"/>
              </w:rPr>
            </w:pPr>
            <w:r>
              <w:rPr>
                <w:rFonts w:eastAsia="Times New Roman"/>
                <w:color w:val="000000"/>
                <w:sz w:val="18"/>
                <w:szCs w:val="18"/>
              </w:rPr>
              <w:t>5,967 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A76F1B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243661"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846EE7E" w14:textId="77777777" w:rsidR="00000000" w:rsidRDefault="00405D16">
            <w:pPr>
              <w:spacing w:after="100"/>
              <w:jc w:val="right"/>
              <w:rPr>
                <w:rFonts w:eastAsia="Times New Roman"/>
              </w:rPr>
            </w:pPr>
            <w:r>
              <w:rPr>
                <w:rFonts w:eastAsia="Times New Roman"/>
                <w:color w:val="000000"/>
                <w:sz w:val="18"/>
                <w:szCs w:val="18"/>
              </w:rPr>
              <w:t>2,542 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4384E0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1594D8"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9FBEE72" w14:textId="77777777" w:rsidR="00000000" w:rsidRDefault="00405D16">
            <w:pPr>
              <w:spacing w:after="100"/>
              <w:jc w:val="right"/>
              <w:rPr>
                <w:rFonts w:eastAsia="Times New Roman"/>
              </w:rPr>
            </w:pPr>
            <w:r>
              <w:rPr>
                <w:rFonts w:eastAsia="Times New Roman"/>
                <w:color w:val="000000"/>
                <w:sz w:val="18"/>
                <w:szCs w:val="18"/>
              </w:rPr>
              <w:t>555 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0F76C4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02742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C2DEBA1" w14:textId="77777777" w:rsidR="00000000" w:rsidRDefault="00405D16">
            <w:pPr>
              <w:spacing w:after="100"/>
              <w:jc w:val="right"/>
              <w:rPr>
                <w:rFonts w:eastAsia="Times New Roman"/>
              </w:rPr>
            </w:pPr>
            <w:r>
              <w:rPr>
                <w:rFonts w:eastAsia="Times New Roman"/>
                <w:color w:val="000000"/>
                <w:sz w:val="18"/>
                <w:szCs w:val="18"/>
              </w:rPr>
              <w:t>65,762 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8B570E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BA349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980BF21" w14:textId="77777777" w:rsidR="00000000" w:rsidRDefault="00405D16">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B311DE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54A9E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9075A0A" w14:textId="77777777" w:rsidR="00000000" w:rsidRDefault="00405D16">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A15F7E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D4B461"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618EE6A" w14:textId="77777777" w:rsidR="00000000" w:rsidRDefault="00405D16">
            <w:pPr>
              <w:spacing w:after="100"/>
              <w:jc w:val="right"/>
              <w:rPr>
                <w:rFonts w:eastAsia="Times New Roman"/>
              </w:rPr>
            </w:pPr>
            <w:r>
              <w:rPr>
                <w:rFonts w:eastAsia="Times New Roman"/>
                <w:color w:val="000000"/>
                <w:sz w:val="18"/>
                <w:szCs w:val="18"/>
              </w:rPr>
              <w:t>65,762 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57F380A" w14:textId="77777777" w:rsidR="00000000" w:rsidRDefault="00405D16">
            <w:pPr>
              <w:spacing w:after="100"/>
              <w:jc w:val="right"/>
              <w:rPr>
                <w:rFonts w:eastAsia="Times New Roman"/>
              </w:rPr>
            </w:pPr>
          </w:p>
        </w:tc>
      </w:tr>
      <w:tr w:rsidR="00000000" w14:paraId="366172E4" w14:textId="77777777">
        <w:trPr>
          <w:divId w:val="2094276027"/>
          <w:trHeight w:val="280"/>
        </w:trPr>
        <w:tc>
          <w:tcPr>
            <w:tcW w:w="0" w:type="auto"/>
            <w:gridSpan w:val="3"/>
            <w:shd w:val="clear" w:color="auto" w:fill="FFFFFF"/>
            <w:tcMar>
              <w:top w:w="0" w:type="dxa"/>
              <w:left w:w="20" w:type="dxa"/>
              <w:bottom w:w="0" w:type="dxa"/>
              <w:right w:w="20" w:type="dxa"/>
            </w:tcMar>
            <w:vAlign w:val="center"/>
            <w:hideMark/>
          </w:tcPr>
          <w:p w14:paraId="792D3971" w14:textId="77777777" w:rsidR="00000000" w:rsidRDefault="00405D1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018EBF"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1CE286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F0CA4B"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C8D4ED4"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15DB9B"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59692C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8B16AC"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EF1878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E9CF24"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EBC646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65AD52"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3B7091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E3A8B1"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BCB6E2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4CF467"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148FC6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077486"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10E1D9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92B6DA" w14:textId="77777777" w:rsidR="00000000" w:rsidRDefault="00405D16">
            <w:pPr>
              <w:spacing w:after="100"/>
              <w:rPr>
                <w:rFonts w:eastAsia="Times New Roman"/>
                <w:sz w:val="20"/>
                <w:szCs w:val="20"/>
              </w:rPr>
            </w:pPr>
          </w:p>
        </w:tc>
        <w:tc>
          <w:tcPr>
            <w:tcW w:w="0" w:type="auto"/>
            <w:gridSpan w:val="2"/>
            <w:tcBorders>
              <w:top w:val="single" w:sz="8" w:space="0" w:color="000000"/>
            </w:tcBorders>
            <w:shd w:val="clear" w:color="auto" w:fill="FFFFFF"/>
            <w:tcMar>
              <w:top w:w="0" w:type="dxa"/>
              <w:left w:w="20" w:type="dxa"/>
              <w:bottom w:w="0" w:type="dxa"/>
              <w:right w:w="20" w:type="dxa"/>
            </w:tcMar>
            <w:vAlign w:val="center"/>
            <w:hideMark/>
          </w:tcPr>
          <w:p w14:paraId="687D801E" w14:textId="77777777" w:rsidR="00000000" w:rsidRDefault="00405D16">
            <w:pPr>
              <w:spacing w:after="100"/>
              <w:rPr>
                <w:rFonts w:eastAsia="Times New Roman"/>
                <w:sz w:val="20"/>
                <w:szCs w:val="20"/>
              </w:rPr>
            </w:pPr>
          </w:p>
        </w:tc>
        <w:tc>
          <w:tcPr>
            <w:tcW w:w="0" w:type="auto"/>
            <w:vAlign w:val="center"/>
            <w:hideMark/>
          </w:tcPr>
          <w:p w14:paraId="31A8DE35" w14:textId="77777777" w:rsidR="00000000" w:rsidRDefault="00405D16">
            <w:pPr>
              <w:spacing w:after="100"/>
              <w:rPr>
                <w:rFonts w:eastAsia="Times New Roman"/>
                <w:sz w:val="20"/>
                <w:szCs w:val="20"/>
              </w:rPr>
            </w:pPr>
          </w:p>
        </w:tc>
      </w:tr>
      <w:tr w:rsidR="00000000" w14:paraId="05F5EEBD" w14:textId="77777777">
        <w:trPr>
          <w:divId w:val="2094276027"/>
        </w:trPr>
        <w:tc>
          <w:tcPr>
            <w:tcW w:w="0" w:type="auto"/>
            <w:gridSpan w:val="3"/>
            <w:shd w:val="clear" w:color="auto" w:fill="CCEEFF"/>
            <w:tcMar>
              <w:top w:w="30" w:type="dxa"/>
              <w:left w:w="20" w:type="dxa"/>
              <w:bottom w:w="30" w:type="dxa"/>
              <w:right w:w="20" w:type="dxa"/>
            </w:tcMar>
            <w:vAlign w:val="center"/>
            <w:hideMark/>
          </w:tcPr>
          <w:p w14:paraId="53817449" w14:textId="77777777" w:rsidR="00000000" w:rsidRDefault="00405D16">
            <w:pPr>
              <w:spacing w:after="100"/>
              <w:rPr>
                <w:rFonts w:eastAsia="Times New Roman"/>
              </w:rPr>
            </w:pPr>
            <w:r>
              <w:rPr>
                <w:rFonts w:eastAsia="Times New Roman"/>
                <w:b/>
                <w:bCs/>
                <w:color w:val="000000"/>
                <w:sz w:val="18"/>
                <w:szCs w:val="18"/>
              </w:rPr>
              <w:t>Retail banking—Delinquency status:</w:t>
            </w:r>
          </w:p>
        </w:tc>
        <w:tc>
          <w:tcPr>
            <w:tcW w:w="0" w:type="auto"/>
            <w:gridSpan w:val="3"/>
            <w:shd w:val="clear" w:color="auto" w:fill="CCEEFF"/>
            <w:tcMar>
              <w:top w:w="0" w:type="dxa"/>
              <w:left w:w="20" w:type="dxa"/>
              <w:bottom w:w="0" w:type="dxa"/>
              <w:right w:w="20" w:type="dxa"/>
            </w:tcMar>
            <w:vAlign w:val="center"/>
            <w:hideMark/>
          </w:tcPr>
          <w:p w14:paraId="2856FE18"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5EB5F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767C2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858DF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A4974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4D128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CCAFA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7BF8C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04CDD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59138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4E45B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D5F92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C49F1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191A1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0AB62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FBC3A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8E89D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4A7CE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A5AF0A" w14:textId="77777777" w:rsidR="00000000" w:rsidRDefault="00405D16">
            <w:pPr>
              <w:spacing w:after="100"/>
              <w:rPr>
                <w:rFonts w:eastAsia="Times New Roman"/>
                <w:sz w:val="20"/>
                <w:szCs w:val="20"/>
              </w:rPr>
            </w:pPr>
          </w:p>
        </w:tc>
        <w:tc>
          <w:tcPr>
            <w:tcW w:w="0" w:type="auto"/>
            <w:gridSpan w:val="2"/>
            <w:shd w:val="clear" w:color="auto" w:fill="CCEEFF"/>
            <w:tcMar>
              <w:top w:w="0" w:type="dxa"/>
              <w:left w:w="20" w:type="dxa"/>
              <w:bottom w:w="0" w:type="dxa"/>
              <w:right w:w="20" w:type="dxa"/>
            </w:tcMar>
            <w:vAlign w:val="center"/>
            <w:hideMark/>
          </w:tcPr>
          <w:p w14:paraId="2738CA4E" w14:textId="77777777" w:rsidR="00000000" w:rsidRDefault="00405D16">
            <w:pPr>
              <w:spacing w:after="100"/>
              <w:rPr>
                <w:rFonts w:eastAsia="Times New Roman"/>
                <w:sz w:val="20"/>
                <w:szCs w:val="20"/>
              </w:rPr>
            </w:pPr>
          </w:p>
        </w:tc>
        <w:tc>
          <w:tcPr>
            <w:tcW w:w="0" w:type="auto"/>
            <w:vAlign w:val="center"/>
            <w:hideMark/>
          </w:tcPr>
          <w:p w14:paraId="48B5EA9A" w14:textId="77777777" w:rsidR="00000000" w:rsidRDefault="00405D16">
            <w:pPr>
              <w:spacing w:after="100"/>
              <w:rPr>
                <w:rFonts w:eastAsia="Times New Roman"/>
                <w:sz w:val="20"/>
                <w:szCs w:val="20"/>
              </w:rPr>
            </w:pPr>
          </w:p>
        </w:tc>
      </w:tr>
      <w:tr w:rsidR="00405D16" w14:paraId="2CFEC776" w14:textId="77777777">
        <w:trPr>
          <w:divId w:val="2094276027"/>
        </w:trPr>
        <w:tc>
          <w:tcPr>
            <w:tcW w:w="0" w:type="auto"/>
            <w:gridSpan w:val="3"/>
            <w:shd w:val="clear" w:color="auto" w:fill="FFFFFF"/>
            <w:tcMar>
              <w:top w:w="30" w:type="dxa"/>
              <w:left w:w="380" w:type="dxa"/>
              <w:bottom w:w="30" w:type="dxa"/>
              <w:right w:w="20" w:type="dxa"/>
            </w:tcMar>
            <w:vAlign w:val="center"/>
            <w:hideMark/>
          </w:tcPr>
          <w:p w14:paraId="46D48580" w14:textId="77777777" w:rsidR="00000000" w:rsidRDefault="00405D16">
            <w:pPr>
              <w:spacing w:after="100"/>
              <w:rPr>
                <w:rFonts w:eastAsia="Times New Roman"/>
              </w:rPr>
            </w:pPr>
            <w:r>
              <w:rPr>
                <w:rFonts w:eastAsia="Times New Roman"/>
                <w:color w:val="000000"/>
                <w:sz w:val="18"/>
                <w:szCs w:val="18"/>
              </w:rPr>
              <w:t>Current</w:t>
            </w:r>
          </w:p>
        </w:tc>
        <w:tc>
          <w:tcPr>
            <w:tcW w:w="0" w:type="auto"/>
            <w:gridSpan w:val="3"/>
            <w:shd w:val="clear" w:color="auto" w:fill="FFFFFF"/>
            <w:tcMar>
              <w:top w:w="0" w:type="dxa"/>
              <w:left w:w="20" w:type="dxa"/>
              <w:bottom w:w="0" w:type="dxa"/>
              <w:right w:w="20" w:type="dxa"/>
            </w:tcMar>
            <w:vAlign w:val="center"/>
            <w:hideMark/>
          </w:tcPr>
          <w:p w14:paraId="62126C38"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7CE8FAF" w14:textId="77777777" w:rsidR="00000000" w:rsidRDefault="00405D16">
            <w:pPr>
              <w:spacing w:after="100"/>
              <w:jc w:val="right"/>
              <w:rPr>
                <w:rFonts w:eastAsia="Times New Roman"/>
              </w:rPr>
            </w:pPr>
            <w:r>
              <w:rPr>
                <w:rFonts w:eastAsia="Times New Roman"/>
                <w:color w:val="000000"/>
                <w:sz w:val="18"/>
                <w:szCs w:val="18"/>
              </w:rPr>
              <w:t>1,041 </w:t>
            </w:r>
          </w:p>
        </w:tc>
        <w:tc>
          <w:tcPr>
            <w:tcW w:w="0" w:type="auto"/>
            <w:shd w:val="clear" w:color="auto" w:fill="FFFFFF"/>
            <w:tcMar>
              <w:top w:w="30" w:type="dxa"/>
              <w:left w:w="0" w:type="dxa"/>
              <w:bottom w:w="30" w:type="dxa"/>
              <w:right w:w="20" w:type="dxa"/>
            </w:tcMar>
            <w:vAlign w:val="center"/>
            <w:hideMark/>
          </w:tcPr>
          <w:p w14:paraId="4A6B29A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28E57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7F82096" w14:textId="77777777" w:rsidR="00000000" w:rsidRDefault="00405D16">
            <w:pPr>
              <w:spacing w:after="100"/>
              <w:jc w:val="right"/>
              <w:rPr>
                <w:rFonts w:eastAsia="Times New Roman"/>
              </w:rPr>
            </w:pPr>
            <w:r>
              <w:rPr>
                <w:rFonts w:eastAsia="Times New Roman"/>
                <w:color w:val="000000"/>
                <w:sz w:val="18"/>
                <w:szCs w:val="18"/>
              </w:rPr>
              <w:t>233 </w:t>
            </w:r>
          </w:p>
        </w:tc>
        <w:tc>
          <w:tcPr>
            <w:tcW w:w="0" w:type="auto"/>
            <w:shd w:val="clear" w:color="auto" w:fill="FFFFFF"/>
            <w:tcMar>
              <w:top w:w="30" w:type="dxa"/>
              <w:left w:w="0" w:type="dxa"/>
              <w:bottom w:w="30" w:type="dxa"/>
              <w:right w:w="20" w:type="dxa"/>
            </w:tcMar>
            <w:vAlign w:val="center"/>
            <w:hideMark/>
          </w:tcPr>
          <w:p w14:paraId="2506D4D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20E8D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3926A89" w14:textId="77777777" w:rsidR="00000000" w:rsidRDefault="00405D16">
            <w:pPr>
              <w:spacing w:after="100"/>
              <w:jc w:val="right"/>
              <w:rPr>
                <w:rFonts w:eastAsia="Times New Roman"/>
              </w:rPr>
            </w:pPr>
            <w:r>
              <w:rPr>
                <w:rFonts w:eastAsia="Times New Roman"/>
                <w:color w:val="000000"/>
                <w:sz w:val="18"/>
                <w:szCs w:val="18"/>
              </w:rPr>
              <w:t>206 </w:t>
            </w:r>
          </w:p>
        </w:tc>
        <w:tc>
          <w:tcPr>
            <w:tcW w:w="0" w:type="auto"/>
            <w:shd w:val="clear" w:color="auto" w:fill="FFFFFF"/>
            <w:tcMar>
              <w:top w:w="30" w:type="dxa"/>
              <w:left w:w="0" w:type="dxa"/>
              <w:bottom w:w="30" w:type="dxa"/>
              <w:right w:w="20" w:type="dxa"/>
            </w:tcMar>
            <w:vAlign w:val="center"/>
            <w:hideMark/>
          </w:tcPr>
          <w:p w14:paraId="730DD41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8EA41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F3ACF11" w14:textId="77777777" w:rsidR="00000000" w:rsidRDefault="00405D16">
            <w:pPr>
              <w:spacing w:after="100"/>
              <w:jc w:val="right"/>
              <w:rPr>
                <w:rFonts w:eastAsia="Times New Roman"/>
              </w:rPr>
            </w:pPr>
            <w:r>
              <w:rPr>
                <w:rFonts w:eastAsia="Times New Roman"/>
                <w:color w:val="000000"/>
                <w:sz w:val="18"/>
                <w:szCs w:val="18"/>
              </w:rPr>
              <w:t>222 </w:t>
            </w:r>
          </w:p>
        </w:tc>
        <w:tc>
          <w:tcPr>
            <w:tcW w:w="0" w:type="auto"/>
            <w:shd w:val="clear" w:color="auto" w:fill="FFFFFF"/>
            <w:tcMar>
              <w:top w:w="30" w:type="dxa"/>
              <w:left w:w="0" w:type="dxa"/>
              <w:bottom w:w="30" w:type="dxa"/>
              <w:right w:w="20" w:type="dxa"/>
            </w:tcMar>
            <w:vAlign w:val="center"/>
            <w:hideMark/>
          </w:tcPr>
          <w:p w14:paraId="2E26939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FA097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B48DCE3" w14:textId="77777777" w:rsidR="00000000" w:rsidRDefault="00405D16">
            <w:pPr>
              <w:spacing w:after="100"/>
              <w:jc w:val="right"/>
              <w:rPr>
                <w:rFonts w:eastAsia="Times New Roman"/>
              </w:rPr>
            </w:pPr>
            <w:r>
              <w:rPr>
                <w:rFonts w:eastAsia="Times New Roman"/>
                <w:color w:val="000000"/>
                <w:sz w:val="18"/>
                <w:szCs w:val="18"/>
              </w:rPr>
              <w:t>167 </w:t>
            </w:r>
          </w:p>
        </w:tc>
        <w:tc>
          <w:tcPr>
            <w:tcW w:w="0" w:type="auto"/>
            <w:shd w:val="clear" w:color="auto" w:fill="FFFFFF"/>
            <w:tcMar>
              <w:top w:w="30" w:type="dxa"/>
              <w:left w:w="0" w:type="dxa"/>
              <w:bottom w:w="30" w:type="dxa"/>
              <w:right w:w="20" w:type="dxa"/>
            </w:tcMar>
            <w:vAlign w:val="center"/>
            <w:hideMark/>
          </w:tcPr>
          <w:p w14:paraId="454ECA1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AB446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76BBC72" w14:textId="77777777" w:rsidR="00000000" w:rsidRDefault="00405D16">
            <w:pPr>
              <w:spacing w:after="100"/>
              <w:jc w:val="right"/>
              <w:rPr>
                <w:rFonts w:eastAsia="Times New Roman"/>
              </w:rPr>
            </w:pPr>
            <w:r>
              <w:rPr>
                <w:rFonts w:eastAsia="Times New Roman"/>
                <w:color w:val="000000"/>
                <w:sz w:val="18"/>
                <w:szCs w:val="18"/>
              </w:rPr>
              <w:t>537 </w:t>
            </w:r>
          </w:p>
        </w:tc>
        <w:tc>
          <w:tcPr>
            <w:tcW w:w="0" w:type="auto"/>
            <w:shd w:val="clear" w:color="auto" w:fill="FFFFFF"/>
            <w:tcMar>
              <w:top w:w="30" w:type="dxa"/>
              <w:left w:w="0" w:type="dxa"/>
              <w:bottom w:w="30" w:type="dxa"/>
              <w:right w:w="20" w:type="dxa"/>
            </w:tcMar>
            <w:vAlign w:val="center"/>
            <w:hideMark/>
          </w:tcPr>
          <w:p w14:paraId="1B292EA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F0140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63C9247" w14:textId="77777777" w:rsidR="00000000" w:rsidRDefault="00405D16">
            <w:pPr>
              <w:spacing w:after="100"/>
              <w:jc w:val="right"/>
              <w:rPr>
                <w:rFonts w:eastAsia="Times New Roman"/>
              </w:rPr>
            </w:pPr>
            <w:r>
              <w:rPr>
                <w:rFonts w:eastAsia="Times New Roman"/>
                <w:color w:val="000000"/>
                <w:sz w:val="18"/>
                <w:szCs w:val="18"/>
              </w:rPr>
              <w:t>2,406 </w:t>
            </w:r>
          </w:p>
        </w:tc>
        <w:tc>
          <w:tcPr>
            <w:tcW w:w="0" w:type="auto"/>
            <w:shd w:val="clear" w:color="auto" w:fill="FFFFFF"/>
            <w:tcMar>
              <w:top w:w="30" w:type="dxa"/>
              <w:left w:w="0" w:type="dxa"/>
              <w:bottom w:w="30" w:type="dxa"/>
              <w:right w:w="20" w:type="dxa"/>
            </w:tcMar>
            <w:vAlign w:val="center"/>
            <w:hideMark/>
          </w:tcPr>
          <w:p w14:paraId="4CC489C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E77FC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E1DA3E7" w14:textId="77777777" w:rsidR="00000000" w:rsidRDefault="00405D16">
            <w:pPr>
              <w:spacing w:after="100"/>
              <w:jc w:val="right"/>
              <w:rPr>
                <w:rFonts w:eastAsia="Times New Roman"/>
              </w:rPr>
            </w:pPr>
            <w:r>
              <w:rPr>
                <w:rFonts w:eastAsia="Times New Roman"/>
                <w:color w:val="000000"/>
                <w:sz w:val="18"/>
                <w:szCs w:val="18"/>
              </w:rPr>
              <w:t>651 </w:t>
            </w:r>
          </w:p>
        </w:tc>
        <w:tc>
          <w:tcPr>
            <w:tcW w:w="0" w:type="auto"/>
            <w:shd w:val="clear" w:color="auto" w:fill="FFFFFF"/>
            <w:tcMar>
              <w:top w:w="30" w:type="dxa"/>
              <w:left w:w="0" w:type="dxa"/>
              <w:bottom w:w="30" w:type="dxa"/>
              <w:right w:w="20" w:type="dxa"/>
            </w:tcMar>
            <w:vAlign w:val="center"/>
            <w:hideMark/>
          </w:tcPr>
          <w:p w14:paraId="222587A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D19DA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89A1245" w14:textId="77777777" w:rsidR="00000000" w:rsidRDefault="00405D16">
            <w:pPr>
              <w:spacing w:after="100"/>
              <w:jc w:val="right"/>
              <w:rPr>
                <w:rFonts w:eastAsia="Times New Roman"/>
              </w:rPr>
            </w:pPr>
            <w:r>
              <w:rPr>
                <w:rFonts w:eastAsia="Times New Roman"/>
                <w:color w:val="000000"/>
                <w:sz w:val="18"/>
                <w:szCs w:val="18"/>
              </w:rPr>
              <w:t>7 </w:t>
            </w:r>
          </w:p>
        </w:tc>
        <w:tc>
          <w:tcPr>
            <w:tcW w:w="0" w:type="auto"/>
            <w:shd w:val="clear" w:color="auto" w:fill="FFFFFF"/>
            <w:tcMar>
              <w:top w:w="30" w:type="dxa"/>
              <w:left w:w="0" w:type="dxa"/>
              <w:bottom w:w="30" w:type="dxa"/>
              <w:right w:w="20" w:type="dxa"/>
            </w:tcMar>
            <w:vAlign w:val="center"/>
            <w:hideMark/>
          </w:tcPr>
          <w:p w14:paraId="59BBAB8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B0E27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FECC973" w14:textId="77777777" w:rsidR="00000000" w:rsidRDefault="00405D16">
            <w:pPr>
              <w:spacing w:after="100"/>
              <w:jc w:val="right"/>
              <w:rPr>
                <w:rFonts w:eastAsia="Times New Roman"/>
              </w:rPr>
            </w:pPr>
            <w:r>
              <w:rPr>
                <w:rFonts w:eastAsia="Times New Roman"/>
                <w:color w:val="000000"/>
                <w:sz w:val="18"/>
                <w:szCs w:val="18"/>
              </w:rPr>
              <w:t>3,064 </w:t>
            </w:r>
          </w:p>
        </w:tc>
        <w:tc>
          <w:tcPr>
            <w:tcW w:w="0" w:type="auto"/>
            <w:shd w:val="clear" w:color="auto" w:fill="FFFFFF"/>
            <w:tcMar>
              <w:top w:w="30" w:type="dxa"/>
              <w:left w:w="0" w:type="dxa"/>
              <w:bottom w:w="30" w:type="dxa"/>
              <w:right w:w="20" w:type="dxa"/>
            </w:tcMar>
            <w:vAlign w:val="center"/>
            <w:hideMark/>
          </w:tcPr>
          <w:p w14:paraId="09F8E891" w14:textId="77777777" w:rsidR="00000000" w:rsidRDefault="00405D16">
            <w:pPr>
              <w:spacing w:after="100"/>
              <w:jc w:val="right"/>
              <w:rPr>
                <w:rFonts w:eastAsia="Times New Roman"/>
              </w:rPr>
            </w:pPr>
          </w:p>
        </w:tc>
      </w:tr>
      <w:tr w:rsidR="00405D16" w14:paraId="0B2078CC" w14:textId="77777777">
        <w:trPr>
          <w:divId w:val="2094276027"/>
        </w:trPr>
        <w:tc>
          <w:tcPr>
            <w:tcW w:w="0" w:type="auto"/>
            <w:gridSpan w:val="3"/>
            <w:shd w:val="clear" w:color="auto" w:fill="CCEEFF"/>
            <w:tcMar>
              <w:top w:w="30" w:type="dxa"/>
              <w:left w:w="380" w:type="dxa"/>
              <w:bottom w:w="30" w:type="dxa"/>
              <w:right w:w="20" w:type="dxa"/>
            </w:tcMar>
            <w:vAlign w:val="center"/>
            <w:hideMark/>
          </w:tcPr>
          <w:p w14:paraId="4536C9F7" w14:textId="77777777" w:rsidR="00000000" w:rsidRDefault="00405D16">
            <w:pPr>
              <w:spacing w:after="100"/>
              <w:rPr>
                <w:rFonts w:eastAsia="Times New Roman"/>
              </w:rPr>
            </w:pPr>
            <w:r>
              <w:rPr>
                <w:rFonts w:eastAsia="Times New Roman"/>
                <w:color w:val="000000"/>
                <w:sz w:val="18"/>
                <w:szCs w:val="18"/>
              </w:rPr>
              <w:t>30-59 days</w:t>
            </w:r>
          </w:p>
        </w:tc>
        <w:tc>
          <w:tcPr>
            <w:tcW w:w="0" w:type="auto"/>
            <w:gridSpan w:val="3"/>
            <w:shd w:val="clear" w:color="auto" w:fill="CCEEFF"/>
            <w:tcMar>
              <w:top w:w="0" w:type="dxa"/>
              <w:left w:w="20" w:type="dxa"/>
              <w:bottom w:w="0" w:type="dxa"/>
              <w:right w:w="20" w:type="dxa"/>
            </w:tcMar>
            <w:vAlign w:val="center"/>
            <w:hideMark/>
          </w:tcPr>
          <w:p w14:paraId="61EEE93D"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576A134"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53130BC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B79A8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AAEE5BC"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32B030D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4E964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DE6EF89" w14:textId="77777777" w:rsidR="00000000" w:rsidRDefault="00405D16">
            <w:pPr>
              <w:spacing w:after="100"/>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center"/>
            <w:hideMark/>
          </w:tcPr>
          <w:p w14:paraId="7F80563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79BC4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E38C057" w14:textId="77777777" w:rsidR="00000000" w:rsidRDefault="00405D16">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14:paraId="7237ADA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0D0C7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8A54CA9" w14:textId="77777777" w:rsidR="00000000" w:rsidRDefault="00405D16">
            <w:pPr>
              <w:spacing w:after="100"/>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center"/>
            <w:hideMark/>
          </w:tcPr>
          <w:p w14:paraId="587AD82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C2DAB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D4E2939" w14:textId="77777777" w:rsidR="00000000" w:rsidRDefault="00405D16">
            <w:pPr>
              <w:spacing w:after="100"/>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center"/>
            <w:hideMark/>
          </w:tcPr>
          <w:p w14:paraId="3A90622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11273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D1933CE" w14:textId="77777777" w:rsidR="00000000" w:rsidRDefault="00405D16">
            <w:pPr>
              <w:spacing w:after="100"/>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center"/>
            <w:hideMark/>
          </w:tcPr>
          <w:p w14:paraId="0AE537B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97EF3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DC16C4B" w14:textId="77777777" w:rsidR="00000000" w:rsidRDefault="00405D16">
            <w:pPr>
              <w:spacing w:after="100"/>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center"/>
            <w:hideMark/>
          </w:tcPr>
          <w:p w14:paraId="60646C7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A2B8D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8994016" w14:textId="77777777" w:rsidR="00000000" w:rsidRDefault="00405D16">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14:paraId="7A3C3FC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672FB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59FA1CE" w14:textId="77777777" w:rsidR="00000000" w:rsidRDefault="00405D16">
            <w:pPr>
              <w:spacing w:after="100"/>
              <w:jc w:val="right"/>
              <w:rPr>
                <w:rFonts w:eastAsia="Times New Roman"/>
              </w:rPr>
            </w:pPr>
            <w:r>
              <w:rPr>
                <w:rFonts w:eastAsia="Times New Roman"/>
                <w:color w:val="000000"/>
                <w:sz w:val="18"/>
                <w:szCs w:val="18"/>
              </w:rPr>
              <w:t>28 </w:t>
            </w:r>
          </w:p>
        </w:tc>
        <w:tc>
          <w:tcPr>
            <w:tcW w:w="0" w:type="auto"/>
            <w:shd w:val="clear" w:color="auto" w:fill="CCEEFF"/>
            <w:tcMar>
              <w:top w:w="30" w:type="dxa"/>
              <w:left w:w="0" w:type="dxa"/>
              <w:bottom w:w="30" w:type="dxa"/>
              <w:right w:w="20" w:type="dxa"/>
            </w:tcMar>
            <w:vAlign w:val="center"/>
            <w:hideMark/>
          </w:tcPr>
          <w:p w14:paraId="480F3992" w14:textId="77777777" w:rsidR="00000000" w:rsidRDefault="00405D16">
            <w:pPr>
              <w:spacing w:after="100"/>
              <w:jc w:val="right"/>
              <w:rPr>
                <w:rFonts w:eastAsia="Times New Roman"/>
              </w:rPr>
            </w:pPr>
          </w:p>
        </w:tc>
      </w:tr>
      <w:tr w:rsidR="00405D16" w14:paraId="0B0E3793" w14:textId="77777777">
        <w:trPr>
          <w:divId w:val="2094276027"/>
        </w:trPr>
        <w:tc>
          <w:tcPr>
            <w:tcW w:w="0" w:type="auto"/>
            <w:gridSpan w:val="3"/>
            <w:shd w:val="clear" w:color="auto" w:fill="FFFFFF"/>
            <w:tcMar>
              <w:top w:w="30" w:type="dxa"/>
              <w:left w:w="380" w:type="dxa"/>
              <w:bottom w:w="30" w:type="dxa"/>
              <w:right w:w="20" w:type="dxa"/>
            </w:tcMar>
            <w:vAlign w:val="center"/>
            <w:hideMark/>
          </w:tcPr>
          <w:p w14:paraId="77C6ED04" w14:textId="77777777" w:rsidR="00000000" w:rsidRDefault="00405D16">
            <w:pPr>
              <w:spacing w:after="100"/>
              <w:rPr>
                <w:rFonts w:eastAsia="Times New Roman"/>
              </w:rPr>
            </w:pPr>
            <w:r>
              <w:rPr>
                <w:rFonts w:eastAsia="Times New Roman"/>
                <w:color w:val="000000"/>
                <w:sz w:val="18"/>
                <w:szCs w:val="18"/>
              </w:rPr>
              <w:t>60-89 days</w:t>
            </w:r>
          </w:p>
        </w:tc>
        <w:tc>
          <w:tcPr>
            <w:tcW w:w="0" w:type="auto"/>
            <w:gridSpan w:val="3"/>
            <w:shd w:val="clear" w:color="auto" w:fill="FFFFFF"/>
            <w:tcMar>
              <w:top w:w="0" w:type="dxa"/>
              <w:left w:w="20" w:type="dxa"/>
              <w:bottom w:w="0" w:type="dxa"/>
              <w:right w:w="20" w:type="dxa"/>
            </w:tcMar>
            <w:vAlign w:val="center"/>
            <w:hideMark/>
          </w:tcPr>
          <w:p w14:paraId="257FBA86"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0237B20"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5C37494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03DE2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F6F1799"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23E92BB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3ECAD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AF99A1D" w14:textId="77777777" w:rsidR="00000000" w:rsidRDefault="00405D16">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14:paraId="349A20D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EB2EA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4688B64"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29B837F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4716B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13FD948" w14:textId="77777777" w:rsidR="00000000" w:rsidRDefault="00405D16">
            <w:pPr>
              <w:spacing w:after="100"/>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14:paraId="597F4E5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EE09E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DFE744D" w14:textId="77777777" w:rsidR="00000000" w:rsidRDefault="00405D16">
            <w:pPr>
              <w:spacing w:after="100"/>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14:paraId="05C08D3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F5FEE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6418750" w14:textId="77777777" w:rsidR="00000000" w:rsidRDefault="00405D16">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center"/>
            <w:hideMark/>
          </w:tcPr>
          <w:p w14:paraId="7AF0F14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64721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07941E9" w14:textId="77777777" w:rsidR="00000000" w:rsidRDefault="00405D16">
            <w:pPr>
              <w:spacing w:after="100"/>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center"/>
            <w:hideMark/>
          </w:tcPr>
          <w:p w14:paraId="16E2368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538DD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3749FE2" w14:textId="77777777" w:rsidR="00000000" w:rsidRDefault="00405D16">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14:paraId="6C267ED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DCBA8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DEB838F" w14:textId="77777777" w:rsidR="00000000" w:rsidRDefault="00405D16">
            <w:pPr>
              <w:spacing w:after="100"/>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vAlign w:val="center"/>
            <w:hideMark/>
          </w:tcPr>
          <w:p w14:paraId="4F22F497" w14:textId="77777777" w:rsidR="00000000" w:rsidRDefault="00405D16">
            <w:pPr>
              <w:spacing w:after="100"/>
              <w:jc w:val="right"/>
              <w:rPr>
                <w:rFonts w:eastAsia="Times New Roman"/>
              </w:rPr>
            </w:pPr>
          </w:p>
        </w:tc>
      </w:tr>
      <w:tr w:rsidR="00405D16" w14:paraId="3B69B1AE" w14:textId="77777777">
        <w:trPr>
          <w:divId w:val="2094276027"/>
        </w:trPr>
        <w:tc>
          <w:tcPr>
            <w:tcW w:w="0" w:type="auto"/>
            <w:gridSpan w:val="3"/>
            <w:shd w:val="clear" w:color="auto" w:fill="CCEEFF"/>
            <w:tcMar>
              <w:top w:w="30" w:type="dxa"/>
              <w:left w:w="380" w:type="dxa"/>
              <w:bottom w:w="30" w:type="dxa"/>
              <w:right w:w="20" w:type="dxa"/>
            </w:tcMar>
            <w:vAlign w:val="center"/>
            <w:hideMark/>
          </w:tcPr>
          <w:p w14:paraId="3B76B966" w14:textId="77777777" w:rsidR="00000000" w:rsidRDefault="00405D16">
            <w:pPr>
              <w:spacing w:after="100"/>
              <w:rPr>
                <w:rFonts w:eastAsia="Times New Roman"/>
              </w:rPr>
            </w:pPr>
            <w:r>
              <w:rPr>
                <w:rFonts w:eastAsia="Times New Roman"/>
                <w:color w:val="000000"/>
                <w:sz w:val="18"/>
                <w:szCs w:val="18"/>
              </w:rPr>
              <w:t>Greater than 90 days</w:t>
            </w:r>
          </w:p>
        </w:tc>
        <w:tc>
          <w:tcPr>
            <w:tcW w:w="0" w:type="auto"/>
            <w:gridSpan w:val="3"/>
            <w:shd w:val="clear" w:color="auto" w:fill="CCEEFF"/>
            <w:tcMar>
              <w:top w:w="0" w:type="dxa"/>
              <w:left w:w="20" w:type="dxa"/>
              <w:bottom w:w="0" w:type="dxa"/>
              <w:right w:w="20" w:type="dxa"/>
            </w:tcMar>
            <w:vAlign w:val="center"/>
            <w:hideMark/>
          </w:tcPr>
          <w:p w14:paraId="54B36455"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11CE866"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4D0C4A8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93DCB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87E660"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529DAED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49504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98F23B"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17919DB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5D79D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17CB3A" w14:textId="77777777" w:rsidR="00000000" w:rsidRDefault="00405D16">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14:paraId="3CDC4AA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29000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F2BCB9" w14:textId="77777777" w:rsidR="00000000" w:rsidRDefault="00405D16">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14:paraId="183ED72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D1CE9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F01AC7" w14:textId="77777777" w:rsidR="00000000" w:rsidRDefault="00405D16">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bottom"/>
            <w:hideMark/>
          </w:tcPr>
          <w:p w14:paraId="7A40118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EDE5C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93D216" w14:textId="77777777" w:rsidR="00000000" w:rsidRDefault="00405D16">
            <w:pPr>
              <w:spacing w:after="100"/>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bottom"/>
            <w:hideMark/>
          </w:tcPr>
          <w:p w14:paraId="14EF7FF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0C146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774A59" w14:textId="77777777" w:rsidR="00000000" w:rsidRDefault="00405D16">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bottom"/>
            <w:hideMark/>
          </w:tcPr>
          <w:p w14:paraId="186C022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9ACF5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10C8D3"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06F4EB1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EAE6A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9F4613" w14:textId="77777777" w:rsidR="00000000" w:rsidRDefault="00405D16">
            <w:pPr>
              <w:spacing w:after="100"/>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bottom"/>
            <w:hideMark/>
          </w:tcPr>
          <w:p w14:paraId="2B501CB2" w14:textId="77777777" w:rsidR="00000000" w:rsidRDefault="00405D16">
            <w:pPr>
              <w:spacing w:after="100"/>
              <w:jc w:val="right"/>
              <w:rPr>
                <w:rFonts w:eastAsia="Times New Roman"/>
              </w:rPr>
            </w:pPr>
          </w:p>
        </w:tc>
      </w:tr>
      <w:tr w:rsidR="00405D16" w14:paraId="30797082" w14:textId="77777777">
        <w:trPr>
          <w:divId w:val="2094276027"/>
        </w:trPr>
        <w:tc>
          <w:tcPr>
            <w:tcW w:w="0" w:type="auto"/>
            <w:gridSpan w:val="3"/>
            <w:shd w:val="clear" w:color="auto" w:fill="FFFFFF"/>
            <w:tcMar>
              <w:top w:w="30" w:type="dxa"/>
              <w:left w:w="20" w:type="dxa"/>
              <w:bottom w:w="30" w:type="dxa"/>
              <w:right w:w="20" w:type="dxa"/>
            </w:tcMar>
            <w:vAlign w:val="center"/>
            <w:hideMark/>
          </w:tcPr>
          <w:p w14:paraId="60D231F5" w14:textId="77777777" w:rsidR="00000000" w:rsidRDefault="00405D16">
            <w:pPr>
              <w:spacing w:after="100"/>
              <w:divId w:val="1009916478"/>
              <w:rPr>
                <w:rFonts w:eastAsia="Times New Roman"/>
              </w:rPr>
            </w:pPr>
            <w:r>
              <w:rPr>
                <w:rFonts w:eastAsia="Times New Roman"/>
                <w:b/>
                <w:bCs/>
                <w:color w:val="000000"/>
                <w:sz w:val="18"/>
                <w:szCs w:val="18"/>
              </w:rPr>
              <w:t>Total retail bankin</w:t>
            </w:r>
            <w:r>
              <w:rPr>
                <w:rFonts w:eastAsia="Times New Roman"/>
                <w:b/>
                <w:bCs/>
                <w:color w:val="000000"/>
                <w:sz w:val="18"/>
                <w:szCs w:val="18"/>
              </w:rPr>
              <w:t>g</w:t>
            </w:r>
            <w:r>
              <w:rPr>
                <w:rFonts w:eastAsia="Times New Roman"/>
                <w:b/>
                <w:bCs/>
                <w:color w:val="000000"/>
                <w:sz w:val="12"/>
                <w:szCs w:val="12"/>
              </w:rPr>
              <w:t>(2</w:t>
            </w:r>
            <w:r>
              <w:rPr>
                <w:rFonts w:eastAsia="Times New Roman"/>
                <w:b/>
                <w:b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7AD3645C"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ABE0DE4" w14:textId="77777777" w:rsidR="00000000" w:rsidRDefault="00405D16">
            <w:pPr>
              <w:spacing w:after="100"/>
              <w:jc w:val="right"/>
              <w:rPr>
                <w:rFonts w:eastAsia="Times New Roman"/>
              </w:rPr>
            </w:pPr>
            <w:r>
              <w:rPr>
                <w:rFonts w:eastAsia="Times New Roman"/>
                <w:color w:val="000000"/>
                <w:sz w:val="18"/>
                <w:szCs w:val="18"/>
              </w:rPr>
              <w:t>1,041 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27B00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98F254"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7956F0A" w14:textId="77777777" w:rsidR="00000000" w:rsidRDefault="00405D16">
            <w:pPr>
              <w:spacing w:after="100"/>
              <w:jc w:val="right"/>
              <w:rPr>
                <w:rFonts w:eastAsia="Times New Roman"/>
              </w:rPr>
            </w:pPr>
            <w:r>
              <w:rPr>
                <w:rFonts w:eastAsia="Times New Roman"/>
                <w:color w:val="000000"/>
                <w:sz w:val="18"/>
                <w:szCs w:val="18"/>
              </w:rPr>
              <w:t>233 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D1831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9FB705"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43CF93B" w14:textId="77777777" w:rsidR="00000000" w:rsidRDefault="00405D16">
            <w:pPr>
              <w:spacing w:after="100"/>
              <w:jc w:val="right"/>
              <w:rPr>
                <w:rFonts w:eastAsia="Times New Roman"/>
              </w:rPr>
            </w:pPr>
            <w:r>
              <w:rPr>
                <w:rFonts w:eastAsia="Times New Roman"/>
                <w:color w:val="000000"/>
                <w:sz w:val="18"/>
                <w:szCs w:val="18"/>
              </w:rPr>
              <w:t>214 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232320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B668C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2DF38AC" w14:textId="77777777" w:rsidR="00000000" w:rsidRDefault="00405D16">
            <w:pPr>
              <w:spacing w:after="100"/>
              <w:jc w:val="right"/>
              <w:rPr>
                <w:rFonts w:eastAsia="Times New Roman"/>
              </w:rPr>
            </w:pPr>
            <w:r>
              <w:rPr>
                <w:rFonts w:eastAsia="Times New Roman"/>
                <w:color w:val="000000"/>
                <w:sz w:val="18"/>
                <w:szCs w:val="18"/>
              </w:rPr>
              <w:t>224 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8DDAC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0FCCC8"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A2FD41F" w14:textId="77777777" w:rsidR="00000000" w:rsidRDefault="00405D16">
            <w:pPr>
              <w:spacing w:after="100"/>
              <w:jc w:val="right"/>
              <w:rPr>
                <w:rFonts w:eastAsia="Times New Roman"/>
              </w:rPr>
            </w:pPr>
            <w:r>
              <w:rPr>
                <w:rFonts w:eastAsia="Times New Roman"/>
                <w:color w:val="000000"/>
                <w:sz w:val="18"/>
                <w:szCs w:val="18"/>
              </w:rPr>
              <w:t>175 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7E97D5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79F814"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92ED4B4" w14:textId="77777777" w:rsidR="00000000" w:rsidRDefault="00405D16">
            <w:pPr>
              <w:spacing w:after="100"/>
              <w:jc w:val="right"/>
              <w:rPr>
                <w:rFonts w:eastAsia="Times New Roman"/>
              </w:rPr>
            </w:pPr>
            <w:r>
              <w:rPr>
                <w:rFonts w:eastAsia="Times New Roman"/>
                <w:color w:val="000000"/>
                <w:sz w:val="18"/>
                <w:szCs w:val="18"/>
              </w:rPr>
              <w:t>547 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4A2FB7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97058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BBB4C48" w14:textId="77777777" w:rsidR="00000000" w:rsidRDefault="00405D16">
            <w:pPr>
              <w:spacing w:after="100"/>
              <w:jc w:val="right"/>
              <w:rPr>
                <w:rFonts w:eastAsia="Times New Roman"/>
              </w:rPr>
            </w:pPr>
            <w:r>
              <w:rPr>
                <w:rFonts w:eastAsia="Times New Roman"/>
                <w:color w:val="000000"/>
                <w:sz w:val="18"/>
                <w:szCs w:val="18"/>
              </w:rPr>
              <w:t>2,434 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6A29E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D5F176"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49D0958" w14:textId="77777777" w:rsidR="00000000" w:rsidRDefault="00405D16">
            <w:pPr>
              <w:spacing w:after="100"/>
              <w:jc w:val="right"/>
              <w:rPr>
                <w:rFonts w:eastAsia="Times New Roman"/>
              </w:rPr>
            </w:pPr>
            <w:r>
              <w:rPr>
                <w:rFonts w:eastAsia="Times New Roman"/>
                <w:color w:val="000000"/>
                <w:sz w:val="18"/>
                <w:szCs w:val="18"/>
              </w:rPr>
              <w:t>683 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77C47C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D9F907"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6335EAF" w14:textId="77777777" w:rsidR="00000000" w:rsidRDefault="00405D16">
            <w:pPr>
              <w:spacing w:after="100"/>
              <w:jc w:val="right"/>
              <w:rPr>
                <w:rFonts w:eastAsia="Times New Roman"/>
              </w:rPr>
            </w:pPr>
            <w:r>
              <w:rPr>
                <w:rFonts w:eastAsia="Times New Roman"/>
                <w:color w:val="000000"/>
                <w:sz w:val="18"/>
                <w:szCs w:val="18"/>
              </w:rPr>
              <w:t>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BC40A9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D6DA0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F765D84" w14:textId="77777777" w:rsidR="00000000" w:rsidRDefault="00405D16">
            <w:pPr>
              <w:spacing w:after="100"/>
              <w:jc w:val="right"/>
              <w:rPr>
                <w:rFonts w:eastAsia="Times New Roman"/>
              </w:rPr>
            </w:pPr>
            <w:r>
              <w:rPr>
                <w:rFonts w:eastAsia="Times New Roman"/>
                <w:color w:val="000000"/>
                <w:sz w:val="18"/>
                <w:szCs w:val="18"/>
              </w:rPr>
              <w:t>3,126 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AEE3BD0" w14:textId="77777777" w:rsidR="00000000" w:rsidRDefault="00405D16">
            <w:pPr>
              <w:spacing w:after="100"/>
              <w:jc w:val="right"/>
              <w:rPr>
                <w:rFonts w:eastAsia="Times New Roman"/>
              </w:rPr>
            </w:pPr>
          </w:p>
        </w:tc>
      </w:tr>
      <w:tr w:rsidR="00405D16" w14:paraId="151DD3CD" w14:textId="77777777">
        <w:trPr>
          <w:divId w:val="2094276027"/>
        </w:trPr>
        <w:tc>
          <w:tcPr>
            <w:tcW w:w="0" w:type="auto"/>
            <w:gridSpan w:val="3"/>
            <w:shd w:val="clear" w:color="auto" w:fill="CCEEFF"/>
            <w:tcMar>
              <w:top w:w="30" w:type="dxa"/>
              <w:left w:w="20" w:type="dxa"/>
              <w:bottom w:w="30" w:type="dxa"/>
              <w:right w:w="20" w:type="dxa"/>
            </w:tcMar>
            <w:vAlign w:val="center"/>
            <w:hideMark/>
          </w:tcPr>
          <w:p w14:paraId="3DDDEBD1" w14:textId="77777777" w:rsidR="00000000" w:rsidRDefault="00405D16">
            <w:pPr>
              <w:spacing w:after="100"/>
              <w:rPr>
                <w:rFonts w:eastAsia="Times New Roman"/>
              </w:rPr>
            </w:pPr>
            <w:r>
              <w:rPr>
                <w:rFonts w:eastAsia="Times New Roman"/>
                <w:b/>
                <w:bCs/>
                <w:color w:val="000000"/>
                <w:sz w:val="18"/>
                <w:szCs w:val="18"/>
              </w:rPr>
              <w:t>Total consumer banking</w:t>
            </w:r>
          </w:p>
        </w:tc>
        <w:tc>
          <w:tcPr>
            <w:tcW w:w="0" w:type="auto"/>
            <w:gridSpan w:val="3"/>
            <w:shd w:val="clear" w:color="auto" w:fill="CCEEFF"/>
            <w:tcMar>
              <w:top w:w="0" w:type="dxa"/>
              <w:left w:w="20" w:type="dxa"/>
              <w:bottom w:w="0" w:type="dxa"/>
              <w:right w:w="20" w:type="dxa"/>
            </w:tcMar>
            <w:vAlign w:val="center"/>
            <w:hideMark/>
          </w:tcPr>
          <w:p w14:paraId="05AC7A6F"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4E1AF11"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106089A" w14:textId="77777777" w:rsidR="00000000" w:rsidRDefault="00405D16">
            <w:pPr>
              <w:spacing w:after="100"/>
              <w:jc w:val="right"/>
              <w:rPr>
                <w:rFonts w:eastAsia="Times New Roman"/>
              </w:rPr>
            </w:pPr>
            <w:r>
              <w:rPr>
                <w:rFonts w:eastAsia="Times New Roman"/>
                <w:color w:val="000000"/>
                <w:sz w:val="18"/>
                <w:szCs w:val="18"/>
              </w:rPr>
              <w:t>29,724 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F84C53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8F0E46"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22362EE"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2971395" w14:textId="77777777" w:rsidR="00000000" w:rsidRDefault="00405D16">
            <w:pPr>
              <w:spacing w:after="100"/>
              <w:jc w:val="right"/>
              <w:rPr>
                <w:rFonts w:eastAsia="Times New Roman"/>
              </w:rPr>
            </w:pPr>
            <w:r>
              <w:rPr>
                <w:rFonts w:eastAsia="Times New Roman"/>
                <w:color w:val="000000"/>
                <w:sz w:val="18"/>
                <w:szCs w:val="18"/>
              </w:rPr>
              <w:t>18,253 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8D7342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F809F7"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0A32E1D"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F2CB8CB" w14:textId="77777777" w:rsidR="00000000" w:rsidRDefault="00405D16">
            <w:pPr>
              <w:spacing w:after="100"/>
              <w:jc w:val="right"/>
              <w:rPr>
                <w:rFonts w:eastAsia="Times New Roman"/>
              </w:rPr>
            </w:pPr>
            <w:r>
              <w:rPr>
                <w:rFonts w:eastAsia="Times New Roman"/>
                <w:color w:val="000000"/>
                <w:sz w:val="18"/>
                <w:szCs w:val="18"/>
              </w:rPr>
              <w:t>10,209 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1BA2EA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9D37AD"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06DD4B9"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0866DD6" w14:textId="77777777" w:rsidR="00000000" w:rsidRDefault="00405D16">
            <w:pPr>
              <w:spacing w:after="100"/>
              <w:jc w:val="right"/>
              <w:rPr>
                <w:rFonts w:eastAsia="Times New Roman"/>
              </w:rPr>
            </w:pPr>
            <w:r>
              <w:rPr>
                <w:rFonts w:eastAsia="Times New Roman"/>
                <w:color w:val="000000"/>
                <w:sz w:val="18"/>
                <w:szCs w:val="18"/>
              </w:rPr>
              <w:t>6,191 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030802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B1816E"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7BF3F50"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EECBE8C" w14:textId="77777777" w:rsidR="00000000" w:rsidRDefault="00405D16">
            <w:pPr>
              <w:spacing w:after="100"/>
              <w:jc w:val="right"/>
              <w:rPr>
                <w:rFonts w:eastAsia="Times New Roman"/>
              </w:rPr>
            </w:pPr>
            <w:r>
              <w:rPr>
                <w:rFonts w:eastAsia="Times New Roman"/>
                <w:color w:val="000000"/>
                <w:sz w:val="18"/>
                <w:szCs w:val="18"/>
              </w:rPr>
              <w:t>2,717 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B56DC9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58B377"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BE9C1B0"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1B82E2B" w14:textId="77777777" w:rsidR="00000000" w:rsidRDefault="00405D16">
            <w:pPr>
              <w:spacing w:after="100"/>
              <w:jc w:val="right"/>
              <w:rPr>
                <w:rFonts w:eastAsia="Times New Roman"/>
              </w:rPr>
            </w:pPr>
            <w:r>
              <w:rPr>
                <w:rFonts w:eastAsia="Times New Roman"/>
                <w:color w:val="000000"/>
                <w:sz w:val="18"/>
                <w:szCs w:val="18"/>
              </w:rPr>
              <w:t>1,102 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1CFE81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066962"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1059796"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E953E2B" w14:textId="77777777" w:rsidR="00000000" w:rsidRDefault="00405D16">
            <w:pPr>
              <w:spacing w:after="100"/>
              <w:jc w:val="right"/>
              <w:rPr>
                <w:rFonts w:eastAsia="Times New Roman"/>
              </w:rPr>
            </w:pPr>
            <w:r>
              <w:rPr>
                <w:rFonts w:eastAsia="Times New Roman"/>
                <w:color w:val="000000"/>
                <w:sz w:val="18"/>
                <w:szCs w:val="18"/>
              </w:rPr>
              <w:t>68,196 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E7EC7F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C95DF6"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8269868"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BB1B927" w14:textId="77777777" w:rsidR="00000000" w:rsidRDefault="00405D16">
            <w:pPr>
              <w:spacing w:after="100"/>
              <w:jc w:val="right"/>
              <w:rPr>
                <w:rFonts w:eastAsia="Times New Roman"/>
              </w:rPr>
            </w:pPr>
            <w:r>
              <w:rPr>
                <w:rFonts w:eastAsia="Times New Roman"/>
                <w:color w:val="000000"/>
                <w:sz w:val="18"/>
                <w:szCs w:val="18"/>
              </w:rPr>
              <w:t>683 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C18F22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0F5620"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B680928"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133FD01" w14:textId="77777777" w:rsidR="00000000" w:rsidRDefault="00405D16">
            <w:pPr>
              <w:spacing w:after="100"/>
              <w:jc w:val="right"/>
              <w:rPr>
                <w:rFonts w:eastAsia="Times New Roman"/>
              </w:rPr>
            </w:pPr>
            <w:r>
              <w:rPr>
                <w:rFonts w:eastAsia="Times New Roman"/>
                <w:color w:val="000000"/>
                <w:sz w:val="18"/>
                <w:szCs w:val="18"/>
              </w:rPr>
              <w:t>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27DCF0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7D0EB3"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BA9AEDD"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7A612D9" w14:textId="77777777" w:rsidR="00000000" w:rsidRDefault="00405D16">
            <w:pPr>
              <w:spacing w:after="100"/>
              <w:jc w:val="right"/>
              <w:rPr>
                <w:rFonts w:eastAsia="Times New Roman"/>
              </w:rPr>
            </w:pPr>
            <w:r>
              <w:rPr>
                <w:rFonts w:eastAsia="Times New Roman"/>
                <w:color w:val="000000"/>
                <w:sz w:val="18"/>
                <w:szCs w:val="18"/>
              </w:rPr>
              <w:t>68,888 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92E0260" w14:textId="77777777" w:rsidR="00000000" w:rsidRDefault="00405D16">
            <w:pPr>
              <w:spacing w:after="100"/>
              <w:jc w:val="right"/>
              <w:rPr>
                <w:rFonts w:eastAsia="Times New Roman"/>
              </w:rPr>
            </w:pPr>
          </w:p>
        </w:tc>
      </w:tr>
    </w:tbl>
    <w:p w14:paraId="3453186B" w14:textId="77777777" w:rsidR="00000000" w:rsidRDefault="00405D16">
      <w:pPr>
        <w:jc w:val="both"/>
        <w:divId w:val="2094276027"/>
        <w:rPr>
          <w:rFonts w:eastAsia="Times New Roman"/>
        </w:rPr>
      </w:pPr>
      <w:r>
        <w:rPr>
          <w:rFonts w:eastAsia="Times New Roman"/>
          <w:color w:val="000000"/>
          <w:sz w:val="20"/>
          <w:szCs w:val="20"/>
        </w:rPr>
        <w:t>__________</w:t>
      </w:r>
    </w:p>
    <w:p w14:paraId="72DC9C81" w14:textId="77777777" w:rsidR="00000000" w:rsidRDefault="00405D16">
      <w:pPr>
        <w:ind w:hanging="360"/>
        <w:jc w:val="both"/>
        <w:divId w:val="82092618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Amounts represent period-end loans held for investment in each credit score category. Auto credit scores gener</w:t>
      </w:r>
      <w:r>
        <w:rPr>
          <w:rFonts w:eastAsia="Times New Roman"/>
          <w:color w:val="000000"/>
          <w:sz w:val="16"/>
          <w:szCs w:val="16"/>
        </w:rPr>
        <w:t>ally represent average FICO scores obtained from three credit bureaus at the time of application and are not refreshed thereafter. Balances for which no credit score is available or the credit score is invalid are included in the 620 or below category.</w:t>
      </w:r>
    </w:p>
    <w:p w14:paraId="146D06B0" w14:textId="77777777" w:rsidR="00000000" w:rsidRDefault="00405D16">
      <w:pPr>
        <w:ind w:hanging="360"/>
        <w:jc w:val="both"/>
        <w:divId w:val="462238361"/>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PPP loans of $538 million and $919 million as of September 30, 2021 and December 31, 2020, respectively</w:t>
      </w:r>
      <w:r>
        <w:rPr>
          <w:rFonts w:eastAsia="Times New Roman"/>
          <w:color w:val="000000"/>
          <w:sz w:val="20"/>
          <w:szCs w:val="20"/>
        </w:rPr>
        <w:t>.</w:t>
      </w:r>
    </w:p>
    <w:p w14:paraId="35A6514D" w14:textId="77777777" w:rsidR="00000000" w:rsidRDefault="00405D16">
      <w:pPr>
        <w:jc w:val="both"/>
        <w:divId w:val="999385790"/>
        <w:rPr>
          <w:rFonts w:eastAsia="Times New Roman"/>
        </w:rPr>
      </w:pPr>
      <w:r>
        <w:rPr>
          <w:rFonts w:eastAsia="Times New Roman"/>
          <w:b/>
          <w:bCs/>
          <w:i/>
          <w:iCs/>
          <w:color w:val="000000"/>
          <w:sz w:val="20"/>
          <w:szCs w:val="20"/>
        </w:rPr>
        <w:t>Commercial Banking</w:t>
      </w:r>
    </w:p>
    <w:p w14:paraId="4889B5C3" w14:textId="77777777" w:rsidR="00000000" w:rsidRDefault="00405D16">
      <w:pPr>
        <w:jc w:val="both"/>
        <w:divId w:val="403332294"/>
        <w:rPr>
          <w:rFonts w:eastAsia="Times New Roman"/>
        </w:rPr>
      </w:pPr>
      <w:r>
        <w:rPr>
          <w:rFonts w:eastAsia="Times New Roman"/>
          <w:color w:val="000000"/>
          <w:sz w:val="20"/>
          <w:szCs w:val="20"/>
        </w:rPr>
        <w:t>The key credit quality indicator for our commercial loan portfolios is our internal risk ratings. We assign internal risk r</w:t>
      </w:r>
      <w:r>
        <w:rPr>
          <w:rFonts w:eastAsia="Times New Roman"/>
          <w:color w:val="000000"/>
          <w:sz w:val="20"/>
          <w:szCs w:val="20"/>
        </w:rPr>
        <w:t>atings to loans based on relevant information about the ability of the borrowers to repay their debt. In determining the risk rating of a particular loan, some of the factors considered are the borrower’s current financial condition, historical and project</w:t>
      </w:r>
      <w:r>
        <w:rPr>
          <w:rFonts w:eastAsia="Times New Roman"/>
          <w:color w:val="000000"/>
          <w:sz w:val="20"/>
          <w:szCs w:val="20"/>
        </w:rPr>
        <w:t>ed future credit performance, prospects for support from financially responsible guarantors, the estimated realizable value of any collateral and current economic trends. The scale based on our internal risk rating system is as follows:</w:t>
      </w:r>
    </w:p>
    <w:p w14:paraId="660EDBEB" w14:textId="77777777" w:rsidR="00000000" w:rsidRDefault="00405D16">
      <w:pPr>
        <w:ind w:hanging="360"/>
        <w:jc w:val="both"/>
        <w:divId w:val="1005399642"/>
        <w:rPr>
          <w:rFonts w:eastAsia="Times New Roman"/>
        </w:rPr>
      </w:pPr>
      <w:r>
        <w:rPr>
          <w:rFonts w:eastAsia="Times New Roman"/>
          <w:color w:val="000000"/>
          <w:sz w:val="20"/>
          <w:szCs w:val="20"/>
        </w:rPr>
        <w:t>•</w:t>
      </w:r>
      <w:r>
        <w:rPr>
          <w:rFonts w:eastAsia="Times New Roman"/>
          <w:i/>
          <w:iCs/>
          <w:color w:val="000000"/>
          <w:sz w:val="20"/>
          <w:szCs w:val="20"/>
        </w:rPr>
        <w:t>Noncriticized:</w:t>
      </w:r>
      <w:r>
        <w:rPr>
          <w:rFonts w:eastAsia="Times New Roman"/>
          <w:color w:val="000000"/>
          <w:sz w:val="20"/>
          <w:szCs w:val="20"/>
        </w:rPr>
        <w:t xml:space="preserve"> Loa</w:t>
      </w:r>
      <w:r>
        <w:rPr>
          <w:rFonts w:eastAsia="Times New Roman"/>
          <w:color w:val="000000"/>
          <w:sz w:val="20"/>
          <w:szCs w:val="20"/>
        </w:rPr>
        <w:t>ns that have not been designated as criticized, frequently referred to as “pass” loans.</w:t>
      </w:r>
    </w:p>
    <w:p w14:paraId="6317BDA8" w14:textId="77777777" w:rsidR="00000000" w:rsidRDefault="00405D16">
      <w:pPr>
        <w:ind w:hanging="360"/>
        <w:jc w:val="both"/>
        <w:divId w:val="1069303708"/>
        <w:rPr>
          <w:rFonts w:eastAsia="Times New Roman"/>
        </w:rPr>
      </w:pPr>
      <w:r>
        <w:rPr>
          <w:rFonts w:eastAsia="Times New Roman"/>
          <w:color w:val="000000"/>
          <w:sz w:val="20"/>
          <w:szCs w:val="20"/>
        </w:rPr>
        <w:t>•</w:t>
      </w:r>
      <w:r>
        <w:rPr>
          <w:rFonts w:eastAsia="Times New Roman"/>
          <w:i/>
          <w:iCs/>
          <w:color w:val="000000"/>
          <w:sz w:val="20"/>
          <w:szCs w:val="20"/>
        </w:rPr>
        <w:t>Criticized performing:</w:t>
      </w:r>
      <w:r>
        <w:rPr>
          <w:rFonts w:eastAsia="Times New Roman"/>
          <w:color w:val="000000"/>
          <w:sz w:val="20"/>
          <w:szCs w:val="20"/>
        </w:rPr>
        <w:t xml:space="preserve"> Loans in which the financial condition of the obligor is stressed, affecting earnings, cash flows or collateral values. The borrower currently h</w:t>
      </w:r>
      <w:r>
        <w:rPr>
          <w:rFonts w:eastAsia="Times New Roman"/>
          <w:color w:val="000000"/>
          <w:sz w:val="20"/>
          <w:szCs w:val="20"/>
        </w:rPr>
        <w:t>as adequate capacity to meet near-term obligations; however, the stress, left unabated, may result in deterioration of the repayment prospects at some future date.</w:t>
      </w:r>
    </w:p>
    <w:p w14:paraId="20D3B677" w14:textId="77777777" w:rsidR="00000000" w:rsidRDefault="00405D16">
      <w:pPr>
        <w:ind w:hanging="360"/>
        <w:jc w:val="both"/>
        <w:divId w:val="1309748294"/>
        <w:rPr>
          <w:rFonts w:eastAsia="Times New Roman"/>
        </w:rPr>
      </w:pPr>
      <w:r>
        <w:rPr>
          <w:rFonts w:eastAsia="Times New Roman"/>
          <w:color w:val="000000"/>
          <w:sz w:val="20"/>
          <w:szCs w:val="20"/>
        </w:rPr>
        <w:t>•</w:t>
      </w:r>
      <w:r>
        <w:rPr>
          <w:rFonts w:eastAsia="Times New Roman"/>
          <w:i/>
          <w:iCs/>
          <w:color w:val="000000"/>
          <w:sz w:val="20"/>
          <w:szCs w:val="20"/>
        </w:rPr>
        <w:t>Criticized nonperforming:</w:t>
      </w:r>
      <w:r>
        <w:rPr>
          <w:rFonts w:eastAsia="Times New Roman"/>
          <w:color w:val="000000"/>
          <w:sz w:val="20"/>
          <w:szCs w:val="20"/>
        </w:rPr>
        <w:t xml:space="preserve"> Loans that are not adequately protected by the current net worth </w:t>
      </w:r>
      <w:r>
        <w:rPr>
          <w:rFonts w:eastAsia="Times New Roman"/>
          <w:color w:val="000000"/>
          <w:sz w:val="20"/>
          <w:szCs w:val="20"/>
        </w:rPr>
        <w:t>and paying capacity of the obligor or the collateral pledged, if any. Loans classified as criticized nonperforming have a well-defined weakness, or weaknesses, which jeopardize the full repayment of the debt. These loans are characterized by the distinct p</w:t>
      </w:r>
      <w:r>
        <w:rPr>
          <w:rFonts w:eastAsia="Times New Roman"/>
          <w:color w:val="000000"/>
          <w:sz w:val="20"/>
          <w:szCs w:val="20"/>
        </w:rPr>
        <w:t>ossibility that we will sustain a credit loss if the deficiencies are not corrected and are generally placed on nonaccrual status.</w:t>
      </w:r>
    </w:p>
    <w:p w14:paraId="750BC44D" w14:textId="77777777" w:rsidR="00000000" w:rsidRDefault="00405D16">
      <w:pPr>
        <w:jc w:val="both"/>
        <w:divId w:val="424035795"/>
        <w:rPr>
          <w:rFonts w:eastAsia="Times New Roman"/>
        </w:rPr>
      </w:pPr>
      <w:r>
        <w:rPr>
          <w:rFonts w:eastAsia="Times New Roman"/>
          <w:color w:val="000000"/>
          <w:sz w:val="20"/>
          <w:szCs w:val="20"/>
        </w:rPr>
        <w:t>We use our internal risk rating system for regulatory reporting, determining the frequency of credit exposure reviews, and ev</w:t>
      </w:r>
      <w:r>
        <w:rPr>
          <w:rFonts w:eastAsia="Times New Roman"/>
          <w:color w:val="000000"/>
          <w:sz w:val="20"/>
          <w:szCs w:val="20"/>
        </w:rPr>
        <w:t>aluating and determining the allowance for credit losses for commercial loans. Generally, loans that are designated as criticized performing and criticized nonperforming are reviewed quarterly by management to determine if they are appropriately classified</w:t>
      </w:r>
      <w:r>
        <w:rPr>
          <w:rFonts w:eastAsia="Times New Roman"/>
          <w:color w:val="000000"/>
          <w:sz w:val="20"/>
          <w:szCs w:val="20"/>
        </w:rPr>
        <w:t>/rated and whether any impairment exists. Noncriticized loans are also generally reviewed, at least annually, to determine the appropriate risk rating. In addition, we evaluate the risk rating during the renewal process of any loan or if a loan becomes pas</w:t>
      </w:r>
      <w:r>
        <w:rPr>
          <w:rFonts w:eastAsia="Times New Roman"/>
          <w:color w:val="000000"/>
          <w:sz w:val="20"/>
          <w:szCs w:val="20"/>
        </w:rPr>
        <w:t>t due.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60BA952B" w14:textId="77777777">
        <w:trPr>
          <w:divId w:val="1912619928"/>
          <w:jc w:val="center"/>
        </w:trPr>
        <w:tc>
          <w:tcPr>
            <w:tcW w:w="50" w:type="pct"/>
            <w:vAlign w:val="center"/>
            <w:hideMark/>
          </w:tcPr>
          <w:p w14:paraId="5F76AC57" w14:textId="77777777" w:rsidR="00000000" w:rsidRDefault="00405D16">
            <w:pPr>
              <w:jc w:val="both"/>
              <w:rPr>
                <w:rFonts w:eastAsia="Times New Roman"/>
              </w:rPr>
            </w:pPr>
          </w:p>
        </w:tc>
        <w:tc>
          <w:tcPr>
            <w:tcW w:w="1606" w:type="pct"/>
            <w:vAlign w:val="center"/>
            <w:hideMark/>
          </w:tcPr>
          <w:p w14:paraId="66BE74DF" w14:textId="77777777" w:rsidR="00000000" w:rsidRDefault="00405D16">
            <w:pPr>
              <w:spacing w:after="100"/>
              <w:rPr>
                <w:rFonts w:eastAsia="Times New Roman"/>
                <w:sz w:val="20"/>
                <w:szCs w:val="20"/>
              </w:rPr>
            </w:pPr>
          </w:p>
        </w:tc>
        <w:tc>
          <w:tcPr>
            <w:tcW w:w="5" w:type="pct"/>
            <w:vAlign w:val="center"/>
            <w:hideMark/>
          </w:tcPr>
          <w:p w14:paraId="3396851A" w14:textId="77777777" w:rsidR="00000000" w:rsidRDefault="00405D16">
            <w:pPr>
              <w:spacing w:after="100"/>
              <w:rPr>
                <w:rFonts w:eastAsia="Times New Roman"/>
                <w:sz w:val="20"/>
                <w:szCs w:val="20"/>
              </w:rPr>
            </w:pPr>
          </w:p>
        </w:tc>
        <w:tc>
          <w:tcPr>
            <w:tcW w:w="50" w:type="pct"/>
            <w:vAlign w:val="center"/>
            <w:hideMark/>
          </w:tcPr>
          <w:p w14:paraId="307CF41D" w14:textId="77777777" w:rsidR="00000000" w:rsidRDefault="00405D16">
            <w:pPr>
              <w:spacing w:after="100"/>
              <w:rPr>
                <w:rFonts w:eastAsia="Times New Roman"/>
                <w:sz w:val="20"/>
                <w:szCs w:val="20"/>
              </w:rPr>
            </w:pPr>
          </w:p>
        </w:tc>
        <w:tc>
          <w:tcPr>
            <w:tcW w:w="1614" w:type="pct"/>
            <w:vAlign w:val="center"/>
            <w:hideMark/>
          </w:tcPr>
          <w:p w14:paraId="44ADC2D1" w14:textId="77777777" w:rsidR="00000000" w:rsidRDefault="00405D16">
            <w:pPr>
              <w:spacing w:after="100"/>
              <w:rPr>
                <w:rFonts w:eastAsia="Times New Roman"/>
                <w:sz w:val="20"/>
                <w:szCs w:val="20"/>
              </w:rPr>
            </w:pPr>
          </w:p>
        </w:tc>
        <w:tc>
          <w:tcPr>
            <w:tcW w:w="5" w:type="pct"/>
            <w:vAlign w:val="center"/>
            <w:hideMark/>
          </w:tcPr>
          <w:p w14:paraId="5917B44D" w14:textId="77777777" w:rsidR="00000000" w:rsidRDefault="00405D16">
            <w:pPr>
              <w:spacing w:after="100"/>
              <w:rPr>
                <w:rFonts w:eastAsia="Times New Roman"/>
                <w:sz w:val="20"/>
                <w:szCs w:val="20"/>
              </w:rPr>
            </w:pPr>
          </w:p>
        </w:tc>
        <w:tc>
          <w:tcPr>
            <w:tcW w:w="50" w:type="pct"/>
            <w:vAlign w:val="center"/>
            <w:hideMark/>
          </w:tcPr>
          <w:p w14:paraId="7D6CC8C8" w14:textId="77777777" w:rsidR="00000000" w:rsidRDefault="00405D16">
            <w:pPr>
              <w:spacing w:after="100"/>
              <w:rPr>
                <w:rFonts w:eastAsia="Times New Roman"/>
                <w:sz w:val="20"/>
                <w:szCs w:val="20"/>
              </w:rPr>
            </w:pPr>
          </w:p>
        </w:tc>
        <w:tc>
          <w:tcPr>
            <w:tcW w:w="1614" w:type="pct"/>
            <w:vAlign w:val="center"/>
            <w:hideMark/>
          </w:tcPr>
          <w:p w14:paraId="515FA68D" w14:textId="77777777" w:rsidR="00000000" w:rsidRDefault="00405D16">
            <w:pPr>
              <w:spacing w:after="100"/>
              <w:rPr>
                <w:rFonts w:eastAsia="Times New Roman"/>
                <w:sz w:val="20"/>
                <w:szCs w:val="20"/>
              </w:rPr>
            </w:pPr>
          </w:p>
        </w:tc>
        <w:tc>
          <w:tcPr>
            <w:tcW w:w="5" w:type="pct"/>
            <w:vAlign w:val="center"/>
            <w:hideMark/>
          </w:tcPr>
          <w:p w14:paraId="5D855FD7" w14:textId="77777777" w:rsidR="00000000" w:rsidRDefault="00405D16">
            <w:pPr>
              <w:spacing w:after="100"/>
              <w:rPr>
                <w:rFonts w:eastAsia="Times New Roman"/>
                <w:sz w:val="20"/>
                <w:szCs w:val="20"/>
              </w:rPr>
            </w:pPr>
          </w:p>
        </w:tc>
      </w:tr>
      <w:tr w:rsidR="00000000" w14:paraId="2DAB668E" w14:textId="77777777">
        <w:trPr>
          <w:divId w:val="1912619928"/>
          <w:trHeight w:val="300"/>
          <w:jc w:val="center"/>
        </w:trPr>
        <w:tc>
          <w:tcPr>
            <w:tcW w:w="0" w:type="auto"/>
            <w:gridSpan w:val="9"/>
            <w:tcMar>
              <w:top w:w="0" w:type="dxa"/>
              <w:left w:w="20" w:type="dxa"/>
              <w:bottom w:w="0" w:type="dxa"/>
              <w:right w:w="20" w:type="dxa"/>
            </w:tcMar>
            <w:vAlign w:val="center"/>
            <w:hideMark/>
          </w:tcPr>
          <w:p w14:paraId="70F97932" w14:textId="77777777" w:rsidR="00000000" w:rsidRDefault="00405D16">
            <w:pPr>
              <w:spacing w:after="100"/>
              <w:rPr>
                <w:rFonts w:eastAsia="Times New Roman"/>
                <w:sz w:val="20"/>
                <w:szCs w:val="20"/>
              </w:rPr>
            </w:pPr>
          </w:p>
        </w:tc>
      </w:tr>
      <w:tr w:rsidR="00000000" w14:paraId="62087457" w14:textId="77777777">
        <w:trPr>
          <w:divId w:val="1912619928"/>
          <w:jc w:val="center"/>
        </w:trPr>
        <w:tc>
          <w:tcPr>
            <w:tcW w:w="0" w:type="auto"/>
            <w:gridSpan w:val="3"/>
            <w:tcMar>
              <w:top w:w="0" w:type="dxa"/>
              <w:left w:w="20" w:type="dxa"/>
              <w:bottom w:w="0" w:type="dxa"/>
              <w:right w:w="20" w:type="dxa"/>
            </w:tcMar>
            <w:vAlign w:val="center"/>
            <w:hideMark/>
          </w:tcPr>
          <w:p w14:paraId="238A24F0"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5B7CC61" w14:textId="77777777" w:rsidR="00000000" w:rsidRDefault="00405D16">
            <w:pPr>
              <w:spacing w:after="100"/>
              <w:jc w:val="center"/>
              <w:rPr>
                <w:rFonts w:eastAsia="Times New Roman"/>
              </w:rPr>
            </w:pPr>
            <w:r>
              <w:rPr>
                <w:rFonts w:eastAsia="Times New Roman"/>
                <w:color w:val="000000"/>
                <w:sz w:val="16"/>
                <w:szCs w:val="16"/>
              </w:rPr>
              <w:t>86</w:t>
            </w:r>
          </w:p>
        </w:tc>
        <w:tc>
          <w:tcPr>
            <w:tcW w:w="0" w:type="auto"/>
            <w:gridSpan w:val="3"/>
            <w:tcMar>
              <w:top w:w="30" w:type="dxa"/>
              <w:left w:w="20" w:type="dxa"/>
              <w:bottom w:w="30" w:type="dxa"/>
              <w:right w:w="20" w:type="dxa"/>
            </w:tcMar>
            <w:vAlign w:val="bottom"/>
            <w:hideMark/>
          </w:tcPr>
          <w:p w14:paraId="772859C3"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79641A06" w14:textId="77777777" w:rsidR="00000000" w:rsidRDefault="00405D16">
      <w:pPr>
        <w:rPr>
          <w:rFonts w:eastAsia="Times New Roman"/>
        </w:rPr>
      </w:pPr>
      <w:r>
        <w:rPr>
          <w:rFonts w:eastAsia="Times New Roman"/>
        </w:rPr>
        <w:pict w14:anchorId="23632D5F">
          <v:rect id="_x0000_i1111" style="width:0;height:1.5pt" o:hralign="center" o:hrstd="t" o:hr="t" fillcolor="#a0a0a0" stroked="f"/>
        </w:pict>
      </w:r>
    </w:p>
    <w:p w14:paraId="10475204" w14:textId="77777777" w:rsidR="00000000" w:rsidRDefault="00405D16">
      <w:pPr>
        <w:jc w:val="both"/>
        <w:divId w:val="1591887887"/>
        <w:rPr>
          <w:rFonts w:eastAsia="Times New Roman"/>
        </w:rPr>
      </w:pPr>
      <w:hyperlink w:anchor="idd54a04a485440b4ab4e56094c14d612_13" w:history="1">
        <w:r>
          <w:rPr>
            <w:rStyle w:val="a3"/>
            <w:rFonts w:eastAsia="Times New Roman"/>
            <w:sz w:val="16"/>
            <w:szCs w:val="16"/>
          </w:rPr>
          <w:t>Table of Contents</w:t>
        </w:r>
      </w:hyperlink>
    </w:p>
    <w:p w14:paraId="1B22246B" w14:textId="77777777" w:rsidR="00000000" w:rsidRDefault="00405D16">
      <w:pPr>
        <w:jc w:val="center"/>
        <w:divId w:val="1591887887"/>
        <w:rPr>
          <w:rFonts w:eastAsia="Times New Roman"/>
        </w:rPr>
      </w:pPr>
    </w:p>
    <w:p w14:paraId="07DBE2DC" w14:textId="77777777" w:rsidR="00000000" w:rsidRDefault="00405D16">
      <w:pPr>
        <w:jc w:val="both"/>
        <w:divId w:val="2054648146"/>
        <w:rPr>
          <w:rFonts w:eastAsia="Times New Roman"/>
        </w:rPr>
      </w:pPr>
      <w:r>
        <w:rPr>
          <w:rFonts w:eastAsia="Times New Roman"/>
          <w:color w:val="000000"/>
          <w:sz w:val="20"/>
          <w:szCs w:val="20"/>
        </w:rPr>
        <w:t>The following table presents our commercial banking portfolio of loans held for investment by internal risk ratings as of September 30, 2021 and December 31, 2020. The internal risk rating status includes all past due loans, both performing and nonperformi</w:t>
      </w:r>
      <w:r>
        <w:rPr>
          <w:rFonts w:eastAsia="Times New Roman"/>
          <w:color w:val="000000"/>
          <w:sz w:val="20"/>
          <w:szCs w:val="20"/>
        </w:rPr>
        <w:t>ng.</w:t>
      </w:r>
    </w:p>
    <w:p w14:paraId="199AB810" w14:textId="77777777" w:rsidR="00000000" w:rsidRDefault="00405D16">
      <w:pPr>
        <w:divId w:val="321617743"/>
        <w:rPr>
          <w:rFonts w:eastAsia="Times New Roman"/>
        </w:rPr>
      </w:pPr>
      <w:r>
        <w:rPr>
          <w:rFonts w:eastAsia="Times New Roman"/>
          <w:b/>
          <w:bCs/>
          <w:color w:val="000000"/>
          <w:sz w:val="18"/>
          <w:szCs w:val="18"/>
        </w:rPr>
        <w:t>Table 3.5: Commercial Banking Portfolio by Internal Risk Ratings</w:t>
      </w:r>
    </w:p>
    <w:tbl>
      <w:tblPr>
        <w:tblW w:w="5000" w:type="pct"/>
        <w:tblCellMar>
          <w:top w:w="15" w:type="dxa"/>
          <w:left w:w="15" w:type="dxa"/>
          <w:bottom w:w="15" w:type="dxa"/>
          <w:right w:w="15" w:type="dxa"/>
        </w:tblCellMar>
        <w:tblLook w:val="04A0" w:firstRow="1" w:lastRow="0" w:firstColumn="1" w:lastColumn="0" w:noHBand="0" w:noVBand="1"/>
      </w:tblPr>
      <w:tblGrid>
        <w:gridCol w:w="65"/>
        <w:gridCol w:w="79"/>
        <w:gridCol w:w="1330"/>
        <w:gridCol w:w="40"/>
        <w:gridCol w:w="36"/>
        <w:gridCol w:w="36"/>
        <w:gridCol w:w="36"/>
        <w:gridCol w:w="110"/>
        <w:gridCol w:w="202"/>
        <w:gridCol w:w="144"/>
        <w:gridCol w:w="144"/>
        <w:gridCol w:w="50"/>
        <w:gridCol w:w="36"/>
        <w:gridCol w:w="36"/>
        <w:gridCol w:w="22"/>
        <w:gridCol w:w="14"/>
        <w:gridCol w:w="36"/>
        <w:gridCol w:w="94"/>
        <w:gridCol w:w="16"/>
        <w:gridCol w:w="128"/>
        <w:gridCol w:w="412"/>
        <w:gridCol w:w="36"/>
        <w:gridCol w:w="36"/>
        <w:gridCol w:w="19"/>
        <w:gridCol w:w="17"/>
        <w:gridCol w:w="36"/>
        <w:gridCol w:w="91"/>
        <w:gridCol w:w="19"/>
        <w:gridCol w:w="125"/>
        <w:gridCol w:w="144"/>
        <w:gridCol w:w="144"/>
        <w:gridCol w:w="127"/>
        <w:gridCol w:w="17"/>
        <w:gridCol w:w="19"/>
        <w:gridCol w:w="36"/>
        <w:gridCol w:w="36"/>
        <w:gridCol w:w="36"/>
        <w:gridCol w:w="110"/>
        <w:gridCol w:w="241"/>
        <w:gridCol w:w="144"/>
        <w:gridCol w:w="65"/>
        <w:gridCol w:w="36"/>
        <w:gridCol w:w="36"/>
        <w:gridCol w:w="7"/>
        <w:gridCol w:w="29"/>
        <w:gridCol w:w="36"/>
        <w:gridCol w:w="79"/>
        <w:gridCol w:w="31"/>
        <w:gridCol w:w="113"/>
        <w:gridCol w:w="144"/>
        <w:gridCol w:w="193"/>
        <w:gridCol w:w="36"/>
        <w:gridCol w:w="36"/>
        <w:gridCol w:w="36"/>
        <w:gridCol w:w="36"/>
        <w:gridCol w:w="110"/>
        <w:gridCol w:w="31"/>
        <w:gridCol w:w="144"/>
        <w:gridCol w:w="144"/>
        <w:gridCol w:w="131"/>
        <w:gridCol w:w="13"/>
        <w:gridCol w:w="23"/>
        <w:gridCol w:w="36"/>
        <w:gridCol w:w="36"/>
        <w:gridCol w:w="36"/>
        <w:gridCol w:w="13"/>
        <w:gridCol w:w="97"/>
        <w:gridCol w:w="47"/>
        <w:gridCol w:w="453"/>
        <w:gridCol w:w="40"/>
        <w:gridCol w:w="36"/>
        <w:gridCol w:w="36"/>
        <w:gridCol w:w="32"/>
        <w:gridCol w:w="4"/>
        <w:gridCol w:w="36"/>
        <w:gridCol w:w="104"/>
        <w:gridCol w:w="6"/>
        <w:gridCol w:w="138"/>
        <w:gridCol w:w="144"/>
        <w:gridCol w:w="144"/>
        <w:gridCol w:w="114"/>
        <w:gridCol w:w="36"/>
        <w:gridCol w:w="36"/>
        <w:gridCol w:w="36"/>
        <w:gridCol w:w="36"/>
        <w:gridCol w:w="111"/>
        <w:gridCol w:w="84"/>
        <w:gridCol w:w="144"/>
        <w:gridCol w:w="144"/>
        <w:gridCol w:w="144"/>
        <w:gridCol w:w="102"/>
        <w:gridCol w:w="36"/>
        <w:gridCol w:w="6"/>
        <w:gridCol w:w="30"/>
        <w:gridCol w:w="36"/>
        <w:gridCol w:w="36"/>
        <w:gridCol w:w="42"/>
        <w:gridCol w:w="68"/>
        <w:gridCol w:w="385"/>
        <w:gridCol w:w="144"/>
        <w:gridCol w:w="11"/>
        <w:gridCol w:w="36"/>
        <w:gridCol w:w="97"/>
        <w:gridCol w:w="144"/>
        <w:gridCol w:w="144"/>
        <w:gridCol w:w="144"/>
        <w:gridCol w:w="478"/>
        <w:gridCol w:w="144"/>
        <w:gridCol w:w="144"/>
        <w:gridCol w:w="144"/>
        <w:gridCol w:w="144"/>
        <w:gridCol w:w="144"/>
        <w:gridCol w:w="526"/>
        <w:gridCol w:w="144"/>
        <w:gridCol w:w="144"/>
        <w:gridCol w:w="144"/>
        <w:gridCol w:w="144"/>
        <w:gridCol w:w="144"/>
        <w:gridCol w:w="576"/>
        <w:gridCol w:w="144"/>
        <w:gridCol w:w="144"/>
        <w:gridCol w:w="144"/>
        <w:gridCol w:w="144"/>
        <w:gridCol w:w="144"/>
        <w:gridCol w:w="491"/>
        <w:gridCol w:w="144"/>
      </w:tblGrid>
      <w:tr w:rsidR="00000000" w14:paraId="52115B59" w14:textId="77777777">
        <w:trPr>
          <w:gridAfter w:val="24"/>
          <w:divId w:val="1476604340"/>
        </w:trPr>
        <w:tc>
          <w:tcPr>
            <w:tcW w:w="50" w:type="pct"/>
            <w:vAlign w:val="center"/>
            <w:hideMark/>
          </w:tcPr>
          <w:p w14:paraId="5F9402BF" w14:textId="77777777" w:rsidR="00000000" w:rsidRDefault="00405D16">
            <w:pPr>
              <w:rPr>
                <w:rFonts w:eastAsia="Times New Roman"/>
              </w:rPr>
            </w:pPr>
          </w:p>
        </w:tc>
        <w:tc>
          <w:tcPr>
            <w:tcW w:w="1085" w:type="pct"/>
            <w:gridSpan w:val="2"/>
            <w:vAlign w:val="center"/>
            <w:hideMark/>
          </w:tcPr>
          <w:p w14:paraId="4C3A376C" w14:textId="77777777" w:rsidR="00000000" w:rsidRDefault="00405D16">
            <w:pPr>
              <w:spacing w:after="100"/>
              <w:rPr>
                <w:rFonts w:eastAsia="Times New Roman"/>
                <w:sz w:val="20"/>
                <w:szCs w:val="20"/>
              </w:rPr>
            </w:pPr>
          </w:p>
        </w:tc>
        <w:tc>
          <w:tcPr>
            <w:tcW w:w="5" w:type="pct"/>
            <w:vAlign w:val="center"/>
            <w:hideMark/>
          </w:tcPr>
          <w:p w14:paraId="706D027F" w14:textId="77777777" w:rsidR="00000000" w:rsidRDefault="00405D16">
            <w:pPr>
              <w:spacing w:after="100"/>
              <w:rPr>
                <w:rFonts w:eastAsia="Times New Roman"/>
                <w:sz w:val="20"/>
                <w:szCs w:val="20"/>
              </w:rPr>
            </w:pPr>
          </w:p>
        </w:tc>
        <w:tc>
          <w:tcPr>
            <w:tcW w:w="5" w:type="pct"/>
            <w:vAlign w:val="center"/>
            <w:hideMark/>
          </w:tcPr>
          <w:p w14:paraId="2105C14B" w14:textId="77777777" w:rsidR="00000000" w:rsidRDefault="00405D16">
            <w:pPr>
              <w:spacing w:after="100"/>
              <w:rPr>
                <w:rFonts w:eastAsia="Times New Roman"/>
                <w:sz w:val="20"/>
                <w:szCs w:val="20"/>
              </w:rPr>
            </w:pPr>
          </w:p>
        </w:tc>
        <w:tc>
          <w:tcPr>
            <w:tcW w:w="26" w:type="pct"/>
            <w:vAlign w:val="center"/>
            <w:hideMark/>
          </w:tcPr>
          <w:p w14:paraId="74D51729" w14:textId="77777777" w:rsidR="00000000" w:rsidRDefault="00405D16">
            <w:pPr>
              <w:spacing w:after="100"/>
              <w:rPr>
                <w:rFonts w:eastAsia="Times New Roman"/>
                <w:sz w:val="20"/>
                <w:szCs w:val="20"/>
              </w:rPr>
            </w:pPr>
          </w:p>
        </w:tc>
        <w:tc>
          <w:tcPr>
            <w:tcW w:w="5" w:type="pct"/>
            <w:vAlign w:val="center"/>
            <w:hideMark/>
          </w:tcPr>
          <w:p w14:paraId="2DE67396" w14:textId="77777777" w:rsidR="00000000" w:rsidRDefault="00405D16">
            <w:pPr>
              <w:spacing w:after="100"/>
              <w:rPr>
                <w:rFonts w:eastAsia="Times New Roman"/>
                <w:sz w:val="20"/>
                <w:szCs w:val="20"/>
              </w:rPr>
            </w:pPr>
          </w:p>
        </w:tc>
        <w:tc>
          <w:tcPr>
            <w:tcW w:w="50" w:type="pct"/>
            <w:vAlign w:val="center"/>
            <w:hideMark/>
          </w:tcPr>
          <w:p w14:paraId="7CED0659" w14:textId="77777777" w:rsidR="00000000" w:rsidRDefault="00405D16">
            <w:pPr>
              <w:spacing w:after="100"/>
              <w:rPr>
                <w:rFonts w:eastAsia="Times New Roman"/>
                <w:sz w:val="20"/>
                <w:szCs w:val="20"/>
              </w:rPr>
            </w:pPr>
          </w:p>
        </w:tc>
        <w:tc>
          <w:tcPr>
            <w:tcW w:w="295" w:type="pct"/>
            <w:gridSpan w:val="4"/>
            <w:vAlign w:val="center"/>
            <w:hideMark/>
          </w:tcPr>
          <w:p w14:paraId="2C1981C3" w14:textId="77777777" w:rsidR="00000000" w:rsidRDefault="00405D16">
            <w:pPr>
              <w:spacing w:after="100"/>
              <w:rPr>
                <w:rFonts w:eastAsia="Times New Roman"/>
                <w:sz w:val="20"/>
                <w:szCs w:val="20"/>
              </w:rPr>
            </w:pPr>
          </w:p>
        </w:tc>
        <w:tc>
          <w:tcPr>
            <w:tcW w:w="5" w:type="pct"/>
            <w:vAlign w:val="center"/>
            <w:hideMark/>
          </w:tcPr>
          <w:p w14:paraId="6993F260" w14:textId="77777777" w:rsidR="00000000" w:rsidRDefault="00405D16">
            <w:pPr>
              <w:spacing w:after="100"/>
              <w:rPr>
                <w:rFonts w:eastAsia="Times New Roman"/>
                <w:sz w:val="20"/>
                <w:szCs w:val="20"/>
              </w:rPr>
            </w:pPr>
          </w:p>
        </w:tc>
        <w:tc>
          <w:tcPr>
            <w:tcW w:w="5" w:type="pct"/>
            <w:vAlign w:val="center"/>
            <w:hideMark/>
          </w:tcPr>
          <w:p w14:paraId="6BC6333A" w14:textId="77777777" w:rsidR="00000000" w:rsidRDefault="00405D16">
            <w:pPr>
              <w:spacing w:after="100"/>
              <w:rPr>
                <w:rFonts w:eastAsia="Times New Roman"/>
                <w:sz w:val="20"/>
                <w:szCs w:val="20"/>
              </w:rPr>
            </w:pPr>
          </w:p>
        </w:tc>
        <w:tc>
          <w:tcPr>
            <w:tcW w:w="26" w:type="pct"/>
            <w:gridSpan w:val="2"/>
            <w:vAlign w:val="center"/>
            <w:hideMark/>
          </w:tcPr>
          <w:p w14:paraId="2DA8168E" w14:textId="77777777" w:rsidR="00000000" w:rsidRDefault="00405D16">
            <w:pPr>
              <w:spacing w:after="100"/>
              <w:rPr>
                <w:rFonts w:eastAsia="Times New Roman"/>
                <w:sz w:val="20"/>
                <w:szCs w:val="20"/>
              </w:rPr>
            </w:pPr>
          </w:p>
        </w:tc>
        <w:tc>
          <w:tcPr>
            <w:tcW w:w="5" w:type="pct"/>
            <w:vAlign w:val="center"/>
            <w:hideMark/>
          </w:tcPr>
          <w:p w14:paraId="24762160" w14:textId="77777777" w:rsidR="00000000" w:rsidRDefault="00405D16">
            <w:pPr>
              <w:spacing w:after="100"/>
              <w:rPr>
                <w:rFonts w:eastAsia="Times New Roman"/>
                <w:sz w:val="20"/>
                <w:szCs w:val="20"/>
              </w:rPr>
            </w:pPr>
          </w:p>
        </w:tc>
        <w:tc>
          <w:tcPr>
            <w:tcW w:w="50" w:type="pct"/>
            <w:gridSpan w:val="2"/>
            <w:vAlign w:val="center"/>
            <w:hideMark/>
          </w:tcPr>
          <w:p w14:paraId="62EB26E8" w14:textId="77777777" w:rsidR="00000000" w:rsidRDefault="00405D16">
            <w:pPr>
              <w:spacing w:after="100"/>
              <w:rPr>
                <w:rFonts w:eastAsia="Times New Roman"/>
                <w:sz w:val="20"/>
                <w:szCs w:val="20"/>
              </w:rPr>
            </w:pPr>
          </w:p>
        </w:tc>
        <w:tc>
          <w:tcPr>
            <w:tcW w:w="288" w:type="pct"/>
            <w:gridSpan w:val="2"/>
            <w:vAlign w:val="center"/>
            <w:hideMark/>
          </w:tcPr>
          <w:p w14:paraId="7240739C" w14:textId="77777777" w:rsidR="00000000" w:rsidRDefault="00405D16">
            <w:pPr>
              <w:spacing w:after="100"/>
              <w:rPr>
                <w:rFonts w:eastAsia="Times New Roman"/>
                <w:sz w:val="20"/>
                <w:szCs w:val="20"/>
              </w:rPr>
            </w:pPr>
          </w:p>
        </w:tc>
        <w:tc>
          <w:tcPr>
            <w:tcW w:w="5" w:type="pct"/>
            <w:vAlign w:val="center"/>
            <w:hideMark/>
          </w:tcPr>
          <w:p w14:paraId="2DA02601" w14:textId="77777777" w:rsidR="00000000" w:rsidRDefault="00405D16">
            <w:pPr>
              <w:spacing w:after="100"/>
              <w:rPr>
                <w:rFonts w:eastAsia="Times New Roman"/>
                <w:sz w:val="20"/>
                <w:szCs w:val="20"/>
              </w:rPr>
            </w:pPr>
          </w:p>
        </w:tc>
        <w:tc>
          <w:tcPr>
            <w:tcW w:w="5" w:type="pct"/>
            <w:vAlign w:val="center"/>
            <w:hideMark/>
          </w:tcPr>
          <w:p w14:paraId="73DEB16D" w14:textId="77777777" w:rsidR="00000000" w:rsidRDefault="00405D16">
            <w:pPr>
              <w:spacing w:after="100"/>
              <w:rPr>
                <w:rFonts w:eastAsia="Times New Roman"/>
                <w:sz w:val="20"/>
                <w:szCs w:val="20"/>
              </w:rPr>
            </w:pPr>
          </w:p>
        </w:tc>
        <w:tc>
          <w:tcPr>
            <w:tcW w:w="26" w:type="pct"/>
            <w:gridSpan w:val="2"/>
            <w:vAlign w:val="center"/>
            <w:hideMark/>
          </w:tcPr>
          <w:p w14:paraId="4149A439" w14:textId="77777777" w:rsidR="00000000" w:rsidRDefault="00405D16">
            <w:pPr>
              <w:spacing w:after="100"/>
              <w:rPr>
                <w:rFonts w:eastAsia="Times New Roman"/>
                <w:sz w:val="20"/>
                <w:szCs w:val="20"/>
              </w:rPr>
            </w:pPr>
          </w:p>
        </w:tc>
        <w:tc>
          <w:tcPr>
            <w:tcW w:w="5" w:type="pct"/>
            <w:vAlign w:val="center"/>
            <w:hideMark/>
          </w:tcPr>
          <w:p w14:paraId="412E01D6" w14:textId="77777777" w:rsidR="00000000" w:rsidRDefault="00405D16">
            <w:pPr>
              <w:spacing w:after="100"/>
              <w:rPr>
                <w:rFonts w:eastAsia="Times New Roman"/>
                <w:sz w:val="20"/>
                <w:szCs w:val="20"/>
              </w:rPr>
            </w:pPr>
          </w:p>
        </w:tc>
        <w:tc>
          <w:tcPr>
            <w:tcW w:w="50" w:type="pct"/>
            <w:gridSpan w:val="2"/>
            <w:vAlign w:val="center"/>
            <w:hideMark/>
          </w:tcPr>
          <w:p w14:paraId="1D09547F" w14:textId="77777777" w:rsidR="00000000" w:rsidRDefault="00405D16">
            <w:pPr>
              <w:spacing w:after="100"/>
              <w:rPr>
                <w:rFonts w:eastAsia="Times New Roman"/>
                <w:sz w:val="20"/>
                <w:szCs w:val="20"/>
              </w:rPr>
            </w:pPr>
          </w:p>
        </w:tc>
        <w:tc>
          <w:tcPr>
            <w:tcW w:w="288" w:type="pct"/>
            <w:gridSpan w:val="4"/>
            <w:vAlign w:val="center"/>
            <w:hideMark/>
          </w:tcPr>
          <w:p w14:paraId="09FB593E" w14:textId="77777777" w:rsidR="00000000" w:rsidRDefault="00405D16">
            <w:pPr>
              <w:spacing w:after="100"/>
              <w:rPr>
                <w:rFonts w:eastAsia="Times New Roman"/>
                <w:sz w:val="20"/>
                <w:szCs w:val="20"/>
              </w:rPr>
            </w:pPr>
          </w:p>
        </w:tc>
        <w:tc>
          <w:tcPr>
            <w:tcW w:w="5" w:type="pct"/>
            <w:gridSpan w:val="2"/>
            <w:vAlign w:val="center"/>
            <w:hideMark/>
          </w:tcPr>
          <w:p w14:paraId="0A9B4F7B" w14:textId="77777777" w:rsidR="00000000" w:rsidRDefault="00405D16">
            <w:pPr>
              <w:spacing w:after="100"/>
              <w:rPr>
                <w:rFonts w:eastAsia="Times New Roman"/>
                <w:sz w:val="20"/>
                <w:szCs w:val="20"/>
              </w:rPr>
            </w:pPr>
          </w:p>
        </w:tc>
        <w:tc>
          <w:tcPr>
            <w:tcW w:w="5" w:type="pct"/>
            <w:vAlign w:val="center"/>
            <w:hideMark/>
          </w:tcPr>
          <w:p w14:paraId="0344DEC1" w14:textId="77777777" w:rsidR="00000000" w:rsidRDefault="00405D16">
            <w:pPr>
              <w:spacing w:after="100"/>
              <w:rPr>
                <w:rFonts w:eastAsia="Times New Roman"/>
                <w:sz w:val="20"/>
                <w:szCs w:val="20"/>
              </w:rPr>
            </w:pPr>
          </w:p>
        </w:tc>
        <w:tc>
          <w:tcPr>
            <w:tcW w:w="26" w:type="pct"/>
            <w:vAlign w:val="center"/>
            <w:hideMark/>
          </w:tcPr>
          <w:p w14:paraId="04224704" w14:textId="77777777" w:rsidR="00000000" w:rsidRDefault="00405D16">
            <w:pPr>
              <w:spacing w:after="100"/>
              <w:rPr>
                <w:rFonts w:eastAsia="Times New Roman"/>
                <w:sz w:val="20"/>
                <w:szCs w:val="20"/>
              </w:rPr>
            </w:pPr>
          </w:p>
        </w:tc>
        <w:tc>
          <w:tcPr>
            <w:tcW w:w="5" w:type="pct"/>
            <w:vAlign w:val="center"/>
            <w:hideMark/>
          </w:tcPr>
          <w:p w14:paraId="320B2113" w14:textId="77777777" w:rsidR="00000000" w:rsidRDefault="00405D16">
            <w:pPr>
              <w:spacing w:after="100"/>
              <w:rPr>
                <w:rFonts w:eastAsia="Times New Roman"/>
                <w:sz w:val="20"/>
                <w:szCs w:val="20"/>
              </w:rPr>
            </w:pPr>
          </w:p>
        </w:tc>
        <w:tc>
          <w:tcPr>
            <w:tcW w:w="50" w:type="pct"/>
            <w:vAlign w:val="center"/>
            <w:hideMark/>
          </w:tcPr>
          <w:p w14:paraId="70009E59" w14:textId="77777777" w:rsidR="00000000" w:rsidRDefault="00405D16">
            <w:pPr>
              <w:spacing w:after="100"/>
              <w:rPr>
                <w:rFonts w:eastAsia="Times New Roman"/>
                <w:sz w:val="20"/>
                <w:szCs w:val="20"/>
              </w:rPr>
            </w:pPr>
          </w:p>
        </w:tc>
        <w:tc>
          <w:tcPr>
            <w:tcW w:w="273" w:type="pct"/>
            <w:gridSpan w:val="3"/>
            <w:vAlign w:val="center"/>
            <w:hideMark/>
          </w:tcPr>
          <w:p w14:paraId="62C79FB9" w14:textId="77777777" w:rsidR="00000000" w:rsidRDefault="00405D16">
            <w:pPr>
              <w:spacing w:after="100"/>
              <w:rPr>
                <w:rFonts w:eastAsia="Times New Roman"/>
                <w:sz w:val="20"/>
                <w:szCs w:val="20"/>
              </w:rPr>
            </w:pPr>
          </w:p>
        </w:tc>
        <w:tc>
          <w:tcPr>
            <w:tcW w:w="5" w:type="pct"/>
            <w:vAlign w:val="center"/>
            <w:hideMark/>
          </w:tcPr>
          <w:p w14:paraId="1F476748" w14:textId="77777777" w:rsidR="00000000" w:rsidRDefault="00405D16">
            <w:pPr>
              <w:spacing w:after="100"/>
              <w:rPr>
                <w:rFonts w:eastAsia="Times New Roman"/>
                <w:sz w:val="20"/>
                <w:szCs w:val="20"/>
              </w:rPr>
            </w:pPr>
          </w:p>
        </w:tc>
        <w:tc>
          <w:tcPr>
            <w:tcW w:w="5" w:type="pct"/>
            <w:vAlign w:val="center"/>
            <w:hideMark/>
          </w:tcPr>
          <w:p w14:paraId="1151FE4A" w14:textId="77777777" w:rsidR="00000000" w:rsidRDefault="00405D16">
            <w:pPr>
              <w:spacing w:after="100"/>
              <w:rPr>
                <w:rFonts w:eastAsia="Times New Roman"/>
                <w:sz w:val="20"/>
                <w:szCs w:val="20"/>
              </w:rPr>
            </w:pPr>
          </w:p>
        </w:tc>
        <w:tc>
          <w:tcPr>
            <w:tcW w:w="26" w:type="pct"/>
            <w:gridSpan w:val="2"/>
            <w:vAlign w:val="center"/>
            <w:hideMark/>
          </w:tcPr>
          <w:p w14:paraId="11951B27" w14:textId="77777777" w:rsidR="00000000" w:rsidRDefault="00405D16">
            <w:pPr>
              <w:spacing w:after="100"/>
              <w:rPr>
                <w:rFonts w:eastAsia="Times New Roman"/>
                <w:sz w:val="20"/>
                <w:szCs w:val="20"/>
              </w:rPr>
            </w:pPr>
          </w:p>
        </w:tc>
        <w:tc>
          <w:tcPr>
            <w:tcW w:w="5" w:type="pct"/>
            <w:vAlign w:val="center"/>
            <w:hideMark/>
          </w:tcPr>
          <w:p w14:paraId="203F5879" w14:textId="77777777" w:rsidR="00000000" w:rsidRDefault="00405D16">
            <w:pPr>
              <w:spacing w:after="100"/>
              <w:rPr>
                <w:rFonts w:eastAsia="Times New Roman"/>
                <w:sz w:val="20"/>
                <w:szCs w:val="20"/>
              </w:rPr>
            </w:pPr>
          </w:p>
        </w:tc>
        <w:tc>
          <w:tcPr>
            <w:tcW w:w="50" w:type="pct"/>
            <w:gridSpan w:val="2"/>
            <w:vAlign w:val="center"/>
            <w:hideMark/>
          </w:tcPr>
          <w:p w14:paraId="3931E15D" w14:textId="77777777" w:rsidR="00000000" w:rsidRDefault="00405D16">
            <w:pPr>
              <w:spacing w:after="100"/>
              <w:rPr>
                <w:rFonts w:eastAsia="Times New Roman"/>
                <w:sz w:val="20"/>
                <w:szCs w:val="20"/>
              </w:rPr>
            </w:pPr>
          </w:p>
        </w:tc>
        <w:tc>
          <w:tcPr>
            <w:tcW w:w="273" w:type="pct"/>
            <w:gridSpan w:val="3"/>
            <w:vAlign w:val="center"/>
            <w:hideMark/>
          </w:tcPr>
          <w:p w14:paraId="499F8A98" w14:textId="77777777" w:rsidR="00000000" w:rsidRDefault="00405D16">
            <w:pPr>
              <w:spacing w:after="100"/>
              <w:rPr>
                <w:rFonts w:eastAsia="Times New Roman"/>
                <w:sz w:val="20"/>
                <w:szCs w:val="20"/>
              </w:rPr>
            </w:pPr>
          </w:p>
        </w:tc>
        <w:tc>
          <w:tcPr>
            <w:tcW w:w="5" w:type="pct"/>
            <w:vAlign w:val="center"/>
            <w:hideMark/>
          </w:tcPr>
          <w:p w14:paraId="0894D2F2" w14:textId="77777777" w:rsidR="00000000" w:rsidRDefault="00405D16">
            <w:pPr>
              <w:spacing w:after="100"/>
              <w:rPr>
                <w:rFonts w:eastAsia="Times New Roman"/>
                <w:sz w:val="20"/>
                <w:szCs w:val="20"/>
              </w:rPr>
            </w:pPr>
          </w:p>
        </w:tc>
        <w:tc>
          <w:tcPr>
            <w:tcW w:w="5" w:type="pct"/>
            <w:vAlign w:val="center"/>
            <w:hideMark/>
          </w:tcPr>
          <w:p w14:paraId="506D4CB4" w14:textId="77777777" w:rsidR="00000000" w:rsidRDefault="00405D16">
            <w:pPr>
              <w:spacing w:after="100"/>
              <w:rPr>
                <w:rFonts w:eastAsia="Times New Roman"/>
                <w:sz w:val="20"/>
                <w:szCs w:val="20"/>
              </w:rPr>
            </w:pPr>
          </w:p>
        </w:tc>
        <w:tc>
          <w:tcPr>
            <w:tcW w:w="26" w:type="pct"/>
            <w:vAlign w:val="center"/>
            <w:hideMark/>
          </w:tcPr>
          <w:p w14:paraId="0C24777A" w14:textId="77777777" w:rsidR="00000000" w:rsidRDefault="00405D16">
            <w:pPr>
              <w:spacing w:after="100"/>
              <w:rPr>
                <w:rFonts w:eastAsia="Times New Roman"/>
                <w:sz w:val="20"/>
                <w:szCs w:val="20"/>
              </w:rPr>
            </w:pPr>
          </w:p>
        </w:tc>
        <w:tc>
          <w:tcPr>
            <w:tcW w:w="5" w:type="pct"/>
            <w:vAlign w:val="center"/>
            <w:hideMark/>
          </w:tcPr>
          <w:p w14:paraId="6E082DE1" w14:textId="77777777" w:rsidR="00000000" w:rsidRDefault="00405D16">
            <w:pPr>
              <w:spacing w:after="100"/>
              <w:rPr>
                <w:rFonts w:eastAsia="Times New Roman"/>
                <w:sz w:val="20"/>
                <w:szCs w:val="20"/>
              </w:rPr>
            </w:pPr>
          </w:p>
        </w:tc>
        <w:tc>
          <w:tcPr>
            <w:tcW w:w="50" w:type="pct"/>
            <w:vAlign w:val="center"/>
            <w:hideMark/>
          </w:tcPr>
          <w:p w14:paraId="4AD4F12C" w14:textId="77777777" w:rsidR="00000000" w:rsidRDefault="00405D16">
            <w:pPr>
              <w:spacing w:after="100"/>
              <w:rPr>
                <w:rFonts w:eastAsia="Times New Roman"/>
                <w:sz w:val="20"/>
                <w:szCs w:val="20"/>
              </w:rPr>
            </w:pPr>
          </w:p>
        </w:tc>
        <w:tc>
          <w:tcPr>
            <w:tcW w:w="273" w:type="pct"/>
            <w:gridSpan w:val="4"/>
            <w:vAlign w:val="center"/>
            <w:hideMark/>
          </w:tcPr>
          <w:p w14:paraId="6634F621" w14:textId="77777777" w:rsidR="00000000" w:rsidRDefault="00405D16">
            <w:pPr>
              <w:spacing w:after="100"/>
              <w:rPr>
                <w:rFonts w:eastAsia="Times New Roman"/>
                <w:sz w:val="20"/>
                <w:szCs w:val="20"/>
              </w:rPr>
            </w:pPr>
          </w:p>
        </w:tc>
        <w:tc>
          <w:tcPr>
            <w:tcW w:w="5" w:type="pct"/>
            <w:gridSpan w:val="2"/>
            <w:vAlign w:val="center"/>
            <w:hideMark/>
          </w:tcPr>
          <w:p w14:paraId="18D34554" w14:textId="77777777" w:rsidR="00000000" w:rsidRDefault="00405D16">
            <w:pPr>
              <w:spacing w:after="100"/>
              <w:rPr>
                <w:rFonts w:eastAsia="Times New Roman"/>
                <w:sz w:val="20"/>
                <w:szCs w:val="20"/>
              </w:rPr>
            </w:pPr>
          </w:p>
        </w:tc>
        <w:tc>
          <w:tcPr>
            <w:tcW w:w="5" w:type="pct"/>
            <w:vAlign w:val="center"/>
            <w:hideMark/>
          </w:tcPr>
          <w:p w14:paraId="7C176C39" w14:textId="77777777" w:rsidR="00000000" w:rsidRDefault="00405D16">
            <w:pPr>
              <w:spacing w:after="100"/>
              <w:rPr>
                <w:rFonts w:eastAsia="Times New Roman"/>
                <w:sz w:val="20"/>
                <w:szCs w:val="20"/>
              </w:rPr>
            </w:pPr>
          </w:p>
        </w:tc>
        <w:tc>
          <w:tcPr>
            <w:tcW w:w="26" w:type="pct"/>
            <w:vAlign w:val="center"/>
            <w:hideMark/>
          </w:tcPr>
          <w:p w14:paraId="299FB634" w14:textId="77777777" w:rsidR="00000000" w:rsidRDefault="00405D16">
            <w:pPr>
              <w:spacing w:after="100"/>
              <w:rPr>
                <w:rFonts w:eastAsia="Times New Roman"/>
                <w:sz w:val="20"/>
                <w:szCs w:val="20"/>
              </w:rPr>
            </w:pPr>
          </w:p>
        </w:tc>
        <w:tc>
          <w:tcPr>
            <w:tcW w:w="5" w:type="pct"/>
            <w:vAlign w:val="center"/>
            <w:hideMark/>
          </w:tcPr>
          <w:p w14:paraId="6F1DA727" w14:textId="77777777" w:rsidR="00000000" w:rsidRDefault="00405D16">
            <w:pPr>
              <w:spacing w:after="100"/>
              <w:rPr>
                <w:rFonts w:eastAsia="Times New Roman"/>
                <w:sz w:val="20"/>
                <w:szCs w:val="20"/>
              </w:rPr>
            </w:pPr>
          </w:p>
        </w:tc>
        <w:tc>
          <w:tcPr>
            <w:tcW w:w="50" w:type="pct"/>
            <w:gridSpan w:val="2"/>
            <w:vAlign w:val="center"/>
            <w:hideMark/>
          </w:tcPr>
          <w:p w14:paraId="5FA28132" w14:textId="77777777" w:rsidR="00000000" w:rsidRDefault="00405D16">
            <w:pPr>
              <w:spacing w:after="100"/>
              <w:rPr>
                <w:rFonts w:eastAsia="Times New Roman"/>
                <w:sz w:val="20"/>
                <w:szCs w:val="20"/>
              </w:rPr>
            </w:pPr>
          </w:p>
        </w:tc>
        <w:tc>
          <w:tcPr>
            <w:tcW w:w="288" w:type="pct"/>
            <w:gridSpan w:val="3"/>
            <w:vAlign w:val="center"/>
            <w:hideMark/>
          </w:tcPr>
          <w:p w14:paraId="78434915" w14:textId="77777777" w:rsidR="00000000" w:rsidRDefault="00405D16">
            <w:pPr>
              <w:spacing w:after="100"/>
              <w:rPr>
                <w:rFonts w:eastAsia="Times New Roman"/>
                <w:sz w:val="20"/>
                <w:szCs w:val="20"/>
              </w:rPr>
            </w:pPr>
          </w:p>
        </w:tc>
        <w:tc>
          <w:tcPr>
            <w:tcW w:w="5" w:type="pct"/>
            <w:vAlign w:val="center"/>
            <w:hideMark/>
          </w:tcPr>
          <w:p w14:paraId="48579660" w14:textId="77777777" w:rsidR="00000000" w:rsidRDefault="00405D16">
            <w:pPr>
              <w:spacing w:after="100"/>
              <w:rPr>
                <w:rFonts w:eastAsia="Times New Roman"/>
                <w:sz w:val="20"/>
                <w:szCs w:val="20"/>
              </w:rPr>
            </w:pPr>
          </w:p>
        </w:tc>
        <w:tc>
          <w:tcPr>
            <w:tcW w:w="5" w:type="pct"/>
            <w:vAlign w:val="center"/>
            <w:hideMark/>
          </w:tcPr>
          <w:p w14:paraId="6330C281" w14:textId="77777777" w:rsidR="00000000" w:rsidRDefault="00405D16">
            <w:pPr>
              <w:spacing w:after="100"/>
              <w:rPr>
                <w:rFonts w:eastAsia="Times New Roman"/>
                <w:sz w:val="20"/>
                <w:szCs w:val="20"/>
              </w:rPr>
            </w:pPr>
          </w:p>
        </w:tc>
        <w:tc>
          <w:tcPr>
            <w:tcW w:w="26" w:type="pct"/>
            <w:gridSpan w:val="2"/>
            <w:vAlign w:val="center"/>
            <w:hideMark/>
          </w:tcPr>
          <w:p w14:paraId="60A2C2B3" w14:textId="77777777" w:rsidR="00000000" w:rsidRDefault="00405D16">
            <w:pPr>
              <w:spacing w:after="100"/>
              <w:rPr>
                <w:rFonts w:eastAsia="Times New Roman"/>
                <w:sz w:val="20"/>
                <w:szCs w:val="20"/>
              </w:rPr>
            </w:pPr>
          </w:p>
        </w:tc>
        <w:tc>
          <w:tcPr>
            <w:tcW w:w="5" w:type="pct"/>
            <w:vAlign w:val="center"/>
            <w:hideMark/>
          </w:tcPr>
          <w:p w14:paraId="5F14462F" w14:textId="77777777" w:rsidR="00000000" w:rsidRDefault="00405D16">
            <w:pPr>
              <w:spacing w:after="100"/>
              <w:rPr>
                <w:rFonts w:eastAsia="Times New Roman"/>
                <w:sz w:val="20"/>
                <w:szCs w:val="20"/>
              </w:rPr>
            </w:pPr>
          </w:p>
        </w:tc>
        <w:tc>
          <w:tcPr>
            <w:tcW w:w="50" w:type="pct"/>
            <w:gridSpan w:val="2"/>
            <w:vAlign w:val="center"/>
            <w:hideMark/>
          </w:tcPr>
          <w:p w14:paraId="27D56E44" w14:textId="77777777" w:rsidR="00000000" w:rsidRDefault="00405D16">
            <w:pPr>
              <w:spacing w:after="100"/>
              <w:rPr>
                <w:rFonts w:eastAsia="Times New Roman"/>
                <w:sz w:val="20"/>
                <w:szCs w:val="20"/>
              </w:rPr>
            </w:pPr>
          </w:p>
        </w:tc>
        <w:tc>
          <w:tcPr>
            <w:tcW w:w="317" w:type="pct"/>
            <w:gridSpan w:val="4"/>
            <w:vAlign w:val="center"/>
            <w:hideMark/>
          </w:tcPr>
          <w:p w14:paraId="41F3DD7A" w14:textId="77777777" w:rsidR="00000000" w:rsidRDefault="00405D16">
            <w:pPr>
              <w:spacing w:after="100"/>
              <w:rPr>
                <w:rFonts w:eastAsia="Times New Roman"/>
                <w:sz w:val="20"/>
                <w:szCs w:val="20"/>
              </w:rPr>
            </w:pPr>
          </w:p>
        </w:tc>
        <w:tc>
          <w:tcPr>
            <w:tcW w:w="5" w:type="pct"/>
            <w:vAlign w:val="center"/>
            <w:hideMark/>
          </w:tcPr>
          <w:p w14:paraId="438462B1" w14:textId="77777777" w:rsidR="00000000" w:rsidRDefault="00405D16">
            <w:pPr>
              <w:spacing w:after="100"/>
              <w:rPr>
                <w:rFonts w:eastAsia="Times New Roman"/>
                <w:sz w:val="20"/>
                <w:szCs w:val="20"/>
              </w:rPr>
            </w:pPr>
          </w:p>
        </w:tc>
        <w:tc>
          <w:tcPr>
            <w:tcW w:w="5" w:type="pct"/>
            <w:vAlign w:val="center"/>
            <w:hideMark/>
          </w:tcPr>
          <w:p w14:paraId="48CB042E" w14:textId="77777777" w:rsidR="00000000" w:rsidRDefault="00405D16">
            <w:pPr>
              <w:spacing w:after="100"/>
              <w:rPr>
                <w:rFonts w:eastAsia="Times New Roman"/>
                <w:sz w:val="20"/>
                <w:szCs w:val="20"/>
              </w:rPr>
            </w:pPr>
          </w:p>
        </w:tc>
        <w:tc>
          <w:tcPr>
            <w:tcW w:w="26" w:type="pct"/>
            <w:vAlign w:val="center"/>
            <w:hideMark/>
          </w:tcPr>
          <w:p w14:paraId="2F6C376C" w14:textId="77777777" w:rsidR="00000000" w:rsidRDefault="00405D16">
            <w:pPr>
              <w:spacing w:after="100"/>
              <w:rPr>
                <w:rFonts w:eastAsia="Times New Roman"/>
                <w:sz w:val="20"/>
                <w:szCs w:val="20"/>
              </w:rPr>
            </w:pPr>
          </w:p>
        </w:tc>
        <w:tc>
          <w:tcPr>
            <w:tcW w:w="5" w:type="pct"/>
            <w:vAlign w:val="center"/>
            <w:hideMark/>
          </w:tcPr>
          <w:p w14:paraId="6596F47D" w14:textId="77777777" w:rsidR="00000000" w:rsidRDefault="00405D16">
            <w:pPr>
              <w:spacing w:after="100"/>
              <w:rPr>
                <w:rFonts w:eastAsia="Times New Roman"/>
                <w:sz w:val="20"/>
                <w:szCs w:val="20"/>
              </w:rPr>
            </w:pPr>
          </w:p>
        </w:tc>
        <w:tc>
          <w:tcPr>
            <w:tcW w:w="50" w:type="pct"/>
            <w:vAlign w:val="center"/>
            <w:hideMark/>
          </w:tcPr>
          <w:p w14:paraId="6B2E3979" w14:textId="77777777" w:rsidR="00000000" w:rsidRDefault="00405D16">
            <w:pPr>
              <w:spacing w:after="100"/>
              <w:rPr>
                <w:rFonts w:eastAsia="Times New Roman"/>
                <w:sz w:val="20"/>
                <w:szCs w:val="20"/>
              </w:rPr>
            </w:pPr>
          </w:p>
        </w:tc>
        <w:tc>
          <w:tcPr>
            <w:tcW w:w="347" w:type="pct"/>
            <w:gridSpan w:val="5"/>
            <w:vAlign w:val="center"/>
            <w:hideMark/>
          </w:tcPr>
          <w:p w14:paraId="675FBD88" w14:textId="77777777" w:rsidR="00000000" w:rsidRDefault="00405D16">
            <w:pPr>
              <w:spacing w:after="100"/>
              <w:rPr>
                <w:rFonts w:eastAsia="Times New Roman"/>
                <w:sz w:val="20"/>
                <w:szCs w:val="20"/>
              </w:rPr>
            </w:pPr>
          </w:p>
        </w:tc>
        <w:tc>
          <w:tcPr>
            <w:tcW w:w="5" w:type="pct"/>
            <w:vAlign w:val="center"/>
            <w:hideMark/>
          </w:tcPr>
          <w:p w14:paraId="5EF6FDDF" w14:textId="77777777" w:rsidR="00000000" w:rsidRDefault="00405D16">
            <w:pPr>
              <w:spacing w:after="100"/>
              <w:rPr>
                <w:rFonts w:eastAsia="Times New Roman"/>
                <w:sz w:val="20"/>
                <w:szCs w:val="20"/>
              </w:rPr>
            </w:pPr>
          </w:p>
        </w:tc>
        <w:tc>
          <w:tcPr>
            <w:tcW w:w="5" w:type="pct"/>
            <w:gridSpan w:val="2"/>
            <w:vAlign w:val="center"/>
            <w:hideMark/>
          </w:tcPr>
          <w:p w14:paraId="44762A54" w14:textId="77777777" w:rsidR="00000000" w:rsidRDefault="00405D16">
            <w:pPr>
              <w:spacing w:after="100"/>
              <w:rPr>
                <w:rFonts w:eastAsia="Times New Roman"/>
                <w:sz w:val="20"/>
                <w:szCs w:val="20"/>
              </w:rPr>
            </w:pPr>
          </w:p>
        </w:tc>
        <w:tc>
          <w:tcPr>
            <w:tcW w:w="26" w:type="pct"/>
            <w:vAlign w:val="center"/>
            <w:hideMark/>
          </w:tcPr>
          <w:p w14:paraId="0442BBF3" w14:textId="77777777" w:rsidR="00000000" w:rsidRDefault="00405D16">
            <w:pPr>
              <w:spacing w:after="100"/>
              <w:rPr>
                <w:rFonts w:eastAsia="Times New Roman"/>
                <w:sz w:val="20"/>
                <w:szCs w:val="20"/>
              </w:rPr>
            </w:pPr>
          </w:p>
        </w:tc>
        <w:tc>
          <w:tcPr>
            <w:tcW w:w="5" w:type="pct"/>
            <w:vAlign w:val="center"/>
            <w:hideMark/>
          </w:tcPr>
          <w:p w14:paraId="0F310E2E" w14:textId="77777777" w:rsidR="00000000" w:rsidRDefault="00405D16">
            <w:pPr>
              <w:spacing w:after="100"/>
              <w:rPr>
                <w:rFonts w:eastAsia="Times New Roman"/>
                <w:sz w:val="20"/>
                <w:szCs w:val="20"/>
              </w:rPr>
            </w:pPr>
          </w:p>
        </w:tc>
        <w:tc>
          <w:tcPr>
            <w:tcW w:w="50" w:type="pct"/>
            <w:gridSpan w:val="2"/>
            <w:vAlign w:val="center"/>
            <w:hideMark/>
          </w:tcPr>
          <w:p w14:paraId="67F9B753" w14:textId="77777777" w:rsidR="00000000" w:rsidRDefault="00405D16">
            <w:pPr>
              <w:spacing w:after="100"/>
              <w:rPr>
                <w:rFonts w:eastAsia="Times New Roman"/>
                <w:sz w:val="20"/>
                <w:szCs w:val="20"/>
              </w:rPr>
            </w:pPr>
          </w:p>
        </w:tc>
        <w:tc>
          <w:tcPr>
            <w:tcW w:w="296" w:type="pct"/>
            <w:gridSpan w:val="3"/>
            <w:vAlign w:val="center"/>
            <w:hideMark/>
          </w:tcPr>
          <w:p w14:paraId="71FAE954" w14:textId="77777777" w:rsidR="00000000" w:rsidRDefault="00405D16">
            <w:pPr>
              <w:spacing w:after="100"/>
              <w:rPr>
                <w:rFonts w:eastAsia="Times New Roman"/>
                <w:sz w:val="20"/>
                <w:szCs w:val="20"/>
              </w:rPr>
            </w:pPr>
          </w:p>
        </w:tc>
        <w:tc>
          <w:tcPr>
            <w:tcW w:w="5" w:type="pct"/>
            <w:vAlign w:val="center"/>
            <w:hideMark/>
          </w:tcPr>
          <w:p w14:paraId="41D63739" w14:textId="77777777" w:rsidR="00000000" w:rsidRDefault="00405D16">
            <w:pPr>
              <w:spacing w:after="100"/>
              <w:rPr>
                <w:rFonts w:eastAsia="Times New Roman"/>
                <w:sz w:val="20"/>
                <w:szCs w:val="20"/>
              </w:rPr>
            </w:pPr>
          </w:p>
        </w:tc>
      </w:tr>
      <w:tr w:rsidR="00000000" w14:paraId="2EAEE09E" w14:textId="77777777">
        <w:trPr>
          <w:gridAfter w:val="24"/>
          <w:divId w:val="1476604340"/>
        </w:trPr>
        <w:tc>
          <w:tcPr>
            <w:tcW w:w="0" w:type="auto"/>
            <w:gridSpan w:val="4"/>
            <w:tcMar>
              <w:top w:w="0" w:type="dxa"/>
              <w:left w:w="20" w:type="dxa"/>
              <w:bottom w:w="0" w:type="dxa"/>
              <w:right w:w="20" w:type="dxa"/>
            </w:tcMar>
            <w:vAlign w:val="center"/>
            <w:hideMark/>
          </w:tcPr>
          <w:p w14:paraId="7EEA56C5"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F0FC3EA" w14:textId="77777777" w:rsidR="00000000" w:rsidRDefault="00405D16">
            <w:pPr>
              <w:spacing w:after="100"/>
              <w:rPr>
                <w:rFonts w:eastAsia="Times New Roman"/>
                <w:sz w:val="20"/>
                <w:szCs w:val="20"/>
              </w:rPr>
            </w:pPr>
          </w:p>
        </w:tc>
        <w:tc>
          <w:tcPr>
            <w:tcW w:w="0" w:type="auto"/>
            <w:gridSpan w:val="94"/>
            <w:tcMar>
              <w:top w:w="30" w:type="dxa"/>
              <w:left w:w="20" w:type="dxa"/>
              <w:bottom w:w="30" w:type="dxa"/>
              <w:right w:w="20" w:type="dxa"/>
            </w:tcMar>
            <w:vAlign w:val="bottom"/>
            <w:hideMark/>
          </w:tcPr>
          <w:p w14:paraId="1ADBEE0F" w14:textId="77777777" w:rsidR="00000000" w:rsidRDefault="00405D16">
            <w:pPr>
              <w:spacing w:after="100"/>
              <w:jc w:val="center"/>
              <w:rPr>
                <w:rFonts w:eastAsia="Times New Roman"/>
              </w:rPr>
            </w:pPr>
            <w:r>
              <w:rPr>
                <w:rFonts w:eastAsia="Times New Roman"/>
                <w:b/>
                <w:bCs/>
                <w:color w:val="000000"/>
                <w:sz w:val="15"/>
                <w:szCs w:val="15"/>
              </w:rPr>
              <w:t>September 30, 2021</w:t>
            </w:r>
          </w:p>
        </w:tc>
        <w:tc>
          <w:tcPr>
            <w:tcW w:w="0" w:type="auto"/>
            <w:vAlign w:val="center"/>
            <w:hideMark/>
          </w:tcPr>
          <w:p w14:paraId="02486748" w14:textId="77777777" w:rsidR="00000000" w:rsidRDefault="00405D16">
            <w:pPr>
              <w:spacing w:after="100"/>
              <w:rPr>
                <w:rFonts w:eastAsia="Times New Roman"/>
                <w:sz w:val="20"/>
                <w:szCs w:val="20"/>
              </w:rPr>
            </w:pPr>
          </w:p>
        </w:tc>
      </w:tr>
      <w:tr w:rsidR="00000000" w14:paraId="4EBBA923" w14:textId="77777777">
        <w:trPr>
          <w:gridAfter w:val="24"/>
          <w:divId w:val="1476604340"/>
        </w:trPr>
        <w:tc>
          <w:tcPr>
            <w:tcW w:w="0" w:type="auto"/>
            <w:gridSpan w:val="4"/>
            <w:tcMar>
              <w:top w:w="0" w:type="dxa"/>
              <w:left w:w="20" w:type="dxa"/>
              <w:bottom w:w="0" w:type="dxa"/>
              <w:right w:w="20" w:type="dxa"/>
            </w:tcMar>
            <w:vAlign w:val="center"/>
            <w:hideMark/>
          </w:tcPr>
          <w:p w14:paraId="05EBCE5E" w14:textId="77777777" w:rsidR="00000000" w:rsidRDefault="00405D1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258A2C5" w14:textId="77777777" w:rsidR="00000000" w:rsidRDefault="00405D16">
            <w:pPr>
              <w:spacing w:after="100"/>
              <w:rPr>
                <w:rFonts w:eastAsia="Times New Roman"/>
                <w:sz w:val="20"/>
                <w:szCs w:val="20"/>
              </w:rPr>
            </w:pPr>
          </w:p>
        </w:tc>
        <w:tc>
          <w:tcPr>
            <w:tcW w:w="0" w:type="auto"/>
            <w:gridSpan w:val="64"/>
            <w:tcBorders>
              <w:top w:val="single" w:sz="8" w:space="0" w:color="000000"/>
            </w:tcBorders>
            <w:tcMar>
              <w:top w:w="30" w:type="dxa"/>
              <w:left w:w="20" w:type="dxa"/>
              <w:bottom w:w="30" w:type="dxa"/>
              <w:right w:w="20" w:type="dxa"/>
            </w:tcMar>
            <w:vAlign w:val="bottom"/>
            <w:hideMark/>
          </w:tcPr>
          <w:p w14:paraId="5D69495D" w14:textId="77777777" w:rsidR="00000000" w:rsidRDefault="00405D16">
            <w:pPr>
              <w:spacing w:after="100"/>
              <w:jc w:val="center"/>
              <w:rPr>
                <w:rFonts w:eastAsia="Times New Roman"/>
              </w:rPr>
            </w:pPr>
            <w:r>
              <w:rPr>
                <w:rFonts w:eastAsia="Times New Roman"/>
                <w:b/>
                <w:bCs/>
                <w:color w:val="000000"/>
                <w:sz w:val="15"/>
                <w:szCs w:val="15"/>
              </w:rPr>
              <w:t>Term Loans by Vintage Year</w:t>
            </w:r>
          </w:p>
        </w:tc>
        <w:tc>
          <w:tcPr>
            <w:tcW w:w="0" w:type="auto"/>
            <w:gridSpan w:val="4"/>
            <w:tcBorders>
              <w:top w:val="single" w:sz="8" w:space="0" w:color="000000"/>
            </w:tcBorders>
            <w:tcMar>
              <w:top w:w="0" w:type="dxa"/>
              <w:left w:w="20" w:type="dxa"/>
              <w:bottom w:w="0" w:type="dxa"/>
              <w:right w:w="20" w:type="dxa"/>
            </w:tcMar>
            <w:vAlign w:val="center"/>
            <w:hideMark/>
          </w:tcPr>
          <w:p w14:paraId="2B3060E9" w14:textId="77777777" w:rsidR="00000000" w:rsidRDefault="00405D16">
            <w:pPr>
              <w:spacing w:after="100"/>
              <w:jc w:val="center"/>
              <w:rPr>
                <w:rFonts w:eastAsia="Times New Roman"/>
              </w:rPr>
            </w:pPr>
          </w:p>
        </w:tc>
        <w:tc>
          <w:tcPr>
            <w:tcW w:w="0" w:type="auto"/>
            <w:gridSpan w:val="7"/>
            <w:tcBorders>
              <w:top w:val="single" w:sz="8" w:space="0" w:color="000000"/>
            </w:tcBorders>
            <w:tcMar>
              <w:top w:w="0" w:type="dxa"/>
              <w:left w:w="20" w:type="dxa"/>
              <w:bottom w:w="0" w:type="dxa"/>
              <w:right w:w="20" w:type="dxa"/>
            </w:tcMar>
            <w:vAlign w:val="center"/>
            <w:hideMark/>
          </w:tcPr>
          <w:p w14:paraId="7A02823D"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D4B55D2" w14:textId="77777777" w:rsidR="00000000" w:rsidRDefault="00405D16">
            <w:pPr>
              <w:spacing w:after="100"/>
              <w:rPr>
                <w:rFonts w:eastAsia="Times New Roman"/>
                <w:sz w:val="20"/>
                <w:szCs w:val="20"/>
              </w:rPr>
            </w:pPr>
          </w:p>
        </w:tc>
        <w:tc>
          <w:tcPr>
            <w:tcW w:w="0" w:type="auto"/>
            <w:gridSpan w:val="7"/>
            <w:tcBorders>
              <w:top w:val="single" w:sz="8" w:space="0" w:color="000000"/>
            </w:tcBorders>
            <w:tcMar>
              <w:top w:w="0" w:type="dxa"/>
              <w:left w:w="20" w:type="dxa"/>
              <w:bottom w:w="0" w:type="dxa"/>
              <w:right w:w="20" w:type="dxa"/>
            </w:tcMar>
            <w:vAlign w:val="center"/>
            <w:hideMark/>
          </w:tcPr>
          <w:p w14:paraId="5E283646" w14:textId="77777777" w:rsidR="00000000" w:rsidRDefault="00405D16">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14:paraId="47B7053A" w14:textId="77777777" w:rsidR="00000000" w:rsidRDefault="00405D16">
            <w:pPr>
              <w:spacing w:after="100"/>
              <w:rPr>
                <w:rFonts w:eastAsia="Times New Roman"/>
                <w:sz w:val="20"/>
                <w:szCs w:val="20"/>
              </w:rPr>
            </w:pPr>
          </w:p>
        </w:tc>
        <w:tc>
          <w:tcPr>
            <w:tcW w:w="0" w:type="auto"/>
            <w:gridSpan w:val="5"/>
            <w:tcBorders>
              <w:top w:val="single" w:sz="8" w:space="0" w:color="000000"/>
            </w:tcBorders>
            <w:tcMar>
              <w:top w:w="0" w:type="dxa"/>
              <w:left w:w="20" w:type="dxa"/>
              <w:bottom w:w="0" w:type="dxa"/>
              <w:right w:w="20" w:type="dxa"/>
            </w:tcMar>
            <w:vAlign w:val="center"/>
            <w:hideMark/>
          </w:tcPr>
          <w:p w14:paraId="53506E31" w14:textId="77777777" w:rsidR="00000000" w:rsidRDefault="00405D16">
            <w:pPr>
              <w:spacing w:after="100"/>
              <w:rPr>
                <w:rFonts w:eastAsia="Times New Roman"/>
                <w:sz w:val="20"/>
                <w:szCs w:val="20"/>
              </w:rPr>
            </w:pPr>
          </w:p>
        </w:tc>
        <w:tc>
          <w:tcPr>
            <w:tcW w:w="0" w:type="auto"/>
            <w:vAlign w:val="center"/>
            <w:hideMark/>
          </w:tcPr>
          <w:p w14:paraId="4FA02BC3" w14:textId="77777777" w:rsidR="00000000" w:rsidRDefault="00405D16">
            <w:pPr>
              <w:spacing w:after="100"/>
              <w:rPr>
                <w:rFonts w:eastAsia="Times New Roman"/>
                <w:sz w:val="20"/>
                <w:szCs w:val="20"/>
              </w:rPr>
            </w:pPr>
          </w:p>
        </w:tc>
      </w:tr>
      <w:tr w:rsidR="00000000" w14:paraId="7C60D429" w14:textId="77777777">
        <w:trPr>
          <w:gridAfter w:val="24"/>
          <w:divId w:val="1476604340"/>
        </w:trPr>
        <w:tc>
          <w:tcPr>
            <w:tcW w:w="0" w:type="auto"/>
            <w:gridSpan w:val="4"/>
            <w:tcMar>
              <w:top w:w="30" w:type="dxa"/>
              <w:left w:w="20" w:type="dxa"/>
              <w:bottom w:w="30" w:type="dxa"/>
              <w:right w:w="20" w:type="dxa"/>
            </w:tcMar>
            <w:vAlign w:val="bottom"/>
            <w:hideMark/>
          </w:tcPr>
          <w:p w14:paraId="105480A1" w14:textId="77777777" w:rsidR="00000000" w:rsidRDefault="00405D16">
            <w:pPr>
              <w:spacing w:after="100"/>
              <w:rPr>
                <w:rFonts w:eastAsia="Times New Roman"/>
              </w:rPr>
            </w:pPr>
            <w:r>
              <w:rPr>
                <w:rFonts w:eastAsia="Times New Roman"/>
                <w:i/>
                <w:iCs/>
                <w:color w:val="000000"/>
                <w:sz w:val="15"/>
                <w:szCs w:val="15"/>
              </w:rPr>
              <w:t>(Dollars in millions)</w:t>
            </w:r>
          </w:p>
        </w:tc>
        <w:tc>
          <w:tcPr>
            <w:tcW w:w="0" w:type="auto"/>
            <w:gridSpan w:val="3"/>
            <w:tcMar>
              <w:top w:w="0" w:type="dxa"/>
              <w:left w:w="20" w:type="dxa"/>
              <w:bottom w:w="0" w:type="dxa"/>
              <w:right w:w="20" w:type="dxa"/>
            </w:tcMar>
            <w:vAlign w:val="center"/>
            <w:hideMark/>
          </w:tcPr>
          <w:p w14:paraId="14D75CF5" w14:textId="77777777" w:rsidR="00000000" w:rsidRDefault="00405D16">
            <w:pPr>
              <w:spacing w:after="100"/>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14:paraId="2515ECE3" w14:textId="77777777" w:rsidR="00000000" w:rsidRDefault="00405D16">
            <w:pPr>
              <w:spacing w:after="100"/>
              <w:jc w:val="center"/>
              <w:rPr>
                <w:rFonts w:eastAsia="Times New Roman"/>
              </w:rPr>
            </w:pPr>
            <w:r>
              <w:rPr>
                <w:rFonts w:eastAsia="Times New Roman"/>
                <w:b/>
                <w:bCs/>
                <w:color w:val="000000"/>
                <w:sz w:val="15"/>
                <w:szCs w:val="15"/>
              </w:rPr>
              <w:t>2021</w:t>
            </w:r>
          </w:p>
        </w:tc>
        <w:tc>
          <w:tcPr>
            <w:tcW w:w="0" w:type="auto"/>
            <w:gridSpan w:val="4"/>
            <w:tcBorders>
              <w:top w:val="single" w:sz="8" w:space="0" w:color="000000"/>
            </w:tcBorders>
            <w:tcMar>
              <w:top w:w="0" w:type="dxa"/>
              <w:left w:w="20" w:type="dxa"/>
              <w:bottom w:w="0" w:type="dxa"/>
              <w:right w:w="20" w:type="dxa"/>
            </w:tcMar>
            <w:vAlign w:val="center"/>
            <w:hideMark/>
          </w:tcPr>
          <w:p w14:paraId="552D77B0" w14:textId="77777777" w:rsidR="00000000" w:rsidRDefault="00405D16">
            <w:pPr>
              <w:spacing w:after="100"/>
              <w:jc w:val="center"/>
              <w:rPr>
                <w:rFonts w:eastAsia="Times New Roman"/>
              </w:rPr>
            </w:pPr>
          </w:p>
        </w:tc>
        <w:tc>
          <w:tcPr>
            <w:tcW w:w="0" w:type="auto"/>
            <w:gridSpan w:val="5"/>
            <w:tcBorders>
              <w:top w:val="single" w:sz="8" w:space="0" w:color="000000"/>
            </w:tcBorders>
            <w:tcMar>
              <w:top w:w="30" w:type="dxa"/>
              <w:left w:w="20" w:type="dxa"/>
              <w:bottom w:w="30" w:type="dxa"/>
              <w:right w:w="20" w:type="dxa"/>
            </w:tcMar>
            <w:vAlign w:val="bottom"/>
            <w:hideMark/>
          </w:tcPr>
          <w:p w14:paraId="4C556FC2" w14:textId="77777777" w:rsidR="00000000" w:rsidRDefault="00405D16">
            <w:pPr>
              <w:spacing w:after="100"/>
              <w:jc w:val="center"/>
              <w:rPr>
                <w:rFonts w:eastAsia="Times New Roman"/>
              </w:rPr>
            </w:pPr>
            <w:r>
              <w:rPr>
                <w:rFonts w:eastAsia="Times New Roman"/>
                <w:b/>
                <w:bCs/>
                <w:color w:val="000000"/>
                <w:sz w:val="15"/>
                <w:szCs w:val="15"/>
              </w:rPr>
              <w:t>2020</w:t>
            </w:r>
          </w:p>
        </w:tc>
        <w:tc>
          <w:tcPr>
            <w:tcW w:w="0" w:type="auto"/>
            <w:gridSpan w:val="4"/>
            <w:tcBorders>
              <w:top w:val="single" w:sz="8" w:space="0" w:color="000000"/>
            </w:tcBorders>
            <w:tcMar>
              <w:top w:w="0" w:type="dxa"/>
              <w:left w:w="20" w:type="dxa"/>
              <w:bottom w:w="0" w:type="dxa"/>
              <w:right w:w="20" w:type="dxa"/>
            </w:tcMar>
            <w:vAlign w:val="center"/>
            <w:hideMark/>
          </w:tcPr>
          <w:p w14:paraId="04AD30A2" w14:textId="77777777" w:rsidR="00000000" w:rsidRDefault="00405D16">
            <w:pPr>
              <w:spacing w:after="100"/>
              <w:jc w:val="center"/>
              <w:rPr>
                <w:rFonts w:eastAsia="Times New Roman"/>
              </w:rPr>
            </w:pPr>
          </w:p>
        </w:tc>
        <w:tc>
          <w:tcPr>
            <w:tcW w:w="0" w:type="auto"/>
            <w:gridSpan w:val="8"/>
            <w:tcBorders>
              <w:top w:val="single" w:sz="8" w:space="0" w:color="000000"/>
            </w:tcBorders>
            <w:tcMar>
              <w:top w:w="30" w:type="dxa"/>
              <w:left w:w="20" w:type="dxa"/>
              <w:bottom w:w="30" w:type="dxa"/>
              <w:right w:w="20" w:type="dxa"/>
            </w:tcMar>
            <w:vAlign w:val="bottom"/>
            <w:hideMark/>
          </w:tcPr>
          <w:p w14:paraId="032F7173" w14:textId="77777777" w:rsidR="00000000" w:rsidRDefault="00405D16">
            <w:pPr>
              <w:spacing w:after="100"/>
              <w:jc w:val="center"/>
              <w:rPr>
                <w:rFonts w:eastAsia="Times New Roman"/>
              </w:rPr>
            </w:pPr>
            <w:r>
              <w:rPr>
                <w:rFonts w:eastAsia="Times New Roman"/>
                <w:b/>
                <w:bCs/>
                <w:color w:val="000000"/>
                <w:sz w:val="15"/>
                <w:szCs w:val="15"/>
              </w:rPr>
              <w:t>2019</w:t>
            </w:r>
          </w:p>
        </w:tc>
        <w:tc>
          <w:tcPr>
            <w:tcW w:w="0" w:type="auto"/>
            <w:gridSpan w:val="3"/>
            <w:tcBorders>
              <w:top w:val="single" w:sz="8" w:space="0" w:color="000000"/>
            </w:tcBorders>
            <w:tcMar>
              <w:top w:w="0" w:type="dxa"/>
              <w:left w:w="20" w:type="dxa"/>
              <w:bottom w:w="0" w:type="dxa"/>
              <w:right w:w="20" w:type="dxa"/>
            </w:tcMar>
            <w:vAlign w:val="center"/>
            <w:hideMark/>
          </w:tcPr>
          <w:p w14:paraId="4E1FFDE7" w14:textId="77777777" w:rsidR="00000000" w:rsidRDefault="00405D16">
            <w:pPr>
              <w:spacing w:after="100"/>
              <w:jc w:val="center"/>
              <w:rPr>
                <w:rFonts w:eastAsia="Times New Roman"/>
              </w:rPr>
            </w:pPr>
          </w:p>
        </w:tc>
        <w:tc>
          <w:tcPr>
            <w:tcW w:w="0" w:type="auto"/>
            <w:gridSpan w:val="5"/>
            <w:tcBorders>
              <w:top w:val="single" w:sz="8" w:space="0" w:color="000000"/>
            </w:tcBorders>
            <w:tcMar>
              <w:top w:w="30" w:type="dxa"/>
              <w:left w:w="20" w:type="dxa"/>
              <w:bottom w:w="30" w:type="dxa"/>
              <w:right w:w="20" w:type="dxa"/>
            </w:tcMar>
            <w:vAlign w:val="bottom"/>
            <w:hideMark/>
          </w:tcPr>
          <w:p w14:paraId="3C5C5871" w14:textId="77777777" w:rsidR="00000000" w:rsidRDefault="00405D16">
            <w:pPr>
              <w:spacing w:after="100"/>
              <w:jc w:val="center"/>
              <w:rPr>
                <w:rFonts w:eastAsia="Times New Roman"/>
              </w:rPr>
            </w:pPr>
            <w:r>
              <w:rPr>
                <w:rFonts w:eastAsia="Times New Roman"/>
                <w:b/>
                <w:bCs/>
                <w:color w:val="000000"/>
                <w:sz w:val="15"/>
                <w:szCs w:val="15"/>
              </w:rPr>
              <w:t>2018</w:t>
            </w:r>
          </w:p>
        </w:tc>
        <w:tc>
          <w:tcPr>
            <w:tcW w:w="0" w:type="auto"/>
            <w:gridSpan w:val="4"/>
            <w:tcBorders>
              <w:top w:val="single" w:sz="8" w:space="0" w:color="000000"/>
            </w:tcBorders>
            <w:tcMar>
              <w:top w:w="0" w:type="dxa"/>
              <w:left w:w="20" w:type="dxa"/>
              <w:bottom w:w="0" w:type="dxa"/>
              <w:right w:w="20" w:type="dxa"/>
            </w:tcMar>
            <w:vAlign w:val="center"/>
            <w:hideMark/>
          </w:tcPr>
          <w:p w14:paraId="3DB9C982" w14:textId="77777777" w:rsidR="00000000" w:rsidRDefault="00405D16">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14:paraId="1B744DA1" w14:textId="77777777" w:rsidR="00000000" w:rsidRDefault="00405D16">
            <w:pPr>
              <w:spacing w:after="100"/>
              <w:jc w:val="center"/>
              <w:rPr>
                <w:rFonts w:eastAsia="Times New Roman"/>
              </w:rPr>
            </w:pPr>
            <w:r>
              <w:rPr>
                <w:rFonts w:eastAsia="Times New Roman"/>
                <w:b/>
                <w:bCs/>
                <w:color w:val="000000"/>
                <w:sz w:val="15"/>
                <w:szCs w:val="15"/>
              </w:rPr>
              <w:t>2017</w:t>
            </w:r>
          </w:p>
        </w:tc>
        <w:tc>
          <w:tcPr>
            <w:tcW w:w="0" w:type="auto"/>
            <w:gridSpan w:val="3"/>
            <w:tcBorders>
              <w:top w:val="single" w:sz="8" w:space="0" w:color="000000"/>
            </w:tcBorders>
            <w:tcMar>
              <w:top w:w="0" w:type="dxa"/>
              <w:left w:w="20" w:type="dxa"/>
              <w:bottom w:w="0" w:type="dxa"/>
              <w:right w:w="20" w:type="dxa"/>
            </w:tcMar>
            <w:vAlign w:val="center"/>
            <w:hideMark/>
          </w:tcPr>
          <w:p w14:paraId="57D2E551" w14:textId="77777777" w:rsidR="00000000" w:rsidRDefault="00405D16">
            <w:pPr>
              <w:spacing w:after="100"/>
              <w:jc w:val="center"/>
              <w:rPr>
                <w:rFonts w:eastAsia="Times New Roman"/>
              </w:rPr>
            </w:pPr>
          </w:p>
        </w:tc>
        <w:tc>
          <w:tcPr>
            <w:tcW w:w="0" w:type="auto"/>
            <w:gridSpan w:val="7"/>
            <w:tcBorders>
              <w:top w:val="single" w:sz="8" w:space="0" w:color="000000"/>
            </w:tcBorders>
            <w:tcMar>
              <w:top w:w="30" w:type="dxa"/>
              <w:left w:w="20" w:type="dxa"/>
              <w:bottom w:w="30" w:type="dxa"/>
              <w:right w:w="20" w:type="dxa"/>
            </w:tcMar>
            <w:vAlign w:val="bottom"/>
            <w:hideMark/>
          </w:tcPr>
          <w:p w14:paraId="50B4275F" w14:textId="77777777" w:rsidR="00000000" w:rsidRDefault="00405D16">
            <w:pPr>
              <w:spacing w:after="100"/>
              <w:jc w:val="center"/>
              <w:rPr>
                <w:rFonts w:eastAsia="Times New Roman"/>
              </w:rPr>
            </w:pPr>
            <w:r>
              <w:rPr>
                <w:rFonts w:eastAsia="Times New Roman"/>
                <w:b/>
                <w:bCs/>
                <w:color w:val="000000"/>
                <w:sz w:val="15"/>
                <w:szCs w:val="15"/>
              </w:rPr>
              <w:t>Prior</w:t>
            </w:r>
          </w:p>
        </w:tc>
        <w:tc>
          <w:tcPr>
            <w:tcW w:w="0" w:type="auto"/>
            <w:gridSpan w:val="3"/>
            <w:tcBorders>
              <w:top w:val="single" w:sz="8" w:space="0" w:color="000000"/>
            </w:tcBorders>
            <w:tcMar>
              <w:top w:w="0" w:type="dxa"/>
              <w:left w:w="20" w:type="dxa"/>
              <w:bottom w:w="0" w:type="dxa"/>
              <w:right w:w="20" w:type="dxa"/>
            </w:tcMar>
            <w:vAlign w:val="center"/>
            <w:hideMark/>
          </w:tcPr>
          <w:p w14:paraId="2A574446" w14:textId="77777777" w:rsidR="00000000" w:rsidRDefault="00405D16">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14:paraId="70E30652" w14:textId="77777777" w:rsidR="00000000" w:rsidRDefault="00405D16">
            <w:pPr>
              <w:spacing w:after="100"/>
              <w:jc w:val="center"/>
              <w:rPr>
                <w:rFonts w:eastAsia="Times New Roman"/>
              </w:rPr>
            </w:pPr>
            <w:r>
              <w:rPr>
                <w:rFonts w:eastAsia="Times New Roman"/>
                <w:b/>
                <w:bCs/>
                <w:color w:val="000000"/>
                <w:sz w:val="15"/>
                <w:szCs w:val="15"/>
              </w:rPr>
              <w:t>Total Term Loans</w:t>
            </w:r>
          </w:p>
        </w:tc>
        <w:tc>
          <w:tcPr>
            <w:tcW w:w="0" w:type="auto"/>
            <w:gridSpan w:val="4"/>
            <w:tcMar>
              <w:top w:w="0" w:type="dxa"/>
              <w:left w:w="20" w:type="dxa"/>
              <w:bottom w:w="0" w:type="dxa"/>
              <w:right w:w="20" w:type="dxa"/>
            </w:tcMar>
            <w:vAlign w:val="center"/>
            <w:hideMark/>
          </w:tcPr>
          <w:p w14:paraId="50767046" w14:textId="77777777" w:rsidR="00000000" w:rsidRDefault="00405D16">
            <w:pPr>
              <w:spacing w:after="100"/>
              <w:jc w:val="center"/>
              <w:rPr>
                <w:rFonts w:eastAsia="Times New Roman"/>
              </w:rPr>
            </w:pPr>
          </w:p>
        </w:tc>
        <w:tc>
          <w:tcPr>
            <w:tcW w:w="0" w:type="auto"/>
            <w:gridSpan w:val="7"/>
            <w:tcMar>
              <w:top w:w="30" w:type="dxa"/>
              <w:left w:w="20" w:type="dxa"/>
              <w:bottom w:w="30" w:type="dxa"/>
              <w:right w:w="20" w:type="dxa"/>
            </w:tcMar>
            <w:vAlign w:val="bottom"/>
            <w:hideMark/>
          </w:tcPr>
          <w:p w14:paraId="6ABE0A43" w14:textId="77777777" w:rsidR="00000000" w:rsidRDefault="00405D16">
            <w:pPr>
              <w:spacing w:after="100"/>
              <w:jc w:val="center"/>
              <w:rPr>
                <w:rFonts w:eastAsia="Times New Roman"/>
              </w:rPr>
            </w:pPr>
            <w:r>
              <w:rPr>
                <w:rFonts w:eastAsia="Times New Roman"/>
                <w:b/>
                <w:bCs/>
                <w:color w:val="000000"/>
                <w:sz w:val="15"/>
                <w:szCs w:val="15"/>
              </w:rPr>
              <w:t>Revolving Loans</w:t>
            </w:r>
          </w:p>
        </w:tc>
        <w:tc>
          <w:tcPr>
            <w:tcW w:w="0" w:type="auto"/>
            <w:gridSpan w:val="3"/>
            <w:tcMar>
              <w:top w:w="0" w:type="dxa"/>
              <w:left w:w="20" w:type="dxa"/>
              <w:bottom w:w="0" w:type="dxa"/>
              <w:right w:w="20" w:type="dxa"/>
            </w:tcMar>
            <w:vAlign w:val="center"/>
            <w:hideMark/>
          </w:tcPr>
          <w:p w14:paraId="179CAE91" w14:textId="77777777" w:rsidR="00000000" w:rsidRDefault="00405D16">
            <w:pPr>
              <w:spacing w:after="100"/>
              <w:jc w:val="center"/>
              <w:rPr>
                <w:rFonts w:eastAsia="Times New Roman"/>
              </w:rPr>
            </w:pPr>
          </w:p>
        </w:tc>
        <w:tc>
          <w:tcPr>
            <w:tcW w:w="0" w:type="auto"/>
            <w:gridSpan w:val="7"/>
            <w:tcMar>
              <w:top w:w="30" w:type="dxa"/>
              <w:left w:w="20" w:type="dxa"/>
              <w:bottom w:w="30" w:type="dxa"/>
              <w:right w:w="20" w:type="dxa"/>
            </w:tcMar>
            <w:vAlign w:val="bottom"/>
            <w:hideMark/>
          </w:tcPr>
          <w:p w14:paraId="70E1BEAC" w14:textId="77777777" w:rsidR="00000000" w:rsidRDefault="00405D16">
            <w:pPr>
              <w:spacing w:after="100"/>
              <w:jc w:val="center"/>
              <w:rPr>
                <w:rFonts w:eastAsia="Times New Roman"/>
              </w:rPr>
            </w:pPr>
            <w:r>
              <w:rPr>
                <w:rFonts w:eastAsia="Times New Roman"/>
                <w:b/>
                <w:bCs/>
                <w:color w:val="000000"/>
                <w:sz w:val="15"/>
                <w:szCs w:val="15"/>
              </w:rPr>
              <w:t>Revolving Loans Converted to Term</w:t>
            </w:r>
          </w:p>
        </w:tc>
        <w:tc>
          <w:tcPr>
            <w:tcW w:w="0" w:type="auto"/>
            <w:gridSpan w:val="4"/>
            <w:tcMar>
              <w:top w:w="0" w:type="dxa"/>
              <w:left w:w="20" w:type="dxa"/>
              <w:bottom w:w="0" w:type="dxa"/>
              <w:right w:w="20" w:type="dxa"/>
            </w:tcMar>
            <w:vAlign w:val="center"/>
            <w:hideMark/>
          </w:tcPr>
          <w:p w14:paraId="1F5CD010" w14:textId="77777777" w:rsidR="00000000" w:rsidRDefault="00405D16">
            <w:pPr>
              <w:spacing w:after="100"/>
              <w:jc w:val="center"/>
              <w:rPr>
                <w:rFonts w:eastAsia="Times New Roman"/>
              </w:rPr>
            </w:pPr>
          </w:p>
        </w:tc>
        <w:tc>
          <w:tcPr>
            <w:tcW w:w="0" w:type="auto"/>
            <w:gridSpan w:val="5"/>
            <w:tcMar>
              <w:top w:w="30" w:type="dxa"/>
              <w:left w:w="20" w:type="dxa"/>
              <w:bottom w:w="30" w:type="dxa"/>
              <w:right w:w="20" w:type="dxa"/>
            </w:tcMar>
            <w:vAlign w:val="bottom"/>
            <w:hideMark/>
          </w:tcPr>
          <w:p w14:paraId="46A6A7CA" w14:textId="77777777" w:rsidR="00000000" w:rsidRDefault="00405D16">
            <w:pPr>
              <w:spacing w:after="100"/>
              <w:jc w:val="center"/>
              <w:rPr>
                <w:rFonts w:eastAsia="Times New Roman"/>
              </w:rPr>
            </w:pPr>
            <w:r>
              <w:rPr>
                <w:rFonts w:eastAsia="Times New Roman"/>
                <w:b/>
                <w:bCs/>
                <w:color w:val="000000"/>
                <w:sz w:val="15"/>
                <w:szCs w:val="15"/>
              </w:rPr>
              <w:t>Total</w:t>
            </w:r>
          </w:p>
        </w:tc>
        <w:tc>
          <w:tcPr>
            <w:tcW w:w="0" w:type="auto"/>
            <w:vAlign w:val="center"/>
            <w:hideMark/>
          </w:tcPr>
          <w:p w14:paraId="027FD025" w14:textId="77777777" w:rsidR="00000000" w:rsidRDefault="00405D16">
            <w:pPr>
              <w:spacing w:after="100"/>
              <w:rPr>
                <w:rFonts w:eastAsia="Times New Roman"/>
                <w:sz w:val="20"/>
                <w:szCs w:val="20"/>
              </w:rPr>
            </w:pPr>
          </w:p>
        </w:tc>
      </w:tr>
      <w:tr w:rsidR="00000000" w14:paraId="6A25C4A8" w14:textId="77777777">
        <w:trPr>
          <w:gridAfter w:val="24"/>
          <w:divId w:val="1476604340"/>
        </w:trPr>
        <w:tc>
          <w:tcPr>
            <w:tcW w:w="0" w:type="auto"/>
            <w:gridSpan w:val="4"/>
            <w:tcBorders>
              <w:top w:val="single" w:sz="8" w:space="0" w:color="000000"/>
            </w:tcBorders>
            <w:shd w:val="clear" w:color="auto" w:fill="CCEEFF"/>
            <w:tcMar>
              <w:top w:w="30" w:type="dxa"/>
              <w:left w:w="20" w:type="dxa"/>
              <w:bottom w:w="30" w:type="dxa"/>
              <w:right w:w="20" w:type="dxa"/>
            </w:tcMar>
            <w:vAlign w:val="center"/>
            <w:hideMark/>
          </w:tcPr>
          <w:p w14:paraId="29B815FF" w14:textId="77777777" w:rsidR="00000000" w:rsidRDefault="00405D16">
            <w:pPr>
              <w:spacing w:after="100"/>
              <w:divId w:val="603928119"/>
              <w:rPr>
                <w:rFonts w:eastAsia="Times New Roman"/>
              </w:rPr>
            </w:pPr>
            <w:r>
              <w:rPr>
                <w:rFonts w:eastAsia="Times New Roman"/>
                <w:b/>
                <w:bCs/>
                <w:color w:val="000000"/>
                <w:sz w:val="18"/>
                <w:szCs w:val="18"/>
              </w:rPr>
              <w:t>Internal risk rating</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16308DD0" w14:textId="77777777" w:rsidR="00000000" w:rsidRDefault="00405D16">
            <w:pPr>
              <w:spacing w:after="100"/>
              <w:rPr>
                <w:rFonts w:eastAsia="Times New Roman"/>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14:paraId="5FBD248D"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763013B4" w14:textId="77777777" w:rsidR="00000000" w:rsidRDefault="00405D16">
            <w:pPr>
              <w:spacing w:after="100"/>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14:paraId="2D70E278"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5EACD5A8" w14:textId="77777777" w:rsidR="00000000" w:rsidRDefault="00405D16">
            <w:pPr>
              <w:spacing w:after="100"/>
              <w:rPr>
                <w:rFonts w:eastAsia="Times New Roman"/>
                <w:sz w:val="20"/>
                <w:szCs w:val="20"/>
              </w:rPr>
            </w:pPr>
          </w:p>
        </w:tc>
        <w:tc>
          <w:tcPr>
            <w:tcW w:w="0" w:type="auto"/>
            <w:gridSpan w:val="8"/>
            <w:tcBorders>
              <w:top w:val="single" w:sz="8" w:space="0" w:color="000000"/>
            </w:tcBorders>
            <w:shd w:val="clear" w:color="auto" w:fill="CCEEFF"/>
            <w:tcMar>
              <w:top w:w="0" w:type="dxa"/>
              <w:left w:w="20" w:type="dxa"/>
              <w:bottom w:w="0" w:type="dxa"/>
              <w:right w:w="20" w:type="dxa"/>
            </w:tcMar>
            <w:vAlign w:val="center"/>
            <w:hideMark/>
          </w:tcPr>
          <w:p w14:paraId="278D737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9433A3" w14:textId="77777777" w:rsidR="00000000" w:rsidRDefault="00405D16">
            <w:pPr>
              <w:spacing w:after="100"/>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14:paraId="688DDB04"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25180A63" w14:textId="77777777" w:rsidR="00000000" w:rsidRDefault="00405D16">
            <w:pPr>
              <w:spacing w:after="100"/>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14:paraId="26533AF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0964F3" w14:textId="77777777" w:rsidR="00000000" w:rsidRDefault="00405D16">
            <w:pPr>
              <w:spacing w:after="100"/>
              <w:rPr>
                <w:rFonts w:eastAsia="Times New Roman"/>
                <w:sz w:val="20"/>
                <w:szCs w:val="20"/>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14:paraId="1D72B4F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9536C7" w14:textId="77777777" w:rsidR="00000000" w:rsidRDefault="00405D16">
            <w:pPr>
              <w:spacing w:after="100"/>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14:paraId="7B636255"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2EC04241" w14:textId="77777777" w:rsidR="00000000" w:rsidRDefault="00405D16">
            <w:pPr>
              <w:spacing w:after="100"/>
              <w:rPr>
                <w:rFonts w:eastAsia="Times New Roman"/>
                <w:sz w:val="20"/>
                <w:szCs w:val="20"/>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14:paraId="20BA765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5A4FA1" w14:textId="77777777" w:rsidR="00000000" w:rsidRDefault="00405D16">
            <w:pPr>
              <w:spacing w:after="100"/>
              <w:rPr>
                <w:rFonts w:eastAsia="Times New Roman"/>
                <w:sz w:val="20"/>
                <w:szCs w:val="20"/>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14:paraId="1FADA889"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64274976" w14:textId="77777777" w:rsidR="00000000" w:rsidRDefault="00405D16">
            <w:pPr>
              <w:spacing w:after="100"/>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14:paraId="523A2ED3" w14:textId="77777777" w:rsidR="00000000" w:rsidRDefault="00405D16">
            <w:pPr>
              <w:spacing w:after="100"/>
              <w:rPr>
                <w:rFonts w:eastAsia="Times New Roman"/>
                <w:sz w:val="20"/>
                <w:szCs w:val="20"/>
              </w:rPr>
            </w:pPr>
          </w:p>
        </w:tc>
        <w:tc>
          <w:tcPr>
            <w:tcW w:w="0" w:type="auto"/>
            <w:vAlign w:val="center"/>
            <w:hideMark/>
          </w:tcPr>
          <w:p w14:paraId="1D233144" w14:textId="77777777" w:rsidR="00000000" w:rsidRDefault="00405D16">
            <w:pPr>
              <w:spacing w:after="100"/>
              <w:rPr>
                <w:rFonts w:eastAsia="Times New Roman"/>
                <w:sz w:val="20"/>
                <w:szCs w:val="20"/>
              </w:rPr>
            </w:pPr>
          </w:p>
        </w:tc>
      </w:tr>
      <w:tr w:rsidR="00000000" w14:paraId="5A0D7473" w14:textId="77777777">
        <w:trPr>
          <w:gridAfter w:val="24"/>
          <w:divId w:val="1476604340"/>
        </w:trPr>
        <w:tc>
          <w:tcPr>
            <w:tcW w:w="0" w:type="auto"/>
            <w:gridSpan w:val="4"/>
            <w:shd w:val="clear" w:color="auto" w:fill="FFFFFF"/>
            <w:tcMar>
              <w:top w:w="30" w:type="dxa"/>
              <w:left w:w="155" w:type="dxa"/>
              <w:bottom w:w="30" w:type="dxa"/>
              <w:right w:w="20" w:type="dxa"/>
            </w:tcMar>
            <w:vAlign w:val="center"/>
            <w:hideMark/>
          </w:tcPr>
          <w:p w14:paraId="45F661C2" w14:textId="77777777" w:rsidR="00000000" w:rsidRDefault="00405D16">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14:paraId="18112B91" w14:textId="77777777" w:rsidR="00000000" w:rsidRDefault="00405D16">
            <w:pPr>
              <w:spacing w:after="100"/>
              <w:rPr>
                <w:rFonts w:eastAsia="Times New Roman"/>
              </w:rPr>
            </w:pPr>
          </w:p>
        </w:tc>
        <w:tc>
          <w:tcPr>
            <w:tcW w:w="0" w:type="auto"/>
            <w:gridSpan w:val="6"/>
            <w:shd w:val="clear" w:color="auto" w:fill="FFFFFF"/>
            <w:tcMar>
              <w:top w:w="0" w:type="dxa"/>
              <w:left w:w="20" w:type="dxa"/>
              <w:bottom w:w="0" w:type="dxa"/>
              <w:right w:w="20" w:type="dxa"/>
            </w:tcMar>
            <w:vAlign w:val="center"/>
            <w:hideMark/>
          </w:tcPr>
          <w:p w14:paraId="65C11637" w14:textId="77777777" w:rsidR="00000000" w:rsidRDefault="00405D16">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3B7E3331" w14:textId="77777777" w:rsidR="00000000" w:rsidRDefault="00405D16">
            <w:pPr>
              <w:spacing w:after="100"/>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14:paraId="737EB843" w14:textId="77777777" w:rsidR="00000000" w:rsidRDefault="00405D16">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5F6FDDE5" w14:textId="77777777" w:rsidR="00000000" w:rsidRDefault="00405D16">
            <w:pPr>
              <w:spacing w:after="100"/>
              <w:rPr>
                <w:rFonts w:eastAsia="Times New Roman"/>
                <w:sz w:val="20"/>
                <w:szCs w:val="20"/>
              </w:rPr>
            </w:pPr>
          </w:p>
        </w:tc>
        <w:tc>
          <w:tcPr>
            <w:tcW w:w="0" w:type="auto"/>
            <w:gridSpan w:val="8"/>
            <w:shd w:val="clear" w:color="auto" w:fill="FFFFFF"/>
            <w:tcMar>
              <w:top w:w="0" w:type="dxa"/>
              <w:left w:w="20" w:type="dxa"/>
              <w:bottom w:w="0" w:type="dxa"/>
              <w:right w:w="20" w:type="dxa"/>
            </w:tcMar>
            <w:vAlign w:val="center"/>
            <w:hideMark/>
          </w:tcPr>
          <w:p w14:paraId="61A0884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9845A8" w14:textId="77777777" w:rsidR="00000000" w:rsidRDefault="00405D16">
            <w:pPr>
              <w:spacing w:after="100"/>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14:paraId="7AB53DA2" w14:textId="77777777" w:rsidR="00000000" w:rsidRDefault="00405D16">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160A5682" w14:textId="77777777" w:rsidR="00000000" w:rsidRDefault="00405D16">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14:paraId="25A5670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6D90E4" w14:textId="77777777" w:rsidR="00000000" w:rsidRDefault="00405D16">
            <w:pPr>
              <w:spacing w:after="100"/>
              <w:rPr>
                <w:rFonts w:eastAsia="Times New Roman"/>
                <w:sz w:val="20"/>
                <w:szCs w:val="20"/>
              </w:rPr>
            </w:pPr>
          </w:p>
        </w:tc>
        <w:tc>
          <w:tcPr>
            <w:tcW w:w="0" w:type="auto"/>
            <w:gridSpan w:val="7"/>
            <w:shd w:val="clear" w:color="auto" w:fill="FFFFFF"/>
            <w:tcMar>
              <w:top w:w="0" w:type="dxa"/>
              <w:left w:w="20" w:type="dxa"/>
              <w:bottom w:w="0" w:type="dxa"/>
              <w:right w:w="20" w:type="dxa"/>
            </w:tcMar>
            <w:vAlign w:val="center"/>
            <w:hideMark/>
          </w:tcPr>
          <w:p w14:paraId="675C5A8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092BB4" w14:textId="77777777" w:rsidR="00000000" w:rsidRDefault="00405D16">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14:paraId="43DE899B" w14:textId="77777777" w:rsidR="00000000" w:rsidRDefault="00405D16">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4B51EAC1" w14:textId="77777777" w:rsidR="00000000" w:rsidRDefault="00405D16">
            <w:pPr>
              <w:spacing w:after="100"/>
              <w:rPr>
                <w:rFonts w:eastAsia="Times New Roman"/>
                <w:sz w:val="20"/>
                <w:szCs w:val="20"/>
              </w:rPr>
            </w:pPr>
          </w:p>
        </w:tc>
        <w:tc>
          <w:tcPr>
            <w:tcW w:w="0" w:type="auto"/>
            <w:gridSpan w:val="7"/>
            <w:shd w:val="clear" w:color="auto" w:fill="FFFFFF"/>
            <w:tcMar>
              <w:top w:w="0" w:type="dxa"/>
              <w:left w:w="20" w:type="dxa"/>
              <w:bottom w:w="0" w:type="dxa"/>
              <w:right w:w="20" w:type="dxa"/>
            </w:tcMar>
            <w:vAlign w:val="center"/>
            <w:hideMark/>
          </w:tcPr>
          <w:p w14:paraId="20A7DA1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664E04" w14:textId="77777777" w:rsidR="00000000" w:rsidRDefault="00405D16">
            <w:pPr>
              <w:spacing w:after="100"/>
              <w:rPr>
                <w:rFonts w:eastAsia="Times New Roman"/>
                <w:sz w:val="20"/>
                <w:szCs w:val="20"/>
              </w:rPr>
            </w:pPr>
          </w:p>
        </w:tc>
        <w:tc>
          <w:tcPr>
            <w:tcW w:w="0" w:type="auto"/>
            <w:gridSpan w:val="7"/>
            <w:shd w:val="clear" w:color="auto" w:fill="FFFFFF"/>
            <w:tcMar>
              <w:top w:w="0" w:type="dxa"/>
              <w:left w:w="20" w:type="dxa"/>
              <w:bottom w:w="0" w:type="dxa"/>
              <w:right w:w="20" w:type="dxa"/>
            </w:tcMar>
            <w:vAlign w:val="center"/>
            <w:hideMark/>
          </w:tcPr>
          <w:p w14:paraId="09CBC8FF" w14:textId="77777777" w:rsidR="00000000" w:rsidRDefault="00405D16">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69EA946F" w14:textId="77777777" w:rsidR="00000000" w:rsidRDefault="00405D16">
            <w:pPr>
              <w:spacing w:after="100"/>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14:paraId="674D5032" w14:textId="77777777" w:rsidR="00000000" w:rsidRDefault="00405D16">
            <w:pPr>
              <w:spacing w:after="100"/>
              <w:rPr>
                <w:rFonts w:eastAsia="Times New Roman"/>
                <w:sz w:val="20"/>
                <w:szCs w:val="20"/>
              </w:rPr>
            </w:pPr>
          </w:p>
        </w:tc>
        <w:tc>
          <w:tcPr>
            <w:tcW w:w="0" w:type="auto"/>
            <w:vAlign w:val="center"/>
            <w:hideMark/>
          </w:tcPr>
          <w:p w14:paraId="1C0A8142" w14:textId="77777777" w:rsidR="00000000" w:rsidRDefault="00405D16">
            <w:pPr>
              <w:spacing w:after="100"/>
              <w:rPr>
                <w:rFonts w:eastAsia="Times New Roman"/>
                <w:sz w:val="20"/>
                <w:szCs w:val="20"/>
              </w:rPr>
            </w:pPr>
          </w:p>
        </w:tc>
      </w:tr>
      <w:tr w:rsidR="00405D16" w14:paraId="0E8BC9D1" w14:textId="77777777">
        <w:trPr>
          <w:gridAfter w:val="24"/>
          <w:divId w:val="1476604340"/>
        </w:trPr>
        <w:tc>
          <w:tcPr>
            <w:tcW w:w="0" w:type="auto"/>
            <w:gridSpan w:val="4"/>
            <w:shd w:val="clear" w:color="auto" w:fill="CCEEFF"/>
            <w:tcMar>
              <w:top w:w="30" w:type="dxa"/>
              <w:left w:w="380" w:type="dxa"/>
              <w:bottom w:w="30" w:type="dxa"/>
              <w:right w:w="20" w:type="dxa"/>
            </w:tcMar>
            <w:vAlign w:val="center"/>
            <w:hideMark/>
          </w:tcPr>
          <w:p w14:paraId="513957D0" w14:textId="77777777" w:rsidR="00000000" w:rsidRDefault="00405D16">
            <w:pPr>
              <w:spacing w:after="100"/>
              <w:rPr>
                <w:rFonts w:eastAsia="Times New Roman"/>
              </w:rPr>
            </w:pPr>
            <w:r>
              <w:rPr>
                <w:rFonts w:eastAsia="Times New Roman"/>
                <w:color w:val="000000"/>
                <w:sz w:val="18"/>
                <w:szCs w:val="18"/>
              </w:rPr>
              <w:t>Noncriticized</w:t>
            </w:r>
          </w:p>
        </w:tc>
        <w:tc>
          <w:tcPr>
            <w:tcW w:w="0" w:type="auto"/>
            <w:gridSpan w:val="3"/>
            <w:shd w:val="clear" w:color="auto" w:fill="CCEEFF"/>
            <w:tcMar>
              <w:top w:w="0" w:type="dxa"/>
              <w:left w:w="20" w:type="dxa"/>
              <w:bottom w:w="0" w:type="dxa"/>
              <w:right w:w="20" w:type="dxa"/>
            </w:tcMar>
            <w:vAlign w:val="center"/>
            <w:hideMark/>
          </w:tcPr>
          <w:p w14:paraId="1FEA9FF4" w14:textId="77777777" w:rsidR="00000000" w:rsidRDefault="00405D16">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070721DF"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4"/>
            <w:shd w:val="clear" w:color="auto" w:fill="CCEEFF"/>
            <w:tcMar>
              <w:top w:w="30" w:type="dxa"/>
              <w:left w:w="0" w:type="dxa"/>
              <w:bottom w:w="30" w:type="dxa"/>
              <w:right w:w="0" w:type="dxa"/>
            </w:tcMar>
            <w:vAlign w:val="center"/>
            <w:hideMark/>
          </w:tcPr>
          <w:p w14:paraId="37AB0D67" w14:textId="77777777" w:rsidR="00000000" w:rsidRDefault="00405D16">
            <w:pPr>
              <w:spacing w:after="100"/>
              <w:jc w:val="right"/>
              <w:rPr>
                <w:rFonts w:eastAsia="Times New Roman"/>
              </w:rPr>
            </w:pPr>
            <w:r>
              <w:rPr>
                <w:rFonts w:eastAsia="Times New Roman"/>
                <w:b/>
                <w:bCs/>
                <w:color w:val="000000"/>
                <w:sz w:val="18"/>
                <w:szCs w:val="18"/>
              </w:rPr>
              <w:t>3,663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82DF465"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5605A79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1FA86EC"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2"/>
            <w:shd w:val="clear" w:color="auto" w:fill="CCEEFF"/>
            <w:tcMar>
              <w:top w:w="30" w:type="dxa"/>
              <w:left w:w="0" w:type="dxa"/>
              <w:bottom w:w="30" w:type="dxa"/>
              <w:right w:w="0" w:type="dxa"/>
            </w:tcMar>
            <w:vAlign w:val="center"/>
            <w:hideMark/>
          </w:tcPr>
          <w:p w14:paraId="7316E160" w14:textId="77777777" w:rsidR="00000000" w:rsidRDefault="00405D16">
            <w:pPr>
              <w:spacing w:after="100"/>
              <w:jc w:val="right"/>
              <w:rPr>
                <w:rFonts w:eastAsia="Times New Roman"/>
              </w:rPr>
            </w:pPr>
            <w:r>
              <w:rPr>
                <w:rFonts w:eastAsia="Times New Roman"/>
                <w:b/>
                <w:bCs/>
                <w:color w:val="000000"/>
                <w:sz w:val="18"/>
                <w:szCs w:val="18"/>
              </w:rPr>
              <w:t>3,320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FD11151"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22922A9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C77C3DB"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4"/>
            <w:shd w:val="clear" w:color="auto" w:fill="CCEEFF"/>
            <w:tcMar>
              <w:top w:w="30" w:type="dxa"/>
              <w:left w:w="0" w:type="dxa"/>
              <w:bottom w:w="30" w:type="dxa"/>
              <w:right w:w="0" w:type="dxa"/>
            </w:tcMar>
            <w:vAlign w:val="center"/>
            <w:hideMark/>
          </w:tcPr>
          <w:p w14:paraId="79A197D3" w14:textId="77777777" w:rsidR="00000000" w:rsidRDefault="00405D16">
            <w:pPr>
              <w:spacing w:after="100"/>
              <w:jc w:val="right"/>
              <w:rPr>
                <w:rFonts w:eastAsia="Times New Roman"/>
              </w:rPr>
            </w:pPr>
            <w:r>
              <w:rPr>
                <w:rFonts w:eastAsia="Times New Roman"/>
                <w:b/>
                <w:bCs/>
                <w:color w:val="000000"/>
                <w:sz w:val="18"/>
                <w:szCs w:val="18"/>
              </w:rPr>
              <w:t>3,984</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center"/>
            <w:hideMark/>
          </w:tcPr>
          <w:p w14:paraId="474A6FB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AD89B1"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55881195"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30" w:type="dxa"/>
              <w:left w:w="0" w:type="dxa"/>
              <w:bottom w:w="30" w:type="dxa"/>
              <w:right w:w="0" w:type="dxa"/>
            </w:tcMar>
            <w:vAlign w:val="center"/>
            <w:hideMark/>
          </w:tcPr>
          <w:p w14:paraId="60176981" w14:textId="77777777" w:rsidR="00000000" w:rsidRDefault="00405D16">
            <w:pPr>
              <w:spacing w:after="100"/>
              <w:jc w:val="right"/>
              <w:rPr>
                <w:rFonts w:eastAsia="Times New Roman"/>
              </w:rPr>
            </w:pPr>
            <w:r>
              <w:rPr>
                <w:rFonts w:eastAsia="Times New Roman"/>
                <w:b/>
                <w:bCs/>
                <w:color w:val="000000"/>
                <w:sz w:val="18"/>
                <w:szCs w:val="18"/>
              </w:rPr>
              <w:t>2,583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D3754AC"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4EB8506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FF089DC"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30" w:type="dxa"/>
              <w:left w:w="0" w:type="dxa"/>
              <w:bottom w:w="30" w:type="dxa"/>
              <w:right w:w="0" w:type="dxa"/>
            </w:tcMar>
            <w:vAlign w:val="center"/>
            <w:hideMark/>
          </w:tcPr>
          <w:p w14:paraId="19E570A0" w14:textId="77777777" w:rsidR="00000000" w:rsidRDefault="00405D16">
            <w:pPr>
              <w:spacing w:after="100"/>
              <w:jc w:val="right"/>
              <w:rPr>
                <w:rFonts w:eastAsia="Times New Roman"/>
              </w:rPr>
            </w:pPr>
            <w:r>
              <w:rPr>
                <w:rFonts w:eastAsia="Times New Roman"/>
                <w:b/>
                <w:bCs/>
                <w:color w:val="000000"/>
                <w:sz w:val="18"/>
                <w:szCs w:val="18"/>
              </w:rPr>
              <w:t>924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21E6A5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E258A2"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0D6F0E34"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4"/>
            <w:shd w:val="clear" w:color="auto" w:fill="CCEEFF"/>
            <w:tcMar>
              <w:top w:w="30" w:type="dxa"/>
              <w:left w:w="0" w:type="dxa"/>
              <w:bottom w:w="30" w:type="dxa"/>
              <w:right w:w="0" w:type="dxa"/>
            </w:tcMar>
            <w:vAlign w:val="center"/>
            <w:hideMark/>
          </w:tcPr>
          <w:p w14:paraId="7880A213" w14:textId="77777777" w:rsidR="00000000" w:rsidRDefault="00405D16">
            <w:pPr>
              <w:spacing w:after="100"/>
              <w:jc w:val="right"/>
              <w:rPr>
                <w:rFonts w:eastAsia="Times New Roman"/>
              </w:rPr>
            </w:pPr>
            <w:r>
              <w:rPr>
                <w:rFonts w:eastAsia="Times New Roman"/>
                <w:b/>
                <w:bCs/>
                <w:color w:val="000000"/>
                <w:sz w:val="18"/>
                <w:szCs w:val="18"/>
              </w:rPr>
              <w:t>4,455</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center"/>
            <w:hideMark/>
          </w:tcPr>
          <w:p w14:paraId="79D6B42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CA22B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1A3C67D"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30" w:type="dxa"/>
              <w:left w:w="0" w:type="dxa"/>
              <w:bottom w:w="30" w:type="dxa"/>
              <w:right w:w="0" w:type="dxa"/>
            </w:tcMar>
            <w:vAlign w:val="center"/>
            <w:hideMark/>
          </w:tcPr>
          <w:p w14:paraId="73027FBA" w14:textId="77777777" w:rsidR="00000000" w:rsidRDefault="00405D16">
            <w:pPr>
              <w:spacing w:after="100"/>
              <w:jc w:val="right"/>
              <w:rPr>
                <w:rFonts w:eastAsia="Times New Roman"/>
              </w:rPr>
            </w:pPr>
            <w:r>
              <w:rPr>
                <w:rFonts w:eastAsia="Times New Roman"/>
                <w:b/>
                <w:bCs/>
                <w:color w:val="000000"/>
                <w:sz w:val="18"/>
                <w:szCs w:val="18"/>
              </w:rPr>
              <w:t>18,929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1EAE600"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6B86695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E83F231"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4"/>
            <w:shd w:val="clear" w:color="auto" w:fill="CCEEFF"/>
            <w:tcMar>
              <w:top w:w="30" w:type="dxa"/>
              <w:left w:w="0" w:type="dxa"/>
              <w:bottom w:w="30" w:type="dxa"/>
              <w:right w:w="0" w:type="dxa"/>
            </w:tcMar>
            <w:vAlign w:val="center"/>
            <w:hideMark/>
          </w:tcPr>
          <w:p w14:paraId="46EF15A5" w14:textId="77777777" w:rsidR="00000000" w:rsidRDefault="00405D16">
            <w:pPr>
              <w:spacing w:after="100"/>
              <w:jc w:val="right"/>
              <w:rPr>
                <w:rFonts w:eastAsia="Times New Roman"/>
              </w:rPr>
            </w:pPr>
            <w:r>
              <w:rPr>
                <w:rFonts w:eastAsia="Times New Roman"/>
                <w:b/>
                <w:bCs/>
                <w:color w:val="000000"/>
                <w:sz w:val="18"/>
                <w:szCs w:val="18"/>
              </w:rPr>
              <w:t>10,950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D1E3E9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543D62"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76C3D594"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5"/>
            <w:shd w:val="clear" w:color="auto" w:fill="CCEEFF"/>
            <w:tcMar>
              <w:top w:w="30" w:type="dxa"/>
              <w:left w:w="0" w:type="dxa"/>
              <w:bottom w:w="30" w:type="dxa"/>
              <w:right w:w="0" w:type="dxa"/>
            </w:tcMar>
            <w:vAlign w:val="center"/>
            <w:hideMark/>
          </w:tcPr>
          <w:p w14:paraId="51E58E11"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E881364"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55CCEC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4756E0E"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30" w:type="dxa"/>
              <w:left w:w="0" w:type="dxa"/>
              <w:bottom w:w="30" w:type="dxa"/>
              <w:right w:w="0" w:type="dxa"/>
            </w:tcMar>
            <w:vAlign w:val="center"/>
            <w:hideMark/>
          </w:tcPr>
          <w:p w14:paraId="280BC6C2" w14:textId="77777777" w:rsidR="00000000" w:rsidRDefault="00405D16">
            <w:pPr>
              <w:spacing w:after="100"/>
              <w:jc w:val="right"/>
              <w:rPr>
                <w:rFonts w:eastAsia="Times New Roman"/>
              </w:rPr>
            </w:pPr>
            <w:r>
              <w:rPr>
                <w:rFonts w:eastAsia="Times New Roman"/>
                <w:b/>
                <w:bCs/>
                <w:color w:val="000000"/>
                <w:sz w:val="18"/>
                <w:szCs w:val="18"/>
              </w:rPr>
              <w:t>29,879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6D4D8BD" w14:textId="77777777" w:rsidR="00000000" w:rsidRDefault="00405D16">
            <w:pPr>
              <w:spacing w:after="100"/>
              <w:jc w:val="right"/>
              <w:rPr>
                <w:rFonts w:eastAsia="Times New Roman"/>
              </w:rPr>
            </w:pPr>
          </w:p>
        </w:tc>
      </w:tr>
      <w:tr w:rsidR="00405D16" w14:paraId="2935728D" w14:textId="77777777">
        <w:trPr>
          <w:gridAfter w:val="24"/>
          <w:divId w:val="1476604340"/>
        </w:trPr>
        <w:tc>
          <w:tcPr>
            <w:tcW w:w="0" w:type="auto"/>
            <w:gridSpan w:val="4"/>
            <w:shd w:val="clear" w:color="auto" w:fill="FFFFFF"/>
            <w:tcMar>
              <w:top w:w="30" w:type="dxa"/>
              <w:left w:w="380" w:type="dxa"/>
              <w:bottom w:w="30" w:type="dxa"/>
              <w:right w:w="20" w:type="dxa"/>
            </w:tcMar>
            <w:vAlign w:val="center"/>
            <w:hideMark/>
          </w:tcPr>
          <w:p w14:paraId="23CA13C5" w14:textId="77777777" w:rsidR="00000000" w:rsidRDefault="00405D16">
            <w:pPr>
              <w:spacing w:after="100"/>
              <w:rPr>
                <w:rFonts w:eastAsia="Times New Roman"/>
              </w:rPr>
            </w:pPr>
            <w:r>
              <w:rPr>
                <w:rFonts w:eastAsia="Times New Roman"/>
                <w:color w:val="000000"/>
                <w:sz w:val="18"/>
                <w:szCs w:val="18"/>
              </w:rPr>
              <w:t>Criticized performing</w:t>
            </w:r>
          </w:p>
        </w:tc>
        <w:tc>
          <w:tcPr>
            <w:tcW w:w="0" w:type="auto"/>
            <w:gridSpan w:val="3"/>
            <w:shd w:val="clear" w:color="auto" w:fill="FFFFFF"/>
            <w:tcMar>
              <w:top w:w="0" w:type="dxa"/>
              <w:left w:w="20" w:type="dxa"/>
              <w:bottom w:w="0" w:type="dxa"/>
              <w:right w:w="20" w:type="dxa"/>
            </w:tcMar>
            <w:vAlign w:val="center"/>
            <w:hideMark/>
          </w:tcPr>
          <w:p w14:paraId="1A6532ED" w14:textId="77777777" w:rsidR="00000000" w:rsidRDefault="00405D16">
            <w:pPr>
              <w:spacing w:after="100"/>
              <w:rPr>
                <w:rFonts w:eastAsia="Times New Roman"/>
              </w:rPr>
            </w:pPr>
          </w:p>
        </w:tc>
        <w:tc>
          <w:tcPr>
            <w:tcW w:w="0" w:type="auto"/>
            <w:gridSpan w:val="5"/>
            <w:shd w:val="clear" w:color="auto" w:fill="FFFFFF"/>
            <w:tcMar>
              <w:top w:w="30" w:type="dxa"/>
              <w:left w:w="20" w:type="dxa"/>
              <w:bottom w:w="30" w:type="dxa"/>
              <w:right w:w="0" w:type="dxa"/>
            </w:tcMar>
            <w:vAlign w:val="center"/>
            <w:hideMark/>
          </w:tcPr>
          <w:p w14:paraId="375F7714" w14:textId="77777777" w:rsidR="00000000" w:rsidRDefault="00405D16">
            <w:pPr>
              <w:spacing w:after="100"/>
              <w:jc w:val="right"/>
              <w:rPr>
                <w:rFonts w:eastAsia="Times New Roman"/>
              </w:rPr>
            </w:pPr>
            <w:r>
              <w:rPr>
                <w:rFonts w:eastAsia="Times New Roman"/>
                <w:b/>
                <w:bCs/>
                <w:color w:val="000000"/>
                <w:sz w:val="18"/>
                <w:szCs w:val="18"/>
              </w:rPr>
              <w:t>216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46810F5"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075F66EA" w14:textId="77777777" w:rsidR="00000000" w:rsidRDefault="00405D16">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14:paraId="71FBE5AA" w14:textId="77777777" w:rsidR="00000000" w:rsidRDefault="00405D16">
            <w:pPr>
              <w:spacing w:after="100"/>
              <w:jc w:val="right"/>
              <w:rPr>
                <w:rFonts w:eastAsia="Times New Roman"/>
              </w:rPr>
            </w:pPr>
            <w:r>
              <w:rPr>
                <w:rFonts w:eastAsia="Times New Roman"/>
                <w:b/>
                <w:bCs/>
                <w:color w:val="000000"/>
                <w:sz w:val="18"/>
                <w:szCs w:val="18"/>
              </w:rPr>
              <w:t>276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7A68F9C"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7BE04064" w14:textId="77777777" w:rsidR="00000000" w:rsidRDefault="00405D16">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14:paraId="65132BAB" w14:textId="77777777" w:rsidR="00000000" w:rsidRDefault="00405D16">
            <w:pPr>
              <w:spacing w:after="100"/>
              <w:jc w:val="right"/>
              <w:rPr>
                <w:rFonts w:eastAsia="Times New Roman"/>
              </w:rPr>
            </w:pPr>
            <w:r>
              <w:rPr>
                <w:rFonts w:eastAsia="Times New Roman"/>
                <w:b/>
                <w:bCs/>
                <w:color w:val="000000"/>
                <w:sz w:val="18"/>
                <w:szCs w:val="18"/>
              </w:rPr>
              <w:t>406</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center"/>
            <w:hideMark/>
          </w:tcPr>
          <w:p w14:paraId="2B7F3C5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3A29FF" w14:textId="77777777" w:rsidR="00000000" w:rsidRDefault="00405D16">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14:paraId="116A006B" w14:textId="77777777" w:rsidR="00000000" w:rsidRDefault="00405D16">
            <w:pPr>
              <w:spacing w:after="100"/>
              <w:jc w:val="right"/>
              <w:rPr>
                <w:rFonts w:eastAsia="Times New Roman"/>
              </w:rPr>
            </w:pPr>
            <w:r>
              <w:rPr>
                <w:rFonts w:eastAsia="Times New Roman"/>
                <w:b/>
                <w:bCs/>
                <w:color w:val="000000"/>
                <w:sz w:val="18"/>
                <w:szCs w:val="18"/>
              </w:rPr>
              <w:t>334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A9EC81D"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286FBFB4" w14:textId="77777777" w:rsidR="00000000" w:rsidRDefault="00405D16">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14:paraId="621A1496" w14:textId="77777777" w:rsidR="00000000" w:rsidRDefault="00405D16">
            <w:pPr>
              <w:spacing w:after="100"/>
              <w:jc w:val="right"/>
              <w:rPr>
                <w:rFonts w:eastAsia="Times New Roman"/>
              </w:rPr>
            </w:pPr>
            <w:r>
              <w:rPr>
                <w:rFonts w:eastAsia="Times New Roman"/>
                <w:b/>
                <w:bCs/>
                <w:color w:val="000000"/>
                <w:sz w:val="18"/>
                <w:szCs w:val="18"/>
              </w:rPr>
              <w:t>237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D94A12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F7F74A" w14:textId="77777777" w:rsidR="00000000" w:rsidRDefault="00405D16">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14:paraId="68D6B7B5" w14:textId="77777777" w:rsidR="00000000" w:rsidRDefault="00405D16">
            <w:pPr>
              <w:spacing w:after="100"/>
              <w:jc w:val="right"/>
              <w:rPr>
                <w:rFonts w:eastAsia="Times New Roman"/>
              </w:rPr>
            </w:pPr>
            <w:r>
              <w:rPr>
                <w:rFonts w:eastAsia="Times New Roman"/>
                <w:b/>
                <w:bCs/>
                <w:color w:val="000000"/>
                <w:sz w:val="18"/>
                <w:szCs w:val="18"/>
              </w:rPr>
              <w:t>1,335</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center"/>
            <w:hideMark/>
          </w:tcPr>
          <w:p w14:paraId="1052953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3224A2" w14:textId="77777777" w:rsidR="00000000" w:rsidRDefault="00405D16">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14:paraId="5DB43EA8" w14:textId="77777777" w:rsidR="00000000" w:rsidRDefault="00405D16">
            <w:pPr>
              <w:spacing w:after="100"/>
              <w:jc w:val="right"/>
              <w:rPr>
                <w:rFonts w:eastAsia="Times New Roman"/>
              </w:rPr>
            </w:pPr>
            <w:r>
              <w:rPr>
                <w:rFonts w:eastAsia="Times New Roman"/>
                <w:b/>
                <w:bCs/>
                <w:color w:val="000000"/>
                <w:sz w:val="18"/>
                <w:szCs w:val="18"/>
              </w:rPr>
              <w:t>2,804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6D48AC5"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02DC9C4F" w14:textId="77777777" w:rsidR="00000000" w:rsidRDefault="00405D16">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14:paraId="64653606" w14:textId="77777777" w:rsidR="00000000" w:rsidRDefault="00405D16">
            <w:pPr>
              <w:spacing w:after="100"/>
              <w:jc w:val="right"/>
              <w:rPr>
                <w:rFonts w:eastAsia="Times New Roman"/>
              </w:rPr>
            </w:pPr>
            <w:r>
              <w:rPr>
                <w:rFonts w:eastAsia="Times New Roman"/>
                <w:b/>
                <w:bCs/>
                <w:color w:val="000000"/>
                <w:sz w:val="18"/>
                <w:szCs w:val="18"/>
              </w:rPr>
              <w:t>101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9D66E4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51926D" w14:textId="77777777" w:rsidR="00000000" w:rsidRDefault="00405D16">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14:paraId="1E6B4A5F" w14:textId="77777777" w:rsidR="00000000" w:rsidRDefault="00405D16">
            <w:pPr>
              <w:spacing w:after="100"/>
              <w:jc w:val="right"/>
              <w:rPr>
                <w:rFonts w:eastAsia="Times New Roman"/>
              </w:rPr>
            </w:pPr>
            <w:r>
              <w:rPr>
                <w:rFonts w:eastAsia="Times New Roman"/>
                <w:b/>
                <w:bCs/>
                <w:color w:val="000000"/>
                <w:sz w:val="18"/>
                <w:szCs w:val="18"/>
              </w:rPr>
              <w:t>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510F222"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4625D11A" w14:textId="77777777" w:rsidR="00000000" w:rsidRDefault="00405D16">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14:paraId="33D3A89D" w14:textId="77777777" w:rsidR="00000000" w:rsidRDefault="00405D16">
            <w:pPr>
              <w:spacing w:after="100"/>
              <w:jc w:val="right"/>
              <w:rPr>
                <w:rFonts w:eastAsia="Times New Roman"/>
              </w:rPr>
            </w:pPr>
            <w:r>
              <w:rPr>
                <w:rFonts w:eastAsia="Times New Roman"/>
                <w:b/>
                <w:bCs/>
                <w:color w:val="000000"/>
                <w:sz w:val="18"/>
                <w:szCs w:val="18"/>
              </w:rPr>
              <w:t>2,930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9F86487" w14:textId="77777777" w:rsidR="00000000" w:rsidRDefault="00405D16">
            <w:pPr>
              <w:spacing w:after="100"/>
              <w:jc w:val="right"/>
              <w:rPr>
                <w:rFonts w:eastAsia="Times New Roman"/>
              </w:rPr>
            </w:pPr>
          </w:p>
        </w:tc>
      </w:tr>
      <w:tr w:rsidR="00405D16" w14:paraId="40C0318A" w14:textId="77777777">
        <w:trPr>
          <w:gridAfter w:val="24"/>
          <w:divId w:val="1476604340"/>
        </w:trPr>
        <w:tc>
          <w:tcPr>
            <w:tcW w:w="0" w:type="auto"/>
            <w:gridSpan w:val="4"/>
            <w:shd w:val="clear" w:color="auto" w:fill="CCEEFF"/>
            <w:tcMar>
              <w:top w:w="30" w:type="dxa"/>
              <w:left w:w="380" w:type="dxa"/>
              <w:bottom w:w="30" w:type="dxa"/>
              <w:right w:w="20" w:type="dxa"/>
            </w:tcMar>
            <w:vAlign w:val="center"/>
            <w:hideMark/>
          </w:tcPr>
          <w:p w14:paraId="02784718" w14:textId="77777777" w:rsidR="00000000" w:rsidRDefault="00405D16">
            <w:pPr>
              <w:spacing w:after="100"/>
              <w:rPr>
                <w:rFonts w:eastAsia="Times New Roman"/>
              </w:rPr>
            </w:pPr>
            <w:r>
              <w:rPr>
                <w:rFonts w:eastAsia="Times New Roman"/>
                <w:color w:val="000000"/>
                <w:sz w:val="18"/>
                <w:szCs w:val="18"/>
              </w:rPr>
              <w:t>Criticized nonperforming</w:t>
            </w:r>
          </w:p>
        </w:tc>
        <w:tc>
          <w:tcPr>
            <w:tcW w:w="0" w:type="auto"/>
            <w:gridSpan w:val="3"/>
            <w:shd w:val="clear" w:color="auto" w:fill="CCEEFF"/>
            <w:tcMar>
              <w:top w:w="0" w:type="dxa"/>
              <w:left w:w="20" w:type="dxa"/>
              <w:bottom w:w="0" w:type="dxa"/>
              <w:right w:w="20" w:type="dxa"/>
            </w:tcMar>
            <w:vAlign w:val="center"/>
            <w:hideMark/>
          </w:tcPr>
          <w:p w14:paraId="5B4C1C37" w14:textId="77777777" w:rsidR="00000000" w:rsidRDefault="00405D16">
            <w:pPr>
              <w:spacing w:after="100"/>
              <w:rPr>
                <w:rFonts w:eastAsia="Times New Roman"/>
              </w:rPr>
            </w:pPr>
          </w:p>
        </w:tc>
        <w:tc>
          <w:tcPr>
            <w:tcW w:w="0" w:type="auto"/>
            <w:gridSpan w:val="5"/>
            <w:shd w:val="clear" w:color="auto" w:fill="CCEEFF"/>
            <w:tcMar>
              <w:top w:w="30" w:type="dxa"/>
              <w:left w:w="20" w:type="dxa"/>
              <w:bottom w:w="30" w:type="dxa"/>
              <w:right w:w="0" w:type="dxa"/>
            </w:tcMar>
            <w:vAlign w:val="center"/>
            <w:hideMark/>
          </w:tcPr>
          <w:p w14:paraId="11E3422D"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66E7ACF"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676A3575" w14:textId="77777777" w:rsidR="00000000" w:rsidRDefault="00405D16">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14:paraId="7091B6AC"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119D747"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7647CC1" w14:textId="77777777" w:rsidR="00000000" w:rsidRDefault="00405D16">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center"/>
            <w:hideMark/>
          </w:tcPr>
          <w:p w14:paraId="651300A1" w14:textId="77777777" w:rsidR="00000000" w:rsidRDefault="00405D16">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center"/>
            <w:hideMark/>
          </w:tcPr>
          <w:p w14:paraId="250C1EE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09FB13" w14:textId="77777777" w:rsidR="00000000" w:rsidRDefault="00405D16">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14:paraId="62F1F778" w14:textId="77777777" w:rsidR="00000000" w:rsidRDefault="00405D16">
            <w:pPr>
              <w:spacing w:after="100"/>
              <w:jc w:val="right"/>
              <w:rPr>
                <w:rFonts w:eastAsia="Times New Roman"/>
              </w:rPr>
            </w:pPr>
            <w:r>
              <w:rPr>
                <w:rFonts w:eastAsia="Times New Roman"/>
                <w:b/>
                <w:bCs/>
                <w:color w:val="000000"/>
                <w:sz w:val="18"/>
                <w:szCs w:val="18"/>
              </w:rPr>
              <w:t>29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7AFA230"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27EE0559" w14:textId="77777777" w:rsidR="00000000" w:rsidRDefault="00405D16">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14:paraId="714FEF30" w14:textId="77777777" w:rsidR="00000000" w:rsidRDefault="00405D16">
            <w:pPr>
              <w:spacing w:after="100"/>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297E5B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53AED0" w14:textId="77777777" w:rsidR="00000000" w:rsidRDefault="00405D16">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14:paraId="7D663089" w14:textId="77777777" w:rsidR="00000000" w:rsidRDefault="00405D16">
            <w:pPr>
              <w:spacing w:after="100"/>
              <w:jc w:val="right"/>
              <w:rPr>
                <w:rFonts w:eastAsia="Times New Roman"/>
              </w:rPr>
            </w:pPr>
            <w:r>
              <w:rPr>
                <w:rFonts w:eastAsia="Times New Roman"/>
                <w:b/>
                <w:bCs/>
                <w:color w:val="000000"/>
                <w:sz w:val="18"/>
                <w:szCs w:val="18"/>
              </w:rPr>
              <w:t>240</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center"/>
            <w:hideMark/>
          </w:tcPr>
          <w:p w14:paraId="5460E2D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EB41AD" w14:textId="77777777" w:rsidR="00000000" w:rsidRDefault="00405D16">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14:paraId="13434F16" w14:textId="77777777" w:rsidR="00000000" w:rsidRDefault="00405D16">
            <w:pPr>
              <w:spacing w:after="100"/>
              <w:jc w:val="right"/>
              <w:rPr>
                <w:rFonts w:eastAsia="Times New Roman"/>
              </w:rPr>
            </w:pPr>
            <w:r>
              <w:rPr>
                <w:rFonts w:eastAsia="Times New Roman"/>
                <w:b/>
                <w:bCs/>
                <w:color w:val="000000"/>
                <w:sz w:val="18"/>
                <w:szCs w:val="18"/>
              </w:rPr>
              <w:t>287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83DAC2D"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11030222" w14:textId="77777777" w:rsidR="00000000" w:rsidRDefault="00405D16">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center"/>
            <w:hideMark/>
          </w:tcPr>
          <w:p w14:paraId="3B758647"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6AD26E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BA9FAB" w14:textId="77777777" w:rsidR="00000000" w:rsidRDefault="00405D16">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center"/>
            <w:hideMark/>
          </w:tcPr>
          <w:p w14:paraId="218C59F6"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063E8FE"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33EE1BB6" w14:textId="77777777" w:rsidR="00000000" w:rsidRDefault="00405D16">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14:paraId="50A9DAE0" w14:textId="77777777" w:rsidR="00000000" w:rsidRDefault="00405D16">
            <w:pPr>
              <w:spacing w:after="100"/>
              <w:jc w:val="right"/>
              <w:rPr>
                <w:rFonts w:eastAsia="Times New Roman"/>
              </w:rPr>
            </w:pPr>
            <w:r>
              <w:rPr>
                <w:rFonts w:eastAsia="Times New Roman"/>
                <w:b/>
                <w:bCs/>
                <w:color w:val="000000"/>
                <w:sz w:val="18"/>
                <w:szCs w:val="18"/>
              </w:rPr>
              <w:t>287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F3EA156" w14:textId="77777777" w:rsidR="00000000" w:rsidRDefault="00405D16">
            <w:pPr>
              <w:spacing w:after="100"/>
              <w:jc w:val="right"/>
              <w:rPr>
                <w:rFonts w:eastAsia="Times New Roman"/>
              </w:rPr>
            </w:pPr>
          </w:p>
        </w:tc>
      </w:tr>
      <w:tr w:rsidR="00405D16" w14:paraId="39C00C00" w14:textId="77777777">
        <w:trPr>
          <w:gridAfter w:val="24"/>
          <w:divId w:val="1476604340"/>
        </w:trPr>
        <w:tc>
          <w:tcPr>
            <w:tcW w:w="0" w:type="auto"/>
            <w:gridSpan w:val="4"/>
            <w:shd w:val="clear" w:color="auto" w:fill="FFFFFF"/>
            <w:tcMar>
              <w:top w:w="30" w:type="dxa"/>
              <w:left w:w="245" w:type="dxa"/>
              <w:bottom w:w="30" w:type="dxa"/>
              <w:right w:w="20" w:type="dxa"/>
            </w:tcMar>
            <w:vAlign w:val="center"/>
            <w:hideMark/>
          </w:tcPr>
          <w:p w14:paraId="2839580C" w14:textId="77777777" w:rsidR="00000000" w:rsidRDefault="00405D16">
            <w:pPr>
              <w:spacing w:after="100"/>
              <w:rPr>
                <w:rFonts w:eastAsia="Times New Roman"/>
              </w:rPr>
            </w:pPr>
            <w:r>
              <w:rPr>
                <w:rFonts w:eastAsia="Times New Roman"/>
                <w:color w:val="000000"/>
                <w:sz w:val="18"/>
                <w:szCs w:val="18"/>
              </w:rPr>
              <w:t>Total commercial and multifamily real estate</w:t>
            </w:r>
          </w:p>
        </w:tc>
        <w:tc>
          <w:tcPr>
            <w:tcW w:w="0" w:type="auto"/>
            <w:gridSpan w:val="3"/>
            <w:shd w:val="clear" w:color="auto" w:fill="FFFFFF"/>
            <w:tcMar>
              <w:top w:w="0" w:type="dxa"/>
              <w:left w:w="20" w:type="dxa"/>
              <w:bottom w:w="0" w:type="dxa"/>
              <w:right w:w="20" w:type="dxa"/>
            </w:tcMar>
            <w:vAlign w:val="center"/>
            <w:hideMark/>
          </w:tcPr>
          <w:p w14:paraId="3AF380D4" w14:textId="77777777" w:rsidR="00000000" w:rsidRDefault="00405D16">
            <w:pPr>
              <w:spacing w:after="100"/>
              <w:rPr>
                <w:rFonts w:eastAsia="Times New Roman"/>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14:paraId="2AA20EE6" w14:textId="77777777" w:rsidR="00000000" w:rsidRDefault="00405D16">
            <w:pPr>
              <w:spacing w:after="100"/>
              <w:jc w:val="right"/>
              <w:rPr>
                <w:rFonts w:eastAsia="Times New Roman"/>
              </w:rPr>
            </w:pPr>
            <w:r>
              <w:rPr>
                <w:rFonts w:eastAsia="Times New Roman"/>
                <w:b/>
                <w:bCs/>
                <w:color w:val="000000"/>
                <w:sz w:val="18"/>
                <w:szCs w:val="18"/>
              </w:rPr>
              <w:t>3,879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62244C7"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0BB55B1E" w14:textId="77777777" w:rsidR="00000000" w:rsidRDefault="00405D16">
            <w:pPr>
              <w:spacing w:after="100"/>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14:paraId="477532B0" w14:textId="77777777" w:rsidR="00000000" w:rsidRDefault="00405D16">
            <w:pPr>
              <w:spacing w:after="100"/>
              <w:jc w:val="right"/>
              <w:rPr>
                <w:rFonts w:eastAsia="Times New Roman"/>
              </w:rPr>
            </w:pPr>
            <w:r>
              <w:rPr>
                <w:rFonts w:eastAsia="Times New Roman"/>
                <w:b/>
                <w:bCs/>
                <w:color w:val="000000"/>
                <w:sz w:val="18"/>
                <w:szCs w:val="18"/>
              </w:rPr>
              <w:t>3,596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6266AE4"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3ADFAEAE" w14:textId="77777777" w:rsidR="00000000" w:rsidRDefault="00405D16">
            <w:pPr>
              <w:spacing w:after="100"/>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14:paraId="323D1ACF" w14:textId="77777777" w:rsidR="00000000" w:rsidRDefault="00405D16">
            <w:pPr>
              <w:spacing w:after="100"/>
              <w:jc w:val="right"/>
              <w:rPr>
                <w:rFonts w:eastAsia="Times New Roman"/>
              </w:rPr>
            </w:pPr>
            <w:r>
              <w:rPr>
                <w:rFonts w:eastAsia="Times New Roman"/>
                <w:b/>
                <w:bCs/>
                <w:color w:val="000000"/>
                <w:sz w:val="18"/>
                <w:szCs w:val="18"/>
              </w:rPr>
              <w:t>4,398</w:t>
            </w:r>
            <w:r>
              <w:rPr>
                <w:rFonts w:eastAsia="Times New Roman"/>
                <w:color w:val="000000"/>
                <w:sz w:val="18"/>
                <w:szCs w:val="18"/>
              </w:rPr>
              <w:t> </w:t>
            </w:r>
          </w:p>
        </w:tc>
        <w:tc>
          <w:tcPr>
            <w:tcW w:w="0" w:type="auto"/>
            <w:gridSpan w:val="2"/>
            <w:tcBorders>
              <w:top w:val="single" w:sz="8" w:space="0" w:color="000000"/>
            </w:tcBorders>
            <w:shd w:val="clear" w:color="auto" w:fill="FFFFFF"/>
            <w:tcMar>
              <w:top w:w="30" w:type="dxa"/>
              <w:left w:w="0" w:type="dxa"/>
              <w:bottom w:w="30" w:type="dxa"/>
              <w:right w:w="20" w:type="dxa"/>
            </w:tcMar>
            <w:vAlign w:val="bottom"/>
            <w:hideMark/>
          </w:tcPr>
          <w:p w14:paraId="6D3A499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272B1B" w14:textId="77777777" w:rsidR="00000000" w:rsidRDefault="00405D16">
            <w:pPr>
              <w:spacing w:after="100"/>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14:paraId="29AD9CA0" w14:textId="77777777" w:rsidR="00000000" w:rsidRDefault="00405D16">
            <w:pPr>
              <w:spacing w:after="100"/>
              <w:jc w:val="right"/>
              <w:rPr>
                <w:rFonts w:eastAsia="Times New Roman"/>
              </w:rPr>
            </w:pPr>
            <w:r>
              <w:rPr>
                <w:rFonts w:eastAsia="Times New Roman"/>
                <w:b/>
                <w:bCs/>
                <w:color w:val="000000"/>
                <w:sz w:val="18"/>
                <w:szCs w:val="18"/>
              </w:rPr>
              <w:t>2,946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5E7CAC"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37E17E18" w14:textId="77777777" w:rsidR="00000000" w:rsidRDefault="00405D16">
            <w:pPr>
              <w:spacing w:after="100"/>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14:paraId="60AF2D9E" w14:textId="77777777" w:rsidR="00000000" w:rsidRDefault="00405D16">
            <w:pPr>
              <w:spacing w:after="100"/>
              <w:jc w:val="right"/>
              <w:rPr>
                <w:rFonts w:eastAsia="Times New Roman"/>
              </w:rPr>
            </w:pPr>
            <w:r>
              <w:rPr>
                <w:rFonts w:eastAsia="Times New Roman"/>
                <w:b/>
                <w:bCs/>
                <w:color w:val="000000"/>
                <w:sz w:val="18"/>
                <w:szCs w:val="18"/>
              </w:rPr>
              <w:t>1,171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B75EA8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B2241E" w14:textId="77777777" w:rsidR="00000000" w:rsidRDefault="00405D16">
            <w:pPr>
              <w:spacing w:after="100"/>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14:paraId="0E2050CB" w14:textId="77777777" w:rsidR="00000000" w:rsidRDefault="00405D16">
            <w:pPr>
              <w:spacing w:after="100"/>
              <w:jc w:val="right"/>
              <w:rPr>
                <w:rFonts w:eastAsia="Times New Roman"/>
              </w:rPr>
            </w:pPr>
            <w:r>
              <w:rPr>
                <w:rFonts w:eastAsia="Times New Roman"/>
                <w:b/>
                <w:bCs/>
                <w:color w:val="000000"/>
                <w:sz w:val="18"/>
                <w:szCs w:val="18"/>
              </w:rPr>
              <w:t>6,030</w:t>
            </w:r>
            <w:r>
              <w:rPr>
                <w:rFonts w:eastAsia="Times New Roman"/>
                <w:color w:val="000000"/>
                <w:sz w:val="18"/>
                <w:szCs w:val="18"/>
              </w:rPr>
              <w:t> </w:t>
            </w:r>
          </w:p>
        </w:tc>
        <w:tc>
          <w:tcPr>
            <w:tcW w:w="0" w:type="auto"/>
            <w:gridSpan w:val="2"/>
            <w:tcBorders>
              <w:top w:val="single" w:sz="8" w:space="0" w:color="000000"/>
            </w:tcBorders>
            <w:shd w:val="clear" w:color="auto" w:fill="FFFFFF"/>
            <w:tcMar>
              <w:top w:w="30" w:type="dxa"/>
              <w:left w:w="0" w:type="dxa"/>
              <w:bottom w:w="30" w:type="dxa"/>
              <w:right w:w="20" w:type="dxa"/>
            </w:tcMar>
            <w:vAlign w:val="bottom"/>
            <w:hideMark/>
          </w:tcPr>
          <w:p w14:paraId="08C8309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FC2D0E" w14:textId="77777777" w:rsidR="00000000" w:rsidRDefault="00405D16">
            <w:pPr>
              <w:spacing w:after="100"/>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14:paraId="1F5927A9" w14:textId="77777777" w:rsidR="00000000" w:rsidRDefault="00405D16">
            <w:pPr>
              <w:spacing w:after="100"/>
              <w:jc w:val="right"/>
              <w:rPr>
                <w:rFonts w:eastAsia="Times New Roman"/>
              </w:rPr>
            </w:pPr>
            <w:r>
              <w:rPr>
                <w:rFonts w:eastAsia="Times New Roman"/>
                <w:b/>
                <w:bCs/>
                <w:color w:val="000000"/>
                <w:sz w:val="18"/>
                <w:szCs w:val="18"/>
              </w:rPr>
              <w:t>22,020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A53535E"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29B206E1" w14:textId="77777777" w:rsidR="00000000" w:rsidRDefault="00405D16">
            <w:pPr>
              <w:spacing w:after="100"/>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14:paraId="2DBEB563" w14:textId="77777777" w:rsidR="00000000" w:rsidRDefault="00405D16">
            <w:pPr>
              <w:spacing w:after="100"/>
              <w:jc w:val="right"/>
              <w:rPr>
                <w:rFonts w:eastAsia="Times New Roman"/>
              </w:rPr>
            </w:pPr>
            <w:r>
              <w:rPr>
                <w:rFonts w:eastAsia="Times New Roman"/>
                <w:b/>
                <w:bCs/>
                <w:color w:val="000000"/>
                <w:sz w:val="18"/>
                <w:szCs w:val="18"/>
              </w:rPr>
              <w:t>11,051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41740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0CFAF2" w14:textId="77777777" w:rsidR="00000000" w:rsidRDefault="00405D16">
            <w:pPr>
              <w:spacing w:after="100"/>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14:paraId="5703FDEA" w14:textId="77777777" w:rsidR="00000000" w:rsidRDefault="00405D16">
            <w:pPr>
              <w:spacing w:after="100"/>
              <w:jc w:val="right"/>
              <w:rPr>
                <w:rFonts w:eastAsia="Times New Roman"/>
              </w:rPr>
            </w:pPr>
            <w:r>
              <w:rPr>
                <w:rFonts w:eastAsia="Times New Roman"/>
                <w:b/>
                <w:bCs/>
                <w:color w:val="000000"/>
                <w:sz w:val="18"/>
                <w:szCs w:val="18"/>
              </w:rPr>
              <w:t>25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F30D858"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1FE875BF" w14:textId="77777777" w:rsidR="00000000" w:rsidRDefault="00405D16">
            <w:pPr>
              <w:spacing w:after="100"/>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14:paraId="33F9E8B2" w14:textId="77777777" w:rsidR="00000000" w:rsidRDefault="00405D16">
            <w:pPr>
              <w:spacing w:after="100"/>
              <w:jc w:val="right"/>
              <w:rPr>
                <w:rFonts w:eastAsia="Times New Roman"/>
              </w:rPr>
            </w:pPr>
            <w:r>
              <w:rPr>
                <w:rFonts w:eastAsia="Times New Roman"/>
                <w:b/>
                <w:bCs/>
                <w:color w:val="000000"/>
                <w:sz w:val="18"/>
                <w:szCs w:val="18"/>
              </w:rPr>
              <w:t>33,096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560B302" w14:textId="77777777" w:rsidR="00000000" w:rsidRDefault="00405D16">
            <w:pPr>
              <w:spacing w:after="100"/>
              <w:jc w:val="right"/>
              <w:rPr>
                <w:rFonts w:eastAsia="Times New Roman"/>
              </w:rPr>
            </w:pPr>
          </w:p>
        </w:tc>
      </w:tr>
      <w:tr w:rsidR="00000000" w14:paraId="12C01085" w14:textId="77777777">
        <w:trPr>
          <w:gridAfter w:val="24"/>
          <w:divId w:val="1476604340"/>
        </w:trPr>
        <w:tc>
          <w:tcPr>
            <w:tcW w:w="0" w:type="auto"/>
            <w:gridSpan w:val="4"/>
            <w:shd w:val="clear" w:color="auto" w:fill="CCEEFF"/>
            <w:tcMar>
              <w:top w:w="30" w:type="dxa"/>
              <w:left w:w="155" w:type="dxa"/>
              <w:bottom w:w="30" w:type="dxa"/>
              <w:right w:w="20" w:type="dxa"/>
            </w:tcMar>
            <w:vAlign w:val="center"/>
            <w:hideMark/>
          </w:tcPr>
          <w:p w14:paraId="17991F4A" w14:textId="77777777" w:rsidR="00000000" w:rsidRDefault="00405D16">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14:paraId="685211B4" w14:textId="77777777" w:rsidR="00000000" w:rsidRDefault="00405D16">
            <w:pPr>
              <w:spacing w:after="100"/>
              <w:rPr>
                <w:rFonts w:eastAsia="Times New Roman"/>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14:paraId="2F7E0C98"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11B5F3C5" w14:textId="77777777" w:rsidR="00000000" w:rsidRDefault="00405D16">
            <w:pPr>
              <w:spacing w:after="100"/>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14:paraId="0C558A29"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48A20635" w14:textId="77777777" w:rsidR="00000000" w:rsidRDefault="00405D16">
            <w:pPr>
              <w:spacing w:after="100"/>
              <w:rPr>
                <w:rFonts w:eastAsia="Times New Roman"/>
                <w:sz w:val="20"/>
                <w:szCs w:val="20"/>
              </w:rPr>
            </w:pPr>
          </w:p>
        </w:tc>
        <w:tc>
          <w:tcPr>
            <w:tcW w:w="0" w:type="auto"/>
            <w:gridSpan w:val="8"/>
            <w:tcBorders>
              <w:top w:val="single" w:sz="8" w:space="0" w:color="000000"/>
            </w:tcBorders>
            <w:shd w:val="clear" w:color="auto" w:fill="CCEEFF"/>
            <w:tcMar>
              <w:top w:w="0" w:type="dxa"/>
              <w:left w:w="20" w:type="dxa"/>
              <w:bottom w:w="0" w:type="dxa"/>
              <w:right w:w="20" w:type="dxa"/>
            </w:tcMar>
            <w:vAlign w:val="center"/>
            <w:hideMark/>
          </w:tcPr>
          <w:p w14:paraId="0AD50BC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309F31" w14:textId="77777777" w:rsidR="00000000" w:rsidRDefault="00405D16">
            <w:pPr>
              <w:spacing w:after="100"/>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14:paraId="2657D77F"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12F2DB90" w14:textId="77777777" w:rsidR="00000000" w:rsidRDefault="00405D16">
            <w:pPr>
              <w:spacing w:after="100"/>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14:paraId="09DDCE2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3B43EE" w14:textId="77777777" w:rsidR="00000000" w:rsidRDefault="00405D16">
            <w:pPr>
              <w:spacing w:after="100"/>
              <w:rPr>
                <w:rFonts w:eastAsia="Times New Roman"/>
                <w:sz w:val="20"/>
                <w:szCs w:val="20"/>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14:paraId="05A9C20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86363A" w14:textId="77777777" w:rsidR="00000000" w:rsidRDefault="00405D16">
            <w:pPr>
              <w:spacing w:after="100"/>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14:paraId="23DB302E"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2AD417C6" w14:textId="77777777" w:rsidR="00000000" w:rsidRDefault="00405D16">
            <w:pPr>
              <w:spacing w:after="100"/>
              <w:rPr>
                <w:rFonts w:eastAsia="Times New Roman"/>
                <w:sz w:val="20"/>
                <w:szCs w:val="20"/>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14:paraId="25A0D03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6073D2" w14:textId="77777777" w:rsidR="00000000" w:rsidRDefault="00405D16">
            <w:pPr>
              <w:spacing w:after="100"/>
              <w:rPr>
                <w:rFonts w:eastAsia="Times New Roman"/>
                <w:sz w:val="20"/>
                <w:szCs w:val="20"/>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14:paraId="00480EB8"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67694AA2" w14:textId="77777777" w:rsidR="00000000" w:rsidRDefault="00405D16">
            <w:pPr>
              <w:spacing w:after="100"/>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14:paraId="4D6125FC" w14:textId="77777777" w:rsidR="00000000" w:rsidRDefault="00405D16">
            <w:pPr>
              <w:spacing w:after="100"/>
              <w:rPr>
                <w:rFonts w:eastAsia="Times New Roman"/>
                <w:sz w:val="20"/>
                <w:szCs w:val="20"/>
              </w:rPr>
            </w:pPr>
          </w:p>
        </w:tc>
        <w:tc>
          <w:tcPr>
            <w:tcW w:w="0" w:type="auto"/>
            <w:vAlign w:val="center"/>
            <w:hideMark/>
          </w:tcPr>
          <w:p w14:paraId="22FB0373" w14:textId="77777777" w:rsidR="00000000" w:rsidRDefault="00405D16">
            <w:pPr>
              <w:spacing w:after="100"/>
              <w:rPr>
                <w:rFonts w:eastAsia="Times New Roman"/>
                <w:sz w:val="20"/>
                <w:szCs w:val="20"/>
              </w:rPr>
            </w:pPr>
          </w:p>
        </w:tc>
      </w:tr>
      <w:tr w:rsidR="00405D16" w14:paraId="717A507B" w14:textId="77777777">
        <w:trPr>
          <w:gridAfter w:val="24"/>
          <w:divId w:val="1476604340"/>
        </w:trPr>
        <w:tc>
          <w:tcPr>
            <w:tcW w:w="0" w:type="auto"/>
            <w:gridSpan w:val="4"/>
            <w:shd w:val="clear" w:color="auto" w:fill="FFFFFF"/>
            <w:tcMar>
              <w:top w:w="30" w:type="dxa"/>
              <w:left w:w="380" w:type="dxa"/>
              <w:bottom w:w="30" w:type="dxa"/>
              <w:right w:w="20" w:type="dxa"/>
            </w:tcMar>
            <w:vAlign w:val="center"/>
            <w:hideMark/>
          </w:tcPr>
          <w:p w14:paraId="6D468B91" w14:textId="77777777" w:rsidR="00000000" w:rsidRDefault="00405D16">
            <w:pPr>
              <w:spacing w:after="100"/>
              <w:rPr>
                <w:rFonts w:eastAsia="Times New Roman"/>
              </w:rPr>
            </w:pPr>
            <w:r>
              <w:rPr>
                <w:rFonts w:eastAsia="Times New Roman"/>
                <w:color w:val="000000"/>
                <w:sz w:val="18"/>
                <w:szCs w:val="18"/>
              </w:rPr>
              <w:t>Noncriticized</w:t>
            </w:r>
          </w:p>
        </w:tc>
        <w:tc>
          <w:tcPr>
            <w:tcW w:w="0" w:type="auto"/>
            <w:gridSpan w:val="3"/>
            <w:shd w:val="clear" w:color="auto" w:fill="FFFFFF"/>
            <w:tcMar>
              <w:top w:w="0" w:type="dxa"/>
              <w:left w:w="20" w:type="dxa"/>
              <w:bottom w:w="0" w:type="dxa"/>
              <w:right w:w="20" w:type="dxa"/>
            </w:tcMar>
            <w:vAlign w:val="center"/>
            <w:hideMark/>
          </w:tcPr>
          <w:p w14:paraId="46651DEE" w14:textId="77777777" w:rsidR="00000000" w:rsidRDefault="00405D16">
            <w:pPr>
              <w:spacing w:after="100"/>
              <w:rPr>
                <w:rFonts w:eastAsia="Times New Roman"/>
              </w:rPr>
            </w:pPr>
          </w:p>
        </w:tc>
        <w:tc>
          <w:tcPr>
            <w:tcW w:w="0" w:type="auto"/>
            <w:gridSpan w:val="5"/>
            <w:shd w:val="clear" w:color="auto" w:fill="FFFFFF"/>
            <w:tcMar>
              <w:top w:w="30" w:type="dxa"/>
              <w:left w:w="20" w:type="dxa"/>
              <w:bottom w:w="30" w:type="dxa"/>
              <w:right w:w="0" w:type="dxa"/>
            </w:tcMar>
            <w:vAlign w:val="center"/>
            <w:hideMark/>
          </w:tcPr>
          <w:p w14:paraId="303A0ECD" w14:textId="77777777" w:rsidR="00000000" w:rsidRDefault="00405D16">
            <w:pPr>
              <w:spacing w:after="100"/>
              <w:jc w:val="right"/>
              <w:rPr>
                <w:rFonts w:eastAsia="Times New Roman"/>
              </w:rPr>
            </w:pPr>
            <w:r>
              <w:rPr>
                <w:rFonts w:eastAsia="Times New Roman"/>
                <w:b/>
                <w:bCs/>
                <w:color w:val="000000"/>
                <w:sz w:val="18"/>
                <w:szCs w:val="18"/>
              </w:rPr>
              <w:t>8,064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E56920F"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1A2E1D26" w14:textId="77777777" w:rsidR="00000000" w:rsidRDefault="00405D16">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14:paraId="7620EA28" w14:textId="77777777" w:rsidR="00000000" w:rsidRDefault="00405D16">
            <w:pPr>
              <w:spacing w:after="100"/>
              <w:jc w:val="right"/>
              <w:rPr>
                <w:rFonts w:eastAsia="Times New Roman"/>
              </w:rPr>
            </w:pPr>
            <w:r>
              <w:rPr>
                <w:rFonts w:eastAsia="Times New Roman"/>
                <w:b/>
                <w:bCs/>
                <w:color w:val="000000"/>
                <w:sz w:val="18"/>
                <w:szCs w:val="18"/>
              </w:rPr>
              <w:t>7,519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7C3F8F0"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64320B7E" w14:textId="77777777" w:rsidR="00000000" w:rsidRDefault="00405D16">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14:paraId="6EEFC7B9" w14:textId="77777777" w:rsidR="00000000" w:rsidRDefault="00405D16">
            <w:pPr>
              <w:spacing w:after="100"/>
              <w:jc w:val="right"/>
              <w:rPr>
                <w:rFonts w:eastAsia="Times New Roman"/>
              </w:rPr>
            </w:pPr>
            <w:r>
              <w:rPr>
                <w:rFonts w:eastAsia="Times New Roman"/>
                <w:b/>
                <w:bCs/>
                <w:color w:val="000000"/>
                <w:sz w:val="18"/>
                <w:szCs w:val="18"/>
              </w:rPr>
              <w:t>6,200</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center"/>
            <w:hideMark/>
          </w:tcPr>
          <w:p w14:paraId="7FCDF41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195E16" w14:textId="77777777" w:rsidR="00000000" w:rsidRDefault="00405D16">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14:paraId="373B3C19" w14:textId="77777777" w:rsidR="00000000" w:rsidRDefault="00405D16">
            <w:pPr>
              <w:spacing w:after="100"/>
              <w:jc w:val="right"/>
              <w:rPr>
                <w:rFonts w:eastAsia="Times New Roman"/>
              </w:rPr>
            </w:pPr>
            <w:r>
              <w:rPr>
                <w:rFonts w:eastAsia="Times New Roman"/>
                <w:b/>
                <w:bCs/>
                <w:color w:val="000000"/>
                <w:sz w:val="18"/>
                <w:szCs w:val="18"/>
              </w:rPr>
              <w:t>3,219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67D5735"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41877B13" w14:textId="77777777" w:rsidR="00000000" w:rsidRDefault="00405D16">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14:paraId="05895442" w14:textId="77777777" w:rsidR="00000000" w:rsidRDefault="00405D16">
            <w:pPr>
              <w:spacing w:after="100"/>
              <w:jc w:val="right"/>
              <w:rPr>
                <w:rFonts w:eastAsia="Times New Roman"/>
              </w:rPr>
            </w:pPr>
            <w:r>
              <w:rPr>
                <w:rFonts w:eastAsia="Times New Roman"/>
                <w:b/>
                <w:bCs/>
                <w:color w:val="000000"/>
                <w:sz w:val="18"/>
                <w:szCs w:val="18"/>
              </w:rPr>
              <w:t>1,913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0721EF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1B1CBC" w14:textId="77777777" w:rsidR="00000000" w:rsidRDefault="00405D16">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14:paraId="6C2A2FD0" w14:textId="77777777" w:rsidR="00000000" w:rsidRDefault="00405D16">
            <w:pPr>
              <w:spacing w:after="100"/>
              <w:jc w:val="right"/>
              <w:rPr>
                <w:rFonts w:eastAsia="Times New Roman"/>
              </w:rPr>
            </w:pPr>
            <w:r>
              <w:rPr>
                <w:rFonts w:eastAsia="Times New Roman"/>
                <w:b/>
                <w:bCs/>
                <w:color w:val="000000"/>
                <w:sz w:val="18"/>
                <w:szCs w:val="18"/>
              </w:rPr>
              <w:t>3,677</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center"/>
            <w:hideMark/>
          </w:tcPr>
          <w:p w14:paraId="297929E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492B02" w14:textId="77777777" w:rsidR="00000000" w:rsidRDefault="00405D16">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14:paraId="1A03A606" w14:textId="77777777" w:rsidR="00000000" w:rsidRDefault="00405D16">
            <w:pPr>
              <w:spacing w:after="100"/>
              <w:jc w:val="right"/>
              <w:rPr>
                <w:rFonts w:eastAsia="Times New Roman"/>
              </w:rPr>
            </w:pPr>
            <w:r>
              <w:rPr>
                <w:rFonts w:eastAsia="Times New Roman"/>
                <w:b/>
                <w:bCs/>
                <w:color w:val="000000"/>
                <w:sz w:val="18"/>
                <w:szCs w:val="18"/>
              </w:rPr>
              <w:t>30,592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904F3CC"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6E0994C0" w14:textId="77777777" w:rsidR="00000000" w:rsidRDefault="00405D16">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14:paraId="009C7A12" w14:textId="77777777" w:rsidR="00000000" w:rsidRDefault="00405D16">
            <w:pPr>
              <w:spacing w:after="100"/>
              <w:jc w:val="right"/>
              <w:rPr>
                <w:rFonts w:eastAsia="Times New Roman"/>
              </w:rPr>
            </w:pPr>
            <w:r>
              <w:rPr>
                <w:rFonts w:eastAsia="Times New Roman"/>
                <w:b/>
                <w:bCs/>
                <w:color w:val="000000"/>
                <w:sz w:val="18"/>
                <w:szCs w:val="18"/>
              </w:rPr>
              <w:t>12,677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E03C2C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553081" w14:textId="77777777" w:rsidR="00000000" w:rsidRDefault="00405D16">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14:paraId="7C3297C5" w14:textId="77777777" w:rsidR="00000000" w:rsidRDefault="00405D16">
            <w:pPr>
              <w:spacing w:after="100"/>
              <w:jc w:val="right"/>
              <w:rPr>
                <w:rFonts w:eastAsia="Times New Roman"/>
              </w:rPr>
            </w:pPr>
            <w:r>
              <w:rPr>
                <w:rFonts w:eastAsia="Times New Roman"/>
                <w:b/>
                <w:bCs/>
                <w:color w:val="000000"/>
                <w:sz w:val="18"/>
                <w:szCs w:val="18"/>
              </w:rPr>
              <w:t>70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BF54D10"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4C9A3940" w14:textId="77777777" w:rsidR="00000000" w:rsidRDefault="00405D16">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14:paraId="53932F4E" w14:textId="77777777" w:rsidR="00000000" w:rsidRDefault="00405D16">
            <w:pPr>
              <w:spacing w:after="100"/>
              <w:jc w:val="right"/>
              <w:rPr>
                <w:rFonts w:eastAsia="Times New Roman"/>
              </w:rPr>
            </w:pPr>
            <w:r>
              <w:rPr>
                <w:rFonts w:eastAsia="Times New Roman"/>
                <w:b/>
                <w:bCs/>
                <w:color w:val="000000"/>
                <w:sz w:val="18"/>
                <w:szCs w:val="18"/>
              </w:rPr>
              <w:t>43,339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08AA21F" w14:textId="77777777" w:rsidR="00000000" w:rsidRDefault="00405D16">
            <w:pPr>
              <w:spacing w:after="100"/>
              <w:jc w:val="right"/>
              <w:rPr>
                <w:rFonts w:eastAsia="Times New Roman"/>
              </w:rPr>
            </w:pPr>
          </w:p>
        </w:tc>
      </w:tr>
      <w:tr w:rsidR="00405D16" w14:paraId="7C176D5A" w14:textId="77777777">
        <w:trPr>
          <w:gridAfter w:val="24"/>
          <w:divId w:val="1476604340"/>
        </w:trPr>
        <w:tc>
          <w:tcPr>
            <w:tcW w:w="0" w:type="auto"/>
            <w:gridSpan w:val="4"/>
            <w:shd w:val="clear" w:color="auto" w:fill="CCEEFF"/>
            <w:tcMar>
              <w:top w:w="30" w:type="dxa"/>
              <w:left w:w="380" w:type="dxa"/>
              <w:bottom w:w="30" w:type="dxa"/>
              <w:right w:w="20" w:type="dxa"/>
            </w:tcMar>
            <w:vAlign w:val="center"/>
            <w:hideMark/>
          </w:tcPr>
          <w:p w14:paraId="7C6E7AFC" w14:textId="77777777" w:rsidR="00000000" w:rsidRDefault="00405D16">
            <w:pPr>
              <w:spacing w:after="100"/>
              <w:rPr>
                <w:rFonts w:eastAsia="Times New Roman"/>
              </w:rPr>
            </w:pPr>
            <w:r>
              <w:rPr>
                <w:rFonts w:eastAsia="Times New Roman"/>
                <w:color w:val="000000"/>
                <w:sz w:val="18"/>
                <w:szCs w:val="18"/>
              </w:rPr>
              <w:t>Criticized performing</w:t>
            </w:r>
          </w:p>
        </w:tc>
        <w:tc>
          <w:tcPr>
            <w:tcW w:w="0" w:type="auto"/>
            <w:gridSpan w:val="3"/>
            <w:shd w:val="clear" w:color="auto" w:fill="CCEEFF"/>
            <w:tcMar>
              <w:top w:w="0" w:type="dxa"/>
              <w:left w:w="20" w:type="dxa"/>
              <w:bottom w:w="0" w:type="dxa"/>
              <w:right w:w="20" w:type="dxa"/>
            </w:tcMar>
            <w:vAlign w:val="center"/>
            <w:hideMark/>
          </w:tcPr>
          <w:p w14:paraId="357122F0" w14:textId="77777777" w:rsidR="00000000" w:rsidRDefault="00405D16">
            <w:pPr>
              <w:spacing w:after="100"/>
              <w:rPr>
                <w:rFonts w:eastAsia="Times New Roman"/>
              </w:rPr>
            </w:pPr>
          </w:p>
        </w:tc>
        <w:tc>
          <w:tcPr>
            <w:tcW w:w="0" w:type="auto"/>
            <w:gridSpan w:val="5"/>
            <w:shd w:val="clear" w:color="auto" w:fill="CCEEFF"/>
            <w:tcMar>
              <w:top w:w="30" w:type="dxa"/>
              <w:left w:w="20" w:type="dxa"/>
              <w:bottom w:w="30" w:type="dxa"/>
              <w:right w:w="0" w:type="dxa"/>
            </w:tcMar>
            <w:vAlign w:val="center"/>
            <w:hideMark/>
          </w:tcPr>
          <w:p w14:paraId="505621BC" w14:textId="77777777" w:rsidR="00000000" w:rsidRDefault="00405D16">
            <w:pPr>
              <w:spacing w:after="100"/>
              <w:jc w:val="right"/>
              <w:rPr>
                <w:rFonts w:eastAsia="Times New Roman"/>
              </w:rPr>
            </w:pPr>
            <w:r>
              <w:rPr>
                <w:rFonts w:eastAsia="Times New Roman"/>
                <w:b/>
                <w:bCs/>
                <w:color w:val="000000"/>
                <w:sz w:val="18"/>
                <w:szCs w:val="18"/>
              </w:rPr>
              <w:t>150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3590D41"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5A5E35ED" w14:textId="77777777" w:rsidR="00000000" w:rsidRDefault="00405D16">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14:paraId="6B47B197" w14:textId="77777777" w:rsidR="00000000" w:rsidRDefault="00405D16">
            <w:pPr>
              <w:spacing w:after="100"/>
              <w:jc w:val="right"/>
              <w:rPr>
                <w:rFonts w:eastAsia="Times New Roman"/>
              </w:rPr>
            </w:pPr>
            <w:r>
              <w:rPr>
                <w:rFonts w:eastAsia="Times New Roman"/>
                <w:b/>
                <w:bCs/>
                <w:color w:val="000000"/>
                <w:sz w:val="18"/>
                <w:szCs w:val="18"/>
              </w:rPr>
              <w:t>169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874EEA8"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8F48629" w14:textId="77777777" w:rsidR="00000000" w:rsidRDefault="00405D16">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center"/>
            <w:hideMark/>
          </w:tcPr>
          <w:p w14:paraId="57CBB8A5" w14:textId="77777777" w:rsidR="00000000" w:rsidRDefault="00405D16">
            <w:pPr>
              <w:spacing w:after="100"/>
              <w:jc w:val="right"/>
              <w:rPr>
                <w:rFonts w:eastAsia="Times New Roman"/>
              </w:rPr>
            </w:pPr>
            <w:r>
              <w:rPr>
                <w:rFonts w:eastAsia="Times New Roman"/>
                <w:b/>
                <w:bCs/>
                <w:color w:val="000000"/>
                <w:sz w:val="18"/>
                <w:szCs w:val="18"/>
              </w:rPr>
              <w:t>881</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center"/>
            <w:hideMark/>
          </w:tcPr>
          <w:p w14:paraId="3D77858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4B7CD7" w14:textId="77777777" w:rsidR="00000000" w:rsidRDefault="00405D16">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14:paraId="44011F4B" w14:textId="77777777" w:rsidR="00000000" w:rsidRDefault="00405D16">
            <w:pPr>
              <w:spacing w:after="100"/>
              <w:jc w:val="right"/>
              <w:rPr>
                <w:rFonts w:eastAsia="Times New Roman"/>
              </w:rPr>
            </w:pPr>
            <w:r>
              <w:rPr>
                <w:rFonts w:eastAsia="Times New Roman"/>
                <w:b/>
                <w:bCs/>
                <w:color w:val="000000"/>
                <w:sz w:val="18"/>
                <w:szCs w:val="18"/>
              </w:rPr>
              <w:t>260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A1A5C41"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60522BE9" w14:textId="77777777" w:rsidR="00000000" w:rsidRDefault="00405D16">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14:paraId="4B6B850D" w14:textId="77777777" w:rsidR="00000000" w:rsidRDefault="00405D16">
            <w:pPr>
              <w:spacing w:after="100"/>
              <w:jc w:val="right"/>
              <w:rPr>
                <w:rFonts w:eastAsia="Times New Roman"/>
              </w:rPr>
            </w:pPr>
            <w:r>
              <w:rPr>
                <w:rFonts w:eastAsia="Times New Roman"/>
                <w:b/>
                <w:bCs/>
                <w:color w:val="000000"/>
                <w:sz w:val="18"/>
                <w:szCs w:val="18"/>
              </w:rPr>
              <w:t>184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6DC23C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55843F" w14:textId="77777777" w:rsidR="00000000" w:rsidRDefault="00405D16">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14:paraId="49BF67F0" w14:textId="77777777" w:rsidR="00000000" w:rsidRDefault="00405D16">
            <w:pPr>
              <w:spacing w:after="100"/>
              <w:jc w:val="right"/>
              <w:rPr>
                <w:rFonts w:eastAsia="Times New Roman"/>
              </w:rPr>
            </w:pPr>
            <w:r>
              <w:rPr>
                <w:rFonts w:eastAsia="Times New Roman"/>
                <w:b/>
                <w:bCs/>
                <w:color w:val="000000"/>
                <w:sz w:val="18"/>
                <w:szCs w:val="18"/>
              </w:rPr>
              <w:t>153</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center"/>
            <w:hideMark/>
          </w:tcPr>
          <w:p w14:paraId="4F03303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5C7EA6" w14:textId="77777777" w:rsidR="00000000" w:rsidRDefault="00405D16">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14:paraId="1F737EA6" w14:textId="77777777" w:rsidR="00000000" w:rsidRDefault="00405D16">
            <w:pPr>
              <w:spacing w:after="100"/>
              <w:jc w:val="right"/>
              <w:rPr>
                <w:rFonts w:eastAsia="Times New Roman"/>
              </w:rPr>
            </w:pPr>
            <w:r>
              <w:rPr>
                <w:rFonts w:eastAsia="Times New Roman"/>
                <w:b/>
                <w:bCs/>
                <w:color w:val="000000"/>
                <w:sz w:val="18"/>
                <w:szCs w:val="18"/>
              </w:rPr>
              <w:t>1,797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CCE5FB4"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043A351E" w14:textId="77777777" w:rsidR="00000000" w:rsidRDefault="00405D16">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center"/>
            <w:hideMark/>
          </w:tcPr>
          <w:p w14:paraId="48146044" w14:textId="77777777" w:rsidR="00000000" w:rsidRDefault="00405D16">
            <w:pPr>
              <w:spacing w:after="100"/>
              <w:jc w:val="right"/>
              <w:rPr>
                <w:rFonts w:eastAsia="Times New Roman"/>
              </w:rPr>
            </w:pPr>
            <w:r>
              <w:rPr>
                <w:rFonts w:eastAsia="Times New Roman"/>
                <w:b/>
                <w:bCs/>
                <w:color w:val="000000"/>
                <w:sz w:val="18"/>
                <w:szCs w:val="18"/>
              </w:rPr>
              <w:t>702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0BDFC8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8D8922" w14:textId="77777777" w:rsidR="00000000" w:rsidRDefault="00405D16">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center"/>
            <w:hideMark/>
          </w:tcPr>
          <w:p w14:paraId="07D298C6"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53B98FB"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4A689FBD" w14:textId="77777777" w:rsidR="00000000" w:rsidRDefault="00405D16">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14:paraId="2AC4E53C" w14:textId="77777777" w:rsidR="00000000" w:rsidRDefault="00405D16">
            <w:pPr>
              <w:spacing w:after="100"/>
              <w:jc w:val="right"/>
              <w:rPr>
                <w:rFonts w:eastAsia="Times New Roman"/>
              </w:rPr>
            </w:pPr>
            <w:r>
              <w:rPr>
                <w:rFonts w:eastAsia="Times New Roman"/>
                <w:b/>
                <w:bCs/>
                <w:color w:val="000000"/>
                <w:sz w:val="18"/>
                <w:szCs w:val="18"/>
              </w:rPr>
              <w:t>2,499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E9B04E3" w14:textId="77777777" w:rsidR="00000000" w:rsidRDefault="00405D16">
            <w:pPr>
              <w:spacing w:after="100"/>
              <w:jc w:val="right"/>
              <w:rPr>
                <w:rFonts w:eastAsia="Times New Roman"/>
              </w:rPr>
            </w:pPr>
          </w:p>
        </w:tc>
      </w:tr>
      <w:tr w:rsidR="00405D16" w14:paraId="5A98CB6C" w14:textId="77777777">
        <w:trPr>
          <w:gridAfter w:val="24"/>
          <w:divId w:val="1476604340"/>
        </w:trPr>
        <w:tc>
          <w:tcPr>
            <w:tcW w:w="0" w:type="auto"/>
            <w:gridSpan w:val="4"/>
            <w:shd w:val="clear" w:color="auto" w:fill="FFFFFF"/>
            <w:tcMar>
              <w:top w:w="30" w:type="dxa"/>
              <w:left w:w="380" w:type="dxa"/>
              <w:bottom w:w="30" w:type="dxa"/>
              <w:right w:w="20" w:type="dxa"/>
            </w:tcMar>
            <w:vAlign w:val="center"/>
            <w:hideMark/>
          </w:tcPr>
          <w:p w14:paraId="29CAFD53" w14:textId="77777777" w:rsidR="00000000" w:rsidRDefault="00405D16">
            <w:pPr>
              <w:spacing w:after="100"/>
              <w:rPr>
                <w:rFonts w:eastAsia="Times New Roman"/>
              </w:rPr>
            </w:pPr>
            <w:r>
              <w:rPr>
                <w:rFonts w:eastAsia="Times New Roman"/>
                <w:color w:val="000000"/>
                <w:sz w:val="18"/>
                <w:szCs w:val="18"/>
              </w:rPr>
              <w:t>Criticized nonperforming</w:t>
            </w:r>
          </w:p>
        </w:tc>
        <w:tc>
          <w:tcPr>
            <w:tcW w:w="0" w:type="auto"/>
            <w:gridSpan w:val="3"/>
            <w:shd w:val="clear" w:color="auto" w:fill="FFFFFF"/>
            <w:tcMar>
              <w:top w:w="0" w:type="dxa"/>
              <w:left w:w="20" w:type="dxa"/>
              <w:bottom w:w="0" w:type="dxa"/>
              <w:right w:w="20" w:type="dxa"/>
            </w:tcMar>
            <w:vAlign w:val="center"/>
            <w:hideMark/>
          </w:tcPr>
          <w:p w14:paraId="6B6514B8" w14:textId="77777777" w:rsidR="00000000" w:rsidRDefault="00405D16">
            <w:pPr>
              <w:spacing w:after="100"/>
              <w:rPr>
                <w:rFonts w:eastAsia="Times New Roman"/>
              </w:rPr>
            </w:pPr>
          </w:p>
        </w:tc>
        <w:tc>
          <w:tcPr>
            <w:tcW w:w="0" w:type="auto"/>
            <w:gridSpan w:val="5"/>
            <w:shd w:val="clear" w:color="auto" w:fill="FFFFFF"/>
            <w:tcMar>
              <w:top w:w="30" w:type="dxa"/>
              <w:left w:w="20" w:type="dxa"/>
              <w:bottom w:w="30" w:type="dxa"/>
              <w:right w:w="0" w:type="dxa"/>
            </w:tcMar>
            <w:vAlign w:val="center"/>
            <w:hideMark/>
          </w:tcPr>
          <w:p w14:paraId="1FD8C032" w14:textId="77777777" w:rsidR="00000000" w:rsidRDefault="00405D16">
            <w:pPr>
              <w:spacing w:after="100"/>
              <w:jc w:val="right"/>
              <w:rPr>
                <w:rFonts w:eastAsia="Times New Roman"/>
              </w:rPr>
            </w:pPr>
            <w:r>
              <w:rPr>
                <w:rFonts w:eastAsia="Times New Roman"/>
                <w:b/>
                <w:bCs/>
                <w:color w:val="000000"/>
                <w:sz w:val="18"/>
                <w:szCs w:val="18"/>
              </w:rPr>
              <w:t>43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95200A0"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39EED863" w14:textId="77777777" w:rsidR="00000000" w:rsidRDefault="00405D16">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14:paraId="1AF014C6" w14:textId="77777777" w:rsidR="00000000" w:rsidRDefault="00405D16">
            <w:pPr>
              <w:spacing w:after="100"/>
              <w:jc w:val="right"/>
              <w:rPr>
                <w:rFonts w:eastAsia="Times New Roman"/>
              </w:rPr>
            </w:pPr>
            <w:r>
              <w:rPr>
                <w:rFonts w:eastAsia="Times New Roman"/>
                <w:b/>
                <w:bCs/>
                <w:color w:val="000000"/>
                <w:sz w:val="18"/>
                <w:szCs w:val="18"/>
              </w:rPr>
              <w:t>57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759BC5C"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189BD364" w14:textId="77777777" w:rsidR="00000000" w:rsidRDefault="00405D16">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14:paraId="2D095F1F" w14:textId="77777777" w:rsidR="00000000" w:rsidRDefault="00405D16">
            <w:pPr>
              <w:spacing w:after="100"/>
              <w:jc w:val="right"/>
              <w:rPr>
                <w:rFonts w:eastAsia="Times New Roman"/>
              </w:rPr>
            </w:pPr>
            <w:r>
              <w:rPr>
                <w:rFonts w:eastAsia="Times New Roman"/>
                <w:b/>
                <w:bCs/>
                <w:color w:val="000000"/>
                <w:sz w:val="18"/>
                <w:szCs w:val="18"/>
              </w:rPr>
              <w:t>83</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center"/>
            <w:hideMark/>
          </w:tcPr>
          <w:p w14:paraId="5B93002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79B47B" w14:textId="77777777" w:rsidR="00000000" w:rsidRDefault="00405D16">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14:paraId="250DA422" w14:textId="77777777" w:rsidR="00000000" w:rsidRDefault="00405D16">
            <w:pPr>
              <w:spacing w:after="100"/>
              <w:jc w:val="right"/>
              <w:rPr>
                <w:rFonts w:eastAsia="Times New Roman"/>
              </w:rPr>
            </w:pPr>
            <w:r>
              <w:rPr>
                <w:rFonts w:eastAsia="Times New Roman"/>
                <w:b/>
                <w:bCs/>
                <w:color w:val="000000"/>
                <w:sz w:val="18"/>
                <w:szCs w:val="18"/>
              </w:rPr>
              <w:t>42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75E70D7"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1D1B9C55" w14:textId="77777777" w:rsidR="00000000" w:rsidRDefault="00405D16">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14:paraId="47493382" w14:textId="77777777" w:rsidR="00000000" w:rsidRDefault="00405D16">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E49D8C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0DCF8A" w14:textId="77777777" w:rsidR="00000000" w:rsidRDefault="00405D16">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14:paraId="76DFB007" w14:textId="77777777" w:rsidR="00000000" w:rsidRDefault="00405D16">
            <w:pPr>
              <w:spacing w:after="100"/>
              <w:jc w:val="right"/>
              <w:rPr>
                <w:rFonts w:eastAsia="Times New Roman"/>
              </w:rPr>
            </w:pPr>
            <w:r>
              <w:rPr>
                <w:rFonts w:eastAsia="Times New Roman"/>
                <w:b/>
                <w:bCs/>
                <w:color w:val="000000"/>
                <w:sz w:val="18"/>
                <w:szCs w:val="18"/>
              </w:rPr>
              <w:t>18</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center"/>
            <w:hideMark/>
          </w:tcPr>
          <w:p w14:paraId="7E71070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26CB57" w14:textId="77777777" w:rsidR="00000000" w:rsidRDefault="00405D16">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14:paraId="5853ACEF" w14:textId="77777777" w:rsidR="00000000" w:rsidRDefault="00405D16">
            <w:pPr>
              <w:spacing w:after="100"/>
              <w:jc w:val="right"/>
              <w:rPr>
                <w:rFonts w:eastAsia="Times New Roman"/>
              </w:rPr>
            </w:pPr>
            <w:r>
              <w:rPr>
                <w:rFonts w:eastAsia="Times New Roman"/>
                <w:b/>
                <w:bCs/>
                <w:color w:val="000000"/>
                <w:sz w:val="18"/>
                <w:szCs w:val="18"/>
              </w:rPr>
              <w:t>251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D1E2EFC"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29FD2B13" w14:textId="77777777" w:rsidR="00000000" w:rsidRDefault="00405D16">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14:paraId="706A5436" w14:textId="77777777" w:rsidR="00000000" w:rsidRDefault="00405D16">
            <w:pPr>
              <w:spacing w:after="100"/>
              <w:jc w:val="right"/>
              <w:rPr>
                <w:rFonts w:eastAsia="Times New Roman"/>
              </w:rPr>
            </w:pPr>
            <w:r>
              <w:rPr>
                <w:rFonts w:eastAsia="Times New Roman"/>
                <w:b/>
                <w:bCs/>
                <w:color w:val="000000"/>
                <w:sz w:val="18"/>
                <w:szCs w:val="18"/>
              </w:rPr>
              <w:t>63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A2D936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7DA786" w14:textId="77777777" w:rsidR="00000000" w:rsidRDefault="00405D16">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14:paraId="4C907ADF"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DC6A9E2"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2970257C" w14:textId="77777777" w:rsidR="00000000" w:rsidRDefault="00405D16">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14:paraId="4E5ACC7B" w14:textId="77777777" w:rsidR="00000000" w:rsidRDefault="00405D16">
            <w:pPr>
              <w:spacing w:after="100"/>
              <w:jc w:val="right"/>
              <w:rPr>
                <w:rFonts w:eastAsia="Times New Roman"/>
              </w:rPr>
            </w:pPr>
            <w:r>
              <w:rPr>
                <w:rFonts w:eastAsia="Times New Roman"/>
                <w:b/>
                <w:bCs/>
                <w:color w:val="000000"/>
                <w:sz w:val="18"/>
                <w:szCs w:val="18"/>
              </w:rPr>
              <w:t>314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C635AA3" w14:textId="77777777" w:rsidR="00000000" w:rsidRDefault="00405D16">
            <w:pPr>
              <w:spacing w:after="100"/>
              <w:jc w:val="right"/>
              <w:rPr>
                <w:rFonts w:eastAsia="Times New Roman"/>
              </w:rPr>
            </w:pPr>
          </w:p>
        </w:tc>
      </w:tr>
      <w:tr w:rsidR="00405D16" w14:paraId="600014DD" w14:textId="77777777">
        <w:trPr>
          <w:gridAfter w:val="24"/>
          <w:divId w:val="1476604340"/>
        </w:trPr>
        <w:tc>
          <w:tcPr>
            <w:tcW w:w="0" w:type="auto"/>
            <w:gridSpan w:val="4"/>
            <w:shd w:val="clear" w:color="auto" w:fill="CCEEFF"/>
            <w:tcMar>
              <w:top w:w="30" w:type="dxa"/>
              <w:left w:w="245" w:type="dxa"/>
              <w:bottom w:w="30" w:type="dxa"/>
              <w:right w:w="20" w:type="dxa"/>
            </w:tcMar>
            <w:vAlign w:val="center"/>
            <w:hideMark/>
          </w:tcPr>
          <w:p w14:paraId="32C0CE85" w14:textId="77777777" w:rsidR="00000000" w:rsidRDefault="00405D16">
            <w:pPr>
              <w:spacing w:after="100"/>
              <w:rPr>
                <w:rFonts w:eastAsia="Times New Roman"/>
              </w:rPr>
            </w:pPr>
            <w:r>
              <w:rPr>
                <w:rFonts w:eastAsia="Times New Roman"/>
                <w:color w:val="000000"/>
                <w:sz w:val="18"/>
                <w:szCs w:val="18"/>
              </w:rPr>
              <w:t>Total commercial and industrial</w:t>
            </w:r>
          </w:p>
        </w:tc>
        <w:tc>
          <w:tcPr>
            <w:tcW w:w="0" w:type="auto"/>
            <w:gridSpan w:val="3"/>
            <w:shd w:val="clear" w:color="auto" w:fill="CCEEFF"/>
            <w:tcMar>
              <w:top w:w="0" w:type="dxa"/>
              <w:left w:w="20" w:type="dxa"/>
              <w:bottom w:w="0" w:type="dxa"/>
              <w:right w:w="20" w:type="dxa"/>
            </w:tcMar>
            <w:vAlign w:val="center"/>
            <w:hideMark/>
          </w:tcPr>
          <w:p w14:paraId="29BF8774" w14:textId="77777777" w:rsidR="00000000" w:rsidRDefault="00405D16">
            <w:pPr>
              <w:spacing w:after="100"/>
              <w:rPr>
                <w:rFonts w:eastAsia="Times New Roman"/>
              </w:rPr>
            </w:pPr>
          </w:p>
        </w:tc>
        <w:tc>
          <w:tcPr>
            <w:tcW w:w="0" w:type="auto"/>
            <w:gridSpan w:val="5"/>
            <w:tcBorders>
              <w:top w:val="single" w:sz="8" w:space="0" w:color="000000"/>
            </w:tcBorders>
            <w:shd w:val="clear" w:color="auto" w:fill="CCEEFF"/>
            <w:tcMar>
              <w:top w:w="30" w:type="dxa"/>
              <w:left w:w="20" w:type="dxa"/>
              <w:bottom w:w="30" w:type="dxa"/>
              <w:right w:w="0" w:type="dxa"/>
            </w:tcMar>
            <w:vAlign w:val="bottom"/>
            <w:hideMark/>
          </w:tcPr>
          <w:p w14:paraId="33BC3D64" w14:textId="77777777" w:rsidR="00000000" w:rsidRDefault="00405D16">
            <w:pPr>
              <w:spacing w:after="100"/>
              <w:jc w:val="right"/>
              <w:rPr>
                <w:rFonts w:eastAsia="Times New Roman"/>
              </w:rPr>
            </w:pPr>
            <w:r>
              <w:rPr>
                <w:rFonts w:eastAsia="Times New Roman"/>
                <w:b/>
                <w:bCs/>
                <w:color w:val="000000"/>
                <w:sz w:val="18"/>
                <w:szCs w:val="18"/>
              </w:rPr>
              <w:t>8,257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8BED68"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2E1FA4F2" w14:textId="77777777" w:rsidR="00000000" w:rsidRDefault="00405D16">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14:paraId="0F079C8D" w14:textId="77777777" w:rsidR="00000000" w:rsidRDefault="00405D16">
            <w:pPr>
              <w:spacing w:after="100"/>
              <w:jc w:val="right"/>
              <w:rPr>
                <w:rFonts w:eastAsia="Times New Roman"/>
              </w:rPr>
            </w:pPr>
            <w:r>
              <w:rPr>
                <w:rFonts w:eastAsia="Times New Roman"/>
                <w:b/>
                <w:bCs/>
                <w:color w:val="000000"/>
                <w:sz w:val="18"/>
                <w:szCs w:val="18"/>
              </w:rPr>
              <w:t>7,745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0D8F63"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4D428B5A" w14:textId="77777777" w:rsidR="00000000" w:rsidRDefault="00405D16">
            <w:pPr>
              <w:spacing w:after="100"/>
              <w:jc w:val="right"/>
              <w:rPr>
                <w:rFonts w:eastAsia="Times New Roman"/>
                <w:sz w:val="20"/>
                <w:szCs w:val="20"/>
              </w:rPr>
            </w:pPr>
          </w:p>
        </w:tc>
        <w:tc>
          <w:tcPr>
            <w:tcW w:w="0" w:type="auto"/>
            <w:gridSpan w:val="6"/>
            <w:tcBorders>
              <w:top w:val="single" w:sz="8" w:space="0" w:color="000000"/>
            </w:tcBorders>
            <w:shd w:val="clear" w:color="auto" w:fill="CCEEFF"/>
            <w:tcMar>
              <w:top w:w="30" w:type="dxa"/>
              <w:left w:w="20" w:type="dxa"/>
              <w:bottom w:w="30" w:type="dxa"/>
              <w:right w:w="0" w:type="dxa"/>
            </w:tcMar>
            <w:vAlign w:val="bottom"/>
            <w:hideMark/>
          </w:tcPr>
          <w:p w14:paraId="0CE8D2FD" w14:textId="77777777" w:rsidR="00000000" w:rsidRDefault="00405D16">
            <w:pPr>
              <w:spacing w:after="100"/>
              <w:jc w:val="right"/>
              <w:rPr>
                <w:rFonts w:eastAsia="Times New Roman"/>
              </w:rPr>
            </w:pPr>
            <w:r>
              <w:rPr>
                <w:rFonts w:eastAsia="Times New Roman"/>
                <w:b/>
                <w:bCs/>
                <w:color w:val="000000"/>
                <w:sz w:val="18"/>
                <w:szCs w:val="18"/>
              </w:rPr>
              <w:t>7,164</w:t>
            </w:r>
            <w:r>
              <w:rPr>
                <w:rFonts w:eastAsia="Times New Roman"/>
                <w:color w:val="000000"/>
                <w:sz w:val="18"/>
                <w:szCs w:val="18"/>
              </w:rPr>
              <w:t> </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14:paraId="5AF2FED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274A29" w14:textId="77777777" w:rsidR="00000000" w:rsidRDefault="00405D16">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14:paraId="7954C861" w14:textId="77777777" w:rsidR="00000000" w:rsidRDefault="00405D16">
            <w:pPr>
              <w:spacing w:after="100"/>
              <w:jc w:val="right"/>
              <w:rPr>
                <w:rFonts w:eastAsia="Times New Roman"/>
              </w:rPr>
            </w:pPr>
            <w:r>
              <w:rPr>
                <w:rFonts w:eastAsia="Times New Roman"/>
                <w:b/>
                <w:bCs/>
                <w:color w:val="000000"/>
                <w:sz w:val="18"/>
                <w:szCs w:val="18"/>
              </w:rPr>
              <w:t>3,521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982800"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1C435E18" w14:textId="77777777" w:rsidR="00000000" w:rsidRDefault="00405D16">
            <w:pPr>
              <w:spacing w:after="100"/>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bottom"/>
            <w:hideMark/>
          </w:tcPr>
          <w:p w14:paraId="5F7D8D3E" w14:textId="77777777" w:rsidR="00000000" w:rsidRDefault="00405D16">
            <w:pPr>
              <w:spacing w:after="100"/>
              <w:jc w:val="right"/>
              <w:rPr>
                <w:rFonts w:eastAsia="Times New Roman"/>
              </w:rPr>
            </w:pPr>
            <w:r>
              <w:rPr>
                <w:rFonts w:eastAsia="Times New Roman"/>
                <w:b/>
                <w:bCs/>
                <w:color w:val="000000"/>
                <w:sz w:val="18"/>
                <w:szCs w:val="18"/>
              </w:rPr>
              <w:t>2,105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A06B2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3B72AA" w14:textId="77777777" w:rsidR="00000000" w:rsidRDefault="00405D16">
            <w:pPr>
              <w:spacing w:after="100"/>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bottom"/>
            <w:hideMark/>
          </w:tcPr>
          <w:p w14:paraId="52AA9FED" w14:textId="77777777" w:rsidR="00000000" w:rsidRDefault="00405D16">
            <w:pPr>
              <w:spacing w:after="100"/>
              <w:jc w:val="right"/>
              <w:rPr>
                <w:rFonts w:eastAsia="Times New Roman"/>
              </w:rPr>
            </w:pPr>
            <w:r>
              <w:rPr>
                <w:rFonts w:eastAsia="Times New Roman"/>
                <w:b/>
                <w:bCs/>
                <w:color w:val="000000"/>
                <w:sz w:val="18"/>
                <w:szCs w:val="18"/>
              </w:rPr>
              <w:t>3,848</w:t>
            </w:r>
            <w:r>
              <w:rPr>
                <w:rFonts w:eastAsia="Times New Roman"/>
                <w:color w:val="000000"/>
                <w:sz w:val="18"/>
                <w:szCs w:val="18"/>
              </w:rPr>
              <w:t> </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14:paraId="76C61B7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18924D" w14:textId="77777777" w:rsidR="00000000" w:rsidRDefault="00405D16">
            <w:pPr>
              <w:spacing w:after="100"/>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bottom"/>
            <w:hideMark/>
          </w:tcPr>
          <w:p w14:paraId="2EB1675F" w14:textId="77777777" w:rsidR="00000000" w:rsidRDefault="00405D16">
            <w:pPr>
              <w:spacing w:after="100"/>
              <w:jc w:val="right"/>
              <w:rPr>
                <w:rFonts w:eastAsia="Times New Roman"/>
              </w:rPr>
            </w:pPr>
            <w:r>
              <w:rPr>
                <w:rFonts w:eastAsia="Times New Roman"/>
                <w:b/>
                <w:bCs/>
                <w:color w:val="000000"/>
                <w:sz w:val="18"/>
                <w:szCs w:val="18"/>
              </w:rPr>
              <w:t>32,640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D7615B"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6FBEC296" w14:textId="77777777" w:rsidR="00000000" w:rsidRDefault="00405D16">
            <w:pPr>
              <w:spacing w:after="100"/>
              <w:jc w:val="right"/>
              <w:rPr>
                <w:rFonts w:eastAsia="Times New Roman"/>
                <w:sz w:val="20"/>
                <w:szCs w:val="20"/>
              </w:rPr>
            </w:pPr>
          </w:p>
        </w:tc>
        <w:tc>
          <w:tcPr>
            <w:tcW w:w="0" w:type="auto"/>
            <w:gridSpan w:val="6"/>
            <w:tcBorders>
              <w:top w:val="single" w:sz="8" w:space="0" w:color="000000"/>
            </w:tcBorders>
            <w:shd w:val="clear" w:color="auto" w:fill="CCEEFF"/>
            <w:tcMar>
              <w:top w:w="30" w:type="dxa"/>
              <w:left w:w="20" w:type="dxa"/>
              <w:bottom w:w="30" w:type="dxa"/>
              <w:right w:w="0" w:type="dxa"/>
            </w:tcMar>
            <w:vAlign w:val="bottom"/>
            <w:hideMark/>
          </w:tcPr>
          <w:p w14:paraId="043BEF3B" w14:textId="77777777" w:rsidR="00000000" w:rsidRDefault="00405D16">
            <w:pPr>
              <w:spacing w:after="100"/>
              <w:jc w:val="right"/>
              <w:rPr>
                <w:rFonts w:eastAsia="Times New Roman"/>
              </w:rPr>
            </w:pPr>
            <w:r>
              <w:rPr>
                <w:rFonts w:eastAsia="Times New Roman"/>
                <w:b/>
                <w:bCs/>
                <w:color w:val="000000"/>
                <w:sz w:val="18"/>
                <w:szCs w:val="18"/>
              </w:rPr>
              <w:t>13,442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A554BE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4EA45C" w14:textId="77777777" w:rsidR="00000000" w:rsidRDefault="00405D16">
            <w:pPr>
              <w:spacing w:after="100"/>
              <w:jc w:val="right"/>
              <w:rPr>
                <w:rFonts w:eastAsia="Times New Roman"/>
                <w:sz w:val="20"/>
                <w:szCs w:val="20"/>
              </w:rPr>
            </w:pPr>
          </w:p>
        </w:tc>
        <w:tc>
          <w:tcPr>
            <w:tcW w:w="0" w:type="auto"/>
            <w:gridSpan w:val="6"/>
            <w:tcBorders>
              <w:top w:val="single" w:sz="8" w:space="0" w:color="000000"/>
            </w:tcBorders>
            <w:shd w:val="clear" w:color="auto" w:fill="CCEEFF"/>
            <w:tcMar>
              <w:top w:w="30" w:type="dxa"/>
              <w:left w:w="20" w:type="dxa"/>
              <w:bottom w:w="30" w:type="dxa"/>
              <w:right w:w="0" w:type="dxa"/>
            </w:tcMar>
            <w:vAlign w:val="bottom"/>
            <w:hideMark/>
          </w:tcPr>
          <w:p w14:paraId="3504080F" w14:textId="77777777" w:rsidR="00000000" w:rsidRDefault="00405D16">
            <w:pPr>
              <w:spacing w:after="100"/>
              <w:jc w:val="right"/>
              <w:rPr>
                <w:rFonts w:eastAsia="Times New Roman"/>
              </w:rPr>
            </w:pPr>
            <w:r>
              <w:rPr>
                <w:rFonts w:eastAsia="Times New Roman"/>
                <w:b/>
                <w:bCs/>
                <w:color w:val="000000"/>
                <w:sz w:val="18"/>
                <w:szCs w:val="18"/>
              </w:rPr>
              <w:t>70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B5E87C"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3BA4D05D" w14:textId="77777777" w:rsidR="00000000" w:rsidRDefault="00405D16">
            <w:pPr>
              <w:spacing w:after="100"/>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bottom"/>
            <w:hideMark/>
          </w:tcPr>
          <w:p w14:paraId="3CDA483E" w14:textId="77777777" w:rsidR="00000000" w:rsidRDefault="00405D16">
            <w:pPr>
              <w:spacing w:after="100"/>
              <w:jc w:val="right"/>
              <w:rPr>
                <w:rFonts w:eastAsia="Times New Roman"/>
              </w:rPr>
            </w:pPr>
            <w:r>
              <w:rPr>
                <w:rFonts w:eastAsia="Times New Roman"/>
                <w:b/>
                <w:bCs/>
                <w:color w:val="000000"/>
                <w:sz w:val="18"/>
                <w:szCs w:val="18"/>
              </w:rPr>
              <w:t>46,152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123ECE" w14:textId="77777777" w:rsidR="00000000" w:rsidRDefault="00405D16">
            <w:pPr>
              <w:spacing w:after="100"/>
              <w:jc w:val="right"/>
              <w:rPr>
                <w:rFonts w:eastAsia="Times New Roman"/>
              </w:rPr>
            </w:pPr>
          </w:p>
        </w:tc>
      </w:tr>
      <w:tr w:rsidR="00405D16" w14:paraId="00719594" w14:textId="77777777">
        <w:trPr>
          <w:gridAfter w:val="24"/>
          <w:divId w:val="1476604340"/>
        </w:trPr>
        <w:tc>
          <w:tcPr>
            <w:tcW w:w="0" w:type="auto"/>
            <w:gridSpan w:val="4"/>
            <w:shd w:val="clear" w:color="auto" w:fill="FFFFFF"/>
            <w:tcMar>
              <w:top w:w="30" w:type="dxa"/>
              <w:left w:w="20" w:type="dxa"/>
              <w:bottom w:w="30" w:type="dxa"/>
              <w:right w:w="20" w:type="dxa"/>
            </w:tcMar>
            <w:vAlign w:val="center"/>
            <w:hideMark/>
          </w:tcPr>
          <w:p w14:paraId="7E2D4CAE" w14:textId="77777777" w:rsidR="00000000" w:rsidRDefault="00405D16">
            <w:pPr>
              <w:spacing w:after="100"/>
              <w:divId w:val="1759133483"/>
              <w:rPr>
                <w:rFonts w:eastAsia="Times New Roman"/>
              </w:rPr>
            </w:pPr>
            <w:r>
              <w:rPr>
                <w:rFonts w:eastAsia="Times New Roman"/>
                <w:color w:val="000000"/>
                <w:sz w:val="18"/>
                <w:szCs w:val="18"/>
              </w:rPr>
              <w:t>Total commercial bankin</w:t>
            </w:r>
            <w:r>
              <w:rPr>
                <w:rFonts w:eastAsia="Times New Roman"/>
                <w:color w:val="000000"/>
                <w:sz w:val="18"/>
                <w:szCs w:val="18"/>
              </w:rPr>
              <w:t>g</w:t>
            </w:r>
            <w:r>
              <w:rPr>
                <w:rFonts w:eastAsia="Times New Roman"/>
                <w:b/>
                <w:bCs/>
                <w:color w:val="000000"/>
                <w:sz w:val="12"/>
                <w:szCs w:val="12"/>
              </w:rPr>
              <w:t>(2</w:t>
            </w:r>
            <w:r>
              <w:rPr>
                <w:rFonts w:eastAsia="Times New Roman"/>
                <w:b/>
                <w:b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2AE3ACB8"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B65CBE8"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B4C84E9" w14:textId="77777777" w:rsidR="00000000" w:rsidRDefault="00405D16">
            <w:pPr>
              <w:spacing w:after="100"/>
              <w:jc w:val="right"/>
              <w:rPr>
                <w:rFonts w:eastAsia="Times New Roman"/>
              </w:rPr>
            </w:pPr>
            <w:r>
              <w:rPr>
                <w:rFonts w:eastAsia="Times New Roman"/>
                <w:b/>
                <w:bCs/>
                <w:color w:val="000000"/>
                <w:sz w:val="18"/>
                <w:szCs w:val="18"/>
              </w:rPr>
              <w:t>12,136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1939B6A"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66BDF0E5" w14:textId="77777777" w:rsidR="00000000" w:rsidRDefault="00405D1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FCF74A8"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4BB2759" w14:textId="77777777" w:rsidR="00000000" w:rsidRDefault="00405D16">
            <w:pPr>
              <w:spacing w:after="100"/>
              <w:jc w:val="right"/>
              <w:rPr>
                <w:rFonts w:eastAsia="Times New Roman"/>
              </w:rPr>
            </w:pPr>
            <w:r>
              <w:rPr>
                <w:rFonts w:eastAsia="Times New Roman"/>
                <w:b/>
                <w:bCs/>
                <w:color w:val="000000"/>
                <w:sz w:val="18"/>
                <w:szCs w:val="18"/>
              </w:rPr>
              <w:t>11,341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AE164C3"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43E3682D" w14:textId="77777777" w:rsidR="00000000" w:rsidRDefault="00405D1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620704D"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580E74E" w14:textId="77777777" w:rsidR="00000000" w:rsidRDefault="00405D16">
            <w:pPr>
              <w:spacing w:after="100"/>
              <w:jc w:val="right"/>
              <w:rPr>
                <w:rFonts w:eastAsia="Times New Roman"/>
              </w:rPr>
            </w:pPr>
            <w:r>
              <w:rPr>
                <w:rFonts w:eastAsia="Times New Roman"/>
                <w:b/>
                <w:bCs/>
                <w:color w:val="000000"/>
                <w:sz w:val="18"/>
                <w:szCs w:val="18"/>
              </w:rPr>
              <w:t>11,562</w:t>
            </w:r>
            <w:r>
              <w:rPr>
                <w:rFonts w:eastAsia="Times New Roman"/>
                <w:color w:val="000000"/>
                <w:sz w:val="18"/>
                <w:szCs w:val="18"/>
              </w:rPr>
              <w:t> </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D36710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9BF823"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68B0638"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E7A7254" w14:textId="77777777" w:rsidR="00000000" w:rsidRDefault="00405D16">
            <w:pPr>
              <w:spacing w:after="100"/>
              <w:jc w:val="right"/>
              <w:rPr>
                <w:rFonts w:eastAsia="Times New Roman"/>
              </w:rPr>
            </w:pPr>
            <w:r>
              <w:rPr>
                <w:rFonts w:eastAsia="Times New Roman"/>
                <w:b/>
                <w:bCs/>
                <w:color w:val="000000"/>
                <w:sz w:val="18"/>
                <w:szCs w:val="18"/>
              </w:rPr>
              <w:t>6,467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A80CE25"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2A711BD0" w14:textId="77777777" w:rsidR="00000000" w:rsidRDefault="00405D1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044C125"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8B28653" w14:textId="77777777" w:rsidR="00000000" w:rsidRDefault="00405D16">
            <w:pPr>
              <w:spacing w:after="100"/>
              <w:jc w:val="right"/>
              <w:rPr>
                <w:rFonts w:eastAsia="Times New Roman"/>
              </w:rPr>
            </w:pPr>
            <w:r>
              <w:rPr>
                <w:rFonts w:eastAsia="Times New Roman"/>
                <w:b/>
                <w:bCs/>
                <w:color w:val="000000"/>
                <w:sz w:val="18"/>
                <w:szCs w:val="18"/>
              </w:rPr>
              <w:t>3,276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3D80ED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BE5580"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AE2F209"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F6BF147" w14:textId="77777777" w:rsidR="00000000" w:rsidRDefault="00405D16">
            <w:pPr>
              <w:spacing w:after="100"/>
              <w:jc w:val="right"/>
              <w:rPr>
                <w:rFonts w:eastAsia="Times New Roman"/>
              </w:rPr>
            </w:pPr>
            <w:r>
              <w:rPr>
                <w:rFonts w:eastAsia="Times New Roman"/>
                <w:b/>
                <w:bCs/>
                <w:color w:val="000000"/>
                <w:sz w:val="18"/>
                <w:szCs w:val="18"/>
              </w:rPr>
              <w:t>9,878</w:t>
            </w:r>
            <w:r>
              <w:rPr>
                <w:rFonts w:eastAsia="Times New Roman"/>
                <w:color w:val="000000"/>
                <w:sz w:val="18"/>
                <w:szCs w:val="18"/>
              </w:rPr>
              <w:t> </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B13F88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3119D3" w14:textId="77777777" w:rsidR="00000000" w:rsidRDefault="00405D1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EB86687"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3422FB1" w14:textId="77777777" w:rsidR="00000000" w:rsidRDefault="00405D16">
            <w:pPr>
              <w:spacing w:after="100"/>
              <w:jc w:val="right"/>
              <w:rPr>
                <w:rFonts w:eastAsia="Times New Roman"/>
              </w:rPr>
            </w:pPr>
            <w:r>
              <w:rPr>
                <w:rFonts w:eastAsia="Times New Roman"/>
                <w:b/>
                <w:bCs/>
                <w:color w:val="000000"/>
                <w:sz w:val="18"/>
                <w:szCs w:val="18"/>
              </w:rPr>
              <w:t>54,660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D2C93A8"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322985A0" w14:textId="77777777" w:rsidR="00000000" w:rsidRDefault="00405D1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DF80CAF"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00B934E" w14:textId="77777777" w:rsidR="00000000" w:rsidRDefault="00405D16">
            <w:pPr>
              <w:spacing w:after="100"/>
              <w:jc w:val="right"/>
              <w:rPr>
                <w:rFonts w:eastAsia="Times New Roman"/>
              </w:rPr>
            </w:pPr>
            <w:r>
              <w:rPr>
                <w:rFonts w:eastAsia="Times New Roman"/>
                <w:b/>
                <w:bCs/>
                <w:color w:val="000000"/>
                <w:sz w:val="18"/>
                <w:szCs w:val="18"/>
              </w:rPr>
              <w:t>24,493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71EE96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EC2A79"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A261D95"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5"/>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3498463" w14:textId="77777777" w:rsidR="00000000" w:rsidRDefault="00405D16">
            <w:pPr>
              <w:spacing w:after="100"/>
              <w:jc w:val="right"/>
              <w:rPr>
                <w:rFonts w:eastAsia="Times New Roman"/>
              </w:rPr>
            </w:pPr>
            <w:r>
              <w:rPr>
                <w:rFonts w:eastAsia="Times New Roman"/>
                <w:b/>
                <w:bCs/>
                <w:color w:val="000000"/>
                <w:sz w:val="18"/>
                <w:szCs w:val="18"/>
              </w:rPr>
              <w:t>95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668D10F"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5E291978" w14:textId="77777777" w:rsidR="00000000" w:rsidRDefault="00405D1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9C2F572"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74F02FB" w14:textId="77777777" w:rsidR="00000000" w:rsidRDefault="00405D16">
            <w:pPr>
              <w:spacing w:after="100"/>
              <w:jc w:val="right"/>
              <w:rPr>
                <w:rFonts w:eastAsia="Times New Roman"/>
              </w:rPr>
            </w:pPr>
            <w:r>
              <w:rPr>
                <w:rFonts w:eastAsia="Times New Roman"/>
                <w:b/>
                <w:bCs/>
                <w:color w:val="000000"/>
                <w:sz w:val="18"/>
                <w:szCs w:val="18"/>
              </w:rPr>
              <w:t>79,248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D325EF5" w14:textId="77777777" w:rsidR="00000000" w:rsidRDefault="00405D16">
            <w:pPr>
              <w:spacing w:after="100"/>
              <w:jc w:val="right"/>
              <w:rPr>
                <w:rFonts w:eastAsia="Times New Roman"/>
              </w:rPr>
            </w:pPr>
          </w:p>
        </w:tc>
      </w:tr>
      <w:tr w:rsidR="00000000" w14:paraId="793C2127" w14:textId="77777777">
        <w:tc>
          <w:tcPr>
            <w:tcW w:w="50" w:type="pct"/>
            <w:gridSpan w:val="2"/>
            <w:vAlign w:val="center"/>
            <w:hideMark/>
          </w:tcPr>
          <w:p w14:paraId="20840790" w14:textId="77777777" w:rsidR="00000000" w:rsidRDefault="00405D16">
            <w:pPr>
              <w:rPr>
                <w:rFonts w:eastAsia="Times New Roman"/>
              </w:rPr>
            </w:pPr>
          </w:p>
        </w:tc>
        <w:tc>
          <w:tcPr>
            <w:tcW w:w="1078" w:type="pct"/>
            <w:gridSpan w:val="7"/>
            <w:vAlign w:val="center"/>
            <w:hideMark/>
          </w:tcPr>
          <w:p w14:paraId="0422ED05" w14:textId="77777777" w:rsidR="00000000" w:rsidRDefault="00405D16">
            <w:pPr>
              <w:spacing w:after="100"/>
              <w:rPr>
                <w:rFonts w:eastAsia="Times New Roman"/>
                <w:sz w:val="20"/>
                <w:szCs w:val="20"/>
              </w:rPr>
            </w:pPr>
          </w:p>
        </w:tc>
        <w:tc>
          <w:tcPr>
            <w:tcW w:w="5" w:type="pct"/>
            <w:vAlign w:val="center"/>
            <w:hideMark/>
          </w:tcPr>
          <w:p w14:paraId="4AEB7F4B" w14:textId="77777777" w:rsidR="00000000" w:rsidRDefault="00405D16">
            <w:pPr>
              <w:spacing w:after="100"/>
              <w:rPr>
                <w:rFonts w:eastAsia="Times New Roman"/>
                <w:sz w:val="20"/>
                <w:szCs w:val="20"/>
              </w:rPr>
            </w:pPr>
          </w:p>
        </w:tc>
        <w:tc>
          <w:tcPr>
            <w:tcW w:w="5" w:type="pct"/>
            <w:vAlign w:val="center"/>
            <w:hideMark/>
          </w:tcPr>
          <w:p w14:paraId="477F315B" w14:textId="77777777" w:rsidR="00000000" w:rsidRDefault="00405D16">
            <w:pPr>
              <w:spacing w:after="100"/>
              <w:rPr>
                <w:rFonts w:eastAsia="Times New Roman"/>
                <w:sz w:val="20"/>
                <w:szCs w:val="20"/>
              </w:rPr>
            </w:pPr>
          </w:p>
        </w:tc>
        <w:tc>
          <w:tcPr>
            <w:tcW w:w="26" w:type="pct"/>
            <w:gridSpan w:val="4"/>
            <w:vAlign w:val="center"/>
            <w:hideMark/>
          </w:tcPr>
          <w:p w14:paraId="75954EC4" w14:textId="77777777" w:rsidR="00000000" w:rsidRDefault="00405D16">
            <w:pPr>
              <w:spacing w:after="100"/>
              <w:rPr>
                <w:rFonts w:eastAsia="Times New Roman"/>
                <w:sz w:val="20"/>
                <w:szCs w:val="20"/>
              </w:rPr>
            </w:pPr>
          </w:p>
        </w:tc>
        <w:tc>
          <w:tcPr>
            <w:tcW w:w="5" w:type="pct"/>
            <w:gridSpan w:val="3"/>
            <w:vAlign w:val="center"/>
            <w:hideMark/>
          </w:tcPr>
          <w:p w14:paraId="7BFBA5D1" w14:textId="77777777" w:rsidR="00000000" w:rsidRDefault="00405D16">
            <w:pPr>
              <w:spacing w:after="100"/>
              <w:rPr>
                <w:rFonts w:eastAsia="Times New Roman"/>
                <w:sz w:val="20"/>
                <w:szCs w:val="20"/>
              </w:rPr>
            </w:pPr>
          </w:p>
        </w:tc>
        <w:tc>
          <w:tcPr>
            <w:tcW w:w="50" w:type="pct"/>
            <w:gridSpan w:val="2"/>
            <w:vAlign w:val="center"/>
            <w:hideMark/>
          </w:tcPr>
          <w:p w14:paraId="0015436F" w14:textId="77777777" w:rsidR="00000000" w:rsidRDefault="00405D16">
            <w:pPr>
              <w:spacing w:after="100"/>
              <w:rPr>
                <w:rFonts w:eastAsia="Times New Roman"/>
                <w:sz w:val="20"/>
                <w:szCs w:val="20"/>
              </w:rPr>
            </w:pPr>
          </w:p>
        </w:tc>
        <w:tc>
          <w:tcPr>
            <w:tcW w:w="303" w:type="pct"/>
            <w:gridSpan w:val="4"/>
            <w:vAlign w:val="center"/>
            <w:hideMark/>
          </w:tcPr>
          <w:p w14:paraId="4AC89A38" w14:textId="77777777" w:rsidR="00000000" w:rsidRDefault="00405D16">
            <w:pPr>
              <w:spacing w:after="100"/>
              <w:rPr>
                <w:rFonts w:eastAsia="Times New Roman"/>
                <w:sz w:val="20"/>
                <w:szCs w:val="20"/>
              </w:rPr>
            </w:pPr>
          </w:p>
        </w:tc>
        <w:tc>
          <w:tcPr>
            <w:tcW w:w="5" w:type="pct"/>
            <w:gridSpan w:val="3"/>
            <w:vAlign w:val="center"/>
            <w:hideMark/>
          </w:tcPr>
          <w:p w14:paraId="0CD12639" w14:textId="77777777" w:rsidR="00000000" w:rsidRDefault="00405D16">
            <w:pPr>
              <w:spacing w:after="100"/>
              <w:rPr>
                <w:rFonts w:eastAsia="Times New Roman"/>
                <w:sz w:val="20"/>
                <w:szCs w:val="20"/>
              </w:rPr>
            </w:pPr>
          </w:p>
        </w:tc>
        <w:tc>
          <w:tcPr>
            <w:tcW w:w="5" w:type="pct"/>
            <w:gridSpan w:val="2"/>
            <w:vAlign w:val="center"/>
            <w:hideMark/>
          </w:tcPr>
          <w:p w14:paraId="4EB40B95" w14:textId="77777777" w:rsidR="00000000" w:rsidRDefault="00405D16">
            <w:pPr>
              <w:spacing w:after="100"/>
              <w:rPr>
                <w:rFonts w:eastAsia="Times New Roman"/>
                <w:sz w:val="20"/>
                <w:szCs w:val="20"/>
              </w:rPr>
            </w:pPr>
          </w:p>
        </w:tc>
        <w:tc>
          <w:tcPr>
            <w:tcW w:w="26" w:type="pct"/>
            <w:vAlign w:val="center"/>
            <w:hideMark/>
          </w:tcPr>
          <w:p w14:paraId="6C2D39C7" w14:textId="77777777" w:rsidR="00000000" w:rsidRDefault="00405D16">
            <w:pPr>
              <w:spacing w:after="100"/>
              <w:rPr>
                <w:rFonts w:eastAsia="Times New Roman"/>
                <w:sz w:val="20"/>
                <w:szCs w:val="20"/>
              </w:rPr>
            </w:pPr>
          </w:p>
        </w:tc>
        <w:tc>
          <w:tcPr>
            <w:tcW w:w="5" w:type="pct"/>
            <w:vAlign w:val="center"/>
            <w:hideMark/>
          </w:tcPr>
          <w:p w14:paraId="1E0E81A7" w14:textId="77777777" w:rsidR="00000000" w:rsidRDefault="00405D16">
            <w:pPr>
              <w:spacing w:after="100"/>
              <w:rPr>
                <w:rFonts w:eastAsia="Times New Roman"/>
                <w:sz w:val="20"/>
                <w:szCs w:val="20"/>
              </w:rPr>
            </w:pPr>
          </w:p>
        </w:tc>
        <w:tc>
          <w:tcPr>
            <w:tcW w:w="50" w:type="pct"/>
            <w:gridSpan w:val="2"/>
            <w:vAlign w:val="center"/>
            <w:hideMark/>
          </w:tcPr>
          <w:p w14:paraId="2D90AEF9" w14:textId="77777777" w:rsidR="00000000" w:rsidRDefault="00405D16">
            <w:pPr>
              <w:spacing w:after="100"/>
              <w:rPr>
                <w:rFonts w:eastAsia="Times New Roman"/>
                <w:sz w:val="20"/>
                <w:szCs w:val="20"/>
              </w:rPr>
            </w:pPr>
          </w:p>
        </w:tc>
        <w:tc>
          <w:tcPr>
            <w:tcW w:w="288" w:type="pct"/>
            <w:gridSpan w:val="6"/>
            <w:vAlign w:val="center"/>
            <w:hideMark/>
          </w:tcPr>
          <w:p w14:paraId="22954EFD" w14:textId="77777777" w:rsidR="00000000" w:rsidRDefault="00405D16">
            <w:pPr>
              <w:spacing w:after="100"/>
              <w:rPr>
                <w:rFonts w:eastAsia="Times New Roman"/>
                <w:sz w:val="20"/>
                <w:szCs w:val="20"/>
              </w:rPr>
            </w:pPr>
          </w:p>
        </w:tc>
        <w:tc>
          <w:tcPr>
            <w:tcW w:w="5" w:type="pct"/>
            <w:vAlign w:val="center"/>
            <w:hideMark/>
          </w:tcPr>
          <w:p w14:paraId="55041328" w14:textId="77777777" w:rsidR="00000000" w:rsidRDefault="00405D16">
            <w:pPr>
              <w:spacing w:after="100"/>
              <w:rPr>
                <w:rFonts w:eastAsia="Times New Roman"/>
                <w:sz w:val="20"/>
                <w:szCs w:val="20"/>
              </w:rPr>
            </w:pPr>
          </w:p>
        </w:tc>
        <w:tc>
          <w:tcPr>
            <w:tcW w:w="5" w:type="pct"/>
            <w:gridSpan w:val="4"/>
            <w:vAlign w:val="center"/>
            <w:hideMark/>
          </w:tcPr>
          <w:p w14:paraId="185FB7CE" w14:textId="77777777" w:rsidR="00000000" w:rsidRDefault="00405D16">
            <w:pPr>
              <w:spacing w:after="100"/>
              <w:rPr>
                <w:rFonts w:eastAsia="Times New Roman"/>
                <w:sz w:val="20"/>
                <w:szCs w:val="20"/>
              </w:rPr>
            </w:pPr>
          </w:p>
        </w:tc>
        <w:tc>
          <w:tcPr>
            <w:tcW w:w="26" w:type="pct"/>
            <w:gridSpan w:val="3"/>
            <w:vAlign w:val="center"/>
            <w:hideMark/>
          </w:tcPr>
          <w:p w14:paraId="2B1B1E3F" w14:textId="77777777" w:rsidR="00000000" w:rsidRDefault="00405D16">
            <w:pPr>
              <w:spacing w:after="100"/>
              <w:rPr>
                <w:rFonts w:eastAsia="Times New Roman"/>
                <w:sz w:val="20"/>
                <w:szCs w:val="20"/>
              </w:rPr>
            </w:pPr>
          </w:p>
        </w:tc>
        <w:tc>
          <w:tcPr>
            <w:tcW w:w="5" w:type="pct"/>
            <w:gridSpan w:val="2"/>
            <w:vAlign w:val="center"/>
            <w:hideMark/>
          </w:tcPr>
          <w:p w14:paraId="4A642A82" w14:textId="77777777" w:rsidR="00000000" w:rsidRDefault="00405D16">
            <w:pPr>
              <w:spacing w:after="100"/>
              <w:rPr>
                <w:rFonts w:eastAsia="Times New Roman"/>
                <w:sz w:val="20"/>
                <w:szCs w:val="20"/>
              </w:rPr>
            </w:pPr>
          </w:p>
        </w:tc>
        <w:tc>
          <w:tcPr>
            <w:tcW w:w="50" w:type="pct"/>
            <w:vAlign w:val="center"/>
            <w:hideMark/>
          </w:tcPr>
          <w:p w14:paraId="7FBF8BF9" w14:textId="77777777" w:rsidR="00000000" w:rsidRDefault="00405D16">
            <w:pPr>
              <w:spacing w:after="100"/>
              <w:rPr>
                <w:rFonts w:eastAsia="Times New Roman"/>
                <w:sz w:val="20"/>
                <w:szCs w:val="20"/>
              </w:rPr>
            </w:pPr>
          </w:p>
        </w:tc>
        <w:tc>
          <w:tcPr>
            <w:tcW w:w="288" w:type="pct"/>
            <w:gridSpan w:val="7"/>
            <w:vAlign w:val="center"/>
            <w:hideMark/>
          </w:tcPr>
          <w:p w14:paraId="7269CBFC" w14:textId="77777777" w:rsidR="00000000" w:rsidRDefault="00405D16">
            <w:pPr>
              <w:spacing w:after="100"/>
              <w:rPr>
                <w:rFonts w:eastAsia="Times New Roman"/>
                <w:sz w:val="20"/>
                <w:szCs w:val="20"/>
              </w:rPr>
            </w:pPr>
          </w:p>
        </w:tc>
        <w:tc>
          <w:tcPr>
            <w:tcW w:w="5" w:type="pct"/>
            <w:vAlign w:val="center"/>
            <w:hideMark/>
          </w:tcPr>
          <w:p w14:paraId="5FC37E8D" w14:textId="77777777" w:rsidR="00000000" w:rsidRDefault="00405D16">
            <w:pPr>
              <w:spacing w:after="100"/>
              <w:rPr>
                <w:rFonts w:eastAsia="Times New Roman"/>
                <w:sz w:val="20"/>
                <w:szCs w:val="20"/>
              </w:rPr>
            </w:pPr>
          </w:p>
        </w:tc>
        <w:tc>
          <w:tcPr>
            <w:tcW w:w="5" w:type="pct"/>
            <w:vAlign w:val="center"/>
            <w:hideMark/>
          </w:tcPr>
          <w:p w14:paraId="69DAD8BD" w14:textId="77777777" w:rsidR="00000000" w:rsidRDefault="00405D16">
            <w:pPr>
              <w:spacing w:after="100"/>
              <w:rPr>
                <w:rFonts w:eastAsia="Times New Roman"/>
                <w:sz w:val="20"/>
                <w:szCs w:val="20"/>
              </w:rPr>
            </w:pPr>
          </w:p>
        </w:tc>
        <w:tc>
          <w:tcPr>
            <w:tcW w:w="26" w:type="pct"/>
            <w:gridSpan w:val="2"/>
            <w:vAlign w:val="center"/>
            <w:hideMark/>
          </w:tcPr>
          <w:p w14:paraId="0BB9AB9F" w14:textId="77777777" w:rsidR="00000000" w:rsidRDefault="00405D16">
            <w:pPr>
              <w:spacing w:after="100"/>
              <w:rPr>
                <w:rFonts w:eastAsia="Times New Roman"/>
                <w:sz w:val="20"/>
                <w:szCs w:val="20"/>
              </w:rPr>
            </w:pPr>
          </w:p>
        </w:tc>
        <w:tc>
          <w:tcPr>
            <w:tcW w:w="5" w:type="pct"/>
            <w:gridSpan w:val="5"/>
            <w:vAlign w:val="center"/>
            <w:hideMark/>
          </w:tcPr>
          <w:p w14:paraId="6CF9A7E2" w14:textId="77777777" w:rsidR="00000000" w:rsidRDefault="00405D16">
            <w:pPr>
              <w:spacing w:after="100"/>
              <w:rPr>
                <w:rFonts w:eastAsia="Times New Roman"/>
                <w:sz w:val="20"/>
                <w:szCs w:val="20"/>
              </w:rPr>
            </w:pPr>
          </w:p>
        </w:tc>
        <w:tc>
          <w:tcPr>
            <w:tcW w:w="50" w:type="pct"/>
            <w:gridSpan w:val="2"/>
            <w:vAlign w:val="center"/>
            <w:hideMark/>
          </w:tcPr>
          <w:p w14:paraId="40AA80FD" w14:textId="77777777" w:rsidR="00000000" w:rsidRDefault="00405D16">
            <w:pPr>
              <w:spacing w:after="100"/>
              <w:rPr>
                <w:rFonts w:eastAsia="Times New Roman"/>
                <w:sz w:val="20"/>
                <w:szCs w:val="20"/>
              </w:rPr>
            </w:pPr>
          </w:p>
        </w:tc>
        <w:tc>
          <w:tcPr>
            <w:tcW w:w="273" w:type="pct"/>
            <w:vAlign w:val="center"/>
            <w:hideMark/>
          </w:tcPr>
          <w:p w14:paraId="6823355C" w14:textId="77777777" w:rsidR="00000000" w:rsidRDefault="00405D16">
            <w:pPr>
              <w:spacing w:after="100"/>
              <w:rPr>
                <w:rFonts w:eastAsia="Times New Roman"/>
                <w:sz w:val="20"/>
                <w:szCs w:val="20"/>
              </w:rPr>
            </w:pPr>
          </w:p>
        </w:tc>
        <w:tc>
          <w:tcPr>
            <w:tcW w:w="5" w:type="pct"/>
            <w:gridSpan w:val="4"/>
            <w:vAlign w:val="center"/>
            <w:hideMark/>
          </w:tcPr>
          <w:p w14:paraId="29C30741" w14:textId="77777777" w:rsidR="00000000" w:rsidRDefault="00405D16">
            <w:pPr>
              <w:spacing w:after="100"/>
              <w:rPr>
                <w:rFonts w:eastAsia="Times New Roman"/>
                <w:sz w:val="20"/>
                <w:szCs w:val="20"/>
              </w:rPr>
            </w:pPr>
          </w:p>
        </w:tc>
        <w:tc>
          <w:tcPr>
            <w:tcW w:w="5" w:type="pct"/>
            <w:gridSpan w:val="3"/>
            <w:vAlign w:val="center"/>
            <w:hideMark/>
          </w:tcPr>
          <w:p w14:paraId="39FA139E" w14:textId="77777777" w:rsidR="00000000" w:rsidRDefault="00405D16">
            <w:pPr>
              <w:spacing w:after="100"/>
              <w:rPr>
                <w:rFonts w:eastAsia="Times New Roman"/>
                <w:sz w:val="20"/>
                <w:szCs w:val="20"/>
              </w:rPr>
            </w:pPr>
          </w:p>
        </w:tc>
        <w:tc>
          <w:tcPr>
            <w:tcW w:w="26" w:type="pct"/>
            <w:gridSpan w:val="2"/>
            <w:vAlign w:val="center"/>
            <w:hideMark/>
          </w:tcPr>
          <w:p w14:paraId="49CF676B" w14:textId="77777777" w:rsidR="00000000" w:rsidRDefault="00405D16">
            <w:pPr>
              <w:spacing w:after="100"/>
              <w:rPr>
                <w:rFonts w:eastAsia="Times New Roman"/>
                <w:sz w:val="20"/>
                <w:szCs w:val="20"/>
              </w:rPr>
            </w:pPr>
          </w:p>
        </w:tc>
        <w:tc>
          <w:tcPr>
            <w:tcW w:w="5" w:type="pct"/>
            <w:vAlign w:val="center"/>
            <w:hideMark/>
          </w:tcPr>
          <w:p w14:paraId="34BF579A" w14:textId="77777777" w:rsidR="00000000" w:rsidRDefault="00405D16">
            <w:pPr>
              <w:spacing w:after="100"/>
              <w:rPr>
                <w:rFonts w:eastAsia="Times New Roman"/>
                <w:sz w:val="20"/>
                <w:szCs w:val="20"/>
              </w:rPr>
            </w:pPr>
          </w:p>
        </w:tc>
        <w:tc>
          <w:tcPr>
            <w:tcW w:w="50" w:type="pct"/>
            <w:vAlign w:val="center"/>
            <w:hideMark/>
          </w:tcPr>
          <w:p w14:paraId="2B907FB8" w14:textId="77777777" w:rsidR="00000000" w:rsidRDefault="00405D16">
            <w:pPr>
              <w:spacing w:after="100"/>
              <w:rPr>
                <w:rFonts w:eastAsia="Times New Roman"/>
                <w:sz w:val="20"/>
                <w:szCs w:val="20"/>
              </w:rPr>
            </w:pPr>
          </w:p>
        </w:tc>
        <w:tc>
          <w:tcPr>
            <w:tcW w:w="273" w:type="pct"/>
            <w:gridSpan w:val="7"/>
            <w:vAlign w:val="center"/>
            <w:hideMark/>
          </w:tcPr>
          <w:p w14:paraId="61808857" w14:textId="77777777" w:rsidR="00000000" w:rsidRDefault="00405D16">
            <w:pPr>
              <w:spacing w:after="100"/>
              <w:rPr>
                <w:rFonts w:eastAsia="Times New Roman"/>
                <w:sz w:val="20"/>
                <w:szCs w:val="20"/>
              </w:rPr>
            </w:pPr>
          </w:p>
        </w:tc>
        <w:tc>
          <w:tcPr>
            <w:tcW w:w="5" w:type="pct"/>
            <w:vAlign w:val="center"/>
            <w:hideMark/>
          </w:tcPr>
          <w:p w14:paraId="1AFB4AEC" w14:textId="77777777" w:rsidR="00000000" w:rsidRDefault="00405D16">
            <w:pPr>
              <w:spacing w:after="100"/>
              <w:rPr>
                <w:rFonts w:eastAsia="Times New Roman"/>
                <w:sz w:val="20"/>
                <w:szCs w:val="20"/>
              </w:rPr>
            </w:pPr>
          </w:p>
        </w:tc>
        <w:tc>
          <w:tcPr>
            <w:tcW w:w="5" w:type="pct"/>
            <w:vAlign w:val="center"/>
            <w:hideMark/>
          </w:tcPr>
          <w:p w14:paraId="357606FE" w14:textId="77777777" w:rsidR="00000000" w:rsidRDefault="00405D16">
            <w:pPr>
              <w:spacing w:after="100"/>
              <w:rPr>
                <w:rFonts w:eastAsia="Times New Roman"/>
                <w:sz w:val="20"/>
                <w:szCs w:val="20"/>
              </w:rPr>
            </w:pPr>
          </w:p>
        </w:tc>
        <w:tc>
          <w:tcPr>
            <w:tcW w:w="26" w:type="pct"/>
            <w:vAlign w:val="center"/>
            <w:hideMark/>
          </w:tcPr>
          <w:p w14:paraId="0BF70E27" w14:textId="77777777" w:rsidR="00000000" w:rsidRDefault="00405D16">
            <w:pPr>
              <w:spacing w:after="100"/>
              <w:rPr>
                <w:rFonts w:eastAsia="Times New Roman"/>
                <w:sz w:val="20"/>
                <w:szCs w:val="20"/>
              </w:rPr>
            </w:pPr>
          </w:p>
        </w:tc>
        <w:tc>
          <w:tcPr>
            <w:tcW w:w="5" w:type="pct"/>
            <w:gridSpan w:val="3"/>
            <w:vAlign w:val="center"/>
            <w:hideMark/>
          </w:tcPr>
          <w:p w14:paraId="1FE69369" w14:textId="77777777" w:rsidR="00000000" w:rsidRDefault="00405D16">
            <w:pPr>
              <w:spacing w:after="100"/>
              <w:rPr>
                <w:rFonts w:eastAsia="Times New Roman"/>
                <w:sz w:val="20"/>
                <w:szCs w:val="20"/>
              </w:rPr>
            </w:pPr>
          </w:p>
        </w:tc>
        <w:tc>
          <w:tcPr>
            <w:tcW w:w="50" w:type="pct"/>
            <w:gridSpan w:val="4"/>
            <w:vAlign w:val="center"/>
            <w:hideMark/>
          </w:tcPr>
          <w:p w14:paraId="6BB1E12F" w14:textId="77777777" w:rsidR="00000000" w:rsidRDefault="00405D16">
            <w:pPr>
              <w:spacing w:after="100"/>
              <w:rPr>
                <w:rFonts w:eastAsia="Times New Roman"/>
                <w:sz w:val="20"/>
                <w:szCs w:val="20"/>
              </w:rPr>
            </w:pPr>
          </w:p>
        </w:tc>
        <w:tc>
          <w:tcPr>
            <w:tcW w:w="273" w:type="pct"/>
            <w:gridSpan w:val="2"/>
            <w:vAlign w:val="center"/>
            <w:hideMark/>
          </w:tcPr>
          <w:p w14:paraId="2218B133" w14:textId="77777777" w:rsidR="00000000" w:rsidRDefault="00405D16">
            <w:pPr>
              <w:spacing w:after="100"/>
              <w:rPr>
                <w:rFonts w:eastAsia="Times New Roman"/>
                <w:sz w:val="20"/>
                <w:szCs w:val="20"/>
              </w:rPr>
            </w:pPr>
          </w:p>
        </w:tc>
        <w:tc>
          <w:tcPr>
            <w:tcW w:w="5" w:type="pct"/>
            <w:vAlign w:val="center"/>
            <w:hideMark/>
          </w:tcPr>
          <w:p w14:paraId="2852C560" w14:textId="77777777" w:rsidR="00000000" w:rsidRDefault="00405D16">
            <w:pPr>
              <w:spacing w:after="100"/>
              <w:rPr>
                <w:rFonts w:eastAsia="Times New Roman"/>
                <w:sz w:val="20"/>
                <w:szCs w:val="20"/>
              </w:rPr>
            </w:pPr>
          </w:p>
        </w:tc>
        <w:tc>
          <w:tcPr>
            <w:tcW w:w="5" w:type="pct"/>
            <w:gridSpan w:val="3"/>
            <w:vAlign w:val="center"/>
            <w:hideMark/>
          </w:tcPr>
          <w:p w14:paraId="0A6AB12C" w14:textId="77777777" w:rsidR="00000000" w:rsidRDefault="00405D16">
            <w:pPr>
              <w:spacing w:after="100"/>
              <w:rPr>
                <w:rFonts w:eastAsia="Times New Roman"/>
                <w:sz w:val="20"/>
                <w:szCs w:val="20"/>
              </w:rPr>
            </w:pPr>
          </w:p>
        </w:tc>
        <w:tc>
          <w:tcPr>
            <w:tcW w:w="26" w:type="pct"/>
            <w:vAlign w:val="center"/>
            <w:hideMark/>
          </w:tcPr>
          <w:p w14:paraId="3A1B886D" w14:textId="77777777" w:rsidR="00000000" w:rsidRDefault="00405D16">
            <w:pPr>
              <w:spacing w:after="100"/>
              <w:rPr>
                <w:rFonts w:eastAsia="Times New Roman"/>
                <w:sz w:val="20"/>
                <w:szCs w:val="20"/>
              </w:rPr>
            </w:pPr>
          </w:p>
        </w:tc>
        <w:tc>
          <w:tcPr>
            <w:tcW w:w="5" w:type="pct"/>
            <w:vAlign w:val="center"/>
            <w:hideMark/>
          </w:tcPr>
          <w:p w14:paraId="4D4D9437" w14:textId="77777777" w:rsidR="00000000" w:rsidRDefault="00405D16">
            <w:pPr>
              <w:spacing w:after="100"/>
              <w:rPr>
                <w:rFonts w:eastAsia="Times New Roman"/>
                <w:sz w:val="20"/>
                <w:szCs w:val="20"/>
              </w:rPr>
            </w:pPr>
          </w:p>
        </w:tc>
        <w:tc>
          <w:tcPr>
            <w:tcW w:w="50" w:type="pct"/>
            <w:vAlign w:val="center"/>
            <w:hideMark/>
          </w:tcPr>
          <w:p w14:paraId="343BDAEC" w14:textId="77777777" w:rsidR="00000000" w:rsidRDefault="00405D16">
            <w:pPr>
              <w:spacing w:after="100"/>
              <w:rPr>
                <w:rFonts w:eastAsia="Times New Roman"/>
                <w:sz w:val="20"/>
                <w:szCs w:val="20"/>
              </w:rPr>
            </w:pPr>
          </w:p>
        </w:tc>
        <w:tc>
          <w:tcPr>
            <w:tcW w:w="288" w:type="pct"/>
            <w:vAlign w:val="center"/>
            <w:hideMark/>
          </w:tcPr>
          <w:p w14:paraId="774A5A82" w14:textId="77777777" w:rsidR="00000000" w:rsidRDefault="00405D16">
            <w:pPr>
              <w:spacing w:after="100"/>
              <w:rPr>
                <w:rFonts w:eastAsia="Times New Roman"/>
                <w:sz w:val="20"/>
                <w:szCs w:val="20"/>
              </w:rPr>
            </w:pPr>
          </w:p>
        </w:tc>
        <w:tc>
          <w:tcPr>
            <w:tcW w:w="5" w:type="pct"/>
            <w:vAlign w:val="center"/>
            <w:hideMark/>
          </w:tcPr>
          <w:p w14:paraId="7A7F3811" w14:textId="77777777" w:rsidR="00000000" w:rsidRDefault="00405D16">
            <w:pPr>
              <w:spacing w:after="100"/>
              <w:rPr>
                <w:rFonts w:eastAsia="Times New Roman"/>
                <w:sz w:val="20"/>
                <w:szCs w:val="20"/>
              </w:rPr>
            </w:pPr>
          </w:p>
        </w:tc>
        <w:tc>
          <w:tcPr>
            <w:tcW w:w="5" w:type="pct"/>
            <w:vAlign w:val="center"/>
            <w:hideMark/>
          </w:tcPr>
          <w:p w14:paraId="7D96D457" w14:textId="77777777" w:rsidR="00000000" w:rsidRDefault="00405D16">
            <w:pPr>
              <w:spacing w:after="100"/>
              <w:rPr>
                <w:rFonts w:eastAsia="Times New Roman"/>
                <w:sz w:val="20"/>
                <w:szCs w:val="20"/>
              </w:rPr>
            </w:pPr>
          </w:p>
        </w:tc>
        <w:tc>
          <w:tcPr>
            <w:tcW w:w="26" w:type="pct"/>
            <w:vAlign w:val="center"/>
            <w:hideMark/>
          </w:tcPr>
          <w:p w14:paraId="1E5D0AAA" w14:textId="77777777" w:rsidR="00000000" w:rsidRDefault="00405D16">
            <w:pPr>
              <w:spacing w:after="100"/>
              <w:rPr>
                <w:rFonts w:eastAsia="Times New Roman"/>
                <w:sz w:val="20"/>
                <w:szCs w:val="20"/>
              </w:rPr>
            </w:pPr>
          </w:p>
        </w:tc>
        <w:tc>
          <w:tcPr>
            <w:tcW w:w="5" w:type="pct"/>
            <w:vAlign w:val="center"/>
            <w:hideMark/>
          </w:tcPr>
          <w:p w14:paraId="726ED560" w14:textId="77777777" w:rsidR="00000000" w:rsidRDefault="00405D16">
            <w:pPr>
              <w:spacing w:after="100"/>
              <w:rPr>
                <w:rFonts w:eastAsia="Times New Roman"/>
                <w:sz w:val="20"/>
                <w:szCs w:val="20"/>
              </w:rPr>
            </w:pPr>
          </w:p>
        </w:tc>
        <w:tc>
          <w:tcPr>
            <w:tcW w:w="50" w:type="pct"/>
            <w:vAlign w:val="center"/>
            <w:hideMark/>
          </w:tcPr>
          <w:p w14:paraId="20FCB7DE" w14:textId="77777777" w:rsidR="00000000" w:rsidRDefault="00405D16">
            <w:pPr>
              <w:spacing w:after="100"/>
              <w:rPr>
                <w:rFonts w:eastAsia="Times New Roman"/>
                <w:sz w:val="20"/>
                <w:szCs w:val="20"/>
              </w:rPr>
            </w:pPr>
          </w:p>
        </w:tc>
        <w:tc>
          <w:tcPr>
            <w:tcW w:w="317" w:type="pct"/>
            <w:vAlign w:val="center"/>
            <w:hideMark/>
          </w:tcPr>
          <w:p w14:paraId="1A267A05" w14:textId="77777777" w:rsidR="00000000" w:rsidRDefault="00405D16">
            <w:pPr>
              <w:spacing w:after="100"/>
              <w:rPr>
                <w:rFonts w:eastAsia="Times New Roman"/>
                <w:sz w:val="20"/>
                <w:szCs w:val="20"/>
              </w:rPr>
            </w:pPr>
          </w:p>
        </w:tc>
        <w:tc>
          <w:tcPr>
            <w:tcW w:w="5" w:type="pct"/>
            <w:vAlign w:val="center"/>
            <w:hideMark/>
          </w:tcPr>
          <w:p w14:paraId="5123D866" w14:textId="77777777" w:rsidR="00000000" w:rsidRDefault="00405D16">
            <w:pPr>
              <w:spacing w:after="100"/>
              <w:rPr>
                <w:rFonts w:eastAsia="Times New Roman"/>
                <w:sz w:val="20"/>
                <w:szCs w:val="20"/>
              </w:rPr>
            </w:pPr>
          </w:p>
        </w:tc>
        <w:tc>
          <w:tcPr>
            <w:tcW w:w="5" w:type="pct"/>
            <w:vAlign w:val="center"/>
            <w:hideMark/>
          </w:tcPr>
          <w:p w14:paraId="67319EF0" w14:textId="77777777" w:rsidR="00000000" w:rsidRDefault="00405D16">
            <w:pPr>
              <w:spacing w:after="100"/>
              <w:rPr>
                <w:rFonts w:eastAsia="Times New Roman"/>
                <w:sz w:val="20"/>
                <w:szCs w:val="20"/>
              </w:rPr>
            </w:pPr>
          </w:p>
        </w:tc>
        <w:tc>
          <w:tcPr>
            <w:tcW w:w="26" w:type="pct"/>
            <w:vAlign w:val="center"/>
            <w:hideMark/>
          </w:tcPr>
          <w:p w14:paraId="75AB4DE0" w14:textId="77777777" w:rsidR="00000000" w:rsidRDefault="00405D16">
            <w:pPr>
              <w:spacing w:after="100"/>
              <w:rPr>
                <w:rFonts w:eastAsia="Times New Roman"/>
                <w:sz w:val="20"/>
                <w:szCs w:val="20"/>
              </w:rPr>
            </w:pPr>
          </w:p>
        </w:tc>
        <w:tc>
          <w:tcPr>
            <w:tcW w:w="5" w:type="pct"/>
            <w:vAlign w:val="center"/>
            <w:hideMark/>
          </w:tcPr>
          <w:p w14:paraId="47D791C5" w14:textId="77777777" w:rsidR="00000000" w:rsidRDefault="00405D16">
            <w:pPr>
              <w:spacing w:after="100"/>
              <w:rPr>
                <w:rFonts w:eastAsia="Times New Roman"/>
                <w:sz w:val="20"/>
                <w:szCs w:val="20"/>
              </w:rPr>
            </w:pPr>
          </w:p>
        </w:tc>
        <w:tc>
          <w:tcPr>
            <w:tcW w:w="50" w:type="pct"/>
            <w:vAlign w:val="center"/>
            <w:hideMark/>
          </w:tcPr>
          <w:p w14:paraId="34001519" w14:textId="77777777" w:rsidR="00000000" w:rsidRDefault="00405D16">
            <w:pPr>
              <w:spacing w:after="100"/>
              <w:rPr>
                <w:rFonts w:eastAsia="Times New Roman"/>
                <w:sz w:val="20"/>
                <w:szCs w:val="20"/>
              </w:rPr>
            </w:pPr>
          </w:p>
        </w:tc>
        <w:tc>
          <w:tcPr>
            <w:tcW w:w="347" w:type="pct"/>
            <w:vAlign w:val="center"/>
            <w:hideMark/>
          </w:tcPr>
          <w:p w14:paraId="02363475" w14:textId="77777777" w:rsidR="00000000" w:rsidRDefault="00405D16">
            <w:pPr>
              <w:spacing w:after="100"/>
              <w:rPr>
                <w:rFonts w:eastAsia="Times New Roman"/>
                <w:sz w:val="20"/>
                <w:szCs w:val="20"/>
              </w:rPr>
            </w:pPr>
          </w:p>
        </w:tc>
        <w:tc>
          <w:tcPr>
            <w:tcW w:w="5" w:type="pct"/>
            <w:vAlign w:val="center"/>
            <w:hideMark/>
          </w:tcPr>
          <w:p w14:paraId="74870DD8" w14:textId="77777777" w:rsidR="00000000" w:rsidRDefault="00405D16">
            <w:pPr>
              <w:spacing w:after="100"/>
              <w:rPr>
                <w:rFonts w:eastAsia="Times New Roman"/>
                <w:sz w:val="20"/>
                <w:szCs w:val="20"/>
              </w:rPr>
            </w:pPr>
          </w:p>
        </w:tc>
        <w:tc>
          <w:tcPr>
            <w:tcW w:w="5" w:type="pct"/>
            <w:vAlign w:val="center"/>
            <w:hideMark/>
          </w:tcPr>
          <w:p w14:paraId="7C2B1127" w14:textId="77777777" w:rsidR="00000000" w:rsidRDefault="00405D16">
            <w:pPr>
              <w:spacing w:after="100"/>
              <w:rPr>
                <w:rFonts w:eastAsia="Times New Roman"/>
                <w:sz w:val="20"/>
                <w:szCs w:val="20"/>
              </w:rPr>
            </w:pPr>
          </w:p>
        </w:tc>
        <w:tc>
          <w:tcPr>
            <w:tcW w:w="26" w:type="pct"/>
            <w:vAlign w:val="center"/>
            <w:hideMark/>
          </w:tcPr>
          <w:p w14:paraId="1B3DF57D" w14:textId="77777777" w:rsidR="00000000" w:rsidRDefault="00405D16">
            <w:pPr>
              <w:spacing w:after="100"/>
              <w:rPr>
                <w:rFonts w:eastAsia="Times New Roman"/>
                <w:sz w:val="20"/>
                <w:szCs w:val="20"/>
              </w:rPr>
            </w:pPr>
          </w:p>
        </w:tc>
        <w:tc>
          <w:tcPr>
            <w:tcW w:w="5" w:type="pct"/>
            <w:vAlign w:val="center"/>
            <w:hideMark/>
          </w:tcPr>
          <w:p w14:paraId="32FF7AAD" w14:textId="77777777" w:rsidR="00000000" w:rsidRDefault="00405D16">
            <w:pPr>
              <w:spacing w:after="100"/>
              <w:rPr>
                <w:rFonts w:eastAsia="Times New Roman"/>
                <w:sz w:val="20"/>
                <w:szCs w:val="20"/>
              </w:rPr>
            </w:pPr>
          </w:p>
        </w:tc>
        <w:tc>
          <w:tcPr>
            <w:tcW w:w="50" w:type="pct"/>
            <w:vAlign w:val="center"/>
            <w:hideMark/>
          </w:tcPr>
          <w:p w14:paraId="0E121684" w14:textId="77777777" w:rsidR="00000000" w:rsidRDefault="00405D16">
            <w:pPr>
              <w:spacing w:after="100"/>
              <w:rPr>
                <w:rFonts w:eastAsia="Times New Roman"/>
                <w:sz w:val="20"/>
                <w:szCs w:val="20"/>
              </w:rPr>
            </w:pPr>
          </w:p>
        </w:tc>
        <w:tc>
          <w:tcPr>
            <w:tcW w:w="296" w:type="pct"/>
            <w:vAlign w:val="center"/>
            <w:hideMark/>
          </w:tcPr>
          <w:p w14:paraId="66F68D5C" w14:textId="77777777" w:rsidR="00000000" w:rsidRDefault="00405D16">
            <w:pPr>
              <w:spacing w:after="100"/>
              <w:rPr>
                <w:rFonts w:eastAsia="Times New Roman"/>
                <w:sz w:val="20"/>
                <w:szCs w:val="20"/>
              </w:rPr>
            </w:pPr>
          </w:p>
        </w:tc>
        <w:tc>
          <w:tcPr>
            <w:tcW w:w="5" w:type="pct"/>
            <w:vAlign w:val="center"/>
            <w:hideMark/>
          </w:tcPr>
          <w:p w14:paraId="1B99E03C" w14:textId="77777777" w:rsidR="00000000" w:rsidRDefault="00405D16">
            <w:pPr>
              <w:spacing w:after="100"/>
              <w:rPr>
                <w:rFonts w:eastAsia="Times New Roman"/>
                <w:sz w:val="20"/>
                <w:szCs w:val="20"/>
              </w:rPr>
            </w:pPr>
          </w:p>
        </w:tc>
      </w:tr>
      <w:tr w:rsidR="00000000" w14:paraId="3589231F" w14:textId="77777777">
        <w:tc>
          <w:tcPr>
            <w:tcW w:w="0" w:type="auto"/>
            <w:gridSpan w:val="10"/>
            <w:tcMar>
              <w:top w:w="0" w:type="dxa"/>
              <w:left w:w="20" w:type="dxa"/>
              <w:bottom w:w="0" w:type="dxa"/>
              <w:right w:w="20" w:type="dxa"/>
            </w:tcMar>
            <w:vAlign w:val="center"/>
            <w:hideMark/>
          </w:tcPr>
          <w:p w14:paraId="12D0E0B0" w14:textId="77777777" w:rsidR="00000000" w:rsidRDefault="00405D16">
            <w:pPr>
              <w:spacing w:after="100"/>
              <w:rPr>
                <w:rFonts w:eastAsia="Times New Roman"/>
                <w:sz w:val="20"/>
                <w:szCs w:val="20"/>
              </w:rPr>
            </w:pPr>
          </w:p>
        </w:tc>
        <w:tc>
          <w:tcPr>
            <w:tcW w:w="0" w:type="auto"/>
            <w:gridSpan w:val="8"/>
            <w:tcMar>
              <w:top w:w="0" w:type="dxa"/>
              <w:left w:w="20" w:type="dxa"/>
              <w:bottom w:w="0" w:type="dxa"/>
              <w:right w:w="20" w:type="dxa"/>
            </w:tcMar>
            <w:vAlign w:val="center"/>
            <w:hideMark/>
          </w:tcPr>
          <w:p w14:paraId="72487BCD" w14:textId="77777777" w:rsidR="00000000" w:rsidRDefault="00405D16">
            <w:pPr>
              <w:spacing w:after="100"/>
              <w:rPr>
                <w:rFonts w:eastAsia="Times New Roman"/>
                <w:sz w:val="20"/>
                <w:szCs w:val="20"/>
              </w:rPr>
            </w:pPr>
          </w:p>
        </w:tc>
        <w:tc>
          <w:tcPr>
            <w:tcW w:w="0" w:type="auto"/>
            <w:gridSpan w:val="107"/>
            <w:tcMar>
              <w:top w:w="30" w:type="dxa"/>
              <w:left w:w="20" w:type="dxa"/>
              <w:bottom w:w="30" w:type="dxa"/>
              <w:right w:w="20" w:type="dxa"/>
            </w:tcMar>
            <w:vAlign w:val="bottom"/>
            <w:hideMark/>
          </w:tcPr>
          <w:p w14:paraId="61C26CB2" w14:textId="77777777" w:rsidR="00000000" w:rsidRDefault="00405D16">
            <w:pPr>
              <w:spacing w:after="100"/>
              <w:jc w:val="center"/>
              <w:rPr>
                <w:rFonts w:eastAsia="Times New Roman"/>
              </w:rPr>
            </w:pPr>
            <w:r>
              <w:rPr>
                <w:rFonts w:eastAsia="Times New Roman"/>
                <w:b/>
                <w:bCs/>
                <w:color w:val="000000"/>
                <w:sz w:val="15"/>
                <w:szCs w:val="15"/>
              </w:rPr>
              <w:t>December 31, 2020</w:t>
            </w:r>
          </w:p>
        </w:tc>
        <w:tc>
          <w:tcPr>
            <w:tcW w:w="0" w:type="auto"/>
            <w:vAlign w:val="center"/>
            <w:hideMark/>
          </w:tcPr>
          <w:p w14:paraId="7AD0C100" w14:textId="77777777" w:rsidR="00000000" w:rsidRDefault="00405D16">
            <w:pPr>
              <w:spacing w:after="100"/>
              <w:rPr>
                <w:rFonts w:eastAsia="Times New Roman"/>
                <w:sz w:val="20"/>
                <w:szCs w:val="20"/>
              </w:rPr>
            </w:pPr>
          </w:p>
        </w:tc>
      </w:tr>
      <w:tr w:rsidR="00000000" w14:paraId="1FA1DEDF" w14:textId="77777777">
        <w:tc>
          <w:tcPr>
            <w:tcW w:w="0" w:type="auto"/>
            <w:gridSpan w:val="10"/>
            <w:tcMar>
              <w:top w:w="0" w:type="dxa"/>
              <w:left w:w="20" w:type="dxa"/>
              <w:bottom w:w="0" w:type="dxa"/>
              <w:right w:w="20" w:type="dxa"/>
            </w:tcMar>
            <w:vAlign w:val="center"/>
            <w:hideMark/>
          </w:tcPr>
          <w:p w14:paraId="69153B7E" w14:textId="77777777" w:rsidR="00000000" w:rsidRDefault="00405D16">
            <w:pPr>
              <w:spacing w:after="100"/>
              <w:jc w:val="center"/>
              <w:rPr>
                <w:rFonts w:eastAsia="Times New Roman"/>
              </w:rPr>
            </w:pPr>
          </w:p>
        </w:tc>
        <w:tc>
          <w:tcPr>
            <w:tcW w:w="0" w:type="auto"/>
            <w:gridSpan w:val="8"/>
            <w:tcMar>
              <w:top w:w="0" w:type="dxa"/>
              <w:left w:w="20" w:type="dxa"/>
              <w:bottom w:w="0" w:type="dxa"/>
              <w:right w:w="20" w:type="dxa"/>
            </w:tcMar>
            <w:vAlign w:val="center"/>
            <w:hideMark/>
          </w:tcPr>
          <w:p w14:paraId="6E984BCE" w14:textId="77777777" w:rsidR="00000000" w:rsidRDefault="00405D16">
            <w:pPr>
              <w:spacing w:after="100"/>
              <w:rPr>
                <w:rFonts w:eastAsia="Times New Roman"/>
                <w:sz w:val="20"/>
                <w:szCs w:val="20"/>
              </w:rPr>
            </w:pPr>
          </w:p>
        </w:tc>
        <w:tc>
          <w:tcPr>
            <w:tcW w:w="0" w:type="auto"/>
            <w:gridSpan w:val="90"/>
            <w:tcBorders>
              <w:top w:val="single" w:sz="8" w:space="0" w:color="000000"/>
            </w:tcBorders>
            <w:tcMar>
              <w:top w:w="30" w:type="dxa"/>
              <w:left w:w="20" w:type="dxa"/>
              <w:bottom w:w="30" w:type="dxa"/>
              <w:right w:w="20" w:type="dxa"/>
            </w:tcMar>
            <w:vAlign w:val="bottom"/>
            <w:hideMark/>
          </w:tcPr>
          <w:p w14:paraId="63A1016A" w14:textId="77777777" w:rsidR="00000000" w:rsidRDefault="00405D16">
            <w:pPr>
              <w:spacing w:after="100"/>
              <w:jc w:val="center"/>
              <w:rPr>
                <w:rFonts w:eastAsia="Times New Roman"/>
              </w:rPr>
            </w:pPr>
            <w:r>
              <w:rPr>
                <w:rFonts w:eastAsia="Times New Roman"/>
                <w:b/>
                <w:bCs/>
                <w:color w:val="000000"/>
                <w:sz w:val="15"/>
                <w:szCs w:val="15"/>
              </w:rPr>
              <w:t>Term Loans by Vintage Year</w:t>
            </w:r>
          </w:p>
        </w:tc>
        <w:tc>
          <w:tcPr>
            <w:tcW w:w="0" w:type="auto"/>
            <w:gridSpan w:val="3"/>
            <w:tcBorders>
              <w:top w:val="single" w:sz="8" w:space="0" w:color="000000"/>
            </w:tcBorders>
            <w:tcMar>
              <w:top w:w="0" w:type="dxa"/>
              <w:left w:w="20" w:type="dxa"/>
              <w:bottom w:w="0" w:type="dxa"/>
              <w:right w:w="20" w:type="dxa"/>
            </w:tcMar>
            <w:vAlign w:val="center"/>
            <w:hideMark/>
          </w:tcPr>
          <w:p w14:paraId="32C028C8" w14:textId="77777777" w:rsidR="00000000" w:rsidRDefault="00405D16">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10E9625E"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46F5E3A"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F7ECC1C"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E691D5F" w14:textId="77777777" w:rsidR="00000000" w:rsidRDefault="00405D16">
            <w:pPr>
              <w:spacing w:after="100"/>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14:paraId="01989F21" w14:textId="77777777" w:rsidR="00000000" w:rsidRDefault="00405D16">
            <w:pPr>
              <w:spacing w:after="100"/>
              <w:rPr>
                <w:rFonts w:eastAsia="Times New Roman"/>
                <w:sz w:val="20"/>
                <w:szCs w:val="20"/>
              </w:rPr>
            </w:pPr>
          </w:p>
        </w:tc>
        <w:tc>
          <w:tcPr>
            <w:tcW w:w="0" w:type="auto"/>
            <w:vAlign w:val="center"/>
            <w:hideMark/>
          </w:tcPr>
          <w:p w14:paraId="571D71C1" w14:textId="77777777" w:rsidR="00000000" w:rsidRDefault="00405D16">
            <w:pPr>
              <w:spacing w:after="100"/>
              <w:rPr>
                <w:rFonts w:eastAsia="Times New Roman"/>
                <w:sz w:val="20"/>
                <w:szCs w:val="20"/>
              </w:rPr>
            </w:pPr>
          </w:p>
        </w:tc>
      </w:tr>
      <w:tr w:rsidR="00000000" w14:paraId="54AA16E2" w14:textId="77777777">
        <w:tc>
          <w:tcPr>
            <w:tcW w:w="0" w:type="auto"/>
            <w:gridSpan w:val="10"/>
            <w:tcMar>
              <w:top w:w="30" w:type="dxa"/>
              <w:left w:w="20" w:type="dxa"/>
              <w:bottom w:w="30" w:type="dxa"/>
              <w:right w:w="20" w:type="dxa"/>
            </w:tcMar>
            <w:vAlign w:val="bottom"/>
            <w:hideMark/>
          </w:tcPr>
          <w:p w14:paraId="1FEFC337" w14:textId="77777777" w:rsidR="00000000" w:rsidRDefault="00405D16">
            <w:pPr>
              <w:spacing w:after="100"/>
              <w:rPr>
                <w:rFonts w:eastAsia="Times New Roman"/>
              </w:rPr>
            </w:pPr>
            <w:r>
              <w:rPr>
                <w:rFonts w:eastAsia="Times New Roman"/>
                <w:i/>
                <w:iCs/>
                <w:color w:val="000000"/>
                <w:sz w:val="15"/>
                <w:szCs w:val="15"/>
              </w:rPr>
              <w:t>(Dollars in millions)</w:t>
            </w:r>
          </w:p>
        </w:tc>
        <w:tc>
          <w:tcPr>
            <w:tcW w:w="0" w:type="auto"/>
            <w:gridSpan w:val="8"/>
            <w:tcMar>
              <w:top w:w="0" w:type="dxa"/>
              <w:left w:w="20" w:type="dxa"/>
              <w:bottom w:w="0" w:type="dxa"/>
              <w:right w:w="20" w:type="dxa"/>
            </w:tcMar>
            <w:vAlign w:val="center"/>
            <w:hideMark/>
          </w:tcPr>
          <w:p w14:paraId="4C20E348" w14:textId="77777777" w:rsidR="00000000" w:rsidRDefault="00405D16">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24BC13E1" w14:textId="77777777" w:rsidR="00000000" w:rsidRDefault="00405D16">
            <w:pPr>
              <w:spacing w:after="100"/>
              <w:jc w:val="center"/>
              <w:rPr>
                <w:rFonts w:eastAsia="Times New Roman"/>
              </w:rPr>
            </w:pPr>
            <w:r>
              <w:rPr>
                <w:rFonts w:eastAsia="Times New Roman"/>
                <w:b/>
                <w:bCs/>
                <w:color w:val="000000"/>
                <w:sz w:val="15"/>
                <w:szCs w:val="15"/>
              </w:rPr>
              <w:t>2020</w:t>
            </w:r>
          </w:p>
        </w:tc>
        <w:tc>
          <w:tcPr>
            <w:tcW w:w="0" w:type="auto"/>
            <w:gridSpan w:val="4"/>
            <w:tcBorders>
              <w:top w:val="single" w:sz="8" w:space="0" w:color="000000"/>
            </w:tcBorders>
            <w:tcMar>
              <w:top w:w="0" w:type="dxa"/>
              <w:left w:w="20" w:type="dxa"/>
              <w:bottom w:w="0" w:type="dxa"/>
              <w:right w:w="20" w:type="dxa"/>
            </w:tcMar>
            <w:vAlign w:val="center"/>
            <w:hideMark/>
          </w:tcPr>
          <w:p w14:paraId="5E536698" w14:textId="77777777" w:rsidR="00000000" w:rsidRDefault="00405D16">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4093B67A" w14:textId="77777777" w:rsidR="00000000" w:rsidRDefault="00405D16">
            <w:pPr>
              <w:spacing w:after="100"/>
              <w:jc w:val="center"/>
              <w:rPr>
                <w:rFonts w:eastAsia="Times New Roman"/>
              </w:rPr>
            </w:pPr>
            <w:r>
              <w:rPr>
                <w:rFonts w:eastAsia="Times New Roman"/>
                <w:b/>
                <w:bCs/>
                <w:color w:val="000000"/>
                <w:sz w:val="15"/>
                <w:szCs w:val="15"/>
              </w:rPr>
              <w:t>2019</w:t>
            </w:r>
          </w:p>
        </w:tc>
        <w:tc>
          <w:tcPr>
            <w:tcW w:w="0" w:type="auto"/>
            <w:gridSpan w:val="9"/>
            <w:tcBorders>
              <w:top w:val="single" w:sz="8" w:space="0" w:color="000000"/>
            </w:tcBorders>
            <w:tcMar>
              <w:top w:w="0" w:type="dxa"/>
              <w:left w:w="20" w:type="dxa"/>
              <w:bottom w:w="0" w:type="dxa"/>
              <w:right w:w="20" w:type="dxa"/>
            </w:tcMar>
            <w:vAlign w:val="center"/>
            <w:hideMark/>
          </w:tcPr>
          <w:p w14:paraId="7DCC3750" w14:textId="77777777" w:rsidR="00000000" w:rsidRDefault="00405D16">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1E7305D4" w14:textId="77777777" w:rsidR="00000000" w:rsidRDefault="00405D16">
            <w:pPr>
              <w:spacing w:after="100"/>
              <w:jc w:val="center"/>
              <w:rPr>
                <w:rFonts w:eastAsia="Times New Roman"/>
              </w:rPr>
            </w:pPr>
            <w:r>
              <w:rPr>
                <w:rFonts w:eastAsia="Times New Roman"/>
                <w:b/>
                <w:bCs/>
                <w:color w:val="000000"/>
                <w:sz w:val="15"/>
                <w:szCs w:val="15"/>
              </w:rPr>
              <w:t>2018</w:t>
            </w:r>
          </w:p>
        </w:tc>
        <w:tc>
          <w:tcPr>
            <w:tcW w:w="0" w:type="auto"/>
            <w:gridSpan w:val="8"/>
            <w:tcBorders>
              <w:top w:val="single" w:sz="8" w:space="0" w:color="000000"/>
            </w:tcBorders>
            <w:tcMar>
              <w:top w:w="0" w:type="dxa"/>
              <w:left w:w="20" w:type="dxa"/>
              <w:bottom w:w="0" w:type="dxa"/>
              <w:right w:w="20" w:type="dxa"/>
            </w:tcMar>
            <w:vAlign w:val="center"/>
            <w:hideMark/>
          </w:tcPr>
          <w:p w14:paraId="3DB362F8" w14:textId="77777777" w:rsidR="00000000" w:rsidRDefault="00405D16">
            <w:pPr>
              <w:spacing w:after="100"/>
              <w:jc w:val="center"/>
              <w:rPr>
                <w:rFonts w:eastAsia="Times New Roman"/>
              </w:rPr>
            </w:pPr>
          </w:p>
        </w:tc>
        <w:tc>
          <w:tcPr>
            <w:tcW w:w="0" w:type="auto"/>
            <w:gridSpan w:val="7"/>
            <w:tcBorders>
              <w:top w:val="single" w:sz="8" w:space="0" w:color="000000"/>
            </w:tcBorders>
            <w:tcMar>
              <w:top w:w="30" w:type="dxa"/>
              <w:left w:w="20" w:type="dxa"/>
              <w:bottom w:w="30" w:type="dxa"/>
              <w:right w:w="20" w:type="dxa"/>
            </w:tcMar>
            <w:vAlign w:val="bottom"/>
            <w:hideMark/>
          </w:tcPr>
          <w:p w14:paraId="25E88C7A" w14:textId="77777777" w:rsidR="00000000" w:rsidRDefault="00405D16">
            <w:pPr>
              <w:spacing w:after="100"/>
              <w:jc w:val="center"/>
              <w:rPr>
                <w:rFonts w:eastAsia="Times New Roman"/>
              </w:rPr>
            </w:pPr>
            <w:r>
              <w:rPr>
                <w:rFonts w:eastAsia="Times New Roman"/>
                <w:b/>
                <w:bCs/>
                <w:color w:val="000000"/>
                <w:sz w:val="15"/>
                <w:szCs w:val="15"/>
              </w:rPr>
              <w:t>2017</w:t>
            </w:r>
          </w:p>
        </w:tc>
        <w:tc>
          <w:tcPr>
            <w:tcW w:w="0" w:type="auto"/>
            <w:gridSpan w:val="6"/>
            <w:tcBorders>
              <w:top w:val="single" w:sz="8" w:space="0" w:color="000000"/>
            </w:tcBorders>
            <w:tcMar>
              <w:top w:w="0" w:type="dxa"/>
              <w:left w:w="20" w:type="dxa"/>
              <w:bottom w:w="0" w:type="dxa"/>
              <w:right w:w="20" w:type="dxa"/>
            </w:tcMar>
            <w:vAlign w:val="center"/>
            <w:hideMark/>
          </w:tcPr>
          <w:p w14:paraId="6561E9A1" w14:textId="77777777" w:rsidR="00000000" w:rsidRDefault="00405D16">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784CA000" w14:textId="77777777" w:rsidR="00000000" w:rsidRDefault="00405D16">
            <w:pPr>
              <w:spacing w:after="100"/>
              <w:jc w:val="center"/>
              <w:rPr>
                <w:rFonts w:eastAsia="Times New Roman"/>
              </w:rPr>
            </w:pPr>
            <w:r>
              <w:rPr>
                <w:rFonts w:eastAsia="Times New Roman"/>
                <w:b/>
                <w:bCs/>
                <w:color w:val="000000"/>
                <w:sz w:val="15"/>
                <w:szCs w:val="15"/>
              </w:rPr>
              <w:t>2016</w:t>
            </w:r>
          </w:p>
        </w:tc>
        <w:tc>
          <w:tcPr>
            <w:tcW w:w="0" w:type="auto"/>
            <w:gridSpan w:val="5"/>
            <w:tcBorders>
              <w:top w:val="single" w:sz="8" w:space="0" w:color="000000"/>
            </w:tcBorders>
            <w:tcMar>
              <w:top w:w="0" w:type="dxa"/>
              <w:left w:w="20" w:type="dxa"/>
              <w:bottom w:w="0" w:type="dxa"/>
              <w:right w:w="20" w:type="dxa"/>
            </w:tcMar>
            <w:vAlign w:val="center"/>
            <w:hideMark/>
          </w:tcPr>
          <w:p w14:paraId="2EA30A06" w14:textId="77777777" w:rsidR="00000000" w:rsidRDefault="00405D16">
            <w:pPr>
              <w:spacing w:after="100"/>
              <w:jc w:val="center"/>
              <w:rPr>
                <w:rFonts w:eastAsia="Times New Roman"/>
              </w:rPr>
            </w:pPr>
          </w:p>
        </w:tc>
        <w:tc>
          <w:tcPr>
            <w:tcW w:w="0" w:type="auto"/>
            <w:gridSpan w:val="7"/>
            <w:tcBorders>
              <w:top w:val="single" w:sz="8" w:space="0" w:color="000000"/>
            </w:tcBorders>
            <w:tcMar>
              <w:top w:w="30" w:type="dxa"/>
              <w:left w:w="20" w:type="dxa"/>
              <w:bottom w:w="30" w:type="dxa"/>
              <w:right w:w="20" w:type="dxa"/>
            </w:tcMar>
            <w:vAlign w:val="bottom"/>
            <w:hideMark/>
          </w:tcPr>
          <w:p w14:paraId="3FC462EB" w14:textId="77777777" w:rsidR="00000000" w:rsidRDefault="00405D16">
            <w:pPr>
              <w:spacing w:after="100"/>
              <w:jc w:val="center"/>
              <w:rPr>
                <w:rFonts w:eastAsia="Times New Roman"/>
              </w:rPr>
            </w:pPr>
            <w:r>
              <w:rPr>
                <w:rFonts w:eastAsia="Times New Roman"/>
                <w:b/>
                <w:bCs/>
                <w:color w:val="000000"/>
                <w:sz w:val="15"/>
                <w:szCs w:val="15"/>
              </w:rPr>
              <w:t>Prior</w:t>
            </w:r>
          </w:p>
        </w:tc>
        <w:tc>
          <w:tcPr>
            <w:tcW w:w="0" w:type="auto"/>
            <w:gridSpan w:val="5"/>
            <w:tcBorders>
              <w:top w:val="single" w:sz="8" w:space="0" w:color="000000"/>
            </w:tcBorders>
            <w:tcMar>
              <w:top w:w="0" w:type="dxa"/>
              <w:left w:w="20" w:type="dxa"/>
              <w:bottom w:w="0" w:type="dxa"/>
              <w:right w:w="20" w:type="dxa"/>
            </w:tcMar>
            <w:vAlign w:val="center"/>
            <w:hideMark/>
          </w:tcPr>
          <w:p w14:paraId="6C13A9EF"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96B2A7D" w14:textId="77777777" w:rsidR="00000000" w:rsidRDefault="00405D16">
            <w:pPr>
              <w:spacing w:after="100"/>
              <w:jc w:val="center"/>
              <w:rPr>
                <w:rFonts w:eastAsia="Times New Roman"/>
              </w:rPr>
            </w:pPr>
            <w:r>
              <w:rPr>
                <w:rFonts w:eastAsia="Times New Roman"/>
                <w:b/>
                <w:bCs/>
                <w:color w:val="000000"/>
                <w:sz w:val="15"/>
                <w:szCs w:val="15"/>
              </w:rPr>
              <w:t>Total Term Loans</w:t>
            </w:r>
          </w:p>
        </w:tc>
        <w:tc>
          <w:tcPr>
            <w:tcW w:w="0" w:type="auto"/>
            <w:gridSpan w:val="3"/>
            <w:tcMar>
              <w:top w:w="0" w:type="dxa"/>
              <w:left w:w="20" w:type="dxa"/>
              <w:bottom w:w="0" w:type="dxa"/>
              <w:right w:w="20" w:type="dxa"/>
            </w:tcMar>
            <w:vAlign w:val="center"/>
            <w:hideMark/>
          </w:tcPr>
          <w:p w14:paraId="2F49D035"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DC55014" w14:textId="77777777" w:rsidR="00000000" w:rsidRDefault="00405D16">
            <w:pPr>
              <w:spacing w:after="100"/>
              <w:jc w:val="center"/>
              <w:rPr>
                <w:rFonts w:eastAsia="Times New Roman"/>
              </w:rPr>
            </w:pPr>
            <w:r>
              <w:rPr>
                <w:rFonts w:eastAsia="Times New Roman"/>
                <w:b/>
                <w:bCs/>
                <w:color w:val="000000"/>
                <w:sz w:val="15"/>
                <w:szCs w:val="15"/>
              </w:rPr>
              <w:t>Revolving Loans</w:t>
            </w:r>
          </w:p>
        </w:tc>
        <w:tc>
          <w:tcPr>
            <w:tcW w:w="0" w:type="auto"/>
            <w:gridSpan w:val="3"/>
            <w:tcMar>
              <w:top w:w="0" w:type="dxa"/>
              <w:left w:w="20" w:type="dxa"/>
              <w:bottom w:w="0" w:type="dxa"/>
              <w:right w:w="20" w:type="dxa"/>
            </w:tcMar>
            <w:vAlign w:val="center"/>
            <w:hideMark/>
          </w:tcPr>
          <w:p w14:paraId="559DEC67"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682FCCB" w14:textId="77777777" w:rsidR="00000000" w:rsidRDefault="00405D16">
            <w:pPr>
              <w:spacing w:after="100"/>
              <w:jc w:val="center"/>
              <w:rPr>
                <w:rFonts w:eastAsia="Times New Roman"/>
              </w:rPr>
            </w:pPr>
            <w:r>
              <w:rPr>
                <w:rFonts w:eastAsia="Times New Roman"/>
                <w:b/>
                <w:bCs/>
                <w:color w:val="000000"/>
                <w:sz w:val="15"/>
                <w:szCs w:val="15"/>
              </w:rPr>
              <w:t>Revolving Loans Converted to Term</w:t>
            </w:r>
          </w:p>
        </w:tc>
        <w:tc>
          <w:tcPr>
            <w:tcW w:w="0" w:type="auto"/>
            <w:gridSpan w:val="3"/>
            <w:tcMar>
              <w:top w:w="0" w:type="dxa"/>
              <w:left w:w="20" w:type="dxa"/>
              <w:bottom w:w="0" w:type="dxa"/>
              <w:right w:w="20" w:type="dxa"/>
            </w:tcMar>
            <w:vAlign w:val="center"/>
            <w:hideMark/>
          </w:tcPr>
          <w:p w14:paraId="0A28B544" w14:textId="77777777" w:rsidR="00000000" w:rsidRDefault="00405D16">
            <w:pPr>
              <w:spacing w:after="100"/>
              <w:jc w:val="center"/>
              <w:rPr>
                <w:rFonts w:eastAsia="Times New Roman"/>
              </w:rPr>
            </w:pPr>
          </w:p>
        </w:tc>
        <w:tc>
          <w:tcPr>
            <w:tcW w:w="0" w:type="auto"/>
            <w:gridSpan w:val="2"/>
            <w:tcMar>
              <w:top w:w="30" w:type="dxa"/>
              <w:left w:w="20" w:type="dxa"/>
              <w:bottom w:w="30" w:type="dxa"/>
              <w:right w:w="20" w:type="dxa"/>
            </w:tcMar>
            <w:vAlign w:val="bottom"/>
            <w:hideMark/>
          </w:tcPr>
          <w:p w14:paraId="56BEAA0C" w14:textId="77777777" w:rsidR="00000000" w:rsidRDefault="00405D16">
            <w:pPr>
              <w:spacing w:after="100"/>
              <w:jc w:val="center"/>
              <w:rPr>
                <w:rFonts w:eastAsia="Times New Roman"/>
              </w:rPr>
            </w:pPr>
            <w:r>
              <w:rPr>
                <w:rFonts w:eastAsia="Times New Roman"/>
                <w:b/>
                <w:bCs/>
                <w:color w:val="000000"/>
                <w:sz w:val="15"/>
                <w:szCs w:val="15"/>
              </w:rPr>
              <w:t>Total</w:t>
            </w:r>
          </w:p>
        </w:tc>
        <w:tc>
          <w:tcPr>
            <w:tcW w:w="0" w:type="auto"/>
            <w:vAlign w:val="center"/>
            <w:hideMark/>
          </w:tcPr>
          <w:p w14:paraId="6B8E7EF9" w14:textId="77777777" w:rsidR="00000000" w:rsidRDefault="00405D16">
            <w:pPr>
              <w:spacing w:after="100"/>
              <w:rPr>
                <w:rFonts w:eastAsia="Times New Roman"/>
                <w:sz w:val="20"/>
                <w:szCs w:val="20"/>
              </w:rPr>
            </w:pPr>
          </w:p>
        </w:tc>
      </w:tr>
      <w:tr w:rsidR="00000000" w14:paraId="15703315" w14:textId="77777777">
        <w:tc>
          <w:tcPr>
            <w:tcW w:w="0" w:type="auto"/>
            <w:gridSpan w:val="10"/>
            <w:tcBorders>
              <w:top w:val="single" w:sz="8" w:space="0" w:color="000000"/>
            </w:tcBorders>
            <w:shd w:val="clear" w:color="auto" w:fill="CCEEFF"/>
            <w:tcMar>
              <w:top w:w="30" w:type="dxa"/>
              <w:left w:w="20" w:type="dxa"/>
              <w:bottom w:w="30" w:type="dxa"/>
              <w:right w:w="20" w:type="dxa"/>
            </w:tcMar>
            <w:vAlign w:val="center"/>
            <w:hideMark/>
          </w:tcPr>
          <w:p w14:paraId="1C3CC2D5" w14:textId="77777777" w:rsidR="00000000" w:rsidRDefault="00405D16">
            <w:pPr>
              <w:spacing w:after="100"/>
              <w:divId w:val="1430464364"/>
              <w:rPr>
                <w:rFonts w:eastAsia="Times New Roman"/>
              </w:rPr>
            </w:pPr>
            <w:r>
              <w:rPr>
                <w:rFonts w:eastAsia="Times New Roman"/>
                <w:b/>
                <w:bCs/>
                <w:color w:val="000000"/>
                <w:sz w:val="18"/>
                <w:szCs w:val="18"/>
              </w:rPr>
              <w:t>Internal risk rating</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8"/>
            <w:shd w:val="clear" w:color="auto" w:fill="CCEEFF"/>
            <w:tcMar>
              <w:top w:w="0" w:type="dxa"/>
              <w:left w:w="20" w:type="dxa"/>
              <w:bottom w:w="0" w:type="dxa"/>
              <w:right w:w="20" w:type="dxa"/>
            </w:tcMar>
            <w:vAlign w:val="center"/>
            <w:hideMark/>
          </w:tcPr>
          <w:p w14:paraId="620B19FA" w14:textId="77777777" w:rsidR="00000000" w:rsidRDefault="00405D16">
            <w:pPr>
              <w:spacing w:after="100"/>
              <w:rPr>
                <w:rFonts w:eastAsia="Times New Roman"/>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14:paraId="5EF0794A"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4A69F42F" w14:textId="77777777" w:rsidR="00000000" w:rsidRDefault="00405D16">
            <w:pPr>
              <w:spacing w:after="100"/>
              <w:rPr>
                <w:rFonts w:eastAsia="Times New Roman"/>
                <w:sz w:val="20"/>
                <w:szCs w:val="20"/>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14:paraId="5DC982EB" w14:textId="77777777" w:rsidR="00000000" w:rsidRDefault="00405D16">
            <w:pPr>
              <w:spacing w:after="100"/>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14:paraId="16B05507" w14:textId="77777777" w:rsidR="00000000" w:rsidRDefault="00405D16">
            <w:pPr>
              <w:spacing w:after="100"/>
              <w:rPr>
                <w:rFonts w:eastAsia="Times New Roman"/>
                <w:sz w:val="20"/>
                <w:szCs w:val="20"/>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14:paraId="05BAB75A" w14:textId="77777777" w:rsidR="00000000" w:rsidRDefault="00405D16">
            <w:pPr>
              <w:spacing w:after="100"/>
              <w:rPr>
                <w:rFonts w:eastAsia="Times New Roman"/>
                <w:sz w:val="20"/>
                <w:szCs w:val="20"/>
              </w:rPr>
            </w:pPr>
          </w:p>
        </w:tc>
        <w:tc>
          <w:tcPr>
            <w:tcW w:w="0" w:type="auto"/>
            <w:gridSpan w:val="8"/>
            <w:shd w:val="clear" w:color="auto" w:fill="CCEEFF"/>
            <w:tcMar>
              <w:top w:w="0" w:type="dxa"/>
              <w:left w:w="20" w:type="dxa"/>
              <w:bottom w:w="0" w:type="dxa"/>
              <w:right w:w="20" w:type="dxa"/>
            </w:tcMar>
            <w:vAlign w:val="center"/>
            <w:hideMark/>
          </w:tcPr>
          <w:p w14:paraId="6718A7F2" w14:textId="77777777" w:rsidR="00000000" w:rsidRDefault="00405D16">
            <w:pPr>
              <w:spacing w:after="100"/>
              <w:rPr>
                <w:rFonts w:eastAsia="Times New Roman"/>
                <w:sz w:val="20"/>
                <w:szCs w:val="20"/>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14:paraId="37EFEE38" w14:textId="77777777" w:rsidR="00000000" w:rsidRDefault="00405D16">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14:paraId="0A92A520" w14:textId="77777777" w:rsidR="00000000" w:rsidRDefault="00405D16">
            <w:pPr>
              <w:spacing w:after="100"/>
              <w:rPr>
                <w:rFonts w:eastAsia="Times New Roman"/>
                <w:sz w:val="20"/>
                <w:szCs w:val="20"/>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14:paraId="36D57ABE" w14:textId="77777777" w:rsidR="00000000" w:rsidRDefault="00405D16">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36D294C1" w14:textId="77777777" w:rsidR="00000000" w:rsidRDefault="00405D16">
            <w:pPr>
              <w:spacing w:after="100"/>
              <w:rPr>
                <w:rFonts w:eastAsia="Times New Roman"/>
                <w:sz w:val="20"/>
                <w:szCs w:val="20"/>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14:paraId="47A17FC3" w14:textId="77777777" w:rsidR="00000000" w:rsidRDefault="00405D16">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19AF38E7"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226C05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ACF1C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CC4B0B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BC509F"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36DAC1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6EECE1" w14:textId="77777777" w:rsidR="00000000" w:rsidRDefault="00405D16">
            <w:pPr>
              <w:spacing w:after="100"/>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14:paraId="5782525F" w14:textId="77777777" w:rsidR="00000000" w:rsidRDefault="00405D16">
            <w:pPr>
              <w:spacing w:after="100"/>
              <w:rPr>
                <w:rFonts w:eastAsia="Times New Roman"/>
                <w:sz w:val="20"/>
                <w:szCs w:val="20"/>
              </w:rPr>
            </w:pPr>
          </w:p>
        </w:tc>
        <w:tc>
          <w:tcPr>
            <w:tcW w:w="0" w:type="auto"/>
            <w:vAlign w:val="center"/>
            <w:hideMark/>
          </w:tcPr>
          <w:p w14:paraId="3D9EF029" w14:textId="77777777" w:rsidR="00000000" w:rsidRDefault="00405D16">
            <w:pPr>
              <w:spacing w:after="100"/>
              <w:rPr>
                <w:rFonts w:eastAsia="Times New Roman"/>
                <w:sz w:val="20"/>
                <w:szCs w:val="20"/>
              </w:rPr>
            </w:pPr>
          </w:p>
        </w:tc>
      </w:tr>
      <w:tr w:rsidR="00000000" w14:paraId="389C9679" w14:textId="77777777">
        <w:tc>
          <w:tcPr>
            <w:tcW w:w="0" w:type="auto"/>
            <w:gridSpan w:val="10"/>
            <w:shd w:val="clear" w:color="auto" w:fill="FFFFFF"/>
            <w:tcMar>
              <w:top w:w="30" w:type="dxa"/>
              <w:left w:w="155" w:type="dxa"/>
              <w:bottom w:w="30" w:type="dxa"/>
              <w:right w:w="20" w:type="dxa"/>
            </w:tcMar>
            <w:vAlign w:val="center"/>
            <w:hideMark/>
          </w:tcPr>
          <w:p w14:paraId="0C646C79" w14:textId="77777777" w:rsidR="00000000" w:rsidRDefault="00405D16">
            <w:pPr>
              <w:spacing w:after="100"/>
              <w:rPr>
                <w:rFonts w:eastAsia="Times New Roman"/>
              </w:rPr>
            </w:pPr>
            <w:r>
              <w:rPr>
                <w:rFonts w:eastAsia="Times New Roman"/>
                <w:color w:val="000000"/>
                <w:sz w:val="18"/>
                <w:szCs w:val="18"/>
              </w:rPr>
              <w:t>Commercial and multifamily real estate</w:t>
            </w:r>
          </w:p>
        </w:tc>
        <w:tc>
          <w:tcPr>
            <w:tcW w:w="0" w:type="auto"/>
            <w:gridSpan w:val="8"/>
            <w:shd w:val="clear" w:color="auto" w:fill="FFFFFF"/>
            <w:tcMar>
              <w:top w:w="0" w:type="dxa"/>
              <w:left w:w="20" w:type="dxa"/>
              <w:bottom w:w="0" w:type="dxa"/>
              <w:right w:w="20" w:type="dxa"/>
            </w:tcMar>
            <w:vAlign w:val="center"/>
            <w:hideMark/>
          </w:tcPr>
          <w:p w14:paraId="03A20825" w14:textId="77777777" w:rsidR="00000000" w:rsidRDefault="00405D16">
            <w:pPr>
              <w:spacing w:after="100"/>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7A1F3107" w14:textId="77777777" w:rsidR="00000000" w:rsidRDefault="00405D16">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19A8E596" w14:textId="77777777" w:rsidR="00000000" w:rsidRDefault="00405D16">
            <w:pPr>
              <w:spacing w:after="100"/>
              <w:rPr>
                <w:rFonts w:eastAsia="Times New Roman"/>
                <w:sz w:val="20"/>
                <w:szCs w:val="20"/>
              </w:rPr>
            </w:pPr>
          </w:p>
        </w:tc>
        <w:tc>
          <w:tcPr>
            <w:tcW w:w="0" w:type="auto"/>
            <w:gridSpan w:val="9"/>
            <w:shd w:val="clear" w:color="auto" w:fill="FFFFFF"/>
            <w:tcMar>
              <w:top w:w="0" w:type="dxa"/>
              <w:left w:w="20" w:type="dxa"/>
              <w:bottom w:w="0" w:type="dxa"/>
              <w:right w:w="20" w:type="dxa"/>
            </w:tcMar>
            <w:vAlign w:val="center"/>
            <w:hideMark/>
          </w:tcPr>
          <w:p w14:paraId="7F7C71B2" w14:textId="77777777" w:rsidR="00000000" w:rsidRDefault="00405D16">
            <w:pPr>
              <w:spacing w:after="100"/>
              <w:rPr>
                <w:rFonts w:eastAsia="Times New Roman"/>
                <w:sz w:val="20"/>
                <w:szCs w:val="20"/>
              </w:rPr>
            </w:pPr>
          </w:p>
        </w:tc>
        <w:tc>
          <w:tcPr>
            <w:tcW w:w="0" w:type="auto"/>
            <w:gridSpan w:val="9"/>
            <w:shd w:val="clear" w:color="auto" w:fill="FFFFFF"/>
            <w:tcMar>
              <w:top w:w="0" w:type="dxa"/>
              <w:left w:w="20" w:type="dxa"/>
              <w:bottom w:w="0" w:type="dxa"/>
              <w:right w:w="20" w:type="dxa"/>
            </w:tcMar>
            <w:vAlign w:val="center"/>
            <w:hideMark/>
          </w:tcPr>
          <w:p w14:paraId="6422C16F" w14:textId="77777777" w:rsidR="00000000" w:rsidRDefault="00405D16">
            <w:pPr>
              <w:spacing w:after="100"/>
              <w:rPr>
                <w:rFonts w:eastAsia="Times New Roman"/>
                <w:sz w:val="20"/>
                <w:szCs w:val="20"/>
              </w:rPr>
            </w:pPr>
          </w:p>
        </w:tc>
        <w:tc>
          <w:tcPr>
            <w:tcW w:w="0" w:type="auto"/>
            <w:gridSpan w:val="9"/>
            <w:shd w:val="clear" w:color="auto" w:fill="FFFFFF"/>
            <w:tcMar>
              <w:top w:w="0" w:type="dxa"/>
              <w:left w:w="20" w:type="dxa"/>
              <w:bottom w:w="0" w:type="dxa"/>
              <w:right w:w="20" w:type="dxa"/>
            </w:tcMar>
            <w:vAlign w:val="center"/>
            <w:hideMark/>
          </w:tcPr>
          <w:p w14:paraId="24639E43" w14:textId="77777777" w:rsidR="00000000" w:rsidRDefault="00405D16">
            <w:pPr>
              <w:spacing w:after="100"/>
              <w:rPr>
                <w:rFonts w:eastAsia="Times New Roman"/>
                <w:sz w:val="20"/>
                <w:szCs w:val="20"/>
              </w:rPr>
            </w:pPr>
          </w:p>
        </w:tc>
        <w:tc>
          <w:tcPr>
            <w:tcW w:w="0" w:type="auto"/>
            <w:gridSpan w:val="8"/>
            <w:shd w:val="clear" w:color="auto" w:fill="FFFFFF"/>
            <w:tcMar>
              <w:top w:w="0" w:type="dxa"/>
              <w:left w:w="20" w:type="dxa"/>
              <w:bottom w:w="0" w:type="dxa"/>
              <w:right w:w="20" w:type="dxa"/>
            </w:tcMar>
            <w:vAlign w:val="center"/>
            <w:hideMark/>
          </w:tcPr>
          <w:p w14:paraId="1CBB2923" w14:textId="77777777" w:rsidR="00000000" w:rsidRDefault="00405D16">
            <w:pPr>
              <w:spacing w:after="100"/>
              <w:rPr>
                <w:rFonts w:eastAsia="Times New Roman"/>
                <w:sz w:val="20"/>
                <w:szCs w:val="20"/>
              </w:rPr>
            </w:pPr>
          </w:p>
        </w:tc>
        <w:tc>
          <w:tcPr>
            <w:tcW w:w="0" w:type="auto"/>
            <w:gridSpan w:val="7"/>
            <w:shd w:val="clear" w:color="auto" w:fill="FFFFFF"/>
            <w:tcMar>
              <w:top w:w="0" w:type="dxa"/>
              <w:left w:w="20" w:type="dxa"/>
              <w:bottom w:w="0" w:type="dxa"/>
              <w:right w:w="20" w:type="dxa"/>
            </w:tcMar>
            <w:vAlign w:val="center"/>
            <w:hideMark/>
          </w:tcPr>
          <w:p w14:paraId="5325F16A" w14:textId="77777777" w:rsidR="00000000" w:rsidRDefault="00405D16">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14:paraId="71AB5735" w14:textId="77777777" w:rsidR="00000000" w:rsidRDefault="00405D16">
            <w:pPr>
              <w:spacing w:after="100"/>
              <w:rPr>
                <w:rFonts w:eastAsia="Times New Roman"/>
                <w:sz w:val="20"/>
                <w:szCs w:val="20"/>
              </w:rPr>
            </w:pPr>
          </w:p>
        </w:tc>
        <w:tc>
          <w:tcPr>
            <w:tcW w:w="0" w:type="auto"/>
            <w:gridSpan w:val="9"/>
            <w:shd w:val="clear" w:color="auto" w:fill="FFFFFF"/>
            <w:tcMar>
              <w:top w:w="0" w:type="dxa"/>
              <w:left w:w="20" w:type="dxa"/>
              <w:bottom w:w="0" w:type="dxa"/>
              <w:right w:w="20" w:type="dxa"/>
            </w:tcMar>
            <w:vAlign w:val="center"/>
            <w:hideMark/>
          </w:tcPr>
          <w:p w14:paraId="553D7514" w14:textId="77777777" w:rsidR="00000000" w:rsidRDefault="00405D16">
            <w:pPr>
              <w:spacing w:after="100"/>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14:paraId="31C15E9A" w14:textId="77777777" w:rsidR="00000000" w:rsidRDefault="00405D16">
            <w:pPr>
              <w:spacing w:after="100"/>
              <w:rPr>
                <w:rFonts w:eastAsia="Times New Roman"/>
                <w:sz w:val="20"/>
                <w:szCs w:val="20"/>
              </w:rPr>
            </w:pPr>
          </w:p>
        </w:tc>
        <w:tc>
          <w:tcPr>
            <w:tcW w:w="0" w:type="auto"/>
            <w:gridSpan w:val="7"/>
            <w:shd w:val="clear" w:color="auto" w:fill="FFFFFF"/>
            <w:tcMar>
              <w:top w:w="0" w:type="dxa"/>
              <w:left w:w="20" w:type="dxa"/>
              <w:bottom w:w="0" w:type="dxa"/>
              <w:right w:w="20" w:type="dxa"/>
            </w:tcMar>
            <w:vAlign w:val="center"/>
            <w:hideMark/>
          </w:tcPr>
          <w:p w14:paraId="625707B8" w14:textId="77777777" w:rsidR="00000000" w:rsidRDefault="00405D16">
            <w:pPr>
              <w:spacing w:after="100"/>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14:paraId="3FD00C8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7CE24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0235E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D9E26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CECE4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CD2DD4"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63C6EE" w14:textId="77777777" w:rsidR="00000000" w:rsidRDefault="00405D16">
            <w:pPr>
              <w:spacing w:after="100"/>
              <w:rPr>
                <w:rFonts w:eastAsia="Times New Roman"/>
                <w:sz w:val="20"/>
                <w:szCs w:val="20"/>
              </w:rPr>
            </w:pPr>
          </w:p>
        </w:tc>
        <w:tc>
          <w:tcPr>
            <w:tcW w:w="0" w:type="auto"/>
            <w:gridSpan w:val="2"/>
            <w:shd w:val="clear" w:color="auto" w:fill="FFFFFF"/>
            <w:tcMar>
              <w:top w:w="0" w:type="dxa"/>
              <w:left w:w="20" w:type="dxa"/>
              <w:bottom w:w="0" w:type="dxa"/>
              <w:right w:w="20" w:type="dxa"/>
            </w:tcMar>
            <w:vAlign w:val="center"/>
            <w:hideMark/>
          </w:tcPr>
          <w:p w14:paraId="19D352AF" w14:textId="77777777" w:rsidR="00000000" w:rsidRDefault="00405D16">
            <w:pPr>
              <w:spacing w:after="100"/>
              <w:rPr>
                <w:rFonts w:eastAsia="Times New Roman"/>
                <w:sz w:val="20"/>
                <w:szCs w:val="20"/>
              </w:rPr>
            </w:pPr>
          </w:p>
        </w:tc>
        <w:tc>
          <w:tcPr>
            <w:tcW w:w="0" w:type="auto"/>
            <w:vAlign w:val="center"/>
            <w:hideMark/>
          </w:tcPr>
          <w:p w14:paraId="5B17BC38" w14:textId="77777777" w:rsidR="00000000" w:rsidRDefault="00405D16">
            <w:pPr>
              <w:spacing w:after="100"/>
              <w:rPr>
                <w:rFonts w:eastAsia="Times New Roman"/>
                <w:sz w:val="20"/>
                <w:szCs w:val="20"/>
              </w:rPr>
            </w:pPr>
          </w:p>
        </w:tc>
      </w:tr>
      <w:tr w:rsidR="00405D16" w14:paraId="34C4127B" w14:textId="77777777">
        <w:tc>
          <w:tcPr>
            <w:tcW w:w="0" w:type="auto"/>
            <w:gridSpan w:val="10"/>
            <w:shd w:val="clear" w:color="auto" w:fill="CCEEFF"/>
            <w:tcMar>
              <w:top w:w="30" w:type="dxa"/>
              <w:left w:w="380" w:type="dxa"/>
              <w:bottom w:w="30" w:type="dxa"/>
              <w:right w:w="20" w:type="dxa"/>
            </w:tcMar>
            <w:vAlign w:val="center"/>
            <w:hideMark/>
          </w:tcPr>
          <w:p w14:paraId="6A456989" w14:textId="77777777" w:rsidR="00000000" w:rsidRDefault="00405D16">
            <w:pPr>
              <w:spacing w:after="100"/>
              <w:rPr>
                <w:rFonts w:eastAsia="Times New Roman"/>
              </w:rPr>
            </w:pPr>
            <w:r>
              <w:rPr>
                <w:rFonts w:eastAsia="Times New Roman"/>
                <w:color w:val="000000"/>
                <w:sz w:val="18"/>
                <w:szCs w:val="18"/>
              </w:rPr>
              <w:t>Noncriticized</w:t>
            </w:r>
          </w:p>
        </w:tc>
        <w:tc>
          <w:tcPr>
            <w:tcW w:w="0" w:type="auto"/>
            <w:gridSpan w:val="8"/>
            <w:shd w:val="clear" w:color="auto" w:fill="CCEEFF"/>
            <w:tcMar>
              <w:top w:w="0" w:type="dxa"/>
              <w:left w:w="20" w:type="dxa"/>
              <w:bottom w:w="0" w:type="dxa"/>
              <w:right w:w="20" w:type="dxa"/>
            </w:tcMar>
            <w:vAlign w:val="center"/>
            <w:hideMark/>
          </w:tcPr>
          <w:p w14:paraId="03EE94D9"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2D107C5" w14:textId="77777777" w:rsidR="00000000" w:rsidRDefault="00405D16">
            <w:pPr>
              <w:spacing w:after="100"/>
              <w:rPr>
                <w:rFonts w:eastAsia="Times New Roman"/>
              </w:rPr>
            </w:pPr>
            <w:r>
              <w:rPr>
                <w:rFonts w:eastAsia="Times New Roman"/>
                <w:color w:val="000000"/>
                <w:sz w:val="18"/>
                <w:szCs w:val="18"/>
              </w:rPr>
              <w:t>$</w:t>
            </w:r>
          </w:p>
        </w:tc>
        <w:tc>
          <w:tcPr>
            <w:tcW w:w="0" w:type="auto"/>
            <w:gridSpan w:val="4"/>
            <w:shd w:val="clear" w:color="auto" w:fill="CCEEFF"/>
            <w:tcMar>
              <w:top w:w="30" w:type="dxa"/>
              <w:left w:w="0" w:type="dxa"/>
              <w:bottom w:w="30" w:type="dxa"/>
              <w:right w:w="0" w:type="dxa"/>
            </w:tcMar>
            <w:vAlign w:val="center"/>
            <w:hideMark/>
          </w:tcPr>
          <w:p w14:paraId="58240095" w14:textId="77777777" w:rsidR="00000000" w:rsidRDefault="00405D16">
            <w:pPr>
              <w:spacing w:after="100"/>
              <w:jc w:val="right"/>
              <w:rPr>
                <w:rFonts w:eastAsia="Times New Roman"/>
              </w:rPr>
            </w:pPr>
            <w:r>
              <w:rPr>
                <w:rFonts w:eastAsia="Times New Roman"/>
                <w:color w:val="000000"/>
                <w:sz w:val="18"/>
                <w:szCs w:val="18"/>
              </w:rPr>
              <w:t>3,791 </w:t>
            </w:r>
          </w:p>
        </w:tc>
        <w:tc>
          <w:tcPr>
            <w:tcW w:w="0" w:type="auto"/>
            <w:gridSpan w:val="3"/>
            <w:shd w:val="clear" w:color="auto" w:fill="CCEEFF"/>
            <w:tcMar>
              <w:top w:w="30" w:type="dxa"/>
              <w:left w:w="0" w:type="dxa"/>
              <w:bottom w:w="30" w:type="dxa"/>
              <w:right w:w="20" w:type="dxa"/>
            </w:tcMar>
            <w:vAlign w:val="center"/>
            <w:hideMark/>
          </w:tcPr>
          <w:p w14:paraId="7837433F"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B1BB00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03D35B0" w14:textId="77777777" w:rsidR="00000000" w:rsidRDefault="00405D16">
            <w:pPr>
              <w:spacing w:after="100"/>
              <w:rPr>
                <w:rFonts w:eastAsia="Times New Roman"/>
              </w:rPr>
            </w:pPr>
            <w:r>
              <w:rPr>
                <w:rFonts w:eastAsia="Times New Roman"/>
                <w:color w:val="000000"/>
                <w:sz w:val="18"/>
                <w:szCs w:val="18"/>
              </w:rPr>
              <w:t>$</w:t>
            </w:r>
          </w:p>
        </w:tc>
        <w:tc>
          <w:tcPr>
            <w:tcW w:w="0" w:type="auto"/>
            <w:gridSpan w:val="6"/>
            <w:shd w:val="clear" w:color="auto" w:fill="CCEEFF"/>
            <w:tcMar>
              <w:top w:w="30" w:type="dxa"/>
              <w:left w:w="0" w:type="dxa"/>
              <w:bottom w:w="30" w:type="dxa"/>
              <w:right w:w="0" w:type="dxa"/>
            </w:tcMar>
            <w:vAlign w:val="center"/>
            <w:hideMark/>
          </w:tcPr>
          <w:p w14:paraId="77419AD8" w14:textId="77777777" w:rsidR="00000000" w:rsidRDefault="00405D16">
            <w:pPr>
              <w:spacing w:after="100"/>
              <w:jc w:val="right"/>
              <w:rPr>
                <w:rFonts w:eastAsia="Times New Roman"/>
              </w:rPr>
            </w:pPr>
            <w:r>
              <w:rPr>
                <w:rFonts w:eastAsia="Times New Roman"/>
                <w:color w:val="000000"/>
                <w:sz w:val="18"/>
                <w:szCs w:val="18"/>
              </w:rPr>
              <w:t>4,932 </w:t>
            </w:r>
          </w:p>
        </w:tc>
        <w:tc>
          <w:tcPr>
            <w:tcW w:w="0" w:type="auto"/>
            <w:shd w:val="clear" w:color="auto" w:fill="CCEEFF"/>
            <w:tcMar>
              <w:top w:w="30" w:type="dxa"/>
              <w:left w:w="0" w:type="dxa"/>
              <w:bottom w:w="30" w:type="dxa"/>
              <w:right w:w="20" w:type="dxa"/>
            </w:tcMar>
            <w:vAlign w:val="center"/>
            <w:hideMark/>
          </w:tcPr>
          <w:p w14:paraId="2ADE3EB1" w14:textId="77777777" w:rsidR="00000000" w:rsidRDefault="00405D16">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2B17C745"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4A447A08" w14:textId="77777777" w:rsidR="00000000" w:rsidRDefault="00405D16">
            <w:pPr>
              <w:spacing w:after="100"/>
              <w:rPr>
                <w:rFonts w:eastAsia="Times New Roman"/>
              </w:rPr>
            </w:pPr>
            <w:r>
              <w:rPr>
                <w:rFonts w:eastAsia="Times New Roman"/>
                <w:color w:val="000000"/>
                <w:sz w:val="18"/>
                <w:szCs w:val="18"/>
              </w:rPr>
              <w:t>$</w:t>
            </w:r>
          </w:p>
        </w:tc>
        <w:tc>
          <w:tcPr>
            <w:tcW w:w="0" w:type="auto"/>
            <w:gridSpan w:val="7"/>
            <w:shd w:val="clear" w:color="auto" w:fill="CCEEFF"/>
            <w:tcMar>
              <w:top w:w="30" w:type="dxa"/>
              <w:left w:w="0" w:type="dxa"/>
              <w:bottom w:w="30" w:type="dxa"/>
              <w:right w:w="0" w:type="dxa"/>
            </w:tcMar>
            <w:vAlign w:val="center"/>
            <w:hideMark/>
          </w:tcPr>
          <w:p w14:paraId="400A6830" w14:textId="77777777" w:rsidR="00000000" w:rsidRDefault="00405D16">
            <w:pPr>
              <w:spacing w:after="100"/>
              <w:jc w:val="right"/>
              <w:rPr>
                <w:rFonts w:eastAsia="Times New Roman"/>
              </w:rPr>
            </w:pPr>
            <w:r>
              <w:rPr>
                <w:rFonts w:eastAsia="Times New Roman"/>
                <w:color w:val="000000"/>
                <w:sz w:val="18"/>
                <w:szCs w:val="18"/>
              </w:rPr>
              <w:t>3,232 </w:t>
            </w:r>
          </w:p>
        </w:tc>
        <w:tc>
          <w:tcPr>
            <w:tcW w:w="0" w:type="auto"/>
            <w:shd w:val="clear" w:color="auto" w:fill="CCEEFF"/>
            <w:tcMar>
              <w:top w:w="30" w:type="dxa"/>
              <w:left w:w="0" w:type="dxa"/>
              <w:bottom w:w="30" w:type="dxa"/>
              <w:right w:w="20" w:type="dxa"/>
            </w:tcMar>
            <w:vAlign w:val="center"/>
            <w:hideMark/>
          </w:tcPr>
          <w:p w14:paraId="6A4BC6C3" w14:textId="77777777" w:rsidR="00000000" w:rsidRDefault="00405D16">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7815120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B62C6E1"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77748246" w14:textId="77777777" w:rsidR="00000000" w:rsidRDefault="00405D16">
            <w:pPr>
              <w:spacing w:after="100"/>
              <w:jc w:val="right"/>
              <w:rPr>
                <w:rFonts w:eastAsia="Times New Roman"/>
              </w:rPr>
            </w:pPr>
            <w:r>
              <w:rPr>
                <w:rFonts w:eastAsia="Times New Roman"/>
                <w:color w:val="000000"/>
                <w:sz w:val="18"/>
                <w:szCs w:val="18"/>
              </w:rPr>
              <w:t>1,437 </w:t>
            </w:r>
          </w:p>
        </w:tc>
        <w:tc>
          <w:tcPr>
            <w:tcW w:w="0" w:type="auto"/>
            <w:gridSpan w:val="4"/>
            <w:shd w:val="clear" w:color="auto" w:fill="CCEEFF"/>
            <w:tcMar>
              <w:top w:w="30" w:type="dxa"/>
              <w:left w:w="0" w:type="dxa"/>
              <w:bottom w:w="30" w:type="dxa"/>
              <w:right w:w="20" w:type="dxa"/>
            </w:tcMar>
            <w:vAlign w:val="center"/>
            <w:hideMark/>
          </w:tcPr>
          <w:p w14:paraId="4BB69DC8" w14:textId="77777777" w:rsidR="00000000" w:rsidRDefault="00405D16">
            <w:pPr>
              <w:spacing w:after="100"/>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14:paraId="37CFE04B"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3CDC6088" w14:textId="77777777" w:rsidR="00000000" w:rsidRDefault="00405D16">
            <w:pPr>
              <w:spacing w:after="100"/>
              <w:rPr>
                <w:rFonts w:eastAsia="Times New Roman"/>
              </w:rPr>
            </w:pPr>
            <w:r>
              <w:rPr>
                <w:rFonts w:eastAsia="Times New Roman"/>
                <w:color w:val="000000"/>
                <w:sz w:val="18"/>
                <w:szCs w:val="18"/>
              </w:rPr>
              <w:t>$</w:t>
            </w:r>
          </w:p>
        </w:tc>
        <w:tc>
          <w:tcPr>
            <w:tcW w:w="0" w:type="auto"/>
            <w:gridSpan w:val="7"/>
            <w:shd w:val="clear" w:color="auto" w:fill="CCEEFF"/>
            <w:tcMar>
              <w:top w:w="30" w:type="dxa"/>
              <w:left w:w="0" w:type="dxa"/>
              <w:bottom w:w="30" w:type="dxa"/>
              <w:right w:w="0" w:type="dxa"/>
            </w:tcMar>
            <w:vAlign w:val="center"/>
            <w:hideMark/>
          </w:tcPr>
          <w:p w14:paraId="6D701F97" w14:textId="77777777" w:rsidR="00000000" w:rsidRDefault="00405D16">
            <w:pPr>
              <w:spacing w:after="100"/>
              <w:jc w:val="right"/>
              <w:rPr>
                <w:rFonts w:eastAsia="Times New Roman"/>
              </w:rPr>
            </w:pPr>
            <w:r>
              <w:rPr>
                <w:rFonts w:eastAsia="Times New Roman"/>
                <w:color w:val="000000"/>
                <w:sz w:val="18"/>
                <w:szCs w:val="18"/>
              </w:rPr>
              <w:t>1,649 </w:t>
            </w:r>
          </w:p>
        </w:tc>
        <w:tc>
          <w:tcPr>
            <w:tcW w:w="0" w:type="auto"/>
            <w:shd w:val="clear" w:color="auto" w:fill="CCEEFF"/>
            <w:tcMar>
              <w:top w:w="30" w:type="dxa"/>
              <w:left w:w="0" w:type="dxa"/>
              <w:bottom w:w="30" w:type="dxa"/>
              <w:right w:w="20" w:type="dxa"/>
            </w:tcMar>
            <w:vAlign w:val="center"/>
            <w:hideMark/>
          </w:tcPr>
          <w:p w14:paraId="0178CA10" w14:textId="77777777" w:rsidR="00000000" w:rsidRDefault="00405D16">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14:paraId="11EC7200" w14:textId="77777777" w:rsidR="00000000" w:rsidRDefault="00405D16">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14:paraId="36DE2798" w14:textId="77777777" w:rsidR="00000000" w:rsidRDefault="00405D16">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0" w:type="dxa"/>
            </w:tcMar>
            <w:vAlign w:val="center"/>
            <w:hideMark/>
          </w:tcPr>
          <w:p w14:paraId="03A1BD0A" w14:textId="77777777" w:rsidR="00000000" w:rsidRDefault="00405D16">
            <w:pPr>
              <w:spacing w:after="100"/>
              <w:jc w:val="right"/>
              <w:rPr>
                <w:rFonts w:eastAsia="Times New Roman"/>
              </w:rPr>
            </w:pPr>
            <w:r>
              <w:rPr>
                <w:rFonts w:eastAsia="Times New Roman"/>
                <w:color w:val="000000"/>
                <w:sz w:val="18"/>
                <w:szCs w:val="18"/>
              </w:rPr>
              <w:t>4,904 </w:t>
            </w:r>
          </w:p>
        </w:tc>
        <w:tc>
          <w:tcPr>
            <w:tcW w:w="0" w:type="auto"/>
            <w:shd w:val="clear" w:color="auto" w:fill="CCEEFF"/>
            <w:tcMar>
              <w:top w:w="30" w:type="dxa"/>
              <w:left w:w="0" w:type="dxa"/>
              <w:bottom w:w="30" w:type="dxa"/>
              <w:right w:w="20" w:type="dxa"/>
            </w:tcMar>
            <w:vAlign w:val="center"/>
            <w:hideMark/>
          </w:tcPr>
          <w:p w14:paraId="6EDDD716" w14:textId="77777777" w:rsidR="00000000" w:rsidRDefault="00405D16">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14:paraId="4F915882"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15FD5443"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32964A6F" w14:textId="77777777" w:rsidR="00000000" w:rsidRDefault="00405D16">
            <w:pPr>
              <w:spacing w:after="100"/>
              <w:jc w:val="right"/>
              <w:rPr>
                <w:rFonts w:eastAsia="Times New Roman"/>
              </w:rPr>
            </w:pPr>
            <w:r>
              <w:rPr>
                <w:rFonts w:eastAsia="Times New Roman"/>
                <w:color w:val="000000"/>
                <w:sz w:val="18"/>
                <w:szCs w:val="18"/>
              </w:rPr>
              <w:t>19,945 </w:t>
            </w:r>
          </w:p>
        </w:tc>
        <w:tc>
          <w:tcPr>
            <w:tcW w:w="0" w:type="auto"/>
            <w:shd w:val="clear" w:color="auto" w:fill="CCEEFF"/>
            <w:tcMar>
              <w:top w:w="30" w:type="dxa"/>
              <w:left w:w="0" w:type="dxa"/>
              <w:bottom w:w="30" w:type="dxa"/>
              <w:right w:w="20" w:type="dxa"/>
            </w:tcMar>
            <w:vAlign w:val="center"/>
            <w:hideMark/>
          </w:tcPr>
          <w:p w14:paraId="4AB251B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F61866"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3D12D400"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165BE0C4" w14:textId="77777777" w:rsidR="00000000" w:rsidRDefault="00405D16">
            <w:pPr>
              <w:spacing w:after="100"/>
              <w:jc w:val="right"/>
              <w:rPr>
                <w:rFonts w:eastAsia="Times New Roman"/>
              </w:rPr>
            </w:pPr>
            <w:r>
              <w:rPr>
                <w:rFonts w:eastAsia="Times New Roman"/>
                <w:color w:val="000000"/>
                <w:sz w:val="18"/>
                <w:szCs w:val="18"/>
              </w:rPr>
              <w:t>7,114 </w:t>
            </w:r>
          </w:p>
        </w:tc>
        <w:tc>
          <w:tcPr>
            <w:tcW w:w="0" w:type="auto"/>
            <w:shd w:val="clear" w:color="auto" w:fill="CCEEFF"/>
            <w:tcMar>
              <w:top w:w="30" w:type="dxa"/>
              <w:left w:w="0" w:type="dxa"/>
              <w:bottom w:w="30" w:type="dxa"/>
              <w:right w:w="20" w:type="dxa"/>
            </w:tcMar>
            <w:vAlign w:val="center"/>
            <w:hideMark/>
          </w:tcPr>
          <w:p w14:paraId="5DCA6DB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E0976B"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781DC0B4"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2876BB9E"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6E086A8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EC6802"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2F5EE4FA"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668312E6" w14:textId="77777777" w:rsidR="00000000" w:rsidRDefault="00405D16">
            <w:pPr>
              <w:spacing w:after="100"/>
              <w:jc w:val="right"/>
              <w:rPr>
                <w:rFonts w:eastAsia="Times New Roman"/>
              </w:rPr>
            </w:pPr>
            <w:r>
              <w:rPr>
                <w:rFonts w:eastAsia="Times New Roman"/>
                <w:color w:val="000000"/>
                <w:sz w:val="18"/>
                <w:szCs w:val="18"/>
              </w:rPr>
              <w:t>27,059 </w:t>
            </w:r>
          </w:p>
        </w:tc>
        <w:tc>
          <w:tcPr>
            <w:tcW w:w="0" w:type="auto"/>
            <w:shd w:val="clear" w:color="auto" w:fill="CCEEFF"/>
            <w:tcMar>
              <w:top w:w="30" w:type="dxa"/>
              <w:left w:w="0" w:type="dxa"/>
              <w:bottom w:w="30" w:type="dxa"/>
              <w:right w:w="20" w:type="dxa"/>
            </w:tcMar>
            <w:vAlign w:val="center"/>
            <w:hideMark/>
          </w:tcPr>
          <w:p w14:paraId="4D78F7B7" w14:textId="77777777" w:rsidR="00000000" w:rsidRDefault="00405D16">
            <w:pPr>
              <w:spacing w:after="100"/>
              <w:jc w:val="right"/>
              <w:rPr>
                <w:rFonts w:eastAsia="Times New Roman"/>
              </w:rPr>
            </w:pPr>
          </w:p>
        </w:tc>
      </w:tr>
      <w:tr w:rsidR="00000000" w14:paraId="4F24A043" w14:textId="77777777">
        <w:tc>
          <w:tcPr>
            <w:tcW w:w="0" w:type="auto"/>
            <w:gridSpan w:val="10"/>
            <w:shd w:val="clear" w:color="auto" w:fill="FFFFFF"/>
            <w:tcMar>
              <w:top w:w="30" w:type="dxa"/>
              <w:left w:w="380" w:type="dxa"/>
              <w:bottom w:w="30" w:type="dxa"/>
              <w:right w:w="20" w:type="dxa"/>
            </w:tcMar>
            <w:vAlign w:val="center"/>
            <w:hideMark/>
          </w:tcPr>
          <w:p w14:paraId="6105BAD8" w14:textId="77777777" w:rsidR="00000000" w:rsidRDefault="00405D16">
            <w:pPr>
              <w:spacing w:after="100"/>
              <w:rPr>
                <w:rFonts w:eastAsia="Times New Roman"/>
              </w:rPr>
            </w:pPr>
            <w:r>
              <w:rPr>
                <w:rFonts w:eastAsia="Times New Roman"/>
                <w:color w:val="000000"/>
                <w:sz w:val="18"/>
                <w:szCs w:val="18"/>
              </w:rPr>
              <w:t>Criticized performing</w:t>
            </w:r>
          </w:p>
        </w:tc>
        <w:tc>
          <w:tcPr>
            <w:tcW w:w="0" w:type="auto"/>
            <w:gridSpan w:val="8"/>
            <w:shd w:val="clear" w:color="auto" w:fill="FFFFFF"/>
            <w:tcMar>
              <w:top w:w="0" w:type="dxa"/>
              <w:left w:w="20" w:type="dxa"/>
              <w:bottom w:w="0" w:type="dxa"/>
              <w:right w:w="20" w:type="dxa"/>
            </w:tcMar>
            <w:vAlign w:val="center"/>
            <w:hideMark/>
          </w:tcPr>
          <w:p w14:paraId="33DDD938" w14:textId="77777777" w:rsidR="00000000" w:rsidRDefault="00405D16">
            <w:pPr>
              <w:spacing w:after="100"/>
              <w:rPr>
                <w:rFonts w:eastAsia="Times New Roman"/>
              </w:rPr>
            </w:pPr>
          </w:p>
        </w:tc>
        <w:tc>
          <w:tcPr>
            <w:tcW w:w="0" w:type="auto"/>
            <w:gridSpan w:val="6"/>
            <w:shd w:val="clear" w:color="auto" w:fill="FFFFFF"/>
            <w:tcMar>
              <w:top w:w="30" w:type="dxa"/>
              <w:left w:w="20" w:type="dxa"/>
              <w:bottom w:w="30" w:type="dxa"/>
              <w:right w:w="0" w:type="dxa"/>
            </w:tcMar>
            <w:vAlign w:val="center"/>
            <w:hideMark/>
          </w:tcPr>
          <w:p w14:paraId="60E310A2" w14:textId="77777777" w:rsidR="00000000" w:rsidRDefault="00405D16">
            <w:pPr>
              <w:spacing w:after="100"/>
              <w:jc w:val="right"/>
              <w:rPr>
                <w:rFonts w:eastAsia="Times New Roman"/>
              </w:rPr>
            </w:pPr>
            <w:r>
              <w:rPr>
                <w:rFonts w:eastAsia="Times New Roman"/>
                <w:color w:val="000000"/>
                <w:sz w:val="18"/>
                <w:szCs w:val="18"/>
              </w:rPr>
              <w:t>320 </w:t>
            </w:r>
          </w:p>
        </w:tc>
        <w:tc>
          <w:tcPr>
            <w:tcW w:w="0" w:type="auto"/>
            <w:gridSpan w:val="3"/>
            <w:shd w:val="clear" w:color="auto" w:fill="FFFFFF"/>
            <w:tcMar>
              <w:top w:w="30" w:type="dxa"/>
              <w:left w:w="0" w:type="dxa"/>
              <w:bottom w:w="30" w:type="dxa"/>
              <w:right w:w="20" w:type="dxa"/>
            </w:tcMar>
            <w:vAlign w:val="center"/>
            <w:hideMark/>
          </w:tcPr>
          <w:p w14:paraId="02020826"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22FF3F7F" w14:textId="77777777" w:rsidR="00000000" w:rsidRDefault="00405D16">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14:paraId="3533ACA1" w14:textId="77777777" w:rsidR="00000000" w:rsidRDefault="00405D16">
            <w:pPr>
              <w:spacing w:after="100"/>
              <w:jc w:val="right"/>
              <w:rPr>
                <w:rFonts w:eastAsia="Times New Roman"/>
              </w:rPr>
            </w:pPr>
            <w:r>
              <w:rPr>
                <w:rFonts w:eastAsia="Times New Roman"/>
                <w:color w:val="000000"/>
                <w:sz w:val="18"/>
                <w:szCs w:val="18"/>
              </w:rPr>
              <w:t>446 </w:t>
            </w:r>
          </w:p>
        </w:tc>
        <w:tc>
          <w:tcPr>
            <w:tcW w:w="0" w:type="auto"/>
            <w:shd w:val="clear" w:color="auto" w:fill="FFFFFF"/>
            <w:tcMar>
              <w:top w:w="30" w:type="dxa"/>
              <w:left w:w="0" w:type="dxa"/>
              <w:bottom w:w="30" w:type="dxa"/>
              <w:right w:w="20" w:type="dxa"/>
            </w:tcMar>
            <w:vAlign w:val="center"/>
            <w:hideMark/>
          </w:tcPr>
          <w:p w14:paraId="1A725D87" w14:textId="77777777" w:rsidR="00000000" w:rsidRDefault="00405D16">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307AD0FF" w14:textId="77777777" w:rsidR="00000000" w:rsidRDefault="00405D16">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14:paraId="72B08F04" w14:textId="77777777" w:rsidR="00000000" w:rsidRDefault="00405D16">
            <w:pPr>
              <w:spacing w:after="100"/>
              <w:jc w:val="right"/>
              <w:rPr>
                <w:rFonts w:eastAsia="Times New Roman"/>
              </w:rPr>
            </w:pPr>
            <w:r>
              <w:rPr>
                <w:rFonts w:eastAsia="Times New Roman"/>
                <w:color w:val="000000"/>
                <w:sz w:val="18"/>
                <w:szCs w:val="18"/>
              </w:rPr>
              <w:t>515 </w:t>
            </w:r>
          </w:p>
        </w:tc>
        <w:tc>
          <w:tcPr>
            <w:tcW w:w="0" w:type="auto"/>
            <w:shd w:val="clear" w:color="auto" w:fill="FFFFFF"/>
            <w:tcMar>
              <w:top w:w="30" w:type="dxa"/>
              <w:left w:w="0" w:type="dxa"/>
              <w:bottom w:w="30" w:type="dxa"/>
              <w:right w:w="20" w:type="dxa"/>
            </w:tcMar>
            <w:vAlign w:val="center"/>
            <w:hideMark/>
          </w:tcPr>
          <w:p w14:paraId="7A6B781F" w14:textId="77777777" w:rsidR="00000000" w:rsidRDefault="00405D16">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07EC3E38"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14:paraId="0D1B8EB0" w14:textId="77777777" w:rsidR="00000000" w:rsidRDefault="00405D16">
            <w:pPr>
              <w:spacing w:after="100"/>
              <w:jc w:val="right"/>
              <w:rPr>
                <w:rFonts w:eastAsia="Times New Roman"/>
              </w:rPr>
            </w:pPr>
            <w:r>
              <w:rPr>
                <w:rFonts w:eastAsia="Times New Roman"/>
                <w:color w:val="000000"/>
                <w:sz w:val="18"/>
                <w:szCs w:val="18"/>
              </w:rPr>
              <w:t>355 </w:t>
            </w:r>
          </w:p>
        </w:tc>
        <w:tc>
          <w:tcPr>
            <w:tcW w:w="0" w:type="auto"/>
            <w:gridSpan w:val="4"/>
            <w:shd w:val="clear" w:color="auto" w:fill="FFFFFF"/>
            <w:tcMar>
              <w:top w:w="30" w:type="dxa"/>
              <w:left w:w="0" w:type="dxa"/>
              <w:bottom w:w="30" w:type="dxa"/>
              <w:right w:w="20" w:type="dxa"/>
            </w:tcMar>
            <w:vAlign w:val="center"/>
            <w:hideMark/>
          </w:tcPr>
          <w:p w14:paraId="753DAD15" w14:textId="77777777" w:rsidR="00000000" w:rsidRDefault="00405D16">
            <w:pPr>
              <w:spacing w:after="100"/>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14:paraId="5A25F2D7" w14:textId="77777777" w:rsidR="00000000" w:rsidRDefault="00405D16">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14:paraId="7CE217D0" w14:textId="77777777" w:rsidR="00000000" w:rsidRDefault="00405D16">
            <w:pPr>
              <w:spacing w:after="100"/>
              <w:jc w:val="right"/>
              <w:rPr>
                <w:rFonts w:eastAsia="Times New Roman"/>
              </w:rPr>
            </w:pPr>
            <w:r>
              <w:rPr>
                <w:rFonts w:eastAsia="Times New Roman"/>
                <w:color w:val="000000"/>
                <w:sz w:val="18"/>
                <w:szCs w:val="18"/>
              </w:rPr>
              <w:t>391 </w:t>
            </w:r>
          </w:p>
        </w:tc>
        <w:tc>
          <w:tcPr>
            <w:tcW w:w="0" w:type="auto"/>
            <w:shd w:val="clear" w:color="auto" w:fill="FFFFFF"/>
            <w:tcMar>
              <w:top w:w="30" w:type="dxa"/>
              <w:left w:w="0" w:type="dxa"/>
              <w:bottom w:w="30" w:type="dxa"/>
              <w:right w:w="20" w:type="dxa"/>
            </w:tcMar>
            <w:vAlign w:val="center"/>
            <w:hideMark/>
          </w:tcPr>
          <w:p w14:paraId="08B8947B" w14:textId="77777777" w:rsidR="00000000" w:rsidRDefault="00405D16">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14:paraId="2C24E75C" w14:textId="77777777" w:rsidR="00000000" w:rsidRDefault="00405D16">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14:paraId="1ECC8280" w14:textId="77777777" w:rsidR="00000000" w:rsidRDefault="00405D16">
            <w:pPr>
              <w:spacing w:after="100"/>
              <w:jc w:val="right"/>
              <w:rPr>
                <w:rFonts w:eastAsia="Times New Roman"/>
              </w:rPr>
            </w:pPr>
            <w:r>
              <w:rPr>
                <w:rFonts w:eastAsia="Times New Roman"/>
                <w:color w:val="000000"/>
                <w:sz w:val="18"/>
                <w:szCs w:val="18"/>
              </w:rPr>
              <w:t>1,258 </w:t>
            </w:r>
          </w:p>
        </w:tc>
        <w:tc>
          <w:tcPr>
            <w:tcW w:w="0" w:type="auto"/>
            <w:shd w:val="clear" w:color="auto" w:fill="FFFFFF"/>
            <w:tcMar>
              <w:top w:w="30" w:type="dxa"/>
              <w:left w:w="0" w:type="dxa"/>
              <w:bottom w:w="30" w:type="dxa"/>
              <w:right w:w="20" w:type="dxa"/>
            </w:tcMar>
            <w:vAlign w:val="center"/>
            <w:hideMark/>
          </w:tcPr>
          <w:p w14:paraId="26B72651" w14:textId="77777777" w:rsidR="00000000" w:rsidRDefault="00405D16">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14:paraId="5B45C5A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EBC2B14" w14:textId="77777777" w:rsidR="00000000" w:rsidRDefault="00405D16">
            <w:pPr>
              <w:spacing w:after="100"/>
              <w:jc w:val="right"/>
              <w:rPr>
                <w:rFonts w:eastAsia="Times New Roman"/>
              </w:rPr>
            </w:pPr>
            <w:r>
              <w:rPr>
                <w:rFonts w:eastAsia="Times New Roman"/>
                <w:color w:val="000000"/>
                <w:sz w:val="18"/>
                <w:szCs w:val="18"/>
              </w:rPr>
              <w:t>3,285 </w:t>
            </w:r>
          </w:p>
        </w:tc>
        <w:tc>
          <w:tcPr>
            <w:tcW w:w="0" w:type="auto"/>
            <w:shd w:val="clear" w:color="auto" w:fill="FFFFFF"/>
            <w:tcMar>
              <w:top w:w="30" w:type="dxa"/>
              <w:left w:w="0" w:type="dxa"/>
              <w:bottom w:w="30" w:type="dxa"/>
              <w:right w:w="20" w:type="dxa"/>
            </w:tcMar>
            <w:vAlign w:val="center"/>
            <w:hideMark/>
          </w:tcPr>
          <w:p w14:paraId="33CD537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07D4B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278848A" w14:textId="77777777" w:rsidR="00000000" w:rsidRDefault="00405D16">
            <w:pPr>
              <w:spacing w:after="100"/>
              <w:jc w:val="right"/>
              <w:rPr>
                <w:rFonts w:eastAsia="Times New Roman"/>
              </w:rPr>
            </w:pPr>
            <w:r>
              <w:rPr>
                <w:rFonts w:eastAsia="Times New Roman"/>
                <w:color w:val="000000"/>
                <w:sz w:val="18"/>
                <w:szCs w:val="18"/>
              </w:rPr>
              <w:t>112 </w:t>
            </w:r>
          </w:p>
        </w:tc>
        <w:tc>
          <w:tcPr>
            <w:tcW w:w="0" w:type="auto"/>
            <w:shd w:val="clear" w:color="auto" w:fill="FFFFFF"/>
            <w:tcMar>
              <w:top w:w="30" w:type="dxa"/>
              <w:left w:w="0" w:type="dxa"/>
              <w:bottom w:w="30" w:type="dxa"/>
              <w:right w:w="20" w:type="dxa"/>
            </w:tcMar>
            <w:vAlign w:val="center"/>
            <w:hideMark/>
          </w:tcPr>
          <w:p w14:paraId="548178F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0AD64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8CC2CC0" w14:textId="77777777" w:rsidR="00000000" w:rsidRDefault="00405D16">
            <w:pPr>
              <w:spacing w:after="100"/>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center"/>
            <w:hideMark/>
          </w:tcPr>
          <w:p w14:paraId="7BDDA75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6A0D3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C8A2257" w14:textId="77777777" w:rsidR="00000000" w:rsidRDefault="00405D16">
            <w:pPr>
              <w:spacing w:after="100"/>
              <w:jc w:val="right"/>
              <w:rPr>
                <w:rFonts w:eastAsia="Times New Roman"/>
              </w:rPr>
            </w:pPr>
            <w:r>
              <w:rPr>
                <w:rFonts w:eastAsia="Times New Roman"/>
                <w:color w:val="000000"/>
                <w:sz w:val="18"/>
                <w:szCs w:val="18"/>
              </w:rPr>
              <w:t>3,422 </w:t>
            </w:r>
          </w:p>
        </w:tc>
        <w:tc>
          <w:tcPr>
            <w:tcW w:w="0" w:type="auto"/>
            <w:shd w:val="clear" w:color="auto" w:fill="FFFFFF"/>
            <w:tcMar>
              <w:top w:w="30" w:type="dxa"/>
              <w:left w:w="0" w:type="dxa"/>
              <w:bottom w:w="30" w:type="dxa"/>
              <w:right w:w="20" w:type="dxa"/>
            </w:tcMar>
            <w:vAlign w:val="center"/>
            <w:hideMark/>
          </w:tcPr>
          <w:p w14:paraId="3A544D42" w14:textId="77777777" w:rsidR="00000000" w:rsidRDefault="00405D16">
            <w:pPr>
              <w:spacing w:after="100"/>
              <w:jc w:val="right"/>
              <w:rPr>
                <w:rFonts w:eastAsia="Times New Roman"/>
              </w:rPr>
            </w:pPr>
          </w:p>
        </w:tc>
      </w:tr>
      <w:tr w:rsidR="00000000" w14:paraId="5376AA73" w14:textId="77777777">
        <w:tc>
          <w:tcPr>
            <w:tcW w:w="0" w:type="auto"/>
            <w:gridSpan w:val="10"/>
            <w:shd w:val="clear" w:color="auto" w:fill="CCEEFF"/>
            <w:tcMar>
              <w:top w:w="30" w:type="dxa"/>
              <w:left w:w="380" w:type="dxa"/>
              <w:bottom w:w="30" w:type="dxa"/>
              <w:right w:w="20" w:type="dxa"/>
            </w:tcMar>
            <w:vAlign w:val="center"/>
            <w:hideMark/>
          </w:tcPr>
          <w:p w14:paraId="4B250886" w14:textId="77777777" w:rsidR="00000000" w:rsidRDefault="00405D16">
            <w:pPr>
              <w:spacing w:after="100"/>
              <w:rPr>
                <w:rFonts w:eastAsia="Times New Roman"/>
              </w:rPr>
            </w:pPr>
            <w:r>
              <w:rPr>
                <w:rFonts w:eastAsia="Times New Roman"/>
                <w:color w:val="000000"/>
                <w:sz w:val="18"/>
                <w:szCs w:val="18"/>
              </w:rPr>
              <w:t>Criticized nonperforming</w:t>
            </w:r>
          </w:p>
        </w:tc>
        <w:tc>
          <w:tcPr>
            <w:tcW w:w="0" w:type="auto"/>
            <w:gridSpan w:val="8"/>
            <w:shd w:val="clear" w:color="auto" w:fill="CCEEFF"/>
            <w:tcMar>
              <w:top w:w="0" w:type="dxa"/>
              <w:left w:w="20" w:type="dxa"/>
              <w:bottom w:w="0" w:type="dxa"/>
              <w:right w:w="20" w:type="dxa"/>
            </w:tcMar>
            <w:vAlign w:val="center"/>
            <w:hideMark/>
          </w:tcPr>
          <w:p w14:paraId="66C4E2E1" w14:textId="77777777" w:rsidR="00000000" w:rsidRDefault="00405D16">
            <w:pPr>
              <w:spacing w:after="100"/>
              <w:rPr>
                <w:rFonts w:eastAsia="Times New Roman"/>
              </w:rPr>
            </w:pPr>
          </w:p>
        </w:tc>
        <w:tc>
          <w:tcPr>
            <w:tcW w:w="0" w:type="auto"/>
            <w:gridSpan w:val="6"/>
            <w:shd w:val="clear" w:color="auto" w:fill="CCEEFF"/>
            <w:tcMar>
              <w:top w:w="30" w:type="dxa"/>
              <w:left w:w="20" w:type="dxa"/>
              <w:bottom w:w="30" w:type="dxa"/>
              <w:right w:w="0" w:type="dxa"/>
            </w:tcMar>
            <w:vAlign w:val="center"/>
            <w:hideMark/>
          </w:tcPr>
          <w:p w14:paraId="2A40C8A7" w14:textId="77777777" w:rsidR="00000000" w:rsidRDefault="00405D16">
            <w:pPr>
              <w:spacing w:after="100"/>
              <w:jc w:val="right"/>
              <w:rPr>
                <w:rFonts w:eastAsia="Times New Roman"/>
              </w:rPr>
            </w:pPr>
            <w:r>
              <w:rPr>
                <w:rFonts w:eastAsia="Times New Roman"/>
                <w:color w:val="000000"/>
                <w:sz w:val="18"/>
                <w:szCs w:val="18"/>
              </w:rPr>
              <w:t>0 </w:t>
            </w:r>
          </w:p>
        </w:tc>
        <w:tc>
          <w:tcPr>
            <w:tcW w:w="0" w:type="auto"/>
            <w:gridSpan w:val="3"/>
            <w:shd w:val="clear" w:color="auto" w:fill="CCEEFF"/>
            <w:tcMar>
              <w:top w:w="30" w:type="dxa"/>
              <w:left w:w="0" w:type="dxa"/>
              <w:bottom w:w="30" w:type="dxa"/>
              <w:right w:w="20" w:type="dxa"/>
            </w:tcMar>
            <w:vAlign w:val="center"/>
            <w:hideMark/>
          </w:tcPr>
          <w:p w14:paraId="125E6C43"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4B6C05A7" w14:textId="77777777" w:rsidR="00000000" w:rsidRDefault="00405D16">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center"/>
            <w:hideMark/>
          </w:tcPr>
          <w:p w14:paraId="0A21C42B" w14:textId="77777777" w:rsidR="00000000" w:rsidRDefault="00405D16">
            <w:pPr>
              <w:spacing w:after="100"/>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center"/>
            <w:hideMark/>
          </w:tcPr>
          <w:p w14:paraId="4C6F59B2" w14:textId="77777777" w:rsidR="00000000" w:rsidRDefault="00405D16">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66D0E4B8" w14:textId="77777777" w:rsidR="00000000" w:rsidRDefault="00405D16">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center"/>
            <w:hideMark/>
          </w:tcPr>
          <w:p w14:paraId="76E345A0" w14:textId="77777777" w:rsidR="00000000" w:rsidRDefault="00405D16">
            <w:pPr>
              <w:spacing w:after="100"/>
              <w:jc w:val="right"/>
              <w:rPr>
                <w:rFonts w:eastAsia="Times New Roman"/>
              </w:rPr>
            </w:pPr>
            <w:r>
              <w:rPr>
                <w:rFonts w:eastAsia="Times New Roman"/>
                <w:color w:val="000000"/>
                <w:sz w:val="18"/>
                <w:szCs w:val="18"/>
              </w:rPr>
              <w:t>30 </w:t>
            </w:r>
          </w:p>
        </w:tc>
        <w:tc>
          <w:tcPr>
            <w:tcW w:w="0" w:type="auto"/>
            <w:shd w:val="clear" w:color="auto" w:fill="CCEEFF"/>
            <w:tcMar>
              <w:top w:w="30" w:type="dxa"/>
              <w:left w:w="0" w:type="dxa"/>
              <w:bottom w:w="30" w:type="dxa"/>
              <w:right w:w="20" w:type="dxa"/>
            </w:tcMar>
            <w:vAlign w:val="center"/>
            <w:hideMark/>
          </w:tcPr>
          <w:p w14:paraId="07F302B7" w14:textId="77777777" w:rsidR="00000000" w:rsidRDefault="00405D16">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10BBD610"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14:paraId="110FE467" w14:textId="77777777" w:rsidR="00000000" w:rsidRDefault="00405D16">
            <w:pPr>
              <w:spacing w:after="100"/>
              <w:jc w:val="right"/>
              <w:rPr>
                <w:rFonts w:eastAsia="Times New Roman"/>
              </w:rPr>
            </w:pPr>
            <w:r>
              <w:rPr>
                <w:rFonts w:eastAsia="Times New Roman"/>
                <w:color w:val="000000"/>
                <w:sz w:val="18"/>
                <w:szCs w:val="18"/>
              </w:rPr>
              <w:t>6 </w:t>
            </w:r>
          </w:p>
        </w:tc>
        <w:tc>
          <w:tcPr>
            <w:tcW w:w="0" w:type="auto"/>
            <w:gridSpan w:val="4"/>
            <w:shd w:val="clear" w:color="auto" w:fill="CCEEFF"/>
            <w:tcMar>
              <w:top w:w="30" w:type="dxa"/>
              <w:left w:w="0" w:type="dxa"/>
              <w:bottom w:w="30" w:type="dxa"/>
              <w:right w:w="20" w:type="dxa"/>
            </w:tcMar>
            <w:vAlign w:val="center"/>
            <w:hideMark/>
          </w:tcPr>
          <w:p w14:paraId="29BA0CED" w14:textId="77777777" w:rsidR="00000000" w:rsidRDefault="00405D16">
            <w:pPr>
              <w:spacing w:after="100"/>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14:paraId="618E9AD7" w14:textId="77777777" w:rsidR="00000000" w:rsidRDefault="00405D16">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center"/>
            <w:hideMark/>
          </w:tcPr>
          <w:p w14:paraId="36D71388" w14:textId="77777777" w:rsidR="00000000" w:rsidRDefault="00405D16">
            <w:pPr>
              <w:spacing w:after="100"/>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center"/>
            <w:hideMark/>
          </w:tcPr>
          <w:p w14:paraId="741511AF" w14:textId="77777777" w:rsidR="00000000" w:rsidRDefault="00405D16">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14:paraId="67545923" w14:textId="77777777" w:rsidR="00000000" w:rsidRDefault="00405D16">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center"/>
            <w:hideMark/>
          </w:tcPr>
          <w:p w14:paraId="29EC8994" w14:textId="77777777" w:rsidR="00000000" w:rsidRDefault="00405D16">
            <w:pPr>
              <w:spacing w:after="100"/>
              <w:jc w:val="right"/>
              <w:rPr>
                <w:rFonts w:eastAsia="Times New Roman"/>
              </w:rPr>
            </w:pPr>
            <w:r>
              <w:rPr>
                <w:rFonts w:eastAsia="Times New Roman"/>
                <w:color w:val="000000"/>
                <w:sz w:val="18"/>
                <w:szCs w:val="18"/>
              </w:rPr>
              <w:t>150 </w:t>
            </w:r>
          </w:p>
        </w:tc>
        <w:tc>
          <w:tcPr>
            <w:tcW w:w="0" w:type="auto"/>
            <w:shd w:val="clear" w:color="auto" w:fill="CCEEFF"/>
            <w:tcMar>
              <w:top w:w="30" w:type="dxa"/>
              <w:left w:w="0" w:type="dxa"/>
              <w:bottom w:w="30" w:type="dxa"/>
              <w:right w:w="20" w:type="dxa"/>
            </w:tcMar>
            <w:vAlign w:val="center"/>
            <w:hideMark/>
          </w:tcPr>
          <w:p w14:paraId="7266C1E3" w14:textId="77777777" w:rsidR="00000000" w:rsidRDefault="00405D16">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14:paraId="6B291A7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2E97B49" w14:textId="77777777" w:rsidR="00000000" w:rsidRDefault="00405D16">
            <w:pPr>
              <w:spacing w:after="100"/>
              <w:jc w:val="right"/>
              <w:rPr>
                <w:rFonts w:eastAsia="Times New Roman"/>
              </w:rPr>
            </w:pPr>
            <w:r>
              <w:rPr>
                <w:rFonts w:eastAsia="Times New Roman"/>
                <w:color w:val="000000"/>
                <w:sz w:val="18"/>
                <w:szCs w:val="18"/>
              </w:rPr>
              <w:t>200 </w:t>
            </w:r>
          </w:p>
        </w:tc>
        <w:tc>
          <w:tcPr>
            <w:tcW w:w="0" w:type="auto"/>
            <w:shd w:val="clear" w:color="auto" w:fill="CCEEFF"/>
            <w:tcMar>
              <w:top w:w="30" w:type="dxa"/>
              <w:left w:w="0" w:type="dxa"/>
              <w:bottom w:w="30" w:type="dxa"/>
              <w:right w:w="20" w:type="dxa"/>
            </w:tcMar>
            <w:vAlign w:val="center"/>
            <w:hideMark/>
          </w:tcPr>
          <w:p w14:paraId="722B659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E4B23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1968F20"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77FD849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D5212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266805C"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2157081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DD21F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86C8D2C" w14:textId="77777777" w:rsidR="00000000" w:rsidRDefault="00405D16">
            <w:pPr>
              <w:spacing w:after="100"/>
              <w:jc w:val="right"/>
              <w:rPr>
                <w:rFonts w:eastAsia="Times New Roman"/>
              </w:rPr>
            </w:pPr>
            <w:r>
              <w:rPr>
                <w:rFonts w:eastAsia="Times New Roman"/>
                <w:color w:val="000000"/>
                <w:sz w:val="18"/>
                <w:szCs w:val="18"/>
              </w:rPr>
              <w:t>200 </w:t>
            </w:r>
          </w:p>
        </w:tc>
        <w:tc>
          <w:tcPr>
            <w:tcW w:w="0" w:type="auto"/>
            <w:shd w:val="clear" w:color="auto" w:fill="CCEEFF"/>
            <w:tcMar>
              <w:top w:w="30" w:type="dxa"/>
              <w:left w:w="0" w:type="dxa"/>
              <w:bottom w:w="30" w:type="dxa"/>
              <w:right w:w="20" w:type="dxa"/>
            </w:tcMar>
            <w:vAlign w:val="center"/>
            <w:hideMark/>
          </w:tcPr>
          <w:p w14:paraId="17708A4F" w14:textId="77777777" w:rsidR="00000000" w:rsidRDefault="00405D16">
            <w:pPr>
              <w:spacing w:after="100"/>
              <w:jc w:val="right"/>
              <w:rPr>
                <w:rFonts w:eastAsia="Times New Roman"/>
              </w:rPr>
            </w:pPr>
          </w:p>
        </w:tc>
      </w:tr>
      <w:tr w:rsidR="00000000" w14:paraId="457FB3F9" w14:textId="77777777">
        <w:tc>
          <w:tcPr>
            <w:tcW w:w="0" w:type="auto"/>
            <w:gridSpan w:val="10"/>
            <w:shd w:val="clear" w:color="auto" w:fill="FFFFFF"/>
            <w:tcMar>
              <w:top w:w="30" w:type="dxa"/>
              <w:left w:w="245" w:type="dxa"/>
              <w:bottom w:w="30" w:type="dxa"/>
              <w:right w:w="20" w:type="dxa"/>
            </w:tcMar>
            <w:vAlign w:val="center"/>
            <w:hideMark/>
          </w:tcPr>
          <w:p w14:paraId="0A75EEFF" w14:textId="77777777" w:rsidR="00000000" w:rsidRDefault="00405D16">
            <w:pPr>
              <w:spacing w:after="100"/>
              <w:rPr>
                <w:rFonts w:eastAsia="Times New Roman"/>
              </w:rPr>
            </w:pPr>
            <w:r>
              <w:rPr>
                <w:rFonts w:eastAsia="Times New Roman"/>
                <w:color w:val="000000"/>
                <w:sz w:val="18"/>
                <w:szCs w:val="18"/>
              </w:rPr>
              <w:t>Total commercial and multifamily real estate</w:t>
            </w:r>
          </w:p>
        </w:tc>
        <w:tc>
          <w:tcPr>
            <w:tcW w:w="0" w:type="auto"/>
            <w:gridSpan w:val="8"/>
            <w:shd w:val="clear" w:color="auto" w:fill="FFFFFF"/>
            <w:tcMar>
              <w:top w:w="0" w:type="dxa"/>
              <w:left w:w="20" w:type="dxa"/>
              <w:bottom w:w="0" w:type="dxa"/>
              <w:right w:w="20" w:type="dxa"/>
            </w:tcMar>
            <w:vAlign w:val="center"/>
            <w:hideMark/>
          </w:tcPr>
          <w:p w14:paraId="695E71B8" w14:textId="77777777" w:rsidR="00000000" w:rsidRDefault="00405D16">
            <w:pPr>
              <w:spacing w:after="100"/>
              <w:rPr>
                <w:rFonts w:eastAsia="Times New Roman"/>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14:paraId="673D8BD0" w14:textId="77777777" w:rsidR="00000000" w:rsidRDefault="00405D16">
            <w:pPr>
              <w:spacing w:after="100"/>
              <w:jc w:val="right"/>
              <w:rPr>
                <w:rFonts w:eastAsia="Times New Roman"/>
              </w:rPr>
            </w:pPr>
            <w:r>
              <w:rPr>
                <w:rFonts w:eastAsia="Times New Roman"/>
                <w:color w:val="000000"/>
                <w:sz w:val="18"/>
                <w:szCs w:val="18"/>
              </w:rPr>
              <w:t>4,111 </w:t>
            </w:r>
          </w:p>
        </w:tc>
        <w:tc>
          <w:tcPr>
            <w:tcW w:w="0" w:type="auto"/>
            <w:gridSpan w:val="3"/>
            <w:tcBorders>
              <w:top w:val="single" w:sz="8" w:space="0" w:color="000000"/>
            </w:tcBorders>
            <w:shd w:val="clear" w:color="auto" w:fill="FFFFFF"/>
            <w:tcMar>
              <w:top w:w="30" w:type="dxa"/>
              <w:left w:w="0" w:type="dxa"/>
              <w:bottom w:w="30" w:type="dxa"/>
              <w:right w:w="20" w:type="dxa"/>
            </w:tcMar>
            <w:vAlign w:val="bottom"/>
            <w:hideMark/>
          </w:tcPr>
          <w:p w14:paraId="3F29A0F3"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3B1063D1" w14:textId="77777777" w:rsidR="00000000" w:rsidRDefault="00405D16">
            <w:pPr>
              <w:spacing w:after="100"/>
              <w:jc w:val="right"/>
              <w:rPr>
                <w:rFonts w:eastAsia="Times New Roman"/>
                <w:sz w:val="20"/>
                <w:szCs w:val="20"/>
              </w:rPr>
            </w:pPr>
          </w:p>
        </w:tc>
        <w:tc>
          <w:tcPr>
            <w:tcW w:w="0" w:type="auto"/>
            <w:gridSpan w:val="8"/>
            <w:tcBorders>
              <w:top w:val="single" w:sz="8" w:space="0" w:color="000000"/>
            </w:tcBorders>
            <w:shd w:val="clear" w:color="auto" w:fill="FFFFFF"/>
            <w:tcMar>
              <w:top w:w="30" w:type="dxa"/>
              <w:left w:w="20" w:type="dxa"/>
              <w:bottom w:w="30" w:type="dxa"/>
              <w:right w:w="0" w:type="dxa"/>
            </w:tcMar>
            <w:vAlign w:val="bottom"/>
            <w:hideMark/>
          </w:tcPr>
          <w:p w14:paraId="7ED22516" w14:textId="77777777" w:rsidR="00000000" w:rsidRDefault="00405D16">
            <w:pPr>
              <w:spacing w:after="100"/>
              <w:jc w:val="right"/>
              <w:rPr>
                <w:rFonts w:eastAsia="Times New Roman"/>
              </w:rPr>
            </w:pPr>
            <w:r>
              <w:rPr>
                <w:rFonts w:eastAsia="Times New Roman"/>
                <w:color w:val="000000"/>
                <w:sz w:val="18"/>
                <w:szCs w:val="18"/>
              </w:rPr>
              <w:t>5,389 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EE5A6DD" w14:textId="77777777" w:rsidR="00000000" w:rsidRDefault="00405D16">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2B3F5F74" w14:textId="77777777" w:rsidR="00000000" w:rsidRDefault="00405D16">
            <w:pPr>
              <w:spacing w:after="100"/>
              <w:jc w:val="right"/>
              <w:rPr>
                <w:rFonts w:eastAsia="Times New Roman"/>
                <w:sz w:val="20"/>
                <w:szCs w:val="20"/>
              </w:rPr>
            </w:pPr>
          </w:p>
        </w:tc>
        <w:tc>
          <w:tcPr>
            <w:tcW w:w="0" w:type="auto"/>
            <w:gridSpan w:val="8"/>
            <w:tcBorders>
              <w:top w:val="single" w:sz="8" w:space="0" w:color="000000"/>
            </w:tcBorders>
            <w:shd w:val="clear" w:color="auto" w:fill="FFFFFF"/>
            <w:tcMar>
              <w:top w:w="30" w:type="dxa"/>
              <w:left w:w="20" w:type="dxa"/>
              <w:bottom w:w="30" w:type="dxa"/>
              <w:right w:w="0" w:type="dxa"/>
            </w:tcMar>
            <w:vAlign w:val="bottom"/>
            <w:hideMark/>
          </w:tcPr>
          <w:p w14:paraId="393D9F96" w14:textId="77777777" w:rsidR="00000000" w:rsidRDefault="00405D16">
            <w:pPr>
              <w:spacing w:after="100"/>
              <w:jc w:val="right"/>
              <w:rPr>
                <w:rFonts w:eastAsia="Times New Roman"/>
              </w:rPr>
            </w:pPr>
            <w:r>
              <w:rPr>
                <w:rFonts w:eastAsia="Times New Roman"/>
                <w:color w:val="000000"/>
                <w:sz w:val="18"/>
                <w:szCs w:val="18"/>
              </w:rPr>
              <w:t>3,777 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C200B0C" w14:textId="77777777" w:rsidR="00000000" w:rsidRDefault="00405D16">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44547EC3" w14:textId="77777777" w:rsidR="00000000" w:rsidRDefault="00405D16">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0" w:type="dxa"/>
            </w:tcMar>
            <w:vAlign w:val="bottom"/>
            <w:hideMark/>
          </w:tcPr>
          <w:p w14:paraId="788FC98A" w14:textId="77777777" w:rsidR="00000000" w:rsidRDefault="00405D16">
            <w:pPr>
              <w:spacing w:after="100"/>
              <w:jc w:val="right"/>
              <w:rPr>
                <w:rFonts w:eastAsia="Times New Roman"/>
              </w:rPr>
            </w:pPr>
            <w:r>
              <w:rPr>
                <w:rFonts w:eastAsia="Times New Roman"/>
                <w:color w:val="000000"/>
                <w:sz w:val="18"/>
                <w:szCs w:val="18"/>
              </w:rPr>
              <w:t>1,798 </w:t>
            </w:r>
          </w:p>
        </w:tc>
        <w:tc>
          <w:tcPr>
            <w:tcW w:w="0" w:type="auto"/>
            <w:gridSpan w:val="4"/>
            <w:tcBorders>
              <w:top w:val="single" w:sz="8" w:space="0" w:color="000000"/>
            </w:tcBorders>
            <w:shd w:val="clear" w:color="auto" w:fill="FFFFFF"/>
            <w:tcMar>
              <w:top w:w="30" w:type="dxa"/>
              <w:left w:w="0" w:type="dxa"/>
              <w:bottom w:w="30" w:type="dxa"/>
              <w:right w:w="20" w:type="dxa"/>
            </w:tcMar>
            <w:vAlign w:val="bottom"/>
            <w:hideMark/>
          </w:tcPr>
          <w:p w14:paraId="3F33B702" w14:textId="77777777" w:rsidR="00000000" w:rsidRDefault="00405D16">
            <w:pPr>
              <w:spacing w:after="100"/>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14:paraId="3E009594" w14:textId="77777777" w:rsidR="00000000" w:rsidRDefault="00405D16">
            <w:pPr>
              <w:spacing w:after="100"/>
              <w:jc w:val="right"/>
              <w:rPr>
                <w:rFonts w:eastAsia="Times New Roman"/>
                <w:sz w:val="20"/>
                <w:szCs w:val="20"/>
              </w:rPr>
            </w:pPr>
          </w:p>
        </w:tc>
        <w:tc>
          <w:tcPr>
            <w:tcW w:w="0" w:type="auto"/>
            <w:gridSpan w:val="8"/>
            <w:tcBorders>
              <w:top w:val="single" w:sz="8" w:space="0" w:color="000000"/>
            </w:tcBorders>
            <w:shd w:val="clear" w:color="auto" w:fill="FFFFFF"/>
            <w:tcMar>
              <w:top w:w="30" w:type="dxa"/>
              <w:left w:w="20" w:type="dxa"/>
              <w:bottom w:w="30" w:type="dxa"/>
              <w:right w:w="0" w:type="dxa"/>
            </w:tcMar>
            <w:vAlign w:val="bottom"/>
            <w:hideMark/>
          </w:tcPr>
          <w:p w14:paraId="37771E0A" w14:textId="77777777" w:rsidR="00000000" w:rsidRDefault="00405D16">
            <w:pPr>
              <w:spacing w:after="100"/>
              <w:jc w:val="right"/>
              <w:rPr>
                <w:rFonts w:eastAsia="Times New Roman"/>
              </w:rPr>
            </w:pPr>
            <w:r>
              <w:rPr>
                <w:rFonts w:eastAsia="Times New Roman"/>
                <w:color w:val="000000"/>
                <w:sz w:val="18"/>
                <w:szCs w:val="18"/>
              </w:rPr>
              <w:t>2,043 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C84636" w14:textId="77777777" w:rsidR="00000000" w:rsidRDefault="00405D16">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14:paraId="713A8AFD" w14:textId="77777777" w:rsidR="00000000" w:rsidRDefault="00405D16">
            <w:pPr>
              <w:spacing w:after="100"/>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14:paraId="6DF2F209" w14:textId="77777777" w:rsidR="00000000" w:rsidRDefault="00405D16">
            <w:pPr>
              <w:spacing w:after="100"/>
              <w:jc w:val="right"/>
              <w:rPr>
                <w:rFonts w:eastAsia="Times New Roman"/>
              </w:rPr>
            </w:pPr>
            <w:r>
              <w:rPr>
                <w:rFonts w:eastAsia="Times New Roman"/>
                <w:color w:val="000000"/>
                <w:sz w:val="18"/>
                <w:szCs w:val="18"/>
              </w:rPr>
              <w:t>6,312 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3C334A" w14:textId="77777777" w:rsidR="00000000" w:rsidRDefault="00405D16">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14:paraId="4C8866A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7D6635E" w14:textId="77777777" w:rsidR="00000000" w:rsidRDefault="00405D16">
            <w:pPr>
              <w:spacing w:after="100"/>
              <w:jc w:val="right"/>
              <w:rPr>
                <w:rFonts w:eastAsia="Times New Roman"/>
              </w:rPr>
            </w:pPr>
            <w:r>
              <w:rPr>
                <w:rFonts w:eastAsia="Times New Roman"/>
                <w:color w:val="000000"/>
                <w:sz w:val="18"/>
                <w:szCs w:val="18"/>
              </w:rPr>
              <w:t>23,430 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6AED30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E3ABFB"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849AB9A" w14:textId="77777777" w:rsidR="00000000" w:rsidRDefault="00405D16">
            <w:pPr>
              <w:spacing w:after="100"/>
              <w:jc w:val="right"/>
              <w:rPr>
                <w:rFonts w:eastAsia="Times New Roman"/>
              </w:rPr>
            </w:pPr>
            <w:r>
              <w:rPr>
                <w:rFonts w:eastAsia="Times New Roman"/>
                <w:color w:val="000000"/>
                <w:sz w:val="18"/>
                <w:szCs w:val="18"/>
              </w:rPr>
              <w:t>7,226 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D49109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0EE619"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19E141D" w14:textId="77777777" w:rsidR="00000000" w:rsidRDefault="00405D16">
            <w:pPr>
              <w:spacing w:after="100"/>
              <w:jc w:val="right"/>
              <w:rPr>
                <w:rFonts w:eastAsia="Times New Roman"/>
              </w:rPr>
            </w:pPr>
            <w:r>
              <w:rPr>
                <w:rFonts w:eastAsia="Times New Roman"/>
                <w:color w:val="000000"/>
                <w:sz w:val="18"/>
                <w:szCs w:val="18"/>
              </w:rPr>
              <w:t>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767DD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C7859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55DBB51" w14:textId="77777777" w:rsidR="00000000" w:rsidRDefault="00405D16">
            <w:pPr>
              <w:spacing w:after="100"/>
              <w:jc w:val="right"/>
              <w:rPr>
                <w:rFonts w:eastAsia="Times New Roman"/>
              </w:rPr>
            </w:pPr>
            <w:r>
              <w:rPr>
                <w:rFonts w:eastAsia="Times New Roman"/>
                <w:color w:val="000000"/>
                <w:sz w:val="18"/>
                <w:szCs w:val="18"/>
              </w:rPr>
              <w:t>30,681 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7E7DFC0" w14:textId="77777777" w:rsidR="00000000" w:rsidRDefault="00405D16">
            <w:pPr>
              <w:spacing w:after="100"/>
              <w:jc w:val="right"/>
              <w:rPr>
                <w:rFonts w:eastAsia="Times New Roman"/>
              </w:rPr>
            </w:pPr>
          </w:p>
        </w:tc>
      </w:tr>
      <w:tr w:rsidR="00000000" w14:paraId="4E734AB3" w14:textId="77777777">
        <w:tc>
          <w:tcPr>
            <w:tcW w:w="0" w:type="auto"/>
            <w:gridSpan w:val="10"/>
            <w:shd w:val="clear" w:color="auto" w:fill="CCEEFF"/>
            <w:tcMar>
              <w:top w:w="30" w:type="dxa"/>
              <w:left w:w="155" w:type="dxa"/>
              <w:bottom w:w="30" w:type="dxa"/>
              <w:right w:w="20" w:type="dxa"/>
            </w:tcMar>
            <w:vAlign w:val="center"/>
            <w:hideMark/>
          </w:tcPr>
          <w:p w14:paraId="4F282E86" w14:textId="77777777" w:rsidR="00000000" w:rsidRDefault="00405D16">
            <w:pPr>
              <w:spacing w:after="100"/>
              <w:rPr>
                <w:rFonts w:eastAsia="Times New Roman"/>
              </w:rPr>
            </w:pPr>
            <w:r>
              <w:rPr>
                <w:rFonts w:eastAsia="Times New Roman"/>
                <w:color w:val="000000"/>
                <w:sz w:val="18"/>
                <w:szCs w:val="18"/>
              </w:rPr>
              <w:t>Commercial and industrial</w:t>
            </w:r>
          </w:p>
        </w:tc>
        <w:tc>
          <w:tcPr>
            <w:tcW w:w="0" w:type="auto"/>
            <w:gridSpan w:val="8"/>
            <w:shd w:val="clear" w:color="auto" w:fill="CCEEFF"/>
            <w:tcMar>
              <w:top w:w="0" w:type="dxa"/>
              <w:left w:w="20" w:type="dxa"/>
              <w:bottom w:w="0" w:type="dxa"/>
              <w:right w:w="20" w:type="dxa"/>
            </w:tcMar>
            <w:vAlign w:val="center"/>
            <w:hideMark/>
          </w:tcPr>
          <w:p w14:paraId="538DA711" w14:textId="77777777" w:rsidR="00000000" w:rsidRDefault="00405D16">
            <w:pPr>
              <w:spacing w:after="100"/>
              <w:rPr>
                <w:rFonts w:eastAsia="Times New Roman"/>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14:paraId="7C4F0F96"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0015FA96" w14:textId="77777777" w:rsidR="00000000" w:rsidRDefault="00405D16">
            <w:pPr>
              <w:spacing w:after="100"/>
              <w:rPr>
                <w:rFonts w:eastAsia="Times New Roman"/>
                <w:sz w:val="20"/>
                <w:szCs w:val="20"/>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14:paraId="663B012A" w14:textId="77777777" w:rsidR="00000000" w:rsidRDefault="00405D16">
            <w:pPr>
              <w:spacing w:after="100"/>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14:paraId="00A89CB4" w14:textId="77777777" w:rsidR="00000000" w:rsidRDefault="00405D16">
            <w:pPr>
              <w:spacing w:after="100"/>
              <w:rPr>
                <w:rFonts w:eastAsia="Times New Roman"/>
                <w:sz w:val="20"/>
                <w:szCs w:val="20"/>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14:paraId="5F904A7B" w14:textId="77777777" w:rsidR="00000000" w:rsidRDefault="00405D16">
            <w:pPr>
              <w:spacing w:after="100"/>
              <w:rPr>
                <w:rFonts w:eastAsia="Times New Roman"/>
                <w:sz w:val="20"/>
                <w:szCs w:val="20"/>
              </w:rPr>
            </w:pPr>
          </w:p>
        </w:tc>
        <w:tc>
          <w:tcPr>
            <w:tcW w:w="0" w:type="auto"/>
            <w:gridSpan w:val="8"/>
            <w:shd w:val="clear" w:color="auto" w:fill="CCEEFF"/>
            <w:tcMar>
              <w:top w:w="0" w:type="dxa"/>
              <w:left w:w="20" w:type="dxa"/>
              <w:bottom w:w="0" w:type="dxa"/>
              <w:right w:w="20" w:type="dxa"/>
            </w:tcMar>
            <w:vAlign w:val="center"/>
            <w:hideMark/>
          </w:tcPr>
          <w:p w14:paraId="3D862727" w14:textId="77777777" w:rsidR="00000000" w:rsidRDefault="00405D16">
            <w:pPr>
              <w:spacing w:after="100"/>
              <w:rPr>
                <w:rFonts w:eastAsia="Times New Roman"/>
                <w:sz w:val="20"/>
                <w:szCs w:val="20"/>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14:paraId="5E98D9A2" w14:textId="77777777" w:rsidR="00000000" w:rsidRDefault="00405D16">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14:paraId="28E20D38" w14:textId="77777777" w:rsidR="00000000" w:rsidRDefault="00405D16">
            <w:pPr>
              <w:spacing w:after="100"/>
              <w:rPr>
                <w:rFonts w:eastAsia="Times New Roman"/>
                <w:sz w:val="20"/>
                <w:szCs w:val="20"/>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14:paraId="0321F05E" w14:textId="77777777" w:rsidR="00000000" w:rsidRDefault="00405D16">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480F0384" w14:textId="77777777" w:rsidR="00000000" w:rsidRDefault="00405D16">
            <w:pPr>
              <w:spacing w:after="100"/>
              <w:rPr>
                <w:rFonts w:eastAsia="Times New Roman"/>
                <w:sz w:val="20"/>
                <w:szCs w:val="20"/>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14:paraId="0306AFBB" w14:textId="77777777" w:rsidR="00000000" w:rsidRDefault="00405D16">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32905C12"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728EEC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5D9A78"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9FBB45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41BFF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6E9BE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5FF511" w14:textId="77777777" w:rsidR="00000000" w:rsidRDefault="00405D16">
            <w:pPr>
              <w:spacing w:after="100"/>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14:paraId="2749423A" w14:textId="77777777" w:rsidR="00000000" w:rsidRDefault="00405D16">
            <w:pPr>
              <w:spacing w:after="100"/>
              <w:rPr>
                <w:rFonts w:eastAsia="Times New Roman"/>
                <w:sz w:val="20"/>
                <w:szCs w:val="20"/>
              </w:rPr>
            </w:pPr>
          </w:p>
        </w:tc>
        <w:tc>
          <w:tcPr>
            <w:tcW w:w="0" w:type="auto"/>
            <w:vAlign w:val="center"/>
            <w:hideMark/>
          </w:tcPr>
          <w:p w14:paraId="407E75A0" w14:textId="77777777" w:rsidR="00000000" w:rsidRDefault="00405D16">
            <w:pPr>
              <w:spacing w:after="100"/>
              <w:rPr>
                <w:rFonts w:eastAsia="Times New Roman"/>
                <w:sz w:val="20"/>
                <w:szCs w:val="20"/>
              </w:rPr>
            </w:pPr>
          </w:p>
        </w:tc>
      </w:tr>
      <w:tr w:rsidR="00000000" w14:paraId="3B6D2E34" w14:textId="77777777">
        <w:tc>
          <w:tcPr>
            <w:tcW w:w="0" w:type="auto"/>
            <w:gridSpan w:val="10"/>
            <w:shd w:val="clear" w:color="auto" w:fill="FFFFFF"/>
            <w:tcMar>
              <w:top w:w="30" w:type="dxa"/>
              <w:left w:w="380" w:type="dxa"/>
              <w:bottom w:w="30" w:type="dxa"/>
              <w:right w:w="20" w:type="dxa"/>
            </w:tcMar>
            <w:vAlign w:val="center"/>
            <w:hideMark/>
          </w:tcPr>
          <w:p w14:paraId="38058B1F" w14:textId="77777777" w:rsidR="00000000" w:rsidRDefault="00405D16">
            <w:pPr>
              <w:spacing w:after="100"/>
              <w:rPr>
                <w:rFonts w:eastAsia="Times New Roman"/>
              </w:rPr>
            </w:pPr>
            <w:r>
              <w:rPr>
                <w:rFonts w:eastAsia="Times New Roman"/>
                <w:color w:val="000000"/>
                <w:sz w:val="18"/>
                <w:szCs w:val="18"/>
              </w:rPr>
              <w:t>Noncriticized</w:t>
            </w:r>
          </w:p>
        </w:tc>
        <w:tc>
          <w:tcPr>
            <w:tcW w:w="0" w:type="auto"/>
            <w:gridSpan w:val="8"/>
            <w:shd w:val="clear" w:color="auto" w:fill="FFFFFF"/>
            <w:tcMar>
              <w:top w:w="0" w:type="dxa"/>
              <w:left w:w="20" w:type="dxa"/>
              <w:bottom w:w="0" w:type="dxa"/>
              <w:right w:w="20" w:type="dxa"/>
            </w:tcMar>
            <w:vAlign w:val="center"/>
            <w:hideMark/>
          </w:tcPr>
          <w:p w14:paraId="47B6F2C9" w14:textId="77777777" w:rsidR="00000000" w:rsidRDefault="00405D16">
            <w:pPr>
              <w:spacing w:after="100"/>
              <w:rPr>
                <w:rFonts w:eastAsia="Times New Roman"/>
              </w:rPr>
            </w:pPr>
          </w:p>
        </w:tc>
        <w:tc>
          <w:tcPr>
            <w:tcW w:w="0" w:type="auto"/>
            <w:gridSpan w:val="6"/>
            <w:shd w:val="clear" w:color="auto" w:fill="FFFFFF"/>
            <w:tcMar>
              <w:top w:w="30" w:type="dxa"/>
              <w:left w:w="20" w:type="dxa"/>
              <w:bottom w:w="30" w:type="dxa"/>
              <w:right w:w="0" w:type="dxa"/>
            </w:tcMar>
            <w:vAlign w:val="center"/>
            <w:hideMark/>
          </w:tcPr>
          <w:p w14:paraId="508CF0A5" w14:textId="77777777" w:rsidR="00000000" w:rsidRDefault="00405D16">
            <w:pPr>
              <w:spacing w:after="100"/>
              <w:jc w:val="right"/>
              <w:rPr>
                <w:rFonts w:eastAsia="Times New Roman"/>
              </w:rPr>
            </w:pPr>
            <w:r>
              <w:rPr>
                <w:rFonts w:eastAsia="Times New Roman"/>
                <w:color w:val="000000"/>
                <w:sz w:val="18"/>
                <w:szCs w:val="18"/>
              </w:rPr>
              <w:t>9,761 </w:t>
            </w:r>
          </w:p>
        </w:tc>
        <w:tc>
          <w:tcPr>
            <w:tcW w:w="0" w:type="auto"/>
            <w:gridSpan w:val="3"/>
            <w:shd w:val="clear" w:color="auto" w:fill="FFFFFF"/>
            <w:tcMar>
              <w:top w:w="30" w:type="dxa"/>
              <w:left w:w="0" w:type="dxa"/>
              <w:bottom w:w="30" w:type="dxa"/>
              <w:right w:w="20" w:type="dxa"/>
            </w:tcMar>
            <w:vAlign w:val="center"/>
            <w:hideMark/>
          </w:tcPr>
          <w:p w14:paraId="49F8CBCC"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68AF337D" w14:textId="77777777" w:rsidR="00000000" w:rsidRDefault="00405D16">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14:paraId="24572F35" w14:textId="77777777" w:rsidR="00000000" w:rsidRDefault="00405D16">
            <w:pPr>
              <w:spacing w:after="100"/>
              <w:jc w:val="right"/>
              <w:rPr>
                <w:rFonts w:eastAsia="Times New Roman"/>
              </w:rPr>
            </w:pPr>
            <w:r>
              <w:rPr>
                <w:rFonts w:eastAsia="Times New Roman"/>
                <w:color w:val="000000"/>
                <w:sz w:val="18"/>
                <w:szCs w:val="18"/>
              </w:rPr>
              <w:t>7,890 </w:t>
            </w:r>
          </w:p>
        </w:tc>
        <w:tc>
          <w:tcPr>
            <w:tcW w:w="0" w:type="auto"/>
            <w:shd w:val="clear" w:color="auto" w:fill="FFFFFF"/>
            <w:tcMar>
              <w:top w:w="30" w:type="dxa"/>
              <w:left w:w="0" w:type="dxa"/>
              <w:bottom w:w="30" w:type="dxa"/>
              <w:right w:w="20" w:type="dxa"/>
            </w:tcMar>
            <w:vAlign w:val="center"/>
            <w:hideMark/>
          </w:tcPr>
          <w:p w14:paraId="3FBAD434" w14:textId="77777777" w:rsidR="00000000" w:rsidRDefault="00405D16">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7D6BA175" w14:textId="77777777" w:rsidR="00000000" w:rsidRDefault="00405D16">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14:paraId="251E0C27" w14:textId="77777777" w:rsidR="00000000" w:rsidRDefault="00405D16">
            <w:pPr>
              <w:spacing w:after="100"/>
              <w:jc w:val="right"/>
              <w:rPr>
                <w:rFonts w:eastAsia="Times New Roman"/>
              </w:rPr>
            </w:pPr>
            <w:r>
              <w:rPr>
                <w:rFonts w:eastAsia="Times New Roman"/>
                <w:color w:val="000000"/>
                <w:sz w:val="18"/>
                <w:szCs w:val="18"/>
              </w:rPr>
              <w:t>4,043 </w:t>
            </w:r>
          </w:p>
        </w:tc>
        <w:tc>
          <w:tcPr>
            <w:tcW w:w="0" w:type="auto"/>
            <w:shd w:val="clear" w:color="auto" w:fill="FFFFFF"/>
            <w:tcMar>
              <w:top w:w="30" w:type="dxa"/>
              <w:left w:w="0" w:type="dxa"/>
              <w:bottom w:w="30" w:type="dxa"/>
              <w:right w:w="20" w:type="dxa"/>
            </w:tcMar>
            <w:vAlign w:val="center"/>
            <w:hideMark/>
          </w:tcPr>
          <w:p w14:paraId="0CC4F762" w14:textId="77777777" w:rsidR="00000000" w:rsidRDefault="00405D16">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7B531B74"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14:paraId="3E511B77" w14:textId="77777777" w:rsidR="00000000" w:rsidRDefault="00405D16">
            <w:pPr>
              <w:spacing w:after="100"/>
              <w:jc w:val="right"/>
              <w:rPr>
                <w:rFonts w:eastAsia="Times New Roman"/>
              </w:rPr>
            </w:pPr>
            <w:r>
              <w:rPr>
                <w:rFonts w:eastAsia="Times New Roman"/>
                <w:color w:val="000000"/>
                <w:sz w:val="18"/>
                <w:szCs w:val="18"/>
              </w:rPr>
              <w:t>2,717 </w:t>
            </w:r>
          </w:p>
        </w:tc>
        <w:tc>
          <w:tcPr>
            <w:tcW w:w="0" w:type="auto"/>
            <w:gridSpan w:val="4"/>
            <w:shd w:val="clear" w:color="auto" w:fill="FFFFFF"/>
            <w:tcMar>
              <w:top w:w="30" w:type="dxa"/>
              <w:left w:w="0" w:type="dxa"/>
              <w:bottom w:w="30" w:type="dxa"/>
              <w:right w:w="20" w:type="dxa"/>
            </w:tcMar>
            <w:vAlign w:val="center"/>
            <w:hideMark/>
          </w:tcPr>
          <w:p w14:paraId="4897747A" w14:textId="77777777" w:rsidR="00000000" w:rsidRDefault="00405D16">
            <w:pPr>
              <w:spacing w:after="100"/>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14:paraId="755C5AC3" w14:textId="77777777" w:rsidR="00000000" w:rsidRDefault="00405D16">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14:paraId="7312E100" w14:textId="77777777" w:rsidR="00000000" w:rsidRDefault="00405D16">
            <w:pPr>
              <w:spacing w:after="100"/>
              <w:jc w:val="right"/>
              <w:rPr>
                <w:rFonts w:eastAsia="Times New Roman"/>
              </w:rPr>
            </w:pPr>
            <w:r>
              <w:rPr>
                <w:rFonts w:eastAsia="Times New Roman"/>
                <w:color w:val="000000"/>
                <w:sz w:val="18"/>
                <w:szCs w:val="18"/>
              </w:rPr>
              <w:t>1,832 </w:t>
            </w:r>
          </w:p>
        </w:tc>
        <w:tc>
          <w:tcPr>
            <w:tcW w:w="0" w:type="auto"/>
            <w:shd w:val="clear" w:color="auto" w:fill="FFFFFF"/>
            <w:tcMar>
              <w:top w:w="30" w:type="dxa"/>
              <w:left w:w="0" w:type="dxa"/>
              <w:bottom w:w="30" w:type="dxa"/>
              <w:right w:w="20" w:type="dxa"/>
            </w:tcMar>
            <w:vAlign w:val="center"/>
            <w:hideMark/>
          </w:tcPr>
          <w:p w14:paraId="364EA813" w14:textId="77777777" w:rsidR="00000000" w:rsidRDefault="00405D16">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14:paraId="0292AA1D" w14:textId="77777777" w:rsidR="00000000" w:rsidRDefault="00405D16">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14:paraId="4F94B968" w14:textId="77777777" w:rsidR="00000000" w:rsidRDefault="00405D16">
            <w:pPr>
              <w:spacing w:after="100"/>
              <w:jc w:val="right"/>
              <w:rPr>
                <w:rFonts w:eastAsia="Times New Roman"/>
              </w:rPr>
            </w:pPr>
            <w:r>
              <w:rPr>
                <w:rFonts w:eastAsia="Times New Roman"/>
                <w:color w:val="000000"/>
                <w:sz w:val="18"/>
                <w:szCs w:val="18"/>
              </w:rPr>
              <w:t>3,034 </w:t>
            </w:r>
          </w:p>
        </w:tc>
        <w:tc>
          <w:tcPr>
            <w:tcW w:w="0" w:type="auto"/>
            <w:shd w:val="clear" w:color="auto" w:fill="FFFFFF"/>
            <w:tcMar>
              <w:top w:w="30" w:type="dxa"/>
              <w:left w:w="0" w:type="dxa"/>
              <w:bottom w:w="30" w:type="dxa"/>
              <w:right w:w="20" w:type="dxa"/>
            </w:tcMar>
            <w:vAlign w:val="center"/>
            <w:hideMark/>
          </w:tcPr>
          <w:p w14:paraId="17999E55" w14:textId="77777777" w:rsidR="00000000" w:rsidRDefault="00405D16">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14:paraId="7B5BDB4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DF8EA33" w14:textId="77777777" w:rsidR="00000000" w:rsidRDefault="00405D16">
            <w:pPr>
              <w:spacing w:after="100"/>
              <w:jc w:val="right"/>
              <w:rPr>
                <w:rFonts w:eastAsia="Times New Roman"/>
              </w:rPr>
            </w:pPr>
            <w:r>
              <w:rPr>
                <w:rFonts w:eastAsia="Times New Roman"/>
                <w:color w:val="000000"/>
                <w:sz w:val="18"/>
                <w:szCs w:val="18"/>
              </w:rPr>
              <w:t>29,277 </w:t>
            </w:r>
          </w:p>
        </w:tc>
        <w:tc>
          <w:tcPr>
            <w:tcW w:w="0" w:type="auto"/>
            <w:shd w:val="clear" w:color="auto" w:fill="FFFFFF"/>
            <w:tcMar>
              <w:top w:w="30" w:type="dxa"/>
              <w:left w:w="0" w:type="dxa"/>
              <w:bottom w:w="30" w:type="dxa"/>
              <w:right w:w="20" w:type="dxa"/>
            </w:tcMar>
            <w:vAlign w:val="center"/>
            <w:hideMark/>
          </w:tcPr>
          <w:p w14:paraId="213D561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1D30C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FE47257" w14:textId="77777777" w:rsidR="00000000" w:rsidRDefault="00405D16">
            <w:pPr>
              <w:spacing w:after="100"/>
              <w:jc w:val="right"/>
              <w:rPr>
                <w:rFonts w:eastAsia="Times New Roman"/>
              </w:rPr>
            </w:pPr>
            <w:r>
              <w:rPr>
                <w:rFonts w:eastAsia="Times New Roman"/>
                <w:color w:val="000000"/>
                <w:sz w:val="18"/>
                <w:szCs w:val="18"/>
              </w:rPr>
              <w:t>11,548 </w:t>
            </w:r>
          </w:p>
        </w:tc>
        <w:tc>
          <w:tcPr>
            <w:tcW w:w="0" w:type="auto"/>
            <w:shd w:val="clear" w:color="auto" w:fill="FFFFFF"/>
            <w:tcMar>
              <w:top w:w="30" w:type="dxa"/>
              <w:left w:w="0" w:type="dxa"/>
              <w:bottom w:w="30" w:type="dxa"/>
              <w:right w:w="20" w:type="dxa"/>
            </w:tcMar>
            <w:vAlign w:val="center"/>
            <w:hideMark/>
          </w:tcPr>
          <w:p w14:paraId="7A037B1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95715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A296CDE" w14:textId="77777777" w:rsidR="00000000" w:rsidRDefault="00405D16">
            <w:pPr>
              <w:spacing w:after="100"/>
              <w:jc w:val="right"/>
              <w:rPr>
                <w:rFonts w:eastAsia="Times New Roman"/>
              </w:rPr>
            </w:pPr>
            <w:r>
              <w:rPr>
                <w:rFonts w:eastAsia="Times New Roman"/>
                <w:color w:val="000000"/>
                <w:sz w:val="18"/>
                <w:szCs w:val="18"/>
              </w:rPr>
              <w:t>80 </w:t>
            </w:r>
          </w:p>
        </w:tc>
        <w:tc>
          <w:tcPr>
            <w:tcW w:w="0" w:type="auto"/>
            <w:shd w:val="clear" w:color="auto" w:fill="FFFFFF"/>
            <w:tcMar>
              <w:top w:w="30" w:type="dxa"/>
              <w:left w:w="0" w:type="dxa"/>
              <w:bottom w:w="30" w:type="dxa"/>
              <w:right w:w="20" w:type="dxa"/>
            </w:tcMar>
            <w:vAlign w:val="center"/>
            <w:hideMark/>
          </w:tcPr>
          <w:p w14:paraId="52427A4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59083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19E43AA" w14:textId="77777777" w:rsidR="00000000" w:rsidRDefault="00405D16">
            <w:pPr>
              <w:spacing w:after="100"/>
              <w:jc w:val="right"/>
              <w:rPr>
                <w:rFonts w:eastAsia="Times New Roman"/>
              </w:rPr>
            </w:pPr>
            <w:r>
              <w:rPr>
                <w:rFonts w:eastAsia="Times New Roman"/>
                <w:color w:val="000000"/>
                <w:sz w:val="18"/>
                <w:szCs w:val="18"/>
              </w:rPr>
              <w:t>40,905 </w:t>
            </w:r>
          </w:p>
        </w:tc>
        <w:tc>
          <w:tcPr>
            <w:tcW w:w="0" w:type="auto"/>
            <w:shd w:val="clear" w:color="auto" w:fill="FFFFFF"/>
            <w:tcMar>
              <w:top w:w="30" w:type="dxa"/>
              <w:left w:w="0" w:type="dxa"/>
              <w:bottom w:w="30" w:type="dxa"/>
              <w:right w:w="20" w:type="dxa"/>
            </w:tcMar>
            <w:vAlign w:val="center"/>
            <w:hideMark/>
          </w:tcPr>
          <w:p w14:paraId="2F967E04" w14:textId="77777777" w:rsidR="00000000" w:rsidRDefault="00405D16">
            <w:pPr>
              <w:spacing w:after="100"/>
              <w:jc w:val="right"/>
              <w:rPr>
                <w:rFonts w:eastAsia="Times New Roman"/>
              </w:rPr>
            </w:pPr>
          </w:p>
        </w:tc>
      </w:tr>
      <w:tr w:rsidR="00000000" w14:paraId="4F97EE8D" w14:textId="77777777">
        <w:tc>
          <w:tcPr>
            <w:tcW w:w="0" w:type="auto"/>
            <w:gridSpan w:val="10"/>
            <w:shd w:val="clear" w:color="auto" w:fill="CCEEFF"/>
            <w:tcMar>
              <w:top w:w="30" w:type="dxa"/>
              <w:left w:w="380" w:type="dxa"/>
              <w:bottom w:w="30" w:type="dxa"/>
              <w:right w:w="20" w:type="dxa"/>
            </w:tcMar>
            <w:vAlign w:val="center"/>
            <w:hideMark/>
          </w:tcPr>
          <w:p w14:paraId="6692628F" w14:textId="77777777" w:rsidR="00000000" w:rsidRDefault="00405D16">
            <w:pPr>
              <w:spacing w:after="100"/>
              <w:rPr>
                <w:rFonts w:eastAsia="Times New Roman"/>
              </w:rPr>
            </w:pPr>
            <w:r>
              <w:rPr>
                <w:rFonts w:eastAsia="Times New Roman"/>
                <w:color w:val="000000"/>
                <w:sz w:val="18"/>
                <w:szCs w:val="18"/>
              </w:rPr>
              <w:t>Criticized performing</w:t>
            </w:r>
          </w:p>
        </w:tc>
        <w:tc>
          <w:tcPr>
            <w:tcW w:w="0" w:type="auto"/>
            <w:gridSpan w:val="8"/>
            <w:shd w:val="clear" w:color="auto" w:fill="CCEEFF"/>
            <w:tcMar>
              <w:top w:w="0" w:type="dxa"/>
              <w:left w:w="20" w:type="dxa"/>
              <w:bottom w:w="0" w:type="dxa"/>
              <w:right w:w="20" w:type="dxa"/>
            </w:tcMar>
            <w:vAlign w:val="center"/>
            <w:hideMark/>
          </w:tcPr>
          <w:p w14:paraId="18DBEC0E" w14:textId="77777777" w:rsidR="00000000" w:rsidRDefault="00405D16">
            <w:pPr>
              <w:spacing w:after="100"/>
              <w:rPr>
                <w:rFonts w:eastAsia="Times New Roman"/>
              </w:rPr>
            </w:pPr>
          </w:p>
        </w:tc>
        <w:tc>
          <w:tcPr>
            <w:tcW w:w="0" w:type="auto"/>
            <w:gridSpan w:val="6"/>
            <w:shd w:val="clear" w:color="auto" w:fill="CCEEFF"/>
            <w:tcMar>
              <w:top w:w="30" w:type="dxa"/>
              <w:left w:w="20" w:type="dxa"/>
              <w:bottom w:w="30" w:type="dxa"/>
              <w:right w:w="0" w:type="dxa"/>
            </w:tcMar>
            <w:vAlign w:val="center"/>
            <w:hideMark/>
          </w:tcPr>
          <w:p w14:paraId="47FBA256" w14:textId="77777777" w:rsidR="00000000" w:rsidRDefault="00405D16">
            <w:pPr>
              <w:spacing w:after="100"/>
              <w:jc w:val="right"/>
              <w:rPr>
                <w:rFonts w:eastAsia="Times New Roman"/>
              </w:rPr>
            </w:pPr>
            <w:r>
              <w:rPr>
                <w:rFonts w:eastAsia="Times New Roman"/>
                <w:color w:val="000000"/>
                <w:sz w:val="18"/>
                <w:szCs w:val="18"/>
              </w:rPr>
              <w:t>316 </w:t>
            </w:r>
          </w:p>
        </w:tc>
        <w:tc>
          <w:tcPr>
            <w:tcW w:w="0" w:type="auto"/>
            <w:gridSpan w:val="3"/>
            <w:shd w:val="clear" w:color="auto" w:fill="CCEEFF"/>
            <w:tcMar>
              <w:top w:w="30" w:type="dxa"/>
              <w:left w:w="0" w:type="dxa"/>
              <w:bottom w:w="30" w:type="dxa"/>
              <w:right w:w="20" w:type="dxa"/>
            </w:tcMar>
            <w:vAlign w:val="center"/>
            <w:hideMark/>
          </w:tcPr>
          <w:p w14:paraId="1B8FA180"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0336052" w14:textId="77777777" w:rsidR="00000000" w:rsidRDefault="00405D16">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center"/>
            <w:hideMark/>
          </w:tcPr>
          <w:p w14:paraId="7E032C29" w14:textId="77777777" w:rsidR="00000000" w:rsidRDefault="00405D16">
            <w:pPr>
              <w:spacing w:after="100"/>
              <w:jc w:val="right"/>
              <w:rPr>
                <w:rFonts w:eastAsia="Times New Roman"/>
              </w:rPr>
            </w:pPr>
            <w:r>
              <w:rPr>
                <w:rFonts w:eastAsia="Times New Roman"/>
                <w:color w:val="000000"/>
                <w:sz w:val="18"/>
                <w:szCs w:val="18"/>
              </w:rPr>
              <w:t>794 </w:t>
            </w:r>
          </w:p>
        </w:tc>
        <w:tc>
          <w:tcPr>
            <w:tcW w:w="0" w:type="auto"/>
            <w:shd w:val="clear" w:color="auto" w:fill="CCEEFF"/>
            <w:tcMar>
              <w:top w:w="30" w:type="dxa"/>
              <w:left w:w="0" w:type="dxa"/>
              <w:bottom w:w="30" w:type="dxa"/>
              <w:right w:w="20" w:type="dxa"/>
            </w:tcMar>
            <w:vAlign w:val="center"/>
            <w:hideMark/>
          </w:tcPr>
          <w:p w14:paraId="5AC22332" w14:textId="77777777" w:rsidR="00000000" w:rsidRDefault="00405D16">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64CD0A35" w14:textId="77777777" w:rsidR="00000000" w:rsidRDefault="00405D16">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center"/>
            <w:hideMark/>
          </w:tcPr>
          <w:p w14:paraId="290D7350" w14:textId="77777777" w:rsidR="00000000" w:rsidRDefault="00405D16">
            <w:pPr>
              <w:spacing w:after="100"/>
              <w:jc w:val="right"/>
              <w:rPr>
                <w:rFonts w:eastAsia="Times New Roman"/>
              </w:rPr>
            </w:pPr>
            <w:r>
              <w:rPr>
                <w:rFonts w:eastAsia="Times New Roman"/>
                <w:color w:val="000000"/>
                <w:sz w:val="18"/>
                <w:szCs w:val="18"/>
              </w:rPr>
              <w:t>521 </w:t>
            </w:r>
          </w:p>
        </w:tc>
        <w:tc>
          <w:tcPr>
            <w:tcW w:w="0" w:type="auto"/>
            <w:shd w:val="clear" w:color="auto" w:fill="CCEEFF"/>
            <w:tcMar>
              <w:top w:w="30" w:type="dxa"/>
              <w:left w:w="0" w:type="dxa"/>
              <w:bottom w:w="30" w:type="dxa"/>
              <w:right w:w="20" w:type="dxa"/>
            </w:tcMar>
            <w:vAlign w:val="center"/>
            <w:hideMark/>
          </w:tcPr>
          <w:p w14:paraId="040D98A9" w14:textId="77777777" w:rsidR="00000000" w:rsidRDefault="00405D16">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18A641A5"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14:paraId="3D311DE6" w14:textId="77777777" w:rsidR="00000000" w:rsidRDefault="00405D16">
            <w:pPr>
              <w:spacing w:after="100"/>
              <w:jc w:val="right"/>
              <w:rPr>
                <w:rFonts w:eastAsia="Times New Roman"/>
              </w:rPr>
            </w:pPr>
            <w:r>
              <w:rPr>
                <w:rFonts w:eastAsia="Times New Roman"/>
                <w:color w:val="000000"/>
                <w:sz w:val="18"/>
                <w:szCs w:val="18"/>
              </w:rPr>
              <w:t>252 </w:t>
            </w:r>
          </w:p>
        </w:tc>
        <w:tc>
          <w:tcPr>
            <w:tcW w:w="0" w:type="auto"/>
            <w:gridSpan w:val="4"/>
            <w:shd w:val="clear" w:color="auto" w:fill="CCEEFF"/>
            <w:tcMar>
              <w:top w:w="30" w:type="dxa"/>
              <w:left w:w="0" w:type="dxa"/>
              <w:bottom w:w="30" w:type="dxa"/>
              <w:right w:w="20" w:type="dxa"/>
            </w:tcMar>
            <w:vAlign w:val="center"/>
            <w:hideMark/>
          </w:tcPr>
          <w:p w14:paraId="2054DAEC" w14:textId="77777777" w:rsidR="00000000" w:rsidRDefault="00405D16">
            <w:pPr>
              <w:spacing w:after="100"/>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14:paraId="725F4575" w14:textId="77777777" w:rsidR="00000000" w:rsidRDefault="00405D16">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center"/>
            <w:hideMark/>
          </w:tcPr>
          <w:p w14:paraId="4BF87C69" w14:textId="77777777" w:rsidR="00000000" w:rsidRDefault="00405D16">
            <w:pPr>
              <w:spacing w:after="100"/>
              <w:jc w:val="right"/>
              <w:rPr>
                <w:rFonts w:eastAsia="Times New Roman"/>
              </w:rPr>
            </w:pPr>
            <w:r>
              <w:rPr>
                <w:rFonts w:eastAsia="Times New Roman"/>
                <w:color w:val="000000"/>
                <w:sz w:val="18"/>
                <w:szCs w:val="18"/>
              </w:rPr>
              <w:t>106 </w:t>
            </w:r>
          </w:p>
        </w:tc>
        <w:tc>
          <w:tcPr>
            <w:tcW w:w="0" w:type="auto"/>
            <w:shd w:val="clear" w:color="auto" w:fill="CCEEFF"/>
            <w:tcMar>
              <w:top w:w="30" w:type="dxa"/>
              <w:left w:w="0" w:type="dxa"/>
              <w:bottom w:w="30" w:type="dxa"/>
              <w:right w:w="20" w:type="dxa"/>
            </w:tcMar>
            <w:vAlign w:val="center"/>
            <w:hideMark/>
          </w:tcPr>
          <w:p w14:paraId="16C998FF" w14:textId="77777777" w:rsidR="00000000" w:rsidRDefault="00405D16">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14:paraId="4EFF21BD" w14:textId="77777777" w:rsidR="00000000" w:rsidRDefault="00405D16">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center"/>
            <w:hideMark/>
          </w:tcPr>
          <w:p w14:paraId="2CBE24DB" w14:textId="77777777" w:rsidR="00000000" w:rsidRDefault="00405D16">
            <w:pPr>
              <w:spacing w:after="100"/>
              <w:jc w:val="right"/>
              <w:rPr>
                <w:rFonts w:eastAsia="Times New Roman"/>
              </w:rPr>
            </w:pPr>
            <w:r>
              <w:rPr>
                <w:rFonts w:eastAsia="Times New Roman"/>
                <w:color w:val="000000"/>
                <w:sz w:val="18"/>
                <w:szCs w:val="18"/>
              </w:rPr>
              <w:t>215 </w:t>
            </w:r>
          </w:p>
        </w:tc>
        <w:tc>
          <w:tcPr>
            <w:tcW w:w="0" w:type="auto"/>
            <w:shd w:val="clear" w:color="auto" w:fill="CCEEFF"/>
            <w:tcMar>
              <w:top w:w="30" w:type="dxa"/>
              <w:left w:w="0" w:type="dxa"/>
              <w:bottom w:w="30" w:type="dxa"/>
              <w:right w:w="20" w:type="dxa"/>
            </w:tcMar>
            <w:vAlign w:val="center"/>
            <w:hideMark/>
          </w:tcPr>
          <w:p w14:paraId="1598AD31" w14:textId="77777777" w:rsidR="00000000" w:rsidRDefault="00405D16">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14:paraId="1D38FD2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E549E88" w14:textId="77777777" w:rsidR="00000000" w:rsidRDefault="00405D16">
            <w:pPr>
              <w:spacing w:after="100"/>
              <w:jc w:val="right"/>
              <w:rPr>
                <w:rFonts w:eastAsia="Times New Roman"/>
              </w:rPr>
            </w:pPr>
            <w:r>
              <w:rPr>
                <w:rFonts w:eastAsia="Times New Roman"/>
                <w:color w:val="000000"/>
                <w:sz w:val="18"/>
                <w:szCs w:val="18"/>
              </w:rPr>
              <w:t>2,204 </w:t>
            </w:r>
          </w:p>
        </w:tc>
        <w:tc>
          <w:tcPr>
            <w:tcW w:w="0" w:type="auto"/>
            <w:shd w:val="clear" w:color="auto" w:fill="CCEEFF"/>
            <w:tcMar>
              <w:top w:w="30" w:type="dxa"/>
              <w:left w:w="0" w:type="dxa"/>
              <w:bottom w:w="30" w:type="dxa"/>
              <w:right w:w="20" w:type="dxa"/>
            </w:tcMar>
            <w:vAlign w:val="center"/>
            <w:hideMark/>
          </w:tcPr>
          <w:p w14:paraId="7F52875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1E2C4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C968C2B" w14:textId="77777777" w:rsidR="00000000" w:rsidRDefault="00405D16">
            <w:pPr>
              <w:spacing w:after="100"/>
              <w:jc w:val="right"/>
              <w:rPr>
                <w:rFonts w:eastAsia="Times New Roman"/>
              </w:rPr>
            </w:pPr>
            <w:r>
              <w:rPr>
                <w:rFonts w:eastAsia="Times New Roman"/>
                <w:color w:val="000000"/>
                <w:sz w:val="18"/>
                <w:szCs w:val="18"/>
              </w:rPr>
              <w:t>1,498 </w:t>
            </w:r>
          </w:p>
        </w:tc>
        <w:tc>
          <w:tcPr>
            <w:tcW w:w="0" w:type="auto"/>
            <w:shd w:val="clear" w:color="auto" w:fill="CCEEFF"/>
            <w:tcMar>
              <w:top w:w="30" w:type="dxa"/>
              <w:left w:w="0" w:type="dxa"/>
              <w:bottom w:w="30" w:type="dxa"/>
              <w:right w:w="20" w:type="dxa"/>
            </w:tcMar>
            <w:vAlign w:val="center"/>
            <w:hideMark/>
          </w:tcPr>
          <w:p w14:paraId="468C33A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A7367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8E112B4" w14:textId="77777777" w:rsidR="00000000" w:rsidRDefault="00405D16">
            <w:pPr>
              <w:spacing w:after="100"/>
              <w:jc w:val="right"/>
              <w:rPr>
                <w:rFonts w:eastAsia="Times New Roman"/>
              </w:rPr>
            </w:pPr>
            <w:r>
              <w:rPr>
                <w:rFonts w:eastAsia="Times New Roman"/>
                <w:color w:val="000000"/>
                <w:sz w:val="18"/>
                <w:szCs w:val="18"/>
              </w:rPr>
              <w:t>42 </w:t>
            </w:r>
          </w:p>
        </w:tc>
        <w:tc>
          <w:tcPr>
            <w:tcW w:w="0" w:type="auto"/>
            <w:shd w:val="clear" w:color="auto" w:fill="CCEEFF"/>
            <w:tcMar>
              <w:top w:w="30" w:type="dxa"/>
              <w:left w:w="0" w:type="dxa"/>
              <w:bottom w:w="30" w:type="dxa"/>
              <w:right w:w="20" w:type="dxa"/>
            </w:tcMar>
            <w:vAlign w:val="center"/>
            <w:hideMark/>
          </w:tcPr>
          <w:p w14:paraId="5D9741F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CA212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B67BEFE" w14:textId="77777777" w:rsidR="00000000" w:rsidRDefault="00405D16">
            <w:pPr>
              <w:spacing w:after="100"/>
              <w:jc w:val="right"/>
              <w:rPr>
                <w:rFonts w:eastAsia="Times New Roman"/>
              </w:rPr>
            </w:pPr>
            <w:r>
              <w:rPr>
                <w:rFonts w:eastAsia="Times New Roman"/>
                <w:color w:val="000000"/>
                <w:sz w:val="18"/>
                <w:szCs w:val="18"/>
              </w:rPr>
              <w:t>3,744 </w:t>
            </w:r>
          </w:p>
        </w:tc>
        <w:tc>
          <w:tcPr>
            <w:tcW w:w="0" w:type="auto"/>
            <w:shd w:val="clear" w:color="auto" w:fill="CCEEFF"/>
            <w:tcMar>
              <w:top w:w="30" w:type="dxa"/>
              <w:left w:w="0" w:type="dxa"/>
              <w:bottom w:w="30" w:type="dxa"/>
              <w:right w:w="20" w:type="dxa"/>
            </w:tcMar>
            <w:vAlign w:val="center"/>
            <w:hideMark/>
          </w:tcPr>
          <w:p w14:paraId="56171BF2" w14:textId="77777777" w:rsidR="00000000" w:rsidRDefault="00405D16">
            <w:pPr>
              <w:spacing w:after="100"/>
              <w:jc w:val="right"/>
              <w:rPr>
                <w:rFonts w:eastAsia="Times New Roman"/>
              </w:rPr>
            </w:pPr>
          </w:p>
        </w:tc>
      </w:tr>
      <w:tr w:rsidR="00000000" w14:paraId="2611E6D8" w14:textId="77777777">
        <w:tc>
          <w:tcPr>
            <w:tcW w:w="0" w:type="auto"/>
            <w:gridSpan w:val="10"/>
            <w:shd w:val="clear" w:color="auto" w:fill="FFFFFF"/>
            <w:tcMar>
              <w:top w:w="30" w:type="dxa"/>
              <w:left w:w="380" w:type="dxa"/>
              <w:bottom w:w="30" w:type="dxa"/>
              <w:right w:w="20" w:type="dxa"/>
            </w:tcMar>
            <w:vAlign w:val="center"/>
            <w:hideMark/>
          </w:tcPr>
          <w:p w14:paraId="12A776AF" w14:textId="77777777" w:rsidR="00000000" w:rsidRDefault="00405D16">
            <w:pPr>
              <w:spacing w:after="100"/>
              <w:rPr>
                <w:rFonts w:eastAsia="Times New Roman"/>
              </w:rPr>
            </w:pPr>
            <w:r>
              <w:rPr>
                <w:rFonts w:eastAsia="Times New Roman"/>
                <w:color w:val="000000"/>
                <w:sz w:val="18"/>
                <w:szCs w:val="18"/>
              </w:rPr>
              <w:t>Criticized nonperforming</w:t>
            </w:r>
          </w:p>
        </w:tc>
        <w:tc>
          <w:tcPr>
            <w:tcW w:w="0" w:type="auto"/>
            <w:gridSpan w:val="8"/>
            <w:shd w:val="clear" w:color="auto" w:fill="FFFFFF"/>
            <w:tcMar>
              <w:top w:w="0" w:type="dxa"/>
              <w:left w:w="20" w:type="dxa"/>
              <w:bottom w:w="0" w:type="dxa"/>
              <w:right w:w="20" w:type="dxa"/>
            </w:tcMar>
            <w:vAlign w:val="center"/>
            <w:hideMark/>
          </w:tcPr>
          <w:p w14:paraId="3D80DAC9" w14:textId="77777777" w:rsidR="00000000" w:rsidRDefault="00405D16">
            <w:pPr>
              <w:spacing w:after="100"/>
              <w:rPr>
                <w:rFonts w:eastAsia="Times New Roman"/>
              </w:rPr>
            </w:pPr>
          </w:p>
        </w:tc>
        <w:tc>
          <w:tcPr>
            <w:tcW w:w="0" w:type="auto"/>
            <w:gridSpan w:val="6"/>
            <w:shd w:val="clear" w:color="auto" w:fill="FFFFFF"/>
            <w:tcMar>
              <w:top w:w="30" w:type="dxa"/>
              <w:left w:w="20" w:type="dxa"/>
              <w:bottom w:w="30" w:type="dxa"/>
              <w:right w:w="0" w:type="dxa"/>
            </w:tcMar>
            <w:vAlign w:val="center"/>
            <w:hideMark/>
          </w:tcPr>
          <w:p w14:paraId="1356283D" w14:textId="77777777" w:rsidR="00000000" w:rsidRDefault="00405D16">
            <w:pPr>
              <w:spacing w:after="100"/>
              <w:jc w:val="right"/>
              <w:rPr>
                <w:rFonts w:eastAsia="Times New Roman"/>
              </w:rPr>
            </w:pPr>
            <w:r>
              <w:rPr>
                <w:rFonts w:eastAsia="Times New Roman"/>
                <w:color w:val="000000"/>
                <w:sz w:val="18"/>
                <w:szCs w:val="18"/>
              </w:rPr>
              <w:t>74 </w:t>
            </w:r>
          </w:p>
        </w:tc>
        <w:tc>
          <w:tcPr>
            <w:tcW w:w="0" w:type="auto"/>
            <w:gridSpan w:val="3"/>
            <w:shd w:val="clear" w:color="auto" w:fill="FFFFFF"/>
            <w:tcMar>
              <w:top w:w="30" w:type="dxa"/>
              <w:left w:w="0" w:type="dxa"/>
              <w:bottom w:w="30" w:type="dxa"/>
              <w:right w:w="20" w:type="dxa"/>
            </w:tcMar>
            <w:vAlign w:val="center"/>
            <w:hideMark/>
          </w:tcPr>
          <w:p w14:paraId="6B52701E"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54A4256F" w14:textId="77777777" w:rsidR="00000000" w:rsidRDefault="00405D16">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14:paraId="383CFAF3" w14:textId="77777777" w:rsidR="00000000" w:rsidRDefault="00405D16">
            <w:pPr>
              <w:spacing w:after="100"/>
              <w:jc w:val="right"/>
              <w:rPr>
                <w:rFonts w:eastAsia="Times New Roman"/>
              </w:rPr>
            </w:pPr>
            <w:r>
              <w:rPr>
                <w:rFonts w:eastAsia="Times New Roman"/>
                <w:color w:val="000000"/>
                <w:sz w:val="18"/>
                <w:szCs w:val="18"/>
              </w:rPr>
              <w:t>108 </w:t>
            </w:r>
          </w:p>
        </w:tc>
        <w:tc>
          <w:tcPr>
            <w:tcW w:w="0" w:type="auto"/>
            <w:shd w:val="clear" w:color="auto" w:fill="FFFFFF"/>
            <w:tcMar>
              <w:top w:w="30" w:type="dxa"/>
              <w:left w:w="0" w:type="dxa"/>
              <w:bottom w:w="30" w:type="dxa"/>
              <w:right w:w="20" w:type="dxa"/>
            </w:tcMar>
            <w:vAlign w:val="center"/>
            <w:hideMark/>
          </w:tcPr>
          <w:p w14:paraId="16741E23" w14:textId="77777777" w:rsidR="00000000" w:rsidRDefault="00405D16">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7FB4E0BB" w14:textId="77777777" w:rsidR="00000000" w:rsidRDefault="00405D16">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14:paraId="591E52BA" w14:textId="77777777" w:rsidR="00000000" w:rsidRDefault="00405D16">
            <w:pPr>
              <w:spacing w:after="100"/>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center"/>
            <w:hideMark/>
          </w:tcPr>
          <w:p w14:paraId="7B589FE1" w14:textId="77777777" w:rsidR="00000000" w:rsidRDefault="00405D16">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11FA73AD"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14:paraId="50346DEB" w14:textId="77777777" w:rsidR="00000000" w:rsidRDefault="00405D16">
            <w:pPr>
              <w:spacing w:after="100"/>
              <w:jc w:val="right"/>
              <w:rPr>
                <w:rFonts w:eastAsia="Times New Roman"/>
              </w:rPr>
            </w:pPr>
            <w:r>
              <w:rPr>
                <w:rFonts w:eastAsia="Times New Roman"/>
                <w:color w:val="000000"/>
                <w:sz w:val="18"/>
                <w:szCs w:val="18"/>
              </w:rPr>
              <w:t>51 </w:t>
            </w:r>
          </w:p>
        </w:tc>
        <w:tc>
          <w:tcPr>
            <w:tcW w:w="0" w:type="auto"/>
            <w:gridSpan w:val="4"/>
            <w:shd w:val="clear" w:color="auto" w:fill="FFFFFF"/>
            <w:tcMar>
              <w:top w:w="30" w:type="dxa"/>
              <w:left w:w="0" w:type="dxa"/>
              <w:bottom w:w="30" w:type="dxa"/>
              <w:right w:w="20" w:type="dxa"/>
            </w:tcMar>
            <w:vAlign w:val="center"/>
            <w:hideMark/>
          </w:tcPr>
          <w:p w14:paraId="0669A173" w14:textId="77777777" w:rsidR="00000000" w:rsidRDefault="00405D16">
            <w:pPr>
              <w:spacing w:after="100"/>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14:paraId="1D635A6C" w14:textId="77777777" w:rsidR="00000000" w:rsidRDefault="00405D16">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14:paraId="0790AA12" w14:textId="77777777" w:rsidR="00000000" w:rsidRDefault="00405D16">
            <w:pPr>
              <w:spacing w:after="100"/>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center"/>
            <w:hideMark/>
          </w:tcPr>
          <w:p w14:paraId="53D916EE" w14:textId="77777777" w:rsidR="00000000" w:rsidRDefault="00405D16">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14:paraId="4A51909C" w14:textId="77777777" w:rsidR="00000000" w:rsidRDefault="00405D16">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14:paraId="36259CF2"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5C02B572" w14:textId="77777777" w:rsidR="00000000" w:rsidRDefault="00405D16">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14:paraId="6EF7C5D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26D5A0A" w14:textId="77777777" w:rsidR="00000000" w:rsidRDefault="00405D16">
            <w:pPr>
              <w:spacing w:after="100"/>
              <w:jc w:val="right"/>
              <w:rPr>
                <w:rFonts w:eastAsia="Times New Roman"/>
              </w:rPr>
            </w:pPr>
            <w:r>
              <w:rPr>
                <w:rFonts w:eastAsia="Times New Roman"/>
                <w:color w:val="000000"/>
                <w:sz w:val="18"/>
                <w:szCs w:val="18"/>
              </w:rPr>
              <w:t>267 </w:t>
            </w:r>
          </w:p>
        </w:tc>
        <w:tc>
          <w:tcPr>
            <w:tcW w:w="0" w:type="auto"/>
            <w:shd w:val="clear" w:color="auto" w:fill="FFFFFF"/>
            <w:tcMar>
              <w:top w:w="30" w:type="dxa"/>
              <w:left w:w="0" w:type="dxa"/>
              <w:bottom w:w="30" w:type="dxa"/>
              <w:right w:w="20" w:type="dxa"/>
            </w:tcMar>
            <w:vAlign w:val="center"/>
            <w:hideMark/>
          </w:tcPr>
          <w:p w14:paraId="28240D9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296F0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29478D0" w14:textId="77777777" w:rsidR="00000000" w:rsidRDefault="00405D16">
            <w:pPr>
              <w:spacing w:after="100"/>
              <w:jc w:val="right"/>
              <w:rPr>
                <w:rFonts w:eastAsia="Times New Roman"/>
              </w:rPr>
            </w:pPr>
            <w:r>
              <w:rPr>
                <w:rFonts w:eastAsia="Times New Roman"/>
                <w:color w:val="000000"/>
                <w:sz w:val="18"/>
                <w:szCs w:val="18"/>
              </w:rPr>
              <w:t>183 </w:t>
            </w:r>
          </w:p>
        </w:tc>
        <w:tc>
          <w:tcPr>
            <w:tcW w:w="0" w:type="auto"/>
            <w:shd w:val="clear" w:color="auto" w:fill="FFFFFF"/>
            <w:tcMar>
              <w:top w:w="30" w:type="dxa"/>
              <w:left w:w="0" w:type="dxa"/>
              <w:bottom w:w="30" w:type="dxa"/>
              <w:right w:w="20" w:type="dxa"/>
            </w:tcMar>
            <w:vAlign w:val="center"/>
            <w:hideMark/>
          </w:tcPr>
          <w:p w14:paraId="44EBC2A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96E9D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F94C167"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38CC7B6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A65F4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4A115BB" w14:textId="77777777" w:rsidR="00000000" w:rsidRDefault="00405D16">
            <w:pPr>
              <w:spacing w:after="100"/>
              <w:jc w:val="right"/>
              <w:rPr>
                <w:rFonts w:eastAsia="Times New Roman"/>
              </w:rPr>
            </w:pPr>
            <w:r>
              <w:rPr>
                <w:rFonts w:eastAsia="Times New Roman"/>
                <w:color w:val="000000"/>
                <w:sz w:val="18"/>
                <w:szCs w:val="18"/>
              </w:rPr>
              <w:t>450 </w:t>
            </w:r>
          </w:p>
        </w:tc>
        <w:tc>
          <w:tcPr>
            <w:tcW w:w="0" w:type="auto"/>
            <w:shd w:val="clear" w:color="auto" w:fill="FFFFFF"/>
            <w:tcMar>
              <w:top w:w="30" w:type="dxa"/>
              <w:left w:w="0" w:type="dxa"/>
              <w:bottom w:w="30" w:type="dxa"/>
              <w:right w:w="20" w:type="dxa"/>
            </w:tcMar>
            <w:vAlign w:val="center"/>
            <w:hideMark/>
          </w:tcPr>
          <w:p w14:paraId="12CB8DF7" w14:textId="77777777" w:rsidR="00000000" w:rsidRDefault="00405D16">
            <w:pPr>
              <w:spacing w:after="100"/>
              <w:jc w:val="right"/>
              <w:rPr>
                <w:rFonts w:eastAsia="Times New Roman"/>
              </w:rPr>
            </w:pPr>
          </w:p>
        </w:tc>
      </w:tr>
      <w:tr w:rsidR="00000000" w14:paraId="75FBF17B" w14:textId="77777777">
        <w:tc>
          <w:tcPr>
            <w:tcW w:w="0" w:type="auto"/>
            <w:gridSpan w:val="10"/>
            <w:shd w:val="clear" w:color="auto" w:fill="CCEEFF"/>
            <w:tcMar>
              <w:top w:w="30" w:type="dxa"/>
              <w:left w:w="245" w:type="dxa"/>
              <w:bottom w:w="30" w:type="dxa"/>
              <w:right w:w="20" w:type="dxa"/>
            </w:tcMar>
            <w:vAlign w:val="center"/>
            <w:hideMark/>
          </w:tcPr>
          <w:p w14:paraId="17D1A318" w14:textId="77777777" w:rsidR="00000000" w:rsidRDefault="00405D16">
            <w:pPr>
              <w:spacing w:after="100"/>
              <w:rPr>
                <w:rFonts w:eastAsia="Times New Roman"/>
              </w:rPr>
            </w:pPr>
            <w:r>
              <w:rPr>
                <w:rFonts w:eastAsia="Times New Roman"/>
                <w:color w:val="000000"/>
                <w:sz w:val="18"/>
                <w:szCs w:val="18"/>
              </w:rPr>
              <w:t>Total commercial and industrial</w:t>
            </w:r>
          </w:p>
        </w:tc>
        <w:tc>
          <w:tcPr>
            <w:tcW w:w="0" w:type="auto"/>
            <w:gridSpan w:val="8"/>
            <w:shd w:val="clear" w:color="auto" w:fill="CCEEFF"/>
            <w:tcMar>
              <w:top w:w="0" w:type="dxa"/>
              <w:left w:w="20" w:type="dxa"/>
              <w:bottom w:w="0" w:type="dxa"/>
              <w:right w:w="20" w:type="dxa"/>
            </w:tcMar>
            <w:vAlign w:val="center"/>
            <w:hideMark/>
          </w:tcPr>
          <w:p w14:paraId="606A9327" w14:textId="77777777" w:rsidR="00000000" w:rsidRDefault="00405D16">
            <w:pPr>
              <w:spacing w:after="100"/>
              <w:rPr>
                <w:rFonts w:eastAsia="Times New Roman"/>
              </w:rPr>
            </w:pPr>
          </w:p>
        </w:tc>
        <w:tc>
          <w:tcPr>
            <w:tcW w:w="0" w:type="auto"/>
            <w:gridSpan w:val="6"/>
            <w:tcBorders>
              <w:top w:val="single" w:sz="8" w:space="0" w:color="000000"/>
            </w:tcBorders>
            <w:shd w:val="clear" w:color="auto" w:fill="CCEEFF"/>
            <w:tcMar>
              <w:top w:w="30" w:type="dxa"/>
              <w:left w:w="20" w:type="dxa"/>
              <w:bottom w:w="30" w:type="dxa"/>
              <w:right w:w="0" w:type="dxa"/>
            </w:tcMar>
            <w:vAlign w:val="bottom"/>
            <w:hideMark/>
          </w:tcPr>
          <w:p w14:paraId="739C2B49" w14:textId="77777777" w:rsidR="00000000" w:rsidRDefault="00405D16">
            <w:pPr>
              <w:spacing w:after="100"/>
              <w:jc w:val="right"/>
              <w:rPr>
                <w:rFonts w:eastAsia="Times New Roman"/>
              </w:rPr>
            </w:pPr>
            <w:r>
              <w:rPr>
                <w:rFonts w:eastAsia="Times New Roman"/>
                <w:color w:val="000000"/>
                <w:sz w:val="18"/>
                <w:szCs w:val="18"/>
              </w:rPr>
              <w:t>10,151 </w:t>
            </w:r>
          </w:p>
        </w:tc>
        <w:tc>
          <w:tcPr>
            <w:tcW w:w="0" w:type="auto"/>
            <w:gridSpan w:val="3"/>
            <w:tcBorders>
              <w:top w:val="single" w:sz="8" w:space="0" w:color="000000"/>
            </w:tcBorders>
            <w:shd w:val="clear" w:color="auto" w:fill="CCEEFF"/>
            <w:tcMar>
              <w:top w:w="30" w:type="dxa"/>
              <w:left w:w="0" w:type="dxa"/>
              <w:bottom w:w="30" w:type="dxa"/>
              <w:right w:w="20" w:type="dxa"/>
            </w:tcMar>
            <w:vAlign w:val="bottom"/>
            <w:hideMark/>
          </w:tcPr>
          <w:p w14:paraId="493593D8"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277596EB" w14:textId="77777777" w:rsidR="00000000" w:rsidRDefault="00405D16">
            <w:pPr>
              <w:spacing w:after="100"/>
              <w:jc w:val="right"/>
              <w:rPr>
                <w:rFonts w:eastAsia="Times New Roman"/>
                <w:sz w:val="20"/>
                <w:szCs w:val="20"/>
              </w:rPr>
            </w:pPr>
          </w:p>
        </w:tc>
        <w:tc>
          <w:tcPr>
            <w:tcW w:w="0" w:type="auto"/>
            <w:gridSpan w:val="8"/>
            <w:tcBorders>
              <w:top w:val="single" w:sz="8" w:space="0" w:color="000000"/>
            </w:tcBorders>
            <w:shd w:val="clear" w:color="auto" w:fill="CCEEFF"/>
            <w:tcMar>
              <w:top w:w="30" w:type="dxa"/>
              <w:left w:w="20" w:type="dxa"/>
              <w:bottom w:w="30" w:type="dxa"/>
              <w:right w:w="0" w:type="dxa"/>
            </w:tcMar>
            <w:vAlign w:val="bottom"/>
            <w:hideMark/>
          </w:tcPr>
          <w:p w14:paraId="652B79DB" w14:textId="77777777" w:rsidR="00000000" w:rsidRDefault="00405D16">
            <w:pPr>
              <w:spacing w:after="100"/>
              <w:jc w:val="right"/>
              <w:rPr>
                <w:rFonts w:eastAsia="Times New Roman"/>
              </w:rPr>
            </w:pPr>
            <w:r>
              <w:rPr>
                <w:rFonts w:eastAsia="Times New Roman"/>
                <w:color w:val="000000"/>
                <w:sz w:val="18"/>
                <w:szCs w:val="18"/>
              </w:rPr>
              <w:t>8,792 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EEA125" w14:textId="77777777" w:rsidR="00000000" w:rsidRDefault="00405D16">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10A8F970" w14:textId="77777777" w:rsidR="00000000" w:rsidRDefault="00405D16">
            <w:pPr>
              <w:spacing w:after="100"/>
              <w:jc w:val="right"/>
              <w:rPr>
                <w:rFonts w:eastAsia="Times New Roman"/>
                <w:sz w:val="20"/>
                <w:szCs w:val="20"/>
              </w:rPr>
            </w:pPr>
          </w:p>
        </w:tc>
        <w:tc>
          <w:tcPr>
            <w:tcW w:w="0" w:type="auto"/>
            <w:gridSpan w:val="8"/>
            <w:tcBorders>
              <w:top w:val="single" w:sz="8" w:space="0" w:color="000000"/>
            </w:tcBorders>
            <w:shd w:val="clear" w:color="auto" w:fill="CCEEFF"/>
            <w:tcMar>
              <w:top w:w="30" w:type="dxa"/>
              <w:left w:w="20" w:type="dxa"/>
              <w:bottom w:w="30" w:type="dxa"/>
              <w:right w:w="0" w:type="dxa"/>
            </w:tcMar>
            <w:vAlign w:val="bottom"/>
            <w:hideMark/>
          </w:tcPr>
          <w:p w14:paraId="3D75EDDE" w14:textId="77777777" w:rsidR="00000000" w:rsidRDefault="00405D16">
            <w:pPr>
              <w:spacing w:after="100"/>
              <w:jc w:val="right"/>
              <w:rPr>
                <w:rFonts w:eastAsia="Times New Roman"/>
              </w:rPr>
            </w:pPr>
            <w:r>
              <w:rPr>
                <w:rFonts w:eastAsia="Times New Roman"/>
                <w:color w:val="000000"/>
                <w:sz w:val="18"/>
                <w:szCs w:val="18"/>
              </w:rPr>
              <w:t>4,589 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332F9E" w14:textId="77777777" w:rsidR="00000000" w:rsidRDefault="00405D16">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76B6B5A9" w14:textId="77777777" w:rsidR="00000000" w:rsidRDefault="00405D16">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0" w:type="dxa"/>
            </w:tcMar>
            <w:vAlign w:val="bottom"/>
            <w:hideMark/>
          </w:tcPr>
          <w:p w14:paraId="5A63F893" w14:textId="77777777" w:rsidR="00000000" w:rsidRDefault="00405D16">
            <w:pPr>
              <w:spacing w:after="100"/>
              <w:jc w:val="right"/>
              <w:rPr>
                <w:rFonts w:eastAsia="Times New Roman"/>
              </w:rPr>
            </w:pPr>
            <w:r>
              <w:rPr>
                <w:rFonts w:eastAsia="Times New Roman"/>
                <w:color w:val="000000"/>
                <w:sz w:val="18"/>
                <w:szCs w:val="18"/>
              </w:rPr>
              <w:t>3,020 </w:t>
            </w:r>
          </w:p>
        </w:tc>
        <w:tc>
          <w:tcPr>
            <w:tcW w:w="0" w:type="auto"/>
            <w:gridSpan w:val="4"/>
            <w:tcBorders>
              <w:top w:val="single" w:sz="8" w:space="0" w:color="000000"/>
            </w:tcBorders>
            <w:shd w:val="clear" w:color="auto" w:fill="CCEEFF"/>
            <w:tcMar>
              <w:top w:w="30" w:type="dxa"/>
              <w:left w:w="0" w:type="dxa"/>
              <w:bottom w:w="30" w:type="dxa"/>
              <w:right w:w="20" w:type="dxa"/>
            </w:tcMar>
            <w:vAlign w:val="bottom"/>
            <w:hideMark/>
          </w:tcPr>
          <w:p w14:paraId="4843F3B2" w14:textId="77777777" w:rsidR="00000000" w:rsidRDefault="00405D16">
            <w:pPr>
              <w:spacing w:after="100"/>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14:paraId="71E8DAC3" w14:textId="77777777" w:rsidR="00000000" w:rsidRDefault="00405D16">
            <w:pPr>
              <w:spacing w:after="100"/>
              <w:jc w:val="right"/>
              <w:rPr>
                <w:rFonts w:eastAsia="Times New Roman"/>
                <w:sz w:val="20"/>
                <w:szCs w:val="20"/>
              </w:rPr>
            </w:pPr>
          </w:p>
        </w:tc>
        <w:tc>
          <w:tcPr>
            <w:tcW w:w="0" w:type="auto"/>
            <w:gridSpan w:val="8"/>
            <w:tcBorders>
              <w:top w:val="single" w:sz="8" w:space="0" w:color="000000"/>
            </w:tcBorders>
            <w:shd w:val="clear" w:color="auto" w:fill="CCEEFF"/>
            <w:tcMar>
              <w:top w:w="30" w:type="dxa"/>
              <w:left w:w="20" w:type="dxa"/>
              <w:bottom w:w="30" w:type="dxa"/>
              <w:right w:w="0" w:type="dxa"/>
            </w:tcMar>
            <w:vAlign w:val="bottom"/>
            <w:hideMark/>
          </w:tcPr>
          <w:p w14:paraId="0D1D68A6" w14:textId="77777777" w:rsidR="00000000" w:rsidRDefault="00405D16">
            <w:pPr>
              <w:spacing w:after="100"/>
              <w:jc w:val="right"/>
              <w:rPr>
                <w:rFonts w:eastAsia="Times New Roman"/>
              </w:rPr>
            </w:pPr>
            <w:r>
              <w:rPr>
                <w:rFonts w:eastAsia="Times New Roman"/>
                <w:color w:val="000000"/>
                <w:sz w:val="18"/>
                <w:szCs w:val="18"/>
              </w:rPr>
              <w:t>1,947 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445AE2" w14:textId="77777777" w:rsidR="00000000" w:rsidRDefault="00405D16">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14:paraId="255F5AE2" w14:textId="77777777" w:rsidR="00000000" w:rsidRDefault="00405D16">
            <w:pPr>
              <w:spacing w:after="100"/>
              <w:jc w:val="right"/>
              <w:rPr>
                <w:rFonts w:eastAsia="Times New Roman"/>
                <w:sz w:val="20"/>
                <w:szCs w:val="20"/>
              </w:rPr>
            </w:pPr>
          </w:p>
        </w:tc>
        <w:tc>
          <w:tcPr>
            <w:tcW w:w="0" w:type="auto"/>
            <w:gridSpan w:val="6"/>
            <w:tcBorders>
              <w:top w:val="single" w:sz="8" w:space="0" w:color="000000"/>
            </w:tcBorders>
            <w:shd w:val="clear" w:color="auto" w:fill="CCEEFF"/>
            <w:tcMar>
              <w:top w:w="30" w:type="dxa"/>
              <w:left w:w="20" w:type="dxa"/>
              <w:bottom w:w="30" w:type="dxa"/>
              <w:right w:w="0" w:type="dxa"/>
            </w:tcMar>
            <w:vAlign w:val="bottom"/>
            <w:hideMark/>
          </w:tcPr>
          <w:p w14:paraId="562E4E37" w14:textId="77777777" w:rsidR="00000000" w:rsidRDefault="00405D16">
            <w:pPr>
              <w:spacing w:after="100"/>
              <w:jc w:val="right"/>
              <w:rPr>
                <w:rFonts w:eastAsia="Times New Roman"/>
              </w:rPr>
            </w:pPr>
            <w:r>
              <w:rPr>
                <w:rFonts w:eastAsia="Times New Roman"/>
                <w:color w:val="000000"/>
                <w:sz w:val="18"/>
                <w:szCs w:val="18"/>
              </w:rPr>
              <w:t>3,249 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7B8413" w14:textId="77777777" w:rsidR="00000000" w:rsidRDefault="00405D16">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14:paraId="22869C8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130AA49" w14:textId="77777777" w:rsidR="00000000" w:rsidRDefault="00405D16">
            <w:pPr>
              <w:spacing w:after="100"/>
              <w:jc w:val="right"/>
              <w:rPr>
                <w:rFonts w:eastAsia="Times New Roman"/>
              </w:rPr>
            </w:pPr>
            <w:r>
              <w:rPr>
                <w:rFonts w:eastAsia="Times New Roman"/>
                <w:color w:val="000000"/>
                <w:sz w:val="18"/>
                <w:szCs w:val="18"/>
              </w:rPr>
              <w:t>31,748 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017CE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2251BC"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EA677A1" w14:textId="77777777" w:rsidR="00000000" w:rsidRDefault="00405D16">
            <w:pPr>
              <w:spacing w:after="100"/>
              <w:jc w:val="right"/>
              <w:rPr>
                <w:rFonts w:eastAsia="Times New Roman"/>
              </w:rPr>
            </w:pPr>
            <w:r>
              <w:rPr>
                <w:rFonts w:eastAsia="Times New Roman"/>
                <w:color w:val="000000"/>
                <w:sz w:val="18"/>
                <w:szCs w:val="18"/>
              </w:rPr>
              <w:t>13,229 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484FA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239BF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9225F31" w14:textId="77777777" w:rsidR="00000000" w:rsidRDefault="00405D16">
            <w:pPr>
              <w:spacing w:after="100"/>
              <w:jc w:val="right"/>
              <w:rPr>
                <w:rFonts w:eastAsia="Times New Roman"/>
              </w:rPr>
            </w:pPr>
            <w:r>
              <w:rPr>
                <w:rFonts w:eastAsia="Times New Roman"/>
                <w:color w:val="000000"/>
                <w:sz w:val="18"/>
                <w:szCs w:val="18"/>
              </w:rPr>
              <w:t>122 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AAB13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5C8F3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2EE6EAB" w14:textId="77777777" w:rsidR="00000000" w:rsidRDefault="00405D16">
            <w:pPr>
              <w:spacing w:after="100"/>
              <w:jc w:val="right"/>
              <w:rPr>
                <w:rFonts w:eastAsia="Times New Roman"/>
              </w:rPr>
            </w:pPr>
            <w:r>
              <w:rPr>
                <w:rFonts w:eastAsia="Times New Roman"/>
                <w:color w:val="000000"/>
                <w:sz w:val="18"/>
                <w:szCs w:val="18"/>
              </w:rPr>
              <w:t>45,099 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18798C" w14:textId="77777777" w:rsidR="00000000" w:rsidRDefault="00405D16">
            <w:pPr>
              <w:spacing w:after="100"/>
              <w:jc w:val="right"/>
              <w:rPr>
                <w:rFonts w:eastAsia="Times New Roman"/>
              </w:rPr>
            </w:pPr>
          </w:p>
        </w:tc>
      </w:tr>
      <w:tr w:rsidR="00405D16" w14:paraId="2AEFA671" w14:textId="77777777">
        <w:tc>
          <w:tcPr>
            <w:tcW w:w="0" w:type="auto"/>
            <w:gridSpan w:val="10"/>
            <w:shd w:val="clear" w:color="auto" w:fill="FFFFFF"/>
            <w:tcMar>
              <w:top w:w="30" w:type="dxa"/>
              <w:left w:w="20" w:type="dxa"/>
              <w:bottom w:w="30" w:type="dxa"/>
              <w:right w:w="20" w:type="dxa"/>
            </w:tcMar>
            <w:vAlign w:val="center"/>
            <w:hideMark/>
          </w:tcPr>
          <w:p w14:paraId="5D6C052D" w14:textId="77777777" w:rsidR="00000000" w:rsidRDefault="00405D16">
            <w:pPr>
              <w:spacing w:after="100"/>
              <w:divId w:val="1584876276"/>
              <w:rPr>
                <w:rFonts w:eastAsia="Times New Roman"/>
              </w:rPr>
            </w:pPr>
            <w:r>
              <w:rPr>
                <w:rFonts w:eastAsia="Times New Roman"/>
                <w:color w:val="000000"/>
                <w:sz w:val="18"/>
                <w:szCs w:val="18"/>
              </w:rPr>
              <w:t>Total commercial bankin</w:t>
            </w:r>
            <w:r>
              <w:rPr>
                <w:rFonts w:eastAsia="Times New Roman"/>
                <w:color w:val="000000"/>
                <w:sz w:val="18"/>
                <w:szCs w:val="18"/>
              </w:rPr>
              <w:t>g</w:t>
            </w:r>
            <w:r>
              <w:rPr>
                <w:rFonts w:eastAsia="Times New Roman"/>
                <w:b/>
                <w:bCs/>
                <w:color w:val="000000"/>
                <w:sz w:val="12"/>
                <w:szCs w:val="12"/>
              </w:rPr>
              <w:t>(2</w:t>
            </w:r>
            <w:r>
              <w:rPr>
                <w:rFonts w:eastAsia="Times New Roman"/>
                <w:b/>
                <w:bCs/>
                <w:color w:val="000000"/>
                <w:sz w:val="12"/>
                <w:szCs w:val="12"/>
              </w:rPr>
              <w:t>)</w:t>
            </w:r>
          </w:p>
        </w:tc>
        <w:tc>
          <w:tcPr>
            <w:tcW w:w="0" w:type="auto"/>
            <w:gridSpan w:val="8"/>
            <w:shd w:val="clear" w:color="auto" w:fill="FFFFFF"/>
            <w:tcMar>
              <w:top w:w="0" w:type="dxa"/>
              <w:left w:w="20" w:type="dxa"/>
              <w:bottom w:w="0" w:type="dxa"/>
              <w:right w:w="20" w:type="dxa"/>
            </w:tcMar>
            <w:vAlign w:val="center"/>
            <w:hideMark/>
          </w:tcPr>
          <w:p w14:paraId="140F752E" w14:textId="77777777" w:rsidR="00000000" w:rsidRDefault="00405D16">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00F136B" w14:textId="77777777" w:rsidR="00000000" w:rsidRDefault="00405D16">
            <w:pPr>
              <w:spacing w:after="100"/>
              <w:rPr>
                <w:rFonts w:eastAsia="Times New Roman"/>
              </w:rPr>
            </w:pPr>
            <w:r>
              <w:rPr>
                <w:rFonts w:eastAsia="Times New Roman"/>
                <w:color w:val="000000"/>
                <w:sz w:val="18"/>
                <w:szCs w:val="18"/>
              </w:rPr>
              <w:t>$</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D68C211" w14:textId="77777777" w:rsidR="00000000" w:rsidRDefault="00405D16">
            <w:pPr>
              <w:spacing w:after="100"/>
              <w:jc w:val="right"/>
              <w:rPr>
                <w:rFonts w:eastAsia="Times New Roman"/>
              </w:rPr>
            </w:pPr>
            <w:r>
              <w:rPr>
                <w:rFonts w:eastAsia="Times New Roman"/>
                <w:color w:val="000000"/>
                <w:sz w:val="18"/>
                <w:szCs w:val="18"/>
              </w:rPr>
              <w:t>14,262 </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6E9E9FB"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16C219ED" w14:textId="77777777" w:rsidR="00000000" w:rsidRDefault="00405D1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F696779" w14:textId="77777777" w:rsidR="00000000" w:rsidRDefault="00405D16">
            <w:pPr>
              <w:spacing w:after="100"/>
              <w:rPr>
                <w:rFonts w:eastAsia="Times New Roman"/>
              </w:rPr>
            </w:pPr>
            <w:r>
              <w:rPr>
                <w:rFonts w:eastAsia="Times New Roman"/>
                <w:color w:val="000000"/>
                <w:sz w:val="18"/>
                <w:szCs w:val="18"/>
              </w:rPr>
              <w:t>$</w:t>
            </w:r>
          </w:p>
        </w:tc>
        <w:tc>
          <w:tcPr>
            <w:tcW w:w="0" w:type="auto"/>
            <w:gridSpan w:val="6"/>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9B366A5" w14:textId="77777777" w:rsidR="00000000" w:rsidRDefault="00405D16">
            <w:pPr>
              <w:spacing w:after="100"/>
              <w:jc w:val="right"/>
              <w:rPr>
                <w:rFonts w:eastAsia="Times New Roman"/>
              </w:rPr>
            </w:pPr>
            <w:r>
              <w:rPr>
                <w:rFonts w:eastAsia="Times New Roman"/>
                <w:color w:val="000000"/>
                <w:sz w:val="18"/>
                <w:szCs w:val="18"/>
              </w:rPr>
              <w:t>14,181 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275B20A" w14:textId="77777777" w:rsidR="00000000" w:rsidRDefault="00405D16">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283C0B44"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288FD42" w14:textId="77777777" w:rsidR="00000000" w:rsidRDefault="00405D16">
            <w:pPr>
              <w:spacing w:after="100"/>
              <w:rPr>
                <w:rFonts w:eastAsia="Times New Roman"/>
              </w:rPr>
            </w:pPr>
            <w:r>
              <w:rPr>
                <w:rFonts w:eastAsia="Times New Roman"/>
                <w:color w:val="000000"/>
                <w:sz w:val="18"/>
                <w:szCs w:val="18"/>
              </w:rPr>
              <w:t>$</w:t>
            </w:r>
          </w:p>
        </w:tc>
        <w:tc>
          <w:tcPr>
            <w:tcW w:w="0" w:type="auto"/>
            <w:gridSpan w:val="7"/>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C688060" w14:textId="77777777" w:rsidR="00000000" w:rsidRDefault="00405D16">
            <w:pPr>
              <w:spacing w:after="100"/>
              <w:jc w:val="right"/>
              <w:rPr>
                <w:rFonts w:eastAsia="Times New Roman"/>
              </w:rPr>
            </w:pPr>
            <w:r>
              <w:rPr>
                <w:rFonts w:eastAsia="Times New Roman"/>
                <w:color w:val="000000"/>
                <w:sz w:val="18"/>
                <w:szCs w:val="18"/>
              </w:rPr>
              <w:t>8,366 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011D3F1" w14:textId="77777777" w:rsidR="00000000" w:rsidRDefault="00405D16">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56FCA223" w14:textId="77777777" w:rsidR="00000000" w:rsidRDefault="00405D1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4E4ED89"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D796BEC" w14:textId="77777777" w:rsidR="00000000" w:rsidRDefault="00405D16">
            <w:pPr>
              <w:spacing w:after="100"/>
              <w:jc w:val="right"/>
              <w:rPr>
                <w:rFonts w:eastAsia="Times New Roman"/>
              </w:rPr>
            </w:pPr>
            <w:r>
              <w:rPr>
                <w:rFonts w:eastAsia="Times New Roman"/>
                <w:color w:val="000000"/>
                <w:sz w:val="18"/>
                <w:szCs w:val="18"/>
              </w:rPr>
              <w:t>4,818 </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62E1DB1" w14:textId="77777777" w:rsidR="00000000" w:rsidRDefault="00405D16">
            <w:pPr>
              <w:spacing w:after="100"/>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14:paraId="7235EAC9"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97D18E8" w14:textId="77777777" w:rsidR="00000000" w:rsidRDefault="00405D16">
            <w:pPr>
              <w:spacing w:after="100"/>
              <w:rPr>
                <w:rFonts w:eastAsia="Times New Roman"/>
              </w:rPr>
            </w:pPr>
            <w:r>
              <w:rPr>
                <w:rFonts w:eastAsia="Times New Roman"/>
                <w:color w:val="000000"/>
                <w:sz w:val="18"/>
                <w:szCs w:val="18"/>
              </w:rPr>
              <w:t>$</w:t>
            </w:r>
          </w:p>
        </w:tc>
        <w:tc>
          <w:tcPr>
            <w:tcW w:w="0" w:type="auto"/>
            <w:gridSpan w:val="7"/>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F3147BB" w14:textId="77777777" w:rsidR="00000000" w:rsidRDefault="00405D16">
            <w:pPr>
              <w:spacing w:after="100"/>
              <w:jc w:val="right"/>
              <w:rPr>
                <w:rFonts w:eastAsia="Times New Roman"/>
              </w:rPr>
            </w:pPr>
            <w:r>
              <w:rPr>
                <w:rFonts w:eastAsia="Times New Roman"/>
                <w:color w:val="000000"/>
                <w:sz w:val="18"/>
                <w:szCs w:val="18"/>
              </w:rPr>
              <w:t>3,990 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099CDC3" w14:textId="77777777" w:rsidR="00000000" w:rsidRDefault="00405D16">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14:paraId="3777A35B" w14:textId="77777777" w:rsidR="00000000" w:rsidRDefault="00405D16">
            <w:pPr>
              <w:spacing w:after="100"/>
              <w:jc w:val="right"/>
              <w:rPr>
                <w:rFonts w:eastAsia="Times New Roman"/>
                <w:sz w:val="20"/>
                <w:szCs w:val="20"/>
              </w:rPr>
            </w:pPr>
          </w:p>
        </w:tc>
        <w:tc>
          <w:tcPr>
            <w:tcW w:w="0" w:type="auto"/>
            <w:gridSpan w:val="4"/>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3C2BB05" w14:textId="77777777" w:rsidR="00000000" w:rsidRDefault="00405D16">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08D63F0" w14:textId="77777777" w:rsidR="00000000" w:rsidRDefault="00405D16">
            <w:pPr>
              <w:spacing w:after="100"/>
              <w:jc w:val="right"/>
              <w:rPr>
                <w:rFonts w:eastAsia="Times New Roman"/>
              </w:rPr>
            </w:pPr>
            <w:r>
              <w:rPr>
                <w:rFonts w:eastAsia="Times New Roman"/>
                <w:color w:val="000000"/>
                <w:sz w:val="18"/>
                <w:szCs w:val="18"/>
              </w:rPr>
              <w:t>9,561 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B3FE613" w14:textId="77777777" w:rsidR="00000000" w:rsidRDefault="00405D16">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14:paraId="4D6A325B"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E1AA386"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F003D0B" w14:textId="77777777" w:rsidR="00000000" w:rsidRDefault="00405D16">
            <w:pPr>
              <w:spacing w:after="100"/>
              <w:jc w:val="right"/>
              <w:rPr>
                <w:rFonts w:eastAsia="Times New Roman"/>
              </w:rPr>
            </w:pPr>
            <w:r>
              <w:rPr>
                <w:rFonts w:eastAsia="Times New Roman"/>
                <w:color w:val="000000"/>
                <w:sz w:val="18"/>
                <w:szCs w:val="18"/>
              </w:rPr>
              <w:t>55,178 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732C87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40F4D6"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0FDA8C1"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E3FED59" w14:textId="77777777" w:rsidR="00000000" w:rsidRDefault="00405D16">
            <w:pPr>
              <w:spacing w:after="100"/>
              <w:jc w:val="right"/>
              <w:rPr>
                <w:rFonts w:eastAsia="Times New Roman"/>
              </w:rPr>
            </w:pPr>
            <w:r>
              <w:rPr>
                <w:rFonts w:eastAsia="Times New Roman"/>
                <w:color w:val="000000"/>
                <w:sz w:val="18"/>
                <w:szCs w:val="18"/>
              </w:rPr>
              <w:t>20,455 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581454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4B7561"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8E2FA1C"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6A1BEEB" w14:textId="77777777" w:rsidR="00000000" w:rsidRDefault="00405D16">
            <w:pPr>
              <w:spacing w:after="100"/>
              <w:jc w:val="right"/>
              <w:rPr>
                <w:rFonts w:eastAsia="Times New Roman"/>
              </w:rPr>
            </w:pPr>
            <w:r>
              <w:rPr>
                <w:rFonts w:eastAsia="Times New Roman"/>
                <w:color w:val="000000"/>
                <w:sz w:val="18"/>
                <w:szCs w:val="18"/>
              </w:rPr>
              <w:t>147 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626006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EB6B9B"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48BE582"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5F0A204" w14:textId="77777777" w:rsidR="00000000" w:rsidRDefault="00405D16">
            <w:pPr>
              <w:spacing w:after="100"/>
              <w:jc w:val="right"/>
              <w:rPr>
                <w:rFonts w:eastAsia="Times New Roman"/>
              </w:rPr>
            </w:pPr>
            <w:r>
              <w:rPr>
                <w:rFonts w:eastAsia="Times New Roman"/>
                <w:color w:val="000000"/>
                <w:sz w:val="18"/>
                <w:szCs w:val="18"/>
              </w:rPr>
              <w:t>75,780 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B843B9C" w14:textId="77777777" w:rsidR="00000000" w:rsidRDefault="00405D16">
            <w:pPr>
              <w:spacing w:after="100"/>
              <w:jc w:val="right"/>
              <w:rPr>
                <w:rFonts w:eastAsia="Times New Roman"/>
              </w:rPr>
            </w:pPr>
          </w:p>
        </w:tc>
      </w:tr>
    </w:tbl>
    <w:p w14:paraId="46D0FD90" w14:textId="77777777" w:rsidR="00000000" w:rsidRDefault="00405D16">
      <w:pPr>
        <w:jc w:val="both"/>
        <w:rPr>
          <w:rFonts w:eastAsia="Times New Roman"/>
        </w:rPr>
      </w:pPr>
      <w:r>
        <w:rPr>
          <w:rFonts w:eastAsia="Times New Roman"/>
          <w:color w:val="000000"/>
          <w:sz w:val="20"/>
          <w:szCs w:val="20"/>
        </w:rPr>
        <w:t>__________</w:t>
      </w:r>
    </w:p>
    <w:p w14:paraId="5A9C6636" w14:textId="77777777" w:rsidR="00000000" w:rsidRDefault="00405D16">
      <w:pPr>
        <w:ind w:hanging="360"/>
        <w:jc w:val="both"/>
        <w:divId w:val="131459787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Criticized exposures correspond to the “Special Mention,” “Substandard” and “Doubtful” asset categories defined by bank regulatory authorities.</w:t>
      </w:r>
    </w:p>
    <w:p w14:paraId="3D0A0AD9" w14:textId="77777777" w:rsidR="00000000" w:rsidRDefault="00405D16">
      <w:pPr>
        <w:ind w:hanging="360"/>
        <w:jc w:val="both"/>
        <w:divId w:val="181371387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PPP loans of $182 million and $238 mil</w:t>
      </w:r>
      <w:r>
        <w:rPr>
          <w:rFonts w:eastAsia="Times New Roman"/>
          <w:color w:val="000000"/>
          <w:sz w:val="16"/>
          <w:szCs w:val="16"/>
        </w:rPr>
        <w:t>lion as of September 30, 2021 and December 31, 2020, respectively.</w:t>
      </w:r>
    </w:p>
    <w:p w14:paraId="454EE985" w14:textId="77777777" w:rsidR="00000000" w:rsidRDefault="00405D16">
      <w:pPr>
        <w:jc w:val="both"/>
        <w:divId w:val="2044818156"/>
        <w:rPr>
          <w:rFonts w:eastAsia="Times New Roman"/>
        </w:rPr>
      </w:pPr>
    </w:p>
    <w:p w14:paraId="7F61601D" w14:textId="77777777" w:rsidR="00000000" w:rsidRDefault="00405D16">
      <w:pPr>
        <w:jc w:val="both"/>
        <w:divId w:val="1609192097"/>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5C5BD973" w14:textId="77777777">
        <w:trPr>
          <w:divId w:val="1403144206"/>
          <w:jc w:val="center"/>
        </w:trPr>
        <w:tc>
          <w:tcPr>
            <w:tcW w:w="50" w:type="pct"/>
            <w:vAlign w:val="center"/>
            <w:hideMark/>
          </w:tcPr>
          <w:p w14:paraId="55B13FB4" w14:textId="77777777" w:rsidR="00000000" w:rsidRDefault="00405D16">
            <w:pPr>
              <w:jc w:val="both"/>
              <w:rPr>
                <w:rFonts w:eastAsia="Times New Roman"/>
              </w:rPr>
            </w:pPr>
          </w:p>
        </w:tc>
        <w:tc>
          <w:tcPr>
            <w:tcW w:w="1606" w:type="pct"/>
            <w:vAlign w:val="center"/>
            <w:hideMark/>
          </w:tcPr>
          <w:p w14:paraId="0BE5D04F" w14:textId="77777777" w:rsidR="00000000" w:rsidRDefault="00405D16">
            <w:pPr>
              <w:spacing w:after="100"/>
              <w:rPr>
                <w:rFonts w:eastAsia="Times New Roman"/>
                <w:sz w:val="20"/>
                <w:szCs w:val="20"/>
              </w:rPr>
            </w:pPr>
          </w:p>
        </w:tc>
        <w:tc>
          <w:tcPr>
            <w:tcW w:w="5" w:type="pct"/>
            <w:vAlign w:val="center"/>
            <w:hideMark/>
          </w:tcPr>
          <w:p w14:paraId="0A751A1B" w14:textId="77777777" w:rsidR="00000000" w:rsidRDefault="00405D16">
            <w:pPr>
              <w:spacing w:after="100"/>
              <w:rPr>
                <w:rFonts w:eastAsia="Times New Roman"/>
                <w:sz w:val="20"/>
                <w:szCs w:val="20"/>
              </w:rPr>
            </w:pPr>
          </w:p>
        </w:tc>
        <w:tc>
          <w:tcPr>
            <w:tcW w:w="50" w:type="pct"/>
            <w:vAlign w:val="center"/>
            <w:hideMark/>
          </w:tcPr>
          <w:p w14:paraId="49772226" w14:textId="77777777" w:rsidR="00000000" w:rsidRDefault="00405D16">
            <w:pPr>
              <w:spacing w:after="100"/>
              <w:rPr>
                <w:rFonts w:eastAsia="Times New Roman"/>
                <w:sz w:val="20"/>
                <w:szCs w:val="20"/>
              </w:rPr>
            </w:pPr>
          </w:p>
        </w:tc>
        <w:tc>
          <w:tcPr>
            <w:tcW w:w="1614" w:type="pct"/>
            <w:vAlign w:val="center"/>
            <w:hideMark/>
          </w:tcPr>
          <w:p w14:paraId="7A65E950" w14:textId="77777777" w:rsidR="00000000" w:rsidRDefault="00405D16">
            <w:pPr>
              <w:spacing w:after="100"/>
              <w:rPr>
                <w:rFonts w:eastAsia="Times New Roman"/>
                <w:sz w:val="20"/>
                <w:szCs w:val="20"/>
              </w:rPr>
            </w:pPr>
          </w:p>
        </w:tc>
        <w:tc>
          <w:tcPr>
            <w:tcW w:w="5" w:type="pct"/>
            <w:vAlign w:val="center"/>
            <w:hideMark/>
          </w:tcPr>
          <w:p w14:paraId="32B49647" w14:textId="77777777" w:rsidR="00000000" w:rsidRDefault="00405D16">
            <w:pPr>
              <w:spacing w:after="100"/>
              <w:rPr>
                <w:rFonts w:eastAsia="Times New Roman"/>
                <w:sz w:val="20"/>
                <w:szCs w:val="20"/>
              </w:rPr>
            </w:pPr>
          </w:p>
        </w:tc>
        <w:tc>
          <w:tcPr>
            <w:tcW w:w="50" w:type="pct"/>
            <w:vAlign w:val="center"/>
            <w:hideMark/>
          </w:tcPr>
          <w:p w14:paraId="54F5F124" w14:textId="77777777" w:rsidR="00000000" w:rsidRDefault="00405D16">
            <w:pPr>
              <w:spacing w:after="100"/>
              <w:rPr>
                <w:rFonts w:eastAsia="Times New Roman"/>
                <w:sz w:val="20"/>
                <w:szCs w:val="20"/>
              </w:rPr>
            </w:pPr>
          </w:p>
        </w:tc>
        <w:tc>
          <w:tcPr>
            <w:tcW w:w="1614" w:type="pct"/>
            <w:vAlign w:val="center"/>
            <w:hideMark/>
          </w:tcPr>
          <w:p w14:paraId="7A30D9A0" w14:textId="77777777" w:rsidR="00000000" w:rsidRDefault="00405D16">
            <w:pPr>
              <w:spacing w:after="100"/>
              <w:rPr>
                <w:rFonts w:eastAsia="Times New Roman"/>
                <w:sz w:val="20"/>
                <w:szCs w:val="20"/>
              </w:rPr>
            </w:pPr>
          </w:p>
        </w:tc>
        <w:tc>
          <w:tcPr>
            <w:tcW w:w="5" w:type="pct"/>
            <w:vAlign w:val="center"/>
            <w:hideMark/>
          </w:tcPr>
          <w:p w14:paraId="3F19D060" w14:textId="77777777" w:rsidR="00000000" w:rsidRDefault="00405D16">
            <w:pPr>
              <w:spacing w:after="100"/>
              <w:rPr>
                <w:rFonts w:eastAsia="Times New Roman"/>
                <w:sz w:val="20"/>
                <w:szCs w:val="20"/>
              </w:rPr>
            </w:pPr>
          </w:p>
        </w:tc>
      </w:tr>
      <w:tr w:rsidR="00000000" w14:paraId="2A56B4F9" w14:textId="77777777">
        <w:trPr>
          <w:divId w:val="1403144206"/>
          <w:trHeight w:val="300"/>
          <w:jc w:val="center"/>
        </w:trPr>
        <w:tc>
          <w:tcPr>
            <w:tcW w:w="0" w:type="auto"/>
            <w:gridSpan w:val="9"/>
            <w:tcMar>
              <w:top w:w="0" w:type="dxa"/>
              <w:left w:w="20" w:type="dxa"/>
              <w:bottom w:w="0" w:type="dxa"/>
              <w:right w:w="20" w:type="dxa"/>
            </w:tcMar>
            <w:vAlign w:val="center"/>
            <w:hideMark/>
          </w:tcPr>
          <w:p w14:paraId="4AB2042B" w14:textId="77777777" w:rsidR="00000000" w:rsidRDefault="00405D16">
            <w:pPr>
              <w:spacing w:after="100"/>
              <w:rPr>
                <w:rFonts w:eastAsia="Times New Roman"/>
                <w:sz w:val="20"/>
                <w:szCs w:val="20"/>
              </w:rPr>
            </w:pPr>
          </w:p>
        </w:tc>
      </w:tr>
      <w:tr w:rsidR="00000000" w14:paraId="31F95060" w14:textId="77777777">
        <w:trPr>
          <w:divId w:val="1403144206"/>
          <w:jc w:val="center"/>
        </w:trPr>
        <w:tc>
          <w:tcPr>
            <w:tcW w:w="0" w:type="auto"/>
            <w:gridSpan w:val="3"/>
            <w:tcMar>
              <w:top w:w="0" w:type="dxa"/>
              <w:left w:w="20" w:type="dxa"/>
              <w:bottom w:w="0" w:type="dxa"/>
              <w:right w:w="20" w:type="dxa"/>
            </w:tcMar>
            <w:vAlign w:val="center"/>
            <w:hideMark/>
          </w:tcPr>
          <w:p w14:paraId="5B6975A5"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7D315D4" w14:textId="77777777" w:rsidR="00000000" w:rsidRDefault="00405D16">
            <w:pPr>
              <w:spacing w:after="100"/>
              <w:jc w:val="center"/>
              <w:rPr>
                <w:rFonts w:eastAsia="Times New Roman"/>
              </w:rPr>
            </w:pPr>
            <w:r>
              <w:rPr>
                <w:rFonts w:eastAsia="Times New Roman"/>
                <w:color w:val="000000"/>
                <w:sz w:val="16"/>
                <w:szCs w:val="16"/>
              </w:rPr>
              <w:t>87</w:t>
            </w:r>
          </w:p>
        </w:tc>
        <w:tc>
          <w:tcPr>
            <w:tcW w:w="0" w:type="auto"/>
            <w:gridSpan w:val="3"/>
            <w:tcMar>
              <w:top w:w="30" w:type="dxa"/>
              <w:left w:w="20" w:type="dxa"/>
              <w:bottom w:w="30" w:type="dxa"/>
              <w:right w:w="20" w:type="dxa"/>
            </w:tcMar>
            <w:vAlign w:val="bottom"/>
            <w:hideMark/>
          </w:tcPr>
          <w:p w14:paraId="77F94C84"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448D466C" w14:textId="77777777" w:rsidR="00000000" w:rsidRDefault="00405D16">
      <w:pPr>
        <w:rPr>
          <w:rFonts w:eastAsia="Times New Roman"/>
        </w:rPr>
      </w:pPr>
      <w:r>
        <w:rPr>
          <w:rFonts w:eastAsia="Times New Roman"/>
        </w:rPr>
        <w:pict w14:anchorId="2ED0634A">
          <v:rect id="_x0000_i1112" style="width:0;height:1.5pt" o:hralign="center" o:hrstd="t" o:hr="t" fillcolor="#a0a0a0" stroked="f"/>
        </w:pict>
      </w:r>
    </w:p>
    <w:p w14:paraId="7AD36503" w14:textId="77777777" w:rsidR="00000000" w:rsidRDefault="00405D16">
      <w:pPr>
        <w:jc w:val="both"/>
        <w:divId w:val="1340766743"/>
        <w:rPr>
          <w:rFonts w:eastAsia="Times New Roman"/>
        </w:rPr>
      </w:pPr>
      <w:hyperlink w:anchor="idd54a04a485440b4ab4e56094c14d612_13" w:history="1">
        <w:r>
          <w:rPr>
            <w:rStyle w:val="a3"/>
            <w:rFonts w:eastAsia="Times New Roman"/>
            <w:sz w:val="16"/>
            <w:szCs w:val="16"/>
          </w:rPr>
          <w:t>Table of Contents</w:t>
        </w:r>
      </w:hyperlink>
    </w:p>
    <w:p w14:paraId="1AD724BF" w14:textId="77777777" w:rsidR="00000000" w:rsidRDefault="00405D16">
      <w:pPr>
        <w:jc w:val="center"/>
        <w:divId w:val="1340766743"/>
        <w:rPr>
          <w:rFonts w:eastAsia="Times New Roman"/>
        </w:rPr>
      </w:pPr>
    </w:p>
    <w:p w14:paraId="4AA96237" w14:textId="77777777" w:rsidR="00000000" w:rsidRDefault="00405D16">
      <w:pPr>
        <w:divId w:val="2141072072"/>
        <w:rPr>
          <w:rFonts w:eastAsia="Times New Roman"/>
        </w:rPr>
      </w:pPr>
      <w:r>
        <w:rPr>
          <w:rFonts w:eastAsia="Times New Roman"/>
          <w:b/>
          <w:bCs/>
          <w:color w:val="000000"/>
          <w:sz w:val="20"/>
          <w:szCs w:val="20"/>
        </w:rPr>
        <w:t>Troubled Debt Restructurings</w:t>
      </w:r>
    </w:p>
    <w:p w14:paraId="5F29C5F9" w14:textId="77777777" w:rsidR="00000000" w:rsidRDefault="00405D16">
      <w:pPr>
        <w:jc w:val="both"/>
        <w:rPr>
          <w:rFonts w:eastAsia="Times New Roman"/>
        </w:rPr>
      </w:pPr>
      <w:r>
        <w:rPr>
          <w:rFonts w:eastAsia="Times New Roman"/>
          <w:color w:val="000000"/>
          <w:sz w:val="20"/>
          <w:szCs w:val="20"/>
        </w:rPr>
        <w:t>Additional guidance issued by the Federal Banking Agencies and contained in the Coronavirus Aid, Relief, and Economic Security Act provides banking organizations with troubled debt restructurings (“TDRs”) relief for modifications of current borrowers impac</w:t>
      </w:r>
      <w:r>
        <w:rPr>
          <w:rFonts w:eastAsia="Times New Roman"/>
          <w:color w:val="000000"/>
          <w:sz w:val="20"/>
          <w:szCs w:val="20"/>
        </w:rPr>
        <w:t>ted by the COVID-19 pandemic. In adherence with the guidance, we assessed all loan modifications introduced to current borrowers in response to the COVID-19 pandemic through September 30, 2021, that would have been designated as TDRs under our existing pol</w:t>
      </w:r>
      <w:r>
        <w:rPr>
          <w:rFonts w:eastAsia="Times New Roman"/>
          <w:color w:val="000000"/>
          <w:sz w:val="20"/>
          <w:szCs w:val="20"/>
        </w:rPr>
        <w:t>icies, and followed guidance that any such eligible loan modifications made on a temporary and good faith basis are not considered TDRs. We consider the impact of all loan modifications, including those classified as TDRs and those offered in response to t</w:t>
      </w:r>
      <w:r>
        <w:rPr>
          <w:rFonts w:eastAsia="Times New Roman"/>
          <w:color w:val="000000"/>
          <w:sz w:val="20"/>
          <w:szCs w:val="20"/>
        </w:rPr>
        <w:t>he COVID-19 pandemic, when estimating the credit quality of our loan portfolio and establishing allowance levels. For our Commercial Banking customers, enrollment in a customer assistance program is also considered in the assignment of an internal risk rat</w:t>
      </w:r>
      <w:r>
        <w:rPr>
          <w:rFonts w:eastAsia="Times New Roman"/>
          <w:color w:val="000000"/>
          <w:sz w:val="20"/>
          <w:szCs w:val="20"/>
        </w:rPr>
        <w:t>ing.</w:t>
      </w:r>
    </w:p>
    <w:p w14:paraId="609CD42C" w14:textId="77777777" w:rsidR="00000000" w:rsidRDefault="00405D16">
      <w:pPr>
        <w:jc w:val="both"/>
        <w:divId w:val="1248929756"/>
        <w:rPr>
          <w:rFonts w:eastAsia="Times New Roman"/>
        </w:rPr>
      </w:pPr>
      <w:r>
        <w:rPr>
          <w:rFonts w:eastAsia="Times New Roman"/>
          <w:color w:val="000000"/>
          <w:sz w:val="20"/>
          <w:szCs w:val="20"/>
        </w:rPr>
        <w:t>Total recorded TDRs were $1.7 billion and $2.1 billion as of September 30, 2021 and December 31, 2020, respectively. TDRs classified as performing in our credit card and consumer banking loan portfolios totaled $1.1 billion and $1.3 billion as of Sept</w:t>
      </w:r>
      <w:r>
        <w:rPr>
          <w:rFonts w:eastAsia="Times New Roman"/>
          <w:color w:val="000000"/>
          <w:sz w:val="20"/>
          <w:szCs w:val="20"/>
        </w:rPr>
        <w:t>ember 30, 2021 and December 31, 2020, respectively. TDRs classified as performing in our commercial banking loan portfolio totaled $231 million and $442 million as of September 30, 2021 and December 31, 2020, respectively. Commitments to lend additional fu</w:t>
      </w:r>
      <w:r>
        <w:rPr>
          <w:rFonts w:eastAsia="Times New Roman"/>
          <w:color w:val="000000"/>
          <w:sz w:val="20"/>
          <w:szCs w:val="20"/>
        </w:rPr>
        <w:t>nds on loans modified in TDRs totaled $164 million and $173 million as of September 30, 2021 and December 31, 2020, respectively.</w:t>
      </w:r>
    </w:p>
    <w:p w14:paraId="7B847957" w14:textId="77777777" w:rsidR="00000000" w:rsidRDefault="00405D16">
      <w:pPr>
        <w:divId w:val="1165051462"/>
        <w:rPr>
          <w:rFonts w:eastAsia="Times New Roman"/>
        </w:rPr>
      </w:pPr>
      <w:r>
        <w:rPr>
          <w:rFonts w:eastAsia="Times New Roman"/>
          <w:b/>
          <w:bCs/>
          <w:i/>
          <w:iCs/>
          <w:color w:val="000000"/>
          <w:sz w:val="20"/>
          <w:szCs w:val="20"/>
        </w:rPr>
        <w:t xml:space="preserve">Loans Modified in TDRs </w:t>
      </w:r>
    </w:p>
    <w:p w14:paraId="24300B3F" w14:textId="77777777" w:rsidR="00000000" w:rsidRDefault="00405D16">
      <w:pPr>
        <w:jc w:val="both"/>
        <w:divId w:val="2138714284"/>
        <w:rPr>
          <w:rFonts w:eastAsia="Times New Roman"/>
        </w:rPr>
      </w:pPr>
      <w:r>
        <w:rPr>
          <w:rFonts w:eastAsia="Times New Roman"/>
          <w:color w:val="000000"/>
          <w:sz w:val="20"/>
          <w:szCs w:val="20"/>
        </w:rPr>
        <w:t>As part of our loan modification programs to borrowers experiencing financial difficulty, we may provi</w:t>
      </w:r>
      <w:r>
        <w:rPr>
          <w:rFonts w:eastAsia="Times New Roman"/>
          <w:color w:val="000000"/>
          <w:sz w:val="20"/>
          <w:szCs w:val="20"/>
        </w:rPr>
        <w:t>de multiple concessions to minimize our economic loss and improve long-term loan performance and collectability. The following tables present the major modification types, amortized cost amounts and financial effects of loans modified in TDRs during the th</w:t>
      </w:r>
      <w:r>
        <w:rPr>
          <w:rFonts w:eastAsia="Times New Roman"/>
          <w:color w:val="000000"/>
          <w:sz w:val="20"/>
          <w:szCs w:val="20"/>
        </w:rPr>
        <w:t>ree and nine months ended September 30, 2021 and 2020.</w:t>
      </w:r>
    </w:p>
    <w:p w14:paraId="622C477A" w14:textId="77777777" w:rsidR="00000000" w:rsidRDefault="00405D16">
      <w:pPr>
        <w:divId w:val="994190634"/>
        <w:rPr>
          <w:rFonts w:eastAsia="Times New Roman"/>
        </w:rPr>
      </w:pPr>
      <w:r>
        <w:rPr>
          <w:rFonts w:eastAsia="Times New Roman"/>
          <w:b/>
          <w:bCs/>
          <w:color w:val="000000"/>
          <w:sz w:val="18"/>
          <w:szCs w:val="18"/>
        </w:rPr>
        <w:t>Table 3.6: Troubled Debt Restructurings</w:t>
      </w:r>
    </w:p>
    <w:tbl>
      <w:tblPr>
        <w:tblW w:w="5000" w:type="pct"/>
        <w:tblCellMar>
          <w:top w:w="15" w:type="dxa"/>
          <w:left w:w="15" w:type="dxa"/>
          <w:bottom w:w="15" w:type="dxa"/>
          <w:right w:w="15" w:type="dxa"/>
        </w:tblCellMar>
        <w:tblLook w:val="04A0" w:firstRow="1" w:lastRow="0" w:firstColumn="1" w:lastColumn="0" w:noHBand="0" w:noVBand="1"/>
      </w:tblPr>
      <w:tblGrid>
        <w:gridCol w:w="39"/>
        <w:gridCol w:w="2959"/>
        <w:gridCol w:w="38"/>
        <w:gridCol w:w="36"/>
        <w:gridCol w:w="36"/>
        <w:gridCol w:w="36"/>
        <w:gridCol w:w="111"/>
        <w:gridCol w:w="679"/>
        <w:gridCol w:w="36"/>
        <w:gridCol w:w="36"/>
        <w:gridCol w:w="36"/>
        <w:gridCol w:w="36"/>
        <w:gridCol w:w="82"/>
        <w:gridCol w:w="609"/>
        <w:gridCol w:w="200"/>
        <w:gridCol w:w="36"/>
        <w:gridCol w:w="36"/>
        <w:gridCol w:w="36"/>
        <w:gridCol w:w="87"/>
        <w:gridCol w:w="648"/>
        <w:gridCol w:w="200"/>
        <w:gridCol w:w="36"/>
        <w:gridCol w:w="36"/>
        <w:gridCol w:w="36"/>
        <w:gridCol w:w="82"/>
        <w:gridCol w:w="609"/>
        <w:gridCol w:w="203"/>
        <w:gridCol w:w="38"/>
        <w:gridCol w:w="38"/>
        <w:gridCol w:w="38"/>
        <w:gridCol w:w="84"/>
        <w:gridCol w:w="624"/>
        <w:gridCol w:w="38"/>
        <w:gridCol w:w="36"/>
        <w:gridCol w:w="36"/>
        <w:gridCol w:w="36"/>
        <w:gridCol w:w="36"/>
        <w:gridCol w:w="36"/>
        <w:gridCol w:w="36"/>
        <w:gridCol w:w="36"/>
        <w:gridCol w:w="36"/>
        <w:gridCol w:w="36"/>
        <w:gridCol w:w="36"/>
        <w:gridCol w:w="36"/>
        <w:gridCol w:w="36"/>
      </w:tblGrid>
      <w:tr w:rsidR="00000000" w14:paraId="693883BA" w14:textId="77777777">
        <w:trPr>
          <w:divId w:val="1505316810"/>
        </w:trPr>
        <w:tc>
          <w:tcPr>
            <w:tcW w:w="50" w:type="pct"/>
            <w:vAlign w:val="center"/>
            <w:hideMark/>
          </w:tcPr>
          <w:p w14:paraId="57BEFA1F" w14:textId="77777777" w:rsidR="00000000" w:rsidRDefault="00405D16">
            <w:pPr>
              <w:rPr>
                <w:rFonts w:eastAsia="Times New Roman"/>
              </w:rPr>
            </w:pPr>
          </w:p>
        </w:tc>
        <w:tc>
          <w:tcPr>
            <w:tcW w:w="2605" w:type="pct"/>
            <w:vAlign w:val="center"/>
            <w:hideMark/>
          </w:tcPr>
          <w:p w14:paraId="548E5931" w14:textId="77777777" w:rsidR="00000000" w:rsidRDefault="00405D16">
            <w:pPr>
              <w:spacing w:after="100"/>
              <w:rPr>
                <w:rFonts w:eastAsia="Times New Roman"/>
                <w:sz w:val="20"/>
                <w:szCs w:val="20"/>
              </w:rPr>
            </w:pPr>
          </w:p>
        </w:tc>
        <w:tc>
          <w:tcPr>
            <w:tcW w:w="5" w:type="pct"/>
            <w:vAlign w:val="center"/>
            <w:hideMark/>
          </w:tcPr>
          <w:p w14:paraId="74009626" w14:textId="77777777" w:rsidR="00000000" w:rsidRDefault="00405D16">
            <w:pPr>
              <w:spacing w:after="100"/>
              <w:rPr>
                <w:rFonts w:eastAsia="Times New Roman"/>
                <w:sz w:val="20"/>
                <w:szCs w:val="20"/>
              </w:rPr>
            </w:pPr>
          </w:p>
        </w:tc>
        <w:tc>
          <w:tcPr>
            <w:tcW w:w="5" w:type="pct"/>
            <w:vAlign w:val="center"/>
            <w:hideMark/>
          </w:tcPr>
          <w:p w14:paraId="558D187B" w14:textId="77777777" w:rsidR="00000000" w:rsidRDefault="00405D16">
            <w:pPr>
              <w:spacing w:after="100"/>
              <w:rPr>
                <w:rFonts w:eastAsia="Times New Roman"/>
                <w:sz w:val="20"/>
                <w:szCs w:val="20"/>
              </w:rPr>
            </w:pPr>
          </w:p>
        </w:tc>
        <w:tc>
          <w:tcPr>
            <w:tcW w:w="26" w:type="pct"/>
            <w:vAlign w:val="center"/>
            <w:hideMark/>
          </w:tcPr>
          <w:p w14:paraId="20F0F715" w14:textId="77777777" w:rsidR="00000000" w:rsidRDefault="00405D16">
            <w:pPr>
              <w:spacing w:after="100"/>
              <w:rPr>
                <w:rFonts w:eastAsia="Times New Roman"/>
                <w:sz w:val="20"/>
                <w:szCs w:val="20"/>
              </w:rPr>
            </w:pPr>
          </w:p>
        </w:tc>
        <w:tc>
          <w:tcPr>
            <w:tcW w:w="5" w:type="pct"/>
            <w:vAlign w:val="center"/>
            <w:hideMark/>
          </w:tcPr>
          <w:p w14:paraId="5743B6A5" w14:textId="77777777" w:rsidR="00000000" w:rsidRDefault="00405D16">
            <w:pPr>
              <w:spacing w:after="100"/>
              <w:rPr>
                <w:rFonts w:eastAsia="Times New Roman"/>
                <w:sz w:val="20"/>
                <w:szCs w:val="20"/>
              </w:rPr>
            </w:pPr>
          </w:p>
        </w:tc>
        <w:tc>
          <w:tcPr>
            <w:tcW w:w="50" w:type="pct"/>
            <w:vAlign w:val="center"/>
            <w:hideMark/>
          </w:tcPr>
          <w:p w14:paraId="5BC2C5DC" w14:textId="77777777" w:rsidR="00000000" w:rsidRDefault="00405D16">
            <w:pPr>
              <w:spacing w:after="100"/>
              <w:rPr>
                <w:rFonts w:eastAsia="Times New Roman"/>
                <w:sz w:val="20"/>
                <w:szCs w:val="20"/>
              </w:rPr>
            </w:pPr>
          </w:p>
        </w:tc>
        <w:tc>
          <w:tcPr>
            <w:tcW w:w="376" w:type="pct"/>
            <w:vAlign w:val="center"/>
            <w:hideMark/>
          </w:tcPr>
          <w:p w14:paraId="5A2D74AB" w14:textId="77777777" w:rsidR="00000000" w:rsidRDefault="00405D16">
            <w:pPr>
              <w:spacing w:after="100"/>
              <w:rPr>
                <w:rFonts w:eastAsia="Times New Roman"/>
                <w:sz w:val="20"/>
                <w:szCs w:val="20"/>
              </w:rPr>
            </w:pPr>
          </w:p>
        </w:tc>
        <w:tc>
          <w:tcPr>
            <w:tcW w:w="5" w:type="pct"/>
            <w:vAlign w:val="center"/>
            <w:hideMark/>
          </w:tcPr>
          <w:p w14:paraId="1CE1A59B" w14:textId="77777777" w:rsidR="00000000" w:rsidRDefault="00405D16">
            <w:pPr>
              <w:spacing w:after="100"/>
              <w:rPr>
                <w:rFonts w:eastAsia="Times New Roman"/>
                <w:sz w:val="20"/>
                <w:szCs w:val="20"/>
              </w:rPr>
            </w:pPr>
          </w:p>
        </w:tc>
        <w:tc>
          <w:tcPr>
            <w:tcW w:w="5" w:type="pct"/>
            <w:vAlign w:val="center"/>
            <w:hideMark/>
          </w:tcPr>
          <w:p w14:paraId="179AEADA" w14:textId="77777777" w:rsidR="00000000" w:rsidRDefault="00405D16">
            <w:pPr>
              <w:spacing w:after="100"/>
              <w:rPr>
                <w:rFonts w:eastAsia="Times New Roman"/>
                <w:sz w:val="20"/>
                <w:szCs w:val="20"/>
              </w:rPr>
            </w:pPr>
          </w:p>
        </w:tc>
        <w:tc>
          <w:tcPr>
            <w:tcW w:w="26" w:type="pct"/>
            <w:vAlign w:val="center"/>
            <w:hideMark/>
          </w:tcPr>
          <w:p w14:paraId="2D3061DF" w14:textId="77777777" w:rsidR="00000000" w:rsidRDefault="00405D16">
            <w:pPr>
              <w:spacing w:after="100"/>
              <w:rPr>
                <w:rFonts w:eastAsia="Times New Roman"/>
                <w:sz w:val="20"/>
                <w:szCs w:val="20"/>
              </w:rPr>
            </w:pPr>
          </w:p>
        </w:tc>
        <w:tc>
          <w:tcPr>
            <w:tcW w:w="5" w:type="pct"/>
            <w:vAlign w:val="center"/>
            <w:hideMark/>
          </w:tcPr>
          <w:p w14:paraId="34277617" w14:textId="77777777" w:rsidR="00000000" w:rsidRDefault="00405D16">
            <w:pPr>
              <w:spacing w:after="100"/>
              <w:rPr>
                <w:rFonts w:eastAsia="Times New Roman"/>
                <w:sz w:val="20"/>
                <w:szCs w:val="20"/>
              </w:rPr>
            </w:pPr>
          </w:p>
        </w:tc>
        <w:tc>
          <w:tcPr>
            <w:tcW w:w="50" w:type="pct"/>
            <w:vAlign w:val="center"/>
            <w:hideMark/>
          </w:tcPr>
          <w:p w14:paraId="68EA0E2B" w14:textId="77777777" w:rsidR="00000000" w:rsidRDefault="00405D16">
            <w:pPr>
              <w:spacing w:after="100"/>
              <w:rPr>
                <w:rFonts w:eastAsia="Times New Roman"/>
                <w:sz w:val="20"/>
                <w:szCs w:val="20"/>
              </w:rPr>
            </w:pPr>
          </w:p>
        </w:tc>
        <w:tc>
          <w:tcPr>
            <w:tcW w:w="376" w:type="pct"/>
            <w:vAlign w:val="center"/>
            <w:hideMark/>
          </w:tcPr>
          <w:p w14:paraId="762E8233" w14:textId="77777777" w:rsidR="00000000" w:rsidRDefault="00405D16">
            <w:pPr>
              <w:spacing w:after="100"/>
              <w:rPr>
                <w:rFonts w:eastAsia="Times New Roman"/>
                <w:sz w:val="20"/>
                <w:szCs w:val="20"/>
              </w:rPr>
            </w:pPr>
          </w:p>
        </w:tc>
        <w:tc>
          <w:tcPr>
            <w:tcW w:w="5" w:type="pct"/>
            <w:vAlign w:val="center"/>
            <w:hideMark/>
          </w:tcPr>
          <w:p w14:paraId="7145E505" w14:textId="77777777" w:rsidR="00000000" w:rsidRDefault="00405D16">
            <w:pPr>
              <w:spacing w:after="100"/>
              <w:rPr>
                <w:rFonts w:eastAsia="Times New Roman"/>
                <w:sz w:val="20"/>
                <w:szCs w:val="20"/>
              </w:rPr>
            </w:pPr>
          </w:p>
        </w:tc>
        <w:tc>
          <w:tcPr>
            <w:tcW w:w="5" w:type="pct"/>
            <w:vAlign w:val="center"/>
            <w:hideMark/>
          </w:tcPr>
          <w:p w14:paraId="216FF2D2" w14:textId="77777777" w:rsidR="00000000" w:rsidRDefault="00405D16">
            <w:pPr>
              <w:spacing w:after="100"/>
              <w:rPr>
                <w:rFonts w:eastAsia="Times New Roman"/>
                <w:sz w:val="20"/>
                <w:szCs w:val="20"/>
              </w:rPr>
            </w:pPr>
          </w:p>
        </w:tc>
        <w:tc>
          <w:tcPr>
            <w:tcW w:w="26" w:type="pct"/>
            <w:vAlign w:val="center"/>
            <w:hideMark/>
          </w:tcPr>
          <w:p w14:paraId="5EC31B75" w14:textId="77777777" w:rsidR="00000000" w:rsidRDefault="00405D16">
            <w:pPr>
              <w:spacing w:after="100"/>
              <w:rPr>
                <w:rFonts w:eastAsia="Times New Roman"/>
                <w:sz w:val="20"/>
                <w:szCs w:val="20"/>
              </w:rPr>
            </w:pPr>
          </w:p>
        </w:tc>
        <w:tc>
          <w:tcPr>
            <w:tcW w:w="5" w:type="pct"/>
            <w:vAlign w:val="center"/>
            <w:hideMark/>
          </w:tcPr>
          <w:p w14:paraId="7E01480B" w14:textId="77777777" w:rsidR="00000000" w:rsidRDefault="00405D16">
            <w:pPr>
              <w:spacing w:after="100"/>
              <w:rPr>
                <w:rFonts w:eastAsia="Times New Roman"/>
                <w:sz w:val="20"/>
                <w:szCs w:val="20"/>
              </w:rPr>
            </w:pPr>
          </w:p>
        </w:tc>
        <w:tc>
          <w:tcPr>
            <w:tcW w:w="50" w:type="pct"/>
            <w:vAlign w:val="center"/>
            <w:hideMark/>
          </w:tcPr>
          <w:p w14:paraId="1235C775" w14:textId="77777777" w:rsidR="00000000" w:rsidRDefault="00405D16">
            <w:pPr>
              <w:spacing w:after="100"/>
              <w:rPr>
                <w:rFonts w:eastAsia="Times New Roman"/>
                <w:sz w:val="20"/>
                <w:szCs w:val="20"/>
              </w:rPr>
            </w:pPr>
          </w:p>
        </w:tc>
        <w:tc>
          <w:tcPr>
            <w:tcW w:w="376" w:type="pct"/>
            <w:vAlign w:val="center"/>
            <w:hideMark/>
          </w:tcPr>
          <w:p w14:paraId="343197EA" w14:textId="77777777" w:rsidR="00000000" w:rsidRDefault="00405D16">
            <w:pPr>
              <w:spacing w:after="100"/>
              <w:rPr>
                <w:rFonts w:eastAsia="Times New Roman"/>
                <w:sz w:val="20"/>
                <w:szCs w:val="20"/>
              </w:rPr>
            </w:pPr>
          </w:p>
        </w:tc>
        <w:tc>
          <w:tcPr>
            <w:tcW w:w="5" w:type="pct"/>
            <w:vAlign w:val="center"/>
            <w:hideMark/>
          </w:tcPr>
          <w:p w14:paraId="6D9DBFA0" w14:textId="77777777" w:rsidR="00000000" w:rsidRDefault="00405D16">
            <w:pPr>
              <w:spacing w:after="100"/>
              <w:rPr>
                <w:rFonts w:eastAsia="Times New Roman"/>
                <w:sz w:val="20"/>
                <w:szCs w:val="20"/>
              </w:rPr>
            </w:pPr>
          </w:p>
        </w:tc>
        <w:tc>
          <w:tcPr>
            <w:tcW w:w="5" w:type="pct"/>
            <w:vAlign w:val="center"/>
            <w:hideMark/>
          </w:tcPr>
          <w:p w14:paraId="57CD523D" w14:textId="77777777" w:rsidR="00000000" w:rsidRDefault="00405D16">
            <w:pPr>
              <w:spacing w:after="100"/>
              <w:rPr>
                <w:rFonts w:eastAsia="Times New Roman"/>
                <w:sz w:val="20"/>
                <w:szCs w:val="20"/>
              </w:rPr>
            </w:pPr>
          </w:p>
        </w:tc>
        <w:tc>
          <w:tcPr>
            <w:tcW w:w="26" w:type="pct"/>
            <w:vAlign w:val="center"/>
            <w:hideMark/>
          </w:tcPr>
          <w:p w14:paraId="7AD8C466" w14:textId="77777777" w:rsidR="00000000" w:rsidRDefault="00405D16">
            <w:pPr>
              <w:spacing w:after="100"/>
              <w:rPr>
                <w:rFonts w:eastAsia="Times New Roman"/>
                <w:sz w:val="20"/>
                <w:szCs w:val="20"/>
              </w:rPr>
            </w:pPr>
          </w:p>
        </w:tc>
        <w:tc>
          <w:tcPr>
            <w:tcW w:w="5" w:type="pct"/>
            <w:vAlign w:val="center"/>
            <w:hideMark/>
          </w:tcPr>
          <w:p w14:paraId="68F37FE1" w14:textId="77777777" w:rsidR="00000000" w:rsidRDefault="00405D16">
            <w:pPr>
              <w:spacing w:after="100"/>
              <w:rPr>
                <w:rFonts w:eastAsia="Times New Roman"/>
                <w:sz w:val="20"/>
                <w:szCs w:val="20"/>
              </w:rPr>
            </w:pPr>
          </w:p>
        </w:tc>
        <w:tc>
          <w:tcPr>
            <w:tcW w:w="50" w:type="pct"/>
            <w:vAlign w:val="center"/>
            <w:hideMark/>
          </w:tcPr>
          <w:p w14:paraId="607DBA45" w14:textId="77777777" w:rsidR="00000000" w:rsidRDefault="00405D16">
            <w:pPr>
              <w:spacing w:after="100"/>
              <w:rPr>
                <w:rFonts w:eastAsia="Times New Roman"/>
                <w:sz w:val="20"/>
                <w:szCs w:val="20"/>
              </w:rPr>
            </w:pPr>
          </w:p>
        </w:tc>
        <w:tc>
          <w:tcPr>
            <w:tcW w:w="376" w:type="pct"/>
            <w:vAlign w:val="center"/>
            <w:hideMark/>
          </w:tcPr>
          <w:p w14:paraId="525FD99C" w14:textId="77777777" w:rsidR="00000000" w:rsidRDefault="00405D16">
            <w:pPr>
              <w:spacing w:after="100"/>
              <w:rPr>
                <w:rFonts w:eastAsia="Times New Roman"/>
                <w:sz w:val="20"/>
                <w:szCs w:val="20"/>
              </w:rPr>
            </w:pPr>
          </w:p>
        </w:tc>
        <w:tc>
          <w:tcPr>
            <w:tcW w:w="5" w:type="pct"/>
            <w:vAlign w:val="center"/>
            <w:hideMark/>
          </w:tcPr>
          <w:p w14:paraId="422C08C4" w14:textId="77777777" w:rsidR="00000000" w:rsidRDefault="00405D16">
            <w:pPr>
              <w:spacing w:after="100"/>
              <w:rPr>
                <w:rFonts w:eastAsia="Times New Roman"/>
                <w:sz w:val="20"/>
                <w:szCs w:val="20"/>
              </w:rPr>
            </w:pPr>
          </w:p>
        </w:tc>
        <w:tc>
          <w:tcPr>
            <w:tcW w:w="5" w:type="pct"/>
            <w:vAlign w:val="center"/>
            <w:hideMark/>
          </w:tcPr>
          <w:p w14:paraId="2E5931E7" w14:textId="77777777" w:rsidR="00000000" w:rsidRDefault="00405D16">
            <w:pPr>
              <w:spacing w:after="100"/>
              <w:rPr>
                <w:rFonts w:eastAsia="Times New Roman"/>
                <w:sz w:val="20"/>
                <w:szCs w:val="20"/>
              </w:rPr>
            </w:pPr>
          </w:p>
        </w:tc>
        <w:tc>
          <w:tcPr>
            <w:tcW w:w="26" w:type="pct"/>
            <w:vAlign w:val="center"/>
            <w:hideMark/>
          </w:tcPr>
          <w:p w14:paraId="2EDC3792" w14:textId="77777777" w:rsidR="00000000" w:rsidRDefault="00405D16">
            <w:pPr>
              <w:spacing w:after="100"/>
              <w:rPr>
                <w:rFonts w:eastAsia="Times New Roman"/>
                <w:sz w:val="20"/>
                <w:szCs w:val="20"/>
              </w:rPr>
            </w:pPr>
          </w:p>
        </w:tc>
        <w:tc>
          <w:tcPr>
            <w:tcW w:w="5" w:type="pct"/>
            <w:vAlign w:val="center"/>
            <w:hideMark/>
          </w:tcPr>
          <w:p w14:paraId="514CAEE9" w14:textId="77777777" w:rsidR="00000000" w:rsidRDefault="00405D16">
            <w:pPr>
              <w:spacing w:after="100"/>
              <w:rPr>
                <w:rFonts w:eastAsia="Times New Roman"/>
                <w:sz w:val="20"/>
                <w:szCs w:val="20"/>
              </w:rPr>
            </w:pPr>
          </w:p>
        </w:tc>
        <w:tc>
          <w:tcPr>
            <w:tcW w:w="50" w:type="pct"/>
            <w:vAlign w:val="center"/>
            <w:hideMark/>
          </w:tcPr>
          <w:p w14:paraId="05DEF671" w14:textId="77777777" w:rsidR="00000000" w:rsidRDefault="00405D16">
            <w:pPr>
              <w:spacing w:after="100"/>
              <w:rPr>
                <w:rFonts w:eastAsia="Times New Roman"/>
                <w:sz w:val="20"/>
                <w:szCs w:val="20"/>
              </w:rPr>
            </w:pPr>
          </w:p>
        </w:tc>
        <w:tc>
          <w:tcPr>
            <w:tcW w:w="376" w:type="pct"/>
            <w:vAlign w:val="center"/>
            <w:hideMark/>
          </w:tcPr>
          <w:p w14:paraId="55A0FFB4" w14:textId="77777777" w:rsidR="00000000" w:rsidRDefault="00405D16">
            <w:pPr>
              <w:spacing w:after="100"/>
              <w:rPr>
                <w:rFonts w:eastAsia="Times New Roman"/>
                <w:sz w:val="20"/>
                <w:szCs w:val="20"/>
              </w:rPr>
            </w:pPr>
          </w:p>
        </w:tc>
        <w:tc>
          <w:tcPr>
            <w:tcW w:w="5" w:type="pct"/>
            <w:vAlign w:val="center"/>
            <w:hideMark/>
          </w:tcPr>
          <w:p w14:paraId="1C7E6E24" w14:textId="77777777" w:rsidR="00000000" w:rsidRDefault="00405D16">
            <w:pPr>
              <w:spacing w:after="100"/>
              <w:rPr>
                <w:rFonts w:eastAsia="Times New Roman"/>
                <w:sz w:val="20"/>
                <w:szCs w:val="20"/>
              </w:rPr>
            </w:pPr>
          </w:p>
        </w:tc>
        <w:tc>
          <w:tcPr>
            <w:tcW w:w="0" w:type="auto"/>
            <w:gridSpan w:val="3"/>
            <w:vAlign w:val="center"/>
            <w:hideMark/>
          </w:tcPr>
          <w:p w14:paraId="39541513" w14:textId="77777777" w:rsidR="00000000" w:rsidRDefault="00405D16">
            <w:pPr>
              <w:spacing w:after="100"/>
              <w:rPr>
                <w:rFonts w:eastAsia="Times New Roman"/>
                <w:sz w:val="20"/>
                <w:szCs w:val="20"/>
              </w:rPr>
            </w:pPr>
          </w:p>
        </w:tc>
        <w:tc>
          <w:tcPr>
            <w:tcW w:w="0" w:type="auto"/>
            <w:gridSpan w:val="3"/>
            <w:vAlign w:val="center"/>
            <w:hideMark/>
          </w:tcPr>
          <w:p w14:paraId="69B94401" w14:textId="77777777" w:rsidR="00000000" w:rsidRDefault="00405D16">
            <w:pPr>
              <w:spacing w:after="100"/>
              <w:rPr>
                <w:rFonts w:eastAsia="Times New Roman"/>
                <w:sz w:val="20"/>
                <w:szCs w:val="20"/>
              </w:rPr>
            </w:pPr>
          </w:p>
        </w:tc>
        <w:tc>
          <w:tcPr>
            <w:tcW w:w="0" w:type="auto"/>
            <w:gridSpan w:val="3"/>
            <w:vAlign w:val="center"/>
            <w:hideMark/>
          </w:tcPr>
          <w:p w14:paraId="0372CCDC" w14:textId="77777777" w:rsidR="00000000" w:rsidRDefault="00405D16">
            <w:pPr>
              <w:spacing w:after="100"/>
              <w:rPr>
                <w:rFonts w:eastAsia="Times New Roman"/>
                <w:sz w:val="20"/>
                <w:szCs w:val="20"/>
              </w:rPr>
            </w:pPr>
          </w:p>
        </w:tc>
        <w:tc>
          <w:tcPr>
            <w:tcW w:w="0" w:type="auto"/>
            <w:gridSpan w:val="3"/>
            <w:vAlign w:val="center"/>
            <w:hideMark/>
          </w:tcPr>
          <w:p w14:paraId="6629B603" w14:textId="77777777" w:rsidR="00000000" w:rsidRDefault="00405D16">
            <w:pPr>
              <w:spacing w:after="100"/>
              <w:rPr>
                <w:rFonts w:eastAsia="Times New Roman"/>
                <w:sz w:val="20"/>
                <w:szCs w:val="20"/>
              </w:rPr>
            </w:pPr>
          </w:p>
        </w:tc>
      </w:tr>
      <w:tr w:rsidR="00000000" w14:paraId="33B042D8" w14:textId="77777777">
        <w:trPr>
          <w:divId w:val="1505316810"/>
        </w:trPr>
        <w:tc>
          <w:tcPr>
            <w:tcW w:w="0" w:type="auto"/>
            <w:gridSpan w:val="3"/>
            <w:tcMar>
              <w:top w:w="0" w:type="dxa"/>
              <w:left w:w="20" w:type="dxa"/>
              <w:bottom w:w="0" w:type="dxa"/>
              <w:right w:w="20" w:type="dxa"/>
            </w:tcMar>
            <w:vAlign w:val="center"/>
            <w:hideMark/>
          </w:tcPr>
          <w:p w14:paraId="38227354"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CAF218E"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5A6F55E"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11FD423" w14:textId="77777777" w:rsidR="00000000" w:rsidRDefault="00405D16">
            <w:pPr>
              <w:spacing w:after="100"/>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14:paraId="6D1A3D5F" w14:textId="77777777" w:rsidR="00000000" w:rsidRDefault="00405D16">
            <w:pPr>
              <w:spacing w:after="100"/>
              <w:jc w:val="center"/>
              <w:rPr>
                <w:rFonts w:eastAsia="Times New Roman"/>
              </w:rPr>
            </w:pPr>
            <w:r>
              <w:rPr>
                <w:rFonts w:eastAsia="Times New Roman"/>
                <w:b/>
                <w:bCs/>
                <w:color w:val="000000"/>
                <w:sz w:val="16"/>
                <w:szCs w:val="16"/>
              </w:rPr>
              <w:t>Three Months Ended September 30, 2021</w:t>
            </w:r>
          </w:p>
        </w:tc>
        <w:tc>
          <w:tcPr>
            <w:tcW w:w="0" w:type="auto"/>
            <w:vAlign w:val="center"/>
            <w:hideMark/>
          </w:tcPr>
          <w:p w14:paraId="22B14CB1" w14:textId="77777777" w:rsidR="00000000" w:rsidRDefault="00405D16">
            <w:pPr>
              <w:spacing w:after="100"/>
              <w:rPr>
                <w:rFonts w:eastAsia="Times New Roman"/>
                <w:sz w:val="20"/>
                <w:szCs w:val="20"/>
              </w:rPr>
            </w:pPr>
          </w:p>
        </w:tc>
        <w:tc>
          <w:tcPr>
            <w:tcW w:w="0" w:type="auto"/>
            <w:vAlign w:val="center"/>
            <w:hideMark/>
          </w:tcPr>
          <w:p w14:paraId="06D7DA6D" w14:textId="77777777" w:rsidR="00000000" w:rsidRDefault="00405D16">
            <w:pPr>
              <w:spacing w:after="100"/>
              <w:rPr>
                <w:rFonts w:eastAsia="Times New Roman"/>
                <w:sz w:val="20"/>
                <w:szCs w:val="20"/>
              </w:rPr>
            </w:pPr>
          </w:p>
        </w:tc>
        <w:tc>
          <w:tcPr>
            <w:tcW w:w="0" w:type="auto"/>
            <w:vAlign w:val="center"/>
            <w:hideMark/>
          </w:tcPr>
          <w:p w14:paraId="21E33CF3" w14:textId="77777777" w:rsidR="00000000" w:rsidRDefault="00405D16">
            <w:pPr>
              <w:spacing w:after="100"/>
              <w:rPr>
                <w:rFonts w:eastAsia="Times New Roman"/>
                <w:sz w:val="20"/>
                <w:szCs w:val="20"/>
              </w:rPr>
            </w:pPr>
          </w:p>
        </w:tc>
        <w:tc>
          <w:tcPr>
            <w:tcW w:w="0" w:type="auto"/>
            <w:vAlign w:val="center"/>
            <w:hideMark/>
          </w:tcPr>
          <w:p w14:paraId="25A5F658" w14:textId="77777777" w:rsidR="00000000" w:rsidRDefault="00405D16">
            <w:pPr>
              <w:spacing w:after="100"/>
              <w:rPr>
                <w:rFonts w:eastAsia="Times New Roman"/>
                <w:sz w:val="20"/>
                <w:szCs w:val="20"/>
              </w:rPr>
            </w:pPr>
          </w:p>
        </w:tc>
        <w:tc>
          <w:tcPr>
            <w:tcW w:w="0" w:type="auto"/>
            <w:vAlign w:val="center"/>
            <w:hideMark/>
          </w:tcPr>
          <w:p w14:paraId="6AE84D0E" w14:textId="77777777" w:rsidR="00000000" w:rsidRDefault="00405D16">
            <w:pPr>
              <w:spacing w:after="100"/>
              <w:rPr>
                <w:rFonts w:eastAsia="Times New Roman"/>
                <w:sz w:val="20"/>
                <w:szCs w:val="20"/>
              </w:rPr>
            </w:pPr>
          </w:p>
        </w:tc>
        <w:tc>
          <w:tcPr>
            <w:tcW w:w="0" w:type="auto"/>
            <w:vAlign w:val="center"/>
            <w:hideMark/>
          </w:tcPr>
          <w:p w14:paraId="6CE1100A" w14:textId="77777777" w:rsidR="00000000" w:rsidRDefault="00405D16">
            <w:pPr>
              <w:spacing w:after="100"/>
              <w:rPr>
                <w:rFonts w:eastAsia="Times New Roman"/>
                <w:sz w:val="20"/>
                <w:szCs w:val="20"/>
              </w:rPr>
            </w:pPr>
          </w:p>
        </w:tc>
        <w:tc>
          <w:tcPr>
            <w:tcW w:w="0" w:type="auto"/>
            <w:vAlign w:val="center"/>
            <w:hideMark/>
          </w:tcPr>
          <w:p w14:paraId="11313683" w14:textId="77777777" w:rsidR="00000000" w:rsidRDefault="00405D16">
            <w:pPr>
              <w:spacing w:after="100"/>
              <w:rPr>
                <w:rFonts w:eastAsia="Times New Roman"/>
                <w:sz w:val="20"/>
                <w:szCs w:val="20"/>
              </w:rPr>
            </w:pPr>
          </w:p>
        </w:tc>
        <w:tc>
          <w:tcPr>
            <w:tcW w:w="0" w:type="auto"/>
            <w:vAlign w:val="center"/>
            <w:hideMark/>
          </w:tcPr>
          <w:p w14:paraId="28050234" w14:textId="77777777" w:rsidR="00000000" w:rsidRDefault="00405D16">
            <w:pPr>
              <w:spacing w:after="100"/>
              <w:rPr>
                <w:rFonts w:eastAsia="Times New Roman"/>
                <w:sz w:val="20"/>
                <w:szCs w:val="20"/>
              </w:rPr>
            </w:pPr>
          </w:p>
        </w:tc>
        <w:tc>
          <w:tcPr>
            <w:tcW w:w="0" w:type="auto"/>
            <w:vAlign w:val="center"/>
            <w:hideMark/>
          </w:tcPr>
          <w:p w14:paraId="63324AB9" w14:textId="77777777" w:rsidR="00000000" w:rsidRDefault="00405D16">
            <w:pPr>
              <w:spacing w:after="100"/>
              <w:rPr>
                <w:rFonts w:eastAsia="Times New Roman"/>
                <w:sz w:val="20"/>
                <w:szCs w:val="20"/>
              </w:rPr>
            </w:pPr>
          </w:p>
        </w:tc>
        <w:tc>
          <w:tcPr>
            <w:tcW w:w="0" w:type="auto"/>
            <w:vAlign w:val="center"/>
            <w:hideMark/>
          </w:tcPr>
          <w:p w14:paraId="1B698023" w14:textId="77777777" w:rsidR="00000000" w:rsidRDefault="00405D16">
            <w:pPr>
              <w:spacing w:after="100"/>
              <w:rPr>
                <w:rFonts w:eastAsia="Times New Roman"/>
                <w:sz w:val="20"/>
                <w:szCs w:val="20"/>
              </w:rPr>
            </w:pPr>
          </w:p>
        </w:tc>
        <w:tc>
          <w:tcPr>
            <w:tcW w:w="0" w:type="auto"/>
            <w:vAlign w:val="center"/>
            <w:hideMark/>
          </w:tcPr>
          <w:p w14:paraId="39658BE4" w14:textId="77777777" w:rsidR="00000000" w:rsidRDefault="00405D16">
            <w:pPr>
              <w:spacing w:after="100"/>
              <w:rPr>
                <w:rFonts w:eastAsia="Times New Roman"/>
                <w:sz w:val="20"/>
                <w:szCs w:val="20"/>
              </w:rPr>
            </w:pPr>
          </w:p>
        </w:tc>
        <w:tc>
          <w:tcPr>
            <w:tcW w:w="0" w:type="auto"/>
            <w:vAlign w:val="center"/>
            <w:hideMark/>
          </w:tcPr>
          <w:p w14:paraId="07B4871E" w14:textId="77777777" w:rsidR="00000000" w:rsidRDefault="00405D16">
            <w:pPr>
              <w:spacing w:after="100"/>
              <w:rPr>
                <w:rFonts w:eastAsia="Times New Roman"/>
                <w:sz w:val="20"/>
                <w:szCs w:val="20"/>
              </w:rPr>
            </w:pPr>
          </w:p>
        </w:tc>
      </w:tr>
      <w:tr w:rsidR="00000000" w14:paraId="5FFAD50F" w14:textId="77777777">
        <w:trPr>
          <w:divId w:val="1505316810"/>
        </w:trPr>
        <w:tc>
          <w:tcPr>
            <w:tcW w:w="0" w:type="auto"/>
            <w:gridSpan w:val="3"/>
            <w:tcMar>
              <w:top w:w="0" w:type="dxa"/>
              <w:left w:w="20" w:type="dxa"/>
              <w:bottom w:w="0" w:type="dxa"/>
              <w:right w:w="20" w:type="dxa"/>
            </w:tcMar>
            <w:vAlign w:val="center"/>
            <w:hideMark/>
          </w:tcPr>
          <w:p w14:paraId="0C01341C" w14:textId="77777777" w:rsidR="00000000" w:rsidRDefault="00405D1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538CF45"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F744D48"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BC57402" w14:textId="77777777" w:rsidR="00000000" w:rsidRDefault="00405D16">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61005B0C" w14:textId="77777777" w:rsidR="00000000" w:rsidRDefault="00405D16">
            <w:pPr>
              <w:spacing w:after="100"/>
              <w:jc w:val="center"/>
              <w:rPr>
                <w:rFonts w:eastAsia="Times New Roman"/>
              </w:rPr>
            </w:pPr>
            <w:r>
              <w:rPr>
                <w:rFonts w:eastAsia="Times New Roman"/>
                <w:b/>
                <w:bCs/>
                <w:color w:val="000000"/>
                <w:sz w:val="16"/>
                <w:szCs w:val="16"/>
              </w:rPr>
              <w:t>Reduced Interest Rate</w:t>
            </w:r>
          </w:p>
        </w:tc>
        <w:tc>
          <w:tcPr>
            <w:tcW w:w="0" w:type="auto"/>
            <w:gridSpan w:val="3"/>
            <w:tcBorders>
              <w:top w:val="single" w:sz="8" w:space="0" w:color="000000"/>
            </w:tcBorders>
            <w:tcMar>
              <w:top w:w="0" w:type="dxa"/>
              <w:left w:w="20" w:type="dxa"/>
              <w:bottom w:w="0" w:type="dxa"/>
              <w:right w:w="20" w:type="dxa"/>
            </w:tcMar>
            <w:vAlign w:val="center"/>
            <w:hideMark/>
          </w:tcPr>
          <w:p w14:paraId="65B1D1F8" w14:textId="77777777" w:rsidR="00000000" w:rsidRDefault="00405D16">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71D10589" w14:textId="77777777" w:rsidR="00000000" w:rsidRDefault="00405D16">
            <w:pPr>
              <w:spacing w:after="100"/>
              <w:jc w:val="center"/>
              <w:rPr>
                <w:rFonts w:eastAsia="Times New Roman"/>
              </w:rPr>
            </w:pPr>
            <w:r>
              <w:rPr>
                <w:rFonts w:eastAsia="Times New Roman"/>
                <w:b/>
                <w:bCs/>
                <w:color w:val="000000"/>
                <w:sz w:val="16"/>
                <w:szCs w:val="16"/>
              </w:rPr>
              <w:t>Term Extension</w:t>
            </w:r>
          </w:p>
        </w:tc>
        <w:tc>
          <w:tcPr>
            <w:tcW w:w="0" w:type="auto"/>
            <w:gridSpan w:val="3"/>
            <w:vAlign w:val="center"/>
            <w:hideMark/>
          </w:tcPr>
          <w:p w14:paraId="7ACE4EEE" w14:textId="77777777" w:rsidR="00000000" w:rsidRDefault="00405D16">
            <w:pPr>
              <w:spacing w:after="100"/>
              <w:jc w:val="center"/>
              <w:rPr>
                <w:rFonts w:eastAsia="Times New Roman"/>
              </w:rPr>
            </w:pPr>
          </w:p>
        </w:tc>
        <w:tc>
          <w:tcPr>
            <w:tcW w:w="0" w:type="auto"/>
            <w:gridSpan w:val="3"/>
            <w:vAlign w:val="center"/>
            <w:hideMark/>
          </w:tcPr>
          <w:p w14:paraId="57B6EB88" w14:textId="77777777" w:rsidR="00000000" w:rsidRDefault="00405D16">
            <w:pPr>
              <w:spacing w:after="100"/>
              <w:rPr>
                <w:rFonts w:eastAsia="Times New Roman"/>
                <w:sz w:val="20"/>
                <w:szCs w:val="20"/>
              </w:rPr>
            </w:pPr>
          </w:p>
        </w:tc>
        <w:tc>
          <w:tcPr>
            <w:tcW w:w="0" w:type="auto"/>
            <w:vAlign w:val="center"/>
            <w:hideMark/>
          </w:tcPr>
          <w:p w14:paraId="1F76AFFA" w14:textId="77777777" w:rsidR="00000000" w:rsidRDefault="00405D16">
            <w:pPr>
              <w:spacing w:after="100"/>
              <w:rPr>
                <w:rFonts w:eastAsia="Times New Roman"/>
                <w:sz w:val="20"/>
                <w:szCs w:val="20"/>
              </w:rPr>
            </w:pPr>
          </w:p>
        </w:tc>
        <w:tc>
          <w:tcPr>
            <w:tcW w:w="0" w:type="auto"/>
            <w:vAlign w:val="center"/>
            <w:hideMark/>
          </w:tcPr>
          <w:p w14:paraId="2749CF0E" w14:textId="77777777" w:rsidR="00000000" w:rsidRDefault="00405D16">
            <w:pPr>
              <w:spacing w:after="100"/>
              <w:rPr>
                <w:rFonts w:eastAsia="Times New Roman"/>
                <w:sz w:val="20"/>
                <w:szCs w:val="20"/>
              </w:rPr>
            </w:pPr>
          </w:p>
        </w:tc>
        <w:tc>
          <w:tcPr>
            <w:tcW w:w="0" w:type="auto"/>
            <w:vAlign w:val="center"/>
            <w:hideMark/>
          </w:tcPr>
          <w:p w14:paraId="55991FA1" w14:textId="77777777" w:rsidR="00000000" w:rsidRDefault="00405D16">
            <w:pPr>
              <w:spacing w:after="100"/>
              <w:rPr>
                <w:rFonts w:eastAsia="Times New Roman"/>
                <w:sz w:val="20"/>
                <w:szCs w:val="20"/>
              </w:rPr>
            </w:pPr>
          </w:p>
        </w:tc>
        <w:tc>
          <w:tcPr>
            <w:tcW w:w="0" w:type="auto"/>
            <w:vAlign w:val="center"/>
            <w:hideMark/>
          </w:tcPr>
          <w:p w14:paraId="6E5F51A1" w14:textId="77777777" w:rsidR="00000000" w:rsidRDefault="00405D16">
            <w:pPr>
              <w:spacing w:after="100"/>
              <w:rPr>
                <w:rFonts w:eastAsia="Times New Roman"/>
                <w:sz w:val="20"/>
                <w:szCs w:val="20"/>
              </w:rPr>
            </w:pPr>
          </w:p>
        </w:tc>
        <w:tc>
          <w:tcPr>
            <w:tcW w:w="0" w:type="auto"/>
            <w:vAlign w:val="center"/>
            <w:hideMark/>
          </w:tcPr>
          <w:p w14:paraId="59CB8E24" w14:textId="77777777" w:rsidR="00000000" w:rsidRDefault="00405D16">
            <w:pPr>
              <w:spacing w:after="100"/>
              <w:rPr>
                <w:rFonts w:eastAsia="Times New Roman"/>
                <w:sz w:val="20"/>
                <w:szCs w:val="20"/>
              </w:rPr>
            </w:pPr>
          </w:p>
        </w:tc>
        <w:tc>
          <w:tcPr>
            <w:tcW w:w="0" w:type="auto"/>
            <w:vAlign w:val="center"/>
            <w:hideMark/>
          </w:tcPr>
          <w:p w14:paraId="7118D045" w14:textId="77777777" w:rsidR="00000000" w:rsidRDefault="00405D16">
            <w:pPr>
              <w:spacing w:after="100"/>
              <w:rPr>
                <w:rFonts w:eastAsia="Times New Roman"/>
                <w:sz w:val="20"/>
                <w:szCs w:val="20"/>
              </w:rPr>
            </w:pPr>
          </w:p>
        </w:tc>
      </w:tr>
      <w:tr w:rsidR="00000000" w14:paraId="4E65B707" w14:textId="77777777">
        <w:trPr>
          <w:divId w:val="1505316810"/>
        </w:trPr>
        <w:tc>
          <w:tcPr>
            <w:tcW w:w="0" w:type="auto"/>
            <w:gridSpan w:val="3"/>
            <w:tcMar>
              <w:top w:w="30" w:type="dxa"/>
              <w:left w:w="20" w:type="dxa"/>
              <w:bottom w:w="30" w:type="dxa"/>
              <w:right w:w="20" w:type="dxa"/>
            </w:tcMar>
            <w:vAlign w:val="bottom"/>
            <w:hideMark/>
          </w:tcPr>
          <w:p w14:paraId="34CC932A"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27368F9F" w14:textId="77777777" w:rsidR="00000000" w:rsidRDefault="00405D16">
            <w:pPr>
              <w:spacing w:after="100"/>
              <w:rPr>
                <w:rFonts w:eastAsia="Times New Roman"/>
              </w:rPr>
            </w:pPr>
          </w:p>
        </w:tc>
        <w:tc>
          <w:tcPr>
            <w:tcW w:w="0" w:type="auto"/>
            <w:gridSpan w:val="3"/>
            <w:tcMar>
              <w:top w:w="30" w:type="dxa"/>
              <w:left w:w="20" w:type="dxa"/>
              <w:bottom w:w="30" w:type="dxa"/>
              <w:right w:w="20" w:type="dxa"/>
            </w:tcMar>
            <w:vAlign w:val="bottom"/>
            <w:hideMark/>
          </w:tcPr>
          <w:p w14:paraId="733086AC" w14:textId="77777777" w:rsidR="00000000" w:rsidRDefault="00405D16">
            <w:pPr>
              <w:spacing w:after="100"/>
              <w:jc w:val="center"/>
              <w:rPr>
                <w:rFonts w:eastAsia="Times New Roman"/>
              </w:rPr>
            </w:pPr>
            <w:r>
              <w:rPr>
                <w:rFonts w:eastAsia="Times New Roman"/>
                <w:b/>
                <w:bCs/>
                <w:color w:val="000000"/>
                <w:sz w:val="16"/>
                <w:szCs w:val="16"/>
              </w:rPr>
              <w:t>Total Loans Modifie</w:t>
            </w:r>
            <w:r>
              <w:rPr>
                <w:rFonts w:eastAsia="Times New Roman"/>
                <w:b/>
                <w:bCs/>
                <w:color w:val="000000"/>
                <w:sz w:val="16"/>
                <w:szCs w:val="16"/>
              </w:rPr>
              <w:t>d</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27AB725E"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74F399E" w14:textId="77777777" w:rsidR="00000000" w:rsidRDefault="00405D16">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35624874"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6824CE8" w14:textId="77777777" w:rsidR="00000000" w:rsidRDefault="00405D16">
            <w:pPr>
              <w:spacing w:after="100"/>
              <w:jc w:val="center"/>
              <w:rPr>
                <w:rFonts w:eastAsia="Times New Roman"/>
              </w:rPr>
            </w:pPr>
            <w:r>
              <w:rPr>
                <w:rFonts w:eastAsia="Times New Roman"/>
                <w:b/>
                <w:bCs/>
                <w:color w:val="000000"/>
                <w:sz w:val="16"/>
                <w:szCs w:val="16"/>
              </w:rPr>
              <w:t>Average Rate Reduction</w:t>
            </w:r>
          </w:p>
        </w:tc>
        <w:tc>
          <w:tcPr>
            <w:tcW w:w="0" w:type="auto"/>
            <w:gridSpan w:val="3"/>
            <w:tcMar>
              <w:top w:w="0" w:type="dxa"/>
              <w:left w:w="20" w:type="dxa"/>
              <w:bottom w:w="0" w:type="dxa"/>
              <w:right w:w="20" w:type="dxa"/>
            </w:tcMar>
            <w:vAlign w:val="center"/>
            <w:hideMark/>
          </w:tcPr>
          <w:p w14:paraId="1FCD0DB1"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892F5A0" w14:textId="77777777" w:rsidR="00000000" w:rsidRDefault="00405D16">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58E5C90D"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25ECDF8" w14:textId="77777777" w:rsidR="00000000" w:rsidRDefault="00405D16">
            <w:pPr>
              <w:spacing w:after="100"/>
              <w:jc w:val="center"/>
              <w:rPr>
                <w:rFonts w:eastAsia="Times New Roman"/>
              </w:rPr>
            </w:pPr>
            <w:r>
              <w:rPr>
                <w:rFonts w:eastAsia="Times New Roman"/>
                <w:b/>
                <w:bCs/>
                <w:color w:val="000000"/>
                <w:sz w:val="16"/>
                <w:szCs w:val="16"/>
              </w:rPr>
              <w:t>Average Term Extension (Months)</w:t>
            </w:r>
          </w:p>
        </w:tc>
        <w:tc>
          <w:tcPr>
            <w:tcW w:w="0" w:type="auto"/>
            <w:gridSpan w:val="3"/>
            <w:vAlign w:val="center"/>
            <w:hideMark/>
          </w:tcPr>
          <w:p w14:paraId="0A105932" w14:textId="77777777" w:rsidR="00000000" w:rsidRDefault="00405D16">
            <w:pPr>
              <w:spacing w:after="100"/>
              <w:jc w:val="center"/>
              <w:rPr>
                <w:rFonts w:eastAsia="Times New Roman"/>
              </w:rPr>
            </w:pPr>
          </w:p>
        </w:tc>
        <w:tc>
          <w:tcPr>
            <w:tcW w:w="0" w:type="auto"/>
            <w:gridSpan w:val="3"/>
            <w:vAlign w:val="center"/>
            <w:hideMark/>
          </w:tcPr>
          <w:p w14:paraId="303A8C30" w14:textId="77777777" w:rsidR="00000000" w:rsidRDefault="00405D16">
            <w:pPr>
              <w:spacing w:after="100"/>
              <w:rPr>
                <w:rFonts w:eastAsia="Times New Roman"/>
                <w:sz w:val="20"/>
                <w:szCs w:val="20"/>
              </w:rPr>
            </w:pPr>
          </w:p>
        </w:tc>
        <w:tc>
          <w:tcPr>
            <w:tcW w:w="0" w:type="auto"/>
            <w:gridSpan w:val="3"/>
            <w:vAlign w:val="center"/>
            <w:hideMark/>
          </w:tcPr>
          <w:p w14:paraId="5120E0AC" w14:textId="77777777" w:rsidR="00000000" w:rsidRDefault="00405D16">
            <w:pPr>
              <w:spacing w:after="100"/>
              <w:rPr>
                <w:rFonts w:eastAsia="Times New Roman"/>
                <w:sz w:val="20"/>
                <w:szCs w:val="20"/>
              </w:rPr>
            </w:pPr>
          </w:p>
        </w:tc>
        <w:tc>
          <w:tcPr>
            <w:tcW w:w="0" w:type="auto"/>
            <w:gridSpan w:val="3"/>
            <w:vAlign w:val="center"/>
            <w:hideMark/>
          </w:tcPr>
          <w:p w14:paraId="75580FDE" w14:textId="77777777" w:rsidR="00000000" w:rsidRDefault="00405D16">
            <w:pPr>
              <w:spacing w:after="100"/>
              <w:rPr>
                <w:rFonts w:eastAsia="Times New Roman"/>
                <w:sz w:val="20"/>
                <w:szCs w:val="20"/>
              </w:rPr>
            </w:pPr>
          </w:p>
        </w:tc>
      </w:tr>
      <w:tr w:rsidR="00000000" w14:paraId="18BA665D" w14:textId="77777777">
        <w:trPr>
          <w:divId w:val="150531681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F2B594B" w14:textId="77777777" w:rsidR="00000000" w:rsidRDefault="00405D16">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14:paraId="2D0D4C3E"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232B0A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AEDC9E"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85261D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80DAD5"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9581A2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EF74D3"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461A0C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613813"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CB10592" w14:textId="77777777" w:rsidR="00000000" w:rsidRDefault="00405D16">
            <w:pPr>
              <w:spacing w:after="100"/>
              <w:rPr>
                <w:rFonts w:eastAsia="Times New Roman"/>
                <w:sz w:val="20"/>
                <w:szCs w:val="20"/>
              </w:rPr>
            </w:pPr>
          </w:p>
        </w:tc>
        <w:tc>
          <w:tcPr>
            <w:tcW w:w="0" w:type="auto"/>
            <w:gridSpan w:val="3"/>
            <w:vAlign w:val="center"/>
            <w:hideMark/>
          </w:tcPr>
          <w:p w14:paraId="6E2F959E" w14:textId="77777777" w:rsidR="00000000" w:rsidRDefault="00405D16">
            <w:pPr>
              <w:spacing w:after="100"/>
              <w:rPr>
                <w:rFonts w:eastAsia="Times New Roman"/>
                <w:sz w:val="20"/>
                <w:szCs w:val="20"/>
              </w:rPr>
            </w:pPr>
          </w:p>
        </w:tc>
        <w:tc>
          <w:tcPr>
            <w:tcW w:w="0" w:type="auto"/>
            <w:gridSpan w:val="3"/>
            <w:vAlign w:val="center"/>
            <w:hideMark/>
          </w:tcPr>
          <w:p w14:paraId="328BB799" w14:textId="77777777" w:rsidR="00000000" w:rsidRDefault="00405D16">
            <w:pPr>
              <w:spacing w:after="100"/>
              <w:rPr>
                <w:rFonts w:eastAsia="Times New Roman"/>
                <w:sz w:val="20"/>
                <w:szCs w:val="20"/>
              </w:rPr>
            </w:pPr>
          </w:p>
        </w:tc>
        <w:tc>
          <w:tcPr>
            <w:tcW w:w="0" w:type="auto"/>
            <w:gridSpan w:val="3"/>
            <w:vAlign w:val="center"/>
            <w:hideMark/>
          </w:tcPr>
          <w:p w14:paraId="350F4352" w14:textId="77777777" w:rsidR="00000000" w:rsidRDefault="00405D16">
            <w:pPr>
              <w:spacing w:after="100"/>
              <w:rPr>
                <w:rFonts w:eastAsia="Times New Roman"/>
                <w:sz w:val="20"/>
                <w:szCs w:val="20"/>
              </w:rPr>
            </w:pPr>
          </w:p>
        </w:tc>
        <w:tc>
          <w:tcPr>
            <w:tcW w:w="0" w:type="auto"/>
            <w:gridSpan w:val="3"/>
            <w:vAlign w:val="center"/>
            <w:hideMark/>
          </w:tcPr>
          <w:p w14:paraId="2596795B" w14:textId="77777777" w:rsidR="00000000" w:rsidRDefault="00405D16">
            <w:pPr>
              <w:spacing w:after="100"/>
              <w:rPr>
                <w:rFonts w:eastAsia="Times New Roman"/>
                <w:sz w:val="20"/>
                <w:szCs w:val="20"/>
              </w:rPr>
            </w:pPr>
          </w:p>
        </w:tc>
      </w:tr>
      <w:tr w:rsidR="00000000" w14:paraId="1118E2AF" w14:textId="77777777">
        <w:trPr>
          <w:divId w:val="1505316810"/>
        </w:trPr>
        <w:tc>
          <w:tcPr>
            <w:tcW w:w="0" w:type="auto"/>
            <w:gridSpan w:val="3"/>
            <w:shd w:val="clear" w:color="auto" w:fill="FFFFFF"/>
            <w:tcMar>
              <w:top w:w="30" w:type="dxa"/>
              <w:left w:w="245" w:type="dxa"/>
              <w:bottom w:w="30" w:type="dxa"/>
              <w:right w:w="20" w:type="dxa"/>
            </w:tcMar>
            <w:vAlign w:val="center"/>
            <w:hideMark/>
          </w:tcPr>
          <w:p w14:paraId="41F5AA25" w14:textId="77777777" w:rsidR="00000000" w:rsidRDefault="00405D16">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14:paraId="088D154D"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2776E5DE"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175D46A6" w14:textId="77777777" w:rsidR="00000000" w:rsidRDefault="00405D16">
            <w:pPr>
              <w:spacing w:after="100"/>
              <w:jc w:val="right"/>
              <w:rPr>
                <w:rFonts w:eastAsia="Times New Roman"/>
              </w:rPr>
            </w:pPr>
            <w:r>
              <w:rPr>
                <w:rFonts w:eastAsia="Times New Roman"/>
                <w:b/>
                <w:bCs/>
                <w:color w:val="000000"/>
                <w:sz w:val="18"/>
                <w:szCs w:val="18"/>
              </w:rPr>
              <w:t>37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06C0F5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956FE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BF37932" w14:textId="77777777" w:rsidR="00000000" w:rsidRDefault="00405D16">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67D1928"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83ACA87"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2788351" w14:textId="77777777" w:rsidR="00000000" w:rsidRDefault="00405D16">
            <w:pPr>
              <w:spacing w:after="100"/>
              <w:jc w:val="right"/>
              <w:rPr>
                <w:rFonts w:eastAsia="Times New Roman"/>
              </w:rPr>
            </w:pPr>
            <w:r>
              <w:rPr>
                <w:rFonts w:eastAsia="Times New Roman"/>
                <w:b/>
                <w:bCs/>
                <w:color w:val="000000"/>
                <w:sz w:val="18"/>
                <w:szCs w:val="18"/>
              </w:rPr>
              <w:t>15.80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452B84E"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475682C"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72A1FAD"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60DF275"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01B5EB4" w14:textId="77777777" w:rsidR="00000000" w:rsidRDefault="00405D16">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550CDDF4" w14:textId="77777777" w:rsidR="00000000" w:rsidRDefault="00405D16">
            <w:pPr>
              <w:spacing w:after="100"/>
              <w:jc w:val="right"/>
              <w:rPr>
                <w:rFonts w:eastAsia="Times New Roman"/>
              </w:rPr>
            </w:pPr>
            <w:r>
              <w:rPr>
                <w:rFonts w:eastAsia="Times New Roman"/>
                <w:b/>
                <w:bCs/>
                <w:color w:val="000000"/>
                <w:sz w:val="18"/>
                <w:szCs w:val="18"/>
              </w:rPr>
              <w:t>0</w:t>
            </w:r>
          </w:p>
        </w:tc>
        <w:tc>
          <w:tcPr>
            <w:tcW w:w="0" w:type="auto"/>
            <w:gridSpan w:val="3"/>
            <w:vAlign w:val="center"/>
            <w:hideMark/>
          </w:tcPr>
          <w:p w14:paraId="69ABCD2E" w14:textId="77777777" w:rsidR="00000000" w:rsidRDefault="00405D16">
            <w:pPr>
              <w:spacing w:after="100"/>
              <w:jc w:val="right"/>
              <w:rPr>
                <w:rFonts w:eastAsia="Times New Roman"/>
              </w:rPr>
            </w:pPr>
          </w:p>
        </w:tc>
        <w:tc>
          <w:tcPr>
            <w:tcW w:w="0" w:type="auto"/>
            <w:gridSpan w:val="3"/>
            <w:vAlign w:val="center"/>
            <w:hideMark/>
          </w:tcPr>
          <w:p w14:paraId="7EEB3AFE" w14:textId="77777777" w:rsidR="00000000" w:rsidRDefault="00405D16">
            <w:pPr>
              <w:spacing w:after="100"/>
              <w:rPr>
                <w:rFonts w:eastAsia="Times New Roman"/>
                <w:sz w:val="20"/>
                <w:szCs w:val="20"/>
              </w:rPr>
            </w:pPr>
          </w:p>
        </w:tc>
        <w:tc>
          <w:tcPr>
            <w:tcW w:w="0" w:type="auto"/>
            <w:gridSpan w:val="3"/>
            <w:vAlign w:val="center"/>
            <w:hideMark/>
          </w:tcPr>
          <w:p w14:paraId="214327F3" w14:textId="77777777" w:rsidR="00000000" w:rsidRDefault="00405D16">
            <w:pPr>
              <w:spacing w:after="100"/>
              <w:rPr>
                <w:rFonts w:eastAsia="Times New Roman"/>
                <w:sz w:val="20"/>
                <w:szCs w:val="20"/>
              </w:rPr>
            </w:pPr>
          </w:p>
        </w:tc>
        <w:tc>
          <w:tcPr>
            <w:tcW w:w="0" w:type="auto"/>
            <w:gridSpan w:val="3"/>
            <w:vAlign w:val="center"/>
            <w:hideMark/>
          </w:tcPr>
          <w:p w14:paraId="28604A8E" w14:textId="77777777" w:rsidR="00000000" w:rsidRDefault="00405D16">
            <w:pPr>
              <w:spacing w:after="100"/>
              <w:rPr>
                <w:rFonts w:eastAsia="Times New Roman"/>
                <w:sz w:val="20"/>
                <w:szCs w:val="20"/>
              </w:rPr>
            </w:pPr>
          </w:p>
        </w:tc>
      </w:tr>
      <w:tr w:rsidR="00000000" w14:paraId="6886FF7C" w14:textId="77777777">
        <w:trPr>
          <w:divId w:val="1505316810"/>
        </w:trPr>
        <w:tc>
          <w:tcPr>
            <w:tcW w:w="0" w:type="auto"/>
            <w:gridSpan w:val="3"/>
            <w:shd w:val="clear" w:color="auto" w:fill="CCEEFF"/>
            <w:tcMar>
              <w:top w:w="30" w:type="dxa"/>
              <w:left w:w="245" w:type="dxa"/>
              <w:bottom w:w="30" w:type="dxa"/>
              <w:right w:w="20" w:type="dxa"/>
            </w:tcMar>
            <w:vAlign w:val="center"/>
            <w:hideMark/>
          </w:tcPr>
          <w:p w14:paraId="02BD16CA" w14:textId="77777777" w:rsidR="00000000" w:rsidRDefault="00405D16">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14:paraId="2B1FF43D"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3E98C20" w14:textId="77777777" w:rsidR="00000000" w:rsidRDefault="00405D16">
            <w:pPr>
              <w:spacing w:after="100"/>
              <w:jc w:val="right"/>
              <w:rPr>
                <w:rFonts w:eastAsia="Times New Roman"/>
              </w:rPr>
            </w:pPr>
            <w:r>
              <w:rPr>
                <w:rFonts w:eastAsia="Times New Roman"/>
                <w:b/>
                <w:bCs/>
                <w:color w:val="000000"/>
                <w:sz w:val="18"/>
                <w:szCs w:val="18"/>
              </w:rPr>
              <w:t>28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1B1687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006F1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1B2E6D3" w14:textId="77777777" w:rsidR="00000000" w:rsidRDefault="00405D16">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74E174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DFC48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8843341" w14:textId="77777777" w:rsidR="00000000" w:rsidRDefault="00405D16">
            <w:pPr>
              <w:spacing w:after="100"/>
              <w:jc w:val="right"/>
              <w:rPr>
                <w:rFonts w:eastAsia="Times New Roman"/>
              </w:rPr>
            </w:pPr>
            <w:r>
              <w:rPr>
                <w:rFonts w:eastAsia="Times New Roman"/>
                <w:b/>
                <w:bCs/>
                <w:color w:val="000000"/>
                <w:sz w:val="18"/>
                <w:szCs w:val="18"/>
              </w:rPr>
              <w:t>27.75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2AF433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B37A5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8683244"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05D476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89E995"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14:paraId="66D2A975" w14:textId="77777777" w:rsidR="00000000" w:rsidRDefault="00405D16">
            <w:pPr>
              <w:spacing w:after="100"/>
              <w:jc w:val="right"/>
              <w:rPr>
                <w:rFonts w:eastAsia="Times New Roman"/>
              </w:rPr>
            </w:pPr>
            <w:r>
              <w:rPr>
                <w:rFonts w:eastAsia="Times New Roman"/>
                <w:b/>
                <w:bCs/>
                <w:color w:val="000000"/>
                <w:sz w:val="18"/>
                <w:szCs w:val="18"/>
              </w:rPr>
              <w:t>0</w:t>
            </w:r>
          </w:p>
        </w:tc>
        <w:tc>
          <w:tcPr>
            <w:tcW w:w="0" w:type="auto"/>
            <w:gridSpan w:val="3"/>
            <w:vAlign w:val="center"/>
            <w:hideMark/>
          </w:tcPr>
          <w:p w14:paraId="3ABBDBC8" w14:textId="77777777" w:rsidR="00000000" w:rsidRDefault="00405D16">
            <w:pPr>
              <w:spacing w:after="100"/>
              <w:jc w:val="right"/>
              <w:rPr>
                <w:rFonts w:eastAsia="Times New Roman"/>
              </w:rPr>
            </w:pPr>
          </w:p>
        </w:tc>
        <w:tc>
          <w:tcPr>
            <w:tcW w:w="0" w:type="auto"/>
            <w:gridSpan w:val="3"/>
            <w:vAlign w:val="center"/>
            <w:hideMark/>
          </w:tcPr>
          <w:p w14:paraId="53EB5163" w14:textId="77777777" w:rsidR="00000000" w:rsidRDefault="00405D16">
            <w:pPr>
              <w:spacing w:after="100"/>
              <w:rPr>
                <w:rFonts w:eastAsia="Times New Roman"/>
                <w:sz w:val="20"/>
                <w:szCs w:val="20"/>
              </w:rPr>
            </w:pPr>
          </w:p>
        </w:tc>
        <w:tc>
          <w:tcPr>
            <w:tcW w:w="0" w:type="auto"/>
            <w:gridSpan w:val="3"/>
            <w:vAlign w:val="center"/>
            <w:hideMark/>
          </w:tcPr>
          <w:p w14:paraId="059E129E" w14:textId="77777777" w:rsidR="00000000" w:rsidRDefault="00405D16">
            <w:pPr>
              <w:spacing w:after="100"/>
              <w:rPr>
                <w:rFonts w:eastAsia="Times New Roman"/>
                <w:sz w:val="20"/>
                <w:szCs w:val="20"/>
              </w:rPr>
            </w:pPr>
          </w:p>
        </w:tc>
        <w:tc>
          <w:tcPr>
            <w:tcW w:w="0" w:type="auto"/>
            <w:gridSpan w:val="3"/>
            <w:vAlign w:val="center"/>
            <w:hideMark/>
          </w:tcPr>
          <w:p w14:paraId="1C3CEE19" w14:textId="77777777" w:rsidR="00000000" w:rsidRDefault="00405D16">
            <w:pPr>
              <w:spacing w:after="100"/>
              <w:rPr>
                <w:rFonts w:eastAsia="Times New Roman"/>
                <w:sz w:val="20"/>
                <w:szCs w:val="20"/>
              </w:rPr>
            </w:pPr>
          </w:p>
        </w:tc>
      </w:tr>
      <w:tr w:rsidR="00000000" w14:paraId="11648482" w14:textId="77777777">
        <w:trPr>
          <w:divId w:val="1505316810"/>
        </w:trPr>
        <w:tc>
          <w:tcPr>
            <w:tcW w:w="0" w:type="auto"/>
            <w:gridSpan w:val="3"/>
            <w:shd w:val="clear" w:color="auto" w:fill="FFFFFF"/>
            <w:tcMar>
              <w:top w:w="30" w:type="dxa"/>
              <w:left w:w="20" w:type="dxa"/>
              <w:bottom w:w="30" w:type="dxa"/>
              <w:right w:w="20" w:type="dxa"/>
            </w:tcMar>
            <w:vAlign w:val="center"/>
            <w:hideMark/>
          </w:tcPr>
          <w:p w14:paraId="1E04200D" w14:textId="77777777" w:rsidR="00000000" w:rsidRDefault="00405D16">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14:paraId="1F4E4AB2"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9945C71" w14:textId="77777777" w:rsidR="00000000" w:rsidRDefault="00405D16">
            <w:pPr>
              <w:spacing w:after="100"/>
              <w:jc w:val="right"/>
              <w:rPr>
                <w:rFonts w:eastAsia="Times New Roman"/>
              </w:rPr>
            </w:pPr>
            <w:r>
              <w:rPr>
                <w:rFonts w:eastAsia="Times New Roman"/>
                <w:b/>
                <w:bCs/>
                <w:color w:val="000000"/>
                <w:sz w:val="18"/>
                <w:szCs w:val="18"/>
              </w:rPr>
              <w:t>65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BAB235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783EC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30C9D79" w14:textId="77777777" w:rsidR="00000000" w:rsidRDefault="00405D16">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602149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DD5C7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F32340C" w14:textId="77777777" w:rsidR="00000000" w:rsidRDefault="00405D16">
            <w:pPr>
              <w:spacing w:after="100"/>
              <w:jc w:val="right"/>
              <w:rPr>
                <w:rFonts w:eastAsia="Times New Roman"/>
              </w:rPr>
            </w:pPr>
            <w:r>
              <w:rPr>
                <w:rFonts w:eastAsia="Times New Roman"/>
                <w:b/>
                <w:bCs/>
                <w:color w:val="000000"/>
                <w:sz w:val="18"/>
                <w:szCs w:val="18"/>
              </w:rPr>
              <w:t>20.90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403AE3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4039F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6FDAB66"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CA557F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2DB9B6"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4B3A606B" w14:textId="77777777" w:rsidR="00000000" w:rsidRDefault="00405D16">
            <w:pPr>
              <w:spacing w:after="100"/>
              <w:jc w:val="right"/>
              <w:rPr>
                <w:rFonts w:eastAsia="Times New Roman"/>
              </w:rPr>
            </w:pPr>
            <w:r>
              <w:rPr>
                <w:rFonts w:eastAsia="Times New Roman"/>
                <w:b/>
                <w:bCs/>
                <w:color w:val="000000"/>
                <w:sz w:val="18"/>
                <w:szCs w:val="18"/>
              </w:rPr>
              <w:t>0</w:t>
            </w:r>
          </w:p>
        </w:tc>
        <w:tc>
          <w:tcPr>
            <w:tcW w:w="0" w:type="auto"/>
            <w:gridSpan w:val="3"/>
            <w:vAlign w:val="center"/>
            <w:hideMark/>
          </w:tcPr>
          <w:p w14:paraId="1991D8E4" w14:textId="77777777" w:rsidR="00000000" w:rsidRDefault="00405D16">
            <w:pPr>
              <w:spacing w:after="100"/>
              <w:jc w:val="right"/>
              <w:rPr>
                <w:rFonts w:eastAsia="Times New Roman"/>
              </w:rPr>
            </w:pPr>
          </w:p>
        </w:tc>
        <w:tc>
          <w:tcPr>
            <w:tcW w:w="0" w:type="auto"/>
            <w:gridSpan w:val="3"/>
            <w:vAlign w:val="center"/>
            <w:hideMark/>
          </w:tcPr>
          <w:p w14:paraId="0B3A6B83" w14:textId="77777777" w:rsidR="00000000" w:rsidRDefault="00405D16">
            <w:pPr>
              <w:spacing w:after="100"/>
              <w:rPr>
                <w:rFonts w:eastAsia="Times New Roman"/>
                <w:sz w:val="20"/>
                <w:szCs w:val="20"/>
              </w:rPr>
            </w:pPr>
          </w:p>
        </w:tc>
        <w:tc>
          <w:tcPr>
            <w:tcW w:w="0" w:type="auto"/>
            <w:gridSpan w:val="3"/>
            <w:vAlign w:val="center"/>
            <w:hideMark/>
          </w:tcPr>
          <w:p w14:paraId="5B3B3B68" w14:textId="77777777" w:rsidR="00000000" w:rsidRDefault="00405D16">
            <w:pPr>
              <w:spacing w:after="100"/>
              <w:rPr>
                <w:rFonts w:eastAsia="Times New Roman"/>
                <w:sz w:val="20"/>
                <w:szCs w:val="20"/>
              </w:rPr>
            </w:pPr>
          </w:p>
        </w:tc>
        <w:tc>
          <w:tcPr>
            <w:tcW w:w="0" w:type="auto"/>
            <w:gridSpan w:val="3"/>
            <w:vAlign w:val="center"/>
            <w:hideMark/>
          </w:tcPr>
          <w:p w14:paraId="0A62F52D" w14:textId="77777777" w:rsidR="00000000" w:rsidRDefault="00405D16">
            <w:pPr>
              <w:spacing w:after="100"/>
              <w:rPr>
                <w:rFonts w:eastAsia="Times New Roman"/>
                <w:sz w:val="20"/>
                <w:szCs w:val="20"/>
              </w:rPr>
            </w:pPr>
          </w:p>
        </w:tc>
      </w:tr>
      <w:tr w:rsidR="00000000" w14:paraId="23A35BEE" w14:textId="77777777">
        <w:trPr>
          <w:divId w:val="1505316810"/>
        </w:trPr>
        <w:tc>
          <w:tcPr>
            <w:tcW w:w="0" w:type="auto"/>
            <w:gridSpan w:val="3"/>
            <w:shd w:val="clear" w:color="auto" w:fill="CCEEFF"/>
            <w:tcMar>
              <w:top w:w="30" w:type="dxa"/>
              <w:left w:w="20" w:type="dxa"/>
              <w:bottom w:w="30" w:type="dxa"/>
              <w:right w:w="20" w:type="dxa"/>
            </w:tcMar>
            <w:vAlign w:val="center"/>
            <w:hideMark/>
          </w:tcPr>
          <w:p w14:paraId="583C3BCD" w14:textId="77777777" w:rsidR="00000000" w:rsidRDefault="00405D16">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14:paraId="19CF19BE"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91B419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AF7D0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5CE44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ADD34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901F9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17DB6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492DE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72B9D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4FDBB9" w14:textId="77777777" w:rsidR="00000000" w:rsidRDefault="00405D16">
            <w:pPr>
              <w:spacing w:after="100"/>
              <w:rPr>
                <w:rFonts w:eastAsia="Times New Roman"/>
                <w:sz w:val="20"/>
                <w:szCs w:val="20"/>
              </w:rPr>
            </w:pPr>
          </w:p>
        </w:tc>
        <w:tc>
          <w:tcPr>
            <w:tcW w:w="0" w:type="auto"/>
            <w:gridSpan w:val="3"/>
            <w:vAlign w:val="center"/>
            <w:hideMark/>
          </w:tcPr>
          <w:p w14:paraId="53AD1CA6" w14:textId="77777777" w:rsidR="00000000" w:rsidRDefault="00405D16">
            <w:pPr>
              <w:spacing w:after="100"/>
              <w:rPr>
                <w:rFonts w:eastAsia="Times New Roman"/>
                <w:sz w:val="20"/>
                <w:szCs w:val="20"/>
              </w:rPr>
            </w:pPr>
          </w:p>
        </w:tc>
        <w:tc>
          <w:tcPr>
            <w:tcW w:w="0" w:type="auto"/>
            <w:gridSpan w:val="3"/>
            <w:vAlign w:val="center"/>
            <w:hideMark/>
          </w:tcPr>
          <w:p w14:paraId="33310158" w14:textId="77777777" w:rsidR="00000000" w:rsidRDefault="00405D16">
            <w:pPr>
              <w:spacing w:after="100"/>
              <w:rPr>
                <w:rFonts w:eastAsia="Times New Roman"/>
                <w:sz w:val="20"/>
                <w:szCs w:val="20"/>
              </w:rPr>
            </w:pPr>
          </w:p>
        </w:tc>
        <w:tc>
          <w:tcPr>
            <w:tcW w:w="0" w:type="auto"/>
            <w:gridSpan w:val="3"/>
            <w:vAlign w:val="center"/>
            <w:hideMark/>
          </w:tcPr>
          <w:p w14:paraId="7A0D5C2A" w14:textId="77777777" w:rsidR="00000000" w:rsidRDefault="00405D16">
            <w:pPr>
              <w:spacing w:after="100"/>
              <w:rPr>
                <w:rFonts w:eastAsia="Times New Roman"/>
                <w:sz w:val="20"/>
                <w:szCs w:val="20"/>
              </w:rPr>
            </w:pPr>
          </w:p>
        </w:tc>
        <w:tc>
          <w:tcPr>
            <w:tcW w:w="0" w:type="auto"/>
            <w:gridSpan w:val="3"/>
            <w:vAlign w:val="center"/>
            <w:hideMark/>
          </w:tcPr>
          <w:p w14:paraId="6D95B73C" w14:textId="77777777" w:rsidR="00000000" w:rsidRDefault="00405D16">
            <w:pPr>
              <w:spacing w:after="100"/>
              <w:rPr>
                <w:rFonts w:eastAsia="Times New Roman"/>
                <w:sz w:val="20"/>
                <w:szCs w:val="20"/>
              </w:rPr>
            </w:pPr>
          </w:p>
        </w:tc>
      </w:tr>
      <w:tr w:rsidR="00000000" w14:paraId="7C5CDB42" w14:textId="77777777">
        <w:trPr>
          <w:divId w:val="1505316810"/>
        </w:trPr>
        <w:tc>
          <w:tcPr>
            <w:tcW w:w="0" w:type="auto"/>
            <w:gridSpan w:val="3"/>
            <w:shd w:val="clear" w:color="auto" w:fill="FFFFFF"/>
            <w:tcMar>
              <w:top w:w="30" w:type="dxa"/>
              <w:left w:w="245" w:type="dxa"/>
              <w:bottom w:w="30" w:type="dxa"/>
              <w:right w:w="20" w:type="dxa"/>
            </w:tcMar>
            <w:vAlign w:val="center"/>
            <w:hideMark/>
          </w:tcPr>
          <w:p w14:paraId="4D0A78ED" w14:textId="77777777" w:rsidR="00000000" w:rsidRDefault="00405D16">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14:paraId="25CDF02B"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88373D1" w14:textId="77777777" w:rsidR="00000000" w:rsidRDefault="00405D16">
            <w:pPr>
              <w:spacing w:after="100"/>
              <w:jc w:val="right"/>
              <w:rPr>
                <w:rFonts w:eastAsia="Times New Roman"/>
              </w:rPr>
            </w:pPr>
            <w:r>
              <w:rPr>
                <w:rFonts w:eastAsia="Times New Roman"/>
                <w:b/>
                <w:bCs/>
                <w:color w:val="000000"/>
                <w:sz w:val="18"/>
                <w:szCs w:val="18"/>
              </w:rPr>
              <w:t>89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5FEFCB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3269A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30CE03A" w14:textId="77777777" w:rsidR="00000000" w:rsidRDefault="00405D16">
            <w:pPr>
              <w:spacing w:after="100"/>
              <w:jc w:val="right"/>
              <w:rPr>
                <w:rFonts w:eastAsia="Times New Roman"/>
              </w:rPr>
            </w:pPr>
            <w:r>
              <w:rPr>
                <w:rFonts w:eastAsia="Times New Roman"/>
                <w:b/>
                <w:bCs/>
                <w:color w:val="000000"/>
                <w:sz w:val="18"/>
                <w:szCs w:val="18"/>
              </w:rPr>
              <w:t>48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002C48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3B008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3903AF2" w14:textId="77777777" w:rsidR="00000000" w:rsidRDefault="00405D16">
            <w:pPr>
              <w:spacing w:after="100"/>
              <w:jc w:val="right"/>
              <w:rPr>
                <w:rFonts w:eastAsia="Times New Roman"/>
              </w:rPr>
            </w:pPr>
            <w:r>
              <w:rPr>
                <w:rFonts w:eastAsia="Times New Roman"/>
                <w:b/>
                <w:bCs/>
                <w:color w:val="000000"/>
                <w:sz w:val="18"/>
                <w:szCs w:val="18"/>
              </w:rPr>
              <w:t>8.54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F32321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B7ECC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2035B05" w14:textId="77777777" w:rsidR="00000000" w:rsidRDefault="00405D16">
            <w:pPr>
              <w:spacing w:after="100"/>
              <w:jc w:val="right"/>
              <w:rPr>
                <w:rFonts w:eastAsia="Times New Roman"/>
              </w:rPr>
            </w:pPr>
            <w:r>
              <w:rPr>
                <w:rFonts w:eastAsia="Times New Roman"/>
                <w:b/>
                <w:bCs/>
                <w:color w:val="000000"/>
                <w:sz w:val="18"/>
                <w:szCs w:val="18"/>
              </w:rPr>
              <w:t>92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5C7A8A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9E06B4"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747400C7" w14:textId="77777777" w:rsidR="00000000" w:rsidRDefault="00405D16">
            <w:pPr>
              <w:spacing w:after="100"/>
              <w:jc w:val="right"/>
              <w:rPr>
                <w:rFonts w:eastAsia="Times New Roman"/>
              </w:rPr>
            </w:pPr>
            <w:r>
              <w:rPr>
                <w:rFonts w:eastAsia="Times New Roman"/>
                <w:b/>
                <w:bCs/>
                <w:color w:val="000000"/>
                <w:sz w:val="18"/>
                <w:szCs w:val="18"/>
              </w:rPr>
              <w:t>4</w:t>
            </w:r>
          </w:p>
        </w:tc>
        <w:tc>
          <w:tcPr>
            <w:tcW w:w="0" w:type="auto"/>
            <w:gridSpan w:val="3"/>
            <w:vAlign w:val="center"/>
            <w:hideMark/>
          </w:tcPr>
          <w:p w14:paraId="214EC6E2" w14:textId="77777777" w:rsidR="00000000" w:rsidRDefault="00405D16">
            <w:pPr>
              <w:spacing w:after="100"/>
              <w:jc w:val="right"/>
              <w:rPr>
                <w:rFonts w:eastAsia="Times New Roman"/>
              </w:rPr>
            </w:pPr>
          </w:p>
        </w:tc>
        <w:tc>
          <w:tcPr>
            <w:tcW w:w="0" w:type="auto"/>
            <w:gridSpan w:val="3"/>
            <w:vAlign w:val="center"/>
            <w:hideMark/>
          </w:tcPr>
          <w:p w14:paraId="663097DA" w14:textId="77777777" w:rsidR="00000000" w:rsidRDefault="00405D16">
            <w:pPr>
              <w:spacing w:after="100"/>
              <w:rPr>
                <w:rFonts w:eastAsia="Times New Roman"/>
                <w:sz w:val="20"/>
                <w:szCs w:val="20"/>
              </w:rPr>
            </w:pPr>
          </w:p>
        </w:tc>
        <w:tc>
          <w:tcPr>
            <w:tcW w:w="0" w:type="auto"/>
            <w:gridSpan w:val="3"/>
            <w:vAlign w:val="center"/>
            <w:hideMark/>
          </w:tcPr>
          <w:p w14:paraId="713E7889" w14:textId="77777777" w:rsidR="00000000" w:rsidRDefault="00405D16">
            <w:pPr>
              <w:spacing w:after="100"/>
              <w:rPr>
                <w:rFonts w:eastAsia="Times New Roman"/>
                <w:sz w:val="20"/>
                <w:szCs w:val="20"/>
              </w:rPr>
            </w:pPr>
          </w:p>
        </w:tc>
        <w:tc>
          <w:tcPr>
            <w:tcW w:w="0" w:type="auto"/>
            <w:gridSpan w:val="3"/>
            <w:vAlign w:val="center"/>
            <w:hideMark/>
          </w:tcPr>
          <w:p w14:paraId="04A300A8" w14:textId="77777777" w:rsidR="00000000" w:rsidRDefault="00405D16">
            <w:pPr>
              <w:spacing w:after="100"/>
              <w:rPr>
                <w:rFonts w:eastAsia="Times New Roman"/>
                <w:sz w:val="20"/>
                <w:szCs w:val="20"/>
              </w:rPr>
            </w:pPr>
          </w:p>
        </w:tc>
      </w:tr>
      <w:tr w:rsidR="00000000" w14:paraId="2101866D" w14:textId="77777777">
        <w:trPr>
          <w:divId w:val="1505316810"/>
        </w:trPr>
        <w:tc>
          <w:tcPr>
            <w:tcW w:w="0" w:type="auto"/>
            <w:gridSpan w:val="3"/>
            <w:vAlign w:val="center"/>
            <w:hideMark/>
          </w:tcPr>
          <w:p w14:paraId="115475F4" w14:textId="77777777" w:rsidR="00000000" w:rsidRDefault="00405D16">
            <w:pPr>
              <w:spacing w:after="100"/>
              <w:rPr>
                <w:rFonts w:eastAsia="Times New Roman"/>
                <w:sz w:val="20"/>
                <w:szCs w:val="20"/>
              </w:rPr>
            </w:pPr>
          </w:p>
        </w:tc>
        <w:tc>
          <w:tcPr>
            <w:tcW w:w="0" w:type="auto"/>
            <w:gridSpan w:val="3"/>
            <w:vAlign w:val="center"/>
            <w:hideMark/>
          </w:tcPr>
          <w:p w14:paraId="703DD898" w14:textId="77777777" w:rsidR="00000000" w:rsidRDefault="00405D16">
            <w:pPr>
              <w:spacing w:after="100"/>
              <w:rPr>
                <w:rFonts w:eastAsia="Times New Roman"/>
                <w:sz w:val="20"/>
                <w:szCs w:val="20"/>
              </w:rPr>
            </w:pPr>
          </w:p>
        </w:tc>
        <w:tc>
          <w:tcPr>
            <w:tcW w:w="0" w:type="auto"/>
            <w:gridSpan w:val="3"/>
            <w:vAlign w:val="center"/>
            <w:hideMark/>
          </w:tcPr>
          <w:p w14:paraId="0FAB3FF3" w14:textId="77777777" w:rsidR="00000000" w:rsidRDefault="00405D16">
            <w:pPr>
              <w:spacing w:after="100"/>
              <w:rPr>
                <w:rFonts w:eastAsia="Times New Roman"/>
                <w:sz w:val="20"/>
                <w:szCs w:val="20"/>
              </w:rPr>
            </w:pPr>
          </w:p>
        </w:tc>
        <w:tc>
          <w:tcPr>
            <w:tcW w:w="0" w:type="auto"/>
            <w:gridSpan w:val="3"/>
            <w:vAlign w:val="center"/>
            <w:hideMark/>
          </w:tcPr>
          <w:p w14:paraId="37C10327" w14:textId="77777777" w:rsidR="00000000" w:rsidRDefault="00405D16">
            <w:pPr>
              <w:spacing w:after="100"/>
              <w:rPr>
                <w:rFonts w:eastAsia="Times New Roman"/>
                <w:sz w:val="20"/>
                <w:szCs w:val="20"/>
              </w:rPr>
            </w:pPr>
          </w:p>
        </w:tc>
        <w:tc>
          <w:tcPr>
            <w:tcW w:w="0" w:type="auto"/>
            <w:gridSpan w:val="3"/>
            <w:vAlign w:val="center"/>
            <w:hideMark/>
          </w:tcPr>
          <w:p w14:paraId="02A2B9A7" w14:textId="77777777" w:rsidR="00000000" w:rsidRDefault="00405D16">
            <w:pPr>
              <w:spacing w:after="100"/>
              <w:rPr>
                <w:rFonts w:eastAsia="Times New Roman"/>
                <w:sz w:val="20"/>
                <w:szCs w:val="20"/>
              </w:rPr>
            </w:pPr>
          </w:p>
        </w:tc>
        <w:tc>
          <w:tcPr>
            <w:tcW w:w="0" w:type="auto"/>
            <w:gridSpan w:val="3"/>
            <w:vAlign w:val="center"/>
            <w:hideMark/>
          </w:tcPr>
          <w:p w14:paraId="37B8DDE9" w14:textId="77777777" w:rsidR="00000000" w:rsidRDefault="00405D16">
            <w:pPr>
              <w:spacing w:after="100"/>
              <w:rPr>
                <w:rFonts w:eastAsia="Times New Roman"/>
                <w:sz w:val="20"/>
                <w:szCs w:val="20"/>
              </w:rPr>
            </w:pPr>
          </w:p>
        </w:tc>
        <w:tc>
          <w:tcPr>
            <w:tcW w:w="0" w:type="auto"/>
            <w:gridSpan w:val="3"/>
            <w:vAlign w:val="center"/>
            <w:hideMark/>
          </w:tcPr>
          <w:p w14:paraId="4A260DDC" w14:textId="77777777" w:rsidR="00000000" w:rsidRDefault="00405D16">
            <w:pPr>
              <w:spacing w:after="100"/>
              <w:rPr>
                <w:rFonts w:eastAsia="Times New Roman"/>
                <w:sz w:val="20"/>
                <w:szCs w:val="20"/>
              </w:rPr>
            </w:pPr>
          </w:p>
        </w:tc>
        <w:tc>
          <w:tcPr>
            <w:tcW w:w="0" w:type="auto"/>
            <w:gridSpan w:val="3"/>
            <w:vAlign w:val="center"/>
            <w:hideMark/>
          </w:tcPr>
          <w:p w14:paraId="30EE9614" w14:textId="77777777" w:rsidR="00000000" w:rsidRDefault="00405D16">
            <w:pPr>
              <w:spacing w:after="100"/>
              <w:rPr>
                <w:rFonts w:eastAsia="Times New Roman"/>
                <w:sz w:val="20"/>
                <w:szCs w:val="20"/>
              </w:rPr>
            </w:pPr>
          </w:p>
        </w:tc>
        <w:tc>
          <w:tcPr>
            <w:tcW w:w="0" w:type="auto"/>
            <w:gridSpan w:val="3"/>
            <w:vAlign w:val="center"/>
            <w:hideMark/>
          </w:tcPr>
          <w:p w14:paraId="4C0038FC" w14:textId="77777777" w:rsidR="00000000" w:rsidRDefault="00405D16">
            <w:pPr>
              <w:spacing w:after="100"/>
              <w:rPr>
                <w:rFonts w:eastAsia="Times New Roman"/>
                <w:sz w:val="20"/>
                <w:szCs w:val="20"/>
              </w:rPr>
            </w:pPr>
          </w:p>
        </w:tc>
        <w:tc>
          <w:tcPr>
            <w:tcW w:w="0" w:type="auto"/>
            <w:gridSpan w:val="3"/>
            <w:vAlign w:val="center"/>
            <w:hideMark/>
          </w:tcPr>
          <w:p w14:paraId="3F96EC78" w14:textId="77777777" w:rsidR="00000000" w:rsidRDefault="00405D16">
            <w:pPr>
              <w:spacing w:after="100"/>
              <w:rPr>
                <w:rFonts w:eastAsia="Times New Roman"/>
                <w:sz w:val="20"/>
                <w:szCs w:val="20"/>
              </w:rPr>
            </w:pPr>
          </w:p>
        </w:tc>
        <w:tc>
          <w:tcPr>
            <w:tcW w:w="0" w:type="auto"/>
            <w:gridSpan w:val="3"/>
            <w:vAlign w:val="center"/>
            <w:hideMark/>
          </w:tcPr>
          <w:p w14:paraId="1BFA9807" w14:textId="77777777" w:rsidR="00000000" w:rsidRDefault="00405D16">
            <w:pPr>
              <w:spacing w:after="100"/>
              <w:rPr>
                <w:rFonts w:eastAsia="Times New Roman"/>
                <w:sz w:val="20"/>
                <w:szCs w:val="20"/>
              </w:rPr>
            </w:pPr>
          </w:p>
        </w:tc>
        <w:tc>
          <w:tcPr>
            <w:tcW w:w="0" w:type="auto"/>
            <w:gridSpan w:val="3"/>
            <w:vAlign w:val="center"/>
            <w:hideMark/>
          </w:tcPr>
          <w:p w14:paraId="77A7159D" w14:textId="77777777" w:rsidR="00000000" w:rsidRDefault="00405D16">
            <w:pPr>
              <w:spacing w:after="100"/>
              <w:rPr>
                <w:rFonts w:eastAsia="Times New Roman"/>
                <w:sz w:val="20"/>
                <w:szCs w:val="20"/>
              </w:rPr>
            </w:pPr>
          </w:p>
        </w:tc>
        <w:tc>
          <w:tcPr>
            <w:tcW w:w="0" w:type="auto"/>
            <w:gridSpan w:val="3"/>
            <w:vAlign w:val="center"/>
            <w:hideMark/>
          </w:tcPr>
          <w:p w14:paraId="5FF51667" w14:textId="77777777" w:rsidR="00000000" w:rsidRDefault="00405D16">
            <w:pPr>
              <w:spacing w:after="100"/>
              <w:rPr>
                <w:rFonts w:eastAsia="Times New Roman"/>
                <w:sz w:val="20"/>
                <w:szCs w:val="20"/>
              </w:rPr>
            </w:pPr>
          </w:p>
        </w:tc>
        <w:tc>
          <w:tcPr>
            <w:tcW w:w="0" w:type="auto"/>
            <w:gridSpan w:val="3"/>
            <w:vAlign w:val="center"/>
            <w:hideMark/>
          </w:tcPr>
          <w:p w14:paraId="58695CAF" w14:textId="77777777" w:rsidR="00000000" w:rsidRDefault="00405D16">
            <w:pPr>
              <w:spacing w:after="100"/>
              <w:rPr>
                <w:rFonts w:eastAsia="Times New Roman"/>
                <w:sz w:val="20"/>
                <w:szCs w:val="20"/>
              </w:rPr>
            </w:pPr>
          </w:p>
        </w:tc>
        <w:tc>
          <w:tcPr>
            <w:tcW w:w="0" w:type="auto"/>
            <w:gridSpan w:val="3"/>
            <w:vAlign w:val="center"/>
            <w:hideMark/>
          </w:tcPr>
          <w:p w14:paraId="5D159BA9" w14:textId="77777777" w:rsidR="00000000" w:rsidRDefault="00405D16">
            <w:pPr>
              <w:spacing w:after="100"/>
              <w:rPr>
                <w:rFonts w:eastAsia="Times New Roman"/>
                <w:sz w:val="20"/>
                <w:szCs w:val="20"/>
              </w:rPr>
            </w:pPr>
          </w:p>
        </w:tc>
      </w:tr>
      <w:tr w:rsidR="00000000" w14:paraId="520AE85C" w14:textId="77777777">
        <w:trPr>
          <w:divId w:val="1505316810"/>
        </w:trPr>
        <w:tc>
          <w:tcPr>
            <w:tcW w:w="0" w:type="auto"/>
            <w:gridSpan w:val="3"/>
            <w:shd w:val="clear" w:color="auto" w:fill="CCEEFF"/>
            <w:tcMar>
              <w:top w:w="30" w:type="dxa"/>
              <w:left w:w="20" w:type="dxa"/>
              <w:bottom w:w="30" w:type="dxa"/>
              <w:right w:w="20" w:type="dxa"/>
            </w:tcMar>
            <w:vAlign w:val="center"/>
            <w:hideMark/>
          </w:tcPr>
          <w:p w14:paraId="528EC9E1" w14:textId="77777777" w:rsidR="00000000" w:rsidRDefault="00405D16">
            <w:pPr>
              <w:spacing w:after="100"/>
              <w:rPr>
                <w:rFonts w:eastAsia="Times New Roman"/>
              </w:rPr>
            </w:pPr>
            <w:r>
              <w:rPr>
                <w:rFonts w:eastAsia="Times New Roman"/>
                <w:color w:val="000000"/>
                <w:sz w:val="18"/>
                <w:szCs w:val="18"/>
              </w:rPr>
              <w:t>Total consumer banking</w:t>
            </w:r>
          </w:p>
        </w:tc>
        <w:tc>
          <w:tcPr>
            <w:tcW w:w="0" w:type="auto"/>
            <w:gridSpan w:val="3"/>
            <w:shd w:val="clear" w:color="auto" w:fill="CCEEFF"/>
            <w:tcMar>
              <w:top w:w="0" w:type="dxa"/>
              <w:left w:w="20" w:type="dxa"/>
              <w:bottom w:w="0" w:type="dxa"/>
              <w:right w:w="20" w:type="dxa"/>
            </w:tcMar>
            <w:vAlign w:val="center"/>
            <w:hideMark/>
          </w:tcPr>
          <w:p w14:paraId="4AE3A51D"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A42245A" w14:textId="77777777" w:rsidR="00000000" w:rsidRDefault="00405D16">
            <w:pPr>
              <w:spacing w:after="100"/>
              <w:jc w:val="right"/>
              <w:rPr>
                <w:rFonts w:eastAsia="Times New Roman"/>
              </w:rPr>
            </w:pPr>
            <w:r>
              <w:rPr>
                <w:rFonts w:eastAsia="Times New Roman"/>
                <w:b/>
                <w:bCs/>
                <w:color w:val="000000"/>
                <w:sz w:val="18"/>
                <w:szCs w:val="18"/>
              </w:rPr>
              <w:t>89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67949D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1393D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81AFF43" w14:textId="77777777" w:rsidR="00000000" w:rsidRDefault="00405D16">
            <w:pPr>
              <w:spacing w:after="100"/>
              <w:jc w:val="right"/>
              <w:rPr>
                <w:rFonts w:eastAsia="Times New Roman"/>
              </w:rPr>
            </w:pPr>
            <w:r>
              <w:rPr>
                <w:rFonts w:eastAsia="Times New Roman"/>
                <w:b/>
                <w:bCs/>
                <w:color w:val="000000"/>
                <w:sz w:val="18"/>
                <w:szCs w:val="18"/>
              </w:rPr>
              <w:t>48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EBF7F9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8F6E7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08CDF09" w14:textId="77777777" w:rsidR="00000000" w:rsidRDefault="00405D16">
            <w:pPr>
              <w:spacing w:after="100"/>
              <w:jc w:val="right"/>
              <w:rPr>
                <w:rFonts w:eastAsia="Times New Roman"/>
              </w:rPr>
            </w:pPr>
            <w:r>
              <w:rPr>
                <w:rFonts w:eastAsia="Times New Roman"/>
                <w:b/>
                <w:bCs/>
                <w:color w:val="000000"/>
                <w:sz w:val="18"/>
                <w:szCs w:val="18"/>
              </w:rPr>
              <w:t>8.54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7552B0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6034F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ADD7D09" w14:textId="77777777" w:rsidR="00000000" w:rsidRDefault="00405D16">
            <w:pPr>
              <w:spacing w:after="100"/>
              <w:jc w:val="right"/>
              <w:rPr>
                <w:rFonts w:eastAsia="Times New Roman"/>
              </w:rPr>
            </w:pPr>
            <w:r>
              <w:rPr>
                <w:rFonts w:eastAsia="Times New Roman"/>
                <w:b/>
                <w:bCs/>
                <w:color w:val="000000"/>
                <w:sz w:val="18"/>
                <w:szCs w:val="18"/>
              </w:rPr>
              <w:t>92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E12CC3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311CE4"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14:paraId="412E3889" w14:textId="77777777" w:rsidR="00000000" w:rsidRDefault="00405D16">
            <w:pPr>
              <w:spacing w:after="100"/>
              <w:jc w:val="right"/>
              <w:rPr>
                <w:rFonts w:eastAsia="Times New Roman"/>
              </w:rPr>
            </w:pPr>
            <w:r>
              <w:rPr>
                <w:rFonts w:eastAsia="Times New Roman"/>
                <w:b/>
                <w:bCs/>
                <w:color w:val="000000"/>
                <w:sz w:val="18"/>
                <w:szCs w:val="18"/>
              </w:rPr>
              <w:t>4</w:t>
            </w:r>
          </w:p>
        </w:tc>
        <w:tc>
          <w:tcPr>
            <w:tcW w:w="0" w:type="auto"/>
            <w:gridSpan w:val="3"/>
            <w:vAlign w:val="center"/>
            <w:hideMark/>
          </w:tcPr>
          <w:p w14:paraId="253BB437" w14:textId="77777777" w:rsidR="00000000" w:rsidRDefault="00405D16">
            <w:pPr>
              <w:spacing w:after="100"/>
              <w:jc w:val="right"/>
              <w:rPr>
                <w:rFonts w:eastAsia="Times New Roman"/>
              </w:rPr>
            </w:pPr>
          </w:p>
        </w:tc>
        <w:tc>
          <w:tcPr>
            <w:tcW w:w="0" w:type="auto"/>
            <w:gridSpan w:val="3"/>
            <w:vAlign w:val="center"/>
            <w:hideMark/>
          </w:tcPr>
          <w:p w14:paraId="7E7D70A7" w14:textId="77777777" w:rsidR="00000000" w:rsidRDefault="00405D16">
            <w:pPr>
              <w:spacing w:after="100"/>
              <w:rPr>
                <w:rFonts w:eastAsia="Times New Roman"/>
                <w:sz w:val="20"/>
                <w:szCs w:val="20"/>
              </w:rPr>
            </w:pPr>
          </w:p>
        </w:tc>
        <w:tc>
          <w:tcPr>
            <w:tcW w:w="0" w:type="auto"/>
            <w:gridSpan w:val="3"/>
            <w:vAlign w:val="center"/>
            <w:hideMark/>
          </w:tcPr>
          <w:p w14:paraId="2D57AC3B" w14:textId="77777777" w:rsidR="00000000" w:rsidRDefault="00405D16">
            <w:pPr>
              <w:spacing w:after="100"/>
              <w:rPr>
                <w:rFonts w:eastAsia="Times New Roman"/>
                <w:sz w:val="20"/>
                <w:szCs w:val="20"/>
              </w:rPr>
            </w:pPr>
          </w:p>
        </w:tc>
        <w:tc>
          <w:tcPr>
            <w:tcW w:w="0" w:type="auto"/>
            <w:gridSpan w:val="3"/>
            <w:vAlign w:val="center"/>
            <w:hideMark/>
          </w:tcPr>
          <w:p w14:paraId="17772D20" w14:textId="77777777" w:rsidR="00000000" w:rsidRDefault="00405D16">
            <w:pPr>
              <w:spacing w:after="100"/>
              <w:rPr>
                <w:rFonts w:eastAsia="Times New Roman"/>
                <w:sz w:val="20"/>
                <w:szCs w:val="20"/>
              </w:rPr>
            </w:pPr>
          </w:p>
        </w:tc>
      </w:tr>
      <w:tr w:rsidR="00000000" w14:paraId="6F847C1D" w14:textId="77777777">
        <w:trPr>
          <w:divId w:val="1505316810"/>
        </w:trPr>
        <w:tc>
          <w:tcPr>
            <w:tcW w:w="0" w:type="auto"/>
            <w:gridSpan w:val="3"/>
            <w:shd w:val="clear" w:color="auto" w:fill="FFFFFF"/>
            <w:tcMar>
              <w:top w:w="30" w:type="dxa"/>
              <w:left w:w="20" w:type="dxa"/>
              <w:bottom w:w="30" w:type="dxa"/>
              <w:right w:w="20" w:type="dxa"/>
            </w:tcMar>
            <w:vAlign w:val="center"/>
            <w:hideMark/>
          </w:tcPr>
          <w:p w14:paraId="0780F30F" w14:textId="77777777" w:rsidR="00000000" w:rsidRDefault="00405D16">
            <w:pPr>
              <w:spacing w:after="100"/>
              <w:rPr>
                <w:rFonts w:eastAsia="Times New Roman"/>
              </w:rPr>
            </w:pPr>
            <w:r>
              <w:rPr>
                <w:rFonts w:eastAsia="Times New Roman"/>
                <w:b/>
                <w:bCs/>
                <w:color w:val="000000"/>
                <w:sz w:val="18"/>
                <w:szCs w:val="18"/>
              </w:rPr>
              <w:t>Commercial Banking:</w:t>
            </w:r>
          </w:p>
        </w:tc>
        <w:tc>
          <w:tcPr>
            <w:tcW w:w="0" w:type="auto"/>
            <w:gridSpan w:val="3"/>
            <w:shd w:val="clear" w:color="auto" w:fill="FFFFFF"/>
            <w:tcMar>
              <w:top w:w="0" w:type="dxa"/>
              <w:left w:w="20" w:type="dxa"/>
              <w:bottom w:w="0" w:type="dxa"/>
              <w:right w:w="20" w:type="dxa"/>
            </w:tcMar>
            <w:vAlign w:val="center"/>
            <w:hideMark/>
          </w:tcPr>
          <w:p w14:paraId="78F92D8F" w14:textId="77777777" w:rsidR="00000000" w:rsidRDefault="00405D16">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A55C01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B7C11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76B3A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D68E3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19D20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9C3E4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0DDF7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41CDF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8837E2" w14:textId="77777777" w:rsidR="00000000" w:rsidRDefault="00405D16">
            <w:pPr>
              <w:spacing w:after="100"/>
              <w:rPr>
                <w:rFonts w:eastAsia="Times New Roman"/>
                <w:sz w:val="20"/>
                <w:szCs w:val="20"/>
              </w:rPr>
            </w:pPr>
          </w:p>
        </w:tc>
        <w:tc>
          <w:tcPr>
            <w:tcW w:w="0" w:type="auto"/>
            <w:gridSpan w:val="3"/>
            <w:vAlign w:val="center"/>
            <w:hideMark/>
          </w:tcPr>
          <w:p w14:paraId="30D4A2D5" w14:textId="77777777" w:rsidR="00000000" w:rsidRDefault="00405D16">
            <w:pPr>
              <w:spacing w:after="100"/>
              <w:rPr>
                <w:rFonts w:eastAsia="Times New Roman"/>
                <w:sz w:val="20"/>
                <w:szCs w:val="20"/>
              </w:rPr>
            </w:pPr>
          </w:p>
        </w:tc>
        <w:tc>
          <w:tcPr>
            <w:tcW w:w="0" w:type="auto"/>
            <w:gridSpan w:val="3"/>
            <w:vAlign w:val="center"/>
            <w:hideMark/>
          </w:tcPr>
          <w:p w14:paraId="68779507" w14:textId="77777777" w:rsidR="00000000" w:rsidRDefault="00405D16">
            <w:pPr>
              <w:spacing w:after="100"/>
              <w:rPr>
                <w:rFonts w:eastAsia="Times New Roman"/>
                <w:sz w:val="20"/>
                <w:szCs w:val="20"/>
              </w:rPr>
            </w:pPr>
          </w:p>
        </w:tc>
        <w:tc>
          <w:tcPr>
            <w:tcW w:w="0" w:type="auto"/>
            <w:gridSpan w:val="3"/>
            <w:vAlign w:val="center"/>
            <w:hideMark/>
          </w:tcPr>
          <w:p w14:paraId="4E9D0A9A" w14:textId="77777777" w:rsidR="00000000" w:rsidRDefault="00405D16">
            <w:pPr>
              <w:spacing w:after="100"/>
              <w:rPr>
                <w:rFonts w:eastAsia="Times New Roman"/>
                <w:sz w:val="20"/>
                <w:szCs w:val="20"/>
              </w:rPr>
            </w:pPr>
          </w:p>
        </w:tc>
        <w:tc>
          <w:tcPr>
            <w:tcW w:w="0" w:type="auto"/>
            <w:gridSpan w:val="3"/>
            <w:vAlign w:val="center"/>
            <w:hideMark/>
          </w:tcPr>
          <w:p w14:paraId="79ACA6B6" w14:textId="77777777" w:rsidR="00000000" w:rsidRDefault="00405D16">
            <w:pPr>
              <w:spacing w:after="100"/>
              <w:rPr>
                <w:rFonts w:eastAsia="Times New Roman"/>
                <w:sz w:val="20"/>
                <w:szCs w:val="20"/>
              </w:rPr>
            </w:pPr>
          </w:p>
        </w:tc>
      </w:tr>
      <w:tr w:rsidR="00000000" w14:paraId="31392EA7" w14:textId="77777777">
        <w:trPr>
          <w:divId w:val="1505316810"/>
        </w:trPr>
        <w:tc>
          <w:tcPr>
            <w:tcW w:w="0" w:type="auto"/>
            <w:gridSpan w:val="3"/>
            <w:shd w:val="clear" w:color="auto" w:fill="CCEEFF"/>
            <w:tcMar>
              <w:top w:w="30" w:type="dxa"/>
              <w:left w:w="245" w:type="dxa"/>
              <w:bottom w:w="30" w:type="dxa"/>
              <w:right w:w="20" w:type="dxa"/>
            </w:tcMar>
            <w:vAlign w:val="center"/>
            <w:hideMark/>
          </w:tcPr>
          <w:p w14:paraId="489A693C" w14:textId="77777777" w:rsidR="00000000" w:rsidRDefault="00405D16">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CCEEFF"/>
            <w:tcMar>
              <w:top w:w="0" w:type="dxa"/>
              <w:left w:w="20" w:type="dxa"/>
              <w:bottom w:w="0" w:type="dxa"/>
              <w:right w:w="20" w:type="dxa"/>
            </w:tcMar>
            <w:vAlign w:val="center"/>
            <w:hideMark/>
          </w:tcPr>
          <w:p w14:paraId="66C3F0A5"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5F3DF95" w14:textId="77777777" w:rsidR="00000000" w:rsidRDefault="00405D16">
            <w:pPr>
              <w:spacing w:after="100"/>
              <w:jc w:val="right"/>
              <w:rPr>
                <w:rFonts w:eastAsia="Times New Roman"/>
              </w:rPr>
            </w:pPr>
            <w:r>
              <w:rPr>
                <w:rFonts w:eastAsia="Times New Roman"/>
                <w:b/>
                <w:bCs/>
                <w:color w:val="000000"/>
                <w:sz w:val="18"/>
                <w:szCs w:val="18"/>
              </w:rPr>
              <w:t>21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7D5115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07625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A5489BB" w14:textId="77777777" w:rsidR="00000000" w:rsidRDefault="00405D16">
            <w:pPr>
              <w:spacing w:after="100"/>
              <w:jc w:val="right"/>
              <w:rPr>
                <w:rFonts w:eastAsia="Times New Roman"/>
              </w:rPr>
            </w:pPr>
            <w:r>
              <w:rPr>
                <w:rFonts w:eastAsia="Times New Roman"/>
                <w:b/>
                <w:bCs/>
                <w:color w:val="000000"/>
                <w:sz w:val="18"/>
                <w:szCs w:val="18"/>
              </w:rPr>
              <w:t>14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834BAE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F20B7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5AE2015" w14:textId="77777777" w:rsidR="00000000" w:rsidRDefault="00405D16">
            <w:pPr>
              <w:spacing w:after="100"/>
              <w:jc w:val="right"/>
              <w:rPr>
                <w:rFonts w:eastAsia="Times New Roman"/>
              </w:rPr>
            </w:pPr>
            <w:r>
              <w:rPr>
                <w:rFonts w:eastAsia="Times New Roman"/>
                <w:b/>
                <w:bCs/>
                <w:color w:val="000000"/>
                <w:sz w:val="18"/>
                <w:szCs w:val="18"/>
              </w:rPr>
              <w:t>2.50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4118F4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B2AC3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18501B6" w14:textId="77777777" w:rsidR="00000000" w:rsidRDefault="00405D16">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69F6D3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2DEFD6"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14:paraId="0656AD34" w14:textId="77777777" w:rsidR="00000000" w:rsidRDefault="00405D16">
            <w:pPr>
              <w:spacing w:after="100"/>
              <w:jc w:val="right"/>
              <w:rPr>
                <w:rFonts w:eastAsia="Times New Roman"/>
              </w:rPr>
            </w:pPr>
            <w:r>
              <w:rPr>
                <w:rFonts w:eastAsia="Times New Roman"/>
                <w:b/>
                <w:bCs/>
                <w:color w:val="000000"/>
                <w:sz w:val="18"/>
                <w:szCs w:val="18"/>
              </w:rPr>
              <w:t>12</w:t>
            </w:r>
          </w:p>
        </w:tc>
        <w:tc>
          <w:tcPr>
            <w:tcW w:w="0" w:type="auto"/>
            <w:gridSpan w:val="3"/>
            <w:vAlign w:val="center"/>
            <w:hideMark/>
          </w:tcPr>
          <w:p w14:paraId="463F49CE" w14:textId="77777777" w:rsidR="00000000" w:rsidRDefault="00405D16">
            <w:pPr>
              <w:spacing w:after="100"/>
              <w:jc w:val="right"/>
              <w:rPr>
                <w:rFonts w:eastAsia="Times New Roman"/>
              </w:rPr>
            </w:pPr>
          </w:p>
        </w:tc>
        <w:tc>
          <w:tcPr>
            <w:tcW w:w="0" w:type="auto"/>
            <w:gridSpan w:val="3"/>
            <w:vAlign w:val="center"/>
            <w:hideMark/>
          </w:tcPr>
          <w:p w14:paraId="04FF3A3B" w14:textId="77777777" w:rsidR="00000000" w:rsidRDefault="00405D16">
            <w:pPr>
              <w:spacing w:after="100"/>
              <w:rPr>
                <w:rFonts w:eastAsia="Times New Roman"/>
                <w:sz w:val="20"/>
                <w:szCs w:val="20"/>
              </w:rPr>
            </w:pPr>
          </w:p>
        </w:tc>
        <w:tc>
          <w:tcPr>
            <w:tcW w:w="0" w:type="auto"/>
            <w:gridSpan w:val="3"/>
            <w:vAlign w:val="center"/>
            <w:hideMark/>
          </w:tcPr>
          <w:p w14:paraId="4E69AD78" w14:textId="77777777" w:rsidR="00000000" w:rsidRDefault="00405D16">
            <w:pPr>
              <w:spacing w:after="100"/>
              <w:rPr>
                <w:rFonts w:eastAsia="Times New Roman"/>
                <w:sz w:val="20"/>
                <w:szCs w:val="20"/>
              </w:rPr>
            </w:pPr>
          </w:p>
        </w:tc>
        <w:tc>
          <w:tcPr>
            <w:tcW w:w="0" w:type="auto"/>
            <w:gridSpan w:val="3"/>
            <w:vAlign w:val="center"/>
            <w:hideMark/>
          </w:tcPr>
          <w:p w14:paraId="4730ABBC" w14:textId="77777777" w:rsidR="00000000" w:rsidRDefault="00405D16">
            <w:pPr>
              <w:spacing w:after="100"/>
              <w:rPr>
                <w:rFonts w:eastAsia="Times New Roman"/>
                <w:sz w:val="20"/>
                <w:szCs w:val="20"/>
              </w:rPr>
            </w:pPr>
          </w:p>
        </w:tc>
      </w:tr>
      <w:tr w:rsidR="00000000" w14:paraId="20A6EA9C" w14:textId="77777777">
        <w:trPr>
          <w:divId w:val="1505316810"/>
        </w:trPr>
        <w:tc>
          <w:tcPr>
            <w:tcW w:w="0" w:type="auto"/>
            <w:gridSpan w:val="3"/>
            <w:shd w:val="clear" w:color="auto" w:fill="FFFFFF"/>
            <w:tcMar>
              <w:top w:w="30" w:type="dxa"/>
              <w:left w:w="245" w:type="dxa"/>
              <w:bottom w:w="30" w:type="dxa"/>
              <w:right w:w="20" w:type="dxa"/>
            </w:tcMar>
            <w:vAlign w:val="center"/>
            <w:hideMark/>
          </w:tcPr>
          <w:p w14:paraId="79BF90F6" w14:textId="77777777" w:rsidR="00000000" w:rsidRDefault="00405D16">
            <w:pPr>
              <w:spacing w:after="100"/>
              <w:rPr>
                <w:rFonts w:eastAsia="Times New Roman"/>
              </w:rPr>
            </w:pPr>
            <w:r>
              <w:rPr>
                <w:rFonts w:eastAsia="Times New Roman"/>
                <w:color w:val="000000"/>
                <w:sz w:val="18"/>
                <w:szCs w:val="18"/>
              </w:rPr>
              <w:t>Commercial and industrial</w:t>
            </w:r>
          </w:p>
        </w:tc>
        <w:tc>
          <w:tcPr>
            <w:tcW w:w="0" w:type="auto"/>
            <w:gridSpan w:val="3"/>
            <w:shd w:val="clear" w:color="auto" w:fill="FFFFFF"/>
            <w:tcMar>
              <w:top w:w="0" w:type="dxa"/>
              <w:left w:w="20" w:type="dxa"/>
              <w:bottom w:w="0" w:type="dxa"/>
              <w:right w:w="20" w:type="dxa"/>
            </w:tcMar>
            <w:vAlign w:val="center"/>
            <w:hideMark/>
          </w:tcPr>
          <w:p w14:paraId="45291478"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4031709" w14:textId="77777777" w:rsidR="00000000" w:rsidRDefault="00405D16">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5978D2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0E3B8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70E6C48"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F5CCF8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91A7C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CDDAF4B" w14:textId="77777777" w:rsidR="00000000" w:rsidRDefault="00405D16">
            <w:pPr>
              <w:spacing w:after="100"/>
              <w:jc w:val="right"/>
              <w:rPr>
                <w:rFonts w:eastAsia="Times New Roman"/>
              </w:rPr>
            </w:pPr>
            <w:r>
              <w:rPr>
                <w:rFonts w:eastAsia="Times New Roman"/>
                <w:b/>
                <w:bCs/>
                <w:color w:val="000000"/>
                <w:sz w:val="18"/>
                <w:szCs w:val="18"/>
              </w:rPr>
              <w:t>0.00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F9AA6B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FA857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7DFB910" w14:textId="77777777" w:rsidR="00000000" w:rsidRDefault="00405D16">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CCBA4E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822922"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1B70B075" w14:textId="77777777" w:rsidR="00000000" w:rsidRDefault="00405D16">
            <w:pPr>
              <w:spacing w:after="100"/>
              <w:jc w:val="right"/>
              <w:rPr>
                <w:rFonts w:eastAsia="Times New Roman"/>
              </w:rPr>
            </w:pPr>
            <w:r>
              <w:rPr>
                <w:rFonts w:eastAsia="Times New Roman"/>
                <w:b/>
                <w:bCs/>
                <w:color w:val="000000"/>
                <w:sz w:val="18"/>
                <w:szCs w:val="18"/>
              </w:rPr>
              <w:t>4</w:t>
            </w:r>
          </w:p>
        </w:tc>
        <w:tc>
          <w:tcPr>
            <w:tcW w:w="0" w:type="auto"/>
            <w:gridSpan w:val="3"/>
            <w:vAlign w:val="center"/>
            <w:hideMark/>
          </w:tcPr>
          <w:p w14:paraId="4D2E2755" w14:textId="77777777" w:rsidR="00000000" w:rsidRDefault="00405D16">
            <w:pPr>
              <w:spacing w:after="100"/>
              <w:jc w:val="right"/>
              <w:rPr>
                <w:rFonts w:eastAsia="Times New Roman"/>
              </w:rPr>
            </w:pPr>
          </w:p>
        </w:tc>
        <w:tc>
          <w:tcPr>
            <w:tcW w:w="0" w:type="auto"/>
            <w:gridSpan w:val="3"/>
            <w:vAlign w:val="center"/>
            <w:hideMark/>
          </w:tcPr>
          <w:p w14:paraId="7EA7D5DF" w14:textId="77777777" w:rsidR="00000000" w:rsidRDefault="00405D16">
            <w:pPr>
              <w:spacing w:after="100"/>
              <w:rPr>
                <w:rFonts w:eastAsia="Times New Roman"/>
                <w:sz w:val="20"/>
                <w:szCs w:val="20"/>
              </w:rPr>
            </w:pPr>
          </w:p>
        </w:tc>
        <w:tc>
          <w:tcPr>
            <w:tcW w:w="0" w:type="auto"/>
            <w:gridSpan w:val="3"/>
            <w:vAlign w:val="center"/>
            <w:hideMark/>
          </w:tcPr>
          <w:p w14:paraId="07C4BEBB" w14:textId="77777777" w:rsidR="00000000" w:rsidRDefault="00405D16">
            <w:pPr>
              <w:spacing w:after="100"/>
              <w:rPr>
                <w:rFonts w:eastAsia="Times New Roman"/>
                <w:sz w:val="20"/>
                <w:szCs w:val="20"/>
              </w:rPr>
            </w:pPr>
          </w:p>
        </w:tc>
        <w:tc>
          <w:tcPr>
            <w:tcW w:w="0" w:type="auto"/>
            <w:gridSpan w:val="3"/>
            <w:vAlign w:val="center"/>
            <w:hideMark/>
          </w:tcPr>
          <w:p w14:paraId="21D5C302" w14:textId="77777777" w:rsidR="00000000" w:rsidRDefault="00405D16">
            <w:pPr>
              <w:spacing w:after="100"/>
              <w:rPr>
                <w:rFonts w:eastAsia="Times New Roman"/>
                <w:sz w:val="20"/>
                <w:szCs w:val="20"/>
              </w:rPr>
            </w:pPr>
          </w:p>
        </w:tc>
      </w:tr>
      <w:tr w:rsidR="00000000" w14:paraId="6A0F7380" w14:textId="77777777">
        <w:trPr>
          <w:divId w:val="1505316810"/>
        </w:trPr>
        <w:tc>
          <w:tcPr>
            <w:tcW w:w="0" w:type="auto"/>
            <w:gridSpan w:val="3"/>
            <w:shd w:val="clear" w:color="auto" w:fill="CCEEFF"/>
            <w:tcMar>
              <w:top w:w="30" w:type="dxa"/>
              <w:left w:w="20" w:type="dxa"/>
              <w:bottom w:w="30" w:type="dxa"/>
              <w:right w:w="20" w:type="dxa"/>
            </w:tcMar>
            <w:vAlign w:val="center"/>
            <w:hideMark/>
          </w:tcPr>
          <w:p w14:paraId="3E833611" w14:textId="77777777" w:rsidR="00000000" w:rsidRDefault="00405D16">
            <w:pPr>
              <w:spacing w:after="100"/>
              <w:rPr>
                <w:rFonts w:eastAsia="Times New Roman"/>
              </w:rPr>
            </w:pPr>
            <w:r>
              <w:rPr>
                <w:rFonts w:eastAsia="Times New Roman"/>
                <w:color w:val="000000"/>
                <w:sz w:val="18"/>
                <w:szCs w:val="18"/>
              </w:rPr>
              <w:t>Total commercial banking</w:t>
            </w:r>
          </w:p>
        </w:tc>
        <w:tc>
          <w:tcPr>
            <w:tcW w:w="0" w:type="auto"/>
            <w:gridSpan w:val="3"/>
            <w:shd w:val="clear" w:color="auto" w:fill="CCEEFF"/>
            <w:tcMar>
              <w:top w:w="0" w:type="dxa"/>
              <w:left w:w="20" w:type="dxa"/>
              <w:bottom w:w="0" w:type="dxa"/>
              <w:right w:w="20" w:type="dxa"/>
            </w:tcMar>
            <w:vAlign w:val="center"/>
            <w:hideMark/>
          </w:tcPr>
          <w:p w14:paraId="4ABE0A62"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7A13421" w14:textId="77777777" w:rsidR="00000000" w:rsidRDefault="00405D16">
            <w:pPr>
              <w:spacing w:after="100"/>
              <w:jc w:val="right"/>
              <w:rPr>
                <w:rFonts w:eastAsia="Times New Roman"/>
              </w:rPr>
            </w:pPr>
            <w:r>
              <w:rPr>
                <w:rFonts w:eastAsia="Times New Roman"/>
                <w:b/>
                <w:bCs/>
                <w:color w:val="000000"/>
                <w:sz w:val="18"/>
                <w:szCs w:val="18"/>
              </w:rPr>
              <w:t>25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E59D0B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A9111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F007425" w14:textId="77777777" w:rsidR="00000000" w:rsidRDefault="00405D16">
            <w:pPr>
              <w:spacing w:after="100"/>
              <w:jc w:val="right"/>
              <w:rPr>
                <w:rFonts w:eastAsia="Times New Roman"/>
              </w:rPr>
            </w:pPr>
            <w:r>
              <w:rPr>
                <w:rFonts w:eastAsia="Times New Roman"/>
                <w:b/>
                <w:bCs/>
                <w:color w:val="000000"/>
                <w:sz w:val="18"/>
                <w:szCs w:val="18"/>
              </w:rPr>
              <w:t>12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F74876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7B840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1862724" w14:textId="77777777" w:rsidR="00000000" w:rsidRDefault="00405D16">
            <w:pPr>
              <w:spacing w:after="100"/>
              <w:jc w:val="right"/>
              <w:rPr>
                <w:rFonts w:eastAsia="Times New Roman"/>
              </w:rPr>
            </w:pPr>
            <w:r>
              <w:rPr>
                <w:rFonts w:eastAsia="Times New Roman"/>
                <w:b/>
                <w:bCs/>
                <w:color w:val="000000"/>
                <w:sz w:val="18"/>
                <w:szCs w:val="18"/>
              </w:rPr>
              <w:t>2.50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29854F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FF524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6036400" w14:textId="77777777" w:rsidR="00000000" w:rsidRDefault="00405D16">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B202C6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54C53C"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14:paraId="3B1F69C3" w14:textId="77777777" w:rsidR="00000000" w:rsidRDefault="00405D16">
            <w:pPr>
              <w:spacing w:after="100"/>
              <w:jc w:val="right"/>
              <w:rPr>
                <w:rFonts w:eastAsia="Times New Roman"/>
              </w:rPr>
            </w:pPr>
            <w:r>
              <w:rPr>
                <w:rFonts w:eastAsia="Times New Roman"/>
                <w:b/>
                <w:bCs/>
                <w:color w:val="000000"/>
                <w:sz w:val="18"/>
                <w:szCs w:val="18"/>
              </w:rPr>
              <w:t>11</w:t>
            </w:r>
          </w:p>
        </w:tc>
        <w:tc>
          <w:tcPr>
            <w:tcW w:w="0" w:type="auto"/>
            <w:gridSpan w:val="3"/>
            <w:vAlign w:val="center"/>
            <w:hideMark/>
          </w:tcPr>
          <w:p w14:paraId="3F2924F2" w14:textId="77777777" w:rsidR="00000000" w:rsidRDefault="00405D16">
            <w:pPr>
              <w:spacing w:after="100"/>
              <w:jc w:val="right"/>
              <w:rPr>
                <w:rFonts w:eastAsia="Times New Roman"/>
              </w:rPr>
            </w:pPr>
          </w:p>
        </w:tc>
        <w:tc>
          <w:tcPr>
            <w:tcW w:w="0" w:type="auto"/>
            <w:gridSpan w:val="3"/>
            <w:vAlign w:val="center"/>
            <w:hideMark/>
          </w:tcPr>
          <w:p w14:paraId="287B4037" w14:textId="77777777" w:rsidR="00000000" w:rsidRDefault="00405D16">
            <w:pPr>
              <w:spacing w:after="100"/>
              <w:rPr>
                <w:rFonts w:eastAsia="Times New Roman"/>
                <w:sz w:val="20"/>
                <w:szCs w:val="20"/>
              </w:rPr>
            </w:pPr>
          </w:p>
        </w:tc>
        <w:tc>
          <w:tcPr>
            <w:tcW w:w="0" w:type="auto"/>
            <w:gridSpan w:val="3"/>
            <w:vAlign w:val="center"/>
            <w:hideMark/>
          </w:tcPr>
          <w:p w14:paraId="1B5B51D4" w14:textId="77777777" w:rsidR="00000000" w:rsidRDefault="00405D16">
            <w:pPr>
              <w:spacing w:after="100"/>
              <w:rPr>
                <w:rFonts w:eastAsia="Times New Roman"/>
                <w:sz w:val="20"/>
                <w:szCs w:val="20"/>
              </w:rPr>
            </w:pPr>
          </w:p>
        </w:tc>
        <w:tc>
          <w:tcPr>
            <w:tcW w:w="0" w:type="auto"/>
            <w:gridSpan w:val="3"/>
            <w:vAlign w:val="center"/>
            <w:hideMark/>
          </w:tcPr>
          <w:p w14:paraId="195EEF4F" w14:textId="77777777" w:rsidR="00000000" w:rsidRDefault="00405D16">
            <w:pPr>
              <w:spacing w:after="100"/>
              <w:rPr>
                <w:rFonts w:eastAsia="Times New Roman"/>
                <w:sz w:val="20"/>
                <w:szCs w:val="20"/>
              </w:rPr>
            </w:pPr>
          </w:p>
        </w:tc>
      </w:tr>
      <w:tr w:rsidR="00000000" w14:paraId="1B49715B" w14:textId="77777777">
        <w:trPr>
          <w:divId w:val="1505316810"/>
        </w:trPr>
        <w:tc>
          <w:tcPr>
            <w:tcW w:w="0" w:type="auto"/>
            <w:gridSpan w:val="3"/>
            <w:shd w:val="clear" w:color="auto" w:fill="FFFFFF"/>
            <w:tcMar>
              <w:top w:w="30" w:type="dxa"/>
              <w:left w:w="20" w:type="dxa"/>
              <w:bottom w:w="30" w:type="dxa"/>
              <w:right w:w="20" w:type="dxa"/>
            </w:tcMar>
            <w:vAlign w:val="center"/>
            <w:hideMark/>
          </w:tcPr>
          <w:p w14:paraId="6DCEF27A" w14:textId="77777777" w:rsidR="00000000" w:rsidRDefault="00405D16">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373931A0"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83191FB"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0BA0F45" w14:textId="77777777" w:rsidR="00000000" w:rsidRDefault="00405D16">
            <w:pPr>
              <w:spacing w:after="100"/>
              <w:jc w:val="right"/>
              <w:rPr>
                <w:rFonts w:eastAsia="Times New Roman"/>
              </w:rPr>
            </w:pPr>
            <w:r>
              <w:rPr>
                <w:rFonts w:eastAsia="Times New Roman"/>
                <w:b/>
                <w:bCs/>
                <w:color w:val="000000"/>
                <w:sz w:val="18"/>
                <w:szCs w:val="18"/>
              </w:rPr>
              <w:t>179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CE88FA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DCAFE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D53D78C" w14:textId="77777777" w:rsidR="00000000" w:rsidRDefault="00405D16">
            <w:pPr>
              <w:spacing w:after="100"/>
              <w:jc w:val="right"/>
              <w:rPr>
                <w:rFonts w:eastAsia="Times New Roman"/>
              </w:rPr>
            </w:pPr>
            <w:r>
              <w:rPr>
                <w:rFonts w:eastAsia="Times New Roman"/>
                <w:b/>
                <w:bCs/>
                <w:color w:val="000000"/>
                <w:sz w:val="18"/>
                <w:szCs w:val="18"/>
              </w:rPr>
              <w:t>61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481186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9151A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CF541C9" w14:textId="77777777" w:rsidR="00000000" w:rsidRDefault="00405D16">
            <w:pPr>
              <w:spacing w:after="100"/>
              <w:jc w:val="right"/>
              <w:rPr>
                <w:rFonts w:eastAsia="Times New Roman"/>
              </w:rPr>
            </w:pPr>
            <w:r>
              <w:rPr>
                <w:rFonts w:eastAsia="Times New Roman"/>
                <w:b/>
                <w:bCs/>
                <w:color w:val="000000"/>
                <w:sz w:val="18"/>
                <w:szCs w:val="18"/>
              </w:rPr>
              <w:t>68.95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7E9B3F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AA769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594EAA9" w14:textId="77777777" w:rsidR="00000000" w:rsidRDefault="00405D16">
            <w:pPr>
              <w:spacing w:after="100"/>
              <w:jc w:val="right"/>
              <w:rPr>
                <w:rFonts w:eastAsia="Times New Roman"/>
              </w:rPr>
            </w:pPr>
            <w:r>
              <w:rPr>
                <w:rFonts w:eastAsia="Times New Roman"/>
                <w:b/>
                <w:bCs/>
                <w:color w:val="000000"/>
                <w:sz w:val="18"/>
                <w:szCs w:val="18"/>
              </w:rPr>
              <w:t>59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CFAFA7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683D85"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510CBBF5" w14:textId="77777777" w:rsidR="00000000" w:rsidRDefault="00405D16">
            <w:pPr>
              <w:spacing w:after="100"/>
              <w:jc w:val="right"/>
              <w:rPr>
                <w:rFonts w:eastAsia="Times New Roman"/>
              </w:rPr>
            </w:pPr>
            <w:r>
              <w:rPr>
                <w:rFonts w:eastAsia="Times New Roman"/>
                <w:b/>
                <w:bCs/>
                <w:color w:val="000000"/>
                <w:sz w:val="18"/>
                <w:szCs w:val="18"/>
              </w:rPr>
              <w:t>6</w:t>
            </w:r>
          </w:p>
        </w:tc>
        <w:tc>
          <w:tcPr>
            <w:tcW w:w="0" w:type="auto"/>
            <w:gridSpan w:val="3"/>
            <w:vAlign w:val="center"/>
            <w:hideMark/>
          </w:tcPr>
          <w:p w14:paraId="70937906" w14:textId="77777777" w:rsidR="00000000" w:rsidRDefault="00405D16">
            <w:pPr>
              <w:spacing w:after="100"/>
              <w:jc w:val="right"/>
              <w:rPr>
                <w:rFonts w:eastAsia="Times New Roman"/>
              </w:rPr>
            </w:pPr>
          </w:p>
        </w:tc>
        <w:tc>
          <w:tcPr>
            <w:tcW w:w="0" w:type="auto"/>
            <w:gridSpan w:val="3"/>
            <w:vAlign w:val="center"/>
            <w:hideMark/>
          </w:tcPr>
          <w:p w14:paraId="6496BEE8" w14:textId="77777777" w:rsidR="00000000" w:rsidRDefault="00405D16">
            <w:pPr>
              <w:spacing w:after="100"/>
              <w:rPr>
                <w:rFonts w:eastAsia="Times New Roman"/>
                <w:sz w:val="20"/>
                <w:szCs w:val="20"/>
              </w:rPr>
            </w:pPr>
          </w:p>
        </w:tc>
        <w:tc>
          <w:tcPr>
            <w:tcW w:w="0" w:type="auto"/>
            <w:gridSpan w:val="3"/>
            <w:vAlign w:val="center"/>
            <w:hideMark/>
          </w:tcPr>
          <w:p w14:paraId="0626C17F" w14:textId="77777777" w:rsidR="00000000" w:rsidRDefault="00405D16">
            <w:pPr>
              <w:spacing w:after="100"/>
              <w:rPr>
                <w:rFonts w:eastAsia="Times New Roman"/>
                <w:sz w:val="20"/>
                <w:szCs w:val="20"/>
              </w:rPr>
            </w:pPr>
          </w:p>
        </w:tc>
        <w:tc>
          <w:tcPr>
            <w:tcW w:w="0" w:type="auto"/>
            <w:gridSpan w:val="3"/>
            <w:vAlign w:val="center"/>
            <w:hideMark/>
          </w:tcPr>
          <w:p w14:paraId="17D9D83E" w14:textId="77777777" w:rsidR="00000000" w:rsidRDefault="00405D16">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2566CF75" w14:textId="77777777">
        <w:trPr>
          <w:jc w:val="center"/>
        </w:trPr>
        <w:tc>
          <w:tcPr>
            <w:tcW w:w="50" w:type="pct"/>
            <w:vAlign w:val="center"/>
            <w:hideMark/>
          </w:tcPr>
          <w:p w14:paraId="6B8E77B0" w14:textId="77777777" w:rsidR="00000000" w:rsidRDefault="00405D16">
            <w:pPr>
              <w:jc w:val="both"/>
              <w:rPr>
                <w:rFonts w:eastAsia="Times New Roman"/>
              </w:rPr>
            </w:pPr>
          </w:p>
        </w:tc>
        <w:tc>
          <w:tcPr>
            <w:tcW w:w="1606" w:type="pct"/>
            <w:vAlign w:val="center"/>
            <w:hideMark/>
          </w:tcPr>
          <w:p w14:paraId="53928DA7" w14:textId="77777777" w:rsidR="00000000" w:rsidRDefault="00405D16">
            <w:pPr>
              <w:spacing w:after="100"/>
              <w:rPr>
                <w:rFonts w:eastAsia="Times New Roman"/>
                <w:sz w:val="20"/>
                <w:szCs w:val="20"/>
              </w:rPr>
            </w:pPr>
          </w:p>
        </w:tc>
        <w:tc>
          <w:tcPr>
            <w:tcW w:w="5" w:type="pct"/>
            <w:vAlign w:val="center"/>
            <w:hideMark/>
          </w:tcPr>
          <w:p w14:paraId="38511D1B" w14:textId="77777777" w:rsidR="00000000" w:rsidRDefault="00405D16">
            <w:pPr>
              <w:spacing w:after="100"/>
              <w:rPr>
                <w:rFonts w:eastAsia="Times New Roman"/>
                <w:sz w:val="20"/>
                <w:szCs w:val="20"/>
              </w:rPr>
            </w:pPr>
          </w:p>
        </w:tc>
        <w:tc>
          <w:tcPr>
            <w:tcW w:w="50" w:type="pct"/>
            <w:vAlign w:val="center"/>
            <w:hideMark/>
          </w:tcPr>
          <w:p w14:paraId="1AD65BB1" w14:textId="77777777" w:rsidR="00000000" w:rsidRDefault="00405D16">
            <w:pPr>
              <w:spacing w:after="100"/>
              <w:rPr>
                <w:rFonts w:eastAsia="Times New Roman"/>
                <w:sz w:val="20"/>
                <w:szCs w:val="20"/>
              </w:rPr>
            </w:pPr>
          </w:p>
        </w:tc>
        <w:tc>
          <w:tcPr>
            <w:tcW w:w="1614" w:type="pct"/>
            <w:vAlign w:val="center"/>
            <w:hideMark/>
          </w:tcPr>
          <w:p w14:paraId="2C8868B3" w14:textId="77777777" w:rsidR="00000000" w:rsidRDefault="00405D16">
            <w:pPr>
              <w:spacing w:after="100"/>
              <w:rPr>
                <w:rFonts w:eastAsia="Times New Roman"/>
                <w:sz w:val="20"/>
                <w:szCs w:val="20"/>
              </w:rPr>
            </w:pPr>
          </w:p>
        </w:tc>
        <w:tc>
          <w:tcPr>
            <w:tcW w:w="5" w:type="pct"/>
            <w:vAlign w:val="center"/>
            <w:hideMark/>
          </w:tcPr>
          <w:p w14:paraId="082554E0" w14:textId="77777777" w:rsidR="00000000" w:rsidRDefault="00405D16">
            <w:pPr>
              <w:spacing w:after="100"/>
              <w:rPr>
                <w:rFonts w:eastAsia="Times New Roman"/>
                <w:sz w:val="20"/>
                <w:szCs w:val="20"/>
              </w:rPr>
            </w:pPr>
          </w:p>
        </w:tc>
        <w:tc>
          <w:tcPr>
            <w:tcW w:w="50" w:type="pct"/>
            <w:vAlign w:val="center"/>
            <w:hideMark/>
          </w:tcPr>
          <w:p w14:paraId="1B35D18C" w14:textId="77777777" w:rsidR="00000000" w:rsidRDefault="00405D16">
            <w:pPr>
              <w:spacing w:after="100"/>
              <w:rPr>
                <w:rFonts w:eastAsia="Times New Roman"/>
                <w:sz w:val="20"/>
                <w:szCs w:val="20"/>
              </w:rPr>
            </w:pPr>
          </w:p>
        </w:tc>
        <w:tc>
          <w:tcPr>
            <w:tcW w:w="1614" w:type="pct"/>
            <w:vAlign w:val="center"/>
            <w:hideMark/>
          </w:tcPr>
          <w:p w14:paraId="7AB495DD" w14:textId="77777777" w:rsidR="00000000" w:rsidRDefault="00405D16">
            <w:pPr>
              <w:spacing w:after="100"/>
              <w:rPr>
                <w:rFonts w:eastAsia="Times New Roman"/>
                <w:sz w:val="20"/>
                <w:szCs w:val="20"/>
              </w:rPr>
            </w:pPr>
          </w:p>
        </w:tc>
        <w:tc>
          <w:tcPr>
            <w:tcW w:w="5" w:type="pct"/>
            <w:vAlign w:val="center"/>
            <w:hideMark/>
          </w:tcPr>
          <w:p w14:paraId="7CE62D5A" w14:textId="77777777" w:rsidR="00000000" w:rsidRDefault="00405D16">
            <w:pPr>
              <w:spacing w:after="100"/>
              <w:rPr>
                <w:rFonts w:eastAsia="Times New Roman"/>
                <w:sz w:val="20"/>
                <w:szCs w:val="20"/>
              </w:rPr>
            </w:pPr>
          </w:p>
        </w:tc>
      </w:tr>
      <w:tr w:rsidR="00000000" w14:paraId="287299BC" w14:textId="77777777">
        <w:trPr>
          <w:trHeight w:val="300"/>
          <w:jc w:val="center"/>
        </w:trPr>
        <w:tc>
          <w:tcPr>
            <w:tcW w:w="0" w:type="auto"/>
            <w:gridSpan w:val="9"/>
            <w:tcMar>
              <w:top w:w="0" w:type="dxa"/>
              <w:left w:w="20" w:type="dxa"/>
              <w:bottom w:w="0" w:type="dxa"/>
              <w:right w:w="20" w:type="dxa"/>
            </w:tcMar>
            <w:vAlign w:val="center"/>
            <w:hideMark/>
          </w:tcPr>
          <w:p w14:paraId="7431756C" w14:textId="77777777" w:rsidR="00000000" w:rsidRDefault="00405D16">
            <w:pPr>
              <w:spacing w:after="100"/>
              <w:rPr>
                <w:rFonts w:eastAsia="Times New Roman"/>
                <w:sz w:val="20"/>
                <w:szCs w:val="20"/>
              </w:rPr>
            </w:pPr>
          </w:p>
        </w:tc>
      </w:tr>
      <w:tr w:rsidR="00000000" w14:paraId="38948155" w14:textId="77777777">
        <w:trPr>
          <w:jc w:val="center"/>
        </w:trPr>
        <w:tc>
          <w:tcPr>
            <w:tcW w:w="0" w:type="auto"/>
            <w:gridSpan w:val="3"/>
            <w:tcMar>
              <w:top w:w="0" w:type="dxa"/>
              <w:left w:w="20" w:type="dxa"/>
              <w:bottom w:w="0" w:type="dxa"/>
              <w:right w:w="20" w:type="dxa"/>
            </w:tcMar>
            <w:vAlign w:val="center"/>
            <w:hideMark/>
          </w:tcPr>
          <w:p w14:paraId="4F80918B"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25C6FF2" w14:textId="77777777" w:rsidR="00000000" w:rsidRDefault="00405D16">
            <w:pPr>
              <w:spacing w:after="100"/>
              <w:jc w:val="center"/>
              <w:rPr>
                <w:rFonts w:eastAsia="Times New Roman"/>
              </w:rPr>
            </w:pPr>
            <w:r>
              <w:rPr>
                <w:rFonts w:eastAsia="Times New Roman"/>
                <w:color w:val="000000"/>
                <w:sz w:val="16"/>
                <w:szCs w:val="16"/>
              </w:rPr>
              <w:t>88</w:t>
            </w:r>
          </w:p>
        </w:tc>
        <w:tc>
          <w:tcPr>
            <w:tcW w:w="0" w:type="auto"/>
            <w:gridSpan w:val="3"/>
            <w:tcMar>
              <w:top w:w="30" w:type="dxa"/>
              <w:left w:w="20" w:type="dxa"/>
              <w:bottom w:w="30" w:type="dxa"/>
              <w:right w:w="20" w:type="dxa"/>
            </w:tcMar>
            <w:vAlign w:val="bottom"/>
            <w:hideMark/>
          </w:tcPr>
          <w:p w14:paraId="7F3F4059"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34325C0B" w14:textId="77777777" w:rsidR="00000000" w:rsidRDefault="00405D16">
      <w:pPr>
        <w:rPr>
          <w:rFonts w:eastAsia="Times New Roman"/>
        </w:rPr>
      </w:pPr>
      <w:r>
        <w:rPr>
          <w:rFonts w:eastAsia="Times New Roman"/>
        </w:rPr>
        <w:pict w14:anchorId="0B7DD631">
          <v:rect id="_x0000_i1113" style="width:0;height:1.5pt" o:hralign="center" o:hrstd="t" o:hr="t" fillcolor="#a0a0a0" stroked="f"/>
        </w:pict>
      </w:r>
    </w:p>
    <w:p w14:paraId="0B01D463" w14:textId="77777777" w:rsidR="00000000" w:rsidRDefault="00405D16">
      <w:pPr>
        <w:jc w:val="both"/>
        <w:divId w:val="815493818"/>
        <w:rPr>
          <w:rFonts w:eastAsia="Times New Roman"/>
        </w:rPr>
      </w:pPr>
      <w:hyperlink w:anchor="idd54a04a485440b4ab4e56094c14d612_13" w:history="1">
        <w:r>
          <w:rPr>
            <w:rStyle w:val="a3"/>
            <w:rFonts w:eastAsia="Times New Roman"/>
            <w:sz w:val="16"/>
            <w:szCs w:val="16"/>
          </w:rPr>
          <w:t>Table of Contents</w:t>
        </w:r>
      </w:hyperlink>
    </w:p>
    <w:p w14:paraId="603D8AE4" w14:textId="77777777" w:rsidR="00000000" w:rsidRDefault="00405D16">
      <w:pPr>
        <w:jc w:val="center"/>
        <w:divId w:val="81549381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1415"/>
        <w:gridCol w:w="38"/>
        <w:gridCol w:w="36"/>
        <w:gridCol w:w="36"/>
        <w:gridCol w:w="36"/>
        <w:gridCol w:w="111"/>
        <w:gridCol w:w="679"/>
        <w:gridCol w:w="36"/>
        <w:gridCol w:w="36"/>
        <w:gridCol w:w="36"/>
        <w:gridCol w:w="36"/>
        <w:gridCol w:w="88"/>
        <w:gridCol w:w="657"/>
        <w:gridCol w:w="201"/>
        <w:gridCol w:w="37"/>
        <w:gridCol w:w="46"/>
        <w:gridCol w:w="37"/>
        <w:gridCol w:w="87"/>
        <w:gridCol w:w="656"/>
        <w:gridCol w:w="200"/>
        <w:gridCol w:w="36"/>
        <w:gridCol w:w="36"/>
        <w:gridCol w:w="36"/>
        <w:gridCol w:w="82"/>
        <w:gridCol w:w="609"/>
        <w:gridCol w:w="201"/>
        <w:gridCol w:w="37"/>
        <w:gridCol w:w="37"/>
        <w:gridCol w:w="37"/>
        <w:gridCol w:w="84"/>
        <w:gridCol w:w="624"/>
        <w:gridCol w:w="36"/>
        <w:gridCol w:w="36"/>
        <w:gridCol w:w="36"/>
        <w:gridCol w:w="36"/>
        <w:gridCol w:w="82"/>
        <w:gridCol w:w="609"/>
        <w:gridCol w:w="201"/>
        <w:gridCol w:w="37"/>
        <w:gridCol w:w="37"/>
        <w:gridCol w:w="37"/>
        <w:gridCol w:w="112"/>
        <w:gridCol w:w="648"/>
        <w:gridCol w:w="37"/>
      </w:tblGrid>
      <w:tr w:rsidR="00000000" w14:paraId="749AD00B" w14:textId="77777777">
        <w:trPr>
          <w:divId w:val="1834686864"/>
        </w:trPr>
        <w:tc>
          <w:tcPr>
            <w:tcW w:w="50" w:type="pct"/>
            <w:vAlign w:val="center"/>
            <w:hideMark/>
          </w:tcPr>
          <w:p w14:paraId="34063E1F" w14:textId="77777777" w:rsidR="00000000" w:rsidRDefault="00405D16">
            <w:pPr>
              <w:jc w:val="center"/>
              <w:rPr>
                <w:rFonts w:eastAsia="Times New Roman"/>
              </w:rPr>
            </w:pPr>
          </w:p>
        </w:tc>
        <w:tc>
          <w:tcPr>
            <w:tcW w:w="1670" w:type="pct"/>
            <w:vAlign w:val="center"/>
            <w:hideMark/>
          </w:tcPr>
          <w:p w14:paraId="6E89F750" w14:textId="77777777" w:rsidR="00000000" w:rsidRDefault="00405D16">
            <w:pPr>
              <w:spacing w:after="100"/>
              <w:rPr>
                <w:rFonts w:eastAsia="Times New Roman"/>
                <w:sz w:val="20"/>
                <w:szCs w:val="20"/>
              </w:rPr>
            </w:pPr>
          </w:p>
        </w:tc>
        <w:tc>
          <w:tcPr>
            <w:tcW w:w="5" w:type="pct"/>
            <w:vAlign w:val="center"/>
            <w:hideMark/>
          </w:tcPr>
          <w:p w14:paraId="3DE19FEA" w14:textId="77777777" w:rsidR="00000000" w:rsidRDefault="00405D16">
            <w:pPr>
              <w:spacing w:after="100"/>
              <w:rPr>
                <w:rFonts w:eastAsia="Times New Roman"/>
                <w:sz w:val="20"/>
                <w:szCs w:val="20"/>
              </w:rPr>
            </w:pPr>
          </w:p>
        </w:tc>
        <w:tc>
          <w:tcPr>
            <w:tcW w:w="5" w:type="pct"/>
            <w:vAlign w:val="center"/>
            <w:hideMark/>
          </w:tcPr>
          <w:p w14:paraId="13C0A48F" w14:textId="77777777" w:rsidR="00000000" w:rsidRDefault="00405D16">
            <w:pPr>
              <w:spacing w:after="100"/>
              <w:rPr>
                <w:rFonts w:eastAsia="Times New Roman"/>
                <w:sz w:val="20"/>
                <w:szCs w:val="20"/>
              </w:rPr>
            </w:pPr>
          </w:p>
        </w:tc>
        <w:tc>
          <w:tcPr>
            <w:tcW w:w="26" w:type="pct"/>
            <w:vAlign w:val="center"/>
            <w:hideMark/>
          </w:tcPr>
          <w:p w14:paraId="6075BF8A" w14:textId="77777777" w:rsidR="00000000" w:rsidRDefault="00405D16">
            <w:pPr>
              <w:spacing w:after="100"/>
              <w:rPr>
                <w:rFonts w:eastAsia="Times New Roman"/>
                <w:sz w:val="20"/>
                <w:szCs w:val="20"/>
              </w:rPr>
            </w:pPr>
          </w:p>
        </w:tc>
        <w:tc>
          <w:tcPr>
            <w:tcW w:w="5" w:type="pct"/>
            <w:vAlign w:val="center"/>
            <w:hideMark/>
          </w:tcPr>
          <w:p w14:paraId="2041F6D0" w14:textId="77777777" w:rsidR="00000000" w:rsidRDefault="00405D16">
            <w:pPr>
              <w:spacing w:after="100"/>
              <w:rPr>
                <w:rFonts w:eastAsia="Times New Roman"/>
                <w:sz w:val="20"/>
                <w:szCs w:val="20"/>
              </w:rPr>
            </w:pPr>
          </w:p>
        </w:tc>
        <w:tc>
          <w:tcPr>
            <w:tcW w:w="50" w:type="pct"/>
            <w:vAlign w:val="center"/>
            <w:hideMark/>
          </w:tcPr>
          <w:p w14:paraId="1DA64FB3" w14:textId="77777777" w:rsidR="00000000" w:rsidRDefault="00405D16">
            <w:pPr>
              <w:spacing w:after="100"/>
              <w:rPr>
                <w:rFonts w:eastAsia="Times New Roman"/>
                <w:sz w:val="20"/>
                <w:szCs w:val="20"/>
              </w:rPr>
            </w:pPr>
          </w:p>
        </w:tc>
        <w:tc>
          <w:tcPr>
            <w:tcW w:w="376" w:type="pct"/>
            <w:vAlign w:val="center"/>
            <w:hideMark/>
          </w:tcPr>
          <w:p w14:paraId="104C3A1B" w14:textId="77777777" w:rsidR="00000000" w:rsidRDefault="00405D16">
            <w:pPr>
              <w:spacing w:after="100"/>
              <w:rPr>
                <w:rFonts w:eastAsia="Times New Roman"/>
                <w:sz w:val="20"/>
                <w:szCs w:val="20"/>
              </w:rPr>
            </w:pPr>
          </w:p>
        </w:tc>
        <w:tc>
          <w:tcPr>
            <w:tcW w:w="5" w:type="pct"/>
            <w:vAlign w:val="center"/>
            <w:hideMark/>
          </w:tcPr>
          <w:p w14:paraId="575DDA80" w14:textId="77777777" w:rsidR="00000000" w:rsidRDefault="00405D16">
            <w:pPr>
              <w:spacing w:after="100"/>
              <w:rPr>
                <w:rFonts w:eastAsia="Times New Roman"/>
                <w:sz w:val="20"/>
                <w:szCs w:val="20"/>
              </w:rPr>
            </w:pPr>
          </w:p>
        </w:tc>
        <w:tc>
          <w:tcPr>
            <w:tcW w:w="5" w:type="pct"/>
            <w:vAlign w:val="center"/>
            <w:hideMark/>
          </w:tcPr>
          <w:p w14:paraId="46943F49" w14:textId="77777777" w:rsidR="00000000" w:rsidRDefault="00405D16">
            <w:pPr>
              <w:spacing w:after="100"/>
              <w:rPr>
                <w:rFonts w:eastAsia="Times New Roman"/>
                <w:sz w:val="20"/>
                <w:szCs w:val="20"/>
              </w:rPr>
            </w:pPr>
          </w:p>
        </w:tc>
        <w:tc>
          <w:tcPr>
            <w:tcW w:w="26" w:type="pct"/>
            <w:vAlign w:val="center"/>
            <w:hideMark/>
          </w:tcPr>
          <w:p w14:paraId="404CA4BE" w14:textId="77777777" w:rsidR="00000000" w:rsidRDefault="00405D16">
            <w:pPr>
              <w:spacing w:after="100"/>
              <w:rPr>
                <w:rFonts w:eastAsia="Times New Roman"/>
                <w:sz w:val="20"/>
                <w:szCs w:val="20"/>
              </w:rPr>
            </w:pPr>
          </w:p>
        </w:tc>
        <w:tc>
          <w:tcPr>
            <w:tcW w:w="5" w:type="pct"/>
            <w:vAlign w:val="center"/>
            <w:hideMark/>
          </w:tcPr>
          <w:p w14:paraId="5758E2F7" w14:textId="77777777" w:rsidR="00000000" w:rsidRDefault="00405D16">
            <w:pPr>
              <w:spacing w:after="100"/>
              <w:rPr>
                <w:rFonts w:eastAsia="Times New Roman"/>
                <w:sz w:val="20"/>
                <w:szCs w:val="20"/>
              </w:rPr>
            </w:pPr>
          </w:p>
        </w:tc>
        <w:tc>
          <w:tcPr>
            <w:tcW w:w="50" w:type="pct"/>
            <w:vAlign w:val="center"/>
            <w:hideMark/>
          </w:tcPr>
          <w:p w14:paraId="080804B0" w14:textId="77777777" w:rsidR="00000000" w:rsidRDefault="00405D16">
            <w:pPr>
              <w:spacing w:after="100"/>
              <w:rPr>
                <w:rFonts w:eastAsia="Times New Roman"/>
                <w:sz w:val="20"/>
                <w:szCs w:val="20"/>
              </w:rPr>
            </w:pPr>
          </w:p>
        </w:tc>
        <w:tc>
          <w:tcPr>
            <w:tcW w:w="376" w:type="pct"/>
            <w:vAlign w:val="center"/>
            <w:hideMark/>
          </w:tcPr>
          <w:p w14:paraId="36A87714" w14:textId="77777777" w:rsidR="00000000" w:rsidRDefault="00405D16">
            <w:pPr>
              <w:spacing w:after="100"/>
              <w:rPr>
                <w:rFonts w:eastAsia="Times New Roman"/>
                <w:sz w:val="20"/>
                <w:szCs w:val="20"/>
              </w:rPr>
            </w:pPr>
          </w:p>
        </w:tc>
        <w:tc>
          <w:tcPr>
            <w:tcW w:w="5" w:type="pct"/>
            <w:vAlign w:val="center"/>
            <w:hideMark/>
          </w:tcPr>
          <w:p w14:paraId="77ED1B5F" w14:textId="77777777" w:rsidR="00000000" w:rsidRDefault="00405D16">
            <w:pPr>
              <w:spacing w:after="100"/>
              <w:rPr>
                <w:rFonts w:eastAsia="Times New Roman"/>
                <w:sz w:val="20"/>
                <w:szCs w:val="20"/>
              </w:rPr>
            </w:pPr>
          </w:p>
        </w:tc>
        <w:tc>
          <w:tcPr>
            <w:tcW w:w="5" w:type="pct"/>
            <w:vAlign w:val="center"/>
            <w:hideMark/>
          </w:tcPr>
          <w:p w14:paraId="5E3FF4EF" w14:textId="77777777" w:rsidR="00000000" w:rsidRDefault="00405D16">
            <w:pPr>
              <w:spacing w:after="100"/>
              <w:rPr>
                <w:rFonts w:eastAsia="Times New Roman"/>
                <w:sz w:val="20"/>
                <w:szCs w:val="20"/>
              </w:rPr>
            </w:pPr>
          </w:p>
        </w:tc>
        <w:tc>
          <w:tcPr>
            <w:tcW w:w="26" w:type="pct"/>
            <w:vAlign w:val="center"/>
            <w:hideMark/>
          </w:tcPr>
          <w:p w14:paraId="56A4648B" w14:textId="77777777" w:rsidR="00000000" w:rsidRDefault="00405D16">
            <w:pPr>
              <w:spacing w:after="100"/>
              <w:rPr>
                <w:rFonts w:eastAsia="Times New Roman"/>
                <w:sz w:val="20"/>
                <w:szCs w:val="20"/>
              </w:rPr>
            </w:pPr>
          </w:p>
        </w:tc>
        <w:tc>
          <w:tcPr>
            <w:tcW w:w="5" w:type="pct"/>
            <w:vAlign w:val="center"/>
            <w:hideMark/>
          </w:tcPr>
          <w:p w14:paraId="7BB1FBAA" w14:textId="77777777" w:rsidR="00000000" w:rsidRDefault="00405D16">
            <w:pPr>
              <w:spacing w:after="100"/>
              <w:rPr>
                <w:rFonts w:eastAsia="Times New Roman"/>
                <w:sz w:val="20"/>
                <w:szCs w:val="20"/>
              </w:rPr>
            </w:pPr>
          </w:p>
        </w:tc>
        <w:tc>
          <w:tcPr>
            <w:tcW w:w="50" w:type="pct"/>
            <w:vAlign w:val="center"/>
            <w:hideMark/>
          </w:tcPr>
          <w:p w14:paraId="76109A6C" w14:textId="77777777" w:rsidR="00000000" w:rsidRDefault="00405D16">
            <w:pPr>
              <w:spacing w:after="100"/>
              <w:rPr>
                <w:rFonts w:eastAsia="Times New Roman"/>
                <w:sz w:val="20"/>
                <w:szCs w:val="20"/>
              </w:rPr>
            </w:pPr>
          </w:p>
        </w:tc>
        <w:tc>
          <w:tcPr>
            <w:tcW w:w="376" w:type="pct"/>
            <w:vAlign w:val="center"/>
            <w:hideMark/>
          </w:tcPr>
          <w:p w14:paraId="76011033" w14:textId="77777777" w:rsidR="00000000" w:rsidRDefault="00405D16">
            <w:pPr>
              <w:spacing w:after="100"/>
              <w:rPr>
                <w:rFonts w:eastAsia="Times New Roman"/>
                <w:sz w:val="20"/>
                <w:szCs w:val="20"/>
              </w:rPr>
            </w:pPr>
          </w:p>
        </w:tc>
        <w:tc>
          <w:tcPr>
            <w:tcW w:w="5" w:type="pct"/>
            <w:vAlign w:val="center"/>
            <w:hideMark/>
          </w:tcPr>
          <w:p w14:paraId="21D7752E" w14:textId="77777777" w:rsidR="00000000" w:rsidRDefault="00405D16">
            <w:pPr>
              <w:spacing w:after="100"/>
              <w:rPr>
                <w:rFonts w:eastAsia="Times New Roman"/>
                <w:sz w:val="20"/>
                <w:szCs w:val="20"/>
              </w:rPr>
            </w:pPr>
          </w:p>
        </w:tc>
        <w:tc>
          <w:tcPr>
            <w:tcW w:w="5" w:type="pct"/>
            <w:vAlign w:val="center"/>
            <w:hideMark/>
          </w:tcPr>
          <w:p w14:paraId="61B73AE7" w14:textId="77777777" w:rsidR="00000000" w:rsidRDefault="00405D16">
            <w:pPr>
              <w:spacing w:after="100"/>
              <w:rPr>
                <w:rFonts w:eastAsia="Times New Roman"/>
                <w:sz w:val="20"/>
                <w:szCs w:val="20"/>
              </w:rPr>
            </w:pPr>
          </w:p>
        </w:tc>
        <w:tc>
          <w:tcPr>
            <w:tcW w:w="26" w:type="pct"/>
            <w:vAlign w:val="center"/>
            <w:hideMark/>
          </w:tcPr>
          <w:p w14:paraId="4D5B9DEA" w14:textId="77777777" w:rsidR="00000000" w:rsidRDefault="00405D16">
            <w:pPr>
              <w:spacing w:after="100"/>
              <w:rPr>
                <w:rFonts w:eastAsia="Times New Roman"/>
                <w:sz w:val="20"/>
                <w:szCs w:val="20"/>
              </w:rPr>
            </w:pPr>
          </w:p>
        </w:tc>
        <w:tc>
          <w:tcPr>
            <w:tcW w:w="5" w:type="pct"/>
            <w:vAlign w:val="center"/>
            <w:hideMark/>
          </w:tcPr>
          <w:p w14:paraId="4EC5E65C" w14:textId="77777777" w:rsidR="00000000" w:rsidRDefault="00405D16">
            <w:pPr>
              <w:spacing w:after="100"/>
              <w:rPr>
                <w:rFonts w:eastAsia="Times New Roman"/>
                <w:sz w:val="20"/>
                <w:szCs w:val="20"/>
              </w:rPr>
            </w:pPr>
          </w:p>
        </w:tc>
        <w:tc>
          <w:tcPr>
            <w:tcW w:w="50" w:type="pct"/>
            <w:vAlign w:val="center"/>
            <w:hideMark/>
          </w:tcPr>
          <w:p w14:paraId="192334C9" w14:textId="77777777" w:rsidR="00000000" w:rsidRDefault="00405D16">
            <w:pPr>
              <w:spacing w:after="100"/>
              <w:rPr>
                <w:rFonts w:eastAsia="Times New Roman"/>
                <w:sz w:val="20"/>
                <w:szCs w:val="20"/>
              </w:rPr>
            </w:pPr>
          </w:p>
        </w:tc>
        <w:tc>
          <w:tcPr>
            <w:tcW w:w="376" w:type="pct"/>
            <w:vAlign w:val="center"/>
            <w:hideMark/>
          </w:tcPr>
          <w:p w14:paraId="76ACC2EE" w14:textId="77777777" w:rsidR="00000000" w:rsidRDefault="00405D16">
            <w:pPr>
              <w:spacing w:after="100"/>
              <w:rPr>
                <w:rFonts w:eastAsia="Times New Roman"/>
                <w:sz w:val="20"/>
                <w:szCs w:val="20"/>
              </w:rPr>
            </w:pPr>
          </w:p>
        </w:tc>
        <w:tc>
          <w:tcPr>
            <w:tcW w:w="5" w:type="pct"/>
            <w:vAlign w:val="center"/>
            <w:hideMark/>
          </w:tcPr>
          <w:p w14:paraId="5CBF2257" w14:textId="77777777" w:rsidR="00000000" w:rsidRDefault="00405D16">
            <w:pPr>
              <w:spacing w:after="100"/>
              <w:rPr>
                <w:rFonts w:eastAsia="Times New Roman"/>
                <w:sz w:val="20"/>
                <w:szCs w:val="20"/>
              </w:rPr>
            </w:pPr>
          </w:p>
        </w:tc>
        <w:tc>
          <w:tcPr>
            <w:tcW w:w="5" w:type="pct"/>
            <w:vAlign w:val="center"/>
            <w:hideMark/>
          </w:tcPr>
          <w:p w14:paraId="2B954371" w14:textId="77777777" w:rsidR="00000000" w:rsidRDefault="00405D16">
            <w:pPr>
              <w:spacing w:after="100"/>
              <w:rPr>
                <w:rFonts w:eastAsia="Times New Roman"/>
                <w:sz w:val="20"/>
                <w:szCs w:val="20"/>
              </w:rPr>
            </w:pPr>
          </w:p>
        </w:tc>
        <w:tc>
          <w:tcPr>
            <w:tcW w:w="26" w:type="pct"/>
            <w:vAlign w:val="center"/>
            <w:hideMark/>
          </w:tcPr>
          <w:p w14:paraId="184905BE" w14:textId="77777777" w:rsidR="00000000" w:rsidRDefault="00405D16">
            <w:pPr>
              <w:spacing w:after="100"/>
              <w:rPr>
                <w:rFonts w:eastAsia="Times New Roman"/>
                <w:sz w:val="20"/>
                <w:szCs w:val="20"/>
              </w:rPr>
            </w:pPr>
          </w:p>
        </w:tc>
        <w:tc>
          <w:tcPr>
            <w:tcW w:w="5" w:type="pct"/>
            <w:vAlign w:val="center"/>
            <w:hideMark/>
          </w:tcPr>
          <w:p w14:paraId="446E0CA2" w14:textId="77777777" w:rsidR="00000000" w:rsidRDefault="00405D16">
            <w:pPr>
              <w:spacing w:after="100"/>
              <w:rPr>
                <w:rFonts w:eastAsia="Times New Roman"/>
                <w:sz w:val="20"/>
                <w:szCs w:val="20"/>
              </w:rPr>
            </w:pPr>
          </w:p>
        </w:tc>
        <w:tc>
          <w:tcPr>
            <w:tcW w:w="50" w:type="pct"/>
            <w:vAlign w:val="center"/>
            <w:hideMark/>
          </w:tcPr>
          <w:p w14:paraId="4CE78F0C" w14:textId="77777777" w:rsidR="00000000" w:rsidRDefault="00405D16">
            <w:pPr>
              <w:spacing w:after="100"/>
              <w:rPr>
                <w:rFonts w:eastAsia="Times New Roman"/>
                <w:sz w:val="20"/>
                <w:szCs w:val="20"/>
              </w:rPr>
            </w:pPr>
          </w:p>
        </w:tc>
        <w:tc>
          <w:tcPr>
            <w:tcW w:w="376" w:type="pct"/>
            <w:vAlign w:val="center"/>
            <w:hideMark/>
          </w:tcPr>
          <w:p w14:paraId="6A67A449" w14:textId="77777777" w:rsidR="00000000" w:rsidRDefault="00405D16">
            <w:pPr>
              <w:spacing w:after="100"/>
              <w:rPr>
                <w:rFonts w:eastAsia="Times New Roman"/>
                <w:sz w:val="20"/>
                <w:szCs w:val="20"/>
              </w:rPr>
            </w:pPr>
          </w:p>
        </w:tc>
        <w:tc>
          <w:tcPr>
            <w:tcW w:w="5" w:type="pct"/>
            <w:vAlign w:val="center"/>
            <w:hideMark/>
          </w:tcPr>
          <w:p w14:paraId="25167810" w14:textId="77777777" w:rsidR="00000000" w:rsidRDefault="00405D16">
            <w:pPr>
              <w:spacing w:after="100"/>
              <w:rPr>
                <w:rFonts w:eastAsia="Times New Roman"/>
                <w:sz w:val="20"/>
                <w:szCs w:val="20"/>
              </w:rPr>
            </w:pPr>
          </w:p>
        </w:tc>
        <w:tc>
          <w:tcPr>
            <w:tcW w:w="5" w:type="pct"/>
            <w:vAlign w:val="center"/>
            <w:hideMark/>
          </w:tcPr>
          <w:p w14:paraId="6A08B4BC" w14:textId="77777777" w:rsidR="00000000" w:rsidRDefault="00405D16">
            <w:pPr>
              <w:spacing w:after="100"/>
              <w:rPr>
                <w:rFonts w:eastAsia="Times New Roman"/>
                <w:sz w:val="20"/>
                <w:szCs w:val="20"/>
              </w:rPr>
            </w:pPr>
          </w:p>
        </w:tc>
        <w:tc>
          <w:tcPr>
            <w:tcW w:w="26" w:type="pct"/>
            <w:vAlign w:val="center"/>
            <w:hideMark/>
          </w:tcPr>
          <w:p w14:paraId="6B0A6F9A" w14:textId="77777777" w:rsidR="00000000" w:rsidRDefault="00405D16">
            <w:pPr>
              <w:spacing w:after="100"/>
              <w:rPr>
                <w:rFonts w:eastAsia="Times New Roman"/>
                <w:sz w:val="20"/>
                <w:szCs w:val="20"/>
              </w:rPr>
            </w:pPr>
          </w:p>
        </w:tc>
        <w:tc>
          <w:tcPr>
            <w:tcW w:w="5" w:type="pct"/>
            <w:vAlign w:val="center"/>
            <w:hideMark/>
          </w:tcPr>
          <w:p w14:paraId="0A6868F3" w14:textId="77777777" w:rsidR="00000000" w:rsidRDefault="00405D16">
            <w:pPr>
              <w:spacing w:after="100"/>
              <w:rPr>
                <w:rFonts w:eastAsia="Times New Roman"/>
                <w:sz w:val="20"/>
                <w:szCs w:val="20"/>
              </w:rPr>
            </w:pPr>
          </w:p>
        </w:tc>
        <w:tc>
          <w:tcPr>
            <w:tcW w:w="50" w:type="pct"/>
            <w:vAlign w:val="center"/>
            <w:hideMark/>
          </w:tcPr>
          <w:p w14:paraId="628EEB72" w14:textId="77777777" w:rsidR="00000000" w:rsidRDefault="00405D16">
            <w:pPr>
              <w:spacing w:after="100"/>
              <w:rPr>
                <w:rFonts w:eastAsia="Times New Roman"/>
                <w:sz w:val="20"/>
                <w:szCs w:val="20"/>
              </w:rPr>
            </w:pPr>
          </w:p>
        </w:tc>
        <w:tc>
          <w:tcPr>
            <w:tcW w:w="376" w:type="pct"/>
            <w:vAlign w:val="center"/>
            <w:hideMark/>
          </w:tcPr>
          <w:p w14:paraId="1FEB64F5" w14:textId="77777777" w:rsidR="00000000" w:rsidRDefault="00405D16">
            <w:pPr>
              <w:spacing w:after="100"/>
              <w:rPr>
                <w:rFonts w:eastAsia="Times New Roman"/>
                <w:sz w:val="20"/>
                <w:szCs w:val="20"/>
              </w:rPr>
            </w:pPr>
          </w:p>
        </w:tc>
        <w:tc>
          <w:tcPr>
            <w:tcW w:w="5" w:type="pct"/>
            <w:vAlign w:val="center"/>
            <w:hideMark/>
          </w:tcPr>
          <w:p w14:paraId="248CDE1A" w14:textId="77777777" w:rsidR="00000000" w:rsidRDefault="00405D16">
            <w:pPr>
              <w:spacing w:after="100"/>
              <w:rPr>
                <w:rFonts w:eastAsia="Times New Roman"/>
                <w:sz w:val="20"/>
                <w:szCs w:val="20"/>
              </w:rPr>
            </w:pPr>
          </w:p>
        </w:tc>
        <w:tc>
          <w:tcPr>
            <w:tcW w:w="5" w:type="pct"/>
            <w:vAlign w:val="center"/>
            <w:hideMark/>
          </w:tcPr>
          <w:p w14:paraId="4B314FC8" w14:textId="77777777" w:rsidR="00000000" w:rsidRDefault="00405D16">
            <w:pPr>
              <w:spacing w:after="100"/>
              <w:rPr>
                <w:rFonts w:eastAsia="Times New Roman"/>
                <w:sz w:val="20"/>
                <w:szCs w:val="20"/>
              </w:rPr>
            </w:pPr>
          </w:p>
        </w:tc>
        <w:tc>
          <w:tcPr>
            <w:tcW w:w="26" w:type="pct"/>
            <w:vAlign w:val="center"/>
            <w:hideMark/>
          </w:tcPr>
          <w:p w14:paraId="3DCE784F" w14:textId="77777777" w:rsidR="00000000" w:rsidRDefault="00405D16">
            <w:pPr>
              <w:spacing w:after="100"/>
              <w:rPr>
                <w:rFonts w:eastAsia="Times New Roman"/>
                <w:sz w:val="20"/>
                <w:szCs w:val="20"/>
              </w:rPr>
            </w:pPr>
          </w:p>
        </w:tc>
        <w:tc>
          <w:tcPr>
            <w:tcW w:w="5" w:type="pct"/>
            <w:vAlign w:val="center"/>
            <w:hideMark/>
          </w:tcPr>
          <w:p w14:paraId="34EA4192" w14:textId="77777777" w:rsidR="00000000" w:rsidRDefault="00405D16">
            <w:pPr>
              <w:spacing w:after="100"/>
              <w:rPr>
                <w:rFonts w:eastAsia="Times New Roman"/>
                <w:sz w:val="20"/>
                <w:szCs w:val="20"/>
              </w:rPr>
            </w:pPr>
          </w:p>
        </w:tc>
        <w:tc>
          <w:tcPr>
            <w:tcW w:w="50" w:type="pct"/>
            <w:vAlign w:val="center"/>
            <w:hideMark/>
          </w:tcPr>
          <w:p w14:paraId="19E253D6" w14:textId="77777777" w:rsidR="00000000" w:rsidRDefault="00405D16">
            <w:pPr>
              <w:spacing w:after="100"/>
              <w:rPr>
                <w:rFonts w:eastAsia="Times New Roman"/>
                <w:sz w:val="20"/>
                <w:szCs w:val="20"/>
              </w:rPr>
            </w:pPr>
          </w:p>
        </w:tc>
        <w:tc>
          <w:tcPr>
            <w:tcW w:w="376" w:type="pct"/>
            <w:vAlign w:val="center"/>
            <w:hideMark/>
          </w:tcPr>
          <w:p w14:paraId="1AB6EB65" w14:textId="77777777" w:rsidR="00000000" w:rsidRDefault="00405D16">
            <w:pPr>
              <w:spacing w:after="100"/>
              <w:rPr>
                <w:rFonts w:eastAsia="Times New Roman"/>
                <w:sz w:val="20"/>
                <w:szCs w:val="20"/>
              </w:rPr>
            </w:pPr>
          </w:p>
        </w:tc>
        <w:tc>
          <w:tcPr>
            <w:tcW w:w="5" w:type="pct"/>
            <w:vAlign w:val="center"/>
            <w:hideMark/>
          </w:tcPr>
          <w:p w14:paraId="7671536F" w14:textId="77777777" w:rsidR="00000000" w:rsidRDefault="00405D16">
            <w:pPr>
              <w:spacing w:after="100"/>
              <w:rPr>
                <w:rFonts w:eastAsia="Times New Roman"/>
                <w:sz w:val="20"/>
                <w:szCs w:val="20"/>
              </w:rPr>
            </w:pPr>
          </w:p>
        </w:tc>
      </w:tr>
      <w:tr w:rsidR="00000000" w14:paraId="089E2112" w14:textId="77777777">
        <w:trPr>
          <w:divId w:val="1834686864"/>
        </w:trPr>
        <w:tc>
          <w:tcPr>
            <w:tcW w:w="0" w:type="auto"/>
            <w:gridSpan w:val="3"/>
            <w:tcMar>
              <w:top w:w="30" w:type="dxa"/>
              <w:left w:w="20" w:type="dxa"/>
              <w:bottom w:w="30" w:type="dxa"/>
              <w:right w:w="20" w:type="dxa"/>
            </w:tcMar>
            <w:vAlign w:val="bottom"/>
            <w:hideMark/>
          </w:tcPr>
          <w:p w14:paraId="722C269C"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22D22F2D" w14:textId="77777777" w:rsidR="00000000" w:rsidRDefault="00405D16">
            <w:pPr>
              <w:spacing w:after="100"/>
              <w:rPr>
                <w:rFonts w:eastAsia="Times New Roman"/>
              </w:rPr>
            </w:pPr>
          </w:p>
        </w:tc>
        <w:tc>
          <w:tcPr>
            <w:tcW w:w="0" w:type="auto"/>
            <w:gridSpan w:val="3"/>
            <w:tcMar>
              <w:top w:w="0" w:type="dxa"/>
              <w:left w:w="20" w:type="dxa"/>
              <w:bottom w:w="0" w:type="dxa"/>
              <w:right w:w="20" w:type="dxa"/>
            </w:tcMar>
            <w:vAlign w:val="center"/>
            <w:hideMark/>
          </w:tcPr>
          <w:p w14:paraId="7468989A"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BB3422E" w14:textId="77777777" w:rsidR="00000000" w:rsidRDefault="00405D16">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14:paraId="56FED0D3" w14:textId="77777777" w:rsidR="00000000" w:rsidRDefault="00405D16">
            <w:pPr>
              <w:spacing w:after="100"/>
              <w:jc w:val="center"/>
              <w:rPr>
                <w:rFonts w:eastAsia="Times New Roman"/>
              </w:rPr>
            </w:pPr>
            <w:r>
              <w:rPr>
                <w:rFonts w:eastAsia="Times New Roman"/>
                <w:b/>
                <w:bCs/>
                <w:color w:val="000000"/>
                <w:sz w:val="16"/>
                <w:szCs w:val="16"/>
              </w:rPr>
              <w:t>Nine Months Ended September 30, 2021</w:t>
            </w:r>
          </w:p>
        </w:tc>
      </w:tr>
      <w:tr w:rsidR="00000000" w14:paraId="2FB4047F" w14:textId="77777777">
        <w:trPr>
          <w:divId w:val="1834686864"/>
        </w:trPr>
        <w:tc>
          <w:tcPr>
            <w:tcW w:w="0" w:type="auto"/>
            <w:gridSpan w:val="3"/>
            <w:tcMar>
              <w:top w:w="30" w:type="dxa"/>
              <w:left w:w="20" w:type="dxa"/>
              <w:bottom w:w="30" w:type="dxa"/>
              <w:right w:w="20" w:type="dxa"/>
            </w:tcMar>
            <w:vAlign w:val="bottom"/>
            <w:hideMark/>
          </w:tcPr>
          <w:p w14:paraId="35677107"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C67E9F1" w14:textId="77777777" w:rsidR="00000000" w:rsidRDefault="00405D16">
            <w:pPr>
              <w:spacing w:after="100"/>
              <w:rPr>
                <w:rFonts w:eastAsia="Times New Roman"/>
              </w:rPr>
            </w:pPr>
          </w:p>
        </w:tc>
        <w:tc>
          <w:tcPr>
            <w:tcW w:w="0" w:type="auto"/>
            <w:gridSpan w:val="3"/>
            <w:tcMar>
              <w:top w:w="0" w:type="dxa"/>
              <w:left w:w="20" w:type="dxa"/>
              <w:bottom w:w="0" w:type="dxa"/>
              <w:right w:w="20" w:type="dxa"/>
            </w:tcMar>
            <w:vAlign w:val="center"/>
            <w:hideMark/>
          </w:tcPr>
          <w:p w14:paraId="19869892"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B97E098" w14:textId="77777777" w:rsidR="00000000" w:rsidRDefault="00405D16">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6C9012F7" w14:textId="77777777" w:rsidR="00000000" w:rsidRDefault="00405D16">
            <w:pPr>
              <w:spacing w:after="100"/>
              <w:jc w:val="center"/>
              <w:rPr>
                <w:rFonts w:eastAsia="Times New Roman"/>
              </w:rPr>
            </w:pPr>
            <w:r>
              <w:rPr>
                <w:rFonts w:eastAsia="Times New Roman"/>
                <w:b/>
                <w:bCs/>
                <w:color w:val="000000"/>
                <w:sz w:val="16"/>
                <w:szCs w:val="16"/>
              </w:rPr>
              <w:t>Reduced Interest Rate</w:t>
            </w:r>
          </w:p>
        </w:tc>
        <w:tc>
          <w:tcPr>
            <w:tcW w:w="0" w:type="auto"/>
            <w:gridSpan w:val="3"/>
            <w:tcBorders>
              <w:top w:val="single" w:sz="8" w:space="0" w:color="000000"/>
            </w:tcBorders>
            <w:tcMar>
              <w:top w:w="0" w:type="dxa"/>
              <w:left w:w="20" w:type="dxa"/>
              <w:bottom w:w="0" w:type="dxa"/>
              <w:right w:w="20" w:type="dxa"/>
            </w:tcMar>
            <w:vAlign w:val="center"/>
            <w:hideMark/>
          </w:tcPr>
          <w:p w14:paraId="6E346F36" w14:textId="77777777" w:rsidR="00000000" w:rsidRDefault="00405D16">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6C9B5098" w14:textId="77777777" w:rsidR="00000000" w:rsidRDefault="00405D16">
            <w:pPr>
              <w:spacing w:after="100"/>
              <w:jc w:val="center"/>
              <w:rPr>
                <w:rFonts w:eastAsia="Times New Roman"/>
              </w:rPr>
            </w:pPr>
            <w:r>
              <w:rPr>
                <w:rFonts w:eastAsia="Times New Roman"/>
                <w:b/>
                <w:bCs/>
                <w:color w:val="000000"/>
                <w:sz w:val="16"/>
                <w:szCs w:val="16"/>
              </w:rPr>
              <w:t>Term Extension</w:t>
            </w:r>
          </w:p>
        </w:tc>
        <w:tc>
          <w:tcPr>
            <w:tcW w:w="0" w:type="auto"/>
            <w:gridSpan w:val="3"/>
            <w:tcBorders>
              <w:top w:val="single" w:sz="8" w:space="0" w:color="000000"/>
            </w:tcBorders>
            <w:tcMar>
              <w:top w:w="0" w:type="dxa"/>
              <w:left w:w="20" w:type="dxa"/>
              <w:bottom w:w="0" w:type="dxa"/>
              <w:right w:w="20" w:type="dxa"/>
            </w:tcMar>
            <w:vAlign w:val="center"/>
            <w:hideMark/>
          </w:tcPr>
          <w:p w14:paraId="1D6FB94D" w14:textId="77777777" w:rsidR="00000000" w:rsidRDefault="00405D16">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62248FF8" w14:textId="77777777" w:rsidR="00000000" w:rsidRDefault="00405D16">
            <w:pPr>
              <w:spacing w:after="100"/>
              <w:jc w:val="center"/>
              <w:rPr>
                <w:rFonts w:eastAsia="Times New Roman"/>
              </w:rPr>
            </w:pPr>
            <w:r>
              <w:rPr>
                <w:rFonts w:eastAsia="Times New Roman"/>
                <w:b/>
                <w:bCs/>
                <w:color w:val="000000"/>
                <w:sz w:val="16"/>
                <w:szCs w:val="16"/>
              </w:rPr>
              <w:t>Balance Reduction</w:t>
            </w:r>
          </w:p>
        </w:tc>
      </w:tr>
      <w:tr w:rsidR="00000000" w14:paraId="0E8298BF" w14:textId="77777777">
        <w:trPr>
          <w:divId w:val="1834686864"/>
        </w:trPr>
        <w:tc>
          <w:tcPr>
            <w:tcW w:w="0" w:type="auto"/>
            <w:gridSpan w:val="3"/>
            <w:tcMar>
              <w:top w:w="30" w:type="dxa"/>
              <w:left w:w="20" w:type="dxa"/>
              <w:bottom w:w="30" w:type="dxa"/>
              <w:right w:w="20" w:type="dxa"/>
            </w:tcMar>
            <w:vAlign w:val="bottom"/>
            <w:hideMark/>
          </w:tcPr>
          <w:p w14:paraId="281D4917"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0689BFBD" w14:textId="77777777" w:rsidR="00000000" w:rsidRDefault="00405D16">
            <w:pPr>
              <w:spacing w:after="100"/>
              <w:rPr>
                <w:rFonts w:eastAsia="Times New Roman"/>
              </w:rPr>
            </w:pPr>
          </w:p>
        </w:tc>
        <w:tc>
          <w:tcPr>
            <w:tcW w:w="0" w:type="auto"/>
            <w:gridSpan w:val="3"/>
            <w:tcMar>
              <w:top w:w="30" w:type="dxa"/>
              <w:left w:w="20" w:type="dxa"/>
              <w:bottom w:w="30" w:type="dxa"/>
              <w:right w:w="20" w:type="dxa"/>
            </w:tcMar>
            <w:vAlign w:val="bottom"/>
            <w:hideMark/>
          </w:tcPr>
          <w:p w14:paraId="6D8D7AF7" w14:textId="77777777" w:rsidR="00000000" w:rsidRDefault="00405D16">
            <w:pPr>
              <w:spacing w:after="100"/>
              <w:jc w:val="center"/>
              <w:rPr>
                <w:rFonts w:eastAsia="Times New Roman"/>
              </w:rPr>
            </w:pPr>
            <w:r>
              <w:rPr>
                <w:rFonts w:eastAsia="Times New Roman"/>
                <w:b/>
                <w:bCs/>
                <w:color w:val="000000"/>
                <w:sz w:val="16"/>
                <w:szCs w:val="16"/>
              </w:rPr>
              <w:t>Total Loans Modifie</w:t>
            </w:r>
            <w:r>
              <w:rPr>
                <w:rFonts w:eastAsia="Times New Roman"/>
                <w:b/>
                <w:bCs/>
                <w:color w:val="000000"/>
                <w:sz w:val="16"/>
                <w:szCs w:val="16"/>
              </w:rPr>
              <w:t>d</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67B3569B"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60E6255" w14:textId="77777777" w:rsidR="00000000" w:rsidRDefault="00405D16">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50DF318B"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D7C7318" w14:textId="77777777" w:rsidR="00000000" w:rsidRDefault="00405D16">
            <w:pPr>
              <w:spacing w:after="100"/>
              <w:jc w:val="center"/>
              <w:rPr>
                <w:rFonts w:eastAsia="Times New Roman"/>
              </w:rPr>
            </w:pPr>
            <w:r>
              <w:rPr>
                <w:rFonts w:eastAsia="Times New Roman"/>
                <w:b/>
                <w:bCs/>
                <w:color w:val="000000"/>
                <w:sz w:val="16"/>
                <w:szCs w:val="16"/>
              </w:rPr>
              <w:t>Average Rate Reduction</w:t>
            </w:r>
          </w:p>
        </w:tc>
        <w:tc>
          <w:tcPr>
            <w:tcW w:w="0" w:type="auto"/>
            <w:gridSpan w:val="3"/>
            <w:tcMar>
              <w:top w:w="0" w:type="dxa"/>
              <w:left w:w="20" w:type="dxa"/>
              <w:bottom w:w="0" w:type="dxa"/>
              <w:right w:w="20" w:type="dxa"/>
            </w:tcMar>
            <w:vAlign w:val="center"/>
            <w:hideMark/>
          </w:tcPr>
          <w:p w14:paraId="4A583224"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488616D" w14:textId="77777777" w:rsidR="00000000" w:rsidRDefault="00405D16">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6F0E5DF9"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5380F52" w14:textId="77777777" w:rsidR="00000000" w:rsidRDefault="00405D16">
            <w:pPr>
              <w:spacing w:after="100"/>
              <w:jc w:val="center"/>
              <w:rPr>
                <w:rFonts w:eastAsia="Times New Roman"/>
              </w:rPr>
            </w:pPr>
            <w:r>
              <w:rPr>
                <w:rFonts w:eastAsia="Times New Roman"/>
                <w:b/>
                <w:bCs/>
                <w:color w:val="000000"/>
                <w:sz w:val="16"/>
                <w:szCs w:val="16"/>
              </w:rPr>
              <w:t>Average Term Extension (Months)</w:t>
            </w:r>
          </w:p>
        </w:tc>
        <w:tc>
          <w:tcPr>
            <w:tcW w:w="0" w:type="auto"/>
            <w:gridSpan w:val="3"/>
            <w:tcMar>
              <w:top w:w="0" w:type="dxa"/>
              <w:left w:w="20" w:type="dxa"/>
              <w:bottom w:w="0" w:type="dxa"/>
              <w:right w:w="20" w:type="dxa"/>
            </w:tcMar>
            <w:vAlign w:val="center"/>
            <w:hideMark/>
          </w:tcPr>
          <w:p w14:paraId="22B08BFE"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9F74286" w14:textId="77777777" w:rsidR="00000000" w:rsidRDefault="00405D16">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4DBFF1CF"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7AC77F3" w14:textId="77777777" w:rsidR="00000000" w:rsidRDefault="00405D16">
            <w:pPr>
              <w:spacing w:after="100"/>
              <w:jc w:val="center"/>
              <w:rPr>
                <w:rFonts w:eastAsia="Times New Roman"/>
              </w:rPr>
            </w:pPr>
            <w:r>
              <w:rPr>
                <w:rFonts w:eastAsia="Times New Roman"/>
                <w:b/>
                <w:bCs/>
                <w:color w:val="000000"/>
                <w:sz w:val="16"/>
                <w:szCs w:val="16"/>
              </w:rPr>
              <w:t>Gross Balance Reduction</w:t>
            </w:r>
          </w:p>
        </w:tc>
      </w:tr>
      <w:tr w:rsidR="00000000" w14:paraId="7FD6AB13" w14:textId="77777777">
        <w:trPr>
          <w:divId w:val="183468686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32A8757" w14:textId="77777777" w:rsidR="00000000" w:rsidRDefault="00405D16">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14:paraId="5196F809"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7B64C8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A2E064"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870DC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2886FF"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3CFE09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E7054D"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1C320B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CB83E5"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B8FB97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CBCD52"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C90A59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2E8EA4"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9230729" w14:textId="77777777" w:rsidR="00000000" w:rsidRDefault="00405D16">
            <w:pPr>
              <w:spacing w:after="100"/>
              <w:rPr>
                <w:rFonts w:eastAsia="Times New Roman"/>
                <w:sz w:val="20"/>
                <w:szCs w:val="20"/>
              </w:rPr>
            </w:pPr>
          </w:p>
        </w:tc>
      </w:tr>
      <w:tr w:rsidR="00000000" w14:paraId="0AE348E6" w14:textId="77777777">
        <w:trPr>
          <w:divId w:val="1834686864"/>
        </w:trPr>
        <w:tc>
          <w:tcPr>
            <w:tcW w:w="0" w:type="auto"/>
            <w:gridSpan w:val="3"/>
            <w:shd w:val="clear" w:color="auto" w:fill="FFFFFF"/>
            <w:tcMar>
              <w:top w:w="30" w:type="dxa"/>
              <w:left w:w="245" w:type="dxa"/>
              <w:bottom w:w="30" w:type="dxa"/>
              <w:right w:w="20" w:type="dxa"/>
            </w:tcMar>
            <w:vAlign w:val="center"/>
            <w:hideMark/>
          </w:tcPr>
          <w:p w14:paraId="696DE96B" w14:textId="77777777" w:rsidR="00000000" w:rsidRDefault="00405D16">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14:paraId="38A08EE7"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02971661"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79422E46" w14:textId="77777777" w:rsidR="00000000" w:rsidRDefault="00405D16">
            <w:pPr>
              <w:spacing w:after="100"/>
              <w:jc w:val="right"/>
              <w:rPr>
                <w:rFonts w:eastAsia="Times New Roman"/>
              </w:rPr>
            </w:pPr>
            <w:r>
              <w:rPr>
                <w:rFonts w:eastAsia="Times New Roman"/>
                <w:b/>
                <w:bCs/>
                <w:color w:val="000000"/>
                <w:sz w:val="18"/>
                <w:szCs w:val="18"/>
              </w:rPr>
              <w:t>114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AF6259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0E2EC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B25AFC2" w14:textId="77777777" w:rsidR="00000000" w:rsidRDefault="00405D16">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FD47E0A"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5F43A4D"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56D4867" w14:textId="77777777" w:rsidR="00000000" w:rsidRDefault="00405D16">
            <w:pPr>
              <w:spacing w:after="100"/>
              <w:jc w:val="right"/>
              <w:rPr>
                <w:rFonts w:eastAsia="Times New Roman"/>
              </w:rPr>
            </w:pPr>
            <w:r>
              <w:rPr>
                <w:rFonts w:eastAsia="Times New Roman"/>
                <w:b/>
                <w:bCs/>
                <w:color w:val="000000"/>
                <w:sz w:val="18"/>
                <w:szCs w:val="18"/>
              </w:rPr>
              <w:t>16.00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C7F8C9B"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441F372"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1252DCA"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A5A5BE6"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7846543" w14:textId="77777777" w:rsidR="00000000" w:rsidRDefault="00405D16">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0D2DABF6" w14:textId="77777777" w:rsidR="00000000" w:rsidRDefault="00405D16">
            <w:pPr>
              <w:spacing w:after="100"/>
              <w:jc w:val="right"/>
              <w:rPr>
                <w:rFonts w:eastAsia="Times New Roman"/>
              </w:rPr>
            </w:pPr>
            <w:r>
              <w:rPr>
                <w:rFonts w:eastAsia="Times New Roman"/>
                <w:b/>
                <w:bCs/>
                <w:color w:val="000000"/>
                <w:sz w:val="18"/>
                <w:szCs w:val="18"/>
              </w:rPr>
              <w:t>0</w:t>
            </w:r>
          </w:p>
        </w:tc>
        <w:tc>
          <w:tcPr>
            <w:tcW w:w="0" w:type="auto"/>
            <w:gridSpan w:val="3"/>
            <w:shd w:val="clear" w:color="auto" w:fill="FFFFFF"/>
            <w:tcMar>
              <w:top w:w="0" w:type="dxa"/>
              <w:left w:w="20" w:type="dxa"/>
              <w:bottom w:w="0" w:type="dxa"/>
              <w:right w:w="20" w:type="dxa"/>
            </w:tcMar>
            <w:vAlign w:val="center"/>
            <w:hideMark/>
          </w:tcPr>
          <w:p w14:paraId="2C2AB012"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CB162C0"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C265324" w14:textId="77777777" w:rsidR="00000000" w:rsidRDefault="00405D16">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5505B6E" w14:textId="77777777" w:rsidR="00000000" w:rsidRDefault="00405D16">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16D04C27"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500628B1"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753F4CE" w14:textId="77777777" w:rsidR="00000000" w:rsidRDefault="00405D16">
            <w:pPr>
              <w:spacing w:after="100"/>
              <w:jc w:val="right"/>
              <w:rPr>
                <w:rFonts w:eastAsia="Times New Roman"/>
              </w:rPr>
            </w:pPr>
          </w:p>
        </w:tc>
      </w:tr>
      <w:tr w:rsidR="00000000" w14:paraId="26AA6763" w14:textId="77777777">
        <w:trPr>
          <w:divId w:val="1834686864"/>
        </w:trPr>
        <w:tc>
          <w:tcPr>
            <w:tcW w:w="0" w:type="auto"/>
            <w:gridSpan w:val="3"/>
            <w:shd w:val="clear" w:color="auto" w:fill="CCEEFF"/>
            <w:tcMar>
              <w:top w:w="30" w:type="dxa"/>
              <w:left w:w="245" w:type="dxa"/>
              <w:bottom w:w="30" w:type="dxa"/>
              <w:right w:w="20" w:type="dxa"/>
            </w:tcMar>
            <w:vAlign w:val="center"/>
            <w:hideMark/>
          </w:tcPr>
          <w:p w14:paraId="4C704CA9" w14:textId="77777777" w:rsidR="00000000" w:rsidRDefault="00405D16">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14:paraId="0B39D693"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4E97D73" w14:textId="77777777" w:rsidR="00000000" w:rsidRDefault="00405D16">
            <w:pPr>
              <w:spacing w:after="100"/>
              <w:jc w:val="right"/>
              <w:rPr>
                <w:rFonts w:eastAsia="Times New Roman"/>
              </w:rPr>
            </w:pPr>
            <w:r>
              <w:rPr>
                <w:rFonts w:eastAsia="Times New Roman"/>
                <w:b/>
                <w:bCs/>
                <w:color w:val="000000"/>
                <w:sz w:val="18"/>
                <w:szCs w:val="18"/>
              </w:rPr>
              <w:t>94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C7E798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08CDD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BCE7C5E" w14:textId="77777777" w:rsidR="00000000" w:rsidRDefault="00405D16">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B85D6E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920A9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5AD6FA5" w14:textId="77777777" w:rsidR="00000000" w:rsidRDefault="00405D16">
            <w:pPr>
              <w:spacing w:after="100"/>
              <w:jc w:val="right"/>
              <w:rPr>
                <w:rFonts w:eastAsia="Times New Roman"/>
              </w:rPr>
            </w:pPr>
            <w:r>
              <w:rPr>
                <w:rFonts w:eastAsia="Times New Roman"/>
                <w:b/>
                <w:bCs/>
                <w:color w:val="000000"/>
                <w:sz w:val="18"/>
                <w:szCs w:val="18"/>
              </w:rPr>
              <w:t>27.66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9A0BB2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39639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2AEAB89"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1F7A77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E18F61"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14:paraId="5C46205A" w14:textId="77777777" w:rsidR="00000000" w:rsidRDefault="00405D16">
            <w:pPr>
              <w:spacing w:after="100"/>
              <w:jc w:val="right"/>
              <w:rPr>
                <w:rFonts w:eastAsia="Times New Roman"/>
              </w:rPr>
            </w:pPr>
            <w:r>
              <w:rPr>
                <w:rFonts w:eastAsia="Times New Roman"/>
                <w:b/>
                <w:bCs/>
                <w:color w:val="000000"/>
                <w:sz w:val="18"/>
                <w:szCs w:val="18"/>
              </w:rPr>
              <w:t>0</w:t>
            </w:r>
          </w:p>
        </w:tc>
        <w:tc>
          <w:tcPr>
            <w:tcW w:w="0" w:type="auto"/>
            <w:gridSpan w:val="3"/>
            <w:shd w:val="clear" w:color="auto" w:fill="CCEEFF"/>
            <w:tcMar>
              <w:top w:w="0" w:type="dxa"/>
              <w:left w:w="20" w:type="dxa"/>
              <w:bottom w:w="0" w:type="dxa"/>
              <w:right w:w="20" w:type="dxa"/>
            </w:tcMar>
            <w:vAlign w:val="center"/>
            <w:hideMark/>
          </w:tcPr>
          <w:p w14:paraId="09540BAB"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85052F8"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C8BE89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676D8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0E1D179"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22DEB58" w14:textId="77777777" w:rsidR="00000000" w:rsidRDefault="00405D16">
            <w:pPr>
              <w:spacing w:after="100"/>
              <w:jc w:val="right"/>
              <w:rPr>
                <w:rFonts w:eastAsia="Times New Roman"/>
              </w:rPr>
            </w:pPr>
          </w:p>
        </w:tc>
      </w:tr>
      <w:tr w:rsidR="00000000" w14:paraId="7C524467" w14:textId="77777777">
        <w:trPr>
          <w:divId w:val="1834686864"/>
        </w:trPr>
        <w:tc>
          <w:tcPr>
            <w:tcW w:w="0" w:type="auto"/>
            <w:gridSpan w:val="3"/>
            <w:shd w:val="clear" w:color="auto" w:fill="FFFFFF"/>
            <w:tcMar>
              <w:top w:w="30" w:type="dxa"/>
              <w:left w:w="20" w:type="dxa"/>
              <w:bottom w:w="30" w:type="dxa"/>
              <w:right w:w="20" w:type="dxa"/>
            </w:tcMar>
            <w:vAlign w:val="center"/>
            <w:hideMark/>
          </w:tcPr>
          <w:p w14:paraId="724D0153" w14:textId="77777777" w:rsidR="00000000" w:rsidRDefault="00405D16">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14:paraId="0F38CE7B"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1560BF2" w14:textId="77777777" w:rsidR="00000000" w:rsidRDefault="00405D16">
            <w:pPr>
              <w:spacing w:after="100"/>
              <w:jc w:val="right"/>
              <w:rPr>
                <w:rFonts w:eastAsia="Times New Roman"/>
              </w:rPr>
            </w:pPr>
            <w:r>
              <w:rPr>
                <w:rFonts w:eastAsia="Times New Roman"/>
                <w:b/>
                <w:bCs/>
                <w:color w:val="000000"/>
                <w:sz w:val="18"/>
                <w:szCs w:val="18"/>
              </w:rPr>
              <w:t>208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D14EC6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BEDD3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338D1EF" w14:textId="77777777" w:rsidR="00000000" w:rsidRDefault="00405D16">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5DA809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83CE4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D8CBD07" w14:textId="77777777" w:rsidR="00000000" w:rsidRDefault="00405D16">
            <w:pPr>
              <w:spacing w:after="100"/>
              <w:jc w:val="right"/>
              <w:rPr>
                <w:rFonts w:eastAsia="Times New Roman"/>
              </w:rPr>
            </w:pPr>
            <w:r>
              <w:rPr>
                <w:rFonts w:eastAsia="Times New Roman"/>
                <w:b/>
                <w:bCs/>
                <w:color w:val="000000"/>
                <w:sz w:val="18"/>
                <w:szCs w:val="18"/>
              </w:rPr>
              <w:t>21.26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B3C837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8C68D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49EB635"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7C0C84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D00809"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2CD11C9C" w14:textId="77777777" w:rsidR="00000000" w:rsidRDefault="00405D16">
            <w:pPr>
              <w:spacing w:after="100"/>
              <w:jc w:val="right"/>
              <w:rPr>
                <w:rFonts w:eastAsia="Times New Roman"/>
              </w:rPr>
            </w:pPr>
            <w:r>
              <w:rPr>
                <w:rFonts w:eastAsia="Times New Roman"/>
                <w:b/>
                <w:bCs/>
                <w:color w:val="000000"/>
                <w:sz w:val="18"/>
                <w:szCs w:val="18"/>
              </w:rPr>
              <w:t>0</w:t>
            </w:r>
          </w:p>
        </w:tc>
        <w:tc>
          <w:tcPr>
            <w:tcW w:w="0" w:type="auto"/>
            <w:gridSpan w:val="3"/>
            <w:shd w:val="clear" w:color="auto" w:fill="FFFFFF"/>
            <w:tcMar>
              <w:top w:w="0" w:type="dxa"/>
              <w:left w:w="20" w:type="dxa"/>
              <w:bottom w:w="0" w:type="dxa"/>
              <w:right w:w="20" w:type="dxa"/>
            </w:tcMar>
            <w:vAlign w:val="center"/>
            <w:hideMark/>
          </w:tcPr>
          <w:p w14:paraId="6D435041"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A6AC7AC"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D7AE74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0767C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A2641F3"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8BCC158" w14:textId="77777777" w:rsidR="00000000" w:rsidRDefault="00405D16">
            <w:pPr>
              <w:spacing w:after="100"/>
              <w:jc w:val="right"/>
              <w:rPr>
                <w:rFonts w:eastAsia="Times New Roman"/>
              </w:rPr>
            </w:pPr>
          </w:p>
        </w:tc>
      </w:tr>
      <w:tr w:rsidR="00000000" w14:paraId="0014D816" w14:textId="77777777">
        <w:trPr>
          <w:divId w:val="1834686864"/>
        </w:trPr>
        <w:tc>
          <w:tcPr>
            <w:tcW w:w="0" w:type="auto"/>
            <w:gridSpan w:val="3"/>
            <w:shd w:val="clear" w:color="auto" w:fill="CCEEFF"/>
            <w:tcMar>
              <w:top w:w="30" w:type="dxa"/>
              <w:left w:w="20" w:type="dxa"/>
              <w:bottom w:w="30" w:type="dxa"/>
              <w:right w:w="20" w:type="dxa"/>
            </w:tcMar>
            <w:vAlign w:val="center"/>
            <w:hideMark/>
          </w:tcPr>
          <w:p w14:paraId="7B1711EF" w14:textId="77777777" w:rsidR="00000000" w:rsidRDefault="00405D16">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14:paraId="3F17FB08"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06297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717F9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398B8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AA2CD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87A89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5BC3A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6DE83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7233E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3E58B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DF6ED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AB9F5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0CD51F"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65904AA" w14:textId="77777777" w:rsidR="00000000" w:rsidRDefault="00405D16">
            <w:pPr>
              <w:spacing w:after="100"/>
              <w:rPr>
                <w:rFonts w:eastAsia="Times New Roman"/>
                <w:sz w:val="20"/>
                <w:szCs w:val="20"/>
              </w:rPr>
            </w:pPr>
          </w:p>
        </w:tc>
      </w:tr>
      <w:tr w:rsidR="00000000" w14:paraId="22DB5F9E" w14:textId="77777777">
        <w:trPr>
          <w:divId w:val="1834686864"/>
        </w:trPr>
        <w:tc>
          <w:tcPr>
            <w:tcW w:w="0" w:type="auto"/>
            <w:gridSpan w:val="3"/>
            <w:shd w:val="clear" w:color="auto" w:fill="FFFFFF"/>
            <w:tcMar>
              <w:top w:w="30" w:type="dxa"/>
              <w:left w:w="245" w:type="dxa"/>
              <w:bottom w:w="30" w:type="dxa"/>
              <w:right w:w="20" w:type="dxa"/>
            </w:tcMar>
            <w:vAlign w:val="center"/>
            <w:hideMark/>
          </w:tcPr>
          <w:p w14:paraId="3AB26DCE" w14:textId="77777777" w:rsidR="00000000" w:rsidRDefault="00405D16">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14:paraId="6A2B38F3"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734A3D6" w14:textId="77777777" w:rsidR="00000000" w:rsidRDefault="00405D16">
            <w:pPr>
              <w:spacing w:after="100"/>
              <w:jc w:val="right"/>
              <w:rPr>
                <w:rFonts w:eastAsia="Times New Roman"/>
              </w:rPr>
            </w:pPr>
            <w:r>
              <w:rPr>
                <w:rFonts w:eastAsia="Times New Roman"/>
                <w:b/>
                <w:bCs/>
                <w:color w:val="000000"/>
                <w:sz w:val="18"/>
                <w:szCs w:val="18"/>
              </w:rPr>
              <w:t>269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97E0F4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1BE12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C99FD12" w14:textId="77777777" w:rsidR="00000000" w:rsidRDefault="00405D16">
            <w:pPr>
              <w:spacing w:after="100"/>
              <w:jc w:val="right"/>
              <w:rPr>
                <w:rFonts w:eastAsia="Times New Roman"/>
              </w:rPr>
            </w:pPr>
            <w:r>
              <w:rPr>
                <w:rFonts w:eastAsia="Times New Roman"/>
                <w:b/>
                <w:bCs/>
                <w:color w:val="000000"/>
                <w:sz w:val="18"/>
                <w:szCs w:val="18"/>
              </w:rPr>
              <w:t>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A8E7C3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3F702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7BDF716" w14:textId="77777777" w:rsidR="00000000" w:rsidRDefault="00405D16">
            <w:pPr>
              <w:spacing w:after="100"/>
              <w:jc w:val="right"/>
              <w:rPr>
                <w:rFonts w:eastAsia="Times New Roman"/>
              </w:rPr>
            </w:pPr>
            <w:r>
              <w:rPr>
                <w:rFonts w:eastAsia="Times New Roman"/>
                <w:b/>
                <w:bCs/>
                <w:color w:val="000000"/>
                <w:sz w:val="18"/>
                <w:szCs w:val="18"/>
              </w:rPr>
              <w:t>8.74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DBCD0F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A8B87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6B9A44B" w14:textId="77777777" w:rsidR="00000000" w:rsidRDefault="00405D16">
            <w:pPr>
              <w:spacing w:after="100"/>
              <w:jc w:val="right"/>
              <w:rPr>
                <w:rFonts w:eastAsia="Times New Roman"/>
              </w:rPr>
            </w:pPr>
            <w:r>
              <w:rPr>
                <w:rFonts w:eastAsia="Times New Roman"/>
                <w:b/>
                <w:bCs/>
                <w:color w:val="000000"/>
                <w:sz w:val="18"/>
                <w:szCs w:val="18"/>
              </w:rPr>
              <w:t>93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AE09CC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EB355D"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3B6B1E08" w14:textId="77777777" w:rsidR="00000000" w:rsidRDefault="00405D16">
            <w:pPr>
              <w:spacing w:after="100"/>
              <w:jc w:val="right"/>
              <w:rPr>
                <w:rFonts w:eastAsia="Times New Roman"/>
              </w:rPr>
            </w:pPr>
            <w:r>
              <w:rPr>
                <w:rFonts w:eastAsia="Times New Roman"/>
                <w:b/>
                <w:bCs/>
                <w:color w:val="000000"/>
                <w:sz w:val="18"/>
                <w:szCs w:val="18"/>
              </w:rPr>
              <w:t>4</w:t>
            </w:r>
          </w:p>
        </w:tc>
        <w:tc>
          <w:tcPr>
            <w:tcW w:w="0" w:type="auto"/>
            <w:gridSpan w:val="3"/>
            <w:shd w:val="clear" w:color="auto" w:fill="FFFFFF"/>
            <w:tcMar>
              <w:top w:w="0" w:type="dxa"/>
              <w:left w:w="20" w:type="dxa"/>
              <w:bottom w:w="0" w:type="dxa"/>
              <w:right w:w="20" w:type="dxa"/>
            </w:tcMar>
            <w:vAlign w:val="center"/>
            <w:hideMark/>
          </w:tcPr>
          <w:p w14:paraId="176BEC4E"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255262F"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7A6953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B83FE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377FBE7" w14:textId="77777777" w:rsidR="00000000" w:rsidRDefault="00405D16">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D0779DF" w14:textId="77777777" w:rsidR="00000000" w:rsidRDefault="00405D16">
            <w:pPr>
              <w:spacing w:after="100"/>
              <w:jc w:val="right"/>
              <w:rPr>
                <w:rFonts w:eastAsia="Times New Roman"/>
              </w:rPr>
            </w:pPr>
          </w:p>
        </w:tc>
      </w:tr>
      <w:tr w:rsidR="00000000" w14:paraId="757CBE2E" w14:textId="77777777">
        <w:trPr>
          <w:divId w:val="1834686864"/>
        </w:trPr>
        <w:tc>
          <w:tcPr>
            <w:tcW w:w="0" w:type="auto"/>
            <w:gridSpan w:val="3"/>
            <w:shd w:val="clear" w:color="auto" w:fill="CCEEFF"/>
            <w:tcMar>
              <w:top w:w="30" w:type="dxa"/>
              <w:left w:w="245" w:type="dxa"/>
              <w:bottom w:w="30" w:type="dxa"/>
              <w:right w:w="20" w:type="dxa"/>
            </w:tcMar>
            <w:vAlign w:val="center"/>
            <w:hideMark/>
          </w:tcPr>
          <w:p w14:paraId="54EFF0C3" w14:textId="77777777" w:rsidR="00000000" w:rsidRDefault="00405D16">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14:paraId="13F443CE"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CD9FCF2" w14:textId="77777777" w:rsidR="00000000" w:rsidRDefault="00405D16">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1C991D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ED2C0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1BF5F5E" w14:textId="77777777" w:rsidR="00000000" w:rsidRDefault="00405D16">
            <w:pPr>
              <w:spacing w:after="100"/>
              <w:jc w:val="right"/>
              <w:rPr>
                <w:rFonts w:eastAsia="Times New Roman"/>
              </w:rPr>
            </w:pPr>
            <w:r>
              <w:rPr>
                <w:rFonts w:eastAsia="Times New Roman"/>
                <w:b/>
                <w:bCs/>
                <w:color w:val="000000"/>
                <w:sz w:val="18"/>
                <w:szCs w:val="18"/>
              </w:rPr>
              <w:t>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5BA438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BE977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BC4C9CD" w14:textId="77777777" w:rsidR="00000000" w:rsidRDefault="00405D16">
            <w:pPr>
              <w:spacing w:after="100"/>
              <w:jc w:val="right"/>
              <w:rPr>
                <w:rFonts w:eastAsia="Times New Roman"/>
              </w:rPr>
            </w:pPr>
            <w:r>
              <w:rPr>
                <w:rFonts w:eastAsia="Times New Roman"/>
                <w:b/>
                <w:bCs/>
                <w:color w:val="000000"/>
                <w:sz w:val="18"/>
                <w:szCs w:val="18"/>
              </w:rPr>
              <w:t>2.55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77EB21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81DB9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AD115A8" w14:textId="77777777" w:rsidR="00000000" w:rsidRDefault="00405D16">
            <w:pPr>
              <w:spacing w:after="100"/>
              <w:jc w:val="right"/>
              <w:rPr>
                <w:rFonts w:eastAsia="Times New Roman"/>
              </w:rPr>
            </w:pPr>
            <w:r>
              <w:rPr>
                <w:rFonts w:eastAsia="Times New Roman"/>
                <w:b/>
                <w:bCs/>
                <w:color w:val="000000"/>
                <w:sz w:val="18"/>
                <w:szCs w:val="18"/>
              </w:rPr>
              <w:t>36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238888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DB5DBE"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14:paraId="23A817AB" w14:textId="77777777" w:rsidR="00000000" w:rsidRDefault="00405D16">
            <w:pPr>
              <w:spacing w:after="100"/>
              <w:jc w:val="right"/>
              <w:rPr>
                <w:rFonts w:eastAsia="Times New Roman"/>
              </w:rPr>
            </w:pPr>
            <w:r>
              <w:rPr>
                <w:rFonts w:eastAsia="Times New Roman"/>
                <w:b/>
                <w:bCs/>
                <w:color w:val="000000"/>
                <w:sz w:val="18"/>
                <w:szCs w:val="18"/>
              </w:rPr>
              <w:t>67</w:t>
            </w:r>
          </w:p>
        </w:tc>
        <w:tc>
          <w:tcPr>
            <w:tcW w:w="0" w:type="auto"/>
            <w:gridSpan w:val="3"/>
            <w:shd w:val="clear" w:color="auto" w:fill="CCEEFF"/>
            <w:tcMar>
              <w:top w:w="0" w:type="dxa"/>
              <w:left w:w="20" w:type="dxa"/>
              <w:bottom w:w="0" w:type="dxa"/>
              <w:right w:w="20" w:type="dxa"/>
            </w:tcMar>
            <w:vAlign w:val="center"/>
            <w:hideMark/>
          </w:tcPr>
          <w:p w14:paraId="02A0C634"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CE06C84"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8AFE39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B9F38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EC0C216"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3E28E60" w14:textId="77777777" w:rsidR="00000000" w:rsidRDefault="00405D16">
            <w:pPr>
              <w:spacing w:after="100"/>
              <w:jc w:val="right"/>
              <w:rPr>
                <w:rFonts w:eastAsia="Times New Roman"/>
              </w:rPr>
            </w:pPr>
          </w:p>
        </w:tc>
      </w:tr>
      <w:tr w:rsidR="00000000" w14:paraId="1C3B2F2F" w14:textId="77777777">
        <w:trPr>
          <w:divId w:val="1834686864"/>
        </w:trPr>
        <w:tc>
          <w:tcPr>
            <w:tcW w:w="0" w:type="auto"/>
            <w:gridSpan w:val="3"/>
            <w:shd w:val="clear" w:color="auto" w:fill="FFFFFF"/>
            <w:tcMar>
              <w:top w:w="30" w:type="dxa"/>
              <w:left w:w="20" w:type="dxa"/>
              <w:bottom w:w="30" w:type="dxa"/>
              <w:right w:w="20" w:type="dxa"/>
            </w:tcMar>
            <w:vAlign w:val="center"/>
            <w:hideMark/>
          </w:tcPr>
          <w:p w14:paraId="4D98EB96" w14:textId="77777777" w:rsidR="00000000" w:rsidRDefault="00405D16">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14:paraId="7E92C383"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F63799D" w14:textId="77777777" w:rsidR="00000000" w:rsidRDefault="00405D16">
            <w:pPr>
              <w:spacing w:after="100"/>
              <w:jc w:val="right"/>
              <w:rPr>
                <w:rFonts w:eastAsia="Times New Roman"/>
              </w:rPr>
            </w:pPr>
            <w:r>
              <w:rPr>
                <w:rFonts w:eastAsia="Times New Roman"/>
                <w:b/>
                <w:bCs/>
                <w:color w:val="000000"/>
                <w:sz w:val="18"/>
                <w:szCs w:val="18"/>
              </w:rPr>
              <w:t>270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63D742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9D8FC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DA27593" w14:textId="77777777" w:rsidR="00000000" w:rsidRDefault="00405D16">
            <w:pPr>
              <w:spacing w:after="100"/>
              <w:jc w:val="right"/>
              <w:rPr>
                <w:rFonts w:eastAsia="Times New Roman"/>
              </w:rPr>
            </w:pPr>
            <w:r>
              <w:rPr>
                <w:rFonts w:eastAsia="Times New Roman"/>
                <w:b/>
                <w:bCs/>
                <w:color w:val="000000"/>
                <w:sz w:val="18"/>
                <w:szCs w:val="18"/>
              </w:rPr>
              <w:t>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C857AF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CB4B9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D1FD558" w14:textId="77777777" w:rsidR="00000000" w:rsidRDefault="00405D16">
            <w:pPr>
              <w:spacing w:after="100"/>
              <w:jc w:val="right"/>
              <w:rPr>
                <w:rFonts w:eastAsia="Times New Roman"/>
              </w:rPr>
            </w:pPr>
            <w:r>
              <w:rPr>
                <w:rFonts w:eastAsia="Times New Roman"/>
                <w:b/>
                <w:bCs/>
                <w:color w:val="000000"/>
                <w:sz w:val="18"/>
                <w:szCs w:val="18"/>
              </w:rPr>
              <w:t>8.72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948639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22654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79486E5" w14:textId="77777777" w:rsidR="00000000" w:rsidRDefault="00405D16">
            <w:pPr>
              <w:spacing w:after="100"/>
              <w:jc w:val="right"/>
              <w:rPr>
                <w:rFonts w:eastAsia="Times New Roman"/>
              </w:rPr>
            </w:pPr>
            <w:r>
              <w:rPr>
                <w:rFonts w:eastAsia="Times New Roman"/>
                <w:b/>
                <w:bCs/>
                <w:color w:val="000000"/>
                <w:sz w:val="18"/>
                <w:szCs w:val="18"/>
              </w:rPr>
              <w:t>93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807F62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7C0745"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052FC3B4" w14:textId="77777777" w:rsidR="00000000" w:rsidRDefault="00405D16">
            <w:pPr>
              <w:spacing w:after="100"/>
              <w:jc w:val="right"/>
              <w:rPr>
                <w:rFonts w:eastAsia="Times New Roman"/>
              </w:rPr>
            </w:pPr>
            <w:r>
              <w:rPr>
                <w:rFonts w:eastAsia="Times New Roman"/>
                <w:b/>
                <w:bCs/>
                <w:color w:val="000000"/>
                <w:sz w:val="18"/>
                <w:szCs w:val="18"/>
              </w:rPr>
              <w:t>4</w:t>
            </w:r>
          </w:p>
        </w:tc>
        <w:tc>
          <w:tcPr>
            <w:tcW w:w="0" w:type="auto"/>
            <w:gridSpan w:val="3"/>
            <w:shd w:val="clear" w:color="auto" w:fill="FFFFFF"/>
            <w:tcMar>
              <w:top w:w="0" w:type="dxa"/>
              <w:left w:w="20" w:type="dxa"/>
              <w:bottom w:w="0" w:type="dxa"/>
              <w:right w:w="20" w:type="dxa"/>
            </w:tcMar>
            <w:vAlign w:val="center"/>
            <w:hideMark/>
          </w:tcPr>
          <w:p w14:paraId="14737782"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CBC62A9"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221BC3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3E8D7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1C6790E" w14:textId="77777777" w:rsidR="00000000" w:rsidRDefault="00405D16">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61EF21D" w14:textId="77777777" w:rsidR="00000000" w:rsidRDefault="00405D16">
            <w:pPr>
              <w:spacing w:after="100"/>
              <w:jc w:val="right"/>
              <w:rPr>
                <w:rFonts w:eastAsia="Times New Roman"/>
              </w:rPr>
            </w:pPr>
          </w:p>
        </w:tc>
      </w:tr>
      <w:tr w:rsidR="00000000" w14:paraId="067657E2" w14:textId="77777777">
        <w:trPr>
          <w:divId w:val="1834686864"/>
        </w:trPr>
        <w:tc>
          <w:tcPr>
            <w:tcW w:w="0" w:type="auto"/>
            <w:gridSpan w:val="3"/>
            <w:shd w:val="clear" w:color="auto" w:fill="CCEEFF"/>
            <w:tcMar>
              <w:top w:w="30" w:type="dxa"/>
              <w:left w:w="20" w:type="dxa"/>
              <w:bottom w:w="30" w:type="dxa"/>
              <w:right w:w="20" w:type="dxa"/>
            </w:tcMar>
            <w:vAlign w:val="center"/>
            <w:hideMark/>
          </w:tcPr>
          <w:p w14:paraId="258DE03D" w14:textId="77777777" w:rsidR="00000000" w:rsidRDefault="00405D16">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14:paraId="4EE0468C"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CFF402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4CE31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B1022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ABBA3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132D4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BD45F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32565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27559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0B8A1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BCDD4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81FFF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450397"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0A78A6E" w14:textId="77777777" w:rsidR="00000000" w:rsidRDefault="00405D16">
            <w:pPr>
              <w:spacing w:after="100"/>
              <w:rPr>
                <w:rFonts w:eastAsia="Times New Roman"/>
                <w:sz w:val="20"/>
                <w:szCs w:val="20"/>
              </w:rPr>
            </w:pPr>
          </w:p>
        </w:tc>
      </w:tr>
      <w:tr w:rsidR="00000000" w14:paraId="1EB6ECBE" w14:textId="77777777">
        <w:trPr>
          <w:divId w:val="1834686864"/>
        </w:trPr>
        <w:tc>
          <w:tcPr>
            <w:tcW w:w="0" w:type="auto"/>
            <w:gridSpan w:val="3"/>
            <w:shd w:val="clear" w:color="auto" w:fill="FFFFFF"/>
            <w:tcMar>
              <w:top w:w="30" w:type="dxa"/>
              <w:left w:w="245" w:type="dxa"/>
              <w:bottom w:w="30" w:type="dxa"/>
              <w:right w:w="20" w:type="dxa"/>
            </w:tcMar>
            <w:vAlign w:val="center"/>
            <w:hideMark/>
          </w:tcPr>
          <w:p w14:paraId="05163C3E" w14:textId="77777777" w:rsidR="00000000" w:rsidRDefault="00405D16">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14:paraId="4111C069"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10F4439" w14:textId="77777777" w:rsidR="00000000" w:rsidRDefault="00405D16">
            <w:pPr>
              <w:spacing w:after="100"/>
              <w:jc w:val="right"/>
              <w:rPr>
                <w:rFonts w:eastAsia="Times New Roman"/>
              </w:rPr>
            </w:pPr>
            <w:r>
              <w:rPr>
                <w:rFonts w:eastAsia="Times New Roman"/>
                <w:b/>
                <w:bCs/>
                <w:color w:val="000000"/>
                <w:sz w:val="18"/>
                <w:szCs w:val="18"/>
              </w:rPr>
              <w:t>41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1B934D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2E13A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7B48977" w14:textId="77777777" w:rsidR="00000000" w:rsidRDefault="00405D16">
            <w:pPr>
              <w:spacing w:after="100"/>
              <w:jc w:val="right"/>
              <w:rPr>
                <w:rFonts w:eastAsia="Times New Roman"/>
              </w:rPr>
            </w:pPr>
            <w:r>
              <w:rPr>
                <w:rFonts w:eastAsia="Times New Roman"/>
                <w:b/>
                <w:bCs/>
                <w:color w:val="000000"/>
                <w:sz w:val="18"/>
                <w:szCs w:val="18"/>
              </w:rPr>
              <w:t>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40A82F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4FAE7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5E54940" w14:textId="77777777" w:rsidR="00000000" w:rsidRDefault="00405D16">
            <w:pPr>
              <w:spacing w:after="100"/>
              <w:jc w:val="right"/>
              <w:rPr>
                <w:rFonts w:eastAsia="Times New Roman"/>
              </w:rPr>
            </w:pPr>
            <w:r>
              <w:rPr>
                <w:rFonts w:eastAsia="Times New Roman"/>
                <w:b/>
                <w:bCs/>
                <w:color w:val="000000"/>
                <w:sz w:val="18"/>
                <w:szCs w:val="18"/>
              </w:rPr>
              <w:t>1.29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837E84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D7B9D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600A40D" w14:textId="77777777" w:rsidR="00000000" w:rsidRDefault="00405D16">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1A25CB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CCAC94"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03059584" w14:textId="77777777" w:rsidR="00000000" w:rsidRDefault="00405D16">
            <w:pPr>
              <w:spacing w:after="100"/>
              <w:jc w:val="right"/>
              <w:rPr>
                <w:rFonts w:eastAsia="Times New Roman"/>
              </w:rPr>
            </w:pPr>
            <w:r>
              <w:rPr>
                <w:rFonts w:eastAsia="Times New Roman"/>
                <w:b/>
                <w:bCs/>
                <w:color w:val="000000"/>
                <w:sz w:val="18"/>
                <w:szCs w:val="18"/>
              </w:rPr>
              <w:t>13</w:t>
            </w:r>
          </w:p>
        </w:tc>
        <w:tc>
          <w:tcPr>
            <w:tcW w:w="0" w:type="auto"/>
            <w:gridSpan w:val="3"/>
            <w:shd w:val="clear" w:color="auto" w:fill="FFFFFF"/>
            <w:tcMar>
              <w:top w:w="0" w:type="dxa"/>
              <w:left w:w="20" w:type="dxa"/>
              <w:bottom w:w="0" w:type="dxa"/>
              <w:right w:w="20" w:type="dxa"/>
            </w:tcMar>
            <w:vAlign w:val="center"/>
            <w:hideMark/>
          </w:tcPr>
          <w:p w14:paraId="0845A43A"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2B9EC2F"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1A6B0D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DBEB4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9DD9FDD"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64ACD69" w14:textId="77777777" w:rsidR="00000000" w:rsidRDefault="00405D16">
            <w:pPr>
              <w:spacing w:after="100"/>
              <w:jc w:val="right"/>
              <w:rPr>
                <w:rFonts w:eastAsia="Times New Roman"/>
              </w:rPr>
            </w:pPr>
          </w:p>
        </w:tc>
      </w:tr>
      <w:tr w:rsidR="00000000" w14:paraId="44272B65" w14:textId="77777777">
        <w:trPr>
          <w:divId w:val="1834686864"/>
        </w:trPr>
        <w:tc>
          <w:tcPr>
            <w:tcW w:w="0" w:type="auto"/>
            <w:gridSpan w:val="3"/>
            <w:shd w:val="clear" w:color="auto" w:fill="CCEEFF"/>
            <w:tcMar>
              <w:top w:w="30" w:type="dxa"/>
              <w:left w:w="245" w:type="dxa"/>
              <w:bottom w:w="30" w:type="dxa"/>
              <w:right w:w="20" w:type="dxa"/>
            </w:tcMar>
            <w:vAlign w:val="center"/>
            <w:hideMark/>
          </w:tcPr>
          <w:p w14:paraId="6AA50651" w14:textId="77777777" w:rsidR="00000000" w:rsidRDefault="00405D16">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14:paraId="57F054B3"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9EE39DC" w14:textId="77777777" w:rsidR="00000000" w:rsidRDefault="00405D16">
            <w:pPr>
              <w:spacing w:after="100"/>
              <w:jc w:val="right"/>
              <w:rPr>
                <w:rFonts w:eastAsia="Times New Roman"/>
              </w:rPr>
            </w:pPr>
            <w:r>
              <w:rPr>
                <w:rFonts w:eastAsia="Times New Roman"/>
                <w:b/>
                <w:bCs/>
                <w:color w:val="000000"/>
                <w:sz w:val="18"/>
                <w:szCs w:val="18"/>
              </w:rPr>
              <w:t>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32E76C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90740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8C13845"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798913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080F9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74B3CE6" w14:textId="77777777" w:rsidR="00000000" w:rsidRDefault="00405D16">
            <w:pPr>
              <w:spacing w:after="100"/>
              <w:jc w:val="right"/>
              <w:rPr>
                <w:rFonts w:eastAsia="Times New Roman"/>
              </w:rPr>
            </w:pPr>
            <w:r>
              <w:rPr>
                <w:rFonts w:eastAsia="Times New Roman"/>
                <w:b/>
                <w:bCs/>
                <w:color w:val="000000"/>
                <w:sz w:val="18"/>
                <w:szCs w:val="18"/>
              </w:rPr>
              <w:t>0.00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C6BEEA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AECE1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4241667" w14:textId="77777777" w:rsidR="00000000" w:rsidRDefault="00405D16">
            <w:pPr>
              <w:spacing w:after="100"/>
              <w:jc w:val="right"/>
              <w:rPr>
                <w:rFonts w:eastAsia="Times New Roman"/>
              </w:rPr>
            </w:pPr>
            <w:r>
              <w:rPr>
                <w:rFonts w:eastAsia="Times New Roman"/>
                <w:b/>
                <w:bCs/>
                <w:color w:val="000000"/>
                <w:sz w:val="18"/>
                <w:szCs w:val="18"/>
              </w:rPr>
              <w:t>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77C380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7EFAE7"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14:paraId="596C41E3" w14:textId="77777777" w:rsidR="00000000" w:rsidRDefault="00405D16">
            <w:pPr>
              <w:spacing w:after="100"/>
              <w:jc w:val="right"/>
              <w:rPr>
                <w:rFonts w:eastAsia="Times New Roman"/>
              </w:rPr>
            </w:pPr>
            <w:r>
              <w:rPr>
                <w:rFonts w:eastAsia="Times New Roman"/>
                <w:b/>
                <w:bCs/>
                <w:color w:val="000000"/>
                <w:sz w:val="18"/>
                <w:szCs w:val="18"/>
              </w:rPr>
              <w:t>8</w:t>
            </w:r>
          </w:p>
        </w:tc>
        <w:tc>
          <w:tcPr>
            <w:tcW w:w="0" w:type="auto"/>
            <w:gridSpan w:val="3"/>
            <w:shd w:val="clear" w:color="auto" w:fill="CCEEFF"/>
            <w:tcMar>
              <w:top w:w="0" w:type="dxa"/>
              <w:left w:w="20" w:type="dxa"/>
              <w:bottom w:w="0" w:type="dxa"/>
              <w:right w:w="20" w:type="dxa"/>
            </w:tcMar>
            <w:vAlign w:val="center"/>
            <w:hideMark/>
          </w:tcPr>
          <w:p w14:paraId="292896BB"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52B41AD"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783571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B13E5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EB1446E"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19B0BF9" w14:textId="77777777" w:rsidR="00000000" w:rsidRDefault="00405D16">
            <w:pPr>
              <w:spacing w:after="100"/>
              <w:jc w:val="right"/>
              <w:rPr>
                <w:rFonts w:eastAsia="Times New Roman"/>
              </w:rPr>
            </w:pPr>
          </w:p>
        </w:tc>
      </w:tr>
      <w:tr w:rsidR="00000000" w14:paraId="06901610" w14:textId="77777777">
        <w:trPr>
          <w:divId w:val="1834686864"/>
        </w:trPr>
        <w:tc>
          <w:tcPr>
            <w:tcW w:w="0" w:type="auto"/>
            <w:gridSpan w:val="3"/>
            <w:shd w:val="clear" w:color="auto" w:fill="FFFFFF"/>
            <w:tcMar>
              <w:top w:w="30" w:type="dxa"/>
              <w:left w:w="20" w:type="dxa"/>
              <w:bottom w:w="30" w:type="dxa"/>
              <w:right w:w="20" w:type="dxa"/>
            </w:tcMar>
            <w:vAlign w:val="center"/>
            <w:hideMark/>
          </w:tcPr>
          <w:p w14:paraId="2DB896A9" w14:textId="77777777" w:rsidR="00000000" w:rsidRDefault="00405D16">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14:paraId="1D78AA7D"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9312FC3" w14:textId="77777777" w:rsidR="00000000" w:rsidRDefault="00405D16">
            <w:pPr>
              <w:spacing w:after="100"/>
              <w:jc w:val="right"/>
              <w:rPr>
                <w:rFonts w:eastAsia="Times New Roman"/>
              </w:rPr>
            </w:pPr>
            <w:r>
              <w:rPr>
                <w:rFonts w:eastAsia="Times New Roman"/>
                <w:b/>
                <w:bCs/>
                <w:color w:val="000000"/>
                <w:sz w:val="18"/>
                <w:szCs w:val="18"/>
              </w:rPr>
              <w:t>123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F02281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C851C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FF4D4FF" w14:textId="77777777" w:rsidR="00000000" w:rsidRDefault="00405D16">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E9BEE7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190B1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ECA383F" w14:textId="77777777" w:rsidR="00000000" w:rsidRDefault="00405D16">
            <w:pPr>
              <w:spacing w:after="100"/>
              <w:jc w:val="right"/>
              <w:rPr>
                <w:rFonts w:eastAsia="Times New Roman"/>
              </w:rPr>
            </w:pPr>
            <w:r>
              <w:rPr>
                <w:rFonts w:eastAsia="Times New Roman"/>
                <w:b/>
                <w:bCs/>
                <w:color w:val="000000"/>
                <w:sz w:val="18"/>
                <w:szCs w:val="18"/>
              </w:rPr>
              <w:t>1.29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EDC996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F5AB6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EBC9375" w14:textId="77777777" w:rsidR="00000000" w:rsidRDefault="00405D16">
            <w:pPr>
              <w:spacing w:after="100"/>
              <w:jc w:val="right"/>
              <w:rPr>
                <w:rFonts w:eastAsia="Times New Roman"/>
              </w:rPr>
            </w:pPr>
            <w:r>
              <w:rPr>
                <w:rFonts w:eastAsia="Times New Roman"/>
                <w:b/>
                <w:bCs/>
                <w:color w:val="000000"/>
                <w:sz w:val="18"/>
                <w:szCs w:val="18"/>
              </w:rPr>
              <w:t>61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371ECF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9B695C"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3925D4C6" w14:textId="77777777" w:rsidR="00000000" w:rsidRDefault="00405D16">
            <w:pPr>
              <w:spacing w:after="100"/>
              <w:jc w:val="right"/>
              <w:rPr>
                <w:rFonts w:eastAsia="Times New Roman"/>
              </w:rPr>
            </w:pPr>
            <w:r>
              <w:rPr>
                <w:rFonts w:eastAsia="Times New Roman"/>
                <w:b/>
                <w:bCs/>
                <w:color w:val="000000"/>
                <w:sz w:val="18"/>
                <w:szCs w:val="18"/>
              </w:rPr>
              <w:t>11</w:t>
            </w:r>
          </w:p>
        </w:tc>
        <w:tc>
          <w:tcPr>
            <w:tcW w:w="0" w:type="auto"/>
            <w:gridSpan w:val="3"/>
            <w:shd w:val="clear" w:color="auto" w:fill="FFFFFF"/>
            <w:tcMar>
              <w:top w:w="0" w:type="dxa"/>
              <w:left w:w="20" w:type="dxa"/>
              <w:bottom w:w="0" w:type="dxa"/>
              <w:right w:w="20" w:type="dxa"/>
            </w:tcMar>
            <w:vAlign w:val="center"/>
            <w:hideMark/>
          </w:tcPr>
          <w:p w14:paraId="7B608E69"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2445438"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25FCEC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8C4105"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FA73468"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C926096" w14:textId="77777777" w:rsidR="00000000" w:rsidRDefault="00405D16">
            <w:pPr>
              <w:spacing w:after="100"/>
              <w:jc w:val="right"/>
              <w:rPr>
                <w:rFonts w:eastAsia="Times New Roman"/>
              </w:rPr>
            </w:pPr>
          </w:p>
        </w:tc>
      </w:tr>
      <w:tr w:rsidR="00000000" w14:paraId="0028EE93" w14:textId="77777777">
        <w:trPr>
          <w:divId w:val="1834686864"/>
        </w:trPr>
        <w:tc>
          <w:tcPr>
            <w:tcW w:w="0" w:type="auto"/>
            <w:gridSpan w:val="3"/>
            <w:shd w:val="clear" w:color="auto" w:fill="CCEEFF"/>
            <w:tcMar>
              <w:top w:w="30" w:type="dxa"/>
              <w:left w:w="20" w:type="dxa"/>
              <w:bottom w:w="30" w:type="dxa"/>
              <w:right w:w="20" w:type="dxa"/>
            </w:tcMar>
            <w:vAlign w:val="center"/>
            <w:hideMark/>
          </w:tcPr>
          <w:p w14:paraId="60AB26CC" w14:textId="77777777" w:rsidR="00000000" w:rsidRDefault="00405D16">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20FC48C9"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09811759"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38695A05" w14:textId="77777777" w:rsidR="00000000" w:rsidRDefault="00405D16">
            <w:pPr>
              <w:spacing w:after="100"/>
              <w:jc w:val="right"/>
              <w:rPr>
                <w:rFonts w:eastAsia="Times New Roman"/>
              </w:rPr>
            </w:pPr>
            <w:r>
              <w:rPr>
                <w:rFonts w:eastAsia="Times New Roman"/>
                <w:b/>
                <w:bCs/>
                <w:color w:val="000000"/>
                <w:sz w:val="18"/>
                <w:szCs w:val="18"/>
              </w:rPr>
              <w:t>601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CAF3D7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D6F62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6ADCE72" w14:textId="77777777" w:rsidR="00000000" w:rsidRDefault="00405D16">
            <w:pPr>
              <w:spacing w:after="100"/>
              <w:jc w:val="right"/>
              <w:rPr>
                <w:rFonts w:eastAsia="Times New Roman"/>
              </w:rPr>
            </w:pPr>
            <w:r>
              <w:rPr>
                <w:rFonts w:eastAsia="Times New Roman"/>
                <w:b/>
                <w:bCs/>
                <w:color w:val="000000"/>
                <w:sz w:val="18"/>
                <w:szCs w:val="18"/>
              </w:rPr>
              <w:t>53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4D5BF8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22AA1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7E4FA37" w14:textId="77777777" w:rsidR="00000000" w:rsidRDefault="00405D16">
            <w:pPr>
              <w:spacing w:after="100"/>
              <w:jc w:val="right"/>
              <w:rPr>
                <w:rFonts w:eastAsia="Times New Roman"/>
              </w:rPr>
            </w:pPr>
            <w:r>
              <w:rPr>
                <w:rFonts w:eastAsia="Times New Roman"/>
                <w:b/>
                <w:bCs/>
                <w:color w:val="000000"/>
                <w:sz w:val="18"/>
                <w:szCs w:val="18"/>
              </w:rPr>
              <w:t>16.84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6600E7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178FB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8F1714B" w14:textId="77777777" w:rsidR="00000000" w:rsidRDefault="00405D16">
            <w:pPr>
              <w:spacing w:after="100"/>
              <w:jc w:val="right"/>
              <w:rPr>
                <w:rFonts w:eastAsia="Times New Roman"/>
              </w:rPr>
            </w:pPr>
            <w:r>
              <w:rPr>
                <w:rFonts w:eastAsia="Times New Roman"/>
                <w:b/>
                <w:bCs/>
                <w:color w:val="000000"/>
                <w:sz w:val="18"/>
                <w:szCs w:val="18"/>
              </w:rPr>
              <w:t>54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1940FD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311495"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14:paraId="4DEF71AB" w14:textId="77777777" w:rsidR="00000000" w:rsidRDefault="00405D16">
            <w:pPr>
              <w:spacing w:after="100"/>
              <w:jc w:val="right"/>
              <w:rPr>
                <w:rFonts w:eastAsia="Times New Roman"/>
              </w:rPr>
            </w:pPr>
            <w:r>
              <w:rPr>
                <w:rFonts w:eastAsia="Times New Roman"/>
                <w:b/>
                <w:bCs/>
                <w:color w:val="000000"/>
                <w:sz w:val="18"/>
                <w:szCs w:val="18"/>
              </w:rPr>
              <w:t>5</w:t>
            </w:r>
          </w:p>
        </w:tc>
        <w:tc>
          <w:tcPr>
            <w:tcW w:w="0" w:type="auto"/>
            <w:gridSpan w:val="3"/>
            <w:shd w:val="clear" w:color="auto" w:fill="CCEEFF"/>
            <w:tcMar>
              <w:top w:w="0" w:type="dxa"/>
              <w:left w:w="20" w:type="dxa"/>
              <w:bottom w:w="0" w:type="dxa"/>
              <w:right w:w="20" w:type="dxa"/>
            </w:tcMar>
            <w:vAlign w:val="center"/>
            <w:hideMark/>
          </w:tcPr>
          <w:p w14:paraId="75E88948"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4E77907"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F1AF4B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2AA4A2"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6FAD5D0"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FE942E3" w14:textId="77777777" w:rsidR="00000000" w:rsidRDefault="00405D16">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2B7CC64" w14:textId="77777777" w:rsidR="00000000" w:rsidRDefault="00405D16">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2774"/>
        <w:gridCol w:w="144"/>
        <w:gridCol w:w="144"/>
        <w:gridCol w:w="144"/>
        <w:gridCol w:w="144"/>
        <w:gridCol w:w="144"/>
        <w:gridCol w:w="624"/>
        <w:gridCol w:w="144"/>
        <w:gridCol w:w="144"/>
        <w:gridCol w:w="144"/>
        <w:gridCol w:w="144"/>
        <w:gridCol w:w="144"/>
        <w:gridCol w:w="624"/>
        <w:gridCol w:w="144"/>
        <w:gridCol w:w="144"/>
        <w:gridCol w:w="144"/>
        <w:gridCol w:w="144"/>
        <w:gridCol w:w="144"/>
        <w:gridCol w:w="624"/>
        <w:gridCol w:w="144"/>
        <w:gridCol w:w="144"/>
        <w:gridCol w:w="144"/>
        <w:gridCol w:w="144"/>
        <w:gridCol w:w="144"/>
        <w:gridCol w:w="624"/>
        <w:gridCol w:w="144"/>
        <w:gridCol w:w="144"/>
        <w:gridCol w:w="144"/>
        <w:gridCol w:w="144"/>
        <w:gridCol w:w="144"/>
        <w:gridCol w:w="624"/>
        <w:gridCol w:w="144"/>
        <w:gridCol w:w="144"/>
        <w:gridCol w:w="144"/>
        <w:gridCol w:w="144"/>
        <w:gridCol w:w="144"/>
        <w:gridCol w:w="624"/>
        <w:gridCol w:w="144"/>
        <w:gridCol w:w="144"/>
        <w:gridCol w:w="144"/>
        <w:gridCol w:w="144"/>
        <w:gridCol w:w="144"/>
        <w:gridCol w:w="624"/>
        <w:gridCol w:w="144"/>
      </w:tblGrid>
      <w:tr w:rsidR="00000000" w14:paraId="22EB5F71" w14:textId="77777777">
        <w:tc>
          <w:tcPr>
            <w:tcW w:w="50" w:type="pct"/>
            <w:vAlign w:val="center"/>
            <w:hideMark/>
          </w:tcPr>
          <w:p w14:paraId="3D553380" w14:textId="77777777" w:rsidR="00000000" w:rsidRDefault="00405D16">
            <w:pPr>
              <w:rPr>
                <w:rFonts w:eastAsia="Times New Roman"/>
              </w:rPr>
            </w:pPr>
          </w:p>
        </w:tc>
        <w:tc>
          <w:tcPr>
            <w:tcW w:w="1670" w:type="pct"/>
            <w:vAlign w:val="center"/>
            <w:hideMark/>
          </w:tcPr>
          <w:p w14:paraId="08A594E4" w14:textId="77777777" w:rsidR="00000000" w:rsidRDefault="00405D16">
            <w:pPr>
              <w:spacing w:after="100"/>
              <w:rPr>
                <w:rFonts w:eastAsia="Times New Roman"/>
                <w:sz w:val="20"/>
                <w:szCs w:val="20"/>
              </w:rPr>
            </w:pPr>
          </w:p>
        </w:tc>
        <w:tc>
          <w:tcPr>
            <w:tcW w:w="5" w:type="pct"/>
            <w:vAlign w:val="center"/>
            <w:hideMark/>
          </w:tcPr>
          <w:p w14:paraId="534D9318" w14:textId="77777777" w:rsidR="00000000" w:rsidRDefault="00405D16">
            <w:pPr>
              <w:spacing w:after="100"/>
              <w:rPr>
                <w:rFonts w:eastAsia="Times New Roman"/>
                <w:sz w:val="20"/>
                <w:szCs w:val="20"/>
              </w:rPr>
            </w:pPr>
          </w:p>
        </w:tc>
        <w:tc>
          <w:tcPr>
            <w:tcW w:w="5" w:type="pct"/>
            <w:vAlign w:val="center"/>
            <w:hideMark/>
          </w:tcPr>
          <w:p w14:paraId="6210D642" w14:textId="77777777" w:rsidR="00000000" w:rsidRDefault="00405D16">
            <w:pPr>
              <w:spacing w:after="100"/>
              <w:rPr>
                <w:rFonts w:eastAsia="Times New Roman"/>
                <w:sz w:val="20"/>
                <w:szCs w:val="20"/>
              </w:rPr>
            </w:pPr>
          </w:p>
        </w:tc>
        <w:tc>
          <w:tcPr>
            <w:tcW w:w="26" w:type="pct"/>
            <w:vAlign w:val="center"/>
            <w:hideMark/>
          </w:tcPr>
          <w:p w14:paraId="3AF89A50" w14:textId="77777777" w:rsidR="00000000" w:rsidRDefault="00405D16">
            <w:pPr>
              <w:spacing w:after="100"/>
              <w:rPr>
                <w:rFonts w:eastAsia="Times New Roman"/>
                <w:sz w:val="20"/>
                <w:szCs w:val="20"/>
              </w:rPr>
            </w:pPr>
          </w:p>
        </w:tc>
        <w:tc>
          <w:tcPr>
            <w:tcW w:w="5" w:type="pct"/>
            <w:vAlign w:val="center"/>
            <w:hideMark/>
          </w:tcPr>
          <w:p w14:paraId="6E44BDF6" w14:textId="77777777" w:rsidR="00000000" w:rsidRDefault="00405D16">
            <w:pPr>
              <w:spacing w:after="100"/>
              <w:rPr>
                <w:rFonts w:eastAsia="Times New Roman"/>
                <w:sz w:val="20"/>
                <w:szCs w:val="20"/>
              </w:rPr>
            </w:pPr>
          </w:p>
        </w:tc>
        <w:tc>
          <w:tcPr>
            <w:tcW w:w="50" w:type="pct"/>
            <w:vAlign w:val="center"/>
            <w:hideMark/>
          </w:tcPr>
          <w:p w14:paraId="5E386A78" w14:textId="77777777" w:rsidR="00000000" w:rsidRDefault="00405D16">
            <w:pPr>
              <w:spacing w:after="100"/>
              <w:rPr>
                <w:rFonts w:eastAsia="Times New Roman"/>
                <w:sz w:val="20"/>
                <w:szCs w:val="20"/>
              </w:rPr>
            </w:pPr>
          </w:p>
        </w:tc>
        <w:tc>
          <w:tcPr>
            <w:tcW w:w="376" w:type="pct"/>
            <w:vAlign w:val="center"/>
            <w:hideMark/>
          </w:tcPr>
          <w:p w14:paraId="35597136" w14:textId="77777777" w:rsidR="00000000" w:rsidRDefault="00405D16">
            <w:pPr>
              <w:spacing w:after="100"/>
              <w:rPr>
                <w:rFonts w:eastAsia="Times New Roman"/>
                <w:sz w:val="20"/>
                <w:szCs w:val="20"/>
              </w:rPr>
            </w:pPr>
          </w:p>
        </w:tc>
        <w:tc>
          <w:tcPr>
            <w:tcW w:w="5" w:type="pct"/>
            <w:vAlign w:val="center"/>
            <w:hideMark/>
          </w:tcPr>
          <w:p w14:paraId="4358E282" w14:textId="77777777" w:rsidR="00000000" w:rsidRDefault="00405D16">
            <w:pPr>
              <w:spacing w:after="100"/>
              <w:rPr>
                <w:rFonts w:eastAsia="Times New Roman"/>
                <w:sz w:val="20"/>
                <w:szCs w:val="20"/>
              </w:rPr>
            </w:pPr>
          </w:p>
        </w:tc>
        <w:tc>
          <w:tcPr>
            <w:tcW w:w="5" w:type="pct"/>
            <w:vAlign w:val="center"/>
            <w:hideMark/>
          </w:tcPr>
          <w:p w14:paraId="43F6706A" w14:textId="77777777" w:rsidR="00000000" w:rsidRDefault="00405D16">
            <w:pPr>
              <w:spacing w:after="100"/>
              <w:rPr>
                <w:rFonts w:eastAsia="Times New Roman"/>
                <w:sz w:val="20"/>
                <w:szCs w:val="20"/>
              </w:rPr>
            </w:pPr>
          </w:p>
        </w:tc>
        <w:tc>
          <w:tcPr>
            <w:tcW w:w="26" w:type="pct"/>
            <w:vAlign w:val="center"/>
            <w:hideMark/>
          </w:tcPr>
          <w:p w14:paraId="60436E85" w14:textId="77777777" w:rsidR="00000000" w:rsidRDefault="00405D16">
            <w:pPr>
              <w:spacing w:after="100"/>
              <w:rPr>
                <w:rFonts w:eastAsia="Times New Roman"/>
                <w:sz w:val="20"/>
                <w:szCs w:val="20"/>
              </w:rPr>
            </w:pPr>
          </w:p>
        </w:tc>
        <w:tc>
          <w:tcPr>
            <w:tcW w:w="5" w:type="pct"/>
            <w:vAlign w:val="center"/>
            <w:hideMark/>
          </w:tcPr>
          <w:p w14:paraId="15F3C042" w14:textId="77777777" w:rsidR="00000000" w:rsidRDefault="00405D16">
            <w:pPr>
              <w:spacing w:after="100"/>
              <w:rPr>
                <w:rFonts w:eastAsia="Times New Roman"/>
                <w:sz w:val="20"/>
                <w:szCs w:val="20"/>
              </w:rPr>
            </w:pPr>
          </w:p>
        </w:tc>
        <w:tc>
          <w:tcPr>
            <w:tcW w:w="50" w:type="pct"/>
            <w:vAlign w:val="center"/>
            <w:hideMark/>
          </w:tcPr>
          <w:p w14:paraId="43235295" w14:textId="77777777" w:rsidR="00000000" w:rsidRDefault="00405D16">
            <w:pPr>
              <w:spacing w:after="100"/>
              <w:rPr>
                <w:rFonts w:eastAsia="Times New Roman"/>
                <w:sz w:val="20"/>
                <w:szCs w:val="20"/>
              </w:rPr>
            </w:pPr>
          </w:p>
        </w:tc>
        <w:tc>
          <w:tcPr>
            <w:tcW w:w="376" w:type="pct"/>
            <w:vAlign w:val="center"/>
            <w:hideMark/>
          </w:tcPr>
          <w:p w14:paraId="3D23F738" w14:textId="77777777" w:rsidR="00000000" w:rsidRDefault="00405D16">
            <w:pPr>
              <w:spacing w:after="100"/>
              <w:rPr>
                <w:rFonts w:eastAsia="Times New Roman"/>
                <w:sz w:val="20"/>
                <w:szCs w:val="20"/>
              </w:rPr>
            </w:pPr>
          </w:p>
        </w:tc>
        <w:tc>
          <w:tcPr>
            <w:tcW w:w="5" w:type="pct"/>
            <w:vAlign w:val="center"/>
            <w:hideMark/>
          </w:tcPr>
          <w:p w14:paraId="27CFF810" w14:textId="77777777" w:rsidR="00000000" w:rsidRDefault="00405D16">
            <w:pPr>
              <w:spacing w:after="100"/>
              <w:rPr>
                <w:rFonts w:eastAsia="Times New Roman"/>
                <w:sz w:val="20"/>
                <w:szCs w:val="20"/>
              </w:rPr>
            </w:pPr>
          </w:p>
        </w:tc>
        <w:tc>
          <w:tcPr>
            <w:tcW w:w="5" w:type="pct"/>
            <w:vAlign w:val="center"/>
            <w:hideMark/>
          </w:tcPr>
          <w:p w14:paraId="706C33AF" w14:textId="77777777" w:rsidR="00000000" w:rsidRDefault="00405D16">
            <w:pPr>
              <w:spacing w:after="100"/>
              <w:rPr>
                <w:rFonts w:eastAsia="Times New Roman"/>
                <w:sz w:val="20"/>
                <w:szCs w:val="20"/>
              </w:rPr>
            </w:pPr>
          </w:p>
        </w:tc>
        <w:tc>
          <w:tcPr>
            <w:tcW w:w="26" w:type="pct"/>
            <w:vAlign w:val="center"/>
            <w:hideMark/>
          </w:tcPr>
          <w:p w14:paraId="0207B16C" w14:textId="77777777" w:rsidR="00000000" w:rsidRDefault="00405D16">
            <w:pPr>
              <w:spacing w:after="100"/>
              <w:rPr>
                <w:rFonts w:eastAsia="Times New Roman"/>
                <w:sz w:val="20"/>
                <w:szCs w:val="20"/>
              </w:rPr>
            </w:pPr>
          </w:p>
        </w:tc>
        <w:tc>
          <w:tcPr>
            <w:tcW w:w="5" w:type="pct"/>
            <w:vAlign w:val="center"/>
            <w:hideMark/>
          </w:tcPr>
          <w:p w14:paraId="7C2E1EA0" w14:textId="77777777" w:rsidR="00000000" w:rsidRDefault="00405D16">
            <w:pPr>
              <w:spacing w:after="100"/>
              <w:rPr>
                <w:rFonts w:eastAsia="Times New Roman"/>
                <w:sz w:val="20"/>
                <w:szCs w:val="20"/>
              </w:rPr>
            </w:pPr>
          </w:p>
        </w:tc>
        <w:tc>
          <w:tcPr>
            <w:tcW w:w="50" w:type="pct"/>
            <w:vAlign w:val="center"/>
            <w:hideMark/>
          </w:tcPr>
          <w:p w14:paraId="1059C848" w14:textId="77777777" w:rsidR="00000000" w:rsidRDefault="00405D16">
            <w:pPr>
              <w:spacing w:after="100"/>
              <w:rPr>
                <w:rFonts w:eastAsia="Times New Roman"/>
                <w:sz w:val="20"/>
                <w:szCs w:val="20"/>
              </w:rPr>
            </w:pPr>
          </w:p>
        </w:tc>
        <w:tc>
          <w:tcPr>
            <w:tcW w:w="376" w:type="pct"/>
            <w:vAlign w:val="center"/>
            <w:hideMark/>
          </w:tcPr>
          <w:p w14:paraId="5F6528C7" w14:textId="77777777" w:rsidR="00000000" w:rsidRDefault="00405D16">
            <w:pPr>
              <w:spacing w:after="100"/>
              <w:rPr>
                <w:rFonts w:eastAsia="Times New Roman"/>
                <w:sz w:val="20"/>
                <w:szCs w:val="20"/>
              </w:rPr>
            </w:pPr>
          </w:p>
        </w:tc>
        <w:tc>
          <w:tcPr>
            <w:tcW w:w="5" w:type="pct"/>
            <w:vAlign w:val="center"/>
            <w:hideMark/>
          </w:tcPr>
          <w:p w14:paraId="46DA4417" w14:textId="77777777" w:rsidR="00000000" w:rsidRDefault="00405D16">
            <w:pPr>
              <w:spacing w:after="100"/>
              <w:rPr>
                <w:rFonts w:eastAsia="Times New Roman"/>
                <w:sz w:val="20"/>
                <w:szCs w:val="20"/>
              </w:rPr>
            </w:pPr>
          </w:p>
        </w:tc>
        <w:tc>
          <w:tcPr>
            <w:tcW w:w="5" w:type="pct"/>
            <w:vAlign w:val="center"/>
            <w:hideMark/>
          </w:tcPr>
          <w:p w14:paraId="3E73127A" w14:textId="77777777" w:rsidR="00000000" w:rsidRDefault="00405D16">
            <w:pPr>
              <w:spacing w:after="100"/>
              <w:rPr>
                <w:rFonts w:eastAsia="Times New Roman"/>
                <w:sz w:val="20"/>
                <w:szCs w:val="20"/>
              </w:rPr>
            </w:pPr>
          </w:p>
        </w:tc>
        <w:tc>
          <w:tcPr>
            <w:tcW w:w="26" w:type="pct"/>
            <w:vAlign w:val="center"/>
            <w:hideMark/>
          </w:tcPr>
          <w:p w14:paraId="5F98B047" w14:textId="77777777" w:rsidR="00000000" w:rsidRDefault="00405D16">
            <w:pPr>
              <w:spacing w:after="100"/>
              <w:rPr>
                <w:rFonts w:eastAsia="Times New Roman"/>
                <w:sz w:val="20"/>
                <w:szCs w:val="20"/>
              </w:rPr>
            </w:pPr>
          </w:p>
        </w:tc>
        <w:tc>
          <w:tcPr>
            <w:tcW w:w="5" w:type="pct"/>
            <w:vAlign w:val="center"/>
            <w:hideMark/>
          </w:tcPr>
          <w:p w14:paraId="7FAF8B73" w14:textId="77777777" w:rsidR="00000000" w:rsidRDefault="00405D16">
            <w:pPr>
              <w:spacing w:after="100"/>
              <w:rPr>
                <w:rFonts w:eastAsia="Times New Roman"/>
                <w:sz w:val="20"/>
                <w:szCs w:val="20"/>
              </w:rPr>
            </w:pPr>
          </w:p>
        </w:tc>
        <w:tc>
          <w:tcPr>
            <w:tcW w:w="50" w:type="pct"/>
            <w:vAlign w:val="center"/>
            <w:hideMark/>
          </w:tcPr>
          <w:p w14:paraId="0C85BE0E" w14:textId="77777777" w:rsidR="00000000" w:rsidRDefault="00405D16">
            <w:pPr>
              <w:spacing w:after="100"/>
              <w:rPr>
                <w:rFonts w:eastAsia="Times New Roman"/>
                <w:sz w:val="20"/>
                <w:szCs w:val="20"/>
              </w:rPr>
            </w:pPr>
          </w:p>
        </w:tc>
        <w:tc>
          <w:tcPr>
            <w:tcW w:w="376" w:type="pct"/>
            <w:vAlign w:val="center"/>
            <w:hideMark/>
          </w:tcPr>
          <w:p w14:paraId="01D8DB8F" w14:textId="77777777" w:rsidR="00000000" w:rsidRDefault="00405D16">
            <w:pPr>
              <w:spacing w:after="100"/>
              <w:rPr>
                <w:rFonts w:eastAsia="Times New Roman"/>
                <w:sz w:val="20"/>
                <w:szCs w:val="20"/>
              </w:rPr>
            </w:pPr>
          </w:p>
        </w:tc>
        <w:tc>
          <w:tcPr>
            <w:tcW w:w="5" w:type="pct"/>
            <w:vAlign w:val="center"/>
            <w:hideMark/>
          </w:tcPr>
          <w:p w14:paraId="776BA076" w14:textId="77777777" w:rsidR="00000000" w:rsidRDefault="00405D16">
            <w:pPr>
              <w:spacing w:after="100"/>
              <w:rPr>
                <w:rFonts w:eastAsia="Times New Roman"/>
                <w:sz w:val="20"/>
                <w:szCs w:val="20"/>
              </w:rPr>
            </w:pPr>
          </w:p>
        </w:tc>
        <w:tc>
          <w:tcPr>
            <w:tcW w:w="5" w:type="pct"/>
            <w:vAlign w:val="center"/>
            <w:hideMark/>
          </w:tcPr>
          <w:p w14:paraId="76F7D2D1" w14:textId="77777777" w:rsidR="00000000" w:rsidRDefault="00405D16">
            <w:pPr>
              <w:spacing w:after="100"/>
              <w:rPr>
                <w:rFonts w:eastAsia="Times New Roman"/>
                <w:sz w:val="20"/>
                <w:szCs w:val="20"/>
              </w:rPr>
            </w:pPr>
          </w:p>
        </w:tc>
        <w:tc>
          <w:tcPr>
            <w:tcW w:w="26" w:type="pct"/>
            <w:vAlign w:val="center"/>
            <w:hideMark/>
          </w:tcPr>
          <w:p w14:paraId="1C5F87C0" w14:textId="77777777" w:rsidR="00000000" w:rsidRDefault="00405D16">
            <w:pPr>
              <w:spacing w:after="100"/>
              <w:rPr>
                <w:rFonts w:eastAsia="Times New Roman"/>
                <w:sz w:val="20"/>
                <w:szCs w:val="20"/>
              </w:rPr>
            </w:pPr>
          </w:p>
        </w:tc>
        <w:tc>
          <w:tcPr>
            <w:tcW w:w="5" w:type="pct"/>
            <w:vAlign w:val="center"/>
            <w:hideMark/>
          </w:tcPr>
          <w:p w14:paraId="17E792EA" w14:textId="77777777" w:rsidR="00000000" w:rsidRDefault="00405D16">
            <w:pPr>
              <w:spacing w:after="100"/>
              <w:rPr>
                <w:rFonts w:eastAsia="Times New Roman"/>
                <w:sz w:val="20"/>
                <w:szCs w:val="20"/>
              </w:rPr>
            </w:pPr>
          </w:p>
        </w:tc>
        <w:tc>
          <w:tcPr>
            <w:tcW w:w="50" w:type="pct"/>
            <w:vAlign w:val="center"/>
            <w:hideMark/>
          </w:tcPr>
          <w:p w14:paraId="29FBDD65" w14:textId="77777777" w:rsidR="00000000" w:rsidRDefault="00405D16">
            <w:pPr>
              <w:spacing w:after="100"/>
              <w:rPr>
                <w:rFonts w:eastAsia="Times New Roman"/>
                <w:sz w:val="20"/>
                <w:szCs w:val="20"/>
              </w:rPr>
            </w:pPr>
          </w:p>
        </w:tc>
        <w:tc>
          <w:tcPr>
            <w:tcW w:w="376" w:type="pct"/>
            <w:vAlign w:val="center"/>
            <w:hideMark/>
          </w:tcPr>
          <w:p w14:paraId="3E6942FC" w14:textId="77777777" w:rsidR="00000000" w:rsidRDefault="00405D16">
            <w:pPr>
              <w:spacing w:after="100"/>
              <w:rPr>
                <w:rFonts w:eastAsia="Times New Roman"/>
                <w:sz w:val="20"/>
                <w:szCs w:val="20"/>
              </w:rPr>
            </w:pPr>
          </w:p>
        </w:tc>
        <w:tc>
          <w:tcPr>
            <w:tcW w:w="5" w:type="pct"/>
            <w:vAlign w:val="center"/>
            <w:hideMark/>
          </w:tcPr>
          <w:p w14:paraId="673B8879" w14:textId="77777777" w:rsidR="00000000" w:rsidRDefault="00405D16">
            <w:pPr>
              <w:spacing w:after="100"/>
              <w:rPr>
                <w:rFonts w:eastAsia="Times New Roman"/>
                <w:sz w:val="20"/>
                <w:szCs w:val="20"/>
              </w:rPr>
            </w:pPr>
          </w:p>
        </w:tc>
        <w:tc>
          <w:tcPr>
            <w:tcW w:w="5" w:type="pct"/>
            <w:vAlign w:val="center"/>
            <w:hideMark/>
          </w:tcPr>
          <w:p w14:paraId="71EF7C5F" w14:textId="77777777" w:rsidR="00000000" w:rsidRDefault="00405D16">
            <w:pPr>
              <w:spacing w:after="100"/>
              <w:rPr>
                <w:rFonts w:eastAsia="Times New Roman"/>
                <w:sz w:val="20"/>
                <w:szCs w:val="20"/>
              </w:rPr>
            </w:pPr>
          </w:p>
        </w:tc>
        <w:tc>
          <w:tcPr>
            <w:tcW w:w="26" w:type="pct"/>
            <w:vAlign w:val="center"/>
            <w:hideMark/>
          </w:tcPr>
          <w:p w14:paraId="0B83305E" w14:textId="77777777" w:rsidR="00000000" w:rsidRDefault="00405D16">
            <w:pPr>
              <w:spacing w:after="100"/>
              <w:rPr>
                <w:rFonts w:eastAsia="Times New Roman"/>
                <w:sz w:val="20"/>
                <w:szCs w:val="20"/>
              </w:rPr>
            </w:pPr>
          </w:p>
        </w:tc>
        <w:tc>
          <w:tcPr>
            <w:tcW w:w="5" w:type="pct"/>
            <w:vAlign w:val="center"/>
            <w:hideMark/>
          </w:tcPr>
          <w:p w14:paraId="42E33055" w14:textId="77777777" w:rsidR="00000000" w:rsidRDefault="00405D16">
            <w:pPr>
              <w:spacing w:after="100"/>
              <w:rPr>
                <w:rFonts w:eastAsia="Times New Roman"/>
                <w:sz w:val="20"/>
                <w:szCs w:val="20"/>
              </w:rPr>
            </w:pPr>
          </w:p>
        </w:tc>
        <w:tc>
          <w:tcPr>
            <w:tcW w:w="50" w:type="pct"/>
            <w:vAlign w:val="center"/>
            <w:hideMark/>
          </w:tcPr>
          <w:p w14:paraId="20C210D6" w14:textId="77777777" w:rsidR="00000000" w:rsidRDefault="00405D16">
            <w:pPr>
              <w:spacing w:after="100"/>
              <w:rPr>
                <w:rFonts w:eastAsia="Times New Roman"/>
                <w:sz w:val="20"/>
                <w:szCs w:val="20"/>
              </w:rPr>
            </w:pPr>
          </w:p>
        </w:tc>
        <w:tc>
          <w:tcPr>
            <w:tcW w:w="376" w:type="pct"/>
            <w:vAlign w:val="center"/>
            <w:hideMark/>
          </w:tcPr>
          <w:p w14:paraId="500CA10E" w14:textId="77777777" w:rsidR="00000000" w:rsidRDefault="00405D16">
            <w:pPr>
              <w:spacing w:after="100"/>
              <w:rPr>
                <w:rFonts w:eastAsia="Times New Roman"/>
                <w:sz w:val="20"/>
                <w:szCs w:val="20"/>
              </w:rPr>
            </w:pPr>
          </w:p>
        </w:tc>
        <w:tc>
          <w:tcPr>
            <w:tcW w:w="5" w:type="pct"/>
            <w:vAlign w:val="center"/>
            <w:hideMark/>
          </w:tcPr>
          <w:p w14:paraId="0F8B8296" w14:textId="77777777" w:rsidR="00000000" w:rsidRDefault="00405D16">
            <w:pPr>
              <w:spacing w:after="100"/>
              <w:rPr>
                <w:rFonts w:eastAsia="Times New Roman"/>
                <w:sz w:val="20"/>
                <w:szCs w:val="20"/>
              </w:rPr>
            </w:pPr>
          </w:p>
        </w:tc>
        <w:tc>
          <w:tcPr>
            <w:tcW w:w="5" w:type="pct"/>
            <w:vAlign w:val="center"/>
            <w:hideMark/>
          </w:tcPr>
          <w:p w14:paraId="761D6890" w14:textId="77777777" w:rsidR="00000000" w:rsidRDefault="00405D16">
            <w:pPr>
              <w:spacing w:after="100"/>
              <w:rPr>
                <w:rFonts w:eastAsia="Times New Roman"/>
                <w:sz w:val="20"/>
                <w:szCs w:val="20"/>
              </w:rPr>
            </w:pPr>
          </w:p>
        </w:tc>
        <w:tc>
          <w:tcPr>
            <w:tcW w:w="26" w:type="pct"/>
            <w:vAlign w:val="center"/>
            <w:hideMark/>
          </w:tcPr>
          <w:p w14:paraId="614165BB" w14:textId="77777777" w:rsidR="00000000" w:rsidRDefault="00405D16">
            <w:pPr>
              <w:spacing w:after="100"/>
              <w:rPr>
                <w:rFonts w:eastAsia="Times New Roman"/>
                <w:sz w:val="20"/>
                <w:szCs w:val="20"/>
              </w:rPr>
            </w:pPr>
          </w:p>
        </w:tc>
        <w:tc>
          <w:tcPr>
            <w:tcW w:w="5" w:type="pct"/>
            <w:vAlign w:val="center"/>
            <w:hideMark/>
          </w:tcPr>
          <w:p w14:paraId="24E895DF" w14:textId="77777777" w:rsidR="00000000" w:rsidRDefault="00405D16">
            <w:pPr>
              <w:spacing w:after="100"/>
              <w:rPr>
                <w:rFonts w:eastAsia="Times New Roman"/>
                <w:sz w:val="20"/>
                <w:szCs w:val="20"/>
              </w:rPr>
            </w:pPr>
          </w:p>
        </w:tc>
        <w:tc>
          <w:tcPr>
            <w:tcW w:w="50" w:type="pct"/>
            <w:vAlign w:val="center"/>
            <w:hideMark/>
          </w:tcPr>
          <w:p w14:paraId="09CA44D0" w14:textId="77777777" w:rsidR="00000000" w:rsidRDefault="00405D16">
            <w:pPr>
              <w:spacing w:after="100"/>
              <w:rPr>
                <w:rFonts w:eastAsia="Times New Roman"/>
                <w:sz w:val="20"/>
                <w:szCs w:val="20"/>
              </w:rPr>
            </w:pPr>
          </w:p>
        </w:tc>
        <w:tc>
          <w:tcPr>
            <w:tcW w:w="376" w:type="pct"/>
            <w:vAlign w:val="center"/>
            <w:hideMark/>
          </w:tcPr>
          <w:p w14:paraId="2FBE86E7" w14:textId="77777777" w:rsidR="00000000" w:rsidRDefault="00405D16">
            <w:pPr>
              <w:spacing w:after="100"/>
              <w:rPr>
                <w:rFonts w:eastAsia="Times New Roman"/>
                <w:sz w:val="20"/>
                <w:szCs w:val="20"/>
              </w:rPr>
            </w:pPr>
          </w:p>
        </w:tc>
        <w:tc>
          <w:tcPr>
            <w:tcW w:w="5" w:type="pct"/>
            <w:vAlign w:val="center"/>
            <w:hideMark/>
          </w:tcPr>
          <w:p w14:paraId="3B4A0D42" w14:textId="77777777" w:rsidR="00000000" w:rsidRDefault="00405D16">
            <w:pPr>
              <w:spacing w:after="100"/>
              <w:rPr>
                <w:rFonts w:eastAsia="Times New Roman"/>
                <w:sz w:val="20"/>
                <w:szCs w:val="20"/>
              </w:rPr>
            </w:pPr>
          </w:p>
        </w:tc>
      </w:tr>
      <w:tr w:rsidR="00000000" w14:paraId="2AA64277" w14:textId="77777777">
        <w:tc>
          <w:tcPr>
            <w:tcW w:w="0" w:type="auto"/>
            <w:gridSpan w:val="3"/>
            <w:tcMar>
              <w:top w:w="0" w:type="dxa"/>
              <w:left w:w="20" w:type="dxa"/>
              <w:bottom w:w="0" w:type="dxa"/>
              <w:right w:w="20" w:type="dxa"/>
            </w:tcMar>
            <w:vAlign w:val="center"/>
            <w:hideMark/>
          </w:tcPr>
          <w:p w14:paraId="3AB929F3"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C8B1615"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EDB166C"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5F7EB34" w14:textId="77777777" w:rsidR="00000000" w:rsidRDefault="00405D16">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14:paraId="3306E5AF" w14:textId="77777777" w:rsidR="00000000" w:rsidRDefault="00405D16">
            <w:pPr>
              <w:spacing w:after="100"/>
              <w:jc w:val="center"/>
              <w:rPr>
                <w:rFonts w:eastAsia="Times New Roman"/>
              </w:rPr>
            </w:pPr>
            <w:r>
              <w:rPr>
                <w:rFonts w:eastAsia="Times New Roman"/>
                <w:b/>
                <w:bCs/>
                <w:color w:val="000000"/>
                <w:sz w:val="16"/>
                <w:szCs w:val="16"/>
              </w:rPr>
              <w:t>Three Months Ended September 30, 2020</w:t>
            </w:r>
          </w:p>
        </w:tc>
      </w:tr>
      <w:tr w:rsidR="00000000" w14:paraId="4C196AE5" w14:textId="77777777">
        <w:tc>
          <w:tcPr>
            <w:tcW w:w="0" w:type="auto"/>
            <w:gridSpan w:val="3"/>
            <w:tcMar>
              <w:top w:w="0" w:type="dxa"/>
              <w:left w:w="20" w:type="dxa"/>
              <w:bottom w:w="0" w:type="dxa"/>
              <w:right w:w="20" w:type="dxa"/>
            </w:tcMar>
            <w:vAlign w:val="center"/>
            <w:hideMark/>
          </w:tcPr>
          <w:p w14:paraId="4750AB8B" w14:textId="77777777" w:rsidR="00000000" w:rsidRDefault="00405D1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CD1C4F1"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67D3C67"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D82EFCB" w14:textId="77777777" w:rsidR="00000000" w:rsidRDefault="00405D16">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03361751" w14:textId="77777777" w:rsidR="00000000" w:rsidRDefault="00405D16">
            <w:pPr>
              <w:spacing w:after="100"/>
              <w:jc w:val="center"/>
              <w:rPr>
                <w:rFonts w:eastAsia="Times New Roman"/>
              </w:rPr>
            </w:pPr>
            <w:r>
              <w:rPr>
                <w:rFonts w:eastAsia="Times New Roman"/>
                <w:b/>
                <w:bCs/>
                <w:color w:val="000000"/>
                <w:sz w:val="16"/>
                <w:szCs w:val="16"/>
              </w:rPr>
              <w:t>Reduced Interest Rate</w:t>
            </w:r>
          </w:p>
        </w:tc>
        <w:tc>
          <w:tcPr>
            <w:tcW w:w="0" w:type="auto"/>
            <w:gridSpan w:val="3"/>
            <w:tcBorders>
              <w:top w:val="single" w:sz="8" w:space="0" w:color="000000"/>
            </w:tcBorders>
            <w:tcMar>
              <w:top w:w="0" w:type="dxa"/>
              <w:left w:w="20" w:type="dxa"/>
              <w:bottom w:w="0" w:type="dxa"/>
              <w:right w:w="20" w:type="dxa"/>
            </w:tcMar>
            <w:vAlign w:val="center"/>
            <w:hideMark/>
          </w:tcPr>
          <w:p w14:paraId="4D29265D" w14:textId="77777777" w:rsidR="00000000" w:rsidRDefault="00405D16">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3EB19082" w14:textId="77777777" w:rsidR="00000000" w:rsidRDefault="00405D16">
            <w:pPr>
              <w:spacing w:after="100"/>
              <w:jc w:val="center"/>
              <w:rPr>
                <w:rFonts w:eastAsia="Times New Roman"/>
              </w:rPr>
            </w:pPr>
            <w:r>
              <w:rPr>
                <w:rFonts w:eastAsia="Times New Roman"/>
                <w:b/>
                <w:bCs/>
                <w:color w:val="000000"/>
                <w:sz w:val="16"/>
                <w:szCs w:val="16"/>
              </w:rPr>
              <w:t>Term Extension</w:t>
            </w:r>
          </w:p>
        </w:tc>
        <w:tc>
          <w:tcPr>
            <w:tcW w:w="0" w:type="auto"/>
            <w:gridSpan w:val="3"/>
            <w:tcBorders>
              <w:top w:val="single" w:sz="8" w:space="0" w:color="000000"/>
            </w:tcBorders>
            <w:tcMar>
              <w:top w:w="0" w:type="dxa"/>
              <w:left w:w="20" w:type="dxa"/>
              <w:bottom w:w="0" w:type="dxa"/>
              <w:right w:w="20" w:type="dxa"/>
            </w:tcMar>
            <w:vAlign w:val="center"/>
            <w:hideMark/>
          </w:tcPr>
          <w:p w14:paraId="3D01AA16" w14:textId="77777777" w:rsidR="00000000" w:rsidRDefault="00405D16">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03E6E630" w14:textId="77777777" w:rsidR="00000000" w:rsidRDefault="00405D16">
            <w:pPr>
              <w:spacing w:after="100"/>
              <w:jc w:val="center"/>
              <w:rPr>
                <w:rFonts w:eastAsia="Times New Roman"/>
              </w:rPr>
            </w:pPr>
            <w:r>
              <w:rPr>
                <w:rFonts w:eastAsia="Times New Roman"/>
                <w:b/>
                <w:bCs/>
                <w:color w:val="000000"/>
                <w:sz w:val="16"/>
                <w:szCs w:val="16"/>
              </w:rPr>
              <w:t>Balance Reduction</w:t>
            </w:r>
          </w:p>
        </w:tc>
      </w:tr>
      <w:tr w:rsidR="00000000" w14:paraId="199B99D6" w14:textId="77777777">
        <w:tc>
          <w:tcPr>
            <w:tcW w:w="0" w:type="auto"/>
            <w:gridSpan w:val="3"/>
            <w:tcMar>
              <w:top w:w="30" w:type="dxa"/>
              <w:left w:w="20" w:type="dxa"/>
              <w:bottom w:w="30" w:type="dxa"/>
              <w:right w:w="20" w:type="dxa"/>
            </w:tcMar>
            <w:vAlign w:val="bottom"/>
            <w:hideMark/>
          </w:tcPr>
          <w:p w14:paraId="0626BA85"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16CE464D" w14:textId="77777777" w:rsidR="00000000" w:rsidRDefault="00405D16">
            <w:pPr>
              <w:spacing w:after="100"/>
              <w:rPr>
                <w:rFonts w:eastAsia="Times New Roman"/>
              </w:rPr>
            </w:pPr>
          </w:p>
        </w:tc>
        <w:tc>
          <w:tcPr>
            <w:tcW w:w="0" w:type="auto"/>
            <w:gridSpan w:val="3"/>
            <w:tcMar>
              <w:top w:w="30" w:type="dxa"/>
              <w:left w:w="20" w:type="dxa"/>
              <w:bottom w:w="30" w:type="dxa"/>
              <w:right w:w="20" w:type="dxa"/>
            </w:tcMar>
            <w:vAlign w:val="bottom"/>
            <w:hideMark/>
          </w:tcPr>
          <w:p w14:paraId="026BC47B" w14:textId="77777777" w:rsidR="00000000" w:rsidRDefault="00405D16">
            <w:pPr>
              <w:spacing w:after="100"/>
              <w:jc w:val="center"/>
              <w:rPr>
                <w:rFonts w:eastAsia="Times New Roman"/>
              </w:rPr>
            </w:pPr>
            <w:r>
              <w:rPr>
                <w:rFonts w:eastAsia="Times New Roman"/>
                <w:b/>
                <w:bCs/>
                <w:color w:val="000000"/>
                <w:sz w:val="16"/>
                <w:szCs w:val="16"/>
              </w:rPr>
              <w:t>Total Loans Modifie</w:t>
            </w:r>
            <w:r>
              <w:rPr>
                <w:rFonts w:eastAsia="Times New Roman"/>
                <w:b/>
                <w:bCs/>
                <w:color w:val="000000"/>
                <w:sz w:val="16"/>
                <w:szCs w:val="16"/>
              </w:rPr>
              <w:t>d</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7B5D4140"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39D38A7" w14:textId="77777777" w:rsidR="00000000" w:rsidRDefault="00405D16">
            <w:pPr>
              <w:spacing w:after="100"/>
              <w:jc w:val="center"/>
              <w:rPr>
                <w:rFonts w:eastAsia="Times New Roman"/>
              </w:rPr>
            </w:pPr>
            <w:r>
              <w:rPr>
                <w:rFonts w:eastAsia="Times New Roman"/>
                <w:b/>
                <w:bCs/>
                <w:color w:val="000000"/>
                <w:sz w:val="16"/>
                <w:szCs w:val="16"/>
              </w:rPr>
              <w:t>% </w:t>
            </w:r>
            <w:r>
              <w:rPr>
                <w:rFonts w:eastAsia="Times New Roman"/>
                <w:b/>
                <w:bCs/>
                <w:color w:val="000000"/>
                <w:sz w:val="16"/>
                <w:szCs w:val="16"/>
              </w:rPr>
              <w:t>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01932794"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5620221" w14:textId="77777777" w:rsidR="00000000" w:rsidRDefault="00405D16">
            <w:pPr>
              <w:spacing w:after="100"/>
              <w:jc w:val="center"/>
              <w:rPr>
                <w:rFonts w:eastAsia="Times New Roman"/>
              </w:rPr>
            </w:pPr>
            <w:r>
              <w:rPr>
                <w:rFonts w:eastAsia="Times New Roman"/>
                <w:b/>
                <w:bCs/>
                <w:color w:val="000000"/>
                <w:sz w:val="16"/>
                <w:szCs w:val="16"/>
              </w:rPr>
              <w:t>Average Rate Reduction</w:t>
            </w:r>
          </w:p>
        </w:tc>
        <w:tc>
          <w:tcPr>
            <w:tcW w:w="0" w:type="auto"/>
            <w:gridSpan w:val="3"/>
            <w:tcMar>
              <w:top w:w="0" w:type="dxa"/>
              <w:left w:w="20" w:type="dxa"/>
              <w:bottom w:w="0" w:type="dxa"/>
              <w:right w:w="20" w:type="dxa"/>
            </w:tcMar>
            <w:vAlign w:val="center"/>
            <w:hideMark/>
          </w:tcPr>
          <w:p w14:paraId="1BF869A8"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3FA23D0" w14:textId="77777777" w:rsidR="00000000" w:rsidRDefault="00405D16">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4E3CAB94"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88F3A21" w14:textId="77777777" w:rsidR="00000000" w:rsidRDefault="00405D16">
            <w:pPr>
              <w:spacing w:after="100"/>
              <w:jc w:val="center"/>
              <w:rPr>
                <w:rFonts w:eastAsia="Times New Roman"/>
              </w:rPr>
            </w:pPr>
            <w:r>
              <w:rPr>
                <w:rFonts w:eastAsia="Times New Roman"/>
                <w:b/>
                <w:bCs/>
                <w:color w:val="000000"/>
                <w:sz w:val="16"/>
                <w:szCs w:val="16"/>
              </w:rPr>
              <w:t>Average Term Extension (Months)</w:t>
            </w:r>
          </w:p>
        </w:tc>
        <w:tc>
          <w:tcPr>
            <w:tcW w:w="0" w:type="auto"/>
            <w:gridSpan w:val="3"/>
            <w:tcMar>
              <w:top w:w="0" w:type="dxa"/>
              <w:left w:w="20" w:type="dxa"/>
              <w:bottom w:w="0" w:type="dxa"/>
              <w:right w:w="20" w:type="dxa"/>
            </w:tcMar>
            <w:vAlign w:val="center"/>
            <w:hideMark/>
          </w:tcPr>
          <w:p w14:paraId="79B5A840"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9049C28" w14:textId="77777777" w:rsidR="00000000" w:rsidRDefault="00405D16">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50E77C94"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BA30FA2" w14:textId="77777777" w:rsidR="00000000" w:rsidRDefault="00405D16">
            <w:pPr>
              <w:spacing w:after="100"/>
              <w:jc w:val="center"/>
              <w:rPr>
                <w:rFonts w:eastAsia="Times New Roman"/>
              </w:rPr>
            </w:pPr>
            <w:r>
              <w:rPr>
                <w:rFonts w:eastAsia="Times New Roman"/>
                <w:b/>
                <w:bCs/>
                <w:color w:val="000000"/>
                <w:sz w:val="16"/>
                <w:szCs w:val="16"/>
              </w:rPr>
              <w:t>Gross Balance Reduction</w:t>
            </w:r>
          </w:p>
        </w:tc>
      </w:tr>
      <w:tr w:rsidR="00000000" w14:paraId="3B31136C" w14:textId="7777777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169745F" w14:textId="77777777" w:rsidR="00000000" w:rsidRDefault="00405D16">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14:paraId="45A21AE1"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6EE16A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E920ED"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8A0E68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B9DA36"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7F5106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83F206"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3E8B48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61C161"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E44A47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675229"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8C7C75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36086E"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AEE1890" w14:textId="77777777" w:rsidR="00000000" w:rsidRDefault="00405D16">
            <w:pPr>
              <w:spacing w:after="100"/>
              <w:rPr>
                <w:rFonts w:eastAsia="Times New Roman"/>
                <w:sz w:val="20"/>
                <w:szCs w:val="20"/>
              </w:rPr>
            </w:pPr>
          </w:p>
        </w:tc>
      </w:tr>
      <w:tr w:rsidR="00000000" w14:paraId="6F2924A0" w14:textId="77777777">
        <w:tc>
          <w:tcPr>
            <w:tcW w:w="0" w:type="auto"/>
            <w:gridSpan w:val="3"/>
            <w:shd w:val="clear" w:color="auto" w:fill="FFFFFF"/>
            <w:tcMar>
              <w:top w:w="30" w:type="dxa"/>
              <w:left w:w="245" w:type="dxa"/>
              <w:bottom w:w="30" w:type="dxa"/>
              <w:right w:w="20" w:type="dxa"/>
            </w:tcMar>
            <w:vAlign w:val="center"/>
            <w:hideMark/>
          </w:tcPr>
          <w:p w14:paraId="64C2D82B" w14:textId="77777777" w:rsidR="00000000" w:rsidRDefault="00405D16">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14:paraId="21EBE3D5"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71901FAB"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411BD34A" w14:textId="77777777" w:rsidR="00000000" w:rsidRDefault="00405D16">
            <w:pPr>
              <w:spacing w:after="100"/>
              <w:jc w:val="right"/>
              <w:rPr>
                <w:rFonts w:eastAsia="Times New Roman"/>
              </w:rPr>
            </w:pPr>
            <w:r>
              <w:rPr>
                <w:rFonts w:eastAsia="Times New Roman"/>
                <w:color w:val="000000"/>
                <w:sz w:val="18"/>
                <w:szCs w:val="18"/>
              </w:rPr>
              <w:t>50 </w:t>
            </w:r>
          </w:p>
        </w:tc>
        <w:tc>
          <w:tcPr>
            <w:tcW w:w="0" w:type="auto"/>
            <w:shd w:val="clear" w:color="auto" w:fill="FFFFFF"/>
            <w:tcMar>
              <w:top w:w="30" w:type="dxa"/>
              <w:left w:w="0" w:type="dxa"/>
              <w:bottom w:w="30" w:type="dxa"/>
              <w:right w:w="20" w:type="dxa"/>
            </w:tcMar>
            <w:vAlign w:val="center"/>
            <w:hideMark/>
          </w:tcPr>
          <w:p w14:paraId="6385949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A1AB5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335E2B8" w14:textId="77777777" w:rsidR="00000000" w:rsidRDefault="00405D16">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14:paraId="554791B2"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5AD463C"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36C4D34" w14:textId="77777777" w:rsidR="00000000" w:rsidRDefault="00405D16">
            <w:pPr>
              <w:spacing w:after="100"/>
              <w:jc w:val="right"/>
              <w:rPr>
                <w:rFonts w:eastAsia="Times New Roman"/>
              </w:rPr>
            </w:pPr>
            <w:r>
              <w:rPr>
                <w:rFonts w:eastAsia="Times New Roman"/>
                <w:color w:val="000000"/>
                <w:sz w:val="18"/>
                <w:szCs w:val="18"/>
              </w:rPr>
              <w:t>15.53 </w:t>
            </w:r>
          </w:p>
        </w:tc>
        <w:tc>
          <w:tcPr>
            <w:tcW w:w="0" w:type="auto"/>
            <w:shd w:val="clear" w:color="auto" w:fill="FFFFFF"/>
            <w:tcMar>
              <w:top w:w="30" w:type="dxa"/>
              <w:left w:w="0" w:type="dxa"/>
              <w:bottom w:w="30" w:type="dxa"/>
              <w:right w:w="20" w:type="dxa"/>
            </w:tcMar>
            <w:vAlign w:val="center"/>
            <w:hideMark/>
          </w:tcPr>
          <w:p w14:paraId="7CDAA2D2"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AA557CF"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4269469"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371875C8"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06B5A3D" w14:textId="77777777" w:rsidR="00000000" w:rsidRDefault="00405D16">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7171B52B" w14:textId="77777777" w:rsidR="00000000" w:rsidRDefault="00405D16">
            <w:pPr>
              <w:spacing w:after="100"/>
              <w:jc w:val="right"/>
              <w:rPr>
                <w:rFonts w:eastAsia="Times New Roman"/>
              </w:rPr>
            </w:pPr>
            <w:r>
              <w:rPr>
                <w:rFonts w:eastAsia="Times New Roman"/>
                <w:color w:val="000000"/>
                <w:sz w:val="18"/>
                <w:szCs w:val="18"/>
              </w:rPr>
              <w:t>0</w:t>
            </w:r>
          </w:p>
        </w:tc>
        <w:tc>
          <w:tcPr>
            <w:tcW w:w="0" w:type="auto"/>
            <w:gridSpan w:val="3"/>
            <w:shd w:val="clear" w:color="auto" w:fill="FFFFFF"/>
            <w:tcMar>
              <w:top w:w="0" w:type="dxa"/>
              <w:left w:w="20" w:type="dxa"/>
              <w:bottom w:w="0" w:type="dxa"/>
              <w:right w:w="20" w:type="dxa"/>
            </w:tcMar>
            <w:vAlign w:val="center"/>
            <w:hideMark/>
          </w:tcPr>
          <w:p w14:paraId="324018C0"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0024767"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527A2976"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395750D" w14:textId="77777777" w:rsidR="00000000" w:rsidRDefault="00405D16">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07B83DC1"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4225DA46"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41337C02" w14:textId="77777777" w:rsidR="00000000" w:rsidRDefault="00405D16">
            <w:pPr>
              <w:spacing w:after="100"/>
              <w:jc w:val="right"/>
              <w:rPr>
                <w:rFonts w:eastAsia="Times New Roman"/>
              </w:rPr>
            </w:pPr>
          </w:p>
        </w:tc>
      </w:tr>
      <w:tr w:rsidR="00000000" w14:paraId="400CB011" w14:textId="77777777">
        <w:tc>
          <w:tcPr>
            <w:tcW w:w="0" w:type="auto"/>
            <w:gridSpan w:val="3"/>
            <w:shd w:val="clear" w:color="auto" w:fill="CCEEFF"/>
            <w:tcMar>
              <w:top w:w="30" w:type="dxa"/>
              <w:left w:w="245" w:type="dxa"/>
              <w:bottom w:w="30" w:type="dxa"/>
              <w:right w:w="20" w:type="dxa"/>
            </w:tcMar>
            <w:vAlign w:val="center"/>
            <w:hideMark/>
          </w:tcPr>
          <w:p w14:paraId="186F0E68" w14:textId="77777777" w:rsidR="00000000" w:rsidRDefault="00405D16">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14:paraId="77885E0E"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58D3AB8" w14:textId="77777777" w:rsidR="00000000" w:rsidRDefault="00405D16">
            <w:pPr>
              <w:spacing w:after="100"/>
              <w:jc w:val="right"/>
              <w:rPr>
                <w:rFonts w:eastAsia="Times New Roman"/>
              </w:rPr>
            </w:pPr>
            <w:r>
              <w:rPr>
                <w:rFonts w:eastAsia="Times New Roman"/>
                <w:color w:val="000000"/>
                <w:sz w:val="18"/>
                <w:szCs w:val="18"/>
              </w:rPr>
              <w:t>39 </w:t>
            </w:r>
          </w:p>
        </w:tc>
        <w:tc>
          <w:tcPr>
            <w:tcW w:w="0" w:type="auto"/>
            <w:shd w:val="clear" w:color="auto" w:fill="CCEEFF"/>
            <w:tcMar>
              <w:top w:w="30" w:type="dxa"/>
              <w:left w:w="0" w:type="dxa"/>
              <w:bottom w:w="30" w:type="dxa"/>
              <w:right w:w="20" w:type="dxa"/>
            </w:tcMar>
            <w:vAlign w:val="center"/>
            <w:hideMark/>
          </w:tcPr>
          <w:p w14:paraId="5612739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E9646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0BCFF75" w14:textId="77777777" w:rsidR="00000000" w:rsidRDefault="00405D16">
            <w:pPr>
              <w:spacing w:after="100"/>
              <w:jc w:val="right"/>
              <w:rPr>
                <w:rFonts w:eastAsia="Times New Roman"/>
              </w:rPr>
            </w:pPr>
            <w:r>
              <w:rPr>
                <w:rFonts w:eastAsia="Times New Roman"/>
                <w:color w:val="000000"/>
                <w:sz w:val="18"/>
                <w:szCs w:val="18"/>
              </w:rPr>
              <w:t>100 </w:t>
            </w:r>
          </w:p>
        </w:tc>
        <w:tc>
          <w:tcPr>
            <w:tcW w:w="0" w:type="auto"/>
            <w:shd w:val="clear" w:color="auto" w:fill="CCEEFF"/>
            <w:tcMar>
              <w:top w:w="30" w:type="dxa"/>
              <w:left w:w="0" w:type="dxa"/>
              <w:bottom w:w="30" w:type="dxa"/>
              <w:right w:w="20" w:type="dxa"/>
            </w:tcMar>
            <w:vAlign w:val="center"/>
            <w:hideMark/>
          </w:tcPr>
          <w:p w14:paraId="2DA10F0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C9A1F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05712DD" w14:textId="77777777" w:rsidR="00000000" w:rsidRDefault="00405D16">
            <w:pPr>
              <w:spacing w:after="100"/>
              <w:jc w:val="right"/>
              <w:rPr>
                <w:rFonts w:eastAsia="Times New Roman"/>
              </w:rPr>
            </w:pPr>
            <w:r>
              <w:rPr>
                <w:rFonts w:eastAsia="Times New Roman"/>
                <w:color w:val="000000"/>
                <w:sz w:val="18"/>
                <w:szCs w:val="18"/>
              </w:rPr>
              <w:t>27.89 </w:t>
            </w:r>
          </w:p>
        </w:tc>
        <w:tc>
          <w:tcPr>
            <w:tcW w:w="0" w:type="auto"/>
            <w:shd w:val="clear" w:color="auto" w:fill="CCEEFF"/>
            <w:tcMar>
              <w:top w:w="30" w:type="dxa"/>
              <w:left w:w="0" w:type="dxa"/>
              <w:bottom w:w="30" w:type="dxa"/>
              <w:right w:w="20" w:type="dxa"/>
            </w:tcMar>
            <w:vAlign w:val="center"/>
            <w:hideMark/>
          </w:tcPr>
          <w:p w14:paraId="377B807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FC9A2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0B23E67"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6110E1C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B1E8B4"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14:paraId="47392CB0" w14:textId="77777777" w:rsidR="00000000" w:rsidRDefault="00405D16">
            <w:pPr>
              <w:spacing w:after="100"/>
              <w:jc w:val="right"/>
              <w:rPr>
                <w:rFonts w:eastAsia="Times New Roman"/>
              </w:rPr>
            </w:pPr>
            <w:r>
              <w:rPr>
                <w:rFonts w:eastAsia="Times New Roman"/>
                <w:color w:val="000000"/>
                <w:sz w:val="18"/>
                <w:szCs w:val="18"/>
              </w:rPr>
              <w:t>0</w:t>
            </w:r>
          </w:p>
        </w:tc>
        <w:tc>
          <w:tcPr>
            <w:tcW w:w="0" w:type="auto"/>
            <w:gridSpan w:val="3"/>
            <w:shd w:val="clear" w:color="auto" w:fill="CCEEFF"/>
            <w:tcMar>
              <w:top w:w="0" w:type="dxa"/>
              <w:left w:w="20" w:type="dxa"/>
              <w:bottom w:w="0" w:type="dxa"/>
              <w:right w:w="20" w:type="dxa"/>
            </w:tcMar>
            <w:vAlign w:val="center"/>
            <w:hideMark/>
          </w:tcPr>
          <w:p w14:paraId="777439F8"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0E0DDB9"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0DA6DB2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320B9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BF3379B"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3CA92567" w14:textId="77777777" w:rsidR="00000000" w:rsidRDefault="00405D16">
            <w:pPr>
              <w:spacing w:after="100"/>
              <w:jc w:val="right"/>
              <w:rPr>
                <w:rFonts w:eastAsia="Times New Roman"/>
              </w:rPr>
            </w:pPr>
          </w:p>
        </w:tc>
      </w:tr>
      <w:tr w:rsidR="00000000" w14:paraId="6846E9A0" w14:textId="77777777">
        <w:tc>
          <w:tcPr>
            <w:tcW w:w="0" w:type="auto"/>
            <w:gridSpan w:val="3"/>
            <w:shd w:val="clear" w:color="auto" w:fill="FFFFFF"/>
            <w:tcMar>
              <w:top w:w="30" w:type="dxa"/>
              <w:left w:w="20" w:type="dxa"/>
              <w:bottom w:w="30" w:type="dxa"/>
              <w:right w:w="20" w:type="dxa"/>
            </w:tcMar>
            <w:vAlign w:val="center"/>
            <w:hideMark/>
          </w:tcPr>
          <w:p w14:paraId="41CB593D" w14:textId="77777777" w:rsidR="00000000" w:rsidRDefault="00405D16">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14:paraId="312B4391"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3CBD350" w14:textId="77777777" w:rsidR="00000000" w:rsidRDefault="00405D16">
            <w:pPr>
              <w:spacing w:after="100"/>
              <w:jc w:val="right"/>
              <w:rPr>
                <w:rFonts w:eastAsia="Times New Roman"/>
              </w:rPr>
            </w:pPr>
            <w:r>
              <w:rPr>
                <w:rFonts w:eastAsia="Times New Roman"/>
                <w:color w:val="000000"/>
                <w:sz w:val="18"/>
                <w:szCs w:val="18"/>
              </w:rPr>
              <w:t>89 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D76826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7550D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DAAC3AF" w14:textId="77777777" w:rsidR="00000000" w:rsidRDefault="00405D16">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14:paraId="5B21F54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CB836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A7DD63F" w14:textId="77777777" w:rsidR="00000000" w:rsidRDefault="00405D16">
            <w:pPr>
              <w:spacing w:after="100"/>
              <w:jc w:val="right"/>
              <w:rPr>
                <w:rFonts w:eastAsia="Times New Roman"/>
              </w:rPr>
            </w:pPr>
            <w:r>
              <w:rPr>
                <w:rFonts w:eastAsia="Times New Roman"/>
                <w:color w:val="000000"/>
                <w:sz w:val="18"/>
                <w:szCs w:val="18"/>
              </w:rPr>
              <w:t>20.94 </w:t>
            </w:r>
          </w:p>
        </w:tc>
        <w:tc>
          <w:tcPr>
            <w:tcW w:w="0" w:type="auto"/>
            <w:shd w:val="clear" w:color="auto" w:fill="FFFFFF"/>
            <w:tcMar>
              <w:top w:w="30" w:type="dxa"/>
              <w:left w:w="0" w:type="dxa"/>
              <w:bottom w:w="30" w:type="dxa"/>
              <w:right w:w="20" w:type="dxa"/>
            </w:tcMar>
            <w:vAlign w:val="center"/>
            <w:hideMark/>
          </w:tcPr>
          <w:p w14:paraId="28910D1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AF51B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3DFB692"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186BE2F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F00FF3"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7DA0C9C5" w14:textId="77777777" w:rsidR="00000000" w:rsidRDefault="00405D16">
            <w:pPr>
              <w:spacing w:after="100"/>
              <w:jc w:val="right"/>
              <w:rPr>
                <w:rFonts w:eastAsia="Times New Roman"/>
              </w:rPr>
            </w:pPr>
            <w:r>
              <w:rPr>
                <w:rFonts w:eastAsia="Times New Roman"/>
                <w:color w:val="000000"/>
                <w:sz w:val="18"/>
                <w:szCs w:val="18"/>
              </w:rPr>
              <w:t>0</w:t>
            </w:r>
          </w:p>
        </w:tc>
        <w:tc>
          <w:tcPr>
            <w:tcW w:w="0" w:type="auto"/>
            <w:gridSpan w:val="3"/>
            <w:shd w:val="clear" w:color="auto" w:fill="FFFFFF"/>
            <w:tcMar>
              <w:top w:w="0" w:type="dxa"/>
              <w:left w:w="20" w:type="dxa"/>
              <w:bottom w:w="0" w:type="dxa"/>
              <w:right w:w="20" w:type="dxa"/>
            </w:tcMar>
            <w:vAlign w:val="center"/>
            <w:hideMark/>
          </w:tcPr>
          <w:p w14:paraId="1C698B5F"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8147848"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6457218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AEC4F5"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4C6E7B0" w14:textId="77777777" w:rsidR="00000000" w:rsidRDefault="00405D16">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DB30801" w14:textId="77777777" w:rsidR="00000000" w:rsidRDefault="00405D16">
            <w:pPr>
              <w:spacing w:after="100"/>
              <w:jc w:val="right"/>
              <w:rPr>
                <w:rFonts w:eastAsia="Times New Roman"/>
              </w:rPr>
            </w:pPr>
          </w:p>
        </w:tc>
      </w:tr>
      <w:tr w:rsidR="00000000" w14:paraId="5BDF4F5E" w14:textId="77777777">
        <w:tc>
          <w:tcPr>
            <w:tcW w:w="0" w:type="auto"/>
            <w:gridSpan w:val="3"/>
            <w:shd w:val="clear" w:color="auto" w:fill="CCEEFF"/>
            <w:tcMar>
              <w:top w:w="30" w:type="dxa"/>
              <w:left w:w="20" w:type="dxa"/>
              <w:bottom w:w="30" w:type="dxa"/>
              <w:right w:w="20" w:type="dxa"/>
            </w:tcMar>
            <w:vAlign w:val="center"/>
            <w:hideMark/>
          </w:tcPr>
          <w:p w14:paraId="037D821C" w14:textId="77777777" w:rsidR="00000000" w:rsidRDefault="00405D16">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14:paraId="00F51DA1"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67E587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14C92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761FD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B0047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A8647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23AA5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497A8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EF7BF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739F8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BBCDF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DA5BD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024DC1"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A6DA852" w14:textId="77777777" w:rsidR="00000000" w:rsidRDefault="00405D16">
            <w:pPr>
              <w:spacing w:after="100"/>
              <w:rPr>
                <w:rFonts w:eastAsia="Times New Roman"/>
                <w:sz w:val="20"/>
                <w:szCs w:val="20"/>
              </w:rPr>
            </w:pPr>
          </w:p>
        </w:tc>
      </w:tr>
      <w:tr w:rsidR="00000000" w14:paraId="4C88AD97" w14:textId="77777777">
        <w:tc>
          <w:tcPr>
            <w:tcW w:w="0" w:type="auto"/>
            <w:gridSpan w:val="3"/>
            <w:shd w:val="clear" w:color="auto" w:fill="FFFFFF"/>
            <w:tcMar>
              <w:top w:w="30" w:type="dxa"/>
              <w:left w:w="245" w:type="dxa"/>
              <w:bottom w:w="30" w:type="dxa"/>
              <w:right w:w="20" w:type="dxa"/>
            </w:tcMar>
            <w:vAlign w:val="center"/>
            <w:hideMark/>
          </w:tcPr>
          <w:p w14:paraId="20F4B379" w14:textId="77777777" w:rsidR="00000000" w:rsidRDefault="00405D16">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14:paraId="6695F921"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2834E77" w14:textId="77777777" w:rsidR="00000000" w:rsidRDefault="00405D16">
            <w:pPr>
              <w:spacing w:after="100"/>
              <w:jc w:val="right"/>
              <w:rPr>
                <w:rFonts w:eastAsia="Times New Roman"/>
              </w:rPr>
            </w:pPr>
            <w:r>
              <w:rPr>
                <w:rFonts w:eastAsia="Times New Roman"/>
                <w:color w:val="000000"/>
                <w:sz w:val="18"/>
                <w:szCs w:val="18"/>
              </w:rPr>
              <w:t>133 </w:t>
            </w:r>
          </w:p>
        </w:tc>
        <w:tc>
          <w:tcPr>
            <w:tcW w:w="0" w:type="auto"/>
            <w:shd w:val="clear" w:color="auto" w:fill="FFFFFF"/>
            <w:tcMar>
              <w:top w:w="30" w:type="dxa"/>
              <w:left w:w="0" w:type="dxa"/>
              <w:bottom w:w="30" w:type="dxa"/>
              <w:right w:w="20" w:type="dxa"/>
            </w:tcMar>
            <w:vAlign w:val="center"/>
            <w:hideMark/>
          </w:tcPr>
          <w:p w14:paraId="2265FF2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FA3F6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46024A5" w14:textId="77777777" w:rsidR="00000000" w:rsidRDefault="00405D16">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center"/>
            <w:hideMark/>
          </w:tcPr>
          <w:p w14:paraId="376AA4E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463A3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E35390F" w14:textId="77777777" w:rsidR="00000000" w:rsidRDefault="00405D16">
            <w:pPr>
              <w:spacing w:after="100"/>
              <w:jc w:val="right"/>
              <w:rPr>
                <w:rFonts w:eastAsia="Times New Roman"/>
              </w:rPr>
            </w:pPr>
            <w:r>
              <w:rPr>
                <w:rFonts w:eastAsia="Times New Roman"/>
                <w:color w:val="000000"/>
                <w:sz w:val="18"/>
                <w:szCs w:val="18"/>
              </w:rPr>
              <w:t>4.83 </w:t>
            </w:r>
          </w:p>
        </w:tc>
        <w:tc>
          <w:tcPr>
            <w:tcW w:w="0" w:type="auto"/>
            <w:shd w:val="clear" w:color="auto" w:fill="FFFFFF"/>
            <w:tcMar>
              <w:top w:w="30" w:type="dxa"/>
              <w:left w:w="0" w:type="dxa"/>
              <w:bottom w:w="30" w:type="dxa"/>
              <w:right w:w="20" w:type="dxa"/>
            </w:tcMar>
            <w:vAlign w:val="center"/>
            <w:hideMark/>
          </w:tcPr>
          <w:p w14:paraId="6ADADAC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08C8F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1123ACB" w14:textId="77777777" w:rsidR="00000000" w:rsidRDefault="00405D16">
            <w:pPr>
              <w:spacing w:after="100"/>
              <w:jc w:val="right"/>
              <w:rPr>
                <w:rFonts w:eastAsia="Times New Roman"/>
              </w:rPr>
            </w:pPr>
            <w:r>
              <w:rPr>
                <w:rFonts w:eastAsia="Times New Roman"/>
                <w:color w:val="000000"/>
                <w:sz w:val="18"/>
                <w:szCs w:val="18"/>
              </w:rPr>
              <w:t>94 </w:t>
            </w:r>
          </w:p>
        </w:tc>
        <w:tc>
          <w:tcPr>
            <w:tcW w:w="0" w:type="auto"/>
            <w:shd w:val="clear" w:color="auto" w:fill="FFFFFF"/>
            <w:tcMar>
              <w:top w:w="30" w:type="dxa"/>
              <w:left w:w="0" w:type="dxa"/>
              <w:bottom w:w="30" w:type="dxa"/>
              <w:right w:w="20" w:type="dxa"/>
            </w:tcMar>
            <w:vAlign w:val="center"/>
            <w:hideMark/>
          </w:tcPr>
          <w:p w14:paraId="036644C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6967A1"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37B93D17" w14:textId="77777777" w:rsidR="00000000" w:rsidRDefault="00405D16">
            <w:pPr>
              <w:spacing w:after="100"/>
              <w:jc w:val="right"/>
              <w:rPr>
                <w:rFonts w:eastAsia="Times New Roman"/>
              </w:rPr>
            </w:pPr>
            <w:r>
              <w:rPr>
                <w:rFonts w:eastAsia="Times New Roman"/>
                <w:color w:val="000000"/>
                <w:sz w:val="18"/>
                <w:szCs w:val="18"/>
              </w:rPr>
              <w:t>2</w:t>
            </w:r>
          </w:p>
        </w:tc>
        <w:tc>
          <w:tcPr>
            <w:tcW w:w="0" w:type="auto"/>
            <w:gridSpan w:val="3"/>
            <w:shd w:val="clear" w:color="auto" w:fill="FFFFFF"/>
            <w:tcMar>
              <w:top w:w="0" w:type="dxa"/>
              <w:left w:w="20" w:type="dxa"/>
              <w:bottom w:w="0" w:type="dxa"/>
              <w:right w:w="20" w:type="dxa"/>
            </w:tcMar>
            <w:vAlign w:val="center"/>
            <w:hideMark/>
          </w:tcPr>
          <w:p w14:paraId="58697EA2"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22C008A"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4D1D995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910F2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EFE1B02" w14:textId="77777777" w:rsidR="00000000" w:rsidRDefault="00405D16">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14:paraId="255F1A82" w14:textId="77777777" w:rsidR="00000000" w:rsidRDefault="00405D16">
            <w:pPr>
              <w:spacing w:after="100"/>
              <w:jc w:val="right"/>
              <w:rPr>
                <w:rFonts w:eastAsia="Times New Roman"/>
              </w:rPr>
            </w:pPr>
          </w:p>
        </w:tc>
      </w:tr>
      <w:tr w:rsidR="00000000" w14:paraId="1ED3442E" w14:textId="77777777">
        <w:tc>
          <w:tcPr>
            <w:tcW w:w="0" w:type="auto"/>
            <w:gridSpan w:val="3"/>
            <w:shd w:val="clear" w:color="auto" w:fill="CCEEFF"/>
            <w:tcMar>
              <w:top w:w="30" w:type="dxa"/>
              <w:left w:w="245" w:type="dxa"/>
              <w:bottom w:w="30" w:type="dxa"/>
              <w:right w:w="20" w:type="dxa"/>
            </w:tcMar>
            <w:vAlign w:val="center"/>
            <w:hideMark/>
          </w:tcPr>
          <w:p w14:paraId="327854D2" w14:textId="77777777" w:rsidR="00000000" w:rsidRDefault="00405D16">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14:paraId="4D5AC365"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E06E1FE" w14:textId="77777777" w:rsidR="00000000" w:rsidRDefault="00405D16">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14:paraId="5918A11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E9DF8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7321464" w14:textId="77777777" w:rsidR="00000000" w:rsidRDefault="00405D16">
            <w:pPr>
              <w:spacing w:after="100"/>
              <w:jc w:val="right"/>
              <w:rPr>
                <w:rFonts w:eastAsia="Times New Roman"/>
              </w:rPr>
            </w:pPr>
            <w:r>
              <w:rPr>
                <w:rFonts w:eastAsia="Times New Roman"/>
                <w:color w:val="000000"/>
                <w:sz w:val="18"/>
                <w:szCs w:val="18"/>
              </w:rPr>
              <w:t>85 </w:t>
            </w:r>
          </w:p>
        </w:tc>
        <w:tc>
          <w:tcPr>
            <w:tcW w:w="0" w:type="auto"/>
            <w:shd w:val="clear" w:color="auto" w:fill="CCEEFF"/>
            <w:tcMar>
              <w:top w:w="30" w:type="dxa"/>
              <w:left w:w="0" w:type="dxa"/>
              <w:bottom w:w="30" w:type="dxa"/>
              <w:right w:w="20" w:type="dxa"/>
            </w:tcMar>
            <w:vAlign w:val="center"/>
            <w:hideMark/>
          </w:tcPr>
          <w:p w14:paraId="674516F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8E1AD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6A90E56" w14:textId="77777777" w:rsidR="00000000" w:rsidRDefault="00405D16">
            <w:pPr>
              <w:spacing w:after="100"/>
              <w:jc w:val="right"/>
              <w:rPr>
                <w:rFonts w:eastAsia="Times New Roman"/>
              </w:rPr>
            </w:pPr>
            <w:r>
              <w:rPr>
                <w:rFonts w:eastAsia="Times New Roman"/>
                <w:color w:val="000000"/>
                <w:sz w:val="18"/>
                <w:szCs w:val="18"/>
              </w:rPr>
              <w:t>3.24 </w:t>
            </w:r>
          </w:p>
        </w:tc>
        <w:tc>
          <w:tcPr>
            <w:tcW w:w="0" w:type="auto"/>
            <w:shd w:val="clear" w:color="auto" w:fill="CCEEFF"/>
            <w:tcMar>
              <w:top w:w="30" w:type="dxa"/>
              <w:left w:w="0" w:type="dxa"/>
              <w:bottom w:w="30" w:type="dxa"/>
              <w:right w:w="20" w:type="dxa"/>
            </w:tcMar>
            <w:vAlign w:val="center"/>
            <w:hideMark/>
          </w:tcPr>
          <w:p w14:paraId="5E97DDB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21CBF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29985D6" w14:textId="77777777" w:rsidR="00000000" w:rsidRDefault="00405D16">
            <w:pPr>
              <w:spacing w:after="100"/>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center"/>
            <w:hideMark/>
          </w:tcPr>
          <w:p w14:paraId="16B03FC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8CA33F"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14:paraId="685F6075" w14:textId="77777777" w:rsidR="00000000" w:rsidRDefault="00405D16">
            <w:pPr>
              <w:spacing w:after="100"/>
              <w:jc w:val="right"/>
              <w:rPr>
                <w:rFonts w:eastAsia="Times New Roman"/>
              </w:rPr>
            </w:pPr>
            <w:r>
              <w:rPr>
                <w:rFonts w:eastAsia="Times New Roman"/>
                <w:color w:val="000000"/>
                <w:sz w:val="18"/>
                <w:szCs w:val="18"/>
              </w:rPr>
              <w:t>61</w:t>
            </w:r>
          </w:p>
        </w:tc>
        <w:tc>
          <w:tcPr>
            <w:tcW w:w="0" w:type="auto"/>
            <w:gridSpan w:val="3"/>
            <w:shd w:val="clear" w:color="auto" w:fill="CCEEFF"/>
            <w:tcMar>
              <w:top w:w="0" w:type="dxa"/>
              <w:left w:w="20" w:type="dxa"/>
              <w:bottom w:w="0" w:type="dxa"/>
              <w:right w:w="20" w:type="dxa"/>
            </w:tcMar>
            <w:vAlign w:val="center"/>
            <w:hideMark/>
          </w:tcPr>
          <w:p w14:paraId="2E0447AB"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53E2975"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6CC9728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3A823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AA2A9EF"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7D5E1EDF" w14:textId="77777777" w:rsidR="00000000" w:rsidRDefault="00405D16">
            <w:pPr>
              <w:spacing w:after="100"/>
              <w:jc w:val="right"/>
              <w:rPr>
                <w:rFonts w:eastAsia="Times New Roman"/>
              </w:rPr>
            </w:pPr>
          </w:p>
        </w:tc>
      </w:tr>
      <w:tr w:rsidR="00000000" w14:paraId="364430B9" w14:textId="77777777">
        <w:tc>
          <w:tcPr>
            <w:tcW w:w="0" w:type="auto"/>
            <w:gridSpan w:val="3"/>
            <w:shd w:val="clear" w:color="auto" w:fill="FFFFFF"/>
            <w:tcMar>
              <w:top w:w="30" w:type="dxa"/>
              <w:left w:w="20" w:type="dxa"/>
              <w:bottom w:w="30" w:type="dxa"/>
              <w:right w:w="20" w:type="dxa"/>
            </w:tcMar>
            <w:vAlign w:val="center"/>
            <w:hideMark/>
          </w:tcPr>
          <w:p w14:paraId="29EB533B" w14:textId="77777777" w:rsidR="00000000" w:rsidRDefault="00405D16">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14:paraId="43E4D2F4"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C7DB049" w14:textId="77777777" w:rsidR="00000000" w:rsidRDefault="00405D16">
            <w:pPr>
              <w:spacing w:after="100"/>
              <w:jc w:val="right"/>
              <w:rPr>
                <w:rFonts w:eastAsia="Times New Roman"/>
              </w:rPr>
            </w:pPr>
            <w:r>
              <w:rPr>
                <w:rFonts w:eastAsia="Times New Roman"/>
                <w:color w:val="000000"/>
                <w:sz w:val="18"/>
                <w:szCs w:val="18"/>
              </w:rPr>
              <w:t>134 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CE0AB9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23E69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6514EA7" w14:textId="77777777" w:rsidR="00000000" w:rsidRDefault="00405D16">
            <w:pPr>
              <w:spacing w:after="100"/>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14:paraId="7843077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81BC1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21A8FC3" w14:textId="77777777" w:rsidR="00000000" w:rsidRDefault="00405D16">
            <w:pPr>
              <w:spacing w:after="100"/>
              <w:jc w:val="right"/>
              <w:rPr>
                <w:rFonts w:eastAsia="Times New Roman"/>
              </w:rPr>
            </w:pPr>
            <w:r>
              <w:rPr>
                <w:rFonts w:eastAsia="Times New Roman"/>
                <w:color w:val="000000"/>
                <w:sz w:val="18"/>
                <w:szCs w:val="18"/>
              </w:rPr>
              <w:t>4.75 </w:t>
            </w:r>
          </w:p>
        </w:tc>
        <w:tc>
          <w:tcPr>
            <w:tcW w:w="0" w:type="auto"/>
            <w:shd w:val="clear" w:color="auto" w:fill="FFFFFF"/>
            <w:tcMar>
              <w:top w:w="30" w:type="dxa"/>
              <w:left w:w="0" w:type="dxa"/>
              <w:bottom w:w="30" w:type="dxa"/>
              <w:right w:w="20" w:type="dxa"/>
            </w:tcMar>
            <w:vAlign w:val="center"/>
            <w:hideMark/>
          </w:tcPr>
          <w:p w14:paraId="2009DC8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5E9CE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9B56285" w14:textId="77777777" w:rsidR="00000000" w:rsidRDefault="00405D16">
            <w:pPr>
              <w:spacing w:after="100"/>
              <w:jc w:val="right"/>
              <w:rPr>
                <w:rFonts w:eastAsia="Times New Roman"/>
              </w:rPr>
            </w:pPr>
            <w:r>
              <w:rPr>
                <w:rFonts w:eastAsia="Times New Roman"/>
                <w:color w:val="000000"/>
                <w:sz w:val="18"/>
                <w:szCs w:val="18"/>
              </w:rPr>
              <w:t>94 </w:t>
            </w:r>
          </w:p>
        </w:tc>
        <w:tc>
          <w:tcPr>
            <w:tcW w:w="0" w:type="auto"/>
            <w:shd w:val="clear" w:color="auto" w:fill="FFFFFF"/>
            <w:tcMar>
              <w:top w:w="30" w:type="dxa"/>
              <w:left w:w="0" w:type="dxa"/>
              <w:bottom w:w="30" w:type="dxa"/>
              <w:right w:w="20" w:type="dxa"/>
            </w:tcMar>
            <w:vAlign w:val="center"/>
            <w:hideMark/>
          </w:tcPr>
          <w:p w14:paraId="0E9148A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9E162C"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29C58375" w14:textId="77777777" w:rsidR="00000000" w:rsidRDefault="00405D16">
            <w:pPr>
              <w:spacing w:after="100"/>
              <w:jc w:val="right"/>
              <w:rPr>
                <w:rFonts w:eastAsia="Times New Roman"/>
              </w:rPr>
            </w:pPr>
            <w:r>
              <w:rPr>
                <w:rFonts w:eastAsia="Times New Roman"/>
                <w:color w:val="000000"/>
                <w:sz w:val="18"/>
                <w:szCs w:val="18"/>
              </w:rPr>
              <w:t>2</w:t>
            </w:r>
          </w:p>
        </w:tc>
        <w:tc>
          <w:tcPr>
            <w:tcW w:w="0" w:type="auto"/>
            <w:gridSpan w:val="3"/>
            <w:shd w:val="clear" w:color="auto" w:fill="FFFFFF"/>
            <w:tcMar>
              <w:top w:w="0" w:type="dxa"/>
              <w:left w:w="20" w:type="dxa"/>
              <w:bottom w:w="0" w:type="dxa"/>
              <w:right w:w="20" w:type="dxa"/>
            </w:tcMar>
            <w:vAlign w:val="center"/>
            <w:hideMark/>
          </w:tcPr>
          <w:p w14:paraId="1950E185"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EE85FC4"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43AEC1B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4B39D7"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AF6C034" w14:textId="77777777" w:rsidR="00000000" w:rsidRDefault="00405D16">
            <w:pPr>
              <w:spacing w:after="100"/>
              <w:jc w:val="right"/>
              <w:rPr>
                <w:rFonts w:eastAsia="Times New Roman"/>
              </w:rPr>
            </w:pPr>
            <w:r>
              <w:rPr>
                <w:rFonts w:eastAsia="Times New Roman"/>
                <w:color w:val="000000"/>
                <w:sz w:val="18"/>
                <w:szCs w:val="18"/>
              </w:rPr>
              <w:t>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7384F3A" w14:textId="77777777" w:rsidR="00000000" w:rsidRDefault="00405D16">
            <w:pPr>
              <w:spacing w:after="100"/>
              <w:jc w:val="right"/>
              <w:rPr>
                <w:rFonts w:eastAsia="Times New Roman"/>
              </w:rPr>
            </w:pPr>
          </w:p>
        </w:tc>
      </w:tr>
      <w:tr w:rsidR="00000000" w14:paraId="2F79AD2D" w14:textId="77777777">
        <w:tc>
          <w:tcPr>
            <w:tcW w:w="0" w:type="auto"/>
            <w:gridSpan w:val="3"/>
            <w:shd w:val="clear" w:color="auto" w:fill="CCEEFF"/>
            <w:tcMar>
              <w:top w:w="30" w:type="dxa"/>
              <w:left w:w="20" w:type="dxa"/>
              <w:bottom w:w="30" w:type="dxa"/>
              <w:right w:w="20" w:type="dxa"/>
            </w:tcMar>
            <w:vAlign w:val="center"/>
            <w:hideMark/>
          </w:tcPr>
          <w:p w14:paraId="710DFC13" w14:textId="77777777" w:rsidR="00000000" w:rsidRDefault="00405D16">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14:paraId="408C610F"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474558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0267D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56CC1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DF990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FE1D6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BB927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EE13E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7F564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1C7F2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4629C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BE46E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B31D47"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C771551" w14:textId="77777777" w:rsidR="00000000" w:rsidRDefault="00405D16">
            <w:pPr>
              <w:spacing w:after="100"/>
              <w:rPr>
                <w:rFonts w:eastAsia="Times New Roman"/>
                <w:sz w:val="20"/>
                <w:szCs w:val="20"/>
              </w:rPr>
            </w:pPr>
          </w:p>
        </w:tc>
      </w:tr>
      <w:tr w:rsidR="00000000" w14:paraId="383988A7" w14:textId="77777777">
        <w:tc>
          <w:tcPr>
            <w:tcW w:w="0" w:type="auto"/>
            <w:gridSpan w:val="3"/>
            <w:shd w:val="clear" w:color="auto" w:fill="FFFFFF"/>
            <w:tcMar>
              <w:top w:w="30" w:type="dxa"/>
              <w:left w:w="245" w:type="dxa"/>
              <w:bottom w:w="30" w:type="dxa"/>
              <w:right w:w="20" w:type="dxa"/>
            </w:tcMar>
            <w:vAlign w:val="center"/>
            <w:hideMark/>
          </w:tcPr>
          <w:p w14:paraId="69F56EC9" w14:textId="77777777" w:rsidR="00000000" w:rsidRDefault="00405D16">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14:paraId="07A81440"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61D9F0F" w14:textId="77777777" w:rsidR="00000000" w:rsidRDefault="00405D16">
            <w:pPr>
              <w:spacing w:after="100"/>
              <w:jc w:val="right"/>
              <w:rPr>
                <w:rFonts w:eastAsia="Times New Roman"/>
              </w:rPr>
            </w:pPr>
            <w:r>
              <w:rPr>
                <w:rFonts w:eastAsia="Times New Roman"/>
                <w:color w:val="000000"/>
                <w:sz w:val="18"/>
                <w:szCs w:val="18"/>
              </w:rPr>
              <w:t>57 </w:t>
            </w:r>
          </w:p>
        </w:tc>
        <w:tc>
          <w:tcPr>
            <w:tcW w:w="0" w:type="auto"/>
            <w:shd w:val="clear" w:color="auto" w:fill="FFFFFF"/>
            <w:tcMar>
              <w:top w:w="30" w:type="dxa"/>
              <w:left w:w="0" w:type="dxa"/>
              <w:bottom w:w="30" w:type="dxa"/>
              <w:right w:w="20" w:type="dxa"/>
            </w:tcMar>
            <w:vAlign w:val="center"/>
            <w:hideMark/>
          </w:tcPr>
          <w:p w14:paraId="496BEB0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251B1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68CA170"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1C1A10F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0AA8C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6FABA15" w14:textId="77777777" w:rsidR="00000000" w:rsidRDefault="00405D16">
            <w:pPr>
              <w:spacing w:after="100"/>
              <w:jc w:val="right"/>
              <w:rPr>
                <w:rFonts w:eastAsia="Times New Roman"/>
              </w:rPr>
            </w:pPr>
            <w:r>
              <w:rPr>
                <w:rFonts w:eastAsia="Times New Roman"/>
                <w:color w:val="000000"/>
                <w:sz w:val="18"/>
                <w:szCs w:val="18"/>
              </w:rPr>
              <w:t>0.00 </w:t>
            </w:r>
          </w:p>
        </w:tc>
        <w:tc>
          <w:tcPr>
            <w:tcW w:w="0" w:type="auto"/>
            <w:shd w:val="clear" w:color="auto" w:fill="FFFFFF"/>
            <w:tcMar>
              <w:top w:w="30" w:type="dxa"/>
              <w:left w:w="0" w:type="dxa"/>
              <w:bottom w:w="30" w:type="dxa"/>
              <w:right w:w="20" w:type="dxa"/>
            </w:tcMar>
            <w:vAlign w:val="center"/>
            <w:hideMark/>
          </w:tcPr>
          <w:p w14:paraId="1BC189E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D4275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7F59522" w14:textId="77777777" w:rsidR="00000000" w:rsidRDefault="00405D16">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14:paraId="53672E7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6E6166"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7D9B5B8B" w14:textId="77777777" w:rsidR="00000000" w:rsidRDefault="00405D16">
            <w:pPr>
              <w:spacing w:after="100"/>
              <w:jc w:val="right"/>
              <w:rPr>
                <w:rFonts w:eastAsia="Times New Roman"/>
              </w:rPr>
            </w:pPr>
            <w:r>
              <w:rPr>
                <w:rFonts w:eastAsia="Times New Roman"/>
                <w:color w:val="000000"/>
                <w:sz w:val="18"/>
                <w:szCs w:val="18"/>
              </w:rPr>
              <w:t>4</w:t>
            </w:r>
          </w:p>
        </w:tc>
        <w:tc>
          <w:tcPr>
            <w:tcW w:w="0" w:type="auto"/>
            <w:gridSpan w:val="3"/>
            <w:shd w:val="clear" w:color="auto" w:fill="FFFFFF"/>
            <w:tcMar>
              <w:top w:w="0" w:type="dxa"/>
              <w:left w:w="20" w:type="dxa"/>
              <w:bottom w:w="0" w:type="dxa"/>
              <w:right w:w="20" w:type="dxa"/>
            </w:tcMar>
            <w:vAlign w:val="center"/>
            <w:hideMark/>
          </w:tcPr>
          <w:p w14:paraId="4C13ED5D"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385EB04"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3395D75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71F04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C1ABF70"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192EECA7" w14:textId="77777777" w:rsidR="00000000" w:rsidRDefault="00405D16">
            <w:pPr>
              <w:spacing w:after="100"/>
              <w:jc w:val="right"/>
              <w:rPr>
                <w:rFonts w:eastAsia="Times New Roman"/>
              </w:rPr>
            </w:pPr>
          </w:p>
        </w:tc>
      </w:tr>
      <w:tr w:rsidR="00000000" w14:paraId="0A4ACF37" w14:textId="77777777">
        <w:tc>
          <w:tcPr>
            <w:tcW w:w="0" w:type="auto"/>
            <w:gridSpan w:val="3"/>
            <w:shd w:val="clear" w:color="auto" w:fill="CCEEFF"/>
            <w:tcMar>
              <w:top w:w="30" w:type="dxa"/>
              <w:left w:w="245" w:type="dxa"/>
              <w:bottom w:w="30" w:type="dxa"/>
              <w:right w:w="20" w:type="dxa"/>
            </w:tcMar>
            <w:vAlign w:val="center"/>
            <w:hideMark/>
          </w:tcPr>
          <w:p w14:paraId="123C3B2C" w14:textId="77777777" w:rsidR="00000000" w:rsidRDefault="00405D16">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14:paraId="2BB6CBEC"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EB9D469" w14:textId="77777777" w:rsidR="00000000" w:rsidRDefault="00405D16">
            <w:pPr>
              <w:spacing w:after="100"/>
              <w:jc w:val="right"/>
              <w:rPr>
                <w:rFonts w:eastAsia="Times New Roman"/>
              </w:rPr>
            </w:pPr>
            <w:r>
              <w:rPr>
                <w:rFonts w:eastAsia="Times New Roman"/>
                <w:color w:val="000000"/>
                <w:sz w:val="18"/>
                <w:szCs w:val="18"/>
              </w:rPr>
              <w:t>201 </w:t>
            </w:r>
          </w:p>
        </w:tc>
        <w:tc>
          <w:tcPr>
            <w:tcW w:w="0" w:type="auto"/>
            <w:shd w:val="clear" w:color="auto" w:fill="CCEEFF"/>
            <w:tcMar>
              <w:top w:w="30" w:type="dxa"/>
              <w:left w:w="0" w:type="dxa"/>
              <w:bottom w:w="30" w:type="dxa"/>
              <w:right w:w="20" w:type="dxa"/>
            </w:tcMar>
            <w:vAlign w:val="center"/>
            <w:hideMark/>
          </w:tcPr>
          <w:p w14:paraId="5A16720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220F2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7AC0802"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1DBC217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5C01D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5BF260A" w14:textId="77777777" w:rsidR="00000000" w:rsidRDefault="00405D16">
            <w:pPr>
              <w:spacing w:after="100"/>
              <w:jc w:val="right"/>
              <w:rPr>
                <w:rFonts w:eastAsia="Times New Roman"/>
              </w:rPr>
            </w:pPr>
            <w:r>
              <w:rPr>
                <w:rFonts w:eastAsia="Times New Roman"/>
                <w:color w:val="000000"/>
                <w:sz w:val="18"/>
                <w:szCs w:val="18"/>
              </w:rPr>
              <w:t>0.00 </w:t>
            </w:r>
          </w:p>
        </w:tc>
        <w:tc>
          <w:tcPr>
            <w:tcW w:w="0" w:type="auto"/>
            <w:shd w:val="clear" w:color="auto" w:fill="CCEEFF"/>
            <w:tcMar>
              <w:top w:w="30" w:type="dxa"/>
              <w:left w:w="0" w:type="dxa"/>
              <w:bottom w:w="30" w:type="dxa"/>
              <w:right w:w="20" w:type="dxa"/>
            </w:tcMar>
            <w:vAlign w:val="center"/>
            <w:hideMark/>
          </w:tcPr>
          <w:p w14:paraId="5123296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F8DB4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200A10A" w14:textId="77777777" w:rsidR="00000000" w:rsidRDefault="00405D16">
            <w:pPr>
              <w:spacing w:after="100"/>
              <w:jc w:val="right"/>
              <w:rPr>
                <w:rFonts w:eastAsia="Times New Roman"/>
              </w:rPr>
            </w:pPr>
            <w:r>
              <w:rPr>
                <w:rFonts w:eastAsia="Times New Roman"/>
                <w:color w:val="000000"/>
                <w:sz w:val="18"/>
                <w:szCs w:val="18"/>
              </w:rPr>
              <w:t>54 </w:t>
            </w:r>
          </w:p>
        </w:tc>
        <w:tc>
          <w:tcPr>
            <w:tcW w:w="0" w:type="auto"/>
            <w:shd w:val="clear" w:color="auto" w:fill="CCEEFF"/>
            <w:tcMar>
              <w:top w:w="30" w:type="dxa"/>
              <w:left w:w="0" w:type="dxa"/>
              <w:bottom w:w="30" w:type="dxa"/>
              <w:right w:w="20" w:type="dxa"/>
            </w:tcMar>
            <w:vAlign w:val="center"/>
            <w:hideMark/>
          </w:tcPr>
          <w:p w14:paraId="6D2EAE3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DF1715"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14:paraId="33853E98" w14:textId="77777777" w:rsidR="00000000" w:rsidRDefault="00405D16">
            <w:pPr>
              <w:spacing w:after="100"/>
              <w:jc w:val="right"/>
              <w:rPr>
                <w:rFonts w:eastAsia="Times New Roman"/>
              </w:rPr>
            </w:pPr>
            <w:r>
              <w:rPr>
                <w:rFonts w:eastAsia="Times New Roman"/>
                <w:color w:val="000000"/>
                <w:sz w:val="18"/>
                <w:szCs w:val="18"/>
              </w:rPr>
              <w:t>32</w:t>
            </w:r>
          </w:p>
        </w:tc>
        <w:tc>
          <w:tcPr>
            <w:tcW w:w="0" w:type="auto"/>
            <w:gridSpan w:val="3"/>
            <w:shd w:val="clear" w:color="auto" w:fill="CCEEFF"/>
            <w:tcMar>
              <w:top w:w="0" w:type="dxa"/>
              <w:left w:w="20" w:type="dxa"/>
              <w:bottom w:w="0" w:type="dxa"/>
              <w:right w:w="20" w:type="dxa"/>
            </w:tcMar>
            <w:vAlign w:val="center"/>
            <w:hideMark/>
          </w:tcPr>
          <w:p w14:paraId="19BF2F61"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6894DC4"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6C79348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E07D6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F379CFA"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538E0461" w14:textId="77777777" w:rsidR="00000000" w:rsidRDefault="00405D16">
            <w:pPr>
              <w:spacing w:after="100"/>
              <w:jc w:val="right"/>
              <w:rPr>
                <w:rFonts w:eastAsia="Times New Roman"/>
              </w:rPr>
            </w:pPr>
          </w:p>
        </w:tc>
      </w:tr>
      <w:tr w:rsidR="00000000" w14:paraId="3EDFD368" w14:textId="77777777">
        <w:tc>
          <w:tcPr>
            <w:tcW w:w="0" w:type="auto"/>
            <w:gridSpan w:val="3"/>
            <w:shd w:val="clear" w:color="auto" w:fill="FFFFFF"/>
            <w:tcMar>
              <w:top w:w="30" w:type="dxa"/>
              <w:left w:w="20" w:type="dxa"/>
              <w:bottom w:w="30" w:type="dxa"/>
              <w:right w:w="20" w:type="dxa"/>
            </w:tcMar>
            <w:vAlign w:val="center"/>
            <w:hideMark/>
          </w:tcPr>
          <w:p w14:paraId="72FC1984" w14:textId="77777777" w:rsidR="00000000" w:rsidRDefault="00405D16">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14:paraId="4C6BC10F"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CDA29B3" w14:textId="77777777" w:rsidR="00000000" w:rsidRDefault="00405D16">
            <w:pPr>
              <w:spacing w:after="100"/>
              <w:jc w:val="right"/>
              <w:rPr>
                <w:rFonts w:eastAsia="Times New Roman"/>
              </w:rPr>
            </w:pPr>
            <w:r>
              <w:rPr>
                <w:rFonts w:eastAsia="Times New Roman"/>
                <w:color w:val="000000"/>
                <w:sz w:val="18"/>
                <w:szCs w:val="18"/>
              </w:rPr>
              <w:t>258 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87E9C4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3E515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DC378FB"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3F05111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6EA73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0125B85" w14:textId="77777777" w:rsidR="00000000" w:rsidRDefault="00405D16">
            <w:pPr>
              <w:spacing w:after="100"/>
              <w:jc w:val="right"/>
              <w:rPr>
                <w:rFonts w:eastAsia="Times New Roman"/>
              </w:rPr>
            </w:pPr>
            <w:r>
              <w:rPr>
                <w:rFonts w:eastAsia="Times New Roman"/>
                <w:color w:val="000000"/>
                <w:sz w:val="18"/>
                <w:szCs w:val="18"/>
              </w:rPr>
              <w:t>0.00 </w:t>
            </w:r>
          </w:p>
        </w:tc>
        <w:tc>
          <w:tcPr>
            <w:tcW w:w="0" w:type="auto"/>
            <w:shd w:val="clear" w:color="auto" w:fill="FFFFFF"/>
            <w:tcMar>
              <w:top w:w="30" w:type="dxa"/>
              <w:left w:w="0" w:type="dxa"/>
              <w:bottom w:w="30" w:type="dxa"/>
              <w:right w:w="20" w:type="dxa"/>
            </w:tcMar>
            <w:vAlign w:val="center"/>
            <w:hideMark/>
          </w:tcPr>
          <w:p w14:paraId="0B4DFC6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D88AE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35696F1" w14:textId="77777777" w:rsidR="00000000" w:rsidRDefault="00405D16">
            <w:pPr>
              <w:spacing w:after="100"/>
              <w:jc w:val="right"/>
              <w:rPr>
                <w:rFonts w:eastAsia="Times New Roman"/>
              </w:rPr>
            </w:pPr>
            <w:r>
              <w:rPr>
                <w:rFonts w:eastAsia="Times New Roman"/>
                <w:color w:val="000000"/>
                <w:sz w:val="18"/>
                <w:szCs w:val="18"/>
              </w:rPr>
              <w:t>64 </w:t>
            </w:r>
          </w:p>
        </w:tc>
        <w:tc>
          <w:tcPr>
            <w:tcW w:w="0" w:type="auto"/>
            <w:shd w:val="clear" w:color="auto" w:fill="FFFFFF"/>
            <w:tcMar>
              <w:top w:w="30" w:type="dxa"/>
              <w:left w:w="0" w:type="dxa"/>
              <w:bottom w:w="30" w:type="dxa"/>
              <w:right w:w="20" w:type="dxa"/>
            </w:tcMar>
            <w:vAlign w:val="center"/>
            <w:hideMark/>
          </w:tcPr>
          <w:p w14:paraId="7BE9642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B42CBF"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72256989" w14:textId="77777777" w:rsidR="00000000" w:rsidRDefault="00405D16">
            <w:pPr>
              <w:spacing w:after="100"/>
              <w:jc w:val="right"/>
              <w:rPr>
                <w:rFonts w:eastAsia="Times New Roman"/>
              </w:rPr>
            </w:pPr>
            <w:r>
              <w:rPr>
                <w:rFonts w:eastAsia="Times New Roman"/>
                <w:color w:val="000000"/>
                <w:sz w:val="18"/>
                <w:szCs w:val="18"/>
              </w:rPr>
              <w:t>23</w:t>
            </w:r>
          </w:p>
        </w:tc>
        <w:tc>
          <w:tcPr>
            <w:tcW w:w="0" w:type="auto"/>
            <w:gridSpan w:val="3"/>
            <w:shd w:val="clear" w:color="auto" w:fill="FFFFFF"/>
            <w:tcMar>
              <w:top w:w="0" w:type="dxa"/>
              <w:left w:w="20" w:type="dxa"/>
              <w:bottom w:w="0" w:type="dxa"/>
              <w:right w:w="20" w:type="dxa"/>
            </w:tcMar>
            <w:vAlign w:val="center"/>
            <w:hideMark/>
          </w:tcPr>
          <w:p w14:paraId="204E97EB"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226E2A0"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28D0B5D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DCEF44"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BD405B4" w14:textId="77777777" w:rsidR="00000000" w:rsidRDefault="00405D16">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FEBA9D9" w14:textId="77777777" w:rsidR="00000000" w:rsidRDefault="00405D16">
            <w:pPr>
              <w:spacing w:after="100"/>
              <w:jc w:val="right"/>
              <w:rPr>
                <w:rFonts w:eastAsia="Times New Roman"/>
              </w:rPr>
            </w:pPr>
          </w:p>
        </w:tc>
      </w:tr>
      <w:tr w:rsidR="00000000" w14:paraId="758B24A1" w14:textId="77777777">
        <w:tc>
          <w:tcPr>
            <w:tcW w:w="0" w:type="auto"/>
            <w:gridSpan w:val="3"/>
            <w:shd w:val="clear" w:color="auto" w:fill="CCEEFF"/>
            <w:tcMar>
              <w:top w:w="30" w:type="dxa"/>
              <w:left w:w="20" w:type="dxa"/>
              <w:bottom w:w="30" w:type="dxa"/>
              <w:right w:w="20" w:type="dxa"/>
            </w:tcMar>
            <w:vAlign w:val="center"/>
            <w:hideMark/>
          </w:tcPr>
          <w:p w14:paraId="2BBE1413" w14:textId="77777777" w:rsidR="00000000" w:rsidRDefault="00405D16">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3614E7D5"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B0EA26E"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B7A3DCF" w14:textId="77777777" w:rsidR="00000000" w:rsidRDefault="00405D16">
            <w:pPr>
              <w:spacing w:after="100"/>
              <w:jc w:val="right"/>
              <w:rPr>
                <w:rFonts w:eastAsia="Times New Roman"/>
              </w:rPr>
            </w:pPr>
            <w:r>
              <w:rPr>
                <w:rFonts w:eastAsia="Times New Roman"/>
                <w:color w:val="000000"/>
                <w:sz w:val="18"/>
                <w:szCs w:val="18"/>
              </w:rPr>
              <w:t>481 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BA224F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70C76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F9DE885" w14:textId="77777777" w:rsidR="00000000" w:rsidRDefault="00405D16">
            <w:pPr>
              <w:spacing w:after="100"/>
              <w:jc w:val="right"/>
              <w:rPr>
                <w:rFonts w:eastAsia="Times New Roman"/>
              </w:rPr>
            </w:pPr>
            <w:r>
              <w:rPr>
                <w:rFonts w:eastAsia="Times New Roman"/>
                <w:color w:val="000000"/>
                <w:sz w:val="18"/>
                <w:szCs w:val="18"/>
              </w:rPr>
              <w:t>19 </w:t>
            </w:r>
          </w:p>
        </w:tc>
        <w:tc>
          <w:tcPr>
            <w:tcW w:w="0" w:type="auto"/>
            <w:shd w:val="clear" w:color="auto" w:fill="CCEEFF"/>
            <w:tcMar>
              <w:top w:w="30" w:type="dxa"/>
              <w:left w:w="0" w:type="dxa"/>
              <w:bottom w:w="30" w:type="dxa"/>
              <w:right w:w="20" w:type="dxa"/>
            </w:tcMar>
            <w:vAlign w:val="center"/>
            <w:hideMark/>
          </w:tcPr>
          <w:p w14:paraId="67EE221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9DA17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B475FE3" w14:textId="77777777" w:rsidR="00000000" w:rsidRDefault="00405D16">
            <w:pPr>
              <w:spacing w:after="100"/>
              <w:jc w:val="right"/>
              <w:rPr>
                <w:rFonts w:eastAsia="Times New Roman"/>
              </w:rPr>
            </w:pPr>
            <w:r>
              <w:rPr>
                <w:rFonts w:eastAsia="Times New Roman"/>
                <w:color w:val="000000"/>
                <w:sz w:val="18"/>
                <w:szCs w:val="18"/>
              </w:rPr>
              <w:t>20.08 </w:t>
            </w:r>
          </w:p>
        </w:tc>
        <w:tc>
          <w:tcPr>
            <w:tcW w:w="0" w:type="auto"/>
            <w:shd w:val="clear" w:color="auto" w:fill="CCEEFF"/>
            <w:tcMar>
              <w:top w:w="30" w:type="dxa"/>
              <w:left w:w="0" w:type="dxa"/>
              <w:bottom w:w="30" w:type="dxa"/>
              <w:right w:w="20" w:type="dxa"/>
            </w:tcMar>
            <w:vAlign w:val="center"/>
            <w:hideMark/>
          </w:tcPr>
          <w:p w14:paraId="7C36809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F1490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08B4F5C" w14:textId="77777777" w:rsidR="00000000" w:rsidRDefault="00405D16">
            <w:pPr>
              <w:spacing w:after="100"/>
              <w:jc w:val="right"/>
              <w:rPr>
                <w:rFonts w:eastAsia="Times New Roman"/>
              </w:rPr>
            </w:pPr>
            <w:r>
              <w:rPr>
                <w:rFonts w:eastAsia="Times New Roman"/>
                <w:color w:val="000000"/>
                <w:sz w:val="18"/>
                <w:szCs w:val="18"/>
              </w:rPr>
              <w:t>61 </w:t>
            </w:r>
          </w:p>
        </w:tc>
        <w:tc>
          <w:tcPr>
            <w:tcW w:w="0" w:type="auto"/>
            <w:shd w:val="clear" w:color="auto" w:fill="CCEEFF"/>
            <w:tcMar>
              <w:top w:w="30" w:type="dxa"/>
              <w:left w:w="0" w:type="dxa"/>
              <w:bottom w:w="30" w:type="dxa"/>
              <w:right w:w="20" w:type="dxa"/>
            </w:tcMar>
            <w:vAlign w:val="center"/>
            <w:hideMark/>
          </w:tcPr>
          <w:p w14:paraId="6B7050A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D283B6"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14:paraId="7D13B8C0" w14:textId="77777777" w:rsidR="00000000" w:rsidRDefault="00405D16">
            <w:pPr>
              <w:spacing w:after="100"/>
              <w:jc w:val="right"/>
              <w:rPr>
                <w:rFonts w:eastAsia="Times New Roman"/>
              </w:rPr>
            </w:pPr>
            <w:r>
              <w:rPr>
                <w:rFonts w:eastAsia="Times New Roman"/>
                <w:color w:val="000000"/>
                <w:sz w:val="18"/>
                <w:szCs w:val="18"/>
              </w:rPr>
              <w:t>14</w:t>
            </w:r>
          </w:p>
        </w:tc>
        <w:tc>
          <w:tcPr>
            <w:tcW w:w="0" w:type="auto"/>
            <w:gridSpan w:val="3"/>
            <w:shd w:val="clear" w:color="auto" w:fill="CCEEFF"/>
            <w:tcMar>
              <w:top w:w="0" w:type="dxa"/>
              <w:left w:w="20" w:type="dxa"/>
              <w:bottom w:w="0" w:type="dxa"/>
              <w:right w:w="20" w:type="dxa"/>
            </w:tcMar>
            <w:vAlign w:val="center"/>
            <w:hideMark/>
          </w:tcPr>
          <w:p w14:paraId="78A3A392"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8C701C3"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459B7B1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CD2439"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0F391DF"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B2FF8E5" w14:textId="77777777" w:rsidR="00000000" w:rsidRDefault="00405D16">
            <w:pPr>
              <w:spacing w:after="100"/>
              <w:jc w:val="right"/>
              <w:rPr>
                <w:rFonts w:eastAsia="Times New Roman"/>
              </w:rPr>
            </w:pPr>
            <w:r>
              <w:rPr>
                <w:rFonts w:eastAsia="Times New Roman"/>
                <w:color w:val="000000"/>
                <w:sz w:val="18"/>
                <w:szCs w:val="18"/>
              </w:rPr>
              <w:t>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A6C3DCA" w14:textId="77777777" w:rsidR="00000000" w:rsidRDefault="00405D16">
            <w:pPr>
              <w:spacing w:after="100"/>
              <w:jc w:val="right"/>
              <w:rPr>
                <w:rFonts w:eastAsia="Times New Roman"/>
              </w:rPr>
            </w:pPr>
          </w:p>
        </w:tc>
      </w:tr>
    </w:tbl>
    <w:p w14:paraId="760921CE" w14:textId="77777777" w:rsidR="00000000" w:rsidRDefault="00405D16">
      <w:pPr>
        <w:jc w:val="center"/>
        <w:divId w:val="760369343"/>
        <w:rPr>
          <w:rFonts w:eastAsia="Times New Roman"/>
          <w:vanish/>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7C850F2D" w14:textId="77777777">
        <w:trPr>
          <w:divId w:val="760369343"/>
          <w:jc w:val="center"/>
        </w:trPr>
        <w:tc>
          <w:tcPr>
            <w:tcW w:w="50" w:type="pct"/>
            <w:vAlign w:val="center"/>
            <w:hideMark/>
          </w:tcPr>
          <w:p w14:paraId="5762DCA3" w14:textId="77777777" w:rsidR="00000000" w:rsidRDefault="00405D16">
            <w:pPr>
              <w:jc w:val="both"/>
              <w:rPr>
                <w:rFonts w:eastAsia="Times New Roman"/>
              </w:rPr>
            </w:pPr>
          </w:p>
        </w:tc>
        <w:tc>
          <w:tcPr>
            <w:tcW w:w="1606" w:type="pct"/>
            <w:vAlign w:val="center"/>
            <w:hideMark/>
          </w:tcPr>
          <w:p w14:paraId="06B73C59" w14:textId="77777777" w:rsidR="00000000" w:rsidRDefault="00405D16">
            <w:pPr>
              <w:spacing w:after="100"/>
              <w:rPr>
                <w:rFonts w:eastAsia="Times New Roman"/>
                <w:sz w:val="20"/>
                <w:szCs w:val="20"/>
              </w:rPr>
            </w:pPr>
          </w:p>
        </w:tc>
        <w:tc>
          <w:tcPr>
            <w:tcW w:w="5" w:type="pct"/>
            <w:vAlign w:val="center"/>
            <w:hideMark/>
          </w:tcPr>
          <w:p w14:paraId="3E92E1B9" w14:textId="77777777" w:rsidR="00000000" w:rsidRDefault="00405D16">
            <w:pPr>
              <w:spacing w:after="100"/>
              <w:rPr>
                <w:rFonts w:eastAsia="Times New Roman"/>
                <w:sz w:val="20"/>
                <w:szCs w:val="20"/>
              </w:rPr>
            </w:pPr>
          </w:p>
        </w:tc>
        <w:tc>
          <w:tcPr>
            <w:tcW w:w="50" w:type="pct"/>
            <w:vAlign w:val="center"/>
            <w:hideMark/>
          </w:tcPr>
          <w:p w14:paraId="23EA434F" w14:textId="77777777" w:rsidR="00000000" w:rsidRDefault="00405D16">
            <w:pPr>
              <w:spacing w:after="100"/>
              <w:rPr>
                <w:rFonts w:eastAsia="Times New Roman"/>
                <w:sz w:val="20"/>
                <w:szCs w:val="20"/>
              </w:rPr>
            </w:pPr>
          </w:p>
        </w:tc>
        <w:tc>
          <w:tcPr>
            <w:tcW w:w="1614" w:type="pct"/>
            <w:vAlign w:val="center"/>
            <w:hideMark/>
          </w:tcPr>
          <w:p w14:paraId="6D250404" w14:textId="77777777" w:rsidR="00000000" w:rsidRDefault="00405D16">
            <w:pPr>
              <w:spacing w:after="100"/>
              <w:rPr>
                <w:rFonts w:eastAsia="Times New Roman"/>
                <w:sz w:val="20"/>
                <w:szCs w:val="20"/>
              </w:rPr>
            </w:pPr>
          </w:p>
        </w:tc>
        <w:tc>
          <w:tcPr>
            <w:tcW w:w="5" w:type="pct"/>
            <w:vAlign w:val="center"/>
            <w:hideMark/>
          </w:tcPr>
          <w:p w14:paraId="4017F0E2" w14:textId="77777777" w:rsidR="00000000" w:rsidRDefault="00405D16">
            <w:pPr>
              <w:spacing w:after="100"/>
              <w:rPr>
                <w:rFonts w:eastAsia="Times New Roman"/>
                <w:sz w:val="20"/>
                <w:szCs w:val="20"/>
              </w:rPr>
            </w:pPr>
          </w:p>
        </w:tc>
        <w:tc>
          <w:tcPr>
            <w:tcW w:w="50" w:type="pct"/>
            <w:vAlign w:val="center"/>
            <w:hideMark/>
          </w:tcPr>
          <w:p w14:paraId="7180E970" w14:textId="77777777" w:rsidR="00000000" w:rsidRDefault="00405D16">
            <w:pPr>
              <w:spacing w:after="100"/>
              <w:rPr>
                <w:rFonts w:eastAsia="Times New Roman"/>
                <w:sz w:val="20"/>
                <w:szCs w:val="20"/>
              </w:rPr>
            </w:pPr>
          </w:p>
        </w:tc>
        <w:tc>
          <w:tcPr>
            <w:tcW w:w="1614" w:type="pct"/>
            <w:vAlign w:val="center"/>
            <w:hideMark/>
          </w:tcPr>
          <w:p w14:paraId="798857A2" w14:textId="77777777" w:rsidR="00000000" w:rsidRDefault="00405D16">
            <w:pPr>
              <w:spacing w:after="100"/>
              <w:rPr>
                <w:rFonts w:eastAsia="Times New Roman"/>
                <w:sz w:val="20"/>
                <w:szCs w:val="20"/>
              </w:rPr>
            </w:pPr>
          </w:p>
        </w:tc>
        <w:tc>
          <w:tcPr>
            <w:tcW w:w="5" w:type="pct"/>
            <w:vAlign w:val="center"/>
            <w:hideMark/>
          </w:tcPr>
          <w:p w14:paraId="7E96DC0E" w14:textId="77777777" w:rsidR="00000000" w:rsidRDefault="00405D16">
            <w:pPr>
              <w:spacing w:after="100"/>
              <w:rPr>
                <w:rFonts w:eastAsia="Times New Roman"/>
                <w:sz w:val="20"/>
                <w:szCs w:val="20"/>
              </w:rPr>
            </w:pPr>
          </w:p>
        </w:tc>
      </w:tr>
      <w:tr w:rsidR="00000000" w14:paraId="0FB4CF7E" w14:textId="77777777">
        <w:trPr>
          <w:divId w:val="760369343"/>
          <w:trHeight w:val="300"/>
          <w:jc w:val="center"/>
        </w:trPr>
        <w:tc>
          <w:tcPr>
            <w:tcW w:w="0" w:type="auto"/>
            <w:gridSpan w:val="9"/>
            <w:tcMar>
              <w:top w:w="0" w:type="dxa"/>
              <w:left w:w="20" w:type="dxa"/>
              <w:bottom w:w="0" w:type="dxa"/>
              <w:right w:w="20" w:type="dxa"/>
            </w:tcMar>
            <w:vAlign w:val="center"/>
            <w:hideMark/>
          </w:tcPr>
          <w:p w14:paraId="17A42890" w14:textId="77777777" w:rsidR="00000000" w:rsidRDefault="00405D16">
            <w:pPr>
              <w:spacing w:after="100"/>
              <w:rPr>
                <w:rFonts w:eastAsia="Times New Roman"/>
                <w:sz w:val="20"/>
                <w:szCs w:val="20"/>
              </w:rPr>
            </w:pPr>
          </w:p>
        </w:tc>
      </w:tr>
      <w:tr w:rsidR="00000000" w14:paraId="6648DB22" w14:textId="77777777">
        <w:trPr>
          <w:divId w:val="760369343"/>
          <w:jc w:val="center"/>
        </w:trPr>
        <w:tc>
          <w:tcPr>
            <w:tcW w:w="0" w:type="auto"/>
            <w:gridSpan w:val="3"/>
            <w:tcMar>
              <w:top w:w="0" w:type="dxa"/>
              <w:left w:w="20" w:type="dxa"/>
              <w:bottom w:w="0" w:type="dxa"/>
              <w:right w:w="20" w:type="dxa"/>
            </w:tcMar>
            <w:vAlign w:val="center"/>
            <w:hideMark/>
          </w:tcPr>
          <w:p w14:paraId="2688CA93"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8D02CE9" w14:textId="77777777" w:rsidR="00000000" w:rsidRDefault="00405D16">
            <w:pPr>
              <w:spacing w:after="100"/>
              <w:jc w:val="center"/>
              <w:rPr>
                <w:rFonts w:eastAsia="Times New Roman"/>
              </w:rPr>
            </w:pPr>
            <w:r>
              <w:rPr>
                <w:rFonts w:eastAsia="Times New Roman"/>
                <w:color w:val="000000"/>
                <w:sz w:val="16"/>
                <w:szCs w:val="16"/>
              </w:rPr>
              <w:t>89</w:t>
            </w:r>
          </w:p>
        </w:tc>
        <w:tc>
          <w:tcPr>
            <w:tcW w:w="0" w:type="auto"/>
            <w:gridSpan w:val="3"/>
            <w:tcMar>
              <w:top w:w="30" w:type="dxa"/>
              <w:left w:w="20" w:type="dxa"/>
              <w:bottom w:w="30" w:type="dxa"/>
              <w:right w:w="20" w:type="dxa"/>
            </w:tcMar>
            <w:vAlign w:val="bottom"/>
            <w:hideMark/>
          </w:tcPr>
          <w:p w14:paraId="1557D9BD"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140B9F64" w14:textId="77777777" w:rsidR="00000000" w:rsidRDefault="00405D16">
      <w:pPr>
        <w:rPr>
          <w:rFonts w:eastAsia="Times New Roman"/>
        </w:rPr>
      </w:pPr>
      <w:r>
        <w:rPr>
          <w:rFonts w:eastAsia="Times New Roman"/>
        </w:rPr>
        <w:pict w14:anchorId="758ED423">
          <v:rect id="_x0000_i1114" style="width:0;height:1.5pt" o:hralign="center" o:hrstd="t" o:hr="t" fillcolor="#a0a0a0" stroked="f"/>
        </w:pict>
      </w:r>
    </w:p>
    <w:p w14:paraId="1CEE725B" w14:textId="77777777" w:rsidR="00000000" w:rsidRDefault="00405D16">
      <w:pPr>
        <w:jc w:val="both"/>
        <w:divId w:val="1449618233"/>
        <w:rPr>
          <w:rFonts w:eastAsia="Times New Roman"/>
        </w:rPr>
      </w:pPr>
      <w:hyperlink w:anchor="idd54a04a485440b4ab4e56094c14d612_13" w:history="1">
        <w:r>
          <w:rPr>
            <w:rStyle w:val="a3"/>
            <w:rFonts w:eastAsia="Times New Roman"/>
            <w:sz w:val="16"/>
            <w:szCs w:val="16"/>
          </w:rPr>
          <w:t>Table of Contents</w:t>
        </w:r>
      </w:hyperlink>
    </w:p>
    <w:p w14:paraId="02A5DB4A" w14:textId="77777777" w:rsidR="00000000" w:rsidRDefault="00405D16">
      <w:pPr>
        <w:jc w:val="center"/>
        <w:divId w:val="144961823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1535"/>
        <w:gridCol w:w="38"/>
        <w:gridCol w:w="36"/>
        <w:gridCol w:w="36"/>
        <w:gridCol w:w="36"/>
        <w:gridCol w:w="111"/>
        <w:gridCol w:w="679"/>
        <w:gridCol w:w="36"/>
        <w:gridCol w:w="36"/>
        <w:gridCol w:w="36"/>
        <w:gridCol w:w="36"/>
        <w:gridCol w:w="88"/>
        <w:gridCol w:w="657"/>
        <w:gridCol w:w="171"/>
        <w:gridCol w:w="37"/>
        <w:gridCol w:w="46"/>
        <w:gridCol w:w="37"/>
        <w:gridCol w:w="87"/>
        <w:gridCol w:w="656"/>
        <w:gridCol w:w="170"/>
        <w:gridCol w:w="36"/>
        <w:gridCol w:w="36"/>
        <w:gridCol w:w="36"/>
        <w:gridCol w:w="82"/>
        <w:gridCol w:w="609"/>
        <w:gridCol w:w="171"/>
        <w:gridCol w:w="37"/>
        <w:gridCol w:w="37"/>
        <w:gridCol w:w="37"/>
        <w:gridCol w:w="84"/>
        <w:gridCol w:w="624"/>
        <w:gridCol w:w="36"/>
        <w:gridCol w:w="36"/>
        <w:gridCol w:w="36"/>
        <w:gridCol w:w="36"/>
        <w:gridCol w:w="82"/>
        <w:gridCol w:w="609"/>
        <w:gridCol w:w="171"/>
        <w:gridCol w:w="37"/>
        <w:gridCol w:w="37"/>
        <w:gridCol w:w="37"/>
        <w:gridCol w:w="112"/>
        <w:gridCol w:w="648"/>
        <w:gridCol w:w="37"/>
      </w:tblGrid>
      <w:tr w:rsidR="00000000" w14:paraId="2333020F" w14:textId="77777777">
        <w:trPr>
          <w:divId w:val="1823615527"/>
        </w:trPr>
        <w:tc>
          <w:tcPr>
            <w:tcW w:w="50" w:type="pct"/>
            <w:vAlign w:val="center"/>
            <w:hideMark/>
          </w:tcPr>
          <w:p w14:paraId="2FDA4B46" w14:textId="77777777" w:rsidR="00000000" w:rsidRDefault="00405D16">
            <w:pPr>
              <w:jc w:val="center"/>
              <w:rPr>
                <w:rFonts w:eastAsia="Times New Roman"/>
              </w:rPr>
            </w:pPr>
          </w:p>
        </w:tc>
        <w:tc>
          <w:tcPr>
            <w:tcW w:w="1670" w:type="pct"/>
            <w:vAlign w:val="center"/>
            <w:hideMark/>
          </w:tcPr>
          <w:p w14:paraId="64868868" w14:textId="77777777" w:rsidR="00000000" w:rsidRDefault="00405D16">
            <w:pPr>
              <w:spacing w:after="100"/>
              <w:rPr>
                <w:rFonts w:eastAsia="Times New Roman"/>
                <w:sz w:val="20"/>
                <w:szCs w:val="20"/>
              </w:rPr>
            </w:pPr>
          </w:p>
        </w:tc>
        <w:tc>
          <w:tcPr>
            <w:tcW w:w="5" w:type="pct"/>
            <w:vAlign w:val="center"/>
            <w:hideMark/>
          </w:tcPr>
          <w:p w14:paraId="182BF5AB" w14:textId="77777777" w:rsidR="00000000" w:rsidRDefault="00405D16">
            <w:pPr>
              <w:spacing w:after="100"/>
              <w:rPr>
                <w:rFonts w:eastAsia="Times New Roman"/>
                <w:sz w:val="20"/>
                <w:szCs w:val="20"/>
              </w:rPr>
            </w:pPr>
          </w:p>
        </w:tc>
        <w:tc>
          <w:tcPr>
            <w:tcW w:w="5" w:type="pct"/>
            <w:vAlign w:val="center"/>
            <w:hideMark/>
          </w:tcPr>
          <w:p w14:paraId="697C6C92" w14:textId="77777777" w:rsidR="00000000" w:rsidRDefault="00405D16">
            <w:pPr>
              <w:spacing w:after="100"/>
              <w:rPr>
                <w:rFonts w:eastAsia="Times New Roman"/>
                <w:sz w:val="20"/>
                <w:szCs w:val="20"/>
              </w:rPr>
            </w:pPr>
          </w:p>
        </w:tc>
        <w:tc>
          <w:tcPr>
            <w:tcW w:w="26" w:type="pct"/>
            <w:vAlign w:val="center"/>
            <w:hideMark/>
          </w:tcPr>
          <w:p w14:paraId="655E19DE" w14:textId="77777777" w:rsidR="00000000" w:rsidRDefault="00405D16">
            <w:pPr>
              <w:spacing w:after="100"/>
              <w:rPr>
                <w:rFonts w:eastAsia="Times New Roman"/>
                <w:sz w:val="20"/>
                <w:szCs w:val="20"/>
              </w:rPr>
            </w:pPr>
          </w:p>
        </w:tc>
        <w:tc>
          <w:tcPr>
            <w:tcW w:w="5" w:type="pct"/>
            <w:vAlign w:val="center"/>
            <w:hideMark/>
          </w:tcPr>
          <w:p w14:paraId="66134B03" w14:textId="77777777" w:rsidR="00000000" w:rsidRDefault="00405D16">
            <w:pPr>
              <w:spacing w:after="100"/>
              <w:rPr>
                <w:rFonts w:eastAsia="Times New Roman"/>
                <w:sz w:val="20"/>
                <w:szCs w:val="20"/>
              </w:rPr>
            </w:pPr>
          </w:p>
        </w:tc>
        <w:tc>
          <w:tcPr>
            <w:tcW w:w="50" w:type="pct"/>
            <w:vAlign w:val="center"/>
            <w:hideMark/>
          </w:tcPr>
          <w:p w14:paraId="0D31AB7A" w14:textId="77777777" w:rsidR="00000000" w:rsidRDefault="00405D16">
            <w:pPr>
              <w:spacing w:after="100"/>
              <w:rPr>
                <w:rFonts w:eastAsia="Times New Roman"/>
                <w:sz w:val="20"/>
                <w:szCs w:val="20"/>
              </w:rPr>
            </w:pPr>
          </w:p>
        </w:tc>
        <w:tc>
          <w:tcPr>
            <w:tcW w:w="376" w:type="pct"/>
            <w:vAlign w:val="center"/>
            <w:hideMark/>
          </w:tcPr>
          <w:p w14:paraId="458C24B0" w14:textId="77777777" w:rsidR="00000000" w:rsidRDefault="00405D16">
            <w:pPr>
              <w:spacing w:after="100"/>
              <w:rPr>
                <w:rFonts w:eastAsia="Times New Roman"/>
                <w:sz w:val="20"/>
                <w:szCs w:val="20"/>
              </w:rPr>
            </w:pPr>
          </w:p>
        </w:tc>
        <w:tc>
          <w:tcPr>
            <w:tcW w:w="5" w:type="pct"/>
            <w:vAlign w:val="center"/>
            <w:hideMark/>
          </w:tcPr>
          <w:p w14:paraId="2C6844B6" w14:textId="77777777" w:rsidR="00000000" w:rsidRDefault="00405D16">
            <w:pPr>
              <w:spacing w:after="100"/>
              <w:rPr>
                <w:rFonts w:eastAsia="Times New Roman"/>
                <w:sz w:val="20"/>
                <w:szCs w:val="20"/>
              </w:rPr>
            </w:pPr>
          </w:p>
        </w:tc>
        <w:tc>
          <w:tcPr>
            <w:tcW w:w="5" w:type="pct"/>
            <w:vAlign w:val="center"/>
            <w:hideMark/>
          </w:tcPr>
          <w:p w14:paraId="3720CC9D" w14:textId="77777777" w:rsidR="00000000" w:rsidRDefault="00405D16">
            <w:pPr>
              <w:spacing w:after="100"/>
              <w:rPr>
                <w:rFonts w:eastAsia="Times New Roman"/>
                <w:sz w:val="20"/>
                <w:szCs w:val="20"/>
              </w:rPr>
            </w:pPr>
          </w:p>
        </w:tc>
        <w:tc>
          <w:tcPr>
            <w:tcW w:w="26" w:type="pct"/>
            <w:vAlign w:val="center"/>
            <w:hideMark/>
          </w:tcPr>
          <w:p w14:paraId="00567C5B" w14:textId="77777777" w:rsidR="00000000" w:rsidRDefault="00405D16">
            <w:pPr>
              <w:spacing w:after="100"/>
              <w:rPr>
                <w:rFonts w:eastAsia="Times New Roman"/>
                <w:sz w:val="20"/>
                <w:szCs w:val="20"/>
              </w:rPr>
            </w:pPr>
          </w:p>
        </w:tc>
        <w:tc>
          <w:tcPr>
            <w:tcW w:w="5" w:type="pct"/>
            <w:vAlign w:val="center"/>
            <w:hideMark/>
          </w:tcPr>
          <w:p w14:paraId="10ED4FF5" w14:textId="77777777" w:rsidR="00000000" w:rsidRDefault="00405D16">
            <w:pPr>
              <w:spacing w:after="100"/>
              <w:rPr>
                <w:rFonts w:eastAsia="Times New Roman"/>
                <w:sz w:val="20"/>
                <w:szCs w:val="20"/>
              </w:rPr>
            </w:pPr>
          </w:p>
        </w:tc>
        <w:tc>
          <w:tcPr>
            <w:tcW w:w="50" w:type="pct"/>
            <w:vAlign w:val="center"/>
            <w:hideMark/>
          </w:tcPr>
          <w:p w14:paraId="7B211383" w14:textId="77777777" w:rsidR="00000000" w:rsidRDefault="00405D16">
            <w:pPr>
              <w:spacing w:after="100"/>
              <w:rPr>
                <w:rFonts w:eastAsia="Times New Roman"/>
                <w:sz w:val="20"/>
                <w:szCs w:val="20"/>
              </w:rPr>
            </w:pPr>
          </w:p>
        </w:tc>
        <w:tc>
          <w:tcPr>
            <w:tcW w:w="376" w:type="pct"/>
            <w:vAlign w:val="center"/>
            <w:hideMark/>
          </w:tcPr>
          <w:p w14:paraId="3EF688EC" w14:textId="77777777" w:rsidR="00000000" w:rsidRDefault="00405D16">
            <w:pPr>
              <w:spacing w:after="100"/>
              <w:rPr>
                <w:rFonts w:eastAsia="Times New Roman"/>
                <w:sz w:val="20"/>
                <w:szCs w:val="20"/>
              </w:rPr>
            </w:pPr>
          </w:p>
        </w:tc>
        <w:tc>
          <w:tcPr>
            <w:tcW w:w="5" w:type="pct"/>
            <w:vAlign w:val="center"/>
            <w:hideMark/>
          </w:tcPr>
          <w:p w14:paraId="12EFAD37" w14:textId="77777777" w:rsidR="00000000" w:rsidRDefault="00405D16">
            <w:pPr>
              <w:spacing w:after="100"/>
              <w:rPr>
                <w:rFonts w:eastAsia="Times New Roman"/>
                <w:sz w:val="20"/>
                <w:szCs w:val="20"/>
              </w:rPr>
            </w:pPr>
          </w:p>
        </w:tc>
        <w:tc>
          <w:tcPr>
            <w:tcW w:w="5" w:type="pct"/>
            <w:vAlign w:val="center"/>
            <w:hideMark/>
          </w:tcPr>
          <w:p w14:paraId="0FD4C48A" w14:textId="77777777" w:rsidR="00000000" w:rsidRDefault="00405D16">
            <w:pPr>
              <w:spacing w:after="100"/>
              <w:rPr>
                <w:rFonts w:eastAsia="Times New Roman"/>
                <w:sz w:val="20"/>
                <w:szCs w:val="20"/>
              </w:rPr>
            </w:pPr>
          </w:p>
        </w:tc>
        <w:tc>
          <w:tcPr>
            <w:tcW w:w="26" w:type="pct"/>
            <w:vAlign w:val="center"/>
            <w:hideMark/>
          </w:tcPr>
          <w:p w14:paraId="7084A664" w14:textId="77777777" w:rsidR="00000000" w:rsidRDefault="00405D16">
            <w:pPr>
              <w:spacing w:after="100"/>
              <w:rPr>
                <w:rFonts w:eastAsia="Times New Roman"/>
                <w:sz w:val="20"/>
                <w:szCs w:val="20"/>
              </w:rPr>
            </w:pPr>
          </w:p>
        </w:tc>
        <w:tc>
          <w:tcPr>
            <w:tcW w:w="5" w:type="pct"/>
            <w:vAlign w:val="center"/>
            <w:hideMark/>
          </w:tcPr>
          <w:p w14:paraId="2BF03660" w14:textId="77777777" w:rsidR="00000000" w:rsidRDefault="00405D16">
            <w:pPr>
              <w:spacing w:after="100"/>
              <w:rPr>
                <w:rFonts w:eastAsia="Times New Roman"/>
                <w:sz w:val="20"/>
                <w:szCs w:val="20"/>
              </w:rPr>
            </w:pPr>
          </w:p>
        </w:tc>
        <w:tc>
          <w:tcPr>
            <w:tcW w:w="50" w:type="pct"/>
            <w:vAlign w:val="center"/>
            <w:hideMark/>
          </w:tcPr>
          <w:p w14:paraId="3962D804" w14:textId="77777777" w:rsidR="00000000" w:rsidRDefault="00405D16">
            <w:pPr>
              <w:spacing w:after="100"/>
              <w:rPr>
                <w:rFonts w:eastAsia="Times New Roman"/>
                <w:sz w:val="20"/>
                <w:szCs w:val="20"/>
              </w:rPr>
            </w:pPr>
          </w:p>
        </w:tc>
        <w:tc>
          <w:tcPr>
            <w:tcW w:w="376" w:type="pct"/>
            <w:vAlign w:val="center"/>
            <w:hideMark/>
          </w:tcPr>
          <w:p w14:paraId="2005F4CF" w14:textId="77777777" w:rsidR="00000000" w:rsidRDefault="00405D16">
            <w:pPr>
              <w:spacing w:after="100"/>
              <w:rPr>
                <w:rFonts w:eastAsia="Times New Roman"/>
                <w:sz w:val="20"/>
                <w:szCs w:val="20"/>
              </w:rPr>
            </w:pPr>
          </w:p>
        </w:tc>
        <w:tc>
          <w:tcPr>
            <w:tcW w:w="5" w:type="pct"/>
            <w:vAlign w:val="center"/>
            <w:hideMark/>
          </w:tcPr>
          <w:p w14:paraId="1F8D7D7F" w14:textId="77777777" w:rsidR="00000000" w:rsidRDefault="00405D16">
            <w:pPr>
              <w:spacing w:after="100"/>
              <w:rPr>
                <w:rFonts w:eastAsia="Times New Roman"/>
                <w:sz w:val="20"/>
                <w:szCs w:val="20"/>
              </w:rPr>
            </w:pPr>
          </w:p>
        </w:tc>
        <w:tc>
          <w:tcPr>
            <w:tcW w:w="5" w:type="pct"/>
            <w:vAlign w:val="center"/>
            <w:hideMark/>
          </w:tcPr>
          <w:p w14:paraId="121431E1" w14:textId="77777777" w:rsidR="00000000" w:rsidRDefault="00405D16">
            <w:pPr>
              <w:spacing w:after="100"/>
              <w:rPr>
                <w:rFonts w:eastAsia="Times New Roman"/>
                <w:sz w:val="20"/>
                <w:szCs w:val="20"/>
              </w:rPr>
            </w:pPr>
          </w:p>
        </w:tc>
        <w:tc>
          <w:tcPr>
            <w:tcW w:w="26" w:type="pct"/>
            <w:vAlign w:val="center"/>
            <w:hideMark/>
          </w:tcPr>
          <w:p w14:paraId="2BCA35D1" w14:textId="77777777" w:rsidR="00000000" w:rsidRDefault="00405D16">
            <w:pPr>
              <w:spacing w:after="100"/>
              <w:rPr>
                <w:rFonts w:eastAsia="Times New Roman"/>
                <w:sz w:val="20"/>
                <w:szCs w:val="20"/>
              </w:rPr>
            </w:pPr>
          </w:p>
        </w:tc>
        <w:tc>
          <w:tcPr>
            <w:tcW w:w="5" w:type="pct"/>
            <w:vAlign w:val="center"/>
            <w:hideMark/>
          </w:tcPr>
          <w:p w14:paraId="077F6BCB" w14:textId="77777777" w:rsidR="00000000" w:rsidRDefault="00405D16">
            <w:pPr>
              <w:spacing w:after="100"/>
              <w:rPr>
                <w:rFonts w:eastAsia="Times New Roman"/>
                <w:sz w:val="20"/>
                <w:szCs w:val="20"/>
              </w:rPr>
            </w:pPr>
          </w:p>
        </w:tc>
        <w:tc>
          <w:tcPr>
            <w:tcW w:w="50" w:type="pct"/>
            <w:vAlign w:val="center"/>
            <w:hideMark/>
          </w:tcPr>
          <w:p w14:paraId="3E570E8E" w14:textId="77777777" w:rsidR="00000000" w:rsidRDefault="00405D16">
            <w:pPr>
              <w:spacing w:after="100"/>
              <w:rPr>
                <w:rFonts w:eastAsia="Times New Roman"/>
                <w:sz w:val="20"/>
                <w:szCs w:val="20"/>
              </w:rPr>
            </w:pPr>
          </w:p>
        </w:tc>
        <w:tc>
          <w:tcPr>
            <w:tcW w:w="376" w:type="pct"/>
            <w:vAlign w:val="center"/>
            <w:hideMark/>
          </w:tcPr>
          <w:p w14:paraId="2CD64630" w14:textId="77777777" w:rsidR="00000000" w:rsidRDefault="00405D16">
            <w:pPr>
              <w:spacing w:after="100"/>
              <w:rPr>
                <w:rFonts w:eastAsia="Times New Roman"/>
                <w:sz w:val="20"/>
                <w:szCs w:val="20"/>
              </w:rPr>
            </w:pPr>
          </w:p>
        </w:tc>
        <w:tc>
          <w:tcPr>
            <w:tcW w:w="5" w:type="pct"/>
            <w:vAlign w:val="center"/>
            <w:hideMark/>
          </w:tcPr>
          <w:p w14:paraId="334F68CB" w14:textId="77777777" w:rsidR="00000000" w:rsidRDefault="00405D16">
            <w:pPr>
              <w:spacing w:after="100"/>
              <w:rPr>
                <w:rFonts w:eastAsia="Times New Roman"/>
                <w:sz w:val="20"/>
                <w:szCs w:val="20"/>
              </w:rPr>
            </w:pPr>
          </w:p>
        </w:tc>
        <w:tc>
          <w:tcPr>
            <w:tcW w:w="5" w:type="pct"/>
            <w:vAlign w:val="center"/>
            <w:hideMark/>
          </w:tcPr>
          <w:p w14:paraId="087406EC" w14:textId="77777777" w:rsidR="00000000" w:rsidRDefault="00405D16">
            <w:pPr>
              <w:spacing w:after="100"/>
              <w:rPr>
                <w:rFonts w:eastAsia="Times New Roman"/>
                <w:sz w:val="20"/>
                <w:szCs w:val="20"/>
              </w:rPr>
            </w:pPr>
          </w:p>
        </w:tc>
        <w:tc>
          <w:tcPr>
            <w:tcW w:w="26" w:type="pct"/>
            <w:vAlign w:val="center"/>
            <w:hideMark/>
          </w:tcPr>
          <w:p w14:paraId="663A30AC" w14:textId="77777777" w:rsidR="00000000" w:rsidRDefault="00405D16">
            <w:pPr>
              <w:spacing w:after="100"/>
              <w:rPr>
                <w:rFonts w:eastAsia="Times New Roman"/>
                <w:sz w:val="20"/>
                <w:szCs w:val="20"/>
              </w:rPr>
            </w:pPr>
          </w:p>
        </w:tc>
        <w:tc>
          <w:tcPr>
            <w:tcW w:w="5" w:type="pct"/>
            <w:vAlign w:val="center"/>
            <w:hideMark/>
          </w:tcPr>
          <w:p w14:paraId="616A2560" w14:textId="77777777" w:rsidR="00000000" w:rsidRDefault="00405D16">
            <w:pPr>
              <w:spacing w:after="100"/>
              <w:rPr>
                <w:rFonts w:eastAsia="Times New Roman"/>
                <w:sz w:val="20"/>
                <w:szCs w:val="20"/>
              </w:rPr>
            </w:pPr>
          </w:p>
        </w:tc>
        <w:tc>
          <w:tcPr>
            <w:tcW w:w="50" w:type="pct"/>
            <w:vAlign w:val="center"/>
            <w:hideMark/>
          </w:tcPr>
          <w:p w14:paraId="4028CD7C" w14:textId="77777777" w:rsidR="00000000" w:rsidRDefault="00405D16">
            <w:pPr>
              <w:spacing w:after="100"/>
              <w:rPr>
                <w:rFonts w:eastAsia="Times New Roman"/>
                <w:sz w:val="20"/>
                <w:szCs w:val="20"/>
              </w:rPr>
            </w:pPr>
          </w:p>
        </w:tc>
        <w:tc>
          <w:tcPr>
            <w:tcW w:w="376" w:type="pct"/>
            <w:vAlign w:val="center"/>
            <w:hideMark/>
          </w:tcPr>
          <w:p w14:paraId="785FE051" w14:textId="77777777" w:rsidR="00000000" w:rsidRDefault="00405D16">
            <w:pPr>
              <w:spacing w:after="100"/>
              <w:rPr>
                <w:rFonts w:eastAsia="Times New Roman"/>
                <w:sz w:val="20"/>
                <w:szCs w:val="20"/>
              </w:rPr>
            </w:pPr>
          </w:p>
        </w:tc>
        <w:tc>
          <w:tcPr>
            <w:tcW w:w="5" w:type="pct"/>
            <w:vAlign w:val="center"/>
            <w:hideMark/>
          </w:tcPr>
          <w:p w14:paraId="112D6E34" w14:textId="77777777" w:rsidR="00000000" w:rsidRDefault="00405D16">
            <w:pPr>
              <w:spacing w:after="100"/>
              <w:rPr>
                <w:rFonts w:eastAsia="Times New Roman"/>
                <w:sz w:val="20"/>
                <w:szCs w:val="20"/>
              </w:rPr>
            </w:pPr>
          </w:p>
        </w:tc>
        <w:tc>
          <w:tcPr>
            <w:tcW w:w="5" w:type="pct"/>
            <w:vAlign w:val="center"/>
            <w:hideMark/>
          </w:tcPr>
          <w:p w14:paraId="16E96E3A" w14:textId="77777777" w:rsidR="00000000" w:rsidRDefault="00405D16">
            <w:pPr>
              <w:spacing w:after="100"/>
              <w:rPr>
                <w:rFonts w:eastAsia="Times New Roman"/>
                <w:sz w:val="20"/>
                <w:szCs w:val="20"/>
              </w:rPr>
            </w:pPr>
          </w:p>
        </w:tc>
        <w:tc>
          <w:tcPr>
            <w:tcW w:w="26" w:type="pct"/>
            <w:vAlign w:val="center"/>
            <w:hideMark/>
          </w:tcPr>
          <w:p w14:paraId="1436566E" w14:textId="77777777" w:rsidR="00000000" w:rsidRDefault="00405D16">
            <w:pPr>
              <w:spacing w:after="100"/>
              <w:rPr>
                <w:rFonts w:eastAsia="Times New Roman"/>
                <w:sz w:val="20"/>
                <w:szCs w:val="20"/>
              </w:rPr>
            </w:pPr>
          </w:p>
        </w:tc>
        <w:tc>
          <w:tcPr>
            <w:tcW w:w="5" w:type="pct"/>
            <w:vAlign w:val="center"/>
            <w:hideMark/>
          </w:tcPr>
          <w:p w14:paraId="039E65A6" w14:textId="77777777" w:rsidR="00000000" w:rsidRDefault="00405D16">
            <w:pPr>
              <w:spacing w:after="100"/>
              <w:rPr>
                <w:rFonts w:eastAsia="Times New Roman"/>
                <w:sz w:val="20"/>
                <w:szCs w:val="20"/>
              </w:rPr>
            </w:pPr>
          </w:p>
        </w:tc>
        <w:tc>
          <w:tcPr>
            <w:tcW w:w="50" w:type="pct"/>
            <w:vAlign w:val="center"/>
            <w:hideMark/>
          </w:tcPr>
          <w:p w14:paraId="6EAE40CF" w14:textId="77777777" w:rsidR="00000000" w:rsidRDefault="00405D16">
            <w:pPr>
              <w:spacing w:after="100"/>
              <w:rPr>
                <w:rFonts w:eastAsia="Times New Roman"/>
                <w:sz w:val="20"/>
                <w:szCs w:val="20"/>
              </w:rPr>
            </w:pPr>
          </w:p>
        </w:tc>
        <w:tc>
          <w:tcPr>
            <w:tcW w:w="376" w:type="pct"/>
            <w:vAlign w:val="center"/>
            <w:hideMark/>
          </w:tcPr>
          <w:p w14:paraId="2DF9252F" w14:textId="77777777" w:rsidR="00000000" w:rsidRDefault="00405D16">
            <w:pPr>
              <w:spacing w:after="100"/>
              <w:rPr>
                <w:rFonts w:eastAsia="Times New Roman"/>
                <w:sz w:val="20"/>
                <w:szCs w:val="20"/>
              </w:rPr>
            </w:pPr>
          </w:p>
        </w:tc>
        <w:tc>
          <w:tcPr>
            <w:tcW w:w="5" w:type="pct"/>
            <w:vAlign w:val="center"/>
            <w:hideMark/>
          </w:tcPr>
          <w:p w14:paraId="4A1449C6" w14:textId="77777777" w:rsidR="00000000" w:rsidRDefault="00405D16">
            <w:pPr>
              <w:spacing w:after="100"/>
              <w:rPr>
                <w:rFonts w:eastAsia="Times New Roman"/>
                <w:sz w:val="20"/>
                <w:szCs w:val="20"/>
              </w:rPr>
            </w:pPr>
          </w:p>
        </w:tc>
        <w:tc>
          <w:tcPr>
            <w:tcW w:w="5" w:type="pct"/>
            <w:vAlign w:val="center"/>
            <w:hideMark/>
          </w:tcPr>
          <w:p w14:paraId="075F18A2" w14:textId="77777777" w:rsidR="00000000" w:rsidRDefault="00405D16">
            <w:pPr>
              <w:spacing w:after="100"/>
              <w:rPr>
                <w:rFonts w:eastAsia="Times New Roman"/>
                <w:sz w:val="20"/>
                <w:szCs w:val="20"/>
              </w:rPr>
            </w:pPr>
          </w:p>
        </w:tc>
        <w:tc>
          <w:tcPr>
            <w:tcW w:w="26" w:type="pct"/>
            <w:vAlign w:val="center"/>
            <w:hideMark/>
          </w:tcPr>
          <w:p w14:paraId="6640C150" w14:textId="77777777" w:rsidR="00000000" w:rsidRDefault="00405D16">
            <w:pPr>
              <w:spacing w:after="100"/>
              <w:rPr>
                <w:rFonts w:eastAsia="Times New Roman"/>
                <w:sz w:val="20"/>
                <w:szCs w:val="20"/>
              </w:rPr>
            </w:pPr>
          </w:p>
        </w:tc>
        <w:tc>
          <w:tcPr>
            <w:tcW w:w="5" w:type="pct"/>
            <w:vAlign w:val="center"/>
            <w:hideMark/>
          </w:tcPr>
          <w:p w14:paraId="5D44F852" w14:textId="77777777" w:rsidR="00000000" w:rsidRDefault="00405D16">
            <w:pPr>
              <w:spacing w:after="100"/>
              <w:rPr>
                <w:rFonts w:eastAsia="Times New Roman"/>
                <w:sz w:val="20"/>
                <w:szCs w:val="20"/>
              </w:rPr>
            </w:pPr>
          </w:p>
        </w:tc>
        <w:tc>
          <w:tcPr>
            <w:tcW w:w="50" w:type="pct"/>
            <w:vAlign w:val="center"/>
            <w:hideMark/>
          </w:tcPr>
          <w:p w14:paraId="39F74EF6" w14:textId="77777777" w:rsidR="00000000" w:rsidRDefault="00405D16">
            <w:pPr>
              <w:spacing w:after="100"/>
              <w:rPr>
                <w:rFonts w:eastAsia="Times New Roman"/>
                <w:sz w:val="20"/>
                <w:szCs w:val="20"/>
              </w:rPr>
            </w:pPr>
          </w:p>
        </w:tc>
        <w:tc>
          <w:tcPr>
            <w:tcW w:w="376" w:type="pct"/>
            <w:vAlign w:val="center"/>
            <w:hideMark/>
          </w:tcPr>
          <w:p w14:paraId="5F9CFFCB" w14:textId="77777777" w:rsidR="00000000" w:rsidRDefault="00405D16">
            <w:pPr>
              <w:spacing w:after="100"/>
              <w:rPr>
                <w:rFonts w:eastAsia="Times New Roman"/>
                <w:sz w:val="20"/>
                <w:szCs w:val="20"/>
              </w:rPr>
            </w:pPr>
          </w:p>
        </w:tc>
        <w:tc>
          <w:tcPr>
            <w:tcW w:w="5" w:type="pct"/>
            <w:vAlign w:val="center"/>
            <w:hideMark/>
          </w:tcPr>
          <w:p w14:paraId="250DF314" w14:textId="77777777" w:rsidR="00000000" w:rsidRDefault="00405D16">
            <w:pPr>
              <w:spacing w:after="100"/>
              <w:rPr>
                <w:rFonts w:eastAsia="Times New Roman"/>
                <w:sz w:val="20"/>
                <w:szCs w:val="20"/>
              </w:rPr>
            </w:pPr>
          </w:p>
        </w:tc>
      </w:tr>
      <w:tr w:rsidR="00000000" w14:paraId="7AB386D5" w14:textId="77777777">
        <w:trPr>
          <w:divId w:val="1823615527"/>
        </w:trPr>
        <w:tc>
          <w:tcPr>
            <w:tcW w:w="0" w:type="auto"/>
            <w:gridSpan w:val="3"/>
            <w:tcMar>
              <w:top w:w="30" w:type="dxa"/>
              <w:left w:w="20" w:type="dxa"/>
              <w:bottom w:w="30" w:type="dxa"/>
              <w:right w:w="20" w:type="dxa"/>
            </w:tcMar>
            <w:vAlign w:val="bottom"/>
            <w:hideMark/>
          </w:tcPr>
          <w:p w14:paraId="76E2D156"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685D2EA" w14:textId="77777777" w:rsidR="00000000" w:rsidRDefault="00405D16">
            <w:pPr>
              <w:spacing w:after="100"/>
              <w:rPr>
                <w:rFonts w:eastAsia="Times New Roman"/>
              </w:rPr>
            </w:pPr>
          </w:p>
        </w:tc>
        <w:tc>
          <w:tcPr>
            <w:tcW w:w="0" w:type="auto"/>
            <w:gridSpan w:val="3"/>
            <w:tcMar>
              <w:top w:w="0" w:type="dxa"/>
              <w:left w:w="20" w:type="dxa"/>
              <w:bottom w:w="0" w:type="dxa"/>
              <w:right w:w="20" w:type="dxa"/>
            </w:tcMar>
            <w:vAlign w:val="center"/>
            <w:hideMark/>
          </w:tcPr>
          <w:p w14:paraId="06F952D2"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5EB06DA" w14:textId="77777777" w:rsidR="00000000" w:rsidRDefault="00405D16">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14:paraId="44729464" w14:textId="77777777" w:rsidR="00000000" w:rsidRDefault="00405D16">
            <w:pPr>
              <w:spacing w:after="100"/>
              <w:jc w:val="center"/>
              <w:rPr>
                <w:rFonts w:eastAsia="Times New Roman"/>
              </w:rPr>
            </w:pPr>
            <w:r>
              <w:rPr>
                <w:rFonts w:eastAsia="Times New Roman"/>
                <w:b/>
                <w:bCs/>
                <w:color w:val="000000"/>
                <w:sz w:val="16"/>
                <w:szCs w:val="16"/>
              </w:rPr>
              <w:t>Nine Months Ended September 30, 2020</w:t>
            </w:r>
          </w:p>
        </w:tc>
      </w:tr>
      <w:tr w:rsidR="00000000" w14:paraId="66962458" w14:textId="77777777">
        <w:trPr>
          <w:divId w:val="1823615527"/>
        </w:trPr>
        <w:tc>
          <w:tcPr>
            <w:tcW w:w="0" w:type="auto"/>
            <w:gridSpan w:val="3"/>
            <w:tcMar>
              <w:top w:w="30" w:type="dxa"/>
              <w:left w:w="20" w:type="dxa"/>
              <w:bottom w:w="30" w:type="dxa"/>
              <w:right w:w="20" w:type="dxa"/>
            </w:tcMar>
            <w:vAlign w:val="bottom"/>
            <w:hideMark/>
          </w:tcPr>
          <w:p w14:paraId="544896A8"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FC89FD7" w14:textId="77777777" w:rsidR="00000000" w:rsidRDefault="00405D16">
            <w:pPr>
              <w:spacing w:after="100"/>
              <w:rPr>
                <w:rFonts w:eastAsia="Times New Roman"/>
              </w:rPr>
            </w:pPr>
          </w:p>
        </w:tc>
        <w:tc>
          <w:tcPr>
            <w:tcW w:w="0" w:type="auto"/>
            <w:gridSpan w:val="3"/>
            <w:tcMar>
              <w:top w:w="0" w:type="dxa"/>
              <w:left w:w="20" w:type="dxa"/>
              <w:bottom w:w="0" w:type="dxa"/>
              <w:right w:w="20" w:type="dxa"/>
            </w:tcMar>
            <w:vAlign w:val="center"/>
            <w:hideMark/>
          </w:tcPr>
          <w:p w14:paraId="4EA90220"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4C36BC1" w14:textId="77777777" w:rsidR="00000000" w:rsidRDefault="00405D16">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180994B2" w14:textId="77777777" w:rsidR="00000000" w:rsidRDefault="00405D16">
            <w:pPr>
              <w:spacing w:after="100"/>
              <w:jc w:val="center"/>
              <w:rPr>
                <w:rFonts w:eastAsia="Times New Roman"/>
              </w:rPr>
            </w:pPr>
            <w:r>
              <w:rPr>
                <w:rFonts w:eastAsia="Times New Roman"/>
                <w:b/>
                <w:bCs/>
                <w:color w:val="000000"/>
                <w:sz w:val="16"/>
                <w:szCs w:val="16"/>
              </w:rPr>
              <w:t>Reduced Interest Rate</w:t>
            </w:r>
          </w:p>
        </w:tc>
        <w:tc>
          <w:tcPr>
            <w:tcW w:w="0" w:type="auto"/>
            <w:gridSpan w:val="3"/>
            <w:tcBorders>
              <w:top w:val="single" w:sz="8" w:space="0" w:color="000000"/>
            </w:tcBorders>
            <w:tcMar>
              <w:top w:w="0" w:type="dxa"/>
              <w:left w:w="20" w:type="dxa"/>
              <w:bottom w:w="0" w:type="dxa"/>
              <w:right w:w="20" w:type="dxa"/>
            </w:tcMar>
            <w:vAlign w:val="center"/>
            <w:hideMark/>
          </w:tcPr>
          <w:p w14:paraId="429A3260" w14:textId="77777777" w:rsidR="00000000" w:rsidRDefault="00405D16">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308B722E" w14:textId="77777777" w:rsidR="00000000" w:rsidRDefault="00405D16">
            <w:pPr>
              <w:spacing w:after="100"/>
              <w:jc w:val="center"/>
              <w:rPr>
                <w:rFonts w:eastAsia="Times New Roman"/>
              </w:rPr>
            </w:pPr>
            <w:r>
              <w:rPr>
                <w:rFonts w:eastAsia="Times New Roman"/>
                <w:b/>
                <w:bCs/>
                <w:color w:val="000000"/>
                <w:sz w:val="16"/>
                <w:szCs w:val="16"/>
              </w:rPr>
              <w:t>Term Extension</w:t>
            </w:r>
          </w:p>
        </w:tc>
        <w:tc>
          <w:tcPr>
            <w:tcW w:w="0" w:type="auto"/>
            <w:gridSpan w:val="3"/>
            <w:tcBorders>
              <w:top w:val="single" w:sz="8" w:space="0" w:color="000000"/>
            </w:tcBorders>
            <w:tcMar>
              <w:top w:w="0" w:type="dxa"/>
              <w:left w:w="20" w:type="dxa"/>
              <w:bottom w:w="0" w:type="dxa"/>
              <w:right w:w="20" w:type="dxa"/>
            </w:tcMar>
            <w:vAlign w:val="center"/>
            <w:hideMark/>
          </w:tcPr>
          <w:p w14:paraId="70A8185D" w14:textId="77777777" w:rsidR="00000000" w:rsidRDefault="00405D16">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7BBB96D3" w14:textId="77777777" w:rsidR="00000000" w:rsidRDefault="00405D16">
            <w:pPr>
              <w:spacing w:after="100"/>
              <w:jc w:val="center"/>
              <w:rPr>
                <w:rFonts w:eastAsia="Times New Roman"/>
              </w:rPr>
            </w:pPr>
            <w:r>
              <w:rPr>
                <w:rFonts w:eastAsia="Times New Roman"/>
                <w:b/>
                <w:bCs/>
                <w:color w:val="000000"/>
                <w:sz w:val="16"/>
                <w:szCs w:val="16"/>
              </w:rPr>
              <w:t>Balance Reduction</w:t>
            </w:r>
          </w:p>
        </w:tc>
      </w:tr>
      <w:tr w:rsidR="00000000" w14:paraId="49F80CBF" w14:textId="77777777">
        <w:trPr>
          <w:divId w:val="1823615527"/>
        </w:trPr>
        <w:tc>
          <w:tcPr>
            <w:tcW w:w="0" w:type="auto"/>
            <w:gridSpan w:val="3"/>
            <w:tcMar>
              <w:top w:w="30" w:type="dxa"/>
              <w:left w:w="20" w:type="dxa"/>
              <w:bottom w:w="30" w:type="dxa"/>
              <w:right w:w="20" w:type="dxa"/>
            </w:tcMar>
            <w:vAlign w:val="bottom"/>
            <w:hideMark/>
          </w:tcPr>
          <w:p w14:paraId="28FD4260"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16E820C3" w14:textId="77777777" w:rsidR="00000000" w:rsidRDefault="00405D16">
            <w:pPr>
              <w:spacing w:after="100"/>
              <w:rPr>
                <w:rFonts w:eastAsia="Times New Roman"/>
              </w:rPr>
            </w:pPr>
          </w:p>
        </w:tc>
        <w:tc>
          <w:tcPr>
            <w:tcW w:w="0" w:type="auto"/>
            <w:gridSpan w:val="3"/>
            <w:tcMar>
              <w:top w:w="30" w:type="dxa"/>
              <w:left w:w="20" w:type="dxa"/>
              <w:bottom w:w="30" w:type="dxa"/>
              <w:right w:w="20" w:type="dxa"/>
            </w:tcMar>
            <w:vAlign w:val="bottom"/>
            <w:hideMark/>
          </w:tcPr>
          <w:p w14:paraId="623DA20B" w14:textId="77777777" w:rsidR="00000000" w:rsidRDefault="00405D16">
            <w:pPr>
              <w:spacing w:after="100"/>
              <w:jc w:val="center"/>
              <w:rPr>
                <w:rFonts w:eastAsia="Times New Roman"/>
              </w:rPr>
            </w:pPr>
            <w:r>
              <w:rPr>
                <w:rFonts w:eastAsia="Times New Roman"/>
                <w:b/>
                <w:bCs/>
                <w:color w:val="000000"/>
                <w:sz w:val="16"/>
                <w:szCs w:val="16"/>
              </w:rPr>
              <w:t>Total Loans Modifie</w:t>
            </w:r>
            <w:r>
              <w:rPr>
                <w:rFonts w:eastAsia="Times New Roman"/>
                <w:b/>
                <w:bCs/>
                <w:color w:val="000000"/>
                <w:sz w:val="16"/>
                <w:szCs w:val="16"/>
              </w:rPr>
              <w:t>d</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717E6B97"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9F279C4" w14:textId="77777777" w:rsidR="00000000" w:rsidRDefault="00405D16">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06361C10"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4DF4CB4" w14:textId="77777777" w:rsidR="00000000" w:rsidRDefault="00405D16">
            <w:pPr>
              <w:spacing w:after="100"/>
              <w:jc w:val="center"/>
              <w:rPr>
                <w:rFonts w:eastAsia="Times New Roman"/>
              </w:rPr>
            </w:pPr>
            <w:r>
              <w:rPr>
                <w:rFonts w:eastAsia="Times New Roman"/>
                <w:b/>
                <w:bCs/>
                <w:color w:val="000000"/>
                <w:sz w:val="16"/>
                <w:szCs w:val="16"/>
              </w:rPr>
              <w:t>Average Rate Reduction</w:t>
            </w:r>
          </w:p>
        </w:tc>
        <w:tc>
          <w:tcPr>
            <w:tcW w:w="0" w:type="auto"/>
            <w:gridSpan w:val="3"/>
            <w:tcMar>
              <w:top w:w="0" w:type="dxa"/>
              <w:left w:w="20" w:type="dxa"/>
              <w:bottom w:w="0" w:type="dxa"/>
              <w:right w:w="20" w:type="dxa"/>
            </w:tcMar>
            <w:vAlign w:val="center"/>
            <w:hideMark/>
          </w:tcPr>
          <w:p w14:paraId="658E8CC0"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8BA8927" w14:textId="77777777" w:rsidR="00000000" w:rsidRDefault="00405D16">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172C6A1F"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DEFEFA5" w14:textId="77777777" w:rsidR="00000000" w:rsidRDefault="00405D16">
            <w:pPr>
              <w:spacing w:after="100"/>
              <w:jc w:val="center"/>
              <w:rPr>
                <w:rFonts w:eastAsia="Times New Roman"/>
              </w:rPr>
            </w:pPr>
            <w:r>
              <w:rPr>
                <w:rFonts w:eastAsia="Times New Roman"/>
                <w:b/>
                <w:bCs/>
                <w:color w:val="000000"/>
                <w:sz w:val="16"/>
                <w:szCs w:val="16"/>
              </w:rPr>
              <w:t>Average Term Extension (Months)</w:t>
            </w:r>
          </w:p>
        </w:tc>
        <w:tc>
          <w:tcPr>
            <w:tcW w:w="0" w:type="auto"/>
            <w:gridSpan w:val="3"/>
            <w:tcMar>
              <w:top w:w="0" w:type="dxa"/>
              <w:left w:w="20" w:type="dxa"/>
              <w:bottom w:w="0" w:type="dxa"/>
              <w:right w:w="20" w:type="dxa"/>
            </w:tcMar>
            <w:vAlign w:val="center"/>
            <w:hideMark/>
          </w:tcPr>
          <w:p w14:paraId="18C95241"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E653BC3" w14:textId="77777777" w:rsidR="00000000" w:rsidRDefault="00405D16">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0CB291DE"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992A606" w14:textId="77777777" w:rsidR="00000000" w:rsidRDefault="00405D16">
            <w:pPr>
              <w:spacing w:after="100"/>
              <w:jc w:val="center"/>
              <w:rPr>
                <w:rFonts w:eastAsia="Times New Roman"/>
              </w:rPr>
            </w:pPr>
            <w:r>
              <w:rPr>
                <w:rFonts w:eastAsia="Times New Roman"/>
                <w:b/>
                <w:bCs/>
                <w:color w:val="000000"/>
                <w:sz w:val="16"/>
                <w:szCs w:val="16"/>
              </w:rPr>
              <w:t>Gross Balance Reduction</w:t>
            </w:r>
          </w:p>
        </w:tc>
      </w:tr>
      <w:tr w:rsidR="00000000" w14:paraId="34F543BD" w14:textId="77777777">
        <w:trPr>
          <w:divId w:val="182361552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C0DC9B0" w14:textId="77777777" w:rsidR="00000000" w:rsidRDefault="00405D16">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14:paraId="47FF37A8"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507164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ED7682"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FE82A3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A8B41D"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B12631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718B02"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DEE910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3EE0C8"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B4242A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04E7F3"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F432DD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4285C5"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612A94A" w14:textId="77777777" w:rsidR="00000000" w:rsidRDefault="00405D16">
            <w:pPr>
              <w:spacing w:after="100"/>
              <w:rPr>
                <w:rFonts w:eastAsia="Times New Roman"/>
                <w:sz w:val="20"/>
                <w:szCs w:val="20"/>
              </w:rPr>
            </w:pPr>
          </w:p>
        </w:tc>
      </w:tr>
      <w:tr w:rsidR="00000000" w14:paraId="784F61B6" w14:textId="77777777">
        <w:trPr>
          <w:divId w:val="1823615527"/>
        </w:trPr>
        <w:tc>
          <w:tcPr>
            <w:tcW w:w="0" w:type="auto"/>
            <w:gridSpan w:val="3"/>
            <w:shd w:val="clear" w:color="auto" w:fill="FFFFFF"/>
            <w:tcMar>
              <w:top w:w="30" w:type="dxa"/>
              <w:left w:w="245" w:type="dxa"/>
              <w:bottom w:w="30" w:type="dxa"/>
              <w:right w:w="20" w:type="dxa"/>
            </w:tcMar>
            <w:vAlign w:val="center"/>
            <w:hideMark/>
          </w:tcPr>
          <w:p w14:paraId="40348AEB" w14:textId="77777777" w:rsidR="00000000" w:rsidRDefault="00405D16">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14:paraId="3AC22A5F"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45E03F8D"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46F2D12D" w14:textId="77777777" w:rsidR="00000000" w:rsidRDefault="00405D16">
            <w:pPr>
              <w:spacing w:after="100"/>
              <w:jc w:val="right"/>
              <w:rPr>
                <w:rFonts w:eastAsia="Times New Roman"/>
              </w:rPr>
            </w:pPr>
            <w:r>
              <w:rPr>
                <w:rFonts w:eastAsia="Times New Roman"/>
                <w:color w:val="000000"/>
                <w:sz w:val="18"/>
                <w:szCs w:val="18"/>
              </w:rPr>
              <w:t>195 </w:t>
            </w:r>
          </w:p>
        </w:tc>
        <w:tc>
          <w:tcPr>
            <w:tcW w:w="0" w:type="auto"/>
            <w:shd w:val="clear" w:color="auto" w:fill="FFFFFF"/>
            <w:tcMar>
              <w:top w:w="30" w:type="dxa"/>
              <w:left w:w="0" w:type="dxa"/>
              <w:bottom w:w="30" w:type="dxa"/>
              <w:right w:w="20" w:type="dxa"/>
            </w:tcMar>
            <w:vAlign w:val="center"/>
            <w:hideMark/>
          </w:tcPr>
          <w:p w14:paraId="6C4F73B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17923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6522F1E" w14:textId="77777777" w:rsidR="00000000" w:rsidRDefault="00405D16">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14:paraId="19E6362B"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FB8BFCD"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DA2ED71" w14:textId="77777777" w:rsidR="00000000" w:rsidRDefault="00405D16">
            <w:pPr>
              <w:spacing w:after="100"/>
              <w:jc w:val="right"/>
              <w:rPr>
                <w:rFonts w:eastAsia="Times New Roman"/>
              </w:rPr>
            </w:pPr>
            <w:r>
              <w:rPr>
                <w:rFonts w:eastAsia="Times New Roman"/>
                <w:color w:val="000000"/>
                <w:sz w:val="18"/>
                <w:szCs w:val="18"/>
              </w:rPr>
              <w:t>15.92 </w:t>
            </w:r>
          </w:p>
        </w:tc>
        <w:tc>
          <w:tcPr>
            <w:tcW w:w="0" w:type="auto"/>
            <w:shd w:val="clear" w:color="auto" w:fill="FFFFFF"/>
            <w:tcMar>
              <w:top w:w="30" w:type="dxa"/>
              <w:left w:w="0" w:type="dxa"/>
              <w:bottom w:w="30" w:type="dxa"/>
              <w:right w:w="20" w:type="dxa"/>
            </w:tcMar>
            <w:vAlign w:val="center"/>
            <w:hideMark/>
          </w:tcPr>
          <w:p w14:paraId="4E7BFD50"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5B1CA2C"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0A5A0E0"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3D196F44"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3CE5EE5" w14:textId="77777777" w:rsidR="00000000" w:rsidRDefault="00405D16">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6F1B2CD6" w14:textId="77777777" w:rsidR="00000000" w:rsidRDefault="00405D16">
            <w:pPr>
              <w:spacing w:after="100"/>
              <w:jc w:val="right"/>
              <w:rPr>
                <w:rFonts w:eastAsia="Times New Roman"/>
              </w:rPr>
            </w:pPr>
            <w:r>
              <w:rPr>
                <w:rFonts w:eastAsia="Times New Roman"/>
                <w:color w:val="000000"/>
                <w:sz w:val="18"/>
                <w:szCs w:val="18"/>
              </w:rPr>
              <w:t>0</w:t>
            </w:r>
          </w:p>
        </w:tc>
        <w:tc>
          <w:tcPr>
            <w:tcW w:w="0" w:type="auto"/>
            <w:gridSpan w:val="3"/>
            <w:shd w:val="clear" w:color="auto" w:fill="FFFFFF"/>
            <w:tcMar>
              <w:top w:w="0" w:type="dxa"/>
              <w:left w:w="20" w:type="dxa"/>
              <w:bottom w:w="0" w:type="dxa"/>
              <w:right w:w="20" w:type="dxa"/>
            </w:tcMar>
            <w:vAlign w:val="center"/>
            <w:hideMark/>
          </w:tcPr>
          <w:p w14:paraId="0094100C"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B384B0A"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49A39EB1" w14:textId="77777777" w:rsidR="00000000" w:rsidRDefault="00405D16">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50BCC5C" w14:textId="77777777" w:rsidR="00000000" w:rsidRDefault="00405D16">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50ABBA04"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670C0810"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539E3B22" w14:textId="77777777" w:rsidR="00000000" w:rsidRDefault="00405D16">
            <w:pPr>
              <w:spacing w:after="100"/>
              <w:jc w:val="right"/>
              <w:rPr>
                <w:rFonts w:eastAsia="Times New Roman"/>
              </w:rPr>
            </w:pPr>
          </w:p>
        </w:tc>
      </w:tr>
      <w:tr w:rsidR="00000000" w14:paraId="0BF2557E" w14:textId="77777777">
        <w:trPr>
          <w:divId w:val="1823615527"/>
        </w:trPr>
        <w:tc>
          <w:tcPr>
            <w:tcW w:w="0" w:type="auto"/>
            <w:gridSpan w:val="3"/>
            <w:shd w:val="clear" w:color="auto" w:fill="CCEEFF"/>
            <w:tcMar>
              <w:top w:w="30" w:type="dxa"/>
              <w:left w:w="245" w:type="dxa"/>
              <w:bottom w:w="30" w:type="dxa"/>
              <w:right w:w="20" w:type="dxa"/>
            </w:tcMar>
            <w:vAlign w:val="center"/>
            <w:hideMark/>
          </w:tcPr>
          <w:p w14:paraId="18648592" w14:textId="77777777" w:rsidR="00000000" w:rsidRDefault="00405D16">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14:paraId="6364EEA7"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2247AD9" w14:textId="77777777" w:rsidR="00000000" w:rsidRDefault="00405D16">
            <w:pPr>
              <w:spacing w:after="100"/>
              <w:jc w:val="right"/>
              <w:rPr>
                <w:rFonts w:eastAsia="Times New Roman"/>
              </w:rPr>
            </w:pPr>
            <w:r>
              <w:rPr>
                <w:rFonts w:eastAsia="Times New Roman"/>
                <w:color w:val="000000"/>
                <w:sz w:val="18"/>
                <w:szCs w:val="18"/>
              </w:rPr>
              <w:t>118 </w:t>
            </w:r>
          </w:p>
        </w:tc>
        <w:tc>
          <w:tcPr>
            <w:tcW w:w="0" w:type="auto"/>
            <w:shd w:val="clear" w:color="auto" w:fill="CCEEFF"/>
            <w:tcMar>
              <w:top w:w="30" w:type="dxa"/>
              <w:left w:w="0" w:type="dxa"/>
              <w:bottom w:w="30" w:type="dxa"/>
              <w:right w:w="20" w:type="dxa"/>
            </w:tcMar>
            <w:vAlign w:val="center"/>
            <w:hideMark/>
          </w:tcPr>
          <w:p w14:paraId="3C89AC2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9F0FE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9326E7B" w14:textId="77777777" w:rsidR="00000000" w:rsidRDefault="00405D16">
            <w:pPr>
              <w:spacing w:after="100"/>
              <w:jc w:val="right"/>
              <w:rPr>
                <w:rFonts w:eastAsia="Times New Roman"/>
              </w:rPr>
            </w:pPr>
            <w:r>
              <w:rPr>
                <w:rFonts w:eastAsia="Times New Roman"/>
                <w:color w:val="000000"/>
                <w:sz w:val="18"/>
                <w:szCs w:val="18"/>
              </w:rPr>
              <w:t>100 </w:t>
            </w:r>
          </w:p>
        </w:tc>
        <w:tc>
          <w:tcPr>
            <w:tcW w:w="0" w:type="auto"/>
            <w:shd w:val="clear" w:color="auto" w:fill="CCEEFF"/>
            <w:tcMar>
              <w:top w:w="30" w:type="dxa"/>
              <w:left w:w="0" w:type="dxa"/>
              <w:bottom w:w="30" w:type="dxa"/>
              <w:right w:w="20" w:type="dxa"/>
            </w:tcMar>
            <w:vAlign w:val="center"/>
            <w:hideMark/>
          </w:tcPr>
          <w:p w14:paraId="7EC542C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A044F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F8325ED" w14:textId="77777777" w:rsidR="00000000" w:rsidRDefault="00405D16">
            <w:pPr>
              <w:spacing w:after="100"/>
              <w:jc w:val="right"/>
              <w:rPr>
                <w:rFonts w:eastAsia="Times New Roman"/>
              </w:rPr>
            </w:pPr>
            <w:r>
              <w:rPr>
                <w:rFonts w:eastAsia="Times New Roman"/>
                <w:color w:val="000000"/>
                <w:sz w:val="18"/>
                <w:szCs w:val="18"/>
              </w:rPr>
              <w:t>27.33 </w:t>
            </w:r>
          </w:p>
        </w:tc>
        <w:tc>
          <w:tcPr>
            <w:tcW w:w="0" w:type="auto"/>
            <w:shd w:val="clear" w:color="auto" w:fill="CCEEFF"/>
            <w:tcMar>
              <w:top w:w="30" w:type="dxa"/>
              <w:left w:w="0" w:type="dxa"/>
              <w:bottom w:w="30" w:type="dxa"/>
              <w:right w:w="20" w:type="dxa"/>
            </w:tcMar>
            <w:vAlign w:val="center"/>
            <w:hideMark/>
          </w:tcPr>
          <w:p w14:paraId="7552DFB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5D81E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94CDEF9"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0512B37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7B1713"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14:paraId="4230F4A4" w14:textId="77777777" w:rsidR="00000000" w:rsidRDefault="00405D16">
            <w:pPr>
              <w:spacing w:after="100"/>
              <w:jc w:val="right"/>
              <w:rPr>
                <w:rFonts w:eastAsia="Times New Roman"/>
              </w:rPr>
            </w:pPr>
            <w:r>
              <w:rPr>
                <w:rFonts w:eastAsia="Times New Roman"/>
                <w:color w:val="000000"/>
                <w:sz w:val="18"/>
                <w:szCs w:val="18"/>
              </w:rPr>
              <w:t>0</w:t>
            </w:r>
          </w:p>
        </w:tc>
        <w:tc>
          <w:tcPr>
            <w:tcW w:w="0" w:type="auto"/>
            <w:gridSpan w:val="3"/>
            <w:shd w:val="clear" w:color="auto" w:fill="CCEEFF"/>
            <w:tcMar>
              <w:top w:w="0" w:type="dxa"/>
              <w:left w:w="20" w:type="dxa"/>
              <w:bottom w:w="0" w:type="dxa"/>
              <w:right w:w="20" w:type="dxa"/>
            </w:tcMar>
            <w:vAlign w:val="center"/>
            <w:hideMark/>
          </w:tcPr>
          <w:p w14:paraId="6B260F04"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E1B0BAF"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5E9BFC8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33E3F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EBC7C06"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7FEEEC76" w14:textId="77777777" w:rsidR="00000000" w:rsidRDefault="00405D16">
            <w:pPr>
              <w:spacing w:after="100"/>
              <w:jc w:val="right"/>
              <w:rPr>
                <w:rFonts w:eastAsia="Times New Roman"/>
              </w:rPr>
            </w:pPr>
          </w:p>
        </w:tc>
      </w:tr>
      <w:tr w:rsidR="00000000" w14:paraId="5278956F" w14:textId="77777777">
        <w:trPr>
          <w:divId w:val="1823615527"/>
        </w:trPr>
        <w:tc>
          <w:tcPr>
            <w:tcW w:w="0" w:type="auto"/>
            <w:gridSpan w:val="3"/>
            <w:shd w:val="clear" w:color="auto" w:fill="FFFFFF"/>
            <w:tcMar>
              <w:top w:w="30" w:type="dxa"/>
              <w:left w:w="20" w:type="dxa"/>
              <w:bottom w:w="30" w:type="dxa"/>
              <w:right w:w="20" w:type="dxa"/>
            </w:tcMar>
            <w:vAlign w:val="center"/>
            <w:hideMark/>
          </w:tcPr>
          <w:p w14:paraId="6AC68888" w14:textId="77777777" w:rsidR="00000000" w:rsidRDefault="00405D16">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14:paraId="5D70A75D"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5D19298" w14:textId="77777777" w:rsidR="00000000" w:rsidRDefault="00405D16">
            <w:pPr>
              <w:spacing w:after="100"/>
              <w:jc w:val="right"/>
              <w:rPr>
                <w:rFonts w:eastAsia="Times New Roman"/>
              </w:rPr>
            </w:pPr>
            <w:r>
              <w:rPr>
                <w:rFonts w:eastAsia="Times New Roman"/>
                <w:color w:val="000000"/>
                <w:sz w:val="18"/>
                <w:szCs w:val="18"/>
              </w:rPr>
              <w:t>313 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3F1BC1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C8B2C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D7ED3D6" w14:textId="77777777" w:rsidR="00000000" w:rsidRDefault="00405D16">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14:paraId="259168E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72F7B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395A9A8" w14:textId="77777777" w:rsidR="00000000" w:rsidRDefault="00405D16">
            <w:pPr>
              <w:spacing w:after="100"/>
              <w:jc w:val="right"/>
              <w:rPr>
                <w:rFonts w:eastAsia="Times New Roman"/>
              </w:rPr>
            </w:pPr>
            <w:r>
              <w:rPr>
                <w:rFonts w:eastAsia="Times New Roman"/>
                <w:color w:val="000000"/>
                <w:sz w:val="18"/>
                <w:szCs w:val="18"/>
              </w:rPr>
              <w:t>20.22 </w:t>
            </w:r>
          </w:p>
        </w:tc>
        <w:tc>
          <w:tcPr>
            <w:tcW w:w="0" w:type="auto"/>
            <w:shd w:val="clear" w:color="auto" w:fill="FFFFFF"/>
            <w:tcMar>
              <w:top w:w="30" w:type="dxa"/>
              <w:left w:w="0" w:type="dxa"/>
              <w:bottom w:w="30" w:type="dxa"/>
              <w:right w:w="20" w:type="dxa"/>
            </w:tcMar>
            <w:vAlign w:val="center"/>
            <w:hideMark/>
          </w:tcPr>
          <w:p w14:paraId="6F9A4FC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F32C2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4F2C50A"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307DF2C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D80745"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7C9BE4BD" w14:textId="77777777" w:rsidR="00000000" w:rsidRDefault="00405D16">
            <w:pPr>
              <w:spacing w:after="100"/>
              <w:jc w:val="right"/>
              <w:rPr>
                <w:rFonts w:eastAsia="Times New Roman"/>
              </w:rPr>
            </w:pPr>
            <w:r>
              <w:rPr>
                <w:rFonts w:eastAsia="Times New Roman"/>
                <w:color w:val="000000"/>
                <w:sz w:val="18"/>
                <w:szCs w:val="18"/>
              </w:rPr>
              <w:t>0</w:t>
            </w:r>
          </w:p>
        </w:tc>
        <w:tc>
          <w:tcPr>
            <w:tcW w:w="0" w:type="auto"/>
            <w:gridSpan w:val="3"/>
            <w:shd w:val="clear" w:color="auto" w:fill="FFFFFF"/>
            <w:tcMar>
              <w:top w:w="0" w:type="dxa"/>
              <w:left w:w="20" w:type="dxa"/>
              <w:bottom w:w="0" w:type="dxa"/>
              <w:right w:w="20" w:type="dxa"/>
            </w:tcMar>
            <w:vAlign w:val="center"/>
            <w:hideMark/>
          </w:tcPr>
          <w:p w14:paraId="03A31E79"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3D4CC85"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35B6C58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C3F919"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C380AFF" w14:textId="77777777" w:rsidR="00000000" w:rsidRDefault="00405D16">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D0ACD73" w14:textId="77777777" w:rsidR="00000000" w:rsidRDefault="00405D16">
            <w:pPr>
              <w:spacing w:after="100"/>
              <w:jc w:val="right"/>
              <w:rPr>
                <w:rFonts w:eastAsia="Times New Roman"/>
              </w:rPr>
            </w:pPr>
          </w:p>
        </w:tc>
      </w:tr>
      <w:tr w:rsidR="00000000" w14:paraId="0001AAA3" w14:textId="77777777">
        <w:trPr>
          <w:divId w:val="1823615527"/>
        </w:trPr>
        <w:tc>
          <w:tcPr>
            <w:tcW w:w="0" w:type="auto"/>
            <w:gridSpan w:val="3"/>
            <w:shd w:val="clear" w:color="auto" w:fill="CCEEFF"/>
            <w:tcMar>
              <w:top w:w="30" w:type="dxa"/>
              <w:left w:w="20" w:type="dxa"/>
              <w:bottom w:w="30" w:type="dxa"/>
              <w:right w:w="20" w:type="dxa"/>
            </w:tcMar>
            <w:vAlign w:val="center"/>
            <w:hideMark/>
          </w:tcPr>
          <w:p w14:paraId="7709A973" w14:textId="77777777" w:rsidR="00000000" w:rsidRDefault="00405D16">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14:paraId="48B690B8"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EDACB1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AD3E6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40504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54C9F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D4496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11550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F8C2F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5D5A0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526FA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92B96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DF8CF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2EE24E"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CAC7B43" w14:textId="77777777" w:rsidR="00000000" w:rsidRDefault="00405D16">
            <w:pPr>
              <w:spacing w:after="100"/>
              <w:rPr>
                <w:rFonts w:eastAsia="Times New Roman"/>
                <w:sz w:val="20"/>
                <w:szCs w:val="20"/>
              </w:rPr>
            </w:pPr>
          </w:p>
        </w:tc>
      </w:tr>
      <w:tr w:rsidR="00000000" w14:paraId="36155BD2" w14:textId="77777777">
        <w:trPr>
          <w:divId w:val="1823615527"/>
        </w:trPr>
        <w:tc>
          <w:tcPr>
            <w:tcW w:w="0" w:type="auto"/>
            <w:gridSpan w:val="3"/>
            <w:shd w:val="clear" w:color="auto" w:fill="FFFFFF"/>
            <w:tcMar>
              <w:top w:w="30" w:type="dxa"/>
              <w:left w:w="245" w:type="dxa"/>
              <w:bottom w:w="30" w:type="dxa"/>
              <w:right w:w="20" w:type="dxa"/>
            </w:tcMar>
            <w:vAlign w:val="center"/>
            <w:hideMark/>
          </w:tcPr>
          <w:p w14:paraId="5AFBD4E7" w14:textId="77777777" w:rsidR="00000000" w:rsidRDefault="00405D16">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14:paraId="0A2389C6"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06928D4" w14:textId="77777777" w:rsidR="00000000" w:rsidRDefault="00405D16">
            <w:pPr>
              <w:spacing w:after="100"/>
              <w:jc w:val="right"/>
              <w:rPr>
                <w:rFonts w:eastAsia="Times New Roman"/>
              </w:rPr>
            </w:pPr>
            <w:r>
              <w:rPr>
                <w:rFonts w:eastAsia="Times New Roman"/>
                <w:color w:val="000000"/>
                <w:sz w:val="18"/>
                <w:szCs w:val="18"/>
              </w:rPr>
              <w:t>393 </w:t>
            </w:r>
          </w:p>
        </w:tc>
        <w:tc>
          <w:tcPr>
            <w:tcW w:w="0" w:type="auto"/>
            <w:shd w:val="clear" w:color="auto" w:fill="FFFFFF"/>
            <w:tcMar>
              <w:top w:w="30" w:type="dxa"/>
              <w:left w:w="0" w:type="dxa"/>
              <w:bottom w:w="30" w:type="dxa"/>
              <w:right w:w="20" w:type="dxa"/>
            </w:tcMar>
            <w:vAlign w:val="center"/>
            <w:hideMark/>
          </w:tcPr>
          <w:p w14:paraId="2D5013D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15521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0FAAD98" w14:textId="77777777" w:rsidR="00000000" w:rsidRDefault="00405D16">
            <w:pPr>
              <w:spacing w:after="100"/>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center"/>
            <w:hideMark/>
          </w:tcPr>
          <w:p w14:paraId="5BE2827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B354B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9C5A947" w14:textId="77777777" w:rsidR="00000000" w:rsidRDefault="00405D16">
            <w:pPr>
              <w:spacing w:after="100"/>
              <w:jc w:val="right"/>
              <w:rPr>
                <w:rFonts w:eastAsia="Times New Roman"/>
              </w:rPr>
            </w:pPr>
            <w:r>
              <w:rPr>
                <w:rFonts w:eastAsia="Times New Roman"/>
                <w:color w:val="000000"/>
                <w:sz w:val="18"/>
                <w:szCs w:val="18"/>
              </w:rPr>
              <w:t>3.68 </w:t>
            </w:r>
          </w:p>
        </w:tc>
        <w:tc>
          <w:tcPr>
            <w:tcW w:w="0" w:type="auto"/>
            <w:shd w:val="clear" w:color="auto" w:fill="FFFFFF"/>
            <w:tcMar>
              <w:top w:w="30" w:type="dxa"/>
              <w:left w:w="0" w:type="dxa"/>
              <w:bottom w:w="30" w:type="dxa"/>
              <w:right w:w="20" w:type="dxa"/>
            </w:tcMar>
            <w:vAlign w:val="center"/>
            <w:hideMark/>
          </w:tcPr>
          <w:p w14:paraId="3EFBD67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60877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83A15C8" w14:textId="77777777" w:rsidR="00000000" w:rsidRDefault="00405D16">
            <w:pPr>
              <w:spacing w:after="100"/>
              <w:jc w:val="right"/>
              <w:rPr>
                <w:rFonts w:eastAsia="Times New Roman"/>
              </w:rPr>
            </w:pPr>
            <w:r>
              <w:rPr>
                <w:rFonts w:eastAsia="Times New Roman"/>
                <w:color w:val="000000"/>
                <w:sz w:val="18"/>
                <w:szCs w:val="18"/>
              </w:rPr>
              <w:t>95 </w:t>
            </w:r>
          </w:p>
        </w:tc>
        <w:tc>
          <w:tcPr>
            <w:tcW w:w="0" w:type="auto"/>
            <w:shd w:val="clear" w:color="auto" w:fill="FFFFFF"/>
            <w:tcMar>
              <w:top w:w="30" w:type="dxa"/>
              <w:left w:w="0" w:type="dxa"/>
              <w:bottom w:w="30" w:type="dxa"/>
              <w:right w:w="20" w:type="dxa"/>
            </w:tcMar>
            <w:vAlign w:val="center"/>
            <w:hideMark/>
          </w:tcPr>
          <w:p w14:paraId="276277E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9F392F"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02616624" w14:textId="77777777" w:rsidR="00000000" w:rsidRDefault="00405D16">
            <w:pPr>
              <w:spacing w:after="100"/>
              <w:jc w:val="right"/>
              <w:rPr>
                <w:rFonts w:eastAsia="Times New Roman"/>
              </w:rPr>
            </w:pPr>
            <w:r>
              <w:rPr>
                <w:rFonts w:eastAsia="Times New Roman"/>
                <w:color w:val="000000"/>
                <w:sz w:val="18"/>
                <w:szCs w:val="18"/>
              </w:rPr>
              <w:t>3</w:t>
            </w:r>
          </w:p>
        </w:tc>
        <w:tc>
          <w:tcPr>
            <w:tcW w:w="0" w:type="auto"/>
            <w:gridSpan w:val="3"/>
            <w:shd w:val="clear" w:color="auto" w:fill="FFFFFF"/>
            <w:tcMar>
              <w:top w:w="0" w:type="dxa"/>
              <w:left w:w="20" w:type="dxa"/>
              <w:bottom w:w="0" w:type="dxa"/>
              <w:right w:w="20" w:type="dxa"/>
            </w:tcMar>
            <w:vAlign w:val="center"/>
            <w:hideMark/>
          </w:tcPr>
          <w:p w14:paraId="6D98310B"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29E5529"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0F35A82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8020E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67C2F9E" w14:textId="77777777" w:rsidR="00000000" w:rsidRDefault="00405D16">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14:paraId="653B7C1D" w14:textId="77777777" w:rsidR="00000000" w:rsidRDefault="00405D16">
            <w:pPr>
              <w:spacing w:after="100"/>
              <w:jc w:val="right"/>
              <w:rPr>
                <w:rFonts w:eastAsia="Times New Roman"/>
              </w:rPr>
            </w:pPr>
          </w:p>
        </w:tc>
      </w:tr>
      <w:tr w:rsidR="00000000" w14:paraId="698A0185" w14:textId="77777777">
        <w:trPr>
          <w:divId w:val="1823615527"/>
        </w:trPr>
        <w:tc>
          <w:tcPr>
            <w:tcW w:w="0" w:type="auto"/>
            <w:gridSpan w:val="3"/>
            <w:shd w:val="clear" w:color="auto" w:fill="CCEEFF"/>
            <w:tcMar>
              <w:top w:w="30" w:type="dxa"/>
              <w:left w:w="245" w:type="dxa"/>
              <w:bottom w:w="30" w:type="dxa"/>
              <w:right w:w="20" w:type="dxa"/>
            </w:tcMar>
            <w:vAlign w:val="center"/>
            <w:hideMark/>
          </w:tcPr>
          <w:p w14:paraId="6C7067B8" w14:textId="77777777" w:rsidR="00000000" w:rsidRDefault="00405D16">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14:paraId="2F47F548"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699934F" w14:textId="77777777" w:rsidR="00000000" w:rsidRDefault="00405D16">
            <w:pPr>
              <w:spacing w:after="100"/>
              <w:jc w:val="right"/>
              <w:rPr>
                <w:rFonts w:eastAsia="Times New Roman"/>
              </w:rPr>
            </w:pPr>
            <w:r>
              <w:rPr>
                <w:rFonts w:eastAsia="Times New Roman"/>
                <w:color w:val="000000"/>
                <w:sz w:val="18"/>
                <w:szCs w:val="18"/>
              </w:rPr>
              <w:t>5 </w:t>
            </w:r>
          </w:p>
        </w:tc>
        <w:tc>
          <w:tcPr>
            <w:tcW w:w="0" w:type="auto"/>
            <w:shd w:val="clear" w:color="auto" w:fill="CCEEFF"/>
            <w:tcMar>
              <w:top w:w="30" w:type="dxa"/>
              <w:left w:w="0" w:type="dxa"/>
              <w:bottom w:w="30" w:type="dxa"/>
              <w:right w:w="20" w:type="dxa"/>
            </w:tcMar>
            <w:vAlign w:val="center"/>
            <w:hideMark/>
          </w:tcPr>
          <w:p w14:paraId="7CB53AD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9EBE0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7ED7C8C" w14:textId="77777777" w:rsidR="00000000" w:rsidRDefault="00405D16">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center"/>
            <w:hideMark/>
          </w:tcPr>
          <w:p w14:paraId="0CCFC47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B0557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CCB2FA4" w14:textId="77777777" w:rsidR="00000000" w:rsidRDefault="00405D16">
            <w:pPr>
              <w:spacing w:after="100"/>
              <w:jc w:val="right"/>
              <w:rPr>
                <w:rFonts w:eastAsia="Times New Roman"/>
              </w:rPr>
            </w:pPr>
            <w:r>
              <w:rPr>
                <w:rFonts w:eastAsia="Times New Roman"/>
                <w:color w:val="000000"/>
                <w:sz w:val="18"/>
                <w:szCs w:val="18"/>
              </w:rPr>
              <w:t>10.85 </w:t>
            </w:r>
          </w:p>
        </w:tc>
        <w:tc>
          <w:tcPr>
            <w:tcW w:w="0" w:type="auto"/>
            <w:shd w:val="clear" w:color="auto" w:fill="CCEEFF"/>
            <w:tcMar>
              <w:top w:w="30" w:type="dxa"/>
              <w:left w:w="0" w:type="dxa"/>
              <w:bottom w:w="30" w:type="dxa"/>
              <w:right w:w="20" w:type="dxa"/>
            </w:tcMar>
            <w:vAlign w:val="center"/>
            <w:hideMark/>
          </w:tcPr>
          <w:p w14:paraId="39EF5AA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759BB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0E3E6FD" w14:textId="77777777" w:rsidR="00000000" w:rsidRDefault="00405D16">
            <w:pPr>
              <w:spacing w:after="100"/>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center"/>
            <w:hideMark/>
          </w:tcPr>
          <w:p w14:paraId="72216F7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BF3115"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14:paraId="4CCAB34B" w14:textId="77777777" w:rsidR="00000000" w:rsidRDefault="00405D16">
            <w:pPr>
              <w:spacing w:after="100"/>
              <w:jc w:val="right"/>
              <w:rPr>
                <w:rFonts w:eastAsia="Times New Roman"/>
              </w:rPr>
            </w:pPr>
            <w:r>
              <w:rPr>
                <w:rFonts w:eastAsia="Times New Roman"/>
                <w:color w:val="000000"/>
                <w:sz w:val="18"/>
                <w:szCs w:val="18"/>
              </w:rPr>
              <w:t>8</w:t>
            </w:r>
          </w:p>
        </w:tc>
        <w:tc>
          <w:tcPr>
            <w:tcW w:w="0" w:type="auto"/>
            <w:gridSpan w:val="3"/>
            <w:shd w:val="clear" w:color="auto" w:fill="CCEEFF"/>
            <w:tcMar>
              <w:top w:w="0" w:type="dxa"/>
              <w:left w:w="20" w:type="dxa"/>
              <w:bottom w:w="0" w:type="dxa"/>
              <w:right w:w="20" w:type="dxa"/>
            </w:tcMar>
            <w:vAlign w:val="center"/>
            <w:hideMark/>
          </w:tcPr>
          <w:p w14:paraId="174D14B9"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320B3D5"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189FB5D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0ED8B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E9BA689"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4450C45D" w14:textId="77777777" w:rsidR="00000000" w:rsidRDefault="00405D16">
            <w:pPr>
              <w:spacing w:after="100"/>
              <w:jc w:val="right"/>
              <w:rPr>
                <w:rFonts w:eastAsia="Times New Roman"/>
              </w:rPr>
            </w:pPr>
          </w:p>
        </w:tc>
      </w:tr>
      <w:tr w:rsidR="00000000" w14:paraId="30CF7E37" w14:textId="77777777">
        <w:trPr>
          <w:divId w:val="1823615527"/>
        </w:trPr>
        <w:tc>
          <w:tcPr>
            <w:tcW w:w="0" w:type="auto"/>
            <w:gridSpan w:val="3"/>
            <w:shd w:val="clear" w:color="auto" w:fill="FFFFFF"/>
            <w:tcMar>
              <w:top w:w="30" w:type="dxa"/>
              <w:left w:w="20" w:type="dxa"/>
              <w:bottom w:w="30" w:type="dxa"/>
              <w:right w:w="20" w:type="dxa"/>
            </w:tcMar>
            <w:vAlign w:val="center"/>
            <w:hideMark/>
          </w:tcPr>
          <w:p w14:paraId="6E692E12" w14:textId="77777777" w:rsidR="00000000" w:rsidRDefault="00405D16">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14:paraId="541951D0"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A647A57" w14:textId="77777777" w:rsidR="00000000" w:rsidRDefault="00405D16">
            <w:pPr>
              <w:spacing w:after="100"/>
              <w:jc w:val="right"/>
              <w:rPr>
                <w:rFonts w:eastAsia="Times New Roman"/>
              </w:rPr>
            </w:pPr>
            <w:r>
              <w:rPr>
                <w:rFonts w:eastAsia="Times New Roman"/>
                <w:color w:val="000000"/>
                <w:sz w:val="18"/>
                <w:szCs w:val="18"/>
              </w:rPr>
              <w:t>398 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BB65D6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29432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002251A" w14:textId="77777777" w:rsidR="00000000" w:rsidRDefault="00405D16">
            <w:pPr>
              <w:spacing w:after="100"/>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center"/>
            <w:hideMark/>
          </w:tcPr>
          <w:p w14:paraId="4D5652E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B7367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6B074AE" w14:textId="77777777" w:rsidR="00000000" w:rsidRDefault="00405D16">
            <w:pPr>
              <w:spacing w:after="100"/>
              <w:jc w:val="right"/>
              <w:rPr>
                <w:rFonts w:eastAsia="Times New Roman"/>
              </w:rPr>
            </w:pPr>
            <w:r>
              <w:rPr>
                <w:rFonts w:eastAsia="Times New Roman"/>
                <w:color w:val="000000"/>
                <w:sz w:val="18"/>
                <w:szCs w:val="18"/>
              </w:rPr>
              <w:t>3.76 </w:t>
            </w:r>
          </w:p>
        </w:tc>
        <w:tc>
          <w:tcPr>
            <w:tcW w:w="0" w:type="auto"/>
            <w:shd w:val="clear" w:color="auto" w:fill="FFFFFF"/>
            <w:tcMar>
              <w:top w:w="30" w:type="dxa"/>
              <w:left w:w="0" w:type="dxa"/>
              <w:bottom w:w="30" w:type="dxa"/>
              <w:right w:w="20" w:type="dxa"/>
            </w:tcMar>
            <w:vAlign w:val="center"/>
            <w:hideMark/>
          </w:tcPr>
          <w:p w14:paraId="5A78F2B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03C5C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4C7035D" w14:textId="77777777" w:rsidR="00000000" w:rsidRDefault="00405D16">
            <w:pPr>
              <w:spacing w:after="100"/>
              <w:jc w:val="right"/>
              <w:rPr>
                <w:rFonts w:eastAsia="Times New Roman"/>
              </w:rPr>
            </w:pPr>
            <w:r>
              <w:rPr>
                <w:rFonts w:eastAsia="Times New Roman"/>
                <w:color w:val="000000"/>
                <w:sz w:val="18"/>
                <w:szCs w:val="18"/>
              </w:rPr>
              <w:t>94 </w:t>
            </w:r>
          </w:p>
        </w:tc>
        <w:tc>
          <w:tcPr>
            <w:tcW w:w="0" w:type="auto"/>
            <w:shd w:val="clear" w:color="auto" w:fill="FFFFFF"/>
            <w:tcMar>
              <w:top w:w="30" w:type="dxa"/>
              <w:left w:w="0" w:type="dxa"/>
              <w:bottom w:w="30" w:type="dxa"/>
              <w:right w:w="20" w:type="dxa"/>
            </w:tcMar>
            <w:vAlign w:val="center"/>
            <w:hideMark/>
          </w:tcPr>
          <w:p w14:paraId="21D8D6B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B2BCDF"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620470EE" w14:textId="77777777" w:rsidR="00000000" w:rsidRDefault="00405D16">
            <w:pPr>
              <w:spacing w:after="100"/>
              <w:jc w:val="right"/>
              <w:rPr>
                <w:rFonts w:eastAsia="Times New Roman"/>
              </w:rPr>
            </w:pPr>
            <w:r>
              <w:rPr>
                <w:rFonts w:eastAsia="Times New Roman"/>
                <w:color w:val="000000"/>
                <w:sz w:val="18"/>
                <w:szCs w:val="18"/>
              </w:rPr>
              <w:t>3</w:t>
            </w:r>
          </w:p>
        </w:tc>
        <w:tc>
          <w:tcPr>
            <w:tcW w:w="0" w:type="auto"/>
            <w:gridSpan w:val="3"/>
            <w:shd w:val="clear" w:color="auto" w:fill="FFFFFF"/>
            <w:tcMar>
              <w:top w:w="0" w:type="dxa"/>
              <w:left w:w="20" w:type="dxa"/>
              <w:bottom w:w="0" w:type="dxa"/>
              <w:right w:w="20" w:type="dxa"/>
            </w:tcMar>
            <w:vAlign w:val="center"/>
            <w:hideMark/>
          </w:tcPr>
          <w:p w14:paraId="5F6D43F5"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DD5049D"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701EE97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EFE3A1"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9FC907F" w14:textId="77777777" w:rsidR="00000000" w:rsidRDefault="00405D16">
            <w:pPr>
              <w:spacing w:after="100"/>
              <w:jc w:val="right"/>
              <w:rPr>
                <w:rFonts w:eastAsia="Times New Roman"/>
              </w:rPr>
            </w:pPr>
            <w:r>
              <w:rPr>
                <w:rFonts w:eastAsia="Times New Roman"/>
                <w:color w:val="000000"/>
                <w:sz w:val="18"/>
                <w:szCs w:val="18"/>
              </w:rPr>
              <w:t>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9403F76" w14:textId="77777777" w:rsidR="00000000" w:rsidRDefault="00405D16">
            <w:pPr>
              <w:spacing w:after="100"/>
              <w:jc w:val="right"/>
              <w:rPr>
                <w:rFonts w:eastAsia="Times New Roman"/>
              </w:rPr>
            </w:pPr>
          </w:p>
        </w:tc>
      </w:tr>
      <w:tr w:rsidR="00000000" w14:paraId="16FE0BE1" w14:textId="77777777">
        <w:trPr>
          <w:divId w:val="1823615527"/>
        </w:trPr>
        <w:tc>
          <w:tcPr>
            <w:tcW w:w="0" w:type="auto"/>
            <w:gridSpan w:val="3"/>
            <w:shd w:val="clear" w:color="auto" w:fill="CCEEFF"/>
            <w:tcMar>
              <w:top w:w="30" w:type="dxa"/>
              <w:left w:w="20" w:type="dxa"/>
              <w:bottom w:w="30" w:type="dxa"/>
              <w:right w:w="20" w:type="dxa"/>
            </w:tcMar>
            <w:vAlign w:val="center"/>
            <w:hideMark/>
          </w:tcPr>
          <w:p w14:paraId="2329D0A2" w14:textId="77777777" w:rsidR="00000000" w:rsidRDefault="00405D16">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14:paraId="1635A9BA"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3BCF40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E97D0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6DD43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7288E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FA36B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120AF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3C2CB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8CCAD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4E69D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3ECE0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7368B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8523D4"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DBC2C58" w14:textId="77777777" w:rsidR="00000000" w:rsidRDefault="00405D16">
            <w:pPr>
              <w:spacing w:after="100"/>
              <w:rPr>
                <w:rFonts w:eastAsia="Times New Roman"/>
                <w:sz w:val="20"/>
                <w:szCs w:val="20"/>
              </w:rPr>
            </w:pPr>
          </w:p>
        </w:tc>
      </w:tr>
      <w:tr w:rsidR="00000000" w14:paraId="4125E5F8" w14:textId="77777777">
        <w:trPr>
          <w:divId w:val="1823615527"/>
        </w:trPr>
        <w:tc>
          <w:tcPr>
            <w:tcW w:w="0" w:type="auto"/>
            <w:gridSpan w:val="3"/>
            <w:shd w:val="clear" w:color="auto" w:fill="FFFFFF"/>
            <w:tcMar>
              <w:top w:w="30" w:type="dxa"/>
              <w:left w:w="245" w:type="dxa"/>
              <w:bottom w:w="30" w:type="dxa"/>
              <w:right w:w="20" w:type="dxa"/>
            </w:tcMar>
            <w:vAlign w:val="center"/>
            <w:hideMark/>
          </w:tcPr>
          <w:p w14:paraId="2B1A7D66" w14:textId="77777777" w:rsidR="00000000" w:rsidRDefault="00405D16">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14:paraId="3249708C"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66F7111" w14:textId="77777777" w:rsidR="00000000" w:rsidRDefault="00405D16">
            <w:pPr>
              <w:spacing w:after="100"/>
              <w:jc w:val="right"/>
              <w:rPr>
                <w:rFonts w:eastAsia="Times New Roman"/>
              </w:rPr>
            </w:pPr>
            <w:r>
              <w:rPr>
                <w:rFonts w:eastAsia="Times New Roman"/>
                <w:color w:val="000000"/>
                <w:sz w:val="18"/>
                <w:szCs w:val="18"/>
              </w:rPr>
              <w:t>85 </w:t>
            </w:r>
          </w:p>
        </w:tc>
        <w:tc>
          <w:tcPr>
            <w:tcW w:w="0" w:type="auto"/>
            <w:shd w:val="clear" w:color="auto" w:fill="FFFFFF"/>
            <w:tcMar>
              <w:top w:w="30" w:type="dxa"/>
              <w:left w:w="0" w:type="dxa"/>
              <w:bottom w:w="30" w:type="dxa"/>
              <w:right w:w="20" w:type="dxa"/>
            </w:tcMar>
            <w:vAlign w:val="center"/>
            <w:hideMark/>
          </w:tcPr>
          <w:p w14:paraId="3C517A9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D8851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97595F9"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6F073F2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0EC93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64AC542" w14:textId="77777777" w:rsidR="00000000" w:rsidRDefault="00405D16">
            <w:pPr>
              <w:spacing w:after="100"/>
              <w:jc w:val="right"/>
              <w:rPr>
                <w:rFonts w:eastAsia="Times New Roman"/>
              </w:rPr>
            </w:pPr>
            <w:r>
              <w:rPr>
                <w:rFonts w:eastAsia="Times New Roman"/>
                <w:color w:val="000000"/>
                <w:sz w:val="18"/>
                <w:szCs w:val="18"/>
              </w:rPr>
              <w:t>0.00 </w:t>
            </w:r>
          </w:p>
        </w:tc>
        <w:tc>
          <w:tcPr>
            <w:tcW w:w="0" w:type="auto"/>
            <w:shd w:val="clear" w:color="auto" w:fill="FFFFFF"/>
            <w:tcMar>
              <w:top w:w="30" w:type="dxa"/>
              <w:left w:w="0" w:type="dxa"/>
              <w:bottom w:w="30" w:type="dxa"/>
              <w:right w:w="20" w:type="dxa"/>
            </w:tcMar>
            <w:vAlign w:val="center"/>
            <w:hideMark/>
          </w:tcPr>
          <w:p w14:paraId="3D7E533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4C11F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B5A2386" w14:textId="77777777" w:rsidR="00000000" w:rsidRDefault="00405D16">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14:paraId="3C1189A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DA611A"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5FCBD3F9" w14:textId="77777777" w:rsidR="00000000" w:rsidRDefault="00405D16">
            <w:pPr>
              <w:spacing w:after="100"/>
              <w:jc w:val="right"/>
              <w:rPr>
                <w:rFonts w:eastAsia="Times New Roman"/>
              </w:rPr>
            </w:pPr>
            <w:r>
              <w:rPr>
                <w:rFonts w:eastAsia="Times New Roman"/>
                <w:color w:val="000000"/>
                <w:sz w:val="18"/>
                <w:szCs w:val="18"/>
              </w:rPr>
              <w:t>6</w:t>
            </w:r>
          </w:p>
        </w:tc>
        <w:tc>
          <w:tcPr>
            <w:tcW w:w="0" w:type="auto"/>
            <w:gridSpan w:val="3"/>
            <w:shd w:val="clear" w:color="auto" w:fill="FFFFFF"/>
            <w:tcMar>
              <w:top w:w="0" w:type="dxa"/>
              <w:left w:w="20" w:type="dxa"/>
              <w:bottom w:w="0" w:type="dxa"/>
              <w:right w:w="20" w:type="dxa"/>
            </w:tcMar>
            <w:vAlign w:val="center"/>
            <w:hideMark/>
          </w:tcPr>
          <w:p w14:paraId="298FD3C5"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DBBFE04"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000CA3F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FA08C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62F84ED"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580B3610" w14:textId="77777777" w:rsidR="00000000" w:rsidRDefault="00405D16">
            <w:pPr>
              <w:spacing w:after="100"/>
              <w:jc w:val="right"/>
              <w:rPr>
                <w:rFonts w:eastAsia="Times New Roman"/>
              </w:rPr>
            </w:pPr>
          </w:p>
        </w:tc>
      </w:tr>
      <w:tr w:rsidR="00000000" w14:paraId="7E6F355D" w14:textId="77777777">
        <w:trPr>
          <w:divId w:val="1823615527"/>
        </w:trPr>
        <w:tc>
          <w:tcPr>
            <w:tcW w:w="0" w:type="auto"/>
            <w:gridSpan w:val="3"/>
            <w:shd w:val="clear" w:color="auto" w:fill="CCEEFF"/>
            <w:tcMar>
              <w:top w:w="30" w:type="dxa"/>
              <w:left w:w="245" w:type="dxa"/>
              <w:bottom w:w="30" w:type="dxa"/>
              <w:right w:w="20" w:type="dxa"/>
            </w:tcMar>
            <w:vAlign w:val="center"/>
            <w:hideMark/>
          </w:tcPr>
          <w:p w14:paraId="65F432FC" w14:textId="77777777" w:rsidR="00000000" w:rsidRDefault="00405D16">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14:paraId="6454C9DB"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3D0CE5F" w14:textId="77777777" w:rsidR="00000000" w:rsidRDefault="00405D16">
            <w:pPr>
              <w:spacing w:after="100"/>
              <w:jc w:val="right"/>
              <w:rPr>
                <w:rFonts w:eastAsia="Times New Roman"/>
              </w:rPr>
            </w:pPr>
            <w:r>
              <w:rPr>
                <w:rFonts w:eastAsia="Times New Roman"/>
                <w:color w:val="000000"/>
                <w:sz w:val="18"/>
                <w:szCs w:val="18"/>
              </w:rPr>
              <w:t>389 </w:t>
            </w:r>
          </w:p>
        </w:tc>
        <w:tc>
          <w:tcPr>
            <w:tcW w:w="0" w:type="auto"/>
            <w:shd w:val="clear" w:color="auto" w:fill="CCEEFF"/>
            <w:tcMar>
              <w:top w:w="30" w:type="dxa"/>
              <w:left w:w="0" w:type="dxa"/>
              <w:bottom w:w="30" w:type="dxa"/>
              <w:right w:w="20" w:type="dxa"/>
            </w:tcMar>
            <w:vAlign w:val="center"/>
            <w:hideMark/>
          </w:tcPr>
          <w:p w14:paraId="1C89D70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09CF3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65FAEB2"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7FBDDF9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36B60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7F16023" w14:textId="77777777" w:rsidR="00000000" w:rsidRDefault="00405D16">
            <w:pPr>
              <w:spacing w:after="100"/>
              <w:jc w:val="right"/>
              <w:rPr>
                <w:rFonts w:eastAsia="Times New Roman"/>
              </w:rPr>
            </w:pPr>
            <w:r>
              <w:rPr>
                <w:rFonts w:eastAsia="Times New Roman"/>
                <w:color w:val="000000"/>
                <w:sz w:val="18"/>
                <w:szCs w:val="18"/>
              </w:rPr>
              <w:t>0.00 </w:t>
            </w:r>
          </w:p>
        </w:tc>
        <w:tc>
          <w:tcPr>
            <w:tcW w:w="0" w:type="auto"/>
            <w:shd w:val="clear" w:color="auto" w:fill="CCEEFF"/>
            <w:tcMar>
              <w:top w:w="30" w:type="dxa"/>
              <w:left w:w="0" w:type="dxa"/>
              <w:bottom w:w="30" w:type="dxa"/>
              <w:right w:w="20" w:type="dxa"/>
            </w:tcMar>
            <w:vAlign w:val="center"/>
            <w:hideMark/>
          </w:tcPr>
          <w:p w14:paraId="020210C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49A7A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8B0E4CB" w14:textId="77777777" w:rsidR="00000000" w:rsidRDefault="00405D16">
            <w:pPr>
              <w:spacing w:after="100"/>
              <w:jc w:val="right"/>
              <w:rPr>
                <w:rFonts w:eastAsia="Times New Roman"/>
              </w:rPr>
            </w:pPr>
            <w:r>
              <w:rPr>
                <w:rFonts w:eastAsia="Times New Roman"/>
                <w:color w:val="000000"/>
                <w:sz w:val="18"/>
                <w:szCs w:val="18"/>
              </w:rPr>
              <w:t>52 </w:t>
            </w:r>
          </w:p>
        </w:tc>
        <w:tc>
          <w:tcPr>
            <w:tcW w:w="0" w:type="auto"/>
            <w:shd w:val="clear" w:color="auto" w:fill="CCEEFF"/>
            <w:tcMar>
              <w:top w:w="30" w:type="dxa"/>
              <w:left w:w="0" w:type="dxa"/>
              <w:bottom w:w="30" w:type="dxa"/>
              <w:right w:w="20" w:type="dxa"/>
            </w:tcMar>
            <w:vAlign w:val="center"/>
            <w:hideMark/>
          </w:tcPr>
          <w:p w14:paraId="754622A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AC3185"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14:paraId="4EF46E7E" w14:textId="77777777" w:rsidR="00000000" w:rsidRDefault="00405D16">
            <w:pPr>
              <w:spacing w:after="100"/>
              <w:jc w:val="right"/>
              <w:rPr>
                <w:rFonts w:eastAsia="Times New Roman"/>
              </w:rPr>
            </w:pPr>
            <w:r>
              <w:rPr>
                <w:rFonts w:eastAsia="Times New Roman"/>
                <w:color w:val="000000"/>
                <w:sz w:val="18"/>
                <w:szCs w:val="18"/>
              </w:rPr>
              <w:t>21</w:t>
            </w:r>
          </w:p>
        </w:tc>
        <w:tc>
          <w:tcPr>
            <w:tcW w:w="0" w:type="auto"/>
            <w:gridSpan w:val="3"/>
            <w:shd w:val="clear" w:color="auto" w:fill="CCEEFF"/>
            <w:tcMar>
              <w:top w:w="0" w:type="dxa"/>
              <w:left w:w="20" w:type="dxa"/>
              <w:bottom w:w="0" w:type="dxa"/>
              <w:right w:w="20" w:type="dxa"/>
            </w:tcMar>
            <w:vAlign w:val="center"/>
            <w:hideMark/>
          </w:tcPr>
          <w:p w14:paraId="123FB3F0"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0E6C1B3" w14:textId="77777777" w:rsidR="00000000" w:rsidRDefault="00405D16">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center"/>
            <w:hideMark/>
          </w:tcPr>
          <w:p w14:paraId="1FA1BCC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D311F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E648F50" w14:textId="77777777" w:rsidR="00000000" w:rsidRDefault="00405D16">
            <w:pPr>
              <w:spacing w:after="100"/>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center"/>
            <w:hideMark/>
          </w:tcPr>
          <w:p w14:paraId="62DAC973" w14:textId="77777777" w:rsidR="00000000" w:rsidRDefault="00405D16">
            <w:pPr>
              <w:spacing w:after="100"/>
              <w:jc w:val="right"/>
              <w:rPr>
                <w:rFonts w:eastAsia="Times New Roman"/>
              </w:rPr>
            </w:pPr>
          </w:p>
        </w:tc>
      </w:tr>
      <w:tr w:rsidR="00000000" w14:paraId="6DF80683" w14:textId="77777777">
        <w:trPr>
          <w:divId w:val="1823615527"/>
        </w:trPr>
        <w:tc>
          <w:tcPr>
            <w:tcW w:w="0" w:type="auto"/>
            <w:gridSpan w:val="3"/>
            <w:shd w:val="clear" w:color="auto" w:fill="FFFFFF"/>
            <w:tcMar>
              <w:top w:w="30" w:type="dxa"/>
              <w:left w:w="20" w:type="dxa"/>
              <w:bottom w:w="30" w:type="dxa"/>
              <w:right w:w="20" w:type="dxa"/>
            </w:tcMar>
            <w:vAlign w:val="center"/>
            <w:hideMark/>
          </w:tcPr>
          <w:p w14:paraId="0B5F22E8" w14:textId="77777777" w:rsidR="00000000" w:rsidRDefault="00405D16">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14:paraId="5BCAC3F8"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CCCE8F3" w14:textId="77777777" w:rsidR="00000000" w:rsidRDefault="00405D16">
            <w:pPr>
              <w:spacing w:after="100"/>
              <w:jc w:val="right"/>
              <w:rPr>
                <w:rFonts w:eastAsia="Times New Roman"/>
              </w:rPr>
            </w:pPr>
            <w:r>
              <w:rPr>
                <w:rFonts w:eastAsia="Times New Roman"/>
                <w:color w:val="000000"/>
                <w:sz w:val="18"/>
                <w:szCs w:val="18"/>
              </w:rPr>
              <w:t>474 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C115C5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0F3F1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0F3D030"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148686D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EF07C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809F677" w14:textId="77777777" w:rsidR="00000000" w:rsidRDefault="00405D16">
            <w:pPr>
              <w:spacing w:after="100"/>
              <w:jc w:val="right"/>
              <w:rPr>
                <w:rFonts w:eastAsia="Times New Roman"/>
              </w:rPr>
            </w:pPr>
            <w:r>
              <w:rPr>
                <w:rFonts w:eastAsia="Times New Roman"/>
                <w:color w:val="000000"/>
                <w:sz w:val="18"/>
                <w:szCs w:val="18"/>
              </w:rPr>
              <w:t>0.00 </w:t>
            </w:r>
          </w:p>
        </w:tc>
        <w:tc>
          <w:tcPr>
            <w:tcW w:w="0" w:type="auto"/>
            <w:shd w:val="clear" w:color="auto" w:fill="FFFFFF"/>
            <w:tcMar>
              <w:top w:w="30" w:type="dxa"/>
              <w:left w:w="0" w:type="dxa"/>
              <w:bottom w:w="30" w:type="dxa"/>
              <w:right w:w="20" w:type="dxa"/>
            </w:tcMar>
            <w:vAlign w:val="center"/>
            <w:hideMark/>
          </w:tcPr>
          <w:p w14:paraId="314134A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8CF90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4396027" w14:textId="77777777" w:rsidR="00000000" w:rsidRDefault="00405D16">
            <w:pPr>
              <w:spacing w:after="100"/>
              <w:jc w:val="right"/>
              <w:rPr>
                <w:rFonts w:eastAsia="Times New Roman"/>
              </w:rPr>
            </w:pPr>
            <w:r>
              <w:rPr>
                <w:rFonts w:eastAsia="Times New Roman"/>
                <w:color w:val="000000"/>
                <w:sz w:val="18"/>
                <w:szCs w:val="18"/>
              </w:rPr>
              <w:t>61 </w:t>
            </w:r>
          </w:p>
        </w:tc>
        <w:tc>
          <w:tcPr>
            <w:tcW w:w="0" w:type="auto"/>
            <w:shd w:val="clear" w:color="auto" w:fill="FFFFFF"/>
            <w:tcMar>
              <w:top w:w="30" w:type="dxa"/>
              <w:left w:w="0" w:type="dxa"/>
              <w:bottom w:w="30" w:type="dxa"/>
              <w:right w:w="20" w:type="dxa"/>
            </w:tcMar>
            <w:vAlign w:val="center"/>
            <w:hideMark/>
          </w:tcPr>
          <w:p w14:paraId="782A61E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FABB6E"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09F51CA4" w14:textId="77777777" w:rsidR="00000000" w:rsidRDefault="00405D16">
            <w:pPr>
              <w:spacing w:after="100"/>
              <w:jc w:val="right"/>
              <w:rPr>
                <w:rFonts w:eastAsia="Times New Roman"/>
              </w:rPr>
            </w:pPr>
            <w:r>
              <w:rPr>
                <w:rFonts w:eastAsia="Times New Roman"/>
                <w:color w:val="000000"/>
                <w:sz w:val="18"/>
                <w:szCs w:val="18"/>
              </w:rPr>
              <w:t>16</w:t>
            </w:r>
          </w:p>
        </w:tc>
        <w:tc>
          <w:tcPr>
            <w:tcW w:w="0" w:type="auto"/>
            <w:gridSpan w:val="3"/>
            <w:shd w:val="clear" w:color="auto" w:fill="FFFFFF"/>
            <w:tcMar>
              <w:top w:w="0" w:type="dxa"/>
              <w:left w:w="20" w:type="dxa"/>
              <w:bottom w:w="0" w:type="dxa"/>
              <w:right w:w="20" w:type="dxa"/>
            </w:tcMar>
            <w:vAlign w:val="center"/>
            <w:hideMark/>
          </w:tcPr>
          <w:p w14:paraId="1B588377"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DB83570" w14:textId="77777777" w:rsidR="00000000" w:rsidRDefault="00405D16">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center"/>
            <w:hideMark/>
          </w:tcPr>
          <w:p w14:paraId="0EE6CEE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9D0747"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E2D1CEF" w14:textId="77777777" w:rsidR="00000000" w:rsidRDefault="00405D16">
            <w:pPr>
              <w:spacing w:after="100"/>
              <w:jc w:val="right"/>
              <w:rPr>
                <w:rFonts w:eastAsia="Times New Roman"/>
              </w:rPr>
            </w:pPr>
            <w:r>
              <w:rPr>
                <w:rFonts w:eastAsia="Times New Roman"/>
                <w:color w:val="000000"/>
                <w:sz w:val="18"/>
                <w:szCs w:val="18"/>
              </w:rPr>
              <w:t>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3BBFD7A" w14:textId="77777777" w:rsidR="00000000" w:rsidRDefault="00405D16">
            <w:pPr>
              <w:spacing w:after="100"/>
              <w:jc w:val="right"/>
              <w:rPr>
                <w:rFonts w:eastAsia="Times New Roman"/>
              </w:rPr>
            </w:pPr>
          </w:p>
        </w:tc>
      </w:tr>
      <w:tr w:rsidR="00000000" w14:paraId="1E9ED181" w14:textId="77777777">
        <w:trPr>
          <w:divId w:val="1823615527"/>
        </w:trPr>
        <w:tc>
          <w:tcPr>
            <w:tcW w:w="0" w:type="auto"/>
            <w:gridSpan w:val="3"/>
            <w:shd w:val="clear" w:color="auto" w:fill="CCEEFF"/>
            <w:tcMar>
              <w:top w:w="30" w:type="dxa"/>
              <w:left w:w="20" w:type="dxa"/>
              <w:bottom w:w="30" w:type="dxa"/>
              <w:right w:w="20" w:type="dxa"/>
            </w:tcMar>
            <w:vAlign w:val="center"/>
            <w:hideMark/>
          </w:tcPr>
          <w:p w14:paraId="5F1EBD95" w14:textId="77777777" w:rsidR="00000000" w:rsidRDefault="00405D16">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395BEFD8"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70D0ED5"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AFEC14A" w14:textId="77777777" w:rsidR="00000000" w:rsidRDefault="00405D16">
            <w:pPr>
              <w:spacing w:after="100"/>
              <w:jc w:val="right"/>
              <w:rPr>
                <w:rFonts w:eastAsia="Times New Roman"/>
              </w:rPr>
            </w:pPr>
            <w:r>
              <w:rPr>
                <w:rFonts w:eastAsia="Times New Roman"/>
                <w:color w:val="000000"/>
                <w:sz w:val="18"/>
                <w:szCs w:val="18"/>
              </w:rPr>
              <w:t>1,185 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A4A31C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63E5A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26EDD89" w14:textId="77777777" w:rsidR="00000000" w:rsidRDefault="00405D16">
            <w:pPr>
              <w:spacing w:after="100"/>
              <w:jc w:val="right"/>
              <w:rPr>
                <w:rFonts w:eastAsia="Times New Roman"/>
              </w:rPr>
            </w:pPr>
            <w:r>
              <w:rPr>
                <w:rFonts w:eastAsia="Times New Roman"/>
                <w:color w:val="000000"/>
                <w:sz w:val="18"/>
                <w:szCs w:val="18"/>
              </w:rPr>
              <w:t>29 </w:t>
            </w:r>
          </w:p>
        </w:tc>
        <w:tc>
          <w:tcPr>
            <w:tcW w:w="0" w:type="auto"/>
            <w:shd w:val="clear" w:color="auto" w:fill="CCEEFF"/>
            <w:tcMar>
              <w:top w:w="30" w:type="dxa"/>
              <w:left w:w="0" w:type="dxa"/>
              <w:bottom w:w="30" w:type="dxa"/>
              <w:right w:w="20" w:type="dxa"/>
            </w:tcMar>
            <w:vAlign w:val="center"/>
            <w:hideMark/>
          </w:tcPr>
          <w:p w14:paraId="5235B9B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239A3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AE03B45" w14:textId="77777777" w:rsidR="00000000" w:rsidRDefault="00405D16">
            <w:pPr>
              <w:spacing w:after="100"/>
              <w:jc w:val="right"/>
              <w:rPr>
                <w:rFonts w:eastAsia="Times New Roman"/>
              </w:rPr>
            </w:pPr>
            <w:r>
              <w:rPr>
                <w:rFonts w:eastAsia="Times New Roman"/>
                <w:color w:val="000000"/>
                <w:sz w:val="18"/>
                <w:szCs w:val="18"/>
              </w:rPr>
              <w:t>18.49 </w:t>
            </w:r>
          </w:p>
        </w:tc>
        <w:tc>
          <w:tcPr>
            <w:tcW w:w="0" w:type="auto"/>
            <w:shd w:val="clear" w:color="auto" w:fill="CCEEFF"/>
            <w:tcMar>
              <w:top w:w="30" w:type="dxa"/>
              <w:left w:w="0" w:type="dxa"/>
              <w:bottom w:w="30" w:type="dxa"/>
              <w:right w:w="20" w:type="dxa"/>
            </w:tcMar>
            <w:vAlign w:val="center"/>
            <w:hideMark/>
          </w:tcPr>
          <w:p w14:paraId="674EB9A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362C7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354AC6C" w14:textId="77777777" w:rsidR="00000000" w:rsidRDefault="00405D16">
            <w:pPr>
              <w:spacing w:after="100"/>
              <w:jc w:val="right"/>
              <w:rPr>
                <w:rFonts w:eastAsia="Times New Roman"/>
              </w:rPr>
            </w:pPr>
            <w:r>
              <w:rPr>
                <w:rFonts w:eastAsia="Times New Roman"/>
                <w:color w:val="000000"/>
                <w:sz w:val="18"/>
                <w:szCs w:val="18"/>
              </w:rPr>
              <w:t>56 </w:t>
            </w:r>
          </w:p>
        </w:tc>
        <w:tc>
          <w:tcPr>
            <w:tcW w:w="0" w:type="auto"/>
            <w:shd w:val="clear" w:color="auto" w:fill="CCEEFF"/>
            <w:tcMar>
              <w:top w:w="30" w:type="dxa"/>
              <w:left w:w="0" w:type="dxa"/>
              <w:bottom w:w="30" w:type="dxa"/>
              <w:right w:w="20" w:type="dxa"/>
            </w:tcMar>
            <w:vAlign w:val="center"/>
            <w:hideMark/>
          </w:tcPr>
          <w:p w14:paraId="626760E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FC9A0B"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14:paraId="1FAE5D9B" w14:textId="77777777" w:rsidR="00000000" w:rsidRDefault="00405D16">
            <w:pPr>
              <w:spacing w:after="100"/>
              <w:jc w:val="right"/>
              <w:rPr>
                <w:rFonts w:eastAsia="Times New Roman"/>
              </w:rPr>
            </w:pPr>
            <w:r>
              <w:rPr>
                <w:rFonts w:eastAsia="Times New Roman"/>
                <w:color w:val="000000"/>
                <w:sz w:val="18"/>
                <w:szCs w:val="18"/>
              </w:rPr>
              <w:t>9</w:t>
            </w:r>
          </w:p>
        </w:tc>
        <w:tc>
          <w:tcPr>
            <w:tcW w:w="0" w:type="auto"/>
            <w:gridSpan w:val="3"/>
            <w:shd w:val="clear" w:color="auto" w:fill="CCEEFF"/>
            <w:tcMar>
              <w:top w:w="0" w:type="dxa"/>
              <w:left w:w="20" w:type="dxa"/>
              <w:bottom w:w="0" w:type="dxa"/>
              <w:right w:w="20" w:type="dxa"/>
            </w:tcMar>
            <w:vAlign w:val="center"/>
            <w:hideMark/>
          </w:tcPr>
          <w:p w14:paraId="7F49D354"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E3D3D6B" w14:textId="77777777" w:rsidR="00000000" w:rsidRDefault="00405D16">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14:paraId="1E6A0E1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AC12A6"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5545947"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FF1ACA4" w14:textId="77777777" w:rsidR="00000000" w:rsidRDefault="00405D16">
            <w:pPr>
              <w:spacing w:after="100"/>
              <w:jc w:val="right"/>
              <w:rPr>
                <w:rFonts w:eastAsia="Times New Roman"/>
              </w:rPr>
            </w:pPr>
            <w:r>
              <w:rPr>
                <w:rFonts w:eastAsia="Times New Roman"/>
                <w:color w:val="000000"/>
                <w:sz w:val="18"/>
                <w:szCs w:val="18"/>
              </w:rPr>
              <w:t>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5790417" w14:textId="77777777" w:rsidR="00000000" w:rsidRDefault="00405D16">
            <w:pPr>
              <w:spacing w:after="100"/>
              <w:jc w:val="right"/>
              <w:rPr>
                <w:rFonts w:eastAsia="Times New Roman"/>
              </w:rPr>
            </w:pPr>
          </w:p>
        </w:tc>
      </w:tr>
    </w:tbl>
    <w:p w14:paraId="4DD811F6" w14:textId="77777777" w:rsidR="00000000" w:rsidRDefault="00405D16">
      <w:pPr>
        <w:divId w:val="746273035"/>
        <w:rPr>
          <w:rFonts w:eastAsia="Times New Roman"/>
        </w:rPr>
      </w:pPr>
      <w:r>
        <w:rPr>
          <w:rFonts w:eastAsia="Times New Roman"/>
          <w:color w:val="000000"/>
          <w:sz w:val="20"/>
          <w:szCs w:val="20"/>
        </w:rPr>
        <w:t>__________</w:t>
      </w:r>
    </w:p>
    <w:p w14:paraId="7535EADF" w14:textId="77777777" w:rsidR="00000000" w:rsidRDefault="00405D16">
      <w:pPr>
        <w:ind w:hanging="360"/>
        <w:jc w:val="both"/>
        <w:divId w:val="6207052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Represents the amortized cost of total loans modified in TDRs at the end of the </w:t>
      </w:r>
      <w:r>
        <w:rPr>
          <w:rFonts w:eastAsia="Times New Roman"/>
          <w:color w:val="000000"/>
          <w:sz w:val="16"/>
          <w:szCs w:val="16"/>
        </w:rPr>
        <w:t>period in which they were modified. As not every modification type is included in the table above, the total percentage of TDR activity may not add up to 100%. Some loans may receive more than one type of concession as part of the modification.</w:t>
      </w:r>
    </w:p>
    <w:p w14:paraId="30806B6B" w14:textId="77777777" w:rsidR="00000000" w:rsidRDefault="00405D16">
      <w:pPr>
        <w:ind w:hanging="360"/>
        <w:jc w:val="both"/>
        <w:divId w:val="1910722394"/>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Due to multiple concessions granted to some troubled borrowers, percentages may total more than 100% for certain loan types.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215053D0" w14:textId="77777777">
        <w:trPr>
          <w:divId w:val="278529282"/>
          <w:jc w:val="center"/>
        </w:trPr>
        <w:tc>
          <w:tcPr>
            <w:tcW w:w="50" w:type="pct"/>
            <w:vAlign w:val="center"/>
            <w:hideMark/>
          </w:tcPr>
          <w:p w14:paraId="49A5ABD5" w14:textId="77777777" w:rsidR="00000000" w:rsidRDefault="00405D16">
            <w:pPr>
              <w:ind w:hanging="360"/>
              <w:jc w:val="both"/>
              <w:rPr>
                <w:rFonts w:eastAsia="Times New Roman"/>
              </w:rPr>
            </w:pPr>
          </w:p>
        </w:tc>
        <w:tc>
          <w:tcPr>
            <w:tcW w:w="1606" w:type="pct"/>
            <w:vAlign w:val="center"/>
            <w:hideMark/>
          </w:tcPr>
          <w:p w14:paraId="73BDDA8D" w14:textId="77777777" w:rsidR="00000000" w:rsidRDefault="00405D16">
            <w:pPr>
              <w:spacing w:after="100"/>
              <w:rPr>
                <w:rFonts w:eastAsia="Times New Roman"/>
                <w:sz w:val="20"/>
                <w:szCs w:val="20"/>
              </w:rPr>
            </w:pPr>
          </w:p>
        </w:tc>
        <w:tc>
          <w:tcPr>
            <w:tcW w:w="5" w:type="pct"/>
            <w:vAlign w:val="center"/>
            <w:hideMark/>
          </w:tcPr>
          <w:p w14:paraId="55763AB3" w14:textId="77777777" w:rsidR="00000000" w:rsidRDefault="00405D16">
            <w:pPr>
              <w:spacing w:after="100"/>
              <w:rPr>
                <w:rFonts w:eastAsia="Times New Roman"/>
                <w:sz w:val="20"/>
                <w:szCs w:val="20"/>
              </w:rPr>
            </w:pPr>
          </w:p>
        </w:tc>
        <w:tc>
          <w:tcPr>
            <w:tcW w:w="50" w:type="pct"/>
            <w:vAlign w:val="center"/>
            <w:hideMark/>
          </w:tcPr>
          <w:p w14:paraId="33B6B906" w14:textId="77777777" w:rsidR="00000000" w:rsidRDefault="00405D16">
            <w:pPr>
              <w:spacing w:after="100"/>
              <w:rPr>
                <w:rFonts w:eastAsia="Times New Roman"/>
                <w:sz w:val="20"/>
                <w:szCs w:val="20"/>
              </w:rPr>
            </w:pPr>
          </w:p>
        </w:tc>
        <w:tc>
          <w:tcPr>
            <w:tcW w:w="1614" w:type="pct"/>
            <w:vAlign w:val="center"/>
            <w:hideMark/>
          </w:tcPr>
          <w:p w14:paraId="03E4E669" w14:textId="77777777" w:rsidR="00000000" w:rsidRDefault="00405D16">
            <w:pPr>
              <w:spacing w:after="100"/>
              <w:rPr>
                <w:rFonts w:eastAsia="Times New Roman"/>
                <w:sz w:val="20"/>
                <w:szCs w:val="20"/>
              </w:rPr>
            </w:pPr>
          </w:p>
        </w:tc>
        <w:tc>
          <w:tcPr>
            <w:tcW w:w="5" w:type="pct"/>
            <w:vAlign w:val="center"/>
            <w:hideMark/>
          </w:tcPr>
          <w:p w14:paraId="7F680BB4" w14:textId="77777777" w:rsidR="00000000" w:rsidRDefault="00405D16">
            <w:pPr>
              <w:spacing w:after="100"/>
              <w:rPr>
                <w:rFonts w:eastAsia="Times New Roman"/>
                <w:sz w:val="20"/>
                <w:szCs w:val="20"/>
              </w:rPr>
            </w:pPr>
          </w:p>
        </w:tc>
        <w:tc>
          <w:tcPr>
            <w:tcW w:w="50" w:type="pct"/>
            <w:vAlign w:val="center"/>
            <w:hideMark/>
          </w:tcPr>
          <w:p w14:paraId="5595F61F" w14:textId="77777777" w:rsidR="00000000" w:rsidRDefault="00405D16">
            <w:pPr>
              <w:spacing w:after="100"/>
              <w:rPr>
                <w:rFonts w:eastAsia="Times New Roman"/>
                <w:sz w:val="20"/>
                <w:szCs w:val="20"/>
              </w:rPr>
            </w:pPr>
          </w:p>
        </w:tc>
        <w:tc>
          <w:tcPr>
            <w:tcW w:w="1614" w:type="pct"/>
            <w:vAlign w:val="center"/>
            <w:hideMark/>
          </w:tcPr>
          <w:p w14:paraId="750FD54E" w14:textId="77777777" w:rsidR="00000000" w:rsidRDefault="00405D16">
            <w:pPr>
              <w:spacing w:after="100"/>
              <w:rPr>
                <w:rFonts w:eastAsia="Times New Roman"/>
                <w:sz w:val="20"/>
                <w:szCs w:val="20"/>
              </w:rPr>
            </w:pPr>
          </w:p>
        </w:tc>
        <w:tc>
          <w:tcPr>
            <w:tcW w:w="5" w:type="pct"/>
            <w:vAlign w:val="center"/>
            <w:hideMark/>
          </w:tcPr>
          <w:p w14:paraId="7B770D90" w14:textId="77777777" w:rsidR="00000000" w:rsidRDefault="00405D16">
            <w:pPr>
              <w:spacing w:after="100"/>
              <w:rPr>
                <w:rFonts w:eastAsia="Times New Roman"/>
                <w:sz w:val="20"/>
                <w:szCs w:val="20"/>
              </w:rPr>
            </w:pPr>
          </w:p>
        </w:tc>
      </w:tr>
      <w:tr w:rsidR="00000000" w14:paraId="5FB57C33" w14:textId="77777777">
        <w:trPr>
          <w:divId w:val="278529282"/>
          <w:trHeight w:val="300"/>
          <w:jc w:val="center"/>
        </w:trPr>
        <w:tc>
          <w:tcPr>
            <w:tcW w:w="0" w:type="auto"/>
            <w:gridSpan w:val="9"/>
            <w:tcMar>
              <w:top w:w="0" w:type="dxa"/>
              <w:left w:w="20" w:type="dxa"/>
              <w:bottom w:w="0" w:type="dxa"/>
              <w:right w:w="20" w:type="dxa"/>
            </w:tcMar>
            <w:vAlign w:val="center"/>
            <w:hideMark/>
          </w:tcPr>
          <w:p w14:paraId="21AC07D7" w14:textId="77777777" w:rsidR="00000000" w:rsidRDefault="00405D16">
            <w:pPr>
              <w:spacing w:after="100"/>
              <w:rPr>
                <w:rFonts w:eastAsia="Times New Roman"/>
                <w:sz w:val="20"/>
                <w:szCs w:val="20"/>
              </w:rPr>
            </w:pPr>
          </w:p>
        </w:tc>
      </w:tr>
      <w:tr w:rsidR="00000000" w14:paraId="4C6F2A04" w14:textId="77777777">
        <w:trPr>
          <w:divId w:val="278529282"/>
          <w:jc w:val="center"/>
        </w:trPr>
        <w:tc>
          <w:tcPr>
            <w:tcW w:w="0" w:type="auto"/>
            <w:gridSpan w:val="3"/>
            <w:tcMar>
              <w:top w:w="0" w:type="dxa"/>
              <w:left w:w="20" w:type="dxa"/>
              <w:bottom w:w="0" w:type="dxa"/>
              <w:right w:w="20" w:type="dxa"/>
            </w:tcMar>
            <w:vAlign w:val="center"/>
            <w:hideMark/>
          </w:tcPr>
          <w:p w14:paraId="506A9A1A"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4A6AEAA" w14:textId="77777777" w:rsidR="00000000" w:rsidRDefault="00405D16">
            <w:pPr>
              <w:spacing w:after="100"/>
              <w:jc w:val="center"/>
              <w:rPr>
                <w:rFonts w:eastAsia="Times New Roman"/>
              </w:rPr>
            </w:pPr>
            <w:r>
              <w:rPr>
                <w:rFonts w:eastAsia="Times New Roman"/>
                <w:color w:val="000000"/>
                <w:sz w:val="16"/>
                <w:szCs w:val="16"/>
              </w:rPr>
              <w:t>90</w:t>
            </w:r>
          </w:p>
        </w:tc>
        <w:tc>
          <w:tcPr>
            <w:tcW w:w="0" w:type="auto"/>
            <w:gridSpan w:val="3"/>
            <w:tcMar>
              <w:top w:w="30" w:type="dxa"/>
              <w:left w:w="20" w:type="dxa"/>
              <w:bottom w:w="30" w:type="dxa"/>
              <w:right w:w="20" w:type="dxa"/>
            </w:tcMar>
            <w:vAlign w:val="bottom"/>
            <w:hideMark/>
          </w:tcPr>
          <w:p w14:paraId="298773B8"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5FABC2ED" w14:textId="77777777" w:rsidR="00000000" w:rsidRDefault="00405D16">
      <w:pPr>
        <w:rPr>
          <w:rFonts w:eastAsia="Times New Roman"/>
        </w:rPr>
      </w:pPr>
      <w:r>
        <w:rPr>
          <w:rFonts w:eastAsia="Times New Roman"/>
        </w:rPr>
        <w:pict w14:anchorId="036D47B7">
          <v:rect id="_x0000_i1115" style="width:0;height:1.5pt" o:hralign="center" o:hrstd="t" o:hr="t" fillcolor="#a0a0a0" stroked="f"/>
        </w:pict>
      </w:r>
    </w:p>
    <w:p w14:paraId="5B61F861" w14:textId="77777777" w:rsidR="00000000" w:rsidRDefault="00405D16">
      <w:pPr>
        <w:jc w:val="both"/>
        <w:divId w:val="34543978"/>
        <w:rPr>
          <w:rFonts w:eastAsia="Times New Roman"/>
        </w:rPr>
      </w:pPr>
      <w:hyperlink w:anchor="idd54a04a485440b4ab4e56094c14d612_13" w:history="1">
        <w:r>
          <w:rPr>
            <w:rStyle w:val="a3"/>
            <w:rFonts w:eastAsia="Times New Roman"/>
            <w:sz w:val="16"/>
            <w:szCs w:val="16"/>
          </w:rPr>
          <w:t>Table of Contents</w:t>
        </w:r>
      </w:hyperlink>
    </w:p>
    <w:p w14:paraId="58828BDC" w14:textId="77777777" w:rsidR="00000000" w:rsidRDefault="00405D16">
      <w:pPr>
        <w:jc w:val="center"/>
        <w:divId w:val="34543978"/>
        <w:rPr>
          <w:rFonts w:eastAsia="Times New Roman"/>
        </w:rPr>
      </w:pPr>
    </w:p>
    <w:p w14:paraId="233C62F8" w14:textId="77777777" w:rsidR="00000000" w:rsidRDefault="00405D16">
      <w:pPr>
        <w:divId w:val="223033724"/>
        <w:rPr>
          <w:rFonts w:eastAsia="Times New Roman"/>
        </w:rPr>
      </w:pPr>
      <w:r>
        <w:rPr>
          <w:rFonts w:eastAsia="Times New Roman"/>
          <w:b/>
          <w:bCs/>
          <w:i/>
          <w:iCs/>
          <w:color w:val="000000"/>
          <w:sz w:val="20"/>
          <w:szCs w:val="20"/>
        </w:rPr>
        <w:t>Subsequent Defaults of Completed TDR Modifications</w:t>
      </w:r>
    </w:p>
    <w:p w14:paraId="5EAD9B15" w14:textId="77777777" w:rsidR="00000000" w:rsidRDefault="00405D16">
      <w:pPr>
        <w:jc w:val="both"/>
        <w:divId w:val="1478182519"/>
        <w:rPr>
          <w:rFonts w:eastAsia="Times New Roman"/>
        </w:rPr>
      </w:pPr>
      <w:r>
        <w:rPr>
          <w:rFonts w:eastAsia="Times New Roman"/>
          <w:color w:val="000000"/>
          <w:sz w:val="20"/>
          <w:szCs w:val="20"/>
        </w:rPr>
        <w:t>The following table presents the type, number and amortized cost of loans modified in TDRs</w:t>
      </w:r>
      <w:r>
        <w:rPr>
          <w:rFonts w:eastAsia="Times New Roman"/>
          <w:color w:val="000000"/>
          <w:sz w:val="20"/>
          <w:szCs w:val="20"/>
        </w:rPr>
        <w:t xml:space="preserve"> that experienced a default during the period and had completed a modification event in the twelve months prior to the default. A default occurs if the loan is either 90 days or more delinquent, has been charged off as of the end of the period presented or</w:t>
      </w:r>
      <w:r>
        <w:rPr>
          <w:rFonts w:eastAsia="Times New Roman"/>
          <w:color w:val="000000"/>
          <w:sz w:val="20"/>
          <w:szCs w:val="20"/>
        </w:rPr>
        <w:t xml:space="preserve"> has been reclassified from accrual to nonaccrual status.</w:t>
      </w:r>
    </w:p>
    <w:p w14:paraId="45237069" w14:textId="77777777" w:rsidR="00000000" w:rsidRDefault="00405D16">
      <w:pPr>
        <w:divId w:val="1897934366"/>
        <w:rPr>
          <w:rFonts w:eastAsia="Times New Roman"/>
        </w:rPr>
      </w:pPr>
      <w:r>
        <w:rPr>
          <w:rFonts w:eastAsia="Times New Roman"/>
          <w:b/>
          <w:bCs/>
          <w:color w:val="000000"/>
          <w:sz w:val="18"/>
          <w:szCs w:val="18"/>
        </w:rPr>
        <w:t>Table 3.7: TDRs—Subsequent Defaults</w:t>
      </w:r>
    </w:p>
    <w:tbl>
      <w:tblPr>
        <w:tblW w:w="5000" w:type="pct"/>
        <w:tblCellMar>
          <w:top w:w="15" w:type="dxa"/>
          <w:left w:w="15" w:type="dxa"/>
          <w:bottom w:w="15" w:type="dxa"/>
          <w:right w:w="15" w:type="dxa"/>
        </w:tblCellMar>
        <w:tblLook w:val="04A0" w:firstRow="1" w:lastRow="0" w:firstColumn="1" w:lastColumn="0" w:noHBand="0" w:noVBand="1"/>
      </w:tblPr>
      <w:tblGrid>
        <w:gridCol w:w="52"/>
        <w:gridCol w:w="1129"/>
        <w:gridCol w:w="38"/>
        <w:gridCol w:w="36"/>
        <w:gridCol w:w="36"/>
        <w:gridCol w:w="36"/>
        <w:gridCol w:w="88"/>
        <w:gridCol w:w="687"/>
        <w:gridCol w:w="36"/>
        <w:gridCol w:w="36"/>
        <w:gridCol w:w="36"/>
        <w:gridCol w:w="36"/>
        <w:gridCol w:w="111"/>
        <w:gridCol w:w="526"/>
        <w:gridCol w:w="37"/>
        <w:gridCol w:w="36"/>
        <w:gridCol w:w="36"/>
        <w:gridCol w:w="36"/>
        <w:gridCol w:w="88"/>
        <w:gridCol w:w="687"/>
        <w:gridCol w:w="36"/>
        <w:gridCol w:w="36"/>
        <w:gridCol w:w="36"/>
        <w:gridCol w:w="36"/>
        <w:gridCol w:w="111"/>
        <w:gridCol w:w="526"/>
        <w:gridCol w:w="37"/>
        <w:gridCol w:w="36"/>
        <w:gridCol w:w="36"/>
        <w:gridCol w:w="36"/>
        <w:gridCol w:w="88"/>
        <w:gridCol w:w="687"/>
        <w:gridCol w:w="36"/>
        <w:gridCol w:w="36"/>
        <w:gridCol w:w="36"/>
        <w:gridCol w:w="36"/>
        <w:gridCol w:w="111"/>
        <w:gridCol w:w="526"/>
        <w:gridCol w:w="37"/>
        <w:gridCol w:w="36"/>
        <w:gridCol w:w="36"/>
        <w:gridCol w:w="36"/>
        <w:gridCol w:w="88"/>
        <w:gridCol w:w="687"/>
        <w:gridCol w:w="36"/>
        <w:gridCol w:w="36"/>
        <w:gridCol w:w="36"/>
        <w:gridCol w:w="36"/>
        <w:gridCol w:w="111"/>
        <w:gridCol w:w="526"/>
        <w:gridCol w:w="37"/>
        <w:gridCol w:w="36"/>
        <w:gridCol w:w="36"/>
        <w:gridCol w:w="36"/>
        <w:gridCol w:w="36"/>
        <w:gridCol w:w="36"/>
        <w:gridCol w:w="36"/>
        <w:gridCol w:w="36"/>
        <w:gridCol w:w="36"/>
        <w:gridCol w:w="36"/>
        <w:gridCol w:w="36"/>
        <w:gridCol w:w="36"/>
      </w:tblGrid>
      <w:tr w:rsidR="00000000" w14:paraId="10CDA9C8" w14:textId="77777777">
        <w:trPr>
          <w:divId w:val="1278830381"/>
        </w:trPr>
        <w:tc>
          <w:tcPr>
            <w:tcW w:w="50" w:type="pct"/>
            <w:vAlign w:val="center"/>
            <w:hideMark/>
          </w:tcPr>
          <w:p w14:paraId="7B9C48AD" w14:textId="77777777" w:rsidR="00000000" w:rsidRDefault="00405D16">
            <w:pPr>
              <w:rPr>
                <w:rFonts w:eastAsia="Times New Roman"/>
              </w:rPr>
            </w:pPr>
          </w:p>
        </w:tc>
        <w:tc>
          <w:tcPr>
            <w:tcW w:w="1092" w:type="pct"/>
            <w:vAlign w:val="center"/>
            <w:hideMark/>
          </w:tcPr>
          <w:p w14:paraId="359D2190" w14:textId="77777777" w:rsidR="00000000" w:rsidRDefault="00405D16">
            <w:pPr>
              <w:spacing w:after="100"/>
              <w:rPr>
                <w:rFonts w:eastAsia="Times New Roman"/>
                <w:sz w:val="20"/>
                <w:szCs w:val="20"/>
              </w:rPr>
            </w:pPr>
          </w:p>
        </w:tc>
        <w:tc>
          <w:tcPr>
            <w:tcW w:w="5" w:type="pct"/>
            <w:vAlign w:val="center"/>
            <w:hideMark/>
          </w:tcPr>
          <w:p w14:paraId="681D6FF2" w14:textId="77777777" w:rsidR="00000000" w:rsidRDefault="00405D16">
            <w:pPr>
              <w:spacing w:after="100"/>
              <w:rPr>
                <w:rFonts w:eastAsia="Times New Roman"/>
                <w:sz w:val="20"/>
                <w:szCs w:val="20"/>
              </w:rPr>
            </w:pPr>
          </w:p>
        </w:tc>
        <w:tc>
          <w:tcPr>
            <w:tcW w:w="5" w:type="pct"/>
            <w:vAlign w:val="center"/>
            <w:hideMark/>
          </w:tcPr>
          <w:p w14:paraId="4C5C8090" w14:textId="77777777" w:rsidR="00000000" w:rsidRDefault="00405D16">
            <w:pPr>
              <w:spacing w:after="100"/>
              <w:rPr>
                <w:rFonts w:eastAsia="Times New Roman"/>
                <w:sz w:val="20"/>
                <w:szCs w:val="20"/>
              </w:rPr>
            </w:pPr>
          </w:p>
        </w:tc>
        <w:tc>
          <w:tcPr>
            <w:tcW w:w="19" w:type="pct"/>
            <w:vAlign w:val="center"/>
            <w:hideMark/>
          </w:tcPr>
          <w:p w14:paraId="13BCF280" w14:textId="77777777" w:rsidR="00000000" w:rsidRDefault="00405D16">
            <w:pPr>
              <w:spacing w:after="100"/>
              <w:rPr>
                <w:rFonts w:eastAsia="Times New Roman"/>
                <w:sz w:val="20"/>
                <w:szCs w:val="20"/>
              </w:rPr>
            </w:pPr>
          </w:p>
        </w:tc>
        <w:tc>
          <w:tcPr>
            <w:tcW w:w="5" w:type="pct"/>
            <w:vAlign w:val="center"/>
            <w:hideMark/>
          </w:tcPr>
          <w:p w14:paraId="52AFD857" w14:textId="77777777" w:rsidR="00000000" w:rsidRDefault="00405D16">
            <w:pPr>
              <w:spacing w:after="100"/>
              <w:rPr>
                <w:rFonts w:eastAsia="Times New Roman"/>
                <w:sz w:val="20"/>
                <w:szCs w:val="20"/>
              </w:rPr>
            </w:pPr>
          </w:p>
        </w:tc>
        <w:tc>
          <w:tcPr>
            <w:tcW w:w="50" w:type="pct"/>
            <w:vAlign w:val="center"/>
            <w:hideMark/>
          </w:tcPr>
          <w:p w14:paraId="3F0B5227" w14:textId="77777777" w:rsidR="00000000" w:rsidRDefault="00405D16">
            <w:pPr>
              <w:spacing w:after="100"/>
              <w:rPr>
                <w:rFonts w:eastAsia="Times New Roman"/>
                <w:sz w:val="20"/>
                <w:szCs w:val="20"/>
              </w:rPr>
            </w:pPr>
          </w:p>
        </w:tc>
        <w:tc>
          <w:tcPr>
            <w:tcW w:w="390" w:type="pct"/>
            <w:vAlign w:val="center"/>
            <w:hideMark/>
          </w:tcPr>
          <w:p w14:paraId="305B8620" w14:textId="77777777" w:rsidR="00000000" w:rsidRDefault="00405D16">
            <w:pPr>
              <w:spacing w:after="100"/>
              <w:rPr>
                <w:rFonts w:eastAsia="Times New Roman"/>
                <w:sz w:val="20"/>
                <w:szCs w:val="20"/>
              </w:rPr>
            </w:pPr>
          </w:p>
        </w:tc>
        <w:tc>
          <w:tcPr>
            <w:tcW w:w="5" w:type="pct"/>
            <w:vAlign w:val="center"/>
            <w:hideMark/>
          </w:tcPr>
          <w:p w14:paraId="423538F1" w14:textId="77777777" w:rsidR="00000000" w:rsidRDefault="00405D16">
            <w:pPr>
              <w:spacing w:after="100"/>
              <w:rPr>
                <w:rFonts w:eastAsia="Times New Roman"/>
                <w:sz w:val="20"/>
                <w:szCs w:val="20"/>
              </w:rPr>
            </w:pPr>
          </w:p>
        </w:tc>
        <w:tc>
          <w:tcPr>
            <w:tcW w:w="5" w:type="pct"/>
            <w:vAlign w:val="center"/>
            <w:hideMark/>
          </w:tcPr>
          <w:p w14:paraId="0ED63BB0" w14:textId="77777777" w:rsidR="00000000" w:rsidRDefault="00405D16">
            <w:pPr>
              <w:spacing w:after="100"/>
              <w:rPr>
                <w:rFonts w:eastAsia="Times New Roman"/>
                <w:sz w:val="20"/>
                <w:szCs w:val="20"/>
              </w:rPr>
            </w:pPr>
          </w:p>
        </w:tc>
        <w:tc>
          <w:tcPr>
            <w:tcW w:w="26" w:type="pct"/>
            <w:vAlign w:val="center"/>
            <w:hideMark/>
          </w:tcPr>
          <w:p w14:paraId="4BBC8303" w14:textId="77777777" w:rsidR="00000000" w:rsidRDefault="00405D16">
            <w:pPr>
              <w:spacing w:after="100"/>
              <w:rPr>
                <w:rFonts w:eastAsia="Times New Roman"/>
                <w:sz w:val="20"/>
                <w:szCs w:val="20"/>
              </w:rPr>
            </w:pPr>
          </w:p>
        </w:tc>
        <w:tc>
          <w:tcPr>
            <w:tcW w:w="5" w:type="pct"/>
            <w:vAlign w:val="center"/>
            <w:hideMark/>
          </w:tcPr>
          <w:p w14:paraId="19FAED26" w14:textId="77777777" w:rsidR="00000000" w:rsidRDefault="00405D16">
            <w:pPr>
              <w:spacing w:after="100"/>
              <w:rPr>
                <w:rFonts w:eastAsia="Times New Roman"/>
                <w:sz w:val="20"/>
                <w:szCs w:val="20"/>
              </w:rPr>
            </w:pPr>
          </w:p>
        </w:tc>
        <w:tc>
          <w:tcPr>
            <w:tcW w:w="50" w:type="pct"/>
            <w:vAlign w:val="center"/>
            <w:hideMark/>
          </w:tcPr>
          <w:p w14:paraId="4A68833A" w14:textId="77777777" w:rsidR="00000000" w:rsidRDefault="00405D16">
            <w:pPr>
              <w:spacing w:after="100"/>
              <w:rPr>
                <w:rFonts w:eastAsia="Times New Roman"/>
                <w:sz w:val="20"/>
                <w:szCs w:val="20"/>
              </w:rPr>
            </w:pPr>
          </w:p>
        </w:tc>
        <w:tc>
          <w:tcPr>
            <w:tcW w:w="390" w:type="pct"/>
            <w:vAlign w:val="center"/>
            <w:hideMark/>
          </w:tcPr>
          <w:p w14:paraId="267F194B" w14:textId="77777777" w:rsidR="00000000" w:rsidRDefault="00405D16">
            <w:pPr>
              <w:spacing w:after="100"/>
              <w:rPr>
                <w:rFonts w:eastAsia="Times New Roman"/>
                <w:sz w:val="20"/>
                <w:szCs w:val="20"/>
              </w:rPr>
            </w:pPr>
          </w:p>
        </w:tc>
        <w:tc>
          <w:tcPr>
            <w:tcW w:w="5" w:type="pct"/>
            <w:vAlign w:val="center"/>
            <w:hideMark/>
          </w:tcPr>
          <w:p w14:paraId="74FA2830" w14:textId="77777777" w:rsidR="00000000" w:rsidRDefault="00405D16">
            <w:pPr>
              <w:spacing w:after="100"/>
              <w:rPr>
                <w:rFonts w:eastAsia="Times New Roman"/>
                <w:sz w:val="20"/>
                <w:szCs w:val="20"/>
              </w:rPr>
            </w:pPr>
          </w:p>
        </w:tc>
        <w:tc>
          <w:tcPr>
            <w:tcW w:w="5" w:type="pct"/>
            <w:vAlign w:val="center"/>
            <w:hideMark/>
          </w:tcPr>
          <w:p w14:paraId="3BE4A064" w14:textId="77777777" w:rsidR="00000000" w:rsidRDefault="00405D16">
            <w:pPr>
              <w:spacing w:after="100"/>
              <w:rPr>
                <w:rFonts w:eastAsia="Times New Roman"/>
                <w:sz w:val="20"/>
                <w:szCs w:val="20"/>
              </w:rPr>
            </w:pPr>
          </w:p>
        </w:tc>
        <w:tc>
          <w:tcPr>
            <w:tcW w:w="26" w:type="pct"/>
            <w:vAlign w:val="center"/>
            <w:hideMark/>
          </w:tcPr>
          <w:p w14:paraId="4CE9E5FB" w14:textId="77777777" w:rsidR="00000000" w:rsidRDefault="00405D16">
            <w:pPr>
              <w:spacing w:after="100"/>
              <w:rPr>
                <w:rFonts w:eastAsia="Times New Roman"/>
                <w:sz w:val="20"/>
                <w:szCs w:val="20"/>
              </w:rPr>
            </w:pPr>
          </w:p>
        </w:tc>
        <w:tc>
          <w:tcPr>
            <w:tcW w:w="5" w:type="pct"/>
            <w:vAlign w:val="center"/>
            <w:hideMark/>
          </w:tcPr>
          <w:p w14:paraId="4428BD3A" w14:textId="77777777" w:rsidR="00000000" w:rsidRDefault="00405D16">
            <w:pPr>
              <w:spacing w:after="100"/>
              <w:rPr>
                <w:rFonts w:eastAsia="Times New Roman"/>
                <w:sz w:val="20"/>
                <w:szCs w:val="20"/>
              </w:rPr>
            </w:pPr>
          </w:p>
        </w:tc>
        <w:tc>
          <w:tcPr>
            <w:tcW w:w="50" w:type="pct"/>
            <w:vAlign w:val="center"/>
            <w:hideMark/>
          </w:tcPr>
          <w:p w14:paraId="69F03B40" w14:textId="77777777" w:rsidR="00000000" w:rsidRDefault="00405D16">
            <w:pPr>
              <w:spacing w:after="100"/>
              <w:rPr>
                <w:rFonts w:eastAsia="Times New Roman"/>
                <w:sz w:val="20"/>
                <w:szCs w:val="20"/>
              </w:rPr>
            </w:pPr>
          </w:p>
        </w:tc>
        <w:tc>
          <w:tcPr>
            <w:tcW w:w="390" w:type="pct"/>
            <w:vAlign w:val="center"/>
            <w:hideMark/>
          </w:tcPr>
          <w:p w14:paraId="401DF6A5" w14:textId="77777777" w:rsidR="00000000" w:rsidRDefault="00405D16">
            <w:pPr>
              <w:spacing w:after="100"/>
              <w:rPr>
                <w:rFonts w:eastAsia="Times New Roman"/>
                <w:sz w:val="20"/>
                <w:szCs w:val="20"/>
              </w:rPr>
            </w:pPr>
          </w:p>
        </w:tc>
        <w:tc>
          <w:tcPr>
            <w:tcW w:w="5" w:type="pct"/>
            <w:vAlign w:val="center"/>
            <w:hideMark/>
          </w:tcPr>
          <w:p w14:paraId="588BDD19" w14:textId="77777777" w:rsidR="00000000" w:rsidRDefault="00405D16">
            <w:pPr>
              <w:spacing w:after="100"/>
              <w:rPr>
                <w:rFonts w:eastAsia="Times New Roman"/>
                <w:sz w:val="20"/>
                <w:szCs w:val="20"/>
              </w:rPr>
            </w:pPr>
          </w:p>
        </w:tc>
        <w:tc>
          <w:tcPr>
            <w:tcW w:w="5" w:type="pct"/>
            <w:vAlign w:val="center"/>
            <w:hideMark/>
          </w:tcPr>
          <w:p w14:paraId="08ADFB07" w14:textId="77777777" w:rsidR="00000000" w:rsidRDefault="00405D16">
            <w:pPr>
              <w:spacing w:after="100"/>
              <w:rPr>
                <w:rFonts w:eastAsia="Times New Roman"/>
                <w:sz w:val="20"/>
                <w:szCs w:val="20"/>
              </w:rPr>
            </w:pPr>
          </w:p>
        </w:tc>
        <w:tc>
          <w:tcPr>
            <w:tcW w:w="26" w:type="pct"/>
            <w:vAlign w:val="center"/>
            <w:hideMark/>
          </w:tcPr>
          <w:p w14:paraId="1583E116" w14:textId="77777777" w:rsidR="00000000" w:rsidRDefault="00405D16">
            <w:pPr>
              <w:spacing w:after="100"/>
              <w:rPr>
                <w:rFonts w:eastAsia="Times New Roman"/>
                <w:sz w:val="20"/>
                <w:szCs w:val="20"/>
              </w:rPr>
            </w:pPr>
          </w:p>
        </w:tc>
        <w:tc>
          <w:tcPr>
            <w:tcW w:w="5" w:type="pct"/>
            <w:vAlign w:val="center"/>
            <w:hideMark/>
          </w:tcPr>
          <w:p w14:paraId="7F5EBC8A" w14:textId="77777777" w:rsidR="00000000" w:rsidRDefault="00405D16">
            <w:pPr>
              <w:spacing w:after="100"/>
              <w:rPr>
                <w:rFonts w:eastAsia="Times New Roman"/>
                <w:sz w:val="20"/>
                <w:szCs w:val="20"/>
              </w:rPr>
            </w:pPr>
          </w:p>
        </w:tc>
        <w:tc>
          <w:tcPr>
            <w:tcW w:w="50" w:type="pct"/>
            <w:vAlign w:val="center"/>
            <w:hideMark/>
          </w:tcPr>
          <w:p w14:paraId="7073F922" w14:textId="77777777" w:rsidR="00000000" w:rsidRDefault="00405D16">
            <w:pPr>
              <w:spacing w:after="100"/>
              <w:rPr>
                <w:rFonts w:eastAsia="Times New Roman"/>
                <w:sz w:val="20"/>
                <w:szCs w:val="20"/>
              </w:rPr>
            </w:pPr>
          </w:p>
        </w:tc>
        <w:tc>
          <w:tcPr>
            <w:tcW w:w="390" w:type="pct"/>
            <w:vAlign w:val="center"/>
            <w:hideMark/>
          </w:tcPr>
          <w:p w14:paraId="2C29890F" w14:textId="77777777" w:rsidR="00000000" w:rsidRDefault="00405D16">
            <w:pPr>
              <w:spacing w:after="100"/>
              <w:rPr>
                <w:rFonts w:eastAsia="Times New Roman"/>
                <w:sz w:val="20"/>
                <w:szCs w:val="20"/>
              </w:rPr>
            </w:pPr>
          </w:p>
        </w:tc>
        <w:tc>
          <w:tcPr>
            <w:tcW w:w="5" w:type="pct"/>
            <w:vAlign w:val="center"/>
            <w:hideMark/>
          </w:tcPr>
          <w:p w14:paraId="507BDA17" w14:textId="77777777" w:rsidR="00000000" w:rsidRDefault="00405D16">
            <w:pPr>
              <w:spacing w:after="100"/>
              <w:rPr>
                <w:rFonts w:eastAsia="Times New Roman"/>
                <w:sz w:val="20"/>
                <w:szCs w:val="20"/>
              </w:rPr>
            </w:pPr>
          </w:p>
        </w:tc>
        <w:tc>
          <w:tcPr>
            <w:tcW w:w="5" w:type="pct"/>
            <w:vAlign w:val="center"/>
            <w:hideMark/>
          </w:tcPr>
          <w:p w14:paraId="3A6A95CC" w14:textId="77777777" w:rsidR="00000000" w:rsidRDefault="00405D16">
            <w:pPr>
              <w:spacing w:after="100"/>
              <w:rPr>
                <w:rFonts w:eastAsia="Times New Roman"/>
                <w:sz w:val="20"/>
                <w:szCs w:val="20"/>
              </w:rPr>
            </w:pPr>
          </w:p>
        </w:tc>
        <w:tc>
          <w:tcPr>
            <w:tcW w:w="26" w:type="pct"/>
            <w:vAlign w:val="center"/>
            <w:hideMark/>
          </w:tcPr>
          <w:p w14:paraId="26018D1A" w14:textId="77777777" w:rsidR="00000000" w:rsidRDefault="00405D16">
            <w:pPr>
              <w:spacing w:after="100"/>
              <w:rPr>
                <w:rFonts w:eastAsia="Times New Roman"/>
                <w:sz w:val="20"/>
                <w:szCs w:val="20"/>
              </w:rPr>
            </w:pPr>
          </w:p>
        </w:tc>
        <w:tc>
          <w:tcPr>
            <w:tcW w:w="5" w:type="pct"/>
            <w:vAlign w:val="center"/>
            <w:hideMark/>
          </w:tcPr>
          <w:p w14:paraId="248ED7B1" w14:textId="77777777" w:rsidR="00000000" w:rsidRDefault="00405D16">
            <w:pPr>
              <w:spacing w:after="100"/>
              <w:rPr>
                <w:rFonts w:eastAsia="Times New Roman"/>
                <w:sz w:val="20"/>
                <w:szCs w:val="20"/>
              </w:rPr>
            </w:pPr>
          </w:p>
        </w:tc>
        <w:tc>
          <w:tcPr>
            <w:tcW w:w="50" w:type="pct"/>
            <w:vAlign w:val="center"/>
            <w:hideMark/>
          </w:tcPr>
          <w:p w14:paraId="16F57273" w14:textId="77777777" w:rsidR="00000000" w:rsidRDefault="00405D16">
            <w:pPr>
              <w:spacing w:after="100"/>
              <w:rPr>
                <w:rFonts w:eastAsia="Times New Roman"/>
                <w:sz w:val="20"/>
                <w:szCs w:val="20"/>
              </w:rPr>
            </w:pPr>
          </w:p>
        </w:tc>
        <w:tc>
          <w:tcPr>
            <w:tcW w:w="390" w:type="pct"/>
            <w:vAlign w:val="center"/>
            <w:hideMark/>
          </w:tcPr>
          <w:p w14:paraId="613474C0" w14:textId="77777777" w:rsidR="00000000" w:rsidRDefault="00405D16">
            <w:pPr>
              <w:spacing w:after="100"/>
              <w:rPr>
                <w:rFonts w:eastAsia="Times New Roman"/>
                <w:sz w:val="20"/>
                <w:szCs w:val="20"/>
              </w:rPr>
            </w:pPr>
          </w:p>
        </w:tc>
        <w:tc>
          <w:tcPr>
            <w:tcW w:w="5" w:type="pct"/>
            <w:vAlign w:val="center"/>
            <w:hideMark/>
          </w:tcPr>
          <w:p w14:paraId="346FD4D3" w14:textId="77777777" w:rsidR="00000000" w:rsidRDefault="00405D16">
            <w:pPr>
              <w:spacing w:after="100"/>
              <w:rPr>
                <w:rFonts w:eastAsia="Times New Roman"/>
                <w:sz w:val="20"/>
                <w:szCs w:val="20"/>
              </w:rPr>
            </w:pPr>
          </w:p>
        </w:tc>
        <w:tc>
          <w:tcPr>
            <w:tcW w:w="5" w:type="pct"/>
            <w:vAlign w:val="center"/>
            <w:hideMark/>
          </w:tcPr>
          <w:p w14:paraId="41446BC8" w14:textId="77777777" w:rsidR="00000000" w:rsidRDefault="00405D16">
            <w:pPr>
              <w:spacing w:after="100"/>
              <w:rPr>
                <w:rFonts w:eastAsia="Times New Roman"/>
                <w:sz w:val="20"/>
                <w:szCs w:val="20"/>
              </w:rPr>
            </w:pPr>
          </w:p>
        </w:tc>
        <w:tc>
          <w:tcPr>
            <w:tcW w:w="26" w:type="pct"/>
            <w:vAlign w:val="center"/>
            <w:hideMark/>
          </w:tcPr>
          <w:p w14:paraId="78E7BC48" w14:textId="77777777" w:rsidR="00000000" w:rsidRDefault="00405D16">
            <w:pPr>
              <w:spacing w:after="100"/>
              <w:rPr>
                <w:rFonts w:eastAsia="Times New Roman"/>
                <w:sz w:val="20"/>
                <w:szCs w:val="20"/>
              </w:rPr>
            </w:pPr>
          </w:p>
        </w:tc>
        <w:tc>
          <w:tcPr>
            <w:tcW w:w="5" w:type="pct"/>
            <w:vAlign w:val="center"/>
            <w:hideMark/>
          </w:tcPr>
          <w:p w14:paraId="6D2F142F" w14:textId="77777777" w:rsidR="00000000" w:rsidRDefault="00405D16">
            <w:pPr>
              <w:spacing w:after="100"/>
              <w:rPr>
                <w:rFonts w:eastAsia="Times New Roman"/>
                <w:sz w:val="20"/>
                <w:szCs w:val="20"/>
              </w:rPr>
            </w:pPr>
          </w:p>
        </w:tc>
        <w:tc>
          <w:tcPr>
            <w:tcW w:w="50" w:type="pct"/>
            <w:vAlign w:val="center"/>
            <w:hideMark/>
          </w:tcPr>
          <w:p w14:paraId="42263CFF" w14:textId="77777777" w:rsidR="00000000" w:rsidRDefault="00405D16">
            <w:pPr>
              <w:spacing w:after="100"/>
              <w:rPr>
                <w:rFonts w:eastAsia="Times New Roman"/>
                <w:sz w:val="20"/>
                <w:szCs w:val="20"/>
              </w:rPr>
            </w:pPr>
          </w:p>
        </w:tc>
        <w:tc>
          <w:tcPr>
            <w:tcW w:w="390" w:type="pct"/>
            <w:vAlign w:val="center"/>
            <w:hideMark/>
          </w:tcPr>
          <w:p w14:paraId="4FFEC818" w14:textId="77777777" w:rsidR="00000000" w:rsidRDefault="00405D16">
            <w:pPr>
              <w:spacing w:after="100"/>
              <w:rPr>
                <w:rFonts w:eastAsia="Times New Roman"/>
                <w:sz w:val="20"/>
                <w:szCs w:val="20"/>
              </w:rPr>
            </w:pPr>
          </w:p>
        </w:tc>
        <w:tc>
          <w:tcPr>
            <w:tcW w:w="5" w:type="pct"/>
            <w:vAlign w:val="center"/>
            <w:hideMark/>
          </w:tcPr>
          <w:p w14:paraId="7C4F292A" w14:textId="77777777" w:rsidR="00000000" w:rsidRDefault="00405D16">
            <w:pPr>
              <w:spacing w:after="100"/>
              <w:rPr>
                <w:rFonts w:eastAsia="Times New Roman"/>
                <w:sz w:val="20"/>
                <w:szCs w:val="20"/>
              </w:rPr>
            </w:pPr>
          </w:p>
        </w:tc>
        <w:tc>
          <w:tcPr>
            <w:tcW w:w="5" w:type="pct"/>
            <w:vAlign w:val="center"/>
            <w:hideMark/>
          </w:tcPr>
          <w:p w14:paraId="03EB3868" w14:textId="77777777" w:rsidR="00000000" w:rsidRDefault="00405D16">
            <w:pPr>
              <w:spacing w:after="100"/>
              <w:rPr>
                <w:rFonts w:eastAsia="Times New Roman"/>
                <w:sz w:val="20"/>
                <w:szCs w:val="20"/>
              </w:rPr>
            </w:pPr>
          </w:p>
        </w:tc>
        <w:tc>
          <w:tcPr>
            <w:tcW w:w="26" w:type="pct"/>
            <w:vAlign w:val="center"/>
            <w:hideMark/>
          </w:tcPr>
          <w:p w14:paraId="71DFA2E7" w14:textId="77777777" w:rsidR="00000000" w:rsidRDefault="00405D16">
            <w:pPr>
              <w:spacing w:after="100"/>
              <w:rPr>
                <w:rFonts w:eastAsia="Times New Roman"/>
                <w:sz w:val="20"/>
                <w:szCs w:val="20"/>
              </w:rPr>
            </w:pPr>
          </w:p>
        </w:tc>
        <w:tc>
          <w:tcPr>
            <w:tcW w:w="5" w:type="pct"/>
            <w:vAlign w:val="center"/>
            <w:hideMark/>
          </w:tcPr>
          <w:p w14:paraId="2B796FCE" w14:textId="77777777" w:rsidR="00000000" w:rsidRDefault="00405D16">
            <w:pPr>
              <w:spacing w:after="100"/>
              <w:rPr>
                <w:rFonts w:eastAsia="Times New Roman"/>
                <w:sz w:val="20"/>
                <w:szCs w:val="20"/>
              </w:rPr>
            </w:pPr>
          </w:p>
        </w:tc>
        <w:tc>
          <w:tcPr>
            <w:tcW w:w="50" w:type="pct"/>
            <w:vAlign w:val="center"/>
            <w:hideMark/>
          </w:tcPr>
          <w:p w14:paraId="6CC2FD49" w14:textId="77777777" w:rsidR="00000000" w:rsidRDefault="00405D16">
            <w:pPr>
              <w:spacing w:after="100"/>
              <w:rPr>
                <w:rFonts w:eastAsia="Times New Roman"/>
                <w:sz w:val="20"/>
                <w:szCs w:val="20"/>
              </w:rPr>
            </w:pPr>
          </w:p>
        </w:tc>
        <w:tc>
          <w:tcPr>
            <w:tcW w:w="390" w:type="pct"/>
            <w:vAlign w:val="center"/>
            <w:hideMark/>
          </w:tcPr>
          <w:p w14:paraId="0F7BD65A" w14:textId="77777777" w:rsidR="00000000" w:rsidRDefault="00405D16">
            <w:pPr>
              <w:spacing w:after="100"/>
              <w:rPr>
                <w:rFonts w:eastAsia="Times New Roman"/>
                <w:sz w:val="20"/>
                <w:szCs w:val="20"/>
              </w:rPr>
            </w:pPr>
          </w:p>
        </w:tc>
        <w:tc>
          <w:tcPr>
            <w:tcW w:w="5" w:type="pct"/>
            <w:vAlign w:val="center"/>
            <w:hideMark/>
          </w:tcPr>
          <w:p w14:paraId="1CDB05DA" w14:textId="77777777" w:rsidR="00000000" w:rsidRDefault="00405D16">
            <w:pPr>
              <w:spacing w:after="100"/>
              <w:rPr>
                <w:rFonts w:eastAsia="Times New Roman"/>
                <w:sz w:val="20"/>
                <w:szCs w:val="20"/>
              </w:rPr>
            </w:pPr>
          </w:p>
        </w:tc>
        <w:tc>
          <w:tcPr>
            <w:tcW w:w="5" w:type="pct"/>
            <w:vAlign w:val="center"/>
            <w:hideMark/>
          </w:tcPr>
          <w:p w14:paraId="197C36CB" w14:textId="77777777" w:rsidR="00000000" w:rsidRDefault="00405D16">
            <w:pPr>
              <w:spacing w:after="100"/>
              <w:rPr>
                <w:rFonts w:eastAsia="Times New Roman"/>
                <w:sz w:val="20"/>
                <w:szCs w:val="20"/>
              </w:rPr>
            </w:pPr>
          </w:p>
        </w:tc>
        <w:tc>
          <w:tcPr>
            <w:tcW w:w="26" w:type="pct"/>
            <w:vAlign w:val="center"/>
            <w:hideMark/>
          </w:tcPr>
          <w:p w14:paraId="4D4EBEDF" w14:textId="77777777" w:rsidR="00000000" w:rsidRDefault="00405D16">
            <w:pPr>
              <w:spacing w:after="100"/>
              <w:rPr>
                <w:rFonts w:eastAsia="Times New Roman"/>
                <w:sz w:val="20"/>
                <w:szCs w:val="20"/>
              </w:rPr>
            </w:pPr>
          </w:p>
        </w:tc>
        <w:tc>
          <w:tcPr>
            <w:tcW w:w="5" w:type="pct"/>
            <w:vAlign w:val="center"/>
            <w:hideMark/>
          </w:tcPr>
          <w:p w14:paraId="60FD4288" w14:textId="77777777" w:rsidR="00000000" w:rsidRDefault="00405D16">
            <w:pPr>
              <w:spacing w:after="100"/>
              <w:rPr>
                <w:rFonts w:eastAsia="Times New Roman"/>
                <w:sz w:val="20"/>
                <w:szCs w:val="20"/>
              </w:rPr>
            </w:pPr>
          </w:p>
        </w:tc>
        <w:tc>
          <w:tcPr>
            <w:tcW w:w="50" w:type="pct"/>
            <w:vAlign w:val="center"/>
            <w:hideMark/>
          </w:tcPr>
          <w:p w14:paraId="6EEE4D38" w14:textId="77777777" w:rsidR="00000000" w:rsidRDefault="00405D16">
            <w:pPr>
              <w:spacing w:after="100"/>
              <w:rPr>
                <w:rFonts w:eastAsia="Times New Roman"/>
                <w:sz w:val="20"/>
                <w:szCs w:val="20"/>
              </w:rPr>
            </w:pPr>
          </w:p>
        </w:tc>
        <w:tc>
          <w:tcPr>
            <w:tcW w:w="391" w:type="pct"/>
            <w:vAlign w:val="center"/>
            <w:hideMark/>
          </w:tcPr>
          <w:p w14:paraId="47155A2D" w14:textId="77777777" w:rsidR="00000000" w:rsidRDefault="00405D16">
            <w:pPr>
              <w:spacing w:after="100"/>
              <w:rPr>
                <w:rFonts w:eastAsia="Times New Roman"/>
                <w:sz w:val="20"/>
                <w:szCs w:val="20"/>
              </w:rPr>
            </w:pPr>
          </w:p>
        </w:tc>
        <w:tc>
          <w:tcPr>
            <w:tcW w:w="5" w:type="pct"/>
            <w:vAlign w:val="center"/>
            <w:hideMark/>
          </w:tcPr>
          <w:p w14:paraId="19313B81" w14:textId="77777777" w:rsidR="00000000" w:rsidRDefault="00405D16">
            <w:pPr>
              <w:spacing w:after="100"/>
              <w:rPr>
                <w:rFonts w:eastAsia="Times New Roman"/>
                <w:sz w:val="20"/>
                <w:szCs w:val="20"/>
              </w:rPr>
            </w:pPr>
          </w:p>
        </w:tc>
        <w:tc>
          <w:tcPr>
            <w:tcW w:w="0" w:type="auto"/>
            <w:gridSpan w:val="3"/>
            <w:vAlign w:val="center"/>
            <w:hideMark/>
          </w:tcPr>
          <w:p w14:paraId="10C47E76" w14:textId="77777777" w:rsidR="00000000" w:rsidRDefault="00405D16">
            <w:pPr>
              <w:spacing w:after="100"/>
              <w:rPr>
                <w:rFonts w:eastAsia="Times New Roman"/>
                <w:sz w:val="20"/>
                <w:szCs w:val="20"/>
              </w:rPr>
            </w:pPr>
          </w:p>
        </w:tc>
        <w:tc>
          <w:tcPr>
            <w:tcW w:w="0" w:type="auto"/>
            <w:gridSpan w:val="3"/>
            <w:vAlign w:val="center"/>
            <w:hideMark/>
          </w:tcPr>
          <w:p w14:paraId="5D3429FD" w14:textId="77777777" w:rsidR="00000000" w:rsidRDefault="00405D16">
            <w:pPr>
              <w:spacing w:after="100"/>
              <w:rPr>
                <w:rFonts w:eastAsia="Times New Roman"/>
                <w:sz w:val="20"/>
                <w:szCs w:val="20"/>
              </w:rPr>
            </w:pPr>
          </w:p>
        </w:tc>
        <w:tc>
          <w:tcPr>
            <w:tcW w:w="0" w:type="auto"/>
            <w:gridSpan w:val="3"/>
            <w:vAlign w:val="center"/>
            <w:hideMark/>
          </w:tcPr>
          <w:p w14:paraId="353BC6CC" w14:textId="77777777" w:rsidR="00000000" w:rsidRDefault="00405D16">
            <w:pPr>
              <w:spacing w:after="100"/>
              <w:rPr>
                <w:rFonts w:eastAsia="Times New Roman"/>
                <w:sz w:val="20"/>
                <w:szCs w:val="20"/>
              </w:rPr>
            </w:pPr>
          </w:p>
        </w:tc>
        <w:tc>
          <w:tcPr>
            <w:tcW w:w="0" w:type="auto"/>
            <w:gridSpan w:val="2"/>
            <w:vAlign w:val="center"/>
            <w:hideMark/>
          </w:tcPr>
          <w:p w14:paraId="51464B90" w14:textId="77777777" w:rsidR="00000000" w:rsidRDefault="00405D16">
            <w:pPr>
              <w:spacing w:after="100"/>
              <w:rPr>
                <w:rFonts w:eastAsia="Times New Roman"/>
                <w:sz w:val="20"/>
                <w:szCs w:val="20"/>
              </w:rPr>
            </w:pPr>
          </w:p>
        </w:tc>
      </w:tr>
      <w:tr w:rsidR="00000000" w14:paraId="42BECD8A" w14:textId="77777777">
        <w:trPr>
          <w:divId w:val="1278830381"/>
        </w:trPr>
        <w:tc>
          <w:tcPr>
            <w:tcW w:w="0" w:type="auto"/>
            <w:gridSpan w:val="3"/>
            <w:tcMar>
              <w:top w:w="0" w:type="dxa"/>
              <w:left w:w="20" w:type="dxa"/>
              <w:bottom w:w="0" w:type="dxa"/>
              <w:right w:w="20" w:type="dxa"/>
            </w:tcMar>
            <w:vAlign w:val="center"/>
            <w:hideMark/>
          </w:tcPr>
          <w:p w14:paraId="3CF728A9"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0DFAE6A" w14:textId="77777777" w:rsidR="00000000" w:rsidRDefault="00405D16">
            <w:pPr>
              <w:spacing w:after="100"/>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14:paraId="5032FC3D" w14:textId="77777777" w:rsidR="00000000" w:rsidRDefault="00405D16">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4F038102" w14:textId="77777777" w:rsidR="00000000" w:rsidRDefault="00405D16">
            <w:pPr>
              <w:spacing w:after="100"/>
              <w:jc w:val="center"/>
              <w:rPr>
                <w:rFonts w:eastAsia="Times New Roman"/>
              </w:rPr>
            </w:pPr>
          </w:p>
        </w:tc>
        <w:tc>
          <w:tcPr>
            <w:tcW w:w="0" w:type="auto"/>
            <w:gridSpan w:val="21"/>
            <w:tcBorders>
              <w:bottom w:val="single" w:sz="8" w:space="0" w:color="000000"/>
            </w:tcBorders>
            <w:tcMar>
              <w:top w:w="30" w:type="dxa"/>
              <w:left w:w="20" w:type="dxa"/>
              <w:bottom w:w="30" w:type="dxa"/>
              <w:right w:w="20" w:type="dxa"/>
            </w:tcMar>
            <w:vAlign w:val="bottom"/>
            <w:hideMark/>
          </w:tcPr>
          <w:p w14:paraId="54790331" w14:textId="77777777" w:rsidR="00000000" w:rsidRDefault="00405D16">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417C43FF" w14:textId="77777777" w:rsidR="00000000" w:rsidRDefault="00405D16">
            <w:pPr>
              <w:spacing w:after="100"/>
              <w:rPr>
                <w:rFonts w:eastAsia="Times New Roman"/>
                <w:sz w:val="20"/>
                <w:szCs w:val="20"/>
              </w:rPr>
            </w:pPr>
          </w:p>
        </w:tc>
        <w:tc>
          <w:tcPr>
            <w:tcW w:w="0" w:type="auto"/>
            <w:vAlign w:val="center"/>
            <w:hideMark/>
          </w:tcPr>
          <w:p w14:paraId="57495544" w14:textId="77777777" w:rsidR="00000000" w:rsidRDefault="00405D16">
            <w:pPr>
              <w:spacing w:after="100"/>
              <w:rPr>
                <w:rFonts w:eastAsia="Times New Roman"/>
                <w:sz w:val="20"/>
                <w:szCs w:val="20"/>
              </w:rPr>
            </w:pPr>
          </w:p>
        </w:tc>
        <w:tc>
          <w:tcPr>
            <w:tcW w:w="0" w:type="auto"/>
            <w:vAlign w:val="center"/>
            <w:hideMark/>
          </w:tcPr>
          <w:p w14:paraId="3359046B" w14:textId="77777777" w:rsidR="00000000" w:rsidRDefault="00405D16">
            <w:pPr>
              <w:spacing w:after="100"/>
              <w:rPr>
                <w:rFonts w:eastAsia="Times New Roman"/>
                <w:sz w:val="20"/>
                <w:szCs w:val="20"/>
              </w:rPr>
            </w:pPr>
          </w:p>
        </w:tc>
        <w:tc>
          <w:tcPr>
            <w:tcW w:w="0" w:type="auto"/>
            <w:vAlign w:val="center"/>
            <w:hideMark/>
          </w:tcPr>
          <w:p w14:paraId="790B5A3B" w14:textId="77777777" w:rsidR="00000000" w:rsidRDefault="00405D16">
            <w:pPr>
              <w:spacing w:after="100"/>
              <w:rPr>
                <w:rFonts w:eastAsia="Times New Roman"/>
                <w:sz w:val="20"/>
                <w:szCs w:val="20"/>
              </w:rPr>
            </w:pPr>
          </w:p>
        </w:tc>
        <w:tc>
          <w:tcPr>
            <w:tcW w:w="0" w:type="auto"/>
            <w:vAlign w:val="center"/>
            <w:hideMark/>
          </w:tcPr>
          <w:p w14:paraId="43916FB6" w14:textId="77777777" w:rsidR="00000000" w:rsidRDefault="00405D16">
            <w:pPr>
              <w:spacing w:after="100"/>
              <w:rPr>
                <w:rFonts w:eastAsia="Times New Roman"/>
                <w:sz w:val="20"/>
                <w:szCs w:val="20"/>
              </w:rPr>
            </w:pPr>
          </w:p>
        </w:tc>
        <w:tc>
          <w:tcPr>
            <w:tcW w:w="0" w:type="auto"/>
            <w:vAlign w:val="center"/>
            <w:hideMark/>
          </w:tcPr>
          <w:p w14:paraId="3D7770B5" w14:textId="77777777" w:rsidR="00000000" w:rsidRDefault="00405D16">
            <w:pPr>
              <w:spacing w:after="100"/>
              <w:rPr>
                <w:rFonts w:eastAsia="Times New Roman"/>
                <w:sz w:val="20"/>
                <w:szCs w:val="20"/>
              </w:rPr>
            </w:pPr>
          </w:p>
        </w:tc>
        <w:tc>
          <w:tcPr>
            <w:tcW w:w="0" w:type="auto"/>
            <w:vAlign w:val="center"/>
            <w:hideMark/>
          </w:tcPr>
          <w:p w14:paraId="2A2BB68F" w14:textId="77777777" w:rsidR="00000000" w:rsidRDefault="00405D16">
            <w:pPr>
              <w:spacing w:after="100"/>
              <w:rPr>
                <w:rFonts w:eastAsia="Times New Roman"/>
                <w:sz w:val="20"/>
                <w:szCs w:val="20"/>
              </w:rPr>
            </w:pPr>
          </w:p>
        </w:tc>
        <w:tc>
          <w:tcPr>
            <w:tcW w:w="0" w:type="auto"/>
            <w:vAlign w:val="center"/>
            <w:hideMark/>
          </w:tcPr>
          <w:p w14:paraId="6A074784" w14:textId="77777777" w:rsidR="00000000" w:rsidRDefault="00405D16">
            <w:pPr>
              <w:spacing w:after="100"/>
              <w:rPr>
                <w:rFonts w:eastAsia="Times New Roman"/>
                <w:sz w:val="20"/>
                <w:szCs w:val="20"/>
              </w:rPr>
            </w:pPr>
          </w:p>
        </w:tc>
        <w:tc>
          <w:tcPr>
            <w:tcW w:w="0" w:type="auto"/>
            <w:vAlign w:val="center"/>
            <w:hideMark/>
          </w:tcPr>
          <w:p w14:paraId="344F7C4E" w14:textId="77777777" w:rsidR="00000000" w:rsidRDefault="00405D16">
            <w:pPr>
              <w:spacing w:after="100"/>
              <w:rPr>
                <w:rFonts w:eastAsia="Times New Roman"/>
                <w:sz w:val="20"/>
                <w:szCs w:val="20"/>
              </w:rPr>
            </w:pPr>
          </w:p>
        </w:tc>
        <w:tc>
          <w:tcPr>
            <w:tcW w:w="0" w:type="auto"/>
            <w:vAlign w:val="center"/>
            <w:hideMark/>
          </w:tcPr>
          <w:p w14:paraId="68607EA5" w14:textId="77777777" w:rsidR="00000000" w:rsidRDefault="00405D16">
            <w:pPr>
              <w:spacing w:after="100"/>
              <w:rPr>
                <w:rFonts w:eastAsia="Times New Roman"/>
                <w:sz w:val="20"/>
                <w:szCs w:val="20"/>
              </w:rPr>
            </w:pPr>
          </w:p>
        </w:tc>
        <w:tc>
          <w:tcPr>
            <w:tcW w:w="0" w:type="auto"/>
            <w:vAlign w:val="center"/>
            <w:hideMark/>
          </w:tcPr>
          <w:p w14:paraId="58E776A0" w14:textId="77777777" w:rsidR="00000000" w:rsidRDefault="00405D16">
            <w:pPr>
              <w:spacing w:after="100"/>
              <w:rPr>
                <w:rFonts w:eastAsia="Times New Roman"/>
                <w:sz w:val="20"/>
                <w:szCs w:val="20"/>
              </w:rPr>
            </w:pPr>
          </w:p>
        </w:tc>
      </w:tr>
      <w:tr w:rsidR="00000000" w14:paraId="6F04938B" w14:textId="77777777">
        <w:trPr>
          <w:divId w:val="1278830381"/>
        </w:trPr>
        <w:tc>
          <w:tcPr>
            <w:tcW w:w="0" w:type="auto"/>
            <w:gridSpan w:val="3"/>
            <w:tcMar>
              <w:top w:w="30" w:type="dxa"/>
              <w:left w:w="20" w:type="dxa"/>
              <w:bottom w:w="30" w:type="dxa"/>
              <w:right w:w="20" w:type="dxa"/>
            </w:tcMar>
            <w:vAlign w:val="bottom"/>
            <w:hideMark/>
          </w:tcPr>
          <w:p w14:paraId="2CDFF2D0"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2672DA93" w14:textId="77777777" w:rsidR="00000000" w:rsidRDefault="00405D16">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1F37F80B"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41339224" w14:textId="77777777" w:rsidR="00000000" w:rsidRDefault="00405D16">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727A483D"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58325235" w14:textId="77777777" w:rsidR="00000000" w:rsidRDefault="00405D16">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1D889372"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1B8D4E3D" w14:textId="77777777" w:rsidR="00000000" w:rsidRDefault="00405D16">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16FF3B20"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gridSpan w:val="3"/>
            <w:vAlign w:val="center"/>
            <w:hideMark/>
          </w:tcPr>
          <w:p w14:paraId="588C009B" w14:textId="77777777" w:rsidR="00000000" w:rsidRDefault="00405D16">
            <w:pPr>
              <w:spacing w:after="100"/>
              <w:jc w:val="center"/>
              <w:rPr>
                <w:rFonts w:eastAsia="Times New Roman"/>
              </w:rPr>
            </w:pPr>
          </w:p>
        </w:tc>
        <w:tc>
          <w:tcPr>
            <w:tcW w:w="0" w:type="auto"/>
            <w:gridSpan w:val="3"/>
            <w:vAlign w:val="center"/>
            <w:hideMark/>
          </w:tcPr>
          <w:p w14:paraId="0E002D2D" w14:textId="77777777" w:rsidR="00000000" w:rsidRDefault="00405D16">
            <w:pPr>
              <w:spacing w:after="100"/>
              <w:rPr>
                <w:rFonts w:eastAsia="Times New Roman"/>
                <w:sz w:val="20"/>
                <w:szCs w:val="20"/>
              </w:rPr>
            </w:pPr>
          </w:p>
        </w:tc>
        <w:tc>
          <w:tcPr>
            <w:tcW w:w="0" w:type="auto"/>
            <w:vAlign w:val="center"/>
            <w:hideMark/>
          </w:tcPr>
          <w:p w14:paraId="37D1DC48" w14:textId="77777777" w:rsidR="00000000" w:rsidRDefault="00405D16">
            <w:pPr>
              <w:spacing w:after="100"/>
              <w:rPr>
                <w:rFonts w:eastAsia="Times New Roman"/>
                <w:sz w:val="20"/>
                <w:szCs w:val="20"/>
              </w:rPr>
            </w:pPr>
          </w:p>
        </w:tc>
        <w:tc>
          <w:tcPr>
            <w:tcW w:w="0" w:type="auto"/>
            <w:vAlign w:val="center"/>
            <w:hideMark/>
          </w:tcPr>
          <w:p w14:paraId="08FC9432" w14:textId="77777777" w:rsidR="00000000" w:rsidRDefault="00405D16">
            <w:pPr>
              <w:spacing w:after="100"/>
              <w:rPr>
                <w:rFonts w:eastAsia="Times New Roman"/>
                <w:sz w:val="20"/>
                <w:szCs w:val="20"/>
              </w:rPr>
            </w:pPr>
          </w:p>
        </w:tc>
        <w:tc>
          <w:tcPr>
            <w:tcW w:w="0" w:type="auto"/>
            <w:vAlign w:val="center"/>
            <w:hideMark/>
          </w:tcPr>
          <w:p w14:paraId="5CCDF411" w14:textId="77777777" w:rsidR="00000000" w:rsidRDefault="00405D16">
            <w:pPr>
              <w:spacing w:after="100"/>
              <w:rPr>
                <w:rFonts w:eastAsia="Times New Roman"/>
                <w:sz w:val="20"/>
                <w:szCs w:val="20"/>
              </w:rPr>
            </w:pPr>
          </w:p>
        </w:tc>
        <w:tc>
          <w:tcPr>
            <w:tcW w:w="0" w:type="auto"/>
            <w:vAlign w:val="center"/>
            <w:hideMark/>
          </w:tcPr>
          <w:p w14:paraId="641908F7" w14:textId="77777777" w:rsidR="00000000" w:rsidRDefault="00405D16">
            <w:pPr>
              <w:spacing w:after="100"/>
              <w:rPr>
                <w:rFonts w:eastAsia="Times New Roman"/>
                <w:sz w:val="20"/>
                <w:szCs w:val="20"/>
              </w:rPr>
            </w:pPr>
          </w:p>
        </w:tc>
        <w:tc>
          <w:tcPr>
            <w:tcW w:w="0" w:type="auto"/>
            <w:vAlign w:val="center"/>
            <w:hideMark/>
          </w:tcPr>
          <w:p w14:paraId="2F79CEF0" w14:textId="77777777" w:rsidR="00000000" w:rsidRDefault="00405D16">
            <w:pPr>
              <w:spacing w:after="100"/>
              <w:rPr>
                <w:rFonts w:eastAsia="Times New Roman"/>
                <w:sz w:val="20"/>
                <w:szCs w:val="20"/>
              </w:rPr>
            </w:pPr>
          </w:p>
        </w:tc>
      </w:tr>
      <w:tr w:rsidR="00000000" w14:paraId="0DB8DA9E" w14:textId="77777777">
        <w:trPr>
          <w:divId w:val="1278830381"/>
        </w:trPr>
        <w:tc>
          <w:tcPr>
            <w:tcW w:w="0" w:type="auto"/>
            <w:gridSpan w:val="3"/>
            <w:tcMar>
              <w:top w:w="30" w:type="dxa"/>
              <w:left w:w="20" w:type="dxa"/>
              <w:bottom w:w="30" w:type="dxa"/>
              <w:right w:w="20" w:type="dxa"/>
            </w:tcMar>
            <w:vAlign w:val="bottom"/>
            <w:hideMark/>
          </w:tcPr>
          <w:p w14:paraId="1D9D2AD8"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318150F3"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90B41C2" w14:textId="77777777" w:rsidR="00000000" w:rsidRDefault="00405D16">
            <w:pPr>
              <w:spacing w:after="100"/>
              <w:jc w:val="center"/>
              <w:rPr>
                <w:rFonts w:eastAsia="Times New Roman"/>
              </w:rPr>
            </w:pPr>
            <w:r>
              <w:rPr>
                <w:rFonts w:eastAsia="Times New Roman"/>
                <w:b/>
                <w:bCs/>
                <w:color w:val="000000"/>
                <w:sz w:val="16"/>
                <w:szCs w:val="16"/>
              </w:rPr>
              <w:t>Number of Contracts</w:t>
            </w:r>
          </w:p>
        </w:tc>
        <w:tc>
          <w:tcPr>
            <w:tcW w:w="0" w:type="auto"/>
            <w:gridSpan w:val="3"/>
            <w:tcBorders>
              <w:top w:val="single" w:sz="8" w:space="0" w:color="000000"/>
            </w:tcBorders>
            <w:tcMar>
              <w:top w:w="0" w:type="dxa"/>
              <w:left w:w="20" w:type="dxa"/>
              <w:bottom w:w="0" w:type="dxa"/>
              <w:right w:w="20" w:type="dxa"/>
            </w:tcMar>
            <w:vAlign w:val="center"/>
            <w:hideMark/>
          </w:tcPr>
          <w:p w14:paraId="4FE69441"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BD26737" w14:textId="77777777" w:rsidR="00000000" w:rsidRDefault="00405D16">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31CE8E82"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C3DEFC9" w14:textId="77777777" w:rsidR="00000000" w:rsidRDefault="00405D16">
            <w:pPr>
              <w:spacing w:after="100"/>
              <w:jc w:val="center"/>
              <w:rPr>
                <w:rFonts w:eastAsia="Times New Roman"/>
              </w:rPr>
            </w:pPr>
            <w:r>
              <w:rPr>
                <w:rFonts w:eastAsia="Times New Roman"/>
                <w:b/>
                <w:bCs/>
                <w:color w:val="000000"/>
                <w:sz w:val="16"/>
                <w:szCs w:val="16"/>
              </w:rPr>
              <w:t>Number of Contracts</w:t>
            </w:r>
          </w:p>
        </w:tc>
        <w:tc>
          <w:tcPr>
            <w:tcW w:w="0" w:type="auto"/>
            <w:gridSpan w:val="3"/>
            <w:tcBorders>
              <w:top w:val="single" w:sz="8" w:space="0" w:color="000000"/>
            </w:tcBorders>
            <w:tcMar>
              <w:top w:w="0" w:type="dxa"/>
              <w:left w:w="20" w:type="dxa"/>
              <w:bottom w:w="0" w:type="dxa"/>
              <w:right w:w="20" w:type="dxa"/>
            </w:tcMar>
            <w:vAlign w:val="center"/>
            <w:hideMark/>
          </w:tcPr>
          <w:p w14:paraId="4F24D4B3"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300B955" w14:textId="77777777" w:rsidR="00000000" w:rsidRDefault="00405D16">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5DD2D7B4"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CAA0ED2" w14:textId="77777777" w:rsidR="00000000" w:rsidRDefault="00405D16">
            <w:pPr>
              <w:spacing w:after="100"/>
              <w:jc w:val="center"/>
              <w:rPr>
                <w:rFonts w:eastAsia="Times New Roman"/>
              </w:rPr>
            </w:pPr>
            <w:r>
              <w:rPr>
                <w:rFonts w:eastAsia="Times New Roman"/>
                <w:b/>
                <w:bCs/>
                <w:color w:val="000000"/>
                <w:sz w:val="16"/>
                <w:szCs w:val="16"/>
              </w:rPr>
              <w:t>Number of Contracts</w:t>
            </w:r>
          </w:p>
        </w:tc>
        <w:tc>
          <w:tcPr>
            <w:tcW w:w="0" w:type="auto"/>
            <w:gridSpan w:val="3"/>
            <w:tcBorders>
              <w:top w:val="single" w:sz="8" w:space="0" w:color="000000"/>
            </w:tcBorders>
            <w:tcMar>
              <w:top w:w="0" w:type="dxa"/>
              <w:left w:w="20" w:type="dxa"/>
              <w:bottom w:w="0" w:type="dxa"/>
              <w:right w:w="20" w:type="dxa"/>
            </w:tcMar>
            <w:vAlign w:val="center"/>
            <w:hideMark/>
          </w:tcPr>
          <w:p w14:paraId="230786DA"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2CD16B5" w14:textId="77777777" w:rsidR="00000000" w:rsidRDefault="00405D16">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40ED22D4"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45DE945" w14:textId="77777777" w:rsidR="00000000" w:rsidRDefault="00405D16">
            <w:pPr>
              <w:spacing w:after="100"/>
              <w:jc w:val="center"/>
              <w:rPr>
                <w:rFonts w:eastAsia="Times New Roman"/>
              </w:rPr>
            </w:pPr>
            <w:r>
              <w:rPr>
                <w:rFonts w:eastAsia="Times New Roman"/>
                <w:b/>
                <w:bCs/>
                <w:color w:val="000000"/>
                <w:sz w:val="16"/>
                <w:szCs w:val="16"/>
              </w:rPr>
              <w:t>Number of Contracts</w:t>
            </w:r>
          </w:p>
        </w:tc>
        <w:tc>
          <w:tcPr>
            <w:tcW w:w="0" w:type="auto"/>
            <w:gridSpan w:val="3"/>
            <w:tcBorders>
              <w:top w:val="single" w:sz="8" w:space="0" w:color="000000"/>
            </w:tcBorders>
            <w:tcMar>
              <w:top w:w="0" w:type="dxa"/>
              <w:left w:w="20" w:type="dxa"/>
              <w:bottom w:w="0" w:type="dxa"/>
              <w:right w:w="20" w:type="dxa"/>
            </w:tcMar>
            <w:vAlign w:val="center"/>
            <w:hideMark/>
          </w:tcPr>
          <w:p w14:paraId="01CAD622"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D859690" w14:textId="77777777" w:rsidR="00000000" w:rsidRDefault="00405D16">
            <w:pPr>
              <w:spacing w:after="100"/>
              <w:jc w:val="center"/>
              <w:rPr>
                <w:rFonts w:eastAsia="Times New Roman"/>
              </w:rPr>
            </w:pPr>
            <w:r>
              <w:rPr>
                <w:rFonts w:eastAsia="Times New Roman"/>
                <w:b/>
                <w:bCs/>
                <w:color w:val="000000"/>
                <w:sz w:val="16"/>
                <w:szCs w:val="16"/>
              </w:rPr>
              <w:t>Amount</w:t>
            </w:r>
          </w:p>
        </w:tc>
        <w:tc>
          <w:tcPr>
            <w:tcW w:w="0" w:type="auto"/>
            <w:gridSpan w:val="3"/>
            <w:vAlign w:val="center"/>
            <w:hideMark/>
          </w:tcPr>
          <w:p w14:paraId="68EE05B4" w14:textId="77777777" w:rsidR="00000000" w:rsidRDefault="00405D16">
            <w:pPr>
              <w:spacing w:after="100"/>
              <w:jc w:val="center"/>
              <w:rPr>
                <w:rFonts w:eastAsia="Times New Roman"/>
              </w:rPr>
            </w:pPr>
          </w:p>
        </w:tc>
        <w:tc>
          <w:tcPr>
            <w:tcW w:w="0" w:type="auto"/>
            <w:gridSpan w:val="3"/>
            <w:vAlign w:val="center"/>
            <w:hideMark/>
          </w:tcPr>
          <w:p w14:paraId="0E5DB0BF" w14:textId="77777777" w:rsidR="00000000" w:rsidRDefault="00405D16">
            <w:pPr>
              <w:spacing w:after="100"/>
              <w:rPr>
                <w:rFonts w:eastAsia="Times New Roman"/>
                <w:sz w:val="20"/>
                <w:szCs w:val="20"/>
              </w:rPr>
            </w:pPr>
          </w:p>
        </w:tc>
        <w:tc>
          <w:tcPr>
            <w:tcW w:w="0" w:type="auto"/>
            <w:gridSpan w:val="3"/>
            <w:vAlign w:val="center"/>
            <w:hideMark/>
          </w:tcPr>
          <w:p w14:paraId="3B524782" w14:textId="77777777" w:rsidR="00000000" w:rsidRDefault="00405D16">
            <w:pPr>
              <w:spacing w:after="100"/>
              <w:rPr>
                <w:rFonts w:eastAsia="Times New Roman"/>
                <w:sz w:val="20"/>
                <w:szCs w:val="20"/>
              </w:rPr>
            </w:pPr>
          </w:p>
        </w:tc>
        <w:tc>
          <w:tcPr>
            <w:tcW w:w="0" w:type="auto"/>
            <w:gridSpan w:val="2"/>
            <w:vAlign w:val="center"/>
            <w:hideMark/>
          </w:tcPr>
          <w:p w14:paraId="5E8E21F0" w14:textId="77777777" w:rsidR="00000000" w:rsidRDefault="00405D16">
            <w:pPr>
              <w:spacing w:after="100"/>
              <w:rPr>
                <w:rFonts w:eastAsia="Times New Roman"/>
                <w:sz w:val="20"/>
                <w:szCs w:val="20"/>
              </w:rPr>
            </w:pPr>
          </w:p>
        </w:tc>
      </w:tr>
      <w:tr w:rsidR="00000000" w14:paraId="3949F54B" w14:textId="77777777">
        <w:trPr>
          <w:divId w:val="127883038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7A79E7E" w14:textId="77777777" w:rsidR="00000000" w:rsidRDefault="00405D16">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14:paraId="4477F900"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9985BC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06A967"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B9DBDC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85F108"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67C77C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0CE0A4"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912E65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1C887B"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2AC927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7C2A37"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36C35E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5DBCE8"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C24FB2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C2FB94"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03A2779" w14:textId="77777777" w:rsidR="00000000" w:rsidRDefault="00405D16">
            <w:pPr>
              <w:spacing w:after="100"/>
              <w:rPr>
                <w:rFonts w:eastAsia="Times New Roman"/>
                <w:sz w:val="20"/>
                <w:szCs w:val="20"/>
              </w:rPr>
            </w:pPr>
          </w:p>
        </w:tc>
        <w:tc>
          <w:tcPr>
            <w:tcW w:w="0" w:type="auto"/>
            <w:gridSpan w:val="3"/>
            <w:vAlign w:val="center"/>
            <w:hideMark/>
          </w:tcPr>
          <w:p w14:paraId="7209041A" w14:textId="77777777" w:rsidR="00000000" w:rsidRDefault="00405D16">
            <w:pPr>
              <w:spacing w:after="100"/>
              <w:rPr>
                <w:rFonts w:eastAsia="Times New Roman"/>
                <w:sz w:val="20"/>
                <w:szCs w:val="20"/>
              </w:rPr>
            </w:pPr>
          </w:p>
        </w:tc>
        <w:tc>
          <w:tcPr>
            <w:tcW w:w="0" w:type="auto"/>
            <w:gridSpan w:val="3"/>
            <w:vAlign w:val="center"/>
            <w:hideMark/>
          </w:tcPr>
          <w:p w14:paraId="5EEF4DA8" w14:textId="77777777" w:rsidR="00000000" w:rsidRDefault="00405D16">
            <w:pPr>
              <w:spacing w:after="100"/>
              <w:rPr>
                <w:rFonts w:eastAsia="Times New Roman"/>
                <w:sz w:val="20"/>
                <w:szCs w:val="20"/>
              </w:rPr>
            </w:pPr>
          </w:p>
        </w:tc>
        <w:tc>
          <w:tcPr>
            <w:tcW w:w="0" w:type="auto"/>
            <w:gridSpan w:val="3"/>
            <w:vAlign w:val="center"/>
            <w:hideMark/>
          </w:tcPr>
          <w:p w14:paraId="1D831BBF" w14:textId="77777777" w:rsidR="00000000" w:rsidRDefault="00405D16">
            <w:pPr>
              <w:spacing w:after="100"/>
              <w:rPr>
                <w:rFonts w:eastAsia="Times New Roman"/>
                <w:sz w:val="20"/>
                <w:szCs w:val="20"/>
              </w:rPr>
            </w:pPr>
          </w:p>
        </w:tc>
        <w:tc>
          <w:tcPr>
            <w:tcW w:w="0" w:type="auto"/>
            <w:gridSpan w:val="2"/>
            <w:vAlign w:val="center"/>
            <w:hideMark/>
          </w:tcPr>
          <w:p w14:paraId="49CC2F93" w14:textId="77777777" w:rsidR="00000000" w:rsidRDefault="00405D16">
            <w:pPr>
              <w:spacing w:after="100"/>
              <w:rPr>
                <w:rFonts w:eastAsia="Times New Roman"/>
                <w:sz w:val="20"/>
                <w:szCs w:val="20"/>
              </w:rPr>
            </w:pPr>
          </w:p>
        </w:tc>
      </w:tr>
      <w:tr w:rsidR="00405D16" w14:paraId="7758E9B9" w14:textId="77777777">
        <w:trPr>
          <w:divId w:val="1278830381"/>
        </w:trPr>
        <w:tc>
          <w:tcPr>
            <w:tcW w:w="0" w:type="auto"/>
            <w:gridSpan w:val="3"/>
            <w:shd w:val="clear" w:color="auto" w:fill="FFFFFF"/>
            <w:tcMar>
              <w:top w:w="30" w:type="dxa"/>
              <w:left w:w="245" w:type="dxa"/>
              <w:bottom w:w="30" w:type="dxa"/>
              <w:right w:w="20" w:type="dxa"/>
            </w:tcMar>
            <w:vAlign w:val="center"/>
            <w:hideMark/>
          </w:tcPr>
          <w:p w14:paraId="6553FE62" w14:textId="77777777" w:rsidR="00000000" w:rsidRDefault="00405D16">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14:paraId="6252E205"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0B5D3A7" w14:textId="77777777" w:rsidR="00000000" w:rsidRDefault="00405D16">
            <w:pPr>
              <w:spacing w:after="100"/>
              <w:jc w:val="right"/>
              <w:rPr>
                <w:rFonts w:eastAsia="Times New Roman"/>
              </w:rPr>
            </w:pPr>
            <w:r>
              <w:rPr>
                <w:rFonts w:eastAsia="Times New Roman"/>
                <w:b/>
                <w:bCs/>
                <w:color w:val="000000"/>
                <w:sz w:val="18"/>
                <w:szCs w:val="18"/>
              </w:rPr>
              <w:t>4,168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A856E7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EC4317"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1D6C476"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073BCD7E" w14:textId="77777777" w:rsidR="00000000" w:rsidRDefault="00405D16">
            <w:pPr>
              <w:spacing w:after="100"/>
              <w:jc w:val="right"/>
              <w:rPr>
                <w:rFonts w:eastAsia="Times New Roman"/>
              </w:rPr>
            </w:pPr>
            <w:r>
              <w:rPr>
                <w:rFonts w:eastAsia="Times New Roman"/>
                <w:b/>
                <w:bCs/>
                <w:color w:val="000000"/>
                <w:sz w:val="18"/>
                <w:szCs w:val="18"/>
              </w:rPr>
              <w:t>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C47207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B4FF7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DBA808F" w14:textId="77777777" w:rsidR="00000000" w:rsidRDefault="00405D16">
            <w:pPr>
              <w:spacing w:after="100"/>
              <w:jc w:val="right"/>
              <w:rPr>
                <w:rFonts w:eastAsia="Times New Roman"/>
              </w:rPr>
            </w:pPr>
            <w:r>
              <w:rPr>
                <w:rFonts w:eastAsia="Times New Roman"/>
                <w:color w:val="000000"/>
                <w:sz w:val="18"/>
                <w:szCs w:val="18"/>
              </w:rPr>
              <w:t>6,554 </w:t>
            </w:r>
          </w:p>
        </w:tc>
        <w:tc>
          <w:tcPr>
            <w:tcW w:w="0" w:type="auto"/>
            <w:shd w:val="clear" w:color="auto" w:fill="FFFFFF"/>
            <w:tcMar>
              <w:top w:w="30" w:type="dxa"/>
              <w:left w:w="0" w:type="dxa"/>
              <w:bottom w:w="30" w:type="dxa"/>
              <w:right w:w="20" w:type="dxa"/>
            </w:tcMar>
            <w:vAlign w:val="center"/>
            <w:hideMark/>
          </w:tcPr>
          <w:p w14:paraId="46E2A41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BF1F9C"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22CA885"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6649D21A" w14:textId="77777777" w:rsidR="00000000" w:rsidRDefault="00405D16">
            <w:pPr>
              <w:spacing w:after="100"/>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center"/>
            <w:hideMark/>
          </w:tcPr>
          <w:p w14:paraId="390E1CD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75456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6F5B1A7" w14:textId="77777777" w:rsidR="00000000" w:rsidRDefault="00405D16">
            <w:pPr>
              <w:spacing w:after="100"/>
              <w:jc w:val="right"/>
              <w:rPr>
                <w:rFonts w:eastAsia="Times New Roman"/>
              </w:rPr>
            </w:pPr>
            <w:r>
              <w:rPr>
                <w:rFonts w:eastAsia="Times New Roman"/>
                <w:b/>
                <w:bCs/>
                <w:color w:val="2C2C2C"/>
                <w:sz w:val="18"/>
                <w:szCs w:val="18"/>
              </w:rPr>
              <w:t>13,528</w:t>
            </w:r>
            <w:r>
              <w:rPr>
                <w:rFonts w:eastAsia="Times New Roman"/>
                <w:color w:val="2C2C2C"/>
                <w:sz w:val="18"/>
                <w:szCs w:val="18"/>
              </w:rPr>
              <w:t> </w:t>
            </w:r>
          </w:p>
        </w:tc>
        <w:tc>
          <w:tcPr>
            <w:tcW w:w="0" w:type="auto"/>
            <w:shd w:val="clear" w:color="auto" w:fill="FFFFFF"/>
            <w:tcMar>
              <w:top w:w="30" w:type="dxa"/>
              <w:left w:w="0" w:type="dxa"/>
              <w:bottom w:w="30" w:type="dxa"/>
              <w:right w:w="20" w:type="dxa"/>
            </w:tcMar>
            <w:vAlign w:val="center"/>
            <w:hideMark/>
          </w:tcPr>
          <w:p w14:paraId="5AAD371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279558"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39933F4" w14:textId="77777777" w:rsidR="00000000" w:rsidRDefault="00405D16">
            <w:pPr>
              <w:spacing w:after="100"/>
              <w:rPr>
                <w:rFonts w:eastAsia="Times New Roman"/>
              </w:rPr>
            </w:pPr>
            <w:r>
              <w:rPr>
                <w:rFonts w:eastAsia="Times New Roman"/>
                <w:b/>
                <w:bCs/>
                <w:color w:val="2C2C2C"/>
                <w:sz w:val="18"/>
                <w:szCs w:val="18"/>
              </w:rPr>
              <w:t>$</w:t>
            </w:r>
          </w:p>
        </w:tc>
        <w:tc>
          <w:tcPr>
            <w:tcW w:w="0" w:type="auto"/>
            <w:shd w:val="clear" w:color="auto" w:fill="FFFFFF"/>
            <w:tcMar>
              <w:top w:w="30" w:type="dxa"/>
              <w:left w:w="0" w:type="dxa"/>
              <w:bottom w:w="30" w:type="dxa"/>
              <w:right w:w="0" w:type="dxa"/>
            </w:tcMar>
            <w:vAlign w:val="center"/>
            <w:hideMark/>
          </w:tcPr>
          <w:p w14:paraId="276AC918" w14:textId="77777777" w:rsidR="00000000" w:rsidRDefault="00405D16">
            <w:pPr>
              <w:spacing w:after="100"/>
              <w:jc w:val="right"/>
              <w:rPr>
                <w:rFonts w:eastAsia="Times New Roman"/>
              </w:rPr>
            </w:pPr>
            <w:r>
              <w:rPr>
                <w:rFonts w:eastAsia="Times New Roman"/>
                <w:b/>
                <w:bCs/>
                <w:color w:val="2C2C2C"/>
                <w:sz w:val="18"/>
                <w:szCs w:val="18"/>
              </w:rPr>
              <w:t>25</w:t>
            </w:r>
            <w:r>
              <w:rPr>
                <w:rFonts w:eastAsia="Times New Roman"/>
                <w:color w:val="2C2C2C"/>
                <w:sz w:val="18"/>
                <w:szCs w:val="18"/>
              </w:rPr>
              <w:t> </w:t>
            </w:r>
          </w:p>
        </w:tc>
        <w:tc>
          <w:tcPr>
            <w:tcW w:w="0" w:type="auto"/>
            <w:shd w:val="clear" w:color="auto" w:fill="FFFFFF"/>
            <w:tcMar>
              <w:top w:w="30" w:type="dxa"/>
              <w:left w:w="0" w:type="dxa"/>
              <w:bottom w:w="30" w:type="dxa"/>
              <w:right w:w="20" w:type="dxa"/>
            </w:tcMar>
            <w:vAlign w:val="center"/>
            <w:hideMark/>
          </w:tcPr>
          <w:p w14:paraId="46B1731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98026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2A02DB7" w14:textId="77777777" w:rsidR="00000000" w:rsidRDefault="00405D16">
            <w:pPr>
              <w:spacing w:after="100"/>
              <w:jc w:val="right"/>
              <w:rPr>
                <w:rFonts w:eastAsia="Times New Roman"/>
              </w:rPr>
            </w:pPr>
            <w:r>
              <w:rPr>
                <w:rFonts w:eastAsia="Times New Roman"/>
                <w:color w:val="000000"/>
                <w:sz w:val="18"/>
                <w:szCs w:val="18"/>
              </w:rPr>
              <w:t>27,022 </w:t>
            </w:r>
          </w:p>
        </w:tc>
        <w:tc>
          <w:tcPr>
            <w:tcW w:w="0" w:type="auto"/>
            <w:shd w:val="clear" w:color="auto" w:fill="FFFFFF"/>
            <w:tcMar>
              <w:top w:w="30" w:type="dxa"/>
              <w:left w:w="0" w:type="dxa"/>
              <w:bottom w:w="30" w:type="dxa"/>
              <w:right w:w="20" w:type="dxa"/>
            </w:tcMar>
            <w:vAlign w:val="center"/>
            <w:hideMark/>
          </w:tcPr>
          <w:p w14:paraId="56067D3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FEF94E"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DAF1102"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002C543F" w14:textId="77777777" w:rsidR="00000000" w:rsidRDefault="00405D16">
            <w:pPr>
              <w:spacing w:after="100"/>
              <w:jc w:val="right"/>
              <w:rPr>
                <w:rFonts w:eastAsia="Times New Roman"/>
              </w:rPr>
            </w:pPr>
            <w:r>
              <w:rPr>
                <w:rFonts w:eastAsia="Times New Roman"/>
                <w:color w:val="000000"/>
                <w:sz w:val="18"/>
                <w:szCs w:val="18"/>
              </w:rPr>
              <w:t>57 </w:t>
            </w:r>
          </w:p>
        </w:tc>
        <w:tc>
          <w:tcPr>
            <w:tcW w:w="0" w:type="auto"/>
            <w:shd w:val="clear" w:color="auto" w:fill="FFFFFF"/>
            <w:tcMar>
              <w:top w:w="30" w:type="dxa"/>
              <w:left w:w="0" w:type="dxa"/>
              <w:bottom w:w="30" w:type="dxa"/>
              <w:right w:w="20" w:type="dxa"/>
            </w:tcMar>
            <w:vAlign w:val="center"/>
            <w:hideMark/>
          </w:tcPr>
          <w:p w14:paraId="3FA8922F" w14:textId="77777777" w:rsidR="00000000" w:rsidRDefault="00405D16">
            <w:pPr>
              <w:spacing w:after="100"/>
              <w:jc w:val="right"/>
              <w:rPr>
                <w:rFonts w:eastAsia="Times New Roman"/>
              </w:rPr>
            </w:pPr>
          </w:p>
        </w:tc>
        <w:tc>
          <w:tcPr>
            <w:tcW w:w="0" w:type="auto"/>
            <w:gridSpan w:val="3"/>
            <w:vAlign w:val="center"/>
            <w:hideMark/>
          </w:tcPr>
          <w:p w14:paraId="40FCEFBD" w14:textId="77777777" w:rsidR="00000000" w:rsidRDefault="00405D16">
            <w:pPr>
              <w:spacing w:after="100"/>
              <w:jc w:val="right"/>
              <w:rPr>
                <w:rFonts w:eastAsia="Times New Roman"/>
                <w:sz w:val="20"/>
                <w:szCs w:val="20"/>
              </w:rPr>
            </w:pPr>
          </w:p>
        </w:tc>
        <w:tc>
          <w:tcPr>
            <w:tcW w:w="0" w:type="auto"/>
            <w:gridSpan w:val="3"/>
            <w:vAlign w:val="center"/>
            <w:hideMark/>
          </w:tcPr>
          <w:p w14:paraId="428605A5" w14:textId="77777777" w:rsidR="00000000" w:rsidRDefault="00405D16">
            <w:pPr>
              <w:spacing w:after="100"/>
              <w:rPr>
                <w:rFonts w:eastAsia="Times New Roman"/>
                <w:sz w:val="20"/>
                <w:szCs w:val="20"/>
              </w:rPr>
            </w:pPr>
          </w:p>
        </w:tc>
        <w:tc>
          <w:tcPr>
            <w:tcW w:w="0" w:type="auto"/>
            <w:gridSpan w:val="3"/>
            <w:vAlign w:val="center"/>
            <w:hideMark/>
          </w:tcPr>
          <w:p w14:paraId="2A935892" w14:textId="77777777" w:rsidR="00000000" w:rsidRDefault="00405D16">
            <w:pPr>
              <w:spacing w:after="100"/>
              <w:rPr>
                <w:rFonts w:eastAsia="Times New Roman"/>
                <w:sz w:val="20"/>
                <w:szCs w:val="20"/>
              </w:rPr>
            </w:pPr>
          </w:p>
        </w:tc>
        <w:tc>
          <w:tcPr>
            <w:tcW w:w="0" w:type="auto"/>
            <w:gridSpan w:val="2"/>
            <w:vAlign w:val="center"/>
            <w:hideMark/>
          </w:tcPr>
          <w:p w14:paraId="71B99368" w14:textId="77777777" w:rsidR="00000000" w:rsidRDefault="00405D16">
            <w:pPr>
              <w:spacing w:after="100"/>
              <w:rPr>
                <w:rFonts w:eastAsia="Times New Roman"/>
                <w:sz w:val="20"/>
                <w:szCs w:val="20"/>
              </w:rPr>
            </w:pPr>
          </w:p>
        </w:tc>
      </w:tr>
      <w:tr w:rsidR="00405D16" w14:paraId="6C789451" w14:textId="77777777">
        <w:trPr>
          <w:divId w:val="1278830381"/>
        </w:trPr>
        <w:tc>
          <w:tcPr>
            <w:tcW w:w="0" w:type="auto"/>
            <w:gridSpan w:val="3"/>
            <w:shd w:val="clear" w:color="auto" w:fill="CCEEFF"/>
            <w:tcMar>
              <w:top w:w="30" w:type="dxa"/>
              <w:left w:w="245" w:type="dxa"/>
              <w:bottom w:w="30" w:type="dxa"/>
              <w:right w:w="20" w:type="dxa"/>
            </w:tcMar>
            <w:vAlign w:val="center"/>
            <w:hideMark/>
          </w:tcPr>
          <w:p w14:paraId="290B629B" w14:textId="77777777" w:rsidR="00000000" w:rsidRDefault="00405D16">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14:paraId="34D2ACA6"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1363C11" w14:textId="77777777" w:rsidR="00000000" w:rsidRDefault="00405D16">
            <w:pPr>
              <w:spacing w:after="100"/>
              <w:jc w:val="right"/>
              <w:rPr>
                <w:rFonts w:eastAsia="Times New Roman"/>
              </w:rPr>
            </w:pPr>
            <w:r>
              <w:rPr>
                <w:rFonts w:eastAsia="Times New Roman"/>
                <w:b/>
                <w:bCs/>
                <w:color w:val="000000"/>
                <w:sz w:val="18"/>
                <w:szCs w:val="18"/>
              </w:rPr>
              <w:t>12,680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8AB10E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B40E4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794F257" w14:textId="77777777" w:rsidR="00000000" w:rsidRDefault="00405D16">
            <w:pPr>
              <w:spacing w:after="100"/>
              <w:jc w:val="right"/>
              <w:rPr>
                <w:rFonts w:eastAsia="Times New Roman"/>
              </w:rPr>
            </w:pPr>
            <w:r>
              <w:rPr>
                <w:rFonts w:eastAsia="Times New Roman"/>
                <w:b/>
                <w:bCs/>
                <w:color w:val="000000"/>
                <w:sz w:val="18"/>
                <w:szCs w:val="18"/>
              </w:rPr>
              <w:t>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821DC0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03E6D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EBCAE0F" w14:textId="77777777" w:rsidR="00000000" w:rsidRDefault="00405D16">
            <w:pPr>
              <w:spacing w:after="100"/>
              <w:jc w:val="right"/>
              <w:rPr>
                <w:rFonts w:eastAsia="Times New Roman"/>
              </w:rPr>
            </w:pPr>
            <w:r>
              <w:rPr>
                <w:rFonts w:eastAsia="Times New Roman"/>
                <w:color w:val="000000"/>
                <w:sz w:val="18"/>
                <w:szCs w:val="18"/>
              </w:rPr>
              <w:t>10,673 </w:t>
            </w:r>
          </w:p>
        </w:tc>
        <w:tc>
          <w:tcPr>
            <w:tcW w:w="0" w:type="auto"/>
            <w:shd w:val="clear" w:color="auto" w:fill="CCEEFF"/>
            <w:tcMar>
              <w:top w:w="30" w:type="dxa"/>
              <w:left w:w="0" w:type="dxa"/>
              <w:bottom w:w="30" w:type="dxa"/>
              <w:right w:w="20" w:type="dxa"/>
            </w:tcMar>
            <w:vAlign w:val="center"/>
            <w:hideMark/>
          </w:tcPr>
          <w:p w14:paraId="276E665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59F3C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2EAB62D" w14:textId="77777777" w:rsidR="00000000" w:rsidRDefault="00405D16">
            <w:pPr>
              <w:spacing w:after="100"/>
              <w:jc w:val="right"/>
              <w:rPr>
                <w:rFonts w:eastAsia="Times New Roman"/>
              </w:rPr>
            </w:pPr>
            <w:r>
              <w:rPr>
                <w:rFonts w:eastAsia="Times New Roman"/>
                <w:color w:val="000000"/>
                <w:sz w:val="18"/>
                <w:szCs w:val="18"/>
              </w:rPr>
              <w:t>17 </w:t>
            </w:r>
          </w:p>
        </w:tc>
        <w:tc>
          <w:tcPr>
            <w:tcW w:w="0" w:type="auto"/>
            <w:shd w:val="clear" w:color="auto" w:fill="CCEEFF"/>
            <w:tcMar>
              <w:top w:w="30" w:type="dxa"/>
              <w:left w:w="0" w:type="dxa"/>
              <w:bottom w:w="30" w:type="dxa"/>
              <w:right w:w="20" w:type="dxa"/>
            </w:tcMar>
            <w:vAlign w:val="center"/>
            <w:hideMark/>
          </w:tcPr>
          <w:p w14:paraId="015B806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593DF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0AB2210" w14:textId="77777777" w:rsidR="00000000" w:rsidRDefault="00405D16">
            <w:pPr>
              <w:spacing w:after="100"/>
              <w:jc w:val="right"/>
              <w:rPr>
                <w:rFonts w:eastAsia="Times New Roman"/>
              </w:rPr>
            </w:pPr>
            <w:r>
              <w:rPr>
                <w:rFonts w:eastAsia="Times New Roman"/>
                <w:b/>
                <w:bCs/>
                <w:color w:val="2C2C2C"/>
                <w:sz w:val="18"/>
                <w:szCs w:val="18"/>
              </w:rPr>
              <w:t>44,709</w:t>
            </w:r>
            <w:r>
              <w:rPr>
                <w:rFonts w:eastAsia="Times New Roman"/>
                <w:color w:val="2C2C2C"/>
                <w:sz w:val="18"/>
                <w:szCs w:val="18"/>
              </w:rPr>
              <w:t> </w:t>
            </w:r>
          </w:p>
        </w:tc>
        <w:tc>
          <w:tcPr>
            <w:tcW w:w="0" w:type="auto"/>
            <w:shd w:val="clear" w:color="auto" w:fill="CCEEFF"/>
            <w:tcMar>
              <w:top w:w="30" w:type="dxa"/>
              <w:left w:w="0" w:type="dxa"/>
              <w:bottom w:w="30" w:type="dxa"/>
              <w:right w:w="20" w:type="dxa"/>
            </w:tcMar>
            <w:vAlign w:val="center"/>
            <w:hideMark/>
          </w:tcPr>
          <w:p w14:paraId="304697B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3820A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748EFC8" w14:textId="77777777" w:rsidR="00000000" w:rsidRDefault="00405D16">
            <w:pPr>
              <w:spacing w:after="100"/>
              <w:jc w:val="right"/>
              <w:rPr>
                <w:rFonts w:eastAsia="Times New Roman"/>
              </w:rPr>
            </w:pPr>
            <w:r>
              <w:rPr>
                <w:rFonts w:eastAsia="Times New Roman"/>
                <w:b/>
                <w:bCs/>
                <w:color w:val="2C2C2C"/>
                <w:sz w:val="18"/>
                <w:szCs w:val="18"/>
              </w:rPr>
              <w:t>68</w:t>
            </w:r>
            <w:r>
              <w:rPr>
                <w:rFonts w:eastAsia="Times New Roman"/>
                <w:color w:val="2C2C2C"/>
                <w:sz w:val="18"/>
                <w:szCs w:val="18"/>
              </w:rPr>
              <w:t> </w:t>
            </w:r>
          </w:p>
        </w:tc>
        <w:tc>
          <w:tcPr>
            <w:tcW w:w="0" w:type="auto"/>
            <w:shd w:val="clear" w:color="auto" w:fill="CCEEFF"/>
            <w:tcMar>
              <w:top w:w="30" w:type="dxa"/>
              <w:left w:w="0" w:type="dxa"/>
              <w:bottom w:w="30" w:type="dxa"/>
              <w:right w:w="20" w:type="dxa"/>
            </w:tcMar>
            <w:vAlign w:val="center"/>
            <w:hideMark/>
          </w:tcPr>
          <w:p w14:paraId="5423B6B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247D2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7E29E6F" w14:textId="77777777" w:rsidR="00000000" w:rsidRDefault="00405D16">
            <w:pPr>
              <w:spacing w:after="100"/>
              <w:jc w:val="right"/>
              <w:rPr>
                <w:rFonts w:eastAsia="Times New Roman"/>
              </w:rPr>
            </w:pPr>
            <w:r>
              <w:rPr>
                <w:rFonts w:eastAsia="Times New Roman"/>
                <w:color w:val="000000"/>
                <w:sz w:val="18"/>
                <w:szCs w:val="18"/>
              </w:rPr>
              <w:t>46,038 </w:t>
            </w:r>
          </w:p>
        </w:tc>
        <w:tc>
          <w:tcPr>
            <w:tcW w:w="0" w:type="auto"/>
            <w:shd w:val="clear" w:color="auto" w:fill="CCEEFF"/>
            <w:tcMar>
              <w:top w:w="30" w:type="dxa"/>
              <w:left w:w="0" w:type="dxa"/>
              <w:bottom w:w="30" w:type="dxa"/>
              <w:right w:w="20" w:type="dxa"/>
            </w:tcMar>
            <w:vAlign w:val="center"/>
            <w:hideMark/>
          </w:tcPr>
          <w:p w14:paraId="1BE4CAA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3E9F8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47B4030" w14:textId="77777777" w:rsidR="00000000" w:rsidRDefault="00405D16">
            <w:pPr>
              <w:spacing w:after="100"/>
              <w:jc w:val="right"/>
              <w:rPr>
                <w:rFonts w:eastAsia="Times New Roman"/>
              </w:rPr>
            </w:pPr>
            <w:r>
              <w:rPr>
                <w:rFonts w:eastAsia="Times New Roman"/>
                <w:color w:val="000000"/>
                <w:sz w:val="18"/>
                <w:szCs w:val="18"/>
              </w:rPr>
              <w:t>68 </w:t>
            </w:r>
          </w:p>
        </w:tc>
        <w:tc>
          <w:tcPr>
            <w:tcW w:w="0" w:type="auto"/>
            <w:shd w:val="clear" w:color="auto" w:fill="CCEEFF"/>
            <w:tcMar>
              <w:top w:w="30" w:type="dxa"/>
              <w:left w:w="0" w:type="dxa"/>
              <w:bottom w:w="30" w:type="dxa"/>
              <w:right w:w="20" w:type="dxa"/>
            </w:tcMar>
            <w:vAlign w:val="center"/>
            <w:hideMark/>
          </w:tcPr>
          <w:p w14:paraId="075A16C1" w14:textId="77777777" w:rsidR="00000000" w:rsidRDefault="00405D16">
            <w:pPr>
              <w:spacing w:after="100"/>
              <w:jc w:val="right"/>
              <w:rPr>
                <w:rFonts w:eastAsia="Times New Roman"/>
              </w:rPr>
            </w:pPr>
          </w:p>
        </w:tc>
        <w:tc>
          <w:tcPr>
            <w:tcW w:w="0" w:type="auto"/>
            <w:gridSpan w:val="3"/>
            <w:vAlign w:val="center"/>
            <w:hideMark/>
          </w:tcPr>
          <w:p w14:paraId="2627AF20" w14:textId="77777777" w:rsidR="00000000" w:rsidRDefault="00405D16">
            <w:pPr>
              <w:spacing w:after="100"/>
              <w:jc w:val="right"/>
              <w:rPr>
                <w:rFonts w:eastAsia="Times New Roman"/>
                <w:sz w:val="20"/>
                <w:szCs w:val="20"/>
              </w:rPr>
            </w:pPr>
          </w:p>
        </w:tc>
        <w:tc>
          <w:tcPr>
            <w:tcW w:w="0" w:type="auto"/>
            <w:gridSpan w:val="3"/>
            <w:vAlign w:val="center"/>
            <w:hideMark/>
          </w:tcPr>
          <w:p w14:paraId="5B761D44" w14:textId="77777777" w:rsidR="00000000" w:rsidRDefault="00405D16">
            <w:pPr>
              <w:spacing w:after="100"/>
              <w:rPr>
                <w:rFonts w:eastAsia="Times New Roman"/>
                <w:sz w:val="20"/>
                <w:szCs w:val="20"/>
              </w:rPr>
            </w:pPr>
          </w:p>
        </w:tc>
        <w:tc>
          <w:tcPr>
            <w:tcW w:w="0" w:type="auto"/>
            <w:gridSpan w:val="3"/>
            <w:vAlign w:val="center"/>
            <w:hideMark/>
          </w:tcPr>
          <w:p w14:paraId="5D4D8DD9" w14:textId="77777777" w:rsidR="00000000" w:rsidRDefault="00405D16">
            <w:pPr>
              <w:spacing w:after="100"/>
              <w:rPr>
                <w:rFonts w:eastAsia="Times New Roman"/>
                <w:sz w:val="20"/>
                <w:szCs w:val="20"/>
              </w:rPr>
            </w:pPr>
          </w:p>
        </w:tc>
        <w:tc>
          <w:tcPr>
            <w:tcW w:w="0" w:type="auto"/>
            <w:gridSpan w:val="2"/>
            <w:vAlign w:val="center"/>
            <w:hideMark/>
          </w:tcPr>
          <w:p w14:paraId="03479700" w14:textId="77777777" w:rsidR="00000000" w:rsidRDefault="00405D16">
            <w:pPr>
              <w:spacing w:after="100"/>
              <w:rPr>
                <w:rFonts w:eastAsia="Times New Roman"/>
                <w:sz w:val="20"/>
                <w:szCs w:val="20"/>
              </w:rPr>
            </w:pPr>
          </w:p>
        </w:tc>
      </w:tr>
      <w:tr w:rsidR="00405D16" w14:paraId="770E09E4" w14:textId="77777777">
        <w:trPr>
          <w:divId w:val="1278830381"/>
        </w:trPr>
        <w:tc>
          <w:tcPr>
            <w:tcW w:w="0" w:type="auto"/>
            <w:gridSpan w:val="3"/>
            <w:shd w:val="clear" w:color="auto" w:fill="FFFFFF"/>
            <w:tcMar>
              <w:top w:w="30" w:type="dxa"/>
              <w:left w:w="20" w:type="dxa"/>
              <w:bottom w:w="30" w:type="dxa"/>
              <w:right w:w="20" w:type="dxa"/>
            </w:tcMar>
            <w:vAlign w:val="center"/>
            <w:hideMark/>
          </w:tcPr>
          <w:p w14:paraId="68DEE5E8" w14:textId="77777777" w:rsidR="00000000" w:rsidRDefault="00405D16">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14:paraId="4A26D736"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F1B1BF7" w14:textId="77777777" w:rsidR="00000000" w:rsidRDefault="00405D16">
            <w:pPr>
              <w:spacing w:after="100"/>
              <w:jc w:val="right"/>
              <w:rPr>
                <w:rFonts w:eastAsia="Times New Roman"/>
              </w:rPr>
            </w:pPr>
            <w:r>
              <w:rPr>
                <w:rFonts w:eastAsia="Times New Roman"/>
                <w:b/>
                <w:bCs/>
                <w:color w:val="000000"/>
                <w:sz w:val="18"/>
                <w:szCs w:val="18"/>
              </w:rPr>
              <w:t>16,848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E0CBB6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7E551B"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E93BBDB" w14:textId="77777777" w:rsidR="00000000" w:rsidRDefault="00405D16">
            <w:pPr>
              <w:spacing w:after="100"/>
              <w:jc w:val="right"/>
              <w:rPr>
                <w:rFonts w:eastAsia="Times New Roman"/>
              </w:rPr>
            </w:pPr>
            <w:r>
              <w:rPr>
                <w:rFonts w:eastAsia="Times New Roman"/>
                <w:b/>
                <w:bCs/>
                <w:color w:val="000000"/>
                <w:sz w:val="18"/>
                <w:szCs w:val="18"/>
              </w:rPr>
              <w:t>24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49AB29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C2831B"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A2C6F63" w14:textId="77777777" w:rsidR="00000000" w:rsidRDefault="00405D16">
            <w:pPr>
              <w:spacing w:after="100"/>
              <w:jc w:val="right"/>
              <w:rPr>
                <w:rFonts w:eastAsia="Times New Roman"/>
              </w:rPr>
            </w:pPr>
            <w:r>
              <w:rPr>
                <w:rFonts w:eastAsia="Times New Roman"/>
                <w:color w:val="000000"/>
                <w:sz w:val="18"/>
                <w:szCs w:val="18"/>
              </w:rPr>
              <w:t>17,227 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5B9F4D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F3C290"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77BE6F4" w14:textId="77777777" w:rsidR="00000000" w:rsidRDefault="00405D16">
            <w:pPr>
              <w:spacing w:after="100"/>
              <w:jc w:val="right"/>
              <w:rPr>
                <w:rFonts w:eastAsia="Times New Roman"/>
              </w:rPr>
            </w:pPr>
            <w:r>
              <w:rPr>
                <w:rFonts w:eastAsia="Times New Roman"/>
                <w:color w:val="000000"/>
                <w:sz w:val="18"/>
                <w:szCs w:val="18"/>
              </w:rPr>
              <w:t>31 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757F3E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35003F"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057391E" w14:textId="77777777" w:rsidR="00000000" w:rsidRDefault="00405D16">
            <w:pPr>
              <w:spacing w:after="100"/>
              <w:jc w:val="right"/>
              <w:rPr>
                <w:rFonts w:eastAsia="Times New Roman"/>
              </w:rPr>
            </w:pPr>
            <w:r>
              <w:rPr>
                <w:rFonts w:eastAsia="Times New Roman"/>
                <w:b/>
                <w:bCs/>
                <w:color w:val="2C2C2C"/>
                <w:sz w:val="18"/>
                <w:szCs w:val="18"/>
              </w:rPr>
              <w:t>58,237</w:t>
            </w:r>
            <w:r>
              <w:rPr>
                <w:rFonts w:eastAsia="Times New Roman"/>
                <w:color w:val="2C2C2C"/>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D3711A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AC569C"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2836195" w14:textId="77777777" w:rsidR="00000000" w:rsidRDefault="00405D16">
            <w:pPr>
              <w:spacing w:after="100"/>
              <w:jc w:val="right"/>
              <w:rPr>
                <w:rFonts w:eastAsia="Times New Roman"/>
              </w:rPr>
            </w:pPr>
            <w:r>
              <w:rPr>
                <w:rFonts w:eastAsia="Times New Roman"/>
                <w:b/>
                <w:bCs/>
                <w:color w:val="2C2C2C"/>
                <w:sz w:val="18"/>
                <w:szCs w:val="18"/>
              </w:rPr>
              <w:t>93</w:t>
            </w:r>
            <w:r>
              <w:rPr>
                <w:rFonts w:eastAsia="Times New Roman"/>
                <w:color w:val="2C2C2C"/>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54372D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99502F"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FA6101C" w14:textId="77777777" w:rsidR="00000000" w:rsidRDefault="00405D16">
            <w:pPr>
              <w:spacing w:after="100"/>
              <w:jc w:val="right"/>
              <w:rPr>
                <w:rFonts w:eastAsia="Times New Roman"/>
              </w:rPr>
            </w:pPr>
            <w:r>
              <w:rPr>
                <w:rFonts w:eastAsia="Times New Roman"/>
                <w:color w:val="000000"/>
                <w:sz w:val="18"/>
                <w:szCs w:val="18"/>
              </w:rPr>
              <w:t>73,060 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0C4F7B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60C0F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DD86DA4" w14:textId="77777777" w:rsidR="00000000" w:rsidRDefault="00405D16">
            <w:pPr>
              <w:spacing w:after="100"/>
              <w:jc w:val="right"/>
              <w:rPr>
                <w:rFonts w:eastAsia="Times New Roman"/>
              </w:rPr>
            </w:pPr>
            <w:r>
              <w:rPr>
                <w:rFonts w:eastAsia="Times New Roman"/>
                <w:color w:val="000000"/>
                <w:sz w:val="18"/>
                <w:szCs w:val="18"/>
              </w:rPr>
              <w:t>125 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2F33492" w14:textId="77777777" w:rsidR="00000000" w:rsidRDefault="00405D16">
            <w:pPr>
              <w:spacing w:after="100"/>
              <w:jc w:val="right"/>
              <w:rPr>
                <w:rFonts w:eastAsia="Times New Roman"/>
              </w:rPr>
            </w:pPr>
          </w:p>
        </w:tc>
        <w:tc>
          <w:tcPr>
            <w:tcW w:w="0" w:type="auto"/>
            <w:gridSpan w:val="3"/>
            <w:vAlign w:val="center"/>
            <w:hideMark/>
          </w:tcPr>
          <w:p w14:paraId="7734B8F3" w14:textId="77777777" w:rsidR="00000000" w:rsidRDefault="00405D16">
            <w:pPr>
              <w:spacing w:after="100"/>
              <w:jc w:val="right"/>
              <w:rPr>
                <w:rFonts w:eastAsia="Times New Roman"/>
                <w:sz w:val="20"/>
                <w:szCs w:val="20"/>
              </w:rPr>
            </w:pPr>
          </w:p>
        </w:tc>
        <w:tc>
          <w:tcPr>
            <w:tcW w:w="0" w:type="auto"/>
            <w:gridSpan w:val="3"/>
            <w:vAlign w:val="center"/>
            <w:hideMark/>
          </w:tcPr>
          <w:p w14:paraId="3CA8427B" w14:textId="77777777" w:rsidR="00000000" w:rsidRDefault="00405D16">
            <w:pPr>
              <w:spacing w:after="100"/>
              <w:rPr>
                <w:rFonts w:eastAsia="Times New Roman"/>
                <w:sz w:val="20"/>
                <w:szCs w:val="20"/>
              </w:rPr>
            </w:pPr>
          </w:p>
        </w:tc>
        <w:tc>
          <w:tcPr>
            <w:tcW w:w="0" w:type="auto"/>
            <w:gridSpan w:val="3"/>
            <w:vAlign w:val="center"/>
            <w:hideMark/>
          </w:tcPr>
          <w:p w14:paraId="1E0B3A6F" w14:textId="77777777" w:rsidR="00000000" w:rsidRDefault="00405D16">
            <w:pPr>
              <w:spacing w:after="100"/>
              <w:rPr>
                <w:rFonts w:eastAsia="Times New Roman"/>
                <w:sz w:val="20"/>
                <w:szCs w:val="20"/>
              </w:rPr>
            </w:pPr>
          </w:p>
        </w:tc>
        <w:tc>
          <w:tcPr>
            <w:tcW w:w="0" w:type="auto"/>
            <w:gridSpan w:val="2"/>
            <w:vAlign w:val="center"/>
            <w:hideMark/>
          </w:tcPr>
          <w:p w14:paraId="2FCD6E52" w14:textId="77777777" w:rsidR="00000000" w:rsidRDefault="00405D16">
            <w:pPr>
              <w:spacing w:after="100"/>
              <w:rPr>
                <w:rFonts w:eastAsia="Times New Roman"/>
                <w:sz w:val="20"/>
                <w:szCs w:val="20"/>
              </w:rPr>
            </w:pPr>
          </w:p>
        </w:tc>
      </w:tr>
      <w:tr w:rsidR="00000000" w14:paraId="2D07421F" w14:textId="77777777">
        <w:trPr>
          <w:divId w:val="1278830381"/>
        </w:trPr>
        <w:tc>
          <w:tcPr>
            <w:tcW w:w="0" w:type="auto"/>
            <w:gridSpan w:val="3"/>
            <w:shd w:val="clear" w:color="auto" w:fill="CCEEFF"/>
            <w:tcMar>
              <w:top w:w="30" w:type="dxa"/>
              <w:left w:w="20" w:type="dxa"/>
              <w:bottom w:w="30" w:type="dxa"/>
              <w:right w:w="20" w:type="dxa"/>
            </w:tcMar>
            <w:vAlign w:val="center"/>
            <w:hideMark/>
          </w:tcPr>
          <w:p w14:paraId="709E6251" w14:textId="77777777" w:rsidR="00000000" w:rsidRDefault="00405D16">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14:paraId="072EAC40"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492B93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D93686"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70D729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F208BC"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545F42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B37C0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BAA749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484A82"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15F1BC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BA07EB"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3CEC60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8F8D32"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428C02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5FB3B1"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47D50E4" w14:textId="77777777" w:rsidR="00000000" w:rsidRDefault="00405D16">
            <w:pPr>
              <w:spacing w:after="100"/>
              <w:rPr>
                <w:rFonts w:eastAsia="Times New Roman"/>
                <w:sz w:val="20"/>
                <w:szCs w:val="20"/>
              </w:rPr>
            </w:pPr>
          </w:p>
        </w:tc>
        <w:tc>
          <w:tcPr>
            <w:tcW w:w="0" w:type="auto"/>
            <w:gridSpan w:val="3"/>
            <w:vAlign w:val="center"/>
            <w:hideMark/>
          </w:tcPr>
          <w:p w14:paraId="2694E829" w14:textId="77777777" w:rsidR="00000000" w:rsidRDefault="00405D16">
            <w:pPr>
              <w:spacing w:after="100"/>
              <w:rPr>
                <w:rFonts w:eastAsia="Times New Roman"/>
                <w:sz w:val="20"/>
                <w:szCs w:val="20"/>
              </w:rPr>
            </w:pPr>
          </w:p>
        </w:tc>
        <w:tc>
          <w:tcPr>
            <w:tcW w:w="0" w:type="auto"/>
            <w:gridSpan w:val="3"/>
            <w:vAlign w:val="center"/>
            <w:hideMark/>
          </w:tcPr>
          <w:p w14:paraId="399B429D" w14:textId="77777777" w:rsidR="00000000" w:rsidRDefault="00405D16">
            <w:pPr>
              <w:spacing w:after="100"/>
              <w:rPr>
                <w:rFonts w:eastAsia="Times New Roman"/>
                <w:sz w:val="20"/>
                <w:szCs w:val="20"/>
              </w:rPr>
            </w:pPr>
          </w:p>
        </w:tc>
        <w:tc>
          <w:tcPr>
            <w:tcW w:w="0" w:type="auto"/>
            <w:gridSpan w:val="3"/>
            <w:vAlign w:val="center"/>
            <w:hideMark/>
          </w:tcPr>
          <w:p w14:paraId="14575316" w14:textId="77777777" w:rsidR="00000000" w:rsidRDefault="00405D16">
            <w:pPr>
              <w:spacing w:after="100"/>
              <w:rPr>
                <w:rFonts w:eastAsia="Times New Roman"/>
                <w:sz w:val="20"/>
                <w:szCs w:val="20"/>
              </w:rPr>
            </w:pPr>
          </w:p>
        </w:tc>
        <w:tc>
          <w:tcPr>
            <w:tcW w:w="0" w:type="auto"/>
            <w:gridSpan w:val="2"/>
            <w:vAlign w:val="center"/>
            <w:hideMark/>
          </w:tcPr>
          <w:p w14:paraId="751B227E" w14:textId="77777777" w:rsidR="00000000" w:rsidRDefault="00405D16">
            <w:pPr>
              <w:spacing w:after="100"/>
              <w:rPr>
                <w:rFonts w:eastAsia="Times New Roman"/>
                <w:sz w:val="20"/>
                <w:szCs w:val="20"/>
              </w:rPr>
            </w:pPr>
          </w:p>
        </w:tc>
      </w:tr>
      <w:tr w:rsidR="00405D16" w14:paraId="44165C70" w14:textId="77777777">
        <w:trPr>
          <w:divId w:val="1278830381"/>
        </w:trPr>
        <w:tc>
          <w:tcPr>
            <w:tcW w:w="0" w:type="auto"/>
            <w:gridSpan w:val="3"/>
            <w:shd w:val="clear" w:color="auto" w:fill="FFFFFF"/>
            <w:tcMar>
              <w:top w:w="30" w:type="dxa"/>
              <w:left w:w="245" w:type="dxa"/>
              <w:bottom w:w="30" w:type="dxa"/>
              <w:right w:w="20" w:type="dxa"/>
            </w:tcMar>
            <w:vAlign w:val="center"/>
            <w:hideMark/>
          </w:tcPr>
          <w:p w14:paraId="0A806CF7" w14:textId="77777777" w:rsidR="00000000" w:rsidRDefault="00405D16">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14:paraId="7BE10111"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1F2D201" w14:textId="77777777" w:rsidR="00000000" w:rsidRDefault="00405D16">
            <w:pPr>
              <w:spacing w:after="100"/>
              <w:jc w:val="right"/>
              <w:rPr>
                <w:rFonts w:eastAsia="Times New Roman"/>
              </w:rPr>
            </w:pPr>
            <w:r>
              <w:rPr>
                <w:rFonts w:eastAsia="Times New Roman"/>
                <w:b/>
                <w:bCs/>
                <w:color w:val="000000"/>
                <w:sz w:val="18"/>
                <w:szCs w:val="18"/>
              </w:rPr>
              <w:t>2,151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B6F285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6B390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677541F" w14:textId="77777777" w:rsidR="00000000" w:rsidRDefault="00405D16">
            <w:pPr>
              <w:spacing w:after="100"/>
              <w:jc w:val="right"/>
              <w:rPr>
                <w:rFonts w:eastAsia="Times New Roman"/>
              </w:rPr>
            </w:pPr>
            <w:r>
              <w:rPr>
                <w:rFonts w:eastAsia="Times New Roman"/>
                <w:b/>
                <w:bCs/>
                <w:color w:val="000000"/>
                <w:sz w:val="18"/>
                <w:szCs w:val="18"/>
              </w:rPr>
              <w:t>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AE32B4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FF88D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132C38F" w14:textId="77777777" w:rsidR="00000000" w:rsidRDefault="00405D16">
            <w:pPr>
              <w:spacing w:after="100"/>
              <w:jc w:val="right"/>
              <w:rPr>
                <w:rFonts w:eastAsia="Times New Roman"/>
              </w:rPr>
            </w:pPr>
            <w:r>
              <w:rPr>
                <w:rFonts w:eastAsia="Times New Roman"/>
                <w:color w:val="000000"/>
                <w:sz w:val="18"/>
                <w:szCs w:val="18"/>
              </w:rPr>
              <w:t>1,307 </w:t>
            </w:r>
          </w:p>
        </w:tc>
        <w:tc>
          <w:tcPr>
            <w:tcW w:w="0" w:type="auto"/>
            <w:shd w:val="clear" w:color="auto" w:fill="FFFFFF"/>
            <w:tcMar>
              <w:top w:w="30" w:type="dxa"/>
              <w:left w:w="0" w:type="dxa"/>
              <w:bottom w:w="30" w:type="dxa"/>
              <w:right w:w="20" w:type="dxa"/>
            </w:tcMar>
            <w:vAlign w:val="center"/>
            <w:hideMark/>
          </w:tcPr>
          <w:p w14:paraId="1384F1A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388AE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A35E4CD" w14:textId="77777777" w:rsidR="00000000" w:rsidRDefault="00405D16">
            <w:pPr>
              <w:spacing w:after="100"/>
              <w:jc w:val="right"/>
              <w:rPr>
                <w:rFonts w:eastAsia="Times New Roman"/>
              </w:rPr>
            </w:pPr>
            <w:r>
              <w:rPr>
                <w:rFonts w:eastAsia="Times New Roman"/>
                <w:color w:val="000000"/>
                <w:sz w:val="18"/>
                <w:szCs w:val="18"/>
              </w:rPr>
              <w:t>15 </w:t>
            </w:r>
          </w:p>
        </w:tc>
        <w:tc>
          <w:tcPr>
            <w:tcW w:w="0" w:type="auto"/>
            <w:shd w:val="clear" w:color="auto" w:fill="FFFFFF"/>
            <w:tcMar>
              <w:top w:w="30" w:type="dxa"/>
              <w:left w:w="0" w:type="dxa"/>
              <w:bottom w:w="30" w:type="dxa"/>
              <w:right w:w="20" w:type="dxa"/>
            </w:tcMar>
            <w:vAlign w:val="center"/>
            <w:hideMark/>
          </w:tcPr>
          <w:p w14:paraId="509747B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A8118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8B42E4D" w14:textId="77777777" w:rsidR="00000000" w:rsidRDefault="00405D16">
            <w:pPr>
              <w:spacing w:after="100"/>
              <w:jc w:val="right"/>
              <w:rPr>
                <w:rFonts w:eastAsia="Times New Roman"/>
              </w:rPr>
            </w:pPr>
            <w:r>
              <w:rPr>
                <w:rFonts w:eastAsia="Times New Roman"/>
                <w:b/>
                <w:bCs/>
                <w:color w:val="2C2C2C"/>
                <w:sz w:val="18"/>
                <w:szCs w:val="18"/>
              </w:rPr>
              <w:t>6,453</w:t>
            </w:r>
            <w:r>
              <w:rPr>
                <w:rFonts w:eastAsia="Times New Roman"/>
                <w:color w:val="2C2C2C"/>
                <w:sz w:val="18"/>
                <w:szCs w:val="18"/>
              </w:rPr>
              <w:t> </w:t>
            </w:r>
          </w:p>
        </w:tc>
        <w:tc>
          <w:tcPr>
            <w:tcW w:w="0" w:type="auto"/>
            <w:shd w:val="clear" w:color="auto" w:fill="FFFFFF"/>
            <w:tcMar>
              <w:top w:w="30" w:type="dxa"/>
              <w:left w:w="0" w:type="dxa"/>
              <w:bottom w:w="30" w:type="dxa"/>
              <w:right w:w="20" w:type="dxa"/>
            </w:tcMar>
            <w:vAlign w:val="center"/>
            <w:hideMark/>
          </w:tcPr>
          <w:p w14:paraId="0360E87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C1C77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00DCB3E" w14:textId="77777777" w:rsidR="00000000" w:rsidRDefault="00405D16">
            <w:pPr>
              <w:spacing w:after="100"/>
              <w:jc w:val="right"/>
              <w:rPr>
                <w:rFonts w:eastAsia="Times New Roman"/>
              </w:rPr>
            </w:pPr>
            <w:r>
              <w:rPr>
                <w:rFonts w:eastAsia="Times New Roman"/>
                <w:b/>
                <w:bCs/>
                <w:color w:val="2C2C2C"/>
                <w:sz w:val="18"/>
                <w:szCs w:val="18"/>
              </w:rPr>
              <w:t>98</w:t>
            </w:r>
            <w:r>
              <w:rPr>
                <w:rFonts w:eastAsia="Times New Roman"/>
                <w:color w:val="2C2C2C"/>
                <w:sz w:val="18"/>
                <w:szCs w:val="18"/>
              </w:rPr>
              <w:t> </w:t>
            </w:r>
          </w:p>
        </w:tc>
        <w:tc>
          <w:tcPr>
            <w:tcW w:w="0" w:type="auto"/>
            <w:shd w:val="clear" w:color="auto" w:fill="FFFFFF"/>
            <w:tcMar>
              <w:top w:w="30" w:type="dxa"/>
              <w:left w:w="0" w:type="dxa"/>
              <w:bottom w:w="30" w:type="dxa"/>
              <w:right w:w="20" w:type="dxa"/>
            </w:tcMar>
            <w:vAlign w:val="center"/>
            <w:hideMark/>
          </w:tcPr>
          <w:p w14:paraId="4C3AC70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F2A95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9575F39" w14:textId="77777777" w:rsidR="00000000" w:rsidRDefault="00405D16">
            <w:pPr>
              <w:spacing w:after="100"/>
              <w:jc w:val="right"/>
              <w:rPr>
                <w:rFonts w:eastAsia="Times New Roman"/>
              </w:rPr>
            </w:pPr>
            <w:r>
              <w:rPr>
                <w:rFonts w:eastAsia="Times New Roman"/>
                <w:color w:val="000000"/>
                <w:sz w:val="18"/>
                <w:szCs w:val="18"/>
              </w:rPr>
              <w:t>3,442 </w:t>
            </w:r>
          </w:p>
        </w:tc>
        <w:tc>
          <w:tcPr>
            <w:tcW w:w="0" w:type="auto"/>
            <w:shd w:val="clear" w:color="auto" w:fill="FFFFFF"/>
            <w:tcMar>
              <w:top w:w="30" w:type="dxa"/>
              <w:left w:w="0" w:type="dxa"/>
              <w:bottom w:w="30" w:type="dxa"/>
              <w:right w:w="20" w:type="dxa"/>
            </w:tcMar>
            <w:vAlign w:val="center"/>
            <w:hideMark/>
          </w:tcPr>
          <w:p w14:paraId="37ECE7C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84572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E0FF377" w14:textId="77777777" w:rsidR="00000000" w:rsidRDefault="00405D16">
            <w:pPr>
              <w:spacing w:after="100"/>
              <w:jc w:val="right"/>
              <w:rPr>
                <w:rFonts w:eastAsia="Times New Roman"/>
              </w:rPr>
            </w:pPr>
            <w:r>
              <w:rPr>
                <w:rFonts w:eastAsia="Times New Roman"/>
                <w:color w:val="000000"/>
                <w:sz w:val="18"/>
                <w:szCs w:val="18"/>
              </w:rPr>
              <w:t>42 </w:t>
            </w:r>
          </w:p>
        </w:tc>
        <w:tc>
          <w:tcPr>
            <w:tcW w:w="0" w:type="auto"/>
            <w:shd w:val="clear" w:color="auto" w:fill="FFFFFF"/>
            <w:tcMar>
              <w:top w:w="30" w:type="dxa"/>
              <w:left w:w="0" w:type="dxa"/>
              <w:bottom w:w="30" w:type="dxa"/>
              <w:right w:w="20" w:type="dxa"/>
            </w:tcMar>
            <w:vAlign w:val="center"/>
            <w:hideMark/>
          </w:tcPr>
          <w:p w14:paraId="74FC11F1" w14:textId="77777777" w:rsidR="00000000" w:rsidRDefault="00405D16">
            <w:pPr>
              <w:spacing w:after="100"/>
              <w:jc w:val="right"/>
              <w:rPr>
                <w:rFonts w:eastAsia="Times New Roman"/>
              </w:rPr>
            </w:pPr>
          </w:p>
        </w:tc>
        <w:tc>
          <w:tcPr>
            <w:tcW w:w="0" w:type="auto"/>
            <w:gridSpan w:val="3"/>
            <w:vAlign w:val="center"/>
            <w:hideMark/>
          </w:tcPr>
          <w:p w14:paraId="0549322E" w14:textId="77777777" w:rsidR="00000000" w:rsidRDefault="00405D16">
            <w:pPr>
              <w:spacing w:after="100"/>
              <w:jc w:val="right"/>
              <w:rPr>
                <w:rFonts w:eastAsia="Times New Roman"/>
                <w:sz w:val="20"/>
                <w:szCs w:val="20"/>
              </w:rPr>
            </w:pPr>
          </w:p>
        </w:tc>
        <w:tc>
          <w:tcPr>
            <w:tcW w:w="0" w:type="auto"/>
            <w:gridSpan w:val="3"/>
            <w:vAlign w:val="center"/>
            <w:hideMark/>
          </w:tcPr>
          <w:p w14:paraId="6416CA47" w14:textId="77777777" w:rsidR="00000000" w:rsidRDefault="00405D16">
            <w:pPr>
              <w:spacing w:after="100"/>
              <w:rPr>
                <w:rFonts w:eastAsia="Times New Roman"/>
                <w:sz w:val="20"/>
                <w:szCs w:val="20"/>
              </w:rPr>
            </w:pPr>
          </w:p>
        </w:tc>
        <w:tc>
          <w:tcPr>
            <w:tcW w:w="0" w:type="auto"/>
            <w:gridSpan w:val="3"/>
            <w:vAlign w:val="center"/>
            <w:hideMark/>
          </w:tcPr>
          <w:p w14:paraId="595AEF24" w14:textId="77777777" w:rsidR="00000000" w:rsidRDefault="00405D16">
            <w:pPr>
              <w:spacing w:after="100"/>
              <w:rPr>
                <w:rFonts w:eastAsia="Times New Roman"/>
                <w:sz w:val="20"/>
                <w:szCs w:val="20"/>
              </w:rPr>
            </w:pPr>
          </w:p>
        </w:tc>
        <w:tc>
          <w:tcPr>
            <w:tcW w:w="0" w:type="auto"/>
            <w:gridSpan w:val="2"/>
            <w:vAlign w:val="center"/>
            <w:hideMark/>
          </w:tcPr>
          <w:p w14:paraId="109520C2" w14:textId="77777777" w:rsidR="00000000" w:rsidRDefault="00405D16">
            <w:pPr>
              <w:spacing w:after="100"/>
              <w:rPr>
                <w:rFonts w:eastAsia="Times New Roman"/>
                <w:sz w:val="20"/>
                <w:szCs w:val="20"/>
              </w:rPr>
            </w:pPr>
          </w:p>
        </w:tc>
      </w:tr>
      <w:tr w:rsidR="00405D16" w14:paraId="0C1C5B0F" w14:textId="77777777">
        <w:trPr>
          <w:divId w:val="1278830381"/>
        </w:trPr>
        <w:tc>
          <w:tcPr>
            <w:tcW w:w="0" w:type="auto"/>
            <w:gridSpan w:val="3"/>
            <w:shd w:val="clear" w:color="auto" w:fill="CCEEFF"/>
            <w:tcMar>
              <w:top w:w="30" w:type="dxa"/>
              <w:left w:w="245" w:type="dxa"/>
              <w:bottom w:w="30" w:type="dxa"/>
              <w:right w:w="20" w:type="dxa"/>
            </w:tcMar>
            <w:vAlign w:val="center"/>
            <w:hideMark/>
          </w:tcPr>
          <w:p w14:paraId="28E503BD" w14:textId="77777777" w:rsidR="00000000" w:rsidRDefault="00405D16">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14:paraId="74CD3556"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F840F9C" w14:textId="77777777" w:rsidR="00000000" w:rsidRDefault="00405D16">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857DF1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1736B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B9B3338"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C08C74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D1EA2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B0FA6B6" w14:textId="77777777" w:rsidR="00000000" w:rsidRDefault="00405D16">
            <w:pPr>
              <w:spacing w:after="100"/>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center"/>
            <w:hideMark/>
          </w:tcPr>
          <w:p w14:paraId="527B933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CAC16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26A56E6" w14:textId="77777777" w:rsidR="00000000" w:rsidRDefault="00405D16">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14:paraId="64947E2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B8C51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E6E9152" w14:textId="77777777" w:rsidR="00000000" w:rsidRDefault="00405D16">
            <w:pPr>
              <w:spacing w:after="100"/>
              <w:jc w:val="right"/>
              <w:rPr>
                <w:rFonts w:eastAsia="Times New Roman"/>
              </w:rPr>
            </w:pPr>
            <w:r>
              <w:rPr>
                <w:rFonts w:eastAsia="Times New Roman"/>
                <w:b/>
                <w:bCs/>
                <w:color w:val="2C2C2C"/>
                <w:sz w:val="18"/>
                <w:szCs w:val="18"/>
              </w:rPr>
              <w:t>9</w:t>
            </w:r>
            <w:r>
              <w:rPr>
                <w:rFonts w:eastAsia="Times New Roman"/>
                <w:color w:val="2C2C2C"/>
                <w:sz w:val="18"/>
                <w:szCs w:val="18"/>
              </w:rPr>
              <w:t> </w:t>
            </w:r>
          </w:p>
        </w:tc>
        <w:tc>
          <w:tcPr>
            <w:tcW w:w="0" w:type="auto"/>
            <w:shd w:val="clear" w:color="auto" w:fill="CCEEFF"/>
            <w:tcMar>
              <w:top w:w="30" w:type="dxa"/>
              <w:left w:w="0" w:type="dxa"/>
              <w:bottom w:w="30" w:type="dxa"/>
              <w:right w:w="20" w:type="dxa"/>
            </w:tcMar>
            <w:vAlign w:val="center"/>
            <w:hideMark/>
          </w:tcPr>
          <w:p w14:paraId="52C9E1F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ED844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3F8C507" w14:textId="77777777" w:rsidR="00000000" w:rsidRDefault="00405D16">
            <w:pPr>
              <w:spacing w:after="100"/>
              <w:jc w:val="right"/>
              <w:rPr>
                <w:rFonts w:eastAsia="Times New Roman"/>
              </w:rPr>
            </w:pPr>
            <w:r>
              <w:rPr>
                <w:rFonts w:eastAsia="Times New Roman"/>
                <w:b/>
                <w:bCs/>
                <w:color w:val="2C2C2C"/>
                <w:sz w:val="18"/>
                <w:szCs w:val="18"/>
              </w:rPr>
              <w:t>0</w:t>
            </w:r>
            <w:r>
              <w:rPr>
                <w:rFonts w:eastAsia="Times New Roman"/>
                <w:color w:val="2C2C2C"/>
                <w:sz w:val="18"/>
                <w:szCs w:val="18"/>
              </w:rPr>
              <w:t> </w:t>
            </w:r>
          </w:p>
        </w:tc>
        <w:tc>
          <w:tcPr>
            <w:tcW w:w="0" w:type="auto"/>
            <w:shd w:val="clear" w:color="auto" w:fill="CCEEFF"/>
            <w:tcMar>
              <w:top w:w="30" w:type="dxa"/>
              <w:left w:w="0" w:type="dxa"/>
              <w:bottom w:w="30" w:type="dxa"/>
              <w:right w:w="20" w:type="dxa"/>
            </w:tcMar>
            <w:vAlign w:val="center"/>
            <w:hideMark/>
          </w:tcPr>
          <w:p w14:paraId="19AB759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CABF6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A1CB572" w14:textId="77777777" w:rsidR="00000000" w:rsidRDefault="00405D16">
            <w:pPr>
              <w:spacing w:after="100"/>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center"/>
            <w:hideMark/>
          </w:tcPr>
          <w:p w14:paraId="7A699BA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8502D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9CB2D0D" w14:textId="77777777" w:rsidR="00000000" w:rsidRDefault="00405D16">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14:paraId="128C2CFC" w14:textId="77777777" w:rsidR="00000000" w:rsidRDefault="00405D16">
            <w:pPr>
              <w:spacing w:after="100"/>
              <w:jc w:val="right"/>
              <w:rPr>
                <w:rFonts w:eastAsia="Times New Roman"/>
              </w:rPr>
            </w:pPr>
          </w:p>
        </w:tc>
        <w:tc>
          <w:tcPr>
            <w:tcW w:w="0" w:type="auto"/>
            <w:gridSpan w:val="3"/>
            <w:vAlign w:val="center"/>
            <w:hideMark/>
          </w:tcPr>
          <w:p w14:paraId="26A66A2F" w14:textId="77777777" w:rsidR="00000000" w:rsidRDefault="00405D16">
            <w:pPr>
              <w:spacing w:after="100"/>
              <w:jc w:val="right"/>
              <w:rPr>
                <w:rFonts w:eastAsia="Times New Roman"/>
                <w:sz w:val="20"/>
                <w:szCs w:val="20"/>
              </w:rPr>
            </w:pPr>
          </w:p>
        </w:tc>
        <w:tc>
          <w:tcPr>
            <w:tcW w:w="0" w:type="auto"/>
            <w:gridSpan w:val="3"/>
            <w:vAlign w:val="center"/>
            <w:hideMark/>
          </w:tcPr>
          <w:p w14:paraId="59444E1C" w14:textId="77777777" w:rsidR="00000000" w:rsidRDefault="00405D16">
            <w:pPr>
              <w:spacing w:after="100"/>
              <w:rPr>
                <w:rFonts w:eastAsia="Times New Roman"/>
                <w:sz w:val="20"/>
                <w:szCs w:val="20"/>
              </w:rPr>
            </w:pPr>
          </w:p>
        </w:tc>
        <w:tc>
          <w:tcPr>
            <w:tcW w:w="0" w:type="auto"/>
            <w:gridSpan w:val="3"/>
            <w:vAlign w:val="center"/>
            <w:hideMark/>
          </w:tcPr>
          <w:p w14:paraId="2C757B7D" w14:textId="77777777" w:rsidR="00000000" w:rsidRDefault="00405D16">
            <w:pPr>
              <w:spacing w:after="100"/>
              <w:rPr>
                <w:rFonts w:eastAsia="Times New Roman"/>
                <w:sz w:val="20"/>
                <w:szCs w:val="20"/>
              </w:rPr>
            </w:pPr>
          </w:p>
        </w:tc>
        <w:tc>
          <w:tcPr>
            <w:tcW w:w="0" w:type="auto"/>
            <w:gridSpan w:val="2"/>
            <w:vAlign w:val="center"/>
            <w:hideMark/>
          </w:tcPr>
          <w:p w14:paraId="320F32CB" w14:textId="77777777" w:rsidR="00000000" w:rsidRDefault="00405D16">
            <w:pPr>
              <w:spacing w:after="100"/>
              <w:rPr>
                <w:rFonts w:eastAsia="Times New Roman"/>
                <w:sz w:val="20"/>
                <w:szCs w:val="20"/>
              </w:rPr>
            </w:pPr>
          </w:p>
        </w:tc>
      </w:tr>
      <w:tr w:rsidR="00405D16" w14:paraId="492AE048" w14:textId="77777777">
        <w:trPr>
          <w:divId w:val="1278830381"/>
        </w:trPr>
        <w:tc>
          <w:tcPr>
            <w:tcW w:w="0" w:type="auto"/>
            <w:gridSpan w:val="3"/>
            <w:shd w:val="clear" w:color="auto" w:fill="FFFFFF"/>
            <w:tcMar>
              <w:top w:w="30" w:type="dxa"/>
              <w:left w:w="20" w:type="dxa"/>
              <w:bottom w:w="30" w:type="dxa"/>
              <w:right w:w="20" w:type="dxa"/>
            </w:tcMar>
            <w:vAlign w:val="center"/>
            <w:hideMark/>
          </w:tcPr>
          <w:p w14:paraId="36DE029A" w14:textId="77777777" w:rsidR="00000000" w:rsidRDefault="00405D16">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14:paraId="7E16919A"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2DCC1F9" w14:textId="77777777" w:rsidR="00000000" w:rsidRDefault="00405D16">
            <w:pPr>
              <w:spacing w:after="100"/>
              <w:jc w:val="right"/>
              <w:rPr>
                <w:rFonts w:eastAsia="Times New Roman"/>
              </w:rPr>
            </w:pPr>
            <w:r>
              <w:rPr>
                <w:rFonts w:eastAsia="Times New Roman"/>
                <w:b/>
                <w:bCs/>
                <w:color w:val="000000"/>
                <w:sz w:val="18"/>
                <w:szCs w:val="18"/>
              </w:rPr>
              <w:t>2,152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A0A3F3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278E3F"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688F75B" w14:textId="77777777" w:rsidR="00000000" w:rsidRDefault="00405D16">
            <w:pPr>
              <w:spacing w:after="100"/>
              <w:jc w:val="right"/>
              <w:rPr>
                <w:rFonts w:eastAsia="Times New Roman"/>
              </w:rPr>
            </w:pPr>
            <w:r>
              <w:rPr>
                <w:rFonts w:eastAsia="Times New Roman"/>
                <w:b/>
                <w:bCs/>
                <w:color w:val="000000"/>
                <w:sz w:val="18"/>
                <w:szCs w:val="18"/>
              </w:rPr>
              <w:t>34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F862A3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0D3BE4"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BBF8C79" w14:textId="77777777" w:rsidR="00000000" w:rsidRDefault="00405D16">
            <w:pPr>
              <w:spacing w:after="100"/>
              <w:jc w:val="right"/>
              <w:rPr>
                <w:rFonts w:eastAsia="Times New Roman"/>
              </w:rPr>
            </w:pPr>
            <w:r>
              <w:rPr>
                <w:rFonts w:eastAsia="Times New Roman"/>
                <w:color w:val="000000"/>
                <w:sz w:val="18"/>
                <w:szCs w:val="18"/>
              </w:rPr>
              <w:t>1,310 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E7CAE2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3146B0"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D719CD7" w14:textId="77777777" w:rsidR="00000000" w:rsidRDefault="00405D16">
            <w:pPr>
              <w:spacing w:after="100"/>
              <w:jc w:val="right"/>
              <w:rPr>
                <w:rFonts w:eastAsia="Times New Roman"/>
              </w:rPr>
            </w:pPr>
            <w:r>
              <w:rPr>
                <w:rFonts w:eastAsia="Times New Roman"/>
                <w:color w:val="000000"/>
                <w:sz w:val="18"/>
                <w:szCs w:val="18"/>
              </w:rPr>
              <w:t>16 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A9AA1D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3FCF16"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FF83CE1" w14:textId="77777777" w:rsidR="00000000" w:rsidRDefault="00405D16">
            <w:pPr>
              <w:spacing w:after="100"/>
              <w:jc w:val="right"/>
              <w:rPr>
                <w:rFonts w:eastAsia="Times New Roman"/>
              </w:rPr>
            </w:pPr>
            <w:r>
              <w:rPr>
                <w:rFonts w:eastAsia="Times New Roman"/>
                <w:b/>
                <w:bCs/>
                <w:color w:val="2C2C2C"/>
                <w:sz w:val="18"/>
                <w:szCs w:val="18"/>
              </w:rPr>
              <w:t>6,462</w:t>
            </w:r>
            <w:r>
              <w:rPr>
                <w:rFonts w:eastAsia="Times New Roman"/>
                <w:color w:val="2C2C2C"/>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144854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BA43F8"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0CE63FF" w14:textId="77777777" w:rsidR="00000000" w:rsidRDefault="00405D16">
            <w:pPr>
              <w:spacing w:after="100"/>
              <w:jc w:val="right"/>
              <w:rPr>
                <w:rFonts w:eastAsia="Times New Roman"/>
              </w:rPr>
            </w:pPr>
            <w:r>
              <w:rPr>
                <w:rFonts w:eastAsia="Times New Roman"/>
                <w:b/>
                <w:bCs/>
                <w:color w:val="2C2C2C"/>
                <w:sz w:val="18"/>
                <w:szCs w:val="18"/>
              </w:rPr>
              <w:t>98</w:t>
            </w:r>
            <w:r>
              <w:rPr>
                <w:rFonts w:eastAsia="Times New Roman"/>
                <w:color w:val="2C2C2C"/>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8DF24D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95725F"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75182AC" w14:textId="77777777" w:rsidR="00000000" w:rsidRDefault="00405D16">
            <w:pPr>
              <w:spacing w:after="100"/>
              <w:jc w:val="right"/>
              <w:rPr>
                <w:rFonts w:eastAsia="Times New Roman"/>
              </w:rPr>
            </w:pPr>
            <w:r>
              <w:rPr>
                <w:rFonts w:eastAsia="Times New Roman"/>
                <w:color w:val="000000"/>
                <w:sz w:val="18"/>
                <w:szCs w:val="18"/>
              </w:rPr>
              <w:t>3,449 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D0EEA5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41983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F79A384" w14:textId="77777777" w:rsidR="00000000" w:rsidRDefault="00405D16">
            <w:pPr>
              <w:spacing w:after="100"/>
              <w:jc w:val="right"/>
              <w:rPr>
                <w:rFonts w:eastAsia="Times New Roman"/>
              </w:rPr>
            </w:pPr>
            <w:r>
              <w:rPr>
                <w:rFonts w:eastAsia="Times New Roman"/>
                <w:color w:val="000000"/>
                <w:sz w:val="18"/>
                <w:szCs w:val="18"/>
              </w:rPr>
              <w:t>43 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882CC81" w14:textId="77777777" w:rsidR="00000000" w:rsidRDefault="00405D16">
            <w:pPr>
              <w:spacing w:after="100"/>
              <w:jc w:val="right"/>
              <w:rPr>
                <w:rFonts w:eastAsia="Times New Roman"/>
              </w:rPr>
            </w:pPr>
          </w:p>
        </w:tc>
        <w:tc>
          <w:tcPr>
            <w:tcW w:w="0" w:type="auto"/>
            <w:gridSpan w:val="3"/>
            <w:vAlign w:val="center"/>
            <w:hideMark/>
          </w:tcPr>
          <w:p w14:paraId="0CEC4AA1" w14:textId="77777777" w:rsidR="00000000" w:rsidRDefault="00405D16">
            <w:pPr>
              <w:spacing w:after="100"/>
              <w:jc w:val="right"/>
              <w:rPr>
                <w:rFonts w:eastAsia="Times New Roman"/>
                <w:sz w:val="20"/>
                <w:szCs w:val="20"/>
              </w:rPr>
            </w:pPr>
          </w:p>
        </w:tc>
        <w:tc>
          <w:tcPr>
            <w:tcW w:w="0" w:type="auto"/>
            <w:gridSpan w:val="3"/>
            <w:vAlign w:val="center"/>
            <w:hideMark/>
          </w:tcPr>
          <w:p w14:paraId="5FF7CD31" w14:textId="77777777" w:rsidR="00000000" w:rsidRDefault="00405D16">
            <w:pPr>
              <w:spacing w:after="100"/>
              <w:rPr>
                <w:rFonts w:eastAsia="Times New Roman"/>
                <w:sz w:val="20"/>
                <w:szCs w:val="20"/>
              </w:rPr>
            </w:pPr>
          </w:p>
        </w:tc>
        <w:tc>
          <w:tcPr>
            <w:tcW w:w="0" w:type="auto"/>
            <w:gridSpan w:val="3"/>
            <w:vAlign w:val="center"/>
            <w:hideMark/>
          </w:tcPr>
          <w:p w14:paraId="4087AE50" w14:textId="77777777" w:rsidR="00000000" w:rsidRDefault="00405D16">
            <w:pPr>
              <w:spacing w:after="100"/>
              <w:rPr>
                <w:rFonts w:eastAsia="Times New Roman"/>
                <w:sz w:val="20"/>
                <w:szCs w:val="20"/>
              </w:rPr>
            </w:pPr>
          </w:p>
        </w:tc>
        <w:tc>
          <w:tcPr>
            <w:tcW w:w="0" w:type="auto"/>
            <w:gridSpan w:val="2"/>
            <w:vAlign w:val="center"/>
            <w:hideMark/>
          </w:tcPr>
          <w:p w14:paraId="303700EA" w14:textId="77777777" w:rsidR="00000000" w:rsidRDefault="00405D16">
            <w:pPr>
              <w:spacing w:after="100"/>
              <w:rPr>
                <w:rFonts w:eastAsia="Times New Roman"/>
                <w:sz w:val="20"/>
                <w:szCs w:val="20"/>
              </w:rPr>
            </w:pPr>
          </w:p>
        </w:tc>
      </w:tr>
      <w:tr w:rsidR="00000000" w14:paraId="449D6B55" w14:textId="77777777">
        <w:trPr>
          <w:divId w:val="1278830381"/>
        </w:trPr>
        <w:tc>
          <w:tcPr>
            <w:tcW w:w="0" w:type="auto"/>
            <w:gridSpan w:val="3"/>
            <w:shd w:val="clear" w:color="auto" w:fill="CCEEFF"/>
            <w:tcMar>
              <w:top w:w="30" w:type="dxa"/>
              <w:left w:w="20" w:type="dxa"/>
              <w:bottom w:w="30" w:type="dxa"/>
              <w:right w:w="20" w:type="dxa"/>
            </w:tcMar>
            <w:vAlign w:val="center"/>
            <w:hideMark/>
          </w:tcPr>
          <w:p w14:paraId="0CEB0ABE" w14:textId="77777777" w:rsidR="00000000" w:rsidRDefault="00405D16">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14:paraId="3007D3AC"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7502D4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E4B9D5"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6B9E21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2371A8"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ECC2A0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75FD68"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E8739C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BF52B8"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AD519C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4A1B2B"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201057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3C16BF"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841A02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A93734"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EB7B396" w14:textId="77777777" w:rsidR="00000000" w:rsidRDefault="00405D16">
            <w:pPr>
              <w:spacing w:after="100"/>
              <w:rPr>
                <w:rFonts w:eastAsia="Times New Roman"/>
                <w:sz w:val="20"/>
                <w:szCs w:val="20"/>
              </w:rPr>
            </w:pPr>
          </w:p>
        </w:tc>
        <w:tc>
          <w:tcPr>
            <w:tcW w:w="0" w:type="auto"/>
            <w:gridSpan w:val="3"/>
            <w:vAlign w:val="center"/>
            <w:hideMark/>
          </w:tcPr>
          <w:p w14:paraId="28715856" w14:textId="77777777" w:rsidR="00000000" w:rsidRDefault="00405D16">
            <w:pPr>
              <w:spacing w:after="100"/>
              <w:rPr>
                <w:rFonts w:eastAsia="Times New Roman"/>
                <w:sz w:val="20"/>
                <w:szCs w:val="20"/>
              </w:rPr>
            </w:pPr>
          </w:p>
        </w:tc>
        <w:tc>
          <w:tcPr>
            <w:tcW w:w="0" w:type="auto"/>
            <w:gridSpan w:val="3"/>
            <w:vAlign w:val="center"/>
            <w:hideMark/>
          </w:tcPr>
          <w:p w14:paraId="1F56A2BA" w14:textId="77777777" w:rsidR="00000000" w:rsidRDefault="00405D16">
            <w:pPr>
              <w:spacing w:after="100"/>
              <w:rPr>
                <w:rFonts w:eastAsia="Times New Roman"/>
                <w:sz w:val="20"/>
                <w:szCs w:val="20"/>
              </w:rPr>
            </w:pPr>
          </w:p>
        </w:tc>
        <w:tc>
          <w:tcPr>
            <w:tcW w:w="0" w:type="auto"/>
            <w:gridSpan w:val="3"/>
            <w:vAlign w:val="center"/>
            <w:hideMark/>
          </w:tcPr>
          <w:p w14:paraId="59AD77FC" w14:textId="77777777" w:rsidR="00000000" w:rsidRDefault="00405D16">
            <w:pPr>
              <w:spacing w:after="100"/>
              <w:rPr>
                <w:rFonts w:eastAsia="Times New Roman"/>
                <w:sz w:val="20"/>
                <w:szCs w:val="20"/>
              </w:rPr>
            </w:pPr>
          </w:p>
        </w:tc>
        <w:tc>
          <w:tcPr>
            <w:tcW w:w="0" w:type="auto"/>
            <w:gridSpan w:val="2"/>
            <w:vAlign w:val="center"/>
            <w:hideMark/>
          </w:tcPr>
          <w:p w14:paraId="6EE0E426" w14:textId="77777777" w:rsidR="00000000" w:rsidRDefault="00405D16">
            <w:pPr>
              <w:spacing w:after="100"/>
              <w:rPr>
                <w:rFonts w:eastAsia="Times New Roman"/>
                <w:sz w:val="20"/>
                <w:szCs w:val="20"/>
              </w:rPr>
            </w:pPr>
          </w:p>
        </w:tc>
      </w:tr>
      <w:tr w:rsidR="00405D16" w14:paraId="32DC44E5" w14:textId="77777777">
        <w:trPr>
          <w:divId w:val="1278830381"/>
        </w:trPr>
        <w:tc>
          <w:tcPr>
            <w:tcW w:w="0" w:type="auto"/>
            <w:gridSpan w:val="3"/>
            <w:shd w:val="clear" w:color="auto" w:fill="FFFFFF"/>
            <w:tcMar>
              <w:top w:w="30" w:type="dxa"/>
              <w:left w:w="245" w:type="dxa"/>
              <w:bottom w:w="30" w:type="dxa"/>
              <w:right w:w="20" w:type="dxa"/>
            </w:tcMar>
            <w:vAlign w:val="center"/>
            <w:hideMark/>
          </w:tcPr>
          <w:p w14:paraId="662B7A83" w14:textId="77777777" w:rsidR="00000000" w:rsidRDefault="00405D16">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14:paraId="2D07DD3D"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1BF4B59"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2BA552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62498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2ABCA5D"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37F111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BFE41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89DBC5B"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464FAC3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8E02C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80CAB56"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7915DA9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6F65E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AA494B4" w14:textId="77777777" w:rsidR="00000000" w:rsidRDefault="00405D16">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6E96BB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D56F3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E1986B9" w14:textId="77777777" w:rsidR="00000000" w:rsidRDefault="00405D16">
            <w:pPr>
              <w:spacing w:after="100"/>
              <w:jc w:val="right"/>
              <w:rPr>
                <w:rFonts w:eastAsia="Times New Roman"/>
              </w:rPr>
            </w:pPr>
            <w:r>
              <w:rPr>
                <w:rFonts w:eastAsia="Times New Roman"/>
                <w:b/>
                <w:bCs/>
                <w:color w:val="000000"/>
                <w:sz w:val="18"/>
                <w:szCs w:val="18"/>
              </w:rPr>
              <w:t>50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45241F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B8B97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3B071FC"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4311A34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B155E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C3A1FFE"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4CEA2445" w14:textId="77777777" w:rsidR="00000000" w:rsidRDefault="00405D16">
            <w:pPr>
              <w:spacing w:after="100"/>
              <w:jc w:val="right"/>
              <w:rPr>
                <w:rFonts w:eastAsia="Times New Roman"/>
              </w:rPr>
            </w:pPr>
          </w:p>
        </w:tc>
        <w:tc>
          <w:tcPr>
            <w:tcW w:w="0" w:type="auto"/>
            <w:gridSpan w:val="3"/>
            <w:vAlign w:val="center"/>
            <w:hideMark/>
          </w:tcPr>
          <w:p w14:paraId="4D7E5278" w14:textId="77777777" w:rsidR="00000000" w:rsidRDefault="00405D16">
            <w:pPr>
              <w:spacing w:after="100"/>
              <w:jc w:val="right"/>
              <w:rPr>
                <w:rFonts w:eastAsia="Times New Roman"/>
                <w:sz w:val="20"/>
                <w:szCs w:val="20"/>
              </w:rPr>
            </w:pPr>
          </w:p>
        </w:tc>
        <w:tc>
          <w:tcPr>
            <w:tcW w:w="0" w:type="auto"/>
            <w:gridSpan w:val="3"/>
            <w:vAlign w:val="center"/>
            <w:hideMark/>
          </w:tcPr>
          <w:p w14:paraId="022E928D" w14:textId="77777777" w:rsidR="00000000" w:rsidRDefault="00405D16">
            <w:pPr>
              <w:spacing w:after="100"/>
              <w:rPr>
                <w:rFonts w:eastAsia="Times New Roman"/>
                <w:sz w:val="20"/>
                <w:szCs w:val="20"/>
              </w:rPr>
            </w:pPr>
          </w:p>
        </w:tc>
        <w:tc>
          <w:tcPr>
            <w:tcW w:w="0" w:type="auto"/>
            <w:gridSpan w:val="3"/>
            <w:vAlign w:val="center"/>
            <w:hideMark/>
          </w:tcPr>
          <w:p w14:paraId="4FB8CD3D" w14:textId="77777777" w:rsidR="00000000" w:rsidRDefault="00405D16">
            <w:pPr>
              <w:spacing w:after="100"/>
              <w:rPr>
                <w:rFonts w:eastAsia="Times New Roman"/>
                <w:sz w:val="20"/>
                <w:szCs w:val="20"/>
              </w:rPr>
            </w:pPr>
          </w:p>
        </w:tc>
        <w:tc>
          <w:tcPr>
            <w:tcW w:w="0" w:type="auto"/>
            <w:gridSpan w:val="2"/>
            <w:vAlign w:val="center"/>
            <w:hideMark/>
          </w:tcPr>
          <w:p w14:paraId="7FA688D5" w14:textId="77777777" w:rsidR="00000000" w:rsidRDefault="00405D16">
            <w:pPr>
              <w:spacing w:after="100"/>
              <w:rPr>
                <w:rFonts w:eastAsia="Times New Roman"/>
                <w:sz w:val="20"/>
                <w:szCs w:val="20"/>
              </w:rPr>
            </w:pPr>
          </w:p>
        </w:tc>
      </w:tr>
      <w:tr w:rsidR="00405D16" w14:paraId="3C2B3C9D" w14:textId="77777777">
        <w:trPr>
          <w:divId w:val="1278830381"/>
        </w:trPr>
        <w:tc>
          <w:tcPr>
            <w:tcW w:w="0" w:type="auto"/>
            <w:gridSpan w:val="3"/>
            <w:shd w:val="clear" w:color="auto" w:fill="CCEEFF"/>
            <w:tcMar>
              <w:top w:w="30" w:type="dxa"/>
              <w:left w:w="245" w:type="dxa"/>
              <w:bottom w:w="30" w:type="dxa"/>
              <w:right w:w="20" w:type="dxa"/>
            </w:tcMar>
            <w:vAlign w:val="center"/>
            <w:hideMark/>
          </w:tcPr>
          <w:p w14:paraId="474BE639" w14:textId="77777777" w:rsidR="00000000" w:rsidRDefault="00405D16">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14:paraId="45CBFB2A"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D6F47A9" w14:textId="77777777" w:rsidR="00000000" w:rsidRDefault="00405D16">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11CEA3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525FA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C2C6681" w14:textId="77777777" w:rsidR="00000000" w:rsidRDefault="00405D16">
            <w:pPr>
              <w:spacing w:after="100"/>
              <w:jc w:val="right"/>
              <w:rPr>
                <w:rFonts w:eastAsia="Times New Roman"/>
              </w:rPr>
            </w:pPr>
            <w:r>
              <w:rPr>
                <w:rFonts w:eastAsia="Times New Roman"/>
                <w:b/>
                <w:bCs/>
                <w:color w:val="000000"/>
                <w:sz w:val="18"/>
                <w:szCs w:val="18"/>
              </w:rPr>
              <w:t>38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E653EC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27137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F21AF24" w14:textId="77777777" w:rsidR="00000000" w:rsidRDefault="00405D16">
            <w:pPr>
              <w:spacing w:after="100"/>
              <w:jc w:val="right"/>
              <w:rPr>
                <w:rFonts w:eastAsia="Times New Roman"/>
              </w:rPr>
            </w:pPr>
            <w:r>
              <w:rPr>
                <w:rFonts w:eastAsia="Times New Roman"/>
                <w:color w:val="2C2C2C"/>
                <w:sz w:val="18"/>
                <w:szCs w:val="18"/>
              </w:rPr>
              <w:t>4 </w:t>
            </w:r>
          </w:p>
        </w:tc>
        <w:tc>
          <w:tcPr>
            <w:tcW w:w="0" w:type="auto"/>
            <w:shd w:val="clear" w:color="auto" w:fill="CCEEFF"/>
            <w:tcMar>
              <w:top w:w="30" w:type="dxa"/>
              <w:left w:w="0" w:type="dxa"/>
              <w:bottom w:w="30" w:type="dxa"/>
              <w:right w:w="20" w:type="dxa"/>
            </w:tcMar>
            <w:vAlign w:val="center"/>
            <w:hideMark/>
          </w:tcPr>
          <w:p w14:paraId="2A48D0D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81B7D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97712EA" w14:textId="77777777" w:rsidR="00000000" w:rsidRDefault="00405D16">
            <w:pPr>
              <w:spacing w:after="100"/>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center"/>
            <w:hideMark/>
          </w:tcPr>
          <w:p w14:paraId="681D8A5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51758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016F69D" w14:textId="77777777" w:rsidR="00000000" w:rsidRDefault="00405D16">
            <w:pPr>
              <w:spacing w:after="100"/>
              <w:jc w:val="right"/>
              <w:rPr>
                <w:rFonts w:eastAsia="Times New Roman"/>
              </w:rPr>
            </w:pPr>
            <w:r>
              <w:rPr>
                <w:rFonts w:eastAsia="Times New Roman"/>
                <w:b/>
                <w:bCs/>
                <w:color w:val="000000"/>
                <w:sz w:val="18"/>
                <w:szCs w:val="18"/>
              </w:rPr>
              <w:t>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BFFC9D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EE162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ED52ECA" w14:textId="77777777" w:rsidR="00000000" w:rsidRDefault="00405D16">
            <w:pPr>
              <w:spacing w:after="100"/>
              <w:jc w:val="right"/>
              <w:rPr>
                <w:rFonts w:eastAsia="Times New Roman"/>
              </w:rPr>
            </w:pPr>
            <w:r>
              <w:rPr>
                <w:rFonts w:eastAsia="Times New Roman"/>
                <w:b/>
                <w:bCs/>
                <w:color w:val="2C2C2C"/>
                <w:sz w:val="18"/>
                <w:szCs w:val="18"/>
              </w:rPr>
              <w:t>120</w:t>
            </w:r>
            <w:r>
              <w:rPr>
                <w:rFonts w:eastAsia="Times New Roman"/>
                <w:color w:val="2C2C2C"/>
                <w:sz w:val="18"/>
                <w:szCs w:val="18"/>
              </w:rPr>
              <w:t> </w:t>
            </w:r>
          </w:p>
        </w:tc>
        <w:tc>
          <w:tcPr>
            <w:tcW w:w="0" w:type="auto"/>
            <w:shd w:val="clear" w:color="auto" w:fill="CCEEFF"/>
            <w:tcMar>
              <w:top w:w="30" w:type="dxa"/>
              <w:left w:w="0" w:type="dxa"/>
              <w:bottom w:w="30" w:type="dxa"/>
              <w:right w:w="20" w:type="dxa"/>
            </w:tcMar>
            <w:vAlign w:val="center"/>
            <w:hideMark/>
          </w:tcPr>
          <w:p w14:paraId="7370B39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A6177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FDE52CC" w14:textId="77777777" w:rsidR="00000000" w:rsidRDefault="00405D16">
            <w:pPr>
              <w:spacing w:after="100"/>
              <w:jc w:val="right"/>
              <w:rPr>
                <w:rFonts w:eastAsia="Times New Roman"/>
              </w:rPr>
            </w:pPr>
            <w:r>
              <w:rPr>
                <w:rFonts w:eastAsia="Times New Roman"/>
                <w:color w:val="2C2C2C"/>
                <w:sz w:val="18"/>
                <w:szCs w:val="18"/>
              </w:rPr>
              <w:t>11 </w:t>
            </w:r>
          </w:p>
        </w:tc>
        <w:tc>
          <w:tcPr>
            <w:tcW w:w="0" w:type="auto"/>
            <w:shd w:val="clear" w:color="auto" w:fill="CCEEFF"/>
            <w:tcMar>
              <w:top w:w="30" w:type="dxa"/>
              <w:left w:w="0" w:type="dxa"/>
              <w:bottom w:w="30" w:type="dxa"/>
              <w:right w:w="20" w:type="dxa"/>
            </w:tcMar>
            <w:vAlign w:val="center"/>
            <w:hideMark/>
          </w:tcPr>
          <w:p w14:paraId="5F1B228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08FE7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7162DFD" w14:textId="77777777" w:rsidR="00000000" w:rsidRDefault="00405D16">
            <w:pPr>
              <w:spacing w:after="100"/>
              <w:jc w:val="right"/>
              <w:rPr>
                <w:rFonts w:eastAsia="Times New Roman"/>
              </w:rPr>
            </w:pPr>
            <w:r>
              <w:rPr>
                <w:rFonts w:eastAsia="Times New Roman"/>
                <w:color w:val="000000"/>
                <w:sz w:val="18"/>
                <w:szCs w:val="18"/>
              </w:rPr>
              <w:t>65 </w:t>
            </w:r>
          </w:p>
        </w:tc>
        <w:tc>
          <w:tcPr>
            <w:tcW w:w="0" w:type="auto"/>
            <w:shd w:val="clear" w:color="auto" w:fill="CCEEFF"/>
            <w:tcMar>
              <w:top w:w="30" w:type="dxa"/>
              <w:left w:w="0" w:type="dxa"/>
              <w:bottom w:w="30" w:type="dxa"/>
              <w:right w:w="20" w:type="dxa"/>
            </w:tcMar>
            <w:vAlign w:val="center"/>
            <w:hideMark/>
          </w:tcPr>
          <w:p w14:paraId="78EEFCD4" w14:textId="77777777" w:rsidR="00000000" w:rsidRDefault="00405D16">
            <w:pPr>
              <w:spacing w:after="100"/>
              <w:jc w:val="right"/>
              <w:rPr>
                <w:rFonts w:eastAsia="Times New Roman"/>
              </w:rPr>
            </w:pPr>
          </w:p>
        </w:tc>
        <w:tc>
          <w:tcPr>
            <w:tcW w:w="0" w:type="auto"/>
            <w:gridSpan w:val="3"/>
            <w:vAlign w:val="center"/>
            <w:hideMark/>
          </w:tcPr>
          <w:p w14:paraId="03663A85" w14:textId="77777777" w:rsidR="00000000" w:rsidRDefault="00405D16">
            <w:pPr>
              <w:spacing w:after="100"/>
              <w:jc w:val="right"/>
              <w:rPr>
                <w:rFonts w:eastAsia="Times New Roman"/>
                <w:sz w:val="20"/>
                <w:szCs w:val="20"/>
              </w:rPr>
            </w:pPr>
          </w:p>
        </w:tc>
        <w:tc>
          <w:tcPr>
            <w:tcW w:w="0" w:type="auto"/>
            <w:gridSpan w:val="3"/>
            <w:vAlign w:val="center"/>
            <w:hideMark/>
          </w:tcPr>
          <w:p w14:paraId="03DFAA35" w14:textId="77777777" w:rsidR="00000000" w:rsidRDefault="00405D16">
            <w:pPr>
              <w:spacing w:after="100"/>
              <w:rPr>
                <w:rFonts w:eastAsia="Times New Roman"/>
                <w:sz w:val="20"/>
                <w:szCs w:val="20"/>
              </w:rPr>
            </w:pPr>
          </w:p>
        </w:tc>
        <w:tc>
          <w:tcPr>
            <w:tcW w:w="0" w:type="auto"/>
            <w:gridSpan w:val="3"/>
            <w:vAlign w:val="center"/>
            <w:hideMark/>
          </w:tcPr>
          <w:p w14:paraId="369154F9" w14:textId="77777777" w:rsidR="00000000" w:rsidRDefault="00405D16">
            <w:pPr>
              <w:spacing w:after="100"/>
              <w:rPr>
                <w:rFonts w:eastAsia="Times New Roman"/>
                <w:sz w:val="20"/>
                <w:szCs w:val="20"/>
              </w:rPr>
            </w:pPr>
          </w:p>
        </w:tc>
        <w:tc>
          <w:tcPr>
            <w:tcW w:w="0" w:type="auto"/>
            <w:gridSpan w:val="2"/>
            <w:vAlign w:val="center"/>
            <w:hideMark/>
          </w:tcPr>
          <w:p w14:paraId="0075A443" w14:textId="77777777" w:rsidR="00000000" w:rsidRDefault="00405D16">
            <w:pPr>
              <w:spacing w:after="100"/>
              <w:rPr>
                <w:rFonts w:eastAsia="Times New Roman"/>
                <w:sz w:val="20"/>
                <w:szCs w:val="20"/>
              </w:rPr>
            </w:pPr>
          </w:p>
        </w:tc>
      </w:tr>
      <w:tr w:rsidR="00405D16" w14:paraId="3851460E" w14:textId="77777777">
        <w:trPr>
          <w:divId w:val="1278830381"/>
        </w:trPr>
        <w:tc>
          <w:tcPr>
            <w:tcW w:w="0" w:type="auto"/>
            <w:gridSpan w:val="3"/>
            <w:shd w:val="clear" w:color="auto" w:fill="FFFFFF"/>
            <w:tcMar>
              <w:top w:w="30" w:type="dxa"/>
              <w:left w:w="20" w:type="dxa"/>
              <w:bottom w:w="30" w:type="dxa"/>
              <w:right w:w="20" w:type="dxa"/>
            </w:tcMar>
            <w:vAlign w:val="center"/>
            <w:hideMark/>
          </w:tcPr>
          <w:p w14:paraId="61C11532" w14:textId="77777777" w:rsidR="00000000" w:rsidRDefault="00405D16">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14:paraId="47571361"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28F3F82" w14:textId="77777777" w:rsidR="00000000" w:rsidRDefault="00405D16">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C84652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2A2811"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2500159" w14:textId="77777777" w:rsidR="00000000" w:rsidRDefault="00405D16">
            <w:pPr>
              <w:spacing w:after="100"/>
              <w:jc w:val="right"/>
              <w:rPr>
                <w:rFonts w:eastAsia="Times New Roman"/>
              </w:rPr>
            </w:pPr>
            <w:r>
              <w:rPr>
                <w:rFonts w:eastAsia="Times New Roman"/>
                <w:b/>
                <w:bCs/>
                <w:color w:val="000000"/>
                <w:sz w:val="18"/>
                <w:szCs w:val="18"/>
              </w:rPr>
              <w:t>38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2507FD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44F9A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22B3FE2" w14:textId="77777777" w:rsidR="00000000" w:rsidRDefault="00405D16">
            <w:pPr>
              <w:spacing w:after="100"/>
              <w:jc w:val="right"/>
              <w:rPr>
                <w:rFonts w:eastAsia="Times New Roman"/>
              </w:rPr>
            </w:pPr>
            <w:r>
              <w:rPr>
                <w:rFonts w:eastAsia="Times New Roman"/>
                <w:color w:val="000000"/>
                <w:sz w:val="18"/>
                <w:szCs w:val="18"/>
              </w:rPr>
              <w:t>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03E995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8E83F0"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2687165" w14:textId="77777777" w:rsidR="00000000" w:rsidRDefault="00405D16">
            <w:pPr>
              <w:spacing w:after="100"/>
              <w:jc w:val="right"/>
              <w:rPr>
                <w:rFonts w:eastAsia="Times New Roman"/>
              </w:rPr>
            </w:pPr>
            <w:r>
              <w:rPr>
                <w:rFonts w:eastAsia="Times New Roman"/>
                <w:color w:val="000000"/>
                <w:sz w:val="18"/>
                <w:szCs w:val="18"/>
              </w:rPr>
              <w:t>16 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BD2F60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3619B5"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184E53C" w14:textId="77777777" w:rsidR="00000000" w:rsidRDefault="00405D16">
            <w:pPr>
              <w:spacing w:after="100"/>
              <w:jc w:val="right"/>
              <w:rPr>
                <w:rFonts w:eastAsia="Times New Roman"/>
              </w:rPr>
            </w:pPr>
            <w:r>
              <w:rPr>
                <w:rFonts w:eastAsia="Times New Roman"/>
                <w:b/>
                <w:bCs/>
                <w:color w:val="2C2C2C"/>
                <w:sz w:val="18"/>
                <w:szCs w:val="18"/>
              </w:rPr>
              <w:t>8</w:t>
            </w:r>
            <w:r>
              <w:rPr>
                <w:rFonts w:eastAsia="Times New Roman"/>
                <w:color w:val="2C2C2C"/>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25AF64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A6E69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BE854A5" w14:textId="77777777" w:rsidR="00000000" w:rsidRDefault="00405D16">
            <w:pPr>
              <w:spacing w:after="100"/>
              <w:jc w:val="right"/>
              <w:rPr>
                <w:rFonts w:eastAsia="Times New Roman"/>
              </w:rPr>
            </w:pPr>
            <w:r>
              <w:rPr>
                <w:rFonts w:eastAsia="Times New Roman"/>
                <w:b/>
                <w:bCs/>
                <w:color w:val="2C2C2C"/>
                <w:sz w:val="18"/>
                <w:szCs w:val="18"/>
              </w:rPr>
              <w:t>170</w:t>
            </w:r>
            <w:r>
              <w:rPr>
                <w:rFonts w:eastAsia="Times New Roman"/>
                <w:color w:val="2C2C2C"/>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B03FD1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11D35F"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DE69FD4" w14:textId="77777777" w:rsidR="00000000" w:rsidRDefault="00405D16">
            <w:pPr>
              <w:spacing w:after="100"/>
              <w:jc w:val="right"/>
              <w:rPr>
                <w:rFonts w:eastAsia="Times New Roman"/>
              </w:rPr>
            </w:pPr>
            <w:r>
              <w:rPr>
                <w:rFonts w:eastAsia="Times New Roman"/>
                <w:color w:val="2C2C2C"/>
                <w:sz w:val="18"/>
                <w:szCs w:val="18"/>
              </w:rPr>
              <w:t>11 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38E6A5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91B19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557CE78" w14:textId="77777777" w:rsidR="00000000" w:rsidRDefault="00405D16">
            <w:pPr>
              <w:spacing w:after="100"/>
              <w:jc w:val="right"/>
              <w:rPr>
                <w:rFonts w:eastAsia="Times New Roman"/>
              </w:rPr>
            </w:pPr>
            <w:r>
              <w:rPr>
                <w:rFonts w:eastAsia="Times New Roman"/>
                <w:color w:val="2C2C2C"/>
                <w:sz w:val="18"/>
                <w:szCs w:val="18"/>
              </w:rPr>
              <w:t>65 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498A3CB" w14:textId="77777777" w:rsidR="00000000" w:rsidRDefault="00405D16">
            <w:pPr>
              <w:spacing w:after="100"/>
              <w:jc w:val="right"/>
              <w:rPr>
                <w:rFonts w:eastAsia="Times New Roman"/>
              </w:rPr>
            </w:pPr>
          </w:p>
        </w:tc>
        <w:tc>
          <w:tcPr>
            <w:tcW w:w="0" w:type="auto"/>
            <w:gridSpan w:val="3"/>
            <w:vAlign w:val="center"/>
            <w:hideMark/>
          </w:tcPr>
          <w:p w14:paraId="0ED06031" w14:textId="77777777" w:rsidR="00000000" w:rsidRDefault="00405D16">
            <w:pPr>
              <w:spacing w:after="100"/>
              <w:jc w:val="right"/>
              <w:rPr>
                <w:rFonts w:eastAsia="Times New Roman"/>
                <w:sz w:val="20"/>
                <w:szCs w:val="20"/>
              </w:rPr>
            </w:pPr>
          </w:p>
        </w:tc>
        <w:tc>
          <w:tcPr>
            <w:tcW w:w="0" w:type="auto"/>
            <w:gridSpan w:val="3"/>
            <w:vAlign w:val="center"/>
            <w:hideMark/>
          </w:tcPr>
          <w:p w14:paraId="6B06E92D" w14:textId="77777777" w:rsidR="00000000" w:rsidRDefault="00405D16">
            <w:pPr>
              <w:spacing w:after="100"/>
              <w:rPr>
                <w:rFonts w:eastAsia="Times New Roman"/>
                <w:sz w:val="20"/>
                <w:szCs w:val="20"/>
              </w:rPr>
            </w:pPr>
          </w:p>
        </w:tc>
        <w:tc>
          <w:tcPr>
            <w:tcW w:w="0" w:type="auto"/>
            <w:gridSpan w:val="3"/>
            <w:vAlign w:val="center"/>
            <w:hideMark/>
          </w:tcPr>
          <w:p w14:paraId="032C5817" w14:textId="77777777" w:rsidR="00000000" w:rsidRDefault="00405D16">
            <w:pPr>
              <w:spacing w:after="100"/>
              <w:rPr>
                <w:rFonts w:eastAsia="Times New Roman"/>
                <w:sz w:val="20"/>
                <w:szCs w:val="20"/>
              </w:rPr>
            </w:pPr>
          </w:p>
        </w:tc>
        <w:tc>
          <w:tcPr>
            <w:tcW w:w="0" w:type="auto"/>
            <w:gridSpan w:val="2"/>
            <w:vAlign w:val="center"/>
            <w:hideMark/>
          </w:tcPr>
          <w:p w14:paraId="573C1DD5" w14:textId="77777777" w:rsidR="00000000" w:rsidRDefault="00405D16">
            <w:pPr>
              <w:spacing w:after="100"/>
              <w:rPr>
                <w:rFonts w:eastAsia="Times New Roman"/>
                <w:sz w:val="20"/>
                <w:szCs w:val="20"/>
              </w:rPr>
            </w:pPr>
          </w:p>
        </w:tc>
      </w:tr>
      <w:tr w:rsidR="00405D16" w14:paraId="0EB7C71B" w14:textId="77777777">
        <w:trPr>
          <w:divId w:val="1278830381"/>
        </w:trPr>
        <w:tc>
          <w:tcPr>
            <w:tcW w:w="0" w:type="auto"/>
            <w:gridSpan w:val="3"/>
            <w:shd w:val="clear" w:color="auto" w:fill="CCEEFF"/>
            <w:tcMar>
              <w:top w:w="30" w:type="dxa"/>
              <w:left w:w="20" w:type="dxa"/>
              <w:bottom w:w="30" w:type="dxa"/>
              <w:right w:w="20" w:type="dxa"/>
            </w:tcMar>
            <w:vAlign w:val="center"/>
            <w:hideMark/>
          </w:tcPr>
          <w:p w14:paraId="20F9511E" w14:textId="77777777" w:rsidR="00000000" w:rsidRDefault="00405D16">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17A9B10F" w14:textId="77777777" w:rsidR="00000000" w:rsidRDefault="00405D16">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3FA5906" w14:textId="77777777" w:rsidR="00000000" w:rsidRDefault="00405D16">
            <w:pPr>
              <w:spacing w:after="100"/>
              <w:jc w:val="right"/>
              <w:rPr>
                <w:rFonts w:eastAsia="Times New Roman"/>
              </w:rPr>
            </w:pPr>
            <w:r>
              <w:rPr>
                <w:rFonts w:eastAsia="Times New Roman"/>
                <w:b/>
                <w:bCs/>
                <w:color w:val="000000"/>
                <w:sz w:val="18"/>
                <w:szCs w:val="18"/>
              </w:rPr>
              <w:t>19,001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6362D7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7A4854"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9359727"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7F4AECD" w14:textId="77777777" w:rsidR="00000000" w:rsidRDefault="00405D16">
            <w:pPr>
              <w:spacing w:after="100"/>
              <w:jc w:val="right"/>
              <w:rPr>
                <w:rFonts w:eastAsia="Times New Roman"/>
              </w:rPr>
            </w:pPr>
            <w:r>
              <w:rPr>
                <w:rFonts w:eastAsia="Times New Roman"/>
                <w:b/>
                <w:bCs/>
                <w:color w:val="000000"/>
                <w:sz w:val="18"/>
                <w:szCs w:val="18"/>
              </w:rPr>
              <w:t>96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0E2BD1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7C4A22" w14:textId="77777777" w:rsidR="00000000" w:rsidRDefault="00405D1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C34D816" w14:textId="77777777" w:rsidR="00000000" w:rsidRDefault="00405D16">
            <w:pPr>
              <w:spacing w:after="100"/>
              <w:jc w:val="right"/>
              <w:rPr>
                <w:rFonts w:eastAsia="Times New Roman"/>
              </w:rPr>
            </w:pPr>
            <w:r>
              <w:rPr>
                <w:rFonts w:eastAsia="Times New Roman"/>
                <w:color w:val="000000"/>
                <w:sz w:val="18"/>
                <w:szCs w:val="18"/>
              </w:rPr>
              <w:t>18,541 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252A6B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D3D6CF"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4E4B2D8"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4ADD4D3" w14:textId="77777777" w:rsidR="00000000" w:rsidRDefault="00405D16">
            <w:pPr>
              <w:spacing w:after="100"/>
              <w:jc w:val="right"/>
              <w:rPr>
                <w:rFonts w:eastAsia="Times New Roman"/>
              </w:rPr>
            </w:pPr>
            <w:r>
              <w:rPr>
                <w:rFonts w:eastAsia="Times New Roman"/>
                <w:color w:val="000000"/>
                <w:sz w:val="18"/>
                <w:szCs w:val="18"/>
              </w:rPr>
              <w:t>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BCA59A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DE1B95" w14:textId="77777777" w:rsidR="00000000" w:rsidRDefault="00405D1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FD4FAA5" w14:textId="77777777" w:rsidR="00000000" w:rsidRDefault="00405D16">
            <w:pPr>
              <w:spacing w:after="100"/>
              <w:jc w:val="right"/>
              <w:rPr>
                <w:rFonts w:eastAsia="Times New Roman"/>
              </w:rPr>
            </w:pPr>
            <w:r>
              <w:rPr>
                <w:rFonts w:eastAsia="Times New Roman"/>
                <w:b/>
                <w:bCs/>
                <w:color w:val="2C2C2C"/>
                <w:sz w:val="18"/>
                <w:szCs w:val="18"/>
              </w:rPr>
              <w:t>64,707</w:t>
            </w:r>
            <w:r>
              <w:rPr>
                <w:rFonts w:eastAsia="Times New Roman"/>
                <w:color w:val="2C2C2C"/>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8A06BC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5370FB"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05223629" w14:textId="77777777" w:rsidR="00000000" w:rsidRDefault="00405D16">
            <w:pPr>
              <w:spacing w:after="100"/>
              <w:rPr>
                <w:rFonts w:eastAsia="Times New Roman"/>
              </w:rPr>
            </w:pPr>
            <w:r>
              <w:rPr>
                <w:rFonts w:eastAsia="Times New Roman"/>
                <w:b/>
                <w:bCs/>
                <w:color w:val="2C2C2C"/>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C8488CE" w14:textId="77777777" w:rsidR="00000000" w:rsidRDefault="00405D16">
            <w:pPr>
              <w:spacing w:after="100"/>
              <w:jc w:val="right"/>
              <w:rPr>
                <w:rFonts w:eastAsia="Times New Roman"/>
              </w:rPr>
            </w:pPr>
            <w:r>
              <w:rPr>
                <w:rFonts w:eastAsia="Times New Roman"/>
                <w:b/>
                <w:bCs/>
                <w:color w:val="2C2C2C"/>
                <w:sz w:val="18"/>
                <w:szCs w:val="18"/>
              </w:rPr>
              <w:t>361</w:t>
            </w:r>
            <w:r>
              <w:rPr>
                <w:rFonts w:eastAsia="Times New Roman"/>
                <w:color w:val="2C2C2C"/>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3810C5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C46192" w14:textId="77777777" w:rsidR="00000000" w:rsidRDefault="00405D1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0DFD556" w14:textId="77777777" w:rsidR="00000000" w:rsidRDefault="00405D16">
            <w:pPr>
              <w:spacing w:after="100"/>
              <w:jc w:val="right"/>
              <w:rPr>
                <w:rFonts w:eastAsia="Times New Roman"/>
              </w:rPr>
            </w:pPr>
            <w:r>
              <w:rPr>
                <w:rFonts w:eastAsia="Times New Roman"/>
                <w:color w:val="2C2C2C"/>
                <w:sz w:val="18"/>
                <w:szCs w:val="18"/>
              </w:rPr>
              <w:t>76,520 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608200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C199F0"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E3B6D84" w14:textId="77777777" w:rsidR="00000000" w:rsidRDefault="00405D16">
            <w:pPr>
              <w:spacing w:after="100"/>
              <w:rPr>
                <w:rFonts w:eastAsia="Times New Roman"/>
              </w:rPr>
            </w:pPr>
            <w:r>
              <w:rPr>
                <w:rFonts w:eastAsia="Times New Roman"/>
                <w:color w:val="2C2C2C"/>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8E55F48" w14:textId="77777777" w:rsidR="00000000" w:rsidRDefault="00405D16">
            <w:pPr>
              <w:spacing w:after="100"/>
              <w:jc w:val="right"/>
              <w:rPr>
                <w:rFonts w:eastAsia="Times New Roman"/>
              </w:rPr>
            </w:pPr>
            <w:r>
              <w:rPr>
                <w:rFonts w:eastAsia="Times New Roman"/>
                <w:color w:val="2C2C2C"/>
                <w:sz w:val="18"/>
                <w:szCs w:val="18"/>
              </w:rPr>
              <w:t>233 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2853097" w14:textId="77777777" w:rsidR="00000000" w:rsidRDefault="00405D16">
            <w:pPr>
              <w:spacing w:after="100"/>
              <w:jc w:val="right"/>
              <w:rPr>
                <w:rFonts w:eastAsia="Times New Roman"/>
              </w:rPr>
            </w:pPr>
          </w:p>
        </w:tc>
        <w:tc>
          <w:tcPr>
            <w:tcW w:w="0" w:type="auto"/>
            <w:gridSpan w:val="3"/>
            <w:vAlign w:val="center"/>
            <w:hideMark/>
          </w:tcPr>
          <w:p w14:paraId="6AA5C5C1" w14:textId="77777777" w:rsidR="00000000" w:rsidRDefault="00405D16">
            <w:pPr>
              <w:spacing w:after="100"/>
              <w:jc w:val="right"/>
              <w:rPr>
                <w:rFonts w:eastAsia="Times New Roman"/>
                <w:sz w:val="20"/>
                <w:szCs w:val="20"/>
              </w:rPr>
            </w:pPr>
          </w:p>
        </w:tc>
        <w:tc>
          <w:tcPr>
            <w:tcW w:w="0" w:type="auto"/>
            <w:gridSpan w:val="3"/>
            <w:vAlign w:val="center"/>
            <w:hideMark/>
          </w:tcPr>
          <w:p w14:paraId="74A06017" w14:textId="77777777" w:rsidR="00000000" w:rsidRDefault="00405D16">
            <w:pPr>
              <w:spacing w:after="100"/>
              <w:rPr>
                <w:rFonts w:eastAsia="Times New Roman"/>
                <w:sz w:val="20"/>
                <w:szCs w:val="20"/>
              </w:rPr>
            </w:pPr>
          </w:p>
        </w:tc>
        <w:tc>
          <w:tcPr>
            <w:tcW w:w="0" w:type="auto"/>
            <w:gridSpan w:val="3"/>
            <w:vAlign w:val="center"/>
            <w:hideMark/>
          </w:tcPr>
          <w:p w14:paraId="47935089" w14:textId="77777777" w:rsidR="00000000" w:rsidRDefault="00405D16">
            <w:pPr>
              <w:spacing w:after="100"/>
              <w:rPr>
                <w:rFonts w:eastAsia="Times New Roman"/>
                <w:sz w:val="20"/>
                <w:szCs w:val="20"/>
              </w:rPr>
            </w:pPr>
          </w:p>
        </w:tc>
        <w:tc>
          <w:tcPr>
            <w:tcW w:w="0" w:type="auto"/>
            <w:gridSpan w:val="2"/>
            <w:vAlign w:val="center"/>
            <w:hideMark/>
          </w:tcPr>
          <w:p w14:paraId="79856D1C" w14:textId="77777777" w:rsidR="00000000" w:rsidRDefault="00405D16">
            <w:pPr>
              <w:spacing w:after="100"/>
              <w:rPr>
                <w:rFonts w:eastAsia="Times New Roman"/>
                <w:sz w:val="20"/>
                <w:szCs w:val="20"/>
              </w:rPr>
            </w:pPr>
          </w:p>
        </w:tc>
      </w:tr>
    </w:tbl>
    <w:p w14:paraId="3B5E1B12" w14:textId="77777777" w:rsidR="00000000" w:rsidRDefault="00405D16">
      <w:pPr>
        <w:jc w:val="both"/>
        <w:divId w:val="1417435323"/>
        <w:rPr>
          <w:rFonts w:eastAsia="Times New Roman"/>
        </w:rPr>
      </w:pPr>
      <w:r>
        <w:rPr>
          <w:rFonts w:eastAsia="Times New Roman"/>
          <w:b/>
          <w:bCs/>
          <w:color w:val="000000"/>
          <w:sz w:val="20"/>
          <w:szCs w:val="20"/>
        </w:rPr>
        <w:t>Loans Pledged</w:t>
      </w:r>
    </w:p>
    <w:p w14:paraId="24414739" w14:textId="77777777" w:rsidR="00000000" w:rsidRDefault="00405D16">
      <w:pPr>
        <w:jc w:val="both"/>
        <w:divId w:val="300770790"/>
        <w:rPr>
          <w:rFonts w:eastAsia="Times New Roman"/>
        </w:rPr>
      </w:pPr>
      <w:r>
        <w:rPr>
          <w:rFonts w:eastAsia="Times New Roman"/>
          <w:color w:val="000000"/>
          <w:sz w:val="20"/>
          <w:szCs w:val="20"/>
        </w:rPr>
        <w:t>We pledged loan collateral of $10.9 billion and $14.1 billion to secure</w:t>
      </w:r>
      <w:r>
        <w:rPr>
          <w:rFonts w:eastAsia="Times New Roman"/>
          <w:color w:val="000000"/>
          <w:sz w:val="20"/>
          <w:szCs w:val="20"/>
        </w:rPr>
        <w:t xml:space="preserve"> the majority of our FHLB borrowing capacity of $18.8 billion and $19.6 billion as of September 30, 2021 and December 31, 2020, respectively. We also pledged loan collateral of $26.6 billion and $25.5 billion to secure our Federal Reserve Discount Window b</w:t>
      </w:r>
      <w:r>
        <w:rPr>
          <w:rFonts w:eastAsia="Times New Roman"/>
          <w:color w:val="000000"/>
          <w:sz w:val="20"/>
          <w:szCs w:val="20"/>
        </w:rPr>
        <w:t>orrowing capacity of $19.9 billion and $20.0 billion as of September 30, 2021 and December 31, 2020, respectively. In addition to loans pledged, we have securitized a portion of our credit card and auto loan portfolios. See “Note 5—Variable Interest Entiti</w:t>
      </w:r>
      <w:r>
        <w:rPr>
          <w:rFonts w:eastAsia="Times New Roman"/>
          <w:color w:val="000000"/>
          <w:sz w:val="20"/>
          <w:szCs w:val="20"/>
        </w:rPr>
        <w:t>es and Securitizations” for additional information.</w:t>
      </w:r>
    </w:p>
    <w:p w14:paraId="77562CB2" w14:textId="77777777" w:rsidR="00000000" w:rsidRDefault="00405D16">
      <w:pPr>
        <w:divId w:val="1506087322"/>
        <w:rPr>
          <w:rFonts w:eastAsia="Times New Roman"/>
        </w:rPr>
      </w:pPr>
      <w:r>
        <w:rPr>
          <w:rFonts w:eastAsia="Times New Roman"/>
          <w:b/>
          <w:bCs/>
          <w:color w:val="000000"/>
          <w:sz w:val="20"/>
          <w:szCs w:val="20"/>
        </w:rPr>
        <w:t>Revolving Loans Converted to Term Loans</w:t>
      </w:r>
    </w:p>
    <w:p w14:paraId="3FFDA472" w14:textId="77777777" w:rsidR="00000000" w:rsidRDefault="00405D16">
      <w:pPr>
        <w:jc w:val="both"/>
        <w:divId w:val="1579706923"/>
        <w:rPr>
          <w:rFonts w:eastAsia="Times New Roman"/>
        </w:rPr>
      </w:pPr>
      <w:r>
        <w:rPr>
          <w:rFonts w:eastAsia="Times New Roman"/>
          <w:color w:val="000000"/>
          <w:sz w:val="20"/>
          <w:szCs w:val="20"/>
        </w:rPr>
        <w:t xml:space="preserve">For the three and nine months ended September 30, 2021, we converted $37 million and $172 </w:t>
      </w:r>
      <w:r>
        <w:rPr>
          <w:rFonts w:eastAsia="Times New Roman"/>
          <w:color w:val="000000"/>
          <w:sz w:val="20"/>
          <w:szCs w:val="20"/>
        </w:rPr>
        <w:t>million of revolving loans to term loans, respectively, primarily in our domestic credit card and commercial banking loan portfolios. For the three and nine months ended September 30, 2020, we converted $250 million and $499 million of revolving loans to t</w:t>
      </w:r>
      <w:r>
        <w:rPr>
          <w:rFonts w:eastAsia="Times New Roman"/>
          <w:color w:val="000000"/>
          <w:sz w:val="20"/>
          <w:szCs w:val="20"/>
        </w:rPr>
        <w:t>erm loans, respectively, primarily in our domestic credit card and commercial banking loan portfolios.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5F599C29" w14:textId="77777777">
        <w:trPr>
          <w:divId w:val="2116555754"/>
          <w:jc w:val="center"/>
        </w:trPr>
        <w:tc>
          <w:tcPr>
            <w:tcW w:w="50" w:type="pct"/>
            <w:vAlign w:val="center"/>
            <w:hideMark/>
          </w:tcPr>
          <w:p w14:paraId="009A85F4" w14:textId="77777777" w:rsidR="00000000" w:rsidRDefault="00405D16">
            <w:pPr>
              <w:jc w:val="both"/>
              <w:rPr>
                <w:rFonts w:eastAsia="Times New Roman"/>
              </w:rPr>
            </w:pPr>
          </w:p>
        </w:tc>
        <w:tc>
          <w:tcPr>
            <w:tcW w:w="1606" w:type="pct"/>
            <w:vAlign w:val="center"/>
            <w:hideMark/>
          </w:tcPr>
          <w:p w14:paraId="4311A1A1" w14:textId="77777777" w:rsidR="00000000" w:rsidRDefault="00405D16">
            <w:pPr>
              <w:spacing w:after="100"/>
              <w:rPr>
                <w:rFonts w:eastAsia="Times New Roman"/>
                <w:sz w:val="20"/>
                <w:szCs w:val="20"/>
              </w:rPr>
            </w:pPr>
          </w:p>
        </w:tc>
        <w:tc>
          <w:tcPr>
            <w:tcW w:w="5" w:type="pct"/>
            <w:vAlign w:val="center"/>
            <w:hideMark/>
          </w:tcPr>
          <w:p w14:paraId="16727BFA" w14:textId="77777777" w:rsidR="00000000" w:rsidRDefault="00405D16">
            <w:pPr>
              <w:spacing w:after="100"/>
              <w:rPr>
                <w:rFonts w:eastAsia="Times New Roman"/>
                <w:sz w:val="20"/>
                <w:szCs w:val="20"/>
              </w:rPr>
            </w:pPr>
          </w:p>
        </w:tc>
        <w:tc>
          <w:tcPr>
            <w:tcW w:w="50" w:type="pct"/>
            <w:vAlign w:val="center"/>
            <w:hideMark/>
          </w:tcPr>
          <w:p w14:paraId="410AE6A2" w14:textId="77777777" w:rsidR="00000000" w:rsidRDefault="00405D16">
            <w:pPr>
              <w:spacing w:after="100"/>
              <w:rPr>
                <w:rFonts w:eastAsia="Times New Roman"/>
                <w:sz w:val="20"/>
                <w:szCs w:val="20"/>
              </w:rPr>
            </w:pPr>
          </w:p>
        </w:tc>
        <w:tc>
          <w:tcPr>
            <w:tcW w:w="1614" w:type="pct"/>
            <w:vAlign w:val="center"/>
            <w:hideMark/>
          </w:tcPr>
          <w:p w14:paraId="5A3EB343" w14:textId="77777777" w:rsidR="00000000" w:rsidRDefault="00405D16">
            <w:pPr>
              <w:spacing w:after="100"/>
              <w:rPr>
                <w:rFonts w:eastAsia="Times New Roman"/>
                <w:sz w:val="20"/>
                <w:szCs w:val="20"/>
              </w:rPr>
            </w:pPr>
          </w:p>
        </w:tc>
        <w:tc>
          <w:tcPr>
            <w:tcW w:w="5" w:type="pct"/>
            <w:vAlign w:val="center"/>
            <w:hideMark/>
          </w:tcPr>
          <w:p w14:paraId="326FE616" w14:textId="77777777" w:rsidR="00000000" w:rsidRDefault="00405D16">
            <w:pPr>
              <w:spacing w:after="100"/>
              <w:rPr>
                <w:rFonts w:eastAsia="Times New Roman"/>
                <w:sz w:val="20"/>
                <w:szCs w:val="20"/>
              </w:rPr>
            </w:pPr>
          </w:p>
        </w:tc>
        <w:tc>
          <w:tcPr>
            <w:tcW w:w="50" w:type="pct"/>
            <w:vAlign w:val="center"/>
            <w:hideMark/>
          </w:tcPr>
          <w:p w14:paraId="09DA9E2E" w14:textId="77777777" w:rsidR="00000000" w:rsidRDefault="00405D16">
            <w:pPr>
              <w:spacing w:after="100"/>
              <w:rPr>
                <w:rFonts w:eastAsia="Times New Roman"/>
                <w:sz w:val="20"/>
                <w:szCs w:val="20"/>
              </w:rPr>
            </w:pPr>
          </w:p>
        </w:tc>
        <w:tc>
          <w:tcPr>
            <w:tcW w:w="1614" w:type="pct"/>
            <w:vAlign w:val="center"/>
            <w:hideMark/>
          </w:tcPr>
          <w:p w14:paraId="22F3096E" w14:textId="77777777" w:rsidR="00000000" w:rsidRDefault="00405D16">
            <w:pPr>
              <w:spacing w:after="100"/>
              <w:rPr>
                <w:rFonts w:eastAsia="Times New Roman"/>
                <w:sz w:val="20"/>
                <w:szCs w:val="20"/>
              </w:rPr>
            </w:pPr>
          </w:p>
        </w:tc>
        <w:tc>
          <w:tcPr>
            <w:tcW w:w="5" w:type="pct"/>
            <w:vAlign w:val="center"/>
            <w:hideMark/>
          </w:tcPr>
          <w:p w14:paraId="60BD75B5" w14:textId="77777777" w:rsidR="00000000" w:rsidRDefault="00405D16">
            <w:pPr>
              <w:spacing w:after="100"/>
              <w:rPr>
                <w:rFonts w:eastAsia="Times New Roman"/>
                <w:sz w:val="20"/>
                <w:szCs w:val="20"/>
              </w:rPr>
            </w:pPr>
          </w:p>
        </w:tc>
      </w:tr>
      <w:tr w:rsidR="00000000" w14:paraId="2D39553C" w14:textId="77777777">
        <w:trPr>
          <w:divId w:val="2116555754"/>
          <w:trHeight w:val="300"/>
          <w:jc w:val="center"/>
        </w:trPr>
        <w:tc>
          <w:tcPr>
            <w:tcW w:w="0" w:type="auto"/>
            <w:gridSpan w:val="9"/>
            <w:tcMar>
              <w:top w:w="0" w:type="dxa"/>
              <w:left w:w="20" w:type="dxa"/>
              <w:bottom w:w="0" w:type="dxa"/>
              <w:right w:w="20" w:type="dxa"/>
            </w:tcMar>
            <w:vAlign w:val="center"/>
            <w:hideMark/>
          </w:tcPr>
          <w:p w14:paraId="0BC8B0F5" w14:textId="77777777" w:rsidR="00000000" w:rsidRDefault="00405D16">
            <w:pPr>
              <w:spacing w:after="100"/>
              <w:rPr>
                <w:rFonts w:eastAsia="Times New Roman"/>
                <w:sz w:val="20"/>
                <w:szCs w:val="20"/>
              </w:rPr>
            </w:pPr>
          </w:p>
        </w:tc>
      </w:tr>
      <w:tr w:rsidR="00000000" w14:paraId="6473C66F" w14:textId="77777777">
        <w:trPr>
          <w:divId w:val="2116555754"/>
          <w:jc w:val="center"/>
        </w:trPr>
        <w:tc>
          <w:tcPr>
            <w:tcW w:w="0" w:type="auto"/>
            <w:gridSpan w:val="3"/>
            <w:tcMar>
              <w:top w:w="0" w:type="dxa"/>
              <w:left w:w="20" w:type="dxa"/>
              <w:bottom w:w="0" w:type="dxa"/>
              <w:right w:w="20" w:type="dxa"/>
            </w:tcMar>
            <w:vAlign w:val="center"/>
            <w:hideMark/>
          </w:tcPr>
          <w:p w14:paraId="0B87BB69"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12D7219" w14:textId="77777777" w:rsidR="00000000" w:rsidRDefault="00405D16">
            <w:pPr>
              <w:spacing w:after="100"/>
              <w:jc w:val="center"/>
              <w:rPr>
                <w:rFonts w:eastAsia="Times New Roman"/>
              </w:rPr>
            </w:pPr>
            <w:r>
              <w:rPr>
                <w:rFonts w:eastAsia="Times New Roman"/>
                <w:color w:val="000000"/>
                <w:sz w:val="16"/>
                <w:szCs w:val="16"/>
              </w:rPr>
              <w:t>91</w:t>
            </w:r>
          </w:p>
        </w:tc>
        <w:tc>
          <w:tcPr>
            <w:tcW w:w="0" w:type="auto"/>
            <w:gridSpan w:val="3"/>
            <w:tcMar>
              <w:top w:w="30" w:type="dxa"/>
              <w:left w:w="20" w:type="dxa"/>
              <w:bottom w:w="30" w:type="dxa"/>
              <w:right w:w="20" w:type="dxa"/>
            </w:tcMar>
            <w:vAlign w:val="bottom"/>
            <w:hideMark/>
          </w:tcPr>
          <w:p w14:paraId="777F29CE"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4890813E" w14:textId="77777777" w:rsidR="00000000" w:rsidRDefault="00405D16">
      <w:pPr>
        <w:rPr>
          <w:rFonts w:eastAsia="Times New Roman"/>
        </w:rPr>
      </w:pPr>
      <w:r>
        <w:rPr>
          <w:rFonts w:eastAsia="Times New Roman"/>
        </w:rPr>
        <w:pict w14:anchorId="1264FAD8">
          <v:rect id="_x0000_i1116" style="width:0;height:1.5pt" o:hralign="center" o:hrstd="t" o:hr="t" fillcolor="#a0a0a0" stroked="f"/>
        </w:pict>
      </w:r>
    </w:p>
    <w:p w14:paraId="6ABAF718" w14:textId="77777777" w:rsidR="00000000" w:rsidRDefault="00405D16">
      <w:pPr>
        <w:jc w:val="both"/>
        <w:divId w:val="58139016"/>
        <w:rPr>
          <w:rFonts w:eastAsia="Times New Roman"/>
        </w:rPr>
      </w:pPr>
      <w:hyperlink w:anchor="idd54a04a485440b4ab4e56094c14d612_13" w:history="1">
        <w:r>
          <w:rPr>
            <w:rStyle w:val="a3"/>
            <w:rFonts w:eastAsia="Times New Roman"/>
            <w:sz w:val="16"/>
            <w:szCs w:val="16"/>
          </w:rPr>
          <w:t>Table of Contents</w:t>
        </w:r>
      </w:hyperlink>
    </w:p>
    <w:p w14:paraId="21A6502D" w14:textId="77777777" w:rsidR="00000000" w:rsidRDefault="00405D16">
      <w:pPr>
        <w:jc w:val="center"/>
        <w:divId w:val="5813901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4CF8B5EB" w14:textId="77777777">
        <w:trPr>
          <w:divId w:val="1522938781"/>
        </w:trPr>
        <w:tc>
          <w:tcPr>
            <w:tcW w:w="50" w:type="pct"/>
            <w:vAlign w:val="center"/>
            <w:hideMark/>
          </w:tcPr>
          <w:p w14:paraId="045E9CE0" w14:textId="77777777" w:rsidR="00000000" w:rsidRDefault="00405D16">
            <w:pPr>
              <w:jc w:val="center"/>
              <w:rPr>
                <w:rFonts w:eastAsia="Times New Roman"/>
              </w:rPr>
            </w:pPr>
          </w:p>
        </w:tc>
        <w:tc>
          <w:tcPr>
            <w:tcW w:w="4945" w:type="pct"/>
            <w:vAlign w:val="center"/>
            <w:hideMark/>
          </w:tcPr>
          <w:p w14:paraId="3CB4FEA3" w14:textId="77777777" w:rsidR="00000000" w:rsidRDefault="00405D16">
            <w:pPr>
              <w:spacing w:after="100"/>
              <w:rPr>
                <w:rFonts w:eastAsia="Times New Roman"/>
                <w:sz w:val="20"/>
                <w:szCs w:val="20"/>
              </w:rPr>
            </w:pPr>
          </w:p>
        </w:tc>
        <w:tc>
          <w:tcPr>
            <w:tcW w:w="5" w:type="pct"/>
            <w:vAlign w:val="center"/>
            <w:hideMark/>
          </w:tcPr>
          <w:p w14:paraId="06999513" w14:textId="77777777" w:rsidR="00000000" w:rsidRDefault="00405D16">
            <w:pPr>
              <w:spacing w:after="100"/>
              <w:rPr>
                <w:rFonts w:eastAsia="Times New Roman"/>
                <w:sz w:val="20"/>
                <w:szCs w:val="20"/>
              </w:rPr>
            </w:pPr>
          </w:p>
        </w:tc>
      </w:tr>
      <w:tr w:rsidR="00000000" w14:paraId="38CF7292" w14:textId="77777777">
        <w:trPr>
          <w:divId w:val="1522938781"/>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7C67E52A" w14:textId="77777777" w:rsidR="00000000" w:rsidRDefault="00405D16">
            <w:pPr>
              <w:spacing w:after="100"/>
              <w:rPr>
                <w:rFonts w:eastAsia="Times New Roman"/>
              </w:rPr>
            </w:pPr>
            <w:r>
              <w:rPr>
                <w:rFonts w:eastAsia="Times New Roman"/>
                <w:b/>
                <w:bCs/>
                <w:color w:val="000000"/>
                <w:sz w:val="20"/>
                <w:szCs w:val="20"/>
              </w:rPr>
              <w:t>NOTE 4—</w:t>
            </w:r>
            <w:r>
              <w:rPr>
                <w:rFonts w:eastAsia="Times New Roman"/>
                <w:b/>
                <w:bCs/>
                <w:color w:val="000000"/>
                <w:sz w:val="20"/>
                <w:szCs w:val="20"/>
              </w:rPr>
              <w:t>ALLOWANCE FOR CREDIT LOSSES AND RESERVE FOR UNFUNDED LENDING COMMITMENTS</w:t>
            </w:r>
          </w:p>
        </w:tc>
      </w:tr>
    </w:tbl>
    <w:p w14:paraId="096B1DB0" w14:textId="77777777" w:rsidR="00000000" w:rsidRDefault="00405D16">
      <w:pPr>
        <w:jc w:val="both"/>
        <w:divId w:val="437873828"/>
        <w:rPr>
          <w:rFonts w:eastAsia="Times New Roman"/>
        </w:rPr>
      </w:pPr>
      <w:r>
        <w:rPr>
          <w:rFonts w:eastAsia="Times New Roman"/>
          <w:color w:val="000000"/>
          <w:sz w:val="20"/>
          <w:szCs w:val="20"/>
        </w:rPr>
        <w:t>Our allowance for credit losses represents management’s current estimate of expected credit losses over the contractual terms of our loans held for investment as of each balance s</w:t>
      </w:r>
      <w:r>
        <w:rPr>
          <w:rFonts w:eastAsia="Times New Roman"/>
          <w:color w:val="000000"/>
          <w:sz w:val="20"/>
          <w:szCs w:val="20"/>
        </w:rPr>
        <w:t>heet date. Expected recoveries of amounts previously charged off or expected to be charged off are recognized within the allowance. When developing an estimate of expected credit losses, we use both quantitative and qualitative methods in considering all a</w:t>
      </w:r>
      <w:r>
        <w:rPr>
          <w:rFonts w:eastAsia="Times New Roman"/>
          <w:color w:val="000000"/>
          <w:sz w:val="20"/>
          <w:szCs w:val="20"/>
        </w:rPr>
        <w:t xml:space="preserve">vailable information relevant to assessing collectability. This may include internal information, external information or a combination of both relating to past events, current conditions, and reasonable and supportable forecasts. Management will consider </w:t>
      </w:r>
      <w:r>
        <w:rPr>
          <w:rFonts w:eastAsia="Times New Roman"/>
          <w:color w:val="000000"/>
          <w:sz w:val="20"/>
          <w:szCs w:val="20"/>
        </w:rPr>
        <w:t>and may qualitatively adjust for conditions, changes and trends in loan portfolios that may not be captured in modeled results. These adjustments are referred to as qualitative factors and represent management’s judgment of the imprecision and risks inhere</w:t>
      </w:r>
      <w:r>
        <w:rPr>
          <w:rFonts w:eastAsia="Times New Roman"/>
          <w:color w:val="000000"/>
          <w:sz w:val="20"/>
          <w:szCs w:val="20"/>
        </w:rPr>
        <w:t>nt in the processes and assumptions used in establishing the allowance for credit losses. Significant judgment is applied in our estimation of lifetime credit losses.</w:t>
      </w:r>
    </w:p>
    <w:p w14:paraId="6D5EA9D3" w14:textId="77777777" w:rsidR="00000000" w:rsidRDefault="00405D16">
      <w:pPr>
        <w:jc w:val="both"/>
        <w:divId w:val="1897887497"/>
        <w:rPr>
          <w:rFonts w:eastAsia="Times New Roman"/>
        </w:rPr>
      </w:pPr>
      <w:r>
        <w:rPr>
          <w:rFonts w:eastAsia="Times New Roman"/>
          <w:color w:val="000000"/>
          <w:sz w:val="20"/>
          <w:szCs w:val="20"/>
        </w:rPr>
        <w:t>We have unfunded lending commitments in our Commercial Banking business that are not unco</w:t>
      </w:r>
      <w:r>
        <w:rPr>
          <w:rFonts w:eastAsia="Times New Roman"/>
          <w:color w:val="000000"/>
          <w:sz w:val="20"/>
          <w:szCs w:val="20"/>
        </w:rPr>
        <w:t>nditionally cancellable by us and for which we estimate expected credit losses in establishing a reserve. This reserve is measured using the same measurement objectives as the allowance for loans held for investment. We build or release the reserve for unf</w:t>
      </w:r>
      <w:r>
        <w:rPr>
          <w:rFonts w:eastAsia="Times New Roman"/>
          <w:color w:val="000000"/>
          <w:sz w:val="20"/>
          <w:szCs w:val="20"/>
        </w:rPr>
        <w:t xml:space="preserve">unded lending commitments through the provision for credit losses in our consolidated statements of income, and the related reserve for unfunded lending commitments is included in other liabilities on our consolidated balance sheets. </w:t>
      </w:r>
    </w:p>
    <w:p w14:paraId="63A5E907" w14:textId="77777777" w:rsidR="00000000" w:rsidRDefault="00405D16">
      <w:pPr>
        <w:jc w:val="both"/>
        <w:divId w:val="959337464"/>
        <w:rPr>
          <w:rFonts w:eastAsia="Times New Roman"/>
        </w:rPr>
      </w:pPr>
      <w:r>
        <w:rPr>
          <w:rFonts w:eastAsia="Times New Roman"/>
          <w:color w:val="000000"/>
          <w:sz w:val="20"/>
          <w:szCs w:val="20"/>
        </w:rPr>
        <w:t>See “Note 1—Summary o</w:t>
      </w:r>
      <w:r>
        <w:rPr>
          <w:rFonts w:eastAsia="Times New Roman"/>
          <w:color w:val="000000"/>
          <w:sz w:val="20"/>
          <w:szCs w:val="20"/>
        </w:rPr>
        <w:t>f Significant Accounting Policies” in our 2020 Form 10-K for further discussion of the methodology and policy for determining our allowance for credit losses for each of our loan portfolio segments, as well as information on our reserve for unfunded lendin</w:t>
      </w:r>
      <w:r>
        <w:rPr>
          <w:rFonts w:eastAsia="Times New Roman"/>
          <w:color w:val="000000"/>
          <w:sz w:val="20"/>
          <w:szCs w:val="20"/>
        </w:rPr>
        <w:t>g commitments.</w:t>
      </w:r>
    </w:p>
    <w:p w14:paraId="6EE9A89A" w14:textId="77777777" w:rsidR="00000000" w:rsidRDefault="00405D16">
      <w:pPr>
        <w:divId w:val="2005426834"/>
        <w:rPr>
          <w:rFonts w:eastAsia="Times New Roman"/>
        </w:rPr>
      </w:pPr>
      <w:r>
        <w:rPr>
          <w:rFonts w:eastAsia="Times New Roman"/>
          <w:b/>
          <w:bCs/>
          <w:color w:val="000000"/>
          <w:sz w:val="20"/>
          <w:szCs w:val="20"/>
        </w:rPr>
        <w:t>Allowance for Credit Losses and Reserve for Unfunded Lending Commitments Activity</w:t>
      </w:r>
    </w:p>
    <w:p w14:paraId="14F60DD7" w14:textId="77777777" w:rsidR="00000000" w:rsidRDefault="00405D16">
      <w:pPr>
        <w:jc w:val="both"/>
        <w:divId w:val="384643306"/>
        <w:rPr>
          <w:rFonts w:eastAsia="Times New Roman"/>
        </w:rPr>
      </w:pPr>
      <w:r>
        <w:rPr>
          <w:rFonts w:eastAsia="Times New Roman"/>
          <w:color w:val="000000"/>
          <w:sz w:val="20"/>
          <w:szCs w:val="20"/>
        </w:rPr>
        <w:t>The table below summarizes changes in the allowance for credit losses and reserve for unfunded lending commitments by portfolio segment for the three and nine months ended September 30, 2021 and 2020. Our allowance for credit losses decreased by $4.0 billi</w:t>
      </w:r>
      <w:r>
        <w:rPr>
          <w:rFonts w:eastAsia="Times New Roman"/>
          <w:color w:val="000000"/>
          <w:sz w:val="20"/>
          <w:szCs w:val="20"/>
        </w:rPr>
        <w:t>on to $11.6 billion as of September 30, 2021 from December 31, 2020, primarily driven by strong credit performance and improved economic outlook.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2EA24068" w14:textId="77777777">
        <w:trPr>
          <w:divId w:val="951013425"/>
          <w:jc w:val="center"/>
        </w:trPr>
        <w:tc>
          <w:tcPr>
            <w:tcW w:w="50" w:type="pct"/>
            <w:vAlign w:val="center"/>
            <w:hideMark/>
          </w:tcPr>
          <w:p w14:paraId="3E7DA82E" w14:textId="77777777" w:rsidR="00000000" w:rsidRDefault="00405D16">
            <w:pPr>
              <w:jc w:val="both"/>
              <w:rPr>
                <w:rFonts w:eastAsia="Times New Roman"/>
              </w:rPr>
            </w:pPr>
          </w:p>
        </w:tc>
        <w:tc>
          <w:tcPr>
            <w:tcW w:w="1606" w:type="pct"/>
            <w:vAlign w:val="center"/>
            <w:hideMark/>
          </w:tcPr>
          <w:p w14:paraId="75A9B397" w14:textId="77777777" w:rsidR="00000000" w:rsidRDefault="00405D16">
            <w:pPr>
              <w:spacing w:after="100"/>
              <w:rPr>
                <w:rFonts w:eastAsia="Times New Roman"/>
                <w:sz w:val="20"/>
                <w:szCs w:val="20"/>
              </w:rPr>
            </w:pPr>
          </w:p>
        </w:tc>
        <w:tc>
          <w:tcPr>
            <w:tcW w:w="5" w:type="pct"/>
            <w:vAlign w:val="center"/>
            <w:hideMark/>
          </w:tcPr>
          <w:p w14:paraId="0A5BA19E" w14:textId="77777777" w:rsidR="00000000" w:rsidRDefault="00405D16">
            <w:pPr>
              <w:spacing w:after="100"/>
              <w:rPr>
                <w:rFonts w:eastAsia="Times New Roman"/>
                <w:sz w:val="20"/>
                <w:szCs w:val="20"/>
              </w:rPr>
            </w:pPr>
          </w:p>
        </w:tc>
        <w:tc>
          <w:tcPr>
            <w:tcW w:w="50" w:type="pct"/>
            <w:vAlign w:val="center"/>
            <w:hideMark/>
          </w:tcPr>
          <w:p w14:paraId="7853E451" w14:textId="77777777" w:rsidR="00000000" w:rsidRDefault="00405D16">
            <w:pPr>
              <w:spacing w:after="100"/>
              <w:rPr>
                <w:rFonts w:eastAsia="Times New Roman"/>
                <w:sz w:val="20"/>
                <w:szCs w:val="20"/>
              </w:rPr>
            </w:pPr>
          </w:p>
        </w:tc>
        <w:tc>
          <w:tcPr>
            <w:tcW w:w="1614" w:type="pct"/>
            <w:vAlign w:val="center"/>
            <w:hideMark/>
          </w:tcPr>
          <w:p w14:paraId="456AE0ED" w14:textId="77777777" w:rsidR="00000000" w:rsidRDefault="00405D16">
            <w:pPr>
              <w:spacing w:after="100"/>
              <w:rPr>
                <w:rFonts w:eastAsia="Times New Roman"/>
                <w:sz w:val="20"/>
                <w:szCs w:val="20"/>
              </w:rPr>
            </w:pPr>
          </w:p>
        </w:tc>
        <w:tc>
          <w:tcPr>
            <w:tcW w:w="5" w:type="pct"/>
            <w:vAlign w:val="center"/>
            <w:hideMark/>
          </w:tcPr>
          <w:p w14:paraId="3043B459" w14:textId="77777777" w:rsidR="00000000" w:rsidRDefault="00405D16">
            <w:pPr>
              <w:spacing w:after="100"/>
              <w:rPr>
                <w:rFonts w:eastAsia="Times New Roman"/>
                <w:sz w:val="20"/>
                <w:szCs w:val="20"/>
              </w:rPr>
            </w:pPr>
          </w:p>
        </w:tc>
        <w:tc>
          <w:tcPr>
            <w:tcW w:w="50" w:type="pct"/>
            <w:vAlign w:val="center"/>
            <w:hideMark/>
          </w:tcPr>
          <w:p w14:paraId="306A826A" w14:textId="77777777" w:rsidR="00000000" w:rsidRDefault="00405D16">
            <w:pPr>
              <w:spacing w:after="100"/>
              <w:rPr>
                <w:rFonts w:eastAsia="Times New Roman"/>
                <w:sz w:val="20"/>
                <w:szCs w:val="20"/>
              </w:rPr>
            </w:pPr>
          </w:p>
        </w:tc>
        <w:tc>
          <w:tcPr>
            <w:tcW w:w="1614" w:type="pct"/>
            <w:vAlign w:val="center"/>
            <w:hideMark/>
          </w:tcPr>
          <w:p w14:paraId="0119EC50" w14:textId="77777777" w:rsidR="00000000" w:rsidRDefault="00405D16">
            <w:pPr>
              <w:spacing w:after="100"/>
              <w:rPr>
                <w:rFonts w:eastAsia="Times New Roman"/>
                <w:sz w:val="20"/>
                <w:szCs w:val="20"/>
              </w:rPr>
            </w:pPr>
          </w:p>
        </w:tc>
        <w:tc>
          <w:tcPr>
            <w:tcW w:w="5" w:type="pct"/>
            <w:vAlign w:val="center"/>
            <w:hideMark/>
          </w:tcPr>
          <w:p w14:paraId="5A8B5755" w14:textId="77777777" w:rsidR="00000000" w:rsidRDefault="00405D16">
            <w:pPr>
              <w:spacing w:after="100"/>
              <w:rPr>
                <w:rFonts w:eastAsia="Times New Roman"/>
                <w:sz w:val="20"/>
                <w:szCs w:val="20"/>
              </w:rPr>
            </w:pPr>
          </w:p>
        </w:tc>
      </w:tr>
      <w:tr w:rsidR="00000000" w14:paraId="51CB4D20" w14:textId="77777777">
        <w:trPr>
          <w:divId w:val="951013425"/>
          <w:trHeight w:val="300"/>
          <w:jc w:val="center"/>
        </w:trPr>
        <w:tc>
          <w:tcPr>
            <w:tcW w:w="0" w:type="auto"/>
            <w:gridSpan w:val="9"/>
            <w:tcMar>
              <w:top w:w="0" w:type="dxa"/>
              <w:left w:w="20" w:type="dxa"/>
              <w:bottom w:w="0" w:type="dxa"/>
              <w:right w:w="20" w:type="dxa"/>
            </w:tcMar>
            <w:vAlign w:val="center"/>
            <w:hideMark/>
          </w:tcPr>
          <w:p w14:paraId="218DA3A2" w14:textId="77777777" w:rsidR="00000000" w:rsidRDefault="00405D16">
            <w:pPr>
              <w:spacing w:after="100"/>
              <w:rPr>
                <w:rFonts w:eastAsia="Times New Roman"/>
                <w:sz w:val="20"/>
                <w:szCs w:val="20"/>
              </w:rPr>
            </w:pPr>
          </w:p>
        </w:tc>
      </w:tr>
      <w:tr w:rsidR="00000000" w14:paraId="77A87E2C" w14:textId="77777777">
        <w:trPr>
          <w:divId w:val="951013425"/>
          <w:jc w:val="center"/>
        </w:trPr>
        <w:tc>
          <w:tcPr>
            <w:tcW w:w="0" w:type="auto"/>
            <w:gridSpan w:val="3"/>
            <w:tcMar>
              <w:top w:w="0" w:type="dxa"/>
              <w:left w:w="20" w:type="dxa"/>
              <w:bottom w:w="0" w:type="dxa"/>
              <w:right w:w="20" w:type="dxa"/>
            </w:tcMar>
            <w:vAlign w:val="center"/>
            <w:hideMark/>
          </w:tcPr>
          <w:p w14:paraId="7F5AA534"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380C143" w14:textId="77777777" w:rsidR="00000000" w:rsidRDefault="00405D16">
            <w:pPr>
              <w:spacing w:after="100"/>
              <w:jc w:val="center"/>
              <w:rPr>
                <w:rFonts w:eastAsia="Times New Roman"/>
              </w:rPr>
            </w:pPr>
            <w:r>
              <w:rPr>
                <w:rFonts w:eastAsia="Times New Roman"/>
                <w:color w:val="000000"/>
                <w:sz w:val="16"/>
                <w:szCs w:val="16"/>
              </w:rPr>
              <w:t>92</w:t>
            </w:r>
          </w:p>
        </w:tc>
        <w:tc>
          <w:tcPr>
            <w:tcW w:w="0" w:type="auto"/>
            <w:gridSpan w:val="3"/>
            <w:tcMar>
              <w:top w:w="30" w:type="dxa"/>
              <w:left w:w="20" w:type="dxa"/>
              <w:bottom w:w="30" w:type="dxa"/>
              <w:right w:w="20" w:type="dxa"/>
            </w:tcMar>
            <w:vAlign w:val="bottom"/>
            <w:hideMark/>
          </w:tcPr>
          <w:p w14:paraId="0D830D78"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15FD4610" w14:textId="77777777" w:rsidR="00000000" w:rsidRDefault="00405D16">
      <w:pPr>
        <w:rPr>
          <w:rFonts w:eastAsia="Times New Roman"/>
        </w:rPr>
      </w:pPr>
      <w:r>
        <w:rPr>
          <w:rFonts w:eastAsia="Times New Roman"/>
        </w:rPr>
        <w:pict w14:anchorId="46F7EF42">
          <v:rect id="_x0000_i1117" style="width:0;height:1.5pt" o:hralign="center" o:hrstd="t" o:hr="t" fillcolor="#a0a0a0" stroked="f"/>
        </w:pict>
      </w:r>
    </w:p>
    <w:p w14:paraId="307592D4" w14:textId="77777777" w:rsidR="00000000" w:rsidRDefault="00405D16">
      <w:pPr>
        <w:jc w:val="both"/>
        <w:divId w:val="1191265208"/>
        <w:rPr>
          <w:rFonts w:eastAsia="Times New Roman"/>
        </w:rPr>
      </w:pPr>
      <w:hyperlink w:anchor="idd54a04a485440b4ab4e56094c14d612_13" w:history="1">
        <w:r>
          <w:rPr>
            <w:rStyle w:val="a3"/>
            <w:rFonts w:eastAsia="Times New Roman"/>
            <w:sz w:val="16"/>
            <w:szCs w:val="16"/>
          </w:rPr>
          <w:t>Table of Contents</w:t>
        </w:r>
      </w:hyperlink>
    </w:p>
    <w:p w14:paraId="298E9FA4" w14:textId="77777777" w:rsidR="00000000" w:rsidRDefault="00405D16">
      <w:pPr>
        <w:jc w:val="center"/>
        <w:divId w:val="1191265208"/>
        <w:rPr>
          <w:rFonts w:eastAsia="Times New Roman"/>
        </w:rPr>
      </w:pPr>
    </w:p>
    <w:p w14:paraId="5F8F1B23" w14:textId="77777777" w:rsidR="00000000" w:rsidRDefault="00405D16">
      <w:pPr>
        <w:divId w:val="231821059"/>
        <w:rPr>
          <w:rFonts w:eastAsia="Times New Roman"/>
        </w:rPr>
      </w:pPr>
      <w:r>
        <w:rPr>
          <w:rFonts w:eastAsia="Times New Roman"/>
          <w:b/>
          <w:bCs/>
          <w:color w:val="000000"/>
          <w:sz w:val="18"/>
          <w:szCs w:val="18"/>
        </w:rPr>
        <w:t>Table 4.1: Allowance for Credit Losses and Reserve for Unfunded Lending Commitments Activity</w:t>
      </w:r>
    </w:p>
    <w:tbl>
      <w:tblPr>
        <w:tblW w:w="5000" w:type="pct"/>
        <w:tblCellMar>
          <w:top w:w="15" w:type="dxa"/>
          <w:left w:w="15" w:type="dxa"/>
          <w:bottom w:w="15" w:type="dxa"/>
          <w:right w:w="15" w:type="dxa"/>
        </w:tblCellMar>
        <w:tblLook w:val="04A0" w:firstRow="1" w:lastRow="0" w:firstColumn="1" w:lastColumn="0" w:noHBand="0" w:noVBand="1"/>
      </w:tblPr>
      <w:tblGrid>
        <w:gridCol w:w="40"/>
        <w:gridCol w:w="4517"/>
        <w:gridCol w:w="39"/>
        <w:gridCol w:w="36"/>
        <w:gridCol w:w="36"/>
        <w:gridCol w:w="36"/>
        <w:gridCol w:w="110"/>
        <w:gridCol w:w="555"/>
        <w:gridCol w:w="36"/>
        <w:gridCol w:w="36"/>
        <w:gridCol w:w="36"/>
        <w:gridCol w:w="36"/>
        <w:gridCol w:w="111"/>
        <w:gridCol w:w="667"/>
        <w:gridCol w:w="37"/>
        <w:gridCol w:w="36"/>
        <w:gridCol w:w="36"/>
        <w:gridCol w:w="36"/>
        <w:gridCol w:w="111"/>
        <w:gridCol w:w="785"/>
        <w:gridCol w:w="36"/>
        <w:gridCol w:w="36"/>
        <w:gridCol w:w="36"/>
        <w:gridCol w:w="36"/>
        <w:gridCol w:w="36"/>
        <w:gridCol w:w="36"/>
        <w:gridCol w:w="36"/>
        <w:gridCol w:w="36"/>
        <w:gridCol w:w="110"/>
        <w:gridCol w:w="540"/>
        <w:gridCol w:w="36"/>
      </w:tblGrid>
      <w:tr w:rsidR="00000000" w14:paraId="6445A591" w14:textId="77777777">
        <w:trPr>
          <w:divId w:val="360521990"/>
        </w:trPr>
        <w:tc>
          <w:tcPr>
            <w:tcW w:w="50" w:type="pct"/>
            <w:vAlign w:val="center"/>
            <w:hideMark/>
          </w:tcPr>
          <w:p w14:paraId="1010EF46" w14:textId="77777777" w:rsidR="00000000" w:rsidRDefault="00405D16">
            <w:pPr>
              <w:rPr>
                <w:rFonts w:eastAsia="Times New Roman"/>
              </w:rPr>
            </w:pPr>
          </w:p>
        </w:tc>
        <w:tc>
          <w:tcPr>
            <w:tcW w:w="2839" w:type="pct"/>
            <w:vAlign w:val="center"/>
            <w:hideMark/>
          </w:tcPr>
          <w:p w14:paraId="74B816EF" w14:textId="77777777" w:rsidR="00000000" w:rsidRDefault="00405D16">
            <w:pPr>
              <w:spacing w:after="100"/>
              <w:rPr>
                <w:rFonts w:eastAsia="Times New Roman"/>
                <w:sz w:val="20"/>
                <w:szCs w:val="20"/>
              </w:rPr>
            </w:pPr>
          </w:p>
        </w:tc>
        <w:tc>
          <w:tcPr>
            <w:tcW w:w="5" w:type="pct"/>
            <w:vAlign w:val="center"/>
            <w:hideMark/>
          </w:tcPr>
          <w:p w14:paraId="5554CC1A" w14:textId="77777777" w:rsidR="00000000" w:rsidRDefault="00405D16">
            <w:pPr>
              <w:spacing w:after="100"/>
              <w:rPr>
                <w:rFonts w:eastAsia="Times New Roman"/>
                <w:sz w:val="20"/>
                <w:szCs w:val="20"/>
              </w:rPr>
            </w:pPr>
          </w:p>
        </w:tc>
        <w:tc>
          <w:tcPr>
            <w:tcW w:w="5" w:type="pct"/>
            <w:vAlign w:val="center"/>
            <w:hideMark/>
          </w:tcPr>
          <w:p w14:paraId="3126F642" w14:textId="77777777" w:rsidR="00000000" w:rsidRDefault="00405D16">
            <w:pPr>
              <w:spacing w:after="100"/>
              <w:rPr>
                <w:rFonts w:eastAsia="Times New Roman"/>
                <w:sz w:val="20"/>
                <w:szCs w:val="20"/>
              </w:rPr>
            </w:pPr>
          </w:p>
        </w:tc>
        <w:tc>
          <w:tcPr>
            <w:tcW w:w="26" w:type="pct"/>
            <w:vAlign w:val="center"/>
            <w:hideMark/>
          </w:tcPr>
          <w:p w14:paraId="3EC222A2" w14:textId="77777777" w:rsidR="00000000" w:rsidRDefault="00405D16">
            <w:pPr>
              <w:spacing w:after="100"/>
              <w:rPr>
                <w:rFonts w:eastAsia="Times New Roman"/>
                <w:sz w:val="20"/>
                <w:szCs w:val="20"/>
              </w:rPr>
            </w:pPr>
          </w:p>
        </w:tc>
        <w:tc>
          <w:tcPr>
            <w:tcW w:w="5" w:type="pct"/>
            <w:vAlign w:val="center"/>
            <w:hideMark/>
          </w:tcPr>
          <w:p w14:paraId="38B786D4" w14:textId="77777777" w:rsidR="00000000" w:rsidRDefault="00405D16">
            <w:pPr>
              <w:spacing w:after="100"/>
              <w:rPr>
                <w:rFonts w:eastAsia="Times New Roman"/>
                <w:sz w:val="20"/>
                <w:szCs w:val="20"/>
              </w:rPr>
            </w:pPr>
          </w:p>
        </w:tc>
        <w:tc>
          <w:tcPr>
            <w:tcW w:w="50" w:type="pct"/>
            <w:vAlign w:val="center"/>
            <w:hideMark/>
          </w:tcPr>
          <w:p w14:paraId="73BC5505" w14:textId="77777777" w:rsidR="00000000" w:rsidRDefault="00405D16">
            <w:pPr>
              <w:spacing w:after="100"/>
              <w:rPr>
                <w:rFonts w:eastAsia="Times New Roman"/>
                <w:sz w:val="20"/>
                <w:szCs w:val="20"/>
              </w:rPr>
            </w:pPr>
          </w:p>
        </w:tc>
        <w:tc>
          <w:tcPr>
            <w:tcW w:w="434" w:type="pct"/>
            <w:vAlign w:val="center"/>
            <w:hideMark/>
          </w:tcPr>
          <w:p w14:paraId="1B169123" w14:textId="77777777" w:rsidR="00000000" w:rsidRDefault="00405D16">
            <w:pPr>
              <w:spacing w:after="100"/>
              <w:rPr>
                <w:rFonts w:eastAsia="Times New Roman"/>
                <w:sz w:val="20"/>
                <w:szCs w:val="20"/>
              </w:rPr>
            </w:pPr>
          </w:p>
        </w:tc>
        <w:tc>
          <w:tcPr>
            <w:tcW w:w="5" w:type="pct"/>
            <w:vAlign w:val="center"/>
            <w:hideMark/>
          </w:tcPr>
          <w:p w14:paraId="4BCAA9FB" w14:textId="77777777" w:rsidR="00000000" w:rsidRDefault="00405D16">
            <w:pPr>
              <w:spacing w:after="100"/>
              <w:rPr>
                <w:rFonts w:eastAsia="Times New Roman"/>
                <w:sz w:val="20"/>
                <w:szCs w:val="20"/>
              </w:rPr>
            </w:pPr>
          </w:p>
        </w:tc>
        <w:tc>
          <w:tcPr>
            <w:tcW w:w="5" w:type="pct"/>
            <w:vAlign w:val="center"/>
            <w:hideMark/>
          </w:tcPr>
          <w:p w14:paraId="38E7D9DA" w14:textId="77777777" w:rsidR="00000000" w:rsidRDefault="00405D16">
            <w:pPr>
              <w:spacing w:after="100"/>
              <w:rPr>
                <w:rFonts w:eastAsia="Times New Roman"/>
                <w:sz w:val="20"/>
                <w:szCs w:val="20"/>
              </w:rPr>
            </w:pPr>
          </w:p>
        </w:tc>
        <w:tc>
          <w:tcPr>
            <w:tcW w:w="26" w:type="pct"/>
            <w:vAlign w:val="center"/>
            <w:hideMark/>
          </w:tcPr>
          <w:p w14:paraId="319D479A" w14:textId="77777777" w:rsidR="00000000" w:rsidRDefault="00405D16">
            <w:pPr>
              <w:spacing w:after="100"/>
              <w:rPr>
                <w:rFonts w:eastAsia="Times New Roman"/>
                <w:sz w:val="20"/>
                <w:szCs w:val="20"/>
              </w:rPr>
            </w:pPr>
          </w:p>
        </w:tc>
        <w:tc>
          <w:tcPr>
            <w:tcW w:w="5" w:type="pct"/>
            <w:vAlign w:val="center"/>
            <w:hideMark/>
          </w:tcPr>
          <w:p w14:paraId="79D0BCC1" w14:textId="77777777" w:rsidR="00000000" w:rsidRDefault="00405D16">
            <w:pPr>
              <w:spacing w:after="100"/>
              <w:rPr>
                <w:rFonts w:eastAsia="Times New Roman"/>
                <w:sz w:val="20"/>
                <w:szCs w:val="20"/>
              </w:rPr>
            </w:pPr>
          </w:p>
        </w:tc>
        <w:tc>
          <w:tcPr>
            <w:tcW w:w="50" w:type="pct"/>
            <w:vAlign w:val="center"/>
            <w:hideMark/>
          </w:tcPr>
          <w:p w14:paraId="57E621D6" w14:textId="77777777" w:rsidR="00000000" w:rsidRDefault="00405D16">
            <w:pPr>
              <w:spacing w:after="100"/>
              <w:rPr>
                <w:rFonts w:eastAsia="Times New Roman"/>
                <w:sz w:val="20"/>
                <w:szCs w:val="20"/>
              </w:rPr>
            </w:pPr>
          </w:p>
        </w:tc>
        <w:tc>
          <w:tcPr>
            <w:tcW w:w="434" w:type="pct"/>
            <w:vAlign w:val="center"/>
            <w:hideMark/>
          </w:tcPr>
          <w:p w14:paraId="32ACF3F9" w14:textId="77777777" w:rsidR="00000000" w:rsidRDefault="00405D16">
            <w:pPr>
              <w:spacing w:after="100"/>
              <w:rPr>
                <w:rFonts w:eastAsia="Times New Roman"/>
                <w:sz w:val="20"/>
                <w:szCs w:val="20"/>
              </w:rPr>
            </w:pPr>
          </w:p>
        </w:tc>
        <w:tc>
          <w:tcPr>
            <w:tcW w:w="5" w:type="pct"/>
            <w:vAlign w:val="center"/>
            <w:hideMark/>
          </w:tcPr>
          <w:p w14:paraId="30185A25" w14:textId="77777777" w:rsidR="00000000" w:rsidRDefault="00405D16">
            <w:pPr>
              <w:spacing w:after="100"/>
              <w:rPr>
                <w:rFonts w:eastAsia="Times New Roman"/>
                <w:sz w:val="20"/>
                <w:szCs w:val="20"/>
              </w:rPr>
            </w:pPr>
          </w:p>
        </w:tc>
        <w:tc>
          <w:tcPr>
            <w:tcW w:w="5" w:type="pct"/>
            <w:vAlign w:val="center"/>
            <w:hideMark/>
          </w:tcPr>
          <w:p w14:paraId="31470A3E" w14:textId="77777777" w:rsidR="00000000" w:rsidRDefault="00405D16">
            <w:pPr>
              <w:spacing w:after="100"/>
              <w:rPr>
                <w:rFonts w:eastAsia="Times New Roman"/>
                <w:sz w:val="20"/>
                <w:szCs w:val="20"/>
              </w:rPr>
            </w:pPr>
          </w:p>
        </w:tc>
        <w:tc>
          <w:tcPr>
            <w:tcW w:w="26" w:type="pct"/>
            <w:vAlign w:val="center"/>
            <w:hideMark/>
          </w:tcPr>
          <w:p w14:paraId="0D60CD56" w14:textId="77777777" w:rsidR="00000000" w:rsidRDefault="00405D16">
            <w:pPr>
              <w:spacing w:after="100"/>
              <w:rPr>
                <w:rFonts w:eastAsia="Times New Roman"/>
                <w:sz w:val="20"/>
                <w:szCs w:val="20"/>
              </w:rPr>
            </w:pPr>
          </w:p>
        </w:tc>
        <w:tc>
          <w:tcPr>
            <w:tcW w:w="5" w:type="pct"/>
            <w:vAlign w:val="center"/>
            <w:hideMark/>
          </w:tcPr>
          <w:p w14:paraId="55B2036E" w14:textId="77777777" w:rsidR="00000000" w:rsidRDefault="00405D16">
            <w:pPr>
              <w:spacing w:after="100"/>
              <w:rPr>
                <w:rFonts w:eastAsia="Times New Roman"/>
                <w:sz w:val="20"/>
                <w:szCs w:val="20"/>
              </w:rPr>
            </w:pPr>
          </w:p>
        </w:tc>
        <w:tc>
          <w:tcPr>
            <w:tcW w:w="50" w:type="pct"/>
            <w:vAlign w:val="center"/>
            <w:hideMark/>
          </w:tcPr>
          <w:p w14:paraId="293A6CBA" w14:textId="77777777" w:rsidR="00000000" w:rsidRDefault="00405D16">
            <w:pPr>
              <w:spacing w:after="100"/>
              <w:rPr>
                <w:rFonts w:eastAsia="Times New Roman"/>
                <w:sz w:val="20"/>
                <w:szCs w:val="20"/>
              </w:rPr>
            </w:pPr>
          </w:p>
        </w:tc>
        <w:tc>
          <w:tcPr>
            <w:tcW w:w="434" w:type="pct"/>
            <w:vAlign w:val="center"/>
            <w:hideMark/>
          </w:tcPr>
          <w:p w14:paraId="4169E646" w14:textId="77777777" w:rsidR="00000000" w:rsidRDefault="00405D16">
            <w:pPr>
              <w:spacing w:after="100"/>
              <w:rPr>
                <w:rFonts w:eastAsia="Times New Roman"/>
                <w:sz w:val="20"/>
                <w:szCs w:val="20"/>
              </w:rPr>
            </w:pPr>
          </w:p>
        </w:tc>
        <w:tc>
          <w:tcPr>
            <w:tcW w:w="5" w:type="pct"/>
            <w:vAlign w:val="center"/>
            <w:hideMark/>
          </w:tcPr>
          <w:p w14:paraId="16B3E8F1" w14:textId="77777777" w:rsidR="00000000" w:rsidRDefault="00405D16">
            <w:pPr>
              <w:spacing w:after="100"/>
              <w:rPr>
                <w:rFonts w:eastAsia="Times New Roman"/>
                <w:sz w:val="20"/>
                <w:szCs w:val="20"/>
              </w:rPr>
            </w:pPr>
          </w:p>
        </w:tc>
        <w:tc>
          <w:tcPr>
            <w:tcW w:w="5" w:type="pct"/>
            <w:vAlign w:val="center"/>
            <w:hideMark/>
          </w:tcPr>
          <w:p w14:paraId="0EFC3368" w14:textId="77777777" w:rsidR="00000000" w:rsidRDefault="00405D16">
            <w:pPr>
              <w:spacing w:after="100"/>
              <w:rPr>
                <w:rFonts w:eastAsia="Times New Roman"/>
                <w:sz w:val="20"/>
                <w:szCs w:val="20"/>
              </w:rPr>
            </w:pPr>
          </w:p>
        </w:tc>
        <w:tc>
          <w:tcPr>
            <w:tcW w:w="26" w:type="pct"/>
            <w:vAlign w:val="center"/>
            <w:hideMark/>
          </w:tcPr>
          <w:p w14:paraId="7C4CC5B0" w14:textId="77777777" w:rsidR="00000000" w:rsidRDefault="00405D16">
            <w:pPr>
              <w:spacing w:after="100"/>
              <w:rPr>
                <w:rFonts w:eastAsia="Times New Roman"/>
                <w:sz w:val="20"/>
                <w:szCs w:val="20"/>
              </w:rPr>
            </w:pPr>
          </w:p>
        </w:tc>
        <w:tc>
          <w:tcPr>
            <w:tcW w:w="5" w:type="pct"/>
            <w:vAlign w:val="center"/>
            <w:hideMark/>
          </w:tcPr>
          <w:p w14:paraId="2848F7E3" w14:textId="77777777" w:rsidR="00000000" w:rsidRDefault="00405D16">
            <w:pPr>
              <w:spacing w:after="100"/>
              <w:rPr>
                <w:rFonts w:eastAsia="Times New Roman"/>
                <w:sz w:val="20"/>
                <w:szCs w:val="20"/>
              </w:rPr>
            </w:pPr>
          </w:p>
        </w:tc>
        <w:tc>
          <w:tcPr>
            <w:tcW w:w="0" w:type="auto"/>
            <w:vAlign w:val="center"/>
            <w:hideMark/>
          </w:tcPr>
          <w:p w14:paraId="125A7830" w14:textId="77777777" w:rsidR="00000000" w:rsidRDefault="00405D16">
            <w:pPr>
              <w:spacing w:after="100"/>
              <w:rPr>
                <w:rFonts w:eastAsia="Times New Roman"/>
                <w:sz w:val="20"/>
                <w:szCs w:val="20"/>
              </w:rPr>
            </w:pPr>
          </w:p>
        </w:tc>
        <w:tc>
          <w:tcPr>
            <w:tcW w:w="0" w:type="auto"/>
            <w:gridSpan w:val="3"/>
            <w:vAlign w:val="center"/>
            <w:hideMark/>
          </w:tcPr>
          <w:p w14:paraId="33C1902C" w14:textId="77777777" w:rsidR="00000000" w:rsidRDefault="00405D16">
            <w:pPr>
              <w:spacing w:after="100"/>
              <w:rPr>
                <w:rFonts w:eastAsia="Times New Roman"/>
                <w:sz w:val="20"/>
                <w:szCs w:val="20"/>
              </w:rPr>
            </w:pPr>
          </w:p>
        </w:tc>
        <w:tc>
          <w:tcPr>
            <w:tcW w:w="50" w:type="pct"/>
            <w:vAlign w:val="center"/>
            <w:hideMark/>
          </w:tcPr>
          <w:p w14:paraId="23C4AD72" w14:textId="77777777" w:rsidR="00000000" w:rsidRDefault="00405D16">
            <w:pPr>
              <w:spacing w:after="100"/>
              <w:rPr>
                <w:rFonts w:eastAsia="Times New Roman"/>
                <w:sz w:val="20"/>
                <w:szCs w:val="20"/>
              </w:rPr>
            </w:pPr>
          </w:p>
        </w:tc>
        <w:tc>
          <w:tcPr>
            <w:tcW w:w="435" w:type="pct"/>
            <w:vAlign w:val="center"/>
            <w:hideMark/>
          </w:tcPr>
          <w:p w14:paraId="4B3EB080" w14:textId="77777777" w:rsidR="00000000" w:rsidRDefault="00405D16">
            <w:pPr>
              <w:spacing w:after="100"/>
              <w:rPr>
                <w:rFonts w:eastAsia="Times New Roman"/>
                <w:sz w:val="20"/>
                <w:szCs w:val="20"/>
              </w:rPr>
            </w:pPr>
          </w:p>
        </w:tc>
        <w:tc>
          <w:tcPr>
            <w:tcW w:w="5" w:type="pct"/>
            <w:vAlign w:val="center"/>
            <w:hideMark/>
          </w:tcPr>
          <w:p w14:paraId="3F060048" w14:textId="77777777" w:rsidR="00000000" w:rsidRDefault="00405D16">
            <w:pPr>
              <w:spacing w:after="100"/>
              <w:rPr>
                <w:rFonts w:eastAsia="Times New Roman"/>
                <w:sz w:val="20"/>
                <w:szCs w:val="20"/>
              </w:rPr>
            </w:pPr>
          </w:p>
        </w:tc>
      </w:tr>
      <w:tr w:rsidR="00000000" w14:paraId="016A1022" w14:textId="77777777">
        <w:trPr>
          <w:divId w:val="360521990"/>
        </w:trPr>
        <w:tc>
          <w:tcPr>
            <w:tcW w:w="0" w:type="auto"/>
            <w:gridSpan w:val="3"/>
            <w:tcMar>
              <w:top w:w="0" w:type="dxa"/>
              <w:left w:w="20" w:type="dxa"/>
              <w:bottom w:w="0" w:type="dxa"/>
              <w:right w:w="20" w:type="dxa"/>
            </w:tcMar>
            <w:vAlign w:val="center"/>
            <w:hideMark/>
          </w:tcPr>
          <w:p w14:paraId="5EED9C97"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C9D42CB" w14:textId="77777777" w:rsidR="00000000" w:rsidRDefault="00405D16">
            <w:pPr>
              <w:spacing w:after="100"/>
              <w:rPr>
                <w:rFonts w:eastAsia="Times New Roman"/>
                <w:sz w:val="20"/>
                <w:szCs w:val="20"/>
              </w:rPr>
            </w:pPr>
          </w:p>
        </w:tc>
        <w:tc>
          <w:tcPr>
            <w:tcW w:w="0" w:type="auto"/>
            <w:gridSpan w:val="19"/>
            <w:tcMar>
              <w:top w:w="30" w:type="dxa"/>
              <w:left w:w="20" w:type="dxa"/>
              <w:bottom w:w="30" w:type="dxa"/>
              <w:right w:w="20" w:type="dxa"/>
            </w:tcMar>
            <w:vAlign w:val="bottom"/>
            <w:hideMark/>
          </w:tcPr>
          <w:p w14:paraId="18183BD7" w14:textId="77777777" w:rsidR="00000000" w:rsidRDefault="00405D16">
            <w:pPr>
              <w:spacing w:after="100"/>
              <w:jc w:val="center"/>
              <w:rPr>
                <w:rFonts w:eastAsia="Times New Roman"/>
              </w:rPr>
            </w:pPr>
            <w:r>
              <w:rPr>
                <w:rFonts w:eastAsia="Times New Roman"/>
                <w:b/>
                <w:bCs/>
                <w:color w:val="000000"/>
                <w:sz w:val="16"/>
                <w:szCs w:val="16"/>
              </w:rPr>
              <w:t>Three Months Ended September 30, 2021</w:t>
            </w:r>
          </w:p>
        </w:tc>
        <w:tc>
          <w:tcPr>
            <w:tcW w:w="0" w:type="auto"/>
            <w:vAlign w:val="center"/>
            <w:hideMark/>
          </w:tcPr>
          <w:p w14:paraId="74BC75A1" w14:textId="77777777" w:rsidR="00000000" w:rsidRDefault="00405D16">
            <w:pPr>
              <w:spacing w:after="100"/>
              <w:rPr>
                <w:rFonts w:eastAsia="Times New Roman"/>
                <w:sz w:val="20"/>
                <w:szCs w:val="20"/>
              </w:rPr>
            </w:pPr>
          </w:p>
        </w:tc>
        <w:tc>
          <w:tcPr>
            <w:tcW w:w="0" w:type="auto"/>
            <w:vAlign w:val="center"/>
            <w:hideMark/>
          </w:tcPr>
          <w:p w14:paraId="7CF9891C" w14:textId="77777777" w:rsidR="00000000" w:rsidRDefault="00405D16">
            <w:pPr>
              <w:spacing w:after="100"/>
              <w:rPr>
                <w:rFonts w:eastAsia="Times New Roman"/>
                <w:sz w:val="20"/>
                <w:szCs w:val="20"/>
              </w:rPr>
            </w:pPr>
          </w:p>
        </w:tc>
        <w:tc>
          <w:tcPr>
            <w:tcW w:w="0" w:type="auto"/>
            <w:vAlign w:val="center"/>
            <w:hideMark/>
          </w:tcPr>
          <w:p w14:paraId="0C0DFF78" w14:textId="77777777" w:rsidR="00000000" w:rsidRDefault="00405D16">
            <w:pPr>
              <w:spacing w:after="100"/>
              <w:rPr>
                <w:rFonts w:eastAsia="Times New Roman"/>
                <w:sz w:val="20"/>
                <w:szCs w:val="20"/>
              </w:rPr>
            </w:pPr>
          </w:p>
        </w:tc>
        <w:tc>
          <w:tcPr>
            <w:tcW w:w="0" w:type="auto"/>
            <w:vAlign w:val="center"/>
            <w:hideMark/>
          </w:tcPr>
          <w:p w14:paraId="100E61A8" w14:textId="77777777" w:rsidR="00000000" w:rsidRDefault="00405D16">
            <w:pPr>
              <w:spacing w:after="100"/>
              <w:rPr>
                <w:rFonts w:eastAsia="Times New Roman"/>
                <w:sz w:val="20"/>
                <w:szCs w:val="20"/>
              </w:rPr>
            </w:pPr>
          </w:p>
        </w:tc>
        <w:tc>
          <w:tcPr>
            <w:tcW w:w="0" w:type="auto"/>
            <w:vAlign w:val="center"/>
            <w:hideMark/>
          </w:tcPr>
          <w:p w14:paraId="12C53350" w14:textId="77777777" w:rsidR="00000000" w:rsidRDefault="00405D16">
            <w:pPr>
              <w:spacing w:after="100"/>
              <w:rPr>
                <w:rFonts w:eastAsia="Times New Roman"/>
                <w:sz w:val="20"/>
                <w:szCs w:val="20"/>
              </w:rPr>
            </w:pPr>
          </w:p>
        </w:tc>
        <w:tc>
          <w:tcPr>
            <w:tcW w:w="0" w:type="auto"/>
            <w:vAlign w:val="center"/>
            <w:hideMark/>
          </w:tcPr>
          <w:p w14:paraId="324E5044" w14:textId="77777777" w:rsidR="00000000" w:rsidRDefault="00405D16">
            <w:pPr>
              <w:spacing w:after="100"/>
              <w:rPr>
                <w:rFonts w:eastAsia="Times New Roman"/>
                <w:sz w:val="20"/>
                <w:szCs w:val="20"/>
              </w:rPr>
            </w:pPr>
          </w:p>
        </w:tc>
      </w:tr>
      <w:tr w:rsidR="00000000" w14:paraId="2A14AEF6" w14:textId="77777777">
        <w:trPr>
          <w:divId w:val="360521990"/>
        </w:trPr>
        <w:tc>
          <w:tcPr>
            <w:tcW w:w="0" w:type="auto"/>
            <w:gridSpan w:val="3"/>
            <w:tcMar>
              <w:top w:w="30" w:type="dxa"/>
              <w:left w:w="20" w:type="dxa"/>
              <w:bottom w:w="30" w:type="dxa"/>
              <w:right w:w="20" w:type="dxa"/>
            </w:tcMar>
            <w:vAlign w:val="bottom"/>
            <w:hideMark/>
          </w:tcPr>
          <w:p w14:paraId="5CF98A25"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6C358435"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C1DD798" w14:textId="77777777" w:rsidR="00000000" w:rsidRDefault="00405D16">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7FE4C33F"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62350B6" w14:textId="77777777" w:rsidR="00000000" w:rsidRDefault="00405D16">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13DBFD4F"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9917319" w14:textId="77777777" w:rsidR="00000000" w:rsidRDefault="00405D16">
            <w:pPr>
              <w:spacing w:after="100"/>
              <w:jc w:val="center"/>
              <w:rPr>
                <w:rFonts w:eastAsia="Times New Roman"/>
              </w:rPr>
            </w:pPr>
            <w:r>
              <w:rPr>
                <w:rFonts w:eastAsia="Times New Roman"/>
                <w:b/>
                <w:bCs/>
                <w:color w:val="000000"/>
                <w:sz w:val="16"/>
                <w:szCs w:val="16"/>
              </w:rPr>
              <w:t>Commercial Banking</w:t>
            </w:r>
          </w:p>
        </w:tc>
        <w:tc>
          <w:tcPr>
            <w:tcW w:w="0" w:type="auto"/>
            <w:gridSpan w:val="3"/>
            <w:tcBorders>
              <w:top w:val="single" w:sz="8" w:space="0" w:color="000000"/>
            </w:tcBorders>
            <w:tcMar>
              <w:top w:w="0" w:type="dxa"/>
              <w:left w:w="20" w:type="dxa"/>
              <w:bottom w:w="0" w:type="dxa"/>
              <w:right w:w="20" w:type="dxa"/>
            </w:tcMar>
            <w:vAlign w:val="center"/>
            <w:hideMark/>
          </w:tcPr>
          <w:p w14:paraId="5BF97726" w14:textId="77777777" w:rsidR="00000000" w:rsidRDefault="00405D16">
            <w:pPr>
              <w:spacing w:after="100"/>
              <w:jc w:val="center"/>
              <w:rPr>
                <w:rFonts w:eastAsia="Times New Roman"/>
              </w:rPr>
            </w:pPr>
          </w:p>
        </w:tc>
        <w:tc>
          <w:tcPr>
            <w:tcW w:w="0" w:type="auto"/>
            <w:vAlign w:val="center"/>
            <w:hideMark/>
          </w:tcPr>
          <w:p w14:paraId="0C5CCA65" w14:textId="77777777" w:rsidR="00000000" w:rsidRDefault="00405D16">
            <w:pPr>
              <w:spacing w:after="100"/>
              <w:rPr>
                <w:rFonts w:eastAsia="Times New Roman"/>
                <w:sz w:val="20"/>
                <w:szCs w:val="20"/>
              </w:rPr>
            </w:pPr>
          </w:p>
        </w:tc>
        <w:tc>
          <w:tcPr>
            <w:tcW w:w="0" w:type="auto"/>
            <w:gridSpan w:val="3"/>
            <w:vAlign w:val="center"/>
            <w:hideMark/>
          </w:tcPr>
          <w:p w14:paraId="5ECD3325"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13003F6" w14:textId="77777777" w:rsidR="00000000" w:rsidRDefault="00405D16">
            <w:pPr>
              <w:spacing w:after="100"/>
              <w:jc w:val="center"/>
              <w:rPr>
                <w:rFonts w:eastAsia="Times New Roman"/>
              </w:rPr>
            </w:pPr>
            <w:r>
              <w:rPr>
                <w:rFonts w:eastAsia="Times New Roman"/>
                <w:b/>
                <w:bCs/>
                <w:color w:val="000000"/>
                <w:sz w:val="16"/>
                <w:szCs w:val="16"/>
              </w:rPr>
              <w:t>Total</w:t>
            </w:r>
          </w:p>
        </w:tc>
      </w:tr>
      <w:tr w:rsidR="00000000" w14:paraId="7A958F64" w14:textId="77777777">
        <w:trPr>
          <w:divId w:val="36052199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688EEDA" w14:textId="77777777" w:rsidR="00000000" w:rsidRDefault="00405D16">
            <w:pPr>
              <w:spacing w:after="100"/>
              <w:rPr>
                <w:rFonts w:eastAsia="Times New Roman"/>
              </w:rPr>
            </w:pPr>
            <w:r>
              <w:rPr>
                <w:rFonts w:eastAsia="Times New Roman"/>
                <w:b/>
                <w:bCs/>
                <w:color w:val="000000"/>
                <w:sz w:val="18"/>
                <w:szCs w:val="18"/>
              </w:rPr>
              <w:t>Allowance for credit losses:</w:t>
            </w:r>
          </w:p>
        </w:tc>
        <w:tc>
          <w:tcPr>
            <w:tcW w:w="0" w:type="auto"/>
            <w:gridSpan w:val="3"/>
            <w:shd w:val="clear" w:color="auto" w:fill="CCEEFF"/>
            <w:tcMar>
              <w:top w:w="0" w:type="dxa"/>
              <w:left w:w="20" w:type="dxa"/>
              <w:bottom w:w="0" w:type="dxa"/>
              <w:right w:w="20" w:type="dxa"/>
            </w:tcMar>
            <w:vAlign w:val="center"/>
            <w:hideMark/>
          </w:tcPr>
          <w:p w14:paraId="7E402494"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DC8424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A31854"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9E8F81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82D004"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A7309B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495ACB" w14:textId="77777777" w:rsidR="00000000" w:rsidRDefault="00405D16">
            <w:pPr>
              <w:spacing w:after="100"/>
              <w:rPr>
                <w:rFonts w:eastAsia="Times New Roman"/>
                <w:sz w:val="20"/>
                <w:szCs w:val="20"/>
              </w:rPr>
            </w:pPr>
          </w:p>
        </w:tc>
        <w:tc>
          <w:tcPr>
            <w:tcW w:w="0" w:type="auto"/>
            <w:vAlign w:val="center"/>
            <w:hideMark/>
          </w:tcPr>
          <w:p w14:paraId="4B2D145B" w14:textId="77777777" w:rsidR="00000000" w:rsidRDefault="00405D16">
            <w:pPr>
              <w:spacing w:after="100"/>
              <w:rPr>
                <w:rFonts w:eastAsia="Times New Roman"/>
                <w:sz w:val="20"/>
                <w:szCs w:val="20"/>
              </w:rPr>
            </w:pPr>
          </w:p>
        </w:tc>
        <w:tc>
          <w:tcPr>
            <w:tcW w:w="0" w:type="auto"/>
            <w:gridSpan w:val="3"/>
            <w:vAlign w:val="center"/>
            <w:hideMark/>
          </w:tcPr>
          <w:p w14:paraId="1B72D581"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F7585AA" w14:textId="77777777" w:rsidR="00000000" w:rsidRDefault="00405D16">
            <w:pPr>
              <w:spacing w:after="100"/>
              <w:rPr>
                <w:rFonts w:eastAsia="Times New Roman"/>
                <w:sz w:val="20"/>
                <w:szCs w:val="20"/>
              </w:rPr>
            </w:pPr>
          </w:p>
        </w:tc>
      </w:tr>
      <w:tr w:rsidR="00000000" w14:paraId="1827E381" w14:textId="77777777">
        <w:trPr>
          <w:divId w:val="360521990"/>
        </w:trPr>
        <w:tc>
          <w:tcPr>
            <w:tcW w:w="0" w:type="auto"/>
            <w:gridSpan w:val="3"/>
            <w:shd w:val="clear" w:color="auto" w:fill="FFFFFF"/>
            <w:tcMar>
              <w:top w:w="30" w:type="dxa"/>
              <w:left w:w="20" w:type="dxa"/>
              <w:bottom w:w="30" w:type="dxa"/>
              <w:right w:w="20" w:type="dxa"/>
            </w:tcMar>
            <w:vAlign w:val="center"/>
            <w:hideMark/>
          </w:tcPr>
          <w:p w14:paraId="56AAD7DA" w14:textId="77777777" w:rsidR="00000000" w:rsidRDefault="00405D16">
            <w:pPr>
              <w:spacing w:after="100"/>
              <w:rPr>
                <w:rFonts w:eastAsia="Times New Roman"/>
              </w:rPr>
            </w:pPr>
            <w:r>
              <w:rPr>
                <w:rFonts w:eastAsia="Times New Roman"/>
                <w:color w:val="000000"/>
                <w:sz w:val="18"/>
                <w:szCs w:val="18"/>
              </w:rPr>
              <w:t>Balance as of June 30, 2021</w:t>
            </w:r>
          </w:p>
        </w:tc>
        <w:tc>
          <w:tcPr>
            <w:tcW w:w="0" w:type="auto"/>
            <w:gridSpan w:val="3"/>
            <w:shd w:val="clear" w:color="auto" w:fill="FFFFFF"/>
            <w:tcMar>
              <w:top w:w="0" w:type="dxa"/>
              <w:left w:w="20" w:type="dxa"/>
              <w:bottom w:w="0" w:type="dxa"/>
              <w:right w:w="20" w:type="dxa"/>
            </w:tcMar>
            <w:vAlign w:val="center"/>
            <w:hideMark/>
          </w:tcPr>
          <w:p w14:paraId="7327AF04"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54723113"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3BD19339" w14:textId="77777777" w:rsidR="00000000" w:rsidRDefault="00405D16">
            <w:pPr>
              <w:spacing w:after="100"/>
              <w:jc w:val="right"/>
              <w:rPr>
                <w:rFonts w:eastAsia="Times New Roman"/>
              </w:rPr>
            </w:pPr>
            <w:r>
              <w:rPr>
                <w:rFonts w:eastAsia="Times New Roman"/>
                <w:color w:val="000000"/>
                <w:sz w:val="18"/>
                <w:szCs w:val="18"/>
              </w:rPr>
              <w:t>8,873 </w:t>
            </w:r>
          </w:p>
        </w:tc>
        <w:tc>
          <w:tcPr>
            <w:tcW w:w="0" w:type="auto"/>
            <w:shd w:val="clear" w:color="auto" w:fill="FFFFFF"/>
            <w:tcMar>
              <w:top w:w="30" w:type="dxa"/>
              <w:left w:w="0" w:type="dxa"/>
              <w:bottom w:w="30" w:type="dxa"/>
              <w:right w:w="20" w:type="dxa"/>
            </w:tcMar>
            <w:vAlign w:val="center"/>
            <w:hideMark/>
          </w:tcPr>
          <w:p w14:paraId="7209CC1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E6AA9F"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82C9F1B"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22E0A6B4" w14:textId="77777777" w:rsidR="00000000" w:rsidRDefault="00405D16">
            <w:pPr>
              <w:spacing w:after="100"/>
              <w:jc w:val="right"/>
              <w:rPr>
                <w:rFonts w:eastAsia="Times New Roman"/>
              </w:rPr>
            </w:pPr>
            <w:r>
              <w:rPr>
                <w:rFonts w:eastAsia="Times New Roman"/>
                <w:color w:val="000000"/>
                <w:sz w:val="18"/>
                <w:szCs w:val="18"/>
              </w:rPr>
              <w:t>2,203 </w:t>
            </w:r>
          </w:p>
        </w:tc>
        <w:tc>
          <w:tcPr>
            <w:tcW w:w="0" w:type="auto"/>
            <w:shd w:val="clear" w:color="auto" w:fill="FFFFFF"/>
            <w:tcMar>
              <w:top w:w="30" w:type="dxa"/>
              <w:left w:w="0" w:type="dxa"/>
              <w:bottom w:w="30" w:type="dxa"/>
              <w:right w:w="20" w:type="dxa"/>
            </w:tcMar>
            <w:vAlign w:val="center"/>
            <w:hideMark/>
          </w:tcPr>
          <w:p w14:paraId="1F67FD5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6EC40D"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B641191"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4902E8C7" w14:textId="77777777" w:rsidR="00000000" w:rsidRDefault="00405D16">
            <w:pPr>
              <w:spacing w:after="100"/>
              <w:jc w:val="right"/>
              <w:rPr>
                <w:rFonts w:eastAsia="Times New Roman"/>
              </w:rPr>
            </w:pPr>
            <w:r>
              <w:rPr>
                <w:rFonts w:eastAsia="Times New Roman"/>
                <w:color w:val="000000"/>
                <w:sz w:val="18"/>
                <w:szCs w:val="18"/>
              </w:rPr>
              <w:t>1,270 </w:t>
            </w:r>
          </w:p>
        </w:tc>
        <w:tc>
          <w:tcPr>
            <w:tcW w:w="0" w:type="auto"/>
            <w:shd w:val="clear" w:color="auto" w:fill="FFFFFF"/>
            <w:tcMar>
              <w:top w:w="30" w:type="dxa"/>
              <w:left w:w="0" w:type="dxa"/>
              <w:bottom w:w="30" w:type="dxa"/>
              <w:right w:w="20" w:type="dxa"/>
            </w:tcMar>
            <w:vAlign w:val="center"/>
            <w:hideMark/>
          </w:tcPr>
          <w:p w14:paraId="0FA8F2F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7C9017" w14:textId="77777777" w:rsidR="00000000" w:rsidRDefault="00405D16">
            <w:pPr>
              <w:spacing w:after="100"/>
              <w:jc w:val="right"/>
              <w:rPr>
                <w:rFonts w:eastAsia="Times New Roman"/>
                <w:sz w:val="20"/>
                <w:szCs w:val="20"/>
              </w:rPr>
            </w:pPr>
          </w:p>
        </w:tc>
        <w:tc>
          <w:tcPr>
            <w:tcW w:w="0" w:type="auto"/>
            <w:vAlign w:val="center"/>
            <w:hideMark/>
          </w:tcPr>
          <w:p w14:paraId="48B0B751" w14:textId="77777777" w:rsidR="00000000" w:rsidRDefault="00405D16">
            <w:pPr>
              <w:spacing w:after="100"/>
              <w:rPr>
                <w:rFonts w:eastAsia="Times New Roman"/>
                <w:sz w:val="20"/>
                <w:szCs w:val="20"/>
              </w:rPr>
            </w:pPr>
          </w:p>
        </w:tc>
        <w:tc>
          <w:tcPr>
            <w:tcW w:w="0" w:type="auto"/>
            <w:gridSpan w:val="3"/>
            <w:vAlign w:val="center"/>
            <w:hideMark/>
          </w:tcPr>
          <w:p w14:paraId="3E758D05" w14:textId="77777777" w:rsidR="00000000" w:rsidRDefault="00405D16">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EAFD68D"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7AC6C1FA" w14:textId="77777777" w:rsidR="00000000" w:rsidRDefault="00405D16">
            <w:pPr>
              <w:spacing w:after="100"/>
              <w:jc w:val="right"/>
              <w:rPr>
                <w:rFonts w:eastAsia="Times New Roman"/>
              </w:rPr>
            </w:pPr>
            <w:r>
              <w:rPr>
                <w:rFonts w:eastAsia="Times New Roman"/>
                <w:color w:val="000000"/>
                <w:sz w:val="18"/>
                <w:szCs w:val="18"/>
              </w:rPr>
              <w:t>12,346 </w:t>
            </w:r>
          </w:p>
        </w:tc>
        <w:tc>
          <w:tcPr>
            <w:tcW w:w="0" w:type="auto"/>
            <w:shd w:val="clear" w:color="auto" w:fill="FFFFFF"/>
            <w:tcMar>
              <w:top w:w="30" w:type="dxa"/>
              <w:left w:w="0" w:type="dxa"/>
              <w:bottom w:w="30" w:type="dxa"/>
              <w:right w:w="20" w:type="dxa"/>
            </w:tcMar>
            <w:vAlign w:val="center"/>
            <w:hideMark/>
          </w:tcPr>
          <w:p w14:paraId="360C7D18" w14:textId="77777777" w:rsidR="00000000" w:rsidRDefault="00405D16">
            <w:pPr>
              <w:spacing w:after="100"/>
              <w:jc w:val="right"/>
              <w:rPr>
                <w:rFonts w:eastAsia="Times New Roman"/>
              </w:rPr>
            </w:pPr>
          </w:p>
        </w:tc>
      </w:tr>
      <w:tr w:rsidR="00000000" w14:paraId="147B21D2" w14:textId="77777777">
        <w:trPr>
          <w:divId w:val="360521990"/>
        </w:trPr>
        <w:tc>
          <w:tcPr>
            <w:tcW w:w="0" w:type="auto"/>
            <w:gridSpan w:val="3"/>
            <w:shd w:val="clear" w:color="auto" w:fill="CCEEFF"/>
            <w:tcMar>
              <w:top w:w="30" w:type="dxa"/>
              <w:left w:w="20" w:type="dxa"/>
              <w:bottom w:w="30" w:type="dxa"/>
              <w:right w:w="20" w:type="dxa"/>
            </w:tcMar>
            <w:vAlign w:val="center"/>
            <w:hideMark/>
          </w:tcPr>
          <w:p w14:paraId="4D4F80E9" w14:textId="77777777" w:rsidR="00000000" w:rsidRDefault="00405D16">
            <w:pPr>
              <w:spacing w:after="100"/>
              <w:divId w:val="911620546"/>
              <w:rPr>
                <w:rFonts w:eastAsia="Times New Roman"/>
              </w:rPr>
            </w:pPr>
            <w:r>
              <w:rPr>
                <w:rFonts w:eastAsia="Times New Roman"/>
                <w:color w:val="000000"/>
                <w:sz w:val="18"/>
                <w:szCs w:val="18"/>
              </w:rPr>
              <w:t>Charge-offs</w:t>
            </w:r>
          </w:p>
        </w:tc>
        <w:tc>
          <w:tcPr>
            <w:tcW w:w="0" w:type="auto"/>
            <w:gridSpan w:val="3"/>
            <w:shd w:val="clear" w:color="auto" w:fill="CCEEFF"/>
            <w:tcMar>
              <w:top w:w="0" w:type="dxa"/>
              <w:left w:w="20" w:type="dxa"/>
              <w:bottom w:w="0" w:type="dxa"/>
              <w:right w:w="20" w:type="dxa"/>
            </w:tcMar>
            <w:vAlign w:val="center"/>
            <w:hideMark/>
          </w:tcPr>
          <w:p w14:paraId="7E115B8F"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AF272E2" w14:textId="77777777" w:rsidR="00000000" w:rsidRDefault="00405D16">
            <w:pPr>
              <w:spacing w:after="100"/>
              <w:jc w:val="right"/>
              <w:rPr>
                <w:rFonts w:eastAsia="Times New Roman"/>
              </w:rPr>
            </w:pPr>
            <w:r>
              <w:rPr>
                <w:rFonts w:eastAsia="Times New Roman"/>
                <w:b/>
                <w:bCs/>
                <w:color w:val="000000"/>
                <w:sz w:val="18"/>
                <w:szCs w:val="18"/>
              </w:rPr>
              <w:t>(735)</w:t>
            </w:r>
          </w:p>
        </w:tc>
        <w:tc>
          <w:tcPr>
            <w:tcW w:w="0" w:type="auto"/>
            <w:shd w:val="clear" w:color="auto" w:fill="CCEEFF"/>
            <w:tcMar>
              <w:top w:w="30" w:type="dxa"/>
              <w:left w:w="0" w:type="dxa"/>
              <w:bottom w:w="30" w:type="dxa"/>
              <w:right w:w="20" w:type="dxa"/>
            </w:tcMar>
            <w:vAlign w:val="center"/>
            <w:hideMark/>
          </w:tcPr>
          <w:p w14:paraId="422E44B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0EB04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28DED3C" w14:textId="77777777" w:rsidR="00000000" w:rsidRDefault="00405D16">
            <w:pPr>
              <w:spacing w:after="100"/>
              <w:jc w:val="right"/>
              <w:rPr>
                <w:rFonts w:eastAsia="Times New Roman"/>
              </w:rPr>
            </w:pPr>
            <w:r>
              <w:rPr>
                <w:rFonts w:eastAsia="Times New Roman"/>
                <w:b/>
                <w:bCs/>
                <w:color w:val="000000"/>
                <w:sz w:val="18"/>
                <w:szCs w:val="18"/>
              </w:rPr>
              <w:t>(264)</w:t>
            </w:r>
          </w:p>
        </w:tc>
        <w:tc>
          <w:tcPr>
            <w:tcW w:w="0" w:type="auto"/>
            <w:shd w:val="clear" w:color="auto" w:fill="CCEEFF"/>
            <w:tcMar>
              <w:top w:w="30" w:type="dxa"/>
              <w:left w:w="0" w:type="dxa"/>
              <w:bottom w:w="30" w:type="dxa"/>
              <w:right w:w="20" w:type="dxa"/>
            </w:tcMar>
            <w:vAlign w:val="center"/>
            <w:hideMark/>
          </w:tcPr>
          <w:p w14:paraId="59D2F54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18A6D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5C67914" w14:textId="77777777" w:rsidR="00000000" w:rsidRDefault="00405D16">
            <w:pPr>
              <w:spacing w:after="100"/>
              <w:jc w:val="right"/>
              <w:rPr>
                <w:rFonts w:eastAsia="Times New Roman"/>
              </w:rPr>
            </w:pPr>
            <w:r>
              <w:rPr>
                <w:rFonts w:eastAsia="Times New Roman"/>
                <w:b/>
                <w:bCs/>
                <w:color w:val="000000"/>
                <w:sz w:val="18"/>
                <w:szCs w:val="18"/>
              </w:rPr>
              <w:t>(20)</w:t>
            </w:r>
          </w:p>
        </w:tc>
        <w:tc>
          <w:tcPr>
            <w:tcW w:w="0" w:type="auto"/>
            <w:shd w:val="clear" w:color="auto" w:fill="CCEEFF"/>
            <w:tcMar>
              <w:top w:w="30" w:type="dxa"/>
              <w:left w:w="0" w:type="dxa"/>
              <w:bottom w:w="30" w:type="dxa"/>
              <w:right w:w="20" w:type="dxa"/>
            </w:tcMar>
            <w:vAlign w:val="center"/>
            <w:hideMark/>
          </w:tcPr>
          <w:p w14:paraId="2A1FB35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3081A7" w14:textId="77777777" w:rsidR="00000000" w:rsidRDefault="00405D16">
            <w:pPr>
              <w:spacing w:after="100"/>
              <w:jc w:val="right"/>
              <w:rPr>
                <w:rFonts w:eastAsia="Times New Roman"/>
                <w:sz w:val="20"/>
                <w:szCs w:val="20"/>
              </w:rPr>
            </w:pPr>
          </w:p>
        </w:tc>
        <w:tc>
          <w:tcPr>
            <w:tcW w:w="0" w:type="auto"/>
            <w:vAlign w:val="center"/>
            <w:hideMark/>
          </w:tcPr>
          <w:p w14:paraId="68EAA41B" w14:textId="77777777" w:rsidR="00000000" w:rsidRDefault="00405D16">
            <w:pPr>
              <w:spacing w:after="100"/>
              <w:rPr>
                <w:rFonts w:eastAsia="Times New Roman"/>
                <w:sz w:val="20"/>
                <w:szCs w:val="20"/>
              </w:rPr>
            </w:pPr>
          </w:p>
        </w:tc>
        <w:tc>
          <w:tcPr>
            <w:tcW w:w="0" w:type="auto"/>
            <w:gridSpan w:val="3"/>
            <w:vAlign w:val="center"/>
            <w:hideMark/>
          </w:tcPr>
          <w:p w14:paraId="0CA681BE"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ACC1902" w14:textId="77777777" w:rsidR="00000000" w:rsidRDefault="00405D16">
            <w:pPr>
              <w:spacing w:after="100"/>
              <w:jc w:val="right"/>
              <w:rPr>
                <w:rFonts w:eastAsia="Times New Roman"/>
              </w:rPr>
            </w:pPr>
            <w:r>
              <w:rPr>
                <w:rFonts w:eastAsia="Times New Roman"/>
                <w:b/>
                <w:bCs/>
                <w:color w:val="000000"/>
                <w:sz w:val="18"/>
                <w:szCs w:val="18"/>
              </w:rPr>
              <w:t>(1,019)</w:t>
            </w:r>
          </w:p>
        </w:tc>
        <w:tc>
          <w:tcPr>
            <w:tcW w:w="0" w:type="auto"/>
            <w:shd w:val="clear" w:color="auto" w:fill="CCEEFF"/>
            <w:tcMar>
              <w:top w:w="30" w:type="dxa"/>
              <w:left w:w="0" w:type="dxa"/>
              <w:bottom w:w="30" w:type="dxa"/>
              <w:right w:w="20" w:type="dxa"/>
            </w:tcMar>
            <w:vAlign w:val="center"/>
            <w:hideMark/>
          </w:tcPr>
          <w:p w14:paraId="32E84A67" w14:textId="77777777" w:rsidR="00000000" w:rsidRDefault="00405D16">
            <w:pPr>
              <w:spacing w:after="100"/>
              <w:jc w:val="right"/>
              <w:rPr>
                <w:rFonts w:eastAsia="Times New Roman"/>
              </w:rPr>
            </w:pPr>
          </w:p>
        </w:tc>
      </w:tr>
      <w:tr w:rsidR="00000000" w14:paraId="3AA20B37" w14:textId="77777777">
        <w:trPr>
          <w:divId w:val="360521990"/>
        </w:trPr>
        <w:tc>
          <w:tcPr>
            <w:tcW w:w="0" w:type="auto"/>
            <w:gridSpan w:val="3"/>
            <w:shd w:val="clear" w:color="auto" w:fill="FFFFFF"/>
            <w:tcMar>
              <w:top w:w="30" w:type="dxa"/>
              <w:left w:w="20" w:type="dxa"/>
              <w:bottom w:w="30" w:type="dxa"/>
              <w:right w:w="20" w:type="dxa"/>
            </w:tcMar>
            <w:vAlign w:val="center"/>
            <w:hideMark/>
          </w:tcPr>
          <w:p w14:paraId="52CD24F1" w14:textId="77777777" w:rsidR="00000000" w:rsidRDefault="00405D16">
            <w:pPr>
              <w:spacing w:after="100"/>
              <w:divId w:val="1823690594"/>
              <w:rPr>
                <w:rFonts w:eastAsia="Times New Roman"/>
              </w:rPr>
            </w:pPr>
            <w:r>
              <w:rPr>
                <w:rFonts w:eastAsia="Times New Roman"/>
                <w:color w:val="000000"/>
                <w:sz w:val="18"/>
                <w:szCs w:val="18"/>
              </w:rPr>
              <w:t>Recoverie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230F1F79"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6372A58" w14:textId="77777777" w:rsidR="00000000" w:rsidRDefault="00405D16">
            <w:pPr>
              <w:spacing w:after="100"/>
              <w:jc w:val="right"/>
              <w:rPr>
                <w:rFonts w:eastAsia="Times New Roman"/>
              </w:rPr>
            </w:pPr>
            <w:r>
              <w:rPr>
                <w:rFonts w:eastAsia="Times New Roman"/>
                <w:b/>
                <w:bCs/>
                <w:color w:val="000000"/>
                <w:sz w:val="18"/>
                <w:szCs w:val="18"/>
              </w:rPr>
              <w:t>369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D602D1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AE8AE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C134E3B" w14:textId="77777777" w:rsidR="00000000" w:rsidRDefault="00405D16">
            <w:pPr>
              <w:spacing w:after="100"/>
              <w:jc w:val="right"/>
              <w:rPr>
                <w:rFonts w:eastAsia="Times New Roman"/>
              </w:rPr>
            </w:pPr>
            <w:r>
              <w:rPr>
                <w:rFonts w:eastAsia="Times New Roman"/>
                <w:b/>
                <w:bCs/>
                <w:color w:val="000000"/>
                <w:sz w:val="18"/>
                <w:szCs w:val="18"/>
              </w:rPr>
              <w:t>213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BACFB8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398E6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9190001" w14:textId="77777777" w:rsidR="00000000" w:rsidRDefault="00405D16">
            <w:pPr>
              <w:spacing w:after="100"/>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F21E02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A053EB" w14:textId="77777777" w:rsidR="00000000" w:rsidRDefault="00405D16">
            <w:pPr>
              <w:spacing w:after="100"/>
              <w:jc w:val="right"/>
              <w:rPr>
                <w:rFonts w:eastAsia="Times New Roman"/>
                <w:sz w:val="20"/>
                <w:szCs w:val="20"/>
              </w:rPr>
            </w:pPr>
          </w:p>
        </w:tc>
        <w:tc>
          <w:tcPr>
            <w:tcW w:w="0" w:type="auto"/>
            <w:vAlign w:val="center"/>
            <w:hideMark/>
          </w:tcPr>
          <w:p w14:paraId="4EC0107F" w14:textId="77777777" w:rsidR="00000000" w:rsidRDefault="00405D16">
            <w:pPr>
              <w:spacing w:after="100"/>
              <w:rPr>
                <w:rFonts w:eastAsia="Times New Roman"/>
                <w:sz w:val="20"/>
                <w:szCs w:val="20"/>
              </w:rPr>
            </w:pPr>
          </w:p>
        </w:tc>
        <w:tc>
          <w:tcPr>
            <w:tcW w:w="0" w:type="auto"/>
            <w:gridSpan w:val="3"/>
            <w:vAlign w:val="center"/>
            <w:hideMark/>
          </w:tcPr>
          <w:p w14:paraId="3945C5D5"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4C35339" w14:textId="77777777" w:rsidR="00000000" w:rsidRDefault="00405D16">
            <w:pPr>
              <w:spacing w:after="100"/>
              <w:jc w:val="right"/>
              <w:rPr>
                <w:rFonts w:eastAsia="Times New Roman"/>
              </w:rPr>
            </w:pPr>
            <w:r>
              <w:rPr>
                <w:rFonts w:eastAsia="Times New Roman"/>
                <w:b/>
                <w:bCs/>
                <w:color w:val="000000"/>
                <w:sz w:val="18"/>
                <w:szCs w:val="18"/>
              </w:rPr>
              <w:t>593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45C7931" w14:textId="77777777" w:rsidR="00000000" w:rsidRDefault="00405D16">
            <w:pPr>
              <w:spacing w:after="100"/>
              <w:jc w:val="right"/>
              <w:rPr>
                <w:rFonts w:eastAsia="Times New Roman"/>
              </w:rPr>
            </w:pPr>
          </w:p>
        </w:tc>
      </w:tr>
      <w:tr w:rsidR="00000000" w14:paraId="3D78A5F1" w14:textId="77777777">
        <w:trPr>
          <w:divId w:val="360521990"/>
        </w:trPr>
        <w:tc>
          <w:tcPr>
            <w:tcW w:w="0" w:type="auto"/>
            <w:gridSpan w:val="3"/>
            <w:shd w:val="clear" w:color="auto" w:fill="CCEEFF"/>
            <w:tcMar>
              <w:top w:w="30" w:type="dxa"/>
              <w:left w:w="20" w:type="dxa"/>
              <w:bottom w:w="30" w:type="dxa"/>
              <w:right w:w="20" w:type="dxa"/>
            </w:tcMar>
            <w:vAlign w:val="center"/>
            <w:hideMark/>
          </w:tcPr>
          <w:p w14:paraId="75952295" w14:textId="77777777" w:rsidR="00000000" w:rsidRDefault="00405D16">
            <w:pPr>
              <w:spacing w:after="100"/>
              <w:rPr>
                <w:rFonts w:eastAsia="Times New Roman"/>
              </w:rPr>
            </w:pPr>
            <w:r>
              <w:rPr>
                <w:rFonts w:eastAsia="Times New Roman"/>
                <w:color w:val="000000"/>
                <w:sz w:val="18"/>
                <w:szCs w:val="18"/>
              </w:rPr>
              <w:t>Net charge-offs</w:t>
            </w:r>
          </w:p>
        </w:tc>
        <w:tc>
          <w:tcPr>
            <w:tcW w:w="0" w:type="auto"/>
            <w:gridSpan w:val="3"/>
            <w:shd w:val="clear" w:color="auto" w:fill="CCEEFF"/>
            <w:tcMar>
              <w:top w:w="0" w:type="dxa"/>
              <w:left w:w="20" w:type="dxa"/>
              <w:bottom w:w="0" w:type="dxa"/>
              <w:right w:w="20" w:type="dxa"/>
            </w:tcMar>
            <w:vAlign w:val="center"/>
            <w:hideMark/>
          </w:tcPr>
          <w:p w14:paraId="755C93A7"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B9972AA" w14:textId="77777777" w:rsidR="00000000" w:rsidRDefault="00405D16">
            <w:pPr>
              <w:spacing w:after="100"/>
              <w:jc w:val="right"/>
              <w:rPr>
                <w:rFonts w:eastAsia="Times New Roman"/>
              </w:rPr>
            </w:pPr>
            <w:r>
              <w:rPr>
                <w:rFonts w:eastAsia="Times New Roman"/>
                <w:b/>
                <w:bCs/>
                <w:color w:val="000000"/>
                <w:sz w:val="18"/>
                <w:szCs w:val="18"/>
              </w:rPr>
              <w:t>(366)</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8D0CD7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67CCE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22CEFB1" w14:textId="77777777" w:rsidR="00000000" w:rsidRDefault="00405D16">
            <w:pPr>
              <w:spacing w:after="100"/>
              <w:jc w:val="right"/>
              <w:rPr>
                <w:rFonts w:eastAsia="Times New Roman"/>
              </w:rPr>
            </w:pPr>
            <w:r>
              <w:rPr>
                <w:rFonts w:eastAsia="Times New Roman"/>
                <w:b/>
                <w:bCs/>
                <w:color w:val="000000"/>
                <w:sz w:val="18"/>
                <w:szCs w:val="18"/>
              </w:rPr>
              <w:t>(51)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0F44C7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265209"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426172F" w14:textId="77777777" w:rsidR="00000000" w:rsidRDefault="00405D16">
            <w:pPr>
              <w:spacing w:after="100"/>
              <w:jc w:val="right"/>
              <w:rPr>
                <w:rFonts w:eastAsia="Times New Roman"/>
              </w:rPr>
            </w:pPr>
            <w:r>
              <w:rPr>
                <w:rFonts w:eastAsia="Times New Roman"/>
                <w:b/>
                <w:bCs/>
                <w:color w:val="000000"/>
                <w:sz w:val="18"/>
                <w:szCs w:val="18"/>
              </w:rPr>
              <w:t>(9)</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4543FD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21E5CF" w14:textId="77777777" w:rsidR="00000000" w:rsidRDefault="00405D16">
            <w:pPr>
              <w:spacing w:after="100"/>
              <w:jc w:val="right"/>
              <w:rPr>
                <w:rFonts w:eastAsia="Times New Roman"/>
                <w:sz w:val="20"/>
                <w:szCs w:val="20"/>
              </w:rPr>
            </w:pPr>
          </w:p>
        </w:tc>
        <w:tc>
          <w:tcPr>
            <w:tcW w:w="0" w:type="auto"/>
            <w:vAlign w:val="center"/>
            <w:hideMark/>
          </w:tcPr>
          <w:p w14:paraId="427A13B6" w14:textId="77777777" w:rsidR="00000000" w:rsidRDefault="00405D16">
            <w:pPr>
              <w:spacing w:after="100"/>
              <w:rPr>
                <w:rFonts w:eastAsia="Times New Roman"/>
                <w:sz w:val="20"/>
                <w:szCs w:val="20"/>
              </w:rPr>
            </w:pPr>
          </w:p>
        </w:tc>
        <w:tc>
          <w:tcPr>
            <w:tcW w:w="0" w:type="auto"/>
            <w:gridSpan w:val="3"/>
            <w:vAlign w:val="center"/>
            <w:hideMark/>
          </w:tcPr>
          <w:p w14:paraId="6052FAF7" w14:textId="77777777" w:rsidR="00000000" w:rsidRDefault="00405D16">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A72CB5E" w14:textId="77777777" w:rsidR="00000000" w:rsidRDefault="00405D16">
            <w:pPr>
              <w:spacing w:after="100"/>
              <w:jc w:val="right"/>
              <w:rPr>
                <w:rFonts w:eastAsia="Times New Roman"/>
              </w:rPr>
            </w:pPr>
            <w:r>
              <w:rPr>
                <w:rFonts w:eastAsia="Times New Roman"/>
                <w:b/>
                <w:bCs/>
                <w:color w:val="000000"/>
                <w:sz w:val="18"/>
                <w:szCs w:val="18"/>
              </w:rPr>
              <w:t>(426)</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0F0B5BB" w14:textId="77777777" w:rsidR="00000000" w:rsidRDefault="00405D16">
            <w:pPr>
              <w:spacing w:after="100"/>
              <w:jc w:val="right"/>
              <w:rPr>
                <w:rFonts w:eastAsia="Times New Roman"/>
              </w:rPr>
            </w:pPr>
          </w:p>
        </w:tc>
      </w:tr>
      <w:tr w:rsidR="00000000" w14:paraId="06A09049" w14:textId="77777777">
        <w:trPr>
          <w:divId w:val="360521990"/>
        </w:trPr>
        <w:tc>
          <w:tcPr>
            <w:tcW w:w="0" w:type="auto"/>
            <w:gridSpan w:val="3"/>
            <w:shd w:val="clear" w:color="auto" w:fill="FFFFFF"/>
            <w:tcMar>
              <w:top w:w="30" w:type="dxa"/>
              <w:left w:w="20" w:type="dxa"/>
              <w:bottom w:w="30" w:type="dxa"/>
              <w:right w:w="20" w:type="dxa"/>
            </w:tcMar>
            <w:vAlign w:val="center"/>
            <w:hideMark/>
          </w:tcPr>
          <w:p w14:paraId="5882F4AD" w14:textId="77777777" w:rsidR="00000000" w:rsidRDefault="00405D16">
            <w:pPr>
              <w:spacing w:after="100"/>
              <w:rPr>
                <w:rFonts w:eastAsia="Times New Roman"/>
              </w:rPr>
            </w:pPr>
            <w:r>
              <w:rPr>
                <w:rFonts w:eastAsia="Times New Roman"/>
                <w:color w:val="000000"/>
                <w:sz w:val="18"/>
                <w:szCs w:val="18"/>
              </w:rPr>
              <w:t>Provision (benefit) for credit losses</w:t>
            </w:r>
          </w:p>
        </w:tc>
        <w:tc>
          <w:tcPr>
            <w:tcW w:w="0" w:type="auto"/>
            <w:gridSpan w:val="3"/>
            <w:shd w:val="clear" w:color="auto" w:fill="FFFFFF"/>
            <w:tcMar>
              <w:top w:w="0" w:type="dxa"/>
              <w:left w:w="20" w:type="dxa"/>
              <w:bottom w:w="0" w:type="dxa"/>
              <w:right w:w="20" w:type="dxa"/>
            </w:tcMar>
            <w:vAlign w:val="center"/>
            <w:hideMark/>
          </w:tcPr>
          <w:p w14:paraId="32F180CB"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5E6AD75" w14:textId="77777777" w:rsidR="00000000" w:rsidRDefault="00405D16">
            <w:pPr>
              <w:spacing w:after="100"/>
              <w:jc w:val="right"/>
              <w:rPr>
                <w:rFonts w:eastAsia="Times New Roman"/>
              </w:rPr>
            </w:pPr>
            <w:r>
              <w:rPr>
                <w:rFonts w:eastAsia="Times New Roman"/>
                <w:b/>
                <w:bCs/>
                <w:color w:val="000000"/>
                <w:sz w:val="18"/>
                <w:szCs w:val="18"/>
              </w:rPr>
              <w:t>(198)</w:t>
            </w:r>
          </w:p>
        </w:tc>
        <w:tc>
          <w:tcPr>
            <w:tcW w:w="0" w:type="auto"/>
            <w:shd w:val="clear" w:color="auto" w:fill="FFFFFF"/>
            <w:tcMar>
              <w:top w:w="30" w:type="dxa"/>
              <w:left w:w="0" w:type="dxa"/>
              <w:bottom w:w="30" w:type="dxa"/>
              <w:right w:w="20" w:type="dxa"/>
            </w:tcMar>
            <w:vAlign w:val="center"/>
            <w:hideMark/>
          </w:tcPr>
          <w:p w14:paraId="2D9946C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3E3CD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AB1663E" w14:textId="77777777" w:rsidR="00000000" w:rsidRDefault="00405D16">
            <w:pPr>
              <w:spacing w:after="100"/>
              <w:jc w:val="right"/>
              <w:rPr>
                <w:rFonts w:eastAsia="Times New Roman"/>
              </w:rPr>
            </w:pPr>
            <w:r>
              <w:rPr>
                <w:rFonts w:eastAsia="Times New Roman"/>
                <w:b/>
                <w:bCs/>
                <w:color w:val="000000"/>
                <w:sz w:val="18"/>
                <w:szCs w:val="18"/>
              </w:rPr>
              <w:t>(91)</w:t>
            </w:r>
          </w:p>
        </w:tc>
        <w:tc>
          <w:tcPr>
            <w:tcW w:w="0" w:type="auto"/>
            <w:shd w:val="clear" w:color="auto" w:fill="FFFFFF"/>
            <w:tcMar>
              <w:top w:w="30" w:type="dxa"/>
              <w:left w:w="0" w:type="dxa"/>
              <w:bottom w:w="30" w:type="dxa"/>
              <w:right w:w="20" w:type="dxa"/>
            </w:tcMar>
            <w:vAlign w:val="center"/>
            <w:hideMark/>
          </w:tcPr>
          <w:p w14:paraId="72AC137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74A0B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B475616" w14:textId="77777777" w:rsidR="00000000" w:rsidRDefault="00405D16">
            <w:pPr>
              <w:spacing w:after="100"/>
              <w:jc w:val="right"/>
              <w:rPr>
                <w:rFonts w:eastAsia="Times New Roman"/>
              </w:rPr>
            </w:pPr>
            <w:r>
              <w:rPr>
                <w:rFonts w:eastAsia="Times New Roman"/>
                <w:b/>
                <w:bCs/>
                <w:color w:val="000000"/>
                <w:sz w:val="18"/>
                <w:szCs w:val="18"/>
              </w:rPr>
              <w:t>(55)</w:t>
            </w:r>
          </w:p>
        </w:tc>
        <w:tc>
          <w:tcPr>
            <w:tcW w:w="0" w:type="auto"/>
            <w:shd w:val="clear" w:color="auto" w:fill="FFFFFF"/>
            <w:tcMar>
              <w:top w:w="30" w:type="dxa"/>
              <w:left w:w="0" w:type="dxa"/>
              <w:bottom w:w="30" w:type="dxa"/>
              <w:right w:w="20" w:type="dxa"/>
            </w:tcMar>
            <w:vAlign w:val="center"/>
            <w:hideMark/>
          </w:tcPr>
          <w:p w14:paraId="2ABE8B9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FF0F87" w14:textId="77777777" w:rsidR="00000000" w:rsidRDefault="00405D16">
            <w:pPr>
              <w:spacing w:after="100"/>
              <w:jc w:val="right"/>
              <w:rPr>
                <w:rFonts w:eastAsia="Times New Roman"/>
                <w:sz w:val="20"/>
                <w:szCs w:val="20"/>
              </w:rPr>
            </w:pPr>
          </w:p>
        </w:tc>
        <w:tc>
          <w:tcPr>
            <w:tcW w:w="0" w:type="auto"/>
            <w:vAlign w:val="center"/>
            <w:hideMark/>
          </w:tcPr>
          <w:p w14:paraId="560393CB" w14:textId="77777777" w:rsidR="00000000" w:rsidRDefault="00405D16">
            <w:pPr>
              <w:spacing w:after="100"/>
              <w:rPr>
                <w:rFonts w:eastAsia="Times New Roman"/>
                <w:sz w:val="20"/>
                <w:szCs w:val="20"/>
              </w:rPr>
            </w:pPr>
          </w:p>
        </w:tc>
        <w:tc>
          <w:tcPr>
            <w:tcW w:w="0" w:type="auto"/>
            <w:gridSpan w:val="3"/>
            <w:vAlign w:val="center"/>
            <w:hideMark/>
          </w:tcPr>
          <w:p w14:paraId="6249C65C"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34B9BAD" w14:textId="77777777" w:rsidR="00000000" w:rsidRDefault="00405D16">
            <w:pPr>
              <w:spacing w:after="100"/>
              <w:jc w:val="right"/>
              <w:rPr>
                <w:rFonts w:eastAsia="Times New Roman"/>
              </w:rPr>
            </w:pPr>
            <w:r>
              <w:rPr>
                <w:rFonts w:eastAsia="Times New Roman"/>
                <w:b/>
                <w:bCs/>
                <w:color w:val="000000"/>
                <w:sz w:val="18"/>
                <w:szCs w:val="18"/>
              </w:rPr>
              <w:t>(344)</w:t>
            </w:r>
          </w:p>
        </w:tc>
        <w:tc>
          <w:tcPr>
            <w:tcW w:w="0" w:type="auto"/>
            <w:shd w:val="clear" w:color="auto" w:fill="FFFFFF"/>
            <w:tcMar>
              <w:top w:w="30" w:type="dxa"/>
              <w:left w:w="0" w:type="dxa"/>
              <w:bottom w:w="30" w:type="dxa"/>
              <w:right w:w="20" w:type="dxa"/>
            </w:tcMar>
            <w:vAlign w:val="center"/>
            <w:hideMark/>
          </w:tcPr>
          <w:p w14:paraId="46A01709" w14:textId="77777777" w:rsidR="00000000" w:rsidRDefault="00405D16">
            <w:pPr>
              <w:spacing w:after="100"/>
              <w:jc w:val="right"/>
              <w:rPr>
                <w:rFonts w:eastAsia="Times New Roman"/>
              </w:rPr>
            </w:pPr>
          </w:p>
        </w:tc>
      </w:tr>
      <w:tr w:rsidR="00000000" w14:paraId="35888CB6" w14:textId="77777777">
        <w:trPr>
          <w:divId w:val="360521990"/>
        </w:trPr>
        <w:tc>
          <w:tcPr>
            <w:tcW w:w="0" w:type="auto"/>
            <w:gridSpan w:val="3"/>
            <w:shd w:val="clear" w:color="auto" w:fill="CCEEFF"/>
            <w:tcMar>
              <w:top w:w="30" w:type="dxa"/>
              <w:left w:w="20" w:type="dxa"/>
              <w:bottom w:w="30" w:type="dxa"/>
              <w:right w:w="20" w:type="dxa"/>
            </w:tcMar>
            <w:vAlign w:val="center"/>
            <w:hideMark/>
          </w:tcPr>
          <w:p w14:paraId="58CBF618" w14:textId="77777777" w:rsidR="00000000" w:rsidRDefault="00405D16">
            <w:pPr>
              <w:spacing w:after="100"/>
              <w:rPr>
                <w:rFonts w:eastAsia="Times New Roman"/>
              </w:rPr>
            </w:pPr>
            <w:r>
              <w:rPr>
                <w:rFonts w:eastAsia="Times New Roman"/>
                <w:color w:val="000000"/>
                <w:sz w:val="18"/>
                <w:szCs w:val="18"/>
              </w:rPr>
              <w:t>Allowance build (release) for credit losses</w:t>
            </w:r>
          </w:p>
        </w:tc>
        <w:tc>
          <w:tcPr>
            <w:tcW w:w="0" w:type="auto"/>
            <w:gridSpan w:val="3"/>
            <w:shd w:val="clear" w:color="auto" w:fill="CCEEFF"/>
            <w:tcMar>
              <w:top w:w="0" w:type="dxa"/>
              <w:left w:w="20" w:type="dxa"/>
              <w:bottom w:w="0" w:type="dxa"/>
              <w:right w:w="20" w:type="dxa"/>
            </w:tcMar>
            <w:vAlign w:val="center"/>
            <w:hideMark/>
          </w:tcPr>
          <w:p w14:paraId="23ACCBB1"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70EF807" w14:textId="77777777" w:rsidR="00000000" w:rsidRDefault="00405D16">
            <w:pPr>
              <w:spacing w:after="100"/>
              <w:jc w:val="right"/>
              <w:rPr>
                <w:rFonts w:eastAsia="Times New Roman"/>
              </w:rPr>
            </w:pPr>
            <w:r>
              <w:rPr>
                <w:rFonts w:eastAsia="Times New Roman"/>
                <w:b/>
                <w:bCs/>
                <w:color w:val="000000"/>
                <w:sz w:val="18"/>
                <w:szCs w:val="18"/>
              </w:rPr>
              <w:t>(564)</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44DFD4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F9A936"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ADD6D75" w14:textId="77777777" w:rsidR="00000000" w:rsidRDefault="00405D16">
            <w:pPr>
              <w:spacing w:after="100"/>
              <w:jc w:val="right"/>
              <w:rPr>
                <w:rFonts w:eastAsia="Times New Roman"/>
              </w:rPr>
            </w:pPr>
            <w:r>
              <w:rPr>
                <w:rFonts w:eastAsia="Times New Roman"/>
                <w:b/>
                <w:bCs/>
                <w:color w:val="000000"/>
                <w:sz w:val="18"/>
                <w:szCs w:val="18"/>
              </w:rPr>
              <w:t>(142)</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BBD107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2DCC2C"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AFE8223" w14:textId="77777777" w:rsidR="00000000" w:rsidRDefault="00405D16">
            <w:pPr>
              <w:spacing w:after="100"/>
              <w:jc w:val="right"/>
              <w:rPr>
                <w:rFonts w:eastAsia="Times New Roman"/>
              </w:rPr>
            </w:pPr>
            <w:r>
              <w:rPr>
                <w:rFonts w:eastAsia="Times New Roman"/>
                <w:b/>
                <w:bCs/>
                <w:color w:val="000000"/>
                <w:sz w:val="18"/>
                <w:szCs w:val="18"/>
              </w:rPr>
              <w:t>(64)</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0D33D8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EB2799" w14:textId="77777777" w:rsidR="00000000" w:rsidRDefault="00405D16">
            <w:pPr>
              <w:spacing w:after="100"/>
              <w:jc w:val="right"/>
              <w:rPr>
                <w:rFonts w:eastAsia="Times New Roman"/>
                <w:sz w:val="20"/>
                <w:szCs w:val="20"/>
              </w:rPr>
            </w:pPr>
          </w:p>
        </w:tc>
        <w:tc>
          <w:tcPr>
            <w:tcW w:w="0" w:type="auto"/>
            <w:vAlign w:val="center"/>
            <w:hideMark/>
          </w:tcPr>
          <w:p w14:paraId="225AF918" w14:textId="77777777" w:rsidR="00000000" w:rsidRDefault="00405D16">
            <w:pPr>
              <w:spacing w:after="100"/>
              <w:rPr>
                <w:rFonts w:eastAsia="Times New Roman"/>
                <w:sz w:val="20"/>
                <w:szCs w:val="20"/>
              </w:rPr>
            </w:pPr>
          </w:p>
        </w:tc>
        <w:tc>
          <w:tcPr>
            <w:tcW w:w="0" w:type="auto"/>
            <w:gridSpan w:val="3"/>
            <w:vAlign w:val="center"/>
            <w:hideMark/>
          </w:tcPr>
          <w:p w14:paraId="1712BF66" w14:textId="77777777" w:rsidR="00000000" w:rsidRDefault="00405D16">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5456FF1" w14:textId="77777777" w:rsidR="00000000" w:rsidRDefault="00405D16">
            <w:pPr>
              <w:spacing w:after="100"/>
              <w:jc w:val="right"/>
              <w:rPr>
                <w:rFonts w:eastAsia="Times New Roman"/>
              </w:rPr>
            </w:pPr>
            <w:r>
              <w:rPr>
                <w:rFonts w:eastAsia="Times New Roman"/>
                <w:b/>
                <w:bCs/>
                <w:color w:val="000000"/>
                <w:sz w:val="18"/>
                <w:szCs w:val="18"/>
              </w:rPr>
              <w:t>(770)</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3E439C2" w14:textId="77777777" w:rsidR="00000000" w:rsidRDefault="00405D16">
            <w:pPr>
              <w:spacing w:after="100"/>
              <w:jc w:val="right"/>
              <w:rPr>
                <w:rFonts w:eastAsia="Times New Roman"/>
              </w:rPr>
            </w:pPr>
          </w:p>
        </w:tc>
      </w:tr>
      <w:tr w:rsidR="00000000" w14:paraId="45DFF5BB" w14:textId="77777777">
        <w:trPr>
          <w:divId w:val="360521990"/>
        </w:trPr>
        <w:tc>
          <w:tcPr>
            <w:tcW w:w="0" w:type="auto"/>
            <w:gridSpan w:val="3"/>
            <w:shd w:val="clear" w:color="auto" w:fill="FFFFFF"/>
            <w:tcMar>
              <w:top w:w="30" w:type="dxa"/>
              <w:left w:w="20" w:type="dxa"/>
              <w:bottom w:w="30" w:type="dxa"/>
              <w:right w:w="20" w:type="dxa"/>
            </w:tcMar>
            <w:vAlign w:val="center"/>
            <w:hideMark/>
          </w:tcPr>
          <w:p w14:paraId="528AF5A9" w14:textId="77777777" w:rsidR="00000000" w:rsidRDefault="00405D16">
            <w:pPr>
              <w:spacing w:after="100"/>
              <w:divId w:val="4141557"/>
              <w:rPr>
                <w:rFonts w:eastAsia="Times New Roman"/>
              </w:rPr>
            </w:pPr>
            <w:r>
              <w:rPr>
                <w:rFonts w:eastAsia="Times New Roman"/>
                <w:color w:val="000000"/>
                <w:sz w:val="18"/>
                <w:szCs w:val="18"/>
              </w:rPr>
              <w:t>Other change</w:t>
            </w:r>
            <w:r>
              <w:rPr>
                <w:rFonts w:eastAsia="Times New Roman"/>
                <w:color w:val="000000"/>
                <w:sz w:val="18"/>
                <w:szCs w:val="18"/>
              </w:rPr>
              <w:t>s</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37FF428A"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6A8826C" w14:textId="77777777" w:rsidR="00000000" w:rsidRDefault="00405D16">
            <w:pPr>
              <w:spacing w:after="100"/>
              <w:jc w:val="right"/>
              <w:rPr>
                <w:rFonts w:eastAsia="Times New Roman"/>
              </w:rPr>
            </w:pPr>
            <w:r>
              <w:rPr>
                <w:rFonts w:eastAsia="Times New Roman"/>
                <w:b/>
                <w:bCs/>
                <w:color w:val="000000"/>
                <w:sz w:val="18"/>
                <w:szCs w:val="18"/>
              </w:rPr>
              <w:t>(3)</w:t>
            </w:r>
          </w:p>
        </w:tc>
        <w:tc>
          <w:tcPr>
            <w:tcW w:w="0" w:type="auto"/>
            <w:shd w:val="clear" w:color="auto" w:fill="FFFFFF"/>
            <w:tcMar>
              <w:top w:w="30" w:type="dxa"/>
              <w:left w:w="0" w:type="dxa"/>
              <w:bottom w:w="30" w:type="dxa"/>
              <w:right w:w="20" w:type="dxa"/>
            </w:tcMar>
            <w:vAlign w:val="center"/>
            <w:hideMark/>
          </w:tcPr>
          <w:p w14:paraId="19A03E5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84E9B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D072EAF"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796A63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72B5F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0BB8A7D"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5BCBB6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6CFCD0" w14:textId="77777777" w:rsidR="00000000" w:rsidRDefault="00405D16">
            <w:pPr>
              <w:spacing w:after="100"/>
              <w:jc w:val="right"/>
              <w:rPr>
                <w:rFonts w:eastAsia="Times New Roman"/>
                <w:sz w:val="20"/>
                <w:szCs w:val="20"/>
              </w:rPr>
            </w:pPr>
          </w:p>
        </w:tc>
        <w:tc>
          <w:tcPr>
            <w:tcW w:w="0" w:type="auto"/>
            <w:vAlign w:val="center"/>
            <w:hideMark/>
          </w:tcPr>
          <w:p w14:paraId="642B6E1C" w14:textId="77777777" w:rsidR="00000000" w:rsidRDefault="00405D16">
            <w:pPr>
              <w:spacing w:after="100"/>
              <w:rPr>
                <w:rFonts w:eastAsia="Times New Roman"/>
                <w:sz w:val="20"/>
                <w:szCs w:val="20"/>
              </w:rPr>
            </w:pPr>
          </w:p>
        </w:tc>
        <w:tc>
          <w:tcPr>
            <w:tcW w:w="0" w:type="auto"/>
            <w:gridSpan w:val="3"/>
            <w:vAlign w:val="center"/>
            <w:hideMark/>
          </w:tcPr>
          <w:p w14:paraId="712C0B00"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1AEEF3E" w14:textId="77777777" w:rsidR="00000000" w:rsidRDefault="00405D16">
            <w:pPr>
              <w:spacing w:after="100"/>
              <w:jc w:val="right"/>
              <w:rPr>
                <w:rFonts w:eastAsia="Times New Roman"/>
              </w:rPr>
            </w:pPr>
            <w:r>
              <w:rPr>
                <w:rFonts w:eastAsia="Times New Roman"/>
                <w:b/>
                <w:bCs/>
                <w:color w:val="000000"/>
                <w:sz w:val="18"/>
                <w:szCs w:val="18"/>
              </w:rPr>
              <w:t>(3)</w:t>
            </w:r>
          </w:p>
        </w:tc>
        <w:tc>
          <w:tcPr>
            <w:tcW w:w="0" w:type="auto"/>
            <w:shd w:val="clear" w:color="auto" w:fill="FFFFFF"/>
            <w:tcMar>
              <w:top w:w="30" w:type="dxa"/>
              <w:left w:w="0" w:type="dxa"/>
              <w:bottom w:w="30" w:type="dxa"/>
              <w:right w:w="20" w:type="dxa"/>
            </w:tcMar>
            <w:vAlign w:val="center"/>
            <w:hideMark/>
          </w:tcPr>
          <w:p w14:paraId="6F1CFB42" w14:textId="77777777" w:rsidR="00000000" w:rsidRDefault="00405D16">
            <w:pPr>
              <w:spacing w:after="100"/>
              <w:jc w:val="right"/>
              <w:rPr>
                <w:rFonts w:eastAsia="Times New Roman"/>
              </w:rPr>
            </w:pPr>
          </w:p>
        </w:tc>
      </w:tr>
      <w:tr w:rsidR="00000000" w14:paraId="6B1C8047" w14:textId="77777777">
        <w:trPr>
          <w:divId w:val="360521990"/>
        </w:trPr>
        <w:tc>
          <w:tcPr>
            <w:tcW w:w="0" w:type="auto"/>
            <w:gridSpan w:val="3"/>
            <w:shd w:val="clear" w:color="auto" w:fill="CCEEFF"/>
            <w:tcMar>
              <w:top w:w="30" w:type="dxa"/>
              <w:left w:w="20" w:type="dxa"/>
              <w:bottom w:w="30" w:type="dxa"/>
              <w:right w:w="20" w:type="dxa"/>
            </w:tcMar>
            <w:vAlign w:val="center"/>
            <w:hideMark/>
          </w:tcPr>
          <w:p w14:paraId="3BE2F05C" w14:textId="77777777" w:rsidR="00000000" w:rsidRDefault="00405D16">
            <w:pPr>
              <w:spacing w:after="100"/>
              <w:rPr>
                <w:rFonts w:eastAsia="Times New Roman"/>
              </w:rPr>
            </w:pPr>
            <w:r>
              <w:rPr>
                <w:rFonts w:eastAsia="Times New Roman"/>
                <w:color w:val="000000"/>
                <w:sz w:val="18"/>
                <w:szCs w:val="18"/>
              </w:rPr>
              <w:t>Balance as of September 30, 2021</w:t>
            </w:r>
          </w:p>
        </w:tc>
        <w:tc>
          <w:tcPr>
            <w:tcW w:w="0" w:type="auto"/>
            <w:gridSpan w:val="3"/>
            <w:shd w:val="clear" w:color="auto" w:fill="CCEEFF"/>
            <w:tcMar>
              <w:top w:w="0" w:type="dxa"/>
              <w:left w:w="20" w:type="dxa"/>
              <w:bottom w:w="0" w:type="dxa"/>
              <w:right w:w="20" w:type="dxa"/>
            </w:tcMar>
            <w:vAlign w:val="center"/>
            <w:hideMark/>
          </w:tcPr>
          <w:p w14:paraId="0C2BC2B5"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5D93F99" w14:textId="77777777" w:rsidR="00000000" w:rsidRDefault="00405D16">
            <w:pPr>
              <w:spacing w:after="100"/>
              <w:jc w:val="right"/>
              <w:rPr>
                <w:rFonts w:eastAsia="Times New Roman"/>
              </w:rPr>
            </w:pPr>
            <w:r>
              <w:rPr>
                <w:rFonts w:eastAsia="Times New Roman"/>
                <w:b/>
                <w:bCs/>
                <w:color w:val="000000"/>
                <w:sz w:val="18"/>
                <w:szCs w:val="18"/>
              </w:rPr>
              <w:t>8,306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A6979A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6C7719"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B21D0EC" w14:textId="77777777" w:rsidR="00000000" w:rsidRDefault="00405D16">
            <w:pPr>
              <w:spacing w:after="100"/>
              <w:jc w:val="right"/>
              <w:rPr>
                <w:rFonts w:eastAsia="Times New Roman"/>
              </w:rPr>
            </w:pPr>
            <w:r>
              <w:rPr>
                <w:rFonts w:eastAsia="Times New Roman"/>
                <w:b/>
                <w:bCs/>
                <w:color w:val="000000"/>
                <w:sz w:val="18"/>
                <w:szCs w:val="18"/>
              </w:rPr>
              <w:t>2,061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B58DB9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ECA18B"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2FE372C" w14:textId="77777777" w:rsidR="00000000" w:rsidRDefault="00405D16">
            <w:pPr>
              <w:spacing w:after="100"/>
              <w:jc w:val="right"/>
              <w:rPr>
                <w:rFonts w:eastAsia="Times New Roman"/>
              </w:rPr>
            </w:pPr>
            <w:r>
              <w:rPr>
                <w:rFonts w:eastAsia="Times New Roman"/>
                <w:b/>
                <w:bCs/>
                <w:color w:val="000000"/>
                <w:sz w:val="18"/>
                <w:szCs w:val="18"/>
              </w:rPr>
              <w:t>1,206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D977F7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026C1F" w14:textId="77777777" w:rsidR="00000000" w:rsidRDefault="00405D16">
            <w:pPr>
              <w:spacing w:after="100"/>
              <w:jc w:val="right"/>
              <w:rPr>
                <w:rFonts w:eastAsia="Times New Roman"/>
                <w:sz w:val="20"/>
                <w:szCs w:val="20"/>
              </w:rPr>
            </w:pPr>
          </w:p>
        </w:tc>
        <w:tc>
          <w:tcPr>
            <w:tcW w:w="0" w:type="auto"/>
            <w:vAlign w:val="center"/>
            <w:hideMark/>
          </w:tcPr>
          <w:p w14:paraId="6FFAC450" w14:textId="77777777" w:rsidR="00000000" w:rsidRDefault="00405D16">
            <w:pPr>
              <w:spacing w:after="100"/>
              <w:rPr>
                <w:rFonts w:eastAsia="Times New Roman"/>
                <w:sz w:val="20"/>
                <w:szCs w:val="20"/>
              </w:rPr>
            </w:pPr>
          </w:p>
        </w:tc>
        <w:tc>
          <w:tcPr>
            <w:tcW w:w="0" w:type="auto"/>
            <w:gridSpan w:val="3"/>
            <w:vAlign w:val="center"/>
            <w:hideMark/>
          </w:tcPr>
          <w:p w14:paraId="024A3637" w14:textId="77777777" w:rsidR="00000000" w:rsidRDefault="00405D16">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40E86E9" w14:textId="77777777" w:rsidR="00000000" w:rsidRDefault="00405D16">
            <w:pPr>
              <w:spacing w:after="100"/>
              <w:jc w:val="right"/>
              <w:rPr>
                <w:rFonts w:eastAsia="Times New Roman"/>
              </w:rPr>
            </w:pPr>
            <w:r>
              <w:rPr>
                <w:rFonts w:eastAsia="Times New Roman"/>
                <w:b/>
                <w:bCs/>
                <w:color w:val="000000"/>
                <w:sz w:val="18"/>
                <w:szCs w:val="18"/>
              </w:rPr>
              <w:t>11,573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C5A9BEB" w14:textId="77777777" w:rsidR="00000000" w:rsidRDefault="00405D16">
            <w:pPr>
              <w:spacing w:after="100"/>
              <w:jc w:val="right"/>
              <w:rPr>
                <w:rFonts w:eastAsia="Times New Roman"/>
              </w:rPr>
            </w:pPr>
          </w:p>
        </w:tc>
      </w:tr>
      <w:tr w:rsidR="00000000" w14:paraId="3A3200F0" w14:textId="77777777">
        <w:trPr>
          <w:divId w:val="360521990"/>
        </w:trPr>
        <w:tc>
          <w:tcPr>
            <w:tcW w:w="0" w:type="auto"/>
            <w:gridSpan w:val="3"/>
            <w:shd w:val="clear" w:color="auto" w:fill="FFFFFF"/>
            <w:tcMar>
              <w:top w:w="30" w:type="dxa"/>
              <w:left w:w="20" w:type="dxa"/>
              <w:bottom w:w="30" w:type="dxa"/>
              <w:right w:w="20" w:type="dxa"/>
            </w:tcMar>
            <w:vAlign w:val="center"/>
            <w:hideMark/>
          </w:tcPr>
          <w:p w14:paraId="3F721203" w14:textId="77777777" w:rsidR="00000000" w:rsidRDefault="00405D16">
            <w:pPr>
              <w:spacing w:after="100"/>
              <w:rPr>
                <w:rFonts w:eastAsia="Times New Roman"/>
              </w:rPr>
            </w:pPr>
            <w:r>
              <w:rPr>
                <w:rFonts w:eastAsia="Times New Roman"/>
                <w:b/>
                <w:bCs/>
                <w:color w:val="000000"/>
                <w:sz w:val="18"/>
                <w:szCs w:val="18"/>
              </w:rPr>
              <w:t>Reserve for unfunded lending commitments:</w:t>
            </w:r>
          </w:p>
        </w:tc>
        <w:tc>
          <w:tcPr>
            <w:tcW w:w="0" w:type="auto"/>
            <w:gridSpan w:val="3"/>
            <w:shd w:val="clear" w:color="auto" w:fill="FFFFFF"/>
            <w:tcMar>
              <w:top w:w="0" w:type="dxa"/>
              <w:left w:w="20" w:type="dxa"/>
              <w:bottom w:w="0" w:type="dxa"/>
              <w:right w:w="20" w:type="dxa"/>
            </w:tcMar>
            <w:vAlign w:val="center"/>
            <w:hideMark/>
          </w:tcPr>
          <w:p w14:paraId="1629DE6D" w14:textId="77777777" w:rsidR="00000000" w:rsidRDefault="00405D16">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F46AD3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6F60CF"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CE1B28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8AA9E7"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7A4D9F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4B74EF" w14:textId="77777777" w:rsidR="00000000" w:rsidRDefault="00405D16">
            <w:pPr>
              <w:spacing w:after="100"/>
              <w:rPr>
                <w:rFonts w:eastAsia="Times New Roman"/>
                <w:sz w:val="20"/>
                <w:szCs w:val="20"/>
              </w:rPr>
            </w:pPr>
          </w:p>
        </w:tc>
        <w:tc>
          <w:tcPr>
            <w:tcW w:w="0" w:type="auto"/>
            <w:vAlign w:val="center"/>
            <w:hideMark/>
          </w:tcPr>
          <w:p w14:paraId="7BD1CD3C" w14:textId="77777777" w:rsidR="00000000" w:rsidRDefault="00405D16">
            <w:pPr>
              <w:spacing w:after="100"/>
              <w:rPr>
                <w:rFonts w:eastAsia="Times New Roman"/>
                <w:sz w:val="20"/>
                <w:szCs w:val="20"/>
              </w:rPr>
            </w:pPr>
          </w:p>
        </w:tc>
        <w:tc>
          <w:tcPr>
            <w:tcW w:w="0" w:type="auto"/>
            <w:gridSpan w:val="3"/>
            <w:vAlign w:val="center"/>
            <w:hideMark/>
          </w:tcPr>
          <w:p w14:paraId="3ABB83E3"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6BF7681" w14:textId="77777777" w:rsidR="00000000" w:rsidRDefault="00405D16">
            <w:pPr>
              <w:spacing w:after="100"/>
              <w:rPr>
                <w:rFonts w:eastAsia="Times New Roman"/>
                <w:sz w:val="20"/>
                <w:szCs w:val="20"/>
              </w:rPr>
            </w:pPr>
          </w:p>
        </w:tc>
      </w:tr>
      <w:tr w:rsidR="00000000" w14:paraId="1A09F4AF" w14:textId="77777777">
        <w:trPr>
          <w:divId w:val="360521990"/>
        </w:trPr>
        <w:tc>
          <w:tcPr>
            <w:tcW w:w="0" w:type="auto"/>
            <w:gridSpan w:val="3"/>
            <w:shd w:val="clear" w:color="auto" w:fill="CCEEFF"/>
            <w:tcMar>
              <w:top w:w="30" w:type="dxa"/>
              <w:left w:w="20" w:type="dxa"/>
              <w:bottom w:w="30" w:type="dxa"/>
              <w:right w:w="20" w:type="dxa"/>
            </w:tcMar>
            <w:vAlign w:val="center"/>
            <w:hideMark/>
          </w:tcPr>
          <w:p w14:paraId="2B5ADB5E" w14:textId="77777777" w:rsidR="00000000" w:rsidRDefault="00405D16">
            <w:pPr>
              <w:spacing w:after="100"/>
              <w:rPr>
                <w:rFonts w:eastAsia="Times New Roman"/>
              </w:rPr>
            </w:pPr>
            <w:r>
              <w:rPr>
                <w:rFonts w:eastAsia="Times New Roman"/>
                <w:color w:val="000000"/>
                <w:sz w:val="18"/>
                <w:szCs w:val="18"/>
              </w:rPr>
              <w:t>Balance as of June 30, 2021</w:t>
            </w:r>
          </w:p>
        </w:tc>
        <w:tc>
          <w:tcPr>
            <w:tcW w:w="0" w:type="auto"/>
            <w:gridSpan w:val="3"/>
            <w:shd w:val="clear" w:color="auto" w:fill="CCEEFF"/>
            <w:tcMar>
              <w:top w:w="0" w:type="dxa"/>
              <w:left w:w="20" w:type="dxa"/>
              <w:bottom w:w="0" w:type="dxa"/>
              <w:right w:w="20" w:type="dxa"/>
            </w:tcMar>
            <w:vAlign w:val="center"/>
            <w:hideMark/>
          </w:tcPr>
          <w:p w14:paraId="579E795E"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5A2EB47"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062904B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A6DF7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2D86D52"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13E68B2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76138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2D78472" w14:textId="77777777" w:rsidR="00000000" w:rsidRDefault="00405D16">
            <w:pPr>
              <w:spacing w:after="100"/>
              <w:jc w:val="right"/>
              <w:rPr>
                <w:rFonts w:eastAsia="Times New Roman"/>
              </w:rPr>
            </w:pPr>
            <w:r>
              <w:rPr>
                <w:rFonts w:eastAsia="Times New Roman"/>
                <w:color w:val="000000"/>
                <w:sz w:val="18"/>
                <w:szCs w:val="18"/>
              </w:rPr>
              <w:t>164 </w:t>
            </w:r>
          </w:p>
        </w:tc>
        <w:tc>
          <w:tcPr>
            <w:tcW w:w="0" w:type="auto"/>
            <w:shd w:val="clear" w:color="auto" w:fill="CCEEFF"/>
            <w:tcMar>
              <w:top w:w="30" w:type="dxa"/>
              <w:left w:w="0" w:type="dxa"/>
              <w:bottom w:w="30" w:type="dxa"/>
              <w:right w:w="20" w:type="dxa"/>
            </w:tcMar>
            <w:vAlign w:val="center"/>
            <w:hideMark/>
          </w:tcPr>
          <w:p w14:paraId="0100ECE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8DD59B" w14:textId="77777777" w:rsidR="00000000" w:rsidRDefault="00405D16">
            <w:pPr>
              <w:spacing w:after="100"/>
              <w:jc w:val="right"/>
              <w:rPr>
                <w:rFonts w:eastAsia="Times New Roman"/>
                <w:sz w:val="20"/>
                <w:szCs w:val="20"/>
              </w:rPr>
            </w:pPr>
          </w:p>
        </w:tc>
        <w:tc>
          <w:tcPr>
            <w:tcW w:w="0" w:type="auto"/>
            <w:vAlign w:val="center"/>
            <w:hideMark/>
          </w:tcPr>
          <w:p w14:paraId="2B4853CF" w14:textId="77777777" w:rsidR="00000000" w:rsidRDefault="00405D16">
            <w:pPr>
              <w:spacing w:after="100"/>
              <w:rPr>
                <w:rFonts w:eastAsia="Times New Roman"/>
                <w:sz w:val="20"/>
                <w:szCs w:val="20"/>
              </w:rPr>
            </w:pPr>
          </w:p>
        </w:tc>
        <w:tc>
          <w:tcPr>
            <w:tcW w:w="0" w:type="auto"/>
            <w:gridSpan w:val="3"/>
            <w:vAlign w:val="center"/>
            <w:hideMark/>
          </w:tcPr>
          <w:p w14:paraId="10C3E988"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6E2C083" w14:textId="77777777" w:rsidR="00000000" w:rsidRDefault="00405D16">
            <w:pPr>
              <w:spacing w:after="100"/>
              <w:jc w:val="right"/>
              <w:rPr>
                <w:rFonts w:eastAsia="Times New Roman"/>
              </w:rPr>
            </w:pPr>
            <w:r>
              <w:rPr>
                <w:rFonts w:eastAsia="Times New Roman"/>
                <w:color w:val="000000"/>
                <w:sz w:val="18"/>
                <w:szCs w:val="18"/>
              </w:rPr>
              <w:t>164 </w:t>
            </w:r>
          </w:p>
        </w:tc>
        <w:tc>
          <w:tcPr>
            <w:tcW w:w="0" w:type="auto"/>
            <w:shd w:val="clear" w:color="auto" w:fill="CCEEFF"/>
            <w:tcMar>
              <w:top w:w="30" w:type="dxa"/>
              <w:left w:w="0" w:type="dxa"/>
              <w:bottom w:w="30" w:type="dxa"/>
              <w:right w:w="20" w:type="dxa"/>
            </w:tcMar>
            <w:vAlign w:val="center"/>
            <w:hideMark/>
          </w:tcPr>
          <w:p w14:paraId="04004955" w14:textId="77777777" w:rsidR="00000000" w:rsidRDefault="00405D16">
            <w:pPr>
              <w:spacing w:after="100"/>
              <w:jc w:val="right"/>
              <w:rPr>
                <w:rFonts w:eastAsia="Times New Roman"/>
              </w:rPr>
            </w:pPr>
          </w:p>
        </w:tc>
      </w:tr>
      <w:tr w:rsidR="00000000" w14:paraId="13AECDF0" w14:textId="77777777">
        <w:trPr>
          <w:divId w:val="360521990"/>
        </w:trPr>
        <w:tc>
          <w:tcPr>
            <w:tcW w:w="0" w:type="auto"/>
            <w:gridSpan w:val="3"/>
            <w:shd w:val="clear" w:color="auto" w:fill="FFFFFF"/>
            <w:tcMar>
              <w:top w:w="30" w:type="dxa"/>
              <w:left w:w="20" w:type="dxa"/>
              <w:bottom w:w="30" w:type="dxa"/>
              <w:right w:w="20" w:type="dxa"/>
            </w:tcMar>
            <w:vAlign w:val="center"/>
            <w:hideMark/>
          </w:tcPr>
          <w:p w14:paraId="0AFC96E6" w14:textId="77777777" w:rsidR="00000000" w:rsidRDefault="00405D16">
            <w:pPr>
              <w:spacing w:after="100"/>
              <w:rPr>
                <w:rFonts w:eastAsia="Times New Roman"/>
              </w:rPr>
            </w:pPr>
            <w:r>
              <w:rPr>
                <w:rFonts w:eastAsia="Times New Roman"/>
                <w:color w:val="000000"/>
                <w:sz w:val="18"/>
                <w:szCs w:val="18"/>
              </w:rPr>
              <w:t>Provision (benefit) for losses on unfunded lending commitments</w:t>
            </w:r>
          </w:p>
        </w:tc>
        <w:tc>
          <w:tcPr>
            <w:tcW w:w="0" w:type="auto"/>
            <w:gridSpan w:val="3"/>
            <w:shd w:val="clear" w:color="auto" w:fill="FFFFFF"/>
            <w:tcMar>
              <w:top w:w="0" w:type="dxa"/>
              <w:left w:w="20" w:type="dxa"/>
              <w:bottom w:w="0" w:type="dxa"/>
              <w:right w:w="20" w:type="dxa"/>
            </w:tcMar>
            <w:vAlign w:val="center"/>
            <w:hideMark/>
          </w:tcPr>
          <w:p w14:paraId="1735A74F"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0604C8F"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965A8A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04941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6B23B1E"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E92D9C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B8C04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4B4D3E9" w14:textId="77777777" w:rsidR="00000000" w:rsidRDefault="00405D16">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832580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66E758" w14:textId="77777777" w:rsidR="00000000" w:rsidRDefault="00405D16">
            <w:pPr>
              <w:spacing w:after="100"/>
              <w:jc w:val="right"/>
              <w:rPr>
                <w:rFonts w:eastAsia="Times New Roman"/>
                <w:sz w:val="20"/>
                <w:szCs w:val="20"/>
              </w:rPr>
            </w:pPr>
          </w:p>
        </w:tc>
        <w:tc>
          <w:tcPr>
            <w:tcW w:w="0" w:type="auto"/>
            <w:vAlign w:val="center"/>
            <w:hideMark/>
          </w:tcPr>
          <w:p w14:paraId="0CC5F1D0" w14:textId="77777777" w:rsidR="00000000" w:rsidRDefault="00405D16">
            <w:pPr>
              <w:spacing w:after="100"/>
              <w:rPr>
                <w:rFonts w:eastAsia="Times New Roman"/>
                <w:sz w:val="20"/>
                <w:szCs w:val="20"/>
              </w:rPr>
            </w:pPr>
          </w:p>
        </w:tc>
        <w:tc>
          <w:tcPr>
            <w:tcW w:w="0" w:type="auto"/>
            <w:gridSpan w:val="3"/>
            <w:vAlign w:val="center"/>
            <w:hideMark/>
          </w:tcPr>
          <w:p w14:paraId="20DA800C"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96F0AC5" w14:textId="77777777" w:rsidR="00000000" w:rsidRDefault="00405D16">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3FD3389" w14:textId="77777777" w:rsidR="00000000" w:rsidRDefault="00405D16">
            <w:pPr>
              <w:spacing w:after="100"/>
              <w:jc w:val="right"/>
              <w:rPr>
                <w:rFonts w:eastAsia="Times New Roman"/>
              </w:rPr>
            </w:pPr>
          </w:p>
        </w:tc>
      </w:tr>
      <w:tr w:rsidR="00000000" w14:paraId="07FD2E7A" w14:textId="77777777">
        <w:trPr>
          <w:divId w:val="360521990"/>
        </w:trPr>
        <w:tc>
          <w:tcPr>
            <w:tcW w:w="0" w:type="auto"/>
            <w:gridSpan w:val="3"/>
            <w:shd w:val="clear" w:color="auto" w:fill="CCEEFF"/>
            <w:tcMar>
              <w:top w:w="30" w:type="dxa"/>
              <w:left w:w="20" w:type="dxa"/>
              <w:bottom w:w="30" w:type="dxa"/>
              <w:right w:w="20" w:type="dxa"/>
            </w:tcMar>
            <w:vAlign w:val="center"/>
            <w:hideMark/>
          </w:tcPr>
          <w:p w14:paraId="341F2863" w14:textId="77777777" w:rsidR="00000000" w:rsidRDefault="00405D16">
            <w:pPr>
              <w:spacing w:after="100"/>
              <w:rPr>
                <w:rFonts w:eastAsia="Times New Roman"/>
              </w:rPr>
            </w:pPr>
            <w:r>
              <w:rPr>
                <w:rFonts w:eastAsia="Times New Roman"/>
                <w:color w:val="000000"/>
                <w:sz w:val="18"/>
                <w:szCs w:val="18"/>
              </w:rPr>
              <w:t>Balance as of September 30, 2021</w:t>
            </w:r>
          </w:p>
        </w:tc>
        <w:tc>
          <w:tcPr>
            <w:tcW w:w="0" w:type="auto"/>
            <w:gridSpan w:val="3"/>
            <w:shd w:val="clear" w:color="auto" w:fill="CCEEFF"/>
            <w:tcMar>
              <w:top w:w="0" w:type="dxa"/>
              <w:left w:w="20" w:type="dxa"/>
              <w:bottom w:w="0" w:type="dxa"/>
              <w:right w:w="20" w:type="dxa"/>
            </w:tcMar>
            <w:vAlign w:val="center"/>
            <w:hideMark/>
          </w:tcPr>
          <w:p w14:paraId="2A5D1A49"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0C61E76"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B8B7AB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EED2B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517487F"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944ED9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5B1E8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6AE2F99" w14:textId="77777777" w:rsidR="00000000" w:rsidRDefault="00405D16">
            <w:pPr>
              <w:spacing w:after="100"/>
              <w:jc w:val="right"/>
              <w:rPr>
                <w:rFonts w:eastAsia="Times New Roman"/>
              </w:rPr>
            </w:pPr>
            <w:r>
              <w:rPr>
                <w:rFonts w:eastAsia="Times New Roman"/>
                <w:b/>
                <w:bCs/>
                <w:color w:val="000000"/>
                <w:sz w:val="18"/>
                <w:szCs w:val="18"/>
              </w:rPr>
              <w:t>166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36500A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D63107" w14:textId="77777777" w:rsidR="00000000" w:rsidRDefault="00405D16">
            <w:pPr>
              <w:spacing w:after="100"/>
              <w:jc w:val="right"/>
              <w:rPr>
                <w:rFonts w:eastAsia="Times New Roman"/>
                <w:sz w:val="20"/>
                <w:szCs w:val="20"/>
              </w:rPr>
            </w:pPr>
          </w:p>
        </w:tc>
        <w:tc>
          <w:tcPr>
            <w:tcW w:w="0" w:type="auto"/>
            <w:vAlign w:val="center"/>
            <w:hideMark/>
          </w:tcPr>
          <w:p w14:paraId="48239BC8" w14:textId="77777777" w:rsidR="00000000" w:rsidRDefault="00405D16">
            <w:pPr>
              <w:spacing w:after="100"/>
              <w:rPr>
                <w:rFonts w:eastAsia="Times New Roman"/>
                <w:sz w:val="20"/>
                <w:szCs w:val="20"/>
              </w:rPr>
            </w:pPr>
          </w:p>
        </w:tc>
        <w:tc>
          <w:tcPr>
            <w:tcW w:w="0" w:type="auto"/>
            <w:gridSpan w:val="3"/>
            <w:vAlign w:val="center"/>
            <w:hideMark/>
          </w:tcPr>
          <w:p w14:paraId="191C1104" w14:textId="77777777" w:rsidR="00000000" w:rsidRDefault="00405D16">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4C57342" w14:textId="77777777" w:rsidR="00000000" w:rsidRDefault="00405D16">
            <w:pPr>
              <w:spacing w:after="100"/>
              <w:jc w:val="right"/>
              <w:rPr>
                <w:rFonts w:eastAsia="Times New Roman"/>
              </w:rPr>
            </w:pPr>
            <w:r>
              <w:rPr>
                <w:rFonts w:eastAsia="Times New Roman"/>
                <w:b/>
                <w:bCs/>
                <w:color w:val="000000"/>
                <w:sz w:val="18"/>
                <w:szCs w:val="18"/>
              </w:rPr>
              <w:t>166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5E39CA6" w14:textId="77777777" w:rsidR="00000000" w:rsidRDefault="00405D16">
            <w:pPr>
              <w:spacing w:after="100"/>
              <w:jc w:val="right"/>
              <w:rPr>
                <w:rFonts w:eastAsia="Times New Roman"/>
              </w:rPr>
            </w:pPr>
          </w:p>
        </w:tc>
      </w:tr>
      <w:tr w:rsidR="00000000" w14:paraId="6C2B54DD" w14:textId="77777777">
        <w:trPr>
          <w:divId w:val="360521990"/>
        </w:trPr>
        <w:tc>
          <w:tcPr>
            <w:tcW w:w="0" w:type="auto"/>
            <w:gridSpan w:val="3"/>
            <w:shd w:val="clear" w:color="auto" w:fill="FFFFFF"/>
            <w:tcMar>
              <w:top w:w="30" w:type="dxa"/>
              <w:left w:w="20" w:type="dxa"/>
              <w:bottom w:w="30" w:type="dxa"/>
              <w:right w:w="20" w:type="dxa"/>
            </w:tcMar>
            <w:vAlign w:val="center"/>
            <w:hideMark/>
          </w:tcPr>
          <w:p w14:paraId="16ECAB35" w14:textId="77777777" w:rsidR="00000000" w:rsidRDefault="00405D16">
            <w:pPr>
              <w:spacing w:after="100"/>
              <w:rPr>
                <w:rFonts w:eastAsia="Times New Roman"/>
              </w:rPr>
            </w:pPr>
            <w:r>
              <w:rPr>
                <w:rFonts w:eastAsia="Times New Roman"/>
                <w:b/>
                <w:bCs/>
                <w:color w:val="000000"/>
                <w:sz w:val="18"/>
                <w:szCs w:val="18"/>
              </w:rPr>
              <w:t>Combined allowance and reserve as of September 30, 2021</w:t>
            </w:r>
          </w:p>
        </w:tc>
        <w:tc>
          <w:tcPr>
            <w:tcW w:w="0" w:type="auto"/>
            <w:gridSpan w:val="3"/>
            <w:shd w:val="clear" w:color="auto" w:fill="FFFFFF"/>
            <w:tcMar>
              <w:top w:w="0" w:type="dxa"/>
              <w:left w:w="20" w:type="dxa"/>
              <w:bottom w:w="0" w:type="dxa"/>
              <w:right w:w="20" w:type="dxa"/>
            </w:tcMar>
            <w:vAlign w:val="center"/>
            <w:hideMark/>
          </w:tcPr>
          <w:p w14:paraId="1070BC2A"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FEF5BAB"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C9C82BE" w14:textId="77777777" w:rsidR="00000000" w:rsidRDefault="00405D16">
            <w:pPr>
              <w:spacing w:after="100"/>
              <w:jc w:val="right"/>
              <w:rPr>
                <w:rFonts w:eastAsia="Times New Roman"/>
              </w:rPr>
            </w:pPr>
            <w:r>
              <w:rPr>
                <w:rFonts w:eastAsia="Times New Roman"/>
                <w:b/>
                <w:bCs/>
                <w:color w:val="000000"/>
                <w:sz w:val="18"/>
                <w:szCs w:val="18"/>
              </w:rPr>
              <w:t>8,306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B5081C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8F5F19"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9401793"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AD545E9" w14:textId="77777777" w:rsidR="00000000" w:rsidRDefault="00405D16">
            <w:pPr>
              <w:spacing w:after="100"/>
              <w:jc w:val="right"/>
              <w:rPr>
                <w:rFonts w:eastAsia="Times New Roman"/>
              </w:rPr>
            </w:pPr>
            <w:r>
              <w:rPr>
                <w:rFonts w:eastAsia="Times New Roman"/>
                <w:b/>
                <w:bCs/>
                <w:color w:val="000000"/>
                <w:sz w:val="18"/>
                <w:szCs w:val="18"/>
              </w:rPr>
              <w:t>2,061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2E7B78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77FB72"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BF642F7"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173F5FE" w14:textId="77777777" w:rsidR="00000000" w:rsidRDefault="00405D16">
            <w:pPr>
              <w:spacing w:after="100"/>
              <w:jc w:val="right"/>
              <w:rPr>
                <w:rFonts w:eastAsia="Times New Roman"/>
              </w:rPr>
            </w:pPr>
            <w:r>
              <w:rPr>
                <w:rFonts w:eastAsia="Times New Roman"/>
                <w:b/>
                <w:bCs/>
                <w:color w:val="000000"/>
                <w:sz w:val="18"/>
                <w:szCs w:val="18"/>
              </w:rPr>
              <w:t>1,372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8B0D93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89881E" w14:textId="77777777" w:rsidR="00000000" w:rsidRDefault="00405D16">
            <w:pPr>
              <w:spacing w:after="100"/>
              <w:jc w:val="right"/>
              <w:rPr>
                <w:rFonts w:eastAsia="Times New Roman"/>
                <w:sz w:val="20"/>
                <w:szCs w:val="20"/>
              </w:rPr>
            </w:pPr>
          </w:p>
        </w:tc>
        <w:tc>
          <w:tcPr>
            <w:tcW w:w="0" w:type="auto"/>
            <w:vAlign w:val="center"/>
            <w:hideMark/>
          </w:tcPr>
          <w:p w14:paraId="6E37B3C6" w14:textId="77777777" w:rsidR="00000000" w:rsidRDefault="00405D16">
            <w:pPr>
              <w:spacing w:after="100"/>
              <w:rPr>
                <w:rFonts w:eastAsia="Times New Roman"/>
                <w:sz w:val="20"/>
                <w:szCs w:val="20"/>
              </w:rPr>
            </w:pPr>
          </w:p>
        </w:tc>
        <w:tc>
          <w:tcPr>
            <w:tcW w:w="0" w:type="auto"/>
            <w:gridSpan w:val="3"/>
            <w:vAlign w:val="center"/>
            <w:hideMark/>
          </w:tcPr>
          <w:p w14:paraId="69F89AB4" w14:textId="77777777" w:rsidR="00000000" w:rsidRDefault="00405D16">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153DB43"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90F5416" w14:textId="77777777" w:rsidR="00000000" w:rsidRDefault="00405D16">
            <w:pPr>
              <w:spacing w:after="100"/>
              <w:jc w:val="right"/>
              <w:rPr>
                <w:rFonts w:eastAsia="Times New Roman"/>
              </w:rPr>
            </w:pPr>
            <w:r>
              <w:rPr>
                <w:rFonts w:eastAsia="Times New Roman"/>
                <w:b/>
                <w:bCs/>
                <w:color w:val="000000"/>
                <w:sz w:val="18"/>
                <w:szCs w:val="18"/>
              </w:rPr>
              <w:t>11,739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C19930E" w14:textId="77777777" w:rsidR="00000000" w:rsidRDefault="00405D16">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716"/>
        <w:gridCol w:w="144"/>
        <w:gridCol w:w="144"/>
        <w:gridCol w:w="144"/>
        <w:gridCol w:w="144"/>
        <w:gridCol w:w="144"/>
        <w:gridCol w:w="720"/>
        <w:gridCol w:w="144"/>
        <w:gridCol w:w="144"/>
        <w:gridCol w:w="144"/>
        <w:gridCol w:w="144"/>
        <w:gridCol w:w="144"/>
        <w:gridCol w:w="720"/>
        <w:gridCol w:w="144"/>
        <w:gridCol w:w="144"/>
        <w:gridCol w:w="144"/>
        <w:gridCol w:w="144"/>
        <w:gridCol w:w="144"/>
        <w:gridCol w:w="720"/>
        <w:gridCol w:w="144"/>
        <w:gridCol w:w="144"/>
        <w:gridCol w:w="144"/>
        <w:gridCol w:w="144"/>
        <w:gridCol w:w="480"/>
        <w:gridCol w:w="480"/>
        <w:gridCol w:w="480"/>
        <w:gridCol w:w="480"/>
        <w:gridCol w:w="144"/>
        <w:gridCol w:w="722"/>
        <w:gridCol w:w="144"/>
      </w:tblGrid>
      <w:tr w:rsidR="00000000" w14:paraId="4F55A8FD" w14:textId="77777777">
        <w:tc>
          <w:tcPr>
            <w:tcW w:w="50" w:type="pct"/>
            <w:vAlign w:val="center"/>
            <w:hideMark/>
          </w:tcPr>
          <w:p w14:paraId="5563A37F" w14:textId="77777777" w:rsidR="00000000" w:rsidRDefault="00405D16">
            <w:pPr>
              <w:jc w:val="both"/>
              <w:rPr>
                <w:rFonts w:eastAsia="Times New Roman"/>
              </w:rPr>
            </w:pPr>
          </w:p>
        </w:tc>
        <w:tc>
          <w:tcPr>
            <w:tcW w:w="2839" w:type="pct"/>
            <w:vAlign w:val="center"/>
            <w:hideMark/>
          </w:tcPr>
          <w:p w14:paraId="6A843572" w14:textId="77777777" w:rsidR="00000000" w:rsidRDefault="00405D16">
            <w:pPr>
              <w:spacing w:after="100"/>
              <w:rPr>
                <w:rFonts w:eastAsia="Times New Roman"/>
                <w:sz w:val="20"/>
                <w:szCs w:val="20"/>
              </w:rPr>
            </w:pPr>
          </w:p>
        </w:tc>
        <w:tc>
          <w:tcPr>
            <w:tcW w:w="5" w:type="pct"/>
            <w:vAlign w:val="center"/>
            <w:hideMark/>
          </w:tcPr>
          <w:p w14:paraId="6D034F59" w14:textId="77777777" w:rsidR="00000000" w:rsidRDefault="00405D16">
            <w:pPr>
              <w:spacing w:after="100"/>
              <w:rPr>
                <w:rFonts w:eastAsia="Times New Roman"/>
                <w:sz w:val="20"/>
                <w:szCs w:val="20"/>
              </w:rPr>
            </w:pPr>
          </w:p>
        </w:tc>
        <w:tc>
          <w:tcPr>
            <w:tcW w:w="5" w:type="pct"/>
            <w:vAlign w:val="center"/>
            <w:hideMark/>
          </w:tcPr>
          <w:p w14:paraId="3307E99E" w14:textId="77777777" w:rsidR="00000000" w:rsidRDefault="00405D16">
            <w:pPr>
              <w:spacing w:after="100"/>
              <w:rPr>
                <w:rFonts w:eastAsia="Times New Roman"/>
                <w:sz w:val="20"/>
                <w:szCs w:val="20"/>
              </w:rPr>
            </w:pPr>
          </w:p>
        </w:tc>
        <w:tc>
          <w:tcPr>
            <w:tcW w:w="26" w:type="pct"/>
            <w:vAlign w:val="center"/>
            <w:hideMark/>
          </w:tcPr>
          <w:p w14:paraId="519A159C" w14:textId="77777777" w:rsidR="00000000" w:rsidRDefault="00405D16">
            <w:pPr>
              <w:spacing w:after="100"/>
              <w:rPr>
                <w:rFonts w:eastAsia="Times New Roman"/>
                <w:sz w:val="20"/>
                <w:szCs w:val="20"/>
              </w:rPr>
            </w:pPr>
          </w:p>
        </w:tc>
        <w:tc>
          <w:tcPr>
            <w:tcW w:w="5" w:type="pct"/>
            <w:vAlign w:val="center"/>
            <w:hideMark/>
          </w:tcPr>
          <w:p w14:paraId="1F3BD8E4" w14:textId="77777777" w:rsidR="00000000" w:rsidRDefault="00405D16">
            <w:pPr>
              <w:spacing w:after="100"/>
              <w:rPr>
                <w:rFonts w:eastAsia="Times New Roman"/>
                <w:sz w:val="20"/>
                <w:szCs w:val="20"/>
              </w:rPr>
            </w:pPr>
          </w:p>
        </w:tc>
        <w:tc>
          <w:tcPr>
            <w:tcW w:w="50" w:type="pct"/>
            <w:vAlign w:val="center"/>
            <w:hideMark/>
          </w:tcPr>
          <w:p w14:paraId="55FC66C9" w14:textId="77777777" w:rsidR="00000000" w:rsidRDefault="00405D16">
            <w:pPr>
              <w:spacing w:after="100"/>
              <w:rPr>
                <w:rFonts w:eastAsia="Times New Roman"/>
                <w:sz w:val="20"/>
                <w:szCs w:val="20"/>
              </w:rPr>
            </w:pPr>
          </w:p>
        </w:tc>
        <w:tc>
          <w:tcPr>
            <w:tcW w:w="434" w:type="pct"/>
            <w:vAlign w:val="center"/>
            <w:hideMark/>
          </w:tcPr>
          <w:p w14:paraId="4F00238E" w14:textId="77777777" w:rsidR="00000000" w:rsidRDefault="00405D16">
            <w:pPr>
              <w:spacing w:after="100"/>
              <w:rPr>
                <w:rFonts w:eastAsia="Times New Roman"/>
                <w:sz w:val="20"/>
                <w:szCs w:val="20"/>
              </w:rPr>
            </w:pPr>
          </w:p>
        </w:tc>
        <w:tc>
          <w:tcPr>
            <w:tcW w:w="5" w:type="pct"/>
            <w:vAlign w:val="center"/>
            <w:hideMark/>
          </w:tcPr>
          <w:p w14:paraId="5360E610" w14:textId="77777777" w:rsidR="00000000" w:rsidRDefault="00405D16">
            <w:pPr>
              <w:spacing w:after="100"/>
              <w:rPr>
                <w:rFonts w:eastAsia="Times New Roman"/>
                <w:sz w:val="20"/>
                <w:szCs w:val="20"/>
              </w:rPr>
            </w:pPr>
          </w:p>
        </w:tc>
        <w:tc>
          <w:tcPr>
            <w:tcW w:w="5" w:type="pct"/>
            <w:vAlign w:val="center"/>
            <w:hideMark/>
          </w:tcPr>
          <w:p w14:paraId="4766C7BB" w14:textId="77777777" w:rsidR="00000000" w:rsidRDefault="00405D16">
            <w:pPr>
              <w:spacing w:after="100"/>
              <w:rPr>
                <w:rFonts w:eastAsia="Times New Roman"/>
                <w:sz w:val="20"/>
                <w:szCs w:val="20"/>
              </w:rPr>
            </w:pPr>
          </w:p>
        </w:tc>
        <w:tc>
          <w:tcPr>
            <w:tcW w:w="26" w:type="pct"/>
            <w:vAlign w:val="center"/>
            <w:hideMark/>
          </w:tcPr>
          <w:p w14:paraId="4D093B8E" w14:textId="77777777" w:rsidR="00000000" w:rsidRDefault="00405D16">
            <w:pPr>
              <w:spacing w:after="100"/>
              <w:rPr>
                <w:rFonts w:eastAsia="Times New Roman"/>
                <w:sz w:val="20"/>
                <w:szCs w:val="20"/>
              </w:rPr>
            </w:pPr>
          </w:p>
        </w:tc>
        <w:tc>
          <w:tcPr>
            <w:tcW w:w="5" w:type="pct"/>
            <w:vAlign w:val="center"/>
            <w:hideMark/>
          </w:tcPr>
          <w:p w14:paraId="763EA2A1" w14:textId="77777777" w:rsidR="00000000" w:rsidRDefault="00405D16">
            <w:pPr>
              <w:spacing w:after="100"/>
              <w:rPr>
                <w:rFonts w:eastAsia="Times New Roman"/>
                <w:sz w:val="20"/>
                <w:szCs w:val="20"/>
              </w:rPr>
            </w:pPr>
          </w:p>
        </w:tc>
        <w:tc>
          <w:tcPr>
            <w:tcW w:w="50" w:type="pct"/>
            <w:vAlign w:val="center"/>
            <w:hideMark/>
          </w:tcPr>
          <w:p w14:paraId="5BF1F7D8" w14:textId="77777777" w:rsidR="00000000" w:rsidRDefault="00405D16">
            <w:pPr>
              <w:spacing w:after="100"/>
              <w:rPr>
                <w:rFonts w:eastAsia="Times New Roman"/>
                <w:sz w:val="20"/>
                <w:szCs w:val="20"/>
              </w:rPr>
            </w:pPr>
          </w:p>
        </w:tc>
        <w:tc>
          <w:tcPr>
            <w:tcW w:w="434" w:type="pct"/>
            <w:vAlign w:val="center"/>
            <w:hideMark/>
          </w:tcPr>
          <w:p w14:paraId="6CBDEEF6" w14:textId="77777777" w:rsidR="00000000" w:rsidRDefault="00405D16">
            <w:pPr>
              <w:spacing w:after="100"/>
              <w:rPr>
                <w:rFonts w:eastAsia="Times New Roman"/>
                <w:sz w:val="20"/>
                <w:szCs w:val="20"/>
              </w:rPr>
            </w:pPr>
          </w:p>
        </w:tc>
        <w:tc>
          <w:tcPr>
            <w:tcW w:w="5" w:type="pct"/>
            <w:vAlign w:val="center"/>
            <w:hideMark/>
          </w:tcPr>
          <w:p w14:paraId="4D8536DF" w14:textId="77777777" w:rsidR="00000000" w:rsidRDefault="00405D16">
            <w:pPr>
              <w:spacing w:after="100"/>
              <w:rPr>
                <w:rFonts w:eastAsia="Times New Roman"/>
                <w:sz w:val="20"/>
                <w:szCs w:val="20"/>
              </w:rPr>
            </w:pPr>
          </w:p>
        </w:tc>
        <w:tc>
          <w:tcPr>
            <w:tcW w:w="5" w:type="pct"/>
            <w:vAlign w:val="center"/>
            <w:hideMark/>
          </w:tcPr>
          <w:p w14:paraId="0A96EB3F" w14:textId="77777777" w:rsidR="00000000" w:rsidRDefault="00405D16">
            <w:pPr>
              <w:spacing w:after="100"/>
              <w:rPr>
                <w:rFonts w:eastAsia="Times New Roman"/>
                <w:sz w:val="20"/>
                <w:szCs w:val="20"/>
              </w:rPr>
            </w:pPr>
          </w:p>
        </w:tc>
        <w:tc>
          <w:tcPr>
            <w:tcW w:w="26" w:type="pct"/>
            <w:vAlign w:val="center"/>
            <w:hideMark/>
          </w:tcPr>
          <w:p w14:paraId="5ACB8862" w14:textId="77777777" w:rsidR="00000000" w:rsidRDefault="00405D16">
            <w:pPr>
              <w:spacing w:after="100"/>
              <w:rPr>
                <w:rFonts w:eastAsia="Times New Roman"/>
                <w:sz w:val="20"/>
                <w:szCs w:val="20"/>
              </w:rPr>
            </w:pPr>
          </w:p>
        </w:tc>
        <w:tc>
          <w:tcPr>
            <w:tcW w:w="5" w:type="pct"/>
            <w:vAlign w:val="center"/>
            <w:hideMark/>
          </w:tcPr>
          <w:p w14:paraId="4D3BEFCB" w14:textId="77777777" w:rsidR="00000000" w:rsidRDefault="00405D16">
            <w:pPr>
              <w:spacing w:after="100"/>
              <w:rPr>
                <w:rFonts w:eastAsia="Times New Roman"/>
                <w:sz w:val="20"/>
                <w:szCs w:val="20"/>
              </w:rPr>
            </w:pPr>
          </w:p>
        </w:tc>
        <w:tc>
          <w:tcPr>
            <w:tcW w:w="50" w:type="pct"/>
            <w:vAlign w:val="center"/>
            <w:hideMark/>
          </w:tcPr>
          <w:p w14:paraId="0F6B1092" w14:textId="77777777" w:rsidR="00000000" w:rsidRDefault="00405D16">
            <w:pPr>
              <w:spacing w:after="100"/>
              <w:rPr>
                <w:rFonts w:eastAsia="Times New Roman"/>
                <w:sz w:val="20"/>
                <w:szCs w:val="20"/>
              </w:rPr>
            </w:pPr>
          </w:p>
        </w:tc>
        <w:tc>
          <w:tcPr>
            <w:tcW w:w="434" w:type="pct"/>
            <w:vAlign w:val="center"/>
            <w:hideMark/>
          </w:tcPr>
          <w:p w14:paraId="19677201" w14:textId="77777777" w:rsidR="00000000" w:rsidRDefault="00405D16">
            <w:pPr>
              <w:spacing w:after="100"/>
              <w:rPr>
                <w:rFonts w:eastAsia="Times New Roman"/>
                <w:sz w:val="20"/>
                <w:szCs w:val="20"/>
              </w:rPr>
            </w:pPr>
          </w:p>
        </w:tc>
        <w:tc>
          <w:tcPr>
            <w:tcW w:w="5" w:type="pct"/>
            <w:vAlign w:val="center"/>
            <w:hideMark/>
          </w:tcPr>
          <w:p w14:paraId="308D5659" w14:textId="77777777" w:rsidR="00000000" w:rsidRDefault="00405D16">
            <w:pPr>
              <w:spacing w:after="100"/>
              <w:rPr>
                <w:rFonts w:eastAsia="Times New Roman"/>
                <w:sz w:val="20"/>
                <w:szCs w:val="20"/>
              </w:rPr>
            </w:pPr>
          </w:p>
        </w:tc>
        <w:tc>
          <w:tcPr>
            <w:tcW w:w="5" w:type="pct"/>
            <w:vAlign w:val="center"/>
            <w:hideMark/>
          </w:tcPr>
          <w:p w14:paraId="393660D6" w14:textId="77777777" w:rsidR="00000000" w:rsidRDefault="00405D16">
            <w:pPr>
              <w:spacing w:after="100"/>
              <w:rPr>
                <w:rFonts w:eastAsia="Times New Roman"/>
                <w:sz w:val="20"/>
                <w:szCs w:val="20"/>
              </w:rPr>
            </w:pPr>
          </w:p>
        </w:tc>
        <w:tc>
          <w:tcPr>
            <w:tcW w:w="26" w:type="pct"/>
            <w:vAlign w:val="center"/>
            <w:hideMark/>
          </w:tcPr>
          <w:p w14:paraId="762DB6AC" w14:textId="77777777" w:rsidR="00000000" w:rsidRDefault="00405D16">
            <w:pPr>
              <w:spacing w:after="100"/>
              <w:rPr>
                <w:rFonts w:eastAsia="Times New Roman"/>
                <w:sz w:val="20"/>
                <w:szCs w:val="20"/>
              </w:rPr>
            </w:pPr>
          </w:p>
        </w:tc>
        <w:tc>
          <w:tcPr>
            <w:tcW w:w="5" w:type="pct"/>
            <w:vAlign w:val="center"/>
            <w:hideMark/>
          </w:tcPr>
          <w:p w14:paraId="52C5E8E2" w14:textId="77777777" w:rsidR="00000000" w:rsidRDefault="00405D16">
            <w:pPr>
              <w:spacing w:after="100"/>
              <w:rPr>
                <w:rFonts w:eastAsia="Times New Roman"/>
                <w:sz w:val="20"/>
                <w:szCs w:val="20"/>
              </w:rPr>
            </w:pPr>
          </w:p>
        </w:tc>
        <w:tc>
          <w:tcPr>
            <w:tcW w:w="0" w:type="auto"/>
            <w:vAlign w:val="center"/>
            <w:hideMark/>
          </w:tcPr>
          <w:p w14:paraId="0D83FE72" w14:textId="77777777" w:rsidR="00000000" w:rsidRDefault="00405D16">
            <w:pPr>
              <w:spacing w:after="100"/>
              <w:rPr>
                <w:rFonts w:eastAsia="Times New Roman"/>
                <w:sz w:val="20"/>
                <w:szCs w:val="20"/>
              </w:rPr>
            </w:pPr>
          </w:p>
        </w:tc>
        <w:tc>
          <w:tcPr>
            <w:tcW w:w="0" w:type="auto"/>
            <w:gridSpan w:val="3"/>
            <w:vAlign w:val="center"/>
            <w:hideMark/>
          </w:tcPr>
          <w:p w14:paraId="1BC514D0" w14:textId="77777777" w:rsidR="00000000" w:rsidRDefault="00405D16">
            <w:pPr>
              <w:spacing w:after="100"/>
              <w:rPr>
                <w:rFonts w:eastAsia="Times New Roman"/>
                <w:sz w:val="20"/>
                <w:szCs w:val="20"/>
              </w:rPr>
            </w:pPr>
          </w:p>
        </w:tc>
        <w:tc>
          <w:tcPr>
            <w:tcW w:w="50" w:type="pct"/>
            <w:vAlign w:val="center"/>
            <w:hideMark/>
          </w:tcPr>
          <w:p w14:paraId="72BC2848" w14:textId="77777777" w:rsidR="00000000" w:rsidRDefault="00405D16">
            <w:pPr>
              <w:spacing w:after="100"/>
              <w:rPr>
                <w:rFonts w:eastAsia="Times New Roman"/>
                <w:sz w:val="20"/>
                <w:szCs w:val="20"/>
              </w:rPr>
            </w:pPr>
          </w:p>
        </w:tc>
        <w:tc>
          <w:tcPr>
            <w:tcW w:w="435" w:type="pct"/>
            <w:vAlign w:val="center"/>
            <w:hideMark/>
          </w:tcPr>
          <w:p w14:paraId="37623F41" w14:textId="77777777" w:rsidR="00000000" w:rsidRDefault="00405D16">
            <w:pPr>
              <w:spacing w:after="100"/>
              <w:rPr>
                <w:rFonts w:eastAsia="Times New Roman"/>
                <w:sz w:val="20"/>
                <w:szCs w:val="20"/>
              </w:rPr>
            </w:pPr>
          </w:p>
        </w:tc>
        <w:tc>
          <w:tcPr>
            <w:tcW w:w="5" w:type="pct"/>
            <w:vAlign w:val="center"/>
            <w:hideMark/>
          </w:tcPr>
          <w:p w14:paraId="4F216612" w14:textId="77777777" w:rsidR="00000000" w:rsidRDefault="00405D16">
            <w:pPr>
              <w:spacing w:after="100"/>
              <w:rPr>
                <w:rFonts w:eastAsia="Times New Roman"/>
                <w:sz w:val="20"/>
                <w:szCs w:val="20"/>
              </w:rPr>
            </w:pPr>
          </w:p>
        </w:tc>
      </w:tr>
      <w:tr w:rsidR="00000000" w14:paraId="0B9F5357" w14:textId="77777777">
        <w:tc>
          <w:tcPr>
            <w:tcW w:w="0" w:type="auto"/>
            <w:gridSpan w:val="3"/>
            <w:tcMar>
              <w:top w:w="0" w:type="dxa"/>
              <w:left w:w="20" w:type="dxa"/>
              <w:bottom w:w="0" w:type="dxa"/>
              <w:right w:w="20" w:type="dxa"/>
            </w:tcMar>
            <w:vAlign w:val="center"/>
            <w:hideMark/>
          </w:tcPr>
          <w:p w14:paraId="2440D3B2"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60608B6" w14:textId="77777777" w:rsidR="00000000" w:rsidRDefault="00405D16">
            <w:pPr>
              <w:spacing w:after="100"/>
              <w:rPr>
                <w:rFonts w:eastAsia="Times New Roman"/>
                <w:sz w:val="20"/>
                <w:szCs w:val="20"/>
              </w:rPr>
            </w:pPr>
          </w:p>
        </w:tc>
        <w:tc>
          <w:tcPr>
            <w:tcW w:w="0" w:type="auto"/>
            <w:gridSpan w:val="19"/>
            <w:tcMar>
              <w:top w:w="30" w:type="dxa"/>
              <w:left w:w="20" w:type="dxa"/>
              <w:bottom w:w="30" w:type="dxa"/>
              <w:right w:w="20" w:type="dxa"/>
            </w:tcMar>
            <w:vAlign w:val="bottom"/>
            <w:hideMark/>
          </w:tcPr>
          <w:p w14:paraId="10891F0A" w14:textId="77777777" w:rsidR="00000000" w:rsidRDefault="00405D16">
            <w:pPr>
              <w:spacing w:after="100"/>
              <w:jc w:val="center"/>
              <w:rPr>
                <w:rFonts w:eastAsia="Times New Roman"/>
              </w:rPr>
            </w:pPr>
            <w:r>
              <w:rPr>
                <w:rFonts w:eastAsia="Times New Roman"/>
                <w:b/>
                <w:bCs/>
                <w:color w:val="000000"/>
                <w:sz w:val="16"/>
                <w:szCs w:val="16"/>
              </w:rPr>
              <w:t>Nine Months Ended September 30, 2021</w:t>
            </w:r>
          </w:p>
        </w:tc>
        <w:tc>
          <w:tcPr>
            <w:tcW w:w="0" w:type="auto"/>
            <w:vAlign w:val="center"/>
            <w:hideMark/>
          </w:tcPr>
          <w:p w14:paraId="77786BD7" w14:textId="77777777" w:rsidR="00000000" w:rsidRDefault="00405D16">
            <w:pPr>
              <w:spacing w:after="100"/>
              <w:rPr>
                <w:rFonts w:eastAsia="Times New Roman"/>
                <w:sz w:val="20"/>
                <w:szCs w:val="20"/>
              </w:rPr>
            </w:pPr>
          </w:p>
        </w:tc>
        <w:tc>
          <w:tcPr>
            <w:tcW w:w="0" w:type="auto"/>
            <w:vAlign w:val="center"/>
            <w:hideMark/>
          </w:tcPr>
          <w:p w14:paraId="61CE138F" w14:textId="77777777" w:rsidR="00000000" w:rsidRDefault="00405D16">
            <w:pPr>
              <w:spacing w:after="100"/>
              <w:rPr>
                <w:rFonts w:eastAsia="Times New Roman"/>
                <w:sz w:val="20"/>
                <w:szCs w:val="20"/>
              </w:rPr>
            </w:pPr>
          </w:p>
        </w:tc>
        <w:tc>
          <w:tcPr>
            <w:tcW w:w="0" w:type="auto"/>
            <w:vAlign w:val="center"/>
            <w:hideMark/>
          </w:tcPr>
          <w:p w14:paraId="39D149EA" w14:textId="77777777" w:rsidR="00000000" w:rsidRDefault="00405D16">
            <w:pPr>
              <w:spacing w:after="100"/>
              <w:rPr>
                <w:rFonts w:eastAsia="Times New Roman"/>
                <w:sz w:val="20"/>
                <w:szCs w:val="20"/>
              </w:rPr>
            </w:pPr>
          </w:p>
        </w:tc>
        <w:tc>
          <w:tcPr>
            <w:tcW w:w="0" w:type="auto"/>
            <w:vAlign w:val="center"/>
            <w:hideMark/>
          </w:tcPr>
          <w:p w14:paraId="2D0D5E3D" w14:textId="77777777" w:rsidR="00000000" w:rsidRDefault="00405D16">
            <w:pPr>
              <w:spacing w:after="100"/>
              <w:rPr>
                <w:rFonts w:eastAsia="Times New Roman"/>
                <w:sz w:val="20"/>
                <w:szCs w:val="20"/>
              </w:rPr>
            </w:pPr>
          </w:p>
        </w:tc>
        <w:tc>
          <w:tcPr>
            <w:tcW w:w="0" w:type="auto"/>
            <w:vAlign w:val="center"/>
            <w:hideMark/>
          </w:tcPr>
          <w:p w14:paraId="74E527E4" w14:textId="77777777" w:rsidR="00000000" w:rsidRDefault="00405D16">
            <w:pPr>
              <w:spacing w:after="100"/>
              <w:rPr>
                <w:rFonts w:eastAsia="Times New Roman"/>
                <w:sz w:val="20"/>
                <w:szCs w:val="20"/>
              </w:rPr>
            </w:pPr>
          </w:p>
        </w:tc>
        <w:tc>
          <w:tcPr>
            <w:tcW w:w="0" w:type="auto"/>
            <w:vAlign w:val="center"/>
            <w:hideMark/>
          </w:tcPr>
          <w:p w14:paraId="16385EF3" w14:textId="77777777" w:rsidR="00000000" w:rsidRDefault="00405D16">
            <w:pPr>
              <w:spacing w:after="100"/>
              <w:rPr>
                <w:rFonts w:eastAsia="Times New Roman"/>
                <w:sz w:val="20"/>
                <w:szCs w:val="20"/>
              </w:rPr>
            </w:pPr>
          </w:p>
        </w:tc>
      </w:tr>
      <w:tr w:rsidR="00000000" w14:paraId="53F2EAFC" w14:textId="77777777">
        <w:tc>
          <w:tcPr>
            <w:tcW w:w="0" w:type="auto"/>
            <w:gridSpan w:val="3"/>
            <w:tcBorders>
              <w:bottom w:val="single" w:sz="8" w:space="0" w:color="000000"/>
            </w:tcBorders>
            <w:tcMar>
              <w:top w:w="30" w:type="dxa"/>
              <w:left w:w="20" w:type="dxa"/>
              <w:bottom w:w="30" w:type="dxa"/>
              <w:right w:w="20" w:type="dxa"/>
            </w:tcMar>
            <w:vAlign w:val="bottom"/>
            <w:hideMark/>
          </w:tcPr>
          <w:p w14:paraId="7A4CF9E2" w14:textId="77777777" w:rsidR="00000000" w:rsidRDefault="00405D16">
            <w:pPr>
              <w:spacing w:after="100"/>
              <w:rPr>
                <w:rFonts w:eastAsia="Times New Roman"/>
              </w:rPr>
            </w:pPr>
            <w:r>
              <w:rPr>
                <w:rFonts w:eastAsia="Times New Roman"/>
                <w:i/>
                <w:iCs/>
                <w:color w:val="000000"/>
                <w:sz w:val="16"/>
                <w:szCs w:val="16"/>
              </w:rPr>
              <w:t>(Dollars </w:t>
            </w:r>
            <w:r>
              <w:rPr>
                <w:rFonts w:eastAsia="Times New Roman"/>
                <w:i/>
                <w:iCs/>
                <w:color w:val="000000"/>
                <w:sz w:val="16"/>
                <w:szCs w:val="16"/>
              </w:rPr>
              <w:t>in millions)</w:t>
            </w:r>
          </w:p>
        </w:tc>
        <w:tc>
          <w:tcPr>
            <w:tcW w:w="0" w:type="auto"/>
            <w:gridSpan w:val="3"/>
            <w:tcMar>
              <w:top w:w="0" w:type="dxa"/>
              <w:left w:w="20" w:type="dxa"/>
              <w:bottom w:w="0" w:type="dxa"/>
              <w:right w:w="20" w:type="dxa"/>
            </w:tcMar>
            <w:vAlign w:val="center"/>
            <w:hideMark/>
          </w:tcPr>
          <w:p w14:paraId="761B45AA" w14:textId="77777777" w:rsidR="00000000" w:rsidRDefault="00405D16">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F4C80A0" w14:textId="77777777" w:rsidR="00000000" w:rsidRDefault="00405D16">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04EF22F7" w14:textId="77777777" w:rsidR="00000000" w:rsidRDefault="00405D1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51D10FB" w14:textId="77777777" w:rsidR="00000000" w:rsidRDefault="00405D16">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27215051" w14:textId="77777777" w:rsidR="00000000" w:rsidRDefault="00405D1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412F2D1" w14:textId="77777777" w:rsidR="00000000" w:rsidRDefault="00405D16">
            <w:pPr>
              <w:spacing w:after="100"/>
              <w:jc w:val="center"/>
              <w:rPr>
                <w:rFonts w:eastAsia="Times New Roman"/>
              </w:rPr>
            </w:pPr>
            <w:r>
              <w:rPr>
                <w:rFonts w:eastAsia="Times New Roman"/>
                <w:b/>
                <w:bCs/>
                <w:color w:val="000000"/>
                <w:sz w:val="16"/>
                <w:szCs w:val="16"/>
              </w:rPr>
              <w:t>Commercial Banking</w:t>
            </w:r>
          </w:p>
        </w:tc>
        <w:tc>
          <w:tcPr>
            <w:tcW w:w="0" w:type="auto"/>
            <w:gridSpan w:val="3"/>
            <w:tcBorders>
              <w:top w:val="single" w:sz="8" w:space="0" w:color="000000"/>
            </w:tcBorders>
            <w:tcMar>
              <w:top w:w="0" w:type="dxa"/>
              <w:left w:w="20" w:type="dxa"/>
              <w:bottom w:w="0" w:type="dxa"/>
              <w:right w:w="20" w:type="dxa"/>
            </w:tcMar>
            <w:vAlign w:val="center"/>
            <w:hideMark/>
          </w:tcPr>
          <w:p w14:paraId="25FA0907" w14:textId="77777777" w:rsidR="00000000" w:rsidRDefault="00405D16">
            <w:pPr>
              <w:spacing w:after="100"/>
              <w:jc w:val="center"/>
              <w:rPr>
                <w:rFonts w:eastAsia="Times New Roman"/>
              </w:rPr>
            </w:pPr>
          </w:p>
        </w:tc>
        <w:tc>
          <w:tcPr>
            <w:tcW w:w="0" w:type="auto"/>
            <w:vAlign w:val="center"/>
            <w:hideMark/>
          </w:tcPr>
          <w:p w14:paraId="043927DD" w14:textId="77777777" w:rsidR="00000000" w:rsidRDefault="00405D16">
            <w:pPr>
              <w:spacing w:after="100"/>
              <w:rPr>
                <w:rFonts w:eastAsia="Times New Roman"/>
                <w:sz w:val="20"/>
                <w:szCs w:val="20"/>
              </w:rPr>
            </w:pPr>
          </w:p>
        </w:tc>
        <w:tc>
          <w:tcPr>
            <w:tcW w:w="0" w:type="auto"/>
            <w:gridSpan w:val="3"/>
            <w:vAlign w:val="center"/>
            <w:hideMark/>
          </w:tcPr>
          <w:p w14:paraId="1FBB065B" w14:textId="77777777" w:rsidR="00000000" w:rsidRDefault="00405D16">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4EF85F5" w14:textId="77777777" w:rsidR="00000000" w:rsidRDefault="00405D16">
            <w:pPr>
              <w:spacing w:after="100"/>
              <w:jc w:val="center"/>
              <w:rPr>
                <w:rFonts w:eastAsia="Times New Roman"/>
              </w:rPr>
            </w:pPr>
            <w:r>
              <w:rPr>
                <w:rFonts w:eastAsia="Times New Roman"/>
                <w:b/>
                <w:bCs/>
                <w:color w:val="000000"/>
                <w:sz w:val="16"/>
                <w:szCs w:val="16"/>
              </w:rPr>
              <w:t>Total</w:t>
            </w:r>
          </w:p>
        </w:tc>
      </w:tr>
      <w:tr w:rsidR="00000000" w14:paraId="66FB6C2F" w14:textId="7777777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92D9D5D" w14:textId="77777777" w:rsidR="00000000" w:rsidRDefault="00405D16">
            <w:pPr>
              <w:spacing w:after="100"/>
              <w:rPr>
                <w:rFonts w:eastAsia="Times New Roman"/>
              </w:rPr>
            </w:pPr>
            <w:r>
              <w:rPr>
                <w:rFonts w:eastAsia="Times New Roman"/>
                <w:b/>
                <w:bCs/>
                <w:color w:val="000000"/>
                <w:sz w:val="18"/>
                <w:szCs w:val="18"/>
              </w:rPr>
              <w:t>Allowance for credit losses:</w:t>
            </w:r>
          </w:p>
        </w:tc>
        <w:tc>
          <w:tcPr>
            <w:tcW w:w="0" w:type="auto"/>
            <w:gridSpan w:val="3"/>
            <w:shd w:val="clear" w:color="auto" w:fill="CCEEFF"/>
            <w:tcMar>
              <w:top w:w="0" w:type="dxa"/>
              <w:left w:w="20" w:type="dxa"/>
              <w:bottom w:w="0" w:type="dxa"/>
              <w:right w:w="20" w:type="dxa"/>
            </w:tcMar>
            <w:vAlign w:val="center"/>
            <w:hideMark/>
          </w:tcPr>
          <w:p w14:paraId="55FACE21"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1C29D8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233B0E"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C9D8C8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26292F"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A06C4B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B6909A" w14:textId="77777777" w:rsidR="00000000" w:rsidRDefault="00405D16">
            <w:pPr>
              <w:spacing w:after="100"/>
              <w:rPr>
                <w:rFonts w:eastAsia="Times New Roman"/>
                <w:sz w:val="20"/>
                <w:szCs w:val="20"/>
              </w:rPr>
            </w:pPr>
          </w:p>
        </w:tc>
        <w:tc>
          <w:tcPr>
            <w:tcW w:w="0" w:type="auto"/>
            <w:vAlign w:val="center"/>
            <w:hideMark/>
          </w:tcPr>
          <w:p w14:paraId="26D64D39" w14:textId="77777777" w:rsidR="00000000" w:rsidRDefault="00405D16">
            <w:pPr>
              <w:spacing w:after="100"/>
              <w:rPr>
                <w:rFonts w:eastAsia="Times New Roman"/>
                <w:sz w:val="20"/>
                <w:szCs w:val="20"/>
              </w:rPr>
            </w:pPr>
          </w:p>
        </w:tc>
        <w:tc>
          <w:tcPr>
            <w:tcW w:w="0" w:type="auto"/>
            <w:gridSpan w:val="3"/>
            <w:vAlign w:val="center"/>
            <w:hideMark/>
          </w:tcPr>
          <w:p w14:paraId="065D3F21"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24B8A0A" w14:textId="77777777" w:rsidR="00000000" w:rsidRDefault="00405D16">
            <w:pPr>
              <w:spacing w:after="100"/>
              <w:rPr>
                <w:rFonts w:eastAsia="Times New Roman"/>
                <w:sz w:val="20"/>
                <w:szCs w:val="20"/>
              </w:rPr>
            </w:pPr>
          </w:p>
        </w:tc>
      </w:tr>
      <w:tr w:rsidR="00000000" w14:paraId="77D5EFEF" w14:textId="77777777">
        <w:tc>
          <w:tcPr>
            <w:tcW w:w="0" w:type="auto"/>
            <w:gridSpan w:val="3"/>
            <w:shd w:val="clear" w:color="auto" w:fill="FFFFFF"/>
            <w:tcMar>
              <w:top w:w="30" w:type="dxa"/>
              <w:left w:w="20" w:type="dxa"/>
              <w:bottom w:w="30" w:type="dxa"/>
              <w:right w:w="20" w:type="dxa"/>
            </w:tcMar>
            <w:vAlign w:val="center"/>
            <w:hideMark/>
          </w:tcPr>
          <w:p w14:paraId="56723D03" w14:textId="77777777" w:rsidR="00000000" w:rsidRDefault="00405D16">
            <w:pPr>
              <w:spacing w:after="100"/>
              <w:rPr>
                <w:rFonts w:eastAsia="Times New Roman"/>
              </w:rPr>
            </w:pPr>
            <w:r>
              <w:rPr>
                <w:rFonts w:eastAsia="Times New Roman"/>
                <w:color w:val="000000"/>
                <w:sz w:val="18"/>
                <w:szCs w:val="18"/>
              </w:rPr>
              <w:t>Balance as of December 31, 2020</w:t>
            </w:r>
          </w:p>
        </w:tc>
        <w:tc>
          <w:tcPr>
            <w:tcW w:w="0" w:type="auto"/>
            <w:gridSpan w:val="3"/>
            <w:shd w:val="clear" w:color="auto" w:fill="FFFFFF"/>
            <w:tcMar>
              <w:top w:w="0" w:type="dxa"/>
              <w:left w:w="20" w:type="dxa"/>
              <w:bottom w:w="0" w:type="dxa"/>
              <w:right w:w="20" w:type="dxa"/>
            </w:tcMar>
            <w:vAlign w:val="center"/>
            <w:hideMark/>
          </w:tcPr>
          <w:p w14:paraId="779B722E"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2178439A"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1DC62C36" w14:textId="77777777" w:rsidR="00000000" w:rsidRDefault="00405D16">
            <w:pPr>
              <w:spacing w:after="100"/>
              <w:jc w:val="right"/>
              <w:rPr>
                <w:rFonts w:eastAsia="Times New Roman"/>
              </w:rPr>
            </w:pPr>
            <w:r>
              <w:rPr>
                <w:rFonts w:eastAsia="Times New Roman"/>
                <w:color w:val="000000"/>
                <w:sz w:val="18"/>
                <w:szCs w:val="18"/>
              </w:rPr>
              <w:t>11,191 </w:t>
            </w:r>
          </w:p>
        </w:tc>
        <w:tc>
          <w:tcPr>
            <w:tcW w:w="0" w:type="auto"/>
            <w:shd w:val="clear" w:color="auto" w:fill="FFFFFF"/>
            <w:tcMar>
              <w:top w:w="30" w:type="dxa"/>
              <w:left w:w="0" w:type="dxa"/>
              <w:bottom w:w="30" w:type="dxa"/>
              <w:right w:w="20" w:type="dxa"/>
            </w:tcMar>
            <w:vAlign w:val="center"/>
            <w:hideMark/>
          </w:tcPr>
          <w:p w14:paraId="569ACF1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08478E"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4ADD905"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0C6B64C5" w14:textId="77777777" w:rsidR="00000000" w:rsidRDefault="00405D16">
            <w:pPr>
              <w:spacing w:after="100"/>
              <w:jc w:val="right"/>
              <w:rPr>
                <w:rFonts w:eastAsia="Times New Roman"/>
              </w:rPr>
            </w:pPr>
            <w:r>
              <w:rPr>
                <w:rFonts w:eastAsia="Times New Roman"/>
                <w:color w:val="000000"/>
                <w:sz w:val="18"/>
                <w:szCs w:val="18"/>
              </w:rPr>
              <w:t>2,715 </w:t>
            </w:r>
          </w:p>
        </w:tc>
        <w:tc>
          <w:tcPr>
            <w:tcW w:w="0" w:type="auto"/>
            <w:shd w:val="clear" w:color="auto" w:fill="FFFFFF"/>
            <w:tcMar>
              <w:top w:w="30" w:type="dxa"/>
              <w:left w:w="0" w:type="dxa"/>
              <w:bottom w:w="30" w:type="dxa"/>
              <w:right w:w="20" w:type="dxa"/>
            </w:tcMar>
            <w:vAlign w:val="center"/>
            <w:hideMark/>
          </w:tcPr>
          <w:p w14:paraId="0F0585C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E9DD36"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3D84A1D"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7BA03125" w14:textId="77777777" w:rsidR="00000000" w:rsidRDefault="00405D16">
            <w:pPr>
              <w:spacing w:after="100"/>
              <w:jc w:val="right"/>
              <w:rPr>
                <w:rFonts w:eastAsia="Times New Roman"/>
              </w:rPr>
            </w:pPr>
            <w:r>
              <w:rPr>
                <w:rFonts w:eastAsia="Times New Roman"/>
                <w:color w:val="000000"/>
                <w:sz w:val="18"/>
                <w:szCs w:val="18"/>
              </w:rPr>
              <w:t>1,658 </w:t>
            </w:r>
          </w:p>
        </w:tc>
        <w:tc>
          <w:tcPr>
            <w:tcW w:w="0" w:type="auto"/>
            <w:shd w:val="clear" w:color="auto" w:fill="FFFFFF"/>
            <w:tcMar>
              <w:top w:w="30" w:type="dxa"/>
              <w:left w:w="0" w:type="dxa"/>
              <w:bottom w:w="30" w:type="dxa"/>
              <w:right w:w="20" w:type="dxa"/>
            </w:tcMar>
            <w:vAlign w:val="center"/>
            <w:hideMark/>
          </w:tcPr>
          <w:p w14:paraId="4B8A46E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CE426B" w14:textId="77777777" w:rsidR="00000000" w:rsidRDefault="00405D16">
            <w:pPr>
              <w:spacing w:after="100"/>
              <w:jc w:val="right"/>
              <w:rPr>
                <w:rFonts w:eastAsia="Times New Roman"/>
                <w:sz w:val="20"/>
                <w:szCs w:val="20"/>
              </w:rPr>
            </w:pPr>
          </w:p>
        </w:tc>
        <w:tc>
          <w:tcPr>
            <w:tcW w:w="0" w:type="auto"/>
            <w:vAlign w:val="center"/>
            <w:hideMark/>
          </w:tcPr>
          <w:p w14:paraId="0DD6AF15" w14:textId="77777777" w:rsidR="00000000" w:rsidRDefault="00405D16">
            <w:pPr>
              <w:spacing w:after="100"/>
              <w:rPr>
                <w:rFonts w:eastAsia="Times New Roman"/>
                <w:sz w:val="20"/>
                <w:szCs w:val="20"/>
              </w:rPr>
            </w:pPr>
          </w:p>
        </w:tc>
        <w:tc>
          <w:tcPr>
            <w:tcW w:w="0" w:type="auto"/>
            <w:gridSpan w:val="3"/>
            <w:vAlign w:val="center"/>
            <w:hideMark/>
          </w:tcPr>
          <w:p w14:paraId="0007728D" w14:textId="77777777" w:rsidR="00000000" w:rsidRDefault="00405D16">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8C24E5C"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1144EFAD" w14:textId="77777777" w:rsidR="00000000" w:rsidRDefault="00405D16">
            <w:pPr>
              <w:spacing w:after="100"/>
              <w:jc w:val="right"/>
              <w:rPr>
                <w:rFonts w:eastAsia="Times New Roman"/>
              </w:rPr>
            </w:pPr>
            <w:r>
              <w:rPr>
                <w:rFonts w:eastAsia="Times New Roman"/>
                <w:color w:val="000000"/>
                <w:sz w:val="18"/>
                <w:szCs w:val="18"/>
              </w:rPr>
              <w:t>15,564 </w:t>
            </w:r>
          </w:p>
        </w:tc>
        <w:tc>
          <w:tcPr>
            <w:tcW w:w="0" w:type="auto"/>
            <w:shd w:val="clear" w:color="auto" w:fill="FFFFFF"/>
            <w:tcMar>
              <w:top w:w="30" w:type="dxa"/>
              <w:left w:w="0" w:type="dxa"/>
              <w:bottom w:w="30" w:type="dxa"/>
              <w:right w:w="20" w:type="dxa"/>
            </w:tcMar>
            <w:vAlign w:val="center"/>
            <w:hideMark/>
          </w:tcPr>
          <w:p w14:paraId="1CAB6F34" w14:textId="77777777" w:rsidR="00000000" w:rsidRDefault="00405D16">
            <w:pPr>
              <w:spacing w:after="100"/>
              <w:jc w:val="right"/>
              <w:rPr>
                <w:rFonts w:eastAsia="Times New Roman"/>
              </w:rPr>
            </w:pPr>
          </w:p>
        </w:tc>
      </w:tr>
      <w:tr w:rsidR="00000000" w14:paraId="71E1D992" w14:textId="77777777">
        <w:tc>
          <w:tcPr>
            <w:tcW w:w="0" w:type="auto"/>
            <w:gridSpan w:val="3"/>
            <w:shd w:val="clear" w:color="auto" w:fill="CCEEFF"/>
            <w:tcMar>
              <w:top w:w="30" w:type="dxa"/>
              <w:left w:w="20" w:type="dxa"/>
              <w:bottom w:w="30" w:type="dxa"/>
              <w:right w:w="20" w:type="dxa"/>
            </w:tcMar>
            <w:vAlign w:val="center"/>
            <w:hideMark/>
          </w:tcPr>
          <w:p w14:paraId="6562A00E" w14:textId="77777777" w:rsidR="00000000" w:rsidRDefault="00405D16">
            <w:pPr>
              <w:spacing w:after="100"/>
              <w:divId w:val="1713279"/>
              <w:rPr>
                <w:rFonts w:eastAsia="Times New Roman"/>
              </w:rPr>
            </w:pPr>
            <w:r>
              <w:rPr>
                <w:rFonts w:eastAsia="Times New Roman"/>
                <w:color w:val="000000"/>
                <w:sz w:val="18"/>
                <w:szCs w:val="18"/>
              </w:rPr>
              <w:t>Charge-offs</w:t>
            </w:r>
          </w:p>
        </w:tc>
        <w:tc>
          <w:tcPr>
            <w:tcW w:w="0" w:type="auto"/>
            <w:gridSpan w:val="3"/>
            <w:shd w:val="clear" w:color="auto" w:fill="CCEEFF"/>
            <w:tcMar>
              <w:top w:w="0" w:type="dxa"/>
              <w:left w:w="20" w:type="dxa"/>
              <w:bottom w:w="0" w:type="dxa"/>
              <w:right w:w="20" w:type="dxa"/>
            </w:tcMar>
            <w:vAlign w:val="center"/>
            <w:hideMark/>
          </w:tcPr>
          <w:p w14:paraId="13A31939"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30B54E7" w14:textId="77777777" w:rsidR="00000000" w:rsidRDefault="00405D16">
            <w:pPr>
              <w:spacing w:after="100"/>
              <w:jc w:val="right"/>
              <w:rPr>
                <w:rFonts w:eastAsia="Times New Roman"/>
              </w:rPr>
            </w:pPr>
            <w:r>
              <w:rPr>
                <w:rFonts w:eastAsia="Times New Roman"/>
                <w:b/>
                <w:bCs/>
                <w:color w:val="000000"/>
                <w:sz w:val="18"/>
                <w:szCs w:val="18"/>
              </w:rPr>
              <w:t>(2,695)</w:t>
            </w:r>
          </w:p>
        </w:tc>
        <w:tc>
          <w:tcPr>
            <w:tcW w:w="0" w:type="auto"/>
            <w:shd w:val="clear" w:color="auto" w:fill="CCEEFF"/>
            <w:tcMar>
              <w:top w:w="30" w:type="dxa"/>
              <w:left w:w="0" w:type="dxa"/>
              <w:bottom w:w="30" w:type="dxa"/>
              <w:right w:w="20" w:type="dxa"/>
            </w:tcMar>
            <w:vAlign w:val="center"/>
            <w:hideMark/>
          </w:tcPr>
          <w:p w14:paraId="14C520C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87135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DFDA80D" w14:textId="77777777" w:rsidR="00000000" w:rsidRDefault="00405D16">
            <w:pPr>
              <w:spacing w:after="100"/>
              <w:jc w:val="right"/>
              <w:rPr>
                <w:rFonts w:eastAsia="Times New Roman"/>
              </w:rPr>
            </w:pPr>
            <w:r>
              <w:rPr>
                <w:rFonts w:eastAsia="Times New Roman"/>
                <w:b/>
                <w:bCs/>
                <w:color w:val="000000"/>
                <w:sz w:val="18"/>
                <w:szCs w:val="18"/>
              </w:rPr>
              <w:t>(866)</w:t>
            </w:r>
          </w:p>
        </w:tc>
        <w:tc>
          <w:tcPr>
            <w:tcW w:w="0" w:type="auto"/>
            <w:shd w:val="clear" w:color="auto" w:fill="CCEEFF"/>
            <w:tcMar>
              <w:top w:w="30" w:type="dxa"/>
              <w:left w:w="0" w:type="dxa"/>
              <w:bottom w:w="30" w:type="dxa"/>
              <w:right w:w="20" w:type="dxa"/>
            </w:tcMar>
            <w:vAlign w:val="center"/>
            <w:hideMark/>
          </w:tcPr>
          <w:p w14:paraId="0724E47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5CCEA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C7052A0" w14:textId="77777777" w:rsidR="00000000" w:rsidRDefault="00405D16">
            <w:pPr>
              <w:spacing w:after="100"/>
              <w:jc w:val="right"/>
              <w:rPr>
                <w:rFonts w:eastAsia="Times New Roman"/>
              </w:rPr>
            </w:pPr>
            <w:r>
              <w:rPr>
                <w:rFonts w:eastAsia="Times New Roman"/>
                <w:b/>
                <w:bCs/>
                <w:color w:val="000000"/>
                <w:sz w:val="18"/>
                <w:szCs w:val="18"/>
              </w:rPr>
              <w:t>(47)</w:t>
            </w:r>
          </w:p>
        </w:tc>
        <w:tc>
          <w:tcPr>
            <w:tcW w:w="0" w:type="auto"/>
            <w:shd w:val="clear" w:color="auto" w:fill="CCEEFF"/>
            <w:tcMar>
              <w:top w:w="30" w:type="dxa"/>
              <w:left w:w="0" w:type="dxa"/>
              <w:bottom w:w="30" w:type="dxa"/>
              <w:right w:w="20" w:type="dxa"/>
            </w:tcMar>
            <w:vAlign w:val="center"/>
            <w:hideMark/>
          </w:tcPr>
          <w:p w14:paraId="5C1EB74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6A72B1" w14:textId="77777777" w:rsidR="00000000" w:rsidRDefault="00405D16">
            <w:pPr>
              <w:spacing w:after="100"/>
              <w:jc w:val="right"/>
              <w:rPr>
                <w:rFonts w:eastAsia="Times New Roman"/>
                <w:sz w:val="20"/>
                <w:szCs w:val="20"/>
              </w:rPr>
            </w:pPr>
          </w:p>
        </w:tc>
        <w:tc>
          <w:tcPr>
            <w:tcW w:w="0" w:type="auto"/>
            <w:vAlign w:val="center"/>
            <w:hideMark/>
          </w:tcPr>
          <w:p w14:paraId="0BBEBDDB" w14:textId="77777777" w:rsidR="00000000" w:rsidRDefault="00405D16">
            <w:pPr>
              <w:spacing w:after="100"/>
              <w:rPr>
                <w:rFonts w:eastAsia="Times New Roman"/>
                <w:sz w:val="20"/>
                <w:szCs w:val="20"/>
              </w:rPr>
            </w:pPr>
          </w:p>
        </w:tc>
        <w:tc>
          <w:tcPr>
            <w:tcW w:w="0" w:type="auto"/>
            <w:gridSpan w:val="3"/>
            <w:vAlign w:val="center"/>
            <w:hideMark/>
          </w:tcPr>
          <w:p w14:paraId="2F862DF6"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99E0112" w14:textId="77777777" w:rsidR="00000000" w:rsidRDefault="00405D16">
            <w:pPr>
              <w:spacing w:after="100"/>
              <w:jc w:val="right"/>
              <w:rPr>
                <w:rFonts w:eastAsia="Times New Roman"/>
              </w:rPr>
            </w:pPr>
            <w:r>
              <w:rPr>
                <w:rFonts w:eastAsia="Times New Roman"/>
                <w:b/>
                <w:bCs/>
                <w:color w:val="000000"/>
                <w:sz w:val="18"/>
                <w:szCs w:val="18"/>
              </w:rPr>
              <w:t>(3,608)</w:t>
            </w:r>
          </w:p>
        </w:tc>
        <w:tc>
          <w:tcPr>
            <w:tcW w:w="0" w:type="auto"/>
            <w:shd w:val="clear" w:color="auto" w:fill="CCEEFF"/>
            <w:tcMar>
              <w:top w:w="30" w:type="dxa"/>
              <w:left w:w="0" w:type="dxa"/>
              <w:bottom w:w="30" w:type="dxa"/>
              <w:right w:w="20" w:type="dxa"/>
            </w:tcMar>
            <w:vAlign w:val="center"/>
            <w:hideMark/>
          </w:tcPr>
          <w:p w14:paraId="4D9BED0D" w14:textId="77777777" w:rsidR="00000000" w:rsidRDefault="00405D16">
            <w:pPr>
              <w:spacing w:after="100"/>
              <w:jc w:val="right"/>
              <w:rPr>
                <w:rFonts w:eastAsia="Times New Roman"/>
              </w:rPr>
            </w:pPr>
          </w:p>
        </w:tc>
      </w:tr>
      <w:tr w:rsidR="00000000" w14:paraId="5E91DF3C" w14:textId="77777777">
        <w:tc>
          <w:tcPr>
            <w:tcW w:w="0" w:type="auto"/>
            <w:gridSpan w:val="3"/>
            <w:shd w:val="clear" w:color="auto" w:fill="FFFFFF"/>
            <w:tcMar>
              <w:top w:w="30" w:type="dxa"/>
              <w:left w:w="20" w:type="dxa"/>
              <w:bottom w:w="30" w:type="dxa"/>
              <w:right w:w="20" w:type="dxa"/>
            </w:tcMar>
            <w:vAlign w:val="center"/>
            <w:hideMark/>
          </w:tcPr>
          <w:p w14:paraId="0064ABAE" w14:textId="77777777" w:rsidR="00000000" w:rsidRDefault="00405D16">
            <w:pPr>
              <w:spacing w:after="100"/>
              <w:divId w:val="839928407"/>
              <w:rPr>
                <w:rFonts w:eastAsia="Times New Roman"/>
              </w:rPr>
            </w:pPr>
            <w:r>
              <w:rPr>
                <w:rFonts w:eastAsia="Times New Roman"/>
                <w:color w:val="000000"/>
                <w:sz w:val="18"/>
                <w:szCs w:val="18"/>
              </w:rPr>
              <w:t>Recoverie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311AEC95"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0F2D6B6" w14:textId="77777777" w:rsidR="00000000" w:rsidRDefault="00405D16">
            <w:pPr>
              <w:spacing w:after="100"/>
              <w:jc w:val="right"/>
              <w:rPr>
                <w:rFonts w:eastAsia="Times New Roman"/>
              </w:rPr>
            </w:pPr>
            <w:r>
              <w:rPr>
                <w:rFonts w:eastAsia="Times New Roman"/>
                <w:b/>
                <w:bCs/>
                <w:color w:val="000000"/>
                <w:sz w:val="18"/>
                <w:szCs w:val="18"/>
              </w:rPr>
              <w:t>1,125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F23F06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C9F1F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E535436" w14:textId="77777777" w:rsidR="00000000" w:rsidRDefault="00405D16">
            <w:pPr>
              <w:spacing w:after="100"/>
              <w:jc w:val="right"/>
              <w:rPr>
                <w:rFonts w:eastAsia="Times New Roman"/>
              </w:rPr>
            </w:pPr>
            <w:r>
              <w:rPr>
                <w:rFonts w:eastAsia="Times New Roman"/>
                <w:b/>
                <w:bCs/>
                <w:color w:val="000000"/>
                <w:sz w:val="18"/>
                <w:szCs w:val="18"/>
              </w:rPr>
              <w:t>735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DD2752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E55BB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2FB7F2E" w14:textId="77777777" w:rsidR="00000000" w:rsidRDefault="00405D16">
            <w:pPr>
              <w:spacing w:after="100"/>
              <w:jc w:val="right"/>
              <w:rPr>
                <w:rFonts w:eastAsia="Times New Roman"/>
              </w:rPr>
            </w:pPr>
            <w:r>
              <w:rPr>
                <w:rFonts w:eastAsia="Times New Roman"/>
                <w:b/>
                <w:bCs/>
                <w:color w:val="000000"/>
                <w:sz w:val="18"/>
                <w:szCs w:val="18"/>
              </w:rPr>
              <w:t>41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54AAE1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04E8BF" w14:textId="77777777" w:rsidR="00000000" w:rsidRDefault="00405D16">
            <w:pPr>
              <w:spacing w:after="100"/>
              <w:jc w:val="right"/>
              <w:rPr>
                <w:rFonts w:eastAsia="Times New Roman"/>
                <w:sz w:val="20"/>
                <w:szCs w:val="20"/>
              </w:rPr>
            </w:pPr>
          </w:p>
        </w:tc>
        <w:tc>
          <w:tcPr>
            <w:tcW w:w="0" w:type="auto"/>
            <w:vAlign w:val="center"/>
            <w:hideMark/>
          </w:tcPr>
          <w:p w14:paraId="6061A9B0" w14:textId="77777777" w:rsidR="00000000" w:rsidRDefault="00405D16">
            <w:pPr>
              <w:spacing w:after="100"/>
              <w:rPr>
                <w:rFonts w:eastAsia="Times New Roman"/>
                <w:sz w:val="20"/>
                <w:szCs w:val="20"/>
              </w:rPr>
            </w:pPr>
          </w:p>
        </w:tc>
        <w:tc>
          <w:tcPr>
            <w:tcW w:w="0" w:type="auto"/>
            <w:gridSpan w:val="3"/>
            <w:vAlign w:val="center"/>
            <w:hideMark/>
          </w:tcPr>
          <w:p w14:paraId="1DB7AC61"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A5CC288" w14:textId="77777777" w:rsidR="00000000" w:rsidRDefault="00405D16">
            <w:pPr>
              <w:spacing w:after="100"/>
              <w:jc w:val="right"/>
              <w:rPr>
                <w:rFonts w:eastAsia="Times New Roman"/>
              </w:rPr>
            </w:pPr>
            <w:r>
              <w:rPr>
                <w:rFonts w:eastAsia="Times New Roman"/>
                <w:b/>
                <w:bCs/>
                <w:color w:val="000000"/>
                <w:sz w:val="18"/>
                <w:szCs w:val="18"/>
              </w:rPr>
              <w:t>1,901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39FA536" w14:textId="77777777" w:rsidR="00000000" w:rsidRDefault="00405D16">
            <w:pPr>
              <w:spacing w:after="100"/>
              <w:jc w:val="right"/>
              <w:rPr>
                <w:rFonts w:eastAsia="Times New Roman"/>
              </w:rPr>
            </w:pPr>
          </w:p>
        </w:tc>
      </w:tr>
      <w:tr w:rsidR="00000000" w14:paraId="786865AB" w14:textId="77777777">
        <w:tc>
          <w:tcPr>
            <w:tcW w:w="0" w:type="auto"/>
            <w:gridSpan w:val="3"/>
            <w:shd w:val="clear" w:color="auto" w:fill="CCEEFF"/>
            <w:tcMar>
              <w:top w:w="30" w:type="dxa"/>
              <w:left w:w="20" w:type="dxa"/>
              <w:bottom w:w="30" w:type="dxa"/>
              <w:right w:w="20" w:type="dxa"/>
            </w:tcMar>
            <w:vAlign w:val="center"/>
            <w:hideMark/>
          </w:tcPr>
          <w:p w14:paraId="1D2DD9BD" w14:textId="77777777" w:rsidR="00000000" w:rsidRDefault="00405D16">
            <w:pPr>
              <w:spacing w:after="100"/>
              <w:rPr>
                <w:rFonts w:eastAsia="Times New Roman"/>
              </w:rPr>
            </w:pPr>
            <w:r>
              <w:rPr>
                <w:rFonts w:eastAsia="Times New Roman"/>
                <w:color w:val="000000"/>
                <w:sz w:val="18"/>
                <w:szCs w:val="18"/>
              </w:rPr>
              <w:t>Net charge-offs</w:t>
            </w:r>
          </w:p>
        </w:tc>
        <w:tc>
          <w:tcPr>
            <w:tcW w:w="0" w:type="auto"/>
            <w:gridSpan w:val="3"/>
            <w:shd w:val="clear" w:color="auto" w:fill="CCEEFF"/>
            <w:tcMar>
              <w:top w:w="0" w:type="dxa"/>
              <w:left w:w="20" w:type="dxa"/>
              <w:bottom w:w="0" w:type="dxa"/>
              <w:right w:w="20" w:type="dxa"/>
            </w:tcMar>
            <w:vAlign w:val="center"/>
            <w:hideMark/>
          </w:tcPr>
          <w:p w14:paraId="0306F271"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C8F972B" w14:textId="77777777" w:rsidR="00000000" w:rsidRDefault="00405D16">
            <w:pPr>
              <w:spacing w:after="100"/>
              <w:jc w:val="right"/>
              <w:rPr>
                <w:rFonts w:eastAsia="Times New Roman"/>
              </w:rPr>
            </w:pPr>
            <w:r>
              <w:rPr>
                <w:rFonts w:eastAsia="Times New Roman"/>
                <w:b/>
                <w:bCs/>
                <w:color w:val="000000"/>
                <w:sz w:val="18"/>
                <w:szCs w:val="18"/>
              </w:rPr>
              <w:t>(1,570)</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BA7165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11615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9D0677A" w14:textId="77777777" w:rsidR="00000000" w:rsidRDefault="00405D16">
            <w:pPr>
              <w:spacing w:after="100"/>
              <w:jc w:val="right"/>
              <w:rPr>
                <w:rFonts w:eastAsia="Times New Roman"/>
              </w:rPr>
            </w:pPr>
            <w:r>
              <w:rPr>
                <w:rFonts w:eastAsia="Times New Roman"/>
                <w:b/>
                <w:bCs/>
                <w:color w:val="000000"/>
                <w:sz w:val="18"/>
                <w:szCs w:val="18"/>
              </w:rPr>
              <w:t>(131)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B1E8C7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0050BC"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D25EE0D" w14:textId="77777777" w:rsidR="00000000" w:rsidRDefault="00405D16">
            <w:pPr>
              <w:spacing w:after="100"/>
              <w:jc w:val="right"/>
              <w:rPr>
                <w:rFonts w:eastAsia="Times New Roman"/>
              </w:rPr>
            </w:pPr>
            <w:r>
              <w:rPr>
                <w:rFonts w:eastAsia="Times New Roman"/>
                <w:b/>
                <w:bCs/>
                <w:color w:val="000000"/>
                <w:sz w:val="18"/>
                <w:szCs w:val="18"/>
              </w:rPr>
              <w:t>(6)</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32A339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0979DA" w14:textId="77777777" w:rsidR="00000000" w:rsidRDefault="00405D16">
            <w:pPr>
              <w:spacing w:after="100"/>
              <w:jc w:val="right"/>
              <w:rPr>
                <w:rFonts w:eastAsia="Times New Roman"/>
                <w:sz w:val="20"/>
                <w:szCs w:val="20"/>
              </w:rPr>
            </w:pPr>
          </w:p>
        </w:tc>
        <w:tc>
          <w:tcPr>
            <w:tcW w:w="0" w:type="auto"/>
            <w:vAlign w:val="center"/>
            <w:hideMark/>
          </w:tcPr>
          <w:p w14:paraId="579465CE" w14:textId="77777777" w:rsidR="00000000" w:rsidRDefault="00405D16">
            <w:pPr>
              <w:spacing w:after="100"/>
              <w:rPr>
                <w:rFonts w:eastAsia="Times New Roman"/>
                <w:sz w:val="20"/>
                <w:szCs w:val="20"/>
              </w:rPr>
            </w:pPr>
          </w:p>
        </w:tc>
        <w:tc>
          <w:tcPr>
            <w:tcW w:w="0" w:type="auto"/>
            <w:gridSpan w:val="3"/>
            <w:vAlign w:val="center"/>
            <w:hideMark/>
          </w:tcPr>
          <w:p w14:paraId="731276DA" w14:textId="77777777" w:rsidR="00000000" w:rsidRDefault="00405D16">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66670C0" w14:textId="77777777" w:rsidR="00000000" w:rsidRDefault="00405D16">
            <w:pPr>
              <w:spacing w:after="100"/>
              <w:jc w:val="right"/>
              <w:rPr>
                <w:rFonts w:eastAsia="Times New Roman"/>
              </w:rPr>
            </w:pPr>
            <w:r>
              <w:rPr>
                <w:rFonts w:eastAsia="Times New Roman"/>
                <w:b/>
                <w:bCs/>
                <w:color w:val="000000"/>
                <w:sz w:val="18"/>
                <w:szCs w:val="18"/>
              </w:rPr>
              <w:t>(1,707)</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3002A6D" w14:textId="77777777" w:rsidR="00000000" w:rsidRDefault="00405D16">
            <w:pPr>
              <w:spacing w:after="100"/>
              <w:jc w:val="right"/>
              <w:rPr>
                <w:rFonts w:eastAsia="Times New Roman"/>
              </w:rPr>
            </w:pPr>
          </w:p>
        </w:tc>
      </w:tr>
      <w:tr w:rsidR="00000000" w14:paraId="3026BAC8" w14:textId="77777777">
        <w:tc>
          <w:tcPr>
            <w:tcW w:w="0" w:type="auto"/>
            <w:gridSpan w:val="3"/>
            <w:shd w:val="clear" w:color="auto" w:fill="FFFFFF"/>
            <w:tcMar>
              <w:top w:w="30" w:type="dxa"/>
              <w:left w:w="20" w:type="dxa"/>
              <w:bottom w:w="30" w:type="dxa"/>
              <w:right w:w="20" w:type="dxa"/>
            </w:tcMar>
            <w:vAlign w:val="center"/>
            <w:hideMark/>
          </w:tcPr>
          <w:p w14:paraId="58115BAA" w14:textId="77777777" w:rsidR="00000000" w:rsidRDefault="00405D16">
            <w:pPr>
              <w:spacing w:after="100"/>
              <w:rPr>
                <w:rFonts w:eastAsia="Times New Roman"/>
              </w:rPr>
            </w:pPr>
            <w:r>
              <w:rPr>
                <w:rFonts w:eastAsia="Times New Roman"/>
                <w:color w:val="000000"/>
                <w:sz w:val="18"/>
                <w:szCs w:val="18"/>
              </w:rPr>
              <w:t>Provision (benefit) for credit losses</w:t>
            </w:r>
          </w:p>
        </w:tc>
        <w:tc>
          <w:tcPr>
            <w:tcW w:w="0" w:type="auto"/>
            <w:gridSpan w:val="3"/>
            <w:shd w:val="clear" w:color="auto" w:fill="FFFFFF"/>
            <w:tcMar>
              <w:top w:w="0" w:type="dxa"/>
              <w:left w:w="20" w:type="dxa"/>
              <w:bottom w:w="0" w:type="dxa"/>
              <w:right w:w="20" w:type="dxa"/>
            </w:tcMar>
            <w:vAlign w:val="center"/>
            <w:hideMark/>
          </w:tcPr>
          <w:p w14:paraId="2CF65D0E"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25CA2D4" w14:textId="77777777" w:rsidR="00000000" w:rsidRDefault="00405D16">
            <w:pPr>
              <w:spacing w:after="100"/>
              <w:jc w:val="right"/>
              <w:rPr>
                <w:rFonts w:eastAsia="Times New Roman"/>
              </w:rPr>
            </w:pPr>
            <w:r>
              <w:rPr>
                <w:rFonts w:eastAsia="Times New Roman"/>
                <w:b/>
                <w:bCs/>
                <w:color w:val="000000"/>
                <w:sz w:val="18"/>
                <w:szCs w:val="18"/>
              </w:rPr>
              <w:t>(1,325)</w:t>
            </w:r>
          </w:p>
        </w:tc>
        <w:tc>
          <w:tcPr>
            <w:tcW w:w="0" w:type="auto"/>
            <w:shd w:val="clear" w:color="auto" w:fill="FFFFFF"/>
            <w:tcMar>
              <w:top w:w="30" w:type="dxa"/>
              <w:left w:w="0" w:type="dxa"/>
              <w:bottom w:w="30" w:type="dxa"/>
              <w:right w:w="20" w:type="dxa"/>
            </w:tcMar>
            <w:vAlign w:val="center"/>
            <w:hideMark/>
          </w:tcPr>
          <w:p w14:paraId="36DF501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10819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448324F" w14:textId="77777777" w:rsidR="00000000" w:rsidRDefault="00405D16">
            <w:pPr>
              <w:spacing w:after="100"/>
              <w:jc w:val="right"/>
              <w:rPr>
                <w:rFonts w:eastAsia="Times New Roman"/>
              </w:rPr>
            </w:pPr>
            <w:r>
              <w:rPr>
                <w:rFonts w:eastAsia="Times New Roman"/>
                <w:b/>
                <w:bCs/>
                <w:color w:val="000000"/>
                <w:sz w:val="18"/>
                <w:szCs w:val="18"/>
              </w:rPr>
              <w:t>(523)</w:t>
            </w:r>
          </w:p>
        </w:tc>
        <w:tc>
          <w:tcPr>
            <w:tcW w:w="0" w:type="auto"/>
            <w:shd w:val="clear" w:color="auto" w:fill="FFFFFF"/>
            <w:tcMar>
              <w:top w:w="30" w:type="dxa"/>
              <w:left w:w="0" w:type="dxa"/>
              <w:bottom w:w="30" w:type="dxa"/>
              <w:right w:w="20" w:type="dxa"/>
            </w:tcMar>
            <w:vAlign w:val="center"/>
            <w:hideMark/>
          </w:tcPr>
          <w:p w14:paraId="60BEB9D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ED6A3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20FACE6" w14:textId="77777777" w:rsidR="00000000" w:rsidRDefault="00405D16">
            <w:pPr>
              <w:spacing w:after="100"/>
              <w:jc w:val="right"/>
              <w:rPr>
                <w:rFonts w:eastAsia="Times New Roman"/>
              </w:rPr>
            </w:pPr>
            <w:r>
              <w:rPr>
                <w:rFonts w:eastAsia="Times New Roman"/>
                <w:b/>
                <w:bCs/>
                <w:color w:val="000000"/>
                <w:sz w:val="18"/>
                <w:szCs w:val="18"/>
              </w:rPr>
              <w:t>(446)</w:t>
            </w:r>
          </w:p>
        </w:tc>
        <w:tc>
          <w:tcPr>
            <w:tcW w:w="0" w:type="auto"/>
            <w:shd w:val="clear" w:color="auto" w:fill="FFFFFF"/>
            <w:tcMar>
              <w:top w:w="30" w:type="dxa"/>
              <w:left w:w="0" w:type="dxa"/>
              <w:bottom w:w="30" w:type="dxa"/>
              <w:right w:w="20" w:type="dxa"/>
            </w:tcMar>
            <w:vAlign w:val="center"/>
            <w:hideMark/>
          </w:tcPr>
          <w:p w14:paraId="4E68B7E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63727B" w14:textId="77777777" w:rsidR="00000000" w:rsidRDefault="00405D16">
            <w:pPr>
              <w:spacing w:after="100"/>
              <w:jc w:val="right"/>
              <w:rPr>
                <w:rFonts w:eastAsia="Times New Roman"/>
                <w:sz w:val="20"/>
                <w:szCs w:val="20"/>
              </w:rPr>
            </w:pPr>
          </w:p>
        </w:tc>
        <w:tc>
          <w:tcPr>
            <w:tcW w:w="0" w:type="auto"/>
            <w:vAlign w:val="center"/>
            <w:hideMark/>
          </w:tcPr>
          <w:p w14:paraId="5C2BAB8E" w14:textId="77777777" w:rsidR="00000000" w:rsidRDefault="00405D16">
            <w:pPr>
              <w:spacing w:after="100"/>
              <w:rPr>
                <w:rFonts w:eastAsia="Times New Roman"/>
                <w:sz w:val="20"/>
                <w:szCs w:val="20"/>
              </w:rPr>
            </w:pPr>
          </w:p>
        </w:tc>
        <w:tc>
          <w:tcPr>
            <w:tcW w:w="0" w:type="auto"/>
            <w:gridSpan w:val="3"/>
            <w:vAlign w:val="center"/>
            <w:hideMark/>
          </w:tcPr>
          <w:p w14:paraId="12613C62"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7562E41" w14:textId="77777777" w:rsidR="00000000" w:rsidRDefault="00405D16">
            <w:pPr>
              <w:spacing w:after="100"/>
              <w:jc w:val="right"/>
              <w:rPr>
                <w:rFonts w:eastAsia="Times New Roman"/>
              </w:rPr>
            </w:pPr>
            <w:r>
              <w:rPr>
                <w:rFonts w:eastAsia="Times New Roman"/>
                <w:b/>
                <w:bCs/>
                <w:color w:val="000000"/>
                <w:sz w:val="18"/>
                <w:szCs w:val="18"/>
              </w:rPr>
              <w:t>(2,294)</w:t>
            </w:r>
          </w:p>
        </w:tc>
        <w:tc>
          <w:tcPr>
            <w:tcW w:w="0" w:type="auto"/>
            <w:shd w:val="clear" w:color="auto" w:fill="FFFFFF"/>
            <w:tcMar>
              <w:top w:w="30" w:type="dxa"/>
              <w:left w:w="0" w:type="dxa"/>
              <w:bottom w:w="30" w:type="dxa"/>
              <w:right w:w="20" w:type="dxa"/>
            </w:tcMar>
            <w:vAlign w:val="center"/>
            <w:hideMark/>
          </w:tcPr>
          <w:p w14:paraId="0039455D" w14:textId="77777777" w:rsidR="00000000" w:rsidRDefault="00405D16">
            <w:pPr>
              <w:spacing w:after="100"/>
              <w:jc w:val="right"/>
              <w:rPr>
                <w:rFonts w:eastAsia="Times New Roman"/>
              </w:rPr>
            </w:pPr>
          </w:p>
        </w:tc>
      </w:tr>
      <w:tr w:rsidR="00000000" w14:paraId="4ACB5A2B" w14:textId="77777777">
        <w:tc>
          <w:tcPr>
            <w:tcW w:w="0" w:type="auto"/>
            <w:gridSpan w:val="3"/>
            <w:shd w:val="clear" w:color="auto" w:fill="CCEEFF"/>
            <w:tcMar>
              <w:top w:w="30" w:type="dxa"/>
              <w:left w:w="20" w:type="dxa"/>
              <w:bottom w:w="30" w:type="dxa"/>
              <w:right w:w="20" w:type="dxa"/>
            </w:tcMar>
            <w:vAlign w:val="center"/>
            <w:hideMark/>
          </w:tcPr>
          <w:p w14:paraId="58D854C3" w14:textId="77777777" w:rsidR="00000000" w:rsidRDefault="00405D16">
            <w:pPr>
              <w:spacing w:after="100"/>
              <w:rPr>
                <w:rFonts w:eastAsia="Times New Roman"/>
              </w:rPr>
            </w:pPr>
            <w:r>
              <w:rPr>
                <w:rFonts w:eastAsia="Times New Roman"/>
                <w:color w:val="000000"/>
                <w:sz w:val="18"/>
                <w:szCs w:val="18"/>
              </w:rPr>
              <w:t>Allowance build (release) for credit losses</w:t>
            </w:r>
          </w:p>
        </w:tc>
        <w:tc>
          <w:tcPr>
            <w:tcW w:w="0" w:type="auto"/>
            <w:gridSpan w:val="3"/>
            <w:shd w:val="clear" w:color="auto" w:fill="CCEEFF"/>
            <w:tcMar>
              <w:top w:w="0" w:type="dxa"/>
              <w:left w:w="20" w:type="dxa"/>
              <w:bottom w:w="0" w:type="dxa"/>
              <w:right w:w="20" w:type="dxa"/>
            </w:tcMar>
            <w:vAlign w:val="center"/>
            <w:hideMark/>
          </w:tcPr>
          <w:p w14:paraId="7E38975A"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C1341B8" w14:textId="77777777" w:rsidR="00000000" w:rsidRDefault="00405D16">
            <w:pPr>
              <w:spacing w:after="100"/>
              <w:jc w:val="right"/>
              <w:rPr>
                <w:rFonts w:eastAsia="Times New Roman"/>
              </w:rPr>
            </w:pPr>
            <w:r>
              <w:rPr>
                <w:rFonts w:eastAsia="Times New Roman"/>
                <w:b/>
                <w:bCs/>
                <w:color w:val="000000"/>
                <w:sz w:val="18"/>
                <w:szCs w:val="18"/>
              </w:rPr>
              <w:t>(2,895)</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9CD0A9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1BCEB1"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7D550F8" w14:textId="77777777" w:rsidR="00000000" w:rsidRDefault="00405D16">
            <w:pPr>
              <w:spacing w:after="100"/>
              <w:jc w:val="right"/>
              <w:rPr>
                <w:rFonts w:eastAsia="Times New Roman"/>
              </w:rPr>
            </w:pPr>
            <w:r>
              <w:rPr>
                <w:rFonts w:eastAsia="Times New Roman"/>
                <w:b/>
                <w:bCs/>
                <w:color w:val="000000"/>
                <w:sz w:val="18"/>
                <w:szCs w:val="18"/>
              </w:rPr>
              <w:t>(654)</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D8FE68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8B97D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A4DFCC9" w14:textId="77777777" w:rsidR="00000000" w:rsidRDefault="00405D16">
            <w:pPr>
              <w:spacing w:after="100"/>
              <w:jc w:val="right"/>
              <w:rPr>
                <w:rFonts w:eastAsia="Times New Roman"/>
              </w:rPr>
            </w:pPr>
            <w:r>
              <w:rPr>
                <w:rFonts w:eastAsia="Times New Roman"/>
                <w:b/>
                <w:bCs/>
                <w:color w:val="000000"/>
                <w:sz w:val="18"/>
                <w:szCs w:val="18"/>
              </w:rPr>
              <w:t>(452)</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CE77C6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9BEC35" w14:textId="77777777" w:rsidR="00000000" w:rsidRDefault="00405D16">
            <w:pPr>
              <w:spacing w:after="100"/>
              <w:jc w:val="right"/>
              <w:rPr>
                <w:rFonts w:eastAsia="Times New Roman"/>
                <w:sz w:val="20"/>
                <w:szCs w:val="20"/>
              </w:rPr>
            </w:pPr>
          </w:p>
        </w:tc>
        <w:tc>
          <w:tcPr>
            <w:tcW w:w="0" w:type="auto"/>
            <w:vAlign w:val="center"/>
            <w:hideMark/>
          </w:tcPr>
          <w:p w14:paraId="73C18BF6" w14:textId="77777777" w:rsidR="00000000" w:rsidRDefault="00405D16">
            <w:pPr>
              <w:spacing w:after="100"/>
              <w:rPr>
                <w:rFonts w:eastAsia="Times New Roman"/>
                <w:sz w:val="20"/>
                <w:szCs w:val="20"/>
              </w:rPr>
            </w:pPr>
          </w:p>
        </w:tc>
        <w:tc>
          <w:tcPr>
            <w:tcW w:w="0" w:type="auto"/>
            <w:gridSpan w:val="3"/>
            <w:vAlign w:val="center"/>
            <w:hideMark/>
          </w:tcPr>
          <w:p w14:paraId="63234CFC" w14:textId="77777777" w:rsidR="00000000" w:rsidRDefault="00405D16">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C4D39AF" w14:textId="77777777" w:rsidR="00000000" w:rsidRDefault="00405D16">
            <w:pPr>
              <w:spacing w:after="100"/>
              <w:jc w:val="right"/>
              <w:rPr>
                <w:rFonts w:eastAsia="Times New Roman"/>
              </w:rPr>
            </w:pPr>
            <w:r>
              <w:rPr>
                <w:rFonts w:eastAsia="Times New Roman"/>
                <w:b/>
                <w:bCs/>
                <w:color w:val="000000"/>
                <w:sz w:val="18"/>
                <w:szCs w:val="18"/>
              </w:rPr>
              <w:t>(4,001)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9AADC1F" w14:textId="77777777" w:rsidR="00000000" w:rsidRDefault="00405D16">
            <w:pPr>
              <w:spacing w:after="100"/>
              <w:jc w:val="right"/>
              <w:rPr>
                <w:rFonts w:eastAsia="Times New Roman"/>
              </w:rPr>
            </w:pPr>
          </w:p>
        </w:tc>
      </w:tr>
      <w:tr w:rsidR="00000000" w14:paraId="5BB4554B" w14:textId="77777777">
        <w:tc>
          <w:tcPr>
            <w:tcW w:w="0" w:type="auto"/>
            <w:gridSpan w:val="3"/>
            <w:shd w:val="clear" w:color="auto" w:fill="FFFFFF"/>
            <w:tcMar>
              <w:top w:w="30" w:type="dxa"/>
              <w:left w:w="20" w:type="dxa"/>
              <w:bottom w:w="30" w:type="dxa"/>
              <w:right w:w="20" w:type="dxa"/>
            </w:tcMar>
            <w:vAlign w:val="center"/>
            <w:hideMark/>
          </w:tcPr>
          <w:p w14:paraId="764EF358" w14:textId="77777777" w:rsidR="00000000" w:rsidRDefault="00405D16">
            <w:pPr>
              <w:spacing w:after="100"/>
              <w:divId w:val="197744694"/>
              <w:rPr>
                <w:rFonts w:eastAsia="Times New Roman"/>
              </w:rPr>
            </w:pPr>
            <w:r>
              <w:rPr>
                <w:rFonts w:eastAsia="Times New Roman"/>
                <w:color w:val="000000"/>
                <w:sz w:val="18"/>
                <w:szCs w:val="18"/>
              </w:rPr>
              <w:t>Other change</w:t>
            </w:r>
            <w:r>
              <w:rPr>
                <w:rFonts w:eastAsia="Times New Roman"/>
                <w:color w:val="000000"/>
                <w:sz w:val="18"/>
                <w:szCs w:val="18"/>
              </w:rPr>
              <w:t>s</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4DDA5AFF"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CE1D55B" w14:textId="77777777" w:rsidR="00000000" w:rsidRDefault="00405D16">
            <w:pPr>
              <w:spacing w:after="100"/>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EC2F36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008D1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8324B14"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C772B4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C4747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5B42CF5"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C2D69E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458869" w14:textId="77777777" w:rsidR="00000000" w:rsidRDefault="00405D16">
            <w:pPr>
              <w:spacing w:after="100"/>
              <w:jc w:val="right"/>
              <w:rPr>
                <w:rFonts w:eastAsia="Times New Roman"/>
                <w:sz w:val="20"/>
                <w:szCs w:val="20"/>
              </w:rPr>
            </w:pPr>
          </w:p>
        </w:tc>
        <w:tc>
          <w:tcPr>
            <w:tcW w:w="0" w:type="auto"/>
            <w:vAlign w:val="center"/>
            <w:hideMark/>
          </w:tcPr>
          <w:p w14:paraId="778ED96A" w14:textId="77777777" w:rsidR="00000000" w:rsidRDefault="00405D16">
            <w:pPr>
              <w:spacing w:after="100"/>
              <w:rPr>
                <w:rFonts w:eastAsia="Times New Roman"/>
                <w:sz w:val="20"/>
                <w:szCs w:val="20"/>
              </w:rPr>
            </w:pPr>
          </w:p>
        </w:tc>
        <w:tc>
          <w:tcPr>
            <w:tcW w:w="0" w:type="auto"/>
            <w:gridSpan w:val="3"/>
            <w:vAlign w:val="center"/>
            <w:hideMark/>
          </w:tcPr>
          <w:p w14:paraId="3E37BD55"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B67293C" w14:textId="77777777" w:rsidR="00000000" w:rsidRDefault="00405D16">
            <w:pPr>
              <w:spacing w:after="100"/>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FA5EE50" w14:textId="77777777" w:rsidR="00000000" w:rsidRDefault="00405D16">
            <w:pPr>
              <w:spacing w:after="100"/>
              <w:jc w:val="right"/>
              <w:rPr>
                <w:rFonts w:eastAsia="Times New Roman"/>
              </w:rPr>
            </w:pPr>
          </w:p>
        </w:tc>
      </w:tr>
      <w:tr w:rsidR="00000000" w14:paraId="03CF50DE" w14:textId="77777777">
        <w:tc>
          <w:tcPr>
            <w:tcW w:w="0" w:type="auto"/>
            <w:gridSpan w:val="3"/>
            <w:shd w:val="clear" w:color="auto" w:fill="CCEEFF"/>
            <w:tcMar>
              <w:top w:w="30" w:type="dxa"/>
              <w:left w:w="20" w:type="dxa"/>
              <w:bottom w:w="30" w:type="dxa"/>
              <w:right w:w="20" w:type="dxa"/>
            </w:tcMar>
            <w:vAlign w:val="center"/>
            <w:hideMark/>
          </w:tcPr>
          <w:p w14:paraId="3038FD1B" w14:textId="77777777" w:rsidR="00000000" w:rsidRDefault="00405D16">
            <w:pPr>
              <w:spacing w:after="100"/>
              <w:rPr>
                <w:rFonts w:eastAsia="Times New Roman"/>
              </w:rPr>
            </w:pPr>
            <w:r>
              <w:rPr>
                <w:rFonts w:eastAsia="Times New Roman"/>
                <w:color w:val="000000"/>
                <w:sz w:val="18"/>
                <w:szCs w:val="18"/>
              </w:rPr>
              <w:t>Balance as of September 30, 2021</w:t>
            </w:r>
          </w:p>
        </w:tc>
        <w:tc>
          <w:tcPr>
            <w:tcW w:w="0" w:type="auto"/>
            <w:gridSpan w:val="3"/>
            <w:shd w:val="clear" w:color="auto" w:fill="CCEEFF"/>
            <w:tcMar>
              <w:top w:w="0" w:type="dxa"/>
              <w:left w:w="20" w:type="dxa"/>
              <w:bottom w:w="0" w:type="dxa"/>
              <w:right w:w="20" w:type="dxa"/>
            </w:tcMar>
            <w:vAlign w:val="center"/>
            <w:hideMark/>
          </w:tcPr>
          <w:p w14:paraId="1552CD01"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48F4AD3" w14:textId="77777777" w:rsidR="00000000" w:rsidRDefault="00405D16">
            <w:pPr>
              <w:spacing w:after="100"/>
              <w:jc w:val="right"/>
              <w:rPr>
                <w:rFonts w:eastAsia="Times New Roman"/>
              </w:rPr>
            </w:pPr>
            <w:r>
              <w:rPr>
                <w:rFonts w:eastAsia="Times New Roman"/>
                <w:b/>
                <w:bCs/>
                <w:color w:val="000000"/>
                <w:sz w:val="18"/>
                <w:szCs w:val="18"/>
              </w:rPr>
              <w:t>8,306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836419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80106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0014C1C" w14:textId="77777777" w:rsidR="00000000" w:rsidRDefault="00405D16">
            <w:pPr>
              <w:spacing w:after="100"/>
              <w:jc w:val="right"/>
              <w:rPr>
                <w:rFonts w:eastAsia="Times New Roman"/>
              </w:rPr>
            </w:pPr>
            <w:r>
              <w:rPr>
                <w:rFonts w:eastAsia="Times New Roman"/>
                <w:b/>
                <w:bCs/>
                <w:color w:val="000000"/>
                <w:sz w:val="18"/>
                <w:szCs w:val="18"/>
              </w:rPr>
              <w:t>2,061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CD16CB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459310"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D278C94" w14:textId="77777777" w:rsidR="00000000" w:rsidRDefault="00405D16">
            <w:pPr>
              <w:spacing w:after="100"/>
              <w:jc w:val="right"/>
              <w:rPr>
                <w:rFonts w:eastAsia="Times New Roman"/>
              </w:rPr>
            </w:pPr>
            <w:r>
              <w:rPr>
                <w:rFonts w:eastAsia="Times New Roman"/>
                <w:b/>
                <w:bCs/>
                <w:color w:val="000000"/>
                <w:sz w:val="18"/>
                <w:szCs w:val="18"/>
              </w:rPr>
              <w:t>1,206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148D35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E0BF0C" w14:textId="77777777" w:rsidR="00000000" w:rsidRDefault="00405D16">
            <w:pPr>
              <w:spacing w:after="100"/>
              <w:jc w:val="right"/>
              <w:rPr>
                <w:rFonts w:eastAsia="Times New Roman"/>
                <w:sz w:val="20"/>
                <w:szCs w:val="20"/>
              </w:rPr>
            </w:pPr>
          </w:p>
        </w:tc>
        <w:tc>
          <w:tcPr>
            <w:tcW w:w="0" w:type="auto"/>
            <w:vAlign w:val="center"/>
            <w:hideMark/>
          </w:tcPr>
          <w:p w14:paraId="160DEE4D" w14:textId="77777777" w:rsidR="00000000" w:rsidRDefault="00405D16">
            <w:pPr>
              <w:spacing w:after="100"/>
              <w:rPr>
                <w:rFonts w:eastAsia="Times New Roman"/>
                <w:sz w:val="20"/>
                <w:szCs w:val="20"/>
              </w:rPr>
            </w:pPr>
          </w:p>
        </w:tc>
        <w:tc>
          <w:tcPr>
            <w:tcW w:w="0" w:type="auto"/>
            <w:gridSpan w:val="3"/>
            <w:vAlign w:val="center"/>
            <w:hideMark/>
          </w:tcPr>
          <w:p w14:paraId="2F7BC9A1" w14:textId="77777777" w:rsidR="00000000" w:rsidRDefault="00405D16">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AF2EE2B" w14:textId="77777777" w:rsidR="00000000" w:rsidRDefault="00405D16">
            <w:pPr>
              <w:spacing w:after="100"/>
              <w:jc w:val="right"/>
              <w:rPr>
                <w:rFonts w:eastAsia="Times New Roman"/>
              </w:rPr>
            </w:pPr>
            <w:r>
              <w:rPr>
                <w:rFonts w:eastAsia="Times New Roman"/>
                <w:b/>
                <w:bCs/>
                <w:color w:val="000000"/>
                <w:sz w:val="18"/>
                <w:szCs w:val="18"/>
              </w:rPr>
              <w:t>11,573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4A7C8CE" w14:textId="77777777" w:rsidR="00000000" w:rsidRDefault="00405D16">
            <w:pPr>
              <w:spacing w:after="100"/>
              <w:jc w:val="right"/>
              <w:rPr>
                <w:rFonts w:eastAsia="Times New Roman"/>
              </w:rPr>
            </w:pPr>
          </w:p>
        </w:tc>
      </w:tr>
      <w:tr w:rsidR="00000000" w14:paraId="58AC56DA" w14:textId="77777777">
        <w:tc>
          <w:tcPr>
            <w:tcW w:w="0" w:type="auto"/>
            <w:gridSpan w:val="3"/>
            <w:shd w:val="clear" w:color="auto" w:fill="FFFFFF"/>
            <w:tcMar>
              <w:top w:w="30" w:type="dxa"/>
              <w:left w:w="20" w:type="dxa"/>
              <w:bottom w:w="30" w:type="dxa"/>
              <w:right w:w="20" w:type="dxa"/>
            </w:tcMar>
            <w:vAlign w:val="center"/>
            <w:hideMark/>
          </w:tcPr>
          <w:p w14:paraId="435E19CF" w14:textId="77777777" w:rsidR="00000000" w:rsidRDefault="00405D16">
            <w:pPr>
              <w:spacing w:after="100"/>
              <w:rPr>
                <w:rFonts w:eastAsia="Times New Roman"/>
              </w:rPr>
            </w:pPr>
            <w:r>
              <w:rPr>
                <w:rFonts w:eastAsia="Times New Roman"/>
                <w:b/>
                <w:bCs/>
                <w:color w:val="000000"/>
                <w:sz w:val="18"/>
                <w:szCs w:val="18"/>
              </w:rPr>
              <w:t>Reserve for unfunded lending commitments:</w:t>
            </w:r>
          </w:p>
        </w:tc>
        <w:tc>
          <w:tcPr>
            <w:tcW w:w="0" w:type="auto"/>
            <w:gridSpan w:val="3"/>
            <w:shd w:val="clear" w:color="auto" w:fill="FFFFFF"/>
            <w:tcMar>
              <w:top w:w="0" w:type="dxa"/>
              <w:left w:w="20" w:type="dxa"/>
              <w:bottom w:w="0" w:type="dxa"/>
              <w:right w:w="20" w:type="dxa"/>
            </w:tcMar>
            <w:vAlign w:val="center"/>
            <w:hideMark/>
          </w:tcPr>
          <w:p w14:paraId="0C10E6C8" w14:textId="77777777" w:rsidR="00000000" w:rsidRDefault="00405D16">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F722C3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165414"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5A45BE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66A88D"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65CF7D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9C21E2" w14:textId="77777777" w:rsidR="00000000" w:rsidRDefault="00405D16">
            <w:pPr>
              <w:spacing w:after="100"/>
              <w:rPr>
                <w:rFonts w:eastAsia="Times New Roman"/>
                <w:sz w:val="20"/>
                <w:szCs w:val="20"/>
              </w:rPr>
            </w:pPr>
          </w:p>
        </w:tc>
        <w:tc>
          <w:tcPr>
            <w:tcW w:w="0" w:type="auto"/>
            <w:vAlign w:val="center"/>
            <w:hideMark/>
          </w:tcPr>
          <w:p w14:paraId="4BCCB8D6" w14:textId="77777777" w:rsidR="00000000" w:rsidRDefault="00405D16">
            <w:pPr>
              <w:spacing w:after="100"/>
              <w:rPr>
                <w:rFonts w:eastAsia="Times New Roman"/>
                <w:sz w:val="20"/>
                <w:szCs w:val="20"/>
              </w:rPr>
            </w:pPr>
          </w:p>
        </w:tc>
        <w:tc>
          <w:tcPr>
            <w:tcW w:w="0" w:type="auto"/>
            <w:gridSpan w:val="3"/>
            <w:vAlign w:val="center"/>
            <w:hideMark/>
          </w:tcPr>
          <w:p w14:paraId="07DBCC80"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6410D6A" w14:textId="77777777" w:rsidR="00000000" w:rsidRDefault="00405D16">
            <w:pPr>
              <w:spacing w:after="100"/>
              <w:rPr>
                <w:rFonts w:eastAsia="Times New Roman"/>
                <w:sz w:val="20"/>
                <w:szCs w:val="20"/>
              </w:rPr>
            </w:pPr>
          </w:p>
        </w:tc>
      </w:tr>
      <w:tr w:rsidR="00000000" w14:paraId="36D2C95F" w14:textId="77777777">
        <w:tc>
          <w:tcPr>
            <w:tcW w:w="0" w:type="auto"/>
            <w:gridSpan w:val="3"/>
            <w:shd w:val="clear" w:color="auto" w:fill="CCEEFF"/>
            <w:tcMar>
              <w:top w:w="30" w:type="dxa"/>
              <w:left w:w="20" w:type="dxa"/>
              <w:bottom w:w="30" w:type="dxa"/>
              <w:right w:w="20" w:type="dxa"/>
            </w:tcMar>
            <w:vAlign w:val="center"/>
            <w:hideMark/>
          </w:tcPr>
          <w:p w14:paraId="668CBDA3" w14:textId="77777777" w:rsidR="00000000" w:rsidRDefault="00405D16">
            <w:pPr>
              <w:spacing w:after="100"/>
              <w:rPr>
                <w:rFonts w:eastAsia="Times New Roman"/>
              </w:rPr>
            </w:pPr>
            <w:r>
              <w:rPr>
                <w:rFonts w:eastAsia="Times New Roman"/>
                <w:color w:val="000000"/>
                <w:sz w:val="18"/>
                <w:szCs w:val="18"/>
              </w:rPr>
              <w:t>Balance as of December 31, 2020</w:t>
            </w:r>
          </w:p>
        </w:tc>
        <w:tc>
          <w:tcPr>
            <w:tcW w:w="0" w:type="auto"/>
            <w:gridSpan w:val="3"/>
            <w:shd w:val="clear" w:color="auto" w:fill="CCEEFF"/>
            <w:tcMar>
              <w:top w:w="0" w:type="dxa"/>
              <w:left w:w="20" w:type="dxa"/>
              <w:bottom w:w="0" w:type="dxa"/>
              <w:right w:w="20" w:type="dxa"/>
            </w:tcMar>
            <w:vAlign w:val="center"/>
            <w:hideMark/>
          </w:tcPr>
          <w:p w14:paraId="40540B41"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3408BCF"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0E40842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1B957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9424F13"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6FE0590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C351A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C2163A4" w14:textId="77777777" w:rsidR="00000000" w:rsidRDefault="00405D16">
            <w:pPr>
              <w:spacing w:after="100"/>
              <w:jc w:val="right"/>
              <w:rPr>
                <w:rFonts w:eastAsia="Times New Roman"/>
              </w:rPr>
            </w:pPr>
            <w:r>
              <w:rPr>
                <w:rFonts w:eastAsia="Times New Roman"/>
                <w:color w:val="000000"/>
                <w:sz w:val="18"/>
                <w:szCs w:val="18"/>
              </w:rPr>
              <w:t>195 </w:t>
            </w:r>
          </w:p>
        </w:tc>
        <w:tc>
          <w:tcPr>
            <w:tcW w:w="0" w:type="auto"/>
            <w:shd w:val="clear" w:color="auto" w:fill="CCEEFF"/>
            <w:tcMar>
              <w:top w:w="30" w:type="dxa"/>
              <w:left w:w="0" w:type="dxa"/>
              <w:bottom w:w="30" w:type="dxa"/>
              <w:right w:w="20" w:type="dxa"/>
            </w:tcMar>
            <w:vAlign w:val="center"/>
            <w:hideMark/>
          </w:tcPr>
          <w:p w14:paraId="67F865D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67CC16" w14:textId="77777777" w:rsidR="00000000" w:rsidRDefault="00405D16">
            <w:pPr>
              <w:spacing w:after="100"/>
              <w:jc w:val="right"/>
              <w:rPr>
                <w:rFonts w:eastAsia="Times New Roman"/>
                <w:sz w:val="20"/>
                <w:szCs w:val="20"/>
              </w:rPr>
            </w:pPr>
          </w:p>
        </w:tc>
        <w:tc>
          <w:tcPr>
            <w:tcW w:w="0" w:type="auto"/>
            <w:vAlign w:val="center"/>
            <w:hideMark/>
          </w:tcPr>
          <w:p w14:paraId="0C0D3FD0" w14:textId="77777777" w:rsidR="00000000" w:rsidRDefault="00405D16">
            <w:pPr>
              <w:spacing w:after="100"/>
              <w:rPr>
                <w:rFonts w:eastAsia="Times New Roman"/>
                <w:sz w:val="20"/>
                <w:szCs w:val="20"/>
              </w:rPr>
            </w:pPr>
          </w:p>
        </w:tc>
        <w:tc>
          <w:tcPr>
            <w:tcW w:w="0" w:type="auto"/>
            <w:gridSpan w:val="3"/>
            <w:vAlign w:val="center"/>
            <w:hideMark/>
          </w:tcPr>
          <w:p w14:paraId="7355BD8A"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B555311" w14:textId="77777777" w:rsidR="00000000" w:rsidRDefault="00405D16">
            <w:pPr>
              <w:spacing w:after="100"/>
              <w:jc w:val="right"/>
              <w:rPr>
                <w:rFonts w:eastAsia="Times New Roman"/>
              </w:rPr>
            </w:pPr>
            <w:r>
              <w:rPr>
                <w:rFonts w:eastAsia="Times New Roman"/>
                <w:color w:val="000000"/>
                <w:sz w:val="18"/>
                <w:szCs w:val="18"/>
              </w:rPr>
              <w:t>195 </w:t>
            </w:r>
          </w:p>
        </w:tc>
        <w:tc>
          <w:tcPr>
            <w:tcW w:w="0" w:type="auto"/>
            <w:shd w:val="clear" w:color="auto" w:fill="CCEEFF"/>
            <w:tcMar>
              <w:top w:w="30" w:type="dxa"/>
              <w:left w:w="0" w:type="dxa"/>
              <w:bottom w:w="30" w:type="dxa"/>
              <w:right w:w="20" w:type="dxa"/>
            </w:tcMar>
            <w:vAlign w:val="center"/>
            <w:hideMark/>
          </w:tcPr>
          <w:p w14:paraId="5360776F" w14:textId="77777777" w:rsidR="00000000" w:rsidRDefault="00405D16">
            <w:pPr>
              <w:spacing w:after="100"/>
              <w:jc w:val="right"/>
              <w:rPr>
                <w:rFonts w:eastAsia="Times New Roman"/>
              </w:rPr>
            </w:pPr>
          </w:p>
        </w:tc>
      </w:tr>
      <w:tr w:rsidR="00000000" w14:paraId="6C07C3A7" w14:textId="77777777">
        <w:tc>
          <w:tcPr>
            <w:tcW w:w="0" w:type="auto"/>
            <w:gridSpan w:val="3"/>
            <w:shd w:val="clear" w:color="auto" w:fill="FFFFFF"/>
            <w:tcMar>
              <w:top w:w="30" w:type="dxa"/>
              <w:left w:w="20" w:type="dxa"/>
              <w:bottom w:w="30" w:type="dxa"/>
              <w:right w:w="20" w:type="dxa"/>
            </w:tcMar>
            <w:vAlign w:val="center"/>
            <w:hideMark/>
          </w:tcPr>
          <w:p w14:paraId="4F841881" w14:textId="77777777" w:rsidR="00000000" w:rsidRDefault="00405D16">
            <w:pPr>
              <w:spacing w:after="100"/>
              <w:rPr>
                <w:rFonts w:eastAsia="Times New Roman"/>
              </w:rPr>
            </w:pPr>
            <w:r>
              <w:rPr>
                <w:rFonts w:eastAsia="Times New Roman"/>
                <w:color w:val="000000"/>
                <w:sz w:val="18"/>
                <w:szCs w:val="18"/>
              </w:rPr>
              <w:t>Provision (benefit) for losses on unfunded lending commitments</w:t>
            </w:r>
          </w:p>
        </w:tc>
        <w:tc>
          <w:tcPr>
            <w:tcW w:w="0" w:type="auto"/>
            <w:gridSpan w:val="3"/>
            <w:shd w:val="clear" w:color="auto" w:fill="FFFFFF"/>
            <w:tcMar>
              <w:top w:w="0" w:type="dxa"/>
              <w:left w:w="20" w:type="dxa"/>
              <w:bottom w:w="0" w:type="dxa"/>
              <w:right w:w="20" w:type="dxa"/>
            </w:tcMar>
            <w:vAlign w:val="center"/>
            <w:hideMark/>
          </w:tcPr>
          <w:p w14:paraId="19ACE249"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871C0B2"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EFA2CA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8FE12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0BD70E2"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EA04E2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E386B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1B3CBDC" w14:textId="77777777" w:rsidR="00000000" w:rsidRDefault="00405D16">
            <w:pPr>
              <w:spacing w:after="100"/>
              <w:jc w:val="right"/>
              <w:rPr>
                <w:rFonts w:eastAsia="Times New Roman"/>
              </w:rPr>
            </w:pPr>
            <w:r>
              <w:rPr>
                <w:rFonts w:eastAsia="Times New Roman"/>
                <w:b/>
                <w:bCs/>
                <w:color w:val="000000"/>
                <w:sz w:val="18"/>
                <w:szCs w:val="18"/>
              </w:rPr>
              <w:t>(29)</w:t>
            </w:r>
          </w:p>
        </w:tc>
        <w:tc>
          <w:tcPr>
            <w:tcW w:w="0" w:type="auto"/>
            <w:shd w:val="clear" w:color="auto" w:fill="FFFFFF"/>
            <w:tcMar>
              <w:top w:w="30" w:type="dxa"/>
              <w:left w:w="0" w:type="dxa"/>
              <w:bottom w:w="30" w:type="dxa"/>
              <w:right w:w="20" w:type="dxa"/>
            </w:tcMar>
            <w:vAlign w:val="center"/>
            <w:hideMark/>
          </w:tcPr>
          <w:p w14:paraId="59A0854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268E4C" w14:textId="77777777" w:rsidR="00000000" w:rsidRDefault="00405D16">
            <w:pPr>
              <w:spacing w:after="100"/>
              <w:jc w:val="right"/>
              <w:rPr>
                <w:rFonts w:eastAsia="Times New Roman"/>
                <w:sz w:val="20"/>
                <w:szCs w:val="20"/>
              </w:rPr>
            </w:pPr>
          </w:p>
        </w:tc>
        <w:tc>
          <w:tcPr>
            <w:tcW w:w="0" w:type="auto"/>
            <w:vAlign w:val="center"/>
            <w:hideMark/>
          </w:tcPr>
          <w:p w14:paraId="282DE3B6" w14:textId="77777777" w:rsidR="00000000" w:rsidRDefault="00405D16">
            <w:pPr>
              <w:spacing w:after="100"/>
              <w:rPr>
                <w:rFonts w:eastAsia="Times New Roman"/>
                <w:sz w:val="20"/>
                <w:szCs w:val="20"/>
              </w:rPr>
            </w:pPr>
          </w:p>
        </w:tc>
        <w:tc>
          <w:tcPr>
            <w:tcW w:w="0" w:type="auto"/>
            <w:gridSpan w:val="3"/>
            <w:vAlign w:val="center"/>
            <w:hideMark/>
          </w:tcPr>
          <w:p w14:paraId="03857864"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2683B71" w14:textId="77777777" w:rsidR="00000000" w:rsidRDefault="00405D16">
            <w:pPr>
              <w:spacing w:after="100"/>
              <w:jc w:val="right"/>
              <w:rPr>
                <w:rFonts w:eastAsia="Times New Roman"/>
              </w:rPr>
            </w:pPr>
            <w:r>
              <w:rPr>
                <w:rFonts w:eastAsia="Times New Roman"/>
                <w:b/>
                <w:bCs/>
                <w:color w:val="000000"/>
                <w:sz w:val="18"/>
                <w:szCs w:val="18"/>
              </w:rPr>
              <w:t>(29)</w:t>
            </w:r>
          </w:p>
        </w:tc>
        <w:tc>
          <w:tcPr>
            <w:tcW w:w="0" w:type="auto"/>
            <w:shd w:val="clear" w:color="auto" w:fill="FFFFFF"/>
            <w:tcMar>
              <w:top w:w="30" w:type="dxa"/>
              <w:left w:w="0" w:type="dxa"/>
              <w:bottom w:w="30" w:type="dxa"/>
              <w:right w:w="20" w:type="dxa"/>
            </w:tcMar>
            <w:vAlign w:val="center"/>
            <w:hideMark/>
          </w:tcPr>
          <w:p w14:paraId="63BD30D8" w14:textId="77777777" w:rsidR="00000000" w:rsidRDefault="00405D16">
            <w:pPr>
              <w:spacing w:after="100"/>
              <w:jc w:val="right"/>
              <w:rPr>
                <w:rFonts w:eastAsia="Times New Roman"/>
              </w:rPr>
            </w:pPr>
          </w:p>
        </w:tc>
      </w:tr>
      <w:tr w:rsidR="00000000" w14:paraId="4E67F35F" w14:textId="77777777">
        <w:tc>
          <w:tcPr>
            <w:tcW w:w="0" w:type="auto"/>
            <w:gridSpan w:val="3"/>
            <w:shd w:val="clear" w:color="auto" w:fill="CCEEFF"/>
            <w:tcMar>
              <w:top w:w="30" w:type="dxa"/>
              <w:left w:w="20" w:type="dxa"/>
              <w:bottom w:w="30" w:type="dxa"/>
              <w:right w:w="20" w:type="dxa"/>
            </w:tcMar>
            <w:vAlign w:val="center"/>
            <w:hideMark/>
          </w:tcPr>
          <w:p w14:paraId="00E9E12C" w14:textId="77777777" w:rsidR="00000000" w:rsidRDefault="00405D16">
            <w:pPr>
              <w:spacing w:after="100"/>
              <w:rPr>
                <w:rFonts w:eastAsia="Times New Roman"/>
              </w:rPr>
            </w:pPr>
            <w:r>
              <w:rPr>
                <w:rFonts w:eastAsia="Times New Roman"/>
                <w:color w:val="000000"/>
                <w:sz w:val="18"/>
                <w:szCs w:val="18"/>
              </w:rPr>
              <w:t>Balance as of September 30, 2021</w:t>
            </w:r>
          </w:p>
        </w:tc>
        <w:tc>
          <w:tcPr>
            <w:tcW w:w="0" w:type="auto"/>
            <w:gridSpan w:val="3"/>
            <w:shd w:val="clear" w:color="auto" w:fill="CCEEFF"/>
            <w:tcMar>
              <w:top w:w="0" w:type="dxa"/>
              <w:left w:w="20" w:type="dxa"/>
              <w:bottom w:w="0" w:type="dxa"/>
              <w:right w:w="20" w:type="dxa"/>
            </w:tcMar>
            <w:vAlign w:val="center"/>
            <w:hideMark/>
          </w:tcPr>
          <w:p w14:paraId="27700012"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EBF7707"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246074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91BB58"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8CCF5E2"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A01D3E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2B98B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A8F779C" w14:textId="77777777" w:rsidR="00000000" w:rsidRDefault="00405D16">
            <w:pPr>
              <w:spacing w:after="100"/>
              <w:jc w:val="right"/>
              <w:rPr>
                <w:rFonts w:eastAsia="Times New Roman"/>
              </w:rPr>
            </w:pPr>
            <w:r>
              <w:rPr>
                <w:rFonts w:eastAsia="Times New Roman"/>
                <w:b/>
                <w:bCs/>
                <w:color w:val="000000"/>
                <w:sz w:val="18"/>
                <w:szCs w:val="18"/>
              </w:rPr>
              <w:t>166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CEC533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406F7E" w14:textId="77777777" w:rsidR="00000000" w:rsidRDefault="00405D16">
            <w:pPr>
              <w:spacing w:after="100"/>
              <w:jc w:val="right"/>
              <w:rPr>
                <w:rFonts w:eastAsia="Times New Roman"/>
                <w:sz w:val="20"/>
                <w:szCs w:val="20"/>
              </w:rPr>
            </w:pPr>
          </w:p>
        </w:tc>
        <w:tc>
          <w:tcPr>
            <w:tcW w:w="0" w:type="auto"/>
            <w:vAlign w:val="center"/>
            <w:hideMark/>
          </w:tcPr>
          <w:p w14:paraId="000215CF" w14:textId="77777777" w:rsidR="00000000" w:rsidRDefault="00405D16">
            <w:pPr>
              <w:spacing w:after="100"/>
              <w:rPr>
                <w:rFonts w:eastAsia="Times New Roman"/>
                <w:sz w:val="20"/>
                <w:szCs w:val="20"/>
              </w:rPr>
            </w:pPr>
          </w:p>
        </w:tc>
        <w:tc>
          <w:tcPr>
            <w:tcW w:w="0" w:type="auto"/>
            <w:gridSpan w:val="3"/>
            <w:vAlign w:val="center"/>
            <w:hideMark/>
          </w:tcPr>
          <w:p w14:paraId="6B0B624A" w14:textId="77777777" w:rsidR="00000000" w:rsidRDefault="00405D16">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EC6A4A6" w14:textId="77777777" w:rsidR="00000000" w:rsidRDefault="00405D16">
            <w:pPr>
              <w:spacing w:after="100"/>
              <w:jc w:val="right"/>
              <w:rPr>
                <w:rFonts w:eastAsia="Times New Roman"/>
              </w:rPr>
            </w:pPr>
            <w:r>
              <w:rPr>
                <w:rFonts w:eastAsia="Times New Roman"/>
                <w:b/>
                <w:bCs/>
                <w:color w:val="000000"/>
                <w:sz w:val="18"/>
                <w:szCs w:val="18"/>
              </w:rPr>
              <w:t>166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5A74DFF" w14:textId="77777777" w:rsidR="00000000" w:rsidRDefault="00405D16">
            <w:pPr>
              <w:spacing w:after="100"/>
              <w:jc w:val="right"/>
              <w:rPr>
                <w:rFonts w:eastAsia="Times New Roman"/>
              </w:rPr>
            </w:pPr>
          </w:p>
        </w:tc>
      </w:tr>
      <w:tr w:rsidR="00000000" w14:paraId="32BA22D6" w14:textId="77777777">
        <w:tc>
          <w:tcPr>
            <w:tcW w:w="0" w:type="auto"/>
            <w:gridSpan w:val="3"/>
            <w:shd w:val="clear" w:color="auto" w:fill="FFFFFF"/>
            <w:tcMar>
              <w:top w:w="30" w:type="dxa"/>
              <w:left w:w="20" w:type="dxa"/>
              <w:bottom w:w="30" w:type="dxa"/>
              <w:right w:w="20" w:type="dxa"/>
            </w:tcMar>
            <w:vAlign w:val="center"/>
            <w:hideMark/>
          </w:tcPr>
          <w:p w14:paraId="04F06526" w14:textId="77777777" w:rsidR="00000000" w:rsidRDefault="00405D16">
            <w:pPr>
              <w:spacing w:after="100"/>
              <w:rPr>
                <w:rFonts w:eastAsia="Times New Roman"/>
              </w:rPr>
            </w:pPr>
            <w:r>
              <w:rPr>
                <w:rFonts w:eastAsia="Times New Roman"/>
                <w:b/>
                <w:bCs/>
                <w:color w:val="000000"/>
                <w:sz w:val="18"/>
                <w:szCs w:val="18"/>
              </w:rPr>
              <w:t>Combined allowance and reserve as of September 30, 2021</w:t>
            </w:r>
          </w:p>
        </w:tc>
        <w:tc>
          <w:tcPr>
            <w:tcW w:w="0" w:type="auto"/>
            <w:gridSpan w:val="3"/>
            <w:shd w:val="clear" w:color="auto" w:fill="FFFFFF"/>
            <w:tcMar>
              <w:top w:w="0" w:type="dxa"/>
              <w:left w:w="20" w:type="dxa"/>
              <w:bottom w:w="0" w:type="dxa"/>
              <w:right w:w="20" w:type="dxa"/>
            </w:tcMar>
            <w:vAlign w:val="center"/>
            <w:hideMark/>
          </w:tcPr>
          <w:p w14:paraId="156509EC"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03A4F2A"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7FBF372" w14:textId="77777777" w:rsidR="00000000" w:rsidRDefault="00405D16">
            <w:pPr>
              <w:spacing w:after="100"/>
              <w:jc w:val="right"/>
              <w:rPr>
                <w:rFonts w:eastAsia="Times New Roman"/>
              </w:rPr>
            </w:pPr>
            <w:r>
              <w:rPr>
                <w:rFonts w:eastAsia="Times New Roman"/>
                <w:b/>
                <w:bCs/>
                <w:color w:val="000000"/>
                <w:sz w:val="18"/>
                <w:szCs w:val="18"/>
              </w:rPr>
              <w:t>8,306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7B7398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27A799"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B55561A"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3D4DBCC" w14:textId="77777777" w:rsidR="00000000" w:rsidRDefault="00405D16">
            <w:pPr>
              <w:spacing w:after="100"/>
              <w:jc w:val="right"/>
              <w:rPr>
                <w:rFonts w:eastAsia="Times New Roman"/>
              </w:rPr>
            </w:pPr>
            <w:r>
              <w:rPr>
                <w:rFonts w:eastAsia="Times New Roman"/>
                <w:b/>
                <w:bCs/>
                <w:color w:val="000000"/>
                <w:sz w:val="18"/>
                <w:szCs w:val="18"/>
              </w:rPr>
              <w:t>2,061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800C50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926B10"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C222B64"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5E7686F" w14:textId="77777777" w:rsidR="00000000" w:rsidRDefault="00405D16">
            <w:pPr>
              <w:spacing w:after="100"/>
              <w:jc w:val="right"/>
              <w:rPr>
                <w:rFonts w:eastAsia="Times New Roman"/>
              </w:rPr>
            </w:pPr>
            <w:r>
              <w:rPr>
                <w:rFonts w:eastAsia="Times New Roman"/>
                <w:b/>
                <w:bCs/>
                <w:color w:val="000000"/>
                <w:sz w:val="18"/>
                <w:szCs w:val="18"/>
              </w:rPr>
              <w:t>1,372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99E1A4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62F939" w14:textId="77777777" w:rsidR="00000000" w:rsidRDefault="00405D16">
            <w:pPr>
              <w:spacing w:after="100"/>
              <w:jc w:val="right"/>
              <w:rPr>
                <w:rFonts w:eastAsia="Times New Roman"/>
                <w:sz w:val="20"/>
                <w:szCs w:val="20"/>
              </w:rPr>
            </w:pPr>
          </w:p>
        </w:tc>
        <w:tc>
          <w:tcPr>
            <w:tcW w:w="0" w:type="auto"/>
            <w:vAlign w:val="center"/>
            <w:hideMark/>
          </w:tcPr>
          <w:p w14:paraId="2CFFDAF9" w14:textId="77777777" w:rsidR="00000000" w:rsidRDefault="00405D16">
            <w:pPr>
              <w:spacing w:after="100"/>
              <w:rPr>
                <w:rFonts w:eastAsia="Times New Roman"/>
                <w:sz w:val="20"/>
                <w:szCs w:val="20"/>
              </w:rPr>
            </w:pPr>
          </w:p>
        </w:tc>
        <w:tc>
          <w:tcPr>
            <w:tcW w:w="0" w:type="auto"/>
            <w:gridSpan w:val="3"/>
            <w:vAlign w:val="center"/>
            <w:hideMark/>
          </w:tcPr>
          <w:p w14:paraId="6E803F12" w14:textId="77777777" w:rsidR="00000000" w:rsidRDefault="00405D16">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90093B8"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62FCF30" w14:textId="77777777" w:rsidR="00000000" w:rsidRDefault="00405D16">
            <w:pPr>
              <w:spacing w:after="100"/>
              <w:jc w:val="right"/>
              <w:rPr>
                <w:rFonts w:eastAsia="Times New Roman"/>
              </w:rPr>
            </w:pPr>
            <w:r>
              <w:rPr>
                <w:rFonts w:eastAsia="Times New Roman"/>
                <w:b/>
                <w:bCs/>
                <w:color w:val="000000"/>
                <w:sz w:val="18"/>
                <w:szCs w:val="18"/>
              </w:rPr>
              <w:t>11,739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32C3A01" w14:textId="77777777" w:rsidR="00000000" w:rsidRDefault="00405D16">
            <w:pPr>
              <w:spacing w:after="100"/>
              <w:jc w:val="right"/>
              <w:rPr>
                <w:rFonts w:eastAsia="Times New Roman"/>
              </w:rPr>
            </w:pPr>
          </w:p>
        </w:tc>
      </w:tr>
    </w:tbl>
    <w:p w14:paraId="29D749DB" w14:textId="77777777" w:rsidR="00000000" w:rsidRDefault="00405D16">
      <w:pPr>
        <w:jc w:val="center"/>
        <w:divId w:val="12926589"/>
        <w:rPr>
          <w:rFonts w:eastAsia="Times New Roman"/>
          <w:vanish/>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694325A8" w14:textId="77777777">
        <w:trPr>
          <w:divId w:val="12926589"/>
          <w:jc w:val="center"/>
        </w:trPr>
        <w:tc>
          <w:tcPr>
            <w:tcW w:w="50" w:type="pct"/>
            <w:vAlign w:val="center"/>
            <w:hideMark/>
          </w:tcPr>
          <w:p w14:paraId="43390F6E" w14:textId="77777777" w:rsidR="00000000" w:rsidRDefault="00405D16">
            <w:pPr>
              <w:jc w:val="both"/>
              <w:rPr>
                <w:rFonts w:eastAsia="Times New Roman"/>
              </w:rPr>
            </w:pPr>
          </w:p>
        </w:tc>
        <w:tc>
          <w:tcPr>
            <w:tcW w:w="1606" w:type="pct"/>
            <w:vAlign w:val="center"/>
            <w:hideMark/>
          </w:tcPr>
          <w:p w14:paraId="7F11C3A0" w14:textId="77777777" w:rsidR="00000000" w:rsidRDefault="00405D16">
            <w:pPr>
              <w:spacing w:after="100"/>
              <w:rPr>
                <w:rFonts w:eastAsia="Times New Roman"/>
                <w:sz w:val="20"/>
                <w:szCs w:val="20"/>
              </w:rPr>
            </w:pPr>
          </w:p>
        </w:tc>
        <w:tc>
          <w:tcPr>
            <w:tcW w:w="5" w:type="pct"/>
            <w:vAlign w:val="center"/>
            <w:hideMark/>
          </w:tcPr>
          <w:p w14:paraId="678ADB11" w14:textId="77777777" w:rsidR="00000000" w:rsidRDefault="00405D16">
            <w:pPr>
              <w:spacing w:after="100"/>
              <w:rPr>
                <w:rFonts w:eastAsia="Times New Roman"/>
                <w:sz w:val="20"/>
                <w:szCs w:val="20"/>
              </w:rPr>
            </w:pPr>
          </w:p>
        </w:tc>
        <w:tc>
          <w:tcPr>
            <w:tcW w:w="50" w:type="pct"/>
            <w:vAlign w:val="center"/>
            <w:hideMark/>
          </w:tcPr>
          <w:p w14:paraId="55030473" w14:textId="77777777" w:rsidR="00000000" w:rsidRDefault="00405D16">
            <w:pPr>
              <w:spacing w:after="100"/>
              <w:rPr>
                <w:rFonts w:eastAsia="Times New Roman"/>
                <w:sz w:val="20"/>
                <w:szCs w:val="20"/>
              </w:rPr>
            </w:pPr>
          </w:p>
        </w:tc>
        <w:tc>
          <w:tcPr>
            <w:tcW w:w="1614" w:type="pct"/>
            <w:vAlign w:val="center"/>
            <w:hideMark/>
          </w:tcPr>
          <w:p w14:paraId="6FCE917B" w14:textId="77777777" w:rsidR="00000000" w:rsidRDefault="00405D16">
            <w:pPr>
              <w:spacing w:after="100"/>
              <w:rPr>
                <w:rFonts w:eastAsia="Times New Roman"/>
                <w:sz w:val="20"/>
                <w:szCs w:val="20"/>
              </w:rPr>
            </w:pPr>
          </w:p>
        </w:tc>
        <w:tc>
          <w:tcPr>
            <w:tcW w:w="5" w:type="pct"/>
            <w:vAlign w:val="center"/>
            <w:hideMark/>
          </w:tcPr>
          <w:p w14:paraId="62B0167D" w14:textId="77777777" w:rsidR="00000000" w:rsidRDefault="00405D16">
            <w:pPr>
              <w:spacing w:after="100"/>
              <w:rPr>
                <w:rFonts w:eastAsia="Times New Roman"/>
                <w:sz w:val="20"/>
                <w:szCs w:val="20"/>
              </w:rPr>
            </w:pPr>
          </w:p>
        </w:tc>
        <w:tc>
          <w:tcPr>
            <w:tcW w:w="50" w:type="pct"/>
            <w:vAlign w:val="center"/>
            <w:hideMark/>
          </w:tcPr>
          <w:p w14:paraId="185BAE87" w14:textId="77777777" w:rsidR="00000000" w:rsidRDefault="00405D16">
            <w:pPr>
              <w:spacing w:after="100"/>
              <w:rPr>
                <w:rFonts w:eastAsia="Times New Roman"/>
                <w:sz w:val="20"/>
                <w:szCs w:val="20"/>
              </w:rPr>
            </w:pPr>
          </w:p>
        </w:tc>
        <w:tc>
          <w:tcPr>
            <w:tcW w:w="1614" w:type="pct"/>
            <w:vAlign w:val="center"/>
            <w:hideMark/>
          </w:tcPr>
          <w:p w14:paraId="104320DA" w14:textId="77777777" w:rsidR="00000000" w:rsidRDefault="00405D16">
            <w:pPr>
              <w:spacing w:after="100"/>
              <w:rPr>
                <w:rFonts w:eastAsia="Times New Roman"/>
                <w:sz w:val="20"/>
                <w:szCs w:val="20"/>
              </w:rPr>
            </w:pPr>
          </w:p>
        </w:tc>
        <w:tc>
          <w:tcPr>
            <w:tcW w:w="5" w:type="pct"/>
            <w:vAlign w:val="center"/>
            <w:hideMark/>
          </w:tcPr>
          <w:p w14:paraId="7A4FFA52" w14:textId="77777777" w:rsidR="00000000" w:rsidRDefault="00405D16">
            <w:pPr>
              <w:spacing w:after="100"/>
              <w:rPr>
                <w:rFonts w:eastAsia="Times New Roman"/>
                <w:sz w:val="20"/>
                <w:szCs w:val="20"/>
              </w:rPr>
            </w:pPr>
          </w:p>
        </w:tc>
      </w:tr>
      <w:tr w:rsidR="00000000" w14:paraId="712D6932" w14:textId="77777777">
        <w:trPr>
          <w:divId w:val="12926589"/>
          <w:trHeight w:val="300"/>
          <w:jc w:val="center"/>
        </w:trPr>
        <w:tc>
          <w:tcPr>
            <w:tcW w:w="0" w:type="auto"/>
            <w:gridSpan w:val="9"/>
            <w:tcMar>
              <w:top w:w="0" w:type="dxa"/>
              <w:left w:w="20" w:type="dxa"/>
              <w:bottom w:w="0" w:type="dxa"/>
              <w:right w:w="20" w:type="dxa"/>
            </w:tcMar>
            <w:vAlign w:val="center"/>
            <w:hideMark/>
          </w:tcPr>
          <w:p w14:paraId="50088043" w14:textId="77777777" w:rsidR="00000000" w:rsidRDefault="00405D16">
            <w:pPr>
              <w:spacing w:after="100"/>
              <w:rPr>
                <w:rFonts w:eastAsia="Times New Roman"/>
                <w:sz w:val="20"/>
                <w:szCs w:val="20"/>
              </w:rPr>
            </w:pPr>
          </w:p>
        </w:tc>
      </w:tr>
      <w:tr w:rsidR="00000000" w14:paraId="60D341BC" w14:textId="77777777">
        <w:trPr>
          <w:divId w:val="12926589"/>
          <w:jc w:val="center"/>
        </w:trPr>
        <w:tc>
          <w:tcPr>
            <w:tcW w:w="0" w:type="auto"/>
            <w:gridSpan w:val="3"/>
            <w:tcMar>
              <w:top w:w="0" w:type="dxa"/>
              <w:left w:w="20" w:type="dxa"/>
              <w:bottom w:w="0" w:type="dxa"/>
              <w:right w:w="20" w:type="dxa"/>
            </w:tcMar>
            <w:vAlign w:val="center"/>
            <w:hideMark/>
          </w:tcPr>
          <w:p w14:paraId="7629A1B7"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62DE1BE" w14:textId="77777777" w:rsidR="00000000" w:rsidRDefault="00405D16">
            <w:pPr>
              <w:spacing w:after="100"/>
              <w:jc w:val="center"/>
              <w:rPr>
                <w:rFonts w:eastAsia="Times New Roman"/>
              </w:rPr>
            </w:pPr>
            <w:r>
              <w:rPr>
                <w:rFonts w:eastAsia="Times New Roman"/>
                <w:color w:val="000000"/>
                <w:sz w:val="16"/>
                <w:szCs w:val="16"/>
              </w:rPr>
              <w:t>93</w:t>
            </w:r>
          </w:p>
        </w:tc>
        <w:tc>
          <w:tcPr>
            <w:tcW w:w="0" w:type="auto"/>
            <w:gridSpan w:val="3"/>
            <w:tcMar>
              <w:top w:w="30" w:type="dxa"/>
              <w:left w:w="20" w:type="dxa"/>
              <w:bottom w:w="30" w:type="dxa"/>
              <w:right w:w="20" w:type="dxa"/>
            </w:tcMar>
            <w:vAlign w:val="bottom"/>
            <w:hideMark/>
          </w:tcPr>
          <w:p w14:paraId="1939FE08"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238DB86B" w14:textId="77777777" w:rsidR="00000000" w:rsidRDefault="00405D16">
      <w:pPr>
        <w:rPr>
          <w:rFonts w:eastAsia="Times New Roman"/>
        </w:rPr>
      </w:pPr>
      <w:r>
        <w:rPr>
          <w:rFonts w:eastAsia="Times New Roman"/>
        </w:rPr>
        <w:pict w14:anchorId="30A2990F">
          <v:rect id="_x0000_i1118" style="width:0;height:1.5pt" o:hralign="center" o:hrstd="t" o:hr="t" fillcolor="#a0a0a0" stroked="f"/>
        </w:pict>
      </w:r>
    </w:p>
    <w:p w14:paraId="0EE8A2A9" w14:textId="77777777" w:rsidR="00000000" w:rsidRDefault="00405D16">
      <w:pPr>
        <w:jc w:val="both"/>
        <w:divId w:val="875239439"/>
        <w:rPr>
          <w:rFonts w:eastAsia="Times New Roman"/>
        </w:rPr>
      </w:pPr>
      <w:hyperlink w:anchor="idd54a04a485440b4ab4e56094c14d612_13" w:history="1">
        <w:r>
          <w:rPr>
            <w:rStyle w:val="a3"/>
            <w:rFonts w:eastAsia="Times New Roman"/>
            <w:sz w:val="16"/>
            <w:szCs w:val="16"/>
          </w:rPr>
          <w:t>Table of Contents</w:t>
        </w:r>
      </w:hyperlink>
    </w:p>
    <w:p w14:paraId="0DB4F34E" w14:textId="77777777" w:rsidR="00000000" w:rsidRDefault="00405D16">
      <w:pPr>
        <w:jc w:val="center"/>
        <w:divId w:val="87523943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4517"/>
        <w:gridCol w:w="39"/>
        <w:gridCol w:w="36"/>
        <w:gridCol w:w="36"/>
        <w:gridCol w:w="36"/>
        <w:gridCol w:w="110"/>
        <w:gridCol w:w="555"/>
        <w:gridCol w:w="36"/>
        <w:gridCol w:w="36"/>
        <w:gridCol w:w="36"/>
        <w:gridCol w:w="36"/>
        <w:gridCol w:w="111"/>
        <w:gridCol w:w="667"/>
        <w:gridCol w:w="37"/>
        <w:gridCol w:w="36"/>
        <w:gridCol w:w="36"/>
        <w:gridCol w:w="36"/>
        <w:gridCol w:w="111"/>
        <w:gridCol w:w="785"/>
        <w:gridCol w:w="36"/>
        <w:gridCol w:w="36"/>
        <w:gridCol w:w="36"/>
        <w:gridCol w:w="36"/>
        <w:gridCol w:w="36"/>
        <w:gridCol w:w="36"/>
        <w:gridCol w:w="36"/>
        <w:gridCol w:w="36"/>
        <w:gridCol w:w="110"/>
        <w:gridCol w:w="540"/>
        <w:gridCol w:w="36"/>
      </w:tblGrid>
      <w:tr w:rsidR="00000000" w14:paraId="4F418826" w14:textId="77777777">
        <w:trPr>
          <w:divId w:val="1774664534"/>
        </w:trPr>
        <w:tc>
          <w:tcPr>
            <w:tcW w:w="50" w:type="pct"/>
            <w:vAlign w:val="center"/>
            <w:hideMark/>
          </w:tcPr>
          <w:p w14:paraId="71E6BCDE" w14:textId="77777777" w:rsidR="00000000" w:rsidRDefault="00405D16">
            <w:pPr>
              <w:jc w:val="center"/>
              <w:rPr>
                <w:rFonts w:eastAsia="Times New Roman"/>
              </w:rPr>
            </w:pPr>
          </w:p>
        </w:tc>
        <w:tc>
          <w:tcPr>
            <w:tcW w:w="2839" w:type="pct"/>
            <w:vAlign w:val="center"/>
            <w:hideMark/>
          </w:tcPr>
          <w:p w14:paraId="3BE88011" w14:textId="77777777" w:rsidR="00000000" w:rsidRDefault="00405D16">
            <w:pPr>
              <w:spacing w:after="100"/>
              <w:rPr>
                <w:rFonts w:eastAsia="Times New Roman"/>
                <w:sz w:val="20"/>
                <w:szCs w:val="20"/>
              </w:rPr>
            </w:pPr>
          </w:p>
        </w:tc>
        <w:tc>
          <w:tcPr>
            <w:tcW w:w="5" w:type="pct"/>
            <w:vAlign w:val="center"/>
            <w:hideMark/>
          </w:tcPr>
          <w:p w14:paraId="6185E9E9" w14:textId="77777777" w:rsidR="00000000" w:rsidRDefault="00405D16">
            <w:pPr>
              <w:spacing w:after="100"/>
              <w:rPr>
                <w:rFonts w:eastAsia="Times New Roman"/>
                <w:sz w:val="20"/>
                <w:szCs w:val="20"/>
              </w:rPr>
            </w:pPr>
          </w:p>
        </w:tc>
        <w:tc>
          <w:tcPr>
            <w:tcW w:w="5" w:type="pct"/>
            <w:vAlign w:val="center"/>
            <w:hideMark/>
          </w:tcPr>
          <w:p w14:paraId="696B7266" w14:textId="77777777" w:rsidR="00000000" w:rsidRDefault="00405D16">
            <w:pPr>
              <w:spacing w:after="100"/>
              <w:rPr>
                <w:rFonts w:eastAsia="Times New Roman"/>
                <w:sz w:val="20"/>
                <w:szCs w:val="20"/>
              </w:rPr>
            </w:pPr>
          </w:p>
        </w:tc>
        <w:tc>
          <w:tcPr>
            <w:tcW w:w="26" w:type="pct"/>
            <w:vAlign w:val="center"/>
            <w:hideMark/>
          </w:tcPr>
          <w:p w14:paraId="5A109C54" w14:textId="77777777" w:rsidR="00000000" w:rsidRDefault="00405D16">
            <w:pPr>
              <w:spacing w:after="100"/>
              <w:rPr>
                <w:rFonts w:eastAsia="Times New Roman"/>
                <w:sz w:val="20"/>
                <w:szCs w:val="20"/>
              </w:rPr>
            </w:pPr>
          </w:p>
        </w:tc>
        <w:tc>
          <w:tcPr>
            <w:tcW w:w="5" w:type="pct"/>
            <w:vAlign w:val="center"/>
            <w:hideMark/>
          </w:tcPr>
          <w:p w14:paraId="4A4A2439" w14:textId="77777777" w:rsidR="00000000" w:rsidRDefault="00405D16">
            <w:pPr>
              <w:spacing w:after="100"/>
              <w:rPr>
                <w:rFonts w:eastAsia="Times New Roman"/>
                <w:sz w:val="20"/>
                <w:szCs w:val="20"/>
              </w:rPr>
            </w:pPr>
          </w:p>
        </w:tc>
        <w:tc>
          <w:tcPr>
            <w:tcW w:w="50" w:type="pct"/>
            <w:vAlign w:val="center"/>
            <w:hideMark/>
          </w:tcPr>
          <w:p w14:paraId="195C7327" w14:textId="77777777" w:rsidR="00000000" w:rsidRDefault="00405D16">
            <w:pPr>
              <w:spacing w:after="100"/>
              <w:rPr>
                <w:rFonts w:eastAsia="Times New Roman"/>
                <w:sz w:val="20"/>
                <w:szCs w:val="20"/>
              </w:rPr>
            </w:pPr>
          </w:p>
        </w:tc>
        <w:tc>
          <w:tcPr>
            <w:tcW w:w="434" w:type="pct"/>
            <w:vAlign w:val="center"/>
            <w:hideMark/>
          </w:tcPr>
          <w:p w14:paraId="0ABA6DD9" w14:textId="77777777" w:rsidR="00000000" w:rsidRDefault="00405D16">
            <w:pPr>
              <w:spacing w:after="100"/>
              <w:rPr>
                <w:rFonts w:eastAsia="Times New Roman"/>
                <w:sz w:val="20"/>
                <w:szCs w:val="20"/>
              </w:rPr>
            </w:pPr>
          </w:p>
        </w:tc>
        <w:tc>
          <w:tcPr>
            <w:tcW w:w="5" w:type="pct"/>
            <w:vAlign w:val="center"/>
            <w:hideMark/>
          </w:tcPr>
          <w:p w14:paraId="2D14C6AB" w14:textId="77777777" w:rsidR="00000000" w:rsidRDefault="00405D16">
            <w:pPr>
              <w:spacing w:after="100"/>
              <w:rPr>
                <w:rFonts w:eastAsia="Times New Roman"/>
                <w:sz w:val="20"/>
                <w:szCs w:val="20"/>
              </w:rPr>
            </w:pPr>
          </w:p>
        </w:tc>
        <w:tc>
          <w:tcPr>
            <w:tcW w:w="5" w:type="pct"/>
            <w:vAlign w:val="center"/>
            <w:hideMark/>
          </w:tcPr>
          <w:p w14:paraId="111667BD" w14:textId="77777777" w:rsidR="00000000" w:rsidRDefault="00405D16">
            <w:pPr>
              <w:spacing w:after="100"/>
              <w:rPr>
                <w:rFonts w:eastAsia="Times New Roman"/>
                <w:sz w:val="20"/>
                <w:szCs w:val="20"/>
              </w:rPr>
            </w:pPr>
          </w:p>
        </w:tc>
        <w:tc>
          <w:tcPr>
            <w:tcW w:w="26" w:type="pct"/>
            <w:vAlign w:val="center"/>
            <w:hideMark/>
          </w:tcPr>
          <w:p w14:paraId="23967A6E" w14:textId="77777777" w:rsidR="00000000" w:rsidRDefault="00405D16">
            <w:pPr>
              <w:spacing w:after="100"/>
              <w:rPr>
                <w:rFonts w:eastAsia="Times New Roman"/>
                <w:sz w:val="20"/>
                <w:szCs w:val="20"/>
              </w:rPr>
            </w:pPr>
          </w:p>
        </w:tc>
        <w:tc>
          <w:tcPr>
            <w:tcW w:w="5" w:type="pct"/>
            <w:vAlign w:val="center"/>
            <w:hideMark/>
          </w:tcPr>
          <w:p w14:paraId="5EE38D59" w14:textId="77777777" w:rsidR="00000000" w:rsidRDefault="00405D16">
            <w:pPr>
              <w:spacing w:after="100"/>
              <w:rPr>
                <w:rFonts w:eastAsia="Times New Roman"/>
                <w:sz w:val="20"/>
                <w:szCs w:val="20"/>
              </w:rPr>
            </w:pPr>
          </w:p>
        </w:tc>
        <w:tc>
          <w:tcPr>
            <w:tcW w:w="50" w:type="pct"/>
            <w:vAlign w:val="center"/>
            <w:hideMark/>
          </w:tcPr>
          <w:p w14:paraId="5AB282CC" w14:textId="77777777" w:rsidR="00000000" w:rsidRDefault="00405D16">
            <w:pPr>
              <w:spacing w:after="100"/>
              <w:rPr>
                <w:rFonts w:eastAsia="Times New Roman"/>
                <w:sz w:val="20"/>
                <w:szCs w:val="20"/>
              </w:rPr>
            </w:pPr>
          </w:p>
        </w:tc>
        <w:tc>
          <w:tcPr>
            <w:tcW w:w="434" w:type="pct"/>
            <w:vAlign w:val="center"/>
            <w:hideMark/>
          </w:tcPr>
          <w:p w14:paraId="0D50A26E" w14:textId="77777777" w:rsidR="00000000" w:rsidRDefault="00405D16">
            <w:pPr>
              <w:spacing w:after="100"/>
              <w:rPr>
                <w:rFonts w:eastAsia="Times New Roman"/>
                <w:sz w:val="20"/>
                <w:szCs w:val="20"/>
              </w:rPr>
            </w:pPr>
          </w:p>
        </w:tc>
        <w:tc>
          <w:tcPr>
            <w:tcW w:w="5" w:type="pct"/>
            <w:vAlign w:val="center"/>
            <w:hideMark/>
          </w:tcPr>
          <w:p w14:paraId="69741306" w14:textId="77777777" w:rsidR="00000000" w:rsidRDefault="00405D16">
            <w:pPr>
              <w:spacing w:after="100"/>
              <w:rPr>
                <w:rFonts w:eastAsia="Times New Roman"/>
                <w:sz w:val="20"/>
                <w:szCs w:val="20"/>
              </w:rPr>
            </w:pPr>
          </w:p>
        </w:tc>
        <w:tc>
          <w:tcPr>
            <w:tcW w:w="5" w:type="pct"/>
            <w:vAlign w:val="center"/>
            <w:hideMark/>
          </w:tcPr>
          <w:p w14:paraId="250ACECF" w14:textId="77777777" w:rsidR="00000000" w:rsidRDefault="00405D16">
            <w:pPr>
              <w:spacing w:after="100"/>
              <w:rPr>
                <w:rFonts w:eastAsia="Times New Roman"/>
                <w:sz w:val="20"/>
                <w:szCs w:val="20"/>
              </w:rPr>
            </w:pPr>
          </w:p>
        </w:tc>
        <w:tc>
          <w:tcPr>
            <w:tcW w:w="26" w:type="pct"/>
            <w:vAlign w:val="center"/>
            <w:hideMark/>
          </w:tcPr>
          <w:p w14:paraId="2AAC97D1" w14:textId="77777777" w:rsidR="00000000" w:rsidRDefault="00405D16">
            <w:pPr>
              <w:spacing w:after="100"/>
              <w:rPr>
                <w:rFonts w:eastAsia="Times New Roman"/>
                <w:sz w:val="20"/>
                <w:szCs w:val="20"/>
              </w:rPr>
            </w:pPr>
          </w:p>
        </w:tc>
        <w:tc>
          <w:tcPr>
            <w:tcW w:w="5" w:type="pct"/>
            <w:vAlign w:val="center"/>
            <w:hideMark/>
          </w:tcPr>
          <w:p w14:paraId="3A4904BE" w14:textId="77777777" w:rsidR="00000000" w:rsidRDefault="00405D16">
            <w:pPr>
              <w:spacing w:after="100"/>
              <w:rPr>
                <w:rFonts w:eastAsia="Times New Roman"/>
                <w:sz w:val="20"/>
                <w:szCs w:val="20"/>
              </w:rPr>
            </w:pPr>
          </w:p>
        </w:tc>
        <w:tc>
          <w:tcPr>
            <w:tcW w:w="50" w:type="pct"/>
            <w:vAlign w:val="center"/>
            <w:hideMark/>
          </w:tcPr>
          <w:p w14:paraId="1E47C25F" w14:textId="77777777" w:rsidR="00000000" w:rsidRDefault="00405D16">
            <w:pPr>
              <w:spacing w:after="100"/>
              <w:rPr>
                <w:rFonts w:eastAsia="Times New Roman"/>
                <w:sz w:val="20"/>
                <w:szCs w:val="20"/>
              </w:rPr>
            </w:pPr>
          </w:p>
        </w:tc>
        <w:tc>
          <w:tcPr>
            <w:tcW w:w="434" w:type="pct"/>
            <w:vAlign w:val="center"/>
            <w:hideMark/>
          </w:tcPr>
          <w:p w14:paraId="41F865B7" w14:textId="77777777" w:rsidR="00000000" w:rsidRDefault="00405D16">
            <w:pPr>
              <w:spacing w:after="100"/>
              <w:rPr>
                <w:rFonts w:eastAsia="Times New Roman"/>
                <w:sz w:val="20"/>
                <w:szCs w:val="20"/>
              </w:rPr>
            </w:pPr>
          </w:p>
        </w:tc>
        <w:tc>
          <w:tcPr>
            <w:tcW w:w="5" w:type="pct"/>
            <w:vAlign w:val="center"/>
            <w:hideMark/>
          </w:tcPr>
          <w:p w14:paraId="716307F3" w14:textId="77777777" w:rsidR="00000000" w:rsidRDefault="00405D16">
            <w:pPr>
              <w:spacing w:after="100"/>
              <w:rPr>
                <w:rFonts w:eastAsia="Times New Roman"/>
                <w:sz w:val="20"/>
                <w:szCs w:val="20"/>
              </w:rPr>
            </w:pPr>
          </w:p>
        </w:tc>
        <w:tc>
          <w:tcPr>
            <w:tcW w:w="5" w:type="pct"/>
            <w:vAlign w:val="center"/>
            <w:hideMark/>
          </w:tcPr>
          <w:p w14:paraId="7F34F9BF" w14:textId="77777777" w:rsidR="00000000" w:rsidRDefault="00405D16">
            <w:pPr>
              <w:spacing w:after="100"/>
              <w:rPr>
                <w:rFonts w:eastAsia="Times New Roman"/>
                <w:sz w:val="20"/>
                <w:szCs w:val="20"/>
              </w:rPr>
            </w:pPr>
          </w:p>
        </w:tc>
        <w:tc>
          <w:tcPr>
            <w:tcW w:w="26" w:type="pct"/>
            <w:vAlign w:val="center"/>
            <w:hideMark/>
          </w:tcPr>
          <w:p w14:paraId="2E5E19FC" w14:textId="77777777" w:rsidR="00000000" w:rsidRDefault="00405D16">
            <w:pPr>
              <w:spacing w:after="100"/>
              <w:rPr>
                <w:rFonts w:eastAsia="Times New Roman"/>
                <w:sz w:val="20"/>
                <w:szCs w:val="20"/>
              </w:rPr>
            </w:pPr>
          </w:p>
        </w:tc>
        <w:tc>
          <w:tcPr>
            <w:tcW w:w="5" w:type="pct"/>
            <w:vAlign w:val="center"/>
            <w:hideMark/>
          </w:tcPr>
          <w:p w14:paraId="6B17AD4A" w14:textId="77777777" w:rsidR="00000000" w:rsidRDefault="00405D16">
            <w:pPr>
              <w:spacing w:after="100"/>
              <w:rPr>
                <w:rFonts w:eastAsia="Times New Roman"/>
                <w:sz w:val="20"/>
                <w:szCs w:val="20"/>
              </w:rPr>
            </w:pPr>
          </w:p>
        </w:tc>
        <w:tc>
          <w:tcPr>
            <w:tcW w:w="0" w:type="auto"/>
            <w:vAlign w:val="center"/>
            <w:hideMark/>
          </w:tcPr>
          <w:p w14:paraId="065FDA6F" w14:textId="77777777" w:rsidR="00000000" w:rsidRDefault="00405D16">
            <w:pPr>
              <w:spacing w:after="100"/>
              <w:rPr>
                <w:rFonts w:eastAsia="Times New Roman"/>
                <w:sz w:val="20"/>
                <w:szCs w:val="20"/>
              </w:rPr>
            </w:pPr>
          </w:p>
        </w:tc>
        <w:tc>
          <w:tcPr>
            <w:tcW w:w="0" w:type="auto"/>
            <w:gridSpan w:val="3"/>
            <w:vAlign w:val="center"/>
            <w:hideMark/>
          </w:tcPr>
          <w:p w14:paraId="264B9331" w14:textId="77777777" w:rsidR="00000000" w:rsidRDefault="00405D16">
            <w:pPr>
              <w:spacing w:after="100"/>
              <w:rPr>
                <w:rFonts w:eastAsia="Times New Roman"/>
                <w:sz w:val="20"/>
                <w:szCs w:val="20"/>
              </w:rPr>
            </w:pPr>
          </w:p>
        </w:tc>
        <w:tc>
          <w:tcPr>
            <w:tcW w:w="50" w:type="pct"/>
            <w:vAlign w:val="center"/>
            <w:hideMark/>
          </w:tcPr>
          <w:p w14:paraId="3C5A817D" w14:textId="77777777" w:rsidR="00000000" w:rsidRDefault="00405D16">
            <w:pPr>
              <w:spacing w:after="100"/>
              <w:rPr>
                <w:rFonts w:eastAsia="Times New Roman"/>
                <w:sz w:val="20"/>
                <w:szCs w:val="20"/>
              </w:rPr>
            </w:pPr>
          </w:p>
        </w:tc>
        <w:tc>
          <w:tcPr>
            <w:tcW w:w="435" w:type="pct"/>
            <w:vAlign w:val="center"/>
            <w:hideMark/>
          </w:tcPr>
          <w:p w14:paraId="77266535" w14:textId="77777777" w:rsidR="00000000" w:rsidRDefault="00405D16">
            <w:pPr>
              <w:spacing w:after="100"/>
              <w:rPr>
                <w:rFonts w:eastAsia="Times New Roman"/>
                <w:sz w:val="20"/>
                <w:szCs w:val="20"/>
              </w:rPr>
            </w:pPr>
          </w:p>
        </w:tc>
        <w:tc>
          <w:tcPr>
            <w:tcW w:w="5" w:type="pct"/>
            <w:vAlign w:val="center"/>
            <w:hideMark/>
          </w:tcPr>
          <w:p w14:paraId="1705A96D" w14:textId="77777777" w:rsidR="00000000" w:rsidRDefault="00405D16">
            <w:pPr>
              <w:spacing w:after="100"/>
              <w:rPr>
                <w:rFonts w:eastAsia="Times New Roman"/>
                <w:sz w:val="20"/>
                <w:szCs w:val="20"/>
              </w:rPr>
            </w:pPr>
          </w:p>
        </w:tc>
      </w:tr>
      <w:tr w:rsidR="00000000" w14:paraId="340A77C5" w14:textId="77777777">
        <w:trPr>
          <w:divId w:val="1774664534"/>
        </w:trPr>
        <w:tc>
          <w:tcPr>
            <w:tcW w:w="0" w:type="auto"/>
            <w:gridSpan w:val="3"/>
            <w:tcMar>
              <w:top w:w="0" w:type="dxa"/>
              <w:left w:w="20" w:type="dxa"/>
              <w:bottom w:w="0" w:type="dxa"/>
              <w:right w:w="20" w:type="dxa"/>
            </w:tcMar>
            <w:vAlign w:val="center"/>
            <w:hideMark/>
          </w:tcPr>
          <w:p w14:paraId="2010F392"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55CF2BE" w14:textId="77777777" w:rsidR="00000000" w:rsidRDefault="00405D16">
            <w:pPr>
              <w:spacing w:after="100"/>
              <w:rPr>
                <w:rFonts w:eastAsia="Times New Roman"/>
                <w:sz w:val="20"/>
                <w:szCs w:val="20"/>
              </w:rPr>
            </w:pPr>
          </w:p>
        </w:tc>
        <w:tc>
          <w:tcPr>
            <w:tcW w:w="0" w:type="auto"/>
            <w:gridSpan w:val="19"/>
            <w:tcMar>
              <w:top w:w="30" w:type="dxa"/>
              <w:left w:w="20" w:type="dxa"/>
              <w:bottom w:w="30" w:type="dxa"/>
              <w:right w:w="20" w:type="dxa"/>
            </w:tcMar>
            <w:vAlign w:val="bottom"/>
            <w:hideMark/>
          </w:tcPr>
          <w:p w14:paraId="19D94089" w14:textId="77777777" w:rsidR="00000000" w:rsidRDefault="00405D16">
            <w:pPr>
              <w:spacing w:after="100"/>
              <w:jc w:val="center"/>
              <w:rPr>
                <w:rFonts w:eastAsia="Times New Roman"/>
              </w:rPr>
            </w:pPr>
            <w:r>
              <w:rPr>
                <w:rFonts w:eastAsia="Times New Roman"/>
                <w:b/>
                <w:bCs/>
                <w:color w:val="000000"/>
                <w:sz w:val="16"/>
                <w:szCs w:val="16"/>
              </w:rPr>
              <w:t>Three Months Ended September 30, 2020</w:t>
            </w:r>
          </w:p>
        </w:tc>
        <w:tc>
          <w:tcPr>
            <w:tcW w:w="0" w:type="auto"/>
            <w:vAlign w:val="center"/>
            <w:hideMark/>
          </w:tcPr>
          <w:p w14:paraId="3E8D959F" w14:textId="77777777" w:rsidR="00000000" w:rsidRDefault="00405D16">
            <w:pPr>
              <w:spacing w:after="100"/>
              <w:rPr>
                <w:rFonts w:eastAsia="Times New Roman"/>
                <w:sz w:val="20"/>
                <w:szCs w:val="20"/>
              </w:rPr>
            </w:pPr>
          </w:p>
        </w:tc>
        <w:tc>
          <w:tcPr>
            <w:tcW w:w="0" w:type="auto"/>
            <w:vAlign w:val="center"/>
            <w:hideMark/>
          </w:tcPr>
          <w:p w14:paraId="58B1C409" w14:textId="77777777" w:rsidR="00000000" w:rsidRDefault="00405D16">
            <w:pPr>
              <w:spacing w:after="100"/>
              <w:rPr>
                <w:rFonts w:eastAsia="Times New Roman"/>
                <w:sz w:val="20"/>
                <w:szCs w:val="20"/>
              </w:rPr>
            </w:pPr>
          </w:p>
        </w:tc>
        <w:tc>
          <w:tcPr>
            <w:tcW w:w="0" w:type="auto"/>
            <w:vAlign w:val="center"/>
            <w:hideMark/>
          </w:tcPr>
          <w:p w14:paraId="36BA6DDA" w14:textId="77777777" w:rsidR="00000000" w:rsidRDefault="00405D16">
            <w:pPr>
              <w:spacing w:after="100"/>
              <w:rPr>
                <w:rFonts w:eastAsia="Times New Roman"/>
                <w:sz w:val="20"/>
                <w:szCs w:val="20"/>
              </w:rPr>
            </w:pPr>
          </w:p>
        </w:tc>
        <w:tc>
          <w:tcPr>
            <w:tcW w:w="0" w:type="auto"/>
            <w:vAlign w:val="center"/>
            <w:hideMark/>
          </w:tcPr>
          <w:p w14:paraId="29152335" w14:textId="77777777" w:rsidR="00000000" w:rsidRDefault="00405D16">
            <w:pPr>
              <w:spacing w:after="100"/>
              <w:rPr>
                <w:rFonts w:eastAsia="Times New Roman"/>
                <w:sz w:val="20"/>
                <w:szCs w:val="20"/>
              </w:rPr>
            </w:pPr>
          </w:p>
        </w:tc>
        <w:tc>
          <w:tcPr>
            <w:tcW w:w="0" w:type="auto"/>
            <w:vAlign w:val="center"/>
            <w:hideMark/>
          </w:tcPr>
          <w:p w14:paraId="2AF46805" w14:textId="77777777" w:rsidR="00000000" w:rsidRDefault="00405D16">
            <w:pPr>
              <w:spacing w:after="100"/>
              <w:rPr>
                <w:rFonts w:eastAsia="Times New Roman"/>
                <w:sz w:val="20"/>
                <w:szCs w:val="20"/>
              </w:rPr>
            </w:pPr>
          </w:p>
        </w:tc>
        <w:tc>
          <w:tcPr>
            <w:tcW w:w="0" w:type="auto"/>
            <w:vAlign w:val="center"/>
            <w:hideMark/>
          </w:tcPr>
          <w:p w14:paraId="7D475164" w14:textId="77777777" w:rsidR="00000000" w:rsidRDefault="00405D16">
            <w:pPr>
              <w:spacing w:after="100"/>
              <w:rPr>
                <w:rFonts w:eastAsia="Times New Roman"/>
                <w:sz w:val="20"/>
                <w:szCs w:val="20"/>
              </w:rPr>
            </w:pPr>
          </w:p>
        </w:tc>
      </w:tr>
      <w:tr w:rsidR="00000000" w14:paraId="3533C4D3" w14:textId="77777777">
        <w:trPr>
          <w:divId w:val="1774664534"/>
        </w:trPr>
        <w:tc>
          <w:tcPr>
            <w:tcW w:w="0" w:type="auto"/>
            <w:gridSpan w:val="3"/>
            <w:tcMar>
              <w:top w:w="30" w:type="dxa"/>
              <w:left w:w="20" w:type="dxa"/>
              <w:bottom w:w="30" w:type="dxa"/>
              <w:right w:w="20" w:type="dxa"/>
            </w:tcMar>
            <w:vAlign w:val="bottom"/>
            <w:hideMark/>
          </w:tcPr>
          <w:p w14:paraId="10A17F96"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1EA847C1"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8D57BAC" w14:textId="77777777" w:rsidR="00000000" w:rsidRDefault="00405D16">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70F6570A"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5760781" w14:textId="77777777" w:rsidR="00000000" w:rsidRDefault="00405D16">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0C0AB6DC"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215C4FB" w14:textId="77777777" w:rsidR="00000000" w:rsidRDefault="00405D16">
            <w:pPr>
              <w:spacing w:after="100"/>
              <w:jc w:val="center"/>
              <w:rPr>
                <w:rFonts w:eastAsia="Times New Roman"/>
              </w:rPr>
            </w:pPr>
            <w:r>
              <w:rPr>
                <w:rFonts w:eastAsia="Times New Roman"/>
                <w:b/>
                <w:bCs/>
                <w:color w:val="000000"/>
                <w:sz w:val="16"/>
                <w:szCs w:val="16"/>
              </w:rPr>
              <w:t>Commercial Banking</w:t>
            </w:r>
          </w:p>
        </w:tc>
        <w:tc>
          <w:tcPr>
            <w:tcW w:w="0" w:type="auto"/>
            <w:gridSpan w:val="3"/>
            <w:tcBorders>
              <w:top w:val="single" w:sz="8" w:space="0" w:color="000000"/>
            </w:tcBorders>
            <w:tcMar>
              <w:top w:w="0" w:type="dxa"/>
              <w:left w:w="20" w:type="dxa"/>
              <w:bottom w:w="0" w:type="dxa"/>
              <w:right w:w="20" w:type="dxa"/>
            </w:tcMar>
            <w:vAlign w:val="center"/>
            <w:hideMark/>
          </w:tcPr>
          <w:p w14:paraId="6832875B" w14:textId="77777777" w:rsidR="00000000" w:rsidRDefault="00405D16">
            <w:pPr>
              <w:spacing w:after="100"/>
              <w:jc w:val="center"/>
              <w:rPr>
                <w:rFonts w:eastAsia="Times New Roman"/>
              </w:rPr>
            </w:pPr>
          </w:p>
        </w:tc>
        <w:tc>
          <w:tcPr>
            <w:tcW w:w="0" w:type="auto"/>
            <w:vAlign w:val="center"/>
            <w:hideMark/>
          </w:tcPr>
          <w:p w14:paraId="757F9468" w14:textId="77777777" w:rsidR="00000000" w:rsidRDefault="00405D16">
            <w:pPr>
              <w:spacing w:after="100"/>
              <w:rPr>
                <w:rFonts w:eastAsia="Times New Roman"/>
                <w:sz w:val="20"/>
                <w:szCs w:val="20"/>
              </w:rPr>
            </w:pPr>
          </w:p>
        </w:tc>
        <w:tc>
          <w:tcPr>
            <w:tcW w:w="0" w:type="auto"/>
            <w:gridSpan w:val="3"/>
            <w:vAlign w:val="center"/>
            <w:hideMark/>
          </w:tcPr>
          <w:p w14:paraId="3A6D5EA1"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0D42247" w14:textId="77777777" w:rsidR="00000000" w:rsidRDefault="00405D16">
            <w:pPr>
              <w:spacing w:after="100"/>
              <w:jc w:val="center"/>
              <w:rPr>
                <w:rFonts w:eastAsia="Times New Roman"/>
              </w:rPr>
            </w:pPr>
            <w:r>
              <w:rPr>
                <w:rFonts w:eastAsia="Times New Roman"/>
                <w:b/>
                <w:bCs/>
                <w:color w:val="000000"/>
                <w:sz w:val="16"/>
                <w:szCs w:val="16"/>
              </w:rPr>
              <w:t>Total</w:t>
            </w:r>
          </w:p>
        </w:tc>
      </w:tr>
      <w:tr w:rsidR="00000000" w14:paraId="00FCD6A9" w14:textId="77777777">
        <w:trPr>
          <w:divId w:val="177466453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E12B3FD" w14:textId="77777777" w:rsidR="00000000" w:rsidRDefault="00405D16">
            <w:pPr>
              <w:spacing w:after="100"/>
              <w:rPr>
                <w:rFonts w:eastAsia="Times New Roman"/>
              </w:rPr>
            </w:pPr>
            <w:r>
              <w:rPr>
                <w:rFonts w:eastAsia="Times New Roman"/>
                <w:b/>
                <w:bCs/>
                <w:color w:val="000000"/>
                <w:sz w:val="18"/>
                <w:szCs w:val="18"/>
              </w:rPr>
              <w:t>Allowance for credit losses:</w:t>
            </w:r>
          </w:p>
        </w:tc>
        <w:tc>
          <w:tcPr>
            <w:tcW w:w="0" w:type="auto"/>
            <w:gridSpan w:val="3"/>
            <w:shd w:val="clear" w:color="auto" w:fill="CCEEFF"/>
            <w:tcMar>
              <w:top w:w="0" w:type="dxa"/>
              <w:left w:w="20" w:type="dxa"/>
              <w:bottom w:w="0" w:type="dxa"/>
              <w:right w:w="20" w:type="dxa"/>
            </w:tcMar>
            <w:vAlign w:val="center"/>
            <w:hideMark/>
          </w:tcPr>
          <w:p w14:paraId="4E8FA283"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75A5ED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F65E56"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68DF47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E8504B"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15D4FF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D2C220" w14:textId="77777777" w:rsidR="00000000" w:rsidRDefault="00405D16">
            <w:pPr>
              <w:spacing w:after="100"/>
              <w:rPr>
                <w:rFonts w:eastAsia="Times New Roman"/>
                <w:sz w:val="20"/>
                <w:szCs w:val="20"/>
              </w:rPr>
            </w:pPr>
          </w:p>
        </w:tc>
        <w:tc>
          <w:tcPr>
            <w:tcW w:w="0" w:type="auto"/>
            <w:vAlign w:val="center"/>
            <w:hideMark/>
          </w:tcPr>
          <w:p w14:paraId="576E3352" w14:textId="77777777" w:rsidR="00000000" w:rsidRDefault="00405D16">
            <w:pPr>
              <w:spacing w:after="100"/>
              <w:rPr>
                <w:rFonts w:eastAsia="Times New Roman"/>
                <w:sz w:val="20"/>
                <w:szCs w:val="20"/>
              </w:rPr>
            </w:pPr>
          </w:p>
        </w:tc>
        <w:tc>
          <w:tcPr>
            <w:tcW w:w="0" w:type="auto"/>
            <w:gridSpan w:val="3"/>
            <w:vAlign w:val="center"/>
            <w:hideMark/>
          </w:tcPr>
          <w:p w14:paraId="39B3A7A2"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C32B955" w14:textId="77777777" w:rsidR="00000000" w:rsidRDefault="00405D16">
            <w:pPr>
              <w:spacing w:after="100"/>
              <w:rPr>
                <w:rFonts w:eastAsia="Times New Roman"/>
                <w:sz w:val="20"/>
                <w:szCs w:val="20"/>
              </w:rPr>
            </w:pPr>
          </w:p>
        </w:tc>
      </w:tr>
      <w:tr w:rsidR="00000000" w14:paraId="5B93C75A" w14:textId="77777777">
        <w:trPr>
          <w:divId w:val="1774664534"/>
        </w:trPr>
        <w:tc>
          <w:tcPr>
            <w:tcW w:w="0" w:type="auto"/>
            <w:gridSpan w:val="3"/>
            <w:shd w:val="clear" w:color="auto" w:fill="FFFFFF"/>
            <w:tcMar>
              <w:top w:w="30" w:type="dxa"/>
              <w:left w:w="20" w:type="dxa"/>
              <w:bottom w:w="30" w:type="dxa"/>
              <w:right w:w="20" w:type="dxa"/>
            </w:tcMar>
            <w:vAlign w:val="center"/>
            <w:hideMark/>
          </w:tcPr>
          <w:p w14:paraId="7EC3D0A1" w14:textId="77777777" w:rsidR="00000000" w:rsidRDefault="00405D16">
            <w:pPr>
              <w:spacing w:after="100"/>
              <w:rPr>
                <w:rFonts w:eastAsia="Times New Roman"/>
              </w:rPr>
            </w:pPr>
            <w:r>
              <w:rPr>
                <w:rFonts w:eastAsia="Times New Roman"/>
                <w:color w:val="000000"/>
                <w:sz w:val="18"/>
                <w:szCs w:val="18"/>
              </w:rPr>
              <w:t>Balance as of June 30, 2020</w:t>
            </w:r>
          </w:p>
        </w:tc>
        <w:tc>
          <w:tcPr>
            <w:tcW w:w="0" w:type="auto"/>
            <w:gridSpan w:val="3"/>
            <w:shd w:val="clear" w:color="auto" w:fill="FFFFFF"/>
            <w:tcMar>
              <w:top w:w="0" w:type="dxa"/>
              <w:left w:w="20" w:type="dxa"/>
              <w:bottom w:w="0" w:type="dxa"/>
              <w:right w:w="20" w:type="dxa"/>
            </w:tcMar>
            <w:vAlign w:val="center"/>
            <w:hideMark/>
          </w:tcPr>
          <w:p w14:paraId="3927BC62"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4472BF69"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012607C0" w14:textId="77777777" w:rsidR="00000000" w:rsidRDefault="00405D16">
            <w:pPr>
              <w:spacing w:after="100"/>
              <w:jc w:val="right"/>
              <w:rPr>
                <w:rFonts w:eastAsia="Times New Roman"/>
              </w:rPr>
            </w:pPr>
            <w:r>
              <w:rPr>
                <w:rFonts w:eastAsia="Times New Roman"/>
                <w:color w:val="000000"/>
                <w:sz w:val="18"/>
                <w:szCs w:val="18"/>
              </w:rPr>
              <w:t>12,091 </w:t>
            </w:r>
          </w:p>
        </w:tc>
        <w:tc>
          <w:tcPr>
            <w:tcW w:w="0" w:type="auto"/>
            <w:shd w:val="clear" w:color="auto" w:fill="FFFFFF"/>
            <w:tcMar>
              <w:top w:w="30" w:type="dxa"/>
              <w:left w:w="0" w:type="dxa"/>
              <w:bottom w:w="30" w:type="dxa"/>
              <w:right w:w="20" w:type="dxa"/>
            </w:tcMar>
            <w:vAlign w:val="center"/>
            <w:hideMark/>
          </w:tcPr>
          <w:p w14:paraId="2B03F3B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AA9332"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7DDBBF9"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3080F050" w14:textId="77777777" w:rsidR="00000000" w:rsidRDefault="00405D16">
            <w:pPr>
              <w:spacing w:after="100"/>
              <w:jc w:val="right"/>
              <w:rPr>
                <w:rFonts w:eastAsia="Times New Roman"/>
              </w:rPr>
            </w:pPr>
            <w:r>
              <w:rPr>
                <w:rFonts w:eastAsia="Times New Roman"/>
                <w:color w:val="000000"/>
                <w:sz w:val="18"/>
                <w:szCs w:val="18"/>
              </w:rPr>
              <w:t>2,838 </w:t>
            </w:r>
          </w:p>
        </w:tc>
        <w:tc>
          <w:tcPr>
            <w:tcW w:w="0" w:type="auto"/>
            <w:shd w:val="clear" w:color="auto" w:fill="FFFFFF"/>
            <w:tcMar>
              <w:top w:w="30" w:type="dxa"/>
              <w:left w:w="0" w:type="dxa"/>
              <w:bottom w:w="30" w:type="dxa"/>
              <w:right w:w="20" w:type="dxa"/>
            </w:tcMar>
            <w:vAlign w:val="center"/>
            <w:hideMark/>
          </w:tcPr>
          <w:p w14:paraId="5D8FF10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1E435A"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20ABB2D"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70BB5AFA" w14:textId="77777777" w:rsidR="00000000" w:rsidRDefault="00405D16">
            <w:pPr>
              <w:spacing w:after="100"/>
              <w:jc w:val="right"/>
              <w:rPr>
                <w:rFonts w:eastAsia="Times New Roman"/>
              </w:rPr>
            </w:pPr>
            <w:r>
              <w:rPr>
                <w:rFonts w:eastAsia="Times New Roman"/>
                <w:color w:val="000000"/>
                <w:sz w:val="18"/>
                <w:szCs w:val="18"/>
              </w:rPr>
              <w:t>1,903 </w:t>
            </w:r>
          </w:p>
        </w:tc>
        <w:tc>
          <w:tcPr>
            <w:tcW w:w="0" w:type="auto"/>
            <w:shd w:val="clear" w:color="auto" w:fill="FFFFFF"/>
            <w:tcMar>
              <w:top w:w="30" w:type="dxa"/>
              <w:left w:w="0" w:type="dxa"/>
              <w:bottom w:w="30" w:type="dxa"/>
              <w:right w:w="20" w:type="dxa"/>
            </w:tcMar>
            <w:vAlign w:val="center"/>
            <w:hideMark/>
          </w:tcPr>
          <w:p w14:paraId="5E9E1A6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682D25" w14:textId="77777777" w:rsidR="00000000" w:rsidRDefault="00405D16">
            <w:pPr>
              <w:spacing w:after="100"/>
              <w:jc w:val="right"/>
              <w:rPr>
                <w:rFonts w:eastAsia="Times New Roman"/>
                <w:sz w:val="20"/>
                <w:szCs w:val="20"/>
              </w:rPr>
            </w:pPr>
          </w:p>
        </w:tc>
        <w:tc>
          <w:tcPr>
            <w:tcW w:w="0" w:type="auto"/>
            <w:vAlign w:val="center"/>
            <w:hideMark/>
          </w:tcPr>
          <w:p w14:paraId="2198E013" w14:textId="77777777" w:rsidR="00000000" w:rsidRDefault="00405D16">
            <w:pPr>
              <w:spacing w:after="100"/>
              <w:rPr>
                <w:rFonts w:eastAsia="Times New Roman"/>
                <w:sz w:val="20"/>
                <w:szCs w:val="20"/>
              </w:rPr>
            </w:pPr>
          </w:p>
        </w:tc>
        <w:tc>
          <w:tcPr>
            <w:tcW w:w="0" w:type="auto"/>
            <w:gridSpan w:val="3"/>
            <w:vAlign w:val="center"/>
            <w:hideMark/>
          </w:tcPr>
          <w:p w14:paraId="00D907A8" w14:textId="77777777" w:rsidR="00000000" w:rsidRDefault="00405D16">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10767D6"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3427523D" w14:textId="77777777" w:rsidR="00000000" w:rsidRDefault="00405D16">
            <w:pPr>
              <w:spacing w:after="100"/>
              <w:jc w:val="right"/>
              <w:rPr>
                <w:rFonts w:eastAsia="Times New Roman"/>
              </w:rPr>
            </w:pPr>
            <w:r>
              <w:rPr>
                <w:rFonts w:eastAsia="Times New Roman"/>
                <w:color w:val="000000"/>
                <w:sz w:val="18"/>
                <w:szCs w:val="18"/>
              </w:rPr>
              <w:t>16,832 </w:t>
            </w:r>
          </w:p>
        </w:tc>
        <w:tc>
          <w:tcPr>
            <w:tcW w:w="0" w:type="auto"/>
            <w:shd w:val="clear" w:color="auto" w:fill="FFFFFF"/>
            <w:tcMar>
              <w:top w:w="30" w:type="dxa"/>
              <w:left w:w="0" w:type="dxa"/>
              <w:bottom w:w="30" w:type="dxa"/>
              <w:right w:w="20" w:type="dxa"/>
            </w:tcMar>
            <w:vAlign w:val="center"/>
            <w:hideMark/>
          </w:tcPr>
          <w:p w14:paraId="638AB6CD" w14:textId="77777777" w:rsidR="00000000" w:rsidRDefault="00405D16">
            <w:pPr>
              <w:spacing w:after="100"/>
              <w:jc w:val="right"/>
              <w:rPr>
                <w:rFonts w:eastAsia="Times New Roman"/>
              </w:rPr>
            </w:pPr>
          </w:p>
        </w:tc>
      </w:tr>
      <w:tr w:rsidR="00000000" w14:paraId="7C7D68E2" w14:textId="77777777">
        <w:trPr>
          <w:divId w:val="1774664534"/>
        </w:trPr>
        <w:tc>
          <w:tcPr>
            <w:tcW w:w="0" w:type="auto"/>
            <w:gridSpan w:val="3"/>
            <w:shd w:val="clear" w:color="auto" w:fill="CCEEFF"/>
            <w:tcMar>
              <w:top w:w="30" w:type="dxa"/>
              <w:left w:w="20" w:type="dxa"/>
              <w:bottom w:w="30" w:type="dxa"/>
              <w:right w:w="20" w:type="dxa"/>
            </w:tcMar>
            <w:vAlign w:val="center"/>
            <w:hideMark/>
          </w:tcPr>
          <w:p w14:paraId="4F53A701" w14:textId="77777777" w:rsidR="00000000" w:rsidRDefault="00405D16">
            <w:pPr>
              <w:spacing w:after="100"/>
              <w:divId w:val="1974286051"/>
              <w:rPr>
                <w:rFonts w:eastAsia="Times New Roman"/>
              </w:rPr>
            </w:pPr>
            <w:r>
              <w:rPr>
                <w:rFonts w:eastAsia="Times New Roman"/>
                <w:color w:val="000000"/>
                <w:sz w:val="18"/>
                <w:szCs w:val="18"/>
              </w:rPr>
              <w:t>Charge-offs</w:t>
            </w:r>
          </w:p>
        </w:tc>
        <w:tc>
          <w:tcPr>
            <w:tcW w:w="0" w:type="auto"/>
            <w:gridSpan w:val="3"/>
            <w:shd w:val="clear" w:color="auto" w:fill="CCEEFF"/>
            <w:tcMar>
              <w:top w:w="0" w:type="dxa"/>
              <w:left w:w="20" w:type="dxa"/>
              <w:bottom w:w="0" w:type="dxa"/>
              <w:right w:w="20" w:type="dxa"/>
            </w:tcMar>
            <w:vAlign w:val="center"/>
            <w:hideMark/>
          </w:tcPr>
          <w:p w14:paraId="573AAD00"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10BB876" w14:textId="77777777" w:rsidR="00000000" w:rsidRDefault="00405D16">
            <w:pPr>
              <w:spacing w:after="100"/>
              <w:jc w:val="right"/>
              <w:rPr>
                <w:rFonts w:eastAsia="Times New Roman"/>
              </w:rPr>
            </w:pPr>
            <w:r>
              <w:rPr>
                <w:rFonts w:eastAsia="Times New Roman"/>
                <w:color w:val="000000"/>
                <w:sz w:val="18"/>
                <w:szCs w:val="18"/>
              </w:rPr>
              <w:t>(</w:t>
            </w:r>
            <w:r>
              <w:rPr>
                <w:rFonts w:eastAsia="Times New Roman"/>
                <w:color w:val="000000"/>
                <w:sz w:val="18"/>
                <w:szCs w:val="18"/>
              </w:rPr>
              <w:t>1,296)</w:t>
            </w:r>
          </w:p>
        </w:tc>
        <w:tc>
          <w:tcPr>
            <w:tcW w:w="0" w:type="auto"/>
            <w:shd w:val="clear" w:color="auto" w:fill="CCEEFF"/>
            <w:tcMar>
              <w:top w:w="30" w:type="dxa"/>
              <w:left w:w="0" w:type="dxa"/>
              <w:bottom w:w="30" w:type="dxa"/>
              <w:right w:w="20" w:type="dxa"/>
            </w:tcMar>
            <w:vAlign w:val="center"/>
            <w:hideMark/>
          </w:tcPr>
          <w:p w14:paraId="39B04A1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16B87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1B03C78" w14:textId="77777777" w:rsidR="00000000" w:rsidRDefault="00405D16">
            <w:pPr>
              <w:spacing w:after="100"/>
              <w:jc w:val="right"/>
              <w:rPr>
                <w:rFonts w:eastAsia="Times New Roman"/>
              </w:rPr>
            </w:pPr>
            <w:r>
              <w:rPr>
                <w:rFonts w:eastAsia="Times New Roman"/>
                <w:color w:val="000000"/>
                <w:sz w:val="18"/>
                <w:szCs w:val="18"/>
              </w:rPr>
              <w:t>(295)</w:t>
            </w:r>
          </w:p>
        </w:tc>
        <w:tc>
          <w:tcPr>
            <w:tcW w:w="0" w:type="auto"/>
            <w:shd w:val="clear" w:color="auto" w:fill="CCEEFF"/>
            <w:tcMar>
              <w:top w:w="30" w:type="dxa"/>
              <w:left w:w="0" w:type="dxa"/>
              <w:bottom w:w="30" w:type="dxa"/>
              <w:right w:w="20" w:type="dxa"/>
            </w:tcMar>
            <w:vAlign w:val="center"/>
            <w:hideMark/>
          </w:tcPr>
          <w:p w14:paraId="110CB61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B34D6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CAC49B9" w14:textId="77777777" w:rsidR="00000000" w:rsidRDefault="00405D16">
            <w:pPr>
              <w:spacing w:after="100"/>
              <w:jc w:val="right"/>
              <w:rPr>
                <w:rFonts w:eastAsia="Times New Roman"/>
              </w:rPr>
            </w:pPr>
            <w:r>
              <w:rPr>
                <w:rFonts w:eastAsia="Times New Roman"/>
                <w:color w:val="000000"/>
                <w:sz w:val="18"/>
                <w:szCs w:val="18"/>
              </w:rPr>
              <w:t>(88)</w:t>
            </w:r>
          </w:p>
        </w:tc>
        <w:tc>
          <w:tcPr>
            <w:tcW w:w="0" w:type="auto"/>
            <w:shd w:val="clear" w:color="auto" w:fill="CCEEFF"/>
            <w:tcMar>
              <w:top w:w="30" w:type="dxa"/>
              <w:left w:w="0" w:type="dxa"/>
              <w:bottom w:w="30" w:type="dxa"/>
              <w:right w:w="20" w:type="dxa"/>
            </w:tcMar>
            <w:vAlign w:val="center"/>
            <w:hideMark/>
          </w:tcPr>
          <w:p w14:paraId="4894FC9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AC455E" w14:textId="77777777" w:rsidR="00000000" w:rsidRDefault="00405D16">
            <w:pPr>
              <w:spacing w:after="100"/>
              <w:jc w:val="right"/>
              <w:rPr>
                <w:rFonts w:eastAsia="Times New Roman"/>
                <w:sz w:val="20"/>
                <w:szCs w:val="20"/>
              </w:rPr>
            </w:pPr>
          </w:p>
        </w:tc>
        <w:tc>
          <w:tcPr>
            <w:tcW w:w="0" w:type="auto"/>
            <w:vAlign w:val="center"/>
            <w:hideMark/>
          </w:tcPr>
          <w:p w14:paraId="69EDE650" w14:textId="77777777" w:rsidR="00000000" w:rsidRDefault="00405D16">
            <w:pPr>
              <w:spacing w:after="100"/>
              <w:rPr>
                <w:rFonts w:eastAsia="Times New Roman"/>
                <w:sz w:val="20"/>
                <w:szCs w:val="20"/>
              </w:rPr>
            </w:pPr>
          </w:p>
        </w:tc>
        <w:tc>
          <w:tcPr>
            <w:tcW w:w="0" w:type="auto"/>
            <w:gridSpan w:val="3"/>
            <w:vAlign w:val="center"/>
            <w:hideMark/>
          </w:tcPr>
          <w:p w14:paraId="66A9699F"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C45DB72" w14:textId="77777777" w:rsidR="00000000" w:rsidRDefault="00405D16">
            <w:pPr>
              <w:spacing w:after="100"/>
              <w:jc w:val="right"/>
              <w:rPr>
                <w:rFonts w:eastAsia="Times New Roman"/>
              </w:rPr>
            </w:pPr>
            <w:r>
              <w:rPr>
                <w:rFonts w:eastAsia="Times New Roman"/>
                <w:color w:val="000000"/>
                <w:sz w:val="18"/>
                <w:szCs w:val="18"/>
              </w:rPr>
              <w:t>(1,679)</w:t>
            </w:r>
          </w:p>
        </w:tc>
        <w:tc>
          <w:tcPr>
            <w:tcW w:w="0" w:type="auto"/>
            <w:shd w:val="clear" w:color="auto" w:fill="CCEEFF"/>
            <w:tcMar>
              <w:top w:w="30" w:type="dxa"/>
              <w:left w:w="0" w:type="dxa"/>
              <w:bottom w:w="30" w:type="dxa"/>
              <w:right w:w="20" w:type="dxa"/>
            </w:tcMar>
            <w:vAlign w:val="center"/>
            <w:hideMark/>
          </w:tcPr>
          <w:p w14:paraId="6F00605B" w14:textId="77777777" w:rsidR="00000000" w:rsidRDefault="00405D16">
            <w:pPr>
              <w:spacing w:after="100"/>
              <w:jc w:val="right"/>
              <w:rPr>
                <w:rFonts w:eastAsia="Times New Roman"/>
              </w:rPr>
            </w:pPr>
          </w:p>
        </w:tc>
      </w:tr>
      <w:tr w:rsidR="00000000" w14:paraId="06737ECF" w14:textId="77777777">
        <w:trPr>
          <w:divId w:val="1774664534"/>
        </w:trPr>
        <w:tc>
          <w:tcPr>
            <w:tcW w:w="0" w:type="auto"/>
            <w:gridSpan w:val="3"/>
            <w:shd w:val="clear" w:color="auto" w:fill="FFFFFF"/>
            <w:tcMar>
              <w:top w:w="30" w:type="dxa"/>
              <w:left w:w="20" w:type="dxa"/>
              <w:bottom w:w="30" w:type="dxa"/>
              <w:right w:w="20" w:type="dxa"/>
            </w:tcMar>
            <w:vAlign w:val="center"/>
            <w:hideMark/>
          </w:tcPr>
          <w:p w14:paraId="722DA09B" w14:textId="77777777" w:rsidR="00000000" w:rsidRDefault="00405D16">
            <w:pPr>
              <w:spacing w:after="100"/>
              <w:divId w:val="895746568"/>
              <w:rPr>
                <w:rFonts w:eastAsia="Times New Roman"/>
              </w:rPr>
            </w:pPr>
            <w:r>
              <w:rPr>
                <w:rFonts w:eastAsia="Times New Roman"/>
                <w:color w:val="000000"/>
                <w:sz w:val="18"/>
                <w:szCs w:val="18"/>
              </w:rPr>
              <w:t>Recoverie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5B7759E9"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CC12660" w14:textId="77777777" w:rsidR="00000000" w:rsidRDefault="00405D16">
            <w:pPr>
              <w:spacing w:after="100"/>
              <w:jc w:val="right"/>
              <w:rPr>
                <w:rFonts w:eastAsia="Times New Roman"/>
              </w:rPr>
            </w:pPr>
            <w:r>
              <w:rPr>
                <w:rFonts w:eastAsia="Times New Roman"/>
                <w:color w:val="000000"/>
                <w:sz w:val="18"/>
                <w:szCs w:val="18"/>
              </w:rPr>
              <w:t>353 </w:t>
            </w:r>
          </w:p>
        </w:tc>
        <w:tc>
          <w:tcPr>
            <w:tcW w:w="0" w:type="auto"/>
            <w:shd w:val="clear" w:color="auto" w:fill="FFFFFF"/>
            <w:tcMar>
              <w:top w:w="30" w:type="dxa"/>
              <w:left w:w="0" w:type="dxa"/>
              <w:bottom w:w="30" w:type="dxa"/>
              <w:right w:w="20" w:type="dxa"/>
            </w:tcMar>
            <w:vAlign w:val="center"/>
            <w:hideMark/>
          </w:tcPr>
          <w:p w14:paraId="68E9E57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15406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A557DE5" w14:textId="77777777" w:rsidR="00000000" w:rsidRDefault="00405D16">
            <w:pPr>
              <w:spacing w:after="100"/>
              <w:jc w:val="right"/>
              <w:rPr>
                <w:rFonts w:eastAsia="Times New Roman"/>
              </w:rPr>
            </w:pPr>
            <w:r>
              <w:rPr>
                <w:rFonts w:eastAsia="Times New Roman"/>
                <w:color w:val="000000"/>
                <w:sz w:val="18"/>
                <w:szCs w:val="18"/>
              </w:rPr>
              <w:t>247 </w:t>
            </w:r>
          </w:p>
        </w:tc>
        <w:tc>
          <w:tcPr>
            <w:tcW w:w="0" w:type="auto"/>
            <w:shd w:val="clear" w:color="auto" w:fill="FFFFFF"/>
            <w:tcMar>
              <w:top w:w="30" w:type="dxa"/>
              <w:left w:w="0" w:type="dxa"/>
              <w:bottom w:w="30" w:type="dxa"/>
              <w:right w:w="20" w:type="dxa"/>
            </w:tcMar>
            <w:vAlign w:val="center"/>
            <w:hideMark/>
          </w:tcPr>
          <w:p w14:paraId="3CCBB46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D490C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EC33FCC" w14:textId="77777777" w:rsidR="00000000" w:rsidRDefault="00405D16">
            <w:pPr>
              <w:spacing w:after="100"/>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center"/>
            <w:hideMark/>
          </w:tcPr>
          <w:p w14:paraId="7373216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D4E095" w14:textId="77777777" w:rsidR="00000000" w:rsidRDefault="00405D16">
            <w:pPr>
              <w:spacing w:after="100"/>
              <w:jc w:val="right"/>
              <w:rPr>
                <w:rFonts w:eastAsia="Times New Roman"/>
                <w:sz w:val="20"/>
                <w:szCs w:val="20"/>
              </w:rPr>
            </w:pPr>
          </w:p>
        </w:tc>
        <w:tc>
          <w:tcPr>
            <w:tcW w:w="0" w:type="auto"/>
            <w:vAlign w:val="center"/>
            <w:hideMark/>
          </w:tcPr>
          <w:p w14:paraId="5BB8734B" w14:textId="77777777" w:rsidR="00000000" w:rsidRDefault="00405D16">
            <w:pPr>
              <w:spacing w:after="100"/>
              <w:rPr>
                <w:rFonts w:eastAsia="Times New Roman"/>
                <w:sz w:val="20"/>
                <w:szCs w:val="20"/>
              </w:rPr>
            </w:pPr>
          </w:p>
        </w:tc>
        <w:tc>
          <w:tcPr>
            <w:tcW w:w="0" w:type="auto"/>
            <w:gridSpan w:val="3"/>
            <w:vAlign w:val="center"/>
            <w:hideMark/>
          </w:tcPr>
          <w:p w14:paraId="4E2BE2CE"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4A8DB85" w14:textId="77777777" w:rsidR="00000000" w:rsidRDefault="00405D16">
            <w:pPr>
              <w:spacing w:after="100"/>
              <w:jc w:val="right"/>
              <w:rPr>
                <w:rFonts w:eastAsia="Times New Roman"/>
              </w:rPr>
            </w:pPr>
            <w:r>
              <w:rPr>
                <w:rFonts w:eastAsia="Times New Roman"/>
                <w:color w:val="000000"/>
                <w:sz w:val="18"/>
                <w:szCs w:val="18"/>
              </w:rPr>
              <w:t>606 </w:t>
            </w:r>
          </w:p>
        </w:tc>
        <w:tc>
          <w:tcPr>
            <w:tcW w:w="0" w:type="auto"/>
            <w:shd w:val="clear" w:color="auto" w:fill="FFFFFF"/>
            <w:tcMar>
              <w:top w:w="30" w:type="dxa"/>
              <w:left w:w="0" w:type="dxa"/>
              <w:bottom w:w="30" w:type="dxa"/>
              <w:right w:w="20" w:type="dxa"/>
            </w:tcMar>
            <w:vAlign w:val="center"/>
            <w:hideMark/>
          </w:tcPr>
          <w:p w14:paraId="5CFA3942" w14:textId="77777777" w:rsidR="00000000" w:rsidRDefault="00405D16">
            <w:pPr>
              <w:spacing w:after="100"/>
              <w:jc w:val="right"/>
              <w:rPr>
                <w:rFonts w:eastAsia="Times New Roman"/>
              </w:rPr>
            </w:pPr>
          </w:p>
        </w:tc>
      </w:tr>
      <w:tr w:rsidR="00000000" w14:paraId="7513D9EC" w14:textId="77777777">
        <w:trPr>
          <w:divId w:val="1774664534"/>
        </w:trPr>
        <w:tc>
          <w:tcPr>
            <w:tcW w:w="0" w:type="auto"/>
            <w:gridSpan w:val="3"/>
            <w:shd w:val="clear" w:color="auto" w:fill="CCEEFF"/>
            <w:tcMar>
              <w:top w:w="30" w:type="dxa"/>
              <w:left w:w="20" w:type="dxa"/>
              <w:bottom w:w="30" w:type="dxa"/>
              <w:right w:w="20" w:type="dxa"/>
            </w:tcMar>
            <w:vAlign w:val="center"/>
            <w:hideMark/>
          </w:tcPr>
          <w:p w14:paraId="17D478E9" w14:textId="77777777" w:rsidR="00000000" w:rsidRDefault="00405D16">
            <w:pPr>
              <w:spacing w:after="100"/>
              <w:rPr>
                <w:rFonts w:eastAsia="Times New Roman"/>
              </w:rPr>
            </w:pPr>
            <w:r>
              <w:rPr>
                <w:rFonts w:eastAsia="Times New Roman"/>
                <w:color w:val="000000"/>
                <w:sz w:val="18"/>
                <w:szCs w:val="18"/>
              </w:rPr>
              <w:t>Net charge-offs</w:t>
            </w:r>
          </w:p>
        </w:tc>
        <w:tc>
          <w:tcPr>
            <w:tcW w:w="0" w:type="auto"/>
            <w:gridSpan w:val="3"/>
            <w:shd w:val="clear" w:color="auto" w:fill="CCEEFF"/>
            <w:tcMar>
              <w:top w:w="0" w:type="dxa"/>
              <w:left w:w="20" w:type="dxa"/>
              <w:bottom w:w="0" w:type="dxa"/>
              <w:right w:w="20" w:type="dxa"/>
            </w:tcMar>
            <w:vAlign w:val="center"/>
            <w:hideMark/>
          </w:tcPr>
          <w:p w14:paraId="4D2F2E7A"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616E220" w14:textId="77777777" w:rsidR="00000000" w:rsidRDefault="00405D16">
            <w:pPr>
              <w:spacing w:after="100"/>
              <w:jc w:val="right"/>
              <w:rPr>
                <w:rFonts w:eastAsia="Times New Roman"/>
              </w:rPr>
            </w:pPr>
            <w:r>
              <w:rPr>
                <w:rFonts w:eastAsia="Times New Roman"/>
                <w:color w:val="000000"/>
                <w:sz w:val="18"/>
                <w:szCs w:val="18"/>
              </w:rPr>
              <w:t>(943)</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6EDBD5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868D85"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9F0275F" w14:textId="77777777" w:rsidR="00000000" w:rsidRDefault="00405D16">
            <w:pPr>
              <w:spacing w:after="100"/>
              <w:jc w:val="right"/>
              <w:rPr>
                <w:rFonts w:eastAsia="Times New Roman"/>
              </w:rPr>
            </w:pPr>
            <w:r>
              <w:rPr>
                <w:rFonts w:eastAsia="Times New Roman"/>
                <w:color w:val="000000"/>
                <w:sz w:val="18"/>
                <w:szCs w:val="18"/>
              </w:rPr>
              <w:t>(48)</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D232B5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41D16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D0AB2AF" w14:textId="77777777" w:rsidR="00000000" w:rsidRDefault="00405D16">
            <w:pPr>
              <w:spacing w:after="100"/>
              <w:jc w:val="right"/>
              <w:rPr>
                <w:rFonts w:eastAsia="Times New Roman"/>
              </w:rPr>
            </w:pPr>
            <w:r>
              <w:rPr>
                <w:rFonts w:eastAsia="Times New Roman"/>
                <w:color w:val="000000"/>
                <w:sz w:val="18"/>
                <w:szCs w:val="18"/>
              </w:rPr>
              <w:t>(82)</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E75B6B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F088B0" w14:textId="77777777" w:rsidR="00000000" w:rsidRDefault="00405D16">
            <w:pPr>
              <w:spacing w:after="100"/>
              <w:jc w:val="right"/>
              <w:rPr>
                <w:rFonts w:eastAsia="Times New Roman"/>
                <w:sz w:val="20"/>
                <w:szCs w:val="20"/>
              </w:rPr>
            </w:pPr>
          </w:p>
        </w:tc>
        <w:tc>
          <w:tcPr>
            <w:tcW w:w="0" w:type="auto"/>
            <w:vAlign w:val="center"/>
            <w:hideMark/>
          </w:tcPr>
          <w:p w14:paraId="4AB8B6D5" w14:textId="77777777" w:rsidR="00000000" w:rsidRDefault="00405D16">
            <w:pPr>
              <w:spacing w:after="100"/>
              <w:rPr>
                <w:rFonts w:eastAsia="Times New Roman"/>
                <w:sz w:val="20"/>
                <w:szCs w:val="20"/>
              </w:rPr>
            </w:pPr>
          </w:p>
        </w:tc>
        <w:tc>
          <w:tcPr>
            <w:tcW w:w="0" w:type="auto"/>
            <w:gridSpan w:val="3"/>
            <w:vAlign w:val="center"/>
            <w:hideMark/>
          </w:tcPr>
          <w:p w14:paraId="2B4ADCA0" w14:textId="77777777" w:rsidR="00000000" w:rsidRDefault="00405D16">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1FEB865" w14:textId="77777777" w:rsidR="00000000" w:rsidRDefault="00405D16">
            <w:pPr>
              <w:spacing w:after="100"/>
              <w:jc w:val="right"/>
              <w:rPr>
                <w:rFonts w:eastAsia="Times New Roman"/>
              </w:rPr>
            </w:pPr>
            <w:r>
              <w:rPr>
                <w:rFonts w:eastAsia="Times New Roman"/>
                <w:color w:val="000000"/>
                <w:sz w:val="18"/>
                <w:szCs w:val="18"/>
              </w:rPr>
              <w:t>(1,073)</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3F4E577" w14:textId="77777777" w:rsidR="00000000" w:rsidRDefault="00405D16">
            <w:pPr>
              <w:spacing w:after="100"/>
              <w:jc w:val="right"/>
              <w:rPr>
                <w:rFonts w:eastAsia="Times New Roman"/>
              </w:rPr>
            </w:pPr>
          </w:p>
        </w:tc>
      </w:tr>
      <w:tr w:rsidR="00000000" w14:paraId="00203F16" w14:textId="77777777">
        <w:trPr>
          <w:divId w:val="1774664534"/>
        </w:trPr>
        <w:tc>
          <w:tcPr>
            <w:tcW w:w="0" w:type="auto"/>
            <w:gridSpan w:val="3"/>
            <w:shd w:val="clear" w:color="auto" w:fill="FFFFFF"/>
            <w:tcMar>
              <w:top w:w="30" w:type="dxa"/>
              <w:left w:w="20" w:type="dxa"/>
              <w:bottom w:w="30" w:type="dxa"/>
              <w:right w:w="20" w:type="dxa"/>
            </w:tcMar>
            <w:vAlign w:val="center"/>
            <w:hideMark/>
          </w:tcPr>
          <w:p w14:paraId="159C2ED2" w14:textId="77777777" w:rsidR="00000000" w:rsidRDefault="00405D16">
            <w:pPr>
              <w:spacing w:after="100"/>
              <w:rPr>
                <w:rFonts w:eastAsia="Times New Roman"/>
              </w:rPr>
            </w:pPr>
            <w:r>
              <w:rPr>
                <w:rFonts w:eastAsia="Times New Roman"/>
                <w:color w:val="000000"/>
                <w:sz w:val="18"/>
                <w:szCs w:val="18"/>
              </w:rPr>
              <w:t>Provision (benefit) for credit losses</w:t>
            </w:r>
          </w:p>
        </w:tc>
        <w:tc>
          <w:tcPr>
            <w:tcW w:w="0" w:type="auto"/>
            <w:gridSpan w:val="3"/>
            <w:shd w:val="clear" w:color="auto" w:fill="FFFFFF"/>
            <w:tcMar>
              <w:top w:w="0" w:type="dxa"/>
              <w:left w:w="20" w:type="dxa"/>
              <w:bottom w:w="0" w:type="dxa"/>
              <w:right w:w="20" w:type="dxa"/>
            </w:tcMar>
            <w:vAlign w:val="center"/>
            <w:hideMark/>
          </w:tcPr>
          <w:p w14:paraId="23BCD9F9"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F02FB54" w14:textId="77777777" w:rsidR="00000000" w:rsidRDefault="00405D16">
            <w:pPr>
              <w:spacing w:after="100"/>
              <w:jc w:val="right"/>
              <w:rPr>
                <w:rFonts w:eastAsia="Times New Roman"/>
              </w:rPr>
            </w:pPr>
            <w:r>
              <w:rPr>
                <w:rFonts w:eastAsia="Times New Roman"/>
                <w:color w:val="000000"/>
                <w:sz w:val="18"/>
                <w:szCs w:val="18"/>
              </w:rPr>
              <w:t>450 </w:t>
            </w:r>
          </w:p>
        </w:tc>
        <w:tc>
          <w:tcPr>
            <w:tcW w:w="0" w:type="auto"/>
            <w:shd w:val="clear" w:color="auto" w:fill="FFFFFF"/>
            <w:tcMar>
              <w:top w:w="30" w:type="dxa"/>
              <w:left w:w="0" w:type="dxa"/>
              <w:bottom w:w="30" w:type="dxa"/>
              <w:right w:w="20" w:type="dxa"/>
            </w:tcMar>
            <w:vAlign w:val="center"/>
            <w:hideMark/>
          </w:tcPr>
          <w:p w14:paraId="50707F2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CA2F5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586FD57" w14:textId="77777777" w:rsidR="00000000" w:rsidRDefault="00405D16">
            <w:pPr>
              <w:spacing w:after="100"/>
              <w:jc w:val="right"/>
              <w:rPr>
                <w:rFonts w:eastAsia="Times New Roman"/>
              </w:rPr>
            </w:pPr>
            <w:r>
              <w:rPr>
                <w:rFonts w:eastAsia="Times New Roman"/>
                <w:color w:val="000000"/>
                <w:sz w:val="18"/>
                <w:szCs w:val="18"/>
              </w:rPr>
              <w:t>(43)</w:t>
            </w:r>
          </w:p>
        </w:tc>
        <w:tc>
          <w:tcPr>
            <w:tcW w:w="0" w:type="auto"/>
            <w:shd w:val="clear" w:color="auto" w:fill="FFFFFF"/>
            <w:tcMar>
              <w:top w:w="30" w:type="dxa"/>
              <w:left w:w="0" w:type="dxa"/>
              <w:bottom w:w="30" w:type="dxa"/>
              <w:right w:w="20" w:type="dxa"/>
            </w:tcMar>
            <w:vAlign w:val="center"/>
            <w:hideMark/>
          </w:tcPr>
          <w:p w14:paraId="76B1B92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1A445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9BBEE8E" w14:textId="77777777" w:rsidR="00000000" w:rsidRDefault="00405D16">
            <w:pPr>
              <w:spacing w:after="100"/>
              <w:jc w:val="right"/>
              <w:rPr>
                <w:rFonts w:eastAsia="Times New Roman"/>
              </w:rPr>
            </w:pPr>
            <w:r>
              <w:rPr>
                <w:rFonts w:eastAsia="Times New Roman"/>
                <w:color w:val="000000"/>
                <w:sz w:val="18"/>
                <w:szCs w:val="18"/>
              </w:rPr>
              <w:t>(51)</w:t>
            </w:r>
          </w:p>
        </w:tc>
        <w:tc>
          <w:tcPr>
            <w:tcW w:w="0" w:type="auto"/>
            <w:shd w:val="clear" w:color="auto" w:fill="FFFFFF"/>
            <w:tcMar>
              <w:top w:w="30" w:type="dxa"/>
              <w:left w:w="0" w:type="dxa"/>
              <w:bottom w:w="30" w:type="dxa"/>
              <w:right w:w="20" w:type="dxa"/>
            </w:tcMar>
            <w:vAlign w:val="center"/>
            <w:hideMark/>
          </w:tcPr>
          <w:p w14:paraId="19BBA59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CC49D4" w14:textId="77777777" w:rsidR="00000000" w:rsidRDefault="00405D16">
            <w:pPr>
              <w:spacing w:after="100"/>
              <w:jc w:val="right"/>
              <w:rPr>
                <w:rFonts w:eastAsia="Times New Roman"/>
                <w:sz w:val="20"/>
                <w:szCs w:val="20"/>
              </w:rPr>
            </w:pPr>
          </w:p>
        </w:tc>
        <w:tc>
          <w:tcPr>
            <w:tcW w:w="0" w:type="auto"/>
            <w:vAlign w:val="center"/>
            <w:hideMark/>
          </w:tcPr>
          <w:p w14:paraId="0E3917CB" w14:textId="77777777" w:rsidR="00000000" w:rsidRDefault="00405D16">
            <w:pPr>
              <w:spacing w:after="100"/>
              <w:rPr>
                <w:rFonts w:eastAsia="Times New Roman"/>
                <w:sz w:val="20"/>
                <w:szCs w:val="20"/>
              </w:rPr>
            </w:pPr>
          </w:p>
        </w:tc>
        <w:tc>
          <w:tcPr>
            <w:tcW w:w="0" w:type="auto"/>
            <w:gridSpan w:val="3"/>
            <w:vAlign w:val="center"/>
            <w:hideMark/>
          </w:tcPr>
          <w:p w14:paraId="3F528F0D"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D46CA6D" w14:textId="77777777" w:rsidR="00000000" w:rsidRDefault="00405D16">
            <w:pPr>
              <w:spacing w:after="100"/>
              <w:jc w:val="right"/>
              <w:rPr>
                <w:rFonts w:eastAsia="Times New Roman"/>
              </w:rPr>
            </w:pPr>
            <w:r>
              <w:rPr>
                <w:rFonts w:eastAsia="Times New Roman"/>
                <w:color w:val="000000"/>
                <w:sz w:val="18"/>
                <w:szCs w:val="18"/>
              </w:rPr>
              <w:t>356 </w:t>
            </w:r>
          </w:p>
        </w:tc>
        <w:tc>
          <w:tcPr>
            <w:tcW w:w="0" w:type="auto"/>
            <w:shd w:val="clear" w:color="auto" w:fill="FFFFFF"/>
            <w:tcMar>
              <w:top w:w="30" w:type="dxa"/>
              <w:left w:w="0" w:type="dxa"/>
              <w:bottom w:w="30" w:type="dxa"/>
              <w:right w:w="20" w:type="dxa"/>
            </w:tcMar>
            <w:vAlign w:val="center"/>
            <w:hideMark/>
          </w:tcPr>
          <w:p w14:paraId="7FD0963B" w14:textId="77777777" w:rsidR="00000000" w:rsidRDefault="00405D16">
            <w:pPr>
              <w:spacing w:after="100"/>
              <w:jc w:val="right"/>
              <w:rPr>
                <w:rFonts w:eastAsia="Times New Roman"/>
              </w:rPr>
            </w:pPr>
          </w:p>
        </w:tc>
      </w:tr>
      <w:tr w:rsidR="00000000" w14:paraId="3AB9E827" w14:textId="77777777">
        <w:trPr>
          <w:divId w:val="1774664534"/>
        </w:trPr>
        <w:tc>
          <w:tcPr>
            <w:tcW w:w="0" w:type="auto"/>
            <w:gridSpan w:val="3"/>
            <w:shd w:val="clear" w:color="auto" w:fill="CCEEFF"/>
            <w:tcMar>
              <w:top w:w="30" w:type="dxa"/>
              <w:left w:w="20" w:type="dxa"/>
              <w:bottom w:w="30" w:type="dxa"/>
              <w:right w:w="20" w:type="dxa"/>
            </w:tcMar>
            <w:vAlign w:val="center"/>
            <w:hideMark/>
          </w:tcPr>
          <w:p w14:paraId="7020E6F6" w14:textId="77777777" w:rsidR="00000000" w:rsidRDefault="00405D16">
            <w:pPr>
              <w:spacing w:after="100"/>
              <w:rPr>
                <w:rFonts w:eastAsia="Times New Roman"/>
              </w:rPr>
            </w:pPr>
            <w:r>
              <w:rPr>
                <w:rFonts w:eastAsia="Times New Roman"/>
                <w:color w:val="000000"/>
                <w:sz w:val="18"/>
                <w:szCs w:val="18"/>
              </w:rPr>
              <w:t>Allowance build (release) for credit losses</w:t>
            </w:r>
          </w:p>
        </w:tc>
        <w:tc>
          <w:tcPr>
            <w:tcW w:w="0" w:type="auto"/>
            <w:gridSpan w:val="3"/>
            <w:shd w:val="clear" w:color="auto" w:fill="CCEEFF"/>
            <w:tcMar>
              <w:top w:w="0" w:type="dxa"/>
              <w:left w:w="20" w:type="dxa"/>
              <w:bottom w:w="0" w:type="dxa"/>
              <w:right w:w="20" w:type="dxa"/>
            </w:tcMar>
            <w:vAlign w:val="center"/>
            <w:hideMark/>
          </w:tcPr>
          <w:p w14:paraId="39495F82"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EE1D4EB" w14:textId="77777777" w:rsidR="00000000" w:rsidRDefault="00405D16">
            <w:pPr>
              <w:spacing w:after="100"/>
              <w:jc w:val="right"/>
              <w:rPr>
                <w:rFonts w:eastAsia="Times New Roman"/>
              </w:rPr>
            </w:pPr>
            <w:r>
              <w:rPr>
                <w:rFonts w:eastAsia="Times New Roman"/>
                <w:color w:val="000000"/>
                <w:sz w:val="18"/>
                <w:szCs w:val="18"/>
              </w:rPr>
              <w:t>(493)</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8B21B4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CD5FD0"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8E1936B" w14:textId="77777777" w:rsidR="00000000" w:rsidRDefault="00405D16">
            <w:pPr>
              <w:spacing w:after="100"/>
              <w:jc w:val="right"/>
              <w:rPr>
                <w:rFonts w:eastAsia="Times New Roman"/>
              </w:rPr>
            </w:pPr>
            <w:r>
              <w:rPr>
                <w:rFonts w:eastAsia="Times New Roman"/>
                <w:color w:val="000000"/>
                <w:sz w:val="18"/>
                <w:szCs w:val="18"/>
              </w:rPr>
              <w:t>(91)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0E1363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EA3E6B"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7693F59" w14:textId="77777777" w:rsidR="00000000" w:rsidRDefault="00405D16">
            <w:pPr>
              <w:spacing w:after="100"/>
              <w:jc w:val="right"/>
              <w:rPr>
                <w:rFonts w:eastAsia="Times New Roman"/>
              </w:rPr>
            </w:pPr>
            <w:r>
              <w:rPr>
                <w:rFonts w:eastAsia="Times New Roman"/>
                <w:color w:val="000000"/>
                <w:sz w:val="18"/>
                <w:szCs w:val="18"/>
              </w:rPr>
              <w:t>(133)</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BB0272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DBCE21" w14:textId="77777777" w:rsidR="00000000" w:rsidRDefault="00405D16">
            <w:pPr>
              <w:spacing w:after="100"/>
              <w:jc w:val="right"/>
              <w:rPr>
                <w:rFonts w:eastAsia="Times New Roman"/>
                <w:sz w:val="20"/>
                <w:szCs w:val="20"/>
              </w:rPr>
            </w:pPr>
          </w:p>
        </w:tc>
        <w:tc>
          <w:tcPr>
            <w:tcW w:w="0" w:type="auto"/>
            <w:vAlign w:val="center"/>
            <w:hideMark/>
          </w:tcPr>
          <w:p w14:paraId="1E7F874E" w14:textId="77777777" w:rsidR="00000000" w:rsidRDefault="00405D16">
            <w:pPr>
              <w:spacing w:after="100"/>
              <w:rPr>
                <w:rFonts w:eastAsia="Times New Roman"/>
                <w:sz w:val="20"/>
                <w:szCs w:val="20"/>
              </w:rPr>
            </w:pPr>
          </w:p>
        </w:tc>
        <w:tc>
          <w:tcPr>
            <w:tcW w:w="0" w:type="auto"/>
            <w:gridSpan w:val="3"/>
            <w:vAlign w:val="center"/>
            <w:hideMark/>
          </w:tcPr>
          <w:p w14:paraId="1D768179" w14:textId="77777777" w:rsidR="00000000" w:rsidRDefault="00405D16">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651B308" w14:textId="77777777" w:rsidR="00000000" w:rsidRDefault="00405D16">
            <w:pPr>
              <w:spacing w:after="100"/>
              <w:jc w:val="right"/>
              <w:rPr>
                <w:rFonts w:eastAsia="Times New Roman"/>
              </w:rPr>
            </w:pPr>
            <w:r>
              <w:rPr>
                <w:rFonts w:eastAsia="Times New Roman"/>
                <w:color w:val="000000"/>
                <w:sz w:val="18"/>
                <w:szCs w:val="18"/>
              </w:rPr>
              <w:t>(717)</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74E1CF6" w14:textId="77777777" w:rsidR="00000000" w:rsidRDefault="00405D16">
            <w:pPr>
              <w:spacing w:after="100"/>
              <w:jc w:val="right"/>
              <w:rPr>
                <w:rFonts w:eastAsia="Times New Roman"/>
              </w:rPr>
            </w:pPr>
          </w:p>
        </w:tc>
      </w:tr>
      <w:tr w:rsidR="00000000" w14:paraId="573A7A7D" w14:textId="77777777">
        <w:trPr>
          <w:divId w:val="1774664534"/>
        </w:trPr>
        <w:tc>
          <w:tcPr>
            <w:tcW w:w="0" w:type="auto"/>
            <w:gridSpan w:val="3"/>
            <w:shd w:val="clear" w:color="auto" w:fill="FFFFFF"/>
            <w:tcMar>
              <w:top w:w="30" w:type="dxa"/>
              <w:left w:w="20" w:type="dxa"/>
              <w:bottom w:w="30" w:type="dxa"/>
              <w:right w:w="20" w:type="dxa"/>
            </w:tcMar>
            <w:vAlign w:val="center"/>
            <w:hideMark/>
          </w:tcPr>
          <w:p w14:paraId="090BF165" w14:textId="77777777" w:rsidR="00000000" w:rsidRDefault="00405D16">
            <w:pPr>
              <w:spacing w:after="100"/>
              <w:divId w:val="1997222932"/>
              <w:rPr>
                <w:rFonts w:eastAsia="Times New Roman"/>
              </w:rPr>
            </w:pPr>
            <w:r>
              <w:rPr>
                <w:rFonts w:eastAsia="Times New Roman"/>
                <w:color w:val="000000"/>
                <w:sz w:val="18"/>
                <w:szCs w:val="18"/>
              </w:rPr>
              <w:t>Other change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2A385F46"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FABC104" w14:textId="77777777" w:rsidR="00000000" w:rsidRDefault="00405D16">
            <w:pPr>
              <w:spacing w:after="100"/>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center"/>
            <w:hideMark/>
          </w:tcPr>
          <w:p w14:paraId="0B18A65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B178E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277D29D"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79D7C0A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079F9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08134BF"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27D170A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DACA66" w14:textId="77777777" w:rsidR="00000000" w:rsidRDefault="00405D16">
            <w:pPr>
              <w:spacing w:after="100"/>
              <w:jc w:val="right"/>
              <w:rPr>
                <w:rFonts w:eastAsia="Times New Roman"/>
                <w:sz w:val="20"/>
                <w:szCs w:val="20"/>
              </w:rPr>
            </w:pPr>
          </w:p>
        </w:tc>
        <w:tc>
          <w:tcPr>
            <w:tcW w:w="0" w:type="auto"/>
            <w:vAlign w:val="center"/>
            <w:hideMark/>
          </w:tcPr>
          <w:p w14:paraId="6C9372D5" w14:textId="77777777" w:rsidR="00000000" w:rsidRDefault="00405D16">
            <w:pPr>
              <w:spacing w:after="100"/>
              <w:rPr>
                <w:rFonts w:eastAsia="Times New Roman"/>
                <w:sz w:val="20"/>
                <w:szCs w:val="20"/>
              </w:rPr>
            </w:pPr>
          </w:p>
        </w:tc>
        <w:tc>
          <w:tcPr>
            <w:tcW w:w="0" w:type="auto"/>
            <w:gridSpan w:val="3"/>
            <w:vAlign w:val="center"/>
            <w:hideMark/>
          </w:tcPr>
          <w:p w14:paraId="6FA95607"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E564619" w14:textId="77777777" w:rsidR="00000000" w:rsidRDefault="00405D16">
            <w:pPr>
              <w:spacing w:after="100"/>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center"/>
            <w:hideMark/>
          </w:tcPr>
          <w:p w14:paraId="5ECC1B26" w14:textId="77777777" w:rsidR="00000000" w:rsidRDefault="00405D16">
            <w:pPr>
              <w:spacing w:after="100"/>
              <w:jc w:val="right"/>
              <w:rPr>
                <w:rFonts w:eastAsia="Times New Roman"/>
              </w:rPr>
            </w:pPr>
          </w:p>
        </w:tc>
      </w:tr>
      <w:tr w:rsidR="00000000" w14:paraId="35FFB177" w14:textId="77777777">
        <w:trPr>
          <w:divId w:val="1774664534"/>
        </w:trPr>
        <w:tc>
          <w:tcPr>
            <w:tcW w:w="0" w:type="auto"/>
            <w:gridSpan w:val="3"/>
            <w:shd w:val="clear" w:color="auto" w:fill="CCEEFF"/>
            <w:tcMar>
              <w:top w:w="30" w:type="dxa"/>
              <w:left w:w="20" w:type="dxa"/>
              <w:bottom w:w="30" w:type="dxa"/>
              <w:right w:w="20" w:type="dxa"/>
            </w:tcMar>
            <w:vAlign w:val="center"/>
            <w:hideMark/>
          </w:tcPr>
          <w:p w14:paraId="7979E6A6" w14:textId="77777777" w:rsidR="00000000" w:rsidRDefault="00405D16">
            <w:pPr>
              <w:spacing w:after="100"/>
              <w:rPr>
                <w:rFonts w:eastAsia="Times New Roman"/>
              </w:rPr>
            </w:pPr>
            <w:r>
              <w:rPr>
                <w:rFonts w:eastAsia="Times New Roman"/>
                <w:color w:val="000000"/>
                <w:sz w:val="18"/>
                <w:szCs w:val="18"/>
              </w:rPr>
              <w:t>Balance as of September 30, 2020</w:t>
            </w:r>
          </w:p>
        </w:tc>
        <w:tc>
          <w:tcPr>
            <w:tcW w:w="0" w:type="auto"/>
            <w:gridSpan w:val="3"/>
            <w:shd w:val="clear" w:color="auto" w:fill="CCEEFF"/>
            <w:tcMar>
              <w:top w:w="0" w:type="dxa"/>
              <w:left w:w="20" w:type="dxa"/>
              <w:bottom w:w="0" w:type="dxa"/>
              <w:right w:w="20" w:type="dxa"/>
            </w:tcMar>
            <w:vAlign w:val="center"/>
            <w:hideMark/>
          </w:tcPr>
          <w:p w14:paraId="549254F5"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CD20F27" w14:textId="77777777" w:rsidR="00000000" w:rsidRDefault="00405D16">
            <w:pPr>
              <w:spacing w:after="100"/>
              <w:jc w:val="right"/>
              <w:rPr>
                <w:rFonts w:eastAsia="Times New Roman"/>
              </w:rPr>
            </w:pPr>
            <w:r>
              <w:rPr>
                <w:rFonts w:eastAsia="Times New Roman"/>
                <w:color w:val="000000"/>
                <w:sz w:val="18"/>
                <w:szCs w:val="18"/>
              </w:rPr>
              <w:t>11,612 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19BFDF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6AF2C8"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9F0947D" w14:textId="77777777" w:rsidR="00000000" w:rsidRDefault="00405D16">
            <w:pPr>
              <w:spacing w:after="100"/>
              <w:jc w:val="right"/>
              <w:rPr>
                <w:rFonts w:eastAsia="Times New Roman"/>
              </w:rPr>
            </w:pPr>
            <w:r>
              <w:rPr>
                <w:rFonts w:eastAsia="Times New Roman"/>
                <w:color w:val="000000"/>
                <w:sz w:val="18"/>
                <w:szCs w:val="18"/>
              </w:rPr>
              <w:t>2,747 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D7D2AD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E26DF9"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AA1D5E2" w14:textId="77777777" w:rsidR="00000000" w:rsidRDefault="00405D16">
            <w:pPr>
              <w:spacing w:after="100"/>
              <w:jc w:val="right"/>
              <w:rPr>
                <w:rFonts w:eastAsia="Times New Roman"/>
              </w:rPr>
            </w:pPr>
            <w:r>
              <w:rPr>
                <w:rFonts w:eastAsia="Times New Roman"/>
                <w:color w:val="000000"/>
                <w:sz w:val="18"/>
                <w:szCs w:val="18"/>
              </w:rPr>
              <w:t>1,770 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D96EC4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F3744E" w14:textId="77777777" w:rsidR="00000000" w:rsidRDefault="00405D16">
            <w:pPr>
              <w:spacing w:after="100"/>
              <w:jc w:val="right"/>
              <w:rPr>
                <w:rFonts w:eastAsia="Times New Roman"/>
                <w:sz w:val="20"/>
                <w:szCs w:val="20"/>
              </w:rPr>
            </w:pPr>
          </w:p>
        </w:tc>
        <w:tc>
          <w:tcPr>
            <w:tcW w:w="0" w:type="auto"/>
            <w:vAlign w:val="center"/>
            <w:hideMark/>
          </w:tcPr>
          <w:p w14:paraId="13C1886A" w14:textId="77777777" w:rsidR="00000000" w:rsidRDefault="00405D16">
            <w:pPr>
              <w:spacing w:after="100"/>
              <w:rPr>
                <w:rFonts w:eastAsia="Times New Roman"/>
                <w:sz w:val="20"/>
                <w:szCs w:val="20"/>
              </w:rPr>
            </w:pPr>
          </w:p>
        </w:tc>
        <w:tc>
          <w:tcPr>
            <w:tcW w:w="0" w:type="auto"/>
            <w:gridSpan w:val="3"/>
            <w:vAlign w:val="center"/>
            <w:hideMark/>
          </w:tcPr>
          <w:p w14:paraId="029B0734" w14:textId="77777777" w:rsidR="00000000" w:rsidRDefault="00405D16">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0700E51" w14:textId="77777777" w:rsidR="00000000" w:rsidRDefault="00405D16">
            <w:pPr>
              <w:spacing w:after="100"/>
              <w:jc w:val="right"/>
              <w:rPr>
                <w:rFonts w:eastAsia="Times New Roman"/>
              </w:rPr>
            </w:pPr>
            <w:r>
              <w:rPr>
                <w:rFonts w:eastAsia="Times New Roman"/>
                <w:color w:val="000000"/>
                <w:sz w:val="18"/>
                <w:szCs w:val="18"/>
              </w:rPr>
              <w:t>16,129 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5E1E44A" w14:textId="77777777" w:rsidR="00000000" w:rsidRDefault="00405D16">
            <w:pPr>
              <w:spacing w:after="100"/>
              <w:jc w:val="right"/>
              <w:rPr>
                <w:rFonts w:eastAsia="Times New Roman"/>
              </w:rPr>
            </w:pPr>
          </w:p>
        </w:tc>
      </w:tr>
      <w:tr w:rsidR="00000000" w14:paraId="6A171F28" w14:textId="77777777">
        <w:trPr>
          <w:divId w:val="1774664534"/>
        </w:trPr>
        <w:tc>
          <w:tcPr>
            <w:tcW w:w="0" w:type="auto"/>
            <w:gridSpan w:val="3"/>
            <w:shd w:val="clear" w:color="auto" w:fill="FFFFFF"/>
            <w:tcMar>
              <w:top w:w="30" w:type="dxa"/>
              <w:left w:w="20" w:type="dxa"/>
              <w:bottom w:w="30" w:type="dxa"/>
              <w:right w:w="20" w:type="dxa"/>
            </w:tcMar>
            <w:vAlign w:val="center"/>
            <w:hideMark/>
          </w:tcPr>
          <w:p w14:paraId="2D48001E" w14:textId="77777777" w:rsidR="00000000" w:rsidRDefault="00405D16">
            <w:pPr>
              <w:spacing w:after="100"/>
              <w:rPr>
                <w:rFonts w:eastAsia="Times New Roman"/>
              </w:rPr>
            </w:pPr>
            <w:r>
              <w:rPr>
                <w:rFonts w:eastAsia="Times New Roman"/>
                <w:b/>
                <w:bCs/>
                <w:color w:val="000000"/>
                <w:sz w:val="18"/>
                <w:szCs w:val="18"/>
              </w:rPr>
              <w:t>Reserve for unfunded lending commitments:</w:t>
            </w:r>
          </w:p>
        </w:tc>
        <w:tc>
          <w:tcPr>
            <w:tcW w:w="0" w:type="auto"/>
            <w:gridSpan w:val="3"/>
            <w:shd w:val="clear" w:color="auto" w:fill="FFFFFF"/>
            <w:tcMar>
              <w:top w:w="0" w:type="dxa"/>
              <w:left w:w="20" w:type="dxa"/>
              <w:bottom w:w="0" w:type="dxa"/>
              <w:right w:w="20" w:type="dxa"/>
            </w:tcMar>
            <w:vAlign w:val="center"/>
            <w:hideMark/>
          </w:tcPr>
          <w:p w14:paraId="3E39493A" w14:textId="77777777" w:rsidR="00000000" w:rsidRDefault="00405D16">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6BB171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7222E7"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FB1C55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EBA69E"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863CE5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EFE2BC" w14:textId="77777777" w:rsidR="00000000" w:rsidRDefault="00405D16">
            <w:pPr>
              <w:spacing w:after="100"/>
              <w:rPr>
                <w:rFonts w:eastAsia="Times New Roman"/>
                <w:sz w:val="20"/>
                <w:szCs w:val="20"/>
              </w:rPr>
            </w:pPr>
          </w:p>
        </w:tc>
        <w:tc>
          <w:tcPr>
            <w:tcW w:w="0" w:type="auto"/>
            <w:vAlign w:val="center"/>
            <w:hideMark/>
          </w:tcPr>
          <w:p w14:paraId="18D9F4D4" w14:textId="77777777" w:rsidR="00000000" w:rsidRDefault="00405D16">
            <w:pPr>
              <w:spacing w:after="100"/>
              <w:rPr>
                <w:rFonts w:eastAsia="Times New Roman"/>
                <w:sz w:val="20"/>
                <w:szCs w:val="20"/>
              </w:rPr>
            </w:pPr>
          </w:p>
        </w:tc>
        <w:tc>
          <w:tcPr>
            <w:tcW w:w="0" w:type="auto"/>
            <w:gridSpan w:val="3"/>
            <w:vAlign w:val="center"/>
            <w:hideMark/>
          </w:tcPr>
          <w:p w14:paraId="7C923B22"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0F38A8E" w14:textId="77777777" w:rsidR="00000000" w:rsidRDefault="00405D16">
            <w:pPr>
              <w:spacing w:after="100"/>
              <w:rPr>
                <w:rFonts w:eastAsia="Times New Roman"/>
                <w:sz w:val="20"/>
                <w:szCs w:val="20"/>
              </w:rPr>
            </w:pPr>
          </w:p>
        </w:tc>
      </w:tr>
      <w:tr w:rsidR="00000000" w14:paraId="35D726EA" w14:textId="77777777">
        <w:trPr>
          <w:divId w:val="1774664534"/>
        </w:trPr>
        <w:tc>
          <w:tcPr>
            <w:tcW w:w="0" w:type="auto"/>
            <w:gridSpan w:val="3"/>
            <w:shd w:val="clear" w:color="auto" w:fill="CCEEFF"/>
            <w:tcMar>
              <w:top w:w="30" w:type="dxa"/>
              <w:left w:w="20" w:type="dxa"/>
              <w:bottom w:w="30" w:type="dxa"/>
              <w:right w:w="20" w:type="dxa"/>
            </w:tcMar>
            <w:vAlign w:val="center"/>
            <w:hideMark/>
          </w:tcPr>
          <w:p w14:paraId="14133CDE" w14:textId="77777777" w:rsidR="00000000" w:rsidRDefault="00405D16">
            <w:pPr>
              <w:spacing w:after="100"/>
              <w:rPr>
                <w:rFonts w:eastAsia="Times New Roman"/>
              </w:rPr>
            </w:pPr>
            <w:r>
              <w:rPr>
                <w:rFonts w:eastAsia="Times New Roman"/>
                <w:color w:val="000000"/>
                <w:sz w:val="18"/>
                <w:szCs w:val="18"/>
              </w:rPr>
              <w:t>Balance as of June 30, 2020</w:t>
            </w:r>
          </w:p>
        </w:tc>
        <w:tc>
          <w:tcPr>
            <w:tcW w:w="0" w:type="auto"/>
            <w:gridSpan w:val="3"/>
            <w:shd w:val="clear" w:color="auto" w:fill="CCEEFF"/>
            <w:tcMar>
              <w:top w:w="0" w:type="dxa"/>
              <w:left w:w="20" w:type="dxa"/>
              <w:bottom w:w="0" w:type="dxa"/>
              <w:right w:w="20" w:type="dxa"/>
            </w:tcMar>
            <w:vAlign w:val="center"/>
            <w:hideMark/>
          </w:tcPr>
          <w:p w14:paraId="4112C360"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7DE1298"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6D7C071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28EE3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F46E349"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7D8A294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5F819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2FC0348" w14:textId="77777777" w:rsidR="00000000" w:rsidRDefault="00405D16">
            <w:pPr>
              <w:spacing w:after="100"/>
              <w:jc w:val="right"/>
              <w:rPr>
                <w:rFonts w:eastAsia="Times New Roman"/>
              </w:rPr>
            </w:pPr>
            <w:r>
              <w:rPr>
                <w:rFonts w:eastAsia="Times New Roman"/>
                <w:color w:val="000000"/>
                <w:sz w:val="18"/>
                <w:szCs w:val="18"/>
              </w:rPr>
              <w:t>218 </w:t>
            </w:r>
          </w:p>
        </w:tc>
        <w:tc>
          <w:tcPr>
            <w:tcW w:w="0" w:type="auto"/>
            <w:shd w:val="clear" w:color="auto" w:fill="CCEEFF"/>
            <w:tcMar>
              <w:top w:w="30" w:type="dxa"/>
              <w:left w:w="0" w:type="dxa"/>
              <w:bottom w:w="30" w:type="dxa"/>
              <w:right w:w="20" w:type="dxa"/>
            </w:tcMar>
            <w:vAlign w:val="center"/>
            <w:hideMark/>
          </w:tcPr>
          <w:p w14:paraId="5916B12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980B40" w14:textId="77777777" w:rsidR="00000000" w:rsidRDefault="00405D16">
            <w:pPr>
              <w:spacing w:after="100"/>
              <w:jc w:val="right"/>
              <w:rPr>
                <w:rFonts w:eastAsia="Times New Roman"/>
                <w:sz w:val="20"/>
                <w:szCs w:val="20"/>
              </w:rPr>
            </w:pPr>
          </w:p>
        </w:tc>
        <w:tc>
          <w:tcPr>
            <w:tcW w:w="0" w:type="auto"/>
            <w:vAlign w:val="center"/>
            <w:hideMark/>
          </w:tcPr>
          <w:p w14:paraId="21F4726A" w14:textId="77777777" w:rsidR="00000000" w:rsidRDefault="00405D16">
            <w:pPr>
              <w:spacing w:after="100"/>
              <w:rPr>
                <w:rFonts w:eastAsia="Times New Roman"/>
                <w:sz w:val="20"/>
                <w:szCs w:val="20"/>
              </w:rPr>
            </w:pPr>
          </w:p>
        </w:tc>
        <w:tc>
          <w:tcPr>
            <w:tcW w:w="0" w:type="auto"/>
            <w:gridSpan w:val="3"/>
            <w:vAlign w:val="center"/>
            <w:hideMark/>
          </w:tcPr>
          <w:p w14:paraId="39D61005"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4315C8B" w14:textId="77777777" w:rsidR="00000000" w:rsidRDefault="00405D16">
            <w:pPr>
              <w:spacing w:after="100"/>
              <w:jc w:val="right"/>
              <w:rPr>
                <w:rFonts w:eastAsia="Times New Roman"/>
              </w:rPr>
            </w:pPr>
            <w:r>
              <w:rPr>
                <w:rFonts w:eastAsia="Times New Roman"/>
                <w:color w:val="000000"/>
                <w:sz w:val="18"/>
                <w:szCs w:val="18"/>
              </w:rPr>
              <w:t>218 </w:t>
            </w:r>
          </w:p>
        </w:tc>
        <w:tc>
          <w:tcPr>
            <w:tcW w:w="0" w:type="auto"/>
            <w:shd w:val="clear" w:color="auto" w:fill="CCEEFF"/>
            <w:tcMar>
              <w:top w:w="30" w:type="dxa"/>
              <w:left w:w="0" w:type="dxa"/>
              <w:bottom w:w="30" w:type="dxa"/>
              <w:right w:w="20" w:type="dxa"/>
            </w:tcMar>
            <w:vAlign w:val="center"/>
            <w:hideMark/>
          </w:tcPr>
          <w:p w14:paraId="54B81A56" w14:textId="77777777" w:rsidR="00000000" w:rsidRDefault="00405D16">
            <w:pPr>
              <w:spacing w:after="100"/>
              <w:jc w:val="right"/>
              <w:rPr>
                <w:rFonts w:eastAsia="Times New Roman"/>
              </w:rPr>
            </w:pPr>
          </w:p>
        </w:tc>
      </w:tr>
      <w:tr w:rsidR="00000000" w14:paraId="727B89CC" w14:textId="77777777">
        <w:trPr>
          <w:divId w:val="1774664534"/>
        </w:trPr>
        <w:tc>
          <w:tcPr>
            <w:tcW w:w="0" w:type="auto"/>
            <w:gridSpan w:val="3"/>
            <w:shd w:val="clear" w:color="auto" w:fill="FFFFFF"/>
            <w:tcMar>
              <w:top w:w="30" w:type="dxa"/>
              <w:left w:w="20" w:type="dxa"/>
              <w:bottom w:w="30" w:type="dxa"/>
              <w:right w:w="20" w:type="dxa"/>
            </w:tcMar>
            <w:vAlign w:val="center"/>
            <w:hideMark/>
          </w:tcPr>
          <w:p w14:paraId="19FCB866" w14:textId="77777777" w:rsidR="00000000" w:rsidRDefault="00405D16">
            <w:pPr>
              <w:spacing w:after="100"/>
              <w:rPr>
                <w:rFonts w:eastAsia="Times New Roman"/>
              </w:rPr>
            </w:pPr>
            <w:r>
              <w:rPr>
                <w:rFonts w:eastAsia="Times New Roman"/>
                <w:color w:val="000000"/>
                <w:sz w:val="18"/>
                <w:szCs w:val="18"/>
              </w:rPr>
              <w:t>Provision (benefit) for losses on unfunded lending commitments</w:t>
            </w:r>
          </w:p>
        </w:tc>
        <w:tc>
          <w:tcPr>
            <w:tcW w:w="0" w:type="auto"/>
            <w:gridSpan w:val="3"/>
            <w:shd w:val="clear" w:color="auto" w:fill="FFFFFF"/>
            <w:tcMar>
              <w:top w:w="0" w:type="dxa"/>
              <w:left w:w="20" w:type="dxa"/>
              <w:bottom w:w="0" w:type="dxa"/>
              <w:right w:w="20" w:type="dxa"/>
            </w:tcMar>
            <w:vAlign w:val="center"/>
            <w:hideMark/>
          </w:tcPr>
          <w:p w14:paraId="0F3AEF48"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2FA68E8"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3B977E9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E17AA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E2AE077"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1DF1E48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D840A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A35BA1B" w14:textId="77777777" w:rsidR="00000000" w:rsidRDefault="00405D16">
            <w:pPr>
              <w:spacing w:after="100"/>
              <w:jc w:val="right"/>
              <w:rPr>
                <w:rFonts w:eastAsia="Times New Roman"/>
              </w:rPr>
            </w:pPr>
            <w:r>
              <w:rPr>
                <w:rFonts w:eastAsia="Times New Roman"/>
                <w:color w:val="000000"/>
                <w:sz w:val="18"/>
                <w:szCs w:val="18"/>
              </w:rPr>
              <w:t>(23)</w:t>
            </w:r>
          </w:p>
        </w:tc>
        <w:tc>
          <w:tcPr>
            <w:tcW w:w="0" w:type="auto"/>
            <w:shd w:val="clear" w:color="auto" w:fill="FFFFFF"/>
            <w:tcMar>
              <w:top w:w="30" w:type="dxa"/>
              <w:left w:w="0" w:type="dxa"/>
              <w:bottom w:w="30" w:type="dxa"/>
              <w:right w:w="20" w:type="dxa"/>
            </w:tcMar>
            <w:vAlign w:val="center"/>
            <w:hideMark/>
          </w:tcPr>
          <w:p w14:paraId="7A31A3C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6500CD" w14:textId="77777777" w:rsidR="00000000" w:rsidRDefault="00405D16">
            <w:pPr>
              <w:spacing w:after="100"/>
              <w:jc w:val="right"/>
              <w:rPr>
                <w:rFonts w:eastAsia="Times New Roman"/>
                <w:sz w:val="20"/>
                <w:szCs w:val="20"/>
              </w:rPr>
            </w:pPr>
          </w:p>
        </w:tc>
        <w:tc>
          <w:tcPr>
            <w:tcW w:w="0" w:type="auto"/>
            <w:vAlign w:val="center"/>
            <w:hideMark/>
          </w:tcPr>
          <w:p w14:paraId="06DCADE4" w14:textId="77777777" w:rsidR="00000000" w:rsidRDefault="00405D16">
            <w:pPr>
              <w:spacing w:after="100"/>
              <w:rPr>
                <w:rFonts w:eastAsia="Times New Roman"/>
                <w:sz w:val="20"/>
                <w:szCs w:val="20"/>
              </w:rPr>
            </w:pPr>
          </w:p>
        </w:tc>
        <w:tc>
          <w:tcPr>
            <w:tcW w:w="0" w:type="auto"/>
            <w:gridSpan w:val="3"/>
            <w:vAlign w:val="center"/>
            <w:hideMark/>
          </w:tcPr>
          <w:p w14:paraId="5B07A924"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FF0B573" w14:textId="77777777" w:rsidR="00000000" w:rsidRDefault="00405D16">
            <w:pPr>
              <w:spacing w:after="100"/>
              <w:jc w:val="right"/>
              <w:rPr>
                <w:rFonts w:eastAsia="Times New Roman"/>
              </w:rPr>
            </w:pPr>
            <w:r>
              <w:rPr>
                <w:rFonts w:eastAsia="Times New Roman"/>
                <w:color w:val="000000"/>
                <w:sz w:val="18"/>
                <w:szCs w:val="18"/>
              </w:rPr>
              <w:t>(23)</w:t>
            </w:r>
          </w:p>
        </w:tc>
        <w:tc>
          <w:tcPr>
            <w:tcW w:w="0" w:type="auto"/>
            <w:shd w:val="clear" w:color="auto" w:fill="FFFFFF"/>
            <w:tcMar>
              <w:top w:w="30" w:type="dxa"/>
              <w:left w:w="0" w:type="dxa"/>
              <w:bottom w:w="30" w:type="dxa"/>
              <w:right w:w="20" w:type="dxa"/>
            </w:tcMar>
            <w:vAlign w:val="center"/>
            <w:hideMark/>
          </w:tcPr>
          <w:p w14:paraId="606DE1C7" w14:textId="77777777" w:rsidR="00000000" w:rsidRDefault="00405D16">
            <w:pPr>
              <w:spacing w:after="100"/>
              <w:jc w:val="right"/>
              <w:rPr>
                <w:rFonts w:eastAsia="Times New Roman"/>
              </w:rPr>
            </w:pPr>
          </w:p>
        </w:tc>
      </w:tr>
      <w:tr w:rsidR="00000000" w14:paraId="7E7F917E" w14:textId="77777777">
        <w:trPr>
          <w:divId w:val="1774664534"/>
        </w:trPr>
        <w:tc>
          <w:tcPr>
            <w:tcW w:w="0" w:type="auto"/>
            <w:gridSpan w:val="3"/>
            <w:shd w:val="clear" w:color="auto" w:fill="CCEEFF"/>
            <w:tcMar>
              <w:top w:w="30" w:type="dxa"/>
              <w:left w:w="20" w:type="dxa"/>
              <w:bottom w:w="30" w:type="dxa"/>
              <w:right w:w="20" w:type="dxa"/>
            </w:tcMar>
            <w:vAlign w:val="center"/>
            <w:hideMark/>
          </w:tcPr>
          <w:p w14:paraId="086256A4" w14:textId="77777777" w:rsidR="00000000" w:rsidRDefault="00405D16">
            <w:pPr>
              <w:spacing w:after="100"/>
              <w:rPr>
                <w:rFonts w:eastAsia="Times New Roman"/>
              </w:rPr>
            </w:pPr>
            <w:r>
              <w:rPr>
                <w:rFonts w:eastAsia="Times New Roman"/>
                <w:color w:val="000000"/>
                <w:sz w:val="18"/>
                <w:szCs w:val="18"/>
              </w:rPr>
              <w:t>Balance as of September 30, 2020</w:t>
            </w:r>
          </w:p>
        </w:tc>
        <w:tc>
          <w:tcPr>
            <w:tcW w:w="0" w:type="auto"/>
            <w:gridSpan w:val="3"/>
            <w:shd w:val="clear" w:color="auto" w:fill="CCEEFF"/>
            <w:tcMar>
              <w:top w:w="0" w:type="dxa"/>
              <w:left w:w="20" w:type="dxa"/>
              <w:bottom w:w="0" w:type="dxa"/>
              <w:right w:w="20" w:type="dxa"/>
            </w:tcMar>
            <w:vAlign w:val="center"/>
            <w:hideMark/>
          </w:tcPr>
          <w:p w14:paraId="3FA28B0C"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9BD3169" w14:textId="77777777" w:rsidR="00000000" w:rsidRDefault="00405D16">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A1D721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AFD518"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28EDEA7" w14:textId="77777777" w:rsidR="00000000" w:rsidRDefault="00405D16">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E00537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8F72F9"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33A8A67" w14:textId="77777777" w:rsidR="00000000" w:rsidRDefault="00405D16">
            <w:pPr>
              <w:spacing w:after="100"/>
              <w:jc w:val="right"/>
              <w:rPr>
                <w:rFonts w:eastAsia="Times New Roman"/>
              </w:rPr>
            </w:pPr>
            <w:r>
              <w:rPr>
                <w:rFonts w:eastAsia="Times New Roman"/>
                <w:color w:val="000000"/>
                <w:sz w:val="18"/>
                <w:szCs w:val="18"/>
              </w:rPr>
              <w:t>195 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7DC8A5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B47F21" w14:textId="77777777" w:rsidR="00000000" w:rsidRDefault="00405D16">
            <w:pPr>
              <w:spacing w:after="100"/>
              <w:jc w:val="right"/>
              <w:rPr>
                <w:rFonts w:eastAsia="Times New Roman"/>
                <w:sz w:val="20"/>
                <w:szCs w:val="20"/>
              </w:rPr>
            </w:pPr>
          </w:p>
        </w:tc>
        <w:tc>
          <w:tcPr>
            <w:tcW w:w="0" w:type="auto"/>
            <w:vAlign w:val="center"/>
            <w:hideMark/>
          </w:tcPr>
          <w:p w14:paraId="717DE60F" w14:textId="77777777" w:rsidR="00000000" w:rsidRDefault="00405D16">
            <w:pPr>
              <w:spacing w:after="100"/>
              <w:rPr>
                <w:rFonts w:eastAsia="Times New Roman"/>
                <w:sz w:val="20"/>
                <w:szCs w:val="20"/>
              </w:rPr>
            </w:pPr>
          </w:p>
        </w:tc>
        <w:tc>
          <w:tcPr>
            <w:tcW w:w="0" w:type="auto"/>
            <w:gridSpan w:val="3"/>
            <w:vAlign w:val="center"/>
            <w:hideMark/>
          </w:tcPr>
          <w:p w14:paraId="05EFBBD3" w14:textId="77777777" w:rsidR="00000000" w:rsidRDefault="00405D16">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9053031" w14:textId="77777777" w:rsidR="00000000" w:rsidRDefault="00405D16">
            <w:pPr>
              <w:spacing w:after="100"/>
              <w:jc w:val="right"/>
              <w:rPr>
                <w:rFonts w:eastAsia="Times New Roman"/>
              </w:rPr>
            </w:pPr>
            <w:r>
              <w:rPr>
                <w:rFonts w:eastAsia="Times New Roman"/>
                <w:color w:val="000000"/>
                <w:sz w:val="18"/>
                <w:szCs w:val="18"/>
              </w:rPr>
              <w:t>195 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716BDE3" w14:textId="77777777" w:rsidR="00000000" w:rsidRDefault="00405D16">
            <w:pPr>
              <w:spacing w:after="100"/>
              <w:jc w:val="right"/>
              <w:rPr>
                <w:rFonts w:eastAsia="Times New Roman"/>
              </w:rPr>
            </w:pPr>
          </w:p>
        </w:tc>
      </w:tr>
      <w:tr w:rsidR="00000000" w14:paraId="6C2932C2" w14:textId="77777777">
        <w:trPr>
          <w:divId w:val="1774664534"/>
        </w:trPr>
        <w:tc>
          <w:tcPr>
            <w:tcW w:w="0" w:type="auto"/>
            <w:gridSpan w:val="3"/>
            <w:shd w:val="clear" w:color="auto" w:fill="FFFFFF"/>
            <w:tcMar>
              <w:top w:w="30" w:type="dxa"/>
              <w:left w:w="20" w:type="dxa"/>
              <w:bottom w:w="30" w:type="dxa"/>
              <w:right w:w="20" w:type="dxa"/>
            </w:tcMar>
            <w:vAlign w:val="center"/>
            <w:hideMark/>
          </w:tcPr>
          <w:p w14:paraId="7EFD7B6A" w14:textId="77777777" w:rsidR="00000000" w:rsidRDefault="00405D16">
            <w:pPr>
              <w:spacing w:after="100"/>
              <w:rPr>
                <w:rFonts w:eastAsia="Times New Roman"/>
              </w:rPr>
            </w:pPr>
            <w:r>
              <w:rPr>
                <w:rFonts w:eastAsia="Times New Roman"/>
                <w:b/>
                <w:bCs/>
                <w:color w:val="000000"/>
                <w:sz w:val="18"/>
                <w:szCs w:val="18"/>
              </w:rPr>
              <w:t>Combined allowance and reserve as of September 30, 2020</w:t>
            </w:r>
          </w:p>
        </w:tc>
        <w:tc>
          <w:tcPr>
            <w:tcW w:w="0" w:type="auto"/>
            <w:gridSpan w:val="3"/>
            <w:shd w:val="clear" w:color="auto" w:fill="FFFFFF"/>
            <w:tcMar>
              <w:top w:w="0" w:type="dxa"/>
              <w:left w:w="20" w:type="dxa"/>
              <w:bottom w:w="0" w:type="dxa"/>
              <w:right w:w="20" w:type="dxa"/>
            </w:tcMar>
            <w:vAlign w:val="center"/>
            <w:hideMark/>
          </w:tcPr>
          <w:p w14:paraId="5D74A065"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E3A2B84"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8A44536" w14:textId="77777777" w:rsidR="00000000" w:rsidRDefault="00405D16">
            <w:pPr>
              <w:spacing w:after="100"/>
              <w:jc w:val="right"/>
              <w:rPr>
                <w:rFonts w:eastAsia="Times New Roman"/>
              </w:rPr>
            </w:pPr>
            <w:r>
              <w:rPr>
                <w:rFonts w:eastAsia="Times New Roman"/>
                <w:color w:val="000000"/>
                <w:sz w:val="18"/>
                <w:szCs w:val="18"/>
              </w:rPr>
              <w:t>11,612 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10015C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50B2E3"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1EB7366"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0B6EE17" w14:textId="77777777" w:rsidR="00000000" w:rsidRDefault="00405D16">
            <w:pPr>
              <w:spacing w:after="100"/>
              <w:jc w:val="right"/>
              <w:rPr>
                <w:rFonts w:eastAsia="Times New Roman"/>
              </w:rPr>
            </w:pPr>
            <w:r>
              <w:rPr>
                <w:rFonts w:eastAsia="Times New Roman"/>
                <w:color w:val="000000"/>
                <w:sz w:val="18"/>
                <w:szCs w:val="18"/>
              </w:rPr>
              <w:t>2,747 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4D8C09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626C8D"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CEB4080"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8166231" w14:textId="77777777" w:rsidR="00000000" w:rsidRDefault="00405D16">
            <w:pPr>
              <w:spacing w:after="100"/>
              <w:jc w:val="right"/>
              <w:rPr>
                <w:rFonts w:eastAsia="Times New Roman"/>
              </w:rPr>
            </w:pPr>
            <w:r>
              <w:rPr>
                <w:rFonts w:eastAsia="Times New Roman"/>
                <w:color w:val="000000"/>
                <w:sz w:val="18"/>
                <w:szCs w:val="18"/>
              </w:rPr>
              <w:t>1,965 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DC1B6A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894875" w14:textId="77777777" w:rsidR="00000000" w:rsidRDefault="00405D16">
            <w:pPr>
              <w:spacing w:after="100"/>
              <w:jc w:val="right"/>
              <w:rPr>
                <w:rFonts w:eastAsia="Times New Roman"/>
                <w:sz w:val="20"/>
                <w:szCs w:val="20"/>
              </w:rPr>
            </w:pPr>
          </w:p>
        </w:tc>
        <w:tc>
          <w:tcPr>
            <w:tcW w:w="0" w:type="auto"/>
            <w:vAlign w:val="center"/>
            <w:hideMark/>
          </w:tcPr>
          <w:p w14:paraId="5CADB341" w14:textId="77777777" w:rsidR="00000000" w:rsidRDefault="00405D16">
            <w:pPr>
              <w:spacing w:after="100"/>
              <w:rPr>
                <w:rFonts w:eastAsia="Times New Roman"/>
                <w:sz w:val="20"/>
                <w:szCs w:val="20"/>
              </w:rPr>
            </w:pPr>
          </w:p>
        </w:tc>
        <w:tc>
          <w:tcPr>
            <w:tcW w:w="0" w:type="auto"/>
            <w:gridSpan w:val="3"/>
            <w:vAlign w:val="center"/>
            <w:hideMark/>
          </w:tcPr>
          <w:p w14:paraId="0EC29D1B" w14:textId="77777777" w:rsidR="00000000" w:rsidRDefault="00405D16">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B11DC24"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73727EB" w14:textId="77777777" w:rsidR="00000000" w:rsidRDefault="00405D16">
            <w:pPr>
              <w:spacing w:after="100"/>
              <w:jc w:val="right"/>
              <w:rPr>
                <w:rFonts w:eastAsia="Times New Roman"/>
              </w:rPr>
            </w:pPr>
            <w:r>
              <w:rPr>
                <w:rFonts w:eastAsia="Times New Roman"/>
                <w:color w:val="000000"/>
                <w:sz w:val="18"/>
                <w:szCs w:val="18"/>
              </w:rPr>
              <w:t>16,324 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A035036" w14:textId="77777777" w:rsidR="00000000" w:rsidRDefault="00405D16">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716"/>
        <w:gridCol w:w="144"/>
        <w:gridCol w:w="144"/>
        <w:gridCol w:w="144"/>
        <w:gridCol w:w="144"/>
        <w:gridCol w:w="144"/>
        <w:gridCol w:w="720"/>
        <w:gridCol w:w="144"/>
        <w:gridCol w:w="144"/>
        <w:gridCol w:w="144"/>
        <w:gridCol w:w="144"/>
        <w:gridCol w:w="144"/>
        <w:gridCol w:w="720"/>
        <w:gridCol w:w="144"/>
        <w:gridCol w:w="144"/>
        <w:gridCol w:w="144"/>
        <w:gridCol w:w="144"/>
        <w:gridCol w:w="144"/>
        <w:gridCol w:w="720"/>
        <w:gridCol w:w="144"/>
        <w:gridCol w:w="144"/>
        <w:gridCol w:w="144"/>
        <w:gridCol w:w="144"/>
        <w:gridCol w:w="480"/>
        <w:gridCol w:w="480"/>
        <w:gridCol w:w="480"/>
        <w:gridCol w:w="480"/>
        <w:gridCol w:w="144"/>
        <w:gridCol w:w="722"/>
        <w:gridCol w:w="144"/>
      </w:tblGrid>
      <w:tr w:rsidR="00000000" w14:paraId="63341CB9" w14:textId="77777777">
        <w:tc>
          <w:tcPr>
            <w:tcW w:w="50" w:type="pct"/>
            <w:vAlign w:val="center"/>
            <w:hideMark/>
          </w:tcPr>
          <w:p w14:paraId="038D2229" w14:textId="77777777" w:rsidR="00000000" w:rsidRDefault="00405D16">
            <w:pPr>
              <w:jc w:val="both"/>
              <w:rPr>
                <w:rFonts w:eastAsia="Times New Roman"/>
              </w:rPr>
            </w:pPr>
          </w:p>
        </w:tc>
        <w:tc>
          <w:tcPr>
            <w:tcW w:w="2839" w:type="pct"/>
            <w:vAlign w:val="center"/>
            <w:hideMark/>
          </w:tcPr>
          <w:p w14:paraId="58641EBD" w14:textId="77777777" w:rsidR="00000000" w:rsidRDefault="00405D16">
            <w:pPr>
              <w:spacing w:after="100"/>
              <w:rPr>
                <w:rFonts w:eastAsia="Times New Roman"/>
                <w:sz w:val="20"/>
                <w:szCs w:val="20"/>
              </w:rPr>
            </w:pPr>
          </w:p>
        </w:tc>
        <w:tc>
          <w:tcPr>
            <w:tcW w:w="5" w:type="pct"/>
            <w:vAlign w:val="center"/>
            <w:hideMark/>
          </w:tcPr>
          <w:p w14:paraId="13FC1A12" w14:textId="77777777" w:rsidR="00000000" w:rsidRDefault="00405D16">
            <w:pPr>
              <w:spacing w:after="100"/>
              <w:rPr>
                <w:rFonts w:eastAsia="Times New Roman"/>
                <w:sz w:val="20"/>
                <w:szCs w:val="20"/>
              </w:rPr>
            </w:pPr>
          </w:p>
        </w:tc>
        <w:tc>
          <w:tcPr>
            <w:tcW w:w="5" w:type="pct"/>
            <w:vAlign w:val="center"/>
            <w:hideMark/>
          </w:tcPr>
          <w:p w14:paraId="4980DD1C" w14:textId="77777777" w:rsidR="00000000" w:rsidRDefault="00405D16">
            <w:pPr>
              <w:spacing w:after="100"/>
              <w:rPr>
                <w:rFonts w:eastAsia="Times New Roman"/>
                <w:sz w:val="20"/>
                <w:szCs w:val="20"/>
              </w:rPr>
            </w:pPr>
          </w:p>
        </w:tc>
        <w:tc>
          <w:tcPr>
            <w:tcW w:w="26" w:type="pct"/>
            <w:vAlign w:val="center"/>
            <w:hideMark/>
          </w:tcPr>
          <w:p w14:paraId="6FAF5A54" w14:textId="77777777" w:rsidR="00000000" w:rsidRDefault="00405D16">
            <w:pPr>
              <w:spacing w:after="100"/>
              <w:rPr>
                <w:rFonts w:eastAsia="Times New Roman"/>
                <w:sz w:val="20"/>
                <w:szCs w:val="20"/>
              </w:rPr>
            </w:pPr>
          </w:p>
        </w:tc>
        <w:tc>
          <w:tcPr>
            <w:tcW w:w="5" w:type="pct"/>
            <w:vAlign w:val="center"/>
            <w:hideMark/>
          </w:tcPr>
          <w:p w14:paraId="35293C95" w14:textId="77777777" w:rsidR="00000000" w:rsidRDefault="00405D16">
            <w:pPr>
              <w:spacing w:after="100"/>
              <w:rPr>
                <w:rFonts w:eastAsia="Times New Roman"/>
                <w:sz w:val="20"/>
                <w:szCs w:val="20"/>
              </w:rPr>
            </w:pPr>
          </w:p>
        </w:tc>
        <w:tc>
          <w:tcPr>
            <w:tcW w:w="50" w:type="pct"/>
            <w:vAlign w:val="center"/>
            <w:hideMark/>
          </w:tcPr>
          <w:p w14:paraId="0A05E18C" w14:textId="77777777" w:rsidR="00000000" w:rsidRDefault="00405D16">
            <w:pPr>
              <w:spacing w:after="100"/>
              <w:rPr>
                <w:rFonts w:eastAsia="Times New Roman"/>
                <w:sz w:val="20"/>
                <w:szCs w:val="20"/>
              </w:rPr>
            </w:pPr>
          </w:p>
        </w:tc>
        <w:tc>
          <w:tcPr>
            <w:tcW w:w="434" w:type="pct"/>
            <w:vAlign w:val="center"/>
            <w:hideMark/>
          </w:tcPr>
          <w:p w14:paraId="1EAA5AEE" w14:textId="77777777" w:rsidR="00000000" w:rsidRDefault="00405D16">
            <w:pPr>
              <w:spacing w:after="100"/>
              <w:rPr>
                <w:rFonts w:eastAsia="Times New Roman"/>
                <w:sz w:val="20"/>
                <w:szCs w:val="20"/>
              </w:rPr>
            </w:pPr>
          </w:p>
        </w:tc>
        <w:tc>
          <w:tcPr>
            <w:tcW w:w="5" w:type="pct"/>
            <w:vAlign w:val="center"/>
            <w:hideMark/>
          </w:tcPr>
          <w:p w14:paraId="086F103D" w14:textId="77777777" w:rsidR="00000000" w:rsidRDefault="00405D16">
            <w:pPr>
              <w:spacing w:after="100"/>
              <w:rPr>
                <w:rFonts w:eastAsia="Times New Roman"/>
                <w:sz w:val="20"/>
                <w:szCs w:val="20"/>
              </w:rPr>
            </w:pPr>
          </w:p>
        </w:tc>
        <w:tc>
          <w:tcPr>
            <w:tcW w:w="5" w:type="pct"/>
            <w:vAlign w:val="center"/>
            <w:hideMark/>
          </w:tcPr>
          <w:p w14:paraId="27CEBB58" w14:textId="77777777" w:rsidR="00000000" w:rsidRDefault="00405D16">
            <w:pPr>
              <w:spacing w:after="100"/>
              <w:rPr>
                <w:rFonts w:eastAsia="Times New Roman"/>
                <w:sz w:val="20"/>
                <w:szCs w:val="20"/>
              </w:rPr>
            </w:pPr>
          </w:p>
        </w:tc>
        <w:tc>
          <w:tcPr>
            <w:tcW w:w="26" w:type="pct"/>
            <w:vAlign w:val="center"/>
            <w:hideMark/>
          </w:tcPr>
          <w:p w14:paraId="40F5E7E0" w14:textId="77777777" w:rsidR="00000000" w:rsidRDefault="00405D16">
            <w:pPr>
              <w:spacing w:after="100"/>
              <w:rPr>
                <w:rFonts w:eastAsia="Times New Roman"/>
                <w:sz w:val="20"/>
                <w:szCs w:val="20"/>
              </w:rPr>
            </w:pPr>
          </w:p>
        </w:tc>
        <w:tc>
          <w:tcPr>
            <w:tcW w:w="5" w:type="pct"/>
            <w:vAlign w:val="center"/>
            <w:hideMark/>
          </w:tcPr>
          <w:p w14:paraId="34CD4C1A" w14:textId="77777777" w:rsidR="00000000" w:rsidRDefault="00405D16">
            <w:pPr>
              <w:spacing w:after="100"/>
              <w:rPr>
                <w:rFonts w:eastAsia="Times New Roman"/>
                <w:sz w:val="20"/>
                <w:szCs w:val="20"/>
              </w:rPr>
            </w:pPr>
          </w:p>
        </w:tc>
        <w:tc>
          <w:tcPr>
            <w:tcW w:w="50" w:type="pct"/>
            <w:vAlign w:val="center"/>
            <w:hideMark/>
          </w:tcPr>
          <w:p w14:paraId="42ED3F1D" w14:textId="77777777" w:rsidR="00000000" w:rsidRDefault="00405D16">
            <w:pPr>
              <w:spacing w:after="100"/>
              <w:rPr>
                <w:rFonts w:eastAsia="Times New Roman"/>
                <w:sz w:val="20"/>
                <w:szCs w:val="20"/>
              </w:rPr>
            </w:pPr>
          </w:p>
        </w:tc>
        <w:tc>
          <w:tcPr>
            <w:tcW w:w="434" w:type="pct"/>
            <w:vAlign w:val="center"/>
            <w:hideMark/>
          </w:tcPr>
          <w:p w14:paraId="229B01D2" w14:textId="77777777" w:rsidR="00000000" w:rsidRDefault="00405D16">
            <w:pPr>
              <w:spacing w:after="100"/>
              <w:rPr>
                <w:rFonts w:eastAsia="Times New Roman"/>
                <w:sz w:val="20"/>
                <w:szCs w:val="20"/>
              </w:rPr>
            </w:pPr>
          </w:p>
        </w:tc>
        <w:tc>
          <w:tcPr>
            <w:tcW w:w="5" w:type="pct"/>
            <w:vAlign w:val="center"/>
            <w:hideMark/>
          </w:tcPr>
          <w:p w14:paraId="2FA1974D" w14:textId="77777777" w:rsidR="00000000" w:rsidRDefault="00405D16">
            <w:pPr>
              <w:spacing w:after="100"/>
              <w:rPr>
                <w:rFonts w:eastAsia="Times New Roman"/>
                <w:sz w:val="20"/>
                <w:szCs w:val="20"/>
              </w:rPr>
            </w:pPr>
          </w:p>
        </w:tc>
        <w:tc>
          <w:tcPr>
            <w:tcW w:w="5" w:type="pct"/>
            <w:vAlign w:val="center"/>
            <w:hideMark/>
          </w:tcPr>
          <w:p w14:paraId="65363FC9" w14:textId="77777777" w:rsidR="00000000" w:rsidRDefault="00405D16">
            <w:pPr>
              <w:spacing w:after="100"/>
              <w:rPr>
                <w:rFonts w:eastAsia="Times New Roman"/>
                <w:sz w:val="20"/>
                <w:szCs w:val="20"/>
              </w:rPr>
            </w:pPr>
          </w:p>
        </w:tc>
        <w:tc>
          <w:tcPr>
            <w:tcW w:w="26" w:type="pct"/>
            <w:vAlign w:val="center"/>
            <w:hideMark/>
          </w:tcPr>
          <w:p w14:paraId="6D39E18D" w14:textId="77777777" w:rsidR="00000000" w:rsidRDefault="00405D16">
            <w:pPr>
              <w:spacing w:after="100"/>
              <w:rPr>
                <w:rFonts w:eastAsia="Times New Roman"/>
                <w:sz w:val="20"/>
                <w:szCs w:val="20"/>
              </w:rPr>
            </w:pPr>
          </w:p>
        </w:tc>
        <w:tc>
          <w:tcPr>
            <w:tcW w:w="5" w:type="pct"/>
            <w:vAlign w:val="center"/>
            <w:hideMark/>
          </w:tcPr>
          <w:p w14:paraId="608ECEC3" w14:textId="77777777" w:rsidR="00000000" w:rsidRDefault="00405D16">
            <w:pPr>
              <w:spacing w:after="100"/>
              <w:rPr>
                <w:rFonts w:eastAsia="Times New Roman"/>
                <w:sz w:val="20"/>
                <w:szCs w:val="20"/>
              </w:rPr>
            </w:pPr>
          </w:p>
        </w:tc>
        <w:tc>
          <w:tcPr>
            <w:tcW w:w="50" w:type="pct"/>
            <w:vAlign w:val="center"/>
            <w:hideMark/>
          </w:tcPr>
          <w:p w14:paraId="619F0872" w14:textId="77777777" w:rsidR="00000000" w:rsidRDefault="00405D16">
            <w:pPr>
              <w:spacing w:after="100"/>
              <w:rPr>
                <w:rFonts w:eastAsia="Times New Roman"/>
                <w:sz w:val="20"/>
                <w:szCs w:val="20"/>
              </w:rPr>
            </w:pPr>
          </w:p>
        </w:tc>
        <w:tc>
          <w:tcPr>
            <w:tcW w:w="434" w:type="pct"/>
            <w:vAlign w:val="center"/>
            <w:hideMark/>
          </w:tcPr>
          <w:p w14:paraId="2D13F60D" w14:textId="77777777" w:rsidR="00000000" w:rsidRDefault="00405D16">
            <w:pPr>
              <w:spacing w:after="100"/>
              <w:rPr>
                <w:rFonts w:eastAsia="Times New Roman"/>
                <w:sz w:val="20"/>
                <w:szCs w:val="20"/>
              </w:rPr>
            </w:pPr>
          </w:p>
        </w:tc>
        <w:tc>
          <w:tcPr>
            <w:tcW w:w="5" w:type="pct"/>
            <w:vAlign w:val="center"/>
            <w:hideMark/>
          </w:tcPr>
          <w:p w14:paraId="71D31521" w14:textId="77777777" w:rsidR="00000000" w:rsidRDefault="00405D16">
            <w:pPr>
              <w:spacing w:after="100"/>
              <w:rPr>
                <w:rFonts w:eastAsia="Times New Roman"/>
                <w:sz w:val="20"/>
                <w:szCs w:val="20"/>
              </w:rPr>
            </w:pPr>
          </w:p>
        </w:tc>
        <w:tc>
          <w:tcPr>
            <w:tcW w:w="5" w:type="pct"/>
            <w:vAlign w:val="center"/>
            <w:hideMark/>
          </w:tcPr>
          <w:p w14:paraId="49DE8CF9" w14:textId="77777777" w:rsidR="00000000" w:rsidRDefault="00405D16">
            <w:pPr>
              <w:spacing w:after="100"/>
              <w:rPr>
                <w:rFonts w:eastAsia="Times New Roman"/>
                <w:sz w:val="20"/>
                <w:szCs w:val="20"/>
              </w:rPr>
            </w:pPr>
          </w:p>
        </w:tc>
        <w:tc>
          <w:tcPr>
            <w:tcW w:w="26" w:type="pct"/>
            <w:vAlign w:val="center"/>
            <w:hideMark/>
          </w:tcPr>
          <w:p w14:paraId="79D2FB34" w14:textId="77777777" w:rsidR="00000000" w:rsidRDefault="00405D16">
            <w:pPr>
              <w:spacing w:after="100"/>
              <w:rPr>
                <w:rFonts w:eastAsia="Times New Roman"/>
                <w:sz w:val="20"/>
                <w:szCs w:val="20"/>
              </w:rPr>
            </w:pPr>
          </w:p>
        </w:tc>
        <w:tc>
          <w:tcPr>
            <w:tcW w:w="5" w:type="pct"/>
            <w:vAlign w:val="center"/>
            <w:hideMark/>
          </w:tcPr>
          <w:p w14:paraId="2DFBF66C" w14:textId="77777777" w:rsidR="00000000" w:rsidRDefault="00405D16">
            <w:pPr>
              <w:spacing w:after="100"/>
              <w:rPr>
                <w:rFonts w:eastAsia="Times New Roman"/>
                <w:sz w:val="20"/>
                <w:szCs w:val="20"/>
              </w:rPr>
            </w:pPr>
          </w:p>
        </w:tc>
        <w:tc>
          <w:tcPr>
            <w:tcW w:w="0" w:type="auto"/>
            <w:vAlign w:val="center"/>
            <w:hideMark/>
          </w:tcPr>
          <w:p w14:paraId="362962E1" w14:textId="77777777" w:rsidR="00000000" w:rsidRDefault="00405D16">
            <w:pPr>
              <w:spacing w:after="100"/>
              <w:rPr>
                <w:rFonts w:eastAsia="Times New Roman"/>
                <w:sz w:val="20"/>
                <w:szCs w:val="20"/>
              </w:rPr>
            </w:pPr>
          </w:p>
        </w:tc>
        <w:tc>
          <w:tcPr>
            <w:tcW w:w="0" w:type="auto"/>
            <w:gridSpan w:val="3"/>
            <w:vAlign w:val="center"/>
            <w:hideMark/>
          </w:tcPr>
          <w:p w14:paraId="6CC31CD0" w14:textId="77777777" w:rsidR="00000000" w:rsidRDefault="00405D16">
            <w:pPr>
              <w:spacing w:after="100"/>
              <w:rPr>
                <w:rFonts w:eastAsia="Times New Roman"/>
                <w:sz w:val="20"/>
                <w:szCs w:val="20"/>
              </w:rPr>
            </w:pPr>
          </w:p>
        </w:tc>
        <w:tc>
          <w:tcPr>
            <w:tcW w:w="50" w:type="pct"/>
            <w:vAlign w:val="center"/>
            <w:hideMark/>
          </w:tcPr>
          <w:p w14:paraId="143557EB" w14:textId="77777777" w:rsidR="00000000" w:rsidRDefault="00405D16">
            <w:pPr>
              <w:spacing w:after="100"/>
              <w:rPr>
                <w:rFonts w:eastAsia="Times New Roman"/>
                <w:sz w:val="20"/>
                <w:szCs w:val="20"/>
              </w:rPr>
            </w:pPr>
          </w:p>
        </w:tc>
        <w:tc>
          <w:tcPr>
            <w:tcW w:w="435" w:type="pct"/>
            <w:vAlign w:val="center"/>
            <w:hideMark/>
          </w:tcPr>
          <w:p w14:paraId="5D7A8BB1" w14:textId="77777777" w:rsidR="00000000" w:rsidRDefault="00405D16">
            <w:pPr>
              <w:spacing w:after="100"/>
              <w:rPr>
                <w:rFonts w:eastAsia="Times New Roman"/>
                <w:sz w:val="20"/>
                <w:szCs w:val="20"/>
              </w:rPr>
            </w:pPr>
          </w:p>
        </w:tc>
        <w:tc>
          <w:tcPr>
            <w:tcW w:w="5" w:type="pct"/>
            <w:vAlign w:val="center"/>
            <w:hideMark/>
          </w:tcPr>
          <w:p w14:paraId="414DDD6B" w14:textId="77777777" w:rsidR="00000000" w:rsidRDefault="00405D16">
            <w:pPr>
              <w:spacing w:after="100"/>
              <w:rPr>
                <w:rFonts w:eastAsia="Times New Roman"/>
                <w:sz w:val="20"/>
                <w:szCs w:val="20"/>
              </w:rPr>
            </w:pPr>
          </w:p>
        </w:tc>
      </w:tr>
      <w:tr w:rsidR="00000000" w14:paraId="007C5122" w14:textId="77777777">
        <w:tc>
          <w:tcPr>
            <w:tcW w:w="0" w:type="auto"/>
            <w:gridSpan w:val="3"/>
            <w:tcMar>
              <w:top w:w="0" w:type="dxa"/>
              <w:left w:w="20" w:type="dxa"/>
              <w:bottom w:w="0" w:type="dxa"/>
              <w:right w:w="20" w:type="dxa"/>
            </w:tcMar>
            <w:vAlign w:val="center"/>
            <w:hideMark/>
          </w:tcPr>
          <w:p w14:paraId="613ED0A7"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1D782A4" w14:textId="77777777" w:rsidR="00000000" w:rsidRDefault="00405D16">
            <w:pPr>
              <w:spacing w:after="100"/>
              <w:rPr>
                <w:rFonts w:eastAsia="Times New Roman"/>
                <w:sz w:val="20"/>
                <w:szCs w:val="20"/>
              </w:rPr>
            </w:pPr>
          </w:p>
        </w:tc>
        <w:tc>
          <w:tcPr>
            <w:tcW w:w="0" w:type="auto"/>
            <w:gridSpan w:val="19"/>
            <w:tcMar>
              <w:top w:w="30" w:type="dxa"/>
              <w:left w:w="20" w:type="dxa"/>
              <w:bottom w:w="30" w:type="dxa"/>
              <w:right w:w="20" w:type="dxa"/>
            </w:tcMar>
            <w:vAlign w:val="bottom"/>
            <w:hideMark/>
          </w:tcPr>
          <w:p w14:paraId="03BB9D9B" w14:textId="77777777" w:rsidR="00000000" w:rsidRDefault="00405D16">
            <w:pPr>
              <w:spacing w:after="100"/>
              <w:jc w:val="center"/>
              <w:rPr>
                <w:rFonts w:eastAsia="Times New Roman"/>
              </w:rPr>
            </w:pPr>
            <w:r>
              <w:rPr>
                <w:rFonts w:eastAsia="Times New Roman"/>
                <w:b/>
                <w:bCs/>
                <w:color w:val="000000"/>
                <w:sz w:val="16"/>
                <w:szCs w:val="16"/>
              </w:rPr>
              <w:t>Nine Months Ended September 30, 2020</w:t>
            </w:r>
          </w:p>
        </w:tc>
        <w:tc>
          <w:tcPr>
            <w:tcW w:w="0" w:type="auto"/>
            <w:vAlign w:val="center"/>
            <w:hideMark/>
          </w:tcPr>
          <w:p w14:paraId="4F99F67C" w14:textId="77777777" w:rsidR="00000000" w:rsidRDefault="00405D16">
            <w:pPr>
              <w:spacing w:after="100"/>
              <w:rPr>
                <w:rFonts w:eastAsia="Times New Roman"/>
                <w:sz w:val="20"/>
                <w:szCs w:val="20"/>
              </w:rPr>
            </w:pPr>
          </w:p>
        </w:tc>
        <w:tc>
          <w:tcPr>
            <w:tcW w:w="0" w:type="auto"/>
            <w:vAlign w:val="center"/>
            <w:hideMark/>
          </w:tcPr>
          <w:p w14:paraId="6091CF35" w14:textId="77777777" w:rsidR="00000000" w:rsidRDefault="00405D16">
            <w:pPr>
              <w:spacing w:after="100"/>
              <w:rPr>
                <w:rFonts w:eastAsia="Times New Roman"/>
                <w:sz w:val="20"/>
                <w:szCs w:val="20"/>
              </w:rPr>
            </w:pPr>
          </w:p>
        </w:tc>
        <w:tc>
          <w:tcPr>
            <w:tcW w:w="0" w:type="auto"/>
            <w:vAlign w:val="center"/>
            <w:hideMark/>
          </w:tcPr>
          <w:p w14:paraId="54C70E20" w14:textId="77777777" w:rsidR="00000000" w:rsidRDefault="00405D16">
            <w:pPr>
              <w:spacing w:after="100"/>
              <w:rPr>
                <w:rFonts w:eastAsia="Times New Roman"/>
                <w:sz w:val="20"/>
                <w:szCs w:val="20"/>
              </w:rPr>
            </w:pPr>
          </w:p>
        </w:tc>
        <w:tc>
          <w:tcPr>
            <w:tcW w:w="0" w:type="auto"/>
            <w:vAlign w:val="center"/>
            <w:hideMark/>
          </w:tcPr>
          <w:p w14:paraId="7375D4B6" w14:textId="77777777" w:rsidR="00000000" w:rsidRDefault="00405D16">
            <w:pPr>
              <w:spacing w:after="100"/>
              <w:rPr>
                <w:rFonts w:eastAsia="Times New Roman"/>
                <w:sz w:val="20"/>
                <w:szCs w:val="20"/>
              </w:rPr>
            </w:pPr>
          </w:p>
        </w:tc>
        <w:tc>
          <w:tcPr>
            <w:tcW w:w="0" w:type="auto"/>
            <w:vAlign w:val="center"/>
            <w:hideMark/>
          </w:tcPr>
          <w:p w14:paraId="0A6E4A53" w14:textId="77777777" w:rsidR="00000000" w:rsidRDefault="00405D16">
            <w:pPr>
              <w:spacing w:after="100"/>
              <w:rPr>
                <w:rFonts w:eastAsia="Times New Roman"/>
                <w:sz w:val="20"/>
                <w:szCs w:val="20"/>
              </w:rPr>
            </w:pPr>
          </w:p>
        </w:tc>
        <w:tc>
          <w:tcPr>
            <w:tcW w:w="0" w:type="auto"/>
            <w:vAlign w:val="center"/>
            <w:hideMark/>
          </w:tcPr>
          <w:p w14:paraId="4425FD89" w14:textId="77777777" w:rsidR="00000000" w:rsidRDefault="00405D16">
            <w:pPr>
              <w:spacing w:after="100"/>
              <w:rPr>
                <w:rFonts w:eastAsia="Times New Roman"/>
                <w:sz w:val="20"/>
                <w:szCs w:val="20"/>
              </w:rPr>
            </w:pPr>
          </w:p>
        </w:tc>
      </w:tr>
      <w:tr w:rsidR="00000000" w14:paraId="419EE610" w14:textId="77777777">
        <w:tc>
          <w:tcPr>
            <w:tcW w:w="0" w:type="auto"/>
            <w:gridSpan w:val="3"/>
            <w:tcBorders>
              <w:bottom w:val="single" w:sz="8" w:space="0" w:color="000000"/>
            </w:tcBorders>
            <w:tcMar>
              <w:top w:w="30" w:type="dxa"/>
              <w:left w:w="20" w:type="dxa"/>
              <w:bottom w:w="30" w:type="dxa"/>
              <w:right w:w="20" w:type="dxa"/>
            </w:tcMar>
            <w:vAlign w:val="bottom"/>
            <w:hideMark/>
          </w:tcPr>
          <w:p w14:paraId="3C412918" w14:textId="77777777" w:rsidR="00000000" w:rsidRDefault="00405D16">
            <w:pPr>
              <w:spacing w:after="100"/>
              <w:rPr>
                <w:rFonts w:eastAsia="Times New Roman"/>
              </w:rPr>
            </w:pPr>
            <w:r>
              <w:rPr>
                <w:rFonts w:eastAsia="Times New Roman"/>
                <w:i/>
                <w:iCs/>
                <w:color w:val="000000"/>
                <w:sz w:val="16"/>
                <w:szCs w:val="16"/>
              </w:rPr>
              <w:t>(Dollars </w:t>
            </w:r>
            <w:r>
              <w:rPr>
                <w:rFonts w:eastAsia="Times New Roman"/>
                <w:i/>
                <w:iCs/>
                <w:color w:val="000000"/>
                <w:sz w:val="16"/>
                <w:szCs w:val="16"/>
              </w:rPr>
              <w:t>in millions)</w:t>
            </w:r>
          </w:p>
        </w:tc>
        <w:tc>
          <w:tcPr>
            <w:tcW w:w="0" w:type="auto"/>
            <w:gridSpan w:val="3"/>
            <w:tcMar>
              <w:top w:w="0" w:type="dxa"/>
              <w:left w:w="20" w:type="dxa"/>
              <w:bottom w:w="0" w:type="dxa"/>
              <w:right w:w="20" w:type="dxa"/>
            </w:tcMar>
            <w:vAlign w:val="center"/>
            <w:hideMark/>
          </w:tcPr>
          <w:p w14:paraId="2AD249D9" w14:textId="77777777" w:rsidR="00000000" w:rsidRDefault="00405D16">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067DDC0" w14:textId="77777777" w:rsidR="00000000" w:rsidRDefault="00405D16">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0BB2F960" w14:textId="77777777" w:rsidR="00000000" w:rsidRDefault="00405D1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C159D8E" w14:textId="77777777" w:rsidR="00000000" w:rsidRDefault="00405D16">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144A4DF2" w14:textId="77777777" w:rsidR="00000000" w:rsidRDefault="00405D1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19CEC0C" w14:textId="77777777" w:rsidR="00000000" w:rsidRDefault="00405D16">
            <w:pPr>
              <w:spacing w:after="100"/>
              <w:jc w:val="center"/>
              <w:rPr>
                <w:rFonts w:eastAsia="Times New Roman"/>
              </w:rPr>
            </w:pPr>
            <w:r>
              <w:rPr>
                <w:rFonts w:eastAsia="Times New Roman"/>
                <w:b/>
                <w:bCs/>
                <w:color w:val="000000"/>
                <w:sz w:val="16"/>
                <w:szCs w:val="16"/>
              </w:rPr>
              <w:t>Commercial Banking</w:t>
            </w:r>
          </w:p>
        </w:tc>
        <w:tc>
          <w:tcPr>
            <w:tcW w:w="0" w:type="auto"/>
            <w:gridSpan w:val="3"/>
            <w:tcBorders>
              <w:top w:val="single" w:sz="8" w:space="0" w:color="000000"/>
            </w:tcBorders>
            <w:tcMar>
              <w:top w:w="0" w:type="dxa"/>
              <w:left w:w="20" w:type="dxa"/>
              <w:bottom w:w="0" w:type="dxa"/>
              <w:right w:w="20" w:type="dxa"/>
            </w:tcMar>
            <w:vAlign w:val="center"/>
            <w:hideMark/>
          </w:tcPr>
          <w:p w14:paraId="7C18457F" w14:textId="77777777" w:rsidR="00000000" w:rsidRDefault="00405D16">
            <w:pPr>
              <w:spacing w:after="100"/>
              <w:jc w:val="center"/>
              <w:rPr>
                <w:rFonts w:eastAsia="Times New Roman"/>
              </w:rPr>
            </w:pPr>
          </w:p>
        </w:tc>
        <w:tc>
          <w:tcPr>
            <w:tcW w:w="0" w:type="auto"/>
            <w:vAlign w:val="center"/>
            <w:hideMark/>
          </w:tcPr>
          <w:p w14:paraId="4A2F21BB" w14:textId="77777777" w:rsidR="00000000" w:rsidRDefault="00405D16">
            <w:pPr>
              <w:spacing w:after="100"/>
              <w:rPr>
                <w:rFonts w:eastAsia="Times New Roman"/>
                <w:sz w:val="20"/>
                <w:szCs w:val="20"/>
              </w:rPr>
            </w:pPr>
          </w:p>
        </w:tc>
        <w:tc>
          <w:tcPr>
            <w:tcW w:w="0" w:type="auto"/>
            <w:gridSpan w:val="3"/>
            <w:vAlign w:val="center"/>
            <w:hideMark/>
          </w:tcPr>
          <w:p w14:paraId="0D2DED69" w14:textId="77777777" w:rsidR="00000000" w:rsidRDefault="00405D16">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5F98CE4" w14:textId="77777777" w:rsidR="00000000" w:rsidRDefault="00405D16">
            <w:pPr>
              <w:spacing w:after="100"/>
              <w:jc w:val="center"/>
              <w:rPr>
                <w:rFonts w:eastAsia="Times New Roman"/>
              </w:rPr>
            </w:pPr>
            <w:r>
              <w:rPr>
                <w:rFonts w:eastAsia="Times New Roman"/>
                <w:b/>
                <w:bCs/>
                <w:color w:val="000000"/>
                <w:sz w:val="16"/>
                <w:szCs w:val="16"/>
              </w:rPr>
              <w:t>Total</w:t>
            </w:r>
          </w:p>
        </w:tc>
      </w:tr>
      <w:tr w:rsidR="00000000" w14:paraId="61ACD6E7" w14:textId="7777777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7ECC87C" w14:textId="77777777" w:rsidR="00000000" w:rsidRDefault="00405D16">
            <w:pPr>
              <w:spacing w:after="100"/>
              <w:rPr>
                <w:rFonts w:eastAsia="Times New Roman"/>
              </w:rPr>
            </w:pPr>
            <w:r>
              <w:rPr>
                <w:rFonts w:eastAsia="Times New Roman"/>
                <w:b/>
                <w:bCs/>
                <w:color w:val="000000"/>
                <w:sz w:val="18"/>
                <w:szCs w:val="18"/>
              </w:rPr>
              <w:t>Allowance for credit losses:</w:t>
            </w:r>
          </w:p>
        </w:tc>
        <w:tc>
          <w:tcPr>
            <w:tcW w:w="0" w:type="auto"/>
            <w:gridSpan w:val="3"/>
            <w:shd w:val="clear" w:color="auto" w:fill="CCEEFF"/>
            <w:tcMar>
              <w:top w:w="0" w:type="dxa"/>
              <w:left w:w="20" w:type="dxa"/>
              <w:bottom w:w="0" w:type="dxa"/>
              <w:right w:w="20" w:type="dxa"/>
            </w:tcMar>
            <w:vAlign w:val="center"/>
            <w:hideMark/>
          </w:tcPr>
          <w:p w14:paraId="21D3FA44"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C34C58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8B19DE"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66C589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8EF437"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3BC2A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A6CD31" w14:textId="77777777" w:rsidR="00000000" w:rsidRDefault="00405D16">
            <w:pPr>
              <w:spacing w:after="100"/>
              <w:rPr>
                <w:rFonts w:eastAsia="Times New Roman"/>
                <w:sz w:val="20"/>
                <w:szCs w:val="20"/>
              </w:rPr>
            </w:pPr>
          </w:p>
        </w:tc>
        <w:tc>
          <w:tcPr>
            <w:tcW w:w="0" w:type="auto"/>
            <w:vAlign w:val="center"/>
            <w:hideMark/>
          </w:tcPr>
          <w:p w14:paraId="651AB2CE" w14:textId="77777777" w:rsidR="00000000" w:rsidRDefault="00405D16">
            <w:pPr>
              <w:spacing w:after="100"/>
              <w:rPr>
                <w:rFonts w:eastAsia="Times New Roman"/>
                <w:sz w:val="20"/>
                <w:szCs w:val="20"/>
              </w:rPr>
            </w:pPr>
          </w:p>
        </w:tc>
        <w:tc>
          <w:tcPr>
            <w:tcW w:w="0" w:type="auto"/>
            <w:gridSpan w:val="3"/>
            <w:vAlign w:val="center"/>
            <w:hideMark/>
          </w:tcPr>
          <w:p w14:paraId="4C4A7927"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016B1B8" w14:textId="77777777" w:rsidR="00000000" w:rsidRDefault="00405D16">
            <w:pPr>
              <w:spacing w:after="100"/>
              <w:rPr>
                <w:rFonts w:eastAsia="Times New Roman"/>
                <w:sz w:val="20"/>
                <w:szCs w:val="20"/>
              </w:rPr>
            </w:pPr>
          </w:p>
        </w:tc>
      </w:tr>
      <w:tr w:rsidR="00000000" w14:paraId="62ADFD25" w14:textId="77777777">
        <w:tc>
          <w:tcPr>
            <w:tcW w:w="0" w:type="auto"/>
            <w:gridSpan w:val="3"/>
            <w:shd w:val="clear" w:color="auto" w:fill="FFFFFF"/>
            <w:tcMar>
              <w:top w:w="30" w:type="dxa"/>
              <w:left w:w="20" w:type="dxa"/>
              <w:bottom w:w="30" w:type="dxa"/>
              <w:right w:w="20" w:type="dxa"/>
            </w:tcMar>
            <w:vAlign w:val="center"/>
            <w:hideMark/>
          </w:tcPr>
          <w:p w14:paraId="3EBD4DCF" w14:textId="77777777" w:rsidR="00000000" w:rsidRDefault="00405D16">
            <w:pPr>
              <w:spacing w:after="100"/>
              <w:rPr>
                <w:rFonts w:eastAsia="Times New Roman"/>
              </w:rPr>
            </w:pPr>
            <w:r>
              <w:rPr>
                <w:rFonts w:eastAsia="Times New Roman"/>
                <w:color w:val="000000"/>
                <w:sz w:val="18"/>
                <w:szCs w:val="18"/>
              </w:rPr>
              <w:t>Balance as of December 31, 2019</w:t>
            </w:r>
          </w:p>
        </w:tc>
        <w:tc>
          <w:tcPr>
            <w:tcW w:w="0" w:type="auto"/>
            <w:gridSpan w:val="3"/>
            <w:shd w:val="clear" w:color="auto" w:fill="FFFFFF"/>
            <w:tcMar>
              <w:top w:w="0" w:type="dxa"/>
              <w:left w:w="20" w:type="dxa"/>
              <w:bottom w:w="0" w:type="dxa"/>
              <w:right w:w="20" w:type="dxa"/>
            </w:tcMar>
            <w:vAlign w:val="center"/>
            <w:hideMark/>
          </w:tcPr>
          <w:p w14:paraId="7F5EDBA2"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751CC318"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6B7569A0" w14:textId="77777777" w:rsidR="00000000" w:rsidRDefault="00405D16">
            <w:pPr>
              <w:spacing w:after="100"/>
              <w:jc w:val="right"/>
              <w:rPr>
                <w:rFonts w:eastAsia="Times New Roman"/>
              </w:rPr>
            </w:pPr>
            <w:r>
              <w:rPr>
                <w:rFonts w:eastAsia="Times New Roman"/>
                <w:color w:val="000000"/>
                <w:sz w:val="18"/>
                <w:szCs w:val="18"/>
              </w:rPr>
              <w:t>5,395 </w:t>
            </w:r>
          </w:p>
        </w:tc>
        <w:tc>
          <w:tcPr>
            <w:tcW w:w="0" w:type="auto"/>
            <w:shd w:val="clear" w:color="auto" w:fill="FFFFFF"/>
            <w:tcMar>
              <w:top w:w="30" w:type="dxa"/>
              <w:left w:w="0" w:type="dxa"/>
              <w:bottom w:w="30" w:type="dxa"/>
              <w:right w:w="20" w:type="dxa"/>
            </w:tcMar>
            <w:vAlign w:val="center"/>
            <w:hideMark/>
          </w:tcPr>
          <w:p w14:paraId="12620D5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A6CA4D"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7ABC3F0"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7388B177" w14:textId="77777777" w:rsidR="00000000" w:rsidRDefault="00405D16">
            <w:pPr>
              <w:spacing w:after="100"/>
              <w:jc w:val="right"/>
              <w:rPr>
                <w:rFonts w:eastAsia="Times New Roman"/>
              </w:rPr>
            </w:pPr>
            <w:r>
              <w:rPr>
                <w:rFonts w:eastAsia="Times New Roman"/>
                <w:color w:val="000000"/>
                <w:sz w:val="18"/>
                <w:szCs w:val="18"/>
              </w:rPr>
              <w:t>1,038 </w:t>
            </w:r>
          </w:p>
        </w:tc>
        <w:tc>
          <w:tcPr>
            <w:tcW w:w="0" w:type="auto"/>
            <w:shd w:val="clear" w:color="auto" w:fill="FFFFFF"/>
            <w:tcMar>
              <w:top w:w="30" w:type="dxa"/>
              <w:left w:w="0" w:type="dxa"/>
              <w:bottom w:w="30" w:type="dxa"/>
              <w:right w:w="20" w:type="dxa"/>
            </w:tcMar>
            <w:vAlign w:val="center"/>
            <w:hideMark/>
          </w:tcPr>
          <w:p w14:paraId="5E0D15E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0EC398"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C727549"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5E0A4DE8" w14:textId="77777777" w:rsidR="00000000" w:rsidRDefault="00405D16">
            <w:pPr>
              <w:spacing w:after="100"/>
              <w:jc w:val="right"/>
              <w:rPr>
                <w:rFonts w:eastAsia="Times New Roman"/>
              </w:rPr>
            </w:pPr>
            <w:r>
              <w:rPr>
                <w:rFonts w:eastAsia="Times New Roman"/>
                <w:color w:val="000000"/>
                <w:sz w:val="18"/>
                <w:szCs w:val="18"/>
              </w:rPr>
              <w:t>775 </w:t>
            </w:r>
          </w:p>
        </w:tc>
        <w:tc>
          <w:tcPr>
            <w:tcW w:w="0" w:type="auto"/>
            <w:shd w:val="clear" w:color="auto" w:fill="FFFFFF"/>
            <w:tcMar>
              <w:top w:w="30" w:type="dxa"/>
              <w:left w:w="0" w:type="dxa"/>
              <w:bottom w:w="30" w:type="dxa"/>
              <w:right w:w="20" w:type="dxa"/>
            </w:tcMar>
            <w:vAlign w:val="center"/>
            <w:hideMark/>
          </w:tcPr>
          <w:p w14:paraId="4C5B95B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8AB463" w14:textId="77777777" w:rsidR="00000000" w:rsidRDefault="00405D16">
            <w:pPr>
              <w:spacing w:after="100"/>
              <w:jc w:val="right"/>
              <w:rPr>
                <w:rFonts w:eastAsia="Times New Roman"/>
                <w:sz w:val="20"/>
                <w:szCs w:val="20"/>
              </w:rPr>
            </w:pPr>
          </w:p>
        </w:tc>
        <w:tc>
          <w:tcPr>
            <w:tcW w:w="0" w:type="auto"/>
            <w:vAlign w:val="center"/>
            <w:hideMark/>
          </w:tcPr>
          <w:p w14:paraId="14373B4B" w14:textId="77777777" w:rsidR="00000000" w:rsidRDefault="00405D16">
            <w:pPr>
              <w:spacing w:after="100"/>
              <w:rPr>
                <w:rFonts w:eastAsia="Times New Roman"/>
                <w:sz w:val="20"/>
                <w:szCs w:val="20"/>
              </w:rPr>
            </w:pPr>
          </w:p>
        </w:tc>
        <w:tc>
          <w:tcPr>
            <w:tcW w:w="0" w:type="auto"/>
            <w:gridSpan w:val="3"/>
            <w:vAlign w:val="center"/>
            <w:hideMark/>
          </w:tcPr>
          <w:p w14:paraId="25EA7381" w14:textId="77777777" w:rsidR="00000000" w:rsidRDefault="00405D16">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E5DEBBD"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64297D43" w14:textId="77777777" w:rsidR="00000000" w:rsidRDefault="00405D16">
            <w:pPr>
              <w:spacing w:after="100"/>
              <w:jc w:val="right"/>
              <w:rPr>
                <w:rFonts w:eastAsia="Times New Roman"/>
              </w:rPr>
            </w:pPr>
            <w:r>
              <w:rPr>
                <w:rFonts w:eastAsia="Times New Roman"/>
                <w:color w:val="000000"/>
                <w:sz w:val="18"/>
                <w:szCs w:val="18"/>
              </w:rPr>
              <w:t>7,208 </w:t>
            </w:r>
          </w:p>
        </w:tc>
        <w:tc>
          <w:tcPr>
            <w:tcW w:w="0" w:type="auto"/>
            <w:shd w:val="clear" w:color="auto" w:fill="FFFFFF"/>
            <w:tcMar>
              <w:top w:w="30" w:type="dxa"/>
              <w:left w:w="0" w:type="dxa"/>
              <w:bottom w:w="30" w:type="dxa"/>
              <w:right w:w="20" w:type="dxa"/>
            </w:tcMar>
            <w:vAlign w:val="center"/>
            <w:hideMark/>
          </w:tcPr>
          <w:p w14:paraId="26B757BF" w14:textId="77777777" w:rsidR="00000000" w:rsidRDefault="00405D16">
            <w:pPr>
              <w:spacing w:after="100"/>
              <w:jc w:val="right"/>
              <w:rPr>
                <w:rFonts w:eastAsia="Times New Roman"/>
              </w:rPr>
            </w:pPr>
          </w:p>
        </w:tc>
      </w:tr>
      <w:tr w:rsidR="00000000" w14:paraId="311D27D8" w14:textId="77777777">
        <w:tc>
          <w:tcPr>
            <w:tcW w:w="0" w:type="auto"/>
            <w:gridSpan w:val="3"/>
            <w:shd w:val="clear" w:color="auto" w:fill="CCEEFF"/>
            <w:tcMar>
              <w:top w:w="30" w:type="dxa"/>
              <w:left w:w="20" w:type="dxa"/>
              <w:bottom w:w="30" w:type="dxa"/>
              <w:right w:w="20" w:type="dxa"/>
            </w:tcMar>
            <w:vAlign w:val="bottom"/>
            <w:hideMark/>
          </w:tcPr>
          <w:p w14:paraId="47D56E93" w14:textId="77777777" w:rsidR="00000000" w:rsidRDefault="00405D16">
            <w:pPr>
              <w:spacing w:after="100"/>
              <w:rPr>
                <w:rFonts w:eastAsia="Times New Roman"/>
              </w:rPr>
            </w:pPr>
            <w:r>
              <w:rPr>
                <w:rFonts w:eastAsia="Times New Roman"/>
                <w:color w:val="000000"/>
                <w:sz w:val="18"/>
                <w:szCs w:val="18"/>
              </w:rPr>
              <w:t>Cumulative effects from adoption of the CECL standard</w:t>
            </w:r>
          </w:p>
        </w:tc>
        <w:tc>
          <w:tcPr>
            <w:tcW w:w="0" w:type="auto"/>
            <w:gridSpan w:val="3"/>
            <w:shd w:val="clear" w:color="auto" w:fill="CCEEFF"/>
            <w:tcMar>
              <w:top w:w="0" w:type="dxa"/>
              <w:left w:w="20" w:type="dxa"/>
              <w:bottom w:w="0" w:type="dxa"/>
              <w:right w:w="20" w:type="dxa"/>
            </w:tcMar>
            <w:vAlign w:val="center"/>
            <w:hideMark/>
          </w:tcPr>
          <w:p w14:paraId="61FFDA16"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F5E7248" w14:textId="77777777" w:rsidR="00000000" w:rsidRDefault="00405D16">
            <w:pPr>
              <w:spacing w:after="100"/>
              <w:jc w:val="right"/>
              <w:rPr>
                <w:rFonts w:eastAsia="Times New Roman"/>
              </w:rPr>
            </w:pPr>
            <w:r>
              <w:rPr>
                <w:rFonts w:eastAsia="Times New Roman"/>
                <w:color w:val="000000"/>
                <w:sz w:val="18"/>
                <w:szCs w:val="18"/>
              </w:rPr>
              <w:t>2,241 </w:t>
            </w:r>
          </w:p>
        </w:tc>
        <w:tc>
          <w:tcPr>
            <w:tcW w:w="0" w:type="auto"/>
            <w:shd w:val="clear" w:color="auto" w:fill="CCEEFF"/>
            <w:tcMar>
              <w:top w:w="30" w:type="dxa"/>
              <w:left w:w="0" w:type="dxa"/>
              <w:bottom w:w="30" w:type="dxa"/>
              <w:right w:w="20" w:type="dxa"/>
            </w:tcMar>
            <w:vAlign w:val="center"/>
            <w:hideMark/>
          </w:tcPr>
          <w:p w14:paraId="55530A6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C2C78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46CF256" w14:textId="77777777" w:rsidR="00000000" w:rsidRDefault="00405D16">
            <w:pPr>
              <w:spacing w:after="100"/>
              <w:jc w:val="right"/>
              <w:rPr>
                <w:rFonts w:eastAsia="Times New Roman"/>
              </w:rPr>
            </w:pPr>
            <w:r>
              <w:rPr>
                <w:rFonts w:eastAsia="Times New Roman"/>
                <w:color w:val="000000"/>
                <w:sz w:val="18"/>
                <w:szCs w:val="18"/>
              </w:rPr>
              <w:t>502 </w:t>
            </w:r>
          </w:p>
        </w:tc>
        <w:tc>
          <w:tcPr>
            <w:tcW w:w="0" w:type="auto"/>
            <w:shd w:val="clear" w:color="auto" w:fill="CCEEFF"/>
            <w:tcMar>
              <w:top w:w="30" w:type="dxa"/>
              <w:left w:w="0" w:type="dxa"/>
              <w:bottom w:w="30" w:type="dxa"/>
              <w:right w:w="20" w:type="dxa"/>
            </w:tcMar>
            <w:vAlign w:val="center"/>
            <w:hideMark/>
          </w:tcPr>
          <w:p w14:paraId="4299AFE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FED30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6F30C75" w14:textId="77777777" w:rsidR="00000000" w:rsidRDefault="00405D16">
            <w:pPr>
              <w:spacing w:after="100"/>
              <w:jc w:val="right"/>
              <w:rPr>
                <w:rFonts w:eastAsia="Times New Roman"/>
              </w:rPr>
            </w:pPr>
            <w:r>
              <w:rPr>
                <w:rFonts w:eastAsia="Times New Roman"/>
                <w:color w:val="000000"/>
                <w:sz w:val="18"/>
                <w:szCs w:val="18"/>
              </w:rPr>
              <w:t>102 </w:t>
            </w:r>
          </w:p>
        </w:tc>
        <w:tc>
          <w:tcPr>
            <w:tcW w:w="0" w:type="auto"/>
            <w:shd w:val="clear" w:color="auto" w:fill="CCEEFF"/>
            <w:tcMar>
              <w:top w:w="30" w:type="dxa"/>
              <w:left w:w="0" w:type="dxa"/>
              <w:bottom w:w="30" w:type="dxa"/>
              <w:right w:w="20" w:type="dxa"/>
            </w:tcMar>
            <w:vAlign w:val="center"/>
            <w:hideMark/>
          </w:tcPr>
          <w:p w14:paraId="6531DEE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426F89" w14:textId="77777777" w:rsidR="00000000" w:rsidRDefault="00405D16">
            <w:pPr>
              <w:spacing w:after="100"/>
              <w:jc w:val="right"/>
              <w:rPr>
                <w:rFonts w:eastAsia="Times New Roman"/>
                <w:sz w:val="20"/>
                <w:szCs w:val="20"/>
              </w:rPr>
            </w:pPr>
          </w:p>
        </w:tc>
        <w:tc>
          <w:tcPr>
            <w:tcW w:w="0" w:type="auto"/>
            <w:vAlign w:val="center"/>
            <w:hideMark/>
          </w:tcPr>
          <w:p w14:paraId="20BDA626" w14:textId="77777777" w:rsidR="00000000" w:rsidRDefault="00405D16">
            <w:pPr>
              <w:spacing w:after="100"/>
              <w:rPr>
                <w:rFonts w:eastAsia="Times New Roman"/>
                <w:sz w:val="20"/>
                <w:szCs w:val="20"/>
              </w:rPr>
            </w:pPr>
          </w:p>
        </w:tc>
        <w:tc>
          <w:tcPr>
            <w:tcW w:w="0" w:type="auto"/>
            <w:gridSpan w:val="3"/>
            <w:vAlign w:val="center"/>
            <w:hideMark/>
          </w:tcPr>
          <w:p w14:paraId="269BCF4E"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26CB276" w14:textId="77777777" w:rsidR="00000000" w:rsidRDefault="00405D16">
            <w:pPr>
              <w:spacing w:after="100"/>
              <w:jc w:val="right"/>
              <w:rPr>
                <w:rFonts w:eastAsia="Times New Roman"/>
              </w:rPr>
            </w:pPr>
            <w:r>
              <w:rPr>
                <w:rFonts w:eastAsia="Times New Roman"/>
                <w:color w:val="000000"/>
                <w:sz w:val="18"/>
                <w:szCs w:val="18"/>
              </w:rPr>
              <w:t>2,845 </w:t>
            </w:r>
          </w:p>
        </w:tc>
        <w:tc>
          <w:tcPr>
            <w:tcW w:w="0" w:type="auto"/>
            <w:shd w:val="clear" w:color="auto" w:fill="CCEEFF"/>
            <w:tcMar>
              <w:top w:w="30" w:type="dxa"/>
              <w:left w:w="0" w:type="dxa"/>
              <w:bottom w:w="30" w:type="dxa"/>
              <w:right w:w="20" w:type="dxa"/>
            </w:tcMar>
            <w:vAlign w:val="center"/>
            <w:hideMark/>
          </w:tcPr>
          <w:p w14:paraId="5F072B83" w14:textId="77777777" w:rsidR="00000000" w:rsidRDefault="00405D16">
            <w:pPr>
              <w:spacing w:after="100"/>
              <w:jc w:val="right"/>
              <w:rPr>
                <w:rFonts w:eastAsia="Times New Roman"/>
              </w:rPr>
            </w:pPr>
          </w:p>
        </w:tc>
      </w:tr>
      <w:tr w:rsidR="00000000" w14:paraId="21347334" w14:textId="77777777">
        <w:tc>
          <w:tcPr>
            <w:tcW w:w="0" w:type="auto"/>
            <w:gridSpan w:val="3"/>
            <w:shd w:val="clear" w:color="auto" w:fill="FFFFFF"/>
            <w:tcMar>
              <w:top w:w="30" w:type="dxa"/>
              <w:left w:w="20" w:type="dxa"/>
              <w:bottom w:w="30" w:type="dxa"/>
              <w:right w:w="20" w:type="dxa"/>
            </w:tcMar>
            <w:vAlign w:val="bottom"/>
            <w:hideMark/>
          </w:tcPr>
          <w:p w14:paraId="468E487C" w14:textId="77777777" w:rsidR="00000000" w:rsidRDefault="00405D16">
            <w:pPr>
              <w:spacing w:after="100"/>
              <w:divId w:val="1740597564"/>
              <w:rPr>
                <w:rFonts w:eastAsia="Times New Roman"/>
              </w:rPr>
            </w:pPr>
            <w:r>
              <w:rPr>
                <w:rFonts w:eastAsia="Times New Roman"/>
                <w:color w:val="000000"/>
                <w:sz w:val="18"/>
                <w:szCs w:val="18"/>
              </w:rPr>
              <w:t>Finance charge and fee reserve reclassificatio</w:t>
            </w:r>
            <w:r>
              <w:rPr>
                <w:rFonts w:eastAsia="Times New Roman"/>
                <w:color w:val="000000"/>
                <w:sz w:val="18"/>
                <w:szCs w:val="18"/>
              </w:rPr>
              <w:t>n</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5B7F8DAB"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76AC40B" w14:textId="77777777" w:rsidR="00000000" w:rsidRDefault="00405D16">
            <w:pPr>
              <w:spacing w:after="100"/>
              <w:jc w:val="right"/>
              <w:rPr>
                <w:rFonts w:eastAsia="Times New Roman"/>
              </w:rPr>
            </w:pPr>
            <w:r>
              <w:rPr>
                <w:rFonts w:eastAsia="Times New Roman"/>
                <w:color w:val="000000"/>
                <w:sz w:val="18"/>
                <w:szCs w:val="18"/>
              </w:rPr>
              <w:t>462 </w:t>
            </w:r>
          </w:p>
        </w:tc>
        <w:tc>
          <w:tcPr>
            <w:tcW w:w="0" w:type="auto"/>
            <w:shd w:val="clear" w:color="auto" w:fill="FFFFFF"/>
            <w:tcMar>
              <w:top w:w="30" w:type="dxa"/>
              <w:left w:w="0" w:type="dxa"/>
              <w:bottom w:w="30" w:type="dxa"/>
              <w:right w:w="20" w:type="dxa"/>
            </w:tcMar>
            <w:vAlign w:val="center"/>
            <w:hideMark/>
          </w:tcPr>
          <w:p w14:paraId="65EFBB8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FAFD1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FCC58A4"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2D7133A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D7E16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6EF857B"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5DE0C82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6A6AFD" w14:textId="77777777" w:rsidR="00000000" w:rsidRDefault="00405D16">
            <w:pPr>
              <w:spacing w:after="100"/>
              <w:jc w:val="right"/>
              <w:rPr>
                <w:rFonts w:eastAsia="Times New Roman"/>
                <w:sz w:val="20"/>
                <w:szCs w:val="20"/>
              </w:rPr>
            </w:pPr>
          </w:p>
        </w:tc>
        <w:tc>
          <w:tcPr>
            <w:tcW w:w="0" w:type="auto"/>
            <w:vAlign w:val="center"/>
            <w:hideMark/>
          </w:tcPr>
          <w:p w14:paraId="74972CF2" w14:textId="77777777" w:rsidR="00000000" w:rsidRDefault="00405D16">
            <w:pPr>
              <w:spacing w:after="100"/>
              <w:rPr>
                <w:rFonts w:eastAsia="Times New Roman"/>
                <w:sz w:val="20"/>
                <w:szCs w:val="20"/>
              </w:rPr>
            </w:pPr>
          </w:p>
        </w:tc>
        <w:tc>
          <w:tcPr>
            <w:tcW w:w="0" w:type="auto"/>
            <w:gridSpan w:val="3"/>
            <w:vAlign w:val="center"/>
            <w:hideMark/>
          </w:tcPr>
          <w:p w14:paraId="66A4333A"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44E26E4" w14:textId="77777777" w:rsidR="00000000" w:rsidRDefault="00405D16">
            <w:pPr>
              <w:spacing w:after="100"/>
              <w:jc w:val="right"/>
              <w:rPr>
                <w:rFonts w:eastAsia="Times New Roman"/>
              </w:rPr>
            </w:pPr>
            <w:r>
              <w:rPr>
                <w:rFonts w:eastAsia="Times New Roman"/>
                <w:color w:val="000000"/>
                <w:sz w:val="18"/>
                <w:szCs w:val="18"/>
              </w:rPr>
              <w:t>462 </w:t>
            </w:r>
          </w:p>
        </w:tc>
        <w:tc>
          <w:tcPr>
            <w:tcW w:w="0" w:type="auto"/>
            <w:shd w:val="clear" w:color="auto" w:fill="FFFFFF"/>
            <w:tcMar>
              <w:top w:w="30" w:type="dxa"/>
              <w:left w:w="0" w:type="dxa"/>
              <w:bottom w:w="30" w:type="dxa"/>
              <w:right w:w="20" w:type="dxa"/>
            </w:tcMar>
            <w:vAlign w:val="center"/>
            <w:hideMark/>
          </w:tcPr>
          <w:p w14:paraId="0536C51C" w14:textId="77777777" w:rsidR="00000000" w:rsidRDefault="00405D16">
            <w:pPr>
              <w:spacing w:after="100"/>
              <w:jc w:val="right"/>
              <w:rPr>
                <w:rFonts w:eastAsia="Times New Roman"/>
              </w:rPr>
            </w:pPr>
          </w:p>
        </w:tc>
      </w:tr>
      <w:tr w:rsidR="00000000" w14:paraId="5BE3FDD8" w14:textId="77777777">
        <w:tc>
          <w:tcPr>
            <w:tcW w:w="0" w:type="auto"/>
            <w:gridSpan w:val="3"/>
            <w:shd w:val="clear" w:color="auto" w:fill="CCEEFF"/>
            <w:tcMar>
              <w:top w:w="30" w:type="dxa"/>
              <w:left w:w="20" w:type="dxa"/>
              <w:bottom w:w="30" w:type="dxa"/>
              <w:right w:w="20" w:type="dxa"/>
            </w:tcMar>
            <w:vAlign w:val="bottom"/>
            <w:hideMark/>
          </w:tcPr>
          <w:p w14:paraId="743455EC" w14:textId="77777777" w:rsidR="00000000" w:rsidRDefault="00405D16">
            <w:pPr>
              <w:spacing w:after="100"/>
              <w:rPr>
                <w:rFonts w:eastAsia="Times New Roman"/>
              </w:rPr>
            </w:pPr>
            <w:r>
              <w:rPr>
                <w:rFonts w:eastAsia="Times New Roman"/>
                <w:color w:val="000000"/>
                <w:sz w:val="18"/>
                <w:szCs w:val="18"/>
              </w:rPr>
              <w:t>Balance as of January 1, 2020</w:t>
            </w:r>
          </w:p>
        </w:tc>
        <w:tc>
          <w:tcPr>
            <w:tcW w:w="0" w:type="auto"/>
            <w:gridSpan w:val="3"/>
            <w:shd w:val="clear" w:color="auto" w:fill="CCEEFF"/>
            <w:tcMar>
              <w:top w:w="0" w:type="dxa"/>
              <w:left w:w="20" w:type="dxa"/>
              <w:bottom w:w="0" w:type="dxa"/>
              <w:right w:w="20" w:type="dxa"/>
            </w:tcMar>
            <w:vAlign w:val="center"/>
            <w:hideMark/>
          </w:tcPr>
          <w:p w14:paraId="16D13C3E"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400D396" w14:textId="77777777" w:rsidR="00000000" w:rsidRDefault="00405D16">
            <w:pPr>
              <w:spacing w:after="100"/>
              <w:jc w:val="right"/>
              <w:rPr>
                <w:rFonts w:eastAsia="Times New Roman"/>
              </w:rPr>
            </w:pPr>
            <w:r>
              <w:rPr>
                <w:rFonts w:eastAsia="Times New Roman"/>
                <w:color w:val="000000"/>
                <w:sz w:val="18"/>
                <w:szCs w:val="18"/>
              </w:rPr>
              <w:t>8,098 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EC2231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CA1907"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C2F074B" w14:textId="77777777" w:rsidR="00000000" w:rsidRDefault="00405D16">
            <w:pPr>
              <w:spacing w:after="100"/>
              <w:jc w:val="right"/>
              <w:rPr>
                <w:rFonts w:eastAsia="Times New Roman"/>
              </w:rPr>
            </w:pPr>
            <w:r>
              <w:rPr>
                <w:rFonts w:eastAsia="Times New Roman"/>
                <w:color w:val="000000"/>
                <w:sz w:val="18"/>
                <w:szCs w:val="18"/>
              </w:rPr>
              <w:t>1,540 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337BBB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290B6F"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DA884C1" w14:textId="77777777" w:rsidR="00000000" w:rsidRDefault="00405D16">
            <w:pPr>
              <w:spacing w:after="100"/>
              <w:jc w:val="right"/>
              <w:rPr>
                <w:rFonts w:eastAsia="Times New Roman"/>
              </w:rPr>
            </w:pPr>
            <w:r>
              <w:rPr>
                <w:rFonts w:eastAsia="Times New Roman"/>
                <w:color w:val="000000"/>
                <w:sz w:val="18"/>
                <w:szCs w:val="18"/>
              </w:rPr>
              <w:t>877 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4F9BB6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9634DA" w14:textId="77777777" w:rsidR="00000000" w:rsidRDefault="00405D16">
            <w:pPr>
              <w:spacing w:after="100"/>
              <w:jc w:val="right"/>
              <w:rPr>
                <w:rFonts w:eastAsia="Times New Roman"/>
                <w:sz w:val="20"/>
                <w:szCs w:val="20"/>
              </w:rPr>
            </w:pPr>
          </w:p>
        </w:tc>
        <w:tc>
          <w:tcPr>
            <w:tcW w:w="0" w:type="auto"/>
            <w:vAlign w:val="center"/>
            <w:hideMark/>
          </w:tcPr>
          <w:p w14:paraId="7C768D5F" w14:textId="77777777" w:rsidR="00000000" w:rsidRDefault="00405D16">
            <w:pPr>
              <w:spacing w:after="100"/>
              <w:rPr>
                <w:rFonts w:eastAsia="Times New Roman"/>
                <w:sz w:val="20"/>
                <w:szCs w:val="20"/>
              </w:rPr>
            </w:pPr>
          </w:p>
        </w:tc>
        <w:tc>
          <w:tcPr>
            <w:tcW w:w="0" w:type="auto"/>
            <w:gridSpan w:val="3"/>
            <w:vAlign w:val="center"/>
            <w:hideMark/>
          </w:tcPr>
          <w:p w14:paraId="6B1A7137" w14:textId="77777777" w:rsidR="00000000" w:rsidRDefault="00405D16">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07646FC" w14:textId="77777777" w:rsidR="00000000" w:rsidRDefault="00405D16">
            <w:pPr>
              <w:spacing w:after="100"/>
              <w:jc w:val="right"/>
              <w:rPr>
                <w:rFonts w:eastAsia="Times New Roman"/>
              </w:rPr>
            </w:pPr>
            <w:r>
              <w:rPr>
                <w:rFonts w:eastAsia="Times New Roman"/>
                <w:color w:val="000000"/>
                <w:sz w:val="18"/>
                <w:szCs w:val="18"/>
              </w:rPr>
              <w:t>10,515 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48E2311" w14:textId="77777777" w:rsidR="00000000" w:rsidRDefault="00405D16">
            <w:pPr>
              <w:spacing w:after="100"/>
              <w:jc w:val="right"/>
              <w:rPr>
                <w:rFonts w:eastAsia="Times New Roman"/>
              </w:rPr>
            </w:pPr>
          </w:p>
        </w:tc>
      </w:tr>
      <w:tr w:rsidR="00000000" w14:paraId="61744D0C" w14:textId="77777777">
        <w:tc>
          <w:tcPr>
            <w:tcW w:w="0" w:type="auto"/>
            <w:gridSpan w:val="3"/>
            <w:shd w:val="clear" w:color="auto" w:fill="FFFFFF"/>
            <w:tcMar>
              <w:top w:w="30" w:type="dxa"/>
              <w:left w:w="20" w:type="dxa"/>
              <w:bottom w:w="30" w:type="dxa"/>
              <w:right w:w="20" w:type="dxa"/>
            </w:tcMar>
            <w:vAlign w:val="center"/>
            <w:hideMark/>
          </w:tcPr>
          <w:p w14:paraId="548E29EC" w14:textId="77777777" w:rsidR="00000000" w:rsidRDefault="00405D16">
            <w:pPr>
              <w:spacing w:after="100"/>
              <w:divId w:val="1424304105"/>
              <w:rPr>
                <w:rFonts w:eastAsia="Times New Roman"/>
              </w:rPr>
            </w:pPr>
            <w:r>
              <w:rPr>
                <w:rFonts w:eastAsia="Times New Roman"/>
                <w:color w:val="000000"/>
                <w:sz w:val="18"/>
                <w:szCs w:val="18"/>
              </w:rPr>
              <w:t>Charge-offs</w:t>
            </w:r>
          </w:p>
        </w:tc>
        <w:tc>
          <w:tcPr>
            <w:tcW w:w="0" w:type="auto"/>
            <w:gridSpan w:val="3"/>
            <w:shd w:val="clear" w:color="auto" w:fill="FFFFFF"/>
            <w:tcMar>
              <w:top w:w="0" w:type="dxa"/>
              <w:left w:w="20" w:type="dxa"/>
              <w:bottom w:w="0" w:type="dxa"/>
              <w:right w:w="20" w:type="dxa"/>
            </w:tcMar>
            <w:vAlign w:val="center"/>
            <w:hideMark/>
          </w:tcPr>
          <w:p w14:paraId="6CEB367F"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6969855" w14:textId="77777777" w:rsidR="00000000" w:rsidRDefault="00405D16">
            <w:pPr>
              <w:spacing w:after="100"/>
              <w:jc w:val="right"/>
              <w:rPr>
                <w:rFonts w:eastAsia="Times New Roman"/>
              </w:rPr>
            </w:pPr>
            <w:r>
              <w:rPr>
                <w:rFonts w:eastAsia="Times New Roman"/>
                <w:color w:val="000000"/>
                <w:sz w:val="18"/>
                <w:szCs w:val="18"/>
              </w:rPr>
              <w:t>(4,757)</w:t>
            </w:r>
          </w:p>
        </w:tc>
        <w:tc>
          <w:tcPr>
            <w:tcW w:w="0" w:type="auto"/>
            <w:shd w:val="clear" w:color="auto" w:fill="FFFFFF"/>
            <w:tcMar>
              <w:top w:w="30" w:type="dxa"/>
              <w:left w:w="0" w:type="dxa"/>
              <w:bottom w:w="30" w:type="dxa"/>
              <w:right w:w="20" w:type="dxa"/>
            </w:tcMar>
            <w:vAlign w:val="center"/>
            <w:hideMark/>
          </w:tcPr>
          <w:p w14:paraId="2A5EA17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6508A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E08DD62" w14:textId="77777777" w:rsidR="00000000" w:rsidRDefault="00405D16">
            <w:pPr>
              <w:spacing w:after="100"/>
              <w:jc w:val="right"/>
              <w:rPr>
                <w:rFonts w:eastAsia="Times New Roman"/>
              </w:rPr>
            </w:pPr>
            <w:r>
              <w:rPr>
                <w:rFonts w:eastAsia="Times New Roman"/>
                <w:color w:val="000000"/>
                <w:sz w:val="18"/>
                <w:szCs w:val="18"/>
              </w:rPr>
              <w:t>(1,207)</w:t>
            </w:r>
          </w:p>
        </w:tc>
        <w:tc>
          <w:tcPr>
            <w:tcW w:w="0" w:type="auto"/>
            <w:shd w:val="clear" w:color="auto" w:fill="FFFFFF"/>
            <w:tcMar>
              <w:top w:w="30" w:type="dxa"/>
              <w:left w:w="0" w:type="dxa"/>
              <w:bottom w:w="30" w:type="dxa"/>
              <w:right w:w="20" w:type="dxa"/>
            </w:tcMar>
            <w:vAlign w:val="center"/>
            <w:hideMark/>
          </w:tcPr>
          <w:p w14:paraId="7521CAB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6AF80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EBA99EF" w14:textId="77777777" w:rsidR="00000000" w:rsidRDefault="00405D16">
            <w:pPr>
              <w:spacing w:after="100"/>
              <w:jc w:val="right"/>
              <w:rPr>
                <w:rFonts w:eastAsia="Times New Roman"/>
              </w:rPr>
            </w:pPr>
            <w:r>
              <w:rPr>
                <w:rFonts w:eastAsia="Times New Roman"/>
                <w:color w:val="000000"/>
                <w:sz w:val="18"/>
                <w:szCs w:val="18"/>
              </w:rPr>
              <w:t>(303)</w:t>
            </w:r>
          </w:p>
        </w:tc>
        <w:tc>
          <w:tcPr>
            <w:tcW w:w="0" w:type="auto"/>
            <w:shd w:val="clear" w:color="auto" w:fill="FFFFFF"/>
            <w:tcMar>
              <w:top w:w="30" w:type="dxa"/>
              <w:left w:w="0" w:type="dxa"/>
              <w:bottom w:w="30" w:type="dxa"/>
              <w:right w:w="20" w:type="dxa"/>
            </w:tcMar>
            <w:vAlign w:val="center"/>
            <w:hideMark/>
          </w:tcPr>
          <w:p w14:paraId="77B03AC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CC56D6" w14:textId="77777777" w:rsidR="00000000" w:rsidRDefault="00405D16">
            <w:pPr>
              <w:spacing w:after="100"/>
              <w:jc w:val="right"/>
              <w:rPr>
                <w:rFonts w:eastAsia="Times New Roman"/>
                <w:sz w:val="20"/>
                <w:szCs w:val="20"/>
              </w:rPr>
            </w:pPr>
          </w:p>
        </w:tc>
        <w:tc>
          <w:tcPr>
            <w:tcW w:w="0" w:type="auto"/>
            <w:vAlign w:val="center"/>
            <w:hideMark/>
          </w:tcPr>
          <w:p w14:paraId="402C2888" w14:textId="77777777" w:rsidR="00000000" w:rsidRDefault="00405D16">
            <w:pPr>
              <w:spacing w:after="100"/>
              <w:rPr>
                <w:rFonts w:eastAsia="Times New Roman"/>
                <w:sz w:val="20"/>
                <w:szCs w:val="20"/>
              </w:rPr>
            </w:pPr>
          </w:p>
        </w:tc>
        <w:tc>
          <w:tcPr>
            <w:tcW w:w="0" w:type="auto"/>
            <w:gridSpan w:val="3"/>
            <w:vAlign w:val="center"/>
            <w:hideMark/>
          </w:tcPr>
          <w:p w14:paraId="791BCC9C"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A856965" w14:textId="77777777" w:rsidR="00000000" w:rsidRDefault="00405D16">
            <w:pPr>
              <w:spacing w:after="100"/>
              <w:jc w:val="right"/>
              <w:rPr>
                <w:rFonts w:eastAsia="Times New Roman"/>
              </w:rPr>
            </w:pPr>
            <w:r>
              <w:rPr>
                <w:rFonts w:eastAsia="Times New Roman"/>
                <w:color w:val="000000"/>
                <w:sz w:val="18"/>
                <w:szCs w:val="18"/>
              </w:rPr>
              <w:t>(6,267)</w:t>
            </w:r>
          </w:p>
        </w:tc>
        <w:tc>
          <w:tcPr>
            <w:tcW w:w="0" w:type="auto"/>
            <w:shd w:val="clear" w:color="auto" w:fill="FFFFFF"/>
            <w:tcMar>
              <w:top w:w="30" w:type="dxa"/>
              <w:left w:w="0" w:type="dxa"/>
              <w:bottom w:w="30" w:type="dxa"/>
              <w:right w:w="20" w:type="dxa"/>
            </w:tcMar>
            <w:vAlign w:val="center"/>
            <w:hideMark/>
          </w:tcPr>
          <w:p w14:paraId="2B2910C0" w14:textId="77777777" w:rsidR="00000000" w:rsidRDefault="00405D16">
            <w:pPr>
              <w:spacing w:after="100"/>
              <w:jc w:val="right"/>
              <w:rPr>
                <w:rFonts w:eastAsia="Times New Roman"/>
              </w:rPr>
            </w:pPr>
          </w:p>
        </w:tc>
      </w:tr>
      <w:tr w:rsidR="00000000" w14:paraId="40E0E93D" w14:textId="77777777">
        <w:tc>
          <w:tcPr>
            <w:tcW w:w="0" w:type="auto"/>
            <w:gridSpan w:val="3"/>
            <w:shd w:val="clear" w:color="auto" w:fill="CCEEFF"/>
            <w:tcMar>
              <w:top w:w="30" w:type="dxa"/>
              <w:left w:w="20" w:type="dxa"/>
              <w:bottom w:w="30" w:type="dxa"/>
              <w:right w:w="20" w:type="dxa"/>
            </w:tcMar>
            <w:vAlign w:val="center"/>
            <w:hideMark/>
          </w:tcPr>
          <w:p w14:paraId="45BCA126" w14:textId="77777777" w:rsidR="00000000" w:rsidRDefault="00405D16">
            <w:pPr>
              <w:spacing w:after="100"/>
              <w:divId w:val="566577350"/>
              <w:rPr>
                <w:rFonts w:eastAsia="Times New Roman"/>
              </w:rPr>
            </w:pPr>
            <w:r>
              <w:rPr>
                <w:rFonts w:eastAsia="Times New Roman"/>
                <w:color w:val="000000"/>
                <w:sz w:val="18"/>
                <w:szCs w:val="18"/>
              </w:rPr>
              <w:t>Recoverie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707EF5D6"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1A9F413" w14:textId="77777777" w:rsidR="00000000" w:rsidRDefault="00405D16">
            <w:pPr>
              <w:spacing w:after="100"/>
              <w:jc w:val="right"/>
              <w:rPr>
                <w:rFonts w:eastAsia="Times New Roman"/>
              </w:rPr>
            </w:pPr>
            <w:r>
              <w:rPr>
                <w:rFonts w:eastAsia="Times New Roman"/>
                <w:color w:val="000000"/>
                <w:sz w:val="18"/>
                <w:szCs w:val="18"/>
              </w:rPr>
              <w:t>1,167 </w:t>
            </w:r>
          </w:p>
        </w:tc>
        <w:tc>
          <w:tcPr>
            <w:tcW w:w="0" w:type="auto"/>
            <w:shd w:val="clear" w:color="auto" w:fill="CCEEFF"/>
            <w:tcMar>
              <w:top w:w="30" w:type="dxa"/>
              <w:left w:w="0" w:type="dxa"/>
              <w:bottom w:w="30" w:type="dxa"/>
              <w:right w:w="20" w:type="dxa"/>
            </w:tcMar>
            <w:vAlign w:val="center"/>
            <w:hideMark/>
          </w:tcPr>
          <w:p w14:paraId="000554F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988BC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23800AD" w14:textId="77777777" w:rsidR="00000000" w:rsidRDefault="00405D16">
            <w:pPr>
              <w:spacing w:after="100"/>
              <w:jc w:val="right"/>
              <w:rPr>
                <w:rFonts w:eastAsia="Times New Roman"/>
              </w:rPr>
            </w:pPr>
            <w:r>
              <w:rPr>
                <w:rFonts w:eastAsia="Times New Roman"/>
                <w:color w:val="000000"/>
                <w:sz w:val="18"/>
                <w:szCs w:val="18"/>
              </w:rPr>
              <w:t>721 </w:t>
            </w:r>
          </w:p>
        </w:tc>
        <w:tc>
          <w:tcPr>
            <w:tcW w:w="0" w:type="auto"/>
            <w:shd w:val="clear" w:color="auto" w:fill="CCEEFF"/>
            <w:tcMar>
              <w:top w:w="30" w:type="dxa"/>
              <w:left w:w="0" w:type="dxa"/>
              <w:bottom w:w="30" w:type="dxa"/>
              <w:right w:w="20" w:type="dxa"/>
            </w:tcMar>
            <w:vAlign w:val="center"/>
            <w:hideMark/>
          </w:tcPr>
          <w:p w14:paraId="197EE64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56290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8710AEB" w14:textId="77777777" w:rsidR="00000000" w:rsidRDefault="00405D16">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center"/>
            <w:hideMark/>
          </w:tcPr>
          <w:p w14:paraId="53BCD29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E85A1B" w14:textId="77777777" w:rsidR="00000000" w:rsidRDefault="00405D16">
            <w:pPr>
              <w:spacing w:after="100"/>
              <w:jc w:val="right"/>
              <w:rPr>
                <w:rFonts w:eastAsia="Times New Roman"/>
                <w:sz w:val="20"/>
                <w:szCs w:val="20"/>
              </w:rPr>
            </w:pPr>
          </w:p>
        </w:tc>
        <w:tc>
          <w:tcPr>
            <w:tcW w:w="0" w:type="auto"/>
            <w:vAlign w:val="center"/>
            <w:hideMark/>
          </w:tcPr>
          <w:p w14:paraId="25D57076" w14:textId="77777777" w:rsidR="00000000" w:rsidRDefault="00405D16">
            <w:pPr>
              <w:spacing w:after="100"/>
              <w:rPr>
                <w:rFonts w:eastAsia="Times New Roman"/>
                <w:sz w:val="20"/>
                <w:szCs w:val="20"/>
              </w:rPr>
            </w:pPr>
          </w:p>
        </w:tc>
        <w:tc>
          <w:tcPr>
            <w:tcW w:w="0" w:type="auto"/>
            <w:gridSpan w:val="3"/>
            <w:vAlign w:val="center"/>
            <w:hideMark/>
          </w:tcPr>
          <w:p w14:paraId="0848309E"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47DD764" w14:textId="77777777" w:rsidR="00000000" w:rsidRDefault="00405D16">
            <w:pPr>
              <w:spacing w:after="100"/>
              <w:jc w:val="right"/>
              <w:rPr>
                <w:rFonts w:eastAsia="Times New Roman"/>
              </w:rPr>
            </w:pPr>
            <w:r>
              <w:rPr>
                <w:rFonts w:eastAsia="Times New Roman"/>
                <w:color w:val="000000"/>
                <w:sz w:val="18"/>
                <w:szCs w:val="18"/>
              </w:rPr>
              <w:t>1,898 </w:t>
            </w:r>
          </w:p>
        </w:tc>
        <w:tc>
          <w:tcPr>
            <w:tcW w:w="0" w:type="auto"/>
            <w:shd w:val="clear" w:color="auto" w:fill="CCEEFF"/>
            <w:tcMar>
              <w:top w:w="30" w:type="dxa"/>
              <w:left w:w="0" w:type="dxa"/>
              <w:bottom w:w="30" w:type="dxa"/>
              <w:right w:w="20" w:type="dxa"/>
            </w:tcMar>
            <w:vAlign w:val="center"/>
            <w:hideMark/>
          </w:tcPr>
          <w:p w14:paraId="7ABD07CB" w14:textId="77777777" w:rsidR="00000000" w:rsidRDefault="00405D16">
            <w:pPr>
              <w:spacing w:after="100"/>
              <w:jc w:val="right"/>
              <w:rPr>
                <w:rFonts w:eastAsia="Times New Roman"/>
              </w:rPr>
            </w:pPr>
          </w:p>
        </w:tc>
      </w:tr>
      <w:tr w:rsidR="00000000" w14:paraId="5FB732C0" w14:textId="77777777">
        <w:tc>
          <w:tcPr>
            <w:tcW w:w="0" w:type="auto"/>
            <w:gridSpan w:val="3"/>
            <w:shd w:val="clear" w:color="auto" w:fill="FFFFFF"/>
            <w:tcMar>
              <w:top w:w="30" w:type="dxa"/>
              <w:left w:w="20" w:type="dxa"/>
              <w:bottom w:w="30" w:type="dxa"/>
              <w:right w:w="20" w:type="dxa"/>
            </w:tcMar>
            <w:vAlign w:val="center"/>
            <w:hideMark/>
          </w:tcPr>
          <w:p w14:paraId="0F60919E" w14:textId="77777777" w:rsidR="00000000" w:rsidRDefault="00405D16">
            <w:pPr>
              <w:spacing w:after="100"/>
              <w:rPr>
                <w:rFonts w:eastAsia="Times New Roman"/>
              </w:rPr>
            </w:pPr>
            <w:r>
              <w:rPr>
                <w:rFonts w:eastAsia="Times New Roman"/>
                <w:color w:val="000000"/>
                <w:sz w:val="18"/>
                <w:szCs w:val="18"/>
              </w:rPr>
              <w:t>Net charge-offs</w:t>
            </w:r>
          </w:p>
        </w:tc>
        <w:tc>
          <w:tcPr>
            <w:tcW w:w="0" w:type="auto"/>
            <w:gridSpan w:val="3"/>
            <w:shd w:val="clear" w:color="auto" w:fill="FFFFFF"/>
            <w:tcMar>
              <w:top w:w="0" w:type="dxa"/>
              <w:left w:w="20" w:type="dxa"/>
              <w:bottom w:w="0" w:type="dxa"/>
              <w:right w:w="20" w:type="dxa"/>
            </w:tcMar>
            <w:vAlign w:val="center"/>
            <w:hideMark/>
          </w:tcPr>
          <w:p w14:paraId="06BF26AE"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E3B913D" w14:textId="77777777" w:rsidR="00000000" w:rsidRDefault="00405D16">
            <w:pPr>
              <w:spacing w:after="100"/>
              <w:jc w:val="right"/>
              <w:rPr>
                <w:rFonts w:eastAsia="Times New Roman"/>
              </w:rPr>
            </w:pPr>
            <w:r>
              <w:rPr>
                <w:rFonts w:eastAsia="Times New Roman"/>
                <w:color w:val="000000"/>
                <w:sz w:val="18"/>
                <w:szCs w:val="18"/>
              </w:rPr>
              <w:t>(3,590)</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E3FBB8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0B3417"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EDA39C9" w14:textId="77777777" w:rsidR="00000000" w:rsidRDefault="00405D16">
            <w:pPr>
              <w:spacing w:after="100"/>
              <w:jc w:val="right"/>
              <w:rPr>
                <w:rFonts w:eastAsia="Times New Roman"/>
              </w:rPr>
            </w:pPr>
            <w:r>
              <w:rPr>
                <w:rFonts w:eastAsia="Times New Roman"/>
                <w:color w:val="000000"/>
                <w:sz w:val="18"/>
                <w:szCs w:val="18"/>
              </w:rPr>
              <w:t>(486)</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4E7AF5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3F200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BBBC06C" w14:textId="77777777" w:rsidR="00000000" w:rsidRDefault="00405D16">
            <w:pPr>
              <w:spacing w:after="100"/>
              <w:jc w:val="right"/>
              <w:rPr>
                <w:rFonts w:eastAsia="Times New Roman"/>
              </w:rPr>
            </w:pPr>
            <w:r>
              <w:rPr>
                <w:rFonts w:eastAsia="Times New Roman"/>
                <w:color w:val="000000"/>
                <w:sz w:val="18"/>
                <w:szCs w:val="18"/>
              </w:rPr>
              <w:t>(293)</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CD1C4F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7D96AF" w14:textId="77777777" w:rsidR="00000000" w:rsidRDefault="00405D16">
            <w:pPr>
              <w:spacing w:after="100"/>
              <w:jc w:val="right"/>
              <w:rPr>
                <w:rFonts w:eastAsia="Times New Roman"/>
                <w:sz w:val="20"/>
                <w:szCs w:val="20"/>
              </w:rPr>
            </w:pPr>
          </w:p>
        </w:tc>
        <w:tc>
          <w:tcPr>
            <w:tcW w:w="0" w:type="auto"/>
            <w:vAlign w:val="center"/>
            <w:hideMark/>
          </w:tcPr>
          <w:p w14:paraId="4B0AB3CE" w14:textId="77777777" w:rsidR="00000000" w:rsidRDefault="00405D16">
            <w:pPr>
              <w:spacing w:after="100"/>
              <w:rPr>
                <w:rFonts w:eastAsia="Times New Roman"/>
                <w:sz w:val="20"/>
                <w:szCs w:val="20"/>
              </w:rPr>
            </w:pPr>
          </w:p>
        </w:tc>
        <w:tc>
          <w:tcPr>
            <w:tcW w:w="0" w:type="auto"/>
            <w:gridSpan w:val="3"/>
            <w:vAlign w:val="center"/>
            <w:hideMark/>
          </w:tcPr>
          <w:p w14:paraId="74A0C5F7" w14:textId="77777777" w:rsidR="00000000" w:rsidRDefault="00405D16">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6D796A8" w14:textId="77777777" w:rsidR="00000000" w:rsidRDefault="00405D16">
            <w:pPr>
              <w:spacing w:after="100"/>
              <w:jc w:val="right"/>
              <w:rPr>
                <w:rFonts w:eastAsia="Times New Roman"/>
              </w:rPr>
            </w:pPr>
            <w:r>
              <w:rPr>
                <w:rFonts w:eastAsia="Times New Roman"/>
                <w:color w:val="000000"/>
                <w:sz w:val="18"/>
                <w:szCs w:val="18"/>
              </w:rPr>
              <w:t>(4,369)</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7BB83AC" w14:textId="77777777" w:rsidR="00000000" w:rsidRDefault="00405D16">
            <w:pPr>
              <w:spacing w:after="100"/>
              <w:jc w:val="right"/>
              <w:rPr>
                <w:rFonts w:eastAsia="Times New Roman"/>
              </w:rPr>
            </w:pPr>
          </w:p>
        </w:tc>
      </w:tr>
      <w:tr w:rsidR="00000000" w14:paraId="3A68ED20" w14:textId="77777777">
        <w:tc>
          <w:tcPr>
            <w:tcW w:w="0" w:type="auto"/>
            <w:gridSpan w:val="3"/>
            <w:shd w:val="clear" w:color="auto" w:fill="CCEEFF"/>
            <w:tcMar>
              <w:top w:w="30" w:type="dxa"/>
              <w:left w:w="20" w:type="dxa"/>
              <w:bottom w:w="30" w:type="dxa"/>
              <w:right w:w="20" w:type="dxa"/>
            </w:tcMar>
            <w:vAlign w:val="center"/>
            <w:hideMark/>
          </w:tcPr>
          <w:p w14:paraId="1222E4B7" w14:textId="77777777" w:rsidR="00000000" w:rsidRDefault="00405D16">
            <w:pPr>
              <w:spacing w:after="100"/>
              <w:rPr>
                <w:rFonts w:eastAsia="Times New Roman"/>
              </w:rPr>
            </w:pPr>
            <w:r>
              <w:rPr>
                <w:rFonts w:eastAsia="Times New Roman"/>
                <w:color w:val="000000"/>
                <w:sz w:val="18"/>
                <w:szCs w:val="18"/>
              </w:rPr>
              <w:t>Provision (benefit) for credit losses</w:t>
            </w:r>
          </w:p>
        </w:tc>
        <w:tc>
          <w:tcPr>
            <w:tcW w:w="0" w:type="auto"/>
            <w:gridSpan w:val="3"/>
            <w:shd w:val="clear" w:color="auto" w:fill="CCEEFF"/>
            <w:tcMar>
              <w:top w:w="0" w:type="dxa"/>
              <w:left w:w="20" w:type="dxa"/>
              <w:bottom w:w="0" w:type="dxa"/>
              <w:right w:w="20" w:type="dxa"/>
            </w:tcMar>
            <w:vAlign w:val="center"/>
            <w:hideMark/>
          </w:tcPr>
          <w:p w14:paraId="5FAD08B6"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C340BDB" w14:textId="77777777" w:rsidR="00000000" w:rsidRDefault="00405D16">
            <w:pPr>
              <w:spacing w:after="100"/>
              <w:jc w:val="right"/>
              <w:rPr>
                <w:rFonts w:eastAsia="Times New Roman"/>
              </w:rPr>
            </w:pPr>
            <w:r>
              <w:rPr>
                <w:rFonts w:eastAsia="Times New Roman"/>
                <w:color w:val="000000"/>
                <w:sz w:val="18"/>
                <w:szCs w:val="18"/>
              </w:rPr>
              <w:t>7,096 </w:t>
            </w:r>
          </w:p>
        </w:tc>
        <w:tc>
          <w:tcPr>
            <w:tcW w:w="0" w:type="auto"/>
            <w:shd w:val="clear" w:color="auto" w:fill="CCEEFF"/>
            <w:tcMar>
              <w:top w:w="30" w:type="dxa"/>
              <w:left w:w="0" w:type="dxa"/>
              <w:bottom w:w="30" w:type="dxa"/>
              <w:right w:w="20" w:type="dxa"/>
            </w:tcMar>
            <w:vAlign w:val="center"/>
            <w:hideMark/>
          </w:tcPr>
          <w:p w14:paraId="43B78CF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A72F8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FD815ED" w14:textId="77777777" w:rsidR="00000000" w:rsidRDefault="00405D16">
            <w:pPr>
              <w:spacing w:after="100"/>
              <w:jc w:val="right"/>
              <w:rPr>
                <w:rFonts w:eastAsia="Times New Roman"/>
              </w:rPr>
            </w:pPr>
            <w:r>
              <w:rPr>
                <w:rFonts w:eastAsia="Times New Roman"/>
                <w:color w:val="000000"/>
                <w:sz w:val="18"/>
                <w:szCs w:val="18"/>
              </w:rPr>
              <w:t>1,693 </w:t>
            </w:r>
          </w:p>
        </w:tc>
        <w:tc>
          <w:tcPr>
            <w:tcW w:w="0" w:type="auto"/>
            <w:shd w:val="clear" w:color="auto" w:fill="CCEEFF"/>
            <w:tcMar>
              <w:top w:w="30" w:type="dxa"/>
              <w:left w:w="0" w:type="dxa"/>
              <w:bottom w:w="30" w:type="dxa"/>
              <w:right w:w="20" w:type="dxa"/>
            </w:tcMar>
            <w:vAlign w:val="center"/>
            <w:hideMark/>
          </w:tcPr>
          <w:p w14:paraId="4FCE1FE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AAD60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1E1C714" w14:textId="77777777" w:rsidR="00000000" w:rsidRDefault="00405D16">
            <w:pPr>
              <w:spacing w:after="100"/>
              <w:jc w:val="right"/>
              <w:rPr>
                <w:rFonts w:eastAsia="Times New Roman"/>
              </w:rPr>
            </w:pPr>
            <w:r>
              <w:rPr>
                <w:rFonts w:eastAsia="Times New Roman"/>
                <w:color w:val="000000"/>
                <w:sz w:val="18"/>
                <w:szCs w:val="18"/>
              </w:rPr>
              <w:t>1,186 </w:t>
            </w:r>
          </w:p>
        </w:tc>
        <w:tc>
          <w:tcPr>
            <w:tcW w:w="0" w:type="auto"/>
            <w:shd w:val="clear" w:color="auto" w:fill="CCEEFF"/>
            <w:tcMar>
              <w:top w:w="30" w:type="dxa"/>
              <w:left w:w="0" w:type="dxa"/>
              <w:bottom w:w="30" w:type="dxa"/>
              <w:right w:w="20" w:type="dxa"/>
            </w:tcMar>
            <w:vAlign w:val="center"/>
            <w:hideMark/>
          </w:tcPr>
          <w:p w14:paraId="4D9EF96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D27B32" w14:textId="77777777" w:rsidR="00000000" w:rsidRDefault="00405D16">
            <w:pPr>
              <w:spacing w:after="100"/>
              <w:jc w:val="right"/>
              <w:rPr>
                <w:rFonts w:eastAsia="Times New Roman"/>
                <w:sz w:val="20"/>
                <w:szCs w:val="20"/>
              </w:rPr>
            </w:pPr>
          </w:p>
        </w:tc>
        <w:tc>
          <w:tcPr>
            <w:tcW w:w="0" w:type="auto"/>
            <w:vAlign w:val="center"/>
            <w:hideMark/>
          </w:tcPr>
          <w:p w14:paraId="33CD2666" w14:textId="77777777" w:rsidR="00000000" w:rsidRDefault="00405D16">
            <w:pPr>
              <w:spacing w:after="100"/>
              <w:rPr>
                <w:rFonts w:eastAsia="Times New Roman"/>
                <w:sz w:val="20"/>
                <w:szCs w:val="20"/>
              </w:rPr>
            </w:pPr>
          </w:p>
        </w:tc>
        <w:tc>
          <w:tcPr>
            <w:tcW w:w="0" w:type="auto"/>
            <w:gridSpan w:val="3"/>
            <w:vAlign w:val="center"/>
            <w:hideMark/>
          </w:tcPr>
          <w:p w14:paraId="6046ECD9"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BF919D9" w14:textId="77777777" w:rsidR="00000000" w:rsidRDefault="00405D16">
            <w:pPr>
              <w:spacing w:after="100"/>
              <w:jc w:val="right"/>
              <w:rPr>
                <w:rFonts w:eastAsia="Times New Roman"/>
              </w:rPr>
            </w:pPr>
            <w:r>
              <w:rPr>
                <w:rFonts w:eastAsia="Times New Roman"/>
                <w:color w:val="000000"/>
                <w:sz w:val="18"/>
                <w:szCs w:val="18"/>
              </w:rPr>
              <w:t>9,975 </w:t>
            </w:r>
          </w:p>
        </w:tc>
        <w:tc>
          <w:tcPr>
            <w:tcW w:w="0" w:type="auto"/>
            <w:shd w:val="clear" w:color="auto" w:fill="CCEEFF"/>
            <w:tcMar>
              <w:top w:w="30" w:type="dxa"/>
              <w:left w:w="0" w:type="dxa"/>
              <w:bottom w:w="30" w:type="dxa"/>
              <w:right w:w="20" w:type="dxa"/>
            </w:tcMar>
            <w:vAlign w:val="center"/>
            <w:hideMark/>
          </w:tcPr>
          <w:p w14:paraId="3E616B94" w14:textId="77777777" w:rsidR="00000000" w:rsidRDefault="00405D16">
            <w:pPr>
              <w:spacing w:after="100"/>
              <w:jc w:val="right"/>
              <w:rPr>
                <w:rFonts w:eastAsia="Times New Roman"/>
              </w:rPr>
            </w:pPr>
          </w:p>
        </w:tc>
      </w:tr>
      <w:tr w:rsidR="00000000" w14:paraId="754778AD" w14:textId="77777777">
        <w:tc>
          <w:tcPr>
            <w:tcW w:w="0" w:type="auto"/>
            <w:gridSpan w:val="3"/>
            <w:shd w:val="clear" w:color="auto" w:fill="FFFFFF"/>
            <w:tcMar>
              <w:top w:w="30" w:type="dxa"/>
              <w:left w:w="20" w:type="dxa"/>
              <w:bottom w:w="30" w:type="dxa"/>
              <w:right w:w="20" w:type="dxa"/>
            </w:tcMar>
            <w:vAlign w:val="center"/>
            <w:hideMark/>
          </w:tcPr>
          <w:p w14:paraId="665DAEBA" w14:textId="77777777" w:rsidR="00000000" w:rsidRDefault="00405D16">
            <w:pPr>
              <w:spacing w:after="100"/>
              <w:rPr>
                <w:rFonts w:eastAsia="Times New Roman"/>
              </w:rPr>
            </w:pPr>
            <w:r>
              <w:rPr>
                <w:rFonts w:eastAsia="Times New Roman"/>
                <w:color w:val="000000"/>
                <w:sz w:val="18"/>
                <w:szCs w:val="18"/>
              </w:rPr>
              <w:t>Allowance build (release) for credit losses</w:t>
            </w:r>
          </w:p>
        </w:tc>
        <w:tc>
          <w:tcPr>
            <w:tcW w:w="0" w:type="auto"/>
            <w:gridSpan w:val="3"/>
            <w:shd w:val="clear" w:color="auto" w:fill="FFFFFF"/>
            <w:tcMar>
              <w:top w:w="0" w:type="dxa"/>
              <w:left w:w="20" w:type="dxa"/>
              <w:bottom w:w="0" w:type="dxa"/>
              <w:right w:w="20" w:type="dxa"/>
            </w:tcMar>
            <w:vAlign w:val="center"/>
            <w:hideMark/>
          </w:tcPr>
          <w:p w14:paraId="33050810"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3131644" w14:textId="77777777" w:rsidR="00000000" w:rsidRDefault="00405D16">
            <w:pPr>
              <w:spacing w:after="100"/>
              <w:jc w:val="right"/>
              <w:rPr>
                <w:rFonts w:eastAsia="Times New Roman"/>
              </w:rPr>
            </w:pPr>
            <w:r>
              <w:rPr>
                <w:rFonts w:eastAsia="Times New Roman"/>
                <w:color w:val="000000"/>
                <w:sz w:val="18"/>
                <w:szCs w:val="18"/>
              </w:rPr>
              <w:t>3,506 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E4A215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EE035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203CAE5" w14:textId="77777777" w:rsidR="00000000" w:rsidRDefault="00405D16">
            <w:pPr>
              <w:spacing w:after="100"/>
              <w:jc w:val="right"/>
              <w:rPr>
                <w:rFonts w:eastAsia="Times New Roman"/>
              </w:rPr>
            </w:pPr>
            <w:r>
              <w:rPr>
                <w:rFonts w:eastAsia="Times New Roman"/>
                <w:color w:val="000000"/>
                <w:sz w:val="18"/>
                <w:szCs w:val="18"/>
              </w:rPr>
              <w:t>1,207 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68B914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521635"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F2AC3ED" w14:textId="77777777" w:rsidR="00000000" w:rsidRDefault="00405D16">
            <w:pPr>
              <w:spacing w:after="100"/>
              <w:jc w:val="right"/>
              <w:rPr>
                <w:rFonts w:eastAsia="Times New Roman"/>
              </w:rPr>
            </w:pPr>
            <w:r>
              <w:rPr>
                <w:rFonts w:eastAsia="Times New Roman"/>
                <w:color w:val="000000"/>
                <w:sz w:val="18"/>
                <w:szCs w:val="18"/>
              </w:rPr>
              <w:t>893 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6AB185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D09E44" w14:textId="77777777" w:rsidR="00000000" w:rsidRDefault="00405D16">
            <w:pPr>
              <w:spacing w:after="100"/>
              <w:jc w:val="right"/>
              <w:rPr>
                <w:rFonts w:eastAsia="Times New Roman"/>
                <w:sz w:val="20"/>
                <w:szCs w:val="20"/>
              </w:rPr>
            </w:pPr>
          </w:p>
        </w:tc>
        <w:tc>
          <w:tcPr>
            <w:tcW w:w="0" w:type="auto"/>
            <w:vAlign w:val="center"/>
            <w:hideMark/>
          </w:tcPr>
          <w:p w14:paraId="0A544B15" w14:textId="77777777" w:rsidR="00000000" w:rsidRDefault="00405D16">
            <w:pPr>
              <w:spacing w:after="100"/>
              <w:rPr>
                <w:rFonts w:eastAsia="Times New Roman"/>
                <w:sz w:val="20"/>
                <w:szCs w:val="20"/>
              </w:rPr>
            </w:pPr>
          </w:p>
        </w:tc>
        <w:tc>
          <w:tcPr>
            <w:tcW w:w="0" w:type="auto"/>
            <w:gridSpan w:val="3"/>
            <w:vAlign w:val="center"/>
            <w:hideMark/>
          </w:tcPr>
          <w:p w14:paraId="5ED116D4" w14:textId="77777777" w:rsidR="00000000" w:rsidRDefault="00405D16">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665B7AF" w14:textId="77777777" w:rsidR="00000000" w:rsidRDefault="00405D16">
            <w:pPr>
              <w:spacing w:after="100"/>
              <w:jc w:val="right"/>
              <w:rPr>
                <w:rFonts w:eastAsia="Times New Roman"/>
              </w:rPr>
            </w:pPr>
            <w:r>
              <w:rPr>
                <w:rFonts w:eastAsia="Times New Roman"/>
                <w:color w:val="000000"/>
                <w:sz w:val="18"/>
                <w:szCs w:val="18"/>
              </w:rPr>
              <w:t>5,606 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74460EE" w14:textId="77777777" w:rsidR="00000000" w:rsidRDefault="00405D16">
            <w:pPr>
              <w:spacing w:after="100"/>
              <w:jc w:val="right"/>
              <w:rPr>
                <w:rFonts w:eastAsia="Times New Roman"/>
              </w:rPr>
            </w:pPr>
          </w:p>
        </w:tc>
      </w:tr>
      <w:tr w:rsidR="00000000" w14:paraId="01E1A893" w14:textId="77777777">
        <w:tc>
          <w:tcPr>
            <w:tcW w:w="0" w:type="auto"/>
            <w:gridSpan w:val="3"/>
            <w:shd w:val="clear" w:color="auto" w:fill="CCEEFF"/>
            <w:tcMar>
              <w:top w:w="30" w:type="dxa"/>
              <w:left w:w="20" w:type="dxa"/>
              <w:bottom w:w="30" w:type="dxa"/>
              <w:right w:w="20" w:type="dxa"/>
            </w:tcMar>
            <w:vAlign w:val="center"/>
            <w:hideMark/>
          </w:tcPr>
          <w:p w14:paraId="51ED8C78" w14:textId="77777777" w:rsidR="00000000" w:rsidRDefault="00405D16">
            <w:pPr>
              <w:spacing w:after="100"/>
              <w:divId w:val="2070641036"/>
              <w:rPr>
                <w:rFonts w:eastAsia="Times New Roman"/>
              </w:rPr>
            </w:pPr>
            <w:r>
              <w:rPr>
                <w:rFonts w:eastAsia="Times New Roman"/>
                <w:color w:val="000000"/>
                <w:sz w:val="18"/>
                <w:szCs w:val="18"/>
              </w:rPr>
              <w:t>Other change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2132A8BE"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F805000" w14:textId="77777777" w:rsidR="00000000" w:rsidRDefault="00405D16">
            <w:pPr>
              <w:spacing w:after="100"/>
              <w:jc w:val="right"/>
              <w:rPr>
                <w:rFonts w:eastAsia="Times New Roman"/>
              </w:rPr>
            </w:pPr>
            <w:r>
              <w:rPr>
                <w:rFonts w:eastAsia="Times New Roman"/>
                <w:color w:val="000000"/>
                <w:sz w:val="18"/>
                <w:szCs w:val="18"/>
              </w:rPr>
              <w:t>8 </w:t>
            </w:r>
          </w:p>
        </w:tc>
        <w:tc>
          <w:tcPr>
            <w:tcW w:w="0" w:type="auto"/>
            <w:shd w:val="clear" w:color="auto" w:fill="CCEEFF"/>
            <w:tcMar>
              <w:top w:w="30" w:type="dxa"/>
              <w:left w:w="0" w:type="dxa"/>
              <w:bottom w:w="30" w:type="dxa"/>
              <w:right w:w="20" w:type="dxa"/>
            </w:tcMar>
            <w:vAlign w:val="center"/>
            <w:hideMark/>
          </w:tcPr>
          <w:p w14:paraId="6889D4B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B2134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C993C83"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4DB36B9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347A5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345612C"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07ADB69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4398E0" w14:textId="77777777" w:rsidR="00000000" w:rsidRDefault="00405D16">
            <w:pPr>
              <w:spacing w:after="100"/>
              <w:jc w:val="right"/>
              <w:rPr>
                <w:rFonts w:eastAsia="Times New Roman"/>
                <w:sz w:val="20"/>
                <w:szCs w:val="20"/>
              </w:rPr>
            </w:pPr>
          </w:p>
        </w:tc>
        <w:tc>
          <w:tcPr>
            <w:tcW w:w="0" w:type="auto"/>
            <w:vAlign w:val="center"/>
            <w:hideMark/>
          </w:tcPr>
          <w:p w14:paraId="724C9C2B" w14:textId="77777777" w:rsidR="00000000" w:rsidRDefault="00405D16">
            <w:pPr>
              <w:spacing w:after="100"/>
              <w:rPr>
                <w:rFonts w:eastAsia="Times New Roman"/>
                <w:sz w:val="20"/>
                <w:szCs w:val="20"/>
              </w:rPr>
            </w:pPr>
          </w:p>
        </w:tc>
        <w:tc>
          <w:tcPr>
            <w:tcW w:w="0" w:type="auto"/>
            <w:gridSpan w:val="3"/>
            <w:vAlign w:val="center"/>
            <w:hideMark/>
          </w:tcPr>
          <w:p w14:paraId="001012D0"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3AE6C57" w14:textId="77777777" w:rsidR="00000000" w:rsidRDefault="00405D16">
            <w:pPr>
              <w:spacing w:after="100"/>
              <w:jc w:val="right"/>
              <w:rPr>
                <w:rFonts w:eastAsia="Times New Roman"/>
              </w:rPr>
            </w:pPr>
            <w:r>
              <w:rPr>
                <w:rFonts w:eastAsia="Times New Roman"/>
                <w:color w:val="000000"/>
                <w:sz w:val="18"/>
                <w:szCs w:val="18"/>
              </w:rPr>
              <w:t>8 </w:t>
            </w:r>
          </w:p>
        </w:tc>
        <w:tc>
          <w:tcPr>
            <w:tcW w:w="0" w:type="auto"/>
            <w:shd w:val="clear" w:color="auto" w:fill="CCEEFF"/>
            <w:tcMar>
              <w:top w:w="30" w:type="dxa"/>
              <w:left w:w="0" w:type="dxa"/>
              <w:bottom w:w="30" w:type="dxa"/>
              <w:right w:w="20" w:type="dxa"/>
            </w:tcMar>
            <w:vAlign w:val="center"/>
            <w:hideMark/>
          </w:tcPr>
          <w:p w14:paraId="557EF09D" w14:textId="77777777" w:rsidR="00000000" w:rsidRDefault="00405D16">
            <w:pPr>
              <w:spacing w:after="100"/>
              <w:jc w:val="right"/>
              <w:rPr>
                <w:rFonts w:eastAsia="Times New Roman"/>
              </w:rPr>
            </w:pPr>
          </w:p>
        </w:tc>
      </w:tr>
      <w:tr w:rsidR="00000000" w14:paraId="671531D4" w14:textId="77777777">
        <w:tc>
          <w:tcPr>
            <w:tcW w:w="0" w:type="auto"/>
            <w:gridSpan w:val="3"/>
            <w:shd w:val="clear" w:color="auto" w:fill="FFFFFF"/>
            <w:tcMar>
              <w:top w:w="30" w:type="dxa"/>
              <w:left w:w="20" w:type="dxa"/>
              <w:bottom w:w="30" w:type="dxa"/>
              <w:right w:w="20" w:type="dxa"/>
            </w:tcMar>
            <w:vAlign w:val="center"/>
            <w:hideMark/>
          </w:tcPr>
          <w:p w14:paraId="490CC221" w14:textId="77777777" w:rsidR="00000000" w:rsidRDefault="00405D16">
            <w:pPr>
              <w:spacing w:after="100"/>
              <w:rPr>
                <w:rFonts w:eastAsia="Times New Roman"/>
              </w:rPr>
            </w:pPr>
            <w:r>
              <w:rPr>
                <w:rFonts w:eastAsia="Times New Roman"/>
                <w:color w:val="000000"/>
                <w:sz w:val="18"/>
                <w:szCs w:val="18"/>
              </w:rPr>
              <w:t>Balance as of September 30, 2020</w:t>
            </w:r>
          </w:p>
        </w:tc>
        <w:tc>
          <w:tcPr>
            <w:tcW w:w="0" w:type="auto"/>
            <w:gridSpan w:val="3"/>
            <w:shd w:val="clear" w:color="auto" w:fill="FFFFFF"/>
            <w:tcMar>
              <w:top w:w="0" w:type="dxa"/>
              <w:left w:w="20" w:type="dxa"/>
              <w:bottom w:w="0" w:type="dxa"/>
              <w:right w:w="20" w:type="dxa"/>
            </w:tcMar>
            <w:vAlign w:val="center"/>
            <w:hideMark/>
          </w:tcPr>
          <w:p w14:paraId="098044B6"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8D8A0A2" w14:textId="77777777" w:rsidR="00000000" w:rsidRDefault="00405D16">
            <w:pPr>
              <w:spacing w:after="100"/>
              <w:jc w:val="right"/>
              <w:rPr>
                <w:rFonts w:eastAsia="Times New Roman"/>
              </w:rPr>
            </w:pPr>
            <w:r>
              <w:rPr>
                <w:rFonts w:eastAsia="Times New Roman"/>
                <w:color w:val="000000"/>
                <w:sz w:val="18"/>
                <w:szCs w:val="18"/>
              </w:rPr>
              <w:t>11,612 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997284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F0822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3BD2C7E" w14:textId="77777777" w:rsidR="00000000" w:rsidRDefault="00405D16">
            <w:pPr>
              <w:spacing w:after="100"/>
              <w:jc w:val="right"/>
              <w:rPr>
                <w:rFonts w:eastAsia="Times New Roman"/>
              </w:rPr>
            </w:pPr>
            <w:r>
              <w:rPr>
                <w:rFonts w:eastAsia="Times New Roman"/>
                <w:color w:val="000000"/>
                <w:sz w:val="18"/>
                <w:szCs w:val="18"/>
              </w:rPr>
              <w:t>2,747 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B60A4F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A513E9"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8F9A15E" w14:textId="77777777" w:rsidR="00000000" w:rsidRDefault="00405D16">
            <w:pPr>
              <w:spacing w:after="100"/>
              <w:jc w:val="right"/>
              <w:rPr>
                <w:rFonts w:eastAsia="Times New Roman"/>
              </w:rPr>
            </w:pPr>
            <w:r>
              <w:rPr>
                <w:rFonts w:eastAsia="Times New Roman"/>
                <w:color w:val="000000"/>
                <w:sz w:val="18"/>
                <w:szCs w:val="18"/>
              </w:rPr>
              <w:t>1,770 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BB0772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D8E5FF" w14:textId="77777777" w:rsidR="00000000" w:rsidRDefault="00405D16">
            <w:pPr>
              <w:spacing w:after="100"/>
              <w:jc w:val="right"/>
              <w:rPr>
                <w:rFonts w:eastAsia="Times New Roman"/>
                <w:sz w:val="20"/>
                <w:szCs w:val="20"/>
              </w:rPr>
            </w:pPr>
          </w:p>
        </w:tc>
        <w:tc>
          <w:tcPr>
            <w:tcW w:w="0" w:type="auto"/>
            <w:vAlign w:val="center"/>
            <w:hideMark/>
          </w:tcPr>
          <w:p w14:paraId="3AFC29A6" w14:textId="77777777" w:rsidR="00000000" w:rsidRDefault="00405D16">
            <w:pPr>
              <w:spacing w:after="100"/>
              <w:rPr>
                <w:rFonts w:eastAsia="Times New Roman"/>
                <w:sz w:val="20"/>
                <w:szCs w:val="20"/>
              </w:rPr>
            </w:pPr>
          </w:p>
        </w:tc>
        <w:tc>
          <w:tcPr>
            <w:tcW w:w="0" w:type="auto"/>
            <w:gridSpan w:val="3"/>
            <w:vAlign w:val="center"/>
            <w:hideMark/>
          </w:tcPr>
          <w:p w14:paraId="76D6A01D" w14:textId="77777777" w:rsidR="00000000" w:rsidRDefault="00405D16">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2C97E6F" w14:textId="77777777" w:rsidR="00000000" w:rsidRDefault="00405D16">
            <w:pPr>
              <w:spacing w:after="100"/>
              <w:jc w:val="right"/>
              <w:rPr>
                <w:rFonts w:eastAsia="Times New Roman"/>
              </w:rPr>
            </w:pPr>
            <w:r>
              <w:rPr>
                <w:rFonts w:eastAsia="Times New Roman"/>
                <w:color w:val="000000"/>
                <w:sz w:val="18"/>
                <w:szCs w:val="18"/>
              </w:rPr>
              <w:t>16,129 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7043294" w14:textId="77777777" w:rsidR="00000000" w:rsidRDefault="00405D16">
            <w:pPr>
              <w:spacing w:after="100"/>
              <w:jc w:val="right"/>
              <w:rPr>
                <w:rFonts w:eastAsia="Times New Roman"/>
              </w:rPr>
            </w:pPr>
          </w:p>
        </w:tc>
      </w:tr>
      <w:tr w:rsidR="00000000" w14:paraId="3AA43B18" w14:textId="77777777">
        <w:tc>
          <w:tcPr>
            <w:tcW w:w="0" w:type="auto"/>
            <w:gridSpan w:val="3"/>
            <w:shd w:val="clear" w:color="auto" w:fill="CCEEFF"/>
            <w:tcMar>
              <w:top w:w="30" w:type="dxa"/>
              <w:left w:w="20" w:type="dxa"/>
              <w:bottom w:w="30" w:type="dxa"/>
              <w:right w:w="20" w:type="dxa"/>
            </w:tcMar>
            <w:vAlign w:val="center"/>
            <w:hideMark/>
          </w:tcPr>
          <w:p w14:paraId="33257898" w14:textId="77777777" w:rsidR="00000000" w:rsidRDefault="00405D16">
            <w:pPr>
              <w:spacing w:after="100"/>
              <w:rPr>
                <w:rFonts w:eastAsia="Times New Roman"/>
              </w:rPr>
            </w:pPr>
            <w:r>
              <w:rPr>
                <w:rFonts w:eastAsia="Times New Roman"/>
                <w:b/>
                <w:bCs/>
                <w:color w:val="000000"/>
                <w:sz w:val="18"/>
                <w:szCs w:val="18"/>
              </w:rPr>
              <w:t>Reserve for unfunded lending commitments:</w:t>
            </w:r>
          </w:p>
        </w:tc>
        <w:tc>
          <w:tcPr>
            <w:tcW w:w="0" w:type="auto"/>
            <w:gridSpan w:val="3"/>
            <w:shd w:val="clear" w:color="auto" w:fill="CCEEFF"/>
            <w:tcMar>
              <w:top w:w="0" w:type="dxa"/>
              <w:left w:w="20" w:type="dxa"/>
              <w:bottom w:w="0" w:type="dxa"/>
              <w:right w:w="20" w:type="dxa"/>
            </w:tcMar>
            <w:vAlign w:val="center"/>
            <w:hideMark/>
          </w:tcPr>
          <w:p w14:paraId="3F902C3F"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FE3C3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59B158"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7F57E3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F810EC"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AADFAC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79DA30" w14:textId="77777777" w:rsidR="00000000" w:rsidRDefault="00405D16">
            <w:pPr>
              <w:spacing w:after="100"/>
              <w:rPr>
                <w:rFonts w:eastAsia="Times New Roman"/>
                <w:sz w:val="20"/>
                <w:szCs w:val="20"/>
              </w:rPr>
            </w:pPr>
          </w:p>
        </w:tc>
        <w:tc>
          <w:tcPr>
            <w:tcW w:w="0" w:type="auto"/>
            <w:vAlign w:val="center"/>
            <w:hideMark/>
          </w:tcPr>
          <w:p w14:paraId="60B44AFD" w14:textId="77777777" w:rsidR="00000000" w:rsidRDefault="00405D16">
            <w:pPr>
              <w:spacing w:after="100"/>
              <w:rPr>
                <w:rFonts w:eastAsia="Times New Roman"/>
                <w:sz w:val="20"/>
                <w:szCs w:val="20"/>
              </w:rPr>
            </w:pPr>
          </w:p>
        </w:tc>
        <w:tc>
          <w:tcPr>
            <w:tcW w:w="0" w:type="auto"/>
            <w:gridSpan w:val="3"/>
            <w:vAlign w:val="center"/>
            <w:hideMark/>
          </w:tcPr>
          <w:p w14:paraId="7FADA6CB"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3E4C69D" w14:textId="77777777" w:rsidR="00000000" w:rsidRDefault="00405D16">
            <w:pPr>
              <w:spacing w:after="100"/>
              <w:rPr>
                <w:rFonts w:eastAsia="Times New Roman"/>
                <w:sz w:val="20"/>
                <w:szCs w:val="20"/>
              </w:rPr>
            </w:pPr>
          </w:p>
        </w:tc>
      </w:tr>
      <w:tr w:rsidR="00000000" w14:paraId="76035D18" w14:textId="77777777">
        <w:tc>
          <w:tcPr>
            <w:tcW w:w="0" w:type="auto"/>
            <w:gridSpan w:val="3"/>
            <w:shd w:val="clear" w:color="auto" w:fill="FFFFFF"/>
            <w:tcMar>
              <w:top w:w="30" w:type="dxa"/>
              <w:left w:w="20" w:type="dxa"/>
              <w:bottom w:w="30" w:type="dxa"/>
              <w:right w:w="20" w:type="dxa"/>
            </w:tcMar>
            <w:vAlign w:val="center"/>
            <w:hideMark/>
          </w:tcPr>
          <w:p w14:paraId="497BDB30" w14:textId="77777777" w:rsidR="00000000" w:rsidRDefault="00405D16">
            <w:pPr>
              <w:spacing w:after="100"/>
              <w:rPr>
                <w:rFonts w:eastAsia="Times New Roman"/>
              </w:rPr>
            </w:pPr>
            <w:r>
              <w:rPr>
                <w:rFonts w:eastAsia="Times New Roman"/>
                <w:color w:val="000000"/>
                <w:sz w:val="18"/>
                <w:szCs w:val="18"/>
              </w:rPr>
              <w:t>Balance as of December 31, 2019</w:t>
            </w:r>
          </w:p>
        </w:tc>
        <w:tc>
          <w:tcPr>
            <w:tcW w:w="0" w:type="auto"/>
            <w:gridSpan w:val="3"/>
            <w:shd w:val="clear" w:color="auto" w:fill="FFFFFF"/>
            <w:tcMar>
              <w:top w:w="0" w:type="dxa"/>
              <w:left w:w="20" w:type="dxa"/>
              <w:bottom w:w="0" w:type="dxa"/>
              <w:right w:w="20" w:type="dxa"/>
            </w:tcMar>
            <w:vAlign w:val="center"/>
            <w:hideMark/>
          </w:tcPr>
          <w:p w14:paraId="2F94A79D"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4EF1071"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1256BA2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307B2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2F17336" w14:textId="77777777" w:rsidR="00000000" w:rsidRDefault="00405D16">
            <w:pPr>
              <w:spacing w:after="100"/>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14:paraId="33DDDBF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4CB4F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6C6B1C8" w14:textId="77777777" w:rsidR="00000000" w:rsidRDefault="00405D16">
            <w:pPr>
              <w:spacing w:after="100"/>
              <w:jc w:val="right"/>
              <w:rPr>
                <w:rFonts w:eastAsia="Times New Roman"/>
              </w:rPr>
            </w:pPr>
            <w:r>
              <w:rPr>
                <w:rFonts w:eastAsia="Times New Roman"/>
                <w:color w:val="000000"/>
                <w:sz w:val="18"/>
                <w:szCs w:val="18"/>
              </w:rPr>
              <w:t>130 </w:t>
            </w:r>
          </w:p>
        </w:tc>
        <w:tc>
          <w:tcPr>
            <w:tcW w:w="0" w:type="auto"/>
            <w:shd w:val="clear" w:color="auto" w:fill="FFFFFF"/>
            <w:tcMar>
              <w:top w:w="30" w:type="dxa"/>
              <w:left w:w="0" w:type="dxa"/>
              <w:bottom w:w="30" w:type="dxa"/>
              <w:right w:w="20" w:type="dxa"/>
            </w:tcMar>
            <w:vAlign w:val="center"/>
            <w:hideMark/>
          </w:tcPr>
          <w:p w14:paraId="1F9F27E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CA0E53" w14:textId="77777777" w:rsidR="00000000" w:rsidRDefault="00405D16">
            <w:pPr>
              <w:spacing w:after="100"/>
              <w:jc w:val="right"/>
              <w:rPr>
                <w:rFonts w:eastAsia="Times New Roman"/>
                <w:sz w:val="20"/>
                <w:szCs w:val="20"/>
              </w:rPr>
            </w:pPr>
          </w:p>
        </w:tc>
        <w:tc>
          <w:tcPr>
            <w:tcW w:w="0" w:type="auto"/>
            <w:vAlign w:val="center"/>
            <w:hideMark/>
          </w:tcPr>
          <w:p w14:paraId="5D945E57" w14:textId="77777777" w:rsidR="00000000" w:rsidRDefault="00405D16">
            <w:pPr>
              <w:spacing w:after="100"/>
              <w:rPr>
                <w:rFonts w:eastAsia="Times New Roman"/>
                <w:sz w:val="20"/>
                <w:szCs w:val="20"/>
              </w:rPr>
            </w:pPr>
          </w:p>
        </w:tc>
        <w:tc>
          <w:tcPr>
            <w:tcW w:w="0" w:type="auto"/>
            <w:gridSpan w:val="3"/>
            <w:vAlign w:val="center"/>
            <w:hideMark/>
          </w:tcPr>
          <w:p w14:paraId="1FF427CB" w14:textId="77777777" w:rsidR="00000000" w:rsidRDefault="00405D1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4A757B5" w14:textId="77777777" w:rsidR="00000000" w:rsidRDefault="00405D16">
            <w:pPr>
              <w:spacing w:after="100"/>
              <w:jc w:val="right"/>
              <w:rPr>
                <w:rFonts w:eastAsia="Times New Roman"/>
              </w:rPr>
            </w:pPr>
            <w:r>
              <w:rPr>
                <w:rFonts w:eastAsia="Times New Roman"/>
                <w:color w:val="000000"/>
                <w:sz w:val="18"/>
                <w:szCs w:val="18"/>
              </w:rPr>
              <w:t>135 </w:t>
            </w:r>
          </w:p>
        </w:tc>
        <w:tc>
          <w:tcPr>
            <w:tcW w:w="0" w:type="auto"/>
            <w:shd w:val="clear" w:color="auto" w:fill="FFFFFF"/>
            <w:tcMar>
              <w:top w:w="30" w:type="dxa"/>
              <w:left w:w="0" w:type="dxa"/>
              <w:bottom w:w="30" w:type="dxa"/>
              <w:right w:w="20" w:type="dxa"/>
            </w:tcMar>
            <w:vAlign w:val="center"/>
            <w:hideMark/>
          </w:tcPr>
          <w:p w14:paraId="52DCA719" w14:textId="77777777" w:rsidR="00000000" w:rsidRDefault="00405D16">
            <w:pPr>
              <w:spacing w:after="100"/>
              <w:jc w:val="right"/>
              <w:rPr>
                <w:rFonts w:eastAsia="Times New Roman"/>
              </w:rPr>
            </w:pPr>
          </w:p>
        </w:tc>
      </w:tr>
      <w:tr w:rsidR="00000000" w14:paraId="58873C05" w14:textId="77777777">
        <w:tc>
          <w:tcPr>
            <w:tcW w:w="0" w:type="auto"/>
            <w:gridSpan w:val="3"/>
            <w:shd w:val="clear" w:color="auto" w:fill="CCEEFF"/>
            <w:tcMar>
              <w:top w:w="30" w:type="dxa"/>
              <w:left w:w="20" w:type="dxa"/>
              <w:bottom w:w="30" w:type="dxa"/>
              <w:right w:w="20" w:type="dxa"/>
            </w:tcMar>
            <w:vAlign w:val="bottom"/>
            <w:hideMark/>
          </w:tcPr>
          <w:p w14:paraId="7A175AF3" w14:textId="77777777" w:rsidR="00000000" w:rsidRDefault="00405D16">
            <w:pPr>
              <w:spacing w:after="100"/>
              <w:rPr>
                <w:rFonts w:eastAsia="Times New Roman"/>
              </w:rPr>
            </w:pPr>
            <w:r>
              <w:rPr>
                <w:rFonts w:eastAsia="Times New Roman"/>
                <w:color w:val="000000"/>
                <w:sz w:val="18"/>
                <w:szCs w:val="18"/>
              </w:rPr>
              <w:t>Cumulative effects from adoption of the CECL standard</w:t>
            </w:r>
          </w:p>
        </w:tc>
        <w:tc>
          <w:tcPr>
            <w:tcW w:w="0" w:type="auto"/>
            <w:gridSpan w:val="3"/>
            <w:shd w:val="clear" w:color="auto" w:fill="CCEEFF"/>
            <w:tcMar>
              <w:top w:w="0" w:type="dxa"/>
              <w:left w:w="20" w:type="dxa"/>
              <w:bottom w:w="0" w:type="dxa"/>
              <w:right w:w="20" w:type="dxa"/>
            </w:tcMar>
            <w:vAlign w:val="center"/>
            <w:hideMark/>
          </w:tcPr>
          <w:p w14:paraId="6D091895"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100F329"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6C7D161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C4E13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D01072C" w14:textId="77777777" w:rsidR="00000000" w:rsidRDefault="00405D16">
            <w:pPr>
              <w:spacing w:after="100"/>
              <w:jc w:val="right"/>
              <w:rPr>
                <w:rFonts w:eastAsia="Times New Roman"/>
              </w:rPr>
            </w:pPr>
            <w:r>
              <w:rPr>
                <w:rFonts w:eastAsia="Times New Roman"/>
                <w:color w:val="000000"/>
                <w:sz w:val="18"/>
                <w:szCs w:val="18"/>
              </w:rPr>
              <w:t>(5)</w:t>
            </w:r>
          </w:p>
        </w:tc>
        <w:tc>
          <w:tcPr>
            <w:tcW w:w="0" w:type="auto"/>
            <w:shd w:val="clear" w:color="auto" w:fill="CCEEFF"/>
            <w:tcMar>
              <w:top w:w="30" w:type="dxa"/>
              <w:left w:w="0" w:type="dxa"/>
              <w:bottom w:w="30" w:type="dxa"/>
              <w:right w:w="20" w:type="dxa"/>
            </w:tcMar>
            <w:vAlign w:val="center"/>
            <w:hideMark/>
          </w:tcPr>
          <w:p w14:paraId="6B7CF70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1EA64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6DDFC0A" w14:textId="77777777" w:rsidR="00000000" w:rsidRDefault="00405D16">
            <w:pPr>
              <w:spacing w:after="100"/>
              <w:jc w:val="right"/>
              <w:rPr>
                <w:rFonts w:eastAsia="Times New Roman"/>
              </w:rPr>
            </w:pPr>
            <w:r>
              <w:rPr>
                <w:rFonts w:eastAsia="Times New Roman"/>
                <w:color w:val="000000"/>
                <w:sz w:val="18"/>
                <w:szCs w:val="18"/>
              </w:rPr>
              <w:t>42 </w:t>
            </w:r>
          </w:p>
        </w:tc>
        <w:tc>
          <w:tcPr>
            <w:tcW w:w="0" w:type="auto"/>
            <w:shd w:val="clear" w:color="auto" w:fill="CCEEFF"/>
            <w:tcMar>
              <w:top w:w="30" w:type="dxa"/>
              <w:left w:w="0" w:type="dxa"/>
              <w:bottom w:w="30" w:type="dxa"/>
              <w:right w:w="20" w:type="dxa"/>
            </w:tcMar>
            <w:vAlign w:val="center"/>
            <w:hideMark/>
          </w:tcPr>
          <w:p w14:paraId="5D1AC3F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DD3E6F" w14:textId="77777777" w:rsidR="00000000" w:rsidRDefault="00405D16">
            <w:pPr>
              <w:spacing w:after="100"/>
              <w:jc w:val="right"/>
              <w:rPr>
                <w:rFonts w:eastAsia="Times New Roman"/>
                <w:sz w:val="20"/>
                <w:szCs w:val="20"/>
              </w:rPr>
            </w:pPr>
          </w:p>
        </w:tc>
        <w:tc>
          <w:tcPr>
            <w:tcW w:w="0" w:type="auto"/>
            <w:vAlign w:val="center"/>
            <w:hideMark/>
          </w:tcPr>
          <w:p w14:paraId="50B128C0" w14:textId="77777777" w:rsidR="00000000" w:rsidRDefault="00405D16">
            <w:pPr>
              <w:spacing w:after="100"/>
              <w:rPr>
                <w:rFonts w:eastAsia="Times New Roman"/>
                <w:sz w:val="20"/>
                <w:szCs w:val="20"/>
              </w:rPr>
            </w:pPr>
          </w:p>
        </w:tc>
        <w:tc>
          <w:tcPr>
            <w:tcW w:w="0" w:type="auto"/>
            <w:gridSpan w:val="3"/>
            <w:vAlign w:val="center"/>
            <w:hideMark/>
          </w:tcPr>
          <w:p w14:paraId="37753454"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665478B" w14:textId="77777777" w:rsidR="00000000" w:rsidRDefault="00405D16">
            <w:pPr>
              <w:spacing w:after="100"/>
              <w:jc w:val="right"/>
              <w:rPr>
                <w:rFonts w:eastAsia="Times New Roman"/>
              </w:rPr>
            </w:pPr>
            <w:r>
              <w:rPr>
                <w:rFonts w:eastAsia="Times New Roman"/>
                <w:color w:val="000000"/>
                <w:sz w:val="18"/>
                <w:szCs w:val="18"/>
              </w:rPr>
              <w:t>37 </w:t>
            </w:r>
          </w:p>
        </w:tc>
        <w:tc>
          <w:tcPr>
            <w:tcW w:w="0" w:type="auto"/>
            <w:shd w:val="clear" w:color="auto" w:fill="CCEEFF"/>
            <w:tcMar>
              <w:top w:w="30" w:type="dxa"/>
              <w:left w:w="0" w:type="dxa"/>
              <w:bottom w:w="30" w:type="dxa"/>
              <w:right w:w="20" w:type="dxa"/>
            </w:tcMar>
            <w:vAlign w:val="center"/>
            <w:hideMark/>
          </w:tcPr>
          <w:p w14:paraId="16766ED9" w14:textId="77777777" w:rsidR="00000000" w:rsidRDefault="00405D16">
            <w:pPr>
              <w:spacing w:after="100"/>
              <w:jc w:val="right"/>
              <w:rPr>
                <w:rFonts w:eastAsia="Times New Roman"/>
              </w:rPr>
            </w:pPr>
          </w:p>
        </w:tc>
      </w:tr>
      <w:tr w:rsidR="00000000" w14:paraId="4F8301B0" w14:textId="77777777">
        <w:tc>
          <w:tcPr>
            <w:tcW w:w="0" w:type="auto"/>
            <w:gridSpan w:val="3"/>
            <w:shd w:val="clear" w:color="auto" w:fill="FFFFFF"/>
            <w:tcMar>
              <w:top w:w="30" w:type="dxa"/>
              <w:left w:w="20" w:type="dxa"/>
              <w:bottom w:w="30" w:type="dxa"/>
              <w:right w:w="20" w:type="dxa"/>
            </w:tcMar>
            <w:vAlign w:val="bottom"/>
            <w:hideMark/>
          </w:tcPr>
          <w:p w14:paraId="571666B4" w14:textId="77777777" w:rsidR="00000000" w:rsidRDefault="00405D16">
            <w:pPr>
              <w:spacing w:after="100"/>
              <w:rPr>
                <w:rFonts w:eastAsia="Times New Roman"/>
              </w:rPr>
            </w:pPr>
            <w:r>
              <w:rPr>
                <w:rFonts w:eastAsia="Times New Roman"/>
                <w:color w:val="000000"/>
                <w:sz w:val="18"/>
                <w:szCs w:val="18"/>
              </w:rPr>
              <w:t>Balance as of January 1, 2020</w:t>
            </w:r>
          </w:p>
        </w:tc>
        <w:tc>
          <w:tcPr>
            <w:tcW w:w="0" w:type="auto"/>
            <w:gridSpan w:val="3"/>
            <w:shd w:val="clear" w:color="auto" w:fill="FFFFFF"/>
            <w:tcMar>
              <w:top w:w="0" w:type="dxa"/>
              <w:left w:w="20" w:type="dxa"/>
              <w:bottom w:w="0" w:type="dxa"/>
              <w:right w:w="20" w:type="dxa"/>
            </w:tcMar>
            <w:vAlign w:val="center"/>
            <w:hideMark/>
          </w:tcPr>
          <w:p w14:paraId="116EEDE5"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7A9303F" w14:textId="77777777" w:rsidR="00000000" w:rsidRDefault="00405D16">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0ACDAB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4FAC05"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5871A3A" w14:textId="77777777" w:rsidR="00000000" w:rsidRDefault="00405D16">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B05F7D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00D11C"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D630441" w14:textId="77777777" w:rsidR="00000000" w:rsidRDefault="00405D16">
            <w:pPr>
              <w:spacing w:after="100"/>
              <w:jc w:val="right"/>
              <w:rPr>
                <w:rFonts w:eastAsia="Times New Roman"/>
              </w:rPr>
            </w:pPr>
            <w:r>
              <w:rPr>
                <w:rFonts w:eastAsia="Times New Roman"/>
                <w:color w:val="000000"/>
                <w:sz w:val="18"/>
                <w:szCs w:val="18"/>
              </w:rPr>
              <w:t>172 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AA6E65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E052D4" w14:textId="77777777" w:rsidR="00000000" w:rsidRDefault="00405D16">
            <w:pPr>
              <w:spacing w:after="100"/>
              <w:jc w:val="right"/>
              <w:rPr>
                <w:rFonts w:eastAsia="Times New Roman"/>
                <w:sz w:val="20"/>
                <w:szCs w:val="20"/>
              </w:rPr>
            </w:pPr>
          </w:p>
        </w:tc>
        <w:tc>
          <w:tcPr>
            <w:tcW w:w="0" w:type="auto"/>
            <w:vAlign w:val="center"/>
            <w:hideMark/>
          </w:tcPr>
          <w:p w14:paraId="0BD66F27" w14:textId="77777777" w:rsidR="00000000" w:rsidRDefault="00405D16">
            <w:pPr>
              <w:spacing w:after="100"/>
              <w:rPr>
                <w:rFonts w:eastAsia="Times New Roman"/>
                <w:sz w:val="20"/>
                <w:szCs w:val="20"/>
              </w:rPr>
            </w:pPr>
          </w:p>
        </w:tc>
        <w:tc>
          <w:tcPr>
            <w:tcW w:w="0" w:type="auto"/>
            <w:gridSpan w:val="3"/>
            <w:vAlign w:val="center"/>
            <w:hideMark/>
          </w:tcPr>
          <w:p w14:paraId="3C72E071" w14:textId="77777777" w:rsidR="00000000" w:rsidRDefault="00405D16">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E192E83" w14:textId="77777777" w:rsidR="00000000" w:rsidRDefault="00405D16">
            <w:pPr>
              <w:spacing w:after="100"/>
              <w:jc w:val="right"/>
              <w:rPr>
                <w:rFonts w:eastAsia="Times New Roman"/>
              </w:rPr>
            </w:pPr>
            <w:r>
              <w:rPr>
                <w:rFonts w:eastAsia="Times New Roman"/>
                <w:color w:val="000000"/>
                <w:sz w:val="18"/>
                <w:szCs w:val="18"/>
              </w:rPr>
              <w:t>172 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71A1ACD" w14:textId="77777777" w:rsidR="00000000" w:rsidRDefault="00405D16">
            <w:pPr>
              <w:spacing w:after="100"/>
              <w:jc w:val="right"/>
              <w:rPr>
                <w:rFonts w:eastAsia="Times New Roman"/>
              </w:rPr>
            </w:pPr>
          </w:p>
        </w:tc>
      </w:tr>
      <w:tr w:rsidR="00000000" w14:paraId="4F05160E" w14:textId="77777777">
        <w:tc>
          <w:tcPr>
            <w:tcW w:w="0" w:type="auto"/>
            <w:gridSpan w:val="3"/>
            <w:shd w:val="clear" w:color="auto" w:fill="CCEEFF"/>
            <w:tcMar>
              <w:top w:w="30" w:type="dxa"/>
              <w:left w:w="20" w:type="dxa"/>
              <w:bottom w:w="30" w:type="dxa"/>
              <w:right w:w="20" w:type="dxa"/>
            </w:tcMar>
            <w:vAlign w:val="center"/>
            <w:hideMark/>
          </w:tcPr>
          <w:p w14:paraId="6FE4A742" w14:textId="77777777" w:rsidR="00000000" w:rsidRDefault="00405D16">
            <w:pPr>
              <w:spacing w:after="100"/>
              <w:rPr>
                <w:rFonts w:eastAsia="Times New Roman"/>
              </w:rPr>
            </w:pPr>
            <w:r>
              <w:rPr>
                <w:rFonts w:eastAsia="Times New Roman"/>
                <w:color w:val="000000"/>
                <w:sz w:val="18"/>
                <w:szCs w:val="18"/>
              </w:rPr>
              <w:t>Provision (benefit) for losses on unfunded lending commitments</w:t>
            </w:r>
          </w:p>
        </w:tc>
        <w:tc>
          <w:tcPr>
            <w:tcW w:w="0" w:type="auto"/>
            <w:gridSpan w:val="3"/>
            <w:shd w:val="clear" w:color="auto" w:fill="CCEEFF"/>
            <w:tcMar>
              <w:top w:w="0" w:type="dxa"/>
              <w:left w:w="20" w:type="dxa"/>
              <w:bottom w:w="0" w:type="dxa"/>
              <w:right w:w="20" w:type="dxa"/>
            </w:tcMar>
            <w:vAlign w:val="center"/>
            <w:hideMark/>
          </w:tcPr>
          <w:p w14:paraId="31F18584"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99BDA38"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0B0F51D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C3611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371CF10"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1021426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FD15A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6337B69" w14:textId="77777777" w:rsidR="00000000" w:rsidRDefault="00405D16">
            <w:pPr>
              <w:spacing w:after="100"/>
              <w:jc w:val="right"/>
              <w:rPr>
                <w:rFonts w:eastAsia="Times New Roman"/>
              </w:rPr>
            </w:pPr>
            <w:r>
              <w:rPr>
                <w:rFonts w:eastAsia="Times New Roman"/>
                <w:color w:val="000000"/>
                <w:sz w:val="18"/>
                <w:szCs w:val="18"/>
              </w:rPr>
              <w:t>23 </w:t>
            </w:r>
          </w:p>
        </w:tc>
        <w:tc>
          <w:tcPr>
            <w:tcW w:w="0" w:type="auto"/>
            <w:shd w:val="clear" w:color="auto" w:fill="CCEEFF"/>
            <w:tcMar>
              <w:top w:w="30" w:type="dxa"/>
              <w:left w:w="0" w:type="dxa"/>
              <w:bottom w:w="30" w:type="dxa"/>
              <w:right w:w="20" w:type="dxa"/>
            </w:tcMar>
            <w:vAlign w:val="center"/>
            <w:hideMark/>
          </w:tcPr>
          <w:p w14:paraId="50122E4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865067" w14:textId="77777777" w:rsidR="00000000" w:rsidRDefault="00405D16">
            <w:pPr>
              <w:spacing w:after="100"/>
              <w:jc w:val="right"/>
              <w:rPr>
                <w:rFonts w:eastAsia="Times New Roman"/>
                <w:sz w:val="20"/>
                <w:szCs w:val="20"/>
              </w:rPr>
            </w:pPr>
          </w:p>
        </w:tc>
        <w:tc>
          <w:tcPr>
            <w:tcW w:w="0" w:type="auto"/>
            <w:vAlign w:val="center"/>
            <w:hideMark/>
          </w:tcPr>
          <w:p w14:paraId="0FC76DDE" w14:textId="77777777" w:rsidR="00000000" w:rsidRDefault="00405D16">
            <w:pPr>
              <w:spacing w:after="100"/>
              <w:rPr>
                <w:rFonts w:eastAsia="Times New Roman"/>
                <w:sz w:val="20"/>
                <w:szCs w:val="20"/>
              </w:rPr>
            </w:pPr>
          </w:p>
        </w:tc>
        <w:tc>
          <w:tcPr>
            <w:tcW w:w="0" w:type="auto"/>
            <w:gridSpan w:val="3"/>
            <w:vAlign w:val="center"/>
            <w:hideMark/>
          </w:tcPr>
          <w:p w14:paraId="70CE8715" w14:textId="77777777" w:rsidR="00000000" w:rsidRDefault="00405D1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E211BA0" w14:textId="77777777" w:rsidR="00000000" w:rsidRDefault="00405D16">
            <w:pPr>
              <w:spacing w:after="100"/>
              <w:jc w:val="right"/>
              <w:rPr>
                <w:rFonts w:eastAsia="Times New Roman"/>
              </w:rPr>
            </w:pPr>
            <w:r>
              <w:rPr>
                <w:rFonts w:eastAsia="Times New Roman"/>
                <w:color w:val="000000"/>
                <w:sz w:val="18"/>
                <w:szCs w:val="18"/>
              </w:rPr>
              <w:t>23 </w:t>
            </w:r>
          </w:p>
        </w:tc>
        <w:tc>
          <w:tcPr>
            <w:tcW w:w="0" w:type="auto"/>
            <w:shd w:val="clear" w:color="auto" w:fill="CCEEFF"/>
            <w:tcMar>
              <w:top w:w="30" w:type="dxa"/>
              <w:left w:w="0" w:type="dxa"/>
              <w:bottom w:w="30" w:type="dxa"/>
              <w:right w:w="20" w:type="dxa"/>
            </w:tcMar>
            <w:vAlign w:val="center"/>
            <w:hideMark/>
          </w:tcPr>
          <w:p w14:paraId="172DB1A7" w14:textId="77777777" w:rsidR="00000000" w:rsidRDefault="00405D16">
            <w:pPr>
              <w:spacing w:after="100"/>
              <w:jc w:val="right"/>
              <w:rPr>
                <w:rFonts w:eastAsia="Times New Roman"/>
              </w:rPr>
            </w:pPr>
          </w:p>
        </w:tc>
      </w:tr>
      <w:tr w:rsidR="00000000" w14:paraId="0B7BE41F" w14:textId="77777777">
        <w:tc>
          <w:tcPr>
            <w:tcW w:w="0" w:type="auto"/>
            <w:gridSpan w:val="3"/>
            <w:shd w:val="clear" w:color="auto" w:fill="FFFFFF"/>
            <w:tcMar>
              <w:top w:w="30" w:type="dxa"/>
              <w:left w:w="20" w:type="dxa"/>
              <w:bottom w:w="30" w:type="dxa"/>
              <w:right w:w="20" w:type="dxa"/>
            </w:tcMar>
            <w:vAlign w:val="center"/>
            <w:hideMark/>
          </w:tcPr>
          <w:p w14:paraId="112BEE61" w14:textId="77777777" w:rsidR="00000000" w:rsidRDefault="00405D16">
            <w:pPr>
              <w:spacing w:after="100"/>
              <w:rPr>
                <w:rFonts w:eastAsia="Times New Roman"/>
              </w:rPr>
            </w:pPr>
            <w:r>
              <w:rPr>
                <w:rFonts w:eastAsia="Times New Roman"/>
                <w:color w:val="000000"/>
                <w:sz w:val="18"/>
                <w:szCs w:val="18"/>
              </w:rPr>
              <w:t>Balance as of September 30, 2020</w:t>
            </w:r>
          </w:p>
        </w:tc>
        <w:tc>
          <w:tcPr>
            <w:tcW w:w="0" w:type="auto"/>
            <w:gridSpan w:val="3"/>
            <w:shd w:val="clear" w:color="auto" w:fill="FFFFFF"/>
            <w:tcMar>
              <w:top w:w="0" w:type="dxa"/>
              <w:left w:w="20" w:type="dxa"/>
              <w:bottom w:w="0" w:type="dxa"/>
              <w:right w:w="20" w:type="dxa"/>
            </w:tcMar>
            <w:vAlign w:val="center"/>
            <w:hideMark/>
          </w:tcPr>
          <w:p w14:paraId="5D64CA2A"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EAC9FAB" w14:textId="77777777" w:rsidR="00000000" w:rsidRDefault="00405D16">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F76715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E6C0C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87EE956" w14:textId="77777777" w:rsidR="00000000" w:rsidRDefault="00405D16">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7CA6DE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E7BCD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4456B17" w14:textId="77777777" w:rsidR="00000000" w:rsidRDefault="00405D16">
            <w:pPr>
              <w:spacing w:after="100"/>
              <w:jc w:val="right"/>
              <w:rPr>
                <w:rFonts w:eastAsia="Times New Roman"/>
              </w:rPr>
            </w:pPr>
            <w:r>
              <w:rPr>
                <w:rFonts w:eastAsia="Times New Roman"/>
                <w:color w:val="000000"/>
                <w:sz w:val="18"/>
                <w:szCs w:val="18"/>
              </w:rPr>
              <w:t>195 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62A0E0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69C125" w14:textId="77777777" w:rsidR="00000000" w:rsidRDefault="00405D16">
            <w:pPr>
              <w:spacing w:after="100"/>
              <w:jc w:val="right"/>
              <w:rPr>
                <w:rFonts w:eastAsia="Times New Roman"/>
                <w:sz w:val="20"/>
                <w:szCs w:val="20"/>
              </w:rPr>
            </w:pPr>
          </w:p>
        </w:tc>
        <w:tc>
          <w:tcPr>
            <w:tcW w:w="0" w:type="auto"/>
            <w:vAlign w:val="center"/>
            <w:hideMark/>
          </w:tcPr>
          <w:p w14:paraId="322379AA" w14:textId="77777777" w:rsidR="00000000" w:rsidRDefault="00405D16">
            <w:pPr>
              <w:spacing w:after="100"/>
              <w:rPr>
                <w:rFonts w:eastAsia="Times New Roman"/>
                <w:sz w:val="20"/>
                <w:szCs w:val="20"/>
              </w:rPr>
            </w:pPr>
          </w:p>
        </w:tc>
        <w:tc>
          <w:tcPr>
            <w:tcW w:w="0" w:type="auto"/>
            <w:gridSpan w:val="3"/>
            <w:vAlign w:val="center"/>
            <w:hideMark/>
          </w:tcPr>
          <w:p w14:paraId="15FF44B4" w14:textId="77777777" w:rsidR="00000000" w:rsidRDefault="00405D16">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CFB6DFA" w14:textId="77777777" w:rsidR="00000000" w:rsidRDefault="00405D16">
            <w:pPr>
              <w:spacing w:after="100"/>
              <w:jc w:val="right"/>
              <w:rPr>
                <w:rFonts w:eastAsia="Times New Roman"/>
              </w:rPr>
            </w:pPr>
            <w:r>
              <w:rPr>
                <w:rFonts w:eastAsia="Times New Roman"/>
                <w:color w:val="000000"/>
                <w:sz w:val="18"/>
                <w:szCs w:val="18"/>
              </w:rPr>
              <w:t>195 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4B6FFB0" w14:textId="77777777" w:rsidR="00000000" w:rsidRDefault="00405D16">
            <w:pPr>
              <w:spacing w:after="100"/>
              <w:jc w:val="right"/>
              <w:rPr>
                <w:rFonts w:eastAsia="Times New Roman"/>
              </w:rPr>
            </w:pPr>
          </w:p>
        </w:tc>
      </w:tr>
      <w:tr w:rsidR="00000000" w14:paraId="105E68C1" w14:textId="77777777">
        <w:tc>
          <w:tcPr>
            <w:tcW w:w="0" w:type="auto"/>
            <w:gridSpan w:val="3"/>
            <w:shd w:val="clear" w:color="auto" w:fill="CCEEFF"/>
            <w:tcMar>
              <w:top w:w="30" w:type="dxa"/>
              <w:left w:w="20" w:type="dxa"/>
              <w:bottom w:w="30" w:type="dxa"/>
              <w:right w:w="20" w:type="dxa"/>
            </w:tcMar>
            <w:vAlign w:val="center"/>
            <w:hideMark/>
          </w:tcPr>
          <w:p w14:paraId="2AEB434B" w14:textId="77777777" w:rsidR="00000000" w:rsidRDefault="00405D16">
            <w:pPr>
              <w:spacing w:after="100"/>
              <w:rPr>
                <w:rFonts w:eastAsia="Times New Roman"/>
              </w:rPr>
            </w:pPr>
            <w:r>
              <w:rPr>
                <w:rFonts w:eastAsia="Times New Roman"/>
                <w:b/>
                <w:bCs/>
                <w:color w:val="000000"/>
                <w:sz w:val="18"/>
                <w:szCs w:val="18"/>
              </w:rPr>
              <w:t>Combined allowance and reserve as of September 30, 2020</w:t>
            </w:r>
          </w:p>
        </w:tc>
        <w:tc>
          <w:tcPr>
            <w:tcW w:w="0" w:type="auto"/>
            <w:gridSpan w:val="3"/>
            <w:shd w:val="clear" w:color="auto" w:fill="CCEEFF"/>
            <w:tcMar>
              <w:top w:w="0" w:type="dxa"/>
              <w:left w:w="20" w:type="dxa"/>
              <w:bottom w:w="0" w:type="dxa"/>
              <w:right w:w="20" w:type="dxa"/>
            </w:tcMar>
            <w:vAlign w:val="center"/>
            <w:hideMark/>
          </w:tcPr>
          <w:p w14:paraId="1E815968"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34FB75B"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43A1054" w14:textId="77777777" w:rsidR="00000000" w:rsidRDefault="00405D16">
            <w:pPr>
              <w:spacing w:after="100"/>
              <w:jc w:val="right"/>
              <w:rPr>
                <w:rFonts w:eastAsia="Times New Roman"/>
              </w:rPr>
            </w:pPr>
            <w:r>
              <w:rPr>
                <w:rFonts w:eastAsia="Times New Roman"/>
                <w:color w:val="000000"/>
                <w:sz w:val="18"/>
                <w:szCs w:val="18"/>
              </w:rPr>
              <w:t>11,612 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2911A1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A1D6D1"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02BAE533"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6F77DC3" w14:textId="77777777" w:rsidR="00000000" w:rsidRDefault="00405D16">
            <w:pPr>
              <w:spacing w:after="100"/>
              <w:jc w:val="right"/>
              <w:rPr>
                <w:rFonts w:eastAsia="Times New Roman"/>
              </w:rPr>
            </w:pPr>
            <w:r>
              <w:rPr>
                <w:rFonts w:eastAsia="Times New Roman"/>
                <w:color w:val="000000"/>
                <w:sz w:val="18"/>
                <w:szCs w:val="18"/>
              </w:rPr>
              <w:t>2,747 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FA0906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D1E70F"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89A2AA6"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D631A6A" w14:textId="77777777" w:rsidR="00000000" w:rsidRDefault="00405D16">
            <w:pPr>
              <w:spacing w:after="100"/>
              <w:jc w:val="right"/>
              <w:rPr>
                <w:rFonts w:eastAsia="Times New Roman"/>
              </w:rPr>
            </w:pPr>
            <w:r>
              <w:rPr>
                <w:rFonts w:eastAsia="Times New Roman"/>
                <w:color w:val="000000"/>
                <w:sz w:val="18"/>
                <w:szCs w:val="18"/>
              </w:rPr>
              <w:t>1,965 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DF934F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70D2A0" w14:textId="77777777" w:rsidR="00000000" w:rsidRDefault="00405D16">
            <w:pPr>
              <w:spacing w:after="100"/>
              <w:jc w:val="right"/>
              <w:rPr>
                <w:rFonts w:eastAsia="Times New Roman"/>
                <w:sz w:val="20"/>
                <w:szCs w:val="20"/>
              </w:rPr>
            </w:pPr>
          </w:p>
        </w:tc>
        <w:tc>
          <w:tcPr>
            <w:tcW w:w="0" w:type="auto"/>
            <w:vAlign w:val="center"/>
            <w:hideMark/>
          </w:tcPr>
          <w:p w14:paraId="5F4D0C48" w14:textId="77777777" w:rsidR="00000000" w:rsidRDefault="00405D16">
            <w:pPr>
              <w:spacing w:after="100"/>
              <w:rPr>
                <w:rFonts w:eastAsia="Times New Roman"/>
                <w:sz w:val="20"/>
                <w:szCs w:val="20"/>
              </w:rPr>
            </w:pPr>
          </w:p>
        </w:tc>
        <w:tc>
          <w:tcPr>
            <w:tcW w:w="0" w:type="auto"/>
            <w:gridSpan w:val="3"/>
            <w:vAlign w:val="center"/>
            <w:hideMark/>
          </w:tcPr>
          <w:p w14:paraId="29DCFCED" w14:textId="77777777" w:rsidR="00000000" w:rsidRDefault="00405D16">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DDFD09D"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E52D993" w14:textId="77777777" w:rsidR="00000000" w:rsidRDefault="00405D16">
            <w:pPr>
              <w:spacing w:after="100"/>
              <w:jc w:val="right"/>
              <w:rPr>
                <w:rFonts w:eastAsia="Times New Roman"/>
              </w:rPr>
            </w:pPr>
            <w:r>
              <w:rPr>
                <w:rFonts w:eastAsia="Times New Roman"/>
                <w:color w:val="000000"/>
                <w:sz w:val="18"/>
                <w:szCs w:val="18"/>
              </w:rPr>
              <w:t>16,324 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B719B45" w14:textId="77777777" w:rsidR="00000000" w:rsidRDefault="00405D16">
            <w:pPr>
              <w:spacing w:after="100"/>
              <w:jc w:val="right"/>
              <w:rPr>
                <w:rFonts w:eastAsia="Times New Roman"/>
              </w:rPr>
            </w:pPr>
          </w:p>
        </w:tc>
      </w:tr>
    </w:tbl>
    <w:p w14:paraId="10E580EB" w14:textId="77777777" w:rsidR="00000000" w:rsidRDefault="00405D16">
      <w:pPr>
        <w:jc w:val="both"/>
        <w:rPr>
          <w:rFonts w:eastAsia="Times New Roman"/>
        </w:rPr>
      </w:pPr>
      <w:r>
        <w:rPr>
          <w:rFonts w:eastAsia="Times New Roman"/>
          <w:color w:val="000000"/>
          <w:sz w:val="20"/>
          <w:szCs w:val="20"/>
        </w:rPr>
        <w:t>__________</w:t>
      </w:r>
    </w:p>
    <w:p w14:paraId="4F8F71D1" w14:textId="77777777" w:rsidR="00000000" w:rsidRDefault="00405D16">
      <w:pPr>
        <w:ind w:hanging="360"/>
        <w:jc w:val="both"/>
        <w:divId w:val="66663579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The amount and timing of recoveries are impacted by our collection strategies, which are based on customer behavior and risk profile and include direct customer communications, repossession of collateral, the periodic sale of charged off loans as well as a</w:t>
      </w:r>
      <w:r>
        <w:rPr>
          <w:rFonts w:eastAsia="Times New Roman"/>
          <w:color w:val="000000"/>
          <w:sz w:val="16"/>
          <w:szCs w:val="16"/>
        </w:rPr>
        <w:t xml:space="preserve">dditional strategies, such as litigation. </w:t>
      </w:r>
    </w:p>
    <w:p w14:paraId="4D0E2C7A" w14:textId="77777777" w:rsidR="00000000" w:rsidRDefault="00405D16">
      <w:pPr>
        <w:ind w:hanging="360"/>
        <w:jc w:val="both"/>
        <w:divId w:val="1016232886"/>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Represents foreign currency translation adjustments.</w:t>
      </w:r>
    </w:p>
    <w:p w14:paraId="33CD1E16" w14:textId="77777777" w:rsidR="00000000" w:rsidRDefault="00405D16">
      <w:pPr>
        <w:ind w:hanging="360"/>
        <w:jc w:val="both"/>
        <w:divId w:val="331178031"/>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Concurrent with our adoption of the CECL standard in the first quarter of 2020, we reclassified our finance charge and fee reserve to our allowance for cr</w:t>
      </w:r>
      <w:r>
        <w:rPr>
          <w:rFonts w:eastAsia="Times New Roman"/>
          <w:color w:val="000000"/>
          <w:sz w:val="16"/>
          <w:szCs w:val="16"/>
        </w:rPr>
        <w:t>edit losses, with a corresponding increase to credit card loans held for investment.</w:t>
      </w:r>
    </w:p>
    <w:p w14:paraId="5F07FCB2" w14:textId="77777777" w:rsidR="00000000" w:rsidRDefault="00405D16">
      <w:pPr>
        <w:ind w:hanging="360"/>
        <w:jc w:val="both"/>
        <w:divId w:val="448476915"/>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Represents foreign currency translation adjustments and an initial allowance for purchased credit-deteriorated loans of $6 million.</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5521F8D4" w14:textId="77777777">
        <w:trPr>
          <w:divId w:val="631598756"/>
          <w:jc w:val="center"/>
        </w:trPr>
        <w:tc>
          <w:tcPr>
            <w:tcW w:w="50" w:type="pct"/>
            <w:vAlign w:val="center"/>
            <w:hideMark/>
          </w:tcPr>
          <w:p w14:paraId="5076162D" w14:textId="77777777" w:rsidR="00000000" w:rsidRDefault="00405D16">
            <w:pPr>
              <w:ind w:hanging="360"/>
              <w:jc w:val="both"/>
              <w:rPr>
                <w:rFonts w:eastAsia="Times New Roman"/>
              </w:rPr>
            </w:pPr>
          </w:p>
        </w:tc>
        <w:tc>
          <w:tcPr>
            <w:tcW w:w="1606" w:type="pct"/>
            <w:vAlign w:val="center"/>
            <w:hideMark/>
          </w:tcPr>
          <w:p w14:paraId="5D3D8A32" w14:textId="77777777" w:rsidR="00000000" w:rsidRDefault="00405D16">
            <w:pPr>
              <w:spacing w:after="100"/>
              <w:rPr>
                <w:rFonts w:eastAsia="Times New Roman"/>
                <w:sz w:val="20"/>
                <w:szCs w:val="20"/>
              </w:rPr>
            </w:pPr>
          </w:p>
        </w:tc>
        <w:tc>
          <w:tcPr>
            <w:tcW w:w="5" w:type="pct"/>
            <w:vAlign w:val="center"/>
            <w:hideMark/>
          </w:tcPr>
          <w:p w14:paraId="1CEB95CE" w14:textId="77777777" w:rsidR="00000000" w:rsidRDefault="00405D16">
            <w:pPr>
              <w:spacing w:after="100"/>
              <w:rPr>
                <w:rFonts w:eastAsia="Times New Roman"/>
                <w:sz w:val="20"/>
                <w:szCs w:val="20"/>
              </w:rPr>
            </w:pPr>
          </w:p>
        </w:tc>
        <w:tc>
          <w:tcPr>
            <w:tcW w:w="50" w:type="pct"/>
            <w:vAlign w:val="center"/>
            <w:hideMark/>
          </w:tcPr>
          <w:p w14:paraId="14DEBA0F" w14:textId="77777777" w:rsidR="00000000" w:rsidRDefault="00405D16">
            <w:pPr>
              <w:spacing w:after="100"/>
              <w:rPr>
                <w:rFonts w:eastAsia="Times New Roman"/>
                <w:sz w:val="20"/>
                <w:szCs w:val="20"/>
              </w:rPr>
            </w:pPr>
          </w:p>
        </w:tc>
        <w:tc>
          <w:tcPr>
            <w:tcW w:w="1614" w:type="pct"/>
            <w:vAlign w:val="center"/>
            <w:hideMark/>
          </w:tcPr>
          <w:p w14:paraId="3F948A18" w14:textId="77777777" w:rsidR="00000000" w:rsidRDefault="00405D16">
            <w:pPr>
              <w:spacing w:after="100"/>
              <w:rPr>
                <w:rFonts w:eastAsia="Times New Roman"/>
                <w:sz w:val="20"/>
                <w:szCs w:val="20"/>
              </w:rPr>
            </w:pPr>
          </w:p>
        </w:tc>
        <w:tc>
          <w:tcPr>
            <w:tcW w:w="5" w:type="pct"/>
            <w:vAlign w:val="center"/>
            <w:hideMark/>
          </w:tcPr>
          <w:p w14:paraId="4082A0D9" w14:textId="77777777" w:rsidR="00000000" w:rsidRDefault="00405D16">
            <w:pPr>
              <w:spacing w:after="100"/>
              <w:rPr>
                <w:rFonts w:eastAsia="Times New Roman"/>
                <w:sz w:val="20"/>
                <w:szCs w:val="20"/>
              </w:rPr>
            </w:pPr>
          </w:p>
        </w:tc>
        <w:tc>
          <w:tcPr>
            <w:tcW w:w="50" w:type="pct"/>
            <w:vAlign w:val="center"/>
            <w:hideMark/>
          </w:tcPr>
          <w:p w14:paraId="6E616E69" w14:textId="77777777" w:rsidR="00000000" w:rsidRDefault="00405D16">
            <w:pPr>
              <w:spacing w:after="100"/>
              <w:rPr>
                <w:rFonts w:eastAsia="Times New Roman"/>
                <w:sz w:val="20"/>
                <w:szCs w:val="20"/>
              </w:rPr>
            </w:pPr>
          </w:p>
        </w:tc>
        <w:tc>
          <w:tcPr>
            <w:tcW w:w="1614" w:type="pct"/>
            <w:vAlign w:val="center"/>
            <w:hideMark/>
          </w:tcPr>
          <w:p w14:paraId="2AD59A39" w14:textId="77777777" w:rsidR="00000000" w:rsidRDefault="00405D16">
            <w:pPr>
              <w:spacing w:after="100"/>
              <w:rPr>
                <w:rFonts w:eastAsia="Times New Roman"/>
                <w:sz w:val="20"/>
                <w:szCs w:val="20"/>
              </w:rPr>
            </w:pPr>
          </w:p>
        </w:tc>
        <w:tc>
          <w:tcPr>
            <w:tcW w:w="5" w:type="pct"/>
            <w:vAlign w:val="center"/>
            <w:hideMark/>
          </w:tcPr>
          <w:p w14:paraId="5F8A3BB8" w14:textId="77777777" w:rsidR="00000000" w:rsidRDefault="00405D16">
            <w:pPr>
              <w:spacing w:after="100"/>
              <w:rPr>
                <w:rFonts w:eastAsia="Times New Roman"/>
                <w:sz w:val="20"/>
                <w:szCs w:val="20"/>
              </w:rPr>
            </w:pPr>
          </w:p>
        </w:tc>
      </w:tr>
      <w:tr w:rsidR="00000000" w14:paraId="102A23BF" w14:textId="77777777">
        <w:trPr>
          <w:divId w:val="631598756"/>
          <w:trHeight w:val="300"/>
          <w:jc w:val="center"/>
        </w:trPr>
        <w:tc>
          <w:tcPr>
            <w:tcW w:w="0" w:type="auto"/>
            <w:gridSpan w:val="9"/>
            <w:tcMar>
              <w:top w:w="0" w:type="dxa"/>
              <w:left w:w="20" w:type="dxa"/>
              <w:bottom w:w="0" w:type="dxa"/>
              <w:right w:w="20" w:type="dxa"/>
            </w:tcMar>
            <w:vAlign w:val="center"/>
            <w:hideMark/>
          </w:tcPr>
          <w:p w14:paraId="1353C7F1" w14:textId="77777777" w:rsidR="00000000" w:rsidRDefault="00405D16">
            <w:pPr>
              <w:spacing w:after="100"/>
              <w:rPr>
                <w:rFonts w:eastAsia="Times New Roman"/>
                <w:sz w:val="20"/>
                <w:szCs w:val="20"/>
              </w:rPr>
            </w:pPr>
          </w:p>
        </w:tc>
      </w:tr>
      <w:tr w:rsidR="00000000" w14:paraId="1B12A86C" w14:textId="77777777">
        <w:trPr>
          <w:divId w:val="631598756"/>
          <w:jc w:val="center"/>
        </w:trPr>
        <w:tc>
          <w:tcPr>
            <w:tcW w:w="0" w:type="auto"/>
            <w:gridSpan w:val="3"/>
            <w:tcMar>
              <w:top w:w="0" w:type="dxa"/>
              <w:left w:w="20" w:type="dxa"/>
              <w:bottom w:w="0" w:type="dxa"/>
              <w:right w:w="20" w:type="dxa"/>
            </w:tcMar>
            <w:vAlign w:val="center"/>
            <w:hideMark/>
          </w:tcPr>
          <w:p w14:paraId="3BAA1CE5"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823541D" w14:textId="77777777" w:rsidR="00000000" w:rsidRDefault="00405D16">
            <w:pPr>
              <w:spacing w:after="100"/>
              <w:jc w:val="center"/>
              <w:rPr>
                <w:rFonts w:eastAsia="Times New Roman"/>
              </w:rPr>
            </w:pPr>
            <w:r>
              <w:rPr>
                <w:rFonts w:eastAsia="Times New Roman"/>
                <w:color w:val="000000"/>
                <w:sz w:val="16"/>
                <w:szCs w:val="16"/>
              </w:rPr>
              <w:t>94</w:t>
            </w:r>
          </w:p>
        </w:tc>
        <w:tc>
          <w:tcPr>
            <w:tcW w:w="0" w:type="auto"/>
            <w:gridSpan w:val="3"/>
            <w:tcMar>
              <w:top w:w="30" w:type="dxa"/>
              <w:left w:w="20" w:type="dxa"/>
              <w:bottom w:w="30" w:type="dxa"/>
              <w:right w:w="20" w:type="dxa"/>
            </w:tcMar>
            <w:vAlign w:val="bottom"/>
            <w:hideMark/>
          </w:tcPr>
          <w:p w14:paraId="4E5E849F"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35D3F6D9" w14:textId="77777777" w:rsidR="00000000" w:rsidRDefault="00405D16">
      <w:pPr>
        <w:rPr>
          <w:rFonts w:eastAsia="Times New Roman"/>
        </w:rPr>
      </w:pPr>
      <w:r>
        <w:rPr>
          <w:rFonts w:eastAsia="Times New Roman"/>
        </w:rPr>
        <w:pict w14:anchorId="68D6A55F">
          <v:rect id="_x0000_i1119" style="width:0;height:1.5pt" o:hralign="center" o:hrstd="t" o:hr="t" fillcolor="#a0a0a0" stroked="f"/>
        </w:pict>
      </w:r>
    </w:p>
    <w:p w14:paraId="1FB1C4D7" w14:textId="77777777" w:rsidR="00000000" w:rsidRDefault="00405D16">
      <w:pPr>
        <w:jc w:val="both"/>
        <w:divId w:val="1600217315"/>
        <w:rPr>
          <w:rFonts w:eastAsia="Times New Roman"/>
        </w:rPr>
      </w:pPr>
      <w:hyperlink w:anchor="idd54a04a485440b4ab4e56094c14d612_13" w:history="1">
        <w:r>
          <w:rPr>
            <w:rStyle w:val="a3"/>
            <w:rFonts w:eastAsia="Times New Roman"/>
            <w:sz w:val="16"/>
            <w:szCs w:val="16"/>
          </w:rPr>
          <w:t>Table of Contents</w:t>
        </w:r>
      </w:hyperlink>
    </w:p>
    <w:p w14:paraId="01D93610" w14:textId="77777777" w:rsidR="00000000" w:rsidRDefault="00405D16">
      <w:pPr>
        <w:jc w:val="center"/>
        <w:divId w:val="1600217315"/>
        <w:rPr>
          <w:rFonts w:eastAsia="Times New Roman"/>
        </w:rPr>
      </w:pPr>
    </w:p>
    <w:p w14:paraId="04FBC202" w14:textId="77777777" w:rsidR="00000000" w:rsidRDefault="00405D16">
      <w:pPr>
        <w:divId w:val="2078355660"/>
        <w:rPr>
          <w:rFonts w:eastAsia="Times New Roman"/>
        </w:rPr>
      </w:pPr>
      <w:r>
        <w:rPr>
          <w:rFonts w:eastAsia="Times New Roman"/>
          <w:b/>
          <w:bCs/>
          <w:color w:val="000000"/>
          <w:sz w:val="20"/>
          <w:szCs w:val="20"/>
        </w:rPr>
        <w:t>Credit Card Partnership Loss Sharing Arrangements</w:t>
      </w:r>
    </w:p>
    <w:p w14:paraId="494E7110" w14:textId="77777777" w:rsidR="00000000" w:rsidRDefault="00405D16">
      <w:pPr>
        <w:jc w:val="both"/>
        <w:divId w:val="665935867"/>
        <w:rPr>
          <w:rFonts w:eastAsia="Times New Roman"/>
        </w:rPr>
      </w:pPr>
      <w:r>
        <w:rPr>
          <w:rFonts w:eastAsia="Times New Roman"/>
          <w:color w:val="000000"/>
          <w:sz w:val="20"/>
          <w:szCs w:val="20"/>
        </w:rPr>
        <w:t>We have certain credit card partnership agreements that are presented within our consolidat</w:t>
      </w:r>
      <w:r>
        <w:rPr>
          <w:rFonts w:eastAsia="Times New Roman"/>
          <w:color w:val="000000"/>
          <w:sz w:val="20"/>
          <w:szCs w:val="20"/>
        </w:rPr>
        <w:t>ed financial statements on a net basis, in which our partner agrees to share a portion of the credit losses on the underlying loan portfolio. The expected reimbursements from these partners are netted against our allowance for credit losses. Our methodolog</w:t>
      </w:r>
      <w:r>
        <w:rPr>
          <w:rFonts w:eastAsia="Times New Roman"/>
          <w:color w:val="000000"/>
          <w:sz w:val="20"/>
          <w:szCs w:val="20"/>
        </w:rPr>
        <w:t>y for estimating reimbursements is consistent with the methodology we use to estimate the allowance for credit losses on our credit card loan receivables. These expected reimbursements result in reductions to net charge-offs and the provision for credit lo</w:t>
      </w:r>
      <w:r>
        <w:rPr>
          <w:rFonts w:eastAsia="Times New Roman"/>
          <w:color w:val="000000"/>
          <w:sz w:val="20"/>
          <w:szCs w:val="20"/>
        </w:rPr>
        <w:t>sses. See “Note 1—Summary of Significant Accounting Policies” in our 2020 Form 10-K for further discussion of our credit card partnership agreements.</w:t>
      </w:r>
    </w:p>
    <w:p w14:paraId="61545555" w14:textId="77777777" w:rsidR="00000000" w:rsidRDefault="00405D16">
      <w:pPr>
        <w:jc w:val="both"/>
        <w:divId w:val="959261031"/>
        <w:rPr>
          <w:rFonts w:eastAsia="Times New Roman"/>
        </w:rPr>
      </w:pPr>
      <w:r>
        <w:rPr>
          <w:rFonts w:eastAsia="Times New Roman"/>
          <w:color w:val="000000"/>
          <w:sz w:val="20"/>
          <w:szCs w:val="20"/>
        </w:rPr>
        <w:t>The table below summarizes the changes in the estimated reimbursements from these partners for the three a</w:t>
      </w:r>
      <w:r>
        <w:rPr>
          <w:rFonts w:eastAsia="Times New Roman"/>
          <w:color w:val="000000"/>
          <w:sz w:val="20"/>
          <w:szCs w:val="20"/>
        </w:rPr>
        <w:t>nd nine months ended September 30, 2021 and 2020.</w:t>
      </w:r>
    </w:p>
    <w:p w14:paraId="7B5A8953" w14:textId="77777777" w:rsidR="00000000" w:rsidRDefault="00405D16">
      <w:pPr>
        <w:divId w:val="2029328949"/>
        <w:rPr>
          <w:rFonts w:eastAsia="Times New Roman"/>
        </w:rPr>
      </w:pPr>
      <w:r>
        <w:rPr>
          <w:rFonts w:eastAsia="Times New Roman"/>
          <w:b/>
          <w:bCs/>
          <w:color w:val="000000"/>
          <w:sz w:val="18"/>
          <w:szCs w:val="18"/>
        </w:rPr>
        <w:t>Table 4.2: Summary of Credit Card Partnership Loss Sharing Arrangements Impacts</w:t>
      </w:r>
    </w:p>
    <w:tbl>
      <w:tblPr>
        <w:tblW w:w="5000" w:type="pct"/>
        <w:tblCellMar>
          <w:top w:w="15" w:type="dxa"/>
          <w:left w:w="15" w:type="dxa"/>
          <w:bottom w:w="15" w:type="dxa"/>
          <w:right w:w="15" w:type="dxa"/>
        </w:tblCellMar>
        <w:tblLook w:val="04A0" w:firstRow="1" w:lastRow="0" w:firstColumn="1" w:lastColumn="0" w:noHBand="0" w:noVBand="1"/>
      </w:tblPr>
      <w:tblGrid>
        <w:gridCol w:w="41"/>
        <w:gridCol w:w="5973"/>
        <w:gridCol w:w="37"/>
        <w:gridCol w:w="36"/>
        <w:gridCol w:w="36"/>
        <w:gridCol w:w="36"/>
        <w:gridCol w:w="110"/>
        <w:gridCol w:w="843"/>
        <w:gridCol w:w="36"/>
        <w:gridCol w:w="36"/>
        <w:gridCol w:w="36"/>
        <w:gridCol w:w="36"/>
        <w:gridCol w:w="110"/>
        <w:gridCol w:w="832"/>
        <w:gridCol w:w="36"/>
        <w:gridCol w:w="36"/>
        <w:gridCol w:w="36"/>
      </w:tblGrid>
      <w:tr w:rsidR="00000000" w14:paraId="5F1055EF" w14:textId="77777777">
        <w:trPr>
          <w:divId w:val="94787459"/>
        </w:trPr>
        <w:tc>
          <w:tcPr>
            <w:tcW w:w="50" w:type="pct"/>
            <w:vAlign w:val="center"/>
            <w:hideMark/>
          </w:tcPr>
          <w:p w14:paraId="5B53211F" w14:textId="77777777" w:rsidR="00000000" w:rsidRDefault="00405D16">
            <w:pPr>
              <w:rPr>
                <w:rFonts w:eastAsia="Times New Roman"/>
              </w:rPr>
            </w:pPr>
          </w:p>
        </w:tc>
        <w:tc>
          <w:tcPr>
            <w:tcW w:w="3651" w:type="pct"/>
            <w:vAlign w:val="center"/>
            <w:hideMark/>
          </w:tcPr>
          <w:p w14:paraId="1F2A98BA" w14:textId="77777777" w:rsidR="00000000" w:rsidRDefault="00405D16">
            <w:pPr>
              <w:spacing w:after="100"/>
              <w:rPr>
                <w:rFonts w:eastAsia="Times New Roman"/>
                <w:sz w:val="20"/>
                <w:szCs w:val="20"/>
              </w:rPr>
            </w:pPr>
          </w:p>
        </w:tc>
        <w:tc>
          <w:tcPr>
            <w:tcW w:w="5" w:type="pct"/>
            <w:vAlign w:val="center"/>
            <w:hideMark/>
          </w:tcPr>
          <w:p w14:paraId="4031D1B7" w14:textId="77777777" w:rsidR="00000000" w:rsidRDefault="00405D16">
            <w:pPr>
              <w:spacing w:after="100"/>
              <w:rPr>
                <w:rFonts w:eastAsia="Times New Roman"/>
                <w:sz w:val="20"/>
                <w:szCs w:val="20"/>
              </w:rPr>
            </w:pPr>
          </w:p>
        </w:tc>
        <w:tc>
          <w:tcPr>
            <w:tcW w:w="5" w:type="pct"/>
            <w:vAlign w:val="center"/>
            <w:hideMark/>
          </w:tcPr>
          <w:p w14:paraId="52473185" w14:textId="77777777" w:rsidR="00000000" w:rsidRDefault="00405D16">
            <w:pPr>
              <w:spacing w:after="100"/>
              <w:rPr>
                <w:rFonts w:eastAsia="Times New Roman"/>
                <w:sz w:val="20"/>
                <w:szCs w:val="20"/>
              </w:rPr>
            </w:pPr>
          </w:p>
        </w:tc>
        <w:tc>
          <w:tcPr>
            <w:tcW w:w="26" w:type="pct"/>
            <w:vAlign w:val="center"/>
            <w:hideMark/>
          </w:tcPr>
          <w:p w14:paraId="1043A591" w14:textId="77777777" w:rsidR="00000000" w:rsidRDefault="00405D16">
            <w:pPr>
              <w:spacing w:after="100"/>
              <w:rPr>
                <w:rFonts w:eastAsia="Times New Roman"/>
                <w:sz w:val="20"/>
                <w:szCs w:val="20"/>
              </w:rPr>
            </w:pPr>
          </w:p>
        </w:tc>
        <w:tc>
          <w:tcPr>
            <w:tcW w:w="5" w:type="pct"/>
            <w:vAlign w:val="center"/>
            <w:hideMark/>
          </w:tcPr>
          <w:p w14:paraId="0E3374E2" w14:textId="77777777" w:rsidR="00000000" w:rsidRDefault="00405D16">
            <w:pPr>
              <w:spacing w:after="100"/>
              <w:rPr>
                <w:rFonts w:eastAsia="Times New Roman"/>
                <w:sz w:val="20"/>
                <w:szCs w:val="20"/>
              </w:rPr>
            </w:pPr>
          </w:p>
        </w:tc>
        <w:tc>
          <w:tcPr>
            <w:tcW w:w="50" w:type="pct"/>
            <w:vAlign w:val="center"/>
            <w:hideMark/>
          </w:tcPr>
          <w:p w14:paraId="6717C755" w14:textId="77777777" w:rsidR="00000000" w:rsidRDefault="00405D16">
            <w:pPr>
              <w:spacing w:after="100"/>
              <w:rPr>
                <w:rFonts w:eastAsia="Times New Roman"/>
                <w:sz w:val="20"/>
                <w:szCs w:val="20"/>
              </w:rPr>
            </w:pPr>
          </w:p>
        </w:tc>
        <w:tc>
          <w:tcPr>
            <w:tcW w:w="559" w:type="pct"/>
            <w:vAlign w:val="center"/>
            <w:hideMark/>
          </w:tcPr>
          <w:p w14:paraId="164701CA" w14:textId="77777777" w:rsidR="00000000" w:rsidRDefault="00405D16">
            <w:pPr>
              <w:spacing w:after="100"/>
              <w:rPr>
                <w:rFonts w:eastAsia="Times New Roman"/>
                <w:sz w:val="20"/>
                <w:szCs w:val="20"/>
              </w:rPr>
            </w:pPr>
          </w:p>
        </w:tc>
        <w:tc>
          <w:tcPr>
            <w:tcW w:w="5" w:type="pct"/>
            <w:vAlign w:val="center"/>
            <w:hideMark/>
          </w:tcPr>
          <w:p w14:paraId="3D1C6A2A" w14:textId="77777777" w:rsidR="00000000" w:rsidRDefault="00405D16">
            <w:pPr>
              <w:spacing w:after="100"/>
              <w:rPr>
                <w:rFonts w:eastAsia="Times New Roman"/>
                <w:sz w:val="20"/>
                <w:szCs w:val="20"/>
              </w:rPr>
            </w:pPr>
          </w:p>
        </w:tc>
        <w:tc>
          <w:tcPr>
            <w:tcW w:w="5" w:type="pct"/>
            <w:vAlign w:val="center"/>
            <w:hideMark/>
          </w:tcPr>
          <w:p w14:paraId="0621A78D" w14:textId="77777777" w:rsidR="00000000" w:rsidRDefault="00405D16">
            <w:pPr>
              <w:spacing w:after="100"/>
              <w:rPr>
                <w:rFonts w:eastAsia="Times New Roman"/>
                <w:sz w:val="20"/>
                <w:szCs w:val="20"/>
              </w:rPr>
            </w:pPr>
          </w:p>
        </w:tc>
        <w:tc>
          <w:tcPr>
            <w:tcW w:w="26" w:type="pct"/>
            <w:vAlign w:val="center"/>
            <w:hideMark/>
          </w:tcPr>
          <w:p w14:paraId="54257AFA" w14:textId="77777777" w:rsidR="00000000" w:rsidRDefault="00405D16">
            <w:pPr>
              <w:spacing w:after="100"/>
              <w:rPr>
                <w:rFonts w:eastAsia="Times New Roman"/>
                <w:sz w:val="20"/>
                <w:szCs w:val="20"/>
              </w:rPr>
            </w:pPr>
          </w:p>
        </w:tc>
        <w:tc>
          <w:tcPr>
            <w:tcW w:w="5" w:type="pct"/>
            <w:vAlign w:val="center"/>
            <w:hideMark/>
          </w:tcPr>
          <w:p w14:paraId="3CEBAFD9" w14:textId="77777777" w:rsidR="00000000" w:rsidRDefault="00405D16">
            <w:pPr>
              <w:spacing w:after="100"/>
              <w:rPr>
                <w:rFonts w:eastAsia="Times New Roman"/>
                <w:sz w:val="20"/>
                <w:szCs w:val="20"/>
              </w:rPr>
            </w:pPr>
          </w:p>
        </w:tc>
        <w:tc>
          <w:tcPr>
            <w:tcW w:w="50" w:type="pct"/>
            <w:vAlign w:val="center"/>
            <w:hideMark/>
          </w:tcPr>
          <w:p w14:paraId="38C5E84E" w14:textId="77777777" w:rsidR="00000000" w:rsidRDefault="00405D16">
            <w:pPr>
              <w:spacing w:after="100"/>
              <w:rPr>
                <w:rFonts w:eastAsia="Times New Roman"/>
                <w:sz w:val="20"/>
                <w:szCs w:val="20"/>
              </w:rPr>
            </w:pPr>
          </w:p>
        </w:tc>
        <w:tc>
          <w:tcPr>
            <w:tcW w:w="551" w:type="pct"/>
            <w:vAlign w:val="center"/>
            <w:hideMark/>
          </w:tcPr>
          <w:p w14:paraId="1B6DD553" w14:textId="77777777" w:rsidR="00000000" w:rsidRDefault="00405D16">
            <w:pPr>
              <w:spacing w:after="100"/>
              <w:rPr>
                <w:rFonts w:eastAsia="Times New Roman"/>
                <w:sz w:val="20"/>
                <w:szCs w:val="20"/>
              </w:rPr>
            </w:pPr>
          </w:p>
        </w:tc>
        <w:tc>
          <w:tcPr>
            <w:tcW w:w="5" w:type="pct"/>
            <w:vAlign w:val="center"/>
            <w:hideMark/>
          </w:tcPr>
          <w:p w14:paraId="5F9D9496" w14:textId="77777777" w:rsidR="00000000" w:rsidRDefault="00405D16">
            <w:pPr>
              <w:spacing w:after="100"/>
              <w:rPr>
                <w:rFonts w:eastAsia="Times New Roman"/>
                <w:sz w:val="20"/>
                <w:szCs w:val="20"/>
              </w:rPr>
            </w:pPr>
          </w:p>
        </w:tc>
        <w:tc>
          <w:tcPr>
            <w:tcW w:w="0" w:type="auto"/>
            <w:vAlign w:val="center"/>
            <w:hideMark/>
          </w:tcPr>
          <w:p w14:paraId="3B5A2A9D" w14:textId="77777777" w:rsidR="00000000" w:rsidRDefault="00405D16">
            <w:pPr>
              <w:spacing w:after="100"/>
              <w:rPr>
                <w:rFonts w:eastAsia="Times New Roman"/>
                <w:sz w:val="20"/>
                <w:szCs w:val="20"/>
              </w:rPr>
            </w:pPr>
          </w:p>
        </w:tc>
        <w:tc>
          <w:tcPr>
            <w:tcW w:w="0" w:type="auto"/>
            <w:vAlign w:val="center"/>
            <w:hideMark/>
          </w:tcPr>
          <w:p w14:paraId="0D21A700" w14:textId="77777777" w:rsidR="00000000" w:rsidRDefault="00405D16">
            <w:pPr>
              <w:spacing w:after="100"/>
              <w:rPr>
                <w:rFonts w:eastAsia="Times New Roman"/>
                <w:sz w:val="20"/>
                <w:szCs w:val="20"/>
              </w:rPr>
            </w:pPr>
          </w:p>
        </w:tc>
      </w:tr>
      <w:tr w:rsidR="00000000" w14:paraId="3F53D08D" w14:textId="77777777">
        <w:trPr>
          <w:divId w:val="94787459"/>
        </w:trPr>
        <w:tc>
          <w:tcPr>
            <w:tcW w:w="0" w:type="auto"/>
            <w:gridSpan w:val="3"/>
            <w:tcMar>
              <w:top w:w="0" w:type="dxa"/>
              <w:left w:w="20" w:type="dxa"/>
              <w:bottom w:w="0" w:type="dxa"/>
              <w:right w:w="20" w:type="dxa"/>
            </w:tcMar>
            <w:vAlign w:val="center"/>
            <w:hideMark/>
          </w:tcPr>
          <w:p w14:paraId="10BD8EBD"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19A520" w14:textId="77777777" w:rsidR="00000000" w:rsidRDefault="00405D1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9E0ACDF" w14:textId="77777777" w:rsidR="00000000" w:rsidRDefault="00405D16">
            <w:pPr>
              <w:spacing w:after="100"/>
              <w:jc w:val="center"/>
              <w:rPr>
                <w:rFonts w:eastAsia="Times New Roman"/>
              </w:rPr>
            </w:pPr>
            <w:r>
              <w:rPr>
                <w:rFonts w:eastAsia="Times New Roman"/>
                <w:b/>
                <w:bCs/>
                <w:color w:val="000000"/>
                <w:sz w:val="16"/>
                <w:szCs w:val="16"/>
              </w:rPr>
              <w:t>Three Months Ended September 30,</w:t>
            </w:r>
          </w:p>
        </w:tc>
        <w:tc>
          <w:tcPr>
            <w:tcW w:w="0" w:type="auto"/>
            <w:vAlign w:val="center"/>
            <w:hideMark/>
          </w:tcPr>
          <w:p w14:paraId="5B549E3C" w14:textId="77777777" w:rsidR="00000000" w:rsidRDefault="00405D16">
            <w:pPr>
              <w:spacing w:after="100"/>
              <w:jc w:val="center"/>
              <w:rPr>
                <w:rFonts w:eastAsia="Times New Roman"/>
              </w:rPr>
            </w:pPr>
          </w:p>
        </w:tc>
        <w:tc>
          <w:tcPr>
            <w:tcW w:w="0" w:type="auto"/>
            <w:vAlign w:val="center"/>
            <w:hideMark/>
          </w:tcPr>
          <w:p w14:paraId="5847389D" w14:textId="77777777" w:rsidR="00000000" w:rsidRDefault="00405D16">
            <w:pPr>
              <w:spacing w:after="100"/>
              <w:rPr>
                <w:rFonts w:eastAsia="Times New Roman"/>
                <w:sz w:val="20"/>
                <w:szCs w:val="20"/>
              </w:rPr>
            </w:pPr>
          </w:p>
        </w:tc>
      </w:tr>
      <w:tr w:rsidR="00000000" w14:paraId="6187019D" w14:textId="77777777">
        <w:trPr>
          <w:divId w:val="94787459"/>
        </w:trPr>
        <w:tc>
          <w:tcPr>
            <w:tcW w:w="0" w:type="auto"/>
            <w:gridSpan w:val="3"/>
            <w:tcMar>
              <w:top w:w="30" w:type="dxa"/>
              <w:left w:w="20" w:type="dxa"/>
              <w:bottom w:w="30" w:type="dxa"/>
              <w:right w:w="20" w:type="dxa"/>
            </w:tcMar>
            <w:vAlign w:val="bottom"/>
            <w:hideMark/>
          </w:tcPr>
          <w:p w14:paraId="0D74922F"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4C18CA33"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E11D80C"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3D9A362D"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01D32E3"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vAlign w:val="center"/>
            <w:hideMark/>
          </w:tcPr>
          <w:p w14:paraId="5B3626CC" w14:textId="77777777" w:rsidR="00000000" w:rsidRDefault="00405D16">
            <w:pPr>
              <w:spacing w:after="100"/>
              <w:jc w:val="center"/>
              <w:rPr>
                <w:rFonts w:eastAsia="Times New Roman"/>
              </w:rPr>
            </w:pPr>
          </w:p>
        </w:tc>
        <w:tc>
          <w:tcPr>
            <w:tcW w:w="0" w:type="auto"/>
            <w:vAlign w:val="center"/>
            <w:hideMark/>
          </w:tcPr>
          <w:p w14:paraId="477B555F" w14:textId="77777777" w:rsidR="00000000" w:rsidRDefault="00405D16">
            <w:pPr>
              <w:spacing w:after="100"/>
              <w:rPr>
                <w:rFonts w:eastAsia="Times New Roman"/>
                <w:sz w:val="20"/>
                <w:szCs w:val="20"/>
              </w:rPr>
            </w:pPr>
          </w:p>
        </w:tc>
      </w:tr>
      <w:tr w:rsidR="00000000" w14:paraId="7301870C" w14:textId="77777777">
        <w:trPr>
          <w:divId w:val="9478745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355D7A7" w14:textId="77777777" w:rsidR="00000000" w:rsidRDefault="00405D16">
            <w:pPr>
              <w:spacing w:after="100"/>
              <w:rPr>
                <w:rFonts w:eastAsia="Times New Roman"/>
              </w:rPr>
            </w:pPr>
            <w:r>
              <w:rPr>
                <w:rFonts w:eastAsia="Times New Roman"/>
                <w:color w:val="000000"/>
                <w:sz w:val="18"/>
                <w:szCs w:val="18"/>
              </w:rPr>
              <w:t>Estimated reimbursements from partners, beginning of period</w:t>
            </w:r>
          </w:p>
        </w:tc>
        <w:tc>
          <w:tcPr>
            <w:tcW w:w="0" w:type="auto"/>
            <w:gridSpan w:val="3"/>
            <w:shd w:val="clear" w:color="auto" w:fill="CCEEFF"/>
            <w:tcMar>
              <w:top w:w="0" w:type="dxa"/>
              <w:left w:w="20" w:type="dxa"/>
              <w:bottom w:w="0" w:type="dxa"/>
              <w:right w:w="20" w:type="dxa"/>
            </w:tcMar>
            <w:vAlign w:val="center"/>
            <w:hideMark/>
          </w:tcPr>
          <w:p w14:paraId="5F3EDF8F"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A134C24"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15CB6BB" w14:textId="77777777" w:rsidR="00000000" w:rsidRDefault="00405D16">
            <w:pPr>
              <w:spacing w:after="100"/>
              <w:jc w:val="right"/>
              <w:rPr>
                <w:rFonts w:eastAsia="Times New Roman"/>
              </w:rPr>
            </w:pPr>
            <w:r>
              <w:rPr>
                <w:rFonts w:eastAsia="Times New Roman"/>
                <w:color w:val="000000"/>
                <w:sz w:val="18"/>
                <w:szCs w:val="18"/>
              </w:rPr>
              <w:t>1,711 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CDAD98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D72531"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2BAC867"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2A6FE26" w14:textId="77777777" w:rsidR="00000000" w:rsidRDefault="00405D16">
            <w:pPr>
              <w:spacing w:after="100"/>
              <w:jc w:val="right"/>
              <w:rPr>
                <w:rFonts w:eastAsia="Times New Roman"/>
              </w:rPr>
            </w:pPr>
            <w:r>
              <w:rPr>
                <w:rFonts w:eastAsia="Times New Roman"/>
                <w:color w:val="000000"/>
                <w:sz w:val="18"/>
                <w:szCs w:val="18"/>
              </w:rPr>
              <w:t>2,433 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B70AC68" w14:textId="77777777" w:rsidR="00000000" w:rsidRDefault="00405D16">
            <w:pPr>
              <w:spacing w:after="100"/>
              <w:jc w:val="right"/>
              <w:rPr>
                <w:rFonts w:eastAsia="Times New Roman"/>
              </w:rPr>
            </w:pPr>
          </w:p>
        </w:tc>
        <w:tc>
          <w:tcPr>
            <w:tcW w:w="0" w:type="auto"/>
            <w:vAlign w:val="center"/>
            <w:hideMark/>
          </w:tcPr>
          <w:p w14:paraId="1C92D8E4" w14:textId="77777777" w:rsidR="00000000" w:rsidRDefault="00405D16">
            <w:pPr>
              <w:spacing w:after="100"/>
              <w:jc w:val="right"/>
              <w:rPr>
                <w:rFonts w:eastAsia="Times New Roman"/>
                <w:sz w:val="20"/>
                <w:szCs w:val="20"/>
              </w:rPr>
            </w:pPr>
          </w:p>
        </w:tc>
        <w:tc>
          <w:tcPr>
            <w:tcW w:w="0" w:type="auto"/>
            <w:vAlign w:val="center"/>
            <w:hideMark/>
          </w:tcPr>
          <w:p w14:paraId="489764C4" w14:textId="77777777" w:rsidR="00000000" w:rsidRDefault="00405D16">
            <w:pPr>
              <w:spacing w:after="100"/>
              <w:rPr>
                <w:rFonts w:eastAsia="Times New Roman"/>
                <w:sz w:val="20"/>
                <w:szCs w:val="20"/>
              </w:rPr>
            </w:pPr>
          </w:p>
        </w:tc>
      </w:tr>
      <w:tr w:rsidR="00000000" w14:paraId="0D5D9075" w14:textId="77777777">
        <w:trPr>
          <w:divId w:val="94787459"/>
        </w:trPr>
        <w:tc>
          <w:tcPr>
            <w:tcW w:w="0" w:type="auto"/>
            <w:gridSpan w:val="3"/>
            <w:shd w:val="clear" w:color="auto" w:fill="FFFFFF"/>
            <w:tcMar>
              <w:top w:w="30" w:type="dxa"/>
              <w:left w:w="20" w:type="dxa"/>
              <w:bottom w:w="30" w:type="dxa"/>
              <w:right w:w="20" w:type="dxa"/>
            </w:tcMar>
            <w:vAlign w:val="center"/>
            <w:hideMark/>
          </w:tcPr>
          <w:p w14:paraId="1CA6BB04" w14:textId="77777777" w:rsidR="00000000" w:rsidRDefault="00405D16">
            <w:pPr>
              <w:spacing w:after="100"/>
              <w:rPr>
                <w:rFonts w:eastAsia="Times New Roman"/>
              </w:rPr>
            </w:pPr>
            <w:r>
              <w:rPr>
                <w:rFonts w:eastAsia="Times New Roman"/>
                <w:color w:val="000000"/>
                <w:sz w:val="18"/>
                <w:szCs w:val="18"/>
              </w:rPr>
              <w:t>Amounts due from partners which reduced net charge-offs</w:t>
            </w:r>
          </w:p>
        </w:tc>
        <w:tc>
          <w:tcPr>
            <w:tcW w:w="0" w:type="auto"/>
            <w:gridSpan w:val="3"/>
            <w:shd w:val="clear" w:color="auto" w:fill="FFFFFF"/>
            <w:tcMar>
              <w:top w:w="0" w:type="dxa"/>
              <w:left w:w="20" w:type="dxa"/>
              <w:bottom w:w="0" w:type="dxa"/>
              <w:right w:w="20" w:type="dxa"/>
            </w:tcMar>
            <w:vAlign w:val="center"/>
            <w:hideMark/>
          </w:tcPr>
          <w:p w14:paraId="43615268"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7A34457" w14:textId="77777777" w:rsidR="00000000" w:rsidRDefault="00405D16">
            <w:pPr>
              <w:spacing w:after="100"/>
              <w:jc w:val="right"/>
              <w:rPr>
                <w:rFonts w:eastAsia="Times New Roman"/>
              </w:rPr>
            </w:pPr>
            <w:r>
              <w:rPr>
                <w:rFonts w:eastAsia="Times New Roman"/>
                <w:b/>
                <w:bCs/>
                <w:color w:val="000000"/>
                <w:sz w:val="18"/>
                <w:szCs w:val="18"/>
              </w:rPr>
              <w:t>(80)</w:t>
            </w:r>
          </w:p>
        </w:tc>
        <w:tc>
          <w:tcPr>
            <w:tcW w:w="0" w:type="auto"/>
            <w:shd w:val="clear" w:color="auto" w:fill="FFFFFF"/>
            <w:tcMar>
              <w:top w:w="30" w:type="dxa"/>
              <w:left w:w="0" w:type="dxa"/>
              <w:bottom w:w="30" w:type="dxa"/>
              <w:right w:w="20" w:type="dxa"/>
            </w:tcMar>
            <w:vAlign w:val="center"/>
            <w:hideMark/>
          </w:tcPr>
          <w:p w14:paraId="1D8167F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7D541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B0F60B3" w14:textId="77777777" w:rsidR="00000000" w:rsidRDefault="00405D16">
            <w:pPr>
              <w:spacing w:after="100"/>
              <w:jc w:val="right"/>
              <w:rPr>
                <w:rFonts w:eastAsia="Times New Roman"/>
              </w:rPr>
            </w:pPr>
            <w:r>
              <w:rPr>
                <w:rFonts w:eastAsia="Times New Roman"/>
                <w:color w:val="000000"/>
                <w:sz w:val="18"/>
                <w:szCs w:val="18"/>
              </w:rPr>
              <w:t>(212)</w:t>
            </w:r>
          </w:p>
        </w:tc>
        <w:tc>
          <w:tcPr>
            <w:tcW w:w="0" w:type="auto"/>
            <w:shd w:val="clear" w:color="auto" w:fill="FFFFFF"/>
            <w:tcMar>
              <w:top w:w="30" w:type="dxa"/>
              <w:left w:w="0" w:type="dxa"/>
              <w:bottom w:w="30" w:type="dxa"/>
              <w:right w:w="20" w:type="dxa"/>
            </w:tcMar>
            <w:vAlign w:val="center"/>
            <w:hideMark/>
          </w:tcPr>
          <w:p w14:paraId="27FDA046" w14:textId="77777777" w:rsidR="00000000" w:rsidRDefault="00405D16">
            <w:pPr>
              <w:spacing w:after="100"/>
              <w:jc w:val="right"/>
              <w:rPr>
                <w:rFonts w:eastAsia="Times New Roman"/>
              </w:rPr>
            </w:pPr>
          </w:p>
        </w:tc>
        <w:tc>
          <w:tcPr>
            <w:tcW w:w="0" w:type="auto"/>
            <w:vAlign w:val="center"/>
            <w:hideMark/>
          </w:tcPr>
          <w:p w14:paraId="47FA70D3" w14:textId="77777777" w:rsidR="00000000" w:rsidRDefault="00405D16">
            <w:pPr>
              <w:spacing w:after="100"/>
              <w:jc w:val="right"/>
              <w:rPr>
                <w:rFonts w:eastAsia="Times New Roman"/>
                <w:sz w:val="20"/>
                <w:szCs w:val="20"/>
              </w:rPr>
            </w:pPr>
          </w:p>
        </w:tc>
        <w:tc>
          <w:tcPr>
            <w:tcW w:w="0" w:type="auto"/>
            <w:vAlign w:val="center"/>
            <w:hideMark/>
          </w:tcPr>
          <w:p w14:paraId="6DC72EDC" w14:textId="77777777" w:rsidR="00000000" w:rsidRDefault="00405D16">
            <w:pPr>
              <w:spacing w:after="100"/>
              <w:rPr>
                <w:rFonts w:eastAsia="Times New Roman"/>
                <w:sz w:val="20"/>
                <w:szCs w:val="20"/>
              </w:rPr>
            </w:pPr>
          </w:p>
        </w:tc>
      </w:tr>
      <w:tr w:rsidR="00000000" w14:paraId="02DDD41C" w14:textId="77777777">
        <w:trPr>
          <w:divId w:val="94787459"/>
        </w:trPr>
        <w:tc>
          <w:tcPr>
            <w:tcW w:w="0" w:type="auto"/>
            <w:gridSpan w:val="3"/>
            <w:shd w:val="clear" w:color="auto" w:fill="CCEEFF"/>
            <w:tcMar>
              <w:top w:w="30" w:type="dxa"/>
              <w:left w:w="20" w:type="dxa"/>
              <w:bottom w:w="30" w:type="dxa"/>
              <w:right w:w="20" w:type="dxa"/>
            </w:tcMar>
            <w:vAlign w:val="center"/>
            <w:hideMark/>
          </w:tcPr>
          <w:p w14:paraId="597B8695" w14:textId="77777777" w:rsidR="00000000" w:rsidRDefault="00405D16">
            <w:pPr>
              <w:spacing w:after="100"/>
              <w:rPr>
                <w:rFonts w:eastAsia="Times New Roman"/>
              </w:rPr>
            </w:pPr>
            <w:r>
              <w:rPr>
                <w:rFonts w:eastAsia="Times New Roman"/>
                <w:color w:val="000000"/>
                <w:sz w:val="18"/>
                <w:szCs w:val="18"/>
              </w:rPr>
              <w:t>Amounts estimated to be charged (from) to partners which reduced provision for credit losses</w:t>
            </w:r>
          </w:p>
        </w:tc>
        <w:tc>
          <w:tcPr>
            <w:tcW w:w="0" w:type="auto"/>
            <w:gridSpan w:val="3"/>
            <w:shd w:val="clear" w:color="auto" w:fill="CCEEFF"/>
            <w:tcMar>
              <w:top w:w="0" w:type="dxa"/>
              <w:left w:w="20" w:type="dxa"/>
              <w:bottom w:w="0" w:type="dxa"/>
              <w:right w:w="20" w:type="dxa"/>
            </w:tcMar>
            <w:vAlign w:val="center"/>
            <w:hideMark/>
          </w:tcPr>
          <w:p w14:paraId="72E6F72A"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1A4FBD3" w14:textId="77777777" w:rsidR="00000000" w:rsidRDefault="00405D16">
            <w:pPr>
              <w:spacing w:after="100"/>
              <w:jc w:val="right"/>
              <w:rPr>
                <w:rFonts w:eastAsia="Times New Roman"/>
              </w:rPr>
            </w:pPr>
            <w:r>
              <w:rPr>
                <w:rFonts w:eastAsia="Times New Roman"/>
                <w:b/>
                <w:bCs/>
                <w:color w:val="000000"/>
                <w:sz w:val="18"/>
                <w:szCs w:val="18"/>
              </w:rPr>
              <w:t>(181)</w:t>
            </w:r>
          </w:p>
        </w:tc>
        <w:tc>
          <w:tcPr>
            <w:tcW w:w="0" w:type="auto"/>
            <w:shd w:val="clear" w:color="auto" w:fill="CCEEFF"/>
            <w:tcMar>
              <w:top w:w="30" w:type="dxa"/>
              <w:left w:w="0" w:type="dxa"/>
              <w:bottom w:w="30" w:type="dxa"/>
              <w:right w:w="20" w:type="dxa"/>
            </w:tcMar>
            <w:vAlign w:val="center"/>
            <w:hideMark/>
          </w:tcPr>
          <w:p w14:paraId="515D80F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29E0E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0A67900" w14:textId="77777777" w:rsidR="00000000" w:rsidRDefault="00405D16">
            <w:pPr>
              <w:spacing w:after="100"/>
              <w:jc w:val="right"/>
              <w:rPr>
                <w:rFonts w:eastAsia="Times New Roman"/>
              </w:rPr>
            </w:pPr>
            <w:r>
              <w:rPr>
                <w:rFonts w:eastAsia="Times New Roman"/>
                <w:color w:val="000000"/>
                <w:sz w:val="18"/>
                <w:szCs w:val="18"/>
              </w:rPr>
              <w:t>121 </w:t>
            </w:r>
          </w:p>
        </w:tc>
        <w:tc>
          <w:tcPr>
            <w:tcW w:w="0" w:type="auto"/>
            <w:shd w:val="clear" w:color="auto" w:fill="CCEEFF"/>
            <w:tcMar>
              <w:top w:w="30" w:type="dxa"/>
              <w:left w:w="0" w:type="dxa"/>
              <w:bottom w:w="30" w:type="dxa"/>
              <w:right w:w="20" w:type="dxa"/>
            </w:tcMar>
            <w:vAlign w:val="center"/>
            <w:hideMark/>
          </w:tcPr>
          <w:p w14:paraId="6D7CE8D6" w14:textId="77777777" w:rsidR="00000000" w:rsidRDefault="00405D16">
            <w:pPr>
              <w:spacing w:after="100"/>
              <w:jc w:val="right"/>
              <w:rPr>
                <w:rFonts w:eastAsia="Times New Roman"/>
              </w:rPr>
            </w:pPr>
          </w:p>
        </w:tc>
        <w:tc>
          <w:tcPr>
            <w:tcW w:w="0" w:type="auto"/>
            <w:vAlign w:val="center"/>
            <w:hideMark/>
          </w:tcPr>
          <w:p w14:paraId="6BFD52E6" w14:textId="77777777" w:rsidR="00000000" w:rsidRDefault="00405D16">
            <w:pPr>
              <w:spacing w:after="100"/>
              <w:jc w:val="right"/>
              <w:rPr>
                <w:rFonts w:eastAsia="Times New Roman"/>
                <w:sz w:val="20"/>
                <w:szCs w:val="20"/>
              </w:rPr>
            </w:pPr>
          </w:p>
        </w:tc>
        <w:tc>
          <w:tcPr>
            <w:tcW w:w="0" w:type="auto"/>
            <w:vAlign w:val="center"/>
            <w:hideMark/>
          </w:tcPr>
          <w:p w14:paraId="706236D1" w14:textId="77777777" w:rsidR="00000000" w:rsidRDefault="00405D16">
            <w:pPr>
              <w:spacing w:after="100"/>
              <w:rPr>
                <w:rFonts w:eastAsia="Times New Roman"/>
                <w:sz w:val="20"/>
                <w:szCs w:val="20"/>
              </w:rPr>
            </w:pPr>
          </w:p>
        </w:tc>
      </w:tr>
      <w:tr w:rsidR="00000000" w14:paraId="61A89EAF" w14:textId="77777777">
        <w:trPr>
          <w:divId w:val="94787459"/>
        </w:trPr>
        <w:tc>
          <w:tcPr>
            <w:tcW w:w="0" w:type="auto"/>
            <w:gridSpan w:val="3"/>
            <w:shd w:val="clear" w:color="auto" w:fill="FFFFFF"/>
            <w:tcMar>
              <w:top w:w="30" w:type="dxa"/>
              <w:left w:w="20" w:type="dxa"/>
              <w:bottom w:w="30" w:type="dxa"/>
              <w:right w:w="20" w:type="dxa"/>
            </w:tcMar>
            <w:vAlign w:val="center"/>
            <w:hideMark/>
          </w:tcPr>
          <w:p w14:paraId="131EE41B" w14:textId="77777777" w:rsidR="00000000" w:rsidRDefault="00405D16">
            <w:pPr>
              <w:spacing w:after="100"/>
              <w:rPr>
                <w:rFonts w:eastAsia="Times New Roman"/>
              </w:rPr>
            </w:pPr>
            <w:r>
              <w:rPr>
                <w:rFonts w:eastAsia="Times New Roman"/>
                <w:color w:val="000000"/>
                <w:sz w:val="18"/>
                <w:szCs w:val="18"/>
              </w:rPr>
              <w:t>Estimated reimbursements from partners, end of period</w:t>
            </w:r>
          </w:p>
        </w:tc>
        <w:tc>
          <w:tcPr>
            <w:tcW w:w="0" w:type="auto"/>
            <w:gridSpan w:val="3"/>
            <w:shd w:val="clear" w:color="auto" w:fill="FFFFFF"/>
            <w:tcMar>
              <w:top w:w="0" w:type="dxa"/>
              <w:left w:w="20" w:type="dxa"/>
              <w:bottom w:w="0" w:type="dxa"/>
              <w:right w:w="20" w:type="dxa"/>
            </w:tcMar>
            <w:vAlign w:val="center"/>
            <w:hideMark/>
          </w:tcPr>
          <w:p w14:paraId="2321A08D"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C19094D"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786C522" w14:textId="77777777" w:rsidR="00000000" w:rsidRDefault="00405D16">
            <w:pPr>
              <w:spacing w:after="100"/>
              <w:jc w:val="right"/>
              <w:rPr>
                <w:rFonts w:eastAsia="Times New Roman"/>
              </w:rPr>
            </w:pPr>
            <w:r>
              <w:rPr>
                <w:rFonts w:eastAsia="Times New Roman"/>
                <w:b/>
                <w:bCs/>
                <w:color w:val="000000"/>
                <w:sz w:val="18"/>
                <w:szCs w:val="18"/>
              </w:rPr>
              <w:t>1,450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845945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5902DB"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1CF744F"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EADD1FD" w14:textId="77777777" w:rsidR="00000000" w:rsidRDefault="00405D16">
            <w:pPr>
              <w:spacing w:after="100"/>
              <w:jc w:val="right"/>
              <w:rPr>
                <w:rFonts w:eastAsia="Times New Roman"/>
              </w:rPr>
            </w:pPr>
            <w:r>
              <w:rPr>
                <w:rFonts w:eastAsia="Times New Roman"/>
                <w:color w:val="000000"/>
                <w:sz w:val="18"/>
                <w:szCs w:val="18"/>
              </w:rPr>
              <w:t>2,342 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D5DC833" w14:textId="77777777" w:rsidR="00000000" w:rsidRDefault="00405D16">
            <w:pPr>
              <w:spacing w:after="100"/>
              <w:jc w:val="right"/>
              <w:rPr>
                <w:rFonts w:eastAsia="Times New Roman"/>
              </w:rPr>
            </w:pPr>
          </w:p>
        </w:tc>
        <w:tc>
          <w:tcPr>
            <w:tcW w:w="0" w:type="auto"/>
            <w:vAlign w:val="center"/>
            <w:hideMark/>
          </w:tcPr>
          <w:p w14:paraId="41D63EF1" w14:textId="77777777" w:rsidR="00000000" w:rsidRDefault="00405D16">
            <w:pPr>
              <w:spacing w:after="100"/>
              <w:jc w:val="right"/>
              <w:rPr>
                <w:rFonts w:eastAsia="Times New Roman"/>
                <w:sz w:val="20"/>
                <w:szCs w:val="20"/>
              </w:rPr>
            </w:pPr>
          </w:p>
        </w:tc>
        <w:tc>
          <w:tcPr>
            <w:tcW w:w="0" w:type="auto"/>
            <w:vAlign w:val="center"/>
            <w:hideMark/>
          </w:tcPr>
          <w:p w14:paraId="53398B7A" w14:textId="77777777" w:rsidR="00000000" w:rsidRDefault="00405D16">
            <w:pPr>
              <w:spacing w:after="100"/>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6065"/>
        <w:gridCol w:w="144"/>
        <w:gridCol w:w="144"/>
        <w:gridCol w:w="144"/>
        <w:gridCol w:w="144"/>
        <w:gridCol w:w="144"/>
        <w:gridCol w:w="928"/>
        <w:gridCol w:w="144"/>
        <w:gridCol w:w="144"/>
        <w:gridCol w:w="144"/>
        <w:gridCol w:w="144"/>
        <w:gridCol w:w="144"/>
        <w:gridCol w:w="915"/>
        <w:gridCol w:w="144"/>
        <w:gridCol w:w="480"/>
        <w:gridCol w:w="1440"/>
      </w:tblGrid>
      <w:tr w:rsidR="00000000" w14:paraId="5D4314BA" w14:textId="77777777">
        <w:tc>
          <w:tcPr>
            <w:tcW w:w="50" w:type="pct"/>
            <w:vAlign w:val="center"/>
            <w:hideMark/>
          </w:tcPr>
          <w:p w14:paraId="1CDC97D6" w14:textId="77777777" w:rsidR="00000000" w:rsidRDefault="00405D16">
            <w:pPr>
              <w:jc w:val="both"/>
              <w:rPr>
                <w:rFonts w:eastAsia="Times New Roman"/>
              </w:rPr>
            </w:pPr>
          </w:p>
        </w:tc>
        <w:tc>
          <w:tcPr>
            <w:tcW w:w="3651" w:type="pct"/>
            <w:vAlign w:val="center"/>
            <w:hideMark/>
          </w:tcPr>
          <w:p w14:paraId="55B9B4AC" w14:textId="77777777" w:rsidR="00000000" w:rsidRDefault="00405D16">
            <w:pPr>
              <w:spacing w:after="100"/>
              <w:rPr>
                <w:rFonts w:eastAsia="Times New Roman"/>
                <w:sz w:val="20"/>
                <w:szCs w:val="20"/>
              </w:rPr>
            </w:pPr>
          </w:p>
        </w:tc>
        <w:tc>
          <w:tcPr>
            <w:tcW w:w="5" w:type="pct"/>
            <w:vAlign w:val="center"/>
            <w:hideMark/>
          </w:tcPr>
          <w:p w14:paraId="505512B5" w14:textId="77777777" w:rsidR="00000000" w:rsidRDefault="00405D16">
            <w:pPr>
              <w:spacing w:after="100"/>
              <w:rPr>
                <w:rFonts w:eastAsia="Times New Roman"/>
                <w:sz w:val="20"/>
                <w:szCs w:val="20"/>
              </w:rPr>
            </w:pPr>
          </w:p>
        </w:tc>
        <w:tc>
          <w:tcPr>
            <w:tcW w:w="5" w:type="pct"/>
            <w:vAlign w:val="center"/>
            <w:hideMark/>
          </w:tcPr>
          <w:p w14:paraId="6ABB9CFE" w14:textId="77777777" w:rsidR="00000000" w:rsidRDefault="00405D16">
            <w:pPr>
              <w:spacing w:after="100"/>
              <w:rPr>
                <w:rFonts w:eastAsia="Times New Roman"/>
                <w:sz w:val="20"/>
                <w:szCs w:val="20"/>
              </w:rPr>
            </w:pPr>
          </w:p>
        </w:tc>
        <w:tc>
          <w:tcPr>
            <w:tcW w:w="26" w:type="pct"/>
            <w:vAlign w:val="center"/>
            <w:hideMark/>
          </w:tcPr>
          <w:p w14:paraId="3A82A40D" w14:textId="77777777" w:rsidR="00000000" w:rsidRDefault="00405D16">
            <w:pPr>
              <w:spacing w:after="100"/>
              <w:rPr>
                <w:rFonts w:eastAsia="Times New Roman"/>
                <w:sz w:val="20"/>
                <w:szCs w:val="20"/>
              </w:rPr>
            </w:pPr>
          </w:p>
        </w:tc>
        <w:tc>
          <w:tcPr>
            <w:tcW w:w="5" w:type="pct"/>
            <w:vAlign w:val="center"/>
            <w:hideMark/>
          </w:tcPr>
          <w:p w14:paraId="40DC5027" w14:textId="77777777" w:rsidR="00000000" w:rsidRDefault="00405D16">
            <w:pPr>
              <w:spacing w:after="100"/>
              <w:rPr>
                <w:rFonts w:eastAsia="Times New Roman"/>
                <w:sz w:val="20"/>
                <w:szCs w:val="20"/>
              </w:rPr>
            </w:pPr>
          </w:p>
        </w:tc>
        <w:tc>
          <w:tcPr>
            <w:tcW w:w="50" w:type="pct"/>
            <w:vAlign w:val="center"/>
            <w:hideMark/>
          </w:tcPr>
          <w:p w14:paraId="5EFBC24E" w14:textId="77777777" w:rsidR="00000000" w:rsidRDefault="00405D16">
            <w:pPr>
              <w:spacing w:after="100"/>
              <w:rPr>
                <w:rFonts w:eastAsia="Times New Roman"/>
                <w:sz w:val="20"/>
                <w:szCs w:val="20"/>
              </w:rPr>
            </w:pPr>
          </w:p>
        </w:tc>
        <w:tc>
          <w:tcPr>
            <w:tcW w:w="559" w:type="pct"/>
            <w:vAlign w:val="center"/>
            <w:hideMark/>
          </w:tcPr>
          <w:p w14:paraId="7B5A17E1" w14:textId="77777777" w:rsidR="00000000" w:rsidRDefault="00405D16">
            <w:pPr>
              <w:spacing w:after="100"/>
              <w:rPr>
                <w:rFonts w:eastAsia="Times New Roman"/>
                <w:sz w:val="20"/>
                <w:szCs w:val="20"/>
              </w:rPr>
            </w:pPr>
          </w:p>
        </w:tc>
        <w:tc>
          <w:tcPr>
            <w:tcW w:w="5" w:type="pct"/>
            <w:vAlign w:val="center"/>
            <w:hideMark/>
          </w:tcPr>
          <w:p w14:paraId="4A530202" w14:textId="77777777" w:rsidR="00000000" w:rsidRDefault="00405D16">
            <w:pPr>
              <w:spacing w:after="100"/>
              <w:rPr>
                <w:rFonts w:eastAsia="Times New Roman"/>
                <w:sz w:val="20"/>
                <w:szCs w:val="20"/>
              </w:rPr>
            </w:pPr>
          </w:p>
        </w:tc>
        <w:tc>
          <w:tcPr>
            <w:tcW w:w="5" w:type="pct"/>
            <w:vAlign w:val="center"/>
            <w:hideMark/>
          </w:tcPr>
          <w:p w14:paraId="6D80D686" w14:textId="77777777" w:rsidR="00000000" w:rsidRDefault="00405D16">
            <w:pPr>
              <w:spacing w:after="100"/>
              <w:rPr>
                <w:rFonts w:eastAsia="Times New Roman"/>
                <w:sz w:val="20"/>
                <w:szCs w:val="20"/>
              </w:rPr>
            </w:pPr>
          </w:p>
        </w:tc>
        <w:tc>
          <w:tcPr>
            <w:tcW w:w="26" w:type="pct"/>
            <w:vAlign w:val="center"/>
            <w:hideMark/>
          </w:tcPr>
          <w:p w14:paraId="02B2BDAE" w14:textId="77777777" w:rsidR="00000000" w:rsidRDefault="00405D16">
            <w:pPr>
              <w:spacing w:after="100"/>
              <w:rPr>
                <w:rFonts w:eastAsia="Times New Roman"/>
                <w:sz w:val="20"/>
                <w:szCs w:val="20"/>
              </w:rPr>
            </w:pPr>
          </w:p>
        </w:tc>
        <w:tc>
          <w:tcPr>
            <w:tcW w:w="5" w:type="pct"/>
            <w:vAlign w:val="center"/>
            <w:hideMark/>
          </w:tcPr>
          <w:p w14:paraId="1E237E60" w14:textId="77777777" w:rsidR="00000000" w:rsidRDefault="00405D16">
            <w:pPr>
              <w:spacing w:after="100"/>
              <w:rPr>
                <w:rFonts w:eastAsia="Times New Roman"/>
                <w:sz w:val="20"/>
                <w:szCs w:val="20"/>
              </w:rPr>
            </w:pPr>
          </w:p>
        </w:tc>
        <w:tc>
          <w:tcPr>
            <w:tcW w:w="50" w:type="pct"/>
            <w:vAlign w:val="center"/>
            <w:hideMark/>
          </w:tcPr>
          <w:p w14:paraId="52B3EB43" w14:textId="77777777" w:rsidR="00000000" w:rsidRDefault="00405D16">
            <w:pPr>
              <w:spacing w:after="100"/>
              <w:rPr>
                <w:rFonts w:eastAsia="Times New Roman"/>
                <w:sz w:val="20"/>
                <w:szCs w:val="20"/>
              </w:rPr>
            </w:pPr>
          </w:p>
        </w:tc>
        <w:tc>
          <w:tcPr>
            <w:tcW w:w="551" w:type="pct"/>
            <w:vAlign w:val="center"/>
            <w:hideMark/>
          </w:tcPr>
          <w:p w14:paraId="5B5557A2" w14:textId="77777777" w:rsidR="00000000" w:rsidRDefault="00405D16">
            <w:pPr>
              <w:spacing w:after="100"/>
              <w:rPr>
                <w:rFonts w:eastAsia="Times New Roman"/>
                <w:sz w:val="20"/>
                <w:szCs w:val="20"/>
              </w:rPr>
            </w:pPr>
          </w:p>
        </w:tc>
        <w:tc>
          <w:tcPr>
            <w:tcW w:w="5" w:type="pct"/>
            <w:vAlign w:val="center"/>
            <w:hideMark/>
          </w:tcPr>
          <w:p w14:paraId="740FCA13" w14:textId="77777777" w:rsidR="00000000" w:rsidRDefault="00405D16">
            <w:pPr>
              <w:spacing w:after="100"/>
              <w:rPr>
                <w:rFonts w:eastAsia="Times New Roman"/>
                <w:sz w:val="20"/>
                <w:szCs w:val="20"/>
              </w:rPr>
            </w:pPr>
          </w:p>
        </w:tc>
        <w:tc>
          <w:tcPr>
            <w:tcW w:w="0" w:type="auto"/>
            <w:vAlign w:val="center"/>
            <w:hideMark/>
          </w:tcPr>
          <w:p w14:paraId="1CC82E25" w14:textId="77777777" w:rsidR="00000000" w:rsidRDefault="00405D16">
            <w:pPr>
              <w:spacing w:after="100"/>
              <w:rPr>
                <w:rFonts w:eastAsia="Times New Roman"/>
                <w:sz w:val="20"/>
                <w:szCs w:val="20"/>
              </w:rPr>
            </w:pPr>
          </w:p>
        </w:tc>
        <w:tc>
          <w:tcPr>
            <w:tcW w:w="0" w:type="auto"/>
            <w:vAlign w:val="center"/>
            <w:hideMark/>
          </w:tcPr>
          <w:p w14:paraId="469F0301" w14:textId="77777777" w:rsidR="00000000" w:rsidRDefault="00405D16">
            <w:pPr>
              <w:spacing w:after="100"/>
              <w:rPr>
                <w:rFonts w:eastAsia="Times New Roman"/>
                <w:sz w:val="20"/>
                <w:szCs w:val="20"/>
              </w:rPr>
            </w:pPr>
          </w:p>
        </w:tc>
      </w:tr>
      <w:tr w:rsidR="00000000" w14:paraId="6A91C739" w14:textId="77777777">
        <w:tc>
          <w:tcPr>
            <w:tcW w:w="0" w:type="auto"/>
            <w:gridSpan w:val="3"/>
            <w:tcMar>
              <w:top w:w="0" w:type="dxa"/>
              <w:left w:w="20" w:type="dxa"/>
              <w:bottom w:w="0" w:type="dxa"/>
              <w:right w:w="20" w:type="dxa"/>
            </w:tcMar>
            <w:vAlign w:val="center"/>
            <w:hideMark/>
          </w:tcPr>
          <w:p w14:paraId="717F1BD4"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45B8250" w14:textId="77777777" w:rsidR="00000000" w:rsidRDefault="00405D1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5A2F8ED" w14:textId="77777777" w:rsidR="00000000" w:rsidRDefault="00405D16">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483468F9" w14:textId="77777777" w:rsidR="00000000" w:rsidRDefault="00405D16">
            <w:pPr>
              <w:spacing w:after="100"/>
              <w:jc w:val="center"/>
              <w:rPr>
                <w:rFonts w:eastAsia="Times New Roman"/>
              </w:rPr>
            </w:pPr>
          </w:p>
        </w:tc>
        <w:tc>
          <w:tcPr>
            <w:tcW w:w="0" w:type="auto"/>
            <w:vAlign w:val="center"/>
            <w:hideMark/>
          </w:tcPr>
          <w:p w14:paraId="1DAC003C" w14:textId="77777777" w:rsidR="00000000" w:rsidRDefault="00405D16">
            <w:pPr>
              <w:spacing w:after="100"/>
              <w:rPr>
                <w:rFonts w:eastAsia="Times New Roman"/>
                <w:sz w:val="20"/>
                <w:szCs w:val="20"/>
              </w:rPr>
            </w:pPr>
          </w:p>
        </w:tc>
      </w:tr>
      <w:tr w:rsidR="00000000" w14:paraId="6FB3E57C" w14:textId="77777777">
        <w:tc>
          <w:tcPr>
            <w:tcW w:w="0" w:type="auto"/>
            <w:gridSpan w:val="3"/>
            <w:tcMar>
              <w:top w:w="30" w:type="dxa"/>
              <w:left w:w="20" w:type="dxa"/>
              <w:bottom w:w="30" w:type="dxa"/>
              <w:right w:w="20" w:type="dxa"/>
            </w:tcMar>
            <w:vAlign w:val="bottom"/>
            <w:hideMark/>
          </w:tcPr>
          <w:p w14:paraId="7594D635"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69EA9CCC"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88E2D87"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317571B4"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197E22F"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vAlign w:val="center"/>
            <w:hideMark/>
          </w:tcPr>
          <w:p w14:paraId="3ACCC5BE" w14:textId="77777777" w:rsidR="00000000" w:rsidRDefault="00405D16">
            <w:pPr>
              <w:spacing w:after="100"/>
              <w:jc w:val="center"/>
              <w:rPr>
                <w:rFonts w:eastAsia="Times New Roman"/>
              </w:rPr>
            </w:pPr>
          </w:p>
        </w:tc>
        <w:tc>
          <w:tcPr>
            <w:tcW w:w="0" w:type="auto"/>
            <w:vAlign w:val="center"/>
            <w:hideMark/>
          </w:tcPr>
          <w:p w14:paraId="5CCAEB5B" w14:textId="77777777" w:rsidR="00000000" w:rsidRDefault="00405D16">
            <w:pPr>
              <w:spacing w:after="100"/>
              <w:rPr>
                <w:rFonts w:eastAsia="Times New Roman"/>
                <w:sz w:val="20"/>
                <w:szCs w:val="20"/>
              </w:rPr>
            </w:pPr>
          </w:p>
        </w:tc>
      </w:tr>
      <w:tr w:rsidR="00000000" w14:paraId="1ADBF88D" w14:textId="7777777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6377C7AC" w14:textId="77777777" w:rsidR="00000000" w:rsidRDefault="00405D16">
            <w:pPr>
              <w:spacing w:after="100"/>
              <w:rPr>
                <w:rFonts w:eastAsia="Times New Roman"/>
              </w:rPr>
            </w:pPr>
            <w:r>
              <w:rPr>
                <w:rFonts w:eastAsia="Times New Roman"/>
                <w:color w:val="000000"/>
                <w:sz w:val="18"/>
                <w:szCs w:val="18"/>
              </w:rPr>
              <w:t>Estimated reimbursements from partners, beginning of period</w:t>
            </w:r>
          </w:p>
        </w:tc>
        <w:tc>
          <w:tcPr>
            <w:tcW w:w="0" w:type="auto"/>
            <w:gridSpan w:val="3"/>
            <w:shd w:val="clear" w:color="auto" w:fill="CCEEFF"/>
            <w:tcMar>
              <w:top w:w="0" w:type="dxa"/>
              <w:left w:w="20" w:type="dxa"/>
              <w:bottom w:w="0" w:type="dxa"/>
              <w:right w:w="20" w:type="dxa"/>
            </w:tcMar>
            <w:vAlign w:val="center"/>
            <w:hideMark/>
          </w:tcPr>
          <w:p w14:paraId="0533F49E"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53C10CA"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C5CE27C" w14:textId="77777777" w:rsidR="00000000" w:rsidRDefault="00405D16">
            <w:pPr>
              <w:spacing w:after="100"/>
              <w:jc w:val="right"/>
              <w:rPr>
                <w:rFonts w:eastAsia="Times New Roman"/>
              </w:rPr>
            </w:pPr>
            <w:r>
              <w:rPr>
                <w:rFonts w:eastAsia="Times New Roman"/>
                <w:color w:val="000000"/>
                <w:sz w:val="18"/>
                <w:szCs w:val="18"/>
              </w:rPr>
              <w:t>2,159 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269855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2E2437"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6302D51"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147665F" w14:textId="77777777" w:rsidR="00000000" w:rsidRDefault="00405D16">
            <w:pPr>
              <w:spacing w:after="100"/>
              <w:jc w:val="right"/>
              <w:rPr>
                <w:rFonts w:eastAsia="Times New Roman"/>
              </w:rPr>
            </w:pPr>
            <w:r>
              <w:rPr>
                <w:rFonts w:eastAsia="Times New Roman"/>
                <w:color w:val="000000"/>
                <w:sz w:val="18"/>
                <w:szCs w:val="18"/>
              </w:rPr>
              <w:t>2,166 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B2F4493" w14:textId="77777777" w:rsidR="00000000" w:rsidRDefault="00405D16">
            <w:pPr>
              <w:spacing w:after="100"/>
              <w:jc w:val="right"/>
              <w:rPr>
                <w:rFonts w:eastAsia="Times New Roman"/>
              </w:rPr>
            </w:pPr>
          </w:p>
        </w:tc>
        <w:tc>
          <w:tcPr>
            <w:tcW w:w="0" w:type="auto"/>
            <w:vAlign w:val="center"/>
            <w:hideMark/>
          </w:tcPr>
          <w:p w14:paraId="2F666AC2" w14:textId="77777777" w:rsidR="00000000" w:rsidRDefault="00405D16">
            <w:pPr>
              <w:spacing w:after="100"/>
              <w:jc w:val="right"/>
              <w:rPr>
                <w:rFonts w:eastAsia="Times New Roman"/>
                <w:sz w:val="20"/>
                <w:szCs w:val="20"/>
              </w:rPr>
            </w:pPr>
          </w:p>
        </w:tc>
        <w:tc>
          <w:tcPr>
            <w:tcW w:w="0" w:type="auto"/>
            <w:vAlign w:val="center"/>
            <w:hideMark/>
          </w:tcPr>
          <w:p w14:paraId="071A6687" w14:textId="77777777" w:rsidR="00000000" w:rsidRDefault="00405D16">
            <w:pPr>
              <w:spacing w:after="100"/>
              <w:rPr>
                <w:rFonts w:eastAsia="Times New Roman"/>
                <w:sz w:val="20"/>
                <w:szCs w:val="20"/>
              </w:rPr>
            </w:pPr>
          </w:p>
        </w:tc>
      </w:tr>
      <w:tr w:rsidR="00000000" w14:paraId="68465A7C" w14:textId="77777777">
        <w:tc>
          <w:tcPr>
            <w:tcW w:w="0" w:type="auto"/>
            <w:gridSpan w:val="3"/>
            <w:shd w:val="clear" w:color="auto" w:fill="FFFFFF"/>
            <w:tcMar>
              <w:top w:w="30" w:type="dxa"/>
              <w:left w:w="20" w:type="dxa"/>
              <w:bottom w:w="30" w:type="dxa"/>
              <w:right w:w="20" w:type="dxa"/>
            </w:tcMar>
            <w:vAlign w:val="center"/>
            <w:hideMark/>
          </w:tcPr>
          <w:p w14:paraId="03DAF2D9" w14:textId="77777777" w:rsidR="00000000" w:rsidRDefault="00405D16">
            <w:pPr>
              <w:spacing w:after="100"/>
              <w:rPr>
                <w:rFonts w:eastAsia="Times New Roman"/>
              </w:rPr>
            </w:pPr>
            <w:r>
              <w:rPr>
                <w:rFonts w:eastAsia="Times New Roman"/>
                <w:color w:val="000000"/>
                <w:sz w:val="18"/>
                <w:szCs w:val="18"/>
              </w:rPr>
              <w:t>Amounts due from partners which reduced net charge-offs</w:t>
            </w:r>
          </w:p>
        </w:tc>
        <w:tc>
          <w:tcPr>
            <w:tcW w:w="0" w:type="auto"/>
            <w:gridSpan w:val="3"/>
            <w:shd w:val="clear" w:color="auto" w:fill="FFFFFF"/>
            <w:tcMar>
              <w:top w:w="0" w:type="dxa"/>
              <w:left w:w="20" w:type="dxa"/>
              <w:bottom w:w="0" w:type="dxa"/>
              <w:right w:w="20" w:type="dxa"/>
            </w:tcMar>
            <w:vAlign w:val="center"/>
            <w:hideMark/>
          </w:tcPr>
          <w:p w14:paraId="01A31619"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8937773" w14:textId="77777777" w:rsidR="00000000" w:rsidRDefault="00405D16">
            <w:pPr>
              <w:spacing w:after="100"/>
              <w:jc w:val="right"/>
              <w:rPr>
                <w:rFonts w:eastAsia="Times New Roman"/>
              </w:rPr>
            </w:pPr>
            <w:r>
              <w:rPr>
                <w:rFonts w:eastAsia="Times New Roman"/>
                <w:b/>
                <w:bCs/>
                <w:color w:val="000000"/>
                <w:sz w:val="18"/>
                <w:szCs w:val="18"/>
              </w:rPr>
              <w:t>(349)</w:t>
            </w:r>
          </w:p>
        </w:tc>
        <w:tc>
          <w:tcPr>
            <w:tcW w:w="0" w:type="auto"/>
            <w:shd w:val="clear" w:color="auto" w:fill="FFFFFF"/>
            <w:tcMar>
              <w:top w:w="30" w:type="dxa"/>
              <w:left w:w="0" w:type="dxa"/>
              <w:bottom w:w="30" w:type="dxa"/>
              <w:right w:w="20" w:type="dxa"/>
            </w:tcMar>
            <w:vAlign w:val="center"/>
            <w:hideMark/>
          </w:tcPr>
          <w:p w14:paraId="7C5A63B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B0998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BFFC569" w14:textId="77777777" w:rsidR="00000000" w:rsidRDefault="00405D16">
            <w:pPr>
              <w:spacing w:after="100"/>
              <w:jc w:val="right"/>
              <w:rPr>
                <w:rFonts w:eastAsia="Times New Roman"/>
              </w:rPr>
            </w:pPr>
            <w:r>
              <w:rPr>
                <w:rFonts w:eastAsia="Times New Roman"/>
                <w:color w:val="000000"/>
                <w:sz w:val="18"/>
                <w:szCs w:val="18"/>
              </w:rPr>
              <w:t>(807)</w:t>
            </w:r>
          </w:p>
        </w:tc>
        <w:tc>
          <w:tcPr>
            <w:tcW w:w="0" w:type="auto"/>
            <w:shd w:val="clear" w:color="auto" w:fill="FFFFFF"/>
            <w:tcMar>
              <w:top w:w="30" w:type="dxa"/>
              <w:left w:w="0" w:type="dxa"/>
              <w:bottom w:w="30" w:type="dxa"/>
              <w:right w:w="20" w:type="dxa"/>
            </w:tcMar>
            <w:vAlign w:val="center"/>
            <w:hideMark/>
          </w:tcPr>
          <w:p w14:paraId="5E452B67" w14:textId="77777777" w:rsidR="00000000" w:rsidRDefault="00405D16">
            <w:pPr>
              <w:spacing w:after="100"/>
              <w:jc w:val="right"/>
              <w:rPr>
                <w:rFonts w:eastAsia="Times New Roman"/>
              </w:rPr>
            </w:pPr>
          </w:p>
        </w:tc>
        <w:tc>
          <w:tcPr>
            <w:tcW w:w="0" w:type="auto"/>
            <w:vAlign w:val="center"/>
            <w:hideMark/>
          </w:tcPr>
          <w:p w14:paraId="1E9EFB97" w14:textId="77777777" w:rsidR="00000000" w:rsidRDefault="00405D16">
            <w:pPr>
              <w:spacing w:after="100"/>
              <w:jc w:val="right"/>
              <w:rPr>
                <w:rFonts w:eastAsia="Times New Roman"/>
                <w:sz w:val="20"/>
                <w:szCs w:val="20"/>
              </w:rPr>
            </w:pPr>
          </w:p>
        </w:tc>
        <w:tc>
          <w:tcPr>
            <w:tcW w:w="0" w:type="auto"/>
            <w:vAlign w:val="center"/>
            <w:hideMark/>
          </w:tcPr>
          <w:p w14:paraId="54269C48" w14:textId="77777777" w:rsidR="00000000" w:rsidRDefault="00405D16">
            <w:pPr>
              <w:spacing w:after="100"/>
              <w:rPr>
                <w:rFonts w:eastAsia="Times New Roman"/>
                <w:sz w:val="20"/>
                <w:szCs w:val="20"/>
              </w:rPr>
            </w:pPr>
          </w:p>
        </w:tc>
      </w:tr>
      <w:tr w:rsidR="00000000" w14:paraId="62F58135" w14:textId="77777777">
        <w:tc>
          <w:tcPr>
            <w:tcW w:w="0" w:type="auto"/>
            <w:gridSpan w:val="3"/>
            <w:shd w:val="clear" w:color="auto" w:fill="CCEEFF"/>
            <w:tcMar>
              <w:top w:w="30" w:type="dxa"/>
              <w:left w:w="20" w:type="dxa"/>
              <w:bottom w:w="30" w:type="dxa"/>
              <w:right w:w="20" w:type="dxa"/>
            </w:tcMar>
            <w:vAlign w:val="center"/>
            <w:hideMark/>
          </w:tcPr>
          <w:p w14:paraId="6E0A2933" w14:textId="77777777" w:rsidR="00000000" w:rsidRDefault="00405D16">
            <w:pPr>
              <w:spacing w:after="100"/>
              <w:rPr>
                <w:rFonts w:eastAsia="Times New Roman"/>
              </w:rPr>
            </w:pPr>
            <w:r>
              <w:rPr>
                <w:rFonts w:eastAsia="Times New Roman"/>
                <w:color w:val="000000"/>
                <w:sz w:val="18"/>
                <w:szCs w:val="18"/>
              </w:rPr>
              <w:t>Amounts estimated to be charged (from) to partners which reduced provision for credit losses</w:t>
            </w:r>
          </w:p>
        </w:tc>
        <w:tc>
          <w:tcPr>
            <w:tcW w:w="0" w:type="auto"/>
            <w:gridSpan w:val="3"/>
            <w:shd w:val="clear" w:color="auto" w:fill="CCEEFF"/>
            <w:tcMar>
              <w:top w:w="0" w:type="dxa"/>
              <w:left w:w="20" w:type="dxa"/>
              <w:bottom w:w="0" w:type="dxa"/>
              <w:right w:w="20" w:type="dxa"/>
            </w:tcMar>
            <w:vAlign w:val="center"/>
            <w:hideMark/>
          </w:tcPr>
          <w:p w14:paraId="16DB87C9"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EF4E00A" w14:textId="77777777" w:rsidR="00000000" w:rsidRDefault="00405D16">
            <w:pPr>
              <w:spacing w:after="100"/>
              <w:jc w:val="right"/>
              <w:rPr>
                <w:rFonts w:eastAsia="Times New Roman"/>
              </w:rPr>
            </w:pPr>
            <w:r>
              <w:rPr>
                <w:rFonts w:eastAsia="Times New Roman"/>
                <w:b/>
                <w:bCs/>
                <w:color w:val="000000"/>
                <w:sz w:val="18"/>
                <w:szCs w:val="18"/>
              </w:rPr>
              <w:t>(360)</w:t>
            </w:r>
          </w:p>
        </w:tc>
        <w:tc>
          <w:tcPr>
            <w:tcW w:w="0" w:type="auto"/>
            <w:shd w:val="clear" w:color="auto" w:fill="CCEEFF"/>
            <w:tcMar>
              <w:top w:w="30" w:type="dxa"/>
              <w:left w:w="0" w:type="dxa"/>
              <w:bottom w:w="30" w:type="dxa"/>
              <w:right w:w="20" w:type="dxa"/>
            </w:tcMar>
            <w:vAlign w:val="center"/>
            <w:hideMark/>
          </w:tcPr>
          <w:p w14:paraId="1343DE6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B848D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1D06DFA" w14:textId="77777777" w:rsidR="00000000" w:rsidRDefault="00405D16">
            <w:pPr>
              <w:spacing w:after="100"/>
              <w:jc w:val="right"/>
              <w:rPr>
                <w:rFonts w:eastAsia="Times New Roman"/>
              </w:rPr>
            </w:pPr>
            <w:r>
              <w:rPr>
                <w:rFonts w:eastAsia="Times New Roman"/>
                <w:color w:val="000000"/>
                <w:sz w:val="18"/>
                <w:szCs w:val="18"/>
              </w:rPr>
              <w:t>983 </w:t>
            </w:r>
          </w:p>
        </w:tc>
        <w:tc>
          <w:tcPr>
            <w:tcW w:w="0" w:type="auto"/>
            <w:shd w:val="clear" w:color="auto" w:fill="CCEEFF"/>
            <w:tcMar>
              <w:top w:w="30" w:type="dxa"/>
              <w:left w:w="0" w:type="dxa"/>
              <w:bottom w:w="30" w:type="dxa"/>
              <w:right w:w="20" w:type="dxa"/>
            </w:tcMar>
            <w:vAlign w:val="center"/>
            <w:hideMark/>
          </w:tcPr>
          <w:p w14:paraId="0417D6EE" w14:textId="77777777" w:rsidR="00000000" w:rsidRDefault="00405D16">
            <w:pPr>
              <w:spacing w:after="100"/>
              <w:jc w:val="right"/>
              <w:rPr>
                <w:rFonts w:eastAsia="Times New Roman"/>
              </w:rPr>
            </w:pPr>
          </w:p>
        </w:tc>
        <w:tc>
          <w:tcPr>
            <w:tcW w:w="0" w:type="auto"/>
            <w:vAlign w:val="center"/>
            <w:hideMark/>
          </w:tcPr>
          <w:p w14:paraId="219D2A66" w14:textId="77777777" w:rsidR="00000000" w:rsidRDefault="00405D16">
            <w:pPr>
              <w:spacing w:after="100"/>
              <w:jc w:val="right"/>
              <w:rPr>
                <w:rFonts w:eastAsia="Times New Roman"/>
                <w:sz w:val="20"/>
                <w:szCs w:val="20"/>
              </w:rPr>
            </w:pPr>
          </w:p>
        </w:tc>
        <w:tc>
          <w:tcPr>
            <w:tcW w:w="0" w:type="auto"/>
            <w:vAlign w:val="center"/>
            <w:hideMark/>
          </w:tcPr>
          <w:p w14:paraId="25705EE7" w14:textId="77777777" w:rsidR="00000000" w:rsidRDefault="00405D16">
            <w:pPr>
              <w:spacing w:after="100"/>
              <w:rPr>
                <w:rFonts w:eastAsia="Times New Roman"/>
                <w:sz w:val="20"/>
                <w:szCs w:val="20"/>
              </w:rPr>
            </w:pPr>
          </w:p>
        </w:tc>
      </w:tr>
      <w:tr w:rsidR="00000000" w14:paraId="791AAC6A" w14:textId="77777777">
        <w:tc>
          <w:tcPr>
            <w:tcW w:w="0" w:type="auto"/>
            <w:gridSpan w:val="3"/>
            <w:shd w:val="clear" w:color="auto" w:fill="FFFFFF"/>
            <w:tcMar>
              <w:top w:w="30" w:type="dxa"/>
              <w:left w:w="20" w:type="dxa"/>
              <w:bottom w:w="30" w:type="dxa"/>
              <w:right w:w="20" w:type="dxa"/>
            </w:tcMar>
            <w:vAlign w:val="center"/>
            <w:hideMark/>
          </w:tcPr>
          <w:p w14:paraId="7F6ABE6B" w14:textId="77777777" w:rsidR="00000000" w:rsidRDefault="00405D16">
            <w:pPr>
              <w:spacing w:after="100"/>
              <w:rPr>
                <w:rFonts w:eastAsia="Times New Roman"/>
              </w:rPr>
            </w:pPr>
            <w:r>
              <w:rPr>
                <w:rFonts w:eastAsia="Times New Roman"/>
                <w:color w:val="000000"/>
                <w:sz w:val="18"/>
                <w:szCs w:val="18"/>
              </w:rPr>
              <w:t>Estimated reimbursements from partners, end of period</w:t>
            </w:r>
          </w:p>
        </w:tc>
        <w:tc>
          <w:tcPr>
            <w:tcW w:w="0" w:type="auto"/>
            <w:gridSpan w:val="3"/>
            <w:shd w:val="clear" w:color="auto" w:fill="FFFFFF"/>
            <w:tcMar>
              <w:top w:w="0" w:type="dxa"/>
              <w:left w:w="20" w:type="dxa"/>
              <w:bottom w:w="0" w:type="dxa"/>
              <w:right w:w="20" w:type="dxa"/>
            </w:tcMar>
            <w:vAlign w:val="center"/>
            <w:hideMark/>
          </w:tcPr>
          <w:p w14:paraId="3D180BDA"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E8B8322"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932A07F" w14:textId="77777777" w:rsidR="00000000" w:rsidRDefault="00405D16">
            <w:pPr>
              <w:spacing w:after="100"/>
              <w:jc w:val="right"/>
              <w:rPr>
                <w:rFonts w:eastAsia="Times New Roman"/>
              </w:rPr>
            </w:pPr>
            <w:r>
              <w:rPr>
                <w:rFonts w:eastAsia="Times New Roman"/>
                <w:b/>
                <w:bCs/>
                <w:color w:val="000000"/>
                <w:sz w:val="18"/>
                <w:szCs w:val="18"/>
              </w:rPr>
              <w:t>1,450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643E64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E51558"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070A09F"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BCEAA75" w14:textId="77777777" w:rsidR="00000000" w:rsidRDefault="00405D16">
            <w:pPr>
              <w:spacing w:after="100"/>
              <w:jc w:val="right"/>
              <w:rPr>
                <w:rFonts w:eastAsia="Times New Roman"/>
              </w:rPr>
            </w:pPr>
            <w:r>
              <w:rPr>
                <w:rFonts w:eastAsia="Times New Roman"/>
                <w:color w:val="000000"/>
                <w:sz w:val="18"/>
                <w:szCs w:val="18"/>
              </w:rPr>
              <w:t>2,342 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26E3B46" w14:textId="77777777" w:rsidR="00000000" w:rsidRDefault="00405D16">
            <w:pPr>
              <w:spacing w:after="100"/>
              <w:jc w:val="right"/>
              <w:rPr>
                <w:rFonts w:eastAsia="Times New Roman"/>
              </w:rPr>
            </w:pPr>
          </w:p>
        </w:tc>
        <w:tc>
          <w:tcPr>
            <w:tcW w:w="0" w:type="auto"/>
            <w:vAlign w:val="center"/>
            <w:hideMark/>
          </w:tcPr>
          <w:p w14:paraId="19E4B9AF" w14:textId="77777777" w:rsidR="00000000" w:rsidRDefault="00405D16">
            <w:pPr>
              <w:spacing w:after="100"/>
              <w:jc w:val="right"/>
              <w:rPr>
                <w:rFonts w:eastAsia="Times New Roman"/>
                <w:sz w:val="20"/>
                <w:szCs w:val="20"/>
              </w:rPr>
            </w:pPr>
          </w:p>
        </w:tc>
        <w:tc>
          <w:tcPr>
            <w:tcW w:w="0" w:type="auto"/>
            <w:vAlign w:val="center"/>
            <w:hideMark/>
          </w:tcPr>
          <w:p w14:paraId="76B42C76" w14:textId="77777777" w:rsidR="00000000" w:rsidRDefault="00405D16">
            <w:pPr>
              <w:spacing w:after="100"/>
              <w:rPr>
                <w:rFonts w:eastAsia="Times New Roman"/>
                <w:sz w:val="20"/>
                <w:szCs w:val="20"/>
              </w:rPr>
            </w:pPr>
          </w:p>
        </w:tc>
      </w:tr>
    </w:tbl>
    <w:p w14:paraId="0F5560F6" w14:textId="77777777" w:rsidR="00000000" w:rsidRDefault="00405D16">
      <w:pPr>
        <w:jc w:val="center"/>
        <w:divId w:val="1548026940"/>
        <w:rPr>
          <w:rFonts w:eastAsia="Times New Roman"/>
          <w:vanish/>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2FC48A09" w14:textId="77777777">
        <w:trPr>
          <w:divId w:val="1548026940"/>
          <w:jc w:val="center"/>
        </w:trPr>
        <w:tc>
          <w:tcPr>
            <w:tcW w:w="50" w:type="pct"/>
            <w:vAlign w:val="center"/>
            <w:hideMark/>
          </w:tcPr>
          <w:p w14:paraId="597579FC" w14:textId="77777777" w:rsidR="00000000" w:rsidRDefault="00405D16">
            <w:pPr>
              <w:jc w:val="both"/>
              <w:rPr>
                <w:rFonts w:eastAsia="Times New Roman"/>
              </w:rPr>
            </w:pPr>
          </w:p>
        </w:tc>
        <w:tc>
          <w:tcPr>
            <w:tcW w:w="1606" w:type="pct"/>
            <w:vAlign w:val="center"/>
            <w:hideMark/>
          </w:tcPr>
          <w:p w14:paraId="0AD5905E" w14:textId="77777777" w:rsidR="00000000" w:rsidRDefault="00405D16">
            <w:pPr>
              <w:spacing w:after="100"/>
              <w:rPr>
                <w:rFonts w:eastAsia="Times New Roman"/>
                <w:sz w:val="20"/>
                <w:szCs w:val="20"/>
              </w:rPr>
            </w:pPr>
          </w:p>
        </w:tc>
        <w:tc>
          <w:tcPr>
            <w:tcW w:w="5" w:type="pct"/>
            <w:vAlign w:val="center"/>
            <w:hideMark/>
          </w:tcPr>
          <w:p w14:paraId="3E101521" w14:textId="77777777" w:rsidR="00000000" w:rsidRDefault="00405D16">
            <w:pPr>
              <w:spacing w:after="100"/>
              <w:rPr>
                <w:rFonts w:eastAsia="Times New Roman"/>
                <w:sz w:val="20"/>
                <w:szCs w:val="20"/>
              </w:rPr>
            </w:pPr>
          </w:p>
        </w:tc>
        <w:tc>
          <w:tcPr>
            <w:tcW w:w="50" w:type="pct"/>
            <w:vAlign w:val="center"/>
            <w:hideMark/>
          </w:tcPr>
          <w:p w14:paraId="0A07688F" w14:textId="77777777" w:rsidR="00000000" w:rsidRDefault="00405D16">
            <w:pPr>
              <w:spacing w:after="100"/>
              <w:rPr>
                <w:rFonts w:eastAsia="Times New Roman"/>
                <w:sz w:val="20"/>
                <w:szCs w:val="20"/>
              </w:rPr>
            </w:pPr>
          </w:p>
        </w:tc>
        <w:tc>
          <w:tcPr>
            <w:tcW w:w="1614" w:type="pct"/>
            <w:vAlign w:val="center"/>
            <w:hideMark/>
          </w:tcPr>
          <w:p w14:paraId="5942FA0F" w14:textId="77777777" w:rsidR="00000000" w:rsidRDefault="00405D16">
            <w:pPr>
              <w:spacing w:after="100"/>
              <w:rPr>
                <w:rFonts w:eastAsia="Times New Roman"/>
                <w:sz w:val="20"/>
                <w:szCs w:val="20"/>
              </w:rPr>
            </w:pPr>
          </w:p>
        </w:tc>
        <w:tc>
          <w:tcPr>
            <w:tcW w:w="5" w:type="pct"/>
            <w:vAlign w:val="center"/>
            <w:hideMark/>
          </w:tcPr>
          <w:p w14:paraId="797FEF8E" w14:textId="77777777" w:rsidR="00000000" w:rsidRDefault="00405D16">
            <w:pPr>
              <w:spacing w:after="100"/>
              <w:rPr>
                <w:rFonts w:eastAsia="Times New Roman"/>
                <w:sz w:val="20"/>
                <w:szCs w:val="20"/>
              </w:rPr>
            </w:pPr>
          </w:p>
        </w:tc>
        <w:tc>
          <w:tcPr>
            <w:tcW w:w="50" w:type="pct"/>
            <w:vAlign w:val="center"/>
            <w:hideMark/>
          </w:tcPr>
          <w:p w14:paraId="3C16202F" w14:textId="77777777" w:rsidR="00000000" w:rsidRDefault="00405D16">
            <w:pPr>
              <w:spacing w:after="100"/>
              <w:rPr>
                <w:rFonts w:eastAsia="Times New Roman"/>
                <w:sz w:val="20"/>
                <w:szCs w:val="20"/>
              </w:rPr>
            </w:pPr>
          </w:p>
        </w:tc>
        <w:tc>
          <w:tcPr>
            <w:tcW w:w="1614" w:type="pct"/>
            <w:vAlign w:val="center"/>
            <w:hideMark/>
          </w:tcPr>
          <w:p w14:paraId="37DD7FD2" w14:textId="77777777" w:rsidR="00000000" w:rsidRDefault="00405D16">
            <w:pPr>
              <w:spacing w:after="100"/>
              <w:rPr>
                <w:rFonts w:eastAsia="Times New Roman"/>
                <w:sz w:val="20"/>
                <w:szCs w:val="20"/>
              </w:rPr>
            </w:pPr>
          </w:p>
        </w:tc>
        <w:tc>
          <w:tcPr>
            <w:tcW w:w="5" w:type="pct"/>
            <w:vAlign w:val="center"/>
            <w:hideMark/>
          </w:tcPr>
          <w:p w14:paraId="477D5F79" w14:textId="77777777" w:rsidR="00000000" w:rsidRDefault="00405D16">
            <w:pPr>
              <w:spacing w:after="100"/>
              <w:rPr>
                <w:rFonts w:eastAsia="Times New Roman"/>
                <w:sz w:val="20"/>
                <w:szCs w:val="20"/>
              </w:rPr>
            </w:pPr>
          </w:p>
        </w:tc>
      </w:tr>
      <w:tr w:rsidR="00000000" w14:paraId="1C2EC2A6" w14:textId="77777777">
        <w:trPr>
          <w:divId w:val="1548026940"/>
          <w:trHeight w:val="300"/>
          <w:jc w:val="center"/>
        </w:trPr>
        <w:tc>
          <w:tcPr>
            <w:tcW w:w="0" w:type="auto"/>
            <w:gridSpan w:val="9"/>
            <w:tcMar>
              <w:top w:w="0" w:type="dxa"/>
              <w:left w:w="20" w:type="dxa"/>
              <w:bottom w:w="0" w:type="dxa"/>
              <w:right w:w="20" w:type="dxa"/>
            </w:tcMar>
            <w:vAlign w:val="center"/>
            <w:hideMark/>
          </w:tcPr>
          <w:p w14:paraId="21F05662" w14:textId="77777777" w:rsidR="00000000" w:rsidRDefault="00405D16">
            <w:pPr>
              <w:spacing w:after="100"/>
              <w:rPr>
                <w:rFonts w:eastAsia="Times New Roman"/>
                <w:sz w:val="20"/>
                <w:szCs w:val="20"/>
              </w:rPr>
            </w:pPr>
          </w:p>
        </w:tc>
      </w:tr>
      <w:tr w:rsidR="00000000" w14:paraId="0B2DC157" w14:textId="77777777">
        <w:trPr>
          <w:divId w:val="1548026940"/>
          <w:jc w:val="center"/>
        </w:trPr>
        <w:tc>
          <w:tcPr>
            <w:tcW w:w="0" w:type="auto"/>
            <w:gridSpan w:val="3"/>
            <w:tcMar>
              <w:top w:w="0" w:type="dxa"/>
              <w:left w:w="20" w:type="dxa"/>
              <w:bottom w:w="0" w:type="dxa"/>
              <w:right w:w="20" w:type="dxa"/>
            </w:tcMar>
            <w:vAlign w:val="center"/>
            <w:hideMark/>
          </w:tcPr>
          <w:p w14:paraId="48EE1400"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0821897" w14:textId="77777777" w:rsidR="00000000" w:rsidRDefault="00405D16">
            <w:pPr>
              <w:spacing w:after="100"/>
              <w:jc w:val="center"/>
              <w:rPr>
                <w:rFonts w:eastAsia="Times New Roman"/>
              </w:rPr>
            </w:pPr>
            <w:r>
              <w:rPr>
                <w:rFonts w:eastAsia="Times New Roman"/>
                <w:color w:val="000000"/>
                <w:sz w:val="16"/>
                <w:szCs w:val="16"/>
              </w:rPr>
              <w:t>95</w:t>
            </w:r>
          </w:p>
        </w:tc>
        <w:tc>
          <w:tcPr>
            <w:tcW w:w="0" w:type="auto"/>
            <w:gridSpan w:val="3"/>
            <w:tcMar>
              <w:top w:w="30" w:type="dxa"/>
              <w:left w:w="20" w:type="dxa"/>
              <w:bottom w:w="30" w:type="dxa"/>
              <w:right w:w="20" w:type="dxa"/>
            </w:tcMar>
            <w:vAlign w:val="bottom"/>
            <w:hideMark/>
          </w:tcPr>
          <w:p w14:paraId="49F65BD4"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755EDA9A" w14:textId="77777777" w:rsidR="00000000" w:rsidRDefault="00405D16">
      <w:pPr>
        <w:rPr>
          <w:rFonts w:eastAsia="Times New Roman"/>
        </w:rPr>
      </w:pPr>
      <w:r>
        <w:rPr>
          <w:rFonts w:eastAsia="Times New Roman"/>
        </w:rPr>
        <w:pict w14:anchorId="0D930DF3">
          <v:rect id="_x0000_i1120" style="width:0;height:1.5pt" o:hralign="center" o:hrstd="t" o:hr="t" fillcolor="#a0a0a0" stroked="f"/>
        </w:pict>
      </w:r>
    </w:p>
    <w:p w14:paraId="52F54865" w14:textId="77777777" w:rsidR="00000000" w:rsidRDefault="00405D16">
      <w:pPr>
        <w:jc w:val="both"/>
        <w:divId w:val="996113586"/>
        <w:rPr>
          <w:rFonts w:eastAsia="Times New Roman"/>
        </w:rPr>
      </w:pPr>
      <w:hyperlink w:anchor="idd54a04a485440b4ab4e56094c14d612_13" w:history="1">
        <w:r>
          <w:rPr>
            <w:rStyle w:val="a3"/>
            <w:rFonts w:eastAsia="Times New Roman"/>
            <w:sz w:val="16"/>
            <w:szCs w:val="16"/>
          </w:rPr>
          <w:t>Table of Contents</w:t>
        </w:r>
      </w:hyperlink>
    </w:p>
    <w:p w14:paraId="26E72DAC" w14:textId="77777777" w:rsidR="00000000" w:rsidRDefault="00405D16">
      <w:pPr>
        <w:jc w:val="center"/>
        <w:divId w:val="99611358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20627CE6" w14:textId="77777777">
        <w:trPr>
          <w:divId w:val="1043560801"/>
        </w:trPr>
        <w:tc>
          <w:tcPr>
            <w:tcW w:w="50" w:type="pct"/>
            <w:vAlign w:val="center"/>
            <w:hideMark/>
          </w:tcPr>
          <w:p w14:paraId="0DCFF74E" w14:textId="77777777" w:rsidR="00000000" w:rsidRDefault="00405D16">
            <w:pPr>
              <w:jc w:val="center"/>
              <w:rPr>
                <w:rFonts w:eastAsia="Times New Roman"/>
              </w:rPr>
            </w:pPr>
          </w:p>
        </w:tc>
        <w:tc>
          <w:tcPr>
            <w:tcW w:w="4945" w:type="pct"/>
            <w:vAlign w:val="center"/>
            <w:hideMark/>
          </w:tcPr>
          <w:p w14:paraId="7E4F1A50" w14:textId="77777777" w:rsidR="00000000" w:rsidRDefault="00405D16">
            <w:pPr>
              <w:spacing w:after="100"/>
              <w:rPr>
                <w:rFonts w:eastAsia="Times New Roman"/>
                <w:sz w:val="20"/>
                <w:szCs w:val="20"/>
              </w:rPr>
            </w:pPr>
          </w:p>
        </w:tc>
        <w:tc>
          <w:tcPr>
            <w:tcW w:w="5" w:type="pct"/>
            <w:vAlign w:val="center"/>
            <w:hideMark/>
          </w:tcPr>
          <w:p w14:paraId="3BB16AFF" w14:textId="77777777" w:rsidR="00000000" w:rsidRDefault="00405D16">
            <w:pPr>
              <w:spacing w:after="100"/>
              <w:rPr>
                <w:rFonts w:eastAsia="Times New Roman"/>
                <w:sz w:val="20"/>
                <w:szCs w:val="20"/>
              </w:rPr>
            </w:pPr>
          </w:p>
        </w:tc>
      </w:tr>
      <w:tr w:rsidR="00000000" w14:paraId="252C8027" w14:textId="77777777">
        <w:trPr>
          <w:divId w:val="1043560801"/>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7D5E493C" w14:textId="77777777" w:rsidR="00000000" w:rsidRDefault="00405D16">
            <w:pPr>
              <w:spacing w:after="100"/>
              <w:rPr>
                <w:rFonts w:eastAsia="Times New Roman"/>
              </w:rPr>
            </w:pPr>
            <w:r>
              <w:rPr>
                <w:rFonts w:eastAsia="Times New Roman"/>
                <w:b/>
                <w:bCs/>
                <w:color w:val="000000"/>
                <w:sz w:val="20"/>
                <w:szCs w:val="20"/>
              </w:rPr>
              <w:t>NOTE 5—VARIABLE INTEREST ENTITIES AND SECURITIZATIONS</w:t>
            </w:r>
          </w:p>
        </w:tc>
      </w:tr>
    </w:tbl>
    <w:p w14:paraId="373D2DA9" w14:textId="77777777" w:rsidR="00000000" w:rsidRDefault="00405D16">
      <w:pPr>
        <w:jc w:val="both"/>
        <w:divId w:val="843939586"/>
        <w:rPr>
          <w:rFonts w:eastAsia="Times New Roman"/>
        </w:rPr>
      </w:pPr>
      <w:r>
        <w:rPr>
          <w:rFonts w:eastAsia="Times New Roman"/>
          <w:color w:val="000000"/>
          <w:sz w:val="20"/>
          <w:szCs w:val="20"/>
        </w:rPr>
        <w:t xml:space="preserve">In the normal course of business, we enter into various types of transactions with entities that are considered to be variable interest entities (“VIEs”). Our primary involvement with VIEs is related to our securitization transactions in which we transfer </w:t>
      </w:r>
      <w:r>
        <w:rPr>
          <w:rFonts w:eastAsia="Times New Roman"/>
          <w:color w:val="000000"/>
          <w:sz w:val="20"/>
          <w:szCs w:val="20"/>
        </w:rPr>
        <w:t>assets to securitization trusts. We primarily securitize credit card and auto loans, which have provided a source of funding for us and enabled us to transfer a certain portion of the economic risk of the loans or related debt securities to third parties.</w:t>
      </w:r>
    </w:p>
    <w:p w14:paraId="410D8FE6" w14:textId="77777777" w:rsidR="00000000" w:rsidRDefault="00405D16">
      <w:pPr>
        <w:jc w:val="both"/>
        <w:divId w:val="522867282"/>
        <w:rPr>
          <w:rFonts w:eastAsia="Times New Roman"/>
        </w:rPr>
      </w:pPr>
      <w:r>
        <w:rPr>
          <w:rFonts w:eastAsia="Times New Roman"/>
          <w:color w:val="000000"/>
          <w:sz w:val="20"/>
          <w:szCs w:val="20"/>
        </w:rPr>
        <w:t>The entity that has a controlling financial interest in a VIE is referred to as the primary beneficiary and is required to consolidate the VIE. The majority of the VIEs in which we are involved have been consolidated in our financial statements.</w:t>
      </w:r>
    </w:p>
    <w:p w14:paraId="40564CC9" w14:textId="77777777" w:rsidR="00000000" w:rsidRDefault="00405D16">
      <w:pPr>
        <w:jc w:val="both"/>
        <w:divId w:val="736780030"/>
        <w:rPr>
          <w:rFonts w:eastAsia="Times New Roman"/>
        </w:rPr>
      </w:pPr>
      <w:r>
        <w:rPr>
          <w:rFonts w:eastAsia="Times New Roman"/>
          <w:b/>
          <w:bCs/>
          <w:color w:val="000000"/>
          <w:sz w:val="20"/>
          <w:szCs w:val="20"/>
        </w:rPr>
        <w:t>Summary of</w:t>
      </w:r>
      <w:r>
        <w:rPr>
          <w:rFonts w:eastAsia="Times New Roman"/>
          <w:b/>
          <w:bCs/>
          <w:color w:val="000000"/>
          <w:sz w:val="20"/>
          <w:szCs w:val="20"/>
        </w:rPr>
        <w:t xml:space="preserve"> Consolidated and Unconsolidated VIEs</w:t>
      </w:r>
    </w:p>
    <w:p w14:paraId="49CC99E1" w14:textId="77777777" w:rsidR="00000000" w:rsidRDefault="00405D16">
      <w:pPr>
        <w:jc w:val="both"/>
        <w:divId w:val="1436098552"/>
        <w:rPr>
          <w:rFonts w:eastAsia="Times New Roman"/>
        </w:rPr>
      </w:pPr>
      <w:r>
        <w:rPr>
          <w:rFonts w:eastAsia="Times New Roman"/>
          <w:color w:val="000000"/>
          <w:sz w:val="20"/>
          <w:szCs w:val="20"/>
        </w:rPr>
        <w:t>The assets of our consolidated VIEs primarily consist of cash, loan receivables and the related allowance for credit losses, which we report on our consolidated balance sheets under restricted cash for securitization i</w:t>
      </w:r>
      <w:r>
        <w:rPr>
          <w:rFonts w:eastAsia="Times New Roman"/>
          <w:color w:val="000000"/>
          <w:sz w:val="20"/>
          <w:szCs w:val="20"/>
        </w:rPr>
        <w:t>nvestors, loans held in consolidated trusts and allowance for credit losses, respectively. The assets of a particular VIE are the primary source of funds to settle its obligations. Creditors of these VIEs typically do not have recourse to our general credi</w:t>
      </w:r>
      <w:r>
        <w:rPr>
          <w:rFonts w:eastAsia="Times New Roman"/>
          <w:color w:val="000000"/>
          <w:sz w:val="20"/>
          <w:szCs w:val="20"/>
        </w:rPr>
        <w:t>t. Liabilities primarily consist of debt securities issued by the VIEs, which we report under securitized debt obligations on our consolidated balance sheets. For unconsolidated VIEs, we present the carrying amount of assets and liabilities reflected on ou</w:t>
      </w:r>
      <w:r>
        <w:rPr>
          <w:rFonts w:eastAsia="Times New Roman"/>
          <w:color w:val="000000"/>
          <w:sz w:val="20"/>
          <w:szCs w:val="20"/>
        </w:rPr>
        <w:t>r consolidated balance sheets and our maximum exposure to loss. Our maximum exposure to loss is estimated based on the unlikely event that all of the assets in the VIEs become worthless and we are required to meet our maximum remaining funding obligations.</w:t>
      </w:r>
    </w:p>
    <w:p w14:paraId="493824EE" w14:textId="77777777" w:rsidR="00000000" w:rsidRDefault="00405D16">
      <w:pPr>
        <w:jc w:val="both"/>
        <w:divId w:val="1836416634"/>
        <w:rPr>
          <w:rFonts w:eastAsia="Times New Roman"/>
        </w:rPr>
      </w:pPr>
      <w:r>
        <w:rPr>
          <w:rFonts w:eastAsia="Times New Roman"/>
          <w:color w:val="000000"/>
          <w:sz w:val="20"/>
          <w:szCs w:val="20"/>
        </w:rPr>
        <w:t>The tables below present a summary of VIEs in which we had continuing involvement or held a significant variable interest, aggregated based on VIEs with similar characteristics as of September 30, 2021 and December 31, 2020. We separately present informat</w:t>
      </w:r>
      <w:r>
        <w:rPr>
          <w:rFonts w:eastAsia="Times New Roman"/>
          <w:color w:val="000000"/>
          <w:sz w:val="20"/>
          <w:szCs w:val="20"/>
        </w:rPr>
        <w:t>ion for consolidated and unconsolidated VIEs.</w:t>
      </w:r>
    </w:p>
    <w:p w14:paraId="09ED9049" w14:textId="77777777" w:rsidR="00000000" w:rsidRDefault="00405D16">
      <w:pPr>
        <w:divId w:val="1190870670"/>
        <w:rPr>
          <w:rFonts w:eastAsia="Times New Roman"/>
        </w:rPr>
      </w:pPr>
      <w:r>
        <w:rPr>
          <w:rFonts w:eastAsia="Times New Roman"/>
          <w:b/>
          <w:bCs/>
          <w:color w:val="000000"/>
          <w:sz w:val="18"/>
          <w:szCs w:val="18"/>
        </w:rPr>
        <w:t>Table 5.1: Carrying Amount of Consolidated and Unconsolidated VIEs</w:t>
      </w:r>
    </w:p>
    <w:tbl>
      <w:tblPr>
        <w:tblW w:w="5000" w:type="pct"/>
        <w:tblCellMar>
          <w:top w:w="15" w:type="dxa"/>
          <w:left w:w="15" w:type="dxa"/>
          <w:bottom w:w="15" w:type="dxa"/>
          <w:right w:w="15" w:type="dxa"/>
        </w:tblCellMar>
        <w:tblLook w:val="04A0" w:firstRow="1" w:lastRow="0" w:firstColumn="1" w:lastColumn="0" w:noHBand="0" w:noVBand="1"/>
      </w:tblPr>
      <w:tblGrid>
        <w:gridCol w:w="39"/>
        <w:gridCol w:w="3800"/>
        <w:gridCol w:w="38"/>
        <w:gridCol w:w="36"/>
        <w:gridCol w:w="36"/>
        <w:gridCol w:w="36"/>
        <w:gridCol w:w="110"/>
        <w:gridCol w:w="540"/>
        <w:gridCol w:w="36"/>
        <w:gridCol w:w="36"/>
        <w:gridCol w:w="36"/>
        <w:gridCol w:w="36"/>
        <w:gridCol w:w="111"/>
        <w:gridCol w:w="681"/>
        <w:gridCol w:w="36"/>
        <w:gridCol w:w="36"/>
        <w:gridCol w:w="36"/>
        <w:gridCol w:w="36"/>
        <w:gridCol w:w="111"/>
        <w:gridCol w:w="591"/>
        <w:gridCol w:w="36"/>
        <w:gridCol w:w="36"/>
        <w:gridCol w:w="36"/>
        <w:gridCol w:w="36"/>
        <w:gridCol w:w="111"/>
        <w:gridCol w:w="681"/>
        <w:gridCol w:w="36"/>
        <w:gridCol w:w="36"/>
        <w:gridCol w:w="36"/>
        <w:gridCol w:w="36"/>
        <w:gridCol w:w="111"/>
        <w:gridCol w:w="662"/>
        <w:gridCol w:w="36"/>
      </w:tblGrid>
      <w:tr w:rsidR="00000000" w14:paraId="6FA1ABF6" w14:textId="77777777">
        <w:trPr>
          <w:divId w:val="1197306392"/>
        </w:trPr>
        <w:tc>
          <w:tcPr>
            <w:tcW w:w="50" w:type="pct"/>
            <w:vAlign w:val="center"/>
            <w:hideMark/>
          </w:tcPr>
          <w:p w14:paraId="79C5017B" w14:textId="77777777" w:rsidR="00000000" w:rsidRDefault="00405D16">
            <w:pPr>
              <w:rPr>
                <w:rFonts w:eastAsia="Times New Roman"/>
              </w:rPr>
            </w:pPr>
          </w:p>
        </w:tc>
        <w:tc>
          <w:tcPr>
            <w:tcW w:w="2459" w:type="pct"/>
            <w:vAlign w:val="center"/>
            <w:hideMark/>
          </w:tcPr>
          <w:p w14:paraId="15D6B808" w14:textId="77777777" w:rsidR="00000000" w:rsidRDefault="00405D16">
            <w:pPr>
              <w:spacing w:after="100"/>
              <w:rPr>
                <w:rFonts w:eastAsia="Times New Roman"/>
                <w:sz w:val="20"/>
                <w:szCs w:val="20"/>
              </w:rPr>
            </w:pPr>
          </w:p>
        </w:tc>
        <w:tc>
          <w:tcPr>
            <w:tcW w:w="5" w:type="pct"/>
            <w:vAlign w:val="center"/>
            <w:hideMark/>
          </w:tcPr>
          <w:p w14:paraId="695ED78E" w14:textId="77777777" w:rsidR="00000000" w:rsidRDefault="00405D16">
            <w:pPr>
              <w:spacing w:after="100"/>
              <w:rPr>
                <w:rFonts w:eastAsia="Times New Roman"/>
                <w:sz w:val="20"/>
                <w:szCs w:val="20"/>
              </w:rPr>
            </w:pPr>
          </w:p>
        </w:tc>
        <w:tc>
          <w:tcPr>
            <w:tcW w:w="5" w:type="pct"/>
            <w:vAlign w:val="center"/>
            <w:hideMark/>
          </w:tcPr>
          <w:p w14:paraId="76805BD1" w14:textId="77777777" w:rsidR="00000000" w:rsidRDefault="00405D16">
            <w:pPr>
              <w:spacing w:after="100"/>
              <w:rPr>
                <w:rFonts w:eastAsia="Times New Roman"/>
                <w:sz w:val="20"/>
                <w:szCs w:val="20"/>
              </w:rPr>
            </w:pPr>
          </w:p>
        </w:tc>
        <w:tc>
          <w:tcPr>
            <w:tcW w:w="26" w:type="pct"/>
            <w:vAlign w:val="center"/>
            <w:hideMark/>
          </w:tcPr>
          <w:p w14:paraId="354F5D15" w14:textId="77777777" w:rsidR="00000000" w:rsidRDefault="00405D16">
            <w:pPr>
              <w:spacing w:after="100"/>
              <w:rPr>
                <w:rFonts w:eastAsia="Times New Roman"/>
                <w:sz w:val="20"/>
                <w:szCs w:val="20"/>
              </w:rPr>
            </w:pPr>
          </w:p>
        </w:tc>
        <w:tc>
          <w:tcPr>
            <w:tcW w:w="5" w:type="pct"/>
            <w:vAlign w:val="center"/>
            <w:hideMark/>
          </w:tcPr>
          <w:p w14:paraId="40B2C7B8" w14:textId="77777777" w:rsidR="00000000" w:rsidRDefault="00405D16">
            <w:pPr>
              <w:spacing w:after="100"/>
              <w:rPr>
                <w:rFonts w:eastAsia="Times New Roman"/>
                <w:sz w:val="20"/>
                <w:szCs w:val="20"/>
              </w:rPr>
            </w:pPr>
          </w:p>
        </w:tc>
        <w:tc>
          <w:tcPr>
            <w:tcW w:w="50" w:type="pct"/>
            <w:vAlign w:val="center"/>
            <w:hideMark/>
          </w:tcPr>
          <w:p w14:paraId="25A4B690" w14:textId="77777777" w:rsidR="00000000" w:rsidRDefault="00405D16">
            <w:pPr>
              <w:spacing w:after="100"/>
              <w:rPr>
                <w:rFonts w:eastAsia="Times New Roman"/>
                <w:sz w:val="20"/>
                <w:szCs w:val="20"/>
              </w:rPr>
            </w:pPr>
          </w:p>
        </w:tc>
        <w:tc>
          <w:tcPr>
            <w:tcW w:w="405" w:type="pct"/>
            <w:vAlign w:val="center"/>
            <w:hideMark/>
          </w:tcPr>
          <w:p w14:paraId="3AFC6830" w14:textId="77777777" w:rsidR="00000000" w:rsidRDefault="00405D16">
            <w:pPr>
              <w:spacing w:after="100"/>
              <w:rPr>
                <w:rFonts w:eastAsia="Times New Roman"/>
                <w:sz w:val="20"/>
                <w:szCs w:val="20"/>
              </w:rPr>
            </w:pPr>
          </w:p>
        </w:tc>
        <w:tc>
          <w:tcPr>
            <w:tcW w:w="5" w:type="pct"/>
            <w:vAlign w:val="center"/>
            <w:hideMark/>
          </w:tcPr>
          <w:p w14:paraId="0035C3EC" w14:textId="77777777" w:rsidR="00000000" w:rsidRDefault="00405D16">
            <w:pPr>
              <w:spacing w:after="100"/>
              <w:rPr>
                <w:rFonts w:eastAsia="Times New Roman"/>
                <w:sz w:val="20"/>
                <w:szCs w:val="20"/>
              </w:rPr>
            </w:pPr>
          </w:p>
        </w:tc>
        <w:tc>
          <w:tcPr>
            <w:tcW w:w="5" w:type="pct"/>
            <w:vAlign w:val="center"/>
            <w:hideMark/>
          </w:tcPr>
          <w:p w14:paraId="29A9D6FA" w14:textId="77777777" w:rsidR="00000000" w:rsidRDefault="00405D16">
            <w:pPr>
              <w:spacing w:after="100"/>
              <w:rPr>
                <w:rFonts w:eastAsia="Times New Roman"/>
                <w:sz w:val="20"/>
                <w:szCs w:val="20"/>
              </w:rPr>
            </w:pPr>
          </w:p>
        </w:tc>
        <w:tc>
          <w:tcPr>
            <w:tcW w:w="26" w:type="pct"/>
            <w:vAlign w:val="center"/>
            <w:hideMark/>
          </w:tcPr>
          <w:p w14:paraId="73A90F08" w14:textId="77777777" w:rsidR="00000000" w:rsidRDefault="00405D16">
            <w:pPr>
              <w:spacing w:after="100"/>
              <w:rPr>
                <w:rFonts w:eastAsia="Times New Roman"/>
                <w:sz w:val="20"/>
                <w:szCs w:val="20"/>
              </w:rPr>
            </w:pPr>
          </w:p>
        </w:tc>
        <w:tc>
          <w:tcPr>
            <w:tcW w:w="5" w:type="pct"/>
            <w:vAlign w:val="center"/>
            <w:hideMark/>
          </w:tcPr>
          <w:p w14:paraId="37B2A8CF" w14:textId="77777777" w:rsidR="00000000" w:rsidRDefault="00405D16">
            <w:pPr>
              <w:spacing w:after="100"/>
              <w:rPr>
                <w:rFonts w:eastAsia="Times New Roman"/>
                <w:sz w:val="20"/>
                <w:szCs w:val="20"/>
              </w:rPr>
            </w:pPr>
          </w:p>
        </w:tc>
        <w:tc>
          <w:tcPr>
            <w:tcW w:w="50" w:type="pct"/>
            <w:vAlign w:val="center"/>
            <w:hideMark/>
          </w:tcPr>
          <w:p w14:paraId="5C02CD43" w14:textId="77777777" w:rsidR="00000000" w:rsidRDefault="00405D16">
            <w:pPr>
              <w:spacing w:after="100"/>
              <w:rPr>
                <w:rFonts w:eastAsia="Times New Roman"/>
                <w:sz w:val="20"/>
                <w:szCs w:val="20"/>
              </w:rPr>
            </w:pPr>
          </w:p>
        </w:tc>
        <w:tc>
          <w:tcPr>
            <w:tcW w:w="405" w:type="pct"/>
            <w:vAlign w:val="center"/>
            <w:hideMark/>
          </w:tcPr>
          <w:p w14:paraId="728968CA" w14:textId="77777777" w:rsidR="00000000" w:rsidRDefault="00405D16">
            <w:pPr>
              <w:spacing w:after="100"/>
              <w:rPr>
                <w:rFonts w:eastAsia="Times New Roman"/>
                <w:sz w:val="20"/>
                <w:szCs w:val="20"/>
              </w:rPr>
            </w:pPr>
          </w:p>
        </w:tc>
        <w:tc>
          <w:tcPr>
            <w:tcW w:w="5" w:type="pct"/>
            <w:vAlign w:val="center"/>
            <w:hideMark/>
          </w:tcPr>
          <w:p w14:paraId="1C860B57" w14:textId="77777777" w:rsidR="00000000" w:rsidRDefault="00405D16">
            <w:pPr>
              <w:spacing w:after="100"/>
              <w:rPr>
                <w:rFonts w:eastAsia="Times New Roman"/>
                <w:sz w:val="20"/>
                <w:szCs w:val="20"/>
              </w:rPr>
            </w:pPr>
          </w:p>
        </w:tc>
        <w:tc>
          <w:tcPr>
            <w:tcW w:w="5" w:type="pct"/>
            <w:vAlign w:val="center"/>
            <w:hideMark/>
          </w:tcPr>
          <w:p w14:paraId="5D6DC91E" w14:textId="77777777" w:rsidR="00000000" w:rsidRDefault="00405D16">
            <w:pPr>
              <w:spacing w:after="100"/>
              <w:rPr>
                <w:rFonts w:eastAsia="Times New Roman"/>
                <w:sz w:val="20"/>
                <w:szCs w:val="20"/>
              </w:rPr>
            </w:pPr>
          </w:p>
        </w:tc>
        <w:tc>
          <w:tcPr>
            <w:tcW w:w="26" w:type="pct"/>
            <w:vAlign w:val="center"/>
            <w:hideMark/>
          </w:tcPr>
          <w:p w14:paraId="57C96CCC" w14:textId="77777777" w:rsidR="00000000" w:rsidRDefault="00405D16">
            <w:pPr>
              <w:spacing w:after="100"/>
              <w:rPr>
                <w:rFonts w:eastAsia="Times New Roman"/>
                <w:sz w:val="20"/>
                <w:szCs w:val="20"/>
              </w:rPr>
            </w:pPr>
          </w:p>
        </w:tc>
        <w:tc>
          <w:tcPr>
            <w:tcW w:w="5" w:type="pct"/>
            <w:vAlign w:val="center"/>
            <w:hideMark/>
          </w:tcPr>
          <w:p w14:paraId="655FB356" w14:textId="77777777" w:rsidR="00000000" w:rsidRDefault="00405D16">
            <w:pPr>
              <w:spacing w:after="100"/>
              <w:rPr>
                <w:rFonts w:eastAsia="Times New Roman"/>
                <w:sz w:val="20"/>
                <w:szCs w:val="20"/>
              </w:rPr>
            </w:pPr>
          </w:p>
        </w:tc>
        <w:tc>
          <w:tcPr>
            <w:tcW w:w="50" w:type="pct"/>
            <w:vAlign w:val="center"/>
            <w:hideMark/>
          </w:tcPr>
          <w:p w14:paraId="236FD34B" w14:textId="77777777" w:rsidR="00000000" w:rsidRDefault="00405D16">
            <w:pPr>
              <w:spacing w:after="100"/>
              <w:rPr>
                <w:rFonts w:eastAsia="Times New Roman"/>
                <w:sz w:val="20"/>
                <w:szCs w:val="20"/>
              </w:rPr>
            </w:pPr>
          </w:p>
        </w:tc>
        <w:tc>
          <w:tcPr>
            <w:tcW w:w="405" w:type="pct"/>
            <w:vAlign w:val="center"/>
            <w:hideMark/>
          </w:tcPr>
          <w:p w14:paraId="1409B10D" w14:textId="77777777" w:rsidR="00000000" w:rsidRDefault="00405D16">
            <w:pPr>
              <w:spacing w:after="100"/>
              <w:rPr>
                <w:rFonts w:eastAsia="Times New Roman"/>
                <w:sz w:val="20"/>
                <w:szCs w:val="20"/>
              </w:rPr>
            </w:pPr>
          </w:p>
        </w:tc>
        <w:tc>
          <w:tcPr>
            <w:tcW w:w="5" w:type="pct"/>
            <w:vAlign w:val="center"/>
            <w:hideMark/>
          </w:tcPr>
          <w:p w14:paraId="52D9FA2A" w14:textId="77777777" w:rsidR="00000000" w:rsidRDefault="00405D16">
            <w:pPr>
              <w:spacing w:after="100"/>
              <w:rPr>
                <w:rFonts w:eastAsia="Times New Roman"/>
                <w:sz w:val="20"/>
                <w:szCs w:val="20"/>
              </w:rPr>
            </w:pPr>
          </w:p>
        </w:tc>
        <w:tc>
          <w:tcPr>
            <w:tcW w:w="5" w:type="pct"/>
            <w:vAlign w:val="center"/>
            <w:hideMark/>
          </w:tcPr>
          <w:p w14:paraId="0F5F112D" w14:textId="77777777" w:rsidR="00000000" w:rsidRDefault="00405D16">
            <w:pPr>
              <w:spacing w:after="100"/>
              <w:rPr>
                <w:rFonts w:eastAsia="Times New Roman"/>
                <w:sz w:val="20"/>
                <w:szCs w:val="20"/>
              </w:rPr>
            </w:pPr>
          </w:p>
        </w:tc>
        <w:tc>
          <w:tcPr>
            <w:tcW w:w="26" w:type="pct"/>
            <w:vAlign w:val="center"/>
            <w:hideMark/>
          </w:tcPr>
          <w:p w14:paraId="4D229EBF" w14:textId="77777777" w:rsidR="00000000" w:rsidRDefault="00405D16">
            <w:pPr>
              <w:spacing w:after="100"/>
              <w:rPr>
                <w:rFonts w:eastAsia="Times New Roman"/>
                <w:sz w:val="20"/>
                <w:szCs w:val="20"/>
              </w:rPr>
            </w:pPr>
          </w:p>
        </w:tc>
        <w:tc>
          <w:tcPr>
            <w:tcW w:w="5" w:type="pct"/>
            <w:vAlign w:val="center"/>
            <w:hideMark/>
          </w:tcPr>
          <w:p w14:paraId="4430F674" w14:textId="77777777" w:rsidR="00000000" w:rsidRDefault="00405D16">
            <w:pPr>
              <w:spacing w:after="100"/>
              <w:rPr>
                <w:rFonts w:eastAsia="Times New Roman"/>
                <w:sz w:val="20"/>
                <w:szCs w:val="20"/>
              </w:rPr>
            </w:pPr>
          </w:p>
        </w:tc>
        <w:tc>
          <w:tcPr>
            <w:tcW w:w="50" w:type="pct"/>
            <w:vAlign w:val="center"/>
            <w:hideMark/>
          </w:tcPr>
          <w:p w14:paraId="256B9DA7" w14:textId="77777777" w:rsidR="00000000" w:rsidRDefault="00405D16">
            <w:pPr>
              <w:spacing w:after="100"/>
              <w:rPr>
                <w:rFonts w:eastAsia="Times New Roman"/>
                <w:sz w:val="20"/>
                <w:szCs w:val="20"/>
              </w:rPr>
            </w:pPr>
          </w:p>
        </w:tc>
        <w:tc>
          <w:tcPr>
            <w:tcW w:w="405" w:type="pct"/>
            <w:vAlign w:val="center"/>
            <w:hideMark/>
          </w:tcPr>
          <w:p w14:paraId="2C8BDD85" w14:textId="77777777" w:rsidR="00000000" w:rsidRDefault="00405D16">
            <w:pPr>
              <w:spacing w:after="100"/>
              <w:rPr>
                <w:rFonts w:eastAsia="Times New Roman"/>
                <w:sz w:val="20"/>
                <w:szCs w:val="20"/>
              </w:rPr>
            </w:pPr>
          </w:p>
        </w:tc>
        <w:tc>
          <w:tcPr>
            <w:tcW w:w="5" w:type="pct"/>
            <w:vAlign w:val="center"/>
            <w:hideMark/>
          </w:tcPr>
          <w:p w14:paraId="0CBE0698" w14:textId="77777777" w:rsidR="00000000" w:rsidRDefault="00405D16">
            <w:pPr>
              <w:spacing w:after="100"/>
              <w:rPr>
                <w:rFonts w:eastAsia="Times New Roman"/>
                <w:sz w:val="20"/>
                <w:szCs w:val="20"/>
              </w:rPr>
            </w:pPr>
          </w:p>
        </w:tc>
        <w:tc>
          <w:tcPr>
            <w:tcW w:w="5" w:type="pct"/>
            <w:vAlign w:val="center"/>
            <w:hideMark/>
          </w:tcPr>
          <w:p w14:paraId="710FAF6F" w14:textId="77777777" w:rsidR="00000000" w:rsidRDefault="00405D16">
            <w:pPr>
              <w:spacing w:after="100"/>
              <w:rPr>
                <w:rFonts w:eastAsia="Times New Roman"/>
                <w:sz w:val="20"/>
                <w:szCs w:val="20"/>
              </w:rPr>
            </w:pPr>
          </w:p>
        </w:tc>
        <w:tc>
          <w:tcPr>
            <w:tcW w:w="26" w:type="pct"/>
            <w:vAlign w:val="center"/>
            <w:hideMark/>
          </w:tcPr>
          <w:p w14:paraId="01CA3AB3" w14:textId="77777777" w:rsidR="00000000" w:rsidRDefault="00405D16">
            <w:pPr>
              <w:spacing w:after="100"/>
              <w:rPr>
                <w:rFonts w:eastAsia="Times New Roman"/>
                <w:sz w:val="20"/>
                <w:szCs w:val="20"/>
              </w:rPr>
            </w:pPr>
          </w:p>
        </w:tc>
        <w:tc>
          <w:tcPr>
            <w:tcW w:w="5" w:type="pct"/>
            <w:vAlign w:val="center"/>
            <w:hideMark/>
          </w:tcPr>
          <w:p w14:paraId="463AA4CB" w14:textId="77777777" w:rsidR="00000000" w:rsidRDefault="00405D16">
            <w:pPr>
              <w:spacing w:after="100"/>
              <w:rPr>
                <w:rFonts w:eastAsia="Times New Roman"/>
                <w:sz w:val="20"/>
                <w:szCs w:val="20"/>
              </w:rPr>
            </w:pPr>
          </w:p>
        </w:tc>
        <w:tc>
          <w:tcPr>
            <w:tcW w:w="50" w:type="pct"/>
            <w:vAlign w:val="center"/>
            <w:hideMark/>
          </w:tcPr>
          <w:p w14:paraId="52D0C954" w14:textId="77777777" w:rsidR="00000000" w:rsidRDefault="00405D16">
            <w:pPr>
              <w:spacing w:after="100"/>
              <w:rPr>
                <w:rFonts w:eastAsia="Times New Roman"/>
                <w:sz w:val="20"/>
                <w:szCs w:val="20"/>
              </w:rPr>
            </w:pPr>
          </w:p>
        </w:tc>
        <w:tc>
          <w:tcPr>
            <w:tcW w:w="405" w:type="pct"/>
            <w:vAlign w:val="center"/>
            <w:hideMark/>
          </w:tcPr>
          <w:p w14:paraId="2EC8743B" w14:textId="77777777" w:rsidR="00000000" w:rsidRDefault="00405D16">
            <w:pPr>
              <w:spacing w:after="100"/>
              <w:rPr>
                <w:rFonts w:eastAsia="Times New Roman"/>
                <w:sz w:val="20"/>
                <w:szCs w:val="20"/>
              </w:rPr>
            </w:pPr>
          </w:p>
        </w:tc>
        <w:tc>
          <w:tcPr>
            <w:tcW w:w="5" w:type="pct"/>
            <w:vAlign w:val="center"/>
            <w:hideMark/>
          </w:tcPr>
          <w:p w14:paraId="5B1FD7AB" w14:textId="77777777" w:rsidR="00000000" w:rsidRDefault="00405D16">
            <w:pPr>
              <w:spacing w:after="100"/>
              <w:rPr>
                <w:rFonts w:eastAsia="Times New Roman"/>
                <w:sz w:val="20"/>
                <w:szCs w:val="20"/>
              </w:rPr>
            </w:pPr>
          </w:p>
        </w:tc>
      </w:tr>
      <w:tr w:rsidR="00000000" w14:paraId="511695B5" w14:textId="77777777">
        <w:trPr>
          <w:divId w:val="1197306392"/>
        </w:trPr>
        <w:tc>
          <w:tcPr>
            <w:tcW w:w="0" w:type="auto"/>
            <w:gridSpan w:val="3"/>
            <w:tcMar>
              <w:top w:w="30" w:type="dxa"/>
              <w:left w:w="20" w:type="dxa"/>
              <w:bottom w:w="30" w:type="dxa"/>
              <w:right w:w="20" w:type="dxa"/>
            </w:tcMar>
            <w:vAlign w:val="bottom"/>
            <w:hideMark/>
          </w:tcPr>
          <w:p w14:paraId="284EEB56"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6A71C87" w14:textId="77777777" w:rsidR="00000000" w:rsidRDefault="00405D16">
            <w:pPr>
              <w:spacing w:after="100"/>
              <w:rPr>
                <w:rFonts w:eastAsia="Times New Roman"/>
              </w:rPr>
            </w:pPr>
          </w:p>
        </w:tc>
        <w:tc>
          <w:tcPr>
            <w:tcW w:w="0" w:type="auto"/>
            <w:gridSpan w:val="27"/>
            <w:tcBorders>
              <w:bottom w:val="single" w:sz="8" w:space="0" w:color="000000"/>
            </w:tcBorders>
            <w:tcMar>
              <w:top w:w="30" w:type="dxa"/>
              <w:left w:w="20" w:type="dxa"/>
              <w:bottom w:w="30" w:type="dxa"/>
              <w:right w:w="20" w:type="dxa"/>
            </w:tcMar>
            <w:vAlign w:val="bottom"/>
            <w:hideMark/>
          </w:tcPr>
          <w:p w14:paraId="03FE6287" w14:textId="77777777" w:rsidR="00000000" w:rsidRDefault="00405D16">
            <w:pPr>
              <w:spacing w:after="100"/>
              <w:jc w:val="center"/>
              <w:rPr>
                <w:rFonts w:eastAsia="Times New Roman"/>
              </w:rPr>
            </w:pPr>
            <w:r>
              <w:rPr>
                <w:rFonts w:eastAsia="Times New Roman"/>
                <w:b/>
                <w:bCs/>
                <w:color w:val="000000"/>
                <w:sz w:val="16"/>
                <w:szCs w:val="16"/>
              </w:rPr>
              <w:t>September 30, 2021</w:t>
            </w:r>
          </w:p>
        </w:tc>
      </w:tr>
      <w:tr w:rsidR="00000000" w14:paraId="6D4F886A" w14:textId="77777777">
        <w:trPr>
          <w:divId w:val="1197306392"/>
        </w:trPr>
        <w:tc>
          <w:tcPr>
            <w:tcW w:w="0" w:type="auto"/>
            <w:gridSpan w:val="3"/>
            <w:tcMar>
              <w:top w:w="30" w:type="dxa"/>
              <w:left w:w="20" w:type="dxa"/>
              <w:bottom w:w="30" w:type="dxa"/>
              <w:right w:w="20" w:type="dxa"/>
            </w:tcMar>
            <w:vAlign w:val="bottom"/>
            <w:hideMark/>
          </w:tcPr>
          <w:p w14:paraId="6A7A113A"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7F3BB0E" w14:textId="77777777" w:rsidR="00000000" w:rsidRDefault="00405D16">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0C5BF1E3" w14:textId="77777777" w:rsidR="00000000" w:rsidRDefault="00405D16">
            <w:pPr>
              <w:spacing w:after="100"/>
              <w:jc w:val="center"/>
              <w:rPr>
                <w:rFonts w:eastAsia="Times New Roman"/>
              </w:rPr>
            </w:pPr>
            <w:r>
              <w:rPr>
                <w:rFonts w:eastAsia="Times New Roman"/>
                <w:b/>
                <w:bCs/>
                <w:color w:val="000000"/>
                <w:sz w:val="16"/>
                <w:szCs w:val="16"/>
              </w:rPr>
              <w:t>Consolidated</w:t>
            </w:r>
          </w:p>
        </w:tc>
        <w:tc>
          <w:tcPr>
            <w:tcW w:w="0" w:type="auto"/>
            <w:gridSpan w:val="3"/>
            <w:tcBorders>
              <w:top w:val="single" w:sz="8" w:space="0" w:color="000000"/>
            </w:tcBorders>
            <w:tcMar>
              <w:top w:w="0" w:type="dxa"/>
              <w:left w:w="20" w:type="dxa"/>
              <w:bottom w:w="0" w:type="dxa"/>
              <w:right w:w="20" w:type="dxa"/>
            </w:tcMar>
            <w:vAlign w:val="center"/>
            <w:hideMark/>
          </w:tcPr>
          <w:p w14:paraId="3E5B5739" w14:textId="77777777" w:rsidR="00000000" w:rsidRDefault="00405D16">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512E03AB" w14:textId="77777777" w:rsidR="00000000" w:rsidRDefault="00405D16">
            <w:pPr>
              <w:spacing w:after="100"/>
              <w:jc w:val="center"/>
              <w:rPr>
                <w:rFonts w:eastAsia="Times New Roman"/>
              </w:rPr>
            </w:pPr>
            <w:r>
              <w:rPr>
                <w:rFonts w:eastAsia="Times New Roman"/>
                <w:b/>
                <w:bCs/>
                <w:color w:val="000000"/>
                <w:sz w:val="16"/>
                <w:szCs w:val="16"/>
              </w:rPr>
              <w:t>Unconsolidated</w:t>
            </w:r>
          </w:p>
        </w:tc>
      </w:tr>
      <w:tr w:rsidR="00000000" w14:paraId="6B8307A9" w14:textId="77777777">
        <w:trPr>
          <w:divId w:val="1197306392"/>
        </w:trPr>
        <w:tc>
          <w:tcPr>
            <w:tcW w:w="0" w:type="auto"/>
            <w:gridSpan w:val="3"/>
            <w:tcMar>
              <w:top w:w="30" w:type="dxa"/>
              <w:left w:w="20" w:type="dxa"/>
              <w:bottom w:w="30" w:type="dxa"/>
              <w:right w:w="20" w:type="dxa"/>
            </w:tcMar>
            <w:vAlign w:val="bottom"/>
            <w:hideMark/>
          </w:tcPr>
          <w:p w14:paraId="1F314DC9"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4181D47D"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CC1894A" w14:textId="77777777" w:rsidR="00000000" w:rsidRDefault="00405D16">
            <w:pPr>
              <w:spacing w:after="100"/>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14:paraId="17BCB979"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E24056A" w14:textId="77777777" w:rsidR="00000000" w:rsidRDefault="00405D16">
            <w:pPr>
              <w:spacing w:after="100"/>
              <w:jc w:val="center"/>
              <w:rPr>
                <w:rFonts w:eastAsia="Times New Roman"/>
              </w:rPr>
            </w:pPr>
            <w:r>
              <w:rPr>
                <w:rFonts w:eastAsia="Times New Roman"/>
                <w:b/>
                <w:bCs/>
                <w:color w:val="000000"/>
                <w:sz w:val="16"/>
                <w:szCs w:val="16"/>
              </w:rPr>
              <w:t>Carrying Amount of Liabilities</w:t>
            </w:r>
          </w:p>
        </w:tc>
        <w:tc>
          <w:tcPr>
            <w:tcW w:w="0" w:type="auto"/>
            <w:gridSpan w:val="3"/>
            <w:tcMar>
              <w:top w:w="0" w:type="dxa"/>
              <w:left w:w="20" w:type="dxa"/>
              <w:bottom w:w="0" w:type="dxa"/>
              <w:right w:w="20" w:type="dxa"/>
            </w:tcMar>
            <w:vAlign w:val="center"/>
            <w:hideMark/>
          </w:tcPr>
          <w:p w14:paraId="06F07EAA"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337FA5A" w14:textId="77777777" w:rsidR="00000000" w:rsidRDefault="00405D16">
            <w:pPr>
              <w:spacing w:after="100"/>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14:paraId="258C2A2F"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D3B1E9A" w14:textId="77777777" w:rsidR="00000000" w:rsidRDefault="00405D16">
            <w:pPr>
              <w:spacing w:after="100"/>
              <w:jc w:val="center"/>
              <w:rPr>
                <w:rFonts w:eastAsia="Times New Roman"/>
              </w:rPr>
            </w:pPr>
            <w:r>
              <w:rPr>
                <w:rFonts w:eastAsia="Times New Roman"/>
                <w:b/>
                <w:bCs/>
                <w:color w:val="000000"/>
                <w:sz w:val="16"/>
                <w:szCs w:val="16"/>
              </w:rPr>
              <w:t>Carrying Amount of Liabilities</w:t>
            </w:r>
          </w:p>
        </w:tc>
        <w:tc>
          <w:tcPr>
            <w:tcW w:w="0" w:type="auto"/>
            <w:gridSpan w:val="3"/>
            <w:tcBorders>
              <w:top w:val="single" w:sz="8" w:space="0" w:color="000000"/>
            </w:tcBorders>
            <w:tcMar>
              <w:top w:w="0" w:type="dxa"/>
              <w:left w:w="20" w:type="dxa"/>
              <w:bottom w:w="0" w:type="dxa"/>
              <w:right w:w="20" w:type="dxa"/>
            </w:tcMar>
            <w:vAlign w:val="center"/>
            <w:hideMark/>
          </w:tcPr>
          <w:p w14:paraId="30119F09"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F0EF2BD" w14:textId="77777777" w:rsidR="00000000" w:rsidRDefault="00405D16">
            <w:pPr>
              <w:spacing w:after="100"/>
              <w:jc w:val="center"/>
              <w:rPr>
                <w:rFonts w:eastAsia="Times New Roman"/>
              </w:rPr>
            </w:pPr>
            <w:r>
              <w:rPr>
                <w:rFonts w:eastAsia="Times New Roman"/>
                <w:b/>
                <w:bCs/>
                <w:color w:val="000000"/>
                <w:sz w:val="16"/>
                <w:szCs w:val="16"/>
              </w:rPr>
              <w:t>Maximum Exposure to Loss</w:t>
            </w:r>
          </w:p>
        </w:tc>
      </w:tr>
      <w:tr w:rsidR="00000000" w14:paraId="08496594" w14:textId="77777777">
        <w:trPr>
          <w:divId w:val="119730639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CC9D7C8" w14:textId="77777777" w:rsidR="00000000" w:rsidRDefault="00405D16">
            <w:pPr>
              <w:spacing w:after="100"/>
              <w:divId w:val="1899899234"/>
              <w:rPr>
                <w:rFonts w:eastAsia="Times New Roman"/>
              </w:rPr>
            </w:pPr>
            <w:r>
              <w:rPr>
                <w:rFonts w:eastAsia="Times New Roman"/>
                <w:b/>
                <w:bCs/>
                <w:color w:val="000000"/>
                <w:sz w:val="18"/>
                <w:szCs w:val="18"/>
              </w:rPr>
              <w:t>Securitization-Related VIEs</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0667D107"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CAA3F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009A24"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6260A0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5B9C2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182C73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210ED4"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C4294F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587E52"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AF30666" w14:textId="77777777" w:rsidR="00000000" w:rsidRDefault="00405D16">
            <w:pPr>
              <w:spacing w:after="100"/>
              <w:rPr>
                <w:rFonts w:eastAsia="Times New Roman"/>
                <w:sz w:val="20"/>
                <w:szCs w:val="20"/>
              </w:rPr>
            </w:pPr>
          </w:p>
        </w:tc>
      </w:tr>
      <w:tr w:rsidR="00000000" w14:paraId="5A21EDE3" w14:textId="77777777">
        <w:trPr>
          <w:divId w:val="1197306392"/>
        </w:trPr>
        <w:tc>
          <w:tcPr>
            <w:tcW w:w="0" w:type="auto"/>
            <w:gridSpan w:val="3"/>
            <w:shd w:val="clear" w:color="auto" w:fill="FFFFFF"/>
            <w:tcMar>
              <w:top w:w="30" w:type="dxa"/>
              <w:left w:w="20" w:type="dxa"/>
              <w:bottom w:w="30" w:type="dxa"/>
              <w:right w:w="20" w:type="dxa"/>
            </w:tcMar>
            <w:vAlign w:val="center"/>
            <w:hideMark/>
          </w:tcPr>
          <w:p w14:paraId="02CA8F40" w14:textId="77777777" w:rsidR="00000000" w:rsidRDefault="00405D16">
            <w:pPr>
              <w:spacing w:after="100"/>
              <w:divId w:val="576982758"/>
              <w:rPr>
                <w:rFonts w:eastAsia="Times New Roman"/>
              </w:rPr>
            </w:pPr>
            <w:r>
              <w:rPr>
                <w:rFonts w:eastAsia="Times New Roman"/>
                <w:color w:val="000000"/>
                <w:sz w:val="18"/>
                <w:szCs w:val="18"/>
              </w:rPr>
              <w:t>Credit card loan securitization</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2FE62B5F"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2C1A99EE"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139015B5" w14:textId="77777777" w:rsidR="00000000" w:rsidRDefault="00405D16">
            <w:pPr>
              <w:spacing w:after="100"/>
              <w:jc w:val="right"/>
              <w:rPr>
                <w:rFonts w:eastAsia="Times New Roman"/>
              </w:rPr>
            </w:pPr>
            <w:r>
              <w:rPr>
                <w:rFonts w:eastAsia="Times New Roman"/>
                <w:b/>
                <w:bCs/>
                <w:color w:val="000000"/>
                <w:sz w:val="18"/>
                <w:szCs w:val="18"/>
              </w:rPr>
              <w:t>20,604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99D76D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E56894"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3E9D860"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5D1E8FD9" w14:textId="77777777" w:rsidR="00000000" w:rsidRDefault="00405D16">
            <w:pPr>
              <w:spacing w:after="100"/>
              <w:jc w:val="right"/>
              <w:rPr>
                <w:rFonts w:eastAsia="Times New Roman"/>
              </w:rPr>
            </w:pPr>
            <w:r>
              <w:rPr>
                <w:rFonts w:eastAsia="Times New Roman"/>
                <w:b/>
                <w:bCs/>
                <w:color w:val="000000"/>
                <w:sz w:val="18"/>
                <w:szCs w:val="18"/>
              </w:rPr>
              <w:t>11,489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88161C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91095B"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520977D"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5E606F6C"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49F7A5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256253"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639FA9E"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595071E3"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E2E004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CDBCCC"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0D0B4A8"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61AF3CA3"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AB62E7B" w14:textId="77777777" w:rsidR="00000000" w:rsidRDefault="00405D16">
            <w:pPr>
              <w:spacing w:after="100"/>
              <w:jc w:val="right"/>
              <w:rPr>
                <w:rFonts w:eastAsia="Times New Roman"/>
              </w:rPr>
            </w:pPr>
          </w:p>
        </w:tc>
      </w:tr>
      <w:tr w:rsidR="00000000" w14:paraId="6207E11A" w14:textId="77777777">
        <w:trPr>
          <w:divId w:val="1197306392"/>
        </w:trPr>
        <w:tc>
          <w:tcPr>
            <w:tcW w:w="0" w:type="auto"/>
            <w:gridSpan w:val="3"/>
            <w:shd w:val="clear" w:color="auto" w:fill="CCEEFF"/>
            <w:tcMar>
              <w:top w:w="30" w:type="dxa"/>
              <w:left w:w="245" w:type="dxa"/>
              <w:bottom w:w="30" w:type="dxa"/>
              <w:right w:w="20" w:type="dxa"/>
            </w:tcMar>
            <w:vAlign w:val="center"/>
            <w:hideMark/>
          </w:tcPr>
          <w:p w14:paraId="62B0090F" w14:textId="77777777" w:rsidR="00000000" w:rsidRDefault="00405D16">
            <w:pPr>
              <w:spacing w:after="100"/>
              <w:rPr>
                <w:rFonts w:eastAsia="Times New Roman"/>
              </w:rPr>
            </w:pPr>
            <w:r>
              <w:rPr>
                <w:rFonts w:eastAsia="Times New Roman"/>
                <w:color w:val="000000"/>
                <w:sz w:val="18"/>
                <w:szCs w:val="18"/>
              </w:rPr>
              <w:t>Auto loan securitizations</w:t>
            </w:r>
          </w:p>
        </w:tc>
        <w:tc>
          <w:tcPr>
            <w:tcW w:w="0" w:type="auto"/>
            <w:gridSpan w:val="3"/>
            <w:shd w:val="clear" w:color="auto" w:fill="CCEEFF"/>
            <w:tcMar>
              <w:top w:w="0" w:type="dxa"/>
              <w:left w:w="20" w:type="dxa"/>
              <w:bottom w:w="0" w:type="dxa"/>
              <w:right w:w="20" w:type="dxa"/>
            </w:tcMar>
            <w:vAlign w:val="center"/>
            <w:hideMark/>
          </w:tcPr>
          <w:p w14:paraId="16587E5C"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BF45734" w14:textId="77777777" w:rsidR="00000000" w:rsidRDefault="00405D16">
            <w:pPr>
              <w:spacing w:after="100"/>
              <w:jc w:val="right"/>
              <w:rPr>
                <w:rFonts w:eastAsia="Times New Roman"/>
              </w:rPr>
            </w:pPr>
            <w:r>
              <w:rPr>
                <w:rFonts w:eastAsia="Times New Roman"/>
                <w:b/>
                <w:bCs/>
                <w:color w:val="000000"/>
                <w:sz w:val="18"/>
                <w:szCs w:val="18"/>
              </w:rPr>
              <w:t>1,509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7C2402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24F9D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F91210A" w14:textId="77777777" w:rsidR="00000000" w:rsidRDefault="00405D16">
            <w:pPr>
              <w:spacing w:after="100"/>
              <w:jc w:val="right"/>
              <w:rPr>
                <w:rFonts w:eastAsia="Times New Roman"/>
              </w:rPr>
            </w:pPr>
            <w:r>
              <w:rPr>
                <w:rFonts w:eastAsia="Times New Roman"/>
                <w:b/>
                <w:bCs/>
                <w:color w:val="000000"/>
                <w:sz w:val="18"/>
                <w:szCs w:val="18"/>
              </w:rPr>
              <w:t>1,269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DAD737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33B69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4F052DC"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2A7AED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EC58A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71309D7"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06D55E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85156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592B06A"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7869B7D" w14:textId="77777777" w:rsidR="00000000" w:rsidRDefault="00405D16">
            <w:pPr>
              <w:spacing w:after="100"/>
              <w:jc w:val="right"/>
              <w:rPr>
                <w:rFonts w:eastAsia="Times New Roman"/>
              </w:rPr>
            </w:pPr>
          </w:p>
        </w:tc>
      </w:tr>
      <w:tr w:rsidR="00000000" w14:paraId="291F52F9" w14:textId="77777777">
        <w:trPr>
          <w:divId w:val="1197306392"/>
        </w:trPr>
        <w:tc>
          <w:tcPr>
            <w:tcW w:w="0" w:type="auto"/>
            <w:gridSpan w:val="3"/>
            <w:shd w:val="clear" w:color="auto" w:fill="FFFFFF"/>
            <w:tcMar>
              <w:top w:w="30" w:type="dxa"/>
              <w:left w:w="20" w:type="dxa"/>
              <w:bottom w:w="30" w:type="dxa"/>
              <w:right w:w="20" w:type="dxa"/>
            </w:tcMar>
            <w:vAlign w:val="center"/>
            <w:hideMark/>
          </w:tcPr>
          <w:p w14:paraId="6353825A" w14:textId="77777777" w:rsidR="00000000" w:rsidRDefault="00405D16">
            <w:pPr>
              <w:spacing w:after="100"/>
              <w:rPr>
                <w:rFonts w:eastAsia="Times New Roman"/>
              </w:rPr>
            </w:pPr>
            <w:r>
              <w:rPr>
                <w:rFonts w:eastAsia="Times New Roman"/>
                <w:color w:val="000000"/>
                <w:sz w:val="18"/>
                <w:szCs w:val="18"/>
              </w:rPr>
              <w:t>Total securitization-related VIEs</w:t>
            </w:r>
          </w:p>
        </w:tc>
        <w:tc>
          <w:tcPr>
            <w:tcW w:w="0" w:type="auto"/>
            <w:gridSpan w:val="3"/>
            <w:shd w:val="clear" w:color="auto" w:fill="FFFFFF"/>
            <w:tcMar>
              <w:top w:w="0" w:type="dxa"/>
              <w:left w:w="20" w:type="dxa"/>
              <w:bottom w:w="0" w:type="dxa"/>
              <w:right w:w="20" w:type="dxa"/>
            </w:tcMar>
            <w:vAlign w:val="center"/>
            <w:hideMark/>
          </w:tcPr>
          <w:p w14:paraId="15BCA3B8"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0E18857" w14:textId="77777777" w:rsidR="00000000" w:rsidRDefault="00405D16">
            <w:pPr>
              <w:spacing w:after="100"/>
              <w:jc w:val="right"/>
              <w:rPr>
                <w:rFonts w:eastAsia="Times New Roman"/>
              </w:rPr>
            </w:pPr>
            <w:r>
              <w:rPr>
                <w:rFonts w:eastAsia="Times New Roman"/>
                <w:b/>
                <w:bCs/>
                <w:color w:val="000000"/>
                <w:sz w:val="18"/>
                <w:szCs w:val="18"/>
              </w:rPr>
              <w:t>22,113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738117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024A2F"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BE4D77A" w14:textId="77777777" w:rsidR="00000000" w:rsidRDefault="00405D16">
            <w:pPr>
              <w:spacing w:after="100"/>
              <w:jc w:val="right"/>
              <w:rPr>
                <w:rFonts w:eastAsia="Times New Roman"/>
              </w:rPr>
            </w:pPr>
            <w:r>
              <w:rPr>
                <w:rFonts w:eastAsia="Times New Roman"/>
                <w:b/>
                <w:bCs/>
                <w:color w:val="000000"/>
                <w:sz w:val="18"/>
                <w:szCs w:val="18"/>
              </w:rPr>
              <w:t>12,758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52B141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AEE670"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0CB2AFC"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D3CC64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8FB5F5"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744773B"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89EFCC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536EA6"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9C8BDC7"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52575A7" w14:textId="77777777" w:rsidR="00000000" w:rsidRDefault="00405D16">
            <w:pPr>
              <w:spacing w:after="100"/>
              <w:jc w:val="right"/>
              <w:rPr>
                <w:rFonts w:eastAsia="Times New Roman"/>
              </w:rPr>
            </w:pPr>
          </w:p>
        </w:tc>
      </w:tr>
      <w:tr w:rsidR="00000000" w14:paraId="44BEE58A" w14:textId="77777777">
        <w:trPr>
          <w:divId w:val="1197306392"/>
        </w:trPr>
        <w:tc>
          <w:tcPr>
            <w:tcW w:w="0" w:type="auto"/>
            <w:gridSpan w:val="3"/>
            <w:shd w:val="clear" w:color="auto" w:fill="CCEEFF"/>
            <w:tcMar>
              <w:top w:w="30" w:type="dxa"/>
              <w:left w:w="20" w:type="dxa"/>
              <w:bottom w:w="30" w:type="dxa"/>
              <w:right w:w="20" w:type="dxa"/>
            </w:tcMar>
            <w:vAlign w:val="center"/>
            <w:hideMark/>
          </w:tcPr>
          <w:p w14:paraId="31BEE2FD" w14:textId="77777777" w:rsidR="00000000" w:rsidRDefault="00405D16">
            <w:pPr>
              <w:spacing w:after="100"/>
              <w:divId w:val="384522137"/>
              <w:rPr>
                <w:rFonts w:eastAsia="Times New Roman"/>
              </w:rPr>
            </w:pPr>
            <w:r>
              <w:rPr>
                <w:rFonts w:eastAsia="Times New Roman"/>
                <w:b/>
                <w:bCs/>
                <w:color w:val="000000"/>
                <w:sz w:val="18"/>
                <w:szCs w:val="18"/>
              </w:rPr>
              <w:t>Other VIEs</w:t>
            </w:r>
            <w:r>
              <w:rPr>
                <w:rFonts w:eastAsia="Times New Roman"/>
                <w:b/>
                <w:bCs/>
                <w:color w:val="000000"/>
                <w:sz w:val="18"/>
                <w:szCs w:val="18"/>
              </w:rPr>
              <w:t>:</w:t>
            </w:r>
            <w:r>
              <w:rPr>
                <w:rFonts w:eastAsia="Times New Roman"/>
                <w:b/>
                <w:bCs/>
                <w:color w:val="000000"/>
                <w:sz w:val="12"/>
                <w:szCs w:val="12"/>
              </w:rPr>
              <w:t>(3</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0316D729"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48EBC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8B023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E2158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60085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2D1C4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A33A8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09C36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9A4F9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ED03FD" w14:textId="77777777" w:rsidR="00000000" w:rsidRDefault="00405D16">
            <w:pPr>
              <w:spacing w:after="100"/>
              <w:rPr>
                <w:rFonts w:eastAsia="Times New Roman"/>
                <w:sz w:val="20"/>
                <w:szCs w:val="20"/>
              </w:rPr>
            </w:pPr>
          </w:p>
        </w:tc>
      </w:tr>
      <w:tr w:rsidR="00000000" w14:paraId="293F0A79" w14:textId="77777777">
        <w:trPr>
          <w:divId w:val="1197306392"/>
        </w:trPr>
        <w:tc>
          <w:tcPr>
            <w:tcW w:w="0" w:type="auto"/>
            <w:gridSpan w:val="3"/>
            <w:shd w:val="clear" w:color="auto" w:fill="FFFFFF"/>
            <w:tcMar>
              <w:top w:w="30" w:type="dxa"/>
              <w:left w:w="245" w:type="dxa"/>
              <w:bottom w:w="30" w:type="dxa"/>
              <w:right w:w="20" w:type="dxa"/>
            </w:tcMar>
            <w:vAlign w:val="center"/>
            <w:hideMark/>
          </w:tcPr>
          <w:p w14:paraId="6A78B6CC" w14:textId="77777777" w:rsidR="00000000" w:rsidRDefault="00405D16">
            <w:pPr>
              <w:spacing w:after="100"/>
              <w:rPr>
                <w:rFonts w:eastAsia="Times New Roman"/>
              </w:rPr>
            </w:pPr>
            <w:r>
              <w:rPr>
                <w:rFonts w:eastAsia="Times New Roman"/>
                <w:color w:val="000000"/>
                <w:sz w:val="18"/>
                <w:szCs w:val="18"/>
              </w:rPr>
              <w:t>Affordable housing entities</w:t>
            </w:r>
          </w:p>
        </w:tc>
        <w:tc>
          <w:tcPr>
            <w:tcW w:w="0" w:type="auto"/>
            <w:gridSpan w:val="3"/>
            <w:shd w:val="clear" w:color="auto" w:fill="FFFFFF"/>
            <w:tcMar>
              <w:top w:w="0" w:type="dxa"/>
              <w:left w:w="20" w:type="dxa"/>
              <w:bottom w:w="0" w:type="dxa"/>
              <w:right w:w="20" w:type="dxa"/>
            </w:tcMar>
            <w:vAlign w:val="center"/>
            <w:hideMark/>
          </w:tcPr>
          <w:p w14:paraId="34099DE1"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FFA9E8C" w14:textId="77777777" w:rsidR="00000000" w:rsidRDefault="00405D16">
            <w:pPr>
              <w:spacing w:after="100"/>
              <w:jc w:val="right"/>
              <w:rPr>
                <w:rFonts w:eastAsia="Times New Roman"/>
              </w:rPr>
            </w:pPr>
            <w:r>
              <w:rPr>
                <w:rFonts w:eastAsia="Times New Roman"/>
                <w:b/>
                <w:bCs/>
                <w:color w:val="000000"/>
                <w:sz w:val="18"/>
                <w:szCs w:val="18"/>
              </w:rPr>
              <w:t>264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CA14A9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B71B5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5A15B2F" w14:textId="77777777" w:rsidR="00000000" w:rsidRDefault="00405D16">
            <w:pPr>
              <w:spacing w:after="100"/>
              <w:jc w:val="right"/>
              <w:rPr>
                <w:rFonts w:eastAsia="Times New Roman"/>
              </w:rPr>
            </w:pPr>
            <w:r>
              <w:rPr>
                <w:rFonts w:eastAsia="Times New Roman"/>
                <w:b/>
                <w:bCs/>
                <w:color w:val="000000"/>
                <w:sz w:val="18"/>
                <w:szCs w:val="18"/>
              </w:rPr>
              <w:t>28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A33EDD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38542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D015074" w14:textId="77777777" w:rsidR="00000000" w:rsidRDefault="00405D16">
            <w:pPr>
              <w:spacing w:after="100"/>
              <w:jc w:val="right"/>
              <w:rPr>
                <w:rFonts w:eastAsia="Times New Roman"/>
              </w:rPr>
            </w:pPr>
            <w:r>
              <w:rPr>
                <w:rFonts w:eastAsia="Times New Roman"/>
                <w:b/>
                <w:bCs/>
                <w:color w:val="000000"/>
                <w:sz w:val="18"/>
                <w:szCs w:val="18"/>
              </w:rPr>
              <w:t>4,786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6786EB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3D71E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1485116" w14:textId="77777777" w:rsidR="00000000" w:rsidRDefault="00405D16">
            <w:pPr>
              <w:spacing w:after="100"/>
              <w:jc w:val="right"/>
              <w:rPr>
                <w:rFonts w:eastAsia="Times New Roman"/>
              </w:rPr>
            </w:pPr>
            <w:r>
              <w:rPr>
                <w:rFonts w:eastAsia="Times New Roman"/>
                <w:b/>
                <w:bCs/>
                <w:color w:val="000000"/>
                <w:sz w:val="18"/>
                <w:szCs w:val="18"/>
              </w:rPr>
              <w:t>1,496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E5B977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CEFF0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21ABC55" w14:textId="77777777" w:rsidR="00000000" w:rsidRDefault="00405D16">
            <w:pPr>
              <w:spacing w:after="100"/>
              <w:jc w:val="right"/>
              <w:rPr>
                <w:rFonts w:eastAsia="Times New Roman"/>
              </w:rPr>
            </w:pPr>
            <w:r>
              <w:rPr>
                <w:rFonts w:eastAsia="Times New Roman"/>
                <w:b/>
                <w:bCs/>
                <w:color w:val="000000"/>
                <w:sz w:val="18"/>
                <w:szCs w:val="18"/>
              </w:rPr>
              <w:t>4,786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6B7EE56" w14:textId="77777777" w:rsidR="00000000" w:rsidRDefault="00405D16">
            <w:pPr>
              <w:spacing w:after="100"/>
              <w:jc w:val="right"/>
              <w:rPr>
                <w:rFonts w:eastAsia="Times New Roman"/>
              </w:rPr>
            </w:pPr>
          </w:p>
        </w:tc>
      </w:tr>
      <w:tr w:rsidR="00000000" w14:paraId="0C1FCF9C" w14:textId="77777777">
        <w:trPr>
          <w:divId w:val="1197306392"/>
        </w:trPr>
        <w:tc>
          <w:tcPr>
            <w:tcW w:w="0" w:type="auto"/>
            <w:gridSpan w:val="3"/>
            <w:shd w:val="clear" w:color="auto" w:fill="CCEEFF"/>
            <w:tcMar>
              <w:top w:w="30" w:type="dxa"/>
              <w:left w:w="245" w:type="dxa"/>
              <w:bottom w:w="30" w:type="dxa"/>
              <w:right w:w="20" w:type="dxa"/>
            </w:tcMar>
            <w:vAlign w:val="center"/>
            <w:hideMark/>
          </w:tcPr>
          <w:p w14:paraId="72818465" w14:textId="77777777" w:rsidR="00000000" w:rsidRDefault="00405D16">
            <w:pPr>
              <w:spacing w:after="100"/>
              <w:rPr>
                <w:rFonts w:eastAsia="Times New Roman"/>
              </w:rPr>
            </w:pPr>
            <w:r>
              <w:rPr>
                <w:rFonts w:eastAsia="Times New Roman"/>
                <w:color w:val="000000"/>
                <w:sz w:val="18"/>
                <w:szCs w:val="18"/>
              </w:rPr>
              <w:t>Entities that provide capital to low-income and rural communities</w:t>
            </w:r>
          </w:p>
        </w:tc>
        <w:tc>
          <w:tcPr>
            <w:tcW w:w="0" w:type="auto"/>
            <w:gridSpan w:val="3"/>
            <w:shd w:val="clear" w:color="auto" w:fill="CCEEFF"/>
            <w:tcMar>
              <w:top w:w="0" w:type="dxa"/>
              <w:left w:w="20" w:type="dxa"/>
              <w:bottom w:w="0" w:type="dxa"/>
              <w:right w:w="20" w:type="dxa"/>
            </w:tcMar>
            <w:vAlign w:val="center"/>
            <w:hideMark/>
          </w:tcPr>
          <w:p w14:paraId="6DC0F89F"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F0ED530" w14:textId="77777777" w:rsidR="00000000" w:rsidRDefault="00405D16">
            <w:pPr>
              <w:spacing w:after="100"/>
              <w:jc w:val="right"/>
              <w:rPr>
                <w:rFonts w:eastAsia="Times New Roman"/>
              </w:rPr>
            </w:pPr>
            <w:r>
              <w:rPr>
                <w:rFonts w:eastAsia="Times New Roman"/>
                <w:b/>
                <w:bCs/>
                <w:color w:val="000000"/>
                <w:sz w:val="18"/>
                <w:szCs w:val="18"/>
              </w:rPr>
              <w:t>2,073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7155BC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6F4DE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E0CFBAD" w14:textId="77777777" w:rsidR="00000000" w:rsidRDefault="00405D16">
            <w:pPr>
              <w:spacing w:after="100"/>
              <w:jc w:val="right"/>
              <w:rPr>
                <w:rFonts w:eastAsia="Times New Roman"/>
              </w:rPr>
            </w:pPr>
            <w:r>
              <w:rPr>
                <w:rFonts w:eastAsia="Times New Roman"/>
                <w:b/>
                <w:bCs/>
                <w:color w:val="000000"/>
                <w:sz w:val="18"/>
                <w:szCs w:val="18"/>
              </w:rPr>
              <w:t>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31FE46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89307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F15D751"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3F2293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235D2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3B9498E"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647A2C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3B9B9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ACD6CD0"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5D449CC" w14:textId="77777777" w:rsidR="00000000" w:rsidRDefault="00405D16">
            <w:pPr>
              <w:spacing w:after="100"/>
              <w:jc w:val="right"/>
              <w:rPr>
                <w:rFonts w:eastAsia="Times New Roman"/>
              </w:rPr>
            </w:pPr>
          </w:p>
        </w:tc>
      </w:tr>
      <w:tr w:rsidR="00000000" w14:paraId="79E08B86" w14:textId="77777777">
        <w:trPr>
          <w:divId w:val="1197306392"/>
        </w:trPr>
        <w:tc>
          <w:tcPr>
            <w:tcW w:w="0" w:type="auto"/>
            <w:gridSpan w:val="3"/>
            <w:shd w:val="clear" w:color="auto" w:fill="FFFFFF"/>
            <w:tcMar>
              <w:top w:w="30" w:type="dxa"/>
              <w:left w:w="245" w:type="dxa"/>
              <w:bottom w:w="30" w:type="dxa"/>
              <w:right w:w="20" w:type="dxa"/>
            </w:tcMar>
            <w:vAlign w:val="center"/>
            <w:hideMark/>
          </w:tcPr>
          <w:p w14:paraId="3B6C4580" w14:textId="77777777" w:rsidR="00000000" w:rsidRDefault="00405D16">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14:paraId="43B31152"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7AC5E1D"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AA36AE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482C9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DE3FB3E"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E2A579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6DE13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765D3C5" w14:textId="77777777" w:rsidR="00000000" w:rsidRDefault="00405D16">
            <w:pPr>
              <w:spacing w:after="100"/>
              <w:jc w:val="right"/>
              <w:rPr>
                <w:rFonts w:eastAsia="Times New Roman"/>
              </w:rPr>
            </w:pPr>
            <w:r>
              <w:rPr>
                <w:rFonts w:eastAsia="Times New Roman"/>
                <w:b/>
                <w:bCs/>
                <w:color w:val="000000"/>
                <w:sz w:val="18"/>
                <w:szCs w:val="18"/>
              </w:rPr>
              <w:t>400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87A0FC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BBE54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C5810DC"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98BC4F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108AC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FA9CE77" w14:textId="77777777" w:rsidR="00000000" w:rsidRDefault="00405D16">
            <w:pPr>
              <w:spacing w:after="100"/>
              <w:jc w:val="right"/>
              <w:rPr>
                <w:rFonts w:eastAsia="Times New Roman"/>
              </w:rPr>
            </w:pPr>
            <w:r>
              <w:rPr>
                <w:rFonts w:eastAsia="Times New Roman"/>
                <w:b/>
                <w:bCs/>
                <w:color w:val="000000"/>
                <w:sz w:val="18"/>
                <w:szCs w:val="18"/>
              </w:rPr>
              <w:t>400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062659A" w14:textId="77777777" w:rsidR="00000000" w:rsidRDefault="00405D16">
            <w:pPr>
              <w:spacing w:after="100"/>
              <w:jc w:val="right"/>
              <w:rPr>
                <w:rFonts w:eastAsia="Times New Roman"/>
              </w:rPr>
            </w:pPr>
          </w:p>
        </w:tc>
      </w:tr>
      <w:tr w:rsidR="00000000" w14:paraId="1251C177" w14:textId="77777777">
        <w:trPr>
          <w:divId w:val="1197306392"/>
        </w:trPr>
        <w:tc>
          <w:tcPr>
            <w:tcW w:w="0" w:type="auto"/>
            <w:gridSpan w:val="3"/>
            <w:shd w:val="clear" w:color="auto" w:fill="CCEEFF"/>
            <w:tcMar>
              <w:top w:w="30" w:type="dxa"/>
              <w:left w:w="20" w:type="dxa"/>
              <w:bottom w:w="30" w:type="dxa"/>
              <w:right w:w="20" w:type="dxa"/>
            </w:tcMar>
            <w:vAlign w:val="center"/>
            <w:hideMark/>
          </w:tcPr>
          <w:p w14:paraId="365597EE" w14:textId="77777777" w:rsidR="00000000" w:rsidRDefault="00405D16">
            <w:pPr>
              <w:spacing w:after="100"/>
              <w:rPr>
                <w:rFonts w:eastAsia="Times New Roman"/>
              </w:rPr>
            </w:pPr>
            <w:r>
              <w:rPr>
                <w:rFonts w:eastAsia="Times New Roman"/>
                <w:color w:val="000000"/>
                <w:sz w:val="18"/>
                <w:szCs w:val="18"/>
              </w:rPr>
              <w:t>Total other VIEs</w:t>
            </w:r>
          </w:p>
        </w:tc>
        <w:tc>
          <w:tcPr>
            <w:tcW w:w="0" w:type="auto"/>
            <w:gridSpan w:val="3"/>
            <w:shd w:val="clear" w:color="auto" w:fill="CCEEFF"/>
            <w:tcMar>
              <w:top w:w="0" w:type="dxa"/>
              <w:left w:w="20" w:type="dxa"/>
              <w:bottom w:w="0" w:type="dxa"/>
              <w:right w:w="20" w:type="dxa"/>
            </w:tcMar>
            <w:vAlign w:val="center"/>
            <w:hideMark/>
          </w:tcPr>
          <w:p w14:paraId="0CB24FDE"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FAEB949" w14:textId="77777777" w:rsidR="00000000" w:rsidRDefault="00405D16">
            <w:pPr>
              <w:spacing w:after="100"/>
              <w:jc w:val="right"/>
              <w:rPr>
                <w:rFonts w:eastAsia="Times New Roman"/>
              </w:rPr>
            </w:pPr>
            <w:r>
              <w:rPr>
                <w:rFonts w:eastAsia="Times New Roman"/>
                <w:b/>
                <w:bCs/>
                <w:color w:val="000000"/>
                <w:sz w:val="18"/>
                <w:szCs w:val="18"/>
              </w:rPr>
              <w:t>2,337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D0703D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2BB655"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4FEC98D" w14:textId="77777777" w:rsidR="00000000" w:rsidRDefault="00405D16">
            <w:pPr>
              <w:spacing w:after="100"/>
              <w:jc w:val="right"/>
              <w:rPr>
                <w:rFonts w:eastAsia="Times New Roman"/>
              </w:rPr>
            </w:pPr>
            <w:r>
              <w:rPr>
                <w:rFonts w:eastAsia="Times New Roman"/>
                <w:b/>
                <w:bCs/>
                <w:color w:val="000000"/>
                <w:sz w:val="18"/>
                <w:szCs w:val="18"/>
              </w:rPr>
              <w:t>54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D86E4A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FE26D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3240573" w14:textId="77777777" w:rsidR="00000000" w:rsidRDefault="00405D16">
            <w:pPr>
              <w:spacing w:after="100"/>
              <w:jc w:val="right"/>
              <w:rPr>
                <w:rFonts w:eastAsia="Times New Roman"/>
              </w:rPr>
            </w:pPr>
            <w:r>
              <w:rPr>
                <w:rFonts w:eastAsia="Times New Roman"/>
                <w:b/>
                <w:bCs/>
                <w:color w:val="000000"/>
                <w:sz w:val="18"/>
                <w:szCs w:val="18"/>
              </w:rPr>
              <w:t>5,186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7F211B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9DE2DC"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014DBCD" w14:textId="77777777" w:rsidR="00000000" w:rsidRDefault="00405D16">
            <w:pPr>
              <w:spacing w:after="100"/>
              <w:jc w:val="right"/>
              <w:rPr>
                <w:rFonts w:eastAsia="Times New Roman"/>
              </w:rPr>
            </w:pPr>
            <w:r>
              <w:rPr>
                <w:rFonts w:eastAsia="Times New Roman"/>
                <w:b/>
                <w:bCs/>
                <w:color w:val="000000"/>
                <w:sz w:val="18"/>
                <w:szCs w:val="18"/>
              </w:rPr>
              <w:t>1,496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B41250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378545"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6007339" w14:textId="77777777" w:rsidR="00000000" w:rsidRDefault="00405D16">
            <w:pPr>
              <w:spacing w:after="100"/>
              <w:jc w:val="right"/>
              <w:rPr>
                <w:rFonts w:eastAsia="Times New Roman"/>
              </w:rPr>
            </w:pPr>
            <w:r>
              <w:rPr>
                <w:rFonts w:eastAsia="Times New Roman"/>
                <w:b/>
                <w:bCs/>
                <w:color w:val="000000"/>
                <w:sz w:val="18"/>
                <w:szCs w:val="18"/>
              </w:rPr>
              <w:t>5,186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A510C4C" w14:textId="77777777" w:rsidR="00000000" w:rsidRDefault="00405D16">
            <w:pPr>
              <w:spacing w:after="100"/>
              <w:jc w:val="right"/>
              <w:rPr>
                <w:rFonts w:eastAsia="Times New Roman"/>
              </w:rPr>
            </w:pPr>
          </w:p>
        </w:tc>
      </w:tr>
      <w:tr w:rsidR="00000000" w14:paraId="4910D767" w14:textId="77777777">
        <w:trPr>
          <w:divId w:val="1197306392"/>
        </w:trPr>
        <w:tc>
          <w:tcPr>
            <w:tcW w:w="0" w:type="auto"/>
            <w:gridSpan w:val="3"/>
            <w:shd w:val="clear" w:color="auto" w:fill="FFFFFF"/>
            <w:tcMar>
              <w:top w:w="30" w:type="dxa"/>
              <w:left w:w="20" w:type="dxa"/>
              <w:bottom w:w="30" w:type="dxa"/>
              <w:right w:w="20" w:type="dxa"/>
            </w:tcMar>
            <w:vAlign w:val="center"/>
            <w:hideMark/>
          </w:tcPr>
          <w:p w14:paraId="65779D76" w14:textId="77777777" w:rsidR="00000000" w:rsidRDefault="00405D16">
            <w:pPr>
              <w:spacing w:after="100"/>
              <w:rPr>
                <w:rFonts w:eastAsia="Times New Roman"/>
              </w:rPr>
            </w:pPr>
            <w:r>
              <w:rPr>
                <w:rFonts w:eastAsia="Times New Roman"/>
                <w:color w:val="000000"/>
                <w:sz w:val="18"/>
                <w:szCs w:val="18"/>
              </w:rPr>
              <w:t>Total VIEs</w:t>
            </w:r>
          </w:p>
        </w:tc>
        <w:tc>
          <w:tcPr>
            <w:tcW w:w="0" w:type="auto"/>
            <w:gridSpan w:val="3"/>
            <w:shd w:val="clear" w:color="auto" w:fill="FFFFFF"/>
            <w:tcMar>
              <w:top w:w="0" w:type="dxa"/>
              <w:left w:w="20" w:type="dxa"/>
              <w:bottom w:w="0" w:type="dxa"/>
              <w:right w:w="20" w:type="dxa"/>
            </w:tcMar>
            <w:vAlign w:val="center"/>
            <w:hideMark/>
          </w:tcPr>
          <w:p w14:paraId="38E0B0A7"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EE5C904"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05D69D4" w14:textId="77777777" w:rsidR="00000000" w:rsidRDefault="00405D16">
            <w:pPr>
              <w:spacing w:after="100"/>
              <w:jc w:val="right"/>
              <w:rPr>
                <w:rFonts w:eastAsia="Times New Roman"/>
              </w:rPr>
            </w:pPr>
            <w:r>
              <w:rPr>
                <w:rFonts w:eastAsia="Times New Roman"/>
                <w:b/>
                <w:bCs/>
                <w:color w:val="000000"/>
                <w:sz w:val="18"/>
                <w:szCs w:val="18"/>
              </w:rPr>
              <w:t>24,450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AB1DFE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E689F1"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B4695CD"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DEDBC9B" w14:textId="77777777" w:rsidR="00000000" w:rsidRDefault="00405D16">
            <w:pPr>
              <w:spacing w:after="100"/>
              <w:jc w:val="right"/>
              <w:rPr>
                <w:rFonts w:eastAsia="Times New Roman"/>
              </w:rPr>
            </w:pPr>
            <w:r>
              <w:rPr>
                <w:rFonts w:eastAsia="Times New Roman"/>
                <w:b/>
                <w:bCs/>
                <w:color w:val="000000"/>
                <w:sz w:val="18"/>
                <w:szCs w:val="18"/>
              </w:rPr>
              <w:t>12,812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46945B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A3B122"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3CF154E"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A7134C3" w14:textId="77777777" w:rsidR="00000000" w:rsidRDefault="00405D16">
            <w:pPr>
              <w:spacing w:after="100"/>
              <w:jc w:val="right"/>
              <w:rPr>
                <w:rFonts w:eastAsia="Times New Roman"/>
              </w:rPr>
            </w:pPr>
            <w:r>
              <w:rPr>
                <w:rFonts w:eastAsia="Times New Roman"/>
                <w:b/>
                <w:bCs/>
                <w:color w:val="000000"/>
                <w:sz w:val="18"/>
                <w:szCs w:val="18"/>
              </w:rPr>
              <w:t>5,186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4021E7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579E5C"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C63152C"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0302C74" w14:textId="77777777" w:rsidR="00000000" w:rsidRDefault="00405D16">
            <w:pPr>
              <w:spacing w:after="100"/>
              <w:jc w:val="right"/>
              <w:rPr>
                <w:rFonts w:eastAsia="Times New Roman"/>
              </w:rPr>
            </w:pPr>
            <w:r>
              <w:rPr>
                <w:rFonts w:eastAsia="Times New Roman"/>
                <w:b/>
                <w:bCs/>
                <w:color w:val="000000"/>
                <w:sz w:val="18"/>
                <w:szCs w:val="18"/>
              </w:rPr>
              <w:t>1,496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3260E2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FA7205"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3F50F59"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B5A819B" w14:textId="77777777" w:rsidR="00000000" w:rsidRDefault="00405D16">
            <w:pPr>
              <w:spacing w:after="100"/>
              <w:jc w:val="right"/>
              <w:rPr>
                <w:rFonts w:eastAsia="Times New Roman"/>
              </w:rPr>
            </w:pPr>
            <w:r>
              <w:rPr>
                <w:rFonts w:eastAsia="Times New Roman"/>
                <w:b/>
                <w:bCs/>
                <w:color w:val="000000"/>
                <w:sz w:val="18"/>
                <w:szCs w:val="18"/>
              </w:rPr>
              <w:t>5,186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A2ADA99" w14:textId="77777777" w:rsidR="00000000" w:rsidRDefault="00405D16">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14FAF700" w14:textId="77777777">
        <w:trPr>
          <w:jc w:val="center"/>
        </w:trPr>
        <w:tc>
          <w:tcPr>
            <w:tcW w:w="50" w:type="pct"/>
            <w:vAlign w:val="center"/>
            <w:hideMark/>
          </w:tcPr>
          <w:p w14:paraId="2624709F" w14:textId="77777777" w:rsidR="00000000" w:rsidRDefault="00405D16">
            <w:pPr>
              <w:rPr>
                <w:rFonts w:eastAsia="Times New Roman"/>
              </w:rPr>
            </w:pPr>
          </w:p>
        </w:tc>
        <w:tc>
          <w:tcPr>
            <w:tcW w:w="1606" w:type="pct"/>
            <w:vAlign w:val="center"/>
            <w:hideMark/>
          </w:tcPr>
          <w:p w14:paraId="5F01544F" w14:textId="77777777" w:rsidR="00000000" w:rsidRDefault="00405D16">
            <w:pPr>
              <w:spacing w:after="100"/>
              <w:rPr>
                <w:rFonts w:eastAsia="Times New Roman"/>
                <w:sz w:val="20"/>
                <w:szCs w:val="20"/>
              </w:rPr>
            </w:pPr>
          </w:p>
        </w:tc>
        <w:tc>
          <w:tcPr>
            <w:tcW w:w="5" w:type="pct"/>
            <w:vAlign w:val="center"/>
            <w:hideMark/>
          </w:tcPr>
          <w:p w14:paraId="510C3EA7" w14:textId="77777777" w:rsidR="00000000" w:rsidRDefault="00405D16">
            <w:pPr>
              <w:spacing w:after="100"/>
              <w:rPr>
                <w:rFonts w:eastAsia="Times New Roman"/>
                <w:sz w:val="20"/>
                <w:szCs w:val="20"/>
              </w:rPr>
            </w:pPr>
          </w:p>
        </w:tc>
        <w:tc>
          <w:tcPr>
            <w:tcW w:w="50" w:type="pct"/>
            <w:vAlign w:val="center"/>
            <w:hideMark/>
          </w:tcPr>
          <w:p w14:paraId="5DCC7258" w14:textId="77777777" w:rsidR="00000000" w:rsidRDefault="00405D16">
            <w:pPr>
              <w:spacing w:after="100"/>
              <w:rPr>
                <w:rFonts w:eastAsia="Times New Roman"/>
                <w:sz w:val="20"/>
                <w:szCs w:val="20"/>
              </w:rPr>
            </w:pPr>
          </w:p>
        </w:tc>
        <w:tc>
          <w:tcPr>
            <w:tcW w:w="1614" w:type="pct"/>
            <w:vAlign w:val="center"/>
            <w:hideMark/>
          </w:tcPr>
          <w:p w14:paraId="074B8678" w14:textId="77777777" w:rsidR="00000000" w:rsidRDefault="00405D16">
            <w:pPr>
              <w:spacing w:after="100"/>
              <w:rPr>
                <w:rFonts w:eastAsia="Times New Roman"/>
                <w:sz w:val="20"/>
                <w:szCs w:val="20"/>
              </w:rPr>
            </w:pPr>
          </w:p>
        </w:tc>
        <w:tc>
          <w:tcPr>
            <w:tcW w:w="5" w:type="pct"/>
            <w:vAlign w:val="center"/>
            <w:hideMark/>
          </w:tcPr>
          <w:p w14:paraId="77725DAA" w14:textId="77777777" w:rsidR="00000000" w:rsidRDefault="00405D16">
            <w:pPr>
              <w:spacing w:after="100"/>
              <w:rPr>
                <w:rFonts w:eastAsia="Times New Roman"/>
                <w:sz w:val="20"/>
                <w:szCs w:val="20"/>
              </w:rPr>
            </w:pPr>
          </w:p>
        </w:tc>
        <w:tc>
          <w:tcPr>
            <w:tcW w:w="50" w:type="pct"/>
            <w:vAlign w:val="center"/>
            <w:hideMark/>
          </w:tcPr>
          <w:p w14:paraId="79804C2C" w14:textId="77777777" w:rsidR="00000000" w:rsidRDefault="00405D16">
            <w:pPr>
              <w:spacing w:after="100"/>
              <w:rPr>
                <w:rFonts w:eastAsia="Times New Roman"/>
                <w:sz w:val="20"/>
                <w:szCs w:val="20"/>
              </w:rPr>
            </w:pPr>
          </w:p>
        </w:tc>
        <w:tc>
          <w:tcPr>
            <w:tcW w:w="1614" w:type="pct"/>
            <w:vAlign w:val="center"/>
            <w:hideMark/>
          </w:tcPr>
          <w:p w14:paraId="49F73948" w14:textId="77777777" w:rsidR="00000000" w:rsidRDefault="00405D16">
            <w:pPr>
              <w:spacing w:after="100"/>
              <w:rPr>
                <w:rFonts w:eastAsia="Times New Roman"/>
                <w:sz w:val="20"/>
                <w:szCs w:val="20"/>
              </w:rPr>
            </w:pPr>
          </w:p>
        </w:tc>
        <w:tc>
          <w:tcPr>
            <w:tcW w:w="5" w:type="pct"/>
            <w:vAlign w:val="center"/>
            <w:hideMark/>
          </w:tcPr>
          <w:p w14:paraId="2C5D5E64" w14:textId="77777777" w:rsidR="00000000" w:rsidRDefault="00405D16">
            <w:pPr>
              <w:spacing w:after="100"/>
              <w:rPr>
                <w:rFonts w:eastAsia="Times New Roman"/>
                <w:sz w:val="20"/>
                <w:szCs w:val="20"/>
              </w:rPr>
            </w:pPr>
          </w:p>
        </w:tc>
      </w:tr>
      <w:tr w:rsidR="00000000" w14:paraId="5D2ABF2E" w14:textId="77777777">
        <w:trPr>
          <w:trHeight w:val="300"/>
          <w:jc w:val="center"/>
        </w:trPr>
        <w:tc>
          <w:tcPr>
            <w:tcW w:w="0" w:type="auto"/>
            <w:gridSpan w:val="9"/>
            <w:tcMar>
              <w:top w:w="0" w:type="dxa"/>
              <w:left w:w="20" w:type="dxa"/>
              <w:bottom w:w="0" w:type="dxa"/>
              <w:right w:w="20" w:type="dxa"/>
            </w:tcMar>
            <w:vAlign w:val="center"/>
            <w:hideMark/>
          </w:tcPr>
          <w:p w14:paraId="7AE27837" w14:textId="77777777" w:rsidR="00000000" w:rsidRDefault="00405D16">
            <w:pPr>
              <w:spacing w:after="100"/>
              <w:rPr>
                <w:rFonts w:eastAsia="Times New Roman"/>
                <w:sz w:val="20"/>
                <w:szCs w:val="20"/>
              </w:rPr>
            </w:pPr>
          </w:p>
        </w:tc>
      </w:tr>
      <w:tr w:rsidR="00000000" w14:paraId="3EF7CDCA" w14:textId="77777777">
        <w:trPr>
          <w:jc w:val="center"/>
        </w:trPr>
        <w:tc>
          <w:tcPr>
            <w:tcW w:w="0" w:type="auto"/>
            <w:gridSpan w:val="3"/>
            <w:tcMar>
              <w:top w:w="0" w:type="dxa"/>
              <w:left w:w="20" w:type="dxa"/>
              <w:bottom w:w="0" w:type="dxa"/>
              <w:right w:w="20" w:type="dxa"/>
            </w:tcMar>
            <w:vAlign w:val="center"/>
            <w:hideMark/>
          </w:tcPr>
          <w:p w14:paraId="4BF52273"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6376E58" w14:textId="77777777" w:rsidR="00000000" w:rsidRDefault="00405D16">
            <w:pPr>
              <w:spacing w:after="100"/>
              <w:jc w:val="center"/>
              <w:rPr>
                <w:rFonts w:eastAsia="Times New Roman"/>
              </w:rPr>
            </w:pPr>
            <w:r>
              <w:rPr>
                <w:rFonts w:eastAsia="Times New Roman"/>
                <w:color w:val="000000"/>
                <w:sz w:val="16"/>
                <w:szCs w:val="16"/>
              </w:rPr>
              <w:t>96</w:t>
            </w:r>
          </w:p>
        </w:tc>
        <w:tc>
          <w:tcPr>
            <w:tcW w:w="0" w:type="auto"/>
            <w:gridSpan w:val="3"/>
            <w:tcMar>
              <w:top w:w="30" w:type="dxa"/>
              <w:left w:w="20" w:type="dxa"/>
              <w:bottom w:w="30" w:type="dxa"/>
              <w:right w:w="20" w:type="dxa"/>
            </w:tcMar>
            <w:vAlign w:val="bottom"/>
            <w:hideMark/>
          </w:tcPr>
          <w:p w14:paraId="6790F444"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439E863D" w14:textId="77777777" w:rsidR="00000000" w:rsidRDefault="00405D16">
      <w:pPr>
        <w:rPr>
          <w:rFonts w:eastAsia="Times New Roman"/>
        </w:rPr>
      </w:pPr>
      <w:r>
        <w:rPr>
          <w:rFonts w:eastAsia="Times New Roman"/>
        </w:rPr>
        <w:pict w14:anchorId="5D8ACDFC">
          <v:rect id="_x0000_i1121" style="width:0;height:1.5pt" o:hralign="center" o:hrstd="t" o:hr="t" fillcolor="#a0a0a0" stroked="f"/>
        </w:pict>
      </w:r>
    </w:p>
    <w:p w14:paraId="3390B36B" w14:textId="77777777" w:rsidR="00000000" w:rsidRDefault="00405D16">
      <w:pPr>
        <w:jc w:val="both"/>
        <w:divId w:val="1979333110"/>
        <w:rPr>
          <w:rFonts w:eastAsia="Times New Roman"/>
        </w:rPr>
      </w:pPr>
      <w:hyperlink w:anchor="idd54a04a485440b4ab4e56094c14d612_13" w:history="1">
        <w:r>
          <w:rPr>
            <w:rStyle w:val="a3"/>
            <w:rFonts w:eastAsia="Times New Roman"/>
            <w:sz w:val="16"/>
            <w:szCs w:val="16"/>
          </w:rPr>
          <w:t>Table of Contents</w:t>
        </w:r>
      </w:hyperlink>
    </w:p>
    <w:p w14:paraId="513FE0DE" w14:textId="77777777" w:rsidR="00000000" w:rsidRDefault="00405D16">
      <w:pPr>
        <w:jc w:val="center"/>
        <w:divId w:val="197933311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800"/>
        <w:gridCol w:w="38"/>
        <w:gridCol w:w="36"/>
        <w:gridCol w:w="36"/>
        <w:gridCol w:w="36"/>
        <w:gridCol w:w="110"/>
        <w:gridCol w:w="540"/>
        <w:gridCol w:w="36"/>
        <w:gridCol w:w="36"/>
        <w:gridCol w:w="36"/>
        <w:gridCol w:w="36"/>
        <w:gridCol w:w="111"/>
        <w:gridCol w:w="681"/>
        <w:gridCol w:w="36"/>
        <w:gridCol w:w="36"/>
        <w:gridCol w:w="36"/>
        <w:gridCol w:w="36"/>
        <w:gridCol w:w="111"/>
        <w:gridCol w:w="591"/>
        <w:gridCol w:w="36"/>
        <w:gridCol w:w="36"/>
        <w:gridCol w:w="36"/>
        <w:gridCol w:w="36"/>
        <w:gridCol w:w="111"/>
        <w:gridCol w:w="681"/>
        <w:gridCol w:w="36"/>
        <w:gridCol w:w="36"/>
        <w:gridCol w:w="36"/>
        <w:gridCol w:w="36"/>
        <w:gridCol w:w="111"/>
        <w:gridCol w:w="662"/>
        <w:gridCol w:w="36"/>
      </w:tblGrid>
      <w:tr w:rsidR="00000000" w14:paraId="239EF22A" w14:textId="77777777">
        <w:trPr>
          <w:divId w:val="953319205"/>
        </w:trPr>
        <w:tc>
          <w:tcPr>
            <w:tcW w:w="50" w:type="pct"/>
            <w:vAlign w:val="center"/>
            <w:hideMark/>
          </w:tcPr>
          <w:p w14:paraId="1AA28C0D" w14:textId="77777777" w:rsidR="00000000" w:rsidRDefault="00405D16">
            <w:pPr>
              <w:jc w:val="center"/>
              <w:rPr>
                <w:rFonts w:eastAsia="Times New Roman"/>
              </w:rPr>
            </w:pPr>
          </w:p>
        </w:tc>
        <w:tc>
          <w:tcPr>
            <w:tcW w:w="2459" w:type="pct"/>
            <w:vAlign w:val="center"/>
            <w:hideMark/>
          </w:tcPr>
          <w:p w14:paraId="68E39BAC" w14:textId="77777777" w:rsidR="00000000" w:rsidRDefault="00405D16">
            <w:pPr>
              <w:spacing w:after="100"/>
              <w:rPr>
                <w:rFonts w:eastAsia="Times New Roman"/>
                <w:sz w:val="20"/>
                <w:szCs w:val="20"/>
              </w:rPr>
            </w:pPr>
          </w:p>
        </w:tc>
        <w:tc>
          <w:tcPr>
            <w:tcW w:w="5" w:type="pct"/>
            <w:vAlign w:val="center"/>
            <w:hideMark/>
          </w:tcPr>
          <w:p w14:paraId="7ED8043A" w14:textId="77777777" w:rsidR="00000000" w:rsidRDefault="00405D16">
            <w:pPr>
              <w:spacing w:after="100"/>
              <w:rPr>
                <w:rFonts w:eastAsia="Times New Roman"/>
                <w:sz w:val="20"/>
                <w:szCs w:val="20"/>
              </w:rPr>
            </w:pPr>
          </w:p>
        </w:tc>
        <w:tc>
          <w:tcPr>
            <w:tcW w:w="5" w:type="pct"/>
            <w:vAlign w:val="center"/>
            <w:hideMark/>
          </w:tcPr>
          <w:p w14:paraId="402710BE" w14:textId="77777777" w:rsidR="00000000" w:rsidRDefault="00405D16">
            <w:pPr>
              <w:spacing w:after="100"/>
              <w:rPr>
                <w:rFonts w:eastAsia="Times New Roman"/>
                <w:sz w:val="20"/>
                <w:szCs w:val="20"/>
              </w:rPr>
            </w:pPr>
          </w:p>
        </w:tc>
        <w:tc>
          <w:tcPr>
            <w:tcW w:w="26" w:type="pct"/>
            <w:vAlign w:val="center"/>
            <w:hideMark/>
          </w:tcPr>
          <w:p w14:paraId="35BA239D" w14:textId="77777777" w:rsidR="00000000" w:rsidRDefault="00405D16">
            <w:pPr>
              <w:spacing w:after="100"/>
              <w:rPr>
                <w:rFonts w:eastAsia="Times New Roman"/>
                <w:sz w:val="20"/>
                <w:szCs w:val="20"/>
              </w:rPr>
            </w:pPr>
          </w:p>
        </w:tc>
        <w:tc>
          <w:tcPr>
            <w:tcW w:w="5" w:type="pct"/>
            <w:vAlign w:val="center"/>
            <w:hideMark/>
          </w:tcPr>
          <w:p w14:paraId="40F508AA" w14:textId="77777777" w:rsidR="00000000" w:rsidRDefault="00405D16">
            <w:pPr>
              <w:spacing w:after="100"/>
              <w:rPr>
                <w:rFonts w:eastAsia="Times New Roman"/>
                <w:sz w:val="20"/>
                <w:szCs w:val="20"/>
              </w:rPr>
            </w:pPr>
          </w:p>
        </w:tc>
        <w:tc>
          <w:tcPr>
            <w:tcW w:w="50" w:type="pct"/>
            <w:vAlign w:val="center"/>
            <w:hideMark/>
          </w:tcPr>
          <w:p w14:paraId="135A384E" w14:textId="77777777" w:rsidR="00000000" w:rsidRDefault="00405D16">
            <w:pPr>
              <w:spacing w:after="100"/>
              <w:rPr>
                <w:rFonts w:eastAsia="Times New Roman"/>
                <w:sz w:val="20"/>
                <w:szCs w:val="20"/>
              </w:rPr>
            </w:pPr>
          </w:p>
        </w:tc>
        <w:tc>
          <w:tcPr>
            <w:tcW w:w="405" w:type="pct"/>
            <w:vAlign w:val="center"/>
            <w:hideMark/>
          </w:tcPr>
          <w:p w14:paraId="072EB3F3" w14:textId="77777777" w:rsidR="00000000" w:rsidRDefault="00405D16">
            <w:pPr>
              <w:spacing w:after="100"/>
              <w:rPr>
                <w:rFonts w:eastAsia="Times New Roman"/>
                <w:sz w:val="20"/>
                <w:szCs w:val="20"/>
              </w:rPr>
            </w:pPr>
          </w:p>
        </w:tc>
        <w:tc>
          <w:tcPr>
            <w:tcW w:w="5" w:type="pct"/>
            <w:vAlign w:val="center"/>
            <w:hideMark/>
          </w:tcPr>
          <w:p w14:paraId="25BA19D1" w14:textId="77777777" w:rsidR="00000000" w:rsidRDefault="00405D16">
            <w:pPr>
              <w:spacing w:after="100"/>
              <w:rPr>
                <w:rFonts w:eastAsia="Times New Roman"/>
                <w:sz w:val="20"/>
                <w:szCs w:val="20"/>
              </w:rPr>
            </w:pPr>
          </w:p>
        </w:tc>
        <w:tc>
          <w:tcPr>
            <w:tcW w:w="5" w:type="pct"/>
            <w:vAlign w:val="center"/>
            <w:hideMark/>
          </w:tcPr>
          <w:p w14:paraId="6F7D24AA" w14:textId="77777777" w:rsidR="00000000" w:rsidRDefault="00405D16">
            <w:pPr>
              <w:spacing w:after="100"/>
              <w:rPr>
                <w:rFonts w:eastAsia="Times New Roman"/>
                <w:sz w:val="20"/>
                <w:szCs w:val="20"/>
              </w:rPr>
            </w:pPr>
          </w:p>
        </w:tc>
        <w:tc>
          <w:tcPr>
            <w:tcW w:w="26" w:type="pct"/>
            <w:vAlign w:val="center"/>
            <w:hideMark/>
          </w:tcPr>
          <w:p w14:paraId="2EF48160" w14:textId="77777777" w:rsidR="00000000" w:rsidRDefault="00405D16">
            <w:pPr>
              <w:spacing w:after="100"/>
              <w:rPr>
                <w:rFonts w:eastAsia="Times New Roman"/>
                <w:sz w:val="20"/>
                <w:szCs w:val="20"/>
              </w:rPr>
            </w:pPr>
          </w:p>
        </w:tc>
        <w:tc>
          <w:tcPr>
            <w:tcW w:w="5" w:type="pct"/>
            <w:vAlign w:val="center"/>
            <w:hideMark/>
          </w:tcPr>
          <w:p w14:paraId="7513FDD6" w14:textId="77777777" w:rsidR="00000000" w:rsidRDefault="00405D16">
            <w:pPr>
              <w:spacing w:after="100"/>
              <w:rPr>
                <w:rFonts w:eastAsia="Times New Roman"/>
                <w:sz w:val="20"/>
                <w:szCs w:val="20"/>
              </w:rPr>
            </w:pPr>
          </w:p>
        </w:tc>
        <w:tc>
          <w:tcPr>
            <w:tcW w:w="50" w:type="pct"/>
            <w:vAlign w:val="center"/>
            <w:hideMark/>
          </w:tcPr>
          <w:p w14:paraId="1AFE0344" w14:textId="77777777" w:rsidR="00000000" w:rsidRDefault="00405D16">
            <w:pPr>
              <w:spacing w:after="100"/>
              <w:rPr>
                <w:rFonts w:eastAsia="Times New Roman"/>
                <w:sz w:val="20"/>
                <w:szCs w:val="20"/>
              </w:rPr>
            </w:pPr>
          </w:p>
        </w:tc>
        <w:tc>
          <w:tcPr>
            <w:tcW w:w="405" w:type="pct"/>
            <w:vAlign w:val="center"/>
            <w:hideMark/>
          </w:tcPr>
          <w:p w14:paraId="1DCFF962" w14:textId="77777777" w:rsidR="00000000" w:rsidRDefault="00405D16">
            <w:pPr>
              <w:spacing w:after="100"/>
              <w:rPr>
                <w:rFonts w:eastAsia="Times New Roman"/>
                <w:sz w:val="20"/>
                <w:szCs w:val="20"/>
              </w:rPr>
            </w:pPr>
          </w:p>
        </w:tc>
        <w:tc>
          <w:tcPr>
            <w:tcW w:w="5" w:type="pct"/>
            <w:vAlign w:val="center"/>
            <w:hideMark/>
          </w:tcPr>
          <w:p w14:paraId="4E9EE87C" w14:textId="77777777" w:rsidR="00000000" w:rsidRDefault="00405D16">
            <w:pPr>
              <w:spacing w:after="100"/>
              <w:rPr>
                <w:rFonts w:eastAsia="Times New Roman"/>
                <w:sz w:val="20"/>
                <w:szCs w:val="20"/>
              </w:rPr>
            </w:pPr>
          </w:p>
        </w:tc>
        <w:tc>
          <w:tcPr>
            <w:tcW w:w="5" w:type="pct"/>
            <w:vAlign w:val="center"/>
            <w:hideMark/>
          </w:tcPr>
          <w:p w14:paraId="4149CC9E" w14:textId="77777777" w:rsidR="00000000" w:rsidRDefault="00405D16">
            <w:pPr>
              <w:spacing w:after="100"/>
              <w:rPr>
                <w:rFonts w:eastAsia="Times New Roman"/>
                <w:sz w:val="20"/>
                <w:szCs w:val="20"/>
              </w:rPr>
            </w:pPr>
          </w:p>
        </w:tc>
        <w:tc>
          <w:tcPr>
            <w:tcW w:w="26" w:type="pct"/>
            <w:vAlign w:val="center"/>
            <w:hideMark/>
          </w:tcPr>
          <w:p w14:paraId="473B8EA2" w14:textId="77777777" w:rsidR="00000000" w:rsidRDefault="00405D16">
            <w:pPr>
              <w:spacing w:after="100"/>
              <w:rPr>
                <w:rFonts w:eastAsia="Times New Roman"/>
                <w:sz w:val="20"/>
                <w:szCs w:val="20"/>
              </w:rPr>
            </w:pPr>
          </w:p>
        </w:tc>
        <w:tc>
          <w:tcPr>
            <w:tcW w:w="5" w:type="pct"/>
            <w:vAlign w:val="center"/>
            <w:hideMark/>
          </w:tcPr>
          <w:p w14:paraId="52DBB065" w14:textId="77777777" w:rsidR="00000000" w:rsidRDefault="00405D16">
            <w:pPr>
              <w:spacing w:after="100"/>
              <w:rPr>
                <w:rFonts w:eastAsia="Times New Roman"/>
                <w:sz w:val="20"/>
                <w:szCs w:val="20"/>
              </w:rPr>
            </w:pPr>
          </w:p>
        </w:tc>
        <w:tc>
          <w:tcPr>
            <w:tcW w:w="50" w:type="pct"/>
            <w:vAlign w:val="center"/>
            <w:hideMark/>
          </w:tcPr>
          <w:p w14:paraId="510B00D6" w14:textId="77777777" w:rsidR="00000000" w:rsidRDefault="00405D16">
            <w:pPr>
              <w:spacing w:after="100"/>
              <w:rPr>
                <w:rFonts w:eastAsia="Times New Roman"/>
                <w:sz w:val="20"/>
                <w:szCs w:val="20"/>
              </w:rPr>
            </w:pPr>
          </w:p>
        </w:tc>
        <w:tc>
          <w:tcPr>
            <w:tcW w:w="405" w:type="pct"/>
            <w:vAlign w:val="center"/>
            <w:hideMark/>
          </w:tcPr>
          <w:p w14:paraId="2E2BEC08" w14:textId="77777777" w:rsidR="00000000" w:rsidRDefault="00405D16">
            <w:pPr>
              <w:spacing w:after="100"/>
              <w:rPr>
                <w:rFonts w:eastAsia="Times New Roman"/>
                <w:sz w:val="20"/>
                <w:szCs w:val="20"/>
              </w:rPr>
            </w:pPr>
          </w:p>
        </w:tc>
        <w:tc>
          <w:tcPr>
            <w:tcW w:w="5" w:type="pct"/>
            <w:vAlign w:val="center"/>
            <w:hideMark/>
          </w:tcPr>
          <w:p w14:paraId="660AC406" w14:textId="77777777" w:rsidR="00000000" w:rsidRDefault="00405D16">
            <w:pPr>
              <w:spacing w:after="100"/>
              <w:rPr>
                <w:rFonts w:eastAsia="Times New Roman"/>
                <w:sz w:val="20"/>
                <w:szCs w:val="20"/>
              </w:rPr>
            </w:pPr>
          </w:p>
        </w:tc>
        <w:tc>
          <w:tcPr>
            <w:tcW w:w="5" w:type="pct"/>
            <w:vAlign w:val="center"/>
            <w:hideMark/>
          </w:tcPr>
          <w:p w14:paraId="460F0135" w14:textId="77777777" w:rsidR="00000000" w:rsidRDefault="00405D16">
            <w:pPr>
              <w:spacing w:after="100"/>
              <w:rPr>
                <w:rFonts w:eastAsia="Times New Roman"/>
                <w:sz w:val="20"/>
                <w:szCs w:val="20"/>
              </w:rPr>
            </w:pPr>
          </w:p>
        </w:tc>
        <w:tc>
          <w:tcPr>
            <w:tcW w:w="26" w:type="pct"/>
            <w:vAlign w:val="center"/>
            <w:hideMark/>
          </w:tcPr>
          <w:p w14:paraId="48AE1EBA" w14:textId="77777777" w:rsidR="00000000" w:rsidRDefault="00405D16">
            <w:pPr>
              <w:spacing w:after="100"/>
              <w:rPr>
                <w:rFonts w:eastAsia="Times New Roman"/>
                <w:sz w:val="20"/>
                <w:szCs w:val="20"/>
              </w:rPr>
            </w:pPr>
          </w:p>
        </w:tc>
        <w:tc>
          <w:tcPr>
            <w:tcW w:w="5" w:type="pct"/>
            <w:vAlign w:val="center"/>
            <w:hideMark/>
          </w:tcPr>
          <w:p w14:paraId="5ADDA28E" w14:textId="77777777" w:rsidR="00000000" w:rsidRDefault="00405D16">
            <w:pPr>
              <w:spacing w:after="100"/>
              <w:rPr>
                <w:rFonts w:eastAsia="Times New Roman"/>
                <w:sz w:val="20"/>
                <w:szCs w:val="20"/>
              </w:rPr>
            </w:pPr>
          </w:p>
        </w:tc>
        <w:tc>
          <w:tcPr>
            <w:tcW w:w="50" w:type="pct"/>
            <w:vAlign w:val="center"/>
            <w:hideMark/>
          </w:tcPr>
          <w:p w14:paraId="03B20B64" w14:textId="77777777" w:rsidR="00000000" w:rsidRDefault="00405D16">
            <w:pPr>
              <w:spacing w:after="100"/>
              <w:rPr>
                <w:rFonts w:eastAsia="Times New Roman"/>
                <w:sz w:val="20"/>
                <w:szCs w:val="20"/>
              </w:rPr>
            </w:pPr>
          </w:p>
        </w:tc>
        <w:tc>
          <w:tcPr>
            <w:tcW w:w="405" w:type="pct"/>
            <w:vAlign w:val="center"/>
            <w:hideMark/>
          </w:tcPr>
          <w:p w14:paraId="606B9AB9" w14:textId="77777777" w:rsidR="00000000" w:rsidRDefault="00405D16">
            <w:pPr>
              <w:spacing w:after="100"/>
              <w:rPr>
                <w:rFonts w:eastAsia="Times New Roman"/>
                <w:sz w:val="20"/>
                <w:szCs w:val="20"/>
              </w:rPr>
            </w:pPr>
          </w:p>
        </w:tc>
        <w:tc>
          <w:tcPr>
            <w:tcW w:w="5" w:type="pct"/>
            <w:vAlign w:val="center"/>
            <w:hideMark/>
          </w:tcPr>
          <w:p w14:paraId="1B1B892B" w14:textId="77777777" w:rsidR="00000000" w:rsidRDefault="00405D16">
            <w:pPr>
              <w:spacing w:after="100"/>
              <w:rPr>
                <w:rFonts w:eastAsia="Times New Roman"/>
                <w:sz w:val="20"/>
                <w:szCs w:val="20"/>
              </w:rPr>
            </w:pPr>
          </w:p>
        </w:tc>
        <w:tc>
          <w:tcPr>
            <w:tcW w:w="5" w:type="pct"/>
            <w:vAlign w:val="center"/>
            <w:hideMark/>
          </w:tcPr>
          <w:p w14:paraId="0A6A07EC" w14:textId="77777777" w:rsidR="00000000" w:rsidRDefault="00405D16">
            <w:pPr>
              <w:spacing w:after="100"/>
              <w:rPr>
                <w:rFonts w:eastAsia="Times New Roman"/>
                <w:sz w:val="20"/>
                <w:szCs w:val="20"/>
              </w:rPr>
            </w:pPr>
          </w:p>
        </w:tc>
        <w:tc>
          <w:tcPr>
            <w:tcW w:w="26" w:type="pct"/>
            <w:vAlign w:val="center"/>
            <w:hideMark/>
          </w:tcPr>
          <w:p w14:paraId="20BE9F49" w14:textId="77777777" w:rsidR="00000000" w:rsidRDefault="00405D16">
            <w:pPr>
              <w:spacing w:after="100"/>
              <w:rPr>
                <w:rFonts w:eastAsia="Times New Roman"/>
                <w:sz w:val="20"/>
                <w:szCs w:val="20"/>
              </w:rPr>
            </w:pPr>
          </w:p>
        </w:tc>
        <w:tc>
          <w:tcPr>
            <w:tcW w:w="5" w:type="pct"/>
            <w:vAlign w:val="center"/>
            <w:hideMark/>
          </w:tcPr>
          <w:p w14:paraId="4BF16FFC" w14:textId="77777777" w:rsidR="00000000" w:rsidRDefault="00405D16">
            <w:pPr>
              <w:spacing w:after="100"/>
              <w:rPr>
                <w:rFonts w:eastAsia="Times New Roman"/>
                <w:sz w:val="20"/>
                <w:szCs w:val="20"/>
              </w:rPr>
            </w:pPr>
          </w:p>
        </w:tc>
        <w:tc>
          <w:tcPr>
            <w:tcW w:w="50" w:type="pct"/>
            <w:vAlign w:val="center"/>
            <w:hideMark/>
          </w:tcPr>
          <w:p w14:paraId="086206CB" w14:textId="77777777" w:rsidR="00000000" w:rsidRDefault="00405D16">
            <w:pPr>
              <w:spacing w:after="100"/>
              <w:rPr>
                <w:rFonts w:eastAsia="Times New Roman"/>
                <w:sz w:val="20"/>
                <w:szCs w:val="20"/>
              </w:rPr>
            </w:pPr>
          </w:p>
        </w:tc>
        <w:tc>
          <w:tcPr>
            <w:tcW w:w="405" w:type="pct"/>
            <w:vAlign w:val="center"/>
            <w:hideMark/>
          </w:tcPr>
          <w:p w14:paraId="33AB50F8" w14:textId="77777777" w:rsidR="00000000" w:rsidRDefault="00405D16">
            <w:pPr>
              <w:spacing w:after="100"/>
              <w:rPr>
                <w:rFonts w:eastAsia="Times New Roman"/>
                <w:sz w:val="20"/>
                <w:szCs w:val="20"/>
              </w:rPr>
            </w:pPr>
          </w:p>
        </w:tc>
        <w:tc>
          <w:tcPr>
            <w:tcW w:w="5" w:type="pct"/>
            <w:vAlign w:val="center"/>
            <w:hideMark/>
          </w:tcPr>
          <w:p w14:paraId="4E4E0EE9" w14:textId="77777777" w:rsidR="00000000" w:rsidRDefault="00405D16">
            <w:pPr>
              <w:spacing w:after="100"/>
              <w:rPr>
                <w:rFonts w:eastAsia="Times New Roman"/>
                <w:sz w:val="20"/>
                <w:szCs w:val="20"/>
              </w:rPr>
            </w:pPr>
          </w:p>
        </w:tc>
      </w:tr>
      <w:tr w:rsidR="00000000" w14:paraId="7AF66A88" w14:textId="77777777">
        <w:trPr>
          <w:divId w:val="953319205"/>
        </w:trPr>
        <w:tc>
          <w:tcPr>
            <w:tcW w:w="0" w:type="auto"/>
            <w:gridSpan w:val="3"/>
            <w:tcMar>
              <w:top w:w="30" w:type="dxa"/>
              <w:left w:w="20" w:type="dxa"/>
              <w:bottom w:w="30" w:type="dxa"/>
              <w:right w:w="20" w:type="dxa"/>
            </w:tcMar>
            <w:vAlign w:val="bottom"/>
            <w:hideMark/>
          </w:tcPr>
          <w:p w14:paraId="23BCEFDB"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224A59AF" w14:textId="77777777" w:rsidR="00000000" w:rsidRDefault="00405D16">
            <w:pPr>
              <w:spacing w:after="100"/>
              <w:rPr>
                <w:rFonts w:eastAsia="Times New Roman"/>
              </w:rPr>
            </w:pPr>
          </w:p>
        </w:tc>
        <w:tc>
          <w:tcPr>
            <w:tcW w:w="0" w:type="auto"/>
            <w:gridSpan w:val="27"/>
            <w:tcBorders>
              <w:bottom w:val="single" w:sz="8" w:space="0" w:color="000000"/>
            </w:tcBorders>
            <w:tcMar>
              <w:top w:w="30" w:type="dxa"/>
              <w:left w:w="20" w:type="dxa"/>
              <w:bottom w:w="30" w:type="dxa"/>
              <w:right w:w="20" w:type="dxa"/>
            </w:tcMar>
            <w:vAlign w:val="bottom"/>
            <w:hideMark/>
          </w:tcPr>
          <w:p w14:paraId="195F6019" w14:textId="77777777" w:rsidR="00000000" w:rsidRDefault="00405D16">
            <w:pPr>
              <w:spacing w:after="100"/>
              <w:jc w:val="center"/>
              <w:rPr>
                <w:rFonts w:eastAsia="Times New Roman"/>
              </w:rPr>
            </w:pPr>
            <w:r>
              <w:rPr>
                <w:rFonts w:eastAsia="Times New Roman"/>
                <w:b/>
                <w:bCs/>
                <w:color w:val="000000"/>
                <w:sz w:val="16"/>
                <w:szCs w:val="16"/>
              </w:rPr>
              <w:t>December 31, 2020</w:t>
            </w:r>
          </w:p>
        </w:tc>
      </w:tr>
      <w:tr w:rsidR="00000000" w14:paraId="6CFEFC27" w14:textId="77777777">
        <w:trPr>
          <w:divId w:val="953319205"/>
        </w:trPr>
        <w:tc>
          <w:tcPr>
            <w:tcW w:w="0" w:type="auto"/>
            <w:gridSpan w:val="3"/>
            <w:tcMar>
              <w:top w:w="30" w:type="dxa"/>
              <w:left w:w="20" w:type="dxa"/>
              <w:bottom w:w="30" w:type="dxa"/>
              <w:right w:w="20" w:type="dxa"/>
            </w:tcMar>
            <w:vAlign w:val="bottom"/>
            <w:hideMark/>
          </w:tcPr>
          <w:p w14:paraId="5A61E03C"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7E44F4F" w14:textId="77777777" w:rsidR="00000000" w:rsidRDefault="00405D16">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0CC39106" w14:textId="77777777" w:rsidR="00000000" w:rsidRDefault="00405D16">
            <w:pPr>
              <w:spacing w:after="100"/>
              <w:jc w:val="center"/>
              <w:rPr>
                <w:rFonts w:eastAsia="Times New Roman"/>
              </w:rPr>
            </w:pPr>
            <w:r>
              <w:rPr>
                <w:rFonts w:eastAsia="Times New Roman"/>
                <w:b/>
                <w:bCs/>
                <w:color w:val="000000"/>
                <w:sz w:val="16"/>
                <w:szCs w:val="16"/>
              </w:rPr>
              <w:t>Consolidated</w:t>
            </w:r>
          </w:p>
        </w:tc>
        <w:tc>
          <w:tcPr>
            <w:tcW w:w="0" w:type="auto"/>
            <w:gridSpan w:val="3"/>
            <w:tcBorders>
              <w:top w:val="single" w:sz="8" w:space="0" w:color="000000"/>
            </w:tcBorders>
            <w:tcMar>
              <w:top w:w="0" w:type="dxa"/>
              <w:left w:w="20" w:type="dxa"/>
              <w:bottom w:w="0" w:type="dxa"/>
              <w:right w:w="20" w:type="dxa"/>
            </w:tcMar>
            <w:vAlign w:val="center"/>
            <w:hideMark/>
          </w:tcPr>
          <w:p w14:paraId="459F4874" w14:textId="77777777" w:rsidR="00000000" w:rsidRDefault="00405D16">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0AAB699A" w14:textId="77777777" w:rsidR="00000000" w:rsidRDefault="00405D16">
            <w:pPr>
              <w:spacing w:after="100"/>
              <w:jc w:val="center"/>
              <w:rPr>
                <w:rFonts w:eastAsia="Times New Roman"/>
              </w:rPr>
            </w:pPr>
            <w:r>
              <w:rPr>
                <w:rFonts w:eastAsia="Times New Roman"/>
                <w:b/>
                <w:bCs/>
                <w:color w:val="000000"/>
                <w:sz w:val="16"/>
                <w:szCs w:val="16"/>
              </w:rPr>
              <w:t>Unconsolidated</w:t>
            </w:r>
          </w:p>
        </w:tc>
      </w:tr>
      <w:tr w:rsidR="00000000" w14:paraId="0175D638" w14:textId="77777777">
        <w:trPr>
          <w:divId w:val="953319205"/>
        </w:trPr>
        <w:tc>
          <w:tcPr>
            <w:tcW w:w="0" w:type="auto"/>
            <w:gridSpan w:val="3"/>
            <w:tcMar>
              <w:top w:w="30" w:type="dxa"/>
              <w:left w:w="20" w:type="dxa"/>
              <w:bottom w:w="30" w:type="dxa"/>
              <w:right w:w="20" w:type="dxa"/>
            </w:tcMar>
            <w:vAlign w:val="bottom"/>
            <w:hideMark/>
          </w:tcPr>
          <w:p w14:paraId="0D1C61C0"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14DEC6B7"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17A044A" w14:textId="77777777" w:rsidR="00000000" w:rsidRDefault="00405D16">
            <w:pPr>
              <w:spacing w:after="100"/>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14:paraId="0103725D"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C470757" w14:textId="77777777" w:rsidR="00000000" w:rsidRDefault="00405D16">
            <w:pPr>
              <w:spacing w:after="100"/>
              <w:jc w:val="center"/>
              <w:rPr>
                <w:rFonts w:eastAsia="Times New Roman"/>
              </w:rPr>
            </w:pPr>
            <w:r>
              <w:rPr>
                <w:rFonts w:eastAsia="Times New Roman"/>
                <w:b/>
                <w:bCs/>
                <w:color w:val="000000"/>
                <w:sz w:val="16"/>
                <w:szCs w:val="16"/>
              </w:rPr>
              <w:t>Carrying Amount of Liabilities</w:t>
            </w:r>
          </w:p>
        </w:tc>
        <w:tc>
          <w:tcPr>
            <w:tcW w:w="0" w:type="auto"/>
            <w:gridSpan w:val="3"/>
            <w:tcMar>
              <w:top w:w="0" w:type="dxa"/>
              <w:left w:w="20" w:type="dxa"/>
              <w:bottom w:w="0" w:type="dxa"/>
              <w:right w:w="20" w:type="dxa"/>
            </w:tcMar>
            <w:vAlign w:val="center"/>
            <w:hideMark/>
          </w:tcPr>
          <w:p w14:paraId="4BF17F3B"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AAACBBC" w14:textId="77777777" w:rsidR="00000000" w:rsidRDefault="00405D16">
            <w:pPr>
              <w:spacing w:after="100"/>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14:paraId="5556A1D8"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78BBE4C" w14:textId="77777777" w:rsidR="00000000" w:rsidRDefault="00405D16">
            <w:pPr>
              <w:spacing w:after="100"/>
              <w:jc w:val="center"/>
              <w:rPr>
                <w:rFonts w:eastAsia="Times New Roman"/>
              </w:rPr>
            </w:pPr>
            <w:r>
              <w:rPr>
                <w:rFonts w:eastAsia="Times New Roman"/>
                <w:b/>
                <w:bCs/>
                <w:color w:val="000000"/>
                <w:sz w:val="16"/>
                <w:szCs w:val="16"/>
              </w:rPr>
              <w:t>Carrying Amount of Liabilities</w:t>
            </w:r>
          </w:p>
        </w:tc>
        <w:tc>
          <w:tcPr>
            <w:tcW w:w="0" w:type="auto"/>
            <w:gridSpan w:val="3"/>
            <w:tcBorders>
              <w:top w:val="single" w:sz="8" w:space="0" w:color="000000"/>
            </w:tcBorders>
            <w:tcMar>
              <w:top w:w="0" w:type="dxa"/>
              <w:left w:w="20" w:type="dxa"/>
              <w:bottom w:w="0" w:type="dxa"/>
              <w:right w:w="20" w:type="dxa"/>
            </w:tcMar>
            <w:vAlign w:val="center"/>
            <w:hideMark/>
          </w:tcPr>
          <w:p w14:paraId="471059DA"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953DDEE" w14:textId="77777777" w:rsidR="00000000" w:rsidRDefault="00405D16">
            <w:pPr>
              <w:spacing w:after="100"/>
              <w:jc w:val="center"/>
              <w:rPr>
                <w:rFonts w:eastAsia="Times New Roman"/>
              </w:rPr>
            </w:pPr>
            <w:r>
              <w:rPr>
                <w:rFonts w:eastAsia="Times New Roman"/>
                <w:b/>
                <w:bCs/>
                <w:color w:val="000000"/>
                <w:sz w:val="16"/>
                <w:szCs w:val="16"/>
              </w:rPr>
              <w:t>Maximum Exposure to Loss</w:t>
            </w:r>
          </w:p>
        </w:tc>
      </w:tr>
      <w:tr w:rsidR="00000000" w14:paraId="149F4E6B" w14:textId="77777777">
        <w:trPr>
          <w:divId w:val="95331920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0A7E542" w14:textId="77777777" w:rsidR="00000000" w:rsidRDefault="00405D16">
            <w:pPr>
              <w:spacing w:after="100"/>
              <w:divId w:val="761953052"/>
              <w:rPr>
                <w:rFonts w:eastAsia="Times New Roman"/>
              </w:rPr>
            </w:pPr>
            <w:r>
              <w:rPr>
                <w:rFonts w:eastAsia="Times New Roman"/>
                <w:b/>
                <w:bCs/>
                <w:color w:val="000000"/>
                <w:sz w:val="18"/>
                <w:szCs w:val="18"/>
              </w:rPr>
              <w:t>Securitization-Related VIEs</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6412D052"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0CEB9B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B83EA8"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48995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2E4337"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DD574D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EF359E"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3E8B12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E145A9"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D3A6773" w14:textId="77777777" w:rsidR="00000000" w:rsidRDefault="00405D16">
            <w:pPr>
              <w:spacing w:after="100"/>
              <w:rPr>
                <w:rFonts w:eastAsia="Times New Roman"/>
                <w:sz w:val="20"/>
                <w:szCs w:val="20"/>
              </w:rPr>
            </w:pPr>
          </w:p>
        </w:tc>
      </w:tr>
      <w:tr w:rsidR="00000000" w14:paraId="0B482B7C" w14:textId="77777777">
        <w:trPr>
          <w:divId w:val="953319205"/>
        </w:trPr>
        <w:tc>
          <w:tcPr>
            <w:tcW w:w="0" w:type="auto"/>
            <w:gridSpan w:val="3"/>
            <w:shd w:val="clear" w:color="auto" w:fill="FFFFFF"/>
            <w:tcMar>
              <w:top w:w="30" w:type="dxa"/>
              <w:left w:w="20" w:type="dxa"/>
              <w:bottom w:w="30" w:type="dxa"/>
              <w:right w:w="20" w:type="dxa"/>
            </w:tcMar>
            <w:vAlign w:val="center"/>
            <w:hideMark/>
          </w:tcPr>
          <w:p w14:paraId="3E9015B8" w14:textId="77777777" w:rsidR="00000000" w:rsidRDefault="00405D16">
            <w:pPr>
              <w:spacing w:after="100"/>
              <w:divId w:val="61755237"/>
              <w:rPr>
                <w:rFonts w:eastAsia="Times New Roman"/>
              </w:rPr>
            </w:pPr>
            <w:r>
              <w:rPr>
                <w:rFonts w:eastAsia="Times New Roman"/>
                <w:color w:val="000000"/>
                <w:sz w:val="18"/>
                <w:szCs w:val="18"/>
              </w:rPr>
              <w:t>Credit card loan securitization</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389E0C2F"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224646D6"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7D183876" w14:textId="77777777" w:rsidR="00000000" w:rsidRDefault="00405D16">
            <w:pPr>
              <w:spacing w:after="100"/>
              <w:jc w:val="right"/>
              <w:rPr>
                <w:rFonts w:eastAsia="Times New Roman"/>
              </w:rPr>
            </w:pPr>
            <w:r>
              <w:rPr>
                <w:rFonts w:eastAsia="Times New Roman"/>
                <w:color w:val="000000"/>
                <w:sz w:val="18"/>
                <w:szCs w:val="18"/>
              </w:rPr>
              <w:t>22,066 </w:t>
            </w:r>
          </w:p>
        </w:tc>
        <w:tc>
          <w:tcPr>
            <w:tcW w:w="0" w:type="auto"/>
            <w:shd w:val="clear" w:color="auto" w:fill="FFFFFF"/>
            <w:tcMar>
              <w:top w:w="30" w:type="dxa"/>
              <w:left w:w="0" w:type="dxa"/>
              <w:bottom w:w="30" w:type="dxa"/>
              <w:right w:w="20" w:type="dxa"/>
            </w:tcMar>
            <w:vAlign w:val="center"/>
            <w:hideMark/>
          </w:tcPr>
          <w:p w14:paraId="253AF3F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AE1030"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DAFE9E3"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10AC8B40" w14:textId="77777777" w:rsidR="00000000" w:rsidRDefault="00405D16">
            <w:pPr>
              <w:spacing w:after="100"/>
              <w:jc w:val="right"/>
              <w:rPr>
                <w:rFonts w:eastAsia="Times New Roman"/>
              </w:rPr>
            </w:pPr>
            <w:r>
              <w:rPr>
                <w:rFonts w:eastAsia="Times New Roman"/>
                <w:color w:val="000000"/>
                <w:sz w:val="18"/>
                <w:szCs w:val="18"/>
              </w:rPr>
              <w:t>10,338 </w:t>
            </w:r>
          </w:p>
        </w:tc>
        <w:tc>
          <w:tcPr>
            <w:tcW w:w="0" w:type="auto"/>
            <w:shd w:val="clear" w:color="auto" w:fill="FFFFFF"/>
            <w:tcMar>
              <w:top w:w="30" w:type="dxa"/>
              <w:left w:w="0" w:type="dxa"/>
              <w:bottom w:w="30" w:type="dxa"/>
              <w:right w:w="20" w:type="dxa"/>
            </w:tcMar>
            <w:vAlign w:val="center"/>
            <w:hideMark/>
          </w:tcPr>
          <w:p w14:paraId="4666CB6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94F365"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D4A5B83"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48A560C5"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0B7E378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257809"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C7AAF03"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7998D356"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76F094D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8B9743"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436A900"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2FFE3FAA"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47DD2E5B" w14:textId="77777777" w:rsidR="00000000" w:rsidRDefault="00405D16">
            <w:pPr>
              <w:spacing w:after="100"/>
              <w:jc w:val="right"/>
              <w:rPr>
                <w:rFonts w:eastAsia="Times New Roman"/>
              </w:rPr>
            </w:pPr>
          </w:p>
        </w:tc>
      </w:tr>
      <w:tr w:rsidR="00000000" w14:paraId="41D8C931" w14:textId="77777777">
        <w:trPr>
          <w:divId w:val="953319205"/>
        </w:trPr>
        <w:tc>
          <w:tcPr>
            <w:tcW w:w="0" w:type="auto"/>
            <w:gridSpan w:val="3"/>
            <w:shd w:val="clear" w:color="auto" w:fill="CCEEFF"/>
            <w:tcMar>
              <w:top w:w="30" w:type="dxa"/>
              <w:left w:w="245" w:type="dxa"/>
              <w:bottom w:w="30" w:type="dxa"/>
              <w:right w:w="20" w:type="dxa"/>
            </w:tcMar>
            <w:vAlign w:val="center"/>
            <w:hideMark/>
          </w:tcPr>
          <w:p w14:paraId="6AB8E007" w14:textId="77777777" w:rsidR="00000000" w:rsidRDefault="00405D16">
            <w:pPr>
              <w:spacing w:after="100"/>
              <w:rPr>
                <w:rFonts w:eastAsia="Times New Roman"/>
              </w:rPr>
            </w:pPr>
            <w:r>
              <w:rPr>
                <w:rFonts w:eastAsia="Times New Roman"/>
                <w:color w:val="000000"/>
                <w:sz w:val="18"/>
                <w:szCs w:val="18"/>
              </w:rPr>
              <w:t>Auto loan securitizations</w:t>
            </w:r>
          </w:p>
        </w:tc>
        <w:tc>
          <w:tcPr>
            <w:tcW w:w="0" w:type="auto"/>
            <w:gridSpan w:val="3"/>
            <w:shd w:val="clear" w:color="auto" w:fill="CCEEFF"/>
            <w:tcMar>
              <w:top w:w="0" w:type="dxa"/>
              <w:left w:w="20" w:type="dxa"/>
              <w:bottom w:w="0" w:type="dxa"/>
              <w:right w:w="20" w:type="dxa"/>
            </w:tcMar>
            <w:vAlign w:val="center"/>
            <w:hideMark/>
          </w:tcPr>
          <w:p w14:paraId="51775E49"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B68E604" w14:textId="77777777" w:rsidR="00000000" w:rsidRDefault="00405D16">
            <w:pPr>
              <w:spacing w:after="100"/>
              <w:jc w:val="right"/>
              <w:rPr>
                <w:rFonts w:eastAsia="Times New Roman"/>
              </w:rPr>
            </w:pPr>
            <w:r>
              <w:rPr>
                <w:rFonts w:eastAsia="Times New Roman"/>
                <w:color w:val="000000"/>
                <w:sz w:val="18"/>
                <w:szCs w:val="18"/>
              </w:rPr>
              <w:t>2,360 </w:t>
            </w:r>
          </w:p>
        </w:tc>
        <w:tc>
          <w:tcPr>
            <w:tcW w:w="0" w:type="auto"/>
            <w:shd w:val="clear" w:color="auto" w:fill="CCEEFF"/>
            <w:tcMar>
              <w:top w:w="30" w:type="dxa"/>
              <w:left w:w="0" w:type="dxa"/>
              <w:bottom w:w="30" w:type="dxa"/>
              <w:right w:w="20" w:type="dxa"/>
            </w:tcMar>
            <w:vAlign w:val="center"/>
            <w:hideMark/>
          </w:tcPr>
          <w:p w14:paraId="324D1CF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5C1C3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FB2916B" w14:textId="77777777" w:rsidR="00000000" w:rsidRDefault="00405D16">
            <w:pPr>
              <w:spacing w:after="100"/>
              <w:jc w:val="right"/>
              <w:rPr>
                <w:rFonts w:eastAsia="Times New Roman"/>
              </w:rPr>
            </w:pPr>
            <w:r>
              <w:rPr>
                <w:rFonts w:eastAsia="Times New Roman"/>
                <w:color w:val="000000"/>
                <w:sz w:val="18"/>
                <w:szCs w:val="18"/>
              </w:rPr>
              <w:t>2,055 </w:t>
            </w:r>
          </w:p>
        </w:tc>
        <w:tc>
          <w:tcPr>
            <w:tcW w:w="0" w:type="auto"/>
            <w:shd w:val="clear" w:color="auto" w:fill="CCEEFF"/>
            <w:tcMar>
              <w:top w:w="30" w:type="dxa"/>
              <w:left w:w="0" w:type="dxa"/>
              <w:bottom w:w="30" w:type="dxa"/>
              <w:right w:w="20" w:type="dxa"/>
            </w:tcMar>
            <w:vAlign w:val="center"/>
            <w:hideMark/>
          </w:tcPr>
          <w:p w14:paraId="508174E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6DF91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2F9ABEA"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7F45119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BFAE3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F8A1811"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5FCA199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44B8C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270AA77"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474875B7" w14:textId="77777777" w:rsidR="00000000" w:rsidRDefault="00405D16">
            <w:pPr>
              <w:spacing w:after="100"/>
              <w:jc w:val="right"/>
              <w:rPr>
                <w:rFonts w:eastAsia="Times New Roman"/>
              </w:rPr>
            </w:pPr>
          </w:p>
        </w:tc>
      </w:tr>
      <w:tr w:rsidR="00000000" w14:paraId="0B5DFD56" w14:textId="77777777">
        <w:trPr>
          <w:divId w:val="953319205"/>
        </w:trPr>
        <w:tc>
          <w:tcPr>
            <w:tcW w:w="0" w:type="auto"/>
            <w:gridSpan w:val="3"/>
            <w:shd w:val="clear" w:color="auto" w:fill="FFFFFF"/>
            <w:tcMar>
              <w:top w:w="30" w:type="dxa"/>
              <w:left w:w="20" w:type="dxa"/>
              <w:bottom w:w="30" w:type="dxa"/>
              <w:right w:w="20" w:type="dxa"/>
            </w:tcMar>
            <w:vAlign w:val="center"/>
            <w:hideMark/>
          </w:tcPr>
          <w:p w14:paraId="34AB433B" w14:textId="77777777" w:rsidR="00000000" w:rsidRDefault="00405D16">
            <w:pPr>
              <w:spacing w:after="100"/>
              <w:rPr>
                <w:rFonts w:eastAsia="Times New Roman"/>
              </w:rPr>
            </w:pPr>
            <w:r>
              <w:rPr>
                <w:rFonts w:eastAsia="Times New Roman"/>
                <w:color w:val="000000"/>
                <w:sz w:val="18"/>
                <w:szCs w:val="18"/>
              </w:rPr>
              <w:t>Total securitization-related VIEs</w:t>
            </w:r>
          </w:p>
        </w:tc>
        <w:tc>
          <w:tcPr>
            <w:tcW w:w="0" w:type="auto"/>
            <w:gridSpan w:val="3"/>
            <w:shd w:val="clear" w:color="auto" w:fill="FFFFFF"/>
            <w:tcMar>
              <w:top w:w="0" w:type="dxa"/>
              <w:left w:w="20" w:type="dxa"/>
              <w:bottom w:w="0" w:type="dxa"/>
              <w:right w:w="20" w:type="dxa"/>
            </w:tcMar>
            <w:vAlign w:val="center"/>
            <w:hideMark/>
          </w:tcPr>
          <w:p w14:paraId="293EED86"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E2B0545" w14:textId="77777777" w:rsidR="00000000" w:rsidRDefault="00405D16">
            <w:pPr>
              <w:spacing w:after="100"/>
              <w:jc w:val="right"/>
              <w:rPr>
                <w:rFonts w:eastAsia="Times New Roman"/>
              </w:rPr>
            </w:pPr>
            <w:r>
              <w:rPr>
                <w:rFonts w:eastAsia="Times New Roman"/>
                <w:color w:val="000000"/>
                <w:sz w:val="18"/>
                <w:szCs w:val="18"/>
              </w:rPr>
              <w:t>24,426 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3760ED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253C94"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691E31E" w14:textId="77777777" w:rsidR="00000000" w:rsidRDefault="00405D16">
            <w:pPr>
              <w:spacing w:after="100"/>
              <w:jc w:val="right"/>
              <w:rPr>
                <w:rFonts w:eastAsia="Times New Roman"/>
              </w:rPr>
            </w:pPr>
            <w:r>
              <w:rPr>
                <w:rFonts w:eastAsia="Times New Roman"/>
                <w:color w:val="000000"/>
                <w:sz w:val="18"/>
                <w:szCs w:val="18"/>
              </w:rPr>
              <w:t>12,393 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5C2B83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21BFF0"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BCD4F99" w14:textId="77777777" w:rsidR="00000000" w:rsidRDefault="00405D16">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E73929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CCC92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54D026E" w14:textId="77777777" w:rsidR="00000000" w:rsidRDefault="00405D16">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663111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92DAF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9E655F8" w14:textId="77777777" w:rsidR="00000000" w:rsidRDefault="00405D16">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47D060D" w14:textId="77777777" w:rsidR="00000000" w:rsidRDefault="00405D16">
            <w:pPr>
              <w:spacing w:after="100"/>
              <w:jc w:val="right"/>
              <w:rPr>
                <w:rFonts w:eastAsia="Times New Roman"/>
              </w:rPr>
            </w:pPr>
          </w:p>
        </w:tc>
      </w:tr>
      <w:tr w:rsidR="00000000" w14:paraId="2AC95132" w14:textId="77777777">
        <w:trPr>
          <w:divId w:val="953319205"/>
        </w:trPr>
        <w:tc>
          <w:tcPr>
            <w:tcW w:w="0" w:type="auto"/>
            <w:gridSpan w:val="3"/>
            <w:shd w:val="clear" w:color="auto" w:fill="CCEEFF"/>
            <w:tcMar>
              <w:top w:w="30" w:type="dxa"/>
              <w:left w:w="20" w:type="dxa"/>
              <w:bottom w:w="30" w:type="dxa"/>
              <w:right w:w="20" w:type="dxa"/>
            </w:tcMar>
            <w:vAlign w:val="center"/>
            <w:hideMark/>
          </w:tcPr>
          <w:p w14:paraId="2FCC9333" w14:textId="77777777" w:rsidR="00000000" w:rsidRDefault="00405D16">
            <w:pPr>
              <w:spacing w:after="100"/>
              <w:divId w:val="54354349"/>
              <w:rPr>
                <w:rFonts w:eastAsia="Times New Roman"/>
              </w:rPr>
            </w:pPr>
            <w:r>
              <w:rPr>
                <w:rFonts w:eastAsia="Times New Roman"/>
                <w:b/>
                <w:bCs/>
                <w:color w:val="000000"/>
                <w:sz w:val="18"/>
                <w:szCs w:val="18"/>
              </w:rPr>
              <w:t>Other VIEs</w:t>
            </w:r>
            <w:r>
              <w:rPr>
                <w:rFonts w:eastAsia="Times New Roman"/>
                <w:b/>
                <w:bCs/>
                <w:color w:val="000000"/>
                <w:sz w:val="18"/>
                <w:szCs w:val="18"/>
              </w:rPr>
              <w:t>:</w:t>
            </w:r>
            <w:r>
              <w:rPr>
                <w:rFonts w:eastAsia="Times New Roman"/>
                <w:b/>
                <w:bCs/>
                <w:color w:val="000000"/>
                <w:sz w:val="12"/>
                <w:szCs w:val="12"/>
              </w:rPr>
              <w:t>(3</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5637E5E4"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7B37E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1CEEE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0657D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65460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3C295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0C0F8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BBBA9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F19D3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289AD9" w14:textId="77777777" w:rsidR="00000000" w:rsidRDefault="00405D16">
            <w:pPr>
              <w:spacing w:after="100"/>
              <w:rPr>
                <w:rFonts w:eastAsia="Times New Roman"/>
                <w:sz w:val="20"/>
                <w:szCs w:val="20"/>
              </w:rPr>
            </w:pPr>
          </w:p>
        </w:tc>
      </w:tr>
      <w:tr w:rsidR="00000000" w14:paraId="7907DE65" w14:textId="77777777">
        <w:trPr>
          <w:divId w:val="953319205"/>
        </w:trPr>
        <w:tc>
          <w:tcPr>
            <w:tcW w:w="0" w:type="auto"/>
            <w:gridSpan w:val="3"/>
            <w:shd w:val="clear" w:color="auto" w:fill="FFFFFF"/>
            <w:tcMar>
              <w:top w:w="30" w:type="dxa"/>
              <w:left w:w="245" w:type="dxa"/>
              <w:bottom w:w="30" w:type="dxa"/>
              <w:right w:w="20" w:type="dxa"/>
            </w:tcMar>
            <w:vAlign w:val="center"/>
            <w:hideMark/>
          </w:tcPr>
          <w:p w14:paraId="083CC741" w14:textId="77777777" w:rsidR="00000000" w:rsidRDefault="00405D16">
            <w:pPr>
              <w:spacing w:after="100"/>
              <w:rPr>
                <w:rFonts w:eastAsia="Times New Roman"/>
              </w:rPr>
            </w:pPr>
            <w:r>
              <w:rPr>
                <w:rFonts w:eastAsia="Times New Roman"/>
                <w:color w:val="000000"/>
                <w:sz w:val="18"/>
                <w:szCs w:val="18"/>
              </w:rPr>
              <w:t>Affordable housing entities</w:t>
            </w:r>
          </w:p>
        </w:tc>
        <w:tc>
          <w:tcPr>
            <w:tcW w:w="0" w:type="auto"/>
            <w:gridSpan w:val="3"/>
            <w:shd w:val="clear" w:color="auto" w:fill="FFFFFF"/>
            <w:tcMar>
              <w:top w:w="0" w:type="dxa"/>
              <w:left w:w="20" w:type="dxa"/>
              <w:bottom w:w="0" w:type="dxa"/>
              <w:right w:w="20" w:type="dxa"/>
            </w:tcMar>
            <w:vAlign w:val="center"/>
            <w:hideMark/>
          </w:tcPr>
          <w:p w14:paraId="1EB4C528"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7FC6062" w14:textId="77777777" w:rsidR="00000000" w:rsidRDefault="00405D16">
            <w:pPr>
              <w:spacing w:after="100"/>
              <w:jc w:val="right"/>
              <w:rPr>
                <w:rFonts w:eastAsia="Times New Roman"/>
              </w:rPr>
            </w:pPr>
            <w:r>
              <w:rPr>
                <w:rFonts w:eastAsia="Times New Roman"/>
                <w:color w:val="000000"/>
                <w:sz w:val="18"/>
                <w:szCs w:val="18"/>
              </w:rPr>
              <w:t>242 </w:t>
            </w:r>
          </w:p>
        </w:tc>
        <w:tc>
          <w:tcPr>
            <w:tcW w:w="0" w:type="auto"/>
            <w:shd w:val="clear" w:color="auto" w:fill="FFFFFF"/>
            <w:tcMar>
              <w:top w:w="30" w:type="dxa"/>
              <w:left w:w="0" w:type="dxa"/>
              <w:bottom w:w="30" w:type="dxa"/>
              <w:right w:w="20" w:type="dxa"/>
            </w:tcMar>
            <w:vAlign w:val="center"/>
            <w:hideMark/>
          </w:tcPr>
          <w:p w14:paraId="480A42B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ADC89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1F4EA20" w14:textId="77777777" w:rsidR="00000000" w:rsidRDefault="00405D16">
            <w:pPr>
              <w:spacing w:after="100"/>
              <w:jc w:val="right"/>
              <w:rPr>
                <w:rFonts w:eastAsia="Times New Roman"/>
              </w:rPr>
            </w:pPr>
            <w:r>
              <w:rPr>
                <w:rFonts w:eastAsia="Times New Roman"/>
                <w:color w:val="000000"/>
                <w:sz w:val="18"/>
                <w:szCs w:val="18"/>
              </w:rPr>
              <w:t>17 </w:t>
            </w:r>
          </w:p>
        </w:tc>
        <w:tc>
          <w:tcPr>
            <w:tcW w:w="0" w:type="auto"/>
            <w:shd w:val="clear" w:color="auto" w:fill="FFFFFF"/>
            <w:tcMar>
              <w:top w:w="30" w:type="dxa"/>
              <w:left w:w="0" w:type="dxa"/>
              <w:bottom w:w="30" w:type="dxa"/>
              <w:right w:w="20" w:type="dxa"/>
            </w:tcMar>
            <w:vAlign w:val="center"/>
            <w:hideMark/>
          </w:tcPr>
          <w:p w14:paraId="6BC699F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0DE92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9B77023" w14:textId="77777777" w:rsidR="00000000" w:rsidRDefault="00405D16">
            <w:pPr>
              <w:spacing w:after="100"/>
              <w:jc w:val="right"/>
              <w:rPr>
                <w:rFonts w:eastAsia="Times New Roman"/>
              </w:rPr>
            </w:pPr>
            <w:r>
              <w:rPr>
                <w:rFonts w:eastAsia="Times New Roman"/>
                <w:color w:val="000000"/>
                <w:sz w:val="18"/>
                <w:szCs w:val="18"/>
              </w:rPr>
              <w:t>4,602 </w:t>
            </w:r>
          </w:p>
        </w:tc>
        <w:tc>
          <w:tcPr>
            <w:tcW w:w="0" w:type="auto"/>
            <w:shd w:val="clear" w:color="auto" w:fill="FFFFFF"/>
            <w:tcMar>
              <w:top w:w="30" w:type="dxa"/>
              <w:left w:w="0" w:type="dxa"/>
              <w:bottom w:w="30" w:type="dxa"/>
              <w:right w:w="20" w:type="dxa"/>
            </w:tcMar>
            <w:vAlign w:val="center"/>
            <w:hideMark/>
          </w:tcPr>
          <w:p w14:paraId="6D55D42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B94D3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FD3F77F" w14:textId="77777777" w:rsidR="00000000" w:rsidRDefault="00405D16">
            <w:pPr>
              <w:spacing w:after="100"/>
              <w:jc w:val="right"/>
              <w:rPr>
                <w:rFonts w:eastAsia="Times New Roman"/>
              </w:rPr>
            </w:pPr>
            <w:r>
              <w:rPr>
                <w:rFonts w:eastAsia="Times New Roman"/>
                <w:color w:val="000000"/>
                <w:sz w:val="18"/>
                <w:szCs w:val="18"/>
              </w:rPr>
              <w:t>1,240 </w:t>
            </w:r>
          </w:p>
        </w:tc>
        <w:tc>
          <w:tcPr>
            <w:tcW w:w="0" w:type="auto"/>
            <w:shd w:val="clear" w:color="auto" w:fill="FFFFFF"/>
            <w:tcMar>
              <w:top w:w="30" w:type="dxa"/>
              <w:left w:w="0" w:type="dxa"/>
              <w:bottom w:w="30" w:type="dxa"/>
              <w:right w:w="20" w:type="dxa"/>
            </w:tcMar>
            <w:vAlign w:val="center"/>
            <w:hideMark/>
          </w:tcPr>
          <w:p w14:paraId="71CA85A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76FCB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CC9BB3E" w14:textId="77777777" w:rsidR="00000000" w:rsidRDefault="00405D16">
            <w:pPr>
              <w:spacing w:after="100"/>
              <w:jc w:val="right"/>
              <w:rPr>
                <w:rFonts w:eastAsia="Times New Roman"/>
              </w:rPr>
            </w:pPr>
            <w:r>
              <w:rPr>
                <w:rFonts w:eastAsia="Times New Roman"/>
                <w:color w:val="000000"/>
                <w:sz w:val="18"/>
                <w:szCs w:val="18"/>
              </w:rPr>
              <w:t>4,602 </w:t>
            </w:r>
          </w:p>
        </w:tc>
        <w:tc>
          <w:tcPr>
            <w:tcW w:w="0" w:type="auto"/>
            <w:shd w:val="clear" w:color="auto" w:fill="FFFFFF"/>
            <w:tcMar>
              <w:top w:w="30" w:type="dxa"/>
              <w:left w:w="0" w:type="dxa"/>
              <w:bottom w:w="30" w:type="dxa"/>
              <w:right w:w="20" w:type="dxa"/>
            </w:tcMar>
            <w:vAlign w:val="center"/>
            <w:hideMark/>
          </w:tcPr>
          <w:p w14:paraId="72210D4B" w14:textId="77777777" w:rsidR="00000000" w:rsidRDefault="00405D16">
            <w:pPr>
              <w:spacing w:after="100"/>
              <w:jc w:val="right"/>
              <w:rPr>
                <w:rFonts w:eastAsia="Times New Roman"/>
              </w:rPr>
            </w:pPr>
          </w:p>
        </w:tc>
      </w:tr>
      <w:tr w:rsidR="00000000" w14:paraId="74D6FE78" w14:textId="77777777">
        <w:trPr>
          <w:divId w:val="953319205"/>
        </w:trPr>
        <w:tc>
          <w:tcPr>
            <w:tcW w:w="0" w:type="auto"/>
            <w:gridSpan w:val="3"/>
            <w:shd w:val="clear" w:color="auto" w:fill="CCEEFF"/>
            <w:tcMar>
              <w:top w:w="30" w:type="dxa"/>
              <w:left w:w="245" w:type="dxa"/>
              <w:bottom w:w="30" w:type="dxa"/>
              <w:right w:w="20" w:type="dxa"/>
            </w:tcMar>
            <w:vAlign w:val="center"/>
            <w:hideMark/>
          </w:tcPr>
          <w:p w14:paraId="3DEBB51D" w14:textId="77777777" w:rsidR="00000000" w:rsidRDefault="00405D16">
            <w:pPr>
              <w:spacing w:after="100"/>
              <w:rPr>
                <w:rFonts w:eastAsia="Times New Roman"/>
              </w:rPr>
            </w:pPr>
            <w:r>
              <w:rPr>
                <w:rFonts w:eastAsia="Times New Roman"/>
                <w:color w:val="000000"/>
                <w:sz w:val="18"/>
                <w:szCs w:val="18"/>
              </w:rPr>
              <w:t>Entities that provide capital to low-income and rural communities</w:t>
            </w:r>
          </w:p>
        </w:tc>
        <w:tc>
          <w:tcPr>
            <w:tcW w:w="0" w:type="auto"/>
            <w:gridSpan w:val="3"/>
            <w:shd w:val="clear" w:color="auto" w:fill="CCEEFF"/>
            <w:tcMar>
              <w:top w:w="0" w:type="dxa"/>
              <w:left w:w="20" w:type="dxa"/>
              <w:bottom w:w="0" w:type="dxa"/>
              <w:right w:w="20" w:type="dxa"/>
            </w:tcMar>
            <w:vAlign w:val="center"/>
            <w:hideMark/>
          </w:tcPr>
          <w:p w14:paraId="168FED15"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A870669" w14:textId="77777777" w:rsidR="00000000" w:rsidRDefault="00405D16">
            <w:pPr>
              <w:spacing w:after="100"/>
              <w:jc w:val="right"/>
              <w:rPr>
                <w:rFonts w:eastAsia="Times New Roman"/>
              </w:rPr>
            </w:pPr>
            <w:r>
              <w:rPr>
                <w:rFonts w:eastAsia="Times New Roman"/>
                <w:color w:val="000000"/>
                <w:sz w:val="18"/>
                <w:szCs w:val="18"/>
              </w:rPr>
              <w:t>1,951 </w:t>
            </w:r>
          </w:p>
        </w:tc>
        <w:tc>
          <w:tcPr>
            <w:tcW w:w="0" w:type="auto"/>
            <w:shd w:val="clear" w:color="auto" w:fill="CCEEFF"/>
            <w:tcMar>
              <w:top w:w="30" w:type="dxa"/>
              <w:left w:w="0" w:type="dxa"/>
              <w:bottom w:w="30" w:type="dxa"/>
              <w:right w:w="20" w:type="dxa"/>
            </w:tcMar>
            <w:vAlign w:val="center"/>
            <w:hideMark/>
          </w:tcPr>
          <w:p w14:paraId="190DC47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35AB7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5FEF513" w14:textId="77777777" w:rsidR="00000000" w:rsidRDefault="00405D16">
            <w:pPr>
              <w:spacing w:after="100"/>
              <w:jc w:val="right"/>
              <w:rPr>
                <w:rFonts w:eastAsia="Times New Roman"/>
              </w:rPr>
            </w:pPr>
            <w:r>
              <w:rPr>
                <w:rFonts w:eastAsia="Times New Roman"/>
                <w:color w:val="000000"/>
                <w:sz w:val="18"/>
                <w:szCs w:val="18"/>
              </w:rPr>
              <w:t>26 </w:t>
            </w:r>
          </w:p>
        </w:tc>
        <w:tc>
          <w:tcPr>
            <w:tcW w:w="0" w:type="auto"/>
            <w:shd w:val="clear" w:color="auto" w:fill="CCEEFF"/>
            <w:tcMar>
              <w:top w:w="30" w:type="dxa"/>
              <w:left w:w="0" w:type="dxa"/>
              <w:bottom w:w="30" w:type="dxa"/>
              <w:right w:w="20" w:type="dxa"/>
            </w:tcMar>
            <w:vAlign w:val="center"/>
            <w:hideMark/>
          </w:tcPr>
          <w:p w14:paraId="010CD0B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B0BFA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EB506BF"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51D0783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A1DED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DEE51F7"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6ACB609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45AEC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74E5F4E"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44AB25D4" w14:textId="77777777" w:rsidR="00000000" w:rsidRDefault="00405D16">
            <w:pPr>
              <w:spacing w:after="100"/>
              <w:jc w:val="right"/>
              <w:rPr>
                <w:rFonts w:eastAsia="Times New Roman"/>
              </w:rPr>
            </w:pPr>
          </w:p>
        </w:tc>
      </w:tr>
      <w:tr w:rsidR="00000000" w14:paraId="78BE2856" w14:textId="77777777">
        <w:trPr>
          <w:divId w:val="953319205"/>
        </w:trPr>
        <w:tc>
          <w:tcPr>
            <w:tcW w:w="0" w:type="auto"/>
            <w:gridSpan w:val="3"/>
            <w:shd w:val="clear" w:color="auto" w:fill="FFFFFF"/>
            <w:tcMar>
              <w:top w:w="30" w:type="dxa"/>
              <w:left w:w="245" w:type="dxa"/>
              <w:bottom w:w="30" w:type="dxa"/>
              <w:right w:w="20" w:type="dxa"/>
            </w:tcMar>
            <w:vAlign w:val="center"/>
            <w:hideMark/>
          </w:tcPr>
          <w:p w14:paraId="76ED343B" w14:textId="77777777" w:rsidR="00000000" w:rsidRDefault="00405D16">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14:paraId="04F9B858"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B21B3A6"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56F5E38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26DEE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8421F7C"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3BBE8A2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C7A7A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178950D" w14:textId="77777777" w:rsidR="00000000" w:rsidRDefault="00405D16">
            <w:pPr>
              <w:spacing w:after="100"/>
              <w:jc w:val="right"/>
              <w:rPr>
                <w:rFonts w:eastAsia="Times New Roman"/>
              </w:rPr>
            </w:pPr>
            <w:r>
              <w:rPr>
                <w:rFonts w:eastAsia="Times New Roman"/>
                <w:color w:val="000000"/>
                <w:sz w:val="18"/>
                <w:szCs w:val="18"/>
              </w:rPr>
              <w:t>436 </w:t>
            </w:r>
          </w:p>
        </w:tc>
        <w:tc>
          <w:tcPr>
            <w:tcW w:w="0" w:type="auto"/>
            <w:shd w:val="clear" w:color="auto" w:fill="FFFFFF"/>
            <w:tcMar>
              <w:top w:w="30" w:type="dxa"/>
              <w:left w:w="0" w:type="dxa"/>
              <w:bottom w:w="30" w:type="dxa"/>
              <w:right w:w="20" w:type="dxa"/>
            </w:tcMar>
            <w:vAlign w:val="center"/>
            <w:hideMark/>
          </w:tcPr>
          <w:p w14:paraId="69FB019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77FC7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F1CD3BE"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6FF4058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85D0C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BA76B7C" w14:textId="77777777" w:rsidR="00000000" w:rsidRDefault="00405D16">
            <w:pPr>
              <w:spacing w:after="100"/>
              <w:jc w:val="right"/>
              <w:rPr>
                <w:rFonts w:eastAsia="Times New Roman"/>
              </w:rPr>
            </w:pPr>
            <w:r>
              <w:rPr>
                <w:rFonts w:eastAsia="Times New Roman"/>
                <w:color w:val="000000"/>
                <w:sz w:val="18"/>
                <w:szCs w:val="18"/>
              </w:rPr>
              <w:t>436 </w:t>
            </w:r>
          </w:p>
        </w:tc>
        <w:tc>
          <w:tcPr>
            <w:tcW w:w="0" w:type="auto"/>
            <w:shd w:val="clear" w:color="auto" w:fill="FFFFFF"/>
            <w:tcMar>
              <w:top w:w="30" w:type="dxa"/>
              <w:left w:w="0" w:type="dxa"/>
              <w:bottom w:w="30" w:type="dxa"/>
              <w:right w:w="20" w:type="dxa"/>
            </w:tcMar>
            <w:vAlign w:val="center"/>
            <w:hideMark/>
          </w:tcPr>
          <w:p w14:paraId="70D3645D" w14:textId="77777777" w:rsidR="00000000" w:rsidRDefault="00405D16">
            <w:pPr>
              <w:spacing w:after="100"/>
              <w:jc w:val="right"/>
              <w:rPr>
                <w:rFonts w:eastAsia="Times New Roman"/>
              </w:rPr>
            </w:pPr>
          </w:p>
        </w:tc>
      </w:tr>
      <w:tr w:rsidR="00000000" w14:paraId="28BC648E" w14:textId="77777777">
        <w:trPr>
          <w:divId w:val="953319205"/>
        </w:trPr>
        <w:tc>
          <w:tcPr>
            <w:tcW w:w="0" w:type="auto"/>
            <w:gridSpan w:val="3"/>
            <w:shd w:val="clear" w:color="auto" w:fill="CCEEFF"/>
            <w:tcMar>
              <w:top w:w="30" w:type="dxa"/>
              <w:left w:w="20" w:type="dxa"/>
              <w:bottom w:w="30" w:type="dxa"/>
              <w:right w:w="20" w:type="dxa"/>
            </w:tcMar>
            <w:vAlign w:val="center"/>
            <w:hideMark/>
          </w:tcPr>
          <w:p w14:paraId="321E6274" w14:textId="77777777" w:rsidR="00000000" w:rsidRDefault="00405D16">
            <w:pPr>
              <w:spacing w:after="100"/>
              <w:rPr>
                <w:rFonts w:eastAsia="Times New Roman"/>
              </w:rPr>
            </w:pPr>
            <w:r>
              <w:rPr>
                <w:rFonts w:eastAsia="Times New Roman"/>
                <w:color w:val="000000"/>
                <w:sz w:val="18"/>
                <w:szCs w:val="18"/>
              </w:rPr>
              <w:t>Total other VIEs</w:t>
            </w:r>
          </w:p>
        </w:tc>
        <w:tc>
          <w:tcPr>
            <w:tcW w:w="0" w:type="auto"/>
            <w:gridSpan w:val="3"/>
            <w:shd w:val="clear" w:color="auto" w:fill="CCEEFF"/>
            <w:tcMar>
              <w:top w:w="0" w:type="dxa"/>
              <w:left w:w="20" w:type="dxa"/>
              <w:bottom w:w="0" w:type="dxa"/>
              <w:right w:w="20" w:type="dxa"/>
            </w:tcMar>
            <w:vAlign w:val="center"/>
            <w:hideMark/>
          </w:tcPr>
          <w:p w14:paraId="52B3D5AE"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819505F" w14:textId="77777777" w:rsidR="00000000" w:rsidRDefault="00405D16">
            <w:pPr>
              <w:spacing w:after="100"/>
              <w:jc w:val="right"/>
              <w:rPr>
                <w:rFonts w:eastAsia="Times New Roman"/>
              </w:rPr>
            </w:pPr>
            <w:r>
              <w:rPr>
                <w:rFonts w:eastAsia="Times New Roman"/>
                <w:color w:val="000000"/>
                <w:sz w:val="18"/>
                <w:szCs w:val="18"/>
              </w:rPr>
              <w:t>2,193 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E2D366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8C40B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A9AA024" w14:textId="77777777" w:rsidR="00000000" w:rsidRDefault="00405D16">
            <w:pPr>
              <w:spacing w:after="100"/>
              <w:jc w:val="right"/>
              <w:rPr>
                <w:rFonts w:eastAsia="Times New Roman"/>
              </w:rPr>
            </w:pPr>
            <w:r>
              <w:rPr>
                <w:rFonts w:eastAsia="Times New Roman"/>
                <w:color w:val="000000"/>
                <w:sz w:val="18"/>
                <w:szCs w:val="18"/>
              </w:rPr>
              <w:t>43 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8FE56C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52DD24"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5FA7C4E" w14:textId="77777777" w:rsidR="00000000" w:rsidRDefault="00405D16">
            <w:pPr>
              <w:spacing w:after="100"/>
              <w:jc w:val="right"/>
              <w:rPr>
                <w:rFonts w:eastAsia="Times New Roman"/>
              </w:rPr>
            </w:pPr>
            <w:r>
              <w:rPr>
                <w:rFonts w:eastAsia="Times New Roman"/>
                <w:color w:val="000000"/>
                <w:sz w:val="18"/>
                <w:szCs w:val="18"/>
              </w:rPr>
              <w:t>5,038 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57F881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94A655"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9BDEBC3" w14:textId="77777777" w:rsidR="00000000" w:rsidRDefault="00405D16">
            <w:pPr>
              <w:spacing w:after="100"/>
              <w:jc w:val="right"/>
              <w:rPr>
                <w:rFonts w:eastAsia="Times New Roman"/>
              </w:rPr>
            </w:pPr>
            <w:r>
              <w:rPr>
                <w:rFonts w:eastAsia="Times New Roman"/>
                <w:color w:val="000000"/>
                <w:sz w:val="18"/>
                <w:szCs w:val="18"/>
              </w:rPr>
              <w:t>1,240 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60A6C5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EBDB11"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B3FE641" w14:textId="77777777" w:rsidR="00000000" w:rsidRDefault="00405D16">
            <w:pPr>
              <w:spacing w:after="100"/>
              <w:jc w:val="right"/>
              <w:rPr>
                <w:rFonts w:eastAsia="Times New Roman"/>
              </w:rPr>
            </w:pPr>
            <w:r>
              <w:rPr>
                <w:rFonts w:eastAsia="Times New Roman"/>
                <w:color w:val="000000"/>
                <w:sz w:val="18"/>
                <w:szCs w:val="18"/>
              </w:rPr>
              <w:t>5,038 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D71259A" w14:textId="77777777" w:rsidR="00000000" w:rsidRDefault="00405D16">
            <w:pPr>
              <w:spacing w:after="100"/>
              <w:jc w:val="right"/>
              <w:rPr>
                <w:rFonts w:eastAsia="Times New Roman"/>
              </w:rPr>
            </w:pPr>
          </w:p>
        </w:tc>
      </w:tr>
      <w:tr w:rsidR="00000000" w14:paraId="7F017C71" w14:textId="77777777">
        <w:trPr>
          <w:divId w:val="953319205"/>
        </w:trPr>
        <w:tc>
          <w:tcPr>
            <w:tcW w:w="0" w:type="auto"/>
            <w:gridSpan w:val="3"/>
            <w:shd w:val="clear" w:color="auto" w:fill="FFFFFF"/>
            <w:tcMar>
              <w:top w:w="30" w:type="dxa"/>
              <w:left w:w="20" w:type="dxa"/>
              <w:bottom w:w="30" w:type="dxa"/>
              <w:right w:w="20" w:type="dxa"/>
            </w:tcMar>
            <w:vAlign w:val="center"/>
            <w:hideMark/>
          </w:tcPr>
          <w:p w14:paraId="5E6A6CBB" w14:textId="77777777" w:rsidR="00000000" w:rsidRDefault="00405D16">
            <w:pPr>
              <w:spacing w:after="100"/>
              <w:rPr>
                <w:rFonts w:eastAsia="Times New Roman"/>
              </w:rPr>
            </w:pPr>
            <w:r>
              <w:rPr>
                <w:rFonts w:eastAsia="Times New Roman"/>
                <w:color w:val="000000"/>
                <w:sz w:val="18"/>
                <w:szCs w:val="18"/>
              </w:rPr>
              <w:t>Total VIEs</w:t>
            </w:r>
          </w:p>
        </w:tc>
        <w:tc>
          <w:tcPr>
            <w:tcW w:w="0" w:type="auto"/>
            <w:gridSpan w:val="3"/>
            <w:shd w:val="clear" w:color="auto" w:fill="FFFFFF"/>
            <w:tcMar>
              <w:top w:w="0" w:type="dxa"/>
              <w:left w:w="20" w:type="dxa"/>
              <w:bottom w:w="0" w:type="dxa"/>
              <w:right w:w="20" w:type="dxa"/>
            </w:tcMar>
            <w:vAlign w:val="center"/>
            <w:hideMark/>
          </w:tcPr>
          <w:p w14:paraId="33DA3746"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5873D23"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0415735" w14:textId="77777777" w:rsidR="00000000" w:rsidRDefault="00405D16">
            <w:pPr>
              <w:spacing w:after="100"/>
              <w:jc w:val="right"/>
              <w:rPr>
                <w:rFonts w:eastAsia="Times New Roman"/>
              </w:rPr>
            </w:pPr>
            <w:r>
              <w:rPr>
                <w:rFonts w:eastAsia="Times New Roman"/>
                <w:color w:val="000000"/>
                <w:sz w:val="18"/>
                <w:szCs w:val="18"/>
              </w:rPr>
              <w:t>26,619 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5BB70E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E665C5"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BDAFDF8"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B4E1745" w14:textId="77777777" w:rsidR="00000000" w:rsidRDefault="00405D16">
            <w:pPr>
              <w:spacing w:after="100"/>
              <w:jc w:val="right"/>
              <w:rPr>
                <w:rFonts w:eastAsia="Times New Roman"/>
              </w:rPr>
            </w:pPr>
            <w:r>
              <w:rPr>
                <w:rFonts w:eastAsia="Times New Roman"/>
                <w:color w:val="000000"/>
                <w:sz w:val="18"/>
                <w:szCs w:val="18"/>
              </w:rPr>
              <w:t>12,436 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DDF756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A8BBC1"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43796D6"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3A23A4D" w14:textId="77777777" w:rsidR="00000000" w:rsidRDefault="00405D16">
            <w:pPr>
              <w:spacing w:after="100"/>
              <w:jc w:val="right"/>
              <w:rPr>
                <w:rFonts w:eastAsia="Times New Roman"/>
              </w:rPr>
            </w:pPr>
            <w:r>
              <w:rPr>
                <w:rFonts w:eastAsia="Times New Roman"/>
                <w:color w:val="000000"/>
                <w:sz w:val="18"/>
                <w:szCs w:val="18"/>
              </w:rPr>
              <w:t>5,038 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1A37C6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E872DA"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B8B0391"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F149A81" w14:textId="77777777" w:rsidR="00000000" w:rsidRDefault="00405D16">
            <w:pPr>
              <w:spacing w:after="100"/>
              <w:jc w:val="right"/>
              <w:rPr>
                <w:rFonts w:eastAsia="Times New Roman"/>
              </w:rPr>
            </w:pPr>
            <w:r>
              <w:rPr>
                <w:rFonts w:eastAsia="Times New Roman"/>
                <w:color w:val="000000"/>
                <w:sz w:val="18"/>
                <w:szCs w:val="18"/>
              </w:rPr>
              <w:t>1,240 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47835F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BBC669"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8B77705"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15DE298" w14:textId="77777777" w:rsidR="00000000" w:rsidRDefault="00405D16">
            <w:pPr>
              <w:spacing w:after="100"/>
              <w:jc w:val="right"/>
              <w:rPr>
                <w:rFonts w:eastAsia="Times New Roman"/>
              </w:rPr>
            </w:pPr>
            <w:r>
              <w:rPr>
                <w:rFonts w:eastAsia="Times New Roman"/>
                <w:color w:val="000000"/>
                <w:sz w:val="18"/>
                <w:szCs w:val="18"/>
              </w:rPr>
              <w:t>5,038 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9CAAAA6" w14:textId="77777777" w:rsidR="00000000" w:rsidRDefault="00405D16">
            <w:pPr>
              <w:spacing w:after="100"/>
              <w:jc w:val="right"/>
              <w:rPr>
                <w:rFonts w:eastAsia="Times New Roman"/>
              </w:rPr>
            </w:pPr>
          </w:p>
        </w:tc>
      </w:tr>
    </w:tbl>
    <w:p w14:paraId="770FE898" w14:textId="77777777" w:rsidR="00000000" w:rsidRDefault="00405D16">
      <w:pPr>
        <w:divId w:val="1262299368"/>
        <w:rPr>
          <w:rFonts w:eastAsia="Times New Roman"/>
        </w:rPr>
      </w:pPr>
      <w:r>
        <w:rPr>
          <w:rFonts w:eastAsia="Times New Roman"/>
          <w:color w:val="000000"/>
          <w:sz w:val="20"/>
          <w:szCs w:val="20"/>
        </w:rPr>
        <w:t>__________</w:t>
      </w:r>
    </w:p>
    <w:p w14:paraId="385AFEA3" w14:textId="77777777" w:rsidR="00000000" w:rsidRDefault="00405D16">
      <w:pPr>
        <w:ind w:hanging="360"/>
        <w:jc w:val="both"/>
        <w:divId w:val="152274077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Excludes insignificant VIEs from </w:t>
      </w:r>
      <w:r>
        <w:rPr>
          <w:rFonts w:eastAsia="Times New Roman"/>
          <w:color w:val="000000"/>
          <w:sz w:val="16"/>
          <w:szCs w:val="16"/>
        </w:rPr>
        <w:t>previously exited businesses.</w:t>
      </w:r>
    </w:p>
    <w:p w14:paraId="15E790F4" w14:textId="77777777" w:rsidR="00000000" w:rsidRDefault="00405D16">
      <w:pPr>
        <w:ind w:hanging="360"/>
        <w:jc w:val="both"/>
        <w:divId w:val="485173234"/>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Represents the carrying amount of assets and liabilities owned by the VIE, which includes the seller’s interest and repurchased notes held by other related parties.</w:t>
      </w:r>
    </w:p>
    <w:p w14:paraId="6FB09D08" w14:textId="77777777" w:rsidR="00000000" w:rsidRDefault="00405D16">
      <w:pPr>
        <w:ind w:hanging="360"/>
        <w:jc w:val="both"/>
        <w:divId w:val="346711133"/>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In certain investment structures, we consolidate a VIE which in turn holds as its primary asset an investment in an unconsolidated VIE. In these instances, we disclose the carrying amount of assets and liabilities on our consolidated balance sheets as unco</w:t>
      </w:r>
      <w:r>
        <w:rPr>
          <w:rFonts w:eastAsia="Times New Roman"/>
          <w:color w:val="000000"/>
          <w:sz w:val="16"/>
          <w:szCs w:val="16"/>
        </w:rPr>
        <w:t>nsolidated VIEs to avoid duplicating our exposure, as the unconsolidated VIEs are generally the operating entities generating the exposure. The carrying amount of assets and liabilities included in the unconsolidated VIE columns above related to these inve</w:t>
      </w:r>
      <w:r>
        <w:rPr>
          <w:rFonts w:eastAsia="Times New Roman"/>
          <w:color w:val="000000"/>
          <w:sz w:val="16"/>
          <w:szCs w:val="16"/>
        </w:rPr>
        <w:t xml:space="preserve">stment structures were $2.2 billion of assets and $602 million of liabilities as of September 30, 2021, and $2.3 billion of assets and $596 million of liabilities as of December 31, 2020. </w:t>
      </w:r>
    </w:p>
    <w:p w14:paraId="6585252E" w14:textId="77777777" w:rsidR="00000000" w:rsidRDefault="00405D16">
      <w:pPr>
        <w:jc w:val="both"/>
        <w:divId w:val="2052337403"/>
        <w:rPr>
          <w:rFonts w:eastAsia="Times New Roman"/>
        </w:rPr>
      </w:pPr>
      <w:r>
        <w:rPr>
          <w:rFonts w:eastAsia="Times New Roman"/>
          <w:b/>
          <w:bCs/>
          <w:color w:val="000000"/>
          <w:sz w:val="20"/>
          <w:szCs w:val="20"/>
        </w:rPr>
        <w:t>Securitization-Related VIEs</w:t>
      </w:r>
    </w:p>
    <w:p w14:paraId="3FF0377E" w14:textId="77777777" w:rsidR="00000000" w:rsidRDefault="00405D16">
      <w:pPr>
        <w:jc w:val="both"/>
        <w:divId w:val="1836258241"/>
        <w:rPr>
          <w:rFonts w:eastAsia="Times New Roman"/>
        </w:rPr>
      </w:pPr>
      <w:r>
        <w:rPr>
          <w:rFonts w:eastAsia="Times New Roman"/>
          <w:color w:val="000000"/>
          <w:sz w:val="20"/>
          <w:szCs w:val="20"/>
        </w:rPr>
        <w:t>In a securitization transaction, assets are transferred to a trust, which generally meets the definition of a VIE. We engage in securitization activities as an issuer and an investor. Our primary securitization issuance activity includes credit card and au</w:t>
      </w:r>
      <w:r>
        <w:rPr>
          <w:rFonts w:eastAsia="Times New Roman"/>
          <w:color w:val="000000"/>
          <w:sz w:val="20"/>
          <w:szCs w:val="20"/>
        </w:rPr>
        <w:t>to securitizations, conducted through securitization trusts which we consolidate. Our continuing involvement in these securitization transactions mainly consists of acting as the primary servicer and holding certain retained interests.</w:t>
      </w:r>
    </w:p>
    <w:p w14:paraId="7D8DB82F" w14:textId="77777777" w:rsidR="00000000" w:rsidRDefault="00405D16">
      <w:pPr>
        <w:jc w:val="both"/>
        <w:divId w:val="1476020720"/>
        <w:rPr>
          <w:rFonts w:eastAsia="Times New Roman"/>
        </w:rPr>
      </w:pPr>
      <w:r>
        <w:rPr>
          <w:rFonts w:eastAsia="Times New Roman"/>
          <w:color w:val="000000"/>
          <w:sz w:val="20"/>
          <w:szCs w:val="20"/>
        </w:rPr>
        <w:t>In our multifamily a</w:t>
      </w:r>
      <w:r>
        <w:rPr>
          <w:rFonts w:eastAsia="Times New Roman"/>
          <w:color w:val="000000"/>
          <w:sz w:val="20"/>
          <w:szCs w:val="20"/>
        </w:rPr>
        <w:t>gency business, we originate multifamily commercial real estate loans and transfer them to Government-sponsored enterprise (“GSEs”) who may, in turn, securitize them. We retain the related mortgage servicing rights (“MSRs”) and service the transferred loan</w:t>
      </w:r>
      <w:r>
        <w:rPr>
          <w:rFonts w:eastAsia="Times New Roman"/>
          <w:color w:val="000000"/>
          <w:sz w:val="20"/>
          <w:szCs w:val="20"/>
        </w:rPr>
        <w:t>s pursuant to the guidelines set forth by the GSEs. As an investor, we hold primarily RMBS, CMBS, and ABS in our investment securities portfolio, which represent variable interests in the respective securitization trusts from which those securities were is</w:t>
      </w:r>
      <w:r>
        <w:rPr>
          <w:rFonts w:eastAsia="Times New Roman"/>
          <w:color w:val="000000"/>
          <w:sz w:val="20"/>
          <w:szCs w:val="20"/>
        </w:rPr>
        <w:t>sued. We do not consolidate the securitization trusts employed in these transactions as we do not have the power to direct the activities that most significantly impact the economic performance of these securitization trusts. We exclude these VIEs from the</w:t>
      </w:r>
      <w:r>
        <w:rPr>
          <w:rFonts w:eastAsia="Times New Roman"/>
          <w:color w:val="000000"/>
          <w:sz w:val="20"/>
          <w:szCs w:val="20"/>
        </w:rPr>
        <w:t xml:space="preserve"> tables within this note because we do not consider our continuing involvement with these VIEs to be significant as we either invest in securities issued by the VIE and were not involved in the design of the VIE or no transfers have occurred between the VI</w:t>
      </w:r>
      <w:r>
        <w:rPr>
          <w:rFonts w:eastAsia="Times New Roman"/>
          <w:color w:val="000000"/>
          <w:sz w:val="20"/>
          <w:szCs w:val="20"/>
        </w:rPr>
        <w:t>E and us. Our maximum exposure to loss as a result of our involvement with these VIEs is the carrying value of the MSRs and investment securities on our consolidated balance sheets as well as our contractual obligations under loss sharing arrangements. See</w:t>
      </w:r>
      <w:r>
        <w:rPr>
          <w:rFonts w:eastAsia="Times New Roman"/>
          <w:color w:val="000000"/>
          <w:sz w:val="20"/>
          <w:szCs w:val="20"/>
        </w:rPr>
        <w:t xml:space="preserve"> “Note 6—Goodwill and Intangible Assets” for information related to our MSRs associated with these securitizations and “Note 2—Investment Securities” for more information on the securities held in our investment securities portfolio. In addition, where we </w:t>
      </w:r>
      <w:r>
        <w:rPr>
          <w:rFonts w:eastAsia="Times New Roman"/>
          <w:color w:val="000000"/>
          <w:sz w:val="20"/>
          <w:szCs w:val="20"/>
        </w:rPr>
        <w:t>have certain lending arrangements in the normal course of business with entities that could be VIEs, we have also excluded these VIEs from the tables presented in this note. See “Note 3—Loans” for additional information regarding our lending arrangements i</w:t>
      </w:r>
      <w:r>
        <w:rPr>
          <w:rFonts w:eastAsia="Times New Roman"/>
          <w:color w:val="000000"/>
          <w:sz w:val="20"/>
          <w:szCs w:val="20"/>
        </w:rPr>
        <w:t>n the normal course of business.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57E56B28" w14:textId="77777777">
        <w:trPr>
          <w:divId w:val="958032057"/>
          <w:jc w:val="center"/>
        </w:trPr>
        <w:tc>
          <w:tcPr>
            <w:tcW w:w="50" w:type="pct"/>
            <w:vAlign w:val="center"/>
            <w:hideMark/>
          </w:tcPr>
          <w:p w14:paraId="40DFD3FE" w14:textId="77777777" w:rsidR="00000000" w:rsidRDefault="00405D16">
            <w:pPr>
              <w:jc w:val="both"/>
              <w:rPr>
                <w:rFonts w:eastAsia="Times New Roman"/>
              </w:rPr>
            </w:pPr>
          </w:p>
        </w:tc>
        <w:tc>
          <w:tcPr>
            <w:tcW w:w="1606" w:type="pct"/>
            <w:vAlign w:val="center"/>
            <w:hideMark/>
          </w:tcPr>
          <w:p w14:paraId="65D486EC" w14:textId="77777777" w:rsidR="00000000" w:rsidRDefault="00405D16">
            <w:pPr>
              <w:spacing w:after="100"/>
              <w:rPr>
                <w:rFonts w:eastAsia="Times New Roman"/>
                <w:sz w:val="20"/>
                <w:szCs w:val="20"/>
              </w:rPr>
            </w:pPr>
          </w:p>
        </w:tc>
        <w:tc>
          <w:tcPr>
            <w:tcW w:w="5" w:type="pct"/>
            <w:vAlign w:val="center"/>
            <w:hideMark/>
          </w:tcPr>
          <w:p w14:paraId="2548E8CC" w14:textId="77777777" w:rsidR="00000000" w:rsidRDefault="00405D16">
            <w:pPr>
              <w:spacing w:after="100"/>
              <w:rPr>
                <w:rFonts w:eastAsia="Times New Roman"/>
                <w:sz w:val="20"/>
                <w:szCs w:val="20"/>
              </w:rPr>
            </w:pPr>
          </w:p>
        </w:tc>
        <w:tc>
          <w:tcPr>
            <w:tcW w:w="50" w:type="pct"/>
            <w:vAlign w:val="center"/>
            <w:hideMark/>
          </w:tcPr>
          <w:p w14:paraId="7917A483" w14:textId="77777777" w:rsidR="00000000" w:rsidRDefault="00405D16">
            <w:pPr>
              <w:spacing w:after="100"/>
              <w:rPr>
                <w:rFonts w:eastAsia="Times New Roman"/>
                <w:sz w:val="20"/>
                <w:szCs w:val="20"/>
              </w:rPr>
            </w:pPr>
          </w:p>
        </w:tc>
        <w:tc>
          <w:tcPr>
            <w:tcW w:w="1614" w:type="pct"/>
            <w:vAlign w:val="center"/>
            <w:hideMark/>
          </w:tcPr>
          <w:p w14:paraId="1B0F1D98" w14:textId="77777777" w:rsidR="00000000" w:rsidRDefault="00405D16">
            <w:pPr>
              <w:spacing w:after="100"/>
              <w:rPr>
                <w:rFonts w:eastAsia="Times New Roman"/>
                <w:sz w:val="20"/>
                <w:szCs w:val="20"/>
              </w:rPr>
            </w:pPr>
          </w:p>
        </w:tc>
        <w:tc>
          <w:tcPr>
            <w:tcW w:w="5" w:type="pct"/>
            <w:vAlign w:val="center"/>
            <w:hideMark/>
          </w:tcPr>
          <w:p w14:paraId="2DEF0831" w14:textId="77777777" w:rsidR="00000000" w:rsidRDefault="00405D16">
            <w:pPr>
              <w:spacing w:after="100"/>
              <w:rPr>
                <w:rFonts w:eastAsia="Times New Roman"/>
                <w:sz w:val="20"/>
                <w:szCs w:val="20"/>
              </w:rPr>
            </w:pPr>
          </w:p>
        </w:tc>
        <w:tc>
          <w:tcPr>
            <w:tcW w:w="50" w:type="pct"/>
            <w:vAlign w:val="center"/>
            <w:hideMark/>
          </w:tcPr>
          <w:p w14:paraId="461A0D94" w14:textId="77777777" w:rsidR="00000000" w:rsidRDefault="00405D16">
            <w:pPr>
              <w:spacing w:after="100"/>
              <w:rPr>
                <w:rFonts w:eastAsia="Times New Roman"/>
                <w:sz w:val="20"/>
                <w:szCs w:val="20"/>
              </w:rPr>
            </w:pPr>
          </w:p>
        </w:tc>
        <w:tc>
          <w:tcPr>
            <w:tcW w:w="1614" w:type="pct"/>
            <w:vAlign w:val="center"/>
            <w:hideMark/>
          </w:tcPr>
          <w:p w14:paraId="7087AF12" w14:textId="77777777" w:rsidR="00000000" w:rsidRDefault="00405D16">
            <w:pPr>
              <w:spacing w:after="100"/>
              <w:rPr>
                <w:rFonts w:eastAsia="Times New Roman"/>
                <w:sz w:val="20"/>
                <w:szCs w:val="20"/>
              </w:rPr>
            </w:pPr>
          </w:p>
        </w:tc>
        <w:tc>
          <w:tcPr>
            <w:tcW w:w="5" w:type="pct"/>
            <w:vAlign w:val="center"/>
            <w:hideMark/>
          </w:tcPr>
          <w:p w14:paraId="20542A3F" w14:textId="77777777" w:rsidR="00000000" w:rsidRDefault="00405D16">
            <w:pPr>
              <w:spacing w:after="100"/>
              <w:rPr>
                <w:rFonts w:eastAsia="Times New Roman"/>
                <w:sz w:val="20"/>
                <w:szCs w:val="20"/>
              </w:rPr>
            </w:pPr>
          </w:p>
        </w:tc>
      </w:tr>
      <w:tr w:rsidR="00000000" w14:paraId="77820DE5" w14:textId="77777777">
        <w:trPr>
          <w:divId w:val="958032057"/>
          <w:trHeight w:val="300"/>
          <w:jc w:val="center"/>
        </w:trPr>
        <w:tc>
          <w:tcPr>
            <w:tcW w:w="0" w:type="auto"/>
            <w:gridSpan w:val="9"/>
            <w:tcMar>
              <w:top w:w="0" w:type="dxa"/>
              <w:left w:w="20" w:type="dxa"/>
              <w:bottom w:w="0" w:type="dxa"/>
              <w:right w:w="20" w:type="dxa"/>
            </w:tcMar>
            <w:vAlign w:val="center"/>
            <w:hideMark/>
          </w:tcPr>
          <w:p w14:paraId="174CC72F" w14:textId="77777777" w:rsidR="00000000" w:rsidRDefault="00405D16">
            <w:pPr>
              <w:spacing w:after="100"/>
              <w:rPr>
                <w:rFonts w:eastAsia="Times New Roman"/>
                <w:sz w:val="20"/>
                <w:szCs w:val="20"/>
              </w:rPr>
            </w:pPr>
          </w:p>
        </w:tc>
      </w:tr>
      <w:tr w:rsidR="00000000" w14:paraId="33E6A137" w14:textId="77777777">
        <w:trPr>
          <w:divId w:val="958032057"/>
          <w:jc w:val="center"/>
        </w:trPr>
        <w:tc>
          <w:tcPr>
            <w:tcW w:w="0" w:type="auto"/>
            <w:gridSpan w:val="3"/>
            <w:tcMar>
              <w:top w:w="0" w:type="dxa"/>
              <w:left w:w="20" w:type="dxa"/>
              <w:bottom w:w="0" w:type="dxa"/>
              <w:right w:w="20" w:type="dxa"/>
            </w:tcMar>
            <w:vAlign w:val="center"/>
            <w:hideMark/>
          </w:tcPr>
          <w:p w14:paraId="535BF065"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922233E" w14:textId="77777777" w:rsidR="00000000" w:rsidRDefault="00405D16">
            <w:pPr>
              <w:spacing w:after="100"/>
              <w:jc w:val="center"/>
              <w:rPr>
                <w:rFonts w:eastAsia="Times New Roman"/>
              </w:rPr>
            </w:pPr>
            <w:r>
              <w:rPr>
                <w:rFonts w:eastAsia="Times New Roman"/>
                <w:color w:val="000000"/>
                <w:sz w:val="16"/>
                <w:szCs w:val="16"/>
              </w:rPr>
              <w:t>97</w:t>
            </w:r>
          </w:p>
        </w:tc>
        <w:tc>
          <w:tcPr>
            <w:tcW w:w="0" w:type="auto"/>
            <w:gridSpan w:val="3"/>
            <w:tcMar>
              <w:top w:w="30" w:type="dxa"/>
              <w:left w:w="20" w:type="dxa"/>
              <w:bottom w:w="30" w:type="dxa"/>
              <w:right w:w="20" w:type="dxa"/>
            </w:tcMar>
            <w:vAlign w:val="bottom"/>
            <w:hideMark/>
          </w:tcPr>
          <w:p w14:paraId="7DAEBF1C"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31C38131" w14:textId="77777777" w:rsidR="00000000" w:rsidRDefault="00405D16">
      <w:pPr>
        <w:rPr>
          <w:rFonts w:eastAsia="Times New Roman"/>
        </w:rPr>
      </w:pPr>
      <w:r>
        <w:rPr>
          <w:rFonts w:eastAsia="Times New Roman"/>
        </w:rPr>
        <w:pict w14:anchorId="310D2AEB">
          <v:rect id="_x0000_i1122" style="width:0;height:1.5pt" o:hralign="center" o:hrstd="t" o:hr="t" fillcolor="#a0a0a0" stroked="f"/>
        </w:pict>
      </w:r>
    </w:p>
    <w:p w14:paraId="343FEFD8" w14:textId="77777777" w:rsidR="00000000" w:rsidRDefault="00405D16">
      <w:pPr>
        <w:jc w:val="both"/>
        <w:divId w:val="1856383630"/>
        <w:rPr>
          <w:rFonts w:eastAsia="Times New Roman"/>
        </w:rPr>
      </w:pPr>
      <w:hyperlink w:anchor="idd54a04a485440b4ab4e56094c14d612_13" w:history="1">
        <w:r>
          <w:rPr>
            <w:rStyle w:val="a3"/>
            <w:rFonts w:eastAsia="Times New Roman"/>
            <w:sz w:val="16"/>
            <w:szCs w:val="16"/>
          </w:rPr>
          <w:t>Table of Contents</w:t>
        </w:r>
      </w:hyperlink>
    </w:p>
    <w:p w14:paraId="13E11068" w14:textId="77777777" w:rsidR="00000000" w:rsidRDefault="00405D16">
      <w:pPr>
        <w:jc w:val="center"/>
        <w:divId w:val="1856383630"/>
        <w:rPr>
          <w:rFonts w:eastAsia="Times New Roman"/>
        </w:rPr>
      </w:pPr>
    </w:p>
    <w:p w14:paraId="3C3F1E94" w14:textId="77777777" w:rsidR="00000000" w:rsidRDefault="00405D16">
      <w:pPr>
        <w:jc w:val="both"/>
        <w:divId w:val="521549820"/>
        <w:rPr>
          <w:rFonts w:eastAsia="Times New Roman"/>
        </w:rPr>
      </w:pPr>
      <w:r>
        <w:rPr>
          <w:rFonts w:eastAsia="Times New Roman"/>
          <w:color w:val="000000"/>
          <w:sz w:val="20"/>
          <w:szCs w:val="20"/>
        </w:rPr>
        <w:t>The table below presents our continuing involvement in certain securitization-related VIEs as of September 30, 2021 and December 31, 2020.</w:t>
      </w:r>
    </w:p>
    <w:p w14:paraId="5C84E177" w14:textId="77777777" w:rsidR="00000000" w:rsidRDefault="00405D16">
      <w:pPr>
        <w:divId w:val="1744448856"/>
        <w:rPr>
          <w:rFonts w:eastAsia="Times New Roman"/>
        </w:rPr>
      </w:pPr>
      <w:r>
        <w:rPr>
          <w:rFonts w:eastAsia="Times New Roman"/>
          <w:b/>
          <w:bCs/>
          <w:color w:val="000000"/>
          <w:sz w:val="18"/>
          <w:szCs w:val="18"/>
        </w:rPr>
        <w:t>Ta</w:t>
      </w:r>
      <w:r>
        <w:rPr>
          <w:rFonts w:eastAsia="Times New Roman"/>
          <w:b/>
          <w:bCs/>
          <w:color w:val="000000"/>
          <w:sz w:val="18"/>
          <w:szCs w:val="18"/>
        </w:rPr>
        <w:t>ble 5.2: Continuing Involvement in Securitization-Related VIEs</w:t>
      </w:r>
    </w:p>
    <w:tbl>
      <w:tblPr>
        <w:tblW w:w="5000" w:type="pct"/>
        <w:tblCellMar>
          <w:top w:w="15" w:type="dxa"/>
          <w:left w:w="15" w:type="dxa"/>
          <w:bottom w:w="15" w:type="dxa"/>
          <w:right w:w="15" w:type="dxa"/>
        </w:tblCellMar>
        <w:tblLook w:val="04A0" w:firstRow="1" w:lastRow="0" w:firstColumn="1" w:lastColumn="0" w:noHBand="0" w:noVBand="1"/>
      </w:tblPr>
      <w:tblGrid>
        <w:gridCol w:w="41"/>
        <w:gridCol w:w="6281"/>
        <w:gridCol w:w="38"/>
        <w:gridCol w:w="36"/>
        <w:gridCol w:w="36"/>
        <w:gridCol w:w="36"/>
        <w:gridCol w:w="110"/>
        <w:gridCol w:w="719"/>
        <w:gridCol w:w="36"/>
        <w:gridCol w:w="36"/>
        <w:gridCol w:w="36"/>
        <w:gridCol w:w="36"/>
        <w:gridCol w:w="110"/>
        <w:gridCol w:w="719"/>
        <w:gridCol w:w="36"/>
      </w:tblGrid>
      <w:tr w:rsidR="00000000" w14:paraId="1CDA7EF0" w14:textId="77777777">
        <w:trPr>
          <w:divId w:val="472988660"/>
        </w:trPr>
        <w:tc>
          <w:tcPr>
            <w:tcW w:w="50" w:type="pct"/>
            <w:vAlign w:val="center"/>
            <w:hideMark/>
          </w:tcPr>
          <w:p w14:paraId="70CA79EE" w14:textId="77777777" w:rsidR="00000000" w:rsidRDefault="00405D16">
            <w:pPr>
              <w:rPr>
                <w:rFonts w:eastAsia="Times New Roman"/>
              </w:rPr>
            </w:pPr>
          </w:p>
        </w:tc>
        <w:tc>
          <w:tcPr>
            <w:tcW w:w="3804" w:type="pct"/>
            <w:vAlign w:val="center"/>
            <w:hideMark/>
          </w:tcPr>
          <w:p w14:paraId="22B4884A" w14:textId="77777777" w:rsidR="00000000" w:rsidRDefault="00405D16">
            <w:pPr>
              <w:spacing w:after="100"/>
              <w:rPr>
                <w:rFonts w:eastAsia="Times New Roman"/>
                <w:sz w:val="20"/>
                <w:szCs w:val="20"/>
              </w:rPr>
            </w:pPr>
          </w:p>
        </w:tc>
        <w:tc>
          <w:tcPr>
            <w:tcW w:w="5" w:type="pct"/>
            <w:vAlign w:val="center"/>
            <w:hideMark/>
          </w:tcPr>
          <w:p w14:paraId="02DD36DC" w14:textId="77777777" w:rsidR="00000000" w:rsidRDefault="00405D16">
            <w:pPr>
              <w:spacing w:after="100"/>
              <w:rPr>
                <w:rFonts w:eastAsia="Times New Roman"/>
                <w:sz w:val="20"/>
                <w:szCs w:val="20"/>
              </w:rPr>
            </w:pPr>
          </w:p>
        </w:tc>
        <w:tc>
          <w:tcPr>
            <w:tcW w:w="5" w:type="pct"/>
            <w:vAlign w:val="center"/>
            <w:hideMark/>
          </w:tcPr>
          <w:p w14:paraId="7B8E3D55" w14:textId="77777777" w:rsidR="00000000" w:rsidRDefault="00405D16">
            <w:pPr>
              <w:spacing w:after="100"/>
              <w:rPr>
                <w:rFonts w:eastAsia="Times New Roman"/>
                <w:sz w:val="20"/>
                <w:szCs w:val="20"/>
              </w:rPr>
            </w:pPr>
          </w:p>
        </w:tc>
        <w:tc>
          <w:tcPr>
            <w:tcW w:w="26" w:type="pct"/>
            <w:vAlign w:val="center"/>
            <w:hideMark/>
          </w:tcPr>
          <w:p w14:paraId="1AD3D48E" w14:textId="77777777" w:rsidR="00000000" w:rsidRDefault="00405D16">
            <w:pPr>
              <w:spacing w:after="100"/>
              <w:rPr>
                <w:rFonts w:eastAsia="Times New Roman"/>
                <w:sz w:val="20"/>
                <w:szCs w:val="20"/>
              </w:rPr>
            </w:pPr>
          </w:p>
        </w:tc>
        <w:tc>
          <w:tcPr>
            <w:tcW w:w="5" w:type="pct"/>
            <w:vAlign w:val="center"/>
            <w:hideMark/>
          </w:tcPr>
          <w:p w14:paraId="4B8DFA91" w14:textId="77777777" w:rsidR="00000000" w:rsidRDefault="00405D16">
            <w:pPr>
              <w:spacing w:after="100"/>
              <w:rPr>
                <w:rFonts w:eastAsia="Times New Roman"/>
                <w:sz w:val="20"/>
                <w:szCs w:val="20"/>
              </w:rPr>
            </w:pPr>
          </w:p>
        </w:tc>
        <w:tc>
          <w:tcPr>
            <w:tcW w:w="50" w:type="pct"/>
            <w:vAlign w:val="center"/>
            <w:hideMark/>
          </w:tcPr>
          <w:p w14:paraId="20D2623F" w14:textId="77777777" w:rsidR="00000000" w:rsidRDefault="00405D16">
            <w:pPr>
              <w:spacing w:after="100"/>
              <w:rPr>
                <w:rFonts w:eastAsia="Times New Roman"/>
                <w:sz w:val="20"/>
                <w:szCs w:val="20"/>
              </w:rPr>
            </w:pPr>
          </w:p>
        </w:tc>
        <w:tc>
          <w:tcPr>
            <w:tcW w:w="478" w:type="pct"/>
            <w:vAlign w:val="center"/>
            <w:hideMark/>
          </w:tcPr>
          <w:p w14:paraId="420FCEFF" w14:textId="77777777" w:rsidR="00000000" w:rsidRDefault="00405D16">
            <w:pPr>
              <w:spacing w:after="100"/>
              <w:rPr>
                <w:rFonts w:eastAsia="Times New Roman"/>
                <w:sz w:val="20"/>
                <w:szCs w:val="20"/>
              </w:rPr>
            </w:pPr>
          </w:p>
        </w:tc>
        <w:tc>
          <w:tcPr>
            <w:tcW w:w="5" w:type="pct"/>
            <w:vAlign w:val="center"/>
            <w:hideMark/>
          </w:tcPr>
          <w:p w14:paraId="7384EABE" w14:textId="77777777" w:rsidR="00000000" w:rsidRDefault="00405D16">
            <w:pPr>
              <w:spacing w:after="100"/>
              <w:rPr>
                <w:rFonts w:eastAsia="Times New Roman"/>
                <w:sz w:val="20"/>
                <w:szCs w:val="20"/>
              </w:rPr>
            </w:pPr>
          </w:p>
        </w:tc>
        <w:tc>
          <w:tcPr>
            <w:tcW w:w="5" w:type="pct"/>
            <w:vAlign w:val="center"/>
            <w:hideMark/>
          </w:tcPr>
          <w:p w14:paraId="4D2E809F" w14:textId="77777777" w:rsidR="00000000" w:rsidRDefault="00405D16">
            <w:pPr>
              <w:spacing w:after="100"/>
              <w:rPr>
                <w:rFonts w:eastAsia="Times New Roman"/>
                <w:sz w:val="20"/>
                <w:szCs w:val="20"/>
              </w:rPr>
            </w:pPr>
          </w:p>
        </w:tc>
        <w:tc>
          <w:tcPr>
            <w:tcW w:w="26" w:type="pct"/>
            <w:vAlign w:val="center"/>
            <w:hideMark/>
          </w:tcPr>
          <w:p w14:paraId="0C092882" w14:textId="77777777" w:rsidR="00000000" w:rsidRDefault="00405D16">
            <w:pPr>
              <w:spacing w:after="100"/>
              <w:rPr>
                <w:rFonts w:eastAsia="Times New Roman"/>
                <w:sz w:val="20"/>
                <w:szCs w:val="20"/>
              </w:rPr>
            </w:pPr>
          </w:p>
        </w:tc>
        <w:tc>
          <w:tcPr>
            <w:tcW w:w="5" w:type="pct"/>
            <w:vAlign w:val="center"/>
            <w:hideMark/>
          </w:tcPr>
          <w:p w14:paraId="5663C769" w14:textId="77777777" w:rsidR="00000000" w:rsidRDefault="00405D16">
            <w:pPr>
              <w:spacing w:after="100"/>
              <w:rPr>
                <w:rFonts w:eastAsia="Times New Roman"/>
                <w:sz w:val="20"/>
                <w:szCs w:val="20"/>
              </w:rPr>
            </w:pPr>
          </w:p>
        </w:tc>
        <w:tc>
          <w:tcPr>
            <w:tcW w:w="50" w:type="pct"/>
            <w:vAlign w:val="center"/>
            <w:hideMark/>
          </w:tcPr>
          <w:p w14:paraId="4CE5EC39" w14:textId="77777777" w:rsidR="00000000" w:rsidRDefault="00405D16">
            <w:pPr>
              <w:spacing w:after="100"/>
              <w:rPr>
                <w:rFonts w:eastAsia="Times New Roman"/>
                <w:sz w:val="20"/>
                <w:szCs w:val="20"/>
              </w:rPr>
            </w:pPr>
          </w:p>
        </w:tc>
        <w:tc>
          <w:tcPr>
            <w:tcW w:w="478" w:type="pct"/>
            <w:vAlign w:val="center"/>
            <w:hideMark/>
          </w:tcPr>
          <w:p w14:paraId="2BA421D2" w14:textId="77777777" w:rsidR="00000000" w:rsidRDefault="00405D16">
            <w:pPr>
              <w:spacing w:after="100"/>
              <w:rPr>
                <w:rFonts w:eastAsia="Times New Roman"/>
                <w:sz w:val="20"/>
                <w:szCs w:val="20"/>
              </w:rPr>
            </w:pPr>
          </w:p>
        </w:tc>
        <w:tc>
          <w:tcPr>
            <w:tcW w:w="5" w:type="pct"/>
            <w:vAlign w:val="center"/>
            <w:hideMark/>
          </w:tcPr>
          <w:p w14:paraId="52B24A55" w14:textId="77777777" w:rsidR="00000000" w:rsidRDefault="00405D16">
            <w:pPr>
              <w:spacing w:after="100"/>
              <w:rPr>
                <w:rFonts w:eastAsia="Times New Roman"/>
                <w:sz w:val="20"/>
                <w:szCs w:val="20"/>
              </w:rPr>
            </w:pPr>
          </w:p>
        </w:tc>
      </w:tr>
      <w:tr w:rsidR="00000000" w14:paraId="3E909F1C" w14:textId="77777777">
        <w:trPr>
          <w:divId w:val="472988660"/>
        </w:trPr>
        <w:tc>
          <w:tcPr>
            <w:tcW w:w="0" w:type="auto"/>
            <w:gridSpan w:val="3"/>
            <w:tcMar>
              <w:top w:w="30" w:type="dxa"/>
              <w:left w:w="20" w:type="dxa"/>
              <w:bottom w:w="30" w:type="dxa"/>
              <w:right w:w="20" w:type="dxa"/>
            </w:tcMar>
            <w:vAlign w:val="bottom"/>
            <w:hideMark/>
          </w:tcPr>
          <w:p w14:paraId="054491C9"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32998245" w14:textId="77777777" w:rsidR="00000000" w:rsidRDefault="00405D16">
            <w:pPr>
              <w:spacing w:after="100"/>
              <w:rPr>
                <w:rFonts w:eastAsia="Times New Roman"/>
              </w:rPr>
            </w:pPr>
          </w:p>
        </w:tc>
        <w:tc>
          <w:tcPr>
            <w:tcW w:w="0" w:type="auto"/>
            <w:gridSpan w:val="3"/>
            <w:tcMar>
              <w:top w:w="30" w:type="dxa"/>
              <w:left w:w="20" w:type="dxa"/>
              <w:bottom w:w="30" w:type="dxa"/>
              <w:right w:w="20" w:type="dxa"/>
            </w:tcMar>
            <w:vAlign w:val="bottom"/>
            <w:hideMark/>
          </w:tcPr>
          <w:p w14:paraId="46275806" w14:textId="77777777" w:rsidR="00000000" w:rsidRDefault="00405D16">
            <w:pPr>
              <w:spacing w:after="100"/>
              <w:jc w:val="center"/>
              <w:rPr>
                <w:rFonts w:eastAsia="Times New Roman"/>
              </w:rPr>
            </w:pPr>
            <w:r>
              <w:rPr>
                <w:rFonts w:eastAsia="Times New Roman"/>
                <w:b/>
                <w:bCs/>
                <w:color w:val="000000"/>
                <w:sz w:val="16"/>
                <w:szCs w:val="16"/>
              </w:rPr>
              <w:t>Credit Card</w:t>
            </w:r>
          </w:p>
        </w:tc>
        <w:tc>
          <w:tcPr>
            <w:tcW w:w="0" w:type="auto"/>
            <w:gridSpan w:val="3"/>
            <w:tcMar>
              <w:top w:w="0" w:type="dxa"/>
              <w:left w:w="20" w:type="dxa"/>
              <w:bottom w:w="0" w:type="dxa"/>
              <w:right w:w="20" w:type="dxa"/>
            </w:tcMar>
            <w:vAlign w:val="center"/>
            <w:hideMark/>
          </w:tcPr>
          <w:p w14:paraId="6E68B88A"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27C8895" w14:textId="77777777" w:rsidR="00000000" w:rsidRDefault="00405D16">
            <w:pPr>
              <w:spacing w:after="100"/>
              <w:jc w:val="center"/>
              <w:rPr>
                <w:rFonts w:eastAsia="Times New Roman"/>
              </w:rPr>
            </w:pPr>
            <w:r>
              <w:rPr>
                <w:rFonts w:eastAsia="Times New Roman"/>
                <w:b/>
                <w:bCs/>
                <w:color w:val="000000"/>
                <w:sz w:val="16"/>
                <w:szCs w:val="16"/>
              </w:rPr>
              <w:t>Auto</w:t>
            </w:r>
          </w:p>
        </w:tc>
      </w:tr>
      <w:tr w:rsidR="00000000" w14:paraId="50139417" w14:textId="77777777">
        <w:trPr>
          <w:divId w:val="47298866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D34CCFD" w14:textId="77777777" w:rsidR="00000000" w:rsidRDefault="00405D16">
            <w:pPr>
              <w:spacing w:after="100"/>
              <w:rPr>
                <w:rFonts w:eastAsia="Times New Roman"/>
              </w:rPr>
            </w:pPr>
            <w:r>
              <w:rPr>
                <w:rFonts w:eastAsia="Times New Roman"/>
                <w:b/>
                <w:bCs/>
                <w:color w:val="000000"/>
                <w:sz w:val="18"/>
                <w:szCs w:val="18"/>
              </w:rPr>
              <w:t>September 30, 2021:</w:t>
            </w:r>
          </w:p>
        </w:tc>
        <w:tc>
          <w:tcPr>
            <w:tcW w:w="0" w:type="auto"/>
            <w:gridSpan w:val="3"/>
            <w:shd w:val="clear" w:color="auto" w:fill="CCEEFF"/>
            <w:tcMar>
              <w:top w:w="0" w:type="dxa"/>
              <w:left w:w="20" w:type="dxa"/>
              <w:bottom w:w="0" w:type="dxa"/>
              <w:right w:w="20" w:type="dxa"/>
            </w:tcMar>
            <w:vAlign w:val="center"/>
            <w:hideMark/>
          </w:tcPr>
          <w:p w14:paraId="7DA8DB40"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1F0222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5C2956"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AA8DED" w14:textId="77777777" w:rsidR="00000000" w:rsidRDefault="00405D16">
            <w:pPr>
              <w:spacing w:after="100"/>
              <w:rPr>
                <w:rFonts w:eastAsia="Times New Roman"/>
                <w:sz w:val="20"/>
                <w:szCs w:val="20"/>
              </w:rPr>
            </w:pPr>
          </w:p>
        </w:tc>
      </w:tr>
      <w:tr w:rsidR="00000000" w14:paraId="29D2CD0B" w14:textId="77777777">
        <w:trPr>
          <w:divId w:val="472988660"/>
        </w:trPr>
        <w:tc>
          <w:tcPr>
            <w:tcW w:w="0" w:type="auto"/>
            <w:gridSpan w:val="3"/>
            <w:shd w:val="clear" w:color="auto" w:fill="FFFFFF"/>
            <w:tcMar>
              <w:top w:w="30" w:type="dxa"/>
              <w:left w:w="20" w:type="dxa"/>
              <w:bottom w:w="30" w:type="dxa"/>
              <w:right w:w="20" w:type="dxa"/>
            </w:tcMar>
            <w:vAlign w:val="center"/>
            <w:hideMark/>
          </w:tcPr>
          <w:p w14:paraId="1A250BC7" w14:textId="77777777" w:rsidR="00000000" w:rsidRDefault="00405D16">
            <w:pPr>
              <w:spacing w:after="100"/>
              <w:rPr>
                <w:rFonts w:eastAsia="Times New Roman"/>
              </w:rPr>
            </w:pPr>
            <w:r>
              <w:rPr>
                <w:rFonts w:eastAsia="Times New Roman"/>
                <w:color w:val="000000"/>
                <w:sz w:val="18"/>
                <w:szCs w:val="18"/>
              </w:rPr>
              <w:t>Securities held by third-party investors</w:t>
            </w:r>
          </w:p>
        </w:tc>
        <w:tc>
          <w:tcPr>
            <w:tcW w:w="0" w:type="auto"/>
            <w:gridSpan w:val="3"/>
            <w:shd w:val="clear" w:color="auto" w:fill="FFFFFF"/>
            <w:tcMar>
              <w:top w:w="0" w:type="dxa"/>
              <w:left w:w="20" w:type="dxa"/>
              <w:bottom w:w="0" w:type="dxa"/>
              <w:right w:w="20" w:type="dxa"/>
            </w:tcMar>
            <w:vAlign w:val="center"/>
            <w:hideMark/>
          </w:tcPr>
          <w:p w14:paraId="1A418778"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5EF6C695"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3C2D209D" w14:textId="77777777" w:rsidR="00000000" w:rsidRDefault="00405D16">
            <w:pPr>
              <w:spacing w:after="100"/>
              <w:jc w:val="right"/>
              <w:rPr>
                <w:rFonts w:eastAsia="Times New Roman"/>
              </w:rPr>
            </w:pPr>
            <w:r>
              <w:rPr>
                <w:rFonts w:eastAsia="Times New Roman"/>
                <w:b/>
                <w:bCs/>
                <w:color w:val="000000"/>
                <w:sz w:val="18"/>
                <w:szCs w:val="18"/>
              </w:rPr>
              <w:t>11,367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A4902C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FB3FD0"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ACBF404"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3D5D150B" w14:textId="77777777" w:rsidR="00000000" w:rsidRDefault="00405D16">
            <w:pPr>
              <w:spacing w:after="100"/>
              <w:jc w:val="right"/>
              <w:rPr>
                <w:rFonts w:eastAsia="Times New Roman"/>
              </w:rPr>
            </w:pPr>
            <w:r>
              <w:rPr>
                <w:rFonts w:eastAsia="Times New Roman"/>
                <w:b/>
                <w:bCs/>
                <w:color w:val="000000"/>
                <w:sz w:val="18"/>
                <w:szCs w:val="18"/>
              </w:rPr>
              <w:t>1,268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6FD2DCC" w14:textId="77777777" w:rsidR="00000000" w:rsidRDefault="00405D16">
            <w:pPr>
              <w:spacing w:after="100"/>
              <w:jc w:val="right"/>
              <w:rPr>
                <w:rFonts w:eastAsia="Times New Roman"/>
              </w:rPr>
            </w:pPr>
          </w:p>
        </w:tc>
      </w:tr>
      <w:tr w:rsidR="00000000" w14:paraId="41C3AB5C" w14:textId="77777777">
        <w:trPr>
          <w:divId w:val="472988660"/>
        </w:trPr>
        <w:tc>
          <w:tcPr>
            <w:tcW w:w="0" w:type="auto"/>
            <w:gridSpan w:val="3"/>
            <w:shd w:val="clear" w:color="auto" w:fill="CCEEFF"/>
            <w:tcMar>
              <w:top w:w="30" w:type="dxa"/>
              <w:left w:w="20" w:type="dxa"/>
              <w:bottom w:w="30" w:type="dxa"/>
              <w:right w:w="20" w:type="dxa"/>
            </w:tcMar>
            <w:vAlign w:val="center"/>
            <w:hideMark/>
          </w:tcPr>
          <w:p w14:paraId="1710E1FC" w14:textId="77777777" w:rsidR="00000000" w:rsidRDefault="00405D16">
            <w:pPr>
              <w:spacing w:after="100"/>
              <w:rPr>
                <w:rFonts w:eastAsia="Times New Roman"/>
              </w:rPr>
            </w:pPr>
            <w:r>
              <w:rPr>
                <w:rFonts w:eastAsia="Times New Roman"/>
                <w:color w:val="000000"/>
                <w:sz w:val="18"/>
                <w:szCs w:val="18"/>
              </w:rPr>
              <w:t>Receivables in the trusts</w:t>
            </w:r>
          </w:p>
        </w:tc>
        <w:tc>
          <w:tcPr>
            <w:tcW w:w="0" w:type="auto"/>
            <w:gridSpan w:val="3"/>
            <w:shd w:val="clear" w:color="auto" w:fill="CCEEFF"/>
            <w:tcMar>
              <w:top w:w="0" w:type="dxa"/>
              <w:left w:w="20" w:type="dxa"/>
              <w:bottom w:w="0" w:type="dxa"/>
              <w:right w:w="20" w:type="dxa"/>
            </w:tcMar>
            <w:vAlign w:val="center"/>
            <w:hideMark/>
          </w:tcPr>
          <w:p w14:paraId="7DBA42DB"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DA3C23E" w14:textId="77777777" w:rsidR="00000000" w:rsidRDefault="00405D16">
            <w:pPr>
              <w:spacing w:after="100"/>
              <w:jc w:val="right"/>
              <w:rPr>
                <w:rFonts w:eastAsia="Times New Roman"/>
              </w:rPr>
            </w:pPr>
            <w:r>
              <w:rPr>
                <w:rFonts w:eastAsia="Times New Roman"/>
                <w:b/>
                <w:bCs/>
                <w:color w:val="000000"/>
                <w:sz w:val="18"/>
                <w:szCs w:val="18"/>
              </w:rPr>
              <w:t>21,496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E5FB9F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6CF7F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470A487" w14:textId="77777777" w:rsidR="00000000" w:rsidRDefault="00405D16">
            <w:pPr>
              <w:spacing w:after="100"/>
              <w:jc w:val="right"/>
              <w:rPr>
                <w:rFonts w:eastAsia="Times New Roman"/>
              </w:rPr>
            </w:pPr>
            <w:r>
              <w:rPr>
                <w:rFonts w:eastAsia="Times New Roman"/>
                <w:b/>
                <w:bCs/>
                <w:color w:val="000000"/>
                <w:sz w:val="18"/>
                <w:szCs w:val="18"/>
              </w:rPr>
              <w:t>1,419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064B013" w14:textId="77777777" w:rsidR="00000000" w:rsidRDefault="00405D16">
            <w:pPr>
              <w:spacing w:after="100"/>
              <w:jc w:val="right"/>
              <w:rPr>
                <w:rFonts w:eastAsia="Times New Roman"/>
              </w:rPr>
            </w:pPr>
          </w:p>
        </w:tc>
      </w:tr>
      <w:tr w:rsidR="00000000" w14:paraId="69C64912" w14:textId="77777777">
        <w:trPr>
          <w:divId w:val="472988660"/>
        </w:trPr>
        <w:tc>
          <w:tcPr>
            <w:tcW w:w="0" w:type="auto"/>
            <w:gridSpan w:val="3"/>
            <w:shd w:val="clear" w:color="auto" w:fill="FFFFFF"/>
            <w:tcMar>
              <w:top w:w="30" w:type="dxa"/>
              <w:left w:w="20" w:type="dxa"/>
              <w:bottom w:w="30" w:type="dxa"/>
              <w:right w:w="20" w:type="dxa"/>
            </w:tcMar>
            <w:vAlign w:val="center"/>
            <w:hideMark/>
          </w:tcPr>
          <w:p w14:paraId="0A91B5D4" w14:textId="77777777" w:rsidR="00000000" w:rsidRDefault="00405D16">
            <w:pPr>
              <w:spacing w:after="100"/>
              <w:rPr>
                <w:rFonts w:eastAsia="Times New Roman"/>
              </w:rPr>
            </w:pPr>
            <w:r>
              <w:rPr>
                <w:rFonts w:eastAsia="Times New Roman"/>
                <w:color w:val="000000"/>
                <w:sz w:val="18"/>
                <w:szCs w:val="18"/>
              </w:rPr>
              <w:t>Cash balance of spread or reserve accounts</w:t>
            </w:r>
          </w:p>
        </w:tc>
        <w:tc>
          <w:tcPr>
            <w:tcW w:w="0" w:type="auto"/>
            <w:gridSpan w:val="3"/>
            <w:shd w:val="clear" w:color="auto" w:fill="FFFFFF"/>
            <w:tcMar>
              <w:top w:w="0" w:type="dxa"/>
              <w:left w:w="20" w:type="dxa"/>
              <w:bottom w:w="0" w:type="dxa"/>
              <w:right w:w="20" w:type="dxa"/>
            </w:tcMar>
            <w:vAlign w:val="center"/>
            <w:hideMark/>
          </w:tcPr>
          <w:p w14:paraId="12F92B7C"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C05E0A0"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8875D4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11354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B365E4E" w14:textId="77777777" w:rsidR="00000000" w:rsidRDefault="00405D16">
            <w:pPr>
              <w:spacing w:after="100"/>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FCCAAED" w14:textId="77777777" w:rsidR="00000000" w:rsidRDefault="00405D16">
            <w:pPr>
              <w:spacing w:after="100"/>
              <w:jc w:val="right"/>
              <w:rPr>
                <w:rFonts w:eastAsia="Times New Roman"/>
              </w:rPr>
            </w:pPr>
          </w:p>
        </w:tc>
      </w:tr>
      <w:tr w:rsidR="00000000" w14:paraId="4BE7DBE3" w14:textId="77777777">
        <w:trPr>
          <w:divId w:val="472988660"/>
        </w:trPr>
        <w:tc>
          <w:tcPr>
            <w:tcW w:w="0" w:type="auto"/>
            <w:gridSpan w:val="3"/>
            <w:shd w:val="clear" w:color="auto" w:fill="CCEEFF"/>
            <w:tcMar>
              <w:top w:w="30" w:type="dxa"/>
              <w:left w:w="20" w:type="dxa"/>
              <w:bottom w:w="30" w:type="dxa"/>
              <w:right w:w="20" w:type="dxa"/>
            </w:tcMar>
            <w:vAlign w:val="center"/>
            <w:hideMark/>
          </w:tcPr>
          <w:p w14:paraId="76EE24DB" w14:textId="77777777" w:rsidR="00000000" w:rsidRDefault="00405D16">
            <w:pPr>
              <w:spacing w:after="100"/>
              <w:rPr>
                <w:rFonts w:eastAsia="Times New Roman"/>
              </w:rPr>
            </w:pPr>
            <w:r>
              <w:rPr>
                <w:rFonts w:eastAsia="Times New Roman"/>
                <w:color w:val="000000"/>
                <w:sz w:val="18"/>
                <w:szCs w:val="18"/>
              </w:rPr>
              <w:t>Retained interests</w:t>
            </w:r>
          </w:p>
        </w:tc>
        <w:tc>
          <w:tcPr>
            <w:tcW w:w="0" w:type="auto"/>
            <w:gridSpan w:val="3"/>
            <w:shd w:val="clear" w:color="auto" w:fill="CCEEFF"/>
            <w:tcMar>
              <w:top w:w="0" w:type="dxa"/>
              <w:left w:w="20" w:type="dxa"/>
              <w:bottom w:w="0" w:type="dxa"/>
              <w:right w:w="20" w:type="dxa"/>
            </w:tcMar>
            <w:vAlign w:val="center"/>
            <w:hideMark/>
          </w:tcPr>
          <w:p w14:paraId="2908E64A" w14:textId="77777777" w:rsidR="00000000" w:rsidRDefault="00405D16">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55775AC1" w14:textId="77777777" w:rsidR="00000000" w:rsidRDefault="00405D16">
            <w:pPr>
              <w:spacing w:after="100"/>
              <w:jc w:val="right"/>
              <w:rPr>
                <w:rFonts w:eastAsia="Times New Roman"/>
              </w:rPr>
            </w:pPr>
            <w:r>
              <w:rPr>
                <w:rFonts w:eastAsia="Times New Roman"/>
                <w:b/>
                <w:bCs/>
                <w:color w:val="000000"/>
                <w:sz w:val="18"/>
                <w:szCs w:val="18"/>
              </w:rPr>
              <w:t>Yes</w:t>
            </w:r>
          </w:p>
        </w:tc>
        <w:tc>
          <w:tcPr>
            <w:tcW w:w="0" w:type="auto"/>
            <w:gridSpan w:val="3"/>
            <w:shd w:val="clear" w:color="auto" w:fill="CCEEFF"/>
            <w:tcMar>
              <w:top w:w="0" w:type="dxa"/>
              <w:left w:w="20" w:type="dxa"/>
              <w:bottom w:w="0" w:type="dxa"/>
              <w:right w:w="20" w:type="dxa"/>
            </w:tcMar>
            <w:vAlign w:val="center"/>
            <w:hideMark/>
          </w:tcPr>
          <w:p w14:paraId="5EE18EF4" w14:textId="77777777" w:rsidR="00000000" w:rsidRDefault="00405D16">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0E36159D" w14:textId="77777777" w:rsidR="00000000" w:rsidRDefault="00405D16">
            <w:pPr>
              <w:spacing w:after="100"/>
              <w:jc w:val="right"/>
              <w:rPr>
                <w:rFonts w:eastAsia="Times New Roman"/>
              </w:rPr>
            </w:pPr>
            <w:r>
              <w:rPr>
                <w:rFonts w:eastAsia="Times New Roman"/>
                <w:b/>
                <w:bCs/>
                <w:color w:val="000000"/>
                <w:sz w:val="18"/>
                <w:szCs w:val="18"/>
              </w:rPr>
              <w:t>Yes</w:t>
            </w:r>
          </w:p>
        </w:tc>
      </w:tr>
      <w:tr w:rsidR="00000000" w14:paraId="4E48A8E3" w14:textId="77777777">
        <w:trPr>
          <w:divId w:val="472988660"/>
        </w:trPr>
        <w:tc>
          <w:tcPr>
            <w:tcW w:w="0" w:type="auto"/>
            <w:gridSpan w:val="3"/>
            <w:shd w:val="clear" w:color="auto" w:fill="FFFFFF"/>
            <w:tcMar>
              <w:top w:w="30" w:type="dxa"/>
              <w:left w:w="20" w:type="dxa"/>
              <w:bottom w:w="30" w:type="dxa"/>
              <w:right w:w="20" w:type="dxa"/>
            </w:tcMar>
            <w:vAlign w:val="center"/>
            <w:hideMark/>
          </w:tcPr>
          <w:p w14:paraId="18EB619E" w14:textId="77777777" w:rsidR="00000000" w:rsidRDefault="00405D16">
            <w:pPr>
              <w:spacing w:after="100"/>
              <w:rPr>
                <w:rFonts w:eastAsia="Times New Roman"/>
              </w:rPr>
            </w:pPr>
            <w:r>
              <w:rPr>
                <w:rFonts w:eastAsia="Times New Roman"/>
                <w:color w:val="000000"/>
                <w:sz w:val="18"/>
                <w:szCs w:val="18"/>
              </w:rPr>
              <w:t>Servicing retained</w:t>
            </w:r>
          </w:p>
        </w:tc>
        <w:tc>
          <w:tcPr>
            <w:tcW w:w="0" w:type="auto"/>
            <w:gridSpan w:val="3"/>
            <w:shd w:val="clear" w:color="auto" w:fill="FFFFFF"/>
            <w:tcMar>
              <w:top w:w="0" w:type="dxa"/>
              <w:left w:w="20" w:type="dxa"/>
              <w:bottom w:w="0" w:type="dxa"/>
              <w:right w:w="20" w:type="dxa"/>
            </w:tcMar>
            <w:vAlign w:val="center"/>
            <w:hideMark/>
          </w:tcPr>
          <w:p w14:paraId="190CAF2F" w14:textId="77777777" w:rsidR="00000000" w:rsidRDefault="00405D16">
            <w:pPr>
              <w:spacing w:after="100"/>
              <w:rPr>
                <w:rFonts w:eastAsia="Times New Roman"/>
              </w:rPr>
            </w:pPr>
          </w:p>
        </w:tc>
        <w:tc>
          <w:tcPr>
            <w:tcW w:w="0" w:type="auto"/>
            <w:gridSpan w:val="3"/>
            <w:tcMar>
              <w:top w:w="30" w:type="dxa"/>
              <w:left w:w="20" w:type="dxa"/>
              <w:bottom w:w="30" w:type="dxa"/>
              <w:right w:w="20" w:type="dxa"/>
            </w:tcMar>
            <w:vAlign w:val="center"/>
            <w:hideMark/>
          </w:tcPr>
          <w:p w14:paraId="16A96E2D" w14:textId="77777777" w:rsidR="00000000" w:rsidRDefault="00405D16">
            <w:pPr>
              <w:spacing w:after="100"/>
              <w:jc w:val="right"/>
              <w:rPr>
                <w:rFonts w:eastAsia="Times New Roman"/>
              </w:rPr>
            </w:pPr>
            <w:r>
              <w:rPr>
                <w:rFonts w:eastAsia="Times New Roman"/>
                <w:b/>
                <w:bCs/>
                <w:color w:val="000000"/>
                <w:sz w:val="18"/>
                <w:szCs w:val="18"/>
              </w:rPr>
              <w:t>Yes</w:t>
            </w:r>
          </w:p>
        </w:tc>
        <w:tc>
          <w:tcPr>
            <w:tcW w:w="0" w:type="auto"/>
            <w:gridSpan w:val="3"/>
            <w:tcMar>
              <w:top w:w="0" w:type="dxa"/>
              <w:left w:w="20" w:type="dxa"/>
              <w:bottom w:w="0" w:type="dxa"/>
              <w:right w:w="20" w:type="dxa"/>
            </w:tcMar>
            <w:vAlign w:val="center"/>
            <w:hideMark/>
          </w:tcPr>
          <w:p w14:paraId="7CF46E7D" w14:textId="77777777" w:rsidR="00000000" w:rsidRDefault="00405D16">
            <w:pPr>
              <w:spacing w:after="100"/>
              <w:jc w:val="right"/>
              <w:rPr>
                <w:rFonts w:eastAsia="Times New Roman"/>
              </w:rPr>
            </w:pPr>
          </w:p>
        </w:tc>
        <w:tc>
          <w:tcPr>
            <w:tcW w:w="0" w:type="auto"/>
            <w:gridSpan w:val="3"/>
            <w:tcMar>
              <w:top w:w="30" w:type="dxa"/>
              <w:left w:w="20" w:type="dxa"/>
              <w:bottom w:w="30" w:type="dxa"/>
              <w:right w:w="20" w:type="dxa"/>
            </w:tcMar>
            <w:vAlign w:val="center"/>
            <w:hideMark/>
          </w:tcPr>
          <w:p w14:paraId="483FAFD0" w14:textId="77777777" w:rsidR="00000000" w:rsidRDefault="00405D16">
            <w:pPr>
              <w:spacing w:after="100"/>
              <w:jc w:val="right"/>
              <w:rPr>
                <w:rFonts w:eastAsia="Times New Roman"/>
              </w:rPr>
            </w:pPr>
            <w:r>
              <w:rPr>
                <w:rFonts w:eastAsia="Times New Roman"/>
                <w:b/>
                <w:bCs/>
                <w:color w:val="000000"/>
                <w:sz w:val="18"/>
                <w:szCs w:val="18"/>
              </w:rPr>
              <w:t>Yes</w:t>
            </w:r>
          </w:p>
        </w:tc>
      </w:tr>
      <w:tr w:rsidR="00000000" w14:paraId="5415BC49" w14:textId="77777777">
        <w:trPr>
          <w:divId w:val="472988660"/>
        </w:trPr>
        <w:tc>
          <w:tcPr>
            <w:tcW w:w="0" w:type="auto"/>
            <w:gridSpan w:val="3"/>
            <w:shd w:val="clear" w:color="auto" w:fill="CCEEFF"/>
            <w:tcMar>
              <w:top w:w="30" w:type="dxa"/>
              <w:left w:w="20" w:type="dxa"/>
              <w:bottom w:w="30" w:type="dxa"/>
              <w:right w:w="20" w:type="dxa"/>
            </w:tcMar>
            <w:vAlign w:val="center"/>
            <w:hideMark/>
          </w:tcPr>
          <w:p w14:paraId="5483DCA3" w14:textId="77777777" w:rsidR="00000000" w:rsidRDefault="00405D16">
            <w:pPr>
              <w:spacing w:after="100"/>
              <w:rPr>
                <w:rFonts w:eastAsia="Times New Roman"/>
              </w:rPr>
            </w:pPr>
            <w:r>
              <w:rPr>
                <w:rFonts w:eastAsia="Times New Roman"/>
                <w:b/>
                <w:bCs/>
                <w:color w:val="000000"/>
                <w:sz w:val="18"/>
                <w:szCs w:val="18"/>
              </w:rPr>
              <w:t>December 31, 2020:</w:t>
            </w:r>
          </w:p>
        </w:tc>
        <w:tc>
          <w:tcPr>
            <w:tcW w:w="0" w:type="auto"/>
            <w:gridSpan w:val="3"/>
            <w:shd w:val="clear" w:color="auto" w:fill="CCEEFF"/>
            <w:tcMar>
              <w:top w:w="0" w:type="dxa"/>
              <w:left w:w="20" w:type="dxa"/>
              <w:bottom w:w="0" w:type="dxa"/>
              <w:right w:w="20" w:type="dxa"/>
            </w:tcMar>
            <w:vAlign w:val="center"/>
            <w:hideMark/>
          </w:tcPr>
          <w:p w14:paraId="61B440B0"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229A3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8340F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602FC8" w14:textId="77777777" w:rsidR="00000000" w:rsidRDefault="00405D16">
            <w:pPr>
              <w:spacing w:after="100"/>
              <w:rPr>
                <w:rFonts w:eastAsia="Times New Roman"/>
                <w:sz w:val="20"/>
                <w:szCs w:val="20"/>
              </w:rPr>
            </w:pPr>
          </w:p>
        </w:tc>
      </w:tr>
      <w:tr w:rsidR="00000000" w14:paraId="79D90FBF" w14:textId="77777777">
        <w:trPr>
          <w:divId w:val="472988660"/>
        </w:trPr>
        <w:tc>
          <w:tcPr>
            <w:tcW w:w="0" w:type="auto"/>
            <w:gridSpan w:val="3"/>
            <w:shd w:val="clear" w:color="auto" w:fill="FFFFFF"/>
            <w:tcMar>
              <w:top w:w="30" w:type="dxa"/>
              <w:left w:w="20" w:type="dxa"/>
              <w:bottom w:w="30" w:type="dxa"/>
              <w:right w:w="20" w:type="dxa"/>
            </w:tcMar>
            <w:vAlign w:val="center"/>
            <w:hideMark/>
          </w:tcPr>
          <w:p w14:paraId="60E511F0" w14:textId="77777777" w:rsidR="00000000" w:rsidRDefault="00405D16">
            <w:pPr>
              <w:spacing w:after="100"/>
              <w:rPr>
                <w:rFonts w:eastAsia="Times New Roman"/>
              </w:rPr>
            </w:pPr>
            <w:r>
              <w:rPr>
                <w:rFonts w:eastAsia="Times New Roman"/>
                <w:color w:val="000000"/>
                <w:sz w:val="18"/>
                <w:szCs w:val="18"/>
              </w:rPr>
              <w:t>Securities held by third-party investors</w:t>
            </w:r>
          </w:p>
        </w:tc>
        <w:tc>
          <w:tcPr>
            <w:tcW w:w="0" w:type="auto"/>
            <w:gridSpan w:val="3"/>
            <w:shd w:val="clear" w:color="auto" w:fill="FFFFFF"/>
            <w:tcMar>
              <w:top w:w="0" w:type="dxa"/>
              <w:left w:w="20" w:type="dxa"/>
              <w:bottom w:w="0" w:type="dxa"/>
              <w:right w:w="20" w:type="dxa"/>
            </w:tcMar>
            <w:vAlign w:val="center"/>
            <w:hideMark/>
          </w:tcPr>
          <w:p w14:paraId="4EEE00B9"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1B9E9F90"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2F5C0F6F" w14:textId="77777777" w:rsidR="00000000" w:rsidRDefault="00405D16">
            <w:pPr>
              <w:spacing w:after="100"/>
              <w:jc w:val="right"/>
              <w:rPr>
                <w:rFonts w:eastAsia="Times New Roman"/>
              </w:rPr>
            </w:pPr>
            <w:r>
              <w:rPr>
                <w:rFonts w:eastAsia="Times New Roman"/>
                <w:color w:val="000000"/>
                <w:sz w:val="18"/>
                <w:szCs w:val="18"/>
              </w:rPr>
              <w:t>10,361 </w:t>
            </w:r>
          </w:p>
        </w:tc>
        <w:tc>
          <w:tcPr>
            <w:tcW w:w="0" w:type="auto"/>
            <w:shd w:val="clear" w:color="auto" w:fill="FFFFFF"/>
            <w:tcMar>
              <w:top w:w="30" w:type="dxa"/>
              <w:left w:w="0" w:type="dxa"/>
              <w:bottom w:w="30" w:type="dxa"/>
              <w:right w:w="20" w:type="dxa"/>
            </w:tcMar>
            <w:vAlign w:val="center"/>
            <w:hideMark/>
          </w:tcPr>
          <w:p w14:paraId="79C8F10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D3CCB3"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460AE31"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1C076C5D" w14:textId="77777777" w:rsidR="00000000" w:rsidRDefault="00405D16">
            <w:pPr>
              <w:spacing w:after="100"/>
              <w:jc w:val="right"/>
              <w:rPr>
                <w:rFonts w:eastAsia="Times New Roman"/>
              </w:rPr>
            </w:pPr>
            <w:r>
              <w:rPr>
                <w:rFonts w:eastAsia="Times New Roman"/>
                <w:color w:val="000000"/>
                <w:sz w:val="18"/>
                <w:szCs w:val="18"/>
              </w:rPr>
              <w:t>2,053 </w:t>
            </w:r>
          </w:p>
        </w:tc>
        <w:tc>
          <w:tcPr>
            <w:tcW w:w="0" w:type="auto"/>
            <w:shd w:val="clear" w:color="auto" w:fill="FFFFFF"/>
            <w:tcMar>
              <w:top w:w="30" w:type="dxa"/>
              <w:left w:w="0" w:type="dxa"/>
              <w:bottom w:w="30" w:type="dxa"/>
              <w:right w:w="20" w:type="dxa"/>
            </w:tcMar>
            <w:vAlign w:val="center"/>
            <w:hideMark/>
          </w:tcPr>
          <w:p w14:paraId="63D4E81A" w14:textId="77777777" w:rsidR="00000000" w:rsidRDefault="00405D16">
            <w:pPr>
              <w:spacing w:after="100"/>
              <w:jc w:val="right"/>
              <w:rPr>
                <w:rFonts w:eastAsia="Times New Roman"/>
              </w:rPr>
            </w:pPr>
          </w:p>
        </w:tc>
      </w:tr>
      <w:tr w:rsidR="00000000" w14:paraId="492537A5" w14:textId="77777777">
        <w:trPr>
          <w:divId w:val="472988660"/>
        </w:trPr>
        <w:tc>
          <w:tcPr>
            <w:tcW w:w="0" w:type="auto"/>
            <w:gridSpan w:val="3"/>
            <w:shd w:val="clear" w:color="auto" w:fill="CCEEFF"/>
            <w:tcMar>
              <w:top w:w="30" w:type="dxa"/>
              <w:left w:w="20" w:type="dxa"/>
              <w:bottom w:w="30" w:type="dxa"/>
              <w:right w:w="20" w:type="dxa"/>
            </w:tcMar>
            <w:vAlign w:val="center"/>
            <w:hideMark/>
          </w:tcPr>
          <w:p w14:paraId="173E1E95" w14:textId="77777777" w:rsidR="00000000" w:rsidRDefault="00405D16">
            <w:pPr>
              <w:spacing w:after="100"/>
              <w:rPr>
                <w:rFonts w:eastAsia="Times New Roman"/>
              </w:rPr>
            </w:pPr>
            <w:r>
              <w:rPr>
                <w:rFonts w:eastAsia="Times New Roman"/>
                <w:color w:val="000000"/>
                <w:sz w:val="18"/>
                <w:szCs w:val="18"/>
              </w:rPr>
              <w:t>Receivables in the trust</w:t>
            </w:r>
          </w:p>
        </w:tc>
        <w:tc>
          <w:tcPr>
            <w:tcW w:w="0" w:type="auto"/>
            <w:gridSpan w:val="3"/>
            <w:shd w:val="clear" w:color="auto" w:fill="CCEEFF"/>
            <w:tcMar>
              <w:top w:w="0" w:type="dxa"/>
              <w:left w:w="20" w:type="dxa"/>
              <w:bottom w:w="0" w:type="dxa"/>
              <w:right w:w="20" w:type="dxa"/>
            </w:tcMar>
            <w:vAlign w:val="center"/>
            <w:hideMark/>
          </w:tcPr>
          <w:p w14:paraId="4527E7E9"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6F8AED0" w14:textId="77777777" w:rsidR="00000000" w:rsidRDefault="00405D16">
            <w:pPr>
              <w:spacing w:after="100"/>
              <w:jc w:val="right"/>
              <w:rPr>
                <w:rFonts w:eastAsia="Times New Roman"/>
              </w:rPr>
            </w:pPr>
            <w:r>
              <w:rPr>
                <w:rFonts w:eastAsia="Times New Roman"/>
                <w:color w:val="000000"/>
                <w:sz w:val="18"/>
                <w:szCs w:val="18"/>
              </w:rPr>
              <w:t>23,683 </w:t>
            </w:r>
          </w:p>
        </w:tc>
        <w:tc>
          <w:tcPr>
            <w:tcW w:w="0" w:type="auto"/>
            <w:shd w:val="clear" w:color="auto" w:fill="CCEEFF"/>
            <w:tcMar>
              <w:top w:w="30" w:type="dxa"/>
              <w:left w:w="0" w:type="dxa"/>
              <w:bottom w:w="30" w:type="dxa"/>
              <w:right w:w="20" w:type="dxa"/>
            </w:tcMar>
            <w:vAlign w:val="center"/>
            <w:hideMark/>
          </w:tcPr>
          <w:p w14:paraId="2D571AE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AF283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7A6B733" w14:textId="77777777" w:rsidR="00000000" w:rsidRDefault="00405D16">
            <w:pPr>
              <w:spacing w:after="100"/>
              <w:jc w:val="right"/>
              <w:rPr>
                <w:rFonts w:eastAsia="Times New Roman"/>
              </w:rPr>
            </w:pPr>
            <w:r>
              <w:rPr>
                <w:rFonts w:eastAsia="Times New Roman"/>
                <w:color w:val="000000"/>
                <w:sz w:val="18"/>
                <w:szCs w:val="18"/>
              </w:rPr>
              <w:t>2,243 </w:t>
            </w:r>
          </w:p>
        </w:tc>
        <w:tc>
          <w:tcPr>
            <w:tcW w:w="0" w:type="auto"/>
            <w:shd w:val="clear" w:color="auto" w:fill="CCEEFF"/>
            <w:tcMar>
              <w:top w:w="30" w:type="dxa"/>
              <w:left w:w="0" w:type="dxa"/>
              <w:bottom w:w="30" w:type="dxa"/>
              <w:right w:w="20" w:type="dxa"/>
            </w:tcMar>
            <w:vAlign w:val="center"/>
            <w:hideMark/>
          </w:tcPr>
          <w:p w14:paraId="11CEE49E" w14:textId="77777777" w:rsidR="00000000" w:rsidRDefault="00405D16">
            <w:pPr>
              <w:spacing w:after="100"/>
              <w:jc w:val="right"/>
              <w:rPr>
                <w:rFonts w:eastAsia="Times New Roman"/>
              </w:rPr>
            </w:pPr>
          </w:p>
        </w:tc>
      </w:tr>
      <w:tr w:rsidR="00000000" w14:paraId="60FC1330" w14:textId="77777777">
        <w:trPr>
          <w:divId w:val="472988660"/>
        </w:trPr>
        <w:tc>
          <w:tcPr>
            <w:tcW w:w="0" w:type="auto"/>
            <w:gridSpan w:val="3"/>
            <w:shd w:val="clear" w:color="auto" w:fill="FFFFFF"/>
            <w:tcMar>
              <w:top w:w="30" w:type="dxa"/>
              <w:left w:w="20" w:type="dxa"/>
              <w:bottom w:w="30" w:type="dxa"/>
              <w:right w:w="20" w:type="dxa"/>
            </w:tcMar>
            <w:vAlign w:val="center"/>
            <w:hideMark/>
          </w:tcPr>
          <w:p w14:paraId="33D4A243" w14:textId="77777777" w:rsidR="00000000" w:rsidRDefault="00405D16">
            <w:pPr>
              <w:spacing w:after="100"/>
              <w:rPr>
                <w:rFonts w:eastAsia="Times New Roman"/>
              </w:rPr>
            </w:pPr>
            <w:r>
              <w:rPr>
                <w:rFonts w:eastAsia="Times New Roman"/>
                <w:color w:val="000000"/>
                <w:sz w:val="18"/>
                <w:szCs w:val="18"/>
              </w:rPr>
              <w:t>Cash balance of spread or reserve accounts</w:t>
            </w:r>
          </w:p>
        </w:tc>
        <w:tc>
          <w:tcPr>
            <w:tcW w:w="0" w:type="auto"/>
            <w:gridSpan w:val="3"/>
            <w:shd w:val="clear" w:color="auto" w:fill="FFFFFF"/>
            <w:tcMar>
              <w:top w:w="0" w:type="dxa"/>
              <w:left w:w="20" w:type="dxa"/>
              <w:bottom w:w="0" w:type="dxa"/>
              <w:right w:w="20" w:type="dxa"/>
            </w:tcMar>
            <w:vAlign w:val="center"/>
            <w:hideMark/>
          </w:tcPr>
          <w:p w14:paraId="7F61BEB3"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3DDDB7A"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5139BA4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ACF3C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C1161BA" w14:textId="77777777" w:rsidR="00000000" w:rsidRDefault="00405D16">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center"/>
            <w:hideMark/>
          </w:tcPr>
          <w:p w14:paraId="01DEF224" w14:textId="77777777" w:rsidR="00000000" w:rsidRDefault="00405D16">
            <w:pPr>
              <w:spacing w:after="100"/>
              <w:jc w:val="right"/>
              <w:rPr>
                <w:rFonts w:eastAsia="Times New Roman"/>
              </w:rPr>
            </w:pPr>
          </w:p>
        </w:tc>
      </w:tr>
      <w:tr w:rsidR="00000000" w14:paraId="112990B0" w14:textId="77777777">
        <w:trPr>
          <w:divId w:val="472988660"/>
        </w:trPr>
        <w:tc>
          <w:tcPr>
            <w:tcW w:w="0" w:type="auto"/>
            <w:gridSpan w:val="3"/>
            <w:shd w:val="clear" w:color="auto" w:fill="CCEEFF"/>
            <w:tcMar>
              <w:top w:w="30" w:type="dxa"/>
              <w:left w:w="20" w:type="dxa"/>
              <w:bottom w:w="30" w:type="dxa"/>
              <w:right w:w="20" w:type="dxa"/>
            </w:tcMar>
            <w:vAlign w:val="center"/>
            <w:hideMark/>
          </w:tcPr>
          <w:p w14:paraId="4178F68D" w14:textId="77777777" w:rsidR="00000000" w:rsidRDefault="00405D16">
            <w:pPr>
              <w:spacing w:after="100"/>
              <w:rPr>
                <w:rFonts w:eastAsia="Times New Roman"/>
              </w:rPr>
            </w:pPr>
            <w:r>
              <w:rPr>
                <w:rFonts w:eastAsia="Times New Roman"/>
                <w:color w:val="000000"/>
                <w:sz w:val="18"/>
                <w:szCs w:val="18"/>
              </w:rPr>
              <w:t>Retained interests</w:t>
            </w:r>
          </w:p>
        </w:tc>
        <w:tc>
          <w:tcPr>
            <w:tcW w:w="0" w:type="auto"/>
            <w:gridSpan w:val="3"/>
            <w:shd w:val="clear" w:color="auto" w:fill="CCEEFF"/>
            <w:tcMar>
              <w:top w:w="0" w:type="dxa"/>
              <w:left w:w="20" w:type="dxa"/>
              <w:bottom w:w="0" w:type="dxa"/>
              <w:right w:w="20" w:type="dxa"/>
            </w:tcMar>
            <w:vAlign w:val="center"/>
            <w:hideMark/>
          </w:tcPr>
          <w:p w14:paraId="58974F18" w14:textId="77777777" w:rsidR="00000000" w:rsidRDefault="00405D16">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3FC23DAF" w14:textId="77777777" w:rsidR="00000000" w:rsidRDefault="00405D16">
            <w:pPr>
              <w:spacing w:after="100"/>
              <w:jc w:val="right"/>
              <w:rPr>
                <w:rFonts w:eastAsia="Times New Roman"/>
              </w:rPr>
            </w:pPr>
            <w:r>
              <w:rPr>
                <w:rFonts w:eastAsia="Times New Roman"/>
                <w:color w:val="000000"/>
                <w:sz w:val="18"/>
                <w:szCs w:val="18"/>
              </w:rPr>
              <w:t>Yes</w:t>
            </w:r>
          </w:p>
        </w:tc>
        <w:tc>
          <w:tcPr>
            <w:tcW w:w="0" w:type="auto"/>
            <w:gridSpan w:val="3"/>
            <w:shd w:val="clear" w:color="auto" w:fill="CCEEFF"/>
            <w:tcMar>
              <w:top w:w="0" w:type="dxa"/>
              <w:left w:w="20" w:type="dxa"/>
              <w:bottom w:w="0" w:type="dxa"/>
              <w:right w:w="20" w:type="dxa"/>
            </w:tcMar>
            <w:vAlign w:val="center"/>
            <w:hideMark/>
          </w:tcPr>
          <w:p w14:paraId="19C546FB" w14:textId="77777777" w:rsidR="00000000" w:rsidRDefault="00405D16">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4040CDF2" w14:textId="77777777" w:rsidR="00000000" w:rsidRDefault="00405D16">
            <w:pPr>
              <w:spacing w:after="100"/>
              <w:jc w:val="right"/>
              <w:rPr>
                <w:rFonts w:eastAsia="Times New Roman"/>
              </w:rPr>
            </w:pPr>
            <w:r>
              <w:rPr>
                <w:rFonts w:eastAsia="Times New Roman"/>
                <w:color w:val="000000"/>
                <w:sz w:val="18"/>
                <w:szCs w:val="18"/>
              </w:rPr>
              <w:t>Yes</w:t>
            </w:r>
          </w:p>
        </w:tc>
      </w:tr>
      <w:tr w:rsidR="00000000" w14:paraId="0E87A0E4" w14:textId="77777777">
        <w:trPr>
          <w:divId w:val="472988660"/>
        </w:trPr>
        <w:tc>
          <w:tcPr>
            <w:tcW w:w="0" w:type="auto"/>
            <w:gridSpan w:val="3"/>
            <w:shd w:val="clear" w:color="auto" w:fill="FFFFFF"/>
            <w:tcMar>
              <w:top w:w="30" w:type="dxa"/>
              <w:left w:w="20" w:type="dxa"/>
              <w:bottom w:w="30" w:type="dxa"/>
              <w:right w:w="20" w:type="dxa"/>
            </w:tcMar>
            <w:vAlign w:val="center"/>
            <w:hideMark/>
          </w:tcPr>
          <w:p w14:paraId="02A06644" w14:textId="77777777" w:rsidR="00000000" w:rsidRDefault="00405D16">
            <w:pPr>
              <w:spacing w:after="100"/>
              <w:rPr>
                <w:rFonts w:eastAsia="Times New Roman"/>
              </w:rPr>
            </w:pPr>
            <w:r>
              <w:rPr>
                <w:rFonts w:eastAsia="Times New Roman"/>
                <w:color w:val="000000"/>
                <w:sz w:val="18"/>
                <w:szCs w:val="18"/>
              </w:rPr>
              <w:t>Servicing retained</w:t>
            </w:r>
          </w:p>
        </w:tc>
        <w:tc>
          <w:tcPr>
            <w:tcW w:w="0" w:type="auto"/>
            <w:gridSpan w:val="3"/>
            <w:shd w:val="clear" w:color="auto" w:fill="FFFFFF"/>
            <w:tcMar>
              <w:top w:w="0" w:type="dxa"/>
              <w:left w:w="20" w:type="dxa"/>
              <w:bottom w:w="0" w:type="dxa"/>
              <w:right w:w="20" w:type="dxa"/>
            </w:tcMar>
            <w:vAlign w:val="center"/>
            <w:hideMark/>
          </w:tcPr>
          <w:p w14:paraId="5E7FE644" w14:textId="77777777" w:rsidR="00000000" w:rsidRDefault="00405D16">
            <w:pPr>
              <w:spacing w:after="100"/>
              <w:rPr>
                <w:rFonts w:eastAsia="Times New Roman"/>
              </w:rPr>
            </w:pPr>
          </w:p>
        </w:tc>
        <w:tc>
          <w:tcPr>
            <w:tcW w:w="0" w:type="auto"/>
            <w:gridSpan w:val="3"/>
            <w:tcMar>
              <w:top w:w="30" w:type="dxa"/>
              <w:left w:w="20" w:type="dxa"/>
              <w:bottom w:w="30" w:type="dxa"/>
              <w:right w:w="20" w:type="dxa"/>
            </w:tcMar>
            <w:vAlign w:val="center"/>
            <w:hideMark/>
          </w:tcPr>
          <w:p w14:paraId="6BB194F2" w14:textId="77777777" w:rsidR="00000000" w:rsidRDefault="00405D16">
            <w:pPr>
              <w:spacing w:after="100"/>
              <w:jc w:val="right"/>
              <w:rPr>
                <w:rFonts w:eastAsia="Times New Roman"/>
              </w:rPr>
            </w:pPr>
            <w:r>
              <w:rPr>
                <w:rFonts w:eastAsia="Times New Roman"/>
                <w:color w:val="000000"/>
                <w:sz w:val="18"/>
                <w:szCs w:val="18"/>
              </w:rPr>
              <w:t>Yes</w:t>
            </w:r>
          </w:p>
        </w:tc>
        <w:tc>
          <w:tcPr>
            <w:tcW w:w="0" w:type="auto"/>
            <w:gridSpan w:val="3"/>
            <w:tcMar>
              <w:top w:w="0" w:type="dxa"/>
              <w:left w:w="20" w:type="dxa"/>
              <w:bottom w:w="0" w:type="dxa"/>
              <w:right w:w="20" w:type="dxa"/>
            </w:tcMar>
            <w:vAlign w:val="center"/>
            <w:hideMark/>
          </w:tcPr>
          <w:p w14:paraId="16ABFB62" w14:textId="77777777" w:rsidR="00000000" w:rsidRDefault="00405D16">
            <w:pPr>
              <w:spacing w:after="100"/>
              <w:jc w:val="right"/>
              <w:rPr>
                <w:rFonts w:eastAsia="Times New Roman"/>
              </w:rPr>
            </w:pPr>
          </w:p>
        </w:tc>
        <w:tc>
          <w:tcPr>
            <w:tcW w:w="0" w:type="auto"/>
            <w:gridSpan w:val="3"/>
            <w:tcMar>
              <w:top w:w="30" w:type="dxa"/>
              <w:left w:w="20" w:type="dxa"/>
              <w:bottom w:w="30" w:type="dxa"/>
              <w:right w:w="20" w:type="dxa"/>
            </w:tcMar>
            <w:vAlign w:val="center"/>
            <w:hideMark/>
          </w:tcPr>
          <w:p w14:paraId="5ED78EA1" w14:textId="77777777" w:rsidR="00000000" w:rsidRDefault="00405D16">
            <w:pPr>
              <w:spacing w:after="100"/>
              <w:jc w:val="right"/>
              <w:rPr>
                <w:rFonts w:eastAsia="Times New Roman"/>
              </w:rPr>
            </w:pPr>
            <w:r>
              <w:rPr>
                <w:rFonts w:eastAsia="Times New Roman"/>
                <w:color w:val="000000"/>
                <w:sz w:val="18"/>
                <w:szCs w:val="18"/>
              </w:rPr>
              <w:t>Yes</w:t>
            </w:r>
          </w:p>
        </w:tc>
      </w:tr>
    </w:tbl>
    <w:p w14:paraId="0433FB9C" w14:textId="77777777" w:rsidR="00000000" w:rsidRDefault="00405D16">
      <w:pPr>
        <w:divId w:val="140319245"/>
        <w:rPr>
          <w:rFonts w:eastAsia="Times New Roman"/>
        </w:rPr>
      </w:pPr>
      <w:r>
        <w:rPr>
          <w:rFonts w:eastAsia="Times New Roman"/>
          <w:b/>
          <w:bCs/>
          <w:i/>
          <w:iCs/>
          <w:color w:val="000000"/>
          <w:sz w:val="20"/>
          <w:szCs w:val="20"/>
        </w:rPr>
        <w:t>Credit Card Securitizations</w:t>
      </w:r>
    </w:p>
    <w:p w14:paraId="59484CAA" w14:textId="77777777" w:rsidR="00000000" w:rsidRDefault="00405D16">
      <w:pPr>
        <w:jc w:val="both"/>
        <w:divId w:val="56436969"/>
        <w:rPr>
          <w:rFonts w:eastAsia="Times New Roman"/>
        </w:rPr>
      </w:pPr>
      <w:r>
        <w:rPr>
          <w:rFonts w:eastAsia="Times New Roman"/>
          <w:color w:val="000000"/>
          <w:sz w:val="20"/>
          <w:szCs w:val="20"/>
        </w:rPr>
        <w:t xml:space="preserve">We securitize a portion of our credit card loans which provides a source of funding for us. Credit card securitizations involve the transfer of credit card receivables to securitization trusts. These trusts then issue debt securities collateralized by the </w:t>
      </w:r>
      <w:r>
        <w:rPr>
          <w:rFonts w:eastAsia="Times New Roman"/>
          <w:color w:val="000000"/>
          <w:sz w:val="20"/>
          <w:szCs w:val="20"/>
        </w:rPr>
        <w:t>transferred receivables to third-party investors. We hold certain retained interests in our credit card securitizations and continue to service the receivables in these trusts. We consolidate these trusts because we are deemed to be the primary beneficiary</w:t>
      </w:r>
      <w:r>
        <w:rPr>
          <w:rFonts w:eastAsia="Times New Roman"/>
          <w:color w:val="000000"/>
          <w:sz w:val="20"/>
          <w:szCs w:val="20"/>
        </w:rPr>
        <w:t xml:space="preserve"> as we have the power to direct the activities that most significantly impact the economic performance of the trusts, and the right to receive benefits or the obligation to absorb losses that could potentially be significant to the trusts. </w:t>
      </w:r>
    </w:p>
    <w:p w14:paraId="45B1EA0D" w14:textId="77777777" w:rsidR="00000000" w:rsidRDefault="00405D16">
      <w:pPr>
        <w:divId w:val="55973701"/>
        <w:rPr>
          <w:rFonts w:eastAsia="Times New Roman"/>
        </w:rPr>
      </w:pPr>
      <w:r>
        <w:rPr>
          <w:rFonts w:eastAsia="Times New Roman"/>
          <w:b/>
          <w:bCs/>
          <w:i/>
          <w:iCs/>
          <w:color w:val="000000"/>
          <w:sz w:val="20"/>
          <w:szCs w:val="20"/>
        </w:rPr>
        <w:t>Auto Securitiza</w:t>
      </w:r>
      <w:r>
        <w:rPr>
          <w:rFonts w:eastAsia="Times New Roman"/>
          <w:b/>
          <w:bCs/>
          <w:i/>
          <w:iCs/>
          <w:color w:val="000000"/>
          <w:sz w:val="20"/>
          <w:szCs w:val="20"/>
        </w:rPr>
        <w:t>tions</w:t>
      </w:r>
    </w:p>
    <w:p w14:paraId="556CDBD3" w14:textId="77777777" w:rsidR="00000000" w:rsidRDefault="00405D16">
      <w:pPr>
        <w:jc w:val="both"/>
        <w:divId w:val="803740546"/>
        <w:rPr>
          <w:rFonts w:eastAsia="Times New Roman"/>
        </w:rPr>
      </w:pPr>
      <w:r>
        <w:rPr>
          <w:rFonts w:eastAsia="Times New Roman"/>
          <w:color w:val="000000"/>
          <w:sz w:val="20"/>
          <w:szCs w:val="20"/>
        </w:rPr>
        <w:t>Similar to our credit card securitizations, we securitize a portion of our auto loans which provides a source of funding for us. Auto securitization involves the transfer of auto loans to securitization trusts. These trusts then issue debt securities</w:t>
      </w:r>
      <w:r>
        <w:rPr>
          <w:rFonts w:eastAsia="Times New Roman"/>
          <w:color w:val="000000"/>
          <w:sz w:val="20"/>
          <w:szCs w:val="20"/>
        </w:rPr>
        <w:t xml:space="preserve"> collateralized by the transferred loans to third-party investors. We hold certain retained interests and continue to service the loans in these trusts. We consolidate these trusts because we are deemed to be the primary beneficiary as we have the power to</w:t>
      </w:r>
      <w:r>
        <w:rPr>
          <w:rFonts w:eastAsia="Times New Roman"/>
          <w:color w:val="000000"/>
          <w:sz w:val="20"/>
          <w:szCs w:val="20"/>
        </w:rPr>
        <w:t xml:space="preserve"> direct the activities that most significantly impact the economic performance of the trusts, and the right to receive benefits or the obligation to absorb losses that could potentially be significant to the trusts.</w:t>
      </w:r>
    </w:p>
    <w:p w14:paraId="4C3A0518" w14:textId="77777777" w:rsidR="00000000" w:rsidRDefault="00405D16">
      <w:pPr>
        <w:jc w:val="both"/>
        <w:divId w:val="1620797795"/>
        <w:rPr>
          <w:rFonts w:eastAsia="Times New Roman"/>
        </w:rPr>
      </w:pPr>
      <w:r>
        <w:rPr>
          <w:rFonts w:eastAsia="Times New Roman"/>
          <w:b/>
          <w:bCs/>
          <w:color w:val="000000"/>
          <w:sz w:val="20"/>
          <w:szCs w:val="20"/>
        </w:rPr>
        <w:t>Other VIEs</w:t>
      </w:r>
    </w:p>
    <w:p w14:paraId="68E24295" w14:textId="77777777" w:rsidR="00000000" w:rsidRDefault="00405D16">
      <w:pPr>
        <w:jc w:val="both"/>
        <w:divId w:val="650905517"/>
        <w:rPr>
          <w:rFonts w:eastAsia="Times New Roman"/>
        </w:rPr>
      </w:pPr>
      <w:r>
        <w:rPr>
          <w:rFonts w:eastAsia="Times New Roman"/>
          <w:b/>
          <w:bCs/>
          <w:i/>
          <w:iCs/>
          <w:color w:val="000000"/>
          <w:sz w:val="20"/>
          <w:szCs w:val="20"/>
        </w:rPr>
        <w:t>Affordable Housing Entities</w:t>
      </w:r>
    </w:p>
    <w:p w14:paraId="4B21384D" w14:textId="77777777" w:rsidR="00000000" w:rsidRDefault="00405D16">
      <w:pPr>
        <w:jc w:val="both"/>
        <w:divId w:val="187645170"/>
        <w:rPr>
          <w:rFonts w:eastAsia="Times New Roman"/>
        </w:rPr>
      </w:pPr>
      <w:r>
        <w:rPr>
          <w:rFonts w:eastAsia="Times New Roman"/>
          <w:color w:val="000000"/>
          <w:sz w:val="20"/>
          <w:szCs w:val="20"/>
        </w:rPr>
        <w:t>A</w:t>
      </w:r>
      <w:r>
        <w:rPr>
          <w:rFonts w:eastAsia="Times New Roman"/>
          <w:color w:val="000000"/>
          <w:sz w:val="20"/>
          <w:szCs w:val="20"/>
        </w:rPr>
        <w:t>s part of our community reinvestment initiatives, we invest in private investment funds that make equity investments in multifamily affordable housing properties. We receive affordable housing tax credits for these investments. The activities of these enti</w:t>
      </w:r>
      <w:r>
        <w:rPr>
          <w:rFonts w:eastAsia="Times New Roman"/>
          <w:color w:val="000000"/>
          <w:sz w:val="20"/>
          <w:szCs w:val="20"/>
        </w:rPr>
        <w:t>ties are financed with a combination of invested equity capital and debt. We account for certain investments in qualified affordable housing projects using the proportional amortization method if certain criteria are met. The proportional amortization meth</w:t>
      </w:r>
      <w:r>
        <w:rPr>
          <w:rFonts w:eastAsia="Times New Roman"/>
          <w:color w:val="000000"/>
          <w:sz w:val="20"/>
          <w:szCs w:val="20"/>
        </w:rPr>
        <w:t>od amortizes the cost of the investment over the period in which the investor expects to receive tax credits and other tax benefits, and the resulting amortization is recognized as a component of income tax expense attributable to continuing operations. Fo</w:t>
      </w:r>
      <w:r>
        <w:rPr>
          <w:rFonts w:eastAsia="Times New Roman"/>
          <w:color w:val="000000"/>
          <w:sz w:val="20"/>
          <w:szCs w:val="20"/>
        </w:rPr>
        <w:t xml:space="preserve">r the nine months ended September 30, 2021 and 2020, we recognized amortization of $477 million and $428 million, respectively, and tax credits of $560 million and $47 million, respectively, associated with these investments within income tax provision or </w:t>
      </w:r>
      <w:r>
        <w:rPr>
          <w:rFonts w:eastAsia="Times New Roman"/>
          <w:color w:val="000000"/>
          <w:sz w:val="20"/>
          <w:szCs w:val="20"/>
        </w:rPr>
        <w:t>benefit. The carrying value of our equity investments in these qualified affordable housing projects was $4.7 billion and $4.5 billion as of September 30, 2021 and December 31, 2020, respectively. We are periodically required to provide additional financia</w:t>
      </w:r>
      <w:r>
        <w:rPr>
          <w:rFonts w:eastAsia="Times New Roman"/>
          <w:color w:val="000000"/>
          <w:sz w:val="20"/>
          <w:szCs w:val="20"/>
        </w:rPr>
        <w:t xml:space="preserve">l or other support during the period of the investments. Our liability for these unfunded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0B26E2E6" w14:textId="77777777">
        <w:trPr>
          <w:divId w:val="819425697"/>
          <w:jc w:val="center"/>
        </w:trPr>
        <w:tc>
          <w:tcPr>
            <w:tcW w:w="50" w:type="pct"/>
            <w:vAlign w:val="center"/>
            <w:hideMark/>
          </w:tcPr>
          <w:p w14:paraId="5479CA92" w14:textId="77777777" w:rsidR="00000000" w:rsidRDefault="00405D16">
            <w:pPr>
              <w:jc w:val="both"/>
              <w:rPr>
                <w:rFonts w:eastAsia="Times New Roman"/>
              </w:rPr>
            </w:pPr>
          </w:p>
        </w:tc>
        <w:tc>
          <w:tcPr>
            <w:tcW w:w="1606" w:type="pct"/>
            <w:vAlign w:val="center"/>
            <w:hideMark/>
          </w:tcPr>
          <w:p w14:paraId="5F5D32C1" w14:textId="77777777" w:rsidR="00000000" w:rsidRDefault="00405D16">
            <w:pPr>
              <w:spacing w:after="100"/>
              <w:rPr>
                <w:rFonts w:eastAsia="Times New Roman"/>
                <w:sz w:val="20"/>
                <w:szCs w:val="20"/>
              </w:rPr>
            </w:pPr>
          </w:p>
        </w:tc>
        <w:tc>
          <w:tcPr>
            <w:tcW w:w="5" w:type="pct"/>
            <w:vAlign w:val="center"/>
            <w:hideMark/>
          </w:tcPr>
          <w:p w14:paraId="15710FA6" w14:textId="77777777" w:rsidR="00000000" w:rsidRDefault="00405D16">
            <w:pPr>
              <w:spacing w:after="100"/>
              <w:rPr>
                <w:rFonts w:eastAsia="Times New Roman"/>
                <w:sz w:val="20"/>
                <w:szCs w:val="20"/>
              </w:rPr>
            </w:pPr>
          </w:p>
        </w:tc>
        <w:tc>
          <w:tcPr>
            <w:tcW w:w="50" w:type="pct"/>
            <w:vAlign w:val="center"/>
            <w:hideMark/>
          </w:tcPr>
          <w:p w14:paraId="2D721E9C" w14:textId="77777777" w:rsidR="00000000" w:rsidRDefault="00405D16">
            <w:pPr>
              <w:spacing w:after="100"/>
              <w:rPr>
                <w:rFonts w:eastAsia="Times New Roman"/>
                <w:sz w:val="20"/>
                <w:szCs w:val="20"/>
              </w:rPr>
            </w:pPr>
          </w:p>
        </w:tc>
        <w:tc>
          <w:tcPr>
            <w:tcW w:w="1614" w:type="pct"/>
            <w:vAlign w:val="center"/>
            <w:hideMark/>
          </w:tcPr>
          <w:p w14:paraId="0E0D0F35" w14:textId="77777777" w:rsidR="00000000" w:rsidRDefault="00405D16">
            <w:pPr>
              <w:spacing w:after="100"/>
              <w:rPr>
                <w:rFonts w:eastAsia="Times New Roman"/>
                <w:sz w:val="20"/>
                <w:szCs w:val="20"/>
              </w:rPr>
            </w:pPr>
          </w:p>
        </w:tc>
        <w:tc>
          <w:tcPr>
            <w:tcW w:w="5" w:type="pct"/>
            <w:vAlign w:val="center"/>
            <w:hideMark/>
          </w:tcPr>
          <w:p w14:paraId="260D1123" w14:textId="77777777" w:rsidR="00000000" w:rsidRDefault="00405D16">
            <w:pPr>
              <w:spacing w:after="100"/>
              <w:rPr>
                <w:rFonts w:eastAsia="Times New Roman"/>
                <w:sz w:val="20"/>
                <w:szCs w:val="20"/>
              </w:rPr>
            </w:pPr>
          </w:p>
        </w:tc>
        <w:tc>
          <w:tcPr>
            <w:tcW w:w="50" w:type="pct"/>
            <w:vAlign w:val="center"/>
            <w:hideMark/>
          </w:tcPr>
          <w:p w14:paraId="5E573DFC" w14:textId="77777777" w:rsidR="00000000" w:rsidRDefault="00405D16">
            <w:pPr>
              <w:spacing w:after="100"/>
              <w:rPr>
                <w:rFonts w:eastAsia="Times New Roman"/>
                <w:sz w:val="20"/>
                <w:szCs w:val="20"/>
              </w:rPr>
            </w:pPr>
          </w:p>
        </w:tc>
        <w:tc>
          <w:tcPr>
            <w:tcW w:w="1614" w:type="pct"/>
            <w:vAlign w:val="center"/>
            <w:hideMark/>
          </w:tcPr>
          <w:p w14:paraId="53F1D752" w14:textId="77777777" w:rsidR="00000000" w:rsidRDefault="00405D16">
            <w:pPr>
              <w:spacing w:after="100"/>
              <w:rPr>
                <w:rFonts w:eastAsia="Times New Roman"/>
                <w:sz w:val="20"/>
                <w:szCs w:val="20"/>
              </w:rPr>
            </w:pPr>
          </w:p>
        </w:tc>
        <w:tc>
          <w:tcPr>
            <w:tcW w:w="5" w:type="pct"/>
            <w:vAlign w:val="center"/>
            <w:hideMark/>
          </w:tcPr>
          <w:p w14:paraId="7FDE3868" w14:textId="77777777" w:rsidR="00000000" w:rsidRDefault="00405D16">
            <w:pPr>
              <w:spacing w:after="100"/>
              <w:rPr>
                <w:rFonts w:eastAsia="Times New Roman"/>
                <w:sz w:val="20"/>
                <w:szCs w:val="20"/>
              </w:rPr>
            </w:pPr>
          </w:p>
        </w:tc>
      </w:tr>
      <w:tr w:rsidR="00000000" w14:paraId="0F6A1BCA" w14:textId="77777777">
        <w:trPr>
          <w:divId w:val="819425697"/>
          <w:trHeight w:val="300"/>
          <w:jc w:val="center"/>
        </w:trPr>
        <w:tc>
          <w:tcPr>
            <w:tcW w:w="0" w:type="auto"/>
            <w:gridSpan w:val="9"/>
            <w:tcMar>
              <w:top w:w="0" w:type="dxa"/>
              <w:left w:w="20" w:type="dxa"/>
              <w:bottom w:w="0" w:type="dxa"/>
              <w:right w:w="20" w:type="dxa"/>
            </w:tcMar>
            <w:vAlign w:val="center"/>
            <w:hideMark/>
          </w:tcPr>
          <w:p w14:paraId="6DDB416E" w14:textId="77777777" w:rsidR="00000000" w:rsidRDefault="00405D16">
            <w:pPr>
              <w:spacing w:after="100"/>
              <w:rPr>
                <w:rFonts w:eastAsia="Times New Roman"/>
                <w:sz w:val="20"/>
                <w:szCs w:val="20"/>
              </w:rPr>
            </w:pPr>
          </w:p>
        </w:tc>
      </w:tr>
      <w:tr w:rsidR="00000000" w14:paraId="7EEE921F" w14:textId="77777777">
        <w:trPr>
          <w:divId w:val="819425697"/>
          <w:jc w:val="center"/>
        </w:trPr>
        <w:tc>
          <w:tcPr>
            <w:tcW w:w="0" w:type="auto"/>
            <w:gridSpan w:val="3"/>
            <w:tcMar>
              <w:top w:w="0" w:type="dxa"/>
              <w:left w:w="20" w:type="dxa"/>
              <w:bottom w:w="0" w:type="dxa"/>
              <w:right w:w="20" w:type="dxa"/>
            </w:tcMar>
            <w:vAlign w:val="center"/>
            <w:hideMark/>
          </w:tcPr>
          <w:p w14:paraId="74B8CD8D"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0B28AC3" w14:textId="77777777" w:rsidR="00000000" w:rsidRDefault="00405D16">
            <w:pPr>
              <w:spacing w:after="100"/>
              <w:jc w:val="center"/>
              <w:rPr>
                <w:rFonts w:eastAsia="Times New Roman"/>
              </w:rPr>
            </w:pPr>
            <w:r>
              <w:rPr>
                <w:rFonts w:eastAsia="Times New Roman"/>
                <w:color w:val="000000"/>
                <w:sz w:val="16"/>
                <w:szCs w:val="16"/>
              </w:rPr>
              <w:t>98</w:t>
            </w:r>
          </w:p>
        </w:tc>
        <w:tc>
          <w:tcPr>
            <w:tcW w:w="0" w:type="auto"/>
            <w:gridSpan w:val="3"/>
            <w:tcMar>
              <w:top w:w="30" w:type="dxa"/>
              <w:left w:w="20" w:type="dxa"/>
              <w:bottom w:w="30" w:type="dxa"/>
              <w:right w:w="20" w:type="dxa"/>
            </w:tcMar>
            <w:vAlign w:val="bottom"/>
            <w:hideMark/>
          </w:tcPr>
          <w:p w14:paraId="0C825474"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2168A101" w14:textId="77777777" w:rsidR="00000000" w:rsidRDefault="00405D16">
      <w:pPr>
        <w:rPr>
          <w:rFonts w:eastAsia="Times New Roman"/>
        </w:rPr>
      </w:pPr>
      <w:r>
        <w:rPr>
          <w:rFonts w:eastAsia="Times New Roman"/>
        </w:rPr>
        <w:pict w14:anchorId="61344233">
          <v:rect id="_x0000_i1123" style="width:0;height:1.5pt" o:hralign="center" o:hrstd="t" o:hr="t" fillcolor="#a0a0a0" stroked="f"/>
        </w:pict>
      </w:r>
    </w:p>
    <w:p w14:paraId="45F57303" w14:textId="77777777" w:rsidR="00000000" w:rsidRDefault="00405D16">
      <w:pPr>
        <w:jc w:val="both"/>
        <w:divId w:val="157233803"/>
        <w:rPr>
          <w:rFonts w:eastAsia="Times New Roman"/>
        </w:rPr>
      </w:pPr>
      <w:hyperlink w:anchor="idd54a04a485440b4ab4e56094c14d612_13" w:history="1">
        <w:r>
          <w:rPr>
            <w:rStyle w:val="a3"/>
            <w:rFonts w:eastAsia="Times New Roman"/>
            <w:sz w:val="16"/>
            <w:szCs w:val="16"/>
          </w:rPr>
          <w:t>Table of Contents</w:t>
        </w:r>
      </w:hyperlink>
    </w:p>
    <w:p w14:paraId="744A1726" w14:textId="77777777" w:rsidR="00000000" w:rsidRDefault="00405D16">
      <w:pPr>
        <w:jc w:val="center"/>
        <w:divId w:val="157233803"/>
        <w:rPr>
          <w:rFonts w:eastAsia="Times New Roman"/>
        </w:rPr>
      </w:pPr>
    </w:p>
    <w:p w14:paraId="5966FD92" w14:textId="77777777" w:rsidR="00000000" w:rsidRDefault="00405D16">
      <w:pPr>
        <w:jc w:val="both"/>
        <w:divId w:val="476532128"/>
        <w:rPr>
          <w:rFonts w:eastAsia="Times New Roman"/>
        </w:rPr>
      </w:pPr>
      <w:r>
        <w:rPr>
          <w:rFonts w:eastAsia="Times New Roman"/>
          <w:color w:val="000000"/>
          <w:sz w:val="20"/>
          <w:szCs w:val="20"/>
        </w:rPr>
        <w:t>commitments was $1.7 billion and $1.5 </w:t>
      </w:r>
      <w:r>
        <w:rPr>
          <w:rFonts w:eastAsia="Times New Roman"/>
          <w:color w:val="000000"/>
          <w:sz w:val="20"/>
          <w:szCs w:val="20"/>
        </w:rPr>
        <w:t>billion as of September 30, 2021 and December 31, 2020, respectively, and is largely expected to be paid from 2021 to 2024.</w:t>
      </w:r>
    </w:p>
    <w:p w14:paraId="5F1AB21D" w14:textId="77777777" w:rsidR="00000000" w:rsidRDefault="00405D16">
      <w:pPr>
        <w:jc w:val="both"/>
        <w:divId w:val="273831563"/>
        <w:rPr>
          <w:rFonts w:eastAsia="Times New Roman"/>
        </w:rPr>
      </w:pPr>
      <w:r>
        <w:rPr>
          <w:rFonts w:eastAsia="Times New Roman"/>
          <w:color w:val="000000"/>
          <w:sz w:val="20"/>
          <w:szCs w:val="20"/>
        </w:rPr>
        <w:t xml:space="preserve">For those investment funds considered to be VIEs, we are not required to consolidate them if we do not have the power to direct the </w:t>
      </w:r>
      <w:r>
        <w:rPr>
          <w:rFonts w:eastAsia="Times New Roman"/>
          <w:color w:val="000000"/>
          <w:sz w:val="20"/>
          <w:szCs w:val="20"/>
        </w:rPr>
        <w:t>activities that most significantly impact the economic performance of those entities. We record our interests in these unconsolidated VIEs in loans held for investment, other assets and other liabilities on our consolidated balance sheets. Our maximum expo</w:t>
      </w:r>
      <w:r>
        <w:rPr>
          <w:rFonts w:eastAsia="Times New Roman"/>
          <w:color w:val="000000"/>
          <w:sz w:val="20"/>
          <w:szCs w:val="20"/>
        </w:rPr>
        <w:t>sure to these entities is limited to our variable interests in the entities which consisted of assets of approximately $4.8 billion and $4.6 billion as of September 30, 2021 and December 31, 2020, respectively. The creditors of the VIEs have no recourse to</w:t>
      </w:r>
      <w:r>
        <w:rPr>
          <w:rFonts w:eastAsia="Times New Roman"/>
          <w:color w:val="000000"/>
          <w:sz w:val="20"/>
          <w:szCs w:val="20"/>
        </w:rPr>
        <w:t xml:space="preserve"> our general credit and we do not provide additional financial or other support other than during the period that we are contractually required to provide it. The total assets of the unconsolidated VIE investment funds were approximately $11.9 billion and </w:t>
      </w:r>
      <w:r>
        <w:rPr>
          <w:rFonts w:eastAsia="Times New Roman"/>
          <w:color w:val="000000"/>
          <w:sz w:val="20"/>
          <w:szCs w:val="20"/>
        </w:rPr>
        <w:t>$11.0 billion as of September 30, 2021 and December 31, 2020, respectively.</w:t>
      </w:r>
    </w:p>
    <w:p w14:paraId="1E2FE7D7" w14:textId="77777777" w:rsidR="00000000" w:rsidRDefault="00405D16">
      <w:pPr>
        <w:jc w:val="both"/>
        <w:divId w:val="739982431"/>
        <w:rPr>
          <w:rFonts w:eastAsia="Times New Roman"/>
        </w:rPr>
      </w:pPr>
      <w:r>
        <w:rPr>
          <w:rFonts w:eastAsia="Times New Roman"/>
          <w:b/>
          <w:bCs/>
          <w:i/>
          <w:iCs/>
          <w:color w:val="000000"/>
          <w:sz w:val="20"/>
          <w:szCs w:val="20"/>
        </w:rPr>
        <w:t xml:space="preserve">Entities that Provide Capital to Low-Income and Rural Communities </w:t>
      </w:r>
    </w:p>
    <w:p w14:paraId="2EDDECC3" w14:textId="77777777" w:rsidR="00000000" w:rsidRDefault="00405D16">
      <w:pPr>
        <w:jc w:val="both"/>
        <w:divId w:val="826557622"/>
        <w:rPr>
          <w:rFonts w:eastAsia="Times New Roman"/>
        </w:rPr>
      </w:pPr>
      <w:r>
        <w:rPr>
          <w:rFonts w:eastAsia="Times New Roman"/>
          <w:color w:val="000000"/>
          <w:sz w:val="20"/>
          <w:szCs w:val="20"/>
        </w:rPr>
        <w:t>We hold variable interests in entities (“Investor Entities”) that invest in community development entities (“CDEs</w:t>
      </w:r>
      <w:r>
        <w:rPr>
          <w:rFonts w:eastAsia="Times New Roman"/>
          <w:color w:val="000000"/>
          <w:sz w:val="20"/>
          <w:szCs w:val="20"/>
        </w:rPr>
        <w:t>”) that provide debt financing to businesses and non-profit entities in low-income and rural communities. Variable interests in the CDEs held by the consolidated Investor Entities are also our variable interests. The activities of the Investor Entities are</w:t>
      </w:r>
      <w:r>
        <w:rPr>
          <w:rFonts w:eastAsia="Times New Roman"/>
          <w:color w:val="000000"/>
          <w:sz w:val="20"/>
          <w:szCs w:val="20"/>
        </w:rPr>
        <w:t xml:space="preserve"> financed with a combination of invested equity capital and debt. The activities of the CDEs are financed solely with invested equity capital. We receive federal and state tax credits for these investments. We consolidate the VIEs in which we have the powe</w:t>
      </w:r>
      <w:r>
        <w:rPr>
          <w:rFonts w:eastAsia="Times New Roman"/>
          <w:color w:val="000000"/>
          <w:sz w:val="20"/>
          <w:szCs w:val="20"/>
        </w:rPr>
        <w:t>r to direct the activities that most significantly impact the VIE’s economic performance and where we have the obligation to absorb losses or right to receive benefits that could be potentially significant to the VIE. We consolidate other investments and C</w:t>
      </w:r>
      <w:r>
        <w:rPr>
          <w:rFonts w:eastAsia="Times New Roman"/>
          <w:color w:val="000000"/>
          <w:sz w:val="20"/>
          <w:szCs w:val="20"/>
        </w:rPr>
        <w:t>DEs that are not considered to be VIEs, but where we hold a controlling financial interest. The assets of the VIEs that we consolidated, which totaled approximately $2.1 billion and $2.0 billion as of September 30, 2021 and December 31, 2020, respectively,</w:t>
      </w:r>
      <w:r>
        <w:rPr>
          <w:rFonts w:eastAsia="Times New Roman"/>
          <w:color w:val="000000"/>
          <w:sz w:val="20"/>
          <w:szCs w:val="20"/>
        </w:rPr>
        <w:t xml:space="preserve"> are reflected on our consolidated balance sheets in cash, loans held for investment, and other assets. The liabilities are reflected in other liabilities. The creditors of the VIEs have no recourse to our general credit. We have not provided additional fi</w:t>
      </w:r>
      <w:r>
        <w:rPr>
          <w:rFonts w:eastAsia="Times New Roman"/>
          <w:color w:val="000000"/>
          <w:sz w:val="20"/>
          <w:szCs w:val="20"/>
        </w:rPr>
        <w:t>nancial or other support other than during the period that we are contractually required to provide it</w:t>
      </w:r>
      <w:r>
        <w:rPr>
          <w:rFonts w:eastAsia="Times New Roman"/>
          <w:color w:val="000000"/>
          <w:sz w:val="20"/>
          <w:szCs w:val="20"/>
          <w:shd w:val="clear" w:color="auto" w:fill="FFFFFF"/>
        </w:rPr>
        <w:t>.</w:t>
      </w:r>
    </w:p>
    <w:p w14:paraId="12D0BD86" w14:textId="77777777" w:rsidR="00000000" w:rsidRDefault="00405D16">
      <w:pPr>
        <w:jc w:val="both"/>
        <w:divId w:val="93668001"/>
        <w:rPr>
          <w:rFonts w:eastAsia="Times New Roman"/>
        </w:rPr>
      </w:pPr>
      <w:r>
        <w:rPr>
          <w:rFonts w:eastAsia="Times New Roman"/>
          <w:b/>
          <w:bCs/>
          <w:i/>
          <w:iCs/>
          <w:color w:val="000000"/>
          <w:sz w:val="20"/>
          <w:szCs w:val="20"/>
        </w:rPr>
        <w:t>Other</w:t>
      </w:r>
    </w:p>
    <w:p w14:paraId="6D03787F" w14:textId="77777777" w:rsidR="00000000" w:rsidRDefault="00405D16">
      <w:pPr>
        <w:jc w:val="both"/>
        <w:divId w:val="720596549"/>
        <w:rPr>
          <w:rFonts w:eastAsia="Times New Roman"/>
        </w:rPr>
      </w:pPr>
      <w:r>
        <w:rPr>
          <w:rFonts w:eastAsia="Times New Roman"/>
          <w:color w:val="000000"/>
          <w:sz w:val="20"/>
          <w:szCs w:val="20"/>
        </w:rPr>
        <w:t>We hold variable interests in other VIEs, including companies that promote renewable energy sources and other equity method investments. We were not required to consolidate these VIEs because we do not have the power to direct the activities that most sign</w:t>
      </w:r>
      <w:r>
        <w:rPr>
          <w:rFonts w:eastAsia="Times New Roman"/>
          <w:color w:val="000000"/>
          <w:sz w:val="20"/>
          <w:szCs w:val="20"/>
        </w:rPr>
        <w:t>ificantly impact their economic performance. Our maximum exposure to these VIEs is limited to the investments on our consolidated balance sheets of $400 million and $436 million as of September 30, 2021 and December 31, 2020, respectively. The creditors of</w:t>
      </w:r>
      <w:r>
        <w:rPr>
          <w:rFonts w:eastAsia="Times New Roman"/>
          <w:color w:val="000000"/>
          <w:sz w:val="20"/>
          <w:szCs w:val="20"/>
        </w:rPr>
        <w:t xml:space="preserve"> the other VIEs have no recourse to our general credit. We have not provided additional financial or other support other than during the period that we are contractually required to provide it.</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20DDBED9" w14:textId="77777777">
        <w:trPr>
          <w:divId w:val="733818467"/>
          <w:jc w:val="center"/>
        </w:trPr>
        <w:tc>
          <w:tcPr>
            <w:tcW w:w="50" w:type="pct"/>
            <w:vAlign w:val="center"/>
            <w:hideMark/>
          </w:tcPr>
          <w:p w14:paraId="39329088" w14:textId="77777777" w:rsidR="00000000" w:rsidRDefault="00405D16">
            <w:pPr>
              <w:jc w:val="both"/>
              <w:rPr>
                <w:rFonts w:eastAsia="Times New Roman"/>
              </w:rPr>
            </w:pPr>
          </w:p>
        </w:tc>
        <w:tc>
          <w:tcPr>
            <w:tcW w:w="1606" w:type="pct"/>
            <w:vAlign w:val="center"/>
            <w:hideMark/>
          </w:tcPr>
          <w:p w14:paraId="63DF7690" w14:textId="77777777" w:rsidR="00000000" w:rsidRDefault="00405D16">
            <w:pPr>
              <w:spacing w:after="100"/>
              <w:rPr>
                <w:rFonts w:eastAsia="Times New Roman"/>
                <w:sz w:val="20"/>
                <w:szCs w:val="20"/>
              </w:rPr>
            </w:pPr>
          </w:p>
        </w:tc>
        <w:tc>
          <w:tcPr>
            <w:tcW w:w="5" w:type="pct"/>
            <w:vAlign w:val="center"/>
            <w:hideMark/>
          </w:tcPr>
          <w:p w14:paraId="0ED46541" w14:textId="77777777" w:rsidR="00000000" w:rsidRDefault="00405D16">
            <w:pPr>
              <w:spacing w:after="100"/>
              <w:rPr>
                <w:rFonts w:eastAsia="Times New Roman"/>
                <w:sz w:val="20"/>
                <w:szCs w:val="20"/>
              </w:rPr>
            </w:pPr>
          </w:p>
        </w:tc>
        <w:tc>
          <w:tcPr>
            <w:tcW w:w="50" w:type="pct"/>
            <w:vAlign w:val="center"/>
            <w:hideMark/>
          </w:tcPr>
          <w:p w14:paraId="053D3A85" w14:textId="77777777" w:rsidR="00000000" w:rsidRDefault="00405D16">
            <w:pPr>
              <w:spacing w:after="100"/>
              <w:rPr>
                <w:rFonts w:eastAsia="Times New Roman"/>
                <w:sz w:val="20"/>
                <w:szCs w:val="20"/>
              </w:rPr>
            </w:pPr>
          </w:p>
        </w:tc>
        <w:tc>
          <w:tcPr>
            <w:tcW w:w="1614" w:type="pct"/>
            <w:vAlign w:val="center"/>
            <w:hideMark/>
          </w:tcPr>
          <w:p w14:paraId="18FAB3DF" w14:textId="77777777" w:rsidR="00000000" w:rsidRDefault="00405D16">
            <w:pPr>
              <w:spacing w:after="100"/>
              <w:rPr>
                <w:rFonts w:eastAsia="Times New Roman"/>
                <w:sz w:val="20"/>
                <w:szCs w:val="20"/>
              </w:rPr>
            </w:pPr>
          </w:p>
        </w:tc>
        <w:tc>
          <w:tcPr>
            <w:tcW w:w="5" w:type="pct"/>
            <w:vAlign w:val="center"/>
            <w:hideMark/>
          </w:tcPr>
          <w:p w14:paraId="64D32449" w14:textId="77777777" w:rsidR="00000000" w:rsidRDefault="00405D16">
            <w:pPr>
              <w:spacing w:after="100"/>
              <w:rPr>
                <w:rFonts w:eastAsia="Times New Roman"/>
                <w:sz w:val="20"/>
                <w:szCs w:val="20"/>
              </w:rPr>
            </w:pPr>
          </w:p>
        </w:tc>
        <w:tc>
          <w:tcPr>
            <w:tcW w:w="50" w:type="pct"/>
            <w:vAlign w:val="center"/>
            <w:hideMark/>
          </w:tcPr>
          <w:p w14:paraId="13240027" w14:textId="77777777" w:rsidR="00000000" w:rsidRDefault="00405D16">
            <w:pPr>
              <w:spacing w:after="100"/>
              <w:rPr>
                <w:rFonts w:eastAsia="Times New Roman"/>
                <w:sz w:val="20"/>
                <w:szCs w:val="20"/>
              </w:rPr>
            </w:pPr>
          </w:p>
        </w:tc>
        <w:tc>
          <w:tcPr>
            <w:tcW w:w="1614" w:type="pct"/>
            <w:vAlign w:val="center"/>
            <w:hideMark/>
          </w:tcPr>
          <w:p w14:paraId="6726A6C4" w14:textId="77777777" w:rsidR="00000000" w:rsidRDefault="00405D16">
            <w:pPr>
              <w:spacing w:after="100"/>
              <w:rPr>
                <w:rFonts w:eastAsia="Times New Roman"/>
                <w:sz w:val="20"/>
                <w:szCs w:val="20"/>
              </w:rPr>
            </w:pPr>
          </w:p>
        </w:tc>
        <w:tc>
          <w:tcPr>
            <w:tcW w:w="5" w:type="pct"/>
            <w:vAlign w:val="center"/>
            <w:hideMark/>
          </w:tcPr>
          <w:p w14:paraId="50D89BCC" w14:textId="77777777" w:rsidR="00000000" w:rsidRDefault="00405D16">
            <w:pPr>
              <w:spacing w:after="100"/>
              <w:rPr>
                <w:rFonts w:eastAsia="Times New Roman"/>
                <w:sz w:val="20"/>
                <w:szCs w:val="20"/>
              </w:rPr>
            </w:pPr>
          </w:p>
        </w:tc>
      </w:tr>
      <w:tr w:rsidR="00000000" w14:paraId="778C3EFA" w14:textId="77777777">
        <w:trPr>
          <w:divId w:val="733818467"/>
          <w:trHeight w:val="300"/>
          <w:jc w:val="center"/>
        </w:trPr>
        <w:tc>
          <w:tcPr>
            <w:tcW w:w="0" w:type="auto"/>
            <w:gridSpan w:val="9"/>
            <w:tcMar>
              <w:top w:w="0" w:type="dxa"/>
              <w:left w:w="20" w:type="dxa"/>
              <w:bottom w:w="0" w:type="dxa"/>
              <w:right w:w="20" w:type="dxa"/>
            </w:tcMar>
            <w:vAlign w:val="center"/>
            <w:hideMark/>
          </w:tcPr>
          <w:p w14:paraId="75EF4739" w14:textId="77777777" w:rsidR="00000000" w:rsidRDefault="00405D16">
            <w:pPr>
              <w:spacing w:after="100"/>
              <w:rPr>
                <w:rFonts w:eastAsia="Times New Roman"/>
                <w:sz w:val="20"/>
                <w:szCs w:val="20"/>
              </w:rPr>
            </w:pPr>
          </w:p>
        </w:tc>
      </w:tr>
      <w:tr w:rsidR="00000000" w14:paraId="3F687C1A" w14:textId="77777777">
        <w:trPr>
          <w:divId w:val="733818467"/>
          <w:jc w:val="center"/>
        </w:trPr>
        <w:tc>
          <w:tcPr>
            <w:tcW w:w="0" w:type="auto"/>
            <w:gridSpan w:val="3"/>
            <w:tcMar>
              <w:top w:w="0" w:type="dxa"/>
              <w:left w:w="20" w:type="dxa"/>
              <w:bottom w:w="0" w:type="dxa"/>
              <w:right w:w="20" w:type="dxa"/>
            </w:tcMar>
            <w:vAlign w:val="center"/>
            <w:hideMark/>
          </w:tcPr>
          <w:p w14:paraId="5A5904F7"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4205338" w14:textId="77777777" w:rsidR="00000000" w:rsidRDefault="00405D16">
            <w:pPr>
              <w:spacing w:after="100"/>
              <w:jc w:val="center"/>
              <w:rPr>
                <w:rFonts w:eastAsia="Times New Roman"/>
              </w:rPr>
            </w:pPr>
            <w:r>
              <w:rPr>
                <w:rFonts w:eastAsia="Times New Roman"/>
                <w:color w:val="000000"/>
                <w:sz w:val="16"/>
                <w:szCs w:val="16"/>
              </w:rPr>
              <w:t>99</w:t>
            </w:r>
          </w:p>
        </w:tc>
        <w:tc>
          <w:tcPr>
            <w:tcW w:w="0" w:type="auto"/>
            <w:gridSpan w:val="3"/>
            <w:tcMar>
              <w:top w:w="30" w:type="dxa"/>
              <w:left w:w="20" w:type="dxa"/>
              <w:bottom w:w="30" w:type="dxa"/>
              <w:right w:w="20" w:type="dxa"/>
            </w:tcMar>
            <w:vAlign w:val="bottom"/>
            <w:hideMark/>
          </w:tcPr>
          <w:p w14:paraId="07255CDF"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266DC7EA" w14:textId="77777777" w:rsidR="00000000" w:rsidRDefault="00405D16">
      <w:pPr>
        <w:rPr>
          <w:rFonts w:eastAsia="Times New Roman"/>
        </w:rPr>
      </w:pPr>
      <w:r>
        <w:rPr>
          <w:rFonts w:eastAsia="Times New Roman"/>
        </w:rPr>
        <w:pict w14:anchorId="2CDC8DA6">
          <v:rect id="_x0000_i1124" style="width:0;height:1.5pt" o:hralign="center" o:hrstd="t" o:hr="t" fillcolor="#a0a0a0" stroked="f"/>
        </w:pict>
      </w:r>
    </w:p>
    <w:p w14:paraId="5C9B2702" w14:textId="77777777" w:rsidR="00000000" w:rsidRDefault="00405D16">
      <w:pPr>
        <w:jc w:val="both"/>
        <w:divId w:val="50467852"/>
        <w:rPr>
          <w:rFonts w:eastAsia="Times New Roman"/>
        </w:rPr>
      </w:pPr>
      <w:hyperlink w:anchor="idd54a04a485440b4ab4e56094c14d612_13" w:history="1">
        <w:r>
          <w:rPr>
            <w:rStyle w:val="a3"/>
            <w:rFonts w:eastAsia="Times New Roman"/>
            <w:sz w:val="16"/>
            <w:szCs w:val="16"/>
          </w:rPr>
          <w:t>Table of Contents</w:t>
        </w:r>
      </w:hyperlink>
    </w:p>
    <w:p w14:paraId="4734711C" w14:textId="77777777" w:rsidR="00000000" w:rsidRDefault="00405D16">
      <w:pPr>
        <w:jc w:val="center"/>
        <w:divId w:val="5046785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47FE6B6C" w14:textId="77777777">
        <w:trPr>
          <w:divId w:val="2061510022"/>
        </w:trPr>
        <w:tc>
          <w:tcPr>
            <w:tcW w:w="50" w:type="pct"/>
            <w:vAlign w:val="center"/>
            <w:hideMark/>
          </w:tcPr>
          <w:p w14:paraId="41E422E7" w14:textId="77777777" w:rsidR="00000000" w:rsidRDefault="00405D16">
            <w:pPr>
              <w:jc w:val="center"/>
              <w:rPr>
                <w:rFonts w:eastAsia="Times New Roman"/>
              </w:rPr>
            </w:pPr>
          </w:p>
        </w:tc>
        <w:tc>
          <w:tcPr>
            <w:tcW w:w="4945" w:type="pct"/>
            <w:vAlign w:val="center"/>
            <w:hideMark/>
          </w:tcPr>
          <w:p w14:paraId="681BC8B0" w14:textId="77777777" w:rsidR="00000000" w:rsidRDefault="00405D16">
            <w:pPr>
              <w:spacing w:after="100"/>
              <w:rPr>
                <w:rFonts w:eastAsia="Times New Roman"/>
                <w:sz w:val="20"/>
                <w:szCs w:val="20"/>
              </w:rPr>
            </w:pPr>
          </w:p>
        </w:tc>
        <w:tc>
          <w:tcPr>
            <w:tcW w:w="5" w:type="pct"/>
            <w:vAlign w:val="center"/>
            <w:hideMark/>
          </w:tcPr>
          <w:p w14:paraId="0CEF00CD" w14:textId="77777777" w:rsidR="00000000" w:rsidRDefault="00405D16">
            <w:pPr>
              <w:spacing w:after="100"/>
              <w:rPr>
                <w:rFonts w:eastAsia="Times New Roman"/>
                <w:sz w:val="20"/>
                <w:szCs w:val="20"/>
              </w:rPr>
            </w:pPr>
          </w:p>
        </w:tc>
      </w:tr>
      <w:tr w:rsidR="00000000" w14:paraId="77A9D06E" w14:textId="77777777">
        <w:trPr>
          <w:divId w:val="2061510022"/>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066BFBDC" w14:textId="77777777" w:rsidR="00000000" w:rsidRDefault="00405D16">
            <w:pPr>
              <w:spacing w:after="100"/>
              <w:rPr>
                <w:rFonts w:eastAsia="Times New Roman"/>
              </w:rPr>
            </w:pPr>
            <w:r>
              <w:rPr>
                <w:rFonts w:eastAsia="Times New Roman"/>
                <w:b/>
                <w:bCs/>
                <w:color w:val="000000"/>
                <w:sz w:val="20"/>
                <w:szCs w:val="20"/>
              </w:rPr>
              <w:t>NOTE 6—GOODWILL AND INTANGIBLE ASSETS</w:t>
            </w:r>
          </w:p>
        </w:tc>
      </w:tr>
    </w:tbl>
    <w:p w14:paraId="48ADFDED" w14:textId="77777777" w:rsidR="00000000" w:rsidRDefault="00405D16">
      <w:pPr>
        <w:divId w:val="620264709"/>
        <w:rPr>
          <w:rFonts w:eastAsia="Times New Roman"/>
        </w:rPr>
      </w:pPr>
      <w:r>
        <w:rPr>
          <w:rFonts w:eastAsia="Times New Roman"/>
          <w:color w:val="000000"/>
          <w:sz w:val="20"/>
          <w:szCs w:val="20"/>
        </w:rPr>
        <w:t>The table below presents our goodwill, intangible assets and MSRs as of September 30, 2021 and December 31, 2020. Goodwill is presented separately, while intangible assets and MSRs are included in other assets on our consolidated balance sheets.</w:t>
      </w:r>
    </w:p>
    <w:p w14:paraId="55F35193" w14:textId="77777777" w:rsidR="00000000" w:rsidRDefault="00405D16">
      <w:pPr>
        <w:divId w:val="1649506354"/>
        <w:rPr>
          <w:rFonts w:eastAsia="Times New Roman"/>
        </w:rPr>
      </w:pPr>
      <w:r>
        <w:rPr>
          <w:rFonts w:eastAsia="Times New Roman"/>
          <w:b/>
          <w:bCs/>
          <w:color w:val="000000"/>
          <w:sz w:val="18"/>
          <w:szCs w:val="18"/>
        </w:rPr>
        <w:t>Table 6.1:</w:t>
      </w:r>
      <w:r>
        <w:rPr>
          <w:rFonts w:eastAsia="Times New Roman"/>
          <w:b/>
          <w:bCs/>
          <w:color w:val="000000"/>
          <w:sz w:val="18"/>
          <w:szCs w:val="18"/>
        </w:rPr>
        <w:t xml:space="preserve"> Components of Goodwill, Intangible Assets and MSRs</w:t>
      </w:r>
    </w:p>
    <w:tbl>
      <w:tblPr>
        <w:tblW w:w="5000" w:type="pct"/>
        <w:tblCellMar>
          <w:top w:w="15" w:type="dxa"/>
          <w:left w:w="15" w:type="dxa"/>
          <w:bottom w:w="15" w:type="dxa"/>
          <w:right w:w="15" w:type="dxa"/>
        </w:tblCellMar>
        <w:tblLook w:val="04A0" w:firstRow="1" w:lastRow="0" w:firstColumn="1" w:lastColumn="0" w:noHBand="0" w:noVBand="1"/>
      </w:tblPr>
      <w:tblGrid>
        <w:gridCol w:w="39"/>
        <w:gridCol w:w="5311"/>
        <w:gridCol w:w="38"/>
        <w:gridCol w:w="36"/>
        <w:gridCol w:w="36"/>
        <w:gridCol w:w="36"/>
        <w:gridCol w:w="111"/>
        <w:gridCol w:w="690"/>
        <w:gridCol w:w="36"/>
        <w:gridCol w:w="36"/>
        <w:gridCol w:w="36"/>
        <w:gridCol w:w="36"/>
        <w:gridCol w:w="111"/>
        <w:gridCol w:w="852"/>
        <w:gridCol w:w="36"/>
        <w:gridCol w:w="36"/>
        <w:gridCol w:w="36"/>
        <w:gridCol w:w="36"/>
        <w:gridCol w:w="110"/>
        <w:gridCol w:w="540"/>
        <w:gridCol w:w="36"/>
        <w:gridCol w:w="36"/>
        <w:gridCol w:w="36"/>
      </w:tblGrid>
      <w:tr w:rsidR="00000000" w14:paraId="678D90A1" w14:textId="77777777">
        <w:trPr>
          <w:divId w:val="349378579"/>
        </w:trPr>
        <w:tc>
          <w:tcPr>
            <w:tcW w:w="50" w:type="pct"/>
            <w:vAlign w:val="center"/>
            <w:hideMark/>
          </w:tcPr>
          <w:p w14:paraId="728D647E" w14:textId="77777777" w:rsidR="00000000" w:rsidRDefault="00405D16">
            <w:pPr>
              <w:rPr>
                <w:rFonts w:eastAsia="Times New Roman"/>
              </w:rPr>
            </w:pPr>
          </w:p>
        </w:tc>
        <w:tc>
          <w:tcPr>
            <w:tcW w:w="3307" w:type="pct"/>
            <w:vAlign w:val="center"/>
            <w:hideMark/>
          </w:tcPr>
          <w:p w14:paraId="35552BC9" w14:textId="77777777" w:rsidR="00000000" w:rsidRDefault="00405D16">
            <w:pPr>
              <w:spacing w:after="100"/>
              <w:rPr>
                <w:rFonts w:eastAsia="Times New Roman"/>
                <w:sz w:val="20"/>
                <w:szCs w:val="20"/>
              </w:rPr>
            </w:pPr>
          </w:p>
        </w:tc>
        <w:tc>
          <w:tcPr>
            <w:tcW w:w="5" w:type="pct"/>
            <w:vAlign w:val="center"/>
            <w:hideMark/>
          </w:tcPr>
          <w:p w14:paraId="1F7D9B28" w14:textId="77777777" w:rsidR="00000000" w:rsidRDefault="00405D16">
            <w:pPr>
              <w:spacing w:after="100"/>
              <w:rPr>
                <w:rFonts w:eastAsia="Times New Roman"/>
                <w:sz w:val="20"/>
                <w:szCs w:val="20"/>
              </w:rPr>
            </w:pPr>
          </w:p>
        </w:tc>
        <w:tc>
          <w:tcPr>
            <w:tcW w:w="5" w:type="pct"/>
            <w:vAlign w:val="center"/>
            <w:hideMark/>
          </w:tcPr>
          <w:p w14:paraId="30B61EE8" w14:textId="77777777" w:rsidR="00000000" w:rsidRDefault="00405D16">
            <w:pPr>
              <w:spacing w:after="100"/>
              <w:rPr>
                <w:rFonts w:eastAsia="Times New Roman"/>
                <w:sz w:val="20"/>
                <w:szCs w:val="20"/>
              </w:rPr>
            </w:pPr>
          </w:p>
        </w:tc>
        <w:tc>
          <w:tcPr>
            <w:tcW w:w="41" w:type="pct"/>
            <w:vAlign w:val="center"/>
            <w:hideMark/>
          </w:tcPr>
          <w:p w14:paraId="55CC67CC" w14:textId="77777777" w:rsidR="00000000" w:rsidRDefault="00405D16">
            <w:pPr>
              <w:spacing w:after="100"/>
              <w:rPr>
                <w:rFonts w:eastAsia="Times New Roman"/>
                <w:sz w:val="20"/>
                <w:szCs w:val="20"/>
              </w:rPr>
            </w:pPr>
          </w:p>
        </w:tc>
        <w:tc>
          <w:tcPr>
            <w:tcW w:w="5" w:type="pct"/>
            <w:vAlign w:val="center"/>
            <w:hideMark/>
          </w:tcPr>
          <w:p w14:paraId="1DB6DBD2" w14:textId="77777777" w:rsidR="00000000" w:rsidRDefault="00405D16">
            <w:pPr>
              <w:spacing w:after="100"/>
              <w:rPr>
                <w:rFonts w:eastAsia="Times New Roman"/>
                <w:sz w:val="20"/>
                <w:szCs w:val="20"/>
              </w:rPr>
            </w:pPr>
          </w:p>
        </w:tc>
        <w:tc>
          <w:tcPr>
            <w:tcW w:w="50" w:type="pct"/>
            <w:vAlign w:val="center"/>
            <w:hideMark/>
          </w:tcPr>
          <w:p w14:paraId="0B1BD18C" w14:textId="77777777" w:rsidR="00000000" w:rsidRDefault="00405D16">
            <w:pPr>
              <w:spacing w:after="100"/>
              <w:rPr>
                <w:rFonts w:eastAsia="Times New Roman"/>
                <w:sz w:val="20"/>
                <w:szCs w:val="20"/>
              </w:rPr>
            </w:pPr>
          </w:p>
        </w:tc>
        <w:tc>
          <w:tcPr>
            <w:tcW w:w="449" w:type="pct"/>
            <w:vAlign w:val="center"/>
            <w:hideMark/>
          </w:tcPr>
          <w:p w14:paraId="45429B8F" w14:textId="77777777" w:rsidR="00000000" w:rsidRDefault="00405D16">
            <w:pPr>
              <w:spacing w:after="100"/>
              <w:rPr>
                <w:rFonts w:eastAsia="Times New Roman"/>
                <w:sz w:val="20"/>
                <w:szCs w:val="20"/>
              </w:rPr>
            </w:pPr>
          </w:p>
        </w:tc>
        <w:tc>
          <w:tcPr>
            <w:tcW w:w="5" w:type="pct"/>
            <w:vAlign w:val="center"/>
            <w:hideMark/>
          </w:tcPr>
          <w:p w14:paraId="2756A387" w14:textId="77777777" w:rsidR="00000000" w:rsidRDefault="00405D16">
            <w:pPr>
              <w:spacing w:after="100"/>
              <w:rPr>
                <w:rFonts w:eastAsia="Times New Roman"/>
                <w:sz w:val="20"/>
                <w:szCs w:val="20"/>
              </w:rPr>
            </w:pPr>
          </w:p>
        </w:tc>
        <w:tc>
          <w:tcPr>
            <w:tcW w:w="5" w:type="pct"/>
            <w:vAlign w:val="center"/>
            <w:hideMark/>
          </w:tcPr>
          <w:p w14:paraId="41CC3F12" w14:textId="77777777" w:rsidR="00000000" w:rsidRDefault="00405D16">
            <w:pPr>
              <w:spacing w:after="100"/>
              <w:rPr>
                <w:rFonts w:eastAsia="Times New Roman"/>
                <w:sz w:val="20"/>
                <w:szCs w:val="20"/>
              </w:rPr>
            </w:pPr>
          </w:p>
        </w:tc>
        <w:tc>
          <w:tcPr>
            <w:tcW w:w="26" w:type="pct"/>
            <w:vAlign w:val="center"/>
            <w:hideMark/>
          </w:tcPr>
          <w:p w14:paraId="539C64E3" w14:textId="77777777" w:rsidR="00000000" w:rsidRDefault="00405D16">
            <w:pPr>
              <w:spacing w:after="100"/>
              <w:rPr>
                <w:rFonts w:eastAsia="Times New Roman"/>
                <w:sz w:val="20"/>
                <w:szCs w:val="20"/>
              </w:rPr>
            </w:pPr>
          </w:p>
        </w:tc>
        <w:tc>
          <w:tcPr>
            <w:tcW w:w="5" w:type="pct"/>
            <w:vAlign w:val="center"/>
            <w:hideMark/>
          </w:tcPr>
          <w:p w14:paraId="31D74004" w14:textId="77777777" w:rsidR="00000000" w:rsidRDefault="00405D16">
            <w:pPr>
              <w:spacing w:after="100"/>
              <w:rPr>
                <w:rFonts w:eastAsia="Times New Roman"/>
                <w:sz w:val="20"/>
                <w:szCs w:val="20"/>
              </w:rPr>
            </w:pPr>
          </w:p>
        </w:tc>
        <w:tc>
          <w:tcPr>
            <w:tcW w:w="50" w:type="pct"/>
            <w:vAlign w:val="center"/>
            <w:hideMark/>
          </w:tcPr>
          <w:p w14:paraId="29BFB458" w14:textId="77777777" w:rsidR="00000000" w:rsidRDefault="00405D16">
            <w:pPr>
              <w:spacing w:after="100"/>
              <w:rPr>
                <w:rFonts w:eastAsia="Times New Roman"/>
                <w:sz w:val="20"/>
                <w:szCs w:val="20"/>
              </w:rPr>
            </w:pPr>
          </w:p>
        </w:tc>
        <w:tc>
          <w:tcPr>
            <w:tcW w:w="449" w:type="pct"/>
            <w:vAlign w:val="center"/>
            <w:hideMark/>
          </w:tcPr>
          <w:p w14:paraId="3A76541C" w14:textId="77777777" w:rsidR="00000000" w:rsidRDefault="00405D16">
            <w:pPr>
              <w:spacing w:after="100"/>
              <w:rPr>
                <w:rFonts w:eastAsia="Times New Roman"/>
                <w:sz w:val="20"/>
                <w:szCs w:val="20"/>
              </w:rPr>
            </w:pPr>
          </w:p>
        </w:tc>
        <w:tc>
          <w:tcPr>
            <w:tcW w:w="5" w:type="pct"/>
            <w:vAlign w:val="center"/>
            <w:hideMark/>
          </w:tcPr>
          <w:p w14:paraId="68857C3A" w14:textId="77777777" w:rsidR="00000000" w:rsidRDefault="00405D16">
            <w:pPr>
              <w:spacing w:after="100"/>
              <w:rPr>
                <w:rFonts w:eastAsia="Times New Roman"/>
                <w:sz w:val="20"/>
                <w:szCs w:val="20"/>
              </w:rPr>
            </w:pPr>
          </w:p>
        </w:tc>
        <w:tc>
          <w:tcPr>
            <w:tcW w:w="5" w:type="pct"/>
            <w:vAlign w:val="center"/>
            <w:hideMark/>
          </w:tcPr>
          <w:p w14:paraId="63FBB6E7" w14:textId="77777777" w:rsidR="00000000" w:rsidRDefault="00405D16">
            <w:pPr>
              <w:spacing w:after="100"/>
              <w:rPr>
                <w:rFonts w:eastAsia="Times New Roman"/>
                <w:sz w:val="20"/>
                <w:szCs w:val="20"/>
              </w:rPr>
            </w:pPr>
          </w:p>
        </w:tc>
        <w:tc>
          <w:tcPr>
            <w:tcW w:w="26" w:type="pct"/>
            <w:vAlign w:val="center"/>
            <w:hideMark/>
          </w:tcPr>
          <w:p w14:paraId="4AA4A318" w14:textId="77777777" w:rsidR="00000000" w:rsidRDefault="00405D16">
            <w:pPr>
              <w:spacing w:after="100"/>
              <w:rPr>
                <w:rFonts w:eastAsia="Times New Roman"/>
                <w:sz w:val="20"/>
                <w:szCs w:val="20"/>
              </w:rPr>
            </w:pPr>
          </w:p>
        </w:tc>
        <w:tc>
          <w:tcPr>
            <w:tcW w:w="5" w:type="pct"/>
            <w:vAlign w:val="center"/>
            <w:hideMark/>
          </w:tcPr>
          <w:p w14:paraId="2911AE21" w14:textId="77777777" w:rsidR="00000000" w:rsidRDefault="00405D16">
            <w:pPr>
              <w:spacing w:after="100"/>
              <w:rPr>
                <w:rFonts w:eastAsia="Times New Roman"/>
                <w:sz w:val="20"/>
                <w:szCs w:val="20"/>
              </w:rPr>
            </w:pPr>
          </w:p>
        </w:tc>
        <w:tc>
          <w:tcPr>
            <w:tcW w:w="50" w:type="pct"/>
            <w:vAlign w:val="center"/>
            <w:hideMark/>
          </w:tcPr>
          <w:p w14:paraId="2651FCBC" w14:textId="77777777" w:rsidR="00000000" w:rsidRDefault="00405D16">
            <w:pPr>
              <w:spacing w:after="100"/>
              <w:rPr>
                <w:rFonts w:eastAsia="Times New Roman"/>
                <w:sz w:val="20"/>
                <w:szCs w:val="20"/>
              </w:rPr>
            </w:pPr>
          </w:p>
        </w:tc>
        <w:tc>
          <w:tcPr>
            <w:tcW w:w="449" w:type="pct"/>
            <w:vAlign w:val="center"/>
            <w:hideMark/>
          </w:tcPr>
          <w:p w14:paraId="32597C7C" w14:textId="77777777" w:rsidR="00000000" w:rsidRDefault="00405D16">
            <w:pPr>
              <w:spacing w:after="100"/>
              <w:rPr>
                <w:rFonts w:eastAsia="Times New Roman"/>
                <w:sz w:val="20"/>
                <w:szCs w:val="20"/>
              </w:rPr>
            </w:pPr>
          </w:p>
        </w:tc>
        <w:tc>
          <w:tcPr>
            <w:tcW w:w="5" w:type="pct"/>
            <w:vAlign w:val="center"/>
            <w:hideMark/>
          </w:tcPr>
          <w:p w14:paraId="2E095FC3" w14:textId="77777777" w:rsidR="00000000" w:rsidRDefault="00405D16">
            <w:pPr>
              <w:spacing w:after="100"/>
              <w:rPr>
                <w:rFonts w:eastAsia="Times New Roman"/>
                <w:sz w:val="20"/>
                <w:szCs w:val="20"/>
              </w:rPr>
            </w:pPr>
          </w:p>
        </w:tc>
        <w:tc>
          <w:tcPr>
            <w:tcW w:w="0" w:type="auto"/>
            <w:vAlign w:val="center"/>
            <w:hideMark/>
          </w:tcPr>
          <w:p w14:paraId="38AB96F4" w14:textId="77777777" w:rsidR="00000000" w:rsidRDefault="00405D16">
            <w:pPr>
              <w:spacing w:after="100"/>
              <w:rPr>
                <w:rFonts w:eastAsia="Times New Roman"/>
                <w:sz w:val="20"/>
                <w:szCs w:val="20"/>
              </w:rPr>
            </w:pPr>
          </w:p>
        </w:tc>
        <w:tc>
          <w:tcPr>
            <w:tcW w:w="0" w:type="auto"/>
            <w:vAlign w:val="center"/>
            <w:hideMark/>
          </w:tcPr>
          <w:p w14:paraId="29CAE3B0" w14:textId="77777777" w:rsidR="00000000" w:rsidRDefault="00405D16">
            <w:pPr>
              <w:spacing w:after="100"/>
              <w:rPr>
                <w:rFonts w:eastAsia="Times New Roman"/>
                <w:sz w:val="20"/>
                <w:szCs w:val="20"/>
              </w:rPr>
            </w:pPr>
          </w:p>
        </w:tc>
      </w:tr>
      <w:tr w:rsidR="00000000" w14:paraId="11E7F96C" w14:textId="77777777">
        <w:trPr>
          <w:divId w:val="349378579"/>
        </w:trPr>
        <w:tc>
          <w:tcPr>
            <w:tcW w:w="0" w:type="auto"/>
            <w:gridSpan w:val="3"/>
            <w:tcMar>
              <w:top w:w="0" w:type="dxa"/>
              <w:left w:w="20" w:type="dxa"/>
              <w:bottom w:w="0" w:type="dxa"/>
              <w:right w:w="20" w:type="dxa"/>
            </w:tcMar>
            <w:vAlign w:val="center"/>
            <w:hideMark/>
          </w:tcPr>
          <w:p w14:paraId="3CF26B72"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B10D107" w14:textId="77777777" w:rsidR="00000000" w:rsidRDefault="00405D16">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0F2FC081" w14:textId="77777777" w:rsidR="00000000" w:rsidRDefault="00405D16">
            <w:pPr>
              <w:spacing w:after="100"/>
              <w:jc w:val="center"/>
              <w:rPr>
                <w:rFonts w:eastAsia="Times New Roman"/>
              </w:rPr>
            </w:pPr>
            <w:r>
              <w:rPr>
                <w:rFonts w:eastAsia="Times New Roman"/>
                <w:b/>
                <w:bCs/>
                <w:color w:val="000000"/>
                <w:sz w:val="16"/>
                <w:szCs w:val="16"/>
              </w:rPr>
              <w:t>September 30, 2021</w:t>
            </w:r>
          </w:p>
        </w:tc>
        <w:tc>
          <w:tcPr>
            <w:tcW w:w="0" w:type="auto"/>
            <w:vAlign w:val="center"/>
            <w:hideMark/>
          </w:tcPr>
          <w:p w14:paraId="35F8C8DD" w14:textId="77777777" w:rsidR="00000000" w:rsidRDefault="00405D16">
            <w:pPr>
              <w:spacing w:after="100"/>
              <w:jc w:val="center"/>
              <w:rPr>
                <w:rFonts w:eastAsia="Times New Roman"/>
              </w:rPr>
            </w:pPr>
          </w:p>
        </w:tc>
        <w:tc>
          <w:tcPr>
            <w:tcW w:w="0" w:type="auto"/>
            <w:vAlign w:val="center"/>
            <w:hideMark/>
          </w:tcPr>
          <w:p w14:paraId="243EA260" w14:textId="77777777" w:rsidR="00000000" w:rsidRDefault="00405D16">
            <w:pPr>
              <w:spacing w:after="100"/>
              <w:rPr>
                <w:rFonts w:eastAsia="Times New Roman"/>
                <w:sz w:val="20"/>
                <w:szCs w:val="20"/>
              </w:rPr>
            </w:pPr>
          </w:p>
        </w:tc>
      </w:tr>
      <w:tr w:rsidR="00000000" w14:paraId="709F5F7E" w14:textId="77777777">
        <w:trPr>
          <w:divId w:val="349378579"/>
        </w:trPr>
        <w:tc>
          <w:tcPr>
            <w:tcW w:w="0" w:type="auto"/>
            <w:gridSpan w:val="3"/>
            <w:tcMar>
              <w:top w:w="30" w:type="dxa"/>
              <w:left w:w="20" w:type="dxa"/>
              <w:bottom w:w="30" w:type="dxa"/>
              <w:right w:w="20" w:type="dxa"/>
            </w:tcMar>
            <w:vAlign w:val="bottom"/>
            <w:hideMark/>
          </w:tcPr>
          <w:p w14:paraId="0B584EB9"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55D0C24F"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4BB25E5" w14:textId="77777777" w:rsidR="00000000" w:rsidRDefault="00405D16">
            <w:pPr>
              <w:spacing w:after="100"/>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14:paraId="5AA989D2"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5193001" w14:textId="77777777" w:rsidR="00000000" w:rsidRDefault="00405D16">
            <w:pPr>
              <w:spacing w:after="100"/>
              <w:jc w:val="center"/>
              <w:rPr>
                <w:rFonts w:eastAsia="Times New Roman"/>
              </w:rPr>
            </w:pPr>
            <w:r>
              <w:rPr>
                <w:rFonts w:eastAsia="Times New Roman"/>
                <w:b/>
                <w:bCs/>
                <w:color w:val="000000"/>
                <w:sz w:val="16"/>
                <w:szCs w:val="16"/>
              </w:rPr>
              <w:t>Accumulated Amortization</w:t>
            </w:r>
          </w:p>
        </w:tc>
        <w:tc>
          <w:tcPr>
            <w:tcW w:w="0" w:type="auto"/>
            <w:gridSpan w:val="3"/>
            <w:tcBorders>
              <w:top w:val="single" w:sz="8" w:space="0" w:color="000000"/>
            </w:tcBorders>
            <w:tcMar>
              <w:top w:w="0" w:type="dxa"/>
              <w:left w:w="20" w:type="dxa"/>
              <w:bottom w:w="0" w:type="dxa"/>
              <w:right w:w="20" w:type="dxa"/>
            </w:tcMar>
            <w:vAlign w:val="center"/>
            <w:hideMark/>
          </w:tcPr>
          <w:p w14:paraId="225373BA"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68B667B" w14:textId="77777777" w:rsidR="00000000" w:rsidRDefault="00405D16">
            <w:pPr>
              <w:spacing w:after="100"/>
              <w:jc w:val="center"/>
              <w:rPr>
                <w:rFonts w:eastAsia="Times New Roman"/>
              </w:rPr>
            </w:pPr>
            <w:r>
              <w:rPr>
                <w:rFonts w:eastAsia="Times New Roman"/>
                <w:b/>
                <w:bCs/>
                <w:color w:val="000000"/>
                <w:sz w:val="16"/>
                <w:szCs w:val="16"/>
              </w:rPr>
              <w:t>Net Carrying Amount</w:t>
            </w:r>
          </w:p>
        </w:tc>
        <w:tc>
          <w:tcPr>
            <w:tcW w:w="0" w:type="auto"/>
            <w:vAlign w:val="center"/>
            <w:hideMark/>
          </w:tcPr>
          <w:p w14:paraId="5CE77A90" w14:textId="77777777" w:rsidR="00000000" w:rsidRDefault="00405D16">
            <w:pPr>
              <w:spacing w:after="100"/>
              <w:jc w:val="center"/>
              <w:rPr>
                <w:rFonts w:eastAsia="Times New Roman"/>
              </w:rPr>
            </w:pPr>
          </w:p>
        </w:tc>
        <w:tc>
          <w:tcPr>
            <w:tcW w:w="0" w:type="auto"/>
            <w:vAlign w:val="center"/>
            <w:hideMark/>
          </w:tcPr>
          <w:p w14:paraId="3755C626" w14:textId="77777777" w:rsidR="00000000" w:rsidRDefault="00405D16">
            <w:pPr>
              <w:spacing w:after="100"/>
              <w:rPr>
                <w:rFonts w:eastAsia="Times New Roman"/>
                <w:sz w:val="20"/>
                <w:szCs w:val="20"/>
              </w:rPr>
            </w:pPr>
          </w:p>
        </w:tc>
      </w:tr>
      <w:tr w:rsidR="00000000" w14:paraId="40C3EEE8" w14:textId="77777777">
        <w:trPr>
          <w:divId w:val="34937857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D1F4DC0" w14:textId="77777777" w:rsidR="00000000" w:rsidRDefault="00405D16">
            <w:pPr>
              <w:spacing w:after="100"/>
              <w:rPr>
                <w:rFonts w:eastAsia="Times New Roman"/>
              </w:rPr>
            </w:pPr>
            <w:r>
              <w:rPr>
                <w:rFonts w:eastAsia="Times New Roman"/>
                <w:color w:val="000000"/>
                <w:sz w:val="18"/>
                <w:szCs w:val="18"/>
              </w:rPr>
              <w:t>Goodwill</w:t>
            </w:r>
          </w:p>
        </w:tc>
        <w:tc>
          <w:tcPr>
            <w:tcW w:w="0" w:type="auto"/>
            <w:gridSpan w:val="3"/>
            <w:shd w:val="clear" w:color="auto" w:fill="CCEEFF"/>
            <w:tcMar>
              <w:top w:w="0" w:type="dxa"/>
              <w:left w:w="20" w:type="dxa"/>
              <w:bottom w:w="0" w:type="dxa"/>
              <w:right w:w="20" w:type="dxa"/>
            </w:tcMar>
            <w:vAlign w:val="center"/>
            <w:hideMark/>
          </w:tcPr>
          <w:p w14:paraId="24F684A9"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04C0CEE"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098CF85" w14:textId="77777777" w:rsidR="00000000" w:rsidRDefault="00405D16">
            <w:pPr>
              <w:spacing w:after="100"/>
              <w:jc w:val="right"/>
              <w:rPr>
                <w:rFonts w:eastAsia="Times New Roman"/>
              </w:rPr>
            </w:pPr>
            <w:r>
              <w:rPr>
                <w:rFonts w:eastAsia="Times New Roman"/>
                <w:b/>
                <w:bCs/>
                <w:color w:val="000000"/>
                <w:sz w:val="18"/>
                <w:szCs w:val="18"/>
              </w:rPr>
              <w:t>14,652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15DD89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4BDAD3" w14:textId="77777777" w:rsidR="00000000" w:rsidRDefault="00405D16">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11697B0" w14:textId="77777777" w:rsidR="00000000" w:rsidRDefault="00405D16">
            <w:pPr>
              <w:spacing w:after="100"/>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14:paraId="5AC5F5E8" w14:textId="77777777" w:rsidR="00000000" w:rsidRDefault="00405D16">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7779D3F"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2D868A2" w14:textId="77777777" w:rsidR="00000000" w:rsidRDefault="00405D16">
            <w:pPr>
              <w:spacing w:after="100"/>
              <w:jc w:val="right"/>
              <w:rPr>
                <w:rFonts w:eastAsia="Times New Roman"/>
              </w:rPr>
            </w:pPr>
            <w:r>
              <w:rPr>
                <w:rFonts w:eastAsia="Times New Roman"/>
                <w:b/>
                <w:bCs/>
                <w:color w:val="000000"/>
                <w:sz w:val="18"/>
                <w:szCs w:val="18"/>
              </w:rPr>
              <w:t>14,652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332D450" w14:textId="77777777" w:rsidR="00000000" w:rsidRDefault="00405D16">
            <w:pPr>
              <w:spacing w:after="100"/>
              <w:jc w:val="right"/>
              <w:rPr>
                <w:rFonts w:eastAsia="Times New Roman"/>
              </w:rPr>
            </w:pPr>
          </w:p>
        </w:tc>
        <w:tc>
          <w:tcPr>
            <w:tcW w:w="0" w:type="auto"/>
            <w:vAlign w:val="center"/>
            <w:hideMark/>
          </w:tcPr>
          <w:p w14:paraId="5007C326" w14:textId="77777777" w:rsidR="00000000" w:rsidRDefault="00405D16">
            <w:pPr>
              <w:spacing w:after="100"/>
              <w:jc w:val="right"/>
              <w:rPr>
                <w:rFonts w:eastAsia="Times New Roman"/>
                <w:sz w:val="20"/>
                <w:szCs w:val="20"/>
              </w:rPr>
            </w:pPr>
          </w:p>
        </w:tc>
        <w:tc>
          <w:tcPr>
            <w:tcW w:w="0" w:type="auto"/>
            <w:vAlign w:val="center"/>
            <w:hideMark/>
          </w:tcPr>
          <w:p w14:paraId="54D66A96" w14:textId="77777777" w:rsidR="00000000" w:rsidRDefault="00405D16">
            <w:pPr>
              <w:spacing w:after="100"/>
              <w:rPr>
                <w:rFonts w:eastAsia="Times New Roman"/>
                <w:sz w:val="20"/>
                <w:szCs w:val="20"/>
              </w:rPr>
            </w:pPr>
          </w:p>
        </w:tc>
      </w:tr>
      <w:tr w:rsidR="00000000" w14:paraId="59112FB2" w14:textId="77777777">
        <w:trPr>
          <w:divId w:val="349378579"/>
        </w:trPr>
        <w:tc>
          <w:tcPr>
            <w:tcW w:w="0" w:type="auto"/>
            <w:gridSpan w:val="3"/>
            <w:shd w:val="clear" w:color="auto" w:fill="FFFFFF"/>
            <w:tcMar>
              <w:top w:w="30" w:type="dxa"/>
              <w:left w:w="20" w:type="dxa"/>
              <w:bottom w:w="30" w:type="dxa"/>
              <w:right w:w="20" w:type="dxa"/>
            </w:tcMar>
            <w:vAlign w:val="center"/>
            <w:hideMark/>
          </w:tcPr>
          <w:p w14:paraId="37B12222" w14:textId="77777777" w:rsidR="00000000" w:rsidRDefault="00405D16">
            <w:pPr>
              <w:spacing w:after="100"/>
              <w:rPr>
                <w:rFonts w:eastAsia="Times New Roman"/>
              </w:rPr>
            </w:pPr>
            <w:r>
              <w:rPr>
                <w:rFonts w:eastAsia="Times New Roman"/>
                <w:color w:val="000000"/>
                <w:sz w:val="18"/>
                <w:szCs w:val="18"/>
              </w:rPr>
              <w:t>Intangible assets:</w:t>
            </w:r>
          </w:p>
        </w:tc>
        <w:tc>
          <w:tcPr>
            <w:tcW w:w="0" w:type="auto"/>
            <w:gridSpan w:val="3"/>
            <w:shd w:val="clear" w:color="auto" w:fill="FFFFFF"/>
            <w:tcMar>
              <w:top w:w="0" w:type="dxa"/>
              <w:left w:w="20" w:type="dxa"/>
              <w:bottom w:w="0" w:type="dxa"/>
              <w:right w:w="20" w:type="dxa"/>
            </w:tcMar>
            <w:vAlign w:val="center"/>
            <w:hideMark/>
          </w:tcPr>
          <w:p w14:paraId="217742C0"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4895C4"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A66E2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DB871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DA1914"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00F60B" w14:textId="77777777" w:rsidR="00000000" w:rsidRDefault="00405D16">
            <w:pPr>
              <w:spacing w:after="100"/>
              <w:rPr>
                <w:rFonts w:eastAsia="Times New Roman"/>
                <w:sz w:val="20"/>
                <w:szCs w:val="20"/>
              </w:rPr>
            </w:pPr>
          </w:p>
        </w:tc>
        <w:tc>
          <w:tcPr>
            <w:tcW w:w="0" w:type="auto"/>
            <w:vAlign w:val="center"/>
            <w:hideMark/>
          </w:tcPr>
          <w:p w14:paraId="6EEC05C5" w14:textId="77777777" w:rsidR="00000000" w:rsidRDefault="00405D16">
            <w:pPr>
              <w:spacing w:after="100"/>
              <w:rPr>
                <w:rFonts w:eastAsia="Times New Roman"/>
                <w:sz w:val="20"/>
                <w:szCs w:val="20"/>
              </w:rPr>
            </w:pPr>
          </w:p>
        </w:tc>
        <w:tc>
          <w:tcPr>
            <w:tcW w:w="0" w:type="auto"/>
            <w:vAlign w:val="center"/>
            <w:hideMark/>
          </w:tcPr>
          <w:p w14:paraId="6FA6477B" w14:textId="77777777" w:rsidR="00000000" w:rsidRDefault="00405D16">
            <w:pPr>
              <w:spacing w:after="100"/>
              <w:rPr>
                <w:rFonts w:eastAsia="Times New Roman"/>
                <w:sz w:val="20"/>
                <w:szCs w:val="20"/>
              </w:rPr>
            </w:pPr>
          </w:p>
        </w:tc>
      </w:tr>
      <w:tr w:rsidR="00000000" w14:paraId="0E7630A8" w14:textId="77777777">
        <w:trPr>
          <w:divId w:val="349378579"/>
        </w:trPr>
        <w:tc>
          <w:tcPr>
            <w:tcW w:w="0" w:type="auto"/>
            <w:gridSpan w:val="3"/>
            <w:shd w:val="clear" w:color="auto" w:fill="CCEEFF"/>
            <w:tcMar>
              <w:top w:w="30" w:type="dxa"/>
              <w:left w:w="245" w:type="dxa"/>
              <w:bottom w:w="30" w:type="dxa"/>
              <w:right w:w="20" w:type="dxa"/>
            </w:tcMar>
            <w:vAlign w:val="center"/>
            <w:hideMark/>
          </w:tcPr>
          <w:p w14:paraId="035F9CCE" w14:textId="77777777" w:rsidR="00000000" w:rsidRDefault="00405D16">
            <w:pPr>
              <w:spacing w:after="100"/>
              <w:rPr>
                <w:rFonts w:eastAsia="Times New Roman"/>
              </w:rPr>
            </w:pPr>
            <w:r>
              <w:rPr>
                <w:rFonts w:eastAsia="Times New Roman"/>
                <w:color w:val="000000"/>
                <w:sz w:val="18"/>
                <w:szCs w:val="18"/>
              </w:rPr>
              <w:t>Purchased credit card relationship (“PCCR”) intangibles</w:t>
            </w:r>
          </w:p>
        </w:tc>
        <w:tc>
          <w:tcPr>
            <w:tcW w:w="0" w:type="auto"/>
            <w:gridSpan w:val="3"/>
            <w:shd w:val="clear" w:color="auto" w:fill="CCEEFF"/>
            <w:tcMar>
              <w:top w:w="0" w:type="dxa"/>
              <w:left w:w="20" w:type="dxa"/>
              <w:bottom w:w="0" w:type="dxa"/>
              <w:right w:w="20" w:type="dxa"/>
            </w:tcMar>
            <w:vAlign w:val="center"/>
            <w:hideMark/>
          </w:tcPr>
          <w:p w14:paraId="060F35D9"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091835A" w14:textId="77777777" w:rsidR="00000000" w:rsidRDefault="00405D16">
            <w:pPr>
              <w:spacing w:after="100"/>
              <w:jc w:val="right"/>
              <w:rPr>
                <w:rFonts w:eastAsia="Times New Roman"/>
              </w:rPr>
            </w:pPr>
            <w:r>
              <w:rPr>
                <w:rFonts w:eastAsia="Times New Roman"/>
                <w:b/>
                <w:bCs/>
                <w:color w:val="000000"/>
                <w:sz w:val="18"/>
                <w:szCs w:val="18"/>
              </w:rPr>
              <w:t>29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968CC0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688C41"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39D94D51"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6077DCA3" w14:textId="77777777" w:rsidR="00000000" w:rsidRDefault="00405D16">
            <w:pPr>
              <w:spacing w:after="100"/>
              <w:jc w:val="right"/>
              <w:rPr>
                <w:rFonts w:eastAsia="Times New Roman"/>
              </w:rPr>
            </w:pPr>
            <w:r>
              <w:rPr>
                <w:rFonts w:eastAsia="Times New Roman"/>
                <w:b/>
                <w:bCs/>
                <w:color w:val="000000"/>
                <w:sz w:val="18"/>
                <w:szCs w:val="18"/>
              </w:rPr>
              <w:t>(8)</w:t>
            </w:r>
          </w:p>
        </w:tc>
        <w:tc>
          <w:tcPr>
            <w:tcW w:w="0" w:type="auto"/>
            <w:shd w:val="clear" w:color="auto" w:fill="CCEEFF"/>
            <w:tcMar>
              <w:top w:w="30" w:type="dxa"/>
              <w:left w:w="0" w:type="dxa"/>
              <w:bottom w:w="30" w:type="dxa"/>
              <w:right w:w="20" w:type="dxa"/>
            </w:tcMar>
            <w:vAlign w:val="center"/>
            <w:hideMark/>
          </w:tcPr>
          <w:p w14:paraId="71584C9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7FA5A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30305A8" w14:textId="77777777" w:rsidR="00000000" w:rsidRDefault="00405D16">
            <w:pPr>
              <w:spacing w:after="100"/>
              <w:jc w:val="right"/>
              <w:rPr>
                <w:rFonts w:eastAsia="Times New Roman"/>
              </w:rPr>
            </w:pPr>
            <w:r>
              <w:rPr>
                <w:rFonts w:eastAsia="Times New Roman"/>
                <w:b/>
                <w:bCs/>
                <w:color w:val="000000"/>
                <w:sz w:val="18"/>
                <w:szCs w:val="18"/>
              </w:rPr>
              <w:t>21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5FCDFE4" w14:textId="77777777" w:rsidR="00000000" w:rsidRDefault="00405D16">
            <w:pPr>
              <w:spacing w:after="100"/>
              <w:jc w:val="right"/>
              <w:rPr>
                <w:rFonts w:eastAsia="Times New Roman"/>
              </w:rPr>
            </w:pPr>
          </w:p>
        </w:tc>
        <w:tc>
          <w:tcPr>
            <w:tcW w:w="0" w:type="auto"/>
            <w:vAlign w:val="center"/>
            <w:hideMark/>
          </w:tcPr>
          <w:p w14:paraId="2125E9D9" w14:textId="77777777" w:rsidR="00000000" w:rsidRDefault="00405D16">
            <w:pPr>
              <w:spacing w:after="100"/>
              <w:jc w:val="right"/>
              <w:rPr>
                <w:rFonts w:eastAsia="Times New Roman"/>
                <w:sz w:val="20"/>
                <w:szCs w:val="20"/>
              </w:rPr>
            </w:pPr>
          </w:p>
        </w:tc>
        <w:tc>
          <w:tcPr>
            <w:tcW w:w="0" w:type="auto"/>
            <w:vAlign w:val="center"/>
            <w:hideMark/>
          </w:tcPr>
          <w:p w14:paraId="4688F044" w14:textId="77777777" w:rsidR="00000000" w:rsidRDefault="00405D16">
            <w:pPr>
              <w:spacing w:after="100"/>
              <w:rPr>
                <w:rFonts w:eastAsia="Times New Roman"/>
                <w:sz w:val="20"/>
                <w:szCs w:val="20"/>
              </w:rPr>
            </w:pPr>
          </w:p>
        </w:tc>
      </w:tr>
      <w:tr w:rsidR="00000000" w14:paraId="40639651" w14:textId="77777777">
        <w:trPr>
          <w:divId w:val="349378579"/>
        </w:trPr>
        <w:tc>
          <w:tcPr>
            <w:tcW w:w="0" w:type="auto"/>
            <w:gridSpan w:val="3"/>
            <w:vAlign w:val="center"/>
            <w:hideMark/>
          </w:tcPr>
          <w:p w14:paraId="6735493D" w14:textId="77777777" w:rsidR="00000000" w:rsidRDefault="00405D16">
            <w:pPr>
              <w:spacing w:after="100"/>
              <w:rPr>
                <w:rFonts w:eastAsia="Times New Roman"/>
                <w:sz w:val="20"/>
                <w:szCs w:val="20"/>
              </w:rPr>
            </w:pPr>
          </w:p>
        </w:tc>
        <w:tc>
          <w:tcPr>
            <w:tcW w:w="0" w:type="auto"/>
            <w:gridSpan w:val="3"/>
            <w:vAlign w:val="center"/>
            <w:hideMark/>
          </w:tcPr>
          <w:p w14:paraId="02478972" w14:textId="77777777" w:rsidR="00000000" w:rsidRDefault="00405D16">
            <w:pPr>
              <w:spacing w:after="100"/>
              <w:rPr>
                <w:rFonts w:eastAsia="Times New Roman"/>
                <w:sz w:val="20"/>
                <w:szCs w:val="20"/>
              </w:rPr>
            </w:pPr>
          </w:p>
        </w:tc>
        <w:tc>
          <w:tcPr>
            <w:tcW w:w="0" w:type="auto"/>
            <w:gridSpan w:val="3"/>
            <w:vAlign w:val="center"/>
            <w:hideMark/>
          </w:tcPr>
          <w:p w14:paraId="0D709D8E" w14:textId="77777777" w:rsidR="00000000" w:rsidRDefault="00405D16">
            <w:pPr>
              <w:spacing w:after="100"/>
              <w:rPr>
                <w:rFonts w:eastAsia="Times New Roman"/>
                <w:sz w:val="20"/>
                <w:szCs w:val="20"/>
              </w:rPr>
            </w:pPr>
          </w:p>
        </w:tc>
        <w:tc>
          <w:tcPr>
            <w:tcW w:w="0" w:type="auto"/>
            <w:gridSpan w:val="3"/>
            <w:vAlign w:val="center"/>
            <w:hideMark/>
          </w:tcPr>
          <w:p w14:paraId="3458FA79" w14:textId="77777777" w:rsidR="00000000" w:rsidRDefault="00405D16">
            <w:pPr>
              <w:spacing w:after="100"/>
              <w:rPr>
                <w:rFonts w:eastAsia="Times New Roman"/>
                <w:sz w:val="20"/>
                <w:szCs w:val="20"/>
              </w:rPr>
            </w:pPr>
          </w:p>
        </w:tc>
        <w:tc>
          <w:tcPr>
            <w:tcW w:w="0" w:type="auto"/>
            <w:gridSpan w:val="3"/>
            <w:vAlign w:val="center"/>
            <w:hideMark/>
          </w:tcPr>
          <w:p w14:paraId="548DD30A" w14:textId="77777777" w:rsidR="00000000" w:rsidRDefault="00405D16">
            <w:pPr>
              <w:spacing w:after="100"/>
              <w:rPr>
                <w:rFonts w:eastAsia="Times New Roman"/>
                <w:sz w:val="20"/>
                <w:szCs w:val="20"/>
              </w:rPr>
            </w:pPr>
          </w:p>
        </w:tc>
        <w:tc>
          <w:tcPr>
            <w:tcW w:w="0" w:type="auto"/>
            <w:gridSpan w:val="3"/>
            <w:vAlign w:val="center"/>
            <w:hideMark/>
          </w:tcPr>
          <w:p w14:paraId="5FE613BA" w14:textId="77777777" w:rsidR="00000000" w:rsidRDefault="00405D16">
            <w:pPr>
              <w:spacing w:after="100"/>
              <w:rPr>
                <w:rFonts w:eastAsia="Times New Roman"/>
                <w:sz w:val="20"/>
                <w:szCs w:val="20"/>
              </w:rPr>
            </w:pPr>
          </w:p>
        </w:tc>
        <w:tc>
          <w:tcPr>
            <w:tcW w:w="0" w:type="auto"/>
            <w:gridSpan w:val="3"/>
            <w:vAlign w:val="center"/>
            <w:hideMark/>
          </w:tcPr>
          <w:p w14:paraId="188FB265" w14:textId="77777777" w:rsidR="00000000" w:rsidRDefault="00405D16">
            <w:pPr>
              <w:spacing w:after="100"/>
              <w:rPr>
                <w:rFonts w:eastAsia="Times New Roman"/>
                <w:sz w:val="20"/>
                <w:szCs w:val="20"/>
              </w:rPr>
            </w:pPr>
          </w:p>
        </w:tc>
        <w:tc>
          <w:tcPr>
            <w:tcW w:w="0" w:type="auto"/>
            <w:vAlign w:val="center"/>
            <w:hideMark/>
          </w:tcPr>
          <w:p w14:paraId="5BBB8EC7" w14:textId="77777777" w:rsidR="00000000" w:rsidRDefault="00405D16">
            <w:pPr>
              <w:spacing w:after="100"/>
              <w:rPr>
                <w:rFonts w:eastAsia="Times New Roman"/>
                <w:sz w:val="20"/>
                <w:szCs w:val="20"/>
              </w:rPr>
            </w:pPr>
          </w:p>
        </w:tc>
        <w:tc>
          <w:tcPr>
            <w:tcW w:w="0" w:type="auto"/>
            <w:vAlign w:val="center"/>
            <w:hideMark/>
          </w:tcPr>
          <w:p w14:paraId="45614A13" w14:textId="77777777" w:rsidR="00000000" w:rsidRDefault="00405D16">
            <w:pPr>
              <w:spacing w:after="100"/>
              <w:rPr>
                <w:rFonts w:eastAsia="Times New Roman"/>
                <w:sz w:val="20"/>
                <w:szCs w:val="20"/>
              </w:rPr>
            </w:pPr>
          </w:p>
        </w:tc>
      </w:tr>
      <w:tr w:rsidR="00000000" w14:paraId="37206389" w14:textId="77777777">
        <w:trPr>
          <w:divId w:val="349378579"/>
        </w:trPr>
        <w:tc>
          <w:tcPr>
            <w:tcW w:w="0" w:type="auto"/>
            <w:gridSpan w:val="3"/>
            <w:shd w:val="clear" w:color="auto" w:fill="FFFFFF"/>
            <w:tcMar>
              <w:top w:w="30" w:type="dxa"/>
              <w:left w:w="20" w:type="dxa"/>
              <w:bottom w:w="30" w:type="dxa"/>
              <w:right w:w="20" w:type="dxa"/>
            </w:tcMar>
            <w:vAlign w:val="center"/>
            <w:hideMark/>
          </w:tcPr>
          <w:p w14:paraId="478A6BFB" w14:textId="77777777" w:rsidR="00000000" w:rsidRDefault="00405D16">
            <w:pPr>
              <w:spacing w:after="100"/>
              <w:divId w:val="1020427377"/>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245D4BC2"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A302792" w14:textId="77777777" w:rsidR="00000000" w:rsidRDefault="00405D16">
            <w:pPr>
              <w:spacing w:after="100"/>
              <w:jc w:val="right"/>
              <w:rPr>
                <w:rFonts w:eastAsia="Times New Roman"/>
              </w:rPr>
            </w:pPr>
            <w:r>
              <w:rPr>
                <w:rFonts w:eastAsia="Times New Roman"/>
                <w:b/>
                <w:bCs/>
                <w:color w:val="000000"/>
                <w:sz w:val="18"/>
                <w:szCs w:val="18"/>
              </w:rPr>
              <w:t>183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46ADA9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4FADF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5D0B20C" w14:textId="77777777" w:rsidR="00000000" w:rsidRDefault="00405D16">
            <w:pPr>
              <w:spacing w:after="100"/>
              <w:jc w:val="right"/>
              <w:rPr>
                <w:rFonts w:eastAsia="Times New Roman"/>
              </w:rPr>
            </w:pPr>
            <w:r>
              <w:rPr>
                <w:rFonts w:eastAsia="Times New Roman"/>
                <w:b/>
                <w:bCs/>
                <w:color w:val="000000"/>
                <w:sz w:val="18"/>
                <w:szCs w:val="18"/>
              </w:rPr>
              <w:t>(116)</w:t>
            </w:r>
          </w:p>
        </w:tc>
        <w:tc>
          <w:tcPr>
            <w:tcW w:w="0" w:type="auto"/>
            <w:shd w:val="clear" w:color="auto" w:fill="FFFFFF"/>
            <w:tcMar>
              <w:top w:w="30" w:type="dxa"/>
              <w:left w:w="0" w:type="dxa"/>
              <w:bottom w:w="30" w:type="dxa"/>
              <w:right w:w="20" w:type="dxa"/>
            </w:tcMar>
            <w:vAlign w:val="center"/>
            <w:hideMark/>
          </w:tcPr>
          <w:p w14:paraId="524B326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D879A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0C08B6E" w14:textId="77777777" w:rsidR="00000000" w:rsidRDefault="00405D16">
            <w:pPr>
              <w:spacing w:after="100"/>
              <w:jc w:val="right"/>
              <w:rPr>
                <w:rFonts w:eastAsia="Times New Roman"/>
              </w:rPr>
            </w:pPr>
            <w:r>
              <w:rPr>
                <w:rFonts w:eastAsia="Times New Roman"/>
                <w:b/>
                <w:bCs/>
                <w:color w:val="000000"/>
                <w:sz w:val="18"/>
                <w:szCs w:val="18"/>
              </w:rPr>
              <w:t>67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5B1F3E6" w14:textId="77777777" w:rsidR="00000000" w:rsidRDefault="00405D16">
            <w:pPr>
              <w:spacing w:after="100"/>
              <w:jc w:val="right"/>
              <w:rPr>
                <w:rFonts w:eastAsia="Times New Roman"/>
              </w:rPr>
            </w:pPr>
          </w:p>
        </w:tc>
        <w:tc>
          <w:tcPr>
            <w:tcW w:w="0" w:type="auto"/>
            <w:vAlign w:val="center"/>
            <w:hideMark/>
          </w:tcPr>
          <w:p w14:paraId="36E678A0" w14:textId="77777777" w:rsidR="00000000" w:rsidRDefault="00405D16">
            <w:pPr>
              <w:spacing w:after="100"/>
              <w:jc w:val="right"/>
              <w:rPr>
                <w:rFonts w:eastAsia="Times New Roman"/>
                <w:sz w:val="20"/>
                <w:szCs w:val="20"/>
              </w:rPr>
            </w:pPr>
          </w:p>
        </w:tc>
        <w:tc>
          <w:tcPr>
            <w:tcW w:w="0" w:type="auto"/>
            <w:vAlign w:val="center"/>
            <w:hideMark/>
          </w:tcPr>
          <w:p w14:paraId="42AE6333" w14:textId="77777777" w:rsidR="00000000" w:rsidRDefault="00405D16">
            <w:pPr>
              <w:spacing w:after="100"/>
              <w:rPr>
                <w:rFonts w:eastAsia="Times New Roman"/>
                <w:sz w:val="20"/>
                <w:szCs w:val="20"/>
              </w:rPr>
            </w:pPr>
          </w:p>
        </w:tc>
      </w:tr>
      <w:tr w:rsidR="00000000" w14:paraId="2FBA73C8" w14:textId="77777777">
        <w:trPr>
          <w:divId w:val="349378579"/>
        </w:trPr>
        <w:tc>
          <w:tcPr>
            <w:tcW w:w="0" w:type="auto"/>
            <w:gridSpan w:val="3"/>
            <w:shd w:val="clear" w:color="auto" w:fill="CCEEFF"/>
            <w:tcMar>
              <w:top w:w="30" w:type="dxa"/>
              <w:left w:w="20" w:type="dxa"/>
              <w:bottom w:w="30" w:type="dxa"/>
              <w:right w:w="20" w:type="dxa"/>
            </w:tcMar>
            <w:vAlign w:val="center"/>
            <w:hideMark/>
          </w:tcPr>
          <w:p w14:paraId="70974799" w14:textId="77777777" w:rsidR="00000000" w:rsidRDefault="00405D16">
            <w:pPr>
              <w:spacing w:after="100"/>
              <w:rPr>
                <w:rFonts w:eastAsia="Times New Roman"/>
              </w:rPr>
            </w:pPr>
            <w:r>
              <w:rPr>
                <w:rFonts w:eastAsia="Times New Roman"/>
                <w:color w:val="000000"/>
                <w:sz w:val="18"/>
                <w:szCs w:val="18"/>
              </w:rPr>
              <w:t>Total intangible assets</w:t>
            </w:r>
          </w:p>
        </w:tc>
        <w:tc>
          <w:tcPr>
            <w:tcW w:w="0" w:type="auto"/>
            <w:gridSpan w:val="3"/>
            <w:shd w:val="clear" w:color="auto" w:fill="CCEEFF"/>
            <w:tcMar>
              <w:top w:w="0" w:type="dxa"/>
              <w:left w:w="20" w:type="dxa"/>
              <w:bottom w:w="0" w:type="dxa"/>
              <w:right w:w="20" w:type="dxa"/>
            </w:tcMar>
            <w:vAlign w:val="center"/>
            <w:hideMark/>
          </w:tcPr>
          <w:p w14:paraId="76A2A7B3"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9086640" w14:textId="77777777" w:rsidR="00000000" w:rsidRDefault="00405D16">
            <w:pPr>
              <w:spacing w:after="100"/>
              <w:jc w:val="right"/>
              <w:rPr>
                <w:rFonts w:eastAsia="Times New Roman"/>
              </w:rPr>
            </w:pPr>
            <w:r>
              <w:rPr>
                <w:rFonts w:eastAsia="Times New Roman"/>
                <w:b/>
                <w:bCs/>
                <w:color w:val="000000"/>
                <w:sz w:val="18"/>
                <w:szCs w:val="18"/>
              </w:rPr>
              <w:t>212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247989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B4BB0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378F3C2" w14:textId="77777777" w:rsidR="00000000" w:rsidRDefault="00405D16">
            <w:pPr>
              <w:spacing w:after="100"/>
              <w:jc w:val="right"/>
              <w:rPr>
                <w:rFonts w:eastAsia="Times New Roman"/>
              </w:rPr>
            </w:pPr>
            <w:r>
              <w:rPr>
                <w:rFonts w:eastAsia="Times New Roman"/>
                <w:b/>
                <w:bCs/>
                <w:color w:val="000000"/>
                <w:sz w:val="18"/>
                <w:szCs w:val="18"/>
              </w:rPr>
              <w:t>(124)</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22C341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D63AC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99AC761" w14:textId="77777777" w:rsidR="00000000" w:rsidRDefault="00405D16">
            <w:pPr>
              <w:spacing w:after="100"/>
              <w:jc w:val="right"/>
              <w:rPr>
                <w:rFonts w:eastAsia="Times New Roman"/>
              </w:rPr>
            </w:pPr>
            <w:r>
              <w:rPr>
                <w:rFonts w:eastAsia="Times New Roman"/>
                <w:b/>
                <w:bCs/>
                <w:color w:val="000000"/>
                <w:sz w:val="18"/>
                <w:szCs w:val="18"/>
              </w:rPr>
              <w:t>88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1DFA637" w14:textId="77777777" w:rsidR="00000000" w:rsidRDefault="00405D16">
            <w:pPr>
              <w:spacing w:after="100"/>
              <w:jc w:val="right"/>
              <w:rPr>
                <w:rFonts w:eastAsia="Times New Roman"/>
              </w:rPr>
            </w:pPr>
          </w:p>
        </w:tc>
        <w:tc>
          <w:tcPr>
            <w:tcW w:w="0" w:type="auto"/>
            <w:vAlign w:val="center"/>
            <w:hideMark/>
          </w:tcPr>
          <w:p w14:paraId="7BF83483" w14:textId="77777777" w:rsidR="00000000" w:rsidRDefault="00405D16">
            <w:pPr>
              <w:spacing w:after="100"/>
              <w:jc w:val="right"/>
              <w:rPr>
                <w:rFonts w:eastAsia="Times New Roman"/>
                <w:sz w:val="20"/>
                <w:szCs w:val="20"/>
              </w:rPr>
            </w:pPr>
          </w:p>
        </w:tc>
        <w:tc>
          <w:tcPr>
            <w:tcW w:w="0" w:type="auto"/>
            <w:vAlign w:val="center"/>
            <w:hideMark/>
          </w:tcPr>
          <w:p w14:paraId="7C03900E" w14:textId="77777777" w:rsidR="00000000" w:rsidRDefault="00405D16">
            <w:pPr>
              <w:spacing w:after="100"/>
              <w:rPr>
                <w:rFonts w:eastAsia="Times New Roman"/>
                <w:sz w:val="20"/>
                <w:szCs w:val="20"/>
              </w:rPr>
            </w:pPr>
          </w:p>
        </w:tc>
      </w:tr>
      <w:tr w:rsidR="00000000" w14:paraId="7D8EB7EC" w14:textId="77777777">
        <w:trPr>
          <w:divId w:val="349378579"/>
        </w:trPr>
        <w:tc>
          <w:tcPr>
            <w:tcW w:w="0" w:type="auto"/>
            <w:gridSpan w:val="3"/>
            <w:shd w:val="clear" w:color="auto" w:fill="FFFFFF"/>
            <w:tcMar>
              <w:top w:w="30" w:type="dxa"/>
              <w:left w:w="20" w:type="dxa"/>
              <w:bottom w:w="30" w:type="dxa"/>
              <w:right w:w="20" w:type="dxa"/>
            </w:tcMar>
            <w:vAlign w:val="center"/>
            <w:hideMark/>
          </w:tcPr>
          <w:p w14:paraId="1EF87B87" w14:textId="77777777" w:rsidR="00000000" w:rsidRDefault="00405D16">
            <w:pPr>
              <w:spacing w:after="100"/>
              <w:rPr>
                <w:rFonts w:eastAsia="Times New Roman"/>
              </w:rPr>
            </w:pPr>
            <w:r>
              <w:rPr>
                <w:rFonts w:eastAsia="Times New Roman"/>
                <w:color w:val="000000"/>
                <w:sz w:val="18"/>
                <w:szCs w:val="18"/>
              </w:rPr>
              <w:t>Total goodwill and intangible assets</w:t>
            </w:r>
          </w:p>
        </w:tc>
        <w:tc>
          <w:tcPr>
            <w:tcW w:w="0" w:type="auto"/>
            <w:gridSpan w:val="3"/>
            <w:shd w:val="clear" w:color="auto" w:fill="FFFFFF"/>
            <w:tcMar>
              <w:top w:w="0" w:type="dxa"/>
              <w:left w:w="20" w:type="dxa"/>
              <w:bottom w:w="0" w:type="dxa"/>
              <w:right w:w="20" w:type="dxa"/>
            </w:tcMar>
            <w:vAlign w:val="center"/>
            <w:hideMark/>
          </w:tcPr>
          <w:p w14:paraId="3DA7A28A" w14:textId="77777777" w:rsidR="00000000" w:rsidRDefault="00405D16">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63136052"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796321F9" w14:textId="77777777" w:rsidR="00000000" w:rsidRDefault="00405D16">
            <w:pPr>
              <w:spacing w:after="100"/>
              <w:jc w:val="right"/>
              <w:rPr>
                <w:rFonts w:eastAsia="Times New Roman"/>
              </w:rPr>
            </w:pPr>
            <w:r>
              <w:rPr>
                <w:rFonts w:eastAsia="Times New Roman"/>
                <w:b/>
                <w:bCs/>
                <w:color w:val="000000"/>
                <w:sz w:val="18"/>
                <w:szCs w:val="18"/>
              </w:rPr>
              <w:t>14,864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B1B34C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C4C915"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5162D7CF"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7FE0E58" w14:textId="77777777" w:rsidR="00000000" w:rsidRDefault="00405D16">
            <w:pPr>
              <w:spacing w:after="100"/>
              <w:jc w:val="right"/>
              <w:rPr>
                <w:rFonts w:eastAsia="Times New Roman"/>
              </w:rPr>
            </w:pPr>
            <w:r>
              <w:rPr>
                <w:rFonts w:eastAsia="Times New Roman"/>
                <w:b/>
                <w:bCs/>
                <w:color w:val="000000"/>
                <w:sz w:val="18"/>
                <w:szCs w:val="18"/>
              </w:rPr>
              <w:t>(124)</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879204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D75918"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0581D4C0"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60CB73DC" w14:textId="77777777" w:rsidR="00000000" w:rsidRDefault="00405D16">
            <w:pPr>
              <w:spacing w:after="100"/>
              <w:jc w:val="right"/>
              <w:rPr>
                <w:rFonts w:eastAsia="Times New Roman"/>
              </w:rPr>
            </w:pPr>
            <w:r>
              <w:rPr>
                <w:rFonts w:eastAsia="Times New Roman"/>
                <w:b/>
                <w:bCs/>
                <w:color w:val="000000"/>
                <w:sz w:val="18"/>
                <w:szCs w:val="18"/>
              </w:rPr>
              <w:t>14,740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8289BE8" w14:textId="77777777" w:rsidR="00000000" w:rsidRDefault="00405D16">
            <w:pPr>
              <w:spacing w:after="100"/>
              <w:jc w:val="right"/>
              <w:rPr>
                <w:rFonts w:eastAsia="Times New Roman"/>
              </w:rPr>
            </w:pPr>
          </w:p>
        </w:tc>
        <w:tc>
          <w:tcPr>
            <w:tcW w:w="0" w:type="auto"/>
            <w:vAlign w:val="center"/>
            <w:hideMark/>
          </w:tcPr>
          <w:p w14:paraId="48F1FD14" w14:textId="77777777" w:rsidR="00000000" w:rsidRDefault="00405D16">
            <w:pPr>
              <w:spacing w:after="100"/>
              <w:jc w:val="right"/>
              <w:rPr>
                <w:rFonts w:eastAsia="Times New Roman"/>
                <w:sz w:val="20"/>
                <w:szCs w:val="20"/>
              </w:rPr>
            </w:pPr>
          </w:p>
        </w:tc>
        <w:tc>
          <w:tcPr>
            <w:tcW w:w="0" w:type="auto"/>
            <w:vAlign w:val="center"/>
            <w:hideMark/>
          </w:tcPr>
          <w:p w14:paraId="0686D464" w14:textId="77777777" w:rsidR="00000000" w:rsidRDefault="00405D16">
            <w:pPr>
              <w:spacing w:after="100"/>
              <w:rPr>
                <w:rFonts w:eastAsia="Times New Roman"/>
                <w:sz w:val="20"/>
                <w:szCs w:val="20"/>
              </w:rPr>
            </w:pPr>
          </w:p>
        </w:tc>
      </w:tr>
      <w:tr w:rsidR="00000000" w14:paraId="1C821E91" w14:textId="77777777">
        <w:trPr>
          <w:divId w:val="349378579"/>
        </w:trPr>
        <w:tc>
          <w:tcPr>
            <w:tcW w:w="0" w:type="auto"/>
            <w:gridSpan w:val="3"/>
            <w:shd w:val="clear" w:color="auto" w:fill="CCEEFF"/>
            <w:tcMar>
              <w:top w:w="30" w:type="dxa"/>
              <w:left w:w="20" w:type="dxa"/>
              <w:bottom w:w="30" w:type="dxa"/>
              <w:right w:w="20" w:type="dxa"/>
            </w:tcMar>
            <w:vAlign w:val="center"/>
            <w:hideMark/>
          </w:tcPr>
          <w:p w14:paraId="6732D065" w14:textId="77777777" w:rsidR="00000000" w:rsidRDefault="00405D16">
            <w:pPr>
              <w:spacing w:after="100"/>
              <w:divId w:val="851146615"/>
              <w:rPr>
                <w:rFonts w:eastAsia="Times New Roman"/>
              </w:rPr>
            </w:pPr>
            <w:r>
              <w:rPr>
                <w:rFonts w:eastAsia="Times New Roman"/>
                <w:color w:val="000000"/>
                <w:sz w:val="18"/>
                <w:szCs w:val="18"/>
              </w:rPr>
              <w:t>Commercial MSR</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23718FAE" w14:textId="77777777" w:rsidR="00000000" w:rsidRDefault="00405D16">
            <w:pPr>
              <w:spacing w:after="100"/>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56A1C9A5"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17C1AB11" w14:textId="77777777" w:rsidR="00000000" w:rsidRDefault="00405D16">
            <w:pPr>
              <w:spacing w:after="100"/>
              <w:jc w:val="right"/>
              <w:rPr>
                <w:rFonts w:eastAsia="Times New Roman"/>
              </w:rPr>
            </w:pPr>
            <w:r>
              <w:rPr>
                <w:rFonts w:eastAsia="Times New Roman"/>
                <w:b/>
                <w:bCs/>
                <w:color w:val="000000"/>
                <w:sz w:val="18"/>
                <w:szCs w:val="18"/>
              </w:rPr>
              <w:t>609</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7BCC62C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F61739" w14:textId="77777777" w:rsidR="00000000" w:rsidRDefault="00405D16">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7DE5E90E"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782AA7F5" w14:textId="77777777" w:rsidR="00000000" w:rsidRDefault="00405D16">
            <w:pPr>
              <w:spacing w:after="100"/>
              <w:jc w:val="right"/>
              <w:rPr>
                <w:rFonts w:eastAsia="Times New Roman"/>
              </w:rPr>
            </w:pPr>
            <w:r>
              <w:rPr>
                <w:rFonts w:eastAsia="Times New Roman"/>
                <w:b/>
                <w:bCs/>
                <w:color w:val="000000"/>
                <w:sz w:val="18"/>
                <w:szCs w:val="18"/>
              </w:rPr>
              <w:t>(199)</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177A552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223381" w14:textId="77777777" w:rsidR="00000000" w:rsidRDefault="00405D16">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7A1EB061"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06617540" w14:textId="77777777" w:rsidR="00000000" w:rsidRDefault="00405D16">
            <w:pPr>
              <w:spacing w:after="100"/>
              <w:jc w:val="right"/>
              <w:rPr>
                <w:rFonts w:eastAsia="Times New Roman"/>
              </w:rPr>
            </w:pPr>
            <w:r>
              <w:rPr>
                <w:rFonts w:eastAsia="Times New Roman"/>
                <w:b/>
                <w:bCs/>
                <w:color w:val="000000"/>
                <w:sz w:val="18"/>
                <w:szCs w:val="18"/>
              </w:rPr>
              <w:t>410</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63DBBD0A" w14:textId="77777777" w:rsidR="00000000" w:rsidRDefault="00405D16">
            <w:pPr>
              <w:spacing w:after="100"/>
              <w:jc w:val="right"/>
              <w:rPr>
                <w:rFonts w:eastAsia="Times New Roman"/>
              </w:rPr>
            </w:pPr>
          </w:p>
        </w:tc>
        <w:tc>
          <w:tcPr>
            <w:tcW w:w="0" w:type="auto"/>
            <w:vAlign w:val="center"/>
            <w:hideMark/>
          </w:tcPr>
          <w:p w14:paraId="7FF00996" w14:textId="77777777" w:rsidR="00000000" w:rsidRDefault="00405D16">
            <w:pPr>
              <w:spacing w:after="100"/>
              <w:jc w:val="right"/>
              <w:rPr>
                <w:rFonts w:eastAsia="Times New Roman"/>
                <w:sz w:val="20"/>
                <w:szCs w:val="20"/>
              </w:rPr>
            </w:pPr>
          </w:p>
        </w:tc>
        <w:tc>
          <w:tcPr>
            <w:tcW w:w="0" w:type="auto"/>
            <w:vAlign w:val="center"/>
            <w:hideMark/>
          </w:tcPr>
          <w:p w14:paraId="36ACC158" w14:textId="77777777" w:rsidR="00000000" w:rsidRDefault="00405D16">
            <w:pPr>
              <w:spacing w:after="100"/>
              <w:rPr>
                <w:rFonts w:eastAsia="Times New Roman"/>
                <w:sz w:val="20"/>
                <w:szCs w:val="20"/>
              </w:rPr>
            </w:pPr>
          </w:p>
        </w:tc>
      </w:tr>
      <w:tr w:rsidR="00000000" w14:paraId="3ADCF45F" w14:textId="77777777">
        <w:trPr>
          <w:divId w:val="349378579"/>
          <w:trHeight w:val="280"/>
        </w:trPr>
        <w:tc>
          <w:tcPr>
            <w:tcW w:w="0" w:type="auto"/>
            <w:gridSpan w:val="3"/>
            <w:tcMar>
              <w:top w:w="0" w:type="dxa"/>
              <w:left w:w="20" w:type="dxa"/>
              <w:bottom w:w="0" w:type="dxa"/>
              <w:right w:w="20" w:type="dxa"/>
            </w:tcMar>
            <w:vAlign w:val="center"/>
            <w:hideMark/>
          </w:tcPr>
          <w:p w14:paraId="46DB7319"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BDB586D"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8DC3F56"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476BC42"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A20E6AD"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B3E4540"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EF39040" w14:textId="77777777" w:rsidR="00000000" w:rsidRDefault="00405D16">
            <w:pPr>
              <w:spacing w:after="100"/>
              <w:rPr>
                <w:rFonts w:eastAsia="Times New Roman"/>
                <w:sz w:val="20"/>
                <w:szCs w:val="20"/>
              </w:rPr>
            </w:pPr>
          </w:p>
        </w:tc>
        <w:tc>
          <w:tcPr>
            <w:tcW w:w="0" w:type="auto"/>
            <w:vAlign w:val="center"/>
            <w:hideMark/>
          </w:tcPr>
          <w:p w14:paraId="50F1C596" w14:textId="77777777" w:rsidR="00000000" w:rsidRDefault="00405D16">
            <w:pPr>
              <w:spacing w:after="100"/>
              <w:rPr>
                <w:rFonts w:eastAsia="Times New Roman"/>
                <w:sz w:val="20"/>
                <w:szCs w:val="20"/>
              </w:rPr>
            </w:pPr>
          </w:p>
        </w:tc>
        <w:tc>
          <w:tcPr>
            <w:tcW w:w="0" w:type="auto"/>
            <w:vAlign w:val="center"/>
            <w:hideMark/>
          </w:tcPr>
          <w:p w14:paraId="6635D944" w14:textId="77777777" w:rsidR="00000000" w:rsidRDefault="00405D16">
            <w:pPr>
              <w:spacing w:after="100"/>
              <w:rPr>
                <w:rFonts w:eastAsia="Times New Roman"/>
                <w:sz w:val="20"/>
                <w:szCs w:val="20"/>
              </w:rPr>
            </w:pPr>
          </w:p>
        </w:tc>
      </w:tr>
      <w:tr w:rsidR="00000000" w14:paraId="70C577C2" w14:textId="77777777">
        <w:trPr>
          <w:divId w:val="349378579"/>
        </w:trPr>
        <w:tc>
          <w:tcPr>
            <w:tcW w:w="0" w:type="auto"/>
            <w:gridSpan w:val="3"/>
            <w:tcMar>
              <w:top w:w="0" w:type="dxa"/>
              <w:left w:w="20" w:type="dxa"/>
              <w:bottom w:w="0" w:type="dxa"/>
              <w:right w:w="20" w:type="dxa"/>
            </w:tcMar>
            <w:vAlign w:val="center"/>
            <w:hideMark/>
          </w:tcPr>
          <w:p w14:paraId="4997C537"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E75AD9D" w14:textId="77777777" w:rsidR="00000000" w:rsidRDefault="00405D16">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639249AF" w14:textId="77777777" w:rsidR="00000000" w:rsidRDefault="00405D16">
            <w:pPr>
              <w:spacing w:after="100"/>
              <w:jc w:val="center"/>
              <w:rPr>
                <w:rFonts w:eastAsia="Times New Roman"/>
              </w:rPr>
            </w:pPr>
            <w:r>
              <w:rPr>
                <w:rFonts w:eastAsia="Times New Roman"/>
                <w:b/>
                <w:bCs/>
                <w:color w:val="000000"/>
                <w:sz w:val="16"/>
                <w:szCs w:val="16"/>
              </w:rPr>
              <w:t>December 31, 2020</w:t>
            </w:r>
          </w:p>
        </w:tc>
        <w:tc>
          <w:tcPr>
            <w:tcW w:w="0" w:type="auto"/>
            <w:vAlign w:val="center"/>
            <w:hideMark/>
          </w:tcPr>
          <w:p w14:paraId="7E219CC1" w14:textId="77777777" w:rsidR="00000000" w:rsidRDefault="00405D16">
            <w:pPr>
              <w:spacing w:after="100"/>
              <w:jc w:val="center"/>
              <w:rPr>
                <w:rFonts w:eastAsia="Times New Roman"/>
              </w:rPr>
            </w:pPr>
          </w:p>
        </w:tc>
        <w:tc>
          <w:tcPr>
            <w:tcW w:w="0" w:type="auto"/>
            <w:vAlign w:val="center"/>
            <w:hideMark/>
          </w:tcPr>
          <w:p w14:paraId="6A87A4AD" w14:textId="77777777" w:rsidR="00000000" w:rsidRDefault="00405D16">
            <w:pPr>
              <w:spacing w:after="100"/>
              <w:rPr>
                <w:rFonts w:eastAsia="Times New Roman"/>
                <w:sz w:val="20"/>
                <w:szCs w:val="20"/>
              </w:rPr>
            </w:pPr>
          </w:p>
        </w:tc>
      </w:tr>
      <w:tr w:rsidR="00000000" w14:paraId="124412C9" w14:textId="77777777">
        <w:trPr>
          <w:divId w:val="349378579"/>
        </w:trPr>
        <w:tc>
          <w:tcPr>
            <w:tcW w:w="0" w:type="auto"/>
            <w:gridSpan w:val="3"/>
            <w:tcMar>
              <w:top w:w="30" w:type="dxa"/>
              <w:left w:w="20" w:type="dxa"/>
              <w:bottom w:w="30" w:type="dxa"/>
              <w:right w:w="20" w:type="dxa"/>
            </w:tcMar>
            <w:vAlign w:val="bottom"/>
            <w:hideMark/>
          </w:tcPr>
          <w:p w14:paraId="6290316E"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50C52ECA"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7A0CF74" w14:textId="77777777" w:rsidR="00000000" w:rsidRDefault="00405D16">
            <w:pPr>
              <w:spacing w:after="100"/>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14:paraId="2F436757"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7E0320C" w14:textId="77777777" w:rsidR="00000000" w:rsidRDefault="00405D16">
            <w:pPr>
              <w:spacing w:after="100"/>
              <w:jc w:val="center"/>
              <w:rPr>
                <w:rFonts w:eastAsia="Times New Roman"/>
              </w:rPr>
            </w:pPr>
            <w:r>
              <w:rPr>
                <w:rFonts w:eastAsia="Times New Roman"/>
                <w:b/>
                <w:bCs/>
                <w:color w:val="000000"/>
                <w:sz w:val="16"/>
                <w:szCs w:val="16"/>
              </w:rPr>
              <w:t>Accumulated Amortization</w:t>
            </w:r>
          </w:p>
        </w:tc>
        <w:tc>
          <w:tcPr>
            <w:tcW w:w="0" w:type="auto"/>
            <w:gridSpan w:val="3"/>
            <w:tcBorders>
              <w:top w:val="single" w:sz="8" w:space="0" w:color="000000"/>
            </w:tcBorders>
            <w:tcMar>
              <w:top w:w="0" w:type="dxa"/>
              <w:left w:w="20" w:type="dxa"/>
              <w:bottom w:w="0" w:type="dxa"/>
              <w:right w:w="20" w:type="dxa"/>
            </w:tcMar>
            <w:vAlign w:val="center"/>
            <w:hideMark/>
          </w:tcPr>
          <w:p w14:paraId="7EECCE19"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DAB89D2" w14:textId="77777777" w:rsidR="00000000" w:rsidRDefault="00405D16">
            <w:pPr>
              <w:spacing w:after="100"/>
              <w:jc w:val="center"/>
              <w:rPr>
                <w:rFonts w:eastAsia="Times New Roman"/>
              </w:rPr>
            </w:pPr>
            <w:r>
              <w:rPr>
                <w:rFonts w:eastAsia="Times New Roman"/>
                <w:b/>
                <w:bCs/>
                <w:color w:val="000000"/>
                <w:sz w:val="16"/>
                <w:szCs w:val="16"/>
              </w:rPr>
              <w:t>Net Carrying Amount</w:t>
            </w:r>
          </w:p>
        </w:tc>
        <w:tc>
          <w:tcPr>
            <w:tcW w:w="0" w:type="auto"/>
            <w:vAlign w:val="center"/>
            <w:hideMark/>
          </w:tcPr>
          <w:p w14:paraId="18D31721" w14:textId="77777777" w:rsidR="00000000" w:rsidRDefault="00405D16">
            <w:pPr>
              <w:spacing w:after="100"/>
              <w:jc w:val="center"/>
              <w:rPr>
                <w:rFonts w:eastAsia="Times New Roman"/>
              </w:rPr>
            </w:pPr>
          </w:p>
        </w:tc>
        <w:tc>
          <w:tcPr>
            <w:tcW w:w="0" w:type="auto"/>
            <w:vAlign w:val="center"/>
            <w:hideMark/>
          </w:tcPr>
          <w:p w14:paraId="752B1EA8" w14:textId="77777777" w:rsidR="00000000" w:rsidRDefault="00405D16">
            <w:pPr>
              <w:spacing w:after="100"/>
              <w:rPr>
                <w:rFonts w:eastAsia="Times New Roman"/>
                <w:sz w:val="20"/>
                <w:szCs w:val="20"/>
              </w:rPr>
            </w:pPr>
          </w:p>
        </w:tc>
      </w:tr>
      <w:tr w:rsidR="00000000" w14:paraId="17A39384" w14:textId="77777777">
        <w:trPr>
          <w:divId w:val="34937857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58917752" w14:textId="77777777" w:rsidR="00000000" w:rsidRDefault="00405D16">
            <w:pPr>
              <w:spacing w:after="100"/>
              <w:rPr>
                <w:rFonts w:eastAsia="Times New Roman"/>
              </w:rPr>
            </w:pPr>
            <w:r>
              <w:rPr>
                <w:rFonts w:eastAsia="Times New Roman"/>
                <w:color w:val="000000"/>
                <w:sz w:val="18"/>
                <w:szCs w:val="18"/>
              </w:rPr>
              <w:t>Goodwill</w:t>
            </w:r>
          </w:p>
        </w:tc>
        <w:tc>
          <w:tcPr>
            <w:tcW w:w="0" w:type="auto"/>
            <w:gridSpan w:val="3"/>
            <w:shd w:val="clear" w:color="auto" w:fill="CCEEFF"/>
            <w:tcMar>
              <w:top w:w="0" w:type="dxa"/>
              <w:left w:w="20" w:type="dxa"/>
              <w:bottom w:w="0" w:type="dxa"/>
              <w:right w:w="20" w:type="dxa"/>
            </w:tcMar>
            <w:vAlign w:val="center"/>
            <w:hideMark/>
          </w:tcPr>
          <w:p w14:paraId="5F9B5782"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5790472"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EAC6AAB" w14:textId="77777777" w:rsidR="00000000" w:rsidRDefault="00405D16">
            <w:pPr>
              <w:spacing w:after="100"/>
              <w:jc w:val="right"/>
              <w:rPr>
                <w:rFonts w:eastAsia="Times New Roman"/>
              </w:rPr>
            </w:pPr>
            <w:r>
              <w:rPr>
                <w:rFonts w:eastAsia="Times New Roman"/>
                <w:color w:val="000000"/>
                <w:sz w:val="18"/>
                <w:szCs w:val="18"/>
              </w:rPr>
              <w:t>14,653 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785197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2F6B28" w14:textId="77777777" w:rsidR="00000000" w:rsidRDefault="00405D16">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E2ED7D0" w14:textId="77777777" w:rsidR="00000000" w:rsidRDefault="00405D16">
            <w:pPr>
              <w:spacing w:after="100"/>
              <w:jc w:val="right"/>
              <w:rPr>
                <w:rFonts w:eastAsia="Times New Roman"/>
              </w:rPr>
            </w:pPr>
            <w:r>
              <w:rPr>
                <w:rFonts w:eastAsia="Times New Roman"/>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14:paraId="761A312F" w14:textId="77777777" w:rsidR="00000000" w:rsidRDefault="00405D16">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5DDC41E"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7B9B068" w14:textId="77777777" w:rsidR="00000000" w:rsidRDefault="00405D16">
            <w:pPr>
              <w:spacing w:after="100"/>
              <w:jc w:val="right"/>
              <w:rPr>
                <w:rFonts w:eastAsia="Times New Roman"/>
              </w:rPr>
            </w:pPr>
            <w:r>
              <w:rPr>
                <w:rFonts w:eastAsia="Times New Roman"/>
                <w:color w:val="000000"/>
                <w:sz w:val="18"/>
                <w:szCs w:val="18"/>
              </w:rPr>
              <w:t>14,653 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9B142C5" w14:textId="77777777" w:rsidR="00000000" w:rsidRDefault="00405D16">
            <w:pPr>
              <w:spacing w:after="100"/>
              <w:jc w:val="right"/>
              <w:rPr>
                <w:rFonts w:eastAsia="Times New Roman"/>
              </w:rPr>
            </w:pPr>
          </w:p>
        </w:tc>
        <w:tc>
          <w:tcPr>
            <w:tcW w:w="0" w:type="auto"/>
            <w:vAlign w:val="center"/>
            <w:hideMark/>
          </w:tcPr>
          <w:p w14:paraId="205B7A3A" w14:textId="77777777" w:rsidR="00000000" w:rsidRDefault="00405D16">
            <w:pPr>
              <w:spacing w:after="100"/>
              <w:jc w:val="right"/>
              <w:rPr>
                <w:rFonts w:eastAsia="Times New Roman"/>
                <w:sz w:val="20"/>
                <w:szCs w:val="20"/>
              </w:rPr>
            </w:pPr>
          </w:p>
        </w:tc>
        <w:tc>
          <w:tcPr>
            <w:tcW w:w="0" w:type="auto"/>
            <w:vAlign w:val="center"/>
            <w:hideMark/>
          </w:tcPr>
          <w:p w14:paraId="706CC3E1" w14:textId="77777777" w:rsidR="00000000" w:rsidRDefault="00405D16">
            <w:pPr>
              <w:spacing w:after="100"/>
              <w:rPr>
                <w:rFonts w:eastAsia="Times New Roman"/>
                <w:sz w:val="20"/>
                <w:szCs w:val="20"/>
              </w:rPr>
            </w:pPr>
          </w:p>
        </w:tc>
      </w:tr>
      <w:tr w:rsidR="00000000" w14:paraId="73A7C3B7" w14:textId="77777777">
        <w:trPr>
          <w:divId w:val="349378579"/>
        </w:trPr>
        <w:tc>
          <w:tcPr>
            <w:tcW w:w="0" w:type="auto"/>
            <w:gridSpan w:val="3"/>
            <w:shd w:val="clear" w:color="auto" w:fill="FFFFFF"/>
            <w:tcMar>
              <w:top w:w="30" w:type="dxa"/>
              <w:left w:w="20" w:type="dxa"/>
              <w:bottom w:w="30" w:type="dxa"/>
              <w:right w:w="20" w:type="dxa"/>
            </w:tcMar>
            <w:vAlign w:val="center"/>
            <w:hideMark/>
          </w:tcPr>
          <w:p w14:paraId="795EDD55" w14:textId="77777777" w:rsidR="00000000" w:rsidRDefault="00405D16">
            <w:pPr>
              <w:spacing w:after="100"/>
              <w:rPr>
                <w:rFonts w:eastAsia="Times New Roman"/>
              </w:rPr>
            </w:pPr>
            <w:r>
              <w:rPr>
                <w:rFonts w:eastAsia="Times New Roman"/>
                <w:color w:val="000000"/>
                <w:sz w:val="18"/>
                <w:szCs w:val="18"/>
              </w:rPr>
              <w:t>Intangible assets:</w:t>
            </w:r>
          </w:p>
        </w:tc>
        <w:tc>
          <w:tcPr>
            <w:tcW w:w="0" w:type="auto"/>
            <w:gridSpan w:val="3"/>
            <w:shd w:val="clear" w:color="auto" w:fill="FFFFFF"/>
            <w:tcMar>
              <w:top w:w="0" w:type="dxa"/>
              <w:left w:w="20" w:type="dxa"/>
              <w:bottom w:w="0" w:type="dxa"/>
              <w:right w:w="20" w:type="dxa"/>
            </w:tcMar>
            <w:vAlign w:val="center"/>
            <w:hideMark/>
          </w:tcPr>
          <w:p w14:paraId="475DF06D"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DD6AD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5809B4"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790B5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B4F75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81FD02" w14:textId="77777777" w:rsidR="00000000" w:rsidRDefault="00405D16">
            <w:pPr>
              <w:spacing w:after="100"/>
              <w:rPr>
                <w:rFonts w:eastAsia="Times New Roman"/>
                <w:sz w:val="20"/>
                <w:szCs w:val="20"/>
              </w:rPr>
            </w:pPr>
          </w:p>
        </w:tc>
        <w:tc>
          <w:tcPr>
            <w:tcW w:w="0" w:type="auto"/>
            <w:vAlign w:val="center"/>
            <w:hideMark/>
          </w:tcPr>
          <w:p w14:paraId="12D3E9E1" w14:textId="77777777" w:rsidR="00000000" w:rsidRDefault="00405D16">
            <w:pPr>
              <w:spacing w:after="100"/>
              <w:rPr>
                <w:rFonts w:eastAsia="Times New Roman"/>
                <w:sz w:val="20"/>
                <w:szCs w:val="20"/>
              </w:rPr>
            </w:pPr>
          </w:p>
        </w:tc>
        <w:tc>
          <w:tcPr>
            <w:tcW w:w="0" w:type="auto"/>
            <w:vAlign w:val="center"/>
            <w:hideMark/>
          </w:tcPr>
          <w:p w14:paraId="66C02066" w14:textId="77777777" w:rsidR="00000000" w:rsidRDefault="00405D16">
            <w:pPr>
              <w:spacing w:after="100"/>
              <w:rPr>
                <w:rFonts w:eastAsia="Times New Roman"/>
                <w:sz w:val="20"/>
                <w:szCs w:val="20"/>
              </w:rPr>
            </w:pPr>
          </w:p>
        </w:tc>
      </w:tr>
      <w:tr w:rsidR="00000000" w14:paraId="1F79E101" w14:textId="77777777">
        <w:trPr>
          <w:divId w:val="349378579"/>
        </w:trPr>
        <w:tc>
          <w:tcPr>
            <w:tcW w:w="0" w:type="auto"/>
            <w:gridSpan w:val="3"/>
            <w:shd w:val="clear" w:color="auto" w:fill="CCEEFF"/>
            <w:tcMar>
              <w:top w:w="30" w:type="dxa"/>
              <w:left w:w="245" w:type="dxa"/>
              <w:bottom w:w="30" w:type="dxa"/>
              <w:right w:w="20" w:type="dxa"/>
            </w:tcMar>
            <w:vAlign w:val="center"/>
            <w:hideMark/>
          </w:tcPr>
          <w:p w14:paraId="060C3B72" w14:textId="77777777" w:rsidR="00000000" w:rsidRDefault="00405D16">
            <w:pPr>
              <w:spacing w:after="100"/>
              <w:rPr>
                <w:rFonts w:eastAsia="Times New Roman"/>
              </w:rPr>
            </w:pPr>
            <w:r>
              <w:rPr>
                <w:rFonts w:eastAsia="Times New Roman"/>
                <w:color w:val="000000"/>
                <w:sz w:val="18"/>
                <w:szCs w:val="18"/>
              </w:rPr>
              <w:t>PCCR intangibles</w:t>
            </w:r>
          </w:p>
        </w:tc>
        <w:tc>
          <w:tcPr>
            <w:tcW w:w="0" w:type="auto"/>
            <w:gridSpan w:val="3"/>
            <w:shd w:val="clear" w:color="auto" w:fill="CCEEFF"/>
            <w:tcMar>
              <w:top w:w="0" w:type="dxa"/>
              <w:left w:w="20" w:type="dxa"/>
              <w:bottom w:w="0" w:type="dxa"/>
              <w:right w:w="20" w:type="dxa"/>
            </w:tcMar>
            <w:vAlign w:val="center"/>
            <w:hideMark/>
          </w:tcPr>
          <w:p w14:paraId="1E51308D"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BC0442D" w14:textId="77777777" w:rsidR="00000000" w:rsidRDefault="00405D16">
            <w:pPr>
              <w:spacing w:after="100"/>
              <w:jc w:val="right"/>
              <w:rPr>
                <w:rFonts w:eastAsia="Times New Roman"/>
              </w:rPr>
            </w:pPr>
            <w:r>
              <w:rPr>
                <w:rFonts w:eastAsia="Times New Roman"/>
                <w:color w:val="000000"/>
                <w:sz w:val="18"/>
                <w:szCs w:val="18"/>
              </w:rPr>
              <w:t>148 </w:t>
            </w:r>
          </w:p>
        </w:tc>
        <w:tc>
          <w:tcPr>
            <w:tcW w:w="0" w:type="auto"/>
            <w:shd w:val="clear" w:color="auto" w:fill="CCEEFF"/>
            <w:tcMar>
              <w:top w:w="30" w:type="dxa"/>
              <w:left w:w="0" w:type="dxa"/>
              <w:bottom w:w="30" w:type="dxa"/>
              <w:right w:w="20" w:type="dxa"/>
            </w:tcMar>
            <w:vAlign w:val="center"/>
            <w:hideMark/>
          </w:tcPr>
          <w:p w14:paraId="0A04399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22BF2E"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530D39AD"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3D6A8641" w14:textId="77777777" w:rsidR="00000000" w:rsidRDefault="00405D16">
            <w:pPr>
              <w:spacing w:after="100"/>
              <w:jc w:val="right"/>
              <w:rPr>
                <w:rFonts w:eastAsia="Times New Roman"/>
              </w:rPr>
            </w:pPr>
            <w:r>
              <w:rPr>
                <w:rFonts w:eastAsia="Times New Roman"/>
                <w:color w:val="000000"/>
                <w:sz w:val="18"/>
                <w:szCs w:val="18"/>
              </w:rPr>
              <w:t>(138)</w:t>
            </w:r>
          </w:p>
        </w:tc>
        <w:tc>
          <w:tcPr>
            <w:tcW w:w="0" w:type="auto"/>
            <w:shd w:val="clear" w:color="auto" w:fill="CCEEFF"/>
            <w:tcMar>
              <w:top w:w="30" w:type="dxa"/>
              <w:left w:w="0" w:type="dxa"/>
              <w:bottom w:w="30" w:type="dxa"/>
              <w:right w:w="20" w:type="dxa"/>
            </w:tcMar>
            <w:vAlign w:val="center"/>
            <w:hideMark/>
          </w:tcPr>
          <w:p w14:paraId="3AAD2E6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D8ECA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CFB52A1" w14:textId="77777777" w:rsidR="00000000" w:rsidRDefault="00405D16">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center"/>
            <w:hideMark/>
          </w:tcPr>
          <w:p w14:paraId="109DB86B" w14:textId="77777777" w:rsidR="00000000" w:rsidRDefault="00405D16">
            <w:pPr>
              <w:spacing w:after="100"/>
              <w:jc w:val="right"/>
              <w:rPr>
                <w:rFonts w:eastAsia="Times New Roman"/>
              </w:rPr>
            </w:pPr>
          </w:p>
        </w:tc>
        <w:tc>
          <w:tcPr>
            <w:tcW w:w="0" w:type="auto"/>
            <w:vAlign w:val="center"/>
            <w:hideMark/>
          </w:tcPr>
          <w:p w14:paraId="0DB890C1" w14:textId="77777777" w:rsidR="00000000" w:rsidRDefault="00405D16">
            <w:pPr>
              <w:spacing w:after="100"/>
              <w:jc w:val="right"/>
              <w:rPr>
                <w:rFonts w:eastAsia="Times New Roman"/>
                <w:sz w:val="20"/>
                <w:szCs w:val="20"/>
              </w:rPr>
            </w:pPr>
          </w:p>
        </w:tc>
        <w:tc>
          <w:tcPr>
            <w:tcW w:w="0" w:type="auto"/>
            <w:vAlign w:val="center"/>
            <w:hideMark/>
          </w:tcPr>
          <w:p w14:paraId="7C95F235" w14:textId="77777777" w:rsidR="00000000" w:rsidRDefault="00405D16">
            <w:pPr>
              <w:spacing w:after="100"/>
              <w:rPr>
                <w:rFonts w:eastAsia="Times New Roman"/>
                <w:sz w:val="20"/>
                <w:szCs w:val="20"/>
              </w:rPr>
            </w:pPr>
          </w:p>
        </w:tc>
      </w:tr>
      <w:tr w:rsidR="00000000" w14:paraId="5A19E3C1" w14:textId="77777777">
        <w:trPr>
          <w:divId w:val="349378579"/>
        </w:trPr>
        <w:tc>
          <w:tcPr>
            <w:tcW w:w="0" w:type="auto"/>
            <w:gridSpan w:val="3"/>
            <w:vAlign w:val="center"/>
            <w:hideMark/>
          </w:tcPr>
          <w:p w14:paraId="21B99FAF" w14:textId="77777777" w:rsidR="00000000" w:rsidRDefault="00405D16">
            <w:pPr>
              <w:spacing w:after="100"/>
              <w:rPr>
                <w:rFonts w:eastAsia="Times New Roman"/>
                <w:sz w:val="20"/>
                <w:szCs w:val="20"/>
              </w:rPr>
            </w:pPr>
          </w:p>
        </w:tc>
        <w:tc>
          <w:tcPr>
            <w:tcW w:w="0" w:type="auto"/>
            <w:gridSpan w:val="3"/>
            <w:vAlign w:val="center"/>
            <w:hideMark/>
          </w:tcPr>
          <w:p w14:paraId="692FB884" w14:textId="77777777" w:rsidR="00000000" w:rsidRDefault="00405D16">
            <w:pPr>
              <w:spacing w:after="100"/>
              <w:rPr>
                <w:rFonts w:eastAsia="Times New Roman"/>
                <w:sz w:val="20"/>
                <w:szCs w:val="20"/>
              </w:rPr>
            </w:pPr>
          </w:p>
        </w:tc>
        <w:tc>
          <w:tcPr>
            <w:tcW w:w="0" w:type="auto"/>
            <w:gridSpan w:val="3"/>
            <w:vAlign w:val="center"/>
            <w:hideMark/>
          </w:tcPr>
          <w:p w14:paraId="66C685C7" w14:textId="77777777" w:rsidR="00000000" w:rsidRDefault="00405D16">
            <w:pPr>
              <w:spacing w:after="100"/>
              <w:rPr>
                <w:rFonts w:eastAsia="Times New Roman"/>
                <w:sz w:val="20"/>
                <w:szCs w:val="20"/>
              </w:rPr>
            </w:pPr>
          </w:p>
        </w:tc>
        <w:tc>
          <w:tcPr>
            <w:tcW w:w="0" w:type="auto"/>
            <w:gridSpan w:val="3"/>
            <w:vAlign w:val="center"/>
            <w:hideMark/>
          </w:tcPr>
          <w:p w14:paraId="69071DB9" w14:textId="77777777" w:rsidR="00000000" w:rsidRDefault="00405D16">
            <w:pPr>
              <w:spacing w:after="100"/>
              <w:rPr>
                <w:rFonts w:eastAsia="Times New Roman"/>
                <w:sz w:val="20"/>
                <w:szCs w:val="20"/>
              </w:rPr>
            </w:pPr>
          </w:p>
        </w:tc>
        <w:tc>
          <w:tcPr>
            <w:tcW w:w="0" w:type="auto"/>
            <w:gridSpan w:val="3"/>
            <w:vAlign w:val="center"/>
            <w:hideMark/>
          </w:tcPr>
          <w:p w14:paraId="510C3AC4" w14:textId="77777777" w:rsidR="00000000" w:rsidRDefault="00405D16">
            <w:pPr>
              <w:spacing w:after="100"/>
              <w:rPr>
                <w:rFonts w:eastAsia="Times New Roman"/>
                <w:sz w:val="20"/>
                <w:szCs w:val="20"/>
              </w:rPr>
            </w:pPr>
          </w:p>
        </w:tc>
        <w:tc>
          <w:tcPr>
            <w:tcW w:w="0" w:type="auto"/>
            <w:gridSpan w:val="3"/>
            <w:vAlign w:val="center"/>
            <w:hideMark/>
          </w:tcPr>
          <w:p w14:paraId="5D375502" w14:textId="77777777" w:rsidR="00000000" w:rsidRDefault="00405D16">
            <w:pPr>
              <w:spacing w:after="100"/>
              <w:rPr>
                <w:rFonts w:eastAsia="Times New Roman"/>
                <w:sz w:val="20"/>
                <w:szCs w:val="20"/>
              </w:rPr>
            </w:pPr>
          </w:p>
        </w:tc>
        <w:tc>
          <w:tcPr>
            <w:tcW w:w="0" w:type="auto"/>
            <w:gridSpan w:val="3"/>
            <w:vAlign w:val="center"/>
            <w:hideMark/>
          </w:tcPr>
          <w:p w14:paraId="2EC50578" w14:textId="77777777" w:rsidR="00000000" w:rsidRDefault="00405D16">
            <w:pPr>
              <w:spacing w:after="100"/>
              <w:rPr>
                <w:rFonts w:eastAsia="Times New Roman"/>
                <w:sz w:val="20"/>
                <w:szCs w:val="20"/>
              </w:rPr>
            </w:pPr>
          </w:p>
        </w:tc>
        <w:tc>
          <w:tcPr>
            <w:tcW w:w="0" w:type="auto"/>
            <w:vAlign w:val="center"/>
            <w:hideMark/>
          </w:tcPr>
          <w:p w14:paraId="576F9AF8" w14:textId="77777777" w:rsidR="00000000" w:rsidRDefault="00405D16">
            <w:pPr>
              <w:spacing w:after="100"/>
              <w:rPr>
                <w:rFonts w:eastAsia="Times New Roman"/>
                <w:sz w:val="20"/>
                <w:szCs w:val="20"/>
              </w:rPr>
            </w:pPr>
          </w:p>
        </w:tc>
        <w:tc>
          <w:tcPr>
            <w:tcW w:w="0" w:type="auto"/>
            <w:vAlign w:val="center"/>
            <w:hideMark/>
          </w:tcPr>
          <w:p w14:paraId="6F98F5C8" w14:textId="77777777" w:rsidR="00000000" w:rsidRDefault="00405D16">
            <w:pPr>
              <w:spacing w:after="100"/>
              <w:rPr>
                <w:rFonts w:eastAsia="Times New Roman"/>
                <w:sz w:val="20"/>
                <w:szCs w:val="20"/>
              </w:rPr>
            </w:pPr>
          </w:p>
        </w:tc>
      </w:tr>
      <w:tr w:rsidR="00000000" w14:paraId="7C757153" w14:textId="77777777">
        <w:trPr>
          <w:divId w:val="349378579"/>
        </w:trPr>
        <w:tc>
          <w:tcPr>
            <w:tcW w:w="0" w:type="auto"/>
            <w:gridSpan w:val="3"/>
            <w:shd w:val="clear" w:color="auto" w:fill="FFFFFF"/>
            <w:tcMar>
              <w:top w:w="30" w:type="dxa"/>
              <w:left w:w="20" w:type="dxa"/>
              <w:bottom w:w="30" w:type="dxa"/>
              <w:right w:w="20" w:type="dxa"/>
            </w:tcMar>
            <w:vAlign w:val="center"/>
            <w:hideMark/>
          </w:tcPr>
          <w:p w14:paraId="2E4344BF" w14:textId="77777777" w:rsidR="00000000" w:rsidRDefault="00405D16">
            <w:pPr>
              <w:spacing w:after="100"/>
              <w:divId w:val="1316568577"/>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65B120DC"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7469114" w14:textId="77777777" w:rsidR="00000000" w:rsidRDefault="00405D16">
            <w:pPr>
              <w:spacing w:after="100"/>
              <w:jc w:val="right"/>
              <w:rPr>
                <w:rFonts w:eastAsia="Times New Roman"/>
              </w:rPr>
            </w:pPr>
            <w:r>
              <w:rPr>
                <w:rFonts w:eastAsia="Times New Roman"/>
                <w:color w:val="000000"/>
                <w:sz w:val="18"/>
                <w:szCs w:val="18"/>
              </w:rPr>
              <w:t>248 </w:t>
            </w:r>
          </w:p>
        </w:tc>
        <w:tc>
          <w:tcPr>
            <w:tcW w:w="0" w:type="auto"/>
            <w:shd w:val="clear" w:color="auto" w:fill="FFFFFF"/>
            <w:tcMar>
              <w:top w:w="30" w:type="dxa"/>
              <w:left w:w="0" w:type="dxa"/>
              <w:bottom w:w="30" w:type="dxa"/>
              <w:right w:w="20" w:type="dxa"/>
            </w:tcMar>
            <w:vAlign w:val="center"/>
            <w:hideMark/>
          </w:tcPr>
          <w:p w14:paraId="4938A17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96BC4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DC1C12A" w14:textId="77777777" w:rsidR="00000000" w:rsidRDefault="00405D16">
            <w:pPr>
              <w:spacing w:after="100"/>
              <w:jc w:val="right"/>
              <w:rPr>
                <w:rFonts w:eastAsia="Times New Roman"/>
              </w:rPr>
            </w:pPr>
            <w:r>
              <w:rPr>
                <w:rFonts w:eastAsia="Times New Roman"/>
                <w:color w:val="000000"/>
                <w:sz w:val="18"/>
                <w:szCs w:val="18"/>
              </w:rPr>
              <w:t>(168)</w:t>
            </w:r>
          </w:p>
        </w:tc>
        <w:tc>
          <w:tcPr>
            <w:tcW w:w="0" w:type="auto"/>
            <w:shd w:val="clear" w:color="auto" w:fill="FFFFFF"/>
            <w:tcMar>
              <w:top w:w="30" w:type="dxa"/>
              <w:left w:w="0" w:type="dxa"/>
              <w:bottom w:w="30" w:type="dxa"/>
              <w:right w:w="20" w:type="dxa"/>
            </w:tcMar>
            <w:vAlign w:val="center"/>
            <w:hideMark/>
          </w:tcPr>
          <w:p w14:paraId="6D1C4C2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A1B96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45354DA" w14:textId="77777777" w:rsidR="00000000" w:rsidRDefault="00405D16">
            <w:pPr>
              <w:spacing w:after="100"/>
              <w:jc w:val="right"/>
              <w:rPr>
                <w:rFonts w:eastAsia="Times New Roman"/>
              </w:rPr>
            </w:pPr>
            <w:r>
              <w:rPr>
                <w:rFonts w:eastAsia="Times New Roman"/>
                <w:color w:val="000000"/>
                <w:sz w:val="18"/>
                <w:szCs w:val="18"/>
              </w:rPr>
              <w:t>80 </w:t>
            </w:r>
          </w:p>
        </w:tc>
        <w:tc>
          <w:tcPr>
            <w:tcW w:w="0" w:type="auto"/>
            <w:shd w:val="clear" w:color="auto" w:fill="FFFFFF"/>
            <w:tcMar>
              <w:top w:w="30" w:type="dxa"/>
              <w:left w:w="0" w:type="dxa"/>
              <w:bottom w:w="30" w:type="dxa"/>
              <w:right w:w="20" w:type="dxa"/>
            </w:tcMar>
            <w:vAlign w:val="center"/>
            <w:hideMark/>
          </w:tcPr>
          <w:p w14:paraId="6BEB0955" w14:textId="77777777" w:rsidR="00000000" w:rsidRDefault="00405D16">
            <w:pPr>
              <w:spacing w:after="100"/>
              <w:jc w:val="right"/>
              <w:rPr>
                <w:rFonts w:eastAsia="Times New Roman"/>
              </w:rPr>
            </w:pPr>
          </w:p>
        </w:tc>
        <w:tc>
          <w:tcPr>
            <w:tcW w:w="0" w:type="auto"/>
            <w:vAlign w:val="center"/>
            <w:hideMark/>
          </w:tcPr>
          <w:p w14:paraId="32D1EF6D" w14:textId="77777777" w:rsidR="00000000" w:rsidRDefault="00405D16">
            <w:pPr>
              <w:spacing w:after="100"/>
              <w:jc w:val="right"/>
              <w:rPr>
                <w:rFonts w:eastAsia="Times New Roman"/>
                <w:sz w:val="20"/>
                <w:szCs w:val="20"/>
              </w:rPr>
            </w:pPr>
          </w:p>
        </w:tc>
        <w:tc>
          <w:tcPr>
            <w:tcW w:w="0" w:type="auto"/>
            <w:vAlign w:val="center"/>
            <w:hideMark/>
          </w:tcPr>
          <w:p w14:paraId="3ADAF1A7" w14:textId="77777777" w:rsidR="00000000" w:rsidRDefault="00405D16">
            <w:pPr>
              <w:spacing w:after="100"/>
              <w:rPr>
                <w:rFonts w:eastAsia="Times New Roman"/>
                <w:sz w:val="20"/>
                <w:szCs w:val="20"/>
              </w:rPr>
            </w:pPr>
          </w:p>
        </w:tc>
      </w:tr>
      <w:tr w:rsidR="00000000" w14:paraId="68371904" w14:textId="77777777">
        <w:trPr>
          <w:divId w:val="349378579"/>
        </w:trPr>
        <w:tc>
          <w:tcPr>
            <w:tcW w:w="0" w:type="auto"/>
            <w:gridSpan w:val="3"/>
            <w:shd w:val="clear" w:color="auto" w:fill="CCEEFF"/>
            <w:tcMar>
              <w:top w:w="30" w:type="dxa"/>
              <w:left w:w="20" w:type="dxa"/>
              <w:bottom w:w="30" w:type="dxa"/>
              <w:right w:w="20" w:type="dxa"/>
            </w:tcMar>
            <w:vAlign w:val="center"/>
            <w:hideMark/>
          </w:tcPr>
          <w:p w14:paraId="40897F4E" w14:textId="77777777" w:rsidR="00000000" w:rsidRDefault="00405D16">
            <w:pPr>
              <w:spacing w:after="100"/>
              <w:rPr>
                <w:rFonts w:eastAsia="Times New Roman"/>
              </w:rPr>
            </w:pPr>
            <w:r>
              <w:rPr>
                <w:rFonts w:eastAsia="Times New Roman"/>
                <w:color w:val="000000"/>
                <w:sz w:val="18"/>
                <w:szCs w:val="18"/>
              </w:rPr>
              <w:t>Total intangible assets</w:t>
            </w:r>
          </w:p>
        </w:tc>
        <w:tc>
          <w:tcPr>
            <w:tcW w:w="0" w:type="auto"/>
            <w:gridSpan w:val="3"/>
            <w:shd w:val="clear" w:color="auto" w:fill="CCEEFF"/>
            <w:tcMar>
              <w:top w:w="0" w:type="dxa"/>
              <w:left w:w="20" w:type="dxa"/>
              <w:bottom w:w="0" w:type="dxa"/>
              <w:right w:w="20" w:type="dxa"/>
            </w:tcMar>
            <w:vAlign w:val="center"/>
            <w:hideMark/>
          </w:tcPr>
          <w:p w14:paraId="75E59A71"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462C95B" w14:textId="77777777" w:rsidR="00000000" w:rsidRDefault="00405D16">
            <w:pPr>
              <w:spacing w:after="100"/>
              <w:jc w:val="right"/>
              <w:rPr>
                <w:rFonts w:eastAsia="Times New Roman"/>
              </w:rPr>
            </w:pPr>
            <w:r>
              <w:rPr>
                <w:rFonts w:eastAsia="Times New Roman"/>
                <w:color w:val="000000"/>
                <w:sz w:val="18"/>
                <w:szCs w:val="18"/>
              </w:rPr>
              <w:t>396 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CD3558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8572C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4917930" w14:textId="77777777" w:rsidR="00000000" w:rsidRDefault="00405D16">
            <w:pPr>
              <w:spacing w:after="100"/>
              <w:jc w:val="right"/>
              <w:rPr>
                <w:rFonts w:eastAsia="Times New Roman"/>
              </w:rPr>
            </w:pPr>
            <w:r>
              <w:rPr>
                <w:rFonts w:eastAsia="Times New Roman"/>
                <w:color w:val="000000"/>
                <w:sz w:val="18"/>
                <w:szCs w:val="18"/>
              </w:rPr>
              <w:t>(306)</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BE2FD0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12DB06"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4696652" w14:textId="77777777" w:rsidR="00000000" w:rsidRDefault="00405D16">
            <w:pPr>
              <w:spacing w:after="100"/>
              <w:jc w:val="right"/>
              <w:rPr>
                <w:rFonts w:eastAsia="Times New Roman"/>
              </w:rPr>
            </w:pPr>
            <w:r>
              <w:rPr>
                <w:rFonts w:eastAsia="Times New Roman"/>
                <w:color w:val="000000"/>
                <w:sz w:val="18"/>
                <w:szCs w:val="18"/>
              </w:rPr>
              <w:t>90 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A873C6B" w14:textId="77777777" w:rsidR="00000000" w:rsidRDefault="00405D16">
            <w:pPr>
              <w:spacing w:after="100"/>
              <w:jc w:val="right"/>
              <w:rPr>
                <w:rFonts w:eastAsia="Times New Roman"/>
              </w:rPr>
            </w:pPr>
          </w:p>
        </w:tc>
        <w:tc>
          <w:tcPr>
            <w:tcW w:w="0" w:type="auto"/>
            <w:vAlign w:val="center"/>
            <w:hideMark/>
          </w:tcPr>
          <w:p w14:paraId="7125AC89" w14:textId="77777777" w:rsidR="00000000" w:rsidRDefault="00405D16">
            <w:pPr>
              <w:spacing w:after="100"/>
              <w:jc w:val="right"/>
              <w:rPr>
                <w:rFonts w:eastAsia="Times New Roman"/>
                <w:sz w:val="20"/>
                <w:szCs w:val="20"/>
              </w:rPr>
            </w:pPr>
          </w:p>
        </w:tc>
        <w:tc>
          <w:tcPr>
            <w:tcW w:w="0" w:type="auto"/>
            <w:vAlign w:val="center"/>
            <w:hideMark/>
          </w:tcPr>
          <w:p w14:paraId="4D58F18A" w14:textId="77777777" w:rsidR="00000000" w:rsidRDefault="00405D16">
            <w:pPr>
              <w:spacing w:after="100"/>
              <w:rPr>
                <w:rFonts w:eastAsia="Times New Roman"/>
                <w:sz w:val="20"/>
                <w:szCs w:val="20"/>
              </w:rPr>
            </w:pPr>
          </w:p>
        </w:tc>
      </w:tr>
      <w:tr w:rsidR="00000000" w14:paraId="3410F0F2" w14:textId="77777777">
        <w:trPr>
          <w:divId w:val="349378579"/>
        </w:trPr>
        <w:tc>
          <w:tcPr>
            <w:tcW w:w="0" w:type="auto"/>
            <w:gridSpan w:val="3"/>
            <w:shd w:val="clear" w:color="auto" w:fill="FFFFFF"/>
            <w:tcMar>
              <w:top w:w="30" w:type="dxa"/>
              <w:left w:w="20" w:type="dxa"/>
              <w:bottom w:w="30" w:type="dxa"/>
              <w:right w:w="20" w:type="dxa"/>
            </w:tcMar>
            <w:vAlign w:val="center"/>
            <w:hideMark/>
          </w:tcPr>
          <w:p w14:paraId="24C79F26" w14:textId="77777777" w:rsidR="00000000" w:rsidRDefault="00405D16">
            <w:pPr>
              <w:spacing w:after="100"/>
              <w:rPr>
                <w:rFonts w:eastAsia="Times New Roman"/>
              </w:rPr>
            </w:pPr>
            <w:r>
              <w:rPr>
                <w:rFonts w:eastAsia="Times New Roman"/>
                <w:color w:val="000000"/>
                <w:sz w:val="18"/>
                <w:szCs w:val="18"/>
              </w:rPr>
              <w:t>Total goodwill and intangible assets</w:t>
            </w:r>
          </w:p>
        </w:tc>
        <w:tc>
          <w:tcPr>
            <w:tcW w:w="0" w:type="auto"/>
            <w:gridSpan w:val="3"/>
            <w:shd w:val="clear" w:color="auto" w:fill="FFFFFF"/>
            <w:tcMar>
              <w:top w:w="0" w:type="dxa"/>
              <w:left w:w="20" w:type="dxa"/>
              <w:bottom w:w="0" w:type="dxa"/>
              <w:right w:w="20" w:type="dxa"/>
            </w:tcMar>
            <w:vAlign w:val="center"/>
            <w:hideMark/>
          </w:tcPr>
          <w:p w14:paraId="19312F7A" w14:textId="77777777" w:rsidR="00000000" w:rsidRDefault="00405D16">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0EF7176B"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384A0AE9" w14:textId="77777777" w:rsidR="00000000" w:rsidRDefault="00405D16">
            <w:pPr>
              <w:spacing w:after="100"/>
              <w:jc w:val="right"/>
              <w:rPr>
                <w:rFonts w:eastAsia="Times New Roman"/>
              </w:rPr>
            </w:pPr>
            <w:r>
              <w:rPr>
                <w:rFonts w:eastAsia="Times New Roman"/>
                <w:color w:val="000000"/>
                <w:sz w:val="18"/>
                <w:szCs w:val="18"/>
              </w:rPr>
              <w:t>15,049 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B91587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FBECE7"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18BC36AF"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078A861C" w14:textId="77777777" w:rsidR="00000000" w:rsidRDefault="00405D16">
            <w:pPr>
              <w:spacing w:after="100"/>
              <w:jc w:val="right"/>
              <w:rPr>
                <w:rFonts w:eastAsia="Times New Roman"/>
              </w:rPr>
            </w:pPr>
            <w:r>
              <w:rPr>
                <w:rFonts w:eastAsia="Times New Roman"/>
                <w:color w:val="000000"/>
                <w:sz w:val="18"/>
                <w:szCs w:val="18"/>
              </w:rPr>
              <w:t>(306)</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8478BE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D0064D"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168E6D79"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710A88F4" w14:textId="77777777" w:rsidR="00000000" w:rsidRDefault="00405D16">
            <w:pPr>
              <w:spacing w:after="100"/>
              <w:jc w:val="right"/>
              <w:rPr>
                <w:rFonts w:eastAsia="Times New Roman"/>
              </w:rPr>
            </w:pPr>
            <w:r>
              <w:rPr>
                <w:rFonts w:eastAsia="Times New Roman"/>
                <w:color w:val="000000"/>
                <w:sz w:val="18"/>
                <w:szCs w:val="18"/>
              </w:rPr>
              <w:t>14,743 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C34FC37" w14:textId="77777777" w:rsidR="00000000" w:rsidRDefault="00405D16">
            <w:pPr>
              <w:spacing w:after="100"/>
              <w:jc w:val="right"/>
              <w:rPr>
                <w:rFonts w:eastAsia="Times New Roman"/>
              </w:rPr>
            </w:pPr>
          </w:p>
        </w:tc>
        <w:tc>
          <w:tcPr>
            <w:tcW w:w="0" w:type="auto"/>
            <w:vAlign w:val="center"/>
            <w:hideMark/>
          </w:tcPr>
          <w:p w14:paraId="57BCA252" w14:textId="77777777" w:rsidR="00000000" w:rsidRDefault="00405D16">
            <w:pPr>
              <w:spacing w:after="100"/>
              <w:jc w:val="right"/>
              <w:rPr>
                <w:rFonts w:eastAsia="Times New Roman"/>
                <w:sz w:val="20"/>
                <w:szCs w:val="20"/>
              </w:rPr>
            </w:pPr>
          </w:p>
        </w:tc>
        <w:tc>
          <w:tcPr>
            <w:tcW w:w="0" w:type="auto"/>
            <w:vAlign w:val="center"/>
            <w:hideMark/>
          </w:tcPr>
          <w:p w14:paraId="7AAC038B" w14:textId="77777777" w:rsidR="00000000" w:rsidRDefault="00405D16">
            <w:pPr>
              <w:spacing w:after="100"/>
              <w:rPr>
                <w:rFonts w:eastAsia="Times New Roman"/>
                <w:sz w:val="20"/>
                <w:szCs w:val="20"/>
              </w:rPr>
            </w:pPr>
          </w:p>
        </w:tc>
      </w:tr>
      <w:tr w:rsidR="00000000" w14:paraId="7D764492" w14:textId="77777777">
        <w:trPr>
          <w:divId w:val="349378579"/>
        </w:trPr>
        <w:tc>
          <w:tcPr>
            <w:tcW w:w="0" w:type="auto"/>
            <w:gridSpan w:val="3"/>
            <w:shd w:val="clear" w:color="auto" w:fill="CCEEFF"/>
            <w:tcMar>
              <w:top w:w="30" w:type="dxa"/>
              <w:left w:w="20" w:type="dxa"/>
              <w:bottom w:w="30" w:type="dxa"/>
              <w:right w:w="20" w:type="dxa"/>
            </w:tcMar>
            <w:vAlign w:val="center"/>
            <w:hideMark/>
          </w:tcPr>
          <w:p w14:paraId="08F83ABA" w14:textId="77777777" w:rsidR="00000000" w:rsidRDefault="00405D16">
            <w:pPr>
              <w:spacing w:after="100"/>
              <w:divId w:val="1077215811"/>
              <w:rPr>
                <w:rFonts w:eastAsia="Times New Roman"/>
              </w:rPr>
            </w:pPr>
            <w:r>
              <w:rPr>
                <w:rFonts w:eastAsia="Times New Roman"/>
                <w:color w:val="000000"/>
                <w:sz w:val="18"/>
                <w:szCs w:val="18"/>
              </w:rPr>
              <w:t>Commercial MSR</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35F197A3" w14:textId="77777777" w:rsidR="00000000" w:rsidRDefault="00405D16">
            <w:pPr>
              <w:spacing w:after="100"/>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1053062F"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5C20F4DE" w14:textId="77777777" w:rsidR="00000000" w:rsidRDefault="00405D16">
            <w:pPr>
              <w:spacing w:after="100"/>
              <w:jc w:val="right"/>
              <w:rPr>
                <w:rFonts w:eastAsia="Times New Roman"/>
              </w:rPr>
            </w:pPr>
            <w:r>
              <w:rPr>
                <w:rFonts w:eastAsia="Times New Roman"/>
                <w:color w:val="000000"/>
                <w:sz w:val="18"/>
                <w:szCs w:val="18"/>
              </w:rPr>
              <w:t>542 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775EC08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0D4A73" w14:textId="77777777" w:rsidR="00000000" w:rsidRDefault="00405D16">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5DEDC8DC"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063F8AC6" w14:textId="77777777" w:rsidR="00000000" w:rsidRDefault="00405D16">
            <w:pPr>
              <w:spacing w:after="100"/>
              <w:jc w:val="right"/>
              <w:rPr>
                <w:rFonts w:eastAsia="Times New Roman"/>
              </w:rPr>
            </w:pPr>
            <w:r>
              <w:rPr>
                <w:rFonts w:eastAsia="Times New Roman"/>
                <w:color w:val="000000"/>
                <w:sz w:val="18"/>
                <w:szCs w:val="18"/>
              </w:rPr>
              <w:t>(175)</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4EBB822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7D032A" w14:textId="77777777" w:rsidR="00000000" w:rsidRDefault="00405D16">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78EF126F"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06A324AA" w14:textId="77777777" w:rsidR="00000000" w:rsidRDefault="00405D16">
            <w:pPr>
              <w:spacing w:after="100"/>
              <w:jc w:val="right"/>
              <w:rPr>
                <w:rFonts w:eastAsia="Times New Roman"/>
              </w:rPr>
            </w:pPr>
            <w:r>
              <w:rPr>
                <w:rFonts w:eastAsia="Times New Roman"/>
                <w:color w:val="000000"/>
                <w:sz w:val="18"/>
                <w:szCs w:val="18"/>
              </w:rPr>
              <w:t>367 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3BC23672" w14:textId="77777777" w:rsidR="00000000" w:rsidRDefault="00405D16">
            <w:pPr>
              <w:spacing w:after="100"/>
              <w:jc w:val="right"/>
              <w:rPr>
                <w:rFonts w:eastAsia="Times New Roman"/>
              </w:rPr>
            </w:pPr>
          </w:p>
        </w:tc>
        <w:tc>
          <w:tcPr>
            <w:tcW w:w="0" w:type="auto"/>
            <w:vAlign w:val="center"/>
            <w:hideMark/>
          </w:tcPr>
          <w:p w14:paraId="24AF7F18" w14:textId="77777777" w:rsidR="00000000" w:rsidRDefault="00405D16">
            <w:pPr>
              <w:spacing w:after="100"/>
              <w:jc w:val="right"/>
              <w:rPr>
                <w:rFonts w:eastAsia="Times New Roman"/>
                <w:sz w:val="20"/>
                <w:szCs w:val="20"/>
              </w:rPr>
            </w:pPr>
          </w:p>
        </w:tc>
        <w:tc>
          <w:tcPr>
            <w:tcW w:w="0" w:type="auto"/>
            <w:vAlign w:val="center"/>
            <w:hideMark/>
          </w:tcPr>
          <w:p w14:paraId="7BAB80B9" w14:textId="77777777" w:rsidR="00000000" w:rsidRDefault="00405D16">
            <w:pPr>
              <w:spacing w:after="100"/>
              <w:rPr>
                <w:rFonts w:eastAsia="Times New Roman"/>
                <w:sz w:val="20"/>
                <w:szCs w:val="20"/>
              </w:rPr>
            </w:pPr>
          </w:p>
        </w:tc>
      </w:tr>
    </w:tbl>
    <w:p w14:paraId="3D318F8C" w14:textId="77777777" w:rsidR="00000000" w:rsidRDefault="00405D16">
      <w:pPr>
        <w:divId w:val="311375591"/>
        <w:rPr>
          <w:rFonts w:eastAsia="Times New Roman"/>
        </w:rPr>
      </w:pPr>
      <w:r>
        <w:rPr>
          <w:rFonts w:eastAsia="Times New Roman"/>
          <w:color w:val="000000"/>
          <w:sz w:val="20"/>
          <w:szCs w:val="20"/>
        </w:rPr>
        <w:t>__________</w:t>
      </w:r>
    </w:p>
    <w:p w14:paraId="315CC71A" w14:textId="77777777" w:rsidR="00000000" w:rsidRDefault="00405D16">
      <w:pPr>
        <w:ind w:hanging="360"/>
        <w:jc w:val="both"/>
        <w:divId w:val="1583366633"/>
        <w:rPr>
          <w:rFonts w:eastAsia="Times New Roman"/>
        </w:rPr>
      </w:pPr>
      <w:r>
        <w:rPr>
          <w:rFonts w:eastAsia="Times New Roman"/>
          <w:color w:val="000000"/>
          <w:sz w:val="10"/>
          <w:szCs w:val="10"/>
          <w:shd w:val="clear" w:color="auto" w:fill="FFFFFF"/>
        </w:rPr>
        <w:t>(1</w:t>
      </w:r>
      <w:r>
        <w:rPr>
          <w:rFonts w:eastAsia="Times New Roman"/>
          <w:color w:val="000000"/>
          <w:sz w:val="10"/>
          <w:szCs w:val="10"/>
          <w:shd w:val="clear" w:color="auto" w:fill="FFFFFF"/>
        </w:rPr>
        <w:t>)</w:t>
      </w:r>
      <w:r>
        <w:rPr>
          <w:rFonts w:eastAsia="Times New Roman"/>
          <w:color w:val="000000"/>
          <w:sz w:val="16"/>
          <w:szCs w:val="16"/>
          <w:shd w:val="clear" w:color="auto" w:fill="FFFFFF"/>
        </w:rPr>
        <w:t>Primarily consists of intangibles for sponsorship, customer and merchant relationships, partnership, trade name and other contract intangibles.</w:t>
      </w:r>
    </w:p>
    <w:p w14:paraId="4F4EF0BC" w14:textId="77777777" w:rsidR="00000000" w:rsidRDefault="00405D16">
      <w:pPr>
        <w:ind w:hanging="360"/>
        <w:jc w:val="both"/>
        <w:divId w:val="599293904"/>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Commercial MSRs are accounted for under the amortization method on our consolidated balance sheets. </w:t>
      </w:r>
    </w:p>
    <w:p w14:paraId="2276304B" w14:textId="77777777" w:rsidR="00000000" w:rsidRDefault="00405D16">
      <w:pPr>
        <w:jc w:val="both"/>
        <w:divId w:val="1894804341"/>
        <w:rPr>
          <w:rFonts w:eastAsia="Times New Roman"/>
        </w:rPr>
      </w:pPr>
      <w:r>
        <w:rPr>
          <w:rFonts w:eastAsia="Times New Roman"/>
          <w:color w:val="000000"/>
          <w:sz w:val="20"/>
          <w:szCs w:val="20"/>
        </w:rPr>
        <w:t>Amortiza</w:t>
      </w:r>
      <w:r>
        <w:rPr>
          <w:rFonts w:eastAsia="Times New Roman"/>
          <w:color w:val="000000"/>
          <w:sz w:val="20"/>
          <w:szCs w:val="20"/>
        </w:rPr>
        <w:t>tion expense for amortizable intangible assets, which is presented separately in our consolidated statements of income, totaled $5 million and $16 million for the three and nine months ended September 30, 2021, respectively, and $14 million and $52 million</w:t>
      </w:r>
      <w:r>
        <w:rPr>
          <w:rFonts w:eastAsia="Times New Roman"/>
          <w:color w:val="000000"/>
          <w:sz w:val="20"/>
          <w:szCs w:val="20"/>
        </w:rPr>
        <w:t xml:space="preserve"> for the three and nine months ended September 30, 2020, respectively.</w:t>
      </w:r>
    </w:p>
    <w:p w14:paraId="2B27787A" w14:textId="77777777" w:rsidR="00000000" w:rsidRDefault="00405D16">
      <w:pPr>
        <w:divId w:val="214973806"/>
        <w:rPr>
          <w:rFonts w:eastAsia="Times New Roman"/>
        </w:rPr>
      </w:pPr>
      <w:r>
        <w:rPr>
          <w:rFonts w:eastAsia="Times New Roman"/>
          <w:b/>
          <w:bCs/>
          <w:color w:val="000000"/>
          <w:sz w:val="20"/>
          <w:szCs w:val="20"/>
        </w:rPr>
        <w:t>Goodwill</w:t>
      </w:r>
    </w:p>
    <w:p w14:paraId="2445A1E2" w14:textId="77777777" w:rsidR="00000000" w:rsidRDefault="00405D16">
      <w:pPr>
        <w:divId w:val="876350856"/>
        <w:rPr>
          <w:rFonts w:eastAsia="Times New Roman"/>
        </w:rPr>
      </w:pPr>
      <w:r>
        <w:rPr>
          <w:rFonts w:eastAsia="Times New Roman"/>
          <w:color w:val="000000"/>
          <w:sz w:val="20"/>
          <w:szCs w:val="20"/>
        </w:rPr>
        <w:t>The following table presents changes in carrying amount of goodwill by each of our business segments as of September 30, 2021 and December 31, 2020.</w:t>
      </w:r>
    </w:p>
    <w:p w14:paraId="1E603278" w14:textId="77777777" w:rsidR="00000000" w:rsidRDefault="00405D16">
      <w:pPr>
        <w:divId w:val="647900088"/>
        <w:rPr>
          <w:rFonts w:eastAsia="Times New Roman"/>
        </w:rPr>
      </w:pPr>
      <w:r>
        <w:rPr>
          <w:rFonts w:eastAsia="Times New Roman"/>
          <w:b/>
          <w:bCs/>
          <w:color w:val="000000"/>
          <w:sz w:val="18"/>
          <w:szCs w:val="18"/>
        </w:rPr>
        <w:t>Table 6.2: Goodwill by Busi</w:t>
      </w:r>
      <w:r>
        <w:rPr>
          <w:rFonts w:eastAsia="Times New Roman"/>
          <w:b/>
          <w:bCs/>
          <w:color w:val="000000"/>
          <w:sz w:val="18"/>
          <w:szCs w:val="18"/>
        </w:rPr>
        <w:t>ness Segments</w:t>
      </w:r>
    </w:p>
    <w:tbl>
      <w:tblPr>
        <w:tblW w:w="4978" w:type="pct"/>
        <w:tblCellMar>
          <w:top w:w="15" w:type="dxa"/>
          <w:left w:w="15" w:type="dxa"/>
          <w:bottom w:w="15" w:type="dxa"/>
          <w:right w:w="15" w:type="dxa"/>
        </w:tblCellMar>
        <w:tblLook w:val="04A0" w:firstRow="1" w:lastRow="0" w:firstColumn="1" w:lastColumn="0" w:noHBand="0" w:noVBand="1"/>
      </w:tblPr>
      <w:tblGrid>
        <w:gridCol w:w="39"/>
        <w:gridCol w:w="4652"/>
        <w:gridCol w:w="38"/>
        <w:gridCol w:w="36"/>
        <w:gridCol w:w="36"/>
        <w:gridCol w:w="36"/>
        <w:gridCol w:w="110"/>
        <w:gridCol w:w="533"/>
        <w:gridCol w:w="36"/>
        <w:gridCol w:w="36"/>
        <w:gridCol w:w="36"/>
        <w:gridCol w:w="36"/>
        <w:gridCol w:w="111"/>
        <w:gridCol w:w="666"/>
        <w:gridCol w:w="36"/>
        <w:gridCol w:w="36"/>
        <w:gridCol w:w="36"/>
        <w:gridCol w:w="36"/>
        <w:gridCol w:w="111"/>
        <w:gridCol w:w="783"/>
        <w:gridCol w:w="36"/>
        <w:gridCol w:w="36"/>
        <w:gridCol w:w="36"/>
        <w:gridCol w:w="36"/>
        <w:gridCol w:w="110"/>
        <w:gridCol w:w="540"/>
        <w:gridCol w:w="36"/>
      </w:tblGrid>
      <w:tr w:rsidR="00000000" w14:paraId="1777E130" w14:textId="77777777">
        <w:trPr>
          <w:divId w:val="1396200894"/>
        </w:trPr>
        <w:tc>
          <w:tcPr>
            <w:tcW w:w="50" w:type="pct"/>
            <w:vAlign w:val="center"/>
            <w:hideMark/>
          </w:tcPr>
          <w:p w14:paraId="6B7CF77D" w14:textId="77777777" w:rsidR="00000000" w:rsidRDefault="00405D16">
            <w:pPr>
              <w:rPr>
                <w:rFonts w:eastAsia="Times New Roman"/>
              </w:rPr>
            </w:pPr>
          </w:p>
        </w:tc>
        <w:tc>
          <w:tcPr>
            <w:tcW w:w="2889" w:type="pct"/>
            <w:vAlign w:val="center"/>
            <w:hideMark/>
          </w:tcPr>
          <w:p w14:paraId="342F64B5" w14:textId="77777777" w:rsidR="00000000" w:rsidRDefault="00405D16">
            <w:pPr>
              <w:spacing w:after="100"/>
              <w:rPr>
                <w:rFonts w:eastAsia="Times New Roman"/>
                <w:sz w:val="20"/>
                <w:szCs w:val="20"/>
              </w:rPr>
            </w:pPr>
          </w:p>
        </w:tc>
        <w:tc>
          <w:tcPr>
            <w:tcW w:w="5" w:type="pct"/>
            <w:vAlign w:val="center"/>
            <w:hideMark/>
          </w:tcPr>
          <w:p w14:paraId="1937359E" w14:textId="77777777" w:rsidR="00000000" w:rsidRDefault="00405D16">
            <w:pPr>
              <w:spacing w:after="100"/>
              <w:rPr>
                <w:rFonts w:eastAsia="Times New Roman"/>
                <w:sz w:val="20"/>
                <w:szCs w:val="20"/>
              </w:rPr>
            </w:pPr>
          </w:p>
        </w:tc>
        <w:tc>
          <w:tcPr>
            <w:tcW w:w="5" w:type="pct"/>
            <w:vAlign w:val="center"/>
            <w:hideMark/>
          </w:tcPr>
          <w:p w14:paraId="7610BB46" w14:textId="77777777" w:rsidR="00000000" w:rsidRDefault="00405D16">
            <w:pPr>
              <w:spacing w:after="100"/>
              <w:rPr>
                <w:rFonts w:eastAsia="Times New Roman"/>
                <w:sz w:val="20"/>
                <w:szCs w:val="20"/>
              </w:rPr>
            </w:pPr>
          </w:p>
        </w:tc>
        <w:tc>
          <w:tcPr>
            <w:tcW w:w="26" w:type="pct"/>
            <w:vAlign w:val="center"/>
            <w:hideMark/>
          </w:tcPr>
          <w:p w14:paraId="7AED5434" w14:textId="77777777" w:rsidR="00000000" w:rsidRDefault="00405D16">
            <w:pPr>
              <w:spacing w:after="100"/>
              <w:rPr>
                <w:rFonts w:eastAsia="Times New Roman"/>
                <w:sz w:val="20"/>
                <w:szCs w:val="20"/>
              </w:rPr>
            </w:pPr>
          </w:p>
        </w:tc>
        <w:tc>
          <w:tcPr>
            <w:tcW w:w="5" w:type="pct"/>
            <w:vAlign w:val="center"/>
            <w:hideMark/>
          </w:tcPr>
          <w:p w14:paraId="7DC43EC1" w14:textId="77777777" w:rsidR="00000000" w:rsidRDefault="00405D16">
            <w:pPr>
              <w:spacing w:after="100"/>
              <w:rPr>
                <w:rFonts w:eastAsia="Times New Roman"/>
                <w:sz w:val="20"/>
                <w:szCs w:val="20"/>
              </w:rPr>
            </w:pPr>
          </w:p>
        </w:tc>
        <w:tc>
          <w:tcPr>
            <w:tcW w:w="50" w:type="pct"/>
            <w:vAlign w:val="center"/>
            <w:hideMark/>
          </w:tcPr>
          <w:p w14:paraId="6CA879A8" w14:textId="77777777" w:rsidR="00000000" w:rsidRDefault="00405D16">
            <w:pPr>
              <w:spacing w:after="100"/>
              <w:rPr>
                <w:rFonts w:eastAsia="Times New Roman"/>
                <w:sz w:val="20"/>
                <w:szCs w:val="20"/>
              </w:rPr>
            </w:pPr>
          </w:p>
        </w:tc>
        <w:tc>
          <w:tcPr>
            <w:tcW w:w="422" w:type="pct"/>
            <w:vAlign w:val="center"/>
            <w:hideMark/>
          </w:tcPr>
          <w:p w14:paraId="16501280" w14:textId="77777777" w:rsidR="00000000" w:rsidRDefault="00405D16">
            <w:pPr>
              <w:spacing w:after="100"/>
              <w:rPr>
                <w:rFonts w:eastAsia="Times New Roman"/>
                <w:sz w:val="20"/>
                <w:szCs w:val="20"/>
              </w:rPr>
            </w:pPr>
          </w:p>
        </w:tc>
        <w:tc>
          <w:tcPr>
            <w:tcW w:w="5" w:type="pct"/>
            <w:vAlign w:val="center"/>
            <w:hideMark/>
          </w:tcPr>
          <w:p w14:paraId="18E284B4" w14:textId="77777777" w:rsidR="00000000" w:rsidRDefault="00405D16">
            <w:pPr>
              <w:spacing w:after="100"/>
              <w:rPr>
                <w:rFonts w:eastAsia="Times New Roman"/>
                <w:sz w:val="20"/>
                <w:szCs w:val="20"/>
              </w:rPr>
            </w:pPr>
          </w:p>
        </w:tc>
        <w:tc>
          <w:tcPr>
            <w:tcW w:w="5" w:type="pct"/>
            <w:vAlign w:val="center"/>
            <w:hideMark/>
          </w:tcPr>
          <w:p w14:paraId="4509BCD1" w14:textId="77777777" w:rsidR="00000000" w:rsidRDefault="00405D16">
            <w:pPr>
              <w:spacing w:after="100"/>
              <w:rPr>
                <w:rFonts w:eastAsia="Times New Roman"/>
                <w:sz w:val="20"/>
                <w:szCs w:val="20"/>
              </w:rPr>
            </w:pPr>
          </w:p>
        </w:tc>
        <w:tc>
          <w:tcPr>
            <w:tcW w:w="26" w:type="pct"/>
            <w:vAlign w:val="center"/>
            <w:hideMark/>
          </w:tcPr>
          <w:p w14:paraId="219D6615" w14:textId="77777777" w:rsidR="00000000" w:rsidRDefault="00405D16">
            <w:pPr>
              <w:spacing w:after="100"/>
              <w:rPr>
                <w:rFonts w:eastAsia="Times New Roman"/>
                <w:sz w:val="20"/>
                <w:szCs w:val="20"/>
              </w:rPr>
            </w:pPr>
          </w:p>
        </w:tc>
        <w:tc>
          <w:tcPr>
            <w:tcW w:w="5" w:type="pct"/>
            <w:vAlign w:val="center"/>
            <w:hideMark/>
          </w:tcPr>
          <w:p w14:paraId="2E620A66" w14:textId="77777777" w:rsidR="00000000" w:rsidRDefault="00405D16">
            <w:pPr>
              <w:spacing w:after="100"/>
              <w:rPr>
                <w:rFonts w:eastAsia="Times New Roman"/>
                <w:sz w:val="20"/>
                <w:szCs w:val="20"/>
              </w:rPr>
            </w:pPr>
          </w:p>
        </w:tc>
        <w:tc>
          <w:tcPr>
            <w:tcW w:w="50" w:type="pct"/>
            <w:vAlign w:val="center"/>
            <w:hideMark/>
          </w:tcPr>
          <w:p w14:paraId="0235AB92" w14:textId="77777777" w:rsidR="00000000" w:rsidRDefault="00405D16">
            <w:pPr>
              <w:spacing w:after="100"/>
              <w:rPr>
                <w:rFonts w:eastAsia="Times New Roman"/>
                <w:sz w:val="20"/>
                <w:szCs w:val="20"/>
              </w:rPr>
            </w:pPr>
          </w:p>
        </w:tc>
        <w:tc>
          <w:tcPr>
            <w:tcW w:w="422" w:type="pct"/>
            <w:vAlign w:val="center"/>
            <w:hideMark/>
          </w:tcPr>
          <w:p w14:paraId="6003C293" w14:textId="77777777" w:rsidR="00000000" w:rsidRDefault="00405D16">
            <w:pPr>
              <w:spacing w:after="100"/>
              <w:rPr>
                <w:rFonts w:eastAsia="Times New Roman"/>
                <w:sz w:val="20"/>
                <w:szCs w:val="20"/>
              </w:rPr>
            </w:pPr>
          </w:p>
        </w:tc>
        <w:tc>
          <w:tcPr>
            <w:tcW w:w="5" w:type="pct"/>
            <w:vAlign w:val="center"/>
            <w:hideMark/>
          </w:tcPr>
          <w:p w14:paraId="0B4C66A3" w14:textId="77777777" w:rsidR="00000000" w:rsidRDefault="00405D16">
            <w:pPr>
              <w:spacing w:after="100"/>
              <w:rPr>
                <w:rFonts w:eastAsia="Times New Roman"/>
                <w:sz w:val="20"/>
                <w:szCs w:val="20"/>
              </w:rPr>
            </w:pPr>
          </w:p>
        </w:tc>
        <w:tc>
          <w:tcPr>
            <w:tcW w:w="5" w:type="pct"/>
            <w:vAlign w:val="center"/>
            <w:hideMark/>
          </w:tcPr>
          <w:p w14:paraId="0D0A2E8B" w14:textId="77777777" w:rsidR="00000000" w:rsidRDefault="00405D16">
            <w:pPr>
              <w:spacing w:after="100"/>
              <w:rPr>
                <w:rFonts w:eastAsia="Times New Roman"/>
                <w:sz w:val="20"/>
                <w:szCs w:val="20"/>
              </w:rPr>
            </w:pPr>
          </w:p>
        </w:tc>
        <w:tc>
          <w:tcPr>
            <w:tcW w:w="26" w:type="pct"/>
            <w:vAlign w:val="center"/>
            <w:hideMark/>
          </w:tcPr>
          <w:p w14:paraId="5AA84E3B" w14:textId="77777777" w:rsidR="00000000" w:rsidRDefault="00405D16">
            <w:pPr>
              <w:spacing w:after="100"/>
              <w:rPr>
                <w:rFonts w:eastAsia="Times New Roman"/>
                <w:sz w:val="20"/>
                <w:szCs w:val="20"/>
              </w:rPr>
            </w:pPr>
          </w:p>
        </w:tc>
        <w:tc>
          <w:tcPr>
            <w:tcW w:w="5" w:type="pct"/>
            <w:vAlign w:val="center"/>
            <w:hideMark/>
          </w:tcPr>
          <w:p w14:paraId="05CE0F12" w14:textId="77777777" w:rsidR="00000000" w:rsidRDefault="00405D16">
            <w:pPr>
              <w:spacing w:after="100"/>
              <w:rPr>
                <w:rFonts w:eastAsia="Times New Roman"/>
                <w:sz w:val="20"/>
                <w:szCs w:val="20"/>
              </w:rPr>
            </w:pPr>
          </w:p>
        </w:tc>
        <w:tc>
          <w:tcPr>
            <w:tcW w:w="50" w:type="pct"/>
            <w:vAlign w:val="center"/>
            <w:hideMark/>
          </w:tcPr>
          <w:p w14:paraId="4D24CCA7" w14:textId="77777777" w:rsidR="00000000" w:rsidRDefault="00405D16">
            <w:pPr>
              <w:spacing w:after="100"/>
              <w:rPr>
                <w:rFonts w:eastAsia="Times New Roman"/>
                <w:sz w:val="20"/>
                <w:szCs w:val="20"/>
              </w:rPr>
            </w:pPr>
          </w:p>
        </w:tc>
        <w:tc>
          <w:tcPr>
            <w:tcW w:w="422" w:type="pct"/>
            <w:vAlign w:val="center"/>
            <w:hideMark/>
          </w:tcPr>
          <w:p w14:paraId="17CBF577" w14:textId="77777777" w:rsidR="00000000" w:rsidRDefault="00405D16">
            <w:pPr>
              <w:spacing w:after="100"/>
              <w:rPr>
                <w:rFonts w:eastAsia="Times New Roman"/>
                <w:sz w:val="20"/>
                <w:szCs w:val="20"/>
              </w:rPr>
            </w:pPr>
          </w:p>
        </w:tc>
        <w:tc>
          <w:tcPr>
            <w:tcW w:w="5" w:type="pct"/>
            <w:vAlign w:val="center"/>
            <w:hideMark/>
          </w:tcPr>
          <w:p w14:paraId="0694A50F" w14:textId="77777777" w:rsidR="00000000" w:rsidRDefault="00405D16">
            <w:pPr>
              <w:spacing w:after="100"/>
              <w:rPr>
                <w:rFonts w:eastAsia="Times New Roman"/>
                <w:sz w:val="20"/>
                <w:szCs w:val="20"/>
              </w:rPr>
            </w:pPr>
          </w:p>
        </w:tc>
        <w:tc>
          <w:tcPr>
            <w:tcW w:w="5" w:type="pct"/>
            <w:vAlign w:val="center"/>
            <w:hideMark/>
          </w:tcPr>
          <w:p w14:paraId="0F8CE73A" w14:textId="77777777" w:rsidR="00000000" w:rsidRDefault="00405D16">
            <w:pPr>
              <w:spacing w:after="100"/>
              <w:rPr>
                <w:rFonts w:eastAsia="Times New Roman"/>
                <w:sz w:val="20"/>
                <w:szCs w:val="20"/>
              </w:rPr>
            </w:pPr>
          </w:p>
        </w:tc>
        <w:tc>
          <w:tcPr>
            <w:tcW w:w="26" w:type="pct"/>
            <w:vAlign w:val="center"/>
            <w:hideMark/>
          </w:tcPr>
          <w:p w14:paraId="2B8F4715" w14:textId="77777777" w:rsidR="00000000" w:rsidRDefault="00405D16">
            <w:pPr>
              <w:spacing w:after="100"/>
              <w:rPr>
                <w:rFonts w:eastAsia="Times New Roman"/>
                <w:sz w:val="20"/>
                <w:szCs w:val="20"/>
              </w:rPr>
            </w:pPr>
          </w:p>
        </w:tc>
        <w:tc>
          <w:tcPr>
            <w:tcW w:w="5" w:type="pct"/>
            <w:vAlign w:val="center"/>
            <w:hideMark/>
          </w:tcPr>
          <w:p w14:paraId="32A6AE25" w14:textId="77777777" w:rsidR="00000000" w:rsidRDefault="00405D16">
            <w:pPr>
              <w:spacing w:after="100"/>
              <w:rPr>
                <w:rFonts w:eastAsia="Times New Roman"/>
                <w:sz w:val="20"/>
                <w:szCs w:val="20"/>
              </w:rPr>
            </w:pPr>
          </w:p>
        </w:tc>
        <w:tc>
          <w:tcPr>
            <w:tcW w:w="50" w:type="pct"/>
            <w:vAlign w:val="center"/>
            <w:hideMark/>
          </w:tcPr>
          <w:p w14:paraId="3F73A027" w14:textId="77777777" w:rsidR="00000000" w:rsidRDefault="00405D16">
            <w:pPr>
              <w:spacing w:after="100"/>
              <w:rPr>
                <w:rFonts w:eastAsia="Times New Roman"/>
                <w:sz w:val="20"/>
                <w:szCs w:val="20"/>
              </w:rPr>
            </w:pPr>
          </w:p>
        </w:tc>
        <w:tc>
          <w:tcPr>
            <w:tcW w:w="422" w:type="pct"/>
            <w:vAlign w:val="center"/>
            <w:hideMark/>
          </w:tcPr>
          <w:p w14:paraId="51D3C26C" w14:textId="77777777" w:rsidR="00000000" w:rsidRDefault="00405D16">
            <w:pPr>
              <w:spacing w:after="100"/>
              <w:rPr>
                <w:rFonts w:eastAsia="Times New Roman"/>
                <w:sz w:val="20"/>
                <w:szCs w:val="20"/>
              </w:rPr>
            </w:pPr>
          </w:p>
        </w:tc>
        <w:tc>
          <w:tcPr>
            <w:tcW w:w="5" w:type="pct"/>
            <w:vAlign w:val="center"/>
            <w:hideMark/>
          </w:tcPr>
          <w:p w14:paraId="43D6834C" w14:textId="77777777" w:rsidR="00000000" w:rsidRDefault="00405D16">
            <w:pPr>
              <w:spacing w:after="100"/>
              <w:rPr>
                <w:rFonts w:eastAsia="Times New Roman"/>
                <w:sz w:val="20"/>
                <w:szCs w:val="20"/>
              </w:rPr>
            </w:pPr>
          </w:p>
        </w:tc>
      </w:tr>
      <w:tr w:rsidR="00000000" w14:paraId="6E84367D" w14:textId="77777777">
        <w:trPr>
          <w:divId w:val="1396200894"/>
        </w:trPr>
        <w:tc>
          <w:tcPr>
            <w:tcW w:w="0" w:type="auto"/>
            <w:gridSpan w:val="3"/>
            <w:tcMar>
              <w:top w:w="30" w:type="dxa"/>
              <w:left w:w="20" w:type="dxa"/>
              <w:bottom w:w="30" w:type="dxa"/>
              <w:right w:w="20" w:type="dxa"/>
            </w:tcMar>
            <w:vAlign w:val="bottom"/>
            <w:hideMark/>
          </w:tcPr>
          <w:p w14:paraId="6D06BB76"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36529395" w14:textId="77777777" w:rsidR="00000000" w:rsidRDefault="00405D16">
            <w:pPr>
              <w:spacing w:after="100"/>
              <w:rPr>
                <w:rFonts w:eastAsia="Times New Roman"/>
              </w:rPr>
            </w:pPr>
          </w:p>
        </w:tc>
        <w:tc>
          <w:tcPr>
            <w:tcW w:w="0" w:type="auto"/>
            <w:gridSpan w:val="3"/>
            <w:tcMar>
              <w:top w:w="30" w:type="dxa"/>
              <w:left w:w="20" w:type="dxa"/>
              <w:bottom w:w="30" w:type="dxa"/>
              <w:right w:w="20" w:type="dxa"/>
            </w:tcMar>
            <w:vAlign w:val="bottom"/>
            <w:hideMark/>
          </w:tcPr>
          <w:p w14:paraId="18F47C65" w14:textId="77777777" w:rsidR="00000000" w:rsidRDefault="00405D16">
            <w:pPr>
              <w:spacing w:after="100"/>
              <w:jc w:val="center"/>
              <w:rPr>
                <w:rFonts w:eastAsia="Times New Roman"/>
              </w:rPr>
            </w:pPr>
            <w:r>
              <w:rPr>
                <w:rFonts w:eastAsia="Times New Roman"/>
                <w:b/>
                <w:bCs/>
                <w:color w:val="000000"/>
                <w:sz w:val="16"/>
                <w:szCs w:val="16"/>
              </w:rPr>
              <w:t>Credit Card</w:t>
            </w:r>
          </w:p>
        </w:tc>
        <w:tc>
          <w:tcPr>
            <w:tcW w:w="0" w:type="auto"/>
            <w:gridSpan w:val="3"/>
            <w:tcMar>
              <w:top w:w="0" w:type="dxa"/>
              <w:left w:w="20" w:type="dxa"/>
              <w:bottom w:w="0" w:type="dxa"/>
              <w:right w:w="20" w:type="dxa"/>
            </w:tcMar>
            <w:vAlign w:val="center"/>
            <w:hideMark/>
          </w:tcPr>
          <w:p w14:paraId="7654EA2E"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2A8EF75" w14:textId="77777777" w:rsidR="00000000" w:rsidRDefault="00405D16">
            <w:pPr>
              <w:spacing w:after="100"/>
              <w:jc w:val="center"/>
              <w:rPr>
                <w:rFonts w:eastAsia="Times New Roman"/>
              </w:rPr>
            </w:pPr>
            <w:r>
              <w:rPr>
                <w:rFonts w:eastAsia="Times New Roman"/>
                <w:b/>
                <w:bCs/>
                <w:color w:val="000000"/>
                <w:sz w:val="16"/>
                <w:szCs w:val="16"/>
              </w:rPr>
              <w:t>Consumer Banking</w:t>
            </w:r>
          </w:p>
        </w:tc>
        <w:tc>
          <w:tcPr>
            <w:tcW w:w="0" w:type="auto"/>
            <w:gridSpan w:val="3"/>
            <w:tcMar>
              <w:top w:w="0" w:type="dxa"/>
              <w:left w:w="20" w:type="dxa"/>
              <w:bottom w:w="0" w:type="dxa"/>
              <w:right w:w="20" w:type="dxa"/>
            </w:tcMar>
            <w:vAlign w:val="center"/>
            <w:hideMark/>
          </w:tcPr>
          <w:p w14:paraId="15F72204"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4E0A402" w14:textId="77777777" w:rsidR="00000000" w:rsidRDefault="00405D16">
            <w:pPr>
              <w:spacing w:after="100"/>
              <w:jc w:val="center"/>
              <w:rPr>
                <w:rFonts w:eastAsia="Times New Roman"/>
              </w:rPr>
            </w:pPr>
            <w:r>
              <w:rPr>
                <w:rFonts w:eastAsia="Times New Roman"/>
                <w:b/>
                <w:bCs/>
                <w:color w:val="000000"/>
                <w:sz w:val="16"/>
                <w:szCs w:val="16"/>
              </w:rPr>
              <w:t>Commercial Banking</w:t>
            </w:r>
          </w:p>
        </w:tc>
        <w:tc>
          <w:tcPr>
            <w:tcW w:w="0" w:type="auto"/>
            <w:gridSpan w:val="3"/>
            <w:tcMar>
              <w:top w:w="0" w:type="dxa"/>
              <w:left w:w="20" w:type="dxa"/>
              <w:bottom w:w="0" w:type="dxa"/>
              <w:right w:w="20" w:type="dxa"/>
            </w:tcMar>
            <w:vAlign w:val="center"/>
            <w:hideMark/>
          </w:tcPr>
          <w:p w14:paraId="7900AF2C"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A4D3202" w14:textId="77777777" w:rsidR="00000000" w:rsidRDefault="00405D16">
            <w:pPr>
              <w:spacing w:after="100"/>
              <w:jc w:val="center"/>
              <w:rPr>
                <w:rFonts w:eastAsia="Times New Roman"/>
              </w:rPr>
            </w:pPr>
            <w:r>
              <w:rPr>
                <w:rFonts w:eastAsia="Times New Roman"/>
                <w:b/>
                <w:bCs/>
                <w:color w:val="000000"/>
                <w:sz w:val="16"/>
                <w:szCs w:val="16"/>
              </w:rPr>
              <w:t>Total</w:t>
            </w:r>
          </w:p>
        </w:tc>
      </w:tr>
      <w:tr w:rsidR="00000000" w14:paraId="2D66C6C5" w14:textId="77777777">
        <w:trPr>
          <w:divId w:val="1396200894"/>
        </w:trPr>
        <w:tc>
          <w:tcPr>
            <w:tcW w:w="0" w:type="auto"/>
            <w:gridSpan w:val="3"/>
            <w:vAlign w:val="center"/>
            <w:hideMark/>
          </w:tcPr>
          <w:p w14:paraId="612B495A" w14:textId="77777777" w:rsidR="00000000" w:rsidRDefault="00405D16">
            <w:pPr>
              <w:spacing w:after="100"/>
              <w:jc w:val="center"/>
              <w:rPr>
                <w:rFonts w:eastAsia="Times New Roman"/>
              </w:rPr>
            </w:pPr>
          </w:p>
        </w:tc>
        <w:tc>
          <w:tcPr>
            <w:tcW w:w="0" w:type="auto"/>
            <w:gridSpan w:val="3"/>
            <w:vAlign w:val="center"/>
            <w:hideMark/>
          </w:tcPr>
          <w:p w14:paraId="54A9E9EB" w14:textId="77777777" w:rsidR="00000000" w:rsidRDefault="00405D16">
            <w:pPr>
              <w:spacing w:after="100"/>
              <w:rPr>
                <w:rFonts w:eastAsia="Times New Roman"/>
                <w:sz w:val="20"/>
                <w:szCs w:val="20"/>
              </w:rPr>
            </w:pPr>
          </w:p>
        </w:tc>
        <w:tc>
          <w:tcPr>
            <w:tcW w:w="0" w:type="auto"/>
            <w:gridSpan w:val="3"/>
            <w:vAlign w:val="center"/>
            <w:hideMark/>
          </w:tcPr>
          <w:p w14:paraId="157FCF9D" w14:textId="77777777" w:rsidR="00000000" w:rsidRDefault="00405D16">
            <w:pPr>
              <w:spacing w:after="100"/>
              <w:rPr>
                <w:rFonts w:eastAsia="Times New Roman"/>
                <w:sz w:val="20"/>
                <w:szCs w:val="20"/>
              </w:rPr>
            </w:pPr>
          </w:p>
        </w:tc>
        <w:tc>
          <w:tcPr>
            <w:tcW w:w="0" w:type="auto"/>
            <w:gridSpan w:val="3"/>
            <w:vAlign w:val="center"/>
            <w:hideMark/>
          </w:tcPr>
          <w:p w14:paraId="634C7B72" w14:textId="77777777" w:rsidR="00000000" w:rsidRDefault="00405D16">
            <w:pPr>
              <w:spacing w:after="100"/>
              <w:rPr>
                <w:rFonts w:eastAsia="Times New Roman"/>
                <w:sz w:val="20"/>
                <w:szCs w:val="20"/>
              </w:rPr>
            </w:pPr>
          </w:p>
        </w:tc>
        <w:tc>
          <w:tcPr>
            <w:tcW w:w="0" w:type="auto"/>
            <w:gridSpan w:val="3"/>
            <w:vAlign w:val="center"/>
            <w:hideMark/>
          </w:tcPr>
          <w:p w14:paraId="0828B436" w14:textId="77777777" w:rsidR="00000000" w:rsidRDefault="00405D16">
            <w:pPr>
              <w:spacing w:after="100"/>
              <w:rPr>
                <w:rFonts w:eastAsia="Times New Roman"/>
                <w:sz w:val="20"/>
                <w:szCs w:val="20"/>
              </w:rPr>
            </w:pPr>
          </w:p>
        </w:tc>
        <w:tc>
          <w:tcPr>
            <w:tcW w:w="0" w:type="auto"/>
            <w:gridSpan w:val="3"/>
            <w:vAlign w:val="center"/>
            <w:hideMark/>
          </w:tcPr>
          <w:p w14:paraId="1C962F65" w14:textId="77777777" w:rsidR="00000000" w:rsidRDefault="00405D16">
            <w:pPr>
              <w:spacing w:after="100"/>
              <w:rPr>
                <w:rFonts w:eastAsia="Times New Roman"/>
                <w:sz w:val="20"/>
                <w:szCs w:val="20"/>
              </w:rPr>
            </w:pPr>
          </w:p>
        </w:tc>
        <w:tc>
          <w:tcPr>
            <w:tcW w:w="0" w:type="auto"/>
            <w:gridSpan w:val="3"/>
            <w:vAlign w:val="center"/>
            <w:hideMark/>
          </w:tcPr>
          <w:p w14:paraId="48A4FCE0" w14:textId="77777777" w:rsidR="00000000" w:rsidRDefault="00405D16">
            <w:pPr>
              <w:spacing w:after="100"/>
              <w:rPr>
                <w:rFonts w:eastAsia="Times New Roman"/>
                <w:sz w:val="20"/>
                <w:szCs w:val="20"/>
              </w:rPr>
            </w:pPr>
          </w:p>
        </w:tc>
        <w:tc>
          <w:tcPr>
            <w:tcW w:w="0" w:type="auto"/>
            <w:gridSpan w:val="3"/>
            <w:vAlign w:val="center"/>
            <w:hideMark/>
          </w:tcPr>
          <w:p w14:paraId="7C85E647" w14:textId="77777777" w:rsidR="00000000" w:rsidRDefault="00405D16">
            <w:pPr>
              <w:spacing w:after="100"/>
              <w:rPr>
                <w:rFonts w:eastAsia="Times New Roman"/>
                <w:sz w:val="20"/>
                <w:szCs w:val="20"/>
              </w:rPr>
            </w:pPr>
          </w:p>
        </w:tc>
        <w:tc>
          <w:tcPr>
            <w:tcW w:w="0" w:type="auto"/>
            <w:gridSpan w:val="3"/>
            <w:vAlign w:val="center"/>
            <w:hideMark/>
          </w:tcPr>
          <w:p w14:paraId="37E027E1" w14:textId="77777777" w:rsidR="00000000" w:rsidRDefault="00405D16">
            <w:pPr>
              <w:spacing w:after="100"/>
              <w:rPr>
                <w:rFonts w:eastAsia="Times New Roman"/>
                <w:sz w:val="20"/>
                <w:szCs w:val="20"/>
              </w:rPr>
            </w:pPr>
          </w:p>
        </w:tc>
      </w:tr>
      <w:tr w:rsidR="00000000" w14:paraId="7DEF1AD3" w14:textId="77777777">
        <w:trPr>
          <w:divId w:val="1396200894"/>
        </w:trPr>
        <w:tc>
          <w:tcPr>
            <w:tcW w:w="0" w:type="auto"/>
            <w:gridSpan w:val="3"/>
            <w:vAlign w:val="center"/>
            <w:hideMark/>
          </w:tcPr>
          <w:p w14:paraId="5AE439D9" w14:textId="77777777" w:rsidR="00000000" w:rsidRDefault="00405D16">
            <w:pPr>
              <w:spacing w:after="100"/>
              <w:rPr>
                <w:rFonts w:eastAsia="Times New Roman"/>
                <w:sz w:val="20"/>
                <w:szCs w:val="20"/>
              </w:rPr>
            </w:pPr>
          </w:p>
        </w:tc>
        <w:tc>
          <w:tcPr>
            <w:tcW w:w="0" w:type="auto"/>
            <w:gridSpan w:val="3"/>
            <w:vAlign w:val="center"/>
            <w:hideMark/>
          </w:tcPr>
          <w:p w14:paraId="008C2236" w14:textId="77777777" w:rsidR="00000000" w:rsidRDefault="00405D16">
            <w:pPr>
              <w:spacing w:after="100"/>
              <w:rPr>
                <w:rFonts w:eastAsia="Times New Roman"/>
                <w:sz w:val="20"/>
                <w:szCs w:val="20"/>
              </w:rPr>
            </w:pPr>
          </w:p>
        </w:tc>
        <w:tc>
          <w:tcPr>
            <w:tcW w:w="0" w:type="auto"/>
            <w:gridSpan w:val="3"/>
            <w:vAlign w:val="center"/>
            <w:hideMark/>
          </w:tcPr>
          <w:p w14:paraId="1B092612" w14:textId="77777777" w:rsidR="00000000" w:rsidRDefault="00405D16">
            <w:pPr>
              <w:spacing w:after="100"/>
              <w:rPr>
                <w:rFonts w:eastAsia="Times New Roman"/>
                <w:sz w:val="20"/>
                <w:szCs w:val="20"/>
              </w:rPr>
            </w:pPr>
          </w:p>
        </w:tc>
        <w:tc>
          <w:tcPr>
            <w:tcW w:w="0" w:type="auto"/>
            <w:gridSpan w:val="3"/>
            <w:vAlign w:val="center"/>
            <w:hideMark/>
          </w:tcPr>
          <w:p w14:paraId="490639B6" w14:textId="77777777" w:rsidR="00000000" w:rsidRDefault="00405D16">
            <w:pPr>
              <w:spacing w:after="100"/>
              <w:rPr>
                <w:rFonts w:eastAsia="Times New Roman"/>
                <w:sz w:val="20"/>
                <w:szCs w:val="20"/>
              </w:rPr>
            </w:pPr>
          </w:p>
        </w:tc>
        <w:tc>
          <w:tcPr>
            <w:tcW w:w="0" w:type="auto"/>
            <w:gridSpan w:val="3"/>
            <w:vAlign w:val="center"/>
            <w:hideMark/>
          </w:tcPr>
          <w:p w14:paraId="0EE0D0CD" w14:textId="77777777" w:rsidR="00000000" w:rsidRDefault="00405D16">
            <w:pPr>
              <w:spacing w:after="100"/>
              <w:rPr>
                <w:rFonts w:eastAsia="Times New Roman"/>
                <w:sz w:val="20"/>
                <w:szCs w:val="20"/>
              </w:rPr>
            </w:pPr>
          </w:p>
        </w:tc>
        <w:tc>
          <w:tcPr>
            <w:tcW w:w="0" w:type="auto"/>
            <w:gridSpan w:val="3"/>
            <w:vAlign w:val="center"/>
            <w:hideMark/>
          </w:tcPr>
          <w:p w14:paraId="61B703D0" w14:textId="77777777" w:rsidR="00000000" w:rsidRDefault="00405D16">
            <w:pPr>
              <w:spacing w:after="100"/>
              <w:rPr>
                <w:rFonts w:eastAsia="Times New Roman"/>
                <w:sz w:val="20"/>
                <w:szCs w:val="20"/>
              </w:rPr>
            </w:pPr>
          </w:p>
        </w:tc>
        <w:tc>
          <w:tcPr>
            <w:tcW w:w="0" w:type="auto"/>
            <w:gridSpan w:val="3"/>
            <w:vAlign w:val="center"/>
            <w:hideMark/>
          </w:tcPr>
          <w:p w14:paraId="451A3D5F" w14:textId="77777777" w:rsidR="00000000" w:rsidRDefault="00405D16">
            <w:pPr>
              <w:spacing w:after="100"/>
              <w:rPr>
                <w:rFonts w:eastAsia="Times New Roman"/>
                <w:sz w:val="20"/>
                <w:szCs w:val="20"/>
              </w:rPr>
            </w:pPr>
          </w:p>
        </w:tc>
        <w:tc>
          <w:tcPr>
            <w:tcW w:w="0" w:type="auto"/>
            <w:gridSpan w:val="3"/>
            <w:vAlign w:val="center"/>
            <w:hideMark/>
          </w:tcPr>
          <w:p w14:paraId="1AB13430" w14:textId="77777777" w:rsidR="00000000" w:rsidRDefault="00405D16">
            <w:pPr>
              <w:spacing w:after="100"/>
              <w:rPr>
                <w:rFonts w:eastAsia="Times New Roman"/>
                <w:sz w:val="20"/>
                <w:szCs w:val="20"/>
              </w:rPr>
            </w:pPr>
          </w:p>
        </w:tc>
        <w:tc>
          <w:tcPr>
            <w:tcW w:w="0" w:type="auto"/>
            <w:gridSpan w:val="3"/>
            <w:vAlign w:val="center"/>
            <w:hideMark/>
          </w:tcPr>
          <w:p w14:paraId="1B2BE4A4" w14:textId="77777777" w:rsidR="00000000" w:rsidRDefault="00405D16">
            <w:pPr>
              <w:spacing w:after="100"/>
              <w:rPr>
                <w:rFonts w:eastAsia="Times New Roman"/>
                <w:sz w:val="20"/>
                <w:szCs w:val="20"/>
              </w:rPr>
            </w:pPr>
          </w:p>
        </w:tc>
      </w:tr>
      <w:tr w:rsidR="00000000" w14:paraId="2F76885C" w14:textId="77777777">
        <w:trPr>
          <w:divId w:val="1396200894"/>
        </w:trPr>
        <w:tc>
          <w:tcPr>
            <w:tcW w:w="0" w:type="auto"/>
            <w:gridSpan w:val="3"/>
            <w:vAlign w:val="center"/>
            <w:hideMark/>
          </w:tcPr>
          <w:p w14:paraId="58E51A25" w14:textId="77777777" w:rsidR="00000000" w:rsidRDefault="00405D16">
            <w:pPr>
              <w:spacing w:after="100"/>
              <w:rPr>
                <w:rFonts w:eastAsia="Times New Roman"/>
                <w:sz w:val="20"/>
                <w:szCs w:val="20"/>
              </w:rPr>
            </w:pPr>
          </w:p>
        </w:tc>
        <w:tc>
          <w:tcPr>
            <w:tcW w:w="0" w:type="auto"/>
            <w:gridSpan w:val="3"/>
            <w:vAlign w:val="center"/>
            <w:hideMark/>
          </w:tcPr>
          <w:p w14:paraId="6828E344" w14:textId="77777777" w:rsidR="00000000" w:rsidRDefault="00405D16">
            <w:pPr>
              <w:spacing w:after="100"/>
              <w:rPr>
                <w:rFonts w:eastAsia="Times New Roman"/>
                <w:sz w:val="20"/>
                <w:szCs w:val="20"/>
              </w:rPr>
            </w:pPr>
          </w:p>
        </w:tc>
        <w:tc>
          <w:tcPr>
            <w:tcW w:w="0" w:type="auto"/>
            <w:gridSpan w:val="3"/>
            <w:vAlign w:val="center"/>
            <w:hideMark/>
          </w:tcPr>
          <w:p w14:paraId="03A3A224" w14:textId="77777777" w:rsidR="00000000" w:rsidRDefault="00405D16">
            <w:pPr>
              <w:spacing w:after="100"/>
              <w:rPr>
                <w:rFonts w:eastAsia="Times New Roman"/>
                <w:sz w:val="20"/>
                <w:szCs w:val="20"/>
              </w:rPr>
            </w:pPr>
          </w:p>
        </w:tc>
        <w:tc>
          <w:tcPr>
            <w:tcW w:w="0" w:type="auto"/>
            <w:gridSpan w:val="3"/>
            <w:vAlign w:val="center"/>
            <w:hideMark/>
          </w:tcPr>
          <w:p w14:paraId="378FEAE9" w14:textId="77777777" w:rsidR="00000000" w:rsidRDefault="00405D16">
            <w:pPr>
              <w:spacing w:after="100"/>
              <w:rPr>
                <w:rFonts w:eastAsia="Times New Roman"/>
                <w:sz w:val="20"/>
                <w:szCs w:val="20"/>
              </w:rPr>
            </w:pPr>
          </w:p>
        </w:tc>
        <w:tc>
          <w:tcPr>
            <w:tcW w:w="0" w:type="auto"/>
            <w:gridSpan w:val="3"/>
            <w:vAlign w:val="center"/>
            <w:hideMark/>
          </w:tcPr>
          <w:p w14:paraId="2733D073" w14:textId="77777777" w:rsidR="00000000" w:rsidRDefault="00405D16">
            <w:pPr>
              <w:spacing w:after="100"/>
              <w:rPr>
                <w:rFonts w:eastAsia="Times New Roman"/>
                <w:sz w:val="20"/>
                <w:szCs w:val="20"/>
              </w:rPr>
            </w:pPr>
          </w:p>
        </w:tc>
        <w:tc>
          <w:tcPr>
            <w:tcW w:w="0" w:type="auto"/>
            <w:gridSpan w:val="3"/>
            <w:vAlign w:val="center"/>
            <w:hideMark/>
          </w:tcPr>
          <w:p w14:paraId="09D0A386" w14:textId="77777777" w:rsidR="00000000" w:rsidRDefault="00405D16">
            <w:pPr>
              <w:spacing w:after="100"/>
              <w:rPr>
                <w:rFonts w:eastAsia="Times New Roman"/>
                <w:sz w:val="20"/>
                <w:szCs w:val="20"/>
              </w:rPr>
            </w:pPr>
          </w:p>
        </w:tc>
        <w:tc>
          <w:tcPr>
            <w:tcW w:w="0" w:type="auto"/>
            <w:gridSpan w:val="3"/>
            <w:vAlign w:val="center"/>
            <w:hideMark/>
          </w:tcPr>
          <w:p w14:paraId="241DF3B2" w14:textId="77777777" w:rsidR="00000000" w:rsidRDefault="00405D16">
            <w:pPr>
              <w:spacing w:after="100"/>
              <w:rPr>
                <w:rFonts w:eastAsia="Times New Roman"/>
                <w:sz w:val="20"/>
                <w:szCs w:val="20"/>
              </w:rPr>
            </w:pPr>
          </w:p>
        </w:tc>
        <w:tc>
          <w:tcPr>
            <w:tcW w:w="0" w:type="auto"/>
            <w:gridSpan w:val="3"/>
            <w:vAlign w:val="center"/>
            <w:hideMark/>
          </w:tcPr>
          <w:p w14:paraId="2C1AA6FE" w14:textId="77777777" w:rsidR="00000000" w:rsidRDefault="00405D16">
            <w:pPr>
              <w:spacing w:after="100"/>
              <w:rPr>
                <w:rFonts w:eastAsia="Times New Roman"/>
                <w:sz w:val="20"/>
                <w:szCs w:val="20"/>
              </w:rPr>
            </w:pPr>
          </w:p>
        </w:tc>
        <w:tc>
          <w:tcPr>
            <w:tcW w:w="0" w:type="auto"/>
            <w:gridSpan w:val="3"/>
            <w:vAlign w:val="center"/>
            <w:hideMark/>
          </w:tcPr>
          <w:p w14:paraId="15852203" w14:textId="77777777" w:rsidR="00000000" w:rsidRDefault="00405D16">
            <w:pPr>
              <w:spacing w:after="100"/>
              <w:rPr>
                <w:rFonts w:eastAsia="Times New Roman"/>
                <w:sz w:val="20"/>
                <w:szCs w:val="20"/>
              </w:rPr>
            </w:pPr>
          </w:p>
        </w:tc>
      </w:tr>
      <w:tr w:rsidR="00000000" w14:paraId="7391E8C2" w14:textId="77777777">
        <w:trPr>
          <w:divId w:val="1396200894"/>
        </w:trPr>
        <w:tc>
          <w:tcPr>
            <w:tcW w:w="0" w:type="auto"/>
            <w:gridSpan w:val="3"/>
            <w:vAlign w:val="center"/>
            <w:hideMark/>
          </w:tcPr>
          <w:p w14:paraId="7159FEE5" w14:textId="77777777" w:rsidR="00000000" w:rsidRDefault="00405D16">
            <w:pPr>
              <w:spacing w:after="100"/>
              <w:rPr>
                <w:rFonts w:eastAsia="Times New Roman"/>
                <w:sz w:val="20"/>
                <w:szCs w:val="20"/>
              </w:rPr>
            </w:pPr>
          </w:p>
        </w:tc>
        <w:tc>
          <w:tcPr>
            <w:tcW w:w="0" w:type="auto"/>
            <w:gridSpan w:val="3"/>
            <w:vAlign w:val="center"/>
            <w:hideMark/>
          </w:tcPr>
          <w:p w14:paraId="2494905A" w14:textId="77777777" w:rsidR="00000000" w:rsidRDefault="00405D16">
            <w:pPr>
              <w:spacing w:after="100"/>
              <w:rPr>
                <w:rFonts w:eastAsia="Times New Roman"/>
                <w:sz w:val="20"/>
                <w:szCs w:val="20"/>
              </w:rPr>
            </w:pPr>
          </w:p>
        </w:tc>
        <w:tc>
          <w:tcPr>
            <w:tcW w:w="0" w:type="auto"/>
            <w:gridSpan w:val="3"/>
            <w:vAlign w:val="center"/>
            <w:hideMark/>
          </w:tcPr>
          <w:p w14:paraId="72729B98" w14:textId="77777777" w:rsidR="00000000" w:rsidRDefault="00405D16">
            <w:pPr>
              <w:spacing w:after="100"/>
              <w:rPr>
                <w:rFonts w:eastAsia="Times New Roman"/>
                <w:sz w:val="20"/>
                <w:szCs w:val="20"/>
              </w:rPr>
            </w:pPr>
          </w:p>
        </w:tc>
        <w:tc>
          <w:tcPr>
            <w:tcW w:w="0" w:type="auto"/>
            <w:gridSpan w:val="3"/>
            <w:vAlign w:val="center"/>
            <w:hideMark/>
          </w:tcPr>
          <w:p w14:paraId="31C7FA53" w14:textId="77777777" w:rsidR="00000000" w:rsidRDefault="00405D16">
            <w:pPr>
              <w:spacing w:after="100"/>
              <w:rPr>
                <w:rFonts w:eastAsia="Times New Roman"/>
                <w:sz w:val="20"/>
                <w:szCs w:val="20"/>
              </w:rPr>
            </w:pPr>
          </w:p>
        </w:tc>
        <w:tc>
          <w:tcPr>
            <w:tcW w:w="0" w:type="auto"/>
            <w:gridSpan w:val="3"/>
            <w:vAlign w:val="center"/>
            <w:hideMark/>
          </w:tcPr>
          <w:p w14:paraId="5FDB0F67" w14:textId="77777777" w:rsidR="00000000" w:rsidRDefault="00405D16">
            <w:pPr>
              <w:spacing w:after="100"/>
              <w:rPr>
                <w:rFonts w:eastAsia="Times New Roman"/>
                <w:sz w:val="20"/>
                <w:szCs w:val="20"/>
              </w:rPr>
            </w:pPr>
          </w:p>
        </w:tc>
        <w:tc>
          <w:tcPr>
            <w:tcW w:w="0" w:type="auto"/>
            <w:gridSpan w:val="3"/>
            <w:vAlign w:val="center"/>
            <w:hideMark/>
          </w:tcPr>
          <w:p w14:paraId="71EAC6AB" w14:textId="77777777" w:rsidR="00000000" w:rsidRDefault="00405D16">
            <w:pPr>
              <w:spacing w:after="100"/>
              <w:rPr>
                <w:rFonts w:eastAsia="Times New Roman"/>
                <w:sz w:val="20"/>
                <w:szCs w:val="20"/>
              </w:rPr>
            </w:pPr>
          </w:p>
        </w:tc>
        <w:tc>
          <w:tcPr>
            <w:tcW w:w="0" w:type="auto"/>
            <w:gridSpan w:val="3"/>
            <w:vAlign w:val="center"/>
            <w:hideMark/>
          </w:tcPr>
          <w:p w14:paraId="56D48FAC" w14:textId="77777777" w:rsidR="00000000" w:rsidRDefault="00405D16">
            <w:pPr>
              <w:spacing w:after="100"/>
              <w:rPr>
                <w:rFonts w:eastAsia="Times New Roman"/>
                <w:sz w:val="20"/>
                <w:szCs w:val="20"/>
              </w:rPr>
            </w:pPr>
          </w:p>
        </w:tc>
        <w:tc>
          <w:tcPr>
            <w:tcW w:w="0" w:type="auto"/>
            <w:gridSpan w:val="3"/>
            <w:vAlign w:val="center"/>
            <w:hideMark/>
          </w:tcPr>
          <w:p w14:paraId="33989593" w14:textId="77777777" w:rsidR="00000000" w:rsidRDefault="00405D16">
            <w:pPr>
              <w:spacing w:after="100"/>
              <w:rPr>
                <w:rFonts w:eastAsia="Times New Roman"/>
                <w:sz w:val="20"/>
                <w:szCs w:val="20"/>
              </w:rPr>
            </w:pPr>
          </w:p>
        </w:tc>
        <w:tc>
          <w:tcPr>
            <w:tcW w:w="0" w:type="auto"/>
            <w:gridSpan w:val="3"/>
            <w:vAlign w:val="center"/>
            <w:hideMark/>
          </w:tcPr>
          <w:p w14:paraId="7FAEE4F1" w14:textId="77777777" w:rsidR="00000000" w:rsidRDefault="00405D16">
            <w:pPr>
              <w:spacing w:after="100"/>
              <w:rPr>
                <w:rFonts w:eastAsia="Times New Roman"/>
                <w:sz w:val="20"/>
                <w:szCs w:val="20"/>
              </w:rPr>
            </w:pPr>
          </w:p>
        </w:tc>
      </w:tr>
      <w:tr w:rsidR="00000000" w14:paraId="2D04EFBD" w14:textId="77777777">
        <w:trPr>
          <w:divId w:val="1396200894"/>
        </w:trPr>
        <w:tc>
          <w:tcPr>
            <w:tcW w:w="0" w:type="auto"/>
            <w:gridSpan w:val="3"/>
            <w:vAlign w:val="center"/>
            <w:hideMark/>
          </w:tcPr>
          <w:p w14:paraId="3F9B5A61" w14:textId="77777777" w:rsidR="00000000" w:rsidRDefault="00405D16">
            <w:pPr>
              <w:spacing w:after="100"/>
              <w:rPr>
                <w:rFonts w:eastAsia="Times New Roman"/>
                <w:sz w:val="20"/>
                <w:szCs w:val="20"/>
              </w:rPr>
            </w:pPr>
          </w:p>
        </w:tc>
        <w:tc>
          <w:tcPr>
            <w:tcW w:w="0" w:type="auto"/>
            <w:gridSpan w:val="3"/>
            <w:vAlign w:val="center"/>
            <w:hideMark/>
          </w:tcPr>
          <w:p w14:paraId="45E7177A" w14:textId="77777777" w:rsidR="00000000" w:rsidRDefault="00405D16">
            <w:pPr>
              <w:spacing w:after="100"/>
              <w:rPr>
                <w:rFonts w:eastAsia="Times New Roman"/>
                <w:sz w:val="20"/>
                <w:szCs w:val="20"/>
              </w:rPr>
            </w:pPr>
          </w:p>
        </w:tc>
        <w:tc>
          <w:tcPr>
            <w:tcW w:w="0" w:type="auto"/>
            <w:gridSpan w:val="3"/>
            <w:vAlign w:val="center"/>
            <w:hideMark/>
          </w:tcPr>
          <w:p w14:paraId="4D7C6DCC" w14:textId="77777777" w:rsidR="00000000" w:rsidRDefault="00405D16">
            <w:pPr>
              <w:spacing w:after="100"/>
              <w:rPr>
                <w:rFonts w:eastAsia="Times New Roman"/>
                <w:sz w:val="20"/>
                <w:szCs w:val="20"/>
              </w:rPr>
            </w:pPr>
          </w:p>
        </w:tc>
        <w:tc>
          <w:tcPr>
            <w:tcW w:w="0" w:type="auto"/>
            <w:gridSpan w:val="3"/>
            <w:vAlign w:val="center"/>
            <w:hideMark/>
          </w:tcPr>
          <w:p w14:paraId="398D1A14" w14:textId="77777777" w:rsidR="00000000" w:rsidRDefault="00405D16">
            <w:pPr>
              <w:spacing w:after="100"/>
              <w:rPr>
                <w:rFonts w:eastAsia="Times New Roman"/>
                <w:sz w:val="20"/>
                <w:szCs w:val="20"/>
              </w:rPr>
            </w:pPr>
          </w:p>
        </w:tc>
        <w:tc>
          <w:tcPr>
            <w:tcW w:w="0" w:type="auto"/>
            <w:gridSpan w:val="3"/>
            <w:vAlign w:val="center"/>
            <w:hideMark/>
          </w:tcPr>
          <w:p w14:paraId="752E4B7A" w14:textId="77777777" w:rsidR="00000000" w:rsidRDefault="00405D16">
            <w:pPr>
              <w:spacing w:after="100"/>
              <w:rPr>
                <w:rFonts w:eastAsia="Times New Roman"/>
                <w:sz w:val="20"/>
                <w:szCs w:val="20"/>
              </w:rPr>
            </w:pPr>
          </w:p>
        </w:tc>
        <w:tc>
          <w:tcPr>
            <w:tcW w:w="0" w:type="auto"/>
            <w:gridSpan w:val="3"/>
            <w:vAlign w:val="center"/>
            <w:hideMark/>
          </w:tcPr>
          <w:p w14:paraId="0C127BD6" w14:textId="77777777" w:rsidR="00000000" w:rsidRDefault="00405D16">
            <w:pPr>
              <w:spacing w:after="100"/>
              <w:rPr>
                <w:rFonts w:eastAsia="Times New Roman"/>
                <w:sz w:val="20"/>
                <w:szCs w:val="20"/>
              </w:rPr>
            </w:pPr>
          </w:p>
        </w:tc>
        <w:tc>
          <w:tcPr>
            <w:tcW w:w="0" w:type="auto"/>
            <w:gridSpan w:val="3"/>
            <w:vAlign w:val="center"/>
            <w:hideMark/>
          </w:tcPr>
          <w:p w14:paraId="3C25859A" w14:textId="77777777" w:rsidR="00000000" w:rsidRDefault="00405D16">
            <w:pPr>
              <w:spacing w:after="100"/>
              <w:rPr>
                <w:rFonts w:eastAsia="Times New Roman"/>
                <w:sz w:val="20"/>
                <w:szCs w:val="20"/>
              </w:rPr>
            </w:pPr>
          </w:p>
        </w:tc>
        <w:tc>
          <w:tcPr>
            <w:tcW w:w="0" w:type="auto"/>
            <w:gridSpan w:val="3"/>
            <w:vAlign w:val="center"/>
            <w:hideMark/>
          </w:tcPr>
          <w:p w14:paraId="06833C04" w14:textId="77777777" w:rsidR="00000000" w:rsidRDefault="00405D16">
            <w:pPr>
              <w:spacing w:after="100"/>
              <w:rPr>
                <w:rFonts w:eastAsia="Times New Roman"/>
                <w:sz w:val="20"/>
                <w:szCs w:val="20"/>
              </w:rPr>
            </w:pPr>
          </w:p>
        </w:tc>
        <w:tc>
          <w:tcPr>
            <w:tcW w:w="0" w:type="auto"/>
            <w:gridSpan w:val="3"/>
            <w:vAlign w:val="center"/>
            <w:hideMark/>
          </w:tcPr>
          <w:p w14:paraId="73A21B79" w14:textId="77777777" w:rsidR="00000000" w:rsidRDefault="00405D16">
            <w:pPr>
              <w:spacing w:after="100"/>
              <w:rPr>
                <w:rFonts w:eastAsia="Times New Roman"/>
                <w:sz w:val="20"/>
                <w:szCs w:val="20"/>
              </w:rPr>
            </w:pPr>
          </w:p>
        </w:tc>
      </w:tr>
      <w:tr w:rsidR="00000000" w14:paraId="21BD5BE8" w14:textId="77777777">
        <w:trPr>
          <w:divId w:val="1396200894"/>
        </w:trPr>
        <w:tc>
          <w:tcPr>
            <w:tcW w:w="0" w:type="auto"/>
            <w:gridSpan w:val="3"/>
            <w:vAlign w:val="center"/>
            <w:hideMark/>
          </w:tcPr>
          <w:p w14:paraId="316DE606" w14:textId="77777777" w:rsidR="00000000" w:rsidRDefault="00405D16">
            <w:pPr>
              <w:spacing w:after="100"/>
              <w:rPr>
                <w:rFonts w:eastAsia="Times New Roman"/>
                <w:sz w:val="20"/>
                <w:szCs w:val="20"/>
              </w:rPr>
            </w:pPr>
          </w:p>
        </w:tc>
        <w:tc>
          <w:tcPr>
            <w:tcW w:w="0" w:type="auto"/>
            <w:gridSpan w:val="3"/>
            <w:vAlign w:val="center"/>
            <w:hideMark/>
          </w:tcPr>
          <w:p w14:paraId="601E4F24" w14:textId="77777777" w:rsidR="00000000" w:rsidRDefault="00405D16">
            <w:pPr>
              <w:spacing w:after="100"/>
              <w:rPr>
                <w:rFonts w:eastAsia="Times New Roman"/>
                <w:sz w:val="20"/>
                <w:szCs w:val="20"/>
              </w:rPr>
            </w:pPr>
          </w:p>
        </w:tc>
        <w:tc>
          <w:tcPr>
            <w:tcW w:w="0" w:type="auto"/>
            <w:gridSpan w:val="3"/>
            <w:vAlign w:val="center"/>
            <w:hideMark/>
          </w:tcPr>
          <w:p w14:paraId="05CF058D" w14:textId="77777777" w:rsidR="00000000" w:rsidRDefault="00405D16">
            <w:pPr>
              <w:spacing w:after="100"/>
              <w:rPr>
                <w:rFonts w:eastAsia="Times New Roman"/>
                <w:sz w:val="20"/>
                <w:szCs w:val="20"/>
              </w:rPr>
            </w:pPr>
          </w:p>
        </w:tc>
        <w:tc>
          <w:tcPr>
            <w:tcW w:w="0" w:type="auto"/>
            <w:gridSpan w:val="3"/>
            <w:vAlign w:val="center"/>
            <w:hideMark/>
          </w:tcPr>
          <w:p w14:paraId="7214B428" w14:textId="77777777" w:rsidR="00000000" w:rsidRDefault="00405D16">
            <w:pPr>
              <w:spacing w:after="100"/>
              <w:rPr>
                <w:rFonts w:eastAsia="Times New Roman"/>
                <w:sz w:val="20"/>
                <w:szCs w:val="20"/>
              </w:rPr>
            </w:pPr>
          </w:p>
        </w:tc>
        <w:tc>
          <w:tcPr>
            <w:tcW w:w="0" w:type="auto"/>
            <w:gridSpan w:val="3"/>
            <w:vAlign w:val="center"/>
            <w:hideMark/>
          </w:tcPr>
          <w:p w14:paraId="1F505CBE" w14:textId="77777777" w:rsidR="00000000" w:rsidRDefault="00405D16">
            <w:pPr>
              <w:spacing w:after="100"/>
              <w:rPr>
                <w:rFonts w:eastAsia="Times New Roman"/>
                <w:sz w:val="20"/>
                <w:szCs w:val="20"/>
              </w:rPr>
            </w:pPr>
          </w:p>
        </w:tc>
        <w:tc>
          <w:tcPr>
            <w:tcW w:w="0" w:type="auto"/>
            <w:gridSpan w:val="3"/>
            <w:vAlign w:val="center"/>
            <w:hideMark/>
          </w:tcPr>
          <w:p w14:paraId="6902A263" w14:textId="77777777" w:rsidR="00000000" w:rsidRDefault="00405D16">
            <w:pPr>
              <w:spacing w:after="100"/>
              <w:rPr>
                <w:rFonts w:eastAsia="Times New Roman"/>
                <w:sz w:val="20"/>
                <w:szCs w:val="20"/>
              </w:rPr>
            </w:pPr>
          </w:p>
        </w:tc>
        <w:tc>
          <w:tcPr>
            <w:tcW w:w="0" w:type="auto"/>
            <w:gridSpan w:val="3"/>
            <w:vAlign w:val="center"/>
            <w:hideMark/>
          </w:tcPr>
          <w:p w14:paraId="251CA71A" w14:textId="77777777" w:rsidR="00000000" w:rsidRDefault="00405D16">
            <w:pPr>
              <w:spacing w:after="100"/>
              <w:rPr>
                <w:rFonts w:eastAsia="Times New Roman"/>
                <w:sz w:val="20"/>
                <w:szCs w:val="20"/>
              </w:rPr>
            </w:pPr>
          </w:p>
        </w:tc>
        <w:tc>
          <w:tcPr>
            <w:tcW w:w="0" w:type="auto"/>
            <w:gridSpan w:val="3"/>
            <w:vAlign w:val="center"/>
            <w:hideMark/>
          </w:tcPr>
          <w:p w14:paraId="574362F1" w14:textId="77777777" w:rsidR="00000000" w:rsidRDefault="00405D16">
            <w:pPr>
              <w:spacing w:after="100"/>
              <w:rPr>
                <w:rFonts w:eastAsia="Times New Roman"/>
                <w:sz w:val="20"/>
                <w:szCs w:val="20"/>
              </w:rPr>
            </w:pPr>
          </w:p>
        </w:tc>
        <w:tc>
          <w:tcPr>
            <w:tcW w:w="0" w:type="auto"/>
            <w:gridSpan w:val="3"/>
            <w:vAlign w:val="center"/>
            <w:hideMark/>
          </w:tcPr>
          <w:p w14:paraId="4F3790DD" w14:textId="77777777" w:rsidR="00000000" w:rsidRDefault="00405D16">
            <w:pPr>
              <w:spacing w:after="100"/>
              <w:rPr>
                <w:rFonts w:eastAsia="Times New Roman"/>
                <w:sz w:val="20"/>
                <w:szCs w:val="20"/>
              </w:rPr>
            </w:pPr>
          </w:p>
        </w:tc>
      </w:tr>
      <w:tr w:rsidR="00000000" w14:paraId="49BFB681" w14:textId="77777777">
        <w:trPr>
          <w:divId w:val="1396200894"/>
        </w:trPr>
        <w:tc>
          <w:tcPr>
            <w:tcW w:w="0" w:type="auto"/>
            <w:gridSpan w:val="3"/>
            <w:vAlign w:val="center"/>
            <w:hideMark/>
          </w:tcPr>
          <w:p w14:paraId="787BA327" w14:textId="77777777" w:rsidR="00000000" w:rsidRDefault="00405D16">
            <w:pPr>
              <w:spacing w:after="100"/>
              <w:rPr>
                <w:rFonts w:eastAsia="Times New Roman"/>
                <w:sz w:val="20"/>
                <w:szCs w:val="20"/>
              </w:rPr>
            </w:pPr>
          </w:p>
        </w:tc>
        <w:tc>
          <w:tcPr>
            <w:tcW w:w="0" w:type="auto"/>
            <w:gridSpan w:val="3"/>
            <w:vAlign w:val="center"/>
            <w:hideMark/>
          </w:tcPr>
          <w:p w14:paraId="3A2F0122" w14:textId="77777777" w:rsidR="00000000" w:rsidRDefault="00405D16">
            <w:pPr>
              <w:spacing w:after="100"/>
              <w:rPr>
                <w:rFonts w:eastAsia="Times New Roman"/>
                <w:sz w:val="20"/>
                <w:szCs w:val="20"/>
              </w:rPr>
            </w:pPr>
          </w:p>
        </w:tc>
        <w:tc>
          <w:tcPr>
            <w:tcW w:w="0" w:type="auto"/>
            <w:gridSpan w:val="3"/>
            <w:vAlign w:val="center"/>
            <w:hideMark/>
          </w:tcPr>
          <w:p w14:paraId="384B59D5" w14:textId="77777777" w:rsidR="00000000" w:rsidRDefault="00405D16">
            <w:pPr>
              <w:spacing w:after="100"/>
              <w:rPr>
                <w:rFonts w:eastAsia="Times New Roman"/>
                <w:sz w:val="20"/>
                <w:szCs w:val="20"/>
              </w:rPr>
            </w:pPr>
          </w:p>
        </w:tc>
        <w:tc>
          <w:tcPr>
            <w:tcW w:w="0" w:type="auto"/>
            <w:gridSpan w:val="3"/>
            <w:vAlign w:val="center"/>
            <w:hideMark/>
          </w:tcPr>
          <w:p w14:paraId="3DC20A1C" w14:textId="77777777" w:rsidR="00000000" w:rsidRDefault="00405D16">
            <w:pPr>
              <w:spacing w:after="100"/>
              <w:rPr>
                <w:rFonts w:eastAsia="Times New Roman"/>
                <w:sz w:val="20"/>
                <w:szCs w:val="20"/>
              </w:rPr>
            </w:pPr>
          </w:p>
        </w:tc>
        <w:tc>
          <w:tcPr>
            <w:tcW w:w="0" w:type="auto"/>
            <w:gridSpan w:val="3"/>
            <w:vAlign w:val="center"/>
            <w:hideMark/>
          </w:tcPr>
          <w:p w14:paraId="580AA3D2" w14:textId="77777777" w:rsidR="00000000" w:rsidRDefault="00405D16">
            <w:pPr>
              <w:spacing w:after="100"/>
              <w:rPr>
                <w:rFonts w:eastAsia="Times New Roman"/>
                <w:sz w:val="20"/>
                <w:szCs w:val="20"/>
              </w:rPr>
            </w:pPr>
          </w:p>
        </w:tc>
        <w:tc>
          <w:tcPr>
            <w:tcW w:w="0" w:type="auto"/>
            <w:gridSpan w:val="3"/>
            <w:vAlign w:val="center"/>
            <w:hideMark/>
          </w:tcPr>
          <w:p w14:paraId="2B3B8C5A" w14:textId="77777777" w:rsidR="00000000" w:rsidRDefault="00405D16">
            <w:pPr>
              <w:spacing w:after="100"/>
              <w:rPr>
                <w:rFonts w:eastAsia="Times New Roman"/>
                <w:sz w:val="20"/>
                <w:szCs w:val="20"/>
              </w:rPr>
            </w:pPr>
          </w:p>
        </w:tc>
        <w:tc>
          <w:tcPr>
            <w:tcW w:w="0" w:type="auto"/>
            <w:gridSpan w:val="3"/>
            <w:vAlign w:val="center"/>
            <w:hideMark/>
          </w:tcPr>
          <w:p w14:paraId="2684231A" w14:textId="77777777" w:rsidR="00000000" w:rsidRDefault="00405D16">
            <w:pPr>
              <w:spacing w:after="100"/>
              <w:rPr>
                <w:rFonts w:eastAsia="Times New Roman"/>
                <w:sz w:val="20"/>
                <w:szCs w:val="20"/>
              </w:rPr>
            </w:pPr>
          </w:p>
        </w:tc>
        <w:tc>
          <w:tcPr>
            <w:tcW w:w="0" w:type="auto"/>
            <w:gridSpan w:val="3"/>
            <w:vAlign w:val="center"/>
            <w:hideMark/>
          </w:tcPr>
          <w:p w14:paraId="36435E15" w14:textId="77777777" w:rsidR="00000000" w:rsidRDefault="00405D16">
            <w:pPr>
              <w:spacing w:after="100"/>
              <w:rPr>
                <w:rFonts w:eastAsia="Times New Roman"/>
                <w:sz w:val="20"/>
                <w:szCs w:val="20"/>
              </w:rPr>
            </w:pPr>
          </w:p>
        </w:tc>
        <w:tc>
          <w:tcPr>
            <w:tcW w:w="0" w:type="auto"/>
            <w:gridSpan w:val="3"/>
            <w:vAlign w:val="center"/>
            <w:hideMark/>
          </w:tcPr>
          <w:p w14:paraId="517D29F6" w14:textId="77777777" w:rsidR="00000000" w:rsidRDefault="00405D16">
            <w:pPr>
              <w:spacing w:after="100"/>
              <w:rPr>
                <w:rFonts w:eastAsia="Times New Roman"/>
                <w:sz w:val="20"/>
                <w:szCs w:val="20"/>
              </w:rPr>
            </w:pPr>
          </w:p>
        </w:tc>
      </w:tr>
      <w:tr w:rsidR="00000000" w14:paraId="5A7474E2" w14:textId="77777777">
        <w:trPr>
          <w:divId w:val="1396200894"/>
        </w:trPr>
        <w:tc>
          <w:tcPr>
            <w:tcW w:w="0" w:type="auto"/>
            <w:gridSpan w:val="3"/>
            <w:vAlign w:val="center"/>
            <w:hideMark/>
          </w:tcPr>
          <w:p w14:paraId="5AC96188" w14:textId="77777777" w:rsidR="00000000" w:rsidRDefault="00405D16">
            <w:pPr>
              <w:spacing w:after="100"/>
              <w:rPr>
                <w:rFonts w:eastAsia="Times New Roman"/>
                <w:sz w:val="20"/>
                <w:szCs w:val="20"/>
              </w:rPr>
            </w:pPr>
          </w:p>
        </w:tc>
        <w:tc>
          <w:tcPr>
            <w:tcW w:w="0" w:type="auto"/>
            <w:gridSpan w:val="3"/>
            <w:vAlign w:val="center"/>
            <w:hideMark/>
          </w:tcPr>
          <w:p w14:paraId="7AAF831B" w14:textId="77777777" w:rsidR="00000000" w:rsidRDefault="00405D16">
            <w:pPr>
              <w:spacing w:after="100"/>
              <w:rPr>
                <w:rFonts w:eastAsia="Times New Roman"/>
                <w:sz w:val="20"/>
                <w:szCs w:val="20"/>
              </w:rPr>
            </w:pPr>
          </w:p>
        </w:tc>
        <w:tc>
          <w:tcPr>
            <w:tcW w:w="0" w:type="auto"/>
            <w:gridSpan w:val="3"/>
            <w:vAlign w:val="center"/>
            <w:hideMark/>
          </w:tcPr>
          <w:p w14:paraId="3A45A7CF" w14:textId="77777777" w:rsidR="00000000" w:rsidRDefault="00405D16">
            <w:pPr>
              <w:spacing w:after="100"/>
              <w:rPr>
                <w:rFonts w:eastAsia="Times New Roman"/>
                <w:sz w:val="20"/>
                <w:szCs w:val="20"/>
              </w:rPr>
            </w:pPr>
          </w:p>
        </w:tc>
        <w:tc>
          <w:tcPr>
            <w:tcW w:w="0" w:type="auto"/>
            <w:gridSpan w:val="3"/>
            <w:vAlign w:val="center"/>
            <w:hideMark/>
          </w:tcPr>
          <w:p w14:paraId="1D437390" w14:textId="77777777" w:rsidR="00000000" w:rsidRDefault="00405D16">
            <w:pPr>
              <w:spacing w:after="100"/>
              <w:rPr>
                <w:rFonts w:eastAsia="Times New Roman"/>
                <w:sz w:val="20"/>
                <w:szCs w:val="20"/>
              </w:rPr>
            </w:pPr>
          </w:p>
        </w:tc>
        <w:tc>
          <w:tcPr>
            <w:tcW w:w="0" w:type="auto"/>
            <w:gridSpan w:val="3"/>
            <w:vAlign w:val="center"/>
            <w:hideMark/>
          </w:tcPr>
          <w:p w14:paraId="3FB51A1A" w14:textId="77777777" w:rsidR="00000000" w:rsidRDefault="00405D16">
            <w:pPr>
              <w:spacing w:after="100"/>
              <w:rPr>
                <w:rFonts w:eastAsia="Times New Roman"/>
                <w:sz w:val="20"/>
                <w:szCs w:val="20"/>
              </w:rPr>
            </w:pPr>
          </w:p>
        </w:tc>
        <w:tc>
          <w:tcPr>
            <w:tcW w:w="0" w:type="auto"/>
            <w:gridSpan w:val="3"/>
            <w:vAlign w:val="center"/>
            <w:hideMark/>
          </w:tcPr>
          <w:p w14:paraId="21B73987" w14:textId="77777777" w:rsidR="00000000" w:rsidRDefault="00405D16">
            <w:pPr>
              <w:spacing w:after="100"/>
              <w:rPr>
                <w:rFonts w:eastAsia="Times New Roman"/>
                <w:sz w:val="20"/>
                <w:szCs w:val="20"/>
              </w:rPr>
            </w:pPr>
          </w:p>
        </w:tc>
        <w:tc>
          <w:tcPr>
            <w:tcW w:w="0" w:type="auto"/>
            <w:gridSpan w:val="3"/>
            <w:vAlign w:val="center"/>
            <w:hideMark/>
          </w:tcPr>
          <w:p w14:paraId="0D26C0F8" w14:textId="77777777" w:rsidR="00000000" w:rsidRDefault="00405D16">
            <w:pPr>
              <w:spacing w:after="100"/>
              <w:rPr>
                <w:rFonts w:eastAsia="Times New Roman"/>
                <w:sz w:val="20"/>
                <w:szCs w:val="20"/>
              </w:rPr>
            </w:pPr>
          </w:p>
        </w:tc>
        <w:tc>
          <w:tcPr>
            <w:tcW w:w="0" w:type="auto"/>
            <w:gridSpan w:val="3"/>
            <w:vAlign w:val="center"/>
            <w:hideMark/>
          </w:tcPr>
          <w:p w14:paraId="22C5A42A" w14:textId="77777777" w:rsidR="00000000" w:rsidRDefault="00405D16">
            <w:pPr>
              <w:spacing w:after="100"/>
              <w:rPr>
                <w:rFonts w:eastAsia="Times New Roman"/>
                <w:sz w:val="20"/>
                <w:szCs w:val="20"/>
              </w:rPr>
            </w:pPr>
          </w:p>
        </w:tc>
        <w:tc>
          <w:tcPr>
            <w:tcW w:w="0" w:type="auto"/>
            <w:gridSpan w:val="3"/>
            <w:vAlign w:val="center"/>
            <w:hideMark/>
          </w:tcPr>
          <w:p w14:paraId="1337B055" w14:textId="77777777" w:rsidR="00000000" w:rsidRDefault="00405D16">
            <w:pPr>
              <w:spacing w:after="100"/>
              <w:rPr>
                <w:rFonts w:eastAsia="Times New Roman"/>
                <w:sz w:val="20"/>
                <w:szCs w:val="20"/>
              </w:rPr>
            </w:pPr>
          </w:p>
        </w:tc>
      </w:tr>
      <w:tr w:rsidR="00000000" w14:paraId="10E0A501" w14:textId="77777777">
        <w:trPr>
          <w:divId w:val="139620089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0B4F14C" w14:textId="77777777" w:rsidR="00000000" w:rsidRDefault="00405D16">
            <w:pPr>
              <w:spacing w:after="100"/>
              <w:rPr>
                <w:rFonts w:eastAsia="Times New Roman"/>
              </w:rPr>
            </w:pPr>
            <w:r>
              <w:rPr>
                <w:rFonts w:eastAsia="Times New Roman"/>
                <w:color w:val="000000"/>
                <w:sz w:val="18"/>
                <w:szCs w:val="18"/>
              </w:rPr>
              <w:t>Balance as of December 31, 2020</w:t>
            </w:r>
          </w:p>
        </w:tc>
        <w:tc>
          <w:tcPr>
            <w:tcW w:w="0" w:type="auto"/>
            <w:gridSpan w:val="3"/>
            <w:shd w:val="clear" w:color="auto" w:fill="CCEEFF"/>
            <w:tcMar>
              <w:top w:w="0" w:type="dxa"/>
              <w:left w:w="20" w:type="dxa"/>
              <w:bottom w:w="0" w:type="dxa"/>
              <w:right w:w="20" w:type="dxa"/>
            </w:tcMar>
            <w:vAlign w:val="center"/>
            <w:hideMark/>
          </w:tcPr>
          <w:p w14:paraId="7899B95D"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C690CF0"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522193F" w14:textId="77777777" w:rsidR="00000000" w:rsidRDefault="00405D16">
            <w:pPr>
              <w:spacing w:after="100"/>
              <w:jc w:val="right"/>
              <w:rPr>
                <w:rFonts w:eastAsia="Times New Roman"/>
              </w:rPr>
            </w:pPr>
            <w:r>
              <w:rPr>
                <w:rFonts w:eastAsia="Times New Roman"/>
                <w:color w:val="000000"/>
                <w:sz w:val="18"/>
                <w:szCs w:val="18"/>
              </w:rPr>
              <w:t>5,088 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82F595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83DF3C"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D17DF35"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7DAC900" w14:textId="77777777" w:rsidR="00000000" w:rsidRDefault="00405D16">
            <w:pPr>
              <w:spacing w:after="100"/>
              <w:jc w:val="right"/>
              <w:rPr>
                <w:rFonts w:eastAsia="Times New Roman"/>
              </w:rPr>
            </w:pPr>
            <w:r>
              <w:rPr>
                <w:rFonts w:eastAsia="Times New Roman"/>
                <w:color w:val="000000"/>
                <w:sz w:val="18"/>
                <w:szCs w:val="18"/>
              </w:rPr>
              <w:t>4,645 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F5DC93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FBF528"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BF8B448"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F290332" w14:textId="77777777" w:rsidR="00000000" w:rsidRDefault="00405D16">
            <w:pPr>
              <w:spacing w:after="100"/>
              <w:jc w:val="right"/>
              <w:rPr>
                <w:rFonts w:eastAsia="Times New Roman"/>
              </w:rPr>
            </w:pPr>
            <w:r>
              <w:rPr>
                <w:rFonts w:eastAsia="Times New Roman"/>
                <w:color w:val="000000"/>
                <w:sz w:val="18"/>
                <w:szCs w:val="18"/>
              </w:rPr>
              <w:t>4,920 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36C9B9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999E3C"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8584E59"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EC26B0D" w14:textId="77777777" w:rsidR="00000000" w:rsidRDefault="00405D16">
            <w:pPr>
              <w:spacing w:after="100"/>
              <w:jc w:val="right"/>
              <w:rPr>
                <w:rFonts w:eastAsia="Times New Roman"/>
              </w:rPr>
            </w:pPr>
            <w:r>
              <w:rPr>
                <w:rFonts w:eastAsia="Times New Roman"/>
                <w:color w:val="000000"/>
                <w:sz w:val="18"/>
                <w:szCs w:val="18"/>
              </w:rPr>
              <w:t>14,653 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3918679" w14:textId="77777777" w:rsidR="00000000" w:rsidRDefault="00405D16">
            <w:pPr>
              <w:spacing w:after="100"/>
              <w:jc w:val="right"/>
              <w:rPr>
                <w:rFonts w:eastAsia="Times New Roman"/>
              </w:rPr>
            </w:pPr>
          </w:p>
        </w:tc>
      </w:tr>
      <w:tr w:rsidR="00000000" w14:paraId="623F531D" w14:textId="77777777">
        <w:trPr>
          <w:divId w:val="1396200894"/>
        </w:trPr>
        <w:tc>
          <w:tcPr>
            <w:tcW w:w="0" w:type="auto"/>
            <w:gridSpan w:val="3"/>
            <w:vAlign w:val="center"/>
            <w:hideMark/>
          </w:tcPr>
          <w:p w14:paraId="1526D110" w14:textId="77777777" w:rsidR="00000000" w:rsidRDefault="00405D16">
            <w:pPr>
              <w:spacing w:after="100"/>
              <w:jc w:val="right"/>
              <w:rPr>
                <w:rFonts w:eastAsia="Times New Roman"/>
                <w:sz w:val="20"/>
                <w:szCs w:val="20"/>
              </w:rPr>
            </w:pPr>
          </w:p>
        </w:tc>
        <w:tc>
          <w:tcPr>
            <w:tcW w:w="0" w:type="auto"/>
            <w:gridSpan w:val="3"/>
            <w:vAlign w:val="center"/>
            <w:hideMark/>
          </w:tcPr>
          <w:p w14:paraId="0D2F010C" w14:textId="77777777" w:rsidR="00000000" w:rsidRDefault="00405D16">
            <w:pPr>
              <w:spacing w:after="100"/>
              <w:rPr>
                <w:rFonts w:eastAsia="Times New Roman"/>
                <w:sz w:val="20"/>
                <w:szCs w:val="20"/>
              </w:rPr>
            </w:pPr>
          </w:p>
        </w:tc>
        <w:tc>
          <w:tcPr>
            <w:tcW w:w="0" w:type="auto"/>
            <w:gridSpan w:val="3"/>
            <w:vAlign w:val="center"/>
            <w:hideMark/>
          </w:tcPr>
          <w:p w14:paraId="5F47DF9B" w14:textId="77777777" w:rsidR="00000000" w:rsidRDefault="00405D16">
            <w:pPr>
              <w:spacing w:after="100"/>
              <w:rPr>
                <w:rFonts w:eastAsia="Times New Roman"/>
                <w:sz w:val="20"/>
                <w:szCs w:val="20"/>
              </w:rPr>
            </w:pPr>
          </w:p>
        </w:tc>
        <w:tc>
          <w:tcPr>
            <w:tcW w:w="0" w:type="auto"/>
            <w:gridSpan w:val="3"/>
            <w:vAlign w:val="center"/>
            <w:hideMark/>
          </w:tcPr>
          <w:p w14:paraId="635A2AA1" w14:textId="77777777" w:rsidR="00000000" w:rsidRDefault="00405D16">
            <w:pPr>
              <w:spacing w:after="100"/>
              <w:rPr>
                <w:rFonts w:eastAsia="Times New Roman"/>
                <w:sz w:val="20"/>
                <w:szCs w:val="20"/>
              </w:rPr>
            </w:pPr>
          </w:p>
        </w:tc>
        <w:tc>
          <w:tcPr>
            <w:tcW w:w="0" w:type="auto"/>
            <w:gridSpan w:val="3"/>
            <w:vAlign w:val="center"/>
            <w:hideMark/>
          </w:tcPr>
          <w:p w14:paraId="15223CDB" w14:textId="77777777" w:rsidR="00000000" w:rsidRDefault="00405D16">
            <w:pPr>
              <w:spacing w:after="100"/>
              <w:rPr>
                <w:rFonts w:eastAsia="Times New Roman"/>
                <w:sz w:val="20"/>
                <w:szCs w:val="20"/>
              </w:rPr>
            </w:pPr>
          </w:p>
        </w:tc>
        <w:tc>
          <w:tcPr>
            <w:tcW w:w="0" w:type="auto"/>
            <w:gridSpan w:val="3"/>
            <w:vAlign w:val="center"/>
            <w:hideMark/>
          </w:tcPr>
          <w:p w14:paraId="5D855348" w14:textId="77777777" w:rsidR="00000000" w:rsidRDefault="00405D16">
            <w:pPr>
              <w:spacing w:after="100"/>
              <w:rPr>
                <w:rFonts w:eastAsia="Times New Roman"/>
                <w:sz w:val="20"/>
                <w:szCs w:val="20"/>
              </w:rPr>
            </w:pPr>
          </w:p>
        </w:tc>
        <w:tc>
          <w:tcPr>
            <w:tcW w:w="0" w:type="auto"/>
            <w:gridSpan w:val="3"/>
            <w:vAlign w:val="center"/>
            <w:hideMark/>
          </w:tcPr>
          <w:p w14:paraId="5ED8D40F" w14:textId="77777777" w:rsidR="00000000" w:rsidRDefault="00405D16">
            <w:pPr>
              <w:spacing w:after="100"/>
              <w:rPr>
                <w:rFonts w:eastAsia="Times New Roman"/>
                <w:sz w:val="20"/>
                <w:szCs w:val="20"/>
              </w:rPr>
            </w:pPr>
          </w:p>
        </w:tc>
        <w:tc>
          <w:tcPr>
            <w:tcW w:w="0" w:type="auto"/>
            <w:gridSpan w:val="3"/>
            <w:vAlign w:val="center"/>
            <w:hideMark/>
          </w:tcPr>
          <w:p w14:paraId="3F4C3AA9" w14:textId="77777777" w:rsidR="00000000" w:rsidRDefault="00405D16">
            <w:pPr>
              <w:spacing w:after="100"/>
              <w:rPr>
                <w:rFonts w:eastAsia="Times New Roman"/>
                <w:sz w:val="20"/>
                <w:szCs w:val="20"/>
              </w:rPr>
            </w:pPr>
          </w:p>
        </w:tc>
        <w:tc>
          <w:tcPr>
            <w:tcW w:w="0" w:type="auto"/>
            <w:gridSpan w:val="3"/>
            <w:vAlign w:val="center"/>
            <w:hideMark/>
          </w:tcPr>
          <w:p w14:paraId="6A733EDB" w14:textId="77777777" w:rsidR="00000000" w:rsidRDefault="00405D16">
            <w:pPr>
              <w:spacing w:after="100"/>
              <w:rPr>
                <w:rFonts w:eastAsia="Times New Roman"/>
                <w:sz w:val="20"/>
                <w:szCs w:val="20"/>
              </w:rPr>
            </w:pPr>
          </w:p>
        </w:tc>
      </w:tr>
      <w:tr w:rsidR="00000000" w14:paraId="13AB1758" w14:textId="77777777">
        <w:trPr>
          <w:divId w:val="1396200894"/>
        </w:trPr>
        <w:tc>
          <w:tcPr>
            <w:tcW w:w="0" w:type="auto"/>
            <w:gridSpan w:val="3"/>
            <w:vAlign w:val="center"/>
            <w:hideMark/>
          </w:tcPr>
          <w:p w14:paraId="32646D88" w14:textId="77777777" w:rsidR="00000000" w:rsidRDefault="00405D16">
            <w:pPr>
              <w:spacing w:after="100"/>
              <w:rPr>
                <w:rFonts w:eastAsia="Times New Roman"/>
                <w:sz w:val="20"/>
                <w:szCs w:val="20"/>
              </w:rPr>
            </w:pPr>
          </w:p>
        </w:tc>
        <w:tc>
          <w:tcPr>
            <w:tcW w:w="0" w:type="auto"/>
            <w:gridSpan w:val="3"/>
            <w:vAlign w:val="center"/>
            <w:hideMark/>
          </w:tcPr>
          <w:p w14:paraId="51CAC6C2" w14:textId="77777777" w:rsidR="00000000" w:rsidRDefault="00405D16">
            <w:pPr>
              <w:spacing w:after="100"/>
              <w:rPr>
                <w:rFonts w:eastAsia="Times New Roman"/>
                <w:sz w:val="20"/>
                <w:szCs w:val="20"/>
              </w:rPr>
            </w:pPr>
          </w:p>
        </w:tc>
        <w:tc>
          <w:tcPr>
            <w:tcW w:w="0" w:type="auto"/>
            <w:gridSpan w:val="3"/>
            <w:vAlign w:val="center"/>
            <w:hideMark/>
          </w:tcPr>
          <w:p w14:paraId="6B37DDD6" w14:textId="77777777" w:rsidR="00000000" w:rsidRDefault="00405D16">
            <w:pPr>
              <w:spacing w:after="100"/>
              <w:rPr>
                <w:rFonts w:eastAsia="Times New Roman"/>
                <w:sz w:val="20"/>
                <w:szCs w:val="20"/>
              </w:rPr>
            </w:pPr>
          </w:p>
        </w:tc>
        <w:tc>
          <w:tcPr>
            <w:tcW w:w="0" w:type="auto"/>
            <w:gridSpan w:val="3"/>
            <w:vAlign w:val="center"/>
            <w:hideMark/>
          </w:tcPr>
          <w:p w14:paraId="59464105" w14:textId="77777777" w:rsidR="00000000" w:rsidRDefault="00405D16">
            <w:pPr>
              <w:spacing w:after="100"/>
              <w:rPr>
                <w:rFonts w:eastAsia="Times New Roman"/>
                <w:sz w:val="20"/>
                <w:szCs w:val="20"/>
              </w:rPr>
            </w:pPr>
          </w:p>
        </w:tc>
        <w:tc>
          <w:tcPr>
            <w:tcW w:w="0" w:type="auto"/>
            <w:gridSpan w:val="3"/>
            <w:vAlign w:val="center"/>
            <w:hideMark/>
          </w:tcPr>
          <w:p w14:paraId="77393468" w14:textId="77777777" w:rsidR="00000000" w:rsidRDefault="00405D16">
            <w:pPr>
              <w:spacing w:after="100"/>
              <w:rPr>
                <w:rFonts w:eastAsia="Times New Roman"/>
                <w:sz w:val="20"/>
                <w:szCs w:val="20"/>
              </w:rPr>
            </w:pPr>
          </w:p>
        </w:tc>
        <w:tc>
          <w:tcPr>
            <w:tcW w:w="0" w:type="auto"/>
            <w:gridSpan w:val="3"/>
            <w:vAlign w:val="center"/>
            <w:hideMark/>
          </w:tcPr>
          <w:p w14:paraId="689C6095" w14:textId="77777777" w:rsidR="00000000" w:rsidRDefault="00405D16">
            <w:pPr>
              <w:spacing w:after="100"/>
              <w:rPr>
                <w:rFonts w:eastAsia="Times New Roman"/>
                <w:sz w:val="20"/>
                <w:szCs w:val="20"/>
              </w:rPr>
            </w:pPr>
          </w:p>
        </w:tc>
        <w:tc>
          <w:tcPr>
            <w:tcW w:w="0" w:type="auto"/>
            <w:gridSpan w:val="3"/>
            <w:vAlign w:val="center"/>
            <w:hideMark/>
          </w:tcPr>
          <w:p w14:paraId="5232160F" w14:textId="77777777" w:rsidR="00000000" w:rsidRDefault="00405D16">
            <w:pPr>
              <w:spacing w:after="100"/>
              <w:rPr>
                <w:rFonts w:eastAsia="Times New Roman"/>
                <w:sz w:val="20"/>
                <w:szCs w:val="20"/>
              </w:rPr>
            </w:pPr>
          </w:p>
        </w:tc>
        <w:tc>
          <w:tcPr>
            <w:tcW w:w="0" w:type="auto"/>
            <w:gridSpan w:val="3"/>
            <w:vAlign w:val="center"/>
            <w:hideMark/>
          </w:tcPr>
          <w:p w14:paraId="668526CC" w14:textId="77777777" w:rsidR="00000000" w:rsidRDefault="00405D16">
            <w:pPr>
              <w:spacing w:after="100"/>
              <w:rPr>
                <w:rFonts w:eastAsia="Times New Roman"/>
                <w:sz w:val="20"/>
                <w:szCs w:val="20"/>
              </w:rPr>
            </w:pPr>
          </w:p>
        </w:tc>
        <w:tc>
          <w:tcPr>
            <w:tcW w:w="0" w:type="auto"/>
            <w:gridSpan w:val="3"/>
            <w:vAlign w:val="center"/>
            <w:hideMark/>
          </w:tcPr>
          <w:p w14:paraId="1D2E48C9" w14:textId="77777777" w:rsidR="00000000" w:rsidRDefault="00405D16">
            <w:pPr>
              <w:spacing w:after="100"/>
              <w:rPr>
                <w:rFonts w:eastAsia="Times New Roman"/>
                <w:sz w:val="20"/>
                <w:szCs w:val="20"/>
              </w:rPr>
            </w:pPr>
          </w:p>
        </w:tc>
      </w:tr>
      <w:tr w:rsidR="00000000" w14:paraId="4F574970" w14:textId="77777777">
        <w:trPr>
          <w:divId w:val="1396200894"/>
        </w:trPr>
        <w:tc>
          <w:tcPr>
            <w:tcW w:w="0" w:type="auto"/>
            <w:gridSpan w:val="3"/>
            <w:shd w:val="clear" w:color="auto" w:fill="FFFFFF"/>
            <w:tcMar>
              <w:top w:w="30" w:type="dxa"/>
              <w:left w:w="20" w:type="dxa"/>
              <w:bottom w:w="30" w:type="dxa"/>
              <w:right w:w="20" w:type="dxa"/>
            </w:tcMar>
            <w:vAlign w:val="center"/>
            <w:hideMark/>
          </w:tcPr>
          <w:p w14:paraId="25AB5A05" w14:textId="77777777" w:rsidR="00000000" w:rsidRDefault="00405D16">
            <w:pPr>
              <w:spacing w:after="100"/>
              <w:divId w:val="1507011318"/>
              <w:rPr>
                <w:rFonts w:eastAsia="Times New Roman"/>
              </w:rPr>
            </w:pPr>
            <w:r>
              <w:rPr>
                <w:rFonts w:eastAsia="Times New Roman"/>
                <w:color w:val="000000"/>
                <w:sz w:val="18"/>
                <w:szCs w:val="18"/>
              </w:rPr>
              <w:t>Other adjustment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39A93D7F"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CA8F626" w14:textId="77777777" w:rsidR="00000000" w:rsidRDefault="00405D16">
            <w:pPr>
              <w:spacing w:after="100"/>
              <w:jc w:val="right"/>
              <w:rPr>
                <w:rFonts w:eastAsia="Times New Roman"/>
              </w:rPr>
            </w:pPr>
            <w:r>
              <w:rPr>
                <w:rFonts w:eastAsia="Times New Roman"/>
                <w:b/>
                <w:bCs/>
                <w:color w:val="000000"/>
                <w:sz w:val="18"/>
                <w:szCs w:val="18"/>
              </w:rPr>
              <w:t>(1)</w:t>
            </w:r>
          </w:p>
        </w:tc>
        <w:tc>
          <w:tcPr>
            <w:tcW w:w="0" w:type="auto"/>
            <w:shd w:val="clear" w:color="auto" w:fill="FFFFFF"/>
            <w:tcMar>
              <w:top w:w="30" w:type="dxa"/>
              <w:left w:w="0" w:type="dxa"/>
              <w:bottom w:w="30" w:type="dxa"/>
              <w:right w:w="20" w:type="dxa"/>
            </w:tcMar>
            <w:vAlign w:val="center"/>
            <w:hideMark/>
          </w:tcPr>
          <w:p w14:paraId="68F7CE7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B7BF9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53CAA1C"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356FA3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CA0E8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49C6F98"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071DB2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F2600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F5BEBF3" w14:textId="77777777" w:rsidR="00000000" w:rsidRDefault="00405D16">
            <w:pPr>
              <w:spacing w:after="100"/>
              <w:jc w:val="right"/>
              <w:rPr>
                <w:rFonts w:eastAsia="Times New Roman"/>
              </w:rPr>
            </w:pPr>
            <w:r>
              <w:rPr>
                <w:rFonts w:eastAsia="Times New Roman"/>
                <w:b/>
                <w:bCs/>
                <w:color w:val="000000"/>
                <w:sz w:val="18"/>
                <w:szCs w:val="18"/>
              </w:rPr>
              <w:t>(1)</w:t>
            </w:r>
          </w:p>
        </w:tc>
        <w:tc>
          <w:tcPr>
            <w:tcW w:w="0" w:type="auto"/>
            <w:shd w:val="clear" w:color="auto" w:fill="FFFFFF"/>
            <w:tcMar>
              <w:top w:w="30" w:type="dxa"/>
              <w:left w:w="0" w:type="dxa"/>
              <w:bottom w:w="30" w:type="dxa"/>
              <w:right w:w="20" w:type="dxa"/>
            </w:tcMar>
            <w:vAlign w:val="center"/>
            <w:hideMark/>
          </w:tcPr>
          <w:p w14:paraId="1477B494" w14:textId="77777777" w:rsidR="00000000" w:rsidRDefault="00405D16">
            <w:pPr>
              <w:spacing w:after="100"/>
              <w:jc w:val="right"/>
              <w:rPr>
                <w:rFonts w:eastAsia="Times New Roman"/>
              </w:rPr>
            </w:pPr>
          </w:p>
        </w:tc>
      </w:tr>
      <w:tr w:rsidR="00000000" w14:paraId="6D30E1F9" w14:textId="77777777">
        <w:trPr>
          <w:divId w:val="1396200894"/>
        </w:trPr>
        <w:tc>
          <w:tcPr>
            <w:tcW w:w="0" w:type="auto"/>
            <w:gridSpan w:val="3"/>
            <w:shd w:val="clear" w:color="auto" w:fill="CCEEFF"/>
            <w:tcMar>
              <w:top w:w="30" w:type="dxa"/>
              <w:left w:w="20" w:type="dxa"/>
              <w:bottom w:w="30" w:type="dxa"/>
              <w:right w:w="20" w:type="dxa"/>
            </w:tcMar>
            <w:vAlign w:val="center"/>
            <w:hideMark/>
          </w:tcPr>
          <w:p w14:paraId="62A925F4" w14:textId="77777777" w:rsidR="00000000" w:rsidRDefault="00405D16">
            <w:pPr>
              <w:spacing w:after="100"/>
              <w:rPr>
                <w:rFonts w:eastAsia="Times New Roman"/>
              </w:rPr>
            </w:pPr>
            <w:r>
              <w:rPr>
                <w:rFonts w:eastAsia="Times New Roman"/>
                <w:color w:val="000000"/>
                <w:sz w:val="18"/>
                <w:szCs w:val="18"/>
              </w:rPr>
              <w:t>Balance as of September 30, 2021</w:t>
            </w:r>
          </w:p>
        </w:tc>
        <w:tc>
          <w:tcPr>
            <w:tcW w:w="0" w:type="auto"/>
            <w:gridSpan w:val="3"/>
            <w:shd w:val="clear" w:color="auto" w:fill="CCEEFF"/>
            <w:tcMar>
              <w:top w:w="0" w:type="dxa"/>
              <w:left w:w="20" w:type="dxa"/>
              <w:bottom w:w="0" w:type="dxa"/>
              <w:right w:w="20" w:type="dxa"/>
            </w:tcMar>
            <w:vAlign w:val="center"/>
            <w:hideMark/>
          </w:tcPr>
          <w:p w14:paraId="0E21DA6F"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3C5912B"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D5EE4FB" w14:textId="77777777" w:rsidR="00000000" w:rsidRDefault="00405D16">
            <w:pPr>
              <w:spacing w:after="100"/>
              <w:jc w:val="right"/>
              <w:rPr>
                <w:rFonts w:eastAsia="Times New Roman"/>
              </w:rPr>
            </w:pPr>
            <w:r>
              <w:rPr>
                <w:rFonts w:eastAsia="Times New Roman"/>
                <w:b/>
                <w:bCs/>
                <w:color w:val="000000"/>
                <w:sz w:val="18"/>
                <w:szCs w:val="18"/>
              </w:rPr>
              <w:t>5,087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C833A2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5B33F4"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2E4D130"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F39E518" w14:textId="77777777" w:rsidR="00000000" w:rsidRDefault="00405D16">
            <w:pPr>
              <w:spacing w:after="100"/>
              <w:jc w:val="right"/>
              <w:rPr>
                <w:rFonts w:eastAsia="Times New Roman"/>
              </w:rPr>
            </w:pPr>
            <w:r>
              <w:rPr>
                <w:rFonts w:eastAsia="Times New Roman"/>
                <w:b/>
                <w:bCs/>
                <w:color w:val="000000"/>
                <w:sz w:val="18"/>
                <w:szCs w:val="18"/>
              </w:rPr>
              <w:t>4,645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B16AE9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34039C"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67B5915"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5153333" w14:textId="77777777" w:rsidR="00000000" w:rsidRDefault="00405D16">
            <w:pPr>
              <w:spacing w:after="100"/>
              <w:jc w:val="right"/>
              <w:rPr>
                <w:rFonts w:eastAsia="Times New Roman"/>
              </w:rPr>
            </w:pPr>
            <w:r>
              <w:rPr>
                <w:rFonts w:eastAsia="Times New Roman"/>
                <w:b/>
                <w:bCs/>
                <w:color w:val="000000"/>
                <w:sz w:val="18"/>
                <w:szCs w:val="18"/>
              </w:rPr>
              <w:t>4,920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95A0AA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58CFA4"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002287FF"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7C7E4B4" w14:textId="77777777" w:rsidR="00000000" w:rsidRDefault="00405D16">
            <w:pPr>
              <w:spacing w:after="100"/>
              <w:jc w:val="right"/>
              <w:rPr>
                <w:rFonts w:eastAsia="Times New Roman"/>
              </w:rPr>
            </w:pPr>
            <w:r>
              <w:rPr>
                <w:rFonts w:eastAsia="Times New Roman"/>
                <w:b/>
                <w:bCs/>
                <w:color w:val="000000"/>
                <w:sz w:val="18"/>
                <w:szCs w:val="18"/>
              </w:rPr>
              <w:t>14,652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A9DA788" w14:textId="77777777" w:rsidR="00000000" w:rsidRDefault="00405D16">
            <w:pPr>
              <w:spacing w:after="100"/>
              <w:jc w:val="right"/>
              <w:rPr>
                <w:rFonts w:eastAsia="Times New Roman"/>
              </w:rPr>
            </w:pPr>
          </w:p>
        </w:tc>
      </w:tr>
    </w:tbl>
    <w:p w14:paraId="0759F7EF" w14:textId="77777777" w:rsidR="00000000" w:rsidRDefault="00405D16">
      <w:pPr>
        <w:divId w:val="1396200894"/>
        <w:rPr>
          <w:rFonts w:eastAsia="Times New Roman"/>
        </w:rPr>
      </w:pPr>
      <w:r>
        <w:rPr>
          <w:rFonts w:eastAsia="Times New Roman"/>
          <w:color w:val="000000"/>
          <w:sz w:val="20"/>
          <w:szCs w:val="20"/>
        </w:rPr>
        <w:t>__________</w:t>
      </w:r>
    </w:p>
    <w:p w14:paraId="218943A6" w14:textId="77777777" w:rsidR="00000000" w:rsidRDefault="00405D16">
      <w:pPr>
        <w:ind w:hanging="360"/>
        <w:jc w:val="both"/>
        <w:divId w:val="1959946892"/>
        <w:rPr>
          <w:rFonts w:eastAsia="Times New Roman"/>
        </w:rPr>
      </w:pPr>
      <w:r>
        <w:rPr>
          <w:rFonts w:eastAsia="Times New Roman"/>
          <w:color w:val="000000"/>
          <w:sz w:val="10"/>
          <w:szCs w:val="10"/>
          <w:shd w:val="clear" w:color="auto" w:fill="FFFFFF"/>
        </w:rPr>
        <w:t>(1</w:t>
      </w:r>
      <w:r>
        <w:rPr>
          <w:rFonts w:eastAsia="Times New Roman"/>
          <w:color w:val="000000"/>
          <w:sz w:val="10"/>
          <w:szCs w:val="10"/>
          <w:shd w:val="clear" w:color="auto" w:fill="FFFFFF"/>
        </w:rPr>
        <w:t>)</w:t>
      </w:r>
      <w:r>
        <w:rPr>
          <w:rFonts w:eastAsia="Times New Roman"/>
          <w:color w:val="000000"/>
          <w:sz w:val="16"/>
          <w:szCs w:val="16"/>
          <w:shd w:val="clear" w:color="auto" w:fill="FFFFFF"/>
        </w:rPr>
        <w:t>Represents foreign currency translation adjustments.</w:t>
      </w:r>
    </w:p>
    <w:tbl>
      <w:tblPr>
        <w:tblW w:w="4992" w:type="pct"/>
        <w:tblCellMar>
          <w:top w:w="15" w:type="dxa"/>
          <w:left w:w="15" w:type="dxa"/>
          <w:bottom w:w="15" w:type="dxa"/>
          <w:right w:w="15" w:type="dxa"/>
        </w:tblCellMar>
        <w:tblLook w:val="04A0" w:firstRow="1" w:lastRow="0" w:firstColumn="1" w:lastColumn="0" w:noHBand="0" w:noVBand="1"/>
      </w:tblPr>
      <w:tblGrid>
        <w:gridCol w:w="61"/>
        <w:gridCol w:w="7282"/>
        <w:gridCol w:w="36"/>
        <w:gridCol w:w="36"/>
        <w:gridCol w:w="36"/>
        <w:gridCol w:w="36"/>
        <w:gridCol w:w="46"/>
        <w:gridCol w:w="724"/>
        <w:gridCol w:w="36"/>
      </w:tblGrid>
      <w:tr w:rsidR="00000000" w14:paraId="5BE2B106" w14:textId="77777777">
        <w:trPr>
          <w:divId w:val="224417347"/>
        </w:trPr>
        <w:tc>
          <w:tcPr>
            <w:tcW w:w="50" w:type="pct"/>
            <w:vAlign w:val="center"/>
            <w:hideMark/>
          </w:tcPr>
          <w:p w14:paraId="29F4F725" w14:textId="77777777" w:rsidR="00000000" w:rsidRDefault="00405D16">
            <w:pPr>
              <w:ind w:hanging="360"/>
              <w:jc w:val="both"/>
              <w:rPr>
                <w:rFonts w:eastAsia="Times New Roman"/>
              </w:rPr>
            </w:pPr>
          </w:p>
        </w:tc>
        <w:tc>
          <w:tcPr>
            <w:tcW w:w="4403" w:type="pct"/>
            <w:vAlign w:val="center"/>
            <w:hideMark/>
          </w:tcPr>
          <w:p w14:paraId="35BA16FE" w14:textId="77777777" w:rsidR="00000000" w:rsidRDefault="00405D16">
            <w:pPr>
              <w:spacing w:after="100"/>
              <w:rPr>
                <w:rFonts w:eastAsia="Times New Roman"/>
                <w:sz w:val="20"/>
                <w:szCs w:val="20"/>
              </w:rPr>
            </w:pPr>
          </w:p>
        </w:tc>
        <w:tc>
          <w:tcPr>
            <w:tcW w:w="5" w:type="pct"/>
            <w:vAlign w:val="center"/>
            <w:hideMark/>
          </w:tcPr>
          <w:p w14:paraId="3F10CBDD" w14:textId="77777777" w:rsidR="00000000" w:rsidRDefault="00405D16">
            <w:pPr>
              <w:spacing w:after="100"/>
              <w:rPr>
                <w:rFonts w:eastAsia="Times New Roman"/>
                <w:sz w:val="20"/>
                <w:szCs w:val="20"/>
              </w:rPr>
            </w:pPr>
          </w:p>
        </w:tc>
        <w:tc>
          <w:tcPr>
            <w:tcW w:w="5" w:type="pct"/>
            <w:vAlign w:val="center"/>
            <w:hideMark/>
          </w:tcPr>
          <w:p w14:paraId="0269C2F8" w14:textId="77777777" w:rsidR="00000000" w:rsidRDefault="00405D16">
            <w:pPr>
              <w:spacing w:after="100"/>
              <w:rPr>
                <w:rFonts w:eastAsia="Times New Roman"/>
                <w:sz w:val="20"/>
                <w:szCs w:val="20"/>
              </w:rPr>
            </w:pPr>
          </w:p>
        </w:tc>
        <w:tc>
          <w:tcPr>
            <w:tcW w:w="26" w:type="pct"/>
            <w:vAlign w:val="center"/>
            <w:hideMark/>
          </w:tcPr>
          <w:p w14:paraId="2E6943DD" w14:textId="77777777" w:rsidR="00000000" w:rsidRDefault="00405D16">
            <w:pPr>
              <w:spacing w:after="100"/>
              <w:rPr>
                <w:rFonts w:eastAsia="Times New Roman"/>
                <w:sz w:val="20"/>
                <w:szCs w:val="20"/>
              </w:rPr>
            </w:pPr>
          </w:p>
        </w:tc>
        <w:tc>
          <w:tcPr>
            <w:tcW w:w="5" w:type="pct"/>
            <w:vAlign w:val="center"/>
            <w:hideMark/>
          </w:tcPr>
          <w:p w14:paraId="175D4FBB" w14:textId="77777777" w:rsidR="00000000" w:rsidRDefault="00405D16">
            <w:pPr>
              <w:spacing w:after="100"/>
              <w:rPr>
                <w:rFonts w:eastAsia="Times New Roman"/>
                <w:sz w:val="20"/>
                <w:szCs w:val="20"/>
              </w:rPr>
            </w:pPr>
          </w:p>
        </w:tc>
        <w:tc>
          <w:tcPr>
            <w:tcW w:w="50" w:type="pct"/>
            <w:vAlign w:val="center"/>
            <w:hideMark/>
          </w:tcPr>
          <w:p w14:paraId="71C86643" w14:textId="77777777" w:rsidR="00000000" w:rsidRDefault="00405D16">
            <w:pPr>
              <w:spacing w:after="100"/>
              <w:rPr>
                <w:rFonts w:eastAsia="Times New Roman"/>
                <w:sz w:val="20"/>
                <w:szCs w:val="20"/>
              </w:rPr>
            </w:pPr>
          </w:p>
        </w:tc>
        <w:tc>
          <w:tcPr>
            <w:tcW w:w="450" w:type="pct"/>
            <w:vAlign w:val="center"/>
            <w:hideMark/>
          </w:tcPr>
          <w:p w14:paraId="3008146C" w14:textId="77777777" w:rsidR="00000000" w:rsidRDefault="00405D16">
            <w:pPr>
              <w:spacing w:after="100"/>
              <w:rPr>
                <w:rFonts w:eastAsia="Times New Roman"/>
                <w:sz w:val="20"/>
                <w:szCs w:val="20"/>
              </w:rPr>
            </w:pPr>
          </w:p>
        </w:tc>
        <w:tc>
          <w:tcPr>
            <w:tcW w:w="5" w:type="pct"/>
            <w:vAlign w:val="center"/>
            <w:hideMark/>
          </w:tcPr>
          <w:p w14:paraId="41044548" w14:textId="77777777" w:rsidR="00000000" w:rsidRDefault="00405D16">
            <w:pPr>
              <w:spacing w:after="100"/>
              <w:rPr>
                <w:rFonts w:eastAsia="Times New Roman"/>
                <w:sz w:val="20"/>
                <w:szCs w:val="20"/>
              </w:rPr>
            </w:pPr>
          </w:p>
        </w:tc>
      </w:tr>
      <w:tr w:rsidR="00000000" w14:paraId="0B21FFE3" w14:textId="77777777">
        <w:trPr>
          <w:divId w:val="224417347"/>
          <w:trHeight w:val="60"/>
        </w:trPr>
        <w:tc>
          <w:tcPr>
            <w:tcW w:w="0" w:type="auto"/>
            <w:gridSpan w:val="9"/>
            <w:tcMar>
              <w:top w:w="0" w:type="dxa"/>
              <w:left w:w="20" w:type="dxa"/>
              <w:bottom w:w="0" w:type="dxa"/>
              <w:right w:w="20" w:type="dxa"/>
            </w:tcMar>
            <w:vAlign w:val="center"/>
            <w:hideMark/>
          </w:tcPr>
          <w:p w14:paraId="22AE132A" w14:textId="77777777" w:rsidR="00000000" w:rsidRDefault="00405D16">
            <w:pPr>
              <w:spacing w:after="100"/>
              <w:rPr>
                <w:rFonts w:eastAsia="Times New Roman"/>
                <w:sz w:val="20"/>
                <w:szCs w:val="20"/>
              </w:rPr>
            </w:pPr>
          </w:p>
        </w:tc>
      </w:tr>
      <w:tr w:rsidR="00000000" w14:paraId="19351CF7" w14:textId="77777777">
        <w:trPr>
          <w:divId w:val="224417347"/>
        </w:trPr>
        <w:tc>
          <w:tcPr>
            <w:tcW w:w="0" w:type="auto"/>
            <w:gridSpan w:val="3"/>
            <w:vAlign w:val="center"/>
            <w:hideMark/>
          </w:tcPr>
          <w:p w14:paraId="326261D6" w14:textId="77777777" w:rsidR="00000000" w:rsidRDefault="00405D16">
            <w:pPr>
              <w:spacing w:after="100"/>
              <w:rPr>
                <w:rFonts w:eastAsia="Times New Roman"/>
                <w:sz w:val="20"/>
                <w:szCs w:val="20"/>
              </w:rPr>
            </w:pPr>
          </w:p>
        </w:tc>
        <w:tc>
          <w:tcPr>
            <w:tcW w:w="0" w:type="auto"/>
            <w:gridSpan w:val="3"/>
            <w:vAlign w:val="center"/>
            <w:hideMark/>
          </w:tcPr>
          <w:p w14:paraId="03501554" w14:textId="77777777" w:rsidR="00000000" w:rsidRDefault="00405D16">
            <w:pPr>
              <w:spacing w:after="100"/>
              <w:rPr>
                <w:rFonts w:eastAsia="Times New Roman"/>
                <w:sz w:val="20"/>
                <w:szCs w:val="20"/>
              </w:rPr>
            </w:pPr>
          </w:p>
        </w:tc>
        <w:tc>
          <w:tcPr>
            <w:tcW w:w="0" w:type="auto"/>
            <w:gridSpan w:val="3"/>
            <w:vAlign w:val="center"/>
            <w:hideMark/>
          </w:tcPr>
          <w:p w14:paraId="324EEF0A" w14:textId="77777777" w:rsidR="00000000" w:rsidRDefault="00405D16">
            <w:pPr>
              <w:spacing w:after="100"/>
              <w:rPr>
                <w:rFonts w:eastAsia="Times New Roman"/>
                <w:sz w:val="20"/>
                <w:szCs w:val="20"/>
              </w:rPr>
            </w:pPr>
          </w:p>
        </w:tc>
      </w:tr>
      <w:tr w:rsidR="00000000" w14:paraId="55B85559" w14:textId="77777777">
        <w:trPr>
          <w:divId w:val="224417347"/>
        </w:trPr>
        <w:tc>
          <w:tcPr>
            <w:tcW w:w="0" w:type="auto"/>
            <w:gridSpan w:val="3"/>
            <w:vAlign w:val="center"/>
            <w:hideMark/>
          </w:tcPr>
          <w:p w14:paraId="25A50167" w14:textId="77777777" w:rsidR="00000000" w:rsidRDefault="00405D16">
            <w:pPr>
              <w:spacing w:after="100"/>
              <w:rPr>
                <w:rFonts w:eastAsia="Times New Roman"/>
                <w:sz w:val="20"/>
                <w:szCs w:val="20"/>
              </w:rPr>
            </w:pPr>
          </w:p>
        </w:tc>
        <w:tc>
          <w:tcPr>
            <w:tcW w:w="0" w:type="auto"/>
            <w:gridSpan w:val="3"/>
            <w:vAlign w:val="center"/>
            <w:hideMark/>
          </w:tcPr>
          <w:p w14:paraId="4633A5CF" w14:textId="77777777" w:rsidR="00000000" w:rsidRDefault="00405D16">
            <w:pPr>
              <w:spacing w:after="100"/>
              <w:rPr>
                <w:rFonts w:eastAsia="Times New Roman"/>
                <w:sz w:val="20"/>
                <w:szCs w:val="20"/>
              </w:rPr>
            </w:pPr>
          </w:p>
        </w:tc>
        <w:tc>
          <w:tcPr>
            <w:tcW w:w="0" w:type="auto"/>
            <w:gridSpan w:val="3"/>
            <w:vAlign w:val="center"/>
            <w:hideMark/>
          </w:tcPr>
          <w:p w14:paraId="466CC46D" w14:textId="77777777" w:rsidR="00000000" w:rsidRDefault="00405D16">
            <w:pPr>
              <w:spacing w:after="100"/>
              <w:rPr>
                <w:rFonts w:eastAsia="Times New Roman"/>
                <w:sz w:val="20"/>
                <w:szCs w:val="20"/>
              </w:rPr>
            </w:pPr>
          </w:p>
        </w:tc>
      </w:tr>
      <w:tr w:rsidR="00000000" w14:paraId="13C163C4" w14:textId="77777777">
        <w:trPr>
          <w:divId w:val="224417347"/>
        </w:trPr>
        <w:tc>
          <w:tcPr>
            <w:tcW w:w="0" w:type="auto"/>
            <w:gridSpan w:val="3"/>
            <w:vAlign w:val="center"/>
            <w:hideMark/>
          </w:tcPr>
          <w:p w14:paraId="1BAF29AD" w14:textId="77777777" w:rsidR="00000000" w:rsidRDefault="00405D16">
            <w:pPr>
              <w:spacing w:after="100"/>
              <w:rPr>
                <w:rFonts w:eastAsia="Times New Roman"/>
                <w:sz w:val="20"/>
                <w:szCs w:val="20"/>
              </w:rPr>
            </w:pPr>
          </w:p>
        </w:tc>
        <w:tc>
          <w:tcPr>
            <w:tcW w:w="0" w:type="auto"/>
            <w:gridSpan w:val="3"/>
            <w:vAlign w:val="center"/>
            <w:hideMark/>
          </w:tcPr>
          <w:p w14:paraId="29DE8C5E" w14:textId="77777777" w:rsidR="00000000" w:rsidRDefault="00405D16">
            <w:pPr>
              <w:spacing w:after="100"/>
              <w:rPr>
                <w:rFonts w:eastAsia="Times New Roman"/>
                <w:sz w:val="20"/>
                <w:szCs w:val="20"/>
              </w:rPr>
            </w:pPr>
          </w:p>
        </w:tc>
        <w:tc>
          <w:tcPr>
            <w:tcW w:w="0" w:type="auto"/>
            <w:gridSpan w:val="3"/>
            <w:vAlign w:val="center"/>
            <w:hideMark/>
          </w:tcPr>
          <w:p w14:paraId="59BBC6AB" w14:textId="77777777" w:rsidR="00000000" w:rsidRDefault="00405D16">
            <w:pPr>
              <w:spacing w:after="100"/>
              <w:rPr>
                <w:rFonts w:eastAsia="Times New Roman"/>
                <w:sz w:val="20"/>
                <w:szCs w:val="20"/>
              </w:rPr>
            </w:pPr>
          </w:p>
        </w:tc>
      </w:tr>
      <w:tr w:rsidR="00000000" w14:paraId="28A1EBBE" w14:textId="77777777">
        <w:trPr>
          <w:divId w:val="224417347"/>
        </w:trPr>
        <w:tc>
          <w:tcPr>
            <w:tcW w:w="0" w:type="auto"/>
            <w:gridSpan w:val="3"/>
            <w:vAlign w:val="center"/>
            <w:hideMark/>
          </w:tcPr>
          <w:p w14:paraId="7D1D2147" w14:textId="77777777" w:rsidR="00000000" w:rsidRDefault="00405D16">
            <w:pPr>
              <w:spacing w:after="100"/>
              <w:rPr>
                <w:rFonts w:eastAsia="Times New Roman"/>
                <w:sz w:val="20"/>
                <w:szCs w:val="20"/>
              </w:rPr>
            </w:pPr>
          </w:p>
        </w:tc>
        <w:tc>
          <w:tcPr>
            <w:tcW w:w="0" w:type="auto"/>
            <w:gridSpan w:val="3"/>
            <w:vAlign w:val="center"/>
            <w:hideMark/>
          </w:tcPr>
          <w:p w14:paraId="6192A125" w14:textId="77777777" w:rsidR="00000000" w:rsidRDefault="00405D16">
            <w:pPr>
              <w:spacing w:after="100"/>
              <w:rPr>
                <w:rFonts w:eastAsia="Times New Roman"/>
                <w:sz w:val="20"/>
                <w:szCs w:val="20"/>
              </w:rPr>
            </w:pPr>
          </w:p>
        </w:tc>
        <w:tc>
          <w:tcPr>
            <w:tcW w:w="0" w:type="auto"/>
            <w:gridSpan w:val="3"/>
            <w:vAlign w:val="center"/>
            <w:hideMark/>
          </w:tcPr>
          <w:p w14:paraId="513CE820" w14:textId="77777777" w:rsidR="00000000" w:rsidRDefault="00405D16">
            <w:pPr>
              <w:spacing w:after="100"/>
              <w:rPr>
                <w:rFonts w:eastAsia="Times New Roman"/>
                <w:sz w:val="20"/>
                <w:szCs w:val="20"/>
              </w:rPr>
            </w:pPr>
          </w:p>
        </w:tc>
      </w:tr>
      <w:tr w:rsidR="00000000" w14:paraId="6CFEB45C" w14:textId="77777777">
        <w:trPr>
          <w:divId w:val="224417347"/>
        </w:trPr>
        <w:tc>
          <w:tcPr>
            <w:tcW w:w="0" w:type="auto"/>
            <w:gridSpan w:val="3"/>
            <w:vAlign w:val="center"/>
            <w:hideMark/>
          </w:tcPr>
          <w:p w14:paraId="66DDA2E0" w14:textId="77777777" w:rsidR="00000000" w:rsidRDefault="00405D16">
            <w:pPr>
              <w:spacing w:after="100"/>
              <w:rPr>
                <w:rFonts w:eastAsia="Times New Roman"/>
                <w:sz w:val="20"/>
                <w:szCs w:val="20"/>
              </w:rPr>
            </w:pPr>
          </w:p>
        </w:tc>
        <w:tc>
          <w:tcPr>
            <w:tcW w:w="0" w:type="auto"/>
            <w:gridSpan w:val="3"/>
            <w:vAlign w:val="center"/>
            <w:hideMark/>
          </w:tcPr>
          <w:p w14:paraId="5FBE56D2" w14:textId="77777777" w:rsidR="00000000" w:rsidRDefault="00405D16">
            <w:pPr>
              <w:spacing w:after="100"/>
              <w:rPr>
                <w:rFonts w:eastAsia="Times New Roman"/>
                <w:sz w:val="20"/>
                <w:szCs w:val="20"/>
              </w:rPr>
            </w:pPr>
          </w:p>
        </w:tc>
        <w:tc>
          <w:tcPr>
            <w:tcW w:w="0" w:type="auto"/>
            <w:gridSpan w:val="3"/>
            <w:vAlign w:val="center"/>
            <w:hideMark/>
          </w:tcPr>
          <w:p w14:paraId="2415A243" w14:textId="77777777" w:rsidR="00000000" w:rsidRDefault="00405D16">
            <w:pPr>
              <w:spacing w:after="100"/>
              <w:rPr>
                <w:rFonts w:eastAsia="Times New Roman"/>
                <w:sz w:val="20"/>
                <w:szCs w:val="20"/>
              </w:rPr>
            </w:pPr>
          </w:p>
        </w:tc>
      </w:tr>
      <w:tr w:rsidR="00000000" w14:paraId="518A5FCF" w14:textId="77777777">
        <w:trPr>
          <w:divId w:val="224417347"/>
        </w:trPr>
        <w:tc>
          <w:tcPr>
            <w:tcW w:w="0" w:type="auto"/>
            <w:gridSpan w:val="3"/>
            <w:vAlign w:val="center"/>
            <w:hideMark/>
          </w:tcPr>
          <w:p w14:paraId="025A2D54" w14:textId="77777777" w:rsidR="00000000" w:rsidRDefault="00405D16">
            <w:pPr>
              <w:spacing w:after="100"/>
              <w:rPr>
                <w:rFonts w:eastAsia="Times New Roman"/>
                <w:sz w:val="20"/>
                <w:szCs w:val="20"/>
              </w:rPr>
            </w:pPr>
          </w:p>
        </w:tc>
        <w:tc>
          <w:tcPr>
            <w:tcW w:w="0" w:type="auto"/>
            <w:gridSpan w:val="3"/>
            <w:vAlign w:val="center"/>
            <w:hideMark/>
          </w:tcPr>
          <w:p w14:paraId="5889A563" w14:textId="77777777" w:rsidR="00000000" w:rsidRDefault="00405D16">
            <w:pPr>
              <w:spacing w:after="100"/>
              <w:rPr>
                <w:rFonts w:eastAsia="Times New Roman"/>
                <w:sz w:val="20"/>
                <w:szCs w:val="20"/>
              </w:rPr>
            </w:pPr>
          </w:p>
        </w:tc>
        <w:tc>
          <w:tcPr>
            <w:tcW w:w="0" w:type="auto"/>
            <w:gridSpan w:val="3"/>
            <w:vAlign w:val="center"/>
            <w:hideMark/>
          </w:tcPr>
          <w:p w14:paraId="339AB7CF" w14:textId="77777777" w:rsidR="00000000" w:rsidRDefault="00405D16">
            <w:pPr>
              <w:spacing w:after="100"/>
              <w:rPr>
                <w:rFonts w:eastAsia="Times New Roman"/>
                <w:sz w:val="20"/>
                <w:szCs w:val="20"/>
              </w:rPr>
            </w:pPr>
          </w:p>
        </w:tc>
      </w:tr>
      <w:tr w:rsidR="00000000" w14:paraId="11229E47" w14:textId="77777777">
        <w:trPr>
          <w:divId w:val="224417347"/>
        </w:trPr>
        <w:tc>
          <w:tcPr>
            <w:tcW w:w="0" w:type="auto"/>
            <w:gridSpan w:val="3"/>
            <w:vAlign w:val="center"/>
            <w:hideMark/>
          </w:tcPr>
          <w:p w14:paraId="448A5959" w14:textId="77777777" w:rsidR="00000000" w:rsidRDefault="00405D16">
            <w:pPr>
              <w:spacing w:after="100"/>
              <w:rPr>
                <w:rFonts w:eastAsia="Times New Roman"/>
                <w:sz w:val="20"/>
                <w:szCs w:val="20"/>
              </w:rPr>
            </w:pPr>
          </w:p>
        </w:tc>
        <w:tc>
          <w:tcPr>
            <w:tcW w:w="0" w:type="auto"/>
            <w:gridSpan w:val="3"/>
            <w:vAlign w:val="center"/>
            <w:hideMark/>
          </w:tcPr>
          <w:p w14:paraId="0A927A4F" w14:textId="77777777" w:rsidR="00000000" w:rsidRDefault="00405D16">
            <w:pPr>
              <w:spacing w:after="100"/>
              <w:rPr>
                <w:rFonts w:eastAsia="Times New Roman"/>
                <w:sz w:val="20"/>
                <w:szCs w:val="20"/>
              </w:rPr>
            </w:pPr>
          </w:p>
        </w:tc>
        <w:tc>
          <w:tcPr>
            <w:tcW w:w="0" w:type="auto"/>
            <w:gridSpan w:val="3"/>
            <w:vAlign w:val="center"/>
            <w:hideMark/>
          </w:tcPr>
          <w:p w14:paraId="306AED69" w14:textId="77777777" w:rsidR="00000000" w:rsidRDefault="00405D16">
            <w:pPr>
              <w:spacing w:after="100"/>
              <w:rPr>
                <w:rFonts w:eastAsia="Times New Roman"/>
                <w:sz w:val="20"/>
                <w:szCs w:val="20"/>
              </w:rPr>
            </w:pPr>
          </w:p>
        </w:tc>
      </w:tr>
      <w:tr w:rsidR="00000000" w14:paraId="4976B2E3" w14:textId="77777777">
        <w:trPr>
          <w:divId w:val="224417347"/>
        </w:trPr>
        <w:tc>
          <w:tcPr>
            <w:tcW w:w="0" w:type="auto"/>
            <w:gridSpan w:val="3"/>
            <w:vAlign w:val="center"/>
            <w:hideMark/>
          </w:tcPr>
          <w:p w14:paraId="781EC80E" w14:textId="77777777" w:rsidR="00000000" w:rsidRDefault="00405D16">
            <w:pPr>
              <w:spacing w:after="100"/>
              <w:rPr>
                <w:rFonts w:eastAsia="Times New Roman"/>
                <w:sz w:val="20"/>
                <w:szCs w:val="20"/>
              </w:rPr>
            </w:pPr>
          </w:p>
        </w:tc>
        <w:tc>
          <w:tcPr>
            <w:tcW w:w="0" w:type="auto"/>
            <w:gridSpan w:val="3"/>
            <w:vAlign w:val="center"/>
            <w:hideMark/>
          </w:tcPr>
          <w:p w14:paraId="4FEDBF1D" w14:textId="77777777" w:rsidR="00000000" w:rsidRDefault="00405D16">
            <w:pPr>
              <w:spacing w:after="100"/>
              <w:rPr>
                <w:rFonts w:eastAsia="Times New Roman"/>
                <w:sz w:val="20"/>
                <w:szCs w:val="20"/>
              </w:rPr>
            </w:pPr>
          </w:p>
        </w:tc>
        <w:tc>
          <w:tcPr>
            <w:tcW w:w="0" w:type="auto"/>
            <w:gridSpan w:val="3"/>
            <w:vAlign w:val="center"/>
            <w:hideMark/>
          </w:tcPr>
          <w:p w14:paraId="6EC9A974" w14:textId="77777777" w:rsidR="00000000" w:rsidRDefault="00405D16">
            <w:pPr>
              <w:spacing w:after="100"/>
              <w:rPr>
                <w:rFonts w:eastAsia="Times New Roman"/>
                <w:sz w:val="20"/>
                <w:szCs w:val="20"/>
              </w:rPr>
            </w:pPr>
          </w:p>
        </w:tc>
      </w:tr>
      <w:tr w:rsidR="00000000" w14:paraId="30946A36" w14:textId="77777777">
        <w:trPr>
          <w:divId w:val="224417347"/>
        </w:trPr>
        <w:tc>
          <w:tcPr>
            <w:tcW w:w="0" w:type="auto"/>
            <w:gridSpan w:val="3"/>
            <w:vAlign w:val="center"/>
            <w:hideMark/>
          </w:tcPr>
          <w:p w14:paraId="69B99018" w14:textId="77777777" w:rsidR="00000000" w:rsidRDefault="00405D16">
            <w:pPr>
              <w:spacing w:after="100"/>
              <w:rPr>
                <w:rFonts w:eastAsia="Times New Roman"/>
                <w:sz w:val="20"/>
                <w:szCs w:val="20"/>
              </w:rPr>
            </w:pPr>
          </w:p>
        </w:tc>
        <w:tc>
          <w:tcPr>
            <w:tcW w:w="0" w:type="auto"/>
            <w:gridSpan w:val="3"/>
            <w:vAlign w:val="center"/>
            <w:hideMark/>
          </w:tcPr>
          <w:p w14:paraId="0ED9DC90" w14:textId="77777777" w:rsidR="00000000" w:rsidRDefault="00405D16">
            <w:pPr>
              <w:spacing w:after="100"/>
              <w:rPr>
                <w:rFonts w:eastAsia="Times New Roman"/>
                <w:sz w:val="20"/>
                <w:szCs w:val="20"/>
              </w:rPr>
            </w:pPr>
          </w:p>
        </w:tc>
        <w:tc>
          <w:tcPr>
            <w:tcW w:w="0" w:type="auto"/>
            <w:gridSpan w:val="3"/>
            <w:vAlign w:val="center"/>
            <w:hideMark/>
          </w:tcPr>
          <w:p w14:paraId="56EF2CBE" w14:textId="77777777" w:rsidR="00000000" w:rsidRDefault="00405D16">
            <w:pPr>
              <w:spacing w:after="100"/>
              <w:rPr>
                <w:rFonts w:eastAsia="Times New Roman"/>
                <w:sz w:val="20"/>
                <w:szCs w:val="20"/>
              </w:rPr>
            </w:pPr>
          </w:p>
        </w:tc>
      </w:tr>
      <w:tr w:rsidR="00000000" w14:paraId="6A96ADCE" w14:textId="77777777">
        <w:trPr>
          <w:divId w:val="224417347"/>
        </w:trPr>
        <w:tc>
          <w:tcPr>
            <w:tcW w:w="0" w:type="auto"/>
            <w:gridSpan w:val="3"/>
            <w:vAlign w:val="center"/>
            <w:hideMark/>
          </w:tcPr>
          <w:p w14:paraId="48BB76C1" w14:textId="77777777" w:rsidR="00000000" w:rsidRDefault="00405D16">
            <w:pPr>
              <w:spacing w:after="100"/>
              <w:rPr>
                <w:rFonts w:eastAsia="Times New Roman"/>
                <w:sz w:val="20"/>
                <w:szCs w:val="20"/>
              </w:rPr>
            </w:pPr>
          </w:p>
        </w:tc>
        <w:tc>
          <w:tcPr>
            <w:tcW w:w="0" w:type="auto"/>
            <w:gridSpan w:val="3"/>
            <w:vAlign w:val="center"/>
            <w:hideMark/>
          </w:tcPr>
          <w:p w14:paraId="5AC79B7C" w14:textId="77777777" w:rsidR="00000000" w:rsidRDefault="00405D16">
            <w:pPr>
              <w:spacing w:after="100"/>
              <w:rPr>
                <w:rFonts w:eastAsia="Times New Roman"/>
                <w:sz w:val="20"/>
                <w:szCs w:val="20"/>
              </w:rPr>
            </w:pPr>
          </w:p>
        </w:tc>
        <w:tc>
          <w:tcPr>
            <w:tcW w:w="0" w:type="auto"/>
            <w:gridSpan w:val="3"/>
            <w:vAlign w:val="center"/>
            <w:hideMark/>
          </w:tcPr>
          <w:p w14:paraId="36A4C7ED" w14:textId="77777777" w:rsidR="00000000" w:rsidRDefault="00405D16">
            <w:pPr>
              <w:spacing w:after="100"/>
              <w:rPr>
                <w:rFonts w:eastAsia="Times New Roman"/>
                <w:sz w:val="20"/>
                <w:szCs w:val="20"/>
              </w:rPr>
            </w:pPr>
          </w:p>
        </w:tc>
      </w:tr>
      <w:tr w:rsidR="00000000" w14:paraId="082379B3" w14:textId="77777777">
        <w:trPr>
          <w:divId w:val="224417347"/>
        </w:trPr>
        <w:tc>
          <w:tcPr>
            <w:tcW w:w="0" w:type="auto"/>
            <w:gridSpan w:val="3"/>
            <w:vAlign w:val="center"/>
            <w:hideMark/>
          </w:tcPr>
          <w:p w14:paraId="3196A874" w14:textId="77777777" w:rsidR="00000000" w:rsidRDefault="00405D16">
            <w:pPr>
              <w:spacing w:after="100"/>
              <w:rPr>
                <w:rFonts w:eastAsia="Times New Roman"/>
                <w:sz w:val="20"/>
                <w:szCs w:val="20"/>
              </w:rPr>
            </w:pPr>
          </w:p>
        </w:tc>
        <w:tc>
          <w:tcPr>
            <w:tcW w:w="0" w:type="auto"/>
            <w:gridSpan w:val="3"/>
            <w:vAlign w:val="center"/>
            <w:hideMark/>
          </w:tcPr>
          <w:p w14:paraId="7BC94433" w14:textId="77777777" w:rsidR="00000000" w:rsidRDefault="00405D16">
            <w:pPr>
              <w:spacing w:after="100"/>
              <w:rPr>
                <w:rFonts w:eastAsia="Times New Roman"/>
                <w:sz w:val="20"/>
                <w:szCs w:val="20"/>
              </w:rPr>
            </w:pPr>
          </w:p>
        </w:tc>
        <w:tc>
          <w:tcPr>
            <w:tcW w:w="0" w:type="auto"/>
            <w:gridSpan w:val="3"/>
            <w:vAlign w:val="center"/>
            <w:hideMark/>
          </w:tcPr>
          <w:p w14:paraId="734A6577" w14:textId="77777777" w:rsidR="00000000" w:rsidRDefault="00405D16">
            <w:pPr>
              <w:spacing w:after="100"/>
              <w:rPr>
                <w:rFonts w:eastAsia="Times New Roman"/>
                <w:sz w:val="20"/>
                <w:szCs w:val="20"/>
              </w:rPr>
            </w:pPr>
          </w:p>
        </w:tc>
      </w:tr>
      <w:tr w:rsidR="00000000" w14:paraId="1A4903CC" w14:textId="77777777">
        <w:trPr>
          <w:divId w:val="224417347"/>
        </w:trPr>
        <w:tc>
          <w:tcPr>
            <w:tcW w:w="0" w:type="auto"/>
            <w:gridSpan w:val="3"/>
            <w:vAlign w:val="center"/>
            <w:hideMark/>
          </w:tcPr>
          <w:p w14:paraId="5400780E" w14:textId="77777777" w:rsidR="00000000" w:rsidRDefault="00405D16">
            <w:pPr>
              <w:spacing w:after="100"/>
              <w:rPr>
                <w:rFonts w:eastAsia="Times New Roman"/>
                <w:sz w:val="20"/>
                <w:szCs w:val="20"/>
              </w:rPr>
            </w:pPr>
          </w:p>
        </w:tc>
        <w:tc>
          <w:tcPr>
            <w:tcW w:w="0" w:type="auto"/>
            <w:gridSpan w:val="3"/>
            <w:vAlign w:val="center"/>
            <w:hideMark/>
          </w:tcPr>
          <w:p w14:paraId="310A9B7C" w14:textId="77777777" w:rsidR="00000000" w:rsidRDefault="00405D16">
            <w:pPr>
              <w:spacing w:after="100"/>
              <w:rPr>
                <w:rFonts w:eastAsia="Times New Roman"/>
                <w:sz w:val="20"/>
                <w:szCs w:val="20"/>
              </w:rPr>
            </w:pPr>
          </w:p>
        </w:tc>
        <w:tc>
          <w:tcPr>
            <w:tcW w:w="0" w:type="auto"/>
            <w:gridSpan w:val="3"/>
            <w:vAlign w:val="center"/>
            <w:hideMark/>
          </w:tcPr>
          <w:p w14:paraId="7EFBBB2F" w14:textId="77777777" w:rsidR="00000000" w:rsidRDefault="00405D16">
            <w:pPr>
              <w:spacing w:after="100"/>
              <w:rPr>
                <w:rFonts w:eastAsia="Times New Roman"/>
                <w:sz w:val="20"/>
                <w:szCs w:val="20"/>
              </w:rPr>
            </w:pPr>
          </w:p>
        </w:tc>
      </w:tr>
      <w:tr w:rsidR="00000000" w14:paraId="57646BAC" w14:textId="77777777">
        <w:trPr>
          <w:divId w:val="224417347"/>
        </w:trPr>
        <w:tc>
          <w:tcPr>
            <w:tcW w:w="0" w:type="auto"/>
            <w:gridSpan w:val="3"/>
            <w:vAlign w:val="center"/>
            <w:hideMark/>
          </w:tcPr>
          <w:p w14:paraId="7E235730" w14:textId="77777777" w:rsidR="00000000" w:rsidRDefault="00405D16">
            <w:pPr>
              <w:spacing w:after="100"/>
              <w:rPr>
                <w:rFonts w:eastAsia="Times New Roman"/>
                <w:sz w:val="20"/>
                <w:szCs w:val="20"/>
              </w:rPr>
            </w:pPr>
          </w:p>
        </w:tc>
        <w:tc>
          <w:tcPr>
            <w:tcW w:w="0" w:type="auto"/>
            <w:gridSpan w:val="3"/>
            <w:vAlign w:val="center"/>
            <w:hideMark/>
          </w:tcPr>
          <w:p w14:paraId="2CD4C17A" w14:textId="77777777" w:rsidR="00000000" w:rsidRDefault="00405D16">
            <w:pPr>
              <w:spacing w:after="100"/>
              <w:rPr>
                <w:rFonts w:eastAsia="Times New Roman"/>
                <w:sz w:val="20"/>
                <w:szCs w:val="20"/>
              </w:rPr>
            </w:pPr>
          </w:p>
        </w:tc>
        <w:tc>
          <w:tcPr>
            <w:tcW w:w="0" w:type="auto"/>
            <w:gridSpan w:val="3"/>
            <w:vAlign w:val="center"/>
            <w:hideMark/>
          </w:tcPr>
          <w:p w14:paraId="790F34AB" w14:textId="77777777" w:rsidR="00000000" w:rsidRDefault="00405D16">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6B7A8FCF" w14:textId="77777777">
        <w:trPr>
          <w:jc w:val="center"/>
        </w:trPr>
        <w:tc>
          <w:tcPr>
            <w:tcW w:w="50" w:type="pct"/>
            <w:vAlign w:val="center"/>
            <w:hideMark/>
          </w:tcPr>
          <w:p w14:paraId="42838086" w14:textId="77777777" w:rsidR="00000000" w:rsidRDefault="00405D16">
            <w:pPr>
              <w:ind w:firstLine="360"/>
              <w:jc w:val="both"/>
              <w:rPr>
                <w:rFonts w:eastAsia="Times New Roman"/>
              </w:rPr>
            </w:pPr>
          </w:p>
        </w:tc>
        <w:tc>
          <w:tcPr>
            <w:tcW w:w="1606" w:type="pct"/>
            <w:vAlign w:val="center"/>
            <w:hideMark/>
          </w:tcPr>
          <w:p w14:paraId="49E662C1" w14:textId="77777777" w:rsidR="00000000" w:rsidRDefault="00405D16">
            <w:pPr>
              <w:spacing w:after="100"/>
              <w:rPr>
                <w:rFonts w:eastAsia="Times New Roman"/>
                <w:sz w:val="20"/>
                <w:szCs w:val="20"/>
              </w:rPr>
            </w:pPr>
          </w:p>
        </w:tc>
        <w:tc>
          <w:tcPr>
            <w:tcW w:w="5" w:type="pct"/>
            <w:vAlign w:val="center"/>
            <w:hideMark/>
          </w:tcPr>
          <w:p w14:paraId="26676A4B" w14:textId="77777777" w:rsidR="00000000" w:rsidRDefault="00405D16">
            <w:pPr>
              <w:spacing w:after="100"/>
              <w:rPr>
                <w:rFonts w:eastAsia="Times New Roman"/>
                <w:sz w:val="20"/>
                <w:szCs w:val="20"/>
              </w:rPr>
            </w:pPr>
          </w:p>
        </w:tc>
        <w:tc>
          <w:tcPr>
            <w:tcW w:w="50" w:type="pct"/>
            <w:vAlign w:val="center"/>
            <w:hideMark/>
          </w:tcPr>
          <w:p w14:paraId="68659377" w14:textId="77777777" w:rsidR="00000000" w:rsidRDefault="00405D16">
            <w:pPr>
              <w:spacing w:after="100"/>
              <w:rPr>
                <w:rFonts w:eastAsia="Times New Roman"/>
                <w:sz w:val="20"/>
                <w:szCs w:val="20"/>
              </w:rPr>
            </w:pPr>
          </w:p>
        </w:tc>
        <w:tc>
          <w:tcPr>
            <w:tcW w:w="1614" w:type="pct"/>
            <w:vAlign w:val="center"/>
            <w:hideMark/>
          </w:tcPr>
          <w:p w14:paraId="1BD71C5E" w14:textId="77777777" w:rsidR="00000000" w:rsidRDefault="00405D16">
            <w:pPr>
              <w:spacing w:after="100"/>
              <w:rPr>
                <w:rFonts w:eastAsia="Times New Roman"/>
                <w:sz w:val="20"/>
                <w:szCs w:val="20"/>
              </w:rPr>
            </w:pPr>
          </w:p>
        </w:tc>
        <w:tc>
          <w:tcPr>
            <w:tcW w:w="5" w:type="pct"/>
            <w:vAlign w:val="center"/>
            <w:hideMark/>
          </w:tcPr>
          <w:p w14:paraId="2667F759" w14:textId="77777777" w:rsidR="00000000" w:rsidRDefault="00405D16">
            <w:pPr>
              <w:spacing w:after="100"/>
              <w:rPr>
                <w:rFonts w:eastAsia="Times New Roman"/>
                <w:sz w:val="20"/>
                <w:szCs w:val="20"/>
              </w:rPr>
            </w:pPr>
          </w:p>
        </w:tc>
        <w:tc>
          <w:tcPr>
            <w:tcW w:w="50" w:type="pct"/>
            <w:vAlign w:val="center"/>
            <w:hideMark/>
          </w:tcPr>
          <w:p w14:paraId="7D88E9D2" w14:textId="77777777" w:rsidR="00000000" w:rsidRDefault="00405D16">
            <w:pPr>
              <w:spacing w:after="100"/>
              <w:rPr>
                <w:rFonts w:eastAsia="Times New Roman"/>
                <w:sz w:val="20"/>
                <w:szCs w:val="20"/>
              </w:rPr>
            </w:pPr>
          </w:p>
        </w:tc>
        <w:tc>
          <w:tcPr>
            <w:tcW w:w="1614" w:type="pct"/>
            <w:vAlign w:val="center"/>
            <w:hideMark/>
          </w:tcPr>
          <w:p w14:paraId="087F0AFD" w14:textId="77777777" w:rsidR="00000000" w:rsidRDefault="00405D16">
            <w:pPr>
              <w:spacing w:after="100"/>
              <w:rPr>
                <w:rFonts w:eastAsia="Times New Roman"/>
                <w:sz w:val="20"/>
                <w:szCs w:val="20"/>
              </w:rPr>
            </w:pPr>
          </w:p>
        </w:tc>
        <w:tc>
          <w:tcPr>
            <w:tcW w:w="5" w:type="pct"/>
            <w:vAlign w:val="center"/>
            <w:hideMark/>
          </w:tcPr>
          <w:p w14:paraId="0CD53C64" w14:textId="77777777" w:rsidR="00000000" w:rsidRDefault="00405D16">
            <w:pPr>
              <w:spacing w:after="100"/>
              <w:rPr>
                <w:rFonts w:eastAsia="Times New Roman"/>
                <w:sz w:val="20"/>
                <w:szCs w:val="20"/>
              </w:rPr>
            </w:pPr>
          </w:p>
        </w:tc>
      </w:tr>
      <w:tr w:rsidR="00000000" w14:paraId="0E894880" w14:textId="77777777">
        <w:trPr>
          <w:trHeight w:val="300"/>
          <w:jc w:val="center"/>
        </w:trPr>
        <w:tc>
          <w:tcPr>
            <w:tcW w:w="0" w:type="auto"/>
            <w:gridSpan w:val="9"/>
            <w:tcMar>
              <w:top w:w="0" w:type="dxa"/>
              <w:left w:w="20" w:type="dxa"/>
              <w:bottom w:w="0" w:type="dxa"/>
              <w:right w:w="20" w:type="dxa"/>
            </w:tcMar>
            <w:vAlign w:val="center"/>
            <w:hideMark/>
          </w:tcPr>
          <w:p w14:paraId="57EBDCFA" w14:textId="77777777" w:rsidR="00000000" w:rsidRDefault="00405D16">
            <w:pPr>
              <w:spacing w:after="100"/>
              <w:rPr>
                <w:rFonts w:eastAsia="Times New Roman"/>
                <w:sz w:val="20"/>
                <w:szCs w:val="20"/>
              </w:rPr>
            </w:pPr>
          </w:p>
        </w:tc>
      </w:tr>
      <w:tr w:rsidR="00000000" w14:paraId="0EABBFFA" w14:textId="77777777">
        <w:trPr>
          <w:jc w:val="center"/>
        </w:trPr>
        <w:tc>
          <w:tcPr>
            <w:tcW w:w="0" w:type="auto"/>
            <w:gridSpan w:val="3"/>
            <w:tcMar>
              <w:top w:w="0" w:type="dxa"/>
              <w:left w:w="20" w:type="dxa"/>
              <w:bottom w:w="0" w:type="dxa"/>
              <w:right w:w="20" w:type="dxa"/>
            </w:tcMar>
            <w:vAlign w:val="center"/>
            <w:hideMark/>
          </w:tcPr>
          <w:p w14:paraId="43AF1CA2"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FEA4D4B" w14:textId="77777777" w:rsidR="00000000" w:rsidRDefault="00405D16">
            <w:pPr>
              <w:spacing w:after="100"/>
              <w:jc w:val="center"/>
              <w:rPr>
                <w:rFonts w:eastAsia="Times New Roman"/>
              </w:rPr>
            </w:pPr>
            <w:r>
              <w:rPr>
                <w:rFonts w:eastAsia="Times New Roman"/>
                <w:color w:val="000000"/>
                <w:sz w:val="16"/>
                <w:szCs w:val="16"/>
              </w:rPr>
              <w:t>100</w:t>
            </w:r>
          </w:p>
        </w:tc>
        <w:tc>
          <w:tcPr>
            <w:tcW w:w="0" w:type="auto"/>
            <w:gridSpan w:val="3"/>
            <w:tcMar>
              <w:top w:w="30" w:type="dxa"/>
              <w:left w:w="20" w:type="dxa"/>
              <w:bottom w:w="30" w:type="dxa"/>
              <w:right w:w="20" w:type="dxa"/>
            </w:tcMar>
            <w:vAlign w:val="bottom"/>
            <w:hideMark/>
          </w:tcPr>
          <w:p w14:paraId="4AA3F2F0"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6DF084AD" w14:textId="77777777" w:rsidR="00000000" w:rsidRDefault="00405D16">
      <w:pPr>
        <w:rPr>
          <w:rFonts w:eastAsia="Times New Roman"/>
        </w:rPr>
      </w:pPr>
      <w:r>
        <w:rPr>
          <w:rFonts w:eastAsia="Times New Roman"/>
        </w:rPr>
        <w:pict w14:anchorId="2432DB18">
          <v:rect id="_x0000_i1125" style="width:0;height:1.5pt" o:hralign="center" o:hrstd="t" o:hr="t" fillcolor="#a0a0a0" stroked="f"/>
        </w:pict>
      </w:r>
    </w:p>
    <w:p w14:paraId="3F1EDD27" w14:textId="77777777" w:rsidR="00000000" w:rsidRDefault="00405D16">
      <w:pPr>
        <w:jc w:val="both"/>
        <w:divId w:val="44650080"/>
        <w:rPr>
          <w:rFonts w:eastAsia="Times New Roman"/>
        </w:rPr>
      </w:pPr>
      <w:hyperlink w:anchor="idd54a04a485440b4ab4e56094c14d612_13" w:history="1">
        <w:r>
          <w:rPr>
            <w:rStyle w:val="a3"/>
            <w:rFonts w:eastAsia="Times New Roman"/>
            <w:sz w:val="16"/>
            <w:szCs w:val="16"/>
          </w:rPr>
          <w:t>Table of Contents</w:t>
        </w:r>
      </w:hyperlink>
    </w:p>
    <w:p w14:paraId="1E170832" w14:textId="77777777" w:rsidR="00000000" w:rsidRDefault="00405D16">
      <w:pPr>
        <w:jc w:val="center"/>
        <w:divId w:val="4465008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0FEBFA26" w14:textId="77777777">
        <w:trPr>
          <w:divId w:val="283270004"/>
        </w:trPr>
        <w:tc>
          <w:tcPr>
            <w:tcW w:w="50" w:type="pct"/>
            <w:vAlign w:val="center"/>
            <w:hideMark/>
          </w:tcPr>
          <w:p w14:paraId="74A236A2" w14:textId="77777777" w:rsidR="00000000" w:rsidRDefault="00405D16">
            <w:pPr>
              <w:jc w:val="center"/>
              <w:rPr>
                <w:rFonts w:eastAsia="Times New Roman"/>
              </w:rPr>
            </w:pPr>
          </w:p>
        </w:tc>
        <w:tc>
          <w:tcPr>
            <w:tcW w:w="4945" w:type="pct"/>
            <w:vAlign w:val="center"/>
            <w:hideMark/>
          </w:tcPr>
          <w:p w14:paraId="0E16E834" w14:textId="77777777" w:rsidR="00000000" w:rsidRDefault="00405D16">
            <w:pPr>
              <w:spacing w:after="100"/>
              <w:rPr>
                <w:rFonts w:eastAsia="Times New Roman"/>
                <w:sz w:val="20"/>
                <w:szCs w:val="20"/>
              </w:rPr>
            </w:pPr>
          </w:p>
        </w:tc>
        <w:tc>
          <w:tcPr>
            <w:tcW w:w="5" w:type="pct"/>
            <w:vAlign w:val="center"/>
            <w:hideMark/>
          </w:tcPr>
          <w:p w14:paraId="1FD6D667" w14:textId="77777777" w:rsidR="00000000" w:rsidRDefault="00405D16">
            <w:pPr>
              <w:spacing w:after="100"/>
              <w:rPr>
                <w:rFonts w:eastAsia="Times New Roman"/>
                <w:sz w:val="20"/>
                <w:szCs w:val="20"/>
              </w:rPr>
            </w:pPr>
          </w:p>
        </w:tc>
      </w:tr>
      <w:tr w:rsidR="00000000" w14:paraId="699D96D3" w14:textId="77777777">
        <w:trPr>
          <w:divId w:val="283270004"/>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6AE83747" w14:textId="77777777" w:rsidR="00000000" w:rsidRDefault="00405D16">
            <w:pPr>
              <w:spacing w:after="100"/>
              <w:rPr>
                <w:rFonts w:eastAsia="Times New Roman"/>
              </w:rPr>
            </w:pPr>
            <w:r>
              <w:rPr>
                <w:rFonts w:eastAsia="Times New Roman"/>
                <w:b/>
                <w:bCs/>
                <w:color w:val="000000"/>
                <w:sz w:val="20"/>
                <w:szCs w:val="20"/>
              </w:rPr>
              <w:t>NOTE 7—DEPOSITS AND BORROWINGS</w:t>
            </w:r>
          </w:p>
        </w:tc>
      </w:tr>
    </w:tbl>
    <w:p w14:paraId="5DB01C8E" w14:textId="77777777" w:rsidR="00000000" w:rsidRDefault="00405D16">
      <w:pPr>
        <w:jc w:val="both"/>
        <w:divId w:val="380638438"/>
        <w:rPr>
          <w:rFonts w:eastAsia="Times New Roman"/>
        </w:rPr>
      </w:pPr>
      <w:r>
        <w:rPr>
          <w:rFonts w:eastAsia="Times New Roman"/>
          <w:color w:val="000000"/>
          <w:sz w:val="20"/>
          <w:szCs w:val="20"/>
        </w:rPr>
        <w:t xml:space="preserve">Our deposits represent our largest source of funding for our assets and operations, which include checking accounts, money market deposits, negotiable order of withdrawals, savings deposits and time deposits. We also use a variety of other funding sources </w:t>
      </w:r>
      <w:r>
        <w:rPr>
          <w:rFonts w:eastAsia="Times New Roman"/>
          <w:color w:val="000000"/>
          <w:sz w:val="20"/>
          <w:szCs w:val="20"/>
        </w:rPr>
        <w:t>including short-term borrowings, senior and subordinated notes, securitized debt obligations and other borrowings. Securitized debt obligations are presented separately on our consolidated balance sheets, as they represent obligations of consolidated secur</w:t>
      </w:r>
      <w:r>
        <w:rPr>
          <w:rFonts w:eastAsia="Times New Roman"/>
          <w:color w:val="000000"/>
          <w:sz w:val="20"/>
          <w:szCs w:val="20"/>
        </w:rPr>
        <w:t>itization trusts, while federal funds purchased and securities loaned or sold under agreements to repurchase, senior and subordinated notes and other borrowings, including FHLB advances, are included in other debt on our consolidated balance sheets.</w:t>
      </w:r>
    </w:p>
    <w:p w14:paraId="48444FBF" w14:textId="77777777" w:rsidR="00000000" w:rsidRDefault="00405D16">
      <w:pPr>
        <w:jc w:val="both"/>
        <w:divId w:val="1200582148"/>
        <w:rPr>
          <w:rFonts w:eastAsia="Times New Roman"/>
        </w:rPr>
      </w:pPr>
      <w:r>
        <w:rPr>
          <w:rFonts w:eastAsia="Times New Roman"/>
          <w:color w:val="000000"/>
          <w:sz w:val="20"/>
          <w:szCs w:val="20"/>
        </w:rPr>
        <w:t>Our to</w:t>
      </w:r>
      <w:r>
        <w:rPr>
          <w:rFonts w:eastAsia="Times New Roman"/>
          <w:color w:val="000000"/>
          <w:sz w:val="20"/>
          <w:szCs w:val="20"/>
        </w:rPr>
        <w:t>tal short-term borrowings generally consist of federal funds purchased and securities loaned or sold under agreements to repurchase. Our long-term debt consists of borrowings with an original contractual maturity of greater than one year. The following tab</w:t>
      </w:r>
      <w:r>
        <w:rPr>
          <w:rFonts w:eastAsia="Times New Roman"/>
          <w:color w:val="000000"/>
          <w:sz w:val="20"/>
          <w:szCs w:val="20"/>
        </w:rPr>
        <w:t>les summarize the components of our deposits, short-term borrowings and long-term debt as of September 30, 2021 and December 31, 2020. The carrying value presented below for these borrowings includes unamortized debt premiums and discounts, net of debt iss</w:t>
      </w:r>
      <w:r>
        <w:rPr>
          <w:rFonts w:eastAsia="Times New Roman"/>
          <w:color w:val="000000"/>
          <w:sz w:val="20"/>
          <w:szCs w:val="20"/>
        </w:rPr>
        <w:t>uance costs and fair value hedge accounting adjustments.</w:t>
      </w:r>
    </w:p>
    <w:p w14:paraId="7FB43C42" w14:textId="77777777" w:rsidR="00000000" w:rsidRDefault="00405D16">
      <w:pPr>
        <w:divId w:val="1180504082"/>
        <w:rPr>
          <w:rFonts w:eastAsia="Times New Roman"/>
        </w:rPr>
      </w:pPr>
      <w:r>
        <w:rPr>
          <w:rFonts w:eastAsia="Times New Roman"/>
          <w:b/>
          <w:bCs/>
          <w:color w:val="000000"/>
          <w:sz w:val="18"/>
          <w:szCs w:val="18"/>
        </w:rPr>
        <w:t>Table 7.1: Components of Deposits, Short-Term Borrowings and Long-Term Debt</w:t>
      </w:r>
    </w:p>
    <w:tbl>
      <w:tblPr>
        <w:tblW w:w="5000" w:type="pct"/>
        <w:tblCellMar>
          <w:top w:w="15" w:type="dxa"/>
          <w:left w:w="15" w:type="dxa"/>
          <w:bottom w:w="15" w:type="dxa"/>
          <w:right w:w="15" w:type="dxa"/>
        </w:tblCellMar>
        <w:tblLook w:val="04A0" w:firstRow="1" w:lastRow="0" w:firstColumn="1" w:lastColumn="0" w:noHBand="0" w:noVBand="1"/>
      </w:tblPr>
      <w:tblGrid>
        <w:gridCol w:w="41"/>
        <w:gridCol w:w="6269"/>
        <w:gridCol w:w="40"/>
        <w:gridCol w:w="36"/>
        <w:gridCol w:w="36"/>
        <w:gridCol w:w="36"/>
        <w:gridCol w:w="110"/>
        <w:gridCol w:w="742"/>
        <w:gridCol w:w="36"/>
        <w:gridCol w:w="36"/>
        <w:gridCol w:w="36"/>
        <w:gridCol w:w="36"/>
        <w:gridCol w:w="110"/>
        <w:gridCol w:w="706"/>
        <w:gridCol w:w="36"/>
      </w:tblGrid>
      <w:tr w:rsidR="00000000" w14:paraId="0574CAB9" w14:textId="77777777">
        <w:trPr>
          <w:divId w:val="1993636328"/>
        </w:trPr>
        <w:tc>
          <w:tcPr>
            <w:tcW w:w="50" w:type="pct"/>
            <w:vAlign w:val="center"/>
            <w:hideMark/>
          </w:tcPr>
          <w:p w14:paraId="4078A311" w14:textId="77777777" w:rsidR="00000000" w:rsidRDefault="00405D16">
            <w:pPr>
              <w:rPr>
                <w:rFonts w:eastAsia="Times New Roman"/>
              </w:rPr>
            </w:pPr>
          </w:p>
        </w:tc>
        <w:tc>
          <w:tcPr>
            <w:tcW w:w="3797" w:type="pct"/>
            <w:vAlign w:val="center"/>
            <w:hideMark/>
          </w:tcPr>
          <w:p w14:paraId="6F149D03" w14:textId="77777777" w:rsidR="00000000" w:rsidRDefault="00405D16">
            <w:pPr>
              <w:spacing w:after="100"/>
              <w:rPr>
                <w:rFonts w:eastAsia="Times New Roman"/>
                <w:sz w:val="20"/>
                <w:szCs w:val="20"/>
              </w:rPr>
            </w:pPr>
          </w:p>
        </w:tc>
        <w:tc>
          <w:tcPr>
            <w:tcW w:w="5" w:type="pct"/>
            <w:vAlign w:val="center"/>
            <w:hideMark/>
          </w:tcPr>
          <w:p w14:paraId="04D87421" w14:textId="77777777" w:rsidR="00000000" w:rsidRDefault="00405D16">
            <w:pPr>
              <w:spacing w:after="100"/>
              <w:rPr>
                <w:rFonts w:eastAsia="Times New Roman"/>
                <w:sz w:val="20"/>
                <w:szCs w:val="20"/>
              </w:rPr>
            </w:pPr>
          </w:p>
        </w:tc>
        <w:tc>
          <w:tcPr>
            <w:tcW w:w="5" w:type="pct"/>
            <w:vAlign w:val="center"/>
            <w:hideMark/>
          </w:tcPr>
          <w:p w14:paraId="7EEBC929" w14:textId="77777777" w:rsidR="00000000" w:rsidRDefault="00405D16">
            <w:pPr>
              <w:spacing w:after="100"/>
              <w:rPr>
                <w:rFonts w:eastAsia="Times New Roman"/>
                <w:sz w:val="20"/>
                <w:szCs w:val="20"/>
              </w:rPr>
            </w:pPr>
          </w:p>
        </w:tc>
        <w:tc>
          <w:tcPr>
            <w:tcW w:w="26" w:type="pct"/>
            <w:vAlign w:val="center"/>
            <w:hideMark/>
          </w:tcPr>
          <w:p w14:paraId="36912C6C" w14:textId="77777777" w:rsidR="00000000" w:rsidRDefault="00405D16">
            <w:pPr>
              <w:spacing w:after="100"/>
              <w:rPr>
                <w:rFonts w:eastAsia="Times New Roman"/>
                <w:sz w:val="20"/>
                <w:szCs w:val="20"/>
              </w:rPr>
            </w:pPr>
          </w:p>
        </w:tc>
        <w:tc>
          <w:tcPr>
            <w:tcW w:w="5" w:type="pct"/>
            <w:vAlign w:val="center"/>
            <w:hideMark/>
          </w:tcPr>
          <w:p w14:paraId="7A61EEE4" w14:textId="77777777" w:rsidR="00000000" w:rsidRDefault="00405D16">
            <w:pPr>
              <w:spacing w:after="100"/>
              <w:rPr>
                <w:rFonts w:eastAsia="Times New Roman"/>
                <w:sz w:val="20"/>
                <w:szCs w:val="20"/>
              </w:rPr>
            </w:pPr>
          </w:p>
        </w:tc>
        <w:tc>
          <w:tcPr>
            <w:tcW w:w="50" w:type="pct"/>
            <w:vAlign w:val="center"/>
            <w:hideMark/>
          </w:tcPr>
          <w:p w14:paraId="1A16A1DB" w14:textId="77777777" w:rsidR="00000000" w:rsidRDefault="00405D16">
            <w:pPr>
              <w:spacing w:after="100"/>
              <w:rPr>
                <w:rFonts w:eastAsia="Times New Roman"/>
                <w:sz w:val="20"/>
                <w:szCs w:val="20"/>
              </w:rPr>
            </w:pPr>
          </w:p>
        </w:tc>
        <w:tc>
          <w:tcPr>
            <w:tcW w:w="493" w:type="pct"/>
            <w:vAlign w:val="center"/>
            <w:hideMark/>
          </w:tcPr>
          <w:p w14:paraId="714C204D" w14:textId="77777777" w:rsidR="00000000" w:rsidRDefault="00405D16">
            <w:pPr>
              <w:spacing w:after="100"/>
              <w:rPr>
                <w:rFonts w:eastAsia="Times New Roman"/>
                <w:sz w:val="20"/>
                <w:szCs w:val="20"/>
              </w:rPr>
            </w:pPr>
          </w:p>
        </w:tc>
        <w:tc>
          <w:tcPr>
            <w:tcW w:w="5" w:type="pct"/>
            <w:vAlign w:val="center"/>
            <w:hideMark/>
          </w:tcPr>
          <w:p w14:paraId="108030B2" w14:textId="77777777" w:rsidR="00000000" w:rsidRDefault="00405D16">
            <w:pPr>
              <w:spacing w:after="100"/>
              <w:rPr>
                <w:rFonts w:eastAsia="Times New Roman"/>
                <w:sz w:val="20"/>
                <w:szCs w:val="20"/>
              </w:rPr>
            </w:pPr>
          </w:p>
        </w:tc>
        <w:tc>
          <w:tcPr>
            <w:tcW w:w="5" w:type="pct"/>
            <w:vAlign w:val="center"/>
            <w:hideMark/>
          </w:tcPr>
          <w:p w14:paraId="20D8E6EC" w14:textId="77777777" w:rsidR="00000000" w:rsidRDefault="00405D16">
            <w:pPr>
              <w:spacing w:after="100"/>
              <w:rPr>
                <w:rFonts w:eastAsia="Times New Roman"/>
                <w:sz w:val="20"/>
                <w:szCs w:val="20"/>
              </w:rPr>
            </w:pPr>
          </w:p>
        </w:tc>
        <w:tc>
          <w:tcPr>
            <w:tcW w:w="26" w:type="pct"/>
            <w:vAlign w:val="center"/>
            <w:hideMark/>
          </w:tcPr>
          <w:p w14:paraId="3C1F9F6F" w14:textId="77777777" w:rsidR="00000000" w:rsidRDefault="00405D16">
            <w:pPr>
              <w:spacing w:after="100"/>
              <w:rPr>
                <w:rFonts w:eastAsia="Times New Roman"/>
                <w:sz w:val="20"/>
                <w:szCs w:val="20"/>
              </w:rPr>
            </w:pPr>
          </w:p>
        </w:tc>
        <w:tc>
          <w:tcPr>
            <w:tcW w:w="5" w:type="pct"/>
            <w:vAlign w:val="center"/>
            <w:hideMark/>
          </w:tcPr>
          <w:p w14:paraId="24344BE7" w14:textId="77777777" w:rsidR="00000000" w:rsidRDefault="00405D16">
            <w:pPr>
              <w:spacing w:after="100"/>
              <w:rPr>
                <w:rFonts w:eastAsia="Times New Roman"/>
                <w:sz w:val="20"/>
                <w:szCs w:val="20"/>
              </w:rPr>
            </w:pPr>
          </w:p>
        </w:tc>
        <w:tc>
          <w:tcPr>
            <w:tcW w:w="50" w:type="pct"/>
            <w:vAlign w:val="center"/>
            <w:hideMark/>
          </w:tcPr>
          <w:p w14:paraId="0550A9F3" w14:textId="77777777" w:rsidR="00000000" w:rsidRDefault="00405D16">
            <w:pPr>
              <w:spacing w:after="100"/>
              <w:rPr>
                <w:rFonts w:eastAsia="Times New Roman"/>
                <w:sz w:val="20"/>
                <w:szCs w:val="20"/>
              </w:rPr>
            </w:pPr>
          </w:p>
        </w:tc>
        <w:tc>
          <w:tcPr>
            <w:tcW w:w="471" w:type="pct"/>
            <w:vAlign w:val="center"/>
            <w:hideMark/>
          </w:tcPr>
          <w:p w14:paraId="02947844" w14:textId="77777777" w:rsidR="00000000" w:rsidRDefault="00405D16">
            <w:pPr>
              <w:spacing w:after="100"/>
              <w:rPr>
                <w:rFonts w:eastAsia="Times New Roman"/>
                <w:sz w:val="20"/>
                <w:szCs w:val="20"/>
              </w:rPr>
            </w:pPr>
          </w:p>
        </w:tc>
        <w:tc>
          <w:tcPr>
            <w:tcW w:w="5" w:type="pct"/>
            <w:vAlign w:val="center"/>
            <w:hideMark/>
          </w:tcPr>
          <w:p w14:paraId="14D689E5" w14:textId="77777777" w:rsidR="00000000" w:rsidRDefault="00405D16">
            <w:pPr>
              <w:spacing w:after="100"/>
              <w:rPr>
                <w:rFonts w:eastAsia="Times New Roman"/>
                <w:sz w:val="20"/>
                <w:szCs w:val="20"/>
              </w:rPr>
            </w:pPr>
          </w:p>
        </w:tc>
      </w:tr>
      <w:tr w:rsidR="00000000" w14:paraId="364A08DE" w14:textId="77777777">
        <w:trPr>
          <w:divId w:val="1993636328"/>
        </w:trPr>
        <w:tc>
          <w:tcPr>
            <w:tcW w:w="0" w:type="auto"/>
            <w:gridSpan w:val="3"/>
            <w:tcMar>
              <w:top w:w="30" w:type="dxa"/>
              <w:left w:w="20" w:type="dxa"/>
              <w:bottom w:w="30" w:type="dxa"/>
              <w:right w:w="20" w:type="dxa"/>
            </w:tcMar>
            <w:vAlign w:val="bottom"/>
            <w:hideMark/>
          </w:tcPr>
          <w:p w14:paraId="6C91CBFC"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304B65E7" w14:textId="77777777" w:rsidR="00000000" w:rsidRDefault="00405D16">
            <w:pPr>
              <w:spacing w:after="100"/>
              <w:rPr>
                <w:rFonts w:eastAsia="Times New Roman"/>
              </w:rPr>
            </w:pPr>
          </w:p>
        </w:tc>
        <w:tc>
          <w:tcPr>
            <w:tcW w:w="0" w:type="auto"/>
            <w:gridSpan w:val="3"/>
            <w:tcMar>
              <w:top w:w="30" w:type="dxa"/>
              <w:left w:w="20" w:type="dxa"/>
              <w:bottom w:w="30" w:type="dxa"/>
              <w:right w:w="20" w:type="dxa"/>
            </w:tcMar>
            <w:vAlign w:val="bottom"/>
            <w:hideMark/>
          </w:tcPr>
          <w:p w14:paraId="5791235C" w14:textId="77777777" w:rsidR="00000000" w:rsidRDefault="00405D16">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14:paraId="76067575"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0D4FF10" w14:textId="77777777" w:rsidR="00000000" w:rsidRDefault="00405D16">
            <w:pPr>
              <w:spacing w:after="100"/>
              <w:jc w:val="center"/>
              <w:rPr>
                <w:rFonts w:eastAsia="Times New Roman"/>
              </w:rPr>
            </w:pPr>
            <w:r>
              <w:rPr>
                <w:rFonts w:eastAsia="Times New Roman"/>
                <w:b/>
                <w:bCs/>
                <w:color w:val="000000"/>
                <w:sz w:val="16"/>
                <w:szCs w:val="16"/>
              </w:rPr>
              <w:t>December 31, 2020</w:t>
            </w:r>
          </w:p>
        </w:tc>
      </w:tr>
      <w:tr w:rsidR="00000000" w14:paraId="51B1EC3C" w14:textId="77777777">
        <w:trPr>
          <w:divId w:val="199363632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5142F075" w14:textId="77777777" w:rsidR="00000000" w:rsidRDefault="00405D16">
            <w:pPr>
              <w:spacing w:after="100"/>
              <w:rPr>
                <w:rFonts w:eastAsia="Times New Roman"/>
              </w:rPr>
            </w:pPr>
            <w:r>
              <w:rPr>
                <w:rFonts w:eastAsia="Times New Roman"/>
                <w:b/>
                <w:bCs/>
                <w:color w:val="000000"/>
                <w:sz w:val="18"/>
                <w:szCs w:val="18"/>
              </w:rPr>
              <w:t>Deposits:</w:t>
            </w:r>
          </w:p>
        </w:tc>
        <w:tc>
          <w:tcPr>
            <w:tcW w:w="0" w:type="auto"/>
            <w:gridSpan w:val="3"/>
            <w:shd w:val="clear" w:color="auto" w:fill="CCEEFF"/>
            <w:tcMar>
              <w:top w:w="0" w:type="dxa"/>
              <w:left w:w="20" w:type="dxa"/>
              <w:bottom w:w="0" w:type="dxa"/>
              <w:right w:w="20" w:type="dxa"/>
            </w:tcMar>
            <w:vAlign w:val="center"/>
            <w:hideMark/>
          </w:tcPr>
          <w:p w14:paraId="100FA11B"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2A4522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F0E86E"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9118F44" w14:textId="77777777" w:rsidR="00000000" w:rsidRDefault="00405D16">
            <w:pPr>
              <w:spacing w:after="100"/>
              <w:rPr>
                <w:rFonts w:eastAsia="Times New Roman"/>
                <w:sz w:val="20"/>
                <w:szCs w:val="20"/>
              </w:rPr>
            </w:pPr>
          </w:p>
        </w:tc>
      </w:tr>
      <w:tr w:rsidR="00000000" w14:paraId="7D1E3DC6" w14:textId="77777777">
        <w:trPr>
          <w:divId w:val="1993636328"/>
        </w:trPr>
        <w:tc>
          <w:tcPr>
            <w:tcW w:w="0" w:type="auto"/>
            <w:gridSpan w:val="3"/>
            <w:shd w:val="clear" w:color="auto" w:fill="FFFFFF"/>
            <w:tcMar>
              <w:top w:w="30" w:type="dxa"/>
              <w:left w:w="245" w:type="dxa"/>
              <w:bottom w:w="30" w:type="dxa"/>
              <w:right w:w="20" w:type="dxa"/>
            </w:tcMar>
            <w:vAlign w:val="center"/>
            <w:hideMark/>
          </w:tcPr>
          <w:p w14:paraId="31C08D0B" w14:textId="77777777" w:rsidR="00000000" w:rsidRDefault="00405D16">
            <w:pPr>
              <w:spacing w:after="100"/>
              <w:rPr>
                <w:rFonts w:eastAsia="Times New Roman"/>
              </w:rPr>
            </w:pPr>
            <w:r>
              <w:rPr>
                <w:rFonts w:eastAsia="Times New Roman"/>
                <w:color w:val="000000"/>
                <w:sz w:val="18"/>
                <w:szCs w:val="18"/>
              </w:rPr>
              <w:t>Non-interest-bearing deposits</w:t>
            </w:r>
          </w:p>
        </w:tc>
        <w:tc>
          <w:tcPr>
            <w:tcW w:w="0" w:type="auto"/>
            <w:gridSpan w:val="3"/>
            <w:shd w:val="clear" w:color="auto" w:fill="FFFFFF"/>
            <w:tcMar>
              <w:top w:w="0" w:type="dxa"/>
              <w:left w:w="20" w:type="dxa"/>
              <w:bottom w:w="0" w:type="dxa"/>
              <w:right w:w="20" w:type="dxa"/>
            </w:tcMar>
            <w:vAlign w:val="center"/>
            <w:hideMark/>
          </w:tcPr>
          <w:p w14:paraId="42EFB144"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0070687B"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7364E3F0" w14:textId="77777777" w:rsidR="00000000" w:rsidRDefault="00405D16">
            <w:pPr>
              <w:spacing w:after="100"/>
              <w:jc w:val="right"/>
              <w:rPr>
                <w:rFonts w:eastAsia="Times New Roman"/>
              </w:rPr>
            </w:pPr>
            <w:r>
              <w:rPr>
                <w:rFonts w:eastAsia="Times New Roman"/>
                <w:b/>
                <w:bCs/>
                <w:color w:val="000000"/>
                <w:sz w:val="18"/>
                <w:szCs w:val="18"/>
              </w:rPr>
              <w:t>36,804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089634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B362C1"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9E06187"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400A4E19" w14:textId="77777777" w:rsidR="00000000" w:rsidRDefault="00405D16">
            <w:pPr>
              <w:spacing w:after="100"/>
              <w:jc w:val="right"/>
              <w:rPr>
                <w:rFonts w:eastAsia="Times New Roman"/>
              </w:rPr>
            </w:pPr>
            <w:r>
              <w:rPr>
                <w:rFonts w:eastAsia="Times New Roman"/>
                <w:color w:val="000000"/>
                <w:sz w:val="18"/>
                <w:szCs w:val="18"/>
              </w:rPr>
              <w:t>31,142 </w:t>
            </w:r>
          </w:p>
        </w:tc>
        <w:tc>
          <w:tcPr>
            <w:tcW w:w="0" w:type="auto"/>
            <w:shd w:val="clear" w:color="auto" w:fill="FFFFFF"/>
            <w:tcMar>
              <w:top w:w="30" w:type="dxa"/>
              <w:left w:w="0" w:type="dxa"/>
              <w:bottom w:w="30" w:type="dxa"/>
              <w:right w:w="20" w:type="dxa"/>
            </w:tcMar>
            <w:vAlign w:val="center"/>
            <w:hideMark/>
          </w:tcPr>
          <w:p w14:paraId="6662F357" w14:textId="77777777" w:rsidR="00000000" w:rsidRDefault="00405D16">
            <w:pPr>
              <w:spacing w:after="100"/>
              <w:jc w:val="right"/>
              <w:rPr>
                <w:rFonts w:eastAsia="Times New Roman"/>
              </w:rPr>
            </w:pPr>
          </w:p>
        </w:tc>
      </w:tr>
      <w:tr w:rsidR="00000000" w14:paraId="32618E2A" w14:textId="77777777">
        <w:trPr>
          <w:divId w:val="1993636328"/>
        </w:trPr>
        <w:tc>
          <w:tcPr>
            <w:tcW w:w="0" w:type="auto"/>
            <w:gridSpan w:val="3"/>
            <w:shd w:val="clear" w:color="auto" w:fill="CCEEFF"/>
            <w:tcMar>
              <w:top w:w="30" w:type="dxa"/>
              <w:left w:w="20" w:type="dxa"/>
              <w:bottom w:w="30" w:type="dxa"/>
              <w:right w:w="20" w:type="dxa"/>
            </w:tcMar>
            <w:vAlign w:val="center"/>
            <w:hideMark/>
          </w:tcPr>
          <w:p w14:paraId="0C34C7B9" w14:textId="77777777" w:rsidR="00000000" w:rsidRDefault="00405D16">
            <w:pPr>
              <w:spacing w:after="100"/>
              <w:divId w:val="26181396"/>
              <w:rPr>
                <w:rFonts w:eastAsia="Times New Roman"/>
              </w:rPr>
            </w:pPr>
            <w:r>
              <w:rPr>
                <w:rFonts w:eastAsia="Times New Roman"/>
                <w:color w:val="000000"/>
                <w:sz w:val="18"/>
                <w:szCs w:val="18"/>
              </w:rPr>
              <w:t>Interest-bearing deposit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5FDEC22C"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FCBF423" w14:textId="77777777" w:rsidR="00000000" w:rsidRDefault="00405D16">
            <w:pPr>
              <w:spacing w:after="100"/>
              <w:jc w:val="right"/>
              <w:rPr>
                <w:rFonts w:eastAsia="Times New Roman"/>
              </w:rPr>
            </w:pPr>
            <w:r>
              <w:rPr>
                <w:rFonts w:eastAsia="Times New Roman"/>
                <w:b/>
                <w:bCs/>
                <w:color w:val="000000"/>
                <w:sz w:val="18"/>
                <w:szCs w:val="18"/>
              </w:rPr>
              <w:t>269,134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E61E0F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00667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6685519" w14:textId="77777777" w:rsidR="00000000" w:rsidRDefault="00405D16">
            <w:pPr>
              <w:spacing w:after="100"/>
              <w:jc w:val="right"/>
              <w:rPr>
                <w:rFonts w:eastAsia="Times New Roman"/>
              </w:rPr>
            </w:pPr>
            <w:r>
              <w:rPr>
                <w:rFonts w:eastAsia="Times New Roman"/>
                <w:color w:val="000000"/>
                <w:sz w:val="18"/>
                <w:szCs w:val="18"/>
              </w:rPr>
              <w:t>274,300 </w:t>
            </w:r>
          </w:p>
        </w:tc>
        <w:tc>
          <w:tcPr>
            <w:tcW w:w="0" w:type="auto"/>
            <w:shd w:val="clear" w:color="auto" w:fill="CCEEFF"/>
            <w:tcMar>
              <w:top w:w="30" w:type="dxa"/>
              <w:left w:w="0" w:type="dxa"/>
              <w:bottom w:w="30" w:type="dxa"/>
              <w:right w:w="20" w:type="dxa"/>
            </w:tcMar>
            <w:vAlign w:val="center"/>
            <w:hideMark/>
          </w:tcPr>
          <w:p w14:paraId="7B9586CE" w14:textId="77777777" w:rsidR="00000000" w:rsidRDefault="00405D16">
            <w:pPr>
              <w:spacing w:after="100"/>
              <w:jc w:val="right"/>
              <w:rPr>
                <w:rFonts w:eastAsia="Times New Roman"/>
              </w:rPr>
            </w:pPr>
          </w:p>
        </w:tc>
      </w:tr>
      <w:tr w:rsidR="00000000" w14:paraId="0BB4A03C" w14:textId="77777777">
        <w:trPr>
          <w:divId w:val="1993636328"/>
        </w:trPr>
        <w:tc>
          <w:tcPr>
            <w:tcW w:w="0" w:type="auto"/>
            <w:gridSpan w:val="3"/>
            <w:shd w:val="clear" w:color="auto" w:fill="FFFFFF"/>
            <w:tcMar>
              <w:top w:w="30" w:type="dxa"/>
              <w:left w:w="20" w:type="dxa"/>
              <w:bottom w:w="30" w:type="dxa"/>
              <w:right w:w="20" w:type="dxa"/>
            </w:tcMar>
            <w:vAlign w:val="center"/>
            <w:hideMark/>
          </w:tcPr>
          <w:p w14:paraId="6397A883" w14:textId="77777777" w:rsidR="00000000" w:rsidRDefault="00405D16">
            <w:pPr>
              <w:spacing w:after="100"/>
              <w:rPr>
                <w:rFonts w:eastAsia="Times New Roman"/>
              </w:rPr>
            </w:pPr>
            <w:r>
              <w:rPr>
                <w:rFonts w:eastAsia="Times New Roman"/>
                <w:color w:val="000000"/>
                <w:sz w:val="18"/>
                <w:szCs w:val="18"/>
              </w:rPr>
              <w:t>Total deposits</w:t>
            </w:r>
          </w:p>
        </w:tc>
        <w:tc>
          <w:tcPr>
            <w:tcW w:w="0" w:type="auto"/>
            <w:gridSpan w:val="3"/>
            <w:shd w:val="clear" w:color="auto" w:fill="FFFFFF"/>
            <w:tcMar>
              <w:top w:w="0" w:type="dxa"/>
              <w:left w:w="20" w:type="dxa"/>
              <w:bottom w:w="0" w:type="dxa"/>
              <w:right w:w="20" w:type="dxa"/>
            </w:tcMar>
            <w:vAlign w:val="center"/>
            <w:hideMark/>
          </w:tcPr>
          <w:p w14:paraId="4C289FD4" w14:textId="77777777" w:rsidR="00000000" w:rsidRDefault="00405D16">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4D88539E"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01FCB8CE" w14:textId="77777777" w:rsidR="00000000" w:rsidRDefault="00405D16">
            <w:pPr>
              <w:spacing w:after="100"/>
              <w:jc w:val="right"/>
              <w:rPr>
                <w:rFonts w:eastAsia="Times New Roman"/>
              </w:rPr>
            </w:pPr>
            <w:r>
              <w:rPr>
                <w:rFonts w:eastAsia="Times New Roman"/>
                <w:b/>
                <w:bCs/>
                <w:color w:val="000000"/>
                <w:sz w:val="18"/>
                <w:szCs w:val="18"/>
              </w:rPr>
              <w:t>305,938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74A799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27B65A"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118B8E63"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31E230D3" w14:textId="77777777" w:rsidR="00000000" w:rsidRDefault="00405D16">
            <w:pPr>
              <w:spacing w:after="100"/>
              <w:jc w:val="right"/>
              <w:rPr>
                <w:rFonts w:eastAsia="Times New Roman"/>
              </w:rPr>
            </w:pPr>
            <w:r>
              <w:rPr>
                <w:rFonts w:eastAsia="Times New Roman"/>
                <w:color w:val="000000"/>
                <w:sz w:val="18"/>
                <w:szCs w:val="18"/>
              </w:rPr>
              <w:t>305,442 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D77E5B8" w14:textId="77777777" w:rsidR="00000000" w:rsidRDefault="00405D16">
            <w:pPr>
              <w:spacing w:after="100"/>
              <w:jc w:val="right"/>
              <w:rPr>
                <w:rFonts w:eastAsia="Times New Roman"/>
              </w:rPr>
            </w:pPr>
          </w:p>
        </w:tc>
      </w:tr>
      <w:tr w:rsidR="00000000" w14:paraId="49412396" w14:textId="77777777">
        <w:trPr>
          <w:divId w:val="1993636328"/>
        </w:trPr>
        <w:tc>
          <w:tcPr>
            <w:tcW w:w="0" w:type="auto"/>
            <w:gridSpan w:val="3"/>
            <w:shd w:val="clear" w:color="auto" w:fill="CCEEFF"/>
            <w:tcMar>
              <w:top w:w="30" w:type="dxa"/>
              <w:left w:w="20" w:type="dxa"/>
              <w:bottom w:w="30" w:type="dxa"/>
              <w:right w:w="20" w:type="dxa"/>
            </w:tcMar>
            <w:vAlign w:val="center"/>
            <w:hideMark/>
          </w:tcPr>
          <w:p w14:paraId="2B73CFDA" w14:textId="77777777" w:rsidR="00000000" w:rsidRDefault="00405D16">
            <w:pPr>
              <w:spacing w:after="100"/>
              <w:rPr>
                <w:rFonts w:eastAsia="Times New Roman"/>
              </w:rPr>
            </w:pPr>
            <w:r>
              <w:rPr>
                <w:rFonts w:eastAsia="Times New Roman"/>
                <w:b/>
                <w:bCs/>
                <w:color w:val="000000"/>
                <w:sz w:val="18"/>
                <w:szCs w:val="18"/>
              </w:rPr>
              <w:t>Short-term borrowings:</w:t>
            </w:r>
          </w:p>
        </w:tc>
        <w:tc>
          <w:tcPr>
            <w:tcW w:w="0" w:type="auto"/>
            <w:gridSpan w:val="3"/>
            <w:shd w:val="clear" w:color="auto" w:fill="CCEEFF"/>
            <w:tcMar>
              <w:top w:w="0" w:type="dxa"/>
              <w:left w:w="20" w:type="dxa"/>
              <w:bottom w:w="0" w:type="dxa"/>
              <w:right w:w="20" w:type="dxa"/>
            </w:tcMar>
            <w:vAlign w:val="center"/>
            <w:hideMark/>
          </w:tcPr>
          <w:p w14:paraId="14F99E90" w14:textId="77777777" w:rsidR="00000000" w:rsidRDefault="00405D16">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744AEE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F70E1E"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0E556D7" w14:textId="77777777" w:rsidR="00000000" w:rsidRDefault="00405D16">
            <w:pPr>
              <w:spacing w:after="100"/>
              <w:rPr>
                <w:rFonts w:eastAsia="Times New Roman"/>
                <w:sz w:val="20"/>
                <w:szCs w:val="20"/>
              </w:rPr>
            </w:pPr>
          </w:p>
        </w:tc>
      </w:tr>
      <w:tr w:rsidR="00000000" w14:paraId="557A75A3" w14:textId="77777777">
        <w:trPr>
          <w:divId w:val="1993636328"/>
        </w:trPr>
        <w:tc>
          <w:tcPr>
            <w:tcW w:w="0" w:type="auto"/>
            <w:gridSpan w:val="3"/>
            <w:shd w:val="clear" w:color="auto" w:fill="FFFFFF"/>
            <w:tcMar>
              <w:top w:w="30" w:type="dxa"/>
              <w:left w:w="245" w:type="dxa"/>
              <w:bottom w:w="30" w:type="dxa"/>
              <w:right w:w="20" w:type="dxa"/>
            </w:tcMar>
            <w:vAlign w:val="center"/>
            <w:hideMark/>
          </w:tcPr>
          <w:p w14:paraId="62FF1525" w14:textId="77777777" w:rsidR="00000000" w:rsidRDefault="00405D16">
            <w:pPr>
              <w:spacing w:after="100"/>
              <w:rPr>
                <w:rFonts w:eastAsia="Times New Roman"/>
              </w:rPr>
            </w:pPr>
            <w:r>
              <w:rPr>
                <w:rFonts w:eastAsia="Times New Roman"/>
                <w:color w:val="000000"/>
                <w:sz w:val="18"/>
                <w:szCs w:val="18"/>
              </w:rPr>
              <w:t>Federal funds purchased and securities loaned or sold under agreements to repurchase</w:t>
            </w:r>
          </w:p>
        </w:tc>
        <w:tc>
          <w:tcPr>
            <w:tcW w:w="0" w:type="auto"/>
            <w:gridSpan w:val="3"/>
            <w:shd w:val="clear" w:color="auto" w:fill="FFFFFF"/>
            <w:tcMar>
              <w:top w:w="0" w:type="dxa"/>
              <w:left w:w="20" w:type="dxa"/>
              <w:bottom w:w="0" w:type="dxa"/>
              <w:right w:w="20" w:type="dxa"/>
            </w:tcMar>
            <w:vAlign w:val="center"/>
            <w:hideMark/>
          </w:tcPr>
          <w:p w14:paraId="6EDB1C9B" w14:textId="77777777" w:rsidR="00000000" w:rsidRDefault="00405D16">
            <w:pPr>
              <w:spacing w:after="100"/>
              <w:rPr>
                <w:rFonts w:eastAsia="Times New Roman"/>
              </w:rPr>
            </w:pPr>
          </w:p>
        </w:tc>
        <w:tc>
          <w:tcPr>
            <w:tcW w:w="0" w:type="auto"/>
            <w:tcMar>
              <w:top w:w="30" w:type="dxa"/>
              <w:left w:w="20" w:type="dxa"/>
              <w:bottom w:w="30" w:type="dxa"/>
              <w:right w:w="0" w:type="dxa"/>
            </w:tcMar>
            <w:vAlign w:val="center"/>
            <w:hideMark/>
          </w:tcPr>
          <w:p w14:paraId="66E56349" w14:textId="77777777" w:rsidR="00000000" w:rsidRDefault="00405D16">
            <w:pPr>
              <w:spacing w:after="100"/>
              <w:rPr>
                <w:rFonts w:eastAsia="Times New Roman"/>
              </w:rPr>
            </w:pPr>
            <w:r>
              <w:rPr>
                <w:rFonts w:eastAsia="Times New Roman"/>
                <w:b/>
                <w:bCs/>
                <w:color w:val="000000"/>
                <w:sz w:val="18"/>
                <w:szCs w:val="18"/>
              </w:rPr>
              <w:t>$</w:t>
            </w:r>
          </w:p>
        </w:tc>
        <w:tc>
          <w:tcPr>
            <w:tcW w:w="0" w:type="auto"/>
            <w:tcMar>
              <w:top w:w="30" w:type="dxa"/>
              <w:left w:w="0" w:type="dxa"/>
              <w:bottom w:w="30" w:type="dxa"/>
              <w:right w:w="0" w:type="dxa"/>
            </w:tcMar>
            <w:vAlign w:val="center"/>
            <w:hideMark/>
          </w:tcPr>
          <w:p w14:paraId="091EE6D4" w14:textId="77777777" w:rsidR="00000000" w:rsidRDefault="00405D16">
            <w:pPr>
              <w:spacing w:after="100"/>
              <w:jc w:val="right"/>
              <w:rPr>
                <w:rFonts w:eastAsia="Times New Roman"/>
              </w:rPr>
            </w:pPr>
            <w:r>
              <w:rPr>
                <w:rFonts w:eastAsia="Times New Roman"/>
                <w:b/>
                <w:bCs/>
                <w:color w:val="000000"/>
                <w:sz w:val="18"/>
                <w:szCs w:val="18"/>
              </w:rPr>
              <w:t>825</w:t>
            </w:r>
            <w:r>
              <w:rPr>
                <w:rFonts w:eastAsia="Times New Roman"/>
                <w:color w:val="000000"/>
                <w:sz w:val="18"/>
                <w:szCs w:val="18"/>
              </w:rPr>
              <w:t> </w:t>
            </w:r>
          </w:p>
        </w:tc>
        <w:tc>
          <w:tcPr>
            <w:tcW w:w="0" w:type="auto"/>
            <w:tcMar>
              <w:top w:w="30" w:type="dxa"/>
              <w:left w:w="0" w:type="dxa"/>
              <w:bottom w:w="30" w:type="dxa"/>
              <w:right w:w="20" w:type="dxa"/>
            </w:tcMar>
            <w:vAlign w:val="center"/>
            <w:hideMark/>
          </w:tcPr>
          <w:p w14:paraId="0189F76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E61B71"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AB787C8"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5DE0DECE" w14:textId="77777777" w:rsidR="00000000" w:rsidRDefault="00405D16">
            <w:pPr>
              <w:spacing w:after="100"/>
              <w:jc w:val="right"/>
              <w:rPr>
                <w:rFonts w:eastAsia="Times New Roman"/>
              </w:rPr>
            </w:pPr>
            <w:r>
              <w:rPr>
                <w:rFonts w:eastAsia="Times New Roman"/>
                <w:color w:val="000000"/>
                <w:sz w:val="18"/>
                <w:szCs w:val="18"/>
              </w:rPr>
              <w:t>668 </w:t>
            </w:r>
          </w:p>
        </w:tc>
        <w:tc>
          <w:tcPr>
            <w:tcW w:w="0" w:type="auto"/>
            <w:shd w:val="clear" w:color="auto" w:fill="FFFFFF"/>
            <w:tcMar>
              <w:top w:w="30" w:type="dxa"/>
              <w:left w:w="0" w:type="dxa"/>
              <w:bottom w:w="30" w:type="dxa"/>
              <w:right w:w="20" w:type="dxa"/>
            </w:tcMar>
            <w:vAlign w:val="center"/>
            <w:hideMark/>
          </w:tcPr>
          <w:p w14:paraId="16D0708C" w14:textId="77777777" w:rsidR="00000000" w:rsidRDefault="00405D16">
            <w:pPr>
              <w:spacing w:after="100"/>
              <w:jc w:val="right"/>
              <w:rPr>
                <w:rFonts w:eastAsia="Times New Roman"/>
              </w:rPr>
            </w:pPr>
          </w:p>
        </w:tc>
      </w:tr>
      <w:tr w:rsidR="00000000" w14:paraId="024F8EAF" w14:textId="77777777">
        <w:trPr>
          <w:divId w:val="1993636328"/>
        </w:trPr>
        <w:tc>
          <w:tcPr>
            <w:tcW w:w="0" w:type="auto"/>
            <w:gridSpan w:val="3"/>
            <w:vAlign w:val="center"/>
            <w:hideMark/>
          </w:tcPr>
          <w:p w14:paraId="55FFD2B1" w14:textId="77777777" w:rsidR="00000000" w:rsidRDefault="00405D16">
            <w:pPr>
              <w:spacing w:after="100"/>
              <w:jc w:val="right"/>
              <w:rPr>
                <w:rFonts w:eastAsia="Times New Roman"/>
                <w:sz w:val="20"/>
                <w:szCs w:val="20"/>
              </w:rPr>
            </w:pPr>
          </w:p>
        </w:tc>
        <w:tc>
          <w:tcPr>
            <w:tcW w:w="0" w:type="auto"/>
            <w:gridSpan w:val="3"/>
            <w:vAlign w:val="center"/>
            <w:hideMark/>
          </w:tcPr>
          <w:p w14:paraId="5242C065" w14:textId="77777777" w:rsidR="00000000" w:rsidRDefault="00405D16">
            <w:pPr>
              <w:spacing w:after="100"/>
              <w:rPr>
                <w:rFonts w:eastAsia="Times New Roman"/>
                <w:sz w:val="20"/>
                <w:szCs w:val="20"/>
              </w:rPr>
            </w:pPr>
          </w:p>
        </w:tc>
        <w:tc>
          <w:tcPr>
            <w:tcW w:w="0" w:type="auto"/>
            <w:gridSpan w:val="3"/>
            <w:vAlign w:val="center"/>
            <w:hideMark/>
          </w:tcPr>
          <w:p w14:paraId="65DBB257" w14:textId="77777777" w:rsidR="00000000" w:rsidRDefault="00405D16">
            <w:pPr>
              <w:spacing w:after="100"/>
              <w:rPr>
                <w:rFonts w:eastAsia="Times New Roman"/>
                <w:sz w:val="20"/>
                <w:szCs w:val="20"/>
              </w:rPr>
            </w:pPr>
          </w:p>
        </w:tc>
        <w:tc>
          <w:tcPr>
            <w:tcW w:w="0" w:type="auto"/>
            <w:gridSpan w:val="3"/>
            <w:vAlign w:val="center"/>
            <w:hideMark/>
          </w:tcPr>
          <w:p w14:paraId="385590AB" w14:textId="77777777" w:rsidR="00000000" w:rsidRDefault="00405D16">
            <w:pPr>
              <w:spacing w:after="100"/>
              <w:rPr>
                <w:rFonts w:eastAsia="Times New Roman"/>
                <w:sz w:val="20"/>
                <w:szCs w:val="20"/>
              </w:rPr>
            </w:pPr>
          </w:p>
        </w:tc>
        <w:tc>
          <w:tcPr>
            <w:tcW w:w="0" w:type="auto"/>
            <w:gridSpan w:val="3"/>
            <w:vAlign w:val="center"/>
            <w:hideMark/>
          </w:tcPr>
          <w:p w14:paraId="459BBA86" w14:textId="77777777" w:rsidR="00000000" w:rsidRDefault="00405D16">
            <w:pPr>
              <w:spacing w:after="100"/>
              <w:rPr>
                <w:rFonts w:eastAsia="Times New Roman"/>
                <w:sz w:val="20"/>
                <w:szCs w:val="20"/>
              </w:rPr>
            </w:pPr>
          </w:p>
        </w:tc>
      </w:tr>
      <w:tr w:rsidR="00000000" w14:paraId="1CEA6399" w14:textId="77777777">
        <w:trPr>
          <w:divId w:val="1993636328"/>
        </w:trPr>
        <w:tc>
          <w:tcPr>
            <w:tcW w:w="0" w:type="auto"/>
            <w:gridSpan w:val="3"/>
            <w:shd w:val="clear" w:color="auto" w:fill="CCEEFF"/>
            <w:tcMar>
              <w:top w:w="30" w:type="dxa"/>
              <w:left w:w="20" w:type="dxa"/>
              <w:bottom w:w="30" w:type="dxa"/>
              <w:right w:w="20" w:type="dxa"/>
            </w:tcMar>
            <w:vAlign w:val="center"/>
            <w:hideMark/>
          </w:tcPr>
          <w:p w14:paraId="4121878C" w14:textId="77777777" w:rsidR="00000000" w:rsidRDefault="00405D16">
            <w:pPr>
              <w:spacing w:after="100"/>
              <w:rPr>
                <w:rFonts w:eastAsia="Times New Roman"/>
              </w:rPr>
            </w:pPr>
            <w:r>
              <w:rPr>
                <w:rFonts w:eastAsia="Times New Roman"/>
                <w:color w:val="000000"/>
                <w:sz w:val="18"/>
                <w:szCs w:val="18"/>
              </w:rPr>
              <w:t>Total short-term borrowings</w:t>
            </w:r>
          </w:p>
        </w:tc>
        <w:tc>
          <w:tcPr>
            <w:tcW w:w="0" w:type="auto"/>
            <w:gridSpan w:val="3"/>
            <w:shd w:val="clear" w:color="auto" w:fill="CCEEFF"/>
            <w:tcMar>
              <w:top w:w="0" w:type="dxa"/>
              <w:left w:w="20" w:type="dxa"/>
              <w:bottom w:w="0" w:type="dxa"/>
              <w:right w:w="20" w:type="dxa"/>
            </w:tcMar>
            <w:vAlign w:val="center"/>
            <w:hideMark/>
          </w:tcPr>
          <w:p w14:paraId="3E59D3A3"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718F387"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33433751" w14:textId="77777777" w:rsidR="00000000" w:rsidRDefault="00405D16">
            <w:pPr>
              <w:spacing w:after="100"/>
              <w:jc w:val="right"/>
              <w:rPr>
                <w:rFonts w:eastAsia="Times New Roman"/>
              </w:rPr>
            </w:pPr>
            <w:r>
              <w:rPr>
                <w:rFonts w:eastAsia="Times New Roman"/>
                <w:b/>
                <w:bCs/>
                <w:color w:val="000000"/>
                <w:sz w:val="18"/>
                <w:szCs w:val="18"/>
              </w:rPr>
              <w:t>825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4ADFDE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F1B0AE"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0013B412"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EEFB424" w14:textId="77777777" w:rsidR="00000000" w:rsidRDefault="00405D16">
            <w:pPr>
              <w:spacing w:after="100"/>
              <w:jc w:val="right"/>
              <w:rPr>
                <w:rFonts w:eastAsia="Times New Roman"/>
              </w:rPr>
            </w:pPr>
            <w:r>
              <w:rPr>
                <w:rFonts w:eastAsia="Times New Roman"/>
                <w:color w:val="000000"/>
                <w:sz w:val="18"/>
                <w:szCs w:val="18"/>
              </w:rPr>
              <w:t>668 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CDE72E4" w14:textId="77777777" w:rsidR="00000000" w:rsidRDefault="00405D16">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149"/>
        <w:gridCol w:w="144"/>
        <w:gridCol w:w="144"/>
        <w:gridCol w:w="144"/>
        <w:gridCol w:w="144"/>
        <w:gridCol w:w="144"/>
        <w:gridCol w:w="818"/>
        <w:gridCol w:w="144"/>
        <w:gridCol w:w="144"/>
        <w:gridCol w:w="144"/>
        <w:gridCol w:w="144"/>
        <w:gridCol w:w="144"/>
        <w:gridCol w:w="1024"/>
        <w:gridCol w:w="144"/>
        <w:gridCol w:w="144"/>
        <w:gridCol w:w="144"/>
        <w:gridCol w:w="144"/>
        <w:gridCol w:w="144"/>
        <w:gridCol w:w="818"/>
        <w:gridCol w:w="144"/>
        <w:gridCol w:w="144"/>
        <w:gridCol w:w="144"/>
        <w:gridCol w:w="144"/>
        <w:gridCol w:w="144"/>
        <w:gridCol w:w="818"/>
        <w:gridCol w:w="144"/>
        <w:gridCol w:w="144"/>
        <w:gridCol w:w="144"/>
        <w:gridCol w:w="144"/>
        <w:gridCol w:w="144"/>
        <w:gridCol w:w="818"/>
        <w:gridCol w:w="144"/>
      </w:tblGrid>
      <w:tr w:rsidR="00000000" w14:paraId="145FCA99" w14:textId="77777777">
        <w:tc>
          <w:tcPr>
            <w:tcW w:w="50" w:type="pct"/>
            <w:vAlign w:val="center"/>
            <w:hideMark/>
          </w:tcPr>
          <w:p w14:paraId="66FBB2E1" w14:textId="77777777" w:rsidR="00000000" w:rsidRDefault="00405D16">
            <w:pPr>
              <w:rPr>
                <w:rFonts w:eastAsia="Times New Roman"/>
              </w:rPr>
            </w:pPr>
          </w:p>
        </w:tc>
        <w:tc>
          <w:tcPr>
            <w:tcW w:w="1896" w:type="pct"/>
            <w:vAlign w:val="center"/>
            <w:hideMark/>
          </w:tcPr>
          <w:p w14:paraId="610A5AD2" w14:textId="77777777" w:rsidR="00000000" w:rsidRDefault="00405D16">
            <w:pPr>
              <w:spacing w:after="100"/>
              <w:rPr>
                <w:rFonts w:eastAsia="Times New Roman"/>
                <w:sz w:val="20"/>
                <w:szCs w:val="20"/>
              </w:rPr>
            </w:pPr>
          </w:p>
        </w:tc>
        <w:tc>
          <w:tcPr>
            <w:tcW w:w="5" w:type="pct"/>
            <w:vAlign w:val="center"/>
            <w:hideMark/>
          </w:tcPr>
          <w:p w14:paraId="654B1882" w14:textId="77777777" w:rsidR="00000000" w:rsidRDefault="00405D16">
            <w:pPr>
              <w:spacing w:after="100"/>
              <w:rPr>
                <w:rFonts w:eastAsia="Times New Roman"/>
                <w:sz w:val="20"/>
                <w:szCs w:val="20"/>
              </w:rPr>
            </w:pPr>
          </w:p>
        </w:tc>
        <w:tc>
          <w:tcPr>
            <w:tcW w:w="5" w:type="pct"/>
            <w:vAlign w:val="center"/>
            <w:hideMark/>
          </w:tcPr>
          <w:p w14:paraId="0CF8147D" w14:textId="77777777" w:rsidR="00000000" w:rsidRDefault="00405D16">
            <w:pPr>
              <w:spacing w:after="100"/>
              <w:rPr>
                <w:rFonts w:eastAsia="Times New Roman"/>
                <w:sz w:val="20"/>
                <w:szCs w:val="20"/>
              </w:rPr>
            </w:pPr>
          </w:p>
        </w:tc>
        <w:tc>
          <w:tcPr>
            <w:tcW w:w="26" w:type="pct"/>
            <w:vAlign w:val="center"/>
            <w:hideMark/>
          </w:tcPr>
          <w:p w14:paraId="2436AA0C" w14:textId="77777777" w:rsidR="00000000" w:rsidRDefault="00405D16">
            <w:pPr>
              <w:spacing w:after="100"/>
              <w:rPr>
                <w:rFonts w:eastAsia="Times New Roman"/>
                <w:sz w:val="20"/>
                <w:szCs w:val="20"/>
              </w:rPr>
            </w:pPr>
          </w:p>
        </w:tc>
        <w:tc>
          <w:tcPr>
            <w:tcW w:w="5" w:type="pct"/>
            <w:vAlign w:val="center"/>
            <w:hideMark/>
          </w:tcPr>
          <w:p w14:paraId="60264F65" w14:textId="77777777" w:rsidR="00000000" w:rsidRDefault="00405D16">
            <w:pPr>
              <w:spacing w:after="100"/>
              <w:rPr>
                <w:rFonts w:eastAsia="Times New Roman"/>
                <w:sz w:val="20"/>
                <w:szCs w:val="20"/>
              </w:rPr>
            </w:pPr>
          </w:p>
        </w:tc>
        <w:tc>
          <w:tcPr>
            <w:tcW w:w="50" w:type="pct"/>
            <w:vAlign w:val="center"/>
            <w:hideMark/>
          </w:tcPr>
          <w:p w14:paraId="38C0C902" w14:textId="77777777" w:rsidR="00000000" w:rsidRDefault="00405D16">
            <w:pPr>
              <w:spacing w:after="100"/>
              <w:rPr>
                <w:rFonts w:eastAsia="Times New Roman"/>
                <w:sz w:val="20"/>
                <w:szCs w:val="20"/>
              </w:rPr>
            </w:pPr>
          </w:p>
        </w:tc>
        <w:tc>
          <w:tcPr>
            <w:tcW w:w="493" w:type="pct"/>
            <w:vAlign w:val="center"/>
            <w:hideMark/>
          </w:tcPr>
          <w:p w14:paraId="56EC1A1B" w14:textId="77777777" w:rsidR="00000000" w:rsidRDefault="00405D16">
            <w:pPr>
              <w:spacing w:after="100"/>
              <w:rPr>
                <w:rFonts w:eastAsia="Times New Roman"/>
                <w:sz w:val="20"/>
                <w:szCs w:val="20"/>
              </w:rPr>
            </w:pPr>
          </w:p>
        </w:tc>
        <w:tc>
          <w:tcPr>
            <w:tcW w:w="5" w:type="pct"/>
            <w:vAlign w:val="center"/>
            <w:hideMark/>
          </w:tcPr>
          <w:p w14:paraId="3AB2697B" w14:textId="77777777" w:rsidR="00000000" w:rsidRDefault="00405D16">
            <w:pPr>
              <w:spacing w:after="100"/>
              <w:rPr>
                <w:rFonts w:eastAsia="Times New Roman"/>
                <w:sz w:val="20"/>
                <w:szCs w:val="20"/>
              </w:rPr>
            </w:pPr>
          </w:p>
        </w:tc>
        <w:tc>
          <w:tcPr>
            <w:tcW w:w="5" w:type="pct"/>
            <w:vAlign w:val="center"/>
            <w:hideMark/>
          </w:tcPr>
          <w:p w14:paraId="69856E32" w14:textId="77777777" w:rsidR="00000000" w:rsidRDefault="00405D16">
            <w:pPr>
              <w:spacing w:after="100"/>
              <w:rPr>
                <w:rFonts w:eastAsia="Times New Roman"/>
                <w:sz w:val="20"/>
                <w:szCs w:val="20"/>
              </w:rPr>
            </w:pPr>
          </w:p>
        </w:tc>
        <w:tc>
          <w:tcPr>
            <w:tcW w:w="26" w:type="pct"/>
            <w:vAlign w:val="center"/>
            <w:hideMark/>
          </w:tcPr>
          <w:p w14:paraId="3EE15E30" w14:textId="77777777" w:rsidR="00000000" w:rsidRDefault="00405D16">
            <w:pPr>
              <w:spacing w:after="100"/>
              <w:rPr>
                <w:rFonts w:eastAsia="Times New Roman"/>
                <w:sz w:val="20"/>
                <w:szCs w:val="20"/>
              </w:rPr>
            </w:pPr>
          </w:p>
        </w:tc>
        <w:tc>
          <w:tcPr>
            <w:tcW w:w="5" w:type="pct"/>
            <w:vAlign w:val="center"/>
            <w:hideMark/>
          </w:tcPr>
          <w:p w14:paraId="66E73219" w14:textId="77777777" w:rsidR="00000000" w:rsidRDefault="00405D16">
            <w:pPr>
              <w:spacing w:after="100"/>
              <w:rPr>
                <w:rFonts w:eastAsia="Times New Roman"/>
                <w:sz w:val="20"/>
                <w:szCs w:val="20"/>
              </w:rPr>
            </w:pPr>
          </w:p>
        </w:tc>
        <w:tc>
          <w:tcPr>
            <w:tcW w:w="50" w:type="pct"/>
            <w:vAlign w:val="center"/>
            <w:hideMark/>
          </w:tcPr>
          <w:p w14:paraId="4E79E10B" w14:textId="77777777" w:rsidR="00000000" w:rsidRDefault="00405D16">
            <w:pPr>
              <w:spacing w:after="100"/>
              <w:rPr>
                <w:rFonts w:eastAsia="Times New Roman"/>
                <w:sz w:val="20"/>
                <w:szCs w:val="20"/>
              </w:rPr>
            </w:pPr>
          </w:p>
        </w:tc>
        <w:tc>
          <w:tcPr>
            <w:tcW w:w="617" w:type="pct"/>
            <w:vAlign w:val="center"/>
            <w:hideMark/>
          </w:tcPr>
          <w:p w14:paraId="34BB356B" w14:textId="77777777" w:rsidR="00000000" w:rsidRDefault="00405D16">
            <w:pPr>
              <w:spacing w:after="100"/>
              <w:rPr>
                <w:rFonts w:eastAsia="Times New Roman"/>
                <w:sz w:val="20"/>
                <w:szCs w:val="20"/>
              </w:rPr>
            </w:pPr>
          </w:p>
        </w:tc>
        <w:tc>
          <w:tcPr>
            <w:tcW w:w="5" w:type="pct"/>
            <w:vAlign w:val="center"/>
            <w:hideMark/>
          </w:tcPr>
          <w:p w14:paraId="0CFD1C39" w14:textId="77777777" w:rsidR="00000000" w:rsidRDefault="00405D16">
            <w:pPr>
              <w:spacing w:after="100"/>
              <w:rPr>
                <w:rFonts w:eastAsia="Times New Roman"/>
                <w:sz w:val="20"/>
                <w:szCs w:val="20"/>
              </w:rPr>
            </w:pPr>
          </w:p>
        </w:tc>
        <w:tc>
          <w:tcPr>
            <w:tcW w:w="5" w:type="pct"/>
            <w:vAlign w:val="center"/>
            <w:hideMark/>
          </w:tcPr>
          <w:p w14:paraId="65305BB8" w14:textId="77777777" w:rsidR="00000000" w:rsidRDefault="00405D16">
            <w:pPr>
              <w:spacing w:after="100"/>
              <w:rPr>
                <w:rFonts w:eastAsia="Times New Roman"/>
                <w:sz w:val="20"/>
                <w:szCs w:val="20"/>
              </w:rPr>
            </w:pPr>
          </w:p>
        </w:tc>
        <w:tc>
          <w:tcPr>
            <w:tcW w:w="26" w:type="pct"/>
            <w:vAlign w:val="center"/>
            <w:hideMark/>
          </w:tcPr>
          <w:p w14:paraId="0B3B97B6" w14:textId="77777777" w:rsidR="00000000" w:rsidRDefault="00405D16">
            <w:pPr>
              <w:spacing w:after="100"/>
              <w:rPr>
                <w:rFonts w:eastAsia="Times New Roman"/>
                <w:sz w:val="20"/>
                <w:szCs w:val="20"/>
              </w:rPr>
            </w:pPr>
          </w:p>
        </w:tc>
        <w:tc>
          <w:tcPr>
            <w:tcW w:w="5" w:type="pct"/>
            <w:vAlign w:val="center"/>
            <w:hideMark/>
          </w:tcPr>
          <w:p w14:paraId="0837C9E2" w14:textId="77777777" w:rsidR="00000000" w:rsidRDefault="00405D16">
            <w:pPr>
              <w:spacing w:after="100"/>
              <w:rPr>
                <w:rFonts w:eastAsia="Times New Roman"/>
                <w:sz w:val="20"/>
                <w:szCs w:val="20"/>
              </w:rPr>
            </w:pPr>
          </w:p>
        </w:tc>
        <w:tc>
          <w:tcPr>
            <w:tcW w:w="50" w:type="pct"/>
            <w:vAlign w:val="center"/>
            <w:hideMark/>
          </w:tcPr>
          <w:p w14:paraId="5F488F62" w14:textId="77777777" w:rsidR="00000000" w:rsidRDefault="00405D16">
            <w:pPr>
              <w:spacing w:after="100"/>
              <w:rPr>
                <w:rFonts w:eastAsia="Times New Roman"/>
                <w:sz w:val="20"/>
                <w:szCs w:val="20"/>
              </w:rPr>
            </w:pPr>
          </w:p>
        </w:tc>
        <w:tc>
          <w:tcPr>
            <w:tcW w:w="493" w:type="pct"/>
            <w:vAlign w:val="center"/>
            <w:hideMark/>
          </w:tcPr>
          <w:p w14:paraId="7DB189D9" w14:textId="77777777" w:rsidR="00000000" w:rsidRDefault="00405D16">
            <w:pPr>
              <w:spacing w:after="100"/>
              <w:rPr>
                <w:rFonts w:eastAsia="Times New Roman"/>
                <w:sz w:val="20"/>
                <w:szCs w:val="20"/>
              </w:rPr>
            </w:pPr>
          </w:p>
        </w:tc>
        <w:tc>
          <w:tcPr>
            <w:tcW w:w="5" w:type="pct"/>
            <w:vAlign w:val="center"/>
            <w:hideMark/>
          </w:tcPr>
          <w:p w14:paraId="1F025593" w14:textId="77777777" w:rsidR="00000000" w:rsidRDefault="00405D16">
            <w:pPr>
              <w:spacing w:after="100"/>
              <w:rPr>
                <w:rFonts w:eastAsia="Times New Roman"/>
                <w:sz w:val="20"/>
                <w:szCs w:val="20"/>
              </w:rPr>
            </w:pPr>
          </w:p>
        </w:tc>
        <w:tc>
          <w:tcPr>
            <w:tcW w:w="5" w:type="pct"/>
            <w:vAlign w:val="center"/>
            <w:hideMark/>
          </w:tcPr>
          <w:p w14:paraId="3799B91A" w14:textId="77777777" w:rsidR="00000000" w:rsidRDefault="00405D16">
            <w:pPr>
              <w:spacing w:after="100"/>
              <w:rPr>
                <w:rFonts w:eastAsia="Times New Roman"/>
                <w:sz w:val="20"/>
                <w:szCs w:val="20"/>
              </w:rPr>
            </w:pPr>
          </w:p>
        </w:tc>
        <w:tc>
          <w:tcPr>
            <w:tcW w:w="26" w:type="pct"/>
            <w:vAlign w:val="center"/>
            <w:hideMark/>
          </w:tcPr>
          <w:p w14:paraId="1F5EE5FA" w14:textId="77777777" w:rsidR="00000000" w:rsidRDefault="00405D16">
            <w:pPr>
              <w:spacing w:after="100"/>
              <w:rPr>
                <w:rFonts w:eastAsia="Times New Roman"/>
                <w:sz w:val="20"/>
                <w:szCs w:val="20"/>
              </w:rPr>
            </w:pPr>
          </w:p>
        </w:tc>
        <w:tc>
          <w:tcPr>
            <w:tcW w:w="5" w:type="pct"/>
            <w:vAlign w:val="center"/>
            <w:hideMark/>
          </w:tcPr>
          <w:p w14:paraId="16A95EE5" w14:textId="77777777" w:rsidR="00000000" w:rsidRDefault="00405D16">
            <w:pPr>
              <w:spacing w:after="100"/>
              <w:rPr>
                <w:rFonts w:eastAsia="Times New Roman"/>
                <w:sz w:val="20"/>
                <w:szCs w:val="20"/>
              </w:rPr>
            </w:pPr>
          </w:p>
        </w:tc>
        <w:tc>
          <w:tcPr>
            <w:tcW w:w="50" w:type="pct"/>
            <w:vAlign w:val="center"/>
            <w:hideMark/>
          </w:tcPr>
          <w:p w14:paraId="7AAA3E12" w14:textId="77777777" w:rsidR="00000000" w:rsidRDefault="00405D16">
            <w:pPr>
              <w:spacing w:after="100"/>
              <w:rPr>
                <w:rFonts w:eastAsia="Times New Roman"/>
                <w:sz w:val="20"/>
                <w:szCs w:val="20"/>
              </w:rPr>
            </w:pPr>
          </w:p>
        </w:tc>
        <w:tc>
          <w:tcPr>
            <w:tcW w:w="493" w:type="pct"/>
            <w:vAlign w:val="center"/>
            <w:hideMark/>
          </w:tcPr>
          <w:p w14:paraId="701C324C" w14:textId="77777777" w:rsidR="00000000" w:rsidRDefault="00405D16">
            <w:pPr>
              <w:spacing w:after="100"/>
              <w:rPr>
                <w:rFonts w:eastAsia="Times New Roman"/>
                <w:sz w:val="20"/>
                <w:szCs w:val="20"/>
              </w:rPr>
            </w:pPr>
          </w:p>
        </w:tc>
        <w:tc>
          <w:tcPr>
            <w:tcW w:w="5" w:type="pct"/>
            <w:vAlign w:val="center"/>
            <w:hideMark/>
          </w:tcPr>
          <w:p w14:paraId="04C26DE5" w14:textId="77777777" w:rsidR="00000000" w:rsidRDefault="00405D16">
            <w:pPr>
              <w:spacing w:after="100"/>
              <w:rPr>
                <w:rFonts w:eastAsia="Times New Roman"/>
                <w:sz w:val="20"/>
                <w:szCs w:val="20"/>
              </w:rPr>
            </w:pPr>
          </w:p>
        </w:tc>
        <w:tc>
          <w:tcPr>
            <w:tcW w:w="5" w:type="pct"/>
            <w:vAlign w:val="center"/>
            <w:hideMark/>
          </w:tcPr>
          <w:p w14:paraId="31FEAD67" w14:textId="77777777" w:rsidR="00000000" w:rsidRDefault="00405D16">
            <w:pPr>
              <w:spacing w:after="100"/>
              <w:rPr>
                <w:rFonts w:eastAsia="Times New Roman"/>
                <w:sz w:val="20"/>
                <w:szCs w:val="20"/>
              </w:rPr>
            </w:pPr>
          </w:p>
        </w:tc>
        <w:tc>
          <w:tcPr>
            <w:tcW w:w="26" w:type="pct"/>
            <w:vAlign w:val="center"/>
            <w:hideMark/>
          </w:tcPr>
          <w:p w14:paraId="124F1FA3" w14:textId="77777777" w:rsidR="00000000" w:rsidRDefault="00405D16">
            <w:pPr>
              <w:spacing w:after="100"/>
              <w:rPr>
                <w:rFonts w:eastAsia="Times New Roman"/>
                <w:sz w:val="20"/>
                <w:szCs w:val="20"/>
              </w:rPr>
            </w:pPr>
          </w:p>
        </w:tc>
        <w:tc>
          <w:tcPr>
            <w:tcW w:w="5" w:type="pct"/>
            <w:vAlign w:val="center"/>
            <w:hideMark/>
          </w:tcPr>
          <w:p w14:paraId="007D742E" w14:textId="77777777" w:rsidR="00000000" w:rsidRDefault="00405D16">
            <w:pPr>
              <w:spacing w:after="100"/>
              <w:rPr>
                <w:rFonts w:eastAsia="Times New Roman"/>
                <w:sz w:val="20"/>
                <w:szCs w:val="20"/>
              </w:rPr>
            </w:pPr>
          </w:p>
        </w:tc>
        <w:tc>
          <w:tcPr>
            <w:tcW w:w="50" w:type="pct"/>
            <w:vAlign w:val="center"/>
            <w:hideMark/>
          </w:tcPr>
          <w:p w14:paraId="67DEB285" w14:textId="77777777" w:rsidR="00000000" w:rsidRDefault="00405D16">
            <w:pPr>
              <w:spacing w:after="100"/>
              <w:rPr>
                <w:rFonts w:eastAsia="Times New Roman"/>
                <w:sz w:val="20"/>
                <w:szCs w:val="20"/>
              </w:rPr>
            </w:pPr>
          </w:p>
        </w:tc>
        <w:tc>
          <w:tcPr>
            <w:tcW w:w="493" w:type="pct"/>
            <w:vAlign w:val="center"/>
            <w:hideMark/>
          </w:tcPr>
          <w:p w14:paraId="65737FCB" w14:textId="77777777" w:rsidR="00000000" w:rsidRDefault="00405D16">
            <w:pPr>
              <w:spacing w:after="100"/>
              <w:rPr>
                <w:rFonts w:eastAsia="Times New Roman"/>
                <w:sz w:val="20"/>
                <w:szCs w:val="20"/>
              </w:rPr>
            </w:pPr>
          </w:p>
        </w:tc>
        <w:tc>
          <w:tcPr>
            <w:tcW w:w="5" w:type="pct"/>
            <w:vAlign w:val="center"/>
            <w:hideMark/>
          </w:tcPr>
          <w:p w14:paraId="1AFA6E22" w14:textId="77777777" w:rsidR="00000000" w:rsidRDefault="00405D16">
            <w:pPr>
              <w:spacing w:after="100"/>
              <w:rPr>
                <w:rFonts w:eastAsia="Times New Roman"/>
                <w:sz w:val="20"/>
                <w:szCs w:val="20"/>
              </w:rPr>
            </w:pPr>
          </w:p>
        </w:tc>
      </w:tr>
      <w:tr w:rsidR="00000000" w14:paraId="5A490805" w14:textId="77777777">
        <w:tc>
          <w:tcPr>
            <w:tcW w:w="0" w:type="auto"/>
            <w:gridSpan w:val="3"/>
            <w:tcMar>
              <w:top w:w="30" w:type="dxa"/>
              <w:left w:w="515" w:type="dxa"/>
              <w:bottom w:w="30" w:type="dxa"/>
              <w:right w:w="20" w:type="dxa"/>
            </w:tcMar>
            <w:vAlign w:val="bottom"/>
            <w:hideMark/>
          </w:tcPr>
          <w:p w14:paraId="39EC048F"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2E77A589" w14:textId="77777777" w:rsidR="00000000" w:rsidRDefault="00405D16">
            <w:pPr>
              <w:spacing w:after="100"/>
              <w:rPr>
                <w:rFonts w:eastAsia="Times New Roman"/>
              </w:rPr>
            </w:pPr>
          </w:p>
        </w:tc>
        <w:tc>
          <w:tcPr>
            <w:tcW w:w="0" w:type="auto"/>
            <w:gridSpan w:val="21"/>
            <w:tcMar>
              <w:top w:w="30" w:type="dxa"/>
              <w:left w:w="20" w:type="dxa"/>
              <w:bottom w:w="30" w:type="dxa"/>
              <w:right w:w="20" w:type="dxa"/>
            </w:tcMar>
            <w:vAlign w:val="bottom"/>
            <w:hideMark/>
          </w:tcPr>
          <w:p w14:paraId="3F164C77" w14:textId="77777777" w:rsidR="00000000" w:rsidRDefault="00405D16">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14:paraId="558046F3"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52EAA53" w14:textId="77777777" w:rsidR="00000000" w:rsidRDefault="00405D16">
            <w:pPr>
              <w:spacing w:after="100"/>
              <w:jc w:val="center"/>
              <w:rPr>
                <w:rFonts w:eastAsia="Times New Roman"/>
              </w:rPr>
            </w:pPr>
            <w:r>
              <w:rPr>
                <w:rFonts w:eastAsia="Times New Roman"/>
                <w:b/>
                <w:bCs/>
                <w:color w:val="000000"/>
                <w:sz w:val="16"/>
                <w:szCs w:val="16"/>
              </w:rPr>
              <w:t>December 31, 2020</w:t>
            </w:r>
          </w:p>
        </w:tc>
      </w:tr>
      <w:tr w:rsidR="00000000" w14:paraId="42413C38" w14:textId="77777777">
        <w:tc>
          <w:tcPr>
            <w:tcW w:w="0" w:type="auto"/>
            <w:gridSpan w:val="3"/>
            <w:tcMar>
              <w:top w:w="30" w:type="dxa"/>
              <w:left w:w="20" w:type="dxa"/>
              <w:bottom w:w="30" w:type="dxa"/>
              <w:right w:w="20" w:type="dxa"/>
            </w:tcMar>
            <w:vAlign w:val="bottom"/>
            <w:hideMark/>
          </w:tcPr>
          <w:p w14:paraId="3EC587CD"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3AF79119"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6864CD0" w14:textId="77777777" w:rsidR="00000000" w:rsidRDefault="00405D16">
            <w:pPr>
              <w:spacing w:after="100"/>
              <w:jc w:val="center"/>
              <w:rPr>
                <w:rFonts w:eastAsia="Times New Roman"/>
              </w:rPr>
            </w:pPr>
            <w:r>
              <w:rPr>
                <w:rFonts w:eastAsia="Times New Roman"/>
                <w:b/>
                <w:bCs/>
                <w:color w:val="000000"/>
                <w:sz w:val="16"/>
                <w:szCs w:val="16"/>
              </w:rPr>
              <w:t>Maturity Dates</w:t>
            </w:r>
          </w:p>
        </w:tc>
        <w:tc>
          <w:tcPr>
            <w:tcW w:w="0" w:type="auto"/>
            <w:gridSpan w:val="3"/>
            <w:tcBorders>
              <w:top w:val="single" w:sz="8" w:space="0" w:color="000000"/>
            </w:tcBorders>
            <w:tcMar>
              <w:top w:w="0" w:type="dxa"/>
              <w:left w:w="20" w:type="dxa"/>
              <w:bottom w:w="0" w:type="dxa"/>
              <w:right w:w="20" w:type="dxa"/>
            </w:tcMar>
            <w:vAlign w:val="center"/>
            <w:hideMark/>
          </w:tcPr>
          <w:p w14:paraId="293DB483"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F42BD1D" w14:textId="77777777" w:rsidR="00000000" w:rsidRDefault="00405D16">
            <w:pPr>
              <w:spacing w:after="100"/>
              <w:jc w:val="center"/>
              <w:rPr>
                <w:rFonts w:eastAsia="Times New Roman"/>
              </w:rPr>
            </w:pPr>
            <w:r>
              <w:rPr>
                <w:rFonts w:eastAsia="Times New Roman"/>
                <w:b/>
                <w:bCs/>
                <w:color w:val="000000"/>
                <w:sz w:val="16"/>
                <w:szCs w:val="16"/>
              </w:rPr>
              <w:t>Stated Interest Rates</w:t>
            </w:r>
          </w:p>
        </w:tc>
        <w:tc>
          <w:tcPr>
            <w:tcW w:w="0" w:type="auto"/>
            <w:gridSpan w:val="3"/>
            <w:tcBorders>
              <w:top w:val="single" w:sz="8" w:space="0" w:color="000000"/>
            </w:tcBorders>
            <w:tcMar>
              <w:top w:w="0" w:type="dxa"/>
              <w:left w:w="20" w:type="dxa"/>
              <w:bottom w:w="0" w:type="dxa"/>
              <w:right w:w="20" w:type="dxa"/>
            </w:tcMar>
            <w:vAlign w:val="center"/>
            <w:hideMark/>
          </w:tcPr>
          <w:p w14:paraId="7E5DCBDC"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F62BE51" w14:textId="77777777" w:rsidR="00000000" w:rsidRDefault="00405D16">
            <w:pPr>
              <w:spacing w:after="100"/>
              <w:jc w:val="center"/>
              <w:rPr>
                <w:rFonts w:eastAsia="Times New Roman"/>
              </w:rPr>
            </w:pPr>
            <w:r>
              <w:rPr>
                <w:rFonts w:eastAsia="Times New Roman"/>
                <w:b/>
                <w:bCs/>
                <w:color w:val="000000"/>
                <w:sz w:val="16"/>
                <w:szCs w:val="16"/>
              </w:rPr>
              <w:t>Weighted-Average Interest Rate</w:t>
            </w:r>
          </w:p>
        </w:tc>
        <w:tc>
          <w:tcPr>
            <w:tcW w:w="0" w:type="auto"/>
            <w:gridSpan w:val="3"/>
            <w:tcBorders>
              <w:top w:val="single" w:sz="8" w:space="0" w:color="000000"/>
            </w:tcBorders>
            <w:tcMar>
              <w:top w:w="0" w:type="dxa"/>
              <w:left w:w="20" w:type="dxa"/>
              <w:bottom w:w="0" w:type="dxa"/>
              <w:right w:w="20" w:type="dxa"/>
            </w:tcMar>
            <w:vAlign w:val="center"/>
            <w:hideMark/>
          </w:tcPr>
          <w:p w14:paraId="3A2C0BF5"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6D38A73" w14:textId="77777777" w:rsidR="00000000" w:rsidRDefault="00405D16">
            <w:pPr>
              <w:spacing w:after="100"/>
              <w:jc w:val="center"/>
              <w:rPr>
                <w:rFonts w:eastAsia="Times New Roman"/>
              </w:rPr>
            </w:pPr>
            <w:r>
              <w:rPr>
                <w:rFonts w:eastAsia="Times New Roman"/>
                <w:b/>
                <w:bCs/>
                <w:color w:val="000000"/>
                <w:sz w:val="16"/>
                <w:szCs w:val="16"/>
              </w:rPr>
              <w:t>Carrying Value</w:t>
            </w:r>
          </w:p>
        </w:tc>
        <w:tc>
          <w:tcPr>
            <w:tcW w:w="0" w:type="auto"/>
            <w:gridSpan w:val="3"/>
            <w:tcMar>
              <w:top w:w="0" w:type="dxa"/>
              <w:left w:w="20" w:type="dxa"/>
              <w:bottom w:w="0" w:type="dxa"/>
              <w:right w:w="20" w:type="dxa"/>
            </w:tcMar>
            <w:vAlign w:val="center"/>
            <w:hideMark/>
          </w:tcPr>
          <w:p w14:paraId="3C732C74"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97D2D57" w14:textId="77777777" w:rsidR="00000000" w:rsidRDefault="00405D16">
            <w:pPr>
              <w:spacing w:after="100"/>
              <w:jc w:val="center"/>
              <w:rPr>
                <w:rFonts w:eastAsia="Times New Roman"/>
              </w:rPr>
            </w:pPr>
            <w:r>
              <w:rPr>
                <w:rFonts w:eastAsia="Times New Roman"/>
                <w:b/>
                <w:bCs/>
                <w:color w:val="000000"/>
                <w:sz w:val="16"/>
                <w:szCs w:val="16"/>
              </w:rPr>
              <w:t>Carrying Value</w:t>
            </w:r>
          </w:p>
        </w:tc>
      </w:tr>
      <w:tr w:rsidR="00000000" w14:paraId="20AC13DB" w14:textId="7777777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5BB01379" w14:textId="77777777" w:rsidR="00000000" w:rsidRDefault="00405D16">
            <w:pPr>
              <w:spacing w:after="100"/>
              <w:rPr>
                <w:rFonts w:eastAsia="Times New Roman"/>
              </w:rPr>
            </w:pPr>
            <w:r>
              <w:rPr>
                <w:rFonts w:eastAsia="Times New Roman"/>
                <w:b/>
                <w:bCs/>
                <w:color w:val="000000"/>
                <w:sz w:val="18"/>
                <w:szCs w:val="18"/>
              </w:rPr>
              <w:t>Long-term debt:</w:t>
            </w:r>
          </w:p>
        </w:tc>
        <w:tc>
          <w:tcPr>
            <w:tcW w:w="0" w:type="auto"/>
            <w:gridSpan w:val="3"/>
            <w:shd w:val="clear" w:color="auto" w:fill="CCEEFF"/>
            <w:tcMar>
              <w:top w:w="0" w:type="dxa"/>
              <w:left w:w="20" w:type="dxa"/>
              <w:bottom w:w="0" w:type="dxa"/>
              <w:right w:w="20" w:type="dxa"/>
            </w:tcMar>
            <w:vAlign w:val="center"/>
            <w:hideMark/>
          </w:tcPr>
          <w:p w14:paraId="0CE7EEB7"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8BD893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45FFA9"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A6DD9D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4A4EE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4C249F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9D46CD"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8B202C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21AA77"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6958214" w14:textId="77777777" w:rsidR="00000000" w:rsidRDefault="00405D16">
            <w:pPr>
              <w:spacing w:after="100"/>
              <w:rPr>
                <w:rFonts w:eastAsia="Times New Roman"/>
                <w:sz w:val="20"/>
                <w:szCs w:val="20"/>
              </w:rPr>
            </w:pPr>
          </w:p>
        </w:tc>
      </w:tr>
      <w:tr w:rsidR="00000000" w14:paraId="2DF82BF7" w14:textId="77777777">
        <w:tc>
          <w:tcPr>
            <w:tcW w:w="0" w:type="auto"/>
            <w:gridSpan w:val="3"/>
            <w:shd w:val="clear" w:color="auto" w:fill="FFFFFF"/>
            <w:tcMar>
              <w:top w:w="30" w:type="dxa"/>
              <w:left w:w="245" w:type="dxa"/>
              <w:bottom w:w="30" w:type="dxa"/>
              <w:right w:w="20" w:type="dxa"/>
            </w:tcMar>
            <w:vAlign w:val="center"/>
            <w:hideMark/>
          </w:tcPr>
          <w:p w14:paraId="04828331" w14:textId="77777777" w:rsidR="00000000" w:rsidRDefault="00405D16">
            <w:pPr>
              <w:spacing w:after="100"/>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14:paraId="1DEF9EFB" w14:textId="77777777" w:rsidR="00000000" w:rsidRDefault="00405D16">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0CB2D529" w14:textId="77777777" w:rsidR="00000000" w:rsidRDefault="00405D16">
            <w:pPr>
              <w:spacing w:after="100"/>
              <w:jc w:val="right"/>
              <w:rPr>
                <w:rFonts w:eastAsia="Times New Roman"/>
              </w:rPr>
            </w:pPr>
            <w:r>
              <w:rPr>
                <w:rFonts w:eastAsia="Times New Roman"/>
                <w:b/>
                <w:bCs/>
                <w:color w:val="000000"/>
                <w:sz w:val="18"/>
                <w:szCs w:val="18"/>
              </w:rPr>
              <w:t>2021-2028</w:t>
            </w:r>
          </w:p>
        </w:tc>
        <w:tc>
          <w:tcPr>
            <w:tcW w:w="0" w:type="auto"/>
            <w:gridSpan w:val="3"/>
            <w:shd w:val="clear" w:color="auto" w:fill="FFFFFF"/>
            <w:tcMar>
              <w:top w:w="0" w:type="dxa"/>
              <w:left w:w="20" w:type="dxa"/>
              <w:bottom w:w="0" w:type="dxa"/>
              <w:right w:w="20" w:type="dxa"/>
            </w:tcMar>
            <w:vAlign w:val="center"/>
            <w:hideMark/>
          </w:tcPr>
          <w:p w14:paraId="43A82E6E" w14:textId="77777777" w:rsidR="00000000" w:rsidRDefault="00405D16">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260A1611" w14:textId="77777777" w:rsidR="00000000" w:rsidRDefault="00405D16">
            <w:pPr>
              <w:spacing w:after="100"/>
              <w:jc w:val="right"/>
              <w:rPr>
                <w:rFonts w:eastAsia="Times New Roman"/>
              </w:rPr>
            </w:pPr>
            <w:r>
              <w:rPr>
                <w:rFonts w:eastAsia="Times New Roman"/>
                <w:b/>
                <w:bCs/>
                <w:color w:val="000000"/>
                <w:sz w:val="18"/>
                <w:szCs w:val="18"/>
              </w:rPr>
              <w:t>0.43% - 2.84%</w:t>
            </w:r>
          </w:p>
        </w:tc>
        <w:tc>
          <w:tcPr>
            <w:tcW w:w="0" w:type="auto"/>
            <w:gridSpan w:val="3"/>
            <w:shd w:val="clear" w:color="auto" w:fill="FFFFFF"/>
            <w:tcMar>
              <w:top w:w="0" w:type="dxa"/>
              <w:left w:w="20" w:type="dxa"/>
              <w:bottom w:w="0" w:type="dxa"/>
              <w:right w:w="20" w:type="dxa"/>
            </w:tcMar>
            <w:vAlign w:val="center"/>
            <w:hideMark/>
          </w:tcPr>
          <w:p w14:paraId="6BFD576D" w14:textId="77777777" w:rsidR="00000000" w:rsidRDefault="00405D16">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710FD4D9" w14:textId="77777777" w:rsidR="00000000" w:rsidRDefault="00405D16">
            <w:pPr>
              <w:spacing w:after="100"/>
              <w:jc w:val="right"/>
              <w:rPr>
                <w:rFonts w:eastAsia="Times New Roman"/>
              </w:rPr>
            </w:pPr>
            <w:r>
              <w:rPr>
                <w:rFonts w:eastAsia="Times New Roman"/>
                <w:b/>
                <w:bCs/>
                <w:color w:val="000000"/>
                <w:sz w:val="18"/>
                <w:szCs w:val="18"/>
              </w:rPr>
              <w:t>1.64%</w:t>
            </w:r>
          </w:p>
        </w:tc>
        <w:tc>
          <w:tcPr>
            <w:tcW w:w="0" w:type="auto"/>
            <w:gridSpan w:val="3"/>
            <w:shd w:val="clear" w:color="auto" w:fill="FFFFFF"/>
            <w:tcMar>
              <w:top w:w="0" w:type="dxa"/>
              <w:left w:w="20" w:type="dxa"/>
              <w:bottom w:w="0" w:type="dxa"/>
              <w:right w:w="20" w:type="dxa"/>
            </w:tcMar>
            <w:vAlign w:val="center"/>
            <w:hideMark/>
          </w:tcPr>
          <w:p w14:paraId="07658A89" w14:textId="77777777" w:rsidR="00000000" w:rsidRDefault="00405D16">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5D806D6E"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22F2EFA0" w14:textId="77777777" w:rsidR="00000000" w:rsidRDefault="00405D16">
            <w:pPr>
              <w:spacing w:after="100"/>
              <w:jc w:val="right"/>
              <w:rPr>
                <w:rFonts w:eastAsia="Times New Roman"/>
              </w:rPr>
            </w:pPr>
            <w:r>
              <w:rPr>
                <w:rFonts w:eastAsia="Times New Roman"/>
                <w:b/>
                <w:bCs/>
                <w:color w:val="000000"/>
                <w:sz w:val="18"/>
                <w:szCs w:val="18"/>
              </w:rPr>
              <w:t>12,635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CDF9EB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D8F1A2"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2BA7FD5"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27C7001F" w14:textId="77777777" w:rsidR="00000000" w:rsidRDefault="00405D16">
            <w:pPr>
              <w:spacing w:after="100"/>
              <w:jc w:val="right"/>
              <w:rPr>
                <w:rFonts w:eastAsia="Times New Roman"/>
              </w:rPr>
            </w:pPr>
            <w:r>
              <w:rPr>
                <w:rFonts w:eastAsia="Times New Roman"/>
                <w:color w:val="000000"/>
                <w:sz w:val="18"/>
                <w:szCs w:val="18"/>
              </w:rPr>
              <w:t>12,414 </w:t>
            </w:r>
          </w:p>
        </w:tc>
        <w:tc>
          <w:tcPr>
            <w:tcW w:w="0" w:type="auto"/>
            <w:shd w:val="clear" w:color="auto" w:fill="FFFFFF"/>
            <w:tcMar>
              <w:top w:w="30" w:type="dxa"/>
              <w:left w:w="0" w:type="dxa"/>
              <w:bottom w:w="30" w:type="dxa"/>
              <w:right w:w="20" w:type="dxa"/>
            </w:tcMar>
            <w:vAlign w:val="center"/>
            <w:hideMark/>
          </w:tcPr>
          <w:p w14:paraId="185C74C3" w14:textId="77777777" w:rsidR="00000000" w:rsidRDefault="00405D16">
            <w:pPr>
              <w:spacing w:after="100"/>
              <w:jc w:val="right"/>
              <w:rPr>
                <w:rFonts w:eastAsia="Times New Roman"/>
              </w:rPr>
            </w:pPr>
          </w:p>
        </w:tc>
      </w:tr>
      <w:tr w:rsidR="00000000" w14:paraId="77770BFE" w14:textId="77777777">
        <w:tc>
          <w:tcPr>
            <w:tcW w:w="0" w:type="auto"/>
            <w:gridSpan w:val="3"/>
            <w:shd w:val="clear" w:color="auto" w:fill="CCEEFF"/>
            <w:tcMar>
              <w:top w:w="30" w:type="dxa"/>
              <w:left w:w="245" w:type="dxa"/>
              <w:bottom w:w="30" w:type="dxa"/>
              <w:right w:w="20" w:type="dxa"/>
            </w:tcMar>
            <w:vAlign w:val="center"/>
            <w:hideMark/>
          </w:tcPr>
          <w:p w14:paraId="24BB7561" w14:textId="77777777" w:rsidR="00000000" w:rsidRDefault="00405D16">
            <w:pPr>
              <w:spacing w:after="100"/>
              <w:rPr>
                <w:rFonts w:eastAsia="Times New Roman"/>
              </w:rPr>
            </w:pPr>
            <w:r>
              <w:rPr>
                <w:rFonts w:eastAsia="Times New Roman"/>
                <w:color w:val="000000"/>
                <w:sz w:val="18"/>
                <w:szCs w:val="18"/>
              </w:rPr>
              <w:t>Senior and subordinated notes:</w:t>
            </w:r>
          </w:p>
        </w:tc>
        <w:tc>
          <w:tcPr>
            <w:tcW w:w="0" w:type="auto"/>
            <w:gridSpan w:val="3"/>
            <w:shd w:val="clear" w:color="auto" w:fill="CCEEFF"/>
            <w:tcMar>
              <w:top w:w="0" w:type="dxa"/>
              <w:left w:w="20" w:type="dxa"/>
              <w:bottom w:w="0" w:type="dxa"/>
              <w:right w:w="20" w:type="dxa"/>
            </w:tcMar>
            <w:vAlign w:val="center"/>
            <w:hideMark/>
          </w:tcPr>
          <w:p w14:paraId="4692CB20"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87700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E0A6F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72FC7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4C692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6AC3A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E19AC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FB1FA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FA2A5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369822" w14:textId="77777777" w:rsidR="00000000" w:rsidRDefault="00405D16">
            <w:pPr>
              <w:spacing w:after="100"/>
              <w:rPr>
                <w:rFonts w:eastAsia="Times New Roman"/>
                <w:sz w:val="20"/>
                <w:szCs w:val="20"/>
              </w:rPr>
            </w:pPr>
          </w:p>
        </w:tc>
      </w:tr>
      <w:tr w:rsidR="00000000" w14:paraId="098866F9" w14:textId="77777777">
        <w:tc>
          <w:tcPr>
            <w:tcW w:w="0" w:type="auto"/>
            <w:gridSpan w:val="3"/>
            <w:shd w:val="clear" w:color="auto" w:fill="FFFFFF"/>
            <w:tcMar>
              <w:top w:w="30" w:type="dxa"/>
              <w:left w:w="20" w:type="dxa"/>
              <w:bottom w:w="30" w:type="dxa"/>
              <w:right w:w="20" w:type="dxa"/>
            </w:tcMar>
            <w:vAlign w:val="center"/>
            <w:hideMark/>
          </w:tcPr>
          <w:p w14:paraId="2D13FF98" w14:textId="77777777" w:rsidR="00000000" w:rsidRDefault="00405D16">
            <w:pPr>
              <w:spacing w:after="100"/>
              <w:divId w:val="1638953252"/>
              <w:rPr>
                <w:rFonts w:eastAsia="Times New Roman"/>
              </w:rPr>
            </w:pPr>
            <w:r>
              <w:rPr>
                <w:rFonts w:eastAsia="Times New Roman"/>
                <w:color w:val="000000"/>
                <w:sz w:val="18"/>
                <w:szCs w:val="18"/>
              </w:rPr>
              <w:t>Fixed unsecured senior deb</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7341287B" w14:textId="77777777" w:rsidR="00000000" w:rsidRDefault="00405D16">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25BAF4B7" w14:textId="77777777" w:rsidR="00000000" w:rsidRDefault="00405D16">
            <w:pPr>
              <w:spacing w:after="100"/>
              <w:jc w:val="right"/>
              <w:rPr>
                <w:rFonts w:eastAsia="Times New Roman"/>
              </w:rPr>
            </w:pPr>
            <w:r>
              <w:rPr>
                <w:rFonts w:eastAsia="Times New Roman"/>
                <w:b/>
                <w:bCs/>
                <w:color w:val="000000"/>
                <w:sz w:val="18"/>
                <w:szCs w:val="18"/>
              </w:rPr>
              <w:t>2022-2029</w:t>
            </w:r>
          </w:p>
        </w:tc>
        <w:tc>
          <w:tcPr>
            <w:tcW w:w="0" w:type="auto"/>
            <w:gridSpan w:val="3"/>
            <w:shd w:val="clear" w:color="auto" w:fill="FFFFFF"/>
            <w:tcMar>
              <w:top w:w="0" w:type="dxa"/>
              <w:left w:w="20" w:type="dxa"/>
              <w:bottom w:w="0" w:type="dxa"/>
              <w:right w:w="20" w:type="dxa"/>
            </w:tcMar>
            <w:vAlign w:val="center"/>
            <w:hideMark/>
          </w:tcPr>
          <w:p w14:paraId="104AD80A" w14:textId="77777777" w:rsidR="00000000" w:rsidRDefault="00405D16">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224EBD05" w14:textId="77777777" w:rsidR="00000000" w:rsidRDefault="00405D16">
            <w:pPr>
              <w:spacing w:after="100"/>
              <w:jc w:val="right"/>
              <w:rPr>
                <w:rFonts w:eastAsia="Times New Roman"/>
              </w:rPr>
            </w:pPr>
            <w:r>
              <w:rPr>
                <w:rFonts w:eastAsia="Times New Roman"/>
                <w:b/>
                <w:bCs/>
                <w:color w:val="000000"/>
                <w:sz w:val="18"/>
                <w:szCs w:val="18"/>
              </w:rPr>
              <w:t>0.80 - 4.25</w:t>
            </w:r>
          </w:p>
        </w:tc>
        <w:tc>
          <w:tcPr>
            <w:tcW w:w="0" w:type="auto"/>
            <w:gridSpan w:val="3"/>
            <w:shd w:val="clear" w:color="auto" w:fill="FFFFFF"/>
            <w:tcMar>
              <w:top w:w="0" w:type="dxa"/>
              <w:left w:w="20" w:type="dxa"/>
              <w:bottom w:w="0" w:type="dxa"/>
              <w:right w:w="20" w:type="dxa"/>
            </w:tcMar>
            <w:vAlign w:val="center"/>
            <w:hideMark/>
          </w:tcPr>
          <w:p w14:paraId="41B623EF" w14:textId="77777777" w:rsidR="00000000" w:rsidRDefault="00405D16">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14:paraId="038D6DBB" w14:textId="77777777" w:rsidR="00000000" w:rsidRDefault="00405D16">
            <w:pPr>
              <w:spacing w:after="100"/>
              <w:jc w:val="right"/>
              <w:rPr>
                <w:rFonts w:eastAsia="Times New Roman"/>
              </w:rPr>
            </w:pPr>
            <w:r>
              <w:rPr>
                <w:rFonts w:eastAsia="Times New Roman"/>
                <w:b/>
                <w:bCs/>
                <w:color w:val="000000"/>
                <w:sz w:val="18"/>
                <w:szCs w:val="18"/>
              </w:rPr>
              <w:t>3.12</w:t>
            </w:r>
          </w:p>
        </w:tc>
        <w:tc>
          <w:tcPr>
            <w:tcW w:w="0" w:type="auto"/>
            <w:gridSpan w:val="3"/>
            <w:shd w:val="clear" w:color="auto" w:fill="FFFFFF"/>
            <w:tcMar>
              <w:top w:w="0" w:type="dxa"/>
              <w:left w:w="20" w:type="dxa"/>
              <w:bottom w:w="0" w:type="dxa"/>
              <w:right w:w="20" w:type="dxa"/>
            </w:tcMar>
            <w:vAlign w:val="center"/>
            <w:hideMark/>
          </w:tcPr>
          <w:p w14:paraId="63B7539B"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B0F55C0" w14:textId="77777777" w:rsidR="00000000" w:rsidRDefault="00405D16">
            <w:pPr>
              <w:spacing w:after="100"/>
              <w:jc w:val="right"/>
              <w:rPr>
                <w:rFonts w:eastAsia="Times New Roman"/>
              </w:rPr>
            </w:pPr>
            <w:r>
              <w:rPr>
                <w:rFonts w:eastAsia="Times New Roman"/>
                <w:b/>
                <w:bCs/>
                <w:color w:val="000000"/>
                <w:sz w:val="18"/>
                <w:szCs w:val="18"/>
              </w:rPr>
              <w:t>17,030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659649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73E2E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ED44B54" w14:textId="77777777" w:rsidR="00000000" w:rsidRDefault="00405D16">
            <w:pPr>
              <w:spacing w:after="100"/>
              <w:jc w:val="right"/>
              <w:rPr>
                <w:rFonts w:eastAsia="Times New Roman"/>
              </w:rPr>
            </w:pPr>
            <w:r>
              <w:rPr>
                <w:rFonts w:eastAsia="Times New Roman"/>
                <w:color w:val="000000"/>
                <w:sz w:val="18"/>
                <w:szCs w:val="18"/>
              </w:rPr>
              <w:t>21,045 </w:t>
            </w:r>
          </w:p>
        </w:tc>
        <w:tc>
          <w:tcPr>
            <w:tcW w:w="0" w:type="auto"/>
            <w:shd w:val="clear" w:color="auto" w:fill="FFFFFF"/>
            <w:tcMar>
              <w:top w:w="30" w:type="dxa"/>
              <w:left w:w="0" w:type="dxa"/>
              <w:bottom w:w="30" w:type="dxa"/>
              <w:right w:w="20" w:type="dxa"/>
            </w:tcMar>
            <w:vAlign w:val="center"/>
            <w:hideMark/>
          </w:tcPr>
          <w:p w14:paraId="015A8AB8" w14:textId="77777777" w:rsidR="00000000" w:rsidRDefault="00405D16">
            <w:pPr>
              <w:spacing w:after="100"/>
              <w:jc w:val="right"/>
              <w:rPr>
                <w:rFonts w:eastAsia="Times New Roman"/>
              </w:rPr>
            </w:pPr>
          </w:p>
        </w:tc>
      </w:tr>
      <w:tr w:rsidR="00000000" w14:paraId="36268625" w14:textId="77777777">
        <w:tc>
          <w:tcPr>
            <w:tcW w:w="0" w:type="auto"/>
            <w:gridSpan w:val="3"/>
            <w:shd w:val="clear" w:color="auto" w:fill="CCEEFF"/>
            <w:tcMar>
              <w:top w:w="30" w:type="dxa"/>
              <w:left w:w="515" w:type="dxa"/>
              <w:bottom w:w="30" w:type="dxa"/>
              <w:right w:w="20" w:type="dxa"/>
            </w:tcMar>
            <w:vAlign w:val="center"/>
            <w:hideMark/>
          </w:tcPr>
          <w:p w14:paraId="50E325CA" w14:textId="77777777" w:rsidR="00000000" w:rsidRDefault="00405D16">
            <w:pPr>
              <w:spacing w:after="100"/>
              <w:rPr>
                <w:rFonts w:eastAsia="Times New Roman"/>
              </w:rPr>
            </w:pPr>
            <w:r>
              <w:rPr>
                <w:rFonts w:eastAsia="Times New Roman"/>
                <w:color w:val="000000"/>
                <w:sz w:val="18"/>
                <w:szCs w:val="18"/>
              </w:rPr>
              <w:t>Floating unsecured senior debt</w:t>
            </w:r>
          </w:p>
        </w:tc>
        <w:tc>
          <w:tcPr>
            <w:tcW w:w="0" w:type="auto"/>
            <w:gridSpan w:val="3"/>
            <w:shd w:val="clear" w:color="auto" w:fill="CCEEFF"/>
            <w:tcMar>
              <w:top w:w="0" w:type="dxa"/>
              <w:left w:w="20" w:type="dxa"/>
              <w:bottom w:w="0" w:type="dxa"/>
              <w:right w:w="20" w:type="dxa"/>
            </w:tcMar>
            <w:vAlign w:val="center"/>
            <w:hideMark/>
          </w:tcPr>
          <w:p w14:paraId="352D98BA" w14:textId="77777777" w:rsidR="00000000" w:rsidRDefault="00405D16">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3148EDBD" w14:textId="77777777" w:rsidR="00000000" w:rsidRDefault="00405D16">
            <w:pPr>
              <w:spacing w:after="100"/>
              <w:jc w:val="right"/>
              <w:rPr>
                <w:rFonts w:eastAsia="Times New Roman"/>
              </w:rPr>
            </w:pPr>
            <w:r>
              <w:rPr>
                <w:rFonts w:eastAsia="Times New Roman"/>
                <w:b/>
                <w:bCs/>
                <w:color w:val="000000"/>
                <w:sz w:val="18"/>
                <w:szCs w:val="18"/>
              </w:rPr>
              <w:t>2022-2023</w:t>
            </w:r>
          </w:p>
        </w:tc>
        <w:tc>
          <w:tcPr>
            <w:tcW w:w="0" w:type="auto"/>
            <w:gridSpan w:val="3"/>
            <w:shd w:val="clear" w:color="auto" w:fill="CCEEFF"/>
            <w:tcMar>
              <w:top w:w="0" w:type="dxa"/>
              <w:left w:w="20" w:type="dxa"/>
              <w:bottom w:w="0" w:type="dxa"/>
              <w:right w:w="20" w:type="dxa"/>
            </w:tcMar>
            <w:vAlign w:val="center"/>
            <w:hideMark/>
          </w:tcPr>
          <w:p w14:paraId="55D54127" w14:textId="77777777" w:rsidR="00000000" w:rsidRDefault="00405D16">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713158AC" w14:textId="77777777" w:rsidR="00000000" w:rsidRDefault="00405D16">
            <w:pPr>
              <w:spacing w:after="100"/>
              <w:jc w:val="right"/>
              <w:rPr>
                <w:rFonts w:eastAsia="Times New Roman"/>
              </w:rPr>
            </w:pPr>
            <w:r>
              <w:rPr>
                <w:rFonts w:eastAsia="Times New Roman"/>
                <w:b/>
                <w:bCs/>
                <w:color w:val="000000"/>
                <w:sz w:val="18"/>
                <w:szCs w:val="18"/>
              </w:rPr>
              <w:t>0.85 - 1.28</w:t>
            </w:r>
          </w:p>
        </w:tc>
        <w:tc>
          <w:tcPr>
            <w:tcW w:w="0" w:type="auto"/>
            <w:gridSpan w:val="3"/>
            <w:shd w:val="clear" w:color="auto" w:fill="CCEEFF"/>
            <w:tcMar>
              <w:top w:w="0" w:type="dxa"/>
              <w:left w:w="20" w:type="dxa"/>
              <w:bottom w:w="0" w:type="dxa"/>
              <w:right w:w="20" w:type="dxa"/>
            </w:tcMar>
            <w:vAlign w:val="center"/>
            <w:hideMark/>
          </w:tcPr>
          <w:p w14:paraId="0D23A0B8" w14:textId="77777777" w:rsidR="00000000" w:rsidRDefault="00405D16">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14:paraId="2AD96B6B" w14:textId="77777777" w:rsidR="00000000" w:rsidRDefault="00405D16">
            <w:pPr>
              <w:spacing w:after="100"/>
              <w:jc w:val="right"/>
              <w:rPr>
                <w:rFonts w:eastAsia="Times New Roman"/>
              </w:rPr>
            </w:pPr>
            <w:r>
              <w:rPr>
                <w:rFonts w:eastAsia="Times New Roman"/>
                <w:b/>
                <w:bCs/>
                <w:color w:val="000000"/>
                <w:sz w:val="18"/>
                <w:szCs w:val="18"/>
              </w:rPr>
              <w:t>1.05</w:t>
            </w:r>
          </w:p>
        </w:tc>
        <w:tc>
          <w:tcPr>
            <w:tcW w:w="0" w:type="auto"/>
            <w:gridSpan w:val="3"/>
            <w:shd w:val="clear" w:color="auto" w:fill="CCEEFF"/>
            <w:tcMar>
              <w:top w:w="0" w:type="dxa"/>
              <w:left w:w="20" w:type="dxa"/>
              <w:bottom w:w="0" w:type="dxa"/>
              <w:right w:w="20" w:type="dxa"/>
            </w:tcMar>
            <w:vAlign w:val="center"/>
            <w:hideMark/>
          </w:tcPr>
          <w:p w14:paraId="71FAA0AA"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6F28DD3" w14:textId="77777777" w:rsidR="00000000" w:rsidRDefault="00405D16">
            <w:pPr>
              <w:spacing w:after="100"/>
              <w:jc w:val="right"/>
              <w:rPr>
                <w:rFonts w:eastAsia="Times New Roman"/>
              </w:rPr>
            </w:pPr>
            <w:r>
              <w:rPr>
                <w:rFonts w:eastAsia="Times New Roman"/>
                <w:b/>
                <w:bCs/>
                <w:color w:val="000000"/>
                <w:sz w:val="18"/>
                <w:szCs w:val="18"/>
              </w:rPr>
              <w:t>1,360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237991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F7EA9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6F01673" w14:textId="77777777" w:rsidR="00000000" w:rsidRDefault="00405D16">
            <w:pPr>
              <w:spacing w:after="100"/>
              <w:jc w:val="right"/>
              <w:rPr>
                <w:rFonts w:eastAsia="Times New Roman"/>
              </w:rPr>
            </w:pPr>
            <w:r>
              <w:rPr>
                <w:rFonts w:eastAsia="Times New Roman"/>
                <w:color w:val="000000"/>
                <w:sz w:val="18"/>
                <w:szCs w:val="18"/>
              </w:rPr>
              <w:t>1,609 </w:t>
            </w:r>
          </w:p>
        </w:tc>
        <w:tc>
          <w:tcPr>
            <w:tcW w:w="0" w:type="auto"/>
            <w:shd w:val="clear" w:color="auto" w:fill="CCEEFF"/>
            <w:tcMar>
              <w:top w:w="30" w:type="dxa"/>
              <w:left w:w="0" w:type="dxa"/>
              <w:bottom w:w="30" w:type="dxa"/>
              <w:right w:w="20" w:type="dxa"/>
            </w:tcMar>
            <w:vAlign w:val="center"/>
            <w:hideMark/>
          </w:tcPr>
          <w:p w14:paraId="339A0109" w14:textId="77777777" w:rsidR="00000000" w:rsidRDefault="00405D16">
            <w:pPr>
              <w:spacing w:after="100"/>
              <w:jc w:val="right"/>
              <w:rPr>
                <w:rFonts w:eastAsia="Times New Roman"/>
              </w:rPr>
            </w:pPr>
          </w:p>
        </w:tc>
      </w:tr>
      <w:tr w:rsidR="00000000" w14:paraId="6431BC81" w14:textId="77777777">
        <w:tc>
          <w:tcPr>
            <w:tcW w:w="0" w:type="auto"/>
            <w:gridSpan w:val="15"/>
            <w:shd w:val="clear" w:color="auto" w:fill="FFFFFF"/>
            <w:tcMar>
              <w:top w:w="30" w:type="dxa"/>
              <w:left w:w="605" w:type="dxa"/>
              <w:bottom w:w="30" w:type="dxa"/>
              <w:right w:w="20" w:type="dxa"/>
            </w:tcMar>
            <w:vAlign w:val="center"/>
            <w:hideMark/>
          </w:tcPr>
          <w:p w14:paraId="7EF5050A" w14:textId="77777777" w:rsidR="00000000" w:rsidRDefault="00405D16">
            <w:pPr>
              <w:spacing w:after="100"/>
              <w:rPr>
                <w:rFonts w:eastAsia="Times New Roman"/>
              </w:rPr>
            </w:pPr>
            <w:r>
              <w:rPr>
                <w:rFonts w:eastAsia="Times New Roman"/>
                <w:color w:val="000000"/>
                <w:sz w:val="18"/>
                <w:szCs w:val="18"/>
              </w:rPr>
              <w:t>Total unsecured senior debt</w:t>
            </w:r>
          </w:p>
        </w:tc>
        <w:tc>
          <w:tcPr>
            <w:tcW w:w="0" w:type="auto"/>
            <w:gridSpan w:val="3"/>
            <w:shd w:val="clear" w:color="auto" w:fill="FFFFFF"/>
            <w:tcMar>
              <w:top w:w="0" w:type="dxa"/>
              <w:left w:w="20" w:type="dxa"/>
              <w:bottom w:w="0" w:type="dxa"/>
              <w:right w:w="20" w:type="dxa"/>
            </w:tcMar>
            <w:vAlign w:val="center"/>
            <w:hideMark/>
          </w:tcPr>
          <w:p w14:paraId="18CF5B67" w14:textId="77777777" w:rsidR="00000000" w:rsidRDefault="00405D16">
            <w:pPr>
              <w:spacing w:after="100"/>
              <w:rPr>
                <w:rFonts w:eastAsia="Times New Roman"/>
              </w:rPr>
            </w:pPr>
          </w:p>
        </w:tc>
        <w:tc>
          <w:tcPr>
            <w:tcW w:w="0" w:type="auto"/>
            <w:gridSpan w:val="3"/>
            <w:shd w:val="clear" w:color="auto" w:fill="FFFFFF"/>
            <w:tcMar>
              <w:top w:w="30" w:type="dxa"/>
              <w:left w:w="20" w:type="dxa"/>
              <w:bottom w:w="30" w:type="dxa"/>
              <w:right w:w="260" w:type="dxa"/>
            </w:tcMar>
            <w:vAlign w:val="center"/>
            <w:hideMark/>
          </w:tcPr>
          <w:p w14:paraId="65F2412D" w14:textId="77777777" w:rsidR="00000000" w:rsidRDefault="00405D16">
            <w:pPr>
              <w:spacing w:after="100"/>
              <w:jc w:val="right"/>
              <w:rPr>
                <w:rFonts w:eastAsia="Times New Roman"/>
              </w:rPr>
            </w:pPr>
            <w:r>
              <w:rPr>
                <w:rFonts w:eastAsia="Times New Roman"/>
                <w:b/>
                <w:bCs/>
                <w:color w:val="000000"/>
                <w:sz w:val="18"/>
                <w:szCs w:val="18"/>
              </w:rPr>
              <w:t>2.97</w:t>
            </w:r>
          </w:p>
        </w:tc>
        <w:tc>
          <w:tcPr>
            <w:tcW w:w="0" w:type="auto"/>
            <w:gridSpan w:val="3"/>
            <w:shd w:val="clear" w:color="auto" w:fill="FFFFFF"/>
            <w:tcMar>
              <w:top w:w="0" w:type="dxa"/>
              <w:left w:w="20" w:type="dxa"/>
              <w:bottom w:w="0" w:type="dxa"/>
              <w:right w:w="20" w:type="dxa"/>
            </w:tcMar>
            <w:vAlign w:val="center"/>
            <w:hideMark/>
          </w:tcPr>
          <w:p w14:paraId="19BB557C" w14:textId="77777777" w:rsidR="00000000" w:rsidRDefault="00405D16">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2CB2C5F" w14:textId="77777777" w:rsidR="00000000" w:rsidRDefault="00405D16">
            <w:pPr>
              <w:spacing w:after="100"/>
              <w:jc w:val="right"/>
              <w:rPr>
                <w:rFonts w:eastAsia="Times New Roman"/>
              </w:rPr>
            </w:pPr>
            <w:r>
              <w:rPr>
                <w:rFonts w:eastAsia="Times New Roman"/>
                <w:b/>
                <w:bCs/>
                <w:color w:val="000000"/>
                <w:sz w:val="18"/>
                <w:szCs w:val="18"/>
              </w:rPr>
              <w:t>18,390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772067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6DCCE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B5BA2EC" w14:textId="77777777" w:rsidR="00000000" w:rsidRDefault="00405D16">
            <w:pPr>
              <w:spacing w:after="100"/>
              <w:jc w:val="right"/>
              <w:rPr>
                <w:rFonts w:eastAsia="Times New Roman"/>
              </w:rPr>
            </w:pPr>
            <w:r>
              <w:rPr>
                <w:rFonts w:eastAsia="Times New Roman"/>
                <w:color w:val="000000"/>
                <w:sz w:val="18"/>
                <w:szCs w:val="18"/>
              </w:rPr>
              <w:t>22,654 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586171E" w14:textId="77777777" w:rsidR="00000000" w:rsidRDefault="00405D16">
            <w:pPr>
              <w:spacing w:after="100"/>
              <w:jc w:val="right"/>
              <w:rPr>
                <w:rFonts w:eastAsia="Times New Roman"/>
              </w:rPr>
            </w:pPr>
          </w:p>
        </w:tc>
      </w:tr>
      <w:tr w:rsidR="00000000" w14:paraId="3C4D0BA7" w14:textId="77777777">
        <w:tc>
          <w:tcPr>
            <w:tcW w:w="0" w:type="auto"/>
            <w:gridSpan w:val="3"/>
            <w:shd w:val="clear" w:color="auto" w:fill="CCEEFF"/>
            <w:tcMar>
              <w:top w:w="30" w:type="dxa"/>
              <w:left w:w="515" w:type="dxa"/>
              <w:bottom w:w="30" w:type="dxa"/>
              <w:right w:w="20" w:type="dxa"/>
            </w:tcMar>
            <w:vAlign w:val="center"/>
            <w:hideMark/>
          </w:tcPr>
          <w:p w14:paraId="63197C33" w14:textId="77777777" w:rsidR="00000000" w:rsidRDefault="00405D16">
            <w:pPr>
              <w:spacing w:after="100"/>
              <w:rPr>
                <w:rFonts w:eastAsia="Times New Roman"/>
              </w:rPr>
            </w:pPr>
            <w:r>
              <w:rPr>
                <w:rFonts w:eastAsia="Times New Roman"/>
                <w:color w:val="000000"/>
                <w:sz w:val="18"/>
                <w:szCs w:val="18"/>
              </w:rPr>
              <w:t>Fixed unsecured subordinated debt</w:t>
            </w:r>
          </w:p>
        </w:tc>
        <w:tc>
          <w:tcPr>
            <w:tcW w:w="0" w:type="auto"/>
            <w:gridSpan w:val="3"/>
            <w:shd w:val="clear" w:color="auto" w:fill="CCEEFF"/>
            <w:tcMar>
              <w:top w:w="0" w:type="dxa"/>
              <w:left w:w="20" w:type="dxa"/>
              <w:bottom w:w="0" w:type="dxa"/>
              <w:right w:w="20" w:type="dxa"/>
            </w:tcMar>
            <w:vAlign w:val="center"/>
            <w:hideMark/>
          </w:tcPr>
          <w:p w14:paraId="63BE9A79" w14:textId="77777777" w:rsidR="00000000" w:rsidRDefault="00405D16">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22390E04" w14:textId="77777777" w:rsidR="00000000" w:rsidRDefault="00405D16">
            <w:pPr>
              <w:spacing w:after="100"/>
              <w:jc w:val="right"/>
              <w:rPr>
                <w:rFonts w:eastAsia="Times New Roman"/>
              </w:rPr>
            </w:pPr>
            <w:r>
              <w:rPr>
                <w:rFonts w:eastAsia="Times New Roman"/>
                <w:b/>
                <w:bCs/>
                <w:color w:val="000000"/>
                <w:sz w:val="18"/>
                <w:szCs w:val="18"/>
              </w:rPr>
              <w:t>2023-2032</w:t>
            </w:r>
          </w:p>
        </w:tc>
        <w:tc>
          <w:tcPr>
            <w:tcW w:w="0" w:type="auto"/>
            <w:gridSpan w:val="3"/>
            <w:shd w:val="clear" w:color="auto" w:fill="CCEEFF"/>
            <w:tcMar>
              <w:top w:w="0" w:type="dxa"/>
              <w:left w:w="20" w:type="dxa"/>
              <w:bottom w:w="0" w:type="dxa"/>
              <w:right w:w="20" w:type="dxa"/>
            </w:tcMar>
            <w:vAlign w:val="center"/>
            <w:hideMark/>
          </w:tcPr>
          <w:p w14:paraId="01DB852D" w14:textId="77777777" w:rsidR="00000000" w:rsidRDefault="00405D16">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5D90BB08" w14:textId="77777777" w:rsidR="00000000" w:rsidRDefault="00405D16">
            <w:pPr>
              <w:spacing w:after="100"/>
              <w:jc w:val="right"/>
              <w:rPr>
                <w:rFonts w:eastAsia="Times New Roman"/>
              </w:rPr>
            </w:pPr>
            <w:r>
              <w:rPr>
                <w:rFonts w:eastAsia="Times New Roman"/>
                <w:b/>
                <w:bCs/>
                <w:color w:val="000000"/>
                <w:sz w:val="18"/>
                <w:szCs w:val="18"/>
              </w:rPr>
              <w:t>2.36 - 4.20</w:t>
            </w:r>
          </w:p>
        </w:tc>
        <w:tc>
          <w:tcPr>
            <w:tcW w:w="0" w:type="auto"/>
            <w:gridSpan w:val="3"/>
            <w:shd w:val="clear" w:color="auto" w:fill="CCEEFF"/>
            <w:tcMar>
              <w:top w:w="0" w:type="dxa"/>
              <w:left w:w="20" w:type="dxa"/>
              <w:bottom w:w="0" w:type="dxa"/>
              <w:right w:w="20" w:type="dxa"/>
            </w:tcMar>
            <w:vAlign w:val="center"/>
            <w:hideMark/>
          </w:tcPr>
          <w:p w14:paraId="1463F7C8" w14:textId="77777777" w:rsidR="00000000" w:rsidRDefault="00405D16">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14:paraId="5A255DEA" w14:textId="77777777" w:rsidR="00000000" w:rsidRDefault="00405D16">
            <w:pPr>
              <w:spacing w:after="100"/>
              <w:jc w:val="right"/>
              <w:rPr>
                <w:rFonts w:eastAsia="Times New Roman"/>
              </w:rPr>
            </w:pPr>
            <w:r>
              <w:rPr>
                <w:rFonts w:eastAsia="Times New Roman"/>
                <w:b/>
                <w:bCs/>
                <w:color w:val="000000"/>
                <w:sz w:val="18"/>
                <w:szCs w:val="18"/>
              </w:rPr>
              <w:t>3.52</w:t>
            </w:r>
          </w:p>
        </w:tc>
        <w:tc>
          <w:tcPr>
            <w:tcW w:w="0" w:type="auto"/>
            <w:gridSpan w:val="3"/>
            <w:shd w:val="clear" w:color="auto" w:fill="CCEEFF"/>
            <w:tcMar>
              <w:top w:w="0" w:type="dxa"/>
              <w:left w:w="20" w:type="dxa"/>
              <w:bottom w:w="0" w:type="dxa"/>
              <w:right w:w="20" w:type="dxa"/>
            </w:tcMar>
            <w:vAlign w:val="center"/>
            <w:hideMark/>
          </w:tcPr>
          <w:p w14:paraId="6690C4EE" w14:textId="77777777" w:rsidR="00000000" w:rsidRDefault="00405D1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ADFC004" w14:textId="77777777" w:rsidR="00000000" w:rsidRDefault="00405D16">
            <w:pPr>
              <w:spacing w:after="100"/>
              <w:jc w:val="right"/>
              <w:rPr>
                <w:rFonts w:eastAsia="Times New Roman"/>
              </w:rPr>
            </w:pPr>
            <w:r>
              <w:rPr>
                <w:rFonts w:eastAsia="Times New Roman"/>
                <w:b/>
                <w:bCs/>
                <w:color w:val="000000"/>
                <w:sz w:val="18"/>
                <w:szCs w:val="18"/>
              </w:rPr>
              <w:t>5,593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4D6465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54B51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BB341FD" w14:textId="77777777" w:rsidR="00000000" w:rsidRDefault="00405D16">
            <w:pPr>
              <w:spacing w:after="100"/>
              <w:jc w:val="right"/>
              <w:rPr>
                <w:rFonts w:eastAsia="Times New Roman"/>
              </w:rPr>
            </w:pPr>
            <w:r>
              <w:rPr>
                <w:rFonts w:eastAsia="Times New Roman"/>
                <w:color w:val="000000"/>
                <w:sz w:val="18"/>
                <w:szCs w:val="18"/>
              </w:rPr>
              <w:t>4,728 </w:t>
            </w:r>
          </w:p>
        </w:tc>
        <w:tc>
          <w:tcPr>
            <w:tcW w:w="0" w:type="auto"/>
            <w:shd w:val="clear" w:color="auto" w:fill="CCEEFF"/>
            <w:tcMar>
              <w:top w:w="30" w:type="dxa"/>
              <w:left w:w="0" w:type="dxa"/>
              <w:bottom w:w="30" w:type="dxa"/>
              <w:right w:w="20" w:type="dxa"/>
            </w:tcMar>
            <w:vAlign w:val="center"/>
            <w:hideMark/>
          </w:tcPr>
          <w:p w14:paraId="66F76791" w14:textId="77777777" w:rsidR="00000000" w:rsidRDefault="00405D16">
            <w:pPr>
              <w:spacing w:after="100"/>
              <w:jc w:val="right"/>
              <w:rPr>
                <w:rFonts w:eastAsia="Times New Roman"/>
              </w:rPr>
            </w:pPr>
          </w:p>
        </w:tc>
      </w:tr>
      <w:tr w:rsidR="00000000" w14:paraId="562284AB" w14:textId="77777777">
        <w:tc>
          <w:tcPr>
            <w:tcW w:w="0" w:type="auto"/>
            <w:gridSpan w:val="21"/>
            <w:shd w:val="clear" w:color="auto" w:fill="FFFFFF"/>
            <w:tcMar>
              <w:top w:w="30" w:type="dxa"/>
              <w:left w:w="245" w:type="dxa"/>
              <w:bottom w:w="30" w:type="dxa"/>
              <w:right w:w="20" w:type="dxa"/>
            </w:tcMar>
            <w:vAlign w:val="center"/>
            <w:hideMark/>
          </w:tcPr>
          <w:p w14:paraId="72C4E7AC" w14:textId="77777777" w:rsidR="00000000" w:rsidRDefault="00405D16">
            <w:pPr>
              <w:spacing w:after="100"/>
              <w:rPr>
                <w:rFonts w:eastAsia="Times New Roman"/>
              </w:rPr>
            </w:pPr>
            <w:r>
              <w:rPr>
                <w:rFonts w:eastAsia="Times New Roman"/>
                <w:color w:val="000000"/>
                <w:sz w:val="18"/>
                <w:szCs w:val="18"/>
              </w:rPr>
              <w:t>Total senior and subordinated notes</w:t>
            </w:r>
          </w:p>
        </w:tc>
        <w:tc>
          <w:tcPr>
            <w:tcW w:w="0" w:type="auto"/>
            <w:gridSpan w:val="3"/>
            <w:shd w:val="clear" w:color="auto" w:fill="FFFFFF"/>
            <w:tcMar>
              <w:top w:w="0" w:type="dxa"/>
              <w:left w:w="20" w:type="dxa"/>
              <w:bottom w:w="0" w:type="dxa"/>
              <w:right w:w="20" w:type="dxa"/>
            </w:tcMar>
            <w:vAlign w:val="center"/>
            <w:hideMark/>
          </w:tcPr>
          <w:p w14:paraId="06F8A1CE"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B641A1B" w14:textId="77777777" w:rsidR="00000000" w:rsidRDefault="00405D16">
            <w:pPr>
              <w:spacing w:after="100"/>
              <w:jc w:val="right"/>
              <w:rPr>
                <w:rFonts w:eastAsia="Times New Roman"/>
              </w:rPr>
            </w:pPr>
            <w:r>
              <w:rPr>
                <w:rFonts w:eastAsia="Times New Roman"/>
                <w:b/>
                <w:bCs/>
                <w:color w:val="000000"/>
                <w:sz w:val="18"/>
                <w:szCs w:val="18"/>
              </w:rPr>
              <w:t>23,983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A4A2F1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FE32F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4F5255C" w14:textId="77777777" w:rsidR="00000000" w:rsidRDefault="00405D16">
            <w:pPr>
              <w:spacing w:after="100"/>
              <w:jc w:val="right"/>
              <w:rPr>
                <w:rFonts w:eastAsia="Times New Roman"/>
              </w:rPr>
            </w:pPr>
            <w:r>
              <w:rPr>
                <w:rFonts w:eastAsia="Times New Roman"/>
                <w:color w:val="000000"/>
                <w:sz w:val="18"/>
                <w:szCs w:val="18"/>
              </w:rPr>
              <w:t>27,382 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BA72424" w14:textId="77777777" w:rsidR="00000000" w:rsidRDefault="00405D16">
            <w:pPr>
              <w:spacing w:after="100"/>
              <w:jc w:val="right"/>
              <w:rPr>
                <w:rFonts w:eastAsia="Times New Roman"/>
              </w:rPr>
            </w:pPr>
          </w:p>
        </w:tc>
      </w:tr>
      <w:tr w:rsidR="00000000" w14:paraId="15D866A2" w14:textId="77777777">
        <w:tc>
          <w:tcPr>
            <w:tcW w:w="0" w:type="auto"/>
            <w:gridSpan w:val="3"/>
            <w:shd w:val="clear" w:color="auto" w:fill="CCEEFF"/>
            <w:tcMar>
              <w:top w:w="30" w:type="dxa"/>
              <w:left w:w="245" w:type="dxa"/>
              <w:bottom w:w="30" w:type="dxa"/>
              <w:right w:w="20" w:type="dxa"/>
            </w:tcMar>
            <w:vAlign w:val="center"/>
            <w:hideMark/>
          </w:tcPr>
          <w:p w14:paraId="05487D40" w14:textId="77777777" w:rsidR="00000000" w:rsidRDefault="00405D16">
            <w:pPr>
              <w:spacing w:after="100"/>
              <w:rPr>
                <w:rFonts w:eastAsia="Times New Roman"/>
              </w:rPr>
            </w:pPr>
            <w:r>
              <w:rPr>
                <w:rFonts w:eastAsia="Times New Roman"/>
                <w:color w:val="000000"/>
                <w:sz w:val="18"/>
                <w:szCs w:val="18"/>
              </w:rPr>
              <w:t>Other long-term borrowings:</w:t>
            </w:r>
          </w:p>
        </w:tc>
        <w:tc>
          <w:tcPr>
            <w:tcW w:w="0" w:type="auto"/>
            <w:gridSpan w:val="3"/>
            <w:shd w:val="clear" w:color="auto" w:fill="CCEEFF"/>
            <w:tcMar>
              <w:top w:w="0" w:type="dxa"/>
              <w:left w:w="20" w:type="dxa"/>
              <w:bottom w:w="0" w:type="dxa"/>
              <w:right w:w="20" w:type="dxa"/>
            </w:tcMar>
            <w:vAlign w:val="center"/>
            <w:hideMark/>
          </w:tcPr>
          <w:p w14:paraId="48F9ADA8"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87E2B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117AC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9FADD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DBBAA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94C4C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4DE8E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EC9AE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FF06C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B3D3FD" w14:textId="77777777" w:rsidR="00000000" w:rsidRDefault="00405D16">
            <w:pPr>
              <w:spacing w:after="100"/>
              <w:rPr>
                <w:rFonts w:eastAsia="Times New Roman"/>
                <w:sz w:val="20"/>
                <w:szCs w:val="20"/>
              </w:rPr>
            </w:pPr>
          </w:p>
        </w:tc>
      </w:tr>
      <w:tr w:rsidR="00000000" w14:paraId="52279A63" w14:textId="77777777">
        <w:tc>
          <w:tcPr>
            <w:tcW w:w="0" w:type="auto"/>
            <w:gridSpan w:val="3"/>
            <w:vAlign w:val="center"/>
            <w:hideMark/>
          </w:tcPr>
          <w:p w14:paraId="29E60089" w14:textId="77777777" w:rsidR="00000000" w:rsidRDefault="00405D16">
            <w:pPr>
              <w:spacing w:after="100"/>
              <w:rPr>
                <w:rFonts w:eastAsia="Times New Roman"/>
                <w:sz w:val="20"/>
                <w:szCs w:val="20"/>
              </w:rPr>
            </w:pPr>
          </w:p>
        </w:tc>
        <w:tc>
          <w:tcPr>
            <w:tcW w:w="0" w:type="auto"/>
            <w:gridSpan w:val="3"/>
            <w:vAlign w:val="center"/>
            <w:hideMark/>
          </w:tcPr>
          <w:p w14:paraId="77AF5DA2" w14:textId="77777777" w:rsidR="00000000" w:rsidRDefault="00405D16">
            <w:pPr>
              <w:spacing w:after="100"/>
              <w:rPr>
                <w:rFonts w:eastAsia="Times New Roman"/>
                <w:sz w:val="20"/>
                <w:szCs w:val="20"/>
              </w:rPr>
            </w:pPr>
          </w:p>
        </w:tc>
        <w:tc>
          <w:tcPr>
            <w:tcW w:w="0" w:type="auto"/>
            <w:gridSpan w:val="3"/>
            <w:vAlign w:val="center"/>
            <w:hideMark/>
          </w:tcPr>
          <w:p w14:paraId="1DA81633" w14:textId="77777777" w:rsidR="00000000" w:rsidRDefault="00405D16">
            <w:pPr>
              <w:spacing w:after="100"/>
              <w:rPr>
                <w:rFonts w:eastAsia="Times New Roman"/>
                <w:sz w:val="20"/>
                <w:szCs w:val="20"/>
              </w:rPr>
            </w:pPr>
          </w:p>
        </w:tc>
        <w:tc>
          <w:tcPr>
            <w:tcW w:w="0" w:type="auto"/>
            <w:gridSpan w:val="3"/>
            <w:vAlign w:val="center"/>
            <w:hideMark/>
          </w:tcPr>
          <w:p w14:paraId="5468703A" w14:textId="77777777" w:rsidR="00000000" w:rsidRDefault="00405D16">
            <w:pPr>
              <w:spacing w:after="100"/>
              <w:rPr>
                <w:rFonts w:eastAsia="Times New Roman"/>
                <w:sz w:val="20"/>
                <w:szCs w:val="20"/>
              </w:rPr>
            </w:pPr>
          </w:p>
        </w:tc>
        <w:tc>
          <w:tcPr>
            <w:tcW w:w="0" w:type="auto"/>
            <w:gridSpan w:val="3"/>
            <w:vAlign w:val="center"/>
            <w:hideMark/>
          </w:tcPr>
          <w:p w14:paraId="45A648C5" w14:textId="77777777" w:rsidR="00000000" w:rsidRDefault="00405D16">
            <w:pPr>
              <w:spacing w:after="100"/>
              <w:rPr>
                <w:rFonts w:eastAsia="Times New Roman"/>
                <w:sz w:val="20"/>
                <w:szCs w:val="20"/>
              </w:rPr>
            </w:pPr>
          </w:p>
        </w:tc>
        <w:tc>
          <w:tcPr>
            <w:tcW w:w="0" w:type="auto"/>
            <w:gridSpan w:val="3"/>
            <w:vAlign w:val="center"/>
            <w:hideMark/>
          </w:tcPr>
          <w:p w14:paraId="17429665" w14:textId="77777777" w:rsidR="00000000" w:rsidRDefault="00405D16">
            <w:pPr>
              <w:spacing w:after="100"/>
              <w:rPr>
                <w:rFonts w:eastAsia="Times New Roman"/>
                <w:sz w:val="20"/>
                <w:szCs w:val="20"/>
              </w:rPr>
            </w:pPr>
          </w:p>
        </w:tc>
        <w:tc>
          <w:tcPr>
            <w:tcW w:w="0" w:type="auto"/>
            <w:gridSpan w:val="3"/>
            <w:vAlign w:val="center"/>
            <w:hideMark/>
          </w:tcPr>
          <w:p w14:paraId="70905896" w14:textId="77777777" w:rsidR="00000000" w:rsidRDefault="00405D16">
            <w:pPr>
              <w:spacing w:after="100"/>
              <w:rPr>
                <w:rFonts w:eastAsia="Times New Roman"/>
                <w:sz w:val="20"/>
                <w:szCs w:val="20"/>
              </w:rPr>
            </w:pPr>
          </w:p>
        </w:tc>
        <w:tc>
          <w:tcPr>
            <w:tcW w:w="0" w:type="auto"/>
            <w:gridSpan w:val="3"/>
            <w:vAlign w:val="center"/>
            <w:hideMark/>
          </w:tcPr>
          <w:p w14:paraId="6CA35FA9" w14:textId="77777777" w:rsidR="00000000" w:rsidRDefault="00405D16">
            <w:pPr>
              <w:spacing w:after="100"/>
              <w:rPr>
                <w:rFonts w:eastAsia="Times New Roman"/>
                <w:sz w:val="20"/>
                <w:szCs w:val="20"/>
              </w:rPr>
            </w:pPr>
          </w:p>
        </w:tc>
        <w:tc>
          <w:tcPr>
            <w:tcW w:w="0" w:type="auto"/>
            <w:gridSpan w:val="3"/>
            <w:vAlign w:val="center"/>
            <w:hideMark/>
          </w:tcPr>
          <w:p w14:paraId="5299C942" w14:textId="77777777" w:rsidR="00000000" w:rsidRDefault="00405D16">
            <w:pPr>
              <w:spacing w:after="100"/>
              <w:rPr>
                <w:rFonts w:eastAsia="Times New Roman"/>
                <w:sz w:val="20"/>
                <w:szCs w:val="20"/>
              </w:rPr>
            </w:pPr>
          </w:p>
        </w:tc>
        <w:tc>
          <w:tcPr>
            <w:tcW w:w="0" w:type="auto"/>
            <w:gridSpan w:val="3"/>
            <w:vAlign w:val="center"/>
            <w:hideMark/>
          </w:tcPr>
          <w:p w14:paraId="70CAD459" w14:textId="77777777" w:rsidR="00000000" w:rsidRDefault="00405D16">
            <w:pPr>
              <w:spacing w:after="100"/>
              <w:rPr>
                <w:rFonts w:eastAsia="Times New Roman"/>
                <w:sz w:val="20"/>
                <w:szCs w:val="20"/>
              </w:rPr>
            </w:pPr>
          </w:p>
        </w:tc>
        <w:tc>
          <w:tcPr>
            <w:tcW w:w="0" w:type="auto"/>
            <w:gridSpan w:val="3"/>
            <w:vAlign w:val="center"/>
            <w:hideMark/>
          </w:tcPr>
          <w:p w14:paraId="30413F56" w14:textId="77777777" w:rsidR="00000000" w:rsidRDefault="00405D16">
            <w:pPr>
              <w:spacing w:after="100"/>
              <w:rPr>
                <w:rFonts w:eastAsia="Times New Roman"/>
                <w:sz w:val="20"/>
                <w:szCs w:val="20"/>
              </w:rPr>
            </w:pPr>
          </w:p>
        </w:tc>
      </w:tr>
      <w:tr w:rsidR="00000000" w14:paraId="1FE87254" w14:textId="77777777">
        <w:tc>
          <w:tcPr>
            <w:tcW w:w="0" w:type="auto"/>
            <w:gridSpan w:val="3"/>
            <w:shd w:val="clear" w:color="auto" w:fill="FFFFFF"/>
            <w:tcMar>
              <w:top w:w="30" w:type="dxa"/>
              <w:left w:w="515" w:type="dxa"/>
              <w:bottom w:w="30" w:type="dxa"/>
              <w:right w:w="20" w:type="dxa"/>
            </w:tcMar>
            <w:vAlign w:val="center"/>
            <w:hideMark/>
          </w:tcPr>
          <w:p w14:paraId="545AA121" w14:textId="77777777" w:rsidR="00000000" w:rsidRDefault="00405D16">
            <w:pPr>
              <w:spacing w:after="100"/>
              <w:rPr>
                <w:rFonts w:eastAsia="Times New Roman"/>
              </w:rPr>
            </w:pPr>
            <w:r>
              <w:rPr>
                <w:rFonts w:eastAsia="Times New Roman"/>
                <w:color w:val="000000"/>
                <w:sz w:val="18"/>
                <w:szCs w:val="18"/>
              </w:rPr>
              <w:t>Finance lease liabilities</w:t>
            </w:r>
          </w:p>
        </w:tc>
        <w:tc>
          <w:tcPr>
            <w:tcW w:w="0" w:type="auto"/>
            <w:gridSpan w:val="3"/>
            <w:shd w:val="clear" w:color="auto" w:fill="FFFFFF"/>
            <w:tcMar>
              <w:top w:w="0" w:type="dxa"/>
              <w:left w:w="20" w:type="dxa"/>
              <w:bottom w:w="0" w:type="dxa"/>
              <w:right w:w="20" w:type="dxa"/>
            </w:tcMar>
            <w:vAlign w:val="center"/>
            <w:hideMark/>
          </w:tcPr>
          <w:p w14:paraId="33E44EAC" w14:textId="77777777" w:rsidR="00000000" w:rsidRDefault="00405D16">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58AAF499" w14:textId="77777777" w:rsidR="00000000" w:rsidRDefault="00405D16">
            <w:pPr>
              <w:spacing w:after="100"/>
              <w:jc w:val="right"/>
              <w:rPr>
                <w:rFonts w:eastAsia="Times New Roman"/>
              </w:rPr>
            </w:pPr>
            <w:r>
              <w:rPr>
                <w:rFonts w:eastAsia="Times New Roman"/>
                <w:b/>
                <w:bCs/>
                <w:color w:val="000000"/>
                <w:sz w:val="18"/>
                <w:szCs w:val="18"/>
              </w:rPr>
              <w:t xml:space="preserve"> 2021 - 2031 </w:t>
            </w:r>
          </w:p>
        </w:tc>
        <w:tc>
          <w:tcPr>
            <w:tcW w:w="0" w:type="auto"/>
            <w:gridSpan w:val="3"/>
            <w:shd w:val="clear" w:color="auto" w:fill="FFFFFF"/>
            <w:tcMar>
              <w:top w:w="0" w:type="dxa"/>
              <w:left w:w="20" w:type="dxa"/>
              <w:bottom w:w="0" w:type="dxa"/>
              <w:right w:w="20" w:type="dxa"/>
            </w:tcMar>
            <w:vAlign w:val="center"/>
            <w:hideMark/>
          </w:tcPr>
          <w:p w14:paraId="317682CD" w14:textId="77777777" w:rsidR="00000000" w:rsidRDefault="00405D16">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2A84B78F" w14:textId="77777777" w:rsidR="00000000" w:rsidRDefault="00405D16">
            <w:pPr>
              <w:spacing w:after="100"/>
              <w:jc w:val="right"/>
              <w:rPr>
                <w:rFonts w:eastAsia="Times New Roman"/>
              </w:rPr>
            </w:pPr>
            <w:r>
              <w:rPr>
                <w:rFonts w:eastAsia="Times New Roman"/>
                <w:b/>
                <w:bCs/>
                <w:color w:val="000000"/>
                <w:sz w:val="18"/>
                <w:szCs w:val="18"/>
              </w:rPr>
              <w:t>0.30 - 9.91</w:t>
            </w:r>
          </w:p>
        </w:tc>
        <w:tc>
          <w:tcPr>
            <w:tcW w:w="0" w:type="auto"/>
            <w:gridSpan w:val="3"/>
            <w:shd w:val="clear" w:color="auto" w:fill="FFFFFF"/>
            <w:tcMar>
              <w:top w:w="0" w:type="dxa"/>
              <w:left w:w="20" w:type="dxa"/>
              <w:bottom w:w="0" w:type="dxa"/>
              <w:right w:w="20" w:type="dxa"/>
            </w:tcMar>
            <w:vAlign w:val="center"/>
            <w:hideMark/>
          </w:tcPr>
          <w:p w14:paraId="4082AE8F" w14:textId="77777777" w:rsidR="00000000" w:rsidRDefault="00405D16">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14:paraId="706F73F8" w14:textId="77777777" w:rsidR="00000000" w:rsidRDefault="00405D16">
            <w:pPr>
              <w:spacing w:after="100"/>
              <w:jc w:val="right"/>
              <w:rPr>
                <w:rFonts w:eastAsia="Times New Roman"/>
              </w:rPr>
            </w:pPr>
            <w:r>
              <w:rPr>
                <w:rFonts w:eastAsia="Times New Roman"/>
                <w:b/>
                <w:bCs/>
                <w:color w:val="000000"/>
                <w:sz w:val="18"/>
                <w:szCs w:val="18"/>
              </w:rPr>
              <w:t>3.14</w:t>
            </w:r>
          </w:p>
        </w:tc>
        <w:tc>
          <w:tcPr>
            <w:tcW w:w="0" w:type="auto"/>
            <w:gridSpan w:val="3"/>
            <w:shd w:val="clear" w:color="auto" w:fill="FFFFFF"/>
            <w:tcMar>
              <w:top w:w="0" w:type="dxa"/>
              <w:left w:w="20" w:type="dxa"/>
              <w:bottom w:w="0" w:type="dxa"/>
              <w:right w:w="20" w:type="dxa"/>
            </w:tcMar>
            <w:vAlign w:val="center"/>
            <w:hideMark/>
          </w:tcPr>
          <w:p w14:paraId="7EC0F0FE" w14:textId="77777777" w:rsidR="00000000" w:rsidRDefault="00405D1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AEA42E0" w14:textId="77777777" w:rsidR="00000000" w:rsidRDefault="00405D16">
            <w:pPr>
              <w:spacing w:after="100"/>
              <w:jc w:val="right"/>
              <w:rPr>
                <w:rFonts w:eastAsia="Times New Roman"/>
              </w:rPr>
            </w:pPr>
            <w:r>
              <w:rPr>
                <w:rFonts w:eastAsia="Times New Roman"/>
                <w:b/>
                <w:bCs/>
                <w:color w:val="000000"/>
                <w:sz w:val="18"/>
                <w:szCs w:val="18"/>
              </w:rPr>
              <w:t>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81455E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315B0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37E3E5E" w14:textId="77777777" w:rsidR="00000000" w:rsidRDefault="00405D16">
            <w:pPr>
              <w:spacing w:after="100"/>
              <w:jc w:val="right"/>
              <w:rPr>
                <w:rFonts w:eastAsia="Times New Roman"/>
              </w:rPr>
            </w:pPr>
            <w:r>
              <w:rPr>
                <w:rFonts w:eastAsia="Times New Roman"/>
                <w:color w:val="000000"/>
                <w:sz w:val="18"/>
                <w:szCs w:val="18"/>
              </w:rPr>
              <w:t>75 </w:t>
            </w:r>
          </w:p>
        </w:tc>
        <w:tc>
          <w:tcPr>
            <w:tcW w:w="0" w:type="auto"/>
            <w:shd w:val="clear" w:color="auto" w:fill="FFFFFF"/>
            <w:tcMar>
              <w:top w:w="30" w:type="dxa"/>
              <w:left w:w="0" w:type="dxa"/>
              <w:bottom w:w="30" w:type="dxa"/>
              <w:right w:w="20" w:type="dxa"/>
            </w:tcMar>
            <w:vAlign w:val="center"/>
            <w:hideMark/>
          </w:tcPr>
          <w:p w14:paraId="1D2B4450" w14:textId="77777777" w:rsidR="00000000" w:rsidRDefault="00405D16">
            <w:pPr>
              <w:spacing w:after="100"/>
              <w:jc w:val="right"/>
              <w:rPr>
                <w:rFonts w:eastAsia="Times New Roman"/>
              </w:rPr>
            </w:pPr>
          </w:p>
        </w:tc>
      </w:tr>
      <w:tr w:rsidR="00000000" w14:paraId="40C879E3" w14:textId="77777777">
        <w:tc>
          <w:tcPr>
            <w:tcW w:w="0" w:type="auto"/>
            <w:gridSpan w:val="21"/>
            <w:shd w:val="clear" w:color="auto" w:fill="CCEEFF"/>
            <w:tcMar>
              <w:top w:w="30" w:type="dxa"/>
              <w:left w:w="245" w:type="dxa"/>
              <w:bottom w:w="30" w:type="dxa"/>
              <w:right w:w="20" w:type="dxa"/>
            </w:tcMar>
            <w:vAlign w:val="center"/>
            <w:hideMark/>
          </w:tcPr>
          <w:p w14:paraId="3376BC03" w14:textId="77777777" w:rsidR="00000000" w:rsidRDefault="00405D16">
            <w:pPr>
              <w:spacing w:after="100"/>
              <w:rPr>
                <w:rFonts w:eastAsia="Times New Roman"/>
              </w:rPr>
            </w:pPr>
            <w:r>
              <w:rPr>
                <w:rFonts w:eastAsia="Times New Roman"/>
                <w:color w:val="000000"/>
                <w:sz w:val="18"/>
                <w:szCs w:val="18"/>
              </w:rPr>
              <w:t>Total other long-term borrowings</w:t>
            </w:r>
          </w:p>
        </w:tc>
        <w:tc>
          <w:tcPr>
            <w:tcW w:w="0" w:type="auto"/>
            <w:gridSpan w:val="3"/>
            <w:shd w:val="clear" w:color="auto" w:fill="CCEEFF"/>
            <w:tcMar>
              <w:top w:w="0" w:type="dxa"/>
              <w:left w:w="20" w:type="dxa"/>
              <w:bottom w:w="0" w:type="dxa"/>
              <w:right w:w="20" w:type="dxa"/>
            </w:tcMar>
            <w:vAlign w:val="center"/>
            <w:hideMark/>
          </w:tcPr>
          <w:p w14:paraId="6D177B1B"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8DAA79B" w14:textId="77777777" w:rsidR="00000000" w:rsidRDefault="00405D16">
            <w:pPr>
              <w:spacing w:after="100"/>
              <w:jc w:val="right"/>
              <w:rPr>
                <w:rFonts w:eastAsia="Times New Roman"/>
              </w:rPr>
            </w:pPr>
            <w:r>
              <w:rPr>
                <w:rFonts w:eastAsia="Times New Roman"/>
                <w:b/>
                <w:bCs/>
                <w:color w:val="000000"/>
                <w:sz w:val="18"/>
                <w:szCs w:val="18"/>
              </w:rPr>
              <w:t>58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75CB54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A2778B"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5D11624" w14:textId="77777777" w:rsidR="00000000" w:rsidRDefault="00405D16">
            <w:pPr>
              <w:spacing w:after="100"/>
              <w:jc w:val="right"/>
              <w:rPr>
                <w:rFonts w:eastAsia="Times New Roman"/>
              </w:rPr>
            </w:pPr>
            <w:r>
              <w:rPr>
                <w:rFonts w:eastAsia="Times New Roman"/>
                <w:color w:val="000000"/>
                <w:sz w:val="18"/>
                <w:szCs w:val="18"/>
              </w:rPr>
              <w:t>75 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14B4CA8" w14:textId="77777777" w:rsidR="00000000" w:rsidRDefault="00405D16">
            <w:pPr>
              <w:spacing w:after="100"/>
              <w:jc w:val="right"/>
              <w:rPr>
                <w:rFonts w:eastAsia="Times New Roman"/>
              </w:rPr>
            </w:pPr>
          </w:p>
        </w:tc>
      </w:tr>
      <w:tr w:rsidR="00000000" w14:paraId="06D53941" w14:textId="77777777">
        <w:tc>
          <w:tcPr>
            <w:tcW w:w="0" w:type="auto"/>
            <w:gridSpan w:val="21"/>
            <w:shd w:val="clear" w:color="auto" w:fill="FFFFFF"/>
            <w:tcMar>
              <w:top w:w="30" w:type="dxa"/>
              <w:left w:w="20" w:type="dxa"/>
              <w:bottom w:w="30" w:type="dxa"/>
              <w:right w:w="20" w:type="dxa"/>
            </w:tcMar>
            <w:vAlign w:val="center"/>
            <w:hideMark/>
          </w:tcPr>
          <w:p w14:paraId="65F8BD6D" w14:textId="77777777" w:rsidR="00000000" w:rsidRDefault="00405D16">
            <w:pPr>
              <w:spacing w:after="100"/>
              <w:rPr>
                <w:rFonts w:eastAsia="Times New Roman"/>
              </w:rPr>
            </w:pPr>
            <w:r>
              <w:rPr>
                <w:rFonts w:eastAsia="Times New Roman"/>
                <w:color w:val="000000"/>
                <w:sz w:val="18"/>
                <w:szCs w:val="18"/>
              </w:rPr>
              <w:t>Total long-term debt</w:t>
            </w:r>
          </w:p>
        </w:tc>
        <w:tc>
          <w:tcPr>
            <w:tcW w:w="0" w:type="auto"/>
            <w:gridSpan w:val="3"/>
            <w:shd w:val="clear" w:color="auto" w:fill="FFFFFF"/>
            <w:tcMar>
              <w:top w:w="0" w:type="dxa"/>
              <w:left w:w="20" w:type="dxa"/>
              <w:bottom w:w="0" w:type="dxa"/>
              <w:right w:w="20" w:type="dxa"/>
            </w:tcMar>
            <w:vAlign w:val="center"/>
            <w:hideMark/>
          </w:tcPr>
          <w:p w14:paraId="1287DA3D" w14:textId="77777777" w:rsidR="00000000" w:rsidRDefault="00405D16">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00CC0F42"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2F721A30" w14:textId="77777777" w:rsidR="00000000" w:rsidRDefault="00405D16">
            <w:pPr>
              <w:spacing w:after="100"/>
              <w:jc w:val="right"/>
              <w:rPr>
                <w:rFonts w:eastAsia="Times New Roman"/>
              </w:rPr>
            </w:pPr>
            <w:r>
              <w:rPr>
                <w:rFonts w:eastAsia="Times New Roman"/>
                <w:b/>
                <w:bCs/>
                <w:color w:val="000000"/>
                <w:sz w:val="18"/>
                <w:szCs w:val="18"/>
              </w:rPr>
              <w:t>36,676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7637AA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654E7E"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1F8116A3"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364E1D0B" w14:textId="77777777" w:rsidR="00000000" w:rsidRDefault="00405D16">
            <w:pPr>
              <w:spacing w:after="100"/>
              <w:jc w:val="right"/>
              <w:rPr>
                <w:rFonts w:eastAsia="Times New Roman"/>
              </w:rPr>
            </w:pPr>
            <w:r>
              <w:rPr>
                <w:rFonts w:eastAsia="Times New Roman"/>
                <w:color w:val="000000"/>
                <w:sz w:val="18"/>
                <w:szCs w:val="18"/>
              </w:rPr>
              <w:t>39,871 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DBD00D1" w14:textId="77777777" w:rsidR="00000000" w:rsidRDefault="00405D16">
            <w:pPr>
              <w:spacing w:after="100"/>
              <w:jc w:val="right"/>
              <w:rPr>
                <w:rFonts w:eastAsia="Times New Roman"/>
              </w:rPr>
            </w:pPr>
          </w:p>
        </w:tc>
      </w:tr>
      <w:tr w:rsidR="00000000" w14:paraId="4EF3ABE2" w14:textId="77777777">
        <w:tc>
          <w:tcPr>
            <w:tcW w:w="0" w:type="auto"/>
            <w:gridSpan w:val="21"/>
            <w:shd w:val="clear" w:color="auto" w:fill="CCEEFF"/>
            <w:tcMar>
              <w:top w:w="30" w:type="dxa"/>
              <w:left w:w="20" w:type="dxa"/>
              <w:bottom w:w="30" w:type="dxa"/>
              <w:right w:w="20" w:type="dxa"/>
            </w:tcMar>
            <w:vAlign w:val="center"/>
            <w:hideMark/>
          </w:tcPr>
          <w:p w14:paraId="3D0238AC" w14:textId="77777777" w:rsidR="00000000" w:rsidRDefault="00405D16">
            <w:pPr>
              <w:spacing w:after="100"/>
              <w:rPr>
                <w:rFonts w:eastAsia="Times New Roman"/>
              </w:rPr>
            </w:pPr>
            <w:r>
              <w:rPr>
                <w:rFonts w:eastAsia="Times New Roman"/>
                <w:color w:val="000000"/>
                <w:sz w:val="18"/>
                <w:szCs w:val="18"/>
              </w:rPr>
              <w:t>Total short-term borrowings and long-term debt</w:t>
            </w:r>
          </w:p>
        </w:tc>
        <w:tc>
          <w:tcPr>
            <w:tcW w:w="0" w:type="auto"/>
            <w:gridSpan w:val="3"/>
            <w:shd w:val="clear" w:color="auto" w:fill="CCEEFF"/>
            <w:tcMar>
              <w:top w:w="0" w:type="dxa"/>
              <w:left w:w="20" w:type="dxa"/>
              <w:bottom w:w="0" w:type="dxa"/>
              <w:right w:w="20" w:type="dxa"/>
            </w:tcMar>
            <w:vAlign w:val="center"/>
            <w:hideMark/>
          </w:tcPr>
          <w:p w14:paraId="1944F1F5"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050304D2"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FDCA455" w14:textId="77777777" w:rsidR="00000000" w:rsidRDefault="00405D16">
            <w:pPr>
              <w:spacing w:after="100"/>
              <w:jc w:val="right"/>
              <w:rPr>
                <w:rFonts w:eastAsia="Times New Roman"/>
              </w:rPr>
            </w:pPr>
            <w:r>
              <w:rPr>
                <w:rFonts w:eastAsia="Times New Roman"/>
                <w:b/>
                <w:bCs/>
                <w:color w:val="000000"/>
                <w:sz w:val="18"/>
                <w:szCs w:val="18"/>
              </w:rPr>
              <w:t>37,501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E994BF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04ED18"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A0896CC"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68DEB38" w14:textId="77777777" w:rsidR="00000000" w:rsidRDefault="00405D16">
            <w:pPr>
              <w:spacing w:after="100"/>
              <w:jc w:val="right"/>
              <w:rPr>
                <w:rFonts w:eastAsia="Times New Roman"/>
              </w:rPr>
            </w:pPr>
            <w:r>
              <w:rPr>
                <w:rFonts w:eastAsia="Times New Roman"/>
                <w:color w:val="000000"/>
                <w:sz w:val="18"/>
                <w:szCs w:val="18"/>
              </w:rPr>
              <w:t>40,539 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D85BEC0" w14:textId="77777777" w:rsidR="00000000" w:rsidRDefault="00405D16">
            <w:pPr>
              <w:spacing w:after="100"/>
              <w:jc w:val="right"/>
              <w:rPr>
                <w:rFonts w:eastAsia="Times New Roman"/>
              </w:rPr>
            </w:pPr>
          </w:p>
        </w:tc>
      </w:tr>
    </w:tbl>
    <w:p w14:paraId="7515D8A9" w14:textId="77777777" w:rsidR="00000000" w:rsidRDefault="00405D16">
      <w:pPr>
        <w:divId w:val="1747144597"/>
        <w:rPr>
          <w:rFonts w:eastAsia="Times New Roman"/>
        </w:rPr>
      </w:pPr>
      <w:r>
        <w:rPr>
          <w:rFonts w:eastAsia="Times New Roman"/>
          <w:color w:val="000000"/>
          <w:sz w:val="20"/>
          <w:szCs w:val="20"/>
        </w:rPr>
        <w:t>__________</w:t>
      </w:r>
    </w:p>
    <w:p w14:paraId="6225CA3F" w14:textId="77777777" w:rsidR="00000000" w:rsidRDefault="00405D16">
      <w:pPr>
        <w:ind w:hanging="360"/>
        <w:jc w:val="both"/>
        <w:divId w:val="33095947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Includes $1.9 billion and $4.2 </w:t>
      </w:r>
      <w:r>
        <w:rPr>
          <w:rFonts w:eastAsia="Times New Roman"/>
          <w:color w:val="000000"/>
          <w:sz w:val="16"/>
          <w:szCs w:val="16"/>
        </w:rPr>
        <w:t>billion of time deposits in denominations in excess of the $250,000 federal insurance limit as of September 30, 2021 and December 31, 2020, respectively.</w:t>
      </w:r>
    </w:p>
    <w:p w14:paraId="5ECCC0A8" w14:textId="77777777" w:rsidR="00000000" w:rsidRDefault="00405D16">
      <w:pPr>
        <w:ind w:hanging="360"/>
        <w:jc w:val="both"/>
        <w:divId w:val="1976133477"/>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Includes $1.5 billion and $1.6 billion of EUR-denominated unsecured notes as of September 30, 2021 </w:t>
      </w:r>
      <w:r>
        <w:rPr>
          <w:rFonts w:eastAsia="Times New Roman"/>
          <w:color w:val="000000"/>
          <w:sz w:val="16"/>
          <w:szCs w:val="16"/>
        </w:rPr>
        <w:t>and December 31, 2020, respectively.</w:t>
      </w:r>
    </w:p>
    <w:tbl>
      <w:tblPr>
        <w:tblW w:w="4963" w:type="pct"/>
        <w:tblCellMar>
          <w:top w:w="15" w:type="dxa"/>
          <w:left w:w="15" w:type="dxa"/>
          <w:bottom w:w="15" w:type="dxa"/>
          <w:right w:w="15" w:type="dxa"/>
        </w:tblCellMar>
        <w:tblLook w:val="04A0" w:firstRow="1" w:lastRow="0" w:firstColumn="1" w:lastColumn="0" w:noHBand="0" w:noVBand="1"/>
      </w:tblPr>
      <w:tblGrid>
        <w:gridCol w:w="55"/>
        <w:gridCol w:w="2864"/>
        <w:gridCol w:w="36"/>
        <w:gridCol w:w="36"/>
        <w:gridCol w:w="36"/>
        <w:gridCol w:w="36"/>
        <w:gridCol w:w="36"/>
        <w:gridCol w:w="574"/>
        <w:gridCol w:w="36"/>
        <w:gridCol w:w="36"/>
        <w:gridCol w:w="36"/>
        <w:gridCol w:w="36"/>
        <w:gridCol w:w="36"/>
        <w:gridCol w:w="574"/>
        <w:gridCol w:w="36"/>
        <w:gridCol w:w="36"/>
        <w:gridCol w:w="36"/>
        <w:gridCol w:w="36"/>
        <w:gridCol w:w="36"/>
        <w:gridCol w:w="574"/>
        <w:gridCol w:w="36"/>
        <w:gridCol w:w="36"/>
        <w:gridCol w:w="36"/>
        <w:gridCol w:w="36"/>
        <w:gridCol w:w="36"/>
        <w:gridCol w:w="575"/>
        <w:gridCol w:w="36"/>
        <w:gridCol w:w="36"/>
        <w:gridCol w:w="36"/>
        <w:gridCol w:w="36"/>
        <w:gridCol w:w="37"/>
        <w:gridCol w:w="576"/>
        <w:gridCol w:w="36"/>
        <w:gridCol w:w="36"/>
        <w:gridCol w:w="36"/>
        <w:gridCol w:w="36"/>
        <w:gridCol w:w="37"/>
        <w:gridCol w:w="576"/>
        <w:gridCol w:w="36"/>
        <w:gridCol w:w="36"/>
        <w:gridCol w:w="36"/>
        <w:gridCol w:w="36"/>
        <w:gridCol w:w="37"/>
        <w:gridCol w:w="578"/>
        <w:gridCol w:w="36"/>
      </w:tblGrid>
      <w:tr w:rsidR="00000000" w14:paraId="1B74C559" w14:textId="77777777">
        <w:trPr>
          <w:divId w:val="448206846"/>
        </w:trPr>
        <w:tc>
          <w:tcPr>
            <w:tcW w:w="50" w:type="pct"/>
            <w:vAlign w:val="center"/>
            <w:hideMark/>
          </w:tcPr>
          <w:p w14:paraId="7007CAD7" w14:textId="77777777" w:rsidR="00000000" w:rsidRDefault="00405D16">
            <w:pPr>
              <w:ind w:hanging="360"/>
              <w:jc w:val="both"/>
              <w:rPr>
                <w:rFonts w:eastAsia="Times New Roman"/>
              </w:rPr>
            </w:pPr>
          </w:p>
        </w:tc>
        <w:tc>
          <w:tcPr>
            <w:tcW w:w="1749" w:type="pct"/>
            <w:vAlign w:val="center"/>
            <w:hideMark/>
          </w:tcPr>
          <w:p w14:paraId="75FD83D4" w14:textId="77777777" w:rsidR="00000000" w:rsidRDefault="00405D16">
            <w:pPr>
              <w:spacing w:after="100"/>
              <w:rPr>
                <w:rFonts w:eastAsia="Times New Roman"/>
                <w:sz w:val="20"/>
                <w:szCs w:val="20"/>
              </w:rPr>
            </w:pPr>
          </w:p>
        </w:tc>
        <w:tc>
          <w:tcPr>
            <w:tcW w:w="5" w:type="pct"/>
            <w:vAlign w:val="center"/>
            <w:hideMark/>
          </w:tcPr>
          <w:p w14:paraId="19B7413F" w14:textId="77777777" w:rsidR="00000000" w:rsidRDefault="00405D16">
            <w:pPr>
              <w:spacing w:after="100"/>
              <w:rPr>
                <w:rFonts w:eastAsia="Times New Roman"/>
                <w:sz w:val="20"/>
                <w:szCs w:val="20"/>
              </w:rPr>
            </w:pPr>
          </w:p>
        </w:tc>
        <w:tc>
          <w:tcPr>
            <w:tcW w:w="5" w:type="pct"/>
            <w:vAlign w:val="center"/>
            <w:hideMark/>
          </w:tcPr>
          <w:p w14:paraId="264ED0A6" w14:textId="77777777" w:rsidR="00000000" w:rsidRDefault="00405D16">
            <w:pPr>
              <w:spacing w:after="100"/>
              <w:rPr>
                <w:rFonts w:eastAsia="Times New Roman"/>
                <w:sz w:val="20"/>
                <w:szCs w:val="20"/>
              </w:rPr>
            </w:pPr>
          </w:p>
        </w:tc>
        <w:tc>
          <w:tcPr>
            <w:tcW w:w="26" w:type="pct"/>
            <w:vAlign w:val="center"/>
            <w:hideMark/>
          </w:tcPr>
          <w:p w14:paraId="38A74413" w14:textId="77777777" w:rsidR="00000000" w:rsidRDefault="00405D16">
            <w:pPr>
              <w:spacing w:after="100"/>
              <w:rPr>
                <w:rFonts w:eastAsia="Times New Roman"/>
                <w:sz w:val="20"/>
                <w:szCs w:val="20"/>
              </w:rPr>
            </w:pPr>
          </w:p>
        </w:tc>
        <w:tc>
          <w:tcPr>
            <w:tcW w:w="5" w:type="pct"/>
            <w:vAlign w:val="center"/>
            <w:hideMark/>
          </w:tcPr>
          <w:p w14:paraId="03EB6998" w14:textId="77777777" w:rsidR="00000000" w:rsidRDefault="00405D16">
            <w:pPr>
              <w:spacing w:after="100"/>
              <w:rPr>
                <w:rFonts w:eastAsia="Times New Roman"/>
                <w:sz w:val="20"/>
                <w:szCs w:val="20"/>
              </w:rPr>
            </w:pPr>
          </w:p>
        </w:tc>
        <w:tc>
          <w:tcPr>
            <w:tcW w:w="50" w:type="pct"/>
            <w:vAlign w:val="center"/>
            <w:hideMark/>
          </w:tcPr>
          <w:p w14:paraId="793E93C7" w14:textId="77777777" w:rsidR="00000000" w:rsidRDefault="00405D16">
            <w:pPr>
              <w:spacing w:after="100"/>
              <w:rPr>
                <w:rFonts w:eastAsia="Times New Roman"/>
                <w:sz w:val="20"/>
                <w:szCs w:val="20"/>
              </w:rPr>
            </w:pPr>
          </w:p>
        </w:tc>
        <w:tc>
          <w:tcPr>
            <w:tcW w:w="364" w:type="pct"/>
            <w:vAlign w:val="center"/>
            <w:hideMark/>
          </w:tcPr>
          <w:p w14:paraId="70B835E5" w14:textId="77777777" w:rsidR="00000000" w:rsidRDefault="00405D16">
            <w:pPr>
              <w:spacing w:after="100"/>
              <w:rPr>
                <w:rFonts w:eastAsia="Times New Roman"/>
                <w:sz w:val="20"/>
                <w:szCs w:val="20"/>
              </w:rPr>
            </w:pPr>
          </w:p>
        </w:tc>
        <w:tc>
          <w:tcPr>
            <w:tcW w:w="5" w:type="pct"/>
            <w:vAlign w:val="center"/>
            <w:hideMark/>
          </w:tcPr>
          <w:p w14:paraId="65F89517" w14:textId="77777777" w:rsidR="00000000" w:rsidRDefault="00405D16">
            <w:pPr>
              <w:spacing w:after="100"/>
              <w:rPr>
                <w:rFonts w:eastAsia="Times New Roman"/>
                <w:sz w:val="20"/>
                <w:szCs w:val="20"/>
              </w:rPr>
            </w:pPr>
          </w:p>
        </w:tc>
        <w:tc>
          <w:tcPr>
            <w:tcW w:w="5" w:type="pct"/>
            <w:vAlign w:val="center"/>
            <w:hideMark/>
          </w:tcPr>
          <w:p w14:paraId="0C7C79C9" w14:textId="77777777" w:rsidR="00000000" w:rsidRDefault="00405D16">
            <w:pPr>
              <w:spacing w:after="100"/>
              <w:rPr>
                <w:rFonts w:eastAsia="Times New Roman"/>
                <w:sz w:val="20"/>
                <w:szCs w:val="20"/>
              </w:rPr>
            </w:pPr>
          </w:p>
        </w:tc>
        <w:tc>
          <w:tcPr>
            <w:tcW w:w="26" w:type="pct"/>
            <w:vAlign w:val="center"/>
            <w:hideMark/>
          </w:tcPr>
          <w:p w14:paraId="1E58D31D" w14:textId="77777777" w:rsidR="00000000" w:rsidRDefault="00405D16">
            <w:pPr>
              <w:spacing w:after="100"/>
              <w:rPr>
                <w:rFonts w:eastAsia="Times New Roman"/>
                <w:sz w:val="20"/>
                <w:szCs w:val="20"/>
              </w:rPr>
            </w:pPr>
          </w:p>
        </w:tc>
        <w:tc>
          <w:tcPr>
            <w:tcW w:w="5" w:type="pct"/>
            <w:vAlign w:val="center"/>
            <w:hideMark/>
          </w:tcPr>
          <w:p w14:paraId="50A7B0C3" w14:textId="77777777" w:rsidR="00000000" w:rsidRDefault="00405D16">
            <w:pPr>
              <w:spacing w:after="100"/>
              <w:rPr>
                <w:rFonts w:eastAsia="Times New Roman"/>
                <w:sz w:val="20"/>
                <w:szCs w:val="20"/>
              </w:rPr>
            </w:pPr>
          </w:p>
        </w:tc>
        <w:tc>
          <w:tcPr>
            <w:tcW w:w="50" w:type="pct"/>
            <w:vAlign w:val="center"/>
            <w:hideMark/>
          </w:tcPr>
          <w:p w14:paraId="4C350FA4" w14:textId="77777777" w:rsidR="00000000" w:rsidRDefault="00405D16">
            <w:pPr>
              <w:spacing w:after="100"/>
              <w:rPr>
                <w:rFonts w:eastAsia="Times New Roman"/>
                <w:sz w:val="20"/>
                <w:szCs w:val="20"/>
              </w:rPr>
            </w:pPr>
          </w:p>
        </w:tc>
        <w:tc>
          <w:tcPr>
            <w:tcW w:w="364" w:type="pct"/>
            <w:vAlign w:val="center"/>
            <w:hideMark/>
          </w:tcPr>
          <w:p w14:paraId="2AA5E883" w14:textId="77777777" w:rsidR="00000000" w:rsidRDefault="00405D16">
            <w:pPr>
              <w:spacing w:after="100"/>
              <w:rPr>
                <w:rFonts w:eastAsia="Times New Roman"/>
                <w:sz w:val="20"/>
                <w:szCs w:val="20"/>
              </w:rPr>
            </w:pPr>
          </w:p>
        </w:tc>
        <w:tc>
          <w:tcPr>
            <w:tcW w:w="5" w:type="pct"/>
            <w:vAlign w:val="center"/>
            <w:hideMark/>
          </w:tcPr>
          <w:p w14:paraId="39D5AC94" w14:textId="77777777" w:rsidR="00000000" w:rsidRDefault="00405D16">
            <w:pPr>
              <w:spacing w:after="100"/>
              <w:rPr>
                <w:rFonts w:eastAsia="Times New Roman"/>
                <w:sz w:val="20"/>
                <w:szCs w:val="20"/>
              </w:rPr>
            </w:pPr>
          </w:p>
        </w:tc>
        <w:tc>
          <w:tcPr>
            <w:tcW w:w="5" w:type="pct"/>
            <w:vAlign w:val="center"/>
            <w:hideMark/>
          </w:tcPr>
          <w:p w14:paraId="554A6C14" w14:textId="77777777" w:rsidR="00000000" w:rsidRDefault="00405D16">
            <w:pPr>
              <w:spacing w:after="100"/>
              <w:rPr>
                <w:rFonts w:eastAsia="Times New Roman"/>
                <w:sz w:val="20"/>
                <w:szCs w:val="20"/>
              </w:rPr>
            </w:pPr>
          </w:p>
        </w:tc>
        <w:tc>
          <w:tcPr>
            <w:tcW w:w="26" w:type="pct"/>
            <w:vAlign w:val="center"/>
            <w:hideMark/>
          </w:tcPr>
          <w:p w14:paraId="23210B97" w14:textId="77777777" w:rsidR="00000000" w:rsidRDefault="00405D16">
            <w:pPr>
              <w:spacing w:after="100"/>
              <w:rPr>
                <w:rFonts w:eastAsia="Times New Roman"/>
                <w:sz w:val="20"/>
                <w:szCs w:val="20"/>
              </w:rPr>
            </w:pPr>
          </w:p>
        </w:tc>
        <w:tc>
          <w:tcPr>
            <w:tcW w:w="5" w:type="pct"/>
            <w:vAlign w:val="center"/>
            <w:hideMark/>
          </w:tcPr>
          <w:p w14:paraId="45C66EE8" w14:textId="77777777" w:rsidR="00000000" w:rsidRDefault="00405D16">
            <w:pPr>
              <w:spacing w:after="100"/>
              <w:rPr>
                <w:rFonts w:eastAsia="Times New Roman"/>
                <w:sz w:val="20"/>
                <w:szCs w:val="20"/>
              </w:rPr>
            </w:pPr>
          </w:p>
        </w:tc>
        <w:tc>
          <w:tcPr>
            <w:tcW w:w="50" w:type="pct"/>
            <w:vAlign w:val="center"/>
            <w:hideMark/>
          </w:tcPr>
          <w:p w14:paraId="689985F5" w14:textId="77777777" w:rsidR="00000000" w:rsidRDefault="00405D16">
            <w:pPr>
              <w:spacing w:after="100"/>
              <w:rPr>
                <w:rFonts w:eastAsia="Times New Roman"/>
                <w:sz w:val="20"/>
                <w:szCs w:val="20"/>
              </w:rPr>
            </w:pPr>
          </w:p>
        </w:tc>
        <w:tc>
          <w:tcPr>
            <w:tcW w:w="364" w:type="pct"/>
            <w:vAlign w:val="center"/>
            <w:hideMark/>
          </w:tcPr>
          <w:p w14:paraId="64B4F360" w14:textId="77777777" w:rsidR="00000000" w:rsidRDefault="00405D16">
            <w:pPr>
              <w:spacing w:after="100"/>
              <w:rPr>
                <w:rFonts w:eastAsia="Times New Roman"/>
                <w:sz w:val="20"/>
                <w:szCs w:val="20"/>
              </w:rPr>
            </w:pPr>
          </w:p>
        </w:tc>
        <w:tc>
          <w:tcPr>
            <w:tcW w:w="5" w:type="pct"/>
            <w:vAlign w:val="center"/>
            <w:hideMark/>
          </w:tcPr>
          <w:p w14:paraId="0CE98EE2" w14:textId="77777777" w:rsidR="00000000" w:rsidRDefault="00405D16">
            <w:pPr>
              <w:spacing w:after="100"/>
              <w:rPr>
                <w:rFonts w:eastAsia="Times New Roman"/>
                <w:sz w:val="20"/>
                <w:szCs w:val="20"/>
              </w:rPr>
            </w:pPr>
          </w:p>
        </w:tc>
        <w:tc>
          <w:tcPr>
            <w:tcW w:w="5" w:type="pct"/>
            <w:vAlign w:val="center"/>
            <w:hideMark/>
          </w:tcPr>
          <w:p w14:paraId="771B21E1" w14:textId="77777777" w:rsidR="00000000" w:rsidRDefault="00405D16">
            <w:pPr>
              <w:spacing w:after="100"/>
              <w:rPr>
                <w:rFonts w:eastAsia="Times New Roman"/>
                <w:sz w:val="20"/>
                <w:szCs w:val="20"/>
              </w:rPr>
            </w:pPr>
          </w:p>
        </w:tc>
        <w:tc>
          <w:tcPr>
            <w:tcW w:w="26" w:type="pct"/>
            <w:vAlign w:val="center"/>
            <w:hideMark/>
          </w:tcPr>
          <w:p w14:paraId="66EFB444" w14:textId="77777777" w:rsidR="00000000" w:rsidRDefault="00405D16">
            <w:pPr>
              <w:spacing w:after="100"/>
              <w:rPr>
                <w:rFonts w:eastAsia="Times New Roman"/>
                <w:sz w:val="20"/>
                <w:szCs w:val="20"/>
              </w:rPr>
            </w:pPr>
          </w:p>
        </w:tc>
        <w:tc>
          <w:tcPr>
            <w:tcW w:w="5" w:type="pct"/>
            <w:vAlign w:val="center"/>
            <w:hideMark/>
          </w:tcPr>
          <w:p w14:paraId="14E3748A" w14:textId="77777777" w:rsidR="00000000" w:rsidRDefault="00405D16">
            <w:pPr>
              <w:spacing w:after="100"/>
              <w:rPr>
                <w:rFonts w:eastAsia="Times New Roman"/>
                <w:sz w:val="20"/>
                <w:szCs w:val="20"/>
              </w:rPr>
            </w:pPr>
          </w:p>
        </w:tc>
        <w:tc>
          <w:tcPr>
            <w:tcW w:w="50" w:type="pct"/>
            <w:vAlign w:val="center"/>
            <w:hideMark/>
          </w:tcPr>
          <w:p w14:paraId="74FA91D2" w14:textId="77777777" w:rsidR="00000000" w:rsidRDefault="00405D16">
            <w:pPr>
              <w:spacing w:after="100"/>
              <w:rPr>
                <w:rFonts w:eastAsia="Times New Roman"/>
                <w:sz w:val="20"/>
                <w:szCs w:val="20"/>
              </w:rPr>
            </w:pPr>
          </w:p>
        </w:tc>
        <w:tc>
          <w:tcPr>
            <w:tcW w:w="364" w:type="pct"/>
            <w:vAlign w:val="center"/>
            <w:hideMark/>
          </w:tcPr>
          <w:p w14:paraId="4BB90E43" w14:textId="77777777" w:rsidR="00000000" w:rsidRDefault="00405D16">
            <w:pPr>
              <w:spacing w:after="100"/>
              <w:rPr>
                <w:rFonts w:eastAsia="Times New Roman"/>
                <w:sz w:val="20"/>
                <w:szCs w:val="20"/>
              </w:rPr>
            </w:pPr>
          </w:p>
        </w:tc>
        <w:tc>
          <w:tcPr>
            <w:tcW w:w="5" w:type="pct"/>
            <w:vAlign w:val="center"/>
            <w:hideMark/>
          </w:tcPr>
          <w:p w14:paraId="15650C9D" w14:textId="77777777" w:rsidR="00000000" w:rsidRDefault="00405D16">
            <w:pPr>
              <w:spacing w:after="100"/>
              <w:rPr>
                <w:rFonts w:eastAsia="Times New Roman"/>
                <w:sz w:val="20"/>
                <w:szCs w:val="20"/>
              </w:rPr>
            </w:pPr>
          </w:p>
        </w:tc>
        <w:tc>
          <w:tcPr>
            <w:tcW w:w="5" w:type="pct"/>
            <w:vAlign w:val="center"/>
            <w:hideMark/>
          </w:tcPr>
          <w:p w14:paraId="60A1A891" w14:textId="77777777" w:rsidR="00000000" w:rsidRDefault="00405D16">
            <w:pPr>
              <w:spacing w:after="100"/>
              <w:rPr>
                <w:rFonts w:eastAsia="Times New Roman"/>
                <w:sz w:val="20"/>
                <w:szCs w:val="20"/>
              </w:rPr>
            </w:pPr>
          </w:p>
        </w:tc>
        <w:tc>
          <w:tcPr>
            <w:tcW w:w="26" w:type="pct"/>
            <w:vAlign w:val="center"/>
            <w:hideMark/>
          </w:tcPr>
          <w:p w14:paraId="34CCB218" w14:textId="77777777" w:rsidR="00000000" w:rsidRDefault="00405D16">
            <w:pPr>
              <w:spacing w:after="100"/>
              <w:rPr>
                <w:rFonts w:eastAsia="Times New Roman"/>
                <w:sz w:val="20"/>
                <w:szCs w:val="20"/>
              </w:rPr>
            </w:pPr>
          </w:p>
        </w:tc>
        <w:tc>
          <w:tcPr>
            <w:tcW w:w="5" w:type="pct"/>
            <w:vAlign w:val="center"/>
            <w:hideMark/>
          </w:tcPr>
          <w:p w14:paraId="2BD92061" w14:textId="77777777" w:rsidR="00000000" w:rsidRDefault="00405D16">
            <w:pPr>
              <w:spacing w:after="100"/>
              <w:rPr>
                <w:rFonts w:eastAsia="Times New Roman"/>
                <w:sz w:val="20"/>
                <w:szCs w:val="20"/>
              </w:rPr>
            </w:pPr>
          </w:p>
        </w:tc>
        <w:tc>
          <w:tcPr>
            <w:tcW w:w="50" w:type="pct"/>
            <w:vAlign w:val="center"/>
            <w:hideMark/>
          </w:tcPr>
          <w:p w14:paraId="43BC0507" w14:textId="77777777" w:rsidR="00000000" w:rsidRDefault="00405D16">
            <w:pPr>
              <w:spacing w:after="100"/>
              <w:rPr>
                <w:rFonts w:eastAsia="Times New Roman"/>
                <w:sz w:val="20"/>
                <w:szCs w:val="20"/>
              </w:rPr>
            </w:pPr>
          </w:p>
        </w:tc>
        <w:tc>
          <w:tcPr>
            <w:tcW w:w="364" w:type="pct"/>
            <w:vAlign w:val="center"/>
            <w:hideMark/>
          </w:tcPr>
          <w:p w14:paraId="1F19A494" w14:textId="77777777" w:rsidR="00000000" w:rsidRDefault="00405D16">
            <w:pPr>
              <w:spacing w:after="100"/>
              <w:rPr>
                <w:rFonts w:eastAsia="Times New Roman"/>
                <w:sz w:val="20"/>
                <w:szCs w:val="20"/>
              </w:rPr>
            </w:pPr>
          </w:p>
        </w:tc>
        <w:tc>
          <w:tcPr>
            <w:tcW w:w="5" w:type="pct"/>
            <w:vAlign w:val="center"/>
            <w:hideMark/>
          </w:tcPr>
          <w:p w14:paraId="35CB7CBC" w14:textId="77777777" w:rsidR="00000000" w:rsidRDefault="00405D16">
            <w:pPr>
              <w:spacing w:after="100"/>
              <w:rPr>
                <w:rFonts w:eastAsia="Times New Roman"/>
                <w:sz w:val="20"/>
                <w:szCs w:val="20"/>
              </w:rPr>
            </w:pPr>
          </w:p>
        </w:tc>
        <w:tc>
          <w:tcPr>
            <w:tcW w:w="5" w:type="pct"/>
            <w:vAlign w:val="center"/>
            <w:hideMark/>
          </w:tcPr>
          <w:p w14:paraId="5A7D1043" w14:textId="77777777" w:rsidR="00000000" w:rsidRDefault="00405D16">
            <w:pPr>
              <w:spacing w:after="100"/>
              <w:rPr>
                <w:rFonts w:eastAsia="Times New Roman"/>
                <w:sz w:val="20"/>
                <w:szCs w:val="20"/>
              </w:rPr>
            </w:pPr>
          </w:p>
        </w:tc>
        <w:tc>
          <w:tcPr>
            <w:tcW w:w="26" w:type="pct"/>
            <w:vAlign w:val="center"/>
            <w:hideMark/>
          </w:tcPr>
          <w:p w14:paraId="0AE5BDA0" w14:textId="77777777" w:rsidR="00000000" w:rsidRDefault="00405D16">
            <w:pPr>
              <w:spacing w:after="100"/>
              <w:rPr>
                <w:rFonts w:eastAsia="Times New Roman"/>
                <w:sz w:val="20"/>
                <w:szCs w:val="20"/>
              </w:rPr>
            </w:pPr>
          </w:p>
        </w:tc>
        <w:tc>
          <w:tcPr>
            <w:tcW w:w="5" w:type="pct"/>
            <w:vAlign w:val="center"/>
            <w:hideMark/>
          </w:tcPr>
          <w:p w14:paraId="2AA84A17" w14:textId="77777777" w:rsidR="00000000" w:rsidRDefault="00405D16">
            <w:pPr>
              <w:spacing w:after="100"/>
              <w:rPr>
                <w:rFonts w:eastAsia="Times New Roman"/>
                <w:sz w:val="20"/>
                <w:szCs w:val="20"/>
              </w:rPr>
            </w:pPr>
          </w:p>
        </w:tc>
        <w:tc>
          <w:tcPr>
            <w:tcW w:w="50" w:type="pct"/>
            <w:vAlign w:val="center"/>
            <w:hideMark/>
          </w:tcPr>
          <w:p w14:paraId="152F1938" w14:textId="77777777" w:rsidR="00000000" w:rsidRDefault="00405D16">
            <w:pPr>
              <w:spacing w:after="100"/>
              <w:rPr>
                <w:rFonts w:eastAsia="Times New Roman"/>
                <w:sz w:val="20"/>
                <w:szCs w:val="20"/>
              </w:rPr>
            </w:pPr>
          </w:p>
        </w:tc>
        <w:tc>
          <w:tcPr>
            <w:tcW w:w="364" w:type="pct"/>
            <w:vAlign w:val="center"/>
            <w:hideMark/>
          </w:tcPr>
          <w:p w14:paraId="4AE72A0C" w14:textId="77777777" w:rsidR="00000000" w:rsidRDefault="00405D16">
            <w:pPr>
              <w:spacing w:after="100"/>
              <w:rPr>
                <w:rFonts w:eastAsia="Times New Roman"/>
                <w:sz w:val="20"/>
                <w:szCs w:val="20"/>
              </w:rPr>
            </w:pPr>
          </w:p>
        </w:tc>
        <w:tc>
          <w:tcPr>
            <w:tcW w:w="5" w:type="pct"/>
            <w:vAlign w:val="center"/>
            <w:hideMark/>
          </w:tcPr>
          <w:p w14:paraId="2144EAC0" w14:textId="77777777" w:rsidR="00000000" w:rsidRDefault="00405D16">
            <w:pPr>
              <w:spacing w:after="100"/>
              <w:rPr>
                <w:rFonts w:eastAsia="Times New Roman"/>
                <w:sz w:val="20"/>
                <w:szCs w:val="20"/>
              </w:rPr>
            </w:pPr>
          </w:p>
        </w:tc>
        <w:tc>
          <w:tcPr>
            <w:tcW w:w="5" w:type="pct"/>
            <w:vAlign w:val="center"/>
            <w:hideMark/>
          </w:tcPr>
          <w:p w14:paraId="6BEE79CD" w14:textId="77777777" w:rsidR="00000000" w:rsidRDefault="00405D16">
            <w:pPr>
              <w:spacing w:after="100"/>
              <w:rPr>
                <w:rFonts w:eastAsia="Times New Roman"/>
                <w:sz w:val="20"/>
                <w:szCs w:val="20"/>
              </w:rPr>
            </w:pPr>
          </w:p>
        </w:tc>
        <w:tc>
          <w:tcPr>
            <w:tcW w:w="26" w:type="pct"/>
            <w:vAlign w:val="center"/>
            <w:hideMark/>
          </w:tcPr>
          <w:p w14:paraId="36C39433" w14:textId="77777777" w:rsidR="00000000" w:rsidRDefault="00405D16">
            <w:pPr>
              <w:spacing w:after="100"/>
              <w:rPr>
                <w:rFonts w:eastAsia="Times New Roman"/>
                <w:sz w:val="20"/>
                <w:szCs w:val="20"/>
              </w:rPr>
            </w:pPr>
          </w:p>
        </w:tc>
        <w:tc>
          <w:tcPr>
            <w:tcW w:w="5" w:type="pct"/>
            <w:vAlign w:val="center"/>
            <w:hideMark/>
          </w:tcPr>
          <w:p w14:paraId="08194392" w14:textId="77777777" w:rsidR="00000000" w:rsidRDefault="00405D16">
            <w:pPr>
              <w:spacing w:after="100"/>
              <w:rPr>
                <w:rFonts w:eastAsia="Times New Roman"/>
                <w:sz w:val="20"/>
                <w:szCs w:val="20"/>
              </w:rPr>
            </w:pPr>
          </w:p>
        </w:tc>
        <w:tc>
          <w:tcPr>
            <w:tcW w:w="50" w:type="pct"/>
            <w:vAlign w:val="center"/>
            <w:hideMark/>
          </w:tcPr>
          <w:p w14:paraId="4C41DFC0" w14:textId="77777777" w:rsidR="00000000" w:rsidRDefault="00405D16">
            <w:pPr>
              <w:spacing w:after="100"/>
              <w:rPr>
                <w:rFonts w:eastAsia="Times New Roman"/>
                <w:sz w:val="20"/>
                <w:szCs w:val="20"/>
              </w:rPr>
            </w:pPr>
          </w:p>
        </w:tc>
        <w:tc>
          <w:tcPr>
            <w:tcW w:w="365" w:type="pct"/>
            <w:vAlign w:val="center"/>
            <w:hideMark/>
          </w:tcPr>
          <w:p w14:paraId="1631ACEF" w14:textId="77777777" w:rsidR="00000000" w:rsidRDefault="00405D16">
            <w:pPr>
              <w:spacing w:after="100"/>
              <w:rPr>
                <w:rFonts w:eastAsia="Times New Roman"/>
                <w:sz w:val="20"/>
                <w:szCs w:val="20"/>
              </w:rPr>
            </w:pPr>
          </w:p>
        </w:tc>
        <w:tc>
          <w:tcPr>
            <w:tcW w:w="5" w:type="pct"/>
            <w:vAlign w:val="center"/>
            <w:hideMark/>
          </w:tcPr>
          <w:p w14:paraId="0AC3FAAF" w14:textId="77777777" w:rsidR="00000000" w:rsidRDefault="00405D16">
            <w:pPr>
              <w:spacing w:after="100"/>
              <w:rPr>
                <w:rFonts w:eastAsia="Times New Roman"/>
                <w:sz w:val="20"/>
                <w:szCs w:val="20"/>
              </w:rPr>
            </w:pPr>
          </w:p>
        </w:tc>
      </w:tr>
      <w:tr w:rsidR="00000000" w14:paraId="1058E5E6" w14:textId="77777777">
        <w:trPr>
          <w:divId w:val="448206846"/>
          <w:trHeight w:val="60"/>
        </w:trPr>
        <w:tc>
          <w:tcPr>
            <w:tcW w:w="0" w:type="auto"/>
            <w:gridSpan w:val="45"/>
            <w:tcMar>
              <w:top w:w="0" w:type="dxa"/>
              <w:left w:w="20" w:type="dxa"/>
              <w:bottom w:w="0" w:type="dxa"/>
              <w:right w:w="20" w:type="dxa"/>
            </w:tcMar>
            <w:vAlign w:val="center"/>
            <w:hideMark/>
          </w:tcPr>
          <w:p w14:paraId="69C39C87" w14:textId="77777777" w:rsidR="00000000" w:rsidRDefault="00405D16">
            <w:pPr>
              <w:spacing w:after="100"/>
              <w:rPr>
                <w:rFonts w:eastAsia="Times New Roman"/>
                <w:sz w:val="20"/>
                <w:szCs w:val="20"/>
              </w:rPr>
            </w:pPr>
          </w:p>
        </w:tc>
      </w:tr>
      <w:tr w:rsidR="00000000" w14:paraId="3010969E" w14:textId="77777777">
        <w:trPr>
          <w:divId w:val="448206846"/>
        </w:trPr>
        <w:tc>
          <w:tcPr>
            <w:tcW w:w="0" w:type="auto"/>
            <w:gridSpan w:val="3"/>
            <w:vAlign w:val="center"/>
            <w:hideMark/>
          </w:tcPr>
          <w:p w14:paraId="3D786FE3" w14:textId="77777777" w:rsidR="00000000" w:rsidRDefault="00405D16">
            <w:pPr>
              <w:spacing w:after="100"/>
              <w:rPr>
                <w:rFonts w:eastAsia="Times New Roman"/>
                <w:sz w:val="20"/>
                <w:szCs w:val="20"/>
              </w:rPr>
            </w:pPr>
          </w:p>
        </w:tc>
        <w:tc>
          <w:tcPr>
            <w:tcW w:w="0" w:type="auto"/>
            <w:gridSpan w:val="3"/>
            <w:vAlign w:val="center"/>
            <w:hideMark/>
          </w:tcPr>
          <w:p w14:paraId="50692E4E" w14:textId="77777777" w:rsidR="00000000" w:rsidRDefault="00405D16">
            <w:pPr>
              <w:spacing w:after="100"/>
              <w:rPr>
                <w:rFonts w:eastAsia="Times New Roman"/>
                <w:sz w:val="20"/>
                <w:szCs w:val="20"/>
              </w:rPr>
            </w:pPr>
          </w:p>
        </w:tc>
        <w:tc>
          <w:tcPr>
            <w:tcW w:w="0" w:type="auto"/>
            <w:gridSpan w:val="3"/>
            <w:vAlign w:val="center"/>
            <w:hideMark/>
          </w:tcPr>
          <w:p w14:paraId="6E22542E" w14:textId="77777777" w:rsidR="00000000" w:rsidRDefault="00405D16">
            <w:pPr>
              <w:spacing w:after="100"/>
              <w:rPr>
                <w:rFonts w:eastAsia="Times New Roman"/>
                <w:sz w:val="20"/>
                <w:szCs w:val="20"/>
              </w:rPr>
            </w:pPr>
          </w:p>
        </w:tc>
        <w:tc>
          <w:tcPr>
            <w:tcW w:w="0" w:type="auto"/>
            <w:gridSpan w:val="3"/>
            <w:vAlign w:val="center"/>
            <w:hideMark/>
          </w:tcPr>
          <w:p w14:paraId="36044D7E" w14:textId="77777777" w:rsidR="00000000" w:rsidRDefault="00405D16">
            <w:pPr>
              <w:spacing w:after="100"/>
              <w:rPr>
                <w:rFonts w:eastAsia="Times New Roman"/>
                <w:sz w:val="20"/>
                <w:szCs w:val="20"/>
              </w:rPr>
            </w:pPr>
          </w:p>
        </w:tc>
        <w:tc>
          <w:tcPr>
            <w:tcW w:w="0" w:type="auto"/>
            <w:gridSpan w:val="3"/>
            <w:vAlign w:val="center"/>
            <w:hideMark/>
          </w:tcPr>
          <w:p w14:paraId="5E1D9A16" w14:textId="77777777" w:rsidR="00000000" w:rsidRDefault="00405D16">
            <w:pPr>
              <w:spacing w:after="100"/>
              <w:rPr>
                <w:rFonts w:eastAsia="Times New Roman"/>
                <w:sz w:val="20"/>
                <w:szCs w:val="20"/>
              </w:rPr>
            </w:pPr>
          </w:p>
        </w:tc>
        <w:tc>
          <w:tcPr>
            <w:tcW w:w="0" w:type="auto"/>
            <w:gridSpan w:val="3"/>
            <w:vAlign w:val="center"/>
            <w:hideMark/>
          </w:tcPr>
          <w:p w14:paraId="30AD2A7D" w14:textId="77777777" w:rsidR="00000000" w:rsidRDefault="00405D16">
            <w:pPr>
              <w:spacing w:after="100"/>
              <w:rPr>
                <w:rFonts w:eastAsia="Times New Roman"/>
                <w:sz w:val="20"/>
                <w:szCs w:val="20"/>
              </w:rPr>
            </w:pPr>
          </w:p>
        </w:tc>
        <w:tc>
          <w:tcPr>
            <w:tcW w:w="0" w:type="auto"/>
            <w:gridSpan w:val="3"/>
            <w:vAlign w:val="center"/>
            <w:hideMark/>
          </w:tcPr>
          <w:p w14:paraId="7E43D7D8" w14:textId="77777777" w:rsidR="00000000" w:rsidRDefault="00405D16">
            <w:pPr>
              <w:spacing w:after="100"/>
              <w:rPr>
                <w:rFonts w:eastAsia="Times New Roman"/>
                <w:sz w:val="20"/>
                <w:szCs w:val="20"/>
              </w:rPr>
            </w:pPr>
          </w:p>
        </w:tc>
        <w:tc>
          <w:tcPr>
            <w:tcW w:w="0" w:type="auto"/>
            <w:gridSpan w:val="3"/>
            <w:vAlign w:val="center"/>
            <w:hideMark/>
          </w:tcPr>
          <w:p w14:paraId="0BBC82E4" w14:textId="77777777" w:rsidR="00000000" w:rsidRDefault="00405D16">
            <w:pPr>
              <w:spacing w:after="100"/>
              <w:rPr>
                <w:rFonts w:eastAsia="Times New Roman"/>
                <w:sz w:val="20"/>
                <w:szCs w:val="20"/>
              </w:rPr>
            </w:pPr>
          </w:p>
        </w:tc>
        <w:tc>
          <w:tcPr>
            <w:tcW w:w="0" w:type="auto"/>
            <w:gridSpan w:val="3"/>
            <w:vAlign w:val="center"/>
            <w:hideMark/>
          </w:tcPr>
          <w:p w14:paraId="59F61D66" w14:textId="77777777" w:rsidR="00000000" w:rsidRDefault="00405D16">
            <w:pPr>
              <w:spacing w:after="100"/>
              <w:rPr>
                <w:rFonts w:eastAsia="Times New Roman"/>
                <w:sz w:val="20"/>
                <w:szCs w:val="20"/>
              </w:rPr>
            </w:pPr>
          </w:p>
        </w:tc>
        <w:tc>
          <w:tcPr>
            <w:tcW w:w="0" w:type="auto"/>
            <w:gridSpan w:val="3"/>
            <w:vAlign w:val="center"/>
            <w:hideMark/>
          </w:tcPr>
          <w:p w14:paraId="51D2B136" w14:textId="77777777" w:rsidR="00000000" w:rsidRDefault="00405D16">
            <w:pPr>
              <w:spacing w:after="100"/>
              <w:rPr>
                <w:rFonts w:eastAsia="Times New Roman"/>
                <w:sz w:val="20"/>
                <w:szCs w:val="20"/>
              </w:rPr>
            </w:pPr>
          </w:p>
        </w:tc>
        <w:tc>
          <w:tcPr>
            <w:tcW w:w="0" w:type="auto"/>
            <w:gridSpan w:val="3"/>
            <w:vAlign w:val="center"/>
            <w:hideMark/>
          </w:tcPr>
          <w:p w14:paraId="1AE558AF" w14:textId="77777777" w:rsidR="00000000" w:rsidRDefault="00405D16">
            <w:pPr>
              <w:spacing w:after="100"/>
              <w:rPr>
                <w:rFonts w:eastAsia="Times New Roman"/>
                <w:sz w:val="20"/>
                <w:szCs w:val="20"/>
              </w:rPr>
            </w:pPr>
          </w:p>
        </w:tc>
        <w:tc>
          <w:tcPr>
            <w:tcW w:w="0" w:type="auto"/>
            <w:gridSpan w:val="3"/>
            <w:vAlign w:val="center"/>
            <w:hideMark/>
          </w:tcPr>
          <w:p w14:paraId="6B87F2E9" w14:textId="77777777" w:rsidR="00000000" w:rsidRDefault="00405D16">
            <w:pPr>
              <w:spacing w:after="100"/>
              <w:rPr>
                <w:rFonts w:eastAsia="Times New Roman"/>
                <w:sz w:val="20"/>
                <w:szCs w:val="20"/>
              </w:rPr>
            </w:pPr>
          </w:p>
        </w:tc>
        <w:tc>
          <w:tcPr>
            <w:tcW w:w="0" w:type="auto"/>
            <w:gridSpan w:val="3"/>
            <w:vAlign w:val="center"/>
            <w:hideMark/>
          </w:tcPr>
          <w:p w14:paraId="597EBD78" w14:textId="77777777" w:rsidR="00000000" w:rsidRDefault="00405D16">
            <w:pPr>
              <w:spacing w:after="100"/>
              <w:rPr>
                <w:rFonts w:eastAsia="Times New Roman"/>
                <w:sz w:val="20"/>
                <w:szCs w:val="20"/>
              </w:rPr>
            </w:pPr>
          </w:p>
        </w:tc>
        <w:tc>
          <w:tcPr>
            <w:tcW w:w="0" w:type="auto"/>
            <w:gridSpan w:val="3"/>
            <w:vAlign w:val="center"/>
            <w:hideMark/>
          </w:tcPr>
          <w:p w14:paraId="6E3782ED" w14:textId="77777777" w:rsidR="00000000" w:rsidRDefault="00405D16">
            <w:pPr>
              <w:spacing w:after="100"/>
              <w:rPr>
                <w:rFonts w:eastAsia="Times New Roman"/>
                <w:sz w:val="20"/>
                <w:szCs w:val="20"/>
              </w:rPr>
            </w:pPr>
          </w:p>
        </w:tc>
        <w:tc>
          <w:tcPr>
            <w:tcW w:w="0" w:type="auto"/>
            <w:gridSpan w:val="3"/>
            <w:vAlign w:val="center"/>
            <w:hideMark/>
          </w:tcPr>
          <w:p w14:paraId="62A6B23C" w14:textId="77777777" w:rsidR="00000000" w:rsidRDefault="00405D16">
            <w:pPr>
              <w:spacing w:after="100"/>
              <w:rPr>
                <w:rFonts w:eastAsia="Times New Roman"/>
                <w:sz w:val="20"/>
                <w:szCs w:val="20"/>
              </w:rPr>
            </w:pPr>
          </w:p>
        </w:tc>
      </w:tr>
      <w:tr w:rsidR="00000000" w14:paraId="2B5DBCDF" w14:textId="77777777">
        <w:trPr>
          <w:divId w:val="448206846"/>
        </w:trPr>
        <w:tc>
          <w:tcPr>
            <w:tcW w:w="0" w:type="auto"/>
            <w:gridSpan w:val="3"/>
            <w:vAlign w:val="center"/>
            <w:hideMark/>
          </w:tcPr>
          <w:p w14:paraId="076EF7AE" w14:textId="77777777" w:rsidR="00000000" w:rsidRDefault="00405D16">
            <w:pPr>
              <w:spacing w:after="100"/>
              <w:rPr>
                <w:rFonts w:eastAsia="Times New Roman"/>
                <w:sz w:val="20"/>
                <w:szCs w:val="20"/>
              </w:rPr>
            </w:pPr>
          </w:p>
        </w:tc>
        <w:tc>
          <w:tcPr>
            <w:tcW w:w="0" w:type="auto"/>
            <w:gridSpan w:val="3"/>
            <w:vAlign w:val="center"/>
            <w:hideMark/>
          </w:tcPr>
          <w:p w14:paraId="47207E3D" w14:textId="77777777" w:rsidR="00000000" w:rsidRDefault="00405D16">
            <w:pPr>
              <w:spacing w:after="100"/>
              <w:rPr>
                <w:rFonts w:eastAsia="Times New Roman"/>
                <w:sz w:val="20"/>
                <w:szCs w:val="20"/>
              </w:rPr>
            </w:pPr>
          </w:p>
        </w:tc>
        <w:tc>
          <w:tcPr>
            <w:tcW w:w="0" w:type="auto"/>
            <w:gridSpan w:val="3"/>
            <w:vAlign w:val="center"/>
            <w:hideMark/>
          </w:tcPr>
          <w:p w14:paraId="4497D48F" w14:textId="77777777" w:rsidR="00000000" w:rsidRDefault="00405D16">
            <w:pPr>
              <w:spacing w:after="100"/>
              <w:rPr>
                <w:rFonts w:eastAsia="Times New Roman"/>
                <w:sz w:val="20"/>
                <w:szCs w:val="20"/>
              </w:rPr>
            </w:pPr>
          </w:p>
        </w:tc>
        <w:tc>
          <w:tcPr>
            <w:tcW w:w="0" w:type="auto"/>
            <w:gridSpan w:val="3"/>
            <w:vAlign w:val="center"/>
            <w:hideMark/>
          </w:tcPr>
          <w:p w14:paraId="0FC24918" w14:textId="77777777" w:rsidR="00000000" w:rsidRDefault="00405D16">
            <w:pPr>
              <w:spacing w:after="100"/>
              <w:rPr>
                <w:rFonts w:eastAsia="Times New Roman"/>
                <w:sz w:val="20"/>
                <w:szCs w:val="20"/>
              </w:rPr>
            </w:pPr>
          </w:p>
        </w:tc>
        <w:tc>
          <w:tcPr>
            <w:tcW w:w="0" w:type="auto"/>
            <w:gridSpan w:val="3"/>
            <w:vAlign w:val="center"/>
            <w:hideMark/>
          </w:tcPr>
          <w:p w14:paraId="2B7ADAB6" w14:textId="77777777" w:rsidR="00000000" w:rsidRDefault="00405D16">
            <w:pPr>
              <w:spacing w:after="100"/>
              <w:rPr>
                <w:rFonts w:eastAsia="Times New Roman"/>
                <w:sz w:val="20"/>
                <w:szCs w:val="20"/>
              </w:rPr>
            </w:pPr>
          </w:p>
        </w:tc>
        <w:tc>
          <w:tcPr>
            <w:tcW w:w="0" w:type="auto"/>
            <w:gridSpan w:val="3"/>
            <w:vAlign w:val="center"/>
            <w:hideMark/>
          </w:tcPr>
          <w:p w14:paraId="23254C6A" w14:textId="77777777" w:rsidR="00000000" w:rsidRDefault="00405D16">
            <w:pPr>
              <w:spacing w:after="100"/>
              <w:rPr>
                <w:rFonts w:eastAsia="Times New Roman"/>
                <w:sz w:val="20"/>
                <w:szCs w:val="20"/>
              </w:rPr>
            </w:pPr>
          </w:p>
        </w:tc>
        <w:tc>
          <w:tcPr>
            <w:tcW w:w="0" w:type="auto"/>
            <w:gridSpan w:val="3"/>
            <w:vAlign w:val="center"/>
            <w:hideMark/>
          </w:tcPr>
          <w:p w14:paraId="68F13F3E" w14:textId="77777777" w:rsidR="00000000" w:rsidRDefault="00405D16">
            <w:pPr>
              <w:spacing w:after="100"/>
              <w:rPr>
                <w:rFonts w:eastAsia="Times New Roman"/>
                <w:sz w:val="20"/>
                <w:szCs w:val="20"/>
              </w:rPr>
            </w:pPr>
          </w:p>
        </w:tc>
        <w:tc>
          <w:tcPr>
            <w:tcW w:w="0" w:type="auto"/>
            <w:gridSpan w:val="3"/>
            <w:vAlign w:val="center"/>
            <w:hideMark/>
          </w:tcPr>
          <w:p w14:paraId="0A142B55" w14:textId="77777777" w:rsidR="00000000" w:rsidRDefault="00405D16">
            <w:pPr>
              <w:spacing w:after="100"/>
              <w:rPr>
                <w:rFonts w:eastAsia="Times New Roman"/>
                <w:sz w:val="20"/>
                <w:szCs w:val="20"/>
              </w:rPr>
            </w:pPr>
          </w:p>
        </w:tc>
        <w:tc>
          <w:tcPr>
            <w:tcW w:w="0" w:type="auto"/>
            <w:gridSpan w:val="3"/>
            <w:vAlign w:val="center"/>
            <w:hideMark/>
          </w:tcPr>
          <w:p w14:paraId="42CF0E61" w14:textId="77777777" w:rsidR="00000000" w:rsidRDefault="00405D16">
            <w:pPr>
              <w:spacing w:after="100"/>
              <w:rPr>
                <w:rFonts w:eastAsia="Times New Roman"/>
                <w:sz w:val="20"/>
                <w:szCs w:val="20"/>
              </w:rPr>
            </w:pPr>
          </w:p>
        </w:tc>
        <w:tc>
          <w:tcPr>
            <w:tcW w:w="0" w:type="auto"/>
            <w:gridSpan w:val="3"/>
            <w:vAlign w:val="center"/>
            <w:hideMark/>
          </w:tcPr>
          <w:p w14:paraId="1C67896A" w14:textId="77777777" w:rsidR="00000000" w:rsidRDefault="00405D16">
            <w:pPr>
              <w:spacing w:after="100"/>
              <w:rPr>
                <w:rFonts w:eastAsia="Times New Roman"/>
                <w:sz w:val="20"/>
                <w:szCs w:val="20"/>
              </w:rPr>
            </w:pPr>
          </w:p>
        </w:tc>
        <w:tc>
          <w:tcPr>
            <w:tcW w:w="0" w:type="auto"/>
            <w:gridSpan w:val="3"/>
            <w:vAlign w:val="center"/>
            <w:hideMark/>
          </w:tcPr>
          <w:p w14:paraId="4B0F69BE" w14:textId="77777777" w:rsidR="00000000" w:rsidRDefault="00405D16">
            <w:pPr>
              <w:spacing w:after="100"/>
              <w:rPr>
                <w:rFonts w:eastAsia="Times New Roman"/>
                <w:sz w:val="20"/>
                <w:szCs w:val="20"/>
              </w:rPr>
            </w:pPr>
          </w:p>
        </w:tc>
        <w:tc>
          <w:tcPr>
            <w:tcW w:w="0" w:type="auto"/>
            <w:gridSpan w:val="3"/>
            <w:vAlign w:val="center"/>
            <w:hideMark/>
          </w:tcPr>
          <w:p w14:paraId="29588DBE" w14:textId="77777777" w:rsidR="00000000" w:rsidRDefault="00405D16">
            <w:pPr>
              <w:spacing w:after="100"/>
              <w:rPr>
                <w:rFonts w:eastAsia="Times New Roman"/>
                <w:sz w:val="20"/>
                <w:szCs w:val="20"/>
              </w:rPr>
            </w:pPr>
          </w:p>
        </w:tc>
        <w:tc>
          <w:tcPr>
            <w:tcW w:w="0" w:type="auto"/>
            <w:gridSpan w:val="3"/>
            <w:vAlign w:val="center"/>
            <w:hideMark/>
          </w:tcPr>
          <w:p w14:paraId="45428532" w14:textId="77777777" w:rsidR="00000000" w:rsidRDefault="00405D16">
            <w:pPr>
              <w:spacing w:after="100"/>
              <w:rPr>
                <w:rFonts w:eastAsia="Times New Roman"/>
                <w:sz w:val="20"/>
                <w:szCs w:val="20"/>
              </w:rPr>
            </w:pPr>
          </w:p>
        </w:tc>
        <w:tc>
          <w:tcPr>
            <w:tcW w:w="0" w:type="auto"/>
            <w:gridSpan w:val="3"/>
            <w:vAlign w:val="center"/>
            <w:hideMark/>
          </w:tcPr>
          <w:p w14:paraId="23FC9A78" w14:textId="77777777" w:rsidR="00000000" w:rsidRDefault="00405D16">
            <w:pPr>
              <w:spacing w:after="100"/>
              <w:rPr>
                <w:rFonts w:eastAsia="Times New Roman"/>
                <w:sz w:val="20"/>
                <w:szCs w:val="20"/>
              </w:rPr>
            </w:pPr>
          </w:p>
        </w:tc>
        <w:tc>
          <w:tcPr>
            <w:tcW w:w="0" w:type="auto"/>
            <w:gridSpan w:val="3"/>
            <w:vAlign w:val="center"/>
            <w:hideMark/>
          </w:tcPr>
          <w:p w14:paraId="2CBEB620" w14:textId="77777777" w:rsidR="00000000" w:rsidRDefault="00405D16">
            <w:pPr>
              <w:spacing w:after="100"/>
              <w:rPr>
                <w:rFonts w:eastAsia="Times New Roman"/>
                <w:sz w:val="20"/>
                <w:szCs w:val="20"/>
              </w:rPr>
            </w:pPr>
          </w:p>
        </w:tc>
      </w:tr>
      <w:tr w:rsidR="00000000" w14:paraId="6209AD03" w14:textId="77777777">
        <w:trPr>
          <w:divId w:val="448206846"/>
        </w:trPr>
        <w:tc>
          <w:tcPr>
            <w:tcW w:w="0" w:type="auto"/>
            <w:gridSpan w:val="3"/>
            <w:vAlign w:val="center"/>
            <w:hideMark/>
          </w:tcPr>
          <w:p w14:paraId="46238948" w14:textId="77777777" w:rsidR="00000000" w:rsidRDefault="00405D16">
            <w:pPr>
              <w:spacing w:after="100"/>
              <w:rPr>
                <w:rFonts w:eastAsia="Times New Roman"/>
                <w:sz w:val="20"/>
                <w:szCs w:val="20"/>
              </w:rPr>
            </w:pPr>
          </w:p>
        </w:tc>
        <w:tc>
          <w:tcPr>
            <w:tcW w:w="0" w:type="auto"/>
            <w:gridSpan w:val="3"/>
            <w:vAlign w:val="center"/>
            <w:hideMark/>
          </w:tcPr>
          <w:p w14:paraId="5C5679ED" w14:textId="77777777" w:rsidR="00000000" w:rsidRDefault="00405D16">
            <w:pPr>
              <w:spacing w:after="100"/>
              <w:rPr>
                <w:rFonts w:eastAsia="Times New Roman"/>
                <w:sz w:val="20"/>
                <w:szCs w:val="20"/>
              </w:rPr>
            </w:pPr>
          </w:p>
        </w:tc>
        <w:tc>
          <w:tcPr>
            <w:tcW w:w="0" w:type="auto"/>
            <w:gridSpan w:val="3"/>
            <w:vAlign w:val="center"/>
            <w:hideMark/>
          </w:tcPr>
          <w:p w14:paraId="7C907314" w14:textId="77777777" w:rsidR="00000000" w:rsidRDefault="00405D16">
            <w:pPr>
              <w:spacing w:after="100"/>
              <w:rPr>
                <w:rFonts w:eastAsia="Times New Roman"/>
                <w:sz w:val="20"/>
                <w:szCs w:val="20"/>
              </w:rPr>
            </w:pPr>
          </w:p>
        </w:tc>
        <w:tc>
          <w:tcPr>
            <w:tcW w:w="0" w:type="auto"/>
            <w:gridSpan w:val="3"/>
            <w:vAlign w:val="center"/>
            <w:hideMark/>
          </w:tcPr>
          <w:p w14:paraId="4C9BBB61" w14:textId="77777777" w:rsidR="00000000" w:rsidRDefault="00405D16">
            <w:pPr>
              <w:spacing w:after="100"/>
              <w:rPr>
                <w:rFonts w:eastAsia="Times New Roman"/>
                <w:sz w:val="20"/>
                <w:szCs w:val="20"/>
              </w:rPr>
            </w:pPr>
          </w:p>
        </w:tc>
        <w:tc>
          <w:tcPr>
            <w:tcW w:w="0" w:type="auto"/>
            <w:gridSpan w:val="3"/>
            <w:vAlign w:val="center"/>
            <w:hideMark/>
          </w:tcPr>
          <w:p w14:paraId="0D704E7C" w14:textId="77777777" w:rsidR="00000000" w:rsidRDefault="00405D16">
            <w:pPr>
              <w:spacing w:after="100"/>
              <w:rPr>
                <w:rFonts w:eastAsia="Times New Roman"/>
                <w:sz w:val="20"/>
                <w:szCs w:val="20"/>
              </w:rPr>
            </w:pPr>
          </w:p>
        </w:tc>
        <w:tc>
          <w:tcPr>
            <w:tcW w:w="0" w:type="auto"/>
            <w:gridSpan w:val="3"/>
            <w:vAlign w:val="center"/>
            <w:hideMark/>
          </w:tcPr>
          <w:p w14:paraId="287FA126" w14:textId="77777777" w:rsidR="00000000" w:rsidRDefault="00405D16">
            <w:pPr>
              <w:spacing w:after="100"/>
              <w:rPr>
                <w:rFonts w:eastAsia="Times New Roman"/>
                <w:sz w:val="20"/>
                <w:szCs w:val="20"/>
              </w:rPr>
            </w:pPr>
          </w:p>
        </w:tc>
        <w:tc>
          <w:tcPr>
            <w:tcW w:w="0" w:type="auto"/>
            <w:gridSpan w:val="3"/>
            <w:vAlign w:val="center"/>
            <w:hideMark/>
          </w:tcPr>
          <w:p w14:paraId="4355E7D3" w14:textId="77777777" w:rsidR="00000000" w:rsidRDefault="00405D16">
            <w:pPr>
              <w:spacing w:after="100"/>
              <w:rPr>
                <w:rFonts w:eastAsia="Times New Roman"/>
                <w:sz w:val="20"/>
                <w:szCs w:val="20"/>
              </w:rPr>
            </w:pPr>
          </w:p>
        </w:tc>
        <w:tc>
          <w:tcPr>
            <w:tcW w:w="0" w:type="auto"/>
            <w:gridSpan w:val="3"/>
            <w:vAlign w:val="center"/>
            <w:hideMark/>
          </w:tcPr>
          <w:p w14:paraId="51AB6C42" w14:textId="77777777" w:rsidR="00000000" w:rsidRDefault="00405D16">
            <w:pPr>
              <w:spacing w:after="100"/>
              <w:rPr>
                <w:rFonts w:eastAsia="Times New Roman"/>
                <w:sz w:val="20"/>
                <w:szCs w:val="20"/>
              </w:rPr>
            </w:pPr>
          </w:p>
        </w:tc>
        <w:tc>
          <w:tcPr>
            <w:tcW w:w="0" w:type="auto"/>
            <w:gridSpan w:val="3"/>
            <w:vAlign w:val="center"/>
            <w:hideMark/>
          </w:tcPr>
          <w:p w14:paraId="3864FB51" w14:textId="77777777" w:rsidR="00000000" w:rsidRDefault="00405D16">
            <w:pPr>
              <w:spacing w:after="100"/>
              <w:rPr>
                <w:rFonts w:eastAsia="Times New Roman"/>
                <w:sz w:val="20"/>
                <w:szCs w:val="20"/>
              </w:rPr>
            </w:pPr>
          </w:p>
        </w:tc>
        <w:tc>
          <w:tcPr>
            <w:tcW w:w="0" w:type="auto"/>
            <w:gridSpan w:val="3"/>
            <w:vAlign w:val="center"/>
            <w:hideMark/>
          </w:tcPr>
          <w:p w14:paraId="150A1604" w14:textId="77777777" w:rsidR="00000000" w:rsidRDefault="00405D16">
            <w:pPr>
              <w:spacing w:after="100"/>
              <w:rPr>
                <w:rFonts w:eastAsia="Times New Roman"/>
                <w:sz w:val="20"/>
                <w:szCs w:val="20"/>
              </w:rPr>
            </w:pPr>
          </w:p>
        </w:tc>
        <w:tc>
          <w:tcPr>
            <w:tcW w:w="0" w:type="auto"/>
            <w:gridSpan w:val="3"/>
            <w:vAlign w:val="center"/>
            <w:hideMark/>
          </w:tcPr>
          <w:p w14:paraId="3EFB44C9" w14:textId="77777777" w:rsidR="00000000" w:rsidRDefault="00405D16">
            <w:pPr>
              <w:spacing w:after="100"/>
              <w:rPr>
                <w:rFonts w:eastAsia="Times New Roman"/>
                <w:sz w:val="20"/>
                <w:szCs w:val="20"/>
              </w:rPr>
            </w:pPr>
          </w:p>
        </w:tc>
        <w:tc>
          <w:tcPr>
            <w:tcW w:w="0" w:type="auto"/>
            <w:gridSpan w:val="3"/>
            <w:vAlign w:val="center"/>
            <w:hideMark/>
          </w:tcPr>
          <w:p w14:paraId="488AA8BD" w14:textId="77777777" w:rsidR="00000000" w:rsidRDefault="00405D16">
            <w:pPr>
              <w:spacing w:after="100"/>
              <w:rPr>
                <w:rFonts w:eastAsia="Times New Roman"/>
                <w:sz w:val="20"/>
                <w:szCs w:val="20"/>
              </w:rPr>
            </w:pPr>
          </w:p>
        </w:tc>
        <w:tc>
          <w:tcPr>
            <w:tcW w:w="0" w:type="auto"/>
            <w:gridSpan w:val="3"/>
            <w:vAlign w:val="center"/>
            <w:hideMark/>
          </w:tcPr>
          <w:p w14:paraId="0A782CB6" w14:textId="77777777" w:rsidR="00000000" w:rsidRDefault="00405D16">
            <w:pPr>
              <w:spacing w:after="100"/>
              <w:rPr>
                <w:rFonts w:eastAsia="Times New Roman"/>
                <w:sz w:val="20"/>
                <w:szCs w:val="20"/>
              </w:rPr>
            </w:pPr>
          </w:p>
        </w:tc>
        <w:tc>
          <w:tcPr>
            <w:tcW w:w="0" w:type="auto"/>
            <w:gridSpan w:val="3"/>
            <w:vAlign w:val="center"/>
            <w:hideMark/>
          </w:tcPr>
          <w:p w14:paraId="3F57F19F" w14:textId="77777777" w:rsidR="00000000" w:rsidRDefault="00405D16">
            <w:pPr>
              <w:spacing w:after="100"/>
              <w:rPr>
                <w:rFonts w:eastAsia="Times New Roman"/>
                <w:sz w:val="20"/>
                <w:szCs w:val="20"/>
              </w:rPr>
            </w:pPr>
          </w:p>
        </w:tc>
        <w:tc>
          <w:tcPr>
            <w:tcW w:w="0" w:type="auto"/>
            <w:gridSpan w:val="3"/>
            <w:vAlign w:val="center"/>
            <w:hideMark/>
          </w:tcPr>
          <w:p w14:paraId="2BDD40BF" w14:textId="77777777" w:rsidR="00000000" w:rsidRDefault="00405D16">
            <w:pPr>
              <w:spacing w:after="100"/>
              <w:rPr>
                <w:rFonts w:eastAsia="Times New Roman"/>
                <w:sz w:val="20"/>
                <w:szCs w:val="20"/>
              </w:rPr>
            </w:pPr>
          </w:p>
        </w:tc>
      </w:tr>
      <w:tr w:rsidR="00000000" w14:paraId="1D30881B" w14:textId="77777777">
        <w:trPr>
          <w:divId w:val="448206846"/>
        </w:trPr>
        <w:tc>
          <w:tcPr>
            <w:tcW w:w="0" w:type="auto"/>
            <w:gridSpan w:val="3"/>
            <w:vAlign w:val="center"/>
            <w:hideMark/>
          </w:tcPr>
          <w:p w14:paraId="283F2CD3" w14:textId="77777777" w:rsidR="00000000" w:rsidRDefault="00405D16">
            <w:pPr>
              <w:spacing w:after="100"/>
              <w:rPr>
                <w:rFonts w:eastAsia="Times New Roman"/>
                <w:sz w:val="20"/>
                <w:szCs w:val="20"/>
              </w:rPr>
            </w:pPr>
          </w:p>
        </w:tc>
        <w:tc>
          <w:tcPr>
            <w:tcW w:w="0" w:type="auto"/>
            <w:gridSpan w:val="3"/>
            <w:vAlign w:val="center"/>
            <w:hideMark/>
          </w:tcPr>
          <w:p w14:paraId="1AA7613D" w14:textId="77777777" w:rsidR="00000000" w:rsidRDefault="00405D16">
            <w:pPr>
              <w:spacing w:after="100"/>
              <w:rPr>
                <w:rFonts w:eastAsia="Times New Roman"/>
                <w:sz w:val="20"/>
                <w:szCs w:val="20"/>
              </w:rPr>
            </w:pPr>
          </w:p>
        </w:tc>
        <w:tc>
          <w:tcPr>
            <w:tcW w:w="0" w:type="auto"/>
            <w:gridSpan w:val="3"/>
            <w:vAlign w:val="center"/>
            <w:hideMark/>
          </w:tcPr>
          <w:p w14:paraId="224A18AF" w14:textId="77777777" w:rsidR="00000000" w:rsidRDefault="00405D16">
            <w:pPr>
              <w:spacing w:after="100"/>
              <w:rPr>
                <w:rFonts w:eastAsia="Times New Roman"/>
                <w:sz w:val="20"/>
                <w:szCs w:val="20"/>
              </w:rPr>
            </w:pPr>
          </w:p>
        </w:tc>
        <w:tc>
          <w:tcPr>
            <w:tcW w:w="0" w:type="auto"/>
            <w:gridSpan w:val="3"/>
            <w:vAlign w:val="center"/>
            <w:hideMark/>
          </w:tcPr>
          <w:p w14:paraId="0FA1BBE8" w14:textId="77777777" w:rsidR="00000000" w:rsidRDefault="00405D16">
            <w:pPr>
              <w:spacing w:after="100"/>
              <w:rPr>
                <w:rFonts w:eastAsia="Times New Roman"/>
                <w:sz w:val="20"/>
                <w:szCs w:val="20"/>
              </w:rPr>
            </w:pPr>
          </w:p>
        </w:tc>
        <w:tc>
          <w:tcPr>
            <w:tcW w:w="0" w:type="auto"/>
            <w:gridSpan w:val="3"/>
            <w:vAlign w:val="center"/>
            <w:hideMark/>
          </w:tcPr>
          <w:p w14:paraId="4AB26DF3" w14:textId="77777777" w:rsidR="00000000" w:rsidRDefault="00405D16">
            <w:pPr>
              <w:spacing w:after="100"/>
              <w:rPr>
                <w:rFonts w:eastAsia="Times New Roman"/>
                <w:sz w:val="20"/>
                <w:szCs w:val="20"/>
              </w:rPr>
            </w:pPr>
          </w:p>
        </w:tc>
        <w:tc>
          <w:tcPr>
            <w:tcW w:w="0" w:type="auto"/>
            <w:gridSpan w:val="3"/>
            <w:vAlign w:val="center"/>
            <w:hideMark/>
          </w:tcPr>
          <w:p w14:paraId="3A30E5BC" w14:textId="77777777" w:rsidR="00000000" w:rsidRDefault="00405D16">
            <w:pPr>
              <w:spacing w:after="100"/>
              <w:rPr>
                <w:rFonts w:eastAsia="Times New Roman"/>
                <w:sz w:val="20"/>
                <w:szCs w:val="20"/>
              </w:rPr>
            </w:pPr>
          </w:p>
        </w:tc>
        <w:tc>
          <w:tcPr>
            <w:tcW w:w="0" w:type="auto"/>
            <w:gridSpan w:val="3"/>
            <w:vAlign w:val="center"/>
            <w:hideMark/>
          </w:tcPr>
          <w:p w14:paraId="00EA2AB4" w14:textId="77777777" w:rsidR="00000000" w:rsidRDefault="00405D16">
            <w:pPr>
              <w:spacing w:after="100"/>
              <w:rPr>
                <w:rFonts w:eastAsia="Times New Roman"/>
                <w:sz w:val="20"/>
                <w:szCs w:val="20"/>
              </w:rPr>
            </w:pPr>
          </w:p>
        </w:tc>
        <w:tc>
          <w:tcPr>
            <w:tcW w:w="0" w:type="auto"/>
            <w:gridSpan w:val="3"/>
            <w:vAlign w:val="center"/>
            <w:hideMark/>
          </w:tcPr>
          <w:p w14:paraId="3274E0DB" w14:textId="77777777" w:rsidR="00000000" w:rsidRDefault="00405D16">
            <w:pPr>
              <w:spacing w:after="100"/>
              <w:rPr>
                <w:rFonts w:eastAsia="Times New Roman"/>
                <w:sz w:val="20"/>
                <w:szCs w:val="20"/>
              </w:rPr>
            </w:pPr>
          </w:p>
        </w:tc>
        <w:tc>
          <w:tcPr>
            <w:tcW w:w="0" w:type="auto"/>
            <w:gridSpan w:val="3"/>
            <w:vAlign w:val="center"/>
            <w:hideMark/>
          </w:tcPr>
          <w:p w14:paraId="48E30481" w14:textId="77777777" w:rsidR="00000000" w:rsidRDefault="00405D16">
            <w:pPr>
              <w:spacing w:after="100"/>
              <w:rPr>
                <w:rFonts w:eastAsia="Times New Roman"/>
                <w:sz w:val="20"/>
                <w:szCs w:val="20"/>
              </w:rPr>
            </w:pPr>
          </w:p>
        </w:tc>
        <w:tc>
          <w:tcPr>
            <w:tcW w:w="0" w:type="auto"/>
            <w:gridSpan w:val="3"/>
            <w:vAlign w:val="center"/>
            <w:hideMark/>
          </w:tcPr>
          <w:p w14:paraId="4830B120" w14:textId="77777777" w:rsidR="00000000" w:rsidRDefault="00405D16">
            <w:pPr>
              <w:spacing w:after="100"/>
              <w:rPr>
                <w:rFonts w:eastAsia="Times New Roman"/>
                <w:sz w:val="20"/>
                <w:szCs w:val="20"/>
              </w:rPr>
            </w:pPr>
          </w:p>
        </w:tc>
        <w:tc>
          <w:tcPr>
            <w:tcW w:w="0" w:type="auto"/>
            <w:gridSpan w:val="3"/>
            <w:vAlign w:val="center"/>
            <w:hideMark/>
          </w:tcPr>
          <w:p w14:paraId="0F07FC22" w14:textId="77777777" w:rsidR="00000000" w:rsidRDefault="00405D16">
            <w:pPr>
              <w:spacing w:after="100"/>
              <w:rPr>
                <w:rFonts w:eastAsia="Times New Roman"/>
                <w:sz w:val="20"/>
                <w:szCs w:val="20"/>
              </w:rPr>
            </w:pPr>
          </w:p>
        </w:tc>
        <w:tc>
          <w:tcPr>
            <w:tcW w:w="0" w:type="auto"/>
            <w:gridSpan w:val="3"/>
            <w:vAlign w:val="center"/>
            <w:hideMark/>
          </w:tcPr>
          <w:p w14:paraId="40606038" w14:textId="77777777" w:rsidR="00000000" w:rsidRDefault="00405D16">
            <w:pPr>
              <w:spacing w:after="100"/>
              <w:rPr>
                <w:rFonts w:eastAsia="Times New Roman"/>
                <w:sz w:val="20"/>
                <w:szCs w:val="20"/>
              </w:rPr>
            </w:pPr>
          </w:p>
        </w:tc>
        <w:tc>
          <w:tcPr>
            <w:tcW w:w="0" w:type="auto"/>
            <w:gridSpan w:val="3"/>
            <w:vAlign w:val="center"/>
            <w:hideMark/>
          </w:tcPr>
          <w:p w14:paraId="4C582334" w14:textId="77777777" w:rsidR="00000000" w:rsidRDefault="00405D16">
            <w:pPr>
              <w:spacing w:after="100"/>
              <w:rPr>
                <w:rFonts w:eastAsia="Times New Roman"/>
                <w:sz w:val="20"/>
                <w:szCs w:val="20"/>
              </w:rPr>
            </w:pPr>
          </w:p>
        </w:tc>
        <w:tc>
          <w:tcPr>
            <w:tcW w:w="0" w:type="auto"/>
            <w:gridSpan w:val="3"/>
            <w:vAlign w:val="center"/>
            <w:hideMark/>
          </w:tcPr>
          <w:p w14:paraId="6C4B5A14" w14:textId="77777777" w:rsidR="00000000" w:rsidRDefault="00405D16">
            <w:pPr>
              <w:spacing w:after="100"/>
              <w:rPr>
                <w:rFonts w:eastAsia="Times New Roman"/>
                <w:sz w:val="20"/>
                <w:szCs w:val="20"/>
              </w:rPr>
            </w:pPr>
          </w:p>
        </w:tc>
        <w:tc>
          <w:tcPr>
            <w:tcW w:w="0" w:type="auto"/>
            <w:gridSpan w:val="3"/>
            <w:vAlign w:val="center"/>
            <w:hideMark/>
          </w:tcPr>
          <w:p w14:paraId="21CBA974" w14:textId="77777777" w:rsidR="00000000" w:rsidRDefault="00405D16">
            <w:pPr>
              <w:spacing w:after="100"/>
              <w:rPr>
                <w:rFonts w:eastAsia="Times New Roman"/>
                <w:sz w:val="20"/>
                <w:szCs w:val="20"/>
              </w:rPr>
            </w:pPr>
          </w:p>
        </w:tc>
      </w:tr>
      <w:tr w:rsidR="00000000" w14:paraId="03162ADA" w14:textId="77777777">
        <w:trPr>
          <w:divId w:val="448206846"/>
        </w:trPr>
        <w:tc>
          <w:tcPr>
            <w:tcW w:w="0" w:type="auto"/>
            <w:gridSpan w:val="3"/>
            <w:vAlign w:val="center"/>
            <w:hideMark/>
          </w:tcPr>
          <w:p w14:paraId="69E239CA" w14:textId="77777777" w:rsidR="00000000" w:rsidRDefault="00405D16">
            <w:pPr>
              <w:spacing w:after="100"/>
              <w:rPr>
                <w:rFonts w:eastAsia="Times New Roman"/>
                <w:sz w:val="20"/>
                <w:szCs w:val="20"/>
              </w:rPr>
            </w:pPr>
          </w:p>
        </w:tc>
        <w:tc>
          <w:tcPr>
            <w:tcW w:w="0" w:type="auto"/>
            <w:gridSpan w:val="3"/>
            <w:vAlign w:val="center"/>
            <w:hideMark/>
          </w:tcPr>
          <w:p w14:paraId="26CFED40" w14:textId="77777777" w:rsidR="00000000" w:rsidRDefault="00405D16">
            <w:pPr>
              <w:spacing w:after="100"/>
              <w:rPr>
                <w:rFonts w:eastAsia="Times New Roman"/>
                <w:sz w:val="20"/>
                <w:szCs w:val="20"/>
              </w:rPr>
            </w:pPr>
          </w:p>
        </w:tc>
        <w:tc>
          <w:tcPr>
            <w:tcW w:w="0" w:type="auto"/>
            <w:gridSpan w:val="3"/>
            <w:vAlign w:val="center"/>
            <w:hideMark/>
          </w:tcPr>
          <w:p w14:paraId="11CD7530" w14:textId="77777777" w:rsidR="00000000" w:rsidRDefault="00405D16">
            <w:pPr>
              <w:spacing w:after="100"/>
              <w:rPr>
                <w:rFonts w:eastAsia="Times New Roman"/>
                <w:sz w:val="20"/>
                <w:szCs w:val="20"/>
              </w:rPr>
            </w:pPr>
          </w:p>
        </w:tc>
        <w:tc>
          <w:tcPr>
            <w:tcW w:w="0" w:type="auto"/>
            <w:gridSpan w:val="3"/>
            <w:vAlign w:val="center"/>
            <w:hideMark/>
          </w:tcPr>
          <w:p w14:paraId="12156A1D" w14:textId="77777777" w:rsidR="00000000" w:rsidRDefault="00405D16">
            <w:pPr>
              <w:spacing w:after="100"/>
              <w:rPr>
                <w:rFonts w:eastAsia="Times New Roman"/>
                <w:sz w:val="20"/>
                <w:szCs w:val="20"/>
              </w:rPr>
            </w:pPr>
          </w:p>
        </w:tc>
        <w:tc>
          <w:tcPr>
            <w:tcW w:w="0" w:type="auto"/>
            <w:gridSpan w:val="3"/>
            <w:vAlign w:val="center"/>
            <w:hideMark/>
          </w:tcPr>
          <w:p w14:paraId="5A948C70" w14:textId="77777777" w:rsidR="00000000" w:rsidRDefault="00405D16">
            <w:pPr>
              <w:spacing w:after="100"/>
              <w:rPr>
                <w:rFonts w:eastAsia="Times New Roman"/>
                <w:sz w:val="20"/>
                <w:szCs w:val="20"/>
              </w:rPr>
            </w:pPr>
          </w:p>
        </w:tc>
        <w:tc>
          <w:tcPr>
            <w:tcW w:w="0" w:type="auto"/>
            <w:gridSpan w:val="3"/>
            <w:vAlign w:val="center"/>
            <w:hideMark/>
          </w:tcPr>
          <w:p w14:paraId="0FDC7D7B" w14:textId="77777777" w:rsidR="00000000" w:rsidRDefault="00405D16">
            <w:pPr>
              <w:spacing w:after="100"/>
              <w:rPr>
                <w:rFonts w:eastAsia="Times New Roman"/>
                <w:sz w:val="20"/>
                <w:szCs w:val="20"/>
              </w:rPr>
            </w:pPr>
          </w:p>
        </w:tc>
        <w:tc>
          <w:tcPr>
            <w:tcW w:w="0" w:type="auto"/>
            <w:gridSpan w:val="3"/>
            <w:vAlign w:val="center"/>
            <w:hideMark/>
          </w:tcPr>
          <w:p w14:paraId="18C69487" w14:textId="77777777" w:rsidR="00000000" w:rsidRDefault="00405D16">
            <w:pPr>
              <w:spacing w:after="100"/>
              <w:rPr>
                <w:rFonts w:eastAsia="Times New Roman"/>
                <w:sz w:val="20"/>
                <w:szCs w:val="20"/>
              </w:rPr>
            </w:pPr>
          </w:p>
        </w:tc>
        <w:tc>
          <w:tcPr>
            <w:tcW w:w="0" w:type="auto"/>
            <w:gridSpan w:val="3"/>
            <w:vAlign w:val="center"/>
            <w:hideMark/>
          </w:tcPr>
          <w:p w14:paraId="153CC567" w14:textId="77777777" w:rsidR="00000000" w:rsidRDefault="00405D16">
            <w:pPr>
              <w:spacing w:after="100"/>
              <w:rPr>
                <w:rFonts w:eastAsia="Times New Roman"/>
                <w:sz w:val="20"/>
                <w:szCs w:val="20"/>
              </w:rPr>
            </w:pPr>
          </w:p>
        </w:tc>
        <w:tc>
          <w:tcPr>
            <w:tcW w:w="0" w:type="auto"/>
            <w:gridSpan w:val="3"/>
            <w:vAlign w:val="center"/>
            <w:hideMark/>
          </w:tcPr>
          <w:p w14:paraId="576DC966" w14:textId="77777777" w:rsidR="00000000" w:rsidRDefault="00405D16">
            <w:pPr>
              <w:spacing w:after="100"/>
              <w:rPr>
                <w:rFonts w:eastAsia="Times New Roman"/>
                <w:sz w:val="20"/>
                <w:szCs w:val="20"/>
              </w:rPr>
            </w:pPr>
          </w:p>
        </w:tc>
        <w:tc>
          <w:tcPr>
            <w:tcW w:w="0" w:type="auto"/>
            <w:gridSpan w:val="3"/>
            <w:vAlign w:val="center"/>
            <w:hideMark/>
          </w:tcPr>
          <w:p w14:paraId="29D424C0" w14:textId="77777777" w:rsidR="00000000" w:rsidRDefault="00405D16">
            <w:pPr>
              <w:spacing w:after="100"/>
              <w:rPr>
                <w:rFonts w:eastAsia="Times New Roman"/>
                <w:sz w:val="20"/>
                <w:szCs w:val="20"/>
              </w:rPr>
            </w:pPr>
          </w:p>
        </w:tc>
        <w:tc>
          <w:tcPr>
            <w:tcW w:w="0" w:type="auto"/>
            <w:gridSpan w:val="3"/>
            <w:vAlign w:val="center"/>
            <w:hideMark/>
          </w:tcPr>
          <w:p w14:paraId="4A92934B" w14:textId="77777777" w:rsidR="00000000" w:rsidRDefault="00405D16">
            <w:pPr>
              <w:spacing w:after="100"/>
              <w:rPr>
                <w:rFonts w:eastAsia="Times New Roman"/>
                <w:sz w:val="20"/>
                <w:szCs w:val="20"/>
              </w:rPr>
            </w:pPr>
          </w:p>
        </w:tc>
        <w:tc>
          <w:tcPr>
            <w:tcW w:w="0" w:type="auto"/>
            <w:gridSpan w:val="3"/>
            <w:vAlign w:val="center"/>
            <w:hideMark/>
          </w:tcPr>
          <w:p w14:paraId="74299144" w14:textId="77777777" w:rsidR="00000000" w:rsidRDefault="00405D16">
            <w:pPr>
              <w:spacing w:after="100"/>
              <w:rPr>
                <w:rFonts w:eastAsia="Times New Roman"/>
                <w:sz w:val="20"/>
                <w:szCs w:val="20"/>
              </w:rPr>
            </w:pPr>
          </w:p>
        </w:tc>
        <w:tc>
          <w:tcPr>
            <w:tcW w:w="0" w:type="auto"/>
            <w:gridSpan w:val="3"/>
            <w:vAlign w:val="center"/>
            <w:hideMark/>
          </w:tcPr>
          <w:p w14:paraId="79B6C28E" w14:textId="77777777" w:rsidR="00000000" w:rsidRDefault="00405D16">
            <w:pPr>
              <w:spacing w:after="100"/>
              <w:rPr>
                <w:rFonts w:eastAsia="Times New Roman"/>
                <w:sz w:val="20"/>
                <w:szCs w:val="20"/>
              </w:rPr>
            </w:pPr>
          </w:p>
        </w:tc>
        <w:tc>
          <w:tcPr>
            <w:tcW w:w="0" w:type="auto"/>
            <w:gridSpan w:val="3"/>
            <w:vAlign w:val="center"/>
            <w:hideMark/>
          </w:tcPr>
          <w:p w14:paraId="7352AE4E" w14:textId="77777777" w:rsidR="00000000" w:rsidRDefault="00405D16">
            <w:pPr>
              <w:spacing w:after="100"/>
              <w:rPr>
                <w:rFonts w:eastAsia="Times New Roman"/>
                <w:sz w:val="20"/>
                <w:szCs w:val="20"/>
              </w:rPr>
            </w:pPr>
          </w:p>
        </w:tc>
        <w:tc>
          <w:tcPr>
            <w:tcW w:w="0" w:type="auto"/>
            <w:gridSpan w:val="3"/>
            <w:vAlign w:val="center"/>
            <w:hideMark/>
          </w:tcPr>
          <w:p w14:paraId="45F5D5C1" w14:textId="77777777" w:rsidR="00000000" w:rsidRDefault="00405D16">
            <w:pPr>
              <w:spacing w:after="100"/>
              <w:rPr>
                <w:rFonts w:eastAsia="Times New Roman"/>
                <w:sz w:val="20"/>
                <w:szCs w:val="20"/>
              </w:rPr>
            </w:pPr>
          </w:p>
        </w:tc>
      </w:tr>
      <w:tr w:rsidR="00000000" w14:paraId="0C5BF723" w14:textId="77777777">
        <w:trPr>
          <w:divId w:val="448206846"/>
        </w:trPr>
        <w:tc>
          <w:tcPr>
            <w:tcW w:w="0" w:type="auto"/>
            <w:gridSpan w:val="3"/>
            <w:vAlign w:val="center"/>
            <w:hideMark/>
          </w:tcPr>
          <w:p w14:paraId="0476A997" w14:textId="77777777" w:rsidR="00000000" w:rsidRDefault="00405D16">
            <w:pPr>
              <w:spacing w:after="100"/>
              <w:rPr>
                <w:rFonts w:eastAsia="Times New Roman"/>
                <w:sz w:val="20"/>
                <w:szCs w:val="20"/>
              </w:rPr>
            </w:pPr>
          </w:p>
        </w:tc>
        <w:tc>
          <w:tcPr>
            <w:tcW w:w="0" w:type="auto"/>
            <w:gridSpan w:val="3"/>
            <w:vAlign w:val="center"/>
            <w:hideMark/>
          </w:tcPr>
          <w:p w14:paraId="5754C8C5" w14:textId="77777777" w:rsidR="00000000" w:rsidRDefault="00405D16">
            <w:pPr>
              <w:spacing w:after="100"/>
              <w:rPr>
                <w:rFonts w:eastAsia="Times New Roman"/>
                <w:sz w:val="20"/>
                <w:szCs w:val="20"/>
              </w:rPr>
            </w:pPr>
          </w:p>
        </w:tc>
        <w:tc>
          <w:tcPr>
            <w:tcW w:w="0" w:type="auto"/>
            <w:gridSpan w:val="3"/>
            <w:vAlign w:val="center"/>
            <w:hideMark/>
          </w:tcPr>
          <w:p w14:paraId="6AA6FFE7" w14:textId="77777777" w:rsidR="00000000" w:rsidRDefault="00405D16">
            <w:pPr>
              <w:spacing w:after="100"/>
              <w:rPr>
                <w:rFonts w:eastAsia="Times New Roman"/>
                <w:sz w:val="20"/>
                <w:szCs w:val="20"/>
              </w:rPr>
            </w:pPr>
          </w:p>
        </w:tc>
        <w:tc>
          <w:tcPr>
            <w:tcW w:w="0" w:type="auto"/>
            <w:gridSpan w:val="3"/>
            <w:vAlign w:val="center"/>
            <w:hideMark/>
          </w:tcPr>
          <w:p w14:paraId="23B42360" w14:textId="77777777" w:rsidR="00000000" w:rsidRDefault="00405D16">
            <w:pPr>
              <w:spacing w:after="100"/>
              <w:rPr>
                <w:rFonts w:eastAsia="Times New Roman"/>
                <w:sz w:val="20"/>
                <w:szCs w:val="20"/>
              </w:rPr>
            </w:pPr>
          </w:p>
        </w:tc>
        <w:tc>
          <w:tcPr>
            <w:tcW w:w="0" w:type="auto"/>
            <w:gridSpan w:val="3"/>
            <w:vAlign w:val="center"/>
            <w:hideMark/>
          </w:tcPr>
          <w:p w14:paraId="50BDE746" w14:textId="77777777" w:rsidR="00000000" w:rsidRDefault="00405D16">
            <w:pPr>
              <w:spacing w:after="100"/>
              <w:rPr>
                <w:rFonts w:eastAsia="Times New Roman"/>
                <w:sz w:val="20"/>
                <w:szCs w:val="20"/>
              </w:rPr>
            </w:pPr>
          </w:p>
        </w:tc>
        <w:tc>
          <w:tcPr>
            <w:tcW w:w="0" w:type="auto"/>
            <w:gridSpan w:val="3"/>
            <w:vAlign w:val="center"/>
            <w:hideMark/>
          </w:tcPr>
          <w:p w14:paraId="205E5A9F" w14:textId="77777777" w:rsidR="00000000" w:rsidRDefault="00405D16">
            <w:pPr>
              <w:spacing w:after="100"/>
              <w:rPr>
                <w:rFonts w:eastAsia="Times New Roman"/>
                <w:sz w:val="20"/>
                <w:szCs w:val="20"/>
              </w:rPr>
            </w:pPr>
          </w:p>
        </w:tc>
        <w:tc>
          <w:tcPr>
            <w:tcW w:w="0" w:type="auto"/>
            <w:gridSpan w:val="3"/>
            <w:vAlign w:val="center"/>
            <w:hideMark/>
          </w:tcPr>
          <w:p w14:paraId="5EC758B5" w14:textId="77777777" w:rsidR="00000000" w:rsidRDefault="00405D16">
            <w:pPr>
              <w:spacing w:after="100"/>
              <w:rPr>
                <w:rFonts w:eastAsia="Times New Roman"/>
                <w:sz w:val="20"/>
                <w:szCs w:val="20"/>
              </w:rPr>
            </w:pPr>
          </w:p>
        </w:tc>
        <w:tc>
          <w:tcPr>
            <w:tcW w:w="0" w:type="auto"/>
            <w:gridSpan w:val="3"/>
            <w:vAlign w:val="center"/>
            <w:hideMark/>
          </w:tcPr>
          <w:p w14:paraId="20A2F484" w14:textId="77777777" w:rsidR="00000000" w:rsidRDefault="00405D16">
            <w:pPr>
              <w:spacing w:after="100"/>
              <w:rPr>
                <w:rFonts w:eastAsia="Times New Roman"/>
                <w:sz w:val="20"/>
                <w:szCs w:val="20"/>
              </w:rPr>
            </w:pPr>
          </w:p>
        </w:tc>
        <w:tc>
          <w:tcPr>
            <w:tcW w:w="0" w:type="auto"/>
            <w:gridSpan w:val="3"/>
            <w:vAlign w:val="center"/>
            <w:hideMark/>
          </w:tcPr>
          <w:p w14:paraId="268B40D9" w14:textId="77777777" w:rsidR="00000000" w:rsidRDefault="00405D16">
            <w:pPr>
              <w:spacing w:after="100"/>
              <w:rPr>
                <w:rFonts w:eastAsia="Times New Roman"/>
                <w:sz w:val="20"/>
                <w:szCs w:val="20"/>
              </w:rPr>
            </w:pPr>
          </w:p>
        </w:tc>
        <w:tc>
          <w:tcPr>
            <w:tcW w:w="0" w:type="auto"/>
            <w:gridSpan w:val="3"/>
            <w:vAlign w:val="center"/>
            <w:hideMark/>
          </w:tcPr>
          <w:p w14:paraId="474396F4" w14:textId="77777777" w:rsidR="00000000" w:rsidRDefault="00405D16">
            <w:pPr>
              <w:spacing w:after="100"/>
              <w:rPr>
                <w:rFonts w:eastAsia="Times New Roman"/>
                <w:sz w:val="20"/>
                <w:szCs w:val="20"/>
              </w:rPr>
            </w:pPr>
          </w:p>
        </w:tc>
        <w:tc>
          <w:tcPr>
            <w:tcW w:w="0" w:type="auto"/>
            <w:gridSpan w:val="3"/>
            <w:vAlign w:val="center"/>
            <w:hideMark/>
          </w:tcPr>
          <w:p w14:paraId="0702EB7B" w14:textId="77777777" w:rsidR="00000000" w:rsidRDefault="00405D16">
            <w:pPr>
              <w:spacing w:after="100"/>
              <w:rPr>
                <w:rFonts w:eastAsia="Times New Roman"/>
                <w:sz w:val="20"/>
                <w:szCs w:val="20"/>
              </w:rPr>
            </w:pPr>
          </w:p>
        </w:tc>
        <w:tc>
          <w:tcPr>
            <w:tcW w:w="0" w:type="auto"/>
            <w:gridSpan w:val="3"/>
            <w:vAlign w:val="center"/>
            <w:hideMark/>
          </w:tcPr>
          <w:p w14:paraId="1610832F" w14:textId="77777777" w:rsidR="00000000" w:rsidRDefault="00405D16">
            <w:pPr>
              <w:spacing w:after="100"/>
              <w:rPr>
                <w:rFonts w:eastAsia="Times New Roman"/>
                <w:sz w:val="20"/>
                <w:szCs w:val="20"/>
              </w:rPr>
            </w:pPr>
          </w:p>
        </w:tc>
        <w:tc>
          <w:tcPr>
            <w:tcW w:w="0" w:type="auto"/>
            <w:gridSpan w:val="3"/>
            <w:vAlign w:val="center"/>
            <w:hideMark/>
          </w:tcPr>
          <w:p w14:paraId="12857014" w14:textId="77777777" w:rsidR="00000000" w:rsidRDefault="00405D16">
            <w:pPr>
              <w:spacing w:after="100"/>
              <w:rPr>
                <w:rFonts w:eastAsia="Times New Roman"/>
                <w:sz w:val="20"/>
                <w:szCs w:val="20"/>
              </w:rPr>
            </w:pPr>
          </w:p>
        </w:tc>
        <w:tc>
          <w:tcPr>
            <w:tcW w:w="0" w:type="auto"/>
            <w:gridSpan w:val="3"/>
            <w:vAlign w:val="center"/>
            <w:hideMark/>
          </w:tcPr>
          <w:p w14:paraId="2429661D" w14:textId="77777777" w:rsidR="00000000" w:rsidRDefault="00405D16">
            <w:pPr>
              <w:spacing w:after="100"/>
              <w:rPr>
                <w:rFonts w:eastAsia="Times New Roman"/>
                <w:sz w:val="20"/>
                <w:szCs w:val="20"/>
              </w:rPr>
            </w:pPr>
          </w:p>
        </w:tc>
        <w:tc>
          <w:tcPr>
            <w:tcW w:w="0" w:type="auto"/>
            <w:gridSpan w:val="3"/>
            <w:vAlign w:val="center"/>
            <w:hideMark/>
          </w:tcPr>
          <w:p w14:paraId="633F3EE0" w14:textId="77777777" w:rsidR="00000000" w:rsidRDefault="00405D16">
            <w:pPr>
              <w:spacing w:after="100"/>
              <w:rPr>
                <w:rFonts w:eastAsia="Times New Roman"/>
                <w:sz w:val="20"/>
                <w:szCs w:val="20"/>
              </w:rPr>
            </w:pPr>
          </w:p>
        </w:tc>
      </w:tr>
      <w:tr w:rsidR="00000000" w14:paraId="0F656AAA" w14:textId="77777777">
        <w:trPr>
          <w:divId w:val="448206846"/>
        </w:trPr>
        <w:tc>
          <w:tcPr>
            <w:tcW w:w="0" w:type="auto"/>
            <w:gridSpan w:val="3"/>
            <w:vAlign w:val="center"/>
            <w:hideMark/>
          </w:tcPr>
          <w:p w14:paraId="3F24B270" w14:textId="77777777" w:rsidR="00000000" w:rsidRDefault="00405D16">
            <w:pPr>
              <w:spacing w:after="100"/>
              <w:rPr>
                <w:rFonts w:eastAsia="Times New Roman"/>
                <w:sz w:val="20"/>
                <w:szCs w:val="20"/>
              </w:rPr>
            </w:pPr>
          </w:p>
        </w:tc>
        <w:tc>
          <w:tcPr>
            <w:tcW w:w="0" w:type="auto"/>
            <w:gridSpan w:val="3"/>
            <w:vAlign w:val="center"/>
            <w:hideMark/>
          </w:tcPr>
          <w:p w14:paraId="7DDE396B" w14:textId="77777777" w:rsidR="00000000" w:rsidRDefault="00405D16">
            <w:pPr>
              <w:spacing w:after="100"/>
              <w:rPr>
                <w:rFonts w:eastAsia="Times New Roman"/>
                <w:sz w:val="20"/>
                <w:szCs w:val="20"/>
              </w:rPr>
            </w:pPr>
          </w:p>
        </w:tc>
        <w:tc>
          <w:tcPr>
            <w:tcW w:w="0" w:type="auto"/>
            <w:gridSpan w:val="3"/>
            <w:vAlign w:val="center"/>
            <w:hideMark/>
          </w:tcPr>
          <w:p w14:paraId="514DA9B1" w14:textId="77777777" w:rsidR="00000000" w:rsidRDefault="00405D16">
            <w:pPr>
              <w:spacing w:after="100"/>
              <w:rPr>
                <w:rFonts w:eastAsia="Times New Roman"/>
                <w:sz w:val="20"/>
                <w:szCs w:val="20"/>
              </w:rPr>
            </w:pPr>
          </w:p>
        </w:tc>
        <w:tc>
          <w:tcPr>
            <w:tcW w:w="0" w:type="auto"/>
            <w:gridSpan w:val="3"/>
            <w:vAlign w:val="center"/>
            <w:hideMark/>
          </w:tcPr>
          <w:p w14:paraId="2B73D3D4" w14:textId="77777777" w:rsidR="00000000" w:rsidRDefault="00405D16">
            <w:pPr>
              <w:spacing w:after="100"/>
              <w:rPr>
                <w:rFonts w:eastAsia="Times New Roman"/>
                <w:sz w:val="20"/>
                <w:szCs w:val="20"/>
              </w:rPr>
            </w:pPr>
          </w:p>
        </w:tc>
        <w:tc>
          <w:tcPr>
            <w:tcW w:w="0" w:type="auto"/>
            <w:gridSpan w:val="3"/>
            <w:vAlign w:val="center"/>
            <w:hideMark/>
          </w:tcPr>
          <w:p w14:paraId="15922E68" w14:textId="77777777" w:rsidR="00000000" w:rsidRDefault="00405D16">
            <w:pPr>
              <w:spacing w:after="100"/>
              <w:rPr>
                <w:rFonts w:eastAsia="Times New Roman"/>
                <w:sz w:val="20"/>
                <w:szCs w:val="20"/>
              </w:rPr>
            </w:pPr>
          </w:p>
        </w:tc>
        <w:tc>
          <w:tcPr>
            <w:tcW w:w="0" w:type="auto"/>
            <w:gridSpan w:val="3"/>
            <w:vAlign w:val="center"/>
            <w:hideMark/>
          </w:tcPr>
          <w:p w14:paraId="240AFCB6" w14:textId="77777777" w:rsidR="00000000" w:rsidRDefault="00405D16">
            <w:pPr>
              <w:spacing w:after="100"/>
              <w:rPr>
                <w:rFonts w:eastAsia="Times New Roman"/>
                <w:sz w:val="20"/>
                <w:szCs w:val="20"/>
              </w:rPr>
            </w:pPr>
          </w:p>
        </w:tc>
        <w:tc>
          <w:tcPr>
            <w:tcW w:w="0" w:type="auto"/>
            <w:gridSpan w:val="3"/>
            <w:vAlign w:val="center"/>
            <w:hideMark/>
          </w:tcPr>
          <w:p w14:paraId="548D9D0B" w14:textId="77777777" w:rsidR="00000000" w:rsidRDefault="00405D16">
            <w:pPr>
              <w:spacing w:after="100"/>
              <w:rPr>
                <w:rFonts w:eastAsia="Times New Roman"/>
                <w:sz w:val="20"/>
                <w:szCs w:val="20"/>
              </w:rPr>
            </w:pPr>
          </w:p>
        </w:tc>
        <w:tc>
          <w:tcPr>
            <w:tcW w:w="0" w:type="auto"/>
            <w:gridSpan w:val="3"/>
            <w:vAlign w:val="center"/>
            <w:hideMark/>
          </w:tcPr>
          <w:p w14:paraId="57CEA169" w14:textId="77777777" w:rsidR="00000000" w:rsidRDefault="00405D16">
            <w:pPr>
              <w:spacing w:after="100"/>
              <w:rPr>
                <w:rFonts w:eastAsia="Times New Roman"/>
                <w:sz w:val="20"/>
                <w:szCs w:val="20"/>
              </w:rPr>
            </w:pPr>
          </w:p>
        </w:tc>
        <w:tc>
          <w:tcPr>
            <w:tcW w:w="0" w:type="auto"/>
            <w:gridSpan w:val="3"/>
            <w:vAlign w:val="center"/>
            <w:hideMark/>
          </w:tcPr>
          <w:p w14:paraId="2D1320FF" w14:textId="77777777" w:rsidR="00000000" w:rsidRDefault="00405D16">
            <w:pPr>
              <w:spacing w:after="100"/>
              <w:rPr>
                <w:rFonts w:eastAsia="Times New Roman"/>
                <w:sz w:val="20"/>
                <w:szCs w:val="20"/>
              </w:rPr>
            </w:pPr>
          </w:p>
        </w:tc>
        <w:tc>
          <w:tcPr>
            <w:tcW w:w="0" w:type="auto"/>
            <w:gridSpan w:val="3"/>
            <w:vAlign w:val="center"/>
            <w:hideMark/>
          </w:tcPr>
          <w:p w14:paraId="51E5A709" w14:textId="77777777" w:rsidR="00000000" w:rsidRDefault="00405D16">
            <w:pPr>
              <w:spacing w:after="100"/>
              <w:rPr>
                <w:rFonts w:eastAsia="Times New Roman"/>
                <w:sz w:val="20"/>
                <w:szCs w:val="20"/>
              </w:rPr>
            </w:pPr>
          </w:p>
        </w:tc>
        <w:tc>
          <w:tcPr>
            <w:tcW w:w="0" w:type="auto"/>
            <w:gridSpan w:val="3"/>
            <w:vAlign w:val="center"/>
            <w:hideMark/>
          </w:tcPr>
          <w:p w14:paraId="7245DA49" w14:textId="77777777" w:rsidR="00000000" w:rsidRDefault="00405D16">
            <w:pPr>
              <w:spacing w:after="100"/>
              <w:rPr>
                <w:rFonts w:eastAsia="Times New Roman"/>
                <w:sz w:val="20"/>
                <w:szCs w:val="20"/>
              </w:rPr>
            </w:pPr>
          </w:p>
        </w:tc>
        <w:tc>
          <w:tcPr>
            <w:tcW w:w="0" w:type="auto"/>
            <w:gridSpan w:val="3"/>
            <w:vAlign w:val="center"/>
            <w:hideMark/>
          </w:tcPr>
          <w:p w14:paraId="7CD41070" w14:textId="77777777" w:rsidR="00000000" w:rsidRDefault="00405D16">
            <w:pPr>
              <w:spacing w:after="100"/>
              <w:rPr>
                <w:rFonts w:eastAsia="Times New Roman"/>
                <w:sz w:val="20"/>
                <w:szCs w:val="20"/>
              </w:rPr>
            </w:pPr>
          </w:p>
        </w:tc>
        <w:tc>
          <w:tcPr>
            <w:tcW w:w="0" w:type="auto"/>
            <w:gridSpan w:val="3"/>
            <w:vAlign w:val="center"/>
            <w:hideMark/>
          </w:tcPr>
          <w:p w14:paraId="6E878482" w14:textId="77777777" w:rsidR="00000000" w:rsidRDefault="00405D16">
            <w:pPr>
              <w:spacing w:after="100"/>
              <w:rPr>
                <w:rFonts w:eastAsia="Times New Roman"/>
                <w:sz w:val="20"/>
                <w:szCs w:val="20"/>
              </w:rPr>
            </w:pPr>
          </w:p>
        </w:tc>
        <w:tc>
          <w:tcPr>
            <w:tcW w:w="0" w:type="auto"/>
            <w:gridSpan w:val="3"/>
            <w:vAlign w:val="center"/>
            <w:hideMark/>
          </w:tcPr>
          <w:p w14:paraId="5FF357C0" w14:textId="77777777" w:rsidR="00000000" w:rsidRDefault="00405D16">
            <w:pPr>
              <w:spacing w:after="100"/>
              <w:rPr>
                <w:rFonts w:eastAsia="Times New Roman"/>
                <w:sz w:val="20"/>
                <w:szCs w:val="20"/>
              </w:rPr>
            </w:pPr>
          </w:p>
        </w:tc>
        <w:tc>
          <w:tcPr>
            <w:tcW w:w="0" w:type="auto"/>
            <w:gridSpan w:val="3"/>
            <w:vAlign w:val="center"/>
            <w:hideMark/>
          </w:tcPr>
          <w:p w14:paraId="157A4994" w14:textId="77777777" w:rsidR="00000000" w:rsidRDefault="00405D16">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418EB4AE" w14:textId="77777777">
        <w:trPr>
          <w:jc w:val="center"/>
        </w:trPr>
        <w:tc>
          <w:tcPr>
            <w:tcW w:w="50" w:type="pct"/>
            <w:vAlign w:val="center"/>
            <w:hideMark/>
          </w:tcPr>
          <w:p w14:paraId="40B9C291" w14:textId="77777777" w:rsidR="00000000" w:rsidRDefault="00405D16">
            <w:pPr>
              <w:rPr>
                <w:rFonts w:eastAsia="Times New Roman"/>
              </w:rPr>
            </w:pPr>
          </w:p>
        </w:tc>
        <w:tc>
          <w:tcPr>
            <w:tcW w:w="1606" w:type="pct"/>
            <w:vAlign w:val="center"/>
            <w:hideMark/>
          </w:tcPr>
          <w:p w14:paraId="316A011B" w14:textId="77777777" w:rsidR="00000000" w:rsidRDefault="00405D16">
            <w:pPr>
              <w:spacing w:after="100"/>
              <w:rPr>
                <w:rFonts w:eastAsia="Times New Roman"/>
                <w:sz w:val="20"/>
                <w:szCs w:val="20"/>
              </w:rPr>
            </w:pPr>
          </w:p>
        </w:tc>
        <w:tc>
          <w:tcPr>
            <w:tcW w:w="5" w:type="pct"/>
            <w:vAlign w:val="center"/>
            <w:hideMark/>
          </w:tcPr>
          <w:p w14:paraId="4AB926C6" w14:textId="77777777" w:rsidR="00000000" w:rsidRDefault="00405D16">
            <w:pPr>
              <w:spacing w:after="100"/>
              <w:rPr>
                <w:rFonts w:eastAsia="Times New Roman"/>
                <w:sz w:val="20"/>
                <w:szCs w:val="20"/>
              </w:rPr>
            </w:pPr>
          </w:p>
        </w:tc>
        <w:tc>
          <w:tcPr>
            <w:tcW w:w="50" w:type="pct"/>
            <w:vAlign w:val="center"/>
            <w:hideMark/>
          </w:tcPr>
          <w:p w14:paraId="3C115C16" w14:textId="77777777" w:rsidR="00000000" w:rsidRDefault="00405D16">
            <w:pPr>
              <w:spacing w:after="100"/>
              <w:rPr>
                <w:rFonts w:eastAsia="Times New Roman"/>
                <w:sz w:val="20"/>
                <w:szCs w:val="20"/>
              </w:rPr>
            </w:pPr>
          </w:p>
        </w:tc>
        <w:tc>
          <w:tcPr>
            <w:tcW w:w="1614" w:type="pct"/>
            <w:vAlign w:val="center"/>
            <w:hideMark/>
          </w:tcPr>
          <w:p w14:paraId="01068FE3" w14:textId="77777777" w:rsidR="00000000" w:rsidRDefault="00405D16">
            <w:pPr>
              <w:spacing w:after="100"/>
              <w:rPr>
                <w:rFonts w:eastAsia="Times New Roman"/>
                <w:sz w:val="20"/>
                <w:szCs w:val="20"/>
              </w:rPr>
            </w:pPr>
          </w:p>
        </w:tc>
        <w:tc>
          <w:tcPr>
            <w:tcW w:w="5" w:type="pct"/>
            <w:vAlign w:val="center"/>
            <w:hideMark/>
          </w:tcPr>
          <w:p w14:paraId="73CAAD69" w14:textId="77777777" w:rsidR="00000000" w:rsidRDefault="00405D16">
            <w:pPr>
              <w:spacing w:after="100"/>
              <w:rPr>
                <w:rFonts w:eastAsia="Times New Roman"/>
                <w:sz w:val="20"/>
                <w:szCs w:val="20"/>
              </w:rPr>
            </w:pPr>
          </w:p>
        </w:tc>
        <w:tc>
          <w:tcPr>
            <w:tcW w:w="50" w:type="pct"/>
            <w:vAlign w:val="center"/>
            <w:hideMark/>
          </w:tcPr>
          <w:p w14:paraId="416B8CF5" w14:textId="77777777" w:rsidR="00000000" w:rsidRDefault="00405D16">
            <w:pPr>
              <w:spacing w:after="100"/>
              <w:rPr>
                <w:rFonts w:eastAsia="Times New Roman"/>
                <w:sz w:val="20"/>
                <w:szCs w:val="20"/>
              </w:rPr>
            </w:pPr>
          </w:p>
        </w:tc>
        <w:tc>
          <w:tcPr>
            <w:tcW w:w="1614" w:type="pct"/>
            <w:vAlign w:val="center"/>
            <w:hideMark/>
          </w:tcPr>
          <w:p w14:paraId="560B631A" w14:textId="77777777" w:rsidR="00000000" w:rsidRDefault="00405D16">
            <w:pPr>
              <w:spacing w:after="100"/>
              <w:rPr>
                <w:rFonts w:eastAsia="Times New Roman"/>
                <w:sz w:val="20"/>
                <w:szCs w:val="20"/>
              </w:rPr>
            </w:pPr>
          </w:p>
        </w:tc>
        <w:tc>
          <w:tcPr>
            <w:tcW w:w="5" w:type="pct"/>
            <w:vAlign w:val="center"/>
            <w:hideMark/>
          </w:tcPr>
          <w:p w14:paraId="0DE5BCF5" w14:textId="77777777" w:rsidR="00000000" w:rsidRDefault="00405D16">
            <w:pPr>
              <w:spacing w:after="100"/>
              <w:rPr>
                <w:rFonts w:eastAsia="Times New Roman"/>
                <w:sz w:val="20"/>
                <w:szCs w:val="20"/>
              </w:rPr>
            </w:pPr>
          </w:p>
        </w:tc>
      </w:tr>
      <w:tr w:rsidR="00000000" w14:paraId="61C5B512" w14:textId="77777777">
        <w:trPr>
          <w:trHeight w:val="300"/>
          <w:jc w:val="center"/>
        </w:trPr>
        <w:tc>
          <w:tcPr>
            <w:tcW w:w="0" w:type="auto"/>
            <w:gridSpan w:val="9"/>
            <w:tcMar>
              <w:top w:w="0" w:type="dxa"/>
              <w:left w:w="20" w:type="dxa"/>
              <w:bottom w:w="0" w:type="dxa"/>
              <w:right w:w="20" w:type="dxa"/>
            </w:tcMar>
            <w:vAlign w:val="center"/>
            <w:hideMark/>
          </w:tcPr>
          <w:p w14:paraId="1AB66176" w14:textId="77777777" w:rsidR="00000000" w:rsidRDefault="00405D16">
            <w:pPr>
              <w:spacing w:after="100"/>
              <w:rPr>
                <w:rFonts w:eastAsia="Times New Roman"/>
                <w:sz w:val="20"/>
                <w:szCs w:val="20"/>
              </w:rPr>
            </w:pPr>
          </w:p>
        </w:tc>
      </w:tr>
      <w:tr w:rsidR="00000000" w14:paraId="4EFEA66C" w14:textId="77777777">
        <w:trPr>
          <w:jc w:val="center"/>
        </w:trPr>
        <w:tc>
          <w:tcPr>
            <w:tcW w:w="0" w:type="auto"/>
            <w:gridSpan w:val="3"/>
            <w:tcMar>
              <w:top w:w="0" w:type="dxa"/>
              <w:left w:w="20" w:type="dxa"/>
              <w:bottom w:w="0" w:type="dxa"/>
              <w:right w:w="20" w:type="dxa"/>
            </w:tcMar>
            <w:vAlign w:val="center"/>
            <w:hideMark/>
          </w:tcPr>
          <w:p w14:paraId="78C05F22"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70E9544" w14:textId="77777777" w:rsidR="00000000" w:rsidRDefault="00405D16">
            <w:pPr>
              <w:spacing w:after="100"/>
              <w:jc w:val="center"/>
              <w:rPr>
                <w:rFonts w:eastAsia="Times New Roman"/>
              </w:rPr>
            </w:pPr>
            <w:r>
              <w:rPr>
                <w:rFonts w:eastAsia="Times New Roman"/>
                <w:color w:val="000000"/>
                <w:sz w:val="16"/>
                <w:szCs w:val="16"/>
              </w:rPr>
              <w:t>101</w:t>
            </w:r>
          </w:p>
        </w:tc>
        <w:tc>
          <w:tcPr>
            <w:tcW w:w="0" w:type="auto"/>
            <w:gridSpan w:val="3"/>
            <w:tcMar>
              <w:top w:w="30" w:type="dxa"/>
              <w:left w:w="20" w:type="dxa"/>
              <w:bottom w:w="30" w:type="dxa"/>
              <w:right w:w="20" w:type="dxa"/>
            </w:tcMar>
            <w:vAlign w:val="bottom"/>
            <w:hideMark/>
          </w:tcPr>
          <w:p w14:paraId="5580F332"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1A434E3C" w14:textId="77777777" w:rsidR="00000000" w:rsidRDefault="00405D16">
      <w:pPr>
        <w:rPr>
          <w:rFonts w:eastAsia="Times New Roman"/>
        </w:rPr>
      </w:pPr>
      <w:r>
        <w:rPr>
          <w:rFonts w:eastAsia="Times New Roman"/>
        </w:rPr>
        <w:pict w14:anchorId="4E0BEDA0">
          <v:rect id="_x0000_i1126" style="width:0;height:1.5pt" o:hralign="center" o:hrstd="t" o:hr="t" fillcolor="#a0a0a0" stroked="f"/>
        </w:pict>
      </w:r>
    </w:p>
    <w:p w14:paraId="231D14D6" w14:textId="77777777" w:rsidR="00000000" w:rsidRDefault="00405D16">
      <w:pPr>
        <w:jc w:val="both"/>
        <w:divId w:val="889418743"/>
        <w:rPr>
          <w:rFonts w:eastAsia="Times New Roman"/>
        </w:rPr>
      </w:pPr>
      <w:hyperlink w:anchor="idd54a04a485440b4ab4e56094c14d612_13" w:history="1">
        <w:r>
          <w:rPr>
            <w:rStyle w:val="a3"/>
            <w:rFonts w:eastAsia="Times New Roman"/>
            <w:sz w:val="16"/>
            <w:szCs w:val="16"/>
          </w:rPr>
          <w:t>Table of Contents</w:t>
        </w:r>
      </w:hyperlink>
    </w:p>
    <w:p w14:paraId="2DB522B2" w14:textId="77777777" w:rsidR="00000000" w:rsidRDefault="00405D16">
      <w:pPr>
        <w:jc w:val="center"/>
        <w:divId w:val="88941874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187466E1" w14:textId="77777777">
        <w:trPr>
          <w:divId w:val="436216700"/>
        </w:trPr>
        <w:tc>
          <w:tcPr>
            <w:tcW w:w="50" w:type="pct"/>
            <w:vAlign w:val="center"/>
            <w:hideMark/>
          </w:tcPr>
          <w:p w14:paraId="1900CF0C" w14:textId="77777777" w:rsidR="00000000" w:rsidRDefault="00405D16">
            <w:pPr>
              <w:jc w:val="center"/>
              <w:rPr>
                <w:rFonts w:eastAsia="Times New Roman"/>
              </w:rPr>
            </w:pPr>
          </w:p>
        </w:tc>
        <w:tc>
          <w:tcPr>
            <w:tcW w:w="4945" w:type="pct"/>
            <w:vAlign w:val="center"/>
            <w:hideMark/>
          </w:tcPr>
          <w:p w14:paraId="4F13C4AB" w14:textId="77777777" w:rsidR="00000000" w:rsidRDefault="00405D16">
            <w:pPr>
              <w:spacing w:after="100"/>
              <w:rPr>
                <w:rFonts w:eastAsia="Times New Roman"/>
                <w:sz w:val="20"/>
                <w:szCs w:val="20"/>
              </w:rPr>
            </w:pPr>
          </w:p>
        </w:tc>
        <w:tc>
          <w:tcPr>
            <w:tcW w:w="5" w:type="pct"/>
            <w:vAlign w:val="center"/>
            <w:hideMark/>
          </w:tcPr>
          <w:p w14:paraId="446CAEA2" w14:textId="77777777" w:rsidR="00000000" w:rsidRDefault="00405D16">
            <w:pPr>
              <w:spacing w:after="100"/>
              <w:rPr>
                <w:rFonts w:eastAsia="Times New Roman"/>
                <w:sz w:val="20"/>
                <w:szCs w:val="20"/>
              </w:rPr>
            </w:pPr>
          </w:p>
        </w:tc>
      </w:tr>
      <w:tr w:rsidR="00000000" w14:paraId="1BA5A33B" w14:textId="77777777">
        <w:trPr>
          <w:divId w:val="436216700"/>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449B7A0A" w14:textId="77777777" w:rsidR="00000000" w:rsidRDefault="00405D16">
            <w:pPr>
              <w:spacing w:after="100"/>
              <w:rPr>
                <w:rFonts w:eastAsia="Times New Roman"/>
              </w:rPr>
            </w:pPr>
            <w:r>
              <w:rPr>
                <w:rFonts w:eastAsia="Times New Roman"/>
                <w:b/>
                <w:bCs/>
                <w:color w:val="000000"/>
                <w:sz w:val="20"/>
                <w:szCs w:val="20"/>
              </w:rPr>
              <w:t>NOTE 8—</w:t>
            </w:r>
            <w:r>
              <w:rPr>
                <w:rFonts w:eastAsia="Times New Roman"/>
                <w:b/>
                <w:bCs/>
                <w:color w:val="000000"/>
                <w:sz w:val="20"/>
                <w:szCs w:val="20"/>
              </w:rPr>
              <w:t>DERIVATIVE INSTRUMENTS AND HEDGING ACTIVITIES</w:t>
            </w:r>
          </w:p>
        </w:tc>
      </w:tr>
    </w:tbl>
    <w:p w14:paraId="3C73E0DB" w14:textId="77777777" w:rsidR="00000000" w:rsidRDefault="00405D16">
      <w:pPr>
        <w:divId w:val="1348871113"/>
        <w:rPr>
          <w:rFonts w:eastAsia="Times New Roman"/>
        </w:rPr>
      </w:pPr>
      <w:r>
        <w:rPr>
          <w:rFonts w:eastAsia="Times New Roman"/>
          <w:b/>
          <w:bCs/>
          <w:color w:val="000000"/>
          <w:sz w:val="20"/>
          <w:szCs w:val="20"/>
        </w:rPr>
        <w:t>Use of Derivatives and Accounting for Derivatives</w:t>
      </w:r>
    </w:p>
    <w:p w14:paraId="448603E8" w14:textId="77777777" w:rsidR="00000000" w:rsidRDefault="00405D16">
      <w:pPr>
        <w:jc w:val="both"/>
        <w:divId w:val="1801413002"/>
        <w:rPr>
          <w:rFonts w:eastAsia="Times New Roman"/>
        </w:rPr>
      </w:pPr>
      <w:r>
        <w:rPr>
          <w:rFonts w:eastAsia="Times New Roman"/>
          <w:color w:val="000000"/>
          <w:sz w:val="20"/>
          <w:szCs w:val="20"/>
        </w:rPr>
        <w:t xml:space="preserve">We regularly enter into derivative transactions to support our overall risk management activities. Our primary market risks stem from the impact on our earnings and economic value of equity due to changes in interest rates and, to a lesser extent, changes </w:t>
      </w:r>
      <w:r>
        <w:rPr>
          <w:rFonts w:eastAsia="Times New Roman"/>
          <w:color w:val="000000"/>
          <w:sz w:val="20"/>
          <w:szCs w:val="20"/>
        </w:rPr>
        <w:t>in foreign exchange rates. We manage our interest rate sensitivity by employing several techniques, which include changing the duration and re-pricing characteristics of various assets and liabilities by using interest rate derivatives. We also use foreign</w:t>
      </w:r>
      <w:r>
        <w:rPr>
          <w:rFonts w:eastAsia="Times New Roman"/>
          <w:color w:val="000000"/>
          <w:sz w:val="20"/>
          <w:szCs w:val="20"/>
        </w:rPr>
        <w:t xml:space="preserve"> currency derivatives to limit our earnings and capital exposures to foreign exchange risk by hedging exposures denominated in foreign currencies. We primarily use interest rate and foreign currency swaps to hedge, but we may also use a variety of other de</w:t>
      </w:r>
      <w:r>
        <w:rPr>
          <w:rFonts w:eastAsia="Times New Roman"/>
          <w:color w:val="000000"/>
          <w:sz w:val="20"/>
          <w:szCs w:val="20"/>
        </w:rPr>
        <w:t>rivative instruments, including caps, floors, options, futures and forward contracts, to manage our interest rate and foreign exchange risks. We designate these risk management derivatives as either qualifying accounting hedges or free-standing derivatives</w:t>
      </w:r>
      <w:r>
        <w:rPr>
          <w:rFonts w:eastAsia="Times New Roman"/>
          <w:color w:val="000000"/>
          <w:sz w:val="20"/>
          <w:szCs w:val="20"/>
        </w:rPr>
        <w:t xml:space="preserve">. Qualifying accounting hedges are further designated as fair value hedges, cash flow hedges or net investment hedges. Free-standing derivatives are economic hedges that do not qualify for hedge accounting. </w:t>
      </w:r>
    </w:p>
    <w:p w14:paraId="6450A6A8" w14:textId="77777777" w:rsidR="00000000" w:rsidRDefault="00405D16">
      <w:pPr>
        <w:jc w:val="both"/>
        <w:divId w:val="284889329"/>
        <w:rPr>
          <w:rFonts w:eastAsia="Times New Roman"/>
        </w:rPr>
      </w:pPr>
      <w:r>
        <w:rPr>
          <w:rFonts w:eastAsia="Times New Roman"/>
          <w:color w:val="000000"/>
          <w:sz w:val="20"/>
          <w:szCs w:val="20"/>
        </w:rPr>
        <w:t xml:space="preserve">We also offer interest rate, commodity, foreign </w:t>
      </w:r>
      <w:r>
        <w:rPr>
          <w:rFonts w:eastAsia="Times New Roman"/>
          <w:color w:val="000000"/>
          <w:sz w:val="20"/>
          <w:szCs w:val="20"/>
        </w:rPr>
        <w:t>currency derivatives and other contracts as an accommodation to our customers within our Commercial Banking business. We enter into these derivatives with our customers primarily to help them manage their interest rate risks, hedge their energy and other c</w:t>
      </w:r>
      <w:r>
        <w:rPr>
          <w:rFonts w:eastAsia="Times New Roman"/>
          <w:color w:val="000000"/>
          <w:sz w:val="20"/>
          <w:szCs w:val="20"/>
        </w:rPr>
        <w:t xml:space="preserve">ommodities exposures, and manage foreign currency fluctuations. We then enter into derivative contracts with counterparties to economically hedge substantially all of our subsequent exposures. </w:t>
      </w:r>
    </w:p>
    <w:p w14:paraId="051670E6" w14:textId="77777777" w:rsidR="00000000" w:rsidRDefault="00405D16">
      <w:pPr>
        <w:jc w:val="both"/>
        <w:divId w:val="2015035768"/>
        <w:rPr>
          <w:rFonts w:eastAsia="Times New Roman"/>
        </w:rPr>
      </w:pPr>
      <w:r>
        <w:rPr>
          <w:rFonts w:eastAsia="Times New Roman"/>
          <w:color w:val="000000"/>
          <w:sz w:val="20"/>
          <w:szCs w:val="20"/>
        </w:rPr>
        <w:t>See below for additional information on our use of derivatives</w:t>
      </w:r>
      <w:r>
        <w:rPr>
          <w:rFonts w:eastAsia="Times New Roman"/>
          <w:color w:val="000000"/>
          <w:sz w:val="20"/>
          <w:szCs w:val="20"/>
        </w:rPr>
        <w:t xml:space="preserve"> and how we account for them:</w:t>
      </w:r>
    </w:p>
    <w:p w14:paraId="48F5D051" w14:textId="77777777" w:rsidR="00000000" w:rsidRDefault="00405D16">
      <w:pPr>
        <w:ind w:hanging="360"/>
        <w:jc w:val="both"/>
        <w:divId w:val="1453792733"/>
        <w:rPr>
          <w:rFonts w:eastAsia="Times New Roman"/>
        </w:rPr>
      </w:pPr>
      <w:r>
        <w:rPr>
          <w:rFonts w:eastAsia="Times New Roman"/>
          <w:i/>
          <w:iCs/>
          <w:color w:val="000000"/>
          <w:sz w:val="20"/>
          <w:szCs w:val="20"/>
        </w:rPr>
        <w:t>•Fair Value Hedges:</w:t>
      </w:r>
      <w:r>
        <w:rPr>
          <w:rFonts w:eastAsia="Times New Roman"/>
          <w:color w:val="000000"/>
          <w:sz w:val="20"/>
          <w:szCs w:val="20"/>
        </w:rPr>
        <w:t xml:space="preserve"> We designate derivatives as fair value hedges when they are used to manage our exposure to changes in the fair value of certain financial assets and liabilities, which fluctuate in value as a result of move</w:t>
      </w:r>
      <w:r>
        <w:rPr>
          <w:rFonts w:eastAsia="Times New Roman"/>
          <w:color w:val="000000"/>
          <w:sz w:val="20"/>
          <w:szCs w:val="20"/>
        </w:rPr>
        <w:t>ments in interest rates. Changes in the fair value of derivatives designated as fair value hedges are presented in the same line item in our consolidated statements of income as the earnings effect of the hedged items. Our fair value hedges primarily consi</w:t>
      </w:r>
      <w:r>
        <w:rPr>
          <w:rFonts w:eastAsia="Times New Roman"/>
          <w:color w:val="000000"/>
          <w:sz w:val="20"/>
          <w:szCs w:val="20"/>
        </w:rPr>
        <w:t>st of interest rate swaps that are intended to modify our exposure to interest rate risk on various fixed-rate financial assets and liabilities.</w:t>
      </w:r>
    </w:p>
    <w:p w14:paraId="19458613" w14:textId="77777777" w:rsidR="00000000" w:rsidRDefault="00405D16">
      <w:pPr>
        <w:ind w:hanging="360"/>
        <w:jc w:val="both"/>
        <w:rPr>
          <w:rFonts w:eastAsia="Times New Roman"/>
        </w:rPr>
      </w:pPr>
      <w:r>
        <w:rPr>
          <w:rFonts w:eastAsia="Times New Roman"/>
          <w:color w:val="000000"/>
          <w:sz w:val="20"/>
          <w:szCs w:val="20"/>
        </w:rPr>
        <w:t>•</w:t>
      </w:r>
      <w:r>
        <w:rPr>
          <w:rFonts w:eastAsia="Times New Roman"/>
          <w:i/>
          <w:iCs/>
          <w:color w:val="000000"/>
          <w:sz w:val="20"/>
          <w:szCs w:val="20"/>
        </w:rPr>
        <w:t>Cash Flow Hedges:</w:t>
      </w:r>
      <w:r>
        <w:rPr>
          <w:rFonts w:eastAsia="Times New Roman"/>
          <w:color w:val="000000"/>
          <w:sz w:val="20"/>
          <w:szCs w:val="20"/>
        </w:rPr>
        <w:t xml:space="preserve"> We designate derivatives as cash flow hedges when they are used to manage our exposure to va</w:t>
      </w:r>
      <w:r>
        <w:rPr>
          <w:rFonts w:eastAsia="Times New Roman"/>
          <w:color w:val="000000"/>
          <w:sz w:val="20"/>
          <w:szCs w:val="20"/>
        </w:rPr>
        <w:t>riability in cash flows related to forecasted transactions. Changes in the fair value of derivatives designated as cash flow hedges are recorded as a component of accumulated other comprehensive income (“AOCI”). Those amounts are reclassified into earnings</w:t>
      </w:r>
      <w:r>
        <w:rPr>
          <w:rFonts w:eastAsia="Times New Roman"/>
          <w:color w:val="000000"/>
          <w:sz w:val="20"/>
          <w:szCs w:val="20"/>
        </w:rPr>
        <w:t xml:space="preserve"> in the same period during which the forecasted transactions impact earnings and presented in the same line item in our consolidated statements of income as the earnings effect of the hedged items. Our cash flow hedges use interest rate swaps and floors th</w:t>
      </w:r>
      <w:r>
        <w:rPr>
          <w:rFonts w:eastAsia="Times New Roman"/>
          <w:color w:val="000000"/>
          <w:sz w:val="20"/>
          <w:szCs w:val="20"/>
        </w:rPr>
        <w:t>at are intended to hedge the variability in interest receipts or interest payments on some of our variable-rate financial assets or liabilities. We also enter into foreign currency forward contracts to hedge our exposure to variability in cash flows relate</w:t>
      </w:r>
      <w:r>
        <w:rPr>
          <w:rFonts w:eastAsia="Times New Roman"/>
          <w:color w:val="000000"/>
          <w:sz w:val="20"/>
          <w:szCs w:val="20"/>
        </w:rPr>
        <w:t>d to intercompany borrowings denominated in foreign currencies.</w:t>
      </w:r>
    </w:p>
    <w:p w14:paraId="1B3547CB" w14:textId="77777777" w:rsidR="00000000" w:rsidRDefault="00405D16">
      <w:pPr>
        <w:ind w:hanging="360"/>
        <w:jc w:val="both"/>
        <w:divId w:val="890380938"/>
        <w:rPr>
          <w:rFonts w:eastAsia="Times New Roman"/>
        </w:rPr>
      </w:pPr>
      <w:r>
        <w:rPr>
          <w:rFonts w:eastAsia="Times New Roman"/>
          <w:color w:val="000000"/>
          <w:sz w:val="20"/>
          <w:szCs w:val="20"/>
        </w:rPr>
        <w:t>•</w:t>
      </w:r>
      <w:r>
        <w:rPr>
          <w:rFonts w:eastAsia="Times New Roman"/>
          <w:i/>
          <w:iCs/>
          <w:color w:val="000000"/>
          <w:sz w:val="20"/>
          <w:szCs w:val="20"/>
        </w:rPr>
        <w:t xml:space="preserve">Net Investment Hedges: </w:t>
      </w:r>
      <w:r>
        <w:rPr>
          <w:rFonts w:eastAsia="Times New Roman"/>
          <w:color w:val="000000"/>
          <w:sz w:val="20"/>
          <w:szCs w:val="20"/>
        </w:rPr>
        <w:t>We use net investment hedges to manage the foreign currency exposure related to our net investments in foreign operations that have functional currencies other than the</w:t>
      </w:r>
      <w:r>
        <w:rPr>
          <w:rFonts w:eastAsia="Times New Roman"/>
          <w:color w:val="000000"/>
          <w:sz w:val="20"/>
          <w:szCs w:val="20"/>
        </w:rPr>
        <w:t xml:space="preserve"> U.S. dollar. Changes in the fair value of net investment hedges are recorded in the translation adjustment component of AOCI, offsetting the translation gain or loss from those foreign operations. We execute net investment hedges using foreign currency fo</w:t>
      </w:r>
      <w:r>
        <w:rPr>
          <w:rFonts w:eastAsia="Times New Roman"/>
          <w:color w:val="000000"/>
          <w:sz w:val="20"/>
          <w:szCs w:val="20"/>
        </w:rPr>
        <w:t>rward contracts to hedge the translation exposure of the net investment in our foreign operations under the forward method.</w:t>
      </w:r>
    </w:p>
    <w:p w14:paraId="660FF5C2" w14:textId="77777777" w:rsidR="00000000" w:rsidRDefault="00405D16">
      <w:pPr>
        <w:ind w:hanging="360"/>
        <w:jc w:val="both"/>
        <w:divId w:val="152989038"/>
        <w:rPr>
          <w:rFonts w:eastAsia="Times New Roman"/>
        </w:rPr>
      </w:pPr>
      <w:r>
        <w:rPr>
          <w:rFonts w:eastAsia="Times New Roman"/>
          <w:i/>
          <w:iCs/>
          <w:color w:val="000000"/>
          <w:sz w:val="20"/>
          <w:szCs w:val="20"/>
        </w:rPr>
        <w:t>•Free-Standing Derivatives:</w:t>
      </w:r>
      <w:r>
        <w:rPr>
          <w:rFonts w:eastAsia="Times New Roman"/>
          <w:color w:val="000000"/>
          <w:sz w:val="20"/>
          <w:szCs w:val="20"/>
        </w:rPr>
        <w:t xml:space="preserve"> Our free-standing derivatives primarily consist of our customer accommodation derivatives and other econ</w:t>
      </w:r>
      <w:r>
        <w:rPr>
          <w:rFonts w:eastAsia="Times New Roman"/>
          <w:color w:val="000000"/>
          <w:sz w:val="20"/>
          <w:szCs w:val="20"/>
        </w:rPr>
        <w:t>omic hedges. The customer accommodation derivatives and the related offsetting contracts are mainly interest rate, commodity and foreign currency contracts. The other free-standing derivatives are primarily used to economically hedge the risk of changes in</w:t>
      </w:r>
      <w:r>
        <w:rPr>
          <w:rFonts w:eastAsia="Times New Roman"/>
          <w:color w:val="000000"/>
          <w:sz w:val="20"/>
          <w:szCs w:val="20"/>
        </w:rPr>
        <w:t xml:space="preserve"> the fair value of our commercial mortgage loan origination and purchase commitments as well as other interests held. Changes in the fair value of free-standing derivatives are recorded in earnings as a component of other non-interest income.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78C9C560" w14:textId="77777777">
        <w:trPr>
          <w:divId w:val="1748575294"/>
          <w:jc w:val="center"/>
        </w:trPr>
        <w:tc>
          <w:tcPr>
            <w:tcW w:w="50" w:type="pct"/>
            <w:vAlign w:val="center"/>
            <w:hideMark/>
          </w:tcPr>
          <w:p w14:paraId="0D540A77" w14:textId="77777777" w:rsidR="00000000" w:rsidRDefault="00405D16">
            <w:pPr>
              <w:ind w:hanging="360"/>
              <w:jc w:val="both"/>
              <w:rPr>
                <w:rFonts w:eastAsia="Times New Roman"/>
              </w:rPr>
            </w:pPr>
          </w:p>
        </w:tc>
        <w:tc>
          <w:tcPr>
            <w:tcW w:w="1606" w:type="pct"/>
            <w:vAlign w:val="center"/>
            <w:hideMark/>
          </w:tcPr>
          <w:p w14:paraId="6C223BCA" w14:textId="77777777" w:rsidR="00000000" w:rsidRDefault="00405D16">
            <w:pPr>
              <w:spacing w:after="100"/>
              <w:rPr>
                <w:rFonts w:eastAsia="Times New Roman"/>
                <w:sz w:val="20"/>
                <w:szCs w:val="20"/>
              </w:rPr>
            </w:pPr>
          </w:p>
        </w:tc>
        <w:tc>
          <w:tcPr>
            <w:tcW w:w="5" w:type="pct"/>
            <w:vAlign w:val="center"/>
            <w:hideMark/>
          </w:tcPr>
          <w:p w14:paraId="785C95F0" w14:textId="77777777" w:rsidR="00000000" w:rsidRDefault="00405D16">
            <w:pPr>
              <w:spacing w:after="100"/>
              <w:rPr>
                <w:rFonts w:eastAsia="Times New Roman"/>
                <w:sz w:val="20"/>
                <w:szCs w:val="20"/>
              </w:rPr>
            </w:pPr>
          </w:p>
        </w:tc>
        <w:tc>
          <w:tcPr>
            <w:tcW w:w="50" w:type="pct"/>
            <w:vAlign w:val="center"/>
            <w:hideMark/>
          </w:tcPr>
          <w:p w14:paraId="12F10536" w14:textId="77777777" w:rsidR="00000000" w:rsidRDefault="00405D16">
            <w:pPr>
              <w:spacing w:after="100"/>
              <w:rPr>
                <w:rFonts w:eastAsia="Times New Roman"/>
                <w:sz w:val="20"/>
                <w:szCs w:val="20"/>
              </w:rPr>
            </w:pPr>
          </w:p>
        </w:tc>
        <w:tc>
          <w:tcPr>
            <w:tcW w:w="1614" w:type="pct"/>
            <w:vAlign w:val="center"/>
            <w:hideMark/>
          </w:tcPr>
          <w:p w14:paraId="4361A72F" w14:textId="77777777" w:rsidR="00000000" w:rsidRDefault="00405D16">
            <w:pPr>
              <w:spacing w:after="100"/>
              <w:rPr>
                <w:rFonts w:eastAsia="Times New Roman"/>
                <w:sz w:val="20"/>
                <w:szCs w:val="20"/>
              </w:rPr>
            </w:pPr>
          </w:p>
        </w:tc>
        <w:tc>
          <w:tcPr>
            <w:tcW w:w="5" w:type="pct"/>
            <w:vAlign w:val="center"/>
            <w:hideMark/>
          </w:tcPr>
          <w:p w14:paraId="14578341" w14:textId="77777777" w:rsidR="00000000" w:rsidRDefault="00405D16">
            <w:pPr>
              <w:spacing w:after="100"/>
              <w:rPr>
                <w:rFonts w:eastAsia="Times New Roman"/>
                <w:sz w:val="20"/>
                <w:szCs w:val="20"/>
              </w:rPr>
            </w:pPr>
          </w:p>
        </w:tc>
        <w:tc>
          <w:tcPr>
            <w:tcW w:w="50" w:type="pct"/>
            <w:vAlign w:val="center"/>
            <w:hideMark/>
          </w:tcPr>
          <w:p w14:paraId="7C530B88" w14:textId="77777777" w:rsidR="00000000" w:rsidRDefault="00405D16">
            <w:pPr>
              <w:spacing w:after="100"/>
              <w:rPr>
                <w:rFonts w:eastAsia="Times New Roman"/>
                <w:sz w:val="20"/>
                <w:szCs w:val="20"/>
              </w:rPr>
            </w:pPr>
          </w:p>
        </w:tc>
        <w:tc>
          <w:tcPr>
            <w:tcW w:w="1614" w:type="pct"/>
            <w:vAlign w:val="center"/>
            <w:hideMark/>
          </w:tcPr>
          <w:p w14:paraId="18EE6615" w14:textId="77777777" w:rsidR="00000000" w:rsidRDefault="00405D16">
            <w:pPr>
              <w:spacing w:after="100"/>
              <w:rPr>
                <w:rFonts w:eastAsia="Times New Roman"/>
                <w:sz w:val="20"/>
                <w:szCs w:val="20"/>
              </w:rPr>
            </w:pPr>
          </w:p>
        </w:tc>
        <w:tc>
          <w:tcPr>
            <w:tcW w:w="5" w:type="pct"/>
            <w:vAlign w:val="center"/>
            <w:hideMark/>
          </w:tcPr>
          <w:p w14:paraId="0CCEE8E8" w14:textId="77777777" w:rsidR="00000000" w:rsidRDefault="00405D16">
            <w:pPr>
              <w:spacing w:after="100"/>
              <w:rPr>
                <w:rFonts w:eastAsia="Times New Roman"/>
                <w:sz w:val="20"/>
                <w:szCs w:val="20"/>
              </w:rPr>
            </w:pPr>
          </w:p>
        </w:tc>
      </w:tr>
      <w:tr w:rsidR="00000000" w14:paraId="492D5C12" w14:textId="77777777">
        <w:trPr>
          <w:divId w:val="1748575294"/>
          <w:trHeight w:val="300"/>
          <w:jc w:val="center"/>
        </w:trPr>
        <w:tc>
          <w:tcPr>
            <w:tcW w:w="0" w:type="auto"/>
            <w:gridSpan w:val="9"/>
            <w:tcMar>
              <w:top w:w="0" w:type="dxa"/>
              <w:left w:w="20" w:type="dxa"/>
              <w:bottom w:w="0" w:type="dxa"/>
              <w:right w:w="20" w:type="dxa"/>
            </w:tcMar>
            <w:vAlign w:val="center"/>
            <w:hideMark/>
          </w:tcPr>
          <w:p w14:paraId="6FA5DD72" w14:textId="77777777" w:rsidR="00000000" w:rsidRDefault="00405D16">
            <w:pPr>
              <w:spacing w:after="100"/>
              <w:rPr>
                <w:rFonts w:eastAsia="Times New Roman"/>
                <w:sz w:val="20"/>
                <w:szCs w:val="20"/>
              </w:rPr>
            </w:pPr>
          </w:p>
        </w:tc>
      </w:tr>
      <w:tr w:rsidR="00000000" w14:paraId="341FD559" w14:textId="77777777">
        <w:trPr>
          <w:divId w:val="1748575294"/>
          <w:jc w:val="center"/>
        </w:trPr>
        <w:tc>
          <w:tcPr>
            <w:tcW w:w="0" w:type="auto"/>
            <w:gridSpan w:val="3"/>
            <w:tcMar>
              <w:top w:w="0" w:type="dxa"/>
              <w:left w:w="20" w:type="dxa"/>
              <w:bottom w:w="0" w:type="dxa"/>
              <w:right w:w="20" w:type="dxa"/>
            </w:tcMar>
            <w:vAlign w:val="center"/>
            <w:hideMark/>
          </w:tcPr>
          <w:p w14:paraId="6C31E98A"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1D94C84" w14:textId="77777777" w:rsidR="00000000" w:rsidRDefault="00405D16">
            <w:pPr>
              <w:spacing w:after="100"/>
              <w:jc w:val="center"/>
              <w:rPr>
                <w:rFonts w:eastAsia="Times New Roman"/>
              </w:rPr>
            </w:pPr>
            <w:r>
              <w:rPr>
                <w:rFonts w:eastAsia="Times New Roman"/>
                <w:color w:val="000000"/>
                <w:sz w:val="16"/>
                <w:szCs w:val="16"/>
              </w:rPr>
              <w:t>102</w:t>
            </w:r>
          </w:p>
        </w:tc>
        <w:tc>
          <w:tcPr>
            <w:tcW w:w="0" w:type="auto"/>
            <w:gridSpan w:val="3"/>
            <w:tcMar>
              <w:top w:w="30" w:type="dxa"/>
              <w:left w:w="20" w:type="dxa"/>
              <w:bottom w:w="30" w:type="dxa"/>
              <w:right w:w="20" w:type="dxa"/>
            </w:tcMar>
            <w:vAlign w:val="bottom"/>
            <w:hideMark/>
          </w:tcPr>
          <w:p w14:paraId="185947AF"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444889D4" w14:textId="77777777" w:rsidR="00000000" w:rsidRDefault="00405D16">
      <w:pPr>
        <w:rPr>
          <w:rFonts w:eastAsia="Times New Roman"/>
        </w:rPr>
      </w:pPr>
      <w:r>
        <w:rPr>
          <w:rFonts w:eastAsia="Times New Roman"/>
        </w:rPr>
        <w:pict w14:anchorId="3AA7FF06">
          <v:rect id="_x0000_i1127" style="width:0;height:1.5pt" o:hralign="center" o:hrstd="t" o:hr="t" fillcolor="#a0a0a0" stroked="f"/>
        </w:pict>
      </w:r>
    </w:p>
    <w:p w14:paraId="2DDC6355" w14:textId="77777777" w:rsidR="00000000" w:rsidRDefault="00405D16">
      <w:pPr>
        <w:jc w:val="both"/>
        <w:divId w:val="362830839"/>
        <w:rPr>
          <w:rFonts w:eastAsia="Times New Roman"/>
        </w:rPr>
      </w:pPr>
      <w:hyperlink w:anchor="idd54a04a485440b4ab4e56094c14d612_13" w:history="1">
        <w:r>
          <w:rPr>
            <w:rStyle w:val="a3"/>
            <w:rFonts w:eastAsia="Times New Roman"/>
            <w:sz w:val="16"/>
            <w:szCs w:val="16"/>
          </w:rPr>
          <w:t>Table of Contents</w:t>
        </w:r>
      </w:hyperlink>
    </w:p>
    <w:p w14:paraId="7ADB7B22" w14:textId="77777777" w:rsidR="00000000" w:rsidRDefault="00405D16">
      <w:pPr>
        <w:jc w:val="center"/>
        <w:divId w:val="362830839"/>
        <w:rPr>
          <w:rFonts w:eastAsia="Times New Roman"/>
        </w:rPr>
      </w:pPr>
    </w:p>
    <w:p w14:paraId="510FBD96" w14:textId="77777777" w:rsidR="00000000" w:rsidRDefault="00405D16">
      <w:pPr>
        <w:divId w:val="627125200"/>
        <w:rPr>
          <w:rFonts w:eastAsia="Times New Roman"/>
        </w:rPr>
      </w:pPr>
      <w:r>
        <w:rPr>
          <w:rFonts w:eastAsia="Times New Roman"/>
          <w:b/>
          <w:bCs/>
          <w:color w:val="000000"/>
          <w:sz w:val="20"/>
          <w:szCs w:val="20"/>
        </w:rPr>
        <w:t>Derivatives Counterparty Credit Risk</w:t>
      </w:r>
    </w:p>
    <w:p w14:paraId="63E9159B" w14:textId="77777777" w:rsidR="00000000" w:rsidRDefault="00405D16">
      <w:pPr>
        <w:divId w:val="1843356476"/>
        <w:rPr>
          <w:rFonts w:eastAsia="Times New Roman"/>
        </w:rPr>
      </w:pPr>
      <w:r>
        <w:rPr>
          <w:rFonts w:eastAsia="Times New Roman"/>
          <w:b/>
          <w:bCs/>
          <w:i/>
          <w:iCs/>
          <w:color w:val="000000"/>
          <w:sz w:val="20"/>
          <w:szCs w:val="20"/>
        </w:rPr>
        <w:t>Counterparty Types</w:t>
      </w:r>
    </w:p>
    <w:p w14:paraId="7FEECDA5" w14:textId="77777777" w:rsidR="00000000" w:rsidRDefault="00405D16">
      <w:pPr>
        <w:jc w:val="both"/>
        <w:divId w:val="614410373"/>
        <w:rPr>
          <w:rFonts w:eastAsia="Times New Roman"/>
        </w:rPr>
      </w:pPr>
      <w:r>
        <w:rPr>
          <w:rFonts w:eastAsia="Times New Roman"/>
          <w:color w:val="000000"/>
          <w:sz w:val="20"/>
          <w:szCs w:val="20"/>
        </w:rPr>
        <w:t>Derivative instruments contain an element of credit risk that arises from the potenti</w:t>
      </w:r>
      <w:r>
        <w:rPr>
          <w:rFonts w:eastAsia="Times New Roman"/>
          <w:color w:val="000000"/>
          <w:sz w:val="20"/>
          <w:szCs w:val="20"/>
        </w:rPr>
        <w:t>al failure of a counterparty to perform according to the terms of the contract, including making payments due upon maturity of certain derivative instruments. We execute our derivative contracts primarily in over-the-counter (“OTC”) markets. We also execut</w:t>
      </w:r>
      <w:r>
        <w:rPr>
          <w:rFonts w:eastAsia="Times New Roman"/>
          <w:color w:val="000000"/>
          <w:sz w:val="20"/>
          <w:szCs w:val="20"/>
        </w:rPr>
        <w:t>e interest rate and commodity futures in the exchange-traded derivative markets. Our OTC derivatives consist of both trades cleared through central counterparty clearinghouses (“CCPs”) and uncleared bilateral contracts. The Chicago Mercantile Exchange (“CM</w:t>
      </w:r>
      <w:r>
        <w:rPr>
          <w:rFonts w:eastAsia="Times New Roman"/>
          <w:color w:val="000000"/>
          <w:sz w:val="20"/>
          <w:szCs w:val="20"/>
        </w:rPr>
        <w:t xml:space="preserve">E”), the Intercontinental Exchange (“ICE”) and the LCH Group (“LCH”) are our CCPs for our centrally cleared contracts. In our uncleared bilateral contracts, we enter into agreements directly with our derivative counterparties. </w:t>
      </w:r>
    </w:p>
    <w:p w14:paraId="07543A31" w14:textId="77777777" w:rsidR="00000000" w:rsidRDefault="00405D16">
      <w:pPr>
        <w:divId w:val="16779516"/>
        <w:rPr>
          <w:rFonts w:eastAsia="Times New Roman"/>
        </w:rPr>
      </w:pPr>
      <w:r>
        <w:rPr>
          <w:rFonts w:eastAsia="Times New Roman"/>
          <w:b/>
          <w:bCs/>
          <w:i/>
          <w:iCs/>
          <w:color w:val="000000"/>
          <w:sz w:val="20"/>
          <w:szCs w:val="20"/>
        </w:rPr>
        <w:t>Counterparty Credit Risk Man</w:t>
      </w:r>
      <w:r>
        <w:rPr>
          <w:rFonts w:eastAsia="Times New Roman"/>
          <w:b/>
          <w:bCs/>
          <w:i/>
          <w:iCs/>
          <w:color w:val="000000"/>
          <w:sz w:val="20"/>
          <w:szCs w:val="20"/>
        </w:rPr>
        <w:t>agement</w:t>
      </w:r>
    </w:p>
    <w:p w14:paraId="45491808" w14:textId="77777777" w:rsidR="00000000" w:rsidRDefault="00405D16">
      <w:pPr>
        <w:jc w:val="both"/>
        <w:divId w:val="1198160113"/>
        <w:rPr>
          <w:rFonts w:eastAsia="Times New Roman"/>
        </w:rPr>
      </w:pPr>
      <w:r>
        <w:rPr>
          <w:rFonts w:eastAsia="Times New Roman"/>
          <w:color w:val="000000"/>
          <w:sz w:val="20"/>
          <w:szCs w:val="20"/>
        </w:rPr>
        <w:t>We manage the counterparty credit risk associated with derivative instruments by entering into legally enforceable master netting arrangements, where possible, and exchanging collateral with our counterparties, typically in the form of cash or high-quality</w:t>
      </w:r>
      <w:r>
        <w:rPr>
          <w:rFonts w:eastAsia="Times New Roman"/>
          <w:color w:val="000000"/>
          <w:sz w:val="20"/>
          <w:szCs w:val="20"/>
        </w:rPr>
        <w:t xml:space="preserve"> liquid securities. The amount of collateral exchanged is dependent upon the fair value of the derivative instruments as well as the fair value of the pledged collateral and will vary over time as market variables change. When valuing collateral, an estima</w:t>
      </w:r>
      <w:r>
        <w:rPr>
          <w:rFonts w:eastAsia="Times New Roman"/>
          <w:color w:val="000000"/>
          <w:sz w:val="20"/>
          <w:szCs w:val="20"/>
        </w:rPr>
        <w:t>te of the variation in price and liquidity over time is subtracted in the form of a “haircut” to discount the value of the collateral pledged. Our exposure to derivative counterparty credit risk, at any point in time, is equal to the amount reported as a d</w:t>
      </w:r>
      <w:r>
        <w:rPr>
          <w:rFonts w:eastAsia="Times New Roman"/>
          <w:color w:val="000000"/>
          <w:sz w:val="20"/>
          <w:szCs w:val="20"/>
        </w:rPr>
        <w:t>erivative asset on our balance sheet. The fair value of our derivatives is adjusted on an aggregate basis to take into consideration the effects of legally enforceable master netting agreements and any associated cash collateral received or pledged. See Ta</w:t>
      </w:r>
      <w:r>
        <w:rPr>
          <w:rFonts w:eastAsia="Times New Roman"/>
          <w:color w:val="000000"/>
          <w:sz w:val="20"/>
          <w:szCs w:val="20"/>
        </w:rPr>
        <w:t xml:space="preserve">ble 8.3 for our net exposure associated with derivatives. </w:t>
      </w:r>
    </w:p>
    <w:p w14:paraId="202BC785" w14:textId="77777777" w:rsidR="00000000" w:rsidRDefault="00405D16">
      <w:pPr>
        <w:jc w:val="both"/>
        <w:divId w:val="1833596011"/>
        <w:rPr>
          <w:rFonts w:eastAsia="Times New Roman"/>
        </w:rPr>
      </w:pPr>
      <w:r>
        <w:rPr>
          <w:rFonts w:eastAsia="Times New Roman"/>
          <w:color w:val="000000"/>
          <w:sz w:val="20"/>
          <w:szCs w:val="20"/>
        </w:rPr>
        <w:t>The terms under which we collateralize our exposures differ between cleared exposures and uncleared bilateral exposures.</w:t>
      </w:r>
    </w:p>
    <w:p w14:paraId="4A920046" w14:textId="77777777" w:rsidR="00000000" w:rsidRDefault="00405D16">
      <w:pPr>
        <w:ind w:hanging="360"/>
        <w:jc w:val="both"/>
        <w:divId w:val="1471632803"/>
        <w:rPr>
          <w:rFonts w:eastAsia="Times New Roman"/>
        </w:rPr>
      </w:pPr>
      <w:r>
        <w:rPr>
          <w:rFonts w:eastAsia="Times New Roman"/>
          <w:color w:val="000000"/>
          <w:sz w:val="20"/>
          <w:szCs w:val="20"/>
        </w:rPr>
        <w:t>•</w:t>
      </w:r>
      <w:r>
        <w:rPr>
          <w:rFonts w:eastAsia="Times New Roman"/>
          <w:i/>
          <w:iCs/>
          <w:color w:val="000000"/>
          <w:sz w:val="20"/>
          <w:szCs w:val="20"/>
        </w:rPr>
        <w:t>CCPs</w:t>
      </w:r>
      <w:r>
        <w:rPr>
          <w:rFonts w:eastAsia="Times New Roman"/>
          <w:color w:val="000000"/>
          <w:sz w:val="20"/>
          <w:szCs w:val="20"/>
        </w:rPr>
        <w:t>: We clear eligible OTC derivatives with CCPs as part of our regulatory</w:t>
      </w:r>
      <w:r>
        <w:rPr>
          <w:rFonts w:eastAsia="Times New Roman"/>
          <w:color w:val="000000"/>
          <w:sz w:val="20"/>
          <w:szCs w:val="20"/>
        </w:rPr>
        <w:t xml:space="preserve"> requirements. Futures commission merchants (“FCMs”) serve as the intermediary between CCPs and us. CCPs require that we post initial and variation margin through our FCMs to mitigate the risk of non-payment or default. Initial margin is required upfront b</w:t>
      </w:r>
      <w:r>
        <w:rPr>
          <w:rFonts w:eastAsia="Times New Roman"/>
          <w:color w:val="000000"/>
          <w:sz w:val="20"/>
          <w:szCs w:val="20"/>
        </w:rPr>
        <w:t>y CCPs as collateral against potential losses on our cleared derivative contracts and variation margin is exchanged on a daily basis to account for mark-to-market changes in those derivative contracts. For CME, ICE and LCH-cleared OTC derivatives, we chara</w:t>
      </w:r>
      <w:r>
        <w:rPr>
          <w:rFonts w:eastAsia="Times New Roman"/>
          <w:color w:val="000000"/>
          <w:sz w:val="20"/>
          <w:szCs w:val="20"/>
        </w:rPr>
        <w:t xml:space="preserve">cterize variation margin cash payments as settlements. Our FCM agreements governing these derivative transactions include provisions that may require us to post additional collateral under certain circumstances. </w:t>
      </w:r>
    </w:p>
    <w:p w14:paraId="5E2157CB" w14:textId="77777777" w:rsidR="00000000" w:rsidRDefault="00405D16">
      <w:pPr>
        <w:ind w:hanging="360"/>
        <w:jc w:val="both"/>
        <w:divId w:val="1839886263"/>
        <w:rPr>
          <w:rFonts w:eastAsia="Times New Roman"/>
        </w:rPr>
      </w:pPr>
      <w:r>
        <w:rPr>
          <w:rFonts w:eastAsia="Times New Roman"/>
          <w:color w:val="000000"/>
          <w:sz w:val="20"/>
          <w:szCs w:val="20"/>
        </w:rPr>
        <w:t>•</w:t>
      </w:r>
      <w:r>
        <w:rPr>
          <w:rFonts w:eastAsia="Times New Roman"/>
          <w:i/>
          <w:iCs/>
          <w:color w:val="000000"/>
          <w:sz w:val="20"/>
          <w:szCs w:val="20"/>
        </w:rPr>
        <w:t>Bilateral Counterparties</w:t>
      </w:r>
      <w:r>
        <w:rPr>
          <w:rFonts w:eastAsia="Times New Roman"/>
          <w:color w:val="000000"/>
          <w:sz w:val="20"/>
          <w:szCs w:val="20"/>
        </w:rPr>
        <w:t>: We enter into le</w:t>
      </w:r>
      <w:r>
        <w:rPr>
          <w:rFonts w:eastAsia="Times New Roman"/>
          <w:color w:val="000000"/>
          <w:sz w:val="20"/>
          <w:szCs w:val="20"/>
        </w:rPr>
        <w:t>gally enforceable master netting agreements and collateral agreements, where possible, with bilateral derivative counterparties to mitigate the risk of default. We review our collateral positions on a daily basis and exchange collateral with our counterpar</w:t>
      </w:r>
      <w:r>
        <w:rPr>
          <w:rFonts w:eastAsia="Times New Roman"/>
          <w:color w:val="000000"/>
          <w:sz w:val="20"/>
          <w:szCs w:val="20"/>
        </w:rPr>
        <w:t>ties in accordance with these agreements. These bilateral agreements typically provide the right to offset exposure with the same counterparty and require the party in a net liability position to post collateral. Agreements with certain bilateral counterpa</w:t>
      </w:r>
      <w:r>
        <w:rPr>
          <w:rFonts w:eastAsia="Times New Roman"/>
          <w:color w:val="000000"/>
          <w:sz w:val="20"/>
          <w:szCs w:val="20"/>
        </w:rPr>
        <w:t>rties require both parties to maintain collateral in the event the fair values of derivative instruments exceed established exposure thresholds. Certain of these bilateral agreements include provisions requiring that our debt maintain a credit rating of in</w:t>
      </w:r>
      <w:r>
        <w:rPr>
          <w:rFonts w:eastAsia="Times New Roman"/>
          <w:color w:val="000000"/>
          <w:sz w:val="20"/>
          <w:szCs w:val="20"/>
        </w:rPr>
        <w:t>vestment grade or above by each of the major credit rating agencies. In the event of a downgrade of our debt credit rating below investment grade, some of our counterparties would have the right to terminate their derivative contract and close out existing</w:t>
      </w:r>
      <w:r>
        <w:rPr>
          <w:rFonts w:eastAsia="Times New Roman"/>
          <w:color w:val="000000"/>
          <w:sz w:val="20"/>
          <w:szCs w:val="20"/>
        </w:rPr>
        <w:t xml:space="preserve"> positions. </w:t>
      </w:r>
    </w:p>
    <w:p w14:paraId="4031E2D5" w14:textId="77777777" w:rsidR="00000000" w:rsidRDefault="00405D16">
      <w:pPr>
        <w:divId w:val="1713114875"/>
        <w:rPr>
          <w:rFonts w:eastAsia="Times New Roman"/>
        </w:rPr>
      </w:pPr>
      <w:r>
        <w:rPr>
          <w:rFonts w:eastAsia="Times New Roman"/>
          <w:b/>
          <w:bCs/>
          <w:color w:val="000000"/>
          <w:sz w:val="20"/>
          <w:szCs w:val="20"/>
        </w:rPr>
        <w:t>Credit Risk Valuation Adjustments</w:t>
      </w:r>
    </w:p>
    <w:p w14:paraId="54D7E849" w14:textId="77777777" w:rsidR="00000000" w:rsidRDefault="00405D16">
      <w:pPr>
        <w:jc w:val="both"/>
        <w:divId w:val="787700546"/>
        <w:rPr>
          <w:rFonts w:eastAsia="Times New Roman"/>
        </w:rPr>
      </w:pPr>
      <w:r>
        <w:rPr>
          <w:rFonts w:eastAsia="Times New Roman"/>
          <w:color w:val="000000"/>
          <w:sz w:val="20"/>
          <w:szCs w:val="20"/>
        </w:rPr>
        <w:t>We record counterparty credit valuation adjustments (“CVAs”) on our derivative assets to reflect the credit quality of our counterparties. We consider collateral and legally enforceable master netting agreemen</w:t>
      </w:r>
      <w:r>
        <w:rPr>
          <w:rFonts w:eastAsia="Times New Roman"/>
          <w:color w:val="000000"/>
          <w:sz w:val="20"/>
          <w:szCs w:val="20"/>
        </w:rPr>
        <w:t>ts that mitigate our credit exposure to each counterparty in determining CVAs, which may be adjusted due to changes in the fair values of the derivative contracts, collateral, and creditworthiness of the counterparty. We also record debit valuation adjustm</w:t>
      </w:r>
      <w:r>
        <w:rPr>
          <w:rFonts w:eastAsia="Times New Roman"/>
          <w:color w:val="000000"/>
          <w:sz w:val="20"/>
          <w:szCs w:val="20"/>
        </w:rPr>
        <w:t xml:space="preserve">ents (“DVAs”) to adjust the fair values of our derivative liabilities to reflect the impact of our own credit quality.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40B46C65" w14:textId="77777777">
        <w:trPr>
          <w:divId w:val="157155818"/>
          <w:jc w:val="center"/>
        </w:trPr>
        <w:tc>
          <w:tcPr>
            <w:tcW w:w="50" w:type="pct"/>
            <w:vAlign w:val="center"/>
            <w:hideMark/>
          </w:tcPr>
          <w:p w14:paraId="79F7095D" w14:textId="77777777" w:rsidR="00000000" w:rsidRDefault="00405D16">
            <w:pPr>
              <w:jc w:val="both"/>
              <w:rPr>
                <w:rFonts w:eastAsia="Times New Roman"/>
              </w:rPr>
            </w:pPr>
          </w:p>
        </w:tc>
        <w:tc>
          <w:tcPr>
            <w:tcW w:w="1606" w:type="pct"/>
            <w:vAlign w:val="center"/>
            <w:hideMark/>
          </w:tcPr>
          <w:p w14:paraId="152F349E" w14:textId="77777777" w:rsidR="00000000" w:rsidRDefault="00405D16">
            <w:pPr>
              <w:spacing w:after="100"/>
              <w:rPr>
                <w:rFonts w:eastAsia="Times New Roman"/>
                <w:sz w:val="20"/>
                <w:szCs w:val="20"/>
              </w:rPr>
            </w:pPr>
          </w:p>
        </w:tc>
        <w:tc>
          <w:tcPr>
            <w:tcW w:w="5" w:type="pct"/>
            <w:vAlign w:val="center"/>
            <w:hideMark/>
          </w:tcPr>
          <w:p w14:paraId="4F024061" w14:textId="77777777" w:rsidR="00000000" w:rsidRDefault="00405D16">
            <w:pPr>
              <w:spacing w:after="100"/>
              <w:rPr>
                <w:rFonts w:eastAsia="Times New Roman"/>
                <w:sz w:val="20"/>
                <w:szCs w:val="20"/>
              </w:rPr>
            </w:pPr>
          </w:p>
        </w:tc>
        <w:tc>
          <w:tcPr>
            <w:tcW w:w="50" w:type="pct"/>
            <w:vAlign w:val="center"/>
            <w:hideMark/>
          </w:tcPr>
          <w:p w14:paraId="246C9ECF" w14:textId="77777777" w:rsidR="00000000" w:rsidRDefault="00405D16">
            <w:pPr>
              <w:spacing w:after="100"/>
              <w:rPr>
                <w:rFonts w:eastAsia="Times New Roman"/>
                <w:sz w:val="20"/>
                <w:szCs w:val="20"/>
              </w:rPr>
            </w:pPr>
          </w:p>
        </w:tc>
        <w:tc>
          <w:tcPr>
            <w:tcW w:w="1614" w:type="pct"/>
            <w:vAlign w:val="center"/>
            <w:hideMark/>
          </w:tcPr>
          <w:p w14:paraId="76152F4E" w14:textId="77777777" w:rsidR="00000000" w:rsidRDefault="00405D16">
            <w:pPr>
              <w:spacing w:after="100"/>
              <w:rPr>
                <w:rFonts w:eastAsia="Times New Roman"/>
                <w:sz w:val="20"/>
                <w:szCs w:val="20"/>
              </w:rPr>
            </w:pPr>
          </w:p>
        </w:tc>
        <w:tc>
          <w:tcPr>
            <w:tcW w:w="5" w:type="pct"/>
            <w:vAlign w:val="center"/>
            <w:hideMark/>
          </w:tcPr>
          <w:p w14:paraId="25C4C7D0" w14:textId="77777777" w:rsidR="00000000" w:rsidRDefault="00405D16">
            <w:pPr>
              <w:spacing w:after="100"/>
              <w:rPr>
                <w:rFonts w:eastAsia="Times New Roman"/>
                <w:sz w:val="20"/>
                <w:szCs w:val="20"/>
              </w:rPr>
            </w:pPr>
          </w:p>
        </w:tc>
        <w:tc>
          <w:tcPr>
            <w:tcW w:w="50" w:type="pct"/>
            <w:vAlign w:val="center"/>
            <w:hideMark/>
          </w:tcPr>
          <w:p w14:paraId="09322F70" w14:textId="77777777" w:rsidR="00000000" w:rsidRDefault="00405D16">
            <w:pPr>
              <w:spacing w:after="100"/>
              <w:rPr>
                <w:rFonts w:eastAsia="Times New Roman"/>
                <w:sz w:val="20"/>
                <w:szCs w:val="20"/>
              </w:rPr>
            </w:pPr>
          </w:p>
        </w:tc>
        <w:tc>
          <w:tcPr>
            <w:tcW w:w="1614" w:type="pct"/>
            <w:vAlign w:val="center"/>
            <w:hideMark/>
          </w:tcPr>
          <w:p w14:paraId="655289FE" w14:textId="77777777" w:rsidR="00000000" w:rsidRDefault="00405D16">
            <w:pPr>
              <w:spacing w:after="100"/>
              <w:rPr>
                <w:rFonts w:eastAsia="Times New Roman"/>
                <w:sz w:val="20"/>
                <w:szCs w:val="20"/>
              </w:rPr>
            </w:pPr>
          </w:p>
        </w:tc>
        <w:tc>
          <w:tcPr>
            <w:tcW w:w="5" w:type="pct"/>
            <w:vAlign w:val="center"/>
            <w:hideMark/>
          </w:tcPr>
          <w:p w14:paraId="2A84B8DB" w14:textId="77777777" w:rsidR="00000000" w:rsidRDefault="00405D16">
            <w:pPr>
              <w:spacing w:after="100"/>
              <w:rPr>
                <w:rFonts w:eastAsia="Times New Roman"/>
                <w:sz w:val="20"/>
                <w:szCs w:val="20"/>
              </w:rPr>
            </w:pPr>
          </w:p>
        </w:tc>
      </w:tr>
      <w:tr w:rsidR="00000000" w14:paraId="313B0987" w14:textId="77777777">
        <w:trPr>
          <w:divId w:val="157155818"/>
          <w:trHeight w:val="300"/>
          <w:jc w:val="center"/>
        </w:trPr>
        <w:tc>
          <w:tcPr>
            <w:tcW w:w="0" w:type="auto"/>
            <w:gridSpan w:val="9"/>
            <w:tcMar>
              <w:top w:w="0" w:type="dxa"/>
              <w:left w:w="20" w:type="dxa"/>
              <w:bottom w:w="0" w:type="dxa"/>
              <w:right w:w="20" w:type="dxa"/>
            </w:tcMar>
            <w:vAlign w:val="center"/>
            <w:hideMark/>
          </w:tcPr>
          <w:p w14:paraId="64AF396D" w14:textId="77777777" w:rsidR="00000000" w:rsidRDefault="00405D16">
            <w:pPr>
              <w:spacing w:after="100"/>
              <w:rPr>
                <w:rFonts w:eastAsia="Times New Roman"/>
                <w:sz w:val="20"/>
                <w:szCs w:val="20"/>
              </w:rPr>
            </w:pPr>
          </w:p>
        </w:tc>
      </w:tr>
      <w:tr w:rsidR="00000000" w14:paraId="1A524DCA" w14:textId="77777777">
        <w:trPr>
          <w:divId w:val="157155818"/>
          <w:jc w:val="center"/>
        </w:trPr>
        <w:tc>
          <w:tcPr>
            <w:tcW w:w="0" w:type="auto"/>
            <w:gridSpan w:val="3"/>
            <w:tcMar>
              <w:top w:w="0" w:type="dxa"/>
              <w:left w:w="20" w:type="dxa"/>
              <w:bottom w:w="0" w:type="dxa"/>
              <w:right w:w="20" w:type="dxa"/>
            </w:tcMar>
            <w:vAlign w:val="center"/>
            <w:hideMark/>
          </w:tcPr>
          <w:p w14:paraId="40E94E58"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16F58B0" w14:textId="77777777" w:rsidR="00000000" w:rsidRDefault="00405D16">
            <w:pPr>
              <w:spacing w:after="100"/>
              <w:jc w:val="center"/>
              <w:rPr>
                <w:rFonts w:eastAsia="Times New Roman"/>
              </w:rPr>
            </w:pPr>
            <w:r>
              <w:rPr>
                <w:rFonts w:eastAsia="Times New Roman"/>
                <w:color w:val="000000"/>
                <w:sz w:val="16"/>
                <w:szCs w:val="16"/>
              </w:rPr>
              <w:t>103</w:t>
            </w:r>
          </w:p>
        </w:tc>
        <w:tc>
          <w:tcPr>
            <w:tcW w:w="0" w:type="auto"/>
            <w:gridSpan w:val="3"/>
            <w:tcMar>
              <w:top w:w="30" w:type="dxa"/>
              <w:left w:w="20" w:type="dxa"/>
              <w:bottom w:w="30" w:type="dxa"/>
              <w:right w:w="20" w:type="dxa"/>
            </w:tcMar>
            <w:vAlign w:val="bottom"/>
            <w:hideMark/>
          </w:tcPr>
          <w:p w14:paraId="37AA4628"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627F0F61" w14:textId="77777777" w:rsidR="00000000" w:rsidRDefault="00405D16">
      <w:pPr>
        <w:rPr>
          <w:rFonts w:eastAsia="Times New Roman"/>
        </w:rPr>
      </w:pPr>
      <w:r>
        <w:rPr>
          <w:rFonts w:eastAsia="Times New Roman"/>
        </w:rPr>
        <w:pict w14:anchorId="59EF523C">
          <v:rect id="_x0000_i1128" style="width:0;height:1.5pt" o:hralign="center" o:hrstd="t" o:hr="t" fillcolor="#a0a0a0" stroked="f"/>
        </w:pict>
      </w:r>
    </w:p>
    <w:p w14:paraId="3F7DE3A4" w14:textId="77777777" w:rsidR="00000000" w:rsidRDefault="00405D16">
      <w:pPr>
        <w:jc w:val="both"/>
        <w:divId w:val="81998799"/>
        <w:rPr>
          <w:rFonts w:eastAsia="Times New Roman"/>
        </w:rPr>
      </w:pPr>
      <w:hyperlink w:anchor="idd54a04a485440b4ab4e56094c14d612_13" w:history="1">
        <w:r>
          <w:rPr>
            <w:rStyle w:val="a3"/>
            <w:rFonts w:eastAsia="Times New Roman"/>
            <w:sz w:val="16"/>
            <w:szCs w:val="16"/>
          </w:rPr>
          <w:t>Table of Contents</w:t>
        </w:r>
      </w:hyperlink>
    </w:p>
    <w:p w14:paraId="5B92D787" w14:textId="77777777" w:rsidR="00000000" w:rsidRDefault="00405D16">
      <w:pPr>
        <w:jc w:val="center"/>
        <w:divId w:val="81998799"/>
        <w:rPr>
          <w:rFonts w:eastAsia="Times New Roman"/>
        </w:rPr>
      </w:pPr>
    </w:p>
    <w:p w14:paraId="2B6344CA" w14:textId="77777777" w:rsidR="00000000" w:rsidRDefault="00405D16">
      <w:pPr>
        <w:divId w:val="643892343"/>
        <w:rPr>
          <w:rFonts w:eastAsia="Times New Roman"/>
        </w:rPr>
      </w:pPr>
      <w:r>
        <w:rPr>
          <w:rFonts w:eastAsia="Times New Roman"/>
          <w:b/>
          <w:bCs/>
          <w:color w:val="000000"/>
          <w:sz w:val="20"/>
          <w:szCs w:val="20"/>
        </w:rPr>
        <w:t>Balance Sheet Presentation</w:t>
      </w:r>
    </w:p>
    <w:p w14:paraId="1A52BEB2" w14:textId="77777777" w:rsidR="00000000" w:rsidRDefault="00405D16">
      <w:pPr>
        <w:jc w:val="both"/>
        <w:divId w:val="1323387674"/>
        <w:rPr>
          <w:rFonts w:eastAsia="Times New Roman"/>
        </w:rPr>
      </w:pPr>
      <w:r>
        <w:rPr>
          <w:rFonts w:eastAsia="Times New Roman"/>
          <w:color w:val="000000"/>
          <w:sz w:val="20"/>
          <w:szCs w:val="20"/>
        </w:rPr>
        <w:t>The following table summarizes the notional amounts and fair values of our derivative instruments as of September 30, 2021 and December 31, 2020, which are segregated by derivatives that are designated as accounting hedges and those that are not, and are f</w:t>
      </w:r>
      <w:r>
        <w:rPr>
          <w:rFonts w:eastAsia="Times New Roman"/>
          <w:color w:val="000000"/>
          <w:sz w:val="20"/>
          <w:szCs w:val="20"/>
        </w:rPr>
        <w:t>urther segregated by type of contract within those two categories. The total derivative assets and liabilities are adjusted on an aggregate basis to take into consideration the effects of legally enforceable master netting agreements and any associated cas</w:t>
      </w:r>
      <w:r>
        <w:rPr>
          <w:rFonts w:eastAsia="Times New Roman"/>
          <w:color w:val="000000"/>
          <w:sz w:val="20"/>
          <w:szCs w:val="20"/>
        </w:rPr>
        <w:t>h collateral received or pledged. Derivative assets and liabilities are included in other assets and other liabilities, respectively, on our consolidated balance sheets, and their related gains or losses are included in operating activities as changes in o</w:t>
      </w:r>
      <w:r>
        <w:rPr>
          <w:rFonts w:eastAsia="Times New Roman"/>
          <w:color w:val="000000"/>
          <w:sz w:val="20"/>
          <w:szCs w:val="20"/>
        </w:rPr>
        <w:t xml:space="preserve">ther assets and other liabilities in the consolidated statements of cash flows. </w:t>
      </w:r>
    </w:p>
    <w:p w14:paraId="736A66D0" w14:textId="77777777" w:rsidR="00000000" w:rsidRDefault="00405D16">
      <w:pPr>
        <w:divId w:val="1256670327"/>
        <w:rPr>
          <w:rFonts w:eastAsia="Times New Roman"/>
        </w:rPr>
      </w:pPr>
      <w:r>
        <w:rPr>
          <w:rFonts w:eastAsia="Times New Roman"/>
          <w:b/>
          <w:bCs/>
          <w:color w:val="000000"/>
          <w:sz w:val="18"/>
          <w:szCs w:val="18"/>
        </w:rPr>
        <w:t>Table 8.1: Derivative Assets and Liabilities at Fair Value</w:t>
      </w:r>
    </w:p>
    <w:tbl>
      <w:tblPr>
        <w:tblW w:w="4985" w:type="pct"/>
        <w:tblCellMar>
          <w:top w:w="15" w:type="dxa"/>
          <w:left w:w="15" w:type="dxa"/>
          <w:bottom w:w="15" w:type="dxa"/>
          <w:right w:w="15" w:type="dxa"/>
        </w:tblCellMar>
        <w:tblLook w:val="04A0" w:firstRow="1" w:lastRow="0" w:firstColumn="1" w:lastColumn="0" w:noHBand="0" w:noVBand="1"/>
      </w:tblPr>
      <w:tblGrid>
        <w:gridCol w:w="40"/>
        <w:gridCol w:w="2964"/>
        <w:gridCol w:w="39"/>
        <w:gridCol w:w="36"/>
        <w:gridCol w:w="36"/>
        <w:gridCol w:w="36"/>
        <w:gridCol w:w="111"/>
        <w:gridCol w:w="765"/>
        <w:gridCol w:w="36"/>
        <w:gridCol w:w="36"/>
        <w:gridCol w:w="36"/>
        <w:gridCol w:w="36"/>
        <w:gridCol w:w="110"/>
        <w:gridCol w:w="450"/>
        <w:gridCol w:w="36"/>
        <w:gridCol w:w="36"/>
        <w:gridCol w:w="36"/>
        <w:gridCol w:w="36"/>
        <w:gridCol w:w="111"/>
        <w:gridCol w:w="640"/>
        <w:gridCol w:w="36"/>
        <w:gridCol w:w="36"/>
        <w:gridCol w:w="36"/>
        <w:gridCol w:w="36"/>
        <w:gridCol w:w="111"/>
        <w:gridCol w:w="765"/>
        <w:gridCol w:w="36"/>
        <w:gridCol w:w="36"/>
        <w:gridCol w:w="36"/>
        <w:gridCol w:w="36"/>
        <w:gridCol w:w="110"/>
        <w:gridCol w:w="450"/>
        <w:gridCol w:w="36"/>
        <w:gridCol w:w="36"/>
        <w:gridCol w:w="36"/>
        <w:gridCol w:w="36"/>
        <w:gridCol w:w="111"/>
        <w:gridCol w:w="640"/>
        <w:gridCol w:w="36"/>
      </w:tblGrid>
      <w:tr w:rsidR="00000000" w14:paraId="6A462940" w14:textId="77777777">
        <w:trPr>
          <w:divId w:val="1427537393"/>
        </w:trPr>
        <w:tc>
          <w:tcPr>
            <w:tcW w:w="50" w:type="pct"/>
            <w:vAlign w:val="center"/>
            <w:hideMark/>
          </w:tcPr>
          <w:p w14:paraId="53F72396" w14:textId="77777777" w:rsidR="00000000" w:rsidRDefault="00405D16">
            <w:pPr>
              <w:rPr>
                <w:rFonts w:eastAsia="Times New Roman"/>
              </w:rPr>
            </w:pPr>
          </w:p>
        </w:tc>
        <w:tc>
          <w:tcPr>
            <w:tcW w:w="1909" w:type="pct"/>
            <w:vAlign w:val="center"/>
            <w:hideMark/>
          </w:tcPr>
          <w:p w14:paraId="4B1D0C3B" w14:textId="77777777" w:rsidR="00000000" w:rsidRDefault="00405D16">
            <w:pPr>
              <w:spacing w:after="100"/>
              <w:rPr>
                <w:rFonts w:eastAsia="Times New Roman"/>
                <w:sz w:val="20"/>
                <w:szCs w:val="20"/>
              </w:rPr>
            </w:pPr>
          </w:p>
        </w:tc>
        <w:tc>
          <w:tcPr>
            <w:tcW w:w="5" w:type="pct"/>
            <w:vAlign w:val="center"/>
            <w:hideMark/>
          </w:tcPr>
          <w:p w14:paraId="346B0C00" w14:textId="77777777" w:rsidR="00000000" w:rsidRDefault="00405D16">
            <w:pPr>
              <w:spacing w:after="100"/>
              <w:rPr>
                <w:rFonts w:eastAsia="Times New Roman"/>
                <w:sz w:val="20"/>
                <w:szCs w:val="20"/>
              </w:rPr>
            </w:pPr>
          </w:p>
        </w:tc>
        <w:tc>
          <w:tcPr>
            <w:tcW w:w="5" w:type="pct"/>
            <w:vAlign w:val="center"/>
            <w:hideMark/>
          </w:tcPr>
          <w:p w14:paraId="09B82A4E" w14:textId="77777777" w:rsidR="00000000" w:rsidRDefault="00405D16">
            <w:pPr>
              <w:spacing w:after="100"/>
              <w:rPr>
                <w:rFonts w:eastAsia="Times New Roman"/>
                <w:sz w:val="20"/>
                <w:szCs w:val="20"/>
              </w:rPr>
            </w:pPr>
          </w:p>
        </w:tc>
        <w:tc>
          <w:tcPr>
            <w:tcW w:w="26" w:type="pct"/>
            <w:vAlign w:val="center"/>
            <w:hideMark/>
          </w:tcPr>
          <w:p w14:paraId="793B9EB1" w14:textId="77777777" w:rsidR="00000000" w:rsidRDefault="00405D16">
            <w:pPr>
              <w:spacing w:after="100"/>
              <w:rPr>
                <w:rFonts w:eastAsia="Times New Roman"/>
                <w:sz w:val="20"/>
                <w:szCs w:val="20"/>
              </w:rPr>
            </w:pPr>
          </w:p>
        </w:tc>
        <w:tc>
          <w:tcPr>
            <w:tcW w:w="5" w:type="pct"/>
            <w:vAlign w:val="center"/>
            <w:hideMark/>
          </w:tcPr>
          <w:p w14:paraId="7F43DA84" w14:textId="77777777" w:rsidR="00000000" w:rsidRDefault="00405D16">
            <w:pPr>
              <w:spacing w:after="100"/>
              <w:rPr>
                <w:rFonts w:eastAsia="Times New Roman"/>
                <w:sz w:val="20"/>
                <w:szCs w:val="20"/>
              </w:rPr>
            </w:pPr>
          </w:p>
        </w:tc>
        <w:tc>
          <w:tcPr>
            <w:tcW w:w="50" w:type="pct"/>
            <w:vAlign w:val="center"/>
            <w:hideMark/>
          </w:tcPr>
          <w:p w14:paraId="692301A5" w14:textId="77777777" w:rsidR="00000000" w:rsidRDefault="00405D16">
            <w:pPr>
              <w:spacing w:after="100"/>
              <w:rPr>
                <w:rFonts w:eastAsia="Times New Roman"/>
                <w:sz w:val="20"/>
                <w:szCs w:val="20"/>
              </w:rPr>
            </w:pPr>
          </w:p>
        </w:tc>
        <w:tc>
          <w:tcPr>
            <w:tcW w:w="414" w:type="pct"/>
            <w:vAlign w:val="center"/>
            <w:hideMark/>
          </w:tcPr>
          <w:p w14:paraId="7F031558" w14:textId="77777777" w:rsidR="00000000" w:rsidRDefault="00405D16">
            <w:pPr>
              <w:spacing w:after="100"/>
              <w:rPr>
                <w:rFonts w:eastAsia="Times New Roman"/>
                <w:sz w:val="20"/>
                <w:szCs w:val="20"/>
              </w:rPr>
            </w:pPr>
          </w:p>
        </w:tc>
        <w:tc>
          <w:tcPr>
            <w:tcW w:w="5" w:type="pct"/>
            <w:vAlign w:val="center"/>
            <w:hideMark/>
          </w:tcPr>
          <w:p w14:paraId="3456BB38" w14:textId="77777777" w:rsidR="00000000" w:rsidRDefault="00405D16">
            <w:pPr>
              <w:spacing w:after="100"/>
              <w:rPr>
                <w:rFonts w:eastAsia="Times New Roman"/>
                <w:sz w:val="20"/>
                <w:szCs w:val="20"/>
              </w:rPr>
            </w:pPr>
          </w:p>
        </w:tc>
        <w:tc>
          <w:tcPr>
            <w:tcW w:w="5" w:type="pct"/>
            <w:vAlign w:val="center"/>
            <w:hideMark/>
          </w:tcPr>
          <w:p w14:paraId="7E591CB2" w14:textId="77777777" w:rsidR="00000000" w:rsidRDefault="00405D16">
            <w:pPr>
              <w:spacing w:after="100"/>
              <w:rPr>
                <w:rFonts w:eastAsia="Times New Roman"/>
                <w:sz w:val="20"/>
                <w:szCs w:val="20"/>
              </w:rPr>
            </w:pPr>
          </w:p>
        </w:tc>
        <w:tc>
          <w:tcPr>
            <w:tcW w:w="26" w:type="pct"/>
            <w:vAlign w:val="center"/>
            <w:hideMark/>
          </w:tcPr>
          <w:p w14:paraId="3BAED233" w14:textId="77777777" w:rsidR="00000000" w:rsidRDefault="00405D16">
            <w:pPr>
              <w:spacing w:after="100"/>
              <w:rPr>
                <w:rFonts w:eastAsia="Times New Roman"/>
                <w:sz w:val="20"/>
                <w:szCs w:val="20"/>
              </w:rPr>
            </w:pPr>
          </w:p>
        </w:tc>
        <w:tc>
          <w:tcPr>
            <w:tcW w:w="5" w:type="pct"/>
            <w:vAlign w:val="center"/>
            <w:hideMark/>
          </w:tcPr>
          <w:p w14:paraId="3CC2B9FB" w14:textId="77777777" w:rsidR="00000000" w:rsidRDefault="00405D16">
            <w:pPr>
              <w:spacing w:after="100"/>
              <w:rPr>
                <w:rFonts w:eastAsia="Times New Roman"/>
                <w:sz w:val="20"/>
                <w:szCs w:val="20"/>
              </w:rPr>
            </w:pPr>
          </w:p>
        </w:tc>
        <w:tc>
          <w:tcPr>
            <w:tcW w:w="50" w:type="pct"/>
            <w:vAlign w:val="center"/>
            <w:hideMark/>
          </w:tcPr>
          <w:p w14:paraId="1565A8A7" w14:textId="77777777" w:rsidR="00000000" w:rsidRDefault="00405D16">
            <w:pPr>
              <w:spacing w:after="100"/>
              <w:rPr>
                <w:rFonts w:eastAsia="Times New Roman"/>
                <w:sz w:val="20"/>
                <w:szCs w:val="20"/>
              </w:rPr>
            </w:pPr>
          </w:p>
        </w:tc>
        <w:tc>
          <w:tcPr>
            <w:tcW w:w="414" w:type="pct"/>
            <w:vAlign w:val="center"/>
            <w:hideMark/>
          </w:tcPr>
          <w:p w14:paraId="7803D9AB" w14:textId="77777777" w:rsidR="00000000" w:rsidRDefault="00405D16">
            <w:pPr>
              <w:spacing w:after="100"/>
              <w:rPr>
                <w:rFonts w:eastAsia="Times New Roman"/>
                <w:sz w:val="20"/>
                <w:szCs w:val="20"/>
              </w:rPr>
            </w:pPr>
          </w:p>
        </w:tc>
        <w:tc>
          <w:tcPr>
            <w:tcW w:w="5" w:type="pct"/>
            <w:vAlign w:val="center"/>
            <w:hideMark/>
          </w:tcPr>
          <w:p w14:paraId="46C26E81" w14:textId="77777777" w:rsidR="00000000" w:rsidRDefault="00405D16">
            <w:pPr>
              <w:spacing w:after="100"/>
              <w:rPr>
                <w:rFonts w:eastAsia="Times New Roman"/>
                <w:sz w:val="20"/>
                <w:szCs w:val="20"/>
              </w:rPr>
            </w:pPr>
          </w:p>
        </w:tc>
        <w:tc>
          <w:tcPr>
            <w:tcW w:w="5" w:type="pct"/>
            <w:vAlign w:val="center"/>
            <w:hideMark/>
          </w:tcPr>
          <w:p w14:paraId="2C162E98" w14:textId="77777777" w:rsidR="00000000" w:rsidRDefault="00405D16">
            <w:pPr>
              <w:spacing w:after="100"/>
              <w:rPr>
                <w:rFonts w:eastAsia="Times New Roman"/>
                <w:sz w:val="20"/>
                <w:szCs w:val="20"/>
              </w:rPr>
            </w:pPr>
          </w:p>
        </w:tc>
        <w:tc>
          <w:tcPr>
            <w:tcW w:w="26" w:type="pct"/>
            <w:vAlign w:val="center"/>
            <w:hideMark/>
          </w:tcPr>
          <w:p w14:paraId="6A064DFD" w14:textId="77777777" w:rsidR="00000000" w:rsidRDefault="00405D16">
            <w:pPr>
              <w:spacing w:after="100"/>
              <w:rPr>
                <w:rFonts w:eastAsia="Times New Roman"/>
                <w:sz w:val="20"/>
                <w:szCs w:val="20"/>
              </w:rPr>
            </w:pPr>
          </w:p>
        </w:tc>
        <w:tc>
          <w:tcPr>
            <w:tcW w:w="5" w:type="pct"/>
            <w:vAlign w:val="center"/>
            <w:hideMark/>
          </w:tcPr>
          <w:p w14:paraId="0EEADBC6" w14:textId="77777777" w:rsidR="00000000" w:rsidRDefault="00405D16">
            <w:pPr>
              <w:spacing w:after="100"/>
              <w:rPr>
                <w:rFonts w:eastAsia="Times New Roman"/>
                <w:sz w:val="20"/>
                <w:szCs w:val="20"/>
              </w:rPr>
            </w:pPr>
          </w:p>
        </w:tc>
        <w:tc>
          <w:tcPr>
            <w:tcW w:w="50" w:type="pct"/>
            <w:vAlign w:val="center"/>
            <w:hideMark/>
          </w:tcPr>
          <w:p w14:paraId="62FDEDE1" w14:textId="77777777" w:rsidR="00000000" w:rsidRDefault="00405D16">
            <w:pPr>
              <w:spacing w:after="100"/>
              <w:rPr>
                <w:rFonts w:eastAsia="Times New Roman"/>
                <w:sz w:val="20"/>
                <w:szCs w:val="20"/>
              </w:rPr>
            </w:pPr>
          </w:p>
        </w:tc>
        <w:tc>
          <w:tcPr>
            <w:tcW w:w="414" w:type="pct"/>
            <w:vAlign w:val="center"/>
            <w:hideMark/>
          </w:tcPr>
          <w:p w14:paraId="429BBE5C" w14:textId="77777777" w:rsidR="00000000" w:rsidRDefault="00405D16">
            <w:pPr>
              <w:spacing w:after="100"/>
              <w:rPr>
                <w:rFonts w:eastAsia="Times New Roman"/>
                <w:sz w:val="20"/>
                <w:szCs w:val="20"/>
              </w:rPr>
            </w:pPr>
          </w:p>
        </w:tc>
        <w:tc>
          <w:tcPr>
            <w:tcW w:w="5" w:type="pct"/>
            <w:vAlign w:val="center"/>
            <w:hideMark/>
          </w:tcPr>
          <w:p w14:paraId="6BE29F4B" w14:textId="77777777" w:rsidR="00000000" w:rsidRDefault="00405D16">
            <w:pPr>
              <w:spacing w:after="100"/>
              <w:rPr>
                <w:rFonts w:eastAsia="Times New Roman"/>
                <w:sz w:val="20"/>
                <w:szCs w:val="20"/>
              </w:rPr>
            </w:pPr>
          </w:p>
        </w:tc>
        <w:tc>
          <w:tcPr>
            <w:tcW w:w="5" w:type="pct"/>
            <w:vAlign w:val="center"/>
            <w:hideMark/>
          </w:tcPr>
          <w:p w14:paraId="7005F236" w14:textId="77777777" w:rsidR="00000000" w:rsidRDefault="00405D16">
            <w:pPr>
              <w:spacing w:after="100"/>
              <w:rPr>
                <w:rFonts w:eastAsia="Times New Roman"/>
                <w:sz w:val="20"/>
                <w:szCs w:val="20"/>
              </w:rPr>
            </w:pPr>
          </w:p>
        </w:tc>
        <w:tc>
          <w:tcPr>
            <w:tcW w:w="26" w:type="pct"/>
            <w:vAlign w:val="center"/>
            <w:hideMark/>
          </w:tcPr>
          <w:p w14:paraId="2F29E619" w14:textId="77777777" w:rsidR="00000000" w:rsidRDefault="00405D16">
            <w:pPr>
              <w:spacing w:after="100"/>
              <w:rPr>
                <w:rFonts w:eastAsia="Times New Roman"/>
                <w:sz w:val="20"/>
                <w:szCs w:val="20"/>
              </w:rPr>
            </w:pPr>
          </w:p>
        </w:tc>
        <w:tc>
          <w:tcPr>
            <w:tcW w:w="5" w:type="pct"/>
            <w:vAlign w:val="center"/>
            <w:hideMark/>
          </w:tcPr>
          <w:p w14:paraId="756D16E2" w14:textId="77777777" w:rsidR="00000000" w:rsidRDefault="00405D16">
            <w:pPr>
              <w:spacing w:after="100"/>
              <w:rPr>
                <w:rFonts w:eastAsia="Times New Roman"/>
                <w:sz w:val="20"/>
                <w:szCs w:val="20"/>
              </w:rPr>
            </w:pPr>
          </w:p>
        </w:tc>
        <w:tc>
          <w:tcPr>
            <w:tcW w:w="50" w:type="pct"/>
            <w:vAlign w:val="center"/>
            <w:hideMark/>
          </w:tcPr>
          <w:p w14:paraId="7513D914" w14:textId="77777777" w:rsidR="00000000" w:rsidRDefault="00405D16">
            <w:pPr>
              <w:spacing w:after="100"/>
              <w:rPr>
                <w:rFonts w:eastAsia="Times New Roman"/>
                <w:sz w:val="20"/>
                <w:szCs w:val="20"/>
              </w:rPr>
            </w:pPr>
          </w:p>
        </w:tc>
        <w:tc>
          <w:tcPr>
            <w:tcW w:w="414" w:type="pct"/>
            <w:vAlign w:val="center"/>
            <w:hideMark/>
          </w:tcPr>
          <w:p w14:paraId="157BD392" w14:textId="77777777" w:rsidR="00000000" w:rsidRDefault="00405D16">
            <w:pPr>
              <w:spacing w:after="100"/>
              <w:rPr>
                <w:rFonts w:eastAsia="Times New Roman"/>
                <w:sz w:val="20"/>
                <w:szCs w:val="20"/>
              </w:rPr>
            </w:pPr>
          </w:p>
        </w:tc>
        <w:tc>
          <w:tcPr>
            <w:tcW w:w="5" w:type="pct"/>
            <w:vAlign w:val="center"/>
            <w:hideMark/>
          </w:tcPr>
          <w:p w14:paraId="4A7052E4" w14:textId="77777777" w:rsidR="00000000" w:rsidRDefault="00405D16">
            <w:pPr>
              <w:spacing w:after="100"/>
              <w:rPr>
                <w:rFonts w:eastAsia="Times New Roman"/>
                <w:sz w:val="20"/>
                <w:szCs w:val="20"/>
              </w:rPr>
            </w:pPr>
          </w:p>
        </w:tc>
        <w:tc>
          <w:tcPr>
            <w:tcW w:w="5" w:type="pct"/>
            <w:vAlign w:val="center"/>
            <w:hideMark/>
          </w:tcPr>
          <w:p w14:paraId="5228E046" w14:textId="77777777" w:rsidR="00000000" w:rsidRDefault="00405D16">
            <w:pPr>
              <w:spacing w:after="100"/>
              <w:rPr>
                <w:rFonts w:eastAsia="Times New Roman"/>
                <w:sz w:val="20"/>
                <w:szCs w:val="20"/>
              </w:rPr>
            </w:pPr>
          </w:p>
        </w:tc>
        <w:tc>
          <w:tcPr>
            <w:tcW w:w="26" w:type="pct"/>
            <w:vAlign w:val="center"/>
            <w:hideMark/>
          </w:tcPr>
          <w:p w14:paraId="0530C968" w14:textId="77777777" w:rsidR="00000000" w:rsidRDefault="00405D16">
            <w:pPr>
              <w:spacing w:after="100"/>
              <w:rPr>
                <w:rFonts w:eastAsia="Times New Roman"/>
                <w:sz w:val="20"/>
                <w:szCs w:val="20"/>
              </w:rPr>
            </w:pPr>
          </w:p>
        </w:tc>
        <w:tc>
          <w:tcPr>
            <w:tcW w:w="5" w:type="pct"/>
            <w:vAlign w:val="center"/>
            <w:hideMark/>
          </w:tcPr>
          <w:p w14:paraId="3BAB4471" w14:textId="77777777" w:rsidR="00000000" w:rsidRDefault="00405D16">
            <w:pPr>
              <w:spacing w:after="100"/>
              <w:rPr>
                <w:rFonts w:eastAsia="Times New Roman"/>
                <w:sz w:val="20"/>
                <w:szCs w:val="20"/>
              </w:rPr>
            </w:pPr>
          </w:p>
        </w:tc>
        <w:tc>
          <w:tcPr>
            <w:tcW w:w="50" w:type="pct"/>
            <w:vAlign w:val="center"/>
            <w:hideMark/>
          </w:tcPr>
          <w:p w14:paraId="346D7C97" w14:textId="77777777" w:rsidR="00000000" w:rsidRDefault="00405D16">
            <w:pPr>
              <w:spacing w:after="100"/>
              <w:rPr>
                <w:rFonts w:eastAsia="Times New Roman"/>
                <w:sz w:val="20"/>
                <w:szCs w:val="20"/>
              </w:rPr>
            </w:pPr>
          </w:p>
        </w:tc>
        <w:tc>
          <w:tcPr>
            <w:tcW w:w="414" w:type="pct"/>
            <w:vAlign w:val="center"/>
            <w:hideMark/>
          </w:tcPr>
          <w:p w14:paraId="67518904" w14:textId="77777777" w:rsidR="00000000" w:rsidRDefault="00405D16">
            <w:pPr>
              <w:spacing w:after="100"/>
              <w:rPr>
                <w:rFonts w:eastAsia="Times New Roman"/>
                <w:sz w:val="20"/>
                <w:szCs w:val="20"/>
              </w:rPr>
            </w:pPr>
          </w:p>
        </w:tc>
        <w:tc>
          <w:tcPr>
            <w:tcW w:w="5" w:type="pct"/>
            <w:vAlign w:val="center"/>
            <w:hideMark/>
          </w:tcPr>
          <w:p w14:paraId="3E024854" w14:textId="77777777" w:rsidR="00000000" w:rsidRDefault="00405D16">
            <w:pPr>
              <w:spacing w:after="100"/>
              <w:rPr>
                <w:rFonts w:eastAsia="Times New Roman"/>
                <w:sz w:val="20"/>
                <w:szCs w:val="20"/>
              </w:rPr>
            </w:pPr>
          </w:p>
        </w:tc>
        <w:tc>
          <w:tcPr>
            <w:tcW w:w="5" w:type="pct"/>
            <w:vAlign w:val="center"/>
            <w:hideMark/>
          </w:tcPr>
          <w:p w14:paraId="789D8B3D" w14:textId="77777777" w:rsidR="00000000" w:rsidRDefault="00405D16">
            <w:pPr>
              <w:spacing w:after="100"/>
              <w:rPr>
                <w:rFonts w:eastAsia="Times New Roman"/>
                <w:sz w:val="20"/>
                <w:szCs w:val="20"/>
              </w:rPr>
            </w:pPr>
          </w:p>
        </w:tc>
        <w:tc>
          <w:tcPr>
            <w:tcW w:w="26" w:type="pct"/>
            <w:vAlign w:val="center"/>
            <w:hideMark/>
          </w:tcPr>
          <w:p w14:paraId="4EF3A35D" w14:textId="77777777" w:rsidR="00000000" w:rsidRDefault="00405D16">
            <w:pPr>
              <w:spacing w:after="100"/>
              <w:rPr>
                <w:rFonts w:eastAsia="Times New Roman"/>
                <w:sz w:val="20"/>
                <w:szCs w:val="20"/>
              </w:rPr>
            </w:pPr>
          </w:p>
        </w:tc>
        <w:tc>
          <w:tcPr>
            <w:tcW w:w="5" w:type="pct"/>
            <w:vAlign w:val="center"/>
            <w:hideMark/>
          </w:tcPr>
          <w:p w14:paraId="73CEF887" w14:textId="77777777" w:rsidR="00000000" w:rsidRDefault="00405D16">
            <w:pPr>
              <w:spacing w:after="100"/>
              <w:rPr>
                <w:rFonts w:eastAsia="Times New Roman"/>
                <w:sz w:val="20"/>
                <w:szCs w:val="20"/>
              </w:rPr>
            </w:pPr>
          </w:p>
        </w:tc>
        <w:tc>
          <w:tcPr>
            <w:tcW w:w="50" w:type="pct"/>
            <w:vAlign w:val="center"/>
            <w:hideMark/>
          </w:tcPr>
          <w:p w14:paraId="662159C3" w14:textId="77777777" w:rsidR="00000000" w:rsidRDefault="00405D16">
            <w:pPr>
              <w:spacing w:after="100"/>
              <w:rPr>
                <w:rFonts w:eastAsia="Times New Roman"/>
                <w:sz w:val="20"/>
                <w:szCs w:val="20"/>
              </w:rPr>
            </w:pPr>
          </w:p>
        </w:tc>
        <w:tc>
          <w:tcPr>
            <w:tcW w:w="414" w:type="pct"/>
            <w:vAlign w:val="center"/>
            <w:hideMark/>
          </w:tcPr>
          <w:p w14:paraId="287D7E75" w14:textId="77777777" w:rsidR="00000000" w:rsidRDefault="00405D16">
            <w:pPr>
              <w:spacing w:after="100"/>
              <w:rPr>
                <w:rFonts w:eastAsia="Times New Roman"/>
                <w:sz w:val="20"/>
                <w:szCs w:val="20"/>
              </w:rPr>
            </w:pPr>
          </w:p>
        </w:tc>
        <w:tc>
          <w:tcPr>
            <w:tcW w:w="5" w:type="pct"/>
            <w:vAlign w:val="center"/>
            <w:hideMark/>
          </w:tcPr>
          <w:p w14:paraId="71692891" w14:textId="77777777" w:rsidR="00000000" w:rsidRDefault="00405D16">
            <w:pPr>
              <w:spacing w:after="100"/>
              <w:rPr>
                <w:rFonts w:eastAsia="Times New Roman"/>
                <w:sz w:val="20"/>
                <w:szCs w:val="20"/>
              </w:rPr>
            </w:pPr>
          </w:p>
        </w:tc>
      </w:tr>
      <w:tr w:rsidR="00000000" w14:paraId="089EAE0C" w14:textId="77777777">
        <w:trPr>
          <w:divId w:val="1427537393"/>
        </w:trPr>
        <w:tc>
          <w:tcPr>
            <w:tcW w:w="0" w:type="auto"/>
            <w:gridSpan w:val="3"/>
            <w:tcMar>
              <w:top w:w="0" w:type="dxa"/>
              <w:left w:w="20" w:type="dxa"/>
              <w:bottom w:w="0" w:type="dxa"/>
              <w:right w:w="20" w:type="dxa"/>
            </w:tcMar>
            <w:vAlign w:val="center"/>
            <w:hideMark/>
          </w:tcPr>
          <w:p w14:paraId="20A96FB7"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F2F95CD" w14:textId="77777777" w:rsidR="00000000" w:rsidRDefault="00405D16">
            <w:pPr>
              <w:spacing w:after="100"/>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14:paraId="7F929689" w14:textId="77777777" w:rsidR="00000000" w:rsidRDefault="00405D16">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14:paraId="35A60765" w14:textId="77777777" w:rsidR="00000000" w:rsidRDefault="00405D16">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14:paraId="3D7690D2" w14:textId="77777777" w:rsidR="00000000" w:rsidRDefault="00405D16">
            <w:pPr>
              <w:spacing w:after="100"/>
              <w:jc w:val="center"/>
              <w:rPr>
                <w:rFonts w:eastAsia="Times New Roman"/>
              </w:rPr>
            </w:pPr>
            <w:r>
              <w:rPr>
                <w:rFonts w:eastAsia="Times New Roman"/>
                <w:b/>
                <w:bCs/>
                <w:color w:val="000000"/>
                <w:sz w:val="16"/>
                <w:szCs w:val="16"/>
              </w:rPr>
              <w:t>December 31, 2020</w:t>
            </w:r>
          </w:p>
        </w:tc>
      </w:tr>
      <w:tr w:rsidR="00000000" w14:paraId="2D1B2517" w14:textId="77777777">
        <w:trPr>
          <w:divId w:val="1427537393"/>
          <w:trHeight w:val="280"/>
        </w:trPr>
        <w:tc>
          <w:tcPr>
            <w:tcW w:w="0" w:type="auto"/>
            <w:gridSpan w:val="3"/>
            <w:tcMar>
              <w:top w:w="0" w:type="dxa"/>
              <w:left w:w="20" w:type="dxa"/>
              <w:bottom w:w="0" w:type="dxa"/>
              <w:right w:w="20" w:type="dxa"/>
            </w:tcMar>
            <w:vAlign w:val="center"/>
            <w:hideMark/>
          </w:tcPr>
          <w:p w14:paraId="4A87A919" w14:textId="77777777" w:rsidR="00000000" w:rsidRDefault="00405D1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16EFA66" w14:textId="77777777" w:rsidR="00000000" w:rsidRDefault="00405D16">
            <w:pPr>
              <w:spacing w:after="100"/>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2988FE7C" w14:textId="77777777" w:rsidR="00000000" w:rsidRDefault="00405D16">
            <w:pPr>
              <w:spacing w:after="100"/>
              <w:jc w:val="center"/>
              <w:rPr>
                <w:rFonts w:eastAsia="Times New Roman"/>
              </w:rPr>
            </w:pPr>
            <w:r>
              <w:rPr>
                <w:rFonts w:eastAsia="Times New Roman"/>
                <w:b/>
                <w:bCs/>
                <w:color w:val="000000"/>
                <w:sz w:val="16"/>
                <w:szCs w:val="16"/>
              </w:rPr>
              <w:t>Notional or Contractual Amount</w:t>
            </w:r>
          </w:p>
        </w:tc>
        <w:tc>
          <w:tcPr>
            <w:tcW w:w="0" w:type="auto"/>
            <w:gridSpan w:val="3"/>
            <w:vMerge w:val="restart"/>
            <w:tcBorders>
              <w:top w:val="single" w:sz="8" w:space="0" w:color="000000"/>
            </w:tcBorders>
            <w:tcMar>
              <w:top w:w="0" w:type="dxa"/>
              <w:left w:w="20" w:type="dxa"/>
              <w:bottom w:w="0" w:type="dxa"/>
              <w:right w:w="20" w:type="dxa"/>
            </w:tcMar>
            <w:vAlign w:val="center"/>
            <w:hideMark/>
          </w:tcPr>
          <w:p w14:paraId="0797B650" w14:textId="77777777" w:rsidR="00000000" w:rsidRDefault="00405D16">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6239D7AD" w14:textId="77777777" w:rsidR="00000000" w:rsidRDefault="00405D16">
            <w:pPr>
              <w:spacing w:after="100"/>
              <w:jc w:val="center"/>
              <w:rPr>
                <w:rFonts w:eastAsia="Times New Roman"/>
              </w:rPr>
            </w:pPr>
            <w:r>
              <w:rPr>
                <w:rFonts w:eastAsia="Times New Roman"/>
                <w:b/>
                <w:bCs/>
                <w:color w:val="000000"/>
                <w:sz w:val="16"/>
                <w:szCs w:val="16"/>
              </w:rPr>
              <w:t>Derivativ</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60140606" w14:textId="77777777" w:rsidR="00000000" w:rsidRDefault="00405D16">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7B380FE2" w14:textId="77777777" w:rsidR="00000000" w:rsidRDefault="00405D16">
            <w:pPr>
              <w:spacing w:after="100"/>
              <w:jc w:val="center"/>
              <w:rPr>
                <w:rFonts w:eastAsia="Times New Roman"/>
              </w:rPr>
            </w:pPr>
            <w:r>
              <w:rPr>
                <w:rFonts w:eastAsia="Times New Roman"/>
                <w:b/>
                <w:bCs/>
                <w:color w:val="000000"/>
                <w:sz w:val="16"/>
                <w:szCs w:val="16"/>
              </w:rPr>
              <w:t>Notional or Contractual Amount</w:t>
            </w:r>
          </w:p>
        </w:tc>
        <w:tc>
          <w:tcPr>
            <w:tcW w:w="0" w:type="auto"/>
            <w:gridSpan w:val="3"/>
            <w:vMerge w:val="restart"/>
            <w:tcBorders>
              <w:top w:val="single" w:sz="8" w:space="0" w:color="000000"/>
            </w:tcBorders>
            <w:tcMar>
              <w:top w:w="0" w:type="dxa"/>
              <w:left w:w="20" w:type="dxa"/>
              <w:bottom w:w="0" w:type="dxa"/>
              <w:right w:w="20" w:type="dxa"/>
            </w:tcMar>
            <w:vAlign w:val="center"/>
            <w:hideMark/>
          </w:tcPr>
          <w:p w14:paraId="30C64D09" w14:textId="77777777" w:rsidR="00000000" w:rsidRDefault="00405D16">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42861688" w14:textId="77777777" w:rsidR="00000000" w:rsidRDefault="00405D16">
            <w:pPr>
              <w:spacing w:after="100"/>
              <w:jc w:val="center"/>
              <w:rPr>
                <w:rFonts w:eastAsia="Times New Roman"/>
              </w:rPr>
            </w:pPr>
            <w:r>
              <w:rPr>
                <w:rFonts w:eastAsia="Times New Roman"/>
                <w:b/>
                <w:bCs/>
                <w:color w:val="000000"/>
                <w:sz w:val="16"/>
                <w:szCs w:val="16"/>
              </w:rPr>
              <w:t>Derivativ</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r>
      <w:tr w:rsidR="00000000" w14:paraId="01BC859A" w14:textId="77777777">
        <w:trPr>
          <w:divId w:val="1427537393"/>
          <w:trHeight w:val="240"/>
        </w:trPr>
        <w:tc>
          <w:tcPr>
            <w:tcW w:w="0" w:type="auto"/>
            <w:gridSpan w:val="3"/>
            <w:tcMar>
              <w:top w:w="30" w:type="dxa"/>
              <w:left w:w="20" w:type="dxa"/>
              <w:bottom w:w="30" w:type="dxa"/>
              <w:right w:w="20" w:type="dxa"/>
            </w:tcMar>
            <w:vAlign w:val="bottom"/>
            <w:hideMark/>
          </w:tcPr>
          <w:p w14:paraId="056ABA5A"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6A7BBDBF" w14:textId="77777777" w:rsidR="00000000" w:rsidRDefault="00405D16">
            <w:pPr>
              <w:spacing w:after="100"/>
              <w:rPr>
                <w:rFonts w:eastAsia="Times New Roman"/>
              </w:rPr>
            </w:pPr>
          </w:p>
        </w:tc>
        <w:tc>
          <w:tcPr>
            <w:tcW w:w="0" w:type="auto"/>
            <w:gridSpan w:val="3"/>
            <w:vMerge/>
            <w:tcBorders>
              <w:top w:val="single" w:sz="8" w:space="0" w:color="000000"/>
            </w:tcBorders>
            <w:vAlign w:val="center"/>
            <w:hideMark/>
          </w:tcPr>
          <w:p w14:paraId="282B4B4A" w14:textId="77777777" w:rsidR="00000000" w:rsidRDefault="00405D16">
            <w:pPr>
              <w:spacing w:after="100"/>
              <w:rPr>
                <w:rFonts w:eastAsia="Times New Roman"/>
              </w:rPr>
            </w:pPr>
          </w:p>
        </w:tc>
        <w:tc>
          <w:tcPr>
            <w:tcW w:w="0" w:type="auto"/>
            <w:gridSpan w:val="3"/>
            <w:vMerge/>
            <w:tcBorders>
              <w:top w:val="single" w:sz="8" w:space="0" w:color="000000"/>
            </w:tcBorders>
            <w:vAlign w:val="center"/>
            <w:hideMark/>
          </w:tcPr>
          <w:p w14:paraId="1FF415E0"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1F7EA7E" w14:textId="77777777" w:rsidR="00000000" w:rsidRDefault="00405D16">
            <w:pPr>
              <w:spacing w:after="100"/>
              <w:jc w:val="center"/>
              <w:rPr>
                <w:rFonts w:eastAsia="Times New Roman"/>
              </w:rPr>
            </w:pPr>
            <w:r>
              <w:rPr>
                <w:rFonts w:eastAsia="Times New Roman"/>
                <w:b/>
                <w:bCs/>
                <w:color w:val="000000"/>
                <w:sz w:val="16"/>
                <w:szCs w:val="16"/>
              </w:rPr>
              <w:t>Assets</w:t>
            </w:r>
          </w:p>
        </w:tc>
        <w:tc>
          <w:tcPr>
            <w:tcW w:w="0" w:type="auto"/>
            <w:gridSpan w:val="3"/>
            <w:tcBorders>
              <w:top w:val="single" w:sz="8" w:space="0" w:color="000000"/>
            </w:tcBorders>
            <w:tcMar>
              <w:top w:w="0" w:type="dxa"/>
              <w:left w:w="20" w:type="dxa"/>
              <w:bottom w:w="0" w:type="dxa"/>
              <w:right w:w="20" w:type="dxa"/>
            </w:tcMar>
            <w:vAlign w:val="center"/>
            <w:hideMark/>
          </w:tcPr>
          <w:p w14:paraId="4EEBE5D9"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ADD9C42" w14:textId="77777777" w:rsidR="00000000" w:rsidRDefault="00405D16">
            <w:pPr>
              <w:spacing w:after="100"/>
              <w:jc w:val="center"/>
              <w:rPr>
                <w:rFonts w:eastAsia="Times New Roman"/>
              </w:rPr>
            </w:pPr>
            <w:r>
              <w:rPr>
                <w:rFonts w:eastAsia="Times New Roman"/>
                <w:b/>
                <w:bCs/>
                <w:color w:val="000000"/>
                <w:sz w:val="16"/>
                <w:szCs w:val="16"/>
              </w:rPr>
              <w:t>Liabilities</w:t>
            </w:r>
          </w:p>
        </w:tc>
        <w:tc>
          <w:tcPr>
            <w:tcW w:w="0" w:type="auto"/>
            <w:gridSpan w:val="3"/>
            <w:tcMar>
              <w:top w:w="0" w:type="dxa"/>
              <w:left w:w="20" w:type="dxa"/>
              <w:bottom w:w="0" w:type="dxa"/>
              <w:right w:w="20" w:type="dxa"/>
            </w:tcMar>
            <w:vAlign w:val="center"/>
            <w:hideMark/>
          </w:tcPr>
          <w:p w14:paraId="32C0756E" w14:textId="77777777" w:rsidR="00000000" w:rsidRDefault="00405D16">
            <w:pPr>
              <w:spacing w:after="100"/>
              <w:jc w:val="center"/>
              <w:rPr>
                <w:rFonts w:eastAsia="Times New Roman"/>
              </w:rPr>
            </w:pPr>
          </w:p>
        </w:tc>
        <w:tc>
          <w:tcPr>
            <w:tcW w:w="0" w:type="auto"/>
            <w:gridSpan w:val="3"/>
            <w:vMerge/>
            <w:tcBorders>
              <w:top w:val="single" w:sz="8" w:space="0" w:color="000000"/>
            </w:tcBorders>
            <w:vAlign w:val="center"/>
            <w:hideMark/>
          </w:tcPr>
          <w:p w14:paraId="1C65D48E" w14:textId="77777777" w:rsidR="00000000" w:rsidRDefault="00405D16">
            <w:pPr>
              <w:spacing w:after="100"/>
              <w:rPr>
                <w:rFonts w:eastAsia="Times New Roman"/>
              </w:rPr>
            </w:pPr>
          </w:p>
        </w:tc>
        <w:tc>
          <w:tcPr>
            <w:tcW w:w="0" w:type="auto"/>
            <w:gridSpan w:val="3"/>
            <w:vMerge/>
            <w:tcBorders>
              <w:top w:val="single" w:sz="8" w:space="0" w:color="000000"/>
            </w:tcBorders>
            <w:vAlign w:val="center"/>
            <w:hideMark/>
          </w:tcPr>
          <w:p w14:paraId="09980C07"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912241D" w14:textId="77777777" w:rsidR="00000000" w:rsidRDefault="00405D16">
            <w:pPr>
              <w:spacing w:after="100"/>
              <w:jc w:val="center"/>
              <w:rPr>
                <w:rFonts w:eastAsia="Times New Roman"/>
              </w:rPr>
            </w:pPr>
            <w:r>
              <w:rPr>
                <w:rFonts w:eastAsia="Times New Roman"/>
                <w:b/>
                <w:bCs/>
                <w:color w:val="000000"/>
                <w:sz w:val="16"/>
                <w:szCs w:val="16"/>
              </w:rPr>
              <w:t>Assets</w:t>
            </w:r>
          </w:p>
        </w:tc>
        <w:tc>
          <w:tcPr>
            <w:tcW w:w="0" w:type="auto"/>
            <w:gridSpan w:val="3"/>
            <w:tcBorders>
              <w:top w:val="single" w:sz="8" w:space="0" w:color="000000"/>
            </w:tcBorders>
            <w:tcMar>
              <w:top w:w="0" w:type="dxa"/>
              <w:left w:w="20" w:type="dxa"/>
              <w:bottom w:w="0" w:type="dxa"/>
              <w:right w:w="20" w:type="dxa"/>
            </w:tcMar>
            <w:vAlign w:val="center"/>
            <w:hideMark/>
          </w:tcPr>
          <w:p w14:paraId="38002F86"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A2BE9FD" w14:textId="77777777" w:rsidR="00000000" w:rsidRDefault="00405D16">
            <w:pPr>
              <w:spacing w:after="100"/>
              <w:jc w:val="center"/>
              <w:rPr>
                <w:rFonts w:eastAsia="Times New Roman"/>
              </w:rPr>
            </w:pPr>
            <w:r>
              <w:rPr>
                <w:rFonts w:eastAsia="Times New Roman"/>
                <w:b/>
                <w:bCs/>
                <w:color w:val="000000"/>
                <w:sz w:val="16"/>
                <w:szCs w:val="16"/>
              </w:rPr>
              <w:t>Liabilities</w:t>
            </w:r>
          </w:p>
        </w:tc>
      </w:tr>
      <w:tr w:rsidR="00000000" w14:paraId="269E31A9" w14:textId="77777777">
        <w:trPr>
          <w:divId w:val="142753739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85E0DA2" w14:textId="77777777" w:rsidR="00000000" w:rsidRDefault="00405D16">
            <w:pPr>
              <w:spacing w:after="100"/>
              <w:rPr>
                <w:rFonts w:eastAsia="Times New Roman"/>
              </w:rPr>
            </w:pPr>
            <w:r>
              <w:rPr>
                <w:rFonts w:eastAsia="Times New Roman"/>
                <w:b/>
                <w:bCs/>
                <w:color w:val="000000"/>
                <w:sz w:val="18"/>
                <w:szCs w:val="18"/>
              </w:rPr>
              <w:t>Derivatives designated as accounting hedges:</w:t>
            </w:r>
          </w:p>
        </w:tc>
        <w:tc>
          <w:tcPr>
            <w:tcW w:w="0" w:type="auto"/>
            <w:gridSpan w:val="3"/>
            <w:shd w:val="clear" w:color="auto" w:fill="CCEEFF"/>
            <w:tcMar>
              <w:top w:w="0" w:type="dxa"/>
              <w:left w:w="20" w:type="dxa"/>
              <w:bottom w:w="0" w:type="dxa"/>
              <w:right w:w="20" w:type="dxa"/>
            </w:tcMar>
            <w:vAlign w:val="center"/>
            <w:hideMark/>
          </w:tcPr>
          <w:p w14:paraId="0B3DCB89"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CB5FC6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A170CF"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718A2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CE6CB5"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2D5AD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02799E"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D006CE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5DBC58"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B0F562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6A173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F09D0DB" w14:textId="77777777" w:rsidR="00000000" w:rsidRDefault="00405D16">
            <w:pPr>
              <w:spacing w:after="100"/>
              <w:rPr>
                <w:rFonts w:eastAsia="Times New Roman"/>
                <w:sz w:val="20"/>
                <w:szCs w:val="20"/>
              </w:rPr>
            </w:pPr>
          </w:p>
        </w:tc>
      </w:tr>
      <w:tr w:rsidR="00000000" w14:paraId="6D354853" w14:textId="77777777">
        <w:trPr>
          <w:divId w:val="1427537393"/>
        </w:trPr>
        <w:tc>
          <w:tcPr>
            <w:tcW w:w="0" w:type="auto"/>
            <w:gridSpan w:val="3"/>
            <w:shd w:val="clear" w:color="auto" w:fill="FFFFFF"/>
            <w:tcMar>
              <w:top w:w="30" w:type="dxa"/>
              <w:left w:w="20" w:type="dxa"/>
              <w:bottom w:w="30" w:type="dxa"/>
              <w:right w:w="20" w:type="dxa"/>
            </w:tcMar>
            <w:vAlign w:val="center"/>
            <w:hideMark/>
          </w:tcPr>
          <w:p w14:paraId="1DE3DA8B" w14:textId="77777777" w:rsidR="00000000" w:rsidRDefault="00405D16">
            <w:pPr>
              <w:spacing w:after="100"/>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14:paraId="4943B82C"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FD5A3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7B790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DDE09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FE212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49B6C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F57DD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EA0FA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6846E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73CFD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F994D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CEFFBA" w14:textId="77777777" w:rsidR="00000000" w:rsidRDefault="00405D16">
            <w:pPr>
              <w:spacing w:after="100"/>
              <w:rPr>
                <w:rFonts w:eastAsia="Times New Roman"/>
                <w:sz w:val="20"/>
                <w:szCs w:val="20"/>
              </w:rPr>
            </w:pPr>
          </w:p>
        </w:tc>
      </w:tr>
      <w:tr w:rsidR="00000000" w14:paraId="38599960" w14:textId="77777777">
        <w:trPr>
          <w:divId w:val="1427537393"/>
        </w:trPr>
        <w:tc>
          <w:tcPr>
            <w:tcW w:w="0" w:type="auto"/>
            <w:gridSpan w:val="3"/>
            <w:shd w:val="clear" w:color="auto" w:fill="CCEEFF"/>
            <w:tcMar>
              <w:top w:w="30" w:type="dxa"/>
              <w:left w:w="245" w:type="dxa"/>
              <w:bottom w:w="30" w:type="dxa"/>
              <w:right w:w="20" w:type="dxa"/>
            </w:tcMar>
            <w:vAlign w:val="center"/>
            <w:hideMark/>
          </w:tcPr>
          <w:p w14:paraId="30249C7A" w14:textId="77777777" w:rsidR="00000000" w:rsidRDefault="00405D16">
            <w:pPr>
              <w:spacing w:after="100"/>
              <w:rPr>
                <w:rFonts w:eastAsia="Times New Roman"/>
              </w:rPr>
            </w:pPr>
            <w:r>
              <w:rPr>
                <w:rFonts w:eastAsia="Times New Roman"/>
                <w:color w:val="000000"/>
                <w:sz w:val="18"/>
                <w:szCs w:val="18"/>
              </w:rPr>
              <w:t>Fair value hedges</w:t>
            </w:r>
          </w:p>
        </w:tc>
        <w:tc>
          <w:tcPr>
            <w:tcW w:w="0" w:type="auto"/>
            <w:gridSpan w:val="3"/>
            <w:shd w:val="clear" w:color="auto" w:fill="CCEEFF"/>
            <w:tcMar>
              <w:top w:w="0" w:type="dxa"/>
              <w:left w:w="20" w:type="dxa"/>
              <w:bottom w:w="0" w:type="dxa"/>
              <w:right w:w="20" w:type="dxa"/>
            </w:tcMar>
            <w:vAlign w:val="center"/>
            <w:hideMark/>
          </w:tcPr>
          <w:p w14:paraId="0793C5C5" w14:textId="77777777" w:rsidR="00000000" w:rsidRDefault="00405D16">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4B16DB0D"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46DE5C50" w14:textId="77777777" w:rsidR="00000000" w:rsidRDefault="00405D16">
            <w:pPr>
              <w:spacing w:after="100"/>
              <w:jc w:val="right"/>
              <w:rPr>
                <w:rFonts w:eastAsia="Times New Roman"/>
              </w:rPr>
            </w:pPr>
            <w:r>
              <w:rPr>
                <w:rFonts w:eastAsia="Times New Roman"/>
                <w:b/>
                <w:bCs/>
                <w:color w:val="000000"/>
                <w:sz w:val="18"/>
                <w:szCs w:val="18"/>
              </w:rPr>
              <w:t>44,563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B8833B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33E3D9"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48B8A771"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6EFC68F3" w14:textId="77777777" w:rsidR="00000000" w:rsidRDefault="00405D16">
            <w:pPr>
              <w:spacing w:after="100"/>
              <w:jc w:val="right"/>
              <w:rPr>
                <w:rFonts w:eastAsia="Times New Roman"/>
              </w:rPr>
            </w:pPr>
            <w:r>
              <w:rPr>
                <w:rFonts w:eastAsia="Times New Roman"/>
                <w:b/>
                <w:bCs/>
                <w:color w:val="000000"/>
                <w:sz w:val="18"/>
                <w:szCs w:val="18"/>
              </w:rPr>
              <w:t>29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453166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8E7ADA"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0F0BE174"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55D4D3F7" w14:textId="77777777" w:rsidR="00000000" w:rsidRDefault="00405D16">
            <w:pPr>
              <w:spacing w:after="100"/>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0D486B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4202F6"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03786C57"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3DE0F855" w14:textId="77777777" w:rsidR="00000000" w:rsidRDefault="00405D16">
            <w:pPr>
              <w:spacing w:after="100"/>
              <w:jc w:val="right"/>
              <w:rPr>
                <w:rFonts w:eastAsia="Times New Roman"/>
              </w:rPr>
            </w:pPr>
            <w:r>
              <w:rPr>
                <w:rFonts w:eastAsia="Times New Roman"/>
                <w:color w:val="000000"/>
                <w:sz w:val="18"/>
                <w:szCs w:val="18"/>
              </w:rPr>
              <w:t>47,349 </w:t>
            </w:r>
          </w:p>
        </w:tc>
        <w:tc>
          <w:tcPr>
            <w:tcW w:w="0" w:type="auto"/>
            <w:shd w:val="clear" w:color="auto" w:fill="CCEEFF"/>
            <w:tcMar>
              <w:top w:w="30" w:type="dxa"/>
              <w:left w:w="0" w:type="dxa"/>
              <w:bottom w:w="30" w:type="dxa"/>
              <w:right w:w="20" w:type="dxa"/>
            </w:tcMar>
            <w:vAlign w:val="center"/>
            <w:hideMark/>
          </w:tcPr>
          <w:p w14:paraId="7AA3AD9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477C74"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757E5F0E"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0C11921A" w14:textId="77777777" w:rsidR="00000000" w:rsidRDefault="00405D16">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center"/>
            <w:hideMark/>
          </w:tcPr>
          <w:p w14:paraId="191EA63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DB83B7"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4B58E75C"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2CB09322" w14:textId="77777777" w:rsidR="00000000" w:rsidRDefault="00405D16">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center"/>
            <w:hideMark/>
          </w:tcPr>
          <w:p w14:paraId="0D09499C" w14:textId="77777777" w:rsidR="00000000" w:rsidRDefault="00405D16">
            <w:pPr>
              <w:spacing w:after="100"/>
              <w:jc w:val="right"/>
              <w:rPr>
                <w:rFonts w:eastAsia="Times New Roman"/>
              </w:rPr>
            </w:pPr>
          </w:p>
        </w:tc>
      </w:tr>
      <w:tr w:rsidR="00000000" w14:paraId="0BC17D94" w14:textId="77777777">
        <w:trPr>
          <w:divId w:val="1427537393"/>
        </w:trPr>
        <w:tc>
          <w:tcPr>
            <w:tcW w:w="0" w:type="auto"/>
            <w:gridSpan w:val="3"/>
            <w:shd w:val="clear" w:color="auto" w:fill="FFFFFF"/>
            <w:tcMar>
              <w:top w:w="30" w:type="dxa"/>
              <w:left w:w="245" w:type="dxa"/>
              <w:bottom w:w="30" w:type="dxa"/>
              <w:right w:w="20" w:type="dxa"/>
            </w:tcMar>
            <w:vAlign w:val="center"/>
            <w:hideMark/>
          </w:tcPr>
          <w:p w14:paraId="605DB816" w14:textId="77777777" w:rsidR="00000000" w:rsidRDefault="00405D16">
            <w:pPr>
              <w:spacing w:after="100"/>
              <w:rPr>
                <w:rFonts w:eastAsia="Times New Roman"/>
              </w:rPr>
            </w:pPr>
            <w:r>
              <w:rPr>
                <w:rFonts w:eastAsia="Times New Roman"/>
                <w:color w:val="000000"/>
                <w:sz w:val="18"/>
                <w:szCs w:val="18"/>
              </w:rPr>
              <w:t>Cash flow hedges</w:t>
            </w:r>
          </w:p>
        </w:tc>
        <w:tc>
          <w:tcPr>
            <w:tcW w:w="0" w:type="auto"/>
            <w:gridSpan w:val="3"/>
            <w:shd w:val="clear" w:color="auto" w:fill="FFFFFF"/>
            <w:tcMar>
              <w:top w:w="0" w:type="dxa"/>
              <w:left w:w="20" w:type="dxa"/>
              <w:bottom w:w="0" w:type="dxa"/>
              <w:right w:w="20" w:type="dxa"/>
            </w:tcMar>
            <w:vAlign w:val="center"/>
            <w:hideMark/>
          </w:tcPr>
          <w:p w14:paraId="066C1763"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BC9D9F3" w14:textId="77777777" w:rsidR="00000000" w:rsidRDefault="00405D16">
            <w:pPr>
              <w:spacing w:after="100"/>
              <w:jc w:val="right"/>
              <w:rPr>
                <w:rFonts w:eastAsia="Times New Roman"/>
              </w:rPr>
            </w:pPr>
            <w:r>
              <w:rPr>
                <w:rFonts w:eastAsia="Times New Roman"/>
                <w:b/>
                <w:bCs/>
                <w:color w:val="000000"/>
                <w:sz w:val="18"/>
                <w:szCs w:val="18"/>
              </w:rPr>
              <w:t>89,900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9BB26D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CD6E0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303DD29" w14:textId="77777777" w:rsidR="00000000" w:rsidRDefault="00405D16">
            <w:pPr>
              <w:spacing w:after="100"/>
              <w:jc w:val="right"/>
              <w:rPr>
                <w:rFonts w:eastAsia="Times New Roman"/>
              </w:rPr>
            </w:pPr>
            <w:r>
              <w:rPr>
                <w:rFonts w:eastAsia="Times New Roman"/>
                <w:b/>
                <w:bCs/>
                <w:color w:val="000000"/>
                <w:sz w:val="18"/>
                <w:szCs w:val="18"/>
              </w:rPr>
              <w:t>445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648523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8736D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150942E" w14:textId="77777777" w:rsidR="00000000" w:rsidRDefault="00405D16">
            <w:pPr>
              <w:spacing w:after="100"/>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B515EA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A94AD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8A904F4" w14:textId="77777777" w:rsidR="00000000" w:rsidRDefault="00405D16">
            <w:pPr>
              <w:spacing w:after="100"/>
              <w:jc w:val="right"/>
              <w:rPr>
                <w:rFonts w:eastAsia="Times New Roman"/>
              </w:rPr>
            </w:pPr>
            <w:r>
              <w:rPr>
                <w:rFonts w:eastAsia="Times New Roman"/>
                <w:color w:val="000000"/>
                <w:sz w:val="18"/>
                <w:szCs w:val="18"/>
              </w:rPr>
              <w:t>82,150 </w:t>
            </w:r>
          </w:p>
        </w:tc>
        <w:tc>
          <w:tcPr>
            <w:tcW w:w="0" w:type="auto"/>
            <w:shd w:val="clear" w:color="auto" w:fill="FFFFFF"/>
            <w:tcMar>
              <w:top w:w="30" w:type="dxa"/>
              <w:left w:w="0" w:type="dxa"/>
              <w:bottom w:w="30" w:type="dxa"/>
              <w:right w:w="20" w:type="dxa"/>
            </w:tcMar>
            <w:vAlign w:val="center"/>
            <w:hideMark/>
          </w:tcPr>
          <w:p w14:paraId="672FDF6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9964C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1BD0123" w14:textId="77777777" w:rsidR="00000000" w:rsidRDefault="00405D16">
            <w:pPr>
              <w:spacing w:after="100"/>
              <w:jc w:val="right"/>
              <w:rPr>
                <w:rFonts w:eastAsia="Times New Roman"/>
              </w:rPr>
            </w:pPr>
            <w:r>
              <w:rPr>
                <w:rFonts w:eastAsia="Times New Roman"/>
                <w:color w:val="000000"/>
                <w:sz w:val="18"/>
                <w:szCs w:val="18"/>
              </w:rPr>
              <w:t>748 </w:t>
            </w:r>
          </w:p>
        </w:tc>
        <w:tc>
          <w:tcPr>
            <w:tcW w:w="0" w:type="auto"/>
            <w:shd w:val="clear" w:color="auto" w:fill="FFFFFF"/>
            <w:tcMar>
              <w:top w:w="30" w:type="dxa"/>
              <w:left w:w="0" w:type="dxa"/>
              <w:bottom w:w="30" w:type="dxa"/>
              <w:right w:w="20" w:type="dxa"/>
            </w:tcMar>
            <w:vAlign w:val="center"/>
            <w:hideMark/>
          </w:tcPr>
          <w:p w14:paraId="0AE16E7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56868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37463C0" w14:textId="77777777" w:rsidR="00000000" w:rsidRDefault="00405D16">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14:paraId="0323B41D" w14:textId="77777777" w:rsidR="00000000" w:rsidRDefault="00405D16">
            <w:pPr>
              <w:spacing w:after="100"/>
              <w:jc w:val="right"/>
              <w:rPr>
                <w:rFonts w:eastAsia="Times New Roman"/>
              </w:rPr>
            </w:pPr>
          </w:p>
        </w:tc>
      </w:tr>
      <w:tr w:rsidR="00000000" w14:paraId="7846FDBB" w14:textId="77777777">
        <w:trPr>
          <w:divId w:val="1427537393"/>
        </w:trPr>
        <w:tc>
          <w:tcPr>
            <w:tcW w:w="0" w:type="auto"/>
            <w:gridSpan w:val="3"/>
            <w:shd w:val="clear" w:color="auto" w:fill="CCEEFF"/>
            <w:tcMar>
              <w:top w:w="30" w:type="dxa"/>
              <w:left w:w="20" w:type="dxa"/>
              <w:bottom w:w="30" w:type="dxa"/>
              <w:right w:w="20" w:type="dxa"/>
            </w:tcMar>
            <w:vAlign w:val="center"/>
            <w:hideMark/>
          </w:tcPr>
          <w:p w14:paraId="18FB3D5C" w14:textId="77777777" w:rsidR="00000000" w:rsidRDefault="00405D16">
            <w:pPr>
              <w:spacing w:after="100"/>
              <w:rPr>
                <w:rFonts w:eastAsia="Times New Roman"/>
              </w:rPr>
            </w:pPr>
            <w:r>
              <w:rPr>
                <w:rFonts w:eastAsia="Times New Roman"/>
                <w:color w:val="000000"/>
                <w:sz w:val="18"/>
                <w:szCs w:val="18"/>
              </w:rPr>
              <w:t>Total interest rate contracts</w:t>
            </w:r>
          </w:p>
        </w:tc>
        <w:tc>
          <w:tcPr>
            <w:tcW w:w="0" w:type="auto"/>
            <w:gridSpan w:val="3"/>
            <w:shd w:val="clear" w:color="auto" w:fill="CCEEFF"/>
            <w:tcMar>
              <w:top w:w="0" w:type="dxa"/>
              <w:left w:w="20" w:type="dxa"/>
              <w:bottom w:w="0" w:type="dxa"/>
              <w:right w:w="20" w:type="dxa"/>
            </w:tcMar>
            <w:vAlign w:val="center"/>
            <w:hideMark/>
          </w:tcPr>
          <w:p w14:paraId="796DAB6E"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F5694AE" w14:textId="77777777" w:rsidR="00000000" w:rsidRDefault="00405D16">
            <w:pPr>
              <w:spacing w:after="100"/>
              <w:jc w:val="right"/>
              <w:rPr>
                <w:rFonts w:eastAsia="Times New Roman"/>
              </w:rPr>
            </w:pPr>
            <w:r>
              <w:rPr>
                <w:rFonts w:eastAsia="Times New Roman"/>
                <w:b/>
                <w:bCs/>
                <w:color w:val="000000"/>
                <w:sz w:val="18"/>
                <w:szCs w:val="18"/>
              </w:rPr>
              <w:t>134,463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792C73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F1EB31"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FD87897" w14:textId="77777777" w:rsidR="00000000" w:rsidRDefault="00405D16">
            <w:pPr>
              <w:spacing w:after="100"/>
              <w:jc w:val="right"/>
              <w:rPr>
                <w:rFonts w:eastAsia="Times New Roman"/>
              </w:rPr>
            </w:pPr>
            <w:r>
              <w:rPr>
                <w:rFonts w:eastAsia="Times New Roman"/>
                <w:b/>
                <w:bCs/>
                <w:color w:val="000000"/>
                <w:sz w:val="18"/>
                <w:szCs w:val="18"/>
              </w:rPr>
              <w:t>474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E96FEC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B86AB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AE39DB7" w14:textId="77777777" w:rsidR="00000000" w:rsidRDefault="00405D16">
            <w:pPr>
              <w:spacing w:after="100"/>
              <w:jc w:val="right"/>
              <w:rPr>
                <w:rFonts w:eastAsia="Times New Roman"/>
              </w:rPr>
            </w:pPr>
            <w:r>
              <w:rPr>
                <w:rFonts w:eastAsia="Times New Roman"/>
                <w:b/>
                <w:bCs/>
                <w:color w:val="000000"/>
                <w:sz w:val="18"/>
                <w:szCs w:val="18"/>
              </w:rPr>
              <w:t>20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926532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506805"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DB3366C" w14:textId="77777777" w:rsidR="00000000" w:rsidRDefault="00405D16">
            <w:pPr>
              <w:spacing w:after="100"/>
              <w:jc w:val="right"/>
              <w:rPr>
                <w:rFonts w:eastAsia="Times New Roman"/>
              </w:rPr>
            </w:pPr>
            <w:r>
              <w:rPr>
                <w:rFonts w:eastAsia="Times New Roman"/>
                <w:color w:val="000000"/>
                <w:sz w:val="18"/>
                <w:szCs w:val="18"/>
              </w:rPr>
              <w:t>129,499 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F3BA65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6896D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D709EE3" w14:textId="77777777" w:rsidR="00000000" w:rsidRDefault="00405D16">
            <w:pPr>
              <w:spacing w:after="100"/>
              <w:jc w:val="right"/>
              <w:rPr>
                <w:rFonts w:eastAsia="Times New Roman"/>
              </w:rPr>
            </w:pPr>
            <w:r>
              <w:rPr>
                <w:rFonts w:eastAsia="Times New Roman"/>
                <w:color w:val="000000"/>
                <w:sz w:val="18"/>
                <w:szCs w:val="18"/>
              </w:rPr>
              <w:t>757 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48C34F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D7F086"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432F888" w14:textId="77777777" w:rsidR="00000000" w:rsidRDefault="00405D16">
            <w:pPr>
              <w:spacing w:after="100"/>
              <w:jc w:val="right"/>
              <w:rPr>
                <w:rFonts w:eastAsia="Times New Roman"/>
              </w:rPr>
            </w:pPr>
            <w:r>
              <w:rPr>
                <w:rFonts w:eastAsia="Times New Roman"/>
                <w:color w:val="000000"/>
                <w:sz w:val="18"/>
                <w:szCs w:val="18"/>
              </w:rPr>
              <w:t>11 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275478E" w14:textId="77777777" w:rsidR="00000000" w:rsidRDefault="00405D16">
            <w:pPr>
              <w:spacing w:after="100"/>
              <w:jc w:val="right"/>
              <w:rPr>
                <w:rFonts w:eastAsia="Times New Roman"/>
              </w:rPr>
            </w:pPr>
          </w:p>
        </w:tc>
      </w:tr>
      <w:tr w:rsidR="00000000" w14:paraId="02168D61" w14:textId="77777777">
        <w:trPr>
          <w:divId w:val="1427537393"/>
        </w:trPr>
        <w:tc>
          <w:tcPr>
            <w:tcW w:w="0" w:type="auto"/>
            <w:gridSpan w:val="3"/>
            <w:shd w:val="clear" w:color="auto" w:fill="FFFFFF"/>
            <w:tcMar>
              <w:top w:w="30" w:type="dxa"/>
              <w:left w:w="20" w:type="dxa"/>
              <w:bottom w:w="30" w:type="dxa"/>
              <w:right w:w="20" w:type="dxa"/>
            </w:tcMar>
            <w:vAlign w:val="center"/>
            <w:hideMark/>
          </w:tcPr>
          <w:p w14:paraId="5680E565" w14:textId="77777777" w:rsidR="00000000" w:rsidRDefault="00405D16">
            <w:pPr>
              <w:spacing w:after="100"/>
              <w:rPr>
                <w:rFonts w:eastAsia="Times New Roman"/>
              </w:rPr>
            </w:pPr>
            <w:r>
              <w:rPr>
                <w:rFonts w:eastAsia="Times New Roman"/>
                <w:color w:val="000000"/>
                <w:sz w:val="18"/>
                <w:szCs w:val="18"/>
              </w:rPr>
              <w:t>Foreign exchange contracts:</w:t>
            </w:r>
          </w:p>
        </w:tc>
        <w:tc>
          <w:tcPr>
            <w:tcW w:w="0" w:type="auto"/>
            <w:gridSpan w:val="3"/>
            <w:shd w:val="clear" w:color="auto" w:fill="FFFFFF"/>
            <w:tcMar>
              <w:top w:w="0" w:type="dxa"/>
              <w:left w:w="20" w:type="dxa"/>
              <w:bottom w:w="0" w:type="dxa"/>
              <w:right w:w="20" w:type="dxa"/>
            </w:tcMar>
            <w:vAlign w:val="center"/>
            <w:hideMark/>
          </w:tcPr>
          <w:p w14:paraId="29ED3447"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FB407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E3EED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4D918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D3E9F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C2817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EE9F6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6724F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00ED3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98611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D2A074"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6252FD" w14:textId="77777777" w:rsidR="00000000" w:rsidRDefault="00405D16">
            <w:pPr>
              <w:spacing w:after="100"/>
              <w:rPr>
                <w:rFonts w:eastAsia="Times New Roman"/>
                <w:sz w:val="20"/>
                <w:szCs w:val="20"/>
              </w:rPr>
            </w:pPr>
          </w:p>
        </w:tc>
      </w:tr>
      <w:tr w:rsidR="00000000" w14:paraId="0BDE796F" w14:textId="77777777">
        <w:trPr>
          <w:divId w:val="1427537393"/>
        </w:trPr>
        <w:tc>
          <w:tcPr>
            <w:tcW w:w="0" w:type="auto"/>
            <w:gridSpan w:val="3"/>
            <w:shd w:val="clear" w:color="auto" w:fill="CCEEFF"/>
            <w:tcMar>
              <w:top w:w="30" w:type="dxa"/>
              <w:left w:w="245" w:type="dxa"/>
              <w:bottom w:w="30" w:type="dxa"/>
              <w:right w:w="20" w:type="dxa"/>
            </w:tcMar>
            <w:vAlign w:val="center"/>
            <w:hideMark/>
          </w:tcPr>
          <w:p w14:paraId="363A7112" w14:textId="77777777" w:rsidR="00000000" w:rsidRDefault="00405D16">
            <w:pPr>
              <w:spacing w:after="100"/>
              <w:rPr>
                <w:rFonts w:eastAsia="Times New Roman"/>
              </w:rPr>
            </w:pPr>
            <w:r>
              <w:rPr>
                <w:rFonts w:eastAsia="Times New Roman"/>
                <w:color w:val="000000"/>
                <w:sz w:val="18"/>
                <w:szCs w:val="18"/>
              </w:rPr>
              <w:t>Fair value hedges</w:t>
            </w:r>
          </w:p>
        </w:tc>
        <w:tc>
          <w:tcPr>
            <w:tcW w:w="0" w:type="auto"/>
            <w:gridSpan w:val="3"/>
            <w:shd w:val="clear" w:color="auto" w:fill="CCEEFF"/>
            <w:tcMar>
              <w:top w:w="0" w:type="dxa"/>
              <w:left w:w="20" w:type="dxa"/>
              <w:bottom w:w="0" w:type="dxa"/>
              <w:right w:w="20" w:type="dxa"/>
            </w:tcMar>
            <w:vAlign w:val="center"/>
            <w:hideMark/>
          </w:tcPr>
          <w:p w14:paraId="7B10872B"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41E8657" w14:textId="77777777" w:rsidR="00000000" w:rsidRDefault="00405D16">
            <w:pPr>
              <w:spacing w:after="100"/>
              <w:jc w:val="right"/>
              <w:rPr>
                <w:rFonts w:eastAsia="Times New Roman"/>
              </w:rPr>
            </w:pPr>
            <w:r>
              <w:rPr>
                <w:rFonts w:eastAsia="Times New Roman"/>
                <w:b/>
                <w:bCs/>
                <w:color w:val="000000"/>
                <w:sz w:val="18"/>
                <w:szCs w:val="18"/>
              </w:rPr>
              <w:t>1,448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2148C0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4D9D6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19C2141" w14:textId="77777777" w:rsidR="00000000" w:rsidRDefault="00405D16">
            <w:pPr>
              <w:spacing w:after="100"/>
              <w:jc w:val="right"/>
              <w:rPr>
                <w:rFonts w:eastAsia="Times New Roman"/>
              </w:rPr>
            </w:pPr>
            <w:r>
              <w:rPr>
                <w:rFonts w:eastAsia="Times New Roman"/>
                <w:b/>
                <w:bCs/>
                <w:color w:val="000000"/>
                <w:sz w:val="18"/>
                <w:szCs w:val="18"/>
              </w:rPr>
              <w:t>46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DB4943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A7583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5EF8248"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065D14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19A74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C33CBAC" w14:textId="77777777" w:rsidR="00000000" w:rsidRDefault="00405D16">
            <w:pPr>
              <w:spacing w:after="100"/>
              <w:jc w:val="right"/>
              <w:rPr>
                <w:rFonts w:eastAsia="Times New Roman"/>
              </w:rPr>
            </w:pPr>
            <w:r>
              <w:rPr>
                <w:rFonts w:eastAsia="Times New Roman"/>
                <w:color w:val="000000"/>
                <w:sz w:val="18"/>
                <w:szCs w:val="18"/>
              </w:rPr>
              <w:t>1,527 </w:t>
            </w:r>
          </w:p>
        </w:tc>
        <w:tc>
          <w:tcPr>
            <w:tcW w:w="0" w:type="auto"/>
            <w:shd w:val="clear" w:color="auto" w:fill="CCEEFF"/>
            <w:tcMar>
              <w:top w:w="30" w:type="dxa"/>
              <w:left w:w="0" w:type="dxa"/>
              <w:bottom w:w="30" w:type="dxa"/>
              <w:right w:w="20" w:type="dxa"/>
            </w:tcMar>
            <w:vAlign w:val="center"/>
            <w:hideMark/>
          </w:tcPr>
          <w:p w14:paraId="6A19871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61204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9210FB9" w14:textId="77777777" w:rsidR="00000000" w:rsidRDefault="00405D16">
            <w:pPr>
              <w:spacing w:after="100"/>
              <w:jc w:val="right"/>
              <w:rPr>
                <w:rFonts w:eastAsia="Times New Roman"/>
              </w:rPr>
            </w:pPr>
            <w:r>
              <w:rPr>
                <w:rFonts w:eastAsia="Times New Roman"/>
                <w:color w:val="000000"/>
                <w:sz w:val="18"/>
                <w:szCs w:val="18"/>
              </w:rPr>
              <w:t>164 </w:t>
            </w:r>
          </w:p>
        </w:tc>
        <w:tc>
          <w:tcPr>
            <w:tcW w:w="0" w:type="auto"/>
            <w:shd w:val="clear" w:color="auto" w:fill="CCEEFF"/>
            <w:tcMar>
              <w:top w:w="30" w:type="dxa"/>
              <w:left w:w="0" w:type="dxa"/>
              <w:bottom w:w="30" w:type="dxa"/>
              <w:right w:w="20" w:type="dxa"/>
            </w:tcMar>
            <w:vAlign w:val="center"/>
            <w:hideMark/>
          </w:tcPr>
          <w:p w14:paraId="64651FD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829F8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C2F72AF"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334F7F96" w14:textId="77777777" w:rsidR="00000000" w:rsidRDefault="00405D16">
            <w:pPr>
              <w:spacing w:after="100"/>
              <w:jc w:val="right"/>
              <w:rPr>
                <w:rFonts w:eastAsia="Times New Roman"/>
              </w:rPr>
            </w:pPr>
          </w:p>
        </w:tc>
      </w:tr>
      <w:tr w:rsidR="00000000" w14:paraId="7A9B81C4" w14:textId="77777777">
        <w:trPr>
          <w:divId w:val="1427537393"/>
        </w:trPr>
        <w:tc>
          <w:tcPr>
            <w:tcW w:w="0" w:type="auto"/>
            <w:gridSpan w:val="3"/>
            <w:shd w:val="clear" w:color="auto" w:fill="FFFFFF"/>
            <w:tcMar>
              <w:top w:w="30" w:type="dxa"/>
              <w:left w:w="245" w:type="dxa"/>
              <w:bottom w:w="30" w:type="dxa"/>
              <w:right w:w="20" w:type="dxa"/>
            </w:tcMar>
            <w:vAlign w:val="center"/>
            <w:hideMark/>
          </w:tcPr>
          <w:p w14:paraId="70E545ED" w14:textId="77777777" w:rsidR="00000000" w:rsidRDefault="00405D16">
            <w:pPr>
              <w:spacing w:after="100"/>
              <w:rPr>
                <w:rFonts w:eastAsia="Times New Roman"/>
              </w:rPr>
            </w:pPr>
            <w:r>
              <w:rPr>
                <w:rFonts w:eastAsia="Times New Roman"/>
                <w:color w:val="000000"/>
                <w:sz w:val="18"/>
                <w:szCs w:val="18"/>
              </w:rPr>
              <w:t>Cash flow hedges</w:t>
            </w:r>
          </w:p>
        </w:tc>
        <w:tc>
          <w:tcPr>
            <w:tcW w:w="0" w:type="auto"/>
            <w:gridSpan w:val="3"/>
            <w:shd w:val="clear" w:color="auto" w:fill="FFFFFF"/>
            <w:tcMar>
              <w:top w:w="0" w:type="dxa"/>
              <w:left w:w="20" w:type="dxa"/>
              <w:bottom w:w="0" w:type="dxa"/>
              <w:right w:w="20" w:type="dxa"/>
            </w:tcMar>
            <w:vAlign w:val="center"/>
            <w:hideMark/>
          </w:tcPr>
          <w:p w14:paraId="26B8948D"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227BE04" w14:textId="77777777" w:rsidR="00000000" w:rsidRDefault="00405D16">
            <w:pPr>
              <w:spacing w:after="100"/>
              <w:jc w:val="right"/>
              <w:rPr>
                <w:rFonts w:eastAsia="Times New Roman"/>
              </w:rPr>
            </w:pPr>
            <w:r>
              <w:rPr>
                <w:rFonts w:eastAsia="Times New Roman"/>
                <w:b/>
                <w:bCs/>
                <w:color w:val="000000"/>
                <w:sz w:val="18"/>
                <w:szCs w:val="18"/>
              </w:rPr>
              <w:t>4,278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9B15C4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2E95F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A3C1413" w14:textId="77777777" w:rsidR="00000000" w:rsidRDefault="00405D16">
            <w:pPr>
              <w:spacing w:after="100"/>
              <w:jc w:val="right"/>
              <w:rPr>
                <w:rFonts w:eastAsia="Times New Roman"/>
              </w:rPr>
            </w:pPr>
            <w:r>
              <w:rPr>
                <w:rFonts w:eastAsia="Times New Roman"/>
                <w:b/>
                <w:bCs/>
                <w:color w:val="000000"/>
                <w:sz w:val="18"/>
                <w:szCs w:val="18"/>
              </w:rPr>
              <w:t>87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DDAF39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BFEE2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51F2EA6" w14:textId="77777777" w:rsidR="00000000" w:rsidRDefault="00405D16">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84D54C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BADC5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0A2F0D5" w14:textId="77777777" w:rsidR="00000000" w:rsidRDefault="00405D16">
            <w:pPr>
              <w:spacing w:after="100"/>
              <w:jc w:val="right"/>
              <w:rPr>
                <w:rFonts w:eastAsia="Times New Roman"/>
              </w:rPr>
            </w:pPr>
            <w:r>
              <w:rPr>
                <w:rFonts w:eastAsia="Times New Roman"/>
                <w:color w:val="000000"/>
                <w:sz w:val="18"/>
                <w:szCs w:val="18"/>
              </w:rPr>
              <w:t>4,582 </w:t>
            </w:r>
          </w:p>
        </w:tc>
        <w:tc>
          <w:tcPr>
            <w:tcW w:w="0" w:type="auto"/>
            <w:shd w:val="clear" w:color="auto" w:fill="FFFFFF"/>
            <w:tcMar>
              <w:top w:w="30" w:type="dxa"/>
              <w:left w:w="0" w:type="dxa"/>
              <w:bottom w:w="30" w:type="dxa"/>
              <w:right w:w="20" w:type="dxa"/>
            </w:tcMar>
            <w:vAlign w:val="center"/>
            <w:hideMark/>
          </w:tcPr>
          <w:p w14:paraId="45FDFA5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78AE3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FC08E69"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3924137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0C3E8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8C6DF7C" w14:textId="77777777" w:rsidR="00000000" w:rsidRDefault="00405D16">
            <w:pPr>
              <w:spacing w:after="100"/>
              <w:jc w:val="right"/>
              <w:rPr>
                <w:rFonts w:eastAsia="Times New Roman"/>
              </w:rPr>
            </w:pPr>
            <w:r>
              <w:rPr>
                <w:rFonts w:eastAsia="Times New Roman"/>
                <w:color w:val="000000"/>
                <w:sz w:val="18"/>
                <w:szCs w:val="18"/>
              </w:rPr>
              <w:t>161 </w:t>
            </w:r>
          </w:p>
        </w:tc>
        <w:tc>
          <w:tcPr>
            <w:tcW w:w="0" w:type="auto"/>
            <w:shd w:val="clear" w:color="auto" w:fill="FFFFFF"/>
            <w:tcMar>
              <w:top w:w="30" w:type="dxa"/>
              <w:left w:w="0" w:type="dxa"/>
              <w:bottom w:w="30" w:type="dxa"/>
              <w:right w:w="20" w:type="dxa"/>
            </w:tcMar>
            <w:vAlign w:val="center"/>
            <w:hideMark/>
          </w:tcPr>
          <w:p w14:paraId="10788538" w14:textId="77777777" w:rsidR="00000000" w:rsidRDefault="00405D16">
            <w:pPr>
              <w:spacing w:after="100"/>
              <w:jc w:val="right"/>
              <w:rPr>
                <w:rFonts w:eastAsia="Times New Roman"/>
              </w:rPr>
            </w:pPr>
          </w:p>
        </w:tc>
      </w:tr>
      <w:tr w:rsidR="00000000" w14:paraId="4106DED2" w14:textId="77777777">
        <w:trPr>
          <w:divId w:val="1427537393"/>
        </w:trPr>
        <w:tc>
          <w:tcPr>
            <w:tcW w:w="0" w:type="auto"/>
            <w:gridSpan w:val="3"/>
            <w:shd w:val="clear" w:color="auto" w:fill="CCEEFF"/>
            <w:tcMar>
              <w:top w:w="30" w:type="dxa"/>
              <w:left w:w="245" w:type="dxa"/>
              <w:bottom w:w="30" w:type="dxa"/>
              <w:right w:w="20" w:type="dxa"/>
            </w:tcMar>
            <w:vAlign w:val="center"/>
            <w:hideMark/>
          </w:tcPr>
          <w:p w14:paraId="3ACE46E5" w14:textId="77777777" w:rsidR="00000000" w:rsidRDefault="00405D16">
            <w:pPr>
              <w:spacing w:after="100"/>
              <w:rPr>
                <w:rFonts w:eastAsia="Times New Roman"/>
              </w:rPr>
            </w:pPr>
            <w:r>
              <w:rPr>
                <w:rFonts w:eastAsia="Times New Roman"/>
                <w:color w:val="000000"/>
                <w:sz w:val="18"/>
                <w:szCs w:val="18"/>
              </w:rPr>
              <w:t>Net investment hedges</w:t>
            </w:r>
          </w:p>
        </w:tc>
        <w:tc>
          <w:tcPr>
            <w:tcW w:w="0" w:type="auto"/>
            <w:gridSpan w:val="3"/>
            <w:shd w:val="clear" w:color="auto" w:fill="CCEEFF"/>
            <w:tcMar>
              <w:top w:w="0" w:type="dxa"/>
              <w:left w:w="20" w:type="dxa"/>
              <w:bottom w:w="0" w:type="dxa"/>
              <w:right w:w="20" w:type="dxa"/>
            </w:tcMar>
            <w:vAlign w:val="center"/>
            <w:hideMark/>
          </w:tcPr>
          <w:p w14:paraId="1682A16D"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C778B18" w14:textId="77777777" w:rsidR="00000000" w:rsidRDefault="00405D16">
            <w:pPr>
              <w:spacing w:after="100"/>
              <w:jc w:val="right"/>
              <w:rPr>
                <w:rFonts w:eastAsia="Times New Roman"/>
              </w:rPr>
            </w:pPr>
            <w:r>
              <w:rPr>
                <w:rFonts w:eastAsia="Times New Roman"/>
                <w:b/>
                <w:bCs/>
                <w:color w:val="000000"/>
                <w:sz w:val="18"/>
                <w:szCs w:val="18"/>
              </w:rPr>
              <w:t>3,325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11FEFE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438F7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7E3AF8E" w14:textId="77777777" w:rsidR="00000000" w:rsidRDefault="00405D16">
            <w:pPr>
              <w:spacing w:after="100"/>
              <w:jc w:val="right"/>
              <w:rPr>
                <w:rFonts w:eastAsia="Times New Roman"/>
              </w:rPr>
            </w:pPr>
            <w:r>
              <w:rPr>
                <w:rFonts w:eastAsia="Times New Roman"/>
                <w:b/>
                <w:bCs/>
                <w:color w:val="000000"/>
                <w:sz w:val="18"/>
                <w:szCs w:val="18"/>
              </w:rPr>
              <w:t>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4D2D26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DE578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AD123BA" w14:textId="77777777" w:rsidR="00000000" w:rsidRDefault="00405D16">
            <w:pPr>
              <w:spacing w:after="100"/>
              <w:jc w:val="right"/>
              <w:rPr>
                <w:rFonts w:eastAsia="Times New Roman"/>
              </w:rPr>
            </w:pPr>
            <w:r>
              <w:rPr>
                <w:rFonts w:eastAsia="Times New Roman"/>
                <w:b/>
                <w:bCs/>
                <w:color w:val="000000"/>
                <w:sz w:val="18"/>
                <w:szCs w:val="18"/>
              </w:rPr>
              <w:t>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4543AD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61FA4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FCB947F" w14:textId="77777777" w:rsidR="00000000" w:rsidRDefault="00405D16">
            <w:pPr>
              <w:spacing w:after="100"/>
              <w:jc w:val="right"/>
              <w:rPr>
                <w:rFonts w:eastAsia="Times New Roman"/>
              </w:rPr>
            </w:pPr>
            <w:r>
              <w:rPr>
                <w:rFonts w:eastAsia="Times New Roman"/>
                <w:color w:val="000000"/>
                <w:sz w:val="18"/>
                <w:szCs w:val="18"/>
              </w:rPr>
              <w:t>3,116 </w:t>
            </w:r>
          </w:p>
        </w:tc>
        <w:tc>
          <w:tcPr>
            <w:tcW w:w="0" w:type="auto"/>
            <w:shd w:val="clear" w:color="auto" w:fill="CCEEFF"/>
            <w:tcMar>
              <w:top w:w="30" w:type="dxa"/>
              <w:left w:w="0" w:type="dxa"/>
              <w:bottom w:w="30" w:type="dxa"/>
              <w:right w:w="20" w:type="dxa"/>
            </w:tcMar>
            <w:vAlign w:val="center"/>
            <w:hideMark/>
          </w:tcPr>
          <w:p w14:paraId="100C74D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EA8E5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96317E3"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1998447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8783B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6D5C2D3" w14:textId="77777777" w:rsidR="00000000" w:rsidRDefault="00405D16">
            <w:pPr>
              <w:spacing w:after="100"/>
              <w:jc w:val="right"/>
              <w:rPr>
                <w:rFonts w:eastAsia="Times New Roman"/>
              </w:rPr>
            </w:pPr>
            <w:r>
              <w:rPr>
                <w:rFonts w:eastAsia="Times New Roman"/>
                <w:color w:val="000000"/>
                <w:sz w:val="18"/>
                <w:szCs w:val="18"/>
              </w:rPr>
              <w:t>196 </w:t>
            </w:r>
          </w:p>
        </w:tc>
        <w:tc>
          <w:tcPr>
            <w:tcW w:w="0" w:type="auto"/>
            <w:shd w:val="clear" w:color="auto" w:fill="CCEEFF"/>
            <w:tcMar>
              <w:top w:w="30" w:type="dxa"/>
              <w:left w:w="0" w:type="dxa"/>
              <w:bottom w:w="30" w:type="dxa"/>
              <w:right w:w="20" w:type="dxa"/>
            </w:tcMar>
            <w:vAlign w:val="center"/>
            <w:hideMark/>
          </w:tcPr>
          <w:p w14:paraId="119FF857" w14:textId="77777777" w:rsidR="00000000" w:rsidRDefault="00405D16">
            <w:pPr>
              <w:spacing w:after="100"/>
              <w:jc w:val="right"/>
              <w:rPr>
                <w:rFonts w:eastAsia="Times New Roman"/>
              </w:rPr>
            </w:pPr>
          </w:p>
        </w:tc>
      </w:tr>
      <w:tr w:rsidR="00000000" w14:paraId="1B19CD63" w14:textId="77777777">
        <w:trPr>
          <w:divId w:val="1427537393"/>
        </w:trPr>
        <w:tc>
          <w:tcPr>
            <w:tcW w:w="0" w:type="auto"/>
            <w:gridSpan w:val="3"/>
            <w:shd w:val="clear" w:color="auto" w:fill="FFFFFF"/>
            <w:tcMar>
              <w:top w:w="30" w:type="dxa"/>
              <w:left w:w="20" w:type="dxa"/>
              <w:bottom w:w="30" w:type="dxa"/>
              <w:right w:w="20" w:type="dxa"/>
            </w:tcMar>
            <w:vAlign w:val="center"/>
            <w:hideMark/>
          </w:tcPr>
          <w:p w14:paraId="3F9F077D" w14:textId="77777777" w:rsidR="00000000" w:rsidRDefault="00405D16">
            <w:pPr>
              <w:spacing w:after="100"/>
              <w:rPr>
                <w:rFonts w:eastAsia="Times New Roman"/>
              </w:rPr>
            </w:pPr>
            <w:r>
              <w:rPr>
                <w:rFonts w:eastAsia="Times New Roman"/>
                <w:color w:val="000000"/>
                <w:sz w:val="18"/>
                <w:szCs w:val="18"/>
              </w:rPr>
              <w:t>Total foreign exchange contracts</w:t>
            </w:r>
          </w:p>
        </w:tc>
        <w:tc>
          <w:tcPr>
            <w:tcW w:w="0" w:type="auto"/>
            <w:gridSpan w:val="3"/>
            <w:shd w:val="clear" w:color="auto" w:fill="FFFFFF"/>
            <w:tcMar>
              <w:top w:w="0" w:type="dxa"/>
              <w:left w:w="20" w:type="dxa"/>
              <w:bottom w:w="0" w:type="dxa"/>
              <w:right w:w="20" w:type="dxa"/>
            </w:tcMar>
            <w:vAlign w:val="center"/>
            <w:hideMark/>
          </w:tcPr>
          <w:p w14:paraId="52EF2126"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AD7875F" w14:textId="77777777" w:rsidR="00000000" w:rsidRDefault="00405D16">
            <w:pPr>
              <w:spacing w:after="100"/>
              <w:jc w:val="right"/>
              <w:rPr>
                <w:rFonts w:eastAsia="Times New Roman"/>
              </w:rPr>
            </w:pPr>
            <w:r>
              <w:rPr>
                <w:rFonts w:eastAsia="Times New Roman"/>
                <w:b/>
                <w:bCs/>
                <w:color w:val="000000"/>
                <w:sz w:val="18"/>
                <w:szCs w:val="18"/>
              </w:rPr>
              <w:t>9,051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97115C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5E9F4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3117B61" w14:textId="77777777" w:rsidR="00000000" w:rsidRDefault="00405D16">
            <w:pPr>
              <w:spacing w:after="100"/>
              <w:jc w:val="right"/>
              <w:rPr>
                <w:rFonts w:eastAsia="Times New Roman"/>
              </w:rPr>
            </w:pPr>
            <w:r>
              <w:rPr>
                <w:rFonts w:eastAsia="Times New Roman"/>
                <w:b/>
                <w:bCs/>
                <w:color w:val="000000"/>
                <w:sz w:val="18"/>
                <w:szCs w:val="18"/>
              </w:rPr>
              <w:t>183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0B6F32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9A475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AAFF806" w14:textId="77777777" w:rsidR="00000000" w:rsidRDefault="00405D16">
            <w:pPr>
              <w:spacing w:after="100"/>
              <w:jc w:val="right"/>
              <w:rPr>
                <w:rFonts w:eastAsia="Times New Roman"/>
              </w:rPr>
            </w:pPr>
            <w:r>
              <w:rPr>
                <w:rFonts w:eastAsia="Times New Roman"/>
                <w:b/>
                <w:bCs/>
                <w:color w:val="000000"/>
                <w:sz w:val="18"/>
                <w:szCs w:val="18"/>
              </w:rPr>
              <w:t>36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BCADE1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B6DF04"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2965AF2" w14:textId="77777777" w:rsidR="00000000" w:rsidRDefault="00405D16">
            <w:pPr>
              <w:spacing w:after="100"/>
              <w:jc w:val="right"/>
              <w:rPr>
                <w:rFonts w:eastAsia="Times New Roman"/>
              </w:rPr>
            </w:pPr>
            <w:r>
              <w:rPr>
                <w:rFonts w:eastAsia="Times New Roman"/>
                <w:color w:val="000000"/>
                <w:sz w:val="18"/>
                <w:szCs w:val="18"/>
              </w:rPr>
              <w:t>9,225 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D2BBC1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DCD2AC"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F8AC90E" w14:textId="77777777" w:rsidR="00000000" w:rsidRDefault="00405D16">
            <w:pPr>
              <w:spacing w:after="100"/>
              <w:jc w:val="right"/>
              <w:rPr>
                <w:rFonts w:eastAsia="Times New Roman"/>
              </w:rPr>
            </w:pPr>
            <w:r>
              <w:rPr>
                <w:rFonts w:eastAsia="Times New Roman"/>
                <w:color w:val="000000"/>
                <w:sz w:val="18"/>
                <w:szCs w:val="18"/>
              </w:rPr>
              <w:t>164 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A4FFD3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B32797"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9028D32" w14:textId="77777777" w:rsidR="00000000" w:rsidRDefault="00405D16">
            <w:pPr>
              <w:spacing w:after="100"/>
              <w:jc w:val="right"/>
              <w:rPr>
                <w:rFonts w:eastAsia="Times New Roman"/>
              </w:rPr>
            </w:pPr>
            <w:r>
              <w:rPr>
                <w:rFonts w:eastAsia="Times New Roman"/>
                <w:color w:val="000000"/>
                <w:sz w:val="18"/>
                <w:szCs w:val="18"/>
              </w:rPr>
              <w:t>357 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1EF79A0" w14:textId="77777777" w:rsidR="00000000" w:rsidRDefault="00405D16">
            <w:pPr>
              <w:spacing w:after="100"/>
              <w:jc w:val="right"/>
              <w:rPr>
                <w:rFonts w:eastAsia="Times New Roman"/>
              </w:rPr>
            </w:pPr>
          </w:p>
        </w:tc>
      </w:tr>
      <w:tr w:rsidR="00000000" w14:paraId="308E28F1" w14:textId="77777777">
        <w:trPr>
          <w:divId w:val="1427537393"/>
        </w:trPr>
        <w:tc>
          <w:tcPr>
            <w:tcW w:w="0" w:type="auto"/>
            <w:gridSpan w:val="3"/>
            <w:shd w:val="clear" w:color="auto" w:fill="CCEEFF"/>
            <w:tcMar>
              <w:top w:w="30" w:type="dxa"/>
              <w:left w:w="20" w:type="dxa"/>
              <w:bottom w:w="30" w:type="dxa"/>
              <w:right w:w="20" w:type="dxa"/>
            </w:tcMar>
            <w:vAlign w:val="center"/>
            <w:hideMark/>
          </w:tcPr>
          <w:p w14:paraId="47E915C6" w14:textId="77777777" w:rsidR="00000000" w:rsidRDefault="00405D16">
            <w:pPr>
              <w:spacing w:after="100"/>
              <w:rPr>
                <w:rFonts w:eastAsia="Times New Roman"/>
              </w:rPr>
            </w:pPr>
            <w:r>
              <w:rPr>
                <w:rFonts w:eastAsia="Times New Roman"/>
                <w:color w:val="000000"/>
                <w:sz w:val="18"/>
                <w:szCs w:val="18"/>
              </w:rPr>
              <w:t>Total derivatives designated as accounting hedges</w:t>
            </w:r>
          </w:p>
        </w:tc>
        <w:tc>
          <w:tcPr>
            <w:tcW w:w="0" w:type="auto"/>
            <w:gridSpan w:val="3"/>
            <w:shd w:val="clear" w:color="auto" w:fill="CCEEFF"/>
            <w:tcMar>
              <w:top w:w="0" w:type="dxa"/>
              <w:left w:w="20" w:type="dxa"/>
              <w:bottom w:w="0" w:type="dxa"/>
              <w:right w:w="20" w:type="dxa"/>
            </w:tcMar>
            <w:vAlign w:val="center"/>
            <w:hideMark/>
          </w:tcPr>
          <w:p w14:paraId="53F5195B"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CDA9C62" w14:textId="77777777" w:rsidR="00000000" w:rsidRDefault="00405D16">
            <w:pPr>
              <w:spacing w:after="100"/>
              <w:jc w:val="right"/>
              <w:rPr>
                <w:rFonts w:eastAsia="Times New Roman"/>
              </w:rPr>
            </w:pPr>
            <w:r>
              <w:rPr>
                <w:rFonts w:eastAsia="Times New Roman"/>
                <w:b/>
                <w:bCs/>
                <w:color w:val="000000"/>
                <w:sz w:val="18"/>
                <w:szCs w:val="18"/>
              </w:rPr>
              <w:t>143,514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9AE641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43D14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EC16138" w14:textId="77777777" w:rsidR="00000000" w:rsidRDefault="00405D16">
            <w:pPr>
              <w:spacing w:after="100"/>
              <w:jc w:val="right"/>
              <w:rPr>
                <w:rFonts w:eastAsia="Times New Roman"/>
              </w:rPr>
            </w:pPr>
            <w:r>
              <w:rPr>
                <w:rFonts w:eastAsia="Times New Roman"/>
                <w:b/>
                <w:bCs/>
                <w:color w:val="000000"/>
                <w:sz w:val="18"/>
                <w:szCs w:val="18"/>
              </w:rPr>
              <w:t>657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BBB90E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B3263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4CEEC11" w14:textId="77777777" w:rsidR="00000000" w:rsidRDefault="00405D16">
            <w:pPr>
              <w:spacing w:after="100"/>
              <w:jc w:val="right"/>
              <w:rPr>
                <w:rFonts w:eastAsia="Times New Roman"/>
              </w:rPr>
            </w:pPr>
            <w:r>
              <w:rPr>
                <w:rFonts w:eastAsia="Times New Roman"/>
                <w:b/>
                <w:bCs/>
                <w:color w:val="000000"/>
                <w:sz w:val="18"/>
                <w:szCs w:val="18"/>
              </w:rPr>
              <w:t>56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143365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87C214"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52D4E77" w14:textId="77777777" w:rsidR="00000000" w:rsidRDefault="00405D16">
            <w:pPr>
              <w:spacing w:after="100"/>
              <w:jc w:val="right"/>
              <w:rPr>
                <w:rFonts w:eastAsia="Times New Roman"/>
              </w:rPr>
            </w:pPr>
            <w:r>
              <w:rPr>
                <w:rFonts w:eastAsia="Times New Roman"/>
                <w:color w:val="000000"/>
                <w:sz w:val="18"/>
                <w:szCs w:val="18"/>
              </w:rPr>
              <w:t>138,724 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627CC8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DD16D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FC2868E" w14:textId="77777777" w:rsidR="00000000" w:rsidRDefault="00405D16">
            <w:pPr>
              <w:spacing w:after="100"/>
              <w:jc w:val="right"/>
              <w:rPr>
                <w:rFonts w:eastAsia="Times New Roman"/>
              </w:rPr>
            </w:pPr>
            <w:r>
              <w:rPr>
                <w:rFonts w:eastAsia="Times New Roman"/>
                <w:color w:val="000000"/>
                <w:sz w:val="18"/>
                <w:szCs w:val="18"/>
              </w:rPr>
              <w:t>921 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4B0DBD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EF84C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2C68C4E" w14:textId="77777777" w:rsidR="00000000" w:rsidRDefault="00405D16">
            <w:pPr>
              <w:spacing w:after="100"/>
              <w:jc w:val="right"/>
              <w:rPr>
                <w:rFonts w:eastAsia="Times New Roman"/>
              </w:rPr>
            </w:pPr>
            <w:r>
              <w:rPr>
                <w:rFonts w:eastAsia="Times New Roman"/>
                <w:color w:val="000000"/>
                <w:sz w:val="18"/>
                <w:szCs w:val="18"/>
              </w:rPr>
              <w:t>368 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6017263" w14:textId="77777777" w:rsidR="00000000" w:rsidRDefault="00405D16">
            <w:pPr>
              <w:spacing w:after="100"/>
              <w:jc w:val="right"/>
              <w:rPr>
                <w:rFonts w:eastAsia="Times New Roman"/>
              </w:rPr>
            </w:pPr>
          </w:p>
        </w:tc>
      </w:tr>
      <w:tr w:rsidR="00000000" w14:paraId="5D54ABD2" w14:textId="77777777">
        <w:trPr>
          <w:divId w:val="1427537393"/>
        </w:trPr>
        <w:tc>
          <w:tcPr>
            <w:tcW w:w="0" w:type="auto"/>
            <w:gridSpan w:val="3"/>
            <w:shd w:val="clear" w:color="auto" w:fill="FFFFFF"/>
            <w:tcMar>
              <w:top w:w="30" w:type="dxa"/>
              <w:left w:w="20" w:type="dxa"/>
              <w:bottom w:w="30" w:type="dxa"/>
              <w:right w:w="20" w:type="dxa"/>
            </w:tcMar>
            <w:vAlign w:val="center"/>
            <w:hideMark/>
          </w:tcPr>
          <w:p w14:paraId="58C56B75" w14:textId="77777777" w:rsidR="00000000" w:rsidRDefault="00405D16">
            <w:pPr>
              <w:spacing w:after="100"/>
              <w:rPr>
                <w:rFonts w:eastAsia="Times New Roman"/>
              </w:rPr>
            </w:pPr>
            <w:r>
              <w:rPr>
                <w:rFonts w:eastAsia="Times New Roman"/>
                <w:b/>
                <w:bCs/>
                <w:color w:val="000000"/>
                <w:sz w:val="18"/>
                <w:szCs w:val="18"/>
              </w:rPr>
              <w:t>Derivatives not designated as accounting hedges:</w:t>
            </w:r>
          </w:p>
        </w:tc>
        <w:tc>
          <w:tcPr>
            <w:tcW w:w="0" w:type="auto"/>
            <w:gridSpan w:val="3"/>
            <w:shd w:val="clear" w:color="auto" w:fill="FFFFFF"/>
            <w:tcMar>
              <w:top w:w="0" w:type="dxa"/>
              <w:left w:w="20" w:type="dxa"/>
              <w:bottom w:w="0" w:type="dxa"/>
              <w:right w:w="20" w:type="dxa"/>
            </w:tcMar>
            <w:vAlign w:val="center"/>
            <w:hideMark/>
          </w:tcPr>
          <w:p w14:paraId="28B85367" w14:textId="77777777" w:rsidR="00000000" w:rsidRDefault="00405D16">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2645F7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AF829F"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B32C33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76CF78"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A020FE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29CF10"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AF97C1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1A720B"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195FB3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D36A6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6A61A87" w14:textId="77777777" w:rsidR="00000000" w:rsidRDefault="00405D16">
            <w:pPr>
              <w:spacing w:after="100"/>
              <w:rPr>
                <w:rFonts w:eastAsia="Times New Roman"/>
                <w:sz w:val="20"/>
                <w:szCs w:val="20"/>
              </w:rPr>
            </w:pPr>
          </w:p>
        </w:tc>
      </w:tr>
      <w:tr w:rsidR="00000000" w14:paraId="709B76FE" w14:textId="77777777">
        <w:trPr>
          <w:divId w:val="1427537393"/>
        </w:trPr>
        <w:tc>
          <w:tcPr>
            <w:tcW w:w="0" w:type="auto"/>
            <w:gridSpan w:val="3"/>
            <w:shd w:val="clear" w:color="auto" w:fill="CCEEFF"/>
            <w:tcMar>
              <w:top w:w="30" w:type="dxa"/>
              <w:left w:w="20" w:type="dxa"/>
              <w:bottom w:w="30" w:type="dxa"/>
              <w:right w:w="20" w:type="dxa"/>
            </w:tcMar>
            <w:vAlign w:val="center"/>
            <w:hideMark/>
          </w:tcPr>
          <w:p w14:paraId="14507E05" w14:textId="77777777" w:rsidR="00000000" w:rsidRDefault="00405D16">
            <w:pPr>
              <w:spacing w:after="100"/>
              <w:rPr>
                <w:rFonts w:eastAsia="Times New Roman"/>
              </w:rPr>
            </w:pPr>
            <w:r>
              <w:rPr>
                <w:rFonts w:eastAsia="Times New Roman"/>
                <w:color w:val="000000"/>
                <w:sz w:val="18"/>
                <w:szCs w:val="18"/>
              </w:rPr>
              <w:t>Customer accommodation:</w:t>
            </w:r>
          </w:p>
        </w:tc>
        <w:tc>
          <w:tcPr>
            <w:tcW w:w="0" w:type="auto"/>
            <w:gridSpan w:val="3"/>
            <w:shd w:val="clear" w:color="auto" w:fill="CCEEFF"/>
            <w:tcMar>
              <w:top w:w="0" w:type="dxa"/>
              <w:left w:w="20" w:type="dxa"/>
              <w:bottom w:w="0" w:type="dxa"/>
              <w:right w:w="20" w:type="dxa"/>
            </w:tcMar>
            <w:vAlign w:val="center"/>
            <w:hideMark/>
          </w:tcPr>
          <w:p w14:paraId="6EFF3A6A"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70E1F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9A1C3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3884F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524A5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FB4F3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1BAA4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5F6A5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7E4BB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2B7E5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9B18A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0D0C3E" w14:textId="77777777" w:rsidR="00000000" w:rsidRDefault="00405D16">
            <w:pPr>
              <w:spacing w:after="100"/>
              <w:rPr>
                <w:rFonts w:eastAsia="Times New Roman"/>
                <w:sz w:val="20"/>
                <w:szCs w:val="20"/>
              </w:rPr>
            </w:pPr>
          </w:p>
        </w:tc>
      </w:tr>
      <w:tr w:rsidR="00000000" w14:paraId="7640C7E1" w14:textId="77777777">
        <w:trPr>
          <w:divId w:val="1427537393"/>
        </w:trPr>
        <w:tc>
          <w:tcPr>
            <w:tcW w:w="0" w:type="auto"/>
            <w:gridSpan w:val="3"/>
            <w:shd w:val="clear" w:color="auto" w:fill="FFFFFF"/>
            <w:tcMar>
              <w:top w:w="30" w:type="dxa"/>
              <w:left w:w="245" w:type="dxa"/>
              <w:bottom w:w="30" w:type="dxa"/>
              <w:right w:w="20" w:type="dxa"/>
            </w:tcMar>
            <w:vAlign w:val="center"/>
            <w:hideMark/>
          </w:tcPr>
          <w:p w14:paraId="1730F1A0" w14:textId="77777777" w:rsidR="00000000" w:rsidRDefault="00405D16">
            <w:pPr>
              <w:spacing w:after="100"/>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14:paraId="4BB24AA3"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1E61BF2" w14:textId="77777777" w:rsidR="00000000" w:rsidRDefault="00405D16">
            <w:pPr>
              <w:spacing w:after="100"/>
              <w:jc w:val="right"/>
              <w:rPr>
                <w:rFonts w:eastAsia="Times New Roman"/>
              </w:rPr>
            </w:pPr>
            <w:r>
              <w:rPr>
                <w:rFonts w:eastAsia="Times New Roman"/>
                <w:b/>
                <w:bCs/>
                <w:color w:val="000000"/>
                <w:sz w:val="18"/>
                <w:szCs w:val="18"/>
              </w:rPr>
              <w:t>71,622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3CAC66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29BC0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D1E2564" w14:textId="77777777" w:rsidR="00000000" w:rsidRDefault="00405D16">
            <w:pPr>
              <w:spacing w:after="100"/>
              <w:jc w:val="right"/>
              <w:rPr>
                <w:rFonts w:eastAsia="Times New Roman"/>
              </w:rPr>
            </w:pPr>
            <w:r>
              <w:rPr>
                <w:rFonts w:eastAsia="Times New Roman"/>
                <w:b/>
                <w:bCs/>
                <w:color w:val="000000"/>
                <w:sz w:val="18"/>
                <w:szCs w:val="18"/>
              </w:rPr>
              <w:t>848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88D3B8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32825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5BF0F95" w14:textId="77777777" w:rsidR="00000000" w:rsidRDefault="00405D16">
            <w:pPr>
              <w:spacing w:after="100"/>
              <w:jc w:val="right"/>
              <w:rPr>
                <w:rFonts w:eastAsia="Times New Roman"/>
              </w:rPr>
            </w:pPr>
            <w:r>
              <w:rPr>
                <w:rFonts w:eastAsia="Times New Roman"/>
                <w:b/>
                <w:bCs/>
                <w:color w:val="000000"/>
                <w:sz w:val="18"/>
                <w:szCs w:val="18"/>
              </w:rPr>
              <w:t>202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DC5A82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D10F5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946BD19" w14:textId="77777777" w:rsidR="00000000" w:rsidRDefault="00405D16">
            <w:pPr>
              <w:spacing w:after="100"/>
              <w:jc w:val="right"/>
              <w:rPr>
                <w:rFonts w:eastAsia="Times New Roman"/>
              </w:rPr>
            </w:pPr>
            <w:r>
              <w:rPr>
                <w:rFonts w:eastAsia="Times New Roman"/>
                <w:color w:val="000000"/>
                <w:sz w:val="18"/>
                <w:szCs w:val="18"/>
              </w:rPr>
              <w:t>68,459 </w:t>
            </w:r>
          </w:p>
        </w:tc>
        <w:tc>
          <w:tcPr>
            <w:tcW w:w="0" w:type="auto"/>
            <w:shd w:val="clear" w:color="auto" w:fill="FFFFFF"/>
            <w:tcMar>
              <w:top w:w="30" w:type="dxa"/>
              <w:left w:w="0" w:type="dxa"/>
              <w:bottom w:w="30" w:type="dxa"/>
              <w:right w:w="20" w:type="dxa"/>
            </w:tcMar>
            <w:vAlign w:val="center"/>
            <w:hideMark/>
          </w:tcPr>
          <w:p w14:paraId="49D133E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C1449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671319F" w14:textId="77777777" w:rsidR="00000000" w:rsidRDefault="00405D16">
            <w:pPr>
              <w:spacing w:after="100"/>
              <w:jc w:val="right"/>
              <w:rPr>
                <w:rFonts w:eastAsia="Times New Roman"/>
              </w:rPr>
            </w:pPr>
            <w:r>
              <w:rPr>
                <w:rFonts w:eastAsia="Times New Roman"/>
                <w:color w:val="000000"/>
                <w:sz w:val="18"/>
                <w:szCs w:val="18"/>
              </w:rPr>
              <w:t>1,429 </w:t>
            </w:r>
          </w:p>
        </w:tc>
        <w:tc>
          <w:tcPr>
            <w:tcW w:w="0" w:type="auto"/>
            <w:shd w:val="clear" w:color="auto" w:fill="FFFFFF"/>
            <w:tcMar>
              <w:top w:w="30" w:type="dxa"/>
              <w:left w:w="0" w:type="dxa"/>
              <w:bottom w:w="30" w:type="dxa"/>
              <w:right w:w="20" w:type="dxa"/>
            </w:tcMar>
            <w:vAlign w:val="center"/>
            <w:hideMark/>
          </w:tcPr>
          <w:p w14:paraId="3F894F7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B9821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4C140C5" w14:textId="77777777" w:rsidR="00000000" w:rsidRDefault="00405D16">
            <w:pPr>
              <w:spacing w:after="100"/>
              <w:jc w:val="right"/>
              <w:rPr>
                <w:rFonts w:eastAsia="Times New Roman"/>
              </w:rPr>
            </w:pPr>
            <w:r>
              <w:rPr>
                <w:rFonts w:eastAsia="Times New Roman"/>
                <w:color w:val="000000"/>
                <w:sz w:val="18"/>
                <w:szCs w:val="18"/>
              </w:rPr>
              <w:t>198 </w:t>
            </w:r>
          </w:p>
        </w:tc>
        <w:tc>
          <w:tcPr>
            <w:tcW w:w="0" w:type="auto"/>
            <w:shd w:val="clear" w:color="auto" w:fill="FFFFFF"/>
            <w:tcMar>
              <w:top w:w="30" w:type="dxa"/>
              <w:left w:w="0" w:type="dxa"/>
              <w:bottom w:w="30" w:type="dxa"/>
              <w:right w:w="20" w:type="dxa"/>
            </w:tcMar>
            <w:vAlign w:val="center"/>
            <w:hideMark/>
          </w:tcPr>
          <w:p w14:paraId="54DE7BD0" w14:textId="77777777" w:rsidR="00000000" w:rsidRDefault="00405D16">
            <w:pPr>
              <w:spacing w:after="100"/>
              <w:jc w:val="right"/>
              <w:rPr>
                <w:rFonts w:eastAsia="Times New Roman"/>
              </w:rPr>
            </w:pPr>
          </w:p>
        </w:tc>
      </w:tr>
      <w:tr w:rsidR="00000000" w14:paraId="167BC34C" w14:textId="77777777">
        <w:trPr>
          <w:divId w:val="1427537393"/>
        </w:trPr>
        <w:tc>
          <w:tcPr>
            <w:tcW w:w="0" w:type="auto"/>
            <w:gridSpan w:val="3"/>
            <w:shd w:val="clear" w:color="auto" w:fill="CCEEFF"/>
            <w:tcMar>
              <w:top w:w="30" w:type="dxa"/>
              <w:left w:w="245" w:type="dxa"/>
              <w:bottom w:w="30" w:type="dxa"/>
              <w:right w:w="20" w:type="dxa"/>
            </w:tcMar>
            <w:vAlign w:val="center"/>
            <w:hideMark/>
          </w:tcPr>
          <w:p w14:paraId="2E410377" w14:textId="77777777" w:rsidR="00000000" w:rsidRDefault="00405D16">
            <w:pPr>
              <w:spacing w:after="100"/>
              <w:rPr>
                <w:rFonts w:eastAsia="Times New Roman"/>
              </w:rPr>
            </w:pPr>
            <w:r>
              <w:rPr>
                <w:rFonts w:eastAsia="Times New Roman"/>
                <w:color w:val="000000"/>
                <w:sz w:val="18"/>
                <w:szCs w:val="18"/>
              </w:rPr>
              <w:t>Commodity contracts</w:t>
            </w:r>
          </w:p>
        </w:tc>
        <w:tc>
          <w:tcPr>
            <w:tcW w:w="0" w:type="auto"/>
            <w:gridSpan w:val="3"/>
            <w:shd w:val="clear" w:color="auto" w:fill="CCEEFF"/>
            <w:tcMar>
              <w:top w:w="0" w:type="dxa"/>
              <w:left w:w="20" w:type="dxa"/>
              <w:bottom w:w="0" w:type="dxa"/>
              <w:right w:w="20" w:type="dxa"/>
            </w:tcMar>
            <w:vAlign w:val="center"/>
            <w:hideMark/>
          </w:tcPr>
          <w:p w14:paraId="0F2EC878"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0CD6E13" w14:textId="77777777" w:rsidR="00000000" w:rsidRDefault="00405D16">
            <w:pPr>
              <w:spacing w:after="100"/>
              <w:jc w:val="right"/>
              <w:rPr>
                <w:rFonts w:eastAsia="Times New Roman"/>
              </w:rPr>
            </w:pPr>
            <w:r>
              <w:rPr>
                <w:rFonts w:eastAsia="Times New Roman"/>
                <w:b/>
                <w:bCs/>
                <w:color w:val="000000"/>
                <w:sz w:val="18"/>
                <w:szCs w:val="18"/>
              </w:rPr>
              <w:t>21,555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404978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35307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6902D34" w14:textId="77777777" w:rsidR="00000000" w:rsidRDefault="00405D16">
            <w:pPr>
              <w:spacing w:after="100"/>
              <w:jc w:val="right"/>
              <w:rPr>
                <w:rFonts w:eastAsia="Times New Roman"/>
              </w:rPr>
            </w:pPr>
            <w:r>
              <w:rPr>
                <w:rFonts w:eastAsia="Times New Roman"/>
                <w:b/>
                <w:bCs/>
                <w:color w:val="000000"/>
                <w:sz w:val="18"/>
                <w:szCs w:val="18"/>
              </w:rPr>
              <w:t>3,302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422E8A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4504F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4DB986C" w14:textId="77777777" w:rsidR="00000000" w:rsidRDefault="00405D16">
            <w:pPr>
              <w:spacing w:after="100"/>
              <w:jc w:val="right"/>
              <w:rPr>
                <w:rFonts w:eastAsia="Times New Roman"/>
              </w:rPr>
            </w:pPr>
            <w:r>
              <w:rPr>
                <w:rFonts w:eastAsia="Times New Roman"/>
                <w:b/>
                <w:bCs/>
                <w:color w:val="000000"/>
                <w:sz w:val="18"/>
                <w:szCs w:val="18"/>
              </w:rPr>
              <w:t>3,136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7733F4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4F4AA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BF0BE6A" w14:textId="77777777" w:rsidR="00000000" w:rsidRDefault="00405D16">
            <w:pPr>
              <w:spacing w:after="100"/>
              <w:jc w:val="right"/>
              <w:rPr>
                <w:rFonts w:eastAsia="Times New Roman"/>
              </w:rPr>
            </w:pPr>
            <w:r>
              <w:rPr>
                <w:rFonts w:eastAsia="Times New Roman"/>
                <w:color w:val="000000"/>
                <w:sz w:val="18"/>
                <w:szCs w:val="18"/>
              </w:rPr>
              <w:t>16,871 </w:t>
            </w:r>
          </w:p>
        </w:tc>
        <w:tc>
          <w:tcPr>
            <w:tcW w:w="0" w:type="auto"/>
            <w:shd w:val="clear" w:color="auto" w:fill="CCEEFF"/>
            <w:tcMar>
              <w:top w:w="30" w:type="dxa"/>
              <w:left w:w="0" w:type="dxa"/>
              <w:bottom w:w="30" w:type="dxa"/>
              <w:right w:w="20" w:type="dxa"/>
            </w:tcMar>
            <w:vAlign w:val="center"/>
            <w:hideMark/>
          </w:tcPr>
          <w:p w14:paraId="3DC5D42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69C33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9734BBC" w14:textId="77777777" w:rsidR="00000000" w:rsidRDefault="00405D16">
            <w:pPr>
              <w:spacing w:after="100"/>
              <w:jc w:val="right"/>
              <w:rPr>
                <w:rFonts w:eastAsia="Times New Roman"/>
              </w:rPr>
            </w:pPr>
            <w:r>
              <w:rPr>
                <w:rFonts w:eastAsia="Times New Roman"/>
                <w:color w:val="000000"/>
                <w:sz w:val="18"/>
                <w:szCs w:val="18"/>
              </w:rPr>
              <w:t>935 </w:t>
            </w:r>
          </w:p>
        </w:tc>
        <w:tc>
          <w:tcPr>
            <w:tcW w:w="0" w:type="auto"/>
            <w:shd w:val="clear" w:color="auto" w:fill="CCEEFF"/>
            <w:tcMar>
              <w:top w:w="30" w:type="dxa"/>
              <w:left w:w="0" w:type="dxa"/>
              <w:bottom w:w="30" w:type="dxa"/>
              <w:right w:w="20" w:type="dxa"/>
            </w:tcMar>
            <w:vAlign w:val="center"/>
            <w:hideMark/>
          </w:tcPr>
          <w:p w14:paraId="772D1F9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22022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8BA7135" w14:textId="77777777" w:rsidR="00000000" w:rsidRDefault="00405D16">
            <w:pPr>
              <w:spacing w:after="100"/>
              <w:jc w:val="right"/>
              <w:rPr>
                <w:rFonts w:eastAsia="Times New Roman"/>
              </w:rPr>
            </w:pPr>
            <w:r>
              <w:rPr>
                <w:rFonts w:eastAsia="Times New Roman"/>
                <w:color w:val="000000"/>
                <w:sz w:val="18"/>
                <w:szCs w:val="18"/>
              </w:rPr>
              <w:t>820 </w:t>
            </w:r>
          </w:p>
        </w:tc>
        <w:tc>
          <w:tcPr>
            <w:tcW w:w="0" w:type="auto"/>
            <w:shd w:val="clear" w:color="auto" w:fill="CCEEFF"/>
            <w:tcMar>
              <w:top w:w="30" w:type="dxa"/>
              <w:left w:w="0" w:type="dxa"/>
              <w:bottom w:w="30" w:type="dxa"/>
              <w:right w:w="20" w:type="dxa"/>
            </w:tcMar>
            <w:vAlign w:val="center"/>
            <w:hideMark/>
          </w:tcPr>
          <w:p w14:paraId="3395D792" w14:textId="77777777" w:rsidR="00000000" w:rsidRDefault="00405D16">
            <w:pPr>
              <w:spacing w:after="100"/>
              <w:jc w:val="right"/>
              <w:rPr>
                <w:rFonts w:eastAsia="Times New Roman"/>
              </w:rPr>
            </w:pPr>
          </w:p>
        </w:tc>
      </w:tr>
      <w:tr w:rsidR="00000000" w14:paraId="7893DAE8" w14:textId="77777777">
        <w:trPr>
          <w:divId w:val="1427537393"/>
        </w:trPr>
        <w:tc>
          <w:tcPr>
            <w:tcW w:w="0" w:type="auto"/>
            <w:gridSpan w:val="3"/>
            <w:shd w:val="clear" w:color="auto" w:fill="FFFFFF"/>
            <w:tcMar>
              <w:top w:w="30" w:type="dxa"/>
              <w:left w:w="245" w:type="dxa"/>
              <w:bottom w:w="30" w:type="dxa"/>
              <w:right w:w="20" w:type="dxa"/>
            </w:tcMar>
            <w:vAlign w:val="center"/>
            <w:hideMark/>
          </w:tcPr>
          <w:p w14:paraId="25000A7C" w14:textId="77777777" w:rsidR="00000000" w:rsidRDefault="00405D16">
            <w:pPr>
              <w:spacing w:after="100"/>
              <w:rPr>
                <w:rFonts w:eastAsia="Times New Roman"/>
              </w:rPr>
            </w:pPr>
            <w:r>
              <w:rPr>
                <w:rFonts w:eastAsia="Times New Roman"/>
                <w:color w:val="000000"/>
                <w:sz w:val="18"/>
                <w:szCs w:val="18"/>
              </w:rPr>
              <w:t>Foreign exchange and other contracts</w:t>
            </w:r>
          </w:p>
        </w:tc>
        <w:tc>
          <w:tcPr>
            <w:tcW w:w="0" w:type="auto"/>
            <w:gridSpan w:val="3"/>
            <w:shd w:val="clear" w:color="auto" w:fill="FFFFFF"/>
            <w:tcMar>
              <w:top w:w="0" w:type="dxa"/>
              <w:left w:w="20" w:type="dxa"/>
              <w:bottom w:w="0" w:type="dxa"/>
              <w:right w:w="20" w:type="dxa"/>
            </w:tcMar>
            <w:vAlign w:val="center"/>
            <w:hideMark/>
          </w:tcPr>
          <w:p w14:paraId="0D9F02A7"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8357EB6" w14:textId="77777777" w:rsidR="00000000" w:rsidRDefault="00405D16">
            <w:pPr>
              <w:spacing w:after="100"/>
              <w:jc w:val="right"/>
              <w:rPr>
                <w:rFonts w:eastAsia="Times New Roman"/>
              </w:rPr>
            </w:pPr>
            <w:r>
              <w:rPr>
                <w:rFonts w:eastAsia="Times New Roman"/>
                <w:b/>
                <w:bCs/>
                <w:color w:val="000000"/>
                <w:sz w:val="18"/>
                <w:szCs w:val="18"/>
              </w:rPr>
              <w:t>4,077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74ACEE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EF618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97C94EA" w14:textId="77777777" w:rsidR="00000000" w:rsidRDefault="00405D16">
            <w:pPr>
              <w:spacing w:after="100"/>
              <w:jc w:val="right"/>
              <w:rPr>
                <w:rFonts w:eastAsia="Times New Roman"/>
              </w:rPr>
            </w:pPr>
            <w:r>
              <w:rPr>
                <w:rFonts w:eastAsia="Times New Roman"/>
                <w:b/>
                <w:bCs/>
                <w:color w:val="000000"/>
                <w:sz w:val="18"/>
                <w:szCs w:val="18"/>
              </w:rPr>
              <w:t>53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B69A30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9F60F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356AF88" w14:textId="77777777" w:rsidR="00000000" w:rsidRDefault="00405D16">
            <w:pPr>
              <w:spacing w:after="100"/>
              <w:jc w:val="right"/>
              <w:rPr>
                <w:rFonts w:eastAsia="Times New Roman"/>
              </w:rPr>
            </w:pPr>
            <w:r>
              <w:rPr>
                <w:rFonts w:eastAsia="Times New Roman"/>
                <w:b/>
                <w:bCs/>
                <w:color w:val="000000"/>
                <w:sz w:val="18"/>
                <w:szCs w:val="18"/>
              </w:rPr>
              <w:t>39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F98ADC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50708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BFAE4C1" w14:textId="77777777" w:rsidR="00000000" w:rsidRDefault="00405D16">
            <w:pPr>
              <w:spacing w:after="100"/>
              <w:jc w:val="right"/>
              <w:rPr>
                <w:rFonts w:eastAsia="Times New Roman"/>
              </w:rPr>
            </w:pPr>
            <w:r>
              <w:rPr>
                <w:rFonts w:eastAsia="Times New Roman"/>
                <w:color w:val="000000"/>
                <w:sz w:val="18"/>
                <w:szCs w:val="18"/>
              </w:rPr>
              <w:t>4,677 </w:t>
            </w:r>
          </w:p>
        </w:tc>
        <w:tc>
          <w:tcPr>
            <w:tcW w:w="0" w:type="auto"/>
            <w:shd w:val="clear" w:color="auto" w:fill="FFFFFF"/>
            <w:tcMar>
              <w:top w:w="30" w:type="dxa"/>
              <w:left w:w="0" w:type="dxa"/>
              <w:bottom w:w="30" w:type="dxa"/>
              <w:right w:w="20" w:type="dxa"/>
            </w:tcMar>
            <w:vAlign w:val="center"/>
            <w:hideMark/>
          </w:tcPr>
          <w:p w14:paraId="1326B2E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AA2C3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1704F0A" w14:textId="77777777" w:rsidR="00000000" w:rsidRDefault="00405D16">
            <w:pPr>
              <w:spacing w:after="100"/>
              <w:jc w:val="right"/>
              <w:rPr>
                <w:rFonts w:eastAsia="Times New Roman"/>
              </w:rPr>
            </w:pPr>
            <w:r>
              <w:rPr>
                <w:rFonts w:eastAsia="Times New Roman"/>
                <w:color w:val="000000"/>
                <w:sz w:val="18"/>
                <w:szCs w:val="18"/>
              </w:rPr>
              <w:t>58 </w:t>
            </w:r>
          </w:p>
        </w:tc>
        <w:tc>
          <w:tcPr>
            <w:tcW w:w="0" w:type="auto"/>
            <w:shd w:val="clear" w:color="auto" w:fill="FFFFFF"/>
            <w:tcMar>
              <w:top w:w="30" w:type="dxa"/>
              <w:left w:w="0" w:type="dxa"/>
              <w:bottom w:w="30" w:type="dxa"/>
              <w:right w:w="20" w:type="dxa"/>
            </w:tcMar>
            <w:vAlign w:val="center"/>
            <w:hideMark/>
          </w:tcPr>
          <w:p w14:paraId="7C9530E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8150D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60793B0" w14:textId="77777777" w:rsidR="00000000" w:rsidRDefault="00405D16">
            <w:pPr>
              <w:spacing w:after="100"/>
              <w:jc w:val="right"/>
              <w:rPr>
                <w:rFonts w:eastAsia="Times New Roman"/>
              </w:rPr>
            </w:pPr>
            <w:r>
              <w:rPr>
                <w:rFonts w:eastAsia="Times New Roman"/>
                <w:color w:val="000000"/>
                <w:sz w:val="18"/>
                <w:szCs w:val="18"/>
              </w:rPr>
              <w:t>70 </w:t>
            </w:r>
          </w:p>
        </w:tc>
        <w:tc>
          <w:tcPr>
            <w:tcW w:w="0" w:type="auto"/>
            <w:shd w:val="clear" w:color="auto" w:fill="FFFFFF"/>
            <w:tcMar>
              <w:top w:w="30" w:type="dxa"/>
              <w:left w:w="0" w:type="dxa"/>
              <w:bottom w:w="30" w:type="dxa"/>
              <w:right w:w="20" w:type="dxa"/>
            </w:tcMar>
            <w:vAlign w:val="center"/>
            <w:hideMark/>
          </w:tcPr>
          <w:p w14:paraId="5BB98E45" w14:textId="77777777" w:rsidR="00000000" w:rsidRDefault="00405D16">
            <w:pPr>
              <w:spacing w:after="100"/>
              <w:jc w:val="right"/>
              <w:rPr>
                <w:rFonts w:eastAsia="Times New Roman"/>
              </w:rPr>
            </w:pPr>
          </w:p>
        </w:tc>
      </w:tr>
      <w:tr w:rsidR="00000000" w14:paraId="5DD3F344" w14:textId="77777777">
        <w:trPr>
          <w:divId w:val="1427537393"/>
        </w:trPr>
        <w:tc>
          <w:tcPr>
            <w:tcW w:w="0" w:type="auto"/>
            <w:gridSpan w:val="3"/>
            <w:shd w:val="clear" w:color="auto" w:fill="CCEEFF"/>
            <w:tcMar>
              <w:top w:w="30" w:type="dxa"/>
              <w:left w:w="20" w:type="dxa"/>
              <w:bottom w:w="30" w:type="dxa"/>
              <w:right w:w="20" w:type="dxa"/>
            </w:tcMar>
            <w:vAlign w:val="center"/>
            <w:hideMark/>
          </w:tcPr>
          <w:p w14:paraId="5B42016C" w14:textId="77777777" w:rsidR="00000000" w:rsidRDefault="00405D16">
            <w:pPr>
              <w:spacing w:after="100"/>
              <w:rPr>
                <w:rFonts w:eastAsia="Times New Roman"/>
              </w:rPr>
            </w:pPr>
            <w:r>
              <w:rPr>
                <w:rFonts w:eastAsia="Times New Roman"/>
                <w:color w:val="000000"/>
                <w:sz w:val="18"/>
                <w:szCs w:val="18"/>
              </w:rPr>
              <w:t>Total customer accommodation</w:t>
            </w:r>
          </w:p>
        </w:tc>
        <w:tc>
          <w:tcPr>
            <w:tcW w:w="0" w:type="auto"/>
            <w:gridSpan w:val="3"/>
            <w:shd w:val="clear" w:color="auto" w:fill="CCEEFF"/>
            <w:tcMar>
              <w:top w:w="0" w:type="dxa"/>
              <w:left w:w="20" w:type="dxa"/>
              <w:bottom w:w="0" w:type="dxa"/>
              <w:right w:w="20" w:type="dxa"/>
            </w:tcMar>
            <w:vAlign w:val="center"/>
            <w:hideMark/>
          </w:tcPr>
          <w:p w14:paraId="0E3D71EA"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647E424" w14:textId="77777777" w:rsidR="00000000" w:rsidRDefault="00405D16">
            <w:pPr>
              <w:spacing w:after="100"/>
              <w:jc w:val="right"/>
              <w:rPr>
                <w:rFonts w:eastAsia="Times New Roman"/>
              </w:rPr>
            </w:pPr>
            <w:r>
              <w:rPr>
                <w:rFonts w:eastAsia="Times New Roman"/>
                <w:b/>
                <w:bCs/>
                <w:color w:val="000000"/>
                <w:sz w:val="18"/>
                <w:szCs w:val="18"/>
              </w:rPr>
              <w:t>97,254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F08138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E1920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FAB35AA" w14:textId="77777777" w:rsidR="00000000" w:rsidRDefault="00405D16">
            <w:pPr>
              <w:spacing w:after="100"/>
              <w:jc w:val="right"/>
              <w:rPr>
                <w:rFonts w:eastAsia="Times New Roman"/>
              </w:rPr>
            </w:pPr>
            <w:r>
              <w:rPr>
                <w:rFonts w:eastAsia="Times New Roman"/>
                <w:b/>
                <w:bCs/>
                <w:color w:val="000000"/>
                <w:sz w:val="18"/>
                <w:szCs w:val="18"/>
              </w:rPr>
              <w:t>4,203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636738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FBDC49"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63EC438" w14:textId="77777777" w:rsidR="00000000" w:rsidRDefault="00405D16">
            <w:pPr>
              <w:spacing w:after="100"/>
              <w:jc w:val="right"/>
              <w:rPr>
                <w:rFonts w:eastAsia="Times New Roman"/>
              </w:rPr>
            </w:pPr>
            <w:r>
              <w:rPr>
                <w:rFonts w:eastAsia="Times New Roman"/>
                <w:b/>
                <w:bCs/>
                <w:color w:val="000000"/>
                <w:sz w:val="18"/>
                <w:szCs w:val="18"/>
              </w:rPr>
              <w:t>3,377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0FA812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3A2CE1"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3D8A0E8" w14:textId="77777777" w:rsidR="00000000" w:rsidRDefault="00405D16">
            <w:pPr>
              <w:spacing w:after="100"/>
              <w:jc w:val="right"/>
              <w:rPr>
                <w:rFonts w:eastAsia="Times New Roman"/>
              </w:rPr>
            </w:pPr>
            <w:r>
              <w:rPr>
                <w:rFonts w:eastAsia="Times New Roman"/>
                <w:color w:val="000000"/>
                <w:sz w:val="18"/>
                <w:szCs w:val="18"/>
              </w:rPr>
              <w:t>90,007 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8A1D72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C791B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A2EDDB3" w14:textId="77777777" w:rsidR="00000000" w:rsidRDefault="00405D16">
            <w:pPr>
              <w:spacing w:after="100"/>
              <w:jc w:val="right"/>
              <w:rPr>
                <w:rFonts w:eastAsia="Times New Roman"/>
              </w:rPr>
            </w:pPr>
            <w:r>
              <w:rPr>
                <w:rFonts w:eastAsia="Times New Roman"/>
                <w:color w:val="000000"/>
                <w:sz w:val="18"/>
                <w:szCs w:val="18"/>
              </w:rPr>
              <w:t>2,422 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2FBCDE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17FC40"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0350675" w14:textId="77777777" w:rsidR="00000000" w:rsidRDefault="00405D16">
            <w:pPr>
              <w:spacing w:after="100"/>
              <w:jc w:val="right"/>
              <w:rPr>
                <w:rFonts w:eastAsia="Times New Roman"/>
              </w:rPr>
            </w:pPr>
            <w:r>
              <w:rPr>
                <w:rFonts w:eastAsia="Times New Roman"/>
                <w:color w:val="000000"/>
                <w:sz w:val="18"/>
                <w:szCs w:val="18"/>
              </w:rPr>
              <w:t>1,088 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D457CDD" w14:textId="77777777" w:rsidR="00000000" w:rsidRDefault="00405D16">
            <w:pPr>
              <w:spacing w:after="100"/>
              <w:jc w:val="right"/>
              <w:rPr>
                <w:rFonts w:eastAsia="Times New Roman"/>
              </w:rPr>
            </w:pPr>
          </w:p>
        </w:tc>
      </w:tr>
      <w:tr w:rsidR="00000000" w14:paraId="0C76C18D" w14:textId="77777777">
        <w:trPr>
          <w:divId w:val="1427537393"/>
        </w:trPr>
        <w:tc>
          <w:tcPr>
            <w:tcW w:w="0" w:type="auto"/>
            <w:gridSpan w:val="3"/>
            <w:shd w:val="clear" w:color="auto" w:fill="FFFFFF"/>
            <w:tcMar>
              <w:top w:w="30" w:type="dxa"/>
              <w:left w:w="20" w:type="dxa"/>
              <w:bottom w:w="30" w:type="dxa"/>
              <w:right w:w="20" w:type="dxa"/>
            </w:tcMar>
            <w:vAlign w:val="center"/>
            <w:hideMark/>
          </w:tcPr>
          <w:p w14:paraId="27284E66" w14:textId="77777777" w:rsidR="00000000" w:rsidRDefault="00405D16">
            <w:pPr>
              <w:spacing w:after="100"/>
              <w:divId w:val="666328103"/>
              <w:rPr>
                <w:rFonts w:eastAsia="Times New Roman"/>
              </w:rPr>
            </w:pPr>
            <w:r>
              <w:rPr>
                <w:rFonts w:eastAsia="Times New Roman"/>
                <w:color w:val="000000"/>
                <w:sz w:val="18"/>
                <w:szCs w:val="18"/>
              </w:rPr>
              <w:t>Other interest rate exposure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50545899"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ED7D29A" w14:textId="77777777" w:rsidR="00000000" w:rsidRDefault="00405D16">
            <w:pPr>
              <w:spacing w:after="100"/>
              <w:jc w:val="right"/>
              <w:rPr>
                <w:rFonts w:eastAsia="Times New Roman"/>
              </w:rPr>
            </w:pPr>
            <w:r>
              <w:rPr>
                <w:rFonts w:eastAsia="Times New Roman"/>
                <w:b/>
                <w:bCs/>
                <w:color w:val="000000"/>
                <w:sz w:val="18"/>
                <w:szCs w:val="18"/>
              </w:rPr>
              <w:t>2,656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8B742C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8A78A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0448C9F" w14:textId="77777777" w:rsidR="00000000" w:rsidRDefault="00405D16">
            <w:pPr>
              <w:spacing w:after="100"/>
              <w:jc w:val="right"/>
              <w:rPr>
                <w:rFonts w:eastAsia="Times New Roman"/>
              </w:rPr>
            </w:pPr>
            <w:r>
              <w:rPr>
                <w:rFonts w:eastAsia="Times New Roman"/>
                <w:b/>
                <w:bCs/>
                <w:color w:val="000000"/>
                <w:sz w:val="18"/>
                <w:szCs w:val="18"/>
              </w:rPr>
              <w:t>42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0D3685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56640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248A155" w14:textId="77777777" w:rsidR="00000000" w:rsidRDefault="00405D16">
            <w:pPr>
              <w:spacing w:after="100"/>
              <w:jc w:val="right"/>
              <w:rPr>
                <w:rFonts w:eastAsia="Times New Roman"/>
              </w:rPr>
            </w:pPr>
            <w:r>
              <w:rPr>
                <w:rFonts w:eastAsia="Times New Roman"/>
                <w:b/>
                <w:bCs/>
                <w:color w:val="000000"/>
                <w:sz w:val="18"/>
                <w:szCs w:val="18"/>
              </w:rPr>
              <w:t>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762219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AF139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98F6630" w14:textId="77777777" w:rsidR="00000000" w:rsidRDefault="00405D16">
            <w:pPr>
              <w:spacing w:after="100"/>
              <w:jc w:val="right"/>
              <w:rPr>
                <w:rFonts w:eastAsia="Times New Roman"/>
              </w:rPr>
            </w:pPr>
            <w:r>
              <w:rPr>
                <w:rFonts w:eastAsia="Times New Roman"/>
                <w:color w:val="000000"/>
                <w:sz w:val="18"/>
                <w:szCs w:val="18"/>
              </w:rPr>
              <w:t>1,770 </w:t>
            </w:r>
          </w:p>
        </w:tc>
        <w:tc>
          <w:tcPr>
            <w:tcW w:w="0" w:type="auto"/>
            <w:shd w:val="clear" w:color="auto" w:fill="FFFFFF"/>
            <w:tcMar>
              <w:top w:w="30" w:type="dxa"/>
              <w:left w:w="0" w:type="dxa"/>
              <w:bottom w:w="30" w:type="dxa"/>
              <w:right w:w="20" w:type="dxa"/>
            </w:tcMar>
            <w:vAlign w:val="center"/>
            <w:hideMark/>
          </w:tcPr>
          <w:p w14:paraId="0D50339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D77D3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DEBBFFC" w14:textId="77777777" w:rsidR="00000000" w:rsidRDefault="00405D16">
            <w:pPr>
              <w:spacing w:after="100"/>
              <w:jc w:val="right"/>
              <w:rPr>
                <w:rFonts w:eastAsia="Times New Roman"/>
              </w:rPr>
            </w:pPr>
            <w:r>
              <w:rPr>
                <w:rFonts w:eastAsia="Times New Roman"/>
                <w:color w:val="000000"/>
                <w:sz w:val="18"/>
                <w:szCs w:val="18"/>
              </w:rPr>
              <w:t>71 </w:t>
            </w:r>
          </w:p>
        </w:tc>
        <w:tc>
          <w:tcPr>
            <w:tcW w:w="0" w:type="auto"/>
            <w:shd w:val="clear" w:color="auto" w:fill="FFFFFF"/>
            <w:tcMar>
              <w:top w:w="30" w:type="dxa"/>
              <w:left w:w="0" w:type="dxa"/>
              <w:bottom w:w="30" w:type="dxa"/>
              <w:right w:w="20" w:type="dxa"/>
            </w:tcMar>
            <w:vAlign w:val="center"/>
            <w:hideMark/>
          </w:tcPr>
          <w:p w14:paraId="3830FCF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646D9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9CCEAA3" w14:textId="77777777" w:rsidR="00000000" w:rsidRDefault="00405D16">
            <w:pPr>
              <w:spacing w:after="100"/>
              <w:jc w:val="right"/>
              <w:rPr>
                <w:rFonts w:eastAsia="Times New Roman"/>
              </w:rPr>
            </w:pPr>
            <w:r>
              <w:rPr>
                <w:rFonts w:eastAsia="Times New Roman"/>
                <w:color w:val="000000"/>
                <w:sz w:val="18"/>
                <w:szCs w:val="18"/>
              </w:rPr>
              <w:t>56 </w:t>
            </w:r>
          </w:p>
        </w:tc>
        <w:tc>
          <w:tcPr>
            <w:tcW w:w="0" w:type="auto"/>
            <w:shd w:val="clear" w:color="auto" w:fill="FFFFFF"/>
            <w:tcMar>
              <w:top w:w="30" w:type="dxa"/>
              <w:left w:w="0" w:type="dxa"/>
              <w:bottom w:w="30" w:type="dxa"/>
              <w:right w:w="20" w:type="dxa"/>
            </w:tcMar>
            <w:vAlign w:val="center"/>
            <w:hideMark/>
          </w:tcPr>
          <w:p w14:paraId="15522C36" w14:textId="77777777" w:rsidR="00000000" w:rsidRDefault="00405D16">
            <w:pPr>
              <w:spacing w:after="100"/>
              <w:jc w:val="right"/>
              <w:rPr>
                <w:rFonts w:eastAsia="Times New Roman"/>
              </w:rPr>
            </w:pPr>
          </w:p>
        </w:tc>
      </w:tr>
      <w:tr w:rsidR="00000000" w14:paraId="2250D377" w14:textId="77777777">
        <w:trPr>
          <w:divId w:val="1427537393"/>
        </w:trPr>
        <w:tc>
          <w:tcPr>
            <w:tcW w:w="0" w:type="auto"/>
            <w:gridSpan w:val="3"/>
            <w:shd w:val="clear" w:color="auto" w:fill="CCEEFF"/>
            <w:tcMar>
              <w:top w:w="30" w:type="dxa"/>
              <w:left w:w="20" w:type="dxa"/>
              <w:bottom w:w="30" w:type="dxa"/>
              <w:right w:w="20" w:type="dxa"/>
            </w:tcMar>
            <w:vAlign w:val="center"/>
            <w:hideMark/>
          </w:tcPr>
          <w:p w14:paraId="42EBFEF6" w14:textId="77777777" w:rsidR="00000000" w:rsidRDefault="00405D16">
            <w:pPr>
              <w:spacing w:after="100"/>
              <w:rPr>
                <w:rFonts w:eastAsia="Times New Roman"/>
              </w:rPr>
            </w:pPr>
            <w:r>
              <w:rPr>
                <w:rFonts w:eastAsia="Times New Roman"/>
                <w:color w:val="000000"/>
                <w:sz w:val="18"/>
                <w:szCs w:val="18"/>
              </w:rPr>
              <w:t>Other contracts</w:t>
            </w:r>
          </w:p>
        </w:tc>
        <w:tc>
          <w:tcPr>
            <w:tcW w:w="0" w:type="auto"/>
            <w:gridSpan w:val="3"/>
            <w:shd w:val="clear" w:color="auto" w:fill="CCEEFF"/>
            <w:tcMar>
              <w:top w:w="0" w:type="dxa"/>
              <w:left w:w="20" w:type="dxa"/>
              <w:bottom w:w="0" w:type="dxa"/>
              <w:right w:w="20" w:type="dxa"/>
            </w:tcMar>
            <w:vAlign w:val="center"/>
            <w:hideMark/>
          </w:tcPr>
          <w:p w14:paraId="72A0FACE"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4C2B011" w14:textId="77777777" w:rsidR="00000000" w:rsidRDefault="00405D16">
            <w:pPr>
              <w:spacing w:after="100"/>
              <w:jc w:val="right"/>
              <w:rPr>
                <w:rFonts w:eastAsia="Times New Roman"/>
              </w:rPr>
            </w:pPr>
            <w:r>
              <w:rPr>
                <w:rFonts w:eastAsia="Times New Roman"/>
                <w:b/>
                <w:bCs/>
                <w:color w:val="000000"/>
                <w:sz w:val="18"/>
                <w:szCs w:val="18"/>
              </w:rPr>
              <w:t>1,983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BE9402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4E4EE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D3541F1" w14:textId="77777777" w:rsidR="00000000" w:rsidRDefault="00405D16">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F2F8E7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797C3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59F3607" w14:textId="77777777" w:rsidR="00000000" w:rsidRDefault="00405D16">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7E8818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BE3A2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5CB1FFA" w14:textId="77777777" w:rsidR="00000000" w:rsidRDefault="00405D16">
            <w:pPr>
              <w:spacing w:after="100"/>
              <w:jc w:val="right"/>
              <w:rPr>
                <w:rFonts w:eastAsia="Times New Roman"/>
              </w:rPr>
            </w:pPr>
            <w:r>
              <w:rPr>
                <w:rFonts w:eastAsia="Times New Roman"/>
                <w:color w:val="000000"/>
                <w:sz w:val="18"/>
                <w:szCs w:val="18"/>
              </w:rPr>
              <w:t>1,826 </w:t>
            </w:r>
          </w:p>
        </w:tc>
        <w:tc>
          <w:tcPr>
            <w:tcW w:w="0" w:type="auto"/>
            <w:shd w:val="clear" w:color="auto" w:fill="CCEEFF"/>
            <w:tcMar>
              <w:top w:w="30" w:type="dxa"/>
              <w:left w:w="0" w:type="dxa"/>
              <w:bottom w:w="30" w:type="dxa"/>
              <w:right w:w="20" w:type="dxa"/>
            </w:tcMar>
            <w:vAlign w:val="center"/>
            <w:hideMark/>
          </w:tcPr>
          <w:p w14:paraId="4C9679E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CEB88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C8AF72D" w14:textId="77777777" w:rsidR="00000000" w:rsidRDefault="00405D16">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14:paraId="2A39602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2A73B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5A6DCA5" w14:textId="77777777" w:rsidR="00000000" w:rsidRDefault="00405D16">
            <w:pPr>
              <w:spacing w:after="100"/>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center"/>
            <w:hideMark/>
          </w:tcPr>
          <w:p w14:paraId="7D6B8EC3" w14:textId="77777777" w:rsidR="00000000" w:rsidRDefault="00405D16">
            <w:pPr>
              <w:spacing w:after="100"/>
              <w:jc w:val="right"/>
              <w:rPr>
                <w:rFonts w:eastAsia="Times New Roman"/>
              </w:rPr>
            </w:pPr>
          </w:p>
        </w:tc>
      </w:tr>
      <w:tr w:rsidR="00000000" w14:paraId="46309C1B" w14:textId="77777777">
        <w:trPr>
          <w:divId w:val="1427537393"/>
        </w:trPr>
        <w:tc>
          <w:tcPr>
            <w:tcW w:w="0" w:type="auto"/>
            <w:gridSpan w:val="3"/>
            <w:shd w:val="clear" w:color="auto" w:fill="FFFFFF"/>
            <w:tcMar>
              <w:top w:w="30" w:type="dxa"/>
              <w:left w:w="20" w:type="dxa"/>
              <w:bottom w:w="30" w:type="dxa"/>
              <w:right w:w="20" w:type="dxa"/>
            </w:tcMar>
            <w:vAlign w:val="center"/>
            <w:hideMark/>
          </w:tcPr>
          <w:p w14:paraId="11CD4331" w14:textId="77777777" w:rsidR="00000000" w:rsidRDefault="00405D16">
            <w:pPr>
              <w:spacing w:after="100"/>
              <w:rPr>
                <w:rFonts w:eastAsia="Times New Roman"/>
              </w:rPr>
            </w:pPr>
            <w:r>
              <w:rPr>
                <w:rFonts w:eastAsia="Times New Roman"/>
                <w:color w:val="000000"/>
                <w:sz w:val="18"/>
                <w:szCs w:val="18"/>
              </w:rPr>
              <w:t>Total derivatives not designated as accounting hedges</w:t>
            </w:r>
          </w:p>
        </w:tc>
        <w:tc>
          <w:tcPr>
            <w:tcW w:w="0" w:type="auto"/>
            <w:gridSpan w:val="3"/>
            <w:shd w:val="clear" w:color="auto" w:fill="FFFFFF"/>
            <w:tcMar>
              <w:top w:w="0" w:type="dxa"/>
              <w:left w:w="20" w:type="dxa"/>
              <w:bottom w:w="0" w:type="dxa"/>
              <w:right w:w="20" w:type="dxa"/>
            </w:tcMar>
            <w:vAlign w:val="center"/>
            <w:hideMark/>
          </w:tcPr>
          <w:p w14:paraId="0A9762CE"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CB62E8F" w14:textId="77777777" w:rsidR="00000000" w:rsidRDefault="00405D16">
            <w:pPr>
              <w:spacing w:after="100"/>
              <w:jc w:val="right"/>
              <w:rPr>
                <w:rFonts w:eastAsia="Times New Roman"/>
              </w:rPr>
            </w:pPr>
            <w:r>
              <w:rPr>
                <w:rFonts w:eastAsia="Times New Roman"/>
                <w:b/>
                <w:bCs/>
                <w:color w:val="000000"/>
                <w:sz w:val="18"/>
                <w:szCs w:val="18"/>
              </w:rPr>
              <w:t>101,893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42506D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84D068"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13BFF3E" w14:textId="77777777" w:rsidR="00000000" w:rsidRDefault="00405D16">
            <w:pPr>
              <w:spacing w:after="100"/>
              <w:jc w:val="right"/>
              <w:rPr>
                <w:rFonts w:eastAsia="Times New Roman"/>
              </w:rPr>
            </w:pPr>
            <w:r>
              <w:rPr>
                <w:rFonts w:eastAsia="Times New Roman"/>
                <w:b/>
                <w:bCs/>
                <w:color w:val="000000"/>
                <w:sz w:val="18"/>
                <w:szCs w:val="18"/>
              </w:rPr>
              <w:t>4,247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5BBE91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E99256"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F9FC08F" w14:textId="77777777" w:rsidR="00000000" w:rsidRDefault="00405D16">
            <w:pPr>
              <w:spacing w:after="100"/>
              <w:jc w:val="right"/>
              <w:rPr>
                <w:rFonts w:eastAsia="Times New Roman"/>
              </w:rPr>
            </w:pPr>
            <w:r>
              <w:rPr>
                <w:rFonts w:eastAsia="Times New Roman"/>
                <w:b/>
                <w:bCs/>
                <w:color w:val="000000"/>
                <w:sz w:val="18"/>
                <w:szCs w:val="18"/>
              </w:rPr>
              <w:t>3,407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EAB2D8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FF60F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B37253E" w14:textId="77777777" w:rsidR="00000000" w:rsidRDefault="00405D16">
            <w:pPr>
              <w:spacing w:after="100"/>
              <w:jc w:val="right"/>
              <w:rPr>
                <w:rFonts w:eastAsia="Times New Roman"/>
              </w:rPr>
            </w:pPr>
            <w:r>
              <w:rPr>
                <w:rFonts w:eastAsia="Times New Roman"/>
                <w:color w:val="000000"/>
                <w:sz w:val="18"/>
                <w:szCs w:val="18"/>
              </w:rPr>
              <w:t>93,603 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D9C82C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520287"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D37E703" w14:textId="77777777" w:rsidR="00000000" w:rsidRDefault="00405D16">
            <w:pPr>
              <w:spacing w:after="100"/>
              <w:jc w:val="right"/>
              <w:rPr>
                <w:rFonts w:eastAsia="Times New Roman"/>
              </w:rPr>
            </w:pPr>
            <w:r>
              <w:rPr>
                <w:rFonts w:eastAsia="Times New Roman"/>
                <w:color w:val="000000"/>
                <w:sz w:val="18"/>
                <w:szCs w:val="18"/>
              </w:rPr>
              <w:t>2,494 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4A61C2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92071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427B74F" w14:textId="77777777" w:rsidR="00000000" w:rsidRDefault="00405D16">
            <w:pPr>
              <w:spacing w:after="100"/>
              <w:jc w:val="right"/>
              <w:rPr>
                <w:rFonts w:eastAsia="Times New Roman"/>
              </w:rPr>
            </w:pPr>
            <w:r>
              <w:rPr>
                <w:rFonts w:eastAsia="Times New Roman"/>
                <w:color w:val="000000"/>
                <w:sz w:val="18"/>
                <w:szCs w:val="18"/>
              </w:rPr>
              <w:t>1,150 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2B00805" w14:textId="77777777" w:rsidR="00000000" w:rsidRDefault="00405D16">
            <w:pPr>
              <w:spacing w:after="100"/>
              <w:jc w:val="right"/>
              <w:rPr>
                <w:rFonts w:eastAsia="Times New Roman"/>
              </w:rPr>
            </w:pPr>
          </w:p>
        </w:tc>
      </w:tr>
      <w:tr w:rsidR="00000000" w14:paraId="57608149" w14:textId="77777777">
        <w:trPr>
          <w:divId w:val="1427537393"/>
        </w:trPr>
        <w:tc>
          <w:tcPr>
            <w:tcW w:w="0" w:type="auto"/>
            <w:gridSpan w:val="3"/>
            <w:shd w:val="clear" w:color="auto" w:fill="CCEEFF"/>
            <w:tcMar>
              <w:top w:w="30" w:type="dxa"/>
              <w:left w:w="20" w:type="dxa"/>
              <w:bottom w:w="30" w:type="dxa"/>
              <w:right w:w="20" w:type="dxa"/>
            </w:tcMar>
            <w:vAlign w:val="center"/>
            <w:hideMark/>
          </w:tcPr>
          <w:p w14:paraId="51E18E0D" w14:textId="77777777" w:rsidR="00000000" w:rsidRDefault="00405D16">
            <w:pPr>
              <w:spacing w:after="100"/>
              <w:rPr>
                <w:rFonts w:eastAsia="Times New Roman"/>
              </w:rPr>
            </w:pPr>
            <w:r>
              <w:rPr>
                <w:rFonts w:eastAsia="Times New Roman"/>
                <w:color w:val="000000"/>
                <w:sz w:val="18"/>
                <w:szCs w:val="18"/>
              </w:rPr>
              <w:t>Total derivatives</w:t>
            </w:r>
          </w:p>
        </w:tc>
        <w:tc>
          <w:tcPr>
            <w:tcW w:w="0" w:type="auto"/>
            <w:gridSpan w:val="3"/>
            <w:shd w:val="clear" w:color="auto" w:fill="CCEEFF"/>
            <w:tcMar>
              <w:top w:w="0" w:type="dxa"/>
              <w:left w:w="20" w:type="dxa"/>
              <w:bottom w:w="0" w:type="dxa"/>
              <w:right w:w="20" w:type="dxa"/>
            </w:tcMar>
            <w:vAlign w:val="center"/>
            <w:hideMark/>
          </w:tcPr>
          <w:p w14:paraId="5513652F"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41D9B75"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EE1BA1C" w14:textId="77777777" w:rsidR="00000000" w:rsidRDefault="00405D16">
            <w:pPr>
              <w:spacing w:after="100"/>
              <w:jc w:val="right"/>
              <w:rPr>
                <w:rFonts w:eastAsia="Times New Roman"/>
              </w:rPr>
            </w:pPr>
            <w:r>
              <w:rPr>
                <w:rFonts w:eastAsia="Times New Roman"/>
                <w:b/>
                <w:bCs/>
                <w:color w:val="000000"/>
                <w:sz w:val="18"/>
                <w:szCs w:val="18"/>
              </w:rPr>
              <w:t>245,407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4AD9F8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CD282C"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08B1A0B"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372EDB8" w14:textId="77777777" w:rsidR="00000000" w:rsidRDefault="00405D16">
            <w:pPr>
              <w:spacing w:after="100"/>
              <w:jc w:val="right"/>
              <w:rPr>
                <w:rFonts w:eastAsia="Times New Roman"/>
              </w:rPr>
            </w:pPr>
            <w:r>
              <w:rPr>
                <w:rFonts w:eastAsia="Times New Roman"/>
                <w:b/>
                <w:bCs/>
                <w:color w:val="000000"/>
                <w:sz w:val="18"/>
                <w:szCs w:val="18"/>
              </w:rPr>
              <w:t>4,904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B16578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28ABE9"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A57E9C7"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9B052DA" w14:textId="77777777" w:rsidR="00000000" w:rsidRDefault="00405D16">
            <w:pPr>
              <w:spacing w:after="100"/>
              <w:jc w:val="right"/>
              <w:rPr>
                <w:rFonts w:eastAsia="Times New Roman"/>
              </w:rPr>
            </w:pPr>
            <w:r>
              <w:rPr>
                <w:rFonts w:eastAsia="Times New Roman"/>
                <w:b/>
                <w:bCs/>
                <w:color w:val="000000"/>
                <w:sz w:val="18"/>
                <w:szCs w:val="18"/>
              </w:rPr>
              <w:t>3,463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C67740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DBDE22"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8E575E0"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5E7DCB4" w14:textId="77777777" w:rsidR="00000000" w:rsidRDefault="00405D16">
            <w:pPr>
              <w:spacing w:after="100"/>
              <w:jc w:val="right"/>
              <w:rPr>
                <w:rFonts w:eastAsia="Times New Roman"/>
              </w:rPr>
            </w:pPr>
            <w:r>
              <w:rPr>
                <w:rFonts w:eastAsia="Times New Roman"/>
                <w:color w:val="000000"/>
                <w:sz w:val="18"/>
                <w:szCs w:val="18"/>
              </w:rPr>
              <w:t>232,327 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B0AC66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6AFFB1"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EDFF6B3"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1082339" w14:textId="77777777" w:rsidR="00000000" w:rsidRDefault="00405D16">
            <w:pPr>
              <w:spacing w:after="100"/>
              <w:jc w:val="right"/>
              <w:rPr>
                <w:rFonts w:eastAsia="Times New Roman"/>
              </w:rPr>
            </w:pPr>
            <w:r>
              <w:rPr>
                <w:rFonts w:eastAsia="Times New Roman"/>
                <w:color w:val="000000"/>
                <w:sz w:val="18"/>
                <w:szCs w:val="18"/>
              </w:rPr>
              <w:t>3,415 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03BEE4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3169A6"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0AEBF57"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AEF2703" w14:textId="77777777" w:rsidR="00000000" w:rsidRDefault="00405D16">
            <w:pPr>
              <w:spacing w:after="100"/>
              <w:jc w:val="right"/>
              <w:rPr>
                <w:rFonts w:eastAsia="Times New Roman"/>
              </w:rPr>
            </w:pPr>
            <w:r>
              <w:rPr>
                <w:rFonts w:eastAsia="Times New Roman"/>
                <w:color w:val="000000"/>
                <w:sz w:val="18"/>
                <w:szCs w:val="18"/>
              </w:rPr>
              <w:t>1,518 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3B87B58" w14:textId="77777777" w:rsidR="00000000" w:rsidRDefault="00405D16">
            <w:pPr>
              <w:spacing w:after="100"/>
              <w:jc w:val="right"/>
              <w:rPr>
                <w:rFonts w:eastAsia="Times New Roman"/>
              </w:rPr>
            </w:pPr>
          </w:p>
        </w:tc>
      </w:tr>
      <w:tr w:rsidR="00000000" w14:paraId="749D11DE" w14:textId="77777777">
        <w:trPr>
          <w:divId w:val="1427537393"/>
        </w:trPr>
        <w:tc>
          <w:tcPr>
            <w:tcW w:w="0" w:type="auto"/>
            <w:gridSpan w:val="9"/>
            <w:shd w:val="clear" w:color="auto" w:fill="FFFFFF"/>
            <w:tcMar>
              <w:top w:w="30" w:type="dxa"/>
              <w:left w:w="20" w:type="dxa"/>
              <w:bottom w:w="30" w:type="dxa"/>
              <w:right w:w="20" w:type="dxa"/>
            </w:tcMar>
            <w:vAlign w:val="center"/>
            <w:hideMark/>
          </w:tcPr>
          <w:p w14:paraId="2C4CAEB4" w14:textId="77777777" w:rsidR="00000000" w:rsidRDefault="00405D16">
            <w:pPr>
              <w:spacing w:after="100"/>
              <w:divId w:val="1977374382"/>
              <w:rPr>
                <w:rFonts w:eastAsia="Times New Roman"/>
              </w:rPr>
            </w:pPr>
            <w:r>
              <w:rPr>
                <w:rFonts w:eastAsia="Times New Roman"/>
                <w:color w:val="000000"/>
                <w:sz w:val="18"/>
                <w:szCs w:val="18"/>
              </w:rPr>
              <w:t>Less: netting adjustmen</w:t>
            </w:r>
            <w:r>
              <w:rPr>
                <w:rFonts w:eastAsia="Times New Roman"/>
                <w:color w:val="000000"/>
                <w:sz w:val="18"/>
                <w:szCs w:val="18"/>
              </w:rPr>
              <w:t>t</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14D6F96C" w14:textId="77777777" w:rsidR="00000000" w:rsidRDefault="00405D16">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14:paraId="162B6965" w14:textId="77777777" w:rsidR="00000000" w:rsidRDefault="00405D16">
            <w:pPr>
              <w:spacing w:after="100"/>
              <w:jc w:val="right"/>
              <w:rPr>
                <w:rFonts w:eastAsia="Times New Roman"/>
              </w:rPr>
            </w:pPr>
            <w:r>
              <w:rPr>
                <w:rFonts w:eastAsia="Times New Roman"/>
                <w:b/>
                <w:bCs/>
                <w:color w:val="000000"/>
                <w:sz w:val="18"/>
                <w:szCs w:val="18"/>
              </w:rPr>
              <w:t>(975)</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1A77144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5166F8" w14:textId="77777777" w:rsidR="00000000" w:rsidRDefault="00405D16">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14:paraId="7EE81201" w14:textId="77777777" w:rsidR="00000000" w:rsidRDefault="00405D16">
            <w:pPr>
              <w:spacing w:after="100"/>
              <w:jc w:val="right"/>
              <w:rPr>
                <w:rFonts w:eastAsia="Times New Roman"/>
              </w:rPr>
            </w:pPr>
            <w:r>
              <w:rPr>
                <w:rFonts w:eastAsia="Times New Roman"/>
                <w:b/>
                <w:bCs/>
                <w:color w:val="000000"/>
                <w:sz w:val="18"/>
                <w:szCs w:val="18"/>
              </w:rPr>
              <w:t>(904)</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2807AF5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DF7E7E" w14:textId="77777777" w:rsidR="00000000" w:rsidRDefault="00405D16">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E047D5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495D14" w14:textId="77777777" w:rsidR="00000000" w:rsidRDefault="00405D16">
            <w:pPr>
              <w:spacing w:after="100"/>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14:paraId="7284A65F" w14:textId="77777777" w:rsidR="00000000" w:rsidRDefault="00405D16">
            <w:pPr>
              <w:spacing w:after="100"/>
              <w:jc w:val="right"/>
              <w:rPr>
                <w:rFonts w:eastAsia="Times New Roman"/>
              </w:rPr>
            </w:pPr>
            <w:r>
              <w:rPr>
                <w:rFonts w:eastAsia="Times New Roman"/>
                <w:color w:val="000000"/>
                <w:sz w:val="18"/>
                <w:szCs w:val="18"/>
              </w:rPr>
              <w:t>(1,148)</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65EF901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7856EB" w14:textId="77777777" w:rsidR="00000000" w:rsidRDefault="00405D16">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14:paraId="4DAB398E" w14:textId="77777777" w:rsidR="00000000" w:rsidRDefault="00405D16">
            <w:pPr>
              <w:spacing w:after="100"/>
              <w:jc w:val="right"/>
              <w:rPr>
                <w:rFonts w:eastAsia="Times New Roman"/>
              </w:rPr>
            </w:pPr>
            <w:r>
              <w:rPr>
                <w:rFonts w:eastAsia="Times New Roman"/>
                <w:color w:val="000000"/>
                <w:sz w:val="18"/>
                <w:szCs w:val="18"/>
              </w:rPr>
              <w:t>(739)</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3CCBE1AA" w14:textId="77777777" w:rsidR="00000000" w:rsidRDefault="00405D16">
            <w:pPr>
              <w:spacing w:after="100"/>
              <w:jc w:val="right"/>
              <w:rPr>
                <w:rFonts w:eastAsia="Times New Roman"/>
              </w:rPr>
            </w:pPr>
          </w:p>
        </w:tc>
      </w:tr>
      <w:tr w:rsidR="00000000" w14:paraId="42FB1864" w14:textId="77777777">
        <w:trPr>
          <w:divId w:val="1427537393"/>
        </w:trPr>
        <w:tc>
          <w:tcPr>
            <w:tcW w:w="0" w:type="auto"/>
            <w:gridSpan w:val="9"/>
            <w:shd w:val="clear" w:color="auto" w:fill="CCEEFF"/>
            <w:tcMar>
              <w:top w:w="30" w:type="dxa"/>
              <w:left w:w="20" w:type="dxa"/>
              <w:bottom w:w="30" w:type="dxa"/>
              <w:right w:w="20" w:type="dxa"/>
            </w:tcMar>
            <w:vAlign w:val="center"/>
            <w:hideMark/>
          </w:tcPr>
          <w:p w14:paraId="48C36D0E" w14:textId="77777777" w:rsidR="00000000" w:rsidRDefault="00405D16">
            <w:pPr>
              <w:spacing w:after="100"/>
              <w:rPr>
                <w:rFonts w:eastAsia="Times New Roman"/>
              </w:rPr>
            </w:pPr>
            <w:r>
              <w:rPr>
                <w:rFonts w:eastAsia="Times New Roman"/>
                <w:color w:val="000000"/>
                <w:sz w:val="18"/>
                <w:szCs w:val="18"/>
              </w:rPr>
              <w:t>Total derivative assets/liabilities</w:t>
            </w:r>
          </w:p>
        </w:tc>
        <w:tc>
          <w:tcPr>
            <w:tcW w:w="0" w:type="auto"/>
            <w:gridSpan w:val="3"/>
            <w:shd w:val="clear" w:color="auto" w:fill="CCEEFF"/>
            <w:tcMar>
              <w:top w:w="0" w:type="dxa"/>
              <w:left w:w="20" w:type="dxa"/>
              <w:bottom w:w="0" w:type="dxa"/>
              <w:right w:w="20" w:type="dxa"/>
            </w:tcMar>
            <w:vAlign w:val="center"/>
            <w:hideMark/>
          </w:tcPr>
          <w:p w14:paraId="0C3B9239"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46549E7"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CD121C6" w14:textId="77777777" w:rsidR="00000000" w:rsidRDefault="00405D16">
            <w:pPr>
              <w:spacing w:after="100"/>
              <w:jc w:val="right"/>
              <w:rPr>
                <w:rFonts w:eastAsia="Times New Roman"/>
              </w:rPr>
            </w:pPr>
            <w:r>
              <w:rPr>
                <w:rFonts w:eastAsia="Times New Roman"/>
                <w:b/>
                <w:bCs/>
                <w:color w:val="000000"/>
                <w:sz w:val="18"/>
                <w:szCs w:val="18"/>
              </w:rPr>
              <w:t>3,929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E09704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24912E"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4E27F8E"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30444F84" w14:textId="77777777" w:rsidR="00000000" w:rsidRDefault="00405D16">
            <w:pPr>
              <w:spacing w:after="100"/>
              <w:jc w:val="right"/>
              <w:rPr>
                <w:rFonts w:eastAsia="Times New Roman"/>
              </w:rPr>
            </w:pPr>
            <w:r>
              <w:rPr>
                <w:rFonts w:eastAsia="Times New Roman"/>
                <w:b/>
                <w:bCs/>
                <w:color w:val="000000"/>
                <w:sz w:val="18"/>
                <w:szCs w:val="18"/>
              </w:rPr>
              <w:t>2,559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7AB483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FDD726" w14:textId="77777777" w:rsidR="00000000" w:rsidRDefault="00405D1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3381A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00D980" w14:textId="77777777" w:rsidR="00000000" w:rsidRDefault="00405D16">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FA4DF70"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331CA0A8" w14:textId="77777777" w:rsidR="00000000" w:rsidRDefault="00405D16">
            <w:pPr>
              <w:spacing w:after="100"/>
              <w:jc w:val="right"/>
              <w:rPr>
                <w:rFonts w:eastAsia="Times New Roman"/>
              </w:rPr>
            </w:pPr>
            <w:r>
              <w:rPr>
                <w:rFonts w:eastAsia="Times New Roman"/>
                <w:color w:val="000000"/>
                <w:sz w:val="18"/>
                <w:szCs w:val="18"/>
              </w:rPr>
              <w:t>2,267 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C4C261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5F4BFA"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2F2920F"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EDA13ED" w14:textId="77777777" w:rsidR="00000000" w:rsidRDefault="00405D16">
            <w:pPr>
              <w:spacing w:after="100"/>
              <w:jc w:val="right"/>
              <w:rPr>
                <w:rFonts w:eastAsia="Times New Roman"/>
              </w:rPr>
            </w:pPr>
            <w:r>
              <w:rPr>
                <w:rFonts w:eastAsia="Times New Roman"/>
                <w:color w:val="000000"/>
                <w:sz w:val="18"/>
                <w:szCs w:val="18"/>
              </w:rPr>
              <w:t>779 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F3B5A12" w14:textId="77777777" w:rsidR="00000000" w:rsidRDefault="00405D16">
            <w:pPr>
              <w:spacing w:after="100"/>
              <w:jc w:val="right"/>
              <w:rPr>
                <w:rFonts w:eastAsia="Times New Roman"/>
              </w:rPr>
            </w:pPr>
          </w:p>
        </w:tc>
      </w:tr>
    </w:tbl>
    <w:p w14:paraId="35E3827B" w14:textId="77777777" w:rsidR="00000000" w:rsidRDefault="00405D16">
      <w:pPr>
        <w:divId w:val="712732520"/>
        <w:rPr>
          <w:rFonts w:eastAsia="Times New Roman"/>
        </w:rPr>
      </w:pPr>
      <w:r>
        <w:rPr>
          <w:rFonts w:eastAsia="Times New Roman"/>
          <w:color w:val="000000"/>
          <w:sz w:val="20"/>
          <w:szCs w:val="20"/>
        </w:rPr>
        <w:t>__________</w:t>
      </w:r>
    </w:p>
    <w:p w14:paraId="74116D77" w14:textId="77777777" w:rsidR="00000000" w:rsidRDefault="00405D16">
      <w:pPr>
        <w:ind w:hanging="360"/>
        <w:jc w:val="both"/>
        <w:divId w:val="35141842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Does not reflect $17 million and $31 million</w:t>
      </w:r>
      <w:r>
        <w:rPr>
          <w:rFonts w:eastAsia="Times New Roman"/>
          <w:color w:val="000000"/>
          <w:sz w:val="16"/>
          <w:szCs w:val="16"/>
          <w:shd w:val="clear" w:color="auto" w:fill="FFFFFF"/>
        </w:rPr>
        <w:t xml:space="preserve"> </w:t>
      </w:r>
      <w:r>
        <w:rPr>
          <w:rFonts w:eastAsia="Times New Roman"/>
          <w:color w:val="000000"/>
          <w:sz w:val="16"/>
          <w:szCs w:val="16"/>
          <w:shd w:val="clear" w:color="auto" w:fill="FFFFFF"/>
        </w:rPr>
        <w:t xml:space="preserve">recognized as a net valuation allowance on derivative assets and liabilities for non-performance risk as of September 30, 2021 and </w:t>
      </w:r>
      <w:r>
        <w:rPr>
          <w:rFonts w:eastAsia="Times New Roman"/>
          <w:color w:val="000000"/>
          <w:sz w:val="16"/>
          <w:szCs w:val="16"/>
        </w:rPr>
        <w:t>December 31, 2020</w:t>
      </w:r>
      <w:r>
        <w:rPr>
          <w:rFonts w:eastAsia="Times New Roman"/>
          <w:color w:val="000000"/>
          <w:sz w:val="16"/>
          <w:szCs w:val="16"/>
          <w:shd w:val="clear" w:color="auto" w:fill="FFFFFF"/>
        </w:rPr>
        <w:t>, respectively. Non-performance risk is included in derivative assets and liabilities, which are part of oth</w:t>
      </w:r>
      <w:r>
        <w:rPr>
          <w:rFonts w:eastAsia="Times New Roman"/>
          <w:color w:val="000000"/>
          <w:sz w:val="16"/>
          <w:szCs w:val="16"/>
          <w:shd w:val="clear" w:color="auto" w:fill="FFFFFF"/>
        </w:rPr>
        <w:t>er assets and other liabilities on the consolidated balance sheets, and is offset through non-interest income in the consolidated statements of income.</w:t>
      </w:r>
    </w:p>
    <w:p w14:paraId="5BA164B1" w14:textId="77777777" w:rsidR="00000000" w:rsidRDefault="00405D16">
      <w:pPr>
        <w:ind w:hanging="360"/>
        <w:jc w:val="both"/>
        <w:divId w:val="1166243166"/>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Other interest rate exposures include commercial mortgage-related derivatives and interest rate swaps</w:t>
      </w:r>
      <w:r>
        <w:rPr>
          <w:rFonts w:eastAsia="Times New Roman"/>
          <w:color w:val="000000"/>
          <w:sz w:val="16"/>
          <w:szCs w:val="16"/>
        </w:rPr>
        <w:t>.</w:t>
      </w:r>
    </w:p>
    <w:p w14:paraId="59A0BAE2" w14:textId="77777777" w:rsidR="00000000" w:rsidRDefault="00405D16">
      <w:pPr>
        <w:ind w:hanging="360"/>
        <w:jc w:val="both"/>
        <w:divId w:val="1145662645"/>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Represents balance sheet netting of derivative assets and liabilities, and related payables and receivables for cash collateral held or placed with the same counterparty.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6C64A6E0" w14:textId="77777777">
        <w:trPr>
          <w:divId w:val="1465393610"/>
          <w:jc w:val="center"/>
        </w:trPr>
        <w:tc>
          <w:tcPr>
            <w:tcW w:w="50" w:type="pct"/>
            <w:vAlign w:val="center"/>
            <w:hideMark/>
          </w:tcPr>
          <w:p w14:paraId="062E4F1D" w14:textId="77777777" w:rsidR="00000000" w:rsidRDefault="00405D16">
            <w:pPr>
              <w:ind w:hanging="360"/>
              <w:jc w:val="both"/>
              <w:rPr>
                <w:rFonts w:eastAsia="Times New Roman"/>
              </w:rPr>
            </w:pPr>
          </w:p>
        </w:tc>
        <w:tc>
          <w:tcPr>
            <w:tcW w:w="1606" w:type="pct"/>
            <w:vAlign w:val="center"/>
            <w:hideMark/>
          </w:tcPr>
          <w:p w14:paraId="399DCB4D" w14:textId="77777777" w:rsidR="00000000" w:rsidRDefault="00405D16">
            <w:pPr>
              <w:spacing w:after="100"/>
              <w:rPr>
                <w:rFonts w:eastAsia="Times New Roman"/>
                <w:sz w:val="20"/>
                <w:szCs w:val="20"/>
              </w:rPr>
            </w:pPr>
          </w:p>
        </w:tc>
        <w:tc>
          <w:tcPr>
            <w:tcW w:w="5" w:type="pct"/>
            <w:vAlign w:val="center"/>
            <w:hideMark/>
          </w:tcPr>
          <w:p w14:paraId="758D128D" w14:textId="77777777" w:rsidR="00000000" w:rsidRDefault="00405D16">
            <w:pPr>
              <w:spacing w:after="100"/>
              <w:rPr>
                <w:rFonts w:eastAsia="Times New Roman"/>
                <w:sz w:val="20"/>
                <w:szCs w:val="20"/>
              </w:rPr>
            </w:pPr>
          </w:p>
        </w:tc>
        <w:tc>
          <w:tcPr>
            <w:tcW w:w="50" w:type="pct"/>
            <w:vAlign w:val="center"/>
            <w:hideMark/>
          </w:tcPr>
          <w:p w14:paraId="400D934C" w14:textId="77777777" w:rsidR="00000000" w:rsidRDefault="00405D16">
            <w:pPr>
              <w:spacing w:after="100"/>
              <w:rPr>
                <w:rFonts w:eastAsia="Times New Roman"/>
                <w:sz w:val="20"/>
                <w:szCs w:val="20"/>
              </w:rPr>
            </w:pPr>
          </w:p>
        </w:tc>
        <w:tc>
          <w:tcPr>
            <w:tcW w:w="1614" w:type="pct"/>
            <w:vAlign w:val="center"/>
            <w:hideMark/>
          </w:tcPr>
          <w:p w14:paraId="63D8AFFC" w14:textId="77777777" w:rsidR="00000000" w:rsidRDefault="00405D16">
            <w:pPr>
              <w:spacing w:after="100"/>
              <w:rPr>
                <w:rFonts w:eastAsia="Times New Roman"/>
                <w:sz w:val="20"/>
                <w:szCs w:val="20"/>
              </w:rPr>
            </w:pPr>
          </w:p>
        </w:tc>
        <w:tc>
          <w:tcPr>
            <w:tcW w:w="5" w:type="pct"/>
            <w:vAlign w:val="center"/>
            <w:hideMark/>
          </w:tcPr>
          <w:p w14:paraId="0AE44D89" w14:textId="77777777" w:rsidR="00000000" w:rsidRDefault="00405D16">
            <w:pPr>
              <w:spacing w:after="100"/>
              <w:rPr>
                <w:rFonts w:eastAsia="Times New Roman"/>
                <w:sz w:val="20"/>
                <w:szCs w:val="20"/>
              </w:rPr>
            </w:pPr>
          </w:p>
        </w:tc>
        <w:tc>
          <w:tcPr>
            <w:tcW w:w="50" w:type="pct"/>
            <w:vAlign w:val="center"/>
            <w:hideMark/>
          </w:tcPr>
          <w:p w14:paraId="737F4553" w14:textId="77777777" w:rsidR="00000000" w:rsidRDefault="00405D16">
            <w:pPr>
              <w:spacing w:after="100"/>
              <w:rPr>
                <w:rFonts w:eastAsia="Times New Roman"/>
                <w:sz w:val="20"/>
                <w:szCs w:val="20"/>
              </w:rPr>
            </w:pPr>
          </w:p>
        </w:tc>
        <w:tc>
          <w:tcPr>
            <w:tcW w:w="1614" w:type="pct"/>
            <w:vAlign w:val="center"/>
            <w:hideMark/>
          </w:tcPr>
          <w:p w14:paraId="74938912" w14:textId="77777777" w:rsidR="00000000" w:rsidRDefault="00405D16">
            <w:pPr>
              <w:spacing w:after="100"/>
              <w:rPr>
                <w:rFonts w:eastAsia="Times New Roman"/>
                <w:sz w:val="20"/>
                <w:szCs w:val="20"/>
              </w:rPr>
            </w:pPr>
          </w:p>
        </w:tc>
        <w:tc>
          <w:tcPr>
            <w:tcW w:w="5" w:type="pct"/>
            <w:vAlign w:val="center"/>
            <w:hideMark/>
          </w:tcPr>
          <w:p w14:paraId="5AFE648F" w14:textId="77777777" w:rsidR="00000000" w:rsidRDefault="00405D16">
            <w:pPr>
              <w:spacing w:after="100"/>
              <w:rPr>
                <w:rFonts w:eastAsia="Times New Roman"/>
                <w:sz w:val="20"/>
                <w:szCs w:val="20"/>
              </w:rPr>
            </w:pPr>
          </w:p>
        </w:tc>
      </w:tr>
      <w:tr w:rsidR="00000000" w14:paraId="26423872" w14:textId="77777777">
        <w:trPr>
          <w:divId w:val="1465393610"/>
          <w:trHeight w:val="300"/>
          <w:jc w:val="center"/>
        </w:trPr>
        <w:tc>
          <w:tcPr>
            <w:tcW w:w="0" w:type="auto"/>
            <w:gridSpan w:val="9"/>
            <w:tcMar>
              <w:top w:w="0" w:type="dxa"/>
              <w:left w:w="20" w:type="dxa"/>
              <w:bottom w:w="0" w:type="dxa"/>
              <w:right w:w="20" w:type="dxa"/>
            </w:tcMar>
            <w:vAlign w:val="center"/>
            <w:hideMark/>
          </w:tcPr>
          <w:p w14:paraId="6C62D2E9" w14:textId="77777777" w:rsidR="00000000" w:rsidRDefault="00405D16">
            <w:pPr>
              <w:spacing w:after="100"/>
              <w:rPr>
                <w:rFonts w:eastAsia="Times New Roman"/>
                <w:sz w:val="20"/>
                <w:szCs w:val="20"/>
              </w:rPr>
            </w:pPr>
          </w:p>
        </w:tc>
      </w:tr>
      <w:tr w:rsidR="00000000" w14:paraId="20B974C6" w14:textId="77777777">
        <w:trPr>
          <w:divId w:val="1465393610"/>
          <w:jc w:val="center"/>
        </w:trPr>
        <w:tc>
          <w:tcPr>
            <w:tcW w:w="0" w:type="auto"/>
            <w:gridSpan w:val="3"/>
            <w:tcMar>
              <w:top w:w="0" w:type="dxa"/>
              <w:left w:w="20" w:type="dxa"/>
              <w:bottom w:w="0" w:type="dxa"/>
              <w:right w:w="20" w:type="dxa"/>
            </w:tcMar>
            <w:vAlign w:val="center"/>
            <w:hideMark/>
          </w:tcPr>
          <w:p w14:paraId="557C345F"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8F1FAE1" w14:textId="77777777" w:rsidR="00000000" w:rsidRDefault="00405D16">
            <w:pPr>
              <w:spacing w:after="100"/>
              <w:jc w:val="center"/>
              <w:rPr>
                <w:rFonts w:eastAsia="Times New Roman"/>
              </w:rPr>
            </w:pPr>
            <w:r>
              <w:rPr>
                <w:rFonts w:eastAsia="Times New Roman"/>
                <w:color w:val="000000"/>
                <w:sz w:val="16"/>
                <w:szCs w:val="16"/>
              </w:rPr>
              <w:t>104</w:t>
            </w:r>
          </w:p>
        </w:tc>
        <w:tc>
          <w:tcPr>
            <w:tcW w:w="0" w:type="auto"/>
            <w:gridSpan w:val="3"/>
            <w:tcMar>
              <w:top w:w="30" w:type="dxa"/>
              <w:left w:w="20" w:type="dxa"/>
              <w:bottom w:w="30" w:type="dxa"/>
              <w:right w:w="20" w:type="dxa"/>
            </w:tcMar>
            <w:vAlign w:val="bottom"/>
            <w:hideMark/>
          </w:tcPr>
          <w:p w14:paraId="16323F77"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05C1A0C8" w14:textId="77777777" w:rsidR="00000000" w:rsidRDefault="00405D16">
      <w:pPr>
        <w:rPr>
          <w:rFonts w:eastAsia="Times New Roman"/>
        </w:rPr>
      </w:pPr>
      <w:r>
        <w:rPr>
          <w:rFonts w:eastAsia="Times New Roman"/>
        </w:rPr>
        <w:pict w14:anchorId="4D32A575">
          <v:rect id="_x0000_i1129" style="width:0;height:1.5pt" o:hralign="center" o:hrstd="t" o:hr="t" fillcolor="#a0a0a0" stroked="f"/>
        </w:pict>
      </w:r>
    </w:p>
    <w:p w14:paraId="7041CBC1" w14:textId="77777777" w:rsidR="00000000" w:rsidRDefault="00405D16">
      <w:pPr>
        <w:jc w:val="both"/>
        <w:divId w:val="1405646258"/>
        <w:rPr>
          <w:rFonts w:eastAsia="Times New Roman"/>
        </w:rPr>
      </w:pPr>
      <w:hyperlink w:anchor="idd54a04a485440b4ab4e56094c14d612_13" w:history="1">
        <w:r>
          <w:rPr>
            <w:rStyle w:val="a3"/>
            <w:rFonts w:eastAsia="Times New Roman"/>
            <w:sz w:val="16"/>
            <w:szCs w:val="16"/>
          </w:rPr>
          <w:t>Table of Contents</w:t>
        </w:r>
      </w:hyperlink>
    </w:p>
    <w:p w14:paraId="2732A6AC" w14:textId="77777777" w:rsidR="00000000" w:rsidRDefault="00405D16">
      <w:pPr>
        <w:jc w:val="center"/>
        <w:divId w:val="1405646258"/>
        <w:rPr>
          <w:rFonts w:eastAsia="Times New Roman"/>
        </w:rPr>
      </w:pPr>
    </w:p>
    <w:p w14:paraId="5D30DC30" w14:textId="77777777" w:rsidR="00000000" w:rsidRDefault="00405D16">
      <w:pPr>
        <w:jc w:val="both"/>
        <w:divId w:val="1699501049"/>
        <w:rPr>
          <w:rFonts w:eastAsia="Times New Roman"/>
        </w:rPr>
      </w:pPr>
      <w:r>
        <w:rPr>
          <w:rFonts w:eastAsia="Times New Roman"/>
          <w:color w:val="000000"/>
          <w:sz w:val="20"/>
          <w:szCs w:val="20"/>
        </w:rPr>
        <w:t>The following table summarizes the carrying value of our hedged assets and liabilities in fair value hedges and the associated cumulative bas</w:t>
      </w:r>
      <w:r>
        <w:rPr>
          <w:rFonts w:eastAsia="Times New Roman"/>
          <w:color w:val="000000"/>
          <w:sz w:val="20"/>
          <w:szCs w:val="20"/>
        </w:rPr>
        <w:t>is adjustments included in those carrying values, excluding basis adjustments related to foreign currency risk, as of September 30, 2021 and December 31, 2020.</w:t>
      </w:r>
    </w:p>
    <w:p w14:paraId="367C171F" w14:textId="77777777" w:rsidR="00000000" w:rsidRDefault="00405D16">
      <w:pPr>
        <w:divId w:val="227959046"/>
        <w:rPr>
          <w:rFonts w:eastAsia="Times New Roman"/>
        </w:rPr>
      </w:pPr>
      <w:r>
        <w:rPr>
          <w:rFonts w:eastAsia="Times New Roman"/>
          <w:b/>
          <w:bCs/>
          <w:color w:val="000000"/>
          <w:sz w:val="18"/>
          <w:szCs w:val="18"/>
        </w:rPr>
        <w:t>Table 8.2: Hedged Items in Fair Value Hedging Relationships</w:t>
      </w:r>
    </w:p>
    <w:tbl>
      <w:tblPr>
        <w:tblW w:w="4985" w:type="pct"/>
        <w:tblCellMar>
          <w:top w:w="15" w:type="dxa"/>
          <w:left w:w="15" w:type="dxa"/>
          <w:bottom w:w="15" w:type="dxa"/>
          <w:right w:w="15" w:type="dxa"/>
        </w:tblCellMar>
        <w:tblLook w:val="04A0" w:firstRow="1" w:lastRow="0" w:firstColumn="1" w:lastColumn="0" w:noHBand="0" w:noVBand="1"/>
      </w:tblPr>
      <w:tblGrid>
        <w:gridCol w:w="38"/>
        <w:gridCol w:w="967"/>
        <w:gridCol w:w="37"/>
        <w:gridCol w:w="36"/>
        <w:gridCol w:w="36"/>
        <w:gridCol w:w="36"/>
        <w:gridCol w:w="124"/>
        <w:gridCol w:w="1167"/>
        <w:gridCol w:w="36"/>
        <w:gridCol w:w="36"/>
        <w:gridCol w:w="36"/>
        <w:gridCol w:w="36"/>
        <w:gridCol w:w="124"/>
        <w:gridCol w:w="1168"/>
        <w:gridCol w:w="37"/>
        <w:gridCol w:w="36"/>
        <w:gridCol w:w="36"/>
        <w:gridCol w:w="36"/>
        <w:gridCol w:w="111"/>
        <w:gridCol w:w="889"/>
        <w:gridCol w:w="37"/>
        <w:gridCol w:w="36"/>
        <w:gridCol w:w="36"/>
        <w:gridCol w:w="36"/>
        <w:gridCol w:w="124"/>
        <w:gridCol w:w="1167"/>
        <w:gridCol w:w="36"/>
        <w:gridCol w:w="36"/>
        <w:gridCol w:w="36"/>
        <w:gridCol w:w="36"/>
        <w:gridCol w:w="124"/>
        <w:gridCol w:w="1168"/>
        <w:gridCol w:w="37"/>
        <w:gridCol w:w="36"/>
        <w:gridCol w:w="36"/>
        <w:gridCol w:w="36"/>
        <w:gridCol w:w="111"/>
        <w:gridCol w:w="889"/>
        <w:gridCol w:w="37"/>
      </w:tblGrid>
      <w:tr w:rsidR="00000000" w14:paraId="2AAC726A" w14:textId="77777777">
        <w:trPr>
          <w:divId w:val="1223832393"/>
        </w:trPr>
        <w:tc>
          <w:tcPr>
            <w:tcW w:w="50" w:type="pct"/>
            <w:vAlign w:val="center"/>
            <w:hideMark/>
          </w:tcPr>
          <w:p w14:paraId="518FD980" w14:textId="77777777" w:rsidR="00000000" w:rsidRDefault="00405D16">
            <w:pPr>
              <w:rPr>
                <w:rFonts w:eastAsia="Times New Roman"/>
              </w:rPr>
            </w:pPr>
          </w:p>
        </w:tc>
        <w:tc>
          <w:tcPr>
            <w:tcW w:w="1557" w:type="pct"/>
            <w:vAlign w:val="center"/>
            <w:hideMark/>
          </w:tcPr>
          <w:p w14:paraId="1697EA28" w14:textId="77777777" w:rsidR="00000000" w:rsidRDefault="00405D16">
            <w:pPr>
              <w:spacing w:after="100"/>
              <w:rPr>
                <w:rFonts w:eastAsia="Times New Roman"/>
                <w:sz w:val="20"/>
                <w:szCs w:val="20"/>
              </w:rPr>
            </w:pPr>
          </w:p>
        </w:tc>
        <w:tc>
          <w:tcPr>
            <w:tcW w:w="5" w:type="pct"/>
            <w:vAlign w:val="center"/>
            <w:hideMark/>
          </w:tcPr>
          <w:p w14:paraId="5CFEAE29" w14:textId="77777777" w:rsidR="00000000" w:rsidRDefault="00405D16">
            <w:pPr>
              <w:spacing w:after="100"/>
              <w:rPr>
                <w:rFonts w:eastAsia="Times New Roman"/>
                <w:sz w:val="20"/>
                <w:szCs w:val="20"/>
              </w:rPr>
            </w:pPr>
          </w:p>
        </w:tc>
        <w:tc>
          <w:tcPr>
            <w:tcW w:w="5" w:type="pct"/>
            <w:vAlign w:val="center"/>
            <w:hideMark/>
          </w:tcPr>
          <w:p w14:paraId="316C4C7D" w14:textId="77777777" w:rsidR="00000000" w:rsidRDefault="00405D16">
            <w:pPr>
              <w:spacing w:after="100"/>
              <w:rPr>
                <w:rFonts w:eastAsia="Times New Roman"/>
                <w:sz w:val="20"/>
                <w:szCs w:val="20"/>
              </w:rPr>
            </w:pPr>
          </w:p>
        </w:tc>
        <w:tc>
          <w:tcPr>
            <w:tcW w:w="26" w:type="pct"/>
            <w:vAlign w:val="center"/>
            <w:hideMark/>
          </w:tcPr>
          <w:p w14:paraId="22BF18F9" w14:textId="77777777" w:rsidR="00000000" w:rsidRDefault="00405D16">
            <w:pPr>
              <w:spacing w:after="100"/>
              <w:rPr>
                <w:rFonts w:eastAsia="Times New Roman"/>
                <w:sz w:val="20"/>
                <w:szCs w:val="20"/>
              </w:rPr>
            </w:pPr>
          </w:p>
        </w:tc>
        <w:tc>
          <w:tcPr>
            <w:tcW w:w="5" w:type="pct"/>
            <w:vAlign w:val="center"/>
            <w:hideMark/>
          </w:tcPr>
          <w:p w14:paraId="182DDFD4" w14:textId="77777777" w:rsidR="00000000" w:rsidRDefault="00405D16">
            <w:pPr>
              <w:spacing w:after="100"/>
              <w:rPr>
                <w:rFonts w:eastAsia="Times New Roman"/>
                <w:sz w:val="20"/>
                <w:szCs w:val="20"/>
              </w:rPr>
            </w:pPr>
          </w:p>
        </w:tc>
        <w:tc>
          <w:tcPr>
            <w:tcW w:w="50" w:type="pct"/>
            <w:vAlign w:val="center"/>
            <w:hideMark/>
          </w:tcPr>
          <w:p w14:paraId="32F0738D" w14:textId="77777777" w:rsidR="00000000" w:rsidRDefault="00405D16">
            <w:pPr>
              <w:spacing w:after="100"/>
              <w:rPr>
                <w:rFonts w:eastAsia="Times New Roman"/>
                <w:sz w:val="20"/>
                <w:szCs w:val="20"/>
              </w:rPr>
            </w:pPr>
          </w:p>
        </w:tc>
        <w:tc>
          <w:tcPr>
            <w:tcW w:w="472" w:type="pct"/>
            <w:vAlign w:val="center"/>
            <w:hideMark/>
          </w:tcPr>
          <w:p w14:paraId="4D8DB027" w14:textId="77777777" w:rsidR="00000000" w:rsidRDefault="00405D16">
            <w:pPr>
              <w:spacing w:after="100"/>
              <w:rPr>
                <w:rFonts w:eastAsia="Times New Roman"/>
                <w:sz w:val="20"/>
                <w:szCs w:val="20"/>
              </w:rPr>
            </w:pPr>
          </w:p>
        </w:tc>
        <w:tc>
          <w:tcPr>
            <w:tcW w:w="5" w:type="pct"/>
            <w:vAlign w:val="center"/>
            <w:hideMark/>
          </w:tcPr>
          <w:p w14:paraId="4FABB065" w14:textId="77777777" w:rsidR="00000000" w:rsidRDefault="00405D16">
            <w:pPr>
              <w:spacing w:after="100"/>
              <w:rPr>
                <w:rFonts w:eastAsia="Times New Roman"/>
                <w:sz w:val="20"/>
                <w:szCs w:val="20"/>
              </w:rPr>
            </w:pPr>
          </w:p>
        </w:tc>
        <w:tc>
          <w:tcPr>
            <w:tcW w:w="5" w:type="pct"/>
            <w:vAlign w:val="center"/>
            <w:hideMark/>
          </w:tcPr>
          <w:p w14:paraId="089ADF92" w14:textId="77777777" w:rsidR="00000000" w:rsidRDefault="00405D16">
            <w:pPr>
              <w:spacing w:after="100"/>
              <w:rPr>
                <w:rFonts w:eastAsia="Times New Roman"/>
                <w:sz w:val="20"/>
                <w:szCs w:val="20"/>
              </w:rPr>
            </w:pPr>
          </w:p>
        </w:tc>
        <w:tc>
          <w:tcPr>
            <w:tcW w:w="26" w:type="pct"/>
            <w:vAlign w:val="center"/>
            <w:hideMark/>
          </w:tcPr>
          <w:p w14:paraId="387FA574" w14:textId="77777777" w:rsidR="00000000" w:rsidRDefault="00405D16">
            <w:pPr>
              <w:spacing w:after="100"/>
              <w:rPr>
                <w:rFonts w:eastAsia="Times New Roman"/>
                <w:sz w:val="20"/>
                <w:szCs w:val="20"/>
              </w:rPr>
            </w:pPr>
          </w:p>
        </w:tc>
        <w:tc>
          <w:tcPr>
            <w:tcW w:w="5" w:type="pct"/>
            <w:vAlign w:val="center"/>
            <w:hideMark/>
          </w:tcPr>
          <w:p w14:paraId="13FB1C93" w14:textId="77777777" w:rsidR="00000000" w:rsidRDefault="00405D16">
            <w:pPr>
              <w:spacing w:after="100"/>
              <w:rPr>
                <w:rFonts w:eastAsia="Times New Roman"/>
                <w:sz w:val="20"/>
                <w:szCs w:val="20"/>
              </w:rPr>
            </w:pPr>
          </w:p>
        </w:tc>
        <w:tc>
          <w:tcPr>
            <w:tcW w:w="50" w:type="pct"/>
            <w:vAlign w:val="center"/>
            <w:hideMark/>
          </w:tcPr>
          <w:p w14:paraId="2383E72E" w14:textId="77777777" w:rsidR="00000000" w:rsidRDefault="00405D16">
            <w:pPr>
              <w:spacing w:after="100"/>
              <w:rPr>
                <w:rFonts w:eastAsia="Times New Roman"/>
                <w:sz w:val="20"/>
                <w:szCs w:val="20"/>
              </w:rPr>
            </w:pPr>
          </w:p>
        </w:tc>
        <w:tc>
          <w:tcPr>
            <w:tcW w:w="472" w:type="pct"/>
            <w:vAlign w:val="center"/>
            <w:hideMark/>
          </w:tcPr>
          <w:p w14:paraId="164896E5" w14:textId="77777777" w:rsidR="00000000" w:rsidRDefault="00405D16">
            <w:pPr>
              <w:spacing w:after="100"/>
              <w:rPr>
                <w:rFonts w:eastAsia="Times New Roman"/>
                <w:sz w:val="20"/>
                <w:szCs w:val="20"/>
              </w:rPr>
            </w:pPr>
          </w:p>
        </w:tc>
        <w:tc>
          <w:tcPr>
            <w:tcW w:w="5" w:type="pct"/>
            <w:vAlign w:val="center"/>
            <w:hideMark/>
          </w:tcPr>
          <w:p w14:paraId="79D19818" w14:textId="77777777" w:rsidR="00000000" w:rsidRDefault="00405D16">
            <w:pPr>
              <w:spacing w:after="100"/>
              <w:rPr>
                <w:rFonts w:eastAsia="Times New Roman"/>
                <w:sz w:val="20"/>
                <w:szCs w:val="20"/>
              </w:rPr>
            </w:pPr>
          </w:p>
        </w:tc>
        <w:tc>
          <w:tcPr>
            <w:tcW w:w="5" w:type="pct"/>
            <w:vAlign w:val="center"/>
            <w:hideMark/>
          </w:tcPr>
          <w:p w14:paraId="78C4C6CD" w14:textId="77777777" w:rsidR="00000000" w:rsidRDefault="00405D16">
            <w:pPr>
              <w:spacing w:after="100"/>
              <w:rPr>
                <w:rFonts w:eastAsia="Times New Roman"/>
                <w:sz w:val="20"/>
                <w:szCs w:val="20"/>
              </w:rPr>
            </w:pPr>
          </w:p>
        </w:tc>
        <w:tc>
          <w:tcPr>
            <w:tcW w:w="26" w:type="pct"/>
            <w:vAlign w:val="center"/>
            <w:hideMark/>
          </w:tcPr>
          <w:p w14:paraId="300BB0DE" w14:textId="77777777" w:rsidR="00000000" w:rsidRDefault="00405D16">
            <w:pPr>
              <w:spacing w:after="100"/>
              <w:rPr>
                <w:rFonts w:eastAsia="Times New Roman"/>
                <w:sz w:val="20"/>
                <w:szCs w:val="20"/>
              </w:rPr>
            </w:pPr>
          </w:p>
        </w:tc>
        <w:tc>
          <w:tcPr>
            <w:tcW w:w="5" w:type="pct"/>
            <w:vAlign w:val="center"/>
            <w:hideMark/>
          </w:tcPr>
          <w:p w14:paraId="4B8CFB01" w14:textId="77777777" w:rsidR="00000000" w:rsidRDefault="00405D16">
            <w:pPr>
              <w:spacing w:after="100"/>
              <w:rPr>
                <w:rFonts w:eastAsia="Times New Roman"/>
                <w:sz w:val="20"/>
                <w:szCs w:val="20"/>
              </w:rPr>
            </w:pPr>
          </w:p>
        </w:tc>
        <w:tc>
          <w:tcPr>
            <w:tcW w:w="50" w:type="pct"/>
            <w:vAlign w:val="center"/>
            <w:hideMark/>
          </w:tcPr>
          <w:p w14:paraId="7A8644B4" w14:textId="77777777" w:rsidR="00000000" w:rsidRDefault="00405D16">
            <w:pPr>
              <w:spacing w:after="100"/>
              <w:rPr>
                <w:rFonts w:eastAsia="Times New Roman"/>
                <w:sz w:val="20"/>
                <w:szCs w:val="20"/>
              </w:rPr>
            </w:pPr>
          </w:p>
        </w:tc>
        <w:tc>
          <w:tcPr>
            <w:tcW w:w="472" w:type="pct"/>
            <w:vAlign w:val="center"/>
            <w:hideMark/>
          </w:tcPr>
          <w:p w14:paraId="0C06AA73" w14:textId="77777777" w:rsidR="00000000" w:rsidRDefault="00405D16">
            <w:pPr>
              <w:spacing w:after="100"/>
              <w:rPr>
                <w:rFonts w:eastAsia="Times New Roman"/>
                <w:sz w:val="20"/>
                <w:szCs w:val="20"/>
              </w:rPr>
            </w:pPr>
          </w:p>
        </w:tc>
        <w:tc>
          <w:tcPr>
            <w:tcW w:w="5" w:type="pct"/>
            <w:vAlign w:val="center"/>
            <w:hideMark/>
          </w:tcPr>
          <w:p w14:paraId="76C5B765" w14:textId="77777777" w:rsidR="00000000" w:rsidRDefault="00405D16">
            <w:pPr>
              <w:spacing w:after="100"/>
              <w:rPr>
                <w:rFonts w:eastAsia="Times New Roman"/>
                <w:sz w:val="20"/>
                <w:szCs w:val="20"/>
              </w:rPr>
            </w:pPr>
          </w:p>
        </w:tc>
        <w:tc>
          <w:tcPr>
            <w:tcW w:w="5" w:type="pct"/>
            <w:vAlign w:val="center"/>
            <w:hideMark/>
          </w:tcPr>
          <w:p w14:paraId="1A1991AF" w14:textId="77777777" w:rsidR="00000000" w:rsidRDefault="00405D16">
            <w:pPr>
              <w:spacing w:after="100"/>
              <w:rPr>
                <w:rFonts w:eastAsia="Times New Roman"/>
                <w:sz w:val="20"/>
                <w:szCs w:val="20"/>
              </w:rPr>
            </w:pPr>
          </w:p>
        </w:tc>
        <w:tc>
          <w:tcPr>
            <w:tcW w:w="26" w:type="pct"/>
            <w:vAlign w:val="center"/>
            <w:hideMark/>
          </w:tcPr>
          <w:p w14:paraId="61F6A0F1" w14:textId="77777777" w:rsidR="00000000" w:rsidRDefault="00405D16">
            <w:pPr>
              <w:spacing w:after="100"/>
              <w:rPr>
                <w:rFonts w:eastAsia="Times New Roman"/>
                <w:sz w:val="20"/>
                <w:szCs w:val="20"/>
              </w:rPr>
            </w:pPr>
          </w:p>
        </w:tc>
        <w:tc>
          <w:tcPr>
            <w:tcW w:w="5" w:type="pct"/>
            <w:vAlign w:val="center"/>
            <w:hideMark/>
          </w:tcPr>
          <w:p w14:paraId="4D892A7F" w14:textId="77777777" w:rsidR="00000000" w:rsidRDefault="00405D16">
            <w:pPr>
              <w:spacing w:after="100"/>
              <w:rPr>
                <w:rFonts w:eastAsia="Times New Roman"/>
                <w:sz w:val="20"/>
                <w:szCs w:val="20"/>
              </w:rPr>
            </w:pPr>
          </w:p>
        </w:tc>
        <w:tc>
          <w:tcPr>
            <w:tcW w:w="50" w:type="pct"/>
            <w:vAlign w:val="center"/>
            <w:hideMark/>
          </w:tcPr>
          <w:p w14:paraId="22302806" w14:textId="77777777" w:rsidR="00000000" w:rsidRDefault="00405D16">
            <w:pPr>
              <w:spacing w:after="100"/>
              <w:rPr>
                <w:rFonts w:eastAsia="Times New Roman"/>
                <w:sz w:val="20"/>
                <w:szCs w:val="20"/>
              </w:rPr>
            </w:pPr>
          </w:p>
        </w:tc>
        <w:tc>
          <w:tcPr>
            <w:tcW w:w="472" w:type="pct"/>
            <w:vAlign w:val="center"/>
            <w:hideMark/>
          </w:tcPr>
          <w:p w14:paraId="2C7C3883" w14:textId="77777777" w:rsidR="00000000" w:rsidRDefault="00405D16">
            <w:pPr>
              <w:spacing w:after="100"/>
              <w:rPr>
                <w:rFonts w:eastAsia="Times New Roman"/>
                <w:sz w:val="20"/>
                <w:szCs w:val="20"/>
              </w:rPr>
            </w:pPr>
          </w:p>
        </w:tc>
        <w:tc>
          <w:tcPr>
            <w:tcW w:w="5" w:type="pct"/>
            <w:vAlign w:val="center"/>
            <w:hideMark/>
          </w:tcPr>
          <w:p w14:paraId="3490B442" w14:textId="77777777" w:rsidR="00000000" w:rsidRDefault="00405D16">
            <w:pPr>
              <w:spacing w:after="100"/>
              <w:rPr>
                <w:rFonts w:eastAsia="Times New Roman"/>
                <w:sz w:val="20"/>
                <w:szCs w:val="20"/>
              </w:rPr>
            </w:pPr>
          </w:p>
        </w:tc>
        <w:tc>
          <w:tcPr>
            <w:tcW w:w="5" w:type="pct"/>
            <w:vAlign w:val="center"/>
            <w:hideMark/>
          </w:tcPr>
          <w:p w14:paraId="2E602A6F" w14:textId="77777777" w:rsidR="00000000" w:rsidRDefault="00405D16">
            <w:pPr>
              <w:spacing w:after="100"/>
              <w:rPr>
                <w:rFonts w:eastAsia="Times New Roman"/>
                <w:sz w:val="20"/>
                <w:szCs w:val="20"/>
              </w:rPr>
            </w:pPr>
          </w:p>
        </w:tc>
        <w:tc>
          <w:tcPr>
            <w:tcW w:w="26" w:type="pct"/>
            <w:vAlign w:val="center"/>
            <w:hideMark/>
          </w:tcPr>
          <w:p w14:paraId="3A48B1BA" w14:textId="77777777" w:rsidR="00000000" w:rsidRDefault="00405D16">
            <w:pPr>
              <w:spacing w:after="100"/>
              <w:rPr>
                <w:rFonts w:eastAsia="Times New Roman"/>
                <w:sz w:val="20"/>
                <w:szCs w:val="20"/>
              </w:rPr>
            </w:pPr>
          </w:p>
        </w:tc>
        <w:tc>
          <w:tcPr>
            <w:tcW w:w="5" w:type="pct"/>
            <w:vAlign w:val="center"/>
            <w:hideMark/>
          </w:tcPr>
          <w:p w14:paraId="11D6F867" w14:textId="77777777" w:rsidR="00000000" w:rsidRDefault="00405D16">
            <w:pPr>
              <w:spacing w:after="100"/>
              <w:rPr>
                <w:rFonts w:eastAsia="Times New Roman"/>
                <w:sz w:val="20"/>
                <w:szCs w:val="20"/>
              </w:rPr>
            </w:pPr>
          </w:p>
        </w:tc>
        <w:tc>
          <w:tcPr>
            <w:tcW w:w="50" w:type="pct"/>
            <w:vAlign w:val="center"/>
            <w:hideMark/>
          </w:tcPr>
          <w:p w14:paraId="7F0433FF" w14:textId="77777777" w:rsidR="00000000" w:rsidRDefault="00405D16">
            <w:pPr>
              <w:spacing w:after="100"/>
              <w:rPr>
                <w:rFonts w:eastAsia="Times New Roman"/>
                <w:sz w:val="20"/>
                <w:szCs w:val="20"/>
              </w:rPr>
            </w:pPr>
          </w:p>
        </w:tc>
        <w:tc>
          <w:tcPr>
            <w:tcW w:w="472" w:type="pct"/>
            <w:vAlign w:val="center"/>
            <w:hideMark/>
          </w:tcPr>
          <w:p w14:paraId="5F4BC0C2" w14:textId="77777777" w:rsidR="00000000" w:rsidRDefault="00405D16">
            <w:pPr>
              <w:spacing w:after="100"/>
              <w:rPr>
                <w:rFonts w:eastAsia="Times New Roman"/>
                <w:sz w:val="20"/>
                <w:szCs w:val="20"/>
              </w:rPr>
            </w:pPr>
          </w:p>
        </w:tc>
        <w:tc>
          <w:tcPr>
            <w:tcW w:w="5" w:type="pct"/>
            <w:vAlign w:val="center"/>
            <w:hideMark/>
          </w:tcPr>
          <w:p w14:paraId="782ECDE1" w14:textId="77777777" w:rsidR="00000000" w:rsidRDefault="00405D16">
            <w:pPr>
              <w:spacing w:after="100"/>
              <w:rPr>
                <w:rFonts w:eastAsia="Times New Roman"/>
                <w:sz w:val="20"/>
                <w:szCs w:val="20"/>
              </w:rPr>
            </w:pPr>
          </w:p>
        </w:tc>
        <w:tc>
          <w:tcPr>
            <w:tcW w:w="5" w:type="pct"/>
            <w:vAlign w:val="center"/>
            <w:hideMark/>
          </w:tcPr>
          <w:p w14:paraId="369D3729" w14:textId="77777777" w:rsidR="00000000" w:rsidRDefault="00405D16">
            <w:pPr>
              <w:spacing w:after="100"/>
              <w:rPr>
                <w:rFonts w:eastAsia="Times New Roman"/>
                <w:sz w:val="20"/>
                <w:szCs w:val="20"/>
              </w:rPr>
            </w:pPr>
          </w:p>
        </w:tc>
        <w:tc>
          <w:tcPr>
            <w:tcW w:w="26" w:type="pct"/>
            <w:vAlign w:val="center"/>
            <w:hideMark/>
          </w:tcPr>
          <w:p w14:paraId="4859F4A3" w14:textId="77777777" w:rsidR="00000000" w:rsidRDefault="00405D16">
            <w:pPr>
              <w:spacing w:after="100"/>
              <w:rPr>
                <w:rFonts w:eastAsia="Times New Roman"/>
                <w:sz w:val="20"/>
                <w:szCs w:val="20"/>
              </w:rPr>
            </w:pPr>
          </w:p>
        </w:tc>
        <w:tc>
          <w:tcPr>
            <w:tcW w:w="5" w:type="pct"/>
            <w:vAlign w:val="center"/>
            <w:hideMark/>
          </w:tcPr>
          <w:p w14:paraId="3E0AFBC3" w14:textId="77777777" w:rsidR="00000000" w:rsidRDefault="00405D16">
            <w:pPr>
              <w:spacing w:after="100"/>
              <w:rPr>
                <w:rFonts w:eastAsia="Times New Roman"/>
                <w:sz w:val="20"/>
                <w:szCs w:val="20"/>
              </w:rPr>
            </w:pPr>
          </w:p>
        </w:tc>
        <w:tc>
          <w:tcPr>
            <w:tcW w:w="50" w:type="pct"/>
            <w:vAlign w:val="center"/>
            <w:hideMark/>
          </w:tcPr>
          <w:p w14:paraId="46694CEB" w14:textId="77777777" w:rsidR="00000000" w:rsidRDefault="00405D16">
            <w:pPr>
              <w:spacing w:after="100"/>
              <w:rPr>
                <w:rFonts w:eastAsia="Times New Roman"/>
                <w:sz w:val="20"/>
                <w:szCs w:val="20"/>
              </w:rPr>
            </w:pPr>
          </w:p>
        </w:tc>
        <w:tc>
          <w:tcPr>
            <w:tcW w:w="472" w:type="pct"/>
            <w:vAlign w:val="center"/>
            <w:hideMark/>
          </w:tcPr>
          <w:p w14:paraId="50B8AE7C" w14:textId="77777777" w:rsidR="00000000" w:rsidRDefault="00405D16">
            <w:pPr>
              <w:spacing w:after="100"/>
              <w:rPr>
                <w:rFonts w:eastAsia="Times New Roman"/>
                <w:sz w:val="20"/>
                <w:szCs w:val="20"/>
              </w:rPr>
            </w:pPr>
          </w:p>
        </w:tc>
        <w:tc>
          <w:tcPr>
            <w:tcW w:w="5" w:type="pct"/>
            <w:vAlign w:val="center"/>
            <w:hideMark/>
          </w:tcPr>
          <w:p w14:paraId="580AA017" w14:textId="77777777" w:rsidR="00000000" w:rsidRDefault="00405D16">
            <w:pPr>
              <w:spacing w:after="100"/>
              <w:rPr>
                <w:rFonts w:eastAsia="Times New Roman"/>
                <w:sz w:val="20"/>
                <w:szCs w:val="20"/>
              </w:rPr>
            </w:pPr>
          </w:p>
        </w:tc>
      </w:tr>
      <w:tr w:rsidR="00000000" w14:paraId="644C45B0" w14:textId="77777777">
        <w:trPr>
          <w:divId w:val="1223832393"/>
        </w:trPr>
        <w:tc>
          <w:tcPr>
            <w:tcW w:w="0" w:type="auto"/>
            <w:gridSpan w:val="3"/>
            <w:tcMar>
              <w:top w:w="0" w:type="dxa"/>
              <w:left w:w="20" w:type="dxa"/>
              <w:bottom w:w="0" w:type="dxa"/>
              <w:right w:w="20" w:type="dxa"/>
            </w:tcMar>
            <w:vAlign w:val="center"/>
            <w:hideMark/>
          </w:tcPr>
          <w:p w14:paraId="34AE211A"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738BF0F" w14:textId="77777777" w:rsidR="00000000" w:rsidRDefault="00405D16">
            <w:pPr>
              <w:spacing w:after="100"/>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14:paraId="77066967" w14:textId="77777777" w:rsidR="00000000" w:rsidRDefault="00405D16">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14:paraId="4C069525" w14:textId="77777777" w:rsidR="00000000" w:rsidRDefault="00405D16">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14:paraId="339488AE" w14:textId="77777777" w:rsidR="00000000" w:rsidRDefault="00405D16">
            <w:pPr>
              <w:spacing w:after="100"/>
              <w:jc w:val="center"/>
              <w:rPr>
                <w:rFonts w:eastAsia="Times New Roman"/>
              </w:rPr>
            </w:pPr>
            <w:r>
              <w:rPr>
                <w:rFonts w:eastAsia="Times New Roman"/>
                <w:b/>
                <w:bCs/>
                <w:color w:val="000000"/>
                <w:sz w:val="16"/>
                <w:szCs w:val="16"/>
              </w:rPr>
              <w:t>December 31, 2020</w:t>
            </w:r>
          </w:p>
        </w:tc>
      </w:tr>
      <w:tr w:rsidR="00000000" w14:paraId="5A5D0D7C" w14:textId="77777777">
        <w:trPr>
          <w:divId w:val="1223832393"/>
          <w:trHeight w:val="540"/>
        </w:trPr>
        <w:tc>
          <w:tcPr>
            <w:tcW w:w="0" w:type="auto"/>
            <w:gridSpan w:val="3"/>
            <w:tcMar>
              <w:top w:w="0" w:type="dxa"/>
              <w:left w:w="20" w:type="dxa"/>
              <w:bottom w:w="0" w:type="dxa"/>
              <w:right w:w="20" w:type="dxa"/>
            </w:tcMar>
            <w:vAlign w:val="center"/>
            <w:hideMark/>
          </w:tcPr>
          <w:p w14:paraId="5D1A5FE8" w14:textId="77777777" w:rsidR="00000000" w:rsidRDefault="00405D1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7DE217E" w14:textId="77777777" w:rsidR="00000000" w:rsidRDefault="00405D16">
            <w:pPr>
              <w:spacing w:after="100"/>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7FB7D349" w14:textId="77777777" w:rsidR="00000000" w:rsidRDefault="00405D16">
            <w:pPr>
              <w:spacing w:after="100"/>
              <w:jc w:val="center"/>
              <w:rPr>
                <w:rFonts w:eastAsia="Times New Roman"/>
              </w:rPr>
            </w:pPr>
            <w:r>
              <w:rPr>
                <w:rFonts w:eastAsia="Times New Roman"/>
                <w:b/>
                <w:bCs/>
                <w:color w:val="000000"/>
                <w:sz w:val="16"/>
                <w:szCs w:val="16"/>
              </w:rPr>
              <w:t>Carrying Amount Assets/(Liabilities)</w:t>
            </w:r>
          </w:p>
        </w:tc>
        <w:tc>
          <w:tcPr>
            <w:tcW w:w="0" w:type="auto"/>
            <w:gridSpan w:val="3"/>
            <w:tcBorders>
              <w:top w:val="single" w:sz="8" w:space="0" w:color="000000"/>
            </w:tcBorders>
            <w:tcMar>
              <w:top w:w="0" w:type="dxa"/>
              <w:left w:w="20" w:type="dxa"/>
              <w:bottom w:w="0" w:type="dxa"/>
              <w:right w:w="20" w:type="dxa"/>
            </w:tcMar>
            <w:vAlign w:val="center"/>
            <w:hideMark/>
          </w:tcPr>
          <w:p w14:paraId="4A3182AB" w14:textId="77777777" w:rsidR="00000000" w:rsidRDefault="00405D16">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686EAA5E" w14:textId="77777777" w:rsidR="00000000" w:rsidRDefault="00405D16">
            <w:pPr>
              <w:spacing w:after="100"/>
              <w:jc w:val="center"/>
              <w:rPr>
                <w:rFonts w:eastAsia="Times New Roman"/>
              </w:rPr>
            </w:pPr>
            <w:r>
              <w:rPr>
                <w:rFonts w:eastAsia="Times New Roman"/>
                <w:b/>
                <w:bCs/>
                <w:color w:val="000000"/>
                <w:sz w:val="16"/>
                <w:szCs w:val="16"/>
              </w:rPr>
              <w:t>Cumulative Amount of Basis Adjustments Included in the Carrying Amount</w:t>
            </w:r>
          </w:p>
        </w:tc>
        <w:tc>
          <w:tcPr>
            <w:tcW w:w="0" w:type="auto"/>
            <w:gridSpan w:val="3"/>
            <w:tcMar>
              <w:top w:w="0" w:type="dxa"/>
              <w:left w:w="20" w:type="dxa"/>
              <w:bottom w:w="0" w:type="dxa"/>
              <w:right w:w="20" w:type="dxa"/>
            </w:tcMar>
            <w:vAlign w:val="center"/>
            <w:hideMark/>
          </w:tcPr>
          <w:p w14:paraId="788AC697" w14:textId="77777777" w:rsidR="00000000" w:rsidRDefault="00405D16">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7EF18504" w14:textId="77777777" w:rsidR="00000000" w:rsidRDefault="00405D16">
            <w:pPr>
              <w:spacing w:after="100"/>
              <w:jc w:val="center"/>
              <w:rPr>
                <w:rFonts w:eastAsia="Times New Roman"/>
              </w:rPr>
            </w:pPr>
            <w:r>
              <w:rPr>
                <w:rFonts w:eastAsia="Times New Roman"/>
                <w:b/>
                <w:bCs/>
                <w:color w:val="000000"/>
                <w:sz w:val="16"/>
                <w:szCs w:val="16"/>
              </w:rPr>
              <w:t>Carrying Amount Assets/(Liabilities)</w:t>
            </w:r>
          </w:p>
        </w:tc>
        <w:tc>
          <w:tcPr>
            <w:tcW w:w="0" w:type="auto"/>
            <w:gridSpan w:val="3"/>
            <w:tcBorders>
              <w:top w:val="single" w:sz="8" w:space="0" w:color="000000"/>
            </w:tcBorders>
            <w:tcMar>
              <w:top w:w="0" w:type="dxa"/>
              <w:left w:w="20" w:type="dxa"/>
              <w:bottom w:w="0" w:type="dxa"/>
              <w:right w:w="20" w:type="dxa"/>
            </w:tcMar>
            <w:vAlign w:val="center"/>
            <w:hideMark/>
          </w:tcPr>
          <w:p w14:paraId="1288D587" w14:textId="77777777" w:rsidR="00000000" w:rsidRDefault="00405D16">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26746540" w14:textId="77777777" w:rsidR="00000000" w:rsidRDefault="00405D16">
            <w:pPr>
              <w:spacing w:after="100"/>
              <w:jc w:val="center"/>
              <w:rPr>
                <w:rFonts w:eastAsia="Times New Roman"/>
              </w:rPr>
            </w:pPr>
            <w:r>
              <w:rPr>
                <w:rFonts w:eastAsia="Times New Roman"/>
                <w:b/>
                <w:bCs/>
                <w:color w:val="000000"/>
                <w:sz w:val="16"/>
                <w:szCs w:val="16"/>
              </w:rPr>
              <w:t>Cumulative Amount of Basis Adjustments Included in the Carrying Amount</w:t>
            </w:r>
          </w:p>
        </w:tc>
      </w:tr>
      <w:tr w:rsidR="00000000" w14:paraId="2BF0EDF7" w14:textId="77777777">
        <w:trPr>
          <w:divId w:val="1223832393"/>
          <w:trHeight w:val="540"/>
        </w:trPr>
        <w:tc>
          <w:tcPr>
            <w:tcW w:w="0" w:type="auto"/>
            <w:gridSpan w:val="3"/>
            <w:tcMar>
              <w:top w:w="30" w:type="dxa"/>
              <w:left w:w="20" w:type="dxa"/>
              <w:bottom w:w="30" w:type="dxa"/>
              <w:right w:w="20" w:type="dxa"/>
            </w:tcMar>
            <w:vAlign w:val="bottom"/>
            <w:hideMark/>
          </w:tcPr>
          <w:p w14:paraId="3EDB2198"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77A48BFF" w14:textId="77777777" w:rsidR="00000000" w:rsidRDefault="00405D16">
            <w:pPr>
              <w:spacing w:after="100"/>
              <w:rPr>
                <w:rFonts w:eastAsia="Times New Roman"/>
              </w:rPr>
            </w:pPr>
          </w:p>
        </w:tc>
        <w:tc>
          <w:tcPr>
            <w:tcW w:w="0" w:type="auto"/>
            <w:gridSpan w:val="3"/>
            <w:vMerge/>
            <w:tcBorders>
              <w:top w:val="single" w:sz="8" w:space="0" w:color="000000"/>
            </w:tcBorders>
            <w:vAlign w:val="center"/>
            <w:hideMark/>
          </w:tcPr>
          <w:p w14:paraId="7E9BB649" w14:textId="77777777" w:rsidR="00000000" w:rsidRDefault="00405D16">
            <w:pPr>
              <w:spacing w:after="100"/>
              <w:rPr>
                <w:rFonts w:eastAsia="Times New Roman"/>
              </w:rPr>
            </w:pPr>
          </w:p>
        </w:tc>
        <w:tc>
          <w:tcPr>
            <w:tcW w:w="0" w:type="auto"/>
            <w:gridSpan w:val="3"/>
            <w:tcMar>
              <w:top w:w="0" w:type="dxa"/>
              <w:left w:w="20" w:type="dxa"/>
              <w:bottom w:w="0" w:type="dxa"/>
              <w:right w:w="20" w:type="dxa"/>
            </w:tcMar>
            <w:vAlign w:val="center"/>
            <w:hideMark/>
          </w:tcPr>
          <w:p w14:paraId="36AD0A14"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76868F9" w14:textId="77777777" w:rsidR="00000000" w:rsidRDefault="00405D16">
            <w:pPr>
              <w:spacing w:after="100"/>
              <w:jc w:val="center"/>
              <w:rPr>
                <w:rFonts w:eastAsia="Times New Roman"/>
              </w:rPr>
            </w:pPr>
            <w:r>
              <w:rPr>
                <w:rFonts w:eastAsia="Times New Roman"/>
                <w:b/>
                <w:bCs/>
                <w:color w:val="000000"/>
                <w:sz w:val="16"/>
                <w:szCs w:val="16"/>
              </w:rPr>
              <w:t>Total Assets/(Liabilities)</w:t>
            </w:r>
          </w:p>
        </w:tc>
        <w:tc>
          <w:tcPr>
            <w:tcW w:w="0" w:type="auto"/>
            <w:gridSpan w:val="3"/>
            <w:tcBorders>
              <w:top w:val="single" w:sz="8" w:space="0" w:color="000000"/>
            </w:tcBorders>
            <w:tcMar>
              <w:top w:w="0" w:type="dxa"/>
              <w:left w:w="20" w:type="dxa"/>
              <w:bottom w:w="0" w:type="dxa"/>
              <w:right w:w="20" w:type="dxa"/>
            </w:tcMar>
            <w:vAlign w:val="center"/>
            <w:hideMark/>
          </w:tcPr>
          <w:p w14:paraId="6B8FEBC6"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B550A89" w14:textId="77777777" w:rsidR="00000000" w:rsidRDefault="00405D16">
            <w:pPr>
              <w:spacing w:after="100"/>
              <w:jc w:val="center"/>
              <w:rPr>
                <w:rFonts w:eastAsia="Times New Roman"/>
              </w:rPr>
            </w:pPr>
            <w:r>
              <w:rPr>
                <w:rFonts w:eastAsia="Times New Roman"/>
                <w:b/>
                <w:bCs/>
                <w:color w:val="000000"/>
                <w:sz w:val="16"/>
                <w:szCs w:val="16"/>
              </w:rPr>
              <w:t>Discontinued-Hedging Relationships</w:t>
            </w:r>
          </w:p>
        </w:tc>
        <w:tc>
          <w:tcPr>
            <w:tcW w:w="0" w:type="auto"/>
            <w:gridSpan w:val="3"/>
            <w:tcMar>
              <w:top w:w="0" w:type="dxa"/>
              <w:left w:w="20" w:type="dxa"/>
              <w:bottom w:w="0" w:type="dxa"/>
              <w:right w:w="20" w:type="dxa"/>
            </w:tcMar>
            <w:vAlign w:val="center"/>
            <w:hideMark/>
          </w:tcPr>
          <w:p w14:paraId="5881EA22" w14:textId="77777777" w:rsidR="00000000" w:rsidRDefault="00405D16">
            <w:pPr>
              <w:spacing w:after="100"/>
              <w:jc w:val="center"/>
              <w:rPr>
                <w:rFonts w:eastAsia="Times New Roman"/>
              </w:rPr>
            </w:pPr>
          </w:p>
        </w:tc>
        <w:tc>
          <w:tcPr>
            <w:tcW w:w="0" w:type="auto"/>
            <w:gridSpan w:val="3"/>
            <w:vMerge/>
            <w:tcBorders>
              <w:top w:val="single" w:sz="8" w:space="0" w:color="000000"/>
            </w:tcBorders>
            <w:vAlign w:val="center"/>
            <w:hideMark/>
          </w:tcPr>
          <w:p w14:paraId="0AFFF551" w14:textId="77777777" w:rsidR="00000000" w:rsidRDefault="00405D16">
            <w:pPr>
              <w:spacing w:after="100"/>
              <w:rPr>
                <w:rFonts w:eastAsia="Times New Roman"/>
              </w:rPr>
            </w:pPr>
          </w:p>
        </w:tc>
        <w:tc>
          <w:tcPr>
            <w:tcW w:w="0" w:type="auto"/>
            <w:gridSpan w:val="3"/>
            <w:tcMar>
              <w:top w:w="0" w:type="dxa"/>
              <w:left w:w="20" w:type="dxa"/>
              <w:bottom w:w="0" w:type="dxa"/>
              <w:right w:w="20" w:type="dxa"/>
            </w:tcMar>
            <w:vAlign w:val="center"/>
            <w:hideMark/>
          </w:tcPr>
          <w:p w14:paraId="1872EB89"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BC2A8B6" w14:textId="77777777" w:rsidR="00000000" w:rsidRDefault="00405D16">
            <w:pPr>
              <w:spacing w:after="100"/>
              <w:jc w:val="center"/>
              <w:rPr>
                <w:rFonts w:eastAsia="Times New Roman"/>
              </w:rPr>
            </w:pPr>
            <w:r>
              <w:rPr>
                <w:rFonts w:eastAsia="Times New Roman"/>
                <w:b/>
                <w:bCs/>
                <w:color w:val="000000"/>
                <w:sz w:val="16"/>
                <w:szCs w:val="16"/>
              </w:rPr>
              <w:t>Total Assets/(Liabilities)</w:t>
            </w:r>
          </w:p>
        </w:tc>
        <w:tc>
          <w:tcPr>
            <w:tcW w:w="0" w:type="auto"/>
            <w:gridSpan w:val="3"/>
            <w:tcBorders>
              <w:top w:val="single" w:sz="8" w:space="0" w:color="000000"/>
            </w:tcBorders>
            <w:tcMar>
              <w:top w:w="0" w:type="dxa"/>
              <w:left w:w="20" w:type="dxa"/>
              <w:bottom w:w="0" w:type="dxa"/>
              <w:right w:w="20" w:type="dxa"/>
            </w:tcMar>
            <w:vAlign w:val="center"/>
            <w:hideMark/>
          </w:tcPr>
          <w:p w14:paraId="45CEFB99"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097003D" w14:textId="77777777" w:rsidR="00000000" w:rsidRDefault="00405D16">
            <w:pPr>
              <w:spacing w:after="100"/>
              <w:jc w:val="center"/>
              <w:rPr>
                <w:rFonts w:eastAsia="Times New Roman"/>
              </w:rPr>
            </w:pPr>
            <w:r>
              <w:rPr>
                <w:rFonts w:eastAsia="Times New Roman"/>
                <w:b/>
                <w:bCs/>
                <w:color w:val="000000"/>
                <w:sz w:val="16"/>
                <w:szCs w:val="16"/>
              </w:rPr>
              <w:t>Discontinued-Hedging Relationships</w:t>
            </w:r>
          </w:p>
        </w:tc>
      </w:tr>
      <w:tr w:rsidR="00000000" w14:paraId="16A83C8E" w14:textId="77777777">
        <w:trPr>
          <w:divId w:val="122383239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54E5F359" w14:textId="77777777" w:rsidR="00000000" w:rsidRDefault="00405D16">
            <w:pPr>
              <w:spacing w:after="100"/>
              <w:rPr>
                <w:rFonts w:eastAsia="Times New Roman"/>
              </w:rPr>
            </w:pPr>
            <w:r>
              <w:rPr>
                <w:rFonts w:eastAsia="Times New Roman"/>
                <w:b/>
                <w:bCs/>
                <w:color w:val="000000"/>
                <w:sz w:val="18"/>
                <w:szCs w:val="18"/>
              </w:rPr>
              <w:t>Line item on our consolidated balance sheets in which the hedged item is included:</w:t>
            </w:r>
          </w:p>
        </w:tc>
        <w:tc>
          <w:tcPr>
            <w:tcW w:w="0" w:type="auto"/>
            <w:gridSpan w:val="3"/>
            <w:shd w:val="clear" w:color="auto" w:fill="CCEEFF"/>
            <w:tcMar>
              <w:top w:w="0" w:type="dxa"/>
              <w:left w:w="20" w:type="dxa"/>
              <w:bottom w:w="0" w:type="dxa"/>
              <w:right w:w="20" w:type="dxa"/>
            </w:tcMar>
            <w:vAlign w:val="center"/>
            <w:hideMark/>
          </w:tcPr>
          <w:p w14:paraId="14B57646"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087263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D1A3BC"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4832D0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633531"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3FC75D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4269B0"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9DD6CF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A91186"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7120F7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E7C3CE"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84FC0E8" w14:textId="77777777" w:rsidR="00000000" w:rsidRDefault="00405D16">
            <w:pPr>
              <w:spacing w:after="100"/>
              <w:rPr>
                <w:rFonts w:eastAsia="Times New Roman"/>
                <w:sz w:val="20"/>
                <w:szCs w:val="20"/>
              </w:rPr>
            </w:pPr>
          </w:p>
        </w:tc>
      </w:tr>
      <w:tr w:rsidR="00000000" w14:paraId="077C116A" w14:textId="77777777">
        <w:trPr>
          <w:divId w:val="1223832393"/>
        </w:trPr>
        <w:tc>
          <w:tcPr>
            <w:tcW w:w="0" w:type="auto"/>
            <w:gridSpan w:val="3"/>
            <w:shd w:val="clear" w:color="auto" w:fill="FFFFFF"/>
            <w:tcMar>
              <w:top w:w="30" w:type="dxa"/>
              <w:left w:w="20" w:type="dxa"/>
              <w:bottom w:w="30" w:type="dxa"/>
              <w:right w:w="20" w:type="dxa"/>
            </w:tcMar>
            <w:vAlign w:val="center"/>
            <w:hideMark/>
          </w:tcPr>
          <w:p w14:paraId="4F27D6DF" w14:textId="77777777" w:rsidR="00000000" w:rsidRDefault="00405D16">
            <w:pPr>
              <w:spacing w:after="100"/>
              <w:divId w:val="1469084218"/>
              <w:rPr>
                <w:rFonts w:eastAsia="Times New Roman"/>
              </w:rPr>
            </w:pPr>
            <w:r>
              <w:rPr>
                <w:rFonts w:eastAsia="Times New Roman"/>
                <w:color w:val="000000"/>
                <w:sz w:val="18"/>
                <w:szCs w:val="18"/>
              </w:rPr>
              <w:t>Investment securities available for sal</w:t>
            </w:r>
            <w:r>
              <w:rPr>
                <w:rFonts w:eastAsia="Times New Roman"/>
                <w:color w:val="000000"/>
                <w:sz w:val="18"/>
                <w:szCs w:val="18"/>
              </w:rPr>
              <w:t>e</w:t>
            </w:r>
            <w:r>
              <w:rPr>
                <w:rFonts w:eastAsia="Times New Roman"/>
                <w:color w:val="000000"/>
                <w:sz w:val="12"/>
                <w:szCs w:val="12"/>
              </w:rPr>
              <w:t>(1)(2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466B0732"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12FFEF5F"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7F8EB9B1" w14:textId="77777777" w:rsidR="00000000" w:rsidRDefault="00405D16">
            <w:pPr>
              <w:spacing w:after="100"/>
              <w:jc w:val="right"/>
              <w:rPr>
                <w:rFonts w:eastAsia="Times New Roman"/>
              </w:rPr>
            </w:pPr>
            <w:r>
              <w:rPr>
                <w:rFonts w:eastAsia="Times New Roman"/>
                <w:b/>
                <w:bCs/>
                <w:color w:val="000000"/>
                <w:sz w:val="18"/>
                <w:szCs w:val="18"/>
              </w:rPr>
              <w:t>9,914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176C59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882439"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5E29924"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7119CC46" w14:textId="77777777" w:rsidR="00000000" w:rsidRDefault="00405D16">
            <w:pPr>
              <w:spacing w:after="100"/>
              <w:jc w:val="right"/>
              <w:rPr>
                <w:rFonts w:eastAsia="Times New Roman"/>
              </w:rPr>
            </w:pPr>
            <w:r>
              <w:rPr>
                <w:rFonts w:eastAsia="Times New Roman"/>
                <w:b/>
                <w:bCs/>
                <w:color w:val="000000"/>
                <w:sz w:val="18"/>
                <w:szCs w:val="18"/>
              </w:rPr>
              <w:t>381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5BE7D3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D73E89"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7870283"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31780F11" w14:textId="77777777" w:rsidR="00000000" w:rsidRDefault="00405D16">
            <w:pPr>
              <w:spacing w:after="100"/>
              <w:jc w:val="right"/>
              <w:rPr>
                <w:rFonts w:eastAsia="Times New Roman"/>
              </w:rPr>
            </w:pPr>
            <w:r>
              <w:rPr>
                <w:rFonts w:eastAsia="Times New Roman"/>
                <w:b/>
                <w:bCs/>
                <w:color w:val="000000"/>
                <w:sz w:val="18"/>
                <w:szCs w:val="18"/>
              </w:rPr>
              <w:t>152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5E6D0D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E6EE38"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04DCEEE"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54087293" w14:textId="77777777" w:rsidR="00000000" w:rsidRDefault="00405D16">
            <w:pPr>
              <w:spacing w:after="100"/>
              <w:jc w:val="right"/>
              <w:rPr>
                <w:rFonts w:eastAsia="Times New Roman"/>
              </w:rPr>
            </w:pPr>
            <w:r>
              <w:rPr>
                <w:rFonts w:eastAsia="Times New Roman"/>
                <w:color w:val="000000"/>
                <w:sz w:val="18"/>
                <w:szCs w:val="18"/>
              </w:rPr>
              <w:t>9,797 </w:t>
            </w:r>
          </w:p>
        </w:tc>
        <w:tc>
          <w:tcPr>
            <w:tcW w:w="0" w:type="auto"/>
            <w:shd w:val="clear" w:color="auto" w:fill="FFFFFF"/>
            <w:tcMar>
              <w:top w:w="30" w:type="dxa"/>
              <w:left w:w="0" w:type="dxa"/>
              <w:bottom w:w="30" w:type="dxa"/>
              <w:right w:w="20" w:type="dxa"/>
            </w:tcMar>
            <w:vAlign w:val="center"/>
            <w:hideMark/>
          </w:tcPr>
          <w:p w14:paraId="632063B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9F50E7"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6EFA8CD"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232B961E" w14:textId="77777777" w:rsidR="00000000" w:rsidRDefault="00405D16">
            <w:pPr>
              <w:spacing w:after="100"/>
              <w:jc w:val="right"/>
              <w:rPr>
                <w:rFonts w:eastAsia="Times New Roman"/>
              </w:rPr>
            </w:pPr>
            <w:r>
              <w:rPr>
                <w:rFonts w:eastAsia="Times New Roman"/>
                <w:color w:val="000000"/>
                <w:sz w:val="18"/>
                <w:szCs w:val="18"/>
              </w:rPr>
              <w:t>590 </w:t>
            </w:r>
          </w:p>
        </w:tc>
        <w:tc>
          <w:tcPr>
            <w:tcW w:w="0" w:type="auto"/>
            <w:shd w:val="clear" w:color="auto" w:fill="FFFFFF"/>
            <w:tcMar>
              <w:top w:w="30" w:type="dxa"/>
              <w:left w:w="0" w:type="dxa"/>
              <w:bottom w:w="30" w:type="dxa"/>
              <w:right w:w="20" w:type="dxa"/>
            </w:tcMar>
            <w:vAlign w:val="center"/>
            <w:hideMark/>
          </w:tcPr>
          <w:p w14:paraId="5A2AC7F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469BCF"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DD433CF"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60D45D58" w14:textId="77777777" w:rsidR="00000000" w:rsidRDefault="00405D16">
            <w:pPr>
              <w:spacing w:after="100"/>
              <w:jc w:val="right"/>
              <w:rPr>
                <w:rFonts w:eastAsia="Times New Roman"/>
              </w:rPr>
            </w:pPr>
            <w:r>
              <w:rPr>
                <w:rFonts w:eastAsia="Times New Roman"/>
                <w:color w:val="000000"/>
                <w:sz w:val="18"/>
                <w:szCs w:val="18"/>
              </w:rPr>
              <w:t>200 </w:t>
            </w:r>
          </w:p>
        </w:tc>
        <w:tc>
          <w:tcPr>
            <w:tcW w:w="0" w:type="auto"/>
            <w:shd w:val="clear" w:color="auto" w:fill="FFFFFF"/>
            <w:tcMar>
              <w:top w:w="30" w:type="dxa"/>
              <w:left w:w="0" w:type="dxa"/>
              <w:bottom w:w="30" w:type="dxa"/>
              <w:right w:w="20" w:type="dxa"/>
            </w:tcMar>
            <w:vAlign w:val="center"/>
            <w:hideMark/>
          </w:tcPr>
          <w:p w14:paraId="4E0DEE4E" w14:textId="77777777" w:rsidR="00000000" w:rsidRDefault="00405D16">
            <w:pPr>
              <w:spacing w:after="100"/>
              <w:jc w:val="right"/>
              <w:rPr>
                <w:rFonts w:eastAsia="Times New Roman"/>
              </w:rPr>
            </w:pPr>
          </w:p>
        </w:tc>
      </w:tr>
      <w:tr w:rsidR="00000000" w14:paraId="76461D0B" w14:textId="77777777">
        <w:trPr>
          <w:divId w:val="1223832393"/>
        </w:trPr>
        <w:tc>
          <w:tcPr>
            <w:tcW w:w="0" w:type="auto"/>
            <w:gridSpan w:val="3"/>
            <w:shd w:val="clear" w:color="auto" w:fill="CCEEFF"/>
            <w:tcMar>
              <w:top w:w="30" w:type="dxa"/>
              <w:left w:w="20" w:type="dxa"/>
              <w:bottom w:w="30" w:type="dxa"/>
              <w:right w:w="20" w:type="dxa"/>
            </w:tcMar>
            <w:vAlign w:val="center"/>
            <w:hideMark/>
          </w:tcPr>
          <w:p w14:paraId="3DB4B246" w14:textId="77777777" w:rsidR="00000000" w:rsidRDefault="00405D16">
            <w:pPr>
              <w:spacing w:after="100"/>
              <w:rPr>
                <w:rFonts w:eastAsia="Times New Roman"/>
              </w:rPr>
            </w:pPr>
            <w:r>
              <w:rPr>
                <w:rFonts w:eastAsia="Times New Roman"/>
                <w:color w:val="000000"/>
                <w:sz w:val="18"/>
                <w:szCs w:val="18"/>
              </w:rPr>
              <w:t>Interest-bearing deposits</w:t>
            </w:r>
          </w:p>
        </w:tc>
        <w:tc>
          <w:tcPr>
            <w:tcW w:w="0" w:type="auto"/>
            <w:gridSpan w:val="3"/>
            <w:shd w:val="clear" w:color="auto" w:fill="CCEEFF"/>
            <w:tcMar>
              <w:top w:w="0" w:type="dxa"/>
              <w:left w:w="20" w:type="dxa"/>
              <w:bottom w:w="0" w:type="dxa"/>
              <w:right w:w="20" w:type="dxa"/>
            </w:tcMar>
            <w:vAlign w:val="center"/>
            <w:hideMark/>
          </w:tcPr>
          <w:p w14:paraId="58280C0F"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363731E" w14:textId="77777777" w:rsidR="00000000" w:rsidRDefault="00405D16">
            <w:pPr>
              <w:spacing w:after="100"/>
              <w:jc w:val="right"/>
              <w:rPr>
                <w:rFonts w:eastAsia="Times New Roman"/>
              </w:rPr>
            </w:pPr>
            <w:r>
              <w:rPr>
                <w:rFonts w:eastAsia="Times New Roman"/>
                <w:b/>
                <w:bCs/>
                <w:color w:val="000000"/>
                <w:sz w:val="18"/>
                <w:szCs w:val="18"/>
              </w:rPr>
              <w:t>(7,951)</w:t>
            </w:r>
          </w:p>
        </w:tc>
        <w:tc>
          <w:tcPr>
            <w:tcW w:w="0" w:type="auto"/>
            <w:shd w:val="clear" w:color="auto" w:fill="CCEEFF"/>
            <w:tcMar>
              <w:top w:w="30" w:type="dxa"/>
              <w:left w:w="0" w:type="dxa"/>
              <w:bottom w:w="30" w:type="dxa"/>
              <w:right w:w="20" w:type="dxa"/>
            </w:tcMar>
            <w:vAlign w:val="center"/>
            <w:hideMark/>
          </w:tcPr>
          <w:p w14:paraId="69440D4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BF472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F19402B" w14:textId="77777777" w:rsidR="00000000" w:rsidRDefault="00405D16">
            <w:pPr>
              <w:spacing w:after="100"/>
              <w:jc w:val="right"/>
              <w:rPr>
                <w:rFonts w:eastAsia="Times New Roman"/>
              </w:rPr>
            </w:pPr>
            <w:r>
              <w:rPr>
                <w:rFonts w:eastAsia="Times New Roman"/>
                <w:b/>
                <w:bCs/>
                <w:color w:val="000000"/>
                <w:sz w:val="18"/>
                <w:szCs w:val="18"/>
              </w:rPr>
              <w:t>(97)</w:t>
            </w:r>
          </w:p>
        </w:tc>
        <w:tc>
          <w:tcPr>
            <w:tcW w:w="0" w:type="auto"/>
            <w:shd w:val="clear" w:color="auto" w:fill="CCEEFF"/>
            <w:tcMar>
              <w:top w:w="30" w:type="dxa"/>
              <w:left w:w="0" w:type="dxa"/>
              <w:bottom w:w="30" w:type="dxa"/>
              <w:right w:w="20" w:type="dxa"/>
            </w:tcMar>
            <w:vAlign w:val="center"/>
            <w:hideMark/>
          </w:tcPr>
          <w:p w14:paraId="76BF707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4B2E1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4344209"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3D61BA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EF9AF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E194355" w14:textId="77777777" w:rsidR="00000000" w:rsidRDefault="00405D16">
            <w:pPr>
              <w:spacing w:after="100"/>
              <w:jc w:val="right"/>
              <w:rPr>
                <w:rFonts w:eastAsia="Times New Roman"/>
              </w:rPr>
            </w:pPr>
            <w:r>
              <w:rPr>
                <w:rFonts w:eastAsia="Times New Roman"/>
                <w:color w:val="000000"/>
                <w:sz w:val="18"/>
                <w:szCs w:val="18"/>
              </w:rPr>
              <w:t>(11,312)</w:t>
            </w:r>
          </w:p>
        </w:tc>
        <w:tc>
          <w:tcPr>
            <w:tcW w:w="0" w:type="auto"/>
            <w:shd w:val="clear" w:color="auto" w:fill="CCEEFF"/>
            <w:tcMar>
              <w:top w:w="30" w:type="dxa"/>
              <w:left w:w="0" w:type="dxa"/>
              <w:bottom w:w="30" w:type="dxa"/>
              <w:right w:w="20" w:type="dxa"/>
            </w:tcMar>
            <w:vAlign w:val="center"/>
            <w:hideMark/>
          </w:tcPr>
          <w:p w14:paraId="5A38FDE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7161A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3BC4299" w14:textId="77777777" w:rsidR="00000000" w:rsidRDefault="00405D16">
            <w:pPr>
              <w:spacing w:after="100"/>
              <w:jc w:val="right"/>
              <w:rPr>
                <w:rFonts w:eastAsia="Times New Roman"/>
              </w:rPr>
            </w:pPr>
            <w:r>
              <w:rPr>
                <w:rFonts w:eastAsia="Times New Roman"/>
                <w:color w:val="000000"/>
                <w:sz w:val="18"/>
                <w:szCs w:val="18"/>
              </w:rPr>
              <w:t>(213)</w:t>
            </w:r>
          </w:p>
        </w:tc>
        <w:tc>
          <w:tcPr>
            <w:tcW w:w="0" w:type="auto"/>
            <w:shd w:val="clear" w:color="auto" w:fill="CCEEFF"/>
            <w:tcMar>
              <w:top w:w="30" w:type="dxa"/>
              <w:left w:w="0" w:type="dxa"/>
              <w:bottom w:w="30" w:type="dxa"/>
              <w:right w:w="20" w:type="dxa"/>
            </w:tcMar>
            <w:vAlign w:val="center"/>
            <w:hideMark/>
          </w:tcPr>
          <w:p w14:paraId="5853B5E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7571D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A9C7383"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7F08237B" w14:textId="77777777" w:rsidR="00000000" w:rsidRDefault="00405D16">
            <w:pPr>
              <w:spacing w:after="100"/>
              <w:jc w:val="right"/>
              <w:rPr>
                <w:rFonts w:eastAsia="Times New Roman"/>
              </w:rPr>
            </w:pPr>
          </w:p>
        </w:tc>
      </w:tr>
      <w:tr w:rsidR="00000000" w14:paraId="407919C8" w14:textId="77777777">
        <w:trPr>
          <w:divId w:val="1223832393"/>
        </w:trPr>
        <w:tc>
          <w:tcPr>
            <w:tcW w:w="0" w:type="auto"/>
            <w:gridSpan w:val="3"/>
            <w:shd w:val="clear" w:color="auto" w:fill="FFFFFF"/>
            <w:tcMar>
              <w:top w:w="30" w:type="dxa"/>
              <w:left w:w="20" w:type="dxa"/>
              <w:bottom w:w="30" w:type="dxa"/>
              <w:right w:w="20" w:type="dxa"/>
            </w:tcMar>
            <w:vAlign w:val="center"/>
            <w:hideMark/>
          </w:tcPr>
          <w:p w14:paraId="7AD51678" w14:textId="77777777" w:rsidR="00000000" w:rsidRDefault="00405D16">
            <w:pPr>
              <w:spacing w:after="100"/>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14:paraId="5BCBF3F3"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A5AA2F2" w14:textId="77777777" w:rsidR="00000000" w:rsidRDefault="00405D16">
            <w:pPr>
              <w:spacing w:after="100"/>
              <w:jc w:val="right"/>
              <w:rPr>
                <w:rFonts w:eastAsia="Times New Roman"/>
              </w:rPr>
            </w:pPr>
            <w:r>
              <w:rPr>
                <w:rFonts w:eastAsia="Times New Roman"/>
                <w:b/>
                <w:bCs/>
                <w:color w:val="000000"/>
                <w:sz w:val="18"/>
                <w:szCs w:val="18"/>
              </w:rPr>
              <w:t>(9,239)</w:t>
            </w:r>
          </w:p>
        </w:tc>
        <w:tc>
          <w:tcPr>
            <w:tcW w:w="0" w:type="auto"/>
            <w:shd w:val="clear" w:color="auto" w:fill="FFFFFF"/>
            <w:tcMar>
              <w:top w:w="30" w:type="dxa"/>
              <w:left w:w="0" w:type="dxa"/>
              <w:bottom w:w="30" w:type="dxa"/>
              <w:right w:w="20" w:type="dxa"/>
            </w:tcMar>
            <w:vAlign w:val="center"/>
            <w:hideMark/>
          </w:tcPr>
          <w:p w14:paraId="4229E67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7A76A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12703AA" w14:textId="77777777" w:rsidR="00000000" w:rsidRDefault="00405D16">
            <w:pPr>
              <w:spacing w:after="100"/>
              <w:jc w:val="right"/>
              <w:rPr>
                <w:rFonts w:eastAsia="Times New Roman"/>
              </w:rPr>
            </w:pPr>
            <w:r>
              <w:rPr>
                <w:rFonts w:eastAsia="Times New Roman"/>
                <w:b/>
                <w:bCs/>
                <w:color w:val="000000"/>
                <w:sz w:val="18"/>
                <w:szCs w:val="18"/>
              </w:rPr>
              <w:t>(31)</w:t>
            </w:r>
          </w:p>
        </w:tc>
        <w:tc>
          <w:tcPr>
            <w:tcW w:w="0" w:type="auto"/>
            <w:shd w:val="clear" w:color="auto" w:fill="FFFFFF"/>
            <w:tcMar>
              <w:top w:w="30" w:type="dxa"/>
              <w:left w:w="0" w:type="dxa"/>
              <w:bottom w:w="30" w:type="dxa"/>
              <w:right w:w="20" w:type="dxa"/>
            </w:tcMar>
            <w:vAlign w:val="center"/>
            <w:hideMark/>
          </w:tcPr>
          <w:p w14:paraId="30C47B8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C3E40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20FAF4C" w14:textId="77777777" w:rsidR="00000000" w:rsidRDefault="00405D16">
            <w:pPr>
              <w:spacing w:after="100"/>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EC4A67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33E5E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7069265" w14:textId="77777777" w:rsidR="00000000" w:rsidRDefault="00405D16">
            <w:pPr>
              <w:spacing w:after="100"/>
              <w:jc w:val="right"/>
              <w:rPr>
                <w:rFonts w:eastAsia="Times New Roman"/>
              </w:rPr>
            </w:pPr>
            <w:r>
              <w:rPr>
                <w:rFonts w:eastAsia="Times New Roman"/>
                <w:color w:val="000000"/>
                <w:sz w:val="18"/>
                <w:szCs w:val="18"/>
              </w:rPr>
              <w:t>(7,609)</w:t>
            </w:r>
          </w:p>
        </w:tc>
        <w:tc>
          <w:tcPr>
            <w:tcW w:w="0" w:type="auto"/>
            <w:shd w:val="clear" w:color="auto" w:fill="FFFFFF"/>
            <w:tcMar>
              <w:top w:w="30" w:type="dxa"/>
              <w:left w:w="0" w:type="dxa"/>
              <w:bottom w:w="30" w:type="dxa"/>
              <w:right w:w="20" w:type="dxa"/>
            </w:tcMar>
            <w:vAlign w:val="center"/>
            <w:hideMark/>
          </w:tcPr>
          <w:p w14:paraId="022B2C9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5A9F6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8A1361E" w14:textId="77777777" w:rsidR="00000000" w:rsidRDefault="00405D16">
            <w:pPr>
              <w:spacing w:after="100"/>
              <w:jc w:val="right"/>
              <w:rPr>
                <w:rFonts w:eastAsia="Times New Roman"/>
              </w:rPr>
            </w:pPr>
            <w:r>
              <w:rPr>
                <w:rFonts w:eastAsia="Times New Roman"/>
                <w:color w:val="000000"/>
                <w:sz w:val="18"/>
                <w:szCs w:val="18"/>
              </w:rPr>
              <w:t>(171)</w:t>
            </w:r>
          </w:p>
        </w:tc>
        <w:tc>
          <w:tcPr>
            <w:tcW w:w="0" w:type="auto"/>
            <w:shd w:val="clear" w:color="auto" w:fill="FFFFFF"/>
            <w:tcMar>
              <w:top w:w="30" w:type="dxa"/>
              <w:left w:w="0" w:type="dxa"/>
              <w:bottom w:w="30" w:type="dxa"/>
              <w:right w:w="20" w:type="dxa"/>
            </w:tcMar>
            <w:vAlign w:val="center"/>
            <w:hideMark/>
          </w:tcPr>
          <w:p w14:paraId="4BA5DA4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B3337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9CAA1D1" w14:textId="77777777" w:rsidR="00000000" w:rsidRDefault="00405D16">
            <w:pPr>
              <w:spacing w:after="100"/>
              <w:jc w:val="right"/>
              <w:rPr>
                <w:rFonts w:eastAsia="Times New Roman"/>
              </w:rPr>
            </w:pPr>
            <w:r>
              <w:rPr>
                <w:rFonts w:eastAsia="Times New Roman"/>
                <w:color w:val="000000"/>
                <w:sz w:val="18"/>
                <w:szCs w:val="18"/>
              </w:rPr>
              <w:t>20 </w:t>
            </w:r>
          </w:p>
        </w:tc>
        <w:tc>
          <w:tcPr>
            <w:tcW w:w="0" w:type="auto"/>
            <w:shd w:val="clear" w:color="auto" w:fill="FFFFFF"/>
            <w:tcMar>
              <w:top w:w="30" w:type="dxa"/>
              <w:left w:w="0" w:type="dxa"/>
              <w:bottom w:w="30" w:type="dxa"/>
              <w:right w:w="20" w:type="dxa"/>
            </w:tcMar>
            <w:vAlign w:val="center"/>
            <w:hideMark/>
          </w:tcPr>
          <w:p w14:paraId="4DAEA83D" w14:textId="77777777" w:rsidR="00000000" w:rsidRDefault="00405D16">
            <w:pPr>
              <w:spacing w:after="100"/>
              <w:jc w:val="right"/>
              <w:rPr>
                <w:rFonts w:eastAsia="Times New Roman"/>
              </w:rPr>
            </w:pPr>
          </w:p>
        </w:tc>
      </w:tr>
      <w:tr w:rsidR="00000000" w14:paraId="5BA0180D" w14:textId="77777777">
        <w:trPr>
          <w:divId w:val="1223832393"/>
        </w:trPr>
        <w:tc>
          <w:tcPr>
            <w:tcW w:w="0" w:type="auto"/>
            <w:gridSpan w:val="3"/>
            <w:shd w:val="clear" w:color="auto" w:fill="CCEEFF"/>
            <w:tcMar>
              <w:top w:w="30" w:type="dxa"/>
              <w:left w:w="20" w:type="dxa"/>
              <w:bottom w:w="30" w:type="dxa"/>
              <w:right w:w="20" w:type="dxa"/>
            </w:tcMar>
            <w:vAlign w:val="center"/>
            <w:hideMark/>
          </w:tcPr>
          <w:p w14:paraId="00DEDD89" w14:textId="77777777" w:rsidR="00000000" w:rsidRDefault="00405D16">
            <w:pPr>
              <w:spacing w:after="100"/>
              <w:rPr>
                <w:rFonts w:eastAsia="Times New Roman"/>
              </w:rPr>
            </w:pPr>
            <w:r>
              <w:rPr>
                <w:rFonts w:eastAsia="Times New Roman"/>
                <w:color w:val="000000"/>
                <w:sz w:val="18"/>
                <w:szCs w:val="18"/>
              </w:rPr>
              <w:t>Senior and subordinated notes</w:t>
            </w:r>
          </w:p>
        </w:tc>
        <w:tc>
          <w:tcPr>
            <w:tcW w:w="0" w:type="auto"/>
            <w:gridSpan w:val="3"/>
            <w:shd w:val="clear" w:color="auto" w:fill="CCEEFF"/>
            <w:tcMar>
              <w:top w:w="0" w:type="dxa"/>
              <w:left w:w="20" w:type="dxa"/>
              <w:bottom w:w="0" w:type="dxa"/>
              <w:right w:w="20" w:type="dxa"/>
            </w:tcMar>
            <w:vAlign w:val="center"/>
            <w:hideMark/>
          </w:tcPr>
          <w:p w14:paraId="00E57603"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DED0F21" w14:textId="77777777" w:rsidR="00000000" w:rsidRDefault="00405D16">
            <w:pPr>
              <w:spacing w:after="100"/>
              <w:jc w:val="right"/>
              <w:rPr>
                <w:rFonts w:eastAsia="Times New Roman"/>
              </w:rPr>
            </w:pPr>
            <w:r>
              <w:rPr>
                <w:rFonts w:eastAsia="Times New Roman"/>
                <w:b/>
                <w:bCs/>
                <w:color w:val="000000"/>
                <w:sz w:val="18"/>
                <w:szCs w:val="18"/>
              </w:rPr>
              <w:t>(19,889)</w:t>
            </w:r>
          </w:p>
        </w:tc>
        <w:tc>
          <w:tcPr>
            <w:tcW w:w="0" w:type="auto"/>
            <w:shd w:val="clear" w:color="auto" w:fill="CCEEFF"/>
            <w:tcMar>
              <w:top w:w="30" w:type="dxa"/>
              <w:left w:w="0" w:type="dxa"/>
              <w:bottom w:w="30" w:type="dxa"/>
              <w:right w:w="20" w:type="dxa"/>
            </w:tcMar>
            <w:vAlign w:val="center"/>
            <w:hideMark/>
          </w:tcPr>
          <w:p w14:paraId="0A6A599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FCA77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3B23CE0" w14:textId="77777777" w:rsidR="00000000" w:rsidRDefault="00405D16">
            <w:pPr>
              <w:spacing w:after="100"/>
              <w:jc w:val="right"/>
              <w:rPr>
                <w:rFonts w:eastAsia="Times New Roman"/>
              </w:rPr>
            </w:pPr>
            <w:r>
              <w:rPr>
                <w:rFonts w:eastAsia="Times New Roman"/>
                <w:b/>
                <w:bCs/>
                <w:color w:val="000000"/>
                <w:sz w:val="18"/>
                <w:szCs w:val="18"/>
              </w:rPr>
              <w:t>(774)</w:t>
            </w:r>
          </w:p>
        </w:tc>
        <w:tc>
          <w:tcPr>
            <w:tcW w:w="0" w:type="auto"/>
            <w:shd w:val="clear" w:color="auto" w:fill="CCEEFF"/>
            <w:tcMar>
              <w:top w:w="30" w:type="dxa"/>
              <w:left w:w="0" w:type="dxa"/>
              <w:bottom w:w="30" w:type="dxa"/>
              <w:right w:w="20" w:type="dxa"/>
            </w:tcMar>
            <w:vAlign w:val="center"/>
            <w:hideMark/>
          </w:tcPr>
          <w:p w14:paraId="17D64EB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97A21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B334399" w14:textId="77777777" w:rsidR="00000000" w:rsidRDefault="00405D16">
            <w:pPr>
              <w:spacing w:after="100"/>
              <w:jc w:val="right"/>
              <w:rPr>
                <w:rFonts w:eastAsia="Times New Roman"/>
              </w:rPr>
            </w:pPr>
            <w:r>
              <w:rPr>
                <w:rFonts w:eastAsia="Times New Roman"/>
                <w:b/>
                <w:bCs/>
                <w:color w:val="000000"/>
                <w:sz w:val="18"/>
                <w:szCs w:val="18"/>
              </w:rPr>
              <w:t>(561)</w:t>
            </w:r>
          </w:p>
        </w:tc>
        <w:tc>
          <w:tcPr>
            <w:tcW w:w="0" w:type="auto"/>
            <w:shd w:val="clear" w:color="auto" w:fill="CCEEFF"/>
            <w:tcMar>
              <w:top w:w="30" w:type="dxa"/>
              <w:left w:w="0" w:type="dxa"/>
              <w:bottom w:w="30" w:type="dxa"/>
              <w:right w:w="20" w:type="dxa"/>
            </w:tcMar>
            <w:vAlign w:val="center"/>
            <w:hideMark/>
          </w:tcPr>
          <w:p w14:paraId="38B5113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62FDA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1AA5EEB" w14:textId="77777777" w:rsidR="00000000" w:rsidRDefault="00405D16">
            <w:pPr>
              <w:spacing w:after="100"/>
              <w:jc w:val="right"/>
              <w:rPr>
                <w:rFonts w:eastAsia="Times New Roman"/>
              </w:rPr>
            </w:pPr>
            <w:r>
              <w:rPr>
                <w:rFonts w:eastAsia="Times New Roman"/>
                <w:color w:val="000000"/>
                <w:sz w:val="18"/>
                <w:szCs w:val="18"/>
              </w:rPr>
              <w:t>(21,927)</w:t>
            </w:r>
          </w:p>
        </w:tc>
        <w:tc>
          <w:tcPr>
            <w:tcW w:w="0" w:type="auto"/>
            <w:shd w:val="clear" w:color="auto" w:fill="CCEEFF"/>
            <w:tcMar>
              <w:top w:w="30" w:type="dxa"/>
              <w:left w:w="0" w:type="dxa"/>
              <w:bottom w:w="30" w:type="dxa"/>
              <w:right w:w="20" w:type="dxa"/>
            </w:tcMar>
            <w:vAlign w:val="center"/>
            <w:hideMark/>
          </w:tcPr>
          <w:p w14:paraId="5008100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5B87E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27A6F75" w14:textId="77777777" w:rsidR="00000000" w:rsidRDefault="00405D16">
            <w:pPr>
              <w:spacing w:after="100"/>
              <w:jc w:val="right"/>
              <w:rPr>
                <w:rFonts w:eastAsia="Times New Roman"/>
              </w:rPr>
            </w:pPr>
            <w:r>
              <w:rPr>
                <w:rFonts w:eastAsia="Times New Roman"/>
                <w:color w:val="000000"/>
                <w:sz w:val="18"/>
                <w:szCs w:val="18"/>
              </w:rPr>
              <w:t>(1,282)</w:t>
            </w:r>
          </w:p>
        </w:tc>
        <w:tc>
          <w:tcPr>
            <w:tcW w:w="0" w:type="auto"/>
            <w:shd w:val="clear" w:color="auto" w:fill="CCEEFF"/>
            <w:tcMar>
              <w:top w:w="30" w:type="dxa"/>
              <w:left w:w="0" w:type="dxa"/>
              <w:bottom w:w="30" w:type="dxa"/>
              <w:right w:w="20" w:type="dxa"/>
            </w:tcMar>
            <w:vAlign w:val="center"/>
            <w:hideMark/>
          </w:tcPr>
          <w:p w14:paraId="1E12A59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681DC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14C09ED" w14:textId="77777777" w:rsidR="00000000" w:rsidRDefault="00405D16">
            <w:pPr>
              <w:spacing w:after="100"/>
              <w:jc w:val="right"/>
              <w:rPr>
                <w:rFonts w:eastAsia="Times New Roman"/>
              </w:rPr>
            </w:pPr>
            <w:r>
              <w:rPr>
                <w:rFonts w:eastAsia="Times New Roman"/>
                <w:color w:val="000000"/>
                <w:sz w:val="18"/>
                <w:szCs w:val="18"/>
              </w:rPr>
              <w:t>(666)</w:t>
            </w:r>
          </w:p>
        </w:tc>
        <w:tc>
          <w:tcPr>
            <w:tcW w:w="0" w:type="auto"/>
            <w:shd w:val="clear" w:color="auto" w:fill="CCEEFF"/>
            <w:tcMar>
              <w:top w:w="30" w:type="dxa"/>
              <w:left w:w="0" w:type="dxa"/>
              <w:bottom w:w="30" w:type="dxa"/>
              <w:right w:w="20" w:type="dxa"/>
            </w:tcMar>
            <w:vAlign w:val="center"/>
            <w:hideMark/>
          </w:tcPr>
          <w:p w14:paraId="6D25BBBC" w14:textId="77777777" w:rsidR="00000000" w:rsidRDefault="00405D16">
            <w:pPr>
              <w:spacing w:after="100"/>
              <w:jc w:val="right"/>
              <w:rPr>
                <w:rFonts w:eastAsia="Times New Roman"/>
              </w:rPr>
            </w:pPr>
          </w:p>
        </w:tc>
      </w:tr>
    </w:tbl>
    <w:p w14:paraId="27C79533" w14:textId="77777777" w:rsidR="00000000" w:rsidRDefault="00405D16">
      <w:pPr>
        <w:divId w:val="208883563"/>
        <w:rPr>
          <w:rFonts w:eastAsia="Times New Roman"/>
        </w:rPr>
      </w:pPr>
      <w:r>
        <w:rPr>
          <w:rFonts w:eastAsia="Times New Roman"/>
          <w:color w:val="000000"/>
          <w:sz w:val="20"/>
          <w:szCs w:val="20"/>
        </w:rPr>
        <w:t>__________</w:t>
      </w:r>
    </w:p>
    <w:p w14:paraId="2EB37D46" w14:textId="77777777" w:rsidR="00000000" w:rsidRDefault="00405D16">
      <w:pPr>
        <w:ind w:hanging="360"/>
        <w:jc w:val="both"/>
        <w:divId w:val="183549342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These amounts include the amortized cost basis of our investment securities des</w:t>
      </w:r>
      <w:r>
        <w:rPr>
          <w:rFonts w:eastAsia="Times New Roman"/>
          <w:color w:val="000000"/>
          <w:sz w:val="16"/>
          <w:szCs w:val="16"/>
        </w:rPr>
        <w:t>ignated in hedging relationships for which the hedged item is the last layer expected to be remaining at the end of the hedging relationship. The amortized cost basis of this portfolio was $249 million, the amount of the designated hedged items was $225 mi</w:t>
      </w:r>
      <w:r>
        <w:rPr>
          <w:rFonts w:eastAsia="Times New Roman"/>
          <w:color w:val="000000"/>
          <w:sz w:val="16"/>
          <w:szCs w:val="16"/>
        </w:rPr>
        <w:t>llion, and the cumulative basis adjustments associated with these hedges was $1 million as of September 30, 2021. We had no such hedging relationships as of December 31, 2020.</w:t>
      </w:r>
    </w:p>
    <w:p w14:paraId="36D9C5AA" w14:textId="77777777" w:rsidR="00000000" w:rsidRDefault="00405D16">
      <w:pPr>
        <w:ind w:hanging="360"/>
        <w:jc w:val="both"/>
        <w:divId w:val="149757455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Carrying value represents amortized cost.</w:t>
      </w:r>
    </w:p>
    <w:p w14:paraId="5B80DF6D" w14:textId="77777777" w:rsidR="00000000" w:rsidRDefault="00405D16">
      <w:pPr>
        <w:divId w:val="813453700"/>
        <w:rPr>
          <w:rFonts w:eastAsia="Times New Roman"/>
        </w:rPr>
      </w:pPr>
      <w:r>
        <w:rPr>
          <w:rFonts w:eastAsia="Times New Roman"/>
          <w:b/>
          <w:bCs/>
          <w:color w:val="000000"/>
          <w:sz w:val="20"/>
          <w:szCs w:val="20"/>
        </w:rPr>
        <w:t>Balance Sheet Offsetting of Financi</w:t>
      </w:r>
      <w:r>
        <w:rPr>
          <w:rFonts w:eastAsia="Times New Roman"/>
          <w:b/>
          <w:bCs/>
          <w:color w:val="000000"/>
          <w:sz w:val="20"/>
          <w:szCs w:val="20"/>
        </w:rPr>
        <w:t>al Assets and Liabilities</w:t>
      </w:r>
    </w:p>
    <w:p w14:paraId="7A083C2D" w14:textId="77777777" w:rsidR="00000000" w:rsidRDefault="00405D16">
      <w:pPr>
        <w:jc w:val="both"/>
        <w:divId w:val="1150171788"/>
        <w:rPr>
          <w:rFonts w:eastAsia="Times New Roman"/>
        </w:rPr>
      </w:pPr>
      <w:r>
        <w:rPr>
          <w:rFonts w:eastAsia="Times New Roman"/>
          <w:color w:val="000000"/>
          <w:sz w:val="20"/>
          <w:szCs w:val="20"/>
        </w:rPr>
        <w:t>Derivative contracts and repurchase agreements that we execute bilaterally in the OTC market are generally governed by enforceable master netting arrangements where we generally have the right to offset exposure with the same coun</w:t>
      </w:r>
      <w:r>
        <w:rPr>
          <w:rFonts w:eastAsia="Times New Roman"/>
          <w:color w:val="000000"/>
          <w:sz w:val="20"/>
          <w:szCs w:val="20"/>
        </w:rPr>
        <w:t>terparty. Either counterparty can generally request to net settle all contracts through a single payment upon default on, or termination of, any one contract. We elect to offset the derivative assets and liabilities under master netting arrangements for ba</w:t>
      </w:r>
      <w:r>
        <w:rPr>
          <w:rFonts w:eastAsia="Times New Roman"/>
          <w:color w:val="000000"/>
          <w:sz w:val="20"/>
          <w:szCs w:val="20"/>
        </w:rPr>
        <w:t>lance sheet presentation where a right of setoff exists. For derivative contracts entered into under master netting arrangements for which we have not been able to confirm the enforceability of the setoff rights, or those not subject to master netting arra</w:t>
      </w:r>
      <w:r>
        <w:rPr>
          <w:rFonts w:eastAsia="Times New Roman"/>
          <w:color w:val="000000"/>
          <w:sz w:val="20"/>
          <w:szCs w:val="20"/>
        </w:rPr>
        <w:t>ngements, we do not offset our derivative positions for balance sheet presentation.</w:t>
      </w:r>
    </w:p>
    <w:p w14:paraId="28F9738C" w14:textId="77777777" w:rsidR="00000000" w:rsidRDefault="00405D16">
      <w:pPr>
        <w:jc w:val="both"/>
        <w:divId w:val="920216548"/>
        <w:rPr>
          <w:rFonts w:eastAsia="Times New Roman"/>
        </w:rPr>
      </w:pPr>
      <w:r>
        <w:rPr>
          <w:rFonts w:eastAsia="Times New Roman"/>
          <w:color w:val="000000"/>
          <w:sz w:val="20"/>
          <w:szCs w:val="20"/>
        </w:rPr>
        <w:t>The following table presents the gross and net fair values of our derivative assets, derivative liabilities, resale and repurchase agreements and the related offsetting amo</w:t>
      </w:r>
      <w:r>
        <w:rPr>
          <w:rFonts w:eastAsia="Times New Roman"/>
          <w:color w:val="000000"/>
          <w:sz w:val="20"/>
          <w:szCs w:val="20"/>
        </w:rPr>
        <w:t>unts permitted under U.S. GAAP as of September 30, 2021 and December 31, 2020. The table also includes cash and non-cash collateral received or pledged in accordance with such arrangements. The amount of collateral presented, however, is limited to the amo</w:t>
      </w:r>
      <w:r>
        <w:rPr>
          <w:rFonts w:eastAsia="Times New Roman"/>
          <w:color w:val="000000"/>
          <w:sz w:val="20"/>
          <w:szCs w:val="20"/>
        </w:rPr>
        <w:t>unt of the related net derivative fair values or outstanding balances; therefore, instances of over-collateralization are excluded.</w:t>
      </w:r>
    </w:p>
    <w:p w14:paraId="04D29C9A" w14:textId="77777777" w:rsidR="00000000" w:rsidRDefault="00405D16">
      <w:pPr>
        <w:jc w:val="both"/>
        <w:divId w:val="987125644"/>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7E803C53" w14:textId="77777777">
        <w:trPr>
          <w:divId w:val="1565483661"/>
          <w:jc w:val="center"/>
        </w:trPr>
        <w:tc>
          <w:tcPr>
            <w:tcW w:w="50" w:type="pct"/>
            <w:vAlign w:val="center"/>
            <w:hideMark/>
          </w:tcPr>
          <w:p w14:paraId="1ECE7226" w14:textId="77777777" w:rsidR="00000000" w:rsidRDefault="00405D16">
            <w:pPr>
              <w:jc w:val="both"/>
              <w:rPr>
                <w:rFonts w:eastAsia="Times New Roman"/>
              </w:rPr>
            </w:pPr>
          </w:p>
        </w:tc>
        <w:tc>
          <w:tcPr>
            <w:tcW w:w="1606" w:type="pct"/>
            <w:vAlign w:val="center"/>
            <w:hideMark/>
          </w:tcPr>
          <w:p w14:paraId="70FDEA1A" w14:textId="77777777" w:rsidR="00000000" w:rsidRDefault="00405D16">
            <w:pPr>
              <w:spacing w:after="100"/>
              <w:rPr>
                <w:rFonts w:eastAsia="Times New Roman"/>
                <w:sz w:val="20"/>
                <w:szCs w:val="20"/>
              </w:rPr>
            </w:pPr>
          </w:p>
        </w:tc>
        <w:tc>
          <w:tcPr>
            <w:tcW w:w="5" w:type="pct"/>
            <w:vAlign w:val="center"/>
            <w:hideMark/>
          </w:tcPr>
          <w:p w14:paraId="580AE087" w14:textId="77777777" w:rsidR="00000000" w:rsidRDefault="00405D16">
            <w:pPr>
              <w:spacing w:after="100"/>
              <w:rPr>
                <w:rFonts w:eastAsia="Times New Roman"/>
                <w:sz w:val="20"/>
                <w:szCs w:val="20"/>
              </w:rPr>
            </w:pPr>
          </w:p>
        </w:tc>
        <w:tc>
          <w:tcPr>
            <w:tcW w:w="50" w:type="pct"/>
            <w:vAlign w:val="center"/>
            <w:hideMark/>
          </w:tcPr>
          <w:p w14:paraId="34548943" w14:textId="77777777" w:rsidR="00000000" w:rsidRDefault="00405D16">
            <w:pPr>
              <w:spacing w:after="100"/>
              <w:rPr>
                <w:rFonts w:eastAsia="Times New Roman"/>
                <w:sz w:val="20"/>
                <w:szCs w:val="20"/>
              </w:rPr>
            </w:pPr>
          </w:p>
        </w:tc>
        <w:tc>
          <w:tcPr>
            <w:tcW w:w="1614" w:type="pct"/>
            <w:vAlign w:val="center"/>
            <w:hideMark/>
          </w:tcPr>
          <w:p w14:paraId="2A22B099" w14:textId="77777777" w:rsidR="00000000" w:rsidRDefault="00405D16">
            <w:pPr>
              <w:spacing w:after="100"/>
              <w:rPr>
                <w:rFonts w:eastAsia="Times New Roman"/>
                <w:sz w:val="20"/>
                <w:szCs w:val="20"/>
              </w:rPr>
            </w:pPr>
          </w:p>
        </w:tc>
        <w:tc>
          <w:tcPr>
            <w:tcW w:w="5" w:type="pct"/>
            <w:vAlign w:val="center"/>
            <w:hideMark/>
          </w:tcPr>
          <w:p w14:paraId="0FDDAE95" w14:textId="77777777" w:rsidR="00000000" w:rsidRDefault="00405D16">
            <w:pPr>
              <w:spacing w:after="100"/>
              <w:rPr>
                <w:rFonts w:eastAsia="Times New Roman"/>
                <w:sz w:val="20"/>
                <w:szCs w:val="20"/>
              </w:rPr>
            </w:pPr>
          </w:p>
        </w:tc>
        <w:tc>
          <w:tcPr>
            <w:tcW w:w="50" w:type="pct"/>
            <w:vAlign w:val="center"/>
            <w:hideMark/>
          </w:tcPr>
          <w:p w14:paraId="467F4B2B" w14:textId="77777777" w:rsidR="00000000" w:rsidRDefault="00405D16">
            <w:pPr>
              <w:spacing w:after="100"/>
              <w:rPr>
                <w:rFonts w:eastAsia="Times New Roman"/>
                <w:sz w:val="20"/>
                <w:szCs w:val="20"/>
              </w:rPr>
            </w:pPr>
          </w:p>
        </w:tc>
        <w:tc>
          <w:tcPr>
            <w:tcW w:w="1614" w:type="pct"/>
            <w:vAlign w:val="center"/>
            <w:hideMark/>
          </w:tcPr>
          <w:p w14:paraId="1C737D93" w14:textId="77777777" w:rsidR="00000000" w:rsidRDefault="00405D16">
            <w:pPr>
              <w:spacing w:after="100"/>
              <w:rPr>
                <w:rFonts w:eastAsia="Times New Roman"/>
                <w:sz w:val="20"/>
                <w:szCs w:val="20"/>
              </w:rPr>
            </w:pPr>
          </w:p>
        </w:tc>
        <w:tc>
          <w:tcPr>
            <w:tcW w:w="5" w:type="pct"/>
            <w:vAlign w:val="center"/>
            <w:hideMark/>
          </w:tcPr>
          <w:p w14:paraId="15A538C9" w14:textId="77777777" w:rsidR="00000000" w:rsidRDefault="00405D16">
            <w:pPr>
              <w:spacing w:after="100"/>
              <w:rPr>
                <w:rFonts w:eastAsia="Times New Roman"/>
                <w:sz w:val="20"/>
                <w:szCs w:val="20"/>
              </w:rPr>
            </w:pPr>
          </w:p>
        </w:tc>
      </w:tr>
      <w:tr w:rsidR="00000000" w14:paraId="7D0D1F90" w14:textId="77777777">
        <w:trPr>
          <w:divId w:val="1565483661"/>
          <w:trHeight w:val="300"/>
          <w:jc w:val="center"/>
        </w:trPr>
        <w:tc>
          <w:tcPr>
            <w:tcW w:w="0" w:type="auto"/>
            <w:gridSpan w:val="9"/>
            <w:tcMar>
              <w:top w:w="0" w:type="dxa"/>
              <w:left w:w="20" w:type="dxa"/>
              <w:bottom w:w="0" w:type="dxa"/>
              <w:right w:w="20" w:type="dxa"/>
            </w:tcMar>
            <w:vAlign w:val="center"/>
            <w:hideMark/>
          </w:tcPr>
          <w:p w14:paraId="18973D08" w14:textId="77777777" w:rsidR="00000000" w:rsidRDefault="00405D16">
            <w:pPr>
              <w:spacing w:after="100"/>
              <w:rPr>
                <w:rFonts w:eastAsia="Times New Roman"/>
                <w:sz w:val="20"/>
                <w:szCs w:val="20"/>
              </w:rPr>
            </w:pPr>
          </w:p>
        </w:tc>
      </w:tr>
      <w:tr w:rsidR="00000000" w14:paraId="3AB3B710" w14:textId="77777777">
        <w:trPr>
          <w:divId w:val="1565483661"/>
          <w:jc w:val="center"/>
        </w:trPr>
        <w:tc>
          <w:tcPr>
            <w:tcW w:w="0" w:type="auto"/>
            <w:gridSpan w:val="3"/>
            <w:tcMar>
              <w:top w:w="0" w:type="dxa"/>
              <w:left w:w="20" w:type="dxa"/>
              <w:bottom w:w="0" w:type="dxa"/>
              <w:right w:w="20" w:type="dxa"/>
            </w:tcMar>
            <w:vAlign w:val="center"/>
            <w:hideMark/>
          </w:tcPr>
          <w:p w14:paraId="7B80D856"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8F8535B" w14:textId="77777777" w:rsidR="00000000" w:rsidRDefault="00405D16">
            <w:pPr>
              <w:spacing w:after="100"/>
              <w:jc w:val="center"/>
              <w:rPr>
                <w:rFonts w:eastAsia="Times New Roman"/>
              </w:rPr>
            </w:pPr>
            <w:r>
              <w:rPr>
                <w:rFonts w:eastAsia="Times New Roman"/>
                <w:color w:val="000000"/>
                <w:sz w:val="16"/>
                <w:szCs w:val="16"/>
              </w:rPr>
              <w:t>105</w:t>
            </w:r>
          </w:p>
        </w:tc>
        <w:tc>
          <w:tcPr>
            <w:tcW w:w="0" w:type="auto"/>
            <w:gridSpan w:val="3"/>
            <w:tcMar>
              <w:top w:w="30" w:type="dxa"/>
              <w:left w:w="20" w:type="dxa"/>
              <w:bottom w:w="30" w:type="dxa"/>
              <w:right w:w="20" w:type="dxa"/>
            </w:tcMar>
            <w:vAlign w:val="bottom"/>
            <w:hideMark/>
          </w:tcPr>
          <w:p w14:paraId="09A28422"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1B82A8D2" w14:textId="77777777" w:rsidR="00000000" w:rsidRDefault="00405D16">
      <w:pPr>
        <w:rPr>
          <w:rFonts w:eastAsia="Times New Roman"/>
        </w:rPr>
      </w:pPr>
      <w:r>
        <w:rPr>
          <w:rFonts w:eastAsia="Times New Roman"/>
        </w:rPr>
        <w:pict w14:anchorId="2B02554B">
          <v:rect id="_x0000_i1130" style="width:0;height:1.5pt" o:hralign="center" o:hrstd="t" o:hr="t" fillcolor="#a0a0a0" stroked="f"/>
        </w:pict>
      </w:r>
    </w:p>
    <w:p w14:paraId="7E93491E" w14:textId="77777777" w:rsidR="00000000" w:rsidRDefault="00405D16">
      <w:pPr>
        <w:jc w:val="both"/>
        <w:divId w:val="963661731"/>
        <w:rPr>
          <w:rFonts w:eastAsia="Times New Roman"/>
        </w:rPr>
      </w:pPr>
      <w:hyperlink w:anchor="idd54a04a485440b4ab4e56094c14d612_13" w:history="1">
        <w:r>
          <w:rPr>
            <w:rStyle w:val="a3"/>
            <w:rFonts w:eastAsia="Times New Roman"/>
            <w:sz w:val="16"/>
            <w:szCs w:val="16"/>
          </w:rPr>
          <w:t>Table of Contents</w:t>
        </w:r>
      </w:hyperlink>
    </w:p>
    <w:p w14:paraId="7368F304" w14:textId="77777777" w:rsidR="00000000" w:rsidRDefault="00405D16">
      <w:pPr>
        <w:jc w:val="center"/>
        <w:divId w:val="963661731"/>
        <w:rPr>
          <w:rFonts w:eastAsia="Times New Roman"/>
        </w:rPr>
      </w:pPr>
    </w:p>
    <w:p w14:paraId="1C3FC8AE" w14:textId="77777777" w:rsidR="00000000" w:rsidRDefault="00405D16">
      <w:pPr>
        <w:divId w:val="837615640"/>
        <w:rPr>
          <w:rFonts w:eastAsia="Times New Roman"/>
        </w:rPr>
      </w:pPr>
      <w:r>
        <w:rPr>
          <w:rFonts w:eastAsia="Times New Roman"/>
          <w:b/>
          <w:bCs/>
          <w:color w:val="000000"/>
          <w:sz w:val="18"/>
          <w:szCs w:val="18"/>
        </w:rPr>
        <w:t>Table 8.3: Offsetting of Financial Assets and Financial Liabilities</w:t>
      </w:r>
    </w:p>
    <w:tbl>
      <w:tblPr>
        <w:tblW w:w="4970" w:type="pct"/>
        <w:tblCellMar>
          <w:top w:w="15" w:type="dxa"/>
          <w:left w:w="15" w:type="dxa"/>
          <w:bottom w:w="15" w:type="dxa"/>
          <w:right w:w="15" w:type="dxa"/>
        </w:tblCellMar>
        <w:tblLook w:val="04A0" w:firstRow="1" w:lastRow="0" w:firstColumn="1" w:lastColumn="0" w:noHBand="0" w:noVBand="1"/>
      </w:tblPr>
      <w:tblGrid>
        <w:gridCol w:w="38"/>
        <w:gridCol w:w="2438"/>
        <w:gridCol w:w="37"/>
        <w:gridCol w:w="36"/>
        <w:gridCol w:w="36"/>
        <w:gridCol w:w="36"/>
        <w:gridCol w:w="111"/>
        <w:gridCol w:w="576"/>
        <w:gridCol w:w="36"/>
        <w:gridCol w:w="36"/>
        <w:gridCol w:w="36"/>
        <w:gridCol w:w="36"/>
        <w:gridCol w:w="111"/>
        <w:gridCol w:w="775"/>
        <w:gridCol w:w="37"/>
        <w:gridCol w:w="36"/>
        <w:gridCol w:w="36"/>
        <w:gridCol w:w="36"/>
        <w:gridCol w:w="111"/>
        <w:gridCol w:w="658"/>
        <w:gridCol w:w="37"/>
        <w:gridCol w:w="36"/>
        <w:gridCol w:w="36"/>
        <w:gridCol w:w="36"/>
        <w:gridCol w:w="111"/>
        <w:gridCol w:w="739"/>
        <w:gridCol w:w="36"/>
        <w:gridCol w:w="36"/>
        <w:gridCol w:w="36"/>
        <w:gridCol w:w="36"/>
        <w:gridCol w:w="111"/>
        <w:gridCol w:w="858"/>
        <w:gridCol w:w="36"/>
        <w:gridCol w:w="36"/>
        <w:gridCol w:w="36"/>
        <w:gridCol w:w="36"/>
        <w:gridCol w:w="111"/>
        <w:gridCol w:w="605"/>
        <w:gridCol w:w="36"/>
      </w:tblGrid>
      <w:tr w:rsidR="00000000" w14:paraId="259B9416" w14:textId="77777777">
        <w:trPr>
          <w:divId w:val="714086520"/>
        </w:trPr>
        <w:tc>
          <w:tcPr>
            <w:tcW w:w="50" w:type="pct"/>
            <w:vAlign w:val="center"/>
            <w:hideMark/>
          </w:tcPr>
          <w:p w14:paraId="56028829" w14:textId="77777777" w:rsidR="00000000" w:rsidRDefault="00405D16">
            <w:pPr>
              <w:rPr>
                <w:rFonts w:eastAsia="Times New Roman"/>
              </w:rPr>
            </w:pPr>
          </w:p>
        </w:tc>
        <w:tc>
          <w:tcPr>
            <w:tcW w:w="1540" w:type="pct"/>
            <w:vAlign w:val="center"/>
            <w:hideMark/>
          </w:tcPr>
          <w:p w14:paraId="3A2E7BA4" w14:textId="77777777" w:rsidR="00000000" w:rsidRDefault="00405D16">
            <w:pPr>
              <w:spacing w:after="100"/>
              <w:rPr>
                <w:rFonts w:eastAsia="Times New Roman"/>
                <w:sz w:val="20"/>
                <w:szCs w:val="20"/>
              </w:rPr>
            </w:pPr>
          </w:p>
        </w:tc>
        <w:tc>
          <w:tcPr>
            <w:tcW w:w="5" w:type="pct"/>
            <w:vAlign w:val="center"/>
            <w:hideMark/>
          </w:tcPr>
          <w:p w14:paraId="244A07E4" w14:textId="77777777" w:rsidR="00000000" w:rsidRDefault="00405D16">
            <w:pPr>
              <w:spacing w:after="100"/>
              <w:rPr>
                <w:rFonts w:eastAsia="Times New Roman"/>
                <w:sz w:val="20"/>
                <w:szCs w:val="20"/>
              </w:rPr>
            </w:pPr>
          </w:p>
        </w:tc>
        <w:tc>
          <w:tcPr>
            <w:tcW w:w="5" w:type="pct"/>
            <w:vAlign w:val="center"/>
            <w:hideMark/>
          </w:tcPr>
          <w:p w14:paraId="471D69FA" w14:textId="77777777" w:rsidR="00000000" w:rsidRDefault="00405D16">
            <w:pPr>
              <w:spacing w:after="100"/>
              <w:rPr>
                <w:rFonts w:eastAsia="Times New Roman"/>
                <w:sz w:val="20"/>
                <w:szCs w:val="20"/>
              </w:rPr>
            </w:pPr>
          </w:p>
        </w:tc>
        <w:tc>
          <w:tcPr>
            <w:tcW w:w="26" w:type="pct"/>
            <w:vAlign w:val="center"/>
            <w:hideMark/>
          </w:tcPr>
          <w:p w14:paraId="4E7785D8" w14:textId="77777777" w:rsidR="00000000" w:rsidRDefault="00405D16">
            <w:pPr>
              <w:spacing w:after="100"/>
              <w:rPr>
                <w:rFonts w:eastAsia="Times New Roman"/>
                <w:sz w:val="20"/>
                <w:szCs w:val="20"/>
              </w:rPr>
            </w:pPr>
          </w:p>
        </w:tc>
        <w:tc>
          <w:tcPr>
            <w:tcW w:w="5" w:type="pct"/>
            <w:vAlign w:val="center"/>
            <w:hideMark/>
          </w:tcPr>
          <w:p w14:paraId="5A568A21" w14:textId="77777777" w:rsidR="00000000" w:rsidRDefault="00405D16">
            <w:pPr>
              <w:spacing w:after="100"/>
              <w:rPr>
                <w:rFonts w:eastAsia="Times New Roman"/>
                <w:sz w:val="20"/>
                <w:szCs w:val="20"/>
              </w:rPr>
            </w:pPr>
          </w:p>
        </w:tc>
        <w:tc>
          <w:tcPr>
            <w:tcW w:w="50" w:type="pct"/>
            <w:vAlign w:val="center"/>
            <w:hideMark/>
          </w:tcPr>
          <w:p w14:paraId="44FE0BF3" w14:textId="77777777" w:rsidR="00000000" w:rsidRDefault="00405D16">
            <w:pPr>
              <w:spacing w:after="100"/>
              <w:rPr>
                <w:rFonts w:eastAsia="Times New Roman"/>
                <w:sz w:val="20"/>
                <w:szCs w:val="20"/>
              </w:rPr>
            </w:pPr>
          </w:p>
        </w:tc>
        <w:tc>
          <w:tcPr>
            <w:tcW w:w="364" w:type="pct"/>
            <w:vAlign w:val="center"/>
            <w:hideMark/>
          </w:tcPr>
          <w:p w14:paraId="611D3BB2" w14:textId="77777777" w:rsidR="00000000" w:rsidRDefault="00405D16">
            <w:pPr>
              <w:spacing w:after="100"/>
              <w:rPr>
                <w:rFonts w:eastAsia="Times New Roman"/>
                <w:sz w:val="20"/>
                <w:szCs w:val="20"/>
              </w:rPr>
            </w:pPr>
          </w:p>
        </w:tc>
        <w:tc>
          <w:tcPr>
            <w:tcW w:w="5" w:type="pct"/>
            <w:vAlign w:val="center"/>
            <w:hideMark/>
          </w:tcPr>
          <w:p w14:paraId="39881460" w14:textId="77777777" w:rsidR="00000000" w:rsidRDefault="00405D16">
            <w:pPr>
              <w:spacing w:after="100"/>
              <w:rPr>
                <w:rFonts w:eastAsia="Times New Roman"/>
                <w:sz w:val="20"/>
                <w:szCs w:val="20"/>
              </w:rPr>
            </w:pPr>
          </w:p>
        </w:tc>
        <w:tc>
          <w:tcPr>
            <w:tcW w:w="5" w:type="pct"/>
            <w:vAlign w:val="center"/>
            <w:hideMark/>
          </w:tcPr>
          <w:p w14:paraId="34827241" w14:textId="77777777" w:rsidR="00000000" w:rsidRDefault="00405D16">
            <w:pPr>
              <w:spacing w:after="100"/>
              <w:rPr>
                <w:rFonts w:eastAsia="Times New Roman"/>
                <w:sz w:val="20"/>
                <w:szCs w:val="20"/>
              </w:rPr>
            </w:pPr>
          </w:p>
        </w:tc>
        <w:tc>
          <w:tcPr>
            <w:tcW w:w="26" w:type="pct"/>
            <w:vAlign w:val="center"/>
            <w:hideMark/>
          </w:tcPr>
          <w:p w14:paraId="0B65F71E" w14:textId="77777777" w:rsidR="00000000" w:rsidRDefault="00405D16">
            <w:pPr>
              <w:spacing w:after="100"/>
              <w:rPr>
                <w:rFonts w:eastAsia="Times New Roman"/>
                <w:sz w:val="20"/>
                <w:szCs w:val="20"/>
              </w:rPr>
            </w:pPr>
          </w:p>
        </w:tc>
        <w:tc>
          <w:tcPr>
            <w:tcW w:w="5" w:type="pct"/>
            <w:vAlign w:val="center"/>
            <w:hideMark/>
          </w:tcPr>
          <w:p w14:paraId="61C5E2A8" w14:textId="77777777" w:rsidR="00000000" w:rsidRDefault="00405D16">
            <w:pPr>
              <w:spacing w:after="100"/>
              <w:rPr>
                <w:rFonts w:eastAsia="Times New Roman"/>
                <w:sz w:val="20"/>
                <w:szCs w:val="20"/>
              </w:rPr>
            </w:pPr>
          </w:p>
        </w:tc>
        <w:tc>
          <w:tcPr>
            <w:tcW w:w="50" w:type="pct"/>
            <w:vAlign w:val="center"/>
            <w:hideMark/>
          </w:tcPr>
          <w:p w14:paraId="7F954009" w14:textId="77777777" w:rsidR="00000000" w:rsidRDefault="00405D16">
            <w:pPr>
              <w:spacing w:after="100"/>
              <w:rPr>
                <w:rFonts w:eastAsia="Times New Roman"/>
                <w:sz w:val="20"/>
                <w:szCs w:val="20"/>
              </w:rPr>
            </w:pPr>
          </w:p>
        </w:tc>
        <w:tc>
          <w:tcPr>
            <w:tcW w:w="422" w:type="pct"/>
            <w:vAlign w:val="center"/>
            <w:hideMark/>
          </w:tcPr>
          <w:p w14:paraId="1BC6A6E3" w14:textId="77777777" w:rsidR="00000000" w:rsidRDefault="00405D16">
            <w:pPr>
              <w:spacing w:after="100"/>
              <w:rPr>
                <w:rFonts w:eastAsia="Times New Roman"/>
                <w:sz w:val="20"/>
                <w:szCs w:val="20"/>
              </w:rPr>
            </w:pPr>
          </w:p>
        </w:tc>
        <w:tc>
          <w:tcPr>
            <w:tcW w:w="5" w:type="pct"/>
            <w:vAlign w:val="center"/>
            <w:hideMark/>
          </w:tcPr>
          <w:p w14:paraId="2EFD11A1" w14:textId="77777777" w:rsidR="00000000" w:rsidRDefault="00405D16">
            <w:pPr>
              <w:spacing w:after="100"/>
              <w:rPr>
                <w:rFonts w:eastAsia="Times New Roman"/>
                <w:sz w:val="20"/>
                <w:szCs w:val="20"/>
              </w:rPr>
            </w:pPr>
          </w:p>
        </w:tc>
        <w:tc>
          <w:tcPr>
            <w:tcW w:w="5" w:type="pct"/>
            <w:vAlign w:val="center"/>
            <w:hideMark/>
          </w:tcPr>
          <w:p w14:paraId="3D9A2C0C" w14:textId="77777777" w:rsidR="00000000" w:rsidRDefault="00405D16">
            <w:pPr>
              <w:spacing w:after="100"/>
              <w:rPr>
                <w:rFonts w:eastAsia="Times New Roman"/>
                <w:sz w:val="20"/>
                <w:szCs w:val="20"/>
              </w:rPr>
            </w:pPr>
          </w:p>
        </w:tc>
        <w:tc>
          <w:tcPr>
            <w:tcW w:w="26" w:type="pct"/>
            <w:vAlign w:val="center"/>
            <w:hideMark/>
          </w:tcPr>
          <w:p w14:paraId="5E98AB0A" w14:textId="77777777" w:rsidR="00000000" w:rsidRDefault="00405D16">
            <w:pPr>
              <w:spacing w:after="100"/>
              <w:rPr>
                <w:rFonts w:eastAsia="Times New Roman"/>
                <w:sz w:val="20"/>
                <w:szCs w:val="20"/>
              </w:rPr>
            </w:pPr>
          </w:p>
        </w:tc>
        <w:tc>
          <w:tcPr>
            <w:tcW w:w="5" w:type="pct"/>
            <w:vAlign w:val="center"/>
            <w:hideMark/>
          </w:tcPr>
          <w:p w14:paraId="21E680F1" w14:textId="77777777" w:rsidR="00000000" w:rsidRDefault="00405D16">
            <w:pPr>
              <w:spacing w:after="100"/>
              <w:rPr>
                <w:rFonts w:eastAsia="Times New Roman"/>
                <w:sz w:val="20"/>
                <w:szCs w:val="20"/>
              </w:rPr>
            </w:pPr>
          </w:p>
        </w:tc>
        <w:tc>
          <w:tcPr>
            <w:tcW w:w="50" w:type="pct"/>
            <w:vAlign w:val="center"/>
            <w:hideMark/>
          </w:tcPr>
          <w:p w14:paraId="22ED5D04" w14:textId="77777777" w:rsidR="00000000" w:rsidRDefault="00405D16">
            <w:pPr>
              <w:spacing w:after="100"/>
              <w:rPr>
                <w:rFonts w:eastAsia="Times New Roman"/>
                <w:sz w:val="20"/>
                <w:szCs w:val="20"/>
              </w:rPr>
            </w:pPr>
          </w:p>
        </w:tc>
        <w:tc>
          <w:tcPr>
            <w:tcW w:w="533" w:type="pct"/>
            <w:vAlign w:val="center"/>
            <w:hideMark/>
          </w:tcPr>
          <w:p w14:paraId="07163687" w14:textId="77777777" w:rsidR="00000000" w:rsidRDefault="00405D16">
            <w:pPr>
              <w:spacing w:after="100"/>
              <w:rPr>
                <w:rFonts w:eastAsia="Times New Roman"/>
                <w:sz w:val="20"/>
                <w:szCs w:val="20"/>
              </w:rPr>
            </w:pPr>
          </w:p>
        </w:tc>
        <w:tc>
          <w:tcPr>
            <w:tcW w:w="5" w:type="pct"/>
            <w:vAlign w:val="center"/>
            <w:hideMark/>
          </w:tcPr>
          <w:p w14:paraId="7A3684DF" w14:textId="77777777" w:rsidR="00000000" w:rsidRDefault="00405D16">
            <w:pPr>
              <w:spacing w:after="100"/>
              <w:rPr>
                <w:rFonts w:eastAsia="Times New Roman"/>
                <w:sz w:val="20"/>
                <w:szCs w:val="20"/>
              </w:rPr>
            </w:pPr>
          </w:p>
        </w:tc>
        <w:tc>
          <w:tcPr>
            <w:tcW w:w="5" w:type="pct"/>
            <w:vAlign w:val="center"/>
            <w:hideMark/>
          </w:tcPr>
          <w:p w14:paraId="1894692F" w14:textId="77777777" w:rsidR="00000000" w:rsidRDefault="00405D16">
            <w:pPr>
              <w:spacing w:after="100"/>
              <w:rPr>
                <w:rFonts w:eastAsia="Times New Roman"/>
                <w:sz w:val="20"/>
                <w:szCs w:val="20"/>
              </w:rPr>
            </w:pPr>
          </w:p>
        </w:tc>
        <w:tc>
          <w:tcPr>
            <w:tcW w:w="26" w:type="pct"/>
            <w:vAlign w:val="center"/>
            <w:hideMark/>
          </w:tcPr>
          <w:p w14:paraId="1093E175" w14:textId="77777777" w:rsidR="00000000" w:rsidRDefault="00405D16">
            <w:pPr>
              <w:spacing w:after="100"/>
              <w:rPr>
                <w:rFonts w:eastAsia="Times New Roman"/>
                <w:sz w:val="20"/>
                <w:szCs w:val="20"/>
              </w:rPr>
            </w:pPr>
          </w:p>
        </w:tc>
        <w:tc>
          <w:tcPr>
            <w:tcW w:w="5" w:type="pct"/>
            <w:vAlign w:val="center"/>
            <w:hideMark/>
          </w:tcPr>
          <w:p w14:paraId="143CED85" w14:textId="77777777" w:rsidR="00000000" w:rsidRDefault="00405D16">
            <w:pPr>
              <w:spacing w:after="100"/>
              <w:rPr>
                <w:rFonts w:eastAsia="Times New Roman"/>
                <w:sz w:val="20"/>
                <w:szCs w:val="20"/>
              </w:rPr>
            </w:pPr>
          </w:p>
        </w:tc>
        <w:tc>
          <w:tcPr>
            <w:tcW w:w="50" w:type="pct"/>
            <w:vAlign w:val="center"/>
            <w:hideMark/>
          </w:tcPr>
          <w:p w14:paraId="0070BAA6" w14:textId="77777777" w:rsidR="00000000" w:rsidRDefault="00405D16">
            <w:pPr>
              <w:spacing w:after="100"/>
              <w:rPr>
                <w:rFonts w:eastAsia="Times New Roman"/>
                <w:sz w:val="20"/>
                <w:szCs w:val="20"/>
              </w:rPr>
            </w:pPr>
          </w:p>
        </w:tc>
        <w:tc>
          <w:tcPr>
            <w:tcW w:w="481" w:type="pct"/>
            <w:vAlign w:val="center"/>
            <w:hideMark/>
          </w:tcPr>
          <w:p w14:paraId="7FB50FAC" w14:textId="77777777" w:rsidR="00000000" w:rsidRDefault="00405D16">
            <w:pPr>
              <w:spacing w:after="100"/>
              <w:rPr>
                <w:rFonts w:eastAsia="Times New Roman"/>
                <w:sz w:val="20"/>
                <w:szCs w:val="20"/>
              </w:rPr>
            </w:pPr>
          </w:p>
        </w:tc>
        <w:tc>
          <w:tcPr>
            <w:tcW w:w="5" w:type="pct"/>
            <w:vAlign w:val="center"/>
            <w:hideMark/>
          </w:tcPr>
          <w:p w14:paraId="6027417B" w14:textId="77777777" w:rsidR="00000000" w:rsidRDefault="00405D16">
            <w:pPr>
              <w:spacing w:after="100"/>
              <w:rPr>
                <w:rFonts w:eastAsia="Times New Roman"/>
                <w:sz w:val="20"/>
                <w:szCs w:val="20"/>
              </w:rPr>
            </w:pPr>
          </w:p>
        </w:tc>
        <w:tc>
          <w:tcPr>
            <w:tcW w:w="5" w:type="pct"/>
            <w:vAlign w:val="center"/>
            <w:hideMark/>
          </w:tcPr>
          <w:p w14:paraId="5D07E4C6" w14:textId="77777777" w:rsidR="00000000" w:rsidRDefault="00405D16">
            <w:pPr>
              <w:spacing w:after="100"/>
              <w:rPr>
                <w:rFonts w:eastAsia="Times New Roman"/>
                <w:sz w:val="20"/>
                <w:szCs w:val="20"/>
              </w:rPr>
            </w:pPr>
          </w:p>
        </w:tc>
        <w:tc>
          <w:tcPr>
            <w:tcW w:w="26" w:type="pct"/>
            <w:vAlign w:val="center"/>
            <w:hideMark/>
          </w:tcPr>
          <w:p w14:paraId="12E058A6" w14:textId="77777777" w:rsidR="00000000" w:rsidRDefault="00405D16">
            <w:pPr>
              <w:spacing w:after="100"/>
              <w:rPr>
                <w:rFonts w:eastAsia="Times New Roman"/>
                <w:sz w:val="20"/>
                <w:szCs w:val="20"/>
              </w:rPr>
            </w:pPr>
          </w:p>
        </w:tc>
        <w:tc>
          <w:tcPr>
            <w:tcW w:w="5" w:type="pct"/>
            <w:vAlign w:val="center"/>
            <w:hideMark/>
          </w:tcPr>
          <w:p w14:paraId="43B58E2E" w14:textId="77777777" w:rsidR="00000000" w:rsidRDefault="00405D16">
            <w:pPr>
              <w:spacing w:after="100"/>
              <w:rPr>
                <w:rFonts w:eastAsia="Times New Roman"/>
                <w:sz w:val="20"/>
                <w:szCs w:val="20"/>
              </w:rPr>
            </w:pPr>
          </w:p>
        </w:tc>
        <w:tc>
          <w:tcPr>
            <w:tcW w:w="50" w:type="pct"/>
            <w:vAlign w:val="center"/>
            <w:hideMark/>
          </w:tcPr>
          <w:p w14:paraId="271C4531" w14:textId="77777777" w:rsidR="00000000" w:rsidRDefault="00405D16">
            <w:pPr>
              <w:spacing w:after="100"/>
              <w:rPr>
                <w:rFonts w:eastAsia="Times New Roman"/>
                <w:sz w:val="20"/>
                <w:szCs w:val="20"/>
              </w:rPr>
            </w:pPr>
          </w:p>
        </w:tc>
        <w:tc>
          <w:tcPr>
            <w:tcW w:w="658" w:type="pct"/>
            <w:vAlign w:val="center"/>
            <w:hideMark/>
          </w:tcPr>
          <w:p w14:paraId="02973169" w14:textId="77777777" w:rsidR="00000000" w:rsidRDefault="00405D16">
            <w:pPr>
              <w:spacing w:after="100"/>
              <w:rPr>
                <w:rFonts w:eastAsia="Times New Roman"/>
                <w:sz w:val="20"/>
                <w:szCs w:val="20"/>
              </w:rPr>
            </w:pPr>
          </w:p>
        </w:tc>
        <w:tc>
          <w:tcPr>
            <w:tcW w:w="5" w:type="pct"/>
            <w:vAlign w:val="center"/>
            <w:hideMark/>
          </w:tcPr>
          <w:p w14:paraId="7D4F3CFE" w14:textId="77777777" w:rsidR="00000000" w:rsidRDefault="00405D16">
            <w:pPr>
              <w:spacing w:after="100"/>
              <w:rPr>
                <w:rFonts w:eastAsia="Times New Roman"/>
                <w:sz w:val="20"/>
                <w:szCs w:val="20"/>
              </w:rPr>
            </w:pPr>
          </w:p>
        </w:tc>
        <w:tc>
          <w:tcPr>
            <w:tcW w:w="5" w:type="pct"/>
            <w:vAlign w:val="center"/>
            <w:hideMark/>
          </w:tcPr>
          <w:p w14:paraId="63E3D0CA" w14:textId="77777777" w:rsidR="00000000" w:rsidRDefault="00405D16">
            <w:pPr>
              <w:spacing w:after="100"/>
              <w:rPr>
                <w:rFonts w:eastAsia="Times New Roman"/>
                <w:sz w:val="20"/>
                <w:szCs w:val="20"/>
              </w:rPr>
            </w:pPr>
          </w:p>
        </w:tc>
        <w:tc>
          <w:tcPr>
            <w:tcW w:w="26" w:type="pct"/>
            <w:vAlign w:val="center"/>
            <w:hideMark/>
          </w:tcPr>
          <w:p w14:paraId="35CDB12C" w14:textId="77777777" w:rsidR="00000000" w:rsidRDefault="00405D16">
            <w:pPr>
              <w:spacing w:after="100"/>
              <w:rPr>
                <w:rFonts w:eastAsia="Times New Roman"/>
                <w:sz w:val="20"/>
                <w:szCs w:val="20"/>
              </w:rPr>
            </w:pPr>
          </w:p>
        </w:tc>
        <w:tc>
          <w:tcPr>
            <w:tcW w:w="5" w:type="pct"/>
            <w:vAlign w:val="center"/>
            <w:hideMark/>
          </w:tcPr>
          <w:p w14:paraId="2F12AC05" w14:textId="77777777" w:rsidR="00000000" w:rsidRDefault="00405D16">
            <w:pPr>
              <w:spacing w:after="100"/>
              <w:rPr>
                <w:rFonts w:eastAsia="Times New Roman"/>
                <w:sz w:val="20"/>
                <w:szCs w:val="20"/>
              </w:rPr>
            </w:pPr>
          </w:p>
        </w:tc>
        <w:tc>
          <w:tcPr>
            <w:tcW w:w="50" w:type="pct"/>
            <w:vAlign w:val="center"/>
            <w:hideMark/>
          </w:tcPr>
          <w:p w14:paraId="7A5DF6C8" w14:textId="77777777" w:rsidR="00000000" w:rsidRDefault="00405D16">
            <w:pPr>
              <w:spacing w:after="100"/>
              <w:rPr>
                <w:rFonts w:eastAsia="Times New Roman"/>
                <w:sz w:val="20"/>
                <w:szCs w:val="20"/>
              </w:rPr>
            </w:pPr>
          </w:p>
        </w:tc>
        <w:tc>
          <w:tcPr>
            <w:tcW w:w="393" w:type="pct"/>
            <w:vAlign w:val="center"/>
            <w:hideMark/>
          </w:tcPr>
          <w:p w14:paraId="01D154FD" w14:textId="77777777" w:rsidR="00000000" w:rsidRDefault="00405D16">
            <w:pPr>
              <w:spacing w:after="100"/>
              <w:rPr>
                <w:rFonts w:eastAsia="Times New Roman"/>
                <w:sz w:val="20"/>
                <w:szCs w:val="20"/>
              </w:rPr>
            </w:pPr>
          </w:p>
        </w:tc>
        <w:tc>
          <w:tcPr>
            <w:tcW w:w="5" w:type="pct"/>
            <w:vAlign w:val="center"/>
            <w:hideMark/>
          </w:tcPr>
          <w:p w14:paraId="56B62AFA" w14:textId="77777777" w:rsidR="00000000" w:rsidRDefault="00405D16">
            <w:pPr>
              <w:spacing w:after="100"/>
              <w:rPr>
                <w:rFonts w:eastAsia="Times New Roman"/>
                <w:sz w:val="20"/>
                <w:szCs w:val="20"/>
              </w:rPr>
            </w:pPr>
          </w:p>
        </w:tc>
      </w:tr>
      <w:tr w:rsidR="00000000" w14:paraId="5EDA00CD" w14:textId="77777777">
        <w:trPr>
          <w:divId w:val="714086520"/>
          <w:trHeight w:val="420"/>
        </w:trPr>
        <w:tc>
          <w:tcPr>
            <w:tcW w:w="0" w:type="auto"/>
            <w:gridSpan w:val="3"/>
            <w:tcMar>
              <w:top w:w="0" w:type="dxa"/>
              <w:left w:w="20" w:type="dxa"/>
              <w:bottom w:w="0" w:type="dxa"/>
              <w:right w:w="20" w:type="dxa"/>
            </w:tcMar>
            <w:vAlign w:val="center"/>
            <w:hideMark/>
          </w:tcPr>
          <w:p w14:paraId="5C8CE39C"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404CCC9" w14:textId="77777777" w:rsidR="00000000" w:rsidRDefault="00405D16">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14:paraId="6731112F" w14:textId="77777777" w:rsidR="00000000" w:rsidRDefault="00405D16">
            <w:pPr>
              <w:spacing w:after="100"/>
              <w:jc w:val="center"/>
              <w:rPr>
                <w:rFonts w:eastAsia="Times New Roman"/>
              </w:rPr>
            </w:pPr>
            <w:r>
              <w:rPr>
                <w:rFonts w:eastAsia="Times New Roman"/>
                <w:b/>
                <w:bCs/>
                <w:color w:val="000000"/>
                <w:sz w:val="16"/>
                <w:szCs w:val="16"/>
              </w:rPr>
              <w:t>Gross Amounts</w:t>
            </w:r>
          </w:p>
        </w:tc>
        <w:tc>
          <w:tcPr>
            <w:tcW w:w="0" w:type="auto"/>
            <w:gridSpan w:val="3"/>
            <w:tcMar>
              <w:top w:w="0" w:type="dxa"/>
              <w:left w:w="20" w:type="dxa"/>
              <w:bottom w:w="0" w:type="dxa"/>
              <w:right w:w="20" w:type="dxa"/>
            </w:tcMar>
            <w:vAlign w:val="center"/>
            <w:hideMark/>
          </w:tcPr>
          <w:p w14:paraId="606D33EE" w14:textId="77777777" w:rsidR="00000000" w:rsidRDefault="00405D1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86E14F7" w14:textId="77777777" w:rsidR="00000000" w:rsidRDefault="00405D16">
            <w:pPr>
              <w:spacing w:after="100"/>
              <w:jc w:val="center"/>
              <w:rPr>
                <w:rFonts w:eastAsia="Times New Roman"/>
              </w:rPr>
            </w:pPr>
            <w:r>
              <w:rPr>
                <w:rFonts w:eastAsia="Times New Roman"/>
                <w:b/>
                <w:bCs/>
                <w:color w:val="000000"/>
                <w:sz w:val="16"/>
                <w:szCs w:val="16"/>
              </w:rPr>
              <w:t>Gross Amounts Offset in the Balance Sheet</w:t>
            </w:r>
          </w:p>
        </w:tc>
        <w:tc>
          <w:tcPr>
            <w:tcW w:w="0" w:type="auto"/>
            <w:gridSpan w:val="3"/>
            <w:tcMar>
              <w:top w:w="0" w:type="dxa"/>
              <w:left w:w="20" w:type="dxa"/>
              <w:bottom w:w="0" w:type="dxa"/>
              <w:right w:w="20" w:type="dxa"/>
            </w:tcMar>
            <w:vAlign w:val="center"/>
            <w:hideMark/>
          </w:tcPr>
          <w:p w14:paraId="122729F7" w14:textId="77777777" w:rsidR="00000000" w:rsidRDefault="00405D1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0381A13B" w14:textId="77777777" w:rsidR="00000000" w:rsidRDefault="00405D16">
            <w:pPr>
              <w:spacing w:after="100"/>
              <w:jc w:val="center"/>
              <w:rPr>
                <w:rFonts w:eastAsia="Times New Roman"/>
              </w:rPr>
            </w:pPr>
            <w:r>
              <w:rPr>
                <w:rFonts w:eastAsia="Times New Roman"/>
                <w:b/>
                <w:bCs/>
                <w:color w:val="000000"/>
                <w:sz w:val="16"/>
                <w:szCs w:val="16"/>
              </w:rPr>
              <w:t>Net Amounts as Recognized</w:t>
            </w:r>
          </w:p>
        </w:tc>
        <w:tc>
          <w:tcPr>
            <w:tcW w:w="0" w:type="auto"/>
            <w:gridSpan w:val="3"/>
            <w:tcMar>
              <w:top w:w="0" w:type="dxa"/>
              <w:left w:w="20" w:type="dxa"/>
              <w:bottom w:w="0" w:type="dxa"/>
              <w:right w:w="20" w:type="dxa"/>
            </w:tcMar>
            <w:vAlign w:val="center"/>
            <w:hideMark/>
          </w:tcPr>
          <w:p w14:paraId="1F130643" w14:textId="77777777" w:rsidR="00000000" w:rsidRDefault="00405D1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37E40A2A" w14:textId="77777777" w:rsidR="00000000" w:rsidRDefault="00405D16">
            <w:pPr>
              <w:spacing w:after="100"/>
              <w:jc w:val="center"/>
              <w:rPr>
                <w:rFonts w:eastAsia="Times New Roman"/>
              </w:rPr>
            </w:pPr>
            <w:r>
              <w:rPr>
                <w:rFonts w:eastAsia="Times New Roman"/>
                <w:b/>
                <w:bCs/>
                <w:color w:val="000000"/>
                <w:sz w:val="16"/>
                <w:szCs w:val="16"/>
              </w:rPr>
              <w:t>Securities Collateral Held Under Master Netting Agreements</w:t>
            </w:r>
          </w:p>
        </w:tc>
        <w:tc>
          <w:tcPr>
            <w:tcW w:w="0" w:type="auto"/>
            <w:gridSpan w:val="3"/>
            <w:tcMar>
              <w:top w:w="0" w:type="dxa"/>
              <w:left w:w="20" w:type="dxa"/>
              <w:bottom w:w="0" w:type="dxa"/>
              <w:right w:w="20" w:type="dxa"/>
            </w:tcMar>
            <w:vAlign w:val="center"/>
            <w:hideMark/>
          </w:tcPr>
          <w:p w14:paraId="4266AE39" w14:textId="77777777" w:rsidR="00000000" w:rsidRDefault="00405D1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783686B0" w14:textId="77777777" w:rsidR="00000000" w:rsidRDefault="00405D16">
            <w:pPr>
              <w:spacing w:after="100"/>
              <w:jc w:val="center"/>
              <w:rPr>
                <w:rFonts w:eastAsia="Times New Roman"/>
              </w:rPr>
            </w:pPr>
            <w:r>
              <w:rPr>
                <w:rFonts w:eastAsia="Times New Roman"/>
                <w:b/>
                <w:bCs/>
                <w:color w:val="000000"/>
                <w:sz w:val="16"/>
                <w:szCs w:val="16"/>
              </w:rPr>
              <w:t>Net Exposure</w:t>
            </w:r>
          </w:p>
        </w:tc>
      </w:tr>
      <w:tr w:rsidR="00000000" w14:paraId="541651B9" w14:textId="77777777">
        <w:trPr>
          <w:divId w:val="714086520"/>
          <w:trHeight w:val="420"/>
        </w:trPr>
        <w:tc>
          <w:tcPr>
            <w:tcW w:w="0" w:type="auto"/>
            <w:gridSpan w:val="3"/>
            <w:tcMar>
              <w:top w:w="30" w:type="dxa"/>
              <w:left w:w="20" w:type="dxa"/>
              <w:bottom w:w="30" w:type="dxa"/>
              <w:right w:w="20" w:type="dxa"/>
            </w:tcMar>
            <w:vAlign w:val="bottom"/>
            <w:hideMark/>
          </w:tcPr>
          <w:p w14:paraId="6C5DA3D8"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5F637A78" w14:textId="77777777" w:rsidR="00000000" w:rsidRDefault="00405D16">
            <w:pPr>
              <w:spacing w:after="100"/>
              <w:rPr>
                <w:rFonts w:eastAsia="Times New Roman"/>
              </w:rPr>
            </w:pPr>
          </w:p>
        </w:tc>
        <w:tc>
          <w:tcPr>
            <w:tcW w:w="0" w:type="auto"/>
            <w:gridSpan w:val="3"/>
            <w:vMerge/>
            <w:vAlign w:val="center"/>
            <w:hideMark/>
          </w:tcPr>
          <w:p w14:paraId="065E481B" w14:textId="77777777" w:rsidR="00000000" w:rsidRDefault="00405D16">
            <w:pPr>
              <w:spacing w:after="100"/>
              <w:rPr>
                <w:rFonts w:eastAsia="Times New Roman"/>
              </w:rPr>
            </w:pPr>
          </w:p>
        </w:tc>
        <w:tc>
          <w:tcPr>
            <w:tcW w:w="0" w:type="auto"/>
            <w:gridSpan w:val="3"/>
            <w:tcMar>
              <w:top w:w="0" w:type="dxa"/>
              <w:left w:w="20" w:type="dxa"/>
              <w:bottom w:w="0" w:type="dxa"/>
              <w:right w:w="20" w:type="dxa"/>
            </w:tcMar>
            <w:vAlign w:val="center"/>
            <w:hideMark/>
          </w:tcPr>
          <w:p w14:paraId="6A00E69C"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F9BCE5B" w14:textId="77777777" w:rsidR="00000000" w:rsidRDefault="00405D16">
            <w:pPr>
              <w:spacing w:after="100"/>
              <w:jc w:val="center"/>
              <w:rPr>
                <w:rFonts w:eastAsia="Times New Roman"/>
              </w:rPr>
            </w:pPr>
            <w:r>
              <w:rPr>
                <w:rFonts w:eastAsia="Times New Roman"/>
                <w:b/>
                <w:bCs/>
                <w:color w:val="000000"/>
                <w:sz w:val="16"/>
                <w:szCs w:val="16"/>
              </w:rPr>
              <w:t>Financial Instruments</w:t>
            </w:r>
          </w:p>
        </w:tc>
        <w:tc>
          <w:tcPr>
            <w:tcW w:w="0" w:type="auto"/>
            <w:gridSpan w:val="3"/>
            <w:tcBorders>
              <w:top w:val="single" w:sz="8" w:space="0" w:color="000000"/>
            </w:tcBorders>
            <w:tcMar>
              <w:top w:w="0" w:type="dxa"/>
              <w:left w:w="20" w:type="dxa"/>
              <w:bottom w:w="0" w:type="dxa"/>
              <w:right w:w="20" w:type="dxa"/>
            </w:tcMar>
            <w:vAlign w:val="center"/>
            <w:hideMark/>
          </w:tcPr>
          <w:p w14:paraId="5748512C"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C5EF634" w14:textId="77777777" w:rsidR="00000000" w:rsidRDefault="00405D16">
            <w:pPr>
              <w:spacing w:after="100"/>
              <w:jc w:val="center"/>
              <w:rPr>
                <w:rFonts w:eastAsia="Times New Roman"/>
              </w:rPr>
            </w:pPr>
            <w:r>
              <w:rPr>
                <w:rFonts w:eastAsia="Times New Roman"/>
                <w:b/>
                <w:bCs/>
                <w:color w:val="000000"/>
                <w:sz w:val="16"/>
                <w:szCs w:val="16"/>
              </w:rPr>
              <w:t>Cash Collateral Received</w:t>
            </w:r>
          </w:p>
        </w:tc>
        <w:tc>
          <w:tcPr>
            <w:tcW w:w="0" w:type="auto"/>
            <w:gridSpan w:val="3"/>
            <w:tcMar>
              <w:top w:w="0" w:type="dxa"/>
              <w:left w:w="20" w:type="dxa"/>
              <w:bottom w:w="0" w:type="dxa"/>
              <w:right w:w="20" w:type="dxa"/>
            </w:tcMar>
            <w:vAlign w:val="center"/>
            <w:hideMark/>
          </w:tcPr>
          <w:p w14:paraId="3217EDFA" w14:textId="77777777" w:rsidR="00000000" w:rsidRDefault="00405D16">
            <w:pPr>
              <w:spacing w:after="100"/>
              <w:jc w:val="center"/>
              <w:rPr>
                <w:rFonts w:eastAsia="Times New Roman"/>
              </w:rPr>
            </w:pPr>
          </w:p>
        </w:tc>
        <w:tc>
          <w:tcPr>
            <w:tcW w:w="0" w:type="auto"/>
            <w:gridSpan w:val="3"/>
            <w:vMerge/>
            <w:vAlign w:val="center"/>
            <w:hideMark/>
          </w:tcPr>
          <w:p w14:paraId="5B11556D" w14:textId="77777777" w:rsidR="00000000" w:rsidRDefault="00405D16">
            <w:pPr>
              <w:spacing w:after="100"/>
              <w:rPr>
                <w:rFonts w:eastAsia="Times New Roman"/>
              </w:rPr>
            </w:pPr>
          </w:p>
        </w:tc>
        <w:tc>
          <w:tcPr>
            <w:tcW w:w="0" w:type="auto"/>
            <w:gridSpan w:val="3"/>
            <w:tcMar>
              <w:top w:w="0" w:type="dxa"/>
              <w:left w:w="20" w:type="dxa"/>
              <w:bottom w:w="0" w:type="dxa"/>
              <w:right w:w="20" w:type="dxa"/>
            </w:tcMar>
            <w:vAlign w:val="center"/>
            <w:hideMark/>
          </w:tcPr>
          <w:p w14:paraId="43072CFC" w14:textId="77777777" w:rsidR="00000000" w:rsidRDefault="00405D16">
            <w:pPr>
              <w:spacing w:after="100"/>
              <w:rPr>
                <w:rFonts w:eastAsia="Times New Roman"/>
                <w:sz w:val="20"/>
                <w:szCs w:val="20"/>
              </w:rPr>
            </w:pPr>
          </w:p>
        </w:tc>
        <w:tc>
          <w:tcPr>
            <w:tcW w:w="0" w:type="auto"/>
            <w:gridSpan w:val="3"/>
            <w:vMerge/>
            <w:vAlign w:val="center"/>
            <w:hideMark/>
          </w:tcPr>
          <w:p w14:paraId="05559917" w14:textId="77777777" w:rsidR="00000000" w:rsidRDefault="00405D16">
            <w:pPr>
              <w:spacing w:after="100"/>
              <w:rPr>
                <w:rFonts w:eastAsia="Times New Roman"/>
              </w:rPr>
            </w:pPr>
          </w:p>
        </w:tc>
        <w:tc>
          <w:tcPr>
            <w:tcW w:w="0" w:type="auto"/>
            <w:gridSpan w:val="3"/>
            <w:tcMar>
              <w:top w:w="0" w:type="dxa"/>
              <w:left w:w="20" w:type="dxa"/>
              <w:bottom w:w="0" w:type="dxa"/>
              <w:right w:w="20" w:type="dxa"/>
            </w:tcMar>
            <w:vAlign w:val="center"/>
            <w:hideMark/>
          </w:tcPr>
          <w:p w14:paraId="3FDEBD28" w14:textId="77777777" w:rsidR="00000000" w:rsidRDefault="00405D16">
            <w:pPr>
              <w:spacing w:after="100"/>
              <w:rPr>
                <w:rFonts w:eastAsia="Times New Roman"/>
                <w:sz w:val="20"/>
                <w:szCs w:val="20"/>
              </w:rPr>
            </w:pPr>
          </w:p>
        </w:tc>
        <w:tc>
          <w:tcPr>
            <w:tcW w:w="0" w:type="auto"/>
            <w:gridSpan w:val="3"/>
            <w:vMerge/>
            <w:vAlign w:val="center"/>
            <w:hideMark/>
          </w:tcPr>
          <w:p w14:paraId="5F0B6B0A" w14:textId="77777777" w:rsidR="00000000" w:rsidRDefault="00405D16">
            <w:pPr>
              <w:spacing w:after="100"/>
              <w:rPr>
                <w:rFonts w:eastAsia="Times New Roman"/>
              </w:rPr>
            </w:pPr>
          </w:p>
        </w:tc>
      </w:tr>
      <w:tr w:rsidR="00000000" w14:paraId="07E9E7F2" w14:textId="77777777">
        <w:trPr>
          <w:divId w:val="71408652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74A000B" w14:textId="77777777" w:rsidR="00000000" w:rsidRDefault="00405D16">
            <w:pPr>
              <w:spacing w:after="100"/>
              <w:rPr>
                <w:rFonts w:eastAsia="Times New Roman"/>
              </w:rPr>
            </w:pPr>
            <w:r>
              <w:rPr>
                <w:rFonts w:eastAsia="Times New Roman"/>
                <w:b/>
                <w:bCs/>
                <w:color w:val="000000"/>
                <w:sz w:val="18"/>
                <w:szCs w:val="18"/>
              </w:rPr>
              <w:t>As of September 30, 2021</w:t>
            </w:r>
          </w:p>
        </w:tc>
        <w:tc>
          <w:tcPr>
            <w:tcW w:w="0" w:type="auto"/>
            <w:gridSpan w:val="3"/>
            <w:shd w:val="clear" w:color="auto" w:fill="CCEEFF"/>
            <w:tcMar>
              <w:top w:w="0" w:type="dxa"/>
              <w:left w:w="20" w:type="dxa"/>
              <w:bottom w:w="0" w:type="dxa"/>
              <w:right w:w="20" w:type="dxa"/>
            </w:tcMar>
            <w:vAlign w:val="center"/>
            <w:hideMark/>
          </w:tcPr>
          <w:p w14:paraId="6CF09E07"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5EB727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925BA7"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D2E02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EDDA69"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E0C85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733F93"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A5AAF3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FF948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EF2434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0BF021"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080D10" w14:textId="77777777" w:rsidR="00000000" w:rsidRDefault="00405D16">
            <w:pPr>
              <w:spacing w:after="100"/>
              <w:rPr>
                <w:rFonts w:eastAsia="Times New Roman"/>
                <w:sz w:val="20"/>
                <w:szCs w:val="20"/>
              </w:rPr>
            </w:pPr>
          </w:p>
        </w:tc>
      </w:tr>
      <w:tr w:rsidR="00000000" w14:paraId="35E86AAC" w14:textId="77777777">
        <w:trPr>
          <w:divId w:val="714086520"/>
        </w:trPr>
        <w:tc>
          <w:tcPr>
            <w:tcW w:w="0" w:type="auto"/>
            <w:gridSpan w:val="3"/>
            <w:shd w:val="clear" w:color="auto" w:fill="FFFFFF"/>
            <w:tcMar>
              <w:top w:w="30" w:type="dxa"/>
              <w:left w:w="20" w:type="dxa"/>
              <w:bottom w:w="30" w:type="dxa"/>
              <w:right w:w="20" w:type="dxa"/>
            </w:tcMar>
            <w:vAlign w:val="center"/>
            <w:hideMark/>
          </w:tcPr>
          <w:p w14:paraId="3373ED2E" w14:textId="77777777" w:rsidR="00000000" w:rsidRDefault="00405D16">
            <w:pPr>
              <w:spacing w:after="100"/>
              <w:divId w:val="431164378"/>
              <w:rPr>
                <w:rFonts w:eastAsia="Times New Roman"/>
              </w:rPr>
            </w:pPr>
            <w:r>
              <w:rPr>
                <w:rFonts w:eastAsia="Times New Roman"/>
                <w:color w:val="000000"/>
                <w:sz w:val="18"/>
                <w:szCs w:val="18"/>
              </w:rPr>
              <w:t>Derivative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015ED562"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2E2CB1A5"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03A7E4C2" w14:textId="77777777" w:rsidR="00000000" w:rsidRDefault="00405D16">
            <w:pPr>
              <w:spacing w:after="100"/>
              <w:jc w:val="right"/>
              <w:rPr>
                <w:rFonts w:eastAsia="Times New Roman"/>
              </w:rPr>
            </w:pPr>
            <w:r>
              <w:rPr>
                <w:rFonts w:eastAsia="Times New Roman"/>
                <w:b/>
                <w:bCs/>
                <w:color w:val="000000"/>
                <w:sz w:val="18"/>
                <w:szCs w:val="18"/>
              </w:rPr>
              <w:t>4,904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AFF8EF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1CDA43"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2EDF870"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7E6087B9" w14:textId="77777777" w:rsidR="00000000" w:rsidRDefault="00405D16">
            <w:pPr>
              <w:spacing w:after="100"/>
              <w:jc w:val="right"/>
              <w:rPr>
                <w:rFonts w:eastAsia="Times New Roman"/>
              </w:rPr>
            </w:pPr>
            <w:r>
              <w:rPr>
                <w:rFonts w:eastAsia="Times New Roman"/>
                <w:b/>
                <w:bCs/>
                <w:color w:val="000000"/>
                <w:sz w:val="18"/>
                <w:szCs w:val="18"/>
              </w:rPr>
              <w:t>(434)</w:t>
            </w:r>
          </w:p>
        </w:tc>
        <w:tc>
          <w:tcPr>
            <w:tcW w:w="0" w:type="auto"/>
            <w:shd w:val="clear" w:color="auto" w:fill="FFFFFF"/>
            <w:tcMar>
              <w:top w:w="30" w:type="dxa"/>
              <w:left w:w="0" w:type="dxa"/>
              <w:bottom w:w="30" w:type="dxa"/>
              <w:right w:w="20" w:type="dxa"/>
            </w:tcMar>
            <w:vAlign w:val="center"/>
            <w:hideMark/>
          </w:tcPr>
          <w:p w14:paraId="5843B66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B95114"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86846EE"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1375EA10" w14:textId="77777777" w:rsidR="00000000" w:rsidRDefault="00405D16">
            <w:pPr>
              <w:spacing w:after="100"/>
              <w:jc w:val="right"/>
              <w:rPr>
                <w:rFonts w:eastAsia="Times New Roman"/>
              </w:rPr>
            </w:pPr>
            <w:r>
              <w:rPr>
                <w:rFonts w:eastAsia="Times New Roman"/>
                <w:b/>
                <w:bCs/>
                <w:color w:val="000000"/>
                <w:sz w:val="18"/>
                <w:szCs w:val="18"/>
              </w:rPr>
              <w:t>(541)</w:t>
            </w:r>
          </w:p>
        </w:tc>
        <w:tc>
          <w:tcPr>
            <w:tcW w:w="0" w:type="auto"/>
            <w:shd w:val="clear" w:color="auto" w:fill="FFFFFF"/>
            <w:tcMar>
              <w:top w:w="30" w:type="dxa"/>
              <w:left w:w="0" w:type="dxa"/>
              <w:bottom w:w="30" w:type="dxa"/>
              <w:right w:w="20" w:type="dxa"/>
            </w:tcMar>
            <w:vAlign w:val="center"/>
            <w:hideMark/>
          </w:tcPr>
          <w:p w14:paraId="2DA113D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84245C"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373A8CD"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471F8FF9" w14:textId="77777777" w:rsidR="00000000" w:rsidRDefault="00405D16">
            <w:pPr>
              <w:spacing w:after="100"/>
              <w:jc w:val="right"/>
              <w:rPr>
                <w:rFonts w:eastAsia="Times New Roman"/>
              </w:rPr>
            </w:pPr>
            <w:r>
              <w:rPr>
                <w:rFonts w:eastAsia="Times New Roman"/>
                <w:b/>
                <w:bCs/>
                <w:color w:val="000000"/>
                <w:sz w:val="18"/>
                <w:szCs w:val="18"/>
              </w:rPr>
              <w:t>3,929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0E3129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4CB0C6"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326832F"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47836117"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6307FF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AA84BE"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1B34E94"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06DA70A4" w14:textId="77777777" w:rsidR="00000000" w:rsidRDefault="00405D16">
            <w:pPr>
              <w:spacing w:after="100"/>
              <w:jc w:val="right"/>
              <w:rPr>
                <w:rFonts w:eastAsia="Times New Roman"/>
              </w:rPr>
            </w:pPr>
            <w:r>
              <w:rPr>
                <w:rFonts w:eastAsia="Times New Roman"/>
                <w:b/>
                <w:bCs/>
                <w:color w:val="000000"/>
                <w:sz w:val="18"/>
                <w:szCs w:val="18"/>
              </w:rPr>
              <w:t>3,929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51FF436" w14:textId="77777777" w:rsidR="00000000" w:rsidRDefault="00405D16">
            <w:pPr>
              <w:spacing w:after="100"/>
              <w:jc w:val="right"/>
              <w:rPr>
                <w:rFonts w:eastAsia="Times New Roman"/>
              </w:rPr>
            </w:pPr>
          </w:p>
        </w:tc>
      </w:tr>
      <w:tr w:rsidR="00000000" w14:paraId="7C1A7626" w14:textId="77777777">
        <w:trPr>
          <w:divId w:val="714086520"/>
        </w:trPr>
        <w:tc>
          <w:tcPr>
            <w:tcW w:w="0" w:type="auto"/>
            <w:gridSpan w:val="3"/>
            <w:shd w:val="clear" w:color="auto" w:fill="CCEEFF"/>
            <w:tcMar>
              <w:top w:w="30" w:type="dxa"/>
              <w:left w:w="20" w:type="dxa"/>
              <w:bottom w:w="30" w:type="dxa"/>
              <w:right w:w="20" w:type="dxa"/>
            </w:tcMar>
            <w:vAlign w:val="center"/>
            <w:hideMark/>
          </w:tcPr>
          <w:p w14:paraId="30512506" w14:textId="77777777" w:rsidR="00000000" w:rsidRDefault="00405D16">
            <w:pPr>
              <w:spacing w:after="100"/>
              <w:rPr>
                <w:rFonts w:eastAsia="Times New Roman"/>
              </w:rPr>
            </w:pPr>
            <w:r>
              <w:rPr>
                <w:rFonts w:eastAsia="Times New Roman"/>
                <w:color w:val="000000"/>
                <w:sz w:val="18"/>
                <w:szCs w:val="18"/>
              </w:rPr>
              <w:t>As of December 31, 2020</w:t>
            </w:r>
          </w:p>
        </w:tc>
        <w:tc>
          <w:tcPr>
            <w:tcW w:w="0" w:type="auto"/>
            <w:gridSpan w:val="3"/>
            <w:shd w:val="clear" w:color="auto" w:fill="CCEEFF"/>
            <w:tcMar>
              <w:top w:w="0" w:type="dxa"/>
              <w:left w:w="20" w:type="dxa"/>
              <w:bottom w:w="0" w:type="dxa"/>
              <w:right w:w="20" w:type="dxa"/>
            </w:tcMar>
            <w:vAlign w:val="center"/>
            <w:hideMark/>
          </w:tcPr>
          <w:p w14:paraId="3406172B"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B3AB1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B8068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DF02B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79187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ACD7E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E3EC7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F2B35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D7205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FFAC1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7A31C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D4219F" w14:textId="77777777" w:rsidR="00000000" w:rsidRDefault="00405D16">
            <w:pPr>
              <w:spacing w:after="100"/>
              <w:rPr>
                <w:rFonts w:eastAsia="Times New Roman"/>
                <w:sz w:val="20"/>
                <w:szCs w:val="20"/>
              </w:rPr>
            </w:pPr>
          </w:p>
        </w:tc>
      </w:tr>
      <w:tr w:rsidR="00000000" w14:paraId="258F7073" w14:textId="77777777">
        <w:trPr>
          <w:divId w:val="714086520"/>
        </w:trPr>
        <w:tc>
          <w:tcPr>
            <w:tcW w:w="0" w:type="auto"/>
            <w:gridSpan w:val="3"/>
            <w:shd w:val="clear" w:color="auto" w:fill="FFFFFF"/>
            <w:tcMar>
              <w:top w:w="30" w:type="dxa"/>
              <w:left w:w="20" w:type="dxa"/>
              <w:bottom w:w="30" w:type="dxa"/>
              <w:right w:w="20" w:type="dxa"/>
            </w:tcMar>
            <w:vAlign w:val="center"/>
            <w:hideMark/>
          </w:tcPr>
          <w:p w14:paraId="1E338226" w14:textId="77777777" w:rsidR="00000000" w:rsidRDefault="00405D16">
            <w:pPr>
              <w:spacing w:after="100"/>
              <w:divId w:val="1168715003"/>
              <w:rPr>
                <w:rFonts w:eastAsia="Times New Roman"/>
              </w:rPr>
            </w:pPr>
            <w:r>
              <w:rPr>
                <w:rFonts w:eastAsia="Times New Roman"/>
                <w:color w:val="000000"/>
                <w:sz w:val="18"/>
                <w:szCs w:val="18"/>
              </w:rPr>
              <w:t>Derivative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3914A679"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8435269" w14:textId="77777777" w:rsidR="00000000" w:rsidRDefault="00405D16">
            <w:pPr>
              <w:spacing w:after="100"/>
              <w:jc w:val="right"/>
              <w:rPr>
                <w:rFonts w:eastAsia="Times New Roman"/>
              </w:rPr>
            </w:pPr>
            <w:r>
              <w:rPr>
                <w:rFonts w:eastAsia="Times New Roman"/>
                <w:color w:val="000000"/>
                <w:sz w:val="18"/>
                <w:szCs w:val="18"/>
              </w:rPr>
              <w:t>3,415 </w:t>
            </w:r>
          </w:p>
        </w:tc>
        <w:tc>
          <w:tcPr>
            <w:tcW w:w="0" w:type="auto"/>
            <w:shd w:val="clear" w:color="auto" w:fill="FFFFFF"/>
            <w:tcMar>
              <w:top w:w="30" w:type="dxa"/>
              <w:left w:w="0" w:type="dxa"/>
              <w:bottom w:w="30" w:type="dxa"/>
              <w:right w:w="20" w:type="dxa"/>
            </w:tcMar>
            <w:vAlign w:val="center"/>
            <w:hideMark/>
          </w:tcPr>
          <w:p w14:paraId="79BD79E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FAAB7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F9113E7" w14:textId="77777777" w:rsidR="00000000" w:rsidRDefault="00405D16">
            <w:pPr>
              <w:spacing w:after="100"/>
              <w:jc w:val="right"/>
              <w:rPr>
                <w:rFonts w:eastAsia="Times New Roman"/>
              </w:rPr>
            </w:pPr>
            <w:r>
              <w:rPr>
                <w:rFonts w:eastAsia="Times New Roman"/>
                <w:color w:val="000000"/>
                <w:sz w:val="18"/>
                <w:szCs w:val="18"/>
              </w:rPr>
              <w:t>(383)</w:t>
            </w:r>
          </w:p>
        </w:tc>
        <w:tc>
          <w:tcPr>
            <w:tcW w:w="0" w:type="auto"/>
            <w:shd w:val="clear" w:color="auto" w:fill="FFFFFF"/>
            <w:tcMar>
              <w:top w:w="30" w:type="dxa"/>
              <w:left w:w="0" w:type="dxa"/>
              <w:bottom w:w="30" w:type="dxa"/>
              <w:right w:w="20" w:type="dxa"/>
            </w:tcMar>
            <w:vAlign w:val="center"/>
            <w:hideMark/>
          </w:tcPr>
          <w:p w14:paraId="0BB561C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7404F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5EFB8D3" w14:textId="77777777" w:rsidR="00000000" w:rsidRDefault="00405D16">
            <w:pPr>
              <w:spacing w:after="100"/>
              <w:jc w:val="right"/>
              <w:rPr>
                <w:rFonts w:eastAsia="Times New Roman"/>
              </w:rPr>
            </w:pPr>
            <w:r>
              <w:rPr>
                <w:rFonts w:eastAsia="Times New Roman"/>
                <w:color w:val="000000"/>
                <w:sz w:val="18"/>
                <w:szCs w:val="18"/>
              </w:rPr>
              <w:t>(765)</w:t>
            </w:r>
          </w:p>
        </w:tc>
        <w:tc>
          <w:tcPr>
            <w:tcW w:w="0" w:type="auto"/>
            <w:shd w:val="clear" w:color="auto" w:fill="FFFFFF"/>
            <w:tcMar>
              <w:top w:w="30" w:type="dxa"/>
              <w:left w:w="0" w:type="dxa"/>
              <w:bottom w:w="30" w:type="dxa"/>
              <w:right w:w="20" w:type="dxa"/>
            </w:tcMar>
            <w:vAlign w:val="center"/>
            <w:hideMark/>
          </w:tcPr>
          <w:p w14:paraId="78922D7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E85FD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FB19AF0" w14:textId="77777777" w:rsidR="00000000" w:rsidRDefault="00405D16">
            <w:pPr>
              <w:spacing w:after="100"/>
              <w:jc w:val="right"/>
              <w:rPr>
                <w:rFonts w:eastAsia="Times New Roman"/>
              </w:rPr>
            </w:pPr>
            <w:r>
              <w:rPr>
                <w:rFonts w:eastAsia="Times New Roman"/>
                <w:color w:val="000000"/>
                <w:sz w:val="18"/>
                <w:szCs w:val="18"/>
              </w:rPr>
              <w:t>2,267 </w:t>
            </w:r>
          </w:p>
        </w:tc>
        <w:tc>
          <w:tcPr>
            <w:tcW w:w="0" w:type="auto"/>
            <w:shd w:val="clear" w:color="auto" w:fill="FFFFFF"/>
            <w:tcMar>
              <w:top w:w="30" w:type="dxa"/>
              <w:left w:w="0" w:type="dxa"/>
              <w:bottom w:w="30" w:type="dxa"/>
              <w:right w:w="20" w:type="dxa"/>
            </w:tcMar>
            <w:vAlign w:val="center"/>
            <w:hideMark/>
          </w:tcPr>
          <w:p w14:paraId="3B91CF3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C8402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451448D"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0CBF93C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95798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D65403B" w14:textId="77777777" w:rsidR="00000000" w:rsidRDefault="00405D16">
            <w:pPr>
              <w:spacing w:after="100"/>
              <w:jc w:val="right"/>
              <w:rPr>
                <w:rFonts w:eastAsia="Times New Roman"/>
              </w:rPr>
            </w:pPr>
            <w:r>
              <w:rPr>
                <w:rFonts w:eastAsia="Times New Roman"/>
                <w:color w:val="000000"/>
                <w:sz w:val="18"/>
                <w:szCs w:val="18"/>
              </w:rPr>
              <w:t>2,267 </w:t>
            </w:r>
          </w:p>
        </w:tc>
        <w:tc>
          <w:tcPr>
            <w:tcW w:w="0" w:type="auto"/>
            <w:shd w:val="clear" w:color="auto" w:fill="FFFFFF"/>
            <w:tcMar>
              <w:top w:w="30" w:type="dxa"/>
              <w:left w:w="0" w:type="dxa"/>
              <w:bottom w:w="30" w:type="dxa"/>
              <w:right w:w="20" w:type="dxa"/>
            </w:tcMar>
            <w:vAlign w:val="center"/>
            <w:hideMark/>
          </w:tcPr>
          <w:p w14:paraId="305E1D1B" w14:textId="77777777" w:rsidR="00000000" w:rsidRDefault="00405D16">
            <w:pPr>
              <w:spacing w:after="100"/>
              <w:jc w:val="right"/>
              <w:rPr>
                <w:rFonts w:eastAsia="Times New Roman"/>
              </w:rPr>
            </w:pPr>
          </w:p>
        </w:tc>
      </w:tr>
    </w:tbl>
    <w:tbl>
      <w:tblPr>
        <w:tblW w:w="4970" w:type="pct"/>
        <w:tblCellMar>
          <w:top w:w="15" w:type="dxa"/>
          <w:left w:w="15" w:type="dxa"/>
          <w:bottom w:w="15" w:type="dxa"/>
          <w:right w:w="15" w:type="dxa"/>
        </w:tblCellMar>
        <w:tblLook w:val="04A0" w:firstRow="1" w:lastRow="0" w:firstColumn="1" w:lastColumn="0" w:noHBand="0" w:noVBand="1"/>
      </w:tblPr>
      <w:tblGrid>
        <w:gridCol w:w="144"/>
        <w:gridCol w:w="2542"/>
        <w:gridCol w:w="144"/>
        <w:gridCol w:w="144"/>
        <w:gridCol w:w="144"/>
        <w:gridCol w:w="144"/>
        <w:gridCol w:w="144"/>
        <w:gridCol w:w="601"/>
        <w:gridCol w:w="144"/>
        <w:gridCol w:w="144"/>
        <w:gridCol w:w="144"/>
        <w:gridCol w:w="144"/>
        <w:gridCol w:w="144"/>
        <w:gridCol w:w="696"/>
        <w:gridCol w:w="144"/>
        <w:gridCol w:w="144"/>
        <w:gridCol w:w="144"/>
        <w:gridCol w:w="144"/>
        <w:gridCol w:w="144"/>
        <w:gridCol w:w="880"/>
        <w:gridCol w:w="144"/>
        <w:gridCol w:w="144"/>
        <w:gridCol w:w="144"/>
        <w:gridCol w:w="144"/>
        <w:gridCol w:w="144"/>
        <w:gridCol w:w="794"/>
        <w:gridCol w:w="144"/>
        <w:gridCol w:w="144"/>
        <w:gridCol w:w="144"/>
        <w:gridCol w:w="144"/>
        <w:gridCol w:w="144"/>
        <w:gridCol w:w="1086"/>
        <w:gridCol w:w="144"/>
        <w:gridCol w:w="144"/>
        <w:gridCol w:w="144"/>
        <w:gridCol w:w="144"/>
        <w:gridCol w:w="144"/>
        <w:gridCol w:w="648"/>
        <w:gridCol w:w="144"/>
      </w:tblGrid>
      <w:tr w:rsidR="00000000" w14:paraId="33D335D0" w14:textId="77777777">
        <w:tc>
          <w:tcPr>
            <w:tcW w:w="50" w:type="pct"/>
            <w:vAlign w:val="center"/>
            <w:hideMark/>
          </w:tcPr>
          <w:p w14:paraId="0AD9A4E0" w14:textId="77777777" w:rsidR="00000000" w:rsidRDefault="00405D16">
            <w:pPr>
              <w:rPr>
                <w:rFonts w:eastAsia="Times New Roman"/>
              </w:rPr>
            </w:pPr>
          </w:p>
        </w:tc>
        <w:tc>
          <w:tcPr>
            <w:tcW w:w="1540" w:type="pct"/>
            <w:vAlign w:val="center"/>
            <w:hideMark/>
          </w:tcPr>
          <w:p w14:paraId="5A96E896" w14:textId="77777777" w:rsidR="00000000" w:rsidRDefault="00405D16">
            <w:pPr>
              <w:spacing w:after="100"/>
              <w:rPr>
                <w:rFonts w:eastAsia="Times New Roman"/>
                <w:sz w:val="20"/>
                <w:szCs w:val="20"/>
              </w:rPr>
            </w:pPr>
          </w:p>
        </w:tc>
        <w:tc>
          <w:tcPr>
            <w:tcW w:w="5" w:type="pct"/>
            <w:vAlign w:val="center"/>
            <w:hideMark/>
          </w:tcPr>
          <w:p w14:paraId="6A6599B5" w14:textId="77777777" w:rsidR="00000000" w:rsidRDefault="00405D16">
            <w:pPr>
              <w:spacing w:after="100"/>
              <w:rPr>
                <w:rFonts w:eastAsia="Times New Roman"/>
                <w:sz w:val="20"/>
                <w:szCs w:val="20"/>
              </w:rPr>
            </w:pPr>
          </w:p>
        </w:tc>
        <w:tc>
          <w:tcPr>
            <w:tcW w:w="5" w:type="pct"/>
            <w:vAlign w:val="center"/>
            <w:hideMark/>
          </w:tcPr>
          <w:p w14:paraId="56C69F13" w14:textId="77777777" w:rsidR="00000000" w:rsidRDefault="00405D16">
            <w:pPr>
              <w:spacing w:after="100"/>
              <w:rPr>
                <w:rFonts w:eastAsia="Times New Roman"/>
                <w:sz w:val="20"/>
                <w:szCs w:val="20"/>
              </w:rPr>
            </w:pPr>
          </w:p>
        </w:tc>
        <w:tc>
          <w:tcPr>
            <w:tcW w:w="26" w:type="pct"/>
            <w:vAlign w:val="center"/>
            <w:hideMark/>
          </w:tcPr>
          <w:p w14:paraId="1CD19271" w14:textId="77777777" w:rsidR="00000000" w:rsidRDefault="00405D16">
            <w:pPr>
              <w:spacing w:after="100"/>
              <w:rPr>
                <w:rFonts w:eastAsia="Times New Roman"/>
                <w:sz w:val="20"/>
                <w:szCs w:val="20"/>
              </w:rPr>
            </w:pPr>
          </w:p>
        </w:tc>
        <w:tc>
          <w:tcPr>
            <w:tcW w:w="5" w:type="pct"/>
            <w:vAlign w:val="center"/>
            <w:hideMark/>
          </w:tcPr>
          <w:p w14:paraId="2EEBBA2A" w14:textId="77777777" w:rsidR="00000000" w:rsidRDefault="00405D16">
            <w:pPr>
              <w:spacing w:after="100"/>
              <w:rPr>
                <w:rFonts w:eastAsia="Times New Roman"/>
                <w:sz w:val="20"/>
                <w:szCs w:val="20"/>
              </w:rPr>
            </w:pPr>
          </w:p>
        </w:tc>
        <w:tc>
          <w:tcPr>
            <w:tcW w:w="50" w:type="pct"/>
            <w:vAlign w:val="center"/>
            <w:hideMark/>
          </w:tcPr>
          <w:p w14:paraId="2451B12E" w14:textId="77777777" w:rsidR="00000000" w:rsidRDefault="00405D16">
            <w:pPr>
              <w:spacing w:after="100"/>
              <w:rPr>
                <w:rFonts w:eastAsia="Times New Roman"/>
                <w:sz w:val="20"/>
                <w:szCs w:val="20"/>
              </w:rPr>
            </w:pPr>
          </w:p>
        </w:tc>
        <w:tc>
          <w:tcPr>
            <w:tcW w:w="364" w:type="pct"/>
            <w:vAlign w:val="center"/>
            <w:hideMark/>
          </w:tcPr>
          <w:p w14:paraId="6D06F5F8" w14:textId="77777777" w:rsidR="00000000" w:rsidRDefault="00405D16">
            <w:pPr>
              <w:spacing w:after="100"/>
              <w:rPr>
                <w:rFonts w:eastAsia="Times New Roman"/>
                <w:sz w:val="20"/>
                <w:szCs w:val="20"/>
              </w:rPr>
            </w:pPr>
          </w:p>
        </w:tc>
        <w:tc>
          <w:tcPr>
            <w:tcW w:w="5" w:type="pct"/>
            <w:vAlign w:val="center"/>
            <w:hideMark/>
          </w:tcPr>
          <w:p w14:paraId="3F171724" w14:textId="77777777" w:rsidR="00000000" w:rsidRDefault="00405D16">
            <w:pPr>
              <w:spacing w:after="100"/>
              <w:rPr>
                <w:rFonts w:eastAsia="Times New Roman"/>
                <w:sz w:val="20"/>
                <w:szCs w:val="20"/>
              </w:rPr>
            </w:pPr>
          </w:p>
        </w:tc>
        <w:tc>
          <w:tcPr>
            <w:tcW w:w="5" w:type="pct"/>
            <w:vAlign w:val="center"/>
            <w:hideMark/>
          </w:tcPr>
          <w:p w14:paraId="73DF9738" w14:textId="77777777" w:rsidR="00000000" w:rsidRDefault="00405D16">
            <w:pPr>
              <w:spacing w:after="100"/>
              <w:rPr>
                <w:rFonts w:eastAsia="Times New Roman"/>
                <w:sz w:val="20"/>
                <w:szCs w:val="20"/>
              </w:rPr>
            </w:pPr>
          </w:p>
        </w:tc>
        <w:tc>
          <w:tcPr>
            <w:tcW w:w="26" w:type="pct"/>
            <w:vAlign w:val="center"/>
            <w:hideMark/>
          </w:tcPr>
          <w:p w14:paraId="63B922B2" w14:textId="77777777" w:rsidR="00000000" w:rsidRDefault="00405D16">
            <w:pPr>
              <w:spacing w:after="100"/>
              <w:rPr>
                <w:rFonts w:eastAsia="Times New Roman"/>
                <w:sz w:val="20"/>
                <w:szCs w:val="20"/>
              </w:rPr>
            </w:pPr>
          </w:p>
        </w:tc>
        <w:tc>
          <w:tcPr>
            <w:tcW w:w="5" w:type="pct"/>
            <w:vAlign w:val="center"/>
            <w:hideMark/>
          </w:tcPr>
          <w:p w14:paraId="50750179" w14:textId="77777777" w:rsidR="00000000" w:rsidRDefault="00405D16">
            <w:pPr>
              <w:spacing w:after="100"/>
              <w:rPr>
                <w:rFonts w:eastAsia="Times New Roman"/>
                <w:sz w:val="20"/>
                <w:szCs w:val="20"/>
              </w:rPr>
            </w:pPr>
          </w:p>
        </w:tc>
        <w:tc>
          <w:tcPr>
            <w:tcW w:w="50" w:type="pct"/>
            <w:vAlign w:val="center"/>
            <w:hideMark/>
          </w:tcPr>
          <w:p w14:paraId="33C64DA2" w14:textId="77777777" w:rsidR="00000000" w:rsidRDefault="00405D16">
            <w:pPr>
              <w:spacing w:after="100"/>
              <w:rPr>
                <w:rFonts w:eastAsia="Times New Roman"/>
                <w:sz w:val="20"/>
                <w:szCs w:val="20"/>
              </w:rPr>
            </w:pPr>
          </w:p>
        </w:tc>
        <w:tc>
          <w:tcPr>
            <w:tcW w:w="422" w:type="pct"/>
            <w:vAlign w:val="center"/>
            <w:hideMark/>
          </w:tcPr>
          <w:p w14:paraId="599D0F0D" w14:textId="77777777" w:rsidR="00000000" w:rsidRDefault="00405D16">
            <w:pPr>
              <w:spacing w:after="100"/>
              <w:rPr>
                <w:rFonts w:eastAsia="Times New Roman"/>
                <w:sz w:val="20"/>
                <w:szCs w:val="20"/>
              </w:rPr>
            </w:pPr>
          </w:p>
        </w:tc>
        <w:tc>
          <w:tcPr>
            <w:tcW w:w="5" w:type="pct"/>
            <w:vAlign w:val="center"/>
            <w:hideMark/>
          </w:tcPr>
          <w:p w14:paraId="79573F55" w14:textId="77777777" w:rsidR="00000000" w:rsidRDefault="00405D16">
            <w:pPr>
              <w:spacing w:after="100"/>
              <w:rPr>
                <w:rFonts w:eastAsia="Times New Roman"/>
                <w:sz w:val="20"/>
                <w:szCs w:val="20"/>
              </w:rPr>
            </w:pPr>
          </w:p>
        </w:tc>
        <w:tc>
          <w:tcPr>
            <w:tcW w:w="5" w:type="pct"/>
            <w:vAlign w:val="center"/>
            <w:hideMark/>
          </w:tcPr>
          <w:p w14:paraId="2325A960" w14:textId="77777777" w:rsidR="00000000" w:rsidRDefault="00405D16">
            <w:pPr>
              <w:spacing w:after="100"/>
              <w:rPr>
                <w:rFonts w:eastAsia="Times New Roman"/>
                <w:sz w:val="20"/>
                <w:szCs w:val="20"/>
              </w:rPr>
            </w:pPr>
          </w:p>
        </w:tc>
        <w:tc>
          <w:tcPr>
            <w:tcW w:w="26" w:type="pct"/>
            <w:vAlign w:val="center"/>
            <w:hideMark/>
          </w:tcPr>
          <w:p w14:paraId="76DF8756" w14:textId="77777777" w:rsidR="00000000" w:rsidRDefault="00405D16">
            <w:pPr>
              <w:spacing w:after="100"/>
              <w:rPr>
                <w:rFonts w:eastAsia="Times New Roman"/>
                <w:sz w:val="20"/>
                <w:szCs w:val="20"/>
              </w:rPr>
            </w:pPr>
          </w:p>
        </w:tc>
        <w:tc>
          <w:tcPr>
            <w:tcW w:w="5" w:type="pct"/>
            <w:vAlign w:val="center"/>
            <w:hideMark/>
          </w:tcPr>
          <w:p w14:paraId="7857E8AC" w14:textId="77777777" w:rsidR="00000000" w:rsidRDefault="00405D16">
            <w:pPr>
              <w:spacing w:after="100"/>
              <w:rPr>
                <w:rFonts w:eastAsia="Times New Roman"/>
                <w:sz w:val="20"/>
                <w:szCs w:val="20"/>
              </w:rPr>
            </w:pPr>
          </w:p>
        </w:tc>
        <w:tc>
          <w:tcPr>
            <w:tcW w:w="50" w:type="pct"/>
            <w:vAlign w:val="center"/>
            <w:hideMark/>
          </w:tcPr>
          <w:p w14:paraId="5F860731" w14:textId="77777777" w:rsidR="00000000" w:rsidRDefault="00405D16">
            <w:pPr>
              <w:spacing w:after="100"/>
              <w:rPr>
                <w:rFonts w:eastAsia="Times New Roman"/>
                <w:sz w:val="20"/>
                <w:szCs w:val="20"/>
              </w:rPr>
            </w:pPr>
          </w:p>
        </w:tc>
        <w:tc>
          <w:tcPr>
            <w:tcW w:w="533" w:type="pct"/>
            <w:vAlign w:val="center"/>
            <w:hideMark/>
          </w:tcPr>
          <w:p w14:paraId="33CED49E" w14:textId="77777777" w:rsidR="00000000" w:rsidRDefault="00405D16">
            <w:pPr>
              <w:spacing w:after="100"/>
              <w:rPr>
                <w:rFonts w:eastAsia="Times New Roman"/>
                <w:sz w:val="20"/>
                <w:szCs w:val="20"/>
              </w:rPr>
            </w:pPr>
          </w:p>
        </w:tc>
        <w:tc>
          <w:tcPr>
            <w:tcW w:w="5" w:type="pct"/>
            <w:vAlign w:val="center"/>
            <w:hideMark/>
          </w:tcPr>
          <w:p w14:paraId="20BF87DE" w14:textId="77777777" w:rsidR="00000000" w:rsidRDefault="00405D16">
            <w:pPr>
              <w:spacing w:after="100"/>
              <w:rPr>
                <w:rFonts w:eastAsia="Times New Roman"/>
                <w:sz w:val="20"/>
                <w:szCs w:val="20"/>
              </w:rPr>
            </w:pPr>
          </w:p>
        </w:tc>
        <w:tc>
          <w:tcPr>
            <w:tcW w:w="5" w:type="pct"/>
            <w:vAlign w:val="center"/>
            <w:hideMark/>
          </w:tcPr>
          <w:p w14:paraId="6ECC1AA6" w14:textId="77777777" w:rsidR="00000000" w:rsidRDefault="00405D16">
            <w:pPr>
              <w:spacing w:after="100"/>
              <w:rPr>
                <w:rFonts w:eastAsia="Times New Roman"/>
                <w:sz w:val="20"/>
                <w:szCs w:val="20"/>
              </w:rPr>
            </w:pPr>
          </w:p>
        </w:tc>
        <w:tc>
          <w:tcPr>
            <w:tcW w:w="26" w:type="pct"/>
            <w:vAlign w:val="center"/>
            <w:hideMark/>
          </w:tcPr>
          <w:p w14:paraId="27274BB1" w14:textId="77777777" w:rsidR="00000000" w:rsidRDefault="00405D16">
            <w:pPr>
              <w:spacing w:after="100"/>
              <w:rPr>
                <w:rFonts w:eastAsia="Times New Roman"/>
                <w:sz w:val="20"/>
                <w:szCs w:val="20"/>
              </w:rPr>
            </w:pPr>
          </w:p>
        </w:tc>
        <w:tc>
          <w:tcPr>
            <w:tcW w:w="5" w:type="pct"/>
            <w:vAlign w:val="center"/>
            <w:hideMark/>
          </w:tcPr>
          <w:p w14:paraId="298F82AB" w14:textId="77777777" w:rsidR="00000000" w:rsidRDefault="00405D16">
            <w:pPr>
              <w:spacing w:after="100"/>
              <w:rPr>
                <w:rFonts w:eastAsia="Times New Roman"/>
                <w:sz w:val="20"/>
                <w:szCs w:val="20"/>
              </w:rPr>
            </w:pPr>
          </w:p>
        </w:tc>
        <w:tc>
          <w:tcPr>
            <w:tcW w:w="50" w:type="pct"/>
            <w:vAlign w:val="center"/>
            <w:hideMark/>
          </w:tcPr>
          <w:p w14:paraId="0194AAE6" w14:textId="77777777" w:rsidR="00000000" w:rsidRDefault="00405D16">
            <w:pPr>
              <w:spacing w:after="100"/>
              <w:rPr>
                <w:rFonts w:eastAsia="Times New Roman"/>
                <w:sz w:val="20"/>
                <w:szCs w:val="20"/>
              </w:rPr>
            </w:pPr>
          </w:p>
        </w:tc>
        <w:tc>
          <w:tcPr>
            <w:tcW w:w="481" w:type="pct"/>
            <w:vAlign w:val="center"/>
            <w:hideMark/>
          </w:tcPr>
          <w:p w14:paraId="3F6CE5B0" w14:textId="77777777" w:rsidR="00000000" w:rsidRDefault="00405D16">
            <w:pPr>
              <w:spacing w:after="100"/>
              <w:rPr>
                <w:rFonts w:eastAsia="Times New Roman"/>
                <w:sz w:val="20"/>
                <w:szCs w:val="20"/>
              </w:rPr>
            </w:pPr>
          </w:p>
        </w:tc>
        <w:tc>
          <w:tcPr>
            <w:tcW w:w="5" w:type="pct"/>
            <w:vAlign w:val="center"/>
            <w:hideMark/>
          </w:tcPr>
          <w:p w14:paraId="4FB46A41" w14:textId="77777777" w:rsidR="00000000" w:rsidRDefault="00405D16">
            <w:pPr>
              <w:spacing w:after="100"/>
              <w:rPr>
                <w:rFonts w:eastAsia="Times New Roman"/>
                <w:sz w:val="20"/>
                <w:szCs w:val="20"/>
              </w:rPr>
            </w:pPr>
          </w:p>
        </w:tc>
        <w:tc>
          <w:tcPr>
            <w:tcW w:w="5" w:type="pct"/>
            <w:vAlign w:val="center"/>
            <w:hideMark/>
          </w:tcPr>
          <w:p w14:paraId="575D1255" w14:textId="77777777" w:rsidR="00000000" w:rsidRDefault="00405D16">
            <w:pPr>
              <w:spacing w:after="100"/>
              <w:rPr>
                <w:rFonts w:eastAsia="Times New Roman"/>
                <w:sz w:val="20"/>
                <w:szCs w:val="20"/>
              </w:rPr>
            </w:pPr>
          </w:p>
        </w:tc>
        <w:tc>
          <w:tcPr>
            <w:tcW w:w="26" w:type="pct"/>
            <w:vAlign w:val="center"/>
            <w:hideMark/>
          </w:tcPr>
          <w:p w14:paraId="2895351A" w14:textId="77777777" w:rsidR="00000000" w:rsidRDefault="00405D16">
            <w:pPr>
              <w:spacing w:after="100"/>
              <w:rPr>
                <w:rFonts w:eastAsia="Times New Roman"/>
                <w:sz w:val="20"/>
                <w:szCs w:val="20"/>
              </w:rPr>
            </w:pPr>
          </w:p>
        </w:tc>
        <w:tc>
          <w:tcPr>
            <w:tcW w:w="5" w:type="pct"/>
            <w:vAlign w:val="center"/>
            <w:hideMark/>
          </w:tcPr>
          <w:p w14:paraId="7F22E156" w14:textId="77777777" w:rsidR="00000000" w:rsidRDefault="00405D16">
            <w:pPr>
              <w:spacing w:after="100"/>
              <w:rPr>
                <w:rFonts w:eastAsia="Times New Roman"/>
                <w:sz w:val="20"/>
                <w:szCs w:val="20"/>
              </w:rPr>
            </w:pPr>
          </w:p>
        </w:tc>
        <w:tc>
          <w:tcPr>
            <w:tcW w:w="50" w:type="pct"/>
            <w:vAlign w:val="center"/>
            <w:hideMark/>
          </w:tcPr>
          <w:p w14:paraId="782B979A" w14:textId="77777777" w:rsidR="00000000" w:rsidRDefault="00405D16">
            <w:pPr>
              <w:spacing w:after="100"/>
              <w:rPr>
                <w:rFonts w:eastAsia="Times New Roman"/>
                <w:sz w:val="20"/>
                <w:szCs w:val="20"/>
              </w:rPr>
            </w:pPr>
          </w:p>
        </w:tc>
        <w:tc>
          <w:tcPr>
            <w:tcW w:w="658" w:type="pct"/>
            <w:vAlign w:val="center"/>
            <w:hideMark/>
          </w:tcPr>
          <w:p w14:paraId="3B63D66C" w14:textId="77777777" w:rsidR="00000000" w:rsidRDefault="00405D16">
            <w:pPr>
              <w:spacing w:after="100"/>
              <w:rPr>
                <w:rFonts w:eastAsia="Times New Roman"/>
                <w:sz w:val="20"/>
                <w:szCs w:val="20"/>
              </w:rPr>
            </w:pPr>
          </w:p>
        </w:tc>
        <w:tc>
          <w:tcPr>
            <w:tcW w:w="5" w:type="pct"/>
            <w:vAlign w:val="center"/>
            <w:hideMark/>
          </w:tcPr>
          <w:p w14:paraId="0025C13C" w14:textId="77777777" w:rsidR="00000000" w:rsidRDefault="00405D16">
            <w:pPr>
              <w:spacing w:after="100"/>
              <w:rPr>
                <w:rFonts w:eastAsia="Times New Roman"/>
                <w:sz w:val="20"/>
                <w:szCs w:val="20"/>
              </w:rPr>
            </w:pPr>
          </w:p>
        </w:tc>
        <w:tc>
          <w:tcPr>
            <w:tcW w:w="5" w:type="pct"/>
            <w:vAlign w:val="center"/>
            <w:hideMark/>
          </w:tcPr>
          <w:p w14:paraId="4372BFA9" w14:textId="77777777" w:rsidR="00000000" w:rsidRDefault="00405D16">
            <w:pPr>
              <w:spacing w:after="100"/>
              <w:rPr>
                <w:rFonts w:eastAsia="Times New Roman"/>
                <w:sz w:val="20"/>
                <w:szCs w:val="20"/>
              </w:rPr>
            </w:pPr>
          </w:p>
        </w:tc>
        <w:tc>
          <w:tcPr>
            <w:tcW w:w="26" w:type="pct"/>
            <w:vAlign w:val="center"/>
            <w:hideMark/>
          </w:tcPr>
          <w:p w14:paraId="242F9E53" w14:textId="77777777" w:rsidR="00000000" w:rsidRDefault="00405D16">
            <w:pPr>
              <w:spacing w:after="100"/>
              <w:rPr>
                <w:rFonts w:eastAsia="Times New Roman"/>
                <w:sz w:val="20"/>
                <w:szCs w:val="20"/>
              </w:rPr>
            </w:pPr>
          </w:p>
        </w:tc>
        <w:tc>
          <w:tcPr>
            <w:tcW w:w="5" w:type="pct"/>
            <w:vAlign w:val="center"/>
            <w:hideMark/>
          </w:tcPr>
          <w:p w14:paraId="51D9958A" w14:textId="77777777" w:rsidR="00000000" w:rsidRDefault="00405D16">
            <w:pPr>
              <w:spacing w:after="100"/>
              <w:rPr>
                <w:rFonts w:eastAsia="Times New Roman"/>
                <w:sz w:val="20"/>
                <w:szCs w:val="20"/>
              </w:rPr>
            </w:pPr>
          </w:p>
        </w:tc>
        <w:tc>
          <w:tcPr>
            <w:tcW w:w="50" w:type="pct"/>
            <w:vAlign w:val="center"/>
            <w:hideMark/>
          </w:tcPr>
          <w:p w14:paraId="234AC299" w14:textId="77777777" w:rsidR="00000000" w:rsidRDefault="00405D16">
            <w:pPr>
              <w:spacing w:after="100"/>
              <w:rPr>
                <w:rFonts w:eastAsia="Times New Roman"/>
                <w:sz w:val="20"/>
                <w:szCs w:val="20"/>
              </w:rPr>
            </w:pPr>
          </w:p>
        </w:tc>
        <w:tc>
          <w:tcPr>
            <w:tcW w:w="393" w:type="pct"/>
            <w:vAlign w:val="center"/>
            <w:hideMark/>
          </w:tcPr>
          <w:p w14:paraId="06183DE7" w14:textId="77777777" w:rsidR="00000000" w:rsidRDefault="00405D16">
            <w:pPr>
              <w:spacing w:after="100"/>
              <w:rPr>
                <w:rFonts w:eastAsia="Times New Roman"/>
                <w:sz w:val="20"/>
                <w:szCs w:val="20"/>
              </w:rPr>
            </w:pPr>
          </w:p>
        </w:tc>
        <w:tc>
          <w:tcPr>
            <w:tcW w:w="5" w:type="pct"/>
            <w:vAlign w:val="center"/>
            <w:hideMark/>
          </w:tcPr>
          <w:p w14:paraId="6B0B83FB" w14:textId="77777777" w:rsidR="00000000" w:rsidRDefault="00405D16">
            <w:pPr>
              <w:spacing w:after="100"/>
              <w:rPr>
                <w:rFonts w:eastAsia="Times New Roman"/>
                <w:sz w:val="20"/>
                <w:szCs w:val="20"/>
              </w:rPr>
            </w:pPr>
          </w:p>
        </w:tc>
      </w:tr>
      <w:tr w:rsidR="00000000" w14:paraId="098EB64C" w14:textId="77777777">
        <w:trPr>
          <w:trHeight w:val="420"/>
        </w:trPr>
        <w:tc>
          <w:tcPr>
            <w:tcW w:w="0" w:type="auto"/>
            <w:gridSpan w:val="3"/>
            <w:tcMar>
              <w:top w:w="0" w:type="dxa"/>
              <w:left w:w="20" w:type="dxa"/>
              <w:bottom w:w="0" w:type="dxa"/>
              <w:right w:w="20" w:type="dxa"/>
            </w:tcMar>
            <w:vAlign w:val="center"/>
            <w:hideMark/>
          </w:tcPr>
          <w:p w14:paraId="48C42954"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8726145" w14:textId="77777777" w:rsidR="00000000" w:rsidRDefault="00405D16">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14:paraId="470A612B" w14:textId="77777777" w:rsidR="00000000" w:rsidRDefault="00405D16">
            <w:pPr>
              <w:spacing w:after="100"/>
              <w:jc w:val="center"/>
              <w:rPr>
                <w:rFonts w:eastAsia="Times New Roman"/>
              </w:rPr>
            </w:pPr>
            <w:r>
              <w:rPr>
                <w:rFonts w:eastAsia="Times New Roman"/>
                <w:b/>
                <w:bCs/>
                <w:color w:val="000000"/>
                <w:sz w:val="16"/>
                <w:szCs w:val="16"/>
              </w:rPr>
              <w:t>Gross Amounts</w:t>
            </w:r>
          </w:p>
        </w:tc>
        <w:tc>
          <w:tcPr>
            <w:tcW w:w="0" w:type="auto"/>
            <w:gridSpan w:val="3"/>
            <w:tcMar>
              <w:top w:w="0" w:type="dxa"/>
              <w:left w:w="20" w:type="dxa"/>
              <w:bottom w:w="0" w:type="dxa"/>
              <w:right w:w="20" w:type="dxa"/>
            </w:tcMar>
            <w:vAlign w:val="center"/>
            <w:hideMark/>
          </w:tcPr>
          <w:p w14:paraId="743E84F0" w14:textId="77777777" w:rsidR="00000000" w:rsidRDefault="00405D1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D7ECE9F" w14:textId="77777777" w:rsidR="00000000" w:rsidRDefault="00405D16">
            <w:pPr>
              <w:spacing w:after="100"/>
              <w:jc w:val="center"/>
              <w:rPr>
                <w:rFonts w:eastAsia="Times New Roman"/>
              </w:rPr>
            </w:pPr>
            <w:r>
              <w:rPr>
                <w:rFonts w:eastAsia="Times New Roman"/>
                <w:b/>
                <w:bCs/>
                <w:color w:val="000000"/>
                <w:sz w:val="16"/>
                <w:szCs w:val="16"/>
              </w:rPr>
              <w:t>Gross Amounts Offset in the Balance Sheet</w:t>
            </w:r>
          </w:p>
        </w:tc>
        <w:tc>
          <w:tcPr>
            <w:tcW w:w="0" w:type="auto"/>
            <w:gridSpan w:val="3"/>
            <w:tcMar>
              <w:top w:w="0" w:type="dxa"/>
              <w:left w:w="20" w:type="dxa"/>
              <w:bottom w:w="0" w:type="dxa"/>
              <w:right w:w="20" w:type="dxa"/>
            </w:tcMar>
            <w:vAlign w:val="center"/>
            <w:hideMark/>
          </w:tcPr>
          <w:p w14:paraId="24C95EBD" w14:textId="77777777" w:rsidR="00000000" w:rsidRDefault="00405D1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5C443C3E" w14:textId="77777777" w:rsidR="00000000" w:rsidRDefault="00405D16">
            <w:pPr>
              <w:spacing w:after="100"/>
              <w:jc w:val="center"/>
              <w:rPr>
                <w:rFonts w:eastAsia="Times New Roman"/>
              </w:rPr>
            </w:pPr>
            <w:r>
              <w:rPr>
                <w:rFonts w:eastAsia="Times New Roman"/>
                <w:b/>
                <w:bCs/>
                <w:color w:val="000000"/>
                <w:sz w:val="16"/>
                <w:szCs w:val="16"/>
              </w:rPr>
              <w:t>Net Amounts as Recognized</w:t>
            </w:r>
          </w:p>
        </w:tc>
        <w:tc>
          <w:tcPr>
            <w:tcW w:w="0" w:type="auto"/>
            <w:gridSpan w:val="3"/>
            <w:tcMar>
              <w:top w:w="0" w:type="dxa"/>
              <w:left w:w="20" w:type="dxa"/>
              <w:bottom w:w="0" w:type="dxa"/>
              <w:right w:w="20" w:type="dxa"/>
            </w:tcMar>
            <w:vAlign w:val="center"/>
            <w:hideMark/>
          </w:tcPr>
          <w:p w14:paraId="40C81095" w14:textId="77777777" w:rsidR="00000000" w:rsidRDefault="00405D1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5630F9D9" w14:textId="77777777" w:rsidR="00000000" w:rsidRDefault="00405D16">
            <w:pPr>
              <w:spacing w:after="100"/>
              <w:jc w:val="center"/>
              <w:rPr>
                <w:rFonts w:eastAsia="Times New Roman"/>
              </w:rPr>
            </w:pPr>
            <w:r>
              <w:rPr>
                <w:rFonts w:eastAsia="Times New Roman"/>
                <w:b/>
                <w:bCs/>
                <w:color w:val="000000"/>
                <w:sz w:val="16"/>
                <w:szCs w:val="16"/>
              </w:rPr>
              <w:t>Securities Collateral Pledged Under Master Netting Agreements</w:t>
            </w:r>
          </w:p>
        </w:tc>
        <w:tc>
          <w:tcPr>
            <w:tcW w:w="0" w:type="auto"/>
            <w:gridSpan w:val="3"/>
            <w:tcMar>
              <w:top w:w="0" w:type="dxa"/>
              <w:left w:w="20" w:type="dxa"/>
              <w:bottom w:w="0" w:type="dxa"/>
              <w:right w:w="20" w:type="dxa"/>
            </w:tcMar>
            <w:vAlign w:val="center"/>
            <w:hideMark/>
          </w:tcPr>
          <w:p w14:paraId="2FEDCBE1" w14:textId="77777777" w:rsidR="00000000" w:rsidRDefault="00405D1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50B34C9B" w14:textId="77777777" w:rsidR="00000000" w:rsidRDefault="00405D16">
            <w:pPr>
              <w:spacing w:after="100"/>
              <w:jc w:val="center"/>
              <w:rPr>
                <w:rFonts w:eastAsia="Times New Roman"/>
              </w:rPr>
            </w:pPr>
            <w:r>
              <w:rPr>
                <w:rFonts w:eastAsia="Times New Roman"/>
                <w:b/>
                <w:bCs/>
                <w:color w:val="000000"/>
                <w:sz w:val="16"/>
                <w:szCs w:val="16"/>
              </w:rPr>
              <w:t>Net Exposure</w:t>
            </w:r>
          </w:p>
        </w:tc>
      </w:tr>
      <w:tr w:rsidR="00000000" w14:paraId="177D4733" w14:textId="77777777">
        <w:trPr>
          <w:trHeight w:val="420"/>
        </w:trPr>
        <w:tc>
          <w:tcPr>
            <w:tcW w:w="0" w:type="auto"/>
            <w:gridSpan w:val="3"/>
            <w:tcMar>
              <w:top w:w="30" w:type="dxa"/>
              <w:left w:w="20" w:type="dxa"/>
              <w:bottom w:w="30" w:type="dxa"/>
              <w:right w:w="20" w:type="dxa"/>
            </w:tcMar>
            <w:vAlign w:val="bottom"/>
            <w:hideMark/>
          </w:tcPr>
          <w:p w14:paraId="42F428DF"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2BD0D3BF" w14:textId="77777777" w:rsidR="00000000" w:rsidRDefault="00405D16">
            <w:pPr>
              <w:spacing w:after="100"/>
              <w:rPr>
                <w:rFonts w:eastAsia="Times New Roman"/>
              </w:rPr>
            </w:pPr>
          </w:p>
        </w:tc>
        <w:tc>
          <w:tcPr>
            <w:tcW w:w="0" w:type="auto"/>
            <w:gridSpan w:val="3"/>
            <w:vMerge/>
            <w:vAlign w:val="center"/>
            <w:hideMark/>
          </w:tcPr>
          <w:p w14:paraId="05580CF9" w14:textId="77777777" w:rsidR="00000000" w:rsidRDefault="00405D16">
            <w:pPr>
              <w:spacing w:after="100"/>
              <w:rPr>
                <w:rFonts w:eastAsia="Times New Roman"/>
              </w:rPr>
            </w:pPr>
          </w:p>
        </w:tc>
        <w:tc>
          <w:tcPr>
            <w:tcW w:w="0" w:type="auto"/>
            <w:gridSpan w:val="3"/>
            <w:tcMar>
              <w:top w:w="0" w:type="dxa"/>
              <w:left w:w="20" w:type="dxa"/>
              <w:bottom w:w="0" w:type="dxa"/>
              <w:right w:w="20" w:type="dxa"/>
            </w:tcMar>
            <w:vAlign w:val="center"/>
            <w:hideMark/>
          </w:tcPr>
          <w:p w14:paraId="1DF663FB"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0665E84" w14:textId="77777777" w:rsidR="00000000" w:rsidRDefault="00405D16">
            <w:pPr>
              <w:spacing w:after="100"/>
              <w:jc w:val="center"/>
              <w:rPr>
                <w:rFonts w:eastAsia="Times New Roman"/>
              </w:rPr>
            </w:pPr>
            <w:r>
              <w:rPr>
                <w:rFonts w:eastAsia="Times New Roman"/>
                <w:b/>
                <w:bCs/>
                <w:color w:val="000000"/>
                <w:sz w:val="16"/>
                <w:szCs w:val="16"/>
              </w:rPr>
              <w:t>Financial Instruments</w:t>
            </w:r>
          </w:p>
        </w:tc>
        <w:tc>
          <w:tcPr>
            <w:tcW w:w="0" w:type="auto"/>
            <w:gridSpan w:val="3"/>
            <w:tcBorders>
              <w:top w:val="single" w:sz="8" w:space="0" w:color="000000"/>
            </w:tcBorders>
            <w:tcMar>
              <w:top w:w="0" w:type="dxa"/>
              <w:left w:w="20" w:type="dxa"/>
              <w:bottom w:w="0" w:type="dxa"/>
              <w:right w:w="20" w:type="dxa"/>
            </w:tcMar>
            <w:vAlign w:val="center"/>
            <w:hideMark/>
          </w:tcPr>
          <w:p w14:paraId="4244A89F"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F05BE37" w14:textId="77777777" w:rsidR="00000000" w:rsidRDefault="00405D16">
            <w:pPr>
              <w:spacing w:after="100"/>
              <w:jc w:val="center"/>
              <w:rPr>
                <w:rFonts w:eastAsia="Times New Roman"/>
              </w:rPr>
            </w:pPr>
            <w:r>
              <w:rPr>
                <w:rFonts w:eastAsia="Times New Roman"/>
                <w:b/>
                <w:bCs/>
                <w:color w:val="000000"/>
                <w:sz w:val="16"/>
                <w:szCs w:val="16"/>
              </w:rPr>
              <w:t>Cash Collateral Pledged</w:t>
            </w:r>
          </w:p>
        </w:tc>
        <w:tc>
          <w:tcPr>
            <w:tcW w:w="0" w:type="auto"/>
            <w:gridSpan w:val="3"/>
            <w:tcMar>
              <w:top w:w="0" w:type="dxa"/>
              <w:left w:w="20" w:type="dxa"/>
              <w:bottom w:w="0" w:type="dxa"/>
              <w:right w:w="20" w:type="dxa"/>
            </w:tcMar>
            <w:vAlign w:val="center"/>
            <w:hideMark/>
          </w:tcPr>
          <w:p w14:paraId="7A5F37BE" w14:textId="77777777" w:rsidR="00000000" w:rsidRDefault="00405D16">
            <w:pPr>
              <w:spacing w:after="100"/>
              <w:jc w:val="center"/>
              <w:rPr>
                <w:rFonts w:eastAsia="Times New Roman"/>
              </w:rPr>
            </w:pPr>
          </w:p>
        </w:tc>
        <w:tc>
          <w:tcPr>
            <w:tcW w:w="0" w:type="auto"/>
            <w:gridSpan w:val="3"/>
            <w:vMerge/>
            <w:vAlign w:val="center"/>
            <w:hideMark/>
          </w:tcPr>
          <w:p w14:paraId="31EA6637" w14:textId="77777777" w:rsidR="00000000" w:rsidRDefault="00405D16">
            <w:pPr>
              <w:spacing w:after="100"/>
              <w:rPr>
                <w:rFonts w:eastAsia="Times New Roman"/>
              </w:rPr>
            </w:pPr>
          </w:p>
        </w:tc>
        <w:tc>
          <w:tcPr>
            <w:tcW w:w="0" w:type="auto"/>
            <w:gridSpan w:val="3"/>
            <w:tcMar>
              <w:top w:w="0" w:type="dxa"/>
              <w:left w:w="20" w:type="dxa"/>
              <w:bottom w:w="0" w:type="dxa"/>
              <w:right w:w="20" w:type="dxa"/>
            </w:tcMar>
            <w:vAlign w:val="center"/>
            <w:hideMark/>
          </w:tcPr>
          <w:p w14:paraId="08601EEE" w14:textId="77777777" w:rsidR="00000000" w:rsidRDefault="00405D16">
            <w:pPr>
              <w:spacing w:after="100"/>
              <w:rPr>
                <w:rFonts w:eastAsia="Times New Roman"/>
                <w:sz w:val="20"/>
                <w:szCs w:val="20"/>
              </w:rPr>
            </w:pPr>
          </w:p>
        </w:tc>
        <w:tc>
          <w:tcPr>
            <w:tcW w:w="0" w:type="auto"/>
            <w:gridSpan w:val="3"/>
            <w:vMerge/>
            <w:vAlign w:val="center"/>
            <w:hideMark/>
          </w:tcPr>
          <w:p w14:paraId="6A8F46DB" w14:textId="77777777" w:rsidR="00000000" w:rsidRDefault="00405D16">
            <w:pPr>
              <w:spacing w:after="100"/>
              <w:rPr>
                <w:rFonts w:eastAsia="Times New Roman"/>
              </w:rPr>
            </w:pPr>
          </w:p>
        </w:tc>
        <w:tc>
          <w:tcPr>
            <w:tcW w:w="0" w:type="auto"/>
            <w:gridSpan w:val="3"/>
            <w:tcMar>
              <w:top w:w="0" w:type="dxa"/>
              <w:left w:w="20" w:type="dxa"/>
              <w:bottom w:w="0" w:type="dxa"/>
              <w:right w:w="20" w:type="dxa"/>
            </w:tcMar>
            <w:vAlign w:val="center"/>
            <w:hideMark/>
          </w:tcPr>
          <w:p w14:paraId="159E3AD2" w14:textId="77777777" w:rsidR="00000000" w:rsidRDefault="00405D16">
            <w:pPr>
              <w:spacing w:after="100"/>
              <w:rPr>
                <w:rFonts w:eastAsia="Times New Roman"/>
                <w:sz w:val="20"/>
                <w:szCs w:val="20"/>
              </w:rPr>
            </w:pPr>
          </w:p>
        </w:tc>
        <w:tc>
          <w:tcPr>
            <w:tcW w:w="0" w:type="auto"/>
            <w:gridSpan w:val="3"/>
            <w:vMerge/>
            <w:vAlign w:val="center"/>
            <w:hideMark/>
          </w:tcPr>
          <w:p w14:paraId="7243360B" w14:textId="77777777" w:rsidR="00000000" w:rsidRDefault="00405D16">
            <w:pPr>
              <w:spacing w:after="100"/>
              <w:rPr>
                <w:rFonts w:eastAsia="Times New Roman"/>
              </w:rPr>
            </w:pPr>
          </w:p>
        </w:tc>
      </w:tr>
      <w:tr w:rsidR="00000000" w14:paraId="70E3651D" w14:textId="7777777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C21251A" w14:textId="77777777" w:rsidR="00000000" w:rsidRDefault="00405D16">
            <w:pPr>
              <w:spacing w:after="100"/>
              <w:rPr>
                <w:rFonts w:eastAsia="Times New Roman"/>
              </w:rPr>
            </w:pPr>
            <w:r>
              <w:rPr>
                <w:rFonts w:eastAsia="Times New Roman"/>
                <w:b/>
                <w:bCs/>
                <w:color w:val="000000"/>
                <w:sz w:val="18"/>
                <w:szCs w:val="18"/>
              </w:rPr>
              <w:t>As of September 30, 2021</w:t>
            </w:r>
          </w:p>
        </w:tc>
        <w:tc>
          <w:tcPr>
            <w:tcW w:w="0" w:type="auto"/>
            <w:gridSpan w:val="3"/>
            <w:shd w:val="clear" w:color="auto" w:fill="CCEEFF"/>
            <w:tcMar>
              <w:top w:w="0" w:type="dxa"/>
              <w:left w:w="20" w:type="dxa"/>
              <w:bottom w:w="0" w:type="dxa"/>
              <w:right w:w="20" w:type="dxa"/>
            </w:tcMar>
            <w:vAlign w:val="center"/>
            <w:hideMark/>
          </w:tcPr>
          <w:p w14:paraId="5E992B6A"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5235A9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57784D"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EAED7D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9B6A4F"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94A47A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AC4555"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8ECC26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EA617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3AA556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9BCA60"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BAFC348" w14:textId="77777777" w:rsidR="00000000" w:rsidRDefault="00405D16">
            <w:pPr>
              <w:spacing w:after="100"/>
              <w:rPr>
                <w:rFonts w:eastAsia="Times New Roman"/>
                <w:sz w:val="20"/>
                <w:szCs w:val="20"/>
              </w:rPr>
            </w:pPr>
          </w:p>
        </w:tc>
      </w:tr>
      <w:tr w:rsidR="00000000" w14:paraId="21C0FB65" w14:textId="77777777">
        <w:tc>
          <w:tcPr>
            <w:tcW w:w="0" w:type="auto"/>
            <w:gridSpan w:val="3"/>
            <w:shd w:val="clear" w:color="auto" w:fill="FFFFFF"/>
            <w:tcMar>
              <w:top w:w="30" w:type="dxa"/>
              <w:left w:w="20" w:type="dxa"/>
              <w:bottom w:w="30" w:type="dxa"/>
              <w:right w:w="20" w:type="dxa"/>
            </w:tcMar>
            <w:vAlign w:val="center"/>
            <w:hideMark/>
          </w:tcPr>
          <w:p w14:paraId="5EAB0012" w14:textId="77777777" w:rsidR="00000000" w:rsidRDefault="00405D16">
            <w:pPr>
              <w:spacing w:after="100"/>
              <w:divId w:val="1113594000"/>
              <w:rPr>
                <w:rFonts w:eastAsia="Times New Roman"/>
              </w:rPr>
            </w:pPr>
            <w:r>
              <w:rPr>
                <w:rFonts w:eastAsia="Times New Roman"/>
                <w:color w:val="000000"/>
                <w:sz w:val="18"/>
                <w:szCs w:val="18"/>
              </w:rPr>
              <w:t>Derivative liabilitie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612E9A2A"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53DD1F1D"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64FF7DEA" w14:textId="77777777" w:rsidR="00000000" w:rsidRDefault="00405D16">
            <w:pPr>
              <w:spacing w:after="100"/>
              <w:jc w:val="right"/>
              <w:rPr>
                <w:rFonts w:eastAsia="Times New Roman"/>
              </w:rPr>
            </w:pPr>
            <w:r>
              <w:rPr>
                <w:rFonts w:eastAsia="Times New Roman"/>
                <w:b/>
                <w:bCs/>
                <w:color w:val="000000"/>
                <w:sz w:val="18"/>
                <w:szCs w:val="18"/>
              </w:rPr>
              <w:t>3,463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88E66C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0ABCC9"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8F93D98"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2CBCAA24" w14:textId="77777777" w:rsidR="00000000" w:rsidRDefault="00405D16">
            <w:pPr>
              <w:spacing w:after="100"/>
              <w:jc w:val="right"/>
              <w:rPr>
                <w:rFonts w:eastAsia="Times New Roman"/>
              </w:rPr>
            </w:pPr>
            <w:r>
              <w:rPr>
                <w:rFonts w:eastAsia="Times New Roman"/>
                <w:b/>
                <w:bCs/>
                <w:color w:val="000000"/>
                <w:sz w:val="18"/>
                <w:szCs w:val="18"/>
              </w:rPr>
              <w:t>(434)</w:t>
            </w:r>
          </w:p>
        </w:tc>
        <w:tc>
          <w:tcPr>
            <w:tcW w:w="0" w:type="auto"/>
            <w:shd w:val="clear" w:color="auto" w:fill="FFFFFF"/>
            <w:tcMar>
              <w:top w:w="30" w:type="dxa"/>
              <w:left w:w="0" w:type="dxa"/>
              <w:bottom w:w="30" w:type="dxa"/>
              <w:right w:w="20" w:type="dxa"/>
            </w:tcMar>
            <w:vAlign w:val="center"/>
            <w:hideMark/>
          </w:tcPr>
          <w:p w14:paraId="5CD7EA3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41103A"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5186F83"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457AEAC0" w14:textId="77777777" w:rsidR="00000000" w:rsidRDefault="00405D16">
            <w:pPr>
              <w:spacing w:after="100"/>
              <w:jc w:val="right"/>
              <w:rPr>
                <w:rFonts w:eastAsia="Times New Roman"/>
              </w:rPr>
            </w:pPr>
            <w:r>
              <w:rPr>
                <w:rFonts w:eastAsia="Times New Roman"/>
                <w:b/>
                <w:bCs/>
                <w:color w:val="000000"/>
                <w:sz w:val="18"/>
                <w:szCs w:val="18"/>
              </w:rPr>
              <w:t>(470)</w:t>
            </w:r>
          </w:p>
        </w:tc>
        <w:tc>
          <w:tcPr>
            <w:tcW w:w="0" w:type="auto"/>
            <w:shd w:val="clear" w:color="auto" w:fill="FFFFFF"/>
            <w:tcMar>
              <w:top w:w="30" w:type="dxa"/>
              <w:left w:w="0" w:type="dxa"/>
              <w:bottom w:w="30" w:type="dxa"/>
              <w:right w:w="20" w:type="dxa"/>
            </w:tcMar>
            <w:vAlign w:val="center"/>
            <w:hideMark/>
          </w:tcPr>
          <w:p w14:paraId="178CB2D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B511C9"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C780A49"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642F6A2F" w14:textId="77777777" w:rsidR="00000000" w:rsidRDefault="00405D16">
            <w:pPr>
              <w:spacing w:after="100"/>
              <w:jc w:val="right"/>
              <w:rPr>
                <w:rFonts w:eastAsia="Times New Roman"/>
              </w:rPr>
            </w:pPr>
            <w:r>
              <w:rPr>
                <w:rFonts w:eastAsia="Times New Roman"/>
                <w:b/>
                <w:bCs/>
                <w:color w:val="000000"/>
                <w:sz w:val="18"/>
                <w:szCs w:val="18"/>
              </w:rPr>
              <w:t>2,559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A097AD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BA8E48"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7F12385"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18EC641C"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FC941E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F198C1"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D7DDE2F"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00C18227" w14:textId="77777777" w:rsidR="00000000" w:rsidRDefault="00405D16">
            <w:pPr>
              <w:spacing w:after="100"/>
              <w:jc w:val="right"/>
              <w:rPr>
                <w:rFonts w:eastAsia="Times New Roman"/>
              </w:rPr>
            </w:pPr>
            <w:r>
              <w:rPr>
                <w:rFonts w:eastAsia="Times New Roman"/>
                <w:b/>
                <w:bCs/>
                <w:color w:val="000000"/>
                <w:sz w:val="18"/>
                <w:szCs w:val="18"/>
              </w:rPr>
              <w:t>2,559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AAAB3D0" w14:textId="77777777" w:rsidR="00000000" w:rsidRDefault="00405D16">
            <w:pPr>
              <w:spacing w:after="100"/>
              <w:jc w:val="right"/>
              <w:rPr>
                <w:rFonts w:eastAsia="Times New Roman"/>
              </w:rPr>
            </w:pPr>
          </w:p>
        </w:tc>
      </w:tr>
      <w:tr w:rsidR="00000000" w14:paraId="774DA703" w14:textId="77777777">
        <w:tc>
          <w:tcPr>
            <w:tcW w:w="0" w:type="auto"/>
            <w:gridSpan w:val="3"/>
            <w:shd w:val="clear" w:color="auto" w:fill="CCEEFF"/>
            <w:tcMar>
              <w:top w:w="30" w:type="dxa"/>
              <w:left w:w="20" w:type="dxa"/>
              <w:bottom w:w="30" w:type="dxa"/>
              <w:right w:w="20" w:type="dxa"/>
            </w:tcMar>
            <w:vAlign w:val="center"/>
            <w:hideMark/>
          </w:tcPr>
          <w:p w14:paraId="037925F4" w14:textId="77777777" w:rsidR="00000000" w:rsidRDefault="00405D16">
            <w:pPr>
              <w:spacing w:after="100"/>
              <w:divId w:val="1248802390"/>
              <w:rPr>
                <w:rFonts w:eastAsia="Times New Roman"/>
              </w:rPr>
            </w:pPr>
            <w:r>
              <w:rPr>
                <w:rFonts w:eastAsia="Times New Roman"/>
                <w:color w:val="000000"/>
                <w:sz w:val="18"/>
                <w:szCs w:val="18"/>
              </w:rPr>
              <w:t>Repurchase agreement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59B1ABB6"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01551CE" w14:textId="77777777" w:rsidR="00000000" w:rsidRDefault="00405D16">
            <w:pPr>
              <w:spacing w:after="100"/>
              <w:jc w:val="right"/>
              <w:rPr>
                <w:rFonts w:eastAsia="Times New Roman"/>
              </w:rPr>
            </w:pPr>
            <w:r>
              <w:rPr>
                <w:rFonts w:eastAsia="Times New Roman"/>
                <w:b/>
                <w:bCs/>
                <w:color w:val="000000"/>
                <w:sz w:val="18"/>
                <w:szCs w:val="18"/>
              </w:rPr>
              <w:t>825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CEFFE3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F753A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451DE53"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3CB051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90507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16C267A"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D0CB4D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818CF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40AD42A" w14:textId="77777777" w:rsidR="00000000" w:rsidRDefault="00405D16">
            <w:pPr>
              <w:spacing w:after="100"/>
              <w:jc w:val="right"/>
              <w:rPr>
                <w:rFonts w:eastAsia="Times New Roman"/>
              </w:rPr>
            </w:pPr>
            <w:r>
              <w:rPr>
                <w:rFonts w:eastAsia="Times New Roman"/>
                <w:b/>
                <w:bCs/>
                <w:color w:val="000000"/>
                <w:sz w:val="18"/>
                <w:szCs w:val="18"/>
              </w:rPr>
              <w:t>825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E7A0FF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C4811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C98B535" w14:textId="77777777" w:rsidR="00000000" w:rsidRDefault="00405D16">
            <w:pPr>
              <w:spacing w:after="100"/>
              <w:jc w:val="right"/>
              <w:rPr>
                <w:rFonts w:eastAsia="Times New Roman"/>
              </w:rPr>
            </w:pPr>
            <w:r>
              <w:rPr>
                <w:rFonts w:eastAsia="Times New Roman"/>
                <w:b/>
                <w:bCs/>
                <w:color w:val="000000"/>
                <w:sz w:val="18"/>
                <w:szCs w:val="18"/>
              </w:rPr>
              <w:t>(825)</w:t>
            </w:r>
          </w:p>
        </w:tc>
        <w:tc>
          <w:tcPr>
            <w:tcW w:w="0" w:type="auto"/>
            <w:shd w:val="clear" w:color="auto" w:fill="CCEEFF"/>
            <w:tcMar>
              <w:top w:w="30" w:type="dxa"/>
              <w:left w:w="0" w:type="dxa"/>
              <w:bottom w:w="30" w:type="dxa"/>
              <w:right w:w="20" w:type="dxa"/>
            </w:tcMar>
            <w:vAlign w:val="center"/>
            <w:hideMark/>
          </w:tcPr>
          <w:p w14:paraId="796C7D0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05806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81B1FC5"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39E9F30" w14:textId="77777777" w:rsidR="00000000" w:rsidRDefault="00405D16">
            <w:pPr>
              <w:spacing w:after="100"/>
              <w:jc w:val="right"/>
              <w:rPr>
                <w:rFonts w:eastAsia="Times New Roman"/>
              </w:rPr>
            </w:pPr>
          </w:p>
        </w:tc>
      </w:tr>
      <w:tr w:rsidR="00000000" w14:paraId="286595C3" w14:textId="77777777">
        <w:tc>
          <w:tcPr>
            <w:tcW w:w="0" w:type="auto"/>
            <w:gridSpan w:val="3"/>
            <w:shd w:val="clear" w:color="auto" w:fill="FFFFFF"/>
            <w:tcMar>
              <w:top w:w="30" w:type="dxa"/>
              <w:left w:w="20" w:type="dxa"/>
              <w:bottom w:w="30" w:type="dxa"/>
              <w:right w:w="20" w:type="dxa"/>
            </w:tcMar>
            <w:vAlign w:val="center"/>
            <w:hideMark/>
          </w:tcPr>
          <w:p w14:paraId="790D0F3A" w14:textId="77777777" w:rsidR="00000000" w:rsidRDefault="00405D16">
            <w:pPr>
              <w:spacing w:after="100"/>
              <w:rPr>
                <w:rFonts w:eastAsia="Times New Roman"/>
              </w:rPr>
            </w:pPr>
            <w:r>
              <w:rPr>
                <w:rFonts w:eastAsia="Times New Roman"/>
                <w:color w:val="000000"/>
                <w:sz w:val="18"/>
                <w:szCs w:val="18"/>
              </w:rPr>
              <w:t>As of December 31, 2020</w:t>
            </w:r>
          </w:p>
        </w:tc>
        <w:tc>
          <w:tcPr>
            <w:tcW w:w="0" w:type="auto"/>
            <w:gridSpan w:val="3"/>
            <w:shd w:val="clear" w:color="auto" w:fill="FFFFFF"/>
            <w:tcMar>
              <w:top w:w="0" w:type="dxa"/>
              <w:left w:w="20" w:type="dxa"/>
              <w:bottom w:w="0" w:type="dxa"/>
              <w:right w:w="20" w:type="dxa"/>
            </w:tcMar>
            <w:vAlign w:val="center"/>
            <w:hideMark/>
          </w:tcPr>
          <w:p w14:paraId="050E2F11"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30508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8F25F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B0280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FD8B2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D16BB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1DCC4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33A61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77FE2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5DD55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CD524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DA3D12" w14:textId="77777777" w:rsidR="00000000" w:rsidRDefault="00405D16">
            <w:pPr>
              <w:spacing w:after="100"/>
              <w:rPr>
                <w:rFonts w:eastAsia="Times New Roman"/>
                <w:sz w:val="20"/>
                <w:szCs w:val="20"/>
              </w:rPr>
            </w:pPr>
          </w:p>
        </w:tc>
      </w:tr>
      <w:tr w:rsidR="00000000" w14:paraId="3777FFFE" w14:textId="77777777">
        <w:tc>
          <w:tcPr>
            <w:tcW w:w="0" w:type="auto"/>
            <w:gridSpan w:val="3"/>
            <w:shd w:val="clear" w:color="auto" w:fill="CCEEFF"/>
            <w:tcMar>
              <w:top w:w="30" w:type="dxa"/>
              <w:left w:w="20" w:type="dxa"/>
              <w:bottom w:w="30" w:type="dxa"/>
              <w:right w:w="20" w:type="dxa"/>
            </w:tcMar>
            <w:vAlign w:val="center"/>
            <w:hideMark/>
          </w:tcPr>
          <w:p w14:paraId="5C2F127C" w14:textId="77777777" w:rsidR="00000000" w:rsidRDefault="00405D16">
            <w:pPr>
              <w:spacing w:after="100"/>
              <w:divId w:val="346714858"/>
              <w:rPr>
                <w:rFonts w:eastAsia="Times New Roman"/>
              </w:rPr>
            </w:pPr>
            <w:r>
              <w:rPr>
                <w:rFonts w:eastAsia="Times New Roman"/>
                <w:color w:val="000000"/>
                <w:sz w:val="18"/>
                <w:szCs w:val="18"/>
              </w:rPr>
              <w:t>Derivative liabilitie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14E5052D"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10458EE" w14:textId="77777777" w:rsidR="00000000" w:rsidRDefault="00405D16">
            <w:pPr>
              <w:spacing w:after="100"/>
              <w:jc w:val="right"/>
              <w:rPr>
                <w:rFonts w:eastAsia="Times New Roman"/>
              </w:rPr>
            </w:pPr>
            <w:r>
              <w:rPr>
                <w:rFonts w:eastAsia="Times New Roman"/>
                <w:color w:val="000000"/>
                <w:sz w:val="18"/>
                <w:szCs w:val="18"/>
              </w:rPr>
              <w:t>1,518 </w:t>
            </w:r>
          </w:p>
        </w:tc>
        <w:tc>
          <w:tcPr>
            <w:tcW w:w="0" w:type="auto"/>
            <w:shd w:val="clear" w:color="auto" w:fill="CCEEFF"/>
            <w:tcMar>
              <w:top w:w="30" w:type="dxa"/>
              <w:left w:w="0" w:type="dxa"/>
              <w:bottom w:w="30" w:type="dxa"/>
              <w:right w:w="20" w:type="dxa"/>
            </w:tcMar>
            <w:vAlign w:val="center"/>
            <w:hideMark/>
          </w:tcPr>
          <w:p w14:paraId="0ED4642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13D14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450CD89" w14:textId="77777777" w:rsidR="00000000" w:rsidRDefault="00405D16">
            <w:pPr>
              <w:spacing w:after="100"/>
              <w:jc w:val="right"/>
              <w:rPr>
                <w:rFonts w:eastAsia="Times New Roman"/>
              </w:rPr>
            </w:pPr>
            <w:r>
              <w:rPr>
                <w:rFonts w:eastAsia="Times New Roman"/>
                <w:color w:val="000000"/>
                <w:sz w:val="18"/>
                <w:szCs w:val="18"/>
              </w:rPr>
              <w:t>(383)</w:t>
            </w:r>
          </w:p>
        </w:tc>
        <w:tc>
          <w:tcPr>
            <w:tcW w:w="0" w:type="auto"/>
            <w:shd w:val="clear" w:color="auto" w:fill="CCEEFF"/>
            <w:tcMar>
              <w:top w:w="30" w:type="dxa"/>
              <w:left w:w="0" w:type="dxa"/>
              <w:bottom w:w="30" w:type="dxa"/>
              <w:right w:w="20" w:type="dxa"/>
            </w:tcMar>
            <w:vAlign w:val="center"/>
            <w:hideMark/>
          </w:tcPr>
          <w:p w14:paraId="0AE9EFD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A1DFB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C116C6B" w14:textId="77777777" w:rsidR="00000000" w:rsidRDefault="00405D16">
            <w:pPr>
              <w:spacing w:after="100"/>
              <w:jc w:val="right"/>
              <w:rPr>
                <w:rFonts w:eastAsia="Times New Roman"/>
              </w:rPr>
            </w:pPr>
            <w:r>
              <w:rPr>
                <w:rFonts w:eastAsia="Times New Roman"/>
                <w:color w:val="000000"/>
                <w:sz w:val="18"/>
                <w:szCs w:val="18"/>
              </w:rPr>
              <w:t>(356)</w:t>
            </w:r>
          </w:p>
        </w:tc>
        <w:tc>
          <w:tcPr>
            <w:tcW w:w="0" w:type="auto"/>
            <w:shd w:val="clear" w:color="auto" w:fill="CCEEFF"/>
            <w:tcMar>
              <w:top w:w="30" w:type="dxa"/>
              <w:left w:w="0" w:type="dxa"/>
              <w:bottom w:w="30" w:type="dxa"/>
              <w:right w:w="20" w:type="dxa"/>
            </w:tcMar>
            <w:vAlign w:val="center"/>
            <w:hideMark/>
          </w:tcPr>
          <w:p w14:paraId="63790A0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82A17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F79DDF2" w14:textId="77777777" w:rsidR="00000000" w:rsidRDefault="00405D16">
            <w:pPr>
              <w:spacing w:after="100"/>
              <w:jc w:val="right"/>
              <w:rPr>
                <w:rFonts w:eastAsia="Times New Roman"/>
              </w:rPr>
            </w:pPr>
            <w:r>
              <w:rPr>
                <w:rFonts w:eastAsia="Times New Roman"/>
                <w:color w:val="000000"/>
                <w:sz w:val="18"/>
                <w:szCs w:val="18"/>
              </w:rPr>
              <w:t>779 </w:t>
            </w:r>
          </w:p>
        </w:tc>
        <w:tc>
          <w:tcPr>
            <w:tcW w:w="0" w:type="auto"/>
            <w:shd w:val="clear" w:color="auto" w:fill="CCEEFF"/>
            <w:tcMar>
              <w:top w:w="30" w:type="dxa"/>
              <w:left w:w="0" w:type="dxa"/>
              <w:bottom w:w="30" w:type="dxa"/>
              <w:right w:w="20" w:type="dxa"/>
            </w:tcMar>
            <w:vAlign w:val="center"/>
            <w:hideMark/>
          </w:tcPr>
          <w:p w14:paraId="31448D3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E9697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E7EE951"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15C9BD6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736DA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241C48F" w14:textId="77777777" w:rsidR="00000000" w:rsidRDefault="00405D16">
            <w:pPr>
              <w:spacing w:after="100"/>
              <w:jc w:val="right"/>
              <w:rPr>
                <w:rFonts w:eastAsia="Times New Roman"/>
              </w:rPr>
            </w:pPr>
            <w:r>
              <w:rPr>
                <w:rFonts w:eastAsia="Times New Roman"/>
                <w:color w:val="000000"/>
                <w:sz w:val="18"/>
                <w:szCs w:val="18"/>
              </w:rPr>
              <w:t>779 </w:t>
            </w:r>
          </w:p>
        </w:tc>
        <w:tc>
          <w:tcPr>
            <w:tcW w:w="0" w:type="auto"/>
            <w:shd w:val="clear" w:color="auto" w:fill="CCEEFF"/>
            <w:tcMar>
              <w:top w:w="30" w:type="dxa"/>
              <w:left w:w="0" w:type="dxa"/>
              <w:bottom w:w="30" w:type="dxa"/>
              <w:right w:w="20" w:type="dxa"/>
            </w:tcMar>
            <w:vAlign w:val="center"/>
            <w:hideMark/>
          </w:tcPr>
          <w:p w14:paraId="501E5A38" w14:textId="77777777" w:rsidR="00000000" w:rsidRDefault="00405D16">
            <w:pPr>
              <w:spacing w:after="100"/>
              <w:jc w:val="right"/>
              <w:rPr>
                <w:rFonts w:eastAsia="Times New Roman"/>
              </w:rPr>
            </w:pPr>
          </w:p>
        </w:tc>
      </w:tr>
      <w:tr w:rsidR="00000000" w14:paraId="7F086715" w14:textId="77777777">
        <w:tc>
          <w:tcPr>
            <w:tcW w:w="0" w:type="auto"/>
            <w:gridSpan w:val="3"/>
            <w:shd w:val="clear" w:color="auto" w:fill="FFFFFF"/>
            <w:tcMar>
              <w:top w:w="30" w:type="dxa"/>
              <w:left w:w="20" w:type="dxa"/>
              <w:bottom w:w="30" w:type="dxa"/>
              <w:right w:w="20" w:type="dxa"/>
            </w:tcMar>
            <w:vAlign w:val="center"/>
            <w:hideMark/>
          </w:tcPr>
          <w:p w14:paraId="11A49176" w14:textId="77777777" w:rsidR="00000000" w:rsidRDefault="00405D16">
            <w:pPr>
              <w:spacing w:after="100"/>
              <w:divId w:val="728649945"/>
              <w:rPr>
                <w:rFonts w:eastAsia="Times New Roman"/>
              </w:rPr>
            </w:pPr>
            <w:r>
              <w:rPr>
                <w:rFonts w:eastAsia="Times New Roman"/>
                <w:color w:val="000000"/>
                <w:sz w:val="18"/>
                <w:szCs w:val="18"/>
              </w:rPr>
              <w:t>Repurchase agreement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716D1BB4"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1CCBF4E" w14:textId="77777777" w:rsidR="00000000" w:rsidRDefault="00405D16">
            <w:pPr>
              <w:spacing w:after="100"/>
              <w:jc w:val="right"/>
              <w:rPr>
                <w:rFonts w:eastAsia="Times New Roman"/>
              </w:rPr>
            </w:pPr>
            <w:r>
              <w:rPr>
                <w:rFonts w:eastAsia="Times New Roman"/>
                <w:color w:val="000000"/>
                <w:sz w:val="18"/>
                <w:szCs w:val="18"/>
              </w:rPr>
              <w:t>668 </w:t>
            </w:r>
          </w:p>
        </w:tc>
        <w:tc>
          <w:tcPr>
            <w:tcW w:w="0" w:type="auto"/>
            <w:shd w:val="clear" w:color="auto" w:fill="FFFFFF"/>
            <w:tcMar>
              <w:top w:w="30" w:type="dxa"/>
              <w:left w:w="0" w:type="dxa"/>
              <w:bottom w:w="30" w:type="dxa"/>
              <w:right w:w="20" w:type="dxa"/>
            </w:tcMar>
            <w:vAlign w:val="center"/>
            <w:hideMark/>
          </w:tcPr>
          <w:p w14:paraId="26D3D10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05D9A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67B8E52"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6D0FB18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1AB52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1A37D3E"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68088D9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2C9A1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91F7190" w14:textId="77777777" w:rsidR="00000000" w:rsidRDefault="00405D16">
            <w:pPr>
              <w:spacing w:after="100"/>
              <w:jc w:val="right"/>
              <w:rPr>
                <w:rFonts w:eastAsia="Times New Roman"/>
              </w:rPr>
            </w:pPr>
            <w:r>
              <w:rPr>
                <w:rFonts w:eastAsia="Times New Roman"/>
                <w:color w:val="000000"/>
                <w:sz w:val="18"/>
                <w:szCs w:val="18"/>
              </w:rPr>
              <w:t>668 </w:t>
            </w:r>
          </w:p>
        </w:tc>
        <w:tc>
          <w:tcPr>
            <w:tcW w:w="0" w:type="auto"/>
            <w:shd w:val="clear" w:color="auto" w:fill="FFFFFF"/>
            <w:tcMar>
              <w:top w:w="30" w:type="dxa"/>
              <w:left w:w="0" w:type="dxa"/>
              <w:bottom w:w="30" w:type="dxa"/>
              <w:right w:w="20" w:type="dxa"/>
            </w:tcMar>
            <w:vAlign w:val="center"/>
            <w:hideMark/>
          </w:tcPr>
          <w:p w14:paraId="7654970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32A8B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07FE8FA" w14:textId="77777777" w:rsidR="00000000" w:rsidRDefault="00405D16">
            <w:pPr>
              <w:spacing w:after="100"/>
              <w:jc w:val="right"/>
              <w:rPr>
                <w:rFonts w:eastAsia="Times New Roman"/>
              </w:rPr>
            </w:pPr>
            <w:r>
              <w:rPr>
                <w:rFonts w:eastAsia="Times New Roman"/>
                <w:color w:val="000000"/>
                <w:sz w:val="18"/>
                <w:szCs w:val="18"/>
              </w:rPr>
              <w:t>(668)</w:t>
            </w:r>
          </w:p>
        </w:tc>
        <w:tc>
          <w:tcPr>
            <w:tcW w:w="0" w:type="auto"/>
            <w:shd w:val="clear" w:color="auto" w:fill="FFFFFF"/>
            <w:tcMar>
              <w:top w:w="30" w:type="dxa"/>
              <w:left w:w="0" w:type="dxa"/>
              <w:bottom w:w="30" w:type="dxa"/>
              <w:right w:w="20" w:type="dxa"/>
            </w:tcMar>
            <w:vAlign w:val="center"/>
            <w:hideMark/>
          </w:tcPr>
          <w:p w14:paraId="4619668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7F539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AB6812D"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56867376" w14:textId="77777777" w:rsidR="00000000" w:rsidRDefault="00405D16">
            <w:pPr>
              <w:spacing w:after="100"/>
              <w:jc w:val="right"/>
              <w:rPr>
                <w:rFonts w:eastAsia="Times New Roman"/>
              </w:rPr>
            </w:pPr>
          </w:p>
        </w:tc>
      </w:tr>
    </w:tbl>
    <w:p w14:paraId="00677C15" w14:textId="77777777" w:rsidR="00000000" w:rsidRDefault="00405D16">
      <w:pPr>
        <w:rPr>
          <w:rFonts w:eastAsia="Times New Roman"/>
        </w:rPr>
      </w:pPr>
      <w:r>
        <w:rPr>
          <w:rFonts w:eastAsia="Times New Roman"/>
          <w:color w:val="000000"/>
          <w:sz w:val="20"/>
          <w:szCs w:val="20"/>
        </w:rPr>
        <w:t>__________</w:t>
      </w:r>
    </w:p>
    <w:p w14:paraId="1D0FD107" w14:textId="77777777" w:rsidR="00000000" w:rsidRDefault="00405D16">
      <w:pPr>
        <w:ind w:hanging="360"/>
        <w:jc w:val="both"/>
        <w:divId w:val="1770150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received cash collateral from derivative counterparties totaling $653 million and $862 million as of September 30, 2021 and December 31, 2020, respectively. We also rec</w:t>
      </w:r>
      <w:r>
        <w:rPr>
          <w:rFonts w:eastAsia="Times New Roman"/>
          <w:color w:val="000000"/>
          <w:sz w:val="16"/>
          <w:szCs w:val="16"/>
        </w:rPr>
        <w:t>eived securities from derivative counterparties with a fair value of approximately $1 million as of both September 30, 2021 and December 31, 2020, respectively, which we have the ability to re-pledge. We posted $2.5 billion and $1.5 billion of cash collate</w:t>
      </w:r>
      <w:r>
        <w:rPr>
          <w:rFonts w:eastAsia="Times New Roman"/>
          <w:color w:val="000000"/>
          <w:sz w:val="16"/>
          <w:szCs w:val="16"/>
        </w:rPr>
        <w:t>ral as of September 30, 2021 and December 31, 2020, respectively.</w:t>
      </w:r>
    </w:p>
    <w:p w14:paraId="02D2B125" w14:textId="77777777" w:rsidR="00000000" w:rsidRDefault="00405D16">
      <w:pPr>
        <w:ind w:hanging="360"/>
        <w:jc w:val="both"/>
        <w:divId w:val="1290282497"/>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Under our customer repurchase agreements, which mature the next business day, we pledged collateral with a fair value of $842 million and $682 million as of September 30, 2021 and Decembe</w:t>
      </w:r>
      <w:r>
        <w:rPr>
          <w:rFonts w:eastAsia="Times New Roman"/>
          <w:color w:val="000000"/>
          <w:sz w:val="16"/>
          <w:szCs w:val="16"/>
        </w:rPr>
        <w:t>r 31, 2020, respectively, primarily consisting of agency RMBS securities.</w:t>
      </w:r>
    </w:p>
    <w:p w14:paraId="67E291C2" w14:textId="77777777" w:rsidR="00000000" w:rsidRDefault="00405D16">
      <w:pPr>
        <w:divId w:val="1980980"/>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5312CB7B" w14:textId="77777777">
        <w:trPr>
          <w:divId w:val="256445687"/>
          <w:jc w:val="center"/>
        </w:trPr>
        <w:tc>
          <w:tcPr>
            <w:tcW w:w="50" w:type="pct"/>
            <w:vAlign w:val="center"/>
            <w:hideMark/>
          </w:tcPr>
          <w:p w14:paraId="79FEBDF4" w14:textId="77777777" w:rsidR="00000000" w:rsidRDefault="00405D16">
            <w:pPr>
              <w:rPr>
                <w:rFonts w:eastAsia="Times New Roman"/>
              </w:rPr>
            </w:pPr>
          </w:p>
        </w:tc>
        <w:tc>
          <w:tcPr>
            <w:tcW w:w="1606" w:type="pct"/>
            <w:vAlign w:val="center"/>
            <w:hideMark/>
          </w:tcPr>
          <w:p w14:paraId="3CCA41DC" w14:textId="77777777" w:rsidR="00000000" w:rsidRDefault="00405D16">
            <w:pPr>
              <w:spacing w:after="100"/>
              <w:rPr>
                <w:rFonts w:eastAsia="Times New Roman"/>
                <w:sz w:val="20"/>
                <w:szCs w:val="20"/>
              </w:rPr>
            </w:pPr>
          </w:p>
        </w:tc>
        <w:tc>
          <w:tcPr>
            <w:tcW w:w="5" w:type="pct"/>
            <w:vAlign w:val="center"/>
            <w:hideMark/>
          </w:tcPr>
          <w:p w14:paraId="364D7774" w14:textId="77777777" w:rsidR="00000000" w:rsidRDefault="00405D16">
            <w:pPr>
              <w:spacing w:after="100"/>
              <w:rPr>
                <w:rFonts w:eastAsia="Times New Roman"/>
                <w:sz w:val="20"/>
                <w:szCs w:val="20"/>
              </w:rPr>
            </w:pPr>
          </w:p>
        </w:tc>
        <w:tc>
          <w:tcPr>
            <w:tcW w:w="50" w:type="pct"/>
            <w:vAlign w:val="center"/>
            <w:hideMark/>
          </w:tcPr>
          <w:p w14:paraId="54EC7182" w14:textId="77777777" w:rsidR="00000000" w:rsidRDefault="00405D16">
            <w:pPr>
              <w:spacing w:after="100"/>
              <w:rPr>
                <w:rFonts w:eastAsia="Times New Roman"/>
                <w:sz w:val="20"/>
                <w:szCs w:val="20"/>
              </w:rPr>
            </w:pPr>
          </w:p>
        </w:tc>
        <w:tc>
          <w:tcPr>
            <w:tcW w:w="1614" w:type="pct"/>
            <w:vAlign w:val="center"/>
            <w:hideMark/>
          </w:tcPr>
          <w:p w14:paraId="0DCB764D" w14:textId="77777777" w:rsidR="00000000" w:rsidRDefault="00405D16">
            <w:pPr>
              <w:spacing w:after="100"/>
              <w:rPr>
                <w:rFonts w:eastAsia="Times New Roman"/>
                <w:sz w:val="20"/>
                <w:szCs w:val="20"/>
              </w:rPr>
            </w:pPr>
          </w:p>
        </w:tc>
        <w:tc>
          <w:tcPr>
            <w:tcW w:w="5" w:type="pct"/>
            <w:vAlign w:val="center"/>
            <w:hideMark/>
          </w:tcPr>
          <w:p w14:paraId="518614EE" w14:textId="77777777" w:rsidR="00000000" w:rsidRDefault="00405D16">
            <w:pPr>
              <w:spacing w:after="100"/>
              <w:rPr>
                <w:rFonts w:eastAsia="Times New Roman"/>
                <w:sz w:val="20"/>
                <w:szCs w:val="20"/>
              </w:rPr>
            </w:pPr>
          </w:p>
        </w:tc>
        <w:tc>
          <w:tcPr>
            <w:tcW w:w="50" w:type="pct"/>
            <w:vAlign w:val="center"/>
            <w:hideMark/>
          </w:tcPr>
          <w:p w14:paraId="1FDDC7B4" w14:textId="77777777" w:rsidR="00000000" w:rsidRDefault="00405D16">
            <w:pPr>
              <w:spacing w:after="100"/>
              <w:rPr>
                <w:rFonts w:eastAsia="Times New Roman"/>
                <w:sz w:val="20"/>
                <w:szCs w:val="20"/>
              </w:rPr>
            </w:pPr>
          </w:p>
        </w:tc>
        <w:tc>
          <w:tcPr>
            <w:tcW w:w="1614" w:type="pct"/>
            <w:vAlign w:val="center"/>
            <w:hideMark/>
          </w:tcPr>
          <w:p w14:paraId="1A4304AF" w14:textId="77777777" w:rsidR="00000000" w:rsidRDefault="00405D16">
            <w:pPr>
              <w:spacing w:after="100"/>
              <w:rPr>
                <w:rFonts w:eastAsia="Times New Roman"/>
                <w:sz w:val="20"/>
                <w:szCs w:val="20"/>
              </w:rPr>
            </w:pPr>
          </w:p>
        </w:tc>
        <w:tc>
          <w:tcPr>
            <w:tcW w:w="5" w:type="pct"/>
            <w:vAlign w:val="center"/>
            <w:hideMark/>
          </w:tcPr>
          <w:p w14:paraId="18175B35" w14:textId="77777777" w:rsidR="00000000" w:rsidRDefault="00405D16">
            <w:pPr>
              <w:spacing w:after="100"/>
              <w:rPr>
                <w:rFonts w:eastAsia="Times New Roman"/>
                <w:sz w:val="20"/>
                <w:szCs w:val="20"/>
              </w:rPr>
            </w:pPr>
          </w:p>
        </w:tc>
      </w:tr>
      <w:tr w:rsidR="00000000" w14:paraId="2AEAD90A" w14:textId="77777777">
        <w:trPr>
          <w:divId w:val="256445687"/>
          <w:trHeight w:val="300"/>
          <w:jc w:val="center"/>
        </w:trPr>
        <w:tc>
          <w:tcPr>
            <w:tcW w:w="0" w:type="auto"/>
            <w:gridSpan w:val="9"/>
            <w:tcMar>
              <w:top w:w="0" w:type="dxa"/>
              <w:left w:w="20" w:type="dxa"/>
              <w:bottom w:w="0" w:type="dxa"/>
              <w:right w:w="20" w:type="dxa"/>
            </w:tcMar>
            <w:vAlign w:val="center"/>
            <w:hideMark/>
          </w:tcPr>
          <w:p w14:paraId="1315159D" w14:textId="77777777" w:rsidR="00000000" w:rsidRDefault="00405D16">
            <w:pPr>
              <w:spacing w:after="100"/>
              <w:rPr>
                <w:rFonts w:eastAsia="Times New Roman"/>
                <w:sz w:val="20"/>
                <w:szCs w:val="20"/>
              </w:rPr>
            </w:pPr>
          </w:p>
        </w:tc>
      </w:tr>
      <w:tr w:rsidR="00000000" w14:paraId="47877678" w14:textId="77777777">
        <w:trPr>
          <w:divId w:val="256445687"/>
          <w:jc w:val="center"/>
        </w:trPr>
        <w:tc>
          <w:tcPr>
            <w:tcW w:w="0" w:type="auto"/>
            <w:gridSpan w:val="3"/>
            <w:tcMar>
              <w:top w:w="0" w:type="dxa"/>
              <w:left w:w="20" w:type="dxa"/>
              <w:bottom w:w="0" w:type="dxa"/>
              <w:right w:w="20" w:type="dxa"/>
            </w:tcMar>
            <w:vAlign w:val="center"/>
            <w:hideMark/>
          </w:tcPr>
          <w:p w14:paraId="0E952688"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AF3F757" w14:textId="77777777" w:rsidR="00000000" w:rsidRDefault="00405D16">
            <w:pPr>
              <w:spacing w:after="100"/>
              <w:jc w:val="center"/>
              <w:rPr>
                <w:rFonts w:eastAsia="Times New Roman"/>
              </w:rPr>
            </w:pPr>
            <w:r>
              <w:rPr>
                <w:rFonts w:eastAsia="Times New Roman"/>
                <w:color w:val="000000"/>
                <w:sz w:val="16"/>
                <w:szCs w:val="16"/>
              </w:rPr>
              <w:t>106</w:t>
            </w:r>
          </w:p>
        </w:tc>
        <w:tc>
          <w:tcPr>
            <w:tcW w:w="0" w:type="auto"/>
            <w:gridSpan w:val="3"/>
            <w:tcMar>
              <w:top w:w="30" w:type="dxa"/>
              <w:left w:w="20" w:type="dxa"/>
              <w:bottom w:w="30" w:type="dxa"/>
              <w:right w:w="20" w:type="dxa"/>
            </w:tcMar>
            <w:vAlign w:val="bottom"/>
            <w:hideMark/>
          </w:tcPr>
          <w:p w14:paraId="4C648678"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32D8C15F" w14:textId="77777777" w:rsidR="00000000" w:rsidRDefault="00405D16">
      <w:pPr>
        <w:rPr>
          <w:rFonts w:eastAsia="Times New Roman"/>
        </w:rPr>
      </w:pPr>
      <w:r>
        <w:rPr>
          <w:rFonts w:eastAsia="Times New Roman"/>
        </w:rPr>
        <w:pict w14:anchorId="138EE548">
          <v:rect id="_x0000_i1131" style="width:0;height:1.5pt" o:hralign="center" o:hrstd="t" o:hr="t" fillcolor="#a0a0a0" stroked="f"/>
        </w:pict>
      </w:r>
    </w:p>
    <w:p w14:paraId="407F22F1" w14:textId="77777777" w:rsidR="00000000" w:rsidRDefault="00405D16">
      <w:pPr>
        <w:jc w:val="both"/>
        <w:divId w:val="469641368"/>
        <w:rPr>
          <w:rFonts w:eastAsia="Times New Roman"/>
        </w:rPr>
      </w:pPr>
      <w:hyperlink w:anchor="idd54a04a485440b4ab4e56094c14d612_13" w:history="1">
        <w:r>
          <w:rPr>
            <w:rStyle w:val="a3"/>
            <w:rFonts w:eastAsia="Times New Roman"/>
            <w:sz w:val="16"/>
            <w:szCs w:val="16"/>
          </w:rPr>
          <w:t>Table of Contents</w:t>
        </w:r>
      </w:hyperlink>
    </w:p>
    <w:p w14:paraId="686C51B0" w14:textId="77777777" w:rsidR="00000000" w:rsidRDefault="00405D16">
      <w:pPr>
        <w:jc w:val="center"/>
        <w:divId w:val="469641368"/>
        <w:rPr>
          <w:rFonts w:eastAsia="Times New Roman"/>
        </w:rPr>
      </w:pPr>
    </w:p>
    <w:p w14:paraId="1E86BA7C" w14:textId="77777777" w:rsidR="00000000" w:rsidRDefault="00405D16">
      <w:pPr>
        <w:divId w:val="1727339860"/>
        <w:rPr>
          <w:rFonts w:eastAsia="Times New Roman"/>
        </w:rPr>
      </w:pPr>
      <w:r>
        <w:rPr>
          <w:rFonts w:eastAsia="Times New Roman"/>
          <w:b/>
          <w:bCs/>
          <w:color w:val="000000"/>
          <w:sz w:val="20"/>
          <w:szCs w:val="20"/>
        </w:rPr>
        <w:t>Income Statement and AOCI Presentation</w:t>
      </w:r>
    </w:p>
    <w:p w14:paraId="31ACEFF4" w14:textId="77777777" w:rsidR="00000000" w:rsidRDefault="00405D16">
      <w:pPr>
        <w:divId w:val="580484757"/>
        <w:rPr>
          <w:rFonts w:eastAsia="Times New Roman"/>
        </w:rPr>
      </w:pPr>
      <w:r>
        <w:rPr>
          <w:rFonts w:eastAsia="Times New Roman"/>
          <w:b/>
          <w:bCs/>
          <w:i/>
          <w:iCs/>
          <w:color w:val="000000"/>
          <w:sz w:val="20"/>
          <w:szCs w:val="20"/>
        </w:rPr>
        <w:t>Fair Value and Cash Flow Hedges</w:t>
      </w:r>
    </w:p>
    <w:p w14:paraId="527E335D" w14:textId="77777777" w:rsidR="00000000" w:rsidRDefault="00405D16">
      <w:pPr>
        <w:jc w:val="both"/>
        <w:divId w:val="1334718390"/>
        <w:rPr>
          <w:rFonts w:eastAsia="Times New Roman"/>
        </w:rPr>
      </w:pPr>
      <w:r>
        <w:rPr>
          <w:rFonts w:eastAsia="Times New Roman"/>
          <w:color w:val="000000"/>
          <w:sz w:val="20"/>
          <w:szCs w:val="20"/>
        </w:rPr>
        <w:t xml:space="preserve">The net gains (losses) recognized in our consolidated statements of income related to derivatives in fair value and cash flow hedging relationships are presented below for the three and nine months ended September 30, 2021 and 2020. </w:t>
      </w:r>
    </w:p>
    <w:p w14:paraId="4E855AD0" w14:textId="77777777" w:rsidR="00000000" w:rsidRDefault="00405D16">
      <w:pPr>
        <w:divId w:val="1880970381"/>
        <w:rPr>
          <w:rFonts w:eastAsia="Times New Roman"/>
        </w:rPr>
      </w:pPr>
      <w:r>
        <w:rPr>
          <w:rFonts w:eastAsia="Times New Roman"/>
          <w:b/>
          <w:bCs/>
          <w:color w:val="000000"/>
          <w:sz w:val="18"/>
          <w:szCs w:val="18"/>
        </w:rPr>
        <w:t xml:space="preserve">Table 8.4: Effects of </w:t>
      </w:r>
      <w:r>
        <w:rPr>
          <w:rFonts w:eastAsia="Times New Roman"/>
          <w:b/>
          <w:bCs/>
          <w:color w:val="000000"/>
          <w:sz w:val="18"/>
          <w:szCs w:val="18"/>
        </w:rPr>
        <w:t>Fair Value and Cash Flow Hedge Accounting</w:t>
      </w:r>
    </w:p>
    <w:tbl>
      <w:tblPr>
        <w:tblW w:w="5000" w:type="pct"/>
        <w:tblCellMar>
          <w:top w:w="15" w:type="dxa"/>
          <w:left w:w="15" w:type="dxa"/>
          <w:bottom w:w="15" w:type="dxa"/>
          <w:right w:w="15" w:type="dxa"/>
        </w:tblCellMar>
        <w:tblLook w:val="04A0" w:firstRow="1" w:lastRow="0" w:firstColumn="1" w:lastColumn="0" w:noHBand="0" w:noVBand="1"/>
      </w:tblPr>
      <w:tblGrid>
        <w:gridCol w:w="54"/>
        <w:gridCol w:w="1698"/>
        <w:gridCol w:w="39"/>
        <w:gridCol w:w="36"/>
        <w:gridCol w:w="36"/>
        <w:gridCol w:w="36"/>
        <w:gridCol w:w="111"/>
        <w:gridCol w:w="720"/>
        <w:gridCol w:w="36"/>
        <w:gridCol w:w="36"/>
        <w:gridCol w:w="36"/>
        <w:gridCol w:w="36"/>
        <w:gridCol w:w="111"/>
        <w:gridCol w:w="625"/>
        <w:gridCol w:w="36"/>
        <w:gridCol w:w="36"/>
        <w:gridCol w:w="36"/>
        <w:gridCol w:w="36"/>
        <w:gridCol w:w="111"/>
        <w:gridCol w:w="615"/>
        <w:gridCol w:w="36"/>
        <w:gridCol w:w="36"/>
        <w:gridCol w:w="36"/>
        <w:gridCol w:w="36"/>
        <w:gridCol w:w="111"/>
        <w:gridCol w:w="646"/>
        <w:gridCol w:w="36"/>
        <w:gridCol w:w="36"/>
        <w:gridCol w:w="36"/>
        <w:gridCol w:w="36"/>
        <w:gridCol w:w="111"/>
        <w:gridCol w:w="743"/>
        <w:gridCol w:w="36"/>
        <w:gridCol w:w="36"/>
        <w:gridCol w:w="36"/>
        <w:gridCol w:w="36"/>
        <w:gridCol w:w="111"/>
        <w:gridCol w:w="871"/>
        <w:gridCol w:w="36"/>
        <w:gridCol w:w="36"/>
        <w:gridCol w:w="36"/>
        <w:gridCol w:w="36"/>
        <w:gridCol w:w="111"/>
        <w:gridCol w:w="510"/>
        <w:gridCol w:w="36"/>
      </w:tblGrid>
      <w:tr w:rsidR="00000000" w14:paraId="1F660ACF" w14:textId="77777777">
        <w:trPr>
          <w:divId w:val="442530170"/>
        </w:trPr>
        <w:tc>
          <w:tcPr>
            <w:tcW w:w="50" w:type="pct"/>
            <w:vAlign w:val="center"/>
            <w:hideMark/>
          </w:tcPr>
          <w:p w14:paraId="6CF9CA35" w14:textId="77777777" w:rsidR="00000000" w:rsidRDefault="00405D16">
            <w:pPr>
              <w:rPr>
                <w:rFonts w:eastAsia="Times New Roman"/>
              </w:rPr>
            </w:pPr>
          </w:p>
        </w:tc>
        <w:tc>
          <w:tcPr>
            <w:tcW w:w="1085" w:type="pct"/>
            <w:vAlign w:val="center"/>
            <w:hideMark/>
          </w:tcPr>
          <w:p w14:paraId="45CF3BA1" w14:textId="77777777" w:rsidR="00000000" w:rsidRDefault="00405D16">
            <w:pPr>
              <w:spacing w:after="100"/>
              <w:rPr>
                <w:rFonts w:eastAsia="Times New Roman"/>
                <w:sz w:val="20"/>
                <w:szCs w:val="20"/>
              </w:rPr>
            </w:pPr>
          </w:p>
        </w:tc>
        <w:tc>
          <w:tcPr>
            <w:tcW w:w="5" w:type="pct"/>
            <w:vAlign w:val="center"/>
            <w:hideMark/>
          </w:tcPr>
          <w:p w14:paraId="3A2F6A61" w14:textId="77777777" w:rsidR="00000000" w:rsidRDefault="00405D16">
            <w:pPr>
              <w:spacing w:after="100"/>
              <w:rPr>
                <w:rFonts w:eastAsia="Times New Roman"/>
                <w:sz w:val="20"/>
                <w:szCs w:val="20"/>
              </w:rPr>
            </w:pPr>
          </w:p>
        </w:tc>
        <w:tc>
          <w:tcPr>
            <w:tcW w:w="5" w:type="pct"/>
            <w:vAlign w:val="center"/>
            <w:hideMark/>
          </w:tcPr>
          <w:p w14:paraId="4810CB60" w14:textId="77777777" w:rsidR="00000000" w:rsidRDefault="00405D16">
            <w:pPr>
              <w:spacing w:after="100"/>
              <w:rPr>
                <w:rFonts w:eastAsia="Times New Roman"/>
                <w:sz w:val="20"/>
                <w:szCs w:val="20"/>
              </w:rPr>
            </w:pPr>
          </w:p>
        </w:tc>
        <w:tc>
          <w:tcPr>
            <w:tcW w:w="26" w:type="pct"/>
            <w:vAlign w:val="center"/>
            <w:hideMark/>
          </w:tcPr>
          <w:p w14:paraId="47570E4C" w14:textId="77777777" w:rsidR="00000000" w:rsidRDefault="00405D16">
            <w:pPr>
              <w:spacing w:after="100"/>
              <w:rPr>
                <w:rFonts w:eastAsia="Times New Roman"/>
                <w:sz w:val="20"/>
                <w:szCs w:val="20"/>
              </w:rPr>
            </w:pPr>
          </w:p>
        </w:tc>
        <w:tc>
          <w:tcPr>
            <w:tcW w:w="5" w:type="pct"/>
            <w:vAlign w:val="center"/>
            <w:hideMark/>
          </w:tcPr>
          <w:p w14:paraId="71CC4D14" w14:textId="77777777" w:rsidR="00000000" w:rsidRDefault="00405D16">
            <w:pPr>
              <w:spacing w:after="100"/>
              <w:rPr>
                <w:rFonts w:eastAsia="Times New Roman"/>
                <w:sz w:val="20"/>
                <w:szCs w:val="20"/>
              </w:rPr>
            </w:pPr>
          </w:p>
        </w:tc>
        <w:tc>
          <w:tcPr>
            <w:tcW w:w="50" w:type="pct"/>
            <w:vAlign w:val="center"/>
            <w:hideMark/>
          </w:tcPr>
          <w:p w14:paraId="45B5DF71" w14:textId="77777777" w:rsidR="00000000" w:rsidRDefault="00405D16">
            <w:pPr>
              <w:spacing w:after="100"/>
              <w:rPr>
                <w:rFonts w:eastAsia="Times New Roman"/>
                <w:sz w:val="20"/>
                <w:szCs w:val="20"/>
              </w:rPr>
            </w:pPr>
          </w:p>
        </w:tc>
        <w:tc>
          <w:tcPr>
            <w:tcW w:w="464" w:type="pct"/>
            <w:vAlign w:val="center"/>
            <w:hideMark/>
          </w:tcPr>
          <w:p w14:paraId="6D49D088" w14:textId="77777777" w:rsidR="00000000" w:rsidRDefault="00405D16">
            <w:pPr>
              <w:spacing w:after="100"/>
              <w:rPr>
                <w:rFonts w:eastAsia="Times New Roman"/>
                <w:sz w:val="20"/>
                <w:szCs w:val="20"/>
              </w:rPr>
            </w:pPr>
          </w:p>
        </w:tc>
        <w:tc>
          <w:tcPr>
            <w:tcW w:w="5" w:type="pct"/>
            <w:vAlign w:val="center"/>
            <w:hideMark/>
          </w:tcPr>
          <w:p w14:paraId="43D1F37B" w14:textId="77777777" w:rsidR="00000000" w:rsidRDefault="00405D16">
            <w:pPr>
              <w:spacing w:after="100"/>
              <w:rPr>
                <w:rFonts w:eastAsia="Times New Roman"/>
                <w:sz w:val="20"/>
                <w:szCs w:val="20"/>
              </w:rPr>
            </w:pPr>
          </w:p>
        </w:tc>
        <w:tc>
          <w:tcPr>
            <w:tcW w:w="5" w:type="pct"/>
            <w:vAlign w:val="center"/>
            <w:hideMark/>
          </w:tcPr>
          <w:p w14:paraId="68769C1C" w14:textId="77777777" w:rsidR="00000000" w:rsidRDefault="00405D16">
            <w:pPr>
              <w:spacing w:after="100"/>
              <w:rPr>
                <w:rFonts w:eastAsia="Times New Roman"/>
                <w:sz w:val="20"/>
                <w:szCs w:val="20"/>
              </w:rPr>
            </w:pPr>
          </w:p>
        </w:tc>
        <w:tc>
          <w:tcPr>
            <w:tcW w:w="26" w:type="pct"/>
            <w:vAlign w:val="center"/>
            <w:hideMark/>
          </w:tcPr>
          <w:p w14:paraId="294FC3A0" w14:textId="77777777" w:rsidR="00000000" w:rsidRDefault="00405D16">
            <w:pPr>
              <w:spacing w:after="100"/>
              <w:rPr>
                <w:rFonts w:eastAsia="Times New Roman"/>
                <w:sz w:val="20"/>
                <w:szCs w:val="20"/>
              </w:rPr>
            </w:pPr>
          </w:p>
        </w:tc>
        <w:tc>
          <w:tcPr>
            <w:tcW w:w="5" w:type="pct"/>
            <w:vAlign w:val="center"/>
            <w:hideMark/>
          </w:tcPr>
          <w:p w14:paraId="7410A8B7" w14:textId="77777777" w:rsidR="00000000" w:rsidRDefault="00405D16">
            <w:pPr>
              <w:spacing w:after="100"/>
              <w:rPr>
                <w:rFonts w:eastAsia="Times New Roman"/>
                <w:sz w:val="20"/>
                <w:szCs w:val="20"/>
              </w:rPr>
            </w:pPr>
          </w:p>
        </w:tc>
        <w:tc>
          <w:tcPr>
            <w:tcW w:w="50" w:type="pct"/>
            <w:vAlign w:val="center"/>
            <w:hideMark/>
          </w:tcPr>
          <w:p w14:paraId="3E255B48" w14:textId="77777777" w:rsidR="00000000" w:rsidRDefault="00405D16">
            <w:pPr>
              <w:spacing w:after="100"/>
              <w:rPr>
                <w:rFonts w:eastAsia="Times New Roman"/>
                <w:sz w:val="20"/>
                <w:szCs w:val="20"/>
              </w:rPr>
            </w:pPr>
          </w:p>
        </w:tc>
        <w:tc>
          <w:tcPr>
            <w:tcW w:w="464" w:type="pct"/>
            <w:vAlign w:val="center"/>
            <w:hideMark/>
          </w:tcPr>
          <w:p w14:paraId="3A2BBB17" w14:textId="77777777" w:rsidR="00000000" w:rsidRDefault="00405D16">
            <w:pPr>
              <w:spacing w:after="100"/>
              <w:rPr>
                <w:rFonts w:eastAsia="Times New Roman"/>
                <w:sz w:val="20"/>
                <w:szCs w:val="20"/>
              </w:rPr>
            </w:pPr>
          </w:p>
        </w:tc>
        <w:tc>
          <w:tcPr>
            <w:tcW w:w="5" w:type="pct"/>
            <w:vAlign w:val="center"/>
            <w:hideMark/>
          </w:tcPr>
          <w:p w14:paraId="3AB52458" w14:textId="77777777" w:rsidR="00000000" w:rsidRDefault="00405D16">
            <w:pPr>
              <w:spacing w:after="100"/>
              <w:rPr>
                <w:rFonts w:eastAsia="Times New Roman"/>
                <w:sz w:val="20"/>
                <w:szCs w:val="20"/>
              </w:rPr>
            </w:pPr>
          </w:p>
        </w:tc>
        <w:tc>
          <w:tcPr>
            <w:tcW w:w="5" w:type="pct"/>
            <w:vAlign w:val="center"/>
            <w:hideMark/>
          </w:tcPr>
          <w:p w14:paraId="52400648" w14:textId="77777777" w:rsidR="00000000" w:rsidRDefault="00405D16">
            <w:pPr>
              <w:spacing w:after="100"/>
              <w:rPr>
                <w:rFonts w:eastAsia="Times New Roman"/>
                <w:sz w:val="20"/>
                <w:szCs w:val="20"/>
              </w:rPr>
            </w:pPr>
          </w:p>
        </w:tc>
        <w:tc>
          <w:tcPr>
            <w:tcW w:w="26" w:type="pct"/>
            <w:vAlign w:val="center"/>
            <w:hideMark/>
          </w:tcPr>
          <w:p w14:paraId="7D3DC87A" w14:textId="77777777" w:rsidR="00000000" w:rsidRDefault="00405D16">
            <w:pPr>
              <w:spacing w:after="100"/>
              <w:rPr>
                <w:rFonts w:eastAsia="Times New Roman"/>
                <w:sz w:val="20"/>
                <w:szCs w:val="20"/>
              </w:rPr>
            </w:pPr>
          </w:p>
        </w:tc>
        <w:tc>
          <w:tcPr>
            <w:tcW w:w="5" w:type="pct"/>
            <w:vAlign w:val="center"/>
            <w:hideMark/>
          </w:tcPr>
          <w:p w14:paraId="4640E5BC" w14:textId="77777777" w:rsidR="00000000" w:rsidRDefault="00405D16">
            <w:pPr>
              <w:spacing w:after="100"/>
              <w:rPr>
                <w:rFonts w:eastAsia="Times New Roman"/>
                <w:sz w:val="20"/>
                <w:szCs w:val="20"/>
              </w:rPr>
            </w:pPr>
          </w:p>
        </w:tc>
        <w:tc>
          <w:tcPr>
            <w:tcW w:w="50" w:type="pct"/>
            <w:vAlign w:val="center"/>
            <w:hideMark/>
          </w:tcPr>
          <w:p w14:paraId="42BA290D" w14:textId="77777777" w:rsidR="00000000" w:rsidRDefault="00405D16">
            <w:pPr>
              <w:spacing w:after="100"/>
              <w:rPr>
                <w:rFonts w:eastAsia="Times New Roman"/>
                <w:sz w:val="20"/>
                <w:szCs w:val="20"/>
              </w:rPr>
            </w:pPr>
          </w:p>
        </w:tc>
        <w:tc>
          <w:tcPr>
            <w:tcW w:w="464" w:type="pct"/>
            <w:vAlign w:val="center"/>
            <w:hideMark/>
          </w:tcPr>
          <w:p w14:paraId="7AC5A3B2" w14:textId="77777777" w:rsidR="00000000" w:rsidRDefault="00405D16">
            <w:pPr>
              <w:spacing w:after="100"/>
              <w:rPr>
                <w:rFonts w:eastAsia="Times New Roman"/>
                <w:sz w:val="20"/>
                <w:szCs w:val="20"/>
              </w:rPr>
            </w:pPr>
          </w:p>
        </w:tc>
        <w:tc>
          <w:tcPr>
            <w:tcW w:w="5" w:type="pct"/>
            <w:vAlign w:val="center"/>
            <w:hideMark/>
          </w:tcPr>
          <w:p w14:paraId="0B25EAEA" w14:textId="77777777" w:rsidR="00000000" w:rsidRDefault="00405D16">
            <w:pPr>
              <w:spacing w:after="100"/>
              <w:rPr>
                <w:rFonts w:eastAsia="Times New Roman"/>
                <w:sz w:val="20"/>
                <w:szCs w:val="20"/>
              </w:rPr>
            </w:pPr>
          </w:p>
        </w:tc>
        <w:tc>
          <w:tcPr>
            <w:tcW w:w="5" w:type="pct"/>
            <w:vAlign w:val="center"/>
            <w:hideMark/>
          </w:tcPr>
          <w:p w14:paraId="48B1C13D" w14:textId="77777777" w:rsidR="00000000" w:rsidRDefault="00405D16">
            <w:pPr>
              <w:spacing w:after="100"/>
              <w:rPr>
                <w:rFonts w:eastAsia="Times New Roman"/>
                <w:sz w:val="20"/>
                <w:szCs w:val="20"/>
              </w:rPr>
            </w:pPr>
          </w:p>
        </w:tc>
        <w:tc>
          <w:tcPr>
            <w:tcW w:w="26" w:type="pct"/>
            <w:vAlign w:val="center"/>
            <w:hideMark/>
          </w:tcPr>
          <w:p w14:paraId="664F1DC5" w14:textId="77777777" w:rsidR="00000000" w:rsidRDefault="00405D16">
            <w:pPr>
              <w:spacing w:after="100"/>
              <w:rPr>
                <w:rFonts w:eastAsia="Times New Roman"/>
                <w:sz w:val="20"/>
                <w:szCs w:val="20"/>
              </w:rPr>
            </w:pPr>
          </w:p>
        </w:tc>
        <w:tc>
          <w:tcPr>
            <w:tcW w:w="5" w:type="pct"/>
            <w:vAlign w:val="center"/>
            <w:hideMark/>
          </w:tcPr>
          <w:p w14:paraId="0435FBE4" w14:textId="77777777" w:rsidR="00000000" w:rsidRDefault="00405D16">
            <w:pPr>
              <w:spacing w:after="100"/>
              <w:rPr>
                <w:rFonts w:eastAsia="Times New Roman"/>
                <w:sz w:val="20"/>
                <w:szCs w:val="20"/>
              </w:rPr>
            </w:pPr>
          </w:p>
        </w:tc>
        <w:tc>
          <w:tcPr>
            <w:tcW w:w="50" w:type="pct"/>
            <w:vAlign w:val="center"/>
            <w:hideMark/>
          </w:tcPr>
          <w:p w14:paraId="260D0DD5" w14:textId="77777777" w:rsidR="00000000" w:rsidRDefault="00405D16">
            <w:pPr>
              <w:spacing w:after="100"/>
              <w:rPr>
                <w:rFonts w:eastAsia="Times New Roman"/>
                <w:sz w:val="20"/>
                <w:szCs w:val="20"/>
              </w:rPr>
            </w:pPr>
          </w:p>
        </w:tc>
        <w:tc>
          <w:tcPr>
            <w:tcW w:w="464" w:type="pct"/>
            <w:vAlign w:val="center"/>
            <w:hideMark/>
          </w:tcPr>
          <w:p w14:paraId="5DD85A1A" w14:textId="77777777" w:rsidR="00000000" w:rsidRDefault="00405D16">
            <w:pPr>
              <w:spacing w:after="100"/>
              <w:rPr>
                <w:rFonts w:eastAsia="Times New Roman"/>
                <w:sz w:val="20"/>
                <w:szCs w:val="20"/>
              </w:rPr>
            </w:pPr>
          </w:p>
        </w:tc>
        <w:tc>
          <w:tcPr>
            <w:tcW w:w="5" w:type="pct"/>
            <w:vAlign w:val="center"/>
            <w:hideMark/>
          </w:tcPr>
          <w:p w14:paraId="50057A5A" w14:textId="77777777" w:rsidR="00000000" w:rsidRDefault="00405D16">
            <w:pPr>
              <w:spacing w:after="100"/>
              <w:rPr>
                <w:rFonts w:eastAsia="Times New Roman"/>
                <w:sz w:val="20"/>
                <w:szCs w:val="20"/>
              </w:rPr>
            </w:pPr>
          </w:p>
        </w:tc>
        <w:tc>
          <w:tcPr>
            <w:tcW w:w="5" w:type="pct"/>
            <w:vAlign w:val="center"/>
            <w:hideMark/>
          </w:tcPr>
          <w:p w14:paraId="7D339F8A" w14:textId="77777777" w:rsidR="00000000" w:rsidRDefault="00405D16">
            <w:pPr>
              <w:spacing w:after="100"/>
              <w:rPr>
                <w:rFonts w:eastAsia="Times New Roman"/>
                <w:sz w:val="20"/>
                <w:szCs w:val="20"/>
              </w:rPr>
            </w:pPr>
          </w:p>
        </w:tc>
        <w:tc>
          <w:tcPr>
            <w:tcW w:w="26" w:type="pct"/>
            <w:vAlign w:val="center"/>
            <w:hideMark/>
          </w:tcPr>
          <w:p w14:paraId="407C70F6" w14:textId="77777777" w:rsidR="00000000" w:rsidRDefault="00405D16">
            <w:pPr>
              <w:spacing w:after="100"/>
              <w:rPr>
                <w:rFonts w:eastAsia="Times New Roman"/>
                <w:sz w:val="20"/>
                <w:szCs w:val="20"/>
              </w:rPr>
            </w:pPr>
          </w:p>
        </w:tc>
        <w:tc>
          <w:tcPr>
            <w:tcW w:w="5" w:type="pct"/>
            <w:vAlign w:val="center"/>
            <w:hideMark/>
          </w:tcPr>
          <w:p w14:paraId="010662B7" w14:textId="77777777" w:rsidR="00000000" w:rsidRDefault="00405D16">
            <w:pPr>
              <w:spacing w:after="100"/>
              <w:rPr>
                <w:rFonts w:eastAsia="Times New Roman"/>
                <w:sz w:val="20"/>
                <w:szCs w:val="20"/>
              </w:rPr>
            </w:pPr>
          </w:p>
        </w:tc>
        <w:tc>
          <w:tcPr>
            <w:tcW w:w="50" w:type="pct"/>
            <w:vAlign w:val="center"/>
            <w:hideMark/>
          </w:tcPr>
          <w:p w14:paraId="6D05B5AF" w14:textId="77777777" w:rsidR="00000000" w:rsidRDefault="00405D16">
            <w:pPr>
              <w:spacing w:after="100"/>
              <w:rPr>
                <w:rFonts w:eastAsia="Times New Roman"/>
                <w:sz w:val="20"/>
                <w:szCs w:val="20"/>
              </w:rPr>
            </w:pPr>
          </w:p>
        </w:tc>
        <w:tc>
          <w:tcPr>
            <w:tcW w:w="464" w:type="pct"/>
            <w:vAlign w:val="center"/>
            <w:hideMark/>
          </w:tcPr>
          <w:p w14:paraId="0F17E50D" w14:textId="77777777" w:rsidR="00000000" w:rsidRDefault="00405D16">
            <w:pPr>
              <w:spacing w:after="100"/>
              <w:rPr>
                <w:rFonts w:eastAsia="Times New Roman"/>
                <w:sz w:val="20"/>
                <w:szCs w:val="20"/>
              </w:rPr>
            </w:pPr>
          </w:p>
        </w:tc>
        <w:tc>
          <w:tcPr>
            <w:tcW w:w="5" w:type="pct"/>
            <w:vAlign w:val="center"/>
            <w:hideMark/>
          </w:tcPr>
          <w:p w14:paraId="22BAE716" w14:textId="77777777" w:rsidR="00000000" w:rsidRDefault="00405D16">
            <w:pPr>
              <w:spacing w:after="100"/>
              <w:rPr>
                <w:rFonts w:eastAsia="Times New Roman"/>
                <w:sz w:val="20"/>
                <w:szCs w:val="20"/>
              </w:rPr>
            </w:pPr>
          </w:p>
        </w:tc>
        <w:tc>
          <w:tcPr>
            <w:tcW w:w="5" w:type="pct"/>
            <w:vAlign w:val="center"/>
            <w:hideMark/>
          </w:tcPr>
          <w:p w14:paraId="773FF5C7" w14:textId="77777777" w:rsidR="00000000" w:rsidRDefault="00405D16">
            <w:pPr>
              <w:spacing w:after="100"/>
              <w:rPr>
                <w:rFonts w:eastAsia="Times New Roman"/>
                <w:sz w:val="20"/>
                <w:szCs w:val="20"/>
              </w:rPr>
            </w:pPr>
          </w:p>
        </w:tc>
        <w:tc>
          <w:tcPr>
            <w:tcW w:w="26" w:type="pct"/>
            <w:vAlign w:val="center"/>
            <w:hideMark/>
          </w:tcPr>
          <w:p w14:paraId="6BC4DBBC" w14:textId="77777777" w:rsidR="00000000" w:rsidRDefault="00405D16">
            <w:pPr>
              <w:spacing w:after="100"/>
              <w:rPr>
                <w:rFonts w:eastAsia="Times New Roman"/>
                <w:sz w:val="20"/>
                <w:szCs w:val="20"/>
              </w:rPr>
            </w:pPr>
          </w:p>
        </w:tc>
        <w:tc>
          <w:tcPr>
            <w:tcW w:w="5" w:type="pct"/>
            <w:vAlign w:val="center"/>
            <w:hideMark/>
          </w:tcPr>
          <w:p w14:paraId="7A2EB2A8" w14:textId="77777777" w:rsidR="00000000" w:rsidRDefault="00405D16">
            <w:pPr>
              <w:spacing w:after="100"/>
              <w:rPr>
                <w:rFonts w:eastAsia="Times New Roman"/>
                <w:sz w:val="20"/>
                <w:szCs w:val="20"/>
              </w:rPr>
            </w:pPr>
          </w:p>
        </w:tc>
        <w:tc>
          <w:tcPr>
            <w:tcW w:w="50" w:type="pct"/>
            <w:vAlign w:val="center"/>
            <w:hideMark/>
          </w:tcPr>
          <w:p w14:paraId="6C88BE81" w14:textId="77777777" w:rsidR="00000000" w:rsidRDefault="00405D16">
            <w:pPr>
              <w:spacing w:after="100"/>
              <w:rPr>
                <w:rFonts w:eastAsia="Times New Roman"/>
                <w:sz w:val="20"/>
                <w:szCs w:val="20"/>
              </w:rPr>
            </w:pPr>
          </w:p>
        </w:tc>
        <w:tc>
          <w:tcPr>
            <w:tcW w:w="464" w:type="pct"/>
            <w:vAlign w:val="center"/>
            <w:hideMark/>
          </w:tcPr>
          <w:p w14:paraId="55015538" w14:textId="77777777" w:rsidR="00000000" w:rsidRDefault="00405D16">
            <w:pPr>
              <w:spacing w:after="100"/>
              <w:rPr>
                <w:rFonts w:eastAsia="Times New Roman"/>
                <w:sz w:val="20"/>
                <w:szCs w:val="20"/>
              </w:rPr>
            </w:pPr>
          </w:p>
        </w:tc>
        <w:tc>
          <w:tcPr>
            <w:tcW w:w="5" w:type="pct"/>
            <w:vAlign w:val="center"/>
            <w:hideMark/>
          </w:tcPr>
          <w:p w14:paraId="2F2F3703" w14:textId="77777777" w:rsidR="00000000" w:rsidRDefault="00405D16">
            <w:pPr>
              <w:spacing w:after="100"/>
              <w:rPr>
                <w:rFonts w:eastAsia="Times New Roman"/>
                <w:sz w:val="20"/>
                <w:szCs w:val="20"/>
              </w:rPr>
            </w:pPr>
          </w:p>
        </w:tc>
        <w:tc>
          <w:tcPr>
            <w:tcW w:w="5" w:type="pct"/>
            <w:vAlign w:val="center"/>
            <w:hideMark/>
          </w:tcPr>
          <w:p w14:paraId="415E369F" w14:textId="77777777" w:rsidR="00000000" w:rsidRDefault="00405D16">
            <w:pPr>
              <w:spacing w:after="100"/>
              <w:rPr>
                <w:rFonts w:eastAsia="Times New Roman"/>
                <w:sz w:val="20"/>
                <w:szCs w:val="20"/>
              </w:rPr>
            </w:pPr>
          </w:p>
        </w:tc>
        <w:tc>
          <w:tcPr>
            <w:tcW w:w="26" w:type="pct"/>
            <w:vAlign w:val="center"/>
            <w:hideMark/>
          </w:tcPr>
          <w:p w14:paraId="56624502" w14:textId="77777777" w:rsidR="00000000" w:rsidRDefault="00405D16">
            <w:pPr>
              <w:spacing w:after="100"/>
              <w:rPr>
                <w:rFonts w:eastAsia="Times New Roman"/>
                <w:sz w:val="20"/>
                <w:szCs w:val="20"/>
              </w:rPr>
            </w:pPr>
          </w:p>
        </w:tc>
        <w:tc>
          <w:tcPr>
            <w:tcW w:w="5" w:type="pct"/>
            <w:vAlign w:val="center"/>
            <w:hideMark/>
          </w:tcPr>
          <w:p w14:paraId="12FE3000" w14:textId="77777777" w:rsidR="00000000" w:rsidRDefault="00405D16">
            <w:pPr>
              <w:spacing w:after="100"/>
              <w:rPr>
                <w:rFonts w:eastAsia="Times New Roman"/>
                <w:sz w:val="20"/>
                <w:szCs w:val="20"/>
              </w:rPr>
            </w:pPr>
          </w:p>
        </w:tc>
        <w:tc>
          <w:tcPr>
            <w:tcW w:w="50" w:type="pct"/>
            <w:vAlign w:val="center"/>
            <w:hideMark/>
          </w:tcPr>
          <w:p w14:paraId="3C843469" w14:textId="77777777" w:rsidR="00000000" w:rsidRDefault="00405D16">
            <w:pPr>
              <w:spacing w:after="100"/>
              <w:rPr>
                <w:rFonts w:eastAsia="Times New Roman"/>
                <w:sz w:val="20"/>
                <w:szCs w:val="20"/>
              </w:rPr>
            </w:pPr>
          </w:p>
        </w:tc>
        <w:tc>
          <w:tcPr>
            <w:tcW w:w="435" w:type="pct"/>
            <w:vAlign w:val="center"/>
            <w:hideMark/>
          </w:tcPr>
          <w:p w14:paraId="36DB73C4" w14:textId="77777777" w:rsidR="00000000" w:rsidRDefault="00405D16">
            <w:pPr>
              <w:spacing w:after="100"/>
              <w:rPr>
                <w:rFonts w:eastAsia="Times New Roman"/>
                <w:sz w:val="20"/>
                <w:szCs w:val="20"/>
              </w:rPr>
            </w:pPr>
          </w:p>
        </w:tc>
        <w:tc>
          <w:tcPr>
            <w:tcW w:w="5" w:type="pct"/>
            <w:vAlign w:val="center"/>
            <w:hideMark/>
          </w:tcPr>
          <w:p w14:paraId="1BF4F4F5" w14:textId="77777777" w:rsidR="00000000" w:rsidRDefault="00405D16">
            <w:pPr>
              <w:spacing w:after="100"/>
              <w:rPr>
                <w:rFonts w:eastAsia="Times New Roman"/>
                <w:sz w:val="20"/>
                <w:szCs w:val="20"/>
              </w:rPr>
            </w:pPr>
          </w:p>
        </w:tc>
      </w:tr>
      <w:tr w:rsidR="00000000" w14:paraId="2290651D" w14:textId="77777777">
        <w:trPr>
          <w:divId w:val="442530170"/>
        </w:trPr>
        <w:tc>
          <w:tcPr>
            <w:tcW w:w="0" w:type="auto"/>
            <w:gridSpan w:val="3"/>
            <w:tcMar>
              <w:top w:w="0" w:type="dxa"/>
              <w:left w:w="20" w:type="dxa"/>
              <w:bottom w:w="0" w:type="dxa"/>
              <w:right w:w="20" w:type="dxa"/>
            </w:tcMar>
            <w:vAlign w:val="center"/>
            <w:hideMark/>
          </w:tcPr>
          <w:p w14:paraId="28B97CB2"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F175CE" w14:textId="77777777" w:rsidR="00000000" w:rsidRDefault="00405D16">
            <w:pPr>
              <w:spacing w:after="100"/>
              <w:rPr>
                <w:rFonts w:eastAsia="Times New Roman"/>
                <w:sz w:val="20"/>
                <w:szCs w:val="20"/>
              </w:rPr>
            </w:pPr>
          </w:p>
        </w:tc>
        <w:tc>
          <w:tcPr>
            <w:tcW w:w="0" w:type="auto"/>
            <w:gridSpan w:val="39"/>
            <w:tcMar>
              <w:top w:w="30" w:type="dxa"/>
              <w:left w:w="20" w:type="dxa"/>
              <w:bottom w:w="30" w:type="dxa"/>
              <w:right w:w="20" w:type="dxa"/>
            </w:tcMar>
            <w:vAlign w:val="bottom"/>
            <w:hideMark/>
          </w:tcPr>
          <w:p w14:paraId="40414211" w14:textId="77777777" w:rsidR="00000000" w:rsidRDefault="00405D16">
            <w:pPr>
              <w:spacing w:after="100"/>
              <w:jc w:val="center"/>
              <w:rPr>
                <w:rFonts w:eastAsia="Times New Roman"/>
              </w:rPr>
            </w:pPr>
            <w:r>
              <w:rPr>
                <w:rFonts w:eastAsia="Times New Roman"/>
                <w:b/>
                <w:bCs/>
                <w:color w:val="000000"/>
                <w:sz w:val="16"/>
                <w:szCs w:val="16"/>
              </w:rPr>
              <w:t>Three Months Ended September 30, 2021</w:t>
            </w:r>
          </w:p>
        </w:tc>
      </w:tr>
      <w:tr w:rsidR="00000000" w14:paraId="1D86BEA5" w14:textId="77777777">
        <w:trPr>
          <w:divId w:val="442530170"/>
        </w:trPr>
        <w:tc>
          <w:tcPr>
            <w:tcW w:w="0" w:type="auto"/>
            <w:gridSpan w:val="3"/>
            <w:tcMar>
              <w:top w:w="0" w:type="dxa"/>
              <w:left w:w="20" w:type="dxa"/>
              <w:bottom w:w="0" w:type="dxa"/>
              <w:right w:w="20" w:type="dxa"/>
            </w:tcMar>
            <w:vAlign w:val="center"/>
            <w:hideMark/>
          </w:tcPr>
          <w:p w14:paraId="1883C255" w14:textId="77777777" w:rsidR="00000000" w:rsidRDefault="00405D1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1C30495" w14:textId="77777777" w:rsidR="00000000" w:rsidRDefault="00405D16">
            <w:pPr>
              <w:spacing w:after="100"/>
              <w:rPr>
                <w:rFonts w:eastAsia="Times New Roman"/>
                <w:sz w:val="20"/>
                <w:szCs w:val="20"/>
              </w:rPr>
            </w:pPr>
          </w:p>
        </w:tc>
        <w:tc>
          <w:tcPr>
            <w:tcW w:w="0" w:type="auto"/>
            <w:gridSpan w:val="33"/>
            <w:tcBorders>
              <w:top w:val="single" w:sz="8" w:space="0" w:color="000000"/>
            </w:tcBorders>
            <w:tcMar>
              <w:top w:w="30" w:type="dxa"/>
              <w:left w:w="20" w:type="dxa"/>
              <w:bottom w:w="30" w:type="dxa"/>
              <w:right w:w="20" w:type="dxa"/>
            </w:tcMar>
            <w:vAlign w:val="bottom"/>
            <w:hideMark/>
          </w:tcPr>
          <w:p w14:paraId="01938978" w14:textId="77777777" w:rsidR="00000000" w:rsidRDefault="00405D16">
            <w:pPr>
              <w:spacing w:after="100"/>
              <w:jc w:val="center"/>
              <w:rPr>
                <w:rFonts w:eastAsia="Times New Roman"/>
              </w:rPr>
            </w:pPr>
            <w:r>
              <w:rPr>
                <w:rFonts w:eastAsia="Times New Roman"/>
                <w:b/>
                <w:bCs/>
                <w:color w:val="000000"/>
                <w:sz w:val="16"/>
                <w:szCs w:val="16"/>
              </w:rPr>
              <w:t>Net Interest Income</w:t>
            </w:r>
          </w:p>
        </w:tc>
        <w:tc>
          <w:tcPr>
            <w:tcW w:w="0" w:type="auto"/>
            <w:gridSpan w:val="3"/>
            <w:tcBorders>
              <w:top w:val="single" w:sz="8" w:space="0" w:color="000000"/>
            </w:tcBorders>
            <w:tcMar>
              <w:top w:w="0" w:type="dxa"/>
              <w:left w:w="20" w:type="dxa"/>
              <w:bottom w:w="0" w:type="dxa"/>
              <w:right w:w="20" w:type="dxa"/>
            </w:tcMar>
            <w:vAlign w:val="center"/>
            <w:hideMark/>
          </w:tcPr>
          <w:p w14:paraId="140D830F"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5698E58" w14:textId="77777777" w:rsidR="00000000" w:rsidRDefault="00405D16">
            <w:pPr>
              <w:spacing w:after="100"/>
              <w:jc w:val="center"/>
              <w:rPr>
                <w:rFonts w:eastAsia="Times New Roman"/>
              </w:rPr>
            </w:pPr>
            <w:r>
              <w:rPr>
                <w:rFonts w:eastAsia="Times New Roman"/>
                <w:b/>
                <w:bCs/>
                <w:color w:val="000000"/>
                <w:sz w:val="16"/>
                <w:szCs w:val="16"/>
              </w:rPr>
              <w:t>Non-Interest Income</w:t>
            </w:r>
          </w:p>
        </w:tc>
      </w:tr>
      <w:tr w:rsidR="00000000" w14:paraId="55D77854" w14:textId="77777777">
        <w:trPr>
          <w:divId w:val="442530170"/>
        </w:trPr>
        <w:tc>
          <w:tcPr>
            <w:tcW w:w="0" w:type="auto"/>
            <w:gridSpan w:val="3"/>
            <w:tcMar>
              <w:top w:w="30" w:type="dxa"/>
              <w:left w:w="20" w:type="dxa"/>
              <w:bottom w:w="30" w:type="dxa"/>
              <w:right w:w="20" w:type="dxa"/>
            </w:tcMar>
            <w:vAlign w:val="bottom"/>
            <w:hideMark/>
          </w:tcPr>
          <w:p w14:paraId="554C74B1"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71257F57"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6933307" w14:textId="77777777" w:rsidR="00000000" w:rsidRDefault="00405D16">
            <w:pPr>
              <w:spacing w:after="100"/>
              <w:jc w:val="center"/>
              <w:rPr>
                <w:rFonts w:eastAsia="Times New Roman"/>
              </w:rPr>
            </w:pPr>
            <w:r>
              <w:rPr>
                <w:rFonts w:eastAsia="Times New Roman"/>
                <w:b/>
                <w:bCs/>
                <w:color w:val="000000"/>
                <w:sz w:val="16"/>
                <w:szCs w:val="16"/>
              </w:rPr>
              <w:t>Investment Securities</w:t>
            </w:r>
          </w:p>
        </w:tc>
        <w:tc>
          <w:tcPr>
            <w:tcW w:w="0" w:type="auto"/>
            <w:gridSpan w:val="3"/>
            <w:tcBorders>
              <w:top w:val="single" w:sz="8" w:space="0" w:color="000000"/>
            </w:tcBorders>
            <w:tcMar>
              <w:top w:w="0" w:type="dxa"/>
              <w:left w:w="20" w:type="dxa"/>
              <w:bottom w:w="0" w:type="dxa"/>
              <w:right w:w="20" w:type="dxa"/>
            </w:tcMar>
            <w:vAlign w:val="center"/>
            <w:hideMark/>
          </w:tcPr>
          <w:p w14:paraId="1819684A"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1C2A312" w14:textId="77777777" w:rsidR="00000000" w:rsidRDefault="00405D16">
            <w:pPr>
              <w:spacing w:after="100"/>
              <w:jc w:val="center"/>
              <w:rPr>
                <w:rFonts w:eastAsia="Times New Roman"/>
              </w:rPr>
            </w:pPr>
            <w:r>
              <w:rPr>
                <w:rFonts w:eastAsia="Times New Roman"/>
                <w:b/>
                <w:bCs/>
                <w:color w:val="000000"/>
                <w:sz w:val="16"/>
                <w:szCs w:val="16"/>
              </w:rPr>
              <w:t>Loans, Including Loans Held for Sale</w:t>
            </w:r>
          </w:p>
        </w:tc>
        <w:tc>
          <w:tcPr>
            <w:tcW w:w="0" w:type="auto"/>
            <w:gridSpan w:val="3"/>
            <w:tcBorders>
              <w:top w:val="single" w:sz="8" w:space="0" w:color="000000"/>
            </w:tcBorders>
            <w:tcMar>
              <w:top w:w="0" w:type="dxa"/>
              <w:left w:w="20" w:type="dxa"/>
              <w:bottom w:w="0" w:type="dxa"/>
              <w:right w:w="20" w:type="dxa"/>
            </w:tcMar>
            <w:vAlign w:val="center"/>
            <w:hideMark/>
          </w:tcPr>
          <w:p w14:paraId="42F6A841"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BA1A0BB" w14:textId="77777777" w:rsidR="00000000" w:rsidRDefault="00405D16">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14:paraId="529FD49D"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8AC6B18" w14:textId="77777777" w:rsidR="00000000" w:rsidRDefault="00405D16">
            <w:pPr>
              <w:spacing w:after="100"/>
              <w:jc w:val="center"/>
              <w:rPr>
                <w:rFonts w:eastAsia="Times New Roman"/>
              </w:rPr>
            </w:pPr>
            <w:r>
              <w:rPr>
                <w:rFonts w:eastAsia="Times New Roman"/>
                <w:b/>
                <w:bCs/>
                <w:color w:val="000000"/>
                <w:sz w:val="16"/>
                <w:szCs w:val="16"/>
              </w:rPr>
              <w:t>Interest-bearing Deposits</w:t>
            </w:r>
          </w:p>
        </w:tc>
        <w:tc>
          <w:tcPr>
            <w:tcW w:w="0" w:type="auto"/>
            <w:gridSpan w:val="3"/>
            <w:tcBorders>
              <w:top w:val="single" w:sz="8" w:space="0" w:color="000000"/>
            </w:tcBorders>
            <w:tcMar>
              <w:top w:w="0" w:type="dxa"/>
              <w:left w:w="20" w:type="dxa"/>
              <w:bottom w:w="0" w:type="dxa"/>
              <w:right w:w="20" w:type="dxa"/>
            </w:tcMar>
            <w:vAlign w:val="center"/>
            <w:hideMark/>
          </w:tcPr>
          <w:p w14:paraId="69954C50"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F9D75AD" w14:textId="77777777" w:rsidR="00000000" w:rsidRDefault="00405D16">
            <w:pPr>
              <w:spacing w:after="100"/>
              <w:jc w:val="center"/>
              <w:rPr>
                <w:rFonts w:eastAsia="Times New Roman"/>
              </w:rPr>
            </w:pPr>
            <w:r>
              <w:rPr>
                <w:rFonts w:eastAsia="Times New Roman"/>
                <w:b/>
                <w:bCs/>
                <w:color w:val="000000"/>
                <w:sz w:val="16"/>
                <w:szCs w:val="16"/>
              </w:rPr>
              <w:t>Securitized Debt Obligations</w:t>
            </w:r>
          </w:p>
        </w:tc>
        <w:tc>
          <w:tcPr>
            <w:tcW w:w="0" w:type="auto"/>
            <w:gridSpan w:val="3"/>
            <w:tcBorders>
              <w:top w:val="single" w:sz="8" w:space="0" w:color="000000"/>
            </w:tcBorders>
            <w:tcMar>
              <w:top w:w="0" w:type="dxa"/>
              <w:left w:w="20" w:type="dxa"/>
              <w:bottom w:w="0" w:type="dxa"/>
              <w:right w:w="20" w:type="dxa"/>
            </w:tcMar>
            <w:vAlign w:val="center"/>
            <w:hideMark/>
          </w:tcPr>
          <w:p w14:paraId="76B834CD"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3CE9D34" w14:textId="77777777" w:rsidR="00000000" w:rsidRDefault="00405D16">
            <w:pPr>
              <w:spacing w:after="100"/>
              <w:jc w:val="center"/>
              <w:rPr>
                <w:rFonts w:eastAsia="Times New Roman"/>
              </w:rPr>
            </w:pPr>
            <w:r>
              <w:rPr>
                <w:rFonts w:eastAsia="Times New Roman"/>
                <w:b/>
                <w:bCs/>
                <w:color w:val="000000"/>
                <w:sz w:val="16"/>
                <w:szCs w:val="16"/>
              </w:rPr>
              <w:t>Senior and Subordinated Notes</w:t>
            </w:r>
          </w:p>
        </w:tc>
        <w:tc>
          <w:tcPr>
            <w:tcW w:w="0" w:type="auto"/>
            <w:gridSpan w:val="3"/>
            <w:tcMar>
              <w:top w:w="0" w:type="dxa"/>
              <w:left w:w="20" w:type="dxa"/>
              <w:bottom w:w="0" w:type="dxa"/>
              <w:right w:w="20" w:type="dxa"/>
            </w:tcMar>
            <w:vAlign w:val="center"/>
            <w:hideMark/>
          </w:tcPr>
          <w:p w14:paraId="787189C3"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6BEEEAF" w14:textId="77777777" w:rsidR="00000000" w:rsidRDefault="00405D16">
            <w:pPr>
              <w:spacing w:after="100"/>
              <w:jc w:val="center"/>
              <w:rPr>
                <w:rFonts w:eastAsia="Times New Roman"/>
              </w:rPr>
            </w:pPr>
            <w:r>
              <w:rPr>
                <w:rFonts w:eastAsia="Times New Roman"/>
                <w:b/>
                <w:bCs/>
                <w:color w:val="000000"/>
                <w:sz w:val="16"/>
                <w:szCs w:val="16"/>
              </w:rPr>
              <w:t>Other</w:t>
            </w:r>
          </w:p>
        </w:tc>
      </w:tr>
      <w:tr w:rsidR="00405D16" w14:paraId="06A93F97" w14:textId="77777777">
        <w:trPr>
          <w:divId w:val="44253017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63016AA" w14:textId="77777777" w:rsidR="00000000" w:rsidRDefault="00405D16">
            <w:pPr>
              <w:spacing w:after="100"/>
              <w:divId w:val="1154224985"/>
              <w:rPr>
                <w:rFonts w:eastAsia="Times New Roman"/>
              </w:rPr>
            </w:pPr>
            <w:r>
              <w:rPr>
                <w:rFonts w:eastAsia="Times New Roman"/>
                <w:b/>
                <w:bCs/>
                <w:color w:val="000000"/>
                <w:sz w:val="18"/>
                <w:szCs w:val="18"/>
              </w:rPr>
              <w:t>Total amounts presented in our consolidated statements of income</w:t>
            </w:r>
          </w:p>
        </w:tc>
        <w:tc>
          <w:tcPr>
            <w:tcW w:w="0" w:type="auto"/>
            <w:gridSpan w:val="3"/>
            <w:shd w:val="clear" w:color="auto" w:fill="CCEEFF"/>
            <w:tcMar>
              <w:top w:w="0" w:type="dxa"/>
              <w:left w:w="20" w:type="dxa"/>
              <w:bottom w:w="0" w:type="dxa"/>
              <w:right w:w="20" w:type="dxa"/>
            </w:tcMar>
            <w:vAlign w:val="center"/>
            <w:hideMark/>
          </w:tcPr>
          <w:p w14:paraId="3DE26408"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1244C71"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895541B" w14:textId="77777777" w:rsidR="00000000" w:rsidRDefault="00405D16">
            <w:pPr>
              <w:spacing w:after="100"/>
              <w:jc w:val="right"/>
              <w:rPr>
                <w:rFonts w:eastAsia="Times New Roman"/>
              </w:rPr>
            </w:pPr>
            <w:r>
              <w:rPr>
                <w:rFonts w:eastAsia="Times New Roman"/>
                <w:b/>
                <w:bCs/>
                <w:color w:val="000000"/>
                <w:sz w:val="18"/>
                <w:szCs w:val="18"/>
              </w:rPr>
              <w:t>317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C86D7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1C7061"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D1026B6"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FA9D621" w14:textId="77777777" w:rsidR="00000000" w:rsidRDefault="00405D16">
            <w:pPr>
              <w:spacing w:after="100"/>
              <w:jc w:val="right"/>
              <w:rPr>
                <w:rFonts w:eastAsia="Times New Roman"/>
              </w:rPr>
            </w:pPr>
            <w:r>
              <w:rPr>
                <w:rFonts w:eastAsia="Times New Roman"/>
                <w:b/>
                <w:bCs/>
                <w:color w:val="000000"/>
                <w:sz w:val="18"/>
                <w:szCs w:val="18"/>
              </w:rPr>
              <w:t>6,205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888AC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41BA02"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A89A8E9"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E219F60" w14:textId="77777777" w:rsidR="00000000" w:rsidRDefault="00405D16">
            <w:pPr>
              <w:spacing w:after="100"/>
              <w:jc w:val="right"/>
              <w:rPr>
                <w:rFonts w:eastAsia="Times New Roman"/>
              </w:rPr>
            </w:pPr>
            <w:r>
              <w:rPr>
                <w:rFonts w:eastAsia="Times New Roman"/>
                <w:b/>
                <w:bCs/>
                <w:color w:val="000000"/>
                <w:sz w:val="18"/>
                <w:szCs w:val="18"/>
              </w:rPr>
              <w:t>16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EC109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44A40D"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D567FF5"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A77AFCB" w14:textId="77777777" w:rsidR="00000000" w:rsidRDefault="00405D16">
            <w:pPr>
              <w:spacing w:after="100"/>
              <w:jc w:val="right"/>
              <w:rPr>
                <w:rFonts w:eastAsia="Times New Roman"/>
              </w:rPr>
            </w:pPr>
            <w:r>
              <w:rPr>
                <w:rFonts w:eastAsia="Times New Roman"/>
                <w:b/>
                <w:bCs/>
                <w:color w:val="000000"/>
                <w:sz w:val="18"/>
                <w:szCs w:val="18"/>
              </w:rPr>
              <w:t>(228)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9FFE2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E4E35E"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7F393DF"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67C9C43" w14:textId="77777777" w:rsidR="00000000" w:rsidRDefault="00405D16">
            <w:pPr>
              <w:spacing w:after="100"/>
              <w:jc w:val="right"/>
              <w:rPr>
                <w:rFonts w:eastAsia="Times New Roman"/>
              </w:rPr>
            </w:pPr>
            <w:r>
              <w:rPr>
                <w:rFonts w:eastAsia="Times New Roman"/>
                <w:b/>
                <w:bCs/>
                <w:color w:val="000000"/>
                <w:sz w:val="18"/>
                <w:szCs w:val="18"/>
              </w:rPr>
              <w:t>(29)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83B6C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0763EE"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B917C6D"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75F28B4" w14:textId="77777777" w:rsidR="00000000" w:rsidRDefault="00405D16">
            <w:pPr>
              <w:spacing w:after="100"/>
              <w:jc w:val="right"/>
              <w:rPr>
                <w:rFonts w:eastAsia="Times New Roman"/>
              </w:rPr>
            </w:pPr>
            <w:r>
              <w:rPr>
                <w:rFonts w:eastAsia="Times New Roman"/>
                <w:b/>
                <w:bCs/>
                <w:color w:val="000000"/>
                <w:sz w:val="18"/>
                <w:szCs w:val="18"/>
              </w:rPr>
              <w:t>(116)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A969B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487F26"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42922B"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2EE72C1" w14:textId="77777777" w:rsidR="00000000" w:rsidRDefault="00405D16">
            <w:pPr>
              <w:spacing w:after="100"/>
              <w:jc w:val="right"/>
              <w:rPr>
                <w:rFonts w:eastAsia="Times New Roman"/>
              </w:rPr>
            </w:pPr>
            <w:r>
              <w:rPr>
                <w:rFonts w:eastAsia="Times New Roman"/>
                <w:b/>
                <w:bCs/>
                <w:color w:val="000000"/>
                <w:sz w:val="18"/>
                <w:szCs w:val="18"/>
              </w:rPr>
              <w:t>243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B54F1F" w14:textId="77777777" w:rsidR="00000000" w:rsidRDefault="00405D16">
            <w:pPr>
              <w:spacing w:after="100"/>
              <w:jc w:val="right"/>
              <w:rPr>
                <w:rFonts w:eastAsia="Times New Roman"/>
              </w:rPr>
            </w:pPr>
          </w:p>
        </w:tc>
      </w:tr>
      <w:tr w:rsidR="00000000" w14:paraId="2C0FCAED" w14:textId="77777777">
        <w:trPr>
          <w:divId w:val="442530170"/>
        </w:trPr>
        <w:tc>
          <w:tcPr>
            <w:tcW w:w="0" w:type="auto"/>
            <w:gridSpan w:val="3"/>
            <w:shd w:val="clear" w:color="auto" w:fill="FFFFFF"/>
            <w:tcMar>
              <w:top w:w="30" w:type="dxa"/>
              <w:left w:w="20" w:type="dxa"/>
              <w:bottom w:w="30" w:type="dxa"/>
              <w:right w:w="20" w:type="dxa"/>
            </w:tcMar>
            <w:vAlign w:val="center"/>
            <w:hideMark/>
          </w:tcPr>
          <w:p w14:paraId="25F949D7" w14:textId="77777777" w:rsidR="00000000" w:rsidRDefault="00405D16">
            <w:pPr>
              <w:spacing w:after="100"/>
              <w:divId w:val="1098141979"/>
              <w:rPr>
                <w:rFonts w:eastAsia="Times New Roman"/>
              </w:rPr>
            </w:pPr>
            <w:r>
              <w:rPr>
                <w:rFonts w:eastAsia="Times New Roman"/>
                <w:b/>
                <w:bCs/>
                <w:color w:val="000000"/>
                <w:sz w:val="18"/>
                <w:szCs w:val="18"/>
              </w:rPr>
              <w:t>Fair value hedging relationships:</w:t>
            </w:r>
          </w:p>
        </w:tc>
        <w:tc>
          <w:tcPr>
            <w:tcW w:w="0" w:type="auto"/>
            <w:gridSpan w:val="3"/>
            <w:shd w:val="clear" w:color="auto" w:fill="FFFFFF"/>
            <w:tcMar>
              <w:top w:w="0" w:type="dxa"/>
              <w:left w:w="20" w:type="dxa"/>
              <w:bottom w:w="0" w:type="dxa"/>
              <w:right w:w="20" w:type="dxa"/>
            </w:tcMar>
            <w:vAlign w:val="center"/>
            <w:hideMark/>
          </w:tcPr>
          <w:p w14:paraId="6792899B"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B5EA9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F61A5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5D7A4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2A087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934F9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611A9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45D85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885D8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784C5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16B3E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0155A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3FB73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659B9E" w14:textId="77777777" w:rsidR="00000000" w:rsidRDefault="00405D16">
            <w:pPr>
              <w:spacing w:after="100"/>
              <w:rPr>
                <w:rFonts w:eastAsia="Times New Roman"/>
                <w:sz w:val="20"/>
                <w:szCs w:val="20"/>
              </w:rPr>
            </w:pPr>
          </w:p>
        </w:tc>
      </w:tr>
      <w:tr w:rsidR="00000000" w14:paraId="1ECB5535" w14:textId="77777777">
        <w:trPr>
          <w:divId w:val="442530170"/>
        </w:trPr>
        <w:tc>
          <w:tcPr>
            <w:tcW w:w="0" w:type="auto"/>
            <w:gridSpan w:val="3"/>
            <w:shd w:val="clear" w:color="auto" w:fill="CCEEFF"/>
            <w:tcMar>
              <w:top w:w="30" w:type="dxa"/>
              <w:left w:w="20" w:type="dxa"/>
              <w:bottom w:w="30" w:type="dxa"/>
              <w:right w:w="20" w:type="dxa"/>
            </w:tcMar>
            <w:vAlign w:val="center"/>
            <w:hideMark/>
          </w:tcPr>
          <w:p w14:paraId="74E8A75B" w14:textId="77777777" w:rsidR="00000000" w:rsidRDefault="00405D16">
            <w:pPr>
              <w:spacing w:after="100"/>
              <w:rPr>
                <w:rFonts w:eastAsia="Times New Roman"/>
              </w:rPr>
            </w:pPr>
            <w:r>
              <w:rPr>
                <w:rFonts w:eastAsia="Times New Roman"/>
                <w:color w:val="000000"/>
                <w:sz w:val="18"/>
                <w:szCs w:val="18"/>
              </w:rPr>
              <w:t>Interest rate and foreign exchange contracts:</w:t>
            </w:r>
          </w:p>
        </w:tc>
        <w:tc>
          <w:tcPr>
            <w:tcW w:w="0" w:type="auto"/>
            <w:gridSpan w:val="3"/>
            <w:shd w:val="clear" w:color="auto" w:fill="CCEEFF"/>
            <w:tcMar>
              <w:top w:w="0" w:type="dxa"/>
              <w:left w:w="20" w:type="dxa"/>
              <w:bottom w:w="0" w:type="dxa"/>
              <w:right w:w="20" w:type="dxa"/>
            </w:tcMar>
            <w:vAlign w:val="center"/>
            <w:hideMark/>
          </w:tcPr>
          <w:p w14:paraId="1C695648"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1FC45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BB788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0B746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7CCD4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DC42C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F9F32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F10CF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8BEAC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BA95D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13C9E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365AF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4DB09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7BA08F" w14:textId="77777777" w:rsidR="00000000" w:rsidRDefault="00405D16">
            <w:pPr>
              <w:spacing w:after="100"/>
              <w:rPr>
                <w:rFonts w:eastAsia="Times New Roman"/>
                <w:sz w:val="20"/>
                <w:szCs w:val="20"/>
              </w:rPr>
            </w:pPr>
          </w:p>
        </w:tc>
      </w:tr>
      <w:tr w:rsidR="00405D16" w14:paraId="46F88F83" w14:textId="77777777">
        <w:trPr>
          <w:divId w:val="442530170"/>
        </w:trPr>
        <w:tc>
          <w:tcPr>
            <w:tcW w:w="0" w:type="auto"/>
            <w:gridSpan w:val="3"/>
            <w:shd w:val="clear" w:color="auto" w:fill="FFFFFF"/>
            <w:tcMar>
              <w:top w:w="30" w:type="dxa"/>
              <w:left w:w="245" w:type="dxa"/>
              <w:bottom w:w="30" w:type="dxa"/>
              <w:right w:w="20" w:type="dxa"/>
            </w:tcMar>
            <w:vAlign w:val="center"/>
            <w:hideMark/>
          </w:tcPr>
          <w:p w14:paraId="7990A220" w14:textId="77777777" w:rsidR="00000000" w:rsidRDefault="00405D16">
            <w:pPr>
              <w:spacing w:after="100"/>
              <w:rPr>
                <w:rFonts w:eastAsia="Times New Roman"/>
              </w:rPr>
            </w:pPr>
            <w:r>
              <w:rPr>
                <w:rFonts w:eastAsia="Times New Roman"/>
                <w:color w:val="000000"/>
                <w:sz w:val="18"/>
                <w:szCs w:val="18"/>
              </w:rPr>
              <w:t>Interest recognized on derivatives</w:t>
            </w:r>
          </w:p>
        </w:tc>
        <w:tc>
          <w:tcPr>
            <w:tcW w:w="0" w:type="auto"/>
            <w:gridSpan w:val="3"/>
            <w:shd w:val="clear" w:color="auto" w:fill="FFFFFF"/>
            <w:tcMar>
              <w:top w:w="0" w:type="dxa"/>
              <w:left w:w="20" w:type="dxa"/>
              <w:bottom w:w="0" w:type="dxa"/>
              <w:right w:w="20" w:type="dxa"/>
            </w:tcMar>
            <w:vAlign w:val="center"/>
            <w:hideMark/>
          </w:tcPr>
          <w:p w14:paraId="3CA89797"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ACC6056"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7D988CF8" w14:textId="77777777" w:rsidR="00000000" w:rsidRDefault="00405D16">
            <w:pPr>
              <w:spacing w:after="100"/>
              <w:jc w:val="right"/>
              <w:rPr>
                <w:rFonts w:eastAsia="Times New Roman"/>
              </w:rPr>
            </w:pPr>
            <w:r>
              <w:rPr>
                <w:rFonts w:eastAsia="Times New Roman"/>
                <w:b/>
                <w:bCs/>
                <w:color w:val="000000"/>
                <w:sz w:val="18"/>
                <w:szCs w:val="18"/>
              </w:rPr>
              <w:t>(25)</w:t>
            </w:r>
          </w:p>
        </w:tc>
        <w:tc>
          <w:tcPr>
            <w:tcW w:w="0" w:type="auto"/>
            <w:shd w:val="clear" w:color="auto" w:fill="FFFFFF"/>
            <w:tcMar>
              <w:top w:w="30" w:type="dxa"/>
              <w:left w:w="0" w:type="dxa"/>
              <w:bottom w:w="30" w:type="dxa"/>
              <w:right w:w="20" w:type="dxa"/>
            </w:tcMar>
            <w:vAlign w:val="bottom"/>
            <w:hideMark/>
          </w:tcPr>
          <w:p w14:paraId="6064FC1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2874F2"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41B394A"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13718967"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5B0ECC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77E574"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5AA9391"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5BEC0867"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90B326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98A0B6"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35A280E"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24BF74EF" w14:textId="77777777" w:rsidR="00000000" w:rsidRDefault="00405D16">
            <w:pPr>
              <w:spacing w:after="100"/>
              <w:jc w:val="right"/>
              <w:rPr>
                <w:rFonts w:eastAsia="Times New Roman"/>
              </w:rPr>
            </w:pPr>
            <w:r>
              <w:rPr>
                <w:rFonts w:eastAsia="Times New Roman"/>
                <w:b/>
                <w:bCs/>
                <w:color w:val="000000"/>
                <w:sz w:val="18"/>
                <w:szCs w:val="18"/>
              </w:rPr>
              <w:t>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FF5B21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BEF2B3"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B71BA03"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24F9B7AB" w14:textId="77777777" w:rsidR="00000000" w:rsidRDefault="00405D16">
            <w:pPr>
              <w:spacing w:after="100"/>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B07E5E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0B8D09"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B2E5BFF"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6C8C3BA5" w14:textId="77777777" w:rsidR="00000000" w:rsidRDefault="00405D16">
            <w:pPr>
              <w:spacing w:after="100"/>
              <w:jc w:val="right"/>
              <w:rPr>
                <w:rFonts w:eastAsia="Times New Roman"/>
              </w:rPr>
            </w:pPr>
            <w:r>
              <w:rPr>
                <w:rFonts w:eastAsia="Times New Roman"/>
                <w:b/>
                <w:bCs/>
                <w:color w:val="000000"/>
                <w:sz w:val="18"/>
                <w:szCs w:val="18"/>
              </w:rPr>
              <w:t>50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AD92C7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8ABC7F"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D6E3EFC"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69732422"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13E1D59" w14:textId="77777777" w:rsidR="00000000" w:rsidRDefault="00405D16">
            <w:pPr>
              <w:spacing w:after="100"/>
              <w:jc w:val="right"/>
              <w:rPr>
                <w:rFonts w:eastAsia="Times New Roman"/>
              </w:rPr>
            </w:pPr>
          </w:p>
        </w:tc>
      </w:tr>
      <w:tr w:rsidR="00000000" w14:paraId="0402FBAC" w14:textId="77777777">
        <w:trPr>
          <w:divId w:val="442530170"/>
        </w:trPr>
        <w:tc>
          <w:tcPr>
            <w:tcW w:w="0" w:type="auto"/>
            <w:gridSpan w:val="3"/>
            <w:shd w:val="clear" w:color="auto" w:fill="CCEEFF"/>
            <w:tcMar>
              <w:top w:w="30" w:type="dxa"/>
              <w:left w:w="245" w:type="dxa"/>
              <w:bottom w:w="30" w:type="dxa"/>
              <w:right w:w="20" w:type="dxa"/>
            </w:tcMar>
            <w:vAlign w:val="center"/>
            <w:hideMark/>
          </w:tcPr>
          <w:p w14:paraId="48A66690" w14:textId="77777777" w:rsidR="00000000" w:rsidRDefault="00405D16">
            <w:pPr>
              <w:spacing w:after="100"/>
              <w:rPr>
                <w:rFonts w:eastAsia="Times New Roman"/>
              </w:rPr>
            </w:pPr>
            <w:r>
              <w:rPr>
                <w:rFonts w:eastAsia="Times New Roman"/>
                <w:color w:val="000000"/>
                <w:sz w:val="18"/>
                <w:szCs w:val="18"/>
              </w:rPr>
              <w:t>Gains (losses) recognized on derivatives</w:t>
            </w:r>
          </w:p>
        </w:tc>
        <w:tc>
          <w:tcPr>
            <w:tcW w:w="0" w:type="auto"/>
            <w:gridSpan w:val="3"/>
            <w:shd w:val="clear" w:color="auto" w:fill="CCEEFF"/>
            <w:tcMar>
              <w:top w:w="0" w:type="dxa"/>
              <w:left w:w="20" w:type="dxa"/>
              <w:bottom w:w="0" w:type="dxa"/>
              <w:right w:w="20" w:type="dxa"/>
            </w:tcMar>
            <w:vAlign w:val="center"/>
            <w:hideMark/>
          </w:tcPr>
          <w:p w14:paraId="32B97CAD"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0F0D4F0" w14:textId="77777777" w:rsidR="00000000" w:rsidRDefault="00405D16">
            <w:pPr>
              <w:spacing w:after="100"/>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225B7B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0651C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7C3F20"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E8E748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19714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1C8664"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A5C87F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D9D0B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282A10" w14:textId="77777777" w:rsidR="00000000" w:rsidRDefault="00405D16">
            <w:pPr>
              <w:spacing w:after="100"/>
              <w:jc w:val="right"/>
              <w:rPr>
                <w:rFonts w:eastAsia="Times New Roman"/>
              </w:rPr>
            </w:pPr>
            <w:r>
              <w:rPr>
                <w:rFonts w:eastAsia="Times New Roman"/>
                <w:b/>
                <w:bCs/>
                <w:color w:val="000000"/>
                <w:sz w:val="18"/>
                <w:szCs w:val="18"/>
              </w:rPr>
              <w:t>(28)</w:t>
            </w:r>
          </w:p>
        </w:tc>
        <w:tc>
          <w:tcPr>
            <w:tcW w:w="0" w:type="auto"/>
            <w:shd w:val="clear" w:color="auto" w:fill="CCEEFF"/>
            <w:tcMar>
              <w:top w:w="30" w:type="dxa"/>
              <w:left w:w="0" w:type="dxa"/>
              <w:bottom w:w="30" w:type="dxa"/>
              <w:right w:w="20" w:type="dxa"/>
            </w:tcMar>
            <w:vAlign w:val="bottom"/>
            <w:hideMark/>
          </w:tcPr>
          <w:p w14:paraId="7CE262C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F46AA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AB4495" w14:textId="77777777" w:rsidR="00000000" w:rsidRDefault="00405D16">
            <w:pPr>
              <w:spacing w:after="100"/>
              <w:jc w:val="right"/>
              <w:rPr>
                <w:rFonts w:eastAsia="Times New Roman"/>
              </w:rPr>
            </w:pPr>
            <w:r>
              <w:rPr>
                <w:rFonts w:eastAsia="Times New Roman"/>
                <w:b/>
                <w:bCs/>
                <w:color w:val="000000"/>
                <w:sz w:val="18"/>
                <w:szCs w:val="18"/>
              </w:rPr>
              <w:t>(57)</w:t>
            </w:r>
          </w:p>
        </w:tc>
        <w:tc>
          <w:tcPr>
            <w:tcW w:w="0" w:type="auto"/>
            <w:shd w:val="clear" w:color="auto" w:fill="CCEEFF"/>
            <w:tcMar>
              <w:top w:w="30" w:type="dxa"/>
              <w:left w:w="0" w:type="dxa"/>
              <w:bottom w:w="30" w:type="dxa"/>
              <w:right w:w="20" w:type="dxa"/>
            </w:tcMar>
            <w:vAlign w:val="bottom"/>
            <w:hideMark/>
          </w:tcPr>
          <w:p w14:paraId="1F72D46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4B702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1B3262" w14:textId="77777777" w:rsidR="00000000" w:rsidRDefault="00405D16">
            <w:pPr>
              <w:spacing w:after="100"/>
              <w:jc w:val="right"/>
              <w:rPr>
                <w:rFonts w:eastAsia="Times New Roman"/>
              </w:rPr>
            </w:pPr>
            <w:r>
              <w:rPr>
                <w:rFonts w:eastAsia="Times New Roman"/>
                <w:b/>
                <w:bCs/>
                <w:color w:val="000000"/>
                <w:sz w:val="18"/>
                <w:szCs w:val="18"/>
              </w:rPr>
              <w:t>(72)</w:t>
            </w:r>
          </w:p>
        </w:tc>
        <w:tc>
          <w:tcPr>
            <w:tcW w:w="0" w:type="auto"/>
            <w:shd w:val="clear" w:color="auto" w:fill="CCEEFF"/>
            <w:tcMar>
              <w:top w:w="30" w:type="dxa"/>
              <w:left w:w="0" w:type="dxa"/>
              <w:bottom w:w="30" w:type="dxa"/>
              <w:right w:w="20" w:type="dxa"/>
            </w:tcMar>
            <w:vAlign w:val="bottom"/>
            <w:hideMark/>
          </w:tcPr>
          <w:p w14:paraId="3E68B0B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514C6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EBF989" w14:textId="77777777" w:rsidR="00000000" w:rsidRDefault="00405D16">
            <w:pPr>
              <w:spacing w:after="100"/>
              <w:jc w:val="right"/>
              <w:rPr>
                <w:rFonts w:eastAsia="Times New Roman"/>
              </w:rPr>
            </w:pPr>
            <w:r>
              <w:rPr>
                <w:rFonts w:eastAsia="Times New Roman"/>
                <w:b/>
                <w:bCs/>
                <w:color w:val="000000"/>
                <w:sz w:val="18"/>
                <w:szCs w:val="18"/>
              </w:rPr>
              <w:t>(34)</w:t>
            </w:r>
          </w:p>
        </w:tc>
        <w:tc>
          <w:tcPr>
            <w:tcW w:w="0" w:type="auto"/>
            <w:shd w:val="clear" w:color="auto" w:fill="CCEEFF"/>
            <w:tcMar>
              <w:top w:w="30" w:type="dxa"/>
              <w:left w:w="0" w:type="dxa"/>
              <w:bottom w:w="30" w:type="dxa"/>
              <w:right w:w="20" w:type="dxa"/>
            </w:tcMar>
            <w:vAlign w:val="bottom"/>
            <w:hideMark/>
          </w:tcPr>
          <w:p w14:paraId="15D0BD83" w14:textId="77777777" w:rsidR="00000000" w:rsidRDefault="00405D16">
            <w:pPr>
              <w:spacing w:after="100"/>
              <w:jc w:val="right"/>
              <w:rPr>
                <w:rFonts w:eastAsia="Times New Roman"/>
              </w:rPr>
            </w:pPr>
          </w:p>
        </w:tc>
      </w:tr>
      <w:tr w:rsidR="00000000" w14:paraId="535EE4DE" w14:textId="77777777">
        <w:trPr>
          <w:divId w:val="442530170"/>
        </w:trPr>
        <w:tc>
          <w:tcPr>
            <w:tcW w:w="0" w:type="auto"/>
            <w:gridSpan w:val="3"/>
            <w:shd w:val="clear" w:color="auto" w:fill="FFFFFF"/>
            <w:tcMar>
              <w:top w:w="30" w:type="dxa"/>
              <w:left w:w="20" w:type="dxa"/>
              <w:bottom w:w="30" w:type="dxa"/>
              <w:right w:w="20" w:type="dxa"/>
            </w:tcMar>
            <w:vAlign w:val="center"/>
            <w:hideMark/>
          </w:tcPr>
          <w:p w14:paraId="017DA7FD" w14:textId="77777777" w:rsidR="00000000" w:rsidRDefault="00405D16">
            <w:pPr>
              <w:spacing w:after="100"/>
              <w:divId w:val="484274300"/>
              <w:rPr>
                <w:rFonts w:eastAsia="Times New Roman"/>
              </w:rPr>
            </w:pPr>
            <w:r>
              <w:rPr>
                <w:rFonts w:eastAsia="Times New Roman"/>
                <w:color w:val="000000"/>
                <w:sz w:val="18"/>
                <w:szCs w:val="18"/>
              </w:rPr>
              <w:t>Gains (losses) recognized on hedged item</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4CA258B8"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B327373" w14:textId="77777777" w:rsidR="00000000" w:rsidRDefault="00405D16">
            <w:pPr>
              <w:spacing w:after="100"/>
              <w:jc w:val="right"/>
              <w:rPr>
                <w:rFonts w:eastAsia="Times New Roman"/>
              </w:rPr>
            </w:pPr>
            <w:r>
              <w:rPr>
                <w:rFonts w:eastAsia="Times New Roman"/>
                <w:b/>
                <w:bCs/>
                <w:color w:val="000000"/>
                <w:sz w:val="18"/>
                <w:szCs w:val="18"/>
              </w:rPr>
              <w:t>(83)</w:t>
            </w:r>
          </w:p>
        </w:tc>
        <w:tc>
          <w:tcPr>
            <w:tcW w:w="0" w:type="auto"/>
            <w:shd w:val="clear" w:color="auto" w:fill="FFFFFF"/>
            <w:tcMar>
              <w:top w:w="30" w:type="dxa"/>
              <w:left w:w="0" w:type="dxa"/>
              <w:bottom w:w="30" w:type="dxa"/>
              <w:right w:w="20" w:type="dxa"/>
            </w:tcMar>
            <w:vAlign w:val="bottom"/>
            <w:hideMark/>
          </w:tcPr>
          <w:p w14:paraId="2983B13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3315F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DDEC3D"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2BC954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B7E30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8DE872"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31B5A4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61EE0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F5D699" w14:textId="77777777" w:rsidR="00000000" w:rsidRDefault="00405D16">
            <w:pPr>
              <w:spacing w:after="100"/>
              <w:jc w:val="right"/>
              <w:rPr>
                <w:rFonts w:eastAsia="Times New Roman"/>
              </w:rPr>
            </w:pPr>
            <w:r>
              <w:rPr>
                <w:rFonts w:eastAsia="Times New Roman"/>
                <w:b/>
                <w:bCs/>
                <w:color w:val="000000"/>
                <w:sz w:val="18"/>
                <w:szCs w:val="18"/>
              </w:rPr>
              <w:t>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036515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DB8BC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8E90A9" w14:textId="77777777" w:rsidR="00000000" w:rsidRDefault="00405D16">
            <w:pPr>
              <w:spacing w:after="100"/>
              <w:jc w:val="right"/>
              <w:rPr>
                <w:rFonts w:eastAsia="Times New Roman"/>
              </w:rPr>
            </w:pPr>
            <w:r>
              <w:rPr>
                <w:rFonts w:eastAsia="Times New Roman"/>
                <w:b/>
                <w:bCs/>
                <w:color w:val="000000"/>
                <w:sz w:val="18"/>
                <w:szCs w:val="18"/>
              </w:rPr>
              <w:t>54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35079C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5CFE6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992603" w14:textId="77777777" w:rsidR="00000000" w:rsidRDefault="00405D16">
            <w:pPr>
              <w:spacing w:after="100"/>
              <w:jc w:val="right"/>
              <w:rPr>
                <w:rFonts w:eastAsia="Times New Roman"/>
              </w:rPr>
            </w:pPr>
            <w:r>
              <w:rPr>
                <w:rFonts w:eastAsia="Times New Roman"/>
                <w:b/>
                <w:bCs/>
                <w:color w:val="000000"/>
                <w:sz w:val="18"/>
                <w:szCs w:val="18"/>
              </w:rPr>
              <w:t>103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954247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06FDB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3FEFDC" w14:textId="77777777" w:rsidR="00000000" w:rsidRDefault="00405D16">
            <w:pPr>
              <w:spacing w:after="100"/>
              <w:jc w:val="right"/>
              <w:rPr>
                <w:rFonts w:eastAsia="Times New Roman"/>
              </w:rPr>
            </w:pPr>
            <w:r>
              <w:rPr>
                <w:rFonts w:eastAsia="Times New Roman"/>
                <w:b/>
                <w:bCs/>
                <w:color w:val="000000"/>
                <w:sz w:val="18"/>
                <w:szCs w:val="18"/>
              </w:rPr>
              <w:t>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6E17C00" w14:textId="77777777" w:rsidR="00000000" w:rsidRDefault="00405D16">
            <w:pPr>
              <w:spacing w:after="100"/>
              <w:jc w:val="right"/>
              <w:rPr>
                <w:rFonts w:eastAsia="Times New Roman"/>
              </w:rPr>
            </w:pPr>
          </w:p>
        </w:tc>
      </w:tr>
      <w:tr w:rsidR="00000000" w14:paraId="053EA4CE" w14:textId="77777777">
        <w:trPr>
          <w:divId w:val="442530170"/>
        </w:trPr>
        <w:tc>
          <w:tcPr>
            <w:tcW w:w="0" w:type="auto"/>
            <w:gridSpan w:val="3"/>
            <w:shd w:val="clear" w:color="auto" w:fill="CCEEFF"/>
            <w:tcMar>
              <w:top w:w="30" w:type="dxa"/>
              <w:left w:w="20" w:type="dxa"/>
              <w:bottom w:w="30" w:type="dxa"/>
              <w:right w:w="20" w:type="dxa"/>
            </w:tcMar>
            <w:vAlign w:val="center"/>
            <w:hideMark/>
          </w:tcPr>
          <w:p w14:paraId="7A7EF375" w14:textId="77777777" w:rsidR="00000000" w:rsidRDefault="00405D16">
            <w:pPr>
              <w:spacing w:after="100"/>
              <w:divId w:val="1574898774"/>
              <w:rPr>
                <w:rFonts w:eastAsia="Times New Roman"/>
              </w:rPr>
            </w:pPr>
            <w:r>
              <w:rPr>
                <w:rFonts w:eastAsia="Times New Roman"/>
                <w:color w:val="000000"/>
                <w:sz w:val="18"/>
                <w:szCs w:val="18"/>
              </w:rPr>
              <w:t>Excluded component of fair value hedge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734ED566"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5D9AAC"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C03929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1CCB4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B05E9B"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82A300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8186E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226B79"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481C31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273EA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9B3D98"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396E18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562AA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AEBD6D"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CA5F55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C2A07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91D69C" w14:textId="77777777" w:rsidR="00000000" w:rsidRDefault="00405D16">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bottom"/>
            <w:hideMark/>
          </w:tcPr>
          <w:p w14:paraId="73E2E40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53CE9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2876A7"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F5CC6AC" w14:textId="77777777" w:rsidR="00000000" w:rsidRDefault="00405D16">
            <w:pPr>
              <w:spacing w:after="100"/>
              <w:jc w:val="right"/>
              <w:rPr>
                <w:rFonts w:eastAsia="Times New Roman"/>
              </w:rPr>
            </w:pPr>
          </w:p>
        </w:tc>
      </w:tr>
      <w:tr w:rsidR="00405D16" w14:paraId="00BC38F6" w14:textId="77777777">
        <w:trPr>
          <w:divId w:val="442530170"/>
        </w:trPr>
        <w:tc>
          <w:tcPr>
            <w:tcW w:w="0" w:type="auto"/>
            <w:gridSpan w:val="3"/>
            <w:shd w:val="clear" w:color="auto" w:fill="FFFFFF"/>
            <w:tcMar>
              <w:top w:w="30" w:type="dxa"/>
              <w:left w:w="20" w:type="dxa"/>
              <w:bottom w:w="30" w:type="dxa"/>
              <w:right w:w="20" w:type="dxa"/>
            </w:tcMar>
            <w:vAlign w:val="center"/>
            <w:hideMark/>
          </w:tcPr>
          <w:p w14:paraId="4F453107" w14:textId="77777777" w:rsidR="00000000" w:rsidRDefault="00405D16">
            <w:pPr>
              <w:spacing w:after="100"/>
              <w:rPr>
                <w:rFonts w:eastAsia="Times New Roman"/>
              </w:rPr>
            </w:pPr>
            <w:r>
              <w:rPr>
                <w:rFonts w:eastAsia="Times New Roman"/>
                <w:color w:val="000000"/>
                <w:sz w:val="18"/>
                <w:szCs w:val="18"/>
              </w:rPr>
              <w:t>Net income (expense) recognized on fair value hedges</w:t>
            </w:r>
          </w:p>
        </w:tc>
        <w:tc>
          <w:tcPr>
            <w:tcW w:w="0" w:type="auto"/>
            <w:gridSpan w:val="3"/>
            <w:shd w:val="clear" w:color="auto" w:fill="FFFFFF"/>
            <w:tcMar>
              <w:top w:w="0" w:type="dxa"/>
              <w:left w:w="20" w:type="dxa"/>
              <w:bottom w:w="0" w:type="dxa"/>
              <w:right w:w="20" w:type="dxa"/>
            </w:tcMar>
            <w:vAlign w:val="center"/>
            <w:hideMark/>
          </w:tcPr>
          <w:p w14:paraId="2C76AA3E" w14:textId="77777777" w:rsidR="00000000" w:rsidRDefault="00405D16">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F6DD80D"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4064829" w14:textId="77777777" w:rsidR="00000000" w:rsidRDefault="00405D16">
            <w:pPr>
              <w:spacing w:after="100"/>
              <w:jc w:val="right"/>
              <w:rPr>
                <w:rFonts w:eastAsia="Times New Roman"/>
              </w:rPr>
            </w:pPr>
            <w:r>
              <w:rPr>
                <w:rFonts w:eastAsia="Times New Roman"/>
                <w:b/>
                <w:bCs/>
                <w:color w:val="000000"/>
                <w:sz w:val="18"/>
                <w:szCs w:val="18"/>
              </w:rPr>
              <w:t>(89)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0B13C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028CB0"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0DC1C26"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73099FA"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E8FB9D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D8CD3A"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A45E5B6"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68A676F"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6AEF1E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821570"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97D3537"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36F5C6B" w14:textId="77777777" w:rsidR="00000000" w:rsidRDefault="00405D16">
            <w:pPr>
              <w:spacing w:after="100"/>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2393BC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B62E81"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0231170"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C60B1DA" w14:textId="77777777" w:rsidR="00000000" w:rsidRDefault="00405D16">
            <w:pPr>
              <w:spacing w:after="100"/>
              <w:jc w:val="right"/>
              <w:rPr>
                <w:rFonts w:eastAsia="Times New Roman"/>
              </w:rPr>
            </w:pPr>
            <w:r>
              <w:rPr>
                <w:rFonts w:eastAsia="Times New Roman"/>
                <w:b/>
                <w:bCs/>
                <w:color w:val="000000"/>
                <w:sz w:val="18"/>
                <w:szCs w:val="18"/>
              </w:rPr>
              <w:t>27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93F2E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DB6A8E"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E93981D"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F3F51CC" w14:textId="77777777" w:rsidR="00000000" w:rsidRDefault="00405D16">
            <w:pPr>
              <w:spacing w:after="100"/>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31E0F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90461C"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0DE8CF7"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4D2D60B"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76A3691" w14:textId="77777777" w:rsidR="00000000" w:rsidRDefault="00405D16">
            <w:pPr>
              <w:spacing w:after="100"/>
              <w:jc w:val="right"/>
              <w:rPr>
                <w:rFonts w:eastAsia="Times New Roman"/>
              </w:rPr>
            </w:pPr>
          </w:p>
        </w:tc>
      </w:tr>
      <w:tr w:rsidR="00000000" w14:paraId="734ACAAC" w14:textId="77777777">
        <w:trPr>
          <w:divId w:val="442530170"/>
        </w:trPr>
        <w:tc>
          <w:tcPr>
            <w:tcW w:w="0" w:type="auto"/>
            <w:gridSpan w:val="3"/>
            <w:shd w:val="clear" w:color="auto" w:fill="CCEEFF"/>
            <w:tcMar>
              <w:top w:w="30" w:type="dxa"/>
              <w:left w:w="20" w:type="dxa"/>
              <w:bottom w:w="30" w:type="dxa"/>
              <w:right w:w="20" w:type="dxa"/>
            </w:tcMar>
            <w:vAlign w:val="center"/>
            <w:hideMark/>
          </w:tcPr>
          <w:p w14:paraId="4FE1F881" w14:textId="77777777" w:rsidR="00000000" w:rsidRDefault="00405D16">
            <w:pPr>
              <w:spacing w:after="100"/>
              <w:divId w:val="1304887734"/>
              <w:rPr>
                <w:rFonts w:eastAsia="Times New Roman"/>
              </w:rPr>
            </w:pPr>
            <w:r>
              <w:rPr>
                <w:rFonts w:eastAsia="Times New Roman"/>
                <w:b/>
                <w:bCs/>
                <w:color w:val="000000"/>
                <w:sz w:val="18"/>
                <w:szCs w:val="18"/>
              </w:rPr>
              <w:t>Cash flow hedging relationships</w:t>
            </w:r>
            <w:r>
              <w:rPr>
                <w:rFonts w:eastAsia="Times New Roman"/>
                <w:b/>
                <w:bCs/>
                <w:color w:val="000000"/>
                <w:sz w:val="18"/>
                <w:szCs w:val="18"/>
              </w:rPr>
              <w:t>:</w:t>
            </w:r>
            <w:r>
              <w:rPr>
                <w:rFonts w:eastAsia="Times New Roman"/>
                <w:b/>
                <w:bCs/>
                <w:color w:val="000000"/>
                <w:sz w:val="12"/>
                <w:szCs w:val="12"/>
              </w:rPr>
              <w:t>(3</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2B073D1D" w14:textId="77777777" w:rsidR="00000000" w:rsidRDefault="00405D16">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FC0551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8CCE6A"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4D76C6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67B371"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05BDD1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3D18BD"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5EAE7A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C58EBE"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901D4C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4CDA9D"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D6BB0B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667994"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152DF3B" w14:textId="77777777" w:rsidR="00000000" w:rsidRDefault="00405D16">
            <w:pPr>
              <w:spacing w:after="100"/>
              <w:rPr>
                <w:rFonts w:eastAsia="Times New Roman"/>
                <w:sz w:val="20"/>
                <w:szCs w:val="20"/>
              </w:rPr>
            </w:pPr>
          </w:p>
        </w:tc>
      </w:tr>
      <w:tr w:rsidR="00000000" w14:paraId="3C821026" w14:textId="77777777">
        <w:trPr>
          <w:divId w:val="442530170"/>
        </w:trPr>
        <w:tc>
          <w:tcPr>
            <w:tcW w:w="0" w:type="auto"/>
            <w:gridSpan w:val="3"/>
            <w:shd w:val="clear" w:color="auto" w:fill="FFFFFF"/>
            <w:tcMar>
              <w:top w:w="30" w:type="dxa"/>
              <w:left w:w="20" w:type="dxa"/>
              <w:bottom w:w="30" w:type="dxa"/>
              <w:right w:w="20" w:type="dxa"/>
            </w:tcMar>
            <w:vAlign w:val="center"/>
            <w:hideMark/>
          </w:tcPr>
          <w:p w14:paraId="174E2C70" w14:textId="77777777" w:rsidR="00000000" w:rsidRDefault="00405D16">
            <w:pPr>
              <w:spacing w:after="100"/>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14:paraId="2D0B7338"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4FFD7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BB9B1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38B70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D2C8A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67CC1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0C5A2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EB69E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4B883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B439C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1A7FA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A0387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A3A89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887877" w14:textId="77777777" w:rsidR="00000000" w:rsidRDefault="00405D16">
            <w:pPr>
              <w:spacing w:after="100"/>
              <w:rPr>
                <w:rFonts w:eastAsia="Times New Roman"/>
                <w:sz w:val="20"/>
                <w:szCs w:val="20"/>
              </w:rPr>
            </w:pPr>
          </w:p>
        </w:tc>
      </w:tr>
      <w:tr w:rsidR="00405D16" w14:paraId="4E388511" w14:textId="77777777">
        <w:trPr>
          <w:divId w:val="442530170"/>
        </w:trPr>
        <w:tc>
          <w:tcPr>
            <w:tcW w:w="0" w:type="auto"/>
            <w:gridSpan w:val="3"/>
            <w:shd w:val="clear" w:color="auto" w:fill="CCEEFF"/>
            <w:tcMar>
              <w:top w:w="30" w:type="dxa"/>
              <w:left w:w="245" w:type="dxa"/>
              <w:bottom w:w="30" w:type="dxa"/>
              <w:right w:w="20" w:type="dxa"/>
            </w:tcMar>
            <w:vAlign w:val="center"/>
            <w:hideMark/>
          </w:tcPr>
          <w:p w14:paraId="64B24E01" w14:textId="77777777" w:rsidR="00000000" w:rsidRDefault="00405D16">
            <w:pPr>
              <w:spacing w:after="100"/>
              <w:rPr>
                <w:rFonts w:eastAsia="Times New Roman"/>
              </w:rPr>
            </w:pPr>
            <w:r>
              <w:rPr>
                <w:rFonts w:eastAsia="Times New Roman"/>
                <w:color w:val="000000"/>
                <w:sz w:val="18"/>
                <w:szCs w:val="18"/>
              </w:rPr>
              <w:t>Realized gains (losses) reclassified from AOCI into net income</w:t>
            </w:r>
          </w:p>
        </w:tc>
        <w:tc>
          <w:tcPr>
            <w:tcW w:w="0" w:type="auto"/>
            <w:gridSpan w:val="3"/>
            <w:shd w:val="clear" w:color="auto" w:fill="CCEEFF"/>
            <w:tcMar>
              <w:top w:w="0" w:type="dxa"/>
              <w:left w:w="20" w:type="dxa"/>
              <w:bottom w:w="0" w:type="dxa"/>
              <w:right w:w="20" w:type="dxa"/>
            </w:tcMar>
            <w:vAlign w:val="center"/>
            <w:hideMark/>
          </w:tcPr>
          <w:p w14:paraId="27677227" w14:textId="77777777" w:rsidR="00000000" w:rsidRDefault="00405D1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46930A53"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11FFE8EC" w14:textId="77777777" w:rsidR="00000000" w:rsidRDefault="00405D16">
            <w:pPr>
              <w:spacing w:after="100"/>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197664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3A67C9"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3AC6F40"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0934ACF1" w14:textId="77777777" w:rsidR="00000000" w:rsidRDefault="00405D16">
            <w:pPr>
              <w:spacing w:after="100"/>
              <w:jc w:val="right"/>
              <w:rPr>
                <w:rFonts w:eastAsia="Times New Roman"/>
              </w:rPr>
            </w:pPr>
            <w:r>
              <w:rPr>
                <w:rFonts w:eastAsia="Times New Roman"/>
                <w:b/>
                <w:bCs/>
                <w:color w:val="000000"/>
                <w:sz w:val="18"/>
                <w:szCs w:val="18"/>
              </w:rPr>
              <w:t>240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4DB3FF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32ADB8"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53F3964"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1589B175"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E69A05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39AE82"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0E876D5"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5123BFC4"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3809BB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E3A42F"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31E88F2"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55789F01"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F78C33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E57390"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B8F34B4"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4FE5AB9D"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8F5982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DADC25"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73C5853"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51153CAC"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6C56821" w14:textId="77777777" w:rsidR="00000000" w:rsidRDefault="00405D16">
            <w:pPr>
              <w:spacing w:after="100"/>
              <w:jc w:val="right"/>
              <w:rPr>
                <w:rFonts w:eastAsia="Times New Roman"/>
              </w:rPr>
            </w:pPr>
          </w:p>
        </w:tc>
      </w:tr>
      <w:tr w:rsidR="00000000" w14:paraId="7FAFD5AA" w14:textId="77777777">
        <w:trPr>
          <w:divId w:val="442530170"/>
        </w:trPr>
        <w:tc>
          <w:tcPr>
            <w:tcW w:w="0" w:type="auto"/>
            <w:gridSpan w:val="3"/>
            <w:shd w:val="clear" w:color="auto" w:fill="FFFFFF"/>
            <w:tcMar>
              <w:top w:w="30" w:type="dxa"/>
              <w:left w:w="20" w:type="dxa"/>
              <w:bottom w:w="30" w:type="dxa"/>
              <w:right w:w="20" w:type="dxa"/>
            </w:tcMar>
            <w:vAlign w:val="center"/>
            <w:hideMark/>
          </w:tcPr>
          <w:p w14:paraId="6955B72A" w14:textId="77777777" w:rsidR="00000000" w:rsidRDefault="00405D16">
            <w:pPr>
              <w:spacing w:after="100"/>
              <w:rPr>
                <w:rFonts w:eastAsia="Times New Roman"/>
              </w:rPr>
            </w:pPr>
            <w:r>
              <w:rPr>
                <w:rFonts w:eastAsia="Times New Roman"/>
                <w:color w:val="000000"/>
                <w:sz w:val="18"/>
                <w:szCs w:val="18"/>
              </w:rPr>
              <w:t>Foreign exchange contracts:</w:t>
            </w:r>
          </w:p>
        </w:tc>
        <w:tc>
          <w:tcPr>
            <w:tcW w:w="0" w:type="auto"/>
            <w:gridSpan w:val="3"/>
            <w:shd w:val="clear" w:color="auto" w:fill="FFFFFF"/>
            <w:tcMar>
              <w:top w:w="0" w:type="dxa"/>
              <w:left w:w="20" w:type="dxa"/>
              <w:bottom w:w="0" w:type="dxa"/>
              <w:right w:w="20" w:type="dxa"/>
            </w:tcMar>
            <w:vAlign w:val="center"/>
            <w:hideMark/>
          </w:tcPr>
          <w:p w14:paraId="1860A5DE"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C806C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B98F1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B303B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A1D98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22A7F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91C69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7C098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86AA94"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4AD97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86759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58F764"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17AE9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929D77" w14:textId="77777777" w:rsidR="00000000" w:rsidRDefault="00405D16">
            <w:pPr>
              <w:spacing w:after="100"/>
              <w:rPr>
                <w:rFonts w:eastAsia="Times New Roman"/>
                <w:sz w:val="20"/>
                <w:szCs w:val="20"/>
              </w:rPr>
            </w:pPr>
          </w:p>
        </w:tc>
      </w:tr>
      <w:tr w:rsidR="00000000" w14:paraId="2C247154" w14:textId="77777777">
        <w:trPr>
          <w:divId w:val="442530170"/>
        </w:trPr>
        <w:tc>
          <w:tcPr>
            <w:tcW w:w="0" w:type="auto"/>
            <w:gridSpan w:val="3"/>
            <w:shd w:val="clear" w:color="auto" w:fill="CCEEFF"/>
            <w:tcMar>
              <w:top w:w="30" w:type="dxa"/>
              <w:left w:w="20" w:type="dxa"/>
              <w:bottom w:w="30" w:type="dxa"/>
              <w:right w:w="20" w:type="dxa"/>
            </w:tcMar>
            <w:vAlign w:val="center"/>
            <w:hideMark/>
          </w:tcPr>
          <w:p w14:paraId="17A4C921" w14:textId="77777777" w:rsidR="00000000" w:rsidRDefault="00405D16">
            <w:pPr>
              <w:spacing w:after="100"/>
              <w:divId w:val="782698290"/>
              <w:rPr>
                <w:rFonts w:eastAsia="Times New Roman"/>
              </w:rPr>
            </w:pPr>
            <w:r>
              <w:rPr>
                <w:rFonts w:eastAsia="Times New Roman"/>
                <w:color w:val="000000"/>
                <w:sz w:val="18"/>
                <w:szCs w:val="18"/>
              </w:rPr>
              <w:t>Realized gains (losses) reclassified from AOCI into net incom</w:t>
            </w:r>
            <w:r>
              <w:rPr>
                <w:rFonts w:eastAsia="Times New Roman"/>
                <w:color w:val="000000"/>
                <w:sz w:val="18"/>
                <w:szCs w:val="18"/>
              </w:rPr>
              <w:t>e</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27C4BFE5"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20283EA"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58B8C0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8821E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89F688"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1C3A82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16DDD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48B294"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1F7CA2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142EA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4DFA94"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192F80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41EC7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19C630"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1D4C5F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BAE30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A57084"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BDA6F6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F0177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C1C6D1"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2F50097" w14:textId="77777777" w:rsidR="00000000" w:rsidRDefault="00405D16">
            <w:pPr>
              <w:spacing w:after="100"/>
              <w:jc w:val="right"/>
              <w:rPr>
                <w:rFonts w:eastAsia="Times New Roman"/>
              </w:rPr>
            </w:pPr>
          </w:p>
        </w:tc>
      </w:tr>
      <w:tr w:rsidR="00405D16" w14:paraId="2CBF5B61" w14:textId="77777777">
        <w:trPr>
          <w:divId w:val="442530170"/>
        </w:trPr>
        <w:tc>
          <w:tcPr>
            <w:tcW w:w="0" w:type="auto"/>
            <w:gridSpan w:val="3"/>
            <w:shd w:val="clear" w:color="auto" w:fill="FFFFFF"/>
            <w:tcMar>
              <w:top w:w="30" w:type="dxa"/>
              <w:left w:w="20" w:type="dxa"/>
              <w:bottom w:w="30" w:type="dxa"/>
              <w:right w:w="20" w:type="dxa"/>
            </w:tcMar>
            <w:vAlign w:val="center"/>
            <w:hideMark/>
          </w:tcPr>
          <w:p w14:paraId="0D1C8081" w14:textId="77777777" w:rsidR="00000000" w:rsidRDefault="00405D16">
            <w:pPr>
              <w:spacing w:after="100"/>
              <w:rPr>
                <w:rFonts w:eastAsia="Times New Roman"/>
              </w:rPr>
            </w:pPr>
            <w:r>
              <w:rPr>
                <w:rFonts w:eastAsia="Times New Roman"/>
                <w:color w:val="000000"/>
                <w:sz w:val="18"/>
                <w:szCs w:val="18"/>
              </w:rPr>
              <w:t>Net income (expense) recognized on cash flow hedges</w:t>
            </w:r>
          </w:p>
        </w:tc>
        <w:tc>
          <w:tcPr>
            <w:tcW w:w="0" w:type="auto"/>
            <w:gridSpan w:val="3"/>
            <w:shd w:val="clear" w:color="auto" w:fill="FFFFFF"/>
            <w:tcMar>
              <w:top w:w="0" w:type="dxa"/>
              <w:left w:w="20" w:type="dxa"/>
              <w:bottom w:w="0" w:type="dxa"/>
              <w:right w:w="20" w:type="dxa"/>
            </w:tcMar>
            <w:vAlign w:val="center"/>
            <w:hideMark/>
          </w:tcPr>
          <w:p w14:paraId="197A984D"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F3187BC"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A30EEE4" w14:textId="77777777" w:rsidR="00000000" w:rsidRDefault="00405D16">
            <w:pPr>
              <w:spacing w:after="100"/>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249987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6BD066"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F269C7D"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74E5388" w14:textId="77777777" w:rsidR="00000000" w:rsidRDefault="00405D16">
            <w:pPr>
              <w:spacing w:after="100"/>
              <w:jc w:val="right"/>
              <w:rPr>
                <w:rFonts w:eastAsia="Times New Roman"/>
              </w:rPr>
            </w:pPr>
            <w:r>
              <w:rPr>
                <w:rFonts w:eastAsia="Times New Roman"/>
                <w:b/>
                <w:bCs/>
                <w:color w:val="000000"/>
                <w:sz w:val="18"/>
                <w:szCs w:val="18"/>
              </w:rPr>
              <w:t>240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2E7667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51D552"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8715D37"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011EA2F"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A51F9C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E8D017"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F83D90C"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02A8145"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9ADFAB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78700F"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16FDC05"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B588D39"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F2EA2A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224CCF"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DE99C3B"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61B672A"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451871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B8F046"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FE682A0"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92DFBC2"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4200DD5" w14:textId="77777777" w:rsidR="00000000" w:rsidRDefault="00405D16">
            <w:pPr>
              <w:spacing w:after="100"/>
              <w:jc w:val="right"/>
              <w:rPr>
                <w:rFonts w:eastAsia="Times New Roman"/>
              </w:rPr>
            </w:pPr>
          </w:p>
        </w:tc>
      </w:tr>
    </w:tbl>
    <w:p w14:paraId="44215827" w14:textId="77777777" w:rsidR="00000000" w:rsidRDefault="00405D16">
      <w:pPr>
        <w:jc w:val="both"/>
        <w:divId w:val="1923682778"/>
        <w:rPr>
          <w:rFonts w:eastAsia="Times New Roman"/>
        </w:rPr>
      </w:pPr>
    </w:p>
    <w:p w14:paraId="4E3FA7AF" w14:textId="77777777" w:rsidR="00000000" w:rsidRDefault="00405D16">
      <w:pPr>
        <w:jc w:val="both"/>
        <w:divId w:val="1503547109"/>
        <w:rPr>
          <w:rFonts w:eastAsia="Times New Roman"/>
        </w:rPr>
      </w:pPr>
    </w:p>
    <w:tbl>
      <w:tblPr>
        <w:tblW w:w="4956" w:type="pct"/>
        <w:tblCellMar>
          <w:top w:w="15" w:type="dxa"/>
          <w:left w:w="15" w:type="dxa"/>
          <w:bottom w:w="15" w:type="dxa"/>
          <w:right w:w="15" w:type="dxa"/>
        </w:tblCellMar>
        <w:tblLook w:val="04A0" w:firstRow="1" w:lastRow="0" w:firstColumn="1" w:lastColumn="0" w:noHBand="0" w:noVBand="1"/>
      </w:tblPr>
      <w:tblGrid>
        <w:gridCol w:w="55"/>
        <w:gridCol w:w="1779"/>
        <w:gridCol w:w="36"/>
        <w:gridCol w:w="36"/>
        <w:gridCol w:w="36"/>
        <w:gridCol w:w="36"/>
        <w:gridCol w:w="36"/>
        <w:gridCol w:w="720"/>
        <w:gridCol w:w="36"/>
        <w:gridCol w:w="36"/>
        <w:gridCol w:w="36"/>
        <w:gridCol w:w="36"/>
        <w:gridCol w:w="36"/>
        <w:gridCol w:w="744"/>
        <w:gridCol w:w="36"/>
        <w:gridCol w:w="36"/>
        <w:gridCol w:w="36"/>
        <w:gridCol w:w="36"/>
        <w:gridCol w:w="36"/>
        <w:gridCol w:w="722"/>
        <w:gridCol w:w="36"/>
        <w:gridCol w:w="36"/>
        <w:gridCol w:w="36"/>
        <w:gridCol w:w="36"/>
        <w:gridCol w:w="37"/>
        <w:gridCol w:w="722"/>
        <w:gridCol w:w="36"/>
        <w:gridCol w:w="36"/>
        <w:gridCol w:w="36"/>
        <w:gridCol w:w="36"/>
        <w:gridCol w:w="37"/>
        <w:gridCol w:w="746"/>
        <w:gridCol w:w="36"/>
        <w:gridCol w:w="36"/>
        <w:gridCol w:w="36"/>
        <w:gridCol w:w="36"/>
        <w:gridCol w:w="37"/>
        <w:gridCol w:w="746"/>
        <w:gridCol w:w="36"/>
        <w:gridCol w:w="36"/>
        <w:gridCol w:w="36"/>
        <w:gridCol w:w="36"/>
        <w:gridCol w:w="37"/>
        <w:gridCol w:w="699"/>
        <w:gridCol w:w="36"/>
      </w:tblGrid>
      <w:tr w:rsidR="00000000" w14:paraId="6CE2FE2B" w14:textId="77777777">
        <w:trPr>
          <w:divId w:val="86119291"/>
        </w:trPr>
        <w:tc>
          <w:tcPr>
            <w:tcW w:w="50" w:type="pct"/>
            <w:vAlign w:val="center"/>
            <w:hideMark/>
          </w:tcPr>
          <w:p w14:paraId="7B10C467" w14:textId="77777777" w:rsidR="00000000" w:rsidRDefault="00405D16">
            <w:pPr>
              <w:jc w:val="both"/>
              <w:rPr>
                <w:rFonts w:eastAsia="Times New Roman"/>
              </w:rPr>
            </w:pPr>
          </w:p>
        </w:tc>
        <w:tc>
          <w:tcPr>
            <w:tcW w:w="1095" w:type="pct"/>
            <w:vAlign w:val="center"/>
            <w:hideMark/>
          </w:tcPr>
          <w:p w14:paraId="4D4BAFD5" w14:textId="77777777" w:rsidR="00000000" w:rsidRDefault="00405D16">
            <w:pPr>
              <w:spacing w:after="100"/>
              <w:rPr>
                <w:rFonts w:eastAsia="Times New Roman"/>
                <w:sz w:val="20"/>
                <w:szCs w:val="20"/>
              </w:rPr>
            </w:pPr>
          </w:p>
        </w:tc>
        <w:tc>
          <w:tcPr>
            <w:tcW w:w="5" w:type="pct"/>
            <w:vAlign w:val="center"/>
            <w:hideMark/>
          </w:tcPr>
          <w:p w14:paraId="6BA56780" w14:textId="77777777" w:rsidR="00000000" w:rsidRDefault="00405D16">
            <w:pPr>
              <w:spacing w:after="100"/>
              <w:rPr>
                <w:rFonts w:eastAsia="Times New Roman"/>
                <w:sz w:val="20"/>
                <w:szCs w:val="20"/>
              </w:rPr>
            </w:pPr>
          </w:p>
        </w:tc>
        <w:tc>
          <w:tcPr>
            <w:tcW w:w="5" w:type="pct"/>
            <w:vAlign w:val="center"/>
            <w:hideMark/>
          </w:tcPr>
          <w:p w14:paraId="438093A2" w14:textId="77777777" w:rsidR="00000000" w:rsidRDefault="00405D16">
            <w:pPr>
              <w:spacing w:after="100"/>
              <w:rPr>
                <w:rFonts w:eastAsia="Times New Roman"/>
                <w:sz w:val="20"/>
                <w:szCs w:val="20"/>
              </w:rPr>
            </w:pPr>
          </w:p>
        </w:tc>
        <w:tc>
          <w:tcPr>
            <w:tcW w:w="26" w:type="pct"/>
            <w:vAlign w:val="center"/>
            <w:hideMark/>
          </w:tcPr>
          <w:p w14:paraId="36AC8AB0" w14:textId="77777777" w:rsidR="00000000" w:rsidRDefault="00405D16">
            <w:pPr>
              <w:spacing w:after="100"/>
              <w:rPr>
                <w:rFonts w:eastAsia="Times New Roman"/>
                <w:sz w:val="20"/>
                <w:szCs w:val="20"/>
              </w:rPr>
            </w:pPr>
          </w:p>
        </w:tc>
        <w:tc>
          <w:tcPr>
            <w:tcW w:w="5" w:type="pct"/>
            <w:vAlign w:val="center"/>
            <w:hideMark/>
          </w:tcPr>
          <w:p w14:paraId="14515DCD" w14:textId="77777777" w:rsidR="00000000" w:rsidRDefault="00405D16">
            <w:pPr>
              <w:spacing w:after="100"/>
              <w:rPr>
                <w:rFonts w:eastAsia="Times New Roman"/>
                <w:sz w:val="20"/>
                <w:szCs w:val="20"/>
              </w:rPr>
            </w:pPr>
          </w:p>
        </w:tc>
        <w:tc>
          <w:tcPr>
            <w:tcW w:w="50" w:type="pct"/>
            <w:vAlign w:val="center"/>
            <w:hideMark/>
          </w:tcPr>
          <w:p w14:paraId="10884F7A" w14:textId="77777777" w:rsidR="00000000" w:rsidRDefault="00405D16">
            <w:pPr>
              <w:spacing w:after="100"/>
              <w:rPr>
                <w:rFonts w:eastAsia="Times New Roman"/>
                <w:sz w:val="20"/>
                <w:szCs w:val="20"/>
              </w:rPr>
            </w:pPr>
          </w:p>
        </w:tc>
        <w:tc>
          <w:tcPr>
            <w:tcW w:w="453" w:type="pct"/>
            <w:vAlign w:val="center"/>
            <w:hideMark/>
          </w:tcPr>
          <w:p w14:paraId="585DB22B" w14:textId="77777777" w:rsidR="00000000" w:rsidRDefault="00405D16">
            <w:pPr>
              <w:spacing w:after="100"/>
              <w:rPr>
                <w:rFonts w:eastAsia="Times New Roman"/>
                <w:sz w:val="20"/>
                <w:szCs w:val="20"/>
              </w:rPr>
            </w:pPr>
          </w:p>
        </w:tc>
        <w:tc>
          <w:tcPr>
            <w:tcW w:w="5" w:type="pct"/>
            <w:vAlign w:val="center"/>
            <w:hideMark/>
          </w:tcPr>
          <w:p w14:paraId="1D88F3F7" w14:textId="77777777" w:rsidR="00000000" w:rsidRDefault="00405D16">
            <w:pPr>
              <w:spacing w:after="100"/>
              <w:rPr>
                <w:rFonts w:eastAsia="Times New Roman"/>
                <w:sz w:val="20"/>
                <w:szCs w:val="20"/>
              </w:rPr>
            </w:pPr>
          </w:p>
        </w:tc>
        <w:tc>
          <w:tcPr>
            <w:tcW w:w="5" w:type="pct"/>
            <w:vAlign w:val="center"/>
            <w:hideMark/>
          </w:tcPr>
          <w:p w14:paraId="2A040421" w14:textId="77777777" w:rsidR="00000000" w:rsidRDefault="00405D16">
            <w:pPr>
              <w:spacing w:after="100"/>
              <w:rPr>
                <w:rFonts w:eastAsia="Times New Roman"/>
                <w:sz w:val="20"/>
                <w:szCs w:val="20"/>
              </w:rPr>
            </w:pPr>
          </w:p>
        </w:tc>
        <w:tc>
          <w:tcPr>
            <w:tcW w:w="26" w:type="pct"/>
            <w:vAlign w:val="center"/>
            <w:hideMark/>
          </w:tcPr>
          <w:p w14:paraId="771F1EB5" w14:textId="77777777" w:rsidR="00000000" w:rsidRDefault="00405D16">
            <w:pPr>
              <w:spacing w:after="100"/>
              <w:rPr>
                <w:rFonts w:eastAsia="Times New Roman"/>
                <w:sz w:val="20"/>
                <w:szCs w:val="20"/>
              </w:rPr>
            </w:pPr>
          </w:p>
        </w:tc>
        <w:tc>
          <w:tcPr>
            <w:tcW w:w="5" w:type="pct"/>
            <w:vAlign w:val="center"/>
            <w:hideMark/>
          </w:tcPr>
          <w:p w14:paraId="7FE9F2D9" w14:textId="77777777" w:rsidR="00000000" w:rsidRDefault="00405D16">
            <w:pPr>
              <w:spacing w:after="100"/>
              <w:rPr>
                <w:rFonts w:eastAsia="Times New Roman"/>
                <w:sz w:val="20"/>
                <w:szCs w:val="20"/>
              </w:rPr>
            </w:pPr>
          </w:p>
        </w:tc>
        <w:tc>
          <w:tcPr>
            <w:tcW w:w="50" w:type="pct"/>
            <w:vAlign w:val="center"/>
            <w:hideMark/>
          </w:tcPr>
          <w:p w14:paraId="4D165AA7" w14:textId="77777777" w:rsidR="00000000" w:rsidRDefault="00405D16">
            <w:pPr>
              <w:spacing w:after="100"/>
              <w:rPr>
                <w:rFonts w:eastAsia="Times New Roman"/>
                <w:sz w:val="20"/>
                <w:szCs w:val="20"/>
              </w:rPr>
            </w:pPr>
          </w:p>
        </w:tc>
        <w:tc>
          <w:tcPr>
            <w:tcW w:w="468" w:type="pct"/>
            <w:vAlign w:val="center"/>
            <w:hideMark/>
          </w:tcPr>
          <w:p w14:paraId="6DA0A131" w14:textId="77777777" w:rsidR="00000000" w:rsidRDefault="00405D16">
            <w:pPr>
              <w:spacing w:after="100"/>
              <w:rPr>
                <w:rFonts w:eastAsia="Times New Roman"/>
                <w:sz w:val="20"/>
                <w:szCs w:val="20"/>
              </w:rPr>
            </w:pPr>
          </w:p>
        </w:tc>
        <w:tc>
          <w:tcPr>
            <w:tcW w:w="5" w:type="pct"/>
            <w:vAlign w:val="center"/>
            <w:hideMark/>
          </w:tcPr>
          <w:p w14:paraId="4654BD8D" w14:textId="77777777" w:rsidR="00000000" w:rsidRDefault="00405D16">
            <w:pPr>
              <w:spacing w:after="100"/>
              <w:rPr>
                <w:rFonts w:eastAsia="Times New Roman"/>
                <w:sz w:val="20"/>
                <w:szCs w:val="20"/>
              </w:rPr>
            </w:pPr>
          </w:p>
        </w:tc>
        <w:tc>
          <w:tcPr>
            <w:tcW w:w="5" w:type="pct"/>
            <w:vAlign w:val="center"/>
            <w:hideMark/>
          </w:tcPr>
          <w:p w14:paraId="3BF8A1AA" w14:textId="77777777" w:rsidR="00000000" w:rsidRDefault="00405D16">
            <w:pPr>
              <w:spacing w:after="100"/>
              <w:rPr>
                <w:rFonts w:eastAsia="Times New Roman"/>
                <w:sz w:val="20"/>
                <w:szCs w:val="20"/>
              </w:rPr>
            </w:pPr>
          </w:p>
        </w:tc>
        <w:tc>
          <w:tcPr>
            <w:tcW w:w="26" w:type="pct"/>
            <w:vAlign w:val="center"/>
            <w:hideMark/>
          </w:tcPr>
          <w:p w14:paraId="4C5ECF9F" w14:textId="77777777" w:rsidR="00000000" w:rsidRDefault="00405D16">
            <w:pPr>
              <w:spacing w:after="100"/>
              <w:rPr>
                <w:rFonts w:eastAsia="Times New Roman"/>
                <w:sz w:val="20"/>
                <w:szCs w:val="20"/>
              </w:rPr>
            </w:pPr>
          </w:p>
        </w:tc>
        <w:tc>
          <w:tcPr>
            <w:tcW w:w="5" w:type="pct"/>
            <w:vAlign w:val="center"/>
            <w:hideMark/>
          </w:tcPr>
          <w:p w14:paraId="6C4FF0EF" w14:textId="77777777" w:rsidR="00000000" w:rsidRDefault="00405D16">
            <w:pPr>
              <w:spacing w:after="100"/>
              <w:rPr>
                <w:rFonts w:eastAsia="Times New Roman"/>
                <w:sz w:val="20"/>
                <w:szCs w:val="20"/>
              </w:rPr>
            </w:pPr>
          </w:p>
        </w:tc>
        <w:tc>
          <w:tcPr>
            <w:tcW w:w="50" w:type="pct"/>
            <w:vAlign w:val="center"/>
            <w:hideMark/>
          </w:tcPr>
          <w:p w14:paraId="51DAE96C" w14:textId="77777777" w:rsidR="00000000" w:rsidRDefault="00405D16">
            <w:pPr>
              <w:spacing w:after="100"/>
              <w:rPr>
                <w:rFonts w:eastAsia="Times New Roman"/>
                <w:sz w:val="20"/>
                <w:szCs w:val="20"/>
              </w:rPr>
            </w:pPr>
          </w:p>
        </w:tc>
        <w:tc>
          <w:tcPr>
            <w:tcW w:w="453" w:type="pct"/>
            <w:vAlign w:val="center"/>
            <w:hideMark/>
          </w:tcPr>
          <w:p w14:paraId="5639C3F4" w14:textId="77777777" w:rsidR="00000000" w:rsidRDefault="00405D16">
            <w:pPr>
              <w:spacing w:after="100"/>
              <w:rPr>
                <w:rFonts w:eastAsia="Times New Roman"/>
                <w:sz w:val="20"/>
                <w:szCs w:val="20"/>
              </w:rPr>
            </w:pPr>
          </w:p>
        </w:tc>
        <w:tc>
          <w:tcPr>
            <w:tcW w:w="5" w:type="pct"/>
            <w:vAlign w:val="center"/>
            <w:hideMark/>
          </w:tcPr>
          <w:p w14:paraId="011F3AD1" w14:textId="77777777" w:rsidR="00000000" w:rsidRDefault="00405D16">
            <w:pPr>
              <w:spacing w:after="100"/>
              <w:rPr>
                <w:rFonts w:eastAsia="Times New Roman"/>
                <w:sz w:val="20"/>
                <w:szCs w:val="20"/>
              </w:rPr>
            </w:pPr>
          </w:p>
        </w:tc>
        <w:tc>
          <w:tcPr>
            <w:tcW w:w="5" w:type="pct"/>
            <w:vAlign w:val="center"/>
            <w:hideMark/>
          </w:tcPr>
          <w:p w14:paraId="262008DE" w14:textId="77777777" w:rsidR="00000000" w:rsidRDefault="00405D16">
            <w:pPr>
              <w:spacing w:after="100"/>
              <w:rPr>
                <w:rFonts w:eastAsia="Times New Roman"/>
                <w:sz w:val="20"/>
                <w:szCs w:val="20"/>
              </w:rPr>
            </w:pPr>
          </w:p>
        </w:tc>
        <w:tc>
          <w:tcPr>
            <w:tcW w:w="26" w:type="pct"/>
            <w:vAlign w:val="center"/>
            <w:hideMark/>
          </w:tcPr>
          <w:p w14:paraId="3600F52E" w14:textId="77777777" w:rsidR="00000000" w:rsidRDefault="00405D16">
            <w:pPr>
              <w:spacing w:after="100"/>
              <w:rPr>
                <w:rFonts w:eastAsia="Times New Roman"/>
                <w:sz w:val="20"/>
                <w:szCs w:val="20"/>
              </w:rPr>
            </w:pPr>
          </w:p>
        </w:tc>
        <w:tc>
          <w:tcPr>
            <w:tcW w:w="5" w:type="pct"/>
            <w:vAlign w:val="center"/>
            <w:hideMark/>
          </w:tcPr>
          <w:p w14:paraId="5DCAC475" w14:textId="77777777" w:rsidR="00000000" w:rsidRDefault="00405D16">
            <w:pPr>
              <w:spacing w:after="100"/>
              <w:rPr>
                <w:rFonts w:eastAsia="Times New Roman"/>
                <w:sz w:val="20"/>
                <w:szCs w:val="20"/>
              </w:rPr>
            </w:pPr>
          </w:p>
        </w:tc>
        <w:tc>
          <w:tcPr>
            <w:tcW w:w="50" w:type="pct"/>
            <w:vAlign w:val="center"/>
            <w:hideMark/>
          </w:tcPr>
          <w:p w14:paraId="46DF9D76" w14:textId="77777777" w:rsidR="00000000" w:rsidRDefault="00405D16">
            <w:pPr>
              <w:spacing w:after="100"/>
              <w:rPr>
                <w:rFonts w:eastAsia="Times New Roman"/>
                <w:sz w:val="20"/>
                <w:szCs w:val="20"/>
              </w:rPr>
            </w:pPr>
          </w:p>
        </w:tc>
        <w:tc>
          <w:tcPr>
            <w:tcW w:w="453" w:type="pct"/>
            <w:vAlign w:val="center"/>
            <w:hideMark/>
          </w:tcPr>
          <w:p w14:paraId="0BA8935C" w14:textId="77777777" w:rsidR="00000000" w:rsidRDefault="00405D16">
            <w:pPr>
              <w:spacing w:after="100"/>
              <w:rPr>
                <w:rFonts w:eastAsia="Times New Roman"/>
                <w:sz w:val="20"/>
                <w:szCs w:val="20"/>
              </w:rPr>
            </w:pPr>
          </w:p>
        </w:tc>
        <w:tc>
          <w:tcPr>
            <w:tcW w:w="5" w:type="pct"/>
            <w:vAlign w:val="center"/>
            <w:hideMark/>
          </w:tcPr>
          <w:p w14:paraId="5D29DB94" w14:textId="77777777" w:rsidR="00000000" w:rsidRDefault="00405D16">
            <w:pPr>
              <w:spacing w:after="100"/>
              <w:rPr>
                <w:rFonts w:eastAsia="Times New Roman"/>
                <w:sz w:val="20"/>
                <w:szCs w:val="20"/>
              </w:rPr>
            </w:pPr>
          </w:p>
        </w:tc>
        <w:tc>
          <w:tcPr>
            <w:tcW w:w="5" w:type="pct"/>
            <w:vAlign w:val="center"/>
            <w:hideMark/>
          </w:tcPr>
          <w:p w14:paraId="29D9AE95" w14:textId="77777777" w:rsidR="00000000" w:rsidRDefault="00405D16">
            <w:pPr>
              <w:spacing w:after="100"/>
              <w:rPr>
                <w:rFonts w:eastAsia="Times New Roman"/>
                <w:sz w:val="20"/>
                <w:szCs w:val="20"/>
              </w:rPr>
            </w:pPr>
          </w:p>
        </w:tc>
        <w:tc>
          <w:tcPr>
            <w:tcW w:w="26" w:type="pct"/>
            <w:vAlign w:val="center"/>
            <w:hideMark/>
          </w:tcPr>
          <w:p w14:paraId="1F0B6099" w14:textId="77777777" w:rsidR="00000000" w:rsidRDefault="00405D16">
            <w:pPr>
              <w:spacing w:after="100"/>
              <w:rPr>
                <w:rFonts w:eastAsia="Times New Roman"/>
                <w:sz w:val="20"/>
                <w:szCs w:val="20"/>
              </w:rPr>
            </w:pPr>
          </w:p>
        </w:tc>
        <w:tc>
          <w:tcPr>
            <w:tcW w:w="5" w:type="pct"/>
            <w:vAlign w:val="center"/>
            <w:hideMark/>
          </w:tcPr>
          <w:p w14:paraId="12859897" w14:textId="77777777" w:rsidR="00000000" w:rsidRDefault="00405D16">
            <w:pPr>
              <w:spacing w:after="100"/>
              <w:rPr>
                <w:rFonts w:eastAsia="Times New Roman"/>
                <w:sz w:val="20"/>
                <w:szCs w:val="20"/>
              </w:rPr>
            </w:pPr>
          </w:p>
        </w:tc>
        <w:tc>
          <w:tcPr>
            <w:tcW w:w="50" w:type="pct"/>
            <w:vAlign w:val="center"/>
            <w:hideMark/>
          </w:tcPr>
          <w:p w14:paraId="2A3B8584" w14:textId="77777777" w:rsidR="00000000" w:rsidRDefault="00405D16">
            <w:pPr>
              <w:spacing w:after="100"/>
              <w:rPr>
                <w:rFonts w:eastAsia="Times New Roman"/>
                <w:sz w:val="20"/>
                <w:szCs w:val="20"/>
              </w:rPr>
            </w:pPr>
          </w:p>
        </w:tc>
        <w:tc>
          <w:tcPr>
            <w:tcW w:w="468" w:type="pct"/>
            <w:vAlign w:val="center"/>
            <w:hideMark/>
          </w:tcPr>
          <w:p w14:paraId="487DD652" w14:textId="77777777" w:rsidR="00000000" w:rsidRDefault="00405D16">
            <w:pPr>
              <w:spacing w:after="100"/>
              <w:rPr>
                <w:rFonts w:eastAsia="Times New Roman"/>
                <w:sz w:val="20"/>
                <w:szCs w:val="20"/>
              </w:rPr>
            </w:pPr>
          </w:p>
        </w:tc>
        <w:tc>
          <w:tcPr>
            <w:tcW w:w="5" w:type="pct"/>
            <w:vAlign w:val="center"/>
            <w:hideMark/>
          </w:tcPr>
          <w:p w14:paraId="1E93D890" w14:textId="77777777" w:rsidR="00000000" w:rsidRDefault="00405D16">
            <w:pPr>
              <w:spacing w:after="100"/>
              <w:rPr>
                <w:rFonts w:eastAsia="Times New Roman"/>
                <w:sz w:val="20"/>
                <w:szCs w:val="20"/>
              </w:rPr>
            </w:pPr>
          </w:p>
        </w:tc>
        <w:tc>
          <w:tcPr>
            <w:tcW w:w="5" w:type="pct"/>
            <w:vAlign w:val="center"/>
            <w:hideMark/>
          </w:tcPr>
          <w:p w14:paraId="28E7DECF" w14:textId="77777777" w:rsidR="00000000" w:rsidRDefault="00405D16">
            <w:pPr>
              <w:spacing w:after="100"/>
              <w:rPr>
                <w:rFonts w:eastAsia="Times New Roman"/>
                <w:sz w:val="20"/>
                <w:szCs w:val="20"/>
              </w:rPr>
            </w:pPr>
          </w:p>
        </w:tc>
        <w:tc>
          <w:tcPr>
            <w:tcW w:w="26" w:type="pct"/>
            <w:vAlign w:val="center"/>
            <w:hideMark/>
          </w:tcPr>
          <w:p w14:paraId="625B8483" w14:textId="77777777" w:rsidR="00000000" w:rsidRDefault="00405D16">
            <w:pPr>
              <w:spacing w:after="100"/>
              <w:rPr>
                <w:rFonts w:eastAsia="Times New Roman"/>
                <w:sz w:val="20"/>
                <w:szCs w:val="20"/>
              </w:rPr>
            </w:pPr>
          </w:p>
        </w:tc>
        <w:tc>
          <w:tcPr>
            <w:tcW w:w="5" w:type="pct"/>
            <w:vAlign w:val="center"/>
            <w:hideMark/>
          </w:tcPr>
          <w:p w14:paraId="6BF78335" w14:textId="77777777" w:rsidR="00000000" w:rsidRDefault="00405D16">
            <w:pPr>
              <w:spacing w:after="100"/>
              <w:rPr>
                <w:rFonts w:eastAsia="Times New Roman"/>
                <w:sz w:val="20"/>
                <w:szCs w:val="20"/>
              </w:rPr>
            </w:pPr>
          </w:p>
        </w:tc>
        <w:tc>
          <w:tcPr>
            <w:tcW w:w="50" w:type="pct"/>
            <w:vAlign w:val="center"/>
            <w:hideMark/>
          </w:tcPr>
          <w:p w14:paraId="11717E7E" w14:textId="77777777" w:rsidR="00000000" w:rsidRDefault="00405D16">
            <w:pPr>
              <w:spacing w:after="100"/>
              <w:rPr>
                <w:rFonts w:eastAsia="Times New Roman"/>
                <w:sz w:val="20"/>
                <w:szCs w:val="20"/>
              </w:rPr>
            </w:pPr>
          </w:p>
        </w:tc>
        <w:tc>
          <w:tcPr>
            <w:tcW w:w="468" w:type="pct"/>
            <w:vAlign w:val="center"/>
            <w:hideMark/>
          </w:tcPr>
          <w:p w14:paraId="4A0E7387" w14:textId="77777777" w:rsidR="00000000" w:rsidRDefault="00405D16">
            <w:pPr>
              <w:spacing w:after="100"/>
              <w:rPr>
                <w:rFonts w:eastAsia="Times New Roman"/>
                <w:sz w:val="20"/>
                <w:szCs w:val="20"/>
              </w:rPr>
            </w:pPr>
          </w:p>
        </w:tc>
        <w:tc>
          <w:tcPr>
            <w:tcW w:w="5" w:type="pct"/>
            <w:vAlign w:val="center"/>
            <w:hideMark/>
          </w:tcPr>
          <w:p w14:paraId="2772CE06" w14:textId="77777777" w:rsidR="00000000" w:rsidRDefault="00405D16">
            <w:pPr>
              <w:spacing w:after="100"/>
              <w:rPr>
                <w:rFonts w:eastAsia="Times New Roman"/>
                <w:sz w:val="20"/>
                <w:szCs w:val="20"/>
              </w:rPr>
            </w:pPr>
          </w:p>
        </w:tc>
        <w:tc>
          <w:tcPr>
            <w:tcW w:w="5" w:type="pct"/>
            <w:vAlign w:val="center"/>
            <w:hideMark/>
          </w:tcPr>
          <w:p w14:paraId="7A5676B2" w14:textId="77777777" w:rsidR="00000000" w:rsidRDefault="00405D16">
            <w:pPr>
              <w:spacing w:after="100"/>
              <w:rPr>
                <w:rFonts w:eastAsia="Times New Roman"/>
                <w:sz w:val="20"/>
                <w:szCs w:val="20"/>
              </w:rPr>
            </w:pPr>
          </w:p>
        </w:tc>
        <w:tc>
          <w:tcPr>
            <w:tcW w:w="26" w:type="pct"/>
            <w:vAlign w:val="center"/>
            <w:hideMark/>
          </w:tcPr>
          <w:p w14:paraId="6214858B" w14:textId="77777777" w:rsidR="00000000" w:rsidRDefault="00405D16">
            <w:pPr>
              <w:spacing w:after="100"/>
              <w:rPr>
                <w:rFonts w:eastAsia="Times New Roman"/>
                <w:sz w:val="20"/>
                <w:szCs w:val="20"/>
              </w:rPr>
            </w:pPr>
          </w:p>
        </w:tc>
        <w:tc>
          <w:tcPr>
            <w:tcW w:w="5" w:type="pct"/>
            <w:vAlign w:val="center"/>
            <w:hideMark/>
          </w:tcPr>
          <w:p w14:paraId="48542181" w14:textId="77777777" w:rsidR="00000000" w:rsidRDefault="00405D16">
            <w:pPr>
              <w:spacing w:after="100"/>
              <w:rPr>
                <w:rFonts w:eastAsia="Times New Roman"/>
                <w:sz w:val="20"/>
                <w:szCs w:val="20"/>
              </w:rPr>
            </w:pPr>
          </w:p>
        </w:tc>
        <w:tc>
          <w:tcPr>
            <w:tcW w:w="50" w:type="pct"/>
            <w:vAlign w:val="center"/>
            <w:hideMark/>
          </w:tcPr>
          <w:p w14:paraId="5E961CF1" w14:textId="77777777" w:rsidR="00000000" w:rsidRDefault="00405D16">
            <w:pPr>
              <w:spacing w:after="100"/>
              <w:rPr>
                <w:rFonts w:eastAsia="Times New Roman"/>
                <w:sz w:val="20"/>
                <w:szCs w:val="20"/>
              </w:rPr>
            </w:pPr>
          </w:p>
        </w:tc>
        <w:tc>
          <w:tcPr>
            <w:tcW w:w="439" w:type="pct"/>
            <w:vAlign w:val="center"/>
            <w:hideMark/>
          </w:tcPr>
          <w:p w14:paraId="3FE1238A" w14:textId="77777777" w:rsidR="00000000" w:rsidRDefault="00405D16">
            <w:pPr>
              <w:spacing w:after="100"/>
              <w:rPr>
                <w:rFonts w:eastAsia="Times New Roman"/>
                <w:sz w:val="20"/>
                <w:szCs w:val="20"/>
              </w:rPr>
            </w:pPr>
          </w:p>
        </w:tc>
        <w:tc>
          <w:tcPr>
            <w:tcW w:w="5" w:type="pct"/>
            <w:vAlign w:val="center"/>
            <w:hideMark/>
          </w:tcPr>
          <w:p w14:paraId="3B1D44BE" w14:textId="77777777" w:rsidR="00000000" w:rsidRDefault="00405D16">
            <w:pPr>
              <w:spacing w:after="100"/>
              <w:rPr>
                <w:rFonts w:eastAsia="Times New Roman"/>
                <w:sz w:val="20"/>
                <w:szCs w:val="20"/>
              </w:rPr>
            </w:pPr>
          </w:p>
        </w:tc>
      </w:tr>
      <w:tr w:rsidR="00000000" w14:paraId="16A4CA82" w14:textId="77777777">
        <w:trPr>
          <w:divId w:val="86119291"/>
          <w:trHeight w:val="60"/>
        </w:trPr>
        <w:tc>
          <w:tcPr>
            <w:tcW w:w="0" w:type="auto"/>
            <w:gridSpan w:val="3"/>
            <w:tcMar>
              <w:top w:w="0" w:type="dxa"/>
              <w:left w:w="20" w:type="dxa"/>
              <w:bottom w:w="0" w:type="dxa"/>
              <w:right w:w="20" w:type="dxa"/>
            </w:tcMar>
            <w:vAlign w:val="center"/>
            <w:hideMark/>
          </w:tcPr>
          <w:p w14:paraId="5B3DACF5"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8211E39"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9916E23"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B3B111A"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40BEADC"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83DE0A6"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8E01B45"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882ED2D"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1D19949"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F2595E"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C5B2870"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2B40DC"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663F3CB"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38C6B3F"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CFB1016" w14:textId="77777777" w:rsidR="00000000" w:rsidRDefault="00405D16">
            <w:pPr>
              <w:spacing w:after="100"/>
              <w:rPr>
                <w:rFonts w:eastAsia="Times New Roman"/>
                <w:sz w:val="20"/>
                <w:szCs w:val="20"/>
              </w:rPr>
            </w:pPr>
          </w:p>
        </w:tc>
      </w:tr>
      <w:tr w:rsidR="00000000" w14:paraId="6946E649" w14:textId="77777777">
        <w:trPr>
          <w:divId w:val="86119291"/>
        </w:trPr>
        <w:tc>
          <w:tcPr>
            <w:tcW w:w="0" w:type="auto"/>
            <w:gridSpan w:val="3"/>
            <w:vAlign w:val="center"/>
            <w:hideMark/>
          </w:tcPr>
          <w:p w14:paraId="4AF990D5" w14:textId="77777777" w:rsidR="00000000" w:rsidRDefault="00405D16">
            <w:pPr>
              <w:spacing w:after="100"/>
              <w:rPr>
                <w:rFonts w:eastAsia="Times New Roman"/>
                <w:sz w:val="20"/>
                <w:szCs w:val="20"/>
              </w:rPr>
            </w:pPr>
          </w:p>
        </w:tc>
        <w:tc>
          <w:tcPr>
            <w:tcW w:w="0" w:type="auto"/>
            <w:gridSpan w:val="3"/>
            <w:vAlign w:val="center"/>
            <w:hideMark/>
          </w:tcPr>
          <w:p w14:paraId="633622D6" w14:textId="77777777" w:rsidR="00000000" w:rsidRDefault="00405D16">
            <w:pPr>
              <w:spacing w:after="100"/>
              <w:rPr>
                <w:rFonts w:eastAsia="Times New Roman"/>
                <w:sz w:val="20"/>
                <w:szCs w:val="20"/>
              </w:rPr>
            </w:pPr>
          </w:p>
        </w:tc>
        <w:tc>
          <w:tcPr>
            <w:tcW w:w="0" w:type="auto"/>
            <w:gridSpan w:val="3"/>
            <w:vAlign w:val="center"/>
            <w:hideMark/>
          </w:tcPr>
          <w:p w14:paraId="2EE34788" w14:textId="77777777" w:rsidR="00000000" w:rsidRDefault="00405D16">
            <w:pPr>
              <w:spacing w:after="100"/>
              <w:rPr>
                <w:rFonts w:eastAsia="Times New Roman"/>
                <w:sz w:val="20"/>
                <w:szCs w:val="20"/>
              </w:rPr>
            </w:pPr>
          </w:p>
        </w:tc>
        <w:tc>
          <w:tcPr>
            <w:tcW w:w="0" w:type="auto"/>
            <w:vAlign w:val="center"/>
            <w:hideMark/>
          </w:tcPr>
          <w:p w14:paraId="603BF370" w14:textId="77777777" w:rsidR="00000000" w:rsidRDefault="00405D16">
            <w:pPr>
              <w:spacing w:after="100"/>
              <w:rPr>
                <w:rFonts w:eastAsia="Times New Roman"/>
                <w:sz w:val="20"/>
                <w:szCs w:val="20"/>
              </w:rPr>
            </w:pPr>
          </w:p>
        </w:tc>
        <w:tc>
          <w:tcPr>
            <w:tcW w:w="0" w:type="auto"/>
            <w:vAlign w:val="center"/>
            <w:hideMark/>
          </w:tcPr>
          <w:p w14:paraId="76F6F104" w14:textId="77777777" w:rsidR="00000000" w:rsidRDefault="00405D16">
            <w:pPr>
              <w:spacing w:after="100"/>
              <w:rPr>
                <w:rFonts w:eastAsia="Times New Roman"/>
                <w:sz w:val="20"/>
                <w:szCs w:val="20"/>
              </w:rPr>
            </w:pPr>
          </w:p>
        </w:tc>
        <w:tc>
          <w:tcPr>
            <w:tcW w:w="0" w:type="auto"/>
            <w:vAlign w:val="center"/>
            <w:hideMark/>
          </w:tcPr>
          <w:p w14:paraId="7A8924C7" w14:textId="77777777" w:rsidR="00000000" w:rsidRDefault="00405D16">
            <w:pPr>
              <w:spacing w:after="100"/>
              <w:rPr>
                <w:rFonts w:eastAsia="Times New Roman"/>
                <w:sz w:val="20"/>
                <w:szCs w:val="20"/>
              </w:rPr>
            </w:pPr>
          </w:p>
        </w:tc>
        <w:tc>
          <w:tcPr>
            <w:tcW w:w="0" w:type="auto"/>
            <w:vAlign w:val="center"/>
            <w:hideMark/>
          </w:tcPr>
          <w:p w14:paraId="7A54F015" w14:textId="77777777" w:rsidR="00000000" w:rsidRDefault="00405D16">
            <w:pPr>
              <w:spacing w:after="100"/>
              <w:rPr>
                <w:rFonts w:eastAsia="Times New Roman"/>
                <w:sz w:val="20"/>
                <w:szCs w:val="20"/>
              </w:rPr>
            </w:pPr>
          </w:p>
        </w:tc>
        <w:tc>
          <w:tcPr>
            <w:tcW w:w="0" w:type="auto"/>
            <w:vAlign w:val="center"/>
            <w:hideMark/>
          </w:tcPr>
          <w:p w14:paraId="278B5755" w14:textId="77777777" w:rsidR="00000000" w:rsidRDefault="00405D16">
            <w:pPr>
              <w:spacing w:after="100"/>
              <w:rPr>
                <w:rFonts w:eastAsia="Times New Roman"/>
                <w:sz w:val="20"/>
                <w:szCs w:val="20"/>
              </w:rPr>
            </w:pPr>
          </w:p>
        </w:tc>
        <w:tc>
          <w:tcPr>
            <w:tcW w:w="0" w:type="auto"/>
            <w:vAlign w:val="center"/>
            <w:hideMark/>
          </w:tcPr>
          <w:p w14:paraId="27A21B8A" w14:textId="77777777" w:rsidR="00000000" w:rsidRDefault="00405D16">
            <w:pPr>
              <w:spacing w:after="100"/>
              <w:rPr>
                <w:rFonts w:eastAsia="Times New Roman"/>
                <w:sz w:val="20"/>
                <w:szCs w:val="20"/>
              </w:rPr>
            </w:pPr>
          </w:p>
        </w:tc>
        <w:tc>
          <w:tcPr>
            <w:tcW w:w="0" w:type="auto"/>
            <w:vAlign w:val="center"/>
            <w:hideMark/>
          </w:tcPr>
          <w:p w14:paraId="110757CD" w14:textId="77777777" w:rsidR="00000000" w:rsidRDefault="00405D16">
            <w:pPr>
              <w:spacing w:after="100"/>
              <w:rPr>
                <w:rFonts w:eastAsia="Times New Roman"/>
                <w:sz w:val="20"/>
                <w:szCs w:val="20"/>
              </w:rPr>
            </w:pPr>
          </w:p>
        </w:tc>
        <w:tc>
          <w:tcPr>
            <w:tcW w:w="0" w:type="auto"/>
            <w:vAlign w:val="center"/>
            <w:hideMark/>
          </w:tcPr>
          <w:p w14:paraId="61BFFEB4" w14:textId="77777777" w:rsidR="00000000" w:rsidRDefault="00405D16">
            <w:pPr>
              <w:spacing w:after="100"/>
              <w:rPr>
                <w:rFonts w:eastAsia="Times New Roman"/>
                <w:sz w:val="20"/>
                <w:szCs w:val="20"/>
              </w:rPr>
            </w:pPr>
          </w:p>
        </w:tc>
        <w:tc>
          <w:tcPr>
            <w:tcW w:w="0" w:type="auto"/>
            <w:vAlign w:val="center"/>
            <w:hideMark/>
          </w:tcPr>
          <w:p w14:paraId="1D9B382D" w14:textId="77777777" w:rsidR="00000000" w:rsidRDefault="00405D16">
            <w:pPr>
              <w:spacing w:after="100"/>
              <w:rPr>
                <w:rFonts w:eastAsia="Times New Roman"/>
                <w:sz w:val="20"/>
                <w:szCs w:val="20"/>
              </w:rPr>
            </w:pPr>
          </w:p>
        </w:tc>
        <w:tc>
          <w:tcPr>
            <w:tcW w:w="0" w:type="auto"/>
            <w:vAlign w:val="center"/>
            <w:hideMark/>
          </w:tcPr>
          <w:p w14:paraId="66C6E8B1" w14:textId="77777777" w:rsidR="00000000" w:rsidRDefault="00405D16">
            <w:pPr>
              <w:spacing w:after="100"/>
              <w:rPr>
                <w:rFonts w:eastAsia="Times New Roman"/>
                <w:sz w:val="20"/>
                <w:szCs w:val="20"/>
              </w:rPr>
            </w:pPr>
          </w:p>
        </w:tc>
        <w:tc>
          <w:tcPr>
            <w:tcW w:w="0" w:type="auto"/>
            <w:vAlign w:val="center"/>
            <w:hideMark/>
          </w:tcPr>
          <w:p w14:paraId="77D9C00A" w14:textId="77777777" w:rsidR="00000000" w:rsidRDefault="00405D16">
            <w:pPr>
              <w:spacing w:after="100"/>
              <w:rPr>
                <w:rFonts w:eastAsia="Times New Roman"/>
                <w:sz w:val="20"/>
                <w:szCs w:val="20"/>
              </w:rPr>
            </w:pPr>
          </w:p>
        </w:tc>
        <w:tc>
          <w:tcPr>
            <w:tcW w:w="0" w:type="auto"/>
            <w:vAlign w:val="center"/>
            <w:hideMark/>
          </w:tcPr>
          <w:p w14:paraId="77A9357E" w14:textId="77777777" w:rsidR="00000000" w:rsidRDefault="00405D16">
            <w:pPr>
              <w:spacing w:after="100"/>
              <w:rPr>
                <w:rFonts w:eastAsia="Times New Roman"/>
                <w:sz w:val="20"/>
                <w:szCs w:val="20"/>
              </w:rPr>
            </w:pPr>
          </w:p>
        </w:tc>
        <w:tc>
          <w:tcPr>
            <w:tcW w:w="0" w:type="auto"/>
            <w:vAlign w:val="center"/>
            <w:hideMark/>
          </w:tcPr>
          <w:p w14:paraId="31761856" w14:textId="77777777" w:rsidR="00000000" w:rsidRDefault="00405D16">
            <w:pPr>
              <w:spacing w:after="100"/>
              <w:rPr>
                <w:rFonts w:eastAsia="Times New Roman"/>
                <w:sz w:val="20"/>
                <w:szCs w:val="20"/>
              </w:rPr>
            </w:pPr>
          </w:p>
        </w:tc>
        <w:tc>
          <w:tcPr>
            <w:tcW w:w="0" w:type="auto"/>
            <w:vAlign w:val="center"/>
            <w:hideMark/>
          </w:tcPr>
          <w:p w14:paraId="1A9074EF" w14:textId="77777777" w:rsidR="00000000" w:rsidRDefault="00405D16">
            <w:pPr>
              <w:spacing w:after="100"/>
              <w:rPr>
                <w:rFonts w:eastAsia="Times New Roman"/>
                <w:sz w:val="20"/>
                <w:szCs w:val="20"/>
              </w:rPr>
            </w:pPr>
          </w:p>
        </w:tc>
        <w:tc>
          <w:tcPr>
            <w:tcW w:w="0" w:type="auto"/>
            <w:vAlign w:val="center"/>
            <w:hideMark/>
          </w:tcPr>
          <w:p w14:paraId="32E2B88F" w14:textId="77777777" w:rsidR="00000000" w:rsidRDefault="00405D16">
            <w:pPr>
              <w:spacing w:after="100"/>
              <w:rPr>
                <w:rFonts w:eastAsia="Times New Roman"/>
                <w:sz w:val="20"/>
                <w:szCs w:val="20"/>
              </w:rPr>
            </w:pPr>
          </w:p>
        </w:tc>
        <w:tc>
          <w:tcPr>
            <w:tcW w:w="0" w:type="auto"/>
            <w:vAlign w:val="center"/>
            <w:hideMark/>
          </w:tcPr>
          <w:p w14:paraId="3ECF2795" w14:textId="77777777" w:rsidR="00000000" w:rsidRDefault="00405D16">
            <w:pPr>
              <w:spacing w:after="100"/>
              <w:rPr>
                <w:rFonts w:eastAsia="Times New Roman"/>
                <w:sz w:val="20"/>
                <w:szCs w:val="20"/>
              </w:rPr>
            </w:pPr>
          </w:p>
        </w:tc>
        <w:tc>
          <w:tcPr>
            <w:tcW w:w="0" w:type="auto"/>
            <w:vAlign w:val="center"/>
            <w:hideMark/>
          </w:tcPr>
          <w:p w14:paraId="2C2E4C9B" w14:textId="77777777" w:rsidR="00000000" w:rsidRDefault="00405D16">
            <w:pPr>
              <w:spacing w:after="100"/>
              <w:rPr>
                <w:rFonts w:eastAsia="Times New Roman"/>
                <w:sz w:val="20"/>
                <w:szCs w:val="20"/>
              </w:rPr>
            </w:pPr>
          </w:p>
        </w:tc>
        <w:tc>
          <w:tcPr>
            <w:tcW w:w="0" w:type="auto"/>
            <w:vAlign w:val="center"/>
            <w:hideMark/>
          </w:tcPr>
          <w:p w14:paraId="073DA91C" w14:textId="77777777" w:rsidR="00000000" w:rsidRDefault="00405D16">
            <w:pPr>
              <w:spacing w:after="100"/>
              <w:rPr>
                <w:rFonts w:eastAsia="Times New Roman"/>
                <w:sz w:val="20"/>
                <w:szCs w:val="20"/>
              </w:rPr>
            </w:pPr>
          </w:p>
        </w:tc>
        <w:tc>
          <w:tcPr>
            <w:tcW w:w="0" w:type="auto"/>
            <w:vAlign w:val="center"/>
            <w:hideMark/>
          </w:tcPr>
          <w:p w14:paraId="638D3FA2" w14:textId="77777777" w:rsidR="00000000" w:rsidRDefault="00405D16">
            <w:pPr>
              <w:spacing w:after="100"/>
              <w:rPr>
                <w:rFonts w:eastAsia="Times New Roman"/>
                <w:sz w:val="20"/>
                <w:szCs w:val="20"/>
              </w:rPr>
            </w:pPr>
          </w:p>
        </w:tc>
        <w:tc>
          <w:tcPr>
            <w:tcW w:w="0" w:type="auto"/>
            <w:vAlign w:val="center"/>
            <w:hideMark/>
          </w:tcPr>
          <w:p w14:paraId="3CCF06FD" w14:textId="77777777" w:rsidR="00000000" w:rsidRDefault="00405D16">
            <w:pPr>
              <w:spacing w:after="100"/>
              <w:rPr>
                <w:rFonts w:eastAsia="Times New Roman"/>
                <w:sz w:val="20"/>
                <w:szCs w:val="20"/>
              </w:rPr>
            </w:pPr>
          </w:p>
        </w:tc>
        <w:tc>
          <w:tcPr>
            <w:tcW w:w="0" w:type="auto"/>
            <w:vAlign w:val="center"/>
            <w:hideMark/>
          </w:tcPr>
          <w:p w14:paraId="6D4BE948" w14:textId="77777777" w:rsidR="00000000" w:rsidRDefault="00405D16">
            <w:pPr>
              <w:spacing w:after="100"/>
              <w:rPr>
                <w:rFonts w:eastAsia="Times New Roman"/>
                <w:sz w:val="20"/>
                <w:szCs w:val="20"/>
              </w:rPr>
            </w:pPr>
          </w:p>
        </w:tc>
        <w:tc>
          <w:tcPr>
            <w:tcW w:w="0" w:type="auto"/>
            <w:vAlign w:val="center"/>
            <w:hideMark/>
          </w:tcPr>
          <w:p w14:paraId="1441530A" w14:textId="77777777" w:rsidR="00000000" w:rsidRDefault="00405D16">
            <w:pPr>
              <w:spacing w:after="100"/>
              <w:rPr>
                <w:rFonts w:eastAsia="Times New Roman"/>
                <w:sz w:val="20"/>
                <w:szCs w:val="20"/>
              </w:rPr>
            </w:pPr>
          </w:p>
        </w:tc>
        <w:tc>
          <w:tcPr>
            <w:tcW w:w="0" w:type="auto"/>
            <w:vAlign w:val="center"/>
            <w:hideMark/>
          </w:tcPr>
          <w:p w14:paraId="291B5F0E" w14:textId="77777777" w:rsidR="00000000" w:rsidRDefault="00405D16">
            <w:pPr>
              <w:spacing w:after="100"/>
              <w:rPr>
                <w:rFonts w:eastAsia="Times New Roman"/>
                <w:sz w:val="20"/>
                <w:szCs w:val="20"/>
              </w:rPr>
            </w:pPr>
          </w:p>
        </w:tc>
        <w:tc>
          <w:tcPr>
            <w:tcW w:w="0" w:type="auto"/>
            <w:vAlign w:val="center"/>
            <w:hideMark/>
          </w:tcPr>
          <w:p w14:paraId="1A1A6D50" w14:textId="77777777" w:rsidR="00000000" w:rsidRDefault="00405D16">
            <w:pPr>
              <w:spacing w:after="100"/>
              <w:rPr>
                <w:rFonts w:eastAsia="Times New Roman"/>
                <w:sz w:val="20"/>
                <w:szCs w:val="20"/>
              </w:rPr>
            </w:pPr>
          </w:p>
        </w:tc>
        <w:tc>
          <w:tcPr>
            <w:tcW w:w="0" w:type="auto"/>
            <w:vAlign w:val="center"/>
            <w:hideMark/>
          </w:tcPr>
          <w:p w14:paraId="02E045A5" w14:textId="77777777" w:rsidR="00000000" w:rsidRDefault="00405D16">
            <w:pPr>
              <w:spacing w:after="100"/>
              <w:rPr>
                <w:rFonts w:eastAsia="Times New Roman"/>
                <w:sz w:val="20"/>
                <w:szCs w:val="20"/>
              </w:rPr>
            </w:pPr>
          </w:p>
        </w:tc>
        <w:tc>
          <w:tcPr>
            <w:tcW w:w="0" w:type="auto"/>
            <w:vAlign w:val="center"/>
            <w:hideMark/>
          </w:tcPr>
          <w:p w14:paraId="70DC8B87" w14:textId="77777777" w:rsidR="00000000" w:rsidRDefault="00405D16">
            <w:pPr>
              <w:spacing w:after="100"/>
              <w:rPr>
                <w:rFonts w:eastAsia="Times New Roman"/>
                <w:sz w:val="20"/>
                <w:szCs w:val="20"/>
              </w:rPr>
            </w:pPr>
          </w:p>
        </w:tc>
        <w:tc>
          <w:tcPr>
            <w:tcW w:w="0" w:type="auto"/>
            <w:vAlign w:val="center"/>
            <w:hideMark/>
          </w:tcPr>
          <w:p w14:paraId="57E1A9EA" w14:textId="77777777" w:rsidR="00000000" w:rsidRDefault="00405D16">
            <w:pPr>
              <w:spacing w:after="100"/>
              <w:rPr>
                <w:rFonts w:eastAsia="Times New Roman"/>
                <w:sz w:val="20"/>
                <w:szCs w:val="20"/>
              </w:rPr>
            </w:pPr>
          </w:p>
        </w:tc>
        <w:tc>
          <w:tcPr>
            <w:tcW w:w="0" w:type="auto"/>
            <w:vAlign w:val="center"/>
            <w:hideMark/>
          </w:tcPr>
          <w:p w14:paraId="074047C2" w14:textId="77777777" w:rsidR="00000000" w:rsidRDefault="00405D16">
            <w:pPr>
              <w:spacing w:after="100"/>
              <w:rPr>
                <w:rFonts w:eastAsia="Times New Roman"/>
                <w:sz w:val="20"/>
                <w:szCs w:val="20"/>
              </w:rPr>
            </w:pPr>
          </w:p>
        </w:tc>
        <w:tc>
          <w:tcPr>
            <w:tcW w:w="0" w:type="auto"/>
            <w:vAlign w:val="center"/>
            <w:hideMark/>
          </w:tcPr>
          <w:p w14:paraId="480D9779" w14:textId="77777777" w:rsidR="00000000" w:rsidRDefault="00405D16">
            <w:pPr>
              <w:spacing w:after="100"/>
              <w:rPr>
                <w:rFonts w:eastAsia="Times New Roman"/>
                <w:sz w:val="20"/>
                <w:szCs w:val="20"/>
              </w:rPr>
            </w:pPr>
          </w:p>
        </w:tc>
        <w:tc>
          <w:tcPr>
            <w:tcW w:w="0" w:type="auto"/>
            <w:vAlign w:val="center"/>
            <w:hideMark/>
          </w:tcPr>
          <w:p w14:paraId="4C78C710" w14:textId="77777777" w:rsidR="00000000" w:rsidRDefault="00405D16">
            <w:pPr>
              <w:spacing w:after="100"/>
              <w:rPr>
                <w:rFonts w:eastAsia="Times New Roman"/>
                <w:sz w:val="20"/>
                <w:szCs w:val="20"/>
              </w:rPr>
            </w:pPr>
          </w:p>
        </w:tc>
        <w:tc>
          <w:tcPr>
            <w:tcW w:w="0" w:type="auto"/>
            <w:vAlign w:val="center"/>
            <w:hideMark/>
          </w:tcPr>
          <w:p w14:paraId="50797CF0" w14:textId="77777777" w:rsidR="00000000" w:rsidRDefault="00405D16">
            <w:pPr>
              <w:spacing w:after="100"/>
              <w:rPr>
                <w:rFonts w:eastAsia="Times New Roman"/>
                <w:sz w:val="20"/>
                <w:szCs w:val="20"/>
              </w:rPr>
            </w:pPr>
          </w:p>
        </w:tc>
        <w:tc>
          <w:tcPr>
            <w:tcW w:w="0" w:type="auto"/>
            <w:vAlign w:val="center"/>
            <w:hideMark/>
          </w:tcPr>
          <w:p w14:paraId="5FBAF201" w14:textId="77777777" w:rsidR="00000000" w:rsidRDefault="00405D16">
            <w:pPr>
              <w:spacing w:after="100"/>
              <w:rPr>
                <w:rFonts w:eastAsia="Times New Roman"/>
                <w:sz w:val="20"/>
                <w:szCs w:val="20"/>
              </w:rPr>
            </w:pPr>
          </w:p>
        </w:tc>
        <w:tc>
          <w:tcPr>
            <w:tcW w:w="0" w:type="auto"/>
            <w:vAlign w:val="center"/>
            <w:hideMark/>
          </w:tcPr>
          <w:p w14:paraId="21E30301" w14:textId="77777777" w:rsidR="00000000" w:rsidRDefault="00405D16">
            <w:pPr>
              <w:spacing w:after="100"/>
              <w:rPr>
                <w:rFonts w:eastAsia="Times New Roman"/>
                <w:sz w:val="20"/>
                <w:szCs w:val="20"/>
              </w:rPr>
            </w:pPr>
          </w:p>
        </w:tc>
        <w:tc>
          <w:tcPr>
            <w:tcW w:w="0" w:type="auto"/>
            <w:vAlign w:val="center"/>
            <w:hideMark/>
          </w:tcPr>
          <w:p w14:paraId="1CF713C2" w14:textId="77777777" w:rsidR="00000000" w:rsidRDefault="00405D16">
            <w:pPr>
              <w:spacing w:after="100"/>
              <w:rPr>
                <w:rFonts w:eastAsia="Times New Roman"/>
                <w:sz w:val="20"/>
                <w:szCs w:val="20"/>
              </w:rPr>
            </w:pPr>
          </w:p>
        </w:tc>
        <w:tc>
          <w:tcPr>
            <w:tcW w:w="0" w:type="auto"/>
            <w:vAlign w:val="center"/>
            <w:hideMark/>
          </w:tcPr>
          <w:p w14:paraId="4DBDBD83" w14:textId="77777777" w:rsidR="00000000" w:rsidRDefault="00405D16">
            <w:pPr>
              <w:spacing w:after="100"/>
              <w:rPr>
                <w:rFonts w:eastAsia="Times New Roman"/>
                <w:sz w:val="20"/>
                <w:szCs w:val="20"/>
              </w:rPr>
            </w:pPr>
          </w:p>
        </w:tc>
        <w:tc>
          <w:tcPr>
            <w:tcW w:w="0" w:type="auto"/>
            <w:vAlign w:val="center"/>
            <w:hideMark/>
          </w:tcPr>
          <w:p w14:paraId="031C21BC" w14:textId="77777777" w:rsidR="00000000" w:rsidRDefault="00405D16">
            <w:pPr>
              <w:spacing w:after="100"/>
              <w:rPr>
                <w:rFonts w:eastAsia="Times New Roman"/>
                <w:sz w:val="20"/>
                <w:szCs w:val="20"/>
              </w:rPr>
            </w:pPr>
          </w:p>
        </w:tc>
      </w:tr>
      <w:tr w:rsidR="00000000" w14:paraId="0BEFD48C" w14:textId="77777777">
        <w:trPr>
          <w:divId w:val="86119291"/>
        </w:trPr>
        <w:tc>
          <w:tcPr>
            <w:tcW w:w="0" w:type="auto"/>
            <w:gridSpan w:val="3"/>
            <w:vAlign w:val="center"/>
            <w:hideMark/>
          </w:tcPr>
          <w:p w14:paraId="5FFD792E" w14:textId="77777777" w:rsidR="00000000" w:rsidRDefault="00405D16">
            <w:pPr>
              <w:spacing w:after="100"/>
              <w:rPr>
                <w:rFonts w:eastAsia="Times New Roman"/>
                <w:sz w:val="20"/>
                <w:szCs w:val="20"/>
              </w:rPr>
            </w:pPr>
          </w:p>
        </w:tc>
        <w:tc>
          <w:tcPr>
            <w:tcW w:w="0" w:type="auto"/>
            <w:gridSpan w:val="3"/>
            <w:vAlign w:val="center"/>
            <w:hideMark/>
          </w:tcPr>
          <w:p w14:paraId="1A1EB174" w14:textId="77777777" w:rsidR="00000000" w:rsidRDefault="00405D16">
            <w:pPr>
              <w:spacing w:after="100"/>
              <w:rPr>
                <w:rFonts w:eastAsia="Times New Roman"/>
                <w:sz w:val="20"/>
                <w:szCs w:val="20"/>
              </w:rPr>
            </w:pPr>
          </w:p>
        </w:tc>
        <w:tc>
          <w:tcPr>
            <w:tcW w:w="0" w:type="auto"/>
            <w:gridSpan w:val="3"/>
            <w:vAlign w:val="center"/>
            <w:hideMark/>
          </w:tcPr>
          <w:p w14:paraId="268A7D84" w14:textId="77777777" w:rsidR="00000000" w:rsidRDefault="00405D16">
            <w:pPr>
              <w:spacing w:after="100"/>
              <w:rPr>
                <w:rFonts w:eastAsia="Times New Roman"/>
                <w:sz w:val="20"/>
                <w:szCs w:val="20"/>
              </w:rPr>
            </w:pPr>
          </w:p>
        </w:tc>
        <w:tc>
          <w:tcPr>
            <w:tcW w:w="0" w:type="auto"/>
            <w:gridSpan w:val="3"/>
            <w:vAlign w:val="center"/>
            <w:hideMark/>
          </w:tcPr>
          <w:p w14:paraId="29FE0AA5" w14:textId="77777777" w:rsidR="00000000" w:rsidRDefault="00405D16">
            <w:pPr>
              <w:spacing w:after="100"/>
              <w:rPr>
                <w:rFonts w:eastAsia="Times New Roman"/>
                <w:sz w:val="20"/>
                <w:szCs w:val="20"/>
              </w:rPr>
            </w:pPr>
          </w:p>
        </w:tc>
        <w:tc>
          <w:tcPr>
            <w:tcW w:w="0" w:type="auto"/>
            <w:gridSpan w:val="3"/>
            <w:vAlign w:val="center"/>
            <w:hideMark/>
          </w:tcPr>
          <w:p w14:paraId="11EB1FAE" w14:textId="77777777" w:rsidR="00000000" w:rsidRDefault="00405D16">
            <w:pPr>
              <w:spacing w:after="100"/>
              <w:rPr>
                <w:rFonts w:eastAsia="Times New Roman"/>
                <w:sz w:val="20"/>
                <w:szCs w:val="20"/>
              </w:rPr>
            </w:pPr>
          </w:p>
        </w:tc>
        <w:tc>
          <w:tcPr>
            <w:tcW w:w="0" w:type="auto"/>
            <w:vAlign w:val="center"/>
            <w:hideMark/>
          </w:tcPr>
          <w:p w14:paraId="042B117C" w14:textId="77777777" w:rsidR="00000000" w:rsidRDefault="00405D16">
            <w:pPr>
              <w:spacing w:after="100"/>
              <w:rPr>
                <w:rFonts w:eastAsia="Times New Roman"/>
                <w:sz w:val="20"/>
                <w:szCs w:val="20"/>
              </w:rPr>
            </w:pPr>
          </w:p>
        </w:tc>
        <w:tc>
          <w:tcPr>
            <w:tcW w:w="0" w:type="auto"/>
            <w:vAlign w:val="center"/>
            <w:hideMark/>
          </w:tcPr>
          <w:p w14:paraId="034A692A" w14:textId="77777777" w:rsidR="00000000" w:rsidRDefault="00405D16">
            <w:pPr>
              <w:spacing w:after="100"/>
              <w:rPr>
                <w:rFonts w:eastAsia="Times New Roman"/>
                <w:sz w:val="20"/>
                <w:szCs w:val="20"/>
              </w:rPr>
            </w:pPr>
          </w:p>
        </w:tc>
        <w:tc>
          <w:tcPr>
            <w:tcW w:w="0" w:type="auto"/>
            <w:vAlign w:val="center"/>
            <w:hideMark/>
          </w:tcPr>
          <w:p w14:paraId="58B11CB0" w14:textId="77777777" w:rsidR="00000000" w:rsidRDefault="00405D16">
            <w:pPr>
              <w:spacing w:after="100"/>
              <w:rPr>
                <w:rFonts w:eastAsia="Times New Roman"/>
                <w:sz w:val="20"/>
                <w:szCs w:val="20"/>
              </w:rPr>
            </w:pPr>
          </w:p>
        </w:tc>
        <w:tc>
          <w:tcPr>
            <w:tcW w:w="0" w:type="auto"/>
            <w:vAlign w:val="center"/>
            <w:hideMark/>
          </w:tcPr>
          <w:p w14:paraId="1DA68121" w14:textId="77777777" w:rsidR="00000000" w:rsidRDefault="00405D16">
            <w:pPr>
              <w:spacing w:after="100"/>
              <w:rPr>
                <w:rFonts w:eastAsia="Times New Roman"/>
                <w:sz w:val="20"/>
                <w:szCs w:val="20"/>
              </w:rPr>
            </w:pPr>
          </w:p>
        </w:tc>
        <w:tc>
          <w:tcPr>
            <w:tcW w:w="0" w:type="auto"/>
            <w:vAlign w:val="center"/>
            <w:hideMark/>
          </w:tcPr>
          <w:p w14:paraId="17B49CC4" w14:textId="77777777" w:rsidR="00000000" w:rsidRDefault="00405D16">
            <w:pPr>
              <w:spacing w:after="100"/>
              <w:rPr>
                <w:rFonts w:eastAsia="Times New Roman"/>
                <w:sz w:val="20"/>
                <w:szCs w:val="20"/>
              </w:rPr>
            </w:pPr>
          </w:p>
        </w:tc>
        <w:tc>
          <w:tcPr>
            <w:tcW w:w="0" w:type="auto"/>
            <w:vAlign w:val="center"/>
            <w:hideMark/>
          </w:tcPr>
          <w:p w14:paraId="06EED383" w14:textId="77777777" w:rsidR="00000000" w:rsidRDefault="00405D16">
            <w:pPr>
              <w:spacing w:after="100"/>
              <w:rPr>
                <w:rFonts w:eastAsia="Times New Roman"/>
                <w:sz w:val="20"/>
                <w:szCs w:val="20"/>
              </w:rPr>
            </w:pPr>
          </w:p>
        </w:tc>
        <w:tc>
          <w:tcPr>
            <w:tcW w:w="0" w:type="auto"/>
            <w:vAlign w:val="center"/>
            <w:hideMark/>
          </w:tcPr>
          <w:p w14:paraId="133506EF" w14:textId="77777777" w:rsidR="00000000" w:rsidRDefault="00405D16">
            <w:pPr>
              <w:spacing w:after="100"/>
              <w:rPr>
                <w:rFonts w:eastAsia="Times New Roman"/>
                <w:sz w:val="20"/>
                <w:szCs w:val="20"/>
              </w:rPr>
            </w:pPr>
          </w:p>
        </w:tc>
        <w:tc>
          <w:tcPr>
            <w:tcW w:w="0" w:type="auto"/>
            <w:vAlign w:val="center"/>
            <w:hideMark/>
          </w:tcPr>
          <w:p w14:paraId="7457B718" w14:textId="77777777" w:rsidR="00000000" w:rsidRDefault="00405D16">
            <w:pPr>
              <w:spacing w:after="100"/>
              <w:rPr>
                <w:rFonts w:eastAsia="Times New Roman"/>
                <w:sz w:val="20"/>
                <w:szCs w:val="20"/>
              </w:rPr>
            </w:pPr>
          </w:p>
        </w:tc>
        <w:tc>
          <w:tcPr>
            <w:tcW w:w="0" w:type="auto"/>
            <w:vAlign w:val="center"/>
            <w:hideMark/>
          </w:tcPr>
          <w:p w14:paraId="6417FD5E" w14:textId="77777777" w:rsidR="00000000" w:rsidRDefault="00405D16">
            <w:pPr>
              <w:spacing w:after="100"/>
              <w:rPr>
                <w:rFonts w:eastAsia="Times New Roman"/>
                <w:sz w:val="20"/>
                <w:szCs w:val="20"/>
              </w:rPr>
            </w:pPr>
          </w:p>
        </w:tc>
        <w:tc>
          <w:tcPr>
            <w:tcW w:w="0" w:type="auto"/>
            <w:vAlign w:val="center"/>
            <w:hideMark/>
          </w:tcPr>
          <w:p w14:paraId="075FDD7D" w14:textId="77777777" w:rsidR="00000000" w:rsidRDefault="00405D16">
            <w:pPr>
              <w:spacing w:after="100"/>
              <w:rPr>
                <w:rFonts w:eastAsia="Times New Roman"/>
                <w:sz w:val="20"/>
                <w:szCs w:val="20"/>
              </w:rPr>
            </w:pPr>
          </w:p>
        </w:tc>
        <w:tc>
          <w:tcPr>
            <w:tcW w:w="0" w:type="auto"/>
            <w:vAlign w:val="center"/>
            <w:hideMark/>
          </w:tcPr>
          <w:p w14:paraId="03C0ABD4" w14:textId="77777777" w:rsidR="00000000" w:rsidRDefault="00405D16">
            <w:pPr>
              <w:spacing w:after="100"/>
              <w:rPr>
                <w:rFonts w:eastAsia="Times New Roman"/>
                <w:sz w:val="20"/>
                <w:szCs w:val="20"/>
              </w:rPr>
            </w:pPr>
          </w:p>
        </w:tc>
        <w:tc>
          <w:tcPr>
            <w:tcW w:w="0" w:type="auto"/>
            <w:vAlign w:val="center"/>
            <w:hideMark/>
          </w:tcPr>
          <w:p w14:paraId="118C85F6" w14:textId="77777777" w:rsidR="00000000" w:rsidRDefault="00405D16">
            <w:pPr>
              <w:spacing w:after="100"/>
              <w:rPr>
                <w:rFonts w:eastAsia="Times New Roman"/>
                <w:sz w:val="20"/>
                <w:szCs w:val="20"/>
              </w:rPr>
            </w:pPr>
          </w:p>
        </w:tc>
        <w:tc>
          <w:tcPr>
            <w:tcW w:w="0" w:type="auto"/>
            <w:vAlign w:val="center"/>
            <w:hideMark/>
          </w:tcPr>
          <w:p w14:paraId="56FBECB5" w14:textId="77777777" w:rsidR="00000000" w:rsidRDefault="00405D16">
            <w:pPr>
              <w:spacing w:after="100"/>
              <w:rPr>
                <w:rFonts w:eastAsia="Times New Roman"/>
                <w:sz w:val="20"/>
                <w:szCs w:val="20"/>
              </w:rPr>
            </w:pPr>
          </w:p>
        </w:tc>
        <w:tc>
          <w:tcPr>
            <w:tcW w:w="0" w:type="auto"/>
            <w:vAlign w:val="center"/>
            <w:hideMark/>
          </w:tcPr>
          <w:p w14:paraId="19B4BA64" w14:textId="77777777" w:rsidR="00000000" w:rsidRDefault="00405D16">
            <w:pPr>
              <w:spacing w:after="100"/>
              <w:rPr>
                <w:rFonts w:eastAsia="Times New Roman"/>
                <w:sz w:val="20"/>
                <w:szCs w:val="20"/>
              </w:rPr>
            </w:pPr>
          </w:p>
        </w:tc>
        <w:tc>
          <w:tcPr>
            <w:tcW w:w="0" w:type="auto"/>
            <w:vAlign w:val="center"/>
            <w:hideMark/>
          </w:tcPr>
          <w:p w14:paraId="455F519D" w14:textId="77777777" w:rsidR="00000000" w:rsidRDefault="00405D16">
            <w:pPr>
              <w:spacing w:after="100"/>
              <w:rPr>
                <w:rFonts w:eastAsia="Times New Roman"/>
                <w:sz w:val="20"/>
                <w:szCs w:val="20"/>
              </w:rPr>
            </w:pPr>
          </w:p>
        </w:tc>
        <w:tc>
          <w:tcPr>
            <w:tcW w:w="0" w:type="auto"/>
            <w:vAlign w:val="center"/>
            <w:hideMark/>
          </w:tcPr>
          <w:p w14:paraId="74CAD238" w14:textId="77777777" w:rsidR="00000000" w:rsidRDefault="00405D16">
            <w:pPr>
              <w:spacing w:after="100"/>
              <w:rPr>
                <w:rFonts w:eastAsia="Times New Roman"/>
                <w:sz w:val="20"/>
                <w:szCs w:val="20"/>
              </w:rPr>
            </w:pPr>
          </w:p>
        </w:tc>
        <w:tc>
          <w:tcPr>
            <w:tcW w:w="0" w:type="auto"/>
            <w:vAlign w:val="center"/>
            <w:hideMark/>
          </w:tcPr>
          <w:p w14:paraId="23EF948C" w14:textId="77777777" w:rsidR="00000000" w:rsidRDefault="00405D16">
            <w:pPr>
              <w:spacing w:after="100"/>
              <w:rPr>
                <w:rFonts w:eastAsia="Times New Roman"/>
                <w:sz w:val="20"/>
                <w:szCs w:val="20"/>
              </w:rPr>
            </w:pPr>
          </w:p>
        </w:tc>
        <w:tc>
          <w:tcPr>
            <w:tcW w:w="0" w:type="auto"/>
            <w:vAlign w:val="center"/>
            <w:hideMark/>
          </w:tcPr>
          <w:p w14:paraId="39228F68" w14:textId="77777777" w:rsidR="00000000" w:rsidRDefault="00405D16">
            <w:pPr>
              <w:spacing w:after="100"/>
              <w:rPr>
                <w:rFonts w:eastAsia="Times New Roman"/>
                <w:sz w:val="20"/>
                <w:szCs w:val="20"/>
              </w:rPr>
            </w:pPr>
          </w:p>
        </w:tc>
        <w:tc>
          <w:tcPr>
            <w:tcW w:w="0" w:type="auto"/>
            <w:vAlign w:val="center"/>
            <w:hideMark/>
          </w:tcPr>
          <w:p w14:paraId="7DE46CBB" w14:textId="77777777" w:rsidR="00000000" w:rsidRDefault="00405D16">
            <w:pPr>
              <w:spacing w:after="100"/>
              <w:rPr>
                <w:rFonts w:eastAsia="Times New Roman"/>
                <w:sz w:val="20"/>
                <w:szCs w:val="20"/>
              </w:rPr>
            </w:pPr>
          </w:p>
        </w:tc>
        <w:tc>
          <w:tcPr>
            <w:tcW w:w="0" w:type="auto"/>
            <w:vAlign w:val="center"/>
            <w:hideMark/>
          </w:tcPr>
          <w:p w14:paraId="3F2C4DFA" w14:textId="77777777" w:rsidR="00000000" w:rsidRDefault="00405D16">
            <w:pPr>
              <w:spacing w:after="100"/>
              <w:rPr>
                <w:rFonts w:eastAsia="Times New Roman"/>
                <w:sz w:val="20"/>
                <w:szCs w:val="20"/>
              </w:rPr>
            </w:pPr>
          </w:p>
        </w:tc>
        <w:tc>
          <w:tcPr>
            <w:tcW w:w="0" w:type="auto"/>
            <w:vAlign w:val="center"/>
            <w:hideMark/>
          </w:tcPr>
          <w:p w14:paraId="21B83608" w14:textId="77777777" w:rsidR="00000000" w:rsidRDefault="00405D16">
            <w:pPr>
              <w:spacing w:after="100"/>
              <w:rPr>
                <w:rFonts w:eastAsia="Times New Roman"/>
                <w:sz w:val="20"/>
                <w:szCs w:val="20"/>
              </w:rPr>
            </w:pPr>
          </w:p>
        </w:tc>
        <w:tc>
          <w:tcPr>
            <w:tcW w:w="0" w:type="auto"/>
            <w:vAlign w:val="center"/>
            <w:hideMark/>
          </w:tcPr>
          <w:p w14:paraId="32FD8BF3" w14:textId="77777777" w:rsidR="00000000" w:rsidRDefault="00405D16">
            <w:pPr>
              <w:spacing w:after="100"/>
              <w:rPr>
                <w:rFonts w:eastAsia="Times New Roman"/>
                <w:sz w:val="20"/>
                <w:szCs w:val="20"/>
              </w:rPr>
            </w:pPr>
          </w:p>
        </w:tc>
        <w:tc>
          <w:tcPr>
            <w:tcW w:w="0" w:type="auto"/>
            <w:vAlign w:val="center"/>
            <w:hideMark/>
          </w:tcPr>
          <w:p w14:paraId="43EEC836" w14:textId="77777777" w:rsidR="00000000" w:rsidRDefault="00405D16">
            <w:pPr>
              <w:spacing w:after="100"/>
              <w:rPr>
                <w:rFonts w:eastAsia="Times New Roman"/>
                <w:sz w:val="20"/>
                <w:szCs w:val="20"/>
              </w:rPr>
            </w:pPr>
          </w:p>
        </w:tc>
        <w:tc>
          <w:tcPr>
            <w:tcW w:w="0" w:type="auto"/>
            <w:vAlign w:val="center"/>
            <w:hideMark/>
          </w:tcPr>
          <w:p w14:paraId="3A839EC7" w14:textId="77777777" w:rsidR="00000000" w:rsidRDefault="00405D16">
            <w:pPr>
              <w:spacing w:after="100"/>
              <w:rPr>
                <w:rFonts w:eastAsia="Times New Roman"/>
                <w:sz w:val="20"/>
                <w:szCs w:val="20"/>
              </w:rPr>
            </w:pPr>
          </w:p>
        </w:tc>
        <w:tc>
          <w:tcPr>
            <w:tcW w:w="0" w:type="auto"/>
            <w:vAlign w:val="center"/>
            <w:hideMark/>
          </w:tcPr>
          <w:p w14:paraId="666F05FE" w14:textId="77777777" w:rsidR="00000000" w:rsidRDefault="00405D16">
            <w:pPr>
              <w:spacing w:after="100"/>
              <w:rPr>
                <w:rFonts w:eastAsia="Times New Roman"/>
                <w:sz w:val="20"/>
                <w:szCs w:val="20"/>
              </w:rPr>
            </w:pPr>
          </w:p>
        </w:tc>
        <w:tc>
          <w:tcPr>
            <w:tcW w:w="0" w:type="auto"/>
            <w:vAlign w:val="center"/>
            <w:hideMark/>
          </w:tcPr>
          <w:p w14:paraId="4C45C8F9" w14:textId="77777777" w:rsidR="00000000" w:rsidRDefault="00405D16">
            <w:pPr>
              <w:spacing w:after="100"/>
              <w:rPr>
                <w:rFonts w:eastAsia="Times New Roman"/>
                <w:sz w:val="20"/>
                <w:szCs w:val="20"/>
              </w:rPr>
            </w:pPr>
          </w:p>
        </w:tc>
        <w:tc>
          <w:tcPr>
            <w:tcW w:w="0" w:type="auto"/>
            <w:vAlign w:val="center"/>
            <w:hideMark/>
          </w:tcPr>
          <w:p w14:paraId="2C3BE149" w14:textId="77777777" w:rsidR="00000000" w:rsidRDefault="00405D16">
            <w:pPr>
              <w:spacing w:after="100"/>
              <w:rPr>
                <w:rFonts w:eastAsia="Times New Roman"/>
                <w:sz w:val="20"/>
                <w:szCs w:val="20"/>
              </w:rPr>
            </w:pPr>
          </w:p>
        </w:tc>
        <w:tc>
          <w:tcPr>
            <w:tcW w:w="0" w:type="auto"/>
            <w:vAlign w:val="center"/>
            <w:hideMark/>
          </w:tcPr>
          <w:p w14:paraId="103E656B" w14:textId="77777777" w:rsidR="00000000" w:rsidRDefault="00405D16">
            <w:pPr>
              <w:spacing w:after="100"/>
              <w:rPr>
                <w:rFonts w:eastAsia="Times New Roman"/>
                <w:sz w:val="20"/>
                <w:szCs w:val="20"/>
              </w:rPr>
            </w:pPr>
          </w:p>
        </w:tc>
        <w:tc>
          <w:tcPr>
            <w:tcW w:w="0" w:type="auto"/>
            <w:vAlign w:val="center"/>
            <w:hideMark/>
          </w:tcPr>
          <w:p w14:paraId="44C580AE" w14:textId="77777777" w:rsidR="00000000" w:rsidRDefault="00405D16">
            <w:pPr>
              <w:spacing w:after="100"/>
              <w:rPr>
                <w:rFonts w:eastAsia="Times New Roman"/>
                <w:sz w:val="20"/>
                <w:szCs w:val="20"/>
              </w:rPr>
            </w:pPr>
          </w:p>
        </w:tc>
        <w:tc>
          <w:tcPr>
            <w:tcW w:w="0" w:type="auto"/>
            <w:vAlign w:val="center"/>
            <w:hideMark/>
          </w:tcPr>
          <w:p w14:paraId="67E65FA3" w14:textId="77777777" w:rsidR="00000000" w:rsidRDefault="00405D16">
            <w:pPr>
              <w:spacing w:after="100"/>
              <w:rPr>
                <w:rFonts w:eastAsia="Times New Roman"/>
                <w:sz w:val="20"/>
                <w:szCs w:val="20"/>
              </w:rPr>
            </w:pPr>
          </w:p>
        </w:tc>
      </w:tr>
      <w:tr w:rsidR="00000000" w14:paraId="51B663A4" w14:textId="77777777">
        <w:trPr>
          <w:divId w:val="86119291"/>
        </w:trPr>
        <w:tc>
          <w:tcPr>
            <w:tcW w:w="0" w:type="auto"/>
            <w:gridSpan w:val="3"/>
            <w:vAlign w:val="center"/>
            <w:hideMark/>
          </w:tcPr>
          <w:p w14:paraId="0AB9BAA8" w14:textId="77777777" w:rsidR="00000000" w:rsidRDefault="00405D16">
            <w:pPr>
              <w:spacing w:after="100"/>
              <w:rPr>
                <w:rFonts w:eastAsia="Times New Roman"/>
                <w:sz w:val="20"/>
                <w:szCs w:val="20"/>
              </w:rPr>
            </w:pPr>
          </w:p>
        </w:tc>
        <w:tc>
          <w:tcPr>
            <w:tcW w:w="0" w:type="auto"/>
            <w:gridSpan w:val="3"/>
            <w:vAlign w:val="center"/>
            <w:hideMark/>
          </w:tcPr>
          <w:p w14:paraId="123A7090" w14:textId="77777777" w:rsidR="00000000" w:rsidRDefault="00405D16">
            <w:pPr>
              <w:spacing w:after="100"/>
              <w:rPr>
                <w:rFonts w:eastAsia="Times New Roman"/>
                <w:sz w:val="20"/>
                <w:szCs w:val="20"/>
              </w:rPr>
            </w:pPr>
          </w:p>
        </w:tc>
        <w:tc>
          <w:tcPr>
            <w:tcW w:w="0" w:type="auto"/>
            <w:gridSpan w:val="3"/>
            <w:vAlign w:val="center"/>
            <w:hideMark/>
          </w:tcPr>
          <w:p w14:paraId="66FCFA42" w14:textId="77777777" w:rsidR="00000000" w:rsidRDefault="00405D16">
            <w:pPr>
              <w:spacing w:after="100"/>
              <w:rPr>
                <w:rFonts w:eastAsia="Times New Roman"/>
                <w:sz w:val="20"/>
                <w:szCs w:val="20"/>
              </w:rPr>
            </w:pPr>
          </w:p>
        </w:tc>
        <w:tc>
          <w:tcPr>
            <w:tcW w:w="0" w:type="auto"/>
            <w:gridSpan w:val="3"/>
            <w:vAlign w:val="center"/>
            <w:hideMark/>
          </w:tcPr>
          <w:p w14:paraId="1219ADCA" w14:textId="77777777" w:rsidR="00000000" w:rsidRDefault="00405D16">
            <w:pPr>
              <w:spacing w:after="100"/>
              <w:rPr>
                <w:rFonts w:eastAsia="Times New Roman"/>
                <w:sz w:val="20"/>
                <w:szCs w:val="20"/>
              </w:rPr>
            </w:pPr>
          </w:p>
        </w:tc>
        <w:tc>
          <w:tcPr>
            <w:tcW w:w="0" w:type="auto"/>
            <w:gridSpan w:val="3"/>
            <w:vAlign w:val="center"/>
            <w:hideMark/>
          </w:tcPr>
          <w:p w14:paraId="7E2CE2DD" w14:textId="77777777" w:rsidR="00000000" w:rsidRDefault="00405D16">
            <w:pPr>
              <w:spacing w:after="100"/>
              <w:rPr>
                <w:rFonts w:eastAsia="Times New Roman"/>
                <w:sz w:val="20"/>
                <w:szCs w:val="20"/>
              </w:rPr>
            </w:pPr>
          </w:p>
        </w:tc>
        <w:tc>
          <w:tcPr>
            <w:tcW w:w="0" w:type="auto"/>
            <w:gridSpan w:val="3"/>
            <w:vAlign w:val="center"/>
            <w:hideMark/>
          </w:tcPr>
          <w:p w14:paraId="1B08393D" w14:textId="77777777" w:rsidR="00000000" w:rsidRDefault="00405D16">
            <w:pPr>
              <w:spacing w:after="100"/>
              <w:rPr>
                <w:rFonts w:eastAsia="Times New Roman"/>
                <w:sz w:val="20"/>
                <w:szCs w:val="20"/>
              </w:rPr>
            </w:pPr>
          </w:p>
        </w:tc>
        <w:tc>
          <w:tcPr>
            <w:tcW w:w="0" w:type="auto"/>
            <w:gridSpan w:val="3"/>
            <w:vAlign w:val="center"/>
            <w:hideMark/>
          </w:tcPr>
          <w:p w14:paraId="2588A3DE" w14:textId="77777777" w:rsidR="00000000" w:rsidRDefault="00405D16">
            <w:pPr>
              <w:spacing w:after="100"/>
              <w:rPr>
                <w:rFonts w:eastAsia="Times New Roman"/>
                <w:sz w:val="20"/>
                <w:szCs w:val="20"/>
              </w:rPr>
            </w:pPr>
          </w:p>
        </w:tc>
        <w:tc>
          <w:tcPr>
            <w:tcW w:w="0" w:type="auto"/>
            <w:gridSpan w:val="3"/>
            <w:vAlign w:val="center"/>
            <w:hideMark/>
          </w:tcPr>
          <w:p w14:paraId="060332CD" w14:textId="77777777" w:rsidR="00000000" w:rsidRDefault="00405D16">
            <w:pPr>
              <w:spacing w:after="100"/>
              <w:rPr>
                <w:rFonts w:eastAsia="Times New Roman"/>
                <w:sz w:val="20"/>
                <w:szCs w:val="20"/>
              </w:rPr>
            </w:pPr>
          </w:p>
        </w:tc>
        <w:tc>
          <w:tcPr>
            <w:tcW w:w="0" w:type="auto"/>
            <w:gridSpan w:val="3"/>
            <w:vAlign w:val="center"/>
            <w:hideMark/>
          </w:tcPr>
          <w:p w14:paraId="43C089F6" w14:textId="77777777" w:rsidR="00000000" w:rsidRDefault="00405D16">
            <w:pPr>
              <w:spacing w:after="100"/>
              <w:rPr>
                <w:rFonts w:eastAsia="Times New Roman"/>
                <w:sz w:val="20"/>
                <w:szCs w:val="20"/>
              </w:rPr>
            </w:pPr>
          </w:p>
        </w:tc>
        <w:tc>
          <w:tcPr>
            <w:tcW w:w="0" w:type="auto"/>
            <w:gridSpan w:val="3"/>
            <w:vAlign w:val="center"/>
            <w:hideMark/>
          </w:tcPr>
          <w:p w14:paraId="4C7971A4" w14:textId="77777777" w:rsidR="00000000" w:rsidRDefault="00405D16">
            <w:pPr>
              <w:spacing w:after="100"/>
              <w:rPr>
                <w:rFonts w:eastAsia="Times New Roman"/>
                <w:sz w:val="20"/>
                <w:szCs w:val="20"/>
              </w:rPr>
            </w:pPr>
          </w:p>
        </w:tc>
        <w:tc>
          <w:tcPr>
            <w:tcW w:w="0" w:type="auto"/>
            <w:gridSpan w:val="3"/>
            <w:vAlign w:val="center"/>
            <w:hideMark/>
          </w:tcPr>
          <w:p w14:paraId="6A098129" w14:textId="77777777" w:rsidR="00000000" w:rsidRDefault="00405D16">
            <w:pPr>
              <w:spacing w:after="100"/>
              <w:rPr>
                <w:rFonts w:eastAsia="Times New Roman"/>
                <w:sz w:val="20"/>
                <w:szCs w:val="20"/>
              </w:rPr>
            </w:pPr>
          </w:p>
        </w:tc>
        <w:tc>
          <w:tcPr>
            <w:tcW w:w="0" w:type="auto"/>
            <w:gridSpan w:val="3"/>
            <w:vAlign w:val="center"/>
            <w:hideMark/>
          </w:tcPr>
          <w:p w14:paraId="09ACE0E8" w14:textId="77777777" w:rsidR="00000000" w:rsidRDefault="00405D16">
            <w:pPr>
              <w:spacing w:after="100"/>
              <w:rPr>
                <w:rFonts w:eastAsia="Times New Roman"/>
                <w:sz w:val="20"/>
                <w:szCs w:val="20"/>
              </w:rPr>
            </w:pPr>
          </w:p>
        </w:tc>
        <w:tc>
          <w:tcPr>
            <w:tcW w:w="0" w:type="auto"/>
            <w:gridSpan w:val="3"/>
            <w:vAlign w:val="center"/>
            <w:hideMark/>
          </w:tcPr>
          <w:p w14:paraId="483CE40C" w14:textId="77777777" w:rsidR="00000000" w:rsidRDefault="00405D16">
            <w:pPr>
              <w:spacing w:after="100"/>
              <w:rPr>
                <w:rFonts w:eastAsia="Times New Roman"/>
                <w:sz w:val="20"/>
                <w:szCs w:val="20"/>
              </w:rPr>
            </w:pPr>
          </w:p>
        </w:tc>
        <w:tc>
          <w:tcPr>
            <w:tcW w:w="0" w:type="auto"/>
            <w:gridSpan w:val="3"/>
            <w:vAlign w:val="center"/>
            <w:hideMark/>
          </w:tcPr>
          <w:p w14:paraId="630569F0" w14:textId="77777777" w:rsidR="00000000" w:rsidRDefault="00405D16">
            <w:pPr>
              <w:spacing w:after="100"/>
              <w:rPr>
                <w:rFonts w:eastAsia="Times New Roman"/>
                <w:sz w:val="20"/>
                <w:szCs w:val="20"/>
              </w:rPr>
            </w:pPr>
          </w:p>
        </w:tc>
        <w:tc>
          <w:tcPr>
            <w:tcW w:w="0" w:type="auto"/>
            <w:gridSpan w:val="3"/>
            <w:vAlign w:val="center"/>
            <w:hideMark/>
          </w:tcPr>
          <w:p w14:paraId="61BE0443" w14:textId="77777777" w:rsidR="00000000" w:rsidRDefault="00405D16">
            <w:pPr>
              <w:spacing w:after="100"/>
              <w:rPr>
                <w:rFonts w:eastAsia="Times New Roman"/>
                <w:sz w:val="20"/>
                <w:szCs w:val="20"/>
              </w:rPr>
            </w:pPr>
          </w:p>
        </w:tc>
      </w:tr>
      <w:tr w:rsidR="00000000" w14:paraId="0FAFD58E" w14:textId="77777777">
        <w:trPr>
          <w:divId w:val="86119291"/>
        </w:trPr>
        <w:tc>
          <w:tcPr>
            <w:tcW w:w="0" w:type="auto"/>
            <w:gridSpan w:val="3"/>
            <w:vAlign w:val="center"/>
            <w:hideMark/>
          </w:tcPr>
          <w:p w14:paraId="5D197A98" w14:textId="77777777" w:rsidR="00000000" w:rsidRDefault="00405D16">
            <w:pPr>
              <w:spacing w:after="100"/>
              <w:rPr>
                <w:rFonts w:eastAsia="Times New Roman"/>
                <w:sz w:val="20"/>
                <w:szCs w:val="20"/>
              </w:rPr>
            </w:pPr>
          </w:p>
        </w:tc>
        <w:tc>
          <w:tcPr>
            <w:tcW w:w="0" w:type="auto"/>
            <w:gridSpan w:val="3"/>
            <w:vAlign w:val="center"/>
            <w:hideMark/>
          </w:tcPr>
          <w:p w14:paraId="35810843" w14:textId="77777777" w:rsidR="00000000" w:rsidRDefault="00405D16">
            <w:pPr>
              <w:spacing w:after="100"/>
              <w:rPr>
                <w:rFonts w:eastAsia="Times New Roman"/>
                <w:sz w:val="20"/>
                <w:szCs w:val="20"/>
              </w:rPr>
            </w:pPr>
          </w:p>
        </w:tc>
        <w:tc>
          <w:tcPr>
            <w:tcW w:w="0" w:type="auto"/>
            <w:gridSpan w:val="3"/>
            <w:vAlign w:val="center"/>
            <w:hideMark/>
          </w:tcPr>
          <w:p w14:paraId="3226D386" w14:textId="77777777" w:rsidR="00000000" w:rsidRDefault="00405D16">
            <w:pPr>
              <w:spacing w:after="100"/>
              <w:rPr>
                <w:rFonts w:eastAsia="Times New Roman"/>
                <w:sz w:val="20"/>
                <w:szCs w:val="20"/>
              </w:rPr>
            </w:pPr>
          </w:p>
        </w:tc>
        <w:tc>
          <w:tcPr>
            <w:tcW w:w="0" w:type="auto"/>
            <w:gridSpan w:val="3"/>
            <w:vAlign w:val="center"/>
            <w:hideMark/>
          </w:tcPr>
          <w:p w14:paraId="168D85B6" w14:textId="77777777" w:rsidR="00000000" w:rsidRDefault="00405D16">
            <w:pPr>
              <w:spacing w:after="100"/>
              <w:rPr>
                <w:rFonts w:eastAsia="Times New Roman"/>
                <w:sz w:val="20"/>
                <w:szCs w:val="20"/>
              </w:rPr>
            </w:pPr>
          </w:p>
        </w:tc>
        <w:tc>
          <w:tcPr>
            <w:tcW w:w="0" w:type="auto"/>
            <w:gridSpan w:val="3"/>
            <w:vAlign w:val="center"/>
            <w:hideMark/>
          </w:tcPr>
          <w:p w14:paraId="4E4F5C47" w14:textId="77777777" w:rsidR="00000000" w:rsidRDefault="00405D16">
            <w:pPr>
              <w:spacing w:after="100"/>
              <w:rPr>
                <w:rFonts w:eastAsia="Times New Roman"/>
                <w:sz w:val="20"/>
                <w:szCs w:val="20"/>
              </w:rPr>
            </w:pPr>
          </w:p>
        </w:tc>
        <w:tc>
          <w:tcPr>
            <w:tcW w:w="0" w:type="auto"/>
            <w:gridSpan w:val="3"/>
            <w:vAlign w:val="center"/>
            <w:hideMark/>
          </w:tcPr>
          <w:p w14:paraId="5593DC5E" w14:textId="77777777" w:rsidR="00000000" w:rsidRDefault="00405D16">
            <w:pPr>
              <w:spacing w:after="100"/>
              <w:rPr>
                <w:rFonts w:eastAsia="Times New Roman"/>
                <w:sz w:val="20"/>
                <w:szCs w:val="20"/>
              </w:rPr>
            </w:pPr>
          </w:p>
        </w:tc>
        <w:tc>
          <w:tcPr>
            <w:tcW w:w="0" w:type="auto"/>
            <w:gridSpan w:val="3"/>
            <w:vAlign w:val="center"/>
            <w:hideMark/>
          </w:tcPr>
          <w:p w14:paraId="2479F46B" w14:textId="77777777" w:rsidR="00000000" w:rsidRDefault="00405D16">
            <w:pPr>
              <w:spacing w:after="100"/>
              <w:rPr>
                <w:rFonts w:eastAsia="Times New Roman"/>
                <w:sz w:val="20"/>
                <w:szCs w:val="20"/>
              </w:rPr>
            </w:pPr>
          </w:p>
        </w:tc>
        <w:tc>
          <w:tcPr>
            <w:tcW w:w="0" w:type="auto"/>
            <w:gridSpan w:val="3"/>
            <w:vAlign w:val="center"/>
            <w:hideMark/>
          </w:tcPr>
          <w:p w14:paraId="75A2606B" w14:textId="77777777" w:rsidR="00000000" w:rsidRDefault="00405D16">
            <w:pPr>
              <w:spacing w:after="100"/>
              <w:rPr>
                <w:rFonts w:eastAsia="Times New Roman"/>
                <w:sz w:val="20"/>
                <w:szCs w:val="20"/>
              </w:rPr>
            </w:pPr>
          </w:p>
        </w:tc>
        <w:tc>
          <w:tcPr>
            <w:tcW w:w="0" w:type="auto"/>
            <w:gridSpan w:val="3"/>
            <w:vAlign w:val="center"/>
            <w:hideMark/>
          </w:tcPr>
          <w:p w14:paraId="7159E7DF" w14:textId="77777777" w:rsidR="00000000" w:rsidRDefault="00405D16">
            <w:pPr>
              <w:spacing w:after="100"/>
              <w:rPr>
                <w:rFonts w:eastAsia="Times New Roman"/>
                <w:sz w:val="20"/>
                <w:szCs w:val="20"/>
              </w:rPr>
            </w:pPr>
          </w:p>
        </w:tc>
        <w:tc>
          <w:tcPr>
            <w:tcW w:w="0" w:type="auto"/>
            <w:gridSpan w:val="3"/>
            <w:vAlign w:val="center"/>
            <w:hideMark/>
          </w:tcPr>
          <w:p w14:paraId="212151B8" w14:textId="77777777" w:rsidR="00000000" w:rsidRDefault="00405D16">
            <w:pPr>
              <w:spacing w:after="100"/>
              <w:rPr>
                <w:rFonts w:eastAsia="Times New Roman"/>
                <w:sz w:val="20"/>
                <w:szCs w:val="20"/>
              </w:rPr>
            </w:pPr>
          </w:p>
        </w:tc>
        <w:tc>
          <w:tcPr>
            <w:tcW w:w="0" w:type="auto"/>
            <w:gridSpan w:val="3"/>
            <w:vAlign w:val="center"/>
            <w:hideMark/>
          </w:tcPr>
          <w:p w14:paraId="1648D57D" w14:textId="77777777" w:rsidR="00000000" w:rsidRDefault="00405D16">
            <w:pPr>
              <w:spacing w:after="100"/>
              <w:rPr>
                <w:rFonts w:eastAsia="Times New Roman"/>
                <w:sz w:val="20"/>
                <w:szCs w:val="20"/>
              </w:rPr>
            </w:pPr>
          </w:p>
        </w:tc>
        <w:tc>
          <w:tcPr>
            <w:tcW w:w="0" w:type="auto"/>
            <w:gridSpan w:val="3"/>
            <w:vAlign w:val="center"/>
            <w:hideMark/>
          </w:tcPr>
          <w:p w14:paraId="0332E77E" w14:textId="77777777" w:rsidR="00000000" w:rsidRDefault="00405D16">
            <w:pPr>
              <w:spacing w:after="100"/>
              <w:rPr>
                <w:rFonts w:eastAsia="Times New Roman"/>
                <w:sz w:val="20"/>
                <w:szCs w:val="20"/>
              </w:rPr>
            </w:pPr>
          </w:p>
        </w:tc>
        <w:tc>
          <w:tcPr>
            <w:tcW w:w="0" w:type="auto"/>
            <w:gridSpan w:val="3"/>
            <w:vAlign w:val="center"/>
            <w:hideMark/>
          </w:tcPr>
          <w:p w14:paraId="52E78066" w14:textId="77777777" w:rsidR="00000000" w:rsidRDefault="00405D16">
            <w:pPr>
              <w:spacing w:after="100"/>
              <w:rPr>
                <w:rFonts w:eastAsia="Times New Roman"/>
                <w:sz w:val="20"/>
                <w:szCs w:val="20"/>
              </w:rPr>
            </w:pPr>
          </w:p>
        </w:tc>
        <w:tc>
          <w:tcPr>
            <w:tcW w:w="0" w:type="auto"/>
            <w:gridSpan w:val="3"/>
            <w:vAlign w:val="center"/>
            <w:hideMark/>
          </w:tcPr>
          <w:p w14:paraId="1635A8AB" w14:textId="77777777" w:rsidR="00000000" w:rsidRDefault="00405D16">
            <w:pPr>
              <w:spacing w:after="100"/>
              <w:rPr>
                <w:rFonts w:eastAsia="Times New Roman"/>
                <w:sz w:val="20"/>
                <w:szCs w:val="20"/>
              </w:rPr>
            </w:pPr>
          </w:p>
        </w:tc>
        <w:tc>
          <w:tcPr>
            <w:tcW w:w="0" w:type="auto"/>
            <w:gridSpan w:val="3"/>
            <w:vAlign w:val="center"/>
            <w:hideMark/>
          </w:tcPr>
          <w:p w14:paraId="239469E9" w14:textId="77777777" w:rsidR="00000000" w:rsidRDefault="00405D16">
            <w:pPr>
              <w:spacing w:after="100"/>
              <w:rPr>
                <w:rFonts w:eastAsia="Times New Roman"/>
                <w:sz w:val="20"/>
                <w:szCs w:val="20"/>
              </w:rPr>
            </w:pPr>
          </w:p>
        </w:tc>
      </w:tr>
      <w:tr w:rsidR="00000000" w14:paraId="4EDCA9F1" w14:textId="77777777">
        <w:trPr>
          <w:divId w:val="86119291"/>
        </w:trPr>
        <w:tc>
          <w:tcPr>
            <w:tcW w:w="0" w:type="auto"/>
            <w:gridSpan w:val="3"/>
            <w:vAlign w:val="center"/>
            <w:hideMark/>
          </w:tcPr>
          <w:p w14:paraId="67A06E1E" w14:textId="77777777" w:rsidR="00000000" w:rsidRDefault="00405D16">
            <w:pPr>
              <w:spacing w:after="100"/>
              <w:rPr>
                <w:rFonts w:eastAsia="Times New Roman"/>
                <w:sz w:val="20"/>
                <w:szCs w:val="20"/>
              </w:rPr>
            </w:pPr>
          </w:p>
        </w:tc>
        <w:tc>
          <w:tcPr>
            <w:tcW w:w="0" w:type="auto"/>
            <w:gridSpan w:val="3"/>
            <w:vAlign w:val="center"/>
            <w:hideMark/>
          </w:tcPr>
          <w:p w14:paraId="10AD6452" w14:textId="77777777" w:rsidR="00000000" w:rsidRDefault="00405D16">
            <w:pPr>
              <w:spacing w:after="100"/>
              <w:rPr>
                <w:rFonts w:eastAsia="Times New Roman"/>
                <w:sz w:val="20"/>
                <w:szCs w:val="20"/>
              </w:rPr>
            </w:pPr>
          </w:p>
        </w:tc>
        <w:tc>
          <w:tcPr>
            <w:tcW w:w="0" w:type="auto"/>
            <w:gridSpan w:val="3"/>
            <w:vAlign w:val="center"/>
            <w:hideMark/>
          </w:tcPr>
          <w:p w14:paraId="66EE5516" w14:textId="77777777" w:rsidR="00000000" w:rsidRDefault="00405D16">
            <w:pPr>
              <w:spacing w:after="100"/>
              <w:rPr>
                <w:rFonts w:eastAsia="Times New Roman"/>
                <w:sz w:val="20"/>
                <w:szCs w:val="20"/>
              </w:rPr>
            </w:pPr>
          </w:p>
        </w:tc>
        <w:tc>
          <w:tcPr>
            <w:tcW w:w="0" w:type="auto"/>
            <w:gridSpan w:val="3"/>
            <w:vAlign w:val="center"/>
            <w:hideMark/>
          </w:tcPr>
          <w:p w14:paraId="604308C7" w14:textId="77777777" w:rsidR="00000000" w:rsidRDefault="00405D16">
            <w:pPr>
              <w:spacing w:after="100"/>
              <w:rPr>
                <w:rFonts w:eastAsia="Times New Roman"/>
                <w:sz w:val="20"/>
                <w:szCs w:val="20"/>
              </w:rPr>
            </w:pPr>
          </w:p>
        </w:tc>
        <w:tc>
          <w:tcPr>
            <w:tcW w:w="0" w:type="auto"/>
            <w:gridSpan w:val="3"/>
            <w:vAlign w:val="center"/>
            <w:hideMark/>
          </w:tcPr>
          <w:p w14:paraId="06B4A7B1" w14:textId="77777777" w:rsidR="00000000" w:rsidRDefault="00405D16">
            <w:pPr>
              <w:spacing w:after="100"/>
              <w:rPr>
                <w:rFonts w:eastAsia="Times New Roman"/>
                <w:sz w:val="20"/>
                <w:szCs w:val="20"/>
              </w:rPr>
            </w:pPr>
          </w:p>
        </w:tc>
        <w:tc>
          <w:tcPr>
            <w:tcW w:w="0" w:type="auto"/>
            <w:gridSpan w:val="3"/>
            <w:vAlign w:val="center"/>
            <w:hideMark/>
          </w:tcPr>
          <w:p w14:paraId="5B91EC45" w14:textId="77777777" w:rsidR="00000000" w:rsidRDefault="00405D16">
            <w:pPr>
              <w:spacing w:after="100"/>
              <w:rPr>
                <w:rFonts w:eastAsia="Times New Roman"/>
                <w:sz w:val="20"/>
                <w:szCs w:val="20"/>
              </w:rPr>
            </w:pPr>
          </w:p>
        </w:tc>
        <w:tc>
          <w:tcPr>
            <w:tcW w:w="0" w:type="auto"/>
            <w:gridSpan w:val="3"/>
            <w:vAlign w:val="center"/>
            <w:hideMark/>
          </w:tcPr>
          <w:p w14:paraId="0821EB09" w14:textId="77777777" w:rsidR="00000000" w:rsidRDefault="00405D16">
            <w:pPr>
              <w:spacing w:after="100"/>
              <w:rPr>
                <w:rFonts w:eastAsia="Times New Roman"/>
                <w:sz w:val="20"/>
                <w:szCs w:val="20"/>
              </w:rPr>
            </w:pPr>
          </w:p>
        </w:tc>
        <w:tc>
          <w:tcPr>
            <w:tcW w:w="0" w:type="auto"/>
            <w:gridSpan w:val="3"/>
            <w:vAlign w:val="center"/>
            <w:hideMark/>
          </w:tcPr>
          <w:p w14:paraId="18427530" w14:textId="77777777" w:rsidR="00000000" w:rsidRDefault="00405D16">
            <w:pPr>
              <w:spacing w:after="100"/>
              <w:rPr>
                <w:rFonts w:eastAsia="Times New Roman"/>
                <w:sz w:val="20"/>
                <w:szCs w:val="20"/>
              </w:rPr>
            </w:pPr>
          </w:p>
        </w:tc>
        <w:tc>
          <w:tcPr>
            <w:tcW w:w="0" w:type="auto"/>
            <w:gridSpan w:val="3"/>
            <w:vAlign w:val="center"/>
            <w:hideMark/>
          </w:tcPr>
          <w:p w14:paraId="48967FC3" w14:textId="77777777" w:rsidR="00000000" w:rsidRDefault="00405D16">
            <w:pPr>
              <w:spacing w:after="100"/>
              <w:rPr>
                <w:rFonts w:eastAsia="Times New Roman"/>
                <w:sz w:val="20"/>
                <w:szCs w:val="20"/>
              </w:rPr>
            </w:pPr>
          </w:p>
        </w:tc>
        <w:tc>
          <w:tcPr>
            <w:tcW w:w="0" w:type="auto"/>
            <w:gridSpan w:val="3"/>
            <w:vAlign w:val="center"/>
            <w:hideMark/>
          </w:tcPr>
          <w:p w14:paraId="50B04710" w14:textId="77777777" w:rsidR="00000000" w:rsidRDefault="00405D16">
            <w:pPr>
              <w:spacing w:after="100"/>
              <w:rPr>
                <w:rFonts w:eastAsia="Times New Roman"/>
                <w:sz w:val="20"/>
                <w:szCs w:val="20"/>
              </w:rPr>
            </w:pPr>
          </w:p>
        </w:tc>
        <w:tc>
          <w:tcPr>
            <w:tcW w:w="0" w:type="auto"/>
            <w:gridSpan w:val="3"/>
            <w:vAlign w:val="center"/>
            <w:hideMark/>
          </w:tcPr>
          <w:p w14:paraId="15A307E2" w14:textId="77777777" w:rsidR="00000000" w:rsidRDefault="00405D16">
            <w:pPr>
              <w:spacing w:after="100"/>
              <w:rPr>
                <w:rFonts w:eastAsia="Times New Roman"/>
                <w:sz w:val="20"/>
                <w:szCs w:val="20"/>
              </w:rPr>
            </w:pPr>
          </w:p>
        </w:tc>
        <w:tc>
          <w:tcPr>
            <w:tcW w:w="0" w:type="auto"/>
            <w:gridSpan w:val="3"/>
            <w:vAlign w:val="center"/>
            <w:hideMark/>
          </w:tcPr>
          <w:p w14:paraId="2A721F20" w14:textId="77777777" w:rsidR="00000000" w:rsidRDefault="00405D16">
            <w:pPr>
              <w:spacing w:after="100"/>
              <w:rPr>
                <w:rFonts w:eastAsia="Times New Roman"/>
                <w:sz w:val="20"/>
                <w:szCs w:val="20"/>
              </w:rPr>
            </w:pPr>
          </w:p>
        </w:tc>
        <w:tc>
          <w:tcPr>
            <w:tcW w:w="0" w:type="auto"/>
            <w:gridSpan w:val="3"/>
            <w:vAlign w:val="center"/>
            <w:hideMark/>
          </w:tcPr>
          <w:p w14:paraId="7720E70A" w14:textId="77777777" w:rsidR="00000000" w:rsidRDefault="00405D16">
            <w:pPr>
              <w:spacing w:after="100"/>
              <w:rPr>
                <w:rFonts w:eastAsia="Times New Roman"/>
                <w:sz w:val="20"/>
                <w:szCs w:val="20"/>
              </w:rPr>
            </w:pPr>
          </w:p>
        </w:tc>
        <w:tc>
          <w:tcPr>
            <w:tcW w:w="0" w:type="auto"/>
            <w:gridSpan w:val="3"/>
            <w:vAlign w:val="center"/>
            <w:hideMark/>
          </w:tcPr>
          <w:p w14:paraId="444C515C" w14:textId="77777777" w:rsidR="00000000" w:rsidRDefault="00405D16">
            <w:pPr>
              <w:spacing w:after="100"/>
              <w:rPr>
                <w:rFonts w:eastAsia="Times New Roman"/>
                <w:sz w:val="20"/>
                <w:szCs w:val="20"/>
              </w:rPr>
            </w:pPr>
          </w:p>
        </w:tc>
        <w:tc>
          <w:tcPr>
            <w:tcW w:w="0" w:type="auto"/>
            <w:gridSpan w:val="3"/>
            <w:vAlign w:val="center"/>
            <w:hideMark/>
          </w:tcPr>
          <w:p w14:paraId="3EDA1176" w14:textId="77777777" w:rsidR="00000000" w:rsidRDefault="00405D16">
            <w:pPr>
              <w:spacing w:after="100"/>
              <w:rPr>
                <w:rFonts w:eastAsia="Times New Roman"/>
                <w:sz w:val="20"/>
                <w:szCs w:val="20"/>
              </w:rPr>
            </w:pPr>
          </w:p>
        </w:tc>
      </w:tr>
      <w:tr w:rsidR="00000000" w14:paraId="5F678B6D" w14:textId="77777777">
        <w:trPr>
          <w:divId w:val="86119291"/>
        </w:trPr>
        <w:tc>
          <w:tcPr>
            <w:tcW w:w="0" w:type="auto"/>
            <w:gridSpan w:val="3"/>
            <w:vAlign w:val="center"/>
            <w:hideMark/>
          </w:tcPr>
          <w:p w14:paraId="027066BC" w14:textId="77777777" w:rsidR="00000000" w:rsidRDefault="00405D16">
            <w:pPr>
              <w:spacing w:after="100"/>
              <w:rPr>
                <w:rFonts w:eastAsia="Times New Roman"/>
                <w:sz w:val="20"/>
                <w:szCs w:val="20"/>
              </w:rPr>
            </w:pPr>
          </w:p>
        </w:tc>
        <w:tc>
          <w:tcPr>
            <w:tcW w:w="0" w:type="auto"/>
            <w:gridSpan w:val="3"/>
            <w:vAlign w:val="center"/>
            <w:hideMark/>
          </w:tcPr>
          <w:p w14:paraId="2D21E828" w14:textId="77777777" w:rsidR="00000000" w:rsidRDefault="00405D16">
            <w:pPr>
              <w:spacing w:after="100"/>
              <w:rPr>
                <w:rFonts w:eastAsia="Times New Roman"/>
                <w:sz w:val="20"/>
                <w:szCs w:val="20"/>
              </w:rPr>
            </w:pPr>
          </w:p>
        </w:tc>
        <w:tc>
          <w:tcPr>
            <w:tcW w:w="0" w:type="auto"/>
            <w:gridSpan w:val="3"/>
            <w:vAlign w:val="center"/>
            <w:hideMark/>
          </w:tcPr>
          <w:p w14:paraId="08D4004F" w14:textId="77777777" w:rsidR="00000000" w:rsidRDefault="00405D16">
            <w:pPr>
              <w:spacing w:after="100"/>
              <w:rPr>
                <w:rFonts w:eastAsia="Times New Roman"/>
                <w:sz w:val="20"/>
                <w:szCs w:val="20"/>
              </w:rPr>
            </w:pPr>
          </w:p>
        </w:tc>
        <w:tc>
          <w:tcPr>
            <w:tcW w:w="0" w:type="auto"/>
            <w:gridSpan w:val="3"/>
            <w:vAlign w:val="center"/>
            <w:hideMark/>
          </w:tcPr>
          <w:p w14:paraId="481C7C8A" w14:textId="77777777" w:rsidR="00000000" w:rsidRDefault="00405D16">
            <w:pPr>
              <w:spacing w:after="100"/>
              <w:rPr>
                <w:rFonts w:eastAsia="Times New Roman"/>
                <w:sz w:val="20"/>
                <w:szCs w:val="20"/>
              </w:rPr>
            </w:pPr>
          </w:p>
        </w:tc>
        <w:tc>
          <w:tcPr>
            <w:tcW w:w="0" w:type="auto"/>
            <w:gridSpan w:val="3"/>
            <w:vAlign w:val="center"/>
            <w:hideMark/>
          </w:tcPr>
          <w:p w14:paraId="07E28990" w14:textId="77777777" w:rsidR="00000000" w:rsidRDefault="00405D16">
            <w:pPr>
              <w:spacing w:after="100"/>
              <w:rPr>
                <w:rFonts w:eastAsia="Times New Roman"/>
                <w:sz w:val="20"/>
                <w:szCs w:val="20"/>
              </w:rPr>
            </w:pPr>
          </w:p>
        </w:tc>
        <w:tc>
          <w:tcPr>
            <w:tcW w:w="0" w:type="auto"/>
            <w:gridSpan w:val="3"/>
            <w:vAlign w:val="center"/>
            <w:hideMark/>
          </w:tcPr>
          <w:p w14:paraId="18C3FB1C" w14:textId="77777777" w:rsidR="00000000" w:rsidRDefault="00405D16">
            <w:pPr>
              <w:spacing w:after="100"/>
              <w:rPr>
                <w:rFonts w:eastAsia="Times New Roman"/>
                <w:sz w:val="20"/>
                <w:szCs w:val="20"/>
              </w:rPr>
            </w:pPr>
          </w:p>
        </w:tc>
        <w:tc>
          <w:tcPr>
            <w:tcW w:w="0" w:type="auto"/>
            <w:gridSpan w:val="3"/>
            <w:vAlign w:val="center"/>
            <w:hideMark/>
          </w:tcPr>
          <w:p w14:paraId="31851194" w14:textId="77777777" w:rsidR="00000000" w:rsidRDefault="00405D16">
            <w:pPr>
              <w:spacing w:after="100"/>
              <w:rPr>
                <w:rFonts w:eastAsia="Times New Roman"/>
                <w:sz w:val="20"/>
                <w:szCs w:val="20"/>
              </w:rPr>
            </w:pPr>
          </w:p>
        </w:tc>
        <w:tc>
          <w:tcPr>
            <w:tcW w:w="0" w:type="auto"/>
            <w:gridSpan w:val="3"/>
            <w:vAlign w:val="center"/>
            <w:hideMark/>
          </w:tcPr>
          <w:p w14:paraId="59001B47" w14:textId="77777777" w:rsidR="00000000" w:rsidRDefault="00405D16">
            <w:pPr>
              <w:spacing w:after="100"/>
              <w:rPr>
                <w:rFonts w:eastAsia="Times New Roman"/>
                <w:sz w:val="20"/>
                <w:szCs w:val="20"/>
              </w:rPr>
            </w:pPr>
          </w:p>
        </w:tc>
        <w:tc>
          <w:tcPr>
            <w:tcW w:w="0" w:type="auto"/>
            <w:gridSpan w:val="3"/>
            <w:vAlign w:val="center"/>
            <w:hideMark/>
          </w:tcPr>
          <w:p w14:paraId="74235BB1" w14:textId="77777777" w:rsidR="00000000" w:rsidRDefault="00405D16">
            <w:pPr>
              <w:spacing w:after="100"/>
              <w:rPr>
                <w:rFonts w:eastAsia="Times New Roman"/>
                <w:sz w:val="20"/>
                <w:szCs w:val="20"/>
              </w:rPr>
            </w:pPr>
          </w:p>
        </w:tc>
        <w:tc>
          <w:tcPr>
            <w:tcW w:w="0" w:type="auto"/>
            <w:gridSpan w:val="3"/>
            <w:vAlign w:val="center"/>
            <w:hideMark/>
          </w:tcPr>
          <w:p w14:paraId="0B817A88" w14:textId="77777777" w:rsidR="00000000" w:rsidRDefault="00405D16">
            <w:pPr>
              <w:spacing w:after="100"/>
              <w:rPr>
                <w:rFonts w:eastAsia="Times New Roman"/>
                <w:sz w:val="20"/>
                <w:szCs w:val="20"/>
              </w:rPr>
            </w:pPr>
          </w:p>
        </w:tc>
        <w:tc>
          <w:tcPr>
            <w:tcW w:w="0" w:type="auto"/>
            <w:gridSpan w:val="3"/>
            <w:vAlign w:val="center"/>
            <w:hideMark/>
          </w:tcPr>
          <w:p w14:paraId="0146762C" w14:textId="77777777" w:rsidR="00000000" w:rsidRDefault="00405D16">
            <w:pPr>
              <w:spacing w:after="100"/>
              <w:rPr>
                <w:rFonts w:eastAsia="Times New Roman"/>
                <w:sz w:val="20"/>
                <w:szCs w:val="20"/>
              </w:rPr>
            </w:pPr>
          </w:p>
        </w:tc>
        <w:tc>
          <w:tcPr>
            <w:tcW w:w="0" w:type="auto"/>
            <w:gridSpan w:val="3"/>
            <w:vAlign w:val="center"/>
            <w:hideMark/>
          </w:tcPr>
          <w:p w14:paraId="07302365" w14:textId="77777777" w:rsidR="00000000" w:rsidRDefault="00405D16">
            <w:pPr>
              <w:spacing w:after="100"/>
              <w:rPr>
                <w:rFonts w:eastAsia="Times New Roman"/>
                <w:sz w:val="20"/>
                <w:szCs w:val="20"/>
              </w:rPr>
            </w:pPr>
          </w:p>
        </w:tc>
        <w:tc>
          <w:tcPr>
            <w:tcW w:w="0" w:type="auto"/>
            <w:gridSpan w:val="3"/>
            <w:vAlign w:val="center"/>
            <w:hideMark/>
          </w:tcPr>
          <w:p w14:paraId="5CCA9004" w14:textId="77777777" w:rsidR="00000000" w:rsidRDefault="00405D16">
            <w:pPr>
              <w:spacing w:after="100"/>
              <w:rPr>
                <w:rFonts w:eastAsia="Times New Roman"/>
                <w:sz w:val="20"/>
                <w:szCs w:val="20"/>
              </w:rPr>
            </w:pPr>
          </w:p>
        </w:tc>
        <w:tc>
          <w:tcPr>
            <w:tcW w:w="0" w:type="auto"/>
            <w:gridSpan w:val="3"/>
            <w:vAlign w:val="center"/>
            <w:hideMark/>
          </w:tcPr>
          <w:p w14:paraId="6203C2E1" w14:textId="77777777" w:rsidR="00000000" w:rsidRDefault="00405D16">
            <w:pPr>
              <w:spacing w:after="100"/>
              <w:rPr>
                <w:rFonts w:eastAsia="Times New Roman"/>
                <w:sz w:val="20"/>
                <w:szCs w:val="20"/>
              </w:rPr>
            </w:pPr>
          </w:p>
        </w:tc>
        <w:tc>
          <w:tcPr>
            <w:tcW w:w="0" w:type="auto"/>
            <w:gridSpan w:val="3"/>
            <w:vAlign w:val="center"/>
            <w:hideMark/>
          </w:tcPr>
          <w:p w14:paraId="45581697" w14:textId="77777777" w:rsidR="00000000" w:rsidRDefault="00405D16">
            <w:pPr>
              <w:spacing w:after="100"/>
              <w:rPr>
                <w:rFonts w:eastAsia="Times New Roman"/>
                <w:sz w:val="20"/>
                <w:szCs w:val="20"/>
              </w:rPr>
            </w:pPr>
          </w:p>
        </w:tc>
      </w:tr>
      <w:tr w:rsidR="00000000" w14:paraId="08DA4624" w14:textId="77777777">
        <w:trPr>
          <w:divId w:val="86119291"/>
        </w:trPr>
        <w:tc>
          <w:tcPr>
            <w:tcW w:w="0" w:type="auto"/>
            <w:gridSpan w:val="3"/>
            <w:vAlign w:val="center"/>
            <w:hideMark/>
          </w:tcPr>
          <w:p w14:paraId="225CB602" w14:textId="77777777" w:rsidR="00000000" w:rsidRDefault="00405D16">
            <w:pPr>
              <w:spacing w:after="100"/>
              <w:rPr>
                <w:rFonts w:eastAsia="Times New Roman"/>
                <w:sz w:val="20"/>
                <w:szCs w:val="20"/>
              </w:rPr>
            </w:pPr>
          </w:p>
        </w:tc>
        <w:tc>
          <w:tcPr>
            <w:tcW w:w="0" w:type="auto"/>
            <w:gridSpan w:val="3"/>
            <w:vAlign w:val="center"/>
            <w:hideMark/>
          </w:tcPr>
          <w:p w14:paraId="59BF234C" w14:textId="77777777" w:rsidR="00000000" w:rsidRDefault="00405D16">
            <w:pPr>
              <w:spacing w:after="100"/>
              <w:rPr>
                <w:rFonts w:eastAsia="Times New Roman"/>
                <w:sz w:val="20"/>
                <w:szCs w:val="20"/>
              </w:rPr>
            </w:pPr>
          </w:p>
        </w:tc>
        <w:tc>
          <w:tcPr>
            <w:tcW w:w="0" w:type="auto"/>
            <w:gridSpan w:val="3"/>
            <w:vAlign w:val="center"/>
            <w:hideMark/>
          </w:tcPr>
          <w:p w14:paraId="14B9F9C5" w14:textId="77777777" w:rsidR="00000000" w:rsidRDefault="00405D16">
            <w:pPr>
              <w:spacing w:after="100"/>
              <w:rPr>
                <w:rFonts w:eastAsia="Times New Roman"/>
                <w:sz w:val="20"/>
                <w:szCs w:val="20"/>
              </w:rPr>
            </w:pPr>
          </w:p>
        </w:tc>
        <w:tc>
          <w:tcPr>
            <w:tcW w:w="0" w:type="auto"/>
            <w:gridSpan w:val="3"/>
            <w:vAlign w:val="center"/>
            <w:hideMark/>
          </w:tcPr>
          <w:p w14:paraId="3DAFC844" w14:textId="77777777" w:rsidR="00000000" w:rsidRDefault="00405D16">
            <w:pPr>
              <w:spacing w:after="100"/>
              <w:rPr>
                <w:rFonts w:eastAsia="Times New Roman"/>
                <w:sz w:val="20"/>
                <w:szCs w:val="20"/>
              </w:rPr>
            </w:pPr>
          </w:p>
        </w:tc>
        <w:tc>
          <w:tcPr>
            <w:tcW w:w="0" w:type="auto"/>
            <w:gridSpan w:val="3"/>
            <w:vAlign w:val="center"/>
            <w:hideMark/>
          </w:tcPr>
          <w:p w14:paraId="1BA2C068" w14:textId="77777777" w:rsidR="00000000" w:rsidRDefault="00405D16">
            <w:pPr>
              <w:spacing w:after="100"/>
              <w:rPr>
                <w:rFonts w:eastAsia="Times New Roman"/>
                <w:sz w:val="20"/>
                <w:szCs w:val="20"/>
              </w:rPr>
            </w:pPr>
          </w:p>
        </w:tc>
        <w:tc>
          <w:tcPr>
            <w:tcW w:w="0" w:type="auto"/>
            <w:gridSpan w:val="3"/>
            <w:vAlign w:val="center"/>
            <w:hideMark/>
          </w:tcPr>
          <w:p w14:paraId="4DBC183E" w14:textId="77777777" w:rsidR="00000000" w:rsidRDefault="00405D16">
            <w:pPr>
              <w:spacing w:after="100"/>
              <w:rPr>
                <w:rFonts w:eastAsia="Times New Roman"/>
                <w:sz w:val="20"/>
                <w:szCs w:val="20"/>
              </w:rPr>
            </w:pPr>
          </w:p>
        </w:tc>
        <w:tc>
          <w:tcPr>
            <w:tcW w:w="0" w:type="auto"/>
            <w:gridSpan w:val="3"/>
            <w:vAlign w:val="center"/>
            <w:hideMark/>
          </w:tcPr>
          <w:p w14:paraId="43FAE0C9" w14:textId="77777777" w:rsidR="00000000" w:rsidRDefault="00405D16">
            <w:pPr>
              <w:spacing w:after="100"/>
              <w:rPr>
                <w:rFonts w:eastAsia="Times New Roman"/>
                <w:sz w:val="20"/>
                <w:szCs w:val="20"/>
              </w:rPr>
            </w:pPr>
          </w:p>
        </w:tc>
        <w:tc>
          <w:tcPr>
            <w:tcW w:w="0" w:type="auto"/>
            <w:gridSpan w:val="3"/>
            <w:vAlign w:val="center"/>
            <w:hideMark/>
          </w:tcPr>
          <w:p w14:paraId="0A8E45D5" w14:textId="77777777" w:rsidR="00000000" w:rsidRDefault="00405D16">
            <w:pPr>
              <w:spacing w:after="100"/>
              <w:rPr>
                <w:rFonts w:eastAsia="Times New Roman"/>
                <w:sz w:val="20"/>
                <w:szCs w:val="20"/>
              </w:rPr>
            </w:pPr>
          </w:p>
        </w:tc>
        <w:tc>
          <w:tcPr>
            <w:tcW w:w="0" w:type="auto"/>
            <w:gridSpan w:val="3"/>
            <w:vAlign w:val="center"/>
            <w:hideMark/>
          </w:tcPr>
          <w:p w14:paraId="0F19A272" w14:textId="77777777" w:rsidR="00000000" w:rsidRDefault="00405D16">
            <w:pPr>
              <w:spacing w:after="100"/>
              <w:rPr>
                <w:rFonts w:eastAsia="Times New Roman"/>
                <w:sz w:val="20"/>
                <w:szCs w:val="20"/>
              </w:rPr>
            </w:pPr>
          </w:p>
        </w:tc>
        <w:tc>
          <w:tcPr>
            <w:tcW w:w="0" w:type="auto"/>
            <w:gridSpan w:val="3"/>
            <w:vAlign w:val="center"/>
            <w:hideMark/>
          </w:tcPr>
          <w:p w14:paraId="6579AD61" w14:textId="77777777" w:rsidR="00000000" w:rsidRDefault="00405D16">
            <w:pPr>
              <w:spacing w:after="100"/>
              <w:rPr>
                <w:rFonts w:eastAsia="Times New Roman"/>
                <w:sz w:val="20"/>
                <w:szCs w:val="20"/>
              </w:rPr>
            </w:pPr>
          </w:p>
        </w:tc>
        <w:tc>
          <w:tcPr>
            <w:tcW w:w="0" w:type="auto"/>
            <w:gridSpan w:val="3"/>
            <w:vAlign w:val="center"/>
            <w:hideMark/>
          </w:tcPr>
          <w:p w14:paraId="07FD4466" w14:textId="77777777" w:rsidR="00000000" w:rsidRDefault="00405D16">
            <w:pPr>
              <w:spacing w:after="100"/>
              <w:rPr>
                <w:rFonts w:eastAsia="Times New Roman"/>
                <w:sz w:val="20"/>
                <w:szCs w:val="20"/>
              </w:rPr>
            </w:pPr>
          </w:p>
        </w:tc>
        <w:tc>
          <w:tcPr>
            <w:tcW w:w="0" w:type="auto"/>
            <w:gridSpan w:val="3"/>
            <w:vAlign w:val="center"/>
            <w:hideMark/>
          </w:tcPr>
          <w:p w14:paraId="1A35AE96" w14:textId="77777777" w:rsidR="00000000" w:rsidRDefault="00405D16">
            <w:pPr>
              <w:spacing w:after="100"/>
              <w:rPr>
                <w:rFonts w:eastAsia="Times New Roman"/>
                <w:sz w:val="20"/>
                <w:szCs w:val="20"/>
              </w:rPr>
            </w:pPr>
          </w:p>
        </w:tc>
        <w:tc>
          <w:tcPr>
            <w:tcW w:w="0" w:type="auto"/>
            <w:gridSpan w:val="3"/>
            <w:vAlign w:val="center"/>
            <w:hideMark/>
          </w:tcPr>
          <w:p w14:paraId="18776671" w14:textId="77777777" w:rsidR="00000000" w:rsidRDefault="00405D16">
            <w:pPr>
              <w:spacing w:after="100"/>
              <w:rPr>
                <w:rFonts w:eastAsia="Times New Roman"/>
                <w:sz w:val="20"/>
                <w:szCs w:val="20"/>
              </w:rPr>
            </w:pPr>
          </w:p>
        </w:tc>
        <w:tc>
          <w:tcPr>
            <w:tcW w:w="0" w:type="auto"/>
            <w:gridSpan w:val="3"/>
            <w:vAlign w:val="center"/>
            <w:hideMark/>
          </w:tcPr>
          <w:p w14:paraId="37A1CE80" w14:textId="77777777" w:rsidR="00000000" w:rsidRDefault="00405D16">
            <w:pPr>
              <w:spacing w:after="100"/>
              <w:rPr>
                <w:rFonts w:eastAsia="Times New Roman"/>
                <w:sz w:val="20"/>
                <w:szCs w:val="20"/>
              </w:rPr>
            </w:pPr>
          </w:p>
        </w:tc>
        <w:tc>
          <w:tcPr>
            <w:tcW w:w="0" w:type="auto"/>
            <w:gridSpan w:val="3"/>
            <w:vAlign w:val="center"/>
            <w:hideMark/>
          </w:tcPr>
          <w:p w14:paraId="557BC8FC" w14:textId="77777777" w:rsidR="00000000" w:rsidRDefault="00405D16">
            <w:pPr>
              <w:spacing w:after="100"/>
              <w:rPr>
                <w:rFonts w:eastAsia="Times New Roman"/>
                <w:sz w:val="20"/>
                <w:szCs w:val="20"/>
              </w:rPr>
            </w:pPr>
          </w:p>
        </w:tc>
      </w:tr>
      <w:tr w:rsidR="00000000" w14:paraId="4BAE0173" w14:textId="77777777">
        <w:trPr>
          <w:divId w:val="86119291"/>
        </w:trPr>
        <w:tc>
          <w:tcPr>
            <w:tcW w:w="0" w:type="auto"/>
            <w:gridSpan w:val="3"/>
            <w:vAlign w:val="center"/>
            <w:hideMark/>
          </w:tcPr>
          <w:p w14:paraId="38C17758" w14:textId="77777777" w:rsidR="00000000" w:rsidRDefault="00405D16">
            <w:pPr>
              <w:spacing w:after="100"/>
              <w:rPr>
                <w:rFonts w:eastAsia="Times New Roman"/>
                <w:sz w:val="20"/>
                <w:szCs w:val="20"/>
              </w:rPr>
            </w:pPr>
          </w:p>
        </w:tc>
        <w:tc>
          <w:tcPr>
            <w:tcW w:w="0" w:type="auto"/>
            <w:gridSpan w:val="3"/>
            <w:vAlign w:val="center"/>
            <w:hideMark/>
          </w:tcPr>
          <w:p w14:paraId="710C4182" w14:textId="77777777" w:rsidR="00000000" w:rsidRDefault="00405D16">
            <w:pPr>
              <w:spacing w:after="100"/>
              <w:rPr>
                <w:rFonts w:eastAsia="Times New Roman"/>
                <w:sz w:val="20"/>
                <w:szCs w:val="20"/>
              </w:rPr>
            </w:pPr>
          </w:p>
        </w:tc>
        <w:tc>
          <w:tcPr>
            <w:tcW w:w="0" w:type="auto"/>
            <w:gridSpan w:val="3"/>
            <w:vAlign w:val="center"/>
            <w:hideMark/>
          </w:tcPr>
          <w:p w14:paraId="7E3A108F" w14:textId="77777777" w:rsidR="00000000" w:rsidRDefault="00405D16">
            <w:pPr>
              <w:spacing w:after="100"/>
              <w:rPr>
                <w:rFonts w:eastAsia="Times New Roman"/>
                <w:sz w:val="20"/>
                <w:szCs w:val="20"/>
              </w:rPr>
            </w:pPr>
          </w:p>
        </w:tc>
        <w:tc>
          <w:tcPr>
            <w:tcW w:w="0" w:type="auto"/>
            <w:gridSpan w:val="3"/>
            <w:vAlign w:val="center"/>
            <w:hideMark/>
          </w:tcPr>
          <w:p w14:paraId="149A335D" w14:textId="77777777" w:rsidR="00000000" w:rsidRDefault="00405D16">
            <w:pPr>
              <w:spacing w:after="100"/>
              <w:rPr>
                <w:rFonts w:eastAsia="Times New Roman"/>
                <w:sz w:val="20"/>
                <w:szCs w:val="20"/>
              </w:rPr>
            </w:pPr>
          </w:p>
        </w:tc>
        <w:tc>
          <w:tcPr>
            <w:tcW w:w="0" w:type="auto"/>
            <w:gridSpan w:val="3"/>
            <w:vAlign w:val="center"/>
            <w:hideMark/>
          </w:tcPr>
          <w:p w14:paraId="7AB14289" w14:textId="77777777" w:rsidR="00000000" w:rsidRDefault="00405D16">
            <w:pPr>
              <w:spacing w:after="100"/>
              <w:rPr>
                <w:rFonts w:eastAsia="Times New Roman"/>
                <w:sz w:val="20"/>
                <w:szCs w:val="20"/>
              </w:rPr>
            </w:pPr>
          </w:p>
        </w:tc>
        <w:tc>
          <w:tcPr>
            <w:tcW w:w="0" w:type="auto"/>
            <w:gridSpan w:val="3"/>
            <w:vAlign w:val="center"/>
            <w:hideMark/>
          </w:tcPr>
          <w:p w14:paraId="7D52741B" w14:textId="77777777" w:rsidR="00000000" w:rsidRDefault="00405D16">
            <w:pPr>
              <w:spacing w:after="100"/>
              <w:rPr>
                <w:rFonts w:eastAsia="Times New Roman"/>
                <w:sz w:val="20"/>
                <w:szCs w:val="20"/>
              </w:rPr>
            </w:pPr>
          </w:p>
        </w:tc>
        <w:tc>
          <w:tcPr>
            <w:tcW w:w="0" w:type="auto"/>
            <w:gridSpan w:val="3"/>
            <w:vAlign w:val="center"/>
            <w:hideMark/>
          </w:tcPr>
          <w:p w14:paraId="5F3D3734" w14:textId="77777777" w:rsidR="00000000" w:rsidRDefault="00405D16">
            <w:pPr>
              <w:spacing w:after="100"/>
              <w:rPr>
                <w:rFonts w:eastAsia="Times New Roman"/>
                <w:sz w:val="20"/>
                <w:szCs w:val="20"/>
              </w:rPr>
            </w:pPr>
          </w:p>
        </w:tc>
        <w:tc>
          <w:tcPr>
            <w:tcW w:w="0" w:type="auto"/>
            <w:gridSpan w:val="3"/>
            <w:vAlign w:val="center"/>
            <w:hideMark/>
          </w:tcPr>
          <w:p w14:paraId="4A7BA86C" w14:textId="77777777" w:rsidR="00000000" w:rsidRDefault="00405D16">
            <w:pPr>
              <w:spacing w:after="100"/>
              <w:rPr>
                <w:rFonts w:eastAsia="Times New Roman"/>
                <w:sz w:val="20"/>
                <w:szCs w:val="20"/>
              </w:rPr>
            </w:pPr>
          </w:p>
        </w:tc>
        <w:tc>
          <w:tcPr>
            <w:tcW w:w="0" w:type="auto"/>
            <w:gridSpan w:val="3"/>
            <w:vAlign w:val="center"/>
            <w:hideMark/>
          </w:tcPr>
          <w:p w14:paraId="04F90B9C" w14:textId="77777777" w:rsidR="00000000" w:rsidRDefault="00405D16">
            <w:pPr>
              <w:spacing w:after="100"/>
              <w:rPr>
                <w:rFonts w:eastAsia="Times New Roman"/>
                <w:sz w:val="20"/>
                <w:szCs w:val="20"/>
              </w:rPr>
            </w:pPr>
          </w:p>
        </w:tc>
        <w:tc>
          <w:tcPr>
            <w:tcW w:w="0" w:type="auto"/>
            <w:gridSpan w:val="3"/>
            <w:vAlign w:val="center"/>
            <w:hideMark/>
          </w:tcPr>
          <w:p w14:paraId="613F0103" w14:textId="77777777" w:rsidR="00000000" w:rsidRDefault="00405D16">
            <w:pPr>
              <w:spacing w:after="100"/>
              <w:rPr>
                <w:rFonts w:eastAsia="Times New Roman"/>
                <w:sz w:val="20"/>
                <w:szCs w:val="20"/>
              </w:rPr>
            </w:pPr>
          </w:p>
        </w:tc>
        <w:tc>
          <w:tcPr>
            <w:tcW w:w="0" w:type="auto"/>
            <w:gridSpan w:val="3"/>
            <w:vAlign w:val="center"/>
            <w:hideMark/>
          </w:tcPr>
          <w:p w14:paraId="4916C9C6" w14:textId="77777777" w:rsidR="00000000" w:rsidRDefault="00405D16">
            <w:pPr>
              <w:spacing w:after="100"/>
              <w:rPr>
                <w:rFonts w:eastAsia="Times New Roman"/>
                <w:sz w:val="20"/>
                <w:szCs w:val="20"/>
              </w:rPr>
            </w:pPr>
          </w:p>
        </w:tc>
        <w:tc>
          <w:tcPr>
            <w:tcW w:w="0" w:type="auto"/>
            <w:gridSpan w:val="3"/>
            <w:vAlign w:val="center"/>
            <w:hideMark/>
          </w:tcPr>
          <w:p w14:paraId="0A478A2C" w14:textId="77777777" w:rsidR="00000000" w:rsidRDefault="00405D16">
            <w:pPr>
              <w:spacing w:after="100"/>
              <w:rPr>
                <w:rFonts w:eastAsia="Times New Roman"/>
                <w:sz w:val="20"/>
                <w:szCs w:val="20"/>
              </w:rPr>
            </w:pPr>
          </w:p>
        </w:tc>
        <w:tc>
          <w:tcPr>
            <w:tcW w:w="0" w:type="auto"/>
            <w:gridSpan w:val="3"/>
            <w:vAlign w:val="center"/>
            <w:hideMark/>
          </w:tcPr>
          <w:p w14:paraId="758C7A45" w14:textId="77777777" w:rsidR="00000000" w:rsidRDefault="00405D16">
            <w:pPr>
              <w:spacing w:after="100"/>
              <w:rPr>
                <w:rFonts w:eastAsia="Times New Roman"/>
                <w:sz w:val="20"/>
                <w:szCs w:val="20"/>
              </w:rPr>
            </w:pPr>
          </w:p>
        </w:tc>
        <w:tc>
          <w:tcPr>
            <w:tcW w:w="0" w:type="auto"/>
            <w:gridSpan w:val="3"/>
            <w:vAlign w:val="center"/>
            <w:hideMark/>
          </w:tcPr>
          <w:p w14:paraId="293BA36D" w14:textId="77777777" w:rsidR="00000000" w:rsidRDefault="00405D16">
            <w:pPr>
              <w:spacing w:after="100"/>
              <w:rPr>
                <w:rFonts w:eastAsia="Times New Roman"/>
                <w:sz w:val="20"/>
                <w:szCs w:val="20"/>
              </w:rPr>
            </w:pPr>
          </w:p>
        </w:tc>
        <w:tc>
          <w:tcPr>
            <w:tcW w:w="0" w:type="auto"/>
            <w:gridSpan w:val="3"/>
            <w:vAlign w:val="center"/>
            <w:hideMark/>
          </w:tcPr>
          <w:p w14:paraId="6FF957E6" w14:textId="77777777" w:rsidR="00000000" w:rsidRDefault="00405D16">
            <w:pPr>
              <w:spacing w:after="100"/>
              <w:rPr>
                <w:rFonts w:eastAsia="Times New Roman"/>
                <w:sz w:val="20"/>
                <w:szCs w:val="20"/>
              </w:rPr>
            </w:pPr>
          </w:p>
        </w:tc>
      </w:tr>
      <w:tr w:rsidR="00000000" w14:paraId="75FC04EF" w14:textId="77777777">
        <w:trPr>
          <w:divId w:val="86119291"/>
        </w:trPr>
        <w:tc>
          <w:tcPr>
            <w:tcW w:w="0" w:type="auto"/>
            <w:gridSpan w:val="3"/>
            <w:vAlign w:val="center"/>
            <w:hideMark/>
          </w:tcPr>
          <w:p w14:paraId="6D7A6C05" w14:textId="77777777" w:rsidR="00000000" w:rsidRDefault="00405D16">
            <w:pPr>
              <w:spacing w:after="100"/>
              <w:rPr>
                <w:rFonts w:eastAsia="Times New Roman"/>
                <w:sz w:val="20"/>
                <w:szCs w:val="20"/>
              </w:rPr>
            </w:pPr>
          </w:p>
        </w:tc>
        <w:tc>
          <w:tcPr>
            <w:tcW w:w="0" w:type="auto"/>
            <w:gridSpan w:val="3"/>
            <w:vAlign w:val="center"/>
            <w:hideMark/>
          </w:tcPr>
          <w:p w14:paraId="0C8EF474" w14:textId="77777777" w:rsidR="00000000" w:rsidRDefault="00405D16">
            <w:pPr>
              <w:spacing w:after="100"/>
              <w:rPr>
                <w:rFonts w:eastAsia="Times New Roman"/>
                <w:sz w:val="20"/>
                <w:szCs w:val="20"/>
              </w:rPr>
            </w:pPr>
          </w:p>
        </w:tc>
        <w:tc>
          <w:tcPr>
            <w:tcW w:w="0" w:type="auto"/>
            <w:gridSpan w:val="3"/>
            <w:vAlign w:val="center"/>
            <w:hideMark/>
          </w:tcPr>
          <w:p w14:paraId="6344CAB3" w14:textId="77777777" w:rsidR="00000000" w:rsidRDefault="00405D16">
            <w:pPr>
              <w:spacing w:after="100"/>
              <w:rPr>
                <w:rFonts w:eastAsia="Times New Roman"/>
                <w:sz w:val="20"/>
                <w:szCs w:val="20"/>
              </w:rPr>
            </w:pPr>
          </w:p>
        </w:tc>
        <w:tc>
          <w:tcPr>
            <w:tcW w:w="0" w:type="auto"/>
            <w:gridSpan w:val="3"/>
            <w:vAlign w:val="center"/>
            <w:hideMark/>
          </w:tcPr>
          <w:p w14:paraId="61211695" w14:textId="77777777" w:rsidR="00000000" w:rsidRDefault="00405D16">
            <w:pPr>
              <w:spacing w:after="100"/>
              <w:rPr>
                <w:rFonts w:eastAsia="Times New Roman"/>
                <w:sz w:val="20"/>
                <w:szCs w:val="20"/>
              </w:rPr>
            </w:pPr>
          </w:p>
        </w:tc>
        <w:tc>
          <w:tcPr>
            <w:tcW w:w="0" w:type="auto"/>
            <w:gridSpan w:val="3"/>
            <w:vAlign w:val="center"/>
            <w:hideMark/>
          </w:tcPr>
          <w:p w14:paraId="4D6C3F00" w14:textId="77777777" w:rsidR="00000000" w:rsidRDefault="00405D16">
            <w:pPr>
              <w:spacing w:after="100"/>
              <w:rPr>
                <w:rFonts w:eastAsia="Times New Roman"/>
                <w:sz w:val="20"/>
                <w:szCs w:val="20"/>
              </w:rPr>
            </w:pPr>
          </w:p>
        </w:tc>
        <w:tc>
          <w:tcPr>
            <w:tcW w:w="0" w:type="auto"/>
            <w:gridSpan w:val="3"/>
            <w:vAlign w:val="center"/>
            <w:hideMark/>
          </w:tcPr>
          <w:p w14:paraId="4CB9B9EB" w14:textId="77777777" w:rsidR="00000000" w:rsidRDefault="00405D16">
            <w:pPr>
              <w:spacing w:after="100"/>
              <w:rPr>
                <w:rFonts w:eastAsia="Times New Roman"/>
                <w:sz w:val="20"/>
                <w:szCs w:val="20"/>
              </w:rPr>
            </w:pPr>
          </w:p>
        </w:tc>
        <w:tc>
          <w:tcPr>
            <w:tcW w:w="0" w:type="auto"/>
            <w:gridSpan w:val="3"/>
            <w:vAlign w:val="center"/>
            <w:hideMark/>
          </w:tcPr>
          <w:p w14:paraId="0C1E3AD3" w14:textId="77777777" w:rsidR="00000000" w:rsidRDefault="00405D16">
            <w:pPr>
              <w:spacing w:after="100"/>
              <w:rPr>
                <w:rFonts w:eastAsia="Times New Roman"/>
                <w:sz w:val="20"/>
                <w:szCs w:val="20"/>
              </w:rPr>
            </w:pPr>
          </w:p>
        </w:tc>
        <w:tc>
          <w:tcPr>
            <w:tcW w:w="0" w:type="auto"/>
            <w:gridSpan w:val="3"/>
            <w:vAlign w:val="center"/>
            <w:hideMark/>
          </w:tcPr>
          <w:p w14:paraId="7EC36AF1" w14:textId="77777777" w:rsidR="00000000" w:rsidRDefault="00405D16">
            <w:pPr>
              <w:spacing w:after="100"/>
              <w:rPr>
                <w:rFonts w:eastAsia="Times New Roman"/>
                <w:sz w:val="20"/>
                <w:szCs w:val="20"/>
              </w:rPr>
            </w:pPr>
          </w:p>
        </w:tc>
        <w:tc>
          <w:tcPr>
            <w:tcW w:w="0" w:type="auto"/>
            <w:gridSpan w:val="3"/>
            <w:vAlign w:val="center"/>
            <w:hideMark/>
          </w:tcPr>
          <w:p w14:paraId="29EAABE5" w14:textId="77777777" w:rsidR="00000000" w:rsidRDefault="00405D16">
            <w:pPr>
              <w:spacing w:after="100"/>
              <w:rPr>
                <w:rFonts w:eastAsia="Times New Roman"/>
                <w:sz w:val="20"/>
                <w:szCs w:val="20"/>
              </w:rPr>
            </w:pPr>
          </w:p>
        </w:tc>
        <w:tc>
          <w:tcPr>
            <w:tcW w:w="0" w:type="auto"/>
            <w:gridSpan w:val="3"/>
            <w:vAlign w:val="center"/>
            <w:hideMark/>
          </w:tcPr>
          <w:p w14:paraId="2AD12BE9" w14:textId="77777777" w:rsidR="00000000" w:rsidRDefault="00405D16">
            <w:pPr>
              <w:spacing w:after="100"/>
              <w:rPr>
                <w:rFonts w:eastAsia="Times New Roman"/>
                <w:sz w:val="20"/>
                <w:szCs w:val="20"/>
              </w:rPr>
            </w:pPr>
          </w:p>
        </w:tc>
        <w:tc>
          <w:tcPr>
            <w:tcW w:w="0" w:type="auto"/>
            <w:gridSpan w:val="3"/>
            <w:vAlign w:val="center"/>
            <w:hideMark/>
          </w:tcPr>
          <w:p w14:paraId="358E5A91" w14:textId="77777777" w:rsidR="00000000" w:rsidRDefault="00405D16">
            <w:pPr>
              <w:spacing w:after="100"/>
              <w:rPr>
                <w:rFonts w:eastAsia="Times New Roman"/>
                <w:sz w:val="20"/>
                <w:szCs w:val="20"/>
              </w:rPr>
            </w:pPr>
          </w:p>
        </w:tc>
        <w:tc>
          <w:tcPr>
            <w:tcW w:w="0" w:type="auto"/>
            <w:gridSpan w:val="3"/>
            <w:vAlign w:val="center"/>
            <w:hideMark/>
          </w:tcPr>
          <w:p w14:paraId="31354D1C" w14:textId="77777777" w:rsidR="00000000" w:rsidRDefault="00405D16">
            <w:pPr>
              <w:spacing w:after="100"/>
              <w:rPr>
                <w:rFonts w:eastAsia="Times New Roman"/>
                <w:sz w:val="20"/>
                <w:szCs w:val="20"/>
              </w:rPr>
            </w:pPr>
          </w:p>
        </w:tc>
        <w:tc>
          <w:tcPr>
            <w:tcW w:w="0" w:type="auto"/>
            <w:gridSpan w:val="3"/>
            <w:vAlign w:val="center"/>
            <w:hideMark/>
          </w:tcPr>
          <w:p w14:paraId="64DBFC3E" w14:textId="77777777" w:rsidR="00000000" w:rsidRDefault="00405D16">
            <w:pPr>
              <w:spacing w:after="100"/>
              <w:rPr>
                <w:rFonts w:eastAsia="Times New Roman"/>
                <w:sz w:val="20"/>
                <w:szCs w:val="20"/>
              </w:rPr>
            </w:pPr>
          </w:p>
        </w:tc>
        <w:tc>
          <w:tcPr>
            <w:tcW w:w="0" w:type="auto"/>
            <w:gridSpan w:val="3"/>
            <w:vAlign w:val="center"/>
            <w:hideMark/>
          </w:tcPr>
          <w:p w14:paraId="6668C4E4" w14:textId="77777777" w:rsidR="00000000" w:rsidRDefault="00405D16">
            <w:pPr>
              <w:spacing w:after="100"/>
              <w:rPr>
                <w:rFonts w:eastAsia="Times New Roman"/>
                <w:sz w:val="20"/>
                <w:szCs w:val="20"/>
              </w:rPr>
            </w:pPr>
          </w:p>
        </w:tc>
        <w:tc>
          <w:tcPr>
            <w:tcW w:w="0" w:type="auto"/>
            <w:gridSpan w:val="3"/>
            <w:vAlign w:val="center"/>
            <w:hideMark/>
          </w:tcPr>
          <w:p w14:paraId="5C564E05" w14:textId="77777777" w:rsidR="00000000" w:rsidRDefault="00405D16">
            <w:pPr>
              <w:spacing w:after="100"/>
              <w:rPr>
                <w:rFonts w:eastAsia="Times New Roman"/>
                <w:sz w:val="20"/>
                <w:szCs w:val="20"/>
              </w:rPr>
            </w:pPr>
          </w:p>
        </w:tc>
      </w:tr>
      <w:tr w:rsidR="00000000" w14:paraId="09E7C42E" w14:textId="77777777">
        <w:trPr>
          <w:divId w:val="86119291"/>
        </w:trPr>
        <w:tc>
          <w:tcPr>
            <w:tcW w:w="0" w:type="auto"/>
            <w:gridSpan w:val="3"/>
            <w:vAlign w:val="center"/>
            <w:hideMark/>
          </w:tcPr>
          <w:p w14:paraId="60562CF9" w14:textId="77777777" w:rsidR="00000000" w:rsidRDefault="00405D16">
            <w:pPr>
              <w:spacing w:after="100"/>
              <w:rPr>
                <w:rFonts w:eastAsia="Times New Roman"/>
                <w:sz w:val="20"/>
                <w:szCs w:val="20"/>
              </w:rPr>
            </w:pPr>
          </w:p>
        </w:tc>
        <w:tc>
          <w:tcPr>
            <w:tcW w:w="0" w:type="auto"/>
            <w:gridSpan w:val="3"/>
            <w:vAlign w:val="center"/>
            <w:hideMark/>
          </w:tcPr>
          <w:p w14:paraId="650838E0" w14:textId="77777777" w:rsidR="00000000" w:rsidRDefault="00405D16">
            <w:pPr>
              <w:spacing w:after="100"/>
              <w:rPr>
                <w:rFonts w:eastAsia="Times New Roman"/>
                <w:sz w:val="20"/>
                <w:szCs w:val="20"/>
              </w:rPr>
            </w:pPr>
          </w:p>
        </w:tc>
        <w:tc>
          <w:tcPr>
            <w:tcW w:w="0" w:type="auto"/>
            <w:gridSpan w:val="3"/>
            <w:vAlign w:val="center"/>
            <w:hideMark/>
          </w:tcPr>
          <w:p w14:paraId="077AE336" w14:textId="77777777" w:rsidR="00000000" w:rsidRDefault="00405D16">
            <w:pPr>
              <w:spacing w:after="100"/>
              <w:rPr>
                <w:rFonts w:eastAsia="Times New Roman"/>
                <w:sz w:val="20"/>
                <w:szCs w:val="20"/>
              </w:rPr>
            </w:pPr>
          </w:p>
        </w:tc>
        <w:tc>
          <w:tcPr>
            <w:tcW w:w="0" w:type="auto"/>
            <w:gridSpan w:val="3"/>
            <w:vAlign w:val="center"/>
            <w:hideMark/>
          </w:tcPr>
          <w:p w14:paraId="106B4F6F" w14:textId="77777777" w:rsidR="00000000" w:rsidRDefault="00405D16">
            <w:pPr>
              <w:spacing w:after="100"/>
              <w:rPr>
                <w:rFonts w:eastAsia="Times New Roman"/>
                <w:sz w:val="20"/>
                <w:szCs w:val="20"/>
              </w:rPr>
            </w:pPr>
          </w:p>
        </w:tc>
        <w:tc>
          <w:tcPr>
            <w:tcW w:w="0" w:type="auto"/>
            <w:gridSpan w:val="3"/>
            <w:vAlign w:val="center"/>
            <w:hideMark/>
          </w:tcPr>
          <w:p w14:paraId="7FD30D5E" w14:textId="77777777" w:rsidR="00000000" w:rsidRDefault="00405D16">
            <w:pPr>
              <w:spacing w:after="100"/>
              <w:rPr>
                <w:rFonts w:eastAsia="Times New Roman"/>
                <w:sz w:val="20"/>
                <w:szCs w:val="20"/>
              </w:rPr>
            </w:pPr>
          </w:p>
        </w:tc>
        <w:tc>
          <w:tcPr>
            <w:tcW w:w="0" w:type="auto"/>
            <w:gridSpan w:val="3"/>
            <w:vAlign w:val="center"/>
            <w:hideMark/>
          </w:tcPr>
          <w:p w14:paraId="5EB4CA41" w14:textId="77777777" w:rsidR="00000000" w:rsidRDefault="00405D16">
            <w:pPr>
              <w:spacing w:after="100"/>
              <w:rPr>
                <w:rFonts w:eastAsia="Times New Roman"/>
                <w:sz w:val="20"/>
                <w:szCs w:val="20"/>
              </w:rPr>
            </w:pPr>
          </w:p>
        </w:tc>
        <w:tc>
          <w:tcPr>
            <w:tcW w:w="0" w:type="auto"/>
            <w:gridSpan w:val="3"/>
            <w:vAlign w:val="center"/>
            <w:hideMark/>
          </w:tcPr>
          <w:p w14:paraId="58C00A3C" w14:textId="77777777" w:rsidR="00000000" w:rsidRDefault="00405D16">
            <w:pPr>
              <w:spacing w:after="100"/>
              <w:rPr>
                <w:rFonts w:eastAsia="Times New Roman"/>
                <w:sz w:val="20"/>
                <w:szCs w:val="20"/>
              </w:rPr>
            </w:pPr>
          </w:p>
        </w:tc>
        <w:tc>
          <w:tcPr>
            <w:tcW w:w="0" w:type="auto"/>
            <w:gridSpan w:val="3"/>
            <w:vAlign w:val="center"/>
            <w:hideMark/>
          </w:tcPr>
          <w:p w14:paraId="5A558BD8" w14:textId="77777777" w:rsidR="00000000" w:rsidRDefault="00405D16">
            <w:pPr>
              <w:spacing w:after="100"/>
              <w:rPr>
                <w:rFonts w:eastAsia="Times New Roman"/>
                <w:sz w:val="20"/>
                <w:szCs w:val="20"/>
              </w:rPr>
            </w:pPr>
          </w:p>
        </w:tc>
        <w:tc>
          <w:tcPr>
            <w:tcW w:w="0" w:type="auto"/>
            <w:gridSpan w:val="3"/>
            <w:vAlign w:val="center"/>
            <w:hideMark/>
          </w:tcPr>
          <w:p w14:paraId="1EE2B476" w14:textId="77777777" w:rsidR="00000000" w:rsidRDefault="00405D16">
            <w:pPr>
              <w:spacing w:after="100"/>
              <w:rPr>
                <w:rFonts w:eastAsia="Times New Roman"/>
                <w:sz w:val="20"/>
                <w:szCs w:val="20"/>
              </w:rPr>
            </w:pPr>
          </w:p>
        </w:tc>
        <w:tc>
          <w:tcPr>
            <w:tcW w:w="0" w:type="auto"/>
            <w:gridSpan w:val="3"/>
            <w:vAlign w:val="center"/>
            <w:hideMark/>
          </w:tcPr>
          <w:p w14:paraId="7A31E848" w14:textId="77777777" w:rsidR="00000000" w:rsidRDefault="00405D16">
            <w:pPr>
              <w:spacing w:after="100"/>
              <w:rPr>
                <w:rFonts w:eastAsia="Times New Roman"/>
                <w:sz w:val="20"/>
                <w:szCs w:val="20"/>
              </w:rPr>
            </w:pPr>
          </w:p>
        </w:tc>
        <w:tc>
          <w:tcPr>
            <w:tcW w:w="0" w:type="auto"/>
            <w:gridSpan w:val="3"/>
            <w:vAlign w:val="center"/>
            <w:hideMark/>
          </w:tcPr>
          <w:p w14:paraId="67A9150E" w14:textId="77777777" w:rsidR="00000000" w:rsidRDefault="00405D16">
            <w:pPr>
              <w:spacing w:after="100"/>
              <w:rPr>
                <w:rFonts w:eastAsia="Times New Roman"/>
                <w:sz w:val="20"/>
                <w:szCs w:val="20"/>
              </w:rPr>
            </w:pPr>
          </w:p>
        </w:tc>
        <w:tc>
          <w:tcPr>
            <w:tcW w:w="0" w:type="auto"/>
            <w:gridSpan w:val="3"/>
            <w:vAlign w:val="center"/>
            <w:hideMark/>
          </w:tcPr>
          <w:p w14:paraId="5C99A083" w14:textId="77777777" w:rsidR="00000000" w:rsidRDefault="00405D16">
            <w:pPr>
              <w:spacing w:after="100"/>
              <w:rPr>
                <w:rFonts w:eastAsia="Times New Roman"/>
                <w:sz w:val="20"/>
                <w:szCs w:val="20"/>
              </w:rPr>
            </w:pPr>
          </w:p>
        </w:tc>
        <w:tc>
          <w:tcPr>
            <w:tcW w:w="0" w:type="auto"/>
            <w:gridSpan w:val="3"/>
            <w:vAlign w:val="center"/>
            <w:hideMark/>
          </w:tcPr>
          <w:p w14:paraId="0CAFA70C" w14:textId="77777777" w:rsidR="00000000" w:rsidRDefault="00405D16">
            <w:pPr>
              <w:spacing w:after="100"/>
              <w:rPr>
                <w:rFonts w:eastAsia="Times New Roman"/>
                <w:sz w:val="20"/>
                <w:szCs w:val="20"/>
              </w:rPr>
            </w:pPr>
          </w:p>
        </w:tc>
        <w:tc>
          <w:tcPr>
            <w:tcW w:w="0" w:type="auto"/>
            <w:gridSpan w:val="3"/>
            <w:vAlign w:val="center"/>
            <w:hideMark/>
          </w:tcPr>
          <w:p w14:paraId="49A82896" w14:textId="77777777" w:rsidR="00000000" w:rsidRDefault="00405D16">
            <w:pPr>
              <w:spacing w:after="100"/>
              <w:rPr>
                <w:rFonts w:eastAsia="Times New Roman"/>
                <w:sz w:val="20"/>
                <w:szCs w:val="20"/>
              </w:rPr>
            </w:pPr>
          </w:p>
        </w:tc>
        <w:tc>
          <w:tcPr>
            <w:tcW w:w="0" w:type="auto"/>
            <w:gridSpan w:val="3"/>
            <w:vAlign w:val="center"/>
            <w:hideMark/>
          </w:tcPr>
          <w:p w14:paraId="5329E94B" w14:textId="77777777" w:rsidR="00000000" w:rsidRDefault="00405D16">
            <w:pPr>
              <w:spacing w:after="100"/>
              <w:rPr>
                <w:rFonts w:eastAsia="Times New Roman"/>
                <w:sz w:val="20"/>
                <w:szCs w:val="20"/>
              </w:rPr>
            </w:pPr>
          </w:p>
        </w:tc>
      </w:tr>
      <w:tr w:rsidR="00000000" w14:paraId="32371D49" w14:textId="77777777">
        <w:trPr>
          <w:divId w:val="86119291"/>
        </w:trPr>
        <w:tc>
          <w:tcPr>
            <w:tcW w:w="0" w:type="auto"/>
            <w:gridSpan w:val="3"/>
            <w:vAlign w:val="center"/>
            <w:hideMark/>
          </w:tcPr>
          <w:p w14:paraId="1B5DDBB3" w14:textId="77777777" w:rsidR="00000000" w:rsidRDefault="00405D16">
            <w:pPr>
              <w:spacing w:after="100"/>
              <w:rPr>
                <w:rFonts w:eastAsia="Times New Roman"/>
                <w:sz w:val="20"/>
                <w:szCs w:val="20"/>
              </w:rPr>
            </w:pPr>
          </w:p>
        </w:tc>
        <w:tc>
          <w:tcPr>
            <w:tcW w:w="0" w:type="auto"/>
            <w:gridSpan w:val="3"/>
            <w:vAlign w:val="center"/>
            <w:hideMark/>
          </w:tcPr>
          <w:p w14:paraId="7AC22456" w14:textId="77777777" w:rsidR="00000000" w:rsidRDefault="00405D16">
            <w:pPr>
              <w:spacing w:after="100"/>
              <w:rPr>
                <w:rFonts w:eastAsia="Times New Roman"/>
                <w:sz w:val="20"/>
                <w:szCs w:val="20"/>
              </w:rPr>
            </w:pPr>
          </w:p>
        </w:tc>
        <w:tc>
          <w:tcPr>
            <w:tcW w:w="0" w:type="auto"/>
            <w:gridSpan w:val="3"/>
            <w:vAlign w:val="center"/>
            <w:hideMark/>
          </w:tcPr>
          <w:p w14:paraId="04F8EDEF" w14:textId="77777777" w:rsidR="00000000" w:rsidRDefault="00405D16">
            <w:pPr>
              <w:spacing w:after="100"/>
              <w:rPr>
                <w:rFonts w:eastAsia="Times New Roman"/>
                <w:sz w:val="20"/>
                <w:szCs w:val="20"/>
              </w:rPr>
            </w:pPr>
          </w:p>
        </w:tc>
        <w:tc>
          <w:tcPr>
            <w:tcW w:w="0" w:type="auto"/>
            <w:gridSpan w:val="3"/>
            <w:vAlign w:val="center"/>
            <w:hideMark/>
          </w:tcPr>
          <w:p w14:paraId="5CCC9282" w14:textId="77777777" w:rsidR="00000000" w:rsidRDefault="00405D16">
            <w:pPr>
              <w:spacing w:after="100"/>
              <w:rPr>
                <w:rFonts w:eastAsia="Times New Roman"/>
                <w:sz w:val="20"/>
                <w:szCs w:val="20"/>
              </w:rPr>
            </w:pPr>
          </w:p>
        </w:tc>
        <w:tc>
          <w:tcPr>
            <w:tcW w:w="0" w:type="auto"/>
            <w:gridSpan w:val="3"/>
            <w:vAlign w:val="center"/>
            <w:hideMark/>
          </w:tcPr>
          <w:p w14:paraId="2F1D7745" w14:textId="77777777" w:rsidR="00000000" w:rsidRDefault="00405D16">
            <w:pPr>
              <w:spacing w:after="100"/>
              <w:rPr>
                <w:rFonts w:eastAsia="Times New Roman"/>
                <w:sz w:val="20"/>
                <w:szCs w:val="20"/>
              </w:rPr>
            </w:pPr>
          </w:p>
        </w:tc>
        <w:tc>
          <w:tcPr>
            <w:tcW w:w="0" w:type="auto"/>
            <w:gridSpan w:val="3"/>
            <w:vAlign w:val="center"/>
            <w:hideMark/>
          </w:tcPr>
          <w:p w14:paraId="18755714" w14:textId="77777777" w:rsidR="00000000" w:rsidRDefault="00405D16">
            <w:pPr>
              <w:spacing w:after="100"/>
              <w:rPr>
                <w:rFonts w:eastAsia="Times New Roman"/>
                <w:sz w:val="20"/>
                <w:szCs w:val="20"/>
              </w:rPr>
            </w:pPr>
          </w:p>
        </w:tc>
        <w:tc>
          <w:tcPr>
            <w:tcW w:w="0" w:type="auto"/>
            <w:gridSpan w:val="3"/>
            <w:vAlign w:val="center"/>
            <w:hideMark/>
          </w:tcPr>
          <w:p w14:paraId="689A58E7" w14:textId="77777777" w:rsidR="00000000" w:rsidRDefault="00405D16">
            <w:pPr>
              <w:spacing w:after="100"/>
              <w:rPr>
                <w:rFonts w:eastAsia="Times New Roman"/>
                <w:sz w:val="20"/>
                <w:szCs w:val="20"/>
              </w:rPr>
            </w:pPr>
          </w:p>
        </w:tc>
        <w:tc>
          <w:tcPr>
            <w:tcW w:w="0" w:type="auto"/>
            <w:gridSpan w:val="3"/>
            <w:vAlign w:val="center"/>
            <w:hideMark/>
          </w:tcPr>
          <w:p w14:paraId="0451906E" w14:textId="77777777" w:rsidR="00000000" w:rsidRDefault="00405D16">
            <w:pPr>
              <w:spacing w:after="100"/>
              <w:rPr>
                <w:rFonts w:eastAsia="Times New Roman"/>
                <w:sz w:val="20"/>
                <w:szCs w:val="20"/>
              </w:rPr>
            </w:pPr>
          </w:p>
        </w:tc>
        <w:tc>
          <w:tcPr>
            <w:tcW w:w="0" w:type="auto"/>
            <w:gridSpan w:val="3"/>
            <w:vAlign w:val="center"/>
            <w:hideMark/>
          </w:tcPr>
          <w:p w14:paraId="481E7EC3" w14:textId="77777777" w:rsidR="00000000" w:rsidRDefault="00405D16">
            <w:pPr>
              <w:spacing w:after="100"/>
              <w:rPr>
                <w:rFonts w:eastAsia="Times New Roman"/>
                <w:sz w:val="20"/>
                <w:szCs w:val="20"/>
              </w:rPr>
            </w:pPr>
          </w:p>
        </w:tc>
        <w:tc>
          <w:tcPr>
            <w:tcW w:w="0" w:type="auto"/>
            <w:gridSpan w:val="3"/>
            <w:vAlign w:val="center"/>
            <w:hideMark/>
          </w:tcPr>
          <w:p w14:paraId="54F1DE86" w14:textId="77777777" w:rsidR="00000000" w:rsidRDefault="00405D16">
            <w:pPr>
              <w:spacing w:after="100"/>
              <w:rPr>
                <w:rFonts w:eastAsia="Times New Roman"/>
                <w:sz w:val="20"/>
                <w:szCs w:val="20"/>
              </w:rPr>
            </w:pPr>
          </w:p>
        </w:tc>
        <w:tc>
          <w:tcPr>
            <w:tcW w:w="0" w:type="auto"/>
            <w:gridSpan w:val="3"/>
            <w:vAlign w:val="center"/>
            <w:hideMark/>
          </w:tcPr>
          <w:p w14:paraId="5DF292CB" w14:textId="77777777" w:rsidR="00000000" w:rsidRDefault="00405D16">
            <w:pPr>
              <w:spacing w:after="100"/>
              <w:rPr>
                <w:rFonts w:eastAsia="Times New Roman"/>
                <w:sz w:val="20"/>
                <w:szCs w:val="20"/>
              </w:rPr>
            </w:pPr>
          </w:p>
        </w:tc>
        <w:tc>
          <w:tcPr>
            <w:tcW w:w="0" w:type="auto"/>
            <w:gridSpan w:val="3"/>
            <w:vAlign w:val="center"/>
            <w:hideMark/>
          </w:tcPr>
          <w:p w14:paraId="3DF666F7" w14:textId="77777777" w:rsidR="00000000" w:rsidRDefault="00405D16">
            <w:pPr>
              <w:spacing w:after="100"/>
              <w:rPr>
                <w:rFonts w:eastAsia="Times New Roman"/>
                <w:sz w:val="20"/>
                <w:szCs w:val="20"/>
              </w:rPr>
            </w:pPr>
          </w:p>
        </w:tc>
        <w:tc>
          <w:tcPr>
            <w:tcW w:w="0" w:type="auto"/>
            <w:gridSpan w:val="3"/>
            <w:vAlign w:val="center"/>
            <w:hideMark/>
          </w:tcPr>
          <w:p w14:paraId="30D8D6D1" w14:textId="77777777" w:rsidR="00000000" w:rsidRDefault="00405D16">
            <w:pPr>
              <w:spacing w:after="100"/>
              <w:rPr>
                <w:rFonts w:eastAsia="Times New Roman"/>
                <w:sz w:val="20"/>
                <w:szCs w:val="20"/>
              </w:rPr>
            </w:pPr>
          </w:p>
        </w:tc>
        <w:tc>
          <w:tcPr>
            <w:tcW w:w="0" w:type="auto"/>
            <w:gridSpan w:val="3"/>
            <w:vAlign w:val="center"/>
            <w:hideMark/>
          </w:tcPr>
          <w:p w14:paraId="09B5D58A" w14:textId="77777777" w:rsidR="00000000" w:rsidRDefault="00405D16">
            <w:pPr>
              <w:spacing w:after="100"/>
              <w:rPr>
                <w:rFonts w:eastAsia="Times New Roman"/>
                <w:sz w:val="20"/>
                <w:szCs w:val="20"/>
              </w:rPr>
            </w:pPr>
          </w:p>
        </w:tc>
        <w:tc>
          <w:tcPr>
            <w:tcW w:w="0" w:type="auto"/>
            <w:gridSpan w:val="3"/>
            <w:vAlign w:val="center"/>
            <w:hideMark/>
          </w:tcPr>
          <w:p w14:paraId="1FCDB8CC" w14:textId="77777777" w:rsidR="00000000" w:rsidRDefault="00405D16">
            <w:pPr>
              <w:spacing w:after="100"/>
              <w:rPr>
                <w:rFonts w:eastAsia="Times New Roman"/>
                <w:sz w:val="20"/>
                <w:szCs w:val="20"/>
              </w:rPr>
            </w:pPr>
          </w:p>
        </w:tc>
      </w:tr>
      <w:tr w:rsidR="00000000" w14:paraId="50983209" w14:textId="77777777">
        <w:trPr>
          <w:divId w:val="86119291"/>
        </w:trPr>
        <w:tc>
          <w:tcPr>
            <w:tcW w:w="0" w:type="auto"/>
            <w:gridSpan w:val="3"/>
            <w:vAlign w:val="center"/>
            <w:hideMark/>
          </w:tcPr>
          <w:p w14:paraId="076B55AF" w14:textId="77777777" w:rsidR="00000000" w:rsidRDefault="00405D16">
            <w:pPr>
              <w:spacing w:after="100"/>
              <w:rPr>
                <w:rFonts w:eastAsia="Times New Roman"/>
                <w:sz w:val="20"/>
                <w:szCs w:val="20"/>
              </w:rPr>
            </w:pPr>
          </w:p>
        </w:tc>
        <w:tc>
          <w:tcPr>
            <w:tcW w:w="0" w:type="auto"/>
            <w:gridSpan w:val="3"/>
            <w:vAlign w:val="center"/>
            <w:hideMark/>
          </w:tcPr>
          <w:p w14:paraId="3BC2DE16" w14:textId="77777777" w:rsidR="00000000" w:rsidRDefault="00405D16">
            <w:pPr>
              <w:spacing w:after="100"/>
              <w:rPr>
                <w:rFonts w:eastAsia="Times New Roman"/>
                <w:sz w:val="20"/>
                <w:szCs w:val="20"/>
              </w:rPr>
            </w:pPr>
          </w:p>
        </w:tc>
        <w:tc>
          <w:tcPr>
            <w:tcW w:w="0" w:type="auto"/>
            <w:gridSpan w:val="3"/>
            <w:vAlign w:val="center"/>
            <w:hideMark/>
          </w:tcPr>
          <w:p w14:paraId="3DCEBEB8" w14:textId="77777777" w:rsidR="00000000" w:rsidRDefault="00405D16">
            <w:pPr>
              <w:spacing w:after="100"/>
              <w:rPr>
                <w:rFonts w:eastAsia="Times New Roman"/>
                <w:sz w:val="20"/>
                <w:szCs w:val="20"/>
              </w:rPr>
            </w:pPr>
          </w:p>
        </w:tc>
        <w:tc>
          <w:tcPr>
            <w:tcW w:w="0" w:type="auto"/>
            <w:gridSpan w:val="3"/>
            <w:vAlign w:val="center"/>
            <w:hideMark/>
          </w:tcPr>
          <w:p w14:paraId="3F7772AF" w14:textId="77777777" w:rsidR="00000000" w:rsidRDefault="00405D16">
            <w:pPr>
              <w:spacing w:after="100"/>
              <w:rPr>
                <w:rFonts w:eastAsia="Times New Roman"/>
                <w:sz w:val="20"/>
                <w:szCs w:val="20"/>
              </w:rPr>
            </w:pPr>
          </w:p>
        </w:tc>
        <w:tc>
          <w:tcPr>
            <w:tcW w:w="0" w:type="auto"/>
            <w:gridSpan w:val="3"/>
            <w:vAlign w:val="center"/>
            <w:hideMark/>
          </w:tcPr>
          <w:p w14:paraId="6477753F" w14:textId="77777777" w:rsidR="00000000" w:rsidRDefault="00405D16">
            <w:pPr>
              <w:spacing w:after="100"/>
              <w:rPr>
                <w:rFonts w:eastAsia="Times New Roman"/>
                <w:sz w:val="20"/>
                <w:szCs w:val="20"/>
              </w:rPr>
            </w:pPr>
          </w:p>
        </w:tc>
        <w:tc>
          <w:tcPr>
            <w:tcW w:w="0" w:type="auto"/>
            <w:gridSpan w:val="3"/>
            <w:vAlign w:val="center"/>
            <w:hideMark/>
          </w:tcPr>
          <w:p w14:paraId="55D9CB46" w14:textId="77777777" w:rsidR="00000000" w:rsidRDefault="00405D16">
            <w:pPr>
              <w:spacing w:after="100"/>
              <w:rPr>
                <w:rFonts w:eastAsia="Times New Roman"/>
                <w:sz w:val="20"/>
                <w:szCs w:val="20"/>
              </w:rPr>
            </w:pPr>
          </w:p>
        </w:tc>
        <w:tc>
          <w:tcPr>
            <w:tcW w:w="0" w:type="auto"/>
            <w:gridSpan w:val="3"/>
            <w:vAlign w:val="center"/>
            <w:hideMark/>
          </w:tcPr>
          <w:p w14:paraId="1F583105" w14:textId="77777777" w:rsidR="00000000" w:rsidRDefault="00405D16">
            <w:pPr>
              <w:spacing w:after="100"/>
              <w:rPr>
                <w:rFonts w:eastAsia="Times New Roman"/>
                <w:sz w:val="20"/>
                <w:szCs w:val="20"/>
              </w:rPr>
            </w:pPr>
          </w:p>
        </w:tc>
        <w:tc>
          <w:tcPr>
            <w:tcW w:w="0" w:type="auto"/>
            <w:gridSpan w:val="3"/>
            <w:vAlign w:val="center"/>
            <w:hideMark/>
          </w:tcPr>
          <w:p w14:paraId="155D5892" w14:textId="77777777" w:rsidR="00000000" w:rsidRDefault="00405D16">
            <w:pPr>
              <w:spacing w:after="100"/>
              <w:rPr>
                <w:rFonts w:eastAsia="Times New Roman"/>
                <w:sz w:val="20"/>
                <w:szCs w:val="20"/>
              </w:rPr>
            </w:pPr>
          </w:p>
        </w:tc>
        <w:tc>
          <w:tcPr>
            <w:tcW w:w="0" w:type="auto"/>
            <w:gridSpan w:val="3"/>
            <w:vAlign w:val="center"/>
            <w:hideMark/>
          </w:tcPr>
          <w:p w14:paraId="391BA504" w14:textId="77777777" w:rsidR="00000000" w:rsidRDefault="00405D16">
            <w:pPr>
              <w:spacing w:after="100"/>
              <w:rPr>
                <w:rFonts w:eastAsia="Times New Roman"/>
                <w:sz w:val="20"/>
                <w:szCs w:val="20"/>
              </w:rPr>
            </w:pPr>
          </w:p>
        </w:tc>
        <w:tc>
          <w:tcPr>
            <w:tcW w:w="0" w:type="auto"/>
            <w:gridSpan w:val="3"/>
            <w:vAlign w:val="center"/>
            <w:hideMark/>
          </w:tcPr>
          <w:p w14:paraId="74966B55" w14:textId="77777777" w:rsidR="00000000" w:rsidRDefault="00405D16">
            <w:pPr>
              <w:spacing w:after="100"/>
              <w:rPr>
                <w:rFonts w:eastAsia="Times New Roman"/>
                <w:sz w:val="20"/>
                <w:szCs w:val="20"/>
              </w:rPr>
            </w:pPr>
          </w:p>
        </w:tc>
        <w:tc>
          <w:tcPr>
            <w:tcW w:w="0" w:type="auto"/>
            <w:gridSpan w:val="3"/>
            <w:vAlign w:val="center"/>
            <w:hideMark/>
          </w:tcPr>
          <w:p w14:paraId="49A096C3" w14:textId="77777777" w:rsidR="00000000" w:rsidRDefault="00405D16">
            <w:pPr>
              <w:spacing w:after="100"/>
              <w:rPr>
                <w:rFonts w:eastAsia="Times New Roman"/>
                <w:sz w:val="20"/>
                <w:szCs w:val="20"/>
              </w:rPr>
            </w:pPr>
          </w:p>
        </w:tc>
        <w:tc>
          <w:tcPr>
            <w:tcW w:w="0" w:type="auto"/>
            <w:gridSpan w:val="3"/>
            <w:vAlign w:val="center"/>
            <w:hideMark/>
          </w:tcPr>
          <w:p w14:paraId="30C48C7C" w14:textId="77777777" w:rsidR="00000000" w:rsidRDefault="00405D16">
            <w:pPr>
              <w:spacing w:after="100"/>
              <w:rPr>
                <w:rFonts w:eastAsia="Times New Roman"/>
                <w:sz w:val="20"/>
                <w:szCs w:val="20"/>
              </w:rPr>
            </w:pPr>
          </w:p>
        </w:tc>
        <w:tc>
          <w:tcPr>
            <w:tcW w:w="0" w:type="auto"/>
            <w:gridSpan w:val="3"/>
            <w:vAlign w:val="center"/>
            <w:hideMark/>
          </w:tcPr>
          <w:p w14:paraId="7F4E3C1F" w14:textId="77777777" w:rsidR="00000000" w:rsidRDefault="00405D16">
            <w:pPr>
              <w:spacing w:after="100"/>
              <w:rPr>
                <w:rFonts w:eastAsia="Times New Roman"/>
                <w:sz w:val="20"/>
                <w:szCs w:val="20"/>
              </w:rPr>
            </w:pPr>
          </w:p>
        </w:tc>
        <w:tc>
          <w:tcPr>
            <w:tcW w:w="0" w:type="auto"/>
            <w:gridSpan w:val="3"/>
            <w:vAlign w:val="center"/>
            <w:hideMark/>
          </w:tcPr>
          <w:p w14:paraId="7765719C" w14:textId="77777777" w:rsidR="00000000" w:rsidRDefault="00405D16">
            <w:pPr>
              <w:spacing w:after="100"/>
              <w:rPr>
                <w:rFonts w:eastAsia="Times New Roman"/>
                <w:sz w:val="20"/>
                <w:szCs w:val="20"/>
              </w:rPr>
            </w:pPr>
          </w:p>
        </w:tc>
        <w:tc>
          <w:tcPr>
            <w:tcW w:w="0" w:type="auto"/>
            <w:gridSpan w:val="3"/>
            <w:vAlign w:val="center"/>
            <w:hideMark/>
          </w:tcPr>
          <w:p w14:paraId="09C473B9" w14:textId="77777777" w:rsidR="00000000" w:rsidRDefault="00405D16">
            <w:pPr>
              <w:spacing w:after="100"/>
              <w:rPr>
                <w:rFonts w:eastAsia="Times New Roman"/>
                <w:sz w:val="20"/>
                <w:szCs w:val="20"/>
              </w:rPr>
            </w:pPr>
          </w:p>
        </w:tc>
      </w:tr>
      <w:tr w:rsidR="00000000" w14:paraId="3E4781FF" w14:textId="77777777">
        <w:trPr>
          <w:divId w:val="86119291"/>
        </w:trPr>
        <w:tc>
          <w:tcPr>
            <w:tcW w:w="0" w:type="auto"/>
            <w:gridSpan w:val="3"/>
            <w:vAlign w:val="center"/>
            <w:hideMark/>
          </w:tcPr>
          <w:p w14:paraId="79C45517" w14:textId="77777777" w:rsidR="00000000" w:rsidRDefault="00405D16">
            <w:pPr>
              <w:spacing w:after="100"/>
              <w:rPr>
                <w:rFonts w:eastAsia="Times New Roman"/>
                <w:sz w:val="20"/>
                <w:szCs w:val="20"/>
              </w:rPr>
            </w:pPr>
          </w:p>
        </w:tc>
        <w:tc>
          <w:tcPr>
            <w:tcW w:w="0" w:type="auto"/>
            <w:gridSpan w:val="3"/>
            <w:vAlign w:val="center"/>
            <w:hideMark/>
          </w:tcPr>
          <w:p w14:paraId="7C013AAE" w14:textId="77777777" w:rsidR="00000000" w:rsidRDefault="00405D16">
            <w:pPr>
              <w:spacing w:after="100"/>
              <w:rPr>
                <w:rFonts w:eastAsia="Times New Roman"/>
                <w:sz w:val="20"/>
                <w:szCs w:val="20"/>
              </w:rPr>
            </w:pPr>
          </w:p>
        </w:tc>
        <w:tc>
          <w:tcPr>
            <w:tcW w:w="0" w:type="auto"/>
            <w:gridSpan w:val="3"/>
            <w:vAlign w:val="center"/>
            <w:hideMark/>
          </w:tcPr>
          <w:p w14:paraId="563511A2" w14:textId="77777777" w:rsidR="00000000" w:rsidRDefault="00405D16">
            <w:pPr>
              <w:spacing w:after="100"/>
              <w:rPr>
                <w:rFonts w:eastAsia="Times New Roman"/>
                <w:sz w:val="20"/>
                <w:szCs w:val="20"/>
              </w:rPr>
            </w:pPr>
          </w:p>
        </w:tc>
        <w:tc>
          <w:tcPr>
            <w:tcW w:w="0" w:type="auto"/>
            <w:gridSpan w:val="3"/>
            <w:vAlign w:val="center"/>
            <w:hideMark/>
          </w:tcPr>
          <w:p w14:paraId="4CF24765" w14:textId="77777777" w:rsidR="00000000" w:rsidRDefault="00405D16">
            <w:pPr>
              <w:spacing w:after="100"/>
              <w:rPr>
                <w:rFonts w:eastAsia="Times New Roman"/>
                <w:sz w:val="20"/>
                <w:szCs w:val="20"/>
              </w:rPr>
            </w:pPr>
          </w:p>
        </w:tc>
        <w:tc>
          <w:tcPr>
            <w:tcW w:w="0" w:type="auto"/>
            <w:gridSpan w:val="3"/>
            <w:vAlign w:val="center"/>
            <w:hideMark/>
          </w:tcPr>
          <w:p w14:paraId="05A9DBD7" w14:textId="77777777" w:rsidR="00000000" w:rsidRDefault="00405D16">
            <w:pPr>
              <w:spacing w:after="100"/>
              <w:rPr>
                <w:rFonts w:eastAsia="Times New Roman"/>
                <w:sz w:val="20"/>
                <w:szCs w:val="20"/>
              </w:rPr>
            </w:pPr>
          </w:p>
        </w:tc>
        <w:tc>
          <w:tcPr>
            <w:tcW w:w="0" w:type="auto"/>
            <w:gridSpan w:val="3"/>
            <w:vAlign w:val="center"/>
            <w:hideMark/>
          </w:tcPr>
          <w:p w14:paraId="60637B07" w14:textId="77777777" w:rsidR="00000000" w:rsidRDefault="00405D16">
            <w:pPr>
              <w:spacing w:after="100"/>
              <w:rPr>
                <w:rFonts w:eastAsia="Times New Roman"/>
                <w:sz w:val="20"/>
                <w:szCs w:val="20"/>
              </w:rPr>
            </w:pPr>
          </w:p>
        </w:tc>
        <w:tc>
          <w:tcPr>
            <w:tcW w:w="0" w:type="auto"/>
            <w:gridSpan w:val="3"/>
            <w:vAlign w:val="center"/>
            <w:hideMark/>
          </w:tcPr>
          <w:p w14:paraId="6373B706" w14:textId="77777777" w:rsidR="00000000" w:rsidRDefault="00405D16">
            <w:pPr>
              <w:spacing w:after="100"/>
              <w:rPr>
                <w:rFonts w:eastAsia="Times New Roman"/>
                <w:sz w:val="20"/>
                <w:szCs w:val="20"/>
              </w:rPr>
            </w:pPr>
          </w:p>
        </w:tc>
        <w:tc>
          <w:tcPr>
            <w:tcW w:w="0" w:type="auto"/>
            <w:gridSpan w:val="3"/>
            <w:vAlign w:val="center"/>
            <w:hideMark/>
          </w:tcPr>
          <w:p w14:paraId="69414834" w14:textId="77777777" w:rsidR="00000000" w:rsidRDefault="00405D16">
            <w:pPr>
              <w:spacing w:after="100"/>
              <w:rPr>
                <w:rFonts w:eastAsia="Times New Roman"/>
                <w:sz w:val="20"/>
                <w:szCs w:val="20"/>
              </w:rPr>
            </w:pPr>
          </w:p>
        </w:tc>
        <w:tc>
          <w:tcPr>
            <w:tcW w:w="0" w:type="auto"/>
            <w:gridSpan w:val="3"/>
            <w:vAlign w:val="center"/>
            <w:hideMark/>
          </w:tcPr>
          <w:p w14:paraId="087BE9BB" w14:textId="77777777" w:rsidR="00000000" w:rsidRDefault="00405D16">
            <w:pPr>
              <w:spacing w:after="100"/>
              <w:rPr>
                <w:rFonts w:eastAsia="Times New Roman"/>
                <w:sz w:val="20"/>
                <w:szCs w:val="20"/>
              </w:rPr>
            </w:pPr>
          </w:p>
        </w:tc>
        <w:tc>
          <w:tcPr>
            <w:tcW w:w="0" w:type="auto"/>
            <w:gridSpan w:val="3"/>
            <w:vAlign w:val="center"/>
            <w:hideMark/>
          </w:tcPr>
          <w:p w14:paraId="14C2618F" w14:textId="77777777" w:rsidR="00000000" w:rsidRDefault="00405D16">
            <w:pPr>
              <w:spacing w:after="100"/>
              <w:rPr>
                <w:rFonts w:eastAsia="Times New Roman"/>
                <w:sz w:val="20"/>
                <w:szCs w:val="20"/>
              </w:rPr>
            </w:pPr>
          </w:p>
        </w:tc>
        <w:tc>
          <w:tcPr>
            <w:tcW w:w="0" w:type="auto"/>
            <w:gridSpan w:val="3"/>
            <w:vAlign w:val="center"/>
            <w:hideMark/>
          </w:tcPr>
          <w:p w14:paraId="00256E64" w14:textId="77777777" w:rsidR="00000000" w:rsidRDefault="00405D16">
            <w:pPr>
              <w:spacing w:after="100"/>
              <w:rPr>
                <w:rFonts w:eastAsia="Times New Roman"/>
                <w:sz w:val="20"/>
                <w:szCs w:val="20"/>
              </w:rPr>
            </w:pPr>
          </w:p>
        </w:tc>
        <w:tc>
          <w:tcPr>
            <w:tcW w:w="0" w:type="auto"/>
            <w:gridSpan w:val="3"/>
            <w:vAlign w:val="center"/>
            <w:hideMark/>
          </w:tcPr>
          <w:p w14:paraId="370891B9" w14:textId="77777777" w:rsidR="00000000" w:rsidRDefault="00405D16">
            <w:pPr>
              <w:spacing w:after="100"/>
              <w:rPr>
                <w:rFonts w:eastAsia="Times New Roman"/>
                <w:sz w:val="20"/>
                <w:szCs w:val="20"/>
              </w:rPr>
            </w:pPr>
          </w:p>
        </w:tc>
        <w:tc>
          <w:tcPr>
            <w:tcW w:w="0" w:type="auto"/>
            <w:gridSpan w:val="3"/>
            <w:vAlign w:val="center"/>
            <w:hideMark/>
          </w:tcPr>
          <w:p w14:paraId="5ECB442B" w14:textId="77777777" w:rsidR="00000000" w:rsidRDefault="00405D16">
            <w:pPr>
              <w:spacing w:after="100"/>
              <w:rPr>
                <w:rFonts w:eastAsia="Times New Roman"/>
                <w:sz w:val="20"/>
                <w:szCs w:val="20"/>
              </w:rPr>
            </w:pPr>
          </w:p>
        </w:tc>
        <w:tc>
          <w:tcPr>
            <w:tcW w:w="0" w:type="auto"/>
            <w:gridSpan w:val="3"/>
            <w:vAlign w:val="center"/>
            <w:hideMark/>
          </w:tcPr>
          <w:p w14:paraId="3703054E" w14:textId="77777777" w:rsidR="00000000" w:rsidRDefault="00405D16">
            <w:pPr>
              <w:spacing w:after="100"/>
              <w:rPr>
                <w:rFonts w:eastAsia="Times New Roman"/>
                <w:sz w:val="20"/>
                <w:szCs w:val="20"/>
              </w:rPr>
            </w:pPr>
          </w:p>
        </w:tc>
        <w:tc>
          <w:tcPr>
            <w:tcW w:w="0" w:type="auto"/>
            <w:gridSpan w:val="3"/>
            <w:vAlign w:val="center"/>
            <w:hideMark/>
          </w:tcPr>
          <w:p w14:paraId="09EF5975" w14:textId="77777777" w:rsidR="00000000" w:rsidRDefault="00405D16">
            <w:pPr>
              <w:spacing w:after="100"/>
              <w:rPr>
                <w:rFonts w:eastAsia="Times New Roman"/>
                <w:sz w:val="20"/>
                <w:szCs w:val="20"/>
              </w:rPr>
            </w:pPr>
          </w:p>
        </w:tc>
      </w:tr>
      <w:tr w:rsidR="00000000" w14:paraId="4350D550" w14:textId="77777777">
        <w:trPr>
          <w:divId w:val="86119291"/>
        </w:trPr>
        <w:tc>
          <w:tcPr>
            <w:tcW w:w="0" w:type="auto"/>
            <w:gridSpan w:val="3"/>
            <w:vAlign w:val="center"/>
            <w:hideMark/>
          </w:tcPr>
          <w:p w14:paraId="5852D8B8" w14:textId="77777777" w:rsidR="00000000" w:rsidRDefault="00405D16">
            <w:pPr>
              <w:spacing w:after="100"/>
              <w:rPr>
                <w:rFonts w:eastAsia="Times New Roman"/>
                <w:sz w:val="20"/>
                <w:szCs w:val="20"/>
              </w:rPr>
            </w:pPr>
          </w:p>
        </w:tc>
        <w:tc>
          <w:tcPr>
            <w:tcW w:w="0" w:type="auto"/>
            <w:gridSpan w:val="3"/>
            <w:vAlign w:val="center"/>
            <w:hideMark/>
          </w:tcPr>
          <w:p w14:paraId="7D50F6D0" w14:textId="77777777" w:rsidR="00000000" w:rsidRDefault="00405D16">
            <w:pPr>
              <w:spacing w:after="100"/>
              <w:rPr>
                <w:rFonts w:eastAsia="Times New Roman"/>
                <w:sz w:val="20"/>
                <w:szCs w:val="20"/>
              </w:rPr>
            </w:pPr>
          </w:p>
        </w:tc>
        <w:tc>
          <w:tcPr>
            <w:tcW w:w="0" w:type="auto"/>
            <w:gridSpan w:val="3"/>
            <w:vAlign w:val="center"/>
            <w:hideMark/>
          </w:tcPr>
          <w:p w14:paraId="26197FF3" w14:textId="77777777" w:rsidR="00000000" w:rsidRDefault="00405D16">
            <w:pPr>
              <w:spacing w:after="100"/>
              <w:rPr>
                <w:rFonts w:eastAsia="Times New Roman"/>
                <w:sz w:val="20"/>
                <w:szCs w:val="20"/>
              </w:rPr>
            </w:pPr>
          </w:p>
        </w:tc>
        <w:tc>
          <w:tcPr>
            <w:tcW w:w="0" w:type="auto"/>
            <w:gridSpan w:val="3"/>
            <w:vAlign w:val="center"/>
            <w:hideMark/>
          </w:tcPr>
          <w:p w14:paraId="3B4E66D1" w14:textId="77777777" w:rsidR="00000000" w:rsidRDefault="00405D16">
            <w:pPr>
              <w:spacing w:after="100"/>
              <w:rPr>
                <w:rFonts w:eastAsia="Times New Roman"/>
                <w:sz w:val="20"/>
                <w:szCs w:val="20"/>
              </w:rPr>
            </w:pPr>
          </w:p>
        </w:tc>
        <w:tc>
          <w:tcPr>
            <w:tcW w:w="0" w:type="auto"/>
            <w:gridSpan w:val="3"/>
            <w:vAlign w:val="center"/>
            <w:hideMark/>
          </w:tcPr>
          <w:p w14:paraId="49CB3C16" w14:textId="77777777" w:rsidR="00000000" w:rsidRDefault="00405D16">
            <w:pPr>
              <w:spacing w:after="100"/>
              <w:rPr>
                <w:rFonts w:eastAsia="Times New Roman"/>
                <w:sz w:val="20"/>
                <w:szCs w:val="20"/>
              </w:rPr>
            </w:pPr>
          </w:p>
        </w:tc>
        <w:tc>
          <w:tcPr>
            <w:tcW w:w="0" w:type="auto"/>
            <w:gridSpan w:val="3"/>
            <w:vAlign w:val="center"/>
            <w:hideMark/>
          </w:tcPr>
          <w:p w14:paraId="14CD01DE" w14:textId="77777777" w:rsidR="00000000" w:rsidRDefault="00405D16">
            <w:pPr>
              <w:spacing w:after="100"/>
              <w:rPr>
                <w:rFonts w:eastAsia="Times New Roman"/>
                <w:sz w:val="20"/>
                <w:szCs w:val="20"/>
              </w:rPr>
            </w:pPr>
          </w:p>
        </w:tc>
        <w:tc>
          <w:tcPr>
            <w:tcW w:w="0" w:type="auto"/>
            <w:gridSpan w:val="3"/>
            <w:vAlign w:val="center"/>
            <w:hideMark/>
          </w:tcPr>
          <w:p w14:paraId="17CD6E61" w14:textId="77777777" w:rsidR="00000000" w:rsidRDefault="00405D16">
            <w:pPr>
              <w:spacing w:after="100"/>
              <w:rPr>
                <w:rFonts w:eastAsia="Times New Roman"/>
                <w:sz w:val="20"/>
                <w:szCs w:val="20"/>
              </w:rPr>
            </w:pPr>
          </w:p>
        </w:tc>
        <w:tc>
          <w:tcPr>
            <w:tcW w:w="0" w:type="auto"/>
            <w:gridSpan w:val="3"/>
            <w:vAlign w:val="center"/>
            <w:hideMark/>
          </w:tcPr>
          <w:p w14:paraId="3F1032B7" w14:textId="77777777" w:rsidR="00000000" w:rsidRDefault="00405D16">
            <w:pPr>
              <w:spacing w:after="100"/>
              <w:rPr>
                <w:rFonts w:eastAsia="Times New Roman"/>
                <w:sz w:val="20"/>
                <w:szCs w:val="20"/>
              </w:rPr>
            </w:pPr>
          </w:p>
        </w:tc>
        <w:tc>
          <w:tcPr>
            <w:tcW w:w="0" w:type="auto"/>
            <w:gridSpan w:val="3"/>
            <w:vAlign w:val="center"/>
            <w:hideMark/>
          </w:tcPr>
          <w:p w14:paraId="6B766826" w14:textId="77777777" w:rsidR="00000000" w:rsidRDefault="00405D16">
            <w:pPr>
              <w:spacing w:after="100"/>
              <w:rPr>
                <w:rFonts w:eastAsia="Times New Roman"/>
                <w:sz w:val="20"/>
                <w:szCs w:val="20"/>
              </w:rPr>
            </w:pPr>
          </w:p>
        </w:tc>
        <w:tc>
          <w:tcPr>
            <w:tcW w:w="0" w:type="auto"/>
            <w:gridSpan w:val="3"/>
            <w:vAlign w:val="center"/>
            <w:hideMark/>
          </w:tcPr>
          <w:p w14:paraId="3886798F" w14:textId="77777777" w:rsidR="00000000" w:rsidRDefault="00405D16">
            <w:pPr>
              <w:spacing w:after="100"/>
              <w:rPr>
                <w:rFonts w:eastAsia="Times New Roman"/>
                <w:sz w:val="20"/>
                <w:szCs w:val="20"/>
              </w:rPr>
            </w:pPr>
          </w:p>
        </w:tc>
        <w:tc>
          <w:tcPr>
            <w:tcW w:w="0" w:type="auto"/>
            <w:gridSpan w:val="3"/>
            <w:vAlign w:val="center"/>
            <w:hideMark/>
          </w:tcPr>
          <w:p w14:paraId="19F23140" w14:textId="77777777" w:rsidR="00000000" w:rsidRDefault="00405D16">
            <w:pPr>
              <w:spacing w:after="100"/>
              <w:rPr>
                <w:rFonts w:eastAsia="Times New Roman"/>
                <w:sz w:val="20"/>
                <w:szCs w:val="20"/>
              </w:rPr>
            </w:pPr>
          </w:p>
        </w:tc>
        <w:tc>
          <w:tcPr>
            <w:tcW w:w="0" w:type="auto"/>
            <w:gridSpan w:val="3"/>
            <w:vAlign w:val="center"/>
            <w:hideMark/>
          </w:tcPr>
          <w:p w14:paraId="7B5836F8" w14:textId="77777777" w:rsidR="00000000" w:rsidRDefault="00405D16">
            <w:pPr>
              <w:spacing w:after="100"/>
              <w:rPr>
                <w:rFonts w:eastAsia="Times New Roman"/>
                <w:sz w:val="20"/>
                <w:szCs w:val="20"/>
              </w:rPr>
            </w:pPr>
          </w:p>
        </w:tc>
        <w:tc>
          <w:tcPr>
            <w:tcW w:w="0" w:type="auto"/>
            <w:gridSpan w:val="3"/>
            <w:vAlign w:val="center"/>
            <w:hideMark/>
          </w:tcPr>
          <w:p w14:paraId="0241B651" w14:textId="77777777" w:rsidR="00000000" w:rsidRDefault="00405D16">
            <w:pPr>
              <w:spacing w:after="100"/>
              <w:rPr>
                <w:rFonts w:eastAsia="Times New Roman"/>
                <w:sz w:val="20"/>
                <w:szCs w:val="20"/>
              </w:rPr>
            </w:pPr>
          </w:p>
        </w:tc>
        <w:tc>
          <w:tcPr>
            <w:tcW w:w="0" w:type="auto"/>
            <w:gridSpan w:val="3"/>
            <w:vAlign w:val="center"/>
            <w:hideMark/>
          </w:tcPr>
          <w:p w14:paraId="2DFBFC65" w14:textId="77777777" w:rsidR="00000000" w:rsidRDefault="00405D16">
            <w:pPr>
              <w:spacing w:after="100"/>
              <w:rPr>
                <w:rFonts w:eastAsia="Times New Roman"/>
                <w:sz w:val="20"/>
                <w:szCs w:val="20"/>
              </w:rPr>
            </w:pPr>
          </w:p>
        </w:tc>
        <w:tc>
          <w:tcPr>
            <w:tcW w:w="0" w:type="auto"/>
            <w:gridSpan w:val="3"/>
            <w:vAlign w:val="center"/>
            <w:hideMark/>
          </w:tcPr>
          <w:p w14:paraId="370E86A9" w14:textId="77777777" w:rsidR="00000000" w:rsidRDefault="00405D16">
            <w:pPr>
              <w:spacing w:after="100"/>
              <w:rPr>
                <w:rFonts w:eastAsia="Times New Roman"/>
                <w:sz w:val="20"/>
                <w:szCs w:val="20"/>
              </w:rPr>
            </w:pPr>
          </w:p>
        </w:tc>
      </w:tr>
      <w:tr w:rsidR="00000000" w14:paraId="617360FB" w14:textId="77777777">
        <w:trPr>
          <w:divId w:val="86119291"/>
        </w:trPr>
        <w:tc>
          <w:tcPr>
            <w:tcW w:w="0" w:type="auto"/>
            <w:gridSpan w:val="3"/>
            <w:vAlign w:val="center"/>
            <w:hideMark/>
          </w:tcPr>
          <w:p w14:paraId="0F1448B0" w14:textId="77777777" w:rsidR="00000000" w:rsidRDefault="00405D16">
            <w:pPr>
              <w:spacing w:after="100"/>
              <w:rPr>
                <w:rFonts w:eastAsia="Times New Roman"/>
                <w:sz w:val="20"/>
                <w:szCs w:val="20"/>
              </w:rPr>
            </w:pPr>
          </w:p>
        </w:tc>
        <w:tc>
          <w:tcPr>
            <w:tcW w:w="0" w:type="auto"/>
            <w:gridSpan w:val="3"/>
            <w:vAlign w:val="center"/>
            <w:hideMark/>
          </w:tcPr>
          <w:p w14:paraId="18354DA0" w14:textId="77777777" w:rsidR="00000000" w:rsidRDefault="00405D16">
            <w:pPr>
              <w:spacing w:after="100"/>
              <w:rPr>
                <w:rFonts w:eastAsia="Times New Roman"/>
                <w:sz w:val="20"/>
                <w:szCs w:val="20"/>
              </w:rPr>
            </w:pPr>
          </w:p>
        </w:tc>
        <w:tc>
          <w:tcPr>
            <w:tcW w:w="0" w:type="auto"/>
            <w:gridSpan w:val="3"/>
            <w:vAlign w:val="center"/>
            <w:hideMark/>
          </w:tcPr>
          <w:p w14:paraId="4FEFA3C1" w14:textId="77777777" w:rsidR="00000000" w:rsidRDefault="00405D16">
            <w:pPr>
              <w:spacing w:after="100"/>
              <w:rPr>
                <w:rFonts w:eastAsia="Times New Roman"/>
                <w:sz w:val="20"/>
                <w:szCs w:val="20"/>
              </w:rPr>
            </w:pPr>
          </w:p>
        </w:tc>
        <w:tc>
          <w:tcPr>
            <w:tcW w:w="0" w:type="auto"/>
            <w:gridSpan w:val="3"/>
            <w:vAlign w:val="center"/>
            <w:hideMark/>
          </w:tcPr>
          <w:p w14:paraId="3769F888" w14:textId="77777777" w:rsidR="00000000" w:rsidRDefault="00405D16">
            <w:pPr>
              <w:spacing w:after="100"/>
              <w:rPr>
                <w:rFonts w:eastAsia="Times New Roman"/>
                <w:sz w:val="20"/>
                <w:szCs w:val="20"/>
              </w:rPr>
            </w:pPr>
          </w:p>
        </w:tc>
        <w:tc>
          <w:tcPr>
            <w:tcW w:w="0" w:type="auto"/>
            <w:gridSpan w:val="3"/>
            <w:vAlign w:val="center"/>
            <w:hideMark/>
          </w:tcPr>
          <w:p w14:paraId="777055F1" w14:textId="77777777" w:rsidR="00000000" w:rsidRDefault="00405D16">
            <w:pPr>
              <w:spacing w:after="100"/>
              <w:rPr>
                <w:rFonts w:eastAsia="Times New Roman"/>
                <w:sz w:val="20"/>
                <w:szCs w:val="20"/>
              </w:rPr>
            </w:pPr>
          </w:p>
        </w:tc>
        <w:tc>
          <w:tcPr>
            <w:tcW w:w="0" w:type="auto"/>
            <w:gridSpan w:val="3"/>
            <w:vAlign w:val="center"/>
            <w:hideMark/>
          </w:tcPr>
          <w:p w14:paraId="2B9DE4E8" w14:textId="77777777" w:rsidR="00000000" w:rsidRDefault="00405D16">
            <w:pPr>
              <w:spacing w:after="100"/>
              <w:rPr>
                <w:rFonts w:eastAsia="Times New Roman"/>
                <w:sz w:val="20"/>
                <w:szCs w:val="20"/>
              </w:rPr>
            </w:pPr>
          </w:p>
        </w:tc>
        <w:tc>
          <w:tcPr>
            <w:tcW w:w="0" w:type="auto"/>
            <w:gridSpan w:val="3"/>
            <w:vAlign w:val="center"/>
            <w:hideMark/>
          </w:tcPr>
          <w:p w14:paraId="6363508D" w14:textId="77777777" w:rsidR="00000000" w:rsidRDefault="00405D16">
            <w:pPr>
              <w:spacing w:after="100"/>
              <w:rPr>
                <w:rFonts w:eastAsia="Times New Roman"/>
                <w:sz w:val="20"/>
                <w:szCs w:val="20"/>
              </w:rPr>
            </w:pPr>
          </w:p>
        </w:tc>
        <w:tc>
          <w:tcPr>
            <w:tcW w:w="0" w:type="auto"/>
            <w:gridSpan w:val="3"/>
            <w:vAlign w:val="center"/>
            <w:hideMark/>
          </w:tcPr>
          <w:p w14:paraId="74161ADE" w14:textId="77777777" w:rsidR="00000000" w:rsidRDefault="00405D16">
            <w:pPr>
              <w:spacing w:after="100"/>
              <w:rPr>
                <w:rFonts w:eastAsia="Times New Roman"/>
                <w:sz w:val="20"/>
                <w:szCs w:val="20"/>
              </w:rPr>
            </w:pPr>
          </w:p>
        </w:tc>
        <w:tc>
          <w:tcPr>
            <w:tcW w:w="0" w:type="auto"/>
            <w:gridSpan w:val="3"/>
            <w:vAlign w:val="center"/>
            <w:hideMark/>
          </w:tcPr>
          <w:p w14:paraId="0F11BB33" w14:textId="77777777" w:rsidR="00000000" w:rsidRDefault="00405D16">
            <w:pPr>
              <w:spacing w:after="100"/>
              <w:rPr>
                <w:rFonts w:eastAsia="Times New Roman"/>
                <w:sz w:val="20"/>
                <w:szCs w:val="20"/>
              </w:rPr>
            </w:pPr>
          </w:p>
        </w:tc>
        <w:tc>
          <w:tcPr>
            <w:tcW w:w="0" w:type="auto"/>
            <w:gridSpan w:val="3"/>
            <w:vAlign w:val="center"/>
            <w:hideMark/>
          </w:tcPr>
          <w:p w14:paraId="36475371" w14:textId="77777777" w:rsidR="00000000" w:rsidRDefault="00405D16">
            <w:pPr>
              <w:spacing w:after="100"/>
              <w:rPr>
                <w:rFonts w:eastAsia="Times New Roman"/>
                <w:sz w:val="20"/>
                <w:szCs w:val="20"/>
              </w:rPr>
            </w:pPr>
          </w:p>
        </w:tc>
        <w:tc>
          <w:tcPr>
            <w:tcW w:w="0" w:type="auto"/>
            <w:gridSpan w:val="3"/>
            <w:vAlign w:val="center"/>
            <w:hideMark/>
          </w:tcPr>
          <w:p w14:paraId="6958ED91" w14:textId="77777777" w:rsidR="00000000" w:rsidRDefault="00405D16">
            <w:pPr>
              <w:spacing w:after="100"/>
              <w:rPr>
                <w:rFonts w:eastAsia="Times New Roman"/>
                <w:sz w:val="20"/>
                <w:szCs w:val="20"/>
              </w:rPr>
            </w:pPr>
          </w:p>
        </w:tc>
        <w:tc>
          <w:tcPr>
            <w:tcW w:w="0" w:type="auto"/>
            <w:gridSpan w:val="3"/>
            <w:vAlign w:val="center"/>
            <w:hideMark/>
          </w:tcPr>
          <w:p w14:paraId="139EB383" w14:textId="77777777" w:rsidR="00000000" w:rsidRDefault="00405D16">
            <w:pPr>
              <w:spacing w:after="100"/>
              <w:rPr>
                <w:rFonts w:eastAsia="Times New Roman"/>
                <w:sz w:val="20"/>
                <w:szCs w:val="20"/>
              </w:rPr>
            </w:pPr>
          </w:p>
        </w:tc>
        <w:tc>
          <w:tcPr>
            <w:tcW w:w="0" w:type="auto"/>
            <w:gridSpan w:val="3"/>
            <w:vAlign w:val="center"/>
            <w:hideMark/>
          </w:tcPr>
          <w:p w14:paraId="4A596847" w14:textId="77777777" w:rsidR="00000000" w:rsidRDefault="00405D16">
            <w:pPr>
              <w:spacing w:after="100"/>
              <w:rPr>
                <w:rFonts w:eastAsia="Times New Roman"/>
                <w:sz w:val="20"/>
                <w:szCs w:val="20"/>
              </w:rPr>
            </w:pPr>
          </w:p>
        </w:tc>
        <w:tc>
          <w:tcPr>
            <w:tcW w:w="0" w:type="auto"/>
            <w:gridSpan w:val="3"/>
            <w:vAlign w:val="center"/>
            <w:hideMark/>
          </w:tcPr>
          <w:p w14:paraId="630254C4" w14:textId="77777777" w:rsidR="00000000" w:rsidRDefault="00405D16">
            <w:pPr>
              <w:spacing w:after="100"/>
              <w:rPr>
                <w:rFonts w:eastAsia="Times New Roman"/>
                <w:sz w:val="20"/>
                <w:szCs w:val="20"/>
              </w:rPr>
            </w:pPr>
          </w:p>
        </w:tc>
        <w:tc>
          <w:tcPr>
            <w:tcW w:w="0" w:type="auto"/>
            <w:gridSpan w:val="3"/>
            <w:vAlign w:val="center"/>
            <w:hideMark/>
          </w:tcPr>
          <w:p w14:paraId="6B7ACF66" w14:textId="77777777" w:rsidR="00000000" w:rsidRDefault="00405D16">
            <w:pPr>
              <w:spacing w:after="100"/>
              <w:rPr>
                <w:rFonts w:eastAsia="Times New Roman"/>
                <w:sz w:val="20"/>
                <w:szCs w:val="20"/>
              </w:rPr>
            </w:pPr>
          </w:p>
        </w:tc>
      </w:tr>
      <w:tr w:rsidR="00000000" w14:paraId="5C011ED2" w14:textId="77777777">
        <w:trPr>
          <w:divId w:val="86119291"/>
        </w:trPr>
        <w:tc>
          <w:tcPr>
            <w:tcW w:w="0" w:type="auto"/>
            <w:gridSpan w:val="3"/>
            <w:vAlign w:val="center"/>
            <w:hideMark/>
          </w:tcPr>
          <w:p w14:paraId="225C70CD" w14:textId="77777777" w:rsidR="00000000" w:rsidRDefault="00405D16">
            <w:pPr>
              <w:spacing w:after="100"/>
              <w:rPr>
                <w:rFonts w:eastAsia="Times New Roman"/>
                <w:sz w:val="20"/>
                <w:szCs w:val="20"/>
              </w:rPr>
            </w:pPr>
          </w:p>
        </w:tc>
        <w:tc>
          <w:tcPr>
            <w:tcW w:w="0" w:type="auto"/>
            <w:gridSpan w:val="3"/>
            <w:vAlign w:val="center"/>
            <w:hideMark/>
          </w:tcPr>
          <w:p w14:paraId="4F60265D" w14:textId="77777777" w:rsidR="00000000" w:rsidRDefault="00405D16">
            <w:pPr>
              <w:spacing w:after="100"/>
              <w:rPr>
                <w:rFonts w:eastAsia="Times New Roman"/>
                <w:sz w:val="20"/>
                <w:szCs w:val="20"/>
              </w:rPr>
            </w:pPr>
          </w:p>
        </w:tc>
        <w:tc>
          <w:tcPr>
            <w:tcW w:w="0" w:type="auto"/>
            <w:gridSpan w:val="3"/>
            <w:vAlign w:val="center"/>
            <w:hideMark/>
          </w:tcPr>
          <w:p w14:paraId="36AC98F9" w14:textId="77777777" w:rsidR="00000000" w:rsidRDefault="00405D16">
            <w:pPr>
              <w:spacing w:after="100"/>
              <w:rPr>
                <w:rFonts w:eastAsia="Times New Roman"/>
                <w:sz w:val="20"/>
                <w:szCs w:val="20"/>
              </w:rPr>
            </w:pPr>
          </w:p>
        </w:tc>
        <w:tc>
          <w:tcPr>
            <w:tcW w:w="0" w:type="auto"/>
            <w:gridSpan w:val="3"/>
            <w:vAlign w:val="center"/>
            <w:hideMark/>
          </w:tcPr>
          <w:p w14:paraId="16756479" w14:textId="77777777" w:rsidR="00000000" w:rsidRDefault="00405D16">
            <w:pPr>
              <w:spacing w:after="100"/>
              <w:rPr>
                <w:rFonts w:eastAsia="Times New Roman"/>
                <w:sz w:val="20"/>
                <w:szCs w:val="20"/>
              </w:rPr>
            </w:pPr>
          </w:p>
        </w:tc>
        <w:tc>
          <w:tcPr>
            <w:tcW w:w="0" w:type="auto"/>
            <w:gridSpan w:val="3"/>
            <w:vAlign w:val="center"/>
            <w:hideMark/>
          </w:tcPr>
          <w:p w14:paraId="309C2B88" w14:textId="77777777" w:rsidR="00000000" w:rsidRDefault="00405D16">
            <w:pPr>
              <w:spacing w:after="100"/>
              <w:rPr>
                <w:rFonts w:eastAsia="Times New Roman"/>
                <w:sz w:val="20"/>
                <w:szCs w:val="20"/>
              </w:rPr>
            </w:pPr>
          </w:p>
        </w:tc>
        <w:tc>
          <w:tcPr>
            <w:tcW w:w="0" w:type="auto"/>
            <w:gridSpan w:val="3"/>
            <w:vAlign w:val="center"/>
            <w:hideMark/>
          </w:tcPr>
          <w:p w14:paraId="723ED55F" w14:textId="77777777" w:rsidR="00000000" w:rsidRDefault="00405D16">
            <w:pPr>
              <w:spacing w:after="100"/>
              <w:rPr>
                <w:rFonts w:eastAsia="Times New Roman"/>
                <w:sz w:val="20"/>
                <w:szCs w:val="20"/>
              </w:rPr>
            </w:pPr>
          </w:p>
        </w:tc>
        <w:tc>
          <w:tcPr>
            <w:tcW w:w="0" w:type="auto"/>
            <w:gridSpan w:val="3"/>
            <w:vAlign w:val="center"/>
            <w:hideMark/>
          </w:tcPr>
          <w:p w14:paraId="6F8C9CF6" w14:textId="77777777" w:rsidR="00000000" w:rsidRDefault="00405D16">
            <w:pPr>
              <w:spacing w:after="100"/>
              <w:rPr>
                <w:rFonts w:eastAsia="Times New Roman"/>
                <w:sz w:val="20"/>
                <w:szCs w:val="20"/>
              </w:rPr>
            </w:pPr>
          </w:p>
        </w:tc>
        <w:tc>
          <w:tcPr>
            <w:tcW w:w="0" w:type="auto"/>
            <w:gridSpan w:val="3"/>
            <w:vAlign w:val="center"/>
            <w:hideMark/>
          </w:tcPr>
          <w:p w14:paraId="006E8886" w14:textId="77777777" w:rsidR="00000000" w:rsidRDefault="00405D16">
            <w:pPr>
              <w:spacing w:after="100"/>
              <w:rPr>
                <w:rFonts w:eastAsia="Times New Roman"/>
                <w:sz w:val="20"/>
                <w:szCs w:val="20"/>
              </w:rPr>
            </w:pPr>
          </w:p>
        </w:tc>
        <w:tc>
          <w:tcPr>
            <w:tcW w:w="0" w:type="auto"/>
            <w:gridSpan w:val="3"/>
            <w:vAlign w:val="center"/>
            <w:hideMark/>
          </w:tcPr>
          <w:p w14:paraId="2B783999" w14:textId="77777777" w:rsidR="00000000" w:rsidRDefault="00405D16">
            <w:pPr>
              <w:spacing w:after="100"/>
              <w:rPr>
                <w:rFonts w:eastAsia="Times New Roman"/>
                <w:sz w:val="20"/>
                <w:szCs w:val="20"/>
              </w:rPr>
            </w:pPr>
          </w:p>
        </w:tc>
        <w:tc>
          <w:tcPr>
            <w:tcW w:w="0" w:type="auto"/>
            <w:gridSpan w:val="3"/>
            <w:vAlign w:val="center"/>
            <w:hideMark/>
          </w:tcPr>
          <w:p w14:paraId="3E466FE9" w14:textId="77777777" w:rsidR="00000000" w:rsidRDefault="00405D16">
            <w:pPr>
              <w:spacing w:after="100"/>
              <w:rPr>
                <w:rFonts w:eastAsia="Times New Roman"/>
                <w:sz w:val="20"/>
                <w:szCs w:val="20"/>
              </w:rPr>
            </w:pPr>
          </w:p>
        </w:tc>
        <w:tc>
          <w:tcPr>
            <w:tcW w:w="0" w:type="auto"/>
            <w:gridSpan w:val="3"/>
            <w:vAlign w:val="center"/>
            <w:hideMark/>
          </w:tcPr>
          <w:p w14:paraId="2F400E02" w14:textId="77777777" w:rsidR="00000000" w:rsidRDefault="00405D16">
            <w:pPr>
              <w:spacing w:after="100"/>
              <w:rPr>
                <w:rFonts w:eastAsia="Times New Roman"/>
                <w:sz w:val="20"/>
                <w:szCs w:val="20"/>
              </w:rPr>
            </w:pPr>
          </w:p>
        </w:tc>
        <w:tc>
          <w:tcPr>
            <w:tcW w:w="0" w:type="auto"/>
            <w:gridSpan w:val="3"/>
            <w:vAlign w:val="center"/>
            <w:hideMark/>
          </w:tcPr>
          <w:p w14:paraId="4766221E" w14:textId="77777777" w:rsidR="00000000" w:rsidRDefault="00405D16">
            <w:pPr>
              <w:spacing w:after="100"/>
              <w:rPr>
                <w:rFonts w:eastAsia="Times New Roman"/>
                <w:sz w:val="20"/>
                <w:szCs w:val="20"/>
              </w:rPr>
            </w:pPr>
          </w:p>
        </w:tc>
        <w:tc>
          <w:tcPr>
            <w:tcW w:w="0" w:type="auto"/>
            <w:gridSpan w:val="3"/>
            <w:vAlign w:val="center"/>
            <w:hideMark/>
          </w:tcPr>
          <w:p w14:paraId="3437A600" w14:textId="77777777" w:rsidR="00000000" w:rsidRDefault="00405D16">
            <w:pPr>
              <w:spacing w:after="100"/>
              <w:rPr>
                <w:rFonts w:eastAsia="Times New Roman"/>
                <w:sz w:val="20"/>
                <w:szCs w:val="20"/>
              </w:rPr>
            </w:pPr>
          </w:p>
        </w:tc>
        <w:tc>
          <w:tcPr>
            <w:tcW w:w="0" w:type="auto"/>
            <w:gridSpan w:val="3"/>
            <w:vAlign w:val="center"/>
            <w:hideMark/>
          </w:tcPr>
          <w:p w14:paraId="55E82451" w14:textId="77777777" w:rsidR="00000000" w:rsidRDefault="00405D16">
            <w:pPr>
              <w:spacing w:after="100"/>
              <w:rPr>
                <w:rFonts w:eastAsia="Times New Roman"/>
                <w:sz w:val="20"/>
                <w:szCs w:val="20"/>
              </w:rPr>
            </w:pPr>
          </w:p>
        </w:tc>
        <w:tc>
          <w:tcPr>
            <w:tcW w:w="0" w:type="auto"/>
            <w:gridSpan w:val="3"/>
            <w:vAlign w:val="center"/>
            <w:hideMark/>
          </w:tcPr>
          <w:p w14:paraId="45C61ADB" w14:textId="77777777" w:rsidR="00000000" w:rsidRDefault="00405D16">
            <w:pPr>
              <w:spacing w:after="100"/>
              <w:rPr>
                <w:rFonts w:eastAsia="Times New Roman"/>
                <w:sz w:val="20"/>
                <w:szCs w:val="20"/>
              </w:rPr>
            </w:pPr>
          </w:p>
        </w:tc>
      </w:tr>
      <w:tr w:rsidR="00000000" w14:paraId="32B155ED" w14:textId="77777777">
        <w:trPr>
          <w:divId w:val="86119291"/>
        </w:trPr>
        <w:tc>
          <w:tcPr>
            <w:tcW w:w="0" w:type="auto"/>
            <w:gridSpan w:val="3"/>
            <w:vAlign w:val="center"/>
            <w:hideMark/>
          </w:tcPr>
          <w:p w14:paraId="32084145" w14:textId="77777777" w:rsidR="00000000" w:rsidRDefault="00405D16">
            <w:pPr>
              <w:spacing w:after="100"/>
              <w:rPr>
                <w:rFonts w:eastAsia="Times New Roman"/>
                <w:sz w:val="20"/>
                <w:szCs w:val="20"/>
              </w:rPr>
            </w:pPr>
          </w:p>
        </w:tc>
        <w:tc>
          <w:tcPr>
            <w:tcW w:w="0" w:type="auto"/>
            <w:gridSpan w:val="3"/>
            <w:vAlign w:val="center"/>
            <w:hideMark/>
          </w:tcPr>
          <w:p w14:paraId="01BCCBE3" w14:textId="77777777" w:rsidR="00000000" w:rsidRDefault="00405D16">
            <w:pPr>
              <w:spacing w:after="100"/>
              <w:rPr>
                <w:rFonts w:eastAsia="Times New Roman"/>
                <w:sz w:val="20"/>
                <w:szCs w:val="20"/>
              </w:rPr>
            </w:pPr>
          </w:p>
        </w:tc>
        <w:tc>
          <w:tcPr>
            <w:tcW w:w="0" w:type="auto"/>
            <w:gridSpan w:val="3"/>
            <w:vAlign w:val="center"/>
            <w:hideMark/>
          </w:tcPr>
          <w:p w14:paraId="42E67272" w14:textId="77777777" w:rsidR="00000000" w:rsidRDefault="00405D16">
            <w:pPr>
              <w:spacing w:after="100"/>
              <w:rPr>
                <w:rFonts w:eastAsia="Times New Roman"/>
                <w:sz w:val="20"/>
                <w:szCs w:val="20"/>
              </w:rPr>
            </w:pPr>
          </w:p>
        </w:tc>
        <w:tc>
          <w:tcPr>
            <w:tcW w:w="0" w:type="auto"/>
            <w:gridSpan w:val="3"/>
            <w:vAlign w:val="center"/>
            <w:hideMark/>
          </w:tcPr>
          <w:p w14:paraId="1DC154FD" w14:textId="77777777" w:rsidR="00000000" w:rsidRDefault="00405D16">
            <w:pPr>
              <w:spacing w:after="100"/>
              <w:rPr>
                <w:rFonts w:eastAsia="Times New Roman"/>
                <w:sz w:val="20"/>
                <w:szCs w:val="20"/>
              </w:rPr>
            </w:pPr>
          </w:p>
        </w:tc>
        <w:tc>
          <w:tcPr>
            <w:tcW w:w="0" w:type="auto"/>
            <w:gridSpan w:val="3"/>
            <w:vAlign w:val="center"/>
            <w:hideMark/>
          </w:tcPr>
          <w:p w14:paraId="1CE622AA" w14:textId="77777777" w:rsidR="00000000" w:rsidRDefault="00405D16">
            <w:pPr>
              <w:spacing w:after="100"/>
              <w:rPr>
                <w:rFonts w:eastAsia="Times New Roman"/>
                <w:sz w:val="20"/>
                <w:szCs w:val="20"/>
              </w:rPr>
            </w:pPr>
          </w:p>
        </w:tc>
        <w:tc>
          <w:tcPr>
            <w:tcW w:w="0" w:type="auto"/>
            <w:gridSpan w:val="3"/>
            <w:vAlign w:val="center"/>
            <w:hideMark/>
          </w:tcPr>
          <w:p w14:paraId="43CC8270" w14:textId="77777777" w:rsidR="00000000" w:rsidRDefault="00405D16">
            <w:pPr>
              <w:spacing w:after="100"/>
              <w:rPr>
                <w:rFonts w:eastAsia="Times New Roman"/>
                <w:sz w:val="20"/>
                <w:szCs w:val="20"/>
              </w:rPr>
            </w:pPr>
          </w:p>
        </w:tc>
        <w:tc>
          <w:tcPr>
            <w:tcW w:w="0" w:type="auto"/>
            <w:gridSpan w:val="3"/>
            <w:vAlign w:val="center"/>
            <w:hideMark/>
          </w:tcPr>
          <w:p w14:paraId="17B4E2C0" w14:textId="77777777" w:rsidR="00000000" w:rsidRDefault="00405D16">
            <w:pPr>
              <w:spacing w:after="100"/>
              <w:rPr>
                <w:rFonts w:eastAsia="Times New Roman"/>
                <w:sz w:val="20"/>
                <w:szCs w:val="20"/>
              </w:rPr>
            </w:pPr>
          </w:p>
        </w:tc>
        <w:tc>
          <w:tcPr>
            <w:tcW w:w="0" w:type="auto"/>
            <w:gridSpan w:val="3"/>
            <w:vAlign w:val="center"/>
            <w:hideMark/>
          </w:tcPr>
          <w:p w14:paraId="116B8DFC" w14:textId="77777777" w:rsidR="00000000" w:rsidRDefault="00405D16">
            <w:pPr>
              <w:spacing w:after="100"/>
              <w:rPr>
                <w:rFonts w:eastAsia="Times New Roman"/>
                <w:sz w:val="20"/>
                <w:szCs w:val="20"/>
              </w:rPr>
            </w:pPr>
          </w:p>
        </w:tc>
        <w:tc>
          <w:tcPr>
            <w:tcW w:w="0" w:type="auto"/>
            <w:gridSpan w:val="3"/>
            <w:vAlign w:val="center"/>
            <w:hideMark/>
          </w:tcPr>
          <w:p w14:paraId="6632B2CB" w14:textId="77777777" w:rsidR="00000000" w:rsidRDefault="00405D16">
            <w:pPr>
              <w:spacing w:after="100"/>
              <w:rPr>
                <w:rFonts w:eastAsia="Times New Roman"/>
                <w:sz w:val="20"/>
                <w:szCs w:val="20"/>
              </w:rPr>
            </w:pPr>
          </w:p>
        </w:tc>
        <w:tc>
          <w:tcPr>
            <w:tcW w:w="0" w:type="auto"/>
            <w:gridSpan w:val="3"/>
            <w:vAlign w:val="center"/>
            <w:hideMark/>
          </w:tcPr>
          <w:p w14:paraId="42020311" w14:textId="77777777" w:rsidR="00000000" w:rsidRDefault="00405D16">
            <w:pPr>
              <w:spacing w:after="100"/>
              <w:rPr>
                <w:rFonts w:eastAsia="Times New Roman"/>
                <w:sz w:val="20"/>
                <w:szCs w:val="20"/>
              </w:rPr>
            </w:pPr>
          </w:p>
        </w:tc>
        <w:tc>
          <w:tcPr>
            <w:tcW w:w="0" w:type="auto"/>
            <w:gridSpan w:val="3"/>
            <w:vAlign w:val="center"/>
            <w:hideMark/>
          </w:tcPr>
          <w:p w14:paraId="623C7D8A" w14:textId="77777777" w:rsidR="00000000" w:rsidRDefault="00405D16">
            <w:pPr>
              <w:spacing w:after="100"/>
              <w:rPr>
                <w:rFonts w:eastAsia="Times New Roman"/>
                <w:sz w:val="20"/>
                <w:szCs w:val="20"/>
              </w:rPr>
            </w:pPr>
          </w:p>
        </w:tc>
        <w:tc>
          <w:tcPr>
            <w:tcW w:w="0" w:type="auto"/>
            <w:gridSpan w:val="3"/>
            <w:vAlign w:val="center"/>
            <w:hideMark/>
          </w:tcPr>
          <w:p w14:paraId="45A8F338" w14:textId="77777777" w:rsidR="00000000" w:rsidRDefault="00405D16">
            <w:pPr>
              <w:spacing w:after="100"/>
              <w:rPr>
                <w:rFonts w:eastAsia="Times New Roman"/>
                <w:sz w:val="20"/>
                <w:szCs w:val="20"/>
              </w:rPr>
            </w:pPr>
          </w:p>
        </w:tc>
        <w:tc>
          <w:tcPr>
            <w:tcW w:w="0" w:type="auto"/>
            <w:gridSpan w:val="3"/>
            <w:vAlign w:val="center"/>
            <w:hideMark/>
          </w:tcPr>
          <w:p w14:paraId="7D878E3F" w14:textId="77777777" w:rsidR="00000000" w:rsidRDefault="00405D16">
            <w:pPr>
              <w:spacing w:after="100"/>
              <w:rPr>
                <w:rFonts w:eastAsia="Times New Roman"/>
                <w:sz w:val="20"/>
                <w:szCs w:val="20"/>
              </w:rPr>
            </w:pPr>
          </w:p>
        </w:tc>
        <w:tc>
          <w:tcPr>
            <w:tcW w:w="0" w:type="auto"/>
            <w:gridSpan w:val="3"/>
            <w:vAlign w:val="center"/>
            <w:hideMark/>
          </w:tcPr>
          <w:p w14:paraId="5468FE19" w14:textId="77777777" w:rsidR="00000000" w:rsidRDefault="00405D16">
            <w:pPr>
              <w:spacing w:after="100"/>
              <w:rPr>
                <w:rFonts w:eastAsia="Times New Roman"/>
                <w:sz w:val="20"/>
                <w:szCs w:val="20"/>
              </w:rPr>
            </w:pPr>
          </w:p>
        </w:tc>
        <w:tc>
          <w:tcPr>
            <w:tcW w:w="0" w:type="auto"/>
            <w:gridSpan w:val="3"/>
            <w:vAlign w:val="center"/>
            <w:hideMark/>
          </w:tcPr>
          <w:p w14:paraId="5AE8DE9F" w14:textId="77777777" w:rsidR="00000000" w:rsidRDefault="00405D16">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72618A30" w14:textId="77777777">
        <w:trPr>
          <w:jc w:val="center"/>
        </w:trPr>
        <w:tc>
          <w:tcPr>
            <w:tcW w:w="50" w:type="pct"/>
            <w:vAlign w:val="center"/>
            <w:hideMark/>
          </w:tcPr>
          <w:p w14:paraId="583A289B" w14:textId="77777777" w:rsidR="00000000" w:rsidRDefault="00405D16">
            <w:pPr>
              <w:rPr>
                <w:rFonts w:eastAsia="Times New Roman"/>
              </w:rPr>
            </w:pPr>
          </w:p>
        </w:tc>
        <w:tc>
          <w:tcPr>
            <w:tcW w:w="1606" w:type="pct"/>
            <w:vAlign w:val="center"/>
            <w:hideMark/>
          </w:tcPr>
          <w:p w14:paraId="4A34B566" w14:textId="77777777" w:rsidR="00000000" w:rsidRDefault="00405D16">
            <w:pPr>
              <w:spacing w:after="100"/>
              <w:rPr>
                <w:rFonts w:eastAsia="Times New Roman"/>
                <w:sz w:val="20"/>
                <w:szCs w:val="20"/>
              </w:rPr>
            </w:pPr>
          </w:p>
        </w:tc>
        <w:tc>
          <w:tcPr>
            <w:tcW w:w="5" w:type="pct"/>
            <w:vAlign w:val="center"/>
            <w:hideMark/>
          </w:tcPr>
          <w:p w14:paraId="631FE3E4" w14:textId="77777777" w:rsidR="00000000" w:rsidRDefault="00405D16">
            <w:pPr>
              <w:spacing w:after="100"/>
              <w:rPr>
                <w:rFonts w:eastAsia="Times New Roman"/>
                <w:sz w:val="20"/>
                <w:szCs w:val="20"/>
              </w:rPr>
            </w:pPr>
          </w:p>
        </w:tc>
        <w:tc>
          <w:tcPr>
            <w:tcW w:w="50" w:type="pct"/>
            <w:vAlign w:val="center"/>
            <w:hideMark/>
          </w:tcPr>
          <w:p w14:paraId="597699DD" w14:textId="77777777" w:rsidR="00000000" w:rsidRDefault="00405D16">
            <w:pPr>
              <w:spacing w:after="100"/>
              <w:rPr>
                <w:rFonts w:eastAsia="Times New Roman"/>
                <w:sz w:val="20"/>
                <w:szCs w:val="20"/>
              </w:rPr>
            </w:pPr>
          </w:p>
        </w:tc>
        <w:tc>
          <w:tcPr>
            <w:tcW w:w="1614" w:type="pct"/>
            <w:vAlign w:val="center"/>
            <w:hideMark/>
          </w:tcPr>
          <w:p w14:paraId="35F98CAD" w14:textId="77777777" w:rsidR="00000000" w:rsidRDefault="00405D16">
            <w:pPr>
              <w:spacing w:after="100"/>
              <w:rPr>
                <w:rFonts w:eastAsia="Times New Roman"/>
                <w:sz w:val="20"/>
                <w:szCs w:val="20"/>
              </w:rPr>
            </w:pPr>
          </w:p>
        </w:tc>
        <w:tc>
          <w:tcPr>
            <w:tcW w:w="5" w:type="pct"/>
            <w:vAlign w:val="center"/>
            <w:hideMark/>
          </w:tcPr>
          <w:p w14:paraId="41969713" w14:textId="77777777" w:rsidR="00000000" w:rsidRDefault="00405D16">
            <w:pPr>
              <w:spacing w:after="100"/>
              <w:rPr>
                <w:rFonts w:eastAsia="Times New Roman"/>
                <w:sz w:val="20"/>
                <w:szCs w:val="20"/>
              </w:rPr>
            </w:pPr>
          </w:p>
        </w:tc>
        <w:tc>
          <w:tcPr>
            <w:tcW w:w="50" w:type="pct"/>
            <w:vAlign w:val="center"/>
            <w:hideMark/>
          </w:tcPr>
          <w:p w14:paraId="492E7FA8" w14:textId="77777777" w:rsidR="00000000" w:rsidRDefault="00405D16">
            <w:pPr>
              <w:spacing w:after="100"/>
              <w:rPr>
                <w:rFonts w:eastAsia="Times New Roman"/>
                <w:sz w:val="20"/>
                <w:szCs w:val="20"/>
              </w:rPr>
            </w:pPr>
          </w:p>
        </w:tc>
        <w:tc>
          <w:tcPr>
            <w:tcW w:w="1614" w:type="pct"/>
            <w:vAlign w:val="center"/>
            <w:hideMark/>
          </w:tcPr>
          <w:p w14:paraId="17E41C03" w14:textId="77777777" w:rsidR="00000000" w:rsidRDefault="00405D16">
            <w:pPr>
              <w:spacing w:after="100"/>
              <w:rPr>
                <w:rFonts w:eastAsia="Times New Roman"/>
                <w:sz w:val="20"/>
                <w:szCs w:val="20"/>
              </w:rPr>
            </w:pPr>
          </w:p>
        </w:tc>
        <w:tc>
          <w:tcPr>
            <w:tcW w:w="5" w:type="pct"/>
            <w:vAlign w:val="center"/>
            <w:hideMark/>
          </w:tcPr>
          <w:p w14:paraId="2513599C" w14:textId="77777777" w:rsidR="00000000" w:rsidRDefault="00405D16">
            <w:pPr>
              <w:spacing w:after="100"/>
              <w:rPr>
                <w:rFonts w:eastAsia="Times New Roman"/>
                <w:sz w:val="20"/>
                <w:szCs w:val="20"/>
              </w:rPr>
            </w:pPr>
          </w:p>
        </w:tc>
      </w:tr>
      <w:tr w:rsidR="00000000" w14:paraId="37979391" w14:textId="77777777">
        <w:trPr>
          <w:trHeight w:val="300"/>
          <w:jc w:val="center"/>
        </w:trPr>
        <w:tc>
          <w:tcPr>
            <w:tcW w:w="0" w:type="auto"/>
            <w:gridSpan w:val="9"/>
            <w:tcMar>
              <w:top w:w="0" w:type="dxa"/>
              <w:left w:w="20" w:type="dxa"/>
              <w:bottom w:w="0" w:type="dxa"/>
              <w:right w:w="20" w:type="dxa"/>
            </w:tcMar>
            <w:vAlign w:val="center"/>
            <w:hideMark/>
          </w:tcPr>
          <w:p w14:paraId="22FF4F72" w14:textId="77777777" w:rsidR="00000000" w:rsidRDefault="00405D16">
            <w:pPr>
              <w:spacing w:after="100"/>
              <w:rPr>
                <w:rFonts w:eastAsia="Times New Roman"/>
                <w:sz w:val="20"/>
                <w:szCs w:val="20"/>
              </w:rPr>
            </w:pPr>
          </w:p>
        </w:tc>
      </w:tr>
      <w:tr w:rsidR="00000000" w14:paraId="72E30870" w14:textId="77777777">
        <w:trPr>
          <w:jc w:val="center"/>
        </w:trPr>
        <w:tc>
          <w:tcPr>
            <w:tcW w:w="0" w:type="auto"/>
            <w:gridSpan w:val="3"/>
            <w:tcMar>
              <w:top w:w="0" w:type="dxa"/>
              <w:left w:w="20" w:type="dxa"/>
              <w:bottom w:w="0" w:type="dxa"/>
              <w:right w:w="20" w:type="dxa"/>
            </w:tcMar>
            <w:vAlign w:val="center"/>
            <w:hideMark/>
          </w:tcPr>
          <w:p w14:paraId="4D0502A2"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442DC57" w14:textId="77777777" w:rsidR="00000000" w:rsidRDefault="00405D16">
            <w:pPr>
              <w:spacing w:after="100"/>
              <w:jc w:val="center"/>
              <w:rPr>
                <w:rFonts w:eastAsia="Times New Roman"/>
              </w:rPr>
            </w:pPr>
            <w:r>
              <w:rPr>
                <w:rFonts w:eastAsia="Times New Roman"/>
                <w:color w:val="000000"/>
                <w:sz w:val="16"/>
                <w:szCs w:val="16"/>
              </w:rPr>
              <w:t>107</w:t>
            </w:r>
          </w:p>
        </w:tc>
        <w:tc>
          <w:tcPr>
            <w:tcW w:w="0" w:type="auto"/>
            <w:gridSpan w:val="3"/>
            <w:tcMar>
              <w:top w:w="30" w:type="dxa"/>
              <w:left w:w="20" w:type="dxa"/>
              <w:bottom w:w="30" w:type="dxa"/>
              <w:right w:w="20" w:type="dxa"/>
            </w:tcMar>
            <w:vAlign w:val="bottom"/>
            <w:hideMark/>
          </w:tcPr>
          <w:p w14:paraId="240BC721"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0AC7AD86" w14:textId="77777777" w:rsidR="00000000" w:rsidRDefault="00405D16">
      <w:pPr>
        <w:rPr>
          <w:rFonts w:eastAsia="Times New Roman"/>
        </w:rPr>
      </w:pPr>
      <w:r>
        <w:rPr>
          <w:rFonts w:eastAsia="Times New Roman"/>
        </w:rPr>
        <w:pict w14:anchorId="6BFEB61F">
          <v:rect id="_x0000_i1132" style="width:0;height:1.5pt" o:hralign="center" o:hrstd="t" o:hr="t" fillcolor="#a0a0a0" stroked="f"/>
        </w:pict>
      </w:r>
    </w:p>
    <w:p w14:paraId="29589279" w14:textId="77777777" w:rsidR="00000000" w:rsidRDefault="00405D16">
      <w:pPr>
        <w:jc w:val="both"/>
        <w:divId w:val="1349410456"/>
        <w:rPr>
          <w:rFonts w:eastAsia="Times New Roman"/>
        </w:rPr>
      </w:pPr>
      <w:hyperlink w:anchor="idd54a04a485440b4ab4e56094c14d612_13" w:history="1">
        <w:r>
          <w:rPr>
            <w:rStyle w:val="a3"/>
            <w:rFonts w:eastAsia="Times New Roman"/>
            <w:sz w:val="16"/>
            <w:szCs w:val="16"/>
          </w:rPr>
          <w:t>Table of Contents</w:t>
        </w:r>
      </w:hyperlink>
    </w:p>
    <w:p w14:paraId="45F7E68D" w14:textId="77777777" w:rsidR="00000000" w:rsidRDefault="00405D16">
      <w:pPr>
        <w:jc w:val="center"/>
        <w:divId w:val="134941045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4"/>
        <w:gridCol w:w="1698"/>
        <w:gridCol w:w="39"/>
        <w:gridCol w:w="36"/>
        <w:gridCol w:w="36"/>
        <w:gridCol w:w="36"/>
        <w:gridCol w:w="111"/>
        <w:gridCol w:w="720"/>
        <w:gridCol w:w="36"/>
        <w:gridCol w:w="36"/>
        <w:gridCol w:w="36"/>
        <w:gridCol w:w="36"/>
        <w:gridCol w:w="111"/>
        <w:gridCol w:w="625"/>
        <w:gridCol w:w="36"/>
        <w:gridCol w:w="36"/>
        <w:gridCol w:w="36"/>
        <w:gridCol w:w="36"/>
        <w:gridCol w:w="111"/>
        <w:gridCol w:w="615"/>
        <w:gridCol w:w="36"/>
        <w:gridCol w:w="36"/>
        <w:gridCol w:w="36"/>
        <w:gridCol w:w="36"/>
        <w:gridCol w:w="111"/>
        <w:gridCol w:w="646"/>
        <w:gridCol w:w="36"/>
        <w:gridCol w:w="36"/>
        <w:gridCol w:w="36"/>
        <w:gridCol w:w="36"/>
        <w:gridCol w:w="111"/>
        <w:gridCol w:w="743"/>
        <w:gridCol w:w="36"/>
        <w:gridCol w:w="36"/>
        <w:gridCol w:w="36"/>
        <w:gridCol w:w="36"/>
        <w:gridCol w:w="111"/>
        <w:gridCol w:w="871"/>
        <w:gridCol w:w="36"/>
        <w:gridCol w:w="36"/>
        <w:gridCol w:w="36"/>
        <w:gridCol w:w="36"/>
        <w:gridCol w:w="111"/>
        <w:gridCol w:w="510"/>
        <w:gridCol w:w="36"/>
      </w:tblGrid>
      <w:tr w:rsidR="00000000" w14:paraId="08640AF4" w14:textId="77777777">
        <w:trPr>
          <w:divId w:val="1714234408"/>
        </w:trPr>
        <w:tc>
          <w:tcPr>
            <w:tcW w:w="50" w:type="pct"/>
            <w:vAlign w:val="center"/>
            <w:hideMark/>
          </w:tcPr>
          <w:p w14:paraId="52548AB6" w14:textId="77777777" w:rsidR="00000000" w:rsidRDefault="00405D16">
            <w:pPr>
              <w:jc w:val="center"/>
              <w:rPr>
                <w:rFonts w:eastAsia="Times New Roman"/>
              </w:rPr>
            </w:pPr>
          </w:p>
        </w:tc>
        <w:tc>
          <w:tcPr>
            <w:tcW w:w="1085" w:type="pct"/>
            <w:vAlign w:val="center"/>
            <w:hideMark/>
          </w:tcPr>
          <w:p w14:paraId="105A39A4" w14:textId="77777777" w:rsidR="00000000" w:rsidRDefault="00405D16">
            <w:pPr>
              <w:spacing w:after="100"/>
              <w:rPr>
                <w:rFonts w:eastAsia="Times New Roman"/>
                <w:sz w:val="20"/>
                <w:szCs w:val="20"/>
              </w:rPr>
            </w:pPr>
          </w:p>
        </w:tc>
        <w:tc>
          <w:tcPr>
            <w:tcW w:w="5" w:type="pct"/>
            <w:vAlign w:val="center"/>
            <w:hideMark/>
          </w:tcPr>
          <w:p w14:paraId="70621407" w14:textId="77777777" w:rsidR="00000000" w:rsidRDefault="00405D16">
            <w:pPr>
              <w:spacing w:after="100"/>
              <w:rPr>
                <w:rFonts w:eastAsia="Times New Roman"/>
                <w:sz w:val="20"/>
                <w:szCs w:val="20"/>
              </w:rPr>
            </w:pPr>
          </w:p>
        </w:tc>
        <w:tc>
          <w:tcPr>
            <w:tcW w:w="5" w:type="pct"/>
            <w:vAlign w:val="center"/>
            <w:hideMark/>
          </w:tcPr>
          <w:p w14:paraId="7DA74D5F" w14:textId="77777777" w:rsidR="00000000" w:rsidRDefault="00405D16">
            <w:pPr>
              <w:spacing w:after="100"/>
              <w:rPr>
                <w:rFonts w:eastAsia="Times New Roman"/>
                <w:sz w:val="20"/>
                <w:szCs w:val="20"/>
              </w:rPr>
            </w:pPr>
          </w:p>
        </w:tc>
        <w:tc>
          <w:tcPr>
            <w:tcW w:w="26" w:type="pct"/>
            <w:vAlign w:val="center"/>
            <w:hideMark/>
          </w:tcPr>
          <w:p w14:paraId="16502708" w14:textId="77777777" w:rsidR="00000000" w:rsidRDefault="00405D16">
            <w:pPr>
              <w:spacing w:after="100"/>
              <w:rPr>
                <w:rFonts w:eastAsia="Times New Roman"/>
                <w:sz w:val="20"/>
                <w:szCs w:val="20"/>
              </w:rPr>
            </w:pPr>
          </w:p>
        </w:tc>
        <w:tc>
          <w:tcPr>
            <w:tcW w:w="5" w:type="pct"/>
            <w:vAlign w:val="center"/>
            <w:hideMark/>
          </w:tcPr>
          <w:p w14:paraId="1BF61894" w14:textId="77777777" w:rsidR="00000000" w:rsidRDefault="00405D16">
            <w:pPr>
              <w:spacing w:after="100"/>
              <w:rPr>
                <w:rFonts w:eastAsia="Times New Roman"/>
                <w:sz w:val="20"/>
                <w:szCs w:val="20"/>
              </w:rPr>
            </w:pPr>
          </w:p>
        </w:tc>
        <w:tc>
          <w:tcPr>
            <w:tcW w:w="50" w:type="pct"/>
            <w:vAlign w:val="center"/>
            <w:hideMark/>
          </w:tcPr>
          <w:p w14:paraId="4B19A1DC" w14:textId="77777777" w:rsidR="00000000" w:rsidRDefault="00405D16">
            <w:pPr>
              <w:spacing w:after="100"/>
              <w:rPr>
                <w:rFonts w:eastAsia="Times New Roman"/>
                <w:sz w:val="20"/>
                <w:szCs w:val="20"/>
              </w:rPr>
            </w:pPr>
          </w:p>
        </w:tc>
        <w:tc>
          <w:tcPr>
            <w:tcW w:w="464" w:type="pct"/>
            <w:vAlign w:val="center"/>
            <w:hideMark/>
          </w:tcPr>
          <w:p w14:paraId="31634253" w14:textId="77777777" w:rsidR="00000000" w:rsidRDefault="00405D16">
            <w:pPr>
              <w:spacing w:after="100"/>
              <w:rPr>
                <w:rFonts w:eastAsia="Times New Roman"/>
                <w:sz w:val="20"/>
                <w:szCs w:val="20"/>
              </w:rPr>
            </w:pPr>
          </w:p>
        </w:tc>
        <w:tc>
          <w:tcPr>
            <w:tcW w:w="5" w:type="pct"/>
            <w:vAlign w:val="center"/>
            <w:hideMark/>
          </w:tcPr>
          <w:p w14:paraId="47F435FB" w14:textId="77777777" w:rsidR="00000000" w:rsidRDefault="00405D16">
            <w:pPr>
              <w:spacing w:after="100"/>
              <w:rPr>
                <w:rFonts w:eastAsia="Times New Roman"/>
                <w:sz w:val="20"/>
                <w:szCs w:val="20"/>
              </w:rPr>
            </w:pPr>
          </w:p>
        </w:tc>
        <w:tc>
          <w:tcPr>
            <w:tcW w:w="5" w:type="pct"/>
            <w:vAlign w:val="center"/>
            <w:hideMark/>
          </w:tcPr>
          <w:p w14:paraId="7EC7B120" w14:textId="77777777" w:rsidR="00000000" w:rsidRDefault="00405D16">
            <w:pPr>
              <w:spacing w:after="100"/>
              <w:rPr>
                <w:rFonts w:eastAsia="Times New Roman"/>
                <w:sz w:val="20"/>
                <w:szCs w:val="20"/>
              </w:rPr>
            </w:pPr>
          </w:p>
        </w:tc>
        <w:tc>
          <w:tcPr>
            <w:tcW w:w="26" w:type="pct"/>
            <w:vAlign w:val="center"/>
            <w:hideMark/>
          </w:tcPr>
          <w:p w14:paraId="4DE31BC0" w14:textId="77777777" w:rsidR="00000000" w:rsidRDefault="00405D16">
            <w:pPr>
              <w:spacing w:after="100"/>
              <w:rPr>
                <w:rFonts w:eastAsia="Times New Roman"/>
                <w:sz w:val="20"/>
                <w:szCs w:val="20"/>
              </w:rPr>
            </w:pPr>
          </w:p>
        </w:tc>
        <w:tc>
          <w:tcPr>
            <w:tcW w:w="5" w:type="pct"/>
            <w:vAlign w:val="center"/>
            <w:hideMark/>
          </w:tcPr>
          <w:p w14:paraId="1CAC69CC" w14:textId="77777777" w:rsidR="00000000" w:rsidRDefault="00405D16">
            <w:pPr>
              <w:spacing w:after="100"/>
              <w:rPr>
                <w:rFonts w:eastAsia="Times New Roman"/>
                <w:sz w:val="20"/>
                <w:szCs w:val="20"/>
              </w:rPr>
            </w:pPr>
          </w:p>
        </w:tc>
        <w:tc>
          <w:tcPr>
            <w:tcW w:w="50" w:type="pct"/>
            <w:vAlign w:val="center"/>
            <w:hideMark/>
          </w:tcPr>
          <w:p w14:paraId="1D6370CE" w14:textId="77777777" w:rsidR="00000000" w:rsidRDefault="00405D16">
            <w:pPr>
              <w:spacing w:after="100"/>
              <w:rPr>
                <w:rFonts w:eastAsia="Times New Roman"/>
                <w:sz w:val="20"/>
                <w:szCs w:val="20"/>
              </w:rPr>
            </w:pPr>
          </w:p>
        </w:tc>
        <w:tc>
          <w:tcPr>
            <w:tcW w:w="464" w:type="pct"/>
            <w:vAlign w:val="center"/>
            <w:hideMark/>
          </w:tcPr>
          <w:p w14:paraId="0AEB636F" w14:textId="77777777" w:rsidR="00000000" w:rsidRDefault="00405D16">
            <w:pPr>
              <w:spacing w:after="100"/>
              <w:rPr>
                <w:rFonts w:eastAsia="Times New Roman"/>
                <w:sz w:val="20"/>
                <w:szCs w:val="20"/>
              </w:rPr>
            </w:pPr>
          </w:p>
        </w:tc>
        <w:tc>
          <w:tcPr>
            <w:tcW w:w="5" w:type="pct"/>
            <w:vAlign w:val="center"/>
            <w:hideMark/>
          </w:tcPr>
          <w:p w14:paraId="03524F94" w14:textId="77777777" w:rsidR="00000000" w:rsidRDefault="00405D16">
            <w:pPr>
              <w:spacing w:after="100"/>
              <w:rPr>
                <w:rFonts w:eastAsia="Times New Roman"/>
                <w:sz w:val="20"/>
                <w:szCs w:val="20"/>
              </w:rPr>
            </w:pPr>
          </w:p>
        </w:tc>
        <w:tc>
          <w:tcPr>
            <w:tcW w:w="5" w:type="pct"/>
            <w:vAlign w:val="center"/>
            <w:hideMark/>
          </w:tcPr>
          <w:p w14:paraId="07C3815D" w14:textId="77777777" w:rsidR="00000000" w:rsidRDefault="00405D16">
            <w:pPr>
              <w:spacing w:after="100"/>
              <w:rPr>
                <w:rFonts w:eastAsia="Times New Roman"/>
                <w:sz w:val="20"/>
                <w:szCs w:val="20"/>
              </w:rPr>
            </w:pPr>
          </w:p>
        </w:tc>
        <w:tc>
          <w:tcPr>
            <w:tcW w:w="26" w:type="pct"/>
            <w:vAlign w:val="center"/>
            <w:hideMark/>
          </w:tcPr>
          <w:p w14:paraId="724680C9" w14:textId="77777777" w:rsidR="00000000" w:rsidRDefault="00405D16">
            <w:pPr>
              <w:spacing w:after="100"/>
              <w:rPr>
                <w:rFonts w:eastAsia="Times New Roman"/>
                <w:sz w:val="20"/>
                <w:szCs w:val="20"/>
              </w:rPr>
            </w:pPr>
          </w:p>
        </w:tc>
        <w:tc>
          <w:tcPr>
            <w:tcW w:w="5" w:type="pct"/>
            <w:vAlign w:val="center"/>
            <w:hideMark/>
          </w:tcPr>
          <w:p w14:paraId="15C7921A" w14:textId="77777777" w:rsidR="00000000" w:rsidRDefault="00405D16">
            <w:pPr>
              <w:spacing w:after="100"/>
              <w:rPr>
                <w:rFonts w:eastAsia="Times New Roman"/>
                <w:sz w:val="20"/>
                <w:szCs w:val="20"/>
              </w:rPr>
            </w:pPr>
          </w:p>
        </w:tc>
        <w:tc>
          <w:tcPr>
            <w:tcW w:w="50" w:type="pct"/>
            <w:vAlign w:val="center"/>
            <w:hideMark/>
          </w:tcPr>
          <w:p w14:paraId="243CBA27" w14:textId="77777777" w:rsidR="00000000" w:rsidRDefault="00405D16">
            <w:pPr>
              <w:spacing w:after="100"/>
              <w:rPr>
                <w:rFonts w:eastAsia="Times New Roman"/>
                <w:sz w:val="20"/>
                <w:szCs w:val="20"/>
              </w:rPr>
            </w:pPr>
          </w:p>
        </w:tc>
        <w:tc>
          <w:tcPr>
            <w:tcW w:w="464" w:type="pct"/>
            <w:vAlign w:val="center"/>
            <w:hideMark/>
          </w:tcPr>
          <w:p w14:paraId="48BE2151" w14:textId="77777777" w:rsidR="00000000" w:rsidRDefault="00405D16">
            <w:pPr>
              <w:spacing w:after="100"/>
              <w:rPr>
                <w:rFonts w:eastAsia="Times New Roman"/>
                <w:sz w:val="20"/>
                <w:szCs w:val="20"/>
              </w:rPr>
            </w:pPr>
          </w:p>
        </w:tc>
        <w:tc>
          <w:tcPr>
            <w:tcW w:w="5" w:type="pct"/>
            <w:vAlign w:val="center"/>
            <w:hideMark/>
          </w:tcPr>
          <w:p w14:paraId="4110EE47" w14:textId="77777777" w:rsidR="00000000" w:rsidRDefault="00405D16">
            <w:pPr>
              <w:spacing w:after="100"/>
              <w:rPr>
                <w:rFonts w:eastAsia="Times New Roman"/>
                <w:sz w:val="20"/>
                <w:szCs w:val="20"/>
              </w:rPr>
            </w:pPr>
          </w:p>
        </w:tc>
        <w:tc>
          <w:tcPr>
            <w:tcW w:w="5" w:type="pct"/>
            <w:vAlign w:val="center"/>
            <w:hideMark/>
          </w:tcPr>
          <w:p w14:paraId="4191E911" w14:textId="77777777" w:rsidR="00000000" w:rsidRDefault="00405D16">
            <w:pPr>
              <w:spacing w:after="100"/>
              <w:rPr>
                <w:rFonts w:eastAsia="Times New Roman"/>
                <w:sz w:val="20"/>
                <w:szCs w:val="20"/>
              </w:rPr>
            </w:pPr>
          </w:p>
        </w:tc>
        <w:tc>
          <w:tcPr>
            <w:tcW w:w="26" w:type="pct"/>
            <w:vAlign w:val="center"/>
            <w:hideMark/>
          </w:tcPr>
          <w:p w14:paraId="15A711C3" w14:textId="77777777" w:rsidR="00000000" w:rsidRDefault="00405D16">
            <w:pPr>
              <w:spacing w:after="100"/>
              <w:rPr>
                <w:rFonts w:eastAsia="Times New Roman"/>
                <w:sz w:val="20"/>
                <w:szCs w:val="20"/>
              </w:rPr>
            </w:pPr>
          </w:p>
        </w:tc>
        <w:tc>
          <w:tcPr>
            <w:tcW w:w="5" w:type="pct"/>
            <w:vAlign w:val="center"/>
            <w:hideMark/>
          </w:tcPr>
          <w:p w14:paraId="45611E7C" w14:textId="77777777" w:rsidR="00000000" w:rsidRDefault="00405D16">
            <w:pPr>
              <w:spacing w:after="100"/>
              <w:rPr>
                <w:rFonts w:eastAsia="Times New Roman"/>
                <w:sz w:val="20"/>
                <w:szCs w:val="20"/>
              </w:rPr>
            </w:pPr>
          </w:p>
        </w:tc>
        <w:tc>
          <w:tcPr>
            <w:tcW w:w="50" w:type="pct"/>
            <w:vAlign w:val="center"/>
            <w:hideMark/>
          </w:tcPr>
          <w:p w14:paraId="39DB612D" w14:textId="77777777" w:rsidR="00000000" w:rsidRDefault="00405D16">
            <w:pPr>
              <w:spacing w:after="100"/>
              <w:rPr>
                <w:rFonts w:eastAsia="Times New Roman"/>
                <w:sz w:val="20"/>
                <w:szCs w:val="20"/>
              </w:rPr>
            </w:pPr>
          </w:p>
        </w:tc>
        <w:tc>
          <w:tcPr>
            <w:tcW w:w="464" w:type="pct"/>
            <w:vAlign w:val="center"/>
            <w:hideMark/>
          </w:tcPr>
          <w:p w14:paraId="302BC4EE" w14:textId="77777777" w:rsidR="00000000" w:rsidRDefault="00405D16">
            <w:pPr>
              <w:spacing w:after="100"/>
              <w:rPr>
                <w:rFonts w:eastAsia="Times New Roman"/>
                <w:sz w:val="20"/>
                <w:szCs w:val="20"/>
              </w:rPr>
            </w:pPr>
          </w:p>
        </w:tc>
        <w:tc>
          <w:tcPr>
            <w:tcW w:w="5" w:type="pct"/>
            <w:vAlign w:val="center"/>
            <w:hideMark/>
          </w:tcPr>
          <w:p w14:paraId="1A2EA02D" w14:textId="77777777" w:rsidR="00000000" w:rsidRDefault="00405D16">
            <w:pPr>
              <w:spacing w:after="100"/>
              <w:rPr>
                <w:rFonts w:eastAsia="Times New Roman"/>
                <w:sz w:val="20"/>
                <w:szCs w:val="20"/>
              </w:rPr>
            </w:pPr>
          </w:p>
        </w:tc>
        <w:tc>
          <w:tcPr>
            <w:tcW w:w="5" w:type="pct"/>
            <w:vAlign w:val="center"/>
            <w:hideMark/>
          </w:tcPr>
          <w:p w14:paraId="09C39D4B" w14:textId="77777777" w:rsidR="00000000" w:rsidRDefault="00405D16">
            <w:pPr>
              <w:spacing w:after="100"/>
              <w:rPr>
                <w:rFonts w:eastAsia="Times New Roman"/>
                <w:sz w:val="20"/>
                <w:szCs w:val="20"/>
              </w:rPr>
            </w:pPr>
          </w:p>
        </w:tc>
        <w:tc>
          <w:tcPr>
            <w:tcW w:w="26" w:type="pct"/>
            <w:vAlign w:val="center"/>
            <w:hideMark/>
          </w:tcPr>
          <w:p w14:paraId="3075E98A" w14:textId="77777777" w:rsidR="00000000" w:rsidRDefault="00405D16">
            <w:pPr>
              <w:spacing w:after="100"/>
              <w:rPr>
                <w:rFonts w:eastAsia="Times New Roman"/>
                <w:sz w:val="20"/>
                <w:szCs w:val="20"/>
              </w:rPr>
            </w:pPr>
          </w:p>
        </w:tc>
        <w:tc>
          <w:tcPr>
            <w:tcW w:w="5" w:type="pct"/>
            <w:vAlign w:val="center"/>
            <w:hideMark/>
          </w:tcPr>
          <w:p w14:paraId="368D1BD0" w14:textId="77777777" w:rsidR="00000000" w:rsidRDefault="00405D16">
            <w:pPr>
              <w:spacing w:after="100"/>
              <w:rPr>
                <w:rFonts w:eastAsia="Times New Roman"/>
                <w:sz w:val="20"/>
                <w:szCs w:val="20"/>
              </w:rPr>
            </w:pPr>
          </w:p>
        </w:tc>
        <w:tc>
          <w:tcPr>
            <w:tcW w:w="50" w:type="pct"/>
            <w:vAlign w:val="center"/>
            <w:hideMark/>
          </w:tcPr>
          <w:p w14:paraId="5E70DBBE" w14:textId="77777777" w:rsidR="00000000" w:rsidRDefault="00405D16">
            <w:pPr>
              <w:spacing w:after="100"/>
              <w:rPr>
                <w:rFonts w:eastAsia="Times New Roman"/>
                <w:sz w:val="20"/>
                <w:szCs w:val="20"/>
              </w:rPr>
            </w:pPr>
          </w:p>
        </w:tc>
        <w:tc>
          <w:tcPr>
            <w:tcW w:w="464" w:type="pct"/>
            <w:vAlign w:val="center"/>
            <w:hideMark/>
          </w:tcPr>
          <w:p w14:paraId="2AAAF86B" w14:textId="77777777" w:rsidR="00000000" w:rsidRDefault="00405D16">
            <w:pPr>
              <w:spacing w:after="100"/>
              <w:rPr>
                <w:rFonts w:eastAsia="Times New Roman"/>
                <w:sz w:val="20"/>
                <w:szCs w:val="20"/>
              </w:rPr>
            </w:pPr>
          </w:p>
        </w:tc>
        <w:tc>
          <w:tcPr>
            <w:tcW w:w="5" w:type="pct"/>
            <w:vAlign w:val="center"/>
            <w:hideMark/>
          </w:tcPr>
          <w:p w14:paraId="7C08E607" w14:textId="77777777" w:rsidR="00000000" w:rsidRDefault="00405D16">
            <w:pPr>
              <w:spacing w:after="100"/>
              <w:rPr>
                <w:rFonts w:eastAsia="Times New Roman"/>
                <w:sz w:val="20"/>
                <w:szCs w:val="20"/>
              </w:rPr>
            </w:pPr>
          </w:p>
        </w:tc>
        <w:tc>
          <w:tcPr>
            <w:tcW w:w="5" w:type="pct"/>
            <w:vAlign w:val="center"/>
            <w:hideMark/>
          </w:tcPr>
          <w:p w14:paraId="7C6D8D7B" w14:textId="77777777" w:rsidR="00000000" w:rsidRDefault="00405D16">
            <w:pPr>
              <w:spacing w:after="100"/>
              <w:rPr>
                <w:rFonts w:eastAsia="Times New Roman"/>
                <w:sz w:val="20"/>
                <w:szCs w:val="20"/>
              </w:rPr>
            </w:pPr>
          </w:p>
        </w:tc>
        <w:tc>
          <w:tcPr>
            <w:tcW w:w="26" w:type="pct"/>
            <w:vAlign w:val="center"/>
            <w:hideMark/>
          </w:tcPr>
          <w:p w14:paraId="11D99A1A" w14:textId="77777777" w:rsidR="00000000" w:rsidRDefault="00405D16">
            <w:pPr>
              <w:spacing w:after="100"/>
              <w:rPr>
                <w:rFonts w:eastAsia="Times New Roman"/>
                <w:sz w:val="20"/>
                <w:szCs w:val="20"/>
              </w:rPr>
            </w:pPr>
          </w:p>
        </w:tc>
        <w:tc>
          <w:tcPr>
            <w:tcW w:w="5" w:type="pct"/>
            <w:vAlign w:val="center"/>
            <w:hideMark/>
          </w:tcPr>
          <w:p w14:paraId="63F99901" w14:textId="77777777" w:rsidR="00000000" w:rsidRDefault="00405D16">
            <w:pPr>
              <w:spacing w:after="100"/>
              <w:rPr>
                <w:rFonts w:eastAsia="Times New Roman"/>
                <w:sz w:val="20"/>
                <w:szCs w:val="20"/>
              </w:rPr>
            </w:pPr>
          </w:p>
        </w:tc>
        <w:tc>
          <w:tcPr>
            <w:tcW w:w="50" w:type="pct"/>
            <w:vAlign w:val="center"/>
            <w:hideMark/>
          </w:tcPr>
          <w:p w14:paraId="796FB917" w14:textId="77777777" w:rsidR="00000000" w:rsidRDefault="00405D16">
            <w:pPr>
              <w:spacing w:after="100"/>
              <w:rPr>
                <w:rFonts w:eastAsia="Times New Roman"/>
                <w:sz w:val="20"/>
                <w:szCs w:val="20"/>
              </w:rPr>
            </w:pPr>
          </w:p>
        </w:tc>
        <w:tc>
          <w:tcPr>
            <w:tcW w:w="464" w:type="pct"/>
            <w:vAlign w:val="center"/>
            <w:hideMark/>
          </w:tcPr>
          <w:p w14:paraId="4E1C9F9D" w14:textId="77777777" w:rsidR="00000000" w:rsidRDefault="00405D16">
            <w:pPr>
              <w:spacing w:after="100"/>
              <w:rPr>
                <w:rFonts w:eastAsia="Times New Roman"/>
                <w:sz w:val="20"/>
                <w:szCs w:val="20"/>
              </w:rPr>
            </w:pPr>
          </w:p>
        </w:tc>
        <w:tc>
          <w:tcPr>
            <w:tcW w:w="5" w:type="pct"/>
            <w:vAlign w:val="center"/>
            <w:hideMark/>
          </w:tcPr>
          <w:p w14:paraId="3B243868" w14:textId="77777777" w:rsidR="00000000" w:rsidRDefault="00405D16">
            <w:pPr>
              <w:spacing w:after="100"/>
              <w:rPr>
                <w:rFonts w:eastAsia="Times New Roman"/>
                <w:sz w:val="20"/>
                <w:szCs w:val="20"/>
              </w:rPr>
            </w:pPr>
          </w:p>
        </w:tc>
        <w:tc>
          <w:tcPr>
            <w:tcW w:w="5" w:type="pct"/>
            <w:vAlign w:val="center"/>
            <w:hideMark/>
          </w:tcPr>
          <w:p w14:paraId="7794B69C" w14:textId="77777777" w:rsidR="00000000" w:rsidRDefault="00405D16">
            <w:pPr>
              <w:spacing w:after="100"/>
              <w:rPr>
                <w:rFonts w:eastAsia="Times New Roman"/>
                <w:sz w:val="20"/>
                <w:szCs w:val="20"/>
              </w:rPr>
            </w:pPr>
          </w:p>
        </w:tc>
        <w:tc>
          <w:tcPr>
            <w:tcW w:w="26" w:type="pct"/>
            <w:vAlign w:val="center"/>
            <w:hideMark/>
          </w:tcPr>
          <w:p w14:paraId="1F2E6DCB" w14:textId="77777777" w:rsidR="00000000" w:rsidRDefault="00405D16">
            <w:pPr>
              <w:spacing w:after="100"/>
              <w:rPr>
                <w:rFonts w:eastAsia="Times New Roman"/>
                <w:sz w:val="20"/>
                <w:szCs w:val="20"/>
              </w:rPr>
            </w:pPr>
          </w:p>
        </w:tc>
        <w:tc>
          <w:tcPr>
            <w:tcW w:w="5" w:type="pct"/>
            <w:vAlign w:val="center"/>
            <w:hideMark/>
          </w:tcPr>
          <w:p w14:paraId="5336C69B" w14:textId="77777777" w:rsidR="00000000" w:rsidRDefault="00405D16">
            <w:pPr>
              <w:spacing w:after="100"/>
              <w:rPr>
                <w:rFonts w:eastAsia="Times New Roman"/>
                <w:sz w:val="20"/>
                <w:szCs w:val="20"/>
              </w:rPr>
            </w:pPr>
          </w:p>
        </w:tc>
        <w:tc>
          <w:tcPr>
            <w:tcW w:w="50" w:type="pct"/>
            <w:vAlign w:val="center"/>
            <w:hideMark/>
          </w:tcPr>
          <w:p w14:paraId="776E1B8C" w14:textId="77777777" w:rsidR="00000000" w:rsidRDefault="00405D16">
            <w:pPr>
              <w:spacing w:after="100"/>
              <w:rPr>
                <w:rFonts w:eastAsia="Times New Roman"/>
                <w:sz w:val="20"/>
                <w:szCs w:val="20"/>
              </w:rPr>
            </w:pPr>
          </w:p>
        </w:tc>
        <w:tc>
          <w:tcPr>
            <w:tcW w:w="435" w:type="pct"/>
            <w:vAlign w:val="center"/>
            <w:hideMark/>
          </w:tcPr>
          <w:p w14:paraId="5623B1A2" w14:textId="77777777" w:rsidR="00000000" w:rsidRDefault="00405D16">
            <w:pPr>
              <w:spacing w:after="100"/>
              <w:rPr>
                <w:rFonts w:eastAsia="Times New Roman"/>
                <w:sz w:val="20"/>
                <w:szCs w:val="20"/>
              </w:rPr>
            </w:pPr>
          </w:p>
        </w:tc>
        <w:tc>
          <w:tcPr>
            <w:tcW w:w="5" w:type="pct"/>
            <w:vAlign w:val="center"/>
            <w:hideMark/>
          </w:tcPr>
          <w:p w14:paraId="326283B8" w14:textId="77777777" w:rsidR="00000000" w:rsidRDefault="00405D16">
            <w:pPr>
              <w:spacing w:after="100"/>
              <w:rPr>
                <w:rFonts w:eastAsia="Times New Roman"/>
                <w:sz w:val="20"/>
                <w:szCs w:val="20"/>
              </w:rPr>
            </w:pPr>
          </w:p>
        </w:tc>
      </w:tr>
      <w:tr w:rsidR="00000000" w14:paraId="6FC85FD3" w14:textId="77777777">
        <w:trPr>
          <w:divId w:val="1714234408"/>
        </w:trPr>
        <w:tc>
          <w:tcPr>
            <w:tcW w:w="0" w:type="auto"/>
            <w:gridSpan w:val="3"/>
            <w:tcMar>
              <w:top w:w="0" w:type="dxa"/>
              <w:left w:w="20" w:type="dxa"/>
              <w:bottom w:w="0" w:type="dxa"/>
              <w:right w:w="20" w:type="dxa"/>
            </w:tcMar>
            <w:vAlign w:val="center"/>
            <w:hideMark/>
          </w:tcPr>
          <w:p w14:paraId="0104F5B5"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652C3AC" w14:textId="77777777" w:rsidR="00000000" w:rsidRDefault="00405D16">
            <w:pPr>
              <w:spacing w:after="100"/>
              <w:rPr>
                <w:rFonts w:eastAsia="Times New Roman"/>
                <w:sz w:val="20"/>
                <w:szCs w:val="20"/>
              </w:rPr>
            </w:pPr>
          </w:p>
        </w:tc>
        <w:tc>
          <w:tcPr>
            <w:tcW w:w="0" w:type="auto"/>
            <w:gridSpan w:val="39"/>
            <w:tcMar>
              <w:top w:w="30" w:type="dxa"/>
              <w:left w:w="20" w:type="dxa"/>
              <w:bottom w:w="30" w:type="dxa"/>
              <w:right w:w="20" w:type="dxa"/>
            </w:tcMar>
            <w:vAlign w:val="bottom"/>
            <w:hideMark/>
          </w:tcPr>
          <w:p w14:paraId="202969B1" w14:textId="77777777" w:rsidR="00000000" w:rsidRDefault="00405D16">
            <w:pPr>
              <w:spacing w:after="100"/>
              <w:jc w:val="center"/>
              <w:rPr>
                <w:rFonts w:eastAsia="Times New Roman"/>
              </w:rPr>
            </w:pPr>
            <w:r>
              <w:rPr>
                <w:rFonts w:eastAsia="Times New Roman"/>
                <w:b/>
                <w:bCs/>
                <w:color w:val="000000"/>
                <w:sz w:val="16"/>
                <w:szCs w:val="16"/>
              </w:rPr>
              <w:t>Nine Months Ended September 30, 2021</w:t>
            </w:r>
          </w:p>
        </w:tc>
      </w:tr>
      <w:tr w:rsidR="00000000" w14:paraId="7337CC0B" w14:textId="77777777">
        <w:trPr>
          <w:divId w:val="1714234408"/>
        </w:trPr>
        <w:tc>
          <w:tcPr>
            <w:tcW w:w="0" w:type="auto"/>
            <w:gridSpan w:val="3"/>
            <w:tcMar>
              <w:top w:w="0" w:type="dxa"/>
              <w:left w:w="20" w:type="dxa"/>
              <w:bottom w:w="0" w:type="dxa"/>
              <w:right w:w="20" w:type="dxa"/>
            </w:tcMar>
            <w:vAlign w:val="center"/>
            <w:hideMark/>
          </w:tcPr>
          <w:p w14:paraId="75110827" w14:textId="77777777" w:rsidR="00000000" w:rsidRDefault="00405D1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972AC97" w14:textId="77777777" w:rsidR="00000000" w:rsidRDefault="00405D16">
            <w:pPr>
              <w:spacing w:after="100"/>
              <w:rPr>
                <w:rFonts w:eastAsia="Times New Roman"/>
                <w:sz w:val="20"/>
                <w:szCs w:val="20"/>
              </w:rPr>
            </w:pPr>
          </w:p>
        </w:tc>
        <w:tc>
          <w:tcPr>
            <w:tcW w:w="0" w:type="auto"/>
            <w:gridSpan w:val="33"/>
            <w:tcBorders>
              <w:top w:val="single" w:sz="8" w:space="0" w:color="000000"/>
            </w:tcBorders>
            <w:tcMar>
              <w:top w:w="30" w:type="dxa"/>
              <w:left w:w="20" w:type="dxa"/>
              <w:bottom w:w="30" w:type="dxa"/>
              <w:right w:w="20" w:type="dxa"/>
            </w:tcMar>
            <w:vAlign w:val="bottom"/>
            <w:hideMark/>
          </w:tcPr>
          <w:p w14:paraId="2F53F067" w14:textId="77777777" w:rsidR="00000000" w:rsidRDefault="00405D16">
            <w:pPr>
              <w:spacing w:after="100"/>
              <w:jc w:val="center"/>
              <w:rPr>
                <w:rFonts w:eastAsia="Times New Roman"/>
              </w:rPr>
            </w:pPr>
            <w:r>
              <w:rPr>
                <w:rFonts w:eastAsia="Times New Roman"/>
                <w:b/>
                <w:bCs/>
                <w:color w:val="000000"/>
                <w:sz w:val="16"/>
                <w:szCs w:val="16"/>
              </w:rPr>
              <w:t>Net Interest Income</w:t>
            </w:r>
          </w:p>
        </w:tc>
        <w:tc>
          <w:tcPr>
            <w:tcW w:w="0" w:type="auto"/>
            <w:gridSpan w:val="3"/>
            <w:tcBorders>
              <w:top w:val="single" w:sz="8" w:space="0" w:color="000000"/>
            </w:tcBorders>
            <w:tcMar>
              <w:top w:w="0" w:type="dxa"/>
              <w:left w:w="20" w:type="dxa"/>
              <w:bottom w:w="0" w:type="dxa"/>
              <w:right w:w="20" w:type="dxa"/>
            </w:tcMar>
            <w:vAlign w:val="center"/>
            <w:hideMark/>
          </w:tcPr>
          <w:p w14:paraId="423A6733"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595E9D1" w14:textId="77777777" w:rsidR="00000000" w:rsidRDefault="00405D16">
            <w:pPr>
              <w:spacing w:after="100"/>
              <w:jc w:val="center"/>
              <w:rPr>
                <w:rFonts w:eastAsia="Times New Roman"/>
              </w:rPr>
            </w:pPr>
            <w:r>
              <w:rPr>
                <w:rFonts w:eastAsia="Times New Roman"/>
                <w:b/>
                <w:bCs/>
                <w:color w:val="000000"/>
                <w:sz w:val="16"/>
                <w:szCs w:val="16"/>
              </w:rPr>
              <w:t>Non-Interest Income</w:t>
            </w:r>
          </w:p>
        </w:tc>
      </w:tr>
      <w:tr w:rsidR="00000000" w14:paraId="49E57066" w14:textId="77777777">
        <w:trPr>
          <w:divId w:val="1714234408"/>
        </w:trPr>
        <w:tc>
          <w:tcPr>
            <w:tcW w:w="0" w:type="auto"/>
            <w:gridSpan w:val="3"/>
            <w:tcMar>
              <w:top w:w="30" w:type="dxa"/>
              <w:left w:w="20" w:type="dxa"/>
              <w:bottom w:w="30" w:type="dxa"/>
              <w:right w:w="20" w:type="dxa"/>
            </w:tcMar>
            <w:vAlign w:val="bottom"/>
            <w:hideMark/>
          </w:tcPr>
          <w:p w14:paraId="3E9BA906"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74B01BBA"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3249287" w14:textId="77777777" w:rsidR="00000000" w:rsidRDefault="00405D16">
            <w:pPr>
              <w:spacing w:after="100"/>
              <w:jc w:val="center"/>
              <w:rPr>
                <w:rFonts w:eastAsia="Times New Roman"/>
              </w:rPr>
            </w:pPr>
            <w:r>
              <w:rPr>
                <w:rFonts w:eastAsia="Times New Roman"/>
                <w:b/>
                <w:bCs/>
                <w:color w:val="000000"/>
                <w:sz w:val="16"/>
                <w:szCs w:val="16"/>
              </w:rPr>
              <w:t>Investment Securities</w:t>
            </w:r>
          </w:p>
        </w:tc>
        <w:tc>
          <w:tcPr>
            <w:tcW w:w="0" w:type="auto"/>
            <w:gridSpan w:val="3"/>
            <w:tcBorders>
              <w:top w:val="single" w:sz="8" w:space="0" w:color="000000"/>
            </w:tcBorders>
            <w:tcMar>
              <w:top w:w="0" w:type="dxa"/>
              <w:left w:w="20" w:type="dxa"/>
              <w:bottom w:w="0" w:type="dxa"/>
              <w:right w:w="20" w:type="dxa"/>
            </w:tcMar>
            <w:vAlign w:val="center"/>
            <w:hideMark/>
          </w:tcPr>
          <w:p w14:paraId="4D160482"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0B7C34B" w14:textId="77777777" w:rsidR="00000000" w:rsidRDefault="00405D16">
            <w:pPr>
              <w:spacing w:after="100"/>
              <w:jc w:val="center"/>
              <w:rPr>
                <w:rFonts w:eastAsia="Times New Roman"/>
              </w:rPr>
            </w:pPr>
            <w:r>
              <w:rPr>
                <w:rFonts w:eastAsia="Times New Roman"/>
                <w:b/>
                <w:bCs/>
                <w:color w:val="000000"/>
                <w:sz w:val="16"/>
                <w:szCs w:val="16"/>
              </w:rPr>
              <w:t>Loans, Including Loans Held for Sale</w:t>
            </w:r>
          </w:p>
        </w:tc>
        <w:tc>
          <w:tcPr>
            <w:tcW w:w="0" w:type="auto"/>
            <w:gridSpan w:val="3"/>
            <w:tcBorders>
              <w:top w:val="single" w:sz="8" w:space="0" w:color="000000"/>
            </w:tcBorders>
            <w:tcMar>
              <w:top w:w="0" w:type="dxa"/>
              <w:left w:w="20" w:type="dxa"/>
              <w:bottom w:w="0" w:type="dxa"/>
              <w:right w:w="20" w:type="dxa"/>
            </w:tcMar>
            <w:vAlign w:val="center"/>
            <w:hideMark/>
          </w:tcPr>
          <w:p w14:paraId="04CC0CCF"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3141EA4" w14:textId="77777777" w:rsidR="00000000" w:rsidRDefault="00405D16">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14:paraId="55E85151"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C84852A" w14:textId="77777777" w:rsidR="00000000" w:rsidRDefault="00405D16">
            <w:pPr>
              <w:spacing w:after="100"/>
              <w:jc w:val="center"/>
              <w:rPr>
                <w:rFonts w:eastAsia="Times New Roman"/>
              </w:rPr>
            </w:pPr>
            <w:r>
              <w:rPr>
                <w:rFonts w:eastAsia="Times New Roman"/>
                <w:b/>
                <w:bCs/>
                <w:color w:val="000000"/>
                <w:sz w:val="16"/>
                <w:szCs w:val="16"/>
              </w:rPr>
              <w:t>Interest-bearing Deposits</w:t>
            </w:r>
          </w:p>
        </w:tc>
        <w:tc>
          <w:tcPr>
            <w:tcW w:w="0" w:type="auto"/>
            <w:gridSpan w:val="3"/>
            <w:tcBorders>
              <w:top w:val="single" w:sz="8" w:space="0" w:color="000000"/>
            </w:tcBorders>
            <w:tcMar>
              <w:top w:w="0" w:type="dxa"/>
              <w:left w:w="20" w:type="dxa"/>
              <w:bottom w:w="0" w:type="dxa"/>
              <w:right w:w="20" w:type="dxa"/>
            </w:tcMar>
            <w:vAlign w:val="center"/>
            <w:hideMark/>
          </w:tcPr>
          <w:p w14:paraId="12F575F3"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DBAAF03" w14:textId="77777777" w:rsidR="00000000" w:rsidRDefault="00405D16">
            <w:pPr>
              <w:spacing w:after="100"/>
              <w:jc w:val="center"/>
              <w:rPr>
                <w:rFonts w:eastAsia="Times New Roman"/>
              </w:rPr>
            </w:pPr>
            <w:r>
              <w:rPr>
                <w:rFonts w:eastAsia="Times New Roman"/>
                <w:b/>
                <w:bCs/>
                <w:color w:val="000000"/>
                <w:sz w:val="16"/>
                <w:szCs w:val="16"/>
              </w:rPr>
              <w:t>Securitized Debt Obligations</w:t>
            </w:r>
          </w:p>
        </w:tc>
        <w:tc>
          <w:tcPr>
            <w:tcW w:w="0" w:type="auto"/>
            <w:gridSpan w:val="3"/>
            <w:tcBorders>
              <w:top w:val="single" w:sz="8" w:space="0" w:color="000000"/>
            </w:tcBorders>
            <w:tcMar>
              <w:top w:w="0" w:type="dxa"/>
              <w:left w:w="20" w:type="dxa"/>
              <w:bottom w:w="0" w:type="dxa"/>
              <w:right w:w="20" w:type="dxa"/>
            </w:tcMar>
            <w:vAlign w:val="center"/>
            <w:hideMark/>
          </w:tcPr>
          <w:p w14:paraId="2DD8E7B9"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53E71C1" w14:textId="77777777" w:rsidR="00000000" w:rsidRDefault="00405D16">
            <w:pPr>
              <w:spacing w:after="100"/>
              <w:jc w:val="center"/>
              <w:rPr>
                <w:rFonts w:eastAsia="Times New Roman"/>
              </w:rPr>
            </w:pPr>
            <w:r>
              <w:rPr>
                <w:rFonts w:eastAsia="Times New Roman"/>
                <w:b/>
                <w:bCs/>
                <w:color w:val="000000"/>
                <w:sz w:val="16"/>
                <w:szCs w:val="16"/>
              </w:rPr>
              <w:t>Senior and Subordinated Notes</w:t>
            </w:r>
          </w:p>
        </w:tc>
        <w:tc>
          <w:tcPr>
            <w:tcW w:w="0" w:type="auto"/>
            <w:gridSpan w:val="3"/>
            <w:tcMar>
              <w:top w:w="0" w:type="dxa"/>
              <w:left w:w="20" w:type="dxa"/>
              <w:bottom w:w="0" w:type="dxa"/>
              <w:right w:w="20" w:type="dxa"/>
            </w:tcMar>
            <w:vAlign w:val="center"/>
            <w:hideMark/>
          </w:tcPr>
          <w:p w14:paraId="779EF93D"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8CC8A61" w14:textId="77777777" w:rsidR="00000000" w:rsidRDefault="00405D16">
            <w:pPr>
              <w:spacing w:after="100"/>
              <w:jc w:val="center"/>
              <w:rPr>
                <w:rFonts w:eastAsia="Times New Roman"/>
              </w:rPr>
            </w:pPr>
            <w:r>
              <w:rPr>
                <w:rFonts w:eastAsia="Times New Roman"/>
                <w:b/>
                <w:bCs/>
                <w:color w:val="000000"/>
                <w:sz w:val="16"/>
                <w:szCs w:val="16"/>
              </w:rPr>
              <w:t>Other</w:t>
            </w:r>
          </w:p>
        </w:tc>
      </w:tr>
      <w:tr w:rsidR="00405D16" w14:paraId="176424B0" w14:textId="77777777">
        <w:trPr>
          <w:divId w:val="171423440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215C5A3" w14:textId="77777777" w:rsidR="00000000" w:rsidRDefault="00405D16">
            <w:pPr>
              <w:spacing w:after="100"/>
              <w:divId w:val="405884837"/>
              <w:rPr>
                <w:rFonts w:eastAsia="Times New Roman"/>
              </w:rPr>
            </w:pPr>
            <w:r>
              <w:rPr>
                <w:rFonts w:eastAsia="Times New Roman"/>
                <w:b/>
                <w:bCs/>
                <w:color w:val="000000"/>
                <w:sz w:val="18"/>
                <w:szCs w:val="18"/>
              </w:rPr>
              <w:t>Total amounts presented in our consolidated statements of income</w:t>
            </w:r>
          </w:p>
        </w:tc>
        <w:tc>
          <w:tcPr>
            <w:tcW w:w="0" w:type="auto"/>
            <w:gridSpan w:val="3"/>
            <w:shd w:val="clear" w:color="auto" w:fill="CCEEFF"/>
            <w:tcMar>
              <w:top w:w="0" w:type="dxa"/>
              <w:left w:w="20" w:type="dxa"/>
              <w:bottom w:w="0" w:type="dxa"/>
              <w:right w:w="20" w:type="dxa"/>
            </w:tcMar>
            <w:vAlign w:val="center"/>
            <w:hideMark/>
          </w:tcPr>
          <w:p w14:paraId="184BA3C2"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8D5FD08"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458E530" w14:textId="77777777" w:rsidR="00000000" w:rsidRDefault="00405D16">
            <w:pPr>
              <w:spacing w:after="100"/>
              <w:jc w:val="right"/>
              <w:rPr>
                <w:rFonts w:eastAsia="Times New Roman"/>
              </w:rPr>
            </w:pPr>
            <w:r>
              <w:rPr>
                <w:rFonts w:eastAsia="Times New Roman"/>
                <w:b/>
                <w:bCs/>
                <w:color w:val="000000"/>
                <w:sz w:val="18"/>
                <w:szCs w:val="18"/>
              </w:rPr>
              <w:t>1,078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5D2EA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D31900"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3730386"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E5ADC28" w14:textId="77777777" w:rsidR="00000000" w:rsidRDefault="00405D16">
            <w:pPr>
              <w:spacing w:after="100"/>
              <w:jc w:val="right"/>
              <w:rPr>
                <w:rFonts w:eastAsia="Times New Roman"/>
              </w:rPr>
            </w:pPr>
            <w:r>
              <w:rPr>
                <w:rFonts w:eastAsia="Times New Roman"/>
                <w:b/>
                <w:bCs/>
                <w:color w:val="000000"/>
                <w:sz w:val="18"/>
                <w:szCs w:val="18"/>
              </w:rPr>
              <w:t>17,812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BCD86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C5BFCE"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65C0F03"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4B8C360" w14:textId="77777777" w:rsidR="00000000" w:rsidRDefault="00405D16">
            <w:pPr>
              <w:spacing w:after="100"/>
              <w:jc w:val="right"/>
              <w:rPr>
                <w:rFonts w:eastAsia="Times New Roman"/>
              </w:rPr>
            </w:pPr>
            <w:r>
              <w:rPr>
                <w:rFonts w:eastAsia="Times New Roman"/>
                <w:b/>
                <w:bCs/>
                <w:color w:val="000000"/>
                <w:sz w:val="18"/>
                <w:szCs w:val="18"/>
              </w:rPr>
              <w:t>48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2C192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CEFBB6"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49B5493"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60874FB" w14:textId="77777777" w:rsidR="00000000" w:rsidRDefault="00405D16">
            <w:pPr>
              <w:spacing w:after="100"/>
              <w:jc w:val="right"/>
              <w:rPr>
                <w:rFonts w:eastAsia="Times New Roman"/>
              </w:rPr>
            </w:pPr>
            <w:r>
              <w:rPr>
                <w:rFonts w:eastAsia="Times New Roman"/>
                <w:b/>
                <w:bCs/>
                <w:color w:val="000000"/>
                <w:sz w:val="18"/>
                <w:szCs w:val="18"/>
              </w:rPr>
              <w:t>(734)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7C720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2FAD99"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2237064"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49B93CF" w14:textId="77777777" w:rsidR="00000000" w:rsidRDefault="00405D16">
            <w:pPr>
              <w:spacing w:after="100"/>
              <w:jc w:val="right"/>
              <w:rPr>
                <w:rFonts w:eastAsia="Times New Roman"/>
              </w:rPr>
            </w:pPr>
            <w:r>
              <w:rPr>
                <w:rFonts w:eastAsia="Times New Roman"/>
                <w:b/>
                <w:bCs/>
                <w:color w:val="000000"/>
                <w:sz w:val="18"/>
                <w:szCs w:val="18"/>
              </w:rPr>
              <w:t>(89)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8219C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22EBBD"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FBA7758"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F8141F7" w14:textId="77777777" w:rsidR="00000000" w:rsidRDefault="00405D16">
            <w:pPr>
              <w:spacing w:after="100"/>
              <w:jc w:val="right"/>
              <w:rPr>
                <w:rFonts w:eastAsia="Times New Roman"/>
              </w:rPr>
            </w:pPr>
            <w:r>
              <w:rPr>
                <w:rFonts w:eastAsia="Times New Roman"/>
                <w:b/>
                <w:bCs/>
                <w:color w:val="000000"/>
                <w:sz w:val="18"/>
                <w:szCs w:val="18"/>
              </w:rPr>
              <w:t>(367)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CC4FC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1DAE8E"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EBE6404"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90FAC9E" w14:textId="77777777" w:rsidR="00000000" w:rsidRDefault="00405D16">
            <w:pPr>
              <w:spacing w:after="100"/>
              <w:jc w:val="right"/>
              <w:rPr>
                <w:rFonts w:eastAsia="Times New Roman"/>
              </w:rPr>
            </w:pPr>
            <w:r>
              <w:rPr>
                <w:rFonts w:eastAsia="Times New Roman"/>
                <w:b/>
                <w:bCs/>
                <w:color w:val="000000"/>
                <w:sz w:val="18"/>
                <w:szCs w:val="18"/>
              </w:rPr>
              <w:t>592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5E07F6" w14:textId="77777777" w:rsidR="00000000" w:rsidRDefault="00405D16">
            <w:pPr>
              <w:spacing w:after="100"/>
              <w:jc w:val="right"/>
              <w:rPr>
                <w:rFonts w:eastAsia="Times New Roman"/>
              </w:rPr>
            </w:pPr>
          </w:p>
        </w:tc>
      </w:tr>
      <w:tr w:rsidR="00000000" w14:paraId="75E0EE08" w14:textId="77777777">
        <w:trPr>
          <w:divId w:val="1714234408"/>
        </w:trPr>
        <w:tc>
          <w:tcPr>
            <w:tcW w:w="0" w:type="auto"/>
            <w:gridSpan w:val="3"/>
            <w:shd w:val="clear" w:color="auto" w:fill="FFFFFF"/>
            <w:tcMar>
              <w:top w:w="30" w:type="dxa"/>
              <w:left w:w="20" w:type="dxa"/>
              <w:bottom w:w="30" w:type="dxa"/>
              <w:right w:w="20" w:type="dxa"/>
            </w:tcMar>
            <w:vAlign w:val="center"/>
            <w:hideMark/>
          </w:tcPr>
          <w:p w14:paraId="77E02FE1" w14:textId="77777777" w:rsidR="00000000" w:rsidRDefault="00405D16">
            <w:pPr>
              <w:spacing w:after="100"/>
              <w:divId w:val="2072800293"/>
              <w:rPr>
                <w:rFonts w:eastAsia="Times New Roman"/>
              </w:rPr>
            </w:pPr>
            <w:r>
              <w:rPr>
                <w:rFonts w:eastAsia="Times New Roman"/>
                <w:b/>
                <w:bCs/>
                <w:color w:val="000000"/>
                <w:sz w:val="18"/>
                <w:szCs w:val="18"/>
              </w:rPr>
              <w:t>Fair value hedging relationships:</w:t>
            </w:r>
          </w:p>
        </w:tc>
        <w:tc>
          <w:tcPr>
            <w:tcW w:w="0" w:type="auto"/>
            <w:gridSpan w:val="3"/>
            <w:shd w:val="clear" w:color="auto" w:fill="FFFFFF"/>
            <w:tcMar>
              <w:top w:w="0" w:type="dxa"/>
              <w:left w:w="20" w:type="dxa"/>
              <w:bottom w:w="0" w:type="dxa"/>
              <w:right w:w="20" w:type="dxa"/>
            </w:tcMar>
            <w:vAlign w:val="center"/>
            <w:hideMark/>
          </w:tcPr>
          <w:p w14:paraId="6E99B090"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177ED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69178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B87CB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948CA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E4FA9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6F8DA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9B704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30326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09AF7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9D7A0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5FBD9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F9B35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619D6C" w14:textId="77777777" w:rsidR="00000000" w:rsidRDefault="00405D16">
            <w:pPr>
              <w:spacing w:after="100"/>
              <w:rPr>
                <w:rFonts w:eastAsia="Times New Roman"/>
                <w:sz w:val="20"/>
                <w:szCs w:val="20"/>
              </w:rPr>
            </w:pPr>
          </w:p>
        </w:tc>
      </w:tr>
      <w:tr w:rsidR="00000000" w14:paraId="34884CDD" w14:textId="77777777">
        <w:trPr>
          <w:divId w:val="1714234408"/>
        </w:trPr>
        <w:tc>
          <w:tcPr>
            <w:tcW w:w="0" w:type="auto"/>
            <w:gridSpan w:val="3"/>
            <w:shd w:val="clear" w:color="auto" w:fill="CCEEFF"/>
            <w:tcMar>
              <w:top w:w="30" w:type="dxa"/>
              <w:left w:w="20" w:type="dxa"/>
              <w:bottom w:w="30" w:type="dxa"/>
              <w:right w:w="20" w:type="dxa"/>
            </w:tcMar>
            <w:vAlign w:val="center"/>
            <w:hideMark/>
          </w:tcPr>
          <w:p w14:paraId="511892C8" w14:textId="77777777" w:rsidR="00000000" w:rsidRDefault="00405D16">
            <w:pPr>
              <w:spacing w:after="100"/>
              <w:rPr>
                <w:rFonts w:eastAsia="Times New Roman"/>
              </w:rPr>
            </w:pPr>
            <w:r>
              <w:rPr>
                <w:rFonts w:eastAsia="Times New Roman"/>
                <w:color w:val="000000"/>
                <w:sz w:val="18"/>
                <w:szCs w:val="18"/>
              </w:rPr>
              <w:t>Interest rate and foreign exchange contracts:</w:t>
            </w:r>
          </w:p>
        </w:tc>
        <w:tc>
          <w:tcPr>
            <w:tcW w:w="0" w:type="auto"/>
            <w:gridSpan w:val="3"/>
            <w:shd w:val="clear" w:color="auto" w:fill="CCEEFF"/>
            <w:tcMar>
              <w:top w:w="0" w:type="dxa"/>
              <w:left w:w="20" w:type="dxa"/>
              <w:bottom w:w="0" w:type="dxa"/>
              <w:right w:w="20" w:type="dxa"/>
            </w:tcMar>
            <w:vAlign w:val="center"/>
            <w:hideMark/>
          </w:tcPr>
          <w:p w14:paraId="36C3E663"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6A34B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76092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4A1CD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41781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A8DA3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C8D50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A19EA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51159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B6D57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272CB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EC1C9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117CB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EB14C2" w14:textId="77777777" w:rsidR="00000000" w:rsidRDefault="00405D16">
            <w:pPr>
              <w:spacing w:after="100"/>
              <w:rPr>
                <w:rFonts w:eastAsia="Times New Roman"/>
                <w:sz w:val="20"/>
                <w:szCs w:val="20"/>
              </w:rPr>
            </w:pPr>
          </w:p>
        </w:tc>
      </w:tr>
      <w:tr w:rsidR="00405D16" w14:paraId="5DE6264C" w14:textId="77777777">
        <w:trPr>
          <w:divId w:val="1714234408"/>
        </w:trPr>
        <w:tc>
          <w:tcPr>
            <w:tcW w:w="0" w:type="auto"/>
            <w:gridSpan w:val="3"/>
            <w:shd w:val="clear" w:color="auto" w:fill="FFFFFF"/>
            <w:tcMar>
              <w:top w:w="30" w:type="dxa"/>
              <w:left w:w="245" w:type="dxa"/>
              <w:bottom w:w="30" w:type="dxa"/>
              <w:right w:w="20" w:type="dxa"/>
            </w:tcMar>
            <w:vAlign w:val="center"/>
            <w:hideMark/>
          </w:tcPr>
          <w:p w14:paraId="6BF993D2" w14:textId="77777777" w:rsidR="00000000" w:rsidRDefault="00405D16">
            <w:pPr>
              <w:spacing w:after="100"/>
              <w:rPr>
                <w:rFonts w:eastAsia="Times New Roman"/>
              </w:rPr>
            </w:pPr>
            <w:r>
              <w:rPr>
                <w:rFonts w:eastAsia="Times New Roman"/>
                <w:color w:val="000000"/>
                <w:sz w:val="18"/>
                <w:szCs w:val="18"/>
              </w:rPr>
              <w:t>Interest recognized on derivatives</w:t>
            </w:r>
          </w:p>
        </w:tc>
        <w:tc>
          <w:tcPr>
            <w:tcW w:w="0" w:type="auto"/>
            <w:gridSpan w:val="3"/>
            <w:shd w:val="clear" w:color="auto" w:fill="FFFFFF"/>
            <w:tcMar>
              <w:top w:w="0" w:type="dxa"/>
              <w:left w:w="20" w:type="dxa"/>
              <w:bottom w:w="0" w:type="dxa"/>
              <w:right w:w="20" w:type="dxa"/>
            </w:tcMar>
            <w:vAlign w:val="center"/>
            <w:hideMark/>
          </w:tcPr>
          <w:p w14:paraId="60A8E1D0"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49EBD296"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76FA9F27" w14:textId="77777777" w:rsidR="00000000" w:rsidRDefault="00405D16">
            <w:pPr>
              <w:spacing w:after="100"/>
              <w:jc w:val="right"/>
              <w:rPr>
                <w:rFonts w:eastAsia="Times New Roman"/>
              </w:rPr>
            </w:pPr>
            <w:r>
              <w:rPr>
                <w:rFonts w:eastAsia="Times New Roman"/>
                <w:b/>
                <w:bCs/>
                <w:color w:val="000000"/>
                <w:sz w:val="18"/>
                <w:szCs w:val="18"/>
              </w:rPr>
              <w:t>(75)</w:t>
            </w:r>
          </w:p>
        </w:tc>
        <w:tc>
          <w:tcPr>
            <w:tcW w:w="0" w:type="auto"/>
            <w:shd w:val="clear" w:color="auto" w:fill="FFFFFF"/>
            <w:tcMar>
              <w:top w:w="30" w:type="dxa"/>
              <w:left w:w="0" w:type="dxa"/>
              <w:bottom w:w="30" w:type="dxa"/>
              <w:right w:w="20" w:type="dxa"/>
            </w:tcMar>
            <w:vAlign w:val="bottom"/>
            <w:hideMark/>
          </w:tcPr>
          <w:p w14:paraId="07B8932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F12B7C"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51E0D5D"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3CF3700B"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21E25D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9FA79D"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CEE1671"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14DFAFD1"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468925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C2A391"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809BF9A"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69084D30" w14:textId="77777777" w:rsidR="00000000" w:rsidRDefault="00405D16">
            <w:pPr>
              <w:spacing w:after="100"/>
              <w:jc w:val="right"/>
              <w:rPr>
                <w:rFonts w:eastAsia="Times New Roman"/>
              </w:rPr>
            </w:pPr>
            <w:r>
              <w:rPr>
                <w:rFonts w:eastAsia="Times New Roman"/>
                <w:b/>
                <w:bCs/>
                <w:color w:val="000000"/>
                <w:sz w:val="18"/>
                <w:szCs w:val="18"/>
              </w:rPr>
              <w:t>101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E8606E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C384EF"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5CFCDDE"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5019A007" w14:textId="77777777" w:rsidR="00000000" w:rsidRDefault="00405D16">
            <w:pPr>
              <w:spacing w:after="100"/>
              <w:jc w:val="right"/>
              <w:rPr>
                <w:rFonts w:eastAsia="Times New Roman"/>
              </w:rPr>
            </w:pPr>
            <w:r>
              <w:rPr>
                <w:rFonts w:eastAsia="Times New Roman"/>
                <w:b/>
                <w:bCs/>
                <w:color w:val="000000"/>
                <w:sz w:val="18"/>
                <w:szCs w:val="18"/>
              </w:rPr>
              <w:t>93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21D195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61EE8E"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509902A"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2AEC45D2" w14:textId="77777777" w:rsidR="00000000" w:rsidRDefault="00405D16">
            <w:pPr>
              <w:spacing w:after="100"/>
              <w:jc w:val="right"/>
              <w:rPr>
                <w:rFonts w:eastAsia="Times New Roman"/>
              </w:rPr>
            </w:pPr>
            <w:r>
              <w:rPr>
                <w:rFonts w:eastAsia="Times New Roman"/>
                <w:b/>
                <w:bCs/>
                <w:color w:val="000000"/>
                <w:sz w:val="18"/>
                <w:szCs w:val="18"/>
              </w:rPr>
              <w:t>168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53F435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07F17F"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6C85D24"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7FAA1D45"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C31CF30" w14:textId="77777777" w:rsidR="00000000" w:rsidRDefault="00405D16">
            <w:pPr>
              <w:spacing w:after="100"/>
              <w:jc w:val="right"/>
              <w:rPr>
                <w:rFonts w:eastAsia="Times New Roman"/>
              </w:rPr>
            </w:pPr>
          </w:p>
        </w:tc>
      </w:tr>
      <w:tr w:rsidR="00000000" w14:paraId="741F413F" w14:textId="77777777">
        <w:trPr>
          <w:divId w:val="1714234408"/>
        </w:trPr>
        <w:tc>
          <w:tcPr>
            <w:tcW w:w="0" w:type="auto"/>
            <w:gridSpan w:val="3"/>
            <w:shd w:val="clear" w:color="auto" w:fill="CCEEFF"/>
            <w:tcMar>
              <w:top w:w="30" w:type="dxa"/>
              <w:left w:w="245" w:type="dxa"/>
              <w:bottom w:w="30" w:type="dxa"/>
              <w:right w:w="20" w:type="dxa"/>
            </w:tcMar>
            <w:vAlign w:val="center"/>
            <w:hideMark/>
          </w:tcPr>
          <w:p w14:paraId="615824D9" w14:textId="77777777" w:rsidR="00000000" w:rsidRDefault="00405D16">
            <w:pPr>
              <w:spacing w:after="100"/>
              <w:rPr>
                <w:rFonts w:eastAsia="Times New Roman"/>
              </w:rPr>
            </w:pPr>
            <w:r>
              <w:rPr>
                <w:rFonts w:eastAsia="Times New Roman"/>
                <w:color w:val="000000"/>
                <w:sz w:val="18"/>
                <w:szCs w:val="18"/>
              </w:rPr>
              <w:t>Gains (losses) recognized on derivatives</w:t>
            </w:r>
          </w:p>
        </w:tc>
        <w:tc>
          <w:tcPr>
            <w:tcW w:w="0" w:type="auto"/>
            <w:gridSpan w:val="3"/>
            <w:shd w:val="clear" w:color="auto" w:fill="CCEEFF"/>
            <w:tcMar>
              <w:top w:w="0" w:type="dxa"/>
              <w:left w:w="20" w:type="dxa"/>
              <w:bottom w:w="0" w:type="dxa"/>
              <w:right w:w="20" w:type="dxa"/>
            </w:tcMar>
            <w:vAlign w:val="center"/>
            <w:hideMark/>
          </w:tcPr>
          <w:p w14:paraId="0D8A809C"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574AA1B" w14:textId="77777777" w:rsidR="00000000" w:rsidRDefault="00405D16">
            <w:pPr>
              <w:spacing w:after="100"/>
              <w:jc w:val="right"/>
              <w:rPr>
                <w:rFonts w:eastAsia="Times New Roman"/>
              </w:rPr>
            </w:pPr>
            <w:r>
              <w:rPr>
                <w:rFonts w:eastAsia="Times New Roman"/>
                <w:b/>
                <w:bCs/>
                <w:color w:val="000000"/>
                <w:sz w:val="18"/>
                <w:szCs w:val="18"/>
              </w:rPr>
              <w:t>130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7AE819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AE1EA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DB9BC0"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9F30AD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F397C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124D37"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828F8F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E5031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B44286" w14:textId="77777777" w:rsidR="00000000" w:rsidRDefault="00405D16">
            <w:pPr>
              <w:spacing w:after="100"/>
              <w:jc w:val="right"/>
              <w:rPr>
                <w:rFonts w:eastAsia="Times New Roman"/>
              </w:rPr>
            </w:pPr>
            <w:r>
              <w:rPr>
                <w:rFonts w:eastAsia="Times New Roman"/>
                <w:b/>
                <w:bCs/>
                <w:color w:val="000000"/>
                <w:sz w:val="18"/>
                <w:szCs w:val="18"/>
              </w:rPr>
              <w:t>(117)</w:t>
            </w:r>
          </w:p>
        </w:tc>
        <w:tc>
          <w:tcPr>
            <w:tcW w:w="0" w:type="auto"/>
            <w:shd w:val="clear" w:color="auto" w:fill="CCEEFF"/>
            <w:tcMar>
              <w:top w:w="30" w:type="dxa"/>
              <w:left w:w="0" w:type="dxa"/>
              <w:bottom w:w="30" w:type="dxa"/>
              <w:right w:w="20" w:type="dxa"/>
            </w:tcMar>
            <w:vAlign w:val="bottom"/>
            <w:hideMark/>
          </w:tcPr>
          <w:p w14:paraId="5068FF3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1400C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6FA32D" w14:textId="77777777" w:rsidR="00000000" w:rsidRDefault="00405D16">
            <w:pPr>
              <w:spacing w:after="100"/>
              <w:jc w:val="right"/>
              <w:rPr>
                <w:rFonts w:eastAsia="Times New Roman"/>
              </w:rPr>
            </w:pPr>
            <w:r>
              <w:rPr>
                <w:rFonts w:eastAsia="Times New Roman"/>
                <w:b/>
                <w:bCs/>
                <w:color w:val="000000"/>
                <w:sz w:val="18"/>
                <w:szCs w:val="18"/>
              </w:rPr>
              <w:t>(154)</w:t>
            </w:r>
          </w:p>
        </w:tc>
        <w:tc>
          <w:tcPr>
            <w:tcW w:w="0" w:type="auto"/>
            <w:shd w:val="clear" w:color="auto" w:fill="CCEEFF"/>
            <w:tcMar>
              <w:top w:w="30" w:type="dxa"/>
              <w:left w:w="0" w:type="dxa"/>
              <w:bottom w:w="30" w:type="dxa"/>
              <w:right w:w="20" w:type="dxa"/>
            </w:tcMar>
            <w:vAlign w:val="bottom"/>
            <w:hideMark/>
          </w:tcPr>
          <w:p w14:paraId="26D39BA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068F1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AC14C9" w14:textId="77777777" w:rsidR="00000000" w:rsidRDefault="00405D16">
            <w:pPr>
              <w:spacing w:after="100"/>
              <w:jc w:val="right"/>
              <w:rPr>
                <w:rFonts w:eastAsia="Times New Roman"/>
              </w:rPr>
            </w:pPr>
            <w:r>
              <w:rPr>
                <w:rFonts w:eastAsia="Times New Roman"/>
                <w:b/>
                <w:bCs/>
                <w:color w:val="000000"/>
                <w:sz w:val="18"/>
                <w:szCs w:val="18"/>
              </w:rPr>
              <w:t>(408)</w:t>
            </w:r>
          </w:p>
        </w:tc>
        <w:tc>
          <w:tcPr>
            <w:tcW w:w="0" w:type="auto"/>
            <w:shd w:val="clear" w:color="auto" w:fill="CCEEFF"/>
            <w:tcMar>
              <w:top w:w="30" w:type="dxa"/>
              <w:left w:w="0" w:type="dxa"/>
              <w:bottom w:w="30" w:type="dxa"/>
              <w:right w:w="20" w:type="dxa"/>
            </w:tcMar>
            <w:vAlign w:val="bottom"/>
            <w:hideMark/>
          </w:tcPr>
          <w:p w14:paraId="39A63C0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59F70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6634CF" w14:textId="77777777" w:rsidR="00000000" w:rsidRDefault="00405D16">
            <w:pPr>
              <w:spacing w:after="100"/>
              <w:jc w:val="right"/>
              <w:rPr>
                <w:rFonts w:eastAsia="Times New Roman"/>
              </w:rPr>
            </w:pPr>
            <w:r>
              <w:rPr>
                <w:rFonts w:eastAsia="Times New Roman"/>
                <w:b/>
                <w:bCs/>
                <w:color w:val="000000"/>
                <w:sz w:val="18"/>
                <w:szCs w:val="18"/>
              </w:rPr>
              <w:t>(79)</w:t>
            </w:r>
          </w:p>
        </w:tc>
        <w:tc>
          <w:tcPr>
            <w:tcW w:w="0" w:type="auto"/>
            <w:shd w:val="clear" w:color="auto" w:fill="CCEEFF"/>
            <w:tcMar>
              <w:top w:w="30" w:type="dxa"/>
              <w:left w:w="0" w:type="dxa"/>
              <w:bottom w:w="30" w:type="dxa"/>
              <w:right w:w="20" w:type="dxa"/>
            </w:tcMar>
            <w:vAlign w:val="bottom"/>
            <w:hideMark/>
          </w:tcPr>
          <w:p w14:paraId="2B04D9AB" w14:textId="77777777" w:rsidR="00000000" w:rsidRDefault="00405D16">
            <w:pPr>
              <w:spacing w:after="100"/>
              <w:jc w:val="right"/>
              <w:rPr>
                <w:rFonts w:eastAsia="Times New Roman"/>
              </w:rPr>
            </w:pPr>
          </w:p>
        </w:tc>
      </w:tr>
      <w:tr w:rsidR="00000000" w14:paraId="5051B4F6" w14:textId="77777777">
        <w:trPr>
          <w:divId w:val="1714234408"/>
        </w:trPr>
        <w:tc>
          <w:tcPr>
            <w:tcW w:w="0" w:type="auto"/>
            <w:gridSpan w:val="3"/>
            <w:shd w:val="clear" w:color="auto" w:fill="FFFFFF"/>
            <w:tcMar>
              <w:top w:w="30" w:type="dxa"/>
              <w:left w:w="20" w:type="dxa"/>
              <w:bottom w:w="30" w:type="dxa"/>
              <w:right w:w="20" w:type="dxa"/>
            </w:tcMar>
            <w:vAlign w:val="center"/>
            <w:hideMark/>
          </w:tcPr>
          <w:p w14:paraId="6E16FCB4" w14:textId="77777777" w:rsidR="00000000" w:rsidRDefault="00405D16">
            <w:pPr>
              <w:spacing w:after="100"/>
              <w:divId w:val="1970089874"/>
              <w:rPr>
                <w:rFonts w:eastAsia="Times New Roman"/>
              </w:rPr>
            </w:pPr>
            <w:r>
              <w:rPr>
                <w:rFonts w:eastAsia="Times New Roman"/>
                <w:color w:val="000000"/>
                <w:sz w:val="18"/>
                <w:szCs w:val="18"/>
              </w:rPr>
              <w:t>Gains (losses) recognized on hedged item</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02E9781C"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1B1813E" w14:textId="77777777" w:rsidR="00000000" w:rsidRDefault="00405D16">
            <w:pPr>
              <w:spacing w:after="100"/>
              <w:jc w:val="right"/>
              <w:rPr>
                <w:rFonts w:eastAsia="Times New Roman"/>
              </w:rPr>
            </w:pPr>
            <w:r>
              <w:rPr>
                <w:rFonts w:eastAsia="Times New Roman"/>
                <w:b/>
                <w:bCs/>
                <w:color w:val="000000"/>
                <w:sz w:val="18"/>
                <w:szCs w:val="18"/>
              </w:rPr>
              <w:t>(206)</w:t>
            </w:r>
          </w:p>
        </w:tc>
        <w:tc>
          <w:tcPr>
            <w:tcW w:w="0" w:type="auto"/>
            <w:shd w:val="clear" w:color="auto" w:fill="FFFFFF"/>
            <w:tcMar>
              <w:top w:w="30" w:type="dxa"/>
              <w:left w:w="0" w:type="dxa"/>
              <w:bottom w:w="30" w:type="dxa"/>
              <w:right w:w="20" w:type="dxa"/>
            </w:tcMar>
            <w:vAlign w:val="bottom"/>
            <w:hideMark/>
          </w:tcPr>
          <w:p w14:paraId="21B814C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01B3F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61E1E0"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0230B5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77E97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437B26"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1D85E9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B25F9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0AD4D0" w14:textId="77777777" w:rsidR="00000000" w:rsidRDefault="00405D16">
            <w:pPr>
              <w:spacing w:after="100"/>
              <w:jc w:val="right"/>
              <w:rPr>
                <w:rFonts w:eastAsia="Times New Roman"/>
              </w:rPr>
            </w:pPr>
            <w:r>
              <w:rPr>
                <w:rFonts w:eastAsia="Times New Roman"/>
                <w:b/>
                <w:bCs/>
                <w:color w:val="000000"/>
                <w:sz w:val="18"/>
                <w:szCs w:val="18"/>
              </w:rPr>
              <w:t>116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C93140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74B3B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1FB639" w14:textId="77777777" w:rsidR="00000000" w:rsidRDefault="00405D16">
            <w:pPr>
              <w:spacing w:after="100"/>
              <w:jc w:val="right"/>
              <w:rPr>
                <w:rFonts w:eastAsia="Times New Roman"/>
              </w:rPr>
            </w:pPr>
            <w:r>
              <w:rPr>
                <w:rFonts w:eastAsia="Times New Roman"/>
                <w:b/>
                <w:bCs/>
                <w:color w:val="000000"/>
                <w:sz w:val="18"/>
                <w:szCs w:val="18"/>
              </w:rPr>
              <w:t>140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C9E5F6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BEE32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1E6A14" w14:textId="77777777" w:rsidR="00000000" w:rsidRDefault="00405D16">
            <w:pPr>
              <w:spacing w:after="100"/>
              <w:jc w:val="right"/>
              <w:rPr>
                <w:rFonts w:eastAsia="Times New Roman"/>
              </w:rPr>
            </w:pPr>
            <w:r>
              <w:rPr>
                <w:rFonts w:eastAsia="Times New Roman"/>
                <w:b/>
                <w:bCs/>
                <w:color w:val="000000"/>
                <w:sz w:val="18"/>
                <w:szCs w:val="18"/>
              </w:rPr>
              <w:t>504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9D8393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18A6E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C91BE1" w14:textId="77777777" w:rsidR="00000000" w:rsidRDefault="00405D16">
            <w:pPr>
              <w:spacing w:after="100"/>
              <w:jc w:val="right"/>
              <w:rPr>
                <w:rFonts w:eastAsia="Times New Roman"/>
              </w:rPr>
            </w:pPr>
            <w:r>
              <w:rPr>
                <w:rFonts w:eastAsia="Times New Roman"/>
                <w:b/>
                <w:bCs/>
                <w:color w:val="000000"/>
                <w:sz w:val="18"/>
                <w:szCs w:val="18"/>
              </w:rPr>
              <w:t>79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93F66A6" w14:textId="77777777" w:rsidR="00000000" w:rsidRDefault="00405D16">
            <w:pPr>
              <w:spacing w:after="100"/>
              <w:jc w:val="right"/>
              <w:rPr>
                <w:rFonts w:eastAsia="Times New Roman"/>
              </w:rPr>
            </w:pPr>
          </w:p>
        </w:tc>
      </w:tr>
      <w:tr w:rsidR="00000000" w14:paraId="358A6C27" w14:textId="77777777">
        <w:trPr>
          <w:divId w:val="1714234408"/>
        </w:trPr>
        <w:tc>
          <w:tcPr>
            <w:tcW w:w="0" w:type="auto"/>
            <w:gridSpan w:val="3"/>
            <w:shd w:val="clear" w:color="auto" w:fill="CCEEFF"/>
            <w:tcMar>
              <w:top w:w="30" w:type="dxa"/>
              <w:left w:w="20" w:type="dxa"/>
              <w:bottom w:w="30" w:type="dxa"/>
              <w:right w:w="20" w:type="dxa"/>
            </w:tcMar>
            <w:vAlign w:val="center"/>
            <w:hideMark/>
          </w:tcPr>
          <w:p w14:paraId="69982638" w14:textId="77777777" w:rsidR="00000000" w:rsidRDefault="00405D16">
            <w:pPr>
              <w:spacing w:after="100"/>
              <w:divId w:val="367682366"/>
              <w:rPr>
                <w:rFonts w:eastAsia="Times New Roman"/>
              </w:rPr>
            </w:pPr>
            <w:r>
              <w:rPr>
                <w:rFonts w:eastAsia="Times New Roman"/>
                <w:color w:val="000000"/>
                <w:sz w:val="18"/>
                <w:szCs w:val="18"/>
              </w:rPr>
              <w:t>Excluded component of fair value hedge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0CFF1EEB"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51D86A"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8E8397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F0833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E67C51"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D3C172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500F7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6D8D0A"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4C87F7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CDDE7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DCD2A6"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08A0C7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0CE2C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6408CB"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0B1FED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89F5D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A9F9E1" w14:textId="77777777" w:rsidR="00000000" w:rsidRDefault="00405D16">
            <w:pPr>
              <w:spacing w:after="100"/>
              <w:jc w:val="right"/>
              <w:rPr>
                <w:rFonts w:eastAsia="Times New Roman"/>
              </w:rPr>
            </w:pPr>
            <w:r>
              <w:rPr>
                <w:rFonts w:eastAsia="Times New Roman"/>
                <w:b/>
                <w:bCs/>
                <w:color w:val="000000"/>
                <w:sz w:val="18"/>
                <w:szCs w:val="18"/>
              </w:rPr>
              <w:t>(2)</w:t>
            </w:r>
          </w:p>
        </w:tc>
        <w:tc>
          <w:tcPr>
            <w:tcW w:w="0" w:type="auto"/>
            <w:shd w:val="clear" w:color="auto" w:fill="CCEEFF"/>
            <w:tcMar>
              <w:top w:w="30" w:type="dxa"/>
              <w:left w:w="0" w:type="dxa"/>
              <w:bottom w:w="30" w:type="dxa"/>
              <w:right w:w="20" w:type="dxa"/>
            </w:tcMar>
            <w:vAlign w:val="bottom"/>
            <w:hideMark/>
          </w:tcPr>
          <w:p w14:paraId="1DE3DC7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8DB61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908486"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F38EA8A" w14:textId="77777777" w:rsidR="00000000" w:rsidRDefault="00405D16">
            <w:pPr>
              <w:spacing w:after="100"/>
              <w:jc w:val="right"/>
              <w:rPr>
                <w:rFonts w:eastAsia="Times New Roman"/>
              </w:rPr>
            </w:pPr>
          </w:p>
        </w:tc>
      </w:tr>
      <w:tr w:rsidR="00405D16" w14:paraId="7403B705" w14:textId="77777777">
        <w:trPr>
          <w:divId w:val="1714234408"/>
        </w:trPr>
        <w:tc>
          <w:tcPr>
            <w:tcW w:w="0" w:type="auto"/>
            <w:gridSpan w:val="3"/>
            <w:shd w:val="clear" w:color="auto" w:fill="FFFFFF"/>
            <w:tcMar>
              <w:top w:w="30" w:type="dxa"/>
              <w:left w:w="20" w:type="dxa"/>
              <w:bottom w:w="30" w:type="dxa"/>
              <w:right w:w="20" w:type="dxa"/>
            </w:tcMar>
            <w:vAlign w:val="center"/>
            <w:hideMark/>
          </w:tcPr>
          <w:p w14:paraId="1A63DA9A" w14:textId="77777777" w:rsidR="00000000" w:rsidRDefault="00405D16">
            <w:pPr>
              <w:spacing w:after="100"/>
              <w:rPr>
                <w:rFonts w:eastAsia="Times New Roman"/>
              </w:rPr>
            </w:pPr>
            <w:r>
              <w:rPr>
                <w:rFonts w:eastAsia="Times New Roman"/>
                <w:color w:val="000000"/>
                <w:sz w:val="18"/>
                <w:szCs w:val="18"/>
              </w:rPr>
              <w:t>Net income (expense) recognized on fair value hedges</w:t>
            </w:r>
          </w:p>
        </w:tc>
        <w:tc>
          <w:tcPr>
            <w:tcW w:w="0" w:type="auto"/>
            <w:gridSpan w:val="3"/>
            <w:shd w:val="clear" w:color="auto" w:fill="FFFFFF"/>
            <w:tcMar>
              <w:top w:w="0" w:type="dxa"/>
              <w:left w:w="20" w:type="dxa"/>
              <w:bottom w:w="0" w:type="dxa"/>
              <w:right w:w="20" w:type="dxa"/>
            </w:tcMar>
            <w:vAlign w:val="center"/>
            <w:hideMark/>
          </w:tcPr>
          <w:p w14:paraId="03C615E6" w14:textId="77777777" w:rsidR="00000000" w:rsidRDefault="00405D16">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142C4C3"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9834D1F" w14:textId="77777777" w:rsidR="00000000" w:rsidRDefault="00405D16">
            <w:pPr>
              <w:spacing w:after="100"/>
              <w:jc w:val="right"/>
              <w:rPr>
                <w:rFonts w:eastAsia="Times New Roman"/>
              </w:rPr>
            </w:pPr>
            <w:r>
              <w:rPr>
                <w:rFonts w:eastAsia="Times New Roman"/>
                <w:b/>
                <w:bCs/>
                <w:color w:val="000000"/>
                <w:sz w:val="18"/>
                <w:szCs w:val="18"/>
              </w:rPr>
              <w:t>(151)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3287C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8F1417"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A027E70"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CB95E7D"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E6AA60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70DC85"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0C8C312"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0F03A77"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AFFD88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2258BC"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4B2E5C9"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E26206A" w14:textId="77777777" w:rsidR="00000000" w:rsidRDefault="00405D16">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7B67EE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2EB862"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E647359"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EA9FECF" w14:textId="77777777" w:rsidR="00000000" w:rsidRDefault="00405D16">
            <w:pPr>
              <w:spacing w:after="100"/>
              <w:jc w:val="right"/>
              <w:rPr>
                <w:rFonts w:eastAsia="Times New Roman"/>
              </w:rPr>
            </w:pPr>
            <w:r>
              <w:rPr>
                <w:rFonts w:eastAsia="Times New Roman"/>
                <w:b/>
                <w:bCs/>
                <w:color w:val="000000"/>
                <w:sz w:val="18"/>
                <w:szCs w:val="18"/>
              </w:rPr>
              <w:t>79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AA1577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A54B44"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2456425"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B1F9D69" w14:textId="77777777" w:rsidR="00000000" w:rsidRDefault="00405D16">
            <w:pPr>
              <w:spacing w:after="100"/>
              <w:jc w:val="right"/>
              <w:rPr>
                <w:rFonts w:eastAsia="Times New Roman"/>
              </w:rPr>
            </w:pPr>
            <w:r>
              <w:rPr>
                <w:rFonts w:eastAsia="Times New Roman"/>
                <w:b/>
                <w:bCs/>
                <w:color w:val="000000"/>
                <w:sz w:val="18"/>
                <w:szCs w:val="18"/>
              </w:rPr>
              <w:t>262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6E680E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ED4F15"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1FF8EA7"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4107516"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6688D5C" w14:textId="77777777" w:rsidR="00000000" w:rsidRDefault="00405D16">
            <w:pPr>
              <w:spacing w:after="100"/>
              <w:jc w:val="right"/>
              <w:rPr>
                <w:rFonts w:eastAsia="Times New Roman"/>
              </w:rPr>
            </w:pPr>
          </w:p>
        </w:tc>
      </w:tr>
      <w:tr w:rsidR="00000000" w14:paraId="1D56A091" w14:textId="77777777">
        <w:trPr>
          <w:divId w:val="1714234408"/>
        </w:trPr>
        <w:tc>
          <w:tcPr>
            <w:tcW w:w="0" w:type="auto"/>
            <w:gridSpan w:val="3"/>
            <w:shd w:val="clear" w:color="auto" w:fill="CCEEFF"/>
            <w:tcMar>
              <w:top w:w="30" w:type="dxa"/>
              <w:left w:w="20" w:type="dxa"/>
              <w:bottom w:w="30" w:type="dxa"/>
              <w:right w:w="20" w:type="dxa"/>
            </w:tcMar>
            <w:vAlign w:val="center"/>
            <w:hideMark/>
          </w:tcPr>
          <w:p w14:paraId="4D912849" w14:textId="77777777" w:rsidR="00000000" w:rsidRDefault="00405D16">
            <w:pPr>
              <w:spacing w:after="100"/>
              <w:divId w:val="1907646257"/>
              <w:rPr>
                <w:rFonts w:eastAsia="Times New Roman"/>
              </w:rPr>
            </w:pPr>
            <w:r>
              <w:rPr>
                <w:rFonts w:eastAsia="Times New Roman"/>
                <w:b/>
                <w:bCs/>
                <w:color w:val="000000"/>
                <w:sz w:val="18"/>
                <w:szCs w:val="18"/>
              </w:rPr>
              <w:t>Cash flow hedging relationships</w:t>
            </w:r>
            <w:r>
              <w:rPr>
                <w:rFonts w:eastAsia="Times New Roman"/>
                <w:b/>
                <w:bCs/>
                <w:color w:val="000000"/>
                <w:sz w:val="18"/>
                <w:szCs w:val="18"/>
              </w:rPr>
              <w:t>:</w:t>
            </w:r>
            <w:r>
              <w:rPr>
                <w:rFonts w:eastAsia="Times New Roman"/>
                <w:b/>
                <w:bCs/>
                <w:color w:val="000000"/>
                <w:sz w:val="12"/>
                <w:szCs w:val="12"/>
              </w:rPr>
              <w:t>(3</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54C360E5" w14:textId="77777777" w:rsidR="00000000" w:rsidRDefault="00405D16">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6690C0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FE61E5"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7FE7EB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50C565"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AB1780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567133"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0415E1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C434EF"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02F89B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C329F6"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C2DC59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012789"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E56A722" w14:textId="77777777" w:rsidR="00000000" w:rsidRDefault="00405D16">
            <w:pPr>
              <w:spacing w:after="100"/>
              <w:rPr>
                <w:rFonts w:eastAsia="Times New Roman"/>
                <w:sz w:val="20"/>
                <w:szCs w:val="20"/>
              </w:rPr>
            </w:pPr>
          </w:p>
        </w:tc>
      </w:tr>
      <w:tr w:rsidR="00000000" w14:paraId="13BA3DE5" w14:textId="77777777">
        <w:trPr>
          <w:divId w:val="1714234408"/>
        </w:trPr>
        <w:tc>
          <w:tcPr>
            <w:tcW w:w="0" w:type="auto"/>
            <w:gridSpan w:val="3"/>
            <w:shd w:val="clear" w:color="auto" w:fill="FFFFFF"/>
            <w:tcMar>
              <w:top w:w="30" w:type="dxa"/>
              <w:left w:w="20" w:type="dxa"/>
              <w:bottom w:w="30" w:type="dxa"/>
              <w:right w:w="20" w:type="dxa"/>
            </w:tcMar>
            <w:vAlign w:val="center"/>
            <w:hideMark/>
          </w:tcPr>
          <w:p w14:paraId="1F5A8CA8" w14:textId="77777777" w:rsidR="00000000" w:rsidRDefault="00405D16">
            <w:pPr>
              <w:spacing w:after="100"/>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14:paraId="6FD2C26C"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79AEB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2F366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461A0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6162E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1AE72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23348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A261E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92AC5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EB56A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675F7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C53CA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B5B5C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0A7F16" w14:textId="77777777" w:rsidR="00000000" w:rsidRDefault="00405D16">
            <w:pPr>
              <w:spacing w:after="100"/>
              <w:rPr>
                <w:rFonts w:eastAsia="Times New Roman"/>
                <w:sz w:val="20"/>
                <w:szCs w:val="20"/>
              </w:rPr>
            </w:pPr>
          </w:p>
        </w:tc>
      </w:tr>
      <w:tr w:rsidR="00405D16" w14:paraId="384A75E8" w14:textId="77777777">
        <w:trPr>
          <w:divId w:val="1714234408"/>
        </w:trPr>
        <w:tc>
          <w:tcPr>
            <w:tcW w:w="0" w:type="auto"/>
            <w:gridSpan w:val="3"/>
            <w:shd w:val="clear" w:color="auto" w:fill="CCEEFF"/>
            <w:tcMar>
              <w:top w:w="30" w:type="dxa"/>
              <w:left w:w="245" w:type="dxa"/>
              <w:bottom w:w="30" w:type="dxa"/>
              <w:right w:w="20" w:type="dxa"/>
            </w:tcMar>
            <w:vAlign w:val="center"/>
            <w:hideMark/>
          </w:tcPr>
          <w:p w14:paraId="6AE537EE" w14:textId="77777777" w:rsidR="00000000" w:rsidRDefault="00405D16">
            <w:pPr>
              <w:spacing w:after="100"/>
              <w:rPr>
                <w:rFonts w:eastAsia="Times New Roman"/>
              </w:rPr>
            </w:pPr>
            <w:r>
              <w:rPr>
                <w:rFonts w:eastAsia="Times New Roman"/>
                <w:color w:val="000000"/>
                <w:sz w:val="18"/>
                <w:szCs w:val="18"/>
              </w:rPr>
              <w:t>Realized gains (losses) reclassified from AOCI into net income</w:t>
            </w:r>
          </w:p>
        </w:tc>
        <w:tc>
          <w:tcPr>
            <w:tcW w:w="0" w:type="auto"/>
            <w:gridSpan w:val="3"/>
            <w:shd w:val="clear" w:color="auto" w:fill="CCEEFF"/>
            <w:tcMar>
              <w:top w:w="0" w:type="dxa"/>
              <w:left w:w="20" w:type="dxa"/>
              <w:bottom w:w="0" w:type="dxa"/>
              <w:right w:w="20" w:type="dxa"/>
            </w:tcMar>
            <w:vAlign w:val="center"/>
            <w:hideMark/>
          </w:tcPr>
          <w:p w14:paraId="769F9913" w14:textId="77777777" w:rsidR="00000000" w:rsidRDefault="00405D1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63C0523B"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641F83AA" w14:textId="77777777" w:rsidR="00000000" w:rsidRDefault="00405D16">
            <w:pPr>
              <w:spacing w:after="100"/>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80AEF9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975897"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72E6AAE"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0ABF562D" w14:textId="77777777" w:rsidR="00000000" w:rsidRDefault="00405D16">
            <w:pPr>
              <w:spacing w:after="100"/>
              <w:jc w:val="right"/>
              <w:rPr>
                <w:rFonts w:eastAsia="Times New Roman"/>
              </w:rPr>
            </w:pPr>
            <w:r>
              <w:rPr>
                <w:rFonts w:eastAsia="Times New Roman"/>
                <w:b/>
                <w:bCs/>
                <w:color w:val="000000"/>
                <w:sz w:val="18"/>
                <w:szCs w:val="18"/>
              </w:rPr>
              <w:t>700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959C25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810362"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76B8B88"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73D4E4CD"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95A8B2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9A1D2F"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05E53C4"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3DC048D1"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4B63FC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B8E8CB"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6C77C21"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2DF1C34C"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EDE152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DD304A"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8923B2E"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1CF54BAC"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964D7F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BE917F"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5E0A2C2"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05D0BC6E"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3D9742B" w14:textId="77777777" w:rsidR="00000000" w:rsidRDefault="00405D16">
            <w:pPr>
              <w:spacing w:after="100"/>
              <w:jc w:val="right"/>
              <w:rPr>
                <w:rFonts w:eastAsia="Times New Roman"/>
              </w:rPr>
            </w:pPr>
          </w:p>
        </w:tc>
      </w:tr>
      <w:tr w:rsidR="00000000" w14:paraId="5FAA2564" w14:textId="77777777">
        <w:trPr>
          <w:divId w:val="1714234408"/>
        </w:trPr>
        <w:tc>
          <w:tcPr>
            <w:tcW w:w="0" w:type="auto"/>
            <w:gridSpan w:val="3"/>
            <w:shd w:val="clear" w:color="auto" w:fill="FFFFFF"/>
            <w:tcMar>
              <w:top w:w="30" w:type="dxa"/>
              <w:left w:w="20" w:type="dxa"/>
              <w:bottom w:w="30" w:type="dxa"/>
              <w:right w:w="20" w:type="dxa"/>
            </w:tcMar>
            <w:vAlign w:val="center"/>
            <w:hideMark/>
          </w:tcPr>
          <w:p w14:paraId="1B9A086B" w14:textId="77777777" w:rsidR="00000000" w:rsidRDefault="00405D16">
            <w:pPr>
              <w:spacing w:after="100"/>
              <w:rPr>
                <w:rFonts w:eastAsia="Times New Roman"/>
              </w:rPr>
            </w:pPr>
            <w:r>
              <w:rPr>
                <w:rFonts w:eastAsia="Times New Roman"/>
                <w:color w:val="000000"/>
                <w:sz w:val="18"/>
                <w:szCs w:val="18"/>
              </w:rPr>
              <w:t>Foreign exchange contracts:</w:t>
            </w:r>
          </w:p>
        </w:tc>
        <w:tc>
          <w:tcPr>
            <w:tcW w:w="0" w:type="auto"/>
            <w:gridSpan w:val="3"/>
            <w:shd w:val="clear" w:color="auto" w:fill="FFFFFF"/>
            <w:tcMar>
              <w:top w:w="0" w:type="dxa"/>
              <w:left w:w="20" w:type="dxa"/>
              <w:bottom w:w="0" w:type="dxa"/>
              <w:right w:w="20" w:type="dxa"/>
            </w:tcMar>
            <w:vAlign w:val="center"/>
            <w:hideMark/>
          </w:tcPr>
          <w:p w14:paraId="7F41C11E"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9A8A5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BA21E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B406F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7B2BF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53339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F022C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72A86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B319C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F2025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50FC9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F78BD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BCA68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4D4057" w14:textId="77777777" w:rsidR="00000000" w:rsidRDefault="00405D16">
            <w:pPr>
              <w:spacing w:after="100"/>
              <w:rPr>
                <w:rFonts w:eastAsia="Times New Roman"/>
                <w:sz w:val="20"/>
                <w:szCs w:val="20"/>
              </w:rPr>
            </w:pPr>
          </w:p>
        </w:tc>
      </w:tr>
      <w:tr w:rsidR="00000000" w14:paraId="032C3065" w14:textId="77777777">
        <w:trPr>
          <w:divId w:val="1714234408"/>
        </w:trPr>
        <w:tc>
          <w:tcPr>
            <w:tcW w:w="0" w:type="auto"/>
            <w:gridSpan w:val="3"/>
            <w:shd w:val="clear" w:color="auto" w:fill="CCEEFF"/>
            <w:tcMar>
              <w:top w:w="30" w:type="dxa"/>
              <w:left w:w="20" w:type="dxa"/>
              <w:bottom w:w="30" w:type="dxa"/>
              <w:right w:w="20" w:type="dxa"/>
            </w:tcMar>
            <w:vAlign w:val="center"/>
            <w:hideMark/>
          </w:tcPr>
          <w:p w14:paraId="1D695ABA" w14:textId="77777777" w:rsidR="00000000" w:rsidRDefault="00405D16">
            <w:pPr>
              <w:spacing w:after="100"/>
              <w:divId w:val="1929540880"/>
              <w:rPr>
                <w:rFonts w:eastAsia="Times New Roman"/>
              </w:rPr>
            </w:pPr>
            <w:r>
              <w:rPr>
                <w:rFonts w:eastAsia="Times New Roman"/>
                <w:color w:val="000000"/>
                <w:sz w:val="18"/>
                <w:szCs w:val="18"/>
              </w:rPr>
              <w:t>Realized gains (losses) reclassified from AOCI into net incom</w:t>
            </w:r>
            <w:r>
              <w:rPr>
                <w:rFonts w:eastAsia="Times New Roman"/>
                <w:color w:val="000000"/>
                <w:sz w:val="18"/>
                <w:szCs w:val="18"/>
              </w:rPr>
              <w:t>e</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6DCA4C89"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4E7221A"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213FC8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CB08D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1F762D"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505742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46449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C29D84" w14:textId="77777777" w:rsidR="00000000" w:rsidRDefault="00405D16">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421951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6064E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0C90F7"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5224EC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34729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1C1BD0"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C63CD0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BE91C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EAD375"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3BF25B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17B5A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9F9F87" w14:textId="77777777" w:rsidR="00000000" w:rsidRDefault="00405D16">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DB7E72B" w14:textId="77777777" w:rsidR="00000000" w:rsidRDefault="00405D16">
            <w:pPr>
              <w:spacing w:after="100"/>
              <w:jc w:val="right"/>
              <w:rPr>
                <w:rFonts w:eastAsia="Times New Roman"/>
              </w:rPr>
            </w:pPr>
          </w:p>
        </w:tc>
      </w:tr>
      <w:tr w:rsidR="00405D16" w14:paraId="55A9A6EE" w14:textId="77777777">
        <w:trPr>
          <w:divId w:val="1714234408"/>
        </w:trPr>
        <w:tc>
          <w:tcPr>
            <w:tcW w:w="0" w:type="auto"/>
            <w:gridSpan w:val="3"/>
            <w:shd w:val="clear" w:color="auto" w:fill="FFFFFF"/>
            <w:tcMar>
              <w:top w:w="30" w:type="dxa"/>
              <w:left w:w="20" w:type="dxa"/>
              <w:bottom w:w="30" w:type="dxa"/>
              <w:right w:w="20" w:type="dxa"/>
            </w:tcMar>
            <w:vAlign w:val="center"/>
            <w:hideMark/>
          </w:tcPr>
          <w:p w14:paraId="51494904" w14:textId="77777777" w:rsidR="00000000" w:rsidRDefault="00405D16">
            <w:pPr>
              <w:spacing w:after="100"/>
              <w:rPr>
                <w:rFonts w:eastAsia="Times New Roman"/>
              </w:rPr>
            </w:pPr>
            <w:r>
              <w:rPr>
                <w:rFonts w:eastAsia="Times New Roman"/>
                <w:color w:val="000000"/>
                <w:sz w:val="18"/>
                <w:szCs w:val="18"/>
              </w:rPr>
              <w:t>Net income (expense) recognized on cash flow hedges</w:t>
            </w:r>
          </w:p>
        </w:tc>
        <w:tc>
          <w:tcPr>
            <w:tcW w:w="0" w:type="auto"/>
            <w:gridSpan w:val="3"/>
            <w:shd w:val="clear" w:color="auto" w:fill="FFFFFF"/>
            <w:tcMar>
              <w:top w:w="0" w:type="dxa"/>
              <w:left w:w="20" w:type="dxa"/>
              <w:bottom w:w="0" w:type="dxa"/>
              <w:right w:w="20" w:type="dxa"/>
            </w:tcMar>
            <w:vAlign w:val="center"/>
            <w:hideMark/>
          </w:tcPr>
          <w:p w14:paraId="0382EC63"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0B3327C"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5A49272" w14:textId="77777777" w:rsidR="00000000" w:rsidRDefault="00405D16">
            <w:pPr>
              <w:spacing w:after="100"/>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592D94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A59B82"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54B9E99"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1101B4B" w14:textId="77777777" w:rsidR="00000000" w:rsidRDefault="00405D16">
            <w:pPr>
              <w:spacing w:after="100"/>
              <w:jc w:val="right"/>
              <w:rPr>
                <w:rFonts w:eastAsia="Times New Roman"/>
              </w:rPr>
            </w:pPr>
            <w:r>
              <w:rPr>
                <w:rFonts w:eastAsia="Times New Roman"/>
                <w:b/>
                <w:bCs/>
                <w:color w:val="000000"/>
                <w:sz w:val="18"/>
                <w:szCs w:val="18"/>
              </w:rPr>
              <w:t>700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1F3B93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14D921"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0DAADA4"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04440B9" w14:textId="77777777" w:rsidR="00000000" w:rsidRDefault="00405D16">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573D25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5A6632"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20F6447"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386E903"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9A5DD2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22CCF5"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11DA308"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9041D15"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DDC8AC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C55142"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CCB1DC7"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7423C1A"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3087EF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FCD668"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9B9F820"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E709AC6" w14:textId="77777777" w:rsidR="00000000" w:rsidRDefault="00405D16">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0EE6BC9" w14:textId="77777777" w:rsidR="00000000" w:rsidRDefault="00405D16">
            <w:pPr>
              <w:spacing w:after="100"/>
              <w:jc w:val="right"/>
              <w:rPr>
                <w:rFonts w:eastAsia="Times New Roman"/>
              </w:rPr>
            </w:pPr>
          </w:p>
        </w:tc>
      </w:tr>
    </w:tbl>
    <w:p w14:paraId="6875D90B" w14:textId="77777777" w:rsidR="00000000" w:rsidRDefault="00405D16">
      <w:pPr>
        <w:jc w:val="both"/>
        <w:rPr>
          <w:rFonts w:eastAsia="Times New Roman"/>
        </w:rPr>
      </w:pPr>
    </w:p>
    <w:p w14:paraId="0C146579" w14:textId="77777777" w:rsidR="00000000" w:rsidRDefault="00405D16">
      <w:pPr>
        <w:jc w:val="both"/>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6480EF15" w14:textId="77777777">
        <w:trPr>
          <w:divId w:val="124548379"/>
          <w:jc w:val="center"/>
        </w:trPr>
        <w:tc>
          <w:tcPr>
            <w:tcW w:w="50" w:type="pct"/>
            <w:vAlign w:val="center"/>
            <w:hideMark/>
          </w:tcPr>
          <w:p w14:paraId="05858AB5" w14:textId="77777777" w:rsidR="00000000" w:rsidRDefault="00405D16">
            <w:pPr>
              <w:jc w:val="both"/>
              <w:rPr>
                <w:rFonts w:eastAsia="Times New Roman"/>
              </w:rPr>
            </w:pPr>
          </w:p>
        </w:tc>
        <w:tc>
          <w:tcPr>
            <w:tcW w:w="1606" w:type="pct"/>
            <w:vAlign w:val="center"/>
            <w:hideMark/>
          </w:tcPr>
          <w:p w14:paraId="6F26FA9F" w14:textId="77777777" w:rsidR="00000000" w:rsidRDefault="00405D16">
            <w:pPr>
              <w:spacing w:after="100"/>
              <w:rPr>
                <w:rFonts w:eastAsia="Times New Roman"/>
                <w:sz w:val="20"/>
                <w:szCs w:val="20"/>
              </w:rPr>
            </w:pPr>
          </w:p>
        </w:tc>
        <w:tc>
          <w:tcPr>
            <w:tcW w:w="5" w:type="pct"/>
            <w:vAlign w:val="center"/>
            <w:hideMark/>
          </w:tcPr>
          <w:p w14:paraId="4569A0CB" w14:textId="77777777" w:rsidR="00000000" w:rsidRDefault="00405D16">
            <w:pPr>
              <w:spacing w:after="100"/>
              <w:rPr>
                <w:rFonts w:eastAsia="Times New Roman"/>
                <w:sz w:val="20"/>
                <w:szCs w:val="20"/>
              </w:rPr>
            </w:pPr>
          </w:p>
        </w:tc>
        <w:tc>
          <w:tcPr>
            <w:tcW w:w="50" w:type="pct"/>
            <w:vAlign w:val="center"/>
            <w:hideMark/>
          </w:tcPr>
          <w:p w14:paraId="004A6F7B" w14:textId="77777777" w:rsidR="00000000" w:rsidRDefault="00405D16">
            <w:pPr>
              <w:spacing w:after="100"/>
              <w:rPr>
                <w:rFonts w:eastAsia="Times New Roman"/>
                <w:sz w:val="20"/>
                <w:szCs w:val="20"/>
              </w:rPr>
            </w:pPr>
          </w:p>
        </w:tc>
        <w:tc>
          <w:tcPr>
            <w:tcW w:w="1614" w:type="pct"/>
            <w:vAlign w:val="center"/>
            <w:hideMark/>
          </w:tcPr>
          <w:p w14:paraId="42A36C18" w14:textId="77777777" w:rsidR="00000000" w:rsidRDefault="00405D16">
            <w:pPr>
              <w:spacing w:after="100"/>
              <w:rPr>
                <w:rFonts w:eastAsia="Times New Roman"/>
                <w:sz w:val="20"/>
                <w:szCs w:val="20"/>
              </w:rPr>
            </w:pPr>
          </w:p>
        </w:tc>
        <w:tc>
          <w:tcPr>
            <w:tcW w:w="5" w:type="pct"/>
            <w:vAlign w:val="center"/>
            <w:hideMark/>
          </w:tcPr>
          <w:p w14:paraId="1276A738" w14:textId="77777777" w:rsidR="00000000" w:rsidRDefault="00405D16">
            <w:pPr>
              <w:spacing w:after="100"/>
              <w:rPr>
                <w:rFonts w:eastAsia="Times New Roman"/>
                <w:sz w:val="20"/>
                <w:szCs w:val="20"/>
              </w:rPr>
            </w:pPr>
          </w:p>
        </w:tc>
        <w:tc>
          <w:tcPr>
            <w:tcW w:w="50" w:type="pct"/>
            <w:vAlign w:val="center"/>
            <w:hideMark/>
          </w:tcPr>
          <w:p w14:paraId="6CF9D0AE" w14:textId="77777777" w:rsidR="00000000" w:rsidRDefault="00405D16">
            <w:pPr>
              <w:spacing w:after="100"/>
              <w:rPr>
                <w:rFonts w:eastAsia="Times New Roman"/>
                <w:sz w:val="20"/>
                <w:szCs w:val="20"/>
              </w:rPr>
            </w:pPr>
          </w:p>
        </w:tc>
        <w:tc>
          <w:tcPr>
            <w:tcW w:w="1614" w:type="pct"/>
            <w:vAlign w:val="center"/>
            <w:hideMark/>
          </w:tcPr>
          <w:p w14:paraId="46C78C09" w14:textId="77777777" w:rsidR="00000000" w:rsidRDefault="00405D16">
            <w:pPr>
              <w:spacing w:after="100"/>
              <w:rPr>
                <w:rFonts w:eastAsia="Times New Roman"/>
                <w:sz w:val="20"/>
                <w:szCs w:val="20"/>
              </w:rPr>
            </w:pPr>
          </w:p>
        </w:tc>
        <w:tc>
          <w:tcPr>
            <w:tcW w:w="5" w:type="pct"/>
            <w:vAlign w:val="center"/>
            <w:hideMark/>
          </w:tcPr>
          <w:p w14:paraId="7054139A" w14:textId="77777777" w:rsidR="00000000" w:rsidRDefault="00405D16">
            <w:pPr>
              <w:spacing w:after="100"/>
              <w:rPr>
                <w:rFonts w:eastAsia="Times New Roman"/>
                <w:sz w:val="20"/>
                <w:szCs w:val="20"/>
              </w:rPr>
            </w:pPr>
          </w:p>
        </w:tc>
      </w:tr>
      <w:tr w:rsidR="00000000" w14:paraId="3D9BF30E" w14:textId="77777777">
        <w:trPr>
          <w:divId w:val="124548379"/>
          <w:trHeight w:val="300"/>
          <w:jc w:val="center"/>
        </w:trPr>
        <w:tc>
          <w:tcPr>
            <w:tcW w:w="0" w:type="auto"/>
            <w:gridSpan w:val="9"/>
            <w:tcMar>
              <w:top w:w="0" w:type="dxa"/>
              <w:left w:w="20" w:type="dxa"/>
              <w:bottom w:w="0" w:type="dxa"/>
              <w:right w:w="20" w:type="dxa"/>
            </w:tcMar>
            <w:vAlign w:val="center"/>
            <w:hideMark/>
          </w:tcPr>
          <w:p w14:paraId="4160E773" w14:textId="77777777" w:rsidR="00000000" w:rsidRDefault="00405D16">
            <w:pPr>
              <w:spacing w:after="100"/>
              <w:rPr>
                <w:rFonts w:eastAsia="Times New Roman"/>
                <w:sz w:val="20"/>
                <w:szCs w:val="20"/>
              </w:rPr>
            </w:pPr>
          </w:p>
        </w:tc>
      </w:tr>
      <w:tr w:rsidR="00000000" w14:paraId="33F81BFA" w14:textId="77777777">
        <w:trPr>
          <w:divId w:val="124548379"/>
          <w:jc w:val="center"/>
        </w:trPr>
        <w:tc>
          <w:tcPr>
            <w:tcW w:w="0" w:type="auto"/>
            <w:gridSpan w:val="3"/>
            <w:tcMar>
              <w:top w:w="0" w:type="dxa"/>
              <w:left w:w="20" w:type="dxa"/>
              <w:bottom w:w="0" w:type="dxa"/>
              <w:right w:w="20" w:type="dxa"/>
            </w:tcMar>
            <w:vAlign w:val="center"/>
            <w:hideMark/>
          </w:tcPr>
          <w:p w14:paraId="22C8367B"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5DED0B7" w14:textId="77777777" w:rsidR="00000000" w:rsidRDefault="00405D16">
            <w:pPr>
              <w:spacing w:after="100"/>
              <w:jc w:val="center"/>
              <w:rPr>
                <w:rFonts w:eastAsia="Times New Roman"/>
              </w:rPr>
            </w:pPr>
            <w:r>
              <w:rPr>
                <w:rFonts w:eastAsia="Times New Roman"/>
                <w:color w:val="000000"/>
                <w:sz w:val="16"/>
                <w:szCs w:val="16"/>
              </w:rPr>
              <w:t>108</w:t>
            </w:r>
          </w:p>
        </w:tc>
        <w:tc>
          <w:tcPr>
            <w:tcW w:w="0" w:type="auto"/>
            <w:gridSpan w:val="3"/>
            <w:tcMar>
              <w:top w:w="30" w:type="dxa"/>
              <w:left w:w="20" w:type="dxa"/>
              <w:bottom w:w="30" w:type="dxa"/>
              <w:right w:w="20" w:type="dxa"/>
            </w:tcMar>
            <w:vAlign w:val="bottom"/>
            <w:hideMark/>
          </w:tcPr>
          <w:p w14:paraId="7FF9F9FB"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50562128" w14:textId="77777777" w:rsidR="00000000" w:rsidRDefault="00405D16">
      <w:pPr>
        <w:rPr>
          <w:rFonts w:eastAsia="Times New Roman"/>
        </w:rPr>
      </w:pPr>
      <w:r>
        <w:rPr>
          <w:rFonts w:eastAsia="Times New Roman"/>
        </w:rPr>
        <w:pict w14:anchorId="259DC198">
          <v:rect id="_x0000_i1133" style="width:0;height:1.5pt" o:hralign="center" o:hrstd="t" o:hr="t" fillcolor="#a0a0a0" stroked="f"/>
        </w:pict>
      </w:r>
    </w:p>
    <w:p w14:paraId="1342E57C" w14:textId="77777777" w:rsidR="00000000" w:rsidRDefault="00405D16">
      <w:pPr>
        <w:jc w:val="both"/>
        <w:divId w:val="2022463168"/>
        <w:rPr>
          <w:rFonts w:eastAsia="Times New Roman"/>
        </w:rPr>
      </w:pPr>
      <w:hyperlink w:anchor="idd54a04a485440b4ab4e56094c14d612_13" w:history="1">
        <w:r>
          <w:rPr>
            <w:rStyle w:val="a3"/>
            <w:rFonts w:eastAsia="Times New Roman"/>
            <w:sz w:val="16"/>
            <w:szCs w:val="16"/>
          </w:rPr>
          <w:t>Table of Contents</w:t>
        </w:r>
      </w:hyperlink>
    </w:p>
    <w:p w14:paraId="086A7362" w14:textId="77777777" w:rsidR="00000000" w:rsidRDefault="00405D16">
      <w:pPr>
        <w:jc w:val="center"/>
        <w:divId w:val="2022463168"/>
        <w:rPr>
          <w:rFonts w:eastAsia="Times New Roman"/>
        </w:rPr>
      </w:pPr>
    </w:p>
    <w:tbl>
      <w:tblPr>
        <w:tblW w:w="562" w:type="pct"/>
        <w:tblCellMar>
          <w:top w:w="15" w:type="dxa"/>
          <w:left w:w="15" w:type="dxa"/>
          <w:bottom w:w="15" w:type="dxa"/>
          <w:right w:w="15" w:type="dxa"/>
        </w:tblCellMar>
        <w:tblLook w:val="04A0" w:firstRow="1" w:lastRow="0" w:firstColumn="1" w:lastColumn="0" w:noHBand="0" w:noVBand="1"/>
      </w:tblPr>
      <w:tblGrid>
        <w:gridCol w:w="36"/>
        <w:gridCol w:w="862"/>
        <w:gridCol w:w="36"/>
      </w:tblGrid>
      <w:tr w:rsidR="00000000" w14:paraId="3A6452B6" w14:textId="77777777">
        <w:tc>
          <w:tcPr>
            <w:tcW w:w="50" w:type="pct"/>
            <w:vAlign w:val="center"/>
            <w:hideMark/>
          </w:tcPr>
          <w:p w14:paraId="76D925F4" w14:textId="77777777" w:rsidR="00000000" w:rsidRDefault="00405D16">
            <w:pPr>
              <w:jc w:val="center"/>
              <w:rPr>
                <w:rFonts w:eastAsia="Times New Roman"/>
              </w:rPr>
            </w:pPr>
          </w:p>
        </w:tc>
        <w:tc>
          <w:tcPr>
            <w:tcW w:w="4945" w:type="pct"/>
            <w:vAlign w:val="center"/>
            <w:hideMark/>
          </w:tcPr>
          <w:p w14:paraId="0391FA0E" w14:textId="77777777" w:rsidR="00000000" w:rsidRDefault="00405D16">
            <w:pPr>
              <w:spacing w:after="100"/>
              <w:rPr>
                <w:rFonts w:eastAsia="Times New Roman"/>
                <w:sz w:val="20"/>
                <w:szCs w:val="20"/>
              </w:rPr>
            </w:pPr>
          </w:p>
        </w:tc>
        <w:tc>
          <w:tcPr>
            <w:tcW w:w="5" w:type="pct"/>
            <w:vAlign w:val="center"/>
            <w:hideMark/>
          </w:tcPr>
          <w:p w14:paraId="12329AAB" w14:textId="77777777" w:rsidR="00000000" w:rsidRDefault="00405D16">
            <w:pPr>
              <w:spacing w:after="100"/>
              <w:rPr>
                <w:rFonts w:eastAsia="Times New Roman"/>
                <w:sz w:val="20"/>
                <w:szCs w:val="20"/>
              </w:rPr>
            </w:pPr>
          </w:p>
        </w:tc>
      </w:tr>
      <w:tr w:rsidR="00000000" w14:paraId="023A89DF" w14:textId="77777777">
        <w:trPr>
          <w:trHeight w:val="60"/>
        </w:trPr>
        <w:tc>
          <w:tcPr>
            <w:tcW w:w="0" w:type="auto"/>
            <w:gridSpan w:val="3"/>
            <w:tcMar>
              <w:top w:w="0" w:type="dxa"/>
              <w:left w:w="20" w:type="dxa"/>
              <w:bottom w:w="0" w:type="dxa"/>
              <w:right w:w="20" w:type="dxa"/>
            </w:tcMar>
            <w:vAlign w:val="center"/>
            <w:hideMark/>
          </w:tcPr>
          <w:p w14:paraId="35C5D99F" w14:textId="77777777" w:rsidR="00000000" w:rsidRDefault="00405D16">
            <w:pPr>
              <w:spacing w:after="100"/>
              <w:rPr>
                <w:rFonts w:eastAsia="Times New Roman"/>
                <w:sz w:val="20"/>
                <w:szCs w:val="20"/>
              </w:rPr>
            </w:pPr>
          </w:p>
        </w:tc>
      </w:tr>
    </w:tbl>
    <w:p w14:paraId="1AC7F313" w14:textId="77777777" w:rsidR="00000000" w:rsidRDefault="00405D16">
      <w:pPr>
        <w:jc w:val="both"/>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6"/>
        <w:gridCol w:w="1673"/>
        <w:gridCol w:w="39"/>
        <w:gridCol w:w="36"/>
        <w:gridCol w:w="36"/>
        <w:gridCol w:w="36"/>
        <w:gridCol w:w="111"/>
        <w:gridCol w:w="718"/>
        <w:gridCol w:w="36"/>
        <w:gridCol w:w="36"/>
        <w:gridCol w:w="36"/>
        <w:gridCol w:w="36"/>
        <w:gridCol w:w="111"/>
        <w:gridCol w:w="625"/>
        <w:gridCol w:w="36"/>
        <w:gridCol w:w="36"/>
        <w:gridCol w:w="36"/>
        <w:gridCol w:w="36"/>
        <w:gridCol w:w="111"/>
        <w:gridCol w:w="568"/>
        <w:gridCol w:w="36"/>
        <w:gridCol w:w="36"/>
        <w:gridCol w:w="36"/>
        <w:gridCol w:w="36"/>
        <w:gridCol w:w="111"/>
        <w:gridCol w:w="633"/>
        <w:gridCol w:w="36"/>
        <w:gridCol w:w="36"/>
        <w:gridCol w:w="36"/>
        <w:gridCol w:w="36"/>
        <w:gridCol w:w="111"/>
        <w:gridCol w:w="743"/>
        <w:gridCol w:w="36"/>
        <w:gridCol w:w="36"/>
        <w:gridCol w:w="36"/>
        <w:gridCol w:w="36"/>
        <w:gridCol w:w="111"/>
        <w:gridCol w:w="871"/>
        <w:gridCol w:w="36"/>
        <w:gridCol w:w="36"/>
        <w:gridCol w:w="36"/>
        <w:gridCol w:w="36"/>
        <w:gridCol w:w="111"/>
        <w:gridCol w:w="595"/>
        <w:gridCol w:w="36"/>
      </w:tblGrid>
      <w:tr w:rsidR="00000000" w14:paraId="5C1E4B4C" w14:textId="77777777">
        <w:tc>
          <w:tcPr>
            <w:tcW w:w="50" w:type="pct"/>
            <w:vAlign w:val="center"/>
            <w:hideMark/>
          </w:tcPr>
          <w:p w14:paraId="03C4E930" w14:textId="77777777" w:rsidR="00000000" w:rsidRDefault="00405D16">
            <w:pPr>
              <w:jc w:val="both"/>
              <w:rPr>
                <w:rFonts w:eastAsia="Times New Roman"/>
              </w:rPr>
            </w:pPr>
          </w:p>
        </w:tc>
        <w:tc>
          <w:tcPr>
            <w:tcW w:w="1063" w:type="pct"/>
            <w:vAlign w:val="center"/>
            <w:hideMark/>
          </w:tcPr>
          <w:p w14:paraId="34329348" w14:textId="77777777" w:rsidR="00000000" w:rsidRDefault="00405D16">
            <w:pPr>
              <w:spacing w:after="100"/>
              <w:rPr>
                <w:rFonts w:eastAsia="Times New Roman"/>
                <w:sz w:val="20"/>
                <w:szCs w:val="20"/>
              </w:rPr>
            </w:pPr>
          </w:p>
        </w:tc>
        <w:tc>
          <w:tcPr>
            <w:tcW w:w="5" w:type="pct"/>
            <w:vAlign w:val="center"/>
            <w:hideMark/>
          </w:tcPr>
          <w:p w14:paraId="1348F784" w14:textId="77777777" w:rsidR="00000000" w:rsidRDefault="00405D16">
            <w:pPr>
              <w:spacing w:after="100"/>
              <w:rPr>
                <w:rFonts w:eastAsia="Times New Roman"/>
                <w:sz w:val="20"/>
                <w:szCs w:val="20"/>
              </w:rPr>
            </w:pPr>
          </w:p>
        </w:tc>
        <w:tc>
          <w:tcPr>
            <w:tcW w:w="5" w:type="pct"/>
            <w:vAlign w:val="center"/>
            <w:hideMark/>
          </w:tcPr>
          <w:p w14:paraId="714C4BEE" w14:textId="77777777" w:rsidR="00000000" w:rsidRDefault="00405D16">
            <w:pPr>
              <w:spacing w:after="100"/>
              <w:rPr>
                <w:rFonts w:eastAsia="Times New Roman"/>
                <w:sz w:val="20"/>
                <w:szCs w:val="20"/>
              </w:rPr>
            </w:pPr>
          </w:p>
        </w:tc>
        <w:tc>
          <w:tcPr>
            <w:tcW w:w="26" w:type="pct"/>
            <w:vAlign w:val="center"/>
            <w:hideMark/>
          </w:tcPr>
          <w:p w14:paraId="1709E685" w14:textId="77777777" w:rsidR="00000000" w:rsidRDefault="00405D16">
            <w:pPr>
              <w:spacing w:after="100"/>
              <w:rPr>
                <w:rFonts w:eastAsia="Times New Roman"/>
                <w:sz w:val="20"/>
                <w:szCs w:val="20"/>
              </w:rPr>
            </w:pPr>
          </w:p>
        </w:tc>
        <w:tc>
          <w:tcPr>
            <w:tcW w:w="5" w:type="pct"/>
            <w:vAlign w:val="center"/>
            <w:hideMark/>
          </w:tcPr>
          <w:p w14:paraId="71DD35EF" w14:textId="77777777" w:rsidR="00000000" w:rsidRDefault="00405D16">
            <w:pPr>
              <w:spacing w:after="100"/>
              <w:rPr>
                <w:rFonts w:eastAsia="Times New Roman"/>
                <w:sz w:val="20"/>
                <w:szCs w:val="20"/>
              </w:rPr>
            </w:pPr>
          </w:p>
        </w:tc>
        <w:tc>
          <w:tcPr>
            <w:tcW w:w="50" w:type="pct"/>
            <w:vAlign w:val="center"/>
            <w:hideMark/>
          </w:tcPr>
          <w:p w14:paraId="4E6B05D0" w14:textId="77777777" w:rsidR="00000000" w:rsidRDefault="00405D16">
            <w:pPr>
              <w:spacing w:after="100"/>
              <w:rPr>
                <w:rFonts w:eastAsia="Times New Roman"/>
                <w:sz w:val="20"/>
                <w:szCs w:val="20"/>
              </w:rPr>
            </w:pPr>
          </w:p>
        </w:tc>
        <w:tc>
          <w:tcPr>
            <w:tcW w:w="449" w:type="pct"/>
            <w:vAlign w:val="center"/>
            <w:hideMark/>
          </w:tcPr>
          <w:p w14:paraId="7ACADD4B" w14:textId="77777777" w:rsidR="00000000" w:rsidRDefault="00405D16">
            <w:pPr>
              <w:spacing w:after="100"/>
              <w:rPr>
                <w:rFonts w:eastAsia="Times New Roman"/>
                <w:sz w:val="20"/>
                <w:szCs w:val="20"/>
              </w:rPr>
            </w:pPr>
          </w:p>
        </w:tc>
        <w:tc>
          <w:tcPr>
            <w:tcW w:w="5" w:type="pct"/>
            <w:vAlign w:val="center"/>
            <w:hideMark/>
          </w:tcPr>
          <w:p w14:paraId="53987331" w14:textId="77777777" w:rsidR="00000000" w:rsidRDefault="00405D16">
            <w:pPr>
              <w:spacing w:after="100"/>
              <w:rPr>
                <w:rFonts w:eastAsia="Times New Roman"/>
                <w:sz w:val="20"/>
                <w:szCs w:val="20"/>
              </w:rPr>
            </w:pPr>
          </w:p>
        </w:tc>
        <w:tc>
          <w:tcPr>
            <w:tcW w:w="5" w:type="pct"/>
            <w:vAlign w:val="center"/>
            <w:hideMark/>
          </w:tcPr>
          <w:p w14:paraId="1A87FCD7" w14:textId="77777777" w:rsidR="00000000" w:rsidRDefault="00405D16">
            <w:pPr>
              <w:spacing w:after="100"/>
              <w:rPr>
                <w:rFonts w:eastAsia="Times New Roman"/>
                <w:sz w:val="20"/>
                <w:szCs w:val="20"/>
              </w:rPr>
            </w:pPr>
          </w:p>
        </w:tc>
        <w:tc>
          <w:tcPr>
            <w:tcW w:w="26" w:type="pct"/>
            <w:vAlign w:val="center"/>
            <w:hideMark/>
          </w:tcPr>
          <w:p w14:paraId="6DFB7601" w14:textId="77777777" w:rsidR="00000000" w:rsidRDefault="00405D16">
            <w:pPr>
              <w:spacing w:after="100"/>
              <w:rPr>
                <w:rFonts w:eastAsia="Times New Roman"/>
                <w:sz w:val="20"/>
                <w:szCs w:val="20"/>
              </w:rPr>
            </w:pPr>
          </w:p>
        </w:tc>
        <w:tc>
          <w:tcPr>
            <w:tcW w:w="5" w:type="pct"/>
            <w:vAlign w:val="center"/>
            <w:hideMark/>
          </w:tcPr>
          <w:p w14:paraId="62EB0384" w14:textId="77777777" w:rsidR="00000000" w:rsidRDefault="00405D16">
            <w:pPr>
              <w:spacing w:after="100"/>
              <w:rPr>
                <w:rFonts w:eastAsia="Times New Roman"/>
                <w:sz w:val="20"/>
                <w:szCs w:val="20"/>
              </w:rPr>
            </w:pPr>
          </w:p>
        </w:tc>
        <w:tc>
          <w:tcPr>
            <w:tcW w:w="50" w:type="pct"/>
            <w:vAlign w:val="center"/>
            <w:hideMark/>
          </w:tcPr>
          <w:p w14:paraId="6CF2C23B" w14:textId="77777777" w:rsidR="00000000" w:rsidRDefault="00405D16">
            <w:pPr>
              <w:spacing w:after="100"/>
              <w:rPr>
                <w:rFonts w:eastAsia="Times New Roman"/>
                <w:sz w:val="20"/>
                <w:szCs w:val="20"/>
              </w:rPr>
            </w:pPr>
          </w:p>
        </w:tc>
        <w:tc>
          <w:tcPr>
            <w:tcW w:w="464" w:type="pct"/>
            <w:vAlign w:val="center"/>
            <w:hideMark/>
          </w:tcPr>
          <w:p w14:paraId="38124520" w14:textId="77777777" w:rsidR="00000000" w:rsidRDefault="00405D16">
            <w:pPr>
              <w:spacing w:after="100"/>
              <w:rPr>
                <w:rFonts w:eastAsia="Times New Roman"/>
                <w:sz w:val="20"/>
                <w:szCs w:val="20"/>
              </w:rPr>
            </w:pPr>
          </w:p>
        </w:tc>
        <w:tc>
          <w:tcPr>
            <w:tcW w:w="5" w:type="pct"/>
            <w:vAlign w:val="center"/>
            <w:hideMark/>
          </w:tcPr>
          <w:p w14:paraId="2FF2A17C" w14:textId="77777777" w:rsidR="00000000" w:rsidRDefault="00405D16">
            <w:pPr>
              <w:spacing w:after="100"/>
              <w:rPr>
                <w:rFonts w:eastAsia="Times New Roman"/>
                <w:sz w:val="20"/>
                <w:szCs w:val="20"/>
              </w:rPr>
            </w:pPr>
          </w:p>
        </w:tc>
        <w:tc>
          <w:tcPr>
            <w:tcW w:w="5" w:type="pct"/>
            <w:vAlign w:val="center"/>
            <w:hideMark/>
          </w:tcPr>
          <w:p w14:paraId="0A29E91E" w14:textId="77777777" w:rsidR="00000000" w:rsidRDefault="00405D16">
            <w:pPr>
              <w:spacing w:after="100"/>
              <w:rPr>
                <w:rFonts w:eastAsia="Times New Roman"/>
                <w:sz w:val="20"/>
                <w:szCs w:val="20"/>
              </w:rPr>
            </w:pPr>
          </w:p>
        </w:tc>
        <w:tc>
          <w:tcPr>
            <w:tcW w:w="26" w:type="pct"/>
            <w:vAlign w:val="center"/>
            <w:hideMark/>
          </w:tcPr>
          <w:p w14:paraId="04E0D9ED" w14:textId="77777777" w:rsidR="00000000" w:rsidRDefault="00405D16">
            <w:pPr>
              <w:spacing w:after="100"/>
              <w:rPr>
                <w:rFonts w:eastAsia="Times New Roman"/>
                <w:sz w:val="20"/>
                <w:szCs w:val="20"/>
              </w:rPr>
            </w:pPr>
          </w:p>
        </w:tc>
        <w:tc>
          <w:tcPr>
            <w:tcW w:w="5" w:type="pct"/>
            <w:vAlign w:val="center"/>
            <w:hideMark/>
          </w:tcPr>
          <w:p w14:paraId="41150B26" w14:textId="77777777" w:rsidR="00000000" w:rsidRDefault="00405D16">
            <w:pPr>
              <w:spacing w:after="100"/>
              <w:rPr>
                <w:rFonts w:eastAsia="Times New Roman"/>
                <w:sz w:val="20"/>
                <w:szCs w:val="20"/>
              </w:rPr>
            </w:pPr>
          </w:p>
        </w:tc>
        <w:tc>
          <w:tcPr>
            <w:tcW w:w="50" w:type="pct"/>
            <w:vAlign w:val="center"/>
            <w:hideMark/>
          </w:tcPr>
          <w:p w14:paraId="5F599788" w14:textId="77777777" w:rsidR="00000000" w:rsidRDefault="00405D16">
            <w:pPr>
              <w:spacing w:after="100"/>
              <w:rPr>
                <w:rFonts w:eastAsia="Times New Roman"/>
                <w:sz w:val="20"/>
                <w:szCs w:val="20"/>
              </w:rPr>
            </w:pPr>
          </w:p>
        </w:tc>
        <w:tc>
          <w:tcPr>
            <w:tcW w:w="442" w:type="pct"/>
            <w:vAlign w:val="center"/>
            <w:hideMark/>
          </w:tcPr>
          <w:p w14:paraId="0B17175F" w14:textId="77777777" w:rsidR="00000000" w:rsidRDefault="00405D16">
            <w:pPr>
              <w:spacing w:after="100"/>
              <w:rPr>
                <w:rFonts w:eastAsia="Times New Roman"/>
                <w:sz w:val="20"/>
                <w:szCs w:val="20"/>
              </w:rPr>
            </w:pPr>
          </w:p>
        </w:tc>
        <w:tc>
          <w:tcPr>
            <w:tcW w:w="5" w:type="pct"/>
            <w:vAlign w:val="center"/>
            <w:hideMark/>
          </w:tcPr>
          <w:p w14:paraId="0FE85E9F" w14:textId="77777777" w:rsidR="00000000" w:rsidRDefault="00405D16">
            <w:pPr>
              <w:spacing w:after="100"/>
              <w:rPr>
                <w:rFonts w:eastAsia="Times New Roman"/>
                <w:sz w:val="20"/>
                <w:szCs w:val="20"/>
              </w:rPr>
            </w:pPr>
          </w:p>
        </w:tc>
        <w:tc>
          <w:tcPr>
            <w:tcW w:w="5" w:type="pct"/>
            <w:vAlign w:val="center"/>
            <w:hideMark/>
          </w:tcPr>
          <w:p w14:paraId="6082BBB2" w14:textId="77777777" w:rsidR="00000000" w:rsidRDefault="00405D16">
            <w:pPr>
              <w:spacing w:after="100"/>
              <w:rPr>
                <w:rFonts w:eastAsia="Times New Roman"/>
                <w:sz w:val="20"/>
                <w:szCs w:val="20"/>
              </w:rPr>
            </w:pPr>
          </w:p>
        </w:tc>
        <w:tc>
          <w:tcPr>
            <w:tcW w:w="26" w:type="pct"/>
            <w:vAlign w:val="center"/>
            <w:hideMark/>
          </w:tcPr>
          <w:p w14:paraId="126795E0" w14:textId="77777777" w:rsidR="00000000" w:rsidRDefault="00405D16">
            <w:pPr>
              <w:spacing w:after="100"/>
              <w:rPr>
                <w:rFonts w:eastAsia="Times New Roman"/>
                <w:sz w:val="20"/>
                <w:szCs w:val="20"/>
              </w:rPr>
            </w:pPr>
          </w:p>
        </w:tc>
        <w:tc>
          <w:tcPr>
            <w:tcW w:w="5" w:type="pct"/>
            <w:vAlign w:val="center"/>
            <w:hideMark/>
          </w:tcPr>
          <w:p w14:paraId="2AED6FAB" w14:textId="77777777" w:rsidR="00000000" w:rsidRDefault="00405D16">
            <w:pPr>
              <w:spacing w:after="100"/>
              <w:rPr>
                <w:rFonts w:eastAsia="Times New Roman"/>
                <w:sz w:val="20"/>
                <w:szCs w:val="20"/>
              </w:rPr>
            </w:pPr>
          </w:p>
        </w:tc>
        <w:tc>
          <w:tcPr>
            <w:tcW w:w="50" w:type="pct"/>
            <w:vAlign w:val="center"/>
            <w:hideMark/>
          </w:tcPr>
          <w:p w14:paraId="71E1BCEC" w14:textId="77777777" w:rsidR="00000000" w:rsidRDefault="00405D16">
            <w:pPr>
              <w:spacing w:after="100"/>
              <w:rPr>
                <w:rFonts w:eastAsia="Times New Roman"/>
                <w:sz w:val="20"/>
                <w:szCs w:val="20"/>
              </w:rPr>
            </w:pPr>
          </w:p>
        </w:tc>
        <w:tc>
          <w:tcPr>
            <w:tcW w:w="449" w:type="pct"/>
            <w:vAlign w:val="center"/>
            <w:hideMark/>
          </w:tcPr>
          <w:p w14:paraId="7C19A6B6" w14:textId="77777777" w:rsidR="00000000" w:rsidRDefault="00405D16">
            <w:pPr>
              <w:spacing w:after="100"/>
              <w:rPr>
                <w:rFonts w:eastAsia="Times New Roman"/>
                <w:sz w:val="20"/>
                <w:szCs w:val="20"/>
              </w:rPr>
            </w:pPr>
          </w:p>
        </w:tc>
        <w:tc>
          <w:tcPr>
            <w:tcW w:w="5" w:type="pct"/>
            <w:vAlign w:val="center"/>
            <w:hideMark/>
          </w:tcPr>
          <w:p w14:paraId="7F1D936B" w14:textId="77777777" w:rsidR="00000000" w:rsidRDefault="00405D16">
            <w:pPr>
              <w:spacing w:after="100"/>
              <w:rPr>
                <w:rFonts w:eastAsia="Times New Roman"/>
                <w:sz w:val="20"/>
                <w:szCs w:val="20"/>
              </w:rPr>
            </w:pPr>
          </w:p>
        </w:tc>
        <w:tc>
          <w:tcPr>
            <w:tcW w:w="5" w:type="pct"/>
            <w:vAlign w:val="center"/>
            <w:hideMark/>
          </w:tcPr>
          <w:p w14:paraId="2CAD6117" w14:textId="77777777" w:rsidR="00000000" w:rsidRDefault="00405D16">
            <w:pPr>
              <w:spacing w:after="100"/>
              <w:rPr>
                <w:rFonts w:eastAsia="Times New Roman"/>
                <w:sz w:val="20"/>
                <w:szCs w:val="20"/>
              </w:rPr>
            </w:pPr>
          </w:p>
        </w:tc>
        <w:tc>
          <w:tcPr>
            <w:tcW w:w="26" w:type="pct"/>
            <w:vAlign w:val="center"/>
            <w:hideMark/>
          </w:tcPr>
          <w:p w14:paraId="12727484" w14:textId="77777777" w:rsidR="00000000" w:rsidRDefault="00405D16">
            <w:pPr>
              <w:spacing w:after="100"/>
              <w:rPr>
                <w:rFonts w:eastAsia="Times New Roman"/>
                <w:sz w:val="20"/>
                <w:szCs w:val="20"/>
              </w:rPr>
            </w:pPr>
          </w:p>
        </w:tc>
        <w:tc>
          <w:tcPr>
            <w:tcW w:w="5" w:type="pct"/>
            <w:vAlign w:val="center"/>
            <w:hideMark/>
          </w:tcPr>
          <w:p w14:paraId="4BECB888" w14:textId="77777777" w:rsidR="00000000" w:rsidRDefault="00405D16">
            <w:pPr>
              <w:spacing w:after="100"/>
              <w:rPr>
                <w:rFonts w:eastAsia="Times New Roman"/>
                <w:sz w:val="20"/>
                <w:szCs w:val="20"/>
              </w:rPr>
            </w:pPr>
          </w:p>
        </w:tc>
        <w:tc>
          <w:tcPr>
            <w:tcW w:w="50" w:type="pct"/>
            <w:vAlign w:val="center"/>
            <w:hideMark/>
          </w:tcPr>
          <w:p w14:paraId="5370054F" w14:textId="77777777" w:rsidR="00000000" w:rsidRDefault="00405D16">
            <w:pPr>
              <w:spacing w:after="100"/>
              <w:rPr>
                <w:rFonts w:eastAsia="Times New Roman"/>
                <w:sz w:val="20"/>
                <w:szCs w:val="20"/>
              </w:rPr>
            </w:pPr>
          </w:p>
        </w:tc>
        <w:tc>
          <w:tcPr>
            <w:tcW w:w="464" w:type="pct"/>
            <w:vAlign w:val="center"/>
            <w:hideMark/>
          </w:tcPr>
          <w:p w14:paraId="0B88819E" w14:textId="77777777" w:rsidR="00000000" w:rsidRDefault="00405D16">
            <w:pPr>
              <w:spacing w:after="100"/>
              <w:rPr>
                <w:rFonts w:eastAsia="Times New Roman"/>
                <w:sz w:val="20"/>
                <w:szCs w:val="20"/>
              </w:rPr>
            </w:pPr>
          </w:p>
        </w:tc>
        <w:tc>
          <w:tcPr>
            <w:tcW w:w="5" w:type="pct"/>
            <w:vAlign w:val="center"/>
            <w:hideMark/>
          </w:tcPr>
          <w:p w14:paraId="0EE13CAE" w14:textId="77777777" w:rsidR="00000000" w:rsidRDefault="00405D16">
            <w:pPr>
              <w:spacing w:after="100"/>
              <w:rPr>
                <w:rFonts w:eastAsia="Times New Roman"/>
                <w:sz w:val="20"/>
                <w:szCs w:val="20"/>
              </w:rPr>
            </w:pPr>
          </w:p>
        </w:tc>
        <w:tc>
          <w:tcPr>
            <w:tcW w:w="5" w:type="pct"/>
            <w:vAlign w:val="center"/>
            <w:hideMark/>
          </w:tcPr>
          <w:p w14:paraId="71E18E1D" w14:textId="77777777" w:rsidR="00000000" w:rsidRDefault="00405D16">
            <w:pPr>
              <w:spacing w:after="100"/>
              <w:rPr>
                <w:rFonts w:eastAsia="Times New Roman"/>
                <w:sz w:val="20"/>
                <w:szCs w:val="20"/>
              </w:rPr>
            </w:pPr>
          </w:p>
        </w:tc>
        <w:tc>
          <w:tcPr>
            <w:tcW w:w="26" w:type="pct"/>
            <w:vAlign w:val="center"/>
            <w:hideMark/>
          </w:tcPr>
          <w:p w14:paraId="7515E37F" w14:textId="77777777" w:rsidR="00000000" w:rsidRDefault="00405D16">
            <w:pPr>
              <w:spacing w:after="100"/>
              <w:rPr>
                <w:rFonts w:eastAsia="Times New Roman"/>
                <w:sz w:val="20"/>
                <w:szCs w:val="20"/>
              </w:rPr>
            </w:pPr>
          </w:p>
        </w:tc>
        <w:tc>
          <w:tcPr>
            <w:tcW w:w="5" w:type="pct"/>
            <w:vAlign w:val="center"/>
            <w:hideMark/>
          </w:tcPr>
          <w:p w14:paraId="63C56DCE" w14:textId="77777777" w:rsidR="00000000" w:rsidRDefault="00405D16">
            <w:pPr>
              <w:spacing w:after="100"/>
              <w:rPr>
                <w:rFonts w:eastAsia="Times New Roman"/>
                <w:sz w:val="20"/>
                <w:szCs w:val="20"/>
              </w:rPr>
            </w:pPr>
          </w:p>
        </w:tc>
        <w:tc>
          <w:tcPr>
            <w:tcW w:w="50" w:type="pct"/>
            <w:vAlign w:val="center"/>
            <w:hideMark/>
          </w:tcPr>
          <w:p w14:paraId="28125C9E" w14:textId="77777777" w:rsidR="00000000" w:rsidRDefault="00405D16">
            <w:pPr>
              <w:spacing w:after="100"/>
              <w:rPr>
                <w:rFonts w:eastAsia="Times New Roman"/>
                <w:sz w:val="20"/>
                <w:szCs w:val="20"/>
              </w:rPr>
            </w:pPr>
          </w:p>
        </w:tc>
        <w:tc>
          <w:tcPr>
            <w:tcW w:w="464" w:type="pct"/>
            <w:vAlign w:val="center"/>
            <w:hideMark/>
          </w:tcPr>
          <w:p w14:paraId="6377D8A3" w14:textId="77777777" w:rsidR="00000000" w:rsidRDefault="00405D16">
            <w:pPr>
              <w:spacing w:after="100"/>
              <w:rPr>
                <w:rFonts w:eastAsia="Times New Roman"/>
                <w:sz w:val="20"/>
                <w:szCs w:val="20"/>
              </w:rPr>
            </w:pPr>
          </w:p>
        </w:tc>
        <w:tc>
          <w:tcPr>
            <w:tcW w:w="5" w:type="pct"/>
            <w:vAlign w:val="center"/>
            <w:hideMark/>
          </w:tcPr>
          <w:p w14:paraId="07BECABF" w14:textId="77777777" w:rsidR="00000000" w:rsidRDefault="00405D16">
            <w:pPr>
              <w:spacing w:after="100"/>
              <w:rPr>
                <w:rFonts w:eastAsia="Times New Roman"/>
                <w:sz w:val="20"/>
                <w:szCs w:val="20"/>
              </w:rPr>
            </w:pPr>
          </w:p>
        </w:tc>
        <w:tc>
          <w:tcPr>
            <w:tcW w:w="5" w:type="pct"/>
            <w:vAlign w:val="center"/>
            <w:hideMark/>
          </w:tcPr>
          <w:p w14:paraId="3D74B995" w14:textId="77777777" w:rsidR="00000000" w:rsidRDefault="00405D16">
            <w:pPr>
              <w:spacing w:after="100"/>
              <w:rPr>
                <w:rFonts w:eastAsia="Times New Roman"/>
                <w:sz w:val="20"/>
                <w:szCs w:val="20"/>
              </w:rPr>
            </w:pPr>
          </w:p>
        </w:tc>
        <w:tc>
          <w:tcPr>
            <w:tcW w:w="26" w:type="pct"/>
            <w:vAlign w:val="center"/>
            <w:hideMark/>
          </w:tcPr>
          <w:p w14:paraId="42006BCF" w14:textId="77777777" w:rsidR="00000000" w:rsidRDefault="00405D16">
            <w:pPr>
              <w:spacing w:after="100"/>
              <w:rPr>
                <w:rFonts w:eastAsia="Times New Roman"/>
                <w:sz w:val="20"/>
                <w:szCs w:val="20"/>
              </w:rPr>
            </w:pPr>
          </w:p>
        </w:tc>
        <w:tc>
          <w:tcPr>
            <w:tcW w:w="5" w:type="pct"/>
            <w:vAlign w:val="center"/>
            <w:hideMark/>
          </w:tcPr>
          <w:p w14:paraId="2534C682" w14:textId="77777777" w:rsidR="00000000" w:rsidRDefault="00405D16">
            <w:pPr>
              <w:spacing w:after="100"/>
              <w:rPr>
                <w:rFonts w:eastAsia="Times New Roman"/>
                <w:sz w:val="20"/>
                <w:szCs w:val="20"/>
              </w:rPr>
            </w:pPr>
          </w:p>
        </w:tc>
        <w:tc>
          <w:tcPr>
            <w:tcW w:w="50" w:type="pct"/>
            <w:vAlign w:val="center"/>
            <w:hideMark/>
          </w:tcPr>
          <w:p w14:paraId="74B028B0" w14:textId="77777777" w:rsidR="00000000" w:rsidRDefault="00405D16">
            <w:pPr>
              <w:spacing w:after="100"/>
              <w:rPr>
                <w:rFonts w:eastAsia="Times New Roman"/>
                <w:sz w:val="20"/>
                <w:szCs w:val="20"/>
              </w:rPr>
            </w:pPr>
          </w:p>
        </w:tc>
        <w:tc>
          <w:tcPr>
            <w:tcW w:w="508" w:type="pct"/>
            <w:vAlign w:val="center"/>
            <w:hideMark/>
          </w:tcPr>
          <w:p w14:paraId="2515E25F" w14:textId="77777777" w:rsidR="00000000" w:rsidRDefault="00405D16">
            <w:pPr>
              <w:spacing w:after="100"/>
              <w:rPr>
                <w:rFonts w:eastAsia="Times New Roman"/>
                <w:sz w:val="20"/>
                <w:szCs w:val="20"/>
              </w:rPr>
            </w:pPr>
          </w:p>
        </w:tc>
        <w:tc>
          <w:tcPr>
            <w:tcW w:w="5" w:type="pct"/>
            <w:vAlign w:val="center"/>
            <w:hideMark/>
          </w:tcPr>
          <w:p w14:paraId="539A28DB" w14:textId="77777777" w:rsidR="00000000" w:rsidRDefault="00405D16">
            <w:pPr>
              <w:spacing w:after="100"/>
              <w:rPr>
                <w:rFonts w:eastAsia="Times New Roman"/>
                <w:sz w:val="20"/>
                <w:szCs w:val="20"/>
              </w:rPr>
            </w:pPr>
          </w:p>
        </w:tc>
      </w:tr>
      <w:tr w:rsidR="00000000" w14:paraId="2DD17D2A" w14:textId="77777777">
        <w:tc>
          <w:tcPr>
            <w:tcW w:w="0" w:type="auto"/>
            <w:gridSpan w:val="3"/>
            <w:vAlign w:val="center"/>
            <w:hideMark/>
          </w:tcPr>
          <w:p w14:paraId="113B987A" w14:textId="77777777" w:rsidR="00000000" w:rsidRDefault="00405D16">
            <w:pPr>
              <w:spacing w:after="100"/>
              <w:rPr>
                <w:rFonts w:eastAsia="Times New Roman"/>
                <w:sz w:val="20"/>
                <w:szCs w:val="20"/>
              </w:rPr>
            </w:pPr>
          </w:p>
        </w:tc>
        <w:tc>
          <w:tcPr>
            <w:tcW w:w="0" w:type="auto"/>
            <w:gridSpan w:val="3"/>
            <w:vAlign w:val="center"/>
            <w:hideMark/>
          </w:tcPr>
          <w:p w14:paraId="36552915" w14:textId="77777777" w:rsidR="00000000" w:rsidRDefault="00405D16">
            <w:pPr>
              <w:spacing w:after="100"/>
              <w:rPr>
                <w:rFonts w:eastAsia="Times New Roman"/>
                <w:sz w:val="20"/>
                <w:szCs w:val="20"/>
              </w:rPr>
            </w:pPr>
          </w:p>
        </w:tc>
        <w:tc>
          <w:tcPr>
            <w:tcW w:w="0" w:type="auto"/>
            <w:gridSpan w:val="3"/>
            <w:vAlign w:val="center"/>
            <w:hideMark/>
          </w:tcPr>
          <w:p w14:paraId="7C15DD45" w14:textId="77777777" w:rsidR="00000000" w:rsidRDefault="00405D16">
            <w:pPr>
              <w:spacing w:after="100"/>
              <w:rPr>
                <w:rFonts w:eastAsia="Times New Roman"/>
                <w:sz w:val="20"/>
                <w:szCs w:val="20"/>
              </w:rPr>
            </w:pPr>
          </w:p>
        </w:tc>
        <w:tc>
          <w:tcPr>
            <w:tcW w:w="0" w:type="auto"/>
            <w:gridSpan w:val="3"/>
            <w:vAlign w:val="center"/>
            <w:hideMark/>
          </w:tcPr>
          <w:p w14:paraId="6DD6ADAE" w14:textId="77777777" w:rsidR="00000000" w:rsidRDefault="00405D16">
            <w:pPr>
              <w:spacing w:after="100"/>
              <w:rPr>
                <w:rFonts w:eastAsia="Times New Roman"/>
                <w:sz w:val="20"/>
                <w:szCs w:val="20"/>
              </w:rPr>
            </w:pPr>
          </w:p>
        </w:tc>
        <w:tc>
          <w:tcPr>
            <w:tcW w:w="0" w:type="auto"/>
            <w:gridSpan w:val="3"/>
            <w:vAlign w:val="center"/>
            <w:hideMark/>
          </w:tcPr>
          <w:p w14:paraId="5FD1D1BD" w14:textId="77777777" w:rsidR="00000000" w:rsidRDefault="00405D16">
            <w:pPr>
              <w:spacing w:after="100"/>
              <w:rPr>
                <w:rFonts w:eastAsia="Times New Roman"/>
                <w:sz w:val="20"/>
                <w:szCs w:val="20"/>
              </w:rPr>
            </w:pPr>
          </w:p>
        </w:tc>
        <w:tc>
          <w:tcPr>
            <w:tcW w:w="0" w:type="auto"/>
            <w:gridSpan w:val="3"/>
            <w:vAlign w:val="center"/>
            <w:hideMark/>
          </w:tcPr>
          <w:p w14:paraId="0F681E4C" w14:textId="77777777" w:rsidR="00000000" w:rsidRDefault="00405D16">
            <w:pPr>
              <w:spacing w:after="100"/>
              <w:rPr>
                <w:rFonts w:eastAsia="Times New Roman"/>
                <w:sz w:val="20"/>
                <w:szCs w:val="20"/>
              </w:rPr>
            </w:pPr>
          </w:p>
        </w:tc>
        <w:tc>
          <w:tcPr>
            <w:tcW w:w="0" w:type="auto"/>
            <w:gridSpan w:val="3"/>
            <w:vAlign w:val="center"/>
            <w:hideMark/>
          </w:tcPr>
          <w:p w14:paraId="285F0CE6" w14:textId="77777777" w:rsidR="00000000" w:rsidRDefault="00405D16">
            <w:pPr>
              <w:spacing w:after="100"/>
              <w:rPr>
                <w:rFonts w:eastAsia="Times New Roman"/>
                <w:sz w:val="20"/>
                <w:szCs w:val="20"/>
              </w:rPr>
            </w:pPr>
          </w:p>
        </w:tc>
        <w:tc>
          <w:tcPr>
            <w:tcW w:w="0" w:type="auto"/>
            <w:gridSpan w:val="3"/>
            <w:vAlign w:val="center"/>
            <w:hideMark/>
          </w:tcPr>
          <w:p w14:paraId="617E8B60" w14:textId="77777777" w:rsidR="00000000" w:rsidRDefault="00405D16">
            <w:pPr>
              <w:spacing w:after="100"/>
              <w:rPr>
                <w:rFonts w:eastAsia="Times New Roman"/>
                <w:sz w:val="20"/>
                <w:szCs w:val="20"/>
              </w:rPr>
            </w:pPr>
          </w:p>
        </w:tc>
        <w:tc>
          <w:tcPr>
            <w:tcW w:w="0" w:type="auto"/>
            <w:gridSpan w:val="3"/>
            <w:vAlign w:val="center"/>
            <w:hideMark/>
          </w:tcPr>
          <w:p w14:paraId="4EB5C814" w14:textId="77777777" w:rsidR="00000000" w:rsidRDefault="00405D16">
            <w:pPr>
              <w:spacing w:after="100"/>
              <w:rPr>
                <w:rFonts w:eastAsia="Times New Roman"/>
                <w:sz w:val="20"/>
                <w:szCs w:val="20"/>
              </w:rPr>
            </w:pPr>
          </w:p>
        </w:tc>
        <w:tc>
          <w:tcPr>
            <w:tcW w:w="0" w:type="auto"/>
            <w:gridSpan w:val="3"/>
            <w:vAlign w:val="center"/>
            <w:hideMark/>
          </w:tcPr>
          <w:p w14:paraId="2EC977D1" w14:textId="77777777" w:rsidR="00000000" w:rsidRDefault="00405D16">
            <w:pPr>
              <w:spacing w:after="100"/>
              <w:rPr>
                <w:rFonts w:eastAsia="Times New Roman"/>
                <w:sz w:val="20"/>
                <w:szCs w:val="20"/>
              </w:rPr>
            </w:pPr>
          </w:p>
        </w:tc>
        <w:tc>
          <w:tcPr>
            <w:tcW w:w="0" w:type="auto"/>
            <w:gridSpan w:val="3"/>
            <w:vAlign w:val="center"/>
            <w:hideMark/>
          </w:tcPr>
          <w:p w14:paraId="02064A85" w14:textId="77777777" w:rsidR="00000000" w:rsidRDefault="00405D16">
            <w:pPr>
              <w:spacing w:after="100"/>
              <w:rPr>
                <w:rFonts w:eastAsia="Times New Roman"/>
                <w:sz w:val="20"/>
                <w:szCs w:val="20"/>
              </w:rPr>
            </w:pPr>
          </w:p>
        </w:tc>
        <w:tc>
          <w:tcPr>
            <w:tcW w:w="0" w:type="auto"/>
            <w:gridSpan w:val="3"/>
            <w:vAlign w:val="center"/>
            <w:hideMark/>
          </w:tcPr>
          <w:p w14:paraId="46658FA1" w14:textId="77777777" w:rsidR="00000000" w:rsidRDefault="00405D16">
            <w:pPr>
              <w:spacing w:after="100"/>
              <w:rPr>
                <w:rFonts w:eastAsia="Times New Roman"/>
                <w:sz w:val="20"/>
                <w:szCs w:val="20"/>
              </w:rPr>
            </w:pPr>
          </w:p>
        </w:tc>
        <w:tc>
          <w:tcPr>
            <w:tcW w:w="0" w:type="auto"/>
            <w:gridSpan w:val="3"/>
            <w:vAlign w:val="center"/>
            <w:hideMark/>
          </w:tcPr>
          <w:p w14:paraId="4143FFFD" w14:textId="77777777" w:rsidR="00000000" w:rsidRDefault="00405D16">
            <w:pPr>
              <w:spacing w:after="100"/>
              <w:rPr>
                <w:rFonts w:eastAsia="Times New Roman"/>
                <w:sz w:val="20"/>
                <w:szCs w:val="20"/>
              </w:rPr>
            </w:pPr>
          </w:p>
        </w:tc>
        <w:tc>
          <w:tcPr>
            <w:tcW w:w="0" w:type="auto"/>
            <w:gridSpan w:val="3"/>
            <w:vAlign w:val="center"/>
            <w:hideMark/>
          </w:tcPr>
          <w:p w14:paraId="68C057FC" w14:textId="77777777" w:rsidR="00000000" w:rsidRDefault="00405D16">
            <w:pPr>
              <w:spacing w:after="100"/>
              <w:rPr>
                <w:rFonts w:eastAsia="Times New Roman"/>
                <w:sz w:val="20"/>
                <w:szCs w:val="20"/>
              </w:rPr>
            </w:pPr>
          </w:p>
        </w:tc>
        <w:tc>
          <w:tcPr>
            <w:tcW w:w="0" w:type="auto"/>
            <w:gridSpan w:val="3"/>
            <w:vAlign w:val="center"/>
            <w:hideMark/>
          </w:tcPr>
          <w:p w14:paraId="35FC5EE6" w14:textId="77777777" w:rsidR="00000000" w:rsidRDefault="00405D16">
            <w:pPr>
              <w:spacing w:after="100"/>
              <w:rPr>
                <w:rFonts w:eastAsia="Times New Roman"/>
                <w:sz w:val="20"/>
                <w:szCs w:val="20"/>
              </w:rPr>
            </w:pPr>
          </w:p>
        </w:tc>
      </w:tr>
      <w:tr w:rsidR="00000000" w14:paraId="5F00A401" w14:textId="77777777">
        <w:tc>
          <w:tcPr>
            <w:tcW w:w="0" w:type="auto"/>
            <w:gridSpan w:val="3"/>
            <w:tcMar>
              <w:top w:w="0" w:type="dxa"/>
              <w:left w:w="20" w:type="dxa"/>
              <w:bottom w:w="0" w:type="dxa"/>
              <w:right w:w="20" w:type="dxa"/>
            </w:tcMar>
            <w:vAlign w:val="center"/>
            <w:hideMark/>
          </w:tcPr>
          <w:p w14:paraId="58BB8567"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CF9B5C2" w14:textId="77777777" w:rsidR="00000000" w:rsidRDefault="00405D16">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14:paraId="02BE9831" w14:textId="77777777" w:rsidR="00000000" w:rsidRDefault="00405D16">
            <w:pPr>
              <w:spacing w:after="100"/>
              <w:jc w:val="center"/>
              <w:rPr>
                <w:rFonts w:eastAsia="Times New Roman"/>
              </w:rPr>
            </w:pPr>
            <w:r>
              <w:rPr>
                <w:rFonts w:eastAsia="Times New Roman"/>
                <w:b/>
                <w:bCs/>
                <w:color w:val="000000"/>
                <w:sz w:val="16"/>
                <w:szCs w:val="16"/>
              </w:rPr>
              <w:t>Three Months Ended September 30, 2020</w:t>
            </w:r>
          </w:p>
        </w:tc>
        <w:tc>
          <w:tcPr>
            <w:tcW w:w="0" w:type="auto"/>
            <w:gridSpan w:val="3"/>
            <w:tcMar>
              <w:top w:w="0" w:type="dxa"/>
              <w:left w:w="20" w:type="dxa"/>
              <w:bottom w:w="0" w:type="dxa"/>
              <w:right w:w="20" w:type="dxa"/>
            </w:tcMar>
            <w:vAlign w:val="center"/>
            <w:hideMark/>
          </w:tcPr>
          <w:p w14:paraId="64E13291" w14:textId="77777777" w:rsidR="00000000" w:rsidRDefault="00405D1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E5DC94F" w14:textId="77777777" w:rsidR="00000000" w:rsidRDefault="00405D16">
            <w:pPr>
              <w:spacing w:after="100"/>
              <w:rPr>
                <w:rFonts w:eastAsia="Times New Roman"/>
                <w:sz w:val="20"/>
                <w:szCs w:val="20"/>
              </w:rPr>
            </w:pPr>
          </w:p>
        </w:tc>
      </w:tr>
      <w:tr w:rsidR="00000000" w14:paraId="4E1F3E94" w14:textId="77777777">
        <w:tc>
          <w:tcPr>
            <w:tcW w:w="0" w:type="auto"/>
            <w:gridSpan w:val="3"/>
            <w:tcMar>
              <w:top w:w="0" w:type="dxa"/>
              <w:left w:w="20" w:type="dxa"/>
              <w:bottom w:w="0" w:type="dxa"/>
              <w:right w:w="20" w:type="dxa"/>
            </w:tcMar>
            <w:vAlign w:val="center"/>
            <w:hideMark/>
          </w:tcPr>
          <w:p w14:paraId="36A09F11"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B032DCF" w14:textId="77777777" w:rsidR="00000000" w:rsidRDefault="00405D16">
            <w:pPr>
              <w:spacing w:after="100"/>
              <w:rPr>
                <w:rFonts w:eastAsia="Times New Roman"/>
                <w:sz w:val="20"/>
                <w:szCs w:val="20"/>
              </w:rPr>
            </w:pPr>
          </w:p>
        </w:tc>
        <w:tc>
          <w:tcPr>
            <w:tcW w:w="0" w:type="auto"/>
            <w:gridSpan w:val="33"/>
            <w:tcBorders>
              <w:top w:val="single" w:sz="8" w:space="0" w:color="000000"/>
            </w:tcBorders>
            <w:tcMar>
              <w:top w:w="30" w:type="dxa"/>
              <w:left w:w="20" w:type="dxa"/>
              <w:bottom w:w="30" w:type="dxa"/>
              <w:right w:w="20" w:type="dxa"/>
            </w:tcMar>
            <w:vAlign w:val="bottom"/>
            <w:hideMark/>
          </w:tcPr>
          <w:p w14:paraId="540147D9" w14:textId="77777777" w:rsidR="00000000" w:rsidRDefault="00405D16">
            <w:pPr>
              <w:spacing w:after="100"/>
              <w:jc w:val="center"/>
              <w:rPr>
                <w:rFonts w:eastAsia="Times New Roman"/>
              </w:rPr>
            </w:pPr>
            <w:r>
              <w:rPr>
                <w:rFonts w:eastAsia="Times New Roman"/>
                <w:b/>
                <w:bCs/>
                <w:color w:val="000000"/>
                <w:sz w:val="16"/>
                <w:szCs w:val="16"/>
              </w:rPr>
              <w:t>Net Interest Income</w:t>
            </w:r>
          </w:p>
        </w:tc>
        <w:tc>
          <w:tcPr>
            <w:tcW w:w="0" w:type="auto"/>
            <w:gridSpan w:val="3"/>
            <w:tcBorders>
              <w:top w:val="single" w:sz="8" w:space="0" w:color="000000"/>
            </w:tcBorders>
            <w:tcMar>
              <w:top w:w="0" w:type="dxa"/>
              <w:left w:w="20" w:type="dxa"/>
              <w:bottom w:w="0" w:type="dxa"/>
              <w:right w:w="20" w:type="dxa"/>
            </w:tcMar>
            <w:vAlign w:val="center"/>
            <w:hideMark/>
          </w:tcPr>
          <w:p w14:paraId="502E2E04"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6A835A8" w14:textId="77777777" w:rsidR="00000000" w:rsidRDefault="00405D16">
            <w:pPr>
              <w:spacing w:after="100"/>
              <w:jc w:val="center"/>
              <w:rPr>
                <w:rFonts w:eastAsia="Times New Roman"/>
              </w:rPr>
            </w:pPr>
            <w:r>
              <w:rPr>
                <w:rFonts w:eastAsia="Times New Roman"/>
                <w:b/>
                <w:bCs/>
                <w:color w:val="000000"/>
                <w:sz w:val="16"/>
                <w:szCs w:val="16"/>
              </w:rPr>
              <w:t>Non-Interest Income</w:t>
            </w:r>
          </w:p>
        </w:tc>
      </w:tr>
      <w:tr w:rsidR="00000000" w14:paraId="3E34A9BA" w14:textId="77777777">
        <w:tc>
          <w:tcPr>
            <w:tcW w:w="0" w:type="auto"/>
            <w:gridSpan w:val="3"/>
            <w:tcMar>
              <w:top w:w="30" w:type="dxa"/>
              <w:left w:w="20" w:type="dxa"/>
              <w:bottom w:w="30" w:type="dxa"/>
              <w:right w:w="20" w:type="dxa"/>
            </w:tcMar>
            <w:vAlign w:val="bottom"/>
            <w:hideMark/>
          </w:tcPr>
          <w:p w14:paraId="1FB097B9"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54B95385"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4C601D0" w14:textId="77777777" w:rsidR="00000000" w:rsidRDefault="00405D16">
            <w:pPr>
              <w:spacing w:after="100"/>
              <w:jc w:val="center"/>
              <w:rPr>
                <w:rFonts w:eastAsia="Times New Roman"/>
              </w:rPr>
            </w:pPr>
            <w:r>
              <w:rPr>
                <w:rFonts w:eastAsia="Times New Roman"/>
                <w:b/>
                <w:bCs/>
                <w:color w:val="000000"/>
                <w:sz w:val="16"/>
                <w:szCs w:val="16"/>
              </w:rPr>
              <w:t>Investment Securities</w:t>
            </w:r>
          </w:p>
        </w:tc>
        <w:tc>
          <w:tcPr>
            <w:tcW w:w="0" w:type="auto"/>
            <w:gridSpan w:val="3"/>
            <w:tcBorders>
              <w:top w:val="single" w:sz="8" w:space="0" w:color="000000"/>
            </w:tcBorders>
            <w:tcMar>
              <w:top w:w="0" w:type="dxa"/>
              <w:left w:w="20" w:type="dxa"/>
              <w:bottom w:w="0" w:type="dxa"/>
              <w:right w:w="20" w:type="dxa"/>
            </w:tcMar>
            <w:vAlign w:val="center"/>
            <w:hideMark/>
          </w:tcPr>
          <w:p w14:paraId="1B406301"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022DA0F" w14:textId="77777777" w:rsidR="00000000" w:rsidRDefault="00405D16">
            <w:pPr>
              <w:spacing w:after="100"/>
              <w:jc w:val="center"/>
              <w:rPr>
                <w:rFonts w:eastAsia="Times New Roman"/>
              </w:rPr>
            </w:pPr>
            <w:r>
              <w:rPr>
                <w:rFonts w:eastAsia="Times New Roman"/>
                <w:b/>
                <w:bCs/>
                <w:color w:val="000000"/>
                <w:sz w:val="16"/>
                <w:szCs w:val="16"/>
              </w:rPr>
              <w:t>Loans, Including Loans Held for Sale</w:t>
            </w:r>
          </w:p>
        </w:tc>
        <w:tc>
          <w:tcPr>
            <w:tcW w:w="0" w:type="auto"/>
            <w:gridSpan w:val="3"/>
            <w:tcBorders>
              <w:top w:val="single" w:sz="8" w:space="0" w:color="000000"/>
            </w:tcBorders>
            <w:tcMar>
              <w:top w:w="0" w:type="dxa"/>
              <w:left w:w="20" w:type="dxa"/>
              <w:bottom w:w="0" w:type="dxa"/>
              <w:right w:w="20" w:type="dxa"/>
            </w:tcMar>
            <w:vAlign w:val="center"/>
            <w:hideMark/>
          </w:tcPr>
          <w:p w14:paraId="241429DF"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497213C" w14:textId="77777777" w:rsidR="00000000" w:rsidRDefault="00405D16">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14:paraId="24E2D0BE"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C6EC99D" w14:textId="77777777" w:rsidR="00000000" w:rsidRDefault="00405D16">
            <w:pPr>
              <w:spacing w:after="100"/>
              <w:jc w:val="center"/>
              <w:rPr>
                <w:rFonts w:eastAsia="Times New Roman"/>
              </w:rPr>
            </w:pPr>
            <w:r>
              <w:rPr>
                <w:rFonts w:eastAsia="Times New Roman"/>
                <w:b/>
                <w:bCs/>
                <w:color w:val="000000"/>
                <w:sz w:val="16"/>
                <w:szCs w:val="16"/>
              </w:rPr>
              <w:t>Interest-bearing Deposits</w:t>
            </w:r>
          </w:p>
        </w:tc>
        <w:tc>
          <w:tcPr>
            <w:tcW w:w="0" w:type="auto"/>
            <w:gridSpan w:val="3"/>
            <w:tcBorders>
              <w:top w:val="single" w:sz="8" w:space="0" w:color="000000"/>
            </w:tcBorders>
            <w:tcMar>
              <w:top w:w="0" w:type="dxa"/>
              <w:left w:w="20" w:type="dxa"/>
              <w:bottom w:w="0" w:type="dxa"/>
              <w:right w:w="20" w:type="dxa"/>
            </w:tcMar>
            <w:vAlign w:val="center"/>
            <w:hideMark/>
          </w:tcPr>
          <w:p w14:paraId="3139558B"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F93703C" w14:textId="77777777" w:rsidR="00000000" w:rsidRDefault="00405D16">
            <w:pPr>
              <w:spacing w:after="100"/>
              <w:jc w:val="center"/>
              <w:rPr>
                <w:rFonts w:eastAsia="Times New Roman"/>
              </w:rPr>
            </w:pPr>
            <w:r>
              <w:rPr>
                <w:rFonts w:eastAsia="Times New Roman"/>
                <w:b/>
                <w:bCs/>
                <w:color w:val="000000"/>
                <w:sz w:val="16"/>
                <w:szCs w:val="16"/>
              </w:rPr>
              <w:t>Securitized Debt Obligations</w:t>
            </w:r>
          </w:p>
        </w:tc>
        <w:tc>
          <w:tcPr>
            <w:tcW w:w="0" w:type="auto"/>
            <w:gridSpan w:val="3"/>
            <w:tcBorders>
              <w:top w:val="single" w:sz="8" w:space="0" w:color="000000"/>
            </w:tcBorders>
            <w:tcMar>
              <w:top w:w="0" w:type="dxa"/>
              <w:left w:w="20" w:type="dxa"/>
              <w:bottom w:w="0" w:type="dxa"/>
              <w:right w:w="20" w:type="dxa"/>
            </w:tcMar>
            <w:vAlign w:val="center"/>
            <w:hideMark/>
          </w:tcPr>
          <w:p w14:paraId="5645BD95"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C86ECD9" w14:textId="77777777" w:rsidR="00000000" w:rsidRDefault="00405D16">
            <w:pPr>
              <w:spacing w:after="100"/>
              <w:jc w:val="center"/>
              <w:rPr>
                <w:rFonts w:eastAsia="Times New Roman"/>
              </w:rPr>
            </w:pPr>
            <w:r>
              <w:rPr>
                <w:rFonts w:eastAsia="Times New Roman"/>
                <w:b/>
                <w:bCs/>
                <w:color w:val="000000"/>
                <w:sz w:val="16"/>
                <w:szCs w:val="16"/>
              </w:rPr>
              <w:t>Senior and Subordinated Notes</w:t>
            </w:r>
          </w:p>
        </w:tc>
        <w:tc>
          <w:tcPr>
            <w:tcW w:w="0" w:type="auto"/>
            <w:gridSpan w:val="3"/>
            <w:tcMar>
              <w:top w:w="0" w:type="dxa"/>
              <w:left w:w="20" w:type="dxa"/>
              <w:bottom w:w="0" w:type="dxa"/>
              <w:right w:w="20" w:type="dxa"/>
            </w:tcMar>
            <w:vAlign w:val="center"/>
            <w:hideMark/>
          </w:tcPr>
          <w:p w14:paraId="6F391400"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BC135AA" w14:textId="77777777" w:rsidR="00000000" w:rsidRDefault="00405D16">
            <w:pPr>
              <w:spacing w:after="100"/>
              <w:jc w:val="center"/>
              <w:rPr>
                <w:rFonts w:eastAsia="Times New Roman"/>
              </w:rPr>
            </w:pPr>
            <w:r>
              <w:rPr>
                <w:rFonts w:eastAsia="Times New Roman"/>
                <w:b/>
                <w:bCs/>
                <w:color w:val="000000"/>
                <w:sz w:val="16"/>
                <w:szCs w:val="16"/>
              </w:rPr>
              <w:t>Other</w:t>
            </w:r>
          </w:p>
        </w:tc>
      </w:tr>
      <w:tr w:rsidR="00405D16" w14:paraId="3A4B9FDD" w14:textId="7777777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5601EDD" w14:textId="77777777" w:rsidR="00000000" w:rsidRDefault="00405D16">
            <w:pPr>
              <w:spacing w:after="100"/>
              <w:divId w:val="198516158"/>
              <w:rPr>
                <w:rFonts w:eastAsia="Times New Roman"/>
              </w:rPr>
            </w:pPr>
            <w:r>
              <w:rPr>
                <w:rFonts w:eastAsia="Times New Roman"/>
                <w:b/>
                <w:bCs/>
                <w:color w:val="000000"/>
                <w:sz w:val="18"/>
                <w:szCs w:val="18"/>
              </w:rPr>
              <w:t>Total amounts presented in our consolidated statements of income</w:t>
            </w:r>
          </w:p>
        </w:tc>
        <w:tc>
          <w:tcPr>
            <w:tcW w:w="0" w:type="auto"/>
            <w:gridSpan w:val="3"/>
            <w:shd w:val="clear" w:color="auto" w:fill="CCEEFF"/>
            <w:tcMar>
              <w:top w:w="0" w:type="dxa"/>
              <w:left w:w="20" w:type="dxa"/>
              <w:bottom w:w="0" w:type="dxa"/>
              <w:right w:w="20" w:type="dxa"/>
            </w:tcMar>
            <w:vAlign w:val="center"/>
            <w:hideMark/>
          </w:tcPr>
          <w:p w14:paraId="538CB30A"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7BD6DA8"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24BCDF" w14:textId="77777777" w:rsidR="00000000" w:rsidRDefault="00405D16">
            <w:pPr>
              <w:spacing w:after="100"/>
              <w:jc w:val="right"/>
              <w:rPr>
                <w:rFonts w:eastAsia="Times New Roman"/>
              </w:rPr>
            </w:pPr>
            <w:r>
              <w:rPr>
                <w:rFonts w:eastAsia="Times New Roman"/>
                <w:color w:val="000000"/>
                <w:sz w:val="18"/>
                <w:szCs w:val="18"/>
              </w:rPr>
              <w:t>443 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6E6DA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70C9A6"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5F4D16E"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C1320A2" w14:textId="77777777" w:rsidR="00000000" w:rsidRDefault="00405D16">
            <w:pPr>
              <w:spacing w:after="100"/>
              <w:jc w:val="right"/>
              <w:rPr>
                <w:rFonts w:eastAsia="Times New Roman"/>
              </w:rPr>
            </w:pPr>
            <w:r>
              <w:rPr>
                <w:rFonts w:eastAsia="Times New Roman"/>
                <w:color w:val="000000"/>
                <w:sz w:val="18"/>
                <w:szCs w:val="18"/>
              </w:rPr>
              <w:t>5,758 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D7BF1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CBBAB1"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C5D524"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58EB2CD" w14:textId="77777777" w:rsidR="00000000" w:rsidRDefault="00405D16">
            <w:pPr>
              <w:spacing w:after="100"/>
              <w:jc w:val="right"/>
              <w:rPr>
                <w:rFonts w:eastAsia="Times New Roman"/>
              </w:rPr>
            </w:pPr>
            <w:r>
              <w:rPr>
                <w:rFonts w:eastAsia="Times New Roman"/>
                <w:color w:val="000000"/>
                <w:sz w:val="18"/>
                <w:szCs w:val="18"/>
              </w:rPr>
              <w:t>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6E2B7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85D7D6"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0B5E64A"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D506B8B" w14:textId="77777777" w:rsidR="00000000" w:rsidRDefault="00405D16">
            <w:pPr>
              <w:spacing w:after="100"/>
              <w:jc w:val="right"/>
              <w:rPr>
                <w:rFonts w:eastAsia="Times New Roman"/>
              </w:rPr>
            </w:pPr>
            <w:r>
              <w:rPr>
                <w:rFonts w:eastAsia="Times New Roman"/>
                <w:color w:val="000000"/>
                <w:sz w:val="18"/>
                <w:szCs w:val="18"/>
              </w:rPr>
              <w:t>(476)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3A71F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33BD1F"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DEB094F"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CD0D445" w14:textId="77777777" w:rsidR="00000000" w:rsidRDefault="00405D16">
            <w:pPr>
              <w:spacing w:after="100"/>
              <w:jc w:val="right"/>
              <w:rPr>
                <w:rFonts w:eastAsia="Times New Roman"/>
              </w:rPr>
            </w:pPr>
            <w:r>
              <w:rPr>
                <w:rFonts w:eastAsia="Times New Roman"/>
                <w:color w:val="000000"/>
                <w:sz w:val="18"/>
                <w:szCs w:val="18"/>
              </w:rPr>
              <w:t>(43)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6C3A3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0290C6"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678BD45"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101C287" w14:textId="77777777" w:rsidR="00000000" w:rsidRDefault="00405D16">
            <w:pPr>
              <w:spacing w:after="100"/>
              <w:jc w:val="right"/>
              <w:rPr>
                <w:rFonts w:eastAsia="Times New Roman"/>
              </w:rPr>
            </w:pPr>
            <w:r>
              <w:rPr>
                <w:rFonts w:eastAsia="Times New Roman"/>
                <w:color w:val="000000"/>
                <w:sz w:val="18"/>
                <w:szCs w:val="18"/>
              </w:rPr>
              <w:t>(132)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90934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6FDE25"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2A9FDDF"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E7D11FA" w14:textId="77777777" w:rsidR="00000000" w:rsidRDefault="00405D16">
            <w:pPr>
              <w:spacing w:after="100"/>
              <w:jc w:val="right"/>
              <w:rPr>
                <w:rFonts w:eastAsia="Times New Roman"/>
              </w:rPr>
            </w:pPr>
            <w:r>
              <w:rPr>
                <w:rFonts w:eastAsia="Times New Roman"/>
                <w:color w:val="000000"/>
                <w:sz w:val="18"/>
                <w:szCs w:val="18"/>
              </w:rPr>
              <w:t>706 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2785FA" w14:textId="77777777" w:rsidR="00000000" w:rsidRDefault="00405D16">
            <w:pPr>
              <w:spacing w:after="100"/>
              <w:jc w:val="right"/>
              <w:rPr>
                <w:rFonts w:eastAsia="Times New Roman"/>
              </w:rPr>
            </w:pPr>
          </w:p>
        </w:tc>
      </w:tr>
      <w:tr w:rsidR="00000000" w14:paraId="1FB39753" w14:textId="77777777">
        <w:tc>
          <w:tcPr>
            <w:tcW w:w="0" w:type="auto"/>
            <w:gridSpan w:val="3"/>
            <w:shd w:val="clear" w:color="auto" w:fill="FFFFFF"/>
            <w:tcMar>
              <w:top w:w="30" w:type="dxa"/>
              <w:left w:w="20" w:type="dxa"/>
              <w:bottom w:w="30" w:type="dxa"/>
              <w:right w:w="20" w:type="dxa"/>
            </w:tcMar>
            <w:vAlign w:val="center"/>
            <w:hideMark/>
          </w:tcPr>
          <w:p w14:paraId="0240A52D" w14:textId="77777777" w:rsidR="00000000" w:rsidRDefault="00405D16">
            <w:pPr>
              <w:spacing w:after="100"/>
              <w:divId w:val="490409750"/>
              <w:rPr>
                <w:rFonts w:eastAsia="Times New Roman"/>
              </w:rPr>
            </w:pPr>
            <w:r>
              <w:rPr>
                <w:rFonts w:eastAsia="Times New Roman"/>
                <w:b/>
                <w:bCs/>
                <w:color w:val="000000"/>
                <w:sz w:val="18"/>
                <w:szCs w:val="18"/>
              </w:rPr>
              <w:t>Fair value hedging relationships:</w:t>
            </w:r>
          </w:p>
        </w:tc>
        <w:tc>
          <w:tcPr>
            <w:tcW w:w="0" w:type="auto"/>
            <w:gridSpan w:val="3"/>
            <w:shd w:val="clear" w:color="auto" w:fill="FFFFFF"/>
            <w:tcMar>
              <w:top w:w="0" w:type="dxa"/>
              <w:left w:w="20" w:type="dxa"/>
              <w:bottom w:w="0" w:type="dxa"/>
              <w:right w:w="20" w:type="dxa"/>
            </w:tcMar>
            <w:vAlign w:val="center"/>
            <w:hideMark/>
          </w:tcPr>
          <w:p w14:paraId="050D5231"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16E70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AA2EC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D29124"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16F90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5C716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77AA4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CB42A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C9B03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798E0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4BC71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22926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58593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63189A" w14:textId="77777777" w:rsidR="00000000" w:rsidRDefault="00405D16">
            <w:pPr>
              <w:spacing w:after="100"/>
              <w:rPr>
                <w:rFonts w:eastAsia="Times New Roman"/>
                <w:sz w:val="20"/>
                <w:szCs w:val="20"/>
              </w:rPr>
            </w:pPr>
          </w:p>
        </w:tc>
      </w:tr>
      <w:tr w:rsidR="00000000" w14:paraId="0105170C" w14:textId="77777777">
        <w:tc>
          <w:tcPr>
            <w:tcW w:w="0" w:type="auto"/>
            <w:gridSpan w:val="3"/>
            <w:shd w:val="clear" w:color="auto" w:fill="CCEEFF"/>
            <w:tcMar>
              <w:top w:w="30" w:type="dxa"/>
              <w:left w:w="20" w:type="dxa"/>
              <w:bottom w:w="30" w:type="dxa"/>
              <w:right w:w="20" w:type="dxa"/>
            </w:tcMar>
            <w:vAlign w:val="center"/>
            <w:hideMark/>
          </w:tcPr>
          <w:p w14:paraId="47C11AA7" w14:textId="77777777" w:rsidR="00000000" w:rsidRDefault="00405D16">
            <w:pPr>
              <w:spacing w:after="100"/>
              <w:rPr>
                <w:rFonts w:eastAsia="Times New Roman"/>
              </w:rPr>
            </w:pPr>
            <w:r>
              <w:rPr>
                <w:rFonts w:eastAsia="Times New Roman"/>
                <w:color w:val="000000"/>
                <w:sz w:val="18"/>
                <w:szCs w:val="18"/>
              </w:rPr>
              <w:t>Interest rate and foreign exchange contracts:</w:t>
            </w:r>
          </w:p>
        </w:tc>
        <w:tc>
          <w:tcPr>
            <w:tcW w:w="0" w:type="auto"/>
            <w:gridSpan w:val="3"/>
            <w:shd w:val="clear" w:color="auto" w:fill="CCEEFF"/>
            <w:tcMar>
              <w:top w:w="0" w:type="dxa"/>
              <w:left w:w="20" w:type="dxa"/>
              <w:bottom w:w="0" w:type="dxa"/>
              <w:right w:w="20" w:type="dxa"/>
            </w:tcMar>
            <w:vAlign w:val="center"/>
            <w:hideMark/>
          </w:tcPr>
          <w:p w14:paraId="562847CB"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57096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10289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F19B2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D9AB1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846FB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BF60D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F3781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51FB1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1A962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FFE74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58921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E8790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770B9B" w14:textId="77777777" w:rsidR="00000000" w:rsidRDefault="00405D16">
            <w:pPr>
              <w:spacing w:after="100"/>
              <w:rPr>
                <w:rFonts w:eastAsia="Times New Roman"/>
                <w:sz w:val="20"/>
                <w:szCs w:val="20"/>
              </w:rPr>
            </w:pPr>
          </w:p>
        </w:tc>
      </w:tr>
      <w:tr w:rsidR="00405D16" w14:paraId="0B9051FA" w14:textId="77777777">
        <w:tc>
          <w:tcPr>
            <w:tcW w:w="0" w:type="auto"/>
            <w:gridSpan w:val="3"/>
            <w:shd w:val="clear" w:color="auto" w:fill="FFFFFF"/>
            <w:tcMar>
              <w:top w:w="30" w:type="dxa"/>
              <w:left w:w="245" w:type="dxa"/>
              <w:bottom w:w="30" w:type="dxa"/>
              <w:right w:w="20" w:type="dxa"/>
            </w:tcMar>
            <w:vAlign w:val="center"/>
            <w:hideMark/>
          </w:tcPr>
          <w:p w14:paraId="3B51E3C1" w14:textId="77777777" w:rsidR="00000000" w:rsidRDefault="00405D16">
            <w:pPr>
              <w:spacing w:after="100"/>
              <w:rPr>
                <w:rFonts w:eastAsia="Times New Roman"/>
              </w:rPr>
            </w:pPr>
            <w:r>
              <w:rPr>
                <w:rFonts w:eastAsia="Times New Roman"/>
                <w:color w:val="000000"/>
                <w:sz w:val="18"/>
                <w:szCs w:val="18"/>
              </w:rPr>
              <w:t>Interest recognized on derivatives</w:t>
            </w:r>
          </w:p>
        </w:tc>
        <w:tc>
          <w:tcPr>
            <w:tcW w:w="0" w:type="auto"/>
            <w:gridSpan w:val="3"/>
            <w:shd w:val="clear" w:color="auto" w:fill="FFFFFF"/>
            <w:tcMar>
              <w:top w:w="0" w:type="dxa"/>
              <w:left w:w="20" w:type="dxa"/>
              <w:bottom w:w="0" w:type="dxa"/>
              <w:right w:w="20" w:type="dxa"/>
            </w:tcMar>
            <w:vAlign w:val="center"/>
            <w:hideMark/>
          </w:tcPr>
          <w:p w14:paraId="4F9B2606"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0E0EA15B"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250C61F" w14:textId="77777777" w:rsidR="00000000" w:rsidRDefault="00405D16">
            <w:pPr>
              <w:spacing w:after="100"/>
              <w:jc w:val="right"/>
              <w:rPr>
                <w:rFonts w:eastAsia="Times New Roman"/>
              </w:rPr>
            </w:pPr>
            <w:r>
              <w:rPr>
                <w:rFonts w:eastAsia="Times New Roman"/>
                <w:color w:val="000000"/>
                <w:sz w:val="18"/>
                <w:szCs w:val="18"/>
              </w:rPr>
              <w:t>(23)</w:t>
            </w:r>
          </w:p>
        </w:tc>
        <w:tc>
          <w:tcPr>
            <w:tcW w:w="0" w:type="auto"/>
            <w:shd w:val="clear" w:color="auto" w:fill="FFFFFF"/>
            <w:tcMar>
              <w:top w:w="30" w:type="dxa"/>
              <w:left w:w="0" w:type="dxa"/>
              <w:bottom w:w="30" w:type="dxa"/>
              <w:right w:w="20" w:type="dxa"/>
            </w:tcMar>
            <w:vAlign w:val="bottom"/>
            <w:hideMark/>
          </w:tcPr>
          <w:p w14:paraId="4FCD779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71BE04"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E9350FB"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496897F"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2E259E9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41A4F9"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562E569"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E07B7DA"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5924DD5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4C46D1"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745B590"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853360B" w14:textId="77777777" w:rsidR="00000000" w:rsidRDefault="00405D16">
            <w:pPr>
              <w:spacing w:after="100"/>
              <w:jc w:val="right"/>
              <w:rPr>
                <w:rFonts w:eastAsia="Times New Roman"/>
              </w:rPr>
            </w:pPr>
            <w:r>
              <w:rPr>
                <w:rFonts w:eastAsia="Times New Roman"/>
                <w:color w:val="000000"/>
                <w:sz w:val="18"/>
                <w:szCs w:val="18"/>
              </w:rPr>
              <w:t>44 </w:t>
            </w:r>
          </w:p>
        </w:tc>
        <w:tc>
          <w:tcPr>
            <w:tcW w:w="0" w:type="auto"/>
            <w:shd w:val="clear" w:color="auto" w:fill="FFFFFF"/>
            <w:tcMar>
              <w:top w:w="30" w:type="dxa"/>
              <w:left w:w="0" w:type="dxa"/>
              <w:bottom w:w="30" w:type="dxa"/>
              <w:right w:w="20" w:type="dxa"/>
            </w:tcMar>
            <w:vAlign w:val="bottom"/>
            <w:hideMark/>
          </w:tcPr>
          <w:p w14:paraId="2B4D30F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5B6B96"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D3B31C3"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2F0B845" w14:textId="77777777" w:rsidR="00000000" w:rsidRDefault="00405D16">
            <w:pPr>
              <w:spacing w:after="100"/>
              <w:jc w:val="right"/>
              <w:rPr>
                <w:rFonts w:eastAsia="Times New Roman"/>
              </w:rPr>
            </w:pPr>
            <w:r>
              <w:rPr>
                <w:rFonts w:eastAsia="Times New Roman"/>
                <w:color w:val="000000"/>
                <w:sz w:val="18"/>
                <w:szCs w:val="18"/>
              </w:rPr>
              <w:t>40 </w:t>
            </w:r>
          </w:p>
        </w:tc>
        <w:tc>
          <w:tcPr>
            <w:tcW w:w="0" w:type="auto"/>
            <w:shd w:val="clear" w:color="auto" w:fill="FFFFFF"/>
            <w:tcMar>
              <w:top w:w="30" w:type="dxa"/>
              <w:left w:w="0" w:type="dxa"/>
              <w:bottom w:w="30" w:type="dxa"/>
              <w:right w:w="20" w:type="dxa"/>
            </w:tcMar>
            <w:vAlign w:val="bottom"/>
            <w:hideMark/>
          </w:tcPr>
          <w:p w14:paraId="57D9EBE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3C1000"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13EBF58"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F3F69AA" w14:textId="77777777" w:rsidR="00000000" w:rsidRDefault="00405D16">
            <w:pPr>
              <w:spacing w:after="100"/>
              <w:jc w:val="right"/>
              <w:rPr>
                <w:rFonts w:eastAsia="Times New Roman"/>
              </w:rPr>
            </w:pPr>
            <w:r>
              <w:rPr>
                <w:rFonts w:eastAsia="Times New Roman"/>
                <w:color w:val="000000"/>
                <w:sz w:val="18"/>
                <w:szCs w:val="18"/>
              </w:rPr>
              <w:t>56 </w:t>
            </w:r>
          </w:p>
        </w:tc>
        <w:tc>
          <w:tcPr>
            <w:tcW w:w="0" w:type="auto"/>
            <w:shd w:val="clear" w:color="auto" w:fill="FFFFFF"/>
            <w:tcMar>
              <w:top w:w="30" w:type="dxa"/>
              <w:left w:w="0" w:type="dxa"/>
              <w:bottom w:w="30" w:type="dxa"/>
              <w:right w:w="20" w:type="dxa"/>
            </w:tcMar>
            <w:vAlign w:val="bottom"/>
            <w:hideMark/>
          </w:tcPr>
          <w:p w14:paraId="5EC5584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D96EFE"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783EB20"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AE01731"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01E6BA93" w14:textId="77777777" w:rsidR="00000000" w:rsidRDefault="00405D16">
            <w:pPr>
              <w:spacing w:after="100"/>
              <w:jc w:val="right"/>
              <w:rPr>
                <w:rFonts w:eastAsia="Times New Roman"/>
              </w:rPr>
            </w:pPr>
          </w:p>
        </w:tc>
      </w:tr>
      <w:tr w:rsidR="00000000" w14:paraId="2F670636" w14:textId="77777777">
        <w:tc>
          <w:tcPr>
            <w:tcW w:w="0" w:type="auto"/>
            <w:gridSpan w:val="3"/>
            <w:shd w:val="clear" w:color="auto" w:fill="CCEEFF"/>
            <w:tcMar>
              <w:top w:w="30" w:type="dxa"/>
              <w:left w:w="245" w:type="dxa"/>
              <w:bottom w:w="30" w:type="dxa"/>
              <w:right w:w="20" w:type="dxa"/>
            </w:tcMar>
            <w:vAlign w:val="center"/>
            <w:hideMark/>
          </w:tcPr>
          <w:p w14:paraId="3AA59C9E" w14:textId="77777777" w:rsidR="00000000" w:rsidRDefault="00405D16">
            <w:pPr>
              <w:spacing w:after="100"/>
              <w:rPr>
                <w:rFonts w:eastAsia="Times New Roman"/>
              </w:rPr>
            </w:pPr>
            <w:r>
              <w:rPr>
                <w:rFonts w:eastAsia="Times New Roman"/>
                <w:color w:val="000000"/>
                <w:sz w:val="18"/>
                <w:szCs w:val="18"/>
              </w:rPr>
              <w:t>Gains (losses) recognized on derivatives</w:t>
            </w:r>
          </w:p>
        </w:tc>
        <w:tc>
          <w:tcPr>
            <w:tcW w:w="0" w:type="auto"/>
            <w:gridSpan w:val="3"/>
            <w:shd w:val="clear" w:color="auto" w:fill="CCEEFF"/>
            <w:tcMar>
              <w:top w:w="0" w:type="dxa"/>
              <w:left w:w="20" w:type="dxa"/>
              <w:bottom w:w="0" w:type="dxa"/>
              <w:right w:w="20" w:type="dxa"/>
            </w:tcMar>
            <w:vAlign w:val="center"/>
            <w:hideMark/>
          </w:tcPr>
          <w:p w14:paraId="7E763E17"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938EE12" w14:textId="77777777" w:rsidR="00000000" w:rsidRDefault="00405D16">
            <w:pPr>
              <w:spacing w:after="100"/>
              <w:jc w:val="right"/>
              <w:rPr>
                <w:rFonts w:eastAsia="Times New Roman"/>
              </w:rPr>
            </w:pPr>
            <w:r>
              <w:rPr>
                <w:rFonts w:eastAsia="Times New Roman"/>
                <w:color w:val="000000"/>
                <w:sz w:val="18"/>
                <w:szCs w:val="18"/>
              </w:rPr>
              <w:t>24 </w:t>
            </w:r>
          </w:p>
        </w:tc>
        <w:tc>
          <w:tcPr>
            <w:tcW w:w="0" w:type="auto"/>
            <w:shd w:val="clear" w:color="auto" w:fill="CCEEFF"/>
            <w:tcMar>
              <w:top w:w="30" w:type="dxa"/>
              <w:left w:w="0" w:type="dxa"/>
              <w:bottom w:w="30" w:type="dxa"/>
              <w:right w:w="20" w:type="dxa"/>
            </w:tcMar>
            <w:vAlign w:val="bottom"/>
            <w:hideMark/>
          </w:tcPr>
          <w:p w14:paraId="3811E9C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433F5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E15BE6"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488F4CF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8955D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AFAB7D"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1D52E10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90BFA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158D9D" w14:textId="77777777" w:rsidR="00000000" w:rsidRDefault="00405D16">
            <w:pPr>
              <w:spacing w:after="100"/>
              <w:jc w:val="right"/>
              <w:rPr>
                <w:rFonts w:eastAsia="Times New Roman"/>
              </w:rPr>
            </w:pPr>
            <w:r>
              <w:rPr>
                <w:rFonts w:eastAsia="Times New Roman"/>
                <w:color w:val="000000"/>
                <w:sz w:val="18"/>
                <w:szCs w:val="18"/>
              </w:rPr>
              <w:t>(47)</w:t>
            </w:r>
          </w:p>
        </w:tc>
        <w:tc>
          <w:tcPr>
            <w:tcW w:w="0" w:type="auto"/>
            <w:shd w:val="clear" w:color="auto" w:fill="CCEEFF"/>
            <w:tcMar>
              <w:top w:w="30" w:type="dxa"/>
              <w:left w:w="0" w:type="dxa"/>
              <w:bottom w:w="30" w:type="dxa"/>
              <w:right w:w="20" w:type="dxa"/>
            </w:tcMar>
            <w:vAlign w:val="bottom"/>
            <w:hideMark/>
          </w:tcPr>
          <w:p w14:paraId="38E683F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629DC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4CF5AD" w14:textId="77777777" w:rsidR="00000000" w:rsidRDefault="00405D16">
            <w:pPr>
              <w:spacing w:after="100"/>
              <w:jc w:val="right"/>
              <w:rPr>
                <w:rFonts w:eastAsia="Times New Roman"/>
              </w:rPr>
            </w:pPr>
            <w:r>
              <w:rPr>
                <w:rFonts w:eastAsia="Times New Roman"/>
                <w:color w:val="000000"/>
                <w:sz w:val="18"/>
                <w:szCs w:val="18"/>
              </w:rPr>
              <w:t>(48)</w:t>
            </w:r>
          </w:p>
        </w:tc>
        <w:tc>
          <w:tcPr>
            <w:tcW w:w="0" w:type="auto"/>
            <w:shd w:val="clear" w:color="auto" w:fill="CCEEFF"/>
            <w:tcMar>
              <w:top w:w="30" w:type="dxa"/>
              <w:left w:w="0" w:type="dxa"/>
              <w:bottom w:w="30" w:type="dxa"/>
              <w:right w:w="20" w:type="dxa"/>
            </w:tcMar>
            <w:vAlign w:val="bottom"/>
            <w:hideMark/>
          </w:tcPr>
          <w:p w14:paraId="2B79C1D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0E46B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BB0297" w14:textId="77777777" w:rsidR="00000000" w:rsidRDefault="00405D16">
            <w:pPr>
              <w:spacing w:after="100"/>
              <w:jc w:val="right"/>
              <w:rPr>
                <w:rFonts w:eastAsia="Times New Roman"/>
              </w:rPr>
            </w:pPr>
            <w:r>
              <w:rPr>
                <w:rFonts w:eastAsia="Times New Roman"/>
                <w:color w:val="000000"/>
                <w:sz w:val="18"/>
                <w:szCs w:val="18"/>
              </w:rPr>
              <w:t>(72)</w:t>
            </w:r>
          </w:p>
        </w:tc>
        <w:tc>
          <w:tcPr>
            <w:tcW w:w="0" w:type="auto"/>
            <w:shd w:val="clear" w:color="auto" w:fill="CCEEFF"/>
            <w:tcMar>
              <w:top w:w="30" w:type="dxa"/>
              <w:left w:w="0" w:type="dxa"/>
              <w:bottom w:w="30" w:type="dxa"/>
              <w:right w:w="20" w:type="dxa"/>
            </w:tcMar>
            <w:vAlign w:val="bottom"/>
            <w:hideMark/>
          </w:tcPr>
          <w:p w14:paraId="285F324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19667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7D1A21" w14:textId="77777777" w:rsidR="00000000" w:rsidRDefault="00405D16">
            <w:pPr>
              <w:spacing w:after="100"/>
              <w:jc w:val="right"/>
              <w:rPr>
                <w:rFonts w:eastAsia="Times New Roman"/>
              </w:rPr>
            </w:pPr>
            <w:r>
              <w:rPr>
                <w:rFonts w:eastAsia="Times New Roman"/>
                <w:color w:val="000000"/>
                <w:sz w:val="18"/>
                <w:szCs w:val="18"/>
              </w:rPr>
              <w:t>61 </w:t>
            </w:r>
          </w:p>
        </w:tc>
        <w:tc>
          <w:tcPr>
            <w:tcW w:w="0" w:type="auto"/>
            <w:shd w:val="clear" w:color="auto" w:fill="CCEEFF"/>
            <w:tcMar>
              <w:top w:w="30" w:type="dxa"/>
              <w:left w:w="0" w:type="dxa"/>
              <w:bottom w:w="30" w:type="dxa"/>
              <w:right w:w="20" w:type="dxa"/>
            </w:tcMar>
            <w:vAlign w:val="bottom"/>
            <w:hideMark/>
          </w:tcPr>
          <w:p w14:paraId="5E604C96" w14:textId="77777777" w:rsidR="00000000" w:rsidRDefault="00405D16">
            <w:pPr>
              <w:spacing w:after="100"/>
              <w:jc w:val="right"/>
              <w:rPr>
                <w:rFonts w:eastAsia="Times New Roman"/>
              </w:rPr>
            </w:pPr>
          </w:p>
        </w:tc>
      </w:tr>
      <w:tr w:rsidR="00000000" w14:paraId="773DA90E" w14:textId="77777777">
        <w:tc>
          <w:tcPr>
            <w:tcW w:w="0" w:type="auto"/>
            <w:gridSpan w:val="3"/>
            <w:shd w:val="clear" w:color="auto" w:fill="FFFFFF"/>
            <w:tcMar>
              <w:top w:w="30" w:type="dxa"/>
              <w:left w:w="20" w:type="dxa"/>
              <w:bottom w:w="30" w:type="dxa"/>
              <w:right w:w="20" w:type="dxa"/>
            </w:tcMar>
            <w:vAlign w:val="center"/>
            <w:hideMark/>
          </w:tcPr>
          <w:p w14:paraId="1E6618CA" w14:textId="77777777" w:rsidR="00000000" w:rsidRDefault="00405D16">
            <w:pPr>
              <w:spacing w:after="100"/>
              <w:divId w:val="1392343686"/>
              <w:rPr>
                <w:rFonts w:eastAsia="Times New Roman"/>
              </w:rPr>
            </w:pPr>
            <w:r>
              <w:rPr>
                <w:rFonts w:eastAsia="Times New Roman"/>
                <w:color w:val="000000"/>
                <w:sz w:val="18"/>
                <w:szCs w:val="18"/>
              </w:rPr>
              <w:t>Gains (losses) recognized on hedged item</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4DD1C8AF"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40CD079" w14:textId="77777777" w:rsidR="00000000" w:rsidRDefault="00405D16">
            <w:pPr>
              <w:spacing w:after="100"/>
              <w:jc w:val="right"/>
              <w:rPr>
                <w:rFonts w:eastAsia="Times New Roman"/>
              </w:rPr>
            </w:pPr>
            <w:r>
              <w:rPr>
                <w:rFonts w:eastAsia="Times New Roman"/>
                <w:color w:val="000000"/>
                <w:sz w:val="18"/>
                <w:szCs w:val="18"/>
              </w:rPr>
              <w:t>(31)</w:t>
            </w:r>
          </w:p>
        </w:tc>
        <w:tc>
          <w:tcPr>
            <w:tcW w:w="0" w:type="auto"/>
            <w:shd w:val="clear" w:color="auto" w:fill="FFFFFF"/>
            <w:tcMar>
              <w:top w:w="30" w:type="dxa"/>
              <w:left w:w="0" w:type="dxa"/>
              <w:bottom w:w="30" w:type="dxa"/>
              <w:right w:w="20" w:type="dxa"/>
            </w:tcMar>
            <w:vAlign w:val="bottom"/>
            <w:hideMark/>
          </w:tcPr>
          <w:p w14:paraId="7AA65ED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91306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F9BDCC"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66F31CA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9F92C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CEC125"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19D4950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65758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596812" w14:textId="77777777" w:rsidR="00000000" w:rsidRDefault="00405D16">
            <w:pPr>
              <w:spacing w:after="100"/>
              <w:jc w:val="right"/>
              <w:rPr>
                <w:rFonts w:eastAsia="Times New Roman"/>
              </w:rPr>
            </w:pPr>
            <w:r>
              <w:rPr>
                <w:rFonts w:eastAsia="Times New Roman"/>
                <w:color w:val="000000"/>
                <w:sz w:val="18"/>
                <w:szCs w:val="18"/>
              </w:rPr>
              <w:t>48 </w:t>
            </w:r>
          </w:p>
        </w:tc>
        <w:tc>
          <w:tcPr>
            <w:tcW w:w="0" w:type="auto"/>
            <w:shd w:val="clear" w:color="auto" w:fill="FFFFFF"/>
            <w:tcMar>
              <w:top w:w="30" w:type="dxa"/>
              <w:left w:w="0" w:type="dxa"/>
              <w:bottom w:w="30" w:type="dxa"/>
              <w:right w:w="20" w:type="dxa"/>
            </w:tcMar>
            <w:vAlign w:val="bottom"/>
            <w:hideMark/>
          </w:tcPr>
          <w:p w14:paraId="56FA59B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4FF5B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92C845" w14:textId="77777777" w:rsidR="00000000" w:rsidRDefault="00405D16">
            <w:pPr>
              <w:spacing w:after="100"/>
              <w:jc w:val="right"/>
              <w:rPr>
                <w:rFonts w:eastAsia="Times New Roman"/>
              </w:rPr>
            </w:pPr>
            <w:r>
              <w:rPr>
                <w:rFonts w:eastAsia="Times New Roman"/>
                <w:color w:val="000000"/>
                <w:sz w:val="18"/>
                <w:szCs w:val="18"/>
              </w:rPr>
              <w:t>41 </w:t>
            </w:r>
          </w:p>
        </w:tc>
        <w:tc>
          <w:tcPr>
            <w:tcW w:w="0" w:type="auto"/>
            <w:shd w:val="clear" w:color="auto" w:fill="FFFFFF"/>
            <w:tcMar>
              <w:top w:w="30" w:type="dxa"/>
              <w:left w:w="0" w:type="dxa"/>
              <w:bottom w:w="30" w:type="dxa"/>
              <w:right w:w="20" w:type="dxa"/>
            </w:tcMar>
            <w:vAlign w:val="bottom"/>
            <w:hideMark/>
          </w:tcPr>
          <w:p w14:paraId="1D19E7E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E1F41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5DDD2A" w14:textId="77777777" w:rsidR="00000000" w:rsidRDefault="00405D16">
            <w:pPr>
              <w:spacing w:after="100"/>
              <w:jc w:val="right"/>
              <w:rPr>
                <w:rFonts w:eastAsia="Times New Roman"/>
              </w:rPr>
            </w:pPr>
            <w:r>
              <w:rPr>
                <w:rFonts w:eastAsia="Times New Roman"/>
                <w:color w:val="000000"/>
                <w:sz w:val="18"/>
                <w:szCs w:val="18"/>
              </w:rPr>
              <w:t>111 </w:t>
            </w:r>
          </w:p>
        </w:tc>
        <w:tc>
          <w:tcPr>
            <w:tcW w:w="0" w:type="auto"/>
            <w:shd w:val="clear" w:color="auto" w:fill="FFFFFF"/>
            <w:tcMar>
              <w:top w:w="30" w:type="dxa"/>
              <w:left w:w="0" w:type="dxa"/>
              <w:bottom w:w="30" w:type="dxa"/>
              <w:right w:w="20" w:type="dxa"/>
            </w:tcMar>
            <w:vAlign w:val="bottom"/>
            <w:hideMark/>
          </w:tcPr>
          <w:p w14:paraId="53FA60A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5BFDE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286913" w14:textId="77777777" w:rsidR="00000000" w:rsidRDefault="00405D16">
            <w:pPr>
              <w:spacing w:after="100"/>
              <w:jc w:val="right"/>
              <w:rPr>
                <w:rFonts w:eastAsia="Times New Roman"/>
              </w:rPr>
            </w:pPr>
            <w:r>
              <w:rPr>
                <w:rFonts w:eastAsia="Times New Roman"/>
                <w:color w:val="000000"/>
                <w:sz w:val="18"/>
                <w:szCs w:val="18"/>
              </w:rPr>
              <w:t>(61)</w:t>
            </w:r>
          </w:p>
        </w:tc>
        <w:tc>
          <w:tcPr>
            <w:tcW w:w="0" w:type="auto"/>
            <w:shd w:val="clear" w:color="auto" w:fill="FFFFFF"/>
            <w:tcMar>
              <w:top w:w="30" w:type="dxa"/>
              <w:left w:w="0" w:type="dxa"/>
              <w:bottom w:w="30" w:type="dxa"/>
              <w:right w:w="20" w:type="dxa"/>
            </w:tcMar>
            <w:vAlign w:val="bottom"/>
            <w:hideMark/>
          </w:tcPr>
          <w:p w14:paraId="3C53D5CB" w14:textId="77777777" w:rsidR="00000000" w:rsidRDefault="00405D16">
            <w:pPr>
              <w:spacing w:after="100"/>
              <w:jc w:val="right"/>
              <w:rPr>
                <w:rFonts w:eastAsia="Times New Roman"/>
              </w:rPr>
            </w:pPr>
          </w:p>
        </w:tc>
      </w:tr>
      <w:tr w:rsidR="00000000" w14:paraId="7364424B" w14:textId="77777777">
        <w:tc>
          <w:tcPr>
            <w:tcW w:w="0" w:type="auto"/>
            <w:gridSpan w:val="3"/>
            <w:shd w:val="clear" w:color="auto" w:fill="CCEEFF"/>
            <w:tcMar>
              <w:top w:w="30" w:type="dxa"/>
              <w:left w:w="20" w:type="dxa"/>
              <w:bottom w:w="30" w:type="dxa"/>
              <w:right w:w="20" w:type="dxa"/>
            </w:tcMar>
            <w:vAlign w:val="center"/>
            <w:hideMark/>
          </w:tcPr>
          <w:p w14:paraId="138B75E6" w14:textId="77777777" w:rsidR="00000000" w:rsidRDefault="00405D16">
            <w:pPr>
              <w:spacing w:after="100"/>
              <w:divId w:val="463668041"/>
              <w:rPr>
                <w:rFonts w:eastAsia="Times New Roman"/>
              </w:rPr>
            </w:pPr>
            <w:r>
              <w:rPr>
                <w:rFonts w:eastAsia="Times New Roman"/>
                <w:color w:val="000000"/>
                <w:sz w:val="18"/>
                <w:szCs w:val="18"/>
              </w:rPr>
              <w:t>Excluded component of fair value hedge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6836BD1D"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701E318"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3E71D63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3445F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6DC95C"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6ED2AF1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93783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78C49A"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131B3F3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559AD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2307B8"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3CEC0C3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9D62D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E48E52"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4134A19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2770A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1A6261" w14:textId="77777777" w:rsidR="00000000" w:rsidRDefault="00405D16">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14:paraId="363D12A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0194B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B22617"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486C0763" w14:textId="77777777" w:rsidR="00000000" w:rsidRDefault="00405D16">
            <w:pPr>
              <w:spacing w:after="100"/>
              <w:jc w:val="right"/>
              <w:rPr>
                <w:rFonts w:eastAsia="Times New Roman"/>
              </w:rPr>
            </w:pPr>
          </w:p>
        </w:tc>
      </w:tr>
      <w:tr w:rsidR="00405D16" w14:paraId="407A982B" w14:textId="77777777">
        <w:tc>
          <w:tcPr>
            <w:tcW w:w="0" w:type="auto"/>
            <w:gridSpan w:val="3"/>
            <w:shd w:val="clear" w:color="auto" w:fill="FFFFFF"/>
            <w:tcMar>
              <w:top w:w="30" w:type="dxa"/>
              <w:left w:w="20" w:type="dxa"/>
              <w:bottom w:w="30" w:type="dxa"/>
              <w:right w:w="20" w:type="dxa"/>
            </w:tcMar>
            <w:vAlign w:val="center"/>
            <w:hideMark/>
          </w:tcPr>
          <w:p w14:paraId="68503593" w14:textId="77777777" w:rsidR="00000000" w:rsidRDefault="00405D16">
            <w:pPr>
              <w:spacing w:after="100"/>
              <w:rPr>
                <w:rFonts w:eastAsia="Times New Roman"/>
              </w:rPr>
            </w:pPr>
            <w:r>
              <w:rPr>
                <w:rFonts w:eastAsia="Times New Roman"/>
                <w:color w:val="000000"/>
                <w:sz w:val="18"/>
                <w:szCs w:val="18"/>
              </w:rPr>
              <w:t>Net income (expense) recognized on fair value hedges</w:t>
            </w:r>
          </w:p>
        </w:tc>
        <w:tc>
          <w:tcPr>
            <w:tcW w:w="0" w:type="auto"/>
            <w:gridSpan w:val="3"/>
            <w:shd w:val="clear" w:color="auto" w:fill="FFFFFF"/>
            <w:tcMar>
              <w:top w:w="0" w:type="dxa"/>
              <w:left w:w="20" w:type="dxa"/>
              <w:bottom w:w="0" w:type="dxa"/>
              <w:right w:w="20" w:type="dxa"/>
            </w:tcMar>
            <w:vAlign w:val="center"/>
            <w:hideMark/>
          </w:tcPr>
          <w:p w14:paraId="68242BD4" w14:textId="77777777" w:rsidR="00000000" w:rsidRDefault="00405D16">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EB265A4"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CF2278F" w14:textId="77777777" w:rsidR="00000000" w:rsidRDefault="00405D16">
            <w:pPr>
              <w:spacing w:after="100"/>
              <w:jc w:val="right"/>
              <w:rPr>
                <w:rFonts w:eastAsia="Times New Roman"/>
              </w:rPr>
            </w:pPr>
            <w:r>
              <w:rPr>
                <w:rFonts w:eastAsia="Times New Roman"/>
                <w:color w:val="000000"/>
                <w:sz w:val="18"/>
                <w:szCs w:val="18"/>
              </w:rPr>
              <w:t>(30)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0E470C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C6E48C"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73AA46E"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FC2D411" w14:textId="77777777" w:rsidR="00000000" w:rsidRDefault="00405D16">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04E94A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A9838B"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F2819CD"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072B10E" w14:textId="77777777" w:rsidR="00000000" w:rsidRDefault="00405D16">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AFF346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898CAF"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6E703CB"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7896401" w14:textId="77777777" w:rsidR="00000000" w:rsidRDefault="00405D16">
            <w:pPr>
              <w:spacing w:after="100"/>
              <w:jc w:val="right"/>
              <w:rPr>
                <w:rFonts w:eastAsia="Times New Roman"/>
              </w:rPr>
            </w:pPr>
            <w:r>
              <w:rPr>
                <w:rFonts w:eastAsia="Times New Roman"/>
                <w:color w:val="000000"/>
                <w:sz w:val="18"/>
                <w:szCs w:val="18"/>
              </w:rPr>
              <w:t>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CCE4B5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2DEFD2"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A563E9B"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9AC88C4" w14:textId="77777777" w:rsidR="00000000" w:rsidRDefault="00405D16">
            <w:pPr>
              <w:spacing w:after="100"/>
              <w:jc w:val="right"/>
              <w:rPr>
                <w:rFonts w:eastAsia="Times New Roman"/>
              </w:rPr>
            </w:pPr>
            <w:r>
              <w:rPr>
                <w:rFonts w:eastAsia="Times New Roman"/>
                <w:color w:val="000000"/>
                <w:sz w:val="18"/>
                <w:szCs w:val="18"/>
              </w:rPr>
              <w:t>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B07937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B1AC13"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7233F4D"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E40441C" w14:textId="77777777" w:rsidR="00000000" w:rsidRDefault="00405D16">
            <w:pPr>
              <w:spacing w:after="100"/>
              <w:jc w:val="right"/>
              <w:rPr>
                <w:rFonts w:eastAsia="Times New Roman"/>
              </w:rPr>
            </w:pPr>
            <w:r>
              <w:rPr>
                <w:rFonts w:eastAsia="Times New Roman"/>
                <w:color w:val="000000"/>
                <w:sz w:val="18"/>
                <w:szCs w:val="18"/>
              </w:rPr>
              <w:t>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281EFE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DCD246"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B7B961C"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F3A7003" w14:textId="77777777" w:rsidR="00000000" w:rsidRDefault="00405D16">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FE7F3A3" w14:textId="77777777" w:rsidR="00000000" w:rsidRDefault="00405D16">
            <w:pPr>
              <w:spacing w:after="100"/>
              <w:jc w:val="right"/>
              <w:rPr>
                <w:rFonts w:eastAsia="Times New Roman"/>
              </w:rPr>
            </w:pPr>
          </w:p>
        </w:tc>
      </w:tr>
      <w:tr w:rsidR="00000000" w14:paraId="30B5F3BF" w14:textId="77777777">
        <w:tc>
          <w:tcPr>
            <w:tcW w:w="0" w:type="auto"/>
            <w:gridSpan w:val="3"/>
            <w:shd w:val="clear" w:color="auto" w:fill="CCEEFF"/>
            <w:tcMar>
              <w:top w:w="30" w:type="dxa"/>
              <w:left w:w="20" w:type="dxa"/>
              <w:bottom w:w="30" w:type="dxa"/>
              <w:right w:w="20" w:type="dxa"/>
            </w:tcMar>
            <w:vAlign w:val="center"/>
            <w:hideMark/>
          </w:tcPr>
          <w:p w14:paraId="3A2C8F4D" w14:textId="77777777" w:rsidR="00000000" w:rsidRDefault="00405D16">
            <w:pPr>
              <w:spacing w:after="100"/>
              <w:divId w:val="230583320"/>
              <w:rPr>
                <w:rFonts w:eastAsia="Times New Roman"/>
              </w:rPr>
            </w:pPr>
            <w:r>
              <w:rPr>
                <w:rFonts w:eastAsia="Times New Roman"/>
                <w:b/>
                <w:bCs/>
                <w:color w:val="000000"/>
                <w:sz w:val="18"/>
                <w:szCs w:val="18"/>
              </w:rPr>
              <w:t>Cash flow hedging relationships</w:t>
            </w:r>
            <w:r>
              <w:rPr>
                <w:rFonts w:eastAsia="Times New Roman"/>
                <w:b/>
                <w:bCs/>
                <w:color w:val="000000"/>
                <w:sz w:val="18"/>
                <w:szCs w:val="18"/>
              </w:rPr>
              <w:t>:</w:t>
            </w:r>
            <w:r>
              <w:rPr>
                <w:rFonts w:eastAsia="Times New Roman"/>
                <w:b/>
                <w:bCs/>
                <w:color w:val="000000"/>
                <w:sz w:val="12"/>
                <w:szCs w:val="12"/>
              </w:rPr>
              <w:t>(3</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5A82431B" w14:textId="77777777" w:rsidR="00000000" w:rsidRDefault="00405D16">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2553D3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1B7CF2"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895085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6D9C76"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018572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D519EF"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A50D5B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22C869"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36F273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3FE589"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05584F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DB13E2"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E968D42" w14:textId="77777777" w:rsidR="00000000" w:rsidRDefault="00405D16">
            <w:pPr>
              <w:spacing w:after="100"/>
              <w:rPr>
                <w:rFonts w:eastAsia="Times New Roman"/>
                <w:sz w:val="20"/>
                <w:szCs w:val="20"/>
              </w:rPr>
            </w:pPr>
          </w:p>
        </w:tc>
      </w:tr>
      <w:tr w:rsidR="00000000" w14:paraId="7737884A" w14:textId="77777777">
        <w:tc>
          <w:tcPr>
            <w:tcW w:w="0" w:type="auto"/>
            <w:gridSpan w:val="3"/>
            <w:shd w:val="clear" w:color="auto" w:fill="FFFFFF"/>
            <w:tcMar>
              <w:top w:w="30" w:type="dxa"/>
              <w:left w:w="20" w:type="dxa"/>
              <w:bottom w:w="30" w:type="dxa"/>
              <w:right w:w="20" w:type="dxa"/>
            </w:tcMar>
            <w:vAlign w:val="center"/>
            <w:hideMark/>
          </w:tcPr>
          <w:p w14:paraId="4F54A6E6" w14:textId="77777777" w:rsidR="00000000" w:rsidRDefault="00405D16">
            <w:pPr>
              <w:spacing w:after="100"/>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14:paraId="7D93AE73"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987D5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0E684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C3193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AA963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5189E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245F8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717424"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81687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91597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22524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BBF14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23BEB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58DD89" w14:textId="77777777" w:rsidR="00000000" w:rsidRDefault="00405D16">
            <w:pPr>
              <w:spacing w:after="100"/>
              <w:rPr>
                <w:rFonts w:eastAsia="Times New Roman"/>
                <w:sz w:val="20"/>
                <w:szCs w:val="20"/>
              </w:rPr>
            </w:pPr>
          </w:p>
        </w:tc>
      </w:tr>
      <w:tr w:rsidR="00405D16" w14:paraId="04E17FA9" w14:textId="77777777">
        <w:tc>
          <w:tcPr>
            <w:tcW w:w="0" w:type="auto"/>
            <w:gridSpan w:val="3"/>
            <w:shd w:val="clear" w:color="auto" w:fill="CCEEFF"/>
            <w:tcMar>
              <w:top w:w="30" w:type="dxa"/>
              <w:left w:w="245" w:type="dxa"/>
              <w:bottom w:w="30" w:type="dxa"/>
              <w:right w:w="20" w:type="dxa"/>
            </w:tcMar>
            <w:vAlign w:val="center"/>
            <w:hideMark/>
          </w:tcPr>
          <w:p w14:paraId="28746F94" w14:textId="77777777" w:rsidR="00000000" w:rsidRDefault="00405D16">
            <w:pPr>
              <w:spacing w:after="100"/>
              <w:rPr>
                <w:rFonts w:eastAsia="Times New Roman"/>
              </w:rPr>
            </w:pPr>
            <w:r>
              <w:rPr>
                <w:rFonts w:eastAsia="Times New Roman"/>
                <w:color w:val="000000"/>
                <w:sz w:val="18"/>
                <w:szCs w:val="18"/>
              </w:rPr>
              <w:t>Realized gains (losses) reclassified from AOCI into net income</w:t>
            </w:r>
          </w:p>
        </w:tc>
        <w:tc>
          <w:tcPr>
            <w:tcW w:w="0" w:type="auto"/>
            <w:gridSpan w:val="3"/>
            <w:shd w:val="clear" w:color="auto" w:fill="CCEEFF"/>
            <w:tcMar>
              <w:top w:w="0" w:type="dxa"/>
              <w:left w:w="20" w:type="dxa"/>
              <w:bottom w:w="0" w:type="dxa"/>
              <w:right w:w="20" w:type="dxa"/>
            </w:tcMar>
            <w:vAlign w:val="center"/>
            <w:hideMark/>
          </w:tcPr>
          <w:p w14:paraId="15E93B70" w14:textId="77777777" w:rsidR="00000000" w:rsidRDefault="00405D1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2F99F3C8"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02A0D0F" w14:textId="77777777" w:rsidR="00000000" w:rsidRDefault="00405D16">
            <w:pPr>
              <w:spacing w:after="100"/>
              <w:jc w:val="right"/>
              <w:rPr>
                <w:rFonts w:eastAsia="Times New Roman"/>
              </w:rPr>
            </w:pPr>
            <w:r>
              <w:rPr>
                <w:rFonts w:eastAsia="Times New Roman"/>
                <w:color w:val="000000"/>
                <w:sz w:val="18"/>
                <w:szCs w:val="18"/>
              </w:rPr>
              <w:t>8 </w:t>
            </w:r>
          </w:p>
        </w:tc>
        <w:tc>
          <w:tcPr>
            <w:tcW w:w="0" w:type="auto"/>
            <w:shd w:val="clear" w:color="auto" w:fill="CCEEFF"/>
            <w:tcMar>
              <w:top w:w="30" w:type="dxa"/>
              <w:left w:w="0" w:type="dxa"/>
              <w:bottom w:w="30" w:type="dxa"/>
              <w:right w:w="20" w:type="dxa"/>
            </w:tcMar>
            <w:vAlign w:val="bottom"/>
            <w:hideMark/>
          </w:tcPr>
          <w:p w14:paraId="2843C44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CDAABD"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F1BF16C"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E099120" w14:textId="77777777" w:rsidR="00000000" w:rsidRDefault="00405D16">
            <w:pPr>
              <w:spacing w:after="100"/>
              <w:jc w:val="right"/>
              <w:rPr>
                <w:rFonts w:eastAsia="Times New Roman"/>
              </w:rPr>
            </w:pPr>
            <w:r>
              <w:rPr>
                <w:rFonts w:eastAsia="Times New Roman"/>
                <w:color w:val="000000"/>
                <w:sz w:val="18"/>
                <w:szCs w:val="18"/>
              </w:rPr>
              <w:t>171 </w:t>
            </w:r>
          </w:p>
        </w:tc>
        <w:tc>
          <w:tcPr>
            <w:tcW w:w="0" w:type="auto"/>
            <w:shd w:val="clear" w:color="auto" w:fill="CCEEFF"/>
            <w:tcMar>
              <w:top w:w="30" w:type="dxa"/>
              <w:left w:w="0" w:type="dxa"/>
              <w:bottom w:w="30" w:type="dxa"/>
              <w:right w:w="20" w:type="dxa"/>
            </w:tcMar>
            <w:vAlign w:val="bottom"/>
            <w:hideMark/>
          </w:tcPr>
          <w:p w14:paraId="5011711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2D1C02"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5985498"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FF1F2DB"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3FFE98C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3795E9"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07EC50A"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A59EFB7"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674E2C9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10EF3A"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DB64628"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4AE4E50"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0DFF2E7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A6C8E1"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67508F3"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2E5285F"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7C4A930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F7A7E5"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EF0DE1F"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986349C"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0C9D2D5A" w14:textId="77777777" w:rsidR="00000000" w:rsidRDefault="00405D16">
            <w:pPr>
              <w:spacing w:after="100"/>
              <w:jc w:val="right"/>
              <w:rPr>
                <w:rFonts w:eastAsia="Times New Roman"/>
              </w:rPr>
            </w:pPr>
          </w:p>
        </w:tc>
      </w:tr>
      <w:tr w:rsidR="00000000" w14:paraId="1902B929" w14:textId="77777777">
        <w:tc>
          <w:tcPr>
            <w:tcW w:w="0" w:type="auto"/>
            <w:gridSpan w:val="3"/>
            <w:shd w:val="clear" w:color="auto" w:fill="FFFFFF"/>
            <w:tcMar>
              <w:top w:w="30" w:type="dxa"/>
              <w:left w:w="20" w:type="dxa"/>
              <w:bottom w:w="30" w:type="dxa"/>
              <w:right w:w="20" w:type="dxa"/>
            </w:tcMar>
            <w:vAlign w:val="center"/>
            <w:hideMark/>
          </w:tcPr>
          <w:p w14:paraId="59EB1F14" w14:textId="77777777" w:rsidR="00000000" w:rsidRDefault="00405D16">
            <w:pPr>
              <w:spacing w:after="100"/>
              <w:rPr>
                <w:rFonts w:eastAsia="Times New Roman"/>
              </w:rPr>
            </w:pPr>
            <w:r>
              <w:rPr>
                <w:rFonts w:eastAsia="Times New Roman"/>
                <w:color w:val="000000"/>
                <w:sz w:val="18"/>
                <w:szCs w:val="18"/>
              </w:rPr>
              <w:t>Foreign exchange contracts:</w:t>
            </w:r>
          </w:p>
        </w:tc>
        <w:tc>
          <w:tcPr>
            <w:tcW w:w="0" w:type="auto"/>
            <w:gridSpan w:val="3"/>
            <w:shd w:val="clear" w:color="auto" w:fill="FFFFFF"/>
            <w:tcMar>
              <w:top w:w="0" w:type="dxa"/>
              <w:left w:w="20" w:type="dxa"/>
              <w:bottom w:w="0" w:type="dxa"/>
              <w:right w:w="20" w:type="dxa"/>
            </w:tcMar>
            <w:vAlign w:val="center"/>
            <w:hideMark/>
          </w:tcPr>
          <w:p w14:paraId="2C14344F"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277FB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5B27C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1111A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DDDA0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0118A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1BA04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E1777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B0499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035B3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CF9D3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CECBA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669D0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A20E13" w14:textId="77777777" w:rsidR="00000000" w:rsidRDefault="00405D16">
            <w:pPr>
              <w:spacing w:after="100"/>
              <w:rPr>
                <w:rFonts w:eastAsia="Times New Roman"/>
                <w:sz w:val="20"/>
                <w:szCs w:val="20"/>
              </w:rPr>
            </w:pPr>
          </w:p>
        </w:tc>
      </w:tr>
      <w:tr w:rsidR="00000000" w14:paraId="095C6433" w14:textId="77777777">
        <w:tc>
          <w:tcPr>
            <w:tcW w:w="0" w:type="auto"/>
            <w:gridSpan w:val="3"/>
            <w:shd w:val="clear" w:color="auto" w:fill="CCEEFF"/>
            <w:tcMar>
              <w:top w:w="30" w:type="dxa"/>
              <w:left w:w="20" w:type="dxa"/>
              <w:bottom w:w="30" w:type="dxa"/>
              <w:right w:w="20" w:type="dxa"/>
            </w:tcMar>
            <w:vAlign w:val="center"/>
            <w:hideMark/>
          </w:tcPr>
          <w:p w14:paraId="18860D99" w14:textId="77777777" w:rsidR="00000000" w:rsidRDefault="00405D16">
            <w:pPr>
              <w:spacing w:after="100"/>
              <w:divId w:val="2099936807"/>
              <w:rPr>
                <w:rFonts w:eastAsia="Times New Roman"/>
              </w:rPr>
            </w:pPr>
            <w:r>
              <w:rPr>
                <w:rFonts w:eastAsia="Times New Roman"/>
                <w:color w:val="000000"/>
                <w:sz w:val="18"/>
                <w:szCs w:val="18"/>
              </w:rPr>
              <w:t>Realized gains (losses) reclassified from AOCI into net incom</w:t>
            </w:r>
            <w:r>
              <w:rPr>
                <w:rFonts w:eastAsia="Times New Roman"/>
                <w:color w:val="000000"/>
                <w:sz w:val="18"/>
                <w:szCs w:val="18"/>
              </w:rPr>
              <w:t>e</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69C466CB"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EA86D23"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0E6FA71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68F85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0CE2AD"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1360C71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C17DD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057074" w14:textId="77777777" w:rsidR="00000000" w:rsidRDefault="00405D16">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14:paraId="6FB7F9B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F2ED3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824E3D"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1300411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CEF64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CA446E"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73AFEC8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10E1B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AFDCA9"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46B0F53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BB42A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F9B393"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7D6AE83D" w14:textId="77777777" w:rsidR="00000000" w:rsidRDefault="00405D16">
            <w:pPr>
              <w:spacing w:after="100"/>
              <w:jc w:val="right"/>
              <w:rPr>
                <w:rFonts w:eastAsia="Times New Roman"/>
              </w:rPr>
            </w:pPr>
          </w:p>
        </w:tc>
      </w:tr>
      <w:tr w:rsidR="00405D16" w14:paraId="720F5238" w14:textId="77777777">
        <w:tc>
          <w:tcPr>
            <w:tcW w:w="0" w:type="auto"/>
            <w:gridSpan w:val="3"/>
            <w:shd w:val="clear" w:color="auto" w:fill="FFFFFF"/>
            <w:tcMar>
              <w:top w:w="30" w:type="dxa"/>
              <w:left w:w="20" w:type="dxa"/>
              <w:bottom w:w="30" w:type="dxa"/>
              <w:right w:w="20" w:type="dxa"/>
            </w:tcMar>
            <w:vAlign w:val="center"/>
            <w:hideMark/>
          </w:tcPr>
          <w:p w14:paraId="387CABB4" w14:textId="77777777" w:rsidR="00000000" w:rsidRDefault="00405D16">
            <w:pPr>
              <w:spacing w:after="100"/>
              <w:rPr>
                <w:rFonts w:eastAsia="Times New Roman"/>
              </w:rPr>
            </w:pPr>
            <w:r>
              <w:rPr>
                <w:rFonts w:eastAsia="Times New Roman"/>
                <w:color w:val="000000"/>
                <w:sz w:val="18"/>
                <w:szCs w:val="18"/>
              </w:rPr>
              <w:t>Net income (expense) recognized on cash flow hedges</w:t>
            </w:r>
          </w:p>
        </w:tc>
        <w:tc>
          <w:tcPr>
            <w:tcW w:w="0" w:type="auto"/>
            <w:gridSpan w:val="3"/>
            <w:shd w:val="clear" w:color="auto" w:fill="FFFFFF"/>
            <w:tcMar>
              <w:top w:w="0" w:type="dxa"/>
              <w:left w:w="20" w:type="dxa"/>
              <w:bottom w:w="0" w:type="dxa"/>
              <w:right w:w="20" w:type="dxa"/>
            </w:tcMar>
            <w:vAlign w:val="center"/>
            <w:hideMark/>
          </w:tcPr>
          <w:p w14:paraId="21D3F48E"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B59AF18"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A9F1ED0" w14:textId="77777777" w:rsidR="00000000" w:rsidRDefault="00405D16">
            <w:pPr>
              <w:spacing w:after="100"/>
              <w:jc w:val="right"/>
              <w:rPr>
                <w:rFonts w:eastAsia="Times New Roman"/>
              </w:rPr>
            </w:pPr>
            <w:r>
              <w:rPr>
                <w:rFonts w:eastAsia="Times New Roman"/>
                <w:color w:val="000000"/>
                <w:sz w:val="18"/>
                <w:szCs w:val="18"/>
              </w:rPr>
              <w:t>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56DC50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2CE24E"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7F2A3BA"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27FE4CB" w14:textId="77777777" w:rsidR="00000000" w:rsidRDefault="00405D16">
            <w:pPr>
              <w:spacing w:after="100"/>
              <w:jc w:val="right"/>
              <w:rPr>
                <w:rFonts w:eastAsia="Times New Roman"/>
              </w:rPr>
            </w:pPr>
            <w:r>
              <w:rPr>
                <w:rFonts w:eastAsia="Times New Roman"/>
                <w:color w:val="000000"/>
                <w:sz w:val="18"/>
                <w:szCs w:val="18"/>
              </w:rPr>
              <w:t>171 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F7931D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7AB756"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9D84618"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905D71F" w14:textId="77777777" w:rsidR="00000000" w:rsidRDefault="00405D16">
            <w:pPr>
              <w:spacing w:after="100"/>
              <w:jc w:val="right"/>
              <w:rPr>
                <w:rFonts w:eastAsia="Times New Roman"/>
              </w:rPr>
            </w:pPr>
            <w:r>
              <w:rPr>
                <w:rFonts w:eastAsia="Times New Roman"/>
                <w:color w:val="000000"/>
                <w:sz w:val="18"/>
                <w:szCs w:val="18"/>
              </w:rPr>
              <w:t>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01A6FE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4451ED"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507DCD9"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9B02BF3" w14:textId="77777777" w:rsidR="00000000" w:rsidRDefault="00405D16">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692EF2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EE92BF"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4809DD3"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5338BFC" w14:textId="77777777" w:rsidR="00000000" w:rsidRDefault="00405D16">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58DFE6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66075E"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C357958"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A7CD06D" w14:textId="77777777" w:rsidR="00000000" w:rsidRDefault="00405D16">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154CCE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466628"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0C9E001"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BA3472C" w14:textId="77777777" w:rsidR="00000000" w:rsidRDefault="00405D16">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1EE67C2" w14:textId="77777777" w:rsidR="00000000" w:rsidRDefault="00405D16">
            <w:pPr>
              <w:spacing w:after="100"/>
              <w:jc w:val="right"/>
              <w:rPr>
                <w:rFonts w:eastAsia="Times New Roman"/>
              </w:rPr>
            </w:pPr>
          </w:p>
        </w:tc>
      </w:tr>
    </w:tbl>
    <w:p w14:paraId="50D218E4" w14:textId="77777777" w:rsidR="00000000" w:rsidRDefault="00405D16">
      <w:pPr>
        <w:divId w:val="1259605286"/>
        <w:rPr>
          <w:rFonts w:eastAsia="Times New Roman"/>
          <w:vanish/>
        </w:rPr>
      </w:pPr>
    </w:p>
    <w:tbl>
      <w:tblPr>
        <w:tblW w:w="4956" w:type="pct"/>
        <w:tblCellMar>
          <w:top w:w="15" w:type="dxa"/>
          <w:left w:w="15" w:type="dxa"/>
          <w:bottom w:w="15" w:type="dxa"/>
          <w:right w:w="15" w:type="dxa"/>
        </w:tblCellMar>
        <w:tblLook w:val="04A0" w:firstRow="1" w:lastRow="0" w:firstColumn="1" w:lastColumn="0" w:noHBand="0" w:noVBand="1"/>
      </w:tblPr>
      <w:tblGrid>
        <w:gridCol w:w="55"/>
        <w:gridCol w:w="1743"/>
        <w:gridCol w:w="36"/>
        <w:gridCol w:w="36"/>
        <w:gridCol w:w="36"/>
        <w:gridCol w:w="36"/>
        <w:gridCol w:w="36"/>
        <w:gridCol w:w="720"/>
        <w:gridCol w:w="36"/>
        <w:gridCol w:w="36"/>
        <w:gridCol w:w="36"/>
        <w:gridCol w:w="36"/>
        <w:gridCol w:w="36"/>
        <w:gridCol w:w="744"/>
        <w:gridCol w:w="36"/>
        <w:gridCol w:w="36"/>
        <w:gridCol w:w="36"/>
        <w:gridCol w:w="36"/>
        <w:gridCol w:w="36"/>
        <w:gridCol w:w="709"/>
        <w:gridCol w:w="36"/>
        <w:gridCol w:w="36"/>
        <w:gridCol w:w="36"/>
        <w:gridCol w:w="36"/>
        <w:gridCol w:w="37"/>
        <w:gridCol w:w="722"/>
        <w:gridCol w:w="36"/>
        <w:gridCol w:w="36"/>
        <w:gridCol w:w="36"/>
        <w:gridCol w:w="36"/>
        <w:gridCol w:w="37"/>
        <w:gridCol w:w="746"/>
        <w:gridCol w:w="36"/>
        <w:gridCol w:w="36"/>
        <w:gridCol w:w="36"/>
        <w:gridCol w:w="36"/>
        <w:gridCol w:w="37"/>
        <w:gridCol w:w="746"/>
        <w:gridCol w:w="36"/>
        <w:gridCol w:w="36"/>
        <w:gridCol w:w="36"/>
        <w:gridCol w:w="36"/>
        <w:gridCol w:w="37"/>
        <w:gridCol w:w="748"/>
        <w:gridCol w:w="36"/>
      </w:tblGrid>
      <w:tr w:rsidR="00000000" w14:paraId="031CD208" w14:textId="77777777">
        <w:trPr>
          <w:divId w:val="1259605286"/>
        </w:trPr>
        <w:tc>
          <w:tcPr>
            <w:tcW w:w="50" w:type="pct"/>
            <w:vAlign w:val="center"/>
            <w:hideMark/>
          </w:tcPr>
          <w:p w14:paraId="2711C80F" w14:textId="77777777" w:rsidR="00000000" w:rsidRDefault="00405D16">
            <w:pPr>
              <w:jc w:val="both"/>
              <w:rPr>
                <w:rFonts w:eastAsia="Times New Roman"/>
              </w:rPr>
            </w:pPr>
          </w:p>
        </w:tc>
        <w:tc>
          <w:tcPr>
            <w:tcW w:w="1073" w:type="pct"/>
            <w:vAlign w:val="center"/>
            <w:hideMark/>
          </w:tcPr>
          <w:p w14:paraId="7034AA22" w14:textId="77777777" w:rsidR="00000000" w:rsidRDefault="00405D16">
            <w:pPr>
              <w:spacing w:after="100"/>
              <w:rPr>
                <w:rFonts w:eastAsia="Times New Roman"/>
                <w:sz w:val="20"/>
                <w:szCs w:val="20"/>
              </w:rPr>
            </w:pPr>
          </w:p>
        </w:tc>
        <w:tc>
          <w:tcPr>
            <w:tcW w:w="5" w:type="pct"/>
            <w:vAlign w:val="center"/>
            <w:hideMark/>
          </w:tcPr>
          <w:p w14:paraId="2F6FCD85" w14:textId="77777777" w:rsidR="00000000" w:rsidRDefault="00405D16">
            <w:pPr>
              <w:spacing w:after="100"/>
              <w:rPr>
                <w:rFonts w:eastAsia="Times New Roman"/>
                <w:sz w:val="20"/>
                <w:szCs w:val="20"/>
              </w:rPr>
            </w:pPr>
          </w:p>
        </w:tc>
        <w:tc>
          <w:tcPr>
            <w:tcW w:w="5" w:type="pct"/>
            <w:vAlign w:val="center"/>
            <w:hideMark/>
          </w:tcPr>
          <w:p w14:paraId="6F2C21D5" w14:textId="77777777" w:rsidR="00000000" w:rsidRDefault="00405D16">
            <w:pPr>
              <w:spacing w:after="100"/>
              <w:rPr>
                <w:rFonts w:eastAsia="Times New Roman"/>
                <w:sz w:val="20"/>
                <w:szCs w:val="20"/>
              </w:rPr>
            </w:pPr>
          </w:p>
        </w:tc>
        <w:tc>
          <w:tcPr>
            <w:tcW w:w="26" w:type="pct"/>
            <w:vAlign w:val="center"/>
            <w:hideMark/>
          </w:tcPr>
          <w:p w14:paraId="0B1AE344" w14:textId="77777777" w:rsidR="00000000" w:rsidRDefault="00405D16">
            <w:pPr>
              <w:spacing w:after="100"/>
              <w:rPr>
                <w:rFonts w:eastAsia="Times New Roman"/>
                <w:sz w:val="20"/>
                <w:szCs w:val="20"/>
              </w:rPr>
            </w:pPr>
          </w:p>
        </w:tc>
        <w:tc>
          <w:tcPr>
            <w:tcW w:w="5" w:type="pct"/>
            <w:vAlign w:val="center"/>
            <w:hideMark/>
          </w:tcPr>
          <w:p w14:paraId="218D56FC" w14:textId="77777777" w:rsidR="00000000" w:rsidRDefault="00405D16">
            <w:pPr>
              <w:spacing w:after="100"/>
              <w:rPr>
                <w:rFonts w:eastAsia="Times New Roman"/>
                <w:sz w:val="20"/>
                <w:szCs w:val="20"/>
              </w:rPr>
            </w:pPr>
          </w:p>
        </w:tc>
        <w:tc>
          <w:tcPr>
            <w:tcW w:w="50" w:type="pct"/>
            <w:vAlign w:val="center"/>
            <w:hideMark/>
          </w:tcPr>
          <w:p w14:paraId="464ECCA0" w14:textId="77777777" w:rsidR="00000000" w:rsidRDefault="00405D16">
            <w:pPr>
              <w:spacing w:after="100"/>
              <w:rPr>
                <w:rFonts w:eastAsia="Times New Roman"/>
                <w:sz w:val="20"/>
                <w:szCs w:val="20"/>
              </w:rPr>
            </w:pPr>
          </w:p>
        </w:tc>
        <w:tc>
          <w:tcPr>
            <w:tcW w:w="453" w:type="pct"/>
            <w:vAlign w:val="center"/>
            <w:hideMark/>
          </w:tcPr>
          <w:p w14:paraId="580CF01D" w14:textId="77777777" w:rsidR="00000000" w:rsidRDefault="00405D16">
            <w:pPr>
              <w:spacing w:after="100"/>
              <w:rPr>
                <w:rFonts w:eastAsia="Times New Roman"/>
                <w:sz w:val="20"/>
                <w:szCs w:val="20"/>
              </w:rPr>
            </w:pPr>
          </w:p>
        </w:tc>
        <w:tc>
          <w:tcPr>
            <w:tcW w:w="5" w:type="pct"/>
            <w:vAlign w:val="center"/>
            <w:hideMark/>
          </w:tcPr>
          <w:p w14:paraId="03646826" w14:textId="77777777" w:rsidR="00000000" w:rsidRDefault="00405D16">
            <w:pPr>
              <w:spacing w:after="100"/>
              <w:rPr>
                <w:rFonts w:eastAsia="Times New Roman"/>
                <w:sz w:val="20"/>
                <w:szCs w:val="20"/>
              </w:rPr>
            </w:pPr>
          </w:p>
        </w:tc>
        <w:tc>
          <w:tcPr>
            <w:tcW w:w="5" w:type="pct"/>
            <w:vAlign w:val="center"/>
            <w:hideMark/>
          </w:tcPr>
          <w:p w14:paraId="3DFC2497" w14:textId="77777777" w:rsidR="00000000" w:rsidRDefault="00405D16">
            <w:pPr>
              <w:spacing w:after="100"/>
              <w:rPr>
                <w:rFonts w:eastAsia="Times New Roman"/>
                <w:sz w:val="20"/>
                <w:szCs w:val="20"/>
              </w:rPr>
            </w:pPr>
          </w:p>
        </w:tc>
        <w:tc>
          <w:tcPr>
            <w:tcW w:w="26" w:type="pct"/>
            <w:vAlign w:val="center"/>
            <w:hideMark/>
          </w:tcPr>
          <w:p w14:paraId="0D1483D5" w14:textId="77777777" w:rsidR="00000000" w:rsidRDefault="00405D16">
            <w:pPr>
              <w:spacing w:after="100"/>
              <w:rPr>
                <w:rFonts w:eastAsia="Times New Roman"/>
                <w:sz w:val="20"/>
                <w:szCs w:val="20"/>
              </w:rPr>
            </w:pPr>
          </w:p>
        </w:tc>
        <w:tc>
          <w:tcPr>
            <w:tcW w:w="5" w:type="pct"/>
            <w:vAlign w:val="center"/>
            <w:hideMark/>
          </w:tcPr>
          <w:p w14:paraId="67124716" w14:textId="77777777" w:rsidR="00000000" w:rsidRDefault="00405D16">
            <w:pPr>
              <w:spacing w:after="100"/>
              <w:rPr>
                <w:rFonts w:eastAsia="Times New Roman"/>
                <w:sz w:val="20"/>
                <w:szCs w:val="20"/>
              </w:rPr>
            </w:pPr>
          </w:p>
        </w:tc>
        <w:tc>
          <w:tcPr>
            <w:tcW w:w="50" w:type="pct"/>
            <w:vAlign w:val="center"/>
            <w:hideMark/>
          </w:tcPr>
          <w:p w14:paraId="433E067C" w14:textId="77777777" w:rsidR="00000000" w:rsidRDefault="00405D16">
            <w:pPr>
              <w:spacing w:after="100"/>
              <w:rPr>
                <w:rFonts w:eastAsia="Times New Roman"/>
                <w:sz w:val="20"/>
                <w:szCs w:val="20"/>
              </w:rPr>
            </w:pPr>
          </w:p>
        </w:tc>
        <w:tc>
          <w:tcPr>
            <w:tcW w:w="468" w:type="pct"/>
            <w:vAlign w:val="center"/>
            <w:hideMark/>
          </w:tcPr>
          <w:p w14:paraId="3D8BA7AD" w14:textId="77777777" w:rsidR="00000000" w:rsidRDefault="00405D16">
            <w:pPr>
              <w:spacing w:after="100"/>
              <w:rPr>
                <w:rFonts w:eastAsia="Times New Roman"/>
                <w:sz w:val="20"/>
                <w:szCs w:val="20"/>
              </w:rPr>
            </w:pPr>
          </w:p>
        </w:tc>
        <w:tc>
          <w:tcPr>
            <w:tcW w:w="5" w:type="pct"/>
            <w:vAlign w:val="center"/>
            <w:hideMark/>
          </w:tcPr>
          <w:p w14:paraId="31AC6F84" w14:textId="77777777" w:rsidR="00000000" w:rsidRDefault="00405D16">
            <w:pPr>
              <w:spacing w:after="100"/>
              <w:rPr>
                <w:rFonts w:eastAsia="Times New Roman"/>
                <w:sz w:val="20"/>
                <w:szCs w:val="20"/>
              </w:rPr>
            </w:pPr>
          </w:p>
        </w:tc>
        <w:tc>
          <w:tcPr>
            <w:tcW w:w="5" w:type="pct"/>
            <w:vAlign w:val="center"/>
            <w:hideMark/>
          </w:tcPr>
          <w:p w14:paraId="3F3EE25C" w14:textId="77777777" w:rsidR="00000000" w:rsidRDefault="00405D16">
            <w:pPr>
              <w:spacing w:after="100"/>
              <w:rPr>
                <w:rFonts w:eastAsia="Times New Roman"/>
                <w:sz w:val="20"/>
                <w:szCs w:val="20"/>
              </w:rPr>
            </w:pPr>
          </w:p>
        </w:tc>
        <w:tc>
          <w:tcPr>
            <w:tcW w:w="26" w:type="pct"/>
            <w:vAlign w:val="center"/>
            <w:hideMark/>
          </w:tcPr>
          <w:p w14:paraId="6A7EC13B" w14:textId="77777777" w:rsidR="00000000" w:rsidRDefault="00405D16">
            <w:pPr>
              <w:spacing w:after="100"/>
              <w:rPr>
                <w:rFonts w:eastAsia="Times New Roman"/>
                <w:sz w:val="20"/>
                <w:szCs w:val="20"/>
              </w:rPr>
            </w:pPr>
          </w:p>
        </w:tc>
        <w:tc>
          <w:tcPr>
            <w:tcW w:w="5" w:type="pct"/>
            <w:vAlign w:val="center"/>
            <w:hideMark/>
          </w:tcPr>
          <w:p w14:paraId="1BC7DE29" w14:textId="77777777" w:rsidR="00000000" w:rsidRDefault="00405D16">
            <w:pPr>
              <w:spacing w:after="100"/>
              <w:rPr>
                <w:rFonts w:eastAsia="Times New Roman"/>
                <w:sz w:val="20"/>
                <w:szCs w:val="20"/>
              </w:rPr>
            </w:pPr>
          </w:p>
        </w:tc>
        <w:tc>
          <w:tcPr>
            <w:tcW w:w="50" w:type="pct"/>
            <w:vAlign w:val="center"/>
            <w:hideMark/>
          </w:tcPr>
          <w:p w14:paraId="5DA289AF" w14:textId="77777777" w:rsidR="00000000" w:rsidRDefault="00405D16">
            <w:pPr>
              <w:spacing w:after="100"/>
              <w:rPr>
                <w:rFonts w:eastAsia="Times New Roman"/>
                <w:sz w:val="20"/>
                <w:szCs w:val="20"/>
              </w:rPr>
            </w:pPr>
          </w:p>
        </w:tc>
        <w:tc>
          <w:tcPr>
            <w:tcW w:w="446" w:type="pct"/>
            <w:vAlign w:val="center"/>
            <w:hideMark/>
          </w:tcPr>
          <w:p w14:paraId="3F88E0A8" w14:textId="77777777" w:rsidR="00000000" w:rsidRDefault="00405D16">
            <w:pPr>
              <w:spacing w:after="100"/>
              <w:rPr>
                <w:rFonts w:eastAsia="Times New Roman"/>
                <w:sz w:val="20"/>
                <w:szCs w:val="20"/>
              </w:rPr>
            </w:pPr>
          </w:p>
        </w:tc>
        <w:tc>
          <w:tcPr>
            <w:tcW w:w="5" w:type="pct"/>
            <w:vAlign w:val="center"/>
            <w:hideMark/>
          </w:tcPr>
          <w:p w14:paraId="011F5DF5" w14:textId="77777777" w:rsidR="00000000" w:rsidRDefault="00405D16">
            <w:pPr>
              <w:spacing w:after="100"/>
              <w:rPr>
                <w:rFonts w:eastAsia="Times New Roman"/>
                <w:sz w:val="20"/>
                <w:szCs w:val="20"/>
              </w:rPr>
            </w:pPr>
          </w:p>
        </w:tc>
        <w:tc>
          <w:tcPr>
            <w:tcW w:w="5" w:type="pct"/>
            <w:vAlign w:val="center"/>
            <w:hideMark/>
          </w:tcPr>
          <w:p w14:paraId="2B643A13" w14:textId="77777777" w:rsidR="00000000" w:rsidRDefault="00405D16">
            <w:pPr>
              <w:spacing w:after="100"/>
              <w:rPr>
                <w:rFonts w:eastAsia="Times New Roman"/>
                <w:sz w:val="20"/>
                <w:szCs w:val="20"/>
              </w:rPr>
            </w:pPr>
          </w:p>
        </w:tc>
        <w:tc>
          <w:tcPr>
            <w:tcW w:w="26" w:type="pct"/>
            <w:vAlign w:val="center"/>
            <w:hideMark/>
          </w:tcPr>
          <w:p w14:paraId="3F14BBFA" w14:textId="77777777" w:rsidR="00000000" w:rsidRDefault="00405D16">
            <w:pPr>
              <w:spacing w:after="100"/>
              <w:rPr>
                <w:rFonts w:eastAsia="Times New Roman"/>
                <w:sz w:val="20"/>
                <w:szCs w:val="20"/>
              </w:rPr>
            </w:pPr>
          </w:p>
        </w:tc>
        <w:tc>
          <w:tcPr>
            <w:tcW w:w="5" w:type="pct"/>
            <w:vAlign w:val="center"/>
            <w:hideMark/>
          </w:tcPr>
          <w:p w14:paraId="197C3955" w14:textId="77777777" w:rsidR="00000000" w:rsidRDefault="00405D16">
            <w:pPr>
              <w:spacing w:after="100"/>
              <w:rPr>
                <w:rFonts w:eastAsia="Times New Roman"/>
                <w:sz w:val="20"/>
                <w:szCs w:val="20"/>
              </w:rPr>
            </w:pPr>
          </w:p>
        </w:tc>
        <w:tc>
          <w:tcPr>
            <w:tcW w:w="50" w:type="pct"/>
            <w:vAlign w:val="center"/>
            <w:hideMark/>
          </w:tcPr>
          <w:p w14:paraId="4DB02308" w14:textId="77777777" w:rsidR="00000000" w:rsidRDefault="00405D16">
            <w:pPr>
              <w:spacing w:after="100"/>
              <w:rPr>
                <w:rFonts w:eastAsia="Times New Roman"/>
                <w:sz w:val="20"/>
                <w:szCs w:val="20"/>
              </w:rPr>
            </w:pPr>
          </w:p>
        </w:tc>
        <w:tc>
          <w:tcPr>
            <w:tcW w:w="453" w:type="pct"/>
            <w:vAlign w:val="center"/>
            <w:hideMark/>
          </w:tcPr>
          <w:p w14:paraId="793CC9BD" w14:textId="77777777" w:rsidR="00000000" w:rsidRDefault="00405D16">
            <w:pPr>
              <w:spacing w:after="100"/>
              <w:rPr>
                <w:rFonts w:eastAsia="Times New Roman"/>
                <w:sz w:val="20"/>
                <w:szCs w:val="20"/>
              </w:rPr>
            </w:pPr>
          </w:p>
        </w:tc>
        <w:tc>
          <w:tcPr>
            <w:tcW w:w="5" w:type="pct"/>
            <w:vAlign w:val="center"/>
            <w:hideMark/>
          </w:tcPr>
          <w:p w14:paraId="2C143DB7" w14:textId="77777777" w:rsidR="00000000" w:rsidRDefault="00405D16">
            <w:pPr>
              <w:spacing w:after="100"/>
              <w:rPr>
                <w:rFonts w:eastAsia="Times New Roman"/>
                <w:sz w:val="20"/>
                <w:szCs w:val="20"/>
              </w:rPr>
            </w:pPr>
          </w:p>
        </w:tc>
        <w:tc>
          <w:tcPr>
            <w:tcW w:w="5" w:type="pct"/>
            <w:vAlign w:val="center"/>
            <w:hideMark/>
          </w:tcPr>
          <w:p w14:paraId="1F90583E" w14:textId="77777777" w:rsidR="00000000" w:rsidRDefault="00405D16">
            <w:pPr>
              <w:spacing w:after="100"/>
              <w:rPr>
                <w:rFonts w:eastAsia="Times New Roman"/>
                <w:sz w:val="20"/>
                <w:szCs w:val="20"/>
              </w:rPr>
            </w:pPr>
          </w:p>
        </w:tc>
        <w:tc>
          <w:tcPr>
            <w:tcW w:w="26" w:type="pct"/>
            <w:vAlign w:val="center"/>
            <w:hideMark/>
          </w:tcPr>
          <w:p w14:paraId="7F96164A" w14:textId="77777777" w:rsidR="00000000" w:rsidRDefault="00405D16">
            <w:pPr>
              <w:spacing w:after="100"/>
              <w:rPr>
                <w:rFonts w:eastAsia="Times New Roman"/>
                <w:sz w:val="20"/>
                <w:szCs w:val="20"/>
              </w:rPr>
            </w:pPr>
          </w:p>
        </w:tc>
        <w:tc>
          <w:tcPr>
            <w:tcW w:w="5" w:type="pct"/>
            <w:vAlign w:val="center"/>
            <w:hideMark/>
          </w:tcPr>
          <w:p w14:paraId="3BE217EF" w14:textId="77777777" w:rsidR="00000000" w:rsidRDefault="00405D16">
            <w:pPr>
              <w:spacing w:after="100"/>
              <w:rPr>
                <w:rFonts w:eastAsia="Times New Roman"/>
                <w:sz w:val="20"/>
                <w:szCs w:val="20"/>
              </w:rPr>
            </w:pPr>
          </w:p>
        </w:tc>
        <w:tc>
          <w:tcPr>
            <w:tcW w:w="50" w:type="pct"/>
            <w:vAlign w:val="center"/>
            <w:hideMark/>
          </w:tcPr>
          <w:p w14:paraId="6BBCF9D2" w14:textId="77777777" w:rsidR="00000000" w:rsidRDefault="00405D16">
            <w:pPr>
              <w:spacing w:after="100"/>
              <w:rPr>
                <w:rFonts w:eastAsia="Times New Roman"/>
                <w:sz w:val="20"/>
                <w:szCs w:val="20"/>
              </w:rPr>
            </w:pPr>
          </w:p>
        </w:tc>
        <w:tc>
          <w:tcPr>
            <w:tcW w:w="468" w:type="pct"/>
            <w:vAlign w:val="center"/>
            <w:hideMark/>
          </w:tcPr>
          <w:p w14:paraId="4BC8F0DD" w14:textId="77777777" w:rsidR="00000000" w:rsidRDefault="00405D16">
            <w:pPr>
              <w:spacing w:after="100"/>
              <w:rPr>
                <w:rFonts w:eastAsia="Times New Roman"/>
                <w:sz w:val="20"/>
                <w:szCs w:val="20"/>
              </w:rPr>
            </w:pPr>
          </w:p>
        </w:tc>
        <w:tc>
          <w:tcPr>
            <w:tcW w:w="5" w:type="pct"/>
            <w:vAlign w:val="center"/>
            <w:hideMark/>
          </w:tcPr>
          <w:p w14:paraId="76CD269F" w14:textId="77777777" w:rsidR="00000000" w:rsidRDefault="00405D16">
            <w:pPr>
              <w:spacing w:after="100"/>
              <w:rPr>
                <w:rFonts w:eastAsia="Times New Roman"/>
                <w:sz w:val="20"/>
                <w:szCs w:val="20"/>
              </w:rPr>
            </w:pPr>
          </w:p>
        </w:tc>
        <w:tc>
          <w:tcPr>
            <w:tcW w:w="5" w:type="pct"/>
            <w:vAlign w:val="center"/>
            <w:hideMark/>
          </w:tcPr>
          <w:p w14:paraId="374FA7E2" w14:textId="77777777" w:rsidR="00000000" w:rsidRDefault="00405D16">
            <w:pPr>
              <w:spacing w:after="100"/>
              <w:rPr>
                <w:rFonts w:eastAsia="Times New Roman"/>
                <w:sz w:val="20"/>
                <w:szCs w:val="20"/>
              </w:rPr>
            </w:pPr>
          </w:p>
        </w:tc>
        <w:tc>
          <w:tcPr>
            <w:tcW w:w="26" w:type="pct"/>
            <w:vAlign w:val="center"/>
            <w:hideMark/>
          </w:tcPr>
          <w:p w14:paraId="05E86857" w14:textId="77777777" w:rsidR="00000000" w:rsidRDefault="00405D16">
            <w:pPr>
              <w:spacing w:after="100"/>
              <w:rPr>
                <w:rFonts w:eastAsia="Times New Roman"/>
                <w:sz w:val="20"/>
                <w:szCs w:val="20"/>
              </w:rPr>
            </w:pPr>
          </w:p>
        </w:tc>
        <w:tc>
          <w:tcPr>
            <w:tcW w:w="5" w:type="pct"/>
            <w:vAlign w:val="center"/>
            <w:hideMark/>
          </w:tcPr>
          <w:p w14:paraId="3FF77FE9" w14:textId="77777777" w:rsidR="00000000" w:rsidRDefault="00405D16">
            <w:pPr>
              <w:spacing w:after="100"/>
              <w:rPr>
                <w:rFonts w:eastAsia="Times New Roman"/>
                <w:sz w:val="20"/>
                <w:szCs w:val="20"/>
              </w:rPr>
            </w:pPr>
          </w:p>
        </w:tc>
        <w:tc>
          <w:tcPr>
            <w:tcW w:w="50" w:type="pct"/>
            <w:vAlign w:val="center"/>
            <w:hideMark/>
          </w:tcPr>
          <w:p w14:paraId="14F2F13A" w14:textId="77777777" w:rsidR="00000000" w:rsidRDefault="00405D16">
            <w:pPr>
              <w:spacing w:after="100"/>
              <w:rPr>
                <w:rFonts w:eastAsia="Times New Roman"/>
                <w:sz w:val="20"/>
                <w:szCs w:val="20"/>
              </w:rPr>
            </w:pPr>
          </w:p>
        </w:tc>
        <w:tc>
          <w:tcPr>
            <w:tcW w:w="468" w:type="pct"/>
            <w:vAlign w:val="center"/>
            <w:hideMark/>
          </w:tcPr>
          <w:p w14:paraId="471D00E8" w14:textId="77777777" w:rsidR="00000000" w:rsidRDefault="00405D16">
            <w:pPr>
              <w:spacing w:after="100"/>
              <w:rPr>
                <w:rFonts w:eastAsia="Times New Roman"/>
                <w:sz w:val="20"/>
                <w:szCs w:val="20"/>
              </w:rPr>
            </w:pPr>
          </w:p>
        </w:tc>
        <w:tc>
          <w:tcPr>
            <w:tcW w:w="5" w:type="pct"/>
            <w:vAlign w:val="center"/>
            <w:hideMark/>
          </w:tcPr>
          <w:p w14:paraId="3EB89F05" w14:textId="77777777" w:rsidR="00000000" w:rsidRDefault="00405D16">
            <w:pPr>
              <w:spacing w:after="100"/>
              <w:rPr>
                <w:rFonts w:eastAsia="Times New Roman"/>
                <w:sz w:val="20"/>
                <w:szCs w:val="20"/>
              </w:rPr>
            </w:pPr>
          </w:p>
        </w:tc>
        <w:tc>
          <w:tcPr>
            <w:tcW w:w="5" w:type="pct"/>
            <w:vAlign w:val="center"/>
            <w:hideMark/>
          </w:tcPr>
          <w:p w14:paraId="4BB95B62" w14:textId="77777777" w:rsidR="00000000" w:rsidRDefault="00405D16">
            <w:pPr>
              <w:spacing w:after="100"/>
              <w:rPr>
                <w:rFonts w:eastAsia="Times New Roman"/>
                <w:sz w:val="20"/>
                <w:szCs w:val="20"/>
              </w:rPr>
            </w:pPr>
          </w:p>
        </w:tc>
        <w:tc>
          <w:tcPr>
            <w:tcW w:w="26" w:type="pct"/>
            <w:vAlign w:val="center"/>
            <w:hideMark/>
          </w:tcPr>
          <w:p w14:paraId="20F38CE7" w14:textId="77777777" w:rsidR="00000000" w:rsidRDefault="00405D16">
            <w:pPr>
              <w:spacing w:after="100"/>
              <w:rPr>
                <w:rFonts w:eastAsia="Times New Roman"/>
                <w:sz w:val="20"/>
                <w:szCs w:val="20"/>
              </w:rPr>
            </w:pPr>
          </w:p>
        </w:tc>
        <w:tc>
          <w:tcPr>
            <w:tcW w:w="5" w:type="pct"/>
            <w:vAlign w:val="center"/>
            <w:hideMark/>
          </w:tcPr>
          <w:p w14:paraId="3A714CA4" w14:textId="77777777" w:rsidR="00000000" w:rsidRDefault="00405D16">
            <w:pPr>
              <w:spacing w:after="100"/>
              <w:rPr>
                <w:rFonts w:eastAsia="Times New Roman"/>
                <w:sz w:val="20"/>
                <w:szCs w:val="20"/>
              </w:rPr>
            </w:pPr>
          </w:p>
        </w:tc>
        <w:tc>
          <w:tcPr>
            <w:tcW w:w="50" w:type="pct"/>
            <w:vAlign w:val="center"/>
            <w:hideMark/>
          </w:tcPr>
          <w:p w14:paraId="2795F770" w14:textId="77777777" w:rsidR="00000000" w:rsidRDefault="00405D16">
            <w:pPr>
              <w:spacing w:after="100"/>
              <w:rPr>
                <w:rFonts w:eastAsia="Times New Roman"/>
                <w:sz w:val="20"/>
                <w:szCs w:val="20"/>
              </w:rPr>
            </w:pPr>
          </w:p>
        </w:tc>
        <w:tc>
          <w:tcPr>
            <w:tcW w:w="469" w:type="pct"/>
            <w:vAlign w:val="center"/>
            <w:hideMark/>
          </w:tcPr>
          <w:p w14:paraId="3F423E95" w14:textId="77777777" w:rsidR="00000000" w:rsidRDefault="00405D16">
            <w:pPr>
              <w:spacing w:after="100"/>
              <w:rPr>
                <w:rFonts w:eastAsia="Times New Roman"/>
                <w:sz w:val="20"/>
                <w:szCs w:val="20"/>
              </w:rPr>
            </w:pPr>
          </w:p>
        </w:tc>
        <w:tc>
          <w:tcPr>
            <w:tcW w:w="5" w:type="pct"/>
            <w:vAlign w:val="center"/>
            <w:hideMark/>
          </w:tcPr>
          <w:p w14:paraId="6B67AB20" w14:textId="77777777" w:rsidR="00000000" w:rsidRDefault="00405D16">
            <w:pPr>
              <w:spacing w:after="100"/>
              <w:rPr>
                <w:rFonts w:eastAsia="Times New Roman"/>
                <w:sz w:val="20"/>
                <w:szCs w:val="20"/>
              </w:rPr>
            </w:pPr>
          </w:p>
        </w:tc>
      </w:tr>
      <w:tr w:rsidR="00000000" w14:paraId="296626EB" w14:textId="77777777">
        <w:trPr>
          <w:divId w:val="1259605286"/>
          <w:trHeight w:val="60"/>
        </w:trPr>
        <w:tc>
          <w:tcPr>
            <w:tcW w:w="0" w:type="auto"/>
            <w:gridSpan w:val="3"/>
            <w:tcMar>
              <w:top w:w="0" w:type="dxa"/>
              <w:left w:w="20" w:type="dxa"/>
              <w:bottom w:w="0" w:type="dxa"/>
              <w:right w:w="20" w:type="dxa"/>
            </w:tcMar>
            <w:vAlign w:val="center"/>
            <w:hideMark/>
          </w:tcPr>
          <w:p w14:paraId="03B22380"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4088785"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643D59F"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366F6EC"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1BA47D"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F820057"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953D488"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00D6636"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D16E262"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1F7AF5B"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0F032A"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8F91237"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63C850C"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AC8F89F"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AF6CEBE" w14:textId="77777777" w:rsidR="00000000" w:rsidRDefault="00405D16">
            <w:pPr>
              <w:spacing w:after="100"/>
              <w:rPr>
                <w:rFonts w:eastAsia="Times New Roman"/>
                <w:sz w:val="20"/>
                <w:szCs w:val="20"/>
              </w:rPr>
            </w:pPr>
          </w:p>
        </w:tc>
      </w:tr>
      <w:tr w:rsidR="00000000" w14:paraId="722ABFDA" w14:textId="77777777">
        <w:trPr>
          <w:divId w:val="1259605286"/>
        </w:trPr>
        <w:tc>
          <w:tcPr>
            <w:tcW w:w="0" w:type="auto"/>
            <w:gridSpan w:val="3"/>
            <w:vAlign w:val="center"/>
            <w:hideMark/>
          </w:tcPr>
          <w:p w14:paraId="4EEFBB52" w14:textId="77777777" w:rsidR="00000000" w:rsidRDefault="00405D16">
            <w:pPr>
              <w:spacing w:after="100"/>
              <w:rPr>
                <w:rFonts w:eastAsia="Times New Roman"/>
                <w:sz w:val="20"/>
                <w:szCs w:val="20"/>
              </w:rPr>
            </w:pPr>
          </w:p>
        </w:tc>
        <w:tc>
          <w:tcPr>
            <w:tcW w:w="0" w:type="auto"/>
            <w:gridSpan w:val="3"/>
            <w:vAlign w:val="center"/>
            <w:hideMark/>
          </w:tcPr>
          <w:p w14:paraId="5DF20A3C" w14:textId="77777777" w:rsidR="00000000" w:rsidRDefault="00405D16">
            <w:pPr>
              <w:spacing w:after="100"/>
              <w:rPr>
                <w:rFonts w:eastAsia="Times New Roman"/>
                <w:sz w:val="20"/>
                <w:szCs w:val="20"/>
              </w:rPr>
            </w:pPr>
          </w:p>
        </w:tc>
        <w:tc>
          <w:tcPr>
            <w:tcW w:w="0" w:type="auto"/>
            <w:gridSpan w:val="3"/>
            <w:vAlign w:val="center"/>
            <w:hideMark/>
          </w:tcPr>
          <w:p w14:paraId="297F8AA5" w14:textId="77777777" w:rsidR="00000000" w:rsidRDefault="00405D16">
            <w:pPr>
              <w:spacing w:after="100"/>
              <w:rPr>
                <w:rFonts w:eastAsia="Times New Roman"/>
                <w:sz w:val="20"/>
                <w:szCs w:val="20"/>
              </w:rPr>
            </w:pPr>
          </w:p>
        </w:tc>
        <w:tc>
          <w:tcPr>
            <w:tcW w:w="0" w:type="auto"/>
            <w:gridSpan w:val="3"/>
            <w:vAlign w:val="center"/>
            <w:hideMark/>
          </w:tcPr>
          <w:p w14:paraId="1CF6B688" w14:textId="77777777" w:rsidR="00000000" w:rsidRDefault="00405D16">
            <w:pPr>
              <w:spacing w:after="100"/>
              <w:rPr>
                <w:rFonts w:eastAsia="Times New Roman"/>
                <w:sz w:val="20"/>
                <w:szCs w:val="20"/>
              </w:rPr>
            </w:pPr>
          </w:p>
        </w:tc>
        <w:tc>
          <w:tcPr>
            <w:tcW w:w="0" w:type="auto"/>
            <w:gridSpan w:val="3"/>
            <w:vAlign w:val="center"/>
            <w:hideMark/>
          </w:tcPr>
          <w:p w14:paraId="3FC54A09" w14:textId="77777777" w:rsidR="00000000" w:rsidRDefault="00405D16">
            <w:pPr>
              <w:spacing w:after="100"/>
              <w:rPr>
                <w:rFonts w:eastAsia="Times New Roman"/>
                <w:sz w:val="20"/>
                <w:szCs w:val="20"/>
              </w:rPr>
            </w:pPr>
          </w:p>
        </w:tc>
        <w:tc>
          <w:tcPr>
            <w:tcW w:w="0" w:type="auto"/>
            <w:vAlign w:val="center"/>
            <w:hideMark/>
          </w:tcPr>
          <w:p w14:paraId="0EB611D1" w14:textId="77777777" w:rsidR="00000000" w:rsidRDefault="00405D16">
            <w:pPr>
              <w:spacing w:after="100"/>
              <w:rPr>
                <w:rFonts w:eastAsia="Times New Roman"/>
                <w:sz w:val="20"/>
                <w:szCs w:val="20"/>
              </w:rPr>
            </w:pPr>
          </w:p>
        </w:tc>
        <w:tc>
          <w:tcPr>
            <w:tcW w:w="0" w:type="auto"/>
            <w:vAlign w:val="center"/>
            <w:hideMark/>
          </w:tcPr>
          <w:p w14:paraId="79D62A88" w14:textId="77777777" w:rsidR="00000000" w:rsidRDefault="00405D16">
            <w:pPr>
              <w:spacing w:after="100"/>
              <w:rPr>
                <w:rFonts w:eastAsia="Times New Roman"/>
                <w:sz w:val="20"/>
                <w:szCs w:val="20"/>
              </w:rPr>
            </w:pPr>
          </w:p>
        </w:tc>
        <w:tc>
          <w:tcPr>
            <w:tcW w:w="0" w:type="auto"/>
            <w:vAlign w:val="center"/>
            <w:hideMark/>
          </w:tcPr>
          <w:p w14:paraId="282A98AC" w14:textId="77777777" w:rsidR="00000000" w:rsidRDefault="00405D16">
            <w:pPr>
              <w:spacing w:after="100"/>
              <w:rPr>
                <w:rFonts w:eastAsia="Times New Roman"/>
                <w:sz w:val="20"/>
                <w:szCs w:val="20"/>
              </w:rPr>
            </w:pPr>
          </w:p>
        </w:tc>
        <w:tc>
          <w:tcPr>
            <w:tcW w:w="0" w:type="auto"/>
            <w:vAlign w:val="center"/>
            <w:hideMark/>
          </w:tcPr>
          <w:p w14:paraId="052FBC4E" w14:textId="77777777" w:rsidR="00000000" w:rsidRDefault="00405D16">
            <w:pPr>
              <w:spacing w:after="100"/>
              <w:rPr>
                <w:rFonts w:eastAsia="Times New Roman"/>
                <w:sz w:val="20"/>
                <w:szCs w:val="20"/>
              </w:rPr>
            </w:pPr>
          </w:p>
        </w:tc>
        <w:tc>
          <w:tcPr>
            <w:tcW w:w="0" w:type="auto"/>
            <w:vAlign w:val="center"/>
            <w:hideMark/>
          </w:tcPr>
          <w:p w14:paraId="1357AA32" w14:textId="77777777" w:rsidR="00000000" w:rsidRDefault="00405D16">
            <w:pPr>
              <w:spacing w:after="100"/>
              <w:rPr>
                <w:rFonts w:eastAsia="Times New Roman"/>
                <w:sz w:val="20"/>
                <w:szCs w:val="20"/>
              </w:rPr>
            </w:pPr>
          </w:p>
        </w:tc>
        <w:tc>
          <w:tcPr>
            <w:tcW w:w="0" w:type="auto"/>
            <w:vAlign w:val="center"/>
            <w:hideMark/>
          </w:tcPr>
          <w:p w14:paraId="2528F9F0" w14:textId="77777777" w:rsidR="00000000" w:rsidRDefault="00405D16">
            <w:pPr>
              <w:spacing w:after="100"/>
              <w:rPr>
                <w:rFonts w:eastAsia="Times New Roman"/>
                <w:sz w:val="20"/>
                <w:szCs w:val="20"/>
              </w:rPr>
            </w:pPr>
          </w:p>
        </w:tc>
        <w:tc>
          <w:tcPr>
            <w:tcW w:w="0" w:type="auto"/>
            <w:vAlign w:val="center"/>
            <w:hideMark/>
          </w:tcPr>
          <w:p w14:paraId="30092163" w14:textId="77777777" w:rsidR="00000000" w:rsidRDefault="00405D16">
            <w:pPr>
              <w:spacing w:after="100"/>
              <w:rPr>
                <w:rFonts w:eastAsia="Times New Roman"/>
                <w:sz w:val="20"/>
                <w:szCs w:val="20"/>
              </w:rPr>
            </w:pPr>
          </w:p>
        </w:tc>
        <w:tc>
          <w:tcPr>
            <w:tcW w:w="0" w:type="auto"/>
            <w:vAlign w:val="center"/>
            <w:hideMark/>
          </w:tcPr>
          <w:p w14:paraId="6952AB74" w14:textId="77777777" w:rsidR="00000000" w:rsidRDefault="00405D16">
            <w:pPr>
              <w:spacing w:after="100"/>
              <w:rPr>
                <w:rFonts w:eastAsia="Times New Roman"/>
                <w:sz w:val="20"/>
                <w:szCs w:val="20"/>
              </w:rPr>
            </w:pPr>
          </w:p>
        </w:tc>
        <w:tc>
          <w:tcPr>
            <w:tcW w:w="0" w:type="auto"/>
            <w:vAlign w:val="center"/>
            <w:hideMark/>
          </w:tcPr>
          <w:p w14:paraId="23886ED6" w14:textId="77777777" w:rsidR="00000000" w:rsidRDefault="00405D16">
            <w:pPr>
              <w:spacing w:after="100"/>
              <w:rPr>
                <w:rFonts w:eastAsia="Times New Roman"/>
                <w:sz w:val="20"/>
                <w:szCs w:val="20"/>
              </w:rPr>
            </w:pPr>
          </w:p>
        </w:tc>
        <w:tc>
          <w:tcPr>
            <w:tcW w:w="0" w:type="auto"/>
            <w:vAlign w:val="center"/>
            <w:hideMark/>
          </w:tcPr>
          <w:p w14:paraId="4410DE96" w14:textId="77777777" w:rsidR="00000000" w:rsidRDefault="00405D16">
            <w:pPr>
              <w:spacing w:after="100"/>
              <w:rPr>
                <w:rFonts w:eastAsia="Times New Roman"/>
                <w:sz w:val="20"/>
                <w:szCs w:val="20"/>
              </w:rPr>
            </w:pPr>
          </w:p>
        </w:tc>
        <w:tc>
          <w:tcPr>
            <w:tcW w:w="0" w:type="auto"/>
            <w:vAlign w:val="center"/>
            <w:hideMark/>
          </w:tcPr>
          <w:p w14:paraId="5637E7F9" w14:textId="77777777" w:rsidR="00000000" w:rsidRDefault="00405D16">
            <w:pPr>
              <w:spacing w:after="100"/>
              <w:rPr>
                <w:rFonts w:eastAsia="Times New Roman"/>
                <w:sz w:val="20"/>
                <w:szCs w:val="20"/>
              </w:rPr>
            </w:pPr>
          </w:p>
        </w:tc>
        <w:tc>
          <w:tcPr>
            <w:tcW w:w="0" w:type="auto"/>
            <w:vAlign w:val="center"/>
            <w:hideMark/>
          </w:tcPr>
          <w:p w14:paraId="39CB203C" w14:textId="77777777" w:rsidR="00000000" w:rsidRDefault="00405D16">
            <w:pPr>
              <w:spacing w:after="100"/>
              <w:rPr>
                <w:rFonts w:eastAsia="Times New Roman"/>
                <w:sz w:val="20"/>
                <w:szCs w:val="20"/>
              </w:rPr>
            </w:pPr>
          </w:p>
        </w:tc>
        <w:tc>
          <w:tcPr>
            <w:tcW w:w="0" w:type="auto"/>
            <w:vAlign w:val="center"/>
            <w:hideMark/>
          </w:tcPr>
          <w:p w14:paraId="40A08366" w14:textId="77777777" w:rsidR="00000000" w:rsidRDefault="00405D16">
            <w:pPr>
              <w:spacing w:after="100"/>
              <w:rPr>
                <w:rFonts w:eastAsia="Times New Roman"/>
                <w:sz w:val="20"/>
                <w:szCs w:val="20"/>
              </w:rPr>
            </w:pPr>
          </w:p>
        </w:tc>
        <w:tc>
          <w:tcPr>
            <w:tcW w:w="0" w:type="auto"/>
            <w:vAlign w:val="center"/>
            <w:hideMark/>
          </w:tcPr>
          <w:p w14:paraId="68DDC595" w14:textId="77777777" w:rsidR="00000000" w:rsidRDefault="00405D16">
            <w:pPr>
              <w:spacing w:after="100"/>
              <w:rPr>
                <w:rFonts w:eastAsia="Times New Roman"/>
                <w:sz w:val="20"/>
                <w:szCs w:val="20"/>
              </w:rPr>
            </w:pPr>
          </w:p>
        </w:tc>
        <w:tc>
          <w:tcPr>
            <w:tcW w:w="0" w:type="auto"/>
            <w:vAlign w:val="center"/>
            <w:hideMark/>
          </w:tcPr>
          <w:p w14:paraId="1EF1C3B1" w14:textId="77777777" w:rsidR="00000000" w:rsidRDefault="00405D16">
            <w:pPr>
              <w:spacing w:after="100"/>
              <w:rPr>
                <w:rFonts w:eastAsia="Times New Roman"/>
                <w:sz w:val="20"/>
                <w:szCs w:val="20"/>
              </w:rPr>
            </w:pPr>
          </w:p>
        </w:tc>
        <w:tc>
          <w:tcPr>
            <w:tcW w:w="0" w:type="auto"/>
            <w:vAlign w:val="center"/>
            <w:hideMark/>
          </w:tcPr>
          <w:p w14:paraId="3BED199E" w14:textId="77777777" w:rsidR="00000000" w:rsidRDefault="00405D16">
            <w:pPr>
              <w:spacing w:after="100"/>
              <w:rPr>
                <w:rFonts w:eastAsia="Times New Roman"/>
                <w:sz w:val="20"/>
                <w:szCs w:val="20"/>
              </w:rPr>
            </w:pPr>
          </w:p>
        </w:tc>
        <w:tc>
          <w:tcPr>
            <w:tcW w:w="0" w:type="auto"/>
            <w:vAlign w:val="center"/>
            <w:hideMark/>
          </w:tcPr>
          <w:p w14:paraId="11FCA4B5" w14:textId="77777777" w:rsidR="00000000" w:rsidRDefault="00405D16">
            <w:pPr>
              <w:spacing w:after="100"/>
              <w:rPr>
                <w:rFonts w:eastAsia="Times New Roman"/>
                <w:sz w:val="20"/>
                <w:szCs w:val="20"/>
              </w:rPr>
            </w:pPr>
          </w:p>
        </w:tc>
        <w:tc>
          <w:tcPr>
            <w:tcW w:w="0" w:type="auto"/>
            <w:vAlign w:val="center"/>
            <w:hideMark/>
          </w:tcPr>
          <w:p w14:paraId="24477338" w14:textId="77777777" w:rsidR="00000000" w:rsidRDefault="00405D16">
            <w:pPr>
              <w:spacing w:after="100"/>
              <w:rPr>
                <w:rFonts w:eastAsia="Times New Roman"/>
                <w:sz w:val="20"/>
                <w:szCs w:val="20"/>
              </w:rPr>
            </w:pPr>
          </w:p>
        </w:tc>
        <w:tc>
          <w:tcPr>
            <w:tcW w:w="0" w:type="auto"/>
            <w:vAlign w:val="center"/>
            <w:hideMark/>
          </w:tcPr>
          <w:p w14:paraId="641BFF69" w14:textId="77777777" w:rsidR="00000000" w:rsidRDefault="00405D16">
            <w:pPr>
              <w:spacing w:after="100"/>
              <w:rPr>
                <w:rFonts w:eastAsia="Times New Roman"/>
                <w:sz w:val="20"/>
                <w:szCs w:val="20"/>
              </w:rPr>
            </w:pPr>
          </w:p>
        </w:tc>
        <w:tc>
          <w:tcPr>
            <w:tcW w:w="0" w:type="auto"/>
            <w:vAlign w:val="center"/>
            <w:hideMark/>
          </w:tcPr>
          <w:p w14:paraId="212257B5" w14:textId="77777777" w:rsidR="00000000" w:rsidRDefault="00405D16">
            <w:pPr>
              <w:spacing w:after="100"/>
              <w:rPr>
                <w:rFonts w:eastAsia="Times New Roman"/>
                <w:sz w:val="20"/>
                <w:szCs w:val="20"/>
              </w:rPr>
            </w:pPr>
          </w:p>
        </w:tc>
        <w:tc>
          <w:tcPr>
            <w:tcW w:w="0" w:type="auto"/>
            <w:vAlign w:val="center"/>
            <w:hideMark/>
          </w:tcPr>
          <w:p w14:paraId="3D8B7832" w14:textId="77777777" w:rsidR="00000000" w:rsidRDefault="00405D16">
            <w:pPr>
              <w:spacing w:after="100"/>
              <w:rPr>
                <w:rFonts w:eastAsia="Times New Roman"/>
                <w:sz w:val="20"/>
                <w:szCs w:val="20"/>
              </w:rPr>
            </w:pPr>
          </w:p>
        </w:tc>
        <w:tc>
          <w:tcPr>
            <w:tcW w:w="0" w:type="auto"/>
            <w:vAlign w:val="center"/>
            <w:hideMark/>
          </w:tcPr>
          <w:p w14:paraId="2A8EEDE8" w14:textId="77777777" w:rsidR="00000000" w:rsidRDefault="00405D16">
            <w:pPr>
              <w:spacing w:after="100"/>
              <w:rPr>
                <w:rFonts w:eastAsia="Times New Roman"/>
                <w:sz w:val="20"/>
                <w:szCs w:val="20"/>
              </w:rPr>
            </w:pPr>
          </w:p>
        </w:tc>
        <w:tc>
          <w:tcPr>
            <w:tcW w:w="0" w:type="auto"/>
            <w:vAlign w:val="center"/>
            <w:hideMark/>
          </w:tcPr>
          <w:p w14:paraId="4849ABA8" w14:textId="77777777" w:rsidR="00000000" w:rsidRDefault="00405D16">
            <w:pPr>
              <w:spacing w:after="100"/>
              <w:rPr>
                <w:rFonts w:eastAsia="Times New Roman"/>
                <w:sz w:val="20"/>
                <w:szCs w:val="20"/>
              </w:rPr>
            </w:pPr>
          </w:p>
        </w:tc>
        <w:tc>
          <w:tcPr>
            <w:tcW w:w="0" w:type="auto"/>
            <w:vAlign w:val="center"/>
            <w:hideMark/>
          </w:tcPr>
          <w:p w14:paraId="4D4B25B8" w14:textId="77777777" w:rsidR="00000000" w:rsidRDefault="00405D16">
            <w:pPr>
              <w:spacing w:after="100"/>
              <w:rPr>
                <w:rFonts w:eastAsia="Times New Roman"/>
                <w:sz w:val="20"/>
                <w:szCs w:val="20"/>
              </w:rPr>
            </w:pPr>
          </w:p>
        </w:tc>
        <w:tc>
          <w:tcPr>
            <w:tcW w:w="0" w:type="auto"/>
            <w:vAlign w:val="center"/>
            <w:hideMark/>
          </w:tcPr>
          <w:p w14:paraId="56F2EDF1" w14:textId="77777777" w:rsidR="00000000" w:rsidRDefault="00405D16">
            <w:pPr>
              <w:spacing w:after="100"/>
              <w:rPr>
                <w:rFonts w:eastAsia="Times New Roman"/>
                <w:sz w:val="20"/>
                <w:szCs w:val="20"/>
              </w:rPr>
            </w:pPr>
          </w:p>
        </w:tc>
        <w:tc>
          <w:tcPr>
            <w:tcW w:w="0" w:type="auto"/>
            <w:vAlign w:val="center"/>
            <w:hideMark/>
          </w:tcPr>
          <w:p w14:paraId="409F182F" w14:textId="77777777" w:rsidR="00000000" w:rsidRDefault="00405D16">
            <w:pPr>
              <w:spacing w:after="100"/>
              <w:rPr>
                <w:rFonts w:eastAsia="Times New Roman"/>
                <w:sz w:val="20"/>
                <w:szCs w:val="20"/>
              </w:rPr>
            </w:pPr>
          </w:p>
        </w:tc>
        <w:tc>
          <w:tcPr>
            <w:tcW w:w="0" w:type="auto"/>
            <w:vAlign w:val="center"/>
            <w:hideMark/>
          </w:tcPr>
          <w:p w14:paraId="326F908D" w14:textId="77777777" w:rsidR="00000000" w:rsidRDefault="00405D16">
            <w:pPr>
              <w:spacing w:after="100"/>
              <w:rPr>
                <w:rFonts w:eastAsia="Times New Roman"/>
                <w:sz w:val="20"/>
                <w:szCs w:val="20"/>
              </w:rPr>
            </w:pPr>
          </w:p>
        </w:tc>
        <w:tc>
          <w:tcPr>
            <w:tcW w:w="0" w:type="auto"/>
            <w:vAlign w:val="center"/>
            <w:hideMark/>
          </w:tcPr>
          <w:p w14:paraId="7D094404" w14:textId="77777777" w:rsidR="00000000" w:rsidRDefault="00405D16">
            <w:pPr>
              <w:spacing w:after="100"/>
              <w:rPr>
                <w:rFonts w:eastAsia="Times New Roman"/>
                <w:sz w:val="20"/>
                <w:szCs w:val="20"/>
              </w:rPr>
            </w:pPr>
          </w:p>
        </w:tc>
        <w:tc>
          <w:tcPr>
            <w:tcW w:w="0" w:type="auto"/>
            <w:vAlign w:val="center"/>
            <w:hideMark/>
          </w:tcPr>
          <w:p w14:paraId="678342A4" w14:textId="77777777" w:rsidR="00000000" w:rsidRDefault="00405D16">
            <w:pPr>
              <w:spacing w:after="100"/>
              <w:rPr>
                <w:rFonts w:eastAsia="Times New Roman"/>
                <w:sz w:val="20"/>
                <w:szCs w:val="20"/>
              </w:rPr>
            </w:pPr>
          </w:p>
        </w:tc>
        <w:tc>
          <w:tcPr>
            <w:tcW w:w="0" w:type="auto"/>
            <w:vAlign w:val="center"/>
            <w:hideMark/>
          </w:tcPr>
          <w:p w14:paraId="31A06AB7" w14:textId="77777777" w:rsidR="00000000" w:rsidRDefault="00405D16">
            <w:pPr>
              <w:spacing w:after="100"/>
              <w:rPr>
                <w:rFonts w:eastAsia="Times New Roman"/>
                <w:sz w:val="20"/>
                <w:szCs w:val="20"/>
              </w:rPr>
            </w:pPr>
          </w:p>
        </w:tc>
      </w:tr>
      <w:tr w:rsidR="00000000" w14:paraId="20893DF7" w14:textId="77777777">
        <w:trPr>
          <w:divId w:val="1259605286"/>
        </w:trPr>
        <w:tc>
          <w:tcPr>
            <w:tcW w:w="0" w:type="auto"/>
            <w:gridSpan w:val="3"/>
            <w:vAlign w:val="center"/>
            <w:hideMark/>
          </w:tcPr>
          <w:p w14:paraId="6D0EF213" w14:textId="77777777" w:rsidR="00000000" w:rsidRDefault="00405D16">
            <w:pPr>
              <w:spacing w:after="100"/>
              <w:rPr>
                <w:rFonts w:eastAsia="Times New Roman"/>
                <w:sz w:val="20"/>
                <w:szCs w:val="20"/>
              </w:rPr>
            </w:pPr>
          </w:p>
        </w:tc>
        <w:tc>
          <w:tcPr>
            <w:tcW w:w="0" w:type="auto"/>
            <w:gridSpan w:val="3"/>
            <w:vAlign w:val="center"/>
            <w:hideMark/>
          </w:tcPr>
          <w:p w14:paraId="7169A1AF" w14:textId="77777777" w:rsidR="00000000" w:rsidRDefault="00405D16">
            <w:pPr>
              <w:spacing w:after="100"/>
              <w:rPr>
                <w:rFonts w:eastAsia="Times New Roman"/>
                <w:sz w:val="20"/>
                <w:szCs w:val="20"/>
              </w:rPr>
            </w:pPr>
          </w:p>
        </w:tc>
        <w:tc>
          <w:tcPr>
            <w:tcW w:w="0" w:type="auto"/>
            <w:gridSpan w:val="3"/>
            <w:vAlign w:val="center"/>
            <w:hideMark/>
          </w:tcPr>
          <w:p w14:paraId="7C6CAE3B" w14:textId="77777777" w:rsidR="00000000" w:rsidRDefault="00405D16">
            <w:pPr>
              <w:spacing w:after="100"/>
              <w:rPr>
                <w:rFonts w:eastAsia="Times New Roman"/>
                <w:sz w:val="20"/>
                <w:szCs w:val="20"/>
              </w:rPr>
            </w:pPr>
          </w:p>
        </w:tc>
        <w:tc>
          <w:tcPr>
            <w:tcW w:w="0" w:type="auto"/>
            <w:gridSpan w:val="3"/>
            <w:vAlign w:val="center"/>
            <w:hideMark/>
          </w:tcPr>
          <w:p w14:paraId="706510C8" w14:textId="77777777" w:rsidR="00000000" w:rsidRDefault="00405D16">
            <w:pPr>
              <w:spacing w:after="100"/>
              <w:rPr>
                <w:rFonts w:eastAsia="Times New Roman"/>
                <w:sz w:val="20"/>
                <w:szCs w:val="20"/>
              </w:rPr>
            </w:pPr>
          </w:p>
        </w:tc>
        <w:tc>
          <w:tcPr>
            <w:tcW w:w="0" w:type="auto"/>
            <w:gridSpan w:val="3"/>
            <w:vAlign w:val="center"/>
            <w:hideMark/>
          </w:tcPr>
          <w:p w14:paraId="7041B287" w14:textId="77777777" w:rsidR="00000000" w:rsidRDefault="00405D16">
            <w:pPr>
              <w:spacing w:after="100"/>
              <w:rPr>
                <w:rFonts w:eastAsia="Times New Roman"/>
                <w:sz w:val="20"/>
                <w:szCs w:val="20"/>
              </w:rPr>
            </w:pPr>
          </w:p>
        </w:tc>
        <w:tc>
          <w:tcPr>
            <w:tcW w:w="0" w:type="auto"/>
            <w:vAlign w:val="center"/>
            <w:hideMark/>
          </w:tcPr>
          <w:p w14:paraId="236AD836" w14:textId="77777777" w:rsidR="00000000" w:rsidRDefault="00405D16">
            <w:pPr>
              <w:spacing w:after="100"/>
              <w:rPr>
                <w:rFonts w:eastAsia="Times New Roman"/>
                <w:sz w:val="20"/>
                <w:szCs w:val="20"/>
              </w:rPr>
            </w:pPr>
          </w:p>
        </w:tc>
        <w:tc>
          <w:tcPr>
            <w:tcW w:w="0" w:type="auto"/>
            <w:vAlign w:val="center"/>
            <w:hideMark/>
          </w:tcPr>
          <w:p w14:paraId="54F54A23" w14:textId="77777777" w:rsidR="00000000" w:rsidRDefault="00405D16">
            <w:pPr>
              <w:spacing w:after="100"/>
              <w:rPr>
                <w:rFonts w:eastAsia="Times New Roman"/>
                <w:sz w:val="20"/>
                <w:szCs w:val="20"/>
              </w:rPr>
            </w:pPr>
          </w:p>
        </w:tc>
        <w:tc>
          <w:tcPr>
            <w:tcW w:w="0" w:type="auto"/>
            <w:vAlign w:val="center"/>
            <w:hideMark/>
          </w:tcPr>
          <w:p w14:paraId="6129F53B" w14:textId="77777777" w:rsidR="00000000" w:rsidRDefault="00405D16">
            <w:pPr>
              <w:spacing w:after="100"/>
              <w:rPr>
                <w:rFonts w:eastAsia="Times New Roman"/>
                <w:sz w:val="20"/>
                <w:szCs w:val="20"/>
              </w:rPr>
            </w:pPr>
          </w:p>
        </w:tc>
        <w:tc>
          <w:tcPr>
            <w:tcW w:w="0" w:type="auto"/>
            <w:vAlign w:val="center"/>
            <w:hideMark/>
          </w:tcPr>
          <w:p w14:paraId="21B1D471" w14:textId="77777777" w:rsidR="00000000" w:rsidRDefault="00405D16">
            <w:pPr>
              <w:spacing w:after="100"/>
              <w:rPr>
                <w:rFonts w:eastAsia="Times New Roman"/>
                <w:sz w:val="20"/>
                <w:szCs w:val="20"/>
              </w:rPr>
            </w:pPr>
          </w:p>
        </w:tc>
        <w:tc>
          <w:tcPr>
            <w:tcW w:w="0" w:type="auto"/>
            <w:vAlign w:val="center"/>
            <w:hideMark/>
          </w:tcPr>
          <w:p w14:paraId="3E2FBE21" w14:textId="77777777" w:rsidR="00000000" w:rsidRDefault="00405D16">
            <w:pPr>
              <w:spacing w:after="100"/>
              <w:rPr>
                <w:rFonts w:eastAsia="Times New Roman"/>
                <w:sz w:val="20"/>
                <w:szCs w:val="20"/>
              </w:rPr>
            </w:pPr>
          </w:p>
        </w:tc>
        <w:tc>
          <w:tcPr>
            <w:tcW w:w="0" w:type="auto"/>
            <w:vAlign w:val="center"/>
            <w:hideMark/>
          </w:tcPr>
          <w:p w14:paraId="489DD1FA" w14:textId="77777777" w:rsidR="00000000" w:rsidRDefault="00405D16">
            <w:pPr>
              <w:spacing w:after="100"/>
              <w:rPr>
                <w:rFonts w:eastAsia="Times New Roman"/>
                <w:sz w:val="20"/>
                <w:szCs w:val="20"/>
              </w:rPr>
            </w:pPr>
          </w:p>
        </w:tc>
        <w:tc>
          <w:tcPr>
            <w:tcW w:w="0" w:type="auto"/>
            <w:vAlign w:val="center"/>
            <w:hideMark/>
          </w:tcPr>
          <w:p w14:paraId="698D436D" w14:textId="77777777" w:rsidR="00000000" w:rsidRDefault="00405D16">
            <w:pPr>
              <w:spacing w:after="100"/>
              <w:rPr>
                <w:rFonts w:eastAsia="Times New Roman"/>
                <w:sz w:val="20"/>
                <w:szCs w:val="20"/>
              </w:rPr>
            </w:pPr>
          </w:p>
        </w:tc>
        <w:tc>
          <w:tcPr>
            <w:tcW w:w="0" w:type="auto"/>
            <w:vAlign w:val="center"/>
            <w:hideMark/>
          </w:tcPr>
          <w:p w14:paraId="6B60A41B" w14:textId="77777777" w:rsidR="00000000" w:rsidRDefault="00405D16">
            <w:pPr>
              <w:spacing w:after="100"/>
              <w:rPr>
                <w:rFonts w:eastAsia="Times New Roman"/>
                <w:sz w:val="20"/>
                <w:szCs w:val="20"/>
              </w:rPr>
            </w:pPr>
          </w:p>
        </w:tc>
        <w:tc>
          <w:tcPr>
            <w:tcW w:w="0" w:type="auto"/>
            <w:vAlign w:val="center"/>
            <w:hideMark/>
          </w:tcPr>
          <w:p w14:paraId="75849525" w14:textId="77777777" w:rsidR="00000000" w:rsidRDefault="00405D16">
            <w:pPr>
              <w:spacing w:after="100"/>
              <w:rPr>
                <w:rFonts w:eastAsia="Times New Roman"/>
                <w:sz w:val="20"/>
                <w:szCs w:val="20"/>
              </w:rPr>
            </w:pPr>
          </w:p>
        </w:tc>
        <w:tc>
          <w:tcPr>
            <w:tcW w:w="0" w:type="auto"/>
            <w:vAlign w:val="center"/>
            <w:hideMark/>
          </w:tcPr>
          <w:p w14:paraId="7A5A97A9" w14:textId="77777777" w:rsidR="00000000" w:rsidRDefault="00405D16">
            <w:pPr>
              <w:spacing w:after="100"/>
              <w:rPr>
                <w:rFonts w:eastAsia="Times New Roman"/>
                <w:sz w:val="20"/>
                <w:szCs w:val="20"/>
              </w:rPr>
            </w:pPr>
          </w:p>
        </w:tc>
        <w:tc>
          <w:tcPr>
            <w:tcW w:w="0" w:type="auto"/>
            <w:vAlign w:val="center"/>
            <w:hideMark/>
          </w:tcPr>
          <w:p w14:paraId="00792BE7" w14:textId="77777777" w:rsidR="00000000" w:rsidRDefault="00405D16">
            <w:pPr>
              <w:spacing w:after="100"/>
              <w:rPr>
                <w:rFonts w:eastAsia="Times New Roman"/>
                <w:sz w:val="20"/>
                <w:szCs w:val="20"/>
              </w:rPr>
            </w:pPr>
          </w:p>
        </w:tc>
        <w:tc>
          <w:tcPr>
            <w:tcW w:w="0" w:type="auto"/>
            <w:vAlign w:val="center"/>
            <w:hideMark/>
          </w:tcPr>
          <w:p w14:paraId="4395F9FC" w14:textId="77777777" w:rsidR="00000000" w:rsidRDefault="00405D16">
            <w:pPr>
              <w:spacing w:after="100"/>
              <w:rPr>
                <w:rFonts w:eastAsia="Times New Roman"/>
                <w:sz w:val="20"/>
                <w:szCs w:val="20"/>
              </w:rPr>
            </w:pPr>
          </w:p>
        </w:tc>
        <w:tc>
          <w:tcPr>
            <w:tcW w:w="0" w:type="auto"/>
            <w:vAlign w:val="center"/>
            <w:hideMark/>
          </w:tcPr>
          <w:p w14:paraId="6BA413CF" w14:textId="77777777" w:rsidR="00000000" w:rsidRDefault="00405D16">
            <w:pPr>
              <w:spacing w:after="100"/>
              <w:rPr>
                <w:rFonts w:eastAsia="Times New Roman"/>
                <w:sz w:val="20"/>
                <w:szCs w:val="20"/>
              </w:rPr>
            </w:pPr>
          </w:p>
        </w:tc>
        <w:tc>
          <w:tcPr>
            <w:tcW w:w="0" w:type="auto"/>
            <w:vAlign w:val="center"/>
            <w:hideMark/>
          </w:tcPr>
          <w:p w14:paraId="1098DAA6" w14:textId="77777777" w:rsidR="00000000" w:rsidRDefault="00405D16">
            <w:pPr>
              <w:spacing w:after="100"/>
              <w:rPr>
                <w:rFonts w:eastAsia="Times New Roman"/>
                <w:sz w:val="20"/>
                <w:szCs w:val="20"/>
              </w:rPr>
            </w:pPr>
          </w:p>
        </w:tc>
        <w:tc>
          <w:tcPr>
            <w:tcW w:w="0" w:type="auto"/>
            <w:vAlign w:val="center"/>
            <w:hideMark/>
          </w:tcPr>
          <w:p w14:paraId="5308BBE4" w14:textId="77777777" w:rsidR="00000000" w:rsidRDefault="00405D16">
            <w:pPr>
              <w:spacing w:after="100"/>
              <w:rPr>
                <w:rFonts w:eastAsia="Times New Roman"/>
                <w:sz w:val="20"/>
                <w:szCs w:val="20"/>
              </w:rPr>
            </w:pPr>
          </w:p>
        </w:tc>
        <w:tc>
          <w:tcPr>
            <w:tcW w:w="0" w:type="auto"/>
            <w:vAlign w:val="center"/>
            <w:hideMark/>
          </w:tcPr>
          <w:p w14:paraId="111CEC67" w14:textId="77777777" w:rsidR="00000000" w:rsidRDefault="00405D16">
            <w:pPr>
              <w:spacing w:after="100"/>
              <w:rPr>
                <w:rFonts w:eastAsia="Times New Roman"/>
                <w:sz w:val="20"/>
                <w:szCs w:val="20"/>
              </w:rPr>
            </w:pPr>
          </w:p>
        </w:tc>
        <w:tc>
          <w:tcPr>
            <w:tcW w:w="0" w:type="auto"/>
            <w:vAlign w:val="center"/>
            <w:hideMark/>
          </w:tcPr>
          <w:p w14:paraId="1DA5E557" w14:textId="77777777" w:rsidR="00000000" w:rsidRDefault="00405D16">
            <w:pPr>
              <w:spacing w:after="100"/>
              <w:rPr>
                <w:rFonts w:eastAsia="Times New Roman"/>
                <w:sz w:val="20"/>
                <w:szCs w:val="20"/>
              </w:rPr>
            </w:pPr>
          </w:p>
        </w:tc>
        <w:tc>
          <w:tcPr>
            <w:tcW w:w="0" w:type="auto"/>
            <w:vAlign w:val="center"/>
            <w:hideMark/>
          </w:tcPr>
          <w:p w14:paraId="005BFDBF" w14:textId="77777777" w:rsidR="00000000" w:rsidRDefault="00405D16">
            <w:pPr>
              <w:spacing w:after="100"/>
              <w:rPr>
                <w:rFonts w:eastAsia="Times New Roman"/>
                <w:sz w:val="20"/>
                <w:szCs w:val="20"/>
              </w:rPr>
            </w:pPr>
          </w:p>
        </w:tc>
        <w:tc>
          <w:tcPr>
            <w:tcW w:w="0" w:type="auto"/>
            <w:vAlign w:val="center"/>
            <w:hideMark/>
          </w:tcPr>
          <w:p w14:paraId="64223245" w14:textId="77777777" w:rsidR="00000000" w:rsidRDefault="00405D16">
            <w:pPr>
              <w:spacing w:after="100"/>
              <w:rPr>
                <w:rFonts w:eastAsia="Times New Roman"/>
                <w:sz w:val="20"/>
                <w:szCs w:val="20"/>
              </w:rPr>
            </w:pPr>
          </w:p>
        </w:tc>
        <w:tc>
          <w:tcPr>
            <w:tcW w:w="0" w:type="auto"/>
            <w:vAlign w:val="center"/>
            <w:hideMark/>
          </w:tcPr>
          <w:p w14:paraId="0EEF6F84" w14:textId="77777777" w:rsidR="00000000" w:rsidRDefault="00405D16">
            <w:pPr>
              <w:spacing w:after="100"/>
              <w:rPr>
                <w:rFonts w:eastAsia="Times New Roman"/>
                <w:sz w:val="20"/>
                <w:szCs w:val="20"/>
              </w:rPr>
            </w:pPr>
          </w:p>
        </w:tc>
        <w:tc>
          <w:tcPr>
            <w:tcW w:w="0" w:type="auto"/>
            <w:vAlign w:val="center"/>
            <w:hideMark/>
          </w:tcPr>
          <w:p w14:paraId="1295D2C7" w14:textId="77777777" w:rsidR="00000000" w:rsidRDefault="00405D16">
            <w:pPr>
              <w:spacing w:after="100"/>
              <w:rPr>
                <w:rFonts w:eastAsia="Times New Roman"/>
                <w:sz w:val="20"/>
                <w:szCs w:val="20"/>
              </w:rPr>
            </w:pPr>
          </w:p>
        </w:tc>
        <w:tc>
          <w:tcPr>
            <w:tcW w:w="0" w:type="auto"/>
            <w:vAlign w:val="center"/>
            <w:hideMark/>
          </w:tcPr>
          <w:p w14:paraId="18C3DC22" w14:textId="77777777" w:rsidR="00000000" w:rsidRDefault="00405D16">
            <w:pPr>
              <w:spacing w:after="100"/>
              <w:rPr>
                <w:rFonts w:eastAsia="Times New Roman"/>
                <w:sz w:val="20"/>
                <w:szCs w:val="20"/>
              </w:rPr>
            </w:pPr>
          </w:p>
        </w:tc>
        <w:tc>
          <w:tcPr>
            <w:tcW w:w="0" w:type="auto"/>
            <w:vAlign w:val="center"/>
            <w:hideMark/>
          </w:tcPr>
          <w:p w14:paraId="2CE0D4E7" w14:textId="77777777" w:rsidR="00000000" w:rsidRDefault="00405D16">
            <w:pPr>
              <w:spacing w:after="100"/>
              <w:rPr>
                <w:rFonts w:eastAsia="Times New Roman"/>
                <w:sz w:val="20"/>
                <w:szCs w:val="20"/>
              </w:rPr>
            </w:pPr>
          </w:p>
        </w:tc>
        <w:tc>
          <w:tcPr>
            <w:tcW w:w="0" w:type="auto"/>
            <w:vAlign w:val="center"/>
            <w:hideMark/>
          </w:tcPr>
          <w:p w14:paraId="48545F82" w14:textId="77777777" w:rsidR="00000000" w:rsidRDefault="00405D16">
            <w:pPr>
              <w:spacing w:after="100"/>
              <w:rPr>
                <w:rFonts w:eastAsia="Times New Roman"/>
                <w:sz w:val="20"/>
                <w:szCs w:val="20"/>
              </w:rPr>
            </w:pPr>
          </w:p>
        </w:tc>
        <w:tc>
          <w:tcPr>
            <w:tcW w:w="0" w:type="auto"/>
            <w:vAlign w:val="center"/>
            <w:hideMark/>
          </w:tcPr>
          <w:p w14:paraId="67E0E3E7" w14:textId="77777777" w:rsidR="00000000" w:rsidRDefault="00405D16">
            <w:pPr>
              <w:spacing w:after="100"/>
              <w:rPr>
                <w:rFonts w:eastAsia="Times New Roman"/>
                <w:sz w:val="20"/>
                <w:szCs w:val="20"/>
              </w:rPr>
            </w:pPr>
          </w:p>
        </w:tc>
        <w:tc>
          <w:tcPr>
            <w:tcW w:w="0" w:type="auto"/>
            <w:vAlign w:val="center"/>
            <w:hideMark/>
          </w:tcPr>
          <w:p w14:paraId="3994016A" w14:textId="77777777" w:rsidR="00000000" w:rsidRDefault="00405D16">
            <w:pPr>
              <w:spacing w:after="100"/>
              <w:rPr>
                <w:rFonts w:eastAsia="Times New Roman"/>
                <w:sz w:val="20"/>
                <w:szCs w:val="20"/>
              </w:rPr>
            </w:pPr>
          </w:p>
        </w:tc>
        <w:tc>
          <w:tcPr>
            <w:tcW w:w="0" w:type="auto"/>
            <w:vAlign w:val="center"/>
            <w:hideMark/>
          </w:tcPr>
          <w:p w14:paraId="7E0719F1" w14:textId="77777777" w:rsidR="00000000" w:rsidRDefault="00405D16">
            <w:pPr>
              <w:spacing w:after="100"/>
              <w:rPr>
                <w:rFonts w:eastAsia="Times New Roman"/>
                <w:sz w:val="20"/>
                <w:szCs w:val="20"/>
              </w:rPr>
            </w:pPr>
          </w:p>
        </w:tc>
        <w:tc>
          <w:tcPr>
            <w:tcW w:w="0" w:type="auto"/>
            <w:vAlign w:val="center"/>
            <w:hideMark/>
          </w:tcPr>
          <w:p w14:paraId="717B3BF7" w14:textId="77777777" w:rsidR="00000000" w:rsidRDefault="00405D16">
            <w:pPr>
              <w:spacing w:after="100"/>
              <w:rPr>
                <w:rFonts w:eastAsia="Times New Roman"/>
                <w:sz w:val="20"/>
                <w:szCs w:val="20"/>
              </w:rPr>
            </w:pPr>
          </w:p>
        </w:tc>
        <w:tc>
          <w:tcPr>
            <w:tcW w:w="0" w:type="auto"/>
            <w:vAlign w:val="center"/>
            <w:hideMark/>
          </w:tcPr>
          <w:p w14:paraId="1FB87808" w14:textId="77777777" w:rsidR="00000000" w:rsidRDefault="00405D16">
            <w:pPr>
              <w:spacing w:after="100"/>
              <w:rPr>
                <w:rFonts w:eastAsia="Times New Roman"/>
                <w:sz w:val="20"/>
                <w:szCs w:val="20"/>
              </w:rPr>
            </w:pPr>
          </w:p>
        </w:tc>
        <w:tc>
          <w:tcPr>
            <w:tcW w:w="0" w:type="auto"/>
            <w:vAlign w:val="center"/>
            <w:hideMark/>
          </w:tcPr>
          <w:p w14:paraId="02E183C8" w14:textId="77777777" w:rsidR="00000000" w:rsidRDefault="00405D16">
            <w:pPr>
              <w:spacing w:after="100"/>
              <w:rPr>
                <w:rFonts w:eastAsia="Times New Roman"/>
                <w:sz w:val="20"/>
                <w:szCs w:val="20"/>
              </w:rPr>
            </w:pPr>
          </w:p>
        </w:tc>
      </w:tr>
      <w:tr w:rsidR="00000000" w14:paraId="173315DE" w14:textId="77777777">
        <w:trPr>
          <w:divId w:val="1259605286"/>
        </w:trPr>
        <w:tc>
          <w:tcPr>
            <w:tcW w:w="0" w:type="auto"/>
            <w:gridSpan w:val="3"/>
            <w:vAlign w:val="center"/>
            <w:hideMark/>
          </w:tcPr>
          <w:p w14:paraId="4C1AE9F3" w14:textId="77777777" w:rsidR="00000000" w:rsidRDefault="00405D16">
            <w:pPr>
              <w:spacing w:after="100"/>
              <w:rPr>
                <w:rFonts w:eastAsia="Times New Roman"/>
                <w:sz w:val="20"/>
                <w:szCs w:val="20"/>
              </w:rPr>
            </w:pPr>
          </w:p>
        </w:tc>
        <w:tc>
          <w:tcPr>
            <w:tcW w:w="0" w:type="auto"/>
            <w:gridSpan w:val="3"/>
            <w:vAlign w:val="center"/>
            <w:hideMark/>
          </w:tcPr>
          <w:p w14:paraId="3F8DE91E" w14:textId="77777777" w:rsidR="00000000" w:rsidRDefault="00405D16">
            <w:pPr>
              <w:spacing w:after="100"/>
              <w:rPr>
                <w:rFonts w:eastAsia="Times New Roman"/>
                <w:sz w:val="20"/>
                <w:szCs w:val="20"/>
              </w:rPr>
            </w:pPr>
          </w:p>
        </w:tc>
        <w:tc>
          <w:tcPr>
            <w:tcW w:w="0" w:type="auto"/>
            <w:gridSpan w:val="3"/>
            <w:vAlign w:val="center"/>
            <w:hideMark/>
          </w:tcPr>
          <w:p w14:paraId="4234F592" w14:textId="77777777" w:rsidR="00000000" w:rsidRDefault="00405D16">
            <w:pPr>
              <w:spacing w:after="100"/>
              <w:rPr>
                <w:rFonts w:eastAsia="Times New Roman"/>
                <w:sz w:val="20"/>
                <w:szCs w:val="20"/>
              </w:rPr>
            </w:pPr>
          </w:p>
        </w:tc>
        <w:tc>
          <w:tcPr>
            <w:tcW w:w="0" w:type="auto"/>
            <w:gridSpan w:val="3"/>
            <w:vAlign w:val="center"/>
            <w:hideMark/>
          </w:tcPr>
          <w:p w14:paraId="04BDBB6F" w14:textId="77777777" w:rsidR="00000000" w:rsidRDefault="00405D16">
            <w:pPr>
              <w:spacing w:after="100"/>
              <w:rPr>
                <w:rFonts w:eastAsia="Times New Roman"/>
                <w:sz w:val="20"/>
                <w:szCs w:val="20"/>
              </w:rPr>
            </w:pPr>
          </w:p>
        </w:tc>
        <w:tc>
          <w:tcPr>
            <w:tcW w:w="0" w:type="auto"/>
            <w:gridSpan w:val="3"/>
            <w:vAlign w:val="center"/>
            <w:hideMark/>
          </w:tcPr>
          <w:p w14:paraId="7DCC392F" w14:textId="77777777" w:rsidR="00000000" w:rsidRDefault="00405D16">
            <w:pPr>
              <w:spacing w:after="100"/>
              <w:rPr>
                <w:rFonts w:eastAsia="Times New Roman"/>
                <w:sz w:val="20"/>
                <w:szCs w:val="20"/>
              </w:rPr>
            </w:pPr>
          </w:p>
        </w:tc>
        <w:tc>
          <w:tcPr>
            <w:tcW w:w="0" w:type="auto"/>
            <w:gridSpan w:val="3"/>
            <w:vAlign w:val="center"/>
            <w:hideMark/>
          </w:tcPr>
          <w:p w14:paraId="1EBAB231" w14:textId="77777777" w:rsidR="00000000" w:rsidRDefault="00405D16">
            <w:pPr>
              <w:spacing w:after="100"/>
              <w:rPr>
                <w:rFonts w:eastAsia="Times New Roman"/>
                <w:sz w:val="20"/>
                <w:szCs w:val="20"/>
              </w:rPr>
            </w:pPr>
          </w:p>
        </w:tc>
        <w:tc>
          <w:tcPr>
            <w:tcW w:w="0" w:type="auto"/>
            <w:gridSpan w:val="3"/>
            <w:vAlign w:val="center"/>
            <w:hideMark/>
          </w:tcPr>
          <w:p w14:paraId="7B52CDDA" w14:textId="77777777" w:rsidR="00000000" w:rsidRDefault="00405D16">
            <w:pPr>
              <w:spacing w:after="100"/>
              <w:rPr>
                <w:rFonts w:eastAsia="Times New Roman"/>
                <w:sz w:val="20"/>
                <w:szCs w:val="20"/>
              </w:rPr>
            </w:pPr>
          </w:p>
        </w:tc>
        <w:tc>
          <w:tcPr>
            <w:tcW w:w="0" w:type="auto"/>
            <w:gridSpan w:val="3"/>
            <w:vAlign w:val="center"/>
            <w:hideMark/>
          </w:tcPr>
          <w:p w14:paraId="32B00C0C" w14:textId="77777777" w:rsidR="00000000" w:rsidRDefault="00405D16">
            <w:pPr>
              <w:spacing w:after="100"/>
              <w:rPr>
                <w:rFonts w:eastAsia="Times New Roman"/>
                <w:sz w:val="20"/>
                <w:szCs w:val="20"/>
              </w:rPr>
            </w:pPr>
          </w:p>
        </w:tc>
        <w:tc>
          <w:tcPr>
            <w:tcW w:w="0" w:type="auto"/>
            <w:gridSpan w:val="3"/>
            <w:vAlign w:val="center"/>
            <w:hideMark/>
          </w:tcPr>
          <w:p w14:paraId="26CAF8E9" w14:textId="77777777" w:rsidR="00000000" w:rsidRDefault="00405D16">
            <w:pPr>
              <w:spacing w:after="100"/>
              <w:rPr>
                <w:rFonts w:eastAsia="Times New Roman"/>
                <w:sz w:val="20"/>
                <w:szCs w:val="20"/>
              </w:rPr>
            </w:pPr>
          </w:p>
        </w:tc>
        <w:tc>
          <w:tcPr>
            <w:tcW w:w="0" w:type="auto"/>
            <w:gridSpan w:val="3"/>
            <w:vAlign w:val="center"/>
            <w:hideMark/>
          </w:tcPr>
          <w:p w14:paraId="53BBC03C" w14:textId="77777777" w:rsidR="00000000" w:rsidRDefault="00405D16">
            <w:pPr>
              <w:spacing w:after="100"/>
              <w:rPr>
                <w:rFonts w:eastAsia="Times New Roman"/>
                <w:sz w:val="20"/>
                <w:szCs w:val="20"/>
              </w:rPr>
            </w:pPr>
          </w:p>
        </w:tc>
        <w:tc>
          <w:tcPr>
            <w:tcW w:w="0" w:type="auto"/>
            <w:gridSpan w:val="3"/>
            <w:vAlign w:val="center"/>
            <w:hideMark/>
          </w:tcPr>
          <w:p w14:paraId="64CAA379" w14:textId="77777777" w:rsidR="00000000" w:rsidRDefault="00405D16">
            <w:pPr>
              <w:spacing w:after="100"/>
              <w:rPr>
                <w:rFonts w:eastAsia="Times New Roman"/>
                <w:sz w:val="20"/>
                <w:szCs w:val="20"/>
              </w:rPr>
            </w:pPr>
          </w:p>
        </w:tc>
        <w:tc>
          <w:tcPr>
            <w:tcW w:w="0" w:type="auto"/>
            <w:gridSpan w:val="3"/>
            <w:vAlign w:val="center"/>
            <w:hideMark/>
          </w:tcPr>
          <w:p w14:paraId="4CEE4574" w14:textId="77777777" w:rsidR="00000000" w:rsidRDefault="00405D16">
            <w:pPr>
              <w:spacing w:after="100"/>
              <w:rPr>
                <w:rFonts w:eastAsia="Times New Roman"/>
                <w:sz w:val="20"/>
                <w:szCs w:val="20"/>
              </w:rPr>
            </w:pPr>
          </w:p>
        </w:tc>
        <w:tc>
          <w:tcPr>
            <w:tcW w:w="0" w:type="auto"/>
            <w:gridSpan w:val="3"/>
            <w:vAlign w:val="center"/>
            <w:hideMark/>
          </w:tcPr>
          <w:p w14:paraId="6BEB4D94" w14:textId="77777777" w:rsidR="00000000" w:rsidRDefault="00405D16">
            <w:pPr>
              <w:spacing w:after="100"/>
              <w:rPr>
                <w:rFonts w:eastAsia="Times New Roman"/>
                <w:sz w:val="20"/>
                <w:szCs w:val="20"/>
              </w:rPr>
            </w:pPr>
          </w:p>
        </w:tc>
        <w:tc>
          <w:tcPr>
            <w:tcW w:w="0" w:type="auto"/>
            <w:gridSpan w:val="3"/>
            <w:vAlign w:val="center"/>
            <w:hideMark/>
          </w:tcPr>
          <w:p w14:paraId="3D0C09D2" w14:textId="77777777" w:rsidR="00000000" w:rsidRDefault="00405D16">
            <w:pPr>
              <w:spacing w:after="100"/>
              <w:rPr>
                <w:rFonts w:eastAsia="Times New Roman"/>
                <w:sz w:val="20"/>
                <w:szCs w:val="20"/>
              </w:rPr>
            </w:pPr>
          </w:p>
        </w:tc>
        <w:tc>
          <w:tcPr>
            <w:tcW w:w="0" w:type="auto"/>
            <w:gridSpan w:val="3"/>
            <w:vAlign w:val="center"/>
            <w:hideMark/>
          </w:tcPr>
          <w:p w14:paraId="11E19C3A" w14:textId="77777777" w:rsidR="00000000" w:rsidRDefault="00405D16">
            <w:pPr>
              <w:spacing w:after="100"/>
              <w:rPr>
                <w:rFonts w:eastAsia="Times New Roman"/>
                <w:sz w:val="20"/>
                <w:szCs w:val="20"/>
              </w:rPr>
            </w:pPr>
          </w:p>
        </w:tc>
      </w:tr>
      <w:tr w:rsidR="00000000" w14:paraId="3717193A" w14:textId="77777777">
        <w:trPr>
          <w:divId w:val="1259605286"/>
        </w:trPr>
        <w:tc>
          <w:tcPr>
            <w:tcW w:w="0" w:type="auto"/>
            <w:gridSpan w:val="3"/>
            <w:vAlign w:val="center"/>
            <w:hideMark/>
          </w:tcPr>
          <w:p w14:paraId="1DDAB35A" w14:textId="77777777" w:rsidR="00000000" w:rsidRDefault="00405D16">
            <w:pPr>
              <w:spacing w:after="100"/>
              <w:rPr>
                <w:rFonts w:eastAsia="Times New Roman"/>
                <w:sz w:val="20"/>
                <w:szCs w:val="20"/>
              </w:rPr>
            </w:pPr>
          </w:p>
        </w:tc>
        <w:tc>
          <w:tcPr>
            <w:tcW w:w="0" w:type="auto"/>
            <w:gridSpan w:val="3"/>
            <w:vAlign w:val="center"/>
            <w:hideMark/>
          </w:tcPr>
          <w:p w14:paraId="6A1F4508" w14:textId="77777777" w:rsidR="00000000" w:rsidRDefault="00405D16">
            <w:pPr>
              <w:spacing w:after="100"/>
              <w:rPr>
                <w:rFonts w:eastAsia="Times New Roman"/>
                <w:sz w:val="20"/>
                <w:szCs w:val="20"/>
              </w:rPr>
            </w:pPr>
          </w:p>
        </w:tc>
        <w:tc>
          <w:tcPr>
            <w:tcW w:w="0" w:type="auto"/>
            <w:gridSpan w:val="3"/>
            <w:vAlign w:val="center"/>
            <w:hideMark/>
          </w:tcPr>
          <w:p w14:paraId="4CA82CBB" w14:textId="77777777" w:rsidR="00000000" w:rsidRDefault="00405D16">
            <w:pPr>
              <w:spacing w:after="100"/>
              <w:rPr>
                <w:rFonts w:eastAsia="Times New Roman"/>
                <w:sz w:val="20"/>
                <w:szCs w:val="20"/>
              </w:rPr>
            </w:pPr>
          </w:p>
        </w:tc>
        <w:tc>
          <w:tcPr>
            <w:tcW w:w="0" w:type="auto"/>
            <w:gridSpan w:val="3"/>
            <w:vAlign w:val="center"/>
            <w:hideMark/>
          </w:tcPr>
          <w:p w14:paraId="6AC8E031" w14:textId="77777777" w:rsidR="00000000" w:rsidRDefault="00405D16">
            <w:pPr>
              <w:spacing w:after="100"/>
              <w:rPr>
                <w:rFonts w:eastAsia="Times New Roman"/>
                <w:sz w:val="20"/>
                <w:szCs w:val="20"/>
              </w:rPr>
            </w:pPr>
          </w:p>
        </w:tc>
        <w:tc>
          <w:tcPr>
            <w:tcW w:w="0" w:type="auto"/>
            <w:gridSpan w:val="3"/>
            <w:vAlign w:val="center"/>
            <w:hideMark/>
          </w:tcPr>
          <w:p w14:paraId="374DA4F9" w14:textId="77777777" w:rsidR="00000000" w:rsidRDefault="00405D16">
            <w:pPr>
              <w:spacing w:after="100"/>
              <w:rPr>
                <w:rFonts w:eastAsia="Times New Roman"/>
                <w:sz w:val="20"/>
                <w:szCs w:val="20"/>
              </w:rPr>
            </w:pPr>
          </w:p>
        </w:tc>
        <w:tc>
          <w:tcPr>
            <w:tcW w:w="0" w:type="auto"/>
            <w:gridSpan w:val="3"/>
            <w:vAlign w:val="center"/>
            <w:hideMark/>
          </w:tcPr>
          <w:p w14:paraId="38BEB0F6" w14:textId="77777777" w:rsidR="00000000" w:rsidRDefault="00405D16">
            <w:pPr>
              <w:spacing w:after="100"/>
              <w:rPr>
                <w:rFonts w:eastAsia="Times New Roman"/>
                <w:sz w:val="20"/>
                <w:szCs w:val="20"/>
              </w:rPr>
            </w:pPr>
          </w:p>
        </w:tc>
        <w:tc>
          <w:tcPr>
            <w:tcW w:w="0" w:type="auto"/>
            <w:gridSpan w:val="3"/>
            <w:vAlign w:val="center"/>
            <w:hideMark/>
          </w:tcPr>
          <w:p w14:paraId="0697924E" w14:textId="77777777" w:rsidR="00000000" w:rsidRDefault="00405D16">
            <w:pPr>
              <w:spacing w:after="100"/>
              <w:rPr>
                <w:rFonts w:eastAsia="Times New Roman"/>
                <w:sz w:val="20"/>
                <w:szCs w:val="20"/>
              </w:rPr>
            </w:pPr>
          </w:p>
        </w:tc>
        <w:tc>
          <w:tcPr>
            <w:tcW w:w="0" w:type="auto"/>
            <w:gridSpan w:val="3"/>
            <w:vAlign w:val="center"/>
            <w:hideMark/>
          </w:tcPr>
          <w:p w14:paraId="7FD47201" w14:textId="77777777" w:rsidR="00000000" w:rsidRDefault="00405D16">
            <w:pPr>
              <w:spacing w:after="100"/>
              <w:rPr>
                <w:rFonts w:eastAsia="Times New Roman"/>
                <w:sz w:val="20"/>
                <w:szCs w:val="20"/>
              </w:rPr>
            </w:pPr>
          </w:p>
        </w:tc>
        <w:tc>
          <w:tcPr>
            <w:tcW w:w="0" w:type="auto"/>
            <w:gridSpan w:val="3"/>
            <w:vAlign w:val="center"/>
            <w:hideMark/>
          </w:tcPr>
          <w:p w14:paraId="14268EFF" w14:textId="77777777" w:rsidR="00000000" w:rsidRDefault="00405D16">
            <w:pPr>
              <w:spacing w:after="100"/>
              <w:rPr>
                <w:rFonts w:eastAsia="Times New Roman"/>
                <w:sz w:val="20"/>
                <w:szCs w:val="20"/>
              </w:rPr>
            </w:pPr>
          </w:p>
        </w:tc>
        <w:tc>
          <w:tcPr>
            <w:tcW w:w="0" w:type="auto"/>
            <w:gridSpan w:val="3"/>
            <w:vAlign w:val="center"/>
            <w:hideMark/>
          </w:tcPr>
          <w:p w14:paraId="26487F37" w14:textId="77777777" w:rsidR="00000000" w:rsidRDefault="00405D16">
            <w:pPr>
              <w:spacing w:after="100"/>
              <w:rPr>
                <w:rFonts w:eastAsia="Times New Roman"/>
                <w:sz w:val="20"/>
                <w:szCs w:val="20"/>
              </w:rPr>
            </w:pPr>
          </w:p>
        </w:tc>
        <w:tc>
          <w:tcPr>
            <w:tcW w:w="0" w:type="auto"/>
            <w:gridSpan w:val="3"/>
            <w:vAlign w:val="center"/>
            <w:hideMark/>
          </w:tcPr>
          <w:p w14:paraId="46452BC2" w14:textId="77777777" w:rsidR="00000000" w:rsidRDefault="00405D16">
            <w:pPr>
              <w:spacing w:after="100"/>
              <w:rPr>
                <w:rFonts w:eastAsia="Times New Roman"/>
                <w:sz w:val="20"/>
                <w:szCs w:val="20"/>
              </w:rPr>
            </w:pPr>
          </w:p>
        </w:tc>
        <w:tc>
          <w:tcPr>
            <w:tcW w:w="0" w:type="auto"/>
            <w:gridSpan w:val="3"/>
            <w:vAlign w:val="center"/>
            <w:hideMark/>
          </w:tcPr>
          <w:p w14:paraId="66AC95F4" w14:textId="77777777" w:rsidR="00000000" w:rsidRDefault="00405D16">
            <w:pPr>
              <w:spacing w:after="100"/>
              <w:rPr>
                <w:rFonts w:eastAsia="Times New Roman"/>
                <w:sz w:val="20"/>
                <w:szCs w:val="20"/>
              </w:rPr>
            </w:pPr>
          </w:p>
        </w:tc>
        <w:tc>
          <w:tcPr>
            <w:tcW w:w="0" w:type="auto"/>
            <w:gridSpan w:val="3"/>
            <w:vAlign w:val="center"/>
            <w:hideMark/>
          </w:tcPr>
          <w:p w14:paraId="0601A1BD" w14:textId="77777777" w:rsidR="00000000" w:rsidRDefault="00405D16">
            <w:pPr>
              <w:spacing w:after="100"/>
              <w:rPr>
                <w:rFonts w:eastAsia="Times New Roman"/>
                <w:sz w:val="20"/>
                <w:szCs w:val="20"/>
              </w:rPr>
            </w:pPr>
          </w:p>
        </w:tc>
        <w:tc>
          <w:tcPr>
            <w:tcW w:w="0" w:type="auto"/>
            <w:gridSpan w:val="3"/>
            <w:vAlign w:val="center"/>
            <w:hideMark/>
          </w:tcPr>
          <w:p w14:paraId="07A678F3" w14:textId="77777777" w:rsidR="00000000" w:rsidRDefault="00405D16">
            <w:pPr>
              <w:spacing w:after="100"/>
              <w:rPr>
                <w:rFonts w:eastAsia="Times New Roman"/>
                <w:sz w:val="20"/>
                <w:szCs w:val="20"/>
              </w:rPr>
            </w:pPr>
          </w:p>
        </w:tc>
        <w:tc>
          <w:tcPr>
            <w:tcW w:w="0" w:type="auto"/>
            <w:gridSpan w:val="3"/>
            <w:vAlign w:val="center"/>
            <w:hideMark/>
          </w:tcPr>
          <w:p w14:paraId="187AB8FA" w14:textId="77777777" w:rsidR="00000000" w:rsidRDefault="00405D16">
            <w:pPr>
              <w:spacing w:after="100"/>
              <w:rPr>
                <w:rFonts w:eastAsia="Times New Roman"/>
                <w:sz w:val="20"/>
                <w:szCs w:val="20"/>
              </w:rPr>
            </w:pPr>
          </w:p>
        </w:tc>
      </w:tr>
      <w:tr w:rsidR="00000000" w14:paraId="0A30CE02" w14:textId="77777777">
        <w:trPr>
          <w:divId w:val="1259605286"/>
        </w:trPr>
        <w:tc>
          <w:tcPr>
            <w:tcW w:w="0" w:type="auto"/>
            <w:gridSpan w:val="3"/>
            <w:vAlign w:val="center"/>
            <w:hideMark/>
          </w:tcPr>
          <w:p w14:paraId="0C2F87B6" w14:textId="77777777" w:rsidR="00000000" w:rsidRDefault="00405D16">
            <w:pPr>
              <w:spacing w:after="100"/>
              <w:rPr>
                <w:rFonts w:eastAsia="Times New Roman"/>
                <w:sz w:val="20"/>
                <w:szCs w:val="20"/>
              </w:rPr>
            </w:pPr>
          </w:p>
        </w:tc>
        <w:tc>
          <w:tcPr>
            <w:tcW w:w="0" w:type="auto"/>
            <w:gridSpan w:val="3"/>
            <w:vAlign w:val="center"/>
            <w:hideMark/>
          </w:tcPr>
          <w:p w14:paraId="16760917" w14:textId="77777777" w:rsidR="00000000" w:rsidRDefault="00405D16">
            <w:pPr>
              <w:spacing w:after="100"/>
              <w:rPr>
                <w:rFonts w:eastAsia="Times New Roman"/>
                <w:sz w:val="20"/>
                <w:szCs w:val="20"/>
              </w:rPr>
            </w:pPr>
          </w:p>
        </w:tc>
        <w:tc>
          <w:tcPr>
            <w:tcW w:w="0" w:type="auto"/>
            <w:gridSpan w:val="3"/>
            <w:vAlign w:val="center"/>
            <w:hideMark/>
          </w:tcPr>
          <w:p w14:paraId="49478521" w14:textId="77777777" w:rsidR="00000000" w:rsidRDefault="00405D16">
            <w:pPr>
              <w:spacing w:after="100"/>
              <w:rPr>
                <w:rFonts w:eastAsia="Times New Roman"/>
                <w:sz w:val="20"/>
                <w:szCs w:val="20"/>
              </w:rPr>
            </w:pPr>
          </w:p>
        </w:tc>
        <w:tc>
          <w:tcPr>
            <w:tcW w:w="0" w:type="auto"/>
            <w:gridSpan w:val="3"/>
            <w:vAlign w:val="center"/>
            <w:hideMark/>
          </w:tcPr>
          <w:p w14:paraId="57CB31A8" w14:textId="77777777" w:rsidR="00000000" w:rsidRDefault="00405D16">
            <w:pPr>
              <w:spacing w:after="100"/>
              <w:rPr>
                <w:rFonts w:eastAsia="Times New Roman"/>
                <w:sz w:val="20"/>
                <w:szCs w:val="20"/>
              </w:rPr>
            </w:pPr>
          </w:p>
        </w:tc>
        <w:tc>
          <w:tcPr>
            <w:tcW w:w="0" w:type="auto"/>
            <w:gridSpan w:val="3"/>
            <w:vAlign w:val="center"/>
            <w:hideMark/>
          </w:tcPr>
          <w:p w14:paraId="293CDEBD" w14:textId="77777777" w:rsidR="00000000" w:rsidRDefault="00405D16">
            <w:pPr>
              <w:spacing w:after="100"/>
              <w:rPr>
                <w:rFonts w:eastAsia="Times New Roman"/>
                <w:sz w:val="20"/>
                <w:szCs w:val="20"/>
              </w:rPr>
            </w:pPr>
          </w:p>
        </w:tc>
        <w:tc>
          <w:tcPr>
            <w:tcW w:w="0" w:type="auto"/>
            <w:gridSpan w:val="3"/>
            <w:vAlign w:val="center"/>
            <w:hideMark/>
          </w:tcPr>
          <w:p w14:paraId="1F39B0EF" w14:textId="77777777" w:rsidR="00000000" w:rsidRDefault="00405D16">
            <w:pPr>
              <w:spacing w:after="100"/>
              <w:rPr>
                <w:rFonts w:eastAsia="Times New Roman"/>
                <w:sz w:val="20"/>
                <w:szCs w:val="20"/>
              </w:rPr>
            </w:pPr>
          </w:p>
        </w:tc>
        <w:tc>
          <w:tcPr>
            <w:tcW w:w="0" w:type="auto"/>
            <w:gridSpan w:val="3"/>
            <w:vAlign w:val="center"/>
            <w:hideMark/>
          </w:tcPr>
          <w:p w14:paraId="0345841D" w14:textId="77777777" w:rsidR="00000000" w:rsidRDefault="00405D16">
            <w:pPr>
              <w:spacing w:after="100"/>
              <w:rPr>
                <w:rFonts w:eastAsia="Times New Roman"/>
                <w:sz w:val="20"/>
                <w:szCs w:val="20"/>
              </w:rPr>
            </w:pPr>
          </w:p>
        </w:tc>
        <w:tc>
          <w:tcPr>
            <w:tcW w:w="0" w:type="auto"/>
            <w:gridSpan w:val="3"/>
            <w:vAlign w:val="center"/>
            <w:hideMark/>
          </w:tcPr>
          <w:p w14:paraId="1CEA045C" w14:textId="77777777" w:rsidR="00000000" w:rsidRDefault="00405D16">
            <w:pPr>
              <w:spacing w:after="100"/>
              <w:rPr>
                <w:rFonts w:eastAsia="Times New Roman"/>
                <w:sz w:val="20"/>
                <w:szCs w:val="20"/>
              </w:rPr>
            </w:pPr>
          </w:p>
        </w:tc>
        <w:tc>
          <w:tcPr>
            <w:tcW w:w="0" w:type="auto"/>
            <w:gridSpan w:val="3"/>
            <w:vAlign w:val="center"/>
            <w:hideMark/>
          </w:tcPr>
          <w:p w14:paraId="58B5FD43" w14:textId="77777777" w:rsidR="00000000" w:rsidRDefault="00405D16">
            <w:pPr>
              <w:spacing w:after="100"/>
              <w:rPr>
                <w:rFonts w:eastAsia="Times New Roman"/>
                <w:sz w:val="20"/>
                <w:szCs w:val="20"/>
              </w:rPr>
            </w:pPr>
          </w:p>
        </w:tc>
        <w:tc>
          <w:tcPr>
            <w:tcW w:w="0" w:type="auto"/>
            <w:gridSpan w:val="3"/>
            <w:vAlign w:val="center"/>
            <w:hideMark/>
          </w:tcPr>
          <w:p w14:paraId="58C1DAE4" w14:textId="77777777" w:rsidR="00000000" w:rsidRDefault="00405D16">
            <w:pPr>
              <w:spacing w:after="100"/>
              <w:rPr>
                <w:rFonts w:eastAsia="Times New Roman"/>
                <w:sz w:val="20"/>
                <w:szCs w:val="20"/>
              </w:rPr>
            </w:pPr>
          </w:p>
        </w:tc>
        <w:tc>
          <w:tcPr>
            <w:tcW w:w="0" w:type="auto"/>
            <w:gridSpan w:val="3"/>
            <w:vAlign w:val="center"/>
            <w:hideMark/>
          </w:tcPr>
          <w:p w14:paraId="1FF737B8" w14:textId="77777777" w:rsidR="00000000" w:rsidRDefault="00405D16">
            <w:pPr>
              <w:spacing w:after="100"/>
              <w:rPr>
                <w:rFonts w:eastAsia="Times New Roman"/>
                <w:sz w:val="20"/>
                <w:szCs w:val="20"/>
              </w:rPr>
            </w:pPr>
          </w:p>
        </w:tc>
        <w:tc>
          <w:tcPr>
            <w:tcW w:w="0" w:type="auto"/>
            <w:gridSpan w:val="3"/>
            <w:vAlign w:val="center"/>
            <w:hideMark/>
          </w:tcPr>
          <w:p w14:paraId="6A214DFB" w14:textId="77777777" w:rsidR="00000000" w:rsidRDefault="00405D16">
            <w:pPr>
              <w:spacing w:after="100"/>
              <w:rPr>
                <w:rFonts w:eastAsia="Times New Roman"/>
                <w:sz w:val="20"/>
                <w:szCs w:val="20"/>
              </w:rPr>
            </w:pPr>
          </w:p>
        </w:tc>
        <w:tc>
          <w:tcPr>
            <w:tcW w:w="0" w:type="auto"/>
            <w:gridSpan w:val="3"/>
            <w:vAlign w:val="center"/>
            <w:hideMark/>
          </w:tcPr>
          <w:p w14:paraId="1AB9829C" w14:textId="77777777" w:rsidR="00000000" w:rsidRDefault="00405D16">
            <w:pPr>
              <w:spacing w:after="100"/>
              <w:rPr>
                <w:rFonts w:eastAsia="Times New Roman"/>
                <w:sz w:val="20"/>
                <w:szCs w:val="20"/>
              </w:rPr>
            </w:pPr>
          </w:p>
        </w:tc>
        <w:tc>
          <w:tcPr>
            <w:tcW w:w="0" w:type="auto"/>
            <w:gridSpan w:val="3"/>
            <w:vAlign w:val="center"/>
            <w:hideMark/>
          </w:tcPr>
          <w:p w14:paraId="59D447C7" w14:textId="77777777" w:rsidR="00000000" w:rsidRDefault="00405D16">
            <w:pPr>
              <w:spacing w:after="100"/>
              <w:rPr>
                <w:rFonts w:eastAsia="Times New Roman"/>
                <w:sz w:val="20"/>
                <w:szCs w:val="20"/>
              </w:rPr>
            </w:pPr>
          </w:p>
        </w:tc>
        <w:tc>
          <w:tcPr>
            <w:tcW w:w="0" w:type="auto"/>
            <w:gridSpan w:val="3"/>
            <w:vAlign w:val="center"/>
            <w:hideMark/>
          </w:tcPr>
          <w:p w14:paraId="3FD28478" w14:textId="77777777" w:rsidR="00000000" w:rsidRDefault="00405D16">
            <w:pPr>
              <w:spacing w:after="100"/>
              <w:rPr>
                <w:rFonts w:eastAsia="Times New Roman"/>
                <w:sz w:val="20"/>
                <w:szCs w:val="20"/>
              </w:rPr>
            </w:pPr>
          </w:p>
        </w:tc>
      </w:tr>
      <w:tr w:rsidR="00000000" w14:paraId="73FD272D" w14:textId="77777777">
        <w:trPr>
          <w:divId w:val="1259605286"/>
        </w:trPr>
        <w:tc>
          <w:tcPr>
            <w:tcW w:w="0" w:type="auto"/>
            <w:gridSpan w:val="3"/>
            <w:vAlign w:val="center"/>
            <w:hideMark/>
          </w:tcPr>
          <w:p w14:paraId="0D5BD11C" w14:textId="77777777" w:rsidR="00000000" w:rsidRDefault="00405D16">
            <w:pPr>
              <w:spacing w:after="100"/>
              <w:rPr>
                <w:rFonts w:eastAsia="Times New Roman"/>
                <w:sz w:val="20"/>
                <w:szCs w:val="20"/>
              </w:rPr>
            </w:pPr>
          </w:p>
        </w:tc>
        <w:tc>
          <w:tcPr>
            <w:tcW w:w="0" w:type="auto"/>
            <w:gridSpan w:val="3"/>
            <w:vAlign w:val="center"/>
            <w:hideMark/>
          </w:tcPr>
          <w:p w14:paraId="1671E35C" w14:textId="77777777" w:rsidR="00000000" w:rsidRDefault="00405D16">
            <w:pPr>
              <w:spacing w:after="100"/>
              <w:rPr>
                <w:rFonts w:eastAsia="Times New Roman"/>
                <w:sz w:val="20"/>
                <w:szCs w:val="20"/>
              </w:rPr>
            </w:pPr>
          </w:p>
        </w:tc>
        <w:tc>
          <w:tcPr>
            <w:tcW w:w="0" w:type="auto"/>
            <w:gridSpan w:val="3"/>
            <w:vAlign w:val="center"/>
            <w:hideMark/>
          </w:tcPr>
          <w:p w14:paraId="2A2BFF23" w14:textId="77777777" w:rsidR="00000000" w:rsidRDefault="00405D16">
            <w:pPr>
              <w:spacing w:after="100"/>
              <w:rPr>
                <w:rFonts w:eastAsia="Times New Roman"/>
                <w:sz w:val="20"/>
                <w:szCs w:val="20"/>
              </w:rPr>
            </w:pPr>
          </w:p>
        </w:tc>
        <w:tc>
          <w:tcPr>
            <w:tcW w:w="0" w:type="auto"/>
            <w:gridSpan w:val="3"/>
            <w:vAlign w:val="center"/>
            <w:hideMark/>
          </w:tcPr>
          <w:p w14:paraId="74E7BCD3" w14:textId="77777777" w:rsidR="00000000" w:rsidRDefault="00405D16">
            <w:pPr>
              <w:spacing w:after="100"/>
              <w:rPr>
                <w:rFonts w:eastAsia="Times New Roman"/>
                <w:sz w:val="20"/>
                <w:szCs w:val="20"/>
              </w:rPr>
            </w:pPr>
          </w:p>
        </w:tc>
        <w:tc>
          <w:tcPr>
            <w:tcW w:w="0" w:type="auto"/>
            <w:gridSpan w:val="3"/>
            <w:vAlign w:val="center"/>
            <w:hideMark/>
          </w:tcPr>
          <w:p w14:paraId="7943E60E" w14:textId="77777777" w:rsidR="00000000" w:rsidRDefault="00405D16">
            <w:pPr>
              <w:spacing w:after="100"/>
              <w:rPr>
                <w:rFonts w:eastAsia="Times New Roman"/>
                <w:sz w:val="20"/>
                <w:szCs w:val="20"/>
              </w:rPr>
            </w:pPr>
          </w:p>
        </w:tc>
        <w:tc>
          <w:tcPr>
            <w:tcW w:w="0" w:type="auto"/>
            <w:gridSpan w:val="3"/>
            <w:vAlign w:val="center"/>
            <w:hideMark/>
          </w:tcPr>
          <w:p w14:paraId="3CDDAD95" w14:textId="77777777" w:rsidR="00000000" w:rsidRDefault="00405D16">
            <w:pPr>
              <w:spacing w:after="100"/>
              <w:rPr>
                <w:rFonts w:eastAsia="Times New Roman"/>
                <w:sz w:val="20"/>
                <w:szCs w:val="20"/>
              </w:rPr>
            </w:pPr>
          </w:p>
        </w:tc>
        <w:tc>
          <w:tcPr>
            <w:tcW w:w="0" w:type="auto"/>
            <w:gridSpan w:val="3"/>
            <w:vAlign w:val="center"/>
            <w:hideMark/>
          </w:tcPr>
          <w:p w14:paraId="1F5908C5" w14:textId="77777777" w:rsidR="00000000" w:rsidRDefault="00405D16">
            <w:pPr>
              <w:spacing w:after="100"/>
              <w:rPr>
                <w:rFonts w:eastAsia="Times New Roman"/>
                <w:sz w:val="20"/>
                <w:szCs w:val="20"/>
              </w:rPr>
            </w:pPr>
          </w:p>
        </w:tc>
        <w:tc>
          <w:tcPr>
            <w:tcW w:w="0" w:type="auto"/>
            <w:gridSpan w:val="3"/>
            <w:vAlign w:val="center"/>
            <w:hideMark/>
          </w:tcPr>
          <w:p w14:paraId="35B226AA" w14:textId="77777777" w:rsidR="00000000" w:rsidRDefault="00405D16">
            <w:pPr>
              <w:spacing w:after="100"/>
              <w:rPr>
                <w:rFonts w:eastAsia="Times New Roman"/>
                <w:sz w:val="20"/>
                <w:szCs w:val="20"/>
              </w:rPr>
            </w:pPr>
          </w:p>
        </w:tc>
        <w:tc>
          <w:tcPr>
            <w:tcW w:w="0" w:type="auto"/>
            <w:gridSpan w:val="3"/>
            <w:vAlign w:val="center"/>
            <w:hideMark/>
          </w:tcPr>
          <w:p w14:paraId="0E820AF9" w14:textId="77777777" w:rsidR="00000000" w:rsidRDefault="00405D16">
            <w:pPr>
              <w:spacing w:after="100"/>
              <w:rPr>
                <w:rFonts w:eastAsia="Times New Roman"/>
                <w:sz w:val="20"/>
                <w:szCs w:val="20"/>
              </w:rPr>
            </w:pPr>
          </w:p>
        </w:tc>
        <w:tc>
          <w:tcPr>
            <w:tcW w:w="0" w:type="auto"/>
            <w:gridSpan w:val="3"/>
            <w:vAlign w:val="center"/>
            <w:hideMark/>
          </w:tcPr>
          <w:p w14:paraId="2DEBA350" w14:textId="77777777" w:rsidR="00000000" w:rsidRDefault="00405D16">
            <w:pPr>
              <w:spacing w:after="100"/>
              <w:rPr>
                <w:rFonts w:eastAsia="Times New Roman"/>
                <w:sz w:val="20"/>
                <w:szCs w:val="20"/>
              </w:rPr>
            </w:pPr>
          </w:p>
        </w:tc>
        <w:tc>
          <w:tcPr>
            <w:tcW w:w="0" w:type="auto"/>
            <w:gridSpan w:val="3"/>
            <w:vAlign w:val="center"/>
            <w:hideMark/>
          </w:tcPr>
          <w:p w14:paraId="43E4F806" w14:textId="77777777" w:rsidR="00000000" w:rsidRDefault="00405D16">
            <w:pPr>
              <w:spacing w:after="100"/>
              <w:rPr>
                <w:rFonts w:eastAsia="Times New Roman"/>
                <w:sz w:val="20"/>
                <w:szCs w:val="20"/>
              </w:rPr>
            </w:pPr>
          </w:p>
        </w:tc>
        <w:tc>
          <w:tcPr>
            <w:tcW w:w="0" w:type="auto"/>
            <w:gridSpan w:val="3"/>
            <w:vAlign w:val="center"/>
            <w:hideMark/>
          </w:tcPr>
          <w:p w14:paraId="420BCE5A" w14:textId="77777777" w:rsidR="00000000" w:rsidRDefault="00405D16">
            <w:pPr>
              <w:spacing w:after="100"/>
              <w:rPr>
                <w:rFonts w:eastAsia="Times New Roman"/>
                <w:sz w:val="20"/>
                <w:szCs w:val="20"/>
              </w:rPr>
            </w:pPr>
          </w:p>
        </w:tc>
        <w:tc>
          <w:tcPr>
            <w:tcW w:w="0" w:type="auto"/>
            <w:gridSpan w:val="3"/>
            <w:vAlign w:val="center"/>
            <w:hideMark/>
          </w:tcPr>
          <w:p w14:paraId="59F83A2C" w14:textId="77777777" w:rsidR="00000000" w:rsidRDefault="00405D16">
            <w:pPr>
              <w:spacing w:after="100"/>
              <w:rPr>
                <w:rFonts w:eastAsia="Times New Roman"/>
                <w:sz w:val="20"/>
                <w:szCs w:val="20"/>
              </w:rPr>
            </w:pPr>
          </w:p>
        </w:tc>
        <w:tc>
          <w:tcPr>
            <w:tcW w:w="0" w:type="auto"/>
            <w:gridSpan w:val="3"/>
            <w:vAlign w:val="center"/>
            <w:hideMark/>
          </w:tcPr>
          <w:p w14:paraId="22DC7DE8" w14:textId="77777777" w:rsidR="00000000" w:rsidRDefault="00405D16">
            <w:pPr>
              <w:spacing w:after="100"/>
              <w:rPr>
                <w:rFonts w:eastAsia="Times New Roman"/>
                <w:sz w:val="20"/>
                <w:szCs w:val="20"/>
              </w:rPr>
            </w:pPr>
          </w:p>
        </w:tc>
        <w:tc>
          <w:tcPr>
            <w:tcW w:w="0" w:type="auto"/>
            <w:gridSpan w:val="3"/>
            <w:vAlign w:val="center"/>
            <w:hideMark/>
          </w:tcPr>
          <w:p w14:paraId="7FD6F18A" w14:textId="77777777" w:rsidR="00000000" w:rsidRDefault="00405D16">
            <w:pPr>
              <w:spacing w:after="100"/>
              <w:rPr>
                <w:rFonts w:eastAsia="Times New Roman"/>
                <w:sz w:val="20"/>
                <w:szCs w:val="20"/>
              </w:rPr>
            </w:pPr>
          </w:p>
        </w:tc>
      </w:tr>
      <w:tr w:rsidR="00000000" w14:paraId="55E20677" w14:textId="77777777">
        <w:trPr>
          <w:divId w:val="1259605286"/>
        </w:trPr>
        <w:tc>
          <w:tcPr>
            <w:tcW w:w="0" w:type="auto"/>
            <w:gridSpan w:val="3"/>
            <w:vAlign w:val="center"/>
            <w:hideMark/>
          </w:tcPr>
          <w:p w14:paraId="51D4E6DA" w14:textId="77777777" w:rsidR="00000000" w:rsidRDefault="00405D16">
            <w:pPr>
              <w:spacing w:after="100"/>
              <w:rPr>
                <w:rFonts w:eastAsia="Times New Roman"/>
                <w:sz w:val="20"/>
                <w:szCs w:val="20"/>
              </w:rPr>
            </w:pPr>
          </w:p>
        </w:tc>
        <w:tc>
          <w:tcPr>
            <w:tcW w:w="0" w:type="auto"/>
            <w:gridSpan w:val="3"/>
            <w:vAlign w:val="center"/>
            <w:hideMark/>
          </w:tcPr>
          <w:p w14:paraId="6FA91C9F" w14:textId="77777777" w:rsidR="00000000" w:rsidRDefault="00405D16">
            <w:pPr>
              <w:spacing w:after="100"/>
              <w:rPr>
                <w:rFonts w:eastAsia="Times New Roman"/>
                <w:sz w:val="20"/>
                <w:szCs w:val="20"/>
              </w:rPr>
            </w:pPr>
          </w:p>
        </w:tc>
        <w:tc>
          <w:tcPr>
            <w:tcW w:w="0" w:type="auto"/>
            <w:gridSpan w:val="3"/>
            <w:vAlign w:val="center"/>
            <w:hideMark/>
          </w:tcPr>
          <w:p w14:paraId="45BC0163" w14:textId="77777777" w:rsidR="00000000" w:rsidRDefault="00405D16">
            <w:pPr>
              <w:spacing w:after="100"/>
              <w:rPr>
                <w:rFonts w:eastAsia="Times New Roman"/>
                <w:sz w:val="20"/>
                <w:szCs w:val="20"/>
              </w:rPr>
            </w:pPr>
          </w:p>
        </w:tc>
        <w:tc>
          <w:tcPr>
            <w:tcW w:w="0" w:type="auto"/>
            <w:gridSpan w:val="3"/>
            <w:vAlign w:val="center"/>
            <w:hideMark/>
          </w:tcPr>
          <w:p w14:paraId="588E1618" w14:textId="77777777" w:rsidR="00000000" w:rsidRDefault="00405D16">
            <w:pPr>
              <w:spacing w:after="100"/>
              <w:rPr>
                <w:rFonts w:eastAsia="Times New Roman"/>
                <w:sz w:val="20"/>
                <w:szCs w:val="20"/>
              </w:rPr>
            </w:pPr>
          </w:p>
        </w:tc>
        <w:tc>
          <w:tcPr>
            <w:tcW w:w="0" w:type="auto"/>
            <w:gridSpan w:val="3"/>
            <w:vAlign w:val="center"/>
            <w:hideMark/>
          </w:tcPr>
          <w:p w14:paraId="5DF27C78" w14:textId="77777777" w:rsidR="00000000" w:rsidRDefault="00405D16">
            <w:pPr>
              <w:spacing w:after="100"/>
              <w:rPr>
                <w:rFonts w:eastAsia="Times New Roman"/>
                <w:sz w:val="20"/>
                <w:szCs w:val="20"/>
              </w:rPr>
            </w:pPr>
          </w:p>
        </w:tc>
        <w:tc>
          <w:tcPr>
            <w:tcW w:w="0" w:type="auto"/>
            <w:gridSpan w:val="3"/>
            <w:vAlign w:val="center"/>
            <w:hideMark/>
          </w:tcPr>
          <w:p w14:paraId="3A9DFB0F" w14:textId="77777777" w:rsidR="00000000" w:rsidRDefault="00405D16">
            <w:pPr>
              <w:spacing w:after="100"/>
              <w:rPr>
                <w:rFonts w:eastAsia="Times New Roman"/>
                <w:sz w:val="20"/>
                <w:szCs w:val="20"/>
              </w:rPr>
            </w:pPr>
          </w:p>
        </w:tc>
        <w:tc>
          <w:tcPr>
            <w:tcW w:w="0" w:type="auto"/>
            <w:gridSpan w:val="3"/>
            <w:vAlign w:val="center"/>
            <w:hideMark/>
          </w:tcPr>
          <w:p w14:paraId="59B544C4" w14:textId="77777777" w:rsidR="00000000" w:rsidRDefault="00405D16">
            <w:pPr>
              <w:spacing w:after="100"/>
              <w:rPr>
                <w:rFonts w:eastAsia="Times New Roman"/>
                <w:sz w:val="20"/>
                <w:szCs w:val="20"/>
              </w:rPr>
            </w:pPr>
          </w:p>
        </w:tc>
        <w:tc>
          <w:tcPr>
            <w:tcW w:w="0" w:type="auto"/>
            <w:gridSpan w:val="3"/>
            <w:vAlign w:val="center"/>
            <w:hideMark/>
          </w:tcPr>
          <w:p w14:paraId="1A1BF6A3" w14:textId="77777777" w:rsidR="00000000" w:rsidRDefault="00405D16">
            <w:pPr>
              <w:spacing w:after="100"/>
              <w:rPr>
                <w:rFonts w:eastAsia="Times New Roman"/>
                <w:sz w:val="20"/>
                <w:szCs w:val="20"/>
              </w:rPr>
            </w:pPr>
          </w:p>
        </w:tc>
        <w:tc>
          <w:tcPr>
            <w:tcW w:w="0" w:type="auto"/>
            <w:gridSpan w:val="3"/>
            <w:vAlign w:val="center"/>
            <w:hideMark/>
          </w:tcPr>
          <w:p w14:paraId="3DD1801D" w14:textId="77777777" w:rsidR="00000000" w:rsidRDefault="00405D16">
            <w:pPr>
              <w:spacing w:after="100"/>
              <w:rPr>
                <w:rFonts w:eastAsia="Times New Roman"/>
                <w:sz w:val="20"/>
                <w:szCs w:val="20"/>
              </w:rPr>
            </w:pPr>
          </w:p>
        </w:tc>
        <w:tc>
          <w:tcPr>
            <w:tcW w:w="0" w:type="auto"/>
            <w:gridSpan w:val="3"/>
            <w:vAlign w:val="center"/>
            <w:hideMark/>
          </w:tcPr>
          <w:p w14:paraId="292CBB84" w14:textId="77777777" w:rsidR="00000000" w:rsidRDefault="00405D16">
            <w:pPr>
              <w:spacing w:after="100"/>
              <w:rPr>
                <w:rFonts w:eastAsia="Times New Roman"/>
                <w:sz w:val="20"/>
                <w:szCs w:val="20"/>
              </w:rPr>
            </w:pPr>
          </w:p>
        </w:tc>
        <w:tc>
          <w:tcPr>
            <w:tcW w:w="0" w:type="auto"/>
            <w:gridSpan w:val="3"/>
            <w:vAlign w:val="center"/>
            <w:hideMark/>
          </w:tcPr>
          <w:p w14:paraId="34228EC5" w14:textId="77777777" w:rsidR="00000000" w:rsidRDefault="00405D16">
            <w:pPr>
              <w:spacing w:after="100"/>
              <w:rPr>
                <w:rFonts w:eastAsia="Times New Roman"/>
                <w:sz w:val="20"/>
                <w:szCs w:val="20"/>
              </w:rPr>
            </w:pPr>
          </w:p>
        </w:tc>
        <w:tc>
          <w:tcPr>
            <w:tcW w:w="0" w:type="auto"/>
            <w:gridSpan w:val="3"/>
            <w:vAlign w:val="center"/>
            <w:hideMark/>
          </w:tcPr>
          <w:p w14:paraId="2CCBF0E9" w14:textId="77777777" w:rsidR="00000000" w:rsidRDefault="00405D16">
            <w:pPr>
              <w:spacing w:after="100"/>
              <w:rPr>
                <w:rFonts w:eastAsia="Times New Roman"/>
                <w:sz w:val="20"/>
                <w:szCs w:val="20"/>
              </w:rPr>
            </w:pPr>
          </w:p>
        </w:tc>
        <w:tc>
          <w:tcPr>
            <w:tcW w:w="0" w:type="auto"/>
            <w:gridSpan w:val="3"/>
            <w:vAlign w:val="center"/>
            <w:hideMark/>
          </w:tcPr>
          <w:p w14:paraId="26E5F037" w14:textId="77777777" w:rsidR="00000000" w:rsidRDefault="00405D16">
            <w:pPr>
              <w:spacing w:after="100"/>
              <w:rPr>
                <w:rFonts w:eastAsia="Times New Roman"/>
                <w:sz w:val="20"/>
                <w:szCs w:val="20"/>
              </w:rPr>
            </w:pPr>
          </w:p>
        </w:tc>
        <w:tc>
          <w:tcPr>
            <w:tcW w:w="0" w:type="auto"/>
            <w:gridSpan w:val="3"/>
            <w:vAlign w:val="center"/>
            <w:hideMark/>
          </w:tcPr>
          <w:p w14:paraId="5E3D3217" w14:textId="77777777" w:rsidR="00000000" w:rsidRDefault="00405D16">
            <w:pPr>
              <w:spacing w:after="100"/>
              <w:rPr>
                <w:rFonts w:eastAsia="Times New Roman"/>
                <w:sz w:val="20"/>
                <w:szCs w:val="20"/>
              </w:rPr>
            </w:pPr>
          </w:p>
        </w:tc>
        <w:tc>
          <w:tcPr>
            <w:tcW w:w="0" w:type="auto"/>
            <w:gridSpan w:val="3"/>
            <w:vAlign w:val="center"/>
            <w:hideMark/>
          </w:tcPr>
          <w:p w14:paraId="6CB77A77" w14:textId="77777777" w:rsidR="00000000" w:rsidRDefault="00405D16">
            <w:pPr>
              <w:spacing w:after="100"/>
              <w:rPr>
                <w:rFonts w:eastAsia="Times New Roman"/>
                <w:sz w:val="20"/>
                <w:szCs w:val="20"/>
              </w:rPr>
            </w:pPr>
          </w:p>
        </w:tc>
      </w:tr>
      <w:tr w:rsidR="00000000" w14:paraId="2AF67CF7" w14:textId="77777777">
        <w:trPr>
          <w:divId w:val="1259605286"/>
        </w:trPr>
        <w:tc>
          <w:tcPr>
            <w:tcW w:w="0" w:type="auto"/>
            <w:gridSpan w:val="3"/>
            <w:vAlign w:val="center"/>
            <w:hideMark/>
          </w:tcPr>
          <w:p w14:paraId="49505601" w14:textId="77777777" w:rsidR="00000000" w:rsidRDefault="00405D16">
            <w:pPr>
              <w:spacing w:after="100"/>
              <w:rPr>
                <w:rFonts w:eastAsia="Times New Roman"/>
                <w:sz w:val="20"/>
                <w:szCs w:val="20"/>
              </w:rPr>
            </w:pPr>
          </w:p>
        </w:tc>
        <w:tc>
          <w:tcPr>
            <w:tcW w:w="0" w:type="auto"/>
            <w:gridSpan w:val="3"/>
            <w:vAlign w:val="center"/>
            <w:hideMark/>
          </w:tcPr>
          <w:p w14:paraId="2A004971" w14:textId="77777777" w:rsidR="00000000" w:rsidRDefault="00405D16">
            <w:pPr>
              <w:spacing w:after="100"/>
              <w:rPr>
                <w:rFonts w:eastAsia="Times New Roman"/>
                <w:sz w:val="20"/>
                <w:szCs w:val="20"/>
              </w:rPr>
            </w:pPr>
          </w:p>
        </w:tc>
        <w:tc>
          <w:tcPr>
            <w:tcW w:w="0" w:type="auto"/>
            <w:gridSpan w:val="3"/>
            <w:vAlign w:val="center"/>
            <w:hideMark/>
          </w:tcPr>
          <w:p w14:paraId="680E4F29" w14:textId="77777777" w:rsidR="00000000" w:rsidRDefault="00405D16">
            <w:pPr>
              <w:spacing w:after="100"/>
              <w:rPr>
                <w:rFonts w:eastAsia="Times New Roman"/>
                <w:sz w:val="20"/>
                <w:szCs w:val="20"/>
              </w:rPr>
            </w:pPr>
          </w:p>
        </w:tc>
        <w:tc>
          <w:tcPr>
            <w:tcW w:w="0" w:type="auto"/>
            <w:gridSpan w:val="3"/>
            <w:vAlign w:val="center"/>
            <w:hideMark/>
          </w:tcPr>
          <w:p w14:paraId="07FFD34E" w14:textId="77777777" w:rsidR="00000000" w:rsidRDefault="00405D16">
            <w:pPr>
              <w:spacing w:after="100"/>
              <w:rPr>
                <w:rFonts w:eastAsia="Times New Roman"/>
                <w:sz w:val="20"/>
                <w:szCs w:val="20"/>
              </w:rPr>
            </w:pPr>
          </w:p>
        </w:tc>
        <w:tc>
          <w:tcPr>
            <w:tcW w:w="0" w:type="auto"/>
            <w:gridSpan w:val="3"/>
            <w:vAlign w:val="center"/>
            <w:hideMark/>
          </w:tcPr>
          <w:p w14:paraId="7C5A1107" w14:textId="77777777" w:rsidR="00000000" w:rsidRDefault="00405D16">
            <w:pPr>
              <w:spacing w:after="100"/>
              <w:rPr>
                <w:rFonts w:eastAsia="Times New Roman"/>
                <w:sz w:val="20"/>
                <w:szCs w:val="20"/>
              </w:rPr>
            </w:pPr>
          </w:p>
        </w:tc>
        <w:tc>
          <w:tcPr>
            <w:tcW w:w="0" w:type="auto"/>
            <w:gridSpan w:val="3"/>
            <w:vAlign w:val="center"/>
            <w:hideMark/>
          </w:tcPr>
          <w:p w14:paraId="264C3481" w14:textId="77777777" w:rsidR="00000000" w:rsidRDefault="00405D16">
            <w:pPr>
              <w:spacing w:after="100"/>
              <w:rPr>
                <w:rFonts w:eastAsia="Times New Roman"/>
                <w:sz w:val="20"/>
                <w:szCs w:val="20"/>
              </w:rPr>
            </w:pPr>
          </w:p>
        </w:tc>
        <w:tc>
          <w:tcPr>
            <w:tcW w:w="0" w:type="auto"/>
            <w:gridSpan w:val="3"/>
            <w:vAlign w:val="center"/>
            <w:hideMark/>
          </w:tcPr>
          <w:p w14:paraId="5486EF2F" w14:textId="77777777" w:rsidR="00000000" w:rsidRDefault="00405D16">
            <w:pPr>
              <w:spacing w:after="100"/>
              <w:rPr>
                <w:rFonts w:eastAsia="Times New Roman"/>
                <w:sz w:val="20"/>
                <w:szCs w:val="20"/>
              </w:rPr>
            </w:pPr>
          </w:p>
        </w:tc>
        <w:tc>
          <w:tcPr>
            <w:tcW w:w="0" w:type="auto"/>
            <w:gridSpan w:val="3"/>
            <w:vAlign w:val="center"/>
            <w:hideMark/>
          </w:tcPr>
          <w:p w14:paraId="5792D25D" w14:textId="77777777" w:rsidR="00000000" w:rsidRDefault="00405D16">
            <w:pPr>
              <w:spacing w:after="100"/>
              <w:rPr>
                <w:rFonts w:eastAsia="Times New Roman"/>
                <w:sz w:val="20"/>
                <w:szCs w:val="20"/>
              </w:rPr>
            </w:pPr>
          </w:p>
        </w:tc>
        <w:tc>
          <w:tcPr>
            <w:tcW w:w="0" w:type="auto"/>
            <w:gridSpan w:val="3"/>
            <w:vAlign w:val="center"/>
            <w:hideMark/>
          </w:tcPr>
          <w:p w14:paraId="369D1007" w14:textId="77777777" w:rsidR="00000000" w:rsidRDefault="00405D16">
            <w:pPr>
              <w:spacing w:after="100"/>
              <w:rPr>
                <w:rFonts w:eastAsia="Times New Roman"/>
                <w:sz w:val="20"/>
                <w:szCs w:val="20"/>
              </w:rPr>
            </w:pPr>
          </w:p>
        </w:tc>
        <w:tc>
          <w:tcPr>
            <w:tcW w:w="0" w:type="auto"/>
            <w:gridSpan w:val="3"/>
            <w:vAlign w:val="center"/>
            <w:hideMark/>
          </w:tcPr>
          <w:p w14:paraId="427CB901" w14:textId="77777777" w:rsidR="00000000" w:rsidRDefault="00405D16">
            <w:pPr>
              <w:spacing w:after="100"/>
              <w:rPr>
                <w:rFonts w:eastAsia="Times New Roman"/>
                <w:sz w:val="20"/>
                <w:szCs w:val="20"/>
              </w:rPr>
            </w:pPr>
          </w:p>
        </w:tc>
        <w:tc>
          <w:tcPr>
            <w:tcW w:w="0" w:type="auto"/>
            <w:gridSpan w:val="3"/>
            <w:vAlign w:val="center"/>
            <w:hideMark/>
          </w:tcPr>
          <w:p w14:paraId="45D23ABF" w14:textId="77777777" w:rsidR="00000000" w:rsidRDefault="00405D16">
            <w:pPr>
              <w:spacing w:after="100"/>
              <w:rPr>
                <w:rFonts w:eastAsia="Times New Roman"/>
                <w:sz w:val="20"/>
                <w:szCs w:val="20"/>
              </w:rPr>
            </w:pPr>
          </w:p>
        </w:tc>
        <w:tc>
          <w:tcPr>
            <w:tcW w:w="0" w:type="auto"/>
            <w:gridSpan w:val="3"/>
            <w:vAlign w:val="center"/>
            <w:hideMark/>
          </w:tcPr>
          <w:p w14:paraId="2D2493FE" w14:textId="77777777" w:rsidR="00000000" w:rsidRDefault="00405D16">
            <w:pPr>
              <w:spacing w:after="100"/>
              <w:rPr>
                <w:rFonts w:eastAsia="Times New Roman"/>
                <w:sz w:val="20"/>
                <w:szCs w:val="20"/>
              </w:rPr>
            </w:pPr>
          </w:p>
        </w:tc>
        <w:tc>
          <w:tcPr>
            <w:tcW w:w="0" w:type="auto"/>
            <w:gridSpan w:val="3"/>
            <w:vAlign w:val="center"/>
            <w:hideMark/>
          </w:tcPr>
          <w:p w14:paraId="6F4E529C" w14:textId="77777777" w:rsidR="00000000" w:rsidRDefault="00405D16">
            <w:pPr>
              <w:spacing w:after="100"/>
              <w:rPr>
                <w:rFonts w:eastAsia="Times New Roman"/>
                <w:sz w:val="20"/>
                <w:szCs w:val="20"/>
              </w:rPr>
            </w:pPr>
          </w:p>
        </w:tc>
        <w:tc>
          <w:tcPr>
            <w:tcW w:w="0" w:type="auto"/>
            <w:gridSpan w:val="3"/>
            <w:vAlign w:val="center"/>
            <w:hideMark/>
          </w:tcPr>
          <w:p w14:paraId="2AC4149F" w14:textId="77777777" w:rsidR="00000000" w:rsidRDefault="00405D16">
            <w:pPr>
              <w:spacing w:after="100"/>
              <w:rPr>
                <w:rFonts w:eastAsia="Times New Roman"/>
                <w:sz w:val="20"/>
                <w:szCs w:val="20"/>
              </w:rPr>
            </w:pPr>
          </w:p>
        </w:tc>
        <w:tc>
          <w:tcPr>
            <w:tcW w:w="0" w:type="auto"/>
            <w:gridSpan w:val="3"/>
            <w:vAlign w:val="center"/>
            <w:hideMark/>
          </w:tcPr>
          <w:p w14:paraId="3F57EB9B" w14:textId="77777777" w:rsidR="00000000" w:rsidRDefault="00405D16">
            <w:pPr>
              <w:spacing w:after="100"/>
              <w:rPr>
                <w:rFonts w:eastAsia="Times New Roman"/>
                <w:sz w:val="20"/>
                <w:szCs w:val="20"/>
              </w:rPr>
            </w:pPr>
          </w:p>
        </w:tc>
      </w:tr>
      <w:tr w:rsidR="00000000" w14:paraId="1497561D" w14:textId="77777777">
        <w:trPr>
          <w:divId w:val="1259605286"/>
        </w:trPr>
        <w:tc>
          <w:tcPr>
            <w:tcW w:w="0" w:type="auto"/>
            <w:gridSpan w:val="3"/>
            <w:vAlign w:val="center"/>
            <w:hideMark/>
          </w:tcPr>
          <w:p w14:paraId="4D24D989" w14:textId="77777777" w:rsidR="00000000" w:rsidRDefault="00405D16">
            <w:pPr>
              <w:spacing w:after="100"/>
              <w:rPr>
                <w:rFonts w:eastAsia="Times New Roman"/>
                <w:sz w:val="20"/>
                <w:szCs w:val="20"/>
              </w:rPr>
            </w:pPr>
          </w:p>
        </w:tc>
        <w:tc>
          <w:tcPr>
            <w:tcW w:w="0" w:type="auto"/>
            <w:gridSpan w:val="3"/>
            <w:vAlign w:val="center"/>
            <w:hideMark/>
          </w:tcPr>
          <w:p w14:paraId="19BA3364" w14:textId="77777777" w:rsidR="00000000" w:rsidRDefault="00405D16">
            <w:pPr>
              <w:spacing w:after="100"/>
              <w:rPr>
                <w:rFonts w:eastAsia="Times New Roman"/>
                <w:sz w:val="20"/>
                <w:szCs w:val="20"/>
              </w:rPr>
            </w:pPr>
          </w:p>
        </w:tc>
        <w:tc>
          <w:tcPr>
            <w:tcW w:w="0" w:type="auto"/>
            <w:gridSpan w:val="3"/>
            <w:vAlign w:val="center"/>
            <w:hideMark/>
          </w:tcPr>
          <w:p w14:paraId="175235E8" w14:textId="77777777" w:rsidR="00000000" w:rsidRDefault="00405D16">
            <w:pPr>
              <w:spacing w:after="100"/>
              <w:rPr>
                <w:rFonts w:eastAsia="Times New Roman"/>
                <w:sz w:val="20"/>
                <w:szCs w:val="20"/>
              </w:rPr>
            </w:pPr>
          </w:p>
        </w:tc>
        <w:tc>
          <w:tcPr>
            <w:tcW w:w="0" w:type="auto"/>
            <w:gridSpan w:val="3"/>
            <w:vAlign w:val="center"/>
            <w:hideMark/>
          </w:tcPr>
          <w:p w14:paraId="47EAD00F" w14:textId="77777777" w:rsidR="00000000" w:rsidRDefault="00405D16">
            <w:pPr>
              <w:spacing w:after="100"/>
              <w:rPr>
                <w:rFonts w:eastAsia="Times New Roman"/>
                <w:sz w:val="20"/>
                <w:szCs w:val="20"/>
              </w:rPr>
            </w:pPr>
          </w:p>
        </w:tc>
        <w:tc>
          <w:tcPr>
            <w:tcW w:w="0" w:type="auto"/>
            <w:gridSpan w:val="3"/>
            <w:vAlign w:val="center"/>
            <w:hideMark/>
          </w:tcPr>
          <w:p w14:paraId="163CB3EE" w14:textId="77777777" w:rsidR="00000000" w:rsidRDefault="00405D16">
            <w:pPr>
              <w:spacing w:after="100"/>
              <w:rPr>
                <w:rFonts w:eastAsia="Times New Roman"/>
                <w:sz w:val="20"/>
                <w:szCs w:val="20"/>
              </w:rPr>
            </w:pPr>
          </w:p>
        </w:tc>
        <w:tc>
          <w:tcPr>
            <w:tcW w:w="0" w:type="auto"/>
            <w:gridSpan w:val="3"/>
            <w:vAlign w:val="center"/>
            <w:hideMark/>
          </w:tcPr>
          <w:p w14:paraId="31CF7B31" w14:textId="77777777" w:rsidR="00000000" w:rsidRDefault="00405D16">
            <w:pPr>
              <w:spacing w:after="100"/>
              <w:rPr>
                <w:rFonts w:eastAsia="Times New Roman"/>
                <w:sz w:val="20"/>
                <w:szCs w:val="20"/>
              </w:rPr>
            </w:pPr>
          </w:p>
        </w:tc>
        <w:tc>
          <w:tcPr>
            <w:tcW w:w="0" w:type="auto"/>
            <w:gridSpan w:val="3"/>
            <w:vAlign w:val="center"/>
            <w:hideMark/>
          </w:tcPr>
          <w:p w14:paraId="7FB5D672" w14:textId="77777777" w:rsidR="00000000" w:rsidRDefault="00405D16">
            <w:pPr>
              <w:spacing w:after="100"/>
              <w:rPr>
                <w:rFonts w:eastAsia="Times New Roman"/>
                <w:sz w:val="20"/>
                <w:szCs w:val="20"/>
              </w:rPr>
            </w:pPr>
          </w:p>
        </w:tc>
        <w:tc>
          <w:tcPr>
            <w:tcW w:w="0" w:type="auto"/>
            <w:gridSpan w:val="3"/>
            <w:vAlign w:val="center"/>
            <w:hideMark/>
          </w:tcPr>
          <w:p w14:paraId="7DF0D6D6" w14:textId="77777777" w:rsidR="00000000" w:rsidRDefault="00405D16">
            <w:pPr>
              <w:spacing w:after="100"/>
              <w:rPr>
                <w:rFonts w:eastAsia="Times New Roman"/>
                <w:sz w:val="20"/>
                <w:szCs w:val="20"/>
              </w:rPr>
            </w:pPr>
          </w:p>
        </w:tc>
        <w:tc>
          <w:tcPr>
            <w:tcW w:w="0" w:type="auto"/>
            <w:gridSpan w:val="3"/>
            <w:vAlign w:val="center"/>
            <w:hideMark/>
          </w:tcPr>
          <w:p w14:paraId="1B6EC0A9" w14:textId="77777777" w:rsidR="00000000" w:rsidRDefault="00405D16">
            <w:pPr>
              <w:spacing w:after="100"/>
              <w:rPr>
                <w:rFonts w:eastAsia="Times New Roman"/>
                <w:sz w:val="20"/>
                <w:szCs w:val="20"/>
              </w:rPr>
            </w:pPr>
          </w:p>
        </w:tc>
        <w:tc>
          <w:tcPr>
            <w:tcW w:w="0" w:type="auto"/>
            <w:gridSpan w:val="3"/>
            <w:vAlign w:val="center"/>
            <w:hideMark/>
          </w:tcPr>
          <w:p w14:paraId="02E1E30C" w14:textId="77777777" w:rsidR="00000000" w:rsidRDefault="00405D16">
            <w:pPr>
              <w:spacing w:after="100"/>
              <w:rPr>
                <w:rFonts w:eastAsia="Times New Roman"/>
                <w:sz w:val="20"/>
                <w:szCs w:val="20"/>
              </w:rPr>
            </w:pPr>
          </w:p>
        </w:tc>
        <w:tc>
          <w:tcPr>
            <w:tcW w:w="0" w:type="auto"/>
            <w:gridSpan w:val="3"/>
            <w:vAlign w:val="center"/>
            <w:hideMark/>
          </w:tcPr>
          <w:p w14:paraId="2ECFFA0F" w14:textId="77777777" w:rsidR="00000000" w:rsidRDefault="00405D16">
            <w:pPr>
              <w:spacing w:after="100"/>
              <w:rPr>
                <w:rFonts w:eastAsia="Times New Roman"/>
                <w:sz w:val="20"/>
                <w:szCs w:val="20"/>
              </w:rPr>
            </w:pPr>
          </w:p>
        </w:tc>
        <w:tc>
          <w:tcPr>
            <w:tcW w:w="0" w:type="auto"/>
            <w:gridSpan w:val="3"/>
            <w:vAlign w:val="center"/>
            <w:hideMark/>
          </w:tcPr>
          <w:p w14:paraId="7BB8DBDA" w14:textId="77777777" w:rsidR="00000000" w:rsidRDefault="00405D16">
            <w:pPr>
              <w:spacing w:after="100"/>
              <w:rPr>
                <w:rFonts w:eastAsia="Times New Roman"/>
                <w:sz w:val="20"/>
                <w:szCs w:val="20"/>
              </w:rPr>
            </w:pPr>
          </w:p>
        </w:tc>
        <w:tc>
          <w:tcPr>
            <w:tcW w:w="0" w:type="auto"/>
            <w:gridSpan w:val="3"/>
            <w:vAlign w:val="center"/>
            <w:hideMark/>
          </w:tcPr>
          <w:p w14:paraId="7DD73932" w14:textId="77777777" w:rsidR="00000000" w:rsidRDefault="00405D16">
            <w:pPr>
              <w:spacing w:after="100"/>
              <w:rPr>
                <w:rFonts w:eastAsia="Times New Roman"/>
                <w:sz w:val="20"/>
                <w:szCs w:val="20"/>
              </w:rPr>
            </w:pPr>
          </w:p>
        </w:tc>
        <w:tc>
          <w:tcPr>
            <w:tcW w:w="0" w:type="auto"/>
            <w:gridSpan w:val="3"/>
            <w:vAlign w:val="center"/>
            <w:hideMark/>
          </w:tcPr>
          <w:p w14:paraId="44BA2EDF" w14:textId="77777777" w:rsidR="00000000" w:rsidRDefault="00405D16">
            <w:pPr>
              <w:spacing w:after="100"/>
              <w:rPr>
                <w:rFonts w:eastAsia="Times New Roman"/>
                <w:sz w:val="20"/>
                <w:szCs w:val="20"/>
              </w:rPr>
            </w:pPr>
          </w:p>
        </w:tc>
        <w:tc>
          <w:tcPr>
            <w:tcW w:w="0" w:type="auto"/>
            <w:gridSpan w:val="3"/>
            <w:vAlign w:val="center"/>
            <w:hideMark/>
          </w:tcPr>
          <w:p w14:paraId="35A4F6A8" w14:textId="77777777" w:rsidR="00000000" w:rsidRDefault="00405D16">
            <w:pPr>
              <w:spacing w:after="100"/>
              <w:rPr>
                <w:rFonts w:eastAsia="Times New Roman"/>
                <w:sz w:val="20"/>
                <w:szCs w:val="20"/>
              </w:rPr>
            </w:pPr>
          </w:p>
        </w:tc>
      </w:tr>
      <w:tr w:rsidR="00000000" w14:paraId="2BD3909D" w14:textId="77777777">
        <w:trPr>
          <w:divId w:val="1259605286"/>
        </w:trPr>
        <w:tc>
          <w:tcPr>
            <w:tcW w:w="0" w:type="auto"/>
            <w:gridSpan w:val="3"/>
            <w:vAlign w:val="center"/>
            <w:hideMark/>
          </w:tcPr>
          <w:p w14:paraId="0CCF4A2A" w14:textId="77777777" w:rsidR="00000000" w:rsidRDefault="00405D16">
            <w:pPr>
              <w:spacing w:after="100"/>
              <w:rPr>
                <w:rFonts w:eastAsia="Times New Roman"/>
                <w:sz w:val="20"/>
                <w:szCs w:val="20"/>
              </w:rPr>
            </w:pPr>
          </w:p>
        </w:tc>
        <w:tc>
          <w:tcPr>
            <w:tcW w:w="0" w:type="auto"/>
            <w:gridSpan w:val="3"/>
            <w:vAlign w:val="center"/>
            <w:hideMark/>
          </w:tcPr>
          <w:p w14:paraId="075CE682" w14:textId="77777777" w:rsidR="00000000" w:rsidRDefault="00405D16">
            <w:pPr>
              <w:spacing w:after="100"/>
              <w:rPr>
                <w:rFonts w:eastAsia="Times New Roman"/>
                <w:sz w:val="20"/>
                <w:szCs w:val="20"/>
              </w:rPr>
            </w:pPr>
          </w:p>
        </w:tc>
        <w:tc>
          <w:tcPr>
            <w:tcW w:w="0" w:type="auto"/>
            <w:gridSpan w:val="3"/>
            <w:vAlign w:val="center"/>
            <w:hideMark/>
          </w:tcPr>
          <w:p w14:paraId="1203B404" w14:textId="77777777" w:rsidR="00000000" w:rsidRDefault="00405D16">
            <w:pPr>
              <w:spacing w:after="100"/>
              <w:rPr>
                <w:rFonts w:eastAsia="Times New Roman"/>
                <w:sz w:val="20"/>
                <w:szCs w:val="20"/>
              </w:rPr>
            </w:pPr>
          </w:p>
        </w:tc>
        <w:tc>
          <w:tcPr>
            <w:tcW w:w="0" w:type="auto"/>
            <w:gridSpan w:val="3"/>
            <w:vAlign w:val="center"/>
            <w:hideMark/>
          </w:tcPr>
          <w:p w14:paraId="331DA611" w14:textId="77777777" w:rsidR="00000000" w:rsidRDefault="00405D16">
            <w:pPr>
              <w:spacing w:after="100"/>
              <w:rPr>
                <w:rFonts w:eastAsia="Times New Roman"/>
                <w:sz w:val="20"/>
                <w:szCs w:val="20"/>
              </w:rPr>
            </w:pPr>
          </w:p>
        </w:tc>
        <w:tc>
          <w:tcPr>
            <w:tcW w:w="0" w:type="auto"/>
            <w:gridSpan w:val="3"/>
            <w:vAlign w:val="center"/>
            <w:hideMark/>
          </w:tcPr>
          <w:p w14:paraId="13789EE3" w14:textId="77777777" w:rsidR="00000000" w:rsidRDefault="00405D16">
            <w:pPr>
              <w:spacing w:after="100"/>
              <w:rPr>
                <w:rFonts w:eastAsia="Times New Roman"/>
                <w:sz w:val="20"/>
                <w:szCs w:val="20"/>
              </w:rPr>
            </w:pPr>
          </w:p>
        </w:tc>
        <w:tc>
          <w:tcPr>
            <w:tcW w:w="0" w:type="auto"/>
            <w:gridSpan w:val="3"/>
            <w:vAlign w:val="center"/>
            <w:hideMark/>
          </w:tcPr>
          <w:p w14:paraId="15743399" w14:textId="77777777" w:rsidR="00000000" w:rsidRDefault="00405D16">
            <w:pPr>
              <w:spacing w:after="100"/>
              <w:rPr>
                <w:rFonts w:eastAsia="Times New Roman"/>
                <w:sz w:val="20"/>
                <w:szCs w:val="20"/>
              </w:rPr>
            </w:pPr>
          </w:p>
        </w:tc>
        <w:tc>
          <w:tcPr>
            <w:tcW w:w="0" w:type="auto"/>
            <w:gridSpan w:val="3"/>
            <w:vAlign w:val="center"/>
            <w:hideMark/>
          </w:tcPr>
          <w:p w14:paraId="25EC32D9" w14:textId="77777777" w:rsidR="00000000" w:rsidRDefault="00405D16">
            <w:pPr>
              <w:spacing w:after="100"/>
              <w:rPr>
                <w:rFonts w:eastAsia="Times New Roman"/>
                <w:sz w:val="20"/>
                <w:szCs w:val="20"/>
              </w:rPr>
            </w:pPr>
          </w:p>
        </w:tc>
        <w:tc>
          <w:tcPr>
            <w:tcW w:w="0" w:type="auto"/>
            <w:gridSpan w:val="3"/>
            <w:vAlign w:val="center"/>
            <w:hideMark/>
          </w:tcPr>
          <w:p w14:paraId="7167867F" w14:textId="77777777" w:rsidR="00000000" w:rsidRDefault="00405D16">
            <w:pPr>
              <w:spacing w:after="100"/>
              <w:rPr>
                <w:rFonts w:eastAsia="Times New Roman"/>
                <w:sz w:val="20"/>
                <w:szCs w:val="20"/>
              </w:rPr>
            </w:pPr>
          </w:p>
        </w:tc>
        <w:tc>
          <w:tcPr>
            <w:tcW w:w="0" w:type="auto"/>
            <w:gridSpan w:val="3"/>
            <w:vAlign w:val="center"/>
            <w:hideMark/>
          </w:tcPr>
          <w:p w14:paraId="2B9FA3E9" w14:textId="77777777" w:rsidR="00000000" w:rsidRDefault="00405D16">
            <w:pPr>
              <w:spacing w:after="100"/>
              <w:rPr>
                <w:rFonts w:eastAsia="Times New Roman"/>
                <w:sz w:val="20"/>
                <w:szCs w:val="20"/>
              </w:rPr>
            </w:pPr>
          </w:p>
        </w:tc>
        <w:tc>
          <w:tcPr>
            <w:tcW w:w="0" w:type="auto"/>
            <w:gridSpan w:val="3"/>
            <w:vAlign w:val="center"/>
            <w:hideMark/>
          </w:tcPr>
          <w:p w14:paraId="265FD92B" w14:textId="77777777" w:rsidR="00000000" w:rsidRDefault="00405D16">
            <w:pPr>
              <w:spacing w:after="100"/>
              <w:rPr>
                <w:rFonts w:eastAsia="Times New Roman"/>
                <w:sz w:val="20"/>
                <w:szCs w:val="20"/>
              </w:rPr>
            </w:pPr>
          </w:p>
        </w:tc>
        <w:tc>
          <w:tcPr>
            <w:tcW w:w="0" w:type="auto"/>
            <w:gridSpan w:val="3"/>
            <w:vAlign w:val="center"/>
            <w:hideMark/>
          </w:tcPr>
          <w:p w14:paraId="461B10F3" w14:textId="77777777" w:rsidR="00000000" w:rsidRDefault="00405D16">
            <w:pPr>
              <w:spacing w:after="100"/>
              <w:rPr>
                <w:rFonts w:eastAsia="Times New Roman"/>
                <w:sz w:val="20"/>
                <w:szCs w:val="20"/>
              </w:rPr>
            </w:pPr>
          </w:p>
        </w:tc>
        <w:tc>
          <w:tcPr>
            <w:tcW w:w="0" w:type="auto"/>
            <w:gridSpan w:val="3"/>
            <w:vAlign w:val="center"/>
            <w:hideMark/>
          </w:tcPr>
          <w:p w14:paraId="17661B50" w14:textId="77777777" w:rsidR="00000000" w:rsidRDefault="00405D16">
            <w:pPr>
              <w:spacing w:after="100"/>
              <w:rPr>
                <w:rFonts w:eastAsia="Times New Roman"/>
                <w:sz w:val="20"/>
                <w:szCs w:val="20"/>
              </w:rPr>
            </w:pPr>
          </w:p>
        </w:tc>
        <w:tc>
          <w:tcPr>
            <w:tcW w:w="0" w:type="auto"/>
            <w:gridSpan w:val="3"/>
            <w:vAlign w:val="center"/>
            <w:hideMark/>
          </w:tcPr>
          <w:p w14:paraId="43328828" w14:textId="77777777" w:rsidR="00000000" w:rsidRDefault="00405D16">
            <w:pPr>
              <w:spacing w:after="100"/>
              <w:rPr>
                <w:rFonts w:eastAsia="Times New Roman"/>
                <w:sz w:val="20"/>
                <w:szCs w:val="20"/>
              </w:rPr>
            </w:pPr>
          </w:p>
        </w:tc>
        <w:tc>
          <w:tcPr>
            <w:tcW w:w="0" w:type="auto"/>
            <w:gridSpan w:val="3"/>
            <w:vAlign w:val="center"/>
            <w:hideMark/>
          </w:tcPr>
          <w:p w14:paraId="049E33F0" w14:textId="77777777" w:rsidR="00000000" w:rsidRDefault="00405D16">
            <w:pPr>
              <w:spacing w:after="100"/>
              <w:rPr>
                <w:rFonts w:eastAsia="Times New Roman"/>
                <w:sz w:val="20"/>
                <w:szCs w:val="20"/>
              </w:rPr>
            </w:pPr>
          </w:p>
        </w:tc>
        <w:tc>
          <w:tcPr>
            <w:tcW w:w="0" w:type="auto"/>
            <w:gridSpan w:val="3"/>
            <w:vAlign w:val="center"/>
            <w:hideMark/>
          </w:tcPr>
          <w:p w14:paraId="443B23A7" w14:textId="77777777" w:rsidR="00000000" w:rsidRDefault="00405D16">
            <w:pPr>
              <w:spacing w:after="100"/>
              <w:rPr>
                <w:rFonts w:eastAsia="Times New Roman"/>
                <w:sz w:val="20"/>
                <w:szCs w:val="20"/>
              </w:rPr>
            </w:pPr>
          </w:p>
        </w:tc>
      </w:tr>
      <w:tr w:rsidR="00000000" w14:paraId="6C122387" w14:textId="77777777">
        <w:trPr>
          <w:divId w:val="1259605286"/>
        </w:trPr>
        <w:tc>
          <w:tcPr>
            <w:tcW w:w="0" w:type="auto"/>
            <w:gridSpan w:val="3"/>
            <w:vAlign w:val="center"/>
            <w:hideMark/>
          </w:tcPr>
          <w:p w14:paraId="6E5FB3CB" w14:textId="77777777" w:rsidR="00000000" w:rsidRDefault="00405D16">
            <w:pPr>
              <w:spacing w:after="100"/>
              <w:rPr>
                <w:rFonts w:eastAsia="Times New Roman"/>
                <w:sz w:val="20"/>
                <w:szCs w:val="20"/>
              </w:rPr>
            </w:pPr>
          </w:p>
        </w:tc>
        <w:tc>
          <w:tcPr>
            <w:tcW w:w="0" w:type="auto"/>
            <w:gridSpan w:val="3"/>
            <w:vAlign w:val="center"/>
            <w:hideMark/>
          </w:tcPr>
          <w:p w14:paraId="68816E00" w14:textId="77777777" w:rsidR="00000000" w:rsidRDefault="00405D16">
            <w:pPr>
              <w:spacing w:after="100"/>
              <w:rPr>
                <w:rFonts w:eastAsia="Times New Roman"/>
                <w:sz w:val="20"/>
                <w:szCs w:val="20"/>
              </w:rPr>
            </w:pPr>
          </w:p>
        </w:tc>
        <w:tc>
          <w:tcPr>
            <w:tcW w:w="0" w:type="auto"/>
            <w:gridSpan w:val="3"/>
            <w:vAlign w:val="center"/>
            <w:hideMark/>
          </w:tcPr>
          <w:p w14:paraId="4865EE8F" w14:textId="77777777" w:rsidR="00000000" w:rsidRDefault="00405D16">
            <w:pPr>
              <w:spacing w:after="100"/>
              <w:rPr>
                <w:rFonts w:eastAsia="Times New Roman"/>
                <w:sz w:val="20"/>
                <w:szCs w:val="20"/>
              </w:rPr>
            </w:pPr>
          </w:p>
        </w:tc>
        <w:tc>
          <w:tcPr>
            <w:tcW w:w="0" w:type="auto"/>
            <w:gridSpan w:val="3"/>
            <w:vAlign w:val="center"/>
            <w:hideMark/>
          </w:tcPr>
          <w:p w14:paraId="097DC7C2" w14:textId="77777777" w:rsidR="00000000" w:rsidRDefault="00405D16">
            <w:pPr>
              <w:spacing w:after="100"/>
              <w:rPr>
                <w:rFonts w:eastAsia="Times New Roman"/>
                <w:sz w:val="20"/>
                <w:szCs w:val="20"/>
              </w:rPr>
            </w:pPr>
          </w:p>
        </w:tc>
        <w:tc>
          <w:tcPr>
            <w:tcW w:w="0" w:type="auto"/>
            <w:gridSpan w:val="3"/>
            <w:vAlign w:val="center"/>
            <w:hideMark/>
          </w:tcPr>
          <w:p w14:paraId="39650EDB" w14:textId="77777777" w:rsidR="00000000" w:rsidRDefault="00405D16">
            <w:pPr>
              <w:spacing w:after="100"/>
              <w:rPr>
                <w:rFonts w:eastAsia="Times New Roman"/>
                <w:sz w:val="20"/>
                <w:szCs w:val="20"/>
              </w:rPr>
            </w:pPr>
          </w:p>
        </w:tc>
        <w:tc>
          <w:tcPr>
            <w:tcW w:w="0" w:type="auto"/>
            <w:gridSpan w:val="3"/>
            <w:vAlign w:val="center"/>
            <w:hideMark/>
          </w:tcPr>
          <w:p w14:paraId="74F7B5EE" w14:textId="77777777" w:rsidR="00000000" w:rsidRDefault="00405D16">
            <w:pPr>
              <w:spacing w:after="100"/>
              <w:rPr>
                <w:rFonts w:eastAsia="Times New Roman"/>
                <w:sz w:val="20"/>
                <w:szCs w:val="20"/>
              </w:rPr>
            </w:pPr>
          </w:p>
        </w:tc>
        <w:tc>
          <w:tcPr>
            <w:tcW w:w="0" w:type="auto"/>
            <w:gridSpan w:val="3"/>
            <w:vAlign w:val="center"/>
            <w:hideMark/>
          </w:tcPr>
          <w:p w14:paraId="5E0B6B83" w14:textId="77777777" w:rsidR="00000000" w:rsidRDefault="00405D16">
            <w:pPr>
              <w:spacing w:after="100"/>
              <w:rPr>
                <w:rFonts w:eastAsia="Times New Roman"/>
                <w:sz w:val="20"/>
                <w:szCs w:val="20"/>
              </w:rPr>
            </w:pPr>
          </w:p>
        </w:tc>
        <w:tc>
          <w:tcPr>
            <w:tcW w:w="0" w:type="auto"/>
            <w:gridSpan w:val="3"/>
            <w:vAlign w:val="center"/>
            <w:hideMark/>
          </w:tcPr>
          <w:p w14:paraId="77286AC3" w14:textId="77777777" w:rsidR="00000000" w:rsidRDefault="00405D16">
            <w:pPr>
              <w:spacing w:after="100"/>
              <w:rPr>
                <w:rFonts w:eastAsia="Times New Roman"/>
                <w:sz w:val="20"/>
                <w:szCs w:val="20"/>
              </w:rPr>
            </w:pPr>
          </w:p>
        </w:tc>
        <w:tc>
          <w:tcPr>
            <w:tcW w:w="0" w:type="auto"/>
            <w:gridSpan w:val="3"/>
            <w:vAlign w:val="center"/>
            <w:hideMark/>
          </w:tcPr>
          <w:p w14:paraId="6494A370" w14:textId="77777777" w:rsidR="00000000" w:rsidRDefault="00405D16">
            <w:pPr>
              <w:spacing w:after="100"/>
              <w:rPr>
                <w:rFonts w:eastAsia="Times New Roman"/>
                <w:sz w:val="20"/>
                <w:szCs w:val="20"/>
              </w:rPr>
            </w:pPr>
          </w:p>
        </w:tc>
        <w:tc>
          <w:tcPr>
            <w:tcW w:w="0" w:type="auto"/>
            <w:gridSpan w:val="3"/>
            <w:vAlign w:val="center"/>
            <w:hideMark/>
          </w:tcPr>
          <w:p w14:paraId="354EEF68" w14:textId="77777777" w:rsidR="00000000" w:rsidRDefault="00405D16">
            <w:pPr>
              <w:spacing w:after="100"/>
              <w:rPr>
                <w:rFonts w:eastAsia="Times New Roman"/>
                <w:sz w:val="20"/>
                <w:szCs w:val="20"/>
              </w:rPr>
            </w:pPr>
          </w:p>
        </w:tc>
        <w:tc>
          <w:tcPr>
            <w:tcW w:w="0" w:type="auto"/>
            <w:gridSpan w:val="3"/>
            <w:vAlign w:val="center"/>
            <w:hideMark/>
          </w:tcPr>
          <w:p w14:paraId="30433BF4" w14:textId="77777777" w:rsidR="00000000" w:rsidRDefault="00405D16">
            <w:pPr>
              <w:spacing w:after="100"/>
              <w:rPr>
                <w:rFonts w:eastAsia="Times New Roman"/>
                <w:sz w:val="20"/>
                <w:szCs w:val="20"/>
              </w:rPr>
            </w:pPr>
          </w:p>
        </w:tc>
        <w:tc>
          <w:tcPr>
            <w:tcW w:w="0" w:type="auto"/>
            <w:gridSpan w:val="3"/>
            <w:vAlign w:val="center"/>
            <w:hideMark/>
          </w:tcPr>
          <w:p w14:paraId="1E5FCAF2" w14:textId="77777777" w:rsidR="00000000" w:rsidRDefault="00405D16">
            <w:pPr>
              <w:spacing w:after="100"/>
              <w:rPr>
                <w:rFonts w:eastAsia="Times New Roman"/>
                <w:sz w:val="20"/>
                <w:szCs w:val="20"/>
              </w:rPr>
            </w:pPr>
          </w:p>
        </w:tc>
        <w:tc>
          <w:tcPr>
            <w:tcW w:w="0" w:type="auto"/>
            <w:gridSpan w:val="3"/>
            <w:vAlign w:val="center"/>
            <w:hideMark/>
          </w:tcPr>
          <w:p w14:paraId="5BF96E71" w14:textId="77777777" w:rsidR="00000000" w:rsidRDefault="00405D16">
            <w:pPr>
              <w:spacing w:after="100"/>
              <w:rPr>
                <w:rFonts w:eastAsia="Times New Roman"/>
                <w:sz w:val="20"/>
                <w:szCs w:val="20"/>
              </w:rPr>
            </w:pPr>
          </w:p>
        </w:tc>
        <w:tc>
          <w:tcPr>
            <w:tcW w:w="0" w:type="auto"/>
            <w:gridSpan w:val="3"/>
            <w:vAlign w:val="center"/>
            <w:hideMark/>
          </w:tcPr>
          <w:p w14:paraId="0B0EDEAA" w14:textId="77777777" w:rsidR="00000000" w:rsidRDefault="00405D16">
            <w:pPr>
              <w:spacing w:after="100"/>
              <w:rPr>
                <w:rFonts w:eastAsia="Times New Roman"/>
                <w:sz w:val="20"/>
                <w:szCs w:val="20"/>
              </w:rPr>
            </w:pPr>
          </w:p>
        </w:tc>
        <w:tc>
          <w:tcPr>
            <w:tcW w:w="0" w:type="auto"/>
            <w:gridSpan w:val="3"/>
            <w:vAlign w:val="center"/>
            <w:hideMark/>
          </w:tcPr>
          <w:p w14:paraId="5480CBAA" w14:textId="77777777" w:rsidR="00000000" w:rsidRDefault="00405D16">
            <w:pPr>
              <w:spacing w:after="100"/>
              <w:rPr>
                <w:rFonts w:eastAsia="Times New Roman"/>
                <w:sz w:val="20"/>
                <w:szCs w:val="20"/>
              </w:rPr>
            </w:pPr>
          </w:p>
        </w:tc>
      </w:tr>
      <w:tr w:rsidR="00000000" w14:paraId="615A569E" w14:textId="77777777">
        <w:trPr>
          <w:divId w:val="1259605286"/>
        </w:trPr>
        <w:tc>
          <w:tcPr>
            <w:tcW w:w="0" w:type="auto"/>
            <w:gridSpan w:val="3"/>
            <w:vAlign w:val="center"/>
            <w:hideMark/>
          </w:tcPr>
          <w:p w14:paraId="0EE9EC08" w14:textId="77777777" w:rsidR="00000000" w:rsidRDefault="00405D16">
            <w:pPr>
              <w:spacing w:after="100"/>
              <w:rPr>
                <w:rFonts w:eastAsia="Times New Roman"/>
                <w:sz w:val="20"/>
                <w:szCs w:val="20"/>
              </w:rPr>
            </w:pPr>
          </w:p>
        </w:tc>
        <w:tc>
          <w:tcPr>
            <w:tcW w:w="0" w:type="auto"/>
            <w:gridSpan w:val="3"/>
            <w:vAlign w:val="center"/>
            <w:hideMark/>
          </w:tcPr>
          <w:p w14:paraId="3F10974B" w14:textId="77777777" w:rsidR="00000000" w:rsidRDefault="00405D16">
            <w:pPr>
              <w:spacing w:after="100"/>
              <w:rPr>
                <w:rFonts w:eastAsia="Times New Roman"/>
                <w:sz w:val="20"/>
                <w:szCs w:val="20"/>
              </w:rPr>
            </w:pPr>
          </w:p>
        </w:tc>
        <w:tc>
          <w:tcPr>
            <w:tcW w:w="0" w:type="auto"/>
            <w:gridSpan w:val="3"/>
            <w:vAlign w:val="center"/>
            <w:hideMark/>
          </w:tcPr>
          <w:p w14:paraId="7A88EE69" w14:textId="77777777" w:rsidR="00000000" w:rsidRDefault="00405D16">
            <w:pPr>
              <w:spacing w:after="100"/>
              <w:rPr>
                <w:rFonts w:eastAsia="Times New Roman"/>
                <w:sz w:val="20"/>
                <w:szCs w:val="20"/>
              </w:rPr>
            </w:pPr>
          </w:p>
        </w:tc>
        <w:tc>
          <w:tcPr>
            <w:tcW w:w="0" w:type="auto"/>
            <w:gridSpan w:val="3"/>
            <w:vAlign w:val="center"/>
            <w:hideMark/>
          </w:tcPr>
          <w:p w14:paraId="722F2E00" w14:textId="77777777" w:rsidR="00000000" w:rsidRDefault="00405D16">
            <w:pPr>
              <w:spacing w:after="100"/>
              <w:rPr>
                <w:rFonts w:eastAsia="Times New Roman"/>
                <w:sz w:val="20"/>
                <w:szCs w:val="20"/>
              </w:rPr>
            </w:pPr>
          </w:p>
        </w:tc>
        <w:tc>
          <w:tcPr>
            <w:tcW w:w="0" w:type="auto"/>
            <w:gridSpan w:val="3"/>
            <w:vAlign w:val="center"/>
            <w:hideMark/>
          </w:tcPr>
          <w:p w14:paraId="17049995" w14:textId="77777777" w:rsidR="00000000" w:rsidRDefault="00405D16">
            <w:pPr>
              <w:spacing w:after="100"/>
              <w:rPr>
                <w:rFonts w:eastAsia="Times New Roman"/>
                <w:sz w:val="20"/>
                <w:szCs w:val="20"/>
              </w:rPr>
            </w:pPr>
          </w:p>
        </w:tc>
        <w:tc>
          <w:tcPr>
            <w:tcW w:w="0" w:type="auto"/>
            <w:gridSpan w:val="3"/>
            <w:vAlign w:val="center"/>
            <w:hideMark/>
          </w:tcPr>
          <w:p w14:paraId="2684AC0B" w14:textId="77777777" w:rsidR="00000000" w:rsidRDefault="00405D16">
            <w:pPr>
              <w:spacing w:after="100"/>
              <w:rPr>
                <w:rFonts w:eastAsia="Times New Roman"/>
                <w:sz w:val="20"/>
                <w:szCs w:val="20"/>
              </w:rPr>
            </w:pPr>
          </w:p>
        </w:tc>
        <w:tc>
          <w:tcPr>
            <w:tcW w:w="0" w:type="auto"/>
            <w:gridSpan w:val="3"/>
            <w:vAlign w:val="center"/>
            <w:hideMark/>
          </w:tcPr>
          <w:p w14:paraId="4AC8DD57" w14:textId="77777777" w:rsidR="00000000" w:rsidRDefault="00405D16">
            <w:pPr>
              <w:spacing w:after="100"/>
              <w:rPr>
                <w:rFonts w:eastAsia="Times New Roman"/>
                <w:sz w:val="20"/>
                <w:szCs w:val="20"/>
              </w:rPr>
            </w:pPr>
          </w:p>
        </w:tc>
        <w:tc>
          <w:tcPr>
            <w:tcW w:w="0" w:type="auto"/>
            <w:gridSpan w:val="3"/>
            <w:vAlign w:val="center"/>
            <w:hideMark/>
          </w:tcPr>
          <w:p w14:paraId="16E0270D" w14:textId="77777777" w:rsidR="00000000" w:rsidRDefault="00405D16">
            <w:pPr>
              <w:spacing w:after="100"/>
              <w:rPr>
                <w:rFonts w:eastAsia="Times New Roman"/>
                <w:sz w:val="20"/>
                <w:szCs w:val="20"/>
              </w:rPr>
            </w:pPr>
          </w:p>
        </w:tc>
        <w:tc>
          <w:tcPr>
            <w:tcW w:w="0" w:type="auto"/>
            <w:gridSpan w:val="3"/>
            <w:vAlign w:val="center"/>
            <w:hideMark/>
          </w:tcPr>
          <w:p w14:paraId="3046EC66" w14:textId="77777777" w:rsidR="00000000" w:rsidRDefault="00405D16">
            <w:pPr>
              <w:spacing w:after="100"/>
              <w:rPr>
                <w:rFonts w:eastAsia="Times New Roman"/>
                <w:sz w:val="20"/>
                <w:szCs w:val="20"/>
              </w:rPr>
            </w:pPr>
          </w:p>
        </w:tc>
        <w:tc>
          <w:tcPr>
            <w:tcW w:w="0" w:type="auto"/>
            <w:gridSpan w:val="3"/>
            <w:vAlign w:val="center"/>
            <w:hideMark/>
          </w:tcPr>
          <w:p w14:paraId="2BE7D441" w14:textId="77777777" w:rsidR="00000000" w:rsidRDefault="00405D16">
            <w:pPr>
              <w:spacing w:after="100"/>
              <w:rPr>
                <w:rFonts w:eastAsia="Times New Roman"/>
                <w:sz w:val="20"/>
                <w:szCs w:val="20"/>
              </w:rPr>
            </w:pPr>
          </w:p>
        </w:tc>
        <w:tc>
          <w:tcPr>
            <w:tcW w:w="0" w:type="auto"/>
            <w:gridSpan w:val="3"/>
            <w:vAlign w:val="center"/>
            <w:hideMark/>
          </w:tcPr>
          <w:p w14:paraId="77C69B39" w14:textId="77777777" w:rsidR="00000000" w:rsidRDefault="00405D16">
            <w:pPr>
              <w:spacing w:after="100"/>
              <w:rPr>
                <w:rFonts w:eastAsia="Times New Roman"/>
                <w:sz w:val="20"/>
                <w:szCs w:val="20"/>
              </w:rPr>
            </w:pPr>
          </w:p>
        </w:tc>
        <w:tc>
          <w:tcPr>
            <w:tcW w:w="0" w:type="auto"/>
            <w:gridSpan w:val="3"/>
            <w:vAlign w:val="center"/>
            <w:hideMark/>
          </w:tcPr>
          <w:p w14:paraId="193DE334" w14:textId="77777777" w:rsidR="00000000" w:rsidRDefault="00405D16">
            <w:pPr>
              <w:spacing w:after="100"/>
              <w:rPr>
                <w:rFonts w:eastAsia="Times New Roman"/>
                <w:sz w:val="20"/>
                <w:szCs w:val="20"/>
              </w:rPr>
            </w:pPr>
          </w:p>
        </w:tc>
        <w:tc>
          <w:tcPr>
            <w:tcW w:w="0" w:type="auto"/>
            <w:gridSpan w:val="3"/>
            <w:vAlign w:val="center"/>
            <w:hideMark/>
          </w:tcPr>
          <w:p w14:paraId="7642015A" w14:textId="77777777" w:rsidR="00000000" w:rsidRDefault="00405D16">
            <w:pPr>
              <w:spacing w:after="100"/>
              <w:rPr>
                <w:rFonts w:eastAsia="Times New Roman"/>
                <w:sz w:val="20"/>
                <w:szCs w:val="20"/>
              </w:rPr>
            </w:pPr>
          </w:p>
        </w:tc>
        <w:tc>
          <w:tcPr>
            <w:tcW w:w="0" w:type="auto"/>
            <w:gridSpan w:val="3"/>
            <w:vAlign w:val="center"/>
            <w:hideMark/>
          </w:tcPr>
          <w:p w14:paraId="5D3AD420" w14:textId="77777777" w:rsidR="00000000" w:rsidRDefault="00405D16">
            <w:pPr>
              <w:spacing w:after="100"/>
              <w:rPr>
                <w:rFonts w:eastAsia="Times New Roman"/>
                <w:sz w:val="20"/>
                <w:szCs w:val="20"/>
              </w:rPr>
            </w:pPr>
          </w:p>
        </w:tc>
        <w:tc>
          <w:tcPr>
            <w:tcW w:w="0" w:type="auto"/>
            <w:gridSpan w:val="3"/>
            <w:vAlign w:val="center"/>
            <w:hideMark/>
          </w:tcPr>
          <w:p w14:paraId="34E8C856" w14:textId="77777777" w:rsidR="00000000" w:rsidRDefault="00405D16">
            <w:pPr>
              <w:spacing w:after="100"/>
              <w:rPr>
                <w:rFonts w:eastAsia="Times New Roman"/>
                <w:sz w:val="20"/>
                <w:szCs w:val="20"/>
              </w:rPr>
            </w:pPr>
          </w:p>
        </w:tc>
      </w:tr>
      <w:tr w:rsidR="00000000" w14:paraId="74C29EE8" w14:textId="77777777">
        <w:trPr>
          <w:divId w:val="1259605286"/>
        </w:trPr>
        <w:tc>
          <w:tcPr>
            <w:tcW w:w="0" w:type="auto"/>
            <w:gridSpan w:val="3"/>
            <w:vAlign w:val="center"/>
            <w:hideMark/>
          </w:tcPr>
          <w:p w14:paraId="61B9E142" w14:textId="77777777" w:rsidR="00000000" w:rsidRDefault="00405D16">
            <w:pPr>
              <w:spacing w:after="100"/>
              <w:rPr>
                <w:rFonts w:eastAsia="Times New Roman"/>
                <w:sz w:val="20"/>
                <w:szCs w:val="20"/>
              </w:rPr>
            </w:pPr>
          </w:p>
        </w:tc>
        <w:tc>
          <w:tcPr>
            <w:tcW w:w="0" w:type="auto"/>
            <w:gridSpan w:val="3"/>
            <w:vAlign w:val="center"/>
            <w:hideMark/>
          </w:tcPr>
          <w:p w14:paraId="33039677" w14:textId="77777777" w:rsidR="00000000" w:rsidRDefault="00405D16">
            <w:pPr>
              <w:spacing w:after="100"/>
              <w:rPr>
                <w:rFonts w:eastAsia="Times New Roman"/>
                <w:sz w:val="20"/>
                <w:szCs w:val="20"/>
              </w:rPr>
            </w:pPr>
          </w:p>
        </w:tc>
        <w:tc>
          <w:tcPr>
            <w:tcW w:w="0" w:type="auto"/>
            <w:gridSpan w:val="3"/>
            <w:vAlign w:val="center"/>
            <w:hideMark/>
          </w:tcPr>
          <w:p w14:paraId="2BB025E1" w14:textId="77777777" w:rsidR="00000000" w:rsidRDefault="00405D16">
            <w:pPr>
              <w:spacing w:after="100"/>
              <w:rPr>
                <w:rFonts w:eastAsia="Times New Roman"/>
                <w:sz w:val="20"/>
                <w:szCs w:val="20"/>
              </w:rPr>
            </w:pPr>
          </w:p>
        </w:tc>
        <w:tc>
          <w:tcPr>
            <w:tcW w:w="0" w:type="auto"/>
            <w:gridSpan w:val="3"/>
            <w:vAlign w:val="center"/>
            <w:hideMark/>
          </w:tcPr>
          <w:p w14:paraId="1FA9E9A1" w14:textId="77777777" w:rsidR="00000000" w:rsidRDefault="00405D16">
            <w:pPr>
              <w:spacing w:after="100"/>
              <w:rPr>
                <w:rFonts w:eastAsia="Times New Roman"/>
                <w:sz w:val="20"/>
                <w:szCs w:val="20"/>
              </w:rPr>
            </w:pPr>
          </w:p>
        </w:tc>
        <w:tc>
          <w:tcPr>
            <w:tcW w:w="0" w:type="auto"/>
            <w:gridSpan w:val="3"/>
            <w:vAlign w:val="center"/>
            <w:hideMark/>
          </w:tcPr>
          <w:p w14:paraId="54748481" w14:textId="77777777" w:rsidR="00000000" w:rsidRDefault="00405D16">
            <w:pPr>
              <w:spacing w:after="100"/>
              <w:rPr>
                <w:rFonts w:eastAsia="Times New Roman"/>
                <w:sz w:val="20"/>
                <w:szCs w:val="20"/>
              </w:rPr>
            </w:pPr>
          </w:p>
        </w:tc>
        <w:tc>
          <w:tcPr>
            <w:tcW w:w="0" w:type="auto"/>
            <w:gridSpan w:val="3"/>
            <w:vAlign w:val="center"/>
            <w:hideMark/>
          </w:tcPr>
          <w:p w14:paraId="150C197D" w14:textId="77777777" w:rsidR="00000000" w:rsidRDefault="00405D16">
            <w:pPr>
              <w:spacing w:after="100"/>
              <w:rPr>
                <w:rFonts w:eastAsia="Times New Roman"/>
                <w:sz w:val="20"/>
                <w:szCs w:val="20"/>
              </w:rPr>
            </w:pPr>
          </w:p>
        </w:tc>
        <w:tc>
          <w:tcPr>
            <w:tcW w:w="0" w:type="auto"/>
            <w:gridSpan w:val="3"/>
            <w:vAlign w:val="center"/>
            <w:hideMark/>
          </w:tcPr>
          <w:p w14:paraId="0C3A94F9" w14:textId="77777777" w:rsidR="00000000" w:rsidRDefault="00405D16">
            <w:pPr>
              <w:spacing w:after="100"/>
              <w:rPr>
                <w:rFonts w:eastAsia="Times New Roman"/>
                <w:sz w:val="20"/>
                <w:szCs w:val="20"/>
              </w:rPr>
            </w:pPr>
          </w:p>
        </w:tc>
        <w:tc>
          <w:tcPr>
            <w:tcW w:w="0" w:type="auto"/>
            <w:gridSpan w:val="3"/>
            <w:vAlign w:val="center"/>
            <w:hideMark/>
          </w:tcPr>
          <w:p w14:paraId="3E71CFA7" w14:textId="77777777" w:rsidR="00000000" w:rsidRDefault="00405D16">
            <w:pPr>
              <w:spacing w:after="100"/>
              <w:rPr>
                <w:rFonts w:eastAsia="Times New Roman"/>
                <w:sz w:val="20"/>
                <w:szCs w:val="20"/>
              </w:rPr>
            </w:pPr>
          </w:p>
        </w:tc>
        <w:tc>
          <w:tcPr>
            <w:tcW w:w="0" w:type="auto"/>
            <w:gridSpan w:val="3"/>
            <w:vAlign w:val="center"/>
            <w:hideMark/>
          </w:tcPr>
          <w:p w14:paraId="2F38002D" w14:textId="77777777" w:rsidR="00000000" w:rsidRDefault="00405D16">
            <w:pPr>
              <w:spacing w:after="100"/>
              <w:rPr>
                <w:rFonts w:eastAsia="Times New Roman"/>
                <w:sz w:val="20"/>
                <w:szCs w:val="20"/>
              </w:rPr>
            </w:pPr>
          </w:p>
        </w:tc>
        <w:tc>
          <w:tcPr>
            <w:tcW w:w="0" w:type="auto"/>
            <w:gridSpan w:val="3"/>
            <w:vAlign w:val="center"/>
            <w:hideMark/>
          </w:tcPr>
          <w:p w14:paraId="126B9545" w14:textId="77777777" w:rsidR="00000000" w:rsidRDefault="00405D16">
            <w:pPr>
              <w:spacing w:after="100"/>
              <w:rPr>
                <w:rFonts w:eastAsia="Times New Roman"/>
                <w:sz w:val="20"/>
                <w:szCs w:val="20"/>
              </w:rPr>
            </w:pPr>
          </w:p>
        </w:tc>
        <w:tc>
          <w:tcPr>
            <w:tcW w:w="0" w:type="auto"/>
            <w:gridSpan w:val="3"/>
            <w:vAlign w:val="center"/>
            <w:hideMark/>
          </w:tcPr>
          <w:p w14:paraId="444A2027" w14:textId="77777777" w:rsidR="00000000" w:rsidRDefault="00405D16">
            <w:pPr>
              <w:spacing w:after="100"/>
              <w:rPr>
                <w:rFonts w:eastAsia="Times New Roman"/>
                <w:sz w:val="20"/>
                <w:szCs w:val="20"/>
              </w:rPr>
            </w:pPr>
          </w:p>
        </w:tc>
        <w:tc>
          <w:tcPr>
            <w:tcW w:w="0" w:type="auto"/>
            <w:gridSpan w:val="3"/>
            <w:vAlign w:val="center"/>
            <w:hideMark/>
          </w:tcPr>
          <w:p w14:paraId="6AC058D3" w14:textId="77777777" w:rsidR="00000000" w:rsidRDefault="00405D16">
            <w:pPr>
              <w:spacing w:after="100"/>
              <w:rPr>
                <w:rFonts w:eastAsia="Times New Roman"/>
                <w:sz w:val="20"/>
                <w:szCs w:val="20"/>
              </w:rPr>
            </w:pPr>
          </w:p>
        </w:tc>
        <w:tc>
          <w:tcPr>
            <w:tcW w:w="0" w:type="auto"/>
            <w:gridSpan w:val="3"/>
            <w:vAlign w:val="center"/>
            <w:hideMark/>
          </w:tcPr>
          <w:p w14:paraId="701C7CA1" w14:textId="77777777" w:rsidR="00000000" w:rsidRDefault="00405D16">
            <w:pPr>
              <w:spacing w:after="100"/>
              <w:rPr>
                <w:rFonts w:eastAsia="Times New Roman"/>
                <w:sz w:val="20"/>
                <w:szCs w:val="20"/>
              </w:rPr>
            </w:pPr>
          </w:p>
        </w:tc>
        <w:tc>
          <w:tcPr>
            <w:tcW w:w="0" w:type="auto"/>
            <w:gridSpan w:val="3"/>
            <w:vAlign w:val="center"/>
            <w:hideMark/>
          </w:tcPr>
          <w:p w14:paraId="0FE60E7F" w14:textId="77777777" w:rsidR="00000000" w:rsidRDefault="00405D16">
            <w:pPr>
              <w:spacing w:after="100"/>
              <w:rPr>
                <w:rFonts w:eastAsia="Times New Roman"/>
                <w:sz w:val="20"/>
                <w:szCs w:val="20"/>
              </w:rPr>
            </w:pPr>
          </w:p>
        </w:tc>
        <w:tc>
          <w:tcPr>
            <w:tcW w:w="0" w:type="auto"/>
            <w:gridSpan w:val="3"/>
            <w:vAlign w:val="center"/>
            <w:hideMark/>
          </w:tcPr>
          <w:p w14:paraId="07C6E818" w14:textId="77777777" w:rsidR="00000000" w:rsidRDefault="00405D16">
            <w:pPr>
              <w:spacing w:after="100"/>
              <w:rPr>
                <w:rFonts w:eastAsia="Times New Roman"/>
                <w:sz w:val="20"/>
                <w:szCs w:val="20"/>
              </w:rPr>
            </w:pPr>
          </w:p>
        </w:tc>
      </w:tr>
      <w:tr w:rsidR="00000000" w14:paraId="0C1A616E" w14:textId="77777777">
        <w:trPr>
          <w:divId w:val="1259605286"/>
        </w:trPr>
        <w:tc>
          <w:tcPr>
            <w:tcW w:w="0" w:type="auto"/>
            <w:gridSpan w:val="3"/>
            <w:vAlign w:val="center"/>
            <w:hideMark/>
          </w:tcPr>
          <w:p w14:paraId="69572157" w14:textId="77777777" w:rsidR="00000000" w:rsidRDefault="00405D16">
            <w:pPr>
              <w:spacing w:after="100"/>
              <w:rPr>
                <w:rFonts w:eastAsia="Times New Roman"/>
                <w:sz w:val="20"/>
                <w:szCs w:val="20"/>
              </w:rPr>
            </w:pPr>
          </w:p>
        </w:tc>
        <w:tc>
          <w:tcPr>
            <w:tcW w:w="0" w:type="auto"/>
            <w:gridSpan w:val="3"/>
            <w:vAlign w:val="center"/>
            <w:hideMark/>
          </w:tcPr>
          <w:p w14:paraId="4EA6F892" w14:textId="77777777" w:rsidR="00000000" w:rsidRDefault="00405D16">
            <w:pPr>
              <w:spacing w:after="100"/>
              <w:rPr>
                <w:rFonts w:eastAsia="Times New Roman"/>
                <w:sz w:val="20"/>
                <w:szCs w:val="20"/>
              </w:rPr>
            </w:pPr>
          </w:p>
        </w:tc>
        <w:tc>
          <w:tcPr>
            <w:tcW w:w="0" w:type="auto"/>
            <w:gridSpan w:val="3"/>
            <w:vAlign w:val="center"/>
            <w:hideMark/>
          </w:tcPr>
          <w:p w14:paraId="769ADD71" w14:textId="77777777" w:rsidR="00000000" w:rsidRDefault="00405D16">
            <w:pPr>
              <w:spacing w:after="100"/>
              <w:rPr>
                <w:rFonts w:eastAsia="Times New Roman"/>
                <w:sz w:val="20"/>
                <w:szCs w:val="20"/>
              </w:rPr>
            </w:pPr>
          </w:p>
        </w:tc>
        <w:tc>
          <w:tcPr>
            <w:tcW w:w="0" w:type="auto"/>
            <w:gridSpan w:val="3"/>
            <w:vAlign w:val="center"/>
            <w:hideMark/>
          </w:tcPr>
          <w:p w14:paraId="2E2E212D" w14:textId="77777777" w:rsidR="00000000" w:rsidRDefault="00405D16">
            <w:pPr>
              <w:spacing w:after="100"/>
              <w:rPr>
                <w:rFonts w:eastAsia="Times New Roman"/>
                <w:sz w:val="20"/>
                <w:szCs w:val="20"/>
              </w:rPr>
            </w:pPr>
          </w:p>
        </w:tc>
        <w:tc>
          <w:tcPr>
            <w:tcW w:w="0" w:type="auto"/>
            <w:gridSpan w:val="3"/>
            <w:vAlign w:val="center"/>
            <w:hideMark/>
          </w:tcPr>
          <w:p w14:paraId="3ABB8F31" w14:textId="77777777" w:rsidR="00000000" w:rsidRDefault="00405D16">
            <w:pPr>
              <w:spacing w:after="100"/>
              <w:rPr>
                <w:rFonts w:eastAsia="Times New Roman"/>
                <w:sz w:val="20"/>
                <w:szCs w:val="20"/>
              </w:rPr>
            </w:pPr>
          </w:p>
        </w:tc>
        <w:tc>
          <w:tcPr>
            <w:tcW w:w="0" w:type="auto"/>
            <w:gridSpan w:val="3"/>
            <w:vAlign w:val="center"/>
            <w:hideMark/>
          </w:tcPr>
          <w:p w14:paraId="48712E75" w14:textId="77777777" w:rsidR="00000000" w:rsidRDefault="00405D16">
            <w:pPr>
              <w:spacing w:after="100"/>
              <w:rPr>
                <w:rFonts w:eastAsia="Times New Roman"/>
                <w:sz w:val="20"/>
                <w:szCs w:val="20"/>
              </w:rPr>
            </w:pPr>
          </w:p>
        </w:tc>
        <w:tc>
          <w:tcPr>
            <w:tcW w:w="0" w:type="auto"/>
            <w:gridSpan w:val="3"/>
            <w:vAlign w:val="center"/>
            <w:hideMark/>
          </w:tcPr>
          <w:p w14:paraId="3910084F" w14:textId="77777777" w:rsidR="00000000" w:rsidRDefault="00405D16">
            <w:pPr>
              <w:spacing w:after="100"/>
              <w:rPr>
                <w:rFonts w:eastAsia="Times New Roman"/>
                <w:sz w:val="20"/>
                <w:szCs w:val="20"/>
              </w:rPr>
            </w:pPr>
          </w:p>
        </w:tc>
        <w:tc>
          <w:tcPr>
            <w:tcW w:w="0" w:type="auto"/>
            <w:gridSpan w:val="3"/>
            <w:vAlign w:val="center"/>
            <w:hideMark/>
          </w:tcPr>
          <w:p w14:paraId="371B9551" w14:textId="77777777" w:rsidR="00000000" w:rsidRDefault="00405D16">
            <w:pPr>
              <w:spacing w:after="100"/>
              <w:rPr>
                <w:rFonts w:eastAsia="Times New Roman"/>
                <w:sz w:val="20"/>
                <w:szCs w:val="20"/>
              </w:rPr>
            </w:pPr>
          </w:p>
        </w:tc>
        <w:tc>
          <w:tcPr>
            <w:tcW w:w="0" w:type="auto"/>
            <w:gridSpan w:val="3"/>
            <w:vAlign w:val="center"/>
            <w:hideMark/>
          </w:tcPr>
          <w:p w14:paraId="383C1D5E" w14:textId="77777777" w:rsidR="00000000" w:rsidRDefault="00405D16">
            <w:pPr>
              <w:spacing w:after="100"/>
              <w:rPr>
                <w:rFonts w:eastAsia="Times New Roman"/>
                <w:sz w:val="20"/>
                <w:szCs w:val="20"/>
              </w:rPr>
            </w:pPr>
          </w:p>
        </w:tc>
        <w:tc>
          <w:tcPr>
            <w:tcW w:w="0" w:type="auto"/>
            <w:gridSpan w:val="3"/>
            <w:vAlign w:val="center"/>
            <w:hideMark/>
          </w:tcPr>
          <w:p w14:paraId="753F69ED" w14:textId="77777777" w:rsidR="00000000" w:rsidRDefault="00405D16">
            <w:pPr>
              <w:spacing w:after="100"/>
              <w:rPr>
                <w:rFonts w:eastAsia="Times New Roman"/>
                <w:sz w:val="20"/>
                <w:szCs w:val="20"/>
              </w:rPr>
            </w:pPr>
          </w:p>
        </w:tc>
        <w:tc>
          <w:tcPr>
            <w:tcW w:w="0" w:type="auto"/>
            <w:gridSpan w:val="3"/>
            <w:vAlign w:val="center"/>
            <w:hideMark/>
          </w:tcPr>
          <w:p w14:paraId="1CCF8D94" w14:textId="77777777" w:rsidR="00000000" w:rsidRDefault="00405D16">
            <w:pPr>
              <w:spacing w:after="100"/>
              <w:rPr>
                <w:rFonts w:eastAsia="Times New Roman"/>
                <w:sz w:val="20"/>
                <w:szCs w:val="20"/>
              </w:rPr>
            </w:pPr>
          </w:p>
        </w:tc>
        <w:tc>
          <w:tcPr>
            <w:tcW w:w="0" w:type="auto"/>
            <w:gridSpan w:val="3"/>
            <w:vAlign w:val="center"/>
            <w:hideMark/>
          </w:tcPr>
          <w:p w14:paraId="61773091" w14:textId="77777777" w:rsidR="00000000" w:rsidRDefault="00405D16">
            <w:pPr>
              <w:spacing w:after="100"/>
              <w:rPr>
                <w:rFonts w:eastAsia="Times New Roman"/>
                <w:sz w:val="20"/>
                <w:szCs w:val="20"/>
              </w:rPr>
            </w:pPr>
          </w:p>
        </w:tc>
        <w:tc>
          <w:tcPr>
            <w:tcW w:w="0" w:type="auto"/>
            <w:gridSpan w:val="3"/>
            <w:vAlign w:val="center"/>
            <w:hideMark/>
          </w:tcPr>
          <w:p w14:paraId="348F27A8" w14:textId="77777777" w:rsidR="00000000" w:rsidRDefault="00405D16">
            <w:pPr>
              <w:spacing w:after="100"/>
              <w:rPr>
                <w:rFonts w:eastAsia="Times New Roman"/>
                <w:sz w:val="20"/>
                <w:szCs w:val="20"/>
              </w:rPr>
            </w:pPr>
          </w:p>
        </w:tc>
        <w:tc>
          <w:tcPr>
            <w:tcW w:w="0" w:type="auto"/>
            <w:gridSpan w:val="3"/>
            <w:vAlign w:val="center"/>
            <w:hideMark/>
          </w:tcPr>
          <w:p w14:paraId="72F130F8" w14:textId="77777777" w:rsidR="00000000" w:rsidRDefault="00405D16">
            <w:pPr>
              <w:spacing w:after="100"/>
              <w:rPr>
                <w:rFonts w:eastAsia="Times New Roman"/>
                <w:sz w:val="20"/>
                <w:szCs w:val="20"/>
              </w:rPr>
            </w:pPr>
          </w:p>
        </w:tc>
        <w:tc>
          <w:tcPr>
            <w:tcW w:w="0" w:type="auto"/>
            <w:gridSpan w:val="3"/>
            <w:vAlign w:val="center"/>
            <w:hideMark/>
          </w:tcPr>
          <w:p w14:paraId="29F08B3D" w14:textId="77777777" w:rsidR="00000000" w:rsidRDefault="00405D16">
            <w:pPr>
              <w:spacing w:after="100"/>
              <w:rPr>
                <w:rFonts w:eastAsia="Times New Roman"/>
                <w:sz w:val="20"/>
                <w:szCs w:val="20"/>
              </w:rPr>
            </w:pPr>
          </w:p>
        </w:tc>
      </w:tr>
      <w:tr w:rsidR="00000000" w14:paraId="391E8BB9" w14:textId="77777777">
        <w:trPr>
          <w:divId w:val="1259605286"/>
        </w:trPr>
        <w:tc>
          <w:tcPr>
            <w:tcW w:w="0" w:type="auto"/>
            <w:gridSpan w:val="3"/>
            <w:vAlign w:val="center"/>
            <w:hideMark/>
          </w:tcPr>
          <w:p w14:paraId="6B186A43" w14:textId="77777777" w:rsidR="00000000" w:rsidRDefault="00405D16">
            <w:pPr>
              <w:spacing w:after="100"/>
              <w:rPr>
                <w:rFonts w:eastAsia="Times New Roman"/>
                <w:sz w:val="20"/>
                <w:szCs w:val="20"/>
              </w:rPr>
            </w:pPr>
          </w:p>
        </w:tc>
        <w:tc>
          <w:tcPr>
            <w:tcW w:w="0" w:type="auto"/>
            <w:gridSpan w:val="3"/>
            <w:vAlign w:val="center"/>
            <w:hideMark/>
          </w:tcPr>
          <w:p w14:paraId="22B17A1D" w14:textId="77777777" w:rsidR="00000000" w:rsidRDefault="00405D16">
            <w:pPr>
              <w:spacing w:after="100"/>
              <w:rPr>
                <w:rFonts w:eastAsia="Times New Roman"/>
                <w:sz w:val="20"/>
                <w:szCs w:val="20"/>
              </w:rPr>
            </w:pPr>
          </w:p>
        </w:tc>
        <w:tc>
          <w:tcPr>
            <w:tcW w:w="0" w:type="auto"/>
            <w:gridSpan w:val="3"/>
            <w:vAlign w:val="center"/>
            <w:hideMark/>
          </w:tcPr>
          <w:p w14:paraId="0DA6620F" w14:textId="77777777" w:rsidR="00000000" w:rsidRDefault="00405D16">
            <w:pPr>
              <w:spacing w:after="100"/>
              <w:rPr>
                <w:rFonts w:eastAsia="Times New Roman"/>
                <w:sz w:val="20"/>
                <w:szCs w:val="20"/>
              </w:rPr>
            </w:pPr>
          </w:p>
        </w:tc>
        <w:tc>
          <w:tcPr>
            <w:tcW w:w="0" w:type="auto"/>
            <w:gridSpan w:val="3"/>
            <w:vAlign w:val="center"/>
            <w:hideMark/>
          </w:tcPr>
          <w:p w14:paraId="430CA3C7" w14:textId="77777777" w:rsidR="00000000" w:rsidRDefault="00405D16">
            <w:pPr>
              <w:spacing w:after="100"/>
              <w:rPr>
                <w:rFonts w:eastAsia="Times New Roman"/>
                <w:sz w:val="20"/>
                <w:szCs w:val="20"/>
              </w:rPr>
            </w:pPr>
          </w:p>
        </w:tc>
        <w:tc>
          <w:tcPr>
            <w:tcW w:w="0" w:type="auto"/>
            <w:gridSpan w:val="3"/>
            <w:vAlign w:val="center"/>
            <w:hideMark/>
          </w:tcPr>
          <w:p w14:paraId="56F3EA53" w14:textId="77777777" w:rsidR="00000000" w:rsidRDefault="00405D16">
            <w:pPr>
              <w:spacing w:after="100"/>
              <w:rPr>
                <w:rFonts w:eastAsia="Times New Roman"/>
                <w:sz w:val="20"/>
                <w:szCs w:val="20"/>
              </w:rPr>
            </w:pPr>
          </w:p>
        </w:tc>
        <w:tc>
          <w:tcPr>
            <w:tcW w:w="0" w:type="auto"/>
            <w:gridSpan w:val="3"/>
            <w:vAlign w:val="center"/>
            <w:hideMark/>
          </w:tcPr>
          <w:p w14:paraId="6671549B" w14:textId="77777777" w:rsidR="00000000" w:rsidRDefault="00405D16">
            <w:pPr>
              <w:spacing w:after="100"/>
              <w:rPr>
                <w:rFonts w:eastAsia="Times New Roman"/>
                <w:sz w:val="20"/>
                <w:szCs w:val="20"/>
              </w:rPr>
            </w:pPr>
          </w:p>
        </w:tc>
        <w:tc>
          <w:tcPr>
            <w:tcW w:w="0" w:type="auto"/>
            <w:gridSpan w:val="3"/>
            <w:vAlign w:val="center"/>
            <w:hideMark/>
          </w:tcPr>
          <w:p w14:paraId="24C7B213" w14:textId="77777777" w:rsidR="00000000" w:rsidRDefault="00405D16">
            <w:pPr>
              <w:spacing w:after="100"/>
              <w:rPr>
                <w:rFonts w:eastAsia="Times New Roman"/>
                <w:sz w:val="20"/>
                <w:szCs w:val="20"/>
              </w:rPr>
            </w:pPr>
          </w:p>
        </w:tc>
        <w:tc>
          <w:tcPr>
            <w:tcW w:w="0" w:type="auto"/>
            <w:gridSpan w:val="3"/>
            <w:vAlign w:val="center"/>
            <w:hideMark/>
          </w:tcPr>
          <w:p w14:paraId="1C074EBB" w14:textId="77777777" w:rsidR="00000000" w:rsidRDefault="00405D16">
            <w:pPr>
              <w:spacing w:after="100"/>
              <w:rPr>
                <w:rFonts w:eastAsia="Times New Roman"/>
                <w:sz w:val="20"/>
                <w:szCs w:val="20"/>
              </w:rPr>
            </w:pPr>
          </w:p>
        </w:tc>
        <w:tc>
          <w:tcPr>
            <w:tcW w:w="0" w:type="auto"/>
            <w:gridSpan w:val="3"/>
            <w:vAlign w:val="center"/>
            <w:hideMark/>
          </w:tcPr>
          <w:p w14:paraId="5F642EE1" w14:textId="77777777" w:rsidR="00000000" w:rsidRDefault="00405D16">
            <w:pPr>
              <w:spacing w:after="100"/>
              <w:rPr>
                <w:rFonts w:eastAsia="Times New Roman"/>
                <w:sz w:val="20"/>
                <w:szCs w:val="20"/>
              </w:rPr>
            </w:pPr>
          </w:p>
        </w:tc>
        <w:tc>
          <w:tcPr>
            <w:tcW w:w="0" w:type="auto"/>
            <w:gridSpan w:val="3"/>
            <w:vAlign w:val="center"/>
            <w:hideMark/>
          </w:tcPr>
          <w:p w14:paraId="21674A80" w14:textId="77777777" w:rsidR="00000000" w:rsidRDefault="00405D16">
            <w:pPr>
              <w:spacing w:after="100"/>
              <w:rPr>
                <w:rFonts w:eastAsia="Times New Roman"/>
                <w:sz w:val="20"/>
                <w:szCs w:val="20"/>
              </w:rPr>
            </w:pPr>
          </w:p>
        </w:tc>
        <w:tc>
          <w:tcPr>
            <w:tcW w:w="0" w:type="auto"/>
            <w:gridSpan w:val="3"/>
            <w:vAlign w:val="center"/>
            <w:hideMark/>
          </w:tcPr>
          <w:p w14:paraId="12A1E566" w14:textId="77777777" w:rsidR="00000000" w:rsidRDefault="00405D16">
            <w:pPr>
              <w:spacing w:after="100"/>
              <w:rPr>
                <w:rFonts w:eastAsia="Times New Roman"/>
                <w:sz w:val="20"/>
                <w:szCs w:val="20"/>
              </w:rPr>
            </w:pPr>
          </w:p>
        </w:tc>
        <w:tc>
          <w:tcPr>
            <w:tcW w:w="0" w:type="auto"/>
            <w:gridSpan w:val="3"/>
            <w:vAlign w:val="center"/>
            <w:hideMark/>
          </w:tcPr>
          <w:p w14:paraId="67EA25D0" w14:textId="77777777" w:rsidR="00000000" w:rsidRDefault="00405D16">
            <w:pPr>
              <w:spacing w:after="100"/>
              <w:rPr>
                <w:rFonts w:eastAsia="Times New Roman"/>
                <w:sz w:val="20"/>
                <w:szCs w:val="20"/>
              </w:rPr>
            </w:pPr>
          </w:p>
        </w:tc>
        <w:tc>
          <w:tcPr>
            <w:tcW w:w="0" w:type="auto"/>
            <w:gridSpan w:val="3"/>
            <w:vAlign w:val="center"/>
            <w:hideMark/>
          </w:tcPr>
          <w:p w14:paraId="1CB97967" w14:textId="77777777" w:rsidR="00000000" w:rsidRDefault="00405D16">
            <w:pPr>
              <w:spacing w:after="100"/>
              <w:rPr>
                <w:rFonts w:eastAsia="Times New Roman"/>
                <w:sz w:val="20"/>
                <w:szCs w:val="20"/>
              </w:rPr>
            </w:pPr>
          </w:p>
        </w:tc>
        <w:tc>
          <w:tcPr>
            <w:tcW w:w="0" w:type="auto"/>
            <w:gridSpan w:val="3"/>
            <w:vAlign w:val="center"/>
            <w:hideMark/>
          </w:tcPr>
          <w:p w14:paraId="127319EB" w14:textId="77777777" w:rsidR="00000000" w:rsidRDefault="00405D16">
            <w:pPr>
              <w:spacing w:after="100"/>
              <w:rPr>
                <w:rFonts w:eastAsia="Times New Roman"/>
                <w:sz w:val="20"/>
                <w:szCs w:val="20"/>
              </w:rPr>
            </w:pPr>
          </w:p>
        </w:tc>
        <w:tc>
          <w:tcPr>
            <w:tcW w:w="0" w:type="auto"/>
            <w:gridSpan w:val="3"/>
            <w:vAlign w:val="center"/>
            <w:hideMark/>
          </w:tcPr>
          <w:p w14:paraId="64B61A5F" w14:textId="77777777" w:rsidR="00000000" w:rsidRDefault="00405D16">
            <w:pPr>
              <w:spacing w:after="100"/>
              <w:rPr>
                <w:rFonts w:eastAsia="Times New Roman"/>
                <w:sz w:val="20"/>
                <w:szCs w:val="20"/>
              </w:rPr>
            </w:pPr>
          </w:p>
        </w:tc>
      </w:tr>
      <w:tr w:rsidR="00000000" w14:paraId="73A1E7BA" w14:textId="77777777">
        <w:trPr>
          <w:divId w:val="1259605286"/>
        </w:trPr>
        <w:tc>
          <w:tcPr>
            <w:tcW w:w="0" w:type="auto"/>
            <w:gridSpan w:val="3"/>
            <w:vAlign w:val="center"/>
            <w:hideMark/>
          </w:tcPr>
          <w:p w14:paraId="63E3108C" w14:textId="77777777" w:rsidR="00000000" w:rsidRDefault="00405D16">
            <w:pPr>
              <w:spacing w:after="100"/>
              <w:rPr>
                <w:rFonts w:eastAsia="Times New Roman"/>
                <w:sz w:val="20"/>
                <w:szCs w:val="20"/>
              </w:rPr>
            </w:pPr>
          </w:p>
        </w:tc>
        <w:tc>
          <w:tcPr>
            <w:tcW w:w="0" w:type="auto"/>
            <w:gridSpan w:val="3"/>
            <w:vAlign w:val="center"/>
            <w:hideMark/>
          </w:tcPr>
          <w:p w14:paraId="18FEAA9F" w14:textId="77777777" w:rsidR="00000000" w:rsidRDefault="00405D16">
            <w:pPr>
              <w:spacing w:after="100"/>
              <w:rPr>
                <w:rFonts w:eastAsia="Times New Roman"/>
                <w:sz w:val="20"/>
                <w:szCs w:val="20"/>
              </w:rPr>
            </w:pPr>
          </w:p>
        </w:tc>
        <w:tc>
          <w:tcPr>
            <w:tcW w:w="0" w:type="auto"/>
            <w:gridSpan w:val="3"/>
            <w:vAlign w:val="center"/>
            <w:hideMark/>
          </w:tcPr>
          <w:p w14:paraId="7CE44E7B" w14:textId="77777777" w:rsidR="00000000" w:rsidRDefault="00405D16">
            <w:pPr>
              <w:spacing w:after="100"/>
              <w:rPr>
                <w:rFonts w:eastAsia="Times New Roman"/>
                <w:sz w:val="20"/>
                <w:szCs w:val="20"/>
              </w:rPr>
            </w:pPr>
          </w:p>
        </w:tc>
        <w:tc>
          <w:tcPr>
            <w:tcW w:w="0" w:type="auto"/>
            <w:gridSpan w:val="3"/>
            <w:vAlign w:val="center"/>
            <w:hideMark/>
          </w:tcPr>
          <w:p w14:paraId="5DA3B1C7" w14:textId="77777777" w:rsidR="00000000" w:rsidRDefault="00405D16">
            <w:pPr>
              <w:spacing w:after="100"/>
              <w:rPr>
                <w:rFonts w:eastAsia="Times New Roman"/>
                <w:sz w:val="20"/>
                <w:szCs w:val="20"/>
              </w:rPr>
            </w:pPr>
          </w:p>
        </w:tc>
        <w:tc>
          <w:tcPr>
            <w:tcW w:w="0" w:type="auto"/>
            <w:gridSpan w:val="3"/>
            <w:vAlign w:val="center"/>
            <w:hideMark/>
          </w:tcPr>
          <w:p w14:paraId="6BE80B1D" w14:textId="77777777" w:rsidR="00000000" w:rsidRDefault="00405D16">
            <w:pPr>
              <w:spacing w:after="100"/>
              <w:rPr>
                <w:rFonts w:eastAsia="Times New Roman"/>
                <w:sz w:val="20"/>
                <w:szCs w:val="20"/>
              </w:rPr>
            </w:pPr>
          </w:p>
        </w:tc>
        <w:tc>
          <w:tcPr>
            <w:tcW w:w="0" w:type="auto"/>
            <w:gridSpan w:val="3"/>
            <w:vAlign w:val="center"/>
            <w:hideMark/>
          </w:tcPr>
          <w:p w14:paraId="3FFF3FFC" w14:textId="77777777" w:rsidR="00000000" w:rsidRDefault="00405D16">
            <w:pPr>
              <w:spacing w:after="100"/>
              <w:rPr>
                <w:rFonts w:eastAsia="Times New Roman"/>
                <w:sz w:val="20"/>
                <w:szCs w:val="20"/>
              </w:rPr>
            </w:pPr>
          </w:p>
        </w:tc>
        <w:tc>
          <w:tcPr>
            <w:tcW w:w="0" w:type="auto"/>
            <w:gridSpan w:val="3"/>
            <w:vAlign w:val="center"/>
            <w:hideMark/>
          </w:tcPr>
          <w:p w14:paraId="3E46887B" w14:textId="77777777" w:rsidR="00000000" w:rsidRDefault="00405D16">
            <w:pPr>
              <w:spacing w:after="100"/>
              <w:rPr>
                <w:rFonts w:eastAsia="Times New Roman"/>
                <w:sz w:val="20"/>
                <w:szCs w:val="20"/>
              </w:rPr>
            </w:pPr>
          </w:p>
        </w:tc>
        <w:tc>
          <w:tcPr>
            <w:tcW w:w="0" w:type="auto"/>
            <w:gridSpan w:val="3"/>
            <w:vAlign w:val="center"/>
            <w:hideMark/>
          </w:tcPr>
          <w:p w14:paraId="32EE99AC" w14:textId="77777777" w:rsidR="00000000" w:rsidRDefault="00405D16">
            <w:pPr>
              <w:spacing w:after="100"/>
              <w:rPr>
                <w:rFonts w:eastAsia="Times New Roman"/>
                <w:sz w:val="20"/>
                <w:szCs w:val="20"/>
              </w:rPr>
            </w:pPr>
          </w:p>
        </w:tc>
        <w:tc>
          <w:tcPr>
            <w:tcW w:w="0" w:type="auto"/>
            <w:gridSpan w:val="3"/>
            <w:vAlign w:val="center"/>
            <w:hideMark/>
          </w:tcPr>
          <w:p w14:paraId="068A1DCD" w14:textId="77777777" w:rsidR="00000000" w:rsidRDefault="00405D16">
            <w:pPr>
              <w:spacing w:after="100"/>
              <w:rPr>
                <w:rFonts w:eastAsia="Times New Roman"/>
                <w:sz w:val="20"/>
                <w:szCs w:val="20"/>
              </w:rPr>
            </w:pPr>
          </w:p>
        </w:tc>
        <w:tc>
          <w:tcPr>
            <w:tcW w:w="0" w:type="auto"/>
            <w:gridSpan w:val="3"/>
            <w:vAlign w:val="center"/>
            <w:hideMark/>
          </w:tcPr>
          <w:p w14:paraId="7BA5EB6E" w14:textId="77777777" w:rsidR="00000000" w:rsidRDefault="00405D16">
            <w:pPr>
              <w:spacing w:after="100"/>
              <w:rPr>
                <w:rFonts w:eastAsia="Times New Roman"/>
                <w:sz w:val="20"/>
                <w:szCs w:val="20"/>
              </w:rPr>
            </w:pPr>
          </w:p>
        </w:tc>
        <w:tc>
          <w:tcPr>
            <w:tcW w:w="0" w:type="auto"/>
            <w:gridSpan w:val="3"/>
            <w:vAlign w:val="center"/>
            <w:hideMark/>
          </w:tcPr>
          <w:p w14:paraId="2745D060" w14:textId="77777777" w:rsidR="00000000" w:rsidRDefault="00405D16">
            <w:pPr>
              <w:spacing w:after="100"/>
              <w:rPr>
                <w:rFonts w:eastAsia="Times New Roman"/>
                <w:sz w:val="20"/>
                <w:szCs w:val="20"/>
              </w:rPr>
            </w:pPr>
          </w:p>
        </w:tc>
        <w:tc>
          <w:tcPr>
            <w:tcW w:w="0" w:type="auto"/>
            <w:gridSpan w:val="3"/>
            <w:vAlign w:val="center"/>
            <w:hideMark/>
          </w:tcPr>
          <w:p w14:paraId="3C57BEA1" w14:textId="77777777" w:rsidR="00000000" w:rsidRDefault="00405D16">
            <w:pPr>
              <w:spacing w:after="100"/>
              <w:rPr>
                <w:rFonts w:eastAsia="Times New Roman"/>
                <w:sz w:val="20"/>
                <w:szCs w:val="20"/>
              </w:rPr>
            </w:pPr>
          </w:p>
        </w:tc>
        <w:tc>
          <w:tcPr>
            <w:tcW w:w="0" w:type="auto"/>
            <w:gridSpan w:val="3"/>
            <w:vAlign w:val="center"/>
            <w:hideMark/>
          </w:tcPr>
          <w:p w14:paraId="0D38F278" w14:textId="77777777" w:rsidR="00000000" w:rsidRDefault="00405D16">
            <w:pPr>
              <w:spacing w:after="100"/>
              <w:rPr>
                <w:rFonts w:eastAsia="Times New Roman"/>
                <w:sz w:val="20"/>
                <w:szCs w:val="20"/>
              </w:rPr>
            </w:pPr>
          </w:p>
        </w:tc>
        <w:tc>
          <w:tcPr>
            <w:tcW w:w="0" w:type="auto"/>
            <w:gridSpan w:val="3"/>
            <w:vAlign w:val="center"/>
            <w:hideMark/>
          </w:tcPr>
          <w:p w14:paraId="5CBAA01C" w14:textId="77777777" w:rsidR="00000000" w:rsidRDefault="00405D16">
            <w:pPr>
              <w:spacing w:after="100"/>
              <w:rPr>
                <w:rFonts w:eastAsia="Times New Roman"/>
                <w:sz w:val="20"/>
                <w:szCs w:val="20"/>
              </w:rPr>
            </w:pPr>
          </w:p>
        </w:tc>
        <w:tc>
          <w:tcPr>
            <w:tcW w:w="0" w:type="auto"/>
            <w:gridSpan w:val="3"/>
            <w:vAlign w:val="center"/>
            <w:hideMark/>
          </w:tcPr>
          <w:p w14:paraId="7E9D4D0D" w14:textId="77777777" w:rsidR="00000000" w:rsidRDefault="00405D16">
            <w:pPr>
              <w:spacing w:after="100"/>
              <w:rPr>
                <w:rFonts w:eastAsia="Times New Roman"/>
                <w:sz w:val="20"/>
                <w:szCs w:val="20"/>
              </w:rPr>
            </w:pPr>
          </w:p>
        </w:tc>
      </w:tr>
      <w:tr w:rsidR="00000000" w14:paraId="6D1822D6" w14:textId="77777777">
        <w:trPr>
          <w:divId w:val="1259605286"/>
        </w:trPr>
        <w:tc>
          <w:tcPr>
            <w:tcW w:w="0" w:type="auto"/>
            <w:gridSpan w:val="3"/>
            <w:vAlign w:val="center"/>
            <w:hideMark/>
          </w:tcPr>
          <w:p w14:paraId="2543BC17" w14:textId="77777777" w:rsidR="00000000" w:rsidRDefault="00405D16">
            <w:pPr>
              <w:spacing w:after="100"/>
              <w:rPr>
                <w:rFonts w:eastAsia="Times New Roman"/>
                <w:sz w:val="20"/>
                <w:szCs w:val="20"/>
              </w:rPr>
            </w:pPr>
          </w:p>
        </w:tc>
        <w:tc>
          <w:tcPr>
            <w:tcW w:w="0" w:type="auto"/>
            <w:gridSpan w:val="3"/>
            <w:vAlign w:val="center"/>
            <w:hideMark/>
          </w:tcPr>
          <w:p w14:paraId="32937907" w14:textId="77777777" w:rsidR="00000000" w:rsidRDefault="00405D16">
            <w:pPr>
              <w:spacing w:after="100"/>
              <w:rPr>
                <w:rFonts w:eastAsia="Times New Roman"/>
                <w:sz w:val="20"/>
                <w:szCs w:val="20"/>
              </w:rPr>
            </w:pPr>
          </w:p>
        </w:tc>
        <w:tc>
          <w:tcPr>
            <w:tcW w:w="0" w:type="auto"/>
            <w:gridSpan w:val="3"/>
            <w:vAlign w:val="center"/>
            <w:hideMark/>
          </w:tcPr>
          <w:p w14:paraId="5E96BDA2" w14:textId="77777777" w:rsidR="00000000" w:rsidRDefault="00405D16">
            <w:pPr>
              <w:spacing w:after="100"/>
              <w:rPr>
                <w:rFonts w:eastAsia="Times New Roman"/>
                <w:sz w:val="20"/>
                <w:szCs w:val="20"/>
              </w:rPr>
            </w:pPr>
          </w:p>
        </w:tc>
        <w:tc>
          <w:tcPr>
            <w:tcW w:w="0" w:type="auto"/>
            <w:gridSpan w:val="3"/>
            <w:vAlign w:val="center"/>
            <w:hideMark/>
          </w:tcPr>
          <w:p w14:paraId="57F5E39D" w14:textId="77777777" w:rsidR="00000000" w:rsidRDefault="00405D16">
            <w:pPr>
              <w:spacing w:after="100"/>
              <w:rPr>
                <w:rFonts w:eastAsia="Times New Roman"/>
                <w:sz w:val="20"/>
                <w:szCs w:val="20"/>
              </w:rPr>
            </w:pPr>
          </w:p>
        </w:tc>
        <w:tc>
          <w:tcPr>
            <w:tcW w:w="0" w:type="auto"/>
            <w:gridSpan w:val="3"/>
            <w:vAlign w:val="center"/>
            <w:hideMark/>
          </w:tcPr>
          <w:p w14:paraId="0F29F03B" w14:textId="77777777" w:rsidR="00000000" w:rsidRDefault="00405D16">
            <w:pPr>
              <w:spacing w:after="100"/>
              <w:rPr>
                <w:rFonts w:eastAsia="Times New Roman"/>
                <w:sz w:val="20"/>
                <w:szCs w:val="20"/>
              </w:rPr>
            </w:pPr>
          </w:p>
        </w:tc>
        <w:tc>
          <w:tcPr>
            <w:tcW w:w="0" w:type="auto"/>
            <w:gridSpan w:val="3"/>
            <w:vAlign w:val="center"/>
            <w:hideMark/>
          </w:tcPr>
          <w:p w14:paraId="56F1B404" w14:textId="77777777" w:rsidR="00000000" w:rsidRDefault="00405D16">
            <w:pPr>
              <w:spacing w:after="100"/>
              <w:rPr>
                <w:rFonts w:eastAsia="Times New Roman"/>
                <w:sz w:val="20"/>
                <w:szCs w:val="20"/>
              </w:rPr>
            </w:pPr>
          </w:p>
        </w:tc>
        <w:tc>
          <w:tcPr>
            <w:tcW w:w="0" w:type="auto"/>
            <w:gridSpan w:val="3"/>
            <w:vAlign w:val="center"/>
            <w:hideMark/>
          </w:tcPr>
          <w:p w14:paraId="1193DA38" w14:textId="77777777" w:rsidR="00000000" w:rsidRDefault="00405D16">
            <w:pPr>
              <w:spacing w:after="100"/>
              <w:rPr>
                <w:rFonts w:eastAsia="Times New Roman"/>
                <w:sz w:val="20"/>
                <w:szCs w:val="20"/>
              </w:rPr>
            </w:pPr>
          </w:p>
        </w:tc>
        <w:tc>
          <w:tcPr>
            <w:tcW w:w="0" w:type="auto"/>
            <w:gridSpan w:val="3"/>
            <w:vAlign w:val="center"/>
            <w:hideMark/>
          </w:tcPr>
          <w:p w14:paraId="702744DF" w14:textId="77777777" w:rsidR="00000000" w:rsidRDefault="00405D16">
            <w:pPr>
              <w:spacing w:after="100"/>
              <w:rPr>
                <w:rFonts w:eastAsia="Times New Roman"/>
                <w:sz w:val="20"/>
                <w:szCs w:val="20"/>
              </w:rPr>
            </w:pPr>
          </w:p>
        </w:tc>
        <w:tc>
          <w:tcPr>
            <w:tcW w:w="0" w:type="auto"/>
            <w:gridSpan w:val="3"/>
            <w:vAlign w:val="center"/>
            <w:hideMark/>
          </w:tcPr>
          <w:p w14:paraId="2D8A177F" w14:textId="77777777" w:rsidR="00000000" w:rsidRDefault="00405D16">
            <w:pPr>
              <w:spacing w:after="100"/>
              <w:rPr>
                <w:rFonts w:eastAsia="Times New Roman"/>
                <w:sz w:val="20"/>
                <w:szCs w:val="20"/>
              </w:rPr>
            </w:pPr>
          </w:p>
        </w:tc>
        <w:tc>
          <w:tcPr>
            <w:tcW w:w="0" w:type="auto"/>
            <w:gridSpan w:val="3"/>
            <w:vAlign w:val="center"/>
            <w:hideMark/>
          </w:tcPr>
          <w:p w14:paraId="25B43FFA" w14:textId="77777777" w:rsidR="00000000" w:rsidRDefault="00405D16">
            <w:pPr>
              <w:spacing w:after="100"/>
              <w:rPr>
                <w:rFonts w:eastAsia="Times New Roman"/>
                <w:sz w:val="20"/>
                <w:szCs w:val="20"/>
              </w:rPr>
            </w:pPr>
          </w:p>
        </w:tc>
        <w:tc>
          <w:tcPr>
            <w:tcW w:w="0" w:type="auto"/>
            <w:gridSpan w:val="3"/>
            <w:vAlign w:val="center"/>
            <w:hideMark/>
          </w:tcPr>
          <w:p w14:paraId="0F070F53" w14:textId="77777777" w:rsidR="00000000" w:rsidRDefault="00405D16">
            <w:pPr>
              <w:spacing w:after="100"/>
              <w:rPr>
                <w:rFonts w:eastAsia="Times New Roman"/>
                <w:sz w:val="20"/>
                <w:szCs w:val="20"/>
              </w:rPr>
            </w:pPr>
          </w:p>
        </w:tc>
        <w:tc>
          <w:tcPr>
            <w:tcW w:w="0" w:type="auto"/>
            <w:gridSpan w:val="3"/>
            <w:vAlign w:val="center"/>
            <w:hideMark/>
          </w:tcPr>
          <w:p w14:paraId="1CE38ACB" w14:textId="77777777" w:rsidR="00000000" w:rsidRDefault="00405D16">
            <w:pPr>
              <w:spacing w:after="100"/>
              <w:rPr>
                <w:rFonts w:eastAsia="Times New Roman"/>
                <w:sz w:val="20"/>
                <w:szCs w:val="20"/>
              </w:rPr>
            </w:pPr>
          </w:p>
        </w:tc>
        <w:tc>
          <w:tcPr>
            <w:tcW w:w="0" w:type="auto"/>
            <w:gridSpan w:val="3"/>
            <w:vAlign w:val="center"/>
            <w:hideMark/>
          </w:tcPr>
          <w:p w14:paraId="60504498" w14:textId="77777777" w:rsidR="00000000" w:rsidRDefault="00405D16">
            <w:pPr>
              <w:spacing w:after="100"/>
              <w:rPr>
                <w:rFonts w:eastAsia="Times New Roman"/>
                <w:sz w:val="20"/>
                <w:szCs w:val="20"/>
              </w:rPr>
            </w:pPr>
          </w:p>
        </w:tc>
        <w:tc>
          <w:tcPr>
            <w:tcW w:w="0" w:type="auto"/>
            <w:gridSpan w:val="3"/>
            <w:vAlign w:val="center"/>
            <w:hideMark/>
          </w:tcPr>
          <w:p w14:paraId="02645390" w14:textId="77777777" w:rsidR="00000000" w:rsidRDefault="00405D16">
            <w:pPr>
              <w:spacing w:after="100"/>
              <w:rPr>
                <w:rFonts w:eastAsia="Times New Roman"/>
                <w:sz w:val="20"/>
                <w:szCs w:val="20"/>
              </w:rPr>
            </w:pPr>
          </w:p>
        </w:tc>
        <w:tc>
          <w:tcPr>
            <w:tcW w:w="0" w:type="auto"/>
            <w:gridSpan w:val="3"/>
            <w:vAlign w:val="center"/>
            <w:hideMark/>
          </w:tcPr>
          <w:p w14:paraId="5DE674B5" w14:textId="77777777" w:rsidR="00000000" w:rsidRDefault="00405D16">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4BC4CE87" w14:textId="77777777">
        <w:trPr>
          <w:jc w:val="center"/>
        </w:trPr>
        <w:tc>
          <w:tcPr>
            <w:tcW w:w="50" w:type="pct"/>
            <w:vAlign w:val="center"/>
            <w:hideMark/>
          </w:tcPr>
          <w:p w14:paraId="51FD6FD7" w14:textId="77777777" w:rsidR="00000000" w:rsidRDefault="00405D16">
            <w:pPr>
              <w:rPr>
                <w:rFonts w:eastAsia="Times New Roman"/>
              </w:rPr>
            </w:pPr>
          </w:p>
        </w:tc>
        <w:tc>
          <w:tcPr>
            <w:tcW w:w="1606" w:type="pct"/>
            <w:vAlign w:val="center"/>
            <w:hideMark/>
          </w:tcPr>
          <w:p w14:paraId="02B86DF1" w14:textId="77777777" w:rsidR="00000000" w:rsidRDefault="00405D16">
            <w:pPr>
              <w:spacing w:after="100"/>
              <w:rPr>
                <w:rFonts w:eastAsia="Times New Roman"/>
                <w:sz w:val="20"/>
                <w:szCs w:val="20"/>
              </w:rPr>
            </w:pPr>
          </w:p>
        </w:tc>
        <w:tc>
          <w:tcPr>
            <w:tcW w:w="5" w:type="pct"/>
            <w:vAlign w:val="center"/>
            <w:hideMark/>
          </w:tcPr>
          <w:p w14:paraId="785E5A10" w14:textId="77777777" w:rsidR="00000000" w:rsidRDefault="00405D16">
            <w:pPr>
              <w:spacing w:after="100"/>
              <w:rPr>
                <w:rFonts w:eastAsia="Times New Roman"/>
                <w:sz w:val="20"/>
                <w:szCs w:val="20"/>
              </w:rPr>
            </w:pPr>
          </w:p>
        </w:tc>
        <w:tc>
          <w:tcPr>
            <w:tcW w:w="50" w:type="pct"/>
            <w:vAlign w:val="center"/>
            <w:hideMark/>
          </w:tcPr>
          <w:p w14:paraId="56B21BC3" w14:textId="77777777" w:rsidR="00000000" w:rsidRDefault="00405D16">
            <w:pPr>
              <w:spacing w:after="100"/>
              <w:rPr>
                <w:rFonts w:eastAsia="Times New Roman"/>
                <w:sz w:val="20"/>
                <w:szCs w:val="20"/>
              </w:rPr>
            </w:pPr>
          </w:p>
        </w:tc>
        <w:tc>
          <w:tcPr>
            <w:tcW w:w="1614" w:type="pct"/>
            <w:vAlign w:val="center"/>
            <w:hideMark/>
          </w:tcPr>
          <w:p w14:paraId="09DFF3AA" w14:textId="77777777" w:rsidR="00000000" w:rsidRDefault="00405D16">
            <w:pPr>
              <w:spacing w:after="100"/>
              <w:rPr>
                <w:rFonts w:eastAsia="Times New Roman"/>
                <w:sz w:val="20"/>
                <w:szCs w:val="20"/>
              </w:rPr>
            </w:pPr>
          </w:p>
        </w:tc>
        <w:tc>
          <w:tcPr>
            <w:tcW w:w="5" w:type="pct"/>
            <w:vAlign w:val="center"/>
            <w:hideMark/>
          </w:tcPr>
          <w:p w14:paraId="6F9382D8" w14:textId="77777777" w:rsidR="00000000" w:rsidRDefault="00405D16">
            <w:pPr>
              <w:spacing w:after="100"/>
              <w:rPr>
                <w:rFonts w:eastAsia="Times New Roman"/>
                <w:sz w:val="20"/>
                <w:szCs w:val="20"/>
              </w:rPr>
            </w:pPr>
          </w:p>
        </w:tc>
        <w:tc>
          <w:tcPr>
            <w:tcW w:w="50" w:type="pct"/>
            <w:vAlign w:val="center"/>
            <w:hideMark/>
          </w:tcPr>
          <w:p w14:paraId="090F7A41" w14:textId="77777777" w:rsidR="00000000" w:rsidRDefault="00405D16">
            <w:pPr>
              <w:spacing w:after="100"/>
              <w:rPr>
                <w:rFonts w:eastAsia="Times New Roman"/>
                <w:sz w:val="20"/>
                <w:szCs w:val="20"/>
              </w:rPr>
            </w:pPr>
          </w:p>
        </w:tc>
        <w:tc>
          <w:tcPr>
            <w:tcW w:w="1614" w:type="pct"/>
            <w:vAlign w:val="center"/>
            <w:hideMark/>
          </w:tcPr>
          <w:p w14:paraId="31D1C4BD" w14:textId="77777777" w:rsidR="00000000" w:rsidRDefault="00405D16">
            <w:pPr>
              <w:spacing w:after="100"/>
              <w:rPr>
                <w:rFonts w:eastAsia="Times New Roman"/>
                <w:sz w:val="20"/>
                <w:szCs w:val="20"/>
              </w:rPr>
            </w:pPr>
          </w:p>
        </w:tc>
        <w:tc>
          <w:tcPr>
            <w:tcW w:w="5" w:type="pct"/>
            <w:vAlign w:val="center"/>
            <w:hideMark/>
          </w:tcPr>
          <w:p w14:paraId="5775582E" w14:textId="77777777" w:rsidR="00000000" w:rsidRDefault="00405D16">
            <w:pPr>
              <w:spacing w:after="100"/>
              <w:rPr>
                <w:rFonts w:eastAsia="Times New Roman"/>
                <w:sz w:val="20"/>
                <w:szCs w:val="20"/>
              </w:rPr>
            </w:pPr>
          </w:p>
        </w:tc>
      </w:tr>
      <w:tr w:rsidR="00000000" w14:paraId="5A455797" w14:textId="77777777">
        <w:trPr>
          <w:trHeight w:val="300"/>
          <w:jc w:val="center"/>
        </w:trPr>
        <w:tc>
          <w:tcPr>
            <w:tcW w:w="0" w:type="auto"/>
            <w:gridSpan w:val="9"/>
            <w:tcMar>
              <w:top w:w="0" w:type="dxa"/>
              <w:left w:w="20" w:type="dxa"/>
              <w:bottom w:w="0" w:type="dxa"/>
              <w:right w:w="20" w:type="dxa"/>
            </w:tcMar>
            <w:vAlign w:val="center"/>
            <w:hideMark/>
          </w:tcPr>
          <w:p w14:paraId="5833E782" w14:textId="77777777" w:rsidR="00000000" w:rsidRDefault="00405D16">
            <w:pPr>
              <w:spacing w:after="100"/>
              <w:rPr>
                <w:rFonts w:eastAsia="Times New Roman"/>
                <w:sz w:val="20"/>
                <w:szCs w:val="20"/>
              </w:rPr>
            </w:pPr>
          </w:p>
        </w:tc>
      </w:tr>
      <w:tr w:rsidR="00000000" w14:paraId="738C9D70" w14:textId="77777777">
        <w:trPr>
          <w:jc w:val="center"/>
        </w:trPr>
        <w:tc>
          <w:tcPr>
            <w:tcW w:w="0" w:type="auto"/>
            <w:gridSpan w:val="3"/>
            <w:tcMar>
              <w:top w:w="0" w:type="dxa"/>
              <w:left w:w="20" w:type="dxa"/>
              <w:bottom w:w="0" w:type="dxa"/>
              <w:right w:w="20" w:type="dxa"/>
            </w:tcMar>
            <w:vAlign w:val="center"/>
            <w:hideMark/>
          </w:tcPr>
          <w:p w14:paraId="313E353E"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A8D48E4" w14:textId="77777777" w:rsidR="00000000" w:rsidRDefault="00405D16">
            <w:pPr>
              <w:spacing w:after="100"/>
              <w:jc w:val="center"/>
              <w:rPr>
                <w:rFonts w:eastAsia="Times New Roman"/>
              </w:rPr>
            </w:pPr>
            <w:r>
              <w:rPr>
                <w:rFonts w:eastAsia="Times New Roman"/>
                <w:color w:val="000000"/>
                <w:sz w:val="16"/>
                <w:szCs w:val="16"/>
              </w:rPr>
              <w:t>109</w:t>
            </w:r>
          </w:p>
        </w:tc>
        <w:tc>
          <w:tcPr>
            <w:tcW w:w="0" w:type="auto"/>
            <w:gridSpan w:val="3"/>
            <w:tcMar>
              <w:top w:w="30" w:type="dxa"/>
              <w:left w:w="20" w:type="dxa"/>
              <w:bottom w:w="30" w:type="dxa"/>
              <w:right w:w="20" w:type="dxa"/>
            </w:tcMar>
            <w:vAlign w:val="bottom"/>
            <w:hideMark/>
          </w:tcPr>
          <w:p w14:paraId="5932239A"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7480D15D" w14:textId="77777777" w:rsidR="00000000" w:rsidRDefault="00405D16">
      <w:pPr>
        <w:rPr>
          <w:rFonts w:eastAsia="Times New Roman"/>
        </w:rPr>
      </w:pPr>
      <w:r>
        <w:rPr>
          <w:rFonts w:eastAsia="Times New Roman"/>
        </w:rPr>
        <w:pict w14:anchorId="3018A149">
          <v:rect id="_x0000_i1134" style="width:0;height:1.5pt" o:hralign="center" o:hrstd="t" o:hr="t" fillcolor="#a0a0a0" stroked="f"/>
        </w:pict>
      </w:r>
    </w:p>
    <w:p w14:paraId="0CECCA69" w14:textId="77777777" w:rsidR="00000000" w:rsidRDefault="00405D16">
      <w:pPr>
        <w:jc w:val="both"/>
        <w:divId w:val="2037803943"/>
        <w:rPr>
          <w:rFonts w:eastAsia="Times New Roman"/>
        </w:rPr>
      </w:pPr>
      <w:hyperlink w:anchor="idd54a04a485440b4ab4e56094c14d612_13" w:history="1">
        <w:r>
          <w:rPr>
            <w:rStyle w:val="a3"/>
            <w:rFonts w:eastAsia="Times New Roman"/>
            <w:sz w:val="16"/>
            <w:szCs w:val="16"/>
          </w:rPr>
          <w:t>Table of Contents</w:t>
        </w:r>
      </w:hyperlink>
    </w:p>
    <w:p w14:paraId="731DC7BA" w14:textId="77777777" w:rsidR="00000000" w:rsidRDefault="00405D16">
      <w:pPr>
        <w:jc w:val="center"/>
        <w:divId w:val="203780394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6"/>
        <w:gridCol w:w="1674"/>
        <w:gridCol w:w="39"/>
        <w:gridCol w:w="36"/>
        <w:gridCol w:w="36"/>
        <w:gridCol w:w="36"/>
        <w:gridCol w:w="111"/>
        <w:gridCol w:w="718"/>
        <w:gridCol w:w="36"/>
        <w:gridCol w:w="36"/>
        <w:gridCol w:w="36"/>
        <w:gridCol w:w="36"/>
        <w:gridCol w:w="111"/>
        <w:gridCol w:w="625"/>
        <w:gridCol w:w="36"/>
        <w:gridCol w:w="36"/>
        <w:gridCol w:w="36"/>
        <w:gridCol w:w="36"/>
        <w:gridCol w:w="111"/>
        <w:gridCol w:w="569"/>
        <w:gridCol w:w="36"/>
        <w:gridCol w:w="36"/>
        <w:gridCol w:w="36"/>
        <w:gridCol w:w="36"/>
        <w:gridCol w:w="110"/>
        <w:gridCol w:w="633"/>
        <w:gridCol w:w="36"/>
        <w:gridCol w:w="36"/>
        <w:gridCol w:w="36"/>
        <w:gridCol w:w="36"/>
        <w:gridCol w:w="111"/>
        <w:gridCol w:w="743"/>
        <w:gridCol w:w="36"/>
        <w:gridCol w:w="36"/>
        <w:gridCol w:w="36"/>
        <w:gridCol w:w="36"/>
        <w:gridCol w:w="111"/>
        <w:gridCol w:w="871"/>
        <w:gridCol w:w="36"/>
        <w:gridCol w:w="36"/>
        <w:gridCol w:w="36"/>
        <w:gridCol w:w="36"/>
        <w:gridCol w:w="110"/>
        <w:gridCol w:w="595"/>
        <w:gridCol w:w="36"/>
      </w:tblGrid>
      <w:tr w:rsidR="00000000" w14:paraId="66C5B5BD" w14:textId="77777777">
        <w:trPr>
          <w:divId w:val="1759326263"/>
        </w:trPr>
        <w:tc>
          <w:tcPr>
            <w:tcW w:w="50" w:type="pct"/>
            <w:vAlign w:val="center"/>
            <w:hideMark/>
          </w:tcPr>
          <w:p w14:paraId="58842381" w14:textId="77777777" w:rsidR="00000000" w:rsidRDefault="00405D16">
            <w:pPr>
              <w:jc w:val="center"/>
              <w:rPr>
                <w:rFonts w:eastAsia="Times New Roman"/>
              </w:rPr>
            </w:pPr>
          </w:p>
        </w:tc>
        <w:tc>
          <w:tcPr>
            <w:tcW w:w="1063" w:type="pct"/>
            <w:vAlign w:val="center"/>
            <w:hideMark/>
          </w:tcPr>
          <w:p w14:paraId="6052EC4B" w14:textId="77777777" w:rsidR="00000000" w:rsidRDefault="00405D16">
            <w:pPr>
              <w:spacing w:after="100"/>
              <w:rPr>
                <w:rFonts w:eastAsia="Times New Roman"/>
                <w:sz w:val="20"/>
                <w:szCs w:val="20"/>
              </w:rPr>
            </w:pPr>
          </w:p>
        </w:tc>
        <w:tc>
          <w:tcPr>
            <w:tcW w:w="5" w:type="pct"/>
            <w:vAlign w:val="center"/>
            <w:hideMark/>
          </w:tcPr>
          <w:p w14:paraId="683FF0AE" w14:textId="77777777" w:rsidR="00000000" w:rsidRDefault="00405D16">
            <w:pPr>
              <w:spacing w:after="100"/>
              <w:rPr>
                <w:rFonts w:eastAsia="Times New Roman"/>
                <w:sz w:val="20"/>
                <w:szCs w:val="20"/>
              </w:rPr>
            </w:pPr>
          </w:p>
        </w:tc>
        <w:tc>
          <w:tcPr>
            <w:tcW w:w="5" w:type="pct"/>
            <w:vAlign w:val="center"/>
            <w:hideMark/>
          </w:tcPr>
          <w:p w14:paraId="78013194" w14:textId="77777777" w:rsidR="00000000" w:rsidRDefault="00405D16">
            <w:pPr>
              <w:spacing w:after="100"/>
              <w:rPr>
                <w:rFonts w:eastAsia="Times New Roman"/>
                <w:sz w:val="20"/>
                <w:szCs w:val="20"/>
              </w:rPr>
            </w:pPr>
          </w:p>
        </w:tc>
        <w:tc>
          <w:tcPr>
            <w:tcW w:w="26" w:type="pct"/>
            <w:vAlign w:val="center"/>
            <w:hideMark/>
          </w:tcPr>
          <w:p w14:paraId="60D7E9F5" w14:textId="77777777" w:rsidR="00000000" w:rsidRDefault="00405D16">
            <w:pPr>
              <w:spacing w:after="100"/>
              <w:rPr>
                <w:rFonts w:eastAsia="Times New Roman"/>
                <w:sz w:val="20"/>
                <w:szCs w:val="20"/>
              </w:rPr>
            </w:pPr>
          </w:p>
        </w:tc>
        <w:tc>
          <w:tcPr>
            <w:tcW w:w="5" w:type="pct"/>
            <w:vAlign w:val="center"/>
            <w:hideMark/>
          </w:tcPr>
          <w:p w14:paraId="56374B1F" w14:textId="77777777" w:rsidR="00000000" w:rsidRDefault="00405D16">
            <w:pPr>
              <w:spacing w:after="100"/>
              <w:rPr>
                <w:rFonts w:eastAsia="Times New Roman"/>
                <w:sz w:val="20"/>
                <w:szCs w:val="20"/>
              </w:rPr>
            </w:pPr>
          </w:p>
        </w:tc>
        <w:tc>
          <w:tcPr>
            <w:tcW w:w="50" w:type="pct"/>
            <w:vAlign w:val="center"/>
            <w:hideMark/>
          </w:tcPr>
          <w:p w14:paraId="2249CC6A" w14:textId="77777777" w:rsidR="00000000" w:rsidRDefault="00405D16">
            <w:pPr>
              <w:spacing w:after="100"/>
              <w:rPr>
                <w:rFonts w:eastAsia="Times New Roman"/>
                <w:sz w:val="20"/>
                <w:szCs w:val="20"/>
              </w:rPr>
            </w:pPr>
          </w:p>
        </w:tc>
        <w:tc>
          <w:tcPr>
            <w:tcW w:w="449" w:type="pct"/>
            <w:vAlign w:val="center"/>
            <w:hideMark/>
          </w:tcPr>
          <w:p w14:paraId="0433C46B" w14:textId="77777777" w:rsidR="00000000" w:rsidRDefault="00405D16">
            <w:pPr>
              <w:spacing w:after="100"/>
              <w:rPr>
                <w:rFonts w:eastAsia="Times New Roman"/>
                <w:sz w:val="20"/>
                <w:szCs w:val="20"/>
              </w:rPr>
            </w:pPr>
          </w:p>
        </w:tc>
        <w:tc>
          <w:tcPr>
            <w:tcW w:w="5" w:type="pct"/>
            <w:vAlign w:val="center"/>
            <w:hideMark/>
          </w:tcPr>
          <w:p w14:paraId="51030267" w14:textId="77777777" w:rsidR="00000000" w:rsidRDefault="00405D16">
            <w:pPr>
              <w:spacing w:after="100"/>
              <w:rPr>
                <w:rFonts w:eastAsia="Times New Roman"/>
                <w:sz w:val="20"/>
                <w:szCs w:val="20"/>
              </w:rPr>
            </w:pPr>
          </w:p>
        </w:tc>
        <w:tc>
          <w:tcPr>
            <w:tcW w:w="5" w:type="pct"/>
            <w:vAlign w:val="center"/>
            <w:hideMark/>
          </w:tcPr>
          <w:p w14:paraId="7B8018D5" w14:textId="77777777" w:rsidR="00000000" w:rsidRDefault="00405D16">
            <w:pPr>
              <w:spacing w:after="100"/>
              <w:rPr>
                <w:rFonts w:eastAsia="Times New Roman"/>
                <w:sz w:val="20"/>
                <w:szCs w:val="20"/>
              </w:rPr>
            </w:pPr>
          </w:p>
        </w:tc>
        <w:tc>
          <w:tcPr>
            <w:tcW w:w="26" w:type="pct"/>
            <w:vAlign w:val="center"/>
            <w:hideMark/>
          </w:tcPr>
          <w:p w14:paraId="7C45A766" w14:textId="77777777" w:rsidR="00000000" w:rsidRDefault="00405D16">
            <w:pPr>
              <w:spacing w:after="100"/>
              <w:rPr>
                <w:rFonts w:eastAsia="Times New Roman"/>
                <w:sz w:val="20"/>
                <w:szCs w:val="20"/>
              </w:rPr>
            </w:pPr>
          </w:p>
        </w:tc>
        <w:tc>
          <w:tcPr>
            <w:tcW w:w="5" w:type="pct"/>
            <w:vAlign w:val="center"/>
            <w:hideMark/>
          </w:tcPr>
          <w:p w14:paraId="1733F65C" w14:textId="77777777" w:rsidR="00000000" w:rsidRDefault="00405D16">
            <w:pPr>
              <w:spacing w:after="100"/>
              <w:rPr>
                <w:rFonts w:eastAsia="Times New Roman"/>
                <w:sz w:val="20"/>
                <w:szCs w:val="20"/>
              </w:rPr>
            </w:pPr>
          </w:p>
        </w:tc>
        <w:tc>
          <w:tcPr>
            <w:tcW w:w="50" w:type="pct"/>
            <w:vAlign w:val="center"/>
            <w:hideMark/>
          </w:tcPr>
          <w:p w14:paraId="3F7ED61A" w14:textId="77777777" w:rsidR="00000000" w:rsidRDefault="00405D16">
            <w:pPr>
              <w:spacing w:after="100"/>
              <w:rPr>
                <w:rFonts w:eastAsia="Times New Roman"/>
                <w:sz w:val="20"/>
                <w:szCs w:val="20"/>
              </w:rPr>
            </w:pPr>
          </w:p>
        </w:tc>
        <w:tc>
          <w:tcPr>
            <w:tcW w:w="464" w:type="pct"/>
            <w:vAlign w:val="center"/>
            <w:hideMark/>
          </w:tcPr>
          <w:p w14:paraId="7FE88380" w14:textId="77777777" w:rsidR="00000000" w:rsidRDefault="00405D16">
            <w:pPr>
              <w:spacing w:after="100"/>
              <w:rPr>
                <w:rFonts w:eastAsia="Times New Roman"/>
                <w:sz w:val="20"/>
                <w:szCs w:val="20"/>
              </w:rPr>
            </w:pPr>
          </w:p>
        </w:tc>
        <w:tc>
          <w:tcPr>
            <w:tcW w:w="5" w:type="pct"/>
            <w:vAlign w:val="center"/>
            <w:hideMark/>
          </w:tcPr>
          <w:p w14:paraId="1609C076" w14:textId="77777777" w:rsidR="00000000" w:rsidRDefault="00405D16">
            <w:pPr>
              <w:spacing w:after="100"/>
              <w:rPr>
                <w:rFonts w:eastAsia="Times New Roman"/>
                <w:sz w:val="20"/>
                <w:szCs w:val="20"/>
              </w:rPr>
            </w:pPr>
          </w:p>
        </w:tc>
        <w:tc>
          <w:tcPr>
            <w:tcW w:w="5" w:type="pct"/>
            <w:vAlign w:val="center"/>
            <w:hideMark/>
          </w:tcPr>
          <w:p w14:paraId="0F292532" w14:textId="77777777" w:rsidR="00000000" w:rsidRDefault="00405D16">
            <w:pPr>
              <w:spacing w:after="100"/>
              <w:rPr>
                <w:rFonts w:eastAsia="Times New Roman"/>
                <w:sz w:val="20"/>
                <w:szCs w:val="20"/>
              </w:rPr>
            </w:pPr>
          </w:p>
        </w:tc>
        <w:tc>
          <w:tcPr>
            <w:tcW w:w="26" w:type="pct"/>
            <w:vAlign w:val="center"/>
            <w:hideMark/>
          </w:tcPr>
          <w:p w14:paraId="388496BA" w14:textId="77777777" w:rsidR="00000000" w:rsidRDefault="00405D16">
            <w:pPr>
              <w:spacing w:after="100"/>
              <w:rPr>
                <w:rFonts w:eastAsia="Times New Roman"/>
                <w:sz w:val="20"/>
                <w:szCs w:val="20"/>
              </w:rPr>
            </w:pPr>
          </w:p>
        </w:tc>
        <w:tc>
          <w:tcPr>
            <w:tcW w:w="5" w:type="pct"/>
            <w:vAlign w:val="center"/>
            <w:hideMark/>
          </w:tcPr>
          <w:p w14:paraId="519733D0" w14:textId="77777777" w:rsidR="00000000" w:rsidRDefault="00405D16">
            <w:pPr>
              <w:spacing w:after="100"/>
              <w:rPr>
                <w:rFonts w:eastAsia="Times New Roman"/>
                <w:sz w:val="20"/>
                <w:szCs w:val="20"/>
              </w:rPr>
            </w:pPr>
          </w:p>
        </w:tc>
        <w:tc>
          <w:tcPr>
            <w:tcW w:w="50" w:type="pct"/>
            <w:vAlign w:val="center"/>
            <w:hideMark/>
          </w:tcPr>
          <w:p w14:paraId="30AB8F06" w14:textId="77777777" w:rsidR="00000000" w:rsidRDefault="00405D16">
            <w:pPr>
              <w:spacing w:after="100"/>
              <w:rPr>
                <w:rFonts w:eastAsia="Times New Roman"/>
                <w:sz w:val="20"/>
                <w:szCs w:val="20"/>
              </w:rPr>
            </w:pPr>
          </w:p>
        </w:tc>
        <w:tc>
          <w:tcPr>
            <w:tcW w:w="442" w:type="pct"/>
            <w:vAlign w:val="center"/>
            <w:hideMark/>
          </w:tcPr>
          <w:p w14:paraId="409AB890" w14:textId="77777777" w:rsidR="00000000" w:rsidRDefault="00405D16">
            <w:pPr>
              <w:spacing w:after="100"/>
              <w:rPr>
                <w:rFonts w:eastAsia="Times New Roman"/>
                <w:sz w:val="20"/>
                <w:szCs w:val="20"/>
              </w:rPr>
            </w:pPr>
          </w:p>
        </w:tc>
        <w:tc>
          <w:tcPr>
            <w:tcW w:w="5" w:type="pct"/>
            <w:vAlign w:val="center"/>
            <w:hideMark/>
          </w:tcPr>
          <w:p w14:paraId="0AA74EEC" w14:textId="77777777" w:rsidR="00000000" w:rsidRDefault="00405D16">
            <w:pPr>
              <w:spacing w:after="100"/>
              <w:rPr>
                <w:rFonts w:eastAsia="Times New Roman"/>
                <w:sz w:val="20"/>
                <w:szCs w:val="20"/>
              </w:rPr>
            </w:pPr>
          </w:p>
        </w:tc>
        <w:tc>
          <w:tcPr>
            <w:tcW w:w="5" w:type="pct"/>
            <w:vAlign w:val="center"/>
            <w:hideMark/>
          </w:tcPr>
          <w:p w14:paraId="4F8B68B5" w14:textId="77777777" w:rsidR="00000000" w:rsidRDefault="00405D16">
            <w:pPr>
              <w:spacing w:after="100"/>
              <w:rPr>
                <w:rFonts w:eastAsia="Times New Roman"/>
                <w:sz w:val="20"/>
                <w:szCs w:val="20"/>
              </w:rPr>
            </w:pPr>
          </w:p>
        </w:tc>
        <w:tc>
          <w:tcPr>
            <w:tcW w:w="26" w:type="pct"/>
            <w:vAlign w:val="center"/>
            <w:hideMark/>
          </w:tcPr>
          <w:p w14:paraId="323CD1B4" w14:textId="77777777" w:rsidR="00000000" w:rsidRDefault="00405D16">
            <w:pPr>
              <w:spacing w:after="100"/>
              <w:rPr>
                <w:rFonts w:eastAsia="Times New Roman"/>
                <w:sz w:val="20"/>
                <w:szCs w:val="20"/>
              </w:rPr>
            </w:pPr>
          </w:p>
        </w:tc>
        <w:tc>
          <w:tcPr>
            <w:tcW w:w="5" w:type="pct"/>
            <w:vAlign w:val="center"/>
            <w:hideMark/>
          </w:tcPr>
          <w:p w14:paraId="6245BA15" w14:textId="77777777" w:rsidR="00000000" w:rsidRDefault="00405D16">
            <w:pPr>
              <w:spacing w:after="100"/>
              <w:rPr>
                <w:rFonts w:eastAsia="Times New Roman"/>
                <w:sz w:val="20"/>
                <w:szCs w:val="20"/>
              </w:rPr>
            </w:pPr>
          </w:p>
        </w:tc>
        <w:tc>
          <w:tcPr>
            <w:tcW w:w="50" w:type="pct"/>
            <w:vAlign w:val="center"/>
            <w:hideMark/>
          </w:tcPr>
          <w:p w14:paraId="2800B3B6" w14:textId="77777777" w:rsidR="00000000" w:rsidRDefault="00405D16">
            <w:pPr>
              <w:spacing w:after="100"/>
              <w:rPr>
                <w:rFonts w:eastAsia="Times New Roman"/>
                <w:sz w:val="20"/>
                <w:szCs w:val="20"/>
              </w:rPr>
            </w:pPr>
          </w:p>
        </w:tc>
        <w:tc>
          <w:tcPr>
            <w:tcW w:w="449" w:type="pct"/>
            <w:vAlign w:val="center"/>
            <w:hideMark/>
          </w:tcPr>
          <w:p w14:paraId="3DFB1F2A" w14:textId="77777777" w:rsidR="00000000" w:rsidRDefault="00405D16">
            <w:pPr>
              <w:spacing w:after="100"/>
              <w:rPr>
                <w:rFonts w:eastAsia="Times New Roman"/>
                <w:sz w:val="20"/>
                <w:szCs w:val="20"/>
              </w:rPr>
            </w:pPr>
          </w:p>
        </w:tc>
        <w:tc>
          <w:tcPr>
            <w:tcW w:w="5" w:type="pct"/>
            <w:vAlign w:val="center"/>
            <w:hideMark/>
          </w:tcPr>
          <w:p w14:paraId="65E76420" w14:textId="77777777" w:rsidR="00000000" w:rsidRDefault="00405D16">
            <w:pPr>
              <w:spacing w:after="100"/>
              <w:rPr>
                <w:rFonts w:eastAsia="Times New Roman"/>
                <w:sz w:val="20"/>
                <w:szCs w:val="20"/>
              </w:rPr>
            </w:pPr>
          </w:p>
        </w:tc>
        <w:tc>
          <w:tcPr>
            <w:tcW w:w="5" w:type="pct"/>
            <w:vAlign w:val="center"/>
            <w:hideMark/>
          </w:tcPr>
          <w:p w14:paraId="78F8FF9B" w14:textId="77777777" w:rsidR="00000000" w:rsidRDefault="00405D16">
            <w:pPr>
              <w:spacing w:after="100"/>
              <w:rPr>
                <w:rFonts w:eastAsia="Times New Roman"/>
                <w:sz w:val="20"/>
                <w:szCs w:val="20"/>
              </w:rPr>
            </w:pPr>
          </w:p>
        </w:tc>
        <w:tc>
          <w:tcPr>
            <w:tcW w:w="26" w:type="pct"/>
            <w:vAlign w:val="center"/>
            <w:hideMark/>
          </w:tcPr>
          <w:p w14:paraId="0372D14D" w14:textId="77777777" w:rsidR="00000000" w:rsidRDefault="00405D16">
            <w:pPr>
              <w:spacing w:after="100"/>
              <w:rPr>
                <w:rFonts w:eastAsia="Times New Roman"/>
                <w:sz w:val="20"/>
                <w:szCs w:val="20"/>
              </w:rPr>
            </w:pPr>
          </w:p>
        </w:tc>
        <w:tc>
          <w:tcPr>
            <w:tcW w:w="5" w:type="pct"/>
            <w:vAlign w:val="center"/>
            <w:hideMark/>
          </w:tcPr>
          <w:p w14:paraId="66D43157" w14:textId="77777777" w:rsidR="00000000" w:rsidRDefault="00405D16">
            <w:pPr>
              <w:spacing w:after="100"/>
              <w:rPr>
                <w:rFonts w:eastAsia="Times New Roman"/>
                <w:sz w:val="20"/>
                <w:szCs w:val="20"/>
              </w:rPr>
            </w:pPr>
          </w:p>
        </w:tc>
        <w:tc>
          <w:tcPr>
            <w:tcW w:w="50" w:type="pct"/>
            <w:vAlign w:val="center"/>
            <w:hideMark/>
          </w:tcPr>
          <w:p w14:paraId="7575C38C" w14:textId="77777777" w:rsidR="00000000" w:rsidRDefault="00405D16">
            <w:pPr>
              <w:spacing w:after="100"/>
              <w:rPr>
                <w:rFonts w:eastAsia="Times New Roman"/>
                <w:sz w:val="20"/>
                <w:szCs w:val="20"/>
              </w:rPr>
            </w:pPr>
          </w:p>
        </w:tc>
        <w:tc>
          <w:tcPr>
            <w:tcW w:w="464" w:type="pct"/>
            <w:vAlign w:val="center"/>
            <w:hideMark/>
          </w:tcPr>
          <w:p w14:paraId="41DBD61C" w14:textId="77777777" w:rsidR="00000000" w:rsidRDefault="00405D16">
            <w:pPr>
              <w:spacing w:after="100"/>
              <w:rPr>
                <w:rFonts w:eastAsia="Times New Roman"/>
                <w:sz w:val="20"/>
                <w:szCs w:val="20"/>
              </w:rPr>
            </w:pPr>
          </w:p>
        </w:tc>
        <w:tc>
          <w:tcPr>
            <w:tcW w:w="5" w:type="pct"/>
            <w:vAlign w:val="center"/>
            <w:hideMark/>
          </w:tcPr>
          <w:p w14:paraId="29B1BA94" w14:textId="77777777" w:rsidR="00000000" w:rsidRDefault="00405D16">
            <w:pPr>
              <w:spacing w:after="100"/>
              <w:rPr>
                <w:rFonts w:eastAsia="Times New Roman"/>
                <w:sz w:val="20"/>
                <w:szCs w:val="20"/>
              </w:rPr>
            </w:pPr>
          </w:p>
        </w:tc>
        <w:tc>
          <w:tcPr>
            <w:tcW w:w="5" w:type="pct"/>
            <w:vAlign w:val="center"/>
            <w:hideMark/>
          </w:tcPr>
          <w:p w14:paraId="224F8168" w14:textId="77777777" w:rsidR="00000000" w:rsidRDefault="00405D16">
            <w:pPr>
              <w:spacing w:after="100"/>
              <w:rPr>
                <w:rFonts w:eastAsia="Times New Roman"/>
                <w:sz w:val="20"/>
                <w:szCs w:val="20"/>
              </w:rPr>
            </w:pPr>
          </w:p>
        </w:tc>
        <w:tc>
          <w:tcPr>
            <w:tcW w:w="26" w:type="pct"/>
            <w:vAlign w:val="center"/>
            <w:hideMark/>
          </w:tcPr>
          <w:p w14:paraId="5F242AC0" w14:textId="77777777" w:rsidR="00000000" w:rsidRDefault="00405D16">
            <w:pPr>
              <w:spacing w:after="100"/>
              <w:rPr>
                <w:rFonts w:eastAsia="Times New Roman"/>
                <w:sz w:val="20"/>
                <w:szCs w:val="20"/>
              </w:rPr>
            </w:pPr>
          </w:p>
        </w:tc>
        <w:tc>
          <w:tcPr>
            <w:tcW w:w="5" w:type="pct"/>
            <w:vAlign w:val="center"/>
            <w:hideMark/>
          </w:tcPr>
          <w:p w14:paraId="0988FBE4" w14:textId="77777777" w:rsidR="00000000" w:rsidRDefault="00405D16">
            <w:pPr>
              <w:spacing w:after="100"/>
              <w:rPr>
                <w:rFonts w:eastAsia="Times New Roman"/>
                <w:sz w:val="20"/>
                <w:szCs w:val="20"/>
              </w:rPr>
            </w:pPr>
          </w:p>
        </w:tc>
        <w:tc>
          <w:tcPr>
            <w:tcW w:w="50" w:type="pct"/>
            <w:vAlign w:val="center"/>
            <w:hideMark/>
          </w:tcPr>
          <w:p w14:paraId="67342222" w14:textId="77777777" w:rsidR="00000000" w:rsidRDefault="00405D16">
            <w:pPr>
              <w:spacing w:after="100"/>
              <w:rPr>
                <w:rFonts w:eastAsia="Times New Roman"/>
                <w:sz w:val="20"/>
                <w:szCs w:val="20"/>
              </w:rPr>
            </w:pPr>
          </w:p>
        </w:tc>
        <w:tc>
          <w:tcPr>
            <w:tcW w:w="464" w:type="pct"/>
            <w:vAlign w:val="center"/>
            <w:hideMark/>
          </w:tcPr>
          <w:p w14:paraId="560E570E" w14:textId="77777777" w:rsidR="00000000" w:rsidRDefault="00405D16">
            <w:pPr>
              <w:spacing w:after="100"/>
              <w:rPr>
                <w:rFonts w:eastAsia="Times New Roman"/>
                <w:sz w:val="20"/>
                <w:szCs w:val="20"/>
              </w:rPr>
            </w:pPr>
          </w:p>
        </w:tc>
        <w:tc>
          <w:tcPr>
            <w:tcW w:w="5" w:type="pct"/>
            <w:vAlign w:val="center"/>
            <w:hideMark/>
          </w:tcPr>
          <w:p w14:paraId="7F2E92B8" w14:textId="77777777" w:rsidR="00000000" w:rsidRDefault="00405D16">
            <w:pPr>
              <w:spacing w:after="100"/>
              <w:rPr>
                <w:rFonts w:eastAsia="Times New Roman"/>
                <w:sz w:val="20"/>
                <w:szCs w:val="20"/>
              </w:rPr>
            </w:pPr>
          </w:p>
        </w:tc>
        <w:tc>
          <w:tcPr>
            <w:tcW w:w="5" w:type="pct"/>
            <w:vAlign w:val="center"/>
            <w:hideMark/>
          </w:tcPr>
          <w:p w14:paraId="38BF867E" w14:textId="77777777" w:rsidR="00000000" w:rsidRDefault="00405D16">
            <w:pPr>
              <w:spacing w:after="100"/>
              <w:rPr>
                <w:rFonts w:eastAsia="Times New Roman"/>
                <w:sz w:val="20"/>
                <w:szCs w:val="20"/>
              </w:rPr>
            </w:pPr>
          </w:p>
        </w:tc>
        <w:tc>
          <w:tcPr>
            <w:tcW w:w="26" w:type="pct"/>
            <w:vAlign w:val="center"/>
            <w:hideMark/>
          </w:tcPr>
          <w:p w14:paraId="26976E1C" w14:textId="77777777" w:rsidR="00000000" w:rsidRDefault="00405D16">
            <w:pPr>
              <w:spacing w:after="100"/>
              <w:rPr>
                <w:rFonts w:eastAsia="Times New Roman"/>
                <w:sz w:val="20"/>
                <w:szCs w:val="20"/>
              </w:rPr>
            </w:pPr>
          </w:p>
        </w:tc>
        <w:tc>
          <w:tcPr>
            <w:tcW w:w="5" w:type="pct"/>
            <w:vAlign w:val="center"/>
            <w:hideMark/>
          </w:tcPr>
          <w:p w14:paraId="1A67F5F3" w14:textId="77777777" w:rsidR="00000000" w:rsidRDefault="00405D16">
            <w:pPr>
              <w:spacing w:after="100"/>
              <w:rPr>
                <w:rFonts w:eastAsia="Times New Roman"/>
                <w:sz w:val="20"/>
                <w:szCs w:val="20"/>
              </w:rPr>
            </w:pPr>
          </w:p>
        </w:tc>
        <w:tc>
          <w:tcPr>
            <w:tcW w:w="50" w:type="pct"/>
            <w:vAlign w:val="center"/>
            <w:hideMark/>
          </w:tcPr>
          <w:p w14:paraId="21533396" w14:textId="77777777" w:rsidR="00000000" w:rsidRDefault="00405D16">
            <w:pPr>
              <w:spacing w:after="100"/>
              <w:rPr>
                <w:rFonts w:eastAsia="Times New Roman"/>
                <w:sz w:val="20"/>
                <w:szCs w:val="20"/>
              </w:rPr>
            </w:pPr>
          </w:p>
        </w:tc>
        <w:tc>
          <w:tcPr>
            <w:tcW w:w="508" w:type="pct"/>
            <w:vAlign w:val="center"/>
            <w:hideMark/>
          </w:tcPr>
          <w:p w14:paraId="0FEEBFD6" w14:textId="77777777" w:rsidR="00000000" w:rsidRDefault="00405D16">
            <w:pPr>
              <w:spacing w:after="100"/>
              <w:rPr>
                <w:rFonts w:eastAsia="Times New Roman"/>
                <w:sz w:val="20"/>
                <w:szCs w:val="20"/>
              </w:rPr>
            </w:pPr>
          </w:p>
        </w:tc>
        <w:tc>
          <w:tcPr>
            <w:tcW w:w="5" w:type="pct"/>
            <w:vAlign w:val="center"/>
            <w:hideMark/>
          </w:tcPr>
          <w:p w14:paraId="55422D03" w14:textId="77777777" w:rsidR="00000000" w:rsidRDefault="00405D16">
            <w:pPr>
              <w:spacing w:after="100"/>
              <w:rPr>
                <w:rFonts w:eastAsia="Times New Roman"/>
                <w:sz w:val="20"/>
                <w:szCs w:val="20"/>
              </w:rPr>
            </w:pPr>
          </w:p>
        </w:tc>
      </w:tr>
      <w:tr w:rsidR="00000000" w14:paraId="363287AA" w14:textId="77777777">
        <w:trPr>
          <w:divId w:val="1759326263"/>
        </w:trPr>
        <w:tc>
          <w:tcPr>
            <w:tcW w:w="0" w:type="auto"/>
            <w:gridSpan w:val="3"/>
            <w:vAlign w:val="center"/>
            <w:hideMark/>
          </w:tcPr>
          <w:p w14:paraId="49D9F1D8" w14:textId="77777777" w:rsidR="00000000" w:rsidRDefault="00405D16">
            <w:pPr>
              <w:spacing w:after="100"/>
              <w:rPr>
                <w:rFonts w:eastAsia="Times New Roman"/>
                <w:sz w:val="20"/>
                <w:szCs w:val="20"/>
              </w:rPr>
            </w:pPr>
          </w:p>
        </w:tc>
        <w:tc>
          <w:tcPr>
            <w:tcW w:w="0" w:type="auto"/>
            <w:gridSpan w:val="3"/>
            <w:vAlign w:val="center"/>
            <w:hideMark/>
          </w:tcPr>
          <w:p w14:paraId="491FD1AC" w14:textId="77777777" w:rsidR="00000000" w:rsidRDefault="00405D16">
            <w:pPr>
              <w:spacing w:after="100"/>
              <w:rPr>
                <w:rFonts w:eastAsia="Times New Roman"/>
                <w:sz w:val="20"/>
                <w:szCs w:val="20"/>
              </w:rPr>
            </w:pPr>
          </w:p>
        </w:tc>
        <w:tc>
          <w:tcPr>
            <w:tcW w:w="0" w:type="auto"/>
            <w:gridSpan w:val="3"/>
            <w:vAlign w:val="center"/>
            <w:hideMark/>
          </w:tcPr>
          <w:p w14:paraId="64BB8408" w14:textId="77777777" w:rsidR="00000000" w:rsidRDefault="00405D16">
            <w:pPr>
              <w:spacing w:after="100"/>
              <w:rPr>
                <w:rFonts w:eastAsia="Times New Roman"/>
                <w:sz w:val="20"/>
                <w:szCs w:val="20"/>
              </w:rPr>
            </w:pPr>
          </w:p>
        </w:tc>
        <w:tc>
          <w:tcPr>
            <w:tcW w:w="0" w:type="auto"/>
            <w:gridSpan w:val="3"/>
            <w:vAlign w:val="center"/>
            <w:hideMark/>
          </w:tcPr>
          <w:p w14:paraId="08C50ADD" w14:textId="77777777" w:rsidR="00000000" w:rsidRDefault="00405D16">
            <w:pPr>
              <w:spacing w:after="100"/>
              <w:rPr>
                <w:rFonts w:eastAsia="Times New Roman"/>
                <w:sz w:val="20"/>
                <w:szCs w:val="20"/>
              </w:rPr>
            </w:pPr>
          </w:p>
        </w:tc>
        <w:tc>
          <w:tcPr>
            <w:tcW w:w="0" w:type="auto"/>
            <w:gridSpan w:val="3"/>
            <w:vAlign w:val="center"/>
            <w:hideMark/>
          </w:tcPr>
          <w:p w14:paraId="0A3E7F9A" w14:textId="77777777" w:rsidR="00000000" w:rsidRDefault="00405D16">
            <w:pPr>
              <w:spacing w:after="100"/>
              <w:rPr>
                <w:rFonts w:eastAsia="Times New Roman"/>
                <w:sz w:val="20"/>
                <w:szCs w:val="20"/>
              </w:rPr>
            </w:pPr>
          </w:p>
        </w:tc>
        <w:tc>
          <w:tcPr>
            <w:tcW w:w="0" w:type="auto"/>
            <w:gridSpan w:val="3"/>
            <w:vAlign w:val="center"/>
            <w:hideMark/>
          </w:tcPr>
          <w:p w14:paraId="1AB1FD15" w14:textId="77777777" w:rsidR="00000000" w:rsidRDefault="00405D16">
            <w:pPr>
              <w:spacing w:after="100"/>
              <w:rPr>
                <w:rFonts w:eastAsia="Times New Roman"/>
                <w:sz w:val="20"/>
                <w:szCs w:val="20"/>
              </w:rPr>
            </w:pPr>
          </w:p>
        </w:tc>
        <w:tc>
          <w:tcPr>
            <w:tcW w:w="0" w:type="auto"/>
            <w:gridSpan w:val="3"/>
            <w:vAlign w:val="center"/>
            <w:hideMark/>
          </w:tcPr>
          <w:p w14:paraId="3946C2B4" w14:textId="77777777" w:rsidR="00000000" w:rsidRDefault="00405D16">
            <w:pPr>
              <w:spacing w:after="100"/>
              <w:rPr>
                <w:rFonts w:eastAsia="Times New Roman"/>
                <w:sz w:val="20"/>
                <w:szCs w:val="20"/>
              </w:rPr>
            </w:pPr>
          </w:p>
        </w:tc>
        <w:tc>
          <w:tcPr>
            <w:tcW w:w="0" w:type="auto"/>
            <w:gridSpan w:val="3"/>
            <w:vAlign w:val="center"/>
            <w:hideMark/>
          </w:tcPr>
          <w:p w14:paraId="6AA85672" w14:textId="77777777" w:rsidR="00000000" w:rsidRDefault="00405D16">
            <w:pPr>
              <w:spacing w:after="100"/>
              <w:rPr>
                <w:rFonts w:eastAsia="Times New Roman"/>
                <w:sz w:val="20"/>
                <w:szCs w:val="20"/>
              </w:rPr>
            </w:pPr>
          </w:p>
        </w:tc>
        <w:tc>
          <w:tcPr>
            <w:tcW w:w="0" w:type="auto"/>
            <w:gridSpan w:val="3"/>
            <w:vAlign w:val="center"/>
            <w:hideMark/>
          </w:tcPr>
          <w:p w14:paraId="57093233" w14:textId="77777777" w:rsidR="00000000" w:rsidRDefault="00405D16">
            <w:pPr>
              <w:spacing w:after="100"/>
              <w:rPr>
                <w:rFonts w:eastAsia="Times New Roman"/>
                <w:sz w:val="20"/>
                <w:szCs w:val="20"/>
              </w:rPr>
            </w:pPr>
          </w:p>
        </w:tc>
        <w:tc>
          <w:tcPr>
            <w:tcW w:w="0" w:type="auto"/>
            <w:gridSpan w:val="3"/>
            <w:vAlign w:val="center"/>
            <w:hideMark/>
          </w:tcPr>
          <w:p w14:paraId="16D79FC1" w14:textId="77777777" w:rsidR="00000000" w:rsidRDefault="00405D16">
            <w:pPr>
              <w:spacing w:after="100"/>
              <w:rPr>
                <w:rFonts w:eastAsia="Times New Roman"/>
                <w:sz w:val="20"/>
                <w:szCs w:val="20"/>
              </w:rPr>
            </w:pPr>
          </w:p>
        </w:tc>
        <w:tc>
          <w:tcPr>
            <w:tcW w:w="0" w:type="auto"/>
            <w:gridSpan w:val="3"/>
            <w:vAlign w:val="center"/>
            <w:hideMark/>
          </w:tcPr>
          <w:p w14:paraId="69185EB1" w14:textId="77777777" w:rsidR="00000000" w:rsidRDefault="00405D16">
            <w:pPr>
              <w:spacing w:after="100"/>
              <w:rPr>
                <w:rFonts w:eastAsia="Times New Roman"/>
                <w:sz w:val="20"/>
                <w:szCs w:val="20"/>
              </w:rPr>
            </w:pPr>
          </w:p>
        </w:tc>
        <w:tc>
          <w:tcPr>
            <w:tcW w:w="0" w:type="auto"/>
            <w:gridSpan w:val="3"/>
            <w:vAlign w:val="center"/>
            <w:hideMark/>
          </w:tcPr>
          <w:p w14:paraId="66F59340" w14:textId="77777777" w:rsidR="00000000" w:rsidRDefault="00405D16">
            <w:pPr>
              <w:spacing w:after="100"/>
              <w:rPr>
                <w:rFonts w:eastAsia="Times New Roman"/>
                <w:sz w:val="20"/>
                <w:szCs w:val="20"/>
              </w:rPr>
            </w:pPr>
          </w:p>
        </w:tc>
        <w:tc>
          <w:tcPr>
            <w:tcW w:w="0" w:type="auto"/>
            <w:gridSpan w:val="3"/>
            <w:vAlign w:val="center"/>
            <w:hideMark/>
          </w:tcPr>
          <w:p w14:paraId="761EEE1D" w14:textId="77777777" w:rsidR="00000000" w:rsidRDefault="00405D16">
            <w:pPr>
              <w:spacing w:after="100"/>
              <w:rPr>
                <w:rFonts w:eastAsia="Times New Roman"/>
                <w:sz w:val="20"/>
                <w:szCs w:val="20"/>
              </w:rPr>
            </w:pPr>
          </w:p>
        </w:tc>
        <w:tc>
          <w:tcPr>
            <w:tcW w:w="0" w:type="auto"/>
            <w:gridSpan w:val="3"/>
            <w:vAlign w:val="center"/>
            <w:hideMark/>
          </w:tcPr>
          <w:p w14:paraId="1BA1D602" w14:textId="77777777" w:rsidR="00000000" w:rsidRDefault="00405D16">
            <w:pPr>
              <w:spacing w:after="100"/>
              <w:rPr>
                <w:rFonts w:eastAsia="Times New Roman"/>
                <w:sz w:val="20"/>
                <w:szCs w:val="20"/>
              </w:rPr>
            </w:pPr>
          </w:p>
        </w:tc>
        <w:tc>
          <w:tcPr>
            <w:tcW w:w="0" w:type="auto"/>
            <w:gridSpan w:val="3"/>
            <w:vAlign w:val="center"/>
            <w:hideMark/>
          </w:tcPr>
          <w:p w14:paraId="2A9BCDCA" w14:textId="77777777" w:rsidR="00000000" w:rsidRDefault="00405D16">
            <w:pPr>
              <w:spacing w:after="100"/>
              <w:rPr>
                <w:rFonts w:eastAsia="Times New Roman"/>
                <w:sz w:val="20"/>
                <w:szCs w:val="20"/>
              </w:rPr>
            </w:pPr>
          </w:p>
        </w:tc>
      </w:tr>
      <w:tr w:rsidR="00000000" w14:paraId="532553C0" w14:textId="77777777">
        <w:trPr>
          <w:divId w:val="1759326263"/>
        </w:trPr>
        <w:tc>
          <w:tcPr>
            <w:tcW w:w="0" w:type="auto"/>
            <w:gridSpan w:val="3"/>
            <w:tcMar>
              <w:top w:w="0" w:type="dxa"/>
              <w:left w:w="20" w:type="dxa"/>
              <w:bottom w:w="0" w:type="dxa"/>
              <w:right w:w="20" w:type="dxa"/>
            </w:tcMar>
            <w:vAlign w:val="center"/>
            <w:hideMark/>
          </w:tcPr>
          <w:p w14:paraId="4B8B50F6"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AADBCCB" w14:textId="77777777" w:rsidR="00000000" w:rsidRDefault="00405D16">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14:paraId="36307FE7" w14:textId="77777777" w:rsidR="00000000" w:rsidRDefault="00405D16">
            <w:pPr>
              <w:spacing w:after="100"/>
              <w:jc w:val="center"/>
              <w:rPr>
                <w:rFonts w:eastAsia="Times New Roman"/>
              </w:rPr>
            </w:pPr>
            <w:r>
              <w:rPr>
                <w:rFonts w:eastAsia="Times New Roman"/>
                <w:b/>
                <w:bCs/>
                <w:color w:val="000000"/>
                <w:sz w:val="16"/>
                <w:szCs w:val="16"/>
              </w:rPr>
              <w:t>Nine Months Ended September 30, 2020</w:t>
            </w:r>
          </w:p>
        </w:tc>
        <w:tc>
          <w:tcPr>
            <w:tcW w:w="0" w:type="auto"/>
            <w:gridSpan w:val="3"/>
            <w:tcMar>
              <w:top w:w="0" w:type="dxa"/>
              <w:left w:w="20" w:type="dxa"/>
              <w:bottom w:w="0" w:type="dxa"/>
              <w:right w:w="20" w:type="dxa"/>
            </w:tcMar>
            <w:vAlign w:val="center"/>
            <w:hideMark/>
          </w:tcPr>
          <w:p w14:paraId="7DA797AE" w14:textId="77777777" w:rsidR="00000000" w:rsidRDefault="00405D1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172FB74" w14:textId="77777777" w:rsidR="00000000" w:rsidRDefault="00405D16">
            <w:pPr>
              <w:spacing w:after="100"/>
              <w:rPr>
                <w:rFonts w:eastAsia="Times New Roman"/>
                <w:sz w:val="20"/>
                <w:szCs w:val="20"/>
              </w:rPr>
            </w:pPr>
          </w:p>
        </w:tc>
      </w:tr>
      <w:tr w:rsidR="00000000" w14:paraId="1B398ECF" w14:textId="77777777">
        <w:trPr>
          <w:divId w:val="1759326263"/>
        </w:trPr>
        <w:tc>
          <w:tcPr>
            <w:tcW w:w="0" w:type="auto"/>
            <w:gridSpan w:val="3"/>
            <w:tcMar>
              <w:top w:w="0" w:type="dxa"/>
              <w:left w:w="20" w:type="dxa"/>
              <w:bottom w:w="0" w:type="dxa"/>
              <w:right w:w="20" w:type="dxa"/>
            </w:tcMar>
            <w:vAlign w:val="center"/>
            <w:hideMark/>
          </w:tcPr>
          <w:p w14:paraId="5A0AD8F2"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D31A0D7" w14:textId="77777777" w:rsidR="00000000" w:rsidRDefault="00405D16">
            <w:pPr>
              <w:spacing w:after="100"/>
              <w:rPr>
                <w:rFonts w:eastAsia="Times New Roman"/>
                <w:sz w:val="20"/>
                <w:szCs w:val="20"/>
              </w:rPr>
            </w:pPr>
          </w:p>
        </w:tc>
        <w:tc>
          <w:tcPr>
            <w:tcW w:w="0" w:type="auto"/>
            <w:gridSpan w:val="33"/>
            <w:tcBorders>
              <w:top w:val="single" w:sz="8" w:space="0" w:color="000000"/>
            </w:tcBorders>
            <w:tcMar>
              <w:top w:w="30" w:type="dxa"/>
              <w:left w:w="20" w:type="dxa"/>
              <w:bottom w:w="30" w:type="dxa"/>
              <w:right w:w="20" w:type="dxa"/>
            </w:tcMar>
            <w:vAlign w:val="bottom"/>
            <w:hideMark/>
          </w:tcPr>
          <w:p w14:paraId="23F44BA6" w14:textId="77777777" w:rsidR="00000000" w:rsidRDefault="00405D16">
            <w:pPr>
              <w:spacing w:after="100"/>
              <w:jc w:val="center"/>
              <w:rPr>
                <w:rFonts w:eastAsia="Times New Roman"/>
              </w:rPr>
            </w:pPr>
            <w:r>
              <w:rPr>
                <w:rFonts w:eastAsia="Times New Roman"/>
                <w:b/>
                <w:bCs/>
                <w:color w:val="000000"/>
                <w:sz w:val="16"/>
                <w:szCs w:val="16"/>
              </w:rPr>
              <w:t>Net Interest Income</w:t>
            </w:r>
          </w:p>
        </w:tc>
        <w:tc>
          <w:tcPr>
            <w:tcW w:w="0" w:type="auto"/>
            <w:gridSpan w:val="3"/>
            <w:tcBorders>
              <w:top w:val="single" w:sz="8" w:space="0" w:color="000000"/>
            </w:tcBorders>
            <w:tcMar>
              <w:top w:w="0" w:type="dxa"/>
              <w:left w:w="20" w:type="dxa"/>
              <w:bottom w:w="0" w:type="dxa"/>
              <w:right w:w="20" w:type="dxa"/>
            </w:tcMar>
            <w:vAlign w:val="center"/>
            <w:hideMark/>
          </w:tcPr>
          <w:p w14:paraId="6E06D660"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75B0E20" w14:textId="77777777" w:rsidR="00000000" w:rsidRDefault="00405D16">
            <w:pPr>
              <w:spacing w:after="100"/>
              <w:jc w:val="center"/>
              <w:rPr>
                <w:rFonts w:eastAsia="Times New Roman"/>
              </w:rPr>
            </w:pPr>
            <w:r>
              <w:rPr>
                <w:rFonts w:eastAsia="Times New Roman"/>
                <w:b/>
                <w:bCs/>
                <w:color w:val="000000"/>
                <w:sz w:val="16"/>
                <w:szCs w:val="16"/>
              </w:rPr>
              <w:t>Non-Interest Income</w:t>
            </w:r>
          </w:p>
        </w:tc>
      </w:tr>
      <w:tr w:rsidR="00000000" w14:paraId="4E5A2122" w14:textId="77777777">
        <w:trPr>
          <w:divId w:val="1759326263"/>
        </w:trPr>
        <w:tc>
          <w:tcPr>
            <w:tcW w:w="0" w:type="auto"/>
            <w:gridSpan w:val="3"/>
            <w:tcMar>
              <w:top w:w="30" w:type="dxa"/>
              <w:left w:w="20" w:type="dxa"/>
              <w:bottom w:w="30" w:type="dxa"/>
              <w:right w:w="20" w:type="dxa"/>
            </w:tcMar>
            <w:vAlign w:val="bottom"/>
            <w:hideMark/>
          </w:tcPr>
          <w:p w14:paraId="0A2862FC"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4A6A1179"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22D2413" w14:textId="77777777" w:rsidR="00000000" w:rsidRDefault="00405D16">
            <w:pPr>
              <w:spacing w:after="100"/>
              <w:jc w:val="center"/>
              <w:rPr>
                <w:rFonts w:eastAsia="Times New Roman"/>
              </w:rPr>
            </w:pPr>
            <w:r>
              <w:rPr>
                <w:rFonts w:eastAsia="Times New Roman"/>
                <w:b/>
                <w:bCs/>
                <w:color w:val="000000"/>
                <w:sz w:val="16"/>
                <w:szCs w:val="16"/>
              </w:rPr>
              <w:t>Investment Securities</w:t>
            </w:r>
          </w:p>
        </w:tc>
        <w:tc>
          <w:tcPr>
            <w:tcW w:w="0" w:type="auto"/>
            <w:gridSpan w:val="3"/>
            <w:tcBorders>
              <w:top w:val="single" w:sz="8" w:space="0" w:color="000000"/>
            </w:tcBorders>
            <w:tcMar>
              <w:top w:w="0" w:type="dxa"/>
              <w:left w:w="20" w:type="dxa"/>
              <w:bottom w:w="0" w:type="dxa"/>
              <w:right w:w="20" w:type="dxa"/>
            </w:tcMar>
            <w:vAlign w:val="center"/>
            <w:hideMark/>
          </w:tcPr>
          <w:p w14:paraId="78CDD3ED"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B4821F0" w14:textId="77777777" w:rsidR="00000000" w:rsidRDefault="00405D16">
            <w:pPr>
              <w:spacing w:after="100"/>
              <w:jc w:val="center"/>
              <w:rPr>
                <w:rFonts w:eastAsia="Times New Roman"/>
              </w:rPr>
            </w:pPr>
            <w:r>
              <w:rPr>
                <w:rFonts w:eastAsia="Times New Roman"/>
                <w:b/>
                <w:bCs/>
                <w:color w:val="000000"/>
                <w:sz w:val="16"/>
                <w:szCs w:val="16"/>
              </w:rPr>
              <w:t>Loans, Including Loans Held for Sale</w:t>
            </w:r>
          </w:p>
        </w:tc>
        <w:tc>
          <w:tcPr>
            <w:tcW w:w="0" w:type="auto"/>
            <w:gridSpan w:val="3"/>
            <w:tcBorders>
              <w:top w:val="single" w:sz="8" w:space="0" w:color="000000"/>
            </w:tcBorders>
            <w:tcMar>
              <w:top w:w="0" w:type="dxa"/>
              <w:left w:w="20" w:type="dxa"/>
              <w:bottom w:w="0" w:type="dxa"/>
              <w:right w:w="20" w:type="dxa"/>
            </w:tcMar>
            <w:vAlign w:val="center"/>
            <w:hideMark/>
          </w:tcPr>
          <w:p w14:paraId="694AAAF5"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08D70BD" w14:textId="77777777" w:rsidR="00000000" w:rsidRDefault="00405D16">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14:paraId="7D2AE689"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1DB1AEA" w14:textId="77777777" w:rsidR="00000000" w:rsidRDefault="00405D16">
            <w:pPr>
              <w:spacing w:after="100"/>
              <w:jc w:val="center"/>
              <w:rPr>
                <w:rFonts w:eastAsia="Times New Roman"/>
              </w:rPr>
            </w:pPr>
            <w:r>
              <w:rPr>
                <w:rFonts w:eastAsia="Times New Roman"/>
                <w:b/>
                <w:bCs/>
                <w:color w:val="000000"/>
                <w:sz w:val="16"/>
                <w:szCs w:val="16"/>
              </w:rPr>
              <w:t>Interest-bearing Deposits</w:t>
            </w:r>
          </w:p>
        </w:tc>
        <w:tc>
          <w:tcPr>
            <w:tcW w:w="0" w:type="auto"/>
            <w:gridSpan w:val="3"/>
            <w:tcBorders>
              <w:top w:val="single" w:sz="8" w:space="0" w:color="000000"/>
            </w:tcBorders>
            <w:tcMar>
              <w:top w:w="0" w:type="dxa"/>
              <w:left w:w="20" w:type="dxa"/>
              <w:bottom w:w="0" w:type="dxa"/>
              <w:right w:w="20" w:type="dxa"/>
            </w:tcMar>
            <w:vAlign w:val="center"/>
            <w:hideMark/>
          </w:tcPr>
          <w:p w14:paraId="7DA47AAA"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A02CF1C" w14:textId="77777777" w:rsidR="00000000" w:rsidRDefault="00405D16">
            <w:pPr>
              <w:spacing w:after="100"/>
              <w:jc w:val="center"/>
              <w:rPr>
                <w:rFonts w:eastAsia="Times New Roman"/>
              </w:rPr>
            </w:pPr>
            <w:r>
              <w:rPr>
                <w:rFonts w:eastAsia="Times New Roman"/>
                <w:b/>
                <w:bCs/>
                <w:color w:val="000000"/>
                <w:sz w:val="16"/>
                <w:szCs w:val="16"/>
              </w:rPr>
              <w:t>Securitized Debt Obligations</w:t>
            </w:r>
          </w:p>
        </w:tc>
        <w:tc>
          <w:tcPr>
            <w:tcW w:w="0" w:type="auto"/>
            <w:gridSpan w:val="3"/>
            <w:tcBorders>
              <w:top w:val="single" w:sz="8" w:space="0" w:color="000000"/>
            </w:tcBorders>
            <w:tcMar>
              <w:top w:w="0" w:type="dxa"/>
              <w:left w:w="20" w:type="dxa"/>
              <w:bottom w:w="0" w:type="dxa"/>
              <w:right w:w="20" w:type="dxa"/>
            </w:tcMar>
            <w:vAlign w:val="center"/>
            <w:hideMark/>
          </w:tcPr>
          <w:p w14:paraId="48D028AF"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4B58E4C" w14:textId="77777777" w:rsidR="00000000" w:rsidRDefault="00405D16">
            <w:pPr>
              <w:spacing w:after="100"/>
              <w:jc w:val="center"/>
              <w:rPr>
                <w:rFonts w:eastAsia="Times New Roman"/>
              </w:rPr>
            </w:pPr>
            <w:r>
              <w:rPr>
                <w:rFonts w:eastAsia="Times New Roman"/>
                <w:b/>
                <w:bCs/>
                <w:color w:val="000000"/>
                <w:sz w:val="16"/>
                <w:szCs w:val="16"/>
              </w:rPr>
              <w:t>Senior and Subordinated Notes</w:t>
            </w:r>
          </w:p>
        </w:tc>
        <w:tc>
          <w:tcPr>
            <w:tcW w:w="0" w:type="auto"/>
            <w:gridSpan w:val="3"/>
            <w:tcMar>
              <w:top w:w="0" w:type="dxa"/>
              <w:left w:w="20" w:type="dxa"/>
              <w:bottom w:w="0" w:type="dxa"/>
              <w:right w:w="20" w:type="dxa"/>
            </w:tcMar>
            <w:vAlign w:val="center"/>
            <w:hideMark/>
          </w:tcPr>
          <w:p w14:paraId="7420F9CF"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01C7250" w14:textId="77777777" w:rsidR="00000000" w:rsidRDefault="00405D16">
            <w:pPr>
              <w:spacing w:after="100"/>
              <w:jc w:val="center"/>
              <w:rPr>
                <w:rFonts w:eastAsia="Times New Roman"/>
              </w:rPr>
            </w:pPr>
            <w:r>
              <w:rPr>
                <w:rFonts w:eastAsia="Times New Roman"/>
                <w:b/>
                <w:bCs/>
                <w:color w:val="000000"/>
                <w:sz w:val="16"/>
                <w:szCs w:val="16"/>
              </w:rPr>
              <w:t>Other</w:t>
            </w:r>
          </w:p>
        </w:tc>
      </w:tr>
      <w:tr w:rsidR="00405D16" w14:paraId="3A4BBE7E" w14:textId="77777777">
        <w:trPr>
          <w:divId w:val="175932626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2B5E66C" w14:textId="77777777" w:rsidR="00000000" w:rsidRDefault="00405D16">
            <w:pPr>
              <w:spacing w:after="100"/>
              <w:divId w:val="267199395"/>
              <w:rPr>
                <w:rFonts w:eastAsia="Times New Roman"/>
              </w:rPr>
            </w:pPr>
            <w:r>
              <w:rPr>
                <w:rFonts w:eastAsia="Times New Roman"/>
                <w:b/>
                <w:bCs/>
                <w:color w:val="000000"/>
                <w:sz w:val="18"/>
                <w:szCs w:val="18"/>
              </w:rPr>
              <w:t>Total amounts presented in our consolidated statements of income</w:t>
            </w:r>
          </w:p>
        </w:tc>
        <w:tc>
          <w:tcPr>
            <w:tcW w:w="0" w:type="auto"/>
            <w:gridSpan w:val="3"/>
            <w:shd w:val="clear" w:color="auto" w:fill="CCEEFF"/>
            <w:tcMar>
              <w:top w:w="0" w:type="dxa"/>
              <w:left w:w="20" w:type="dxa"/>
              <w:bottom w:w="0" w:type="dxa"/>
              <w:right w:w="20" w:type="dxa"/>
            </w:tcMar>
            <w:vAlign w:val="center"/>
            <w:hideMark/>
          </w:tcPr>
          <w:p w14:paraId="4755AB9B"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CA52237"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1E67B5" w14:textId="77777777" w:rsidR="00000000" w:rsidRDefault="00405D16">
            <w:pPr>
              <w:spacing w:after="100"/>
              <w:jc w:val="right"/>
              <w:rPr>
                <w:rFonts w:eastAsia="Times New Roman"/>
              </w:rPr>
            </w:pPr>
            <w:r>
              <w:rPr>
                <w:rFonts w:eastAsia="Times New Roman"/>
                <w:color w:val="000000"/>
                <w:sz w:val="18"/>
                <w:szCs w:val="18"/>
              </w:rPr>
              <w:t>1,455 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7D486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501D85"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889397A"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36EE612" w14:textId="77777777" w:rsidR="00000000" w:rsidRDefault="00405D16">
            <w:pPr>
              <w:spacing w:after="100"/>
              <w:jc w:val="right"/>
              <w:rPr>
                <w:rFonts w:eastAsia="Times New Roman"/>
              </w:rPr>
            </w:pPr>
            <w:r>
              <w:rPr>
                <w:rFonts w:eastAsia="Times New Roman"/>
                <w:color w:val="000000"/>
                <w:sz w:val="18"/>
                <w:szCs w:val="18"/>
              </w:rPr>
              <w:t>18,120 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7D17D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08114F"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28CCFC0"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0AE09A" w14:textId="77777777" w:rsidR="00000000" w:rsidRDefault="00405D16">
            <w:pPr>
              <w:spacing w:after="100"/>
              <w:jc w:val="right"/>
              <w:rPr>
                <w:rFonts w:eastAsia="Times New Roman"/>
              </w:rPr>
            </w:pPr>
            <w:r>
              <w:rPr>
                <w:rFonts w:eastAsia="Times New Roman"/>
                <w:color w:val="000000"/>
                <w:sz w:val="18"/>
                <w:szCs w:val="18"/>
              </w:rPr>
              <w:t>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57445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E5B9FE"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51CE677"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0C24EFB" w14:textId="77777777" w:rsidR="00000000" w:rsidRDefault="00405D16">
            <w:pPr>
              <w:spacing w:after="100"/>
              <w:jc w:val="right"/>
              <w:rPr>
                <w:rFonts w:eastAsia="Times New Roman"/>
              </w:rPr>
            </w:pPr>
            <w:r>
              <w:rPr>
                <w:rFonts w:eastAsia="Times New Roman"/>
                <w:color w:val="000000"/>
                <w:sz w:val="18"/>
                <w:szCs w:val="18"/>
              </w:rPr>
              <w:t>(1,818)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5CC54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0A1E2C"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A3459D9"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567A7D6" w14:textId="77777777" w:rsidR="00000000" w:rsidRDefault="00405D16">
            <w:pPr>
              <w:spacing w:after="100"/>
              <w:jc w:val="right"/>
              <w:rPr>
                <w:rFonts w:eastAsia="Times New Roman"/>
              </w:rPr>
            </w:pPr>
            <w:r>
              <w:rPr>
                <w:rFonts w:eastAsia="Times New Roman"/>
                <w:color w:val="000000"/>
                <w:sz w:val="18"/>
                <w:szCs w:val="18"/>
              </w:rPr>
              <w:t>(198)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9E739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C54031"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33C9E00"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78625C4" w14:textId="77777777" w:rsidR="00000000" w:rsidRDefault="00405D16">
            <w:pPr>
              <w:spacing w:after="100"/>
              <w:jc w:val="right"/>
              <w:rPr>
                <w:rFonts w:eastAsia="Times New Roman"/>
              </w:rPr>
            </w:pPr>
            <w:r>
              <w:rPr>
                <w:rFonts w:eastAsia="Times New Roman"/>
                <w:color w:val="000000"/>
                <w:sz w:val="18"/>
                <w:szCs w:val="18"/>
              </w:rPr>
              <w:t>(551)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6399C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0F75BB"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4246C3C"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45929D0" w14:textId="77777777" w:rsidR="00000000" w:rsidRDefault="00405D16">
            <w:pPr>
              <w:spacing w:after="100"/>
              <w:jc w:val="right"/>
              <w:rPr>
                <w:rFonts w:eastAsia="Times New Roman"/>
              </w:rPr>
            </w:pPr>
            <w:r>
              <w:rPr>
                <w:rFonts w:eastAsia="Times New Roman"/>
                <w:color w:val="000000"/>
                <w:sz w:val="18"/>
                <w:szCs w:val="18"/>
              </w:rPr>
              <w:t>1,017 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A5FF9B" w14:textId="77777777" w:rsidR="00000000" w:rsidRDefault="00405D16">
            <w:pPr>
              <w:spacing w:after="100"/>
              <w:jc w:val="right"/>
              <w:rPr>
                <w:rFonts w:eastAsia="Times New Roman"/>
              </w:rPr>
            </w:pPr>
          </w:p>
        </w:tc>
      </w:tr>
      <w:tr w:rsidR="00000000" w14:paraId="6D232918" w14:textId="77777777">
        <w:trPr>
          <w:divId w:val="1759326263"/>
        </w:trPr>
        <w:tc>
          <w:tcPr>
            <w:tcW w:w="0" w:type="auto"/>
            <w:gridSpan w:val="3"/>
            <w:shd w:val="clear" w:color="auto" w:fill="FFFFFF"/>
            <w:tcMar>
              <w:top w:w="30" w:type="dxa"/>
              <w:left w:w="20" w:type="dxa"/>
              <w:bottom w:w="30" w:type="dxa"/>
              <w:right w:w="20" w:type="dxa"/>
            </w:tcMar>
            <w:vAlign w:val="center"/>
            <w:hideMark/>
          </w:tcPr>
          <w:p w14:paraId="06D7B1CE" w14:textId="77777777" w:rsidR="00000000" w:rsidRDefault="00405D16">
            <w:pPr>
              <w:spacing w:after="100"/>
              <w:divId w:val="1078482570"/>
              <w:rPr>
                <w:rFonts w:eastAsia="Times New Roman"/>
              </w:rPr>
            </w:pPr>
            <w:r>
              <w:rPr>
                <w:rFonts w:eastAsia="Times New Roman"/>
                <w:b/>
                <w:bCs/>
                <w:color w:val="000000"/>
                <w:sz w:val="18"/>
                <w:szCs w:val="18"/>
              </w:rPr>
              <w:t>Fair value hedging relationships:</w:t>
            </w:r>
          </w:p>
        </w:tc>
        <w:tc>
          <w:tcPr>
            <w:tcW w:w="0" w:type="auto"/>
            <w:gridSpan w:val="3"/>
            <w:shd w:val="clear" w:color="auto" w:fill="FFFFFF"/>
            <w:tcMar>
              <w:top w:w="0" w:type="dxa"/>
              <w:left w:w="20" w:type="dxa"/>
              <w:bottom w:w="0" w:type="dxa"/>
              <w:right w:w="20" w:type="dxa"/>
            </w:tcMar>
            <w:vAlign w:val="center"/>
            <w:hideMark/>
          </w:tcPr>
          <w:p w14:paraId="1BCCF0FF"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46333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2790E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EE0804"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B65A1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AB1FF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F6FBA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21589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4F61C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67FF5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BB8ED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63869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2F9A2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390289" w14:textId="77777777" w:rsidR="00000000" w:rsidRDefault="00405D16">
            <w:pPr>
              <w:spacing w:after="100"/>
              <w:rPr>
                <w:rFonts w:eastAsia="Times New Roman"/>
                <w:sz w:val="20"/>
                <w:szCs w:val="20"/>
              </w:rPr>
            </w:pPr>
          </w:p>
        </w:tc>
      </w:tr>
      <w:tr w:rsidR="00000000" w14:paraId="4CE39315" w14:textId="77777777">
        <w:trPr>
          <w:divId w:val="1759326263"/>
        </w:trPr>
        <w:tc>
          <w:tcPr>
            <w:tcW w:w="0" w:type="auto"/>
            <w:gridSpan w:val="3"/>
            <w:shd w:val="clear" w:color="auto" w:fill="CCEEFF"/>
            <w:tcMar>
              <w:top w:w="30" w:type="dxa"/>
              <w:left w:w="20" w:type="dxa"/>
              <w:bottom w:w="30" w:type="dxa"/>
              <w:right w:w="20" w:type="dxa"/>
            </w:tcMar>
            <w:vAlign w:val="center"/>
            <w:hideMark/>
          </w:tcPr>
          <w:p w14:paraId="78EC6A23" w14:textId="77777777" w:rsidR="00000000" w:rsidRDefault="00405D16">
            <w:pPr>
              <w:spacing w:after="100"/>
              <w:rPr>
                <w:rFonts w:eastAsia="Times New Roman"/>
              </w:rPr>
            </w:pPr>
            <w:r>
              <w:rPr>
                <w:rFonts w:eastAsia="Times New Roman"/>
                <w:color w:val="000000"/>
                <w:sz w:val="18"/>
                <w:szCs w:val="18"/>
              </w:rPr>
              <w:t>Interest rate and foreign exchange contracts:</w:t>
            </w:r>
          </w:p>
        </w:tc>
        <w:tc>
          <w:tcPr>
            <w:tcW w:w="0" w:type="auto"/>
            <w:gridSpan w:val="3"/>
            <w:shd w:val="clear" w:color="auto" w:fill="CCEEFF"/>
            <w:tcMar>
              <w:top w:w="0" w:type="dxa"/>
              <w:left w:w="20" w:type="dxa"/>
              <w:bottom w:w="0" w:type="dxa"/>
              <w:right w:w="20" w:type="dxa"/>
            </w:tcMar>
            <w:vAlign w:val="center"/>
            <w:hideMark/>
          </w:tcPr>
          <w:p w14:paraId="20B0BAA0"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F453F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46A57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45B10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A600C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7805C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83052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68887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4765D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1BB11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64B4A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73AF4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18289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DABF23" w14:textId="77777777" w:rsidR="00000000" w:rsidRDefault="00405D16">
            <w:pPr>
              <w:spacing w:after="100"/>
              <w:rPr>
                <w:rFonts w:eastAsia="Times New Roman"/>
                <w:sz w:val="20"/>
                <w:szCs w:val="20"/>
              </w:rPr>
            </w:pPr>
          </w:p>
        </w:tc>
      </w:tr>
      <w:tr w:rsidR="00405D16" w14:paraId="31497826" w14:textId="77777777">
        <w:trPr>
          <w:divId w:val="1759326263"/>
        </w:trPr>
        <w:tc>
          <w:tcPr>
            <w:tcW w:w="0" w:type="auto"/>
            <w:gridSpan w:val="3"/>
            <w:shd w:val="clear" w:color="auto" w:fill="FFFFFF"/>
            <w:tcMar>
              <w:top w:w="30" w:type="dxa"/>
              <w:left w:w="245" w:type="dxa"/>
              <w:bottom w:w="30" w:type="dxa"/>
              <w:right w:w="20" w:type="dxa"/>
            </w:tcMar>
            <w:vAlign w:val="center"/>
            <w:hideMark/>
          </w:tcPr>
          <w:p w14:paraId="518E5FB9" w14:textId="77777777" w:rsidR="00000000" w:rsidRDefault="00405D16">
            <w:pPr>
              <w:spacing w:after="100"/>
              <w:rPr>
                <w:rFonts w:eastAsia="Times New Roman"/>
              </w:rPr>
            </w:pPr>
            <w:r>
              <w:rPr>
                <w:rFonts w:eastAsia="Times New Roman"/>
                <w:color w:val="000000"/>
                <w:sz w:val="18"/>
                <w:szCs w:val="18"/>
              </w:rPr>
              <w:t>Interest recognized on derivatives</w:t>
            </w:r>
          </w:p>
        </w:tc>
        <w:tc>
          <w:tcPr>
            <w:tcW w:w="0" w:type="auto"/>
            <w:gridSpan w:val="3"/>
            <w:shd w:val="clear" w:color="auto" w:fill="FFFFFF"/>
            <w:tcMar>
              <w:top w:w="0" w:type="dxa"/>
              <w:left w:w="20" w:type="dxa"/>
              <w:bottom w:w="0" w:type="dxa"/>
              <w:right w:w="20" w:type="dxa"/>
            </w:tcMar>
            <w:vAlign w:val="center"/>
            <w:hideMark/>
          </w:tcPr>
          <w:p w14:paraId="5DFB26E7"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07105EF0"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A16C9B3" w14:textId="77777777" w:rsidR="00000000" w:rsidRDefault="00405D16">
            <w:pPr>
              <w:spacing w:after="100"/>
              <w:jc w:val="right"/>
              <w:rPr>
                <w:rFonts w:eastAsia="Times New Roman"/>
              </w:rPr>
            </w:pPr>
            <w:r>
              <w:rPr>
                <w:rFonts w:eastAsia="Times New Roman"/>
                <w:color w:val="000000"/>
                <w:sz w:val="18"/>
                <w:szCs w:val="18"/>
              </w:rPr>
              <w:t>(51)</w:t>
            </w:r>
          </w:p>
        </w:tc>
        <w:tc>
          <w:tcPr>
            <w:tcW w:w="0" w:type="auto"/>
            <w:shd w:val="clear" w:color="auto" w:fill="FFFFFF"/>
            <w:tcMar>
              <w:top w:w="30" w:type="dxa"/>
              <w:left w:w="0" w:type="dxa"/>
              <w:bottom w:w="30" w:type="dxa"/>
              <w:right w:w="20" w:type="dxa"/>
            </w:tcMar>
            <w:vAlign w:val="bottom"/>
            <w:hideMark/>
          </w:tcPr>
          <w:p w14:paraId="7744877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0D6C85"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D08FC10"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CBAD22C"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761DAC3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657A39"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F0EC36F"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46C545C"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2AED41D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047919"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5A6AEAB"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6878FE5" w14:textId="77777777" w:rsidR="00000000" w:rsidRDefault="00405D16">
            <w:pPr>
              <w:spacing w:after="100"/>
              <w:jc w:val="right"/>
              <w:rPr>
                <w:rFonts w:eastAsia="Times New Roman"/>
              </w:rPr>
            </w:pPr>
            <w:r>
              <w:rPr>
                <w:rFonts w:eastAsia="Times New Roman"/>
                <w:color w:val="000000"/>
                <w:sz w:val="18"/>
                <w:szCs w:val="18"/>
              </w:rPr>
              <w:t>69 </w:t>
            </w:r>
          </w:p>
        </w:tc>
        <w:tc>
          <w:tcPr>
            <w:tcW w:w="0" w:type="auto"/>
            <w:shd w:val="clear" w:color="auto" w:fill="FFFFFF"/>
            <w:tcMar>
              <w:top w:w="30" w:type="dxa"/>
              <w:left w:w="0" w:type="dxa"/>
              <w:bottom w:w="30" w:type="dxa"/>
              <w:right w:w="20" w:type="dxa"/>
            </w:tcMar>
            <w:vAlign w:val="bottom"/>
            <w:hideMark/>
          </w:tcPr>
          <w:p w14:paraId="19A7F96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1749D1"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477C4A0"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1BEDE9C" w14:textId="77777777" w:rsidR="00000000" w:rsidRDefault="00405D16">
            <w:pPr>
              <w:spacing w:after="100"/>
              <w:jc w:val="right"/>
              <w:rPr>
                <w:rFonts w:eastAsia="Times New Roman"/>
              </w:rPr>
            </w:pPr>
            <w:r>
              <w:rPr>
                <w:rFonts w:eastAsia="Times New Roman"/>
                <w:color w:val="000000"/>
                <w:sz w:val="18"/>
                <w:szCs w:val="18"/>
              </w:rPr>
              <w:t>92 </w:t>
            </w:r>
          </w:p>
        </w:tc>
        <w:tc>
          <w:tcPr>
            <w:tcW w:w="0" w:type="auto"/>
            <w:shd w:val="clear" w:color="auto" w:fill="FFFFFF"/>
            <w:tcMar>
              <w:top w:w="30" w:type="dxa"/>
              <w:left w:w="0" w:type="dxa"/>
              <w:bottom w:w="30" w:type="dxa"/>
              <w:right w:w="20" w:type="dxa"/>
            </w:tcMar>
            <w:vAlign w:val="bottom"/>
            <w:hideMark/>
          </w:tcPr>
          <w:p w14:paraId="126EA7C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27D52A"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5298281"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48044F6" w14:textId="77777777" w:rsidR="00000000" w:rsidRDefault="00405D16">
            <w:pPr>
              <w:spacing w:after="100"/>
              <w:jc w:val="right"/>
              <w:rPr>
                <w:rFonts w:eastAsia="Times New Roman"/>
              </w:rPr>
            </w:pPr>
            <w:r>
              <w:rPr>
                <w:rFonts w:eastAsia="Times New Roman"/>
                <w:color w:val="000000"/>
                <w:sz w:val="18"/>
                <w:szCs w:val="18"/>
              </w:rPr>
              <w:t>166 </w:t>
            </w:r>
          </w:p>
        </w:tc>
        <w:tc>
          <w:tcPr>
            <w:tcW w:w="0" w:type="auto"/>
            <w:shd w:val="clear" w:color="auto" w:fill="FFFFFF"/>
            <w:tcMar>
              <w:top w:w="30" w:type="dxa"/>
              <w:left w:w="0" w:type="dxa"/>
              <w:bottom w:w="30" w:type="dxa"/>
              <w:right w:w="20" w:type="dxa"/>
            </w:tcMar>
            <w:vAlign w:val="bottom"/>
            <w:hideMark/>
          </w:tcPr>
          <w:p w14:paraId="07E270C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0C585C"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5A67666"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E18EAA4"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0CEE6947" w14:textId="77777777" w:rsidR="00000000" w:rsidRDefault="00405D16">
            <w:pPr>
              <w:spacing w:after="100"/>
              <w:jc w:val="right"/>
              <w:rPr>
                <w:rFonts w:eastAsia="Times New Roman"/>
              </w:rPr>
            </w:pPr>
          </w:p>
        </w:tc>
      </w:tr>
      <w:tr w:rsidR="00000000" w14:paraId="39088C72" w14:textId="77777777">
        <w:trPr>
          <w:divId w:val="1759326263"/>
        </w:trPr>
        <w:tc>
          <w:tcPr>
            <w:tcW w:w="0" w:type="auto"/>
            <w:gridSpan w:val="3"/>
            <w:shd w:val="clear" w:color="auto" w:fill="CCEEFF"/>
            <w:tcMar>
              <w:top w:w="30" w:type="dxa"/>
              <w:left w:w="245" w:type="dxa"/>
              <w:bottom w:w="30" w:type="dxa"/>
              <w:right w:w="20" w:type="dxa"/>
            </w:tcMar>
            <w:vAlign w:val="center"/>
            <w:hideMark/>
          </w:tcPr>
          <w:p w14:paraId="6A931BD9" w14:textId="77777777" w:rsidR="00000000" w:rsidRDefault="00405D16">
            <w:pPr>
              <w:spacing w:after="100"/>
              <w:rPr>
                <w:rFonts w:eastAsia="Times New Roman"/>
              </w:rPr>
            </w:pPr>
            <w:r>
              <w:rPr>
                <w:rFonts w:eastAsia="Times New Roman"/>
                <w:color w:val="000000"/>
                <w:sz w:val="18"/>
                <w:szCs w:val="18"/>
              </w:rPr>
              <w:t>Gains (losses) recognized on derivatives</w:t>
            </w:r>
          </w:p>
        </w:tc>
        <w:tc>
          <w:tcPr>
            <w:tcW w:w="0" w:type="auto"/>
            <w:gridSpan w:val="3"/>
            <w:shd w:val="clear" w:color="auto" w:fill="CCEEFF"/>
            <w:tcMar>
              <w:top w:w="0" w:type="dxa"/>
              <w:left w:w="20" w:type="dxa"/>
              <w:bottom w:w="0" w:type="dxa"/>
              <w:right w:w="20" w:type="dxa"/>
            </w:tcMar>
            <w:vAlign w:val="center"/>
            <w:hideMark/>
          </w:tcPr>
          <w:p w14:paraId="28A05011"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92C55CC" w14:textId="77777777" w:rsidR="00000000" w:rsidRDefault="00405D16">
            <w:pPr>
              <w:spacing w:after="100"/>
              <w:jc w:val="right"/>
              <w:rPr>
                <w:rFonts w:eastAsia="Times New Roman"/>
              </w:rPr>
            </w:pPr>
            <w:r>
              <w:rPr>
                <w:rFonts w:eastAsia="Times New Roman"/>
                <w:color w:val="000000"/>
                <w:sz w:val="18"/>
                <w:szCs w:val="18"/>
              </w:rPr>
              <w:t>(340)</w:t>
            </w:r>
          </w:p>
        </w:tc>
        <w:tc>
          <w:tcPr>
            <w:tcW w:w="0" w:type="auto"/>
            <w:shd w:val="clear" w:color="auto" w:fill="CCEEFF"/>
            <w:tcMar>
              <w:top w:w="30" w:type="dxa"/>
              <w:left w:w="0" w:type="dxa"/>
              <w:bottom w:w="30" w:type="dxa"/>
              <w:right w:w="20" w:type="dxa"/>
            </w:tcMar>
            <w:vAlign w:val="bottom"/>
            <w:hideMark/>
          </w:tcPr>
          <w:p w14:paraId="24E440B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944D0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5BF27D"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2172834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23C4F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470C39"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04ACA2C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EE5FD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E0E033" w14:textId="77777777" w:rsidR="00000000" w:rsidRDefault="00405D16">
            <w:pPr>
              <w:spacing w:after="100"/>
              <w:jc w:val="right"/>
              <w:rPr>
                <w:rFonts w:eastAsia="Times New Roman"/>
              </w:rPr>
            </w:pPr>
            <w:r>
              <w:rPr>
                <w:rFonts w:eastAsia="Times New Roman"/>
                <w:color w:val="000000"/>
                <w:sz w:val="18"/>
                <w:szCs w:val="18"/>
              </w:rPr>
              <w:t>249 </w:t>
            </w:r>
          </w:p>
        </w:tc>
        <w:tc>
          <w:tcPr>
            <w:tcW w:w="0" w:type="auto"/>
            <w:shd w:val="clear" w:color="auto" w:fill="CCEEFF"/>
            <w:tcMar>
              <w:top w:w="30" w:type="dxa"/>
              <w:left w:w="0" w:type="dxa"/>
              <w:bottom w:w="30" w:type="dxa"/>
              <w:right w:w="20" w:type="dxa"/>
            </w:tcMar>
            <w:vAlign w:val="bottom"/>
            <w:hideMark/>
          </w:tcPr>
          <w:p w14:paraId="0A05FDD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E7D79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4624A1" w14:textId="77777777" w:rsidR="00000000" w:rsidRDefault="00405D16">
            <w:pPr>
              <w:spacing w:after="100"/>
              <w:jc w:val="right"/>
              <w:rPr>
                <w:rFonts w:eastAsia="Times New Roman"/>
              </w:rPr>
            </w:pPr>
            <w:r>
              <w:rPr>
                <w:rFonts w:eastAsia="Times New Roman"/>
                <w:color w:val="000000"/>
                <w:sz w:val="18"/>
                <w:szCs w:val="18"/>
              </w:rPr>
              <w:t>221 </w:t>
            </w:r>
          </w:p>
        </w:tc>
        <w:tc>
          <w:tcPr>
            <w:tcW w:w="0" w:type="auto"/>
            <w:shd w:val="clear" w:color="auto" w:fill="CCEEFF"/>
            <w:tcMar>
              <w:top w:w="30" w:type="dxa"/>
              <w:left w:w="0" w:type="dxa"/>
              <w:bottom w:w="30" w:type="dxa"/>
              <w:right w:w="20" w:type="dxa"/>
            </w:tcMar>
            <w:vAlign w:val="bottom"/>
            <w:hideMark/>
          </w:tcPr>
          <w:p w14:paraId="24F8027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84529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62761A" w14:textId="77777777" w:rsidR="00000000" w:rsidRDefault="00405D16">
            <w:pPr>
              <w:spacing w:after="100"/>
              <w:jc w:val="right"/>
              <w:rPr>
                <w:rFonts w:eastAsia="Times New Roman"/>
              </w:rPr>
            </w:pPr>
            <w:r>
              <w:rPr>
                <w:rFonts w:eastAsia="Times New Roman"/>
                <w:color w:val="000000"/>
                <w:sz w:val="18"/>
                <w:szCs w:val="18"/>
              </w:rPr>
              <w:t>1,057 </w:t>
            </w:r>
          </w:p>
        </w:tc>
        <w:tc>
          <w:tcPr>
            <w:tcW w:w="0" w:type="auto"/>
            <w:shd w:val="clear" w:color="auto" w:fill="CCEEFF"/>
            <w:tcMar>
              <w:top w:w="30" w:type="dxa"/>
              <w:left w:w="0" w:type="dxa"/>
              <w:bottom w:w="30" w:type="dxa"/>
              <w:right w:w="20" w:type="dxa"/>
            </w:tcMar>
            <w:vAlign w:val="bottom"/>
            <w:hideMark/>
          </w:tcPr>
          <w:p w14:paraId="1059A33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D6E0F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819D8E" w14:textId="77777777" w:rsidR="00000000" w:rsidRDefault="00405D16">
            <w:pPr>
              <w:spacing w:after="100"/>
              <w:jc w:val="right"/>
              <w:rPr>
                <w:rFonts w:eastAsia="Times New Roman"/>
              </w:rPr>
            </w:pPr>
            <w:r>
              <w:rPr>
                <w:rFonts w:eastAsia="Times New Roman"/>
                <w:color w:val="000000"/>
                <w:sz w:val="18"/>
                <w:szCs w:val="18"/>
              </w:rPr>
              <w:t>64 </w:t>
            </w:r>
          </w:p>
        </w:tc>
        <w:tc>
          <w:tcPr>
            <w:tcW w:w="0" w:type="auto"/>
            <w:shd w:val="clear" w:color="auto" w:fill="CCEEFF"/>
            <w:tcMar>
              <w:top w:w="30" w:type="dxa"/>
              <w:left w:w="0" w:type="dxa"/>
              <w:bottom w:w="30" w:type="dxa"/>
              <w:right w:w="20" w:type="dxa"/>
            </w:tcMar>
            <w:vAlign w:val="bottom"/>
            <w:hideMark/>
          </w:tcPr>
          <w:p w14:paraId="3E86160B" w14:textId="77777777" w:rsidR="00000000" w:rsidRDefault="00405D16">
            <w:pPr>
              <w:spacing w:after="100"/>
              <w:jc w:val="right"/>
              <w:rPr>
                <w:rFonts w:eastAsia="Times New Roman"/>
              </w:rPr>
            </w:pPr>
          </w:p>
        </w:tc>
      </w:tr>
      <w:tr w:rsidR="00000000" w14:paraId="1EE531B8" w14:textId="77777777">
        <w:trPr>
          <w:divId w:val="1759326263"/>
        </w:trPr>
        <w:tc>
          <w:tcPr>
            <w:tcW w:w="0" w:type="auto"/>
            <w:gridSpan w:val="3"/>
            <w:shd w:val="clear" w:color="auto" w:fill="FFFFFF"/>
            <w:tcMar>
              <w:top w:w="30" w:type="dxa"/>
              <w:left w:w="20" w:type="dxa"/>
              <w:bottom w:w="30" w:type="dxa"/>
              <w:right w:w="20" w:type="dxa"/>
            </w:tcMar>
            <w:vAlign w:val="center"/>
            <w:hideMark/>
          </w:tcPr>
          <w:p w14:paraId="1800D333" w14:textId="77777777" w:rsidR="00000000" w:rsidRDefault="00405D16">
            <w:pPr>
              <w:spacing w:after="100"/>
              <w:divId w:val="287586664"/>
              <w:rPr>
                <w:rFonts w:eastAsia="Times New Roman"/>
              </w:rPr>
            </w:pPr>
            <w:r>
              <w:rPr>
                <w:rFonts w:eastAsia="Times New Roman"/>
                <w:color w:val="000000"/>
                <w:sz w:val="18"/>
                <w:szCs w:val="18"/>
              </w:rPr>
              <w:t>Gains (losses) recognized on hedged item</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72B30093"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829F851" w14:textId="77777777" w:rsidR="00000000" w:rsidRDefault="00405D16">
            <w:pPr>
              <w:spacing w:after="100"/>
              <w:jc w:val="right"/>
              <w:rPr>
                <w:rFonts w:eastAsia="Times New Roman"/>
              </w:rPr>
            </w:pPr>
            <w:r>
              <w:rPr>
                <w:rFonts w:eastAsia="Times New Roman"/>
                <w:color w:val="000000"/>
                <w:sz w:val="18"/>
                <w:szCs w:val="18"/>
              </w:rPr>
              <w:t>329 </w:t>
            </w:r>
          </w:p>
        </w:tc>
        <w:tc>
          <w:tcPr>
            <w:tcW w:w="0" w:type="auto"/>
            <w:shd w:val="clear" w:color="auto" w:fill="FFFFFF"/>
            <w:tcMar>
              <w:top w:w="30" w:type="dxa"/>
              <w:left w:w="0" w:type="dxa"/>
              <w:bottom w:w="30" w:type="dxa"/>
              <w:right w:w="20" w:type="dxa"/>
            </w:tcMar>
            <w:vAlign w:val="bottom"/>
            <w:hideMark/>
          </w:tcPr>
          <w:p w14:paraId="5D28317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FD72B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27FA28"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07B4922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5859F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7FD9C8"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58D295F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CFE31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47082D" w14:textId="77777777" w:rsidR="00000000" w:rsidRDefault="00405D16">
            <w:pPr>
              <w:spacing w:after="100"/>
              <w:jc w:val="right"/>
              <w:rPr>
                <w:rFonts w:eastAsia="Times New Roman"/>
              </w:rPr>
            </w:pPr>
            <w:r>
              <w:rPr>
                <w:rFonts w:eastAsia="Times New Roman"/>
                <w:color w:val="000000"/>
                <w:sz w:val="18"/>
                <w:szCs w:val="18"/>
              </w:rPr>
              <w:t>(248)</w:t>
            </w:r>
          </w:p>
        </w:tc>
        <w:tc>
          <w:tcPr>
            <w:tcW w:w="0" w:type="auto"/>
            <w:shd w:val="clear" w:color="auto" w:fill="FFFFFF"/>
            <w:tcMar>
              <w:top w:w="30" w:type="dxa"/>
              <w:left w:w="0" w:type="dxa"/>
              <w:bottom w:w="30" w:type="dxa"/>
              <w:right w:w="20" w:type="dxa"/>
            </w:tcMar>
            <w:vAlign w:val="bottom"/>
            <w:hideMark/>
          </w:tcPr>
          <w:p w14:paraId="231169A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0E4A0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3B2179" w14:textId="77777777" w:rsidR="00000000" w:rsidRDefault="00405D16">
            <w:pPr>
              <w:spacing w:after="100"/>
              <w:jc w:val="right"/>
              <w:rPr>
                <w:rFonts w:eastAsia="Times New Roman"/>
              </w:rPr>
            </w:pPr>
            <w:r>
              <w:rPr>
                <w:rFonts w:eastAsia="Times New Roman"/>
                <w:color w:val="000000"/>
                <w:sz w:val="18"/>
                <w:szCs w:val="18"/>
              </w:rPr>
              <w:t>(251)</w:t>
            </w:r>
          </w:p>
        </w:tc>
        <w:tc>
          <w:tcPr>
            <w:tcW w:w="0" w:type="auto"/>
            <w:shd w:val="clear" w:color="auto" w:fill="FFFFFF"/>
            <w:tcMar>
              <w:top w:w="30" w:type="dxa"/>
              <w:left w:w="0" w:type="dxa"/>
              <w:bottom w:w="30" w:type="dxa"/>
              <w:right w:w="20" w:type="dxa"/>
            </w:tcMar>
            <w:vAlign w:val="bottom"/>
            <w:hideMark/>
          </w:tcPr>
          <w:p w14:paraId="387FEF8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140BD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16369A" w14:textId="77777777" w:rsidR="00000000" w:rsidRDefault="00405D16">
            <w:pPr>
              <w:spacing w:after="100"/>
              <w:jc w:val="right"/>
              <w:rPr>
                <w:rFonts w:eastAsia="Times New Roman"/>
              </w:rPr>
            </w:pPr>
            <w:r>
              <w:rPr>
                <w:rFonts w:eastAsia="Times New Roman"/>
                <w:color w:val="000000"/>
                <w:sz w:val="18"/>
                <w:szCs w:val="18"/>
              </w:rPr>
              <w:t>(1,048)</w:t>
            </w:r>
          </w:p>
        </w:tc>
        <w:tc>
          <w:tcPr>
            <w:tcW w:w="0" w:type="auto"/>
            <w:shd w:val="clear" w:color="auto" w:fill="FFFFFF"/>
            <w:tcMar>
              <w:top w:w="30" w:type="dxa"/>
              <w:left w:w="0" w:type="dxa"/>
              <w:bottom w:w="30" w:type="dxa"/>
              <w:right w:w="20" w:type="dxa"/>
            </w:tcMar>
            <w:vAlign w:val="bottom"/>
            <w:hideMark/>
          </w:tcPr>
          <w:p w14:paraId="72399E7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802F7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AAB189" w14:textId="77777777" w:rsidR="00000000" w:rsidRDefault="00405D16">
            <w:pPr>
              <w:spacing w:after="100"/>
              <w:jc w:val="right"/>
              <w:rPr>
                <w:rFonts w:eastAsia="Times New Roman"/>
              </w:rPr>
            </w:pPr>
            <w:r>
              <w:rPr>
                <w:rFonts w:eastAsia="Times New Roman"/>
                <w:color w:val="000000"/>
                <w:sz w:val="18"/>
                <w:szCs w:val="18"/>
              </w:rPr>
              <w:t>(64)</w:t>
            </w:r>
          </w:p>
        </w:tc>
        <w:tc>
          <w:tcPr>
            <w:tcW w:w="0" w:type="auto"/>
            <w:shd w:val="clear" w:color="auto" w:fill="FFFFFF"/>
            <w:tcMar>
              <w:top w:w="30" w:type="dxa"/>
              <w:left w:w="0" w:type="dxa"/>
              <w:bottom w:w="30" w:type="dxa"/>
              <w:right w:w="20" w:type="dxa"/>
            </w:tcMar>
            <w:vAlign w:val="bottom"/>
            <w:hideMark/>
          </w:tcPr>
          <w:p w14:paraId="5E69E0E2" w14:textId="77777777" w:rsidR="00000000" w:rsidRDefault="00405D16">
            <w:pPr>
              <w:spacing w:after="100"/>
              <w:jc w:val="right"/>
              <w:rPr>
                <w:rFonts w:eastAsia="Times New Roman"/>
              </w:rPr>
            </w:pPr>
          </w:p>
        </w:tc>
      </w:tr>
      <w:tr w:rsidR="00000000" w14:paraId="5E4FE9ED" w14:textId="77777777">
        <w:trPr>
          <w:divId w:val="1759326263"/>
        </w:trPr>
        <w:tc>
          <w:tcPr>
            <w:tcW w:w="0" w:type="auto"/>
            <w:gridSpan w:val="3"/>
            <w:shd w:val="clear" w:color="auto" w:fill="CCEEFF"/>
            <w:tcMar>
              <w:top w:w="30" w:type="dxa"/>
              <w:left w:w="20" w:type="dxa"/>
              <w:bottom w:w="30" w:type="dxa"/>
              <w:right w:w="20" w:type="dxa"/>
            </w:tcMar>
            <w:vAlign w:val="center"/>
            <w:hideMark/>
          </w:tcPr>
          <w:p w14:paraId="59B11DBC" w14:textId="77777777" w:rsidR="00000000" w:rsidRDefault="00405D16">
            <w:pPr>
              <w:spacing w:after="100"/>
              <w:divId w:val="1626932769"/>
              <w:rPr>
                <w:rFonts w:eastAsia="Times New Roman"/>
              </w:rPr>
            </w:pPr>
            <w:r>
              <w:rPr>
                <w:rFonts w:eastAsia="Times New Roman"/>
                <w:color w:val="000000"/>
                <w:sz w:val="18"/>
                <w:szCs w:val="18"/>
              </w:rPr>
              <w:t>Excluded component of fair value hedge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7ACE907B"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189C10F"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7CC0386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4002E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BD6411"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03B4A08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7FA91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86EB31"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39F978B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99BE8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2E3E84"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3C213E1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5901E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A9EDAF"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110FF6F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832C6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4AC20F" w14:textId="77777777" w:rsidR="00000000" w:rsidRDefault="00405D16">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14:paraId="3203891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AF612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2E92D7"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38C45078" w14:textId="77777777" w:rsidR="00000000" w:rsidRDefault="00405D16">
            <w:pPr>
              <w:spacing w:after="100"/>
              <w:jc w:val="right"/>
              <w:rPr>
                <w:rFonts w:eastAsia="Times New Roman"/>
              </w:rPr>
            </w:pPr>
          </w:p>
        </w:tc>
      </w:tr>
      <w:tr w:rsidR="00405D16" w14:paraId="115AEF73" w14:textId="77777777">
        <w:trPr>
          <w:divId w:val="1759326263"/>
        </w:trPr>
        <w:tc>
          <w:tcPr>
            <w:tcW w:w="0" w:type="auto"/>
            <w:gridSpan w:val="3"/>
            <w:shd w:val="clear" w:color="auto" w:fill="FFFFFF"/>
            <w:tcMar>
              <w:top w:w="30" w:type="dxa"/>
              <w:left w:w="20" w:type="dxa"/>
              <w:bottom w:w="30" w:type="dxa"/>
              <w:right w:w="20" w:type="dxa"/>
            </w:tcMar>
            <w:vAlign w:val="center"/>
            <w:hideMark/>
          </w:tcPr>
          <w:p w14:paraId="3ACE1D3D" w14:textId="77777777" w:rsidR="00000000" w:rsidRDefault="00405D16">
            <w:pPr>
              <w:spacing w:after="100"/>
              <w:rPr>
                <w:rFonts w:eastAsia="Times New Roman"/>
              </w:rPr>
            </w:pPr>
            <w:r>
              <w:rPr>
                <w:rFonts w:eastAsia="Times New Roman"/>
                <w:color w:val="000000"/>
                <w:sz w:val="18"/>
                <w:szCs w:val="18"/>
              </w:rPr>
              <w:t>Net income (expense) recognized on fair value hedges</w:t>
            </w:r>
          </w:p>
        </w:tc>
        <w:tc>
          <w:tcPr>
            <w:tcW w:w="0" w:type="auto"/>
            <w:gridSpan w:val="3"/>
            <w:shd w:val="clear" w:color="auto" w:fill="FFFFFF"/>
            <w:tcMar>
              <w:top w:w="0" w:type="dxa"/>
              <w:left w:w="20" w:type="dxa"/>
              <w:bottom w:w="0" w:type="dxa"/>
              <w:right w:w="20" w:type="dxa"/>
            </w:tcMar>
            <w:vAlign w:val="center"/>
            <w:hideMark/>
          </w:tcPr>
          <w:p w14:paraId="10447578" w14:textId="77777777" w:rsidR="00000000" w:rsidRDefault="00405D16">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D5B3AF0"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FF0C176" w14:textId="77777777" w:rsidR="00000000" w:rsidRDefault="00405D16">
            <w:pPr>
              <w:spacing w:after="100"/>
              <w:jc w:val="right"/>
              <w:rPr>
                <w:rFonts w:eastAsia="Times New Roman"/>
              </w:rPr>
            </w:pPr>
            <w:r>
              <w:rPr>
                <w:rFonts w:eastAsia="Times New Roman"/>
                <w:color w:val="000000"/>
                <w:sz w:val="18"/>
                <w:szCs w:val="18"/>
              </w:rPr>
              <w:t>(62)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23A8F2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92A95A"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477C7F9"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23F72FA" w14:textId="77777777" w:rsidR="00000000" w:rsidRDefault="00405D16">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72A9A4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6DEEF0"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C742FCD"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05A914F" w14:textId="77777777" w:rsidR="00000000" w:rsidRDefault="00405D16">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85424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4BF7E2"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9715007"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B17D57C" w14:textId="77777777" w:rsidR="00000000" w:rsidRDefault="00405D16">
            <w:pPr>
              <w:spacing w:after="100"/>
              <w:jc w:val="right"/>
              <w:rPr>
                <w:rFonts w:eastAsia="Times New Roman"/>
              </w:rPr>
            </w:pPr>
            <w:r>
              <w:rPr>
                <w:rFonts w:eastAsia="Times New Roman"/>
                <w:color w:val="000000"/>
                <w:sz w:val="18"/>
                <w:szCs w:val="18"/>
              </w:rPr>
              <w:t>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C65F80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E9C3E4"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90CF25E"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0BAF99D" w14:textId="77777777" w:rsidR="00000000" w:rsidRDefault="00405D16">
            <w:pPr>
              <w:spacing w:after="100"/>
              <w:jc w:val="right"/>
              <w:rPr>
                <w:rFonts w:eastAsia="Times New Roman"/>
              </w:rPr>
            </w:pPr>
            <w:r>
              <w:rPr>
                <w:rFonts w:eastAsia="Times New Roman"/>
                <w:color w:val="000000"/>
                <w:sz w:val="18"/>
                <w:szCs w:val="18"/>
              </w:rPr>
              <w:t>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0069A1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51EB40"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9BAD080"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EDDA35A" w14:textId="77777777" w:rsidR="00000000" w:rsidRDefault="00405D16">
            <w:pPr>
              <w:spacing w:after="100"/>
              <w:jc w:val="right"/>
              <w:rPr>
                <w:rFonts w:eastAsia="Times New Roman"/>
              </w:rPr>
            </w:pPr>
            <w:r>
              <w:rPr>
                <w:rFonts w:eastAsia="Times New Roman"/>
                <w:color w:val="000000"/>
                <w:sz w:val="18"/>
                <w:szCs w:val="18"/>
              </w:rPr>
              <w:t>173 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7D0A04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A1321D"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80C3B1C"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84459F7" w14:textId="77777777" w:rsidR="00000000" w:rsidRDefault="00405D16">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13C4CCB" w14:textId="77777777" w:rsidR="00000000" w:rsidRDefault="00405D16">
            <w:pPr>
              <w:spacing w:after="100"/>
              <w:jc w:val="right"/>
              <w:rPr>
                <w:rFonts w:eastAsia="Times New Roman"/>
              </w:rPr>
            </w:pPr>
          </w:p>
        </w:tc>
      </w:tr>
      <w:tr w:rsidR="00000000" w14:paraId="62313468" w14:textId="77777777">
        <w:trPr>
          <w:divId w:val="1759326263"/>
        </w:trPr>
        <w:tc>
          <w:tcPr>
            <w:tcW w:w="0" w:type="auto"/>
            <w:gridSpan w:val="3"/>
            <w:shd w:val="clear" w:color="auto" w:fill="CCEEFF"/>
            <w:tcMar>
              <w:top w:w="30" w:type="dxa"/>
              <w:left w:w="20" w:type="dxa"/>
              <w:bottom w:w="30" w:type="dxa"/>
              <w:right w:w="20" w:type="dxa"/>
            </w:tcMar>
            <w:vAlign w:val="center"/>
            <w:hideMark/>
          </w:tcPr>
          <w:p w14:paraId="68A0D13D" w14:textId="77777777" w:rsidR="00000000" w:rsidRDefault="00405D16">
            <w:pPr>
              <w:spacing w:after="100"/>
              <w:divId w:val="500513824"/>
              <w:rPr>
                <w:rFonts w:eastAsia="Times New Roman"/>
              </w:rPr>
            </w:pPr>
            <w:r>
              <w:rPr>
                <w:rFonts w:eastAsia="Times New Roman"/>
                <w:b/>
                <w:bCs/>
                <w:color w:val="000000"/>
                <w:sz w:val="18"/>
                <w:szCs w:val="18"/>
              </w:rPr>
              <w:t>Cash flow hedging relationships</w:t>
            </w:r>
            <w:r>
              <w:rPr>
                <w:rFonts w:eastAsia="Times New Roman"/>
                <w:b/>
                <w:bCs/>
                <w:color w:val="000000"/>
                <w:sz w:val="18"/>
                <w:szCs w:val="18"/>
              </w:rPr>
              <w:t>:</w:t>
            </w:r>
            <w:r>
              <w:rPr>
                <w:rFonts w:eastAsia="Times New Roman"/>
                <w:b/>
                <w:bCs/>
                <w:color w:val="000000"/>
                <w:sz w:val="12"/>
                <w:szCs w:val="12"/>
              </w:rPr>
              <w:t>(3</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7C87EF6B" w14:textId="77777777" w:rsidR="00000000" w:rsidRDefault="00405D16">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5F8C90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457780"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8062E6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30365C"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4A23FA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721BBA"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79E91C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4B45A7"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7BBE0A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A61700"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7CD148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9A0584"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CD27DCE" w14:textId="77777777" w:rsidR="00000000" w:rsidRDefault="00405D16">
            <w:pPr>
              <w:spacing w:after="100"/>
              <w:rPr>
                <w:rFonts w:eastAsia="Times New Roman"/>
                <w:sz w:val="20"/>
                <w:szCs w:val="20"/>
              </w:rPr>
            </w:pPr>
          </w:p>
        </w:tc>
      </w:tr>
      <w:tr w:rsidR="00000000" w14:paraId="0CE9C60F" w14:textId="77777777">
        <w:trPr>
          <w:divId w:val="1759326263"/>
        </w:trPr>
        <w:tc>
          <w:tcPr>
            <w:tcW w:w="0" w:type="auto"/>
            <w:gridSpan w:val="3"/>
            <w:shd w:val="clear" w:color="auto" w:fill="FFFFFF"/>
            <w:tcMar>
              <w:top w:w="30" w:type="dxa"/>
              <w:left w:w="20" w:type="dxa"/>
              <w:bottom w:w="30" w:type="dxa"/>
              <w:right w:w="20" w:type="dxa"/>
            </w:tcMar>
            <w:vAlign w:val="center"/>
            <w:hideMark/>
          </w:tcPr>
          <w:p w14:paraId="14B45B44" w14:textId="77777777" w:rsidR="00000000" w:rsidRDefault="00405D16">
            <w:pPr>
              <w:spacing w:after="100"/>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14:paraId="661DFF3E"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D5C89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7C0A6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A75C24"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86CBA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3FF28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48009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4C12C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7A09C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D6FAA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5BACB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FCE73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3F8F9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75311B" w14:textId="77777777" w:rsidR="00000000" w:rsidRDefault="00405D16">
            <w:pPr>
              <w:spacing w:after="100"/>
              <w:rPr>
                <w:rFonts w:eastAsia="Times New Roman"/>
                <w:sz w:val="20"/>
                <w:szCs w:val="20"/>
              </w:rPr>
            </w:pPr>
          </w:p>
        </w:tc>
      </w:tr>
      <w:tr w:rsidR="00405D16" w14:paraId="36F0A25D" w14:textId="77777777">
        <w:trPr>
          <w:divId w:val="1759326263"/>
        </w:trPr>
        <w:tc>
          <w:tcPr>
            <w:tcW w:w="0" w:type="auto"/>
            <w:gridSpan w:val="3"/>
            <w:shd w:val="clear" w:color="auto" w:fill="CCEEFF"/>
            <w:tcMar>
              <w:top w:w="30" w:type="dxa"/>
              <w:left w:w="245" w:type="dxa"/>
              <w:bottom w:w="30" w:type="dxa"/>
              <w:right w:w="20" w:type="dxa"/>
            </w:tcMar>
            <w:vAlign w:val="center"/>
            <w:hideMark/>
          </w:tcPr>
          <w:p w14:paraId="7F5FDA7A" w14:textId="77777777" w:rsidR="00000000" w:rsidRDefault="00405D16">
            <w:pPr>
              <w:spacing w:after="100"/>
              <w:rPr>
                <w:rFonts w:eastAsia="Times New Roman"/>
              </w:rPr>
            </w:pPr>
            <w:r>
              <w:rPr>
                <w:rFonts w:eastAsia="Times New Roman"/>
                <w:color w:val="000000"/>
                <w:sz w:val="18"/>
                <w:szCs w:val="18"/>
              </w:rPr>
              <w:t>Realized gains reclassified from AOCI into net income</w:t>
            </w:r>
          </w:p>
        </w:tc>
        <w:tc>
          <w:tcPr>
            <w:tcW w:w="0" w:type="auto"/>
            <w:gridSpan w:val="3"/>
            <w:shd w:val="clear" w:color="auto" w:fill="CCEEFF"/>
            <w:tcMar>
              <w:top w:w="0" w:type="dxa"/>
              <w:left w:w="20" w:type="dxa"/>
              <w:bottom w:w="0" w:type="dxa"/>
              <w:right w:w="20" w:type="dxa"/>
            </w:tcMar>
            <w:vAlign w:val="center"/>
            <w:hideMark/>
          </w:tcPr>
          <w:p w14:paraId="1B4D80E5" w14:textId="77777777" w:rsidR="00000000" w:rsidRDefault="00405D16">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07568D5D"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E79D6CB" w14:textId="77777777" w:rsidR="00000000" w:rsidRDefault="00405D16">
            <w:pPr>
              <w:spacing w:after="100"/>
              <w:jc w:val="right"/>
              <w:rPr>
                <w:rFonts w:eastAsia="Times New Roman"/>
              </w:rPr>
            </w:pPr>
            <w:r>
              <w:rPr>
                <w:rFonts w:eastAsia="Times New Roman"/>
                <w:color w:val="000000"/>
                <w:sz w:val="18"/>
                <w:szCs w:val="18"/>
              </w:rPr>
              <w:t>17 </w:t>
            </w:r>
          </w:p>
        </w:tc>
        <w:tc>
          <w:tcPr>
            <w:tcW w:w="0" w:type="auto"/>
            <w:shd w:val="clear" w:color="auto" w:fill="CCEEFF"/>
            <w:tcMar>
              <w:top w:w="30" w:type="dxa"/>
              <w:left w:w="0" w:type="dxa"/>
              <w:bottom w:w="30" w:type="dxa"/>
              <w:right w:w="20" w:type="dxa"/>
            </w:tcMar>
            <w:vAlign w:val="bottom"/>
            <w:hideMark/>
          </w:tcPr>
          <w:p w14:paraId="4331F17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08C275"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119021B"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772AC8A" w14:textId="77777777" w:rsidR="00000000" w:rsidRDefault="00405D16">
            <w:pPr>
              <w:spacing w:after="100"/>
              <w:jc w:val="right"/>
              <w:rPr>
                <w:rFonts w:eastAsia="Times New Roman"/>
              </w:rPr>
            </w:pPr>
            <w:r>
              <w:rPr>
                <w:rFonts w:eastAsia="Times New Roman"/>
                <w:color w:val="000000"/>
                <w:sz w:val="18"/>
                <w:szCs w:val="18"/>
              </w:rPr>
              <w:t>330 </w:t>
            </w:r>
          </w:p>
        </w:tc>
        <w:tc>
          <w:tcPr>
            <w:tcW w:w="0" w:type="auto"/>
            <w:shd w:val="clear" w:color="auto" w:fill="CCEEFF"/>
            <w:tcMar>
              <w:top w:w="30" w:type="dxa"/>
              <w:left w:w="0" w:type="dxa"/>
              <w:bottom w:w="30" w:type="dxa"/>
              <w:right w:w="20" w:type="dxa"/>
            </w:tcMar>
            <w:vAlign w:val="bottom"/>
            <w:hideMark/>
          </w:tcPr>
          <w:p w14:paraId="2551DEB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DA9967"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D3BECB7"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EF522B1"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0D409DA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ED79E6"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B6A18AF"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041F141"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5CD128F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1CC00D"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D00A164"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C3C5E08"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42F0378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8F92C9"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2FEE0D7"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7047E4E"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326E6D4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61EDD7"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4EE36C9"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1B88327"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0E8C499C" w14:textId="77777777" w:rsidR="00000000" w:rsidRDefault="00405D16">
            <w:pPr>
              <w:spacing w:after="100"/>
              <w:jc w:val="right"/>
              <w:rPr>
                <w:rFonts w:eastAsia="Times New Roman"/>
              </w:rPr>
            </w:pPr>
          </w:p>
        </w:tc>
      </w:tr>
      <w:tr w:rsidR="00000000" w14:paraId="043C8E74" w14:textId="77777777">
        <w:trPr>
          <w:divId w:val="1759326263"/>
        </w:trPr>
        <w:tc>
          <w:tcPr>
            <w:tcW w:w="0" w:type="auto"/>
            <w:gridSpan w:val="3"/>
            <w:shd w:val="clear" w:color="auto" w:fill="FFFFFF"/>
            <w:tcMar>
              <w:top w:w="30" w:type="dxa"/>
              <w:left w:w="20" w:type="dxa"/>
              <w:bottom w:w="30" w:type="dxa"/>
              <w:right w:w="20" w:type="dxa"/>
            </w:tcMar>
            <w:vAlign w:val="center"/>
            <w:hideMark/>
          </w:tcPr>
          <w:p w14:paraId="4891A892" w14:textId="77777777" w:rsidR="00000000" w:rsidRDefault="00405D16">
            <w:pPr>
              <w:spacing w:after="100"/>
              <w:rPr>
                <w:rFonts w:eastAsia="Times New Roman"/>
              </w:rPr>
            </w:pPr>
            <w:r>
              <w:rPr>
                <w:rFonts w:eastAsia="Times New Roman"/>
                <w:color w:val="000000"/>
                <w:sz w:val="18"/>
                <w:szCs w:val="18"/>
              </w:rPr>
              <w:t>Foreign exchange contracts:</w:t>
            </w:r>
          </w:p>
        </w:tc>
        <w:tc>
          <w:tcPr>
            <w:tcW w:w="0" w:type="auto"/>
            <w:gridSpan w:val="3"/>
            <w:shd w:val="clear" w:color="auto" w:fill="FFFFFF"/>
            <w:tcMar>
              <w:top w:w="0" w:type="dxa"/>
              <w:left w:w="20" w:type="dxa"/>
              <w:bottom w:w="0" w:type="dxa"/>
              <w:right w:w="20" w:type="dxa"/>
            </w:tcMar>
            <w:vAlign w:val="center"/>
            <w:hideMark/>
          </w:tcPr>
          <w:p w14:paraId="16FCBA44"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82724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671B1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87CAD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7CEFB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0460F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09EE9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1378B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0B538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90E71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FE5744"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66937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34D65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0F765C" w14:textId="77777777" w:rsidR="00000000" w:rsidRDefault="00405D16">
            <w:pPr>
              <w:spacing w:after="100"/>
              <w:rPr>
                <w:rFonts w:eastAsia="Times New Roman"/>
                <w:sz w:val="20"/>
                <w:szCs w:val="20"/>
              </w:rPr>
            </w:pPr>
          </w:p>
        </w:tc>
      </w:tr>
      <w:tr w:rsidR="00000000" w14:paraId="64036F86" w14:textId="77777777">
        <w:trPr>
          <w:divId w:val="1759326263"/>
        </w:trPr>
        <w:tc>
          <w:tcPr>
            <w:tcW w:w="0" w:type="auto"/>
            <w:gridSpan w:val="3"/>
            <w:shd w:val="clear" w:color="auto" w:fill="CCEEFF"/>
            <w:tcMar>
              <w:top w:w="30" w:type="dxa"/>
              <w:left w:w="20" w:type="dxa"/>
              <w:bottom w:w="30" w:type="dxa"/>
              <w:right w:w="20" w:type="dxa"/>
            </w:tcMar>
            <w:vAlign w:val="center"/>
            <w:hideMark/>
          </w:tcPr>
          <w:p w14:paraId="2231A254" w14:textId="77777777" w:rsidR="00000000" w:rsidRDefault="00405D16">
            <w:pPr>
              <w:spacing w:after="100"/>
              <w:divId w:val="685407464"/>
              <w:rPr>
                <w:rFonts w:eastAsia="Times New Roman"/>
              </w:rPr>
            </w:pPr>
            <w:r>
              <w:rPr>
                <w:rFonts w:eastAsia="Times New Roman"/>
                <w:color w:val="000000"/>
                <w:sz w:val="18"/>
                <w:szCs w:val="18"/>
              </w:rPr>
              <w:t>Realized gains (losses) reclassified from AOCI into net incom</w:t>
            </w:r>
            <w:r>
              <w:rPr>
                <w:rFonts w:eastAsia="Times New Roman"/>
                <w:color w:val="000000"/>
                <w:sz w:val="18"/>
                <w:szCs w:val="18"/>
              </w:rPr>
              <w:t>e</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652D2E1B"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14EA77D"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117C2C8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C5AAE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3B75E1"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5126178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6140E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03B3DC" w14:textId="77777777" w:rsidR="00000000" w:rsidRDefault="00405D16">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14:paraId="4417E5E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DA8BE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3517D8"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59E0A2E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D5F47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109229"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56C3FE5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0057F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3AB5AF"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6758BB1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0E23E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83D572" w14:textId="77777777" w:rsidR="00000000" w:rsidRDefault="00405D16">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14:paraId="73A0344D" w14:textId="77777777" w:rsidR="00000000" w:rsidRDefault="00405D16">
            <w:pPr>
              <w:spacing w:after="100"/>
              <w:jc w:val="right"/>
              <w:rPr>
                <w:rFonts w:eastAsia="Times New Roman"/>
              </w:rPr>
            </w:pPr>
          </w:p>
        </w:tc>
      </w:tr>
      <w:tr w:rsidR="00405D16" w14:paraId="78CCD102" w14:textId="77777777">
        <w:trPr>
          <w:divId w:val="1759326263"/>
        </w:trPr>
        <w:tc>
          <w:tcPr>
            <w:tcW w:w="0" w:type="auto"/>
            <w:gridSpan w:val="3"/>
            <w:shd w:val="clear" w:color="auto" w:fill="FFFFFF"/>
            <w:tcMar>
              <w:top w:w="30" w:type="dxa"/>
              <w:left w:w="20" w:type="dxa"/>
              <w:bottom w:w="30" w:type="dxa"/>
              <w:right w:w="20" w:type="dxa"/>
            </w:tcMar>
            <w:vAlign w:val="center"/>
            <w:hideMark/>
          </w:tcPr>
          <w:p w14:paraId="72DA43C4" w14:textId="77777777" w:rsidR="00000000" w:rsidRDefault="00405D16">
            <w:pPr>
              <w:spacing w:after="100"/>
              <w:rPr>
                <w:rFonts w:eastAsia="Times New Roman"/>
              </w:rPr>
            </w:pPr>
            <w:r>
              <w:rPr>
                <w:rFonts w:eastAsia="Times New Roman"/>
                <w:color w:val="000000"/>
                <w:sz w:val="18"/>
                <w:szCs w:val="18"/>
              </w:rPr>
              <w:t>Net income (expense) recognized on cash flow hedges</w:t>
            </w:r>
          </w:p>
        </w:tc>
        <w:tc>
          <w:tcPr>
            <w:tcW w:w="0" w:type="auto"/>
            <w:gridSpan w:val="3"/>
            <w:shd w:val="clear" w:color="auto" w:fill="FFFFFF"/>
            <w:tcMar>
              <w:top w:w="0" w:type="dxa"/>
              <w:left w:w="20" w:type="dxa"/>
              <w:bottom w:w="0" w:type="dxa"/>
              <w:right w:w="20" w:type="dxa"/>
            </w:tcMar>
            <w:vAlign w:val="center"/>
            <w:hideMark/>
          </w:tcPr>
          <w:p w14:paraId="3A66991C"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D0C9806"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730D148" w14:textId="77777777" w:rsidR="00000000" w:rsidRDefault="00405D16">
            <w:pPr>
              <w:spacing w:after="100"/>
              <w:jc w:val="right"/>
              <w:rPr>
                <w:rFonts w:eastAsia="Times New Roman"/>
              </w:rPr>
            </w:pPr>
            <w:r>
              <w:rPr>
                <w:rFonts w:eastAsia="Times New Roman"/>
                <w:color w:val="000000"/>
                <w:sz w:val="18"/>
                <w:szCs w:val="18"/>
              </w:rPr>
              <w:t>17 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6D98C5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EA2054"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AE702DF"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B65DC01" w14:textId="77777777" w:rsidR="00000000" w:rsidRDefault="00405D16">
            <w:pPr>
              <w:spacing w:after="100"/>
              <w:jc w:val="right"/>
              <w:rPr>
                <w:rFonts w:eastAsia="Times New Roman"/>
              </w:rPr>
            </w:pPr>
            <w:r>
              <w:rPr>
                <w:rFonts w:eastAsia="Times New Roman"/>
                <w:color w:val="000000"/>
                <w:sz w:val="18"/>
                <w:szCs w:val="18"/>
              </w:rPr>
              <w:t>330 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DB61F0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D040F5"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658B771"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4824BFC" w14:textId="77777777" w:rsidR="00000000" w:rsidRDefault="00405D16">
            <w:pPr>
              <w:spacing w:after="100"/>
              <w:jc w:val="right"/>
              <w:rPr>
                <w:rFonts w:eastAsia="Times New Roman"/>
              </w:rPr>
            </w:pPr>
            <w:r>
              <w:rPr>
                <w:rFonts w:eastAsia="Times New Roman"/>
                <w:color w:val="000000"/>
                <w:sz w:val="18"/>
                <w:szCs w:val="18"/>
              </w:rPr>
              <w:t>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5A9C58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0BDB15"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AE084F4"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25953B0" w14:textId="77777777" w:rsidR="00000000" w:rsidRDefault="00405D16">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7EC78F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E9FA31"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C300ECF"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AB4C8FB" w14:textId="77777777" w:rsidR="00000000" w:rsidRDefault="00405D16">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48F1E5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8C1C04"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71B9DA4"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97B94C4" w14:textId="77777777" w:rsidR="00000000" w:rsidRDefault="00405D16">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506E42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6C0B9A"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00605CF"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219C193" w14:textId="77777777" w:rsidR="00000000" w:rsidRDefault="00405D16">
            <w:pPr>
              <w:spacing w:after="100"/>
              <w:jc w:val="right"/>
              <w:rPr>
                <w:rFonts w:eastAsia="Times New Roman"/>
              </w:rPr>
            </w:pPr>
            <w:r>
              <w:rPr>
                <w:rFonts w:eastAsia="Times New Roman"/>
                <w:color w:val="000000"/>
                <w:sz w:val="18"/>
                <w:szCs w:val="18"/>
              </w:rPr>
              <w:t>(2)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123E31F" w14:textId="77777777" w:rsidR="00000000" w:rsidRDefault="00405D16">
            <w:pPr>
              <w:spacing w:after="100"/>
              <w:jc w:val="right"/>
              <w:rPr>
                <w:rFonts w:eastAsia="Times New Roman"/>
              </w:rPr>
            </w:pPr>
          </w:p>
        </w:tc>
      </w:tr>
    </w:tbl>
    <w:p w14:paraId="647B3522" w14:textId="77777777" w:rsidR="00000000" w:rsidRDefault="00405D16">
      <w:pPr>
        <w:divId w:val="1759326263"/>
        <w:rPr>
          <w:rFonts w:eastAsia="Times New Roman"/>
        </w:rPr>
      </w:pPr>
      <w:r>
        <w:rPr>
          <w:rFonts w:eastAsia="Times New Roman"/>
          <w:color w:val="000000"/>
          <w:sz w:val="20"/>
          <w:szCs w:val="20"/>
        </w:rPr>
        <w:t>_________</w:t>
      </w:r>
    </w:p>
    <w:p w14:paraId="65B2397C" w14:textId="77777777" w:rsidR="00000000" w:rsidRDefault="00405D16">
      <w:pPr>
        <w:ind w:hanging="360"/>
        <w:jc w:val="both"/>
        <w:divId w:val="131787737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Includes amortization expense of $34 million and benefit of $10 </w:t>
      </w:r>
      <w:r>
        <w:rPr>
          <w:rFonts w:eastAsia="Times New Roman"/>
          <w:color w:val="000000"/>
          <w:sz w:val="16"/>
          <w:szCs w:val="16"/>
        </w:rPr>
        <w:t>million for the three and nine months ended September 30, 2021, respectively, and amortization income of $19 million and expense of $34 million, respectively, for the three and nine months ended September 30, 2020, respectively, related to basis adjustment</w:t>
      </w:r>
      <w:r>
        <w:rPr>
          <w:rFonts w:eastAsia="Times New Roman"/>
          <w:color w:val="000000"/>
          <w:sz w:val="16"/>
          <w:szCs w:val="16"/>
        </w:rPr>
        <w:t>s on discontinued hedges.</w:t>
      </w:r>
    </w:p>
    <w:p w14:paraId="0154259D" w14:textId="77777777" w:rsidR="00000000" w:rsidRDefault="00405D16">
      <w:pPr>
        <w:ind w:hanging="360"/>
        <w:jc w:val="both"/>
        <w:divId w:val="1537429802"/>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Changes in fair values of cross-currency swaps attributable to changes in cross-currency basis spreads are excluded from the assessment of hedge effectiveness and recorded in other comprehensive income. The initial value of the excluded component is recogn</w:t>
      </w:r>
      <w:r>
        <w:rPr>
          <w:rFonts w:eastAsia="Times New Roman"/>
          <w:color w:val="000000"/>
          <w:sz w:val="16"/>
          <w:szCs w:val="16"/>
        </w:rPr>
        <w:t>ized in earnings over the life of the swap under the amortization approach.</w:t>
      </w:r>
    </w:p>
    <w:p w14:paraId="1433AA2A" w14:textId="77777777" w:rsidR="00000000" w:rsidRDefault="00405D16">
      <w:pPr>
        <w:ind w:hanging="360"/>
        <w:jc w:val="both"/>
        <w:divId w:val="1722024271"/>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See “Note 9—Stockholders’ Equity” for the effects of cash flow and net investment hedges on AOCI and amounts reclassified to net income, net of tax.</w:t>
      </w:r>
    </w:p>
    <w:p w14:paraId="1D13D498" w14:textId="77777777" w:rsidR="00000000" w:rsidRDefault="00405D16">
      <w:pPr>
        <w:ind w:hanging="360"/>
        <w:jc w:val="both"/>
        <w:divId w:val="1287153367"/>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We recognized a gain of $</w:t>
      </w:r>
      <w:r>
        <w:rPr>
          <w:rFonts w:eastAsia="Times New Roman"/>
          <w:color w:val="000000"/>
          <w:sz w:val="16"/>
          <w:szCs w:val="16"/>
        </w:rPr>
        <w:t>83 million and $245 million for the three and nine months ended September 30, 2021, respectively, and a loss of $73 million and a gain of $20 million for the three and nine months ended September 30, 2020, respectively, on foreign exchange contracts reclas</w:t>
      </w:r>
      <w:r>
        <w:rPr>
          <w:rFonts w:eastAsia="Times New Roman"/>
          <w:color w:val="000000"/>
          <w:sz w:val="16"/>
          <w:szCs w:val="16"/>
        </w:rPr>
        <w:t>sified from AOCI. These amounts were largely offset by the foreign currency transaction gains (losses) on our foreign currency denominated intercompany funding included in other non-interest income on our consolidated statements of income.</w:t>
      </w:r>
    </w:p>
    <w:p w14:paraId="1CCF8734" w14:textId="77777777" w:rsidR="00000000" w:rsidRDefault="00405D16">
      <w:pPr>
        <w:jc w:val="both"/>
        <w:divId w:val="1599829351"/>
        <w:rPr>
          <w:rFonts w:eastAsia="Times New Roman"/>
        </w:rPr>
      </w:pPr>
      <w:r>
        <w:rPr>
          <w:rFonts w:eastAsia="Times New Roman"/>
          <w:color w:val="000000"/>
          <w:sz w:val="20"/>
          <w:szCs w:val="20"/>
        </w:rPr>
        <w:t>In the next 12 m</w:t>
      </w:r>
      <w:r>
        <w:rPr>
          <w:rFonts w:eastAsia="Times New Roman"/>
          <w:color w:val="000000"/>
          <w:sz w:val="20"/>
          <w:szCs w:val="20"/>
        </w:rPr>
        <w:t>onths, we expect to reclassify into earnings net after-tax gains of $438 million recorded in AOCI as of September 30, 2021. These amounts will offset the cash flows associated with the hedged forecasted transactions. The maximum length of time over which f</w:t>
      </w:r>
      <w:r>
        <w:rPr>
          <w:rFonts w:eastAsia="Times New Roman"/>
          <w:color w:val="000000"/>
          <w:sz w:val="20"/>
          <w:szCs w:val="20"/>
        </w:rPr>
        <w:t>orecasted transactions were hedged was approximately 6.5 years as of September 30, 2021. The amount we expect to reclassify into earnings may change as a result of changes in market conditions and ongoing actions taken as part of our overall risk managemen</w:t>
      </w:r>
      <w:r>
        <w:rPr>
          <w:rFonts w:eastAsia="Times New Roman"/>
          <w:color w:val="000000"/>
          <w:sz w:val="20"/>
          <w:szCs w:val="20"/>
        </w:rPr>
        <w:t>t strategy.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30841EC8" w14:textId="77777777">
        <w:trPr>
          <w:divId w:val="1975521937"/>
          <w:jc w:val="center"/>
        </w:trPr>
        <w:tc>
          <w:tcPr>
            <w:tcW w:w="50" w:type="pct"/>
            <w:vAlign w:val="center"/>
            <w:hideMark/>
          </w:tcPr>
          <w:p w14:paraId="608285A8" w14:textId="77777777" w:rsidR="00000000" w:rsidRDefault="00405D16">
            <w:pPr>
              <w:jc w:val="both"/>
              <w:rPr>
                <w:rFonts w:eastAsia="Times New Roman"/>
              </w:rPr>
            </w:pPr>
          </w:p>
        </w:tc>
        <w:tc>
          <w:tcPr>
            <w:tcW w:w="1606" w:type="pct"/>
            <w:vAlign w:val="center"/>
            <w:hideMark/>
          </w:tcPr>
          <w:p w14:paraId="0A4E633A" w14:textId="77777777" w:rsidR="00000000" w:rsidRDefault="00405D16">
            <w:pPr>
              <w:spacing w:after="100"/>
              <w:rPr>
                <w:rFonts w:eastAsia="Times New Roman"/>
                <w:sz w:val="20"/>
                <w:szCs w:val="20"/>
              </w:rPr>
            </w:pPr>
          </w:p>
        </w:tc>
        <w:tc>
          <w:tcPr>
            <w:tcW w:w="5" w:type="pct"/>
            <w:vAlign w:val="center"/>
            <w:hideMark/>
          </w:tcPr>
          <w:p w14:paraId="7C415420" w14:textId="77777777" w:rsidR="00000000" w:rsidRDefault="00405D16">
            <w:pPr>
              <w:spacing w:after="100"/>
              <w:rPr>
                <w:rFonts w:eastAsia="Times New Roman"/>
                <w:sz w:val="20"/>
                <w:szCs w:val="20"/>
              </w:rPr>
            </w:pPr>
          </w:p>
        </w:tc>
        <w:tc>
          <w:tcPr>
            <w:tcW w:w="50" w:type="pct"/>
            <w:vAlign w:val="center"/>
            <w:hideMark/>
          </w:tcPr>
          <w:p w14:paraId="71454855" w14:textId="77777777" w:rsidR="00000000" w:rsidRDefault="00405D16">
            <w:pPr>
              <w:spacing w:after="100"/>
              <w:rPr>
                <w:rFonts w:eastAsia="Times New Roman"/>
                <w:sz w:val="20"/>
                <w:szCs w:val="20"/>
              </w:rPr>
            </w:pPr>
          </w:p>
        </w:tc>
        <w:tc>
          <w:tcPr>
            <w:tcW w:w="1614" w:type="pct"/>
            <w:vAlign w:val="center"/>
            <w:hideMark/>
          </w:tcPr>
          <w:p w14:paraId="09F4D6B3" w14:textId="77777777" w:rsidR="00000000" w:rsidRDefault="00405D16">
            <w:pPr>
              <w:spacing w:after="100"/>
              <w:rPr>
                <w:rFonts w:eastAsia="Times New Roman"/>
                <w:sz w:val="20"/>
                <w:szCs w:val="20"/>
              </w:rPr>
            </w:pPr>
          </w:p>
        </w:tc>
        <w:tc>
          <w:tcPr>
            <w:tcW w:w="5" w:type="pct"/>
            <w:vAlign w:val="center"/>
            <w:hideMark/>
          </w:tcPr>
          <w:p w14:paraId="10DD4136" w14:textId="77777777" w:rsidR="00000000" w:rsidRDefault="00405D16">
            <w:pPr>
              <w:spacing w:after="100"/>
              <w:rPr>
                <w:rFonts w:eastAsia="Times New Roman"/>
                <w:sz w:val="20"/>
                <w:szCs w:val="20"/>
              </w:rPr>
            </w:pPr>
          </w:p>
        </w:tc>
        <w:tc>
          <w:tcPr>
            <w:tcW w:w="50" w:type="pct"/>
            <w:vAlign w:val="center"/>
            <w:hideMark/>
          </w:tcPr>
          <w:p w14:paraId="131B603B" w14:textId="77777777" w:rsidR="00000000" w:rsidRDefault="00405D16">
            <w:pPr>
              <w:spacing w:after="100"/>
              <w:rPr>
                <w:rFonts w:eastAsia="Times New Roman"/>
                <w:sz w:val="20"/>
                <w:szCs w:val="20"/>
              </w:rPr>
            </w:pPr>
          </w:p>
        </w:tc>
        <w:tc>
          <w:tcPr>
            <w:tcW w:w="1614" w:type="pct"/>
            <w:vAlign w:val="center"/>
            <w:hideMark/>
          </w:tcPr>
          <w:p w14:paraId="1C475FF9" w14:textId="77777777" w:rsidR="00000000" w:rsidRDefault="00405D16">
            <w:pPr>
              <w:spacing w:after="100"/>
              <w:rPr>
                <w:rFonts w:eastAsia="Times New Roman"/>
                <w:sz w:val="20"/>
                <w:szCs w:val="20"/>
              </w:rPr>
            </w:pPr>
          </w:p>
        </w:tc>
        <w:tc>
          <w:tcPr>
            <w:tcW w:w="5" w:type="pct"/>
            <w:vAlign w:val="center"/>
            <w:hideMark/>
          </w:tcPr>
          <w:p w14:paraId="79399132" w14:textId="77777777" w:rsidR="00000000" w:rsidRDefault="00405D16">
            <w:pPr>
              <w:spacing w:after="100"/>
              <w:rPr>
                <w:rFonts w:eastAsia="Times New Roman"/>
                <w:sz w:val="20"/>
                <w:szCs w:val="20"/>
              </w:rPr>
            </w:pPr>
          </w:p>
        </w:tc>
      </w:tr>
      <w:tr w:rsidR="00000000" w14:paraId="548E61EB" w14:textId="77777777">
        <w:trPr>
          <w:divId w:val="1975521937"/>
          <w:trHeight w:val="300"/>
          <w:jc w:val="center"/>
        </w:trPr>
        <w:tc>
          <w:tcPr>
            <w:tcW w:w="0" w:type="auto"/>
            <w:gridSpan w:val="9"/>
            <w:tcMar>
              <w:top w:w="0" w:type="dxa"/>
              <w:left w:w="20" w:type="dxa"/>
              <w:bottom w:w="0" w:type="dxa"/>
              <w:right w:w="20" w:type="dxa"/>
            </w:tcMar>
            <w:vAlign w:val="center"/>
            <w:hideMark/>
          </w:tcPr>
          <w:p w14:paraId="579D9C9F" w14:textId="77777777" w:rsidR="00000000" w:rsidRDefault="00405D16">
            <w:pPr>
              <w:spacing w:after="100"/>
              <w:rPr>
                <w:rFonts w:eastAsia="Times New Roman"/>
                <w:sz w:val="20"/>
                <w:szCs w:val="20"/>
              </w:rPr>
            </w:pPr>
          </w:p>
        </w:tc>
      </w:tr>
      <w:tr w:rsidR="00000000" w14:paraId="3E95CD75" w14:textId="77777777">
        <w:trPr>
          <w:divId w:val="1975521937"/>
          <w:jc w:val="center"/>
        </w:trPr>
        <w:tc>
          <w:tcPr>
            <w:tcW w:w="0" w:type="auto"/>
            <w:gridSpan w:val="3"/>
            <w:tcMar>
              <w:top w:w="0" w:type="dxa"/>
              <w:left w:w="20" w:type="dxa"/>
              <w:bottom w:w="0" w:type="dxa"/>
              <w:right w:w="20" w:type="dxa"/>
            </w:tcMar>
            <w:vAlign w:val="center"/>
            <w:hideMark/>
          </w:tcPr>
          <w:p w14:paraId="754F4C42"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E2D82A6" w14:textId="77777777" w:rsidR="00000000" w:rsidRDefault="00405D16">
            <w:pPr>
              <w:spacing w:after="100"/>
              <w:jc w:val="center"/>
              <w:rPr>
                <w:rFonts w:eastAsia="Times New Roman"/>
              </w:rPr>
            </w:pPr>
            <w:r>
              <w:rPr>
                <w:rFonts w:eastAsia="Times New Roman"/>
                <w:color w:val="000000"/>
                <w:sz w:val="16"/>
                <w:szCs w:val="16"/>
              </w:rPr>
              <w:t>110</w:t>
            </w:r>
          </w:p>
        </w:tc>
        <w:tc>
          <w:tcPr>
            <w:tcW w:w="0" w:type="auto"/>
            <w:gridSpan w:val="3"/>
            <w:tcMar>
              <w:top w:w="30" w:type="dxa"/>
              <w:left w:w="20" w:type="dxa"/>
              <w:bottom w:w="30" w:type="dxa"/>
              <w:right w:w="20" w:type="dxa"/>
            </w:tcMar>
            <w:vAlign w:val="bottom"/>
            <w:hideMark/>
          </w:tcPr>
          <w:p w14:paraId="32FA121E"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13F7E310" w14:textId="77777777" w:rsidR="00000000" w:rsidRDefault="00405D16">
      <w:pPr>
        <w:rPr>
          <w:rFonts w:eastAsia="Times New Roman"/>
        </w:rPr>
      </w:pPr>
      <w:r>
        <w:rPr>
          <w:rFonts w:eastAsia="Times New Roman"/>
        </w:rPr>
        <w:pict w14:anchorId="3BF048C8">
          <v:rect id="_x0000_i1135" style="width:0;height:1.5pt" o:hralign="center" o:hrstd="t" o:hr="t" fillcolor="#a0a0a0" stroked="f"/>
        </w:pict>
      </w:r>
    </w:p>
    <w:p w14:paraId="27CEA352" w14:textId="77777777" w:rsidR="00000000" w:rsidRDefault="00405D16">
      <w:pPr>
        <w:jc w:val="both"/>
        <w:divId w:val="1795445590"/>
        <w:rPr>
          <w:rFonts w:eastAsia="Times New Roman"/>
        </w:rPr>
      </w:pPr>
      <w:hyperlink w:anchor="idd54a04a485440b4ab4e56094c14d612_13" w:history="1">
        <w:r>
          <w:rPr>
            <w:rStyle w:val="a3"/>
            <w:rFonts w:eastAsia="Times New Roman"/>
            <w:sz w:val="16"/>
            <w:szCs w:val="16"/>
          </w:rPr>
          <w:t>Table of Contents</w:t>
        </w:r>
      </w:hyperlink>
    </w:p>
    <w:p w14:paraId="3D5C57B5" w14:textId="77777777" w:rsidR="00000000" w:rsidRDefault="00405D16">
      <w:pPr>
        <w:jc w:val="center"/>
        <w:divId w:val="1795445590"/>
        <w:rPr>
          <w:rFonts w:eastAsia="Times New Roman"/>
        </w:rPr>
      </w:pPr>
    </w:p>
    <w:p w14:paraId="1A9D8935" w14:textId="77777777" w:rsidR="00000000" w:rsidRDefault="00405D16">
      <w:pPr>
        <w:divId w:val="694815579"/>
        <w:rPr>
          <w:rFonts w:eastAsia="Times New Roman"/>
        </w:rPr>
      </w:pPr>
      <w:r>
        <w:rPr>
          <w:rFonts w:eastAsia="Times New Roman"/>
          <w:b/>
          <w:bCs/>
          <w:i/>
          <w:iCs/>
          <w:color w:val="000000"/>
          <w:sz w:val="20"/>
          <w:szCs w:val="20"/>
        </w:rPr>
        <w:t>Free-Standing Derivatives</w:t>
      </w:r>
    </w:p>
    <w:p w14:paraId="28A5708D" w14:textId="77777777" w:rsidR="00000000" w:rsidRDefault="00405D16">
      <w:pPr>
        <w:jc w:val="both"/>
        <w:divId w:val="930165516"/>
        <w:rPr>
          <w:rFonts w:eastAsia="Times New Roman"/>
        </w:rPr>
      </w:pPr>
      <w:r>
        <w:rPr>
          <w:rFonts w:eastAsia="Times New Roman"/>
          <w:color w:val="000000"/>
          <w:sz w:val="20"/>
          <w:szCs w:val="20"/>
        </w:rPr>
        <w:t>The net impacts to our consolidated statements of income related to free-standing derivatives are presented below f</w:t>
      </w:r>
      <w:r>
        <w:rPr>
          <w:rFonts w:eastAsia="Times New Roman"/>
          <w:color w:val="000000"/>
          <w:sz w:val="20"/>
          <w:szCs w:val="20"/>
        </w:rPr>
        <w:t>or the three and nine months ended September 30, 2021 and 2020. These gains or losses are recognized in other non-interest income on our consolidated statements of income.</w:t>
      </w:r>
    </w:p>
    <w:p w14:paraId="6DDB90D6" w14:textId="77777777" w:rsidR="00000000" w:rsidRDefault="00405D16">
      <w:pPr>
        <w:divId w:val="1668900545"/>
        <w:rPr>
          <w:rFonts w:eastAsia="Times New Roman"/>
        </w:rPr>
      </w:pPr>
      <w:r>
        <w:rPr>
          <w:rFonts w:eastAsia="Times New Roman"/>
          <w:b/>
          <w:bCs/>
          <w:color w:val="000000"/>
          <w:sz w:val="18"/>
          <w:szCs w:val="18"/>
        </w:rPr>
        <w:t>Table 8.5: Gains (Losses) on Free-Standing Derivatives</w:t>
      </w:r>
    </w:p>
    <w:tbl>
      <w:tblPr>
        <w:tblW w:w="5000" w:type="pct"/>
        <w:tblCellMar>
          <w:top w:w="15" w:type="dxa"/>
          <w:left w:w="15" w:type="dxa"/>
          <w:bottom w:w="15" w:type="dxa"/>
          <w:right w:w="15" w:type="dxa"/>
        </w:tblCellMar>
        <w:tblLook w:val="04A0" w:firstRow="1" w:lastRow="0" w:firstColumn="1" w:lastColumn="0" w:noHBand="0" w:noVBand="1"/>
      </w:tblPr>
      <w:tblGrid>
        <w:gridCol w:w="39"/>
        <w:gridCol w:w="3593"/>
        <w:gridCol w:w="38"/>
        <w:gridCol w:w="36"/>
        <w:gridCol w:w="36"/>
        <w:gridCol w:w="36"/>
        <w:gridCol w:w="110"/>
        <w:gridCol w:w="856"/>
        <w:gridCol w:w="36"/>
        <w:gridCol w:w="36"/>
        <w:gridCol w:w="36"/>
        <w:gridCol w:w="36"/>
        <w:gridCol w:w="110"/>
        <w:gridCol w:w="856"/>
        <w:gridCol w:w="36"/>
        <w:gridCol w:w="36"/>
        <w:gridCol w:w="36"/>
        <w:gridCol w:w="36"/>
        <w:gridCol w:w="110"/>
        <w:gridCol w:w="918"/>
        <w:gridCol w:w="36"/>
        <w:gridCol w:w="36"/>
        <w:gridCol w:w="36"/>
        <w:gridCol w:w="36"/>
        <w:gridCol w:w="110"/>
        <w:gridCol w:w="918"/>
        <w:gridCol w:w="36"/>
        <w:gridCol w:w="36"/>
        <w:gridCol w:w="36"/>
      </w:tblGrid>
      <w:tr w:rsidR="00000000" w14:paraId="1F0644DC" w14:textId="77777777">
        <w:trPr>
          <w:divId w:val="309217632"/>
        </w:trPr>
        <w:tc>
          <w:tcPr>
            <w:tcW w:w="50" w:type="pct"/>
            <w:vAlign w:val="center"/>
            <w:hideMark/>
          </w:tcPr>
          <w:p w14:paraId="1B5043C0" w14:textId="77777777" w:rsidR="00000000" w:rsidRDefault="00405D16">
            <w:pPr>
              <w:rPr>
                <w:rFonts w:eastAsia="Times New Roman"/>
              </w:rPr>
            </w:pPr>
          </w:p>
        </w:tc>
        <w:tc>
          <w:tcPr>
            <w:tcW w:w="2211" w:type="pct"/>
            <w:vAlign w:val="center"/>
            <w:hideMark/>
          </w:tcPr>
          <w:p w14:paraId="7143E6B4" w14:textId="77777777" w:rsidR="00000000" w:rsidRDefault="00405D16">
            <w:pPr>
              <w:spacing w:after="100"/>
              <w:rPr>
                <w:rFonts w:eastAsia="Times New Roman"/>
                <w:sz w:val="20"/>
                <w:szCs w:val="20"/>
              </w:rPr>
            </w:pPr>
          </w:p>
        </w:tc>
        <w:tc>
          <w:tcPr>
            <w:tcW w:w="5" w:type="pct"/>
            <w:vAlign w:val="center"/>
            <w:hideMark/>
          </w:tcPr>
          <w:p w14:paraId="54F66BF2" w14:textId="77777777" w:rsidR="00000000" w:rsidRDefault="00405D16">
            <w:pPr>
              <w:spacing w:after="100"/>
              <w:rPr>
                <w:rFonts w:eastAsia="Times New Roman"/>
                <w:sz w:val="20"/>
                <w:szCs w:val="20"/>
              </w:rPr>
            </w:pPr>
          </w:p>
        </w:tc>
        <w:tc>
          <w:tcPr>
            <w:tcW w:w="5" w:type="pct"/>
            <w:vAlign w:val="center"/>
            <w:hideMark/>
          </w:tcPr>
          <w:p w14:paraId="0C97F3C4" w14:textId="77777777" w:rsidR="00000000" w:rsidRDefault="00405D16">
            <w:pPr>
              <w:spacing w:after="100"/>
              <w:rPr>
                <w:rFonts w:eastAsia="Times New Roman"/>
                <w:sz w:val="20"/>
                <w:szCs w:val="20"/>
              </w:rPr>
            </w:pPr>
          </w:p>
        </w:tc>
        <w:tc>
          <w:tcPr>
            <w:tcW w:w="26" w:type="pct"/>
            <w:vAlign w:val="center"/>
            <w:hideMark/>
          </w:tcPr>
          <w:p w14:paraId="3C6F594E" w14:textId="77777777" w:rsidR="00000000" w:rsidRDefault="00405D16">
            <w:pPr>
              <w:spacing w:after="100"/>
              <w:rPr>
                <w:rFonts w:eastAsia="Times New Roman"/>
                <w:sz w:val="20"/>
                <w:szCs w:val="20"/>
              </w:rPr>
            </w:pPr>
          </w:p>
        </w:tc>
        <w:tc>
          <w:tcPr>
            <w:tcW w:w="5" w:type="pct"/>
            <w:vAlign w:val="center"/>
            <w:hideMark/>
          </w:tcPr>
          <w:p w14:paraId="16C1DA88" w14:textId="77777777" w:rsidR="00000000" w:rsidRDefault="00405D16">
            <w:pPr>
              <w:spacing w:after="100"/>
              <w:rPr>
                <w:rFonts w:eastAsia="Times New Roman"/>
                <w:sz w:val="20"/>
                <w:szCs w:val="20"/>
              </w:rPr>
            </w:pPr>
          </w:p>
        </w:tc>
        <w:tc>
          <w:tcPr>
            <w:tcW w:w="50" w:type="pct"/>
            <w:vAlign w:val="center"/>
            <w:hideMark/>
          </w:tcPr>
          <w:p w14:paraId="25E95B0A" w14:textId="77777777" w:rsidR="00000000" w:rsidRDefault="00405D16">
            <w:pPr>
              <w:spacing w:after="100"/>
              <w:rPr>
                <w:rFonts w:eastAsia="Times New Roman"/>
                <w:sz w:val="20"/>
                <w:szCs w:val="20"/>
              </w:rPr>
            </w:pPr>
          </w:p>
        </w:tc>
        <w:tc>
          <w:tcPr>
            <w:tcW w:w="573" w:type="pct"/>
            <w:vAlign w:val="center"/>
            <w:hideMark/>
          </w:tcPr>
          <w:p w14:paraId="04565AFD" w14:textId="77777777" w:rsidR="00000000" w:rsidRDefault="00405D16">
            <w:pPr>
              <w:spacing w:after="100"/>
              <w:rPr>
                <w:rFonts w:eastAsia="Times New Roman"/>
                <w:sz w:val="20"/>
                <w:szCs w:val="20"/>
              </w:rPr>
            </w:pPr>
          </w:p>
        </w:tc>
        <w:tc>
          <w:tcPr>
            <w:tcW w:w="5" w:type="pct"/>
            <w:vAlign w:val="center"/>
            <w:hideMark/>
          </w:tcPr>
          <w:p w14:paraId="7FED52E7" w14:textId="77777777" w:rsidR="00000000" w:rsidRDefault="00405D16">
            <w:pPr>
              <w:spacing w:after="100"/>
              <w:rPr>
                <w:rFonts w:eastAsia="Times New Roman"/>
                <w:sz w:val="20"/>
                <w:szCs w:val="20"/>
              </w:rPr>
            </w:pPr>
          </w:p>
        </w:tc>
        <w:tc>
          <w:tcPr>
            <w:tcW w:w="5" w:type="pct"/>
            <w:vAlign w:val="center"/>
            <w:hideMark/>
          </w:tcPr>
          <w:p w14:paraId="4E92748F" w14:textId="77777777" w:rsidR="00000000" w:rsidRDefault="00405D16">
            <w:pPr>
              <w:spacing w:after="100"/>
              <w:rPr>
                <w:rFonts w:eastAsia="Times New Roman"/>
                <w:sz w:val="20"/>
                <w:szCs w:val="20"/>
              </w:rPr>
            </w:pPr>
          </w:p>
        </w:tc>
        <w:tc>
          <w:tcPr>
            <w:tcW w:w="26" w:type="pct"/>
            <w:vAlign w:val="center"/>
            <w:hideMark/>
          </w:tcPr>
          <w:p w14:paraId="638E698A" w14:textId="77777777" w:rsidR="00000000" w:rsidRDefault="00405D16">
            <w:pPr>
              <w:spacing w:after="100"/>
              <w:rPr>
                <w:rFonts w:eastAsia="Times New Roman"/>
                <w:sz w:val="20"/>
                <w:szCs w:val="20"/>
              </w:rPr>
            </w:pPr>
          </w:p>
        </w:tc>
        <w:tc>
          <w:tcPr>
            <w:tcW w:w="5" w:type="pct"/>
            <w:vAlign w:val="center"/>
            <w:hideMark/>
          </w:tcPr>
          <w:p w14:paraId="6973B9EF" w14:textId="77777777" w:rsidR="00000000" w:rsidRDefault="00405D16">
            <w:pPr>
              <w:spacing w:after="100"/>
              <w:rPr>
                <w:rFonts w:eastAsia="Times New Roman"/>
                <w:sz w:val="20"/>
                <w:szCs w:val="20"/>
              </w:rPr>
            </w:pPr>
          </w:p>
        </w:tc>
        <w:tc>
          <w:tcPr>
            <w:tcW w:w="50" w:type="pct"/>
            <w:vAlign w:val="center"/>
            <w:hideMark/>
          </w:tcPr>
          <w:p w14:paraId="17B0E7C2" w14:textId="77777777" w:rsidR="00000000" w:rsidRDefault="00405D16">
            <w:pPr>
              <w:spacing w:after="100"/>
              <w:rPr>
                <w:rFonts w:eastAsia="Times New Roman"/>
                <w:sz w:val="20"/>
                <w:szCs w:val="20"/>
              </w:rPr>
            </w:pPr>
          </w:p>
        </w:tc>
        <w:tc>
          <w:tcPr>
            <w:tcW w:w="573" w:type="pct"/>
            <w:vAlign w:val="center"/>
            <w:hideMark/>
          </w:tcPr>
          <w:p w14:paraId="78B7C076" w14:textId="77777777" w:rsidR="00000000" w:rsidRDefault="00405D16">
            <w:pPr>
              <w:spacing w:after="100"/>
              <w:rPr>
                <w:rFonts w:eastAsia="Times New Roman"/>
                <w:sz w:val="20"/>
                <w:szCs w:val="20"/>
              </w:rPr>
            </w:pPr>
          </w:p>
        </w:tc>
        <w:tc>
          <w:tcPr>
            <w:tcW w:w="5" w:type="pct"/>
            <w:vAlign w:val="center"/>
            <w:hideMark/>
          </w:tcPr>
          <w:p w14:paraId="3C5F578B" w14:textId="77777777" w:rsidR="00000000" w:rsidRDefault="00405D16">
            <w:pPr>
              <w:spacing w:after="100"/>
              <w:rPr>
                <w:rFonts w:eastAsia="Times New Roman"/>
                <w:sz w:val="20"/>
                <w:szCs w:val="20"/>
              </w:rPr>
            </w:pPr>
          </w:p>
        </w:tc>
        <w:tc>
          <w:tcPr>
            <w:tcW w:w="5" w:type="pct"/>
            <w:vAlign w:val="center"/>
            <w:hideMark/>
          </w:tcPr>
          <w:p w14:paraId="30AE3FE5" w14:textId="77777777" w:rsidR="00000000" w:rsidRDefault="00405D16">
            <w:pPr>
              <w:spacing w:after="100"/>
              <w:rPr>
                <w:rFonts w:eastAsia="Times New Roman"/>
                <w:sz w:val="20"/>
                <w:szCs w:val="20"/>
              </w:rPr>
            </w:pPr>
          </w:p>
        </w:tc>
        <w:tc>
          <w:tcPr>
            <w:tcW w:w="26" w:type="pct"/>
            <w:vAlign w:val="center"/>
            <w:hideMark/>
          </w:tcPr>
          <w:p w14:paraId="27D60A36" w14:textId="77777777" w:rsidR="00000000" w:rsidRDefault="00405D16">
            <w:pPr>
              <w:spacing w:after="100"/>
              <w:rPr>
                <w:rFonts w:eastAsia="Times New Roman"/>
                <w:sz w:val="20"/>
                <w:szCs w:val="20"/>
              </w:rPr>
            </w:pPr>
          </w:p>
        </w:tc>
        <w:tc>
          <w:tcPr>
            <w:tcW w:w="5" w:type="pct"/>
            <w:vAlign w:val="center"/>
            <w:hideMark/>
          </w:tcPr>
          <w:p w14:paraId="5952812C" w14:textId="77777777" w:rsidR="00000000" w:rsidRDefault="00405D16">
            <w:pPr>
              <w:spacing w:after="100"/>
              <w:rPr>
                <w:rFonts w:eastAsia="Times New Roman"/>
                <w:sz w:val="20"/>
                <w:szCs w:val="20"/>
              </w:rPr>
            </w:pPr>
          </w:p>
        </w:tc>
        <w:tc>
          <w:tcPr>
            <w:tcW w:w="50" w:type="pct"/>
            <w:vAlign w:val="center"/>
            <w:hideMark/>
          </w:tcPr>
          <w:p w14:paraId="4D3260BB" w14:textId="77777777" w:rsidR="00000000" w:rsidRDefault="00405D16">
            <w:pPr>
              <w:spacing w:after="100"/>
              <w:rPr>
                <w:rFonts w:eastAsia="Times New Roman"/>
                <w:sz w:val="20"/>
                <w:szCs w:val="20"/>
              </w:rPr>
            </w:pPr>
          </w:p>
        </w:tc>
        <w:tc>
          <w:tcPr>
            <w:tcW w:w="610" w:type="pct"/>
            <w:vAlign w:val="center"/>
            <w:hideMark/>
          </w:tcPr>
          <w:p w14:paraId="20B5C76B" w14:textId="77777777" w:rsidR="00000000" w:rsidRDefault="00405D16">
            <w:pPr>
              <w:spacing w:after="100"/>
              <w:rPr>
                <w:rFonts w:eastAsia="Times New Roman"/>
                <w:sz w:val="20"/>
                <w:szCs w:val="20"/>
              </w:rPr>
            </w:pPr>
          </w:p>
        </w:tc>
        <w:tc>
          <w:tcPr>
            <w:tcW w:w="5" w:type="pct"/>
            <w:vAlign w:val="center"/>
            <w:hideMark/>
          </w:tcPr>
          <w:p w14:paraId="78B01368" w14:textId="77777777" w:rsidR="00000000" w:rsidRDefault="00405D16">
            <w:pPr>
              <w:spacing w:after="100"/>
              <w:rPr>
                <w:rFonts w:eastAsia="Times New Roman"/>
                <w:sz w:val="20"/>
                <w:szCs w:val="20"/>
              </w:rPr>
            </w:pPr>
          </w:p>
        </w:tc>
        <w:tc>
          <w:tcPr>
            <w:tcW w:w="5" w:type="pct"/>
            <w:vAlign w:val="center"/>
            <w:hideMark/>
          </w:tcPr>
          <w:p w14:paraId="15E57E2F" w14:textId="77777777" w:rsidR="00000000" w:rsidRDefault="00405D16">
            <w:pPr>
              <w:spacing w:after="100"/>
              <w:rPr>
                <w:rFonts w:eastAsia="Times New Roman"/>
                <w:sz w:val="20"/>
                <w:szCs w:val="20"/>
              </w:rPr>
            </w:pPr>
          </w:p>
        </w:tc>
        <w:tc>
          <w:tcPr>
            <w:tcW w:w="26" w:type="pct"/>
            <w:vAlign w:val="center"/>
            <w:hideMark/>
          </w:tcPr>
          <w:p w14:paraId="20269F3A" w14:textId="77777777" w:rsidR="00000000" w:rsidRDefault="00405D16">
            <w:pPr>
              <w:spacing w:after="100"/>
              <w:rPr>
                <w:rFonts w:eastAsia="Times New Roman"/>
                <w:sz w:val="20"/>
                <w:szCs w:val="20"/>
              </w:rPr>
            </w:pPr>
          </w:p>
        </w:tc>
        <w:tc>
          <w:tcPr>
            <w:tcW w:w="5" w:type="pct"/>
            <w:vAlign w:val="center"/>
            <w:hideMark/>
          </w:tcPr>
          <w:p w14:paraId="04B738DC" w14:textId="77777777" w:rsidR="00000000" w:rsidRDefault="00405D16">
            <w:pPr>
              <w:spacing w:after="100"/>
              <w:rPr>
                <w:rFonts w:eastAsia="Times New Roman"/>
                <w:sz w:val="20"/>
                <w:szCs w:val="20"/>
              </w:rPr>
            </w:pPr>
          </w:p>
        </w:tc>
        <w:tc>
          <w:tcPr>
            <w:tcW w:w="50" w:type="pct"/>
            <w:vAlign w:val="center"/>
            <w:hideMark/>
          </w:tcPr>
          <w:p w14:paraId="040CF9A9" w14:textId="77777777" w:rsidR="00000000" w:rsidRDefault="00405D16">
            <w:pPr>
              <w:spacing w:after="100"/>
              <w:rPr>
                <w:rFonts w:eastAsia="Times New Roman"/>
                <w:sz w:val="20"/>
                <w:szCs w:val="20"/>
              </w:rPr>
            </w:pPr>
          </w:p>
        </w:tc>
        <w:tc>
          <w:tcPr>
            <w:tcW w:w="610" w:type="pct"/>
            <w:vAlign w:val="center"/>
            <w:hideMark/>
          </w:tcPr>
          <w:p w14:paraId="00D2828B" w14:textId="77777777" w:rsidR="00000000" w:rsidRDefault="00405D16">
            <w:pPr>
              <w:spacing w:after="100"/>
              <w:rPr>
                <w:rFonts w:eastAsia="Times New Roman"/>
                <w:sz w:val="20"/>
                <w:szCs w:val="20"/>
              </w:rPr>
            </w:pPr>
          </w:p>
        </w:tc>
        <w:tc>
          <w:tcPr>
            <w:tcW w:w="5" w:type="pct"/>
            <w:vAlign w:val="center"/>
            <w:hideMark/>
          </w:tcPr>
          <w:p w14:paraId="26E6C02D" w14:textId="77777777" w:rsidR="00000000" w:rsidRDefault="00405D16">
            <w:pPr>
              <w:spacing w:after="100"/>
              <w:rPr>
                <w:rFonts w:eastAsia="Times New Roman"/>
                <w:sz w:val="20"/>
                <w:szCs w:val="20"/>
              </w:rPr>
            </w:pPr>
          </w:p>
        </w:tc>
        <w:tc>
          <w:tcPr>
            <w:tcW w:w="0" w:type="auto"/>
            <w:vAlign w:val="center"/>
            <w:hideMark/>
          </w:tcPr>
          <w:p w14:paraId="7D67423B" w14:textId="77777777" w:rsidR="00000000" w:rsidRDefault="00405D16">
            <w:pPr>
              <w:spacing w:after="100"/>
              <w:rPr>
                <w:rFonts w:eastAsia="Times New Roman"/>
                <w:sz w:val="20"/>
                <w:szCs w:val="20"/>
              </w:rPr>
            </w:pPr>
          </w:p>
        </w:tc>
        <w:tc>
          <w:tcPr>
            <w:tcW w:w="0" w:type="auto"/>
            <w:vAlign w:val="center"/>
            <w:hideMark/>
          </w:tcPr>
          <w:p w14:paraId="7D64CC80" w14:textId="77777777" w:rsidR="00000000" w:rsidRDefault="00405D16">
            <w:pPr>
              <w:spacing w:after="100"/>
              <w:rPr>
                <w:rFonts w:eastAsia="Times New Roman"/>
                <w:sz w:val="20"/>
                <w:szCs w:val="20"/>
              </w:rPr>
            </w:pPr>
          </w:p>
        </w:tc>
      </w:tr>
      <w:tr w:rsidR="00000000" w14:paraId="69FE1FB0" w14:textId="77777777">
        <w:trPr>
          <w:divId w:val="309217632"/>
        </w:trPr>
        <w:tc>
          <w:tcPr>
            <w:tcW w:w="0" w:type="auto"/>
            <w:gridSpan w:val="3"/>
            <w:tcMar>
              <w:top w:w="0" w:type="dxa"/>
              <w:left w:w="20" w:type="dxa"/>
              <w:bottom w:w="0" w:type="dxa"/>
              <w:right w:w="20" w:type="dxa"/>
            </w:tcMar>
            <w:vAlign w:val="center"/>
            <w:hideMark/>
          </w:tcPr>
          <w:p w14:paraId="4E8C7739"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DC6B499" w14:textId="77777777" w:rsidR="00000000" w:rsidRDefault="00405D1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4B0B4B31" w14:textId="77777777" w:rsidR="00000000" w:rsidRDefault="00405D16">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0B506927" w14:textId="77777777" w:rsidR="00000000" w:rsidRDefault="00405D1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6DEA22F" w14:textId="77777777" w:rsidR="00000000" w:rsidRDefault="00405D16">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4600B493" w14:textId="77777777" w:rsidR="00000000" w:rsidRDefault="00405D16">
            <w:pPr>
              <w:spacing w:after="100"/>
              <w:jc w:val="center"/>
              <w:rPr>
                <w:rFonts w:eastAsia="Times New Roman"/>
              </w:rPr>
            </w:pPr>
          </w:p>
        </w:tc>
        <w:tc>
          <w:tcPr>
            <w:tcW w:w="0" w:type="auto"/>
            <w:vAlign w:val="center"/>
            <w:hideMark/>
          </w:tcPr>
          <w:p w14:paraId="241C3A87" w14:textId="77777777" w:rsidR="00000000" w:rsidRDefault="00405D16">
            <w:pPr>
              <w:spacing w:after="100"/>
              <w:rPr>
                <w:rFonts w:eastAsia="Times New Roman"/>
                <w:sz w:val="20"/>
                <w:szCs w:val="20"/>
              </w:rPr>
            </w:pPr>
          </w:p>
        </w:tc>
      </w:tr>
      <w:tr w:rsidR="00000000" w14:paraId="775D9D69" w14:textId="77777777">
        <w:trPr>
          <w:divId w:val="309217632"/>
        </w:trPr>
        <w:tc>
          <w:tcPr>
            <w:tcW w:w="0" w:type="auto"/>
            <w:gridSpan w:val="3"/>
            <w:tcMar>
              <w:top w:w="30" w:type="dxa"/>
              <w:left w:w="20" w:type="dxa"/>
              <w:bottom w:w="30" w:type="dxa"/>
              <w:right w:w="20" w:type="dxa"/>
            </w:tcMar>
            <w:vAlign w:val="bottom"/>
            <w:hideMark/>
          </w:tcPr>
          <w:p w14:paraId="55128A30"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434C38D1"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E2C7A8C"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6B6637C8"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B76D536"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28DE65A4"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6EE0311"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23F88FC0"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1AF73DF"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vAlign w:val="center"/>
            <w:hideMark/>
          </w:tcPr>
          <w:p w14:paraId="12FCF18E" w14:textId="77777777" w:rsidR="00000000" w:rsidRDefault="00405D16">
            <w:pPr>
              <w:spacing w:after="100"/>
              <w:jc w:val="center"/>
              <w:rPr>
                <w:rFonts w:eastAsia="Times New Roman"/>
              </w:rPr>
            </w:pPr>
          </w:p>
        </w:tc>
        <w:tc>
          <w:tcPr>
            <w:tcW w:w="0" w:type="auto"/>
            <w:vAlign w:val="center"/>
            <w:hideMark/>
          </w:tcPr>
          <w:p w14:paraId="0CCB8944" w14:textId="77777777" w:rsidR="00000000" w:rsidRDefault="00405D16">
            <w:pPr>
              <w:spacing w:after="100"/>
              <w:rPr>
                <w:rFonts w:eastAsia="Times New Roman"/>
                <w:sz w:val="20"/>
                <w:szCs w:val="20"/>
              </w:rPr>
            </w:pPr>
          </w:p>
        </w:tc>
      </w:tr>
      <w:tr w:rsidR="00000000" w14:paraId="61B5BFCC" w14:textId="77777777">
        <w:trPr>
          <w:divId w:val="30921763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5D6CCFAF" w14:textId="77777777" w:rsidR="00000000" w:rsidRDefault="00405D16">
            <w:pPr>
              <w:spacing w:after="100"/>
              <w:rPr>
                <w:rFonts w:eastAsia="Times New Roman"/>
              </w:rPr>
            </w:pPr>
            <w:r>
              <w:rPr>
                <w:rFonts w:eastAsia="Times New Roman"/>
                <w:b/>
                <w:bCs/>
                <w:color w:val="000000"/>
                <w:sz w:val="18"/>
                <w:szCs w:val="18"/>
              </w:rPr>
              <w:t>Gains (losses) recognized in other non-interest income:</w:t>
            </w:r>
          </w:p>
        </w:tc>
        <w:tc>
          <w:tcPr>
            <w:tcW w:w="0" w:type="auto"/>
            <w:gridSpan w:val="3"/>
            <w:shd w:val="clear" w:color="auto" w:fill="CCEEFF"/>
            <w:tcMar>
              <w:top w:w="0" w:type="dxa"/>
              <w:left w:w="20" w:type="dxa"/>
              <w:bottom w:w="0" w:type="dxa"/>
              <w:right w:w="20" w:type="dxa"/>
            </w:tcMar>
            <w:vAlign w:val="center"/>
            <w:hideMark/>
          </w:tcPr>
          <w:p w14:paraId="3268673C"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A4D298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3F4436"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F28A47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3AECDC"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09D763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CDAC1E"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450F050" w14:textId="77777777" w:rsidR="00000000" w:rsidRDefault="00405D16">
            <w:pPr>
              <w:spacing w:after="100"/>
              <w:rPr>
                <w:rFonts w:eastAsia="Times New Roman"/>
                <w:sz w:val="20"/>
                <w:szCs w:val="20"/>
              </w:rPr>
            </w:pPr>
          </w:p>
        </w:tc>
        <w:tc>
          <w:tcPr>
            <w:tcW w:w="0" w:type="auto"/>
            <w:vAlign w:val="center"/>
            <w:hideMark/>
          </w:tcPr>
          <w:p w14:paraId="201FF8D1" w14:textId="77777777" w:rsidR="00000000" w:rsidRDefault="00405D16">
            <w:pPr>
              <w:spacing w:after="100"/>
              <w:rPr>
                <w:rFonts w:eastAsia="Times New Roman"/>
                <w:sz w:val="20"/>
                <w:szCs w:val="20"/>
              </w:rPr>
            </w:pPr>
          </w:p>
        </w:tc>
        <w:tc>
          <w:tcPr>
            <w:tcW w:w="0" w:type="auto"/>
            <w:vAlign w:val="center"/>
            <w:hideMark/>
          </w:tcPr>
          <w:p w14:paraId="059935E8" w14:textId="77777777" w:rsidR="00000000" w:rsidRDefault="00405D16">
            <w:pPr>
              <w:spacing w:after="100"/>
              <w:rPr>
                <w:rFonts w:eastAsia="Times New Roman"/>
                <w:sz w:val="20"/>
                <w:szCs w:val="20"/>
              </w:rPr>
            </w:pPr>
          </w:p>
        </w:tc>
      </w:tr>
      <w:tr w:rsidR="00000000" w14:paraId="4F0E3A97" w14:textId="77777777">
        <w:trPr>
          <w:divId w:val="309217632"/>
        </w:trPr>
        <w:tc>
          <w:tcPr>
            <w:tcW w:w="0" w:type="auto"/>
            <w:gridSpan w:val="3"/>
            <w:shd w:val="clear" w:color="auto" w:fill="FFFFFF"/>
            <w:tcMar>
              <w:top w:w="30" w:type="dxa"/>
              <w:left w:w="20" w:type="dxa"/>
              <w:bottom w:w="30" w:type="dxa"/>
              <w:right w:w="20" w:type="dxa"/>
            </w:tcMar>
            <w:vAlign w:val="center"/>
            <w:hideMark/>
          </w:tcPr>
          <w:p w14:paraId="148BEFFF" w14:textId="77777777" w:rsidR="00000000" w:rsidRDefault="00405D16">
            <w:pPr>
              <w:spacing w:after="100"/>
              <w:rPr>
                <w:rFonts w:eastAsia="Times New Roman"/>
              </w:rPr>
            </w:pPr>
            <w:r>
              <w:rPr>
                <w:rFonts w:eastAsia="Times New Roman"/>
                <w:color w:val="000000"/>
                <w:sz w:val="18"/>
                <w:szCs w:val="18"/>
              </w:rPr>
              <w:t>Customer accommodation:</w:t>
            </w:r>
          </w:p>
        </w:tc>
        <w:tc>
          <w:tcPr>
            <w:tcW w:w="0" w:type="auto"/>
            <w:gridSpan w:val="3"/>
            <w:shd w:val="clear" w:color="auto" w:fill="FFFFFF"/>
            <w:tcMar>
              <w:top w:w="0" w:type="dxa"/>
              <w:left w:w="20" w:type="dxa"/>
              <w:bottom w:w="0" w:type="dxa"/>
              <w:right w:w="20" w:type="dxa"/>
            </w:tcMar>
            <w:vAlign w:val="center"/>
            <w:hideMark/>
          </w:tcPr>
          <w:p w14:paraId="5782B8EA"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FCDA7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5547C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AF09D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1841B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9DB21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C6076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17D02B" w14:textId="77777777" w:rsidR="00000000" w:rsidRDefault="00405D16">
            <w:pPr>
              <w:spacing w:after="100"/>
              <w:rPr>
                <w:rFonts w:eastAsia="Times New Roman"/>
                <w:sz w:val="20"/>
                <w:szCs w:val="20"/>
              </w:rPr>
            </w:pPr>
          </w:p>
        </w:tc>
        <w:tc>
          <w:tcPr>
            <w:tcW w:w="0" w:type="auto"/>
            <w:vAlign w:val="center"/>
            <w:hideMark/>
          </w:tcPr>
          <w:p w14:paraId="3499C6DB" w14:textId="77777777" w:rsidR="00000000" w:rsidRDefault="00405D16">
            <w:pPr>
              <w:spacing w:after="100"/>
              <w:rPr>
                <w:rFonts w:eastAsia="Times New Roman"/>
                <w:sz w:val="20"/>
                <w:szCs w:val="20"/>
              </w:rPr>
            </w:pPr>
          </w:p>
        </w:tc>
        <w:tc>
          <w:tcPr>
            <w:tcW w:w="0" w:type="auto"/>
            <w:vAlign w:val="center"/>
            <w:hideMark/>
          </w:tcPr>
          <w:p w14:paraId="0A6E931B" w14:textId="77777777" w:rsidR="00000000" w:rsidRDefault="00405D16">
            <w:pPr>
              <w:spacing w:after="100"/>
              <w:rPr>
                <w:rFonts w:eastAsia="Times New Roman"/>
                <w:sz w:val="20"/>
                <w:szCs w:val="20"/>
              </w:rPr>
            </w:pPr>
          </w:p>
        </w:tc>
      </w:tr>
      <w:tr w:rsidR="00000000" w14:paraId="5BA10964" w14:textId="77777777">
        <w:trPr>
          <w:divId w:val="309217632"/>
        </w:trPr>
        <w:tc>
          <w:tcPr>
            <w:tcW w:w="0" w:type="auto"/>
            <w:gridSpan w:val="3"/>
            <w:shd w:val="clear" w:color="auto" w:fill="CCEEFF"/>
            <w:tcMar>
              <w:top w:w="30" w:type="dxa"/>
              <w:left w:w="245" w:type="dxa"/>
              <w:bottom w:w="30" w:type="dxa"/>
              <w:right w:w="20" w:type="dxa"/>
            </w:tcMar>
            <w:vAlign w:val="center"/>
            <w:hideMark/>
          </w:tcPr>
          <w:p w14:paraId="6FEA8D24" w14:textId="77777777" w:rsidR="00000000" w:rsidRDefault="00405D16">
            <w:pPr>
              <w:spacing w:after="100"/>
              <w:rPr>
                <w:rFonts w:eastAsia="Times New Roman"/>
              </w:rPr>
            </w:pPr>
            <w:r>
              <w:rPr>
                <w:rFonts w:eastAsia="Times New Roman"/>
                <w:color w:val="000000"/>
                <w:sz w:val="18"/>
                <w:szCs w:val="18"/>
              </w:rPr>
              <w:t>Interest rate contracts</w:t>
            </w:r>
          </w:p>
        </w:tc>
        <w:tc>
          <w:tcPr>
            <w:tcW w:w="0" w:type="auto"/>
            <w:gridSpan w:val="3"/>
            <w:shd w:val="clear" w:color="auto" w:fill="CCEEFF"/>
            <w:tcMar>
              <w:top w:w="0" w:type="dxa"/>
              <w:left w:w="20" w:type="dxa"/>
              <w:bottom w:w="0" w:type="dxa"/>
              <w:right w:w="20" w:type="dxa"/>
            </w:tcMar>
            <w:vAlign w:val="center"/>
            <w:hideMark/>
          </w:tcPr>
          <w:p w14:paraId="14359990" w14:textId="77777777" w:rsidR="00000000" w:rsidRDefault="00405D16">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6750E9F9"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262CEC4C" w14:textId="77777777" w:rsidR="00000000" w:rsidRDefault="00405D16">
            <w:pPr>
              <w:spacing w:after="100"/>
              <w:jc w:val="right"/>
              <w:rPr>
                <w:rFonts w:eastAsia="Times New Roman"/>
              </w:rPr>
            </w:pPr>
            <w:r>
              <w:rPr>
                <w:rFonts w:eastAsia="Times New Roman"/>
                <w:b/>
                <w:bCs/>
                <w:color w:val="000000"/>
                <w:sz w:val="18"/>
                <w:szCs w:val="18"/>
              </w:rPr>
              <w:t>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471D63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347F3C"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7F01E68D"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06F6B38D" w14:textId="77777777" w:rsidR="00000000" w:rsidRDefault="00405D16">
            <w:pPr>
              <w:spacing w:after="100"/>
              <w:jc w:val="right"/>
              <w:rPr>
                <w:rFonts w:eastAsia="Times New Roman"/>
              </w:rPr>
            </w:pPr>
            <w:r>
              <w:rPr>
                <w:rFonts w:eastAsia="Times New Roman"/>
                <w:color w:val="000000"/>
                <w:sz w:val="18"/>
                <w:szCs w:val="18"/>
              </w:rPr>
              <w:t>(5)</w:t>
            </w:r>
          </w:p>
        </w:tc>
        <w:tc>
          <w:tcPr>
            <w:tcW w:w="0" w:type="auto"/>
            <w:shd w:val="clear" w:color="auto" w:fill="CCEEFF"/>
            <w:tcMar>
              <w:top w:w="30" w:type="dxa"/>
              <w:left w:w="0" w:type="dxa"/>
              <w:bottom w:w="30" w:type="dxa"/>
              <w:right w:w="20" w:type="dxa"/>
            </w:tcMar>
            <w:vAlign w:val="center"/>
            <w:hideMark/>
          </w:tcPr>
          <w:p w14:paraId="4152D34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814230"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76D4DFA9"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5F954763" w14:textId="77777777" w:rsidR="00000000" w:rsidRDefault="00405D16">
            <w:pPr>
              <w:spacing w:after="100"/>
              <w:jc w:val="right"/>
              <w:rPr>
                <w:rFonts w:eastAsia="Times New Roman"/>
              </w:rPr>
            </w:pPr>
            <w:r>
              <w:rPr>
                <w:rFonts w:eastAsia="Times New Roman"/>
                <w:b/>
                <w:bCs/>
                <w:color w:val="000000"/>
                <w:sz w:val="18"/>
                <w:szCs w:val="18"/>
              </w:rPr>
              <w:t>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CE0778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558833"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4E56DB93"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75328871" w14:textId="77777777" w:rsidR="00000000" w:rsidRDefault="00405D16">
            <w:pPr>
              <w:spacing w:after="100"/>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center"/>
            <w:hideMark/>
          </w:tcPr>
          <w:p w14:paraId="2EA9426D" w14:textId="77777777" w:rsidR="00000000" w:rsidRDefault="00405D16">
            <w:pPr>
              <w:spacing w:after="100"/>
              <w:jc w:val="right"/>
              <w:rPr>
                <w:rFonts w:eastAsia="Times New Roman"/>
              </w:rPr>
            </w:pPr>
          </w:p>
        </w:tc>
        <w:tc>
          <w:tcPr>
            <w:tcW w:w="0" w:type="auto"/>
            <w:vAlign w:val="center"/>
            <w:hideMark/>
          </w:tcPr>
          <w:p w14:paraId="2E660E50" w14:textId="77777777" w:rsidR="00000000" w:rsidRDefault="00405D16">
            <w:pPr>
              <w:spacing w:after="100"/>
              <w:jc w:val="right"/>
              <w:rPr>
                <w:rFonts w:eastAsia="Times New Roman"/>
                <w:sz w:val="20"/>
                <w:szCs w:val="20"/>
              </w:rPr>
            </w:pPr>
          </w:p>
        </w:tc>
        <w:tc>
          <w:tcPr>
            <w:tcW w:w="0" w:type="auto"/>
            <w:vAlign w:val="center"/>
            <w:hideMark/>
          </w:tcPr>
          <w:p w14:paraId="1C3FEE2E" w14:textId="77777777" w:rsidR="00000000" w:rsidRDefault="00405D16">
            <w:pPr>
              <w:spacing w:after="100"/>
              <w:rPr>
                <w:rFonts w:eastAsia="Times New Roman"/>
                <w:sz w:val="20"/>
                <w:szCs w:val="20"/>
              </w:rPr>
            </w:pPr>
          </w:p>
        </w:tc>
      </w:tr>
      <w:tr w:rsidR="00000000" w14:paraId="132A3452" w14:textId="77777777">
        <w:trPr>
          <w:divId w:val="309217632"/>
        </w:trPr>
        <w:tc>
          <w:tcPr>
            <w:tcW w:w="0" w:type="auto"/>
            <w:gridSpan w:val="3"/>
            <w:shd w:val="clear" w:color="auto" w:fill="FFFFFF"/>
            <w:tcMar>
              <w:top w:w="30" w:type="dxa"/>
              <w:left w:w="245" w:type="dxa"/>
              <w:bottom w:w="30" w:type="dxa"/>
              <w:right w:w="20" w:type="dxa"/>
            </w:tcMar>
            <w:vAlign w:val="center"/>
            <w:hideMark/>
          </w:tcPr>
          <w:p w14:paraId="4BF22163" w14:textId="77777777" w:rsidR="00000000" w:rsidRDefault="00405D16">
            <w:pPr>
              <w:spacing w:after="100"/>
              <w:rPr>
                <w:rFonts w:eastAsia="Times New Roman"/>
              </w:rPr>
            </w:pPr>
            <w:r>
              <w:rPr>
                <w:rFonts w:eastAsia="Times New Roman"/>
                <w:color w:val="000000"/>
                <w:sz w:val="18"/>
                <w:szCs w:val="18"/>
              </w:rPr>
              <w:t>Commodity contracts</w:t>
            </w:r>
          </w:p>
        </w:tc>
        <w:tc>
          <w:tcPr>
            <w:tcW w:w="0" w:type="auto"/>
            <w:gridSpan w:val="3"/>
            <w:shd w:val="clear" w:color="auto" w:fill="FFFFFF"/>
            <w:tcMar>
              <w:top w:w="0" w:type="dxa"/>
              <w:left w:w="20" w:type="dxa"/>
              <w:bottom w:w="0" w:type="dxa"/>
              <w:right w:w="20" w:type="dxa"/>
            </w:tcMar>
            <w:vAlign w:val="center"/>
            <w:hideMark/>
          </w:tcPr>
          <w:p w14:paraId="22F7A790"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1E3F590" w14:textId="77777777" w:rsidR="00000000" w:rsidRDefault="00405D16">
            <w:pPr>
              <w:spacing w:after="100"/>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1505C4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F09D6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3D46132" w14:textId="77777777" w:rsidR="00000000" w:rsidRDefault="00405D16">
            <w:pPr>
              <w:spacing w:after="100"/>
              <w:jc w:val="right"/>
              <w:rPr>
                <w:rFonts w:eastAsia="Times New Roman"/>
              </w:rPr>
            </w:pPr>
            <w:r>
              <w:rPr>
                <w:rFonts w:eastAsia="Times New Roman"/>
                <w:color w:val="000000"/>
                <w:sz w:val="18"/>
                <w:szCs w:val="18"/>
              </w:rPr>
              <w:t>7 </w:t>
            </w:r>
          </w:p>
        </w:tc>
        <w:tc>
          <w:tcPr>
            <w:tcW w:w="0" w:type="auto"/>
            <w:shd w:val="clear" w:color="auto" w:fill="FFFFFF"/>
            <w:tcMar>
              <w:top w:w="30" w:type="dxa"/>
              <w:left w:w="0" w:type="dxa"/>
              <w:bottom w:w="30" w:type="dxa"/>
              <w:right w:w="20" w:type="dxa"/>
            </w:tcMar>
            <w:vAlign w:val="center"/>
            <w:hideMark/>
          </w:tcPr>
          <w:p w14:paraId="15A1AC0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50915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BE44419" w14:textId="77777777" w:rsidR="00000000" w:rsidRDefault="00405D16">
            <w:pPr>
              <w:spacing w:after="100"/>
              <w:jc w:val="right"/>
              <w:rPr>
                <w:rFonts w:eastAsia="Times New Roman"/>
              </w:rPr>
            </w:pPr>
            <w:r>
              <w:rPr>
                <w:rFonts w:eastAsia="Times New Roman"/>
                <w:b/>
                <w:bCs/>
                <w:color w:val="000000"/>
                <w:sz w:val="18"/>
                <w:szCs w:val="18"/>
              </w:rPr>
              <w:t>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F151AD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B4A1C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7AFDF35" w14:textId="77777777" w:rsidR="00000000" w:rsidRDefault="00405D16">
            <w:pPr>
              <w:spacing w:after="100"/>
              <w:jc w:val="right"/>
              <w:rPr>
                <w:rFonts w:eastAsia="Times New Roman"/>
              </w:rPr>
            </w:pPr>
            <w:r>
              <w:rPr>
                <w:rFonts w:eastAsia="Times New Roman"/>
                <w:color w:val="000000"/>
                <w:sz w:val="18"/>
                <w:szCs w:val="18"/>
              </w:rPr>
              <w:t>23 </w:t>
            </w:r>
          </w:p>
        </w:tc>
        <w:tc>
          <w:tcPr>
            <w:tcW w:w="0" w:type="auto"/>
            <w:shd w:val="clear" w:color="auto" w:fill="FFFFFF"/>
            <w:tcMar>
              <w:top w:w="30" w:type="dxa"/>
              <w:left w:w="0" w:type="dxa"/>
              <w:bottom w:w="30" w:type="dxa"/>
              <w:right w:w="20" w:type="dxa"/>
            </w:tcMar>
            <w:vAlign w:val="center"/>
            <w:hideMark/>
          </w:tcPr>
          <w:p w14:paraId="6112D4D6" w14:textId="77777777" w:rsidR="00000000" w:rsidRDefault="00405D16">
            <w:pPr>
              <w:spacing w:after="100"/>
              <w:jc w:val="right"/>
              <w:rPr>
                <w:rFonts w:eastAsia="Times New Roman"/>
              </w:rPr>
            </w:pPr>
          </w:p>
        </w:tc>
        <w:tc>
          <w:tcPr>
            <w:tcW w:w="0" w:type="auto"/>
            <w:vAlign w:val="center"/>
            <w:hideMark/>
          </w:tcPr>
          <w:p w14:paraId="2A7BF4C1" w14:textId="77777777" w:rsidR="00000000" w:rsidRDefault="00405D16">
            <w:pPr>
              <w:spacing w:after="100"/>
              <w:jc w:val="right"/>
              <w:rPr>
                <w:rFonts w:eastAsia="Times New Roman"/>
                <w:sz w:val="20"/>
                <w:szCs w:val="20"/>
              </w:rPr>
            </w:pPr>
          </w:p>
        </w:tc>
        <w:tc>
          <w:tcPr>
            <w:tcW w:w="0" w:type="auto"/>
            <w:vAlign w:val="center"/>
            <w:hideMark/>
          </w:tcPr>
          <w:p w14:paraId="70694FE0" w14:textId="77777777" w:rsidR="00000000" w:rsidRDefault="00405D16">
            <w:pPr>
              <w:spacing w:after="100"/>
              <w:rPr>
                <w:rFonts w:eastAsia="Times New Roman"/>
                <w:sz w:val="20"/>
                <w:szCs w:val="20"/>
              </w:rPr>
            </w:pPr>
          </w:p>
        </w:tc>
      </w:tr>
      <w:tr w:rsidR="00000000" w14:paraId="0C06228D" w14:textId="77777777">
        <w:trPr>
          <w:divId w:val="309217632"/>
        </w:trPr>
        <w:tc>
          <w:tcPr>
            <w:tcW w:w="0" w:type="auto"/>
            <w:gridSpan w:val="3"/>
            <w:shd w:val="clear" w:color="auto" w:fill="CCEEFF"/>
            <w:tcMar>
              <w:top w:w="30" w:type="dxa"/>
              <w:left w:w="20" w:type="dxa"/>
              <w:bottom w:w="30" w:type="dxa"/>
              <w:right w:w="20" w:type="dxa"/>
            </w:tcMar>
            <w:vAlign w:val="center"/>
            <w:hideMark/>
          </w:tcPr>
          <w:p w14:paraId="5525EFA6" w14:textId="77777777" w:rsidR="00000000" w:rsidRDefault="00405D16">
            <w:pPr>
              <w:spacing w:after="100"/>
              <w:divId w:val="751858503"/>
              <w:rPr>
                <w:rFonts w:eastAsia="Times New Roman"/>
              </w:rPr>
            </w:pPr>
            <w:r>
              <w:rPr>
                <w:rFonts w:eastAsia="Times New Roman"/>
                <w:color w:val="000000"/>
                <w:sz w:val="18"/>
                <w:szCs w:val="18"/>
              </w:rPr>
              <w:t>Foreign exchange and other contract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2B67A68C"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26D0A46" w14:textId="77777777" w:rsidR="00000000" w:rsidRDefault="00405D16">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C2FE8D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051A1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FC59F12" w14:textId="77777777" w:rsidR="00000000" w:rsidRDefault="00405D16">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14:paraId="4B74456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97BF1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68B7993" w14:textId="77777777" w:rsidR="00000000" w:rsidRDefault="00405D16">
            <w:pPr>
              <w:spacing w:after="100"/>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FC3E58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493FD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A21EB67" w14:textId="77777777" w:rsidR="00000000" w:rsidRDefault="00405D16">
            <w:pPr>
              <w:spacing w:after="100"/>
              <w:jc w:val="right"/>
              <w:rPr>
                <w:rFonts w:eastAsia="Times New Roman"/>
              </w:rPr>
            </w:pPr>
            <w:r>
              <w:rPr>
                <w:rFonts w:eastAsia="Times New Roman"/>
                <w:color w:val="000000"/>
                <w:sz w:val="18"/>
                <w:szCs w:val="18"/>
              </w:rPr>
              <w:t>5 </w:t>
            </w:r>
          </w:p>
        </w:tc>
        <w:tc>
          <w:tcPr>
            <w:tcW w:w="0" w:type="auto"/>
            <w:shd w:val="clear" w:color="auto" w:fill="CCEEFF"/>
            <w:tcMar>
              <w:top w:w="30" w:type="dxa"/>
              <w:left w:w="0" w:type="dxa"/>
              <w:bottom w:w="30" w:type="dxa"/>
              <w:right w:w="20" w:type="dxa"/>
            </w:tcMar>
            <w:vAlign w:val="center"/>
            <w:hideMark/>
          </w:tcPr>
          <w:p w14:paraId="225083EB" w14:textId="77777777" w:rsidR="00000000" w:rsidRDefault="00405D16">
            <w:pPr>
              <w:spacing w:after="100"/>
              <w:jc w:val="right"/>
              <w:rPr>
                <w:rFonts w:eastAsia="Times New Roman"/>
              </w:rPr>
            </w:pPr>
          </w:p>
        </w:tc>
        <w:tc>
          <w:tcPr>
            <w:tcW w:w="0" w:type="auto"/>
            <w:vAlign w:val="center"/>
            <w:hideMark/>
          </w:tcPr>
          <w:p w14:paraId="05E19C60" w14:textId="77777777" w:rsidR="00000000" w:rsidRDefault="00405D16">
            <w:pPr>
              <w:spacing w:after="100"/>
              <w:jc w:val="right"/>
              <w:rPr>
                <w:rFonts w:eastAsia="Times New Roman"/>
                <w:sz w:val="20"/>
                <w:szCs w:val="20"/>
              </w:rPr>
            </w:pPr>
          </w:p>
        </w:tc>
        <w:tc>
          <w:tcPr>
            <w:tcW w:w="0" w:type="auto"/>
            <w:vAlign w:val="center"/>
            <w:hideMark/>
          </w:tcPr>
          <w:p w14:paraId="3B38C5B9" w14:textId="77777777" w:rsidR="00000000" w:rsidRDefault="00405D16">
            <w:pPr>
              <w:spacing w:after="100"/>
              <w:rPr>
                <w:rFonts w:eastAsia="Times New Roman"/>
                <w:sz w:val="20"/>
                <w:szCs w:val="20"/>
              </w:rPr>
            </w:pPr>
          </w:p>
        </w:tc>
      </w:tr>
      <w:tr w:rsidR="00000000" w14:paraId="47A4B87C" w14:textId="77777777">
        <w:trPr>
          <w:divId w:val="309217632"/>
        </w:trPr>
        <w:tc>
          <w:tcPr>
            <w:tcW w:w="0" w:type="auto"/>
            <w:gridSpan w:val="3"/>
            <w:shd w:val="clear" w:color="auto" w:fill="FFFFFF"/>
            <w:tcMar>
              <w:top w:w="30" w:type="dxa"/>
              <w:left w:w="20" w:type="dxa"/>
              <w:bottom w:w="30" w:type="dxa"/>
              <w:right w:w="20" w:type="dxa"/>
            </w:tcMar>
            <w:vAlign w:val="center"/>
            <w:hideMark/>
          </w:tcPr>
          <w:p w14:paraId="6268349E" w14:textId="77777777" w:rsidR="00000000" w:rsidRDefault="00405D16">
            <w:pPr>
              <w:spacing w:after="100"/>
              <w:rPr>
                <w:rFonts w:eastAsia="Times New Roman"/>
              </w:rPr>
            </w:pPr>
            <w:r>
              <w:rPr>
                <w:rFonts w:eastAsia="Times New Roman"/>
                <w:color w:val="000000"/>
                <w:sz w:val="18"/>
                <w:szCs w:val="18"/>
              </w:rPr>
              <w:t>Total customer accommodation</w:t>
            </w:r>
          </w:p>
        </w:tc>
        <w:tc>
          <w:tcPr>
            <w:tcW w:w="0" w:type="auto"/>
            <w:gridSpan w:val="3"/>
            <w:shd w:val="clear" w:color="auto" w:fill="FFFFFF"/>
            <w:tcMar>
              <w:top w:w="0" w:type="dxa"/>
              <w:left w:w="20" w:type="dxa"/>
              <w:bottom w:w="0" w:type="dxa"/>
              <w:right w:w="20" w:type="dxa"/>
            </w:tcMar>
            <w:vAlign w:val="center"/>
            <w:hideMark/>
          </w:tcPr>
          <w:p w14:paraId="52B7707B"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2630BC7" w14:textId="77777777" w:rsidR="00000000" w:rsidRDefault="00405D16">
            <w:pPr>
              <w:spacing w:after="100"/>
              <w:jc w:val="right"/>
              <w:rPr>
                <w:rFonts w:eastAsia="Times New Roman"/>
              </w:rPr>
            </w:pPr>
            <w:r>
              <w:rPr>
                <w:rFonts w:eastAsia="Times New Roman"/>
                <w:b/>
                <w:bCs/>
                <w:color w:val="000000"/>
                <w:sz w:val="18"/>
                <w:szCs w:val="18"/>
              </w:rPr>
              <w:t>21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CC7BD1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AEE9FC"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2534A55" w14:textId="77777777" w:rsidR="00000000" w:rsidRDefault="00405D16">
            <w:pPr>
              <w:spacing w:after="100"/>
              <w:jc w:val="right"/>
              <w:rPr>
                <w:rFonts w:eastAsia="Times New Roman"/>
              </w:rPr>
            </w:pPr>
            <w:r>
              <w:rPr>
                <w:rFonts w:eastAsia="Times New Roman"/>
                <w:color w:val="000000"/>
                <w:sz w:val="18"/>
                <w:szCs w:val="18"/>
              </w:rPr>
              <w:t>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05753E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3B9C04"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6DD2C08" w14:textId="77777777" w:rsidR="00000000" w:rsidRDefault="00405D16">
            <w:pPr>
              <w:spacing w:after="100"/>
              <w:jc w:val="right"/>
              <w:rPr>
                <w:rFonts w:eastAsia="Times New Roman"/>
              </w:rPr>
            </w:pPr>
            <w:r>
              <w:rPr>
                <w:rFonts w:eastAsia="Times New Roman"/>
                <w:b/>
                <w:bCs/>
                <w:color w:val="000000"/>
                <w:sz w:val="18"/>
                <w:szCs w:val="18"/>
              </w:rPr>
              <w:t>56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DEEFBF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43CF2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86FB289" w14:textId="77777777" w:rsidR="00000000" w:rsidRDefault="00405D16">
            <w:pPr>
              <w:spacing w:after="100"/>
              <w:jc w:val="right"/>
              <w:rPr>
                <w:rFonts w:eastAsia="Times New Roman"/>
              </w:rPr>
            </w:pPr>
            <w:r>
              <w:rPr>
                <w:rFonts w:eastAsia="Times New Roman"/>
                <w:color w:val="000000"/>
                <w:sz w:val="18"/>
                <w:szCs w:val="18"/>
              </w:rPr>
              <w:t>35 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0210CA8" w14:textId="77777777" w:rsidR="00000000" w:rsidRDefault="00405D16">
            <w:pPr>
              <w:spacing w:after="100"/>
              <w:jc w:val="right"/>
              <w:rPr>
                <w:rFonts w:eastAsia="Times New Roman"/>
              </w:rPr>
            </w:pPr>
          </w:p>
        </w:tc>
        <w:tc>
          <w:tcPr>
            <w:tcW w:w="0" w:type="auto"/>
            <w:vAlign w:val="center"/>
            <w:hideMark/>
          </w:tcPr>
          <w:p w14:paraId="1EEF6F89" w14:textId="77777777" w:rsidR="00000000" w:rsidRDefault="00405D16">
            <w:pPr>
              <w:spacing w:after="100"/>
              <w:jc w:val="right"/>
              <w:rPr>
                <w:rFonts w:eastAsia="Times New Roman"/>
                <w:sz w:val="20"/>
                <w:szCs w:val="20"/>
              </w:rPr>
            </w:pPr>
          </w:p>
        </w:tc>
        <w:tc>
          <w:tcPr>
            <w:tcW w:w="0" w:type="auto"/>
            <w:vAlign w:val="center"/>
            <w:hideMark/>
          </w:tcPr>
          <w:p w14:paraId="6296A0D3" w14:textId="77777777" w:rsidR="00000000" w:rsidRDefault="00405D16">
            <w:pPr>
              <w:spacing w:after="100"/>
              <w:rPr>
                <w:rFonts w:eastAsia="Times New Roman"/>
                <w:sz w:val="20"/>
                <w:szCs w:val="20"/>
              </w:rPr>
            </w:pPr>
          </w:p>
        </w:tc>
      </w:tr>
      <w:tr w:rsidR="00000000" w14:paraId="00E6DD5A" w14:textId="77777777">
        <w:trPr>
          <w:divId w:val="309217632"/>
        </w:trPr>
        <w:tc>
          <w:tcPr>
            <w:tcW w:w="0" w:type="auto"/>
            <w:gridSpan w:val="3"/>
            <w:shd w:val="clear" w:color="auto" w:fill="CCEEFF"/>
            <w:tcMar>
              <w:top w:w="30" w:type="dxa"/>
              <w:left w:w="20" w:type="dxa"/>
              <w:bottom w:w="30" w:type="dxa"/>
              <w:right w:w="20" w:type="dxa"/>
            </w:tcMar>
            <w:vAlign w:val="center"/>
            <w:hideMark/>
          </w:tcPr>
          <w:p w14:paraId="1546543A" w14:textId="77777777" w:rsidR="00000000" w:rsidRDefault="00405D16">
            <w:pPr>
              <w:spacing w:after="100"/>
              <w:rPr>
                <w:rFonts w:eastAsia="Times New Roman"/>
              </w:rPr>
            </w:pPr>
            <w:r>
              <w:rPr>
                <w:rFonts w:eastAsia="Times New Roman"/>
                <w:color w:val="000000"/>
                <w:sz w:val="18"/>
                <w:szCs w:val="18"/>
              </w:rPr>
              <w:t>Other interest rate exposures</w:t>
            </w:r>
          </w:p>
        </w:tc>
        <w:tc>
          <w:tcPr>
            <w:tcW w:w="0" w:type="auto"/>
            <w:gridSpan w:val="3"/>
            <w:shd w:val="clear" w:color="auto" w:fill="CCEEFF"/>
            <w:tcMar>
              <w:top w:w="0" w:type="dxa"/>
              <w:left w:w="20" w:type="dxa"/>
              <w:bottom w:w="0" w:type="dxa"/>
              <w:right w:w="20" w:type="dxa"/>
            </w:tcMar>
            <w:vAlign w:val="center"/>
            <w:hideMark/>
          </w:tcPr>
          <w:p w14:paraId="4619ED1E"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BAA6CA4" w14:textId="77777777" w:rsidR="00000000" w:rsidRDefault="00405D16">
            <w:pPr>
              <w:spacing w:after="100"/>
              <w:jc w:val="right"/>
              <w:rPr>
                <w:rFonts w:eastAsia="Times New Roman"/>
              </w:rPr>
            </w:pPr>
            <w:r>
              <w:rPr>
                <w:rFonts w:eastAsia="Times New Roman"/>
                <w:b/>
                <w:bCs/>
                <w:color w:val="000000"/>
                <w:sz w:val="18"/>
                <w:szCs w:val="18"/>
              </w:rPr>
              <w:t>18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416BA2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EF42D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3E48E3E" w14:textId="77777777" w:rsidR="00000000" w:rsidRDefault="00405D16">
            <w:pPr>
              <w:spacing w:after="100"/>
              <w:jc w:val="right"/>
              <w:rPr>
                <w:rFonts w:eastAsia="Times New Roman"/>
              </w:rPr>
            </w:pPr>
            <w:r>
              <w:rPr>
                <w:rFonts w:eastAsia="Times New Roman"/>
                <w:color w:val="000000"/>
                <w:sz w:val="18"/>
                <w:szCs w:val="18"/>
              </w:rPr>
              <w:t>17 </w:t>
            </w:r>
          </w:p>
        </w:tc>
        <w:tc>
          <w:tcPr>
            <w:tcW w:w="0" w:type="auto"/>
            <w:shd w:val="clear" w:color="auto" w:fill="CCEEFF"/>
            <w:tcMar>
              <w:top w:w="30" w:type="dxa"/>
              <w:left w:w="0" w:type="dxa"/>
              <w:bottom w:w="30" w:type="dxa"/>
              <w:right w:w="20" w:type="dxa"/>
            </w:tcMar>
            <w:vAlign w:val="center"/>
            <w:hideMark/>
          </w:tcPr>
          <w:p w14:paraId="0231D3D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98A77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75E2BB9" w14:textId="77777777" w:rsidR="00000000" w:rsidRDefault="00405D16">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2C0235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19616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8B9A1BA" w14:textId="77777777" w:rsidR="00000000" w:rsidRDefault="00405D16">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14:paraId="247E2E2B" w14:textId="77777777" w:rsidR="00000000" w:rsidRDefault="00405D16">
            <w:pPr>
              <w:spacing w:after="100"/>
              <w:jc w:val="right"/>
              <w:rPr>
                <w:rFonts w:eastAsia="Times New Roman"/>
              </w:rPr>
            </w:pPr>
          </w:p>
        </w:tc>
        <w:tc>
          <w:tcPr>
            <w:tcW w:w="0" w:type="auto"/>
            <w:vAlign w:val="center"/>
            <w:hideMark/>
          </w:tcPr>
          <w:p w14:paraId="17BDFA0C" w14:textId="77777777" w:rsidR="00000000" w:rsidRDefault="00405D16">
            <w:pPr>
              <w:spacing w:after="100"/>
              <w:jc w:val="right"/>
              <w:rPr>
                <w:rFonts w:eastAsia="Times New Roman"/>
                <w:sz w:val="20"/>
                <w:szCs w:val="20"/>
              </w:rPr>
            </w:pPr>
          </w:p>
        </w:tc>
        <w:tc>
          <w:tcPr>
            <w:tcW w:w="0" w:type="auto"/>
            <w:vAlign w:val="center"/>
            <w:hideMark/>
          </w:tcPr>
          <w:p w14:paraId="6E2E4A57" w14:textId="77777777" w:rsidR="00000000" w:rsidRDefault="00405D16">
            <w:pPr>
              <w:spacing w:after="100"/>
              <w:rPr>
                <w:rFonts w:eastAsia="Times New Roman"/>
                <w:sz w:val="20"/>
                <w:szCs w:val="20"/>
              </w:rPr>
            </w:pPr>
          </w:p>
        </w:tc>
      </w:tr>
      <w:tr w:rsidR="00000000" w14:paraId="30717CAF" w14:textId="77777777">
        <w:trPr>
          <w:divId w:val="309217632"/>
        </w:trPr>
        <w:tc>
          <w:tcPr>
            <w:tcW w:w="0" w:type="auto"/>
            <w:gridSpan w:val="3"/>
            <w:shd w:val="clear" w:color="auto" w:fill="FFFFFF"/>
            <w:tcMar>
              <w:top w:w="30" w:type="dxa"/>
              <w:left w:w="20" w:type="dxa"/>
              <w:bottom w:w="30" w:type="dxa"/>
              <w:right w:w="20" w:type="dxa"/>
            </w:tcMar>
            <w:vAlign w:val="center"/>
            <w:hideMark/>
          </w:tcPr>
          <w:p w14:paraId="33C66EFB" w14:textId="77777777" w:rsidR="00000000" w:rsidRDefault="00405D16">
            <w:pPr>
              <w:spacing w:after="100"/>
              <w:rPr>
                <w:rFonts w:eastAsia="Times New Roman"/>
              </w:rPr>
            </w:pPr>
            <w:r>
              <w:rPr>
                <w:rFonts w:eastAsia="Times New Roman"/>
                <w:color w:val="000000"/>
                <w:sz w:val="18"/>
                <w:szCs w:val="18"/>
              </w:rPr>
              <w:t>Other contracts</w:t>
            </w:r>
          </w:p>
        </w:tc>
        <w:tc>
          <w:tcPr>
            <w:tcW w:w="0" w:type="auto"/>
            <w:gridSpan w:val="3"/>
            <w:shd w:val="clear" w:color="auto" w:fill="FFFFFF"/>
            <w:tcMar>
              <w:top w:w="0" w:type="dxa"/>
              <w:left w:w="20" w:type="dxa"/>
              <w:bottom w:w="0" w:type="dxa"/>
              <w:right w:w="20" w:type="dxa"/>
            </w:tcMar>
            <w:vAlign w:val="center"/>
            <w:hideMark/>
          </w:tcPr>
          <w:p w14:paraId="5E9C703F"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28AF6CB" w14:textId="77777777" w:rsidR="00000000" w:rsidRDefault="00405D16">
            <w:pPr>
              <w:spacing w:after="100"/>
              <w:jc w:val="right"/>
              <w:rPr>
                <w:rFonts w:eastAsia="Times New Roman"/>
              </w:rPr>
            </w:pPr>
            <w:r>
              <w:rPr>
                <w:rFonts w:eastAsia="Times New Roman"/>
                <w:b/>
                <w:bCs/>
                <w:color w:val="000000"/>
                <w:sz w:val="18"/>
                <w:szCs w:val="18"/>
              </w:rPr>
              <w:t>(6)</w:t>
            </w:r>
          </w:p>
        </w:tc>
        <w:tc>
          <w:tcPr>
            <w:tcW w:w="0" w:type="auto"/>
            <w:shd w:val="clear" w:color="auto" w:fill="FFFFFF"/>
            <w:tcMar>
              <w:top w:w="30" w:type="dxa"/>
              <w:left w:w="0" w:type="dxa"/>
              <w:bottom w:w="30" w:type="dxa"/>
              <w:right w:w="20" w:type="dxa"/>
            </w:tcMar>
            <w:vAlign w:val="center"/>
            <w:hideMark/>
          </w:tcPr>
          <w:p w14:paraId="182A9A1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65739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0103389"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5895D3C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EA5E4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8305DC0" w14:textId="77777777" w:rsidR="00000000" w:rsidRDefault="00405D16">
            <w:pPr>
              <w:spacing w:after="100"/>
              <w:jc w:val="right"/>
              <w:rPr>
                <w:rFonts w:eastAsia="Times New Roman"/>
              </w:rPr>
            </w:pPr>
            <w:r>
              <w:rPr>
                <w:rFonts w:eastAsia="Times New Roman"/>
                <w:b/>
                <w:bCs/>
                <w:color w:val="000000"/>
                <w:sz w:val="18"/>
                <w:szCs w:val="18"/>
              </w:rPr>
              <w:t>(7)</w:t>
            </w:r>
          </w:p>
        </w:tc>
        <w:tc>
          <w:tcPr>
            <w:tcW w:w="0" w:type="auto"/>
            <w:shd w:val="clear" w:color="auto" w:fill="FFFFFF"/>
            <w:tcMar>
              <w:top w:w="30" w:type="dxa"/>
              <w:left w:w="0" w:type="dxa"/>
              <w:bottom w:w="30" w:type="dxa"/>
              <w:right w:w="20" w:type="dxa"/>
            </w:tcMar>
            <w:vAlign w:val="center"/>
            <w:hideMark/>
          </w:tcPr>
          <w:p w14:paraId="22898E4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24197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DF23570"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1FF8D48B" w14:textId="77777777" w:rsidR="00000000" w:rsidRDefault="00405D16">
            <w:pPr>
              <w:spacing w:after="100"/>
              <w:jc w:val="right"/>
              <w:rPr>
                <w:rFonts w:eastAsia="Times New Roman"/>
              </w:rPr>
            </w:pPr>
          </w:p>
        </w:tc>
        <w:tc>
          <w:tcPr>
            <w:tcW w:w="0" w:type="auto"/>
            <w:vAlign w:val="center"/>
            <w:hideMark/>
          </w:tcPr>
          <w:p w14:paraId="27FE9D95" w14:textId="77777777" w:rsidR="00000000" w:rsidRDefault="00405D16">
            <w:pPr>
              <w:spacing w:after="100"/>
              <w:jc w:val="right"/>
              <w:rPr>
                <w:rFonts w:eastAsia="Times New Roman"/>
                <w:sz w:val="20"/>
                <w:szCs w:val="20"/>
              </w:rPr>
            </w:pPr>
          </w:p>
        </w:tc>
        <w:tc>
          <w:tcPr>
            <w:tcW w:w="0" w:type="auto"/>
            <w:vAlign w:val="center"/>
            <w:hideMark/>
          </w:tcPr>
          <w:p w14:paraId="6DF022BC" w14:textId="77777777" w:rsidR="00000000" w:rsidRDefault="00405D16">
            <w:pPr>
              <w:spacing w:after="100"/>
              <w:rPr>
                <w:rFonts w:eastAsia="Times New Roman"/>
                <w:sz w:val="20"/>
                <w:szCs w:val="20"/>
              </w:rPr>
            </w:pPr>
          </w:p>
        </w:tc>
      </w:tr>
      <w:tr w:rsidR="00000000" w14:paraId="1878971A" w14:textId="77777777">
        <w:trPr>
          <w:divId w:val="309217632"/>
        </w:trPr>
        <w:tc>
          <w:tcPr>
            <w:tcW w:w="0" w:type="auto"/>
            <w:gridSpan w:val="3"/>
            <w:shd w:val="clear" w:color="auto" w:fill="CCEEFF"/>
            <w:tcMar>
              <w:top w:w="30" w:type="dxa"/>
              <w:left w:w="20" w:type="dxa"/>
              <w:bottom w:w="30" w:type="dxa"/>
              <w:right w:w="20" w:type="dxa"/>
            </w:tcMar>
            <w:vAlign w:val="center"/>
            <w:hideMark/>
          </w:tcPr>
          <w:p w14:paraId="0CC91F1E" w14:textId="77777777" w:rsidR="00000000" w:rsidRDefault="00405D16">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1ABB77B3"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4EBD18A"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5D267DD" w14:textId="77777777" w:rsidR="00000000" w:rsidRDefault="00405D16">
            <w:pPr>
              <w:spacing w:after="100"/>
              <w:jc w:val="right"/>
              <w:rPr>
                <w:rFonts w:eastAsia="Times New Roman"/>
              </w:rPr>
            </w:pPr>
            <w:r>
              <w:rPr>
                <w:rFonts w:eastAsia="Times New Roman"/>
                <w:b/>
                <w:bCs/>
                <w:color w:val="000000"/>
                <w:sz w:val="18"/>
                <w:szCs w:val="18"/>
              </w:rPr>
              <w:t>33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3E73CC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12D684"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2BC3921"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9E88326" w14:textId="77777777" w:rsidR="00000000" w:rsidRDefault="00405D16">
            <w:pPr>
              <w:spacing w:after="100"/>
              <w:jc w:val="right"/>
              <w:rPr>
                <w:rFonts w:eastAsia="Times New Roman"/>
              </w:rPr>
            </w:pPr>
            <w:r>
              <w:rPr>
                <w:rFonts w:eastAsia="Times New Roman"/>
                <w:color w:val="000000"/>
                <w:sz w:val="18"/>
                <w:szCs w:val="18"/>
              </w:rPr>
              <w:t>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7FC32A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310A03"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159F5E5"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33B461B" w14:textId="77777777" w:rsidR="00000000" w:rsidRDefault="00405D16">
            <w:pPr>
              <w:spacing w:after="100"/>
              <w:jc w:val="right"/>
              <w:rPr>
                <w:rFonts w:eastAsia="Times New Roman"/>
              </w:rPr>
            </w:pPr>
            <w:r>
              <w:rPr>
                <w:rFonts w:eastAsia="Times New Roman"/>
                <w:b/>
                <w:bCs/>
                <w:color w:val="000000"/>
                <w:sz w:val="18"/>
                <w:szCs w:val="18"/>
              </w:rPr>
              <w:t>51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3FD539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7BF91B"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7105E51"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9FF3DA4" w14:textId="77777777" w:rsidR="00000000" w:rsidRDefault="00405D16">
            <w:pPr>
              <w:spacing w:after="100"/>
              <w:jc w:val="right"/>
              <w:rPr>
                <w:rFonts w:eastAsia="Times New Roman"/>
              </w:rPr>
            </w:pPr>
            <w:r>
              <w:rPr>
                <w:rFonts w:eastAsia="Times New Roman"/>
                <w:color w:val="000000"/>
                <w:sz w:val="18"/>
                <w:szCs w:val="18"/>
              </w:rPr>
              <w:t>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FEC8BDA" w14:textId="77777777" w:rsidR="00000000" w:rsidRDefault="00405D16">
            <w:pPr>
              <w:spacing w:after="100"/>
              <w:jc w:val="right"/>
              <w:rPr>
                <w:rFonts w:eastAsia="Times New Roman"/>
              </w:rPr>
            </w:pPr>
          </w:p>
        </w:tc>
        <w:tc>
          <w:tcPr>
            <w:tcW w:w="0" w:type="auto"/>
            <w:vAlign w:val="center"/>
            <w:hideMark/>
          </w:tcPr>
          <w:p w14:paraId="70BE0AC6" w14:textId="77777777" w:rsidR="00000000" w:rsidRDefault="00405D16">
            <w:pPr>
              <w:spacing w:after="100"/>
              <w:jc w:val="right"/>
              <w:rPr>
                <w:rFonts w:eastAsia="Times New Roman"/>
                <w:sz w:val="20"/>
                <w:szCs w:val="20"/>
              </w:rPr>
            </w:pPr>
          </w:p>
        </w:tc>
        <w:tc>
          <w:tcPr>
            <w:tcW w:w="0" w:type="auto"/>
            <w:vAlign w:val="center"/>
            <w:hideMark/>
          </w:tcPr>
          <w:p w14:paraId="45B0534D" w14:textId="77777777" w:rsidR="00000000" w:rsidRDefault="00405D16">
            <w:pPr>
              <w:spacing w:after="100"/>
              <w:rPr>
                <w:rFonts w:eastAsia="Times New Roman"/>
                <w:sz w:val="20"/>
                <w:szCs w:val="20"/>
              </w:rPr>
            </w:pPr>
          </w:p>
        </w:tc>
      </w:tr>
    </w:tbl>
    <w:p w14:paraId="65498A06" w14:textId="77777777" w:rsidR="00000000" w:rsidRDefault="00405D16">
      <w:pPr>
        <w:divId w:val="309217632"/>
        <w:rPr>
          <w:rFonts w:eastAsia="Times New Roman"/>
        </w:rPr>
      </w:pPr>
      <w:r>
        <w:rPr>
          <w:rFonts w:eastAsia="Times New Roman"/>
          <w:color w:val="000000"/>
          <w:sz w:val="20"/>
          <w:szCs w:val="20"/>
        </w:rPr>
        <w:t>__________</w:t>
      </w:r>
    </w:p>
    <w:p w14:paraId="5140F041" w14:textId="77777777" w:rsidR="00000000" w:rsidRDefault="00405D16">
      <w:pPr>
        <w:ind w:hanging="360"/>
        <w:jc w:val="both"/>
        <w:divId w:val="21883003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     Foreign exchange and other contracts includes gains of $1 million and $8 </w:t>
      </w:r>
      <w:r>
        <w:rPr>
          <w:rFonts w:eastAsia="Times New Roman"/>
          <w:color w:val="000000"/>
          <w:sz w:val="16"/>
          <w:szCs w:val="16"/>
        </w:rPr>
        <w:t>million on FX spot transactions for the three and nine months ended September 30, 2021.</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24DECD0E" w14:textId="77777777">
        <w:trPr>
          <w:divId w:val="760486496"/>
          <w:jc w:val="center"/>
        </w:trPr>
        <w:tc>
          <w:tcPr>
            <w:tcW w:w="50" w:type="pct"/>
            <w:vAlign w:val="center"/>
            <w:hideMark/>
          </w:tcPr>
          <w:p w14:paraId="434DD2EB" w14:textId="77777777" w:rsidR="00000000" w:rsidRDefault="00405D16">
            <w:pPr>
              <w:ind w:hanging="360"/>
              <w:jc w:val="both"/>
              <w:rPr>
                <w:rFonts w:eastAsia="Times New Roman"/>
              </w:rPr>
            </w:pPr>
          </w:p>
        </w:tc>
        <w:tc>
          <w:tcPr>
            <w:tcW w:w="1606" w:type="pct"/>
            <w:vAlign w:val="center"/>
            <w:hideMark/>
          </w:tcPr>
          <w:p w14:paraId="1BA14B07" w14:textId="77777777" w:rsidR="00000000" w:rsidRDefault="00405D16">
            <w:pPr>
              <w:spacing w:after="100"/>
              <w:rPr>
                <w:rFonts w:eastAsia="Times New Roman"/>
                <w:sz w:val="20"/>
                <w:szCs w:val="20"/>
              </w:rPr>
            </w:pPr>
          </w:p>
        </w:tc>
        <w:tc>
          <w:tcPr>
            <w:tcW w:w="5" w:type="pct"/>
            <w:vAlign w:val="center"/>
            <w:hideMark/>
          </w:tcPr>
          <w:p w14:paraId="15C8143A" w14:textId="77777777" w:rsidR="00000000" w:rsidRDefault="00405D16">
            <w:pPr>
              <w:spacing w:after="100"/>
              <w:rPr>
                <w:rFonts w:eastAsia="Times New Roman"/>
                <w:sz w:val="20"/>
                <w:szCs w:val="20"/>
              </w:rPr>
            </w:pPr>
          </w:p>
        </w:tc>
        <w:tc>
          <w:tcPr>
            <w:tcW w:w="50" w:type="pct"/>
            <w:vAlign w:val="center"/>
            <w:hideMark/>
          </w:tcPr>
          <w:p w14:paraId="37BCAFE4" w14:textId="77777777" w:rsidR="00000000" w:rsidRDefault="00405D16">
            <w:pPr>
              <w:spacing w:after="100"/>
              <w:rPr>
                <w:rFonts w:eastAsia="Times New Roman"/>
                <w:sz w:val="20"/>
                <w:szCs w:val="20"/>
              </w:rPr>
            </w:pPr>
          </w:p>
        </w:tc>
        <w:tc>
          <w:tcPr>
            <w:tcW w:w="1614" w:type="pct"/>
            <w:vAlign w:val="center"/>
            <w:hideMark/>
          </w:tcPr>
          <w:p w14:paraId="5CB487DB" w14:textId="77777777" w:rsidR="00000000" w:rsidRDefault="00405D16">
            <w:pPr>
              <w:spacing w:after="100"/>
              <w:rPr>
                <w:rFonts w:eastAsia="Times New Roman"/>
                <w:sz w:val="20"/>
                <w:szCs w:val="20"/>
              </w:rPr>
            </w:pPr>
          </w:p>
        </w:tc>
        <w:tc>
          <w:tcPr>
            <w:tcW w:w="5" w:type="pct"/>
            <w:vAlign w:val="center"/>
            <w:hideMark/>
          </w:tcPr>
          <w:p w14:paraId="14CCC815" w14:textId="77777777" w:rsidR="00000000" w:rsidRDefault="00405D16">
            <w:pPr>
              <w:spacing w:after="100"/>
              <w:rPr>
                <w:rFonts w:eastAsia="Times New Roman"/>
                <w:sz w:val="20"/>
                <w:szCs w:val="20"/>
              </w:rPr>
            </w:pPr>
          </w:p>
        </w:tc>
        <w:tc>
          <w:tcPr>
            <w:tcW w:w="50" w:type="pct"/>
            <w:vAlign w:val="center"/>
            <w:hideMark/>
          </w:tcPr>
          <w:p w14:paraId="0F249A35" w14:textId="77777777" w:rsidR="00000000" w:rsidRDefault="00405D16">
            <w:pPr>
              <w:spacing w:after="100"/>
              <w:rPr>
                <w:rFonts w:eastAsia="Times New Roman"/>
                <w:sz w:val="20"/>
                <w:szCs w:val="20"/>
              </w:rPr>
            </w:pPr>
          </w:p>
        </w:tc>
        <w:tc>
          <w:tcPr>
            <w:tcW w:w="1614" w:type="pct"/>
            <w:vAlign w:val="center"/>
            <w:hideMark/>
          </w:tcPr>
          <w:p w14:paraId="0A3CAF29" w14:textId="77777777" w:rsidR="00000000" w:rsidRDefault="00405D16">
            <w:pPr>
              <w:spacing w:after="100"/>
              <w:rPr>
                <w:rFonts w:eastAsia="Times New Roman"/>
                <w:sz w:val="20"/>
                <w:szCs w:val="20"/>
              </w:rPr>
            </w:pPr>
          </w:p>
        </w:tc>
        <w:tc>
          <w:tcPr>
            <w:tcW w:w="5" w:type="pct"/>
            <w:vAlign w:val="center"/>
            <w:hideMark/>
          </w:tcPr>
          <w:p w14:paraId="55186B72" w14:textId="77777777" w:rsidR="00000000" w:rsidRDefault="00405D16">
            <w:pPr>
              <w:spacing w:after="100"/>
              <w:rPr>
                <w:rFonts w:eastAsia="Times New Roman"/>
                <w:sz w:val="20"/>
                <w:szCs w:val="20"/>
              </w:rPr>
            </w:pPr>
          </w:p>
        </w:tc>
      </w:tr>
      <w:tr w:rsidR="00000000" w14:paraId="0A22DCA9" w14:textId="77777777">
        <w:trPr>
          <w:divId w:val="760486496"/>
          <w:trHeight w:val="300"/>
          <w:jc w:val="center"/>
        </w:trPr>
        <w:tc>
          <w:tcPr>
            <w:tcW w:w="0" w:type="auto"/>
            <w:gridSpan w:val="9"/>
            <w:tcMar>
              <w:top w:w="0" w:type="dxa"/>
              <w:left w:w="20" w:type="dxa"/>
              <w:bottom w:w="0" w:type="dxa"/>
              <w:right w:w="20" w:type="dxa"/>
            </w:tcMar>
            <w:vAlign w:val="center"/>
            <w:hideMark/>
          </w:tcPr>
          <w:p w14:paraId="126D675C" w14:textId="77777777" w:rsidR="00000000" w:rsidRDefault="00405D16">
            <w:pPr>
              <w:spacing w:after="100"/>
              <w:rPr>
                <w:rFonts w:eastAsia="Times New Roman"/>
                <w:sz w:val="20"/>
                <w:szCs w:val="20"/>
              </w:rPr>
            </w:pPr>
          </w:p>
        </w:tc>
      </w:tr>
      <w:tr w:rsidR="00000000" w14:paraId="0FA5DA12" w14:textId="77777777">
        <w:trPr>
          <w:divId w:val="760486496"/>
          <w:jc w:val="center"/>
        </w:trPr>
        <w:tc>
          <w:tcPr>
            <w:tcW w:w="0" w:type="auto"/>
            <w:gridSpan w:val="3"/>
            <w:tcMar>
              <w:top w:w="0" w:type="dxa"/>
              <w:left w:w="20" w:type="dxa"/>
              <w:bottom w:w="0" w:type="dxa"/>
              <w:right w:w="20" w:type="dxa"/>
            </w:tcMar>
            <w:vAlign w:val="center"/>
            <w:hideMark/>
          </w:tcPr>
          <w:p w14:paraId="7678079F"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5C962DB" w14:textId="77777777" w:rsidR="00000000" w:rsidRDefault="00405D16">
            <w:pPr>
              <w:spacing w:after="100"/>
              <w:jc w:val="center"/>
              <w:rPr>
                <w:rFonts w:eastAsia="Times New Roman"/>
              </w:rPr>
            </w:pPr>
            <w:r>
              <w:rPr>
                <w:rFonts w:eastAsia="Times New Roman"/>
                <w:color w:val="000000"/>
                <w:sz w:val="16"/>
                <w:szCs w:val="16"/>
              </w:rPr>
              <w:t>111</w:t>
            </w:r>
          </w:p>
        </w:tc>
        <w:tc>
          <w:tcPr>
            <w:tcW w:w="0" w:type="auto"/>
            <w:gridSpan w:val="3"/>
            <w:tcMar>
              <w:top w:w="30" w:type="dxa"/>
              <w:left w:w="20" w:type="dxa"/>
              <w:bottom w:w="30" w:type="dxa"/>
              <w:right w:w="20" w:type="dxa"/>
            </w:tcMar>
            <w:vAlign w:val="bottom"/>
            <w:hideMark/>
          </w:tcPr>
          <w:p w14:paraId="49E274C1"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68ABA2BA" w14:textId="77777777" w:rsidR="00000000" w:rsidRDefault="00405D16">
      <w:pPr>
        <w:rPr>
          <w:rFonts w:eastAsia="Times New Roman"/>
        </w:rPr>
      </w:pPr>
      <w:r>
        <w:rPr>
          <w:rFonts w:eastAsia="Times New Roman"/>
        </w:rPr>
        <w:pict w14:anchorId="0C2503A4">
          <v:rect id="_x0000_i1136" style="width:0;height:1.5pt" o:hralign="center" o:hrstd="t" o:hr="t" fillcolor="#a0a0a0" stroked="f"/>
        </w:pict>
      </w:r>
    </w:p>
    <w:p w14:paraId="1B8EB0A2" w14:textId="77777777" w:rsidR="00000000" w:rsidRDefault="00405D16">
      <w:pPr>
        <w:jc w:val="both"/>
        <w:divId w:val="443310839"/>
        <w:rPr>
          <w:rFonts w:eastAsia="Times New Roman"/>
        </w:rPr>
      </w:pPr>
      <w:hyperlink w:anchor="idd54a04a485440b4ab4e56094c14d612_13" w:history="1">
        <w:r>
          <w:rPr>
            <w:rStyle w:val="a3"/>
            <w:rFonts w:eastAsia="Times New Roman"/>
            <w:sz w:val="16"/>
            <w:szCs w:val="16"/>
          </w:rPr>
          <w:t>Table of Contents</w:t>
        </w:r>
      </w:hyperlink>
    </w:p>
    <w:p w14:paraId="4C1B0261" w14:textId="77777777" w:rsidR="00000000" w:rsidRDefault="00405D16">
      <w:pPr>
        <w:jc w:val="center"/>
        <w:divId w:val="44331083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3AC376B9" w14:textId="77777777">
        <w:trPr>
          <w:divId w:val="904101295"/>
        </w:trPr>
        <w:tc>
          <w:tcPr>
            <w:tcW w:w="50" w:type="pct"/>
            <w:vAlign w:val="center"/>
            <w:hideMark/>
          </w:tcPr>
          <w:p w14:paraId="433720AD" w14:textId="77777777" w:rsidR="00000000" w:rsidRDefault="00405D16">
            <w:pPr>
              <w:jc w:val="center"/>
              <w:rPr>
                <w:rFonts w:eastAsia="Times New Roman"/>
              </w:rPr>
            </w:pPr>
          </w:p>
        </w:tc>
        <w:tc>
          <w:tcPr>
            <w:tcW w:w="4945" w:type="pct"/>
            <w:vAlign w:val="center"/>
            <w:hideMark/>
          </w:tcPr>
          <w:p w14:paraId="34ED53BB" w14:textId="77777777" w:rsidR="00000000" w:rsidRDefault="00405D16">
            <w:pPr>
              <w:spacing w:after="100"/>
              <w:rPr>
                <w:rFonts w:eastAsia="Times New Roman"/>
                <w:sz w:val="20"/>
                <w:szCs w:val="20"/>
              </w:rPr>
            </w:pPr>
          </w:p>
        </w:tc>
        <w:tc>
          <w:tcPr>
            <w:tcW w:w="5" w:type="pct"/>
            <w:vAlign w:val="center"/>
            <w:hideMark/>
          </w:tcPr>
          <w:p w14:paraId="0FB20055" w14:textId="77777777" w:rsidR="00000000" w:rsidRDefault="00405D16">
            <w:pPr>
              <w:spacing w:after="100"/>
              <w:rPr>
                <w:rFonts w:eastAsia="Times New Roman"/>
                <w:sz w:val="20"/>
                <w:szCs w:val="20"/>
              </w:rPr>
            </w:pPr>
          </w:p>
        </w:tc>
      </w:tr>
      <w:tr w:rsidR="00000000" w14:paraId="7B811C07" w14:textId="77777777">
        <w:trPr>
          <w:divId w:val="904101295"/>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77AE79BC" w14:textId="77777777" w:rsidR="00000000" w:rsidRDefault="00405D16">
            <w:pPr>
              <w:spacing w:after="100"/>
              <w:rPr>
                <w:rFonts w:eastAsia="Times New Roman"/>
              </w:rPr>
            </w:pPr>
            <w:r>
              <w:rPr>
                <w:rFonts w:eastAsia="Times New Roman"/>
                <w:b/>
                <w:bCs/>
                <w:color w:val="000000"/>
                <w:sz w:val="20"/>
                <w:szCs w:val="20"/>
              </w:rPr>
              <w:t>NOTE 9—STOCKHOLDERS’ EQUITY</w:t>
            </w:r>
          </w:p>
        </w:tc>
      </w:tr>
    </w:tbl>
    <w:p w14:paraId="231D26C4" w14:textId="77777777" w:rsidR="00000000" w:rsidRDefault="00405D16">
      <w:pPr>
        <w:divId w:val="1508328939"/>
        <w:rPr>
          <w:rFonts w:eastAsia="Times New Roman"/>
        </w:rPr>
      </w:pPr>
      <w:r>
        <w:rPr>
          <w:rFonts w:eastAsia="Times New Roman"/>
          <w:b/>
          <w:bCs/>
          <w:color w:val="000000"/>
          <w:sz w:val="20"/>
          <w:szCs w:val="20"/>
        </w:rPr>
        <w:t>Preferred Stock</w:t>
      </w:r>
    </w:p>
    <w:p w14:paraId="3064E82C" w14:textId="77777777" w:rsidR="00000000" w:rsidRDefault="00405D16">
      <w:pPr>
        <w:jc w:val="both"/>
        <w:divId w:val="1581673245"/>
        <w:rPr>
          <w:rFonts w:eastAsia="Times New Roman"/>
        </w:rPr>
      </w:pPr>
      <w:r>
        <w:rPr>
          <w:rFonts w:eastAsia="Times New Roman"/>
          <w:color w:val="000000"/>
          <w:sz w:val="20"/>
          <w:szCs w:val="20"/>
        </w:rPr>
        <w:t>The following table summarizes our preferred stock outstanding as of September 30, 2021 and December 31, 2020.</w:t>
      </w:r>
    </w:p>
    <w:p w14:paraId="2A2BB7F4" w14:textId="77777777" w:rsidR="00000000" w:rsidRDefault="00405D16">
      <w:pPr>
        <w:divId w:val="1283612395"/>
        <w:rPr>
          <w:rFonts w:eastAsia="Times New Roman"/>
        </w:rPr>
      </w:pPr>
      <w:r>
        <w:rPr>
          <w:rFonts w:eastAsia="Times New Roman"/>
          <w:b/>
          <w:bCs/>
          <w:color w:val="000000"/>
          <w:sz w:val="18"/>
          <w:szCs w:val="18"/>
        </w:rPr>
        <w:t>Table 9.1: Preferred Stock Outstandin</w:t>
      </w:r>
      <w:r>
        <w:rPr>
          <w:rFonts w:eastAsia="Times New Roman"/>
          <w:b/>
          <w:bCs/>
          <w:color w:val="000000"/>
          <w:sz w:val="18"/>
          <w:szCs w:val="18"/>
        </w:rPr>
        <w:t>g</w:t>
      </w:r>
      <w:r>
        <w:rPr>
          <w:rFonts w:eastAsia="Times New Roman"/>
          <w:b/>
          <w:bCs/>
          <w:color w:val="000000"/>
          <w:sz w:val="12"/>
          <w:szCs w:val="12"/>
        </w:rPr>
        <w:t>(1</w:t>
      </w:r>
      <w:r>
        <w:rPr>
          <w:rFonts w:eastAsia="Times New Roman"/>
          <w:b/>
          <w:bCs/>
          <w:color w:val="000000"/>
          <w:sz w:val="12"/>
          <w:szCs w:val="12"/>
        </w:rPr>
        <w:t>)</w:t>
      </w:r>
    </w:p>
    <w:tbl>
      <w:tblPr>
        <w:tblW w:w="4956" w:type="pct"/>
        <w:tblCellMar>
          <w:top w:w="15" w:type="dxa"/>
          <w:left w:w="15" w:type="dxa"/>
          <w:bottom w:w="15" w:type="dxa"/>
          <w:right w:w="15" w:type="dxa"/>
        </w:tblCellMar>
        <w:tblLook w:val="04A0" w:firstRow="1" w:lastRow="0" w:firstColumn="1" w:lastColumn="0" w:noHBand="0" w:noVBand="1"/>
      </w:tblPr>
      <w:tblGrid>
        <w:gridCol w:w="58"/>
        <w:gridCol w:w="386"/>
        <w:gridCol w:w="36"/>
        <w:gridCol w:w="36"/>
        <w:gridCol w:w="36"/>
        <w:gridCol w:w="36"/>
        <w:gridCol w:w="80"/>
        <w:gridCol w:w="700"/>
        <w:gridCol w:w="36"/>
        <w:gridCol w:w="36"/>
        <w:gridCol w:w="36"/>
        <w:gridCol w:w="36"/>
        <w:gridCol w:w="78"/>
        <w:gridCol w:w="632"/>
        <w:gridCol w:w="37"/>
        <w:gridCol w:w="36"/>
        <w:gridCol w:w="36"/>
        <w:gridCol w:w="36"/>
        <w:gridCol w:w="82"/>
        <w:gridCol w:w="681"/>
        <w:gridCol w:w="36"/>
        <w:gridCol w:w="36"/>
        <w:gridCol w:w="36"/>
        <w:gridCol w:w="36"/>
        <w:gridCol w:w="71"/>
        <w:gridCol w:w="710"/>
        <w:gridCol w:w="38"/>
        <w:gridCol w:w="36"/>
        <w:gridCol w:w="36"/>
        <w:gridCol w:w="36"/>
        <w:gridCol w:w="85"/>
        <w:gridCol w:w="642"/>
        <w:gridCol w:w="37"/>
        <w:gridCol w:w="36"/>
        <w:gridCol w:w="36"/>
        <w:gridCol w:w="36"/>
        <w:gridCol w:w="101"/>
        <w:gridCol w:w="654"/>
        <w:gridCol w:w="36"/>
        <w:gridCol w:w="36"/>
        <w:gridCol w:w="36"/>
        <w:gridCol w:w="36"/>
        <w:gridCol w:w="83"/>
        <w:gridCol w:w="696"/>
        <w:gridCol w:w="36"/>
        <w:gridCol w:w="36"/>
        <w:gridCol w:w="36"/>
        <w:gridCol w:w="36"/>
        <w:gridCol w:w="101"/>
        <w:gridCol w:w="607"/>
        <w:gridCol w:w="36"/>
        <w:gridCol w:w="36"/>
        <w:gridCol w:w="36"/>
        <w:gridCol w:w="36"/>
        <w:gridCol w:w="101"/>
        <w:gridCol w:w="571"/>
        <w:gridCol w:w="36"/>
      </w:tblGrid>
      <w:tr w:rsidR="00000000" w14:paraId="462FE95B" w14:textId="77777777">
        <w:trPr>
          <w:divId w:val="185097223"/>
        </w:trPr>
        <w:tc>
          <w:tcPr>
            <w:tcW w:w="50" w:type="pct"/>
            <w:vAlign w:val="center"/>
            <w:hideMark/>
          </w:tcPr>
          <w:p w14:paraId="6A3CC88E" w14:textId="77777777" w:rsidR="00000000" w:rsidRDefault="00405D16">
            <w:pPr>
              <w:rPr>
                <w:rFonts w:eastAsia="Times New Roman"/>
              </w:rPr>
            </w:pPr>
          </w:p>
        </w:tc>
        <w:tc>
          <w:tcPr>
            <w:tcW w:w="335" w:type="pct"/>
            <w:vAlign w:val="center"/>
            <w:hideMark/>
          </w:tcPr>
          <w:p w14:paraId="38E6E347" w14:textId="77777777" w:rsidR="00000000" w:rsidRDefault="00405D16">
            <w:pPr>
              <w:spacing w:after="100"/>
              <w:rPr>
                <w:rFonts w:eastAsia="Times New Roman"/>
                <w:sz w:val="20"/>
                <w:szCs w:val="20"/>
              </w:rPr>
            </w:pPr>
          </w:p>
        </w:tc>
        <w:tc>
          <w:tcPr>
            <w:tcW w:w="5" w:type="pct"/>
            <w:vAlign w:val="center"/>
            <w:hideMark/>
          </w:tcPr>
          <w:p w14:paraId="0CA9DFA8" w14:textId="77777777" w:rsidR="00000000" w:rsidRDefault="00405D16">
            <w:pPr>
              <w:spacing w:after="100"/>
              <w:rPr>
                <w:rFonts w:eastAsia="Times New Roman"/>
                <w:sz w:val="20"/>
                <w:szCs w:val="20"/>
              </w:rPr>
            </w:pPr>
          </w:p>
        </w:tc>
        <w:tc>
          <w:tcPr>
            <w:tcW w:w="5" w:type="pct"/>
            <w:vAlign w:val="center"/>
            <w:hideMark/>
          </w:tcPr>
          <w:p w14:paraId="6BF5E0BB" w14:textId="77777777" w:rsidR="00000000" w:rsidRDefault="00405D16">
            <w:pPr>
              <w:spacing w:after="100"/>
              <w:rPr>
                <w:rFonts w:eastAsia="Times New Roman"/>
                <w:sz w:val="20"/>
                <w:szCs w:val="20"/>
              </w:rPr>
            </w:pPr>
          </w:p>
        </w:tc>
        <w:tc>
          <w:tcPr>
            <w:tcW w:w="26" w:type="pct"/>
            <w:vAlign w:val="center"/>
            <w:hideMark/>
          </w:tcPr>
          <w:p w14:paraId="52BB68AF" w14:textId="77777777" w:rsidR="00000000" w:rsidRDefault="00405D16">
            <w:pPr>
              <w:spacing w:after="100"/>
              <w:rPr>
                <w:rFonts w:eastAsia="Times New Roman"/>
                <w:sz w:val="20"/>
                <w:szCs w:val="20"/>
              </w:rPr>
            </w:pPr>
          </w:p>
        </w:tc>
        <w:tc>
          <w:tcPr>
            <w:tcW w:w="5" w:type="pct"/>
            <w:vAlign w:val="center"/>
            <w:hideMark/>
          </w:tcPr>
          <w:p w14:paraId="7AABDA10" w14:textId="77777777" w:rsidR="00000000" w:rsidRDefault="00405D16">
            <w:pPr>
              <w:spacing w:after="100"/>
              <w:rPr>
                <w:rFonts w:eastAsia="Times New Roman"/>
                <w:sz w:val="20"/>
                <w:szCs w:val="20"/>
              </w:rPr>
            </w:pPr>
          </w:p>
        </w:tc>
        <w:tc>
          <w:tcPr>
            <w:tcW w:w="50" w:type="pct"/>
            <w:vAlign w:val="center"/>
            <w:hideMark/>
          </w:tcPr>
          <w:p w14:paraId="2DD98582" w14:textId="77777777" w:rsidR="00000000" w:rsidRDefault="00405D16">
            <w:pPr>
              <w:spacing w:after="100"/>
              <w:rPr>
                <w:rFonts w:eastAsia="Times New Roman"/>
                <w:sz w:val="20"/>
                <w:szCs w:val="20"/>
              </w:rPr>
            </w:pPr>
          </w:p>
        </w:tc>
        <w:tc>
          <w:tcPr>
            <w:tcW w:w="439" w:type="pct"/>
            <w:vAlign w:val="center"/>
            <w:hideMark/>
          </w:tcPr>
          <w:p w14:paraId="0CE3A312" w14:textId="77777777" w:rsidR="00000000" w:rsidRDefault="00405D16">
            <w:pPr>
              <w:spacing w:after="100"/>
              <w:rPr>
                <w:rFonts w:eastAsia="Times New Roman"/>
                <w:sz w:val="20"/>
                <w:szCs w:val="20"/>
              </w:rPr>
            </w:pPr>
          </w:p>
        </w:tc>
        <w:tc>
          <w:tcPr>
            <w:tcW w:w="5" w:type="pct"/>
            <w:vAlign w:val="center"/>
            <w:hideMark/>
          </w:tcPr>
          <w:p w14:paraId="13F3B106" w14:textId="77777777" w:rsidR="00000000" w:rsidRDefault="00405D16">
            <w:pPr>
              <w:spacing w:after="100"/>
              <w:rPr>
                <w:rFonts w:eastAsia="Times New Roman"/>
                <w:sz w:val="20"/>
                <w:szCs w:val="20"/>
              </w:rPr>
            </w:pPr>
          </w:p>
        </w:tc>
        <w:tc>
          <w:tcPr>
            <w:tcW w:w="5" w:type="pct"/>
            <w:vAlign w:val="center"/>
            <w:hideMark/>
          </w:tcPr>
          <w:p w14:paraId="06DAF199" w14:textId="77777777" w:rsidR="00000000" w:rsidRDefault="00405D16">
            <w:pPr>
              <w:spacing w:after="100"/>
              <w:rPr>
                <w:rFonts w:eastAsia="Times New Roman"/>
                <w:sz w:val="20"/>
                <w:szCs w:val="20"/>
              </w:rPr>
            </w:pPr>
          </w:p>
        </w:tc>
        <w:tc>
          <w:tcPr>
            <w:tcW w:w="26" w:type="pct"/>
            <w:vAlign w:val="center"/>
            <w:hideMark/>
          </w:tcPr>
          <w:p w14:paraId="187339D3" w14:textId="77777777" w:rsidR="00000000" w:rsidRDefault="00405D16">
            <w:pPr>
              <w:spacing w:after="100"/>
              <w:rPr>
                <w:rFonts w:eastAsia="Times New Roman"/>
                <w:sz w:val="20"/>
                <w:szCs w:val="20"/>
              </w:rPr>
            </w:pPr>
          </w:p>
        </w:tc>
        <w:tc>
          <w:tcPr>
            <w:tcW w:w="5" w:type="pct"/>
            <w:vAlign w:val="center"/>
            <w:hideMark/>
          </w:tcPr>
          <w:p w14:paraId="177E12D2" w14:textId="77777777" w:rsidR="00000000" w:rsidRDefault="00405D16">
            <w:pPr>
              <w:spacing w:after="100"/>
              <w:rPr>
                <w:rFonts w:eastAsia="Times New Roman"/>
                <w:sz w:val="20"/>
                <w:szCs w:val="20"/>
              </w:rPr>
            </w:pPr>
          </w:p>
        </w:tc>
        <w:tc>
          <w:tcPr>
            <w:tcW w:w="50" w:type="pct"/>
            <w:vAlign w:val="center"/>
            <w:hideMark/>
          </w:tcPr>
          <w:p w14:paraId="5AA4BA7C" w14:textId="77777777" w:rsidR="00000000" w:rsidRDefault="00405D16">
            <w:pPr>
              <w:spacing w:after="100"/>
              <w:rPr>
                <w:rFonts w:eastAsia="Times New Roman"/>
                <w:sz w:val="20"/>
                <w:szCs w:val="20"/>
              </w:rPr>
            </w:pPr>
          </w:p>
        </w:tc>
        <w:tc>
          <w:tcPr>
            <w:tcW w:w="409" w:type="pct"/>
            <w:vAlign w:val="center"/>
            <w:hideMark/>
          </w:tcPr>
          <w:p w14:paraId="7C9309B9" w14:textId="77777777" w:rsidR="00000000" w:rsidRDefault="00405D16">
            <w:pPr>
              <w:spacing w:after="100"/>
              <w:rPr>
                <w:rFonts w:eastAsia="Times New Roman"/>
                <w:sz w:val="20"/>
                <w:szCs w:val="20"/>
              </w:rPr>
            </w:pPr>
          </w:p>
        </w:tc>
        <w:tc>
          <w:tcPr>
            <w:tcW w:w="5" w:type="pct"/>
            <w:vAlign w:val="center"/>
            <w:hideMark/>
          </w:tcPr>
          <w:p w14:paraId="2FE906E1" w14:textId="77777777" w:rsidR="00000000" w:rsidRDefault="00405D16">
            <w:pPr>
              <w:spacing w:after="100"/>
              <w:rPr>
                <w:rFonts w:eastAsia="Times New Roman"/>
                <w:sz w:val="20"/>
                <w:szCs w:val="20"/>
              </w:rPr>
            </w:pPr>
          </w:p>
        </w:tc>
        <w:tc>
          <w:tcPr>
            <w:tcW w:w="5" w:type="pct"/>
            <w:vAlign w:val="center"/>
            <w:hideMark/>
          </w:tcPr>
          <w:p w14:paraId="19B9A535" w14:textId="77777777" w:rsidR="00000000" w:rsidRDefault="00405D16">
            <w:pPr>
              <w:spacing w:after="100"/>
              <w:rPr>
                <w:rFonts w:eastAsia="Times New Roman"/>
                <w:sz w:val="20"/>
                <w:szCs w:val="20"/>
              </w:rPr>
            </w:pPr>
          </w:p>
        </w:tc>
        <w:tc>
          <w:tcPr>
            <w:tcW w:w="26" w:type="pct"/>
            <w:vAlign w:val="center"/>
            <w:hideMark/>
          </w:tcPr>
          <w:p w14:paraId="02038FF7" w14:textId="77777777" w:rsidR="00000000" w:rsidRDefault="00405D16">
            <w:pPr>
              <w:spacing w:after="100"/>
              <w:rPr>
                <w:rFonts w:eastAsia="Times New Roman"/>
                <w:sz w:val="20"/>
                <w:szCs w:val="20"/>
              </w:rPr>
            </w:pPr>
          </w:p>
        </w:tc>
        <w:tc>
          <w:tcPr>
            <w:tcW w:w="5" w:type="pct"/>
            <w:vAlign w:val="center"/>
            <w:hideMark/>
          </w:tcPr>
          <w:p w14:paraId="5DB6A290" w14:textId="77777777" w:rsidR="00000000" w:rsidRDefault="00405D16">
            <w:pPr>
              <w:spacing w:after="100"/>
              <w:rPr>
                <w:rFonts w:eastAsia="Times New Roman"/>
                <w:sz w:val="20"/>
                <w:szCs w:val="20"/>
              </w:rPr>
            </w:pPr>
          </w:p>
        </w:tc>
        <w:tc>
          <w:tcPr>
            <w:tcW w:w="50" w:type="pct"/>
            <w:vAlign w:val="center"/>
            <w:hideMark/>
          </w:tcPr>
          <w:p w14:paraId="4287521F" w14:textId="77777777" w:rsidR="00000000" w:rsidRDefault="00405D16">
            <w:pPr>
              <w:spacing w:after="100"/>
              <w:rPr>
                <w:rFonts w:eastAsia="Times New Roman"/>
                <w:sz w:val="20"/>
                <w:szCs w:val="20"/>
              </w:rPr>
            </w:pPr>
          </w:p>
        </w:tc>
        <w:tc>
          <w:tcPr>
            <w:tcW w:w="416" w:type="pct"/>
            <w:vAlign w:val="center"/>
            <w:hideMark/>
          </w:tcPr>
          <w:p w14:paraId="5C6637A4" w14:textId="77777777" w:rsidR="00000000" w:rsidRDefault="00405D16">
            <w:pPr>
              <w:spacing w:after="100"/>
              <w:rPr>
                <w:rFonts w:eastAsia="Times New Roman"/>
                <w:sz w:val="20"/>
                <w:szCs w:val="20"/>
              </w:rPr>
            </w:pPr>
          </w:p>
        </w:tc>
        <w:tc>
          <w:tcPr>
            <w:tcW w:w="5" w:type="pct"/>
            <w:vAlign w:val="center"/>
            <w:hideMark/>
          </w:tcPr>
          <w:p w14:paraId="58717A40" w14:textId="77777777" w:rsidR="00000000" w:rsidRDefault="00405D16">
            <w:pPr>
              <w:spacing w:after="100"/>
              <w:rPr>
                <w:rFonts w:eastAsia="Times New Roman"/>
                <w:sz w:val="20"/>
                <w:szCs w:val="20"/>
              </w:rPr>
            </w:pPr>
          </w:p>
        </w:tc>
        <w:tc>
          <w:tcPr>
            <w:tcW w:w="5" w:type="pct"/>
            <w:vAlign w:val="center"/>
            <w:hideMark/>
          </w:tcPr>
          <w:p w14:paraId="146BC3C4" w14:textId="77777777" w:rsidR="00000000" w:rsidRDefault="00405D16">
            <w:pPr>
              <w:spacing w:after="100"/>
              <w:rPr>
                <w:rFonts w:eastAsia="Times New Roman"/>
                <w:sz w:val="20"/>
                <w:szCs w:val="20"/>
              </w:rPr>
            </w:pPr>
          </w:p>
        </w:tc>
        <w:tc>
          <w:tcPr>
            <w:tcW w:w="26" w:type="pct"/>
            <w:vAlign w:val="center"/>
            <w:hideMark/>
          </w:tcPr>
          <w:p w14:paraId="0541F9DE" w14:textId="77777777" w:rsidR="00000000" w:rsidRDefault="00405D16">
            <w:pPr>
              <w:spacing w:after="100"/>
              <w:rPr>
                <w:rFonts w:eastAsia="Times New Roman"/>
                <w:sz w:val="20"/>
                <w:szCs w:val="20"/>
              </w:rPr>
            </w:pPr>
          </w:p>
        </w:tc>
        <w:tc>
          <w:tcPr>
            <w:tcW w:w="5" w:type="pct"/>
            <w:vAlign w:val="center"/>
            <w:hideMark/>
          </w:tcPr>
          <w:p w14:paraId="4F1B6DF3" w14:textId="77777777" w:rsidR="00000000" w:rsidRDefault="00405D16">
            <w:pPr>
              <w:spacing w:after="100"/>
              <w:rPr>
                <w:rFonts w:eastAsia="Times New Roman"/>
                <w:sz w:val="20"/>
                <w:szCs w:val="20"/>
              </w:rPr>
            </w:pPr>
          </w:p>
        </w:tc>
        <w:tc>
          <w:tcPr>
            <w:tcW w:w="50" w:type="pct"/>
            <w:vAlign w:val="center"/>
            <w:hideMark/>
          </w:tcPr>
          <w:p w14:paraId="6A55D4DF" w14:textId="77777777" w:rsidR="00000000" w:rsidRDefault="00405D16">
            <w:pPr>
              <w:spacing w:after="100"/>
              <w:rPr>
                <w:rFonts w:eastAsia="Times New Roman"/>
                <w:sz w:val="20"/>
                <w:szCs w:val="20"/>
              </w:rPr>
            </w:pPr>
          </w:p>
        </w:tc>
        <w:tc>
          <w:tcPr>
            <w:tcW w:w="505" w:type="pct"/>
            <w:vAlign w:val="center"/>
            <w:hideMark/>
          </w:tcPr>
          <w:p w14:paraId="79D467CB" w14:textId="77777777" w:rsidR="00000000" w:rsidRDefault="00405D16">
            <w:pPr>
              <w:spacing w:after="100"/>
              <w:rPr>
                <w:rFonts w:eastAsia="Times New Roman"/>
                <w:sz w:val="20"/>
                <w:szCs w:val="20"/>
              </w:rPr>
            </w:pPr>
          </w:p>
        </w:tc>
        <w:tc>
          <w:tcPr>
            <w:tcW w:w="5" w:type="pct"/>
            <w:vAlign w:val="center"/>
            <w:hideMark/>
          </w:tcPr>
          <w:p w14:paraId="649ECF74" w14:textId="77777777" w:rsidR="00000000" w:rsidRDefault="00405D16">
            <w:pPr>
              <w:spacing w:after="100"/>
              <w:rPr>
                <w:rFonts w:eastAsia="Times New Roman"/>
                <w:sz w:val="20"/>
                <w:szCs w:val="20"/>
              </w:rPr>
            </w:pPr>
          </w:p>
        </w:tc>
        <w:tc>
          <w:tcPr>
            <w:tcW w:w="5" w:type="pct"/>
            <w:vAlign w:val="center"/>
            <w:hideMark/>
          </w:tcPr>
          <w:p w14:paraId="3B8986F5" w14:textId="77777777" w:rsidR="00000000" w:rsidRDefault="00405D16">
            <w:pPr>
              <w:spacing w:after="100"/>
              <w:rPr>
                <w:rFonts w:eastAsia="Times New Roman"/>
                <w:sz w:val="20"/>
                <w:szCs w:val="20"/>
              </w:rPr>
            </w:pPr>
          </w:p>
        </w:tc>
        <w:tc>
          <w:tcPr>
            <w:tcW w:w="19" w:type="pct"/>
            <w:vAlign w:val="center"/>
            <w:hideMark/>
          </w:tcPr>
          <w:p w14:paraId="260B3B79" w14:textId="77777777" w:rsidR="00000000" w:rsidRDefault="00405D16">
            <w:pPr>
              <w:spacing w:after="100"/>
              <w:rPr>
                <w:rFonts w:eastAsia="Times New Roman"/>
                <w:sz w:val="20"/>
                <w:szCs w:val="20"/>
              </w:rPr>
            </w:pPr>
          </w:p>
        </w:tc>
        <w:tc>
          <w:tcPr>
            <w:tcW w:w="5" w:type="pct"/>
            <w:vAlign w:val="center"/>
            <w:hideMark/>
          </w:tcPr>
          <w:p w14:paraId="17F55BF7" w14:textId="77777777" w:rsidR="00000000" w:rsidRDefault="00405D16">
            <w:pPr>
              <w:spacing w:after="100"/>
              <w:rPr>
                <w:rFonts w:eastAsia="Times New Roman"/>
                <w:sz w:val="20"/>
                <w:szCs w:val="20"/>
              </w:rPr>
            </w:pPr>
          </w:p>
        </w:tc>
        <w:tc>
          <w:tcPr>
            <w:tcW w:w="50" w:type="pct"/>
            <w:vAlign w:val="center"/>
            <w:hideMark/>
          </w:tcPr>
          <w:p w14:paraId="3AD5BF63" w14:textId="77777777" w:rsidR="00000000" w:rsidRDefault="00405D16">
            <w:pPr>
              <w:spacing w:after="100"/>
              <w:rPr>
                <w:rFonts w:eastAsia="Times New Roman"/>
                <w:sz w:val="20"/>
                <w:szCs w:val="20"/>
              </w:rPr>
            </w:pPr>
          </w:p>
        </w:tc>
        <w:tc>
          <w:tcPr>
            <w:tcW w:w="380" w:type="pct"/>
            <w:vAlign w:val="center"/>
            <w:hideMark/>
          </w:tcPr>
          <w:p w14:paraId="351C1CB2" w14:textId="77777777" w:rsidR="00000000" w:rsidRDefault="00405D16">
            <w:pPr>
              <w:spacing w:after="100"/>
              <w:rPr>
                <w:rFonts w:eastAsia="Times New Roman"/>
                <w:sz w:val="20"/>
                <w:szCs w:val="20"/>
              </w:rPr>
            </w:pPr>
          </w:p>
        </w:tc>
        <w:tc>
          <w:tcPr>
            <w:tcW w:w="5" w:type="pct"/>
            <w:vAlign w:val="center"/>
            <w:hideMark/>
          </w:tcPr>
          <w:p w14:paraId="1285A971" w14:textId="77777777" w:rsidR="00000000" w:rsidRDefault="00405D16">
            <w:pPr>
              <w:spacing w:after="100"/>
              <w:rPr>
                <w:rFonts w:eastAsia="Times New Roman"/>
                <w:sz w:val="20"/>
                <w:szCs w:val="20"/>
              </w:rPr>
            </w:pPr>
          </w:p>
        </w:tc>
        <w:tc>
          <w:tcPr>
            <w:tcW w:w="5" w:type="pct"/>
            <w:vAlign w:val="center"/>
            <w:hideMark/>
          </w:tcPr>
          <w:p w14:paraId="2CC2002F" w14:textId="77777777" w:rsidR="00000000" w:rsidRDefault="00405D16">
            <w:pPr>
              <w:spacing w:after="100"/>
              <w:rPr>
                <w:rFonts w:eastAsia="Times New Roman"/>
                <w:sz w:val="20"/>
                <w:szCs w:val="20"/>
              </w:rPr>
            </w:pPr>
          </w:p>
        </w:tc>
        <w:tc>
          <w:tcPr>
            <w:tcW w:w="26" w:type="pct"/>
            <w:vAlign w:val="center"/>
            <w:hideMark/>
          </w:tcPr>
          <w:p w14:paraId="298DE464" w14:textId="77777777" w:rsidR="00000000" w:rsidRDefault="00405D16">
            <w:pPr>
              <w:spacing w:after="100"/>
              <w:rPr>
                <w:rFonts w:eastAsia="Times New Roman"/>
                <w:sz w:val="20"/>
                <w:szCs w:val="20"/>
              </w:rPr>
            </w:pPr>
          </w:p>
        </w:tc>
        <w:tc>
          <w:tcPr>
            <w:tcW w:w="5" w:type="pct"/>
            <w:vAlign w:val="center"/>
            <w:hideMark/>
          </w:tcPr>
          <w:p w14:paraId="437F9796" w14:textId="77777777" w:rsidR="00000000" w:rsidRDefault="00405D16">
            <w:pPr>
              <w:spacing w:after="100"/>
              <w:rPr>
                <w:rFonts w:eastAsia="Times New Roman"/>
                <w:sz w:val="20"/>
                <w:szCs w:val="20"/>
              </w:rPr>
            </w:pPr>
          </w:p>
        </w:tc>
        <w:tc>
          <w:tcPr>
            <w:tcW w:w="50" w:type="pct"/>
            <w:vAlign w:val="center"/>
            <w:hideMark/>
          </w:tcPr>
          <w:p w14:paraId="10E7255E" w14:textId="77777777" w:rsidR="00000000" w:rsidRDefault="00405D16">
            <w:pPr>
              <w:spacing w:after="100"/>
              <w:rPr>
                <w:rFonts w:eastAsia="Times New Roman"/>
                <w:sz w:val="20"/>
                <w:szCs w:val="20"/>
              </w:rPr>
            </w:pPr>
          </w:p>
        </w:tc>
        <w:tc>
          <w:tcPr>
            <w:tcW w:w="380" w:type="pct"/>
            <w:vAlign w:val="center"/>
            <w:hideMark/>
          </w:tcPr>
          <w:p w14:paraId="0E9152C1" w14:textId="77777777" w:rsidR="00000000" w:rsidRDefault="00405D16">
            <w:pPr>
              <w:spacing w:after="100"/>
              <w:rPr>
                <w:rFonts w:eastAsia="Times New Roman"/>
                <w:sz w:val="20"/>
                <w:szCs w:val="20"/>
              </w:rPr>
            </w:pPr>
          </w:p>
        </w:tc>
        <w:tc>
          <w:tcPr>
            <w:tcW w:w="5" w:type="pct"/>
            <w:vAlign w:val="center"/>
            <w:hideMark/>
          </w:tcPr>
          <w:p w14:paraId="78207427" w14:textId="77777777" w:rsidR="00000000" w:rsidRDefault="00405D16">
            <w:pPr>
              <w:spacing w:after="100"/>
              <w:rPr>
                <w:rFonts w:eastAsia="Times New Roman"/>
                <w:sz w:val="20"/>
                <w:szCs w:val="20"/>
              </w:rPr>
            </w:pPr>
          </w:p>
        </w:tc>
        <w:tc>
          <w:tcPr>
            <w:tcW w:w="5" w:type="pct"/>
            <w:vAlign w:val="center"/>
            <w:hideMark/>
          </w:tcPr>
          <w:p w14:paraId="1014E54C" w14:textId="77777777" w:rsidR="00000000" w:rsidRDefault="00405D16">
            <w:pPr>
              <w:spacing w:after="100"/>
              <w:rPr>
                <w:rFonts w:eastAsia="Times New Roman"/>
                <w:sz w:val="20"/>
                <w:szCs w:val="20"/>
              </w:rPr>
            </w:pPr>
          </w:p>
        </w:tc>
        <w:tc>
          <w:tcPr>
            <w:tcW w:w="26" w:type="pct"/>
            <w:vAlign w:val="center"/>
            <w:hideMark/>
          </w:tcPr>
          <w:p w14:paraId="0CAD4218" w14:textId="77777777" w:rsidR="00000000" w:rsidRDefault="00405D16">
            <w:pPr>
              <w:spacing w:after="100"/>
              <w:rPr>
                <w:rFonts w:eastAsia="Times New Roman"/>
                <w:sz w:val="20"/>
                <w:szCs w:val="20"/>
              </w:rPr>
            </w:pPr>
          </w:p>
        </w:tc>
        <w:tc>
          <w:tcPr>
            <w:tcW w:w="5" w:type="pct"/>
            <w:vAlign w:val="center"/>
            <w:hideMark/>
          </w:tcPr>
          <w:p w14:paraId="6DCD5002" w14:textId="77777777" w:rsidR="00000000" w:rsidRDefault="00405D16">
            <w:pPr>
              <w:spacing w:after="100"/>
              <w:rPr>
                <w:rFonts w:eastAsia="Times New Roman"/>
                <w:sz w:val="20"/>
                <w:szCs w:val="20"/>
              </w:rPr>
            </w:pPr>
          </w:p>
        </w:tc>
        <w:tc>
          <w:tcPr>
            <w:tcW w:w="50" w:type="pct"/>
            <w:vAlign w:val="center"/>
            <w:hideMark/>
          </w:tcPr>
          <w:p w14:paraId="78834CE4" w14:textId="77777777" w:rsidR="00000000" w:rsidRDefault="00405D16">
            <w:pPr>
              <w:spacing w:after="100"/>
              <w:rPr>
                <w:rFonts w:eastAsia="Times New Roman"/>
                <w:sz w:val="20"/>
                <w:szCs w:val="20"/>
              </w:rPr>
            </w:pPr>
          </w:p>
        </w:tc>
        <w:tc>
          <w:tcPr>
            <w:tcW w:w="424" w:type="pct"/>
            <w:vAlign w:val="center"/>
            <w:hideMark/>
          </w:tcPr>
          <w:p w14:paraId="6029C3E2" w14:textId="77777777" w:rsidR="00000000" w:rsidRDefault="00405D16">
            <w:pPr>
              <w:spacing w:after="100"/>
              <w:rPr>
                <w:rFonts w:eastAsia="Times New Roman"/>
                <w:sz w:val="20"/>
                <w:szCs w:val="20"/>
              </w:rPr>
            </w:pPr>
          </w:p>
        </w:tc>
        <w:tc>
          <w:tcPr>
            <w:tcW w:w="5" w:type="pct"/>
            <w:vAlign w:val="center"/>
            <w:hideMark/>
          </w:tcPr>
          <w:p w14:paraId="3D4C9516" w14:textId="77777777" w:rsidR="00000000" w:rsidRDefault="00405D16">
            <w:pPr>
              <w:spacing w:after="100"/>
              <w:rPr>
                <w:rFonts w:eastAsia="Times New Roman"/>
                <w:sz w:val="20"/>
                <w:szCs w:val="20"/>
              </w:rPr>
            </w:pPr>
          </w:p>
        </w:tc>
        <w:tc>
          <w:tcPr>
            <w:tcW w:w="5" w:type="pct"/>
            <w:vAlign w:val="center"/>
            <w:hideMark/>
          </w:tcPr>
          <w:p w14:paraId="3E003A9E" w14:textId="77777777" w:rsidR="00000000" w:rsidRDefault="00405D16">
            <w:pPr>
              <w:spacing w:after="100"/>
              <w:rPr>
                <w:rFonts w:eastAsia="Times New Roman"/>
                <w:sz w:val="20"/>
                <w:szCs w:val="20"/>
              </w:rPr>
            </w:pPr>
          </w:p>
        </w:tc>
        <w:tc>
          <w:tcPr>
            <w:tcW w:w="26" w:type="pct"/>
            <w:vAlign w:val="center"/>
            <w:hideMark/>
          </w:tcPr>
          <w:p w14:paraId="29D5A022" w14:textId="77777777" w:rsidR="00000000" w:rsidRDefault="00405D16">
            <w:pPr>
              <w:spacing w:after="100"/>
              <w:rPr>
                <w:rFonts w:eastAsia="Times New Roman"/>
                <w:sz w:val="20"/>
                <w:szCs w:val="20"/>
              </w:rPr>
            </w:pPr>
          </w:p>
        </w:tc>
        <w:tc>
          <w:tcPr>
            <w:tcW w:w="5" w:type="pct"/>
            <w:vAlign w:val="center"/>
            <w:hideMark/>
          </w:tcPr>
          <w:p w14:paraId="036CFEF0" w14:textId="77777777" w:rsidR="00000000" w:rsidRDefault="00405D16">
            <w:pPr>
              <w:spacing w:after="100"/>
              <w:rPr>
                <w:rFonts w:eastAsia="Times New Roman"/>
                <w:sz w:val="20"/>
                <w:szCs w:val="20"/>
              </w:rPr>
            </w:pPr>
          </w:p>
        </w:tc>
        <w:tc>
          <w:tcPr>
            <w:tcW w:w="50" w:type="pct"/>
            <w:vAlign w:val="center"/>
            <w:hideMark/>
          </w:tcPr>
          <w:p w14:paraId="077CF4B7" w14:textId="77777777" w:rsidR="00000000" w:rsidRDefault="00405D16">
            <w:pPr>
              <w:spacing w:after="100"/>
              <w:rPr>
                <w:rFonts w:eastAsia="Times New Roman"/>
                <w:sz w:val="20"/>
                <w:szCs w:val="20"/>
              </w:rPr>
            </w:pPr>
          </w:p>
        </w:tc>
        <w:tc>
          <w:tcPr>
            <w:tcW w:w="424" w:type="pct"/>
            <w:vAlign w:val="center"/>
            <w:hideMark/>
          </w:tcPr>
          <w:p w14:paraId="5FC4B472" w14:textId="77777777" w:rsidR="00000000" w:rsidRDefault="00405D16">
            <w:pPr>
              <w:spacing w:after="100"/>
              <w:rPr>
                <w:rFonts w:eastAsia="Times New Roman"/>
                <w:sz w:val="20"/>
                <w:szCs w:val="20"/>
              </w:rPr>
            </w:pPr>
          </w:p>
        </w:tc>
        <w:tc>
          <w:tcPr>
            <w:tcW w:w="5" w:type="pct"/>
            <w:vAlign w:val="center"/>
            <w:hideMark/>
          </w:tcPr>
          <w:p w14:paraId="184B5A73" w14:textId="77777777" w:rsidR="00000000" w:rsidRDefault="00405D16">
            <w:pPr>
              <w:spacing w:after="100"/>
              <w:rPr>
                <w:rFonts w:eastAsia="Times New Roman"/>
                <w:sz w:val="20"/>
                <w:szCs w:val="20"/>
              </w:rPr>
            </w:pPr>
          </w:p>
        </w:tc>
        <w:tc>
          <w:tcPr>
            <w:tcW w:w="5" w:type="pct"/>
            <w:vAlign w:val="center"/>
            <w:hideMark/>
          </w:tcPr>
          <w:p w14:paraId="1DD9A9DF" w14:textId="77777777" w:rsidR="00000000" w:rsidRDefault="00405D16">
            <w:pPr>
              <w:spacing w:after="100"/>
              <w:rPr>
                <w:rFonts w:eastAsia="Times New Roman"/>
                <w:sz w:val="20"/>
                <w:szCs w:val="20"/>
              </w:rPr>
            </w:pPr>
          </w:p>
        </w:tc>
        <w:tc>
          <w:tcPr>
            <w:tcW w:w="26" w:type="pct"/>
            <w:vAlign w:val="center"/>
            <w:hideMark/>
          </w:tcPr>
          <w:p w14:paraId="42569D6A" w14:textId="77777777" w:rsidR="00000000" w:rsidRDefault="00405D16">
            <w:pPr>
              <w:spacing w:after="100"/>
              <w:rPr>
                <w:rFonts w:eastAsia="Times New Roman"/>
                <w:sz w:val="20"/>
                <w:szCs w:val="20"/>
              </w:rPr>
            </w:pPr>
          </w:p>
        </w:tc>
        <w:tc>
          <w:tcPr>
            <w:tcW w:w="5" w:type="pct"/>
            <w:vAlign w:val="center"/>
            <w:hideMark/>
          </w:tcPr>
          <w:p w14:paraId="0FE1B757" w14:textId="77777777" w:rsidR="00000000" w:rsidRDefault="00405D16">
            <w:pPr>
              <w:spacing w:after="100"/>
              <w:rPr>
                <w:rFonts w:eastAsia="Times New Roman"/>
                <w:sz w:val="20"/>
                <w:szCs w:val="20"/>
              </w:rPr>
            </w:pPr>
          </w:p>
        </w:tc>
        <w:tc>
          <w:tcPr>
            <w:tcW w:w="50" w:type="pct"/>
            <w:vAlign w:val="center"/>
            <w:hideMark/>
          </w:tcPr>
          <w:p w14:paraId="61433130" w14:textId="77777777" w:rsidR="00000000" w:rsidRDefault="00405D16">
            <w:pPr>
              <w:spacing w:after="100"/>
              <w:rPr>
                <w:rFonts w:eastAsia="Times New Roman"/>
                <w:sz w:val="20"/>
                <w:szCs w:val="20"/>
              </w:rPr>
            </w:pPr>
          </w:p>
        </w:tc>
        <w:tc>
          <w:tcPr>
            <w:tcW w:w="409" w:type="pct"/>
            <w:vAlign w:val="center"/>
            <w:hideMark/>
          </w:tcPr>
          <w:p w14:paraId="69C2DB32" w14:textId="77777777" w:rsidR="00000000" w:rsidRDefault="00405D16">
            <w:pPr>
              <w:spacing w:after="100"/>
              <w:rPr>
                <w:rFonts w:eastAsia="Times New Roman"/>
                <w:sz w:val="20"/>
                <w:szCs w:val="20"/>
              </w:rPr>
            </w:pPr>
          </w:p>
        </w:tc>
        <w:tc>
          <w:tcPr>
            <w:tcW w:w="5" w:type="pct"/>
            <w:vAlign w:val="center"/>
            <w:hideMark/>
          </w:tcPr>
          <w:p w14:paraId="7360086B" w14:textId="77777777" w:rsidR="00000000" w:rsidRDefault="00405D16">
            <w:pPr>
              <w:spacing w:after="100"/>
              <w:rPr>
                <w:rFonts w:eastAsia="Times New Roman"/>
                <w:sz w:val="20"/>
                <w:szCs w:val="20"/>
              </w:rPr>
            </w:pPr>
          </w:p>
        </w:tc>
      </w:tr>
      <w:tr w:rsidR="00000000" w14:paraId="21E61039" w14:textId="77777777">
        <w:trPr>
          <w:divId w:val="185097223"/>
          <w:trHeight w:val="420"/>
        </w:trPr>
        <w:tc>
          <w:tcPr>
            <w:tcW w:w="0" w:type="auto"/>
            <w:gridSpan w:val="3"/>
            <w:tcMar>
              <w:top w:w="0" w:type="dxa"/>
              <w:left w:w="20" w:type="dxa"/>
              <w:bottom w:w="0" w:type="dxa"/>
              <w:right w:w="20" w:type="dxa"/>
            </w:tcMar>
            <w:vAlign w:val="center"/>
            <w:hideMark/>
          </w:tcPr>
          <w:p w14:paraId="371824E5"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44C410E"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C688415"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A01D35"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8D2C3C"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E6B331" w14:textId="77777777" w:rsidR="00000000" w:rsidRDefault="00405D16">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14:paraId="48754963" w14:textId="77777777" w:rsidR="00000000" w:rsidRDefault="00405D16">
            <w:pPr>
              <w:spacing w:after="100"/>
              <w:jc w:val="center"/>
              <w:rPr>
                <w:rFonts w:eastAsia="Times New Roman"/>
              </w:rPr>
            </w:pPr>
            <w:r>
              <w:rPr>
                <w:rFonts w:eastAsia="Times New Roman"/>
                <w:b/>
                <w:bCs/>
                <w:color w:val="000000"/>
                <w:sz w:val="14"/>
                <w:szCs w:val="14"/>
              </w:rPr>
              <w:t>Redeemable by Issuer Beginning</w:t>
            </w:r>
          </w:p>
        </w:tc>
        <w:tc>
          <w:tcPr>
            <w:tcW w:w="0" w:type="auto"/>
            <w:gridSpan w:val="3"/>
            <w:tcMar>
              <w:top w:w="0" w:type="dxa"/>
              <w:left w:w="20" w:type="dxa"/>
              <w:bottom w:w="0" w:type="dxa"/>
              <w:right w:w="20" w:type="dxa"/>
            </w:tcMar>
            <w:vAlign w:val="center"/>
            <w:hideMark/>
          </w:tcPr>
          <w:p w14:paraId="568D3062" w14:textId="77777777" w:rsidR="00000000" w:rsidRDefault="00405D1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0185FC24" w14:textId="77777777" w:rsidR="00000000" w:rsidRDefault="00405D16">
            <w:pPr>
              <w:spacing w:after="100"/>
              <w:jc w:val="center"/>
              <w:rPr>
                <w:rFonts w:eastAsia="Times New Roman"/>
              </w:rPr>
            </w:pPr>
            <w:r>
              <w:rPr>
                <w:rFonts w:eastAsia="Times New Roman"/>
                <w:b/>
                <w:bCs/>
                <w:color w:val="000000"/>
                <w:sz w:val="14"/>
                <w:szCs w:val="14"/>
              </w:rPr>
              <w:t>Per Annum Dividend Rate</w:t>
            </w:r>
          </w:p>
        </w:tc>
        <w:tc>
          <w:tcPr>
            <w:tcW w:w="0" w:type="auto"/>
            <w:gridSpan w:val="3"/>
            <w:tcMar>
              <w:top w:w="0" w:type="dxa"/>
              <w:left w:w="20" w:type="dxa"/>
              <w:bottom w:w="0" w:type="dxa"/>
              <w:right w:w="20" w:type="dxa"/>
            </w:tcMar>
            <w:vAlign w:val="center"/>
            <w:hideMark/>
          </w:tcPr>
          <w:p w14:paraId="0C26B112" w14:textId="77777777" w:rsidR="00000000" w:rsidRDefault="00405D1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4363B7A9" w14:textId="77777777" w:rsidR="00000000" w:rsidRDefault="00405D16">
            <w:pPr>
              <w:spacing w:after="100"/>
              <w:jc w:val="center"/>
              <w:rPr>
                <w:rFonts w:eastAsia="Times New Roman"/>
              </w:rPr>
            </w:pPr>
            <w:r>
              <w:rPr>
                <w:rFonts w:eastAsia="Times New Roman"/>
                <w:b/>
                <w:bCs/>
                <w:color w:val="000000"/>
                <w:sz w:val="14"/>
                <w:szCs w:val="14"/>
              </w:rPr>
              <w:t>Dividend Frequency</w:t>
            </w:r>
          </w:p>
        </w:tc>
        <w:tc>
          <w:tcPr>
            <w:tcW w:w="0" w:type="auto"/>
            <w:gridSpan w:val="3"/>
            <w:tcMar>
              <w:top w:w="0" w:type="dxa"/>
              <w:left w:w="20" w:type="dxa"/>
              <w:bottom w:w="0" w:type="dxa"/>
              <w:right w:w="20" w:type="dxa"/>
            </w:tcMar>
            <w:vAlign w:val="center"/>
            <w:hideMark/>
          </w:tcPr>
          <w:p w14:paraId="6389B59B" w14:textId="77777777" w:rsidR="00000000" w:rsidRDefault="00405D1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3508F059" w14:textId="77777777" w:rsidR="00000000" w:rsidRDefault="00405D16">
            <w:pPr>
              <w:spacing w:after="100"/>
              <w:jc w:val="center"/>
              <w:rPr>
                <w:rFonts w:eastAsia="Times New Roman"/>
              </w:rPr>
            </w:pPr>
            <w:r>
              <w:rPr>
                <w:rFonts w:eastAsia="Times New Roman"/>
                <w:b/>
                <w:bCs/>
                <w:color w:val="000000"/>
                <w:sz w:val="14"/>
                <w:szCs w:val="14"/>
              </w:rPr>
              <w:t>Liquidation Preference per Share</w:t>
            </w:r>
          </w:p>
        </w:tc>
        <w:tc>
          <w:tcPr>
            <w:tcW w:w="0" w:type="auto"/>
            <w:gridSpan w:val="3"/>
            <w:tcMar>
              <w:top w:w="0" w:type="dxa"/>
              <w:left w:w="20" w:type="dxa"/>
              <w:bottom w:w="0" w:type="dxa"/>
              <w:right w:w="20" w:type="dxa"/>
            </w:tcMar>
            <w:vAlign w:val="center"/>
            <w:hideMark/>
          </w:tcPr>
          <w:p w14:paraId="32F95588" w14:textId="77777777" w:rsidR="00000000" w:rsidRDefault="00405D1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22531C06" w14:textId="77777777" w:rsidR="00000000" w:rsidRDefault="00405D16">
            <w:pPr>
              <w:spacing w:after="100"/>
              <w:jc w:val="center"/>
              <w:rPr>
                <w:rFonts w:eastAsia="Times New Roman"/>
              </w:rPr>
            </w:pPr>
            <w:r>
              <w:rPr>
                <w:rFonts w:eastAsia="Times New Roman"/>
                <w:b/>
                <w:bCs/>
                <w:color w:val="000000"/>
                <w:sz w:val="14"/>
                <w:szCs w:val="14"/>
              </w:rPr>
              <w:t>Total Shares Outstanding</w:t>
            </w:r>
            <w:r>
              <w:rPr>
                <w:rFonts w:eastAsia="Times New Roman"/>
                <w:b/>
                <w:bCs/>
                <w:color w:val="000000"/>
                <w:sz w:val="14"/>
                <w:szCs w:val="14"/>
              </w:rPr>
              <w:br/>
              <w:t xml:space="preserve">as of </w:t>
            </w:r>
            <w:r>
              <w:rPr>
                <w:rFonts w:eastAsia="Times New Roman"/>
                <w:b/>
                <w:bCs/>
                <w:color w:val="000000"/>
                <w:sz w:val="14"/>
                <w:szCs w:val="14"/>
              </w:rPr>
              <w:br/>
              <w:t>September 30, 2021</w:t>
            </w:r>
          </w:p>
        </w:tc>
        <w:tc>
          <w:tcPr>
            <w:tcW w:w="0" w:type="auto"/>
            <w:gridSpan w:val="3"/>
            <w:tcMar>
              <w:top w:w="0" w:type="dxa"/>
              <w:left w:w="20" w:type="dxa"/>
              <w:bottom w:w="0" w:type="dxa"/>
              <w:right w:w="20" w:type="dxa"/>
            </w:tcMar>
            <w:vAlign w:val="center"/>
            <w:hideMark/>
          </w:tcPr>
          <w:p w14:paraId="6966CEF2" w14:textId="77777777" w:rsidR="00000000" w:rsidRDefault="00405D1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81DFFAB" w14:textId="77777777" w:rsidR="00000000" w:rsidRDefault="00405D16">
            <w:pPr>
              <w:spacing w:after="100"/>
              <w:jc w:val="center"/>
              <w:rPr>
                <w:rFonts w:eastAsia="Times New Roman"/>
              </w:rPr>
            </w:pPr>
            <w:r>
              <w:rPr>
                <w:rFonts w:eastAsia="Times New Roman"/>
                <w:b/>
                <w:bCs/>
                <w:color w:val="000000"/>
                <w:sz w:val="14"/>
                <w:szCs w:val="14"/>
              </w:rPr>
              <w:t xml:space="preserve">Carrying Value </w:t>
            </w:r>
            <w:r>
              <w:rPr>
                <w:rFonts w:eastAsia="Times New Roman"/>
                <w:b/>
                <w:bCs/>
                <w:color w:val="000000"/>
                <w:sz w:val="14"/>
                <w:szCs w:val="14"/>
              </w:rPr>
              <w:br/>
              <w:t>(in millions)</w:t>
            </w:r>
          </w:p>
        </w:tc>
      </w:tr>
      <w:tr w:rsidR="00000000" w14:paraId="5D82427E" w14:textId="77777777">
        <w:trPr>
          <w:divId w:val="185097223"/>
          <w:trHeight w:val="360"/>
        </w:trPr>
        <w:tc>
          <w:tcPr>
            <w:tcW w:w="0" w:type="auto"/>
            <w:gridSpan w:val="3"/>
            <w:tcMar>
              <w:top w:w="30" w:type="dxa"/>
              <w:left w:w="20" w:type="dxa"/>
              <w:bottom w:w="30" w:type="dxa"/>
              <w:right w:w="20" w:type="dxa"/>
            </w:tcMar>
            <w:vAlign w:val="bottom"/>
            <w:hideMark/>
          </w:tcPr>
          <w:p w14:paraId="12093107" w14:textId="77777777" w:rsidR="00000000" w:rsidRDefault="00405D16">
            <w:pPr>
              <w:spacing w:after="100"/>
              <w:jc w:val="center"/>
              <w:rPr>
                <w:rFonts w:eastAsia="Times New Roman"/>
              </w:rPr>
            </w:pPr>
            <w:r>
              <w:rPr>
                <w:rFonts w:eastAsia="Times New Roman"/>
                <w:b/>
                <w:bCs/>
                <w:color w:val="000000"/>
                <w:sz w:val="14"/>
                <w:szCs w:val="14"/>
              </w:rPr>
              <w:t>Series</w:t>
            </w:r>
          </w:p>
        </w:tc>
        <w:tc>
          <w:tcPr>
            <w:tcW w:w="0" w:type="auto"/>
            <w:gridSpan w:val="3"/>
            <w:tcMar>
              <w:top w:w="0" w:type="dxa"/>
              <w:left w:w="20" w:type="dxa"/>
              <w:bottom w:w="0" w:type="dxa"/>
              <w:right w:w="20" w:type="dxa"/>
            </w:tcMar>
            <w:vAlign w:val="center"/>
            <w:hideMark/>
          </w:tcPr>
          <w:p w14:paraId="05AA969D"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C60B9EE" w14:textId="77777777" w:rsidR="00000000" w:rsidRDefault="00405D16">
            <w:pPr>
              <w:spacing w:after="100"/>
              <w:jc w:val="center"/>
              <w:rPr>
                <w:rFonts w:eastAsia="Times New Roman"/>
              </w:rPr>
            </w:pPr>
            <w:r>
              <w:rPr>
                <w:rFonts w:eastAsia="Times New Roman"/>
                <w:b/>
                <w:bCs/>
                <w:color w:val="000000"/>
                <w:sz w:val="14"/>
                <w:szCs w:val="14"/>
              </w:rPr>
              <w:t>Description</w:t>
            </w:r>
          </w:p>
        </w:tc>
        <w:tc>
          <w:tcPr>
            <w:tcW w:w="0" w:type="auto"/>
            <w:gridSpan w:val="3"/>
            <w:tcMar>
              <w:top w:w="0" w:type="dxa"/>
              <w:left w:w="20" w:type="dxa"/>
              <w:bottom w:w="0" w:type="dxa"/>
              <w:right w:w="20" w:type="dxa"/>
            </w:tcMar>
            <w:vAlign w:val="center"/>
            <w:hideMark/>
          </w:tcPr>
          <w:p w14:paraId="25C9E8CE"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DF4FEBA" w14:textId="77777777" w:rsidR="00000000" w:rsidRDefault="00405D16">
            <w:pPr>
              <w:spacing w:after="100"/>
              <w:jc w:val="center"/>
              <w:rPr>
                <w:rFonts w:eastAsia="Times New Roman"/>
              </w:rPr>
            </w:pPr>
            <w:r>
              <w:rPr>
                <w:rFonts w:eastAsia="Times New Roman"/>
                <w:b/>
                <w:bCs/>
                <w:color w:val="000000"/>
                <w:sz w:val="14"/>
                <w:szCs w:val="14"/>
              </w:rPr>
              <w:t>Issuance Date</w:t>
            </w:r>
          </w:p>
        </w:tc>
        <w:tc>
          <w:tcPr>
            <w:tcW w:w="0" w:type="auto"/>
            <w:gridSpan w:val="3"/>
            <w:tcMar>
              <w:top w:w="0" w:type="dxa"/>
              <w:left w:w="20" w:type="dxa"/>
              <w:bottom w:w="0" w:type="dxa"/>
              <w:right w:w="20" w:type="dxa"/>
            </w:tcMar>
            <w:vAlign w:val="center"/>
            <w:hideMark/>
          </w:tcPr>
          <w:p w14:paraId="4ADD01E2" w14:textId="77777777" w:rsidR="00000000" w:rsidRDefault="00405D16">
            <w:pPr>
              <w:spacing w:after="100"/>
              <w:jc w:val="center"/>
              <w:rPr>
                <w:rFonts w:eastAsia="Times New Roman"/>
              </w:rPr>
            </w:pPr>
          </w:p>
        </w:tc>
        <w:tc>
          <w:tcPr>
            <w:tcW w:w="0" w:type="auto"/>
            <w:gridSpan w:val="3"/>
            <w:vMerge/>
            <w:vAlign w:val="center"/>
            <w:hideMark/>
          </w:tcPr>
          <w:p w14:paraId="1B9E0C8D" w14:textId="77777777" w:rsidR="00000000" w:rsidRDefault="00405D16">
            <w:pPr>
              <w:spacing w:after="100"/>
              <w:rPr>
                <w:rFonts w:eastAsia="Times New Roman"/>
              </w:rPr>
            </w:pPr>
          </w:p>
        </w:tc>
        <w:tc>
          <w:tcPr>
            <w:tcW w:w="0" w:type="auto"/>
            <w:gridSpan w:val="3"/>
            <w:tcMar>
              <w:top w:w="0" w:type="dxa"/>
              <w:left w:w="20" w:type="dxa"/>
              <w:bottom w:w="0" w:type="dxa"/>
              <w:right w:w="20" w:type="dxa"/>
            </w:tcMar>
            <w:vAlign w:val="center"/>
            <w:hideMark/>
          </w:tcPr>
          <w:p w14:paraId="195441B6" w14:textId="77777777" w:rsidR="00000000" w:rsidRDefault="00405D16">
            <w:pPr>
              <w:spacing w:after="100"/>
              <w:rPr>
                <w:rFonts w:eastAsia="Times New Roman"/>
                <w:sz w:val="20"/>
                <w:szCs w:val="20"/>
              </w:rPr>
            </w:pPr>
          </w:p>
        </w:tc>
        <w:tc>
          <w:tcPr>
            <w:tcW w:w="0" w:type="auto"/>
            <w:gridSpan w:val="3"/>
            <w:vMerge/>
            <w:vAlign w:val="center"/>
            <w:hideMark/>
          </w:tcPr>
          <w:p w14:paraId="50699757" w14:textId="77777777" w:rsidR="00000000" w:rsidRDefault="00405D16">
            <w:pPr>
              <w:spacing w:after="100"/>
              <w:rPr>
                <w:rFonts w:eastAsia="Times New Roman"/>
              </w:rPr>
            </w:pPr>
          </w:p>
        </w:tc>
        <w:tc>
          <w:tcPr>
            <w:tcW w:w="0" w:type="auto"/>
            <w:gridSpan w:val="3"/>
            <w:tcMar>
              <w:top w:w="0" w:type="dxa"/>
              <w:left w:w="20" w:type="dxa"/>
              <w:bottom w:w="0" w:type="dxa"/>
              <w:right w:w="20" w:type="dxa"/>
            </w:tcMar>
            <w:vAlign w:val="center"/>
            <w:hideMark/>
          </w:tcPr>
          <w:p w14:paraId="7DDFD598" w14:textId="77777777" w:rsidR="00000000" w:rsidRDefault="00405D16">
            <w:pPr>
              <w:spacing w:after="100"/>
              <w:rPr>
                <w:rFonts w:eastAsia="Times New Roman"/>
                <w:sz w:val="20"/>
                <w:szCs w:val="20"/>
              </w:rPr>
            </w:pPr>
          </w:p>
        </w:tc>
        <w:tc>
          <w:tcPr>
            <w:tcW w:w="0" w:type="auto"/>
            <w:gridSpan w:val="3"/>
            <w:vMerge/>
            <w:vAlign w:val="center"/>
            <w:hideMark/>
          </w:tcPr>
          <w:p w14:paraId="0F122521" w14:textId="77777777" w:rsidR="00000000" w:rsidRDefault="00405D16">
            <w:pPr>
              <w:spacing w:after="100"/>
              <w:rPr>
                <w:rFonts w:eastAsia="Times New Roman"/>
              </w:rPr>
            </w:pPr>
          </w:p>
        </w:tc>
        <w:tc>
          <w:tcPr>
            <w:tcW w:w="0" w:type="auto"/>
            <w:gridSpan w:val="3"/>
            <w:tcMar>
              <w:top w:w="0" w:type="dxa"/>
              <w:left w:w="20" w:type="dxa"/>
              <w:bottom w:w="0" w:type="dxa"/>
              <w:right w:w="20" w:type="dxa"/>
            </w:tcMar>
            <w:vAlign w:val="center"/>
            <w:hideMark/>
          </w:tcPr>
          <w:p w14:paraId="46270EAC" w14:textId="77777777" w:rsidR="00000000" w:rsidRDefault="00405D16">
            <w:pPr>
              <w:spacing w:after="100"/>
              <w:rPr>
                <w:rFonts w:eastAsia="Times New Roman"/>
                <w:sz w:val="20"/>
                <w:szCs w:val="20"/>
              </w:rPr>
            </w:pPr>
          </w:p>
        </w:tc>
        <w:tc>
          <w:tcPr>
            <w:tcW w:w="0" w:type="auto"/>
            <w:gridSpan w:val="3"/>
            <w:vMerge/>
            <w:vAlign w:val="center"/>
            <w:hideMark/>
          </w:tcPr>
          <w:p w14:paraId="636AB25A" w14:textId="77777777" w:rsidR="00000000" w:rsidRDefault="00405D16">
            <w:pPr>
              <w:spacing w:after="100"/>
              <w:rPr>
                <w:rFonts w:eastAsia="Times New Roman"/>
              </w:rPr>
            </w:pPr>
          </w:p>
        </w:tc>
        <w:tc>
          <w:tcPr>
            <w:tcW w:w="0" w:type="auto"/>
            <w:gridSpan w:val="3"/>
            <w:tcMar>
              <w:top w:w="0" w:type="dxa"/>
              <w:left w:w="20" w:type="dxa"/>
              <w:bottom w:w="0" w:type="dxa"/>
              <w:right w:w="20" w:type="dxa"/>
            </w:tcMar>
            <w:vAlign w:val="center"/>
            <w:hideMark/>
          </w:tcPr>
          <w:p w14:paraId="0F4906AF" w14:textId="77777777" w:rsidR="00000000" w:rsidRDefault="00405D16">
            <w:pPr>
              <w:spacing w:after="100"/>
              <w:rPr>
                <w:rFonts w:eastAsia="Times New Roman"/>
                <w:sz w:val="20"/>
                <w:szCs w:val="20"/>
              </w:rPr>
            </w:pPr>
          </w:p>
        </w:tc>
        <w:tc>
          <w:tcPr>
            <w:tcW w:w="0" w:type="auto"/>
            <w:gridSpan w:val="3"/>
            <w:vMerge/>
            <w:vAlign w:val="center"/>
            <w:hideMark/>
          </w:tcPr>
          <w:p w14:paraId="7F920ED5" w14:textId="77777777" w:rsidR="00000000" w:rsidRDefault="00405D16">
            <w:pPr>
              <w:spacing w:after="100"/>
              <w:rPr>
                <w:rFonts w:eastAsia="Times New Roman"/>
              </w:rPr>
            </w:pPr>
          </w:p>
        </w:tc>
        <w:tc>
          <w:tcPr>
            <w:tcW w:w="0" w:type="auto"/>
            <w:gridSpan w:val="3"/>
            <w:tcMar>
              <w:top w:w="0" w:type="dxa"/>
              <w:left w:w="20" w:type="dxa"/>
              <w:bottom w:w="0" w:type="dxa"/>
              <w:right w:w="20" w:type="dxa"/>
            </w:tcMar>
            <w:vAlign w:val="center"/>
            <w:hideMark/>
          </w:tcPr>
          <w:p w14:paraId="2150087A"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661F6FB" w14:textId="77777777" w:rsidR="00000000" w:rsidRDefault="00405D16">
            <w:pPr>
              <w:spacing w:after="100"/>
              <w:jc w:val="center"/>
              <w:rPr>
                <w:rFonts w:eastAsia="Times New Roman"/>
              </w:rPr>
            </w:pPr>
            <w:r>
              <w:rPr>
                <w:rFonts w:eastAsia="Times New Roman"/>
                <w:b/>
                <w:bCs/>
                <w:color w:val="000000"/>
                <w:sz w:val="14"/>
                <w:szCs w:val="14"/>
              </w:rPr>
              <w:t>September 30, 2021</w:t>
            </w:r>
          </w:p>
        </w:tc>
        <w:tc>
          <w:tcPr>
            <w:tcW w:w="0" w:type="auto"/>
            <w:gridSpan w:val="3"/>
            <w:tcBorders>
              <w:top w:val="single" w:sz="8" w:space="0" w:color="000000"/>
            </w:tcBorders>
            <w:tcMar>
              <w:top w:w="0" w:type="dxa"/>
              <w:left w:w="20" w:type="dxa"/>
              <w:bottom w:w="0" w:type="dxa"/>
              <w:right w:w="20" w:type="dxa"/>
            </w:tcMar>
            <w:vAlign w:val="center"/>
            <w:hideMark/>
          </w:tcPr>
          <w:p w14:paraId="474CB9AC"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57BE80E" w14:textId="77777777" w:rsidR="00000000" w:rsidRDefault="00405D16">
            <w:pPr>
              <w:spacing w:after="100"/>
              <w:jc w:val="center"/>
              <w:rPr>
                <w:rFonts w:eastAsia="Times New Roman"/>
              </w:rPr>
            </w:pPr>
            <w:r>
              <w:rPr>
                <w:rFonts w:eastAsia="Times New Roman"/>
                <w:b/>
                <w:bCs/>
                <w:color w:val="000000"/>
                <w:sz w:val="14"/>
                <w:szCs w:val="14"/>
              </w:rPr>
              <w:t>December 31, 2020</w:t>
            </w:r>
          </w:p>
        </w:tc>
      </w:tr>
      <w:tr w:rsidR="00000000" w14:paraId="181EFFBA" w14:textId="77777777">
        <w:trPr>
          <w:divId w:val="18509722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93DBAB5" w14:textId="77777777" w:rsidR="00000000" w:rsidRDefault="00405D16">
            <w:pPr>
              <w:spacing w:after="100"/>
              <w:divId w:val="116604481"/>
              <w:rPr>
                <w:rFonts w:eastAsia="Times New Roman"/>
              </w:rPr>
            </w:pPr>
            <w:r>
              <w:rPr>
                <w:rFonts w:eastAsia="Times New Roman"/>
                <w:b/>
                <w:bCs/>
                <w:color w:val="000000"/>
                <w:sz w:val="16"/>
                <w:szCs w:val="16"/>
              </w:rPr>
              <w:t xml:space="preserve">Series </w:t>
            </w:r>
            <w:r>
              <w:rPr>
                <w:rFonts w:eastAsia="Times New Roman"/>
                <w:b/>
                <w:bCs/>
                <w:color w:val="000000"/>
                <w:sz w:val="16"/>
                <w:szCs w:val="16"/>
              </w:rPr>
              <w:t>E</w:t>
            </w:r>
            <w:r>
              <w:rPr>
                <w:rFonts w:eastAsia="Times New Roman"/>
                <w:b/>
                <w:bCs/>
                <w:color w:val="000000"/>
                <w:sz w:val="10"/>
                <w:szCs w:val="10"/>
              </w:rPr>
              <w:t>(2</w:t>
            </w:r>
            <w:r>
              <w:rPr>
                <w:rFonts w:eastAsia="Times New Roman"/>
                <w:b/>
                <w:bCs/>
                <w:color w:val="000000"/>
                <w:sz w:val="10"/>
                <w:szCs w:val="10"/>
              </w:rPr>
              <w:t>)</w:t>
            </w:r>
          </w:p>
        </w:tc>
        <w:tc>
          <w:tcPr>
            <w:tcW w:w="0" w:type="auto"/>
            <w:gridSpan w:val="3"/>
            <w:shd w:val="clear" w:color="auto" w:fill="CCEEFF"/>
            <w:tcMar>
              <w:top w:w="0" w:type="dxa"/>
              <w:left w:w="20" w:type="dxa"/>
              <w:bottom w:w="0" w:type="dxa"/>
              <w:right w:w="20" w:type="dxa"/>
            </w:tcMar>
            <w:vAlign w:val="center"/>
            <w:hideMark/>
          </w:tcPr>
          <w:p w14:paraId="003090EB"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2342EB5" w14:textId="77777777" w:rsidR="00000000" w:rsidRDefault="00405D16">
            <w:pPr>
              <w:spacing w:after="100"/>
              <w:jc w:val="center"/>
              <w:rPr>
                <w:rFonts w:eastAsia="Times New Roman"/>
              </w:rPr>
            </w:pPr>
            <w:r>
              <w:rPr>
                <w:rFonts w:eastAsia="Times New Roman"/>
                <w:color w:val="000000"/>
                <w:sz w:val="16"/>
                <w:szCs w:val="16"/>
              </w:rPr>
              <w:t>Fixed-to-Floating Rate</w:t>
            </w:r>
            <w:r>
              <w:rPr>
                <w:rFonts w:eastAsia="Times New Roman"/>
                <w:color w:val="000000"/>
                <w:sz w:val="16"/>
                <w:szCs w:val="16"/>
              </w:rPr>
              <w:br/>
              <w:t>Non-Cumulative</w:t>
            </w:r>
          </w:p>
        </w:tc>
        <w:tc>
          <w:tcPr>
            <w:tcW w:w="0" w:type="auto"/>
            <w:gridSpan w:val="3"/>
            <w:shd w:val="clear" w:color="auto" w:fill="CCEEFF"/>
            <w:tcMar>
              <w:top w:w="0" w:type="dxa"/>
              <w:left w:w="20" w:type="dxa"/>
              <w:bottom w:w="0" w:type="dxa"/>
              <w:right w:w="20" w:type="dxa"/>
            </w:tcMar>
            <w:vAlign w:val="center"/>
            <w:hideMark/>
          </w:tcPr>
          <w:p w14:paraId="06F0BD76" w14:textId="77777777" w:rsidR="00000000" w:rsidRDefault="00405D16">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CA1025A" w14:textId="77777777" w:rsidR="00000000" w:rsidRDefault="00405D16">
            <w:pPr>
              <w:spacing w:after="100"/>
              <w:jc w:val="center"/>
              <w:rPr>
                <w:rFonts w:eastAsia="Times New Roman"/>
              </w:rPr>
            </w:pPr>
            <w:r>
              <w:rPr>
                <w:rFonts w:eastAsia="Times New Roman"/>
                <w:color w:val="000000"/>
                <w:sz w:val="16"/>
                <w:szCs w:val="16"/>
              </w:rPr>
              <w:t>May 14, 2015</w:t>
            </w:r>
          </w:p>
        </w:tc>
        <w:tc>
          <w:tcPr>
            <w:tcW w:w="0" w:type="auto"/>
            <w:gridSpan w:val="3"/>
            <w:shd w:val="clear" w:color="auto" w:fill="CCEEFF"/>
            <w:tcMar>
              <w:top w:w="0" w:type="dxa"/>
              <w:left w:w="20" w:type="dxa"/>
              <w:bottom w:w="0" w:type="dxa"/>
              <w:right w:w="20" w:type="dxa"/>
            </w:tcMar>
            <w:vAlign w:val="center"/>
            <w:hideMark/>
          </w:tcPr>
          <w:p w14:paraId="27E41029" w14:textId="77777777" w:rsidR="00000000" w:rsidRDefault="00405D16">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34CCA16" w14:textId="77777777" w:rsidR="00000000" w:rsidRDefault="00405D16">
            <w:pPr>
              <w:spacing w:after="100"/>
              <w:jc w:val="center"/>
              <w:rPr>
                <w:rFonts w:eastAsia="Times New Roman"/>
              </w:rPr>
            </w:pPr>
            <w:r>
              <w:rPr>
                <w:rFonts w:eastAsia="Times New Roman"/>
                <w:color w:val="000000"/>
                <w:sz w:val="16"/>
                <w:szCs w:val="16"/>
              </w:rPr>
              <w:t>June 1, 2020</w:t>
            </w:r>
          </w:p>
        </w:tc>
        <w:tc>
          <w:tcPr>
            <w:tcW w:w="0" w:type="auto"/>
            <w:gridSpan w:val="3"/>
            <w:shd w:val="clear" w:color="auto" w:fill="CCEEFF"/>
            <w:tcMar>
              <w:top w:w="0" w:type="dxa"/>
              <w:left w:w="20" w:type="dxa"/>
              <w:bottom w:w="0" w:type="dxa"/>
              <w:right w:w="20" w:type="dxa"/>
            </w:tcMar>
            <w:vAlign w:val="center"/>
            <w:hideMark/>
          </w:tcPr>
          <w:p w14:paraId="63F19BFC" w14:textId="77777777" w:rsidR="00000000" w:rsidRDefault="00405D16">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6FA0543" w14:textId="77777777" w:rsidR="00000000" w:rsidRDefault="00405D16">
            <w:pPr>
              <w:spacing w:after="100"/>
              <w:jc w:val="center"/>
              <w:rPr>
                <w:rFonts w:eastAsia="Times New Roman"/>
              </w:rPr>
            </w:pPr>
            <w:r>
              <w:rPr>
                <w:rFonts w:eastAsia="Times New Roman"/>
                <w:color w:val="000000"/>
                <w:sz w:val="16"/>
                <w:szCs w:val="16"/>
              </w:rPr>
              <w:t xml:space="preserve">5.550% through 5/31/2020; </w:t>
            </w:r>
          </w:p>
          <w:p w14:paraId="00A8B8B4" w14:textId="77777777" w:rsidR="00000000" w:rsidRDefault="00405D16">
            <w:pPr>
              <w:spacing w:after="100"/>
              <w:jc w:val="center"/>
              <w:rPr>
                <w:rFonts w:eastAsia="Times New Roman"/>
              </w:rPr>
            </w:pPr>
            <w:r>
              <w:rPr>
                <w:rFonts w:eastAsia="Times New Roman"/>
                <w:color w:val="000000"/>
                <w:sz w:val="16"/>
                <w:szCs w:val="16"/>
              </w:rPr>
              <w:t xml:space="preserve">3-mo. LIBOR + 380 bps </w:t>
            </w:r>
            <w:r>
              <w:rPr>
                <w:rFonts w:eastAsia="Times New Roman"/>
                <w:color w:val="000000"/>
                <w:sz w:val="16"/>
                <w:szCs w:val="16"/>
              </w:rPr>
              <w:t>thereafter</w:t>
            </w:r>
          </w:p>
        </w:tc>
        <w:tc>
          <w:tcPr>
            <w:tcW w:w="0" w:type="auto"/>
            <w:gridSpan w:val="3"/>
            <w:shd w:val="clear" w:color="auto" w:fill="CCEEFF"/>
            <w:tcMar>
              <w:top w:w="0" w:type="dxa"/>
              <w:left w:w="20" w:type="dxa"/>
              <w:bottom w:w="0" w:type="dxa"/>
              <w:right w:w="20" w:type="dxa"/>
            </w:tcMar>
            <w:vAlign w:val="center"/>
            <w:hideMark/>
          </w:tcPr>
          <w:p w14:paraId="63C2914D" w14:textId="77777777" w:rsidR="00000000" w:rsidRDefault="00405D16">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A4D34DB" w14:textId="77777777" w:rsidR="00000000" w:rsidRDefault="00405D16">
            <w:pPr>
              <w:spacing w:after="100"/>
              <w:jc w:val="center"/>
              <w:rPr>
                <w:rFonts w:eastAsia="Times New Roman"/>
              </w:rPr>
            </w:pPr>
            <w:r>
              <w:rPr>
                <w:rFonts w:eastAsia="Times New Roman"/>
                <w:color w:val="000000"/>
                <w:sz w:val="16"/>
                <w:szCs w:val="16"/>
              </w:rPr>
              <w:t>Semi-Annually through 5/31/2020;</w:t>
            </w:r>
            <w:r>
              <w:rPr>
                <w:rFonts w:eastAsia="Times New Roman"/>
                <w:color w:val="000000"/>
                <w:sz w:val="16"/>
                <w:szCs w:val="16"/>
              </w:rPr>
              <w:br/>
              <w:t>Quarterly thereafter</w:t>
            </w:r>
          </w:p>
        </w:tc>
        <w:tc>
          <w:tcPr>
            <w:tcW w:w="0" w:type="auto"/>
            <w:gridSpan w:val="3"/>
            <w:shd w:val="clear" w:color="auto" w:fill="CCEEFF"/>
            <w:tcMar>
              <w:top w:w="0" w:type="dxa"/>
              <w:left w:w="20" w:type="dxa"/>
              <w:bottom w:w="0" w:type="dxa"/>
              <w:right w:w="20" w:type="dxa"/>
            </w:tcMar>
            <w:vAlign w:val="center"/>
            <w:hideMark/>
          </w:tcPr>
          <w:p w14:paraId="3EF17A7E" w14:textId="77777777" w:rsidR="00000000" w:rsidRDefault="00405D16">
            <w:pPr>
              <w:spacing w:after="100"/>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0F511CF"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4B90A76" w14:textId="77777777" w:rsidR="00000000" w:rsidRDefault="00405D16">
            <w:pPr>
              <w:spacing w:after="100"/>
              <w:jc w:val="right"/>
              <w:rPr>
                <w:rFonts w:eastAsia="Times New Roman"/>
              </w:rPr>
            </w:pPr>
            <w:r>
              <w:rPr>
                <w:rFonts w:eastAsia="Times New Roman"/>
                <w:color w:val="000000"/>
                <w:sz w:val="16"/>
                <w:szCs w:val="16"/>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D3500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B1B306" w14:textId="77777777" w:rsidR="00000000" w:rsidRDefault="00405D16">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E2DB389" w14:textId="77777777" w:rsidR="00000000" w:rsidRDefault="00405D16">
            <w:pPr>
              <w:spacing w:after="100"/>
              <w:jc w:val="right"/>
              <w:rPr>
                <w:rFonts w:eastAsia="Times New Roman"/>
              </w:rPr>
            </w:pPr>
            <w:r>
              <w:rPr>
                <w:rFonts w:eastAsia="Times New Roman"/>
                <w:color w:val="000000"/>
                <w:sz w:val="16"/>
                <w:szCs w:val="16"/>
              </w:rPr>
              <w:t>0</w:t>
            </w:r>
          </w:p>
        </w:tc>
        <w:tc>
          <w:tcPr>
            <w:tcW w:w="0" w:type="auto"/>
            <w:gridSpan w:val="3"/>
            <w:shd w:val="clear" w:color="auto" w:fill="CCEEFF"/>
            <w:tcMar>
              <w:top w:w="0" w:type="dxa"/>
              <w:left w:w="20" w:type="dxa"/>
              <w:bottom w:w="0" w:type="dxa"/>
              <w:right w:w="20" w:type="dxa"/>
            </w:tcMar>
            <w:vAlign w:val="center"/>
            <w:hideMark/>
          </w:tcPr>
          <w:p w14:paraId="3A4D7E1D" w14:textId="77777777" w:rsidR="00000000" w:rsidRDefault="00405D16">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9EBF560" w14:textId="77777777" w:rsidR="00000000" w:rsidRDefault="00405D16">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C3151B7" w14:textId="77777777" w:rsidR="00000000" w:rsidRDefault="00405D16">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18E4A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078D70"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DC9EE30"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6C35B83" w14:textId="77777777" w:rsidR="00000000" w:rsidRDefault="00405D16">
            <w:pPr>
              <w:spacing w:after="100"/>
              <w:jc w:val="right"/>
              <w:rPr>
                <w:rFonts w:eastAsia="Times New Roman"/>
              </w:rPr>
            </w:pPr>
            <w:r>
              <w:rPr>
                <w:rFonts w:eastAsia="Times New Roman"/>
                <w:color w:val="000000"/>
                <w:sz w:val="16"/>
                <w:szCs w:val="16"/>
              </w:rPr>
              <w:t>988 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9A93A4" w14:textId="77777777" w:rsidR="00000000" w:rsidRDefault="00405D16">
            <w:pPr>
              <w:spacing w:after="100"/>
              <w:jc w:val="right"/>
              <w:rPr>
                <w:rFonts w:eastAsia="Times New Roman"/>
              </w:rPr>
            </w:pPr>
          </w:p>
        </w:tc>
      </w:tr>
      <w:tr w:rsidR="00000000" w14:paraId="48558F50" w14:textId="77777777">
        <w:trPr>
          <w:divId w:val="185097223"/>
        </w:trPr>
        <w:tc>
          <w:tcPr>
            <w:tcW w:w="0" w:type="auto"/>
            <w:gridSpan w:val="3"/>
            <w:shd w:val="clear" w:color="auto" w:fill="FFFFFF"/>
            <w:tcMar>
              <w:top w:w="30" w:type="dxa"/>
              <w:left w:w="20" w:type="dxa"/>
              <w:bottom w:w="30" w:type="dxa"/>
              <w:right w:w="20" w:type="dxa"/>
            </w:tcMar>
            <w:vAlign w:val="bottom"/>
            <w:hideMark/>
          </w:tcPr>
          <w:p w14:paraId="784553DD" w14:textId="77777777" w:rsidR="00000000" w:rsidRDefault="00405D16">
            <w:pPr>
              <w:spacing w:after="100"/>
              <w:rPr>
                <w:rFonts w:eastAsia="Times New Roman"/>
              </w:rPr>
            </w:pPr>
            <w:r>
              <w:rPr>
                <w:rFonts w:eastAsia="Times New Roman"/>
                <w:b/>
                <w:bCs/>
                <w:color w:val="000000"/>
                <w:sz w:val="16"/>
                <w:szCs w:val="16"/>
              </w:rPr>
              <w:t>Series G</w:t>
            </w:r>
          </w:p>
        </w:tc>
        <w:tc>
          <w:tcPr>
            <w:tcW w:w="0" w:type="auto"/>
            <w:gridSpan w:val="3"/>
            <w:shd w:val="clear" w:color="auto" w:fill="FFFFFF"/>
            <w:tcMar>
              <w:top w:w="0" w:type="dxa"/>
              <w:left w:w="20" w:type="dxa"/>
              <w:bottom w:w="0" w:type="dxa"/>
              <w:right w:w="20" w:type="dxa"/>
            </w:tcMar>
            <w:vAlign w:val="center"/>
            <w:hideMark/>
          </w:tcPr>
          <w:p w14:paraId="16AF4890" w14:textId="77777777" w:rsidR="00000000" w:rsidRDefault="00405D16">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D7F78C7" w14:textId="77777777" w:rsidR="00000000" w:rsidRDefault="00405D16">
            <w:pPr>
              <w:spacing w:after="100"/>
              <w:jc w:val="center"/>
              <w:rPr>
                <w:rFonts w:eastAsia="Times New Roman"/>
              </w:rPr>
            </w:pPr>
            <w:r>
              <w:rPr>
                <w:rFonts w:eastAsia="Times New Roman"/>
                <w:color w:val="000000"/>
                <w:sz w:val="16"/>
                <w:szCs w:val="16"/>
              </w:rPr>
              <w:t>5.200%</w:t>
            </w:r>
            <w:r>
              <w:rPr>
                <w:rFonts w:eastAsia="Times New Roman"/>
                <w:color w:val="000000"/>
                <w:sz w:val="16"/>
                <w:szCs w:val="16"/>
              </w:rPr>
              <w:br/>
              <w:t>Non-Cumulative</w:t>
            </w:r>
          </w:p>
        </w:tc>
        <w:tc>
          <w:tcPr>
            <w:tcW w:w="0" w:type="auto"/>
            <w:gridSpan w:val="3"/>
            <w:shd w:val="clear" w:color="auto" w:fill="FFFFFF"/>
            <w:tcMar>
              <w:top w:w="0" w:type="dxa"/>
              <w:left w:w="20" w:type="dxa"/>
              <w:bottom w:w="0" w:type="dxa"/>
              <w:right w:w="20" w:type="dxa"/>
            </w:tcMar>
            <w:vAlign w:val="center"/>
            <w:hideMark/>
          </w:tcPr>
          <w:p w14:paraId="7E495A88" w14:textId="77777777" w:rsidR="00000000" w:rsidRDefault="00405D16">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F23175A" w14:textId="77777777" w:rsidR="00000000" w:rsidRDefault="00405D16">
            <w:pPr>
              <w:spacing w:after="100"/>
              <w:jc w:val="center"/>
              <w:rPr>
                <w:rFonts w:eastAsia="Times New Roman"/>
              </w:rPr>
            </w:pPr>
            <w:r>
              <w:rPr>
                <w:rFonts w:eastAsia="Times New Roman"/>
                <w:color w:val="000000"/>
                <w:sz w:val="16"/>
                <w:szCs w:val="16"/>
              </w:rPr>
              <w:t>July 29, 2016</w:t>
            </w:r>
          </w:p>
        </w:tc>
        <w:tc>
          <w:tcPr>
            <w:tcW w:w="0" w:type="auto"/>
            <w:gridSpan w:val="3"/>
            <w:shd w:val="clear" w:color="auto" w:fill="FFFFFF"/>
            <w:tcMar>
              <w:top w:w="0" w:type="dxa"/>
              <w:left w:w="20" w:type="dxa"/>
              <w:bottom w:w="0" w:type="dxa"/>
              <w:right w:w="20" w:type="dxa"/>
            </w:tcMar>
            <w:vAlign w:val="center"/>
            <w:hideMark/>
          </w:tcPr>
          <w:p w14:paraId="6043D2F3" w14:textId="77777777" w:rsidR="00000000" w:rsidRDefault="00405D16">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500ACC4" w14:textId="77777777" w:rsidR="00000000" w:rsidRDefault="00405D16">
            <w:pPr>
              <w:spacing w:after="100"/>
              <w:jc w:val="center"/>
              <w:rPr>
                <w:rFonts w:eastAsia="Times New Roman"/>
              </w:rPr>
            </w:pPr>
            <w:r>
              <w:rPr>
                <w:rFonts w:eastAsia="Times New Roman"/>
                <w:color w:val="000000"/>
                <w:sz w:val="16"/>
                <w:szCs w:val="16"/>
              </w:rPr>
              <w:t>December 1, 2021</w:t>
            </w:r>
          </w:p>
        </w:tc>
        <w:tc>
          <w:tcPr>
            <w:tcW w:w="0" w:type="auto"/>
            <w:gridSpan w:val="3"/>
            <w:shd w:val="clear" w:color="auto" w:fill="FFFFFF"/>
            <w:tcMar>
              <w:top w:w="0" w:type="dxa"/>
              <w:left w:w="20" w:type="dxa"/>
              <w:bottom w:w="0" w:type="dxa"/>
              <w:right w:w="20" w:type="dxa"/>
            </w:tcMar>
            <w:vAlign w:val="center"/>
            <w:hideMark/>
          </w:tcPr>
          <w:p w14:paraId="25F091AE" w14:textId="77777777" w:rsidR="00000000" w:rsidRDefault="00405D16">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91175B6" w14:textId="77777777" w:rsidR="00000000" w:rsidRDefault="00405D16">
            <w:pPr>
              <w:spacing w:after="100"/>
              <w:jc w:val="center"/>
              <w:rPr>
                <w:rFonts w:eastAsia="Times New Roman"/>
              </w:rPr>
            </w:pPr>
            <w:r>
              <w:rPr>
                <w:rFonts w:eastAsia="Times New Roman"/>
                <w:color w:val="000000"/>
                <w:sz w:val="16"/>
                <w:szCs w:val="16"/>
              </w:rPr>
              <w:t>5.200</w:t>
            </w:r>
          </w:p>
        </w:tc>
        <w:tc>
          <w:tcPr>
            <w:tcW w:w="0" w:type="auto"/>
            <w:gridSpan w:val="3"/>
            <w:shd w:val="clear" w:color="auto" w:fill="FFFFFF"/>
            <w:tcMar>
              <w:top w:w="0" w:type="dxa"/>
              <w:left w:w="20" w:type="dxa"/>
              <w:bottom w:w="0" w:type="dxa"/>
              <w:right w:w="20" w:type="dxa"/>
            </w:tcMar>
            <w:vAlign w:val="center"/>
            <w:hideMark/>
          </w:tcPr>
          <w:p w14:paraId="4DDD951E" w14:textId="77777777" w:rsidR="00000000" w:rsidRDefault="00405D16">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8AE7D1C" w14:textId="77777777" w:rsidR="00000000" w:rsidRDefault="00405D16">
            <w:pPr>
              <w:spacing w:after="100"/>
              <w:jc w:val="center"/>
              <w:rPr>
                <w:rFonts w:eastAsia="Times New Roman"/>
              </w:rPr>
            </w:pPr>
            <w:r>
              <w:rPr>
                <w:rFonts w:eastAsia="Times New Roman"/>
                <w:color w:val="000000"/>
                <w:sz w:val="16"/>
                <w:szCs w:val="16"/>
              </w:rPr>
              <w:t>Quarterly</w:t>
            </w:r>
          </w:p>
        </w:tc>
        <w:tc>
          <w:tcPr>
            <w:tcW w:w="0" w:type="auto"/>
            <w:gridSpan w:val="3"/>
            <w:shd w:val="clear" w:color="auto" w:fill="FFFFFF"/>
            <w:tcMar>
              <w:top w:w="0" w:type="dxa"/>
              <w:left w:w="20" w:type="dxa"/>
              <w:bottom w:w="0" w:type="dxa"/>
              <w:right w:w="20" w:type="dxa"/>
            </w:tcMar>
            <w:vAlign w:val="center"/>
            <w:hideMark/>
          </w:tcPr>
          <w:p w14:paraId="69027383" w14:textId="77777777" w:rsidR="00000000" w:rsidRDefault="00405D16">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16485A" w14:textId="77777777" w:rsidR="00000000" w:rsidRDefault="00405D16">
            <w:pPr>
              <w:spacing w:after="100"/>
              <w:jc w:val="right"/>
              <w:rPr>
                <w:rFonts w:eastAsia="Times New Roman"/>
              </w:rPr>
            </w:pPr>
            <w:r>
              <w:rPr>
                <w:rFonts w:eastAsia="Times New Roman"/>
                <w:color w:val="000000"/>
                <w:sz w:val="16"/>
                <w:szCs w:val="16"/>
              </w:rPr>
              <w:t>1,000 </w:t>
            </w:r>
          </w:p>
        </w:tc>
        <w:tc>
          <w:tcPr>
            <w:tcW w:w="0" w:type="auto"/>
            <w:shd w:val="clear" w:color="auto" w:fill="FFFFFF"/>
            <w:tcMar>
              <w:top w:w="30" w:type="dxa"/>
              <w:left w:w="0" w:type="dxa"/>
              <w:bottom w:w="30" w:type="dxa"/>
              <w:right w:w="20" w:type="dxa"/>
            </w:tcMar>
            <w:vAlign w:val="bottom"/>
            <w:hideMark/>
          </w:tcPr>
          <w:p w14:paraId="57E25D6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26989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B937C5" w14:textId="77777777" w:rsidR="00000000" w:rsidRDefault="00405D16">
            <w:pPr>
              <w:spacing w:after="100"/>
              <w:jc w:val="right"/>
              <w:rPr>
                <w:rFonts w:eastAsia="Times New Roman"/>
              </w:rPr>
            </w:pPr>
            <w:r>
              <w:rPr>
                <w:rFonts w:eastAsia="Times New Roman"/>
                <w:color w:val="000000"/>
                <w:sz w:val="16"/>
                <w:szCs w:val="16"/>
              </w:rPr>
              <w:t>600,000 </w:t>
            </w:r>
          </w:p>
        </w:tc>
        <w:tc>
          <w:tcPr>
            <w:tcW w:w="0" w:type="auto"/>
            <w:shd w:val="clear" w:color="auto" w:fill="FFFFFF"/>
            <w:tcMar>
              <w:top w:w="30" w:type="dxa"/>
              <w:left w:w="0" w:type="dxa"/>
              <w:bottom w:w="30" w:type="dxa"/>
              <w:right w:w="20" w:type="dxa"/>
            </w:tcMar>
            <w:vAlign w:val="bottom"/>
            <w:hideMark/>
          </w:tcPr>
          <w:p w14:paraId="059D42A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12E27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863130" w14:textId="77777777" w:rsidR="00000000" w:rsidRDefault="00405D16">
            <w:pPr>
              <w:spacing w:after="100"/>
              <w:jc w:val="right"/>
              <w:rPr>
                <w:rFonts w:eastAsia="Times New Roman"/>
              </w:rPr>
            </w:pPr>
            <w:r>
              <w:rPr>
                <w:rFonts w:eastAsia="Times New Roman"/>
                <w:b/>
                <w:bCs/>
                <w:color w:val="000000"/>
                <w:sz w:val="16"/>
                <w:szCs w:val="16"/>
              </w:rPr>
              <w:t>583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F19EF5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0045A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7C2DF2" w14:textId="77777777" w:rsidR="00000000" w:rsidRDefault="00405D16">
            <w:pPr>
              <w:spacing w:after="100"/>
              <w:jc w:val="right"/>
              <w:rPr>
                <w:rFonts w:eastAsia="Times New Roman"/>
              </w:rPr>
            </w:pPr>
            <w:r>
              <w:rPr>
                <w:rFonts w:eastAsia="Times New Roman"/>
                <w:color w:val="000000"/>
                <w:sz w:val="16"/>
                <w:szCs w:val="16"/>
              </w:rPr>
              <w:t>583 </w:t>
            </w:r>
          </w:p>
        </w:tc>
        <w:tc>
          <w:tcPr>
            <w:tcW w:w="0" w:type="auto"/>
            <w:shd w:val="clear" w:color="auto" w:fill="FFFFFF"/>
            <w:tcMar>
              <w:top w:w="30" w:type="dxa"/>
              <w:left w:w="0" w:type="dxa"/>
              <w:bottom w:w="30" w:type="dxa"/>
              <w:right w:w="20" w:type="dxa"/>
            </w:tcMar>
            <w:vAlign w:val="bottom"/>
            <w:hideMark/>
          </w:tcPr>
          <w:p w14:paraId="00FB6B71" w14:textId="77777777" w:rsidR="00000000" w:rsidRDefault="00405D16">
            <w:pPr>
              <w:spacing w:after="100"/>
              <w:jc w:val="right"/>
              <w:rPr>
                <w:rFonts w:eastAsia="Times New Roman"/>
              </w:rPr>
            </w:pPr>
          </w:p>
        </w:tc>
      </w:tr>
      <w:tr w:rsidR="00000000" w14:paraId="5BD5672F" w14:textId="77777777">
        <w:trPr>
          <w:divId w:val="185097223"/>
        </w:trPr>
        <w:tc>
          <w:tcPr>
            <w:tcW w:w="0" w:type="auto"/>
            <w:gridSpan w:val="3"/>
            <w:shd w:val="clear" w:color="auto" w:fill="CCEEFF"/>
            <w:tcMar>
              <w:top w:w="30" w:type="dxa"/>
              <w:left w:w="20" w:type="dxa"/>
              <w:bottom w:w="30" w:type="dxa"/>
              <w:right w:w="20" w:type="dxa"/>
            </w:tcMar>
            <w:vAlign w:val="bottom"/>
            <w:hideMark/>
          </w:tcPr>
          <w:p w14:paraId="1567D1EC" w14:textId="77777777" w:rsidR="00000000" w:rsidRDefault="00405D16">
            <w:pPr>
              <w:spacing w:after="100"/>
              <w:rPr>
                <w:rFonts w:eastAsia="Times New Roman"/>
              </w:rPr>
            </w:pPr>
            <w:r>
              <w:rPr>
                <w:rFonts w:eastAsia="Times New Roman"/>
                <w:b/>
                <w:bCs/>
                <w:color w:val="000000"/>
                <w:sz w:val="16"/>
                <w:szCs w:val="16"/>
              </w:rPr>
              <w:t>Series H</w:t>
            </w:r>
          </w:p>
        </w:tc>
        <w:tc>
          <w:tcPr>
            <w:tcW w:w="0" w:type="auto"/>
            <w:gridSpan w:val="3"/>
            <w:shd w:val="clear" w:color="auto" w:fill="CCEEFF"/>
            <w:tcMar>
              <w:top w:w="0" w:type="dxa"/>
              <w:left w:w="20" w:type="dxa"/>
              <w:bottom w:w="0" w:type="dxa"/>
              <w:right w:w="20" w:type="dxa"/>
            </w:tcMar>
            <w:vAlign w:val="center"/>
            <w:hideMark/>
          </w:tcPr>
          <w:p w14:paraId="4AED1237" w14:textId="77777777" w:rsidR="00000000" w:rsidRDefault="00405D16">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3E0ACC3" w14:textId="77777777" w:rsidR="00000000" w:rsidRDefault="00405D16">
            <w:pPr>
              <w:spacing w:after="100"/>
              <w:jc w:val="center"/>
              <w:rPr>
                <w:rFonts w:eastAsia="Times New Roman"/>
              </w:rPr>
            </w:pPr>
            <w:r>
              <w:rPr>
                <w:rFonts w:eastAsia="Times New Roman"/>
                <w:color w:val="000000"/>
                <w:sz w:val="16"/>
                <w:szCs w:val="16"/>
              </w:rPr>
              <w:t xml:space="preserve">6.000% </w:t>
            </w:r>
            <w:r>
              <w:rPr>
                <w:rFonts w:eastAsia="Times New Roman"/>
                <w:color w:val="000000"/>
                <w:sz w:val="16"/>
                <w:szCs w:val="16"/>
              </w:rPr>
              <w:br/>
              <w:t>Non-Cumulative</w:t>
            </w:r>
          </w:p>
        </w:tc>
        <w:tc>
          <w:tcPr>
            <w:tcW w:w="0" w:type="auto"/>
            <w:gridSpan w:val="3"/>
            <w:shd w:val="clear" w:color="auto" w:fill="CCEEFF"/>
            <w:tcMar>
              <w:top w:w="0" w:type="dxa"/>
              <w:left w:w="20" w:type="dxa"/>
              <w:bottom w:w="0" w:type="dxa"/>
              <w:right w:w="20" w:type="dxa"/>
            </w:tcMar>
            <w:vAlign w:val="center"/>
            <w:hideMark/>
          </w:tcPr>
          <w:p w14:paraId="5D507414" w14:textId="77777777" w:rsidR="00000000" w:rsidRDefault="00405D16">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28208CA" w14:textId="77777777" w:rsidR="00000000" w:rsidRDefault="00405D16">
            <w:pPr>
              <w:spacing w:after="100"/>
              <w:jc w:val="center"/>
              <w:rPr>
                <w:rFonts w:eastAsia="Times New Roman"/>
              </w:rPr>
            </w:pPr>
            <w:r>
              <w:rPr>
                <w:rFonts w:eastAsia="Times New Roman"/>
                <w:color w:val="000000"/>
                <w:sz w:val="16"/>
                <w:szCs w:val="16"/>
              </w:rPr>
              <w:t>November 29, 2016</w:t>
            </w:r>
          </w:p>
        </w:tc>
        <w:tc>
          <w:tcPr>
            <w:tcW w:w="0" w:type="auto"/>
            <w:gridSpan w:val="3"/>
            <w:shd w:val="clear" w:color="auto" w:fill="CCEEFF"/>
            <w:tcMar>
              <w:top w:w="0" w:type="dxa"/>
              <w:left w:w="20" w:type="dxa"/>
              <w:bottom w:w="0" w:type="dxa"/>
              <w:right w:w="20" w:type="dxa"/>
            </w:tcMar>
            <w:vAlign w:val="center"/>
            <w:hideMark/>
          </w:tcPr>
          <w:p w14:paraId="0198324F" w14:textId="77777777" w:rsidR="00000000" w:rsidRDefault="00405D16">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6CEBD2B" w14:textId="77777777" w:rsidR="00000000" w:rsidRDefault="00405D16">
            <w:pPr>
              <w:spacing w:after="100"/>
              <w:jc w:val="center"/>
              <w:rPr>
                <w:rFonts w:eastAsia="Times New Roman"/>
              </w:rPr>
            </w:pPr>
            <w:r>
              <w:rPr>
                <w:rFonts w:eastAsia="Times New Roman"/>
                <w:color w:val="000000"/>
                <w:sz w:val="16"/>
                <w:szCs w:val="16"/>
              </w:rPr>
              <w:t>December 1, 2021</w:t>
            </w:r>
          </w:p>
        </w:tc>
        <w:tc>
          <w:tcPr>
            <w:tcW w:w="0" w:type="auto"/>
            <w:gridSpan w:val="3"/>
            <w:shd w:val="clear" w:color="auto" w:fill="CCEEFF"/>
            <w:tcMar>
              <w:top w:w="0" w:type="dxa"/>
              <w:left w:w="20" w:type="dxa"/>
              <w:bottom w:w="0" w:type="dxa"/>
              <w:right w:w="20" w:type="dxa"/>
            </w:tcMar>
            <w:vAlign w:val="center"/>
            <w:hideMark/>
          </w:tcPr>
          <w:p w14:paraId="043BE481" w14:textId="77777777" w:rsidR="00000000" w:rsidRDefault="00405D16">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8B9EB8E" w14:textId="77777777" w:rsidR="00000000" w:rsidRDefault="00405D16">
            <w:pPr>
              <w:spacing w:after="100"/>
              <w:jc w:val="center"/>
              <w:rPr>
                <w:rFonts w:eastAsia="Times New Roman"/>
              </w:rPr>
            </w:pPr>
            <w:r>
              <w:rPr>
                <w:rFonts w:eastAsia="Times New Roman"/>
                <w:color w:val="000000"/>
                <w:sz w:val="16"/>
                <w:szCs w:val="16"/>
              </w:rPr>
              <w:t>6.000</w:t>
            </w:r>
          </w:p>
        </w:tc>
        <w:tc>
          <w:tcPr>
            <w:tcW w:w="0" w:type="auto"/>
            <w:gridSpan w:val="3"/>
            <w:shd w:val="clear" w:color="auto" w:fill="CCEEFF"/>
            <w:tcMar>
              <w:top w:w="0" w:type="dxa"/>
              <w:left w:w="20" w:type="dxa"/>
              <w:bottom w:w="0" w:type="dxa"/>
              <w:right w:w="20" w:type="dxa"/>
            </w:tcMar>
            <w:vAlign w:val="center"/>
            <w:hideMark/>
          </w:tcPr>
          <w:p w14:paraId="5F8E4D06" w14:textId="77777777" w:rsidR="00000000" w:rsidRDefault="00405D16">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12DBFFC" w14:textId="77777777" w:rsidR="00000000" w:rsidRDefault="00405D16">
            <w:pPr>
              <w:spacing w:after="100"/>
              <w:jc w:val="center"/>
              <w:rPr>
                <w:rFonts w:eastAsia="Times New Roman"/>
              </w:rPr>
            </w:pPr>
            <w:r>
              <w:rPr>
                <w:rFonts w:eastAsia="Times New Roman"/>
                <w:color w:val="000000"/>
                <w:sz w:val="16"/>
                <w:szCs w:val="16"/>
              </w:rPr>
              <w:t>Quarterly</w:t>
            </w:r>
          </w:p>
        </w:tc>
        <w:tc>
          <w:tcPr>
            <w:tcW w:w="0" w:type="auto"/>
            <w:gridSpan w:val="3"/>
            <w:shd w:val="clear" w:color="auto" w:fill="CCEEFF"/>
            <w:tcMar>
              <w:top w:w="0" w:type="dxa"/>
              <w:left w:w="20" w:type="dxa"/>
              <w:bottom w:w="0" w:type="dxa"/>
              <w:right w:w="20" w:type="dxa"/>
            </w:tcMar>
            <w:vAlign w:val="center"/>
            <w:hideMark/>
          </w:tcPr>
          <w:p w14:paraId="032B1A77" w14:textId="77777777" w:rsidR="00000000" w:rsidRDefault="00405D16">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7A2FAB5" w14:textId="77777777" w:rsidR="00000000" w:rsidRDefault="00405D16">
            <w:pPr>
              <w:spacing w:after="100"/>
              <w:jc w:val="right"/>
              <w:rPr>
                <w:rFonts w:eastAsia="Times New Roman"/>
              </w:rPr>
            </w:pPr>
            <w:r>
              <w:rPr>
                <w:rFonts w:eastAsia="Times New Roman"/>
                <w:color w:val="000000"/>
                <w:sz w:val="16"/>
                <w:szCs w:val="16"/>
              </w:rPr>
              <w:t>1,000 </w:t>
            </w:r>
          </w:p>
        </w:tc>
        <w:tc>
          <w:tcPr>
            <w:tcW w:w="0" w:type="auto"/>
            <w:shd w:val="clear" w:color="auto" w:fill="CCEEFF"/>
            <w:tcMar>
              <w:top w:w="30" w:type="dxa"/>
              <w:left w:w="0" w:type="dxa"/>
              <w:bottom w:w="30" w:type="dxa"/>
              <w:right w:w="20" w:type="dxa"/>
            </w:tcMar>
            <w:vAlign w:val="bottom"/>
            <w:hideMark/>
          </w:tcPr>
          <w:p w14:paraId="3278C36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EE1CF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DB016F" w14:textId="77777777" w:rsidR="00000000" w:rsidRDefault="00405D16">
            <w:pPr>
              <w:spacing w:after="100"/>
              <w:jc w:val="right"/>
              <w:rPr>
                <w:rFonts w:eastAsia="Times New Roman"/>
              </w:rPr>
            </w:pPr>
            <w:r>
              <w:rPr>
                <w:rFonts w:eastAsia="Times New Roman"/>
                <w:color w:val="000000"/>
                <w:sz w:val="16"/>
                <w:szCs w:val="16"/>
              </w:rPr>
              <w:t>500,000 </w:t>
            </w:r>
          </w:p>
        </w:tc>
        <w:tc>
          <w:tcPr>
            <w:tcW w:w="0" w:type="auto"/>
            <w:shd w:val="clear" w:color="auto" w:fill="CCEEFF"/>
            <w:tcMar>
              <w:top w:w="30" w:type="dxa"/>
              <w:left w:w="0" w:type="dxa"/>
              <w:bottom w:w="30" w:type="dxa"/>
              <w:right w:w="20" w:type="dxa"/>
            </w:tcMar>
            <w:vAlign w:val="bottom"/>
            <w:hideMark/>
          </w:tcPr>
          <w:p w14:paraId="76D2CBE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E528D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5BDA47" w14:textId="77777777" w:rsidR="00000000" w:rsidRDefault="00405D16">
            <w:pPr>
              <w:spacing w:after="100"/>
              <w:jc w:val="right"/>
              <w:rPr>
                <w:rFonts w:eastAsia="Times New Roman"/>
              </w:rPr>
            </w:pPr>
            <w:r>
              <w:rPr>
                <w:rFonts w:eastAsia="Times New Roman"/>
                <w:b/>
                <w:bCs/>
                <w:color w:val="000000"/>
                <w:sz w:val="16"/>
                <w:szCs w:val="16"/>
              </w:rPr>
              <w:t>483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FD1B56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29019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2DE6A6" w14:textId="77777777" w:rsidR="00000000" w:rsidRDefault="00405D16">
            <w:pPr>
              <w:spacing w:after="100"/>
              <w:jc w:val="right"/>
              <w:rPr>
                <w:rFonts w:eastAsia="Times New Roman"/>
              </w:rPr>
            </w:pPr>
            <w:r>
              <w:rPr>
                <w:rFonts w:eastAsia="Times New Roman"/>
                <w:color w:val="000000"/>
                <w:sz w:val="16"/>
                <w:szCs w:val="16"/>
              </w:rPr>
              <w:t>483 </w:t>
            </w:r>
          </w:p>
        </w:tc>
        <w:tc>
          <w:tcPr>
            <w:tcW w:w="0" w:type="auto"/>
            <w:shd w:val="clear" w:color="auto" w:fill="CCEEFF"/>
            <w:tcMar>
              <w:top w:w="30" w:type="dxa"/>
              <w:left w:w="0" w:type="dxa"/>
              <w:bottom w:w="30" w:type="dxa"/>
              <w:right w:w="20" w:type="dxa"/>
            </w:tcMar>
            <w:vAlign w:val="bottom"/>
            <w:hideMark/>
          </w:tcPr>
          <w:p w14:paraId="4EF65987" w14:textId="77777777" w:rsidR="00000000" w:rsidRDefault="00405D16">
            <w:pPr>
              <w:spacing w:after="100"/>
              <w:jc w:val="right"/>
              <w:rPr>
                <w:rFonts w:eastAsia="Times New Roman"/>
              </w:rPr>
            </w:pPr>
          </w:p>
        </w:tc>
      </w:tr>
      <w:tr w:rsidR="00000000" w14:paraId="6169F106" w14:textId="77777777">
        <w:trPr>
          <w:divId w:val="185097223"/>
        </w:trPr>
        <w:tc>
          <w:tcPr>
            <w:tcW w:w="0" w:type="auto"/>
            <w:gridSpan w:val="3"/>
            <w:shd w:val="clear" w:color="auto" w:fill="FFFFFF"/>
            <w:tcMar>
              <w:top w:w="30" w:type="dxa"/>
              <w:left w:w="20" w:type="dxa"/>
              <w:bottom w:w="30" w:type="dxa"/>
              <w:right w:w="20" w:type="dxa"/>
            </w:tcMar>
            <w:vAlign w:val="bottom"/>
            <w:hideMark/>
          </w:tcPr>
          <w:p w14:paraId="24E4596E" w14:textId="77777777" w:rsidR="00000000" w:rsidRDefault="00405D16">
            <w:pPr>
              <w:spacing w:after="100"/>
              <w:rPr>
                <w:rFonts w:eastAsia="Times New Roman"/>
              </w:rPr>
            </w:pPr>
            <w:r>
              <w:rPr>
                <w:rFonts w:eastAsia="Times New Roman"/>
                <w:b/>
                <w:bCs/>
                <w:color w:val="000000"/>
                <w:sz w:val="16"/>
                <w:szCs w:val="16"/>
              </w:rPr>
              <w:t>Series I</w:t>
            </w:r>
          </w:p>
        </w:tc>
        <w:tc>
          <w:tcPr>
            <w:tcW w:w="0" w:type="auto"/>
            <w:gridSpan w:val="3"/>
            <w:shd w:val="clear" w:color="auto" w:fill="FFFFFF"/>
            <w:tcMar>
              <w:top w:w="0" w:type="dxa"/>
              <w:left w:w="20" w:type="dxa"/>
              <w:bottom w:w="0" w:type="dxa"/>
              <w:right w:w="20" w:type="dxa"/>
            </w:tcMar>
            <w:vAlign w:val="center"/>
            <w:hideMark/>
          </w:tcPr>
          <w:p w14:paraId="6747A541" w14:textId="77777777" w:rsidR="00000000" w:rsidRDefault="00405D16">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29B95B7" w14:textId="77777777" w:rsidR="00000000" w:rsidRDefault="00405D16">
            <w:pPr>
              <w:spacing w:after="100"/>
              <w:jc w:val="center"/>
              <w:rPr>
                <w:rFonts w:eastAsia="Times New Roman"/>
              </w:rPr>
            </w:pPr>
            <w:r>
              <w:rPr>
                <w:rFonts w:eastAsia="Times New Roman"/>
                <w:color w:val="000000"/>
                <w:sz w:val="16"/>
                <w:szCs w:val="16"/>
              </w:rPr>
              <w:t xml:space="preserve">5.000% </w:t>
            </w:r>
            <w:r>
              <w:rPr>
                <w:rFonts w:eastAsia="Times New Roman"/>
                <w:color w:val="000000"/>
                <w:sz w:val="16"/>
                <w:szCs w:val="16"/>
              </w:rPr>
              <w:br/>
              <w:t>Non-Cumulative</w:t>
            </w:r>
          </w:p>
        </w:tc>
        <w:tc>
          <w:tcPr>
            <w:tcW w:w="0" w:type="auto"/>
            <w:gridSpan w:val="3"/>
            <w:shd w:val="clear" w:color="auto" w:fill="FFFFFF"/>
            <w:tcMar>
              <w:top w:w="0" w:type="dxa"/>
              <w:left w:w="20" w:type="dxa"/>
              <w:bottom w:w="0" w:type="dxa"/>
              <w:right w:w="20" w:type="dxa"/>
            </w:tcMar>
            <w:vAlign w:val="center"/>
            <w:hideMark/>
          </w:tcPr>
          <w:p w14:paraId="65CB64EB" w14:textId="77777777" w:rsidR="00000000" w:rsidRDefault="00405D16">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6EB8A99" w14:textId="77777777" w:rsidR="00000000" w:rsidRDefault="00405D16">
            <w:pPr>
              <w:spacing w:after="100"/>
              <w:jc w:val="center"/>
              <w:rPr>
                <w:rFonts w:eastAsia="Times New Roman"/>
              </w:rPr>
            </w:pPr>
            <w:r>
              <w:rPr>
                <w:rFonts w:eastAsia="Times New Roman"/>
                <w:color w:val="000000"/>
                <w:sz w:val="16"/>
                <w:szCs w:val="16"/>
              </w:rPr>
              <w:t>September 11, 2019</w:t>
            </w:r>
          </w:p>
        </w:tc>
        <w:tc>
          <w:tcPr>
            <w:tcW w:w="0" w:type="auto"/>
            <w:gridSpan w:val="3"/>
            <w:shd w:val="clear" w:color="auto" w:fill="FFFFFF"/>
            <w:tcMar>
              <w:top w:w="0" w:type="dxa"/>
              <w:left w:w="20" w:type="dxa"/>
              <w:bottom w:w="0" w:type="dxa"/>
              <w:right w:w="20" w:type="dxa"/>
            </w:tcMar>
            <w:vAlign w:val="center"/>
            <w:hideMark/>
          </w:tcPr>
          <w:p w14:paraId="5530F9C1" w14:textId="77777777" w:rsidR="00000000" w:rsidRDefault="00405D16">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2EA49B6" w14:textId="77777777" w:rsidR="00000000" w:rsidRDefault="00405D16">
            <w:pPr>
              <w:spacing w:after="100"/>
              <w:jc w:val="center"/>
              <w:rPr>
                <w:rFonts w:eastAsia="Times New Roman"/>
              </w:rPr>
            </w:pPr>
            <w:r>
              <w:rPr>
                <w:rFonts w:eastAsia="Times New Roman"/>
                <w:color w:val="000000"/>
                <w:sz w:val="16"/>
                <w:szCs w:val="16"/>
              </w:rPr>
              <w:t>December 1, 2024</w:t>
            </w:r>
          </w:p>
        </w:tc>
        <w:tc>
          <w:tcPr>
            <w:tcW w:w="0" w:type="auto"/>
            <w:gridSpan w:val="3"/>
            <w:shd w:val="clear" w:color="auto" w:fill="FFFFFF"/>
            <w:tcMar>
              <w:top w:w="0" w:type="dxa"/>
              <w:left w:w="20" w:type="dxa"/>
              <w:bottom w:w="0" w:type="dxa"/>
              <w:right w:w="20" w:type="dxa"/>
            </w:tcMar>
            <w:vAlign w:val="center"/>
            <w:hideMark/>
          </w:tcPr>
          <w:p w14:paraId="011ABAD7" w14:textId="77777777" w:rsidR="00000000" w:rsidRDefault="00405D16">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97E76E9" w14:textId="77777777" w:rsidR="00000000" w:rsidRDefault="00405D16">
            <w:pPr>
              <w:spacing w:after="100"/>
              <w:jc w:val="center"/>
              <w:rPr>
                <w:rFonts w:eastAsia="Times New Roman"/>
              </w:rPr>
            </w:pPr>
            <w:r>
              <w:rPr>
                <w:rFonts w:eastAsia="Times New Roman"/>
                <w:color w:val="000000"/>
                <w:sz w:val="16"/>
                <w:szCs w:val="16"/>
              </w:rPr>
              <w:t>5.000</w:t>
            </w:r>
          </w:p>
        </w:tc>
        <w:tc>
          <w:tcPr>
            <w:tcW w:w="0" w:type="auto"/>
            <w:gridSpan w:val="3"/>
            <w:shd w:val="clear" w:color="auto" w:fill="FFFFFF"/>
            <w:tcMar>
              <w:top w:w="0" w:type="dxa"/>
              <w:left w:w="20" w:type="dxa"/>
              <w:bottom w:w="0" w:type="dxa"/>
              <w:right w:w="20" w:type="dxa"/>
            </w:tcMar>
            <w:vAlign w:val="center"/>
            <w:hideMark/>
          </w:tcPr>
          <w:p w14:paraId="03A4BA51" w14:textId="77777777" w:rsidR="00000000" w:rsidRDefault="00405D16">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18C6335" w14:textId="77777777" w:rsidR="00000000" w:rsidRDefault="00405D16">
            <w:pPr>
              <w:spacing w:after="100"/>
              <w:jc w:val="center"/>
              <w:rPr>
                <w:rFonts w:eastAsia="Times New Roman"/>
              </w:rPr>
            </w:pPr>
            <w:r>
              <w:rPr>
                <w:rFonts w:eastAsia="Times New Roman"/>
                <w:color w:val="000000"/>
                <w:sz w:val="16"/>
                <w:szCs w:val="16"/>
              </w:rPr>
              <w:t>Quarterly</w:t>
            </w:r>
          </w:p>
        </w:tc>
        <w:tc>
          <w:tcPr>
            <w:tcW w:w="0" w:type="auto"/>
            <w:gridSpan w:val="3"/>
            <w:shd w:val="clear" w:color="auto" w:fill="FFFFFF"/>
            <w:tcMar>
              <w:top w:w="0" w:type="dxa"/>
              <w:left w:w="20" w:type="dxa"/>
              <w:bottom w:w="0" w:type="dxa"/>
              <w:right w:w="20" w:type="dxa"/>
            </w:tcMar>
            <w:vAlign w:val="center"/>
            <w:hideMark/>
          </w:tcPr>
          <w:p w14:paraId="61C6C16B" w14:textId="77777777" w:rsidR="00000000" w:rsidRDefault="00405D16">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F7058F" w14:textId="77777777" w:rsidR="00000000" w:rsidRDefault="00405D16">
            <w:pPr>
              <w:spacing w:after="100"/>
              <w:jc w:val="right"/>
              <w:rPr>
                <w:rFonts w:eastAsia="Times New Roman"/>
              </w:rPr>
            </w:pPr>
            <w:r>
              <w:rPr>
                <w:rFonts w:eastAsia="Times New Roman"/>
                <w:color w:val="000000"/>
                <w:sz w:val="16"/>
                <w:szCs w:val="16"/>
              </w:rPr>
              <w:t>1,000 </w:t>
            </w:r>
          </w:p>
        </w:tc>
        <w:tc>
          <w:tcPr>
            <w:tcW w:w="0" w:type="auto"/>
            <w:shd w:val="clear" w:color="auto" w:fill="FFFFFF"/>
            <w:tcMar>
              <w:top w:w="30" w:type="dxa"/>
              <w:left w:w="0" w:type="dxa"/>
              <w:bottom w:w="30" w:type="dxa"/>
              <w:right w:w="20" w:type="dxa"/>
            </w:tcMar>
            <w:vAlign w:val="bottom"/>
            <w:hideMark/>
          </w:tcPr>
          <w:p w14:paraId="3F9CF0B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CAF44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08D9F9" w14:textId="77777777" w:rsidR="00000000" w:rsidRDefault="00405D16">
            <w:pPr>
              <w:spacing w:after="100"/>
              <w:jc w:val="right"/>
              <w:rPr>
                <w:rFonts w:eastAsia="Times New Roman"/>
              </w:rPr>
            </w:pPr>
            <w:r>
              <w:rPr>
                <w:rFonts w:eastAsia="Times New Roman"/>
                <w:color w:val="000000"/>
                <w:sz w:val="16"/>
                <w:szCs w:val="16"/>
              </w:rPr>
              <w:t>1,500,000 </w:t>
            </w:r>
          </w:p>
        </w:tc>
        <w:tc>
          <w:tcPr>
            <w:tcW w:w="0" w:type="auto"/>
            <w:shd w:val="clear" w:color="auto" w:fill="FFFFFF"/>
            <w:tcMar>
              <w:top w:w="30" w:type="dxa"/>
              <w:left w:w="0" w:type="dxa"/>
              <w:bottom w:w="30" w:type="dxa"/>
              <w:right w:w="20" w:type="dxa"/>
            </w:tcMar>
            <w:vAlign w:val="bottom"/>
            <w:hideMark/>
          </w:tcPr>
          <w:p w14:paraId="519EEB1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ACD23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08E55C" w14:textId="77777777" w:rsidR="00000000" w:rsidRDefault="00405D16">
            <w:pPr>
              <w:spacing w:after="100"/>
              <w:jc w:val="right"/>
              <w:rPr>
                <w:rFonts w:eastAsia="Times New Roman"/>
              </w:rPr>
            </w:pPr>
            <w:r>
              <w:rPr>
                <w:rFonts w:eastAsia="Times New Roman"/>
                <w:b/>
                <w:bCs/>
                <w:color w:val="000000"/>
                <w:sz w:val="16"/>
                <w:szCs w:val="16"/>
              </w:rPr>
              <w:t>1,462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553FDC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3B587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BCB3C8" w14:textId="77777777" w:rsidR="00000000" w:rsidRDefault="00405D16">
            <w:pPr>
              <w:spacing w:after="100"/>
              <w:jc w:val="right"/>
              <w:rPr>
                <w:rFonts w:eastAsia="Times New Roman"/>
              </w:rPr>
            </w:pPr>
            <w:r>
              <w:rPr>
                <w:rFonts w:eastAsia="Times New Roman"/>
                <w:color w:val="000000"/>
                <w:sz w:val="16"/>
                <w:szCs w:val="16"/>
              </w:rPr>
              <w:t>1,462 </w:t>
            </w:r>
          </w:p>
        </w:tc>
        <w:tc>
          <w:tcPr>
            <w:tcW w:w="0" w:type="auto"/>
            <w:shd w:val="clear" w:color="auto" w:fill="FFFFFF"/>
            <w:tcMar>
              <w:top w:w="30" w:type="dxa"/>
              <w:left w:w="0" w:type="dxa"/>
              <w:bottom w:w="30" w:type="dxa"/>
              <w:right w:w="20" w:type="dxa"/>
            </w:tcMar>
            <w:vAlign w:val="bottom"/>
            <w:hideMark/>
          </w:tcPr>
          <w:p w14:paraId="7749B321" w14:textId="77777777" w:rsidR="00000000" w:rsidRDefault="00405D16">
            <w:pPr>
              <w:spacing w:after="100"/>
              <w:jc w:val="right"/>
              <w:rPr>
                <w:rFonts w:eastAsia="Times New Roman"/>
              </w:rPr>
            </w:pPr>
          </w:p>
        </w:tc>
      </w:tr>
      <w:tr w:rsidR="00000000" w14:paraId="750292E9" w14:textId="77777777">
        <w:trPr>
          <w:divId w:val="185097223"/>
        </w:trPr>
        <w:tc>
          <w:tcPr>
            <w:tcW w:w="0" w:type="auto"/>
            <w:gridSpan w:val="3"/>
            <w:shd w:val="clear" w:color="auto" w:fill="CCEEFF"/>
            <w:tcMar>
              <w:top w:w="30" w:type="dxa"/>
              <w:left w:w="20" w:type="dxa"/>
              <w:bottom w:w="30" w:type="dxa"/>
              <w:right w:w="20" w:type="dxa"/>
            </w:tcMar>
            <w:vAlign w:val="bottom"/>
            <w:hideMark/>
          </w:tcPr>
          <w:p w14:paraId="38504CB8" w14:textId="77777777" w:rsidR="00000000" w:rsidRDefault="00405D16">
            <w:pPr>
              <w:spacing w:after="100"/>
              <w:rPr>
                <w:rFonts w:eastAsia="Times New Roman"/>
              </w:rPr>
            </w:pPr>
            <w:r>
              <w:rPr>
                <w:rFonts w:eastAsia="Times New Roman"/>
                <w:b/>
                <w:bCs/>
                <w:color w:val="000000"/>
                <w:sz w:val="16"/>
                <w:szCs w:val="16"/>
              </w:rPr>
              <w:t>Series J</w:t>
            </w:r>
          </w:p>
        </w:tc>
        <w:tc>
          <w:tcPr>
            <w:tcW w:w="0" w:type="auto"/>
            <w:gridSpan w:val="3"/>
            <w:shd w:val="clear" w:color="auto" w:fill="CCEEFF"/>
            <w:tcMar>
              <w:top w:w="0" w:type="dxa"/>
              <w:left w:w="20" w:type="dxa"/>
              <w:bottom w:w="0" w:type="dxa"/>
              <w:right w:w="20" w:type="dxa"/>
            </w:tcMar>
            <w:vAlign w:val="center"/>
            <w:hideMark/>
          </w:tcPr>
          <w:p w14:paraId="7B9C0B01" w14:textId="77777777" w:rsidR="00000000" w:rsidRDefault="00405D16">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C5F0F3D" w14:textId="77777777" w:rsidR="00000000" w:rsidRDefault="00405D16">
            <w:pPr>
              <w:spacing w:after="100"/>
              <w:jc w:val="center"/>
              <w:rPr>
                <w:rFonts w:eastAsia="Times New Roman"/>
              </w:rPr>
            </w:pPr>
            <w:r>
              <w:rPr>
                <w:rFonts w:eastAsia="Times New Roman"/>
                <w:color w:val="000000"/>
                <w:sz w:val="16"/>
                <w:szCs w:val="16"/>
              </w:rPr>
              <w:t xml:space="preserve">4.800% </w:t>
            </w:r>
            <w:r>
              <w:rPr>
                <w:rFonts w:eastAsia="Times New Roman"/>
                <w:color w:val="000000"/>
                <w:sz w:val="16"/>
                <w:szCs w:val="16"/>
              </w:rPr>
              <w:br/>
              <w:t>Non-Cumulative</w:t>
            </w:r>
          </w:p>
        </w:tc>
        <w:tc>
          <w:tcPr>
            <w:tcW w:w="0" w:type="auto"/>
            <w:gridSpan w:val="3"/>
            <w:shd w:val="clear" w:color="auto" w:fill="CCEEFF"/>
            <w:tcMar>
              <w:top w:w="0" w:type="dxa"/>
              <w:left w:w="20" w:type="dxa"/>
              <w:bottom w:w="0" w:type="dxa"/>
              <w:right w:w="20" w:type="dxa"/>
            </w:tcMar>
            <w:vAlign w:val="center"/>
            <w:hideMark/>
          </w:tcPr>
          <w:p w14:paraId="55D863F6" w14:textId="77777777" w:rsidR="00000000" w:rsidRDefault="00405D16">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97FB52C" w14:textId="77777777" w:rsidR="00000000" w:rsidRDefault="00405D16">
            <w:pPr>
              <w:spacing w:after="100"/>
              <w:jc w:val="center"/>
              <w:rPr>
                <w:rFonts w:eastAsia="Times New Roman"/>
              </w:rPr>
            </w:pPr>
            <w:r>
              <w:rPr>
                <w:rFonts w:eastAsia="Times New Roman"/>
                <w:color w:val="000000"/>
                <w:sz w:val="16"/>
                <w:szCs w:val="16"/>
              </w:rPr>
              <w:t>January 31, 2020</w:t>
            </w:r>
          </w:p>
        </w:tc>
        <w:tc>
          <w:tcPr>
            <w:tcW w:w="0" w:type="auto"/>
            <w:gridSpan w:val="3"/>
            <w:shd w:val="clear" w:color="auto" w:fill="CCEEFF"/>
            <w:tcMar>
              <w:top w:w="0" w:type="dxa"/>
              <w:left w:w="20" w:type="dxa"/>
              <w:bottom w:w="0" w:type="dxa"/>
              <w:right w:w="20" w:type="dxa"/>
            </w:tcMar>
            <w:vAlign w:val="center"/>
            <w:hideMark/>
          </w:tcPr>
          <w:p w14:paraId="63564CE6" w14:textId="77777777" w:rsidR="00000000" w:rsidRDefault="00405D16">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0D0ED53" w14:textId="77777777" w:rsidR="00000000" w:rsidRDefault="00405D16">
            <w:pPr>
              <w:spacing w:after="100"/>
              <w:jc w:val="center"/>
              <w:rPr>
                <w:rFonts w:eastAsia="Times New Roman"/>
              </w:rPr>
            </w:pPr>
            <w:r>
              <w:rPr>
                <w:rFonts w:eastAsia="Times New Roman"/>
                <w:color w:val="000000"/>
                <w:sz w:val="16"/>
                <w:szCs w:val="16"/>
              </w:rPr>
              <w:t>June 1, 2025</w:t>
            </w:r>
          </w:p>
        </w:tc>
        <w:tc>
          <w:tcPr>
            <w:tcW w:w="0" w:type="auto"/>
            <w:gridSpan w:val="3"/>
            <w:shd w:val="clear" w:color="auto" w:fill="CCEEFF"/>
            <w:tcMar>
              <w:top w:w="0" w:type="dxa"/>
              <w:left w:w="20" w:type="dxa"/>
              <w:bottom w:w="0" w:type="dxa"/>
              <w:right w:w="20" w:type="dxa"/>
            </w:tcMar>
            <w:vAlign w:val="center"/>
            <w:hideMark/>
          </w:tcPr>
          <w:p w14:paraId="6A2D2D7E" w14:textId="77777777" w:rsidR="00000000" w:rsidRDefault="00405D16">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2371849" w14:textId="77777777" w:rsidR="00000000" w:rsidRDefault="00405D16">
            <w:pPr>
              <w:spacing w:after="100"/>
              <w:jc w:val="center"/>
              <w:rPr>
                <w:rFonts w:eastAsia="Times New Roman"/>
              </w:rPr>
            </w:pPr>
            <w:r>
              <w:rPr>
                <w:rFonts w:eastAsia="Times New Roman"/>
                <w:color w:val="000000"/>
                <w:sz w:val="16"/>
                <w:szCs w:val="16"/>
              </w:rPr>
              <w:t>4.800</w:t>
            </w:r>
          </w:p>
        </w:tc>
        <w:tc>
          <w:tcPr>
            <w:tcW w:w="0" w:type="auto"/>
            <w:gridSpan w:val="3"/>
            <w:shd w:val="clear" w:color="auto" w:fill="CCEEFF"/>
            <w:tcMar>
              <w:top w:w="0" w:type="dxa"/>
              <w:left w:w="20" w:type="dxa"/>
              <w:bottom w:w="0" w:type="dxa"/>
              <w:right w:w="20" w:type="dxa"/>
            </w:tcMar>
            <w:vAlign w:val="center"/>
            <w:hideMark/>
          </w:tcPr>
          <w:p w14:paraId="76AB81D5" w14:textId="77777777" w:rsidR="00000000" w:rsidRDefault="00405D16">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CA0B600" w14:textId="77777777" w:rsidR="00000000" w:rsidRDefault="00405D16">
            <w:pPr>
              <w:spacing w:after="100"/>
              <w:jc w:val="center"/>
              <w:rPr>
                <w:rFonts w:eastAsia="Times New Roman"/>
              </w:rPr>
            </w:pPr>
            <w:r>
              <w:rPr>
                <w:rFonts w:eastAsia="Times New Roman"/>
                <w:color w:val="000000"/>
                <w:sz w:val="16"/>
                <w:szCs w:val="16"/>
              </w:rPr>
              <w:t>Quarterly</w:t>
            </w:r>
          </w:p>
        </w:tc>
        <w:tc>
          <w:tcPr>
            <w:tcW w:w="0" w:type="auto"/>
            <w:gridSpan w:val="3"/>
            <w:shd w:val="clear" w:color="auto" w:fill="CCEEFF"/>
            <w:tcMar>
              <w:top w:w="0" w:type="dxa"/>
              <w:left w:w="20" w:type="dxa"/>
              <w:bottom w:w="0" w:type="dxa"/>
              <w:right w:w="20" w:type="dxa"/>
            </w:tcMar>
            <w:vAlign w:val="center"/>
            <w:hideMark/>
          </w:tcPr>
          <w:p w14:paraId="2C72EDF3" w14:textId="77777777" w:rsidR="00000000" w:rsidRDefault="00405D16">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01F55D9" w14:textId="77777777" w:rsidR="00000000" w:rsidRDefault="00405D16">
            <w:pPr>
              <w:spacing w:after="100"/>
              <w:jc w:val="right"/>
              <w:rPr>
                <w:rFonts w:eastAsia="Times New Roman"/>
              </w:rPr>
            </w:pPr>
            <w:r>
              <w:rPr>
                <w:rFonts w:eastAsia="Times New Roman"/>
                <w:color w:val="000000"/>
                <w:sz w:val="16"/>
                <w:szCs w:val="16"/>
              </w:rPr>
              <w:t>1,000 </w:t>
            </w:r>
          </w:p>
        </w:tc>
        <w:tc>
          <w:tcPr>
            <w:tcW w:w="0" w:type="auto"/>
            <w:shd w:val="clear" w:color="auto" w:fill="CCEEFF"/>
            <w:tcMar>
              <w:top w:w="30" w:type="dxa"/>
              <w:left w:w="0" w:type="dxa"/>
              <w:bottom w:w="30" w:type="dxa"/>
              <w:right w:w="20" w:type="dxa"/>
            </w:tcMar>
            <w:vAlign w:val="bottom"/>
            <w:hideMark/>
          </w:tcPr>
          <w:p w14:paraId="5D2D461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E7B00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591984" w14:textId="77777777" w:rsidR="00000000" w:rsidRDefault="00405D16">
            <w:pPr>
              <w:spacing w:after="100"/>
              <w:jc w:val="right"/>
              <w:rPr>
                <w:rFonts w:eastAsia="Times New Roman"/>
              </w:rPr>
            </w:pPr>
            <w:r>
              <w:rPr>
                <w:rFonts w:eastAsia="Times New Roman"/>
                <w:color w:val="000000"/>
                <w:sz w:val="16"/>
                <w:szCs w:val="16"/>
              </w:rPr>
              <w:t>1,250,000 </w:t>
            </w:r>
          </w:p>
        </w:tc>
        <w:tc>
          <w:tcPr>
            <w:tcW w:w="0" w:type="auto"/>
            <w:shd w:val="clear" w:color="auto" w:fill="CCEEFF"/>
            <w:tcMar>
              <w:top w:w="30" w:type="dxa"/>
              <w:left w:w="0" w:type="dxa"/>
              <w:bottom w:w="30" w:type="dxa"/>
              <w:right w:w="20" w:type="dxa"/>
            </w:tcMar>
            <w:vAlign w:val="bottom"/>
            <w:hideMark/>
          </w:tcPr>
          <w:p w14:paraId="2834CB6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6BD7D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44B132" w14:textId="77777777" w:rsidR="00000000" w:rsidRDefault="00405D16">
            <w:pPr>
              <w:spacing w:after="100"/>
              <w:jc w:val="right"/>
              <w:rPr>
                <w:rFonts w:eastAsia="Times New Roman"/>
              </w:rPr>
            </w:pPr>
            <w:r>
              <w:rPr>
                <w:rFonts w:eastAsia="Times New Roman"/>
                <w:b/>
                <w:bCs/>
                <w:color w:val="000000"/>
                <w:sz w:val="16"/>
                <w:szCs w:val="16"/>
              </w:rPr>
              <w:t>1,209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64E8D5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9091E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3A2235" w14:textId="77777777" w:rsidR="00000000" w:rsidRDefault="00405D16">
            <w:pPr>
              <w:spacing w:after="100"/>
              <w:jc w:val="right"/>
              <w:rPr>
                <w:rFonts w:eastAsia="Times New Roman"/>
              </w:rPr>
            </w:pPr>
            <w:r>
              <w:rPr>
                <w:rFonts w:eastAsia="Times New Roman"/>
                <w:color w:val="000000"/>
                <w:sz w:val="16"/>
                <w:szCs w:val="16"/>
              </w:rPr>
              <w:t>1,209 </w:t>
            </w:r>
          </w:p>
        </w:tc>
        <w:tc>
          <w:tcPr>
            <w:tcW w:w="0" w:type="auto"/>
            <w:shd w:val="clear" w:color="auto" w:fill="CCEEFF"/>
            <w:tcMar>
              <w:top w:w="30" w:type="dxa"/>
              <w:left w:w="0" w:type="dxa"/>
              <w:bottom w:w="30" w:type="dxa"/>
              <w:right w:w="20" w:type="dxa"/>
            </w:tcMar>
            <w:vAlign w:val="bottom"/>
            <w:hideMark/>
          </w:tcPr>
          <w:p w14:paraId="603F3C8B" w14:textId="77777777" w:rsidR="00000000" w:rsidRDefault="00405D16">
            <w:pPr>
              <w:spacing w:after="100"/>
              <w:jc w:val="right"/>
              <w:rPr>
                <w:rFonts w:eastAsia="Times New Roman"/>
              </w:rPr>
            </w:pPr>
          </w:p>
        </w:tc>
      </w:tr>
      <w:tr w:rsidR="00000000" w14:paraId="571AF557" w14:textId="77777777">
        <w:trPr>
          <w:divId w:val="185097223"/>
        </w:trPr>
        <w:tc>
          <w:tcPr>
            <w:tcW w:w="0" w:type="auto"/>
            <w:gridSpan w:val="3"/>
            <w:shd w:val="clear" w:color="auto" w:fill="FFFFFF"/>
            <w:tcMar>
              <w:top w:w="30" w:type="dxa"/>
              <w:left w:w="20" w:type="dxa"/>
              <w:bottom w:w="30" w:type="dxa"/>
              <w:right w:w="20" w:type="dxa"/>
            </w:tcMar>
            <w:vAlign w:val="bottom"/>
            <w:hideMark/>
          </w:tcPr>
          <w:p w14:paraId="7ECADC7E" w14:textId="77777777" w:rsidR="00000000" w:rsidRDefault="00405D16">
            <w:pPr>
              <w:spacing w:after="100"/>
              <w:rPr>
                <w:rFonts w:eastAsia="Times New Roman"/>
              </w:rPr>
            </w:pPr>
            <w:r>
              <w:rPr>
                <w:rFonts w:eastAsia="Times New Roman"/>
                <w:b/>
                <w:bCs/>
                <w:color w:val="000000"/>
                <w:sz w:val="16"/>
                <w:szCs w:val="16"/>
              </w:rPr>
              <w:t>Series K</w:t>
            </w:r>
          </w:p>
        </w:tc>
        <w:tc>
          <w:tcPr>
            <w:tcW w:w="0" w:type="auto"/>
            <w:gridSpan w:val="3"/>
            <w:shd w:val="clear" w:color="auto" w:fill="FFFFFF"/>
            <w:tcMar>
              <w:top w:w="0" w:type="dxa"/>
              <w:left w:w="20" w:type="dxa"/>
              <w:bottom w:w="0" w:type="dxa"/>
              <w:right w:w="20" w:type="dxa"/>
            </w:tcMar>
            <w:vAlign w:val="center"/>
            <w:hideMark/>
          </w:tcPr>
          <w:p w14:paraId="4779C4AF" w14:textId="77777777" w:rsidR="00000000" w:rsidRDefault="00405D16">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57B519B" w14:textId="77777777" w:rsidR="00000000" w:rsidRDefault="00405D16">
            <w:pPr>
              <w:spacing w:after="100"/>
              <w:jc w:val="center"/>
              <w:rPr>
                <w:rFonts w:eastAsia="Times New Roman"/>
              </w:rPr>
            </w:pPr>
            <w:r>
              <w:rPr>
                <w:rFonts w:eastAsia="Times New Roman"/>
                <w:color w:val="000000"/>
                <w:sz w:val="16"/>
                <w:szCs w:val="16"/>
              </w:rPr>
              <w:t>4.625%</w:t>
            </w:r>
            <w:r>
              <w:rPr>
                <w:rFonts w:eastAsia="Times New Roman"/>
                <w:color w:val="000000"/>
                <w:sz w:val="16"/>
                <w:szCs w:val="16"/>
              </w:rPr>
              <w:br/>
              <w:t>Non-Cumulative</w:t>
            </w:r>
          </w:p>
        </w:tc>
        <w:tc>
          <w:tcPr>
            <w:tcW w:w="0" w:type="auto"/>
            <w:gridSpan w:val="3"/>
            <w:shd w:val="clear" w:color="auto" w:fill="FFFFFF"/>
            <w:tcMar>
              <w:top w:w="0" w:type="dxa"/>
              <w:left w:w="20" w:type="dxa"/>
              <w:bottom w:w="0" w:type="dxa"/>
              <w:right w:w="20" w:type="dxa"/>
            </w:tcMar>
            <w:vAlign w:val="center"/>
            <w:hideMark/>
          </w:tcPr>
          <w:p w14:paraId="06F66D98" w14:textId="77777777" w:rsidR="00000000" w:rsidRDefault="00405D16">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6D7223B" w14:textId="77777777" w:rsidR="00000000" w:rsidRDefault="00405D16">
            <w:pPr>
              <w:spacing w:after="100"/>
              <w:jc w:val="center"/>
              <w:rPr>
                <w:rFonts w:eastAsia="Times New Roman"/>
              </w:rPr>
            </w:pPr>
            <w:r>
              <w:rPr>
                <w:rFonts w:eastAsia="Times New Roman"/>
                <w:color w:val="000000"/>
                <w:sz w:val="16"/>
                <w:szCs w:val="16"/>
              </w:rPr>
              <w:t>September 17, 2020</w:t>
            </w:r>
          </w:p>
        </w:tc>
        <w:tc>
          <w:tcPr>
            <w:tcW w:w="0" w:type="auto"/>
            <w:gridSpan w:val="3"/>
            <w:shd w:val="clear" w:color="auto" w:fill="FFFFFF"/>
            <w:tcMar>
              <w:top w:w="0" w:type="dxa"/>
              <w:left w:w="20" w:type="dxa"/>
              <w:bottom w:w="0" w:type="dxa"/>
              <w:right w:w="20" w:type="dxa"/>
            </w:tcMar>
            <w:vAlign w:val="center"/>
            <w:hideMark/>
          </w:tcPr>
          <w:p w14:paraId="76490C3E" w14:textId="77777777" w:rsidR="00000000" w:rsidRDefault="00405D16">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B67AC6B" w14:textId="77777777" w:rsidR="00000000" w:rsidRDefault="00405D16">
            <w:pPr>
              <w:spacing w:after="100"/>
              <w:jc w:val="center"/>
              <w:rPr>
                <w:rFonts w:eastAsia="Times New Roman"/>
              </w:rPr>
            </w:pPr>
            <w:r>
              <w:rPr>
                <w:rFonts w:eastAsia="Times New Roman"/>
                <w:color w:val="000000"/>
                <w:sz w:val="16"/>
                <w:szCs w:val="16"/>
              </w:rPr>
              <w:t>December 1, 2025</w:t>
            </w:r>
          </w:p>
        </w:tc>
        <w:tc>
          <w:tcPr>
            <w:tcW w:w="0" w:type="auto"/>
            <w:gridSpan w:val="3"/>
            <w:shd w:val="clear" w:color="auto" w:fill="FFFFFF"/>
            <w:tcMar>
              <w:top w:w="0" w:type="dxa"/>
              <w:left w:w="20" w:type="dxa"/>
              <w:bottom w:w="0" w:type="dxa"/>
              <w:right w:w="20" w:type="dxa"/>
            </w:tcMar>
            <w:vAlign w:val="center"/>
            <w:hideMark/>
          </w:tcPr>
          <w:p w14:paraId="034E757E" w14:textId="77777777" w:rsidR="00000000" w:rsidRDefault="00405D16">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3FE168C" w14:textId="77777777" w:rsidR="00000000" w:rsidRDefault="00405D16">
            <w:pPr>
              <w:spacing w:after="100"/>
              <w:jc w:val="center"/>
              <w:rPr>
                <w:rFonts w:eastAsia="Times New Roman"/>
              </w:rPr>
            </w:pPr>
            <w:r>
              <w:rPr>
                <w:rFonts w:eastAsia="Times New Roman"/>
                <w:color w:val="000000"/>
                <w:sz w:val="16"/>
                <w:szCs w:val="16"/>
              </w:rPr>
              <w:t>4.625</w:t>
            </w:r>
          </w:p>
        </w:tc>
        <w:tc>
          <w:tcPr>
            <w:tcW w:w="0" w:type="auto"/>
            <w:gridSpan w:val="3"/>
            <w:shd w:val="clear" w:color="auto" w:fill="FFFFFF"/>
            <w:tcMar>
              <w:top w:w="0" w:type="dxa"/>
              <w:left w:w="20" w:type="dxa"/>
              <w:bottom w:w="0" w:type="dxa"/>
              <w:right w:w="20" w:type="dxa"/>
            </w:tcMar>
            <w:vAlign w:val="center"/>
            <w:hideMark/>
          </w:tcPr>
          <w:p w14:paraId="75B3E667" w14:textId="77777777" w:rsidR="00000000" w:rsidRDefault="00405D16">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19B03C4" w14:textId="77777777" w:rsidR="00000000" w:rsidRDefault="00405D16">
            <w:pPr>
              <w:spacing w:after="100"/>
              <w:jc w:val="center"/>
              <w:rPr>
                <w:rFonts w:eastAsia="Times New Roman"/>
              </w:rPr>
            </w:pPr>
            <w:r>
              <w:rPr>
                <w:rFonts w:eastAsia="Times New Roman"/>
                <w:color w:val="000000"/>
                <w:sz w:val="16"/>
                <w:szCs w:val="16"/>
              </w:rPr>
              <w:t>Quarterly</w:t>
            </w:r>
          </w:p>
        </w:tc>
        <w:tc>
          <w:tcPr>
            <w:tcW w:w="0" w:type="auto"/>
            <w:gridSpan w:val="3"/>
            <w:shd w:val="clear" w:color="auto" w:fill="FFFFFF"/>
            <w:tcMar>
              <w:top w:w="0" w:type="dxa"/>
              <w:left w:w="20" w:type="dxa"/>
              <w:bottom w:w="0" w:type="dxa"/>
              <w:right w:w="20" w:type="dxa"/>
            </w:tcMar>
            <w:vAlign w:val="center"/>
            <w:hideMark/>
          </w:tcPr>
          <w:p w14:paraId="02EC43E8" w14:textId="77777777" w:rsidR="00000000" w:rsidRDefault="00405D16">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CF5DC9F" w14:textId="77777777" w:rsidR="00000000" w:rsidRDefault="00405D16">
            <w:pPr>
              <w:spacing w:after="100"/>
              <w:jc w:val="right"/>
              <w:rPr>
                <w:rFonts w:eastAsia="Times New Roman"/>
              </w:rPr>
            </w:pPr>
            <w:r>
              <w:rPr>
                <w:rFonts w:eastAsia="Times New Roman"/>
                <w:color w:val="000000"/>
                <w:sz w:val="16"/>
                <w:szCs w:val="16"/>
              </w:rPr>
              <w:t>1,000 </w:t>
            </w:r>
          </w:p>
        </w:tc>
        <w:tc>
          <w:tcPr>
            <w:tcW w:w="0" w:type="auto"/>
            <w:shd w:val="clear" w:color="auto" w:fill="FFFFFF"/>
            <w:tcMar>
              <w:top w:w="30" w:type="dxa"/>
              <w:left w:w="0" w:type="dxa"/>
              <w:bottom w:w="30" w:type="dxa"/>
              <w:right w:w="20" w:type="dxa"/>
            </w:tcMar>
            <w:vAlign w:val="bottom"/>
            <w:hideMark/>
          </w:tcPr>
          <w:p w14:paraId="3F1D823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19B9F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004332" w14:textId="77777777" w:rsidR="00000000" w:rsidRDefault="00405D16">
            <w:pPr>
              <w:spacing w:after="100"/>
              <w:jc w:val="right"/>
              <w:rPr>
                <w:rFonts w:eastAsia="Times New Roman"/>
              </w:rPr>
            </w:pPr>
            <w:r>
              <w:rPr>
                <w:rFonts w:eastAsia="Times New Roman"/>
                <w:color w:val="000000"/>
                <w:sz w:val="16"/>
                <w:szCs w:val="16"/>
              </w:rPr>
              <w:t>125,000 </w:t>
            </w:r>
          </w:p>
        </w:tc>
        <w:tc>
          <w:tcPr>
            <w:tcW w:w="0" w:type="auto"/>
            <w:shd w:val="clear" w:color="auto" w:fill="FFFFFF"/>
            <w:tcMar>
              <w:top w:w="30" w:type="dxa"/>
              <w:left w:w="0" w:type="dxa"/>
              <w:bottom w:w="30" w:type="dxa"/>
              <w:right w:w="20" w:type="dxa"/>
            </w:tcMar>
            <w:vAlign w:val="bottom"/>
            <w:hideMark/>
          </w:tcPr>
          <w:p w14:paraId="3D1EC8C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095E9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7FDBEB" w14:textId="77777777" w:rsidR="00000000" w:rsidRDefault="00405D16">
            <w:pPr>
              <w:spacing w:after="100"/>
              <w:jc w:val="right"/>
              <w:rPr>
                <w:rFonts w:eastAsia="Times New Roman"/>
              </w:rPr>
            </w:pPr>
            <w:r>
              <w:rPr>
                <w:rFonts w:eastAsia="Times New Roman"/>
                <w:b/>
                <w:bCs/>
                <w:color w:val="000000"/>
                <w:sz w:val="16"/>
                <w:szCs w:val="16"/>
              </w:rPr>
              <w:t>122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7249E4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D84CA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01741D" w14:textId="77777777" w:rsidR="00000000" w:rsidRDefault="00405D16">
            <w:pPr>
              <w:spacing w:after="100"/>
              <w:jc w:val="right"/>
              <w:rPr>
                <w:rFonts w:eastAsia="Times New Roman"/>
              </w:rPr>
            </w:pPr>
            <w:r>
              <w:rPr>
                <w:rFonts w:eastAsia="Times New Roman"/>
                <w:color w:val="000000"/>
                <w:sz w:val="16"/>
                <w:szCs w:val="16"/>
              </w:rPr>
              <w:t>122 </w:t>
            </w:r>
          </w:p>
        </w:tc>
        <w:tc>
          <w:tcPr>
            <w:tcW w:w="0" w:type="auto"/>
            <w:shd w:val="clear" w:color="auto" w:fill="FFFFFF"/>
            <w:tcMar>
              <w:top w:w="30" w:type="dxa"/>
              <w:left w:w="0" w:type="dxa"/>
              <w:bottom w:w="30" w:type="dxa"/>
              <w:right w:w="20" w:type="dxa"/>
            </w:tcMar>
            <w:vAlign w:val="bottom"/>
            <w:hideMark/>
          </w:tcPr>
          <w:p w14:paraId="75D06761" w14:textId="77777777" w:rsidR="00000000" w:rsidRDefault="00405D16">
            <w:pPr>
              <w:spacing w:after="100"/>
              <w:jc w:val="right"/>
              <w:rPr>
                <w:rFonts w:eastAsia="Times New Roman"/>
              </w:rPr>
            </w:pPr>
          </w:p>
        </w:tc>
      </w:tr>
      <w:tr w:rsidR="00000000" w14:paraId="39CC72A2" w14:textId="77777777">
        <w:trPr>
          <w:divId w:val="185097223"/>
        </w:trPr>
        <w:tc>
          <w:tcPr>
            <w:tcW w:w="0" w:type="auto"/>
            <w:gridSpan w:val="3"/>
            <w:shd w:val="clear" w:color="auto" w:fill="CCEEFF"/>
            <w:tcMar>
              <w:top w:w="30" w:type="dxa"/>
              <w:left w:w="20" w:type="dxa"/>
              <w:bottom w:w="30" w:type="dxa"/>
              <w:right w:w="20" w:type="dxa"/>
            </w:tcMar>
            <w:vAlign w:val="bottom"/>
            <w:hideMark/>
          </w:tcPr>
          <w:p w14:paraId="4042E33F" w14:textId="77777777" w:rsidR="00000000" w:rsidRDefault="00405D16">
            <w:pPr>
              <w:spacing w:after="100"/>
              <w:rPr>
                <w:rFonts w:eastAsia="Times New Roman"/>
              </w:rPr>
            </w:pPr>
            <w:r>
              <w:rPr>
                <w:rFonts w:eastAsia="Times New Roman"/>
                <w:b/>
                <w:bCs/>
                <w:color w:val="000000"/>
                <w:sz w:val="16"/>
                <w:szCs w:val="16"/>
              </w:rPr>
              <w:t>Series L</w:t>
            </w:r>
          </w:p>
        </w:tc>
        <w:tc>
          <w:tcPr>
            <w:tcW w:w="0" w:type="auto"/>
            <w:gridSpan w:val="3"/>
            <w:shd w:val="clear" w:color="auto" w:fill="CCEEFF"/>
            <w:tcMar>
              <w:top w:w="0" w:type="dxa"/>
              <w:left w:w="20" w:type="dxa"/>
              <w:bottom w:w="0" w:type="dxa"/>
              <w:right w:w="20" w:type="dxa"/>
            </w:tcMar>
            <w:vAlign w:val="center"/>
            <w:hideMark/>
          </w:tcPr>
          <w:p w14:paraId="6114BD27" w14:textId="77777777" w:rsidR="00000000" w:rsidRDefault="00405D16">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3A97621" w14:textId="77777777" w:rsidR="00000000" w:rsidRDefault="00405D16">
            <w:pPr>
              <w:spacing w:after="100"/>
              <w:jc w:val="center"/>
              <w:rPr>
                <w:rFonts w:eastAsia="Times New Roman"/>
              </w:rPr>
            </w:pPr>
            <w:r>
              <w:rPr>
                <w:rFonts w:eastAsia="Times New Roman"/>
                <w:color w:val="000000"/>
                <w:sz w:val="16"/>
                <w:szCs w:val="16"/>
              </w:rPr>
              <w:t>4.375%</w:t>
            </w:r>
            <w:r>
              <w:rPr>
                <w:rFonts w:eastAsia="Times New Roman"/>
                <w:color w:val="000000"/>
                <w:sz w:val="16"/>
                <w:szCs w:val="16"/>
              </w:rPr>
              <w:br/>
              <w:t>Non-Cumulative</w:t>
            </w:r>
          </w:p>
        </w:tc>
        <w:tc>
          <w:tcPr>
            <w:tcW w:w="0" w:type="auto"/>
            <w:gridSpan w:val="3"/>
            <w:shd w:val="clear" w:color="auto" w:fill="CCEEFF"/>
            <w:tcMar>
              <w:top w:w="0" w:type="dxa"/>
              <w:left w:w="20" w:type="dxa"/>
              <w:bottom w:w="0" w:type="dxa"/>
              <w:right w:w="20" w:type="dxa"/>
            </w:tcMar>
            <w:vAlign w:val="center"/>
            <w:hideMark/>
          </w:tcPr>
          <w:p w14:paraId="4725BE95" w14:textId="77777777" w:rsidR="00000000" w:rsidRDefault="00405D16">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E0D37DE" w14:textId="77777777" w:rsidR="00000000" w:rsidRDefault="00405D16">
            <w:pPr>
              <w:spacing w:after="100"/>
              <w:jc w:val="center"/>
              <w:rPr>
                <w:rFonts w:eastAsia="Times New Roman"/>
              </w:rPr>
            </w:pPr>
            <w:r>
              <w:rPr>
                <w:rFonts w:eastAsia="Times New Roman"/>
                <w:color w:val="000000"/>
                <w:sz w:val="16"/>
                <w:szCs w:val="16"/>
              </w:rPr>
              <w:t>May 4, 2021</w:t>
            </w:r>
          </w:p>
        </w:tc>
        <w:tc>
          <w:tcPr>
            <w:tcW w:w="0" w:type="auto"/>
            <w:gridSpan w:val="3"/>
            <w:shd w:val="clear" w:color="auto" w:fill="CCEEFF"/>
            <w:tcMar>
              <w:top w:w="0" w:type="dxa"/>
              <w:left w:w="20" w:type="dxa"/>
              <w:bottom w:w="0" w:type="dxa"/>
              <w:right w:w="20" w:type="dxa"/>
            </w:tcMar>
            <w:vAlign w:val="center"/>
            <w:hideMark/>
          </w:tcPr>
          <w:p w14:paraId="2C24FC0B" w14:textId="77777777" w:rsidR="00000000" w:rsidRDefault="00405D16">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1E5F4E9" w14:textId="77777777" w:rsidR="00000000" w:rsidRDefault="00405D16">
            <w:pPr>
              <w:spacing w:after="100"/>
              <w:jc w:val="center"/>
              <w:rPr>
                <w:rFonts w:eastAsia="Times New Roman"/>
              </w:rPr>
            </w:pPr>
            <w:r>
              <w:rPr>
                <w:rFonts w:eastAsia="Times New Roman"/>
                <w:color w:val="000000"/>
                <w:sz w:val="16"/>
                <w:szCs w:val="16"/>
              </w:rPr>
              <w:t>September 1, 2026</w:t>
            </w:r>
          </w:p>
        </w:tc>
        <w:tc>
          <w:tcPr>
            <w:tcW w:w="0" w:type="auto"/>
            <w:gridSpan w:val="3"/>
            <w:shd w:val="clear" w:color="auto" w:fill="CCEEFF"/>
            <w:tcMar>
              <w:top w:w="0" w:type="dxa"/>
              <w:left w:w="20" w:type="dxa"/>
              <w:bottom w:w="0" w:type="dxa"/>
              <w:right w:w="20" w:type="dxa"/>
            </w:tcMar>
            <w:vAlign w:val="center"/>
            <w:hideMark/>
          </w:tcPr>
          <w:p w14:paraId="0DF149FE" w14:textId="77777777" w:rsidR="00000000" w:rsidRDefault="00405D16">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CB0435A" w14:textId="77777777" w:rsidR="00000000" w:rsidRDefault="00405D16">
            <w:pPr>
              <w:spacing w:after="100"/>
              <w:jc w:val="center"/>
              <w:rPr>
                <w:rFonts w:eastAsia="Times New Roman"/>
              </w:rPr>
            </w:pPr>
            <w:r>
              <w:rPr>
                <w:rFonts w:eastAsia="Times New Roman"/>
                <w:color w:val="000000"/>
                <w:sz w:val="16"/>
                <w:szCs w:val="16"/>
              </w:rPr>
              <w:t>4.375</w:t>
            </w:r>
          </w:p>
        </w:tc>
        <w:tc>
          <w:tcPr>
            <w:tcW w:w="0" w:type="auto"/>
            <w:gridSpan w:val="3"/>
            <w:shd w:val="clear" w:color="auto" w:fill="CCEEFF"/>
            <w:tcMar>
              <w:top w:w="0" w:type="dxa"/>
              <w:left w:w="20" w:type="dxa"/>
              <w:bottom w:w="0" w:type="dxa"/>
              <w:right w:w="20" w:type="dxa"/>
            </w:tcMar>
            <w:vAlign w:val="center"/>
            <w:hideMark/>
          </w:tcPr>
          <w:p w14:paraId="1114C8BD" w14:textId="77777777" w:rsidR="00000000" w:rsidRDefault="00405D16">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565A3A5" w14:textId="77777777" w:rsidR="00000000" w:rsidRDefault="00405D16">
            <w:pPr>
              <w:spacing w:after="100"/>
              <w:jc w:val="center"/>
              <w:rPr>
                <w:rFonts w:eastAsia="Times New Roman"/>
              </w:rPr>
            </w:pPr>
            <w:r>
              <w:rPr>
                <w:rFonts w:eastAsia="Times New Roman"/>
                <w:color w:val="000000"/>
                <w:sz w:val="16"/>
                <w:szCs w:val="16"/>
              </w:rPr>
              <w:t>Quarterly</w:t>
            </w:r>
          </w:p>
        </w:tc>
        <w:tc>
          <w:tcPr>
            <w:tcW w:w="0" w:type="auto"/>
            <w:gridSpan w:val="3"/>
            <w:shd w:val="clear" w:color="auto" w:fill="CCEEFF"/>
            <w:tcMar>
              <w:top w:w="0" w:type="dxa"/>
              <w:left w:w="20" w:type="dxa"/>
              <w:bottom w:w="0" w:type="dxa"/>
              <w:right w:w="20" w:type="dxa"/>
            </w:tcMar>
            <w:vAlign w:val="center"/>
            <w:hideMark/>
          </w:tcPr>
          <w:p w14:paraId="0743D87F" w14:textId="77777777" w:rsidR="00000000" w:rsidRDefault="00405D16">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0D534A9" w14:textId="77777777" w:rsidR="00000000" w:rsidRDefault="00405D16">
            <w:pPr>
              <w:spacing w:after="100"/>
              <w:jc w:val="right"/>
              <w:rPr>
                <w:rFonts w:eastAsia="Times New Roman"/>
              </w:rPr>
            </w:pPr>
            <w:r>
              <w:rPr>
                <w:rFonts w:eastAsia="Times New Roman"/>
                <w:color w:val="000000"/>
                <w:sz w:val="16"/>
                <w:szCs w:val="16"/>
              </w:rPr>
              <w:t>1,000 </w:t>
            </w:r>
          </w:p>
        </w:tc>
        <w:tc>
          <w:tcPr>
            <w:tcW w:w="0" w:type="auto"/>
            <w:shd w:val="clear" w:color="auto" w:fill="CCEEFF"/>
            <w:tcMar>
              <w:top w:w="30" w:type="dxa"/>
              <w:left w:w="0" w:type="dxa"/>
              <w:bottom w:w="30" w:type="dxa"/>
              <w:right w:w="20" w:type="dxa"/>
            </w:tcMar>
            <w:vAlign w:val="bottom"/>
            <w:hideMark/>
          </w:tcPr>
          <w:p w14:paraId="1E521DE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51C69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3D4882" w14:textId="77777777" w:rsidR="00000000" w:rsidRDefault="00405D16">
            <w:pPr>
              <w:spacing w:after="100"/>
              <w:jc w:val="right"/>
              <w:rPr>
                <w:rFonts w:eastAsia="Times New Roman"/>
              </w:rPr>
            </w:pPr>
            <w:r>
              <w:rPr>
                <w:rFonts w:eastAsia="Times New Roman"/>
                <w:color w:val="000000"/>
                <w:sz w:val="16"/>
                <w:szCs w:val="16"/>
              </w:rPr>
              <w:t>675,000 </w:t>
            </w:r>
          </w:p>
        </w:tc>
        <w:tc>
          <w:tcPr>
            <w:tcW w:w="0" w:type="auto"/>
            <w:shd w:val="clear" w:color="auto" w:fill="CCEEFF"/>
            <w:tcMar>
              <w:top w:w="30" w:type="dxa"/>
              <w:left w:w="0" w:type="dxa"/>
              <w:bottom w:w="30" w:type="dxa"/>
              <w:right w:w="20" w:type="dxa"/>
            </w:tcMar>
            <w:vAlign w:val="bottom"/>
            <w:hideMark/>
          </w:tcPr>
          <w:p w14:paraId="3D13640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F1B20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4824BD" w14:textId="77777777" w:rsidR="00000000" w:rsidRDefault="00405D16">
            <w:pPr>
              <w:spacing w:after="100"/>
              <w:jc w:val="right"/>
              <w:rPr>
                <w:rFonts w:eastAsia="Times New Roman"/>
              </w:rPr>
            </w:pPr>
            <w:r>
              <w:rPr>
                <w:rFonts w:eastAsia="Times New Roman"/>
                <w:b/>
                <w:bCs/>
                <w:color w:val="000000"/>
                <w:sz w:val="16"/>
                <w:szCs w:val="16"/>
              </w:rPr>
              <w:t>653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4B6513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56437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67AEBC" w14:textId="77777777" w:rsidR="00000000" w:rsidRDefault="00405D16">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14:paraId="45A72F40" w14:textId="77777777" w:rsidR="00000000" w:rsidRDefault="00405D16">
            <w:pPr>
              <w:spacing w:after="100"/>
              <w:jc w:val="right"/>
              <w:rPr>
                <w:rFonts w:eastAsia="Times New Roman"/>
              </w:rPr>
            </w:pPr>
          </w:p>
        </w:tc>
      </w:tr>
      <w:tr w:rsidR="00000000" w14:paraId="09D95871" w14:textId="77777777">
        <w:trPr>
          <w:divId w:val="185097223"/>
        </w:trPr>
        <w:tc>
          <w:tcPr>
            <w:tcW w:w="0" w:type="auto"/>
            <w:gridSpan w:val="3"/>
            <w:shd w:val="clear" w:color="auto" w:fill="FFFFFF"/>
            <w:tcMar>
              <w:top w:w="30" w:type="dxa"/>
              <w:left w:w="20" w:type="dxa"/>
              <w:bottom w:w="30" w:type="dxa"/>
              <w:right w:w="20" w:type="dxa"/>
            </w:tcMar>
            <w:vAlign w:val="bottom"/>
            <w:hideMark/>
          </w:tcPr>
          <w:p w14:paraId="73567628" w14:textId="77777777" w:rsidR="00000000" w:rsidRDefault="00405D16">
            <w:pPr>
              <w:spacing w:after="100"/>
              <w:rPr>
                <w:rFonts w:eastAsia="Times New Roman"/>
              </w:rPr>
            </w:pPr>
            <w:r>
              <w:rPr>
                <w:rFonts w:eastAsia="Times New Roman"/>
                <w:b/>
                <w:bCs/>
                <w:color w:val="000000"/>
                <w:sz w:val="16"/>
                <w:szCs w:val="16"/>
              </w:rPr>
              <w:t>Series M</w:t>
            </w:r>
          </w:p>
        </w:tc>
        <w:tc>
          <w:tcPr>
            <w:tcW w:w="0" w:type="auto"/>
            <w:gridSpan w:val="3"/>
            <w:shd w:val="clear" w:color="auto" w:fill="FFFFFF"/>
            <w:tcMar>
              <w:top w:w="0" w:type="dxa"/>
              <w:left w:w="20" w:type="dxa"/>
              <w:bottom w:w="0" w:type="dxa"/>
              <w:right w:w="20" w:type="dxa"/>
            </w:tcMar>
            <w:vAlign w:val="center"/>
            <w:hideMark/>
          </w:tcPr>
          <w:p w14:paraId="56FFDD68" w14:textId="77777777" w:rsidR="00000000" w:rsidRDefault="00405D16">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0DDC8CE" w14:textId="77777777" w:rsidR="00000000" w:rsidRDefault="00405D16">
            <w:pPr>
              <w:spacing w:after="100"/>
              <w:jc w:val="center"/>
              <w:rPr>
                <w:rFonts w:eastAsia="Times New Roman"/>
              </w:rPr>
            </w:pPr>
            <w:r>
              <w:rPr>
                <w:rFonts w:eastAsia="Times New Roman"/>
                <w:color w:val="000000"/>
                <w:sz w:val="16"/>
                <w:szCs w:val="16"/>
              </w:rPr>
              <w:t>3.950% Fixed Rate Reset</w:t>
            </w:r>
            <w:r>
              <w:rPr>
                <w:rFonts w:eastAsia="Times New Roman"/>
                <w:color w:val="000000"/>
                <w:sz w:val="16"/>
                <w:szCs w:val="16"/>
              </w:rPr>
              <w:br/>
              <w:t>Non-Cumulative</w:t>
            </w:r>
          </w:p>
        </w:tc>
        <w:tc>
          <w:tcPr>
            <w:tcW w:w="0" w:type="auto"/>
            <w:gridSpan w:val="3"/>
            <w:shd w:val="clear" w:color="auto" w:fill="FFFFFF"/>
            <w:tcMar>
              <w:top w:w="0" w:type="dxa"/>
              <w:left w:w="20" w:type="dxa"/>
              <w:bottom w:w="0" w:type="dxa"/>
              <w:right w:w="20" w:type="dxa"/>
            </w:tcMar>
            <w:vAlign w:val="center"/>
            <w:hideMark/>
          </w:tcPr>
          <w:p w14:paraId="476D6180" w14:textId="77777777" w:rsidR="00000000" w:rsidRDefault="00405D16">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A423D19" w14:textId="77777777" w:rsidR="00000000" w:rsidRDefault="00405D16">
            <w:pPr>
              <w:spacing w:after="100"/>
              <w:jc w:val="center"/>
              <w:rPr>
                <w:rFonts w:eastAsia="Times New Roman"/>
              </w:rPr>
            </w:pPr>
            <w:r>
              <w:rPr>
                <w:rFonts w:eastAsia="Times New Roman"/>
                <w:color w:val="000000"/>
                <w:sz w:val="16"/>
                <w:szCs w:val="16"/>
              </w:rPr>
              <w:t>June 10, 2021</w:t>
            </w:r>
          </w:p>
        </w:tc>
        <w:tc>
          <w:tcPr>
            <w:tcW w:w="0" w:type="auto"/>
            <w:gridSpan w:val="3"/>
            <w:shd w:val="clear" w:color="auto" w:fill="FFFFFF"/>
            <w:tcMar>
              <w:top w:w="0" w:type="dxa"/>
              <w:left w:w="20" w:type="dxa"/>
              <w:bottom w:w="0" w:type="dxa"/>
              <w:right w:w="20" w:type="dxa"/>
            </w:tcMar>
            <w:vAlign w:val="center"/>
            <w:hideMark/>
          </w:tcPr>
          <w:p w14:paraId="6A2EBA80" w14:textId="77777777" w:rsidR="00000000" w:rsidRDefault="00405D16">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DB5B936" w14:textId="77777777" w:rsidR="00000000" w:rsidRDefault="00405D16">
            <w:pPr>
              <w:spacing w:after="100"/>
              <w:jc w:val="center"/>
              <w:rPr>
                <w:rFonts w:eastAsia="Times New Roman"/>
              </w:rPr>
            </w:pPr>
            <w:r>
              <w:rPr>
                <w:rFonts w:eastAsia="Times New Roman"/>
                <w:color w:val="000000"/>
                <w:sz w:val="16"/>
                <w:szCs w:val="16"/>
              </w:rPr>
              <w:t>September 1, 2026</w:t>
            </w:r>
          </w:p>
        </w:tc>
        <w:tc>
          <w:tcPr>
            <w:tcW w:w="0" w:type="auto"/>
            <w:gridSpan w:val="3"/>
            <w:shd w:val="clear" w:color="auto" w:fill="FFFFFF"/>
            <w:tcMar>
              <w:top w:w="0" w:type="dxa"/>
              <w:left w:w="20" w:type="dxa"/>
              <w:bottom w:w="0" w:type="dxa"/>
              <w:right w:w="20" w:type="dxa"/>
            </w:tcMar>
            <w:vAlign w:val="center"/>
            <w:hideMark/>
          </w:tcPr>
          <w:p w14:paraId="5F8F17FE" w14:textId="77777777" w:rsidR="00000000" w:rsidRDefault="00405D16">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F986124" w14:textId="77777777" w:rsidR="00000000" w:rsidRDefault="00405D16">
            <w:pPr>
              <w:spacing w:after="100"/>
              <w:jc w:val="center"/>
              <w:rPr>
                <w:rFonts w:eastAsia="Times New Roman"/>
              </w:rPr>
            </w:pPr>
            <w:r>
              <w:rPr>
                <w:rFonts w:eastAsia="Times New Roman"/>
                <w:color w:val="000000"/>
                <w:sz w:val="16"/>
                <w:szCs w:val="16"/>
              </w:rPr>
              <w:t>3.950</w:t>
            </w:r>
            <w:r>
              <w:rPr>
                <w:rFonts w:eastAsia="Times New Roman"/>
                <w:color w:val="000000"/>
                <w:sz w:val="16"/>
                <w:szCs w:val="16"/>
              </w:rPr>
              <w:t>% through 8/31/2026; resets 9/1/2026 and every subsequent 5 year anniversary at 5-Year Treasury +3.157%</w:t>
            </w:r>
          </w:p>
        </w:tc>
        <w:tc>
          <w:tcPr>
            <w:tcW w:w="0" w:type="auto"/>
            <w:gridSpan w:val="3"/>
            <w:shd w:val="clear" w:color="auto" w:fill="FFFFFF"/>
            <w:tcMar>
              <w:top w:w="0" w:type="dxa"/>
              <w:left w:w="20" w:type="dxa"/>
              <w:bottom w:w="0" w:type="dxa"/>
              <w:right w:w="20" w:type="dxa"/>
            </w:tcMar>
            <w:vAlign w:val="center"/>
            <w:hideMark/>
          </w:tcPr>
          <w:p w14:paraId="63D34AD6" w14:textId="77777777" w:rsidR="00000000" w:rsidRDefault="00405D16">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BEAECC0" w14:textId="77777777" w:rsidR="00000000" w:rsidRDefault="00405D16">
            <w:pPr>
              <w:spacing w:after="100"/>
              <w:jc w:val="center"/>
              <w:rPr>
                <w:rFonts w:eastAsia="Times New Roman"/>
              </w:rPr>
            </w:pPr>
            <w:r>
              <w:rPr>
                <w:rFonts w:eastAsia="Times New Roman"/>
                <w:color w:val="000000"/>
                <w:sz w:val="16"/>
                <w:szCs w:val="16"/>
              </w:rPr>
              <w:t>Quarterly</w:t>
            </w:r>
          </w:p>
        </w:tc>
        <w:tc>
          <w:tcPr>
            <w:tcW w:w="0" w:type="auto"/>
            <w:gridSpan w:val="3"/>
            <w:shd w:val="clear" w:color="auto" w:fill="FFFFFF"/>
            <w:tcMar>
              <w:top w:w="0" w:type="dxa"/>
              <w:left w:w="20" w:type="dxa"/>
              <w:bottom w:w="0" w:type="dxa"/>
              <w:right w:w="20" w:type="dxa"/>
            </w:tcMar>
            <w:vAlign w:val="center"/>
            <w:hideMark/>
          </w:tcPr>
          <w:p w14:paraId="3E896900" w14:textId="77777777" w:rsidR="00000000" w:rsidRDefault="00405D16">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88E0A61" w14:textId="77777777" w:rsidR="00000000" w:rsidRDefault="00405D16">
            <w:pPr>
              <w:spacing w:after="100"/>
              <w:jc w:val="right"/>
              <w:rPr>
                <w:rFonts w:eastAsia="Times New Roman"/>
              </w:rPr>
            </w:pPr>
            <w:r>
              <w:rPr>
                <w:rFonts w:eastAsia="Times New Roman"/>
                <w:color w:val="000000"/>
                <w:sz w:val="16"/>
                <w:szCs w:val="16"/>
              </w:rPr>
              <w:t>1,000 </w:t>
            </w:r>
          </w:p>
        </w:tc>
        <w:tc>
          <w:tcPr>
            <w:tcW w:w="0" w:type="auto"/>
            <w:shd w:val="clear" w:color="auto" w:fill="FFFFFF"/>
            <w:tcMar>
              <w:top w:w="30" w:type="dxa"/>
              <w:left w:w="0" w:type="dxa"/>
              <w:bottom w:w="30" w:type="dxa"/>
              <w:right w:w="20" w:type="dxa"/>
            </w:tcMar>
            <w:vAlign w:val="bottom"/>
            <w:hideMark/>
          </w:tcPr>
          <w:p w14:paraId="3C30FBD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3B11D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286D06" w14:textId="77777777" w:rsidR="00000000" w:rsidRDefault="00405D16">
            <w:pPr>
              <w:spacing w:after="100"/>
              <w:jc w:val="right"/>
              <w:rPr>
                <w:rFonts w:eastAsia="Times New Roman"/>
              </w:rPr>
            </w:pPr>
            <w:r>
              <w:rPr>
                <w:rFonts w:eastAsia="Times New Roman"/>
                <w:color w:val="000000"/>
                <w:sz w:val="16"/>
                <w:szCs w:val="16"/>
              </w:rPr>
              <w:t>1,000,000 </w:t>
            </w:r>
          </w:p>
        </w:tc>
        <w:tc>
          <w:tcPr>
            <w:tcW w:w="0" w:type="auto"/>
            <w:shd w:val="clear" w:color="auto" w:fill="FFFFFF"/>
            <w:tcMar>
              <w:top w:w="30" w:type="dxa"/>
              <w:left w:w="0" w:type="dxa"/>
              <w:bottom w:w="30" w:type="dxa"/>
              <w:right w:w="20" w:type="dxa"/>
            </w:tcMar>
            <w:vAlign w:val="bottom"/>
            <w:hideMark/>
          </w:tcPr>
          <w:p w14:paraId="58EB6C0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9D05B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F112E6" w14:textId="77777777" w:rsidR="00000000" w:rsidRDefault="00405D16">
            <w:pPr>
              <w:spacing w:after="100"/>
              <w:jc w:val="right"/>
              <w:rPr>
                <w:rFonts w:eastAsia="Times New Roman"/>
              </w:rPr>
            </w:pPr>
            <w:r>
              <w:rPr>
                <w:rFonts w:eastAsia="Times New Roman"/>
                <w:b/>
                <w:bCs/>
                <w:color w:val="000000"/>
                <w:sz w:val="16"/>
                <w:szCs w:val="16"/>
              </w:rPr>
              <w:t>988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F6EDE1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4AFEB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1A443E" w14:textId="77777777" w:rsidR="00000000" w:rsidRDefault="00405D16">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14:paraId="35B8B3E0" w14:textId="77777777" w:rsidR="00000000" w:rsidRDefault="00405D16">
            <w:pPr>
              <w:spacing w:after="100"/>
              <w:jc w:val="right"/>
              <w:rPr>
                <w:rFonts w:eastAsia="Times New Roman"/>
              </w:rPr>
            </w:pPr>
          </w:p>
        </w:tc>
      </w:tr>
      <w:tr w:rsidR="00000000" w14:paraId="7F0959F6" w14:textId="77777777">
        <w:trPr>
          <w:divId w:val="185097223"/>
        </w:trPr>
        <w:tc>
          <w:tcPr>
            <w:tcW w:w="0" w:type="auto"/>
            <w:gridSpan w:val="3"/>
            <w:shd w:val="clear" w:color="auto" w:fill="CCEEFF"/>
            <w:tcMar>
              <w:top w:w="30" w:type="dxa"/>
              <w:left w:w="20" w:type="dxa"/>
              <w:bottom w:w="30" w:type="dxa"/>
              <w:right w:w="20" w:type="dxa"/>
            </w:tcMar>
            <w:vAlign w:val="bottom"/>
            <w:hideMark/>
          </w:tcPr>
          <w:p w14:paraId="7222A623" w14:textId="77777777" w:rsidR="00000000" w:rsidRDefault="00405D16">
            <w:pPr>
              <w:spacing w:after="100"/>
              <w:rPr>
                <w:rFonts w:eastAsia="Times New Roman"/>
              </w:rPr>
            </w:pPr>
            <w:r>
              <w:rPr>
                <w:rFonts w:eastAsia="Times New Roman"/>
                <w:b/>
                <w:bCs/>
                <w:color w:val="000000"/>
                <w:sz w:val="16"/>
                <w:szCs w:val="16"/>
              </w:rPr>
              <w:t>Series N</w:t>
            </w:r>
          </w:p>
        </w:tc>
        <w:tc>
          <w:tcPr>
            <w:tcW w:w="0" w:type="auto"/>
            <w:gridSpan w:val="3"/>
            <w:shd w:val="clear" w:color="auto" w:fill="CCEEFF"/>
            <w:tcMar>
              <w:top w:w="0" w:type="dxa"/>
              <w:left w:w="20" w:type="dxa"/>
              <w:bottom w:w="0" w:type="dxa"/>
              <w:right w:w="20" w:type="dxa"/>
            </w:tcMar>
            <w:vAlign w:val="center"/>
            <w:hideMark/>
          </w:tcPr>
          <w:p w14:paraId="364C8AAC" w14:textId="77777777" w:rsidR="00000000" w:rsidRDefault="00405D16">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170A900" w14:textId="77777777" w:rsidR="00000000" w:rsidRDefault="00405D16">
            <w:pPr>
              <w:spacing w:after="100"/>
              <w:jc w:val="center"/>
              <w:rPr>
                <w:rFonts w:eastAsia="Times New Roman"/>
              </w:rPr>
            </w:pPr>
            <w:r>
              <w:rPr>
                <w:rFonts w:eastAsia="Times New Roman"/>
                <w:color w:val="000000"/>
                <w:sz w:val="16"/>
                <w:szCs w:val="16"/>
              </w:rPr>
              <w:t>4.250%</w:t>
            </w:r>
            <w:r>
              <w:rPr>
                <w:rFonts w:eastAsia="Times New Roman"/>
                <w:color w:val="000000"/>
                <w:sz w:val="16"/>
                <w:szCs w:val="16"/>
              </w:rPr>
              <w:br/>
              <w:t>Non-Cumulative</w:t>
            </w:r>
          </w:p>
        </w:tc>
        <w:tc>
          <w:tcPr>
            <w:tcW w:w="0" w:type="auto"/>
            <w:gridSpan w:val="3"/>
            <w:shd w:val="clear" w:color="auto" w:fill="CCEEFF"/>
            <w:tcMar>
              <w:top w:w="0" w:type="dxa"/>
              <w:left w:w="20" w:type="dxa"/>
              <w:bottom w:w="0" w:type="dxa"/>
              <w:right w:w="20" w:type="dxa"/>
            </w:tcMar>
            <w:vAlign w:val="center"/>
            <w:hideMark/>
          </w:tcPr>
          <w:p w14:paraId="4A102789" w14:textId="77777777" w:rsidR="00000000" w:rsidRDefault="00405D16">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8C997FF" w14:textId="77777777" w:rsidR="00000000" w:rsidRDefault="00405D16">
            <w:pPr>
              <w:spacing w:after="100"/>
              <w:jc w:val="center"/>
              <w:rPr>
                <w:rFonts w:eastAsia="Times New Roman"/>
              </w:rPr>
            </w:pPr>
            <w:r>
              <w:rPr>
                <w:rFonts w:eastAsia="Times New Roman"/>
                <w:color w:val="000000"/>
                <w:sz w:val="16"/>
                <w:szCs w:val="16"/>
              </w:rPr>
              <w:t>July 29, 2021</w:t>
            </w:r>
          </w:p>
        </w:tc>
        <w:tc>
          <w:tcPr>
            <w:tcW w:w="0" w:type="auto"/>
            <w:gridSpan w:val="3"/>
            <w:shd w:val="clear" w:color="auto" w:fill="CCEEFF"/>
            <w:tcMar>
              <w:top w:w="0" w:type="dxa"/>
              <w:left w:w="20" w:type="dxa"/>
              <w:bottom w:w="0" w:type="dxa"/>
              <w:right w:w="20" w:type="dxa"/>
            </w:tcMar>
            <w:vAlign w:val="center"/>
            <w:hideMark/>
          </w:tcPr>
          <w:p w14:paraId="18D8FAB0" w14:textId="77777777" w:rsidR="00000000" w:rsidRDefault="00405D16">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715FEBD" w14:textId="77777777" w:rsidR="00000000" w:rsidRDefault="00405D16">
            <w:pPr>
              <w:spacing w:after="100"/>
              <w:jc w:val="center"/>
              <w:rPr>
                <w:rFonts w:eastAsia="Times New Roman"/>
              </w:rPr>
            </w:pPr>
            <w:r>
              <w:rPr>
                <w:rFonts w:eastAsia="Times New Roman"/>
                <w:color w:val="000000"/>
                <w:sz w:val="16"/>
                <w:szCs w:val="16"/>
              </w:rPr>
              <w:t>September 1, 2026</w:t>
            </w:r>
          </w:p>
        </w:tc>
        <w:tc>
          <w:tcPr>
            <w:tcW w:w="0" w:type="auto"/>
            <w:gridSpan w:val="3"/>
            <w:shd w:val="clear" w:color="auto" w:fill="CCEEFF"/>
            <w:tcMar>
              <w:top w:w="0" w:type="dxa"/>
              <w:left w:w="20" w:type="dxa"/>
              <w:bottom w:w="0" w:type="dxa"/>
              <w:right w:w="20" w:type="dxa"/>
            </w:tcMar>
            <w:vAlign w:val="center"/>
            <w:hideMark/>
          </w:tcPr>
          <w:p w14:paraId="01DA7979" w14:textId="77777777" w:rsidR="00000000" w:rsidRDefault="00405D16">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572BE25" w14:textId="77777777" w:rsidR="00000000" w:rsidRDefault="00405D16">
            <w:pPr>
              <w:spacing w:after="100"/>
              <w:jc w:val="center"/>
              <w:rPr>
                <w:rFonts w:eastAsia="Times New Roman"/>
              </w:rPr>
            </w:pPr>
            <w:r>
              <w:rPr>
                <w:rFonts w:eastAsia="Times New Roman"/>
                <w:color w:val="000000"/>
                <w:sz w:val="16"/>
                <w:szCs w:val="16"/>
              </w:rPr>
              <w:t>4.250</w:t>
            </w:r>
          </w:p>
        </w:tc>
        <w:tc>
          <w:tcPr>
            <w:tcW w:w="0" w:type="auto"/>
            <w:gridSpan w:val="3"/>
            <w:shd w:val="clear" w:color="auto" w:fill="CCEEFF"/>
            <w:tcMar>
              <w:top w:w="0" w:type="dxa"/>
              <w:left w:w="20" w:type="dxa"/>
              <w:bottom w:w="0" w:type="dxa"/>
              <w:right w:w="20" w:type="dxa"/>
            </w:tcMar>
            <w:vAlign w:val="center"/>
            <w:hideMark/>
          </w:tcPr>
          <w:p w14:paraId="0DF56B36" w14:textId="77777777" w:rsidR="00000000" w:rsidRDefault="00405D16">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B1EB1F7" w14:textId="77777777" w:rsidR="00000000" w:rsidRDefault="00405D16">
            <w:pPr>
              <w:spacing w:after="100"/>
              <w:jc w:val="center"/>
              <w:rPr>
                <w:rFonts w:eastAsia="Times New Roman"/>
              </w:rPr>
            </w:pPr>
            <w:r>
              <w:rPr>
                <w:rFonts w:eastAsia="Times New Roman"/>
                <w:color w:val="000000"/>
                <w:sz w:val="16"/>
                <w:szCs w:val="16"/>
              </w:rPr>
              <w:t>Quarterly</w:t>
            </w:r>
          </w:p>
        </w:tc>
        <w:tc>
          <w:tcPr>
            <w:tcW w:w="0" w:type="auto"/>
            <w:gridSpan w:val="3"/>
            <w:shd w:val="clear" w:color="auto" w:fill="CCEEFF"/>
            <w:tcMar>
              <w:top w:w="0" w:type="dxa"/>
              <w:left w:w="20" w:type="dxa"/>
              <w:bottom w:w="0" w:type="dxa"/>
              <w:right w:w="20" w:type="dxa"/>
            </w:tcMar>
            <w:vAlign w:val="center"/>
            <w:hideMark/>
          </w:tcPr>
          <w:p w14:paraId="039DFED1" w14:textId="77777777" w:rsidR="00000000" w:rsidRDefault="00405D16">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F45403C" w14:textId="77777777" w:rsidR="00000000" w:rsidRDefault="00405D16">
            <w:pPr>
              <w:spacing w:after="100"/>
              <w:jc w:val="right"/>
              <w:rPr>
                <w:rFonts w:eastAsia="Times New Roman"/>
              </w:rPr>
            </w:pPr>
            <w:r>
              <w:rPr>
                <w:rFonts w:eastAsia="Times New Roman"/>
                <w:color w:val="000000"/>
                <w:sz w:val="16"/>
                <w:szCs w:val="16"/>
              </w:rPr>
              <w:t>1,000 </w:t>
            </w:r>
          </w:p>
        </w:tc>
        <w:tc>
          <w:tcPr>
            <w:tcW w:w="0" w:type="auto"/>
            <w:shd w:val="clear" w:color="auto" w:fill="CCEEFF"/>
            <w:tcMar>
              <w:top w:w="30" w:type="dxa"/>
              <w:left w:w="0" w:type="dxa"/>
              <w:bottom w:w="30" w:type="dxa"/>
              <w:right w:w="20" w:type="dxa"/>
            </w:tcMar>
            <w:vAlign w:val="bottom"/>
            <w:hideMark/>
          </w:tcPr>
          <w:p w14:paraId="7EBE335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C52A0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EA7E66" w14:textId="77777777" w:rsidR="00000000" w:rsidRDefault="00405D16">
            <w:pPr>
              <w:spacing w:after="100"/>
              <w:jc w:val="right"/>
              <w:rPr>
                <w:rFonts w:eastAsia="Times New Roman"/>
              </w:rPr>
            </w:pPr>
            <w:r>
              <w:rPr>
                <w:rFonts w:eastAsia="Times New Roman"/>
                <w:color w:val="000000"/>
                <w:sz w:val="16"/>
                <w:szCs w:val="16"/>
              </w:rPr>
              <w:t>425,000 </w:t>
            </w:r>
          </w:p>
        </w:tc>
        <w:tc>
          <w:tcPr>
            <w:tcW w:w="0" w:type="auto"/>
            <w:shd w:val="clear" w:color="auto" w:fill="CCEEFF"/>
            <w:tcMar>
              <w:top w:w="30" w:type="dxa"/>
              <w:left w:w="0" w:type="dxa"/>
              <w:bottom w:w="30" w:type="dxa"/>
              <w:right w:w="20" w:type="dxa"/>
            </w:tcMar>
            <w:vAlign w:val="bottom"/>
            <w:hideMark/>
          </w:tcPr>
          <w:p w14:paraId="35FFF4C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5F764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4A3E4A" w14:textId="77777777" w:rsidR="00000000" w:rsidRDefault="00405D16">
            <w:pPr>
              <w:spacing w:after="100"/>
              <w:jc w:val="right"/>
              <w:rPr>
                <w:rFonts w:eastAsia="Times New Roman"/>
              </w:rPr>
            </w:pPr>
            <w:r>
              <w:rPr>
                <w:rFonts w:eastAsia="Times New Roman"/>
                <w:b/>
                <w:bCs/>
                <w:color w:val="000000"/>
                <w:sz w:val="16"/>
                <w:szCs w:val="16"/>
              </w:rPr>
              <w:t>412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F44805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FB585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784B22" w14:textId="77777777" w:rsidR="00000000" w:rsidRDefault="00405D16">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14:paraId="4BE72F2B" w14:textId="77777777" w:rsidR="00000000" w:rsidRDefault="00405D16">
            <w:pPr>
              <w:spacing w:after="100"/>
              <w:jc w:val="right"/>
              <w:rPr>
                <w:rFonts w:eastAsia="Times New Roman"/>
              </w:rPr>
            </w:pPr>
          </w:p>
        </w:tc>
      </w:tr>
      <w:tr w:rsidR="00000000" w14:paraId="430F7AC5" w14:textId="77777777">
        <w:trPr>
          <w:divId w:val="185097223"/>
        </w:trPr>
        <w:tc>
          <w:tcPr>
            <w:tcW w:w="0" w:type="auto"/>
            <w:gridSpan w:val="45"/>
            <w:shd w:val="clear" w:color="auto" w:fill="FFFFFF"/>
            <w:tcMar>
              <w:top w:w="30" w:type="dxa"/>
              <w:left w:w="20" w:type="dxa"/>
              <w:bottom w:w="30" w:type="dxa"/>
              <w:right w:w="20" w:type="dxa"/>
            </w:tcMar>
            <w:vAlign w:val="center"/>
            <w:hideMark/>
          </w:tcPr>
          <w:p w14:paraId="24CD2E4D" w14:textId="77777777" w:rsidR="00000000" w:rsidRDefault="00405D16">
            <w:pPr>
              <w:spacing w:after="100"/>
              <w:rPr>
                <w:rFonts w:eastAsia="Times New Roman"/>
              </w:rPr>
            </w:pPr>
            <w:r>
              <w:rPr>
                <w:rFonts w:eastAsia="Times New Roman"/>
                <w:b/>
                <w:bCs/>
                <w:color w:val="000000"/>
                <w:sz w:val="16"/>
                <w:szCs w:val="16"/>
              </w:rPr>
              <w:t>Total</w:t>
            </w:r>
          </w:p>
        </w:tc>
        <w:tc>
          <w:tcPr>
            <w:tcW w:w="0" w:type="auto"/>
            <w:gridSpan w:val="3"/>
            <w:shd w:val="clear" w:color="auto" w:fill="FFFFFF"/>
            <w:tcMar>
              <w:top w:w="0" w:type="dxa"/>
              <w:left w:w="20" w:type="dxa"/>
              <w:bottom w:w="0" w:type="dxa"/>
              <w:right w:w="20" w:type="dxa"/>
            </w:tcMar>
            <w:vAlign w:val="center"/>
            <w:hideMark/>
          </w:tcPr>
          <w:p w14:paraId="6E76043B"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08D377B" w14:textId="77777777" w:rsidR="00000000" w:rsidRDefault="00405D16">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49640D4" w14:textId="77777777" w:rsidR="00000000" w:rsidRDefault="00405D16">
            <w:pPr>
              <w:spacing w:after="100"/>
              <w:jc w:val="right"/>
              <w:rPr>
                <w:rFonts w:eastAsia="Times New Roman"/>
              </w:rPr>
            </w:pPr>
            <w:r>
              <w:rPr>
                <w:rFonts w:eastAsia="Times New Roman"/>
                <w:b/>
                <w:bCs/>
                <w:color w:val="000000"/>
                <w:sz w:val="16"/>
                <w:szCs w:val="16"/>
              </w:rPr>
              <w:t>5,912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341C20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BC9B05"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A93F5EB" w14:textId="77777777" w:rsidR="00000000" w:rsidRDefault="00405D1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94E0FD0" w14:textId="77777777" w:rsidR="00000000" w:rsidRDefault="00405D16">
            <w:pPr>
              <w:spacing w:after="100"/>
              <w:jc w:val="right"/>
              <w:rPr>
                <w:rFonts w:eastAsia="Times New Roman"/>
              </w:rPr>
            </w:pPr>
            <w:r>
              <w:rPr>
                <w:rFonts w:eastAsia="Times New Roman"/>
                <w:color w:val="000000"/>
                <w:sz w:val="16"/>
                <w:szCs w:val="16"/>
              </w:rPr>
              <w:t>4,847 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2C1776E" w14:textId="77777777" w:rsidR="00000000" w:rsidRDefault="00405D16">
            <w:pPr>
              <w:spacing w:after="100"/>
              <w:jc w:val="right"/>
              <w:rPr>
                <w:rFonts w:eastAsia="Times New Roman"/>
              </w:rPr>
            </w:pPr>
          </w:p>
        </w:tc>
      </w:tr>
    </w:tbl>
    <w:p w14:paraId="43E5C02B" w14:textId="77777777" w:rsidR="00000000" w:rsidRDefault="00405D16">
      <w:pPr>
        <w:divId w:val="185097223"/>
        <w:rPr>
          <w:rFonts w:eastAsia="Times New Roman"/>
        </w:rPr>
      </w:pPr>
      <w:r>
        <w:rPr>
          <w:rFonts w:eastAsia="Times New Roman"/>
          <w:color w:val="000000"/>
          <w:sz w:val="20"/>
          <w:szCs w:val="20"/>
        </w:rPr>
        <w:t>__________</w:t>
      </w:r>
    </w:p>
    <w:p w14:paraId="6009FAF9" w14:textId="77777777" w:rsidR="00000000" w:rsidRDefault="00405D16">
      <w:pPr>
        <w:ind w:hanging="360"/>
        <w:jc w:val="both"/>
        <w:divId w:val="68409254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Except for Series E and Series</w:t>
      </w:r>
      <w:r>
        <w:rPr>
          <w:rFonts w:eastAsia="Times New Roman"/>
          <w:color w:val="000000"/>
          <w:sz w:val="16"/>
          <w:szCs w:val="16"/>
          <w:shd w:val="clear" w:color="auto" w:fill="FFFFFF"/>
        </w:rPr>
        <w:t xml:space="preserve"> M</w:t>
      </w:r>
      <w:r>
        <w:rPr>
          <w:rFonts w:eastAsia="Times New Roman"/>
          <w:color w:val="000000"/>
          <w:sz w:val="16"/>
          <w:szCs w:val="16"/>
        </w:rPr>
        <w:t>, ownership is held in the form of depositary shares, each representing a 1/40th interest in a share of fixed-rate non-cumulative perpetual preferred stock.</w:t>
      </w:r>
    </w:p>
    <w:p w14:paraId="79EE1BFD" w14:textId="77777777" w:rsidR="00000000" w:rsidRDefault="00405D16">
      <w:pPr>
        <w:ind w:hanging="360"/>
        <w:jc w:val="both"/>
        <w:divId w:val="882061888"/>
        <w:rPr>
          <w:rFonts w:eastAsia="Times New Roman"/>
        </w:rPr>
      </w:pPr>
      <w:r>
        <w:rPr>
          <w:rFonts w:eastAsia="Times New Roman"/>
          <w:color w:val="000000"/>
          <w:sz w:val="10"/>
          <w:szCs w:val="10"/>
          <w:shd w:val="clear" w:color="auto" w:fill="FFFFFF"/>
        </w:rPr>
        <w:t>(2</w:t>
      </w:r>
      <w:r>
        <w:rPr>
          <w:rFonts w:eastAsia="Times New Roman"/>
          <w:color w:val="000000"/>
          <w:sz w:val="10"/>
          <w:szCs w:val="10"/>
          <w:shd w:val="clear" w:color="auto" w:fill="FFFFFF"/>
        </w:rPr>
        <w:t>)</w:t>
      </w:r>
      <w:r>
        <w:rPr>
          <w:rFonts w:eastAsia="Times New Roman"/>
          <w:color w:val="000000"/>
          <w:sz w:val="16"/>
          <w:szCs w:val="16"/>
          <w:shd w:val="clear" w:color="auto" w:fill="FFFFFF"/>
        </w:rPr>
        <w:t>On September 1, 2021, we redeemed all outstanding shares of our preferred stock Series E.</w:t>
      </w:r>
    </w:p>
    <w:p w14:paraId="3EB4AA94" w14:textId="77777777" w:rsidR="00000000" w:rsidRDefault="00405D16">
      <w:pPr>
        <w:divId w:val="1594391634"/>
        <w:rPr>
          <w:rFonts w:eastAsia="Times New Roman"/>
        </w:rPr>
      </w:pPr>
      <w:r>
        <w:rPr>
          <w:rFonts w:eastAsia="Times New Roman"/>
          <w:b/>
          <w:bCs/>
          <w:color w:val="000000"/>
          <w:sz w:val="20"/>
          <w:szCs w:val="20"/>
        </w:rPr>
        <w:t>Accumu</w:t>
      </w:r>
      <w:r>
        <w:rPr>
          <w:rFonts w:eastAsia="Times New Roman"/>
          <w:b/>
          <w:bCs/>
          <w:color w:val="000000"/>
          <w:sz w:val="20"/>
          <w:szCs w:val="20"/>
        </w:rPr>
        <w:t>lated Other Comprehensive Income</w:t>
      </w:r>
    </w:p>
    <w:p w14:paraId="3400B85F" w14:textId="77777777" w:rsidR="00000000" w:rsidRDefault="00405D16">
      <w:pPr>
        <w:jc w:val="both"/>
        <w:divId w:val="2096583373"/>
        <w:rPr>
          <w:rFonts w:eastAsia="Times New Roman"/>
        </w:rPr>
      </w:pPr>
      <w:r>
        <w:rPr>
          <w:rFonts w:eastAsia="Times New Roman"/>
          <w:color w:val="000000"/>
          <w:sz w:val="20"/>
          <w:szCs w:val="20"/>
        </w:rPr>
        <w:t>AOCI primarily consists of accumulated net unrealized gains or losses associated with securities available for sale, changes in fair value of derivatives in hedging relationships, and foreign currency translation adjustment</w:t>
      </w:r>
      <w:r>
        <w:rPr>
          <w:rFonts w:eastAsia="Times New Roman"/>
          <w:color w:val="000000"/>
          <w:sz w:val="20"/>
          <w:szCs w:val="20"/>
        </w:rPr>
        <w: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0B8D8F7B" w14:textId="77777777">
        <w:trPr>
          <w:divId w:val="1866211889"/>
          <w:jc w:val="center"/>
        </w:trPr>
        <w:tc>
          <w:tcPr>
            <w:tcW w:w="50" w:type="pct"/>
            <w:vAlign w:val="center"/>
            <w:hideMark/>
          </w:tcPr>
          <w:p w14:paraId="1AADEEBA" w14:textId="77777777" w:rsidR="00000000" w:rsidRDefault="00405D16">
            <w:pPr>
              <w:jc w:val="both"/>
              <w:rPr>
                <w:rFonts w:eastAsia="Times New Roman"/>
              </w:rPr>
            </w:pPr>
          </w:p>
        </w:tc>
        <w:tc>
          <w:tcPr>
            <w:tcW w:w="1606" w:type="pct"/>
            <w:vAlign w:val="center"/>
            <w:hideMark/>
          </w:tcPr>
          <w:p w14:paraId="1DAC23B9" w14:textId="77777777" w:rsidR="00000000" w:rsidRDefault="00405D16">
            <w:pPr>
              <w:spacing w:after="100"/>
              <w:rPr>
                <w:rFonts w:eastAsia="Times New Roman"/>
                <w:sz w:val="20"/>
                <w:szCs w:val="20"/>
              </w:rPr>
            </w:pPr>
          </w:p>
        </w:tc>
        <w:tc>
          <w:tcPr>
            <w:tcW w:w="5" w:type="pct"/>
            <w:vAlign w:val="center"/>
            <w:hideMark/>
          </w:tcPr>
          <w:p w14:paraId="6FE334FD" w14:textId="77777777" w:rsidR="00000000" w:rsidRDefault="00405D16">
            <w:pPr>
              <w:spacing w:after="100"/>
              <w:rPr>
                <w:rFonts w:eastAsia="Times New Roman"/>
                <w:sz w:val="20"/>
                <w:szCs w:val="20"/>
              </w:rPr>
            </w:pPr>
          </w:p>
        </w:tc>
        <w:tc>
          <w:tcPr>
            <w:tcW w:w="50" w:type="pct"/>
            <w:vAlign w:val="center"/>
            <w:hideMark/>
          </w:tcPr>
          <w:p w14:paraId="7A74C45E" w14:textId="77777777" w:rsidR="00000000" w:rsidRDefault="00405D16">
            <w:pPr>
              <w:spacing w:after="100"/>
              <w:rPr>
                <w:rFonts w:eastAsia="Times New Roman"/>
                <w:sz w:val="20"/>
                <w:szCs w:val="20"/>
              </w:rPr>
            </w:pPr>
          </w:p>
        </w:tc>
        <w:tc>
          <w:tcPr>
            <w:tcW w:w="1614" w:type="pct"/>
            <w:vAlign w:val="center"/>
            <w:hideMark/>
          </w:tcPr>
          <w:p w14:paraId="6C9E5118" w14:textId="77777777" w:rsidR="00000000" w:rsidRDefault="00405D16">
            <w:pPr>
              <w:spacing w:after="100"/>
              <w:rPr>
                <w:rFonts w:eastAsia="Times New Roman"/>
                <w:sz w:val="20"/>
                <w:szCs w:val="20"/>
              </w:rPr>
            </w:pPr>
          </w:p>
        </w:tc>
        <w:tc>
          <w:tcPr>
            <w:tcW w:w="5" w:type="pct"/>
            <w:vAlign w:val="center"/>
            <w:hideMark/>
          </w:tcPr>
          <w:p w14:paraId="1099E4CE" w14:textId="77777777" w:rsidR="00000000" w:rsidRDefault="00405D16">
            <w:pPr>
              <w:spacing w:after="100"/>
              <w:rPr>
                <w:rFonts w:eastAsia="Times New Roman"/>
                <w:sz w:val="20"/>
                <w:szCs w:val="20"/>
              </w:rPr>
            </w:pPr>
          </w:p>
        </w:tc>
        <w:tc>
          <w:tcPr>
            <w:tcW w:w="50" w:type="pct"/>
            <w:vAlign w:val="center"/>
            <w:hideMark/>
          </w:tcPr>
          <w:p w14:paraId="7AEB79A4" w14:textId="77777777" w:rsidR="00000000" w:rsidRDefault="00405D16">
            <w:pPr>
              <w:spacing w:after="100"/>
              <w:rPr>
                <w:rFonts w:eastAsia="Times New Roman"/>
                <w:sz w:val="20"/>
                <w:szCs w:val="20"/>
              </w:rPr>
            </w:pPr>
          </w:p>
        </w:tc>
        <w:tc>
          <w:tcPr>
            <w:tcW w:w="1614" w:type="pct"/>
            <w:vAlign w:val="center"/>
            <w:hideMark/>
          </w:tcPr>
          <w:p w14:paraId="36A67B5F" w14:textId="77777777" w:rsidR="00000000" w:rsidRDefault="00405D16">
            <w:pPr>
              <w:spacing w:after="100"/>
              <w:rPr>
                <w:rFonts w:eastAsia="Times New Roman"/>
                <w:sz w:val="20"/>
                <w:szCs w:val="20"/>
              </w:rPr>
            </w:pPr>
          </w:p>
        </w:tc>
        <w:tc>
          <w:tcPr>
            <w:tcW w:w="5" w:type="pct"/>
            <w:vAlign w:val="center"/>
            <w:hideMark/>
          </w:tcPr>
          <w:p w14:paraId="2BD7A97B" w14:textId="77777777" w:rsidR="00000000" w:rsidRDefault="00405D16">
            <w:pPr>
              <w:spacing w:after="100"/>
              <w:rPr>
                <w:rFonts w:eastAsia="Times New Roman"/>
                <w:sz w:val="20"/>
                <w:szCs w:val="20"/>
              </w:rPr>
            </w:pPr>
          </w:p>
        </w:tc>
      </w:tr>
      <w:tr w:rsidR="00000000" w14:paraId="59DBDAED" w14:textId="77777777">
        <w:trPr>
          <w:divId w:val="1866211889"/>
          <w:trHeight w:val="300"/>
          <w:jc w:val="center"/>
        </w:trPr>
        <w:tc>
          <w:tcPr>
            <w:tcW w:w="0" w:type="auto"/>
            <w:gridSpan w:val="9"/>
            <w:tcMar>
              <w:top w:w="0" w:type="dxa"/>
              <w:left w:w="20" w:type="dxa"/>
              <w:bottom w:w="0" w:type="dxa"/>
              <w:right w:w="20" w:type="dxa"/>
            </w:tcMar>
            <w:vAlign w:val="center"/>
            <w:hideMark/>
          </w:tcPr>
          <w:p w14:paraId="50C61336" w14:textId="77777777" w:rsidR="00000000" w:rsidRDefault="00405D16">
            <w:pPr>
              <w:spacing w:after="100"/>
              <w:rPr>
                <w:rFonts w:eastAsia="Times New Roman"/>
                <w:sz w:val="20"/>
                <w:szCs w:val="20"/>
              </w:rPr>
            </w:pPr>
          </w:p>
        </w:tc>
      </w:tr>
      <w:tr w:rsidR="00000000" w14:paraId="0CC2DC66" w14:textId="77777777">
        <w:trPr>
          <w:divId w:val="1866211889"/>
          <w:jc w:val="center"/>
        </w:trPr>
        <w:tc>
          <w:tcPr>
            <w:tcW w:w="0" w:type="auto"/>
            <w:gridSpan w:val="3"/>
            <w:tcMar>
              <w:top w:w="0" w:type="dxa"/>
              <w:left w:w="20" w:type="dxa"/>
              <w:bottom w:w="0" w:type="dxa"/>
              <w:right w:w="20" w:type="dxa"/>
            </w:tcMar>
            <w:vAlign w:val="center"/>
            <w:hideMark/>
          </w:tcPr>
          <w:p w14:paraId="626AADE8"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19E8821" w14:textId="77777777" w:rsidR="00000000" w:rsidRDefault="00405D16">
            <w:pPr>
              <w:spacing w:after="100"/>
              <w:jc w:val="center"/>
              <w:rPr>
                <w:rFonts w:eastAsia="Times New Roman"/>
              </w:rPr>
            </w:pPr>
            <w:r>
              <w:rPr>
                <w:rFonts w:eastAsia="Times New Roman"/>
                <w:color w:val="000000"/>
                <w:sz w:val="16"/>
                <w:szCs w:val="16"/>
              </w:rPr>
              <w:t>112</w:t>
            </w:r>
          </w:p>
        </w:tc>
        <w:tc>
          <w:tcPr>
            <w:tcW w:w="0" w:type="auto"/>
            <w:gridSpan w:val="3"/>
            <w:tcMar>
              <w:top w:w="30" w:type="dxa"/>
              <w:left w:w="20" w:type="dxa"/>
              <w:bottom w:w="30" w:type="dxa"/>
              <w:right w:w="20" w:type="dxa"/>
            </w:tcMar>
            <w:vAlign w:val="bottom"/>
            <w:hideMark/>
          </w:tcPr>
          <w:p w14:paraId="29D93494"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2A8DE53C" w14:textId="77777777" w:rsidR="00000000" w:rsidRDefault="00405D16">
      <w:pPr>
        <w:rPr>
          <w:rFonts w:eastAsia="Times New Roman"/>
        </w:rPr>
      </w:pPr>
      <w:r>
        <w:rPr>
          <w:rFonts w:eastAsia="Times New Roman"/>
        </w:rPr>
        <w:pict w14:anchorId="03095C09">
          <v:rect id="_x0000_i1137" style="width:0;height:1.5pt" o:hralign="center" o:hrstd="t" o:hr="t" fillcolor="#a0a0a0" stroked="f"/>
        </w:pict>
      </w:r>
    </w:p>
    <w:p w14:paraId="20A000C5" w14:textId="77777777" w:rsidR="00000000" w:rsidRDefault="00405D16">
      <w:pPr>
        <w:jc w:val="both"/>
        <w:divId w:val="1212963094"/>
        <w:rPr>
          <w:rFonts w:eastAsia="Times New Roman"/>
        </w:rPr>
      </w:pPr>
      <w:hyperlink w:anchor="idd54a04a485440b4ab4e56094c14d612_13" w:history="1">
        <w:r>
          <w:rPr>
            <w:rStyle w:val="a3"/>
            <w:rFonts w:eastAsia="Times New Roman"/>
            <w:sz w:val="16"/>
            <w:szCs w:val="16"/>
          </w:rPr>
          <w:t>Table of Contents</w:t>
        </w:r>
      </w:hyperlink>
    </w:p>
    <w:p w14:paraId="354A5478" w14:textId="77777777" w:rsidR="00000000" w:rsidRDefault="00405D16">
      <w:pPr>
        <w:jc w:val="center"/>
        <w:divId w:val="1212963094"/>
        <w:rPr>
          <w:rFonts w:eastAsia="Times New Roman"/>
        </w:rPr>
      </w:pPr>
    </w:p>
    <w:p w14:paraId="7F973D55" w14:textId="77777777" w:rsidR="00000000" w:rsidRDefault="00405D16">
      <w:pPr>
        <w:jc w:val="both"/>
        <w:rPr>
          <w:rFonts w:eastAsia="Times New Roman"/>
        </w:rPr>
      </w:pPr>
      <w:r>
        <w:rPr>
          <w:rFonts w:eastAsia="Times New Roman"/>
          <w:color w:val="000000"/>
          <w:sz w:val="20"/>
          <w:szCs w:val="20"/>
        </w:rPr>
        <w:t>The following table includes the AOCI impacts from the adoption of the CECL standard and the changes in AOCI by component for the three and n</w:t>
      </w:r>
      <w:r>
        <w:rPr>
          <w:rFonts w:eastAsia="Times New Roman"/>
          <w:color w:val="000000"/>
          <w:sz w:val="20"/>
          <w:szCs w:val="20"/>
        </w:rPr>
        <w:t xml:space="preserve">ine months ended September 30, 2021 and 2020. </w:t>
      </w:r>
    </w:p>
    <w:p w14:paraId="6818D97E" w14:textId="77777777" w:rsidR="00000000" w:rsidRDefault="00405D16">
      <w:pPr>
        <w:divId w:val="942107007"/>
        <w:rPr>
          <w:rFonts w:eastAsia="Times New Roman"/>
        </w:rPr>
      </w:pPr>
      <w:r>
        <w:rPr>
          <w:rFonts w:eastAsia="Times New Roman"/>
          <w:b/>
          <w:bCs/>
          <w:color w:val="000000"/>
          <w:sz w:val="18"/>
          <w:szCs w:val="18"/>
        </w:rPr>
        <w:t>Table 9.2: AOCI</w:t>
      </w:r>
    </w:p>
    <w:tbl>
      <w:tblPr>
        <w:tblW w:w="4985" w:type="pct"/>
        <w:tblCellMar>
          <w:top w:w="15" w:type="dxa"/>
          <w:left w:w="15" w:type="dxa"/>
          <w:bottom w:w="15" w:type="dxa"/>
          <w:right w:w="15" w:type="dxa"/>
        </w:tblCellMar>
        <w:tblLook w:val="04A0" w:firstRow="1" w:lastRow="0" w:firstColumn="1" w:lastColumn="0" w:noHBand="0" w:noVBand="1"/>
      </w:tblPr>
      <w:tblGrid>
        <w:gridCol w:w="38"/>
        <w:gridCol w:w="3652"/>
        <w:gridCol w:w="37"/>
        <w:gridCol w:w="36"/>
        <w:gridCol w:w="36"/>
        <w:gridCol w:w="36"/>
        <w:gridCol w:w="111"/>
        <w:gridCol w:w="624"/>
        <w:gridCol w:w="36"/>
        <w:gridCol w:w="36"/>
        <w:gridCol w:w="36"/>
        <w:gridCol w:w="36"/>
        <w:gridCol w:w="111"/>
        <w:gridCol w:w="980"/>
        <w:gridCol w:w="36"/>
        <w:gridCol w:w="36"/>
        <w:gridCol w:w="36"/>
        <w:gridCol w:w="36"/>
        <w:gridCol w:w="111"/>
        <w:gridCol w:w="927"/>
        <w:gridCol w:w="36"/>
        <w:gridCol w:w="36"/>
        <w:gridCol w:w="36"/>
        <w:gridCol w:w="36"/>
        <w:gridCol w:w="110"/>
        <w:gridCol w:w="300"/>
        <w:gridCol w:w="36"/>
        <w:gridCol w:w="36"/>
        <w:gridCol w:w="36"/>
        <w:gridCol w:w="36"/>
        <w:gridCol w:w="110"/>
        <w:gridCol w:w="450"/>
        <w:gridCol w:w="36"/>
      </w:tblGrid>
      <w:tr w:rsidR="00000000" w14:paraId="51DA9033" w14:textId="77777777">
        <w:trPr>
          <w:divId w:val="1081293663"/>
        </w:trPr>
        <w:tc>
          <w:tcPr>
            <w:tcW w:w="50" w:type="pct"/>
            <w:vAlign w:val="center"/>
            <w:hideMark/>
          </w:tcPr>
          <w:p w14:paraId="1C5C9B1B" w14:textId="77777777" w:rsidR="00000000" w:rsidRDefault="00405D16">
            <w:pPr>
              <w:rPr>
                <w:rFonts w:eastAsia="Times New Roman"/>
              </w:rPr>
            </w:pPr>
          </w:p>
        </w:tc>
        <w:tc>
          <w:tcPr>
            <w:tcW w:w="2320" w:type="pct"/>
            <w:vAlign w:val="center"/>
            <w:hideMark/>
          </w:tcPr>
          <w:p w14:paraId="27B7169A" w14:textId="77777777" w:rsidR="00000000" w:rsidRDefault="00405D16">
            <w:pPr>
              <w:spacing w:after="100"/>
              <w:rPr>
                <w:rFonts w:eastAsia="Times New Roman"/>
                <w:sz w:val="20"/>
                <w:szCs w:val="20"/>
              </w:rPr>
            </w:pPr>
          </w:p>
        </w:tc>
        <w:tc>
          <w:tcPr>
            <w:tcW w:w="5" w:type="pct"/>
            <w:vAlign w:val="center"/>
            <w:hideMark/>
          </w:tcPr>
          <w:p w14:paraId="35EAE9D6" w14:textId="77777777" w:rsidR="00000000" w:rsidRDefault="00405D16">
            <w:pPr>
              <w:spacing w:after="100"/>
              <w:rPr>
                <w:rFonts w:eastAsia="Times New Roman"/>
                <w:sz w:val="20"/>
                <w:szCs w:val="20"/>
              </w:rPr>
            </w:pPr>
          </w:p>
        </w:tc>
        <w:tc>
          <w:tcPr>
            <w:tcW w:w="5" w:type="pct"/>
            <w:vAlign w:val="center"/>
            <w:hideMark/>
          </w:tcPr>
          <w:p w14:paraId="1019930F" w14:textId="77777777" w:rsidR="00000000" w:rsidRDefault="00405D16">
            <w:pPr>
              <w:spacing w:after="100"/>
              <w:rPr>
                <w:rFonts w:eastAsia="Times New Roman"/>
                <w:sz w:val="20"/>
                <w:szCs w:val="20"/>
              </w:rPr>
            </w:pPr>
          </w:p>
        </w:tc>
        <w:tc>
          <w:tcPr>
            <w:tcW w:w="26" w:type="pct"/>
            <w:vAlign w:val="center"/>
            <w:hideMark/>
          </w:tcPr>
          <w:p w14:paraId="402B5189" w14:textId="77777777" w:rsidR="00000000" w:rsidRDefault="00405D16">
            <w:pPr>
              <w:spacing w:after="100"/>
              <w:rPr>
                <w:rFonts w:eastAsia="Times New Roman"/>
                <w:sz w:val="20"/>
                <w:szCs w:val="20"/>
              </w:rPr>
            </w:pPr>
          </w:p>
        </w:tc>
        <w:tc>
          <w:tcPr>
            <w:tcW w:w="5" w:type="pct"/>
            <w:vAlign w:val="center"/>
            <w:hideMark/>
          </w:tcPr>
          <w:p w14:paraId="58E3B941" w14:textId="77777777" w:rsidR="00000000" w:rsidRDefault="00405D16">
            <w:pPr>
              <w:spacing w:after="100"/>
              <w:rPr>
                <w:rFonts w:eastAsia="Times New Roman"/>
                <w:sz w:val="20"/>
                <w:szCs w:val="20"/>
              </w:rPr>
            </w:pPr>
          </w:p>
        </w:tc>
        <w:tc>
          <w:tcPr>
            <w:tcW w:w="50" w:type="pct"/>
            <w:vAlign w:val="center"/>
            <w:hideMark/>
          </w:tcPr>
          <w:p w14:paraId="3346CD34" w14:textId="77777777" w:rsidR="00000000" w:rsidRDefault="00405D16">
            <w:pPr>
              <w:spacing w:after="100"/>
              <w:rPr>
                <w:rFonts w:eastAsia="Times New Roman"/>
                <w:sz w:val="20"/>
                <w:szCs w:val="20"/>
              </w:rPr>
            </w:pPr>
          </w:p>
        </w:tc>
        <w:tc>
          <w:tcPr>
            <w:tcW w:w="414" w:type="pct"/>
            <w:vAlign w:val="center"/>
            <w:hideMark/>
          </w:tcPr>
          <w:p w14:paraId="3E3B0E85" w14:textId="77777777" w:rsidR="00000000" w:rsidRDefault="00405D16">
            <w:pPr>
              <w:spacing w:after="100"/>
              <w:rPr>
                <w:rFonts w:eastAsia="Times New Roman"/>
                <w:sz w:val="20"/>
                <w:szCs w:val="20"/>
              </w:rPr>
            </w:pPr>
          </w:p>
        </w:tc>
        <w:tc>
          <w:tcPr>
            <w:tcW w:w="5" w:type="pct"/>
            <w:vAlign w:val="center"/>
            <w:hideMark/>
          </w:tcPr>
          <w:p w14:paraId="7AA8DADB" w14:textId="77777777" w:rsidR="00000000" w:rsidRDefault="00405D16">
            <w:pPr>
              <w:spacing w:after="100"/>
              <w:rPr>
                <w:rFonts w:eastAsia="Times New Roman"/>
                <w:sz w:val="20"/>
                <w:szCs w:val="20"/>
              </w:rPr>
            </w:pPr>
          </w:p>
        </w:tc>
        <w:tc>
          <w:tcPr>
            <w:tcW w:w="5" w:type="pct"/>
            <w:vAlign w:val="center"/>
            <w:hideMark/>
          </w:tcPr>
          <w:p w14:paraId="3AE0FBE5" w14:textId="77777777" w:rsidR="00000000" w:rsidRDefault="00405D16">
            <w:pPr>
              <w:spacing w:after="100"/>
              <w:rPr>
                <w:rFonts w:eastAsia="Times New Roman"/>
                <w:sz w:val="20"/>
                <w:szCs w:val="20"/>
              </w:rPr>
            </w:pPr>
          </w:p>
        </w:tc>
        <w:tc>
          <w:tcPr>
            <w:tcW w:w="26" w:type="pct"/>
            <w:vAlign w:val="center"/>
            <w:hideMark/>
          </w:tcPr>
          <w:p w14:paraId="642C4F3D" w14:textId="77777777" w:rsidR="00000000" w:rsidRDefault="00405D16">
            <w:pPr>
              <w:spacing w:after="100"/>
              <w:rPr>
                <w:rFonts w:eastAsia="Times New Roman"/>
                <w:sz w:val="20"/>
                <w:szCs w:val="20"/>
              </w:rPr>
            </w:pPr>
          </w:p>
        </w:tc>
        <w:tc>
          <w:tcPr>
            <w:tcW w:w="5" w:type="pct"/>
            <w:vAlign w:val="center"/>
            <w:hideMark/>
          </w:tcPr>
          <w:p w14:paraId="12E8C934" w14:textId="77777777" w:rsidR="00000000" w:rsidRDefault="00405D16">
            <w:pPr>
              <w:spacing w:after="100"/>
              <w:rPr>
                <w:rFonts w:eastAsia="Times New Roman"/>
                <w:sz w:val="20"/>
                <w:szCs w:val="20"/>
              </w:rPr>
            </w:pPr>
          </w:p>
        </w:tc>
        <w:tc>
          <w:tcPr>
            <w:tcW w:w="50" w:type="pct"/>
            <w:vAlign w:val="center"/>
            <w:hideMark/>
          </w:tcPr>
          <w:p w14:paraId="077B94E7" w14:textId="77777777" w:rsidR="00000000" w:rsidRDefault="00405D16">
            <w:pPr>
              <w:spacing w:after="100"/>
              <w:rPr>
                <w:rFonts w:eastAsia="Times New Roman"/>
                <w:sz w:val="20"/>
                <w:szCs w:val="20"/>
              </w:rPr>
            </w:pPr>
          </w:p>
        </w:tc>
        <w:tc>
          <w:tcPr>
            <w:tcW w:w="531" w:type="pct"/>
            <w:vAlign w:val="center"/>
            <w:hideMark/>
          </w:tcPr>
          <w:p w14:paraId="2B0C208F" w14:textId="77777777" w:rsidR="00000000" w:rsidRDefault="00405D16">
            <w:pPr>
              <w:spacing w:after="100"/>
              <w:rPr>
                <w:rFonts w:eastAsia="Times New Roman"/>
                <w:sz w:val="20"/>
                <w:szCs w:val="20"/>
              </w:rPr>
            </w:pPr>
          </w:p>
        </w:tc>
        <w:tc>
          <w:tcPr>
            <w:tcW w:w="5" w:type="pct"/>
            <w:vAlign w:val="center"/>
            <w:hideMark/>
          </w:tcPr>
          <w:p w14:paraId="0B49E219" w14:textId="77777777" w:rsidR="00000000" w:rsidRDefault="00405D16">
            <w:pPr>
              <w:spacing w:after="100"/>
              <w:rPr>
                <w:rFonts w:eastAsia="Times New Roman"/>
                <w:sz w:val="20"/>
                <w:szCs w:val="20"/>
              </w:rPr>
            </w:pPr>
          </w:p>
        </w:tc>
        <w:tc>
          <w:tcPr>
            <w:tcW w:w="5" w:type="pct"/>
            <w:vAlign w:val="center"/>
            <w:hideMark/>
          </w:tcPr>
          <w:p w14:paraId="2C738BE3" w14:textId="77777777" w:rsidR="00000000" w:rsidRDefault="00405D16">
            <w:pPr>
              <w:spacing w:after="100"/>
              <w:rPr>
                <w:rFonts w:eastAsia="Times New Roman"/>
                <w:sz w:val="20"/>
                <w:szCs w:val="20"/>
              </w:rPr>
            </w:pPr>
          </w:p>
        </w:tc>
        <w:tc>
          <w:tcPr>
            <w:tcW w:w="26" w:type="pct"/>
            <w:vAlign w:val="center"/>
            <w:hideMark/>
          </w:tcPr>
          <w:p w14:paraId="67CA3CC8" w14:textId="77777777" w:rsidR="00000000" w:rsidRDefault="00405D16">
            <w:pPr>
              <w:spacing w:after="100"/>
              <w:rPr>
                <w:rFonts w:eastAsia="Times New Roman"/>
                <w:sz w:val="20"/>
                <w:szCs w:val="20"/>
              </w:rPr>
            </w:pPr>
          </w:p>
        </w:tc>
        <w:tc>
          <w:tcPr>
            <w:tcW w:w="5" w:type="pct"/>
            <w:vAlign w:val="center"/>
            <w:hideMark/>
          </w:tcPr>
          <w:p w14:paraId="548AC322" w14:textId="77777777" w:rsidR="00000000" w:rsidRDefault="00405D16">
            <w:pPr>
              <w:spacing w:after="100"/>
              <w:rPr>
                <w:rFonts w:eastAsia="Times New Roman"/>
                <w:sz w:val="20"/>
                <w:szCs w:val="20"/>
              </w:rPr>
            </w:pPr>
          </w:p>
        </w:tc>
        <w:tc>
          <w:tcPr>
            <w:tcW w:w="50" w:type="pct"/>
            <w:vAlign w:val="center"/>
            <w:hideMark/>
          </w:tcPr>
          <w:p w14:paraId="6A6CE091" w14:textId="77777777" w:rsidR="00000000" w:rsidRDefault="00405D16">
            <w:pPr>
              <w:spacing w:after="100"/>
              <w:rPr>
                <w:rFonts w:eastAsia="Times New Roman"/>
                <w:sz w:val="20"/>
                <w:szCs w:val="20"/>
              </w:rPr>
            </w:pPr>
          </w:p>
        </w:tc>
        <w:tc>
          <w:tcPr>
            <w:tcW w:w="509" w:type="pct"/>
            <w:vAlign w:val="center"/>
            <w:hideMark/>
          </w:tcPr>
          <w:p w14:paraId="6DF0061F" w14:textId="77777777" w:rsidR="00000000" w:rsidRDefault="00405D16">
            <w:pPr>
              <w:spacing w:after="100"/>
              <w:rPr>
                <w:rFonts w:eastAsia="Times New Roman"/>
                <w:sz w:val="20"/>
                <w:szCs w:val="20"/>
              </w:rPr>
            </w:pPr>
          </w:p>
        </w:tc>
        <w:tc>
          <w:tcPr>
            <w:tcW w:w="5" w:type="pct"/>
            <w:vAlign w:val="center"/>
            <w:hideMark/>
          </w:tcPr>
          <w:p w14:paraId="2C27BF3C" w14:textId="77777777" w:rsidR="00000000" w:rsidRDefault="00405D16">
            <w:pPr>
              <w:spacing w:after="100"/>
              <w:rPr>
                <w:rFonts w:eastAsia="Times New Roman"/>
                <w:sz w:val="20"/>
                <w:szCs w:val="20"/>
              </w:rPr>
            </w:pPr>
          </w:p>
        </w:tc>
        <w:tc>
          <w:tcPr>
            <w:tcW w:w="5" w:type="pct"/>
            <w:vAlign w:val="center"/>
            <w:hideMark/>
          </w:tcPr>
          <w:p w14:paraId="0BE030E6" w14:textId="77777777" w:rsidR="00000000" w:rsidRDefault="00405D16">
            <w:pPr>
              <w:spacing w:after="100"/>
              <w:rPr>
                <w:rFonts w:eastAsia="Times New Roman"/>
                <w:sz w:val="20"/>
                <w:szCs w:val="20"/>
              </w:rPr>
            </w:pPr>
          </w:p>
        </w:tc>
        <w:tc>
          <w:tcPr>
            <w:tcW w:w="26" w:type="pct"/>
            <w:vAlign w:val="center"/>
            <w:hideMark/>
          </w:tcPr>
          <w:p w14:paraId="32C0A1B3" w14:textId="77777777" w:rsidR="00000000" w:rsidRDefault="00405D16">
            <w:pPr>
              <w:spacing w:after="100"/>
              <w:rPr>
                <w:rFonts w:eastAsia="Times New Roman"/>
                <w:sz w:val="20"/>
                <w:szCs w:val="20"/>
              </w:rPr>
            </w:pPr>
          </w:p>
        </w:tc>
        <w:tc>
          <w:tcPr>
            <w:tcW w:w="5" w:type="pct"/>
            <w:vAlign w:val="center"/>
            <w:hideMark/>
          </w:tcPr>
          <w:p w14:paraId="23082812" w14:textId="77777777" w:rsidR="00000000" w:rsidRDefault="00405D16">
            <w:pPr>
              <w:spacing w:after="100"/>
              <w:rPr>
                <w:rFonts w:eastAsia="Times New Roman"/>
                <w:sz w:val="20"/>
                <w:szCs w:val="20"/>
              </w:rPr>
            </w:pPr>
          </w:p>
        </w:tc>
        <w:tc>
          <w:tcPr>
            <w:tcW w:w="50" w:type="pct"/>
            <w:vAlign w:val="center"/>
            <w:hideMark/>
          </w:tcPr>
          <w:p w14:paraId="0AF5FE6D" w14:textId="77777777" w:rsidR="00000000" w:rsidRDefault="00405D16">
            <w:pPr>
              <w:spacing w:after="100"/>
              <w:rPr>
                <w:rFonts w:eastAsia="Times New Roman"/>
                <w:sz w:val="20"/>
                <w:szCs w:val="20"/>
              </w:rPr>
            </w:pPr>
          </w:p>
        </w:tc>
        <w:tc>
          <w:tcPr>
            <w:tcW w:w="355" w:type="pct"/>
            <w:vAlign w:val="center"/>
            <w:hideMark/>
          </w:tcPr>
          <w:p w14:paraId="1A2E64CE" w14:textId="77777777" w:rsidR="00000000" w:rsidRDefault="00405D16">
            <w:pPr>
              <w:spacing w:after="100"/>
              <w:rPr>
                <w:rFonts w:eastAsia="Times New Roman"/>
                <w:sz w:val="20"/>
                <w:szCs w:val="20"/>
              </w:rPr>
            </w:pPr>
          </w:p>
        </w:tc>
        <w:tc>
          <w:tcPr>
            <w:tcW w:w="5" w:type="pct"/>
            <w:vAlign w:val="center"/>
            <w:hideMark/>
          </w:tcPr>
          <w:p w14:paraId="00DDF813" w14:textId="77777777" w:rsidR="00000000" w:rsidRDefault="00405D16">
            <w:pPr>
              <w:spacing w:after="100"/>
              <w:rPr>
                <w:rFonts w:eastAsia="Times New Roman"/>
                <w:sz w:val="20"/>
                <w:szCs w:val="20"/>
              </w:rPr>
            </w:pPr>
          </w:p>
        </w:tc>
        <w:tc>
          <w:tcPr>
            <w:tcW w:w="5" w:type="pct"/>
            <w:vAlign w:val="center"/>
            <w:hideMark/>
          </w:tcPr>
          <w:p w14:paraId="5E829E15" w14:textId="77777777" w:rsidR="00000000" w:rsidRDefault="00405D16">
            <w:pPr>
              <w:spacing w:after="100"/>
              <w:rPr>
                <w:rFonts w:eastAsia="Times New Roman"/>
                <w:sz w:val="20"/>
                <w:szCs w:val="20"/>
              </w:rPr>
            </w:pPr>
          </w:p>
        </w:tc>
        <w:tc>
          <w:tcPr>
            <w:tcW w:w="26" w:type="pct"/>
            <w:vAlign w:val="center"/>
            <w:hideMark/>
          </w:tcPr>
          <w:p w14:paraId="53F779C6" w14:textId="77777777" w:rsidR="00000000" w:rsidRDefault="00405D16">
            <w:pPr>
              <w:spacing w:after="100"/>
              <w:rPr>
                <w:rFonts w:eastAsia="Times New Roman"/>
                <w:sz w:val="20"/>
                <w:szCs w:val="20"/>
              </w:rPr>
            </w:pPr>
          </w:p>
        </w:tc>
        <w:tc>
          <w:tcPr>
            <w:tcW w:w="5" w:type="pct"/>
            <w:vAlign w:val="center"/>
            <w:hideMark/>
          </w:tcPr>
          <w:p w14:paraId="580786AE" w14:textId="77777777" w:rsidR="00000000" w:rsidRDefault="00405D16">
            <w:pPr>
              <w:spacing w:after="100"/>
              <w:rPr>
                <w:rFonts w:eastAsia="Times New Roman"/>
                <w:sz w:val="20"/>
                <w:szCs w:val="20"/>
              </w:rPr>
            </w:pPr>
          </w:p>
        </w:tc>
        <w:tc>
          <w:tcPr>
            <w:tcW w:w="50" w:type="pct"/>
            <w:vAlign w:val="center"/>
            <w:hideMark/>
          </w:tcPr>
          <w:p w14:paraId="33C6B4AD" w14:textId="77777777" w:rsidR="00000000" w:rsidRDefault="00405D16">
            <w:pPr>
              <w:spacing w:after="100"/>
              <w:rPr>
                <w:rFonts w:eastAsia="Times New Roman"/>
                <w:sz w:val="20"/>
                <w:szCs w:val="20"/>
              </w:rPr>
            </w:pPr>
          </w:p>
        </w:tc>
        <w:tc>
          <w:tcPr>
            <w:tcW w:w="355" w:type="pct"/>
            <w:vAlign w:val="center"/>
            <w:hideMark/>
          </w:tcPr>
          <w:p w14:paraId="690E272A" w14:textId="77777777" w:rsidR="00000000" w:rsidRDefault="00405D16">
            <w:pPr>
              <w:spacing w:after="100"/>
              <w:rPr>
                <w:rFonts w:eastAsia="Times New Roman"/>
                <w:sz w:val="20"/>
                <w:szCs w:val="20"/>
              </w:rPr>
            </w:pPr>
          </w:p>
        </w:tc>
        <w:tc>
          <w:tcPr>
            <w:tcW w:w="5" w:type="pct"/>
            <w:vAlign w:val="center"/>
            <w:hideMark/>
          </w:tcPr>
          <w:p w14:paraId="5F0159B0" w14:textId="77777777" w:rsidR="00000000" w:rsidRDefault="00405D16">
            <w:pPr>
              <w:spacing w:after="100"/>
              <w:rPr>
                <w:rFonts w:eastAsia="Times New Roman"/>
                <w:sz w:val="20"/>
                <w:szCs w:val="20"/>
              </w:rPr>
            </w:pPr>
          </w:p>
        </w:tc>
      </w:tr>
      <w:tr w:rsidR="00000000" w14:paraId="560F552A" w14:textId="77777777">
        <w:trPr>
          <w:divId w:val="1081293663"/>
        </w:trPr>
        <w:tc>
          <w:tcPr>
            <w:tcW w:w="0" w:type="auto"/>
            <w:gridSpan w:val="3"/>
            <w:vAlign w:val="center"/>
            <w:hideMark/>
          </w:tcPr>
          <w:p w14:paraId="48DAD782" w14:textId="77777777" w:rsidR="00000000" w:rsidRDefault="00405D16">
            <w:pPr>
              <w:spacing w:after="100"/>
              <w:rPr>
                <w:rFonts w:eastAsia="Times New Roman"/>
                <w:sz w:val="20"/>
                <w:szCs w:val="20"/>
              </w:rPr>
            </w:pPr>
          </w:p>
        </w:tc>
        <w:tc>
          <w:tcPr>
            <w:tcW w:w="0" w:type="auto"/>
            <w:vAlign w:val="center"/>
            <w:hideMark/>
          </w:tcPr>
          <w:p w14:paraId="0E8A6E0C" w14:textId="77777777" w:rsidR="00000000" w:rsidRDefault="00405D16">
            <w:pPr>
              <w:spacing w:after="100"/>
              <w:rPr>
                <w:rFonts w:eastAsia="Times New Roman"/>
                <w:sz w:val="20"/>
                <w:szCs w:val="20"/>
              </w:rPr>
            </w:pPr>
          </w:p>
        </w:tc>
        <w:tc>
          <w:tcPr>
            <w:tcW w:w="0" w:type="auto"/>
            <w:vAlign w:val="center"/>
            <w:hideMark/>
          </w:tcPr>
          <w:p w14:paraId="6FAC7156" w14:textId="77777777" w:rsidR="00000000" w:rsidRDefault="00405D16">
            <w:pPr>
              <w:spacing w:after="100"/>
              <w:rPr>
                <w:rFonts w:eastAsia="Times New Roman"/>
                <w:sz w:val="20"/>
                <w:szCs w:val="20"/>
              </w:rPr>
            </w:pPr>
          </w:p>
        </w:tc>
        <w:tc>
          <w:tcPr>
            <w:tcW w:w="0" w:type="auto"/>
            <w:vAlign w:val="center"/>
            <w:hideMark/>
          </w:tcPr>
          <w:p w14:paraId="4584EC2C" w14:textId="77777777" w:rsidR="00000000" w:rsidRDefault="00405D16">
            <w:pPr>
              <w:spacing w:after="100"/>
              <w:rPr>
                <w:rFonts w:eastAsia="Times New Roman"/>
                <w:sz w:val="20"/>
                <w:szCs w:val="20"/>
              </w:rPr>
            </w:pPr>
          </w:p>
        </w:tc>
        <w:tc>
          <w:tcPr>
            <w:tcW w:w="0" w:type="auto"/>
            <w:vAlign w:val="center"/>
            <w:hideMark/>
          </w:tcPr>
          <w:p w14:paraId="17653E9C" w14:textId="77777777" w:rsidR="00000000" w:rsidRDefault="00405D16">
            <w:pPr>
              <w:spacing w:after="100"/>
              <w:rPr>
                <w:rFonts w:eastAsia="Times New Roman"/>
                <w:sz w:val="20"/>
                <w:szCs w:val="20"/>
              </w:rPr>
            </w:pPr>
          </w:p>
        </w:tc>
        <w:tc>
          <w:tcPr>
            <w:tcW w:w="0" w:type="auto"/>
            <w:vAlign w:val="center"/>
            <w:hideMark/>
          </w:tcPr>
          <w:p w14:paraId="221FAC5B" w14:textId="77777777" w:rsidR="00000000" w:rsidRDefault="00405D16">
            <w:pPr>
              <w:spacing w:after="100"/>
              <w:rPr>
                <w:rFonts w:eastAsia="Times New Roman"/>
                <w:sz w:val="20"/>
                <w:szCs w:val="20"/>
              </w:rPr>
            </w:pPr>
          </w:p>
        </w:tc>
        <w:tc>
          <w:tcPr>
            <w:tcW w:w="0" w:type="auto"/>
            <w:vAlign w:val="center"/>
            <w:hideMark/>
          </w:tcPr>
          <w:p w14:paraId="3423F60D" w14:textId="77777777" w:rsidR="00000000" w:rsidRDefault="00405D16">
            <w:pPr>
              <w:spacing w:after="100"/>
              <w:rPr>
                <w:rFonts w:eastAsia="Times New Roman"/>
                <w:sz w:val="20"/>
                <w:szCs w:val="20"/>
              </w:rPr>
            </w:pPr>
          </w:p>
        </w:tc>
        <w:tc>
          <w:tcPr>
            <w:tcW w:w="0" w:type="auto"/>
            <w:vAlign w:val="center"/>
            <w:hideMark/>
          </w:tcPr>
          <w:p w14:paraId="62A32624" w14:textId="77777777" w:rsidR="00000000" w:rsidRDefault="00405D16">
            <w:pPr>
              <w:spacing w:after="100"/>
              <w:rPr>
                <w:rFonts w:eastAsia="Times New Roman"/>
                <w:sz w:val="20"/>
                <w:szCs w:val="20"/>
              </w:rPr>
            </w:pPr>
          </w:p>
        </w:tc>
        <w:tc>
          <w:tcPr>
            <w:tcW w:w="0" w:type="auto"/>
            <w:vAlign w:val="center"/>
            <w:hideMark/>
          </w:tcPr>
          <w:p w14:paraId="27FB0F9E" w14:textId="77777777" w:rsidR="00000000" w:rsidRDefault="00405D16">
            <w:pPr>
              <w:spacing w:after="100"/>
              <w:rPr>
                <w:rFonts w:eastAsia="Times New Roman"/>
                <w:sz w:val="20"/>
                <w:szCs w:val="20"/>
              </w:rPr>
            </w:pPr>
          </w:p>
        </w:tc>
        <w:tc>
          <w:tcPr>
            <w:tcW w:w="0" w:type="auto"/>
            <w:vAlign w:val="center"/>
            <w:hideMark/>
          </w:tcPr>
          <w:p w14:paraId="6592E063" w14:textId="77777777" w:rsidR="00000000" w:rsidRDefault="00405D16">
            <w:pPr>
              <w:spacing w:after="100"/>
              <w:rPr>
                <w:rFonts w:eastAsia="Times New Roman"/>
                <w:sz w:val="20"/>
                <w:szCs w:val="20"/>
              </w:rPr>
            </w:pPr>
          </w:p>
        </w:tc>
        <w:tc>
          <w:tcPr>
            <w:tcW w:w="0" w:type="auto"/>
            <w:vAlign w:val="center"/>
            <w:hideMark/>
          </w:tcPr>
          <w:p w14:paraId="4EB71473" w14:textId="77777777" w:rsidR="00000000" w:rsidRDefault="00405D16">
            <w:pPr>
              <w:spacing w:after="100"/>
              <w:rPr>
                <w:rFonts w:eastAsia="Times New Roman"/>
                <w:sz w:val="20"/>
                <w:szCs w:val="20"/>
              </w:rPr>
            </w:pPr>
          </w:p>
        </w:tc>
        <w:tc>
          <w:tcPr>
            <w:tcW w:w="0" w:type="auto"/>
            <w:vAlign w:val="center"/>
            <w:hideMark/>
          </w:tcPr>
          <w:p w14:paraId="60985B7D" w14:textId="77777777" w:rsidR="00000000" w:rsidRDefault="00405D16">
            <w:pPr>
              <w:spacing w:after="100"/>
              <w:rPr>
                <w:rFonts w:eastAsia="Times New Roman"/>
                <w:sz w:val="20"/>
                <w:szCs w:val="20"/>
              </w:rPr>
            </w:pPr>
          </w:p>
        </w:tc>
        <w:tc>
          <w:tcPr>
            <w:tcW w:w="0" w:type="auto"/>
            <w:vAlign w:val="center"/>
            <w:hideMark/>
          </w:tcPr>
          <w:p w14:paraId="4FFAB0D6" w14:textId="77777777" w:rsidR="00000000" w:rsidRDefault="00405D16">
            <w:pPr>
              <w:spacing w:after="100"/>
              <w:rPr>
                <w:rFonts w:eastAsia="Times New Roman"/>
                <w:sz w:val="20"/>
                <w:szCs w:val="20"/>
              </w:rPr>
            </w:pPr>
          </w:p>
        </w:tc>
        <w:tc>
          <w:tcPr>
            <w:tcW w:w="0" w:type="auto"/>
            <w:vAlign w:val="center"/>
            <w:hideMark/>
          </w:tcPr>
          <w:p w14:paraId="5F5EE732" w14:textId="77777777" w:rsidR="00000000" w:rsidRDefault="00405D16">
            <w:pPr>
              <w:spacing w:after="100"/>
              <w:rPr>
                <w:rFonts w:eastAsia="Times New Roman"/>
                <w:sz w:val="20"/>
                <w:szCs w:val="20"/>
              </w:rPr>
            </w:pPr>
          </w:p>
        </w:tc>
        <w:tc>
          <w:tcPr>
            <w:tcW w:w="0" w:type="auto"/>
            <w:vAlign w:val="center"/>
            <w:hideMark/>
          </w:tcPr>
          <w:p w14:paraId="56D840C1" w14:textId="77777777" w:rsidR="00000000" w:rsidRDefault="00405D16">
            <w:pPr>
              <w:spacing w:after="100"/>
              <w:rPr>
                <w:rFonts w:eastAsia="Times New Roman"/>
                <w:sz w:val="20"/>
                <w:szCs w:val="20"/>
              </w:rPr>
            </w:pPr>
          </w:p>
        </w:tc>
        <w:tc>
          <w:tcPr>
            <w:tcW w:w="0" w:type="auto"/>
            <w:vAlign w:val="center"/>
            <w:hideMark/>
          </w:tcPr>
          <w:p w14:paraId="413912EA" w14:textId="77777777" w:rsidR="00000000" w:rsidRDefault="00405D16">
            <w:pPr>
              <w:spacing w:after="100"/>
              <w:rPr>
                <w:rFonts w:eastAsia="Times New Roman"/>
                <w:sz w:val="20"/>
                <w:szCs w:val="20"/>
              </w:rPr>
            </w:pPr>
          </w:p>
        </w:tc>
        <w:tc>
          <w:tcPr>
            <w:tcW w:w="0" w:type="auto"/>
            <w:vAlign w:val="center"/>
            <w:hideMark/>
          </w:tcPr>
          <w:p w14:paraId="45977CF0" w14:textId="77777777" w:rsidR="00000000" w:rsidRDefault="00405D16">
            <w:pPr>
              <w:spacing w:after="100"/>
              <w:rPr>
                <w:rFonts w:eastAsia="Times New Roman"/>
                <w:sz w:val="20"/>
                <w:szCs w:val="20"/>
              </w:rPr>
            </w:pPr>
          </w:p>
        </w:tc>
        <w:tc>
          <w:tcPr>
            <w:tcW w:w="0" w:type="auto"/>
            <w:vAlign w:val="center"/>
            <w:hideMark/>
          </w:tcPr>
          <w:p w14:paraId="5FA0EC89" w14:textId="77777777" w:rsidR="00000000" w:rsidRDefault="00405D16">
            <w:pPr>
              <w:spacing w:after="100"/>
              <w:rPr>
                <w:rFonts w:eastAsia="Times New Roman"/>
                <w:sz w:val="20"/>
                <w:szCs w:val="20"/>
              </w:rPr>
            </w:pPr>
          </w:p>
        </w:tc>
        <w:tc>
          <w:tcPr>
            <w:tcW w:w="0" w:type="auto"/>
            <w:vAlign w:val="center"/>
            <w:hideMark/>
          </w:tcPr>
          <w:p w14:paraId="3B9F2C72" w14:textId="77777777" w:rsidR="00000000" w:rsidRDefault="00405D16">
            <w:pPr>
              <w:spacing w:after="100"/>
              <w:rPr>
                <w:rFonts w:eastAsia="Times New Roman"/>
                <w:sz w:val="20"/>
                <w:szCs w:val="20"/>
              </w:rPr>
            </w:pPr>
          </w:p>
        </w:tc>
        <w:tc>
          <w:tcPr>
            <w:tcW w:w="0" w:type="auto"/>
            <w:vAlign w:val="center"/>
            <w:hideMark/>
          </w:tcPr>
          <w:p w14:paraId="6478E1BC" w14:textId="77777777" w:rsidR="00000000" w:rsidRDefault="00405D16">
            <w:pPr>
              <w:spacing w:after="100"/>
              <w:rPr>
                <w:rFonts w:eastAsia="Times New Roman"/>
                <w:sz w:val="20"/>
                <w:szCs w:val="20"/>
              </w:rPr>
            </w:pPr>
          </w:p>
        </w:tc>
        <w:tc>
          <w:tcPr>
            <w:tcW w:w="0" w:type="auto"/>
            <w:vAlign w:val="center"/>
            <w:hideMark/>
          </w:tcPr>
          <w:p w14:paraId="0C78DEB7" w14:textId="77777777" w:rsidR="00000000" w:rsidRDefault="00405D16">
            <w:pPr>
              <w:spacing w:after="100"/>
              <w:rPr>
                <w:rFonts w:eastAsia="Times New Roman"/>
                <w:sz w:val="20"/>
                <w:szCs w:val="20"/>
              </w:rPr>
            </w:pPr>
          </w:p>
        </w:tc>
        <w:tc>
          <w:tcPr>
            <w:tcW w:w="0" w:type="auto"/>
            <w:vAlign w:val="center"/>
            <w:hideMark/>
          </w:tcPr>
          <w:p w14:paraId="1404B7CC" w14:textId="77777777" w:rsidR="00000000" w:rsidRDefault="00405D16">
            <w:pPr>
              <w:spacing w:after="100"/>
              <w:rPr>
                <w:rFonts w:eastAsia="Times New Roman"/>
                <w:sz w:val="20"/>
                <w:szCs w:val="20"/>
              </w:rPr>
            </w:pPr>
          </w:p>
        </w:tc>
        <w:tc>
          <w:tcPr>
            <w:tcW w:w="0" w:type="auto"/>
            <w:vAlign w:val="center"/>
            <w:hideMark/>
          </w:tcPr>
          <w:p w14:paraId="140BD21F" w14:textId="77777777" w:rsidR="00000000" w:rsidRDefault="00405D16">
            <w:pPr>
              <w:spacing w:after="100"/>
              <w:rPr>
                <w:rFonts w:eastAsia="Times New Roman"/>
                <w:sz w:val="20"/>
                <w:szCs w:val="20"/>
              </w:rPr>
            </w:pPr>
          </w:p>
        </w:tc>
        <w:tc>
          <w:tcPr>
            <w:tcW w:w="0" w:type="auto"/>
            <w:vAlign w:val="center"/>
            <w:hideMark/>
          </w:tcPr>
          <w:p w14:paraId="2488ADE7" w14:textId="77777777" w:rsidR="00000000" w:rsidRDefault="00405D16">
            <w:pPr>
              <w:spacing w:after="100"/>
              <w:rPr>
                <w:rFonts w:eastAsia="Times New Roman"/>
                <w:sz w:val="20"/>
                <w:szCs w:val="20"/>
              </w:rPr>
            </w:pPr>
          </w:p>
        </w:tc>
        <w:tc>
          <w:tcPr>
            <w:tcW w:w="0" w:type="auto"/>
            <w:vAlign w:val="center"/>
            <w:hideMark/>
          </w:tcPr>
          <w:p w14:paraId="2A844B10" w14:textId="77777777" w:rsidR="00000000" w:rsidRDefault="00405D16">
            <w:pPr>
              <w:spacing w:after="100"/>
              <w:rPr>
                <w:rFonts w:eastAsia="Times New Roman"/>
                <w:sz w:val="20"/>
                <w:szCs w:val="20"/>
              </w:rPr>
            </w:pPr>
          </w:p>
        </w:tc>
        <w:tc>
          <w:tcPr>
            <w:tcW w:w="0" w:type="auto"/>
            <w:vAlign w:val="center"/>
            <w:hideMark/>
          </w:tcPr>
          <w:p w14:paraId="30407DFA" w14:textId="77777777" w:rsidR="00000000" w:rsidRDefault="00405D16">
            <w:pPr>
              <w:spacing w:after="100"/>
              <w:rPr>
                <w:rFonts w:eastAsia="Times New Roman"/>
                <w:sz w:val="20"/>
                <w:szCs w:val="20"/>
              </w:rPr>
            </w:pPr>
          </w:p>
        </w:tc>
        <w:tc>
          <w:tcPr>
            <w:tcW w:w="0" w:type="auto"/>
            <w:vAlign w:val="center"/>
            <w:hideMark/>
          </w:tcPr>
          <w:p w14:paraId="352DBF81" w14:textId="77777777" w:rsidR="00000000" w:rsidRDefault="00405D16">
            <w:pPr>
              <w:spacing w:after="100"/>
              <w:rPr>
                <w:rFonts w:eastAsia="Times New Roman"/>
                <w:sz w:val="20"/>
                <w:szCs w:val="20"/>
              </w:rPr>
            </w:pPr>
          </w:p>
        </w:tc>
        <w:tc>
          <w:tcPr>
            <w:tcW w:w="0" w:type="auto"/>
            <w:vAlign w:val="center"/>
            <w:hideMark/>
          </w:tcPr>
          <w:p w14:paraId="37188FFB" w14:textId="77777777" w:rsidR="00000000" w:rsidRDefault="00405D16">
            <w:pPr>
              <w:spacing w:after="100"/>
              <w:rPr>
                <w:rFonts w:eastAsia="Times New Roman"/>
                <w:sz w:val="20"/>
                <w:szCs w:val="20"/>
              </w:rPr>
            </w:pPr>
          </w:p>
        </w:tc>
        <w:tc>
          <w:tcPr>
            <w:tcW w:w="0" w:type="auto"/>
            <w:vAlign w:val="center"/>
            <w:hideMark/>
          </w:tcPr>
          <w:p w14:paraId="44585B09" w14:textId="77777777" w:rsidR="00000000" w:rsidRDefault="00405D16">
            <w:pPr>
              <w:spacing w:after="100"/>
              <w:rPr>
                <w:rFonts w:eastAsia="Times New Roman"/>
                <w:sz w:val="20"/>
                <w:szCs w:val="20"/>
              </w:rPr>
            </w:pPr>
          </w:p>
        </w:tc>
        <w:tc>
          <w:tcPr>
            <w:tcW w:w="0" w:type="auto"/>
            <w:vAlign w:val="center"/>
            <w:hideMark/>
          </w:tcPr>
          <w:p w14:paraId="0CA953B8" w14:textId="77777777" w:rsidR="00000000" w:rsidRDefault="00405D16">
            <w:pPr>
              <w:spacing w:after="100"/>
              <w:rPr>
                <w:rFonts w:eastAsia="Times New Roman"/>
                <w:sz w:val="20"/>
                <w:szCs w:val="20"/>
              </w:rPr>
            </w:pPr>
          </w:p>
        </w:tc>
        <w:tc>
          <w:tcPr>
            <w:tcW w:w="0" w:type="auto"/>
            <w:vAlign w:val="center"/>
            <w:hideMark/>
          </w:tcPr>
          <w:p w14:paraId="56FD7F73" w14:textId="77777777" w:rsidR="00000000" w:rsidRDefault="00405D16">
            <w:pPr>
              <w:spacing w:after="100"/>
              <w:rPr>
                <w:rFonts w:eastAsia="Times New Roman"/>
                <w:sz w:val="20"/>
                <w:szCs w:val="20"/>
              </w:rPr>
            </w:pPr>
          </w:p>
        </w:tc>
      </w:tr>
      <w:tr w:rsidR="00000000" w14:paraId="12A9A148" w14:textId="77777777">
        <w:trPr>
          <w:divId w:val="1081293663"/>
        </w:trPr>
        <w:tc>
          <w:tcPr>
            <w:tcW w:w="0" w:type="auto"/>
            <w:gridSpan w:val="3"/>
            <w:tcMar>
              <w:top w:w="0" w:type="dxa"/>
              <w:left w:w="20" w:type="dxa"/>
              <w:bottom w:w="0" w:type="dxa"/>
              <w:right w:w="20" w:type="dxa"/>
            </w:tcMar>
            <w:vAlign w:val="center"/>
            <w:hideMark/>
          </w:tcPr>
          <w:p w14:paraId="254305CD"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7423F46" w14:textId="77777777" w:rsidR="00000000" w:rsidRDefault="00405D16">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638223F0" w14:textId="77777777" w:rsidR="00000000" w:rsidRDefault="00405D16">
            <w:pPr>
              <w:spacing w:after="100"/>
              <w:jc w:val="center"/>
              <w:rPr>
                <w:rFonts w:eastAsia="Times New Roman"/>
              </w:rPr>
            </w:pPr>
            <w:r>
              <w:rPr>
                <w:rFonts w:eastAsia="Times New Roman"/>
                <w:b/>
                <w:bCs/>
                <w:color w:val="000000"/>
                <w:sz w:val="16"/>
                <w:szCs w:val="16"/>
              </w:rPr>
              <w:t>Three Months Ended September 30, 2021</w:t>
            </w:r>
          </w:p>
        </w:tc>
      </w:tr>
      <w:tr w:rsidR="00000000" w14:paraId="6C4045A3" w14:textId="77777777">
        <w:trPr>
          <w:divId w:val="1081293663"/>
        </w:trPr>
        <w:tc>
          <w:tcPr>
            <w:tcW w:w="0" w:type="auto"/>
            <w:gridSpan w:val="3"/>
            <w:tcMar>
              <w:top w:w="30" w:type="dxa"/>
              <w:left w:w="20" w:type="dxa"/>
              <w:bottom w:w="30" w:type="dxa"/>
              <w:right w:w="20" w:type="dxa"/>
            </w:tcMar>
            <w:vAlign w:val="bottom"/>
            <w:hideMark/>
          </w:tcPr>
          <w:p w14:paraId="109CFAA3"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7147EA85"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EFCF011" w14:textId="77777777" w:rsidR="00000000" w:rsidRDefault="00405D16">
            <w:pPr>
              <w:spacing w:after="100"/>
              <w:jc w:val="center"/>
              <w:rPr>
                <w:rFonts w:eastAsia="Times New Roman"/>
              </w:rPr>
            </w:pPr>
            <w:r>
              <w:rPr>
                <w:rFonts w:eastAsia="Times New Roman"/>
                <w:b/>
                <w:bCs/>
                <w:color w:val="000000"/>
                <w:sz w:val="16"/>
                <w:szCs w:val="16"/>
              </w:rPr>
              <w:t>Securities Available for Sale</w:t>
            </w:r>
          </w:p>
        </w:tc>
        <w:tc>
          <w:tcPr>
            <w:tcW w:w="0" w:type="auto"/>
            <w:gridSpan w:val="3"/>
            <w:tcBorders>
              <w:top w:val="single" w:sz="8" w:space="0" w:color="000000"/>
            </w:tcBorders>
            <w:tcMar>
              <w:top w:w="0" w:type="dxa"/>
              <w:left w:w="20" w:type="dxa"/>
              <w:bottom w:w="0" w:type="dxa"/>
              <w:right w:w="20" w:type="dxa"/>
            </w:tcMar>
            <w:vAlign w:val="center"/>
            <w:hideMark/>
          </w:tcPr>
          <w:p w14:paraId="7892B0D6"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E96FAE7" w14:textId="77777777" w:rsidR="00000000" w:rsidRDefault="00405D16">
            <w:pPr>
              <w:spacing w:after="100"/>
              <w:jc w:val="center"/>
              <w:rPr>
                <w:rFonts w:eastAsia="Times New Roman"/>
              </w:rPr>
            </w:pPr>
            <w:r>
              <w:rPr>
                <w:rFonts w:eastAsia="Times New Roman"/>
                <w:b/>
                <w:bCs/>
                <w:color w:val="000000"/>
                <w:sz w:val="16"/>
                <w:szCs w:val="16"/>
              </w:rPr>
              <w:t>Hedging Relationship</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71243ED1"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68ABC08" w14:textId="77777777" w:rsidR="00000000" w:rsidRDefault="00405D16">
            <w:pPr>
              <w:spacing w:after="100"/>
              <w:jc w:val="center"/>
              <w:rPr>
                <w:rFonts w:eastAsia="Times New Roman"/>
              </w:rPr>
            </w:pPr>
            <w:r>
              <w:rPr>
                <w:rFonts w:eastAsia="Times New Roman"/>
                <w:b/>
                <w:bCs/>
                <w:color w:val="000000"/>
                <w:sz w:val="16"/>
                <w:szCs w:val="16"/>
              </w:rPr>
              <w:t>Foreign Currency Translation Adjustment</w:t>
            </w:r>
            <w:r>
              <w:rPr>
                <w:rFonts w:eastAsia="Times New Roman"/>
                <w:b/>
                <w:bCs/>
                <w:color w:val="000000"/>
                <w:sz w:val="16"/>
                <w:szCs w:val="16"/>
              </w:rPr>
              <w:t>s</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635C4C28"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6E27EC9" w14:textId="77777777" w:rsidR="00000000" w:rsidRDefault="00405D16">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14:paraId="1A26C036"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BA88D44" w14:textId="77777777" w:rsidR="00000000" w:rsidRDefault="00405D16">
            <w:pPr>
              <w:spacing w:after="100"/>
              <w:jc w:val="center"/>
              <w:rPr>
                <w:rFonts w:eastAsia="Times New Roman"/>
              </w:rPr>
            </w:pPr>
            <w:r>
              <w:rPr>
                <w:rFonts w:eastAsia="Times New Roman"/>
                <w:b/>
                <w:bCs/>
                <w:color w:val="000000"/>
                <w:sz w:val="16"/>
                <w:szCs w:val="16"/>
              </w:rPr>
              <w:t>Total</w:t>
            </w:r>
          </w:p>
        </w:tc>
      </w:tr>
      <w:tr w:rsidR="00000000" w14:paraId="676EF538" w14:textId="77777777">
        <w:trPr>
          <w:divId w:val="108129366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8BC798B" w14:textId="77777777" w:rsidR="00000000" w:rsidRDefault="00405D16">
            <w:pPr>
              <w:spacing w:after="100"/>
              <w:rPr>
                <w:rFonts w:eastAsia="Times New Roman"/>
              </w:rPr>
            </w:pPr>
            <w:r>
              <w:rPr>
                <w:rFonts w:eastAsia="Times New Roman"/>
                <w:color w:val="000000"/>
                <w:sz w:val="18"/>
                <w:szCs w:val="18"/>
              </w:rPr>
              <w:t>AOCI as of June 30, 2021</w:t>
            </w:r>
          </w:p>
        </w:tc>
        <w:tc>
          <w:tcPr>
            <w:tcW w:w="0" w:type="auto"/>
            <w:gridSpan w:val="3"/>
            <w:shd w:val="clear" w:color="auto" w:fill="CCEEFF"/>
            <w:tcMar>
              <w:top w:w="0" w:type="dxa"/>
              <w:left w:w="20" w:type="dxa"/>
              <w:bottom w:w="0" w:type="dxa"/>
              <w:right w:w="20" w:type="dxa"/>
            </w:tcMar>
            <w:vAlign w:val="center"/>
            <w:hideMark/>
          </w:tcPr>
          <w:p w14:paraId="718FC919"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422AACF"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0FFA23D" w14:textId="77777777" w:rsidR="00000000" w:rsidRDefault="00405D16">
            <w:pPr>
              <w:spacing w:after="100"/>
              <w:jc w:val="right"/>
              <w:rPr>
                <w:rFonts w:eastAsia="Times New Roman"/>
              </w:rPr>
            </w:pPr>
            <w:r>
              <w:rPr>
                <w:rFonts w:eastAsia="Times New Roman"/>
                <w:color w:val="000000"/>
                <w:sz w:val="18"/>
                <w:szCs w:val="18"/>
              </w:rPr>
              <w:t>1,089 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9FFCC3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4AFDFA"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8FE340A"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B1F43C3" w14:textId="77777777" w:rsidR="00000000" w:rsidRDefault="00405D16">
            <w:pPr>
              <w:spacing w:after="100"/>
              <w:jc w:val="right"/>
              <w:rPr>
                <w:rFonts w:eastAsia="Times New Roman"/>
              </w:rPr>
            </w:pPr>
            <w:r>
              <w:rPr>
                <w:rFonts w:eastAsia="Times New Roman"/>
                <w:color w:val="000000"/>
                <w:sz w:val="18"/>
                <w:szCs w:val="18"/>
              </w:rPr>
              <w:t>730 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97791C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1FE4D7"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19B07D1"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3878C36" w14:textId="77777777" w:rsidR="00000000" w:rsidRDefault="00405D16">
            <w:pPr>
              <w:spacing w:after="100"/>
              <w:jc w:val="right"/>
              <w:rPr>
                <w:rFonts w:eastAsia="Times New Roman"/>
              </w:rPr>
            </w:pPr>
            <w:r>
              <w:rPr>
                <w:rFonts w:eastAsia="Times New Roman"/>
                <w:color w:val="000000"/>
                <w:sz w:val="18"/>
                <w:szCs w:val="18"/>
              </w:rPr>
              <w:t>(3)</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21A985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52CEDE"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0D6FA42"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24B9E22" w14:textId="77777777" w:rsidR="00000000" w:rsidRDefault="00405D16">
            <w:pPr>
              <w:spacing w:after="100"/>
              <w:jc w:val="right"/>
              <w:rPr>
                <w:rFonts w:eastAsia="Times New Roman"/>
              </w:rPr>
            </w:pPr>
            <w:r>
              <w:rPr>
                <w:rFonts w:eastAsia="Times New Roman"/>
                <w:color w:val="000000"/>
                <w:sz w:val="18"/>
                <w:szCs w:val="18"/>
              </w:rPr>
              <w:t>(24)</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9FE1E0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D385D6"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1C21433"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D8D9782" w14:textId="77777777" w:rsidR="00000000" w:rsidRDefault="00405D16">
            <w:pPr>
              <w:spacing w:after="100"/>
              <w:jc w:val="right"/>
              <w:rPr>
                <w:rFonts w:eastAsia="Times New Roman"/>
              </w:rPr>
            </w:pPr>
            <w:r>
              <w:rPr>
                <w:rFonts w:eastAsia="Times New Roman"/>
                <w:color w:val="000000"/>
                <w:sz w:val="18"/>
                <w:szCs w:val="18"/>
              </w:rPr>
              <w:t>1,792 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BFA2BCC" w14:textId="77777777" w:rsidR="00000000" w:rsidRDefault="00405D16">
            <w:pPr>
              <w:spacing w:after="100"/>
              <w:jc w:val="right"/>
              <w:rPr>
                <w:rFonts w:eastAsia="Times New Roman"/>
              </w:rPr>
            </w:pPr>
          </w:p>
        </w:tc>
      </w:tr>
      <w:tr w:rsidR="00000000" w14:paraId="09387D7E" w14:textId="77777777">
        <w:trPr>
          <w:divId w:val="1081293663"/>
        </w:trPr>
        <w:tc>
          <w:tcPr>
            <w:tcW w:w="0" w:type="auto"/>
            <w:gridSpan w:val="3"/>
            <w:shd w:val="clear" w:color="auto" w:fill="FFFFFF"/>
            <w:tcMar>
              <w:top w:w="30" w:type="dxa"/>
              <w:left w:w="20" w:type="dxa"/>
              <w:bottom w:w="30" w:type="dxa"/>
              <w:right w:w="20" w:type="dxa"/>
            </w:tcMar>
            <w:vAlign w:val="center"/>
            <w:hideMark/>
          </w:tcPr>
          <w:p w14:paraId="26C24375" w14:textId="77777777" w:rsidR="00000000" w:rsidRDefault="00405D16">
            <w:pPr>
              <w:spacing w:after="100"/>
              <w:rPr>
                <w:rFonts w:eastAsia="Times New Roman"/>
              </w:rPr>
            </w:pPr>
            <w:r>
              <w:rPr>
                <w:rFonts w:eastAsia="Times New Roman"/>
                <w:color w:val="000000"/>
                <w:sz w:val="18"/>
                <w:szCs w:val="18"/>
              </w:rPr>
              <w:t>Other comprehensive income (loss) before reclassifications</w:t>
            </w:r>
          </w:p>
        </w:tc>
        <w:tc>
          <w:tcPr>
            <w:tcW w:w="0" w:type="auto"/>
            <w:gridSpan w:val="3"/>
            <w:shd w:val="clear" w:color="auto" w:fill="FFFFFF"/>
            <w:tcMar>
              <w:top w:w="0" w:type="dxa"/>
              <w:left w:w="20" w:type="dxa"/>
              <w:bottom w:w="0" w:type="dxa"/>
              <w:right w:w="20" w:type="dxa"/>
            </w:tcMar>
            <w:vAlign w:val="center"/>
            <w:hideMark/>
          </w:tcPr>
          <w:p w14:paraId="05A29861"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9BC6F8B" w14:textId="77777777" w:rsidR="00000000" w:rsidRDefault="00405D16">
            <w:pPr>
              <w:spacing w:after="100"/>
              <w:jc w:val="right"/>
              <w:rPr>
                <w:rFonts w:eastAsia="Times New Roman"/>
              </w:rPr>
            </w:pPr>
            <w:r>
              <w:rPr>
                <w:rFonts w:eastAsia="Times New Roman"/>
                <w:b/>
                <w:bCs/>
                <w:color w:val="000000"/>
                <w:sz w:val="18"/>
                <w:szCs w:val="18"/>
              </w:rPr>
              <w:t>(206)</w:t>
            </w:r>
          </w:p>
        </w:tc>
        <w:tc>
          <w:tcPr>
            <w:tcW w:w="0" w:type="auto"/>
            <w:shd w:val="clear" w:color="auto" w:fill="FFFFFF"/>
            <w:tcMar>
              <w:top w:w="30" w:type="dxa"/>
              <w:left w:w="0" w:type="dxa"/>
              <w:bottom w:w="30" w:type="dxa"/>
              <w:right w:w="20" w:type="dxa"/>
            </w:tcMar>
            <w:vAlign w:val="center"/>
            <w:hideMark/>
          </w:tcPr>
          <w:p w14:paraId="5D100B1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85C11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54DDD2E" w14:textId="77777777" w:rsidR="00000000" w:rsidRDefault="00405D16">
            <w:pPr>
              <w:spacing w:after="100"/>
              <w:jc w:val="right"/>
              <w:rPr>
                <w:rFonts w:eastAsia="Times New Roman"/>
              </w:rPr>
            </w:pPr>
            <w:r>
              <w:rPr>
                <w:rFonts w:eastAsia="Times New Roman"/>
                <w:b/>
                <w:bCs/>
                <w:color w:val="000000"/>
                <w:sz w:val="18"/>
                <w:szCs w:val="18"/>
              </w:rPr>
              <w:t>57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72B2CA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5C5DE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88A5389" w14:textId="77777777" w:rsidR="00000000" w:rsidRDefault="00405D16">
            <w:pPr>
              <w:spacing w:after="100"/>
              <w:jc w:val="right"/>
              <w:rPr>
                <w:rFonts w:eastAsia="Times New Roman"/>
              </w:rPr>
            </w:pPr>
            <w:r>
              <w:rPr>
                <w:rFonts w:eastAsia="Times New Roman"/>
                <w:b/>
                <w:bCs/>
                <w:color w:val="000000"/>
                <w:sz w:val="18"/>
                <w:szCs w:val="18"/>
              </w:rPr>
              <w:t>(27)</w:t>
            </w:r>
          </w:p>
        </w:tc>
        <w:tc>
          <w:tcPr>
            <w:tcW w:w="0" w:type="auto"/>
            <w:shd w:val="clear" w:color="auto" w:fill="FFFFFF"/>
            <w:tcMar>
              <w:top w:w="30" w:type="dxa"/>
              <w:left w:w="0" w:type="dxa"/>
              <w:bottom w:w="30" w:type="dxa"/>
              <w:right w:w="20" w:type="dxa"/>
            </w:tcMar>
            <w:vAlign w:val="center"/>
            <w:hideMark/>
          </w:tcPr>
          <w:p w14:paraId="7DB37D9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E60D5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99B2D82"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12D98B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4858B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B7FE261" w14:textId="77777777" w:rsidR="00000000" w:rsidRDefault="00405D16">
            <w:pPr>
              <w:spacing w:after="100"/>
              <w:jc w:val="right"/>
              <w:rPr>
                <w:rFonts w:eastAsia="Times New Roman"/>
              </w:rPr>
            </w:pPr>
            <w:r>
              <w:rPr>
                <w:rFonts w:eastAsia="Times New Roman"/>
                <w:b/>
                <w:bCs/>
                <w:color w:val="000000"/>
                <w:sz w:val="18"/>
                <w:szCs w:val="18"/>
              </w:rPr>
              <w:t>(176)</w:t>
            </w:r>
          </w:p>
        </w:tc>
        <w:tc>
          <w:tcPr>
            <w:tcW w:w="0" w:type="auto"/>
            <w:shd w:val="clear" w:color="auto" w:fill="FFFFFF"/>
            <w:tcMar>
              <w:top w:w="30" w:type="dxa"/>
              <w:left w:w="0" w:type="dxa"/>
              <w:bottom w:w="30" w:type="dxa"/>
              <w:right w:w="20" w:type="dxa"/>
            </w:tcMar>
            <w:vAlign w:val="center"/>
            <w:hideMark/>
          </w:tcPr>
          <w:p w14:paraId="741CA024" w14:textId="77777777" w:rsidR="00000000" w:rsidRDefault="00405D16">
            <w:pPr>
              <w:spacing w:after="100"/>
              <w:jc w:val="right"/>
              <w:rPr>
                <w:rFonts w:eastAsia="Times New Roman"/>
              </w:rPr>
            </w:pPr>
          </w:p>
        </w:tc>
      </w:tr>
      <w:tr w:rsidR="00000000" w14:paraId="2730EEB2" w14:textId="77777777">
        <w:trPr>
          <w:divId w:val="1081293663"/>
        </w:trPr>
        <w:tc>
          <w:tcPr>
            <w:tcW w:w="0" w:type="auto"/>
            <w:gridSpan w:val="3"/>
            <w:shd w:val="clear" w:color="auto" w:fill="CCEEFF"/>
            <w:tcMar>
              <w:top w:w="30" w:type="dxa"/>
              <w:left w:w="20" w:type="dxa"/>
              <w:bottom w:w="30" w:type="dxa"/>
              <w:right w:w="20" w:type="dxa"/>
            </w:tcMar>
            <w:vAlign w:val="center"/>
            <w:hideMark/>
          </w:tcPr>
          <w:p w14:paraId="5732FA5A" w14:textId="77777777" w:rsidR="00000000" w:rsidRDefault="00405D16">
            <w:pPr>
              <w:spacing w:after="100"/>
              <w:rPr>
                <w:rFonts w:eastAsia="Times New Roman"/>
              </w:rPr>
            </w:pPr>
            <w:r>
              <w:rPr>
                <w:rFonts w:eastAsia="Times New Roman"/>
                <w:color w:val="000000"/>
                <w:sz w:val="18"/>
                <w:szCs w:val="18"/>
              </w:rPr>
              <w:t>Amounts reclassified from AOCI into earnings</w:t>
            </w:r>
          </w:p>
        </w:tc>
        <w:tc>
          <w:tcPr>
            <w:tcW w:w="0" w:type="auto"/>
            <w:gridSpan w:val="3"/>
            <w:shd w:val="clear" w:color="auto" w:fill="CCEEFF"/>
            <w:tcMar>
              <w:top w:w="0" w:type="dxa"/>
              <w:left w:w="20" w:type="dxa"/>
              <w:bottom w:w="0" w:type="dxa"/>
              <w:right w:w="20" w:type="dxa"/>
            </w:tcMar>
            <w:vAlign w:val="center"/>
            <w:hideMark/>
          </w:tcPr>
          <w:p w14:paraId="59BB35A5"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E05EACE" w14:textId="77777777" w:rsidR="00000000" w:rsidRDefault="00405D16">
            <w:pPr>
              <w:spacing w:after="100"/>
              <w:jc w:val="right"/>
              <w:rPr>
                <w:rFonts w:eastAsia="Times New Roman"/>
              </w:rPr>
            </w:pPr>
            <w:r>
              <w:rPr>
                <w:rFonts w:eastAsia="Times New Roman"/>
                <w:b/>
                <w:bCs/>
                <w:color w:val="000000"/>
                <w:sz w:val="18"/>
                <w:szCs w:val="18"/>
              </w:rPr>
              <w:t>(2)</w:t>
            </w:r>
          </w:p>
        </w:tc>
        <w:tc>
          <w:tcPr>
            <w:tcW w:w="0" w:type="auto"/>
            <w:shd w:val="clear" w:color="auto" w:fill="CCEEFF"/>
            <w:tcMar>
              <w:top w:w="30" w:type="dxa"/>
              <w:left w:w="0" w:type="dxa"/>
              <w:bottom w:w="30" w:type="dxa"/>
              <w:right w:w="20" w:type="dxa"/>
            </w:tcMar>
            <w:vAlign w:val="center"/>
            <w:hideMark/>
          </w:tcPr>
          <w:p w14:paraId="440DE84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95E1C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502BF1E" w14:textId="77777777" w:rsidR="00000000" w:rsidRDefault="00405D16">
            <w:pPr>
              <w:spacing w:after="100"/>
              <w:jc w:val="right"/>
              <w:rPr>
                <w:rFonts w:eastAsia="Times New Roman"/>
              </w:rPr>
            </w:pPr>
            <w:r>
              <w:rPr>
                <w:rFonts w:eastAsia="Times New Roman"/>
                <w:b/>
                <w:bCs/>
                <w:color w:val="000000"/>
                <w:sz w:val="18"/>
                <w:szCs w:val="18"/>
              </w:rPr>
              <w:t>(252)</w:t>
            </w:r>
          </w:p>
        </w:tc>
        <w:tc>
          <w:tcPr>
            <w:tcW w:w="0" w:type="auto"/>
            <w:shd w:val="clear" w:color="auto" w:fill="CCEEFF"/>
            <w:tcMar>
              <w:top w:w="30" w:type="dxa"/>
              <w:left w:w="0" w:type="dxa"/>
              <w:bottom w:w="30" w:type="dxa"/>
              <w:right w:w="20" w:type="dxa"/>
            </w:tcMar>
            <w:vAlign w:val="center"/>
            <w:hideMark/>
          </w:tcPr>
          <w:p w14:paraId="356AD47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65A8A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D03FD2F"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D14F13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763EE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E588DD9" w14:textId="77777777" w:rsidR="00000000" w:rsidRDefault="00405D16">
            <w:pPr>
              <w:spacing w:after="100"/>
              <w:jc w:val="right"/>
              <w:rPr>
                <w:rFonts w:eastAsia="Times New Roman"/>
              </w:rPr>
            </w:pPr>
            <w:r>
              <w:rPr>
                <w:rFonts w:eastAsia="Times New Roman"/>
                <w:b/>
                <w:bCs/>
                <w:color w:val="000000"/>
                <w:sz w:val="18"/>
                <w:szCs w:val="18"/>
              </w:rPr>
              <w:t>(2)</w:t>
            </w:r>
          </w:p>
        </w:tc>
        <w:tc>
          <w:tcPr>
            <w:tcW w:w="0" w:type="auto"/>
            <w:shd w:val="clear" w:color="auto" w:fill="CCEEFF"/>
            <w:tcMar>
              <w:top w:w="30" w:type="dxa"/>
              <w:left w:w="0" w:type="dxa"/>
              <w:bottom w:w="30" w:type="dxa"/>
              <w:right w:w="20" w:type="dxa"/>
            </w:tcMar>
            <w:vAlign w:val="center"/>
            <w:hideMark/>
          </w:tcPr>
          <w:p w14:paraId="4646747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EE6FF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149364F" w14:textId="77777777" w:rsidR="00000000" w:rsidRDefault="00405D16">
            <w:pPr>
              <w:spacing w:after="100"/>
              <w:jc w:val="right"/>
              <w:rPr>
                <w:rFonts w:eastAsia="Times New Roman"/>
              </w:rPr>
            </w:pPr>
            <w:r>
              <w:rPr>
                <w:rFonts w:eastAsia="Times New Roman"/>
                <w:b/>
                <w:bCs/>
                <w:color w:val="000000"/>
                <w:sz w:val="18"/>
                <w:szCs w:val="18"/>
              </w:rPr>
              <w:t>(256)</w:t>
            </w:r>
          </w:p>
        </w:tc>
        <w:tc>
          <w:tcPr>
            <w:tcW w:w="0" w:type="auto"/>
            <w:shd w:val="clear" w:color="auto" w:fill="CCEEFF"/>
            <w:tcMar>
              <w:top w:w="30" w:type="dxa"/>
              <w:left w:w="0" w:type="dxa"/>
              <w:bottom w:w="30" w:type="dxa"/>
              <w:right w:w="20" w:type="dxa"/>
            </w:tcMar>
            <w:vAlign w:val="center"/>
            <w:hideMark/>
          </w:tcPr>
          <w:p w14:paraId="60B552A8" w14:textId="77777777" w:rsidR="00000000" w:rsidRDefault="00405D16">
            <w:pPr>
              <w:spacing w:after="100"/>
              <w:jc w:val="right"/>
              <w:rPr>
                <w:rFonts w:eastAsia="Times New Roman"/>
              </w:rPr>
            </w:pPr>
          </w:p>
        </w:tc>
      </w:tr>
      <w:tr w:rsidR="00000000" w14:paraId="329B92C2" w14:textId="77777777">
        <w:trPr>
          <w:divId w:val="1081293663"/>
        </w:trPr>
        <w:tc>
          <w:tcPr>
            <w:tcW w:w="0" w:type="auto"/>
            <w:gridSpan w:val="3"/>
            <w:shd w:val="clear" w:color="auto" w:fill="FFFFFF"/>
            <w:tcMar>
              <w:top w:w="30" w:type="dxa"/>
              <w:left w:w="20" w:type="dxa"/>
              <w:bottom w:w="30" w:type="dxa"/>
              <w:right w:w="20" w:type="dxa"/>
            </w:tcMar>
            <w:vAlign w:val="center"/>
            <w:hideMark/>
          </w:tcPr>
          <w:p w14:paraId="1B41D937" w14:textId="77777777" w:rsidR="00000000" w:rsidRDefault="00405D16">
            <w:pPr>
              <w:spacing w:after="100"/>
              <w:rPr>
                <w:rFonts w:eastAsia="Times New Roman"/>
              </w:rPr>
            </w:pPr>
            <w:r>
              <w:rPr>
                <w:rFonts w:eastAsia="Times New Roman"/>
                <w:color w:val="000000"/>
                <w:sz w:val="18"/>
                <w:szCs w:val="18"/>
              </w:rPr>
              <w:t>Other comprehensive income (loss), net of tax</w:t>
            </w:r>
          </w:p>
        </w:tc>
        <w:tc>
          <w:tcPr>
            <w:tcW w:w="0" w:type="auto"/>
            <w:gridSpan w:val="3"/>
            <w:shd w:val="clear" w:color="auto" w:fill="FFFFFF"/>
            <w:tcMar>
              <w:top w:w="0" w:type="dxa"/>
              <w:left w:w="20" w:type="dxa"/>
              <w:bottom w:w="0" w:type="dxa"/>
              <w:right w:w="20" w:type="dxa"/>
            </w:tcMar>
            <w:vAlign w:val="center"/>
            <w:hideMark/>
          </w:tcPr>
          <w:p w14:paraId="4836CF73"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9C138A7" w14:textId="77777777" w:rsidR="00000000" w:rsidRDefault="00405D16">
            <w:pPr>
              <w:spacing w:after="100"/>
              <w:jc w:val="right"/>
              <w:rPr>
                <w:rFonts w:eastAsia="Times New Roman"/>
              </w:rPr>
            </w:pPr>
            <w:r>
              <w:rPr>
                <w:rFonts w:eastAsia="Times New Roman"/>
                <w:b/>
                <w:bCs/>
                <w:color w:val="000000"/>
                <w:sz w:val="18"/>
                <w:szCs w:val="18"/>
              </w:rPr>
              <w:t>(208)</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4A7629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7F1C4B"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B6D3B5E" w14:textId="77777777" w:rsidR="00000000" w:rsidRDefault="00405D16">
            <w:pPr>
              <w:spacing w:after="100"/>
              <w:jc w:val="right"/>
              <w:rPr>
                <w:rFonts w:eastAsia="Times New Roman"/>
              </w:rPr>
            </w:pPr>
            <w:r>
              <w:rPr>
                <w:rFonts w:eastAsia="Times New Roman"/>
                <w:b/>
                <w:bCs/>
                <w:color w:val="000000"/>
                <w:sz w:val="18"/>
                <w:szCs w:val="18"/>
              </w:rPr>
              <w:t>(195)</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88B61F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3ADC69"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B267625" w14:textId="77777777" w:rsidR="00000000" w:rsidRDefault="00405D16">
            <w:pPr>
              <w:spacing w:after="100"/>
              <w:jc w:val="right"/>
              <w:rPr>
                <w:rFonts w:eastAsia="Times New Roman"/>
              </w:rPr>
            </w:pPr>
            <w:r>
              <w:rPr>
                <w:rFonts w:eastAsia="Times New Roman"/>
                <w:b/>
                <w:bCs/>
                <w:color w:val="000000"/>
                <w:sz w:val="18"/>
                <w:szCs w:val="18"/>
              </w:rPr>
              <w:t>(27)</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D8F46A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964D0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D152590" w14:textId="77777777" w:rsidR="00000000" w:rsidRDefault="00405D16">
            <w:pPr>
              <w:spacing w:after="100"/>
              <w:jc w:val="right"/>
              <w:rPr>
                <w:rFonts w:eastAsia="Times New Roman"/>
              </w:rPr>
            </w:pPr>
            <w:r>
              <w:rPr>
                <w:rFonts w:eastAsia="Times New Roman"/>
                <w:b/>
                <w:bCs/>
                <w:color w:val="000000"/>
                <w:sz w:val="18"/>
                <w:szCs w:val="18"/>
              </w:rPr>
              <w:t>(2)</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F4EC50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E879F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09C31A7" w14:textId="77777777" w:rsidR="00000000" w:rsidRDefault="00405D16">
            <w:pPr>
              <w:spacing w:after="100"/>
              <w:jc w:val="right"/>
              <w:rPr>
                <w:rFonts w:eastAsia="Times New Roman"/>
              </w:rPr>
            </w:pPr>
            <w:r>
              <w:rPr>
                <w:rFonts w:eastAsia="Times New Roman"/>
                <w:b/>
                <w:bCs/>
                <w:color w:val="000000"/>
                <w:sz w:val="18"/>
                <w:szCs w:val="18"/>
              </w:rPr>
              <w:t>(432)</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329B899" w14:textId="77777777" w:rsidR="00000000" w:rsidRDefault="00405D16">
            <w:pPr>
              <w:spacing w:after="100"/>
              <w:jc w:val="right"/>
              <w:rPr>
                <w:rFonts w:eastAsia="Times New Roman"/>
              </w:rPr>
            </w:pPr>
          </w:p>
        </w:tc>
      </w:tr>
      <w:tr w:rsidR="00000000" w14:paraId="78E4F2B5" w14:textId="77777777">
        <w:trPr>
          <w:divId w:val="1081293663"/>
        </w:trPr>
        <w:tc>
          <w:tcPr>
            <w:tcW w:w="0" w:type="auto"/>
            <w:gridSpan w:val="3"/>
            <w:shd w:val="clear" w:color="auto" w:fill="CCEEFF"/>
            <w:tcMar>
              <w:top w:w="30" w:type="dxa"/>
              <w:left w:w="20" w:type="dxa"/>
              <w:bottom w:w="30" w:type="dxa"/>
              <w:right w:w="20" w:type="dxa"/>
            </w:tcMar>
            <w:vAlign w:val="center"/>
            <w:hideMark/>
          </w:tcPr>
          <w:p w14:paraId="1559F9C4" w14:textId="77777777" w:rsidR="00000000" w:rsidRDefault="00405D16">
            <w:pPr>
              <w:spacing w:after="100"/>
              <w:rPr>
                <w:rFonts w:eastAsia="Times New Roman"/>
              </w:rPr>
            </w:pPr>
            <w:r>
              <w:rPr>
                <w:rFonts w:eastAsia="Times New Roman"/>
                <w:color w:val="000000"/>
                <w:sz w:val="18"/>
                <w:szCs w:val="18"/>
              </w:rPr>
              <w:t>AOCI as of September 30, 2021</w:t>
            </w:r>
          </w:p>
        </w:tc>
        <w:tc>
          <w:tcPr>
            <w:tcW w:w="0" w:type="auto"/>
            <w:gridSpan w:val="3"/>
            <w:shd w:val="clear" w:color="auto" w:fill="CCEEFF"/>
            <w:tcMar>
              <w:top w:w="0" w:type="dxa"/>
              <w:left w:w="20" w:type="dxa"/>
              <w:bottom w:w="0" w:type="dxa"/>
              <w:right w:w="20" w:type="dxa"/>
            </w:tcMar>
            <w:vAlign w:val="center"/>
            <w:hideMark/>
          </w:tcPr>
          <w:p w14:paraId="37CF8D26"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066C671"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1D7BC82" w14:textId="77777777" w:rsidR="00000000" w:rsidRDefault="00405D16">
            <w:pPr>
              <w:spacing w:after="100"/>
              <w:jc w:val="right"/>
              <w:rPr>
                <w:rFonts w:eastAsia="Times New Roman"/>
              </w:rPr>
            </w:pPr>
            <w:r>
              <w:rPr>
                <w:rFonts w:eastAsia="Times New Roman"/>
                <w:b/>
                <w:bCs/>
                <w:color w:val="000000"/>
                <w:sz w:val="18"/>
                <w:szCs w:val="18"/>
              </w:rPr>
              <w:t>881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C67B0C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F67FC4"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B904D34"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9EEBD46" w14:textId="77777777" w:rsidR="00000000" w:rsidRDefault="00405D16">
            <w:pPr>
              <w:spacing w:after="100"/>
              <w:jc w:val="right"/>
              <w:rPr>
                <w:rFonts w:eastAsia="Times New Roman"/>
              </w:rPr>
            </w:pPr>
            <w:r>
              <w:rPr>
                <w:rFonts w:eastAsia="Times New Roman"/>
                <w:b/>
                <w:bCs/>
                <w:color w:val="000000"/>
                <w:sz w:val="18"/>
                <w:szCs w:val="18"/>
              </w:rPr>
              <w:t>535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6E00A2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F297AA"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04B14D9F"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0FB7FB7" w14:textId="77777777" w:rsidR="00000000" w:rsidRDefault="00405D16">
            <w:pPr>
              <w:spacing w:after="100"/>
              <w:jc w:val="right"/>
              <w:rPr>
                <w:rFonts w:eastAsia="Times New Roman"/>
              </w:rPr>
            </w:pPr>
            <w:r>
              <w:rPr>
                <w:rFonts w:eastAsia="Times New Roman"/>
                <w:b/>
                <w:bCs/>
                <w:color w:val="000000"/>
                <w:sz w:val="18"/>
                <w:szCs w:val="18"/>
              </w:rPr>
              <w:t>(30)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B5F56B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8F6089"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E773385"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E0067A8" w14:textId="77777777" w:rsidR="00000000" w:rsidRDefault="00405D16">
            <w:pPr>
              <w:spacing w:after="100"/>
              <w:jc w:val="right"/>
              <w:rPr>
                <w:rFonts w:eastAsia="Times New Roman"/>
              </w:rPr>
            </w:pPr>
            <w:r>
              <w:rPr>
                <w:rFonts w:eastAsia="Times New Roman"/>
                <w:b/>
                <w:bCs/>
                <w:color w:val="000000"/>
                <w:sz w:val="18"/>
                <w:szCs w:val="18"/>
              </w:rPr>
              <w:t>(26)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095791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523D58"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B082D56"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33C02A50" w14:textId="77777777" w:rsidR="00000000" w:rsidRDefault="00405D16">
            <w:pPr>
              <w:spacing w:after="100"/>
              <w:jc w:val="right"/>
              <w:rPr>
                <w:rFonts w:eastAsia="Times New Roman"/>
              </w:rPr>
            </w:pPr>
            <w:r>
              <w:rPr>
                <w:rFonts w:eastAsia="Times New Roman"/>
                <w:b/>
                <w:bCs/>
                <w:color w:val="000000"/>
                <w:sz w:val="18"/>
                <w:szCs w:val="18"/>
              </w:rPr>
              <w:t>1,360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E241275" w14:textId="77777777" w:rsidR="00000000" w:rsidRDefault="00405D16">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867"/>
        <w:gridCol w:w="144"/>
        <w:gridCol w:w="144"/>
        <w:gridCol w:w="144"/>
        <w:gridCol w:w="144"/>
        <w:gridCol w:w="144"/>
        <w:gridCol w:w="684"/>
        <w:gridCol w:w="144"/>
        <w:gridCol w:w="144"/>
        <w:gridCol w:w="144"/>
        <w:gridCol w:w="144"/>
        <w:gridCol w:w="144"/>
        <w:gridCol w:w="878"/>
        <w:gridCol w:w="144"/>
        <w:gridCol w:w="144"/>
        <w:gridCol w:w="144"/>
        <w:gridCol w:w="144"/>
        <w:gridCol w:w="144"/>
        <w:gridCol w:w="842"/>
        <w:gridCol w:w="144"/>
        <w:gridCol w:w="144"/>
        <w:gridCol w:w="144"/>
        <w:gridCol w:w="144"/>
        <w:gridCol w:w="144"/>
        <w:gridCol w:w="588"/>
        <w:gridCol w:w="144"/>
        <w:gridCol w:w="144"/>
        <w:gridCol w:w="144"/>
        <w:gridCol w:w="144"/>
        <w:gridCol w:w="144"/>
        <w:gridCol w:w="588"/>
        <w:gridCol w:w="144"/>
      </w:tblGrid>
      <w:tr w:rsidR="00000000" w14:paraId="3C57C999" w14:textId="77777777">
        <w:tc>
          <w:tcPr>
            <w:tcW w:w="50" w:type="pct"/>
            <w:vAlign w:val="center"/>
            <w:hideMark/>
          </w:tcPr>
          <w:p w14:paraId="024012A7" w14:textId="77777777" w:rsidR="00000000" w:rsidRDefault="00405D16">
            <w:pPr>
              <w:jc w:val="both"/>
              <w:rPr>
                <w:rFonts w:eastAsia="Times New Roman"/>
              </w:rPr>
            </w:pPr>
          </w:p>
        </w:tc>
        <w:tc>
          <w:tcPr>
            <w:tcW w:w="2328" w:type="pct"/>
            <w:vAlign w:val="center"/>
            <w:hideMark/>
          </w:tcPr>
          <w:p w14:paraId="6F183EBF" w14:textId="77777777" w:rsidR="00000000" w:rsidRDefault="00405D16">
            <w:pPr>
              <w:spacing w:after="100"/>
              <w:rPr>
                <w:rFonts w:eastAsia="Times New Roman"/>
                <w:sz w:val="20"/>
                <w:szCs w:val="20"/>
              </w:rPr>
            </w:pPr>
          </w:p>
        </w:tc>
        <w:tc>
          <w:tcPr>
            <w:tcW w:w="5" w:type="pct"/>
            <w:vAlign w:val="center"/>
            <w:hideMark/>
          </w:tcPr>
          <w:p w14:paraId="102C1A6E" w14:textId="77777777" w:rsidR="00000000" w:rsidRDefault="00405D16">
            <w:pPr>
              <w:spacing w:after="100"/>
              <w:rPr>
                <w:rFonts w:eastAsia="Times New Roman"/>
                <w:sz w:val="20"/>
                <w:szCs w:val="20"/>
              </w:rPr>
            </w:pPr>
          </w:p>
        </w:tc>
        <w:tc>
          <w:tcPr>
            <w:tcW w:w="5" w:type="pct"/>
            <w:vAlign w:val="center"/>
            <w:hideMark/>
          </w:tcPr>
          <w:p w14:paraId="06FEADE1" w14:textId="77777777" w:rsidR="00000000" w:rsidRDefault="00405D16">
            <w:pPr>
              <w:spacing w:after="100"/>
              <w:rPr>
                <w:rFonts w:eastAsia="Times New Roman"/>
                <w:sz w:val="20"/>
                <w:szCs w:val="20"/>
              </w:rPr>
            </w:pPr>
          </w:p>
        </w:tc>
        <w:tc>
          <w:tcPr>
            <w:tcW w:w="26" w:type="pct"/>
            <w:vAlign w:val="center"/>
            <w:hideMark/>
          </w:tcPr>
          <w:p w14:paraId="736141E3" w14:textId="77777777" w:rsidR="00000000" w:rsidRDefault="00405D16">
            <w:pPr>
              <w:spacing w:after="100"/>
              <w:rPr>
                <w:rFonts w:eastAsia="Times New Roman"/>
                <w:sz w:val="20"/>
                <w:szCs w:val="20"/>
              </w:rPr>
            </w:pPr>
          </w:p>
        </w:tc>
        <w:tc>
          <w:tcPr>
            <w:tcW w:w="5" w:type="pct"/>
            <w:vAlign w:val="center"/>
            <w:hideMark/>
          </w:tcPr>
          <w:p w14:paraId="7529A7A9" w14:textId="77777777" w:rsidR="00000000" w:rsidRDefault="00405D16">
            <w:pPr>
              <w:spacing w:after="100"/>
              <w:rPr>
                <w:rFonts w:eastAsia="Times New Roman"/>
                <w:sz w:val="20"/>
                <w:szCs w:val="20"/>
              </w:rPr>
            </w:pPr>
          </w:p>
        </w:tc>
        <w:tc>
          <w:tcPr>
            <w:tcW w:w="50" w:type="pct"/>
            <w:vAlign w:val="center"/>
            <w:hideMark/>
          </w:tcPr>
          <w:p w14:paraId="5A11E485" w14:textId="77777777" w:rsidR="00000000" w:rsidRDefault="00405D16">
            <w:pPr>
              <w:spacing w:after="100"/>
              <w:rPr>
                <w:rFonts w:eastAsia="Times New Roman"/>
                <w:sz w:val="20"/>
                <w:szCs w:val="20"/>
              </w:rPr>
            </w:pPr>
          </w:p>
        </w:tc>
        <w:tc>
          <w:tcPr>
            <w:tcW w:w="412" w:type="pct"/>
            <w:vAlign w:val="center"/>
            <w:hideMark/>
          </w:tcPr>
          <w:p w14:paraId="7B78B255" w14:textId="77777777" w:rsidR="00000000" w:rsidRDefault="00405D16">
            <w:pPr>
              <w:spacing w:after="100"/>
              <w:rPr>
                <w:rFonts w:eastAsia="Times New Roman"/>
                <w:sz w:val="20"/>
                <w:szCs w:val="20"/>
              </w:rPr>
            </w:pPr>
          </w:p>
        </w:tc>
        <w:tc>
          <w:tcPr>
            <w:tcW w:w="5" w:type="pct"/>
            <w:vAlign w:val="center"/>
            <w:hideMark/>
          </w:tcPr>
          <w:p w14:paraId="605E55EC" w14:textId="77777777" w:rsidR="00000000" w:rsidRDefault="00405D16">
            <w:pPr>
              <w:spacing w:after="100"/>
              <w:rPr>
                <w:rFonts w:eastAsia="Times New Roman"/>
                <w:sz w:val="20"/>
                <w:szCs w:val="20"/>
              </w:rPr>
            </w:pPr>
          </w:p>
        </w:tc>
        <w:tc>
          <w:tcPr>
            <w:tcW w:w="5" w:type="pct"/>
            <w:vAlign w:val="center"/>
            <w:hideMark/>
          </w:tcPr>
          <w:p w14:paraId="1E132012" w14:textId="77777777" w:rsidR="00000000" w:rsidRDefault="00405D16">
            <w:pPr>
              <w:spacing w:after="100"/>
              <w:rPr>
                <w:rFonts w:eastAsia="Times New Roman"/>
                <w:sz w:val="20"/>
                <w:szCs w:val="20"/>
              </w:rPr>
            </w:pPr>
          </w:p>
        </w:tc>
        <w:tc>
          <w:tcPr>
            <w:tcW w:w="26" w:type="pct"/>
            <w:vAlign w:val="center"/>
            <w:hideMark/>
          </w:tcPr>
          <w:p w14:paraId="5EC20424" w14:textId="77777777" w:rsidR="00000000" w:rsidRDefault="00405D16">
            <w:pPr>
              <w:spacing w:after="100"/>
              <w:rPr>
                <w:rFonts w:eastAsia="Times New Roman"/>
                <w:sz w:val="20"/>
                <w:szCs w:val="20"/>
              </w:rPr>
            </w:pPr>
          </w:p>
        </w:tc>
        <w:tc>
          <w:tcPr>
            <w:tcW w:w="5" w:type="pct"/>
            <w:vAlign w:val="center"/>
            <w:hideMark/>
          </w:tcPr>
          <w:p w14:paraId="5425BC5B" w14:textId="77777777" w:rsidR="00000000" w:rsidRDefault="00405D16">
            <w:pPr>
              <w:spacing w:after="100"/>
              <w:rPr>
                <w:rFonts w:eastAsia="Times New Roman"/>
                <w:sz w:val="20"/>
                <w:szCs w:val="20"/>
              </w:rPr>
            </w:pPr>
          </w:p>
        </w:tc>
        <w:tc>
          <w:tcPr>
            <w:tcW w:w="50" w:type="pct"/>
            <w:vAlign w:val="center"/>
            <w:hideMark/>
          </w:tcPr>
          <w:p w14:paraId="46B7E2BF" w14:textId="77777777" w:rsidR="00000000" w:rsidRDefault="00405D16">
            <w:pPr>
              <w:spacing w:after="100"/>
              <w:rPr>
                <w:rFonts w:eastAsia="Times New Roman"/>
                <w:sz w:val="20"/>
                <w:szCs w:val="20"/>
              </w:rPr>
            </w:pPr>
          </w:p>
        </w:tc>
        <w:tc>
          <w:tcPr>
            <w:tcW w:w="529" w:type="pct"/>
            <w:vAlign w:val="center"/>
            <w:hideMark/>
          </w:tcPr>
          <w:p w14:paraId="1782A49D" w14:textId="77777777" w:rsidR="00000000" w:rsidRDefault="00405D16">
            <w:pPr>
              <w:spacing w:after="100"/>
              <w:rPr>
                <w:rFonts w:eastAsia="Times New Roman"/>
                <w:sz w:val="20"/>
                <w:szCs w:val="20"/>
              </w:rPr>
            </w:pPr>
          </w:p>
        </w:tc>
        <w:tc>
          <w:tcPr>
            <w:tcW w:w="5" w:type="pct"/>
            <w:vAlign w:val="center"/>
            <w:hideMark/>
          </w:tcPr>
          <w:p w14:paraId="09F1CBBE" w14:textId="77777777" w:rsidR="00000000" w:rsidRDefault="00405D16">
            <w:pPr>
              <w:spacing w:after="100"/>
              <w:rPr>
                <w:rFonts w:eastAsia="Times New Roman"/>
                <w:sz w:val="20"/>
                <w:szCs w:val="20"/>
              </w:rPr>
            </w:pPr>
          </w:p>
        </w:tc>
        <w:tc>
          <w:tcPr>
            <w:tcW w:w="5" w:type="pct"/>
            <w:vAlign w:val="center"/>
            <w:hideMark/>
          </w:tcPr>
          <w:p w14:paraId="1C21EE0D" w14:textId="77777777" w:rsidR="00000000" w:rsidRDefault="00405D16">
            <w:pPr>
              <w:spacing w:after="100"/>
              <w:rPr>
                <w:rFonts w:eastAsia="Times New Roman"/>
                <w:sz w:val="20"/>
                <w:szCs w:val="20"/>
              </w:rPr>
            </w:pPr>
          </w:p>
        </w:tc>
        <w:tc>
          <w:tcPr>
            <w:tcW w:w="26" w:type="pct"/>
            <w:vAlign w:val="center"/>
            <w:hideMark/>
          </w:tcPr>
          <w:p w14:paraId="5CB61AC6" w14:textId="77777777" w:rsidR="00000000" w:rsidRDefault="00405D16">
            <w:pPr>
              <w:spacing w:after="100"/>
              <w:rPr>
                <w:rFonts w:eastAsia="Times New Roman"/>
                <w:sz w:val="20"/>
                <w:szCs w:val="20"/>
              </w:rPr>
            </w:pPr>
          </w:p>
        </w:tc>
        <w:tc>
          <w:tcPr>
            <w:tcW w:w="5" w:type="pct"/>
            <w:vAlign w:val="center"/>
            <w:hideMark/>
          </w:tcPr>
          <w:p w14:paraId="512E04A8" w14:textId="77777777" w:rsidR="00000000" w:rsidRDefault="00405D16">
            <w:pPr>
              <w:spacing w:after="100"/>
              <w:rPr>
                <w:rFonts w:eastAsia="Times New Roman"/>
                <w:sz w:val="20"/>
                <w:szCs w:val="20"/>
              </w:rPr>
            </w:pPr>
          </w:p>
        </w:tc>
        <w:tc>
          <w:tcPr>
            <w:tcW w:w="50" w:type="pct"/>
            <w:vAlign w:val="center"/>
            <w:hideMark/>
          </w:tcPr>
          <w:p w14:paraId="6D757BFE" w14:textId="77777777" w:rsidR="00000000" w:rsidRDefault="00405D16">
            <w:pPr>
              <w:spacing w:after="100"/>
              <w:rPr>
                <w:rFonts w:eastAsia="Times New Roman"/>
                <w:sz w:val="20"/>
                <w:szCs w:val="20"/>
              </w:rPr>
            </w:pPr>
          </w:p>
        </w:tc>
        <w:tc>
          <w:tcPr>
            <w:tcW w:w="507" w:type="pct"/>
            <w:vAlign w:val="center"/>
            <w:hideMark/>
          </w:tcPr>
          <w:p w14:paraId="4F22ACBE" w14:textId="77777777" w:rsidR="00000000" w:rsidRDefault="00405D16">
            <w:pPr>
              <w:spacing w:after="100"/>
              <w:rPr>
                <w:rFonts w:eastAsia="Times New Roman"/>
                <w:sz w:val="20"/>
                <w:szCs w:val="20"/>
              </w:rPr>
            </w:pPr>
          </w:p>
        </w:tc>
        <w:tc>
          <w:tcPr>
            <w:tcW w:w="5" w:type="pct"/>
            <w:vAlign w:val="center"/>
            <w:hideMark/>
          </w:tcPr>
          <w:p w14:paraId="0049DD67" w14:textId="77777777" w:rsidR="00000000" w:rsidRDefault="00405D16">
            <w:pPr>
              <w:spacing w:after="100"/>
              <w:rPr>
                <w:rFonts w:eastAsia="Times New Roman"/>
                <w:sz w:val="20"/>
                <w:szCs w:val="20"/>
              </w:rPr>
            </w:pPr>
          </w:p>
        </w:tc>
        <w:tc>
          <w:tcPr>
            <w:tcW w:w="5" w:type="pct"/>
            <w:vAlign w:val="center"/>
            <w:hideMark/>
          </w:tcPr>
          <w:p w14:paraId="2CBF6CDF" w14:textId="77777777" w:rsidR="00000000" w:rsidRDefault="00405D16">
            <w:pPr>
              <w:spacing w:after="100"/>
              <w:rPr>
                <w:rFonts w:eastAsia="Times New Roman"/>
                <w:sz w:val="20"/>
                <w:szCs w:val="20"/>
              </w:rPr>
            </w:pPr>
          </w:p>
        </w:tc>
        <w:tc>
          <w:tcPr>
            <w:tcW w:w="26" w:type="pct"/>
            <w:vAlign w:val="center"/>
            <w:hideMark/>
          </w:tcPr>
          <w:p w14:paraId="46C0602F" w14:textId="77777777" w:rsidR="00000000" w:rsidRDefault="00405D16">
            <w:pPr>
              <w:spacing w:after="100"/>
              <w:rPr>
                <w:rFonts w:eastAsia="Times New Roman"/>
                <w:sz w:val="20"/>
                <w:szCs w:val="20"/>
              </w:rPr>
            </w:pPr>
          </w:p>
        </w:tc>
        <w:tc>
          <w:tcPr>
            <w:tcW w:w="5" w:type="pct"/>
            <w:vAlign w:val="center"/>
            <w:hideMark/>
          </w:tcPr>
          <w:p w14:paraId="5D36C3A3" w14:textId="77777777" w:rsidR="00000000" w:rsidRDefault="00405D16">
            <w:pPr>
              <w:spacing w:after="100"/>
              <w:rPr>
                <w:rFonts w:eastAsia="Times New Roman"/>
                <w:sz w:val="20"/>
                <w:szCs w:val="20"/>
              </w:rPr>
            </w:pPr>
          </w:p>
        </w:tc>
        <w:tc>
          <w:tcPr>
            <w:tcW w:w="50" w:type="pct"/>
            <w:vAlign w:val="center"/>
            <w:hideMark/>
          </w:tcPr>
          <w:p w14:paraId="18FC38E2" w14:textId="77777777" w:rsidR="00000000" w:rsidRDefault="00405D16">
            <w:pPr>
              <w:spacing w:after="100"/>
              <w:rPr>
                <w:rFonts w:eastAsia="Times New Roman"/>
                <w:sz w:val="20"/>
                <w:szCs w:val="20"/>
              </w:rPr>
            </w:pPr>
          </w:p>
        </w:tc>
        <w:tc>
          <w:tcPr>
            <w:tcW w:w="354" w:type="pct"/>
            <w:vAlign w:val="center"/>
            <w:hideMark/>
          </w:tcPr>
          <w:p w14:paraId="1F1EE276" w14:textId="77777777" w:rsidR="00000000" w:rsidRDefault="00405D16">
            <w:pPr>
              <w:spacing w:after="100"/>
              <w:rPr>
                <w:rFonts w:eastAsia="Times New Roman"/>
                <w:sz w:val="20"/>
                <w:szCs w:val="20"/>
              </w:rPr>
            </w:pPr>
          </w:p>
        </w:tc>
        <w:tc>
          <w:tcPr>
            <w:tcW w:w="5" w:type="pct"/>
            <w:vAlign w:val="center"/>
            <w:hideMark/>
          </w:tcPr>
          <w:p w14:paraId="7EE290B8" w14:textId="77777777" w:rsidR="00000000" w:rsidRDefault="00405D16">
            <w:pPr>
              <w:spacing w:after="100"/>
              <w:rPr>
                <w:rFonts w:eastAsia="Times New Roman"/>
                <w:sz w:val="20"/>
                <w:szCs w:val="20"/>
              </w:rPr>
            </w:pPr>
          </w:p>
        </w:tc>
        <w:tc>
          <w:tcPr>
            <w:tcW w:w="5" w:type="pct"/>
            <w:vAlign w:val="center"/>
            <w:hideMark/>
          </w:tcPr>
          <w:p w14:paraId="54D6EA77" w14:textId="77777777" w:rsidR="00000000" w:rsidRDefault="00405D16">
            <w:pPr>
              <w:spacing w:after="100"/>
              <w:rPr>
                <w:rFonts w:eastAsia="Times New Roman"/>
                <w:sz w:val="20"/>
                <w:szCs w:val="20"/>
              </w:rPr>
            </w:pPr>
          </w:p>
        </w:tc>
        <w:tc>
          <w:tcPr>
            <w:tcW w:w="26" w:type="pct"/>
            <w:vAlign w:val="center"/>
            <w:hideMark/>
          </w:tcPr>
          <w:p w14:paraId="53EDA860" w14:textId="77777777" w:rsidR="00000000" w:rsidRDefault="00405D16">
            <w:pPr>
              <w:spacing w:after="100"/>
              <w:rPr>
                <w:rFonts w:eastAsia="Times New Roman"/>
                <w:sz w:val="20"/>
                <w:szCs w:val="20"/>
              </w:rPr>
            </w:pPr>
          </w:p>
        </w:tc>
        <w:tc>
          <w:tcPr>
            <w:tcW w:w="5" w:type="pct"/>
            <w:vAlign w:val="center"/>
            <w:hideMark/>
          </w:tcPr>
          <w:p w14:paraId="5F616036" w14:textId="77777777" w:rsidR="00000000" w:rsidRDefault="00405D16">
            <w:pPr>
              <w:spacing w:after="100"/>
              <w:rPr>
                <w:rFonts w:eastAsia="Times New Roman"/>
                <w:sz w:val="20"/>
                <w:szCs w:val="20"/>
              </w:rPr>
            </w:pPr>
          </w:p>
        </w:tc>
        <w:tc>
          <w:tcPr>
            <w:tcW w:w="50" w:type="pct"/>
            <w:vAlign w:val="center"/>
            <w:hideMark/>
          </w:tcPr>
          <w:p w14:paraId="35B4E2B1" w14:textId="77777777" w:rsidR="00000000" w:rsidRDefault="00405D16">
            <w:pPr>
              <w:spacing w:after="100"/>
              <w:rPr>
                <w:rFonts w:eastAsia="Times New Roman"/>
                <w:sz w:val="20"/>
                <w:szCs w:val="20"/>
              </w:rPr>
            </w:pPr>
          </w:p>
        </w:tc>
        <w:tc>
          <w:tcPr>
            <w:tcW w:w="354" w:type="pct"/>
            <w:vAlign w:val="center"/>
            <w:hideMark/>
          </w:tcPr>
          <w:p w14:paraId="7769696E" w14:textId="77777777" w:rsidR="00000000" w:rsidRDefault="00405D16">
            <w:pPr>
              <w:spacing w:after="100"/>
              <w:rPr>
                <w:rFonts w:eastAsia="Times New Roman"/>
                <w:sz w:val="20"/>
                <w:szCs w:val="20"/>
              </w:rPr>
            </w:pPr>
          </w:p>
        </w:tc>
        <w:tc>
          <w:tcPr>
            <w:tcW w:w="5" w:type="pct"/>
            <w:vAlign w:val="center"/>
            <w:hideMark/>
          </w:tcPr>
          <w:p w14:paraId="21FE8598" w14:textId="77777777" w:rsidR="00000000" w:rsidRDefault="00405D16">
            <w:pPr>
              <w:spacing w:after="100"/>
              <w:rPr>
                <w:rFonts w:eastAsia="Times New Roman"/>
                <w:sz w:val="20"/>
                <w:szCs w:val="20"/>
              </w:rPr>
            </w:pPr>
          </w:p>
        </w:tc>
      </w:tr>
      <w:tr w:rsidR="00000000" w14:paraId="7C9EAAAF" w14:textId="77777777">
        <w:tc>
          <w:tcPr>
            <w:tcW w:w="0" w:type="auto"/>
            <w:gridSpan w:val="3"/>
            <w:tcMar>
              <w:top w:w="0" w:type="dxa"/>
              <w:left w:w="20" w:type="dxa"/>
              <w:bottom w:w="0" w:type="dxa"/>
              <w:right w:w="20" w:type="dxa"/>
            </w:tcMar>
            <w:vAlign w:val="center"/>
            <w:hideMark/>
          </w:tcPr>
          <w:p w14:paraId="0EDDC0F6"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C4050B1" w14:textId="77777777" w:rsidR="00000000" w:rsidRDefault="00405D16">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7A648065" w14:textId="77777777" w:rsidR="00000000" w:rsidRDefault="00405D16">
            <w:pPr>
              <w:spacing w:after="100"/>
              <w:jc w:val="center"/>
              <w:rPr>
                <w:rFonts w:eastAsia="Times New Roman"/>
              </w:rPr>
            </w:pPr>
            <w:r>
              <w:rPr>
                <w:rFonts w:eastAsia="Times New Roman"/>
                <w:b/>
                <w:bCs/>
                <w:color w:val="000000"/>
                <w:sz w:val="16"/>
                <w:szCs w:val="16"/>
              </w:rPr>
              <w:t>Nine Months Ended September 30, 2021</w:t>
            </w:r>
          </w:p>
        </w:tc>
      </w:tr>
      <w:tr w:rsidR="00000000" w14:paraId="381EE31D" w14:textId="77777777">
        <w:tc>
          <w:tcPr>
            <w:tcW w:w="0" w:type="auto"/>
            <w:gridSpan w:val="3"/>
            <w:tcMar>
              <w:top w:w="30" w:type="dxa"/>
              <w:left w:w="20" w:type="dxa"/>
              <w:bottom w:w="30" w:type="dxa"/>
              <w:right w:w="20" w:type="dxa"/>
            </w:tcMar>
            <w:vAlign w:val="bottom"/>
            <w:hideMark/>
          </w:tcPr>
          <w:p w14:paraId="6E06EF7C"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1B1E6840"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89230FE" w14:textId="77777777" w:rsidR="00000000" w:rsidRDefault="00405D16">
            <w:pPr>
              <w:spacing w:after="100"/>
              <w:jc w:val="center"/>
              <w:rPr>
                <w:rFonts w:eastAsia="Times New Roman"/>
              </w:rPr>
            </w:pPr>
            <w:r>
              <w:rPr>
                <w:rFonts w:eastAsia="Times New Roman"/>
                <w:b/>
                <w:bCs/>
                <w:color w:val="000000"/>
                <w:sz w:val="16"/>
                <w:szCs w:val="16"/>
              </w:rPr>
              <w:t>Securities Available for Sale</w:t>
            </w:r>
          </w:p>
        </w:tc>
        <w:tc>
          <w:tcPr>
            <w:tcW w:w="0" w:type="auto"/>
            <w:gridSpan w:val="3"/>
            <w:tcBorders>
              <w:top w:val="single" w:sz="8" w:space="0" w:color="000000"/>
            </w:tcBorders>
            <w:tcMar>
              <w:top w:w="0" w:type="dxa"/>
              <w:left w:w="20" w:type="dxa"/>
              <w:bottom w:w="0" w:type="dxa"/>
              <w:right w:w="20" w:type="dxa"/>
            </w:tcMar>
            <w:vAlign w:val="center"/>
            <w:hideMark/>
          </w:tcPr>
          <w:p w14:paraId="1B6E86FF"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A3DAEE3" w14:textId="77777777" w:rsidR="00000000" w:rsidRDefault="00405D16">
            <w:pPr>
              <w:spacing w:after="100"/>
              <w:jc w:val="center"/>
              <w:rPr>
                <w:rFonts w:eastAsia="Times New Roman"/>
              </w:rPr>
            </w:pPr>
            <w:r>
              <w:rPr>
                <w:rFonts w:eastAsia="Times New Roman"/>
                <w:b/>
                <w:bCs/>
                <w:color w:val="000000"/>
                <w:sz w:val="16"/>
                <w:szCs w:val="16"/>
              </w:rPr>
              <w:t>Hedging Relationship</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2B6B3AE5"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BBF238E" w14:textId="77777777" w:rsidR="00000000" w:rsidRDefault="00405D16">
            <w:pPr>
              <w:spacing w:after="100"/>
              <w:jc w:val="center"/>
              <w:rPr>
                <w:rFonts w:eastAsia="Times New Roman"/>
              </w:rPr>
            </w:pPr>
            <w:r>
              <w:rPr>
                <w:rFonts w:eastAsia="Times New Roman"/>
                <w:b/>
                <w:bCs/>
                <w:color w:val="000000"/>
                <w:sz w:val="16"/>
                <w:szCs w:val="16"/>
              </w:rPr>
              <w:t>Foreign Currency Translation Adjustment</w:t>
            </w:r>
            <w:r>
              <w:rPr>
                <w:rFonts w:eastAsia="Times New Roman"/>
                <w:b/>
                <w:bCs/>
                <w:color w:val="000000"/>
                <w:sz w:val="16"/>
                <w:szCs w:val="16"/>
              </w:rPr>
              <w:t>s</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7EC3D98C"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A7DBD55" w14:textId="77777777" w:rsidR="00000000" w:rsidRDefault="00405D16">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14:paraId="04D527E5"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06830A5" w14:textId="77777777" w:rsidR="00000000" w:rsidRDefault="00405D16">
            <w:pPr>
              <w:spacing w:after="100"/>
              <w:jc w:val="center"/>
              <w:rPr>
                <w:rFonts w:eastAsia="Times New Roman"/>
              </w:rPr>
            </w:pPr>
            <w:r>
              <w:rPr>
                <w:rFonts w:eastAsia="Times New Roman"/>
                <w:b/>
                <w:bCs/>
                <w:color w:val="000000"/>
                <w:sz w:val="16"/>
                <w:szCs w:val="16"/>
              </w:rPr>
              <w:t>Total</w:t>
            </w:r>
          </w:p>
        </w:tc>
      </w:tr>
      <w:tr w:rsidR="00000000" w14:paraId="665F0C67" w14:textId="77777777">
        <w:tc>
          <w:tcPr>
            <w:tcW w:w="0" w:type="auto"/>
            <w:gridSpan w:val="3"/>
            <w:vAlign w:val="center"/>
            <w:hideMark/>
          </w:tcPr>
          <w:p w14:paraId="13FB99B8" w14:textId="77777777" w:rsidR="00000000" w:rsidRDefault="00405D16">
            <w:pPr>
              <w:spacing w:after="100"/>
              <w:jc w:val="center"/>
              <w:rPr>
                <w:rFonts w:eastAsia="Times New Roman"/>
              </w:rPr>
            </w:pPr>
          </w:p>
        </w:tc>
        <w:tc>
          <w:tcPr>
            <w:tcW w:w="0" w:type="auto"/>
            <w:gridSpan w:val="3"/>
            <w:vAlign w:val="center"/>
            <w:hideMark/>
          </w:tcPr>
          <w:p w14:paraId="3644E2F7" w14:textId="77777777" w:rsidR="00000000" w:rsidRDefault="00405D16">
            <w:pPr>
              <w:spacing w:after="100"/>
              <w:rPr>
                <w:rFonts w:eastAsia="Times New Roman"/>
                <w:sz w:val="20"/>
                <w:szCs w:val="20"/>
              </w:rPr>
            </w:pPr>
          </w:p>
        </w:tc>
        <w:tc>
          <w:tcPr>
            <w:tcW w:w="0" w:type="auto"/>
            <w:gridSpan w:val="3"/>
            <w:vAlign w:val="center"/>
            <w:hideMark/>
          </w:tcPr>
          <w:p w14:paraId="0BC3DD46" w14:textId="77777777" w:rsidR="00000000" w:rsidRDefault="00405D16">
            <w:pPr>
              <w:spacing w:after="100"/>
              <w:rPr>
                <w:rFonts w:eastAsia="Times New Roman"/>
                <w:sz w:val="20"/>
                <w:szCs w:val="20"/>
              </w:rPr>
            </w:pPr>
          </w:p>
        </w:tc>
        <w:tc>
          <w:tcPr>
            <w:tcW w:w="0" w:type="auto"/>
            <w:gridSpan w:val="3"/>
            <w:vAlign w:val="center"/>
            <w:hideMark/>
          </w:tcPr>
          <w:p w14:paraId="740C7B1A" w14:textId="77777777" w:rsidR="00000000" w:rsidRDefault="00405D16">
            <w:pPr>
              <w:spacing w:after="100"/>
              <w:rPr>
                <w:rFonts w:eastAsia="Times New Roman"/>
                <w:sz w:val="20"/>
                <w:szCs w:val="20"/>
              </w:rPr>
            </w:pPr>
          </w:p>
        </w:tc>
        <w:tc>
          <w:tcPr>
            <w:tcW w:w="0" w:type="auto"/>
            <w:gridSpan w:val="3"/>
            <w:vAlign w:val="center"/>
            <w:hideMark/>
          </w:tcPr>
          <w:p w14:paraId="1DDB88E3" w14:textId="77777777" w:rsidR="00000000" w:rsidRDefault="00405D16">
            <w:pPr>
              <w:spacing w:after="100"/>
              <w:rPr>
                <w:rFonts w:eastAsia="Times New Roman"/>
                <w:sz w:val="20"/>
                <w:szCs w:val="20"/>
              </w:rPr>
            </w:pPr>
          </w:p>
        </w:tc>
        <w:tc>
          <w:tcPr>
            <w:tcW w:w="0" w:type="auto"/>
            <w:gridSpan w:val="3"/>
            <w:vAlign w:val="center"/>
            <w:hideMark/>
          </w:tcPr>
          <w:p w14:paraId="0A1F2A6F" w14:textId="77777777" w:rsidR="00000000" w:rsidRDefault="00405D16">
            <w:pPr>
              <w:spacing w:after="100"/>
              <w:rPr>
                <w:rFonts w:eastAsia="Times New Roman"/>
                <w:sz w:val="20"/>
                <w:szCs w:val="20"/>
              </w:rPr>
            </w:pPr>
          </w:p>
        </w:tc>
        <w:tc>
          <w:tcPr>
            <w:tcW w:w="0" w:type="auto"/>
            <w:gridSpan w:val="3"/>
            <w:vAlign w:val="center"/>
            <w:hideMark/>
          </w:tcPr>
          <w:p w14:paraId="68ABA01D" w14:textId="77777777" w:rsidR="00000000" w:rsidRDefault="00405D16">
            <w:pPr>
              <w:spacing w:after="100"/>
              <w:rPr>
                <w:rFonts w:eastAsia="Times New Roman"/>
                <w:sz w:val="20"/>
                <w:szCs w:val="20"/>
              </w:rPr>
            </w:pPr>
          </w:p>
        </w:tc>
        <w:tc>
          <w:tcPr>
            <w:tcW w:w="0" w:type="auto"/>
            <w:gridSpan w:val="3"/>
            <w:vAlign w:val="center"/>
            <w:hideMark/>
          </w:tcPr>
          <w:p w14:paraId="1B2A76CB" w14:textId="77777777" w:rsidR="00000000" w:rsidRDefault="00405D16">
            <w:pPr>
              <w:spacing w:after="100"/>
              <w:rPr>
                <w:rFonts w:eastAsia="Times New Roman"/>
                <w:sz w:val="20"/>
                <w:szCs w:val="20"/>
              </w:rPr>
            </w:pPr>
          </w:p>
        </w:tc>
        <w:tc>
          <w:tcPr>
            <w:tcW w:w="0" w:type="auto"/>
            <w:gridSpan w:val="3"/>
            <w:vAlign w:val="center"/>
            <w:hideMark/>
          </w:tcPr>
          <w:p w14:paraId="471BFFB2" w14:textId="77777777" w:rsidR="00000000" w:rsidRDefault="00405D16">
            <w:pPr>
              <w:spacing w:after="100"/>
              <w:rPr>
                <w:rFonts w:eastAsia="Times New Roman"/>
                <w:sz w:val="20"/>
                <w:szCs w:val="20"/>
              </w:rPr>
            </w:pPr>
          </w:p>
        </w:tc>
        <w:tc>
          <w:tcPr>
            <w:tcW w:w="0" w:type="auto"/>
            <w:gridSpan w:val="3"/>
            <w:vAlign w:val="center"/>
            <w:hideMark/>
          </w:tcPr>
          <w:p w14:paraId="182D211D" w14:textId="77777777" w:rsidR="00000000" w:rsidRDefault="00405D16">
            <w:pPr>
              <w:spacing w:after="100"/>
              <w:rPr>
                <w:rFonts w:eastAsia="Times New Roman"/>
                <w:sz w:val="20"/>
                <w:szCs w:val="20"/>
              </w:rPr>
            </w:pPr>
          </w:p>
        </w:tc>
        <w:tc>
          <w:tcPr>
            <w:tcW w:w="0" w:type="auto"/>
            <w:gridSpan w:val="3"/>
            <w:vAlign w:val="center"/>
            <w:hideMark/>
          </w:tcPr>
          <w:p w14:paraId="165C1A06" w14:textId="77777777" w:rsidR="00000000" w:rsidRDefault="00405D16">
            <w:pPr>
              <w:spacing w:after="100"/>
              <w:rPr>
                <w:rFonts w:eastAsia="Times New Roman"/>
                <w:sz w:val="20"/>
                <w:szCs w:val="20"/>
              </w:rPr>
            </w:pPr>
          </w:p>
        </w:tc>
      </w:tr>
      <w:tr w:rsidR="00000000" w14:paraId="004DE2EE" w14:textId="77777777">
        <w:tc>
          <w:tcPr>
            <w:tcW w:w="0" w:type="auto"/>
            <w:gridSpan w:val="3"/>
            <w:vAlign w:val="center"/>
            <w:hideMark/>
          </w:tcPr>
          <w:p w14:paraId="676BBC68" w14:textId="77777777" w:rsidR="00000000" w:rsidRDefault="00405D16">
            <w:pPr>
              <w:spacing w:after="100"/>
              <w:rPr>
                <w:rFonts w:eastAsia="Times New Roman"/>
                <w:sz w:val="20"/>
                <w:szCs w:val="20"/>
              </w:rPr>
            </w:pPr>
          </w:p>
        </w:tc>
        <w:tc>
          <w:tcPr>
            <w:tcW w:w="0" w:type="auto"/>
            <w:gridSpan w:val="3"/>
            <w:vAlign w:val="center"/>
            <w:hideMark/>
          </w:tcPr>
          <w:p w14:paraId="2B27DEB0" w14:textId="77777777" w:rsidR="00000000" w:rsidRDefault="00405D16">
            <w:pPr>
              <w:spacing w:after="100"/>
              <w:rPr>
                <w:rFonts w:eastAsia="Times New Roman"/>
                <w:sz w:val="20"/>
                <w:szCs w:val="20"/>
              </w:rPr>
            </w:pPr>
          </w:p>
        </w:tc>
        <w:tc>
          <w:tcPr>
            <w:tcW w:w="0" w:type="auto"/>
            <w:gridSpan w:val="3"/>
            <w:vAlign w:val="center"/>
            <w:hideMark/>
          </w:tcPr>
          <w:p w14:paraId="3396D7E9" w14:textId="77777777" w:rsidR="00000000" w:rsidRDefault="00405D16">
            <w:pPr>
              <w:spacing w:after="100"/>
              <w:rPr>
                <w:rFonts w:eastAsia="Times New Roman"/>
                <w:sz w:val="20"/>
                <w:szCs w:val="20"/>
              </w:rPr>
            </w:pPr>
          </w:p>
        </w:tc>
        <w:tc>
          <w:tcPr>
            <w:tcW w:w="0" w:type="auto"/>
            <w:gridSpan w:val="3"/>
            <w:vAlign w:val="center"/>
            <w:hideMark/>
          </w:tcPr>
          <w:p w14:paraId="3CE5D48B" w14:textId="77777777" w:rsidR="00000000" w:rsidRDefault="00405D16">
            <w:pPr>
              <w:spacing w:after="100"/>
              <w:rPr>
                <w:rFonts w:eastAsia="Times New Roman"/>
                <w:sz w:val="20"/>
                <w:szCs w:val="20"/>
              </w:rPr>
            </w:pPr>
          </w:p>
        </w:tc>
        <w:tc>
          <w:tcPr>
            <w:tcW w:w="0" w:type="auto"/>
            <w:gridSpan w:val="3"/>
            <w:vAlign w:val="center"/>
            <w:hideMark/>
          </w:tcPr>
          <w:p w14:paraId="5817BC99" w14:textId="77777777" w:rsidR="00000000" w:rsidRDefault="00405D16">
            <w:pPr>
              <w:spacing w:after="100"/>
              <w:rPr>
                <w:rFonts w:eastAsia="Times New Roman"/>
                <w:sz w:val="20"/>
                <w:szCs w:val="20"/>
              </w:rPr>
            </w:pPr>
          </w:p>
        </w:tc>
        <w:tc>
          <w:tcPr>
            <w:tcW w:w="0" w:type="auto"/>
            <w:gridSpan w:val="3"/>
            <w:vAlign w:val="center"/>
            <w:hideMark/>
          </w:tcPr>
          <w:p w14:paraId="21AB2D33" w14:textId="77777777" w:rsidR="00000000" w:rsidRDefault="00405D16">
            <w:pPr>
              <w:spacing w:after="100"/>
              <w:rPr>
                <w:rFonts w:eastAsia="Times New Roman"/>
                <w:sz w:val="20"/>
                <w:szCs w:val="20"/>
              </w:rPr>
            </w:pPr>
          </w:p>
        </w:tc>
        <w:tc>
          <w:tcPr>
            <w:tcW w:w="0" w:type="auto"/>
            <w:gridSpan w:val="3"/>
            <w:vAlign w:val="center"/>
            <w:hideMark/>
          </w:tcPr>
          <w:p w14:paraId="3EF1BB6B" w14:textId="77777777" w:rsidR="00000000" w:rsidRDefault="00405D16">
            <w:pPr>
              <w:spacing w:after="100"/>
              <w:rPr>
                <w:rFonts w:eastAsia="Times New Roman"/>
                <w:sz w:val="20"/>
                <w:szCs w:val="20"/>
              </w:rPr>
            </w:pPr>
          </w:p>
        </w:tc>
        <w:tc>
          <w:tcPr>
            <w:tcW w:w="0" w:type="auto"/>
            <w:gridSpan w:val="3"/>
            <w:vAlign w:val="center"/>
            <w:hideMark/>
          </w:tcPr>
          <w:p w14:paraId="5AAFD30F" w14:textId="77777777" w:rsidR="00000000" w:rsidRDefault="00405D16">
            <w:pPr>
              <w:spacing w:after="100"/>
              <w:rPr>
                <w:rFonts w:eastAsia="Times New Roman"/>
                <w:sz w:val="20"/>
                <w:szCs w:val="20"/>
              </w:rPr>
            </w:pPr>
          </w:p>
        </w:tc>
        <w:tc>
          <w:tcPr>
            <w:tcW w:w="0" w:type="auto"/>
            <w:gridSpan w:val="3"/>
            <w:vAlign w:val="center"/>
            <w:hideMark/>
          </w:tcPr>
          <w:p w14:paraId="2640C277" w14:textId="77777777" w:rsidR="00000000" w:rsidRDefault="00405D16">
            <w:pPr>
              <w:spacing w:after="100"/>
              <w:rPr>
                <w:rFonts w:eastAsia="Times New Roman"/>
                <w:sz w:val="20"/>
                <w:szCs w:val="20"/>
              </w:rPr>
            </w:pPr>
          </w:p>
        </w:tc>
        <w:tc>
          <w:tcPr>
            <w:tcW w:w="0" w:type="auto"/>
            <w:gridSpan w:val="3"/>
            <w:vAlign w:val="center"/>
            <w:hideMark/>
          </w:tcPr>
          <w:p w14:paraId="1D7104CE" w14:textId="77777777" w:rsidR="00000000" w:rsidRDefault="00405D16">
            <w:pPr>
              <w:spacing w:after="100"/>
              <w:rPr>
                <w:rFonts w:eastAsia="Times New Roman"/>
                <w:sz w:val="20"/>
                <w:szCs w:val="20"/>
              </w:rPr>
            </w:pPr>
          </w:p>
        </w:tc>
        <w:tc>
          <w:tcPr>
            <w:tcW w:w="0" w:type="auto"/>
            <w:gridSpan w:val="3"/>
            <w:vAlign w:val="center"/>
            <w:hideMark/>
          </w:tcPr>
          <w:p w14:paraId="13D227CF" w14:textId="77777777" w:rsidR="00000000" w:rsidRDefault="00405D16">
            <w:pPr>
              <w:spacing w:after="100"/>
              <w:rPr>
                <w:rFonts w:eastAsia="Times New Roman"/>
                <w:sz w:val="20"/>
                <w:szCs w:val="20"/>
              </w:rPr>
            </w:pPr>
          </w:p>
        </w:tc>
      </w:tr>
      <w:tr w:rsidR="00000000" w14:paraId="560120C2" w14:textId="77777777">
        <w:tc>
          <w:tcPr>
            <w:tcW w:w="0" w:type="auto"/>
            <w:gridSpan w:val="3"/>
            <w:vAlign w:val="center"/>
            <w:hideMark/>
          </w:tcPr>
          <w:p w14:paraId="470776D0" w14:textId="77777777" w:rsidR="00000000" w:rsidRDefault="00405D16">
            <w:pPr>
              <w:spacing w:after="100"/>
              <w:rPr>
                <w:rFonts w:eastAsia="Times New Roman"/>
                <w:sz w:val="20"/>
                <w:szCs w:val="20"/>
              </w:rPr>
            </w:pPr>
          </w:p>
        </w:tc>
        <w:tc>
          <w:tcPr>
            <w:tcW w:w="0" w:type="auto"/>
            <w:gridSpan w:val="3"/>
            <w:vAlign w:val="center"/>
            <w:hideMark/>
          </w:tcPr>
          <w:p w14:paraId="0465E5CE" w14:textId="77777777" w:rsidR="00000000" w:rsidRDefault="00405D16">
            <w:pPr>
              <w:spacing w:after="100"/>
              <w:rPr>
                <w:rFonts w:eastAsia="Times New Roman"/>
                <w:sz w:val="20"/>
                <w:szCs w:val="20"/>
              </w:rPr>
            </w:pPr>
          </w:p>
        </w:tc>
        <w:tc>
          <w:tcPr>
            <w:tcW w:w="0" w:type="auto"/>
            <w:gridSpan w:val="3"/>
            <w:vAlign w:val="center"/>
            <w:hideMark/>
          </w:tcPr>
          <w:p w14:paraId="542DC256" w14:textId="77777777" w:rsidR="00000000" w:rsidRDefault="00405D16">
            <w:pPr>
              <w:spacing w:after="100"/>
              <w:rPr>
                <w:rFonts w:eastAsia="Times New Roman"/>
                <w:sz w:val="20"/>
                <w:szCs w:val="20"/>
              </w:rPr>
            </w:pPr>
          </w:p>
        </w:tc>
        <w:tc>
          <w:tcPr>
            <w:tcW w:w="0" w:type="auto"/>
            <w:gridSpan w:val="3"/>
            <w:vAlign w:val="center"/>
            <w:hideMark/>
          </w:tcPr>
          <w:p w14:paraId="7A85476A" w14:textId="77777777" w:rsidR="00000000" w:rsidRDefault="00405D16">
            <w:pPr>
              <w:spacing w:after="100"/>
              <w:rPr>
                <w:rFonts w:eastAsia="Times New Roman"/>
                <w:sz w:val="20"/>
                <w:szCs w:val="20"/>
              </w:rPr>
            </w:pPr>
          </w:p>
        </w:tc>
        <w:tc>
          <w:tcPr>
            <w:tcW w:w="0" w:type="auto"/>
            <w:gridSpan w:val="3"/>
            <w:vAlign w:val="center"/>
            <w:hideMark/>
          </w:tcPr>
          <w:p w14:paraId="6611961B" w14:textId="77777777" w:rsidR="00000000" w:rsidRDefault="00405D16">
            <w:pPr>
              <w:spacing w:after="100"/>
              <w:rPr>
                <w:rFonts w:eastAsia="Times New Roman"/>
                <w:sz w:val="20"/>
                <w:szCs w:val="20"/>
              </w:rPr>
            </w:pPr>
          </w:p>
        </w:tc>
        <w:tc>
          <w:tcPr>
            <w:tcW w:w="0" w:type="auto"/>
            <w:gridSpan w:val="3"/>
            <w:vAlign w:val="center"/>
            <w:hideMark/>
          </w:tcPr>
          <w:p w14:paraId="4BB87987" w14:textId="77777777" w:rsidR="00000000" w:rsidRDefault="00405D16">
            <w:pPr>
              <w:spacing w:after="100"/>
              <w:rPr>
                <w:rFonts w:eastAsia="Times New Roman"/>
                <w:sz w:val="20"/>
                <w:szCs w:val="20"/>
              </w:rPr>
            </w:pPr>
          </w:p>
        </w:tc>
        <w:tc>
          <w:tcPr>
            <w:tcW w:w="0" w:type="auto"/>
            <w:gridSpan w:val="3"/>
            <w:vAlign w:val="center"/>
            <w:hideMark/>
          </w:tcPr>
          <w:p w14:paraId="7F1B0336" w14:textId="77777777" w:rsidR="00000000" w:rsidRDefault="00405D16">
            <w:pPr>
              <w:spacing w:after="100"/>
              <w:rPr>
                <w:rFonts w:eastAsia="Times New Roman"/>
                <w:sz w:val="20"/>
                <w:szCs w:val="20"/>
              </w:rPr>
            </w:pPr>
          </w:p>
        </w:tc>
        <w:tc>
          <w:tcPr>
            <w:tcW w:w="0" w:type="auto"/>
            <w:gridSpan w:val="3"/>
            <w:vAlign w:val="center"/>
            <w:hideMark/>
          </w:tcPr>
          <w:p w14:paraId="4A572048" w14:textId="77777777" w:rsidR="00000000" w:rsidRDefault="00405D16">
            <w:pPr>
              <w:spacing w:after="100"/>
              <w:rPr>
                <w:rFonts w:eastAsia="Times New Roman"/>
                <w:sz w:val="20"/>
                <w:szCs w:val="20"/>
              </w:rPr>
            </w:pPr>
          </w:p>
        </w:tc>
        <w:tc>
          <w:tcPr>
            <w:tcW w:w="0" w:type="auto"/>
            <w:gridSpan w:val="3"/>
            <w:vAlign w:val="center"/>
            <w:hideMark/>
          </w:tcPr>
          <w:p w14:paraId="0B7E5921" w14:textId="77777777" w:rsidR="00000000" w:rsidRDefault="00405D16">
            <w:pPr>
              <w:spacing w:after="100"/>
              <w:rPr>
                <w:rFonts w:eastAsia="Times New Roman"/>
                <w:sz w:val="20"/>
                <w:szCs w:val="20"/>
              </w:rPr>
            </w:pPr>
          </w:p>
        </w:tc>
        <w:tc>
          <w:tcPr>
            <w:tcW w:w="0" w:type="auto"/>
            <w:gridSpan w:val="3"/>
            <w:vAlign w:val="center"/>
            <w:hideMark/>
          </w:tcPr>
          <w:p w14:paraId="092DFAD8" w14:textId="77777777" w:rsidR="00000000" w:rsidRDefault="00405D16">
            <w:pPr>
              <w:spacing w:after="100"/>
              <w:rPr>
                <w:rFonts w:eastAsia="Times New Roman"/>
                <w:sz w:val="20"/>
                <w:szCs w:val="20"/>
              </w:rPr>
            </w:pPr>
          </w:p>
        </w:tc>
        <w:tc>
          <w:tcPr>
            <w:tcW w:w="0" w:type="auto"/>
            <w:gridSpan w:val="3"/>
            <w:vAlign w:val="center"/>
            <w:hideMark/>
          </w:tcPr>
          <w:p w14:paraId="43FCD841" w14:textId="77777777" w:rsidR="00000000" w:rsidRDefault="00405D16">
            <w:pPr>
              <w:spacing w:after="100"/>
              <w:rPr>
                <w:rFonts w:eastAsia="Times New Roman"/>
                <w:sz w:val="20"/>
                <w:szCs w:val="20"/>
              </w:rPr>
            </w:pPr>
          </w:p>
        </w:tc>
      </w:tr>
      <w:tr w:rsidR="00000000" w14:paraId="636B77F9" w14:textId="77777777">
        <w:tc>
          <w:tcPr>
            <w:tcW w:w="0" w:type="auto"/>
            <w:gridSpan w:val="3"/>
            <w:vAlign w:val="center"/>
            <w:hideMark/>
          </w:tcPr>
          <w:p w14:paraId="0452A8F1" w14:textId="77777777" w:rsidR="00000000" w:rsidRDefault="00405D16">
            <w:pPr>
              <w:spacing w:after="100"/>
              <w:rPr>
                <w:rFonts w:eastAsia="Times New Roman"/>
                <w:sz w:val="20"/>
                <w:szCs w:val="20"/>
              </w:rPr>
            </w:pPr>
          </w:p>
        </w:tc>
        <w:tc>
          <w:tcPr>
            <w:tcW w:w="0" w:type="auto"/>
            <w:gridSpan w:val="3"/>
            <w:vAlign w:val="center"/>
            <w:hideMark/>
          </w:tcPr>
          <w:p w14:paraId="7227DFB1" w14:textId="77777777" w:rsidR="00000000" w:rsidRDefault="00405D16">
            <w:pPr>
              <w:spacing w:after="100"/>
              <w:rPr>
                <w:rFonts w:eastAsia="Times New Roman"/>
                <w:sz w:val="20"/>
                <w:szCs w:val="20"/>
              </w:rPr>
            </w:pPr>
          </w:p>
        </w:tc>
        <w:tc>
          <w:tcPr>
            <w:tcW w:w="0" w:type="auto"/>
            <w:gridSpan w:val="3"/>
            <w:vAlign w:val="center"/>
            <w:hideMark/>
          </w:tcPr>
          <w:p w14:paraId="7EBD87B4" w14:textId="77777777" w:rsidR="00000000" w:rsidRDefault="00405D16">
            <w:pPr>
              <w:spacing w:after="100"/>
              <w:rPr>
                <w:rFonts w:eastAsia="Times New Roman"/>
                <w:sz w:val="20"/>
                <w:szCs w:val="20"/>
              </w:rPr>
            </w:pPr>
          </w:p>
        </w:tc>
        <w:tc>
          <w:tcPr>
            <w:tcW w:w="0" w:type="auto"/>
            <w:gridSpan w:val="3"/>
            <w:vAlign w:val="center"/>
            <w:hideMark/>
          </w:tcPr>
          <w:p w14:paraId="480BEEB7" w14:textId="77777777" w:rsidR="00000000" w:rsidRDefault="00405D16">
            <w:pPr>
              <w:spacing w:after="100"/>
              <w:rPr>
                <w:rFonts w:eastAsia="Times New Roman"/>
                <w:sz w:val="20"/>
                <w:szCs w:val="20"/>
              </w:rPr>
            </w:pPr>
          </w:p>
        </w:tc>
        <w:tc>
          <w:tcPr>
            <w:tcW w:w="0" w:type="auto"/>
            <w:gridSpan w:val="3"/>
            <w:vAlign w:val="center"/>
            <w:hideMark/>
          </w:tcPr>
          <w:p w14:paraId="0CD1B2BB" w14:textId="77777777" w:rsidR="00000000" w:rsidRDefault="00405D16">
            <w:pPr>
              <w:spacing w:after="100"/>
              <w:rPr>
                <w:rFonts w:eastAsia="Times New Roman"/>
                <w:sz w:val="20"/>
                <w:szCs w:val="20"/>
              </w:rPr>
            </w:pPr>
          </w:p>
        </w:tc>
        <w:tc>
          <w:tcPr>
            <w:tcW w:w="0" w:type="auto"/>
            <w:gridSpan w:val="3"/>
            <w:vAlign w:val="center"/>
            <w:hideMark/>
          </w:tcPr>
          <w:p w14:paraId="63C27803" w14:textId="77777777" w:rsidR="00000000" w:rsidRDefault="00405D16">
            <w:pPr>
              <w:spacing w:after="100"/>
              <w:rPr>
                <w:rFonts w:eastAsia="Times New Roman"/>
                <w:sz w:val="20"/>
                <w:szCs w:val="20"/>
              </w:rPr>
            </w:pPr>
          </w:p>
        </w:tc>
        <w:tc>
          <w:tcPr>
            <w:tcW w:w="0" w:type="auto"/>
            <w:gridSpan w:val="3"/>
            <w:vAlign w:val="center"/>
            <w:hideMark/>
          </w:tcPr>
          <w:p w14:paraId="36830141" w14:textId="77777777" w:rsidR="00000000" w:rsidRDefault="00405D16">
            <w:pPr>
              <w:spacing w:after="100"/>
              <w:rPr>
                <w:rFonts w:eastAsia="Times New Roman"/>
                <w:sz w:val="20"/>
                <w:szCs w:val="20"/>
              </w:rPr>
            </w:pPr>
          </w:p>
        </w:tc>
        <w:tc>
          <w:tcPr>
            <w:tcW w:w="0" w:type="auto"/>
            <w:gridSpan w:val="3"/>
            <w:vAlign w:val="center"/>
            <w:hideMark/>
          </w:tcPr>
          <w:p w14:paraId="5AD3DF3F" w14:textId="77777777" w:rsidR="00000000" w:rsidRDefault="00405D16">
            <w:pPr>
              <w:spacing w:after="100"/>
              <w:rPr>
                <w:rFonts w:eastAsia="Times New Roman"/>
                <w:sz w:val="20"/>
                <w:szCs w:val="20"/>
              </w:rPr>
            </w:pPr>
          </w:p>
        </w:tc>
        <w:tc>
          <w:tcPr>
            <w:tcW w:w="0" w:type="auto"/>
            <w:gridSpan w:val="3"/>
            <w:vAlign w:val="center"/>
            <w:hideMark/>
          </w:tcPr>
          <w:p w14:paraId="0D285C6A" w14:textId="77777777" w:rsidR="00000000" w:rsidRDefault="00405D16">
            <w:pPr>
              <w:spacing w:after="100"/>
              <w:rPr>
                <w:rFonts w:eastAsia="Times New Roman"/>
                <w:sz w:val="20"/>
                <w:szCs w:val="20"/>
              </w:rPr>
            </w:pPr>
          </w:p>
        </w:tc>
        <w:tc>
          <w:tcPr>
            <w:tcW w:w="0" w:type="auto"/>
            <w:gridSpan w:val="3"/>
            <w:vAlign w:val="center"/>
            <w:hideMark/>
          </w:tcPr>
          <w:p w14:paraId="606E10E5" w14:textId="77777777" w:rsidR="00000000" w:rsidRDefault="00405D16">
            <w:pPr>
              <w:spacing w:after="100"/>
              <w:rPr>
                <w:rFonts w:eastAsia="Times New Roman"/>
                <w:sz w:val="20"/>
                <w:szCs w:val="20"/>
              </w:rPr>
            </w:pPr>
          </w:p>
        </w:tc>
        <w:tc>
          <w:tcPr>
            <w:tcW w:w="0" w:type="auto"/>
            <w:gridSpan w:val="3"/>
            <w:vAlign w:val="center"/>
            <w:hideMark/>
          </w:tcPr>
          <w:p w14:paraId="798AF87B" w14:textId="77777777" w:rsidR="00000000" w:rsidRDefault="00405D16">
            <w:pPr>
              <w:spacing w:after="100"/>
              <w:rPr>
                <w:rFonts w:eastAsia="Times New Roman"/>
                <w:sz w:val="20"/>
                <w:szCs w:val="20"/>
              </w:rPr>
            </w:pPr>
          </w:p>
        </w:tc>
      </w:tr>
      <w:tr w:rsidR="00000000" w14:paraId="5DC64B8D" w14:textId="77777777">
        <w:tc>
          <w:tcPr>
            <w:tcW w:w="0" w:type="auto"/>
            <w:gridSpan w:val="3"/>
            <w:vAlign w:val="center"/>
            <w:hideMark/>
          </w:tcPr>
          <w:p w14:paraId="2CE67DE0" w14:textId="77777777" w:rsidR="00000000" w:rsidRDefault="00405D16">
            <w:pPr>
              <w:spacing w:after="100"/>
              <w:rPr>
                <w:rFonts w:eastAsia="Times New Roman"/>
                <w:sz w:val="20"/>
                <w:szCs w:val="20"/>
              </w:rPr>
            </w:pPr>
          </w:p>
        </w:tc>
        <w:tc>
          <w:tcPr>
            <w:tcW w:w="0" w:type="auto"/>
            <w:gridSpan w:val="3"/>
            <w:vAlign w:val="center"/>
            <w:hideMark/>
          </w:tcPr>
          <w:p w14:paraId="2177BBDD" w14:textId="77777777" w:rsidR="00000000" w:rsidRDefault="00405D16">
            <w:pPr>
              <w:spacing w:after="100"/>
              <w:rPr>
                <w:rFonts w:eastAsia="Times New Roman"/>
                <w:sz w:val="20"/>
                <w:szCs w:val="20"/>
              </w:rPr>
            </w:pPr>
          </w:p>
        </w:tc>
        <w:tc>
          <w:tcPr>
            <w:tcW w:w="0" w:type="auto"/>
            <w:gridSpan w:val="3"/>
            <w:vAlign w:val="center"/>
            <w:hideMark/>
          </w:tcPr>
          <w:p w14:paraId="096EDDB0" w14:textId="77777777" w:rsidR="00000000" w:rsidRDefault="00405D16">
            <w:pPr>
              <w:spacing w:after="100"/>
              <w:rPr>
                <w:rFonts w:eastAsia="Times New Roman"/>
                <w:sz w:val="20"/>
                <w:szCs w:val="20"/>
              </w:rPr>
            </w:pPr>
          </w:p>
        </w:tc>
        <w:tc>
          <w:tcPr>
            <w:tcW w:w="0" w:type="auto"/>
            <w:gridSpan w:val="3"/>
            <w:vAlign w:val="center"/>
            <w:hideMark/>
          </w:tcPr>
          <w:p w14:paraId="7D3B5897" w14:textId="77777777" w:rsidR="00000000" w:rsidRDefault="00405D16">
            <w:pPr>
              <w:spacing w:after="100"/>
              <w:rPr>
                <w:rFonts w:eastAsia="Times New Roman"/>
                <w:sz w:val="20"/>
                <w:szCs w:val="20"/>
              </w:rPr>
            </w:pPr>
          </w:p>
        </w:tc>
        <w:tc>
          <w:tcPr>
            <w:tcW w:w="0" w:type="auto"/>
            <w:gridSpan w:val="3"/>
            <w:vAlign w:val="center"/>
            <w:hideMark/>
          </w:tcPr>
          <w:p w14:paraId="68C286C6" w14:textId="77777777" w:rsidR="00000000" w:rsidRDefault="00405D16">
            <w:pPr>
              <w:spacing w:after="100"/>
              <w:rPr>
                <w:rFonts w:eastAsia="Times New Roman"/>
                <w:sz w:val="20"/>
                <w:szCs w:val="20"/>
              </w:rPr>
            </w:pPr>
          </w:p>
        </w:tc>
        <w:tc>
          <w:tcPr>
            <w:tcW w:w="0" w:type="auto"/>
            <w:gridSpan w:val="3"/>
            <w:vAlign w:val="center"/>
            <w:hideMark/>
          </w:tcPr>
          <w:p w14:paraId="09B945C1" w14:textId="77777777" w:rsidR="00000000" w:rsidRDefault="00405D16">
            <w:pPr>
              <w:spacing w:after="100"/>
              <w:rPr>
                <w:rFonts w:eastAsia="Times New Roman"/>
                <w:sz w:val="20"/>
                <w:szCs w:val="20"/>
              </w:rPr>
            </w:pPr>
          </w:p>
        </w:tc>
        <w:tc>
          <w:tcPr>
            <w:tcW w:w="0" w:type="auto"/>
            <w:gridSpan w:val="3"/>
            <w:vAlign w:val="center"/>
            <w:hideMark/>
          </w:tcPr>
          <w:p w14:paraId="23B5BF34" w14:textId="77777777" w:rsidR="00000000" w:rsidRDefault="00405D16">
            <w:pPr>
              <w:spacing w:after="100"/>
              <w:rPr>
                <w:rFonts w:eastAsia="Times New Roman"/>
                <w:sz w:val="20"/>
                <w:szCs w:val="20"/>
              </w:rPr>
            </w:pPr>
          </w:p>
        </w:tc>
        <w:tc>
          <w:tcPr>
            <w:tcW w:w="0" w:type="auto"/>
            <w:gridSpan w:val="3"/>
            <w:vAlign w:val="center"/>
            <w:hideMark/>
          </w:tcPr>
          <w:p w14:paraId="0E74E950" w14:textId="77777777" w:rsidR="00000000" w:rsidRDefault="00405D16">
            <w:pPr>
              <w:spacing w:after="100"/>
              <w:rPr>
                <w:rFonts w:eastAsia="Times New Roman"/>
                <w:sz w:val="20"/>
                <w:szCs w:val="20"/>
              </w:rPr>
            </w:pPr>
          </w:p>
        </w:tc>
        <w:tc>
          <w:tcPr>
            <w:tcW w:w="0" w:type="auto"/>
            <w:gridSpan w:val="3"/>
            <w:vAlign w:val="center"/>
            <w:hideMark/>
          </w:tcPr>
          <w:p w14:paraId="3627571D" w14:textId="77777777" w:rsidR="00000000" w:rsidRDefault="00405D16">
            <w:pPr>
              <w:spacing w:after="100"/>
              <w:rPr>
                <w:rFonts w:eastAsia="Times New Roman"/>
                <w:sz w:val="20"/>
                <w:szCs w:val="20"/>
              </w:rPr>
            </w:pPr>
          </w:p>
        </w:tc>
        <w:tc>
          <w:tcPr>
            <w:tcW w:w="0" w:type="auto"/>
            <w:gridSpan w:val="3"/>
            <w:vAlign w:val="center"/>
            <w:hideMark/>
          </w:tcPr>
          <w:p w14:paraId="1E45BE17" w14:textId="77777777" w:rsidR="00000000" w:rsidRDefault="00405D16">
            <w:pPr>
              <w:spacing w:after="100"/>
              <w:rPr>
                <w:rFonts w:eastAsia="Times New Roman"/>
                <w:sz w:val="20"/>
                <w:szCs w:val="20"/>
              </w:rPr>
            </w:pPr>
          </w:p>
        </w:tc>
        <w:tc>
          <w:tcPr>
            <w:tcW w:w="0" w:type="auto"/>
            <w:gridSpan w:val="3"/>
            <w:vAlign w:val="center"/>
            <w:hideMark/>
          </w:tcPr>
          <w:p w14:paraId="749A47ED" w14:textId="77777777" w:rsidR="00000000" w:rsidRDefault="00405D16">
            <w:pPr>
              <w:spacing w:after="100"/>
              <w:rPr>
                <w:rFonts w:eastAsia="Times New Roman"/>
                <w:sz w:val="20"/>
                <w:szCs w:val="20"/>
              </w:rPr>
            </w:pPr>
          </w:p>
        </w:tc>
      </w:tr>
      <w:tr w:rsidR="00000000" w14:paraId="2DDC7827" w14:textId="77777777">
        <w:tc>
          <w:tcPr>
            <w:tcW w:w="0" w:type="auto"/>
            <w:gridSpan w:val="3"/>
            <w:vAlign w:val="center"/>
            <w:hideMark/>
          </w:tcPr>
          <w:p w14:paraId="1B4D5530" w14:textId="77777777" w:rsidR="00000000" w:rsidRDefault="00405D16">
            <w:pPr>
              <w:spacing w:after="100"/>
              <w:rPr>
                <w:rFonts w:eastAsia="Times New Roman"/>
                <w:sz w:val="20"/>
                <w:szCs w:val="20"/>
              </w:rPr>
            </w:pPr>
          </w:p>
        </w:tc>
        <w:tc>
          <w:tcPr>
            <w:tcW w:w="0" w:type="auto"/>
            <w:gridSpan w:val="3"/>
            <w:vAlign w:val="center"/>
            <w:hideMark/>
          </w:tcPr>
          <w:p w14:paraId="00C9DAAC" w14:textId="77777777" w:rsidR="00000000" w:rsidRDefault="00405D16">
            <w:pPr>
              <w:spacing w:after="100"/>
              <w:rPr>
                <w:rFonts w:eastAsia="Times New Roman"/>
                <w:sz w:val="20"/>
                <w:szCs w:val="20"/>
              </w:rPr>
            </w:pPr>
          </w:p>
        </w:tc>
        <w:tc>
          <w:tcPr>
            <w:tcW w:w="0" w:type="auto"/>
            <w:gridSpan w:val="3"/>
            <w:vAlign w:val="center"/>
            <w:hideMark/>
          </w:tcPr>
          <w:p w14:paraId="5AD6AFDB" w14:textId="77777777" w:rsidR="00000000" w:rsidRDefault="00405D16">
            <w:pPr>
              <w:spacing w:after="100"/>
              <w:rPr>
                <w:rFonts w:eastAsia="Times New Roman"/>
                <w:sz w:val="20"/>
                <w:szCs w:val="20"/>
              </w:rPr>
            </w:pPr>
          </w:p>
        </w:tc>
        <w:tc>
          <w:tcPr>
            <w:tcW w:w="0" w:type="auto"/>
            <w:gridSpan w:val="3"/>
            <w:vAlign w:val="center"/>
            <w:hideMark/>
          </w:tcPr>
          <w:p w14:paraId="79254750" w14:textId="77777777" w:rsidR="00000000" w:rsidRDefault="00405D16">
            <w:pPr>
              <w:spacing w:after="100"/>
              <w:rPr>
                <w:rFonts w:eastAsia="Times New Roman"/>
                <w:sz w:val="20"/>
                <w:szCs w:val="20"/>
              </w:rPr>
            </w:pPr>
          </w:p>
        </w:tc>
        <w:tc>
          <w:tcPr>
            <w:tcW w:w="0" w:type="auto"/>
            <w:gridSpan w:val="3"/>
            <w:vAlign w:val="center"/>
            <w:hideMark/>
          </w:tcPr>
          <w:p w14:paraId="262DBCCD" w14:textId="77777777" w:rsidR="00000000" w:rsidRDefault="00405D16">
            <w:pPr>
              <w:spacing w:after="100"/>
              <w:rPr>
                <w:rFonts w:eastAsia="Times New Roman"/>
                <w:sz w:val="20"/>
                <w:szCs w:val="20"/>
              </w:rPr>
            </w:pPr>
          </w:p>
        </w:tc>
        <w:tc>
          <w:tcPr>
            <w:tcW w:w="0" w:type="auto"/>
            <w:gridSpan w:val="3"/>
            <w:vAlign w:val="center"/>
            <w:hideMark/>
          </w:tcPr>
          <w:p w14:paraId="43B0DE50" w14:textId="77777777" w:rsidR="00000000" w:rsidRDefault="00405D16">
            <w:pPr>
              <w:spacing w:after="100"/>
              <w:rPr>
                <w:rFonts w:eastAsia="Times New Roman"/>
                <w:sz w:val="20"/>
                <w:szCs w:val="20"/>
              </w:rPr>
            </w:pPr>
          </w:p>
        </w:tc>
        <w:tc>
          <w:tcPr>
            <w:tcW w:w="0" w:type="auto"/>
            <w:gridSpan w:val="3"/>
            <w:vAlign w:val="center"/>
            <w:hideMark/>
          </w:tcPr>
          <w:p w14:paraId="734D74BB" w14:textId="77777777" w:rsidR="00000000" w:rsidRDefault="00405D16">
            <w:pPr>
              <w:spacing w:after="100"/>
              <w:rPr>
                <w:rFonts w:eastAsia="Times New Roman"/>
                <w:sz w:val="20"/>
                <w:szCs w:val="20"/>
              </w:rPr>
            </w:pPr>
          </w:p>
        </w:tc>
        <w:tc>
          <w:tcPr>
            <w:tcW w:w="0" w:type="auto"/>
            <w:gridSpan w:val="3"/>
            <w:vAlign w:val="center"/>
            <w:hideMark/>
          </w:tcPr>
          <w:p w14:paraId="7D8429AF" w14:textId="77777777" w:rsidR="00000000" w:rsidRDefault="00405D16">
            <w:pPr>
              <w:spacing w:after="100"/>
              <w:rPr>
                <w:rFonts w:eastAsia="Times New Roman"/>
                <w:sz w:val="20"/>
                <w:szCs w:val="20"/>
              </w:rPr>
            </w:pPr>
          </w:p>
        </w:tc>
        <w:tc>
          <w:tcPr>
            <w:tcW w:w="0" w:type="auto"/>
            <w:gridSpan w:val="3"/>
            <w:vAlign w:val="center"/>
            <w:hideMark/>
          </w:tcPr>
          <w:p w14:paraId="5240133D" w14:textId="77777777" w:rsidR="00000000" w:rsidRDefault="00405D16">
            <w:pPr>
              <w:spacing w:after="100"/>
              <w:rPr>
                <w:rFonts w:eastAsia="Times New Roman"/>
                <w:sz w:val="20"/>
                <w:szCs w:val="20"/>
              </w:rPr>
            </w:pPr>
          </w:p>
        </w:tc>
        <w:tc>
          <w:tcPr>
            <w:tcW w:w="0" w:type="auto"/>
            <w:gridSpan w:val="3"/>
            <w:vAlign w:val="center"/>
            <w:hideMark/>
          </w:tcPr>
          <w:p w14:paraId="7F2EDDF4" w14:textId="77777777" w:rsidR="00000000" w:rsidRDefault="00405D16">
            <w:pPr>
              <w:spacing w:after="100"/>
              <w:rPr>
                <w:rFonts w:eastAsia="Times New Roman"/>
                <w:sz w:val="20"/>
                <w:szCs w:val="20"/>
              </w:rPr>
            </w:pPr>
          </w:p>
        </w:tc>
        <w:tc>
          <w:tcPr>
            <w:tcW w:w="0" w:type="auto"/>
            <w:gridSpan w:val="3"/>
            <w:vAlign w:val="center"/>
            <w:hideMark/>
          </w:tcPr>
          <w:p w14:paraId="4405CED4" w14:textId="77777777" w:rsidR="00000000" w:rsidRDefault="00405D16">
            <w:pPr>
              <w:spacing w:after="100"/>
              <w:rPr>
                <w:rFonts w:eastAsia="Times New Roman"/>
                <w:sz w:val="20"/>
                <w:szCs w:val="20"/>
              </w:rPr>
            </w:pPr>
          </w:p>
        </w:tc>
      </w:tr>
      <w:tr w:rsidR="00000000" w14:paraId="060CF392" w14:textId="77777777">
        <w:tc>
          <w:tcPr>
            <w:tcW w:w="0" w:type="auto"/>
            <w:gridSpan w:val="3"/>
            <w:vAlign w:val="center"/>
            <w:hideMark/>
          </w:tcPr>
          <w:p w14:paraId="7DFA4189" w14:textId="77777777" w:rsidR="00000000" w:rsidRDefault="00405D16">
            <w:pPr>
              <w:spacing w:after="100"/>
              <w:rPr>
                <w:rFonts w:eastAsia="Times New Roman"/>
                <w:sz w:val="20"/>
                <w:szCs w:val="20"/>
              </w:rPr>
            </w:pPr>
          </w:p>
        </w:tc>
        <w:tc>
          <w:tcPr>
            <w:tcW w:w="0" w:type="auto"/>
            <w:gridSpan w:val="3"/>
            <w:vAlign w:val="center"/>
            <w:hideMark/>
          </w:tcPr>
          <w:p w14:paraId="04B12F04" w14:textId="77777777" w:rsidR="00000000" w:rsidRDefault="00405D16">
            <w:pPr>
              <w:spacing w:after="100"/>
              <w:rPr>
                <w:rFonts w:eastAsia="Times New Roman"/>
                <w:sz w:val="20"/>
                <w:szCs w:val="20"/>
              </w:rPr>
            </w:pPr>
          </w:p>
        </w:tc>
        <w:tc>
          <w:tcPr>
            <w:tcW w:w="0" w:type="auto"/>
            <w:gridSpan w:val="3"/>
            <w:vAlign w:val="center"/>
            <w:hideMark/>
          </w:tcPr>
          <w:p w14:paraId="1C6564E0" w14:textId="77777777" w:rsidR="00000000" w:rsidRDefault="00405D16">
            <w:pPr>
              <w:spacing w:after="100"/>
              <w:rPr>
                <w:rFonts w:eastAsia="Times New Roman"/>
                <w:sz w:val="20"/>
                <w:szCs w:val="20"/>
              </w:rPr>
            </w:pPr>
          </w:p>
        </w:tc>
        <w:tc>
          <w:tcPr>
            <w:tcW w:w="0" w:type="auto"/>
            <w:gridSpan w:val="3"/>
            <w:vAlign w:val="center"/>
            <w:hideMark/>
          </w:tcPr>
          <w:p w14:paraId="78DBB698" w14:textId="77777777" w:rsidR="00000000" w:rsidRDefault="00405D16">
            <w:pPr>
              <w:spacing w:after="100"/>
              <w:rPr>
                <w:rFonts w:eastAsia="Times New Roman"/>
                <w:sz w:val="20"/>
                <w:szCs w:val="20"/>
              </w:rPr>
            </w:pPr>
          </w:p>
        </w:tc>
        <w:tc>
          <w:tcPr>
            <w:tcW w:w="0" w:type="auto"/>
            <w:gridSpan w:val="3"/>
            <w:vAlign w:val="center"/>
            <w:hideMark/>
          </w:tcPr>
          <w:p w14:paraId="1FF8E187" w14:textId="77777777" w:rsidR="00000000" w:rsidRDefault="00405D16">
            <w:pPr>
              <w:spacing w:after="100"/>
              <w:rPr>
                <w:rFonts w:eastAsia="Times New Roman"/>
                <w:sz w:val="20"/>
                <w:szCs w:val="20"/>
              </w:rPr>
            </w:pPr>
          </w:p>
        </w:tc>
        <w:tc>
          <w:tcPr>
            <w:tcW w:w="0" w:type="auto"/>
            <w:gridSpan w:val="3"/>
            <w:vAlign w:val="center"/>
            <w:hideMark/>
          </w:tcPr>
          <w:p w14:paraId="29F0B8B5" w14:textId="77777777" w:rsidR="00000000" w:rsidRDefault="00405D16">
            <w:pPr>
              <w:spacing w:after="100"/>
              <w:rPr>
                <w:rFonts w:eastAsia="Times New Roman"/>
                <w:sz w:val="20"/>
                <w:szCs w:val="20"/>
              </w:rPr>
            </w:pPr>
          </w:p>
        </w:tc>
        <w:tc>
          <w:tcPr>
            <w:tcW w:w="0" w:type="auto"/>
            <w:gridSpan w:val="3"/>
            <w:vAlign w:val="center"/>
            <w:hideMark/>
          </w:tcPr>
          <w:p w14:paraId="12EAC83B" w14:textId="77777777" w:rsidR="00000000" w:rsidRDefault="00405D16">
            <w:pPr>
              <w:spacing w:after="100"/>
              <w:rPr>
                <w:rFonts w:eastAsia="Times New Roman"/>
                <w:sz w:val="20"/>
                <w:szCs w:val="20"/>
              </w:rPr>
            </w:pPr>
          </w:p>
        </w:tc>
        <w:tc>
          <w:tcPr>
            <w:tcW w:w="0" w:type="auto"/>
            <w:gridSpan w:val="3"/>
            <w:vAlign w:val="center"/>
            <w:hideMark/>
          </w:tcPr>
          <w:p w14:paraId="5410360E" w14:textId="77777777" w:rsidR="00000000" w:rsidRDefault="00405D16">
            <w:pPr>
              <w:spacing w:after="100"/>
              <w:rPr>
                <w:rFonts w:eastAsia="Times New Roman"/>
                <w:sz w:val="20"/>
                <w:szCs w:val="20"/>
              </w:rPr>
            </w:pPr>
          </w:p>
        </w:tc>
        <w:tc>
          <w:tcPr>
            <w:tcW w:w="0" w:type="auto"/>
            <w:gridSpan w:val="3"/>
            <w:vAlign w:val="center"/>
            <w:hideMark/>
          </w:tcPr>
          <w:p w14:paraId="0CF6A0E3" w14:textId="77777777" w:rsidR="00000000" w:rsidRDefault="00405D16">
            <w:pPr>
              <w:spacing w:after="100"/>
              <w:rPr>
                <w:rFonts w:eastAsia="Times New Roman"/>
                <w:sz w:val="20"/>
                <w:szCs w:val="20"/>
              </w:rPr>
            </w:pPr>
          </w:p>
        </w:tc>
        <w:tc>
          <w:tcPr>
            <w:tcW w:w="0" w:type="auto"/>
            <w:gridSpan w:val="3"/>
            <w:vAlign w:val="center"/>
            <w:hideMark/>
          </w:tcPr>
          <w:p w14:paraId="6C86EA38" w14:textId="77777777" w:rsidR="00000000" w:rsidRDefault="00405D16">
            <w:pPr>
              <w:spacing w:after="100"/>
              <w:rPr>
                <w:rFonts w:eastAsia="Times New Roman"/>
                <w:sz w:val="20"/>
                <w:szCs w:val="20"/>
              </w:rPr>
            </w:pPr>
          </w:p>
        </w:tc>
        <w:tc>
          <w:tcPr>
            <w:tcW w:w="0" w:type="auto"/>
            <w:gridSpan w:val="3"/>
            <w:vAlign w:val="center"/>
            <w:hideMark/>
          </w:tcPr>
          <w:p w14:paraId="0ED46AAC" w14:textId="77777777" w:rsidR="00000000" w:rsidRDefault="00405D16">
            <w:pPr>
              <w:spacing w:after="100"/>
              <w:rPr>
                <w:rFonts w:eastAsia="Times New Roman"/>
                <w:sz w:val="20"/>
                <w:szCs w:val="20"/>
              </w:rPr>
            </w:pPr>
          </w:p>
        </w:tc>
      </w:tr>
      <w:tr w:rsidR="00000000" w14:paraId="211E74C3" w14:textId="77777777">
        <w:tc>
          <w:tcPr>
            <w:tcW w:w="0" w:type="auto"/>
            <w:gridSpan w:val="3"/>
            <w:vAlign w:val="center"/>
            <w:hideMark/>
          </w:tcPr>
          <w:p w14:paraId="39E8EC86" w14:textId="77777777" w:rsidR="00000000" w:rsidRDefault="00405D16">
            <w:pPr>
              <w:spacing w:after="100"/>
              <w:rPr>
                <w:rFonts w:eastAsia="Times New Roman"/>
                <w:sz w:val="20"/>
                <w:szCs w:val="20"/>
              </w:rPr>
            </w:pPr>
          </w:p>
        </w:tc>
        <w:tc>
          <w:tcPr>
            <w:tcW w:w="0" w:type="auto"/>
            <w:gridSpan w:val="3"/>
            <w:vAlign w:val="center"/>
            <w:hideMark/>
          </w:tcPr>
          <w:p w14:paraId="37C6AB45" w14:textId="77777777" w:rsidR="00000000" w:rsidRDefault="00405D16">
            <w:pPr>
              <w:spacing w:after="100"/>
              <w:rPr>
                <w:rFonts w:eastAsia="Times New Roman"/>
                <w:sz w:val="20"/>
                <w:szCs w:val="20"/>
              </w:rPr>
            </w:pPr>
          </w:p>
        </w:tc>
        <w:tc>
          <w:tcPr>
            <w:tcW w:w="0" w:type="auto"/>
            <w:gridSpan w:val="3"/>
            <w:vAlign w:val="center"/>
            <w:hideMark/>
          </w:tcPr>
          <w:p w14:paraId="5BA540B2" w14:textId="77777777" w:rsidR="00000000" w:rsidRDefault="00405D16">
            <w:pPr>
              <w:spacing w:after="100"/>
              <w:rPr>
                <w:rFonts w:eastAsia="Times New Roman"/>
                <w:sz w:val="20"/>
                <w:szCs w:val="20"/>
              </w:rPr>
            </w:pPr>
          </w:p>
        </w:tc>
        <w:tc>
          <w:tcPr>
            <w:tcW w:w="0" w:type="auto"/>
            <w:gridSpan w:val="3"/>
            <w:vAlign w:val="center"/>
            <w:hideMark/>
          </w:tcPr>
          <w:p w14:paraId="6DAFC334" w14:textId="77777777" w:rsidR="00000000" w:rsidRDefault="00405D16">
            <w:pPr>
              <w:spacing w:after="100"/>
              <w:rPr>
                <w:rFonts w:eastAsia="Times New Roman"/>
                <w:sz w:val="20"/>
                <w:szCs w:val="20"/>
              </w:rPr>
            </w:pPr>
          </w:p>
        </w:tc>
        <w:tc>
          <w:tcPr>
            <w:tcW w:w="0" w:type="auto"/>
            <w:gridSpan w:val="3"/>
            <w:vAlign w:val="center"/>
            <w:hideMark/>
          </w:tcPr>
          <w:p w14:paraId="0AE09A3B" w14:textId="77777777" w:rsidR="00000000" w:rsidRDefault="00405D16">
            <w:pPr>
              <w:spacing w:after="100"/>
              <w:rPr>
                <w:rFonts w:eastAsia="Times New Roman"/>
                <w:sz w:val="20"/>
                <w:szCs w:val="20"/>
              </w:rPr>
            </w:pPr>
          </w:p>
        </w:tc>
        <w:tc>
          <w:tcPr>
            <w:tcW w:w="0" w:type="auto"/>
            <w:gridSpan w:val="3"/>
            <w:vAlign w:val="center"/>
            <w:hideMark/>
          </w:tcPr>
          <w:p w14:paraId="6589721E" w14:textId="77777777" w:rsidR="00000000" w:rsidRDefault="00405D16">
            <w:pPr>
              <w:spacing w:after="100"/>
              <w:rPr>
                <w:rFonts w:eastAsia="Times New Roman"/>
                <w:sz w:val="20"/>
                <w:szCs w:val="20"/>
              </w:rPr>
            </w:pPr>
          </w:p>
        </w:tc>
        <w:tc>
          <w:tcPr>
            <w:tcW w:w="0" w:type="auto"/>
            <w:gridSpan w:val="3"/>
            <w:vAlign w:val="center"/>
            <w:hideMark/>
          </w:tcPr>
          <w:p w14:paraId="64EBDAF0" w14:textId="77777777" w:rsidR="00000000" w:rsidRDefault="00405D16">
            <w:pPr>
              <w:spacing w:after="100"/>
              <w:rPr>
                <w:rFonts w:eastAsia="Times New Roman"/>
                <w:sz w:val="20"/>
                <w:szCs w:val="20"/>
              </w:rPr>
            </w:pPr>
          </w:p>
        </w:tc>
        <w:tc>
          <w:tcPr>
            <w:tcW w:w="0" w:type="auto"/>
            <w:gridSpan w:val="3"/>
            <w:vAlign w:val="center"/>
            <w:hideMark/>
          </w:tcPr>
          <w:p w14:paraId="473B148F" w14:textId="77777777" w:rsidR="00000000" w:rsidRDefault="00405D16">
            <w:pPr>
              <w:spacing w:after="100"/>
              <w:rPr>
                <w:rFonts w:eastAsia="Times New Roman"/>
                <w:sz w:val="20"/>
                <w:szCs w:val="20"/>
              </w:rPr>
            </w:pPr>
          </w:p>
        </w:tc>
        <w:tc>
          <w:tcPr>
            <w:tcW w:w="0" w:type="auto"/>
            <w:gridSpan w:val="3"/>
            <w:vAlign w:val="center"/>
            <w:hideMark/>
          </w:tcPr>
          <w:p w14:paraId="409096F4" w14:textId="77777777" w:rsidR="00000000" w:rsidRDefault="00405D16">
            <w:pPr>
              <w:spacing w:after="100"/>
              <w:rPr>
                <w:rFonts w:eastAsia="Times New Roman"/>
                <w:sz w:val="20"/>
                <w:szCs w:val="20"/>
              </w:rPr>
            </w:pPr>
          </w:p>
        </w:tc>
        <w:tc>
          <w:tcPr>
            <w:tcW w:w="0" w:type="auto"/>
            <w:gridSpan w:val="3"/>
            <w:vAlign w:val="center"/>
            <w:hideMark/>
          </w:tcPr>
          <w:p w14:paraId="05FBE2CA" w14:textId="77777777" w:rsidR="00000000" w:rsidRDefault="00405D16">
            <w:pPr>
              <w:spacing w:after="100"/>
              <w:rPr>
                <w:rFonts w:eastAsia="Times New Roman"/>
                <w:sz w:val="20"/>
                <w:szCs w:val="20"/>
              </w:rPr>
            </w:pPr>
          </w:p>
        </w:tc>
        <w:tc>
          <w:tcPr>
            <w:tcW w:w="0" w:type="auto"/>
            <w:gridSpan w:val="3"/>
            <w:vAlign w:val="center"/>
            <w:hideMark/>
          </w:tcPr>
          <w:p w14:paraId="2B381230" w14:textId="77777777" w:rsidR="00000000" w:rsidRDefault="00405D16">
            <w:pPr>
              <w:spacing w:after="100"/>
              <w:rPr>
                <w:rFonts w:eastAsia="Times New Roman"/>
                <w:sz w:val="20"/>
                <w:szCs w:val="20"/>
              </w:rPr>
            </w:pPr>
          </w:p>
        </w:tc>
      </w:tr>
      <w:tr w:rsidR="00000000" w14:paraId="749213C2" w14:textId="77777777">
        <w:tc>
          <w:tcPr>
            <w:tcW w:w="0" w:type="auto"/>
            <w:gridSpan w:val="3"/>
            <w:vAlign w:val="center"/>
            <w:hideMark/>
          </w:tcPr>
          <w:p w14:paraId="28720E98" w14:textId="77777777" w:rsidR="00000000" w:rsidRDefault="00405D16">
            <w:pPr>
              <w:spacing w:after="100"/>
              <w:rPr>
                <w:rFonts w:eastAsia="Times New Roman"/>
                <w:sz w:val="20"/>
                <w:szCs w:val="20"/>
              </w:rPr>
            </w:pPr>
          </w:p>
        </w:tc>
        <w:tc>
          <w:tcPr>
            <w:tcW w:w="0" w:type="auto"/>
            <w:gridSpan w:val="3"/>
            <w:vAlign w:val="center"/>
            <w:hideMark/>
          </w:tcPr>
          <w:p w14:paraId="3AA6A813" w14:textId="77777777" w:rsidR="00000000" w:rsidRDefault="00405D16">
            <w:pPr>
              <w:spacing w:after="100"/>
              <w:rPr>
                <w:rFonts w:eastAsia="Times New Roman"/>
                <w:sz w:val="20"/>
                <w:szCs w:val="20"/>
              </w:rPr>
            </w:pPr>
          </w:p>
        </w:tc>
        <w:tc>
          <w:tcPr>
            <w:tcW w:w="0" w:type="auto"/>
            <w:gridSpan w:val="3"/>
            <w:vAlign w:val="center"/>
            <w:hideMark/>
          </w:tcPr>
          <w:p w14:paraId="268AA5FD" w14:textId="77777777" w:rsidR="00000000" w:rsidRDefault="00405D16">
            <w:pPr>
              <w:spacing w:after="100"/>
              <w:rPr>
                <w:rFonts w:eastAsia="Times New Roman"/>
                <w:sz w:val="20"/>
                <w:szCs w:val="20"/>
              </w:rPr>
            </w:pPr>
          </w:p>
        </w:tc>
        <w:tc>
          <w:tcPr>
            <w:tcW w:w="0" w:type="auto"/>
            <w:gridSpan w:val="3"/>
            <w:vAlign w:val="center"/>
            <w:hideMark/>
          </w:tcPr>
          <w:p w14:paraId="300EA085" w14:textId="77777777" w:rsidR="00000000" w:rsidRDefault="00405D16">
            <w:pPr>
              <w:spacing w:after="100"/>
              <w:rPr>
                <w:rFonts w:eastAsia="Times New Roman"/>
                <w:sz w:val="20"/>
                <w:szCs w:val="20"/>
              </w:rPr>
            </w:pPr>
          </w:p>
        </w:tc>
        <w:tc>
          <w:tcPr>
            <w:tcW w:w="0" w:type="auto"/>
            <w:gridSpan w:val="3"/>
            <w:vAlign w:val="center"/>
            <w:hideMark/>
          </w:tcPr>
          <w:p w14:paraId="3C30DE57" w14:textId="77777777" w:rsidR="00000000" w:rsidRDefault="00405D16">
            <w:pPr>
              <w:spacing w:after="100"/>
              <w:rPr>
                <w:rFonts w:eastAsia="Times New Roman"/>
                <w:sz w:val="20"/>
                <w:szCs w:val="20"/>
              </w:rPr>
            </w:pPr>
          </w:p>
        </w:tc>
        <w:tc>
          <w:tcPr>
            <w:tcW w:w="0" w:type="auto"/>
            <w:gridSpan w:val="3"/>
            <w:vAlign w:val="center"/>
            <w:hideMark/>
          </w:tcPr>
          <w:p w14:paraId="39CE8925" w14:textId="77777777" w:rsidR="00000000" w:rsidRDefault="00405D16">
            <w:pPr>
              <w:spacing w:after="100"/>
              <w:rPr>
                <w:rFonts w:eastAsia="Times New Roman"/>
                <w:sz w:val="20"/>
                <w:szCs w:val="20"/>
              </w:rPr>
            </w:pPr>
          </w:p>
        </w:tc>
        <w:tc>
          <w:tcPr>
            <w:tcW w:w="0" w:type="auto"/>
            <w:gridSpan w:val="3"/>
            <w:vAlign w:val="center"/>
            <w:hideMark/>
          </w:tcPr>
          <w:p w14:paraId="43702C9A" w14:textId="77777777" w:rsidR="00000000" w:rsidRDefault="00405D16">
            <w:pPr>
              <w:spacing w:after="100"/>
              <w:rPr>
                <w:rFonts w:eastAsia="Times New Roman"/>
                <w:sz w:val="20"/>
                <w:szCs w:val="20"/>
              </w:rPr>
            </w:pPr>
          </w:p>
        </w:tc>
        <w:tc>
          <w:tcPr>
            <w:tcW w:w="0" w:type="auto"/>
            <w:gridSpan w:val="3"/>
            <w:vAlign w:val="center"/>
            <w:hideMark/>
          </w:tcPr>
          <w:p w14:paraId="416BF9D2" w14:textId="77777777" w:rsidR="00000000" w:rsidRDefault="00405D16">
            <w:pPr>
              <w:spacing w:after="100"/>
              <w:rPr>
                <w:rFonts w:eastAsia="Times New Roman"/>
                <w:sz w:val="20"/>
                <w:szCs w:val="20"/>
              </w:rPr>
            </w:pPr>
          </w:p>
        </w:tc>
        <w:tc>
          <w:tcPr>
            <w:tcW w:w="0" w:type="auto"/>
            <w:gridSpan w:val="3"/>
            <w:vAlign w:val="center"/>
            <w:hideMark/>
          </w:tcPr>
          <w:p w14:paraId="665BBA03" w14:textId="77777777" w:rsidR="00000000" w:rsidRDefault="00405D16">
            <w:pPr>
              <w:spacing w:after="100"/>
              <w:rPr>
                <w:rFonts w:eastAsia="Times New Roman"/>
                <w:sz w:val="20"/>
                <w:szCs w:val="20"/>
              </w:rPr>
            </w:pPr>
          </w:p>
        </w:tc>
        <w:tc>
          <w:tcPr>
            <w:tcW w:w="0" w:type="auto"/>
            <w:gridSpan w:val="3"/>
            <w:vAlign w:val="center"/>
            <w:hideMark/>
          </w:tcPr>
          <w:p w14:paraId="67FC054A" w14:textId="77777777" w:rsidR="00000000" w:rsidRDefault="00405D16">
            <w:pPr>
              <w:spacing w:after="100"/>
              <w:rPr>
                <w:rFonts w:eastAsia="Times New Roman"/>
                <w:sz w:val="20"/>
                <w:szCs w:val="20"/>
              </w:rPr>
            </w:pPr>
          </w:p>
        </w:tc>
        <w:tc>
          <w:tcPr>
            <w:tcW w:w="0" w:type="auto"/>
            <w:gridSpan w:val="3"/>
            <w:vAlign w:val="center"/>
            <w:hideMark/>
          </w:tcPr>
          <w:p w14:paraId="4A63DFEB" w14:textId="77777777" w:rsidR="00000000" w:rsidRDefault="00405D16">
            <w:pPr>
              <w:spacing w:after="100"/>
              <w:rPr>
                <w:rFonts w:eastAsia="Times New Roman"/>
                <w:sz w:val="20"/>
                <w:szCs w:val="20"/>
              </w:rPr>
            </w:pPr>
          </w:p>
        </w:tc>
      </w:tr>
      <w:tr w:rsidR="00000000" w14:paraId="5DAFB16A" w14:textId="77777777">
        <w:tc>
          <w:tcPr>
            <w:tcW w:w="0" w:type="auto"/>
            <w:gridSpan w:val="3"/>
            <w:vAlign w:val="center"/>
            <w:hideMark/>
          </w:tcPr>
          <w:p w14:paraId="230CEE11" w14:textId="77777777" w:rsidR="00000000" w:rsidRDefault="00405D16">
            <w:pPr>
              <w:spacing w:after="100"/>
              <w:rPr>
                <w:rFonts w:eastAsia="Times New Roman"/>
                <w:sz w:val="20"/>
                <w:szCs w:val="20"/>
              </w:rPr>
            </w:pPr>
          </w:p>
        </w:tc>
        <w:tc>
          <w:tcPr>
            <w:tcW w:w="0" w:type="auto"/>
            <w:gridSpan w:val="3"/>
            <w:vAlign w:val="center"/>
            <w:hideMark/>
          </w:tcPr>
          <w:p w14:paraId="4215CDEE" w14:textId="77777777" w:rsidR="00000000" w:rsidRDefault="00405D16">
            <w:pPr>
              <w:spacing w:after="100"/>
              <w:rPr>
                <w:rFonts w:eastAsia="Times New Roman"/>
                <w:sz w:val="20"/>
                <w:szCs w:val="20"/>
              </w:rPr>
            </w:pPr>
          </w:p>
        </w:tc>
        <w:tc>
          <w:tcPr>
            <w:tcW w:w="0" w:type="auto"/>
            <w:gridSpan w:val="3"/>
            <w:vAlign w:val="center"/>
            <w:hideMark/>
          </w:tcPr>
          <w:p w14:paraId="5989EF70" w14:textId="77777777" w:rsidR="00000000" w:rsidRDefault="00405D16">
            <w:pPr>
              <w:spacing w:after="100"/>
              <w:rPr>
                <w:rFonts w:eastAsia="Times New Roman"/>
                <w:sz w:val="20"/>
                <w:szCs w:val="20"/>
              </w:rPr>
            </w:pPr>
          </w:p>
        </w:tc>
        <w:tc>
          <w:tcPr>
            <w:tcW w:w="0" w:type="auto"/>
            <w:gridSpan w:val="3"/>
            <w:vAlign w:val="center"/>
            <w:hideMark/>
          </w:tcPr>
          <w:p w14:paraId="1BB37C93" w14:textId="77777777" w:rsidR="00000000" w:rsidRDefault="00405D16">
            <w:pPr>
              <w:spacing w:after="100"/>
              <w:rPr>
                <w:rFonts w:eastAsia="Times New Roman"/>
                <w:sz w:val="20"/>
                <w:szCs w:val="20"/>
              </w:rPr>
            </w:pPr>
          </w:p>
        </w:tc>
        <w:tc>
          <w:tcPr>
            <w:tcW w:w="0" w:type="auto"/>
            <w:gridSpan w:val="3"/>
            <w:vAlign w:val="center"/>
            <w:hideMark/>
          </w:tcPr>
          <w:p w14:paraId="4FBEC18F" w14:textId="77777777" w:rsidR="00000000" w:rsidRDefault="00405D16">
            <w:pPr>
              <w:spacing w:after="100"/>
              <w:rPr>
                <w:rFonts w:eastAsia="Times New Roman"/>
                <w:sz w:val="20"/>
                <w:szCs w:val="20"/>
              </w:rPr>
            </w:pPr>
          </w:p>
        </w:tc>
        <w:tc>
          <w:tcPr>
            <w:tcW w:w="0" w:type="auto"/>
            <w:gridSpan w:val="3"/>
            <w:vAlign w:val="center"/>
            <w:hideMark/>
          </w:tcPr>
          <w:p w14:paraId="64146097" w14:textId="77777777" w:rsidR="00000000" w:rsidRDefault="00405D16">
            <w:pPr>
              <w:spacing w:after="100"/>
              <w:rPr>
                <w:rFonts w:eastAsia="Times New Roman"/>
                <w:sz w:val="20"/>
                <w:szCs w:val="20"/>
              </w:rPr>
            </w:pPr>
          </w:p>
        </w:tc>
        <w:tc>
          <w:tcPr>
            <w:tcW w:w="0" w:type="auto"/>
            <w:gridSpan w:val="3"/>
            <w:vAlign w:val="center"/>
            <w:hideMark/>
          </w:tcPr>
          <w:p w14:paraId="7CCA724B" w14:textId="77777777" w:rsidR="00000000" w:rsidRDefault="00405D16">
            <w:pPr>
              <w:spacing w:after="100"/>
              <w:rPr>
                <w:rFonts w:eastAsia="Times New Roman"/>
                <w:sz w:val="20"/>
                <w:szCs w:val="20"/>
              </w:rPr>
            </w:pPr>
          </w:p>
        </w:tc>
        <w:tc>
          <w:tcPr>
            <w:tcW w:w="0" w:type="auto"/>
            <w:gridSpan w:val="3"/>
            <w:vAlign w:val="center"/>
            <w:hideMark/>
          </w:tcPr>
          <w:p w14:paraId="7D8FA798" w14:textId="77777777" w:rsidR="00000000" w:rsidRDefault="00405D16">
            <w:pPr>
              <w:spacing w:after="100"/>
              <w:rPr>
                <w:rFonts w:eastAsia="Times New Roman"/>
                <w:sz w:val="20"/>
                <w:szCs w:val="20"/>
              </w:rPr>
            </w:pPr>
          </w:p>
        </w:tc>
        <w:tc>
          <w:tcPr>
            <w:tcW w:w="0" w:type="auto"/>
            <w:gridSpan w:val="3"/>
            <w:vAlign w:val="center"/>
            <w:hideMark/>
          </w:tcPr>
          <w:p w14:paraId="0B1D7845" w14:textId="77777777" w:rsidR="00000000" w:rsidRDefault="00405D16">
            <w:pPr>
              <w:spacing w:after="100"/>
              <w:rPr>
                <w:rFonts w:eastAsia="Times New Roman"/>
                <w:sz w:val="20"/>
                <w:szCs w:val="20"/>
              </w:rPr>
            </w:pPr>
          </w:p>
        </w:tc>
        <w:tc>
          <w:tcPr>
            <w:tcW w:w="0" w:type="auto"/>
            <w:gridSpan w:val="3"/>
            <w:vAlign w:val="center"/>
            <w:hideMark/>
          </w:tcPr>
          <w:p w14:paraId="049BA0E6" w14:textId="77777777" w:rsidR="00000000" w:rsidRDefault="00405D16">
            <w:pPr>
              <w:spacing w:after="100"/>
              <w:rPr>
                <w:rFonts w:eastAsia="Times New Roman"/>
                <w:sz w:val="20"/>
                <w:szCs w:val="20"/>
              </w:rPr>
            </w:pPr>
          </w:p>
        </w:tc>
        <w:tc>
          <w:tcPr>
            <w:tcW w:w="0" w:type="auto"/>
            <w:gridSpan w:val="3"/>
            <w:vAlign w:val="center"/>
            <w:hideMark/>
          </w:tcPr>
          <w:p w14:paraId="61784303" w14:textId="77777777" w:rsidR="00000000" w:rsidRDefault="00405D16">
            <w:pPr>
              <w:spacing w:after="100"/>
              <w:rPr>
                <w:rFonts w:eastAsia="Times New Roman"/>
                <w:sz w:val="20"/>
                <w:szCs w:val="20"/>
              </w:rPr>
            </w:pPr>
          </w:p>
        </w:tc>
      </w:tr>
      <w:tr w:rsidR="00000000" w14:paraId="1E4701AD" w14:textId="77777777">
        <w:tc>
          <w:tcPr>
            <w:tcW w:w="0" w:type="auto"/>
            <w:gridSpan w:val="3"/>
            <w:vAlign w:val="center"/>
            <w:hideMark/>
          </w:tcPr>
          <w:p w14:paraId="38361BDB" w14:textId="77777777" w:rsidR="00000000" w:rsidRDefault="00405D16">
            <w:pPr>
              <w:spacing w:after="100"/>
              <w:rPr>
                <w:rFonts w:eastAsia="Times New Roman"/>
                <w:sz w:val="20"/>
                <w:szCs w:val="20"/>
              </w:rPr>
            </w:pPr>
          </w:p>
        </w:tc>
        <w:tc>
          <w:tcPr>
            <w:tcW w:w="0" w:type="auto"/>
            <w:gridSpan w:val="3"/>
            <w:vAlign w:val="center"/>
            <w:hideMark/>
          </w:tcPr>
          <w:p w14:paraId="0ED76D10" w14:textId="77777777" w:rsidR="00000000" w:rsidRDefault="00405D16">
            <w:pPr>
              <w:spacing w:after="100"/>
              <w:rPr>
                <w:rFonts w:eastAsia="Times New Roman"/>
                <w:sz w:val="20"/>
                <w:szCs w:val="20"/>
              </w:rPr>
            </w:pPr>
          </w:p>
        </w:tc>
        <w:tc>
          <w:tcPr>
            <w:tcW w:w="0" w:type="auto"/>
            <w:gridSpan w:val="3"/>
            <w:vAlign w:val="center"/>
            <w:hideMark/>
          </w:tcPr>
          <w:p w14:paraId="797FC3BE" w14:textId="77777777" w:rsidR="00000000" w:rsidRDefault="00405D16">
            <w:pPr>
              <w:spacing w:after="100"/>
              <w:rPr>
                <w:rFonts w:eastAsia="Times New Roman"/>
                <w:sz w:val="20"/>
                <w:szCs w:val="20"/>
              </w:rPr>
            </w:pPr>
          </w:p>
        </w:tc>
        <w:tc>
          <w:tcPr>
            <w:tcW w:w="0" w:type="auto"/>
            <w:gridSpan w:val="3"/>
            <w:vAlign w:val="center"/>
            <w:hideMark/>
          </w:tcPr>
          <w:p w14:paraId="3585546C" w14:textId="77777777" w:rsidR="00000000" w:rsidRDefault="00405D16">
            <w:pPr>
              <w:spacing w:after="100"/>
              <w:rPr>
                <w:rFonts w:eastAsia="Times New Roman"/>
                <w:sz w:val="20"/>
                <w:szCs w:val="20"/>
              </w:rPr>
            </w:pPr>
          </w:p>
        </w:tc>
        <w:tc>
          <w:tcPr>
            <w:tcW w:w="0" w:type="auto"/>
            <w:gridSpan w:val="3"/>
            <w:vAlign w:val="center"/>
            <w:hideMark/>
          </w:tcPr>
          <w:p w14:paraId="57048B93" w14:textId="77777777" w:rsidR="00000000" w:rsidRDefault="00405D16">
            <w:pPr>
              <w:spacing w:after="100"/>
              <w:rPr>
                <w:rFonts w:eastAsia="Times New Roman"/>
                <w:sz w:val="20"/>
                <w:szCs w:val="20"/>
              </w:rPr>
            </w:pPr>
          </w:p>
        </w:tc>
        <w:tc>
          <w:tcPr>
            <w:tcW w:w="0" w:type="auto"/>
            <w:gridSpan w:val="3"/>
            <w:vAlign w:val="center"/>
            <w:hideMark/>
          </w:tcPr>
          <w:p w14:paraId="646B6629" w14:textId="77777777" w:rsidR="00000000" w:rsidRDefault="00405D16">
            <w:pPr>
              <w:spacing w:after="100"/>
              <w:rPr>
                <w:rFonts w:eastAsia="Times New Roman"/>
                <w:sz w:val="20"/>
                <w:szCs w:val="20"/>
              </w:rPr>
            </w:pPr>
          </w:p>
        </w:tc>
        <w:tc>
          <w:tcPr>
            <w:tcW w:w="0" w:type="auto"/>
            <w:gridSpan w:val="3"/>
            <w:vAlign w:val="center"/>
            <w:hideMark/>
          </w:tcPr>
          <w:p w14:paraId="073B11FB" w14:textId="77777777" w:rsidR="00000000" w:rsidRDefault="00405D16">
            <w:pPr>
              <w:spacing w:after="100"/>
              <w:rPr>
                <w:rFonts w:eastAsia="Times New Roman"/>
                <w:sz w:val="20"/>
                <w:szCs w:val="20"/>
              </w:rPr>
            </w:pPr>
          </w:p>
        </w:tc>
        <w:tc>
          <w:tcPr>
            <w:tcW w:w="0" w:type="auto"/>
            <w:gridSpan w:val="3"/>
            <w:vAlign w:val="center"/>
            <w:hideMark/>
          </w:tcPr>
          <w:p w14:paraId="002D90EC" w14:textId="77777777" w:rsidR="00000000" w:rsidRDefault="00405D16">
            <w:pPr>
              <w:spacing w:after="100"/>
              <w:rPr>
                <w:rFonts w:eastAsia="Times New Roman"/>
                <w:sz w:val="20"/>
                <w:szCs w:val="20"/>
              </w:rPr>
            </w:pPr>
          </w:p>
        </w:tc>
        <w:tc>
          <w:tcPr>
            <w:tcW w:w="0" w:type="auto"/>
            <w:gridSpan w:val="3"/>
            <w:vAlign w:val="center"/>
            <w:hideMark/>
          </w:tcPr>
          <w:p w14:paraId="6F1D4CD4" w14:textId="77777777" w:rsidR="00000000" w:rsidRDefault="00405D16">
            <w:pPr>
              <w:spacing w:after="100"/>
              <w:rPr>
                <w:rFonts w:eastAsia="Times New Roman"/>
                <w:sz w:val="20"/>
                <w:szCs w:val="20"/>
              </w:rPr>
            </w:pPr>
          </w:p>
        </w:tc>
        <w:tc>
          <w:tcPr>
            <w:tcW w:w="0" w:type="auto"/>
            <w:gridSpan w:val="3"/>
            <w:vAlign w:val="center"/>
            <w:hideMark/>
          </w:tcPr>
          <w:p w14:paraId="52194977" w14:textId="77777777" w:rsidR="00000000" w:rsidRDefault="00405D16">
            <w:pPr>
              <w:spacing w:after="100"/>
              <w:rPr>
                <w:rFonts w:eastAsia="Times New Roman"/>
                <w:sz w:val="20"/>
                <w:szCs w:val="20"/>
              </w:rPr>
            </w:pPr>
          </w:p>
        </w:tc>
        <w:tc>
          <w:tcPr>
            <w:tcW w:w="0" w:type="auto"/>
            <w:gridSpan w:val="3"/>
            <w:vAlign w:val="center"/>
            <w:hideMark/>
          </w:tcPr>
          <w:p w14:paraId="2F244A66" w14:textId="77777777" w:rsidR="00000000" w:rsidRDefault="00405D16">
            <w:pPr>
              <w:spacing w:after="100"/>
              <w:rPr>
                <w:rFonts w:eastAsia="Times New Roman"/>
                <w:sz w:val="20"/>
                <w:szCs w:val="20"/>
              </w:rPr>
            </w:pPr>
          </w:p>
        </w:tc>
      </w:tr>
      <w:tr w:rsidR="00000000" w14:paraId="5AA1CEDD" w14:textId="7777777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517FC6D" w14:textId="77777777" w:rsidR="00000000" w:rsidRDefault="00405D16">
            <w:pPr>
              <w:spacing w:after="100"/>
              <w:rPr>
                <w:rFonts w:eastAsia="Times New Roman"/>
              </w:rPr>
            </w:pPr>
            <w:r>
              <w:rPr>
                <w:rFonts w:eastAsia="Times New Roman"/>
                <w:color w:val="000000"/>
                <w:sz w:val="18"/>
                <w:szCs w:val="18"/>
              </w:rPr>
              <w:t>AOCI as of December 31, 2020</w:t>
            </w:r>
          </w:p>
        </w:tc>
        <w:tc>
          <w:tcPr>
            <w:tcW w:w="0" w:type="auto"/>
            <w:gridSpan w:val="3"/>
            <w:shd w:val="clear" w:color="auto" w:fill="CCEEFF"/>
            <w:tcMar>
              <w:top w:w="0" w:type="dxa"/>
              <w:left w:w="20" w:type="dxa"/>
              <w:bottom w:w="0" w:type="dxa"/>
              <w:right w:w="20" w:type="dxa"/>
            </w:tcMar>
            <w:vAlign w:val="center"/>
            <w:hideMark/>
          </w:tcPr>
          <w:p w14:paraId="243BAC61"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050C35B"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56343C9" w14:textId="77777777" w:rsidR="00000000" w:rsidRDefault="00405D16">
            <w:pPr>
              <w:spacing w:after="100"/>
              <w:jc w:val="right"/>
              <w:rPr>
                <w:rFonts w:eastAsia="Times New Roman"/>
              </w:rPr>
            </w:pPr>
            <w:r>
              <w:rPr>
                <w:rFonts w:eastAsia="Times New Roman"/>
                <w:color w:val="000000"/>
                <w:sz w:val="18"/>
                <w:szCs w:val="18"/>
              </w:rPr>
              <w:t>2,186 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C2C6C0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394BF8"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424337F"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BD87723" w14:textId="77777777" w:rsidR="00000000" w:rsidRDefault="00405D16">
            <w:pPr>
              <w:spacing w:after="100"/>
              <w:jc w:val="right"/>
              <w:rPr>
                <w:rFonts w:eastAsia="Times New Roman"/>
              </w:rPr>
            </w:pPr>
            <w:r>
              <w:rPr>
                <w:rFonts w:eastAsia="Times New Roman"/>
                <w:color w:val="000000"/>
                <w:sz w:val="18"/>
                <w:szCs w:val="18"/>
              </w:rPr>
              <w:t>1,362 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A5F580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C1B880"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0CFCEF5"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F435947" w14:textId="77777777" w:rsidR="00000000" w:rsidRDefault="00405D16">
            <w:pPr>
              <w:spacing w:after="100"/>
              <w:jc w:val="right"/>
              <w:rPr>
                <w:rFonts w:eastAsia="Times New Roman"/>
              </w:rPr>
            </w:pPr>
            <w:r>
              <w:rPr>
                <w:rFonts w:eastAsia="Times New Roman"/>
                <w:color w:val="000000"/>
                <w:sz w:val="18"/>
                <w:szCs w:val="18"/>
              </w:rPr>
              <w:t>(31)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5C4F58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0CE656"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9ED28FE"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A4A5125" w14:textId="77777777" w:rsidR="00000000" w:rsidRDefault="00405D16">
            <w:pPr>
              <w:spacing w:after="100"/>
              <w:jc w:val="right"/>
              <w:rPr>
                <w:rFonts w:eastAsia="Times New Roman"/>
              </w:rPr>
            </w:pPr>
            <w:r>
              <w:rPr>
                <w:rFonts w:eastAsia="Times New Roman"/>
                <w:color w:val="000000"/>
                <w:sz w:val="18"/>
                <w:szCs w:val="18"/>
              </w:rPr>
              <w:t>(23)</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017DAC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306F29"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3256F8E"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E357792" w14:textId="77777777" w:rsidR="00000000" w:rsidRDefault="00405D16">
            <w:pPr>
              <w:spacing w:after="100"/>
              <w:jc w:val="right"/>
              <w:rPr>
                <w:rFonts w:eastAsia="Times New Roman"/>
              </w:rPr>
            </w:pPr>
            <w:r>
              <w:rPr>
                <w:rFonts w:eastAsia="Times New Roman"/>
                <w:color w:val="000000"/>
                <w:sz w:val="18"/>
                <w:szCs w:val="18"/>
              </w:rPr>
              <w:t>3,494 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43905D6" w14:textId="77777777" w:rsidR="00000000" w:rsidRDefault="00405D16">
            <w:pPr>
              <w:spacing w:after="100"/>
              <w:jc w:val="right"/>
              <w:rPr>
                <w:rFonts w:eastAsia="Times New Roman"/>
              </w:rPr>
            </w:pPr>
          </w:p>
        </w:tc>
      </w:tr>
      <w:tr w:rsidR="00000000" w14:paraId="6221631A" w14:textId="77777777">
        <w:tc>
          <w:tcPr>
            <w:tcW w:w="0" w:type="auto"/>
            <w:gridSpan w:val="3"/>
            <w:shd w:val="clear" w:color="auto" w:fill="FFFFFF"/>
            <w:tcMar>
              <w:top w:w="30" w:type="dxa"/>
              <w:left w:w="20" w:type="dxa"/>
              <w:bottom w:w="30" w:type="dxa"/>
              <w:right w:w="20" w:type="dxa"/>
            </w:tcMar>
            <w:vAlign w:val="center"/>
            <w:hideMark/>
          </w:tcPr>
          <w:p w14:paraId="0C89D240" w14:textId="77777777" w:rsidR="00000000" w:rsidRDefault="00405D16">
            <w:pPr>
              <w:spacing w:after="100"/>
              <w:rPr>
                <w:rFonts w:eastAsia="Times New Roman"/>
              </w:rPr>
            </w:pPr>
            <w:r>
              <w:rPr>
                <w:rFonts w:eastAsia="Times New Roman"/>
                <w:color w:val="000000"/>
                <w:sz w:val="18"/>
                <w:szCs w:val="18"/>
              </w:rPr>
              <w:t>Other comprehensive income (loss) before reclassifications</w:t>
            </w:r>
          </w:p>
        </w:tc>
        <w:tc>
          <w:tcPr>
            <w:tcW w:w="0" w:type="auto"/>
            <w:gridSpan w:val="3"/>
            <w:shd w:val="clear" w:color="auto" w:fill="FFFFFF"/>
            <w:tcMar>
              <w:top w:w="0" w:type="dxa"/>
              <w:left w:w="20" w:type="dxa"/>
              <w:bottom w:w="0" w:type="dxa"/>
              <w:right w:w="20" w:type="dxa"/>
            </w:tcMar>
            <w:vAlign w:val="center"/>
            <w:hideMark/>
          </w:tcPr>
          <w:p w14:paraId="1E538C30"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635C3FD" w14:textId="77777777" w:rsidR="00000000" w:rsidRDefault="00405D16">
            <w:pPr>
              <w:spacing w:after="100"/>
              <w:jc w:val="right"/>
              <w:rPr>
                <w:rFonts w:eastAsia="Times New Roman"/>
              </w:rPr>
            </w:pPr>
            <w:r>
              <w:rPr>
                <w:rFonts w:eastAsia="Times New Roman"/>
                <w:b/>
                <w:bCs/>
                <w:color w:val="000000"/>
                <w:sz w:val="18"/>
                <w:szCs w:val="18"/>
              </w:rPr>
              <w:t>(1,300)</w:t>
            </w:r>
          </w:p>
        </w:tc>
        <w:tc>
          <w:tcPr>
            <w:tcW w:w="0" w:type="auto"/>
            <w:shd w:val="clear" w:color="auto" w:fill="FFFFFF"/>
            <w:tcMar>
              <w:top w:w="30" w:type="dxa"/>
              <w:left w:w="0" w:type="dxa"/>
              <w:bottom w:w="30" w:type="dxa"/>
              <w:right w:w="20" w:type="dxa"/>
            </w:tcMar>
            <w:vAlign w:val="center"/>
            <w:hideMark/>
          </w:tcPr>
          <w:p w14:paraId="57AC7D6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52BC1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407A87B" w14:textId="77777777" w:rsidR="00000000" w:rsidRDefault="00405D16">
            <w:pPr>
              <w:spacing w:after="100"/>
              <w:jc w:val="right"/>
              <w:rPr>
                <w:rFonts w:eastAsia="Times New Roman"/>
              </w:rPr>
            </w:pPr>
            <w:r>
              <w:rPr>
                <w:rFonts w:eastAsia="Times New Roman"/>
                <w:b/>
                <w:bCs/>
                <w:color w:val="000000"/>
                <w:sz w:val="18"/>
                <w:szCs w:val="18"/>
              </w:rPr>
              <w:t>(88)</w:t>
            </w:r>
          </w:p>
        </w:tc>
        <w:tc>
          <w:tcPr>
            <w:tcW w:w="0" w:type="auto"/>
            <w:shd w:val="clear" w:color="auto" w:fill="FFFFFF"/>
            <w:tcMar>
              <w:top w:w="30" w:type="dxa"/>
              <w:left w:w="0" w:type="dxa"/>
              <w:bottom w:w="30" w:type="dxa"/>
              <w:right w:w="20" w:type="dxa"/>
            </w:tcMar>
            <w:vAlign w:val="center"/>
            <w:hideMark/>
          </w:tcPr>
          <w:p w14:paraId="64D771D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381CC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BB5C56E" w14:textId="77777777" w:rsidR="00000000" w:rsidRDefault="00405D16">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763E87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D9554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2AA366C"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6F6CA2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B5992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5C0367F" w14:textId="77777777" w:rsidR="00000000" w:rsidRDefault="00405D16">
            <w:pPr>
              <w:spacing w:after="100"/>
              <w:jc w:val="right"/>
              <w:rPr>
                <w:rFonts w:eastAsia="Times New Roman"/>
              </w:rPr>
            </w:pPr>
            <w:r>
              <w:rPr>
                <w:rFonts w:eastAsia="Times New Roman"/>
                <w:b/>
                <w:bCs/>
                <w:color w:val="000000"/>
                <w:sz w:val="18"/>
                <w:szCs w:val="18"/>
              </w:rPr>
              <w:t>(1,387)</w:t>
            </w:r>
          </w:p>
        </w:tc>
        <w:tc>
          <w:tcPr>
            <w:tcW w:w="0" w:type="auto"/>
            <w:shd w:val="clear" w:color="auto" w:fill="FFFFFF"/>
            <w:tcMar>
              <w:top w:w="30" w:type="dxa"/>
              <w:left w:w="0" w:type="dxa"/>
              <w:bottom w:w="30" w:type="dxa"/>
              <w:right w:w="20" w:type="dxa"/>
            </w:tcMar>
            <w:vAlign w:val="center"/>
            <w:hideMark/>
          </w:tcPr>
          <w:p w14:paraId="39F75FC2" w14:textId="77777777" w:rsidR="00000000" w:rsidRDefault="00405D16">
            <w:pPr>
              <w:spacing w:after="100"/>
              <w:jc w:val="right"/>
              <w:rPr>
                <w:rFonts w:eastAsia="Times New Roman"/>
              </w:rPr>
            </w:pPr>
          </w:p>
        </w:tc>
      </w:tr>
      <w:tr w:rsidR="00000000" w14:paraId="4A903F43" w14:textId="77777777">
        <w:tc>
          <w:tcPr>
            <w:tcW w:w="0" w:type="auto"/>
            <w:gridSpan w:val="3"/>
            <w:shd w:val="clear" w:color="auto" w:fill="CCEEFF"/>
            <w:tcMar>
              <w:top w:w="30" w:type="dxa"/>
              <w:left w:w="20" w:type="dxa"/>
              <w:bottom w:w="30" w:type="dxa"/>
              <w:right w:w="20" w:type="dxa"/>
            </w:tcMar>
            <w:vAlign w:val="center"/>
            <w:hideMark/>
          </w:tcPr>
          <w:p w14:paraId="35E3BD2E" w14:textId="77777777" w:rsidR="00000000" w:rsidRDefault="00405D16">
            <w:pPr>
              <w:spacing w:after="100"/>
              <w:rPr>
                <w:rFonts w:eastAsia="Times New Roman"/>
              </w:rPr>
            </w:pPr>
            <w:r>
              <w:rPr>
                <w:rFonts w:eastAsia="Times New Roman"/>
                <w:color w:val="000000"/>
                <w:sz w:val="18"/>
                <w:szCs w:val="18"/>
              </w:rPr>
              <w:t>Amounts reclassified from AOCI into earnings</w:t>
            </w:r>
          </w:p>
        </w:tc>
        <w:tc>
          <w:tcPr>
            <w:tcW w:w="0" w:type="auto"/>
            <w:gridSpan w:val="3"/>
            <w:shd w:val="clear" w:color="auto" w:fill="CCEEFF"/>
            <w:tcMar>
              <w:top w:w="0" w:type="dxa"/>
              <w:left w:w="20" w:type="dxa"/>
              <w:bottom w:w="0" w:type="dxa"/>
              <w:right w:w="20" w:type="dxa"/>
            </w:tcMar>
            <w:vAlign w:val="center"/>
            <w:hideMark/>
          </w:tcPr>
          <w:p w14:paraId="7CDD544A"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1F79F21" w14:textId="77777777" w:rsidR="00000000" w:rsidRDefault="00405D16">
            <w:pPr>
              <w:spacing w:after="100"/>
              <w:jc w:val="right"/>
              <w:rPr>
                <w:rFonts w:eastAsia="Times New Roman"/>
              </w:rPr>
            </w:pPr>
            <w:r>
              <w:rPr>
                <w:rFonts w:eastAsia="Times New Roman"/>
                <w:b/>
                <w:bCs/>
                <w:color w:val="000000"/>
                <w:sz w:val="18"/>
                <w:szCs w:val="18"/>
              </w:rPr>
              <w:t>(5)</w:t>
            </w:r>
          </w:p>
        </w:tc>
        <w:tc>
          <w:tcPr>
            <w:tcW w:w="0" w:type="auto"/>
            <w:shd w:val="clear" w:color="auto" w:fill="CCEEFF"/>
            <w:tcMar>
              <w:top w:w="30" w:type="dxa"/>
              <w:left w:w="0" w:type="dxa"/>
              <w:bottom w:w="30" w:type="dxa"/>
              <w:right w:w="20" w:type="dxa"/>
            </w:tcMar>
            <w:vAlign w:val="center"/>
            <w:hideMark/>
          </w:tcPr>
          <w:p w14:paraId="23A0A5C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03C51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CADC7DE" w14:textId="77777777" w:rsidR="00000000" w:rsidRDefault="00405D16">
            <w:pPr>
              <w:spacing w:after="100"/>
              <w:jc w:val="right"/>
              <w:rPr>
                <w:rFonts w:eastAsia="Times New Roman"/>
              </w:rPr>
            </w:pPr>
            <w:r>
              <w:rPr>
                <w:rFonts w:eastAsia="Times New Roman"/>
                <w:b/>
                <w:bCs/>
                <w:color w:val="000000"/>
                <w:sz w:val="18"/>
                <w:szCs w:val="18"/>
              </w:rPr>
              <w:t>(739)</w:t>
            </w:r>
          </w:p>
        </w:tc>
        <w:tc>
          <w:tcPr>
            <w:tcW w:w="0" w:type="auto"/>
            <w:shd w:val="clear" w:color="auto" w:fill="CCEEFF"/>
            <w:tcMar>
              <w:top w:w="30" w:type="dxa"/>
              <w:left w:w="0" w:type="dxa"/>
              <w:bottom w:w="30" w:type="dxa"/>
              <w:right w:w="20" w:type="dxa"/>
            </w:tcMar>
            <w:vAlign w:val="center"/>
            <w:hideMark/>
          </w:tcPr>
          <w:p w14:paraId="11D983C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A1A4B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437D8A4"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D7EEA3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EC034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14625E3" w14:textId="77777777" w:rsidR="00000000" w:rsidRDefault="00405D16">
            <w:pPr>
              <w:spacing w:after="100"/>
              <w:jc w:val="right"/>
              <w:rPr>
                <w:rFonts w:eastAsia="Times New Roman"/>
              </w:rPr>
            </w:pPr>
            <w:r>
              <w:rPr>
                <w:rFonts w:eastAsia="Times New Roman"/>
                <w:b/>
                <w:bCs/>
                <w:color w:val="000000"/>
                <w:sz w:val="18"/>
                <w:szCs w:val="18"/>
              </w:rPr>
              <w:t>(3)</w:t>
            </w:r>
          </w:p>
        </w:tc>
        <w:tc>
          <w:tcPr>
            <w:tcW w:w="0" w:type="auto"/>
            <w:shd w:val="clear" w:color="auto" w:fill="CCEEFF"/>
            <w:tcMar>
              <w:top w:w="30" w:type="dxa"/>
              <w:left w:w="0" w:type="dxa"/>
              <w:bottom w:w="30" w:type="dxa"/>
              <w:right w:w="20" w:type="dxa"/>
            </w:tcMar>
            <w:vAlign w:val="center"/>
            <w:hideMark/>
          </w:tcPr>
          <w:p w14:paraId="3B285BA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517FA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F9BA713" w14:textId="77777777" w:rsidR="00000000" w:rsidRDefault="00405D16">
            <w:pPr>
              <w:spacing w:after="100"/>
              <w:jc w:val="right"/>
              <w:rPr>
                <w:rFonts w:eastAsia="Times New Roman"/>
              </w:rPr>
            </w:pPr>
            <w:r>
              <w:rPr>
                <w:rFonts w:eastAsia="Times New Roman"/>
                <w:b/>
                <w:bCs/>
                <w:color w:val="000000"/>
                <w:sz w:val="18"/>
                <w:szCs w:val="18"/>
              </w:rPr>
              <w:t>(747)</w:t>
            </w:r>
          </w:p>
        </w:tc>
        <w:tc>
          <w:tcPr>
            <w:tcW w:w="0" w:type="auto"/>
            <w:shd w:val="clear" w:color="auto" w:fill="CCEEFF"/>
            <w:tcMar>
              <w:top w:w="30" w:type="dxa"/>
              <w:left w:w="0" w:type="dxa"/>
              <w:bottom w:w="30" w:type="dxa"/>
              <w:right w:w="20" w:type="dxa"/>
            </w:tcMar>
            <w:vAlign w:val="center"/>
            <w:hideMark/>
          </w:tcPr>
          <w:p w14:paraId="21656995" w14:textId="77777777" w:rsidR="00000000" w:rsidRDefault="00405D16">
            <w:pPr>
              <w:spacing w:after="100"/>
              <w:jc w:val="right"/>
              <w:rPr>
                <w:rFonts w:eastAsia="Times New Roman"/>
              </w:rPr>
            </w:pPr>
          </w:p>
        </w:tc>
      </w:tr>
      <w:tr w:rsidR="00000000" w14:paraId="421B5E88" w14:textId="77777777">
        <w:tc>
          <w:tcPr>
            <w:tcW w:w="0" w:type="auto"/>
            <w:gridSpan w:val="3"/>
            <w:shd w:val="clear" w:color="auto" w:fill="FFFFFF"/>
            <w:tcMar>
              <w:top w:w="30" w:type="dxa"/>
              <w:left w:w="20" w:type="dxa"/>
              <w:bottom w:w="30" w:type="dxa"/>
              <w:right w:w="20" w:type="dxa"/>
            </w:tcMar>
            <w:vAlign w:val="center"/>
            <w:hideMark/>
          </w:tcPr>
          <w:p w14:paraId="1AD7C7C8" w14:textId="77777777" w:rsidR="00000000" w:rsidRDefault="00405D16">
            <w:pPr>
              <w:spacing w:after="100"/>
              <w:rPr>
                <w:rFonts w:eastAsia="Times New Roman"/>
              </w:rPr>
            </w:pPr>
            <w:r>
              <w:rPr>
                <w:rFonts w:eastAsia="Times New Roman"/>
                <w:color w:val="000000"/>
                <w:sz w:val="18"/>
                <w:szCs w:val="18"/>
              </w:rPr>
              <w:t>Other comprehensive income (loss), net of tax</w:t>
            </w:r>
          </w:p>
        </w:tc>
        <w:tc>
          <w:tcPr>
            <w:tcW w:w="0" w:type="auto"/>
            <w:gridSpan w:val="3"/>
            <w:shd w:val="clear" w:color="auto" w:fill="FFFFFF"/>
            <w:tcMar>
              <w:top w:w="0" w:type="dxa"/>
              <w:left w:w="20" w:type="dxa"/>
              <w:bottom w:w="0" w:type="dxa"/>
              <w:right w:w="20" w:type="dxa"/>
            </w:tcMar>
            <w:vAlign w:val="center"/>
            <w:hideMark/>
          </w:tcPr>
          <w:p w14:paraId="63180059"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AD2351E" w14:textId="77777777" w:rsidR="00000000" w:rsidRDefault="00405D16">
            <w:pPr>
              <w:spacing w:after="100"/>
              <w:jc w:val="right"/>
              <w:rPr>
                <w:rFonts w:eastAsia="Times New Roman"/>
              </w:rPr>
            </w:pPr>
            <w:r>
              <w:rPr>
                <w:rFonts w:eastAsia="Times New Roman"/>
                <w:b/>
                <w:bCs/>
                <w:color w:val="000000"/>
                <w:sz w:val="18"/>
                <w:szCs w:val="18"/>
              </w:rPr>
              <w:t>(1,305)</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D4C911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682834"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FDB39D7" w14:textId="77777777" w:rsidR="00000000" w:rsidRDefault="00405D16">
            <w:pPr>
              <w:spacing w:after="100"/>
              <w:jc w:val="right"/>
              <w:rPr>
                <w:rFonts w:eastAsia="Times New Roman"/>
              </w:rPr>
            </w:pPr>
            <w:r>
              <w:rPr>
                <w:rFonts w:eastAsia="Times New Roman"/>
                <w:b/>
                <w:bCs/>
                <w:color w:val="000000"/>
                <w:sz w:val="18"/>
                <w:szCs w:val="18"/>
              </w:rPr>
              <w:t>(827)</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846DCF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981DA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3B5E69B" w14:textId="77777777" w:rsidR="00000000" w:rsidRDefault="00405D16">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45CB3D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6BBF09"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78C68C7" w14:textId="77777777" w:rsidR="00000000" w:rsidRDefault="00405D16">
            <w:pPr>
              <w:spacing w:after="100"/>
              <w:jc w:val="right"/>
              <w:rPr>
                <w:rFonts w:eastAsia="Times New Roman"/>
              </w:rPr>
            </w:pPr>
            <w:r>
              <w:rPr>
                <w:rFonts w:eastAsia="Times New Roman"/>
                <w:b/>
                <w:bCs/>
                <w:color w:val="000000"/>
                <w:sz w:val="18"/>
                <w:szCs w:val="18"/>
              </w:rPr>
              <w:t>(3)</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09C701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84D50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EEC7F7A" w14:textId="77777777" w:rsidR="00000000" w:rsidRDefault="00405D16">
            <w:pPr>
              <w:spacing w:after="100"/>
              <w:jc w:val="right"/>
              <w:rPr>
                <w:rFonts w:eastAsia="Times New Roman"/>
              </w:rPr>
            </w:pPr>
            <w:r>
              <w:rPr>
                <w:rFonts w:eastAsia="Times New Roman"/>
                <w:b/>
                <w:bCs/>
                <w:color w:val="000000"/>
                <w:sz w:val="18"/>
                <w:szCs w:val="18"/>
              </w:rPr>
              <w:t>(2,134)</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1E32551" w14:textId="77777777" w:rsidR="00000000" w:rsidRDefault="00405D16">
            <w:pPr>
              <w:spacing w:after="100"/>
              <w:jc w:val="right"/>
              <w:rPr>
                <w:rFonts w:eastAsia="Times New Roman"/>
              </w:rPr>
            </w:pPr>
          </w:p>
        </w:tc>
      </w:tr>
      <w:tr w:rsidR="00000000" w14:paraId="72F636BE" w14:textId="77777777">
        <w:tc>
          <w:tcPr>
            <w:tcW w:w="0" w:type="auto"/>
            <w:gridSpan w:val="3"/>
            <w:shd w:val="clear" w:color="auto" w:fill="CCEEFF"/>
            <w:tcMar>
              <w:top w:w="30" w:type="dxa"/>
              <w:left w:w="20" w:type="dxa"/>
              <w:bottom w:w="30" w:type="dxa"/>
              <w:right w:w="20" w:type="dxa"/>
            </w:tcMar>
            <w:vAlign w:val="center"/>
            <w:hideMark/>
          </w:tcPr>
          <w:p w14:paraId="2F065389" w14:textId="77777777" w:rsidR="00000000" w:rsidRDefault="00405D16">
            <w:pPr>
              <w:spacing w:after="100"/>
              <w:rPr>
                <w:rFonts w:eastAsia="Times New Roman"/>
              </w:rPr>
            </w:pPr>
            <w:r>
              <w:rPr>
                <w:rFonts w:eastAsia="Times New Roman"/>
                <w:color w:val="000000"/>
                <w:sz w:val="18"/>
                <w:szCs w:val="18"/>
              </w:rPr>
              <w:t>AOCI as of September 30, 2021</w:t>
            </w:r>
          </w:p>
        </w:tc>
        <w:tc>
          <w:tcPr>
            <w:tcW w:w="0" w:type="auto"/>
            <w:gridSpan w:val="3"/>
            <w:shd w:val="clear" w:color="auto" w:fill="CCEEFF"/>
            <w:tcMar>
              <w:top w:w="0" w:type="dxa"/>
              <w:left w:w="20" w:type="dxa"/>
              <w:bottom w:w="0" w:type="dxa"/>
              <w:right w:w="20" w:type="dxa"/>
            </w:tcMar>
            <w:vAlign w:val="center"/>
            <w:hideMark/>
          </w:tcPr>
          <w:p w14:paraId="20BF773A"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C4DB858"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CA604B9" w14:textId="77777777" w:rsidR="00000000" w:rsidRDefault="00405D16">
            <w:pPr>
              <w:spacing w:after="100"/>
              <w:jc w:val="right"/>
              <w:rPr>
                <w:rFonts w:eastAsia="Times New Roman"/>
              </w:rPr>
            </w:pPr>
            <w:r>
              <w:rPr>
                <w:rFonts w:eastAsia="Times New Roman"/>
                <w:b/>
                <w:bCs/>
                <w:color w:val="000000"/>
                <w:sz w:val="18"/>
                <w:szCs w:val="18"/>
              </w:rPr>
              <w:t>881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81017A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694C65"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EA4A4E5"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D56B5BE" w14:textId="77777777" w:rsidR="00000000" w:rsidRDefault="00405D16">
            <w:pPr>
              <w:spacing w:after="100"/>
              <w:jc w:val="right"/>
              <w:rPr>
                <w:rFonts w:eastAsia="Times New Roman"/>
              </w:rPr>
            </w:pPr>
            <w:r>
              <w:rPr>
                <w:rFonts w:eastAsia="Times New Roman"/>
                <w:b/>
                <w:bCs/>
                <w:color w:val="000000"/>
                <w:sz w:val="18"/>
                <w:szCs w:val="18"/>
              </w:rPr>
              <w:t>535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286F79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D627B7"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8BE5DB0"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A1D0A57" w14:textId="77777777" w:rsidR="00000000" w:rsidRDefault="00405D16">
            <w:pPr>
              <w:spacing w:after="100"/>
              <w:jc w:val="right"/>
              <w:rPr>
                <w:rFonts w:eastAsia="Times New Roman"/>
              </w:rPr>
            </w:pPr>
            <w:r>
              <w:rPr>
                <w:rFonts w:eastAsia="Times New Roman"/>
                <w:b/>
                <w:bCs/>
                <w:color w:val="000000"/>
                <w:sz w:val="18"/>
                <w:szCs w:val="18"/>
              </w:rPr>
              <w:t>(30)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722B0E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E96D28"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E0D45D6"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E3D0652" w14:textId="77777777" w:rsidR="00000000" w:rsidRDefault="00405D16">
            <w:pPr>
              <w:spacing w:after="100"/>
              <w:jc w:val="right"/>
              <w:rPr>
                <w:rFonts w:eastAsia="Times New Roman"/>
              </w:rPr>
            </w:pPr>
            <w:r>
              <w:rPr>
                <w:rFonts w:eastAsia="Times New Roman"/>
                <w:b/>
                <w:bCs/>
                <w:color w:val="000000"/>
                <w:sz w:val="18"/>
                <w:szCs w:val="18"/>
              </w:rPr>
              <w:t>(26)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62860F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1DA4A6"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A424CDE"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C8BD54F" w14:textId="77777777" w:rsidR="00000000" w:rsidRDefault="00405D16">
            <w:pPr>
              <w:spacing w:after="100"/>
              <w:jc w:val="right"/>
              <w:rPr>
                <w:rFonts w:eastAsia="Times New Roman"/>
              </w:rPr>
            </w:pPr>
            <w:r>
              <w:rPr>
                <w:rFonts w:eastAsia="Times New Roman"/>
                <w:b/>
                <w:bCs/>
                <w:color w:val="000000"/>
                <w:sz w:val="18"/>
                <w:szCs w:val="18"/>
              </w:rPr>
              <w:t>1,360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B8330DB" w14:textId="77777777" w:rsidR="00000000" w:rsidRDefault="00405D16">
            <w:pPr>
              <w:spacing w:after="100"/>
              <w:jc w:val="right"/>
              <w:rPr>
                <w:rFonts w:eastAsia="Times New Roman"/>
              </w:rPr>
            </w:pPr>
          </w:p>
        </w:tc>
      </w:tr>
    </w:tbl>
    <w:p w14:paraId="6A9F1A85" w14:textId="77777777" w:rsidR="00000000" w:rsidRDefault="00405D16">
      <w:pPr>
        <w:jc w:val="both"/>
        <w:divId w:val="1685477905"/>
        <w:rPr>
          <w:rFonts w:eastAsia="Times New Roman"/>
          <w:vanish/>
        </w:rPr>
      </w:pPr>
    </w:p>
    <w:tbl>
      <w:tblPr>
        <w:tblW w:w="4985" w:type="pct"/>
        <w:tblCellMar>
          <w:top w:w="15" w:type="dxa"/>
          <w:left w:w="15" w:type="dxa"/>
          <w:bottom w:w="15" w:type="dxa"/>
          <w:right w:w="15" w:type="dxa"/>
        </w:tblCellMar>
        <w:tblLook w:val="04A0" w:firstRow="1" w:lastRow="0" w:firstColumn="1" w:lastColumn="0" w:noHBand="0" w:noVBand="1"/>
      </w:tblPr>
      <w:tblGrid>
        <w:gridCol w:w="38"/>
        <w:gridCol w:w="3652"/>
        <w:gridCol w:w="37"/>
        <w:gridCol w:w="36"/>
        <w:gridCol w:w="36"/>
        <w:gridCol w:w="36"/>
        <w:gridCol w:w="111"/>
        <w:gridCol w:w="624"/>
        <w:gridCol w:w="36"/>
        <w:gridCol w:w="36"/>
        <w:gridCol w:w="36"/>
        <w:gridCol w:w="36"/>
        <w:gridCol w:w="111"/>
        <w:gridCol w:w="980"/>
        <w:gridCol w:w="36"/>
        <w:gridCol w:w="36"/>
        <w:gridCol w:w="36"/>
        <w:gridCol w:w="36"/>
        <w:gridCol w:w="111"/>
        <w:gridCol w:w="927"/>
        <w:gridCol w:w="36"/>
        <w:gridCol w:w="36"/>
        <w:gridCol w:w="36"/>
        <w:gridCol w:w="36"/>
        <w:gridCol w:w="110"/>
        <w:gridCol w:w="300"/>
        <w:gridCol w:w="36"/>
        <w:gridCol w:w="36"/>
        <w:gridCol w:w="36"/>
        <w:gridCol w:w="36"/>
        <w:gridCol w:w="110"/>
        <w:gridCol w:w="450"/>
        <w:gridCol w:w="36"/>
      </w:tblGrid>
      <w:tr w:rsidR="00000000" w14:paraId="4401F8CC" w14:textId="77777777">
        <w:trPr>
          <w:divId w:val="1685477905"/>
        </w:trPr>
        <w:tc>
          <w:tcPr>
            <w:tcW w:w="50" w:type="pct"/>
            <w:vAlign w:val="center"/>
            <w:hideMark/>
          </w:tcPr>
          <w:p w14:paraId="74C95820" w14:textId="77777777" w:rsidR="00000000" w:rsidRDefault="00405D16">
            <w:pPr>
              <w:jc w:val="both"/>
              <w:rPr>
                <w:rFonts w:eastAsia="Times New Roman"/>
              </w:rPr>
            </w:pPr>
          </w:p>
        </w:tc>
        <w:tc>
          <w:tcPr>
            <w:tcW w:w="2320" w:type="pct"/>
            <w:vAlign w:val="center"/>
            <w:hideMark/>
          </w:tcPr>
          <w:p w14:paraId="6B46AE78" w14:textId="77777777" w:rsidR="00000000" w:rsidRDefault="00405D16">
            <w:pPr>
              <w:spacing w:after="100"/>
              <w:rPr>
                <w:rFonts w:eastAsia="Times New Roman"/>
                <w:sz w:val="20"/>
                <w:szCs w:val="20"/>
              </w:rPr>
            </w:pPr>
          </w:p>
        </w:tc>
        <w:tc>
          <w:tcPr>
            <w:tcW w:w="5" w:type="pct"/>
            <w:vAlign w:val="center"/>
            <w:hideMark/>
          </w:tcPr>
          <w:p w14:paraId="11A032B3" w14:textId="77777777" w:rsidR="00000000" w:rsidRDefault="00405D16">
            <w:pPr>
              <w:spacing w:after="100"/>
              <w:rPr>
                <w:rFonts w:eastAsia="Times New Roman"/>
                <w:sz w:val="20"/>
                <w:szCs w:val="20"/>
              </w:rPr>
            </w:pPr>
          </w:p>
        </w:tc>
        <w:tc>
          <w:tcPr>
            <w:tcW w:w="5" w:type="pct"/>
            <w:vAlign w:val="center"/>
            <w:hideMark/>
          </w:tcPr>
          <w:p w14:paraId="49C5AF4E" w14:textId="77777777" w:rsidR="00000000" w:rsidRDefault="00405D16">
            <w:pPr>
              <w:spacing w:after="100"/>
              <w:rPr>
                <w:rFonts w:eastAsia="Times New Roman"/>
                <w:sz w:val="20"/>
                <w:szCs w:val="20"/>
              </w:rPr>
            </w:pPr>
          </w:p>
        </w:tc>
        <w:tc>
          <w:tcPr>
            <w:tcW w:w="26" w:type="pct"/>
            <w:vAlign w:val="center"/>
            <w:hideMark/>
          </w:tcPr>
          <w:p w14:paraId="3FE3189B" w14:textId="77777777" w:rsidR="00000000" w:rsidRDefault="00405D16">
            <w:pPr>
              <w:spacing w:after="100"/>
              <w:rPr>
                <w:rFonts w:eastAsia="Times New Roman"/>
                <w:sz w:val="20"/>
                <w:szCs w:val="20"/>
              </w:rPr>
            </w:pPr>
          </w:p>
        </w:tc>
        <w:tc>
          <w:tcPr>
            <w:tcW w:w="5" w:type="pct"/>
            <w:vAlign w:val="center"/>
            <w:hideMark/>
          </w:tcPr>
          <w:p w14:paraId="0633C0EA" w14:textId="77777777" w:rsidR="00000000" w:rsidRDefault="00405D16">
            <w:pPr>
              <w:spacing w:after="100"/>
              <w:rPr>
                <w:rFonts w:eastAsia="Times New Roman"/>
                <w:sz w:val="20"/>
                <w:szCs w:val="20"/>
              </w:rPr>
            </w:pPr>
          </w:p>
        </w:tc>
        <w:tc>
          <w:tcPr>
            <w:tcW w:w="50" w:type="pct"/>
            <w:vAlign w:val="center"/>
            <w:hideMark/>
          </w:tcPr>
          <w:p w14:paraId="0A7C72E1" w14:textId="77777777" w:rsidR="00000000" w:rsidRDefault="00405D16">
            <w:pPr>
              <w:spacing w:after="100"/>
              <w:rPr>
                <w:rFonts w:eastAsia="Times New Roman"/>
                <w:sz w:val="20"/>
                <w:szCs w:val="20"/>
              </w:rPr>
            </w:pPr>
          </w:p>
        </w:tc>
        <w:tc>
          <w:tcPr>
            <w:tcW w:w="414" w:type="pct"/>
            <w:vAlign w:val="center"/>
            <w:hideMark/>
          </w:tcPr>
          <w:p w14:paraId="634FD91C" w14:textId="77777777" w:rsidR="00000000" w:rsidRDefault="00405D16">
            <w:pPr>
              <w:spacing w:after="100"/>
              <w:rPr>
                <w:rFonts w:eastAsia="Times New Roman"/>
                <w:sz w:val="20"/>
                <w:szCs w:val="20"/>
              </w:rPr>
            </w:pPr>
          </w:p>
        </w:tc>
        <w:tc>
          <w:tcPr>
            <w:tcW w:w="5" w:type="pct"/>
            <w:vAlign w:val="center"/>
            <w:hideMark/>
          </w:tcPr>
          <w:p w14:paraId="0948E9EE" w14:textId="77777777" w:rsidR="00000000" w:rsidRDefault="00405D16">
            <w:pPr>
              <w:spacing w:after="100"/>
              <w:rPr>
                <w:rFonts w:eastAsia="Times New Roman"/>
                <w:sz w:val="20"/>
                <w:szCs w:val="20"/>
              </w:rPr>
            </w:pPr>
          </w:p>
        </w:tc>
        <w:tc>
          <w:tcPr>
            <w:tcW w:w="5" w:type="pct"/>
            <w:vAlign w:val="center"/>
            <w:hideMark/>
          </w:tcPr>
          <w:p w14:paraId="4D43125F" w14:textId="77777777" w:rsidR="00000000" w:rsidRDefault="00405D16">
            <w:pPr>
              <w:spacing w:after="100"/>
              <w:rPr>
                <w:rFonts w:eastAsia="Times New Roman"/>
                <w:sz w:val="20"/>
                <w:szCs w:val="20"/>
              </w:rPr>
            </w:pPr>
          </w:p>
        </w:tc>
        <w:tc>
          <w:tcPr>
            <w:tcW w:w="26" w:type="pct"/>
            <w:vAlign w:val="center"/>
            <w:hideMark/>
          </w:tcPr>
          <w:p w14:paraId="2124A838" w14:textId="77777777" w:rsidR="00000000" w:rsidRDefault="00405D16">
            <w:pPr>
              <w:spacing w:after="100"/>
              <w:rPr>
                <w:rFonts w:eastAsia="Times New Roman"/>
                <w:sz w:val="20"/>
                <w:szCs w:val="20"/>
              </w:rPr>
            </w:pPr>
          </w:p>
        </w:tc>
        <w:tc>
          <w:tcPr>
            <w:tcW w:w="5" w:type="pct"/>
            <w:vAlign w:val="center"/>
            <w:hideMark/>
          </w:tcPr>
          <w:p w14:paraId="165640CA" w14:textId="77777777" w:rsidR="00000000" w:rsidRDefault="00405D16">
            <w:pPr>
              <w:spacing w:after="100"/>
              <w:rPr>
                <w:rFonts w:eastAsia="Times New Roman"/>
                <w:sz w:val="20"/>
                <w:szCs w:val="20"/>
              </w:rPr>
            </w:pPr>
          </w:p>
        </w:tc>
        <w:tc>
          <w:tcPr>
            <w:tcW w:w="50" w:type="pct"/>
            <w:vAlign w:val="center"/>
            <w:hideMark/>
          </w:tcPr>
          <w:p w14:paraId="06005410" w14:textId="77777777" w:rsidR="00000000" w:rsidRDefault="00405D16">
            <w:pPr>
              <w:spacing w:after="100"/>
              <w:rPr>
                <w:rFonts w:eastAsia="Times New Roman"/>
                <w:sz w:val="20"/>
                <w:szCs w:val="20"/>
              </w:rPr>
            </w:pPr>
          </w:p>
        </w:tc>
        <w:tc>
          <w:tcPr>
            <w:tcW w:w="531" w:type="pct"/>
            <w:vAlign w:val="center"/>
            <w:hideMark/>
          </w:tcPr>
          <w:p w14:paraId="55A592A6" w14:textId="77777777" w:rsidR="00000000" w:rsidRDefault="00405D16">
            <w:pPr>
              <w:spacing w:after="100"/>
              <w:rPr>
                <w:rFonts w:eastAsia="Times New Roman"/>
                <w:sz w:val="20"/>
                <w:szCs w:val="20"/>
              </w:rPr>
            </w:pPr>
          </w:p>
        </w:tc>
        <w:tc>
          <w:tcPr>
            <w:tcW w:w="5" w:type="pct"/>
            <w:vAlign w:val="center"/>
            <w:hideMark/>
          </w:tcPr>
          <w:p w14:paraId="4BF7C3EB" w14:textId="77777777" w:rsidR="00000000" w:rsidRDefault="00405D16">
            <w:pPr>
              <w:spacing w:after="100"/>
              <w:rPr>
                <w:rFonts w:eastAsia="Times New Roman"/>
                <w:sz w:val="20"/>
                <w:szCs w:val="20"/>
              </w:rPr>
            </w:pPr>
          </w:p>
        </w:tc>
        <w:tc>
          <w:tcPr>
            <w:tcW w:w="5" w:type="pct"/>
            <w:vAlign w:val="center"/>
            <w:hideMark/>
          </w:tcPr>
          <w:p w14:paraId="7B23F17F" w14:textId="77777777" w:rsidR="00000000" w:rsidRDefault="00405D16">
            <w:pPr>
              <w:spacing w:after="100"/>
              <w:rPr>
                <w:rFonts w:eastAsia="Times New Roman"/>
                <w:sz w:val="20"/>
                <w:szCs w:val="20"/>
              </w:rPr>
            </w:pPr>
          </w:p>
        </w:tc>
        <w:tc>
          <w:tcPr>
            <w:tcW w:w="26" w:type="pct"/>
            <w:vAlign w:val="center"/>
            <w:hideMark/>
          </w:tcPr>
          <w:p w14:paraId="2CF4A141" w14:textId="77777777" w:rsidR="00000000" w:rsidRDefault="00405D16">
            <w:pPr>
              <w:spacing w:after="100"/>
              <w:rPr>
                <w:rFonts w:eastAsia="Times New Roman"/>
                <w:sz w:val="20"/>
                <w:szCs w:val="20"/>
              </w:rPr>
            </w:pPr>
          </w:p>
        </w:tc>
        <w:tc>
          <w:tcPr>
            <w:tcW w:w="5" w:type="pct"/>
            <w:vAlign w:val="center"/>
            <w:hideMark/>
          </w:tcPr>
          <w:p w14:paraId="3FDB07DD" w14:textId="77777777" w:rsidR="00000000" w:rsidRDefault="00405D16">
            <w:pPr>
              <w:spacing w:after="100"/>
              <w:rPr>
                <w:rFonts w:eastAsia="Times New Roman"/>
                <w:sz w:val="20"/>
                <w:szCs w:val="20"/>
              </w:rPr>
            </w:pPr>
          </w:p>
        </w:tc>
        <w:tc>
          <w:tcPr>
            <w:tcW w:w="50" w:type="pct"/>
            <w:vAlign w:val="center"/>
            <w:hideMark/>
          </w:tcPr>
          <w:p w14:paraId="50C98D8A" w14:textId="77777777" w:rsidR="00000000" w:rsidRDefault="00405D16">
            <w:pPr>
              <w:spacing w:after="100"/>
              <w:rPr>
                <w:rFonts w:eastAsia="Times New Roman"/>
                <w:sz w:val="20"/>
                <w:szCs w:val="20"/>
              </w:rPr>
            </w:pPr>
          </w:p>
        </w:tc>
        <w:tc>
          <w:tcPr>
            <w:tcW w:w="509" w:type="pct"/>
            <w:vAlign w:val="center"/>
            <w:hideMark/>
          </w:tcPr>
          <w:p w14:paraId="5F47C252" w14:textId="77777777" w:rsidR="00000000" w:rsidRDefault="00405D16">
            <w:pPr>
              <w:spacing w:after="100"/>
              <w:rPr>
                <w:rFonts w:eastAsia="Times New Roman"/>
                <w:sz w:val="20"/>
                <w:szCs w:val="20"/>
              </w:rPr>
            </w:pPr>
          </w:p>
        </w:tc>
        <w:tc>
          <w:tcPr>
            <w:tcW w:w="5" w:type="pct"/>
            <w:vAlign w:val="center"/>
            <w:hideMark/>
          </w:tcPr>
          <w:p w14:paraId="5EF69FCD" w14:textId="77777777" w:rsidR="00000000" w:rsidRDefault="00405D16">
            <w:pPr>
              <w:spacing w:after="100"/>
              <w:rPr>
                <w:rFonts w:eastAsia="Times New Roman"/>
                <w:sz w:val="20"/>
                <w:szCs w:val="20"/>
              </w:rPr>
            </w:pPr>
          </w:p>
        </w:tc>
        <w:tc>
          <w:tcPr>
            <w:tcW w:w="5" w:type="pct"/>
            <w:vAlign w:val="center"/>
            <w:hideMark/>
          </w:tcPr>
          <w:p w14:paraId="365D5769" w14:textId="77777777" w:rsidR="00000000" w:rsidRDefault="00405D16">
            <w:pPr>
              <w:spacing w:after="100"/>
              <w:rPr>
                <w:rFonts w:eastAsia="Times New Roman"/>
                <w:sz w:val="20"/>
                <w:szCs w:val="20"/>
              </w:rPr>
            </w:pPr>
          </w:p>
        </w:tc>
        <w:tc>
          <w:tcPr>
            <w:tcW w:w="26" w:type="pct"/>
            <w:vAlign w:val="center"/>
            <w:hideMark/>
          </w:tcPr>
          <w:p w14:paraId="35EF2C1D" w14:textId="77777777" w:rsidR="00000000" w:rsidRDefault="00405D16">
            <w:pPr>
              <w:spacing w:after="100"/>
              <w:rPr>
                <w:rFonts w:eastAsia="Times New Roman"/>
                <w:sz w:val="20"/>
                <w:szCs w:val="20"/>
              </w:rPr>
            </w:pPr>
          </w:p>
        </w:tc>
        <w:tc>
          <w:tcPr>
            <w:tcW w:w="5" w:type="pct"/>
            <w:vAlign w:val="center"/>
            <w:hideMark/>
          </w:tcPr>
          <w:p w14:paraId="337C2DA0" w14:textId="77777777" w:rsidR="00000000" w:rsidRDefault="00405D16">
            <w:pPr>
              <w:spacing w:after="100"/>
              <w:rPr>
                <w:rFonts w:eastAsia="Times New Roman"/>
                <w:sz w:val="20"/>
                <w:szCs w:val="20"/>
              </w:rPr>
            </w:pPr>
          </w:p>
        </w:tc>
        <w:tc>
          <w:tcPr>
            <w:tcW w:w="50" w:type="pct"/>
            <w:vAlign w:val="center"/>
            <w:hideMark/>
          </w:tcPr>
          <w:p w14:paraId="3DEF2BD7" w14:textId="77777777" w:rsidR="00000000" w:rsidRDefault="00405D16">
            <w:pPr>
              <w:spacing w:after="100"/>
              <w:rPr>
                <w:rFonts w:eastAsia="Times New Roman"/>
                <w:sz w:val="20"/>
                <w:szCs w:val="20"/>
              </w:rPr>
            </w:pPr>
          </w:p>
        </w:tc>
        <w:tc>
          <w:tcPr>
            <w:tcW w:w="355" w:type="pct"/>
            <w:vAlign w:val="center"/>
            <w:hideMark/>
          </w:tcPr>
          <w:p w14:paraId="1B71B358" w14:textId="77777777" w:rsidR="00000000" w:rsidRDefault="00405D16">
            <w:pPr>
              <w:spacing w:after="100"/>
              <w:rPr>
                <w:rFonts w:eastAsia="Times New Roman"/>
                <w:sz w:val="20"/>
                <w:szCs w:val="20"/>
              </w:rPr>
            </w:pPr>
          </w:p>
        </w:tc>
        <w:tc>
          <w:tcPr>
            <w:tcW w:w="5" w:type="pct"/>
            <w:vAlign w:val="center"/>
            <w:hideMark/>
          </w:tcPr>
          <w:p w14:paraId="73FA0172" w14:textId="77777777" w:rsidR="00000000" w:rsidRDefault="00405D16">
            <w:pPr>
              <w:spacing w:after="100"/>
              <w:rPr>
                <w:rFonts w:eastAsia="Times New Roman"/>
                <w:sz w:val="20"/>
                <w:szCs w:val="20"/>
              </w:rPr>
            </w:pPr>
          </w:p>
        </w:tc>
        <w:tc>
          <w:tcPr>
            <w:tcW w:w="5" w:type="pct"/>
            <w:vAlign w:val="center"/>
            <w:hideMark/>
          </w:tcPr>
          <w:p w14:paraId="59166162" w14:textId="77777777" w:rsidR="00000000" w:rsidRDefault="00405D16">
            <w:pPr>
              <w:spacing w:after="100"/>
              <w:rPr>
                <w:rFonts w:eastAsia="Times New Roman"/>
                <w:sz w:val="20"/>
                <w:szCs w:val="20"/>
              </w:rPr>
            </w:pPr>
          </w:p>
        </w:tc>
        <w:tc>
          <w:tcPr>
            <w:tcW w:w="26" w:type="pct"/>
            <w:vAlign w:val="center"/>
            <w:hideMark/>
          </w:tcPr>
          <w:p w14:paraId="4AA2C6E4" w14:textId="77777777" w:rsidR="00000000" w:rsidRDefault="00405D16">
            <w:pPr>
              <w:spacing w:after="100"/>
              <w:rPr>
                <w:rFonts w:eastAsia="Times New Roman"/>
                <w:sz w:val="20"/>
                <w:szCs w:val="20"/>
              </w:rPr>
            </w:pPr>
          </w:p>
        </w:tc>
        <w:tc>
          <w:tcPr>
            <w:tcW w:w="5" w:type="pct"/>
            <w:vAlign w:val="center"/>
            <w:hideMark/>
          </w:tcPr>
          <w:p w14:paraId="61B4EDF2" w14:textId="77777777" w:rsidR="00000000" w:rsidRDefault="00405D16">
            <w:pPr>
              <w:spacing w:after="100"/>
              <w:rPr>
                <w:rFonts w:eastAsia="Times New Roman"/>
                <w:sz w:val="20"/>
                <w:szCs w:val="20"/>
              </w:rPr>
            </w:pPr>
          </w:p>
        </w:tc>
        <w:tc>
          <w:tcPr>
            <w:tcW w:w="50" w:type="pct"/>
            <w:vAlign w:val="center"/>
            <w:hideMark/>
          </w:tcPr>
          <w:p w14:paraId="751943F0" w14:textId="77777777" w:rsidR="00000000" w:rsidRDefault="00405D16">
            <w:pPr>
              <w:spacing w:after="100"/>
              <w:rPr>
                <w:rFonts w:eastAsia="Times New Roman"/>
                <w:sz w:val="20"/>
                <w:szCs w:val="20"/>
              </w:rPr>
            </w:pPr>
          </w:p>
        </w:tc>
        <w:tc>
          <w:tcPr>
            <w:tcW w:w="355" w:type="pct"/>
            <w:vAlign w:val="center"/>
            <w:hideMark/>
          </w:tcPr>
          <w:p w14:paraId="65504506" w14:textId="77777777" w:rsidR="00000000" w:rsidRDefault="00405D16">
            <w:pPr>
              <w:spacing w:after="100"/>
              <w:rPr>
                <w:rFonts w:eastAsia="Times New Roman"/>
                <w:sz w:val="20"/>
                <w:szCs w:val="20"/>
              </w:rPr>
            </w:pPr>
          </w:p>
        </w:tc>
        <w:tc>
          <w:tcPr>
            <w:tcW w:w="5" w:type="pct"/>
            <w:vAlign w:val="center"/>
            <w:hideMark/>
          </w:tcPr>
          <w:p w14:paraId="5374D451" w14:textId="77777777" w:rsidR="00000000" w:rsidRDefault="00405D16">
            <w:pPr>
              <w:spacing w:after="100"/>
              <w:rPr>
                <w:rFonts w:eastAsia="Times New Roman"/>
                <w:sz w:val="20"/>
                <w:szCs w:val="20"/>
              </w:rPr>
            </w:pPr>
          </w:p>
        </w:tc>
      </w:tr>
      <w:tr w:rsidR="00000000" w14:paraId="31FAA285" w14:textId="77777777">
        <w:trPr>
          <w:divId w:val="1685477905"/>
        </w:trPr>
        <w:tc>
          <w:tcPr>
            <w:tcW w:w="0" w:type="auto"/>
            <w:gridSpan w:val="3"/>
            <w:tcMar>
              <w:top w:w="0" w:type="dxa"/>
              <w:left w:w="20" w:type="dxa"/>
              <w:bottom w:w="0" w:type="dxa"/>
              <w:right w:w="20" w:type="dxa"/>
            </w:tcMar>
            <w:vAlign w:val="center"/>
            <w:hideMark/>
          </w:tcPr>
          <w:p w14:paraId="1AB28DFE"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EFE019E" w14:textId="77777777" w:rsidR="00000000" w:rsidRDefault="00405D16">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0190FB05" w14:textId="77777777" w:rsidR="00000000" w:rsidRDefault="00405D16">
            <w:pPr>
              <w:spacing w:after="100"/>
              <w:jc w:val="center"/>
              <w:rPr>
                <w:rFonts w:eastAsia="Times New Roman"/>
              </w:rPr>
            </w:pPr>
            <w:r>
              <w:rPr>
                <w:rFonts w:eastAsia="Times New Roman"/>
                <w:b/>
                <w:bCs/>
                <w:color w:val="000000"/>
                <w:sz w:val="16"/>
                <w:szCs w:val="16"/>
              </w:rPr>
              <w:t>Three Months Ended September 30, 2020</w:t>
            </w:r>
          </w:p>
        </w:tc>
      </w:tr>
      <w:tr w:rsidR="00000000" w14:paraId="393EB055" w14:textId="77777777">
        <w:trPr>
          <w:divId w:val="1685477905"/>
        </w:trPr>
        <w:tc>
          <w:tcPr>
            <w:tcW w:w="0" w:type="auto"/>
            <w:gridSpan w:val="3"/>
            <w:tcMar>
              <w:top w:w="30" w:type="dxa"/>
              <w:left w:w="20" w:type="dxa"/>
              <w:bottom w:w="30" w:type="dxa"/>
              <w:right w:w="20" w:type="dxa"/>
            </w:tcMar>
            <w:vAlign w:val="bottom"/>
            <w:hideMark/>
          </w:tcPr>
          <w:p w14:paraId="77398887"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7537A1EE"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24C2BDB" w14:textId="77777777" w:rsidR="00000000" w:rsidRDefault="00405D16">
            <w:pPr>
              <w:spacing w:after="100"/>
              <w:jc w:val="center"/>
              <w:rPr>
                <w:rFonts w:eastAsia="Times New Roman"/>
              </w:rPr>
            </w:pPr>
            <w:r>
              <w:rPr>
                <w:rFonts w:eastAsia="Times New Roman"/>
                <w:b/>
                <w:bCs/>
                <w:color w:val="000000"/>
                <w:sz w:val="16"/>
                <w:szCs w:val="16"/>
              </w:rPr>
              <w:t>Securities Available for Sale</w:t>
            </w:r>
          </w:p>
        </w:tc>
        <w:tc>
          <w:tcPr>
            <w:tcW w:w="0" w:type="auto"/>
            <w:gridSpan w:val="3"/>
            <w:tcBorders>
              <w:top w:val="single" w:sz="8" w:space="0" w:color="000000"/>
            </w:tcBorders>
            <w:tcMar>
              <w:top w:w="0" w:type="dxa"/>
              <w:left w:w="20" w:type="dxa"/>
              <w:bottom w:w="0" w:type="dxa"/>
              <w:right w:w="20" w:type="dxa"/>
            </w:tcMar>
            <w:vAlign w:val="center"/>
            <w:hideMark/>
          </w:tcPr>
          <w:p w14:paraId="6F3B6F43"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6283D2C" w14:textId="77777777" w:rsidR="00000000" w:rsidRDefault="00405D16">
            <w:pPr>
              <w:spacing w:after="100"/>
              <w:jc w:val="center"/>
              <w:rPr>
                <w:rFonts w:eastAsia="Times New Roman"/>
              </w:rPr>
            </w:pPr>
            <w:r>
              <w:rPr>
                <w:rFonts w:eastAsia="Times New Roman"/>
                <w:b/>
                <w:bCs/>
                <w:color w:val="000000"/>
                <w:sz w:val="16"/>
                <w:szCs w:val="16"/>
              </w:rPr>
              <w:t>Hedging Relationship</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60BFA71C"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37ACD1E" w14:textId="77777777" w:rsidR="00000000" w:rsidRDefault="00405D16">
            <w:pPr>
              <w:spacing w:after="100"/>
              <w:jc w:val="center"/>
              <w:rPr>
                <w:rFonts w:eastAsia="Times New Roman"/>
              </w:rPr>
            </w:pPr>
            <w:r>
              <w:rPr>
                <w:rFonts w:eastAsia="Times New Roman"/>
                <w:b/>
                <w:bCs/>
                <w:color w:val="000000"/>
                <w:sz w:val="16"/>
                <w:szCs w:val="16"/>
              </w:rPr>
              <w:t>Foreign Currency Translation Adjustment</w:t>
            </w:r>
            <w:r>
              <w:rPr>
                <w:rFonts w:eastAsia="Times New Roman"/>
                <w:b/>
                <w:bCs/>
                <w:color w:val="000000"/>
                <w:sz w:val="16"/>
                <w:szCs w:val="16"/>
              </w:rPr>
              <w:t>s</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091BB99D"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AC7AFB" w14:textId="77777777" w:rsidR="00000000" w:rsidRDefault="00405D16">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14:paraId="7EF69279"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45E1B00" w14:textId="77777777" w:rsidR="00000000" w:rsidRDefault="00405D16">
            <w:pPr>
              <w:spacing w:after="100"/>
              <w:jc w:val="center"/>
              <w:rPr>
                <w:rFonts w:eastAsia="Times New Roman"/>
              </w:rPr>
            </w:pPr>
            <w:r>
              <w:rPr>
                <w:rFonts w:eastAsia="Times New Roman"/>
                <w:b/>
                <w:bCs/>
                <w:color w:val="000000"/>
                <w:sz w:val="16"/>
                <w:szCs w:val="16"/>
              </w:rPr>
              <w:t>Total</w:t>
            </w:r>
          </w:p>
        </w:tc>
      </w:tr>
      <w:tr w:rsidR="00000000" w14:paraId="7A1FB706" w14:textId="77777777">
        <w:trPr>
          <w:divId w:val="168547790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4FF84D9" w14:textId="77777777" w:rsidR="00000000" w:rsidRDefault="00405D16">
            <w:pPr>
              <w:spacing w:after="100"/>
              <w:rPr>
                <w:rFonts w:eastAsia="Times New Roman"/>
              </w:rPr>
            </w:pPr>
            <w:r>
              <w:rPr>
                <w:rFonts w:eastAsia="Times New Roman"/>
                <w:color w:val="000000"/>
                <w:sz w:val="18"/>
                <w:szCs w:val="18"/>
              </w:rPr>
              <w:t>AOCI as of June 30, 2020</w:t>
            </w:r>
          </w:p>
        </w:tc>
        <w:tc>
          <w:tcPr>
            <w:tcW w:w="0" w:type="auto"/>
            <w:gridSpan w:val="3"/>
            <w:shd w:val="clear" w:color="auto" w:fill="CCEEFF"/>
            <w:tcMar>
              <w:top w:w="0" w:type="dxa"/>
              <w:left w:w="20" w:type="dxa"/>
              <w:bottom w:w="0" w:type="dxa"/>
              <w:right w:w="20" w:type="dxa"/>
            </w:tcMar>
            <w:vAlign w:val="center"/>
            <w:hideMark/>
          </w:tcPr>
          <w:p w14:paraId="499835C0"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F52D413"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79EC820" w14:textId="77777777" w:rsidR="00000000" w:rsidRDefault="00405D16">
            <w:pPr>
              <w:spacing w:after="100"/>
              <w:jc w:val="right"/>
              <w:rPr>
                <w:rFonts w:eastAsia="Times New Roman"/>
              </w:rPr>
            </w:pPr>
            <w:r>
              <w:rPr>
                <w:rFonts w:eastAsia="Times New Roman"/>
                <w:color w:val="000000"/>
                <w:sz w:val="18"/>
                <w:szCs w:val="18"/>
              </w:rPr>
              <w:t>2,373 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1704AC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F1248F"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D14563E"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03D7B18" w14:textId="77777777" w:rsidR="00000000" w:rsidRDefault="00405D16">
            <w:pPr>
              <w:spacing w:after="100"/>
              <w:jc w:val="right"/>
              <w:rPr>
                <w:rFonts w:eastAsia="Times New Roman"/>
              </w:rPr>
            </w:pPr>
            <w:r>
              <w:rPr>
                <w:rFonts w:eastAsia="Times New Roman"/>
                <w:color w:val="000000"/>
                <w:sz w:val="18"/>
                <w:szCs w:val="18"/>
              </w:rPr>
              <w:t>1,785 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1A7F0D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CFD0AF"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9859C39"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5C6F798" w14:textId="77777777" w:rsidR="00000000" w:rsidRDefault="00405D16">
            <w:pPr>
              <w:spacing w:after="100"/>
              <w:jc w:val="right"/>
              <w:rPr>
                <w:rFonts w:eastAsia="Times New Roman"/>
              </w:rPr>
            </w:pPr>
            <w:r>
              <w:rPr>
                <w:rFonts w:eastAsia="Times New Roman"/>
                <w:color w:val="000000"/>
                <w:sz w:val="18"/>
                <w:szCs w:val="18"/>
              </w:rPr>
              <w:t>(151)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D15679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342934"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11D9AD0"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7C8FF1F" w14:textId="77777777" w:rsidR="00000000" w:rsidRDefault="00405D16">
            <w:pPr>
              <w:spacing w:after="100"/>
              <w:jc w:val="right"/>
              <w:rPr>
                <w:rFonts w:eastAsia="Times New Roman"/>
              </w:rPr>
            </w:pPr>
            <w:r>
              <w:rPr>
                <w:rFonts w:eastAsia="Times New Roman"/>
                <w:color w:val="000000"/>
                <w:sz w:val="18"/>
                <w:szCs w:val="18"/>
              </w:rPr>
              <w:t>(26)</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4F00EE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793239"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C88A147"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0A00233" w14:textId="77777777" w:rsidR="00000000" w:rsidRDefault="00405D16">
            <w:pPr>
              <w:spacing w:after="100"/>
              <w:jc w:val="right"/>
              <w:rPr>
                <w:rFonts w:eastAsia="Times New Roman"/>
              </w:rPr>
            </w:pPr>
            <w:r>
              <w:rPr>
                <w:rFonts w:eastAsia="Times New Roman"/>
                <w:color w:val="000000"/>
                <w:sz w:val="18"/>
                <w:szCs w:val="18"/>
              </w:rPr>
              <w:t>3,981 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5813D75" w14:textId="77777777" w:rsidR="00000000" w:rsidRDefault="00405D16">
            <w:pPr>
              <w:spacing w:after="100"/>
              <w:jc w:val="right"/>
              <w:rPr>
                <w:rFonts w:eastAsia="Times New Roman"/>
              </w:rPr>
            </w:pPr>
          </w:p>
        </w:tc>
      </w:tr>
      <w:tr w:rsidR="00000000" w14:paraId="3A880AEB" w14:textId="77777777">
        <w:trPr>
          <w:divId w:val="1685477905"/>
        </w:trPr>
        <w:tc>
          <w:tcPr>
            <w:tcW w:w="0" w:type="auto"/>
            <w:gridSpan w:val="3"/>
            <w:shd w:val="clear" w:color="auto" w:fill="FFFFFF"/>
            <w:tcMar>
              <w:top w:w="30" w:type="dxa"/>
              <w:left w:w="20" w:type="dxa"/>
              <w:bottom w:w="30" w:type="dxa"/>
              <w:right w:w="20" w:type="dxa"/>
            </w:tcMar>
            <w:vAlign w:val="center"/>
            <w:hideMark/>
          </w:tcPr>
          <w:p w14:paraId="2DBD5565" w14:textId="77777777" w:rsidR="00000000" w:rsidRDefault="00405D16">
            <w:pPr>
              <w:spacing w:after="100"/>
              <w:rPr>
                <w:rFonts w:eastAsia="Times New Roman"/>
              </w:rPr>
            </w:pPr>
            <w:r>
              <w:rPr>
                <w:rFonts w:eastAsia="Times New Roman"/>
                <w:color w:val="000000"/>
                <w:sz w:val="18"/>
                <w:szCs w:val="18"/>
              </w:rPr>
              <w:t>Other comprehensive income (loss) before reclassifications</w:t>
            </w:r>
          </w:p>
        </w:tc>
        <w:tc>
          <w:tcPr>
            <w:tcW w:w="0" w:type="auto"/>
            <w:gridSpan w:val="3"/>
            <w:shd w:val="clear" w:color="auto" w:fill="FFFFFF"/>
            <w:tcMar>
              <w:top w:w="0" w:type="dxa"/>
              <w:left w:w="20" w:type="dxa"/>
              <w:bottom w:w="0" w:type="dxa"/>
              <w:right w:w="20" w:type="dxa"/>
            </w:tcMar>
            <w:vAlign w:val="center"/>
            <w:hideMark/>
          </w:tcPr>
          <w:p w14:paraId="5381D30A"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68A0E2F" w14:textId="77777777" w:rsidR="00000000" w:rsidRDefault="00405D16">
            <w:pPr>
              <w:spacing w:after="100"/>
              <w:jc w:val="right"/>
              <w:rPr>
                <w:rFonts w:eastAsia="Times New Roman"/>
              </w:rPr>
            </w:pPr>
            <w:r>
              <w:rPr>
                <w:rFonts w:eastAsia="Times New Roman"/>
                <w:color w:val="000000"/>
                <w:sz w:val="18"/>
                <w:szCs w:val="18"/>
              </w:rPr>
              <w:t>20 </w:t>
            </w:r>
          </w:p>
        </w:tc>
        <w:tc>
          <w:tcPr>
            <w:tcW w:w="0" w:type="auto"/>
            <w:shd w:val="clear" w:color="auto" w:fill="FFFFFF"/>
            <w:tcMar>
              <w:top w:w="30" w:type="dxa"/>
              <w:left w:w="0" w:type="dxa"/>
              <w:bottom w:w="30" w:type="dxa"/>
              <w:right w:w="20" w:type="dxa"/>
            </w:tcMar>
            <w:vAlign w:val="center"/>
            <w:hideMark/>
          </w:tcPr>
          <w:p w14:paraId="694EFBF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24F2D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2861B12" w14:textId="77777777" w:rsidR="00000000" w:rsidRDefault="00405D16">
            <w:pPr>
              <w:spacing w:after="100"/>
              <w:jc w:val="right"/>
              <w:rPr>
                <w:rFonts w:eastAsia="Times New Roman"/>
              </w:rPr>
            </w:pPr>
            <w:r>
              <w:rPr>
                <w:rFonts w:eastAsia="Times New Roman"/>
                <w:color w:val="000000"/>
                <w:sz w:val="18"/>
                <w:szCs w:val="18"/>
              </w:rPr>
              <w:t>(95)</w:t>
            </w:r>
          </w:p>
        </w:tc>
        <w:tc>
          <w:tcPr>
            <w:tcW w:w="0" w:type="auto"/>
            <w:shd w:val="clear" w:color="auto" w:fill="FFFFFF"/>
            <w:tcMar>
              <w:top w:w="30" w:type="dxa"/>
              <w:left w:w="0" w:type="dxa"/>
              <w:bottom w:w="30" w:type="dxa"/>
              <w:right w:w="20" w:type="dxa"/>
            </w:tcMar>
            <w:vAlign w:val="center"/>
            <w:hideMark/>
          </w:tcPr>
          <w:p w14:paraId="0DC9550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CF14E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661C054" w14:textId="77777777" w:rsidR="00000000" w:rsidRDefault="00405D16">
            <w:pPr>
              <w:spacing w:after="100"/>
              <w:jc w:val="right"/>
              <w:rPr>
                <w:rFonts w:eastAsia="Times New Roman"/>
              </w:rPr>
            </w:pPr>
            <w:r>
              <w:rPr>
                <w:rFonts w:eastAsia="Times New Roman"/>
                <w:color w:val="000000"/>
                <w:sz w:val="18"/>
                <w:szCs w:val="18"/>
              </w:rPr>
              <w:t>28 </w:t>
            </w:r>
          </w:p>
        </w:tc>
        <w:tc>
          <w:tcPr>
            <w:tcW w:w="0" w:type="auto"/>
            <w:shd w:val="clear" w:color="auto" w:fill="FFFFFF"/>
            <w:tcMar>
              <w:top w:w="30" w:type="dxa"/>
              <w:left w:w="0" w:type="dxa"/>
              <w:bottom w:w="30" w:type="dxa"/>
              <w:right w:w="20" w:type="dxa"/>
            </w:tcMar>
            <w:vAlign w:val="center"/>
            <w:hideMark/>
          </w:tcPr>
          <w:p w14:paraId="2F1C2B4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B46D8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2DA92C2"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063CF79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F330E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BA7C79C" w14:textId="77777777" w:rsidR="00000000" w:rsidRDefault="00405D16">
            <w:pPr>
              <w:spacing w:after="100"/>
              <w:jc w:val="right"/>
              <w:rPr>
                <w:rFonts w:eastAsia="Times New Roman"/>
              </w:rPr>
            </w:pPr>
            <w:r>
              <w:rPr>
                <w:rFonts w:eastAsia="Times New Roman"/>
                <w:color w:val="000000"/>
                <w:sz w:val="18"/>
                <w:szCs w:val="18"/>
              </w:rPr>
              <w:t>(47)</w:t>
            </w:r>
          </w:p>
        </w:tc>
        <w:tc>
          <w:tcPr>
            <w:tcW w:w="0" w:type="auto"/>
            <w:shd w:val="clear" w:color="auto" w:fill="FFFFFF"/>
            <w:tcMar>
              <w:top w:w="30" w:type="dxa"/>
              <w:left w:w="0" w:type="dxa"/>
              <w:bottom w:w="30" w:type="dxa"/>
              <w:right w:w="20" w:type="dxa"/>
            </w:tcMar>
            <w:vAlign w:val="center"/>
            <w:hideMark/>
          </w:tcPr>
          <w:p w14:paraId="1EA1A6C8" w14:textId="77777777" w:rsidR="00000000" w:rsidRDefault="00405D16">
            <w:pPr>
              <w:spacing w:after="100"/>
              <w:jc w:val="right"/>
              <w:rPr>
                <w:rFonts w:eastAsia="Times New Roman"/>
              </w:rPr>
            </w:pPr>
          </w:p>
        </w:tc>
      </w:tr>
      <w:tr w:rsidR="00000000" w14:paraId="11C328E2" w14:textId="77777777">
        <w:trPr>
          <w:divId w:val="1685477905"/>
        </w:trPr>
        <w:tc>
          <w:tcPr>
            <w:tcW w:w="0" w:type="auto"/>
            <w:gridSpan w:val="3"/>
            <w:shd w:val="clear" w:color="auto" w:fill="CCEEFF"/>
            <w:tcMar>
              <w:top w:w="30" w:type="dxa"/>
              <w:left w:w="20" w:type="dxa"/>
              <w:bottom w:w="30" w:type="dxa"/>
              <w:right w:w="20" w:type="dxa"/>
            </w:tcMar>
            <w:vAlign w:val="center"/>
            <w:hideMark/>
          </w:tcPr>
          <w:p w14:paraId="10179F0F" w14:textId="77777777" w:rsidR="00000000" w:rsidRDefault="00405D16">
            <w:pPr>
              <w:spacing w:after="100"/>
              <w:rPr>
                <w:rFonts w:eastAsia="Times New Roman"/>
              </w:rPr>
            </w:pPr>
            <w:r>
              <w:rPr>
                <w:rFonts w:eastAsia="Times New Roman"/>
                <w:color w:val="000000"/>
                <w:sz w:val="18"/>
                <w:szCs w:val="18"/>
              </w:rPr>
              <w:t>Amounts reclassified from AOCI into earnings</w:t>
            </w:r>
          </w:p>
        </w:tc>
        <w:tc>
          <w:tcPr>
            <w:tcW w:w="0" w:type="auto"/>
            <w:gridSpan w:val="3"/>
            <w:shd w:val="clear" w:color="auto" w:fill="CCEEFF"/>
            <w:tcMar>
              <w:top w:w="0" w:type="dxa"/>
              <w:left w:w="20" w:type="dxa"/>
              <w:bottom w:w="0" w:type="dxa"/>
              <w:right w:w="20" w:type="dxa"/>
            </w:tcMar>
            <w:vAlign w:val="center"/>
            <w:hideMark/>
          </w:tcPr>
          <w:p w14:paraId="753DB313"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B0BDBAF" w14:textId="77777777" w:rsidR="00000000" w:rsidRDefault="00405D16">
            <w:pPr>
              <w:spacing w:after="100"/>
              <w:jc w:val="right"/>
              <w:rPr>
                <w:rFonts w:eastAsia="Times New Roman"/>
              </w:rPr>
            </w:pPr>
            <w:r>
              <w:rPr>
                <w:rFonts w:eastAsia="Times New Roman"/>
                <w:color w:val="000000"/>
                <w:sz w:val="18"/>
                <w:szCs w:val="18"/>
              </w:rPr>
              <w:t>(19)</w:t>
            </w:r>
          </w:p>
        </w:tc>
        <w:tc>
          <w:tcPr>
            <w:tcW w:w="0" w:type="auto"/>
            <w:shd w:val="clear" w:color="auto" w:fill="CCEEFF"/>
            <w:tcMar>
              <w:top w:w="30" w:type="dxa"/>
              <w:left w:w="0" w:type="dxa"/>
              <w:bottom w:w="30" w:type="dxa"/>
              <w:right w:w="20" w:type="dxa"/>
            </w:tcMar>
            <w:vAlign w:val="center"/>
            <w:hideMark/>
          </w:tcPr>
          <w:p w14:paraId="70F7A51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86098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C283851" w14:textId="77777777" w:rsidR="00000000" w:rsidRDefault="00405D16">
            <w:pPr>
              <w:spacing w:after="100"/>
              <w:jc w:val="right"/>
              <w:rPr>
                <w:rFonts w:eastAsia="Times New Roman"/>
              </w:rPr>
            </w:pPr>
            <w:r>
              <w:rPr>
                <w:rFonts w:eastAsia="Times New Roman"/>
                <w:color w:val="000000"/>
                <w:sz w:val="18"/>
                <w:szCs w:val="18"/>
              </w:rPr>
              <w:t>(80)</w:t>
            </w:r>
          </w:p>
        </w:tc>
        <w:tc>
          <w:tcPr>
            <w:tcW w:w="0" w:type="auto"/>
            <w:shd w:val="clear" w:color="auto" w:fill="CCEEFF"/>
            <w:tcMar>
              <w:top w:w="30" w:type="dxa"/>
              <w:left w:w="0" w:type="dxa"/>
              <w:bottom w:w="30" w:type="dxa"/>
              <w:right w:w="20" w:type="dxa"/>
            </w:tcMar>
            <w:vAlign w:val="center"/>
            <w:hideMark/>
          </w:tcPr>
          <w:p w14:paraId="4E053EB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43AA4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0E9322D"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1D36B8E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600D2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AE52A1F" w14:textId="77777777" w:rsidR="00000000" w:rsidRDefault="00405D16">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center"/>
            <w:hideMark/>
          </w:tcPr>
          <w:p w14:paraId="648DAD6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41D62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AC0930B" w14:textId="77777777" w:rsidR="00000000" w:rsidRDefault="00405D16">
            <w:pPr>
              <w:spacing w:after="100"/>
              <w:jc w:val="right"/>
              <w:rPr>
                <w:rFonts w:eastAsia="Times New Roman"/>
              </w:rPr>
            </w:pPr>
            <w:r>
              <w:rPr>
                <w:rFonts w:eastAsia="Times New Roman"/>
                <w:color w:val="000000"/>
                <w:sz w:val="18"/>
                <w:szCs w:val="18"/>
              </w:rPr>
              <w:t>(101)</w:t>
            </w:r>
          </w:p>
        </w:tc>
        <w:tc>
          <w:tcPr>
            <w:tcW w:w="0" w:type="auto"/>
            <w:shd w:val="clear" w:color="auto" w:fill="CCEEFF"/>
            <w:tcMar>
              <w:top w:w="30" w:type="dxa"/>
              <w:left w:w="0" w:type="dxa"/>
              <w:bottom w:w="30" w:type="dxa"/>
              <w:right w:w="20" w:type="dxa"/>
            </w:tcMar>
            <w:vAlign w:val="center"/>
            <w:hideMark/>
          </w:tcPr>
          <w:p w14:paraId="08D5EBC9" w14:textId="77777777" w:rsidR="00000000" w:rsidRDefault="00405D16">
            <w:pPr>
              <w:spacing w:after="100"/>
              <w:jc w:val="right"/>
              <w:rPr>
                <w:rFonts w:eastAsia="Times New Roman"/>
              </w:rPr>
            </w:pPr>
          </w:p>
        </w:tc>
      </w:tr>
      <w:tr w:rsidR="00000000" w14:paraId="47E17572" w14:textId="77777777">
        <w:trPr>
          <w:divId w:val="1685477905"/>
        </w:trPr>
        <w:tc>
          <w:tcPr>
            <w:tcW w:w="0" w:type="auto"/>
            <w:gridSpan w:val="3"/>
            <w:shd w:val="clear" w:color="auto" w:fill="FFFFFF"/>
            <w:tcMar>
              <w:top w:w="30" w:type="dxa"/>
              <w:left w:w="20" w:type="dxa"/>
              <w:bottom w:w="30" w:type="dxa"/>
              <w:right w:w="20" w:type="dxa"/>
            </w:tcMar>
            <w:vAlign w:val="center"/>
            <w:hideMark/>
          </w:tcPr>
          <w:p w14:paraId="070415AF" w14:textId="77777777" w:rsidR="00000000" w:rsidRDefault="00405D16">
            <w:pPr>
              <w:spacing w:after="100"/>
              <w:rPr>
                <w:rFonts w:eastAsia="Times New Roman"/>
              </w:rPr>
            </w:pPr>
            <w:r>
              <w:rPr>
                <w:rFonts w:eastAsia="Times New Roman"/>
                <w:color w:val="000000"/>
                <w:sz w:val="18"/>
                <w:szCs w:val="18"/>
              </w:rPr>
              <w:t>Other comprehensive income (loss), net of tax</w:t>
            </w:r>
          </w:p>
        </w:tc>
        <w:tc>
          <w:tcPr>
            <w:tcW w:w="0" w:type="auto"/>
            <w:gridSpan w:val="3"/>
            <w:shd w:val="clear" w:color="auto" w:fill="FFFFFF"/>
            <w:tcMar>
              <w:top w:w="0" w:type="dxa"/>
              <w:left w:w="20" w:type="dxa"/>
              <w:bottom w:w="0" w:type="dxa"/>
              <w:right w:w="20" w:type="dxa"/>
            </w:tcMar>
            <w:vAlign w:val="center"/>
            <w:hideMark/>
          </w:tcPr>
          <w:p w14:paraId="42C09B2A"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20D63C2" w14:textId="77777777" w:rsidR="00000000" w:rsidRDefault="00405D16">
            <w:pPr>
              <w:spacing w:after="100"/>
              <w:jc w:val="right"/>
              <w:rPr>
                <w:rFonts w:eastAsia="Times New Roman"/>
              </w:rPr>
            </w:pPr>
            <w:r>
              <w:rPr>
                <w:rFonts w:eastAsia="Times New Roman"/>
                <w:color w:val="000000"/>
                <w:sz w:val="18"/>
                <w:szCs w:val="18"/>
              </w:rPr>
              <w:t>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6B910F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CBFD58"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0C2BBE3" w14:textId="77777777" w:rsidR="00000000" w:rsidRDefault="00405D16">
            <w:pPr>
              <w:spacing w:after="100"/>
              <w:jc w:val="right"/>
              <w:rPr>
                <w:rFonts w:eastAsia="Times New Roman"/>
              </w:rPr>
            </w:pPr>
            <w:r>
              <w:rPr>
                <w:rFonts w:eastAsia="Times New Roman"/>
                <w:color w:val="000000"/>
                <w:sz w:val="18"/>
                <w:szCs w:val="18"/>
              </w:rPr>
              <w:t>(175)</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9AEBFA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FBD28B"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AC90D04" w14:textId="77777777" w:rsidR="00000000" w:rsidRDefault="00405D16">
            <w:pPr>
              <w:spacing w:after="100"/>
              <w:jc w:val="right"/>
              <w:rPr>
                <w:rFonts w:eastAsia="Times New Roman"/>
              </w:rPr>
            </w:pPr>
            <w:r>
              <w:rPr>
                <w:rFonts w:eastAsia="Times New Roman"/>
                <w:color w:val="000000"/>
                <w:sz w:val="18"/>
                <w:szCs w:val="18"/>
              </w:rPr>
              <w:t>28 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E05294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0E1018"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18C2748" w14:textId="77777777" w:rsidR="00000000" w:rsidRDefault="00405D16">
            <w:pPr>
              <w:spacing w:after="100"/>
              <w:jc w:val="right"/>
              <w:rPr>
                <w:rFonts w:eastAsia="Times New Roman"/>
              </w:rPr>
            </w:pPr>
            <w:r>
              <w:rPr>
                <w:rFonts w:eastAsia="Times New Roman"/>
                <w:color w:val="000000"/>
                <w:sz w:val="18"/>
                <w:szCs w:val="18"/>
              </w:rPr>
              <w:t>(2)</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8CBE8B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AAD1F4"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1453696" w14:textId="77777777" w:rsidR="00000000" w:rsidRDefault="00405D16">
            <w:pPr>
              <w:spacing w:after="100"/>
              <w:jc w:val="right"/>
              <w:rPr>
                <w:rFonts w:eastAsia="Times New Roman"/>
              </w:rPr>
            </w:pPr>
            <w:r>
              <w:rPr>
                <w:rFonts w:eastAsia="Times New Roman"/>
                <w:color w:val="000000"/>
                <w:sz w:val="18"/>
                <w:szCs w:val="18"/>
              </w:rPr>
              <w:t>(148)</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74BF421" w14:textId="77777777" w:rsidR="00000000" w:rsidRDefault="00405D16">
            <w:pPr>
              <w:spacing w:after="100"/>
              <w:jc w:val="right"/>
              <w:rPr>
                <w:rFonts w:eastAsia="Times New Roman"/>
              </w:rPr>
            </w:pPr>
          </w:p>
        </w:tc>
      </w:tr>
      <w:tr w:rsidR="00000000" w14:paraId="087A86F9" w14:textId="77777777">
        <w:trPr>
          <w:divId w:val="1685477905"/>
        </w:trPr>
        <w:tc>
          <w:tcPr>
            <w:tcW w:w="0" w:type="auto"/>
            <w:gridSpan w:val="3"/>
            <w:shd w:val="clear" w:color="auto" w:fill="CCEEFF"/>
            <w:tcMar>
              <w:top w:w="30" w:type="dxa"/>
              <w:left w:w="20" w:type="dxa"/>
              <w:bottom w:w="30" w:type="dxa"/>
              <w:right w:w="20" w:type="dxa"/>
            </w:tcMar>
            <w:vAlign w:val="center"/>
            <w:hideMark/>
          </w:tcPr>
          <w:p w14:paraId="2F637FFD" w14:textId="77777777" w:rsidR="00000000" w:rsidRDefault="00405D16">
            <w:pPr>
              <w:spacing w:after="100"/>
              <w:rPr>
                <w:rFonts w:eastAsia="Times New Roman"/>
              </w:rPr>
            </w:pPr>
            <w:r>
              <w:rPr>
                <w:rFonts w:eastAsia="Times New Roman"/>
                <w:color w:val="000000"/>
                <w:sz w:val="18"/>
                <w:szCs w:val="18"/>
              </w:rPr>
              <w:t>AOCI as of September 30, 2020</w:t>
            </w:r>
          </w:p>
        </w:tc>
        <w:tc>
          <w:tcPr>
            <w:tcW w:w="0" w:type="auto"/>
            <w:gridSpan w:val="3"/>
            <w:shd w:val="clear" w:color="auto" w:fill="CCEEFF"/>
            <w:tcMar>
              <w:top w:w="0" w:type="dxa"/>
              <w:left w:w="20" w:type="dxa"/>
              <w:bottom w:w="0" w:type="dxa"/>
              <w:right w:w="20" w:type="dxa"/>
            </w:tcMar>
            <w:vAlign w:val="center"/>
            <w:hideMark/>
          </w:tcPr>
          <w:p w14:paraId="1731E421"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00989F2"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38FDFF74" w14:textId="77777777" w:rsidR="00000000" w:rsidRDefault="00405D16">
            <w:pPr>
              <w:spacing w:after="100"/>
              <w:jc w:val="right"/>
              <w:rPr>
                <w:rFonts w:eastAsia="Times New Roman"/>
              </w:rPr>
            </w:pPr>
            <w:r>
              <w:rPr>
                <w:rFonts w:eastAsia="Times New Roman"/>
                <w:color w:val="000000"/>
                <w:sz w:val="18"/>
                <w:szCs w:val="18"/>
              </w:rPr>
              <w:t>2,374 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33DC66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F13F45"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091542D1"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FB10300" w14:textId="77777777" w:rsidR="00000000" w:rsidRDefault="00405D16">
            <w:pPr>
              <w:spacing w:after="100"/>
              <w:jc w:val="right"/>
              <w:rPr>
                <w:rFonts w:eastAsia="Times New Roman"/>
              </w:rPr>
            </w:pPr>
            <w:r>
              <w:rPr>
                <w:rFonts w:eastAsia="Times New Roman"/>
                <w:color w:val="000000"/>
                <w:sz w:val="18"/>
                <w:szCs w:val="18"/>
              </w:rPr>
              <w:t>1,610 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4CCDDE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68FA80"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05EBA58"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D1FA480" w14:textId="77777777" w:rsidR="00000000" w:rsidRDefault="00405D16">
            <w:pPr>
              <w:spacing w:after="100"/>
              <w:jc w:val="right"/>
              <w:rPr>
                <w:rFonts w:eastAsia="Times New Roman"/>
              </w:rPr>
            </w:pPr>
            <w:r>
              <w:rPr>
                <w:rFonts w:eastAsia="Times New Roman"/>
                <w:color w:val="000000"/>
                <w:sz w:val="18"/>
                <w:szCs w:val="18"/>
              </w:rPr>
              <w:t>(123)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1F696D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06B0B7"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07B6562B"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914627F" w14:textId="77777777" w:rsidR="00000000" w:rsidRDefault="00405D16">
            <w:pPr>
              <w:spacing w:after="100"/>
              <w:jc w:val="right"/>
              <w:rPr>
                <w:rFonts w:eastAsia="Times New Roman"/>
              </w:rPr>
            </w:pPr>
            <w:r>
              <w:rPr>
                <w:rFonts w:eastAsia="Times New Roman"/>
                <w:color w:val="000000"/>
                <w:sz w:val="18"/>
                <w:szCs w:val="18"/>
              </w:rPr>
              <w:t>(28)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E1388C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738186"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03CF135"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CFE5E17" w14:textId="77777777" w:rsidR="00000000" w:rsidRDefault="00405D16">
            <w:pPr>
              <w:spacing w:after="100"/>
              <w:jc w:val="right"/>
              <w:rPr>
                <w:rFonts w:eastAsia="Times New Roman"/>
              </w:rPr>
            </w:pPr>
            <w:r>
              <w:rPr>
                <w:rFonts w:eastAsia="Times New Roman"/>
                <w:color w:val="000000"/>
                <w:sz w:val="18"/>
                <w:szCs w:val="18"/>
              </w:rPr>
              <w:t>3,833 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56C580B" w14:textId="77777777" w:rsidR="00000000" w:rsidRDefault="00405D16">
            <w:pPr>
              <w:spacing w:after="100"/>
              <w:jc w:val="right"/>
              <w:rPr>
                <w:rFonts w:eastAsia="Times New Roman"/>
              </w:rPr>
            </w:pPr>
          </w:p>
        </w:tc>
      </w:tr>
    </w:tbl>
    <w:tbl>
      <w:tblPr>
        <w:tblW w:w="4985" w:type="pct"/>
        <w:tblCellMar>
          <w:top w:w="15" w:type="dxa"/>
          <w:left w:w="15" w:type="dxa"/>
          <w:bottom w:w="15" w:type="dxa"/>
          <w:right w:w="15" w:type="dxa"/>
        </w:tblCellMar>
        <w:tblLook w:val="04A0" w:firstRow="1" w:lastRow="0" w:firstColumn="1" w:lastColumn="0" w:noHBand="0" w:noVBand="1"/>
      </w:tblPr>
      <w:tblGrid>
        <w:gridCol w:w="144"/>
        <w:gridCol w:w="3842"/>
        <w:gridCol w:w="144"/>
        <w:gridCol w:w="144"/>
        <w:gridCol w:w="144"/>
        <w:gridCol w:w="144"/>
        <w:gridCol w:w="144"/>
        <w:gridCol w:w="685"/>
        <w:gridCol w:w="144"/>
        <w:gridCol w:w="144"/>
        <w:gridCol w:w="144"/>
        <w:gridCol w:w="144"/>
        <w:gridCol w:w="144"/>
        <w:gridCol w:w="879"/>
        <w:gridCol w:w="144"/>
        <w:gridCol w:w="144"/>
        <w:gridCol w:w="144"/>
        <w:gridCol w:w="144"/>
        <w:gridCol w:w="144"/>
        <w:gridCol w:w="843"/>
        <w:gridCol w:w="144"/>
        <w:gridCol w:w="144"/>
        <w:gridCol w:w="144"/>
        <w:gridCol w:w="144"/>
        <w:gridCol w:w="144"/>
        <w:gridCol w:w="587"/>
        <w:gridCol w:w="144"/>
        <w:gridCol w:w="144"/>
        <w:gridCol w:w="144"/>
        <w:gridCol w:w="144"/>
        <w:gridCol w:w="144"/>
        <w:gridCol w:w="587"/>
        <w:gridCol w:w="144"/>
      </w:tblGrid>
      <w:tr w:rsidR="00000000" w14:paraId="450884A6" w14:textId="77777777">
        <w:tc>
          <w:tcPr>
            <w:tcW w:w="50" w:type="pct"/>
            <w:vAlign w:val="center"/>
            <w:hideMark/>
          </w:tcPr>
          <w:p w14:paraId="5F98C44A" w14:textId="77777777" w:rsidR="00000000" w:rsidRDefault="00405D16">
            <w:pPr>
              <w:jc w:val="both"/>
              <w:rPr>
                <w:rFonts w:eastAsia="Times New Roman"/>
              </w:rPr>
            </w:pPr>
          </w:p>
        </w:tc>
        <w:tc>
          <w:tcPr>
            <w:tcW w:w="2320" w:type="pct"/>
            <w:vAlign w:val="center"/>
            <w:hideMark/>
          </w:tcPr>
          <w:p w14:paraId="02AF2FD1" w14:textId="77777777" w:rsidR="00000000" w:rsidRDefault="00405D16">
            <w:pPr>
              <w:spacing w:after="100"/>
              <w:rPr>
                <w:rFonts w:eastAsia="Times New Roman"/>
                <w:sz w:val="20"/>
                <w:szCs w:val="20"/>
              </w:rPr>
            </w:pPr>
          </w:p>
        </w:tc>
        <w:tc>
          <w:tcPr>
            <w:tcW w:w="5" w:type="pct"/>
            <w:vAlign w:val="center"/>
            <w:hideMark/>
          </w:tcPr>
          <w:p w14:paraId="15CA0BBE" w14:textId="77777777" w:rsidR="00000000" w:rsidRDefault="00405D16">
            <w:pPr>
              <w:spacing w:after="100"/>
              <w:rPr>
                <w:rFonts w:eastAsia="Times New Roman"/>
                <w:sz w:val="20"/>
                <w:szCs w:val="20"/>
              </w:rPr>
            </w:pPr>
          </w:p>
        </w:tc>
        <w:tc>
          <w:tcPr>
            <w:tcW w:w="5" w:type="pct"/>
            <w:vAlign w:val="center"/>
            <w:hideMark/>
          </w:tcPr>
          <w:p w14:paraId="03312EF4" w14:textId="77777777" w:rsidR="00000000" w:rsidRDefault="00405D16">
            <w:pPr>
              <w:spacing w:after="100"/>
              <w:rPr>
                <w:rFonts w:eastAsia="Times New Roman"/>
                <w:sz w:val="20"/>
                <w:szCs w:val="20"/>
              </w:rPr>
            </w:pPr>
          </w:p>
        </w:tc>
        <w:tc>
          <w:tcPr>
            <w:tcW w:w="26" w:type="pct"/>
            <w:vAlign w:val="center"/>
            <w:hideMark/>
          </w:tcPr>
          <w:p w14:paraId="10E2F03B" w14:textId="77777777" w:rsidR="00000000" w:rsidRDefault="00405D16">
            <w:pPr>
              <w:spacing w:after="100"/>
              <w:rPr>
                <w:rFonts w:eastAsia="Times New Roman"/>
                <w:sz w:val="20"/>
                <w:szCs w:val="20"/>
              </w:rPr>
            </w:pPr>
          </w:p>
        </w:tc>
        <w:tc>
          <w:tcPr>
            <w:tcW w:w="5" w:type="pct"/>
            <w:vAlign w:val="center"/>
            <w:hideMark/>
          </w:tcPr>
          <w:p w14:paraId="6D26B3A4" w14:textId="77777777" w:rsidR="00000000" w:rsidRDefault="00405D16">
            <w:pPr>
              <w:spacing w:after="100"/>
              <w:rPr>
                <w:rFonts w:eastAsia="Times New Roman"/>
                <w:sz w:val="20"/>
                <w:szCs w:val="20"/>
              </w:rPr>
            </w:pPr>
          </w:p>
        </w:tc>
        <w:tc>
          <w:tcPr>
            <w:tcW w:w="50" w:type="pct"/>
            <w:vAlign w:val="center"/>
            <w:hideMark/>
          </w:tcPr>
          <w:p w14:paraId="00C691DE" w14:textId="77777777" w:rsidR="00000000" w:rsidRDefault="00405D16">
            <w:pPr>
              <w:spacing w:after="100"/>
              <w:rPr>
                <w:rFonts w:eastAsia="Times New Roman"/>
                <w:sz w:val="20"/>
                <w:szCs w:val="20"/>
              </w:rPr>
            </w:pPr>
          </w:p>
        </w:tc>
        <w:tc>
          <w:tcPr>
            <w:tcW w:w="414" w:type="pct"/>
            <w:vAlign w:val="center"/>
            <w:hideMark/>
          </w:tcPr>
          <w:p w14:paraId="5CD6ABB7" w14:textId="77777777" w:rsidR="00000000" w:rsidRDefault="00405D16">
            <w:pPr>
              <w:spacing w:after="100"/>
              <w:rPr>
                <w:rFonts w:eastAsia="Times New Roman"/>
                <w:sz w:val="20"/>
                <w:szCs w:val="20"/>
              </w:rPr>
            </w:pPr>
          </w:p>
        </w:tc>
        <w:tc>
          <w:tcPr>
            <w:tcW w:w="5" w:type="pct"/>
            <w:vAlign w:val="center"/>
            <w:hideMark/>
          </w:tcPr>
          <w:p w14:paraId="328682EB" w14:textId="77777777" w:rsidR="00000000" w:rsidRDefault="00405D16">
            <w:pPr>
              <w:spacing w:after="100"/>
              <w:rPr>
                <w:rFonts w:eastAsia="Times New Roman"/>
                <w:sz w:val="20"/>
                <w:szCs w:val="20"/>
              </w:rPr>
            </w:pPr>
          </w:p>
        </w:tc>
        <w:tc>
          <w:tcPr>
            <w:tcW w:w="5" w:type="pct"/>
            <w:vAlign w:val="center"/>
            <w:hideMark/>
          </w:tcPr>
          <w:p w14:paraId="6D5944D7" w14:textId="77777777" w:rsidR="00000000" w:rsidRDefault="00405D16">
            <w:pPr>
              <w:spacing w:after="100"/>
              <w:rPr>
                <w:rFonts w:eastAsia="Times New Roman"/>
                <w:sz w:val="20"/>
                <w:szCs w:val="20"/>
              </w:rPr>
            </w:pPr>
          </w:p>
        </w:tc>
        <w:tc>
          <w:tcPr>
            <w:tcW w:w="26" w:type="pct"/>
            <w:vAlign w:val="center"/>
            <w:hideMark/>
          </w:tcPr>
          <w:p w14:paraId="14B2D349" w14:textId="77777777" w:rsidR="00000000" w:rsidRDefault="00405D16">
            <w:pPr>
              <w:spacing w:after="100"/>
              <w:rPr>
                <w:rFonts w:eastAsia="Times New Roman"/>
                <w:sz w:val="20"/>
                <w:szCs w:val="20"/>
              </w:rPr>
            </w:pPr>
          </w:p>
        </w:tc>
        <w:tc>
          <w:tcPr>
            <w:tcW w:w="5" w:type="pct"/>
            <w:vAlign w:val="center"/>
            <w:hideMark/>
          </w:tcPr>
          <w:p w14:paraId="2B604FA4" w14:textId="77777777" w:rsidR="00000000" w:rsidRDefault="00405D16">
            <w:pPr>
              <w:spacing w:after="100"/>
              <w:rPr>
                <w:rFonts w:eastAsia="Times New Roman"/>
                <w:sz w:val="20"/>
                <w:szCs w:val="20"/>
              </w:rPr>
            </w:pPr>
          </w:p>
        </w:tc>
        <w:tc>
          <w:tcPr>
            <w:tcW w:w="50" w:type="pct"/>
            <w:vAlign w:val="center"/>
            <w:hideMark/>
          </w:tcPr>
          <w:p w14:paraId="28DC224B" w14:textId="77777777" w:rsidR="00000000" w:rsidRDefault="00405D16">
            <w:pPr>
              <w:spacing w:after="100"/>
              <w:rPr>
                <w:rFonts w:eastAsia="Times New Roman"/>
                <w:sz w:val="20"/>
                <w:szCs w:val="20"/>
              </w:rPr>
            </w:pPr>
          </w:p>
        </w:tc>
        <w:tc>
          <w:tcPr>
            <w:tcW w:w="531" w:type="pct"/>
            <w:vAlign w:val="center"/>
            <w:hideMark/>
          </w:tcPr>
          <w:p w14:paraId="201C5750" w14:textId="77777777" w:rsidR="00000000" w:rsidRDefault="00405D16">
            <w:pPr>
              <w:spacing w:after="100"/>
              <w:rPr>
                <w:rFonts w:eastAsia="Times New Roman"/>
                <w:sz w:val="20"/>
                <w:szCs w:val="20"/>
              </w:rPr>
            </w:pPr>
          </w:p>
        </w:tc>
        <w:tc>
          <w:tcPr>
            <w:tcW w:w="5" w:type="pct"/>
            <w:vAlign w:val="center"/>
            <w:hideMark/>
          </w:tcPr>
          <w:p w14:paraId="7A4E5726" w14:textId="77777777" w:rsidR="00000000" w:rsidRDefault="00405D16">
            <w:pPr>
              <w:spacing w:after="100"/>
              <w:rPr>
                <w:rFonts w:eastAsia="Times New Roman"/>
                <w:sz w:val="20"/>
                <w:szCs w:val="20"/>
              </w:rPr>
            </w:pPr>
          </w:p>
        </w:tc>
        <w:tc>
          <w:tcPr>
            <w:tcW w:w="5" w:type="pct"/>
            <w:vAlign w:val="center"/>
            <w:hideMark/>
          </w:tcPr>
          <w:p w14:paraId="2A724AC3" w14:textId="77777777" w:rsidR="00000000" w:rsidRDefault="00405D16">
            <w:pPr>
              <w:spacing w:after="100"/>
              <w:rPr>
                <w:rFonts w:eastAsia="Times New Roman"/>
                <w:sz w:val="20"/>
                <w:szCs w:val="20"/>
              </w:rPr>
            </w:pPr>
          </w:p>
        </w:tc>
        <w:tc>
          <w:tcPr>
            <w:tcW w:w="26" w:type="pct"/>
            <w:vAlign w:val="center"/>
            <w:hideMark/>
          </w:tcPr>
          <w:p w14:paraId="7DAADB5A" w14:textId="77777777" w:rsidR="00000000" w:rsidRDefault="00405D16">
            <w:pPr>
              <w:spacing w:after="100"/>
              <w:rPr>
                <w:rFonts w:eastAsia="Times New Roman"/>
                <w:sz w:val="20"/>
                <w:szCs w:val="20"/>
              </w:rPr>
            </w:pPr>
          </w:p>
        </w:tc>
        <w:tc>
          <w:tcPr>
            <w:tcW w:w="5" w:type="pct"/>
            <w:vAlign w:val="center"/>
            <w:hideMark/>
          </w:tcPr>
          <w:p w14:paraId="1EADF499" w14:textId="77777777" w:rsidR="00000000" w:rsidRDefault="00405D16">
            <w:pPr>
              <w:spacing w:after="100"/>
              <w:rPr>
                <w:rFonts w:eastAsia="Times New Roman"/>
                <w:sz w:val="20"/>
                <w:szCs w:val="20"/>
              </w:rPr>
            </w:pPr>
          </w:p>
        </w:tc>
        <w:tc>
          <w:tcPr>
            <w:tcW w:w="50" w:type="pct"/>
            <w:vAlign w:val="center"/>
            <w:hideMark/>
          </w:tcPr>
          <w:p w14:paraId="128D5073" w14:textId="77777777" w:rsidR="00000000" w:rsidRDefault="00405D16">
            <w:pPr>
              <w:spacing w:after="100"/>
              <w:rPr>
                <w:rFonts w:eastAsia="Times New Roman"/>
                <w:sz w:val="20"/>
                <w:szCs w:val="20"/>
              </w:rPr>
            </w:pPr>
          </w:p>
        </w:tc>
        <w:tc>
          <w:tcPr>
            <w:tcW w:w="509" w:type="pct"/>
            <w:vAlign w:val="center"/>
            <w:hideMark/>
          </w:tcPr>
          <w:p w14:paraId="52540E76" w14:textId="77777777" w:rsidR="00000000" w:rsidRDefault="00405D16">
            <w:pPr>
              <w:spacing w:after="100"/>
              <w:rPr>
                <w:rFonts w:eastAsia="Times New Roman"/>
                <w:sz w:val="20"/>
                <w:szCs w:val="20"/>
              </w:rPr>
            </w:pPr>
          </w:p>
        </w:tc>
        <w:tc>
          <w:tcPr>
            <w:tcW w:w="5" w:type="pct"/>
            <w:vAlign w:val="center"/>
            <w:hideMark/>
          </w:tcPr>
          <w:p w14:paraId="7DBBB807" w14:textId="77777777" w:rsidR="00000000" w:rsidRDefault="00405D16">
            <w:pPr>
              <w:spacing w:after="100"/>
              <w:rPr>
                <w:rFonts w:eastAsia="Times New Roman"/>
                <w:sz w:val="20"/>
                <w:szCs w:val="20"/>
              </w:rPr>
            </w:pPr>
          </w:p>
        </w:tc>
        <w:tc>
          <w:tcPr>
            <w:tcW w:w="5" w:type="pct"/>
            <w:vAlign w:val="center"/>
            <w:hideMark/>
          </w:tcPr>
          <w:p w14:paraId="258FEBB7" w14:textId="77777777" w:rsidR="00000000" w:rsidRDefault="00405D16">
            <w:pPr>
              <w:spacing w:after="100"/>
              <w:rPr>
                <w:rFonts w:eastAsia="Times New Roman"/>
                <w:sz w:val="20"/>
                <w:szCs w:val="20"/>
              </w:rPr>
            </w:pPr>
          </w:p>
        </w:tc>
        <w:tc>
          <w:tcPr>
            <w:tcW w:w="26" w:type="pct"/>
            <w:vAlign w:val="center"/>
            <w:hideMark/>
          </w:tcPr>
          <w:p w14:paraId="1D529909" w14:textId="77777777" w:rsidR="00000000" w:rsidRDefault="00405D16">
            <w:pPr>
              <w:spacing w:after="100"/>
              <w:rPr>
                <w:rFonts w:eastAsia="Times New Roman"/>
                <w:sz w:val="20"/>
                <w:szCs w:val="20"/>
              </w:rPr>
            </w:pPr>
          </w:p>
        </w:tc>
        <w:tc>
          <w:tcPr>
            <w:tcW w:w="5" w:type="pct"/>
            <w:vAlign w:val="center"/>
            <w:hideMark/>
          </w:tcPr>
          <w:p w14:paraId="04C5A1AD" w14:textId="77777777" w:rsidR="00000000" w:rsidRDefault="00405D16">
            <w:pPr>
              <w:spacing w:after="100"/>
              <w:rPr>
                <w:rFonts w:eastAsia="Times New Roman"/>
                <w:sz w:val="20"/>
                <w:szCs w:val="20"/>
              </w:rPr>
            </w:pPr>
          </w:p>
        </w:tc>
        <w:tc>
          <w:tcPr>
            <w:tcW w:w="50" w:type="pct"/>
            <w:vAlign w:val="center"/>
            <w:hideMark/>
          </w:tcPr>
          <w:p w14:paraId="2CD80E30" w14:textId="77777777" w:rsidR="00000000" w:rsidRDefault="00405D16">
            <w:pPr>
              <w:spacing w:after="100"/>
              <w:rPr>
                <w:rFonts w:eastAsia="Times New Roman"/>
                <w:sz w:val="20"/>
                <w:szCs w:val="20"/>
              </w:rPr>
            </w:pPr>
          </w:p>
        </w:tc>
        <w:tc>
          <w:tcPr>
            <w:tcW w:w="355" w:type="pct"/>
            <w:vAlign w:val="center"/>
            <w:hideMark/>
          </w:tcPr>
          <w:p w14:paraId="77A524F2" w14:textId="77777777" w:rsidR="00000000" w:rsidRDefault="00405D16">
            <w:pPr>
              <w:spacing w:after="100"/>
              <w:rPr>
                <w:rFonts w:eastAsia="Times New Roman"/>
                <w:sz w:val="20"/>
                <w:szCs w:val="20"/>
              </w:rPr>
            </w:pPr>
          </w:p>
        </w:tc>
        <w:tc>
          <w:tcPr>
            <w:tcW w:w="5" w:type="pct"/>
            <w:vAlign w:val="center"/>
            <w:hideMark/>
          </w:tcPr>
          <w:p w14:paraId="15874C21" w14:textId="77777777" w:rsidR="00000000" w:rsidRDefault="00405D16">
            <w:pPr>
              <w:spacing w:after="100"/>
              <w:rPr>
                <w:rFonts w:eastAsia="Times New Roman"/>
                <w:sz w:val="20"/>
                <w:szCs w:val="20"/>
              </w:rPr>
            </w:pPr>
          </w:p>
        </w:tc>
        <w:tc>
          <w:tcPr>
            <w:tcW w:w="5" w:type="pct"/>
            <w:vAlign w:val="center"/>
            <w:hideMark/>
          </w:tcPr>
          <w:p w14:paraId="02805D57" w14:textId="77777777" w:rsidR="00000000" w:rsidRDefault="00405D16">
            <w:pPr>
              <w:spacing w:after="100"/>
              <w:rPr>
                <w:rFonts w:eastAsia="Times New Roman"/>
                <w:sz w:val="20"/>
                <w:szCs w:val="20"/>
              </w:rPr>
            </w:pPr>
          </w:p>
        </w:tc>
        <w:tc>
          <w:tcPr>
            <w:tcW w:w="26" w:type="pct"/>
            <w:vAlign w:val="center"/>
            <w:hideMark/>
          </w:tcPr>
          <w:p w14:paraId="118993CC" w14:textId="77777777" w:rsidR="00000000" w:rsidRDefault="00405D16">
            <w:pPr>
              <w:spacing w:after="100"/>
              <w:rPr>
                <w:rFonts w:eastAsia="Times New Roman"/>
                <w:sz w:val="20"/>
                <w:szCs w:val="20"/>
              </w:rPr>
            </w:pPr>
          </w:p>
        </w:tc>
        <w:tc>
          <w:tcPr>
            <w:tcW w:w="5" w:type="pct"/>
            <w:vAlign w:val="center"/>
            <w:hideMark/>
          </w:tcPr>
          <w:p w14:paraId="65F7ADA2" w14:textId="77777777" w:rsidR="00000000" w:rsidRDefault="00405D16">
            <w:pPr>
              <w:spacing w:after="100"/>
              <w:rPr>
                <w:rFonts w:eastAsia="Times New Roman"/>
                <w:sz w:val="20"/>
                <w:szCs w:val="20"/>
              </w:rPr>
            </w:pPr>
          </w:p>
        </w:tc>
        <w:tc>
          <w:tcPr>
            <w:tcW w:w="50" w:type="pct"/>
            <w:vAlign w:val="center"/>
            <w:hideMark/>
          </w:tcPr>
          <w:p w14:paraId="69CD1D5B" w14:textId="77777777" w:rsidR="00000000" w:rsidRDefault="00405D16">
            <w:pPr>
              <w:spacing w:after="100"/>
              <w:rPr>
                <w:rFonts w:eastAsia="Times New Roman"/>
                <w:sz w:val="20"/>
                <w:szCs w:val="20"/>
              </w:rPr>
            </w:pPr>
          </w:p>
        </w:tc>
        <w:tc>
          <w:tcPr>
            <w:tcW w:w="355" w:type="pct"/>
            <w:vAlign w:val="center"/>
            <w:hideMark/>
          </w:tcPr>
          <w:p w14:paraId="7CEC0F69" w14:textId="77777777" w:rsidR="00000000" w:rsidRDefault="00405D16">
            <w:pPr>
              <w:spacing w:after="100"/>
              <w:rPr>
                <w:rFonts w:eastAsia="Times New Roman"/>
                <w:sz w:val="20"/>
                <w:szCs w:val="20"/>
              </w:rPr>
            </w:pPr>
          </w:p>
        </w:tc>
        <w:tc>
          <w:tcPr>
            <w:tcW w:w="5" w:type="pct"/>
            <w:vAlign w:val="center"/>
            <w:hideMark/>
          </w:tcPr>
          <w:p w14:paraId="071829CE" w14:textId="77777777" w:rsidR="00000000" w:rsidRDefault="00405D16">
            <w:pPr>
              <w:spacing w:after="100"/>
              <w:rPr>
                <w:rFonts w:eastAsia="Times New Roman"/>
                <w:sz w:val="20"/>
                <w:szCs w:val="20"/>
              </w:rPr>
            </w:pPr>
          </w:p>
        </w:tc>
      </w:tr>
      <w:tr w:rsidR="00000000" w14:paraId="12178691" w14:textId="77777777">
        <w:tc>
          <w:tcPr>
            <w:tcW w:w="0" w:type="auto"/>
            <w:gridSpan w:val="3"/>
            <w:tcMar>
              <w:top w:w="0" w:type="dxa"/>
              <w:left w:w="20" w:type="dxa"/>
              <w:bottom w:w="0" w:type="dxa"/>
              <w:right w:w="20" w:type="dxa"/>
            </w:tcMar>
            <w:vAlign w:val="center"/>
            <w:hideMark/>
          </w:tcPr>
          <w:p w14:paraId="72D5B2B6"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35EB3A" w14:textId="77777777" w:rsidR="00000000" w:rsidRDefault="00405D16">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2E8DD455" w14:textId="77777777" w:rsidR="00000000" w:rsidRDefault="00405D16">
            <w:pPr>
              <w:spacing w:after="100"/>
              <w:jc w:val="center"/>
              <w:rPr>
                <w:rFonts w:eastAsia="Times New Roman"/>
              </w:rPr>
            </w:pPr>
            <w:r>
              <w:rPr>
                <w:rFonts w:eastAsia="Times New Roman"/>
                <w:b/>
                <w:bCs/>
                <w:color w:val="000000"/>
                <w:sz w:val="16"/>
                <w:szCs w:val="16"/>
              </w:rPr>
              <w:t>Nine Months Ended September 30, 2020</w:t>
            </w:r>
          </w:p>
        </w:tc>
      </w:tr>
      <w:tr w:rsidR="00000000" w14:paraId="5627D365" w14:textId="77777777">
        <w:tc>
          <w:tcPr>
            <w:tcW w:w="0" w:type="auto"/>
            <w:gridSpan w:val="3"/>
            <w:tcMar>
              <w:top w:w="30" w:type="dxa"/>
              <w:left w:w="20" w:type="dxa"/>
              <w:bottom w:w="30" w:type="dxa"/>
              <w:right w:w="20" w:type="dxa"/>
            </w:tcMar>
            <w:vAlign w:val="bottom"/>
            <w:hideMark/>
          </w:tcPr>
          <w:p w14:paraId="2B92194E"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1EE19AC2"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FFABAA6" w14:textId="77777777" w:rsidR="00000000" w:rsidRDefault="00405D16">
            <w:pPr>
              <w:spacing w:after="100"/>
              <w:jc w:val="center"/>
              <w:rPr>
                <w:rFonts w:eastAsia="Times New Roman"/>
              </w:rPr>
            </w:pPr>
            <w:r>
              <w:rPr>
                <w:rFonts w:eastAsia="Times New Roman"/>
                <w:b/>
                <w:bCs/>
                <w:color w:val="000000"/>
                <w:sz w:val="16"/>
                <w:szCs w:val="16"/>
              </w:rPr>
              <w:t>Securities Available for Sale</w:t>
            </w:r>
          </w:p>
        </w:tc>
        <w:tc>
          <w:tcPr>
            <w:tcW w:w="0" w:type="auto"/>
            <w:gridSpan w:val="3"/>
            <w:tcBorders>
              <w:top w:val="single" w:sz="8" w:space="0" w:color="000000"/>
            </w:tcBorders>
            <w:tcMar>
              <w:top w:w="0" w:type="dxa"/>
              <w:left w:w="20" w:type="dxa"/>
              <w:bottom w:w="0" w:type="dxa"/>
              <w:right w:w="20" w:type="dxa"/>
            </w:tcMar>
            <w:vAlign w:val="center"/>
            <w:hideMark/>
          </w:tcPr>
          <w:p w14:paraId="60D758A8"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0710384" w14:textId="77777777" w:rsidR="00000000" w:rsidRDefault="00405D16">
            <w:pPr>
              <w:spacing w:after="100"/>
              <w:jc w:val="center"/>
              <w:rPr>
                <w:rFonts w:eastAsia="Times New Roman"/>
              </w:rPr>
            </w:pPr>
            <w:r>
              <w:rPr>
                <w:rFonts w:eastAsia="Times New Roman"/>
                <w:b/>
                <w:bCs/>
                <w:color w:val="000000"/>
                <w:sz w:val="16"/>
                <w:szCs w:val="16"/>
              </w:rPr>
              <w:t>Hedging Relationship</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4AA0BAAA"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325F230" w14:textId="77777777" w:rsidR="00000000" w:rsidRDefault="00405D16">
            <w:pPr>
              <w:spacing w:after="100"/>
              <w:jc w:val="center"/>
              <w:rPr>
                <w:rFonts w:eastAsia="Times New Roman"/>
              </w:rPr>
            </w:pPr>
            <w:r>
              <w:rPr>
                <w:rFonts w:eastAsia="Times New Roman"/>
                <w:b/>
                <w:bCs/>
                <w:color w:val="000000"/>
                <w:sz w:val="16"/>
                <w:szCs w:val="16"/>
              </w:rPr>
              <w:t>Foreign Currency Translation Adjustment</w:t>
            </w:r>
            <w:r>
              <w:rPr>
                <w:rFonts w:eastAsia="Times New Roman"/>
                <w:b/>
                <w:bCs/>
                <w:color w:val="000000"/>
                <w:sz w:val="16"/>
                <w:szCs w:val="16"/>
              </w:rPr>
              <w:t>s</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31C8DA87"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17444A3" w14:textId="77777777" w:rsidR="00000000" w:rsidRDefault="00405D16">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14:paraId="6479E1A7"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2D2A59A" w14:textId="77777777" w:rsidR="00000000" w:rsidRDefault="00405D16">
            <w:pPr>
              <w:spacing w:after="100"/>
              <w:jc w:val="center"/>
              <w:rPr>
                <w:rFonts w:eastAsia="Times New Roman"/>
              </w:rPr>
            </w:pPr>
            <w:r>
              <w:rPr>
                <w:rFonts w:eastAsia="Times New Roman"/>
                <w:b/>
                <w:bCs/>
                <w:color w:val="000000"/>
                <w:sz w:val="16"/>
                <w:szCs w:val="16"/>
              </w:rPr>
              <w:t>Total</w:t>
            </w:r>
          </w:p>
        </w:tc>
      </w:tr>
      <w:tr w:rsidR="00000000" w14:paraId="7CC52639" w14:textId="7777777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50E5AA59" w14:textId="77777777" w:rsidR="00000000" w:rsidRDefault="00405D16">
            <w:pPr>
              <w:spacing w:after="100"/>
              <w:rPr>
                <w:rFonts w:eastAsia="Times New Roman"/>
              </w:rPr>
            </w:pPr>
            <w:r>
              <w:rPr>
                <w:rFonts w:eastAsia="Times New Roman"/>
                <w:color w:val="000000"/>
                <w:sz w:val="18"/>
                <w:szCs w:val="18"/>
              </w:rPr>
              <w:t>AOCI as of December 31, 2019</w:t>
            </w:r>
          </w:p>
        </w:tc>
        <w:tc>
          <w:tcPr>
            <w:tcW w:w="0" w:type="auto"/>
            <w:gridSpan w:val="3"/>
            <w:shd w:val="clear" w:color="auto" w:fill="CCEEFF"/>
            <w:tcMar>
              <w:top w:w="0" w:type="dxa"/>
              <w:left w:w="20" w:type="dxa"/>
              <w:bottom w:w="0" w:type="dxa"/>
              <w:right w:w="20" w:type="dxa"/>
            </w:tcMar>
            <w:vAlign w:val="center"/>
            <w:hideMark/>
          </w:tcPr>
          <w:p w14:paraId="15C4FE50"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15CFEB5"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7A42FB6" w14:textId="77777777" w:rsidR="00000000" w:rsidRDefault="00405D16">
            <w:pPr>
              <w:spacing w:after="100"/>
              <w:jc w:val="right"/>
              <w:rPr>
                <w:rFonts w:eastAsia="Times New Roman"/>
              </w:rPr>
            </w:pPr>
            <w:r>
              <w:rPr>
                <w:rFonts w:eastAsia="Times New Roman"/>
                <w:color w:val="000000"/>
                <w:sz w:val="18"/>
                <w:szCs w:val="18"/>
              </w:rPr>
              <w:t>935 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0C7174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D60265"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D26CE95"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4D00791" w14:textId="77777777" w:rsidR="00000000" w:rsidRDefault="00405D16">
            <w:pPr>
              <w:spacing w:after="100"/>
              <w:jc w:val="right"/>
              <w:rPr>
                <w:rFonts w:eastAsia="Times New Roman"/>
              </w:rPr>
            </w:pPr>
            <w:r>
              <w:rPr>
                <w:rFonts w:eastAsia="Times New Roman"/>
                <w:color w:val="000000"/>
                <w:sz w:val="18"/>
                <w:szCs w:val="18"/>
              </w:rPr>
              <w:t>354 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BBF0C9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519D58"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50E192D"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8E8B5E1" w14:textId="77777777" w:rsidR="00000000" w:rsidRDefault="00405D16">
            <w:pPr>
              <w:spacing w:after="100"/>
              <w:jc w:val="right"/>
              <w:rPr>
                <w:rFonts w:eastAsia="Times New Roman"/>
              </w:rPr>
            </w:pPr>
            <w:r>
              <w:rPr>
                <w:rFonts w:eastAsia="Times New Roman"/>
                <w:color w:val="000000"/>
                <w:sz w:val="18"/>
                <w:szCs w:val="18"/>
              </w:rPr>
              <w:t>(107)</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2964D1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18F2E0"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72A7510"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2D999B1" w14:textId="77777777" w:rsidR="00000000" w:rsidRDefault="00405D16">
            <w:pPr>
              <w:spacing w:after="100"/>
              <w:jc w:val="right"/>
              <w:rPr>
                <w:rFonts w:eastAsia="Times New Roman"/>
              </w:rPr>
            </w:pPr>
            <w:r>
              <w:rPr>
                <w:rFonts w:eastAsia="Times New Roman"/>
                <w:color w:val="000000"/>
                <w:sz w:val="18"/>
                <w:szCs w:val="18"/>
              </w:rPr>
              <w:t>(26)</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0E9DB9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9A03DA"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D92A46D"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DBAC875" w14:textId="77777777" w:rsidR="00000000" w:rsidRDefault="00405D16">
            <w:pPr>
              <w:spacing w:after="100"/>
              <w:jc w:val="right"/>
              <w:rPr>
                <w:rFonts w:eastAsia="Times New Roman"/>
              </w:rPr>
            </w:pPr>
            <w:r>
              <w:rPr>
                <w:rFonts w:eastAsia="Times New Roman"/>
                <w:color w:val="000000"/>
                <w:sz w:val="18"/>
                <w:szCs w:val="18"/>
              </w:rPr>
              <w:t>1,156 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1A908D7" w14:textId="77777777" w:rsidR="00000000" w:rsidRDefault="00405D16">
            <w:pPr>
              <w:spacing w:after="100"/>
              <w:jc w:val="right"/>
              <w:rPr>
                <w:rFonts w:eastAsia="Times New Roman"/>
              </w:rPr>
            </w:pPr>
          </w:p>
        </w:tc>
      </w:tr>
      <w:tr w:rsidR="00000000" w14:paraId="51AB104D" w14:textId="77777777">
        <w:tc>
          <w:tcPr>
            <w:tcW w:w="0" w:type="auto"/>
            <w:gridSpan w:val="3"/>
            <w:shd w:val="clear" w:color="auto" w:fill="FFFFFF"/>
            <w:tcMar>
              <w:top w:w="30" w:type="dxa"/>
              <w:left w:w="20" w:type="dxa"/>
              <w:bottom w:w="30" w:type="dxa"/>
              <w:right w:w="20" w:type="dxa"/>
            </w:tcMar>
            <w:vAlign w:val="center"/>
            <w:hideMark/>
          </w:tcPr>
          <w:p w14:paraId="32585E4E" w14:textId="77777777" w:rsidR="00000000" w:rsidRDefault="00405D16">
            <w:pPr>
              <w:spacing w:after="100"/>
              <w:rPr>
                <w:rFonts w:eastAsia="Times New Roman"/>
              </w:rPr>
            </w:pPr>
            <w:r>
              <w:rPr>
                <w:rFonts w:eastAsia="Times New Roman"/>
                <w:color w:val="000000"/>
                <w:sz w:val="18"/>
                <w:szCs w:val="18"/>
              </w:rPr>
              <w:t>Cumulative effects from the adoption of the CECL standard</w:t>
            </w:r>
          </w:p>
        </w:tc>
        <w:tc>
          <w:tcPr>
            <w:tcW w:w="0" w:type="auto"/>
            <w:gridSpan w:val="3"/>
            <w:shd w:val="clear" w:color="auto" w:fill="FFFFFF"/>
            <w:tcMar>
              <w:top w:w="0" w:type="dxa"/>
              <w:left w:w="20" w:type="dxa"/>
              <w:bottom w:w="0" w:type="dxa"/>
              <w:right w:w="20" w:type="dxa"/>
            </w:tcMar>
            <w:vAlign w:val="center"/>
            <w:hideMark/>
          </w:tcPr>
          <w:p w14:paraId="0326AB15"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D7E08CF" w14:textId="77777777" w:rsidR="00000000" w:rsidRDefault="00405D16">
            <w:pPr>
              <w:spacing w:after="100"/>
              <w:jc w:val="right"/>
              <w:rPr>
                <w:rFonts w:eastAsia="Times New Roman"/>
              </w:rPr>
            </w:pPr>
            <w:r>
              <w:rPr>
                <w:rFonts w:eastAsia="Times New Roman"/>
                <w:color w:val="000000"/>
                <w:sz w:val="18"/>
                <w:szCs w:val="18"/>
              </w:rPr>
              <w:t>(8)</w:t>
            </w:r>
          </w:p>
        </w:tc>
        <w:tc>
          <w:tcPr>
            <w:tcW w:w="0" w:type="auto"/>
            <w:shd w:val="clear" w:color="auto" w:fill="FFFFFF"/>
            <w:tcMar>
              <w:top w:w="30" w:type="dxa"/>
              <w:left w:w="0" w:type="dxa"/>
              <w:bottom w:w="30" w:type="dxa"/>
              <w:right w:w="20" w:type="dxa"/>
            </w:tcMar>
            <w:vAlign w:val="center"/>
            <w:hideMark/>
          </w:tcPr>
          <w:p w14:paraId="6724F8A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639DB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8A581A4"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606B517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20F06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AB2DB9B"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1A9FBAC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CC31B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09CFF45"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61F9CB3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F5CBF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E9E3AB6" w14:textId="77777777" w:rsidR="00000000" w:rsidRDefault="00405D16">
            <w:pPr>
              <w:spacing w:after="100"/>
              <w:jc w:val="right"/>
              <w:rPr>
                <w:rFonts w:eastAsia="Times New Roman"/>
              </w:rPr>
            </w:pPr>
            <w:r>
              <w:rPr>
                <w:rFonts w:eastAsia="Times New Roman"/>
                <w:color w:val="000000"/>
                <w:sz w:val="18"/>
                <w:szCs w:val="18"/>
              </w:rPr>
              <w:t>(8)</w:t>
            </w:r>
          </w:p>
        </w:tc>
        <w:tc>
          <w:tcPr>
            <w:tcW w:w="0" w:type="auto"/>
            <w:shd w:val="clear" w:color="auto" w:fill="FFFFFF"/>
            <w:tcMar>
              <w:top w:w="30" w:type="dxa"/>
              <w:left w:w="0" w:type="dxa"/>
              <w:bottom w:w="30" w:type="dxa"/>
              <w:right w:w="20" w:type="dxa"/>
            </w:tcMar>
            <w:vAlign w:val="center"/>
            <w:hideMark/>
          </w:tcPr>
          <w:p w14:paraId="773F479C" w14:textId="77777777" w:rsidR="00000000" w:rsidRDefault="00405D16">
            <w:pPr>
              <w:spacing w:after="100"/>
              <w:jc w:val="right"/>
              <w:rPr>
                <w:rFonts w:eastAsia="Times New Roman"/>
              </w:rPr>
            </w:pPr>
          </w:p>
        </w:tc>
      </w:tr>
      <w:tr w:rsidR="00000000" w14:paraId="5ADB13F8" w14:textId="77777777">
        <w:tc>
          <w:tcPr>
            <w:tcW w:w="0" w:type="auto"/>
            <w:gridSpan w:val="3"/>
            <w:shd w:val="clear" w:color="auto" w:fill="CCEEFF"/>
            <w:tcMar>
              <w:top w:w="30" w:type="dxa"/>
              <w:left w:w="20" w:type="dxa"/>
              <w:bottom w:w="30" w:type="dxa"/>
              <w:right w:w="20" w:type="dxa"/>
            </w:tcMar>
            <w:vAlign w:val="center"/>
            <w:hideMark/>
          </w:tcPr>
          <w:p w14:paraId="2A9D31B7" w14:textId="77777777" w:rsidR="00000000" w:rsidRDefault="00405D16">
            <w:pPr>
              <w:spacing w:after="100"/>
              <w:rPr>
                <w:rFonts w:eastAsia="Times New Roman"/>
              </w:rPr>
            </w:pPr>
            <w:r>
              <w:rPr>
                <w:rFonts w:eastAsia="Times New Roman"/>
                <w:color w:val="000000"/>
                <w:sz w:val="18"/>
                <w:szCs w:val="18"/>
              </w:rPr>
              <w:t>Other comprehensive income (loss) before reclassifications</w:t>
            </w:r>
          </w:p>
        </w:tc>
        <w:tc>
          <w:tcPr>
            <w:tcW w:w="0" w:type="auto"/>
            <w:gridSpan w:val="3"/>
            <w:shd w:val="clear" w:color="auto" w:fill="CCEEFF"/>
            <w:tcMar>
              <w:top w:w="0" w:type="dxa"/>
              <w:left w:w="20" w:type="dxa"/>
              <w:bottom w:w="0" w:type="dxa"/>
              <w:right w:w="20" w:type="dxa"/>
            </w:tcMar>
            <w:vAlign w:val="center"/>
            <w:hideMark/>
          </w:tcPr>
          <w:p w14:paraId="6B8907DA"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2FF3640" w14:textId="77777777" w:rsidR="00000000" w:rsidRDefault="00405D16">
            <w:pPr>
              <w:spacing w:after="100"/>
              <w:jc w:val="right"/>
              <w:rPr>
                <w:rFonts w:eastAsia="Times New Roman"/>
              </w:rPr>
            </w:pPr>
            <w:r>
              <w:rPr>
                <w:rFonts w:eastAsia="Times New Roman"/>
                <w:color w:val="000000"/>
                <w:sz w:val="18"/>
                <w:szCs w:val="18"/>
              </w:rPr>
              <w:t>1,466 </w:t>
            </w:r>
          </w:p>
        </w:tc>
        <w:tc>
          <w:tcPr>
            <w:tcW w:w="0" w:type="auto"/>
            <w:shd w:val="clear" w:color="auto" w:fill="CCEEFF"/>
            <w:tcMar>
              <w:top w:w="30" w:type="dxa"/>
              <w:left w:w="0" w:type="dxa"/>
              <w:bottom w:w="30" w:type="dxa"/>
              <w:right w:w="20" w:type="dxa"/>
            </w:tcMar>
            <w:vAlign w:val="center"/>
            <w:hideMark/>
          </w:tcPr>
          <w:p w14:paraId="13D0F91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EF9D0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D68DC14" w14:textId="77777777" w:rsidR="00000000" w:rsidRDefault="00405D16">
            <w:pPr>
              <w:spacing w:after="100"/>
              <w:jc w:val="right"/>
              <w:rPr>
                <w:rFonts w:eastAsia="Times New Roman"/>
              </w:rPr>
            </w:pPr>
            <w:r>
              <w:rPr>
                <w:rFonts w:eastAsia="Times New Roman"/>
                <w:color w:val="000000"/>
                <w:sz w:val="18"/>
                <w:szCs w:val="18"/>
              </w:rPr>
              <w:t>1,540 </w:t>
            </w:r>
          </w:p>
        </w:tc>
        <w:tc>
          <w:tcPr>
            <w:tcW w:w="0" w:type="auto"/>
            <w:shd w:val="clear" w:color="auto" w:fill="CCEEFF"/>
            <w:tcMar>
              <w:top w:w="30" w:type="dxa"/>
              <w:left w:w="0" w:type="dxa"/>
              <w:bottom w:w="30" w:type="dxa"/>
              <w:right w:w="20" w:type="dxa"/>
            </w:tcMar>
            <w:vAlign w:val="center"/>
            <w:hideMark/>
          </w:tcPr>
          <w:p w14:paraId="4ACFDBB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2D876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4B1290E" w14:textId="77777777" w:rsidR="00000000" w:rsidRDefault="00405D16">
            <w:pPr>
              <w:spacing w:after="100"/>
              <w:jc w:val="right"/>
              <w:rPr>
                <w:rFonts w:eastAsia="Times New Roman"/>
              </w:rPr>
            </w:pPr>
            <w:r>
              <w:rPr>
                <w:rFonts w:eastAsia="Times New Roman"/>
                <w:color w:val="000000"/>
                <w:sz w:val="18"/>
                <w:szCs w:val="18"/>
              </w:rPr>
              <w:t>(16)</w:t>
            </w:r>
          </w:p>
        </w:tc>
        <w:tc>
          <w:tcPr>
            <w:tcW w:w="0" w:type="auto"/>
            <w:shd w:val="clear" w:color="auto" w:fill="CCEEFF"/>
            <w:tcMar>
              <w:top w:w="30" w:type="dxa"/>
              <w:left w:w="0" w:type="dxa"/>
              <w:bottom w:w="30" w:type="dxa"/>
              <w:right w:w="20" w:type="dxa"/>
            </w:tcMar>
            <w:vAlign w:val="center"/>
            <w:hideMark/>
          </w:tcPr>
          <w:p w14:paraId="3B80CA5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E0282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07230BE"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67C4E68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CCAC7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2017938" w14:textId="77777777" w:rsidR="00000000" w:rsidRDefault="00405D16">
            <w:pPr>
              <w:spacing w:after="100"/>
              <w:jc w:val="right"/>
              <w:rPr>
                <w:rFonts w:eastAsia="Times New Roman"/>
              </w:rPr>
            </w:pPr>
            <w:r>
              <w:rPr>
                <w:rFonts w:eastAsia="Times New Roman"/>
                <w:color w:val="000000"/>
                <w:sz w:val="18"/>
                <w:szCs w:val="18"/>
              </w:rPr>
              <w:t>2,990 </w:t>
            </w:r>
          </w:p>
        </w:tc>
        <w:tc>
          <w:tcPr>
            <w:tcW w:w="0" w:type="auto"/>
            <w:shd w:val="clear" w:color="auto" w:fill="CCEEFF"/>
            <w:tcMar>
              <w:top w:w="30" w:type="dxa"/>
              <w:left w:w="0" w:type="dxa"/>
              <w:bottom w:w="30" w:type="dxa"/>
              <w:right w:w="20" w:type="dxa"/>
            </w:tcMar>
            <w:vAlign w:val="center"/>
            <w:hideMark/>
          </w:tcPr>
          <w:p w14:paraId="1D943C54" w14:textId="77777777" w:rsidR="00000000" w:rsidRDefault="00405D16">
            <w:pPr>
              <w:spacing w:after="100"/>
              <w:jc w:val="right"/>
              <w:rPr>
                <w:rFonts w:eastAsia="Times New Roman"/>
              </w:rPr>
            </w:pPr>
          </w:p>
        </w:tc>
      </w:tr>
      <w:tr w:rsidR="00000000" w14:paraId="12E34C49" w14:textId="77777777">
        <w:tc>
          <w:tcPr>
            <w:tcW w:w="0" w:type="auto"/>
            <w:gridSpan w:val="3"/>
            <w:shd w:val="clear" w:color="auto" w:fill="FFFFFF"/>
            <w:tcMar>
              <w:top w:w="30" w:type="dxa"/>
              <w:left w:w="20" w:type="dxa"/>
              <w:bottom w:w="30" w:type="dxa"/>
              <w:right w:w="20" w:type="dxa"/>
            </w:tcMar>
            <w:vAlign w:val="center"/>
            <w:hideMark/>
          </w:tcPr>
          <w:p w14:paraId="2199E670" w14:textId="77777777" w:rsidR="00000000" w:rsidRDefault="00405D16">
            <w:pPr>
              <w:spacing w:after="100"/>
              <w:rPr>
                <w:rFonts w:eastAsia="Times New Roman"/>
              </w:rPr>
            </w:pPr>
            <w:r>
              <w:rPr>
                <w:rFonts w:eastAsia="Times New Roman"/>
                <w:color w:val="000000"/>
                <w:sz w:val="18"/>
                <w:szCs w:val="18"/>
              </w:rPr>
              <w:t>Amounts reclassified from AOCI into earnings</w:t>
            </w:r>
          </w:p>
        </w:tc>
        <w:tc>
          <w:tcPr>
            <w:tcW w:w="0" w:type="auto"/>
            <w:gridSpan w:val="3"/>
            <w:shd w:val="clear" w:color="auto" w:fill="FFFFFF"/>
            <w:tcMar>
              <w:top w:w="0" w:type="dxa"/>
              <w:left w:w="20" w:type="dxa"/>
              <w:bottom w:w="0" w:type="dxa"/>
              <w:right w:w="20" w:type="dxa"/>
            </w:tcMar>
            <w:vAlign w:val="center"/>
            <w:hideMark/>
          </w:tcPr>
          <w:p w14:paraId="282A2C42"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4F0A415" w14:textId="77777777" w:rsidR="00000000" w:rsidRDefault="00405D16">
            <w:pPr>
              <w:spacing w:after="100"/>
              <w:jc w:val="right"/>
              <w:rPr>
                <w:rFonts w:eastAsia="Times New Roman"/>
              </w:rPr>
            </w:pPr>
            <w:r>
              <w:rPr>
                <w:rFonts w:eastAsia="Times New Roman"/>
                <w:color w:val="000000"/>
                <w:sz w:val="18"/>
                <w:szCs w:val="18"/>
              </w:rPr>
              <w:t>(19)</w:t>
            </w:r>
          </w:p>
        </w:tc>
        <w:tc>
          <w:tcPr>
            <w:tcW w:w="0" w:type="auto"/>
            <w:shd w:val="clear" w:color="auto" w:fill="FFFFFF"/>
            <w:tcMar>
              <w:top w:w="30" w:type="dxa"/>
              <w:left w:w="0" w:type="dxa"/>
              <w:bottom w:w="30" w:type="dxa"/>
              <w:right w:w="20" w:type="dxa"/>
            </w:tcMar>
            <w:vAlign w:val="center"/>
            <w:hideMark/>
          </w:tcPr>
          <w:p w14:paraId="4ED3BE1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30CAA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6DC49E1" w14:textId="77777777" w:rsidR="00000000" w:rsidRDefault="00405D16">
            <w:pPr>
              <w:spacing w:after="100"/>
              <w:jc w:val="right"/>
              <w:rPr>
                <w:rFonts w:eastAsia="Times New Roman"/>
              </w:rPr>
            </w:pPr>
            <w:r>
              <w:rPr>
                <w:rFonts w:eastAsia="Times New Roman"/>
                <w:color w:val="000000"/>
                <w:sz w:val="18"/>
                <w:szCs w:val="18"/>
              </w:rPr>
              <w:t>(284)</w:t>
            </w:r>
          </w:p>
        </w:tc>
        <w:tc>
          <w:tcPr>
            <w:tcW w:w="0" w:type="auto"/>
            <w:shd w:val="clear" w:color="auto" w:fill="FFFFFF"/>
            <w:tcMar>
              <w:top w:w="30" w:type="dxa"/>
              <w:left w:w="0" w:type="dxa"/>
              <w:bottom w:w="30" w:type="dxa"/>
              <w:right w:w="20" w:type="dxa"/>
            </w:tcMar>
            <w:vAlign w:val="center"/>
            <w:hideMark/>
          </w:tcPr>
          <w:p w14:paraId="2C0B205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E3ACA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66250DD"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14C506D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A4A77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8BA85DB" w14:textId="77777777" w:rsidR="00000000" w:rsidRDefault="00405D16">
            <w:pPr>
              <w:spacing w:after="100"/>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center"/>
            <w:hideMark/>
          </w:tcPr>
          <w:p w14:paraId="26AE10C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C6839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0B46918" w14:textId="77777777" w:rsidR="00000000" w:rsidRDefault="00405D16">
            <w:pPr>
              <w:spacing w:after="100"/>
              <w:jc w:val="right"/>
              <w:rPr>
                <w:rFonts w:eastAsia="Times New Roman"/>
              </w:rPr>
            </w:pPr>
            <w:r>
              <w:rPr>
                <w:rFonts w:eastAsia="Times New Roman"/>
                <w:color w:val="000000"/>
                <w:sz w:val="18"/>
                <w:szCs w:val="18"/>
              </w:rPr>
              <w:t>(305)</w:t>
            </w:r>
          </w:p>
        </w:tc>
        <w:tc>
          <w:tcPr>
            <w:tcW w:w="0" w:type="auto"/>
            <w:shd w:val="clear" w:color="auto" w:fill="FFFFFF"/>
            <w:tcMar>
              <w:top w:w="30" w:type="dxa"/>
              <w:left w:w="0" w:type="dxa"/>
              <w:bottom w:w="30" w:type="dxa"/>
              <w:right w:w="20" w:type="dxa"/>
            </w:tcMar>
            <w:vAlign w:val="center"/>
            <w:hideMark/>
          </w:tcPr>
          <w:p w14:paraId="44307AC9" w14:textId="77777777" w:rsidR="00000000" w:rsidRDefault="00405D16">
            <w:pPr>
              <w:spacing w:after="100"/>
              <w:jc w:val="right"/>
              <w:rPr>
                <w:rFonts w:eastAsia="Times New Roman"/>
              </w:rPr>
            </w:pPr>
          </w:p>
        </w:tc>
      </w:tr>
      <w:tr w:rsidR="00000000" w14:paraId="7349D42D" w14:textId="77777777">
        <w:tc>
          <w:tcPr>
            <w:tcW w:w="0" w:type="auto"/>
            <w:gridSpan w:val="3"/>
            <w:shd w:val="clear" w:color="auto" w:fill="CCEEFF"/>
            <w:tcMar>
              <w:top w:w="30" w:type="dxa"/>
              <w:left w:w="20" w:type="dxa"/>
              <w:bottom w:w="30" w:type="dxa"/>
              <w:right w:w="20" w:type="dxa"/>
            </w:tcMar>
            <w:vAlign w:val="center"/>
            <w:hideMark/>
          </w:tcPr>
          <w:p w14:paraId="34F24923" w14:textId="77777777" w:rsidR="00000000" w:rsidRDefault="00405D16">
            <w:pPr>
              <w:spacing w:after="100"/>
              <w:rPr>
                <w:rFonts w:eastAsia="Times New Roman"/>
              </w:rPr>
            </w:pPr>
            <w:r>
              <w:rPr>
                <w:rFonts w:eastAsia="Times New Roman"/>
                <w:color w:val="000000"/>
                <w:sz w:val="18"/>
                <w:szCs w:val="18"/>
              </w:rPr>
              <w:t>Other comprehensive income (loss), net of tax</w:t>
            </w:r>
          </w:p>
        </w:tc>
        <w:tc>
          <w:tcPr>
            <w:tcW w:w="0" w:type="auto"/>
            <w:gridSpan w:val="3"/>
            <w:shd w:val="clear" w:color="auto" w:fill="CCEEFF"/>
            <w:tcMar>
              <w:top w:w="0" w:type="dxa"/>
              <w:left w:w="20" w:type="dxa"/>
              <w:bottom w:w="0" w:type="dxa"/>
              <w:right w:w="20" w:type="dxa"/>
            </w:tcMar>
            <w:vAlign w:val="center"/>
            <w:hideMark/>
          </w:tcPr>
          <w:p w14:paraId="4DEC9B88"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91785C1" w14:textId="77777777" w:rsidR="00000000" w:rsidRDefault="00405D16">
            <w:pPr>
              <w:spacing w:after="100"/>
              <w:jc w:val="right"/>
              <w:rPr>
                <w:rFonts w:eastAsia="Times New Roman"/>
              </w:rPr>
            </w:pPr>
            <w:r>
              <w:rPr>
                <w:rFonts w:eastAsia="Times New Roman"/>
                <w:color w:val="000000"/>
                <w:sz w:val="18"/>
                <w:szCs w:val="18"/>
              </w:rPr>
              <w:t>1,447 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672EC5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E0C9E6"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7AE5AAB" w14:textId="77777777" w:rsidR="00000000" w:rsidRDefault="00405D16">
            <w:pPr>
              <w:spacing w:after="100"/>
              <w:jc w:val="right"/>
              <w:rPr>
                <w:rFonts w:eastAsia="Times New Roman"/>
              </w:rPr>
            </w:pPr>
            <w:r>
              <w:rPr>
                <w:rFonts w:eastAsia="Times New Roman"/>
                <w:color w:val="000000"/>
                <w:sz w:val="18"/>
                <w:szCs w:val="18"/>
              </w:rPr>
              <w:t>1,256 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6D90AF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8786F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D50AF21" w14:textId="77777777" w:rsidR="00000000" w:rsidRDefault="00405D16">
            <w:pPr>
              <w:spacing w:after="100"/>
              <w:jc w:val="right"/>
              <w:rPr>
                <w:rFonts w:eastAsia="Times New Roman"/>
              </w:rPr>
            </w:pPr>
            <w:r>
              <w:rPr>
                <w:rFonts w:eastAsia="Times New Roman"/>
                <w:color w:val="000000"/>
                <w:sz w:val="18"/>
                <w:szCs w:val="18"/>
              </w:rPr>
              <w:t>(16)</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B5B6E2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9F022C"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82350FD" w14:textId="77777777" w:rsidR="00000000" w:rsidRDefault="00405D16">
            <w:pPr>
              <w:spacing w:after="100"/>
              <w:jc w:val="right"/>
              <w:rPr>
                <w:rFonts w:eastAsia="Times New Roman"/>
              </w:rPr>
            </w:pPr>
            <w:r>
              <w:rPr>
                <w:rFonts w:eastAsia="Times New Roman"/>
                <w:color w:val="000000"/>
                <w:sz w:val="18"/>
                <w:szCs w:val="18"/>
              </w:rPr>
              <w:t>(2)</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DE6CF4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A9C62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E24BD2F" w14:textId="77777777" w:rsidR="00000000" w:rsidRDefault="00405D16">
            <w:pPr>
              <w:spacing w:after="100"/>
              <w:jc w:val="right"/>
              <w:rPr>
                <w:rFonts w:eastAsia="Times New Roman"/>
              </w:rPr>
            </w:pPr>
            <w:r>
              <w:rPr>
                <w:rFonts w:eastAsia="Times New Roman"/>
                <w:color w:val="000000"/>
                <w:sz w:val="18"/>
                <w:szCs w:val="18"/>
              </w:rPr>
              <w:t>2,685 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27A9242" w14:textId="77777777" w:rsidR="00000000" w:rsidRDefault="00405D16">
            <w:pPr>
              <w:spacing w:after="100"/>
              <w:jc w:val="right"/>
              <w:rPr>
                <w:rFonts w:eastAsia="Times New Roman"/>
              </w:rPr>
            </w:pPr>
          </w:p>
        </w:tc>
      </w:tr>
      <w:tr w:rsidR="00000000" w14:paraId="3306C126" w14:textId="77777777">
        <w:tc>
          <w:tcPr>
            <w:tcW w:w="0" w:type="auto"/>
            <w:gridSpan w:val="3"/>
            <w:shd w:val="clear" w:color="auto" w:fill="FFFFFF"/>
            <w:tcMar>
              <w:top w:w="30" w:type="dxa"/>
              <w:left w:w="20" w:type="dxa"/>
              <w:bottom w:w="30" w:type="dxa"/>
              <w:right w:w="20" w:type="dxa"/>
            </w:tcMar>
            <w:vAlign w:val="center"/>
            <w:hideMark/>
          </w:tcPr>
          <w:p w14:paraId="725DB942" w14:textId="77777777" w:rsidR="00000000" w:rsidRDefault="00405D16">
            <w:pPr>
              <w:spacing w:after="100"/>
              <w:rPr>
                <w:rFonts w:eastAsia="Times New Roman"/>
              </w:rPr>
            </w:pPr>
            <w:r>
              <w:rPr>
                <w:rFonts w:eastAsia="Times New Roman"/>
                <w:color w:val="000000"/>
                <w:sz w:val="18"/>
                <w:szCs w:val="18"/>
              </w:rPr>
              <w:t>AOCI as of September 30, 2020</w:t>
            </w:r>
          </w:p>
        </w:tc>
        <w:tc>
          <w:tcPr>
            <w:tcW w:w="0" w:type="auto"/>
            <w:gridSpan w:val="3"/>
            <w:shd w:val="clear" w:color="auto" w:fill="FFFFFF"/>
            <w:tcMar>
              <w:top w:w="0" w:type="dxa"/>
              <w:left w:w="20" w:type="dxa"/>
              <w:bottom w:w="0" w:type="dxa"/>
              <w:right w:w="20" w:type="dxa"/>
            </w:tcMar>
            <w:vAlign w:val="center"/>
            <w:hideMark/>
          </w:tcPr>
          <w:p w14:paraId="1098FD02"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82EFC15"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D89A0FA" w14:textId="77777777" w:rsidR="00000000" w:rsidRDefault="00405D16">
            <w:pPr>
              <w:spacing w:after="100"/>
              <w:jc w:val="right"/>
              <w:rPr>
                <w:rFonts w:eastAsia="Times New Roman"/>
              </w:rPr>
            </w:pPr>
            <w:r>
              <w:rPr>
                <w:rFonts w:eastAsia="Times New Roman"/>
                <w:color w:val="000000"/>
                <w:sz w:val="18"/>
                <w:szCs w:val="18"/>
              </w:rPr>
              <w:t>2,374 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3F1472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435CB7"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5489F24"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E0DE691" w14:textId="77777777" w:rsidR="00000000" w:rsidRDefault="00405D16">
            <w:pPr>
              <w:spacing w:after="100"/>
              <w:jc w:val="right"/>
              <w:rPr>
                <w:rFonts w:eastAsia="Times New Roman"/>
              </w:rPr>
            </w:pPr>
            <w:r>
              <w:rPr>
                <w:rFonts w:eastAsia="Times New Roman"/>
                <w:color w:val="000000"/>
                <w:sz w:val="18"/>
                <w:szCs w:val="18"/>
              </w:rPr>
              <w:t>1,610 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653354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2E935E"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2D8630D"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25CC4C2" w14:textId="77777777" w:rsidR="00000000" w:rsidRDefault="00405D16">
            <w:pPr>
              <w:spacing w:after="100"/>
              <w:jc w:val="right"/>
              <w:rPr>
                <w:rFonts w:eastAsia="Times New Roman"/>
              </w:rPr>
            </w:pPr>
            <w:r>
              <w:rPr>
                <w:rFonts w:eastAsia="Times New Roman"/>
                <w:color w:val="000000"/>
                <w:sz w:val="18"/>
                <w:szCs w:val="18"/>
              </w:rPr>
              <w:t>(123)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BF53AE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E20731"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F3A90A9"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4CC5D2A" w14:textId="77777777" w:rsidR="00000000" w:rsidRDefault="00405D16">
            <w:pPr>
              <w:spacing w:after="100"/>
              <w:jc w:val="right"/>
              <w:rPr>
                <w:rFonts w:eastAsia="Times New Roman"/>
              </w:rPr>
            </w:pPr>
            <w:r>
              <w:rPr>
                <w:rFonts w:eastAsia="Times New Roman"/>
                <w:color w:val="000000"/>
                <w:sz w:val="18"/>
                <w:szCs w:val="18"/>
              </w:rPr>
              <w:t>(28)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F1EEFD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E323C8"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4E076FD"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2419EC0" w14:textId="77777777" w:rsidR="00000000" w:rsidRDefault="00405D16">
            <w:pPr>
              <w:spacing w:after="100"/>
              <w:jc w:val="right"/>
              <w:rPr>
                <w:rFonts w:eastAsia="Times New Roman"/>
              </w:rPr>
            </w:pPr>
            <w:r>
              <w:rPr>
                <w:rFonts w:eastAsia="Times New Roman"/>
                <w:color w:val="000000"/>
                <w:sz w:val="18"/>
                <w:szCs w:val="18"/>
              </w:rPr>
              <w:t>3,833 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A741998" w14:textId="77777777" w:rsidR="00000000" w:rsidRDefault="00405D16">
            <w:pPr>
              <w:spacing w:after="100"/>
              <w:jc w:val="right"/>
              <w:rPr>
                <w:rFonts w:eastAsia="Times New Roman"/>
              </w:rPr>
            </w:pPr>
          </w:p>
        </w:tc>
      </w:tr>
    </w:tbl>
    <w:p w14:paraId="252C9BFC" w14:textId="77777777" w:rsidR="00000000" w:rsidRDefault="00405D16">
      <w:pPr>
        <w:jc w:val="both"/>
        <w:rPr>
          <w:rFonts w:eastAsia="Times New Roman"/>
        </w:rPr>
      </w:pPr>
      <w:r>
        <w:rPr>
          <w:rFonts w:eastAsia="Times New Roman"/>
          <w:color w:val="000000"/>
          <w:sz w:val="20"/>
          <w:szCs w:val="20"/>
        </w:rPr>
        <w:t>__________</w:t>
      </w:r>
    </w:p>
    <w:p w14:paraId="3B68C978" w14:textId="77777777" w:rsidR="00000000" w:rsidRDefault="00405D16">
      <w:pPr>
        <w:ind w:hanging="360"/>
        <w:jc w:val="both"/>
        <w:divId w:val="899562924"/>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amounts related to cash flow hedges as well as the excluded component of cross-currency swaps designated as fair value hedges.</w:t>
      </w:r>
    </w:p>
    <w:p w14:paraId="3E05DFE7" w14:textId="77777777" w:rsidR="00000000" w:rsidRDefault="00405D16">
      <w:pPr>
        <w:ind w:hanging="360"/>
        <w:jc w:val="both"/>
        <w:divId w:val="2049061197"/>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other comprehensive gains of $66 million and $32 million for the three and nine months ended September 30</w:t>
      </w:r>
      <w:r>
        <w:rPr>
          <w:rFonts w:eastAsia="Times New Roman"/>
          <w:color w:val="000000"/>
          <w:sz w:val="16"/>
          <w:szCs w:val="16"/>
        </w:rPr>
        <w:t>, 2021, respectively, and other comprehensive loss of $75 million and gain of $59 million for the three and nine months ended September 30, 2020, respectively, from hedging instruments designated as net investment hedges.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3B11BEF8" w14:textId="77777777">
        <w:trPr>
          <w:divId w:val="2116244411"/>
          <w:jc w:val="center"/>
        </w:trPr>
        <w:tc>
          <w:tcPr>
            <w:tcW w:w="50" w:type="pct"/>
            <w:vAlign w:val="center"/>
            <w:hideMark/>
          </w:tcPr>
          <w:p w14:paraId="026B7C8F" w14:textId="77777777" w:rsidR="00000000" w:rsidRDefault="00405D16">
            <w:pPr>
              <w:ind w:hanging="360"/>
              <w:jc w:val="both"/>
              <w:rPr>
                <w:rFonts w:eastAsia="Times New Roman"/>
              </w:rPr>
            </w:pPr>
          </w:p>
        </w:tc>
        <w:tc>
          <w:tcPr>
            <w:tcW w:w="1606" w:type="pct"/>
            <w:vAlign w:val="center"/>
            <w:hideMark/>
          </w:tcPr>
          <w:p w14:paraId="7096330B" w14:textId="77777777" w:rsidR="00000000" w:rsidRDefault="00405D16">
            <w:pPr>
              <w:spacing w:after="100"/>
              <w:rPr>
                <w:rFonts w:eastAsia="Times New Roman"/>
                <w:sz w:val="20"/>
                <w:szCs w:val="20"/>
              </w:rPr>
            </w:pPr>
          </w:p>
        </w:tc>
        <w:tc>
          <w:tcPr>
            <w:tcW w:w="5" w:type="pct"/>
            <w:vAlign w:val="center"/>
            <w:hideMark/>
          </w:tcPr>
          <w:p w14:paraId="4D311692" w14:textId="77777777" w:rsidR="00000000" w:rsidRDefault="00405D16">
            <w:pPr>
              <w:spacing w:after="100"/>
              <w:rPr>
                <w:rFonts w:eastAsia="Times New Roman"/>
                <w:sz w:val="20"/>
                <w:szCs w:val="20"/>
              </w:rPr>
            </w:pPr>
          </w:p>
        </w:tc>
        <w:tc>
          <w:tcPr>
            <w:tcW w:w="50" w:type="pct"/>
            <w:vAlign w:val="center"/>
            <w:hideMark/>
          </w:tcPr>
          <w:p w14:paraId="6F3BCD42" w14:textId="77777777" w:rsidR="00000000" w:rsidRDefault="00405D16">
            <w:pPr>
              <w:spacing w:after="100"/>
              <w:rPr>
                <w:rFonts w:eastAsia="Times New Roman"/>
                <w:sz w:val="20"/>
                <w:szCs w:val="20"/>
              </w:rPr>
            </w:pPr>
          </w:p>
        </w:tc>
        <w:tc>
          <w:tcPr>
            <w:tcW w:w="1614" w:type="pct"/>
            <w:vAlign w:val="center"/>
            <w:hideMark/>
          </w:tcPr>
          <w:p w14:paraId="643E3E3B" w14:textId="77777777" w:rsidR="00000000" w:rsidRDefault="00405D16">
            <w:pPr>
              <w:spacing w:after="100"/>
              <w:rPr>
                <w:rFonts w:eastAsia="Times New Roman"/>
                <w:sz w:val="20"/>
                <w:szCs w:val="20"/>
              </w:rPr>
            </w:pPr>
          </w:p>
        </w:tc>
        <w:tc>
          <w:tcPr>
            <w:tcW w:w="5" w:type="pct"/>
            <w:vAlign w:val="center"/>
            <w:hideMark/>
          </w:tcPr>
          <w:p w14:paraId="42E654F2" w14:textId="77777777" w:rsidR="00000000" w:rsidRDefault="00405D16">
            <w:pPr>
              <w:spacing w:after="100"/>
              <w:rPr>
                <w:rFonts w:eastAsia="Times New Roman"/>
                <w:sz w:val="20"/>
                <w:szCs w:val="20"/>
              </w:rPr>
            </w:pPr>
          </w:p>
        </w:tc>
        <w:tc>
          <w:tcPr>
            <w:tcW w:w="50" w:type="pct"/>
            <w:vAlign w:val="center"/>
            <w:hideMark/>
          </w:tcPr>
          <w:p w14:paraId="195596E4" w14:textId="77777777" w:rsidR="00000000" w:rsidRDefault="00405D16">
            <w:pPr>
              <w:spacing w:after="100"/>
              <w:rPr>
                <w:rFonts w:eastAsia="Times New Roman"/>
                <w:sz w:val="20"/>
                <w:szCs w:val="20"/>
              </w:rPr>
            </w:pPr>
          </w:p>
        </w:tc>
        <w:tc>
          <w:tcPr>
            <w:tcW w:w="1614" w:type="pct"/>
            <w:vAlign w:val="center"/>
            <w:hideMark/>
          </w:tcPr>
          <w:p w14:paraId="038A6D8B" w14:textId="77777777" w:rsidR="00000000" w:rsidRDefault="00405D16">
            <w:pPr>
              <w:spacing w:after="100"/>
              <w:rPr>
                <w:rFonts w:eastAsia="Times New Roman"/>
                <w:sz w:val="20"/>
                <w:szCs w:val="20"/>
              </w:rPr>
            </w:pPr>
          </w:p>
        </w:tc>
        <w:tc>
          <w:tcPr>
            <w:tcW w:w="5" w:type="pct"/>
            <w:vAlign w:val="center"/>
            <w:hideMark/>
          </w:tcPr>
          <w:p w14:paraId="70991043" w14:textId="77777777" w:rsidR="00000000" w:rsidRDefault="00405D16">
            <w:pPr>
              <w:spacing w:after="100"/>
              <w:rPr>
                <w:rFonts w:eastAsia="Times New Roman"/>
                <w:sz w:val="20"/>
                <w:szCs w:val="20"/>
              </w:rPr>
            </w:pPr>
          </w:p>
        </w:tc>
      </w:tr>
      <w:tr w:rsidR="00000000" w14:paraId="24B16B1F" w14:textId="77777777">
        <w:trPr>
          <w:divId w:val="2116244411"/>
          <w:trHeight w:val="300"/>
          <w:jc w:val="center"/>
        </w:trPr>
        <w:tc>
          <w:tcPr>
            <w:tcW w:w="0" w:type="auto"/>
            <w:gridSpan w:val="9"/>
            <w:tcMar>
              <w:top w:w="0" w:type="dxa"/>
              <w:left w:w="20" w:type="dxa"/>
              <w:bottom w:w="0" w:type="dxa"/>
              <w:right w:w="20" w:type="dxa"/>
            </w:tcMar>
            <w:vAlign w:val="center"/>
            <w:hideMark/>
          </w:tcPr>
          <w:p w14:paraId="32D807D6" w14:textId="77777777" w:rsidR="00000000" w:rsidRDefault="00405D16">
            <w:pPr>
              <w:spacing w:after="100"/>
              <w:rPr>
                <w:rFonts w:eastAsia="Times New Roman"/>
                <w:sz w:val="20"/>
                <w:szCs w:val="20"/>
              </w:rPr>
            </w:pPr>
          </w:p>
        </w:tc>
      </w:tr>
      <w:tr w:rsidR="00000000" w14:paraId="1AEB59E3" w14:textId="77777777">
        <w:trPr>
          <w:divId w:val="2116244411"/>
          <w:jc w:val="center"/>
        </w:trPr>
        <w:tc>
          <w:tcPr>
            <w:tcW w:w="0" w:type="auto"/>
            <w:gridSpan w:val="3"/>
            <w:tcMar>
              <w:top w:w="0" w:type="dxa"/>
              <w:left w:w="20" w:type="dxa"/>
              <w:bottom w:w="0" w:type="dxa"/>
              <w:right w:w="20" w:type="dxa"/>
            </w:tcMar>
            <w:vAlign w:val="center"/>
            <w:hideMark/>
          </w:tcPr>
          <w:p w14:paraId="45673796"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3CC5F98" w14:textId="77777777" w:rsidR="00000000" w:rsidRDefault="00405D16">
            <w:pPr>
              <w:spacing w:after="100"/>
              <w:jc w:val="center"/>
              <w:rPr>
                <w:rFonts w:eastAsia="Times New Roman"/>
              </w:rPr>
            </w:pPr>
            <w:r>
              <w:rPr>
                <w:rFonts w:eastAsia="Times New Roman"/>
                <w:color w:val="000000"/>
                <w:sz w:val="16"/>
                <w:szCs w:val="16"/>
              </w:rPr>
              <w:t>113</w:t>
            </w:r>
          </w:p>
        </w:tc>
        <w:tc>
          <w:tcPr>
            <w:tcW w:w="0" w:type="auto"/>
            <w:gridSpan w:val="3"/>
            <w:tcMar>
              <w:top w:w="30" w:type="dxa"/>
              <w:left w:w="20" w:type="dxa"/>
              <w:bottom w:w="30" w:type="dxa"/>
              <w:right w:w="20" w:type="dxa"/>
            </w:tcMar>
            <w:vAlign w:val="bottom"/>
            <w:hideMark/>
          </w:tcPr>
          <w:p w14:paraId="727C057C"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51E42C69" w14:textId="77777777" w:rsidR="00000000" w:rsidRDefault="00405D16">
      <w:pPr>
        <w:rPr>
          <w:rFonts w:eastAsia="Times New Roman"/>
        </w:rPr>
      </w:pPr>
      <w:r>
        <w:rPr>
          <w:rFonts w:eastAsia="Times New Roman"/>
        </w:rPr>
        <w:pict w14:anchorId="191C7441">
          <v:rect id="_x0000_i1138" style="width:0;height:1.5pt" o:hralign="center" o:hrstd="t" o:hr="t" fillcolor="#a0a0a0" stroked="f"/>
        </w:pict>
      </w:r>
    </w:p>
    <w:p w14:paraId="398894E8" w14:textId="77777777" w:rsidR="00000000" w:rsidRDefault="00405D16">
      <w:pPr>
        <w:jc w:val="both"/>
        <w:divId w:val="1905406277"/>
        <w:rPr>
          <w:rFonts w:eastAsia="Times New Roman"/>
        </w:rPr>
      </w:pPr>
      <w:hyperlink w:anchor="idd54a04a485440b4ab4e56094c14d612_13" w:history="1">
        <w:r>
          <w:rPr>
            <w:rStyle w:val="a3"/>
            <w:rFonts w:eastAsia="Times New Roman"/>
            <w:sz w:val="16"/>
            <w:szCs w:val="16"/>
          </w:rPr>
          <w:t>Table of Contents</w:t>
        </w:r>
      </w:hyperlink>
    </w:p>
    <w:p w14:paraId="47C55D2D" w14:textId="77777777" w:rsidR="00000000" w:rsidRDefault="00405D16">
      <w:pPr>
        <w:jc w:val="center"/>
        <w:divId w:val="1905406277"/>
        <w:rPr>
          <w:rFonts w:eastAsia="Times New Roman"/>
        </w:rPr>
      </w:pPr>
    </w:p>
    <w:p w14:paraId="79945977" w14:textId="77777777" w:rsidR="00000000" w:rsidRDefault="00405D16">
      <w:pPr>
        <w:jc w:val="both"/>
        <w:divId w:val="919339226"/>
        <w:rPr>
          <w:rFonts w:eastAsia="Times New Roman"/>
        </w:rPr>
      </w:pPr>
      <w:r>
        <w:rPr>
          <w:rFonts w:eastAsia="Times New Roman"/>
          <w:color w:val="000000"/>
          <w:sz w:val="20"/>
          <w:szCs w:val="20"/>
        </w:rPr>
        <w:t>The following table presents amounts reclassified from each component of AOCI to our consolidated statements of income for the three and nine</w:t>
      </w:r>
      <w:r>
        <w:rPr>
          <w:rFonts w:eastAsia="Times New Roman"/>
          <w:color w:val="000000"/>
          <w:sz w:val="20"/>
          <w:szCs w:val="20"/>
        </w:rPr>
        <w:t xml:space="preserve"> months ended September 30, 2021 and 2020.</w:t>
      </w:r>
    </w:p>
    <w:p w14:paraId="4B392D6E" w14:textId="77777777" w:rsidR="00000000" w:rsidRDefault="00405D16">
      <w:pPr>
        <w:divId w:val="578291055"/>
        <w:rPr>
          <w:rFonts w:eastAsia="Times New Roman"/>
        </w:rPr>
      </w:pPr>
      <w:r>
        <w:rPr>
          <w:rFonts w:eastAsia="Times New Roman"/>
          <w:b/>
          <w:bCs/>
          <w:color w:val="000000"/>
          <w:sz w:val="18"/>
          <w:szCs w:val="18"/>
        </w:rPr>
        <w:t>Table 9.3: Reclassifications from AOCI</w:t>
      </w:r>
    </w:p>
    <w:tbl>
      <w:tblPr>
        <w:tblW w:w="5000" w:type="pct"/>
        <w:tblCellMar>
          <w:top w:w="15" w:type="dxa"/>
          <w:left w:w="15" w:type="dxa"/>
          <w:bottom w:w="15" w:type="dxa"/>
          <w:right w:w="15" w:type="dxa"/>
        </w:tblCellMar>
        <w:tblLook w:val="04A0" w:firstRow="1" w:lastRow="0" w:firstColumn="1" w:lastColumn="0" w:noHBand="0" w:noVBand="1"/>
      </w:tblPr>
      <w:tblGrid>
        <w:gridCol w:w="45"/>
        <w:gridCol w:w="1872"/>
        <w:gridCol w:w="38"/>
        <w:gridCol w:w="36"/>
        <w:gridCol w:w="36"/>
        <w:gridCol w:w="36"/>
        <w:gridCol w:w="80"/>
        <w:gridCol w:w="2522"/>
        <w:gridCol w:w="36"/>
        <w:gridCol w:w="36"/>
        <w:gridCol w:w="36"/>
        <w:gridCol w:w="36"/>
        <w:gridCol w:w="110"/>
        <w:gridCol w:w="604"/>
        <w:gridCol w:w="36"/>
        <w:gridCol w:w="36"/>
        <w:gridCol w:w="36"/>
        <w:gridCol w:w="36"/>
        <w:gridCol w:w="110"/>
        <w:gridCol w:w="637"/>
        <w:gridCol w:w="36"/>
        <w:gridCol w:w="36"/>
        <w:gridCol w:w="36"/>
        <w:gridCol w:w="36"/>
        <w:gridCol w:w="110"/>
        <w:gridCol w:w="637"/>
        <w:gridCol w:w="36"/>
        <w:gridCol w:w="36"/>
        <w:gridCol w:w="36"/>
        <w:gridCol w:w="36"/>
        <w:gridCol w:w="110"/>
        <w:gridCol w:w="639"/>
        <w:gridCol w:w="36"/>
        <w:gridCol w:w="36"/>
        <w:gridCol w:w="36"/>
      </w:tblGrid>
      <w:tr w:rsidR="00000000" w14:paraId="576C9118" w14:textId="77777777">
        <w:trPr>
          <w:divId w:val="1688216066"/>
        </w:trPr>
        <w:tc>
          <w:tcPr>
            <w:tcW w:w="50" w:type="pct"/>
            <w:vAlign w:val="center"/>
            <w:hideMark/>
          </w:tcPr>
          <w:p w14:paraId="6B90B0E5" w14:textId="77777777" w:rsidR="00000000" w:rsidRDefault="00405D16">
            <w:pPr>
              <w:rPr>
                <w:rFonts w:eastAsia="Times New Roman"/>
              </w:rPr>
            </w:pPr>
          </w:p>
        </w:tc>
        <w:tc>
          <w:tcPr>
            <w:tcW w:w="1165" w:type="pct"/>
            <w:vAlign w:val="center"/>
            <w:hideMark/>
          </w:tcPr>
          <w:p w14:paraId="28DF3C86" w14:textId="77777777" w:rsidR="00000000" w:rsidRDefault="00405D16">
            <w:pPr>
              <w:spacing w:after="100"/>
              <w:rPr>
                <w:rFonts w:eastAsia="Times New Roman"/>
                <w:sz w:val="20"/>
                <w:szCs w:val="20"/>
              </w:rPr>
            </w:pPr>
          </w:p>
        </w:tc>
        <w:tc>
          <w:tcPr>
            <w:tcW w:w="5" w:type="pct"/>
            <w:vAlign w:val="center"/>
            <w:hideMark/>
          </w:tcPr>
          <w:p w14:paraId="1721B9EC" w14:textId="77777777" w:rsidR="00000000" w:rsidRDefault="00405D16">
            <w:pPr>
              <w:spacing w:after="100"/>
              <w:rPr>
                <w:rFonts w:eastAsia="Times New Roman"/>
                <w:sz w:val="20"/>
                <w:szCs w:val="20"/>
              </w:rPr>
            </w:pPr>
          </w:p>
        </w:tc>
        <w:tc>
          <w:tcPr>
            <w:tcW w:w="5" w:type="pct"/>
            <w:vAlign w:val="center"/>
            <w:hideMark/>
          </w:tcPr>
          <w:p w14:paraId="03E65307" w14:textId="77777777" w:rsidR="00000000" w:rsidRDefault="00405D16">
            <w:pPr>
              <w:spacing w:after="100"/>
              <w:rPr>
                <w:rFonts w:eastAsia="Times New Roman"/>
                <w:sz w:val="20"/>
                <w:szCs w:val="20"/>
              </w:rPr>
            </w:pPr>
          </w:p>
        </w:tc>
        <w:tc>
          <w:tcPr>
            <w:tcW w:w="26" w:type="pct"/>
            <w:vAlign w:val="center"/>
            <w:hideMark/>
          </w:tcPr>
          <w:p w14:paraId="360BE12D" w14:textId="77777777" w:rsidR="00000000" w:rsidRDefault="00405D16">
            <w:pPr>
              <w:spacing w:after="100"/>
              <w:rPr>
                <w:rFonts w:eastAsia="Times New Roman"/>
                <w:sz w:val="20"/>
                <w:szCs w:val="20"/>
              </w:rPr>
            </w:pPr>
          </w:p>
        </w:tc>
        <w:tc>
          <w:tcPr>
            <w:tcW w:w="5" w:type="pct"/>
            <w:vAlign w:val="center"/>
            <w:hideMark/>
          </w:tcPr>
          <w:p w14:paraId="00CA4694" w14:textId="77777777" w:rsidR="00000000" w:rsidRDefault="00405D16">
            <w:pPr>
              <w:spacing w:after="100"/>
              <w:rPr>
                <w:rFonts w:eastAsia="Times New Roman"/>
                <w:sz w:val="20"/>
                <w:szCs w:val="20"/>
              </w:rPr>
            </w:pPr>
          </w:p>
        </w:tc>
        <w:tc>
          <w:tcPr>
            <w:tcW w:w="50" w:type="pct"/>
            <w:vAlign w:val="center"/>
            <w:hideMark/>
          </w:tcPr>
          <w:p w14:paraId="6B025D53" w14:textId="77777777" w:rsidR="00000000" w:rsidRDefault="00405D16">
            <w:pPr>
              <w:spacing w:after="100"/>
              <w:rPr>
                <w:rFonts w:eastAsia="Times New Roman"/>
                <w:sz w:val="20"/>
                <w:szCs w:val="20"/>
              </w:rPr>
            </w:pPr>
          </w:p>
        </w:tc>
        <w:tc>
          <w:tcPr>
            <w:tcW w:w="1582" w:type="pct"/>
            <w:vAlign w:val="center"/>
            <w:hideMark/>
          </w:tcPr>
          <w:p w14:paraId="54C336E2" w14:textId="77777777" w:rsidR="00000000" w:rsidRDefault="00405D16">
            <w:pPr>
              <w:spacing w:after="100"/>
              <w:rPr>
                <w:rFonts w:eastAsia="Times New Roman"/>
                <w:sz w:val="20"/>
                <w:szCs w:val="20"/>
              </w:rPr>
            </w:pPr>
          </w:p>
        </w:tc>
        <w:tc>
          <w:tcPr>
            <w:tcW w:w="5" w:type="pct"/>
            <w:vAlign w:val="center"/>
            <w:hideMark/>
          </w:tcPr>
          <w:p w14:paraId="601D5989" w14:textId="77777777" w:rsidR="00000000" w:rsidRDefault="00405D16">
            <w:pPr>
              <w:spacing w:after="100"/>
              <w:rPr>
                <w:rFonts w:eastAsia="Times New Roman"/>
                <w:sz w:val="20"/>
                <w:szCs w:val="20"/>
              </w:rPr>
            </w:pPr>
          </w:p>
        </w:tc>
        <w:tc>
          <w:tcPr>
            <w:tcW w:w="5" w:type="pct"/>
            <w:vAlign w:val="center"/>
            <w:hideMark/>
          </w:tcPr>
          <w:p w14:paraId="6100CA03" w14:textId="77777777" w:rsidR="00000000" w:rsidRDefault="00405D16">
            <w:pPr>
              <w:spacing w:after="100"/>
              <w:rPr>
                <w:rFonts w:eastAsia="Times New Roman"/>
                <w:sz w:val="20"/>
                <w:szCs w:val="20"/>
              </w:rPr>
            </w:pPr>
          </w:p>
        </w:tc>
        <w:tc>
          <w:tcPr>
            <w:tcW w:w="26" w:type="pct"/>
            <w:vAlign w:val="center"/>
            <w:hideMark/>
          </w:tcPr>
          <w:p w14:paraId="7652CED8" w14:textId="77777777" w:rsidR="00000000" w:rsidRDefault="00405D16">
            <w:pPr>
              <w:spacing w:after="100"/>
              <w:rPr>
                <w:rFonts w:eastAsia="Times New Roman"/>
                <w:sz w:val="20"/>
                <w:szCs w:val="20"/>
              </w:rPr>
            </w:pPr>
          </w:p>
        </w:tc>
        <w:tc>
          <w:tcPr>
            <w:tcW w:w="5" w:type="pct"/>
            <w:vAlign w:val="center"/>
            <w:hideMark/>
          </w:tcPr>
          <w:p w14:paraId="61D63B0A" w14:textId="77777777" w:rsidR="00000000" w:rsidRDefault="00405D16">
            <w:pPr>
              <w:spacing w:after="100"/>
              <w:rPr>
                <w:rFonts w:eastAsia="Times New Roman"/>
                <w:sz w:val="20"/>
                <w:szCs w:val="20"/>
              </w:rPr>
            </w:pPr>
          </w:p>
        </w:tc>
        <w:tc>
          <w:tcPr>
            <w:tcW w:w="50" w:type="pct"/>
            <w:vAlign w:val="center"/>
            <w:hideMark/>
          </w:tcPr>
          <w:p w14:paraId="72A3D129" w14:textId="77777777" w:rsidR="00000000" w:rsidRDefault="00405D16">
            <w:pPr>
              <w:spacing w:after="100"/>
              <w:rPr>
                <w:rFonts w:eastAsia="Times New Roman"/>
                <w:sz w:val="20"/>
                <w:szCs w:val="20"/>
              </w:rPr>
            </w:pPr>
          </w:p>
        </w:tc>
        <w:tc>
          <w:tcPr>
            <w:tcW w:w="434" w:type="pct"/>
            <w:vAlign w:val="center"/>
            <w:hideMark/>
          </w:tcPr>
          <w:p w14:paraId="119C0CA1" w14:textId="77777777" w:rsidR="00000000" w:rsidRDefault="00405D16">
            <w:pPr>
              <w:spacing w:after="100"/>
              <w:rPr>
                <w:rFonts w:eastAsia="Times New Roman"/>
                <w:sz w:val="20"/>
                <w:szCs w:val="20"/>
              </w:rPr>
            </w:pPr>
          </w:p>
        </w:tc>
        <w:tc>
          <w:tcPr>
            <w:tcW w:w="5" w:type="pct"/>
            <w:vAlign w:val="center"/>
            <w:hideMark/>
          </w:tcPr>
          <w:p w14:paraId="2A9D4459" w14:textId="77777777" w:rsidR="00000000" w:rsidRDefault="00405D16">
            <w:pPr>
              <w:spacing w:after="100"/>
              <w:rPr>
                <w:rFonts w:eastAsia="Times New Roman"/>
                <w:sz w:val="20"/>
                <w:szCs w:val="20"/>
              </w:rPr>
            </w:pPr>
          </w:p>
        </w:tc>
        <w:tc>
          <w:tcPr>
            <w:tcW w:w="5" w:type="pct"/>
            <w:vAlign w:val="center"/>
            <w:hideMark/>
          </w:tcPr>
          <w:p w14:paraId="6E53C539" w14:textId="77777777" w:rsidR="00000000" w:rsidRDefault="00405D16">
            <w:pPr>
              <w:spacing w:after="100"/>
              <w:rPr>
                <w:rFonts w:eastAsia="Times New Roman"/>
                <w:sz w:val="20"/>
                <w:szCs w:val="20"/>
              </w:rPr>
            </w:pPr>
          </w:p>
        </w:tc>
        <w:tc>
          <w:tcPr>
            <w:tcW w:w="26" w:type="pct"/>
            <w:vAlign w:val="center"/>
            <w:hideMark/>
          </w:tcPr>
          <w:p w14:paraId="1EC21312" w14:textId="77777777" w:rsidR="00000000" w:rsidRDefault="00405D16">
            <w:pPr>
              <w:spacing w:after="100"/>
              <w:rPr>
                <w:rFonts w:eastAsia="Times New Roman"/>
                <w:sz w:val="20"/>
                <w:szCs w:val="20"/>
              </w:rPr>
            </w:pPr>
          </w:p>
        </w:tc>
        <w:tc>
          <w:tcPr>
            <w:tcW w:w="5" w:type="pct"/>
            <w:vAlign w:val="center"/>
            <w:hideMark/>
          </w:tcPr>
          <w:p w14:paraId="16625AA8" w14:textId="77777777" w:rsidR="00000000" w:rsidRDefault="00405D16">
            <w:pPr>
              <w:spacing w:after="100"/>
              <w:rPr>
                <w:rFonts w:eastAsia="Times New Roman"/>
                <w:sz w:val="20"/>
                <w:szCs w:val="20"/>
              </w:rPr>
            </w:pPr>
          </w:p>
        </w:tc>
        <w:tc>
          <w:tcPr>
            <w:tcW w:w="50" w:type="pct"/>
            <w:vAlign w:val="center"/>
            <w:hideMark/>
          </w:tcPr>
          <w:p w14:paraId="563C8C96" w14:textId="77777777" w:rsidR="00000000" w:rsidRDefault="00405D16">
            <w:pPr>
              <w:spacing w:after="100"/>
              <w:rPr>
                <w:rFonts w:eastAsia="Times New Roman"/>
                <w:sz w:val="20"/>
                <w:szCs w:val="20"/>
              </w:rPr>
            </w:pPr>
          </w:p>
        </w:tc>
        <w:tc>
          <w:tcPr>
            <w:tcW w:w="434" w:type="pct"/>
            <w:vAlign w:val="center"/>
            <w:hideMark/>
          </w:tcPr>
          <w:p w14:paraId="6BEA411D" w14:textId="77777777" w:rsidR="00000000" w:rsidRDefault="00405D16">
            <w:pPr>
              <w:spacing w:after="100"/>
              <w:rPr>
                <w:rFonts w:eastAsia="Times New Roman"/>
                <w:sz w:val="20"/>
                <w:szCs w:val="20"/>
              </w:rPr>
            </w:pPr>
          </w:p>
        </w:tc>
        <w:tc>
          <w:tcPr>
            <w:tcW w:w="5" w:type="pct"/>
            <w:vAlign w:val="center"/>
            <w:hideMark/>
          </w:tcPr>
          <w:p w14:paraId="14D0E196" w14:textId="77777777" w:rsidR="00000000" w:rsidRDefault="00405D16">
            <w:pPr>
              <w:spacing w:after="100"/>
              <w:rPr>
                <w:rFonts w:eastAsia="Times New Roman"/>
                <w:sz w:val="20"/>
                <w:szCs w:val="20"/>
              </w:rPr>
            </w:pPr>
          </w:p>
        </w:tc>
        <w:tc>
          <w:tcPr>
            <w:tcW w:w="5" w:type="pct"/>
            <w:vAlign w:val="center"/>
            <w:hideMark/>
          </w:tcPr>
          <w:p w14:paraId="2C6AE846" w14:textId="77777777" w:rsidR="00000000" w:rsidRDefault="00405D16">
            <w:pPr>
              <w:spacing w:after="100"/>
              <w:rPr>
                <w:rFonts w:eastAsia="Times New Roman"/>
                <w:sz w:val="20"/>
                <w:szCs w:val="20"/>
              </w:rPr>
            </w:pPr>
          </w:p>
        </w:tc>
        <w:tc>
          <w:tcPr>
            <w:tcW w:w="26" w:type="pct"/>
            <w:vAlign w:val="center"/>
            <w:hideMark/>
          </w:tcPr>
          <w:p w14:paraId="1C5D826C" w14:textId="77777777" w:rsidR="00000000" w:rsidRDefault="00405D16">
            <w:pPr>
              <w:spacing w:after="100"/>
              <w:rPr>
                <w:rFonts w:eastAsia="Times New Roman"/>
                <w:sz w:val="20"/>
                <w:szCs w:val="20"/>
              </w:rPr>
            </w:pPr>
          </w:p>
        </w:tc>
        <w:tc>
          <w:tcPr>
            <w:tcW w:w="5" w:type="pct"/>
            <w:vAlign w:val="center"/>
            <w:hideMark/>
          </w:tcPr>
          <w:p w14:paraId="4A613D87" w14:textId="77777777" w:rsidR="00000000" w:rsidRDefault="00405D16">
            <w:pPr>
              <w:spacing w:after="100"/>
              <w:rPr>
                <w:rFonts w:eastAsia="Times New Roman"/>
                <w:sz w:val="20"/>
                <w:szCs w:val="20"/>
              </w:rPr>
            </w:pPr>
          </w:p>
        </w:tc>
        <w:tc>
          <w:tcPr>
            <w:tcW w:w="50" w:type="pct"/>
            <w:vAlign w:val="center"/>
            <w:hideMark/>
          </w:tcPr>
          <w:p w14:paraId="0F824B26" w14:textId="77777777" w:rsidR="00000000" w:rsidRDefault="00405D16">
            <w:pPr>
              <w:spacing w:after="100"/>
              <w:rPr>
                <w:rFonts w:eastAsia="Times New Roman"/>
                <w:sz w:val="20"/>
                <w:szCs w:val="20"/>
              </w:rPr>
            </w:pPr>
          </w:p>
        </w:tc>
        <w:tc>
          <w:tcPr>
            <w:tcW w:w="434" w:type="pct"/>
            <w:vAlign w:val="center"/>
            <w:hideMark/>
          </w:tcPr>
          <w:p w14:paraId="1489A1E3" w14:textId="77777777" w:rsidR="00000000" w:rsidRDefault="00405D16">
            <w:pPr>
              <w:spacing w:after="100"/>
              <w:rPr>
                <w:rFonts w:eastAsia="Times New Roman"/>
                <w:sz w:val="20"/>
                <w:szCs w:val="20"/>
              </w:rPr>
            </w:pPr>
          </w:p>
        </w:tc>
        <w:tc>
          <w:tcPr>
            <w:tcW w:w="5" w:type="pct"/>
            <w:vAlign w:val="center"/>
            <w:hideMark/>
          </w:tcPr>
          <w:p w14:paraId="7F1433F7" w14:textId="77777777" w:rsidR="00000000" w:rsidRDefault="00405D16">
            <w:pPr>
              <w:spacing w:after="100"/>
              <w:rPr>
                <w:rFonts w:eastAsia="Times New Roman"/>
                <w:sz w:val="20"/>
                <w:szCs w:val="20"/>
              </w:rPr>
            </w:pPr>
          </w:p>
        </w:tc>
        <w:tc>
          <w:tcPr>
            <w:tcW w:w="5" w:type="pct"/>
            <w:vAlign w:val="center"/>
            <w:hideMark/>
          </w:tcPr>
          <w:p w14:paraId="451A74E7" w14:textId="77777777" w:rsidR="00000000" w:rsidRDefault="00405D16">
            <w:pPr>
              <w:spacing w:after="100"/>
              <w:rPr>
                <w:rFonts w:eastAsia="Times New Roman"/>
                <w:sz w:val="20"/>
                <w:szCs w:val="20"/>
              </w:rPr>
            </w:pPr>
          </w:p>
        </w:tc>
        <w:tc>
          <w:tcPr>
            <w:tcW w:w="26" w:type="pct"/>
            <w:vAlign w:val="center"/>
            <w:hideMark/>
          </w:tcPr>
          <w:p w14:paraId="2303AA98" w14:textId="77777777" w:rsidR="00000000" w:rsidRDefault="00405D16">
            <w:pPr>
              <w:spacing w:after="100"/>
              <w:rPr>
                <w:rFonts w:eastAsia="Times New Roman"/>
                <w:sz w:val="20"/>
                <w:szCs w:val="20"/>
              </w:rPr>
            </w:pPr>
          </w:p>
        </w:tc>
        <w:tc>
          <w:tcPr>
            <w:tcW w:w="5" w:type="pct"/>
            <w:vAlign w:val="center"/>
            <w:hideMark/>
          </w:tcPr>
          <w:p w14:paraId="5EB4598A" w14:textId="77777777" w:rsidR="00000000" w:rsidRDefault="00405D16">
            <w:pPr>
              <w:spacing w:after="100"/>
              <w:rPr>
                <w:rFonts w:eastAsia="Times New Roman"/>
                <w:sz w:val="20"/>
                <w:szCs w:val="20"/>
              </w:rPr>
            </w:pPr>
          </w:p>
        </w:tc>
        <w:tc>
          <w:tcPr>
            <w:tcW w:w="50" w:type="pct"/>
            <w:vAlign w:val="center"/>
            <w:hideMark/>
          </w:tcPr>
          <w:p w14:paraId="47DBF88C" w14:textId="77777777" w:rsidR="00000000" w:rsidRDefault="00405D16">
            <w:pPr>
              <w:spacing w:after="100"/>
              <w:rPr>
                <w:rFonts w:eastAsia="Times New Roman"/>
                <w:sz w:val="20"/>
                <w:szCs w:val="20"/>
              </w:rPr>
            </w:pPr>
          </w:p>
        </w:tc>
        <w:tc>
          <w:tcPr>
            <w:tcW w:w="435" w:type="pct"/>
            <w:vAlign w:val="center"/>
            <w:hideMark/>
          </w:tcPr>
          <w:p w14:paraId="5CDADE89" w14:textId="77777777" w:rsidR="00000000" w:rsidRDefault="00405D16">
            <w:pPr>
              <w:spacing w:after="100"/>
              <w:rPr>
                <w:rFonts w:eastAsia="Times New Roman"/>
                <w:sz w:val="20"/>
                <w:szCs w:val="20"/>
              </w:rPr>
            </w:pPr>
          </w:p>
        </w:tc>
        <w:tc>
          <w:tcPr>
            <w:tcW w:w="5" w:type="pct"/>
            <w:vAlign w:val="center"/>
            <w:hideMark/>
          </w:tcPr>
          <w:p w14:paraId="53981924" w14:textId="77777777" w:rsidR="00000000" w:rsidRDefault="00405D16">
            <w:pPr>
              <w:spacing w:after="100"/>
              <w:rPr>
                <w:rFonts w:eastAsia="Times New Roman"/>
                <w:sz w:val="20"/>
                <w:szCs w:val="20"/>
              </w:rPr>
            </w:pPr>
          </w:p>
        </w:tc>
        <w:tc>
          <w:tcPr>
            <w:tcW w:w="0" w:type="auto"/>
            <w:vAlign w:val="center"/>
            <w:hideMark/>
          </w:tcPr>
          <w:p w14:paraId="0D095F16" w14:textId="77777777" w:rsidR="00000000" w:rsidRDefault="00405D16">
            <w:pPr>
              <w:spacing w:after="100"/>
              <w:rPr>
                <w:rFonts w:eastAsia="Times New Roman"/>
                <w:sz w:val="20"/>
                <w:szCs w:val="20"/>
              </w:rPr>
            </w:pPr>
          </w:p>
        </w:tc>
        <w:tc>
          <w:tcPr>
            <w:tcW w:w="0" w:type="auto"/>
            <w:vAlign w:val="center"/>
            <w:hideMark/>
          </w:tcPr>
          <w:p w14:paraId="3B917CC6" w14:textId="77777777" w:rsidR="00000000" w:rsidRDefault="00405D16">
            <w:pPr>
              <w:spacing w:after="100"/>
              <w:rPr>
                <w:rFonts w:eastAsia="Times New Roman"/>
                <w:sz w:val="20"/>
                <w:szCs w:val="20"/>
              </w:rPr>
            </w:pPr>
          </w:p>
        </w:tc>
      </w:tr>
      <w:tr w:rsidR="00000000" w14:paraId="45B2F295" w14:textId="77777777">
        <w:trPr>
          <w:divId w:val="1688216066"/>
        </w:trPr>
        <w:tc>
          <w:tcPr>
            <w:tcW w:w="0" w:type="auto"/>
            <w:gridSpan w:val="3"/>
            <w:tcMar>
              <w:top w:w="30" w:type="dxa"/>
              <w:left w:w="20" w:type="dxa"/>
              <w:bottom w:w="30" w:type="dxa"/>
              <w:right w:w="20" w:type="dxa"/>
            </w:tcMar>
            <w:vAlign w:val="bottom"/>
            <w:hideMark/>
          </w:tcPr>
          <w:p w14:paraId="7B072566"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5C32B888" w14:textId="77777777" w:rsidR="00000000" w:rsidRDefault="00405D16">
            <w:pPr>
              <w:spacing w:after="100"/>
              <w:rPr>
                <w:rFonts w:eastAsia="Times New Roman"/>
              </w:rPr>
            </w:pPr>
          </w:p>
        </w:tc>
        <w:tc>
          <w:tcPr>
            <w:tcW w:w="0" w:type="auto"/>
            <w:gridSpan w:val="3"/>
            <w:tcMar>
              <w:top w:w="0" w:type="dxa"/>
              <w:left w:w="20" w:type="dxa"/>
              <w:bottom w:w="0" w:type="dxa"/>
              <w:right w:w="20" w:type="dxa"/>
            </w:tcMar>
            <w:vAlign w:val="center"/>
            <w:hideMark/>
          </w:tcPr>
          <w:p w14:paraId="20DE2AA0"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160136" w14:textId="77777777" w:rsidR="00000000" w:rsidRDefault="00405D1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5393A3A" w14:textId="77777777" w:rsidR="00000000" w:rsidRDefault="00405D16">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4F7B9318" w14:textId="77777777" w:rsidR="00000000" w:rsidRDefault="00405D1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2C6D942" w14:textId="77777777" w:rsidR="00000000" w:rsidRDefault="00405D16">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31899524" w14:textId="77777777" w:rsidR="00000000" w:rsidRDefault="00405D16">
            <w:pPr>
              <w:spacing w:after="100"/>
              <w:jc w:val="center"/>
              <w:rPr>
                <w:rFonts w:eastAsia="Times New Roman"/>
              </w:rPr>
            </w:pPr>
          </w:p>
        </w:tc>
        <w:tc>
          <w:tcPr>
            <w:tcW w:w="0" w:type="auto"/>
            <w:vAlign w:val="center"/>
            <w:hideMark/>
          </w:tcPr>
          <w:p w14:paraId="062B4998" w14:textId="77777777" w:rsidR="00000000" w:rsidRDefault="00405D16">
            <w:pPr>
              <w:spacing w:after="100"/>
              <w:rPr>
                <w:rFonts w:eastAsia="Times New Roman"/>
                <w:sz w:val="20"/>
                <w:szCs w:val="20"/>
              </w:rPr>
            </w:pPr>
          </w:p>
        </w:tc>
      </w:tr>
      <w:tr w:rsidR="00000000" w14:paraId="2257A3D4" w14:textId="77777777">
        <w:trPr>
          <w:divId w:val="1688216066"/>
        </w:trPr>
        <w:tc>
          <w:tcPr>
            <w:tcW w:w="0" w:type="auto"/>
            <w:gridSpan w:val="3"/>
            <w:tcBorders>
              <w:top w:val="single" w:sz="8" w:space="0" w:color="000000"/>
            </w:tcBorders>
            <w:tcMar>
              <w:top w:w="30" w:type="dxa"/>
              <w:left w:w="20" w:type="dxa"/>
              <w:bottom w:w="30" w:type="dxa"/>
              <w:right w:w="20" w:type="dxa"/>
            </w:tcMar>
            <w:vAlign w:val="bottom"/>
            <w:hideMark/>
          </w:tcPr>
          <w:p w14:paraId="7D1117F7" w14:textId="77777777" w:rsidR="00000000" w:rsidRDefault="00405D16">
            <w:pPr>
              <w:spacing w:after="100"/>
              <w:jc w:val="center"/>
              <w:rPr>
                <w:rFonts w:eastAsia="Times New Roman"/>
              </w:rPr>
            </w:pPr>
            <w:r>
              <w:rPr>
                <w:rFonts w:eastAsia="Times New Roman"/>
                <w:b/>
                <w:bCs/>
                <w:color w:val="000000"/>
                <w:sz w:val="16"/>
                <w:szCs w:val="16"/>
              </w:rPr>
              <w:t>AOCI Components</w:t>
            </w:r>
          </w:p>
        </w:tc>
        <w:tc>
          <w:tcPr>
            <w:tcW w:w="0" w:type="auto"/>
            <w:gridSpan w:val="3"/>
            <w:tcMar>
              <w:top w:w="0" w:type="dxa"/>
              <w:left w:w="20" w:type="dxa"/>
              <w:bottom w:w="0" w:type="dxa"/>
              <w:right w:w="20" w:type="dxa"/>
            </w:tcMar>
            <w:vAlign w:val="center"/>
            <w:hideMark/>
          </w:tcPr>
          <w:p w14:paraId="13D156C5"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0FA76BE" w14:textId="77777777" w:rsidR="00000000" w:rsidRDefault="00405D16">
            <w:pPr>
              <w:spacing w:after="100"/>
              <w:jc w:val="center"/>
              <w:rPr>
                <w:rFonts w:eastAsia="Times New Roman"/>
              </w:rPr>
            </w:pPr>
            <w:r>
              <w:rPr>
                <w:rFonts w:eastAsia="Times New Roman"/>
                <w:b/>
                <w:bCs/>
                <w:color w:val="000000"/>
                <w:sz w:val="16"/>
                <w:szCs w:val="16"/>
              </w:rPr>
              <w:t>Affected Income Statement Line Item</w:t>
            </w:r>
          </w:p>
        </w:tc>
        <w:tc>
          <w:tcPr>
            <w:tcW w:w="0" w:type="auto"/>
            <w:gridSpan w:val="3"/>
            <w:tcMar>
              <w:top w:w="0" w:type="dxa"/>
              <w:left w:w="20" w:type="dxa"/>
              <w:bottom w:w="0" w:type="dxa"/>
              <w:right w:w="20" w:type="dxa"/>
            </w:tcMar>
            <w:vAlign w:val="center"/>
            <w:hideMark/>
          </w:tcPr>
          <w:p w14:paraId="03AA3330"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37A7BF3"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7CF1E600"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7118E33"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278932A4"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5687792"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23C00C82"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9ACA35B"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vAlign w:val="center"/>
            <w:hideMark/>
          </w:tcPr>
          <w:p w14:paraId="0F03A284" w14:textId="77777777" w:rsidR="00000000" w:rsidRDefault="00405D16">
            <w:pPr>
              <w:spacing w:after="100"/>
              <w:jc w:val="center"/>
              <w:rPr>
                <w:rFonts w:eastAsia="Times New Roman"/>
              </w:rPr>
            </w:pPr>
          </w:p>
        </w:tc>
        <w:tc>
          <w:tcPr>
            <w:tcW w:w="0" w:type="auto"/>
            <w:vAlign w:val="center"/>
            <w:hideMark/>
          </w:tcPr>
          <w:p w14:paraId="197E6E3C" w14:textId="77777777" w:rsidR="00000000" w:rsidRDefault="00405D16">
            <w:pPr>
              <w:spacing w:after="100"/>
              <w:rPr>
                <w:rFonts w:eastAsia="Times New Roman"/>
                <w:sz w:val="20"/>
                <w:szCs w:val="20"/>
              </w:rPr>
            </w:pPr>
          </w:p>
        </w:tc>
      </w:tr>
      <w:tr w:rsidR="00000000" w14:paraId="5FAFB715" w14:textId="77777777">
        <w:trPr>
          <w:divId w:val="168821606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734C00E" w14:textId="77777777" w:rsidR="00000000" w:rsidRDefault="00405D16">
            <w:pPr>
              <w:spacing w:after="100"/>
              <w:rPr>
                <w:rFonts w:eastAsia="Times New Roman"/>
              </w:rPr>
            </w:pPr>
            <w:r>
              <w:rPr>
                <w:rFonts w:eastAsia="Times New Roman"/>
                <w:b/>
                <w:bCs/>
                <w:color w:val="000000"/>
                <w:sz w:val="18"/>
                <w:szCs w:val="18"/>
              </w:rPr>
              <w:t>Securities available for sale:</w:t>
            </w:r>
          </w:p>
        </w:tc>
        <w:tc>
          <w:tcPr>
            <w:tcW w:w="0" w:type="auto"/>
            <w:gridSpan w:val="3"/>
            <w:shd w:val="clear" w:color="auto" w:fill="CCEEFF"/>
            <w:tcMar>
              <w:top w:w="0" w:type="dxa"/>
              <w:left w:w="20" w:type="dxa"/>
              <w:bottom w:w="0" w:type="dxa"/>
              <w:right w:w="20" w:type="dxa"/>
            </w:tcMar>
            <w:vAlign w:val="center"/>
            <w:hideMark/>
          </w:tcPr>
          <w:p w14:paraId="5DB889DD"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B8DC6A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0A55DF"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C8D331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EEB6F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3EE6DC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F59C9E"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5863DE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00AA77"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6988D3F" w14:textId="77777777" w:rsidR="00000000" w:rsidRDefault="00405D16">
            <w:pPr>
              <w:spacing w:after="100"/>
              <w:rPr>
                <w:rFonts w:eastAsia="Times New Roman"/>
                <w:sz w:val="20"/>
                <w:szCs w:val="20"/>
              </w:rPr>
            </w:pPr>
          </w:p>
        </w:tc>
        <w:tc>
          <w:tcPr>
            <w:tcW w:w="0" w:type="auto"/>
            <w:vAlign w:val="center"/>
            <w:hideMark/>
          </w:tcPr>
          <w:p w14:paraId="256F60A9" w14:textId="77777777" w:rsidR="00000000" w:rsidRDefault="00405D16">
            <w:pPr>
              <w:spacing w:after="100"/>
              <w:rPr>
                <w:rFonts w:eastAsia="Times New Roman"/>
                <w:sz w:val="20"/>
                <w:szCs w:val="20"/>
              </w:rPr>
            </w:pPr>
          </w:p>
        </w:tc>
        <w:tc>
          <w:tcPr>
            <w:tcW w:w="0" w:type="auto"/>
            <w:vAlign w:val="center"/>
            <w:hideMark/>
          </w:tcPr>
          <w:p w14:paraId="3CDC04C4" w14:textId="77777777" w:rsidR="00000000" w:rsidRDefault="00405D16">
            <w:pPr>
              <w:spacing w:after="100"/>
              <w:rPr>
                <w:rFonts w:eastAsia="Times New Roman"/>
                <w:sz w:val="20"/>
                <w:szCs w:val="20"/>
              </w:rPr>
            </w:pPr>
          </w:p>
        </w:tc>
      </w:tr>
      <w:tr w:rsidR="00000000" w14:paraId="439F38D5" w14:textId="77777777">
        <w:trPr>
          <w:divId w:val="1688216066"/>
        </w:trPr>
        <w:tc>
          <w:tcPr>
            <w:tcW w:w="0" w:type="auto"/>
            <w:gridSpan w:val="3"/>
            <w:shd w:val="clear" w:color="auto" w:fill="FFFFFF"/>
            <w:tcMar>
              <w:top w:w="0" w:type="dxa"/>
              <w:left w:w="20" w:type="dxa"/>
              <w:bottom w:w="0" w:type="dxa"/>
              <w:right w:w="20" w:type="dxa"/>
            </w:tcMar>
            <w:vAlign w:val="center"/>
            <w:hideMark/>
          </w:tcPr>
          <w:p w14:paraId="730F7F5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94F6DC" w14:textId="77777777" w:rsidR="00000000" w:rsidRDefault="00405D16">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51CF300F" w14:textId="77777777" w:rsidR="00000000" w:rsidRDefault="00405D16">
            <w:pPr>
              <w:spacing w:after="100"/>
              <w:rPr>
                <w:rFonts w:eastAsia="Times New Roman"/>
              </w:rPr>
            </w:pPr>
            <w:r>
              <w:rPr>
                <w:rFonts w:eastAsia="Times New Roman"/>
                <w:color w:val="000000"/>
                <w:sz w:val="18"/>
                <w:szCs w:val="18"/>
              </w:rPr>
              <w:t>Non-interest income</w:t>
            </w:r>
          </w:p>
        </w:tc>
        <w:tc>
          <w:tcPr>
            <w:tcW w:w="0" w:type="auto"/>
            <w:gridSpan w:val="3"/>
            <w:shd w:val="clear" w:color="auto" w:fill="FFFFFF"/>
            <w:tcMar>
              <w:top w:w="0" w:type="dxa"/>
              <w:left w:w="20" w:type="dxa"/>
              <w:bottom w:w="0" w:type="dxa"/>
              <w:right w:w="20" w:type="dxa"/>
            </w:tcMar>
            <w:vAlign w:val="center"/>
            <w:hideMark/>
          </w:tcPr>
          <w:p w14:paraId="14739CFF"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325AAB8B"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5B73C338" w14:textId="77777777" w:rsidR="00000000" w:rsidRDefault="00405D16">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3151F6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616C28"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07F22E9"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486B1019" w14:textId="77777777" w:rsidR="00000000" w:rsidRDefault="00405D16">
            <w:pPr>
              <w:spacing w:after="100"/>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center"/>
            <w:hideMark/>
          </w:tcPr>
          <w:p w14:paraId="4E55658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259D3A"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70D8D17"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0DEA8F17" w14:textId="77777777" w:rsidR="00000000" w:rsidRDefault="00405D16">
            <w:pPr>
              <w:spacing w:after="100"/>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A800FC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E9A4B4"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760406B"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32941719" w14:textId="77777777" w:rsidR="00000000" w:rsidRDefault="00405D16">
            <w:pPr>
              <w:spacing w:after="100"/>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center"/>
            <w:hideMark/>
          </w:tcPr>
          <w:p w14:paraId="7646E5D5" w14:textId="77777777" w:rsidR="00000000" w:rsidRDefault="00405D16">
            <w:pPr>
              <w:spacing w:after="100"/>
              <w:jc w:val="right"/>
              <w:rPr>
                <w:rFonts w:eastAsia="Times New Roman"/>
              </w:rPr>
            </w:pPr>
          </w:p>
        </w:tc>
        <w:tc>
          <w:tcPr>
            <w:tcW w:w="0" w:type="auto"/>
            <w:vAlign w:val="center"/>
            <w:hideMark/>
          </w:tcPr>
          <w:p w14:paraId="18EC0EB9" w14:textId="77777777" w:rsidR="00000000" w:rsidRDefault="00405D16">
            <w:pPr>
              <w:spacing w:after="100"/>
              <w:jc w:val="right"/>
              <w:rPr>
                <w:rFonts w:eastAsia="Times New Roman"/>
                <w:sz w:val="20"/>
                <w:szCs w:val="20"/>
              </w:rPr>
            </w:pPr>
          </w:p>
        </w:tc>
        <w:tc>
          <w:tcPr>
            <w:tcW w:w="0" w:type="auto"/>
            <w:vAlign w:val="center"/>
            <w:hideMark/>
          </w:tcPr>
          <w:p w14:paraId="32FD89E1" w14:textId="77777777" w:rsidR="00000000" w:rsidRDefault="00405D16">
            <w:pPr>
              <w:spacing w:after="100"/>
              <w:rPr>
                <w:rFonts w:eastAsia="Times New Roman"/>
                <w:sz w:val="20"/>
                <w:szCs w:val="20"/>
              </w:rPr>
            </w:pPr>
          </w:p>
        </w:tc>
      </w:tr>
      <w:tr w:rsidR="00000000" w14:paraId="4BC26502" w14:textId="77777777">
        <w:trPr>
          <w:divId w:val="1688216066"/>
        </w:trPr>
        <w:tc>
          <w:tcPr>
            <w:tcW w:w="0" w:type="auto"/>
            <w:gridSpan w:val="3"/>
            <w:shd w:val="clear" w:color="auto" w:fill="CCEEFF"/>
            <w:tcMar>
              <w:top w:w="0" w:type="dxa"/>
              <w:left w:w="20" w:type="dxa"/>
              <w:bottom w:w="0" w:type="dxa"/>
              <w:right w:w="20" w:type="dxa"/>
            </w:tcMar>
            <w:vAlign w:val="center"/>
            <w:hideMark/>
          </w:tcPr>
          <w:p w14:paraId="4E5410C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14947D" w14:textId="77777777" w:rsidR="00000000" w:rsidRDefault="00405D16">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14:paraId="52912BFE" w14:textId="77777777" w:rsidR="00000000" w:rsidRDefault="00405D16">
            <w:pPr>
              <w:spacing w:after="100"/>
              <w:rPr>
                <w:rFonts w:eastAsia="Times New Roman"/>
              </w:rPr>
            </w:pPr>
            <w:r>
              <w:rPr>
                <w:rFonts w:eastAsia="Times New Roman"/>
                <w:color w:val="000000"/>
                <w:sz w:val="18"/>
                <w:szCs w:val="18"/>
              </w:rPr>
              <w:t>Income tax provision</w:t>
            </w:r>
          </w:p>
        </w:tc>
        <w:tc>
          <w:tcPr>
            <w:tcW w:w="0" w:type="auto"/>
            <w:gridSpan w:val="3"/>
            <w:shd w:val="clear" w:color="auto" w:fill="CCEEFF"/>
            <w:tcMar>
              <w:top w:w="0" w:type="dxa"/>
              <w:left w:w="20" w:type="dxa"/>
              <w:bottom w:w="0" w:type="dxa"/>
              <w:right w:w="20" w:type="dxa"/>
            </w:tcMar>
            <w:vAlign w:val="center"/>
            <w:hideMark/>
          </w:tcPr>
          <w:p w14:paraId="26518C09"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1760A2A"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870BF6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6AC91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3B0B9C4" w14:textId="77777777" w:rsidR="00000000" w:rsidRDefault="00405D16">
            <w:pPr>
              <w:spacing w:after="100"/>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center"/>
            <w:hideMark/>
          </w:tcPr>
          <w:p w14:paraId="4DD3623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6B421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AD3B7C9" w14:textId="77777777" w:rsidR="00000000" w:rsidRDefault="00405D16">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73E79C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D2A66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6459DF9" w14:textId="77777777" w:rsidR="00000000" w:rsidRDefault="00405D16">
            <w:pPr>
              <w:spacing w:after="100"/>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center"/>
            <w:hideMark/>
          </w:tcPr>
          <w:p w14:paraId="07CA1EEB" w14:textId="77777777" w:rsidR="00000000" w:rsidRDefault="00405D16">
            <w:pPr>
              <w:spacing w:after="100"/>
              <w:jc w:val="right"/>
              <w:rPr>
                <w:rFonts w:eastAsia="Times New Roman"/>
              </w:rPr>
            </w:pPr>
          </w:p>
        </w:tc>
        <w:tc>
          <w:tcPr>
            <w:tcW w:w="0" w:type="auto"/>
            <w:vAlign w:val="center"/>
            <w:hideMark/>
          </w:tcPr>
          <w:p w14:paraId="7010DF75" w14:textId="77777777" w:rsidR="00000000" w:rsidRDefault="00405D16">
            <w:pPr>
              <w:spacing w:after="100"/>
              <w:jc w:val="right"/>
              <w:rPr>
                <w:rFonts w:eastAsia="Times New Roman"/>
                <w:sz w:val="20"/>
                <w:szCs w:val="20"/>
              </w:rPr>
            </w:pPr>
          </w:p>
        </w:tc>
        <w:tc>
          <w:tcPr>
            <w:tcW w:w="0" w:type="auto"/>
            <w:vAlign w:val="center"/>
            <w:hideMark/>
          </w:tcPr>
          <w:p w14:paraId="52596D49" w14:textId="77777777" w:rsidR="00000000" w:rsidRDefault="00405D16">
            <w:pPr>
              <w:spacing w:after="100"/>
              <w:rPr>
                <w:rFonts w:eastAsia="Times New Roman"/>
                <w:sz w:val="20"/>
                <w:szCs w:val="20"/>
              </w:rPr>
            </w:pPr>
          </w:p>
        </w:tc>
      </w:tr>
      <w:tr w:rsidR="00000000" w14:paraId="47C17D5C" w14:textId="77777777">
        <w:trPr>
          <w:divId w:val="1688216066"/>
        </w:trPr>
        <w:tc>
          <w:tcPr>
            <w:tcW w:w="0" w:type="auto"/>
            <w:gridSpan w:val="3"/>
            <w:shd w:val="clear" w:color="auto" w:fill="FFFFFF"/>
            <w:tcMar>
              <w:top w:w="0" w:type="dxa"/>
              <w:left w:w="20" w:type="dxa"/>
              <w:bottom w:w="0" w:type="dxa"/>
              <w:right w:w="20" w:type="dxa"/>
            </w:tcMar>
            <w:vAlign w:val="center"/>
            <w:hideMark/>
          </w:tcPr>
          <w:p w14:paraId="7BA9CF3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8095B4" w14:textId="77777777" w:rsidR="00000000" w:rsidRDefault="00405D16">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2BFBF0EF" w14:textId="77777777" w:rsidR="00000000" w:rsidRDefault="00405D16">
            <w:pPr>
              <w:spacing w:after="100"/>
              <w:rPr>
                <w:rFonts w:eastAsia="Times New Roman"/>
              </w:rPr>
            </w:pPr>
            <w:r>
              <w:rPr>
                <w:rFonts w:eastAsia="Times New Roman"/>
                <w:color w:val="000000"/>
                <w:sz w:val="18"/>
                <w:szCs w:val="18"/>
              </w:rPr>
              <w:t>Net income</w:t>
            </w:r>
          </w:p>
        </w:tc>
        <w:tc>
          <w:tcPr>
            <w:tcW w:w="0" w:type="auto"/>
            <w:gridSpan w:val="3"/>
            <w:shd w:val="clear" w:color="auto" w:fill="FFFFFF"/>
            <w:tcMar>
              <w:top w:w="0" w:type="dxa"/>
              <w:left w:w="20" w:type="dxa"/>
              <w:bottom w:w="0" w:type="dxa"/>
              <w:right w:w="20" w:type="dxa"/>
            </w:tcMar>
            <w:vAlign w:val="center"/>
            <w:hideMark/>
          </w:tcPr>
          <w:p w14:paraId="7B56D2CB"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CE1AB02" w14:textId="77777777" w:rsidR="00000000" w:rsidRDefault="00405D16">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86A4FE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884B7F"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4C54DA3" w14:textId="77777777" w:rsidR="00000000" w:rsidRDefault="00405D16">
            <w:pPr>
              <w:spacing w:after="100"/>
              <w:jc w:val="right"/>
              <w:rPr>
                <w:rFonts w:eastAsia="Times New Roman"/>
              </w:rPr>
            </w:pPr>
            <w:r>
              <w:rPr>
                <w:rFonts w:eastAsia="Times New Roman"/>
                <w:color w:val="000000"/>
                <w:sz w:val="18"/>
                <w:szCs w:val="18"/>
              </w:rPr>
              <w:t>19 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0401B7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6B69D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1C9535F" w14:textId="77777777" w:rsidR="00000000" w:rsidRDefault="00405D16">
            <w:pPr>
              <w:spacing w:after="100"/>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39048A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4083D7"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30EA008" w14:textId="77777777" w:rsidR="00000000" w:rsidRDefault="00405D16">
            <w:pPr>
              <w:spacing w:after="100"/>
              <w:jc w:val="right"/>
              <w:rPr>
                <w:rFonts w:eastAsia="Times New Roman"/>
              </w:rPr>
            </w:pPr>
            <w:r>
              <w:rPr>
                <w:rFonts w:eastAsia="Times New Roman"/>
                <w:color w:val="000000"/>
                <w:sz w:val="18"/>
                <w:szCs w:val="18"/>
              </w:rPr>
              <w:t>19 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31E0CFA" w14:textId="77777777" w:rsidR="00000000" w:rsidRDefault="00405D16">
            <w:pPr>
              <w:spacing w:after="100"/>
              <w:jc w:val="right"/>
              <w:rPr>
                <w:rFonts w:eastAsia="Times New Roman"/>
              </w:rPr>
            </w:pPr>
          </w:p>
        </w:tc>
        <w:tc>
          <w:tcPr>
            <w:tcW w:w="0" w:type="auto"/>
            <w:vAlign w:val="center"/>
            <w:hideMark/>
          </w:tcPr>
          <w:p w14:paraId="22E4A3E5" w14:textId="77777777" w:rsidR="00000000" w:rsidRDefault="00405D16">
            <w:pPr>
              <w:spacing w:after="100"/>
              <w:jc w:val="right"/>
              <w:rPr>
                <w:rFonts w:eastAsia="Times New Roman"/>
                <w:sz w:val="20"/>
                <w:szCs w:val="20"/>
              </w:rPr>
            </w:pPr>
          </w:p>
        </w:tc>
        <w:tc>
          <w:tcPr>
            <w:tcW w:w="0" w:type="auto"/>
            <w:vAlign w:val="center"/>
            <w:hideMark/>
          </w:tcPr>
          <w:p w14:paraId="38705033" w14:textId="77777777" w:rsidR="00000000" w:rsidRDefault="00405D16">
            <w:pPr>
              <w:spacing w:after="100"/>
              <w:rPr>
                <w:rFonts w:eastAsia="Times New Roman"/>
                <w:sz w:val="20"/>
                <w:szCs w:val="20"/>
              </w:rPr>
            </w:pPr>
          </w:p>
        </w:tc>
      </w:tr>
      <w:tr w:rsidR="00000000" w14:paraId="406B15B1" w14:textId="77777777">
        <w:trPr>
          <w:divId w:val="1688216066"/>
        </w:trPr>
        <w:tc>
          <w:tcPr>
            <w:tcW w:w="0" w:type="auto"/>
            <w:gridSpan w:val="3"/>
            <w:shd w:val="clear" w:color="auto" w:fill="CCEEFF"/>
            <w:tcMar>
              <w:top w:w="30" w:type="dxa"/>
              <w:left w:w="20" w:type="dxa"/>
              <w:bottom w:w="30" w:type="dxa"/>
              <w:right w:w="20" w:type="dxa"/>
            </w:tcMar>
            <w:vAlign w:val="center"/>
            <w:hideMark/>
          </w:tcPr>
          <w:p w14:paraId="64F2FB2D" w14:textId="77777777" w:rsidR="00000000" w:rsidRDefault="00405D16">
            <w:pPr>
              <w:spacing w:after="100"/>
              <w:rPr>
                <w:rFonts w:eastAsia="Times New Roman"/>
              </w:rPr>
            </w:pPr>
            <w:r>
              <w:rPr>
                <w:rFonts w:eastAsia="Times New Roman"/>
                <w:b/>
                <w:bCs/>
                <w:color w:val="000000"/>
                <w:sz w:val="18"/>
                <w:szCs w:val="18"/>
              </w:rPr>
              <w:t>Hedging relationships:</w:t>
            </w:r>
          </w:p>
        </w:tc>
        <w:tc>
          <w:tcPr>
            <w:tcW w:w="0" w:type="auto"/>
            <w:gridSpan w:val="3"/>
            <w:shd w:val="clear" w:color="auto" w:fill="CCEEFF"/>
            <w:tcMar>
              <w:top w:w="0" w:type="dxa"/>
              <w:left w:w="20" w:type="dxa"/>
              <w:bottom w:w="0" w:type="dxa"/>
              <w:right w:w="20" w:type="dxa"/>
            </w:tcMar>
            <w:vAlign w:val="center"/>
            <w:hideMark/>
          </w:tcPr>
          <w:p w14:paraId="589AD57F"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FD556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C262AD"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F50764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D5EC71"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5DC677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794354"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E18A8D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12D45F"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469E8D4" w14:textId="77777777" w:rsidR="00000000" w:rsidRDefault="00405D16">
            <w:pPr>
              <w:spacing w:after="100"/>
              <w:rPr>
                <w:rFonts w:eastAsia="Times New Roman"/>
                <w:sz w:val="20"/>
                <w:szCs w:val="20"/>
              </w:rPr>
            </w:pPr>
          </w:p>
        </w:tc>
        <w:tc>
          <w:tcPr>
            <w:tcW w:w="0" w:type="auto"/>
            <w:vAlign w:val="center"/>
            <w:hideMark/>
          </w:tcPr>
          <w:p w14:paraId="6E15B5DA" w14:textId="77777777" w:rsidR="00000000" w:rsidRDefault="00405D16">
            <w:pPr>
              <w:spacing w:after="100"/>
              <w:rPr>
                <w:rFonts w:eastAsia="Times New Roman"/>
                <w:sz w:val="20"/>
                <w:szCs w:val="20"/>
              </w:rPr>
            </w:pPr>
          </w:p>
        </w:tc>
        <w:tc>
          <w:tcPr>
            <w:tcW w:w="0" w:type="auto"/>
            <w:vAlign w:val="center"/>
            <w:hideMark/>
          </w:tcPr>
          <w:p w14:paraId="51EE5CCD" w14:textId="77777777" w:rsidR="00000000" w:rsidRDefault="00405D16">
            <w:pPr>
              <w:spacing w:after="100"/>
              <w:rPr>
                <w:rFonts w:eastAsia="Times New Roman"/>
                <w:sz w:val="20"/>
                <w:szCs w:val="20"/>
              </w:rPr>
            </w:pPr>
          </w:p>
        </w:tc>
      </w:tr>
      <w:tr w:rsidR="00000000" w14:paraId="77B77BC4" w14:textId="77777777">
        <w:trPr>
          <w:divId w:val="1688216066"/>
        </w:trPr>
        <w:tc>
          <w:tcPr>
            <w:tcW w:w="0" w:type="auto"/>
            <w:gridSpan w:val="3"/>
            <w:shd w:val="clear" w:color="auto" w:fill="FFFFFF"/>
            <w:tcMar>
              <w:top w:w="30" w:type="dxa"/>
              <w:left w:w="245" w:type="dxa"/>
              <w:bottom w:w="30" w:type="dxa"/>
              <w:right w:w="20" w:type="dxa"/>
            </w:tcMar>
            <w:vAlign w:val="center"/>
            <w:hideMark/>
          </w:tcPr>
          <w:p w14:paraId="672BEC62" w14:textId="77777777" w:rsidR="00000000" w:rsidRDefault="00405D16">
            <w:pPr>
              <w:spacing w:after="100"/>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14:paraId="1B185793" w14:textId="77777777" w:rsidR="00000000" w:rsidRDefault="00405D16">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0FE4726E" w14:textId="77777777" w:rsidR="00000000" w:rsidRDefault="00405D16">
            <w:pPr>
              <w:spacing w:after="100"/>
              <w:rPr>
                <w:rFonts w:eastAsia="Times New Roman"/>
              </w:rPr>
            </w:pPr>
            <w:r>
              <w:rPr>
                <w:rFonts w:eastAsia="Times New Roman"/>
                <w:color w:val="000000"/>
                <w:sz w:val="18"/>
                <w:szCs w:val="18"/>
              </w:rPr>
              <w:t>Interest income</w:t>
            </w:r>
          </w:p>
        </w:tc>
        <w:tc>
          <w:tcPr>
            <w:tcW w:w="0" w:type="auto"/>
            <w:gridSpan w:val="3"/>
            <w:shd w:val="clear" w:color="auto" w:fill="FFFFFF"/>
            <w:tcMar>
              <w:top w:w="0" w:type="dxa"/>
              <w:left w:w="20" w:type="dxa"/>
              <w:bottom w:w="0" w:type="dxa"/>
              <w:right w:w="20" w:type="dxa"/>
            </w:tcMar>
            <w:vAlign w:val="center"/>
            <w:hideMark/>
          </w:tcPr>
          <w:p w14:paraId="4A069923"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A2DAFE0" w14:textId="77777777" w:rsidR="00000000" w:rsidRDefault="00405D16">
            <w:pPr>
              <w:spacing w:after="100"/>
              <w:jc w:val="right"/>
              <w:rPr>
                <w:rFonts w:eastAsia="Times New Roman"/>
              </w:rPr>
            </w:pPr>
            <w:r>
              <w:rPr>
                <w:rFonts w:eastAsia="Times New Roman"/>
                <w:b/>
                <w:bCs/>
                <w:color w:val="000000"/>
                <w:sz w:val="18"/>
                <w:szCs w:val="18"/>
              </w:rPr>
              <w:t>250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5C10E4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4C7A0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2F32589" w14:textId="77777777" w:rsidR="00000000" w:rsidRDefault="00405D16">
            <w:pPr>
              <w:spacing w:after="100"/>
              <w:jc w:val="right"/>
              <w:rPr>
                <w:rFonts w:eastAsia="Times New Roman"/>
              </w:rPr>
            </w:pPr>
            <w:r>
              <w:rPr>
                <w:rFonts w:eastAsia="Times New Roman"/>
                <w:color w:val="000000"/>
                <w:sz w:val="18"/>
                <w:szCs w:val="18"/>
              </w:rPr>
              <w:t>179 </w:t>
            </w:r>
          </w:p>
        </w:tc>
        <w:tc>
          <w:tcPr>
            <w:tcW w:w="0" w:type="auto"/>
            <w:shd w:val="clear" w:color="auto" w:fill="FFFFFF"/>
            <w:tcMar>
              <w:top w:w="30" w:type="dxa"/>
              <w:left w:w="0" w:type="dxa"/>
              <w:bottom w:w="30" w:type="dxa"/>
              <w:right w:w="20" w:type="dxa"/>
            </w:tcMar>
            <w:vAlign w:val="center"/>
            <w:hideMark/>
          </w:tcPr>
          <w:p w14:paraId="44F39FF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4C53C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8368E45" w14:textId="77777777" w:rsidR="00000000" w:rsidRDefault="00405D16">
            <w:pPr>
              <w:spacing w:after="100"/>
              <w:jc w:val="right"/>
              <w:rPr>
                <w:rFonts w:eastAsia="Times New Roman"/>
              </w:rPr>
            </w:pPr>
            <w:r>
              <w:rPr>
                <w:rFonts w:eastAsia="Times New Roman"/>
                <w:b/>
                <w:bCs/>
                <w:color w:val="000000"/>
                <w:sz w:val="18"/>
                <w:szCs w:val="18"/>
              </w:rPr>
              <w:t>730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FFCE7D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584B2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A46E0CB" w14:textId="77777777" w:rsidR="00000000" w:rsidRDefault="00405D16">
            <w:pPr>
              <w:spacing w:after="100"/>
              <w:jc w:val="right"/>
              <w:rPr>
                <w:rFonts w:eastAsia="Times New Roman"/>
              </w:rPr>
            </w:pPr>
            <w:r>
              <w:rPr>
                <w:rFonts w:eastAsia="Times New Roman"/>
                <w:color w:val="000000"/>
                <w:sz w:val="18"/>
                <w:szCs w:val="18"/>
              </w:rPr>
              <w:t>347 </w:t>
            </w:r>
          </w:p>
        </w:tc>
        <w:tc>
          <w:tcPr>
            <w:tcW w:w="0" w:type="auto"/>
            <w:shd w:val="clear" w:color="auto" w:fill="FFFFFF"/>
            <w:tcMar>
              <w:top w:w="30" w:type="dxa"/>
              <w:left w:w="0" w:type="dxa"/>
              <w:bottom w:w="30" w:type="dxa"/>
              <w:right w:w="20" w:type="dxa"/>
            </w:tcMar>
            <w:vAlign w:val="center"/>
            <w:hideMark/>
          </w:tcPr>
          <w:p w14:paraId="1C2AA13E" w14:textId="77777777" w:rsidR="00000000" w:rsidRDefault="00405D16">
            <w:pPr>
              <w:spacing w:after="100"/>
              <w:jc w:val="right"/>
              <w:rPr>
                <w:rFonts w:eastAsia="Times New Roman"/>
              </w:rPr>
            </w:pPr>
          </w:p>
        </w:tc>
        <w:tc>
          <w:tcPr>
            <w:tcW w:w="0" w:type="auto"/>
            <w:vAlign w:val="center"/>
            <w:hideMark/>
          </w:tcPr>
          <w:p w14:paraId="2A7884AB" w14:textId="77777777" w:rsidR="00000000" w:rsidRDefault="00405D16">
            <w:pPr>
              <w:spacing w:after="100"/>
              <w:jc w:val="right"/>
              <w:rPr>
                <w:rFonts w:eastAsia="Times New Roman"/>
                <w:sz w:val="20"/>
                <w:szCs w:val="20"/>
              </w:rPr>
            </w:pPr>
          </w:p>
        </w:tc>
        <w:tc>
          <w:tcPr>
            <w:tcW w:w="0" w:type="auto"/>
            <w:vAlign w:val="center"/>
            <w:hideMark/>
          </w:tcPr>
          <w:p w14:paraId="6C864FFD" w14:textId="77777777" w:rsidR="00000000" w:rsidRDefault="00405D16">
            <w:pPr>
              <w:spacing w:after="100"/>
              <w:rPr>
                <w:rFonts w:eastAsia="Times New Roman"/>
                <w:sz w:val="20"/>
                <w:szCs w:val="20"/>
              </w:rPr>
            </w:pPr>
          </w:p>
        </w:tc>
      </w:tr>
      <w:tr w:rsidR="00000000" w14:paraId="747B0FD9" w14:textId="77777777">
        <w:trPr>
          <w:divId w:val="1688216066"/>
        </w:trPr>
        <w:tc>
          <w:tcPr>
            <w:tcW w:w="0" w:type="auto"/>
            <w:gridSpan w:val="3"/>
            <w:shd w:val="clear" w:color="auto" w:fill="CCEEFF"/>
            <w:tcMar>
              <w:top w:w="30" w:type="dxa"/>
              <w:left w:w="245" w:type="dxa"/>
              <w:bottom w:w="30" w:type="dxa"/>
              <w:right w:w="20" w:type="dxa"/>
            </w:tcMar>
            <w:vAlign w:val="center"/>
            <w:hideMark/>
          </w:tcPr>
          <w:p w14:paraId="55140CE8" w14:textId="77777777" w:rsidR="00000000" w:rsidRDefault="00405D16">
            <w:pPr>
              <w:spacing w:after="100"/>
              <w:rPr>
                <w:rFonts w:eastAsia="Times New Roman"/>
              </w:rPr>
            </w:pPr>
            <w:r>
              <w:rPr>
                <w:rFonts w:eastAsia="Times New Roman"/>
                <w:color w:val="000000"/>
                <w:sz w:val="18"/>
                <w:szCs w:val="18"/>
              </w:rPr>
              <w:t>Foreign exchange contracts:</w:t>
            </w:r>
          </w:p>
        </w:tc>
        <w:tc>
          <w:tcPr>
            <w:tcW w:w="0" w:type="auto"/>
            <w:gridSpan w:val="3"/>
            <w:shd w:val="clear" w:color="auto" w:fill="CCEEFF"/>
            <w:tcMar>
              <w:top w:w="0" w:type="dxa"/>
              <w:left w:w="20" w:type="dxa"/>
              <w:bottom w:w="0" w:type="dxa"/>
              <w:right w:w="20" w:type="dxa"/>
            </w:tcMar>
            <w:vAlign w:val="center"/>
            <w:hideMark/>
          </w:tcPr>
          <w:p w14:paraId="7D40001C" w14:textId="77777777" w:rsidR="00000000" w:rsidRDefault="00405D16">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1B513E97" w14:textId="77777777" w:rsidR="00000000" w:rsidRDefault="00405D16">
            <w:pPr>
              <w:spacing w:after="100"/>
              <w:rPr>
                <w:rFonts w:eastAsia="Times New Roman"/>
              </w:rPr>
            </w:pPr>
            <w:r>
              <w:rPr>
                <w:rFonts w:eastAsia="Times New Roman"/>
                <w:color w:val="000000"/>
                <w:sz w:val="18"/>
                <w:szCs w:val="18"/>
              </w:rPr>
              <w:t>Interest income</w:t>
            </w:r>
          </w:p>
        </w:tc>
        <w:tc>
          <w:tcPr>
            <w:tcW w:w="0" w:type="auto"/>
            <w:gridSpan w:val="3"/>
            <w:shd w:val="clear" w:color="auto" w:fill="CCEEFF"/>
            <w:tcMar>
              <w:top w:w="0" w:type="dxa"/>
              <w:left w:w="20" w:type="dxa"/>
              <w:bottom w:w="0" w:type="dxa"/>
              <w:right w:w="20" w:type="dxa"/>
            </w:tcMar>
            <w:vAlign w:val="center"/>
            <w:hideMark/>
          </w:tcPr>
          <w:p w14:paraId="16DAE99F"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741262B"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9621C4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E4D0A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C24605F" w14:textId="77777777" w:rsidR="00000000" w:rsidRDefault="00405D16">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14:paraId="6A91D29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498A0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B421DB1" w14:textId="77777777" w:rsidR="00000000" w:rsidRDefault="00405D16">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279EAA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2B592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C0873F5" w14:textId="77777777" w:rsidR="00000000" w:rsidRDefault="00405D16">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center"/>
            <w:hideMark/>
          </w:tcPr>
          <w:p w14:paraId="0B552D5D" w14:textId="77777777" w:rsidR="00000000" w:rsidRDefault="00405D16">
            <w:pPr>
              <w:spacing w:after="100"/>
              <w:jc w:val="right"/>
              <w:rPr>
                <w:rFonts w:eastAsia="Times New Roman"/>
              </w:rPr>
            </w:pPr>
          </w:p>
        </w:tc>
        <w:tc>
          <w:tcPr>
            <w:tcW w:w="0" w:type="auto"/>
            <w:vAlign w:val="center"/>
            <w:hideMark/>
          </w:tcPr>
          <w:p w14:paraId="5DB9F478" w14:textId="77777777" w:rsidR="00000000" w:rsidRDefault="00405D16">
            <w:pPr>
              <w:spacing w:after="100"/>
              <w:jc w:val="right"/>
              <w:rPr>
                <w:rFonts w:eastAsia="Times New Roman"/>
                <w:sz w:val="20"/>
                <w:szCs w:val="20"/>
              </w:rPr>
            </w:pPr>
          </w:p>
        </w:tc>
        <w:tc>
          <w:tcPr>
            <w:tcW w:w="0" w:type="auto"/>
            <w:vAlign w:val="center"/>
            <w:hideMark/>
          </w:tcPr>
          <w:p w14:paraId="41E47576" w14:textId="77777777" w:rsidR="00000000" w:rsidRDefault="00405D16">
            <w:pPr>
              <w:spacing w:after="100"/>
              <w:rPr>
                <w:rFonts w:eastAsia="Times New Roman"/>
                <w:sz w:val="20"/>
                <w:szCs w:val="20"/>
              </w:rPr>
            </w:pPr>
          </w:p>
        </w:tc>
      </w:tr>
      <w:tr w:rsidR="00000000" w14:paraId="40EDF11F" w14:textId="77777777">
        <w:trPr>
          <w:divId w:val="1688216066"/>
        </w:trPr>
        <w:tc>
          <w:tcPr>
            <w:tcW w:w="0" w:type="auto"/>
            <w:gridSpan w:val="3"/>
            <w:shd w:val="clear" w:color="auto" w:fill="FFFFFF"/>
            <w:tcMar>
              <w:top w:w="0" w:type="dxa"/>
              <w:left w:w="20" w:type="dxa"/>
              <w:bottom w:w="0" w:type="dxa"/>
              <w:right w:w="20" w:type="dxa"/>
            </w:tcMar>
            <w:vAlign w:val="center"/>
            <w:hideMark/>
          </w:tcPr>
          <w:p w14:paraId="301BEBD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32B806" w14:textId="77777777" w:rsidR="00000000" w:rsidRDefault="00405D16">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46CA84C3" w14:textId="77777777" w:rsidR="00000000" w:rsidRDefault="00405D16">
            <w:pPr>
              <w:spacing w:after="100"/>
              <w:rPr>
                <w:rFonts w:eastAsia="Times New Roman"/>
              </w:rPr>
            </w:pPr>
            <w:r>
              <w:rPr>
                <w:rFonts w:eastAsia="Times New Roman"/>
                <w:color w:val="000000"/>
                <w:sz w:val="18"/>
                <w:szCs w:val="18"/>
              </w:rPr>
              <w:t>Interest expense</w:t>
            </w:r>
          </w:p>
        </w:tc>
        <w:tc>
          <w:tcPr>
            <w:tcW w:w="0" w:type="auto"/>
            <w:gridSpan w:val="3"/>
            <w:shd w:val="clear" w:color="auto" w:fill="FFFFFF"/>
            <w:tcMar>
              <w:top w:w="0" w:type="dxa"/>
              <w:left w:w="20" w:type="dxa"/>
              <w:bottom w:w="0" w:type="dxa"/>
              <w:right w:w="20" w:type="dxa"/>
            </w:tcMar>
            <w:vAlign w:val="center"/>
            <w:hideMark/>
          </w:tcPr>
          <w:p w14:paraId="62540AB9"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D2C4BE6"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768979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8C37F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84B32AE" w14:textId="77777777" w:rsidR="00000000" w:rsidRDefault="00405D16">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center"/>
            <w:hideMark/>
          </w:tcPr>
          <w:p w14:paraId="17E4090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3B979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332E586" w14:textId="77777777" w:rsidR="00000000" w:rsidRDefault="00405D16">
            <w:pPr>
              <w:spacing w:after="100"/>
              <w:jc w:val="right"/>
              <w:rPr>
                <w:rFonts w:eastAsia="Times New Roman"/>
              </w:rPr>
            </w:pPr>
            <w:r>
              <w:rPr>
                <w:rFonts w:eastAsia="Times New Roman"/>
                <w:b/>
                <w:bCs/>
                <w:color w:val="000000"/>
                <w:sz w:val="18"/>
                <w:szCs w:val="18"/>
              </w:rPr>
              <w:t>(2)</w:t>
            </w:r>
          </w:p>
        </w:tc>
        <w:tc>
          <w:tcPr>
            <w:tcW w:w="0" w:type="auto"/>
            <w:shd w:val="clear" w:color="auto" w:fill="FFFFFF"/>
            <w:tcMar>
              <w:top w:w="30" w:type="dxa"/>
              <w:left w:w="0" w:type="dxa"/>
              <w:bottom w:w="30" w:type="dxa"/>
              <w:right w:w="20" w:type="dxa"/>
            </w:tcMar>
            <w:vAlign w:val="center"/>
            <w:hideMark/>
          </w:tcPr>
          <w:p w14:paraId="329C40F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74094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195F88A" w14:textId="77777777" w:rsidR="00000000" w:rsidRDefault="00405D16">
            <w:pPr>
              <w:spacing w:after="100"/>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center"/>
            <w:hideMark/>
          </w:tcPr>
          <w:p w14:paraId="416C7BA2" w14:textId="77777777" w:rsidR="00000000" w:rsidRDefault="00405D16">
            <w:pPr>
              <w:spacing w:after="100"/>
              <w:jc w:val="right"/>
              <w:rPr>
                <w:rFonts w:eastAsia="Times New Roman"/>
              </w:rPr>
            </w:pPr>
          </w:p>
        </w:tc>
        <w:tc>
          <w:tcPr>
            <w:tcW w:w="0" w:type="auto"/>
            <w:vAlign w:val="center"/>
            <w:hideMark/>
          </w:tcPr>
          <w:p w14:paraId="79CFC3D9" w14:textId="77777777" w:rsidR="00000000" w:rsidRDefault="00405D16">
            <w:pPr>
              <w:spacing w:after="100"/>
              <w:jc w:val="right"/>
              <w:rPr>
                <w:rFonts w:eastAsia="Times New Roman"/>
                <w:sz w:val="20"/>
                <w:szCs w:val="20"/>
              </w:rPr>
            </w:pPr>
          </w:p>
        </w:tc>
        <w:tc>
          <w:tcPr>
            <w:tcW w:w="0" w:type="auto"/>
            <w:vAlign w:val="center"/>
            <w:hideMark/>
          </w:tcPr>
          <w:p w14:paraId="32995F68" w14:textId="77777777" w:rsidR="00000000" w:rsidRDefault="00405D16">
            <w:pPr>
              <w:spacing w:after="100"/>
              <w:rPr>
                <w:rFonts w:eastAsia="Times New Roman"/>
                <w:sz w:val="20"/>
                <w:szCs w:val="20"/>
              </w:rPr>
            </w:pPr>
          </w:p>
        </w:tc>
      </w:tr>
      <w:tr w:rsidR="00000000" w14:paraId="2AA613B7" w14:textId="77777777">
        <w:trPr>
          <w:divId w:val="1688216066"/>
        </w:trPr>
        <w:tc>
          <w:tcPr>
            <w:tcW w:w="0" w:type="auto"/>
            <w:gridSpan w:val="3"/>
            <w:shd w:val="clear" w:color="auto" w:fill="CCEEFF"/>
            <w:tcMar>
              <w:top w:w="0" w:type="dxa"/>
              <w:left w:w="20" w:type="dxa"/>
              <w:bottom w:w="0" w:type="dxa"/>
              <w:right w:w="20" w:type="dxa"/>
            </w:tcMar>
            <w:vAlign w:val="center"/>
            <w:hideMark/>
          </w:tcPr>
          <w:p w14:paraId="0348120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E828E6" w14:textId="77777777" w:rsidR="00000000" w:rsidRDefault="00405D16">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14:paraId="2B75ECA7" w14:textId="77777777" w:rsidR="00000000" w:rsidRDefault="00405D16">
            <w:pPr>
              <w:spacing w:after="100"/>
              <w:rPr>
                <w:rFonts w:eastAsia="Times New Roman"/>
              </w:rPr>
            </w:pPr>
            <w:r>
              <w:rPr>
                <w:rFonts w:eastAsia="Times New Roman"/>
                <w:color w:val="000000"/>
                <w:sz w:val="18"/>
                <w:szCs w:val="18"/>
              </w:rPr>
              <w:t>Non-interest income</w:t>
            </w:r>
          </w:p>
        </w:tc>
        <w:tc>
          <w:tcPr>
            <w:tcW w:w="0" w:type="auto"/>
            <w:gridSpan w:val="3"/>
            <w:shd w:val="clear" w:color="auto" w:fill="CCEEFF"/>
            <w:tcMar>
              <w:top w:w="0" w:type="dxa"/>
              <w:left w:w="20" w:type="dxa"/>
              <w:bottom w:w="0" w:type="dxa"/>
              <w:right w:w="20" w:type="dxa"/>
            </w:tcMar>
            <w:vAlign w:val="center"/>
            <w:hideMark/>
          </w:tcPr>
          <w:p w14:paraId="66049F34"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A5C743E" w14:textId="77777777" w:rsidR="00000000" w:rsidRDefault="00405D16">
            <w:pPr>
              <w:spacing w:after="100"/>
              <w:jc w:val="right"/>
              <w:rPr>
                <w:rFonts w:eastAsia="Times New Roman"/>
              </w:rPr>
            </w:pPr>
            <w:r>
              <w:rPr>
                <w:rFonts w:eastAsia="Times New Roman"/>
                <w:b/>
                <w:bCs/>
                <w:color w:val="000000"/>
                <w:sz w:val="18"/>
                <w:szCs w:val="18"/>
              </w:rPr>
              <w:t>83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7E44D0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6B216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4EEAC1E" w14:textId="77777777" w:rsidR="00000000" w:rsidRDefault="00405D16">
            <w:pPr>
              <w:spacing w:after="100"/>
              <w:jc w:val="right"/>
              <w:rPr>
                <w:rFonts w:eastAsia="Times New Roman"/>
              </w:rPr>
            </w:pPr>
            <w:r>
              <w:rPr>
                <w:rFonts w:eastAsia="Times New Roman"/>
                <w:color w:val="000000"/>
                <w:sz w:val="18"/>
                <w:szCs w:val="18"/>
              </w:rPr>
              <w:t>(73)</w:t>
            </w:r>
          </w:p>
        </w:tc>
        <w:tc>
          <w:tcPr>
            <w:tcW w:w="0" w:type="auto"/>
            <w:shd w:val="clear" w:color="auto" w:fill="CCEEFF"/>
            <w:tcMar>
              <w:top w:w="30" w:type="dxa"/>
              <w:left w:w="0" w:type="dxa"/>
              <w:bottom w:w="30" w:type="dxa"/>
              <w:right w:w="20" w:type="dxa"/>
            </w:tcMar>
            <w:vAlign w:val="center"/>
            <w:hideMark/>
          </w:tcPr>
          <w:p w14:paraId="434DBA1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E7D66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417DD31" w14:textId="77777777" w:rsidR="00000000" w:rsidRDefault="00405D16">
            <w:pPr>
              <w:spacing w:after="100"/>
              <w:jc w:val="right"/>
              <w:rPr>
                <w:rFonts w:eastAsia="Times New Roman"/>
              </w:rPr>
            </w:pPr>
            <w:r>
              <w:rPr>
                <w:rFonts w:eastAsia="Times New Roman"/>
                <w:b/>
                <w:bCs/>
                <w:color w:val="000000"/>
                <w:sz w:val="18"/>
                <w:szCs w:val="18"/>
              </w:rPr>
              <w:t>245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28D831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EB88A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BE5A949" w14:textId="77777777" w:rsidR="00000000" w:rsidRDefault="00405D16">
            <w:pPr>
              <w:spacing w:after="100"/>
              <w:jc w:val="right"/>
              <w:rPr>
                <w:rFonts w:eastAsia="Times New Roman"/>
              </w:rPr>
            </w:pPr>
            <w:r>
              <w:rPr>
                <w:rFonts w:eastAsia="Times New Roman"/>
                <w:color w:val="000000"/>
                <w:sz w:val="18"/>
                <w:szCs w:val="18"/>
              </w:rPr>
              <w:t>20 </w:t>
            </w:r>
          </w:p>
        </w:tc>
        <w:tc>
          <w:tcPr>
            <w:tcW w:w="0" w:type="auto"/>
            <w:shd w:val="clear" w:color="auto" w:fill="CCEEFF"/>
            <w:tcMar>
              <w:top w:w="30" w:type="dxa"/>
              <w:left w:w="0" w:type="dxa"/>
              <w:bottom w:w="30" w:type="dxa"/>
              <w:right w:w="20" w:type="dxa"/>
            </w:tcMar>
            <w:vAlign w:val="center"/>
            <w:hideMark/>
          </w:tcPr>
          <w:p w14:paraId="749C27B7" w14:textId="77777777" w:rsidR="00000000" w:rsidRDefault="00405D16">
            <w:pPr>
              <w:spacing w:after="100"/>
              <w:jc w:val="right"/>
              <w:rPr>
                <w:rFonts w:eastAsia="Times New Roman"/>
              </w:rPr>
            </w:pPr>
          </w:p>
        </w:tc>
        <w:tc>
          <w:tcPr>
            <w:tcW w:w="0" w:type="auto"/>
            <w:vAlign w:val="center"/>
            <w:hideMark/>
          </w:tcPr>
          <w:p w14:paraId="25AC7B49" w14:textId="77777777" w:rsidR="00000000" w:rsidRDefault="00405D16">
            <w:pPr>
              <w:spacing w:after="100"/>
              <w:jc w:val="right"/>
              <w:rPr>
                <w:rFonts w:eastAsia="Times New Roman"/>
                <w:sz w:val="20"/>
                <w:szCs w:val="20"/>
              </w:rPr>
            </w:pPr>
          </w:p>
        </w:tc>
        <w:tc>
          <w:tcPr>
            <w:tcW w:w="0" w:type="auto"/>
            <w:vAlign w:val="center"/>
            <w:hideMark/>
          </w:tcPr>
          <w:p w14:paraId="65027742" w14:textId="77777777" w:rsidR="00000000" w:rsidRDefault="00405D16">
            <w:pPr>
              <w:spacing w:after="100"/>
              <w:rPr>
                <w:rFonts w:eastAsia="Times New Roman"/>
                <w:sz w:val="20"/>
                <w:szCs w:val="20"/>
              </w:rPr>
            </w:pPr>
          </w:p>
        </w:tc>
      </w:tr>
      <w:tr w:rsidR="00000000" w14:paraId="6D9D0894" w14:textId="77777777">
        <w:trPr>
          <w:divId w:val="1688216066"/>
        </w:trPr>
        <w:tc>
          <w:tcPr>
            <w:tcW w:w="0" w:type="auto"/>
            <w:gridSpan w:val="3"/>
            <w:shd w:val="clear" w:color="auto" w:fill="FFFFFF"/>
            <w:tcMar>
              <w:top w:w="0" w:type="dxa"/>
              <w:left w:w="20" w:type="dxa"/>
              <w:bottom w:w="0" w:type="dxa"/>
              <w:right w:w="20" w:type="dxa"/>
            </w:tcMar>
            <w:vAlign w:val="center"/>
            <w:hideMark/>
          </w:tcPr>
          <w:p w14:paraId="404F2D2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84B4B8" w14:textId="77777777" w:rsidR="00000000" w:rsidRDefault="00405D16">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5615D879" w14:textId="77777777" w:rsidR="00000000" w:rsidRDefault="00405D16">
            <w:pPr>
              <w:spacing w:after="100"/>
              <w:rPr>
                <w:rFonts w:eastAsia="Times New Roman"/>
              </w:rPr>
            </w:pPr>
            <w:r>
              <w:rPr>
                <w:rFonts w:eastAsia="Times New Roman"/>
                <w:color w:val="000000"/>
                <w:sz w:val="18"/>
                <w:szCs w:val="18"/>
              </w:rPr>
              <w:t>Income from continuing operations before income taxes</w:t>
            </w:r>
          </w:p>
        </w:tc>
        <w:tc>
          <w:tcPr>
            <w:tcW w:w="0" w:type="auto"/>
            <w:gridSpan w:val="3"/>
            <w:shd w:val="clear" w:color="auto" w:fill="FFFFFF"/>
            <w:tcMar>
              <w:top w:w="0" w:type="dxa"/>
              <w:left w:w="20" w:type="dxa"/>
              <w:bottom w:w="0" w:type="dxa"/>
              <w:right w:w="20" w:type="dxa"/>
            </w:tcMar>
            <w:vAlign w:val="center"/>
            <w:hideMark/>
          </w:tcPr>
          <w:p w14:paraId="1F1E8DCC"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2329DE7" w14:textId="77777777" w:rsidR="00000000" w:rsidRDefault="00405D16">
            <w:pPr>
              <w:spacing w:after="100"/>
              <w:jc w:val="right"/>
              <w:rPr>
                <w:rFonts w:eastAsia="Times New Roman"/>
              </w:rPr>
            </w:pPr>
            <w:r>
              <w:rPr>
                <w:rFonts w:eastAsia="Times New Roman"/>
                <w:b/>
                <w:bCs/>
                <w:color w:val="000000"/>
                <w:sz w:val="18"/>
                <w:szCs w:val="18"/>
              </w:rPr>
              <w:t>333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AE09C1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D194F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44BD949" w14:textId="77777777" w:rsidR="00000000" w:rsidRDefault="00405D16">
            <w:pPr>
              <w:spacing w:after="100"/>
              <w:jc w:val="right"/>
              <w:rPr>
                <w:rFonts w:eastAsia="Times New Roman"/>
              </w:rPr>
            </w:pPr>
            <w:r>
              <w:rPr>
                <w:rFonts w:eastAsia="Times New Roman"/>
                <w:color w:val="000000"/>
                <w:sz w:val="18"/>
                <w:szCs w:val="18"/>
              </w:rPr>
              <w:t>106 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CDBA96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FE8CC5"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D6B0576" w14:textId="77777777" w:rsidR="00000000" w:rsidRDefault="00405D16">
            <w:pPr>
              <w:spacing w:after="100"/>
              <w:jc w:val="right"/>
              <w:rPr>
                <w:rFonts w:eastAsia="Times New Roman"/>
              </w:rPr>
            </w:pPr>
            <w:r>
              <w:rPr>
                <w:rFonts w:eastAsia="Times New Roman"/>
                <w:b/>
                <w:bCs/>
                <w:color w:val="000000"/>
                <w:sz w:val="18"/>
                <w:szCs w:val="18"/>
              </w:rPr>
              <w:t>974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DBD339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703F41"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3378AF0" w14:textId="77777777" w:rsidR="00000000" w:rsidRDefault="00405D16">
            <w:pPr>
              <w:spacing w:after="100"/>
              <w:jc w:val="right"/>
              <w:rPr>
                <w:rFonts w:eastAsia="Times New Roman"/>
              </w:rPr>
            </w:pPr>
            <w:r>
              <w:rPr>
                <w:rFonts w:eastAsia="Times New Roman"/>
                <w:color w:val="000000"/>
                <w:sz w:val="18"/>
                <w:szCs w:val="18"/>
              </w:rPr>
              <w:t>374 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4D9E95C" w14:textId="77777777" w:rsidR="00000000" w:rsidRDefault="00405D16">
            <w:pPr>
              <w:spacing w:after="100"/>
              <w:jc w:val="right"/>
              <w:rPr>
                <w:rFonts w:eastAsia="Times New Roman"/>
              </w:rPr>
            </w:pPr>
          </w:p>
        </w:tc>
        <w:tc>
          <w:tcPr>
            <w:tcW w:w="0" w:type="auto"/>
            <w:vAlign w:val="center"/>
            <w:hideMark/>
          </w:tcPr>
          <w:p w14:paraId="76DA55E5" w14:textId="77777777" w:rsidR="00000000" w:rsidRDefault="00405D16">
            <w:pPr>
              <w:spacing w:after="100"/>
              <w:jc w:val="right"/>
              <w:rPr>
                <w:rFonts w:eastAsia="Times New Roman"/>
                <w:sz w:val="20"/>
                <w:szCs w:val="20"/>
              </w:rPr>
            </w:pPr>
          </w:p>
        </w:tc>
        <w:tc>
          <w:tcPr>
            <w:tcW w:w="0" w:type="auto"/>
            <w:vAlign w:val="center"/>
            <w:hideMark/>
          </w:tcPr>
          <w:p w14:paraId="311E2C7A" w14:textId="77777777" w:rsidR="00000000" w:rsidRDefault="00405D16">
            <w:pPr>
              <w:spacing w:after="100"/>
              <w:rPr>
                <w:rFonts w:eastAsia="Times New Roman"/>
                <w:sz w:val="20"/>
                <w:szCs w:val="20"/>
              </w:rPr>
            </w:pPr>
          </w:p>
        </w:tc>
      </w:tr>
      <w:tr w:rsidR="00000000" w14:paraId="6AE9D7D9" w14:textId="77777777">
        <w:trPr>
          <w:divId w:val="1688216066"/>
        </w:trPr>
        <w:tc>
          <w:tcPr>
            <w:tcW w:w="0" w:type="auto"/>
            <w:gridSpan w:val="3"/>
            <w:shd w:val="clear" w:color="auto" w:fill="CCEEFF"/>
            <w:tcMar>
              <w:top w:w="0" w:type="dxa"/>
              <w:left w:w="20" w:type="dxa"/>
              <w:bottom w:w="0" w:type="dxa"/>
              <w:right w:w="20" w:type="dxa"/>
            </w:tcMar>
            <w:vAlign w:val="center"/>
            <w:hideMark/>
          </w:tcPr>
          <w:p w14:paraId="3C5F01D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D55FB5" w14:textId="77777777" w:rsidR="00000000" w:rsidRDefault="00405D16">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14:paraId="4BC55FBF" w14:textId="77777777" w:rsidR="00000000" w:rsidRDefault="00405D16">
            <w:pPr>
              <w:spacing w:after="100"/>
              <w:rPr>
                <w:rFonts w:eastAsia="Times New Roman"/>
              </w:rPr>
            </w:pPr>
            <w:r>
              <w:rPr>
                <w:rFonts w:eastAsia="Times New Roman"/>
                <w:color w:val="000000"/>
                <w:sz w:val="18"/>
                <w:szCs w:val="18"/>
              </w:rPr>
              <w:t>Income tax provision</w:t>
            </w:r>
          </w:p>
        </w:tc>
        <w:tc>
          <w:tcPr>
            <w:tcW w:w="0" w:type="auto"/>
            <w:gridSpan w:val="3"/>
            <w:shd w:val="clear" w:color="auto" w:fill="CCEEFF"/>
            <w:tcMar>
              <w:top w:w="0" w:type="dxa"/>
              <w:left w:w="20" w:type="dxa"/>
              <w:bottom w:w="0" w:type="dxa"/>
              <w:right w:w="20" w:type="dxa"/>
            </w:tcMar>
            <w:vAlign w:val="center"/>
            <w:hideMark/>
          </w:tcPr>
          <w:p w14:paraId="6DF6F6AE"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6625850" w14:textId="77777777" w:rsidR="00000000" w:rsidRDefault="00405D16">
            <w:pPr>
              <w:spacing w:after="100"/>
              <w:jc w:val="right"/>
              <w:rPr>
                <w:rFonts w:eastAsia="Times New Roman"/>
              </w:rPr>
            </w:pPr>
            <w:r>
              <w:rPr>
                <w:rFonts w:eastAsia="Times New Roman"/>
                <w:b/>
                <w:bCs/>
                <w:color w:val="000000"/>
                <w:sz w:val="18"/>
                <w:szCs w:val="18"/>
              </w:rPr>
              <w:t>81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5E2CC8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CC49B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0354EE4" w14:textId="77777777" w:rsidR="00000000" w:rsidRDefault="00405D16">
            <w:pPr>
              <w:spacing w:after="100"/>
              <w:jc w:val="right"/>
              <w:rPr>
                <w:rFonts w:eastAsia="Times New Roman"/>
              </w:rPr>
            </w:pPr>
            <w:r>
              <w:rPr>
                <w:rFonts w:eastAsia="Times New Roman"/>
                <w:color w:val="000000"/>
                <w:sz w:val="18"/>
                <w:szCs w:val="18"/>
              </w:rPr>
              <w:t>26 </w:t>
            </w:r>
          </w:p>
        </w:tc>
        <w:tc>
          <w:tcPr>
            <w:tcW w:w="0" w:type="auto"/>
            <w:shd w:val="clear" w:color="auto" w:fill="CCEEFF"/>
            <w:tcMar>
              <w:top w:w="30" w:type="dxa"/>
              <w:left w:w="0" w:type="dxa"/>
              <w:bottom w:w="30" w:type="dxa"/>
              <w:right w:w="20" w:type="dxa"/>
            </w:tcMar>
            <w:vAlign w:val="center"/>
            <w:hideMark/>
          </w:tcPr>
          <w:p w14:paraId="4820775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90126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21F2800" w14:textId="77777777" w:rsidR="00000000" w:rsidRDefault="00405D16">
            <w:pPr>
              <w:spacing w:after="100"/>
              <w:jc w:val="right"/>
              <w:rPr>
                <w:rFonts w:eastAsia="Times New Roman"/>
              </w:rPr>
            </w:pPr>
            <w:r>
              <w:rPr>
                <w:rFonts w:eastAsia="Times New Roman"/>
                <w:b/>
                <w:bCs/>
                <w:color w:val="000000"/>
                <w:sz w:val="18"/>
                <w:szCs w:val="18"/>
              </w:rPr>
              <w:t>235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04E6A6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53F80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F5F4138" w14:textId="77777777" w:rsidR="00000000" w:rsidRDefault="00405D16">
            <w:pPr>
              <w:spacing w:after="100"/>
              <w:jc w:val="right"/>
              <w:rPr>
                <w:rFonts w:eastAsia="Times New Roman"/>
              </w:rPr>
            </w:pPr>
            <w:r>
              <w:rPr>
                <w:rFonts w:eastAsia="Times New Roman"/>
                <w:color w:val="000000"/>
                <w:sz w:val="18"/>
                <w:szCs w:val="18"/>
              </w:rPr>
              <w:t>90 </w:t>
            </w:r>
          </w:p>
        </w:tc>
        <w:tc>
          <w:tcPr>
            <w:tcW w:w="0" w:type="auto"/>
            <w:shd w:val="clear" w:color="auto" w:fill="CCEEFF"/>
            <w:tcMar>
              <w:top w:w="30" w:type="dxa"/>
              <w:left w:w="0" w:type="dxa"/>
              <w:bottom w:w="30" w:type="dxa"/>
              <w:right w:w="20" w:type="dxa"/>
            </w:tcMar>
            <w:vAlign w:val="center"/>
            <w:hideMark/>
          </w:tcPr>
          <w:p w14:paraId="1455D3EB" w14:textId="77777777" w:rsidR="00000000" w:rsidRDefault="00405D16">
            <w:pPr>
              <w:spacing w:after="100"/>
              <w:jc w:val="right"/>
              <w:rPr>
                <w:rFonts w:eastAsia="Times New Roman"/>
              </w:rPr>
            </w:pPr>
          </w:p>
        </w:tc>
        <w:tc>
          <w:tcPr>
            <w:tcW w:w="0" w:type="auto"/>
            <w:vAlign w:val="center"/>
            <w:hideMark/>
          </w:tcPr>
          <w:p w14:paraId="3BAF984B" w14:textId="77777777" w:rsidR="00000000" w:rsidRDefault="00405D16">
            <w:pPr>
              <w:spacing w:after="100"/>
              <w:jc w:val="right"/>
              <w:rPr>
                <w:rFonts w:eastAsia="Times New Roman"/>
                <w:sz w:val="20"/>
                <w:szCs w:val="20"/>
              </w:rPr>
            </w:pPr>
          </w:p>
        </w:tc>
        <w:tc>
          <w:tcPr>
            <w:tcW w:w="0" w:type="auto"/>
            <w:vAlign w:val="center"/>
            <w:hideMark/>
          </w:tcPr>
          <w:p w14:paraId="5A723861" w14:textId="77777777" w:rsidR="00000000" w:rsidRDefault="00405D16">
            <w:pPr>
              <w:spacing w:after="100"/>
              <w:rPr>
                <w:rFonts w:eastAsia="Times New Roman"/>
                <w:sz w:val="20"/>
                <w:szCs w:val="20"/>
              </w:rPr>
            </w:pPr>
          </w:p>
        </w:tc>
      </w:tr>
      <w:tr w:rsidR="00000000" w14:paraId="4C8F3FFE" w14:textId="77777777">
        <w:trPr>
          <w:divId w:val="1688216066"/>
        </w:trPr>
        <w:tc>
          <w:tcPr>
            <w:tcW w:w="0" w:type="auto"/>
            <w:gridSpan w:val="3"/>
            <w:shd w:val="clear" w:color="auto" w:fill="FFFFFF"/>
            <w:tcMar>
              <w:top w:w="0" w:type="dxa"/>
              <w:left w:w="20" w:type="dxa"/>
              <w:bottom w:w="0" w:type="dxa"/>
              <w:right w:w="20" w:type="dxa"/>
            </w:tcMar>
            <w:vAlign w:val="center"/>
            <w:hideMark/>
          </w:tcPr>
          <w:p w14:paraId="280A8E4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0109BE" w14:textId="77777777" w:rsidR="00000000" w:rsidRDefault="00405D16">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1ADF9099" w14:textId="77777777" w:rsidR="00000000" w:rsidRDefault="00405D16">
            <w:pPr>
              <w:spacing w:after="100"/>
              <w:rPr>
                <w:rFonts w:eastAsia="Times New Roman"/>
              </w:rPr>
            </w:pPr>
            <w:r>
              <w:rPr>
                <w:rFonts w:eastAsia="Times New Roman"/>
                <w:color w:val="000000"/>
                <w:sz w:val="18"/>
                <w:szCs w:val="18"/>
              </w:rPr>
              <w:t xml:space="preserve">Net income </w:t>
            </w:r>
          </w:p>
        </w:tc>
        <w:tc>
          <w:tcPr>
            <w:tcW w:w="0" w:type="auto"/>
            <w:gridSpan w:val="3"/>
            <w:shd w:val="clear" w:color="auto" w:fill="FFFFFF"/>
            <w:tcMar>
              <w:top w:w="0" w:type="dxa"/>
              <w:left w:w="20" w:type="dxa"/>
              <w:bottom w:w="0" w:type="dxa"/>
              <w:right w:w="20" w:type="dxa"/>
            </w:tcMar>
            <w:vAlign w:val="center"/>
            <w:hideMark/>
          </w:tcPr>
          <w:p w14:paraId="0DBAF781"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8B5D2FF" w14:textId="77777777" w:rsidR="00000000" w:rsidRDefault="00405D16">
            <w:pPr>
              <w:spacing w:after="100"/>
              <w:jc w:val="right"/>
              <w:rPr>
                <w:rFonts w:eastAsia="Times New Roman"/>
              </w:rPr>
            </w:pPr>
            <w:r>
              <w:rPr>
                <w:rFonts w:eastAsia="Times New Roman"/>
                <w:b/>
                <w:bCs/>
                <w:color w:val="000000"/>
                <w:sz w:val="18"/>
                <w:szCs w:val="18"/>
              </w:rPr>
              <w:t>252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26C773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279A55"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8587EAD" w14:textId="77777777" w:rsidR="00000000" w:rsidRDefault="00405D16">
            <w:pPr>
              <w:spacing w:after="100"/>
              <w:jc w:val="right"/>
              <w:rPr>
                <w:rFonts w:eastAsia="Times New Roman"/>
              </w:rPr>
            </w:pPr>
            <w:r>
              <w:rPr>
                <w:rFonts w:eastAsia="Times New Roman"/>
                <w:color w:val="000000"/>
                <w:sz w:val="18"/>
                <w:szCs w:val="18"/>
              </w:rPr>
              <w:t>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6009DD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B44FF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06DAC06" w14:textId="77777777" w:rsidR="00000000" w:rsidRDefault="00405D16">
            <w:pPr>
              <w:spacing w:after="100"/>
              <w:jc w:val="right"/>
              <w:rPr>
                <w:rFonts w:eastAsia="Times New Roman"/>
              </w:rPr>
            </w:pPr>
            <w:r>
              <w:rPr>
                <w:rFonts w:eastAsia="Times New Roman"/>
                <w:b/>
                <w:bCs/>
                <w:color w:val="000000"/>
                <w:sz w:val="18"/>
                <w:szCs w:val="18"/>
              </w:rPr>
              <w:t>739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A6D39A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4861A0"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2D6214C" w14:textId="77777777" w:rsidR="00000000" w:rsidRDefault="00405D16">
            <w:pPr>
              <w:spacing w:after="100"/>
              <w:jc w:val="right"/>
              <w:rPr>
                <w:rFonts w:eastAsia="Times New Roman"/>
              </w:rPr>
            </w:pPr>
            <w:r>
              <w:rPr>
                <w:rFonts w:eastAsia="Times New Roman"/>
                <w:color w:val="000000"/>
                <w:sz w:val="18"/>
                <w:szCs w:val="18"/>
              </w:rPr>
              <w:t>284 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BC84948" w14:textId="77777777" w:rsidR="00000000" w:rsidRDefault="00405D16">
            <w:pPr>
              <w:spacing w:after="100"/>
              <w:jc w:val="right"/>
              <w:rPr>
                <w:rFonts w:eastAsia="Times New Roman"/>
              </w:rPr>
            </w:pPr>
          </w:p>
        </w:tc>
        <w:tc>
          <w:tcPr>
            <w:tcW w:w="0" w:type="auto"/>
            <w:vAlign w:val="center"/>
            <w:hideMark/>
          </w:tcPr>
          <w:p w14:paraId="4DB045D8" w14:textId="77777777" w:rsidR="00000000" w:rsidRDefault="00405D16">
            <w:pPr>
              <w:spacing w:after="100"/>
              <w:jc w:val="right"/>
              <w:rPr>
                <w:rFonts w:eastAsia="Times New Roman"/>
                <w:sz w:val="20"/>
                <w:szCs w:val="20"/>
              </w:rPr>
            </w:pPr>
          </w:p>
        </w:tc>
        <w:tc>
          <w:tcPr>
            <w:tcW w:w="0" w:type="auto"/>
            <w:vAlign w:val="center"/>
            <w:hideMark/>
          </w:tcPr>
          <w:p w14:paraId="7E743E84" w14:textId="77777777" w:rsidR="00000000" w:rsidRDefault="00405D16">
            <w:pPr>
              <w:spacing w:after="100"/>
              <w:rPr>
                <w:rFonts w:eastAsia="Times New Roman"/>
                <w:sz w:val="20"/>
                <w:szCs w:val="20"/>
              </w:rPr>
            </w:pPr>
          </w:p>
        </w:tc>
      </w:tr>
      <w:tr w:rsidR="00000000" w14:paraId="28A81CE8" w14:textId="77777777">
        <w:trPr>
          <w:divId w:val="1688216066"/>
        </w:trPr>
        <w:tc>
          <w:tcPr>
            <w:tcW w:w="0" w:type="auto"/>
            <w:gridSpan w:val="3"/>
            <w:shd w:val="clear" w:color="auto" w:fill="CCEEFF"/>
            <w:tcMar>
              <w:top w:w="30" w:type="dxa"/>
              <w:left w:w="20" w:type="dxa"/>
              <w:bottom w:w="30" w:type="dxa"/>
              <w:right w:w="20" w:type="dxa"/>
            </w:tcMar>
            <w:vAlign w:val="center"/>
            <w:hideMark/>
          </w:tcPr>
          <w:p w14:paraId="2E96DECC" w14:textId="77777777" w:rsidR="00000000" w:rsidRDefault="00405D16">
            <w:pPr>
              <w:spacing w:after="100"/>
              <w:rPr>
                <w:rFonts w:eastAsia="Times New Roman"/>
              </w:rPr>
            </w:pPr>
            <w:r>
              <w:rPr>
                <w:rFonts w:eastAsia="Times New Roman"/>
                <w:b/>
                <w:bCs/>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14:paraId="6CEE04AF"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369FD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9ED519"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C61D95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DB53A8"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925310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D65040"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2D1936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0F8179"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E6D042" w14:textId="77777777" w:rsidR="00000000" w:rsidRDefault="00405D16">
            <w:pPr>
              <w:spacing w:after="100"/>
              <w:rPr>
                <w:rFonts w:eastAsia="Times New Roman"/>
                <w:sz w:val="20"/>
                <w:szCs w:val="20"/>
              </w:rPr>
            </w:pPr>
          </w:p>
        </w:tc>
        <w:tc>
          <w:tcPr>
            <w:tcW w:w="0" w:type="auto"/>
            <w:vAlign w:val="center"/>
            <w:hideMark/>
          </w:tcPr>
          <w:p w14:paraId="2FD04187" w14:textId="77777777" w:rsidR="00000000" w:rsidRDefault="00405D16">
            <w:pPr>
              <w:spacing w:after="100"/>
              <w:rPr>
                <w:rFonts w:eastAsia="Times New Roman"/>
                <w:sz w:val="20"/>
                <w:szCs w:val="20"/>
              </w:rPr>
            </w:pPr>
          </w:p>
        </w:tc>
        <w:tc>
          <w:tcPr>
            <w:tcW w:w="0" w:type="auto"/>
            <w:vAlign w:val="center"/>
            <w:hideMark/>
          </w:tcPr>
          <w:p w14:paraId="636EB1CE" w14:textId="77777777" w:rsidR="00000000" w:rsidRDefault="00405D16">
            <w:pPr>
              <w:spacing w:after="100"/>
              <w:rPr>
                <w:rFonts w:eastAsia="Times New Roman"/>
                <w:sz w:val="20"/>
                <w:szCs w:val="20"/>
              </w:rPr>
            </w:pPr>
          </w:p>
        </w:tc>
      </w:tr>
      <w:tr w:rsidR="00000000" w14:paraId="3EF4BAE7" w14:textId="77777777">
        <w:trPr>
          <w:divId w:val="1688216066"/>
        </w:trPr>
        <w:tc>
          <w:tcPr>
            <w:tcW w:w="0" w:type="auto"/>
            <w:gridSpan w:val="3"/>
            <w:shd w:val="clear" w:color="auto" w:fill="FFFFFF"/>
            <w:tcMar>
              <w:top w:w="0" w:type="dxa"/>
              <w:left w:w="20" w:type="dxa"/>
              <w:bottom w:w="0" w:type="dxa"/>
              <w:right w:w="20" w:type="dxa"/>
            </w:tcMar>
            <w:vAlign w:val="center"/>
            <w:hideMark/>
          </w:tcPr>
          <w:p w14:paraId="5469A76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48F4CF" w14:textId="77777777" w:rsidR="00000000" w:rsidRDefault="00405D16">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2DE49ED7" w14:textId="77777777" w:rsidR="00000000" w:rsidRDefault="00405D16">
            <w:pPr>
              <w:spacing w:after="100"/>
              <w:rPr>
                <w:rFonts w:eastAsia="Times New Roman"/>
              </w:rPr>
            </w:pPr>
            <w:r>
              <w:rPr>
                <w:rFonts w:eastAsia="Times New Roman"/>
                <w:color w:val="000000"/>
                <w:sz w:val="18"/>
                <w:szCs w:val="18"/>
              </w:rPr>
              <w:t>Non-interest income and non-interest expense</w:t>
            </w:r>
          </w:p>
        </w:tc>
        <w:tc>
          <w:tcPr>
            <w:tcW w:w="0" w:type="auto"/>
            <w:gridSpan w:val="3"/>
            <w:shd w:val="clear" w:color="auto" w:fill="FFFFFF"/>
            <w:tcMar>
              <w:top w:w="0" w:type="dxa"/>
              <w:left w:w="20" w:type="dxa"/>
              <w:bottom w:w="0" w:type="dxa"/>
              <w:right w:w="20" w:type="dxa"/>
            </w:tcMar>
            <w:vAlign w:val="center"/>
            <w:hideMark/>
          </w:tcPr>
          <w:p w14:paraId="36AE587A"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98506E7" w14:textId="77777777" w:rsidR="00000000" w:rsidRDefault="00405D16">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F66A9C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8D0E2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65424A" w14:textId="77777777" w:rsidR="00000000" w:rsidRDefault="00405D16">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14:paraId="4DACF35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00297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43CAC4" w14:textId="77777777" w:rsidR="00000000" w:rsidRDefault="00405D16">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7C6A9E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6FED1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E64DDD" w14:textId="77777777" w:rsidR="00000000" w:rsidRDefault="00405D16">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14:paraId="3145E2F7" w14:textId="77777777" w:rsidR="00000000" w:rsidRDefault="00405D16">
            <w:pPr>
              <w:spacing w:after="100"/>
              <w:jc w:val="right"/>
              <w:rPr>
                <w:rFonts w:eastAsia="Times New Roman"/>
              </w:rPr>
            </w:pPr>
          </w:p>
        </w:tc>
        <w:tc>
          <w:tcPr>
            <w:tcW w:w="0" w:type="auto"/>
            <w:vAlign w:val="center"/>
            <w:hideMark/>
          </w:tcPr>
          <w:p w14:paraId="6120E2BD" w14:textId="77777777" w:rsidR="00000000" w:rsidRDefault="00405D16">
            <w:pPr>
              <w:spacing w:after="100"/>
              <w:jc w:val="right"/>
              <w:rPr>
                <w:rFonts w:eastAsia="Times New Roman"/>
                <w:sz w:val="20"/>
                <w:szCs w:val="20"/>
              </w:rPr>
            </w:pPr>
          </w:p>
        </w:tc>
        <w:tc>
          <w:tcPr>
            <w:tcW w:w="0" w:type="auto"/>
            <w:vAlign w:val="center"/>
            <w:hideMark/>
          </w:tcPr>
          <w:p w14:paraId="45A751AA" w14:textId="77777777" w:rsidR="00000000" w:rsidRDefault="00405D16">
            <w:pPr>
              <w:spacing w:after="100"/>
              <w:rPr>
                <w:rFonts w:eastAsia="Times New Roman"/>
                <w:sz w:val="20"/>
                <w:szCs w:val="20"/>
              </w:rPr>
            </w:pPr>
          </w:p>
        </w:tc>
      </w:tr>
      <w:tr w:rsidR="00000000" w14:paraId="229B5BA0" w14:textId="77777777">
        <w:trPr>
          <w:divId w:val="1688216066"/>
        </w:trPr>
        <w:tc>
          <w:tcPr>
            <w:tcW w:w="0" w:type="auto"/>
            <w:gridSpan w:val="3"/>
            <w:shd w:val="clear" w:color="auto" w:fill="CCEEFF"/>
            <w:tcMar>
              <w:top w:w="0" w:type="dxa"/>
              <w:left w:w="20" w:type="dxa"/>
              <w:bottom w:w="0" w:type="dxa"/>
              <w:right w:w="20" w:type="dxa"/>
            </w:tcMar>
            <w:vAlign w:val="center"/>
            <w:hideMark/>
          </w:tcPr>
          <w:p w14:paraId="4DB3091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704A4F" w14:textId="77777777" w:rsidR="00000000" w:rsidRDefault="00405D16">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14:paraId="36DFB72E" w14:textId="77777777" w:rsidR="00000000" w:rsidRDefault="00405D16">
            <w:pPr>
              <w:spacing w:after="100"/>
              <w:rPr>
                <w:rFonts w:eastAsia="Times New Roman"/>
              </w:rPr>
            </w:pPr>
            <w:r>
              <w:rPr>
                <w:rFonts w:eastAsia="Times New Roman"/>
                <w:color w:val="000000"/>
                <w:sz w:val="18"/>
                <w:szCs w:val="18"/>
              </w:rPr>
              <w:t>Income tax provision</w:t>
            </w:r>
          </w:p>
        </w:tc>
        <w:tc>
          <w:tcPr>
            <w:tcW w:w="0" w:type="auto"/>
            <w:gridSpan w:val="3"/>
            <w:shd w:val="clear" w:color="auto" w:fill="CCEEFF"/>
            <w:tcMar>
              <w:top w:w="0" w:type="dxa"/>
              <w:left w:w="20" w:type="dxa"/>
              <w:bottom w:w="0" w:type="dxa"/>
              <w:right w:w="20" w:type="dxa"/>
            </w:tcMar>
            <w:vAlign w:val="center"/>
            <w:hideMark/>
          </w:tcPr>
          <w:p w14:paraId="3F832A91"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604C1C3" w14:textId="77777777" w:rsidR="00000000" w:rsidRDefault="00405D16">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F8A1B7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4BDAC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915C403"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630D834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71182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5B7505A" w14:textId="77777777" w:rsidR="00000000" w:rsidRDefault="00405D16">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492668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74677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FB13371"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5C0F4446" w14:textId="77777777" w:rsidR="00000000" w:rsidRDefault="00405D16">
            <w:pPr>
              <w:spacing w:after="100"/>
              <w:jc w:val="right"/>
              <w:rPr>
                <w:rFonts w:eastAsia="Times New Roman"/>
              </w:rPr>
            </w:pPr>
          </w:p>
        </w:tc>
        <w:tc>
          <w:tcPr>
            <w:tcW w:w="0" w:type="auto"/>
            <w:vAlign w:val="center"/>
            <w:hideMark/>
          </w:tcPr>
          <w:p w14:paraId="50BB238B" w14:textId="77777777" w:rsidR="00000000" w:rsidRDefault="00405D16">
            <w:pPr>
              <w:spacing w:after="100"/>
              <w:jc w:val="right"/>
              <w:rPr>
                <w:rFonts w:eastAsia="Times New Roman"/>
                <w:sz w:val="20"/>
                <w:szCs w:val="20"/>
              </w:rPr>
            </w:pPr>
          </w:p>
        </w:tc>
        <w:tc>
          <w:tcPr>
            <w:tcW w:w="0" w:type="auto"/>
            <w:vAlign w:val="center"/>
            <w:hideMark/>
          </w:tcPr>
          <w:p w14:paraId="364F7DD6" w14:textId="77777777" w:rsidR="00000000" w:rsidRDefault="00405D16">
            <w:pPr>
              <w:spacing w:after="100"/>
              <w:rPr>
                <w:rFonts w:eastAsia="Times New Roman"/>
                <w:sz w:val="20"/>
                <w:szCs w:val="20"/>
              </w:rPr>
            </w:pPr>
          </w:p>
        </w:tc>
      </w:tr>
      <w:tr w:rsidR="00000000" w14:paraId="5F1B97F4" w14:textId="77777777">
        <w:trPr>
          <w:divId w:val="1688216066"/>
        </w:trPr>
        <w:tc>
          <w:tcPr>
            <w:tcW w:w="0" w:type="auto"/>
            <w:gridSpan w:val="3"/>
            <w:shd w:val="clear" w:color="auto" w:fill="FFFFFF"/>
            <w:tcMar>
              <w:top w:w="0" w:type="dxa"/>
              <w:left w:w="20" w:type="dxa"/>
              <w:bottom w:w="0" w:type="dxa"/>
              <w:right w:w="20" w:type="dxa"/>
            </w:tcMar>
            <w:vAlign w:val="center"/>
            <w:hideMark/>
          </w:tcPr>
          <w:p w14:paraId="3D16DDA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41D896" w14:textId="77777777" w:rsidR="00000000" w:rsidRDefault="00405D16">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461EBD92" w14:textId="77777777" w:rsidR="00000000" w:rsidRDefault="00405D16">
            <w:pPr>
              <w:spacing w:after="100"/>
              <w:rPr>
                <w:rFonts w:eastAsia="Times New Roman"/>
              </w:rPr>
            </w:pPr>
            <w:r>
              <w:rPr>
                <w:rFonts w:eastAsia="Times New Roman"/>
                <w:color w:val="000000"/>
                <w:sz w:val="18"/>
                <w:szCs w:val="18"/>
              </w:rPr>
              <w:t>Net income</w:t>
            </w:r>
          </w:p>
        </w:tc>
        <w:tc>
          <w:tcPr>
            <w:tcW w:w="0" w:type="auto"/>
            <w:gridSpan w:val="3"/>
            <w:shd w:val="clear" w:color="auto" w:fill="FFFFFF"/>
            <w:tcMar>
              <w:top w:w="0" w:type="dxa"/>
              <w:left w:w="20" w:type="dxa"/>
              <w:bottom w:w="0" w:type="dxa"/>
              <w:right w:w="20" w:type="dxa"/>
            </w:tcMar>
            <w:vAlign w:val="center"/>
            <w:hideMark/>
          </w:tcPr>
          <w:p w14:paraId="245B6408"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1194026" w14:textId="77777777" w:rsidR="00000000" w:rsidRDefault="00405D16">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0BEE95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099766"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6020F21" w14:textId="77777777" w:rsidR="00000000" w:rsidRDefault="00405D16">
            <w:pPr>
              <w:spacing w:after="100"/>
              <w:jc w:val="right"/>
              <w:rPr>
                <w:rFonts w:eastAsia="Times New Roman"/>
              </w:rPr>
            </w:pPr>
            <w:r>
              <w:rPr>
                <w:rFonts w:eastAsia="Times New Roman"/>
                <w:color w:val="000000"/>
                <w:sz w:val="18"/>
                <w:szCs w:val="18"/>
              </w:rPr>
              <w:t>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80B2E1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F51988"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8E127B6" w14:textId="77777777" w:rsidR="00000000" w:rsidRDefault="00405D16">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0BD388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2E4A7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8EC8721" w14:textId="77777777" w:rsidR="00000000" w:rsidRDefault="00405D16">
            <w:pPr>
              <w:spacing w:after="100"/>
              <w:jc w:val="right"/>
              <w:rPr>
                <w:rFonts w:eastAsia="Times New Roman"/>
              </w:rPr>
            </w:pPr>
            <w:r>
              <w:rPr>
                <w:rFonts w:eastAsia="Times New Roman"/>
                <w:color w:val="000000"/>
                <w:sz w:val="18"/>
                <w:szCs w:val="18"/>
              </w:rPr>
              <w:t>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5090882" w14:textId="77777777" w:rsidR="00000000" w:rsidRDefault="00405D16">
            <w:pPr>
              <w:spacing w:after="100"/>
              <w:jc w:val="right"/>
              <w:rPr>
                <w:rFonts w:eastAsia="Times New Roman"/>
              </w:rPr>
            </w:pPr>
          </w:p>
        </w:tc>
        <w:tc>
          <w:tcPr>
            <w:tcW w:w="0" w:type="auto"/>
            <w:vAlign w:val="center"/>
            <w:hideMark/>
          </w:tcPr>
          <w:p w14:paraId="66981F18" w14:textId="77777777" w:rsidR="00000000" w:rsidRDefault="00405D16">
            <w:pPr>
              <w:spacing w:after="100"/>
              <w:jc w:val="right"/>
              <w:rPr>
                <w:rFonts w:eastAsia="Times New Roman"/>
                <w:sz w:val="20"/>
                <w:szCs w:val="20"/>
              </w:rPr>
            </w:pPr>
          </w:p>
        </w:tc>
        <w:tc>
          <w:tcPr>
            <w:tcW w:w="0" w:type="auto"/>
            <w:vAlign w:val="center"/>
            <w:hideMark/>
          </w:tcPr>
          <w:p w14:paraId="74EDBA93" w14:textId="77777777" w:rsidR="00000000" w:rsidRDefault="00405D16">
            <w:pPr>
              <w:spacing w:after="100"/>
              <w:rPr>
                <w:rFonts w:eastAsia="Times New Roman"/>
                <w:sz w:val="20"/>
                <w:szCs w:val="20"/>
              </w:rPr>
            </w:pPr>
          </w:p>
        </w:tc>
      </w:tr>
      <w:tr w:rsidR="00000000" w14:paraId="338B8311" w14:textId="77777777">
        <w:trPr>
          <w:divId w:val="1688216066"/>
        </w:trPr>
        <w:tc>
          <w:tcPr>
            <w:tcW w:w="0" w:type="auto"/>
            <w:gridSpan w:val="9"/>
            <w:shd w:val="clear" w:color="auto" w:fill="CCEEFF"/>
            <w:tcMar>
              <w:top w:w="30" w:type="dxa"/>
              <w:left w:w="20" w:type="dxa"/>
              <w:bottom w:w="30" w:type="dxa"/>
              <w:right w:w="20" w:type="dxa"/>
            </w:tcMar>
            <w:vAlign w:val="center"/>
            <w:hideMark/>
          </w:tcPr>
          <w:p w14:paraId="40A163E7" w14:textId="77777777" w:rsidR="00000000" w:rsidRDefault="00405D16">
            <w:pPr>
              <w:spacing w:after="100"/>
              <w:rPr>
                <w:rFonts w:eastAsia="Times New Roman"/>
              </w:rPr>
            </w:pPr>
            <w:r>
              <w:rPr>
                <w:rFonts w:eastAsia="Times New Roman"/>
                <w:color w:val="000000"/>
                <w:sz w:val="18"/>
                <w:szCs w:val="18"/>
              </w:rPr>
              <w:t>Total reclassifications</w:t>
            </w:r>
          </w:p>
        </w:tc>
        <w:tc>
          <w:tcPr>
            <w:tcW w:w="0" w:type="auto"/>
            <w:gridSpan w:val="3"/>
            <w:shd w:val="clear" w:color="auto" w:fill="CCEEFF"/>
            <w:tcMar>
              <w:top w:w="0" w:type="dxa"/>
              <w:left w:w="20" w:type="dxa"/>
              <w:bottom w:w="0" w:type="dxa"/>
              <w:right w:w="20" w:type="dxa"/>
            </w:tcMar>
            <w:vAlign w:val="center"/>
            <w:hideMark/>
          </w:tcPr>
          <w:p w14:paraId="0A825CDA"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630D90F"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B03E153" w14:textId="77777777" w:rsidR="00000000" w:rsidRDefault="00405D16">
            <w:pPr>
              <w:spacing w:after="100"/>
              <w:jc w:val="right"/>
              <w:rPr>
                <w:rFonts w:eastAsia="Times New Roman"/>
              </w:rPr>
            </w:pPr>
            <w:r>
              <w:rPr>
                <w:rFonts w:eastAsia="Times New Roman"/>
                <w:b/>
                <w:bCs/>
                <w:color w:val="000000"/>
                <w:sz w:val="18"/>
                <w:szCs w:val="18"/>
              </w:rPr>
              <w:t>256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EE814E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77B7E3"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3D67FF7"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6F81446" w14:textId="77777777" w:rsidR="00000000" w:rsidRDefault="00405D16">
            <w:pPr>
              <w:spacing w:after="100"/>
              <w:jc w:val="right"/>
              <w:rPr>
                <w:rFonts w:eastAsia="Times New Roman"/>
              </w:rPr>
            </w:pPr>
            <w:r>
              <w:rPr>
                <w:rFonts w:eastAsia="Times New Roman"/>
                <w:color w:val="000000"/>
                <w:sz w:val="18"/>
                <w:szCs w:val="18"/>
              </w:rPr>
              <w:t>101 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62EB0B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3D92C0"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D33B3C7"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384C5F0" w14:textId="77777777" w:rsidR="00000000" w:rsidRDefault="00405D16">
            <w:pPr>
              <w:spacing w:after="100"/>
              <w:jc w:val="right"/>
              <w:rPr>
                <w:rFonts w:eastAsia="Times New Roman"/>
              </w:rPr>
            </w:pPr>
            <w:r>
              <w:rPr>
                <w:rFonts w:eastAsia="Times New Roman"/>
                <w:b/>
                <w:bCs/>
                <w:color w:val="000000"/>
                <w:sz w:val="18"/>
                <w:szCs w:val="18"/>
              </w:rPr>
              <w:t>747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7AA709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AD1F20"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C8FEE29"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8B06513" w14:textId="77777777" w:rsidR="00000000" w:rsidRDefault="00405D16">
            <w:pPr>
              <w:spacing w:after="100"/>
              <w:jc w:val="right"/>
              <w:rPr>
                <w:rFonts w:eastAsia="Times New Roman"/>
              </w:rPr>
            </w:pPr>
            <w:r>
              <w:rPr>
                <w:rFonts w:eastAsia="Times New Roman"/>
                <w:color w:val="000000"/>
                <w:sz w:val="18"/>
                <w:szCs w:val="18"/>
              </w:rPr>
              <w:t>305 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2225D00" w14:textId="77777777" w:rsidR="00000000" w:rsidRDefault="00405D16">
            <w:pPr>
              <w:spacing w:after="100"/>
              <w:jc w:val="right"/>
              <w:rPr>
                <w:rFonts w:eastAsia="Times New Roman"/>
              </w:rPr>
            </w:pPr>
          </w:p>
        </w:tc>
        <w:tc>
          <w:tcPr>
            <w:tcW w:w="0" w:type="auto"/>
            <w:vAlign w:val="center"/>
            <w:hideMark/>
          </w:tcPr>
          <w:p w14:paraId="7B568D55" w14:textId="77777777" w:rsidR="00000000" w:rsidRDefault="00405D16">
            <w:pPr>
              <w:spacing w:after="100"/>
              <w:jc w:val="right"/>
              <w:rPr>
                <w:rFonts w:eastAsia="Times New Roman"/>
                <w:sz w:val="20"/>
                <w:szCs w:val="20"/>
              </w:rPr>
            </w:pPr>
          </w:p>
        </w:tc>
        <w:tc>
          <w:tcPr>
            <w:tcW w:w="0" w:type="auto"/>
            <w:vAlign w:val="center"/>
            <w:hideMark/>
          </w:tcPr>
          <w:p w14:paraId="4278E8E5" w14:textId="77777777" w:rsidR="00000000" w:rsidRDefault="00405D16">
            <w:pPr>
              <w:spacing w:after="100"/>
              <w:rPr>
                <w:rFonts w:eastAsia="Times New Roman"/>
                <w:sz w:val="20"/>
                <w:szCs w:val="20"/>
              </w:rPr>
            </w:pPr>
          </w:p>
        </w:tc>
      </w:tr>
    </w:tbl>
    <w:p w14:paraId="0A2FEFE8" w14:textId="77777777" w:rsidR="00000000" w:rsidRDefault="00405D16">
      <w:pPr>
        <w:ind w:hanging="360"/>
        <w:jc w:val="both"/>
        <w:divId w:val="873156413"/>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08AEE511" w14:textId="77777777">
        <w:trPr>
          <w:divId w:val="1851022062"/>
          <w:jc w:val="center"/>
        </w:trPr>
        <w:tc>
          <w:tcPr>
            <w:tcW w:w="50" w:type="pct"/>
            <w:vAlign w:val="center"/>
            <w:hideMark/>
          </w:tcPr>
          <w:p w14:paraId="6C134AC1" w14:textId="77777777" w:rsidR="00000000" w:rsidRDefault="00405D16">
            <w:pPr>
              <w:ind w:hanging="360"/>
              <w:jc w:val="both"/>
              <w:rPr>
                <w:rFonts w:eastAsia="Times New Roman"/>
              </w:rPr>
            </w:pPr>
          </w:p>
        </w:tc>
        <w:tc>
          <w:tcPr>
            <w:tcW w:w="1606" w:type="pct"/>
            <w:vAlign w:val="center"/>
            <w:hideMark/>
          </w:tcPr>
          <w:p w14:paraId="3B27C626" w14:textId="77777777" w:rsidR="00000000" w:rsidRDefault="00405D16">
            <w:pPr>
              <w:spacing w:after="100"/>
              <w:rPr>
                <w:rFonts w:eastAsia="Times New Roman"/>
                <w:sz w:val="20"/>
                <w:szCs w:val="20"/>
              </w:rPr>
            </w:pPr>
          </w:p>
        </w:tc>
        <w:tc>
          <w:tcPr>
            <w:tcW w:w="5" w:type="pct"/>
            <w:vAlign w:val="center"/>
            <w:hideMark/>
          </w:tcPr>
          <w:p w14:paraId="7FE97957" w14:textId="77777777" w:rsidR="00000000" w:rsidRDefault="00405D16">
            <w:pPr>
              <w:spacing w:after="100"/>
              <w:rPr>
                <w:rFonts w:eastAsia="Times New Roman"/>
                <w:sz w:val="20"/>
                <w:szCs w:val="20"/>
              </w:rPr>
            </w:pPr>
          </w:p>
        </w:tc>
        <w:tc>
          <w:tcPr>
            <w:tcW w:w="50" w:type="pct"/>
            <w:vAlign w:val="center"/>
            <w:hideMark/>
          </w:tcPr>
          <w:p w14:paraId="3AE10122" w14:textId="77777777" w:rsidR="00000000" w:rsidRDefault="00405D16">
            <w:pPr>
              <w:spacing w:after="100"/>
              <w:rPr>
                <w:rFonts w:eastAsia="Times New Roman"/>
                <w:sz w:val="20"/>
                <w:szCs w:val="20"/>
              </w:rPr>
            </w:pPr>
          </w:p>
        </w:tc>
        <w:tc>
          <w:tcPr>
            <w:tcW w:w="1614" w:type="pct"/>
            <w:vAlign w:val="center"/>
            <w:hideMark/>
          </w:tcPr>
          <w:p w14:paraId="64F53903" w14:textId="77777777" w:rsidR="00000000" w:rsidRDefault="00405D16">
            <w:pPr>
              <w:spacing w:after="100"/>
              <w:rPr>
                <w:rFonts w:eastAsia="Times New Roman"/>
                <w:sz w:val="20"/>
                <w:szCs w:val="20"/>
              </w:rPr>
            </w:pPr>
          </w:p>
        </w:tc>
        <w:tc>
          <w:tcPr>
            <w:tcW w:w="5" w:type="pct"/>
            <w:vAlign w:val="center"/>
            <w:hideMark/>
          </w:tcPr>
          <w:p w14:paraId="2E9902C1" w14:textId="77777777" w:rsidR="00000000" w:rsidRDefault="00405D16">
            <w:pPr>
              <w:spacing w:after="100"/>
              <w:rPr>
                <w:rFonts w:eastAsia="Times New Roman"/>
                <w:sz w:val="20"/>
                <w:szCs w:val="20"/>
              </w:rPr>
            </w:pPr>
          </w:p>
        </w:tc>
        <w:tc>
          <w:tcPr>
            <w:tcW w:w="50" w:type="pct"/>
            <w:vAlign w:val="center"/>
            <w:hideMark/>
          </w:tcPr>
          <w:p w14:paraId="3F0B77B6" w14:textId="77777777" w:rsidR="00000000" w:rsidRDefault="00405D16">
            <w:pPr>
              <w:spacing w:after="100"/>
              <w:rPr>
                <w:rFonts w:eastAsia="Times New Roman"/>
                <w:sz w:val="20"/>
                <w:szCs w:val="20"/>
              </w:rPr>
            </w:pPr>
          </w:p>
        </w:tc>
        <w:tc>
          <w:tcPr>
            <w:tcW w:w="1614" w:type="pct"/>
            <w:vAlign w:val="center"/>
            <w:hideMark/>
          </w:tcPr>
          <w:p w14:paraId="35FC538A" w14:textId="77777777" w:rsidR="00000000" w:rsidRDefault="00405D16">
            <w:pPr>
              <w:spacing w:after="100"/>
              <w:rPr>
                <w:rFonts w:eastAsia="Times New Roman"/>
                <w:sz w:val="20"/>
                <w:szCs w:val="20"/>
              </w:rPr>
            </w:pPr>
          </w:p>
        </w:tc>
        <w:tc>
          <w:tcPr>
            <w:tcW w:w="5" w:type="pct"/>
            <w:vAlign w:val="center"/>
            <w:hideMark/>
          </w:tcPr>
          <w:p w14:paraId="2C1DA77B" w14:textId="77777777" w:rsidR="00000000" w:rsidRDefault="00405D16">
            <w:pPr>
              <w:spacing w:after="100"/>
              <w:rPr>
                <w:rFonts w:eastAsia="Times New Roman"/>
                <w:sz w:val="20"/>
                <w:szCs w:val="20"/>
              </w:rPr>
            </w:pPr>
          </w:p>
        </w:tc>
      </w:tr>
      <w:tr w:rsidR="00000000" w14:paraId="7CDFDA2F" w14:textId="77777777">
        <w:trPr>
          <w:divId w:val="1851022062"/>
          <w:trHeight w:val="300"/>
          <w:jc w:val="center"/>
        </w:trPr>
        <w:tc>
          <w:tcPr>
            <w:tcW w:w="0" w:type="auto"/>
            <w:gridSpan w:val="9"/>
            <w:tcMar>
              <w:top w:w="0" w:type="dxa"/>
              <w:left w:w="20" w:type="dxa"/>
              <w:bottom w:w="0" w:type="dxa"/>
              <w:right w:w="20" w:type="dxa"/>
            </w:tcMar>
            <w:vAlign w:val="center"/>
            <w:hideMark/>
          </w:tcPr>
          <w:p w14:paraId="38966650" w14:textId="77777777" w:rsidR="00000000" w:rsidRDefault="00405D16">
            <w:pPr>
              <w:spacing w:after="100"/>
              <w:rPr>
                <w:rFonts w:eastAsia="Times New Roman"/>
                <w:sz w:val="20"/>
                <w:szCs w:val="20"/>
              </w:rPr>
            </w:pPr>
          </w:p>
        </w:tc>
      </w:tr>
      <w:tr w:rsidR="00000000" w14:paraId="1B053C6A" w14:textId="77777777">
        <w:trPr>
          <w:divId w:val="1851022062"/>
          <w:jc w:val="center"/>
        </w:trPr>
        <w:tc>
          <w:tcPr>
            <w:tcW w:w="0" w:type="auto"/>
            <w:gridSpan w:val="3"/>
            <w:tcMar>
              <w:top w:w="0" w:type="dxa"/>
              <w:left w:w="20" w:type="dxa"/>
              <w:bottom w:w="0" w:type="dxa"/>
              <w:right w:w="20" w:type="dxa"/>
            </w:tcMar>
            <w:vAlign w:val="center"/>
            <w:hideMark/>
          </w:tcPr>
          <w:p w14:paraId="32C23616"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FA1AAF4" w14:textId="77777777" w:rsidR="00000000" w:rsidRDefault="00405D16">
            <w:pPr>
              <w:spacing w:after="100"/>
              <w:jc w:val="center"/>
              <w:rPr>
                <w:rFonts w:eastAsia="Times New Roman"/>
              </w:rPr>
            </w:pPr>
            <w:r>
              <w:rPr>
                <w:rFonts w:eastAsia="Times New Roman"/>
                <w:color w:val="000000"/>
                <w:sz w:val="16"/>
                <w:szCs w:val="16"/>
              </w:rPr>
              <w:t>114</w:t>
            </w:r>
          </w:p>
        </w:tc>
        <w:tc>
          <w:tcPr>
            <w:tcW w:w="0" w:type="auto"/>
            <w:gridSpan w:val="3"/>
            <w:tcMar>
              <w:top w:w="30" w:type="dxa"/>
              <w:left w:w="20" w:type="dxa"/>
              <w:bottom w:w="30" w:type="dxa"/>
              <w:right w:w="20" w:type="dxa"/>
            </w:tcMar>
            <w:vAlign w:val="bottom"/>
            <w:hideMark/>
          </w:tcPr>
          <w:p w14:paraId="58283EFC"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32EB7371" w14:textId="77777777" w:rsidR="00000000" w:rsidRDefault="00405D16">
      <w:pPr>
        <w:rPr>
          <w:rFonts w:eastAsia="Times New Roman"/>
        </w:rPr>
      </w:pPr>
      <w:r>
        <w:rPr>
          <w:rFonts w:eastAsia="Times New Roman"/>
        </w:rPr>
        <w:pict w14:anchorId="73A490D1">
          <v:rect id="_x0000_i1139" style="width:0;height:1.5pt" o:hralign="center" o:hrstd="t" o:hr="t" fillcolor="#a0a0a0" stroked="f"/>
        </w:pict>
      </w:r>
    </w:p>
    <w:p w14:paraId="0DB89417" w14:textId="77777777" w:rsidR="00000000" w:rsidRDefault="00405D16">
      <w:pPr>
        <w:jc w:val="both"/>
        <w:divId w:val="198784438"/>
        <w:rPr>
          <w:rFonts w:eastAsia="Times New Roman"/>
        </w:rPr>
      </w:pPr>
      <w:hyperlink w:anchor="idd54a04a485440b4ab4e56094c14d612_13" w:history="1">
        <w:r>
          <w:rPr>
            <w:rStyle w:val="a3"/>
            <w:rFonts w:eastAsia="Times New Roman"/>
            <w:sz w:val="16"/>
            <w:szCs w:val="16"/>
          </w:rPr>
          <w:t>Table of Contents</w:t>
        </w:r>
      </w:hyperlink>
    </w:p>
    <w:p w14:paraId="7D15E841" w14:textId="77777777" w:rsidR="00000000" w:rsidRDefault="00405D16">
      <w:pPr>
        <w:jc w:val="both"/>
        <w:divId w:val="577328295"/>
        <w:rPr>
          <w:rFonts w:eastAsia="Times New Roman"/>
        </w:rPr>
      </w:pPr>
      <w:r>
        <w:rPr>
          <w:rFonts w:eastAsia="Times New Roman"/>
          <w:color w:val="000000"/>
          <w:sz w:val="20"/>
          <w:szCs w:val="20"/>
        </w:rPr>
        <w:t xml:space="preserve">The table below summarizes other comprehensive income (loss) activity and the related tax impact for the three and nine months ended September </w:t>
      </w:r>
      <w:r>
        <w:rPr>
          <w:rFonts w:eastAsia="Times New Roman"/>
          <w:color w:val="000000"/>
          <w:sz w:val="20"/>
          <w:szCs w:val="20"/>
        </w:rPr>
        <w:t>30, 2021 and 2020.</w:t>
      </w:r>
    </w:p>
    <w:p w14:paraId="4C7C04C4" w14:textId="77777777" w:rsidR="00000000" w:rsidRDefault="00405D16">
      <w:pPr>
        <w:divId w:val="433328975"/>
        <w:rPr>
          <w:rFonts w:eastAsia="Times New Roman"/>
        </w:rPr>
      </w:pPr>
      <w:r>
        <w:rPr>
          <w:rFonts w:eastAsia="Times New Roman"/>
          <w:b/>
          <w:bCs/>
          <w:color w:val="000000"/>
          <w:sz w:val="18"/>
          <w:szCs w:val="18"/>
        </w:rPr>
        <w:t>Table 9.4: Other Comprehensive Income (Loss)</w:t>
      </w:r>
    </w:p>
    <w:tbl>
      <w:tblPr>
        <w:tblW w:w="4992" w:type="pct"/>
        <w:tblCellMar>
          <w:top w:w="15" w:type="dxa"/>
          <w:left w:w="15" w:type="dxa"/>
          <w:bottom w:w="15" w:type="dxa"/>
          <w:right w:w="15" w:type="dxa"/>
        </w:tblCellMar>
        <w:tblLook w:val="04A0" w:firstRow="1" w:lastRow="0" w:firstColumn="1" w:lastColumn="0" w:noHBand="0" w:noVBand="1"/>
      </w:tblPr>
      <w:tblGrid>
        <w:gridCol w:w="38"/>
        <w:gridCol w:w="3306"/>
        <w:gridCol w:w="37"/>
        <w:gridCol w:w="36"/>
        <w:gridCol w:w="36"/>
        <w:gridCol w:w="36"/>
        <w:gridCol w:w="110"/>
        <w:gridCol w:w="390"/>
        <w:gridCol w:w="36"/>
        <w:gridCol w:w="36"/>
        <w:gridCol w:w="36"/>
        <w:gridCol w:w="36"/>
        <w:gridCol w:w="111"/>
        <w:gridCol w:w="589"/>
        <w:gridCol w:w="36"/>
        <w:gridCol w:w="36"/>
        <w:gridCol w:w="36"/>
        <w:gridCol w:w="36"/>
        <w:gridCol w:w="110"/>
        <w:gridCol w:w="390"/>
        <w:gridCol w:w="36"/>
        <w:gridCol w:w="36"/>
        <w:gridCol w:w="36"/>
        <w:gridCol w:w="36"/>
        <w:gridCol w:w="110"/>
        <w:gridCol w:w="390"/>
        <w:gridCol w:w="36"/>
        <w:gridCol w:w="36"/>
        <w:gridCol w:w="36"/>
        <w:gridCol w:w="36"/>
        <w:gridCol w:w="111"/>
        <w:gridCol w:w="589"/>
        <w:gridCol w:w="36"/>
        <w:gridCol w:w="36"/>
        <w:gridCol w:w="36"/>
        <w:gridCol w:w="36"/>
        <w:gridCol w:w="110"/>
        <w:gridCol w:w="390"/>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14:paraId="43A5AD83" w14:textId="77777777">
        <w:trPr>
          <w:divId w:val="2096516365"/>
        </w:trPr>
        <w:tc>
          <w:tcPr>
            <w:tcW w:w="50" w:type="pct"/>
            <w:vAlign w:val="center"/>
            <w:hideMark/>
          </w:tcPr>
          <w:p w14:paraId="4CCFB67C" w14:textId="77777777" w:rsidR="00000000" w:rsidRDefault="00405D16">
            <w:pPr>
              <w:rPr>
                <w:rFonts w:eastAsia="Times New Roman"/>
              </w:rPr>
            </w:pPr>
          </w:p>
        </w:tc>
        <w:tc>
          <w:tcPr>
            <w:tcW w:w="2587" w:type="pct"/>
            <w:vAlign w:val="center"/>
            <w:hideMark/>
          </w:tcPr>
          <w:p w14:paraId="5798805F" w14:textId="77777777" w:rsidR="00000000" w:rsidRDefault="00405D16">
            <w:pPr>
              <w:spacing w:after="100"/>
              <w:rPr>
                <w:rFonts w:eastAsia="Times New Roman"/>
                <w:sz w:val="20"/>
                <w:szCs w:val="20"/>
              </w:rPr>
            </w:pPr>
          </w:p>
        </w:tc>
        <w:tc>
          <w:tcPr>
            <w:tcW w:w="5" w:type="pct"/>
            <w:vAlign w:val="center"/>
            <w:hideMark/>
          </w:tcPr>
          <w:p w14:paraId="1081A7BD" w14:textId="77777777" w:rsidR="00000000" w:rsidRDefault="00405D16">
            <w:pPr>
              <w:spacing w:after="100"/>
              <w:rPr>
                <w:rFonts w:eastAsia="Times New Roman"/>
                <w:sz w:val="20"/>
                <w:szCs w:val="20"/>
              </w:rPr>
            </w:pPr>
          </w:p>
        </w:tc>
        <w:tc>
          <w:tcPr>
            <w:tcW w:w="5" w:type="pct"/>
            <w:vAlign w:val="center"/>
            <w:hideMark/>
          </w:tcPr>
          <w:p w14:paraId="590CAE5D" w14:textId="77777777" w:rsidR="00000000" w:rsidRDefault="00405D16">
            <w:pPr>
              <w:spacing w:after="100"/>
              <w:rPr>
                <w:rFonts w:eastAsia="Times New Roman"/>
                <w:sz w:val="20"/>
                <w:szCs w:val="20"/>
              </w:rPr>
            </w:pPr>
          </w:p>
        </w:tc>
        <w:tc>
          <w:tcPr>
            <w:tcW w:w="26" w:type="pct"/>
            <w:vAlign w:val="center"/>
            <w:hideMark/>
          </w:tcPr>
          <w:p w14:paraId="568A022C" w14:textId="77777777" w:rsidR="00000000" w:rsidRDefault="00405D16">
            <w:pPr>
              <w:spacing w:after="100"/>
              <w:rPr>
                <w:rFonts w:eastAsia="Times New Roman"/>
                <w:sz w:val="20"/>
                <w:szCs w:val="20"/>
              </w:rPr>
            </w:pPr>
          </w:p>
        </w:tc>
        <w:tc>
          <w:tcPr>
            <w:tcW w:w="5" w:type="pct"/>
            <w:vAlign w:val="center"/>
            <w:hideMark/>
          </w:tcPr>
          <w:p w14:paraId="07822A67" w14:textId="77777777" w:rsidR="00000000" w:rsidRDefault="00405D16">
            <w:pPr>
              <w:spacing w:after="100"/>
              <w:rPr>
                <w:rFonts w:eastAsia="Times New Roman"/>
                <w:sz w:val="20"/>
                <w:szCs w:val="20"/>
              </w:rPr>
            </w:pPr>
          </w:p>
        </w:tc>
        <w:tc>
          <w:tcPr>
            <w:tcW w:w="50" w:type="pct"/>
            <w:vAlign w:val="center"/>
            <w:hideMark/>
          </w:tcPr>
          <w:p w14:paraId="27A171C8" w14:textId="77777777" w:rsidR="00000000" w:rsidRDefault="00405D16">
            <w:pPr>
              <w:spacing w:after="100"/>
              <w:rPr>
                <w:rFonts w:eastAsia="Times New Roman"/>
                <w:sz w:val="20"/>
                <w:szCs w:val="20"/>
              </w:rPr>
            </w:pPr>
          </w:p>
        </w:tc>
        <w:tc>
          <w:tcPr>
            <w:tcW w:w="289" w:type="pct"/>
            <w:vAlign w:val="center"/>
            <w:hideMark/>
          </w:tcPr>
          <w:p w14:paraId="7796E09E" w14:textId="77777777" w:rsidR="00000000" w:rsidRDefault="00405D16">
            <w:pPr>
              <w:spacing w:after="100"/>
              <w:rPr>
                <w:rFonts w:eastAsia="Times New Roman"/>
                <w:sz w:val="20"/>
                <w:szCs w:val="20"/>
              </w:rPr>
            </w:pPr>
          </w:p>
        </w:tc>
        <w:tc>
          <w:tcPr>
            <w:tcW w:w="5" w:type="pct"/>
            <w:vAlign w:val="center"/>
            <w:hideMark/>
          </w:tcPr>
          <w:p w14:paraId="7233FADE" w14:textId="77777777" w:rsidR="00000000" w:rsidRDefault="00405D16">
            <w:pPr>
              <w:spacing w:after="100"/>
              <w:rPr>
                <w:rFonts w:eastAsia="Times New Roman"/>
                <w:sz w:val="20"/>
                <w:szCs w:val="20"/>
              </w:rPr>
            </w:pPr>
          </w:p>
        </w:tc>
        <w:tc>
          <w:tcPr>
            <w:tcW w:w="5" w:type="pct"/>
            <w:vAlign w:val="center"/>
            <w:hideMark/>
          </w:tcPr>
          <w:p w14:paraId="4F2BFF06" w14:textId="77777777" w:rsidR="00000000" w:rsidRDefault="00405D16">
            <w:pPr>
              <w:spacing w:after="100"/>
              <w:rPr>
                <w:rFonts w:eastAsia="Times New Roman"/>
                <w:sz w:val="20"/>
                <w:szCs w:val="20"/>
              </w:rPr>
            </w:pPr>
          </w:p>
        </w:tc>
        <w:tc>
          <w:tcPr>
            <w:tcW w:w="26" w:type="pct"/>
            <w:vAlign w:val="center"/>
            <w:hideMark/>
          </w:tcPr>
          <w:p w14:paraId="65E36411" w14:textId="77777777" w:rsidR="00000000" w:rsidRDefault="00405D16">
            <w:pPr>
              <w:spacing w:after="100"/>
              <w:rPr>
                <w:rFonts w:eastAsia="Times New Roman"/>
                <w:sz w:val="20"/>
                <w:szCs w:val="20"/>
              </w:rPr>
            </w:pPr>
          </w:p>
        </w:tc>
        <w:tc>
          <w:tcPr>
            <w:tcW w:w="5" w:type="pct"/>
            <w:vAlign w:val="center"/>
            <w:hideMark/>
          </w:tcPr>
          <w:p w14:paraId="5F82C6AD" w14:textId="77777777" w:rsidR="00000000" w:rsidRDefault="00405D16">
            <w:pPr>
              <w:spacing w:after="100"/>
              <w:rPr>
                <w:rFonts w:eastAsia="Times New Roman"/>
                <w:sz w:val="20"/>
                <w:szCs w:val="20"/>
              </w:rPr>
            </w:pPr>
          </w:p>
        </w:tc>
        <w:tc>
          <w:tcPr>
            <w:tcW w:w="50" w:type="pct"/>
            <w:vAlign w:val="center"/>
            <w:hideMark/>
          </w:tcPr>
          <w:p w14:paraId="370CC745" w14:textId="77777777" w:rsidR="00000000" w:rsidRDefault="00405D16">
            <w:pPr>
              <w:spacing w:after="100"/>
              <w:rPr>
                <w:rFonts w:eastAsia="Times New Roman"/>
                <w:sz w:val="20"/>
                <w:szCs w:val="20"/>
              </w:rPr>
            </w:pPr>
          </w:p>
        </w:tc>
        <w:tc>
          <w:tcPr>
            <w:tcW w:w="325" w:type="pct"/>
            <w:vAlign w:val="center"/>
            <w:hideMark/>
          </w:tcPr>
          <w:p w14:paraId="0045758A" w14:textId="77777777" w:rsidR="00000000" w:rsidRDefault="00405D16">
            <w:pPr>
              <w:spacing w:after="100"/>
              <w:rPr>
                <w:rFonts w:eastAsia="Times New Roman"/>
                <w:sz w:val="20"/>
                <w:szCs w:val="20"/>
              </w:rPr>
            </w:pPr>
          </w:p>
        </w:tc>
        <w:tc>
          <w:tcPr>
            <w:tcW w:w="5" w:type="pct"/>
            <w:vAlign w:val="center"/>
            <w:hideMark/>
          </w:tcPr>
          <w:p w14:paraId="03BAEFF3" w14:textId="77777777" w:rsidR="00000000" w:rsidRDefault="00405D16">
            <w:pPr>
              <w:spacing w:after="100"/>
              <w:rPr>
                <w:rFonts w:eastAsia="Times New Roman"/>
                <w:sz w:val="20"/>
                <w:szCs w:val="20"/>
              </w:rPr>
            </w:pPr>
          </w:p>
        </w:tc>
        <w:tc>
          <w:tcPr>
            <w:tcW w:w="5" w:type="pct"/>
            <w:vAlign w:val="center"/>
            <w:hideMark/>
          </w:tcPr>
          <w:p w14:paraId="3593F553" w14:textId="77777777" w:rsidR="00000000" w:rsidRDefault="00405D16">
            <w:pPr>
              <w:spacing w:after="100"/>
              <w:rPr>
                <w:rFonts w:eastAsia="Times New Roman"/>
                <w:sz w:val="20"/>
                <w:szCs w:val="20"/>
              </w:rPr>
            </w:pPr>
          </w:p>
        </w:tc>
        <w:tc>
          <w:tcPr>
            <w:tcW w:w="26" w:type="pct"/>
            <w:vAlign w:val="center"/>
            <w:hideMark/>
          </w:tcPr>
          <w:p w14:paraId="08375446" w14:textId="77777777" w:rsidR="00000000" w:rsidRDefault="00405D16">
            <w:pPr>
              <w:spacing w:after="100"/>
              <w:rPr>
                <w:rFonts w:eastAsia="Times New Roman"/>
                <w:sz w:val="20"/>
                <w:szCs w:val="20"/>
              </w:rPr>
            </w:pPr>
          </w:p>
        </w:tc>
        <w:tc>
          <w:tcPr>
            <w:tcW w:w="5" w:type="pct"/>
            <w:vAlign w:val="center"/>
            <w:hideMark/>
          </w:tcPr>
          <w:p w14:paraId="4DA8A9F7" w14:textId="77777777" w:rsidR="00000000" w:rsidRDefault="00405D16">
            <w:pPr>
              <w:spacing w:after="100"/>
              <w:rPr>
                <w:rFonts w:eastAsia="Times New Roman"/>
                <w:sz w:val="20"/>
                <w:szCs w:val="20"/>
              </w:rPr>
            </w:pPr>
          </w:p>
        </w:tc>
        <w:tc>
          <w:tcPr>
            <w:tcW w:w="50" w:type="pct"/>
            <w:vAlign w:val="center"/>
            <w:hideMark/>
          </w:tcPr>
          <w:p w14:paraId="5A8D4CD5" w14:textId="77777777" w:rsidR="00000000" w:rsidRDefault="00405D16">
            <w:pPr>
              <w:spacing w:after="100"/>
              <w:rPr>
                <w:rFonts w:eastAsia="Times New Roman"/>
                <w:sz w:val="20"/>
                <w:szCs w:val="20"/>
              </w:rPr>
            </w:pPr>
          </w:p>
        </w:tc>
        <w:tc>
          <w:tcPr>
            <w:tcW w:w="289" w:type="pct"/>
            <w:vAlign w:val="center"/>
            <w:hideMark/>
          </w:tcPr>
          <w:p w14:paraId="79C97AFD" w14:textId="77777777" w:rsidR="00000000" w:rsidRDefault="00405D16">
            <w:pPr>
              <w:spacing w:after="100"/>
              <w:rPr>
                <w:rFonts w:eastAsia="Times New Roman"/>
                <w:sz w:val="20"/>
                <w:szCs w:val="20"/>
              </w:rPr>
            </w:pPr>
          </w:p>
        </w:tc>
        <w:tc>
          <w:tcPr>
            <w:tcW w:w="5" w:type="pct"/>
            <w:vAlign w:val="center"/>
            <w:hideMark/>
          </w:tcPr>
          <w:p w14:paraId="41804687" w14:textId="77777777" w:rsidR="00000000" w:rsidRDefault="00405D16">
            <w:pPr>
              <w:spacing w:after="100"/>
              <w:rPr>
                <w:rFonts w:eastAsia="Times New Roman"/>
                <w:sz w:val="20"/>
                <w:szCs w:val="20"/>
              </w:rPr>
            </w:pPr>
          </w:p>
        </w:tc>
        <w:tc>
          <w:tcPr>
            <w:tcW w:w="5" w:type="pct"/>
            <w:vAlign w:val="center"/>
            <w:hideMark/>
          </w:tcPr>
          <w:p w14:paraId="711E8461" w14:textId="77777777" w:rsidR="00000000" w:rsidRDefault="00405D16">
            <w:pPr>
              <w:spacing w:after="100"/>
              <w:rPr>
                <w:rFonts w:eastAsia="Times New Roman"/>
                <w:sz w:val="20"/>
                <w:szCs w:val="20"/>
              </w:rPr>
            </w:pPr>
          </w:p>
        </w:tc>
        <w:tc>
          <w:tcPr>
            <w:tcW w:w="26" w:type="pct"/>
            <w:vAlign w:val="center"/>
            <w:hideMark/>
          </w:tcPr>
          <w:p w14:paraId="3AC96730" w14:textId="77777777" w:rsidR="00000000" w:rsidRDefault="00405D16">
            <w:pPr>
              <w:spacing w:after="100"/>
              <w:rPr>
                <w:rFonts w:eastAsia="Times New Roman"/>
                <w:sz w:val="20"/>
                <w:szCs w:val="20"/>
              </w:rPr>
            </w:pPr>
          </w:p>
        </w:tc>
        <w:tc>
          <w:tcPr>
            <w:tcW w:w="5" w:type="pct"/>
            <w:vAlign w:val="center"/>
            <w:hideMark/>
          </w:tcPr>
          <w:p w14:paraId="5B887048" w14:textId="77777777" w:rsidR="00000000" w:rsidRDefault="00405D16">
            <w:pPr>
              <w:spacing w:after="100"/>
              <w:rPr>
                <w:rFonts w:eastAsia="Times New Roman"/>
                <w:sz w:val="20"/>
                <w:szCs w:val="20"/>
              </w:rPr>
            </w:pPr>
          </w:p>
        </w:tc>
        <w:tc>
          <w:tcPr>
            <w:tcW w:w="50" w:type="pct"/>
            <w:vAlign w:val="center"/>
            <w:hideMark/>
          </w:tcPr>
          <w:p w14:paraId="1C485DD0" w14:textId="77777777" w:rsidR="00000000" w:rsidRDefault="00405D16">
            <w:pPr>
              <w:spacing w:after="100"/>
              <w:rPr>
                <w:rFonts w:eastAsia="Times New Roman"/>
                <w:sz w:val="20"/>
                <w:szCs w:val="20"/>
              </w:rPr>
            </w:pPr>
          </w:p>
        </w:tc>
        <w:tc>
          <w:tcPr>
            <w:tcW w:w="289" w:type="pct"/>
            <w:vAlign w:val="center"/>
            <w:hideMark/>
          </w:tcPr>
          <w:p w14:paraId="1F43BE5F" w14:textId="77777777" w:rsidR="00000000" w:rsidRDefault="00405D16">
            <w:pPr>
              <w:spacing w:after="100"/>
              <w:rPr>
                <w:rFonts w:eastAsia="Times New Roman"/>
                <w:sz w:val="20"/>
                <w:szCs w:val="20"/>
              </w:rPr>
            </w:pPr>
          </w:p>
        </w:tc>
        <w:tc>
          <w:tcPr>
            <w:tcW w:w="5" w:type="pct"/>
            <w:vAlign w:val="center"/>
            <w:hideMark/>
          </w:tcPr>
          <w:p w14:paraId="04EAF2C5" w14:textId="77777777" w:rsidR="00000000" w:rsidRDefault="00405D16">
            <w:pPr>
              <w:spacing w:after="100"/>
              <w:rPr>
                <w:rFonts w:eastAsia="Times New Roman"/>
                <w:sz w:val="20"/>
                <w:szCs w:val="20"/>
              </w:rPr>
            </w:pPr>
          </w:p>
        </w:tc>
        <w:tc>
          <w:tcPr>
            <w:tcW w:w="5" w:type="pct"/>
            <w:vAlign w:val="center"/>
            <w:hideMark/>
          </w:tcPr>
          <w:p w14:paraId="44702225" w14:textId="77777777" w:rsidR="00000000" w:rsidRDefault="00405D16">
            <w:pPr>
              <w:spacing w:after="100"/>
              <w:rPr>
                <w:rFonts w:eastAsia="Times New Roman"/>
                <w:sz w:val="20"/>
                <w:szCs w:val="20"/>
              </w:rPr>
            </w:pPr>
          </w:p>
        </w:tc>
        <w:tc>
          <w:tcPr>
            <w:tcW w:w="26" w:type="pct"/>
            <w:vAlign w:val="center"/>
            <w:hideMark/>
          </w:tcPr>
          <w:p w14:paraId="1CDAB039" w14:textId="77777777" w:rsidR="00000000" w:rsidRDefault="00405D16">
            <w:pPr>
              <w:spacing w:after="100"/>
              <w:rPr>
                <w:rFonts w:eastAsia="Times New Roman"/>
                <w:sz w:val="20"/>
                <w:szCs w:val="20"/>
              </w:rPr>
            </w:pPr>
          </w:p>
        </w:tc>
        <w:tc>
          <w:tcPr>
            <w:tcW w:w="5" w:type="pct"/>
            <w:vAlign w:val="center"/>
            <w:hideMark/>
          </w:tcPr>
          <w:p w14:paraId="0CA738D3" w14:textId="77777777" w:rsidR="00000000" w:rsidRDefault="00405D16">
            <w:pPr>
              <w:spacing w:after="100"/>
              <w:rPr>
                <w:rFonts w:eastAsia="Times New Roman"/>
                <w:sz w:val="20"/>
                <w:szCs w:val="20"/>
              </w:rPr>
            </w:pPr>
          </w:p>
        </w:tc>
        <w:tc>
          <w:tcPr>
            <w:tcW w:w="50" w:type="pct"/>
            <w:vAlign w:val="center"/>
            <w:hideMark/>
          </w:tcPr>
          <w:p w14:paraId="063BC063" w14:textId="77777777" w:rsidR="00000000" w:rsidRDefault="00405D16">
            <w:pPr>
              <w:spacing w:after="100"/>
              <w:rPr>
                <w:rFonts w:eastAsia="Times New Roman"/>
                <w:sz w:val="20"/>
                <w:szCs w:val="20"/>
              </w:rPr>
            </w:pPr>
          </w:p>
        </w:tc>
        <w:tc>
          <w:tcPr>
            <w:tcW w:w="325" w:type="pct"/>
            <w:vAlign w:val="center"/>
            <w:hideMark/>
          </w:tcPr>
          <w:p w14:paraId="3D503F40" w14:textId="77777777" w:rsidR="00000000" w:rsidRDefault="00405D16">
            <w:pPr>
              <w:spacing w:after="100"/>
              <w:rPr>
                <w:rFonts w:eastAsia="Times New Roman"/>
                <w:sz w:val="20"/>
                <w:szCs w:val="20"/>
              </w:rPr>
            </w:pPr>
          </w:p>
        </w:tc>
        <w:tc>
          <w:tcPr>
            <w:tcW w:w="5" w:type="pct"/>
            <w:vAlign w:val="center"/>
            <w:hideMark/>
          </w:tcPr>
          <w:p w14:paraId="4A975750" w14:textId="77777777" w:rsidR="00000000" w:rsidRDefault="00405D16">
            <w:pPr>
              <w:spacing w:after="100"/>
              <w:rPr>
                <w:rFonts w:eastAsia="Times New Roman"/>
                <w:sz w:val="20"/>
                <w:szCs w:val="20"/>
              </w:rPr>
            </w:pPr>
          </w:p>
        </w:tc>
        <w:tc>
          <w:tcPr>
            <w:tcW w:w="5" w:type="pct"/>
            <w:vAlign w:val="center"/>
            <w:hideMark/>
          </w:tcPr>
          <w:p w14:paraId="2AFD6278" w14:textId="77777777" w:rsidR="00000000" w:rsidRDefault="00405D16">
            <w:pPr>
              <w:spacing w:after="100"/>
              <w:rPr>
                <w:rFonts w:eastAsia="Times New Roman"/>
                <w:sz w:val="20"/>
                <w:szCs w:val="20"/>
              </w:rPr>
            </w:pPr>
          </w:p>
        </w:tc>
        <w:tc>
          <w:tcPr>
            <w:tcW w:w="26" w:type="pct"/>
            <w:vAlign w:val="center"/>
            <w:hideMark/>
          </w:tcPr>
          <w:p w14:paraId="55B7573B" w14:textId="77777777" w:rsidR="00000000" w:rsidRDefault="00405D16">
            <w:pPr>
              <w:spacing w:after="100"/>
              <w:rPr>
                <w:rFonts w:eastAsia="Times New Roman"/>
                <w:sz w:val="20"/>
                <w:szCs w:val="20"/>
              </w:rPr>
            </w:pPr>
          </w:p>
        </w:tc>
        <w:tc>
          <w:tcPr>
            <w:tcW w:w="5" w:type="pct"/>
            <w:vAlign w:val="center"/>
            <w:hideMark/>
          </w:tcPr>
          <w:p w14:paraId="759A50C4" w14:textId="77777777" w:rsidR="00000000" w:rsidRDefault="00405D16">
            <w:pPr>
              <w:spacing w:after="100"/>
              <w:rPr>
                <w:rFonts w:eastAsia="Times New Roman"/>
                <w:sz w:val="20"/>
                <w:szCs w:val="20"/>
              </w:rPr>
            </w:pPr>
          </w:p>
        </w:tc>
        <w:tc>
          <w:tcPr>
            <w:tcW w:w="50" w:type="pct"/>
            <w:vAlign w:val="center"/>
            <w:hideMark/>
          </w:tcPr>
          <w:p w14:paraId="3C196358" w14:textId="77777777" w:rsidR="00000000" w:rsidRDefault="00405D16">
            <w:pPr>
              <w:spacing w:after="100"/>
              <w:rPr>
                <w:rFonts w:eastAsia="Times New Roman"/>
                <w:sz w:val="20"/>
                <w:szCs w:val="20"/>
              </w:rPr>
            </w:pPr>
          </w:p>
        </w:tc>
        <w:tc>
          <w:tcPr>
            <w:tcW w:w="289" w:type="pct"/>
            <w:vAlign w:val="center"/>
            <w:hideMark/>
          </w:tcPr>
          <w:p w14:paraId="3504EF6D" w14:textId="77777777" w:rsidR="00000000" w:rsidRDefault="00405D16">
            <w:pPr>
              <w:spacing w:after="100"/>
              <w:rPr>
                <w:rFonts w:eastAsia="Times New Roman"/>
                <w:sz w:val="20"/>
                <w:szCs w:val="20"/>
              </w:rPr>
            </w:pPr>
          </w:p>
        </w:tc>
        <w:tc>
          <w:tcPr>
            <w:tcW w:w="5" w:type="pct"/>
            <w:vAlign w:val="center"/>
            <w:hideMark/>
          </w:tcPr>
          <w:p w14:paraId="1961F4E1" w14:textId="77777777" w:rsidR="00000000" w:rsidRDefault="00405D16">
            <w:pPr>
              <w:spacing w:after="100"/>
              <w:rPr>
                <w:rFonts w:eastAsia="Times New Roman"/>
                <w:sz w:val="20"/>
                <w:szCs w:val="20"/>
              </w:rPr>
            </w:pPr>
          </w:p>
        </w:tc>
        <w:tc>
          <w:tcPr>
            <w:tcW w:w="0" w:type="auto"/>
            <w:gridSpan w:val="3"/>
            <w:vAlign w:val="center"/>
            <w:hideMark/>
          </w:tcPr>
          <w:p w14:paraId="5DFC0BC4" w14:textId="77777777" w:rsidR="00000000" w:rsidRDefault="00405D16">
            <w:pPr>
              <w:spacing w:after="100"/>
              <w:rPr>
                <w:rFonts w:eastAsia="Times New Roman"/>
                <w:sz w:val="20"/>
                <w:szCs w:val="20"/>
              </w:rPr>
            </w:pPr>
          </w:p>
        </w:tc>
        <w:tc>
          <w:tcPr>
            <w:tcW w:w="0" w:type="auto"/>
            <w:gridSpan w:val="3"/>
            <w:vAlign w:val="center"/>
            <w:hideMark/>
          </w:tcPr>
          <w:p w14:paraId="295C489A" w14:textId="77777777" w:rsidR="00000000" w:rsidRDefault="00405D16">
            <w:pPr>
              <w:spacing w:after="100"/>
              <w:rPr>
                <w:rFonts w:eastAsia="Times New Roman"/>
                <w:sz w:val="20"/>
                <w:szCs w:val="20"/>
              </w:rPr>
            </w:pPr>
          </w:p>
        </w:tc>
        <w:tc>
          <w:tcPr>
            <w:tcW w:w="0" w:type="auto"/>
            <w:gridSpan w:val="3"/>
            <w:vAlign w:val="center"/>
            <w:hideMark/>
          </w:tcPr>
          <w:p w14:paraId="545A1316" w14:textId="77777777" w:rsidR="00000000" w:rsidRDefault="00405D16">
            <w:pPr>
              <w:spacing w:after="100"/>
              <w:rPr>
                <w:rFonts w:eastAsia="Times New Roman"/>
                <w:sz w:val="20"/>
                <w:szCs w:val="20"/>
              </w:rPr>
            </w:pPr>
          </w:p>
        </w:tc>
        <w:tc>
          <w:tcPr>
            <w:tcW w:w="0" w:type="auto"/>
            <w:gridSpan w:val="3"/>
            <w:vAlign w:val="center"/>
            <w:hideMark/>
          </w:tcPr>
          <w:p w14:paraId="1E9B1659" w14:textId="77777777" w:rsidR="00000000" w:rsidRDefault="00405D16">
            <w:pPr>
              <w:spacing w:after="100"/>
              <w:rPr>
                <w:rFonts w:eastAsia="Times New Roman"/>
                <w:sz w:val="20"/>
                <w:szCs w:val="20"/>
              </w:rPr>
            </w:pPr>
          </w:p>
        </w:tc>
        <w:tc>
          <w:tcPr>
            <w:tcW w:w="0" w:type="auto"/>
            <w:gridSpan w:val="3"/>
            <w:vAlign w:val="center"/>
            <w:hideMark/>
          </w:tcPr>
          <w:p w14:paraId="3EB528A0" w14:textId="77777777" w:rsidR="00000000" w:rsidRDefault="00405D16">
            <w:pPr>
              <w:spacing w:after="100"/>
              <w:rPr>
                <w:rFonts w:eastAsia="Times New Roman"/>
                <w:sz w:val="20"/>
                <w:szCs w:val="20"/>
              </w:rPr>
            </w:pPr>
          </w:p>
        </w:tc>
        <w:tc>
          <w:tcPr>
            <w:tcW w:w="0" w:type="auto"/>
            <w:gridSpan w:val="3"/>
            <w:vAlign w:val="center"/>
            <w:hideMark/>
          </w:tcPr>
          <w:p w14:paraId="46E4693A" w14:textId="77777777" w:rsidR="00000000" w:rsidRDefault="00405D16">
            <w:pPr>
              <w:spacing w:after="100"/>
              <w:rPr>
                <w:rFonts w:eastAsia="Times New Roman"/>
                <w:sz w:val="20"/>
                <w:szCs w:val="20"/>
              </w:rPr>
            </w:pPr>
          </w:p>
        </w:tc>
      </w:tr>
      <w:tr w:rsidR="00000000" w14:paraId="21FDA360" w14:textId="77777777">
        <w:trPr>
          <w:divId w:val="2096516365"/>
        </w:trPr>
        <w:tc>
          <w:tcPr>
            <w:tcW w:w="0" w:type="auto"/>
            <w:gridSpan w:val="3"/>
            <w:vAlign w:val="center"/>
            <w:hideMark/>
          </w:tcPr>
          <w:p w14:paraId="45FE5374" w14:textId="77777777" w:rsidR="00000000" w:rsidRDefault="00405D16">
            <w:pPr>
              <w:spacing w:after="100"/>
              <w:rPr>
                <w:rFonts w:eastAsia="Times New Roman"/>
                <w:sz w:val="20"/>
                <w:szCs w:val="20"/>
              </w:rPr>
            </w:pPr>
          </w:p>
        </w:tc>
        <w:tc>
          <w:tcPr>
            <w:tcW w:w="0" w:type="auto"/>
            <w:vAlign w:val="center"/>
            <w:hideMark/>
          </w:tcPr>
          <w:p w14:paraId="48D47350" w14:textId="77777777" w:rsidR="00000000" w:rsidRDefault="00405D16">
            <w:pPr>
              <w:spacing w:after="100"/>
              <w:rPr>
                <w:rFonts w:eastAsia="Times New Roman"/>
                <w:sz w:val="20"/>
                <w:szCs w:val="20"/>
              </w:rPr>
            </w:pPr>
          </w:p>
        </w:tc>
        <w:tc>
          <w:tcPr>
            <w:tcW w:w="0" w:type="auto"/>
            <w:vAlign w:val="center"/>
            <w:hideMark/>
          </w:tcPr>
          <w:p w14:paraId="1958ACAA" w14:textId="77777777" w:rsidR="00000000" w:rsidRDefault="00405D16">
            <w:pPr>
              <w:spacing w:after="100"/>
              <w:rPr>
                <w:rFonts w:eastAsia="Times New Roman"/>
                <w:sz w:val="20"/>
                <w:szCs w:val="20"/>
              </w:rPr>
            </w:pPr>
          </w:p>
        </w:tc>
        <w:tc>
          <w:tcPr>
            <w:tcW w:w="0" w:type="auto"/>
            <w:vAlign w:val="center"/>
            <w:hideMark/>
          </w:tcPr>
          <w:p w14:paraId="79E4BF1C" w14:textId="77777777" w:rsidR="00000000" w:rsidRDefault="00405D16">
            <w:pPr>
              <w:spacing w:after="100"/>
              <w:rPr>
                <w:rFonts w:eastAsia="Times New Roman"/>
                <w:sz w:val="20"/>
                <w:szCs w:val="20"/>
              </w:rPr>
            </w:pPr>
          </w:p>
        </w:tc>
        <w:tc>
          <w:tcPr>
            <w:tcW w:w="0" w:type="auto"/>
            <w:vAlign w:val="center"/>
            <w:hideMark/>
          </w:tcPr>
          <w:p w14:paraId="57848EB4" w14:textId="77777777" w:rsidR="00000000" w:rsidRDefault="00405D16">
            <w:pPr>
              <w:spacing w:after="100"/>
              <w:rPr>
                <w:rFonts w:eastAsia="Times New Roman"/>
                <w:sz w:val="20"/>
                <w:szCs w:val="20"/>
              </w:rPr>
            </w:pPr>
          </w:p>
        </w:tc>
        <w:tc>
          <w:tcPr>
            <w:tcW w:w="0" w:type="auto"/>
            <w:vAlign w:val="center"/>
            <w:hideMark/>
          </w:tcPr>
          <w:p w14:paraId="13638136" w14:textId="77777777" w:rsidR="00000000" w:rsidRDefault="00405D16">
            <w:pPr>
              <w:spacing w:after="100"/>
              <w:rPr>
                <w:rFonts w:eastAsia="Times New Roman"/>
                <w:sz w:val="20"/>
                <w:szCs w:val="20"/>
              </w:rPr>
            </w:pPr>
          </w:p>
        </w:tc>
        <w:tc>
          <w:tcPr>
            <w:tcW w:w="0" w:type="auto"/>
            <w:vAlign w:val="center"/>
            <w:hideMark/>
          </w:tcPr>
          <w:p w14:paraId="6B60A4B8" w14:textId="77777777" w:rsidR="00000000" w:rsidRDefault="00405D16">
            <w:pPr>
              <w:spacing w:after="100"/>
              <w:rPr>
                <w:rFonts w:eastAsia="Times New Roman"/>
                <w:sz w:val="20"/>
                <w:szCs w:val="20"/>
              </w:rPr>
            </w:pPr>
          </w:p>
        </w:tc>
        <w:tc>
          <w:tcPr>
            <w:tcW w:w="0" w:type="auto"/>
            <w:vAlign w:val="center"/>
            <w:hideMark/>
          </w:tcPr>
          <w:p w14:paraId="759C1835" w14:textId="77777777" w:rsidR="00000000" w:rsidRDefault="00405D16">
            <w:pPr>
              <w:spacing w:after="100"/>
              <w:rPr>
                <w:rFonts w:eastAsia="Times New Roman"/>
                <w:sz w:val="20"/>
                <w:szCs w:val="20"/>
              </w:rPr>
            </w:pPr>
          </w:p>
        </w:tc>
        <w:tc>
          <w:tcPr>
            <w:tcW w:w="0" w:type="auto"/>
            <w:vAlign w:val="center"/>
            <w:hideMark/>
          </w:tcPr>
          <w:p w14:paraId="0059A2B8" w14:textId="77777777" w:rsidR="00000000" w:rsidRDefault="00405D16">
            <w:pPr>
              <w:spacing w:after="100"/>
              <w:rPr>
                <w:rFonts w:eastAsia="Times New Roman"/>
                <w:sz w:val="20"/>
                <w:szCs w:val="20"/>
              </w:rPr>
            </w:pPr>
          </w:p>
        </w:tc>
        <w:tc>
          <w:tcPr>
            <w:tcW w:w="0" w:type="auto"/>
            <w:vAlign w:val="center"/>
            <w:hideMark/>
          </w:tcPr>
          <w:p w14:paraId="09C40AE5" w14:textId="77777777" w:rsidR="00000000" w:rsidRDefault="00405D16">
            <w:pPr>
              <w:spacing w:after="100"/>
              <w:rPr>
                <w:rFonts w:eastAsia="Times New Roman"/>
                <w:sz w:val="20"/>
                <w:szCs w:val="20"/>
              </w:rPr>
            </w:pPr>
          </w:p>
        </w:tc>
        <w:tc>
          <w:tcPr>
            <w:tcW w:w="0" w:type="auto"/>
            <w:vAlign w:val="center"/>
            <w:hideMark/>
          </w:tcPr>
          <w:p w14:paraId="40E2A073" w14:textId="77777777" w:rsidR="00000000" w:rsidRDefault="00405D16">
            <w:pPr>
              <w:spacing w:after="100"/>
              <w:rPr>
                <w:rFonts w:eastAsia="Times New Roman"/>
                <w:sz w:val="20"/>
                <w:szCs w:val="20"/>
              </w:rPr>
            </w:pPr>
          </w:p>
        </w:tc>
        <w:tc>
          <w:tcPr>
            <w:tcW w:w="0" w:type="auto"/>
            <w:vAlign w:val="center"/>
            <w:hideMark/>
          </w:tcPr>
          <w:p w14:paraId="513238E7" w14:textId="77777777" w:rsidR="00000000" w:rsidRDefault="00405D16">
            <w:pPr>
              <w:spacing w:after="100"/>
              <w:rPr>
                <w:rFonts w:eastAsia="Times New Roman"/>
                <w:sz w:val="20"/>
                <w:szCs w:val="20"/>
              </w:rPr>
            </w:pPr>
          </w:p>
        </w:tc>
        <w:tc>
          <w:tcPr>
            <w:tcW w:w="0" w:type="auto"/>
            <w:vAlign w:val="center"/>
            <w:hideMark/>
          </w:tcPr>
          <w:p w14:paraId="0EBDDE5F" w14:textId="77777777" w:rsidR="00000000" w:rsidRDefault="00405D16">
            <w:pPr>
              <w:spacing w:after="100"/>
              <w:rPr>
                <w:rFonts w:eastAsia="Times New Roman"/>
                <w:sz w:val="20"/>
                <w:szCs w:val="20"/>
              </w:rPr>
            </w:pPr>
          </w:p>
        </w:tc>
        <w:tc>
          <w:tcPr>
            <w:tcW w:w="0" w:type="auto"/>
            <w:vAlign w:val="center"/>
            <w:hideMark/>
          </w:tcPr>
          <w:p w14:paraId="25089DEF" w14:textId="77777777" w:rsidR="00000000" w:rsidRDefault="00405D16">
            <w:pPr>
              <w:spacing w:after="100"/>
              <w:rPr>
                <w:rFonts w:eastAsia="Times New Roman"/>
                <w:sz w:val="20"/>
                <w:szCs w:val="20"/>
              </w:rPr>
            </w:pPr>
          </w:p>
        </w:tc>
        <w:tc>
          <w:tcPr>
            <w:tcW w:w="0" w:type="auto"/>
            <w:vAlign w:val="center"/>
            <w:hideMark/>
          </w:tcPr>
          <w:p w14:paraId="569F8EDF" w14:textId="77777777" w:rsidR="00000000" w:rsidRDefault="00405D16">
            <w:pPr>
              <w:spacing w:after="100"/>
              <w:rPr>
                <w:rFonts w:eastAsia="Times New Roman"/>
                <w:sz w:val="20"/>
                <w:szCs w:val="20"/>
              </w:rPr>
            </w:pPr>
          </w:p>
        </w:tc>
        <w:tc>
          <w:tcPr>
            <w:tcW w:w="0" w:type="auto"/>
            <w:vAlign w:val="center"/>
            <w:hideMark/>
          </w:tcPr>
          <w:p w14:paraId="4238F1EE" w14:textId="77777777" w:rsidR="00000000" w:rsidRDefault="00405D16">
            <w:pPr>
              <w:spacing w:after="100"/>
              <w:rPr>
                <w:rFonts w:eastAsia="Times New Roman"/>
                <w:sz w:val="20"/>
                <w:szCs w:val="20"/>
              </w:rPr>
            </w:pPr>
          </w:p>
        </w:tc>
        <w:tc>
          <w:tcPr>
            <w:tcW w:w="0" w:type="auto"/>
            <w:vAlign w:val="center"/>
            <w:hideMark/>
          </w:tcPr>
          <w:p w14:paraId="1DA6070A" w14:textId="77777777" w:rsidR="00000000" w:rsidRDefault="00405D16">
            <w:pPr>
              <w:spacing w:after="100"/>
              <w:rPr>
                <w:rFonts w:eastAsia="Times New Roman"/>
                <w:sz w:val="20"/>
                <w:szCs w:val="20"/>
              </w:rPr>
            </w:pPr>
          </w:p>
        </w:tc>
        <w:tc>
          <w:tcPr>
            <w:tcW w:w="0" w:type="auto"/>
            <w:vAlign w:val="center"/>
            <w:hideMark/>
          </w:tcPr>
          <w:p w14:paraId="0568BA5E" w14:textId="77777777" w:rsidR="00000000" w:rsidRDefault="00405D16">
            <w:pPr>
              <w:spacing w:after="100"/>
              <w:rPr>
                <w:rFonts w:eastAsia="Times New Roman"/>
                <w:sz w:val="20"/>
                <w:szCs w:val="20"/>
              </w:rPr>
            </w:pPr>
          </w:p>
        </w:tc>
        <w:tc>
          <w:tcPr>
            <w:tcW w:w="0" w:type="auto"/>
            <w:vAlign w:val="center"/>
            <w:hideMark/>
          </w:tcPr>
          <w:p w14:paraId="1DC25050" w14:textId="77777777" w:rsidR="00000000" w:rsidRDefault="00405D16">
            <w:pPr>
              <w:spacing w:after="100"/>
              <w:rPr>
                <w:rFonts w:eastAsia="Times New Roman"/>
                <w:sz w:val="20"/>
                <w:szCs w:val="20"/>
              </w:rPr>
            </w:pPr>
          </w:p>
        </w:tc>
        <w:tc>
          <w:tcPr>
            <w:tcW w:w="0" w:type="auto"/>
            <w:vAlign w:val="center"/>
            <w:hideMark/>
          </w:tcPr>
          <w:p w14:paraId="428FCE53" w14:textId="77777777" w:rsidR="00000000" w:rsidRDefault="00405D16">
            <w:pPr>
              <w:spacing w:after="100"/>
              <w:rPr>
                <w:rFonts w:eastAsia="Times New Roman"/>
                <w:sz w:val="20"/>
                <w:szCs w:val="20"/>
              </w:rPr>
            </w:pPr>
          </w:p>
        </w:tc>
        <w:tc>
          <w:tcPr>
            <w:tcW w:w="0" w:type="auto"/>
            <w:vAlign w:val="center"/>
            <w:hideMark/>
          </w:tcPr>
          <w:p w14:paraId="21EB2803" w14:textId="77777777" w:rsidR="00000000" w:rsidRDefault="00405D16">
            <w:pPr>
              <w:spacing w:after="100"/>
              <w:rPr>
                <w:rFonts w:eastAsia="Times New Roman"/>
                <w:sz w:val="20"/>
                <w:szCs w:val="20"/>
              </w:rPr>
            </w:pPr>
          </w:p>
        </w:tc>
        <w:tc>
          <w:tcPr>
            <w:tcW w:w="0" w:type="auto"/>
            <w:vAlign w:val="center"/>
            <w:hideMark/>
          </w:tcPr>
          <w:p w14:paraId="556AB71B" w14:textId="77777777" w:rsidR="00000000" w:rsidRDefault="00405D16">
            <w:pPr>
              <w:spacing w:after="100"/>
              <w:rPr>
                <w:rFonts w:eastAsia="Times New Roman"/>
                <w:sz w:val="20"/>
                <w:szCs w:val="20"/>
              </w:rPr>
            </w:pPr>
          </w:p>
        </w:tc>
        <w:tc>
          <w:tcPr>
            <w:tcW w:w="0" w:type="auto"/>
            <w:vAlign w:val="center"/>
            <w:hideMark/>
          </w:tcPr>
          <w:p w14:paraId="79FF739A" w14:textId="77777777" w:rsidR="00000000" w:rsidRDefault="00405D16">
            <w:pPr>
              <w:spacing w:after="100"/>
              <w:rPr>
                <w:rFonts w:eastAsia="Times New Roman"/>
                <w:sz w:val="20"/>
                <w:szCs w:val="20"/>
              </w:rPr>
            </w:pPr>
          </w:p>
        </w:tc>
        <w:tc>
          <w:tcPr>
            <w:tcW w:w="0" w:type="auto"/>
            <w:vAlign w:val="center"/>
            <w:hideMark/>
          </w:tcPr>
          <w:p w14:paraId="5802D142" w14:textId="77777777" w:rsidR="00000000" w:rsidRDefault="00405D16">
            <w:pPr>
              <w:spacing w:after="100"/>
              <w:rPr>
                <w:rFonts w:eastAsia="Times New Roman"/>
                <w:sz w:val="20"/>
                <w:szCs w:val="20"/>
              </w:rPr>
            </w:pPr>
          </w:p>
        </w:tc>
        <w:tc>
          <w:tcPr>
            <w:tcW w:w="0" w:type="auto"/>
            <w:vAlign w:val="center"/>
            <w:hideMark/>
          </w:tcPr>
          <w:p w14:paraId="7F22A39E" w14:textId="77777777" w:rsidR="00000000" w:rsidRDefault="00405D16">
            <w:pPr>
              <w:spacing w:after="100"/>
              <w:rPr>
                <w:rFonts w:eastAsia="Times New Roman"/>
                <w:sz w:val="20"/>
                <w:szCs w:val="20"/>
              </w:rPr>
            </w:pPr>
          </w:p>
        </w:tc>
        <w:tc>
          <w:tcPr>
            <w:tcW w:w="0" w:type="auto"/>
            <w:vAlign w:val="center"/>
            <w:hideMark/>
          </w:tcPr>
          <w:p w14:paraId="6EEBF203" w14:textId="77777777" w:rsidR="00000000" w:rsidRDefault="00405D16">
            <w:pPr>
              <w:spacing w:after="100"/>
              <w:rPr>
                <w:rFonts w:eastAsia="Times New Roman"/>
                <w:sz w:val="20"/>
                <w:szCs w:val="20"/>
              </w:rPr>
            </w:pPr>
          </w:p>
        </w:tc>
        <w:tc>
          <w:tcPr>
            <w:tcW w:w="0" w:type="auto"/>
            <w:vAlign w:val="center"/>
            <w:hideMark/>
          </w:tcPr>
          <w:p w14:paraId="6CB0429E" w14:textId="77777777" w:rsidR="00000000" w:rsidRDefault="00405D16">
            <w:pPr>
              <w:spacing w:after="100"/>
              <w:rPr>
                <w:rFonts w:eastAsia="Times New Roman"/>
                <w:sz w:val="20"/>
                <w:szCs w:val="20"/>
              </w:rPr>
            </w:pPr>
          </w:p>
        </w:tc>
        <w:tc>
          <w:tcPr>
            <w:tcW w:w="0" w:type="auto"/>
            <w:vAlign w:val="center"/>
            <w:hideMark/>
          </w:tcPr>
          <w:p w14:paraId="40F88608" w14:textId="77777777" w:rsidR="00000000" w:rsidRDefault="00405D16">
            <w:pPr>
              <w:spacing w:after="100"/>
              <w:rPr>
                <w:rFonts w:eastAsia="Times New Roman"/>
                <w:sz w:val="20"/>
                <w:szCs w:val="20"/>
              </w:rPr>
            </w:pPr>
          </w:p>
        </w:tc>
        <w:tc>
          <w:tcPr>
            <w:tcW w:w="0" w:type="auto"/>
            <w:vAlign w:val="center"/>
            <w:hideMark/>
          </w:tcPr>
          <w:p w14:paraId="193ACAA2" w14:textId="77777777" w:rsidR="00000000" w:rsidRDefault="00405D16">
            <w:pPr>
              <w:spacing w:after="100"/>
              <w:rPr>
                <w:rFonts w:eastAsia="Times New Roman"/>
                <w:sz w:val="20"/>
                <w:szCs w:val="20"/>
              </w:rPr>
            </w:pPr>
          </w:p>
        </w:tc>
        <w:tc>
          <w:tcPr>
            <w:tcW w:w="0" w:type="auto"/>
            <w:vAlign w:val="center"/>
            <w:hideMark/>
          </w:tcPr>
          <w:p w14:paraId="7F7C67A3" w14:textId="77777777" w:rsidR="00000000" w:rsidRDefault="00405D16">
            <w:pPr>
              <w:spacing w:after="100"/>
              <w:rPr>
                <w:rFonts w:eastAsia="Times New Roman"/>
                <w:sz w:val="20"/>
                <w:szCs w:val="20"/>
              </w:rPr>
            </w:pPr>
          </w:p>
        </w:tc>
        <w:tc>
          <w:tcPr>
            <w:tcW w:w="0" w:type="auto"/>
            <w:vAlign w:val="center"/>
            <w:hideMark/>
          </w:tcPr>
          <w:p w14:paraId="62A0E0A8" w14:textId="77777777" w:rsidR="00000000" w:rsidRDefault="00405D16">
            <w:pPr>
              <w:spacing w:after="100"/>
              <w:rPr>
                <w:rFonts w:eastAsia="Times New Roman"/>
                <w:sz w:val="20"/>
                <w:szCs w:val="20"/>
              </w:rPr>
            </w:pPr>
          </w:p>
        </w:tc>
        <w:tc>
          <w:tcPr>
            <w:tcW w:w="0" w:type="auto"/>
            <w:vAlign w:val="center"/>
            <w:hideMark/>
          </w:tcPr>
          <w:p w14:paraId="50D78464" w14:textId="77777777" w:rsidR="00000000" w:rsidRDefault="00405D16">
            <w:pPr>
              <w:spacing w:after="100"/>
              <w:rPr>
                <w:rFonts w:eastAsia="Times New Roman"/>
                <w:sz w:val="20"/>
                <w:szCs w:val="20"/>
              </w:rPr>
            </w:pPr>
          </w:p>
        </w:tc>
        <w:tc>
          <w:tcPr>
            <w:tcW w:w="0" w:type="auto"/>
            <w:vAlign w:val="center"/>
            <w:hideMark/>
          </w:tcPr>
          <w:p w14:paraId="76FED7BA" w14:textId="77777777" w:rsidR="00000000" w:rsidRDefault="00405D16">
            <w:pPr>
              <w:spacing w:after="100"/>
              <w:rPr>
                <w:rFonts w:eastAsia="Times New Roman"/>
                <w:sz w:val="20"/>
                <w:szCs w:val="20"/>
              </w:rPr>
            </w:pPr>
          </w:p>
        </w:tc>
        <w:tc>
          <w:tcPr>
            <w:tcW w:w="0" w:type="auto"/>
            <w:vAlign w:val="center"/>
            <w:hideMark/>
          </w:tcPr>
          <w:p w14:paraId="29A6EDE3" w14:textId="77777777" w:rsidR="00000000" w:rsidRDefault="00405D16">
            <w:pPr>
              <w:spacing w:after="100"/>
              <w:rPr>
                <w:rFonts w:eastAsia="Times New Roman"/>
                <w:sz w:val="20"/>
                <w:szCs w:val="20"/>
              </w:rPr>
            </w:pPr>
          </w:p>
        </w:tc>
        <w:tc>
          <w:tcPr>
            <w:tcW w:w="0" w:type="auto"/>
            <w:vAlign w:val="center"/>
            <w:hideMark/>
          </w:tcPr>
          <w:p w14:paraId="0400E5ED" w14:textId="77777777" w:rsidR="00000000" w:rsidRDefault="00405D16">
            <w:pPr>
              <w:spacing w:after="100"/>
              <w:rPr>
                <w:rFonts w:eastAsia="Times New Roman"/>
                <w:sz w:val="20"/>
                <w:szCs w:val="20"/>
              </w:rPr>
            </w:pPr>
          </w:p>
        </w:tc>
        <w:tc>
          <w:tcPr>
            <w:tcW w:w="0" w:type="auto"/>
            <w:vAlign w:val="center"/>
            <w:hideMark/>
          </w:tcPr>
          <w:p w14:paraId="31815B03" w14:textId="77777777" w:rsidR="00000000" w:rsidRDefault="00405D16">
            <w:pPr>
              <w:spacing w:after="100"/>
              <w:rPr>
                <w:rFonts w:eastAsia="Times New Roman"/>
                <w:sz w:val="20"/>
                <w:szCs w:val="20"/>
              </w:rPr>
            </w:pPr>
          </w:p>
        </w:tc>
        <w:tc>
          <w:tcPr>
            <w:tcW w:w="0" w:type="auto"/>
            <w:vAlign w:val="center"/>
            <w:hideMark/>
          </w:tcPr>
          <w:p w14:paraId="4A8D587B" w14:textId="77777777" w:rsidR="00000000" w:rsidRDefault="00405D16">
            <w:pPr>
              <w:spacing w:after="100"/>
              <w:rPr>
                <w:rFonts w:eastAsia="Times New Roman"/>
                <w:sz w:val="20"/>
                <w:szCs w:val="20"/>
              </w:rPr>
            </w:pPr>
          </w:p>
        </w:tc>
        <w:tc>
          <w:tcPr>
            <w:tcW w:w="0" w:type="auto"/>
            <w:vAlign w:val="center"/>
            <w:hideMark/>
          </w:tcPr>
          <w:p w14:paraId="2B885115" w14:textId="77777777" w:rsidR="00000000" w:rsidRDefault="00405D16">
            <w:pPr>
              <w:spacing w:after="100"/>
              <w:rPr>
                <w:rFonts w:eastAsia="Times New Roman"/>
                <w:sz w:val="20"/>
                <w:szCs w:val="20"/>
              </w:rPr>
            </w:pPr>
          </w:p>
        </w:tc>
        <w:tc>
          <w:tcPr>
            <w:tcW w:w="0" w:type="auto"/>
            <w:vAlign w:val="center"/>
            <w:hideMark/>
          </w:tcPr>
          <w:p w14:paraId="279B69C6" w14:textId="77777777" w:rsidR="00000000" w:rsidRDefault="00405D16">
            <w:pPr>
              <w:spacing w:after="100"/>
              <w:rPr>
                <w:rFonts w:eastAsia="Times New Roman"/>
                <w:sz w:val="20"/>
                <w:szCs w:val="20"/>
              </w:rPr>
            </w:pPr>
          </w:p>
        </w:tc>
        <w:tc>
          <w:tcPr>
            <w:tcW w:w="0" w:type="auto"/>
            <w:vAlign w:val="center"/>
            <w:hideMark/>
          </w:tcPr>
          <w:p w14:paraId="10358DED" w14:textId="77777777" w:rsidR="00000000" w:rsidRDefault="00405D16">
            <w:pPr>
              <w:spacing w:after="100"/>
              <w:rPr>
                <w:rFonts w:eastAsia="Times New Roman"/>
                <w:sz w:val="20"/>
                <w:szCs w:val="20"/>
              </w:rPr>
            </w:pPr>
          </w:p>
        </w:tc>
        <w:tc>
          <w:tcPr>
            <w:tcW w:w="0" w:type="auto"/>
            <w:vAlign w:val="center"/>
            <w:hideMark/>
          </w:tcPr>
          <w:p w14:paraId="71926B07" w14:textId="77777777" w:rsidR="00000000" w:rsidRDefault="00405D16">
            <w:pPr>
              <w:spacing w:after="100"/>
              <w:rPr>
                <w:rFonts w:eastAsia="Times New Roman"/>
                <w:sz w:val="20"/>
                <w:szCs w:val="20"/>
              </w:rPr>
            </w:pPr>
          </w:p>
        </w:tc>
        <w:tc>
          <w:tcPr>
            <w:tcW w:w="0" w:type="auto"/>
            <w:vAlign w:val="center"/>
            <w:hideMark/>
          </w:tcPr>
          <w:p w14:paraId="1920D2A6" w14:textId="77777777" w:rsidR="00000000" w:rsidRDefault="00405D16">
            <w:pPr>
              <w:spacing w:after="100"/>
              <w:rPr>
                <w:rFonts w:eastAsia="Times New Roman"/>
                <w:sz w:val="20"/>
                <w:szCs w:val="20"/>
              </w:rPr>
            </w:pPr>
          </w:p>
        </w:tc>
        <w:tc>
          <w:tcPr>
            <w:tcW w:w="0" w:type="auto"/>
            <w:vAlign w:val="center"/>
            <w:hideMark/>
          </w:tcPr>
          <w:p w14:paraId="1B3DDB63" w14:textId="77777777" w:rsidR="00000000" w:rsidRDefault="00405D16">
            <w:pPr>
              <w:spacing w:after="100"/>
              <w:rPr>
                <w:rFonts w:eastAsia="Times New Roman"/>
                <w:sz w:val="20"/>
                <w:szCs w:val="20"/>
              </w:rPr>
            </w:pPr>
          </w:p>
        </w:tc>
        <w:tc>
          <w:tcPr>
            <w:tcW w:w="0" w:type="auto"/>
            <w:vAlign w:val="center"/>
            <w:hideMark/>
          </w:tcPr>
          <w:p w14:paraId="2F161778" w14:textId="77777777" w:rsidR="00000000" w:rsidRDefault="00405D16">
            <w:pPr>
              <w:spacing w:after="100"/>
              <w:rPr>
                <w:rFonts w:eastAsia="Times New Roman"/>
                <w:sz w:val="20"/>
                <w:szCs w:val="20"/>
              </w:rPr>
            </w:pPr>
          </w:p>
        </w:tc>
        <w:tc>
          <w:tcPr>
            <w:tcW w:w="0" w:type="auto"/>
            <w:vAlign w:val="center"/>
            <w:hideMark/>
          </w:tcPr>
          <w:p w14:paraId="7D8F1A67" w14:textId="77777777" w:rsidR="00000000" w:rsidRDefault="00405D16">
            <w:pPr>
              <w:spacing w:after="100"/>
              <w:rPr>
                <w:rFonts w:eastAsia="Times New Roman"/>
                <w:sz w:val="20"/>
                <w:szCs w:val="20"/>
              </w:rPr>
            </w:pPr>
          </w:p>
        </w:tc>
        <w:tc>
          <w:tcPr>
            <w:tcW w:w="0" w:type="auto"/>
            <w:vAlign w:val="center"/>
            <w:hideMark/>
          </w:tcPr>
          <w:p w14:paraId="75F4CA04" w14:textId="77777777" w:rsidR="00000000" w:rsidRDefault="00405D16">
            <w:pPr>
              <w:spacing w:after="100"/>
              <w:rPr>
                <w:rFonts w:eastAsia="Times New Roman"/>
                <w:sz w:val="20"/>
                <w:szCs w:val="20"/>
              </w:rPr>
            </w:pPr>
          </w:p>
        </w:tc>
        <w:tc>
          <w:tcPr>
            <w:tcW w:w="0" w:type="auto"/>
            <w:vAlign w:val="center"/>
            <w:hideMark/>
          </w:tcPr>
          <w:p w14:paraId="4AF6EB2C" w14:textId="77777777" w:rsidR="00000000" w:rsidRDefault="00405D16">
            <w:pPr>
              <w:spacing w:after="100"/>
              <w:rPr>
                <w:rFonts w:eastAsia="Times New Roman"/>
                <w:sz w:val="20"/>
                <w:szCs w:val="20"/>
              </w:rPr>
            </w:pPr>
          </w:p>
        </w:tc>
        <w:tc>
          <w:tcPr>
            <w:tcW w:w="0" w:type="auto"/>
            <w:vAlign w:val="center"/>
            <w:hideMark/>
          </w:tcPr>
          <w:p w14:paraId="7DA8CA3A" w14:textId="77777777" w:rsidR="00000000" w:rsidRDefault="00405D16">
            <w:pPr>
              <w:spacing w:after="100"/>
              <w:rPr>
                <w:rFonts w:eastAsia="Times New Roman"/>
                <w:sz w:val="20"/>
                <w:szCs w:val="20"/>
              </w:rPr>
            </w:pPr>
          </w:p>
        </w:tc>
        <w:tc>
          <w:tcPr>
            <w:tcW w:w="0" w:type="auto"/>
            <w:vAlign w:val="center"/>
            <w:hideMark/>
          </w:tcPr>
          <w:p w14:paraId="4F630BB4" w14:textId="77777777" w:rsidR="00000000" w:rsidRDefault="00405D16">
            <w:pPr>
              <w:spacing w:after="100"/>
              <w:rPr>
                <w:rFonts w:eastAsia="Times New Roman"/>
                <w:sz w:val="20"/>
                <w:szCs w:val="20"/>
              </w:rPr>
            </w:pPr>
          </w:p>
        </w:tc>
        <w:tc>
          <w:tcPr>
            <w:tcW w:w="0" w:type="auto"/>
            <w:vAlign w:val="center"/>
            <w:hideMark/>
          </w:tcPr>
          <w:p w14:paraId="25C4E351" w14:textId="77777777" w:rsidR="00000000" w:rsidRDefault="00405D16">
            <w:pPr>
              <w:spacing w:after="100"/>
              <w:rPr>
                <w:rFonts w:eastAsia="Times New Roman"/>
                <w:sz w:val="20"/>
                <w:szCs w:val="20"/>
              </w:rPr>
            </w:pPr>
          </w:p>
        </w:tc>
        <w:tc>
          <w:tcPr>
            <w:tcW w:w="0" w:type="auto"/>
            <w:vAlign w:val="center"/>
            <w:hideMark/>
          </w:tcPr>
          <w:p w14:paraId="0D51559F" w14:textId="77777777" w:rsidR="00000000" w:rsidRDefault="00405D16">
            <w:pPr>
              <w:spacing w:after="100"/>
              <w:rPr>
                <w:rFonts w:eastAsia="Times New Roman"/>
                <w:sz w:val="20"/>
                <w:szCs w:val="20"/>
              </w:rPr>
            </w:pPr>
          </w:p>
        </w:tc>
        <w:tc>
          <w:tcPr>
            <w:tcW w:w="0" w:type="auto"/>
            <w:vAlign w:val="center"/>
            <w:hideMark/>
          </w:tcPr>
          <w:p w14:paraId="044E7B46" w14:textId="77777777" w:rsidR="00000000" w:rsidRDefault="00405D16">
            <w:pPr>
              <w:spacing w:after="100"/>
              <w:rPr>
                <w:rFonts w:eastAsia="Times New Roman"/>
                <w:sz w:val="20"/>
                <w:szCs w:val="20"/>
              </w:rPr>
            </w:pPr>
          </w:p>
        </w:tc>
        <w:tc>
          <w:tcPr>
            <w:tcW w:w="0" w:type="auto"/>
            <w:vAlign w:val="center"/>
            <w:hideMark/>
          </w:tcPr>
          <w:p w14:paraId="51DBDCFC" w14:textId="77777777" w:rsidR="00000000" w:rsidRDefault="00405D16">
            <w:pPr>
              <w:spacing w:after="100"/>
              <w:rPr>
                <w:rFonts w:eastAsia="Times New Roman"/>
                <w:sz w:val="20"/>
                <w:szCs w:val="20"/>
              </w:rPr>
            </w:pPr>
          </w:p>
        </w:tc>
        <w:tc>
          <w:tcPr>
            <w:tcW w:w="0" w:type="auto"/>
            <w:vAlign w:val="center"/>
            <w:hideMark/>
          </w:tcPr>
          <w:p w14:paraId="7AB97DFE" w14:textId="77777777" w:rsidR="00000000" w:rsidRDefault="00405D16">
            <w:pPr>
              <w:spacing w:after="100"/>
              <w:rPr>
                <w:rFonts w:eastAsia="Times New Roman"/>
                <w:sz w:val="20"/>
                <w:szCs w:val="20"/>
              </w:rPr>
            </w:pPr>
          </w:p>
        </w:tc>
        <w:tc>
          <w:tcPr>
            <w:tcW w:w="0" w:type="auto"/>
            <w:vAlign w:val="center"/>
            <w:hideMark/>
          </w:tcPr>
          <w:p w14:paraId="3923804C" w14:textId="77777777" w:rsidR="00000000" w:rsidRDefault="00405D16">
            <w:pPr>
              <w:spacing w:after="100"/>
              <w:rPr>
                <w:rFonts w:eastAsia="Times New Roman"/>
                <w:sz w:val="20"/>
                <w:szCs w:val="20"/>
              </w:rPr>
            </w:pPr>
          </w:p>
        </w:tc>
      </w:tr>
      <w:tr w:rsidR="00000000" w14:paraId="100529DF" w14:textId="77777777">
        <w:trPr>
          <w:divId w:val="2096516365"/>
        </w:trPr>
        <w:tc>
          <w:tcPr>
            <w:tcW w:w="0" w:type="auto"/>
            <w:gridSpan w:val="3"/>
            <w:tcMar>
              <w:top w:w="30" w:type="dxa"/>
              <w:left w:w="20" w:type="dxa"/>
              <w:bottom w:w="30" w:type="dxa"/>
              <w:right w:w="20" w:type="dxa"/>
            </w:tcMar>
            <w:vAlign w:val="bottom"/>
            <w:hideMark/>
          </w:tcPr>
          <w:p w14:paraId="1A716375"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0B014138" w14:textId="77777777" w:rsidR="00000000" w:rsidRDefault="00405D16">
            <w:pPr>
              <w:spacing w:after="100"/>
              <w:rPr>
                <w:rFonts w:eastAsia="Times New Roman"/>
              </w:rPr>
            </w:pPr>
          </w:p>
        </w:tc>
        <w:tc>
          <w:tcPr>
            <w:tcW w:w="0" w:type="auto"/>
            <w:gridSpan w:val="33"/>
            <w:tcBorders>
              <w:bottom w:val="single" w:sz="8" w:space="0" w:color="000000"/>
            </w:tcBorders>
            <w:tcMar>
              <w:top w:w="30" w:type="dxa"/>
              <w:left w:w="20" w:type="dxa"/>
              <w:bottom w:w="30" w:type="dxa"/>
              <w:right w:w="20" w:type="dxa"/>
            </w:tcMar>
            <w:vAlign w:val="bottom"/>
            <w:hideMark/>
          </w:tcPr>
          <w:p w14:paraId="4A2FC049" w14:textId="77777777" w:rsidR="00000000" w:rsidRDefault="00405D16">
            <w:pPr>
              <w:spacing w:after="100"/>
              <w:jc w:val="center"/>
              <w:rPr>
                <w:rFonts w:eastAsia="Times New Roman"/>
              </w:rPr>
            </w:pPr>
            <w:r>
              <w:rPr>
                <w:rFonts w:eastAsia="Times New Roman"/>
                <w:b/>
                <w:bCs/>
                <w:color w:val="000000"/>
                <w:sz w:val="16"/>
                <w:szCs w:val="16"/>
              </w:rPr>
              <w:t>Three Months Ended September 30,</w:t>
            </w:r>
          </w:p>
        </w:tc>
        <w:tc>
          <w:tcPr>
            <w:tcW w:w="0" w:type="auto"/>
            <w:gridSpan w:val="3"/>
            <w:vAlign w:val="center"/>
            <w:hideMark/>
          </w:tcPr>
          <w:p w14:paraId="24F07A2D" w14:textId="77777777" w:rsidR="00000000" w:rsidRDefault="00405D16">
            <w:pPr>
              <w:spacing w:after="100"/>
              <w:jc w:val="center"/>
              <w:rPr>
                <w:rFonts w:eastAsia="Times New Roman"/>
              </w:rPr>
            </w:pPr>
          </w:p>
        </w:tc>
        <w:tc>
          <w:tcPr>
            <w:tcW w:w="0" w:type="auto"/>
            <w:gridSpan w:val="3"/>
            <w:vAlign w:val="center"/>
            <w:hideMark/>
          </w:tcPr>
          <w:p w14:paraId="388BD907" w14:textId="77777777" w:rsidR="00000000" w:rsidRDefault="00405D16">
            <w:pPr>
              <w:spacing w:after="100"/>
              <w:rPr>
                <w:rFonts w:eastAsia="Times New Roman"/>
                <w:sz w:val="20"/>
                <w:szCs w:val="20"/>
              </w:rPr>
            </w:pPr>
          </w:p>
        </w:tc>
        <w:tc>
          <w:tcPr>
            <w:tcW w:w="0" w:type="auto"/>
            <w:gridSpan w:val="3"/>
            <w:vAlign w:val="center"/>
            <w:hideMark/>
          </w:tcPr>
          <w:p w14:paraId="6811C2B9" w14:textId="77777777" w:rsidR="00000000" w:rsidRDefault="00405D16">
            <w:pPr>
              <w:spacing w:after="100"/>
              <w:rPr>
                <w:rFonts w:eastAsia="Times New Roman"/>
                <w:sz w:val="20"/>
                <w:szCs w:val="20"/>
              </w:rPr>
            </w:pPr>
          </w:p>
        </w:tc>
        <w:tc>
          <w:tcPr>
            <w:tcW w:w="0" w:type="auto"/>
            <w:gridSpan w:val="3"/>
            <w:vAlign w:val="center"/>
            <w:hideMark/>
          </w:tcPr>
          <w:p w14:paraId="0C68239A" w14:textId="77777777" w:rsidR="00000000" w:rsidRDefault="00405D16">
            <w:pPr>
              <w:spacing w:after="100"/>
              <w:rPr>
                <w:rFonts w:eastAsia="Times New Roman"/>
                <w:sz w:val="20"/>
                <w:szCs w:val="20"/>
              </w:rPr>
            </w:pPr>
          </w:p>
        </w:tc>
        <w:tc>
          <w:tcPr>
            <w:tcW w:w="0" w:type="auto"/>
            <w:gridSpan w:val="3"/>
            <w:vAlign w:val="center"/>
            <w:hideMark/>
          </w:tcPr>
          <w:p w14:paraId="122A901B" w14:textId="77777777" w:rsidR="00000000" w:rsidRDefault="00405D16">
            <w:pPr>
              <w:spacing w:after="100"/>
              <w:rPr>
                <w:rFonts w:eastAsia="Times New Roman"/>
                <w:sz w:val="20"/>
                <w:szCs w:val="20"/>
              </w:rPr>
            </w:pPr>
          </w:p>
        </w:tc>
        <w:tc>
          <w:tcPr>
            <w:tcW w:w="0" w:type="auto"/>
            <w:gridSpan w:val="3"/>
            <w:vAlign w:val="center"/>
            <w:hideMark/>
          </w:tcPr>
          <w:p w14:paraId="05E72864" w14:textId="77777777" w:rsidR="00000000" w:rsidRDefault="00405D16">
            <w:pPr>
              <w:spacing w:after="100"/>
              <w:rPr>
                <w:rFonts w:eastAsia="Times New Roman"/>
                <w:sz w:val="20"/>
                <w:szCs w:val="20"/>
              </w:rPr>
            </w:pPr>
          </w:p>
        </w:tc>
      </w:tr>
      <w:tr w:rsidR="00000000" w14:paraId="400AF313" w14:textId="77777777">
        <w:trPr>
          <w:divId w:val="2096516365"/>
        </w:trPr>
        <w:tc>
          <w:tcPr>
            <w:tcW w:w="0" w:type="auto"/>
            <w:gridSpan w:val="3"/>
            <w:tcMar>
              <w:top w:w="30" w:type="dxa"/>
              <w:left w:w="20" w:type="dxa"/>
              <w:bottom w:w="30" w:type="dxa"/>
              <w:right w:w="20" w:type="dxa"/>
            </w:tcMar>
            <w:vAlign w:val="bottom"/>
            <w:hideMark/>
          </w:tcPr>
          <w:p w14:paraId="31240390"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4DA983F4" w14:textId="77777777" w:rsidR="00000000" w:rsidRDefault="00405D16">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7B37FCE8"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2DEE453F" w14:textId="77777777" w:rsidR="00000000" w:rsidRDefault="00405D16">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28E34A32"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gridSpan w:val="3"/>
            <w:vAlign w:val="center"/>
            <w:hideMark/>
          </w:tcPr>
          <w:p w14:paraId="32A21E81" w14:textId="77777777" w:rsidR="00000000" w:rsidRDefault="00405D16">
            <w:pPr>
              <w:spacing w:after="100"/>
              <w:jc w:val="center"/>
              <w:rPr>
                <w:rFonts w:eastAsia="Times New Roman"/>
              </w:rPr>
            </w:pPr>
          </w:p>
        </w:tc>
        <w:tc>
          <w:tcPr>
            <w:tcW w:w="0" w:type="auto"/>
            <w:gridSpan w:val="3"/>
            <w:vAlign w:val="center"/>
            <w:hideMark/>
          </w:tcPr>
          <w:p w14:paraId="10791980" w14:textId="77777777" w:rsidR="00000000" w:rsidRDefault="00405D16">
            <w:pPr>
              <w:spacing w:after="100"/>
              <w:rPr>
                <w:rFonts w:eastAsia="Times New Roman"/>
                <w:sz w:val="20"/>
                <w:szCs w:val="20"/>
              </w:rPr>
            </w:pPr>
          </w:p>
        </w:tc>
        <w:tc>
          <w:tcPr>
            <w:tcW w:w="0" w:type="auto"/>
            <w:vAlign w:val="center"/>
            <w:hideMark/>
          </w:tcPr>
          <w:p w14:paraId="10D406CA" w14:textId="77777777" w:rsidR="00000000" w:rsidRDefault="00405D16">
            <w:pPr>
              <w:spacing w:after="100"/>
              <w:rPr>
                <w:rFonts w:eastAsia="Times New Roman"/>
                <w:sz w:val="20"/>
                <w:szCs w:val="20"/>
              </w:rPr>
            </w:pPr>
          </w:p>
        </w:tc>
        <w:tc>
          <w:tcPr>
            <w:tcW w:w="0" w:type="auto"/>
            <w:vAlign w:val="center"/>
            <w:hideMark/>
          </w:tcPr>
          <w:p w14:paraId="31152B35" w14:textId="77777777" w:rsidR="00000000" w:rsidRDefault="00405D16">
            <w:pPr>
              <w:spacing w:after="100"/>
              <w:rPr>
                <w:rFonts w:eastAsia="Times New Roman"/>
                <w:sz w:val="20"/>
                <w:szCs w:val="20"/>
              </w:rPr>
            </w:pPr>
          </w:p>
        </w:tc>
        <w:tc>
          <w:tcPr>
            <w:tcW w:w="0" w:type="auto"/>
            <w:vAlign w:val="center"/>
            <w:hideMark/>
          </w:tcPr>
          <w:p w14:paraId="14275019" w14:textId="77777777" w:rsidR="00000000" w:rsidRDefault="00405D16">
            <w:pPr>
              <w:spacing w:after="100"/>
              <w:rPr>
                <w:rFonts w:eastAsia="Times New Roman"/>
                <w:sz w:val="20"/>
                <w:szCs w:val="20"/>
              </w:rPr>
            </w:pPr>
          </w:p>
        </w:tc>
        <w:tc>
          <w:tcPr>
            <w:tcW w:w="0" w:type="auto"/>
            <w:vAlign w:val="center"/>
            <w:hideMark/>
          </w:tcPr>
          <w:p w14:paraId="43387944" w14:textId="77777777" w:rsidR="00000000" w:rsidRDefault="00405D16">
            <w:pPr>
              <w:spacing w:after="100"/>
              <w:rPr>
                <w:rFonts w:eastAsia="Times New Roman"/>
                <w:sz w:val="20"/>
                <w:szCs w:val="20"/>
              </w:rPr>
            </w:pPr>
          </w:p>
        </w:tc>
        <w:tc>
          <w:tcPr>
            <w:tcW w:w="0" w:type="auto"/>
            <w:vAlign w:val="center"/>
            <w:hideMark/>
          </w:tcPr>
          <w:p w14:paraId="689109A8" w14:textId="77777777" w:rsidR="00000000" w:rsidRDefault="00405D16">
            <w:pPr>
              <w:spacing w:after="100"/>
              <w:rPr>
                <w:rFonts w:eastAsia="Times New Roman"/>
                <w:sz w:val="20"/>
                <w:szCs w:val="20"/>
              </w:rPr>
            </w:pPr>
          </w:p>
        </w:tc>
        <w:tc>
          <w:tcPr>
            <w:tcW w:w="0" w:type="auto"/>
            <w:vAlign w:val="center"/>
            <w:hideMark/>
          </w:tcPr>
          <w:p w14:paraId="1F2C57B6" w14:textId="77777777" w:rsidR="00000000" w:rsidRDefault="00405D16">
            <w:pPr>
              <w:spacing w:after="100"/>
              <w:rPr>
                <w:rFonts w:eastAsia="Times New Roman"/>
                <w:sz w:val="20"/>
                <w:szCs w:val="20"/>
              </w:rPr>
            </w:pPr>
          </w:p>
        </w:tc>
        <w:tc>
          <w:tcPr>
            <w:tcW w:w="0" w:type="auto"/>
            <w:vAlign w:val="center"/>
            <w:hideMark/>
          </w:tcPr>
          <w:p w14:paraId="032DA741" w14:textId="77777777" w:rsidR="00000000" w:rsidRDefault="00405D16">
            <w:pPr>
              <w:spacing w:after="100"/>
              <w:rPr>
                <w:rFonts w:eastAsia="Times New Roman"/>
                <w:sz w:val="20"/>
                <w:szCs w:val="20"/>
              </w:rPr>
            </w:pPr>
          </w:p>
        </w:tc>
        <w:tc>
          <w:tcPr>
            <w:tcW w:w="0" w:type="auto"/>
            <w:vAlign w:val="center"/>
            <w:hideMark/>
          </w:tcPr>
          <w:p w14:paraId="09761CB1" w14:textId="77777777" w:rsidR="00000000" w:rsidRDefault="00405D16">
            <w:pPr>
              <w:spacing w:after="100"/>
              <w:rPr>
                <w:rFonts w:eastAsia="Times New Roman"/>
                <w:sz w:val="20"/>
                <w:szCs w:val="20"/>
              </w:rPr>
            </w:pPr>
          </w:p>
        </w:tc>
        <w:tc>
          <w:tcPr>
            <w:tcW w:w="0" w:type="auto"/>
            <w:vAlign w:val="center"/>
            <w:hideMark/>
          </w:tcPr>
          <w:p w14:paraId="13376F00" w14:textId="77777777" w:rsidR="00000000" w:rsidRDefault="00405D16">
            <w:pPr>
              <w:spacing w:after="100"/>
              <w:rPr>
                <w:rFonts w:eastAsia="Times New Roman"/>
                <w:sz w:val="20"/>
                <w:szCs w:val="20"/>
              </w:rPr>
            </w:pPr>
          </w:p>
        </w:tc>
        <w:tc>
          <w:tcPr>
            <w:tcW w:w="0" w:type="auto"/>
            <w:vAlign w:val="center"/>
            <w:hideMark/>
          </w:tcPr>
          <w:p w14:paraId="50A9FC0D" w14:textId="77777777" w:rsidR="00000000" w:rsidRDefault="00405D16">
            <w:pPr>
              <w:spacing w:after="100"/>
              <w:rPr>
                <w:rFonts w:eastAsia="Times New Roman"/>
                <w:sz w:val="20"/>
                <w:szCs w:val="20"/>
              </w:rPr>
            </w:pPr>
          </w:p>
        </w:tc>
        <w:tc>
          <w:tcPr>
            <w:tcW w:w="0" w:type="auto"/>
            <w:vAlign w:val="center"/>
            <w:hideMark/>
          </w:tcPr>
          <w:p w14:paraId="24375DFF" w14:textId="77777777" w:rsidR="00000000" w:rsidRDefault="00405D16">
            <w:pPr>
              <w:spacing w:after="100"/>
              <w:rPr>
                <w:rFonts w:eastAsia="Times New Roman"/>
                <w:sz w:val="20"/>
                <w:szCs w:val="20"/>
              </w:rPr>
            </w:pPr>
          </w:p>
        </w:tc>
        <w:tc>
          <w:tcPr>
            <w:tcW w:w="0" w:type="auto"/>
            <w:vAlign w:val="center"/>
            <w:hideMark/>
          </w:tcPr>
          <w:p w14:paraId="7B1DC491" w14:textId="77777777" w:rsidR="00000000" w:rsidRDefault="00405D16">
            <w:pPr>
              <w:spacing w:after="100"/>
              <w:rPr>
                <w:rFonts w:eastAsia="Times New Roman"/>
                <w:sz w:val="20"/>
                <w:szCs w:val="20"/>
              </w:rPr>
            </w:pPr>
          </w:p>
        </w:tc>
      </w:tr>
      <w:tr w:rsidR="00000000" w14:paraId="1492596F" w14:textId="77777777">
        <w:trPr>
          <w:divId w:val="2096516365"/>
        </w:trPr>
        <w:tc>
          <w:tcPr>
            <w:tcW w:w="0" w:type="auto"/>
            <w:gridSpan w:val="3"/>
            <w:tcMar>
              <w:top w:w="30" w:type="dxa"/>
              <w:left w:w="20" w:type="dxa"/>
              <w:bottom w:w="30" w:type="dxa"/>
              <w:right w:w="20" w:type="dxa"/>
            </w:tcMar>
            <w:vAlign w:val="bottom"/>
            <w:hideMark/>
          </w:tcPr>
          <w:p w14:paraId="7F1BF83D"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6F0F4247"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76EA364" w14:textId="77777777" w:rsidR="00000000" w:rsidRDefault="00405D16">
            <w:pPr>
              <w:spacing w:after="100"/>
              <w:jc w:val="center"/>
              <w:rPr>
                <w:rFonts w:eastAsia="Times New Roman"/>
              </w:rPr>
            </w:pPr>
            <w:r>
              <w:rPr>
                <w:rFonts w:eastAsia="Times New Roman"/>
                <w:b/>
                <w:bCs/>
                <w:color w:val="000000"/>
                <w:sz w:val="16"/>
                <w:szCs w:val="16"/>
              </w:rPr>
              <w:t>Before</w:t>
            </w:r>
            <w:r>
              <w:rPr>
                <w:rFonts w:eastAsia="Times New Roman"/>
                <w:b/>
                <w:bCs/>
                <w:color w:val="000000"/>
                <w:sz w:val="16"/>
                <w:szCs w:val="16"/>
              </w:rPr>
              <w:br/>
              <w:t>Tax</w:t>
            </w:r>
          </w:p>
        </w:tc>
        <w:tc>
          <w:tcPr>
            <w:tcW w:w="0" w:type="auto"/>
            <w:gridSpan w:val="3"/>
            <w:tcBorders>
              <w:top w:val="single" w:sz="8" w:space="0" w:color="000000"/>
            </w:tcBorders>
            <w:tcMar>
              <w:top w:w="0" w:type="dxa"/>
              <w:left w:w="20" w:type="dxa"/>
              <w:bottom w:w="0" w:type="dxa"/>
              <w:right w:w="20" w:type="dxa"/>
            </w:tcMar>
            <w:vAlign w:val="center"/>
            <w:hideMark/>
          </w:tcPr>
          <w:p w14:paraId="2A7F0813"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6658516" w14:textId="77777777" w:rsidR="00000000" w:rsidRDefault="00405D16">
            <w:pPr>
              <w:spacing w:after="100"/>
              <w:jc w:val="center"/>
              <w:rPr>
                <w:rFonts w:eastAsia="Times New Roman"/>
              </w:rPr>
            </w:pPr>
            <w:r>
              <w:rPr>
                <w:rFonts w:eastAsia="Times New Roman"/>
                <w:b/>
                <w:bCs/>
                <w:color w:val="000000"/>
                <w:sz w:val="16"/>
                <w:szCs w:val="16"/>
              </w:rPr>
              <w:t>Provision</w:t>
            </w:r>
            <w:r>
              <w:rPr>
                <w:rFonts w:eastAsia="Times New Roman"/>
                <w:b/>
                <w:bCs/>
                <w:color w:val="000000"/>
                <w:sz w:val="16"/>
                <w:szCs w:val="16"/>
              </w:rPr>
              <w:br/>
              <w:t>(Benefit)</w:t>
            </w:r>
          </w:p>
        </w:tc>
        <w:tc>
          <w:tcPr>
            <w:tcW w:w="0" w:type="auto"/>
            <w:gridSpan w:val="3"/>
            <w:tcBorders>
              <w:top w:val="single" w:sz="8" w:space="0" w:color="000000"/>
            </w:tcBorders>
            <w:tcMar>
              <w:top w:w="0" w:type="dxa"/>
              <w:left w:w="20" w:type="dxa"/>
              <w:bottom w:w="0" w:type="dxa"/>
              <w:right w:w="20" w:type="dxa"/>
            </w:tcMar>
            <w:vAlign w:val="center"/>
            <w:hideMark/>
          </w:tcPr>
          <w:p w14:paraId="5FAF8212"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B1DC7A6" w14:textId="77777777" w:rsidR="00000000" w:rsidRDefault="00405D16">
            <w:pPr>
              <w:spacing w:after="100"/>
              <w:jc w:val="center"/>
              <w:rPr>
                <w:rFonts w:eastAsia="Times New Roman"/>
              </w:rPr>
            </w:pPr>
            <w:r>
              <w:rPr>
                <w:rFonts w:eastAsia="Times New Roman"/>
                <w:b/>
                <w:bCs/>
                <w:color w:val="000000"/>
                <w:sz w:val="16"/>
                <w:szCs w:val="16"/>
              </w:rPr>
              <w:t>After</w:t>
            </w:r>
            <w:r>
              <w:rPr>
                <w:rFonts w:eastAsia="Times New Roman"/>
                <w:b/>
                <w:bCs/>
                <w:color w:val="000000"/>
                <w:sz w:val="16"/>
                <w:szCs w:val="16"/>
              </w:rPr>
              <w:br/>
              <w:t>Tax</w:t>
            </w:r>
          </w:p>
        </w:tc>
        <w:tc>
          <w:tcPr>
            <w:tcW w:w="0" w:type="auto"/>
            <w:gridSpan w:val="3"/>
            <w:tcMar>
              <w:top w:w="0" w:type="dxa"/>
              <w:left w:w="20" w:type="dxa"/>
              <w:bottom w:w="0" w:type="dxa"/>
              <w:right w:w="20" w:type="dxa"/>
            </w:tcMar>
            <w:vAlign w:val="center"/>
            <w:hideMark/>
          </w:tcPr>
          <w:p w14:paraId="708126B5"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5B6F441" w14:textId="77777777" w:rsidR="00000000" w:rsidRDefault="00405D16">
            <w:pPr>
              <w:spacing w:after="100"/>
              <w:jc w:val="center"/>
              <w:rPr>
                <w:rFonts w:eastAsia="Times New Roman"/>
              </w:rPr>
            </w:pPr>
            <w:r>
              <w:rPr>
                <w:rFonts w:eastAsia="Times New Roman"/>
                <w:b/>
                <w:bCs/>
                <w:color w:val="000000"/>
                <w:sz w:val="16"/>
                <w:szCs w:val="16"/>
              </w:rPr>
              <w:t>Before</w:t>
            </w:r>
            <w:r>
              <w:rPr>
                <w:rFonts w:eastAsia="Times New Roman"/>
                <w:b/>
                <w:bCs/>
                <w:color w:val="000000"/>
                <w:sz w:val="16"/>
                <w:szCs w:val="16"/>
              </w:rPr>
              <w:br/>
              <w:t>Tax</w:t>
            </w:r>
          </w:p>
        </w:tc>
        <w:tc>
          <w:tcPr>
            <w:tcW w:w="0" w:type="auto"/>
            <w:gridSpan w:val="3"/>
            <w:tcBorders>
              <w:top w:val="single" w:sz="8" w:space="0" w:color="000000"/>
            </w:tcBorders>
            <w:tcMar>
              <w:top w:w="0" w:type="dxa"/>
              <w:left w:w="20" w:type="dxa"/>
              <w:bottom w:w="0" w:type="dxa"/>
              <w:right w:w="20" w:type="dxa"/>
            </w:tcMar>
            <w:vAlign w:val="center"/>
            <w:hideMark/>
          </w:tcPr>
          <w:p w14:paraId="76C516E2"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20BE1ED" w14:textId="77777777" w:rsidR="00000000" w:rsidRDefault="00405D16">
            <w:pPr>
              <w:spacing w:after="100"/>
              <w:jc w:val="center"/>
              <w:rPr>
                <w:rFonts w:eastAsia="Times New Roman"/>
              </w:rPr>
            </w:pPr>
            <w:r>
              <w:rPr>
                <w:rFonts w:eastAsia="Times New Roman"/>
                <w:b/>
                <w:bCs/>
                <w:color w:val="000000"/>
                <w:sz w:val="16"/>
                <w:szCs w:val="16"/>
              </w:rPr>
              <w:t>Provision</w:t>
            </w:r>
            <w:r>
              <w:rPr>
                <w:rFonts w:eastAsia="Times New Roman"/>
                <w:b/>
                <w:bCs/>
                <w:color w:val="000000"/>
                <w:sz w:val="16"/>
                <w:szCs w:val="16"/>
              </w:rPr>
              <w:br/>
              <w:t>(Benefit)</w:t>
            </w:r>
          </w:p>
        </w:tc>
        <w:tc>
          <w:tcPr>
            <w:tcW w:w="0" w:type="auto"/>
            <w:gridSpan w:val="3"/>
            <w:tcBorders>
              <w:top w:val="single" w:sz="8" w:space="0" w:color="000000"/>
            </w:tcBorders>
            <w:tcMar>
              <w:top w:w="0" w:type="dxa"/>
              <w:left w:w="20" w:type="dxa"/>
              <w:bottom w:w="0" w:type="dxa"/>
              <w:right w:w="20" w:type="dxa"/>
            </w:tcMar>
            <w:vAlign w:val="center"/>
            <w:hideMark/>
          </w:tcPr>
          <w:p w14:paraId="1CE70476"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5A2E1A8" w14:textId="77777777" w:rsidR="00000000" w:rsidRDefault="00405D16">
            <w:pPr>
              <w:spacing w:after="100"/>
              <w:jc w:val="center"/>
              <w:rPr>
                <w:rFonts w:eastAsia="Times New Roman"/>
              </w:rPr>
            </w:pPr>
            <w:r>
              <w:rPr>
                <w:rFonts w:eastAsia="Times New Roman"/>
                <w:b/>
                <w:bCs/>
                <w:color w:val="000000"/>
                <w:sz w:val="16"/>
                <w:szCs w:val="16"/>
              </w:rPr>
              <w:t>After</w:t>
            </w:r>
            <w:r>
              <w:rPr>
                <w:rFonts w:eastAsia="Times New Roman"/>
                <w:b/>
                <w:bCs/>
                <w:color w:val="000000"/>
                <w:sz w:val="16"/>
                <w:szCs w:val="16"/>
              </w:rPr>
              <w:br/>
              <w:t>Tax</w:t>
            </w:r>
          </w:p>
        </w:tc>
        <w:tc>
          <w:tcPr>
            <w:tcW w:w="0" w:type="auto"/>
            <w:gridSpan w:val="3"/>
            <w:vAlign w:val="center"/>
            <w:hideMark/>
          </w:tcPr>
          <w:p w14:paraId="34B7E31E" w14:textId="77777777" w:rsidR="00000000" w:rsidRDefault="00405D16">
            <w:pPr>
              <w:spacing w:after="100"/>
              <w:jc w:val="center"/>
              <w:rPr>
                <w:rFonts w:eastAsia="Times New Roman"/>
              </w:rPr>
            </w:pPr>
          </w:p>
        </w:tc>
        <w:tc>
          <w:tcPr>
            <w:tcW w:w="0" w:type="auto"/>
            <w:gridSpan w:val="3"/>
            <w:vAlign w:val="center"/>
            <w:hideMark/>
          </w:tcPr>
          <w:p w14:paraId="0D90BDC2" w14:textId="77777777" w:rsidR="00000000" w:rsidRDefault="00405D16">
            <w:pPr>
              <w:spacing w:after="100"/>
              <w:rPr>
                <w:rFonts w:eastAsia="Times New Roman"/>
                <w:sz w:val="20"/>
                <w:szCs w:val="20"/>
              </w:rPr>
            </w:pPr>
          </w:p>
        </w:tc>
        <w:tc>
          <w:tcPr>
            <w:tcW w:w="0" w:type="auto"/>
            <w:gridSpan w:val="3"/>
            <w:vAlign w:val="center"/>
            <w:hideMark/>
          </w:tcPr>
          <w:p w14:paraId="04CC7660" w14:textId="77777777" w:rsidR="00000000" w:rsidRDefault="00405D16">
            <w:pPr>
              <w:spacing w:after="100"/>
              <w:rPr>
                <w:rFonts w:eastAsia="Times New Roman"/>
                <w:sz w:val="20"/>
                <w:szCs w:val="20"/>
              </w:rPr>
            </w:pPr>
          </w:p>
        </w:tc>
        <w:tc>
          <w:tcPr>
            <w:tcW w:w="0" w:type="auto"/>
            <w:gridSpan w:val="3"/>
            <w:vAlign w:val="center"/>
            <w:hideMark/>
          </w:tcPr>
          <w:p w14:paraId="32E5EB83" w14:textId="77777777" w:rsidR="00000000" w:rsidRDefault="00405D16">
            <w:pPr>
              <w:spacing w:after="100"/>
              <w:rPr>
                <w:rFonts w:eastAsia="Times New Roman"/>
                <w:sz w:val="20"/>
                <w:szCs w:val="20"/>
              </w:rPr>
            </w:pPr>
          </w:p>
        </w:tc>
        <w:tc>
          <w:tcPr>
            <w:tcW w:w="0" w:type="auto"/>
            <w:gridSpan w:val="3"/>
            <w:vAlign w:val="center"/>
            <w:hideMark/>
          </w:tcPr>
          <w:p w14:paraId="3988C1A1" w14:textId="77777777" w:rsidR="00000000" w:rsidRDefault="00405D16">
            <w:pPr>
              <w:spacing w:after="100"/>
              <w:rPr>
                <w:rFonts w:eastAsia="Times New Roman"/>
                <w:sz w:val="20"/>
                <w:szCs w:val="20"/>
              </w:rPr>
            </w:pPr>
          </w:p>
        </w:tc>
        <w:tc>
          <w:tcPr>
            <w:tcW w:w="0" w:type="auto"/>
            <w:gridSpan w:val="3"/>
            <w:vAlign w:val="center"/>
            <w:hideMark/>
          </w:tcPr>
          <w:p w14:paraId="4E790A70" w14:textId="77777777" w:rsidR="00000000" w:rsidRDefault="00405D16">
            <w:pPr>
              <w:spacing w:after="100"/>
              <w:rPr>
                <w:rFonts w:eastAsia="Times New Roman"/>
                <w:sz w:val="20"/>
                <w:szCs w:val="20"/>
              </w:rPr>
            </w:pPr>
          </w:p>
        </w:tc>
      </w:tr>
      <w:tr w:rsidR="00000000" w14:paraId="5EA1DEA3" w14:textId="77777777">
        <w:trPr>
          <w:divId w:val="209651636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D7DBCA2" w14:textId="77777777" w:rsidR="00000000" w:rsidRDefault="00405D16">
            <w:pPr>
              <w:spacing w:after="100"/>
              <w:jc w:val="both"/>
              <w:rPr>
                <w:rFonts w:eastAsia="Times New Roman"/>
              </w:rPr>
            </w:pPr>
            <w:r>
              <w:rPr>
                <w:rFonts w:eastAsia="Times New Roman"/>
                <w:b/>
                <w:bCs/>
                <w:color w:val="000000"/>
                <w:sz w:val="18"/>
                <w:szCs w:val="18"/>
              </w:rPr>
              <w:t>Other comprehensive income (loss):</w:t>
            </w:r>
          </w:p>
        </w:tc>
        <w:tc>
          <w:tcPr>
            <w:tcW w:w="0" w:type="auto"/>
            <w:gridSpan w:val="3"/>
            <w:shd w:val="clear" w:color="auto" w:fill="CCEEFF"/>
            <w:tcMar>
              <w:top w:w="0" w:type="dxa"/>
              <w:left w:w="20" w:type="dxa"/>
              <w:bottom w:w="0" w:type="dxa"/>
              <w:right w:w="20" w:type="dxa"/>
            </w:tcMar>
            <w:vAlign w:val="center"/>
            <w:hideMark/>
          </w:tcPr>
          <w:p w14:paraId="6BBA6D5D" w14:textId="77777777" w:rsidR="00000000" w:rsidRDefault="00405D16">
            <w:pPr>
              <w:spacing w:after="100"/>
              <w:jc w:val="both"/>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A0272C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FB49EF"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55054C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D03E90"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0FCFAF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34E212"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BD1AE8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21FAD1"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09FE21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B2699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89DE1C" w14:textId="77777777" w:rsidR="00000000" w:rsidRDefault="00405D16">
            <w:pPr>
              <w:spacing w:after="100"/>
              <w:rPr>
                <w:rFonts w:eastAsia="Times New Roman"/>
                <w:sz w:val="20"/>
                <w:szCs w:val="20"/>
              </w:rPr>
            </w:pPr>
          </w:p>
        </w:tc>
        <w:tc>
          <w:tcPr>
            <w:tcW w:w="0" w:type="auto"/>
            <w:gridSpan w:val="3"/>
            <w:vAlign w:val="center"/>
            <w:hideMark/>
          </w:tcPr>
          <w:p w14:paraId="5F1AB59B" w14:textId="77777777" w:rsidR="00000000" w:rsidRDefault="00405D16">
            <w:pPr>
              <w:spacing w:after="100"/>
              <w:rPr>
                <w:rFonts w:eastAsia="Times New Roman"/>
                <w:sz w:val="20"/>
                <w:szCs w:val="20"/>
              </w:rPr>
            </w:pPr>
          </w:p>
        </w:tc>
        <w:tc>
          <w:tcPr>
            <w:tcW w:w="0" w:type="auto"/>
            <w:gridSpan w:val="3"/>
            <w:vAlign w:val="center"/>
            <w:hideMark/>
          </w:tcPr>
          <w:p w14:paraId="1EB5F405" w14:textId="77777777" w:rsidR="00000000" w:rsidRDefault="00405D16">
            <w:pPr>
              <w:spacing w:after="100"/>
              <w:rPr>
                <w:rFonts w:eastAsia="Times New Roman"/>
                <w:sz w:val="20"/>
                <w:szCs w:val="20"/>
              </w:rPr>
            </w:pPr>
          </w:p>
        </w:tc>
        <w:tc>
          <w:tcPr>
            <w:tcW w:w="0" w:type="auto"/>
            <w:gridSpan w:val="3"/>
            <w:vAlign w:val="center"/>
            <w:hideMark/>
          </w:tcPr>
          <w:p w14:paraId="455F2F32" w14:textId="77777777" w:rsidR="00000000" w:rsidRDefault="00405D16">
            <w:pPr>
              <w:spacing w:after="100"/>
              <w:rPr>
                <w:rFonts w:eastAsia="Times New Roman"/>
                <w:sz w:val="20"/>
                <w:szCs w:val="20"/>
              </w:rPr>
            </w:pPr>
          </w:p>
        </w:tc>
        <w:tc>
          <w:tcPr>
            <w:tcW w:w="0" w:type="auto"/>
            <w:gridSpan w:val="3"/>
            <w:vAlign w:val="center"/>
            <w:hideMark/>
          </w:tcPr>
          <w:p w14:paraId="6FA260A9" w14:textId="77777777" w:rsidR="00000000" w:rsidRDefault="00405D16">
            <w:pPr>
              <w:spacing w:after="100"/>
              <w:rPr>
                <w:rFonts w:eastAsia="Times New Roman"/>
                <w:sz w:val="20"/>
                <w:szCs w:val="20"/>
              </w:rPr>
            </w:pPr>
          </w:p>
        </w:tc>
        <w:tc>
          <w:tcPr>
            <w:tcW w:w="0" w:type="auto"/>
            <w:gridSpan w:val="3"/>
            <w:vAlign w:val="center"/>
            <w:hideMark/>
          </w:tcPr>
          <w:p w14:paraId="436328E2" w14:textId="77777777" w:rsidR="00000000" w:rsidRDefault="00405D16">
            <w:pPr>
              <w:spacing w:after="100"/>
              <w:rPr>
                <w:rFonts w:eastAsia="Times New Roman"/>
                <w:sz w:val="20"/>
                <w:szCs w:val="20"/>
              </w:rPr>
            </w:pPr>
          </w:p>
        </w:tc>
        <w:tc>
          <w:tcPr>
            <w:tcW w:w="0" w:type="auto"/>
            <w:gridSpan w:val="3"/>
            <w:vAlign w:val="center"/>
            <w:hideMark/>
          </w:tcPr>
          <w:p w14:paraId="4E2438BF" w14:textId="77777777" w:rsidR="00000000" w:rsidRDefault="00405D16">
            <w:pPr>
              <w:spacing w:after="100"/>
              <w:rPr>
                <w:rFonts w:eastAsia="Times New Roman"/>
                <w:sz w:val="20"/>
                <w:szCs w:val="20"/>
              </w:rPr>
            </w:pPr>
          </w:p>
        </w:tc>
      </w:tr>
      <w:tr w:rsidR="00000000" w14:paraId="4645A814" w14:textId="77777777">
        <w:trPr>
          <w:divId w:val="2096516365"/>
        </w:trPr>
        <w:tc>
          <w:tcPr>
            <w:tcW w:w="0" w:type="auto"/>
            <w:gridSpan w:val="3"/>
            <w:shd w:val="clear" w:color="auto" w:fill="FFFFFF"/>
            <w:tcMar>
              <w:top w:w="30" w:type="dxa"/>
              <w:left w:w="20" w:type="dxa"/>
              <w:bottom w:w="30" w:type="dxa"/>
              <w:right w:w="20" w:type="dxa"/>
            </w:tcMar>
            <w:vAlign w:val="center"/>
            <w:hideMark/>
          </w:tcPr>
          <w:p w14:paraId="02E6F899" w14:textId="77777777" w:rsidR="00000000" w:rsidRDefault="00405D16">
            <w:pPr>
              <w:spacing w:after="100"/>
              <w:rPr>
                <w:rFonts w:eastAsia="Times New Roman"/>
              </w:rPr>
            </w:pPr>
            <w:r>
              <w:rPr>
                <w:rFonts w:eastAsia="Times New Roman"/>
                <w:color w:val="000000"/>
                <w:sz w:val="18"/>
                <w:szCs w:val="18"/>
              </w:rPr>
              <w:t>Net unrealized gains (losses) on securities available for sale</w:t>
            </w:r>
          </w:p>
        </w:tc>
        <w:tc>
          <w:tcPr>
            <w:tcW w:w="0" w:type="auto"/>
            <w:gridSpan w:val="3"/>
            <w:shd w:val="clear" w:color="auto" w:fill="FFFFFF"/>
            <w:tcMar>
              <w:top w:w="0" w:type="dxa"/>
              <w:left w:w="20" w:type="dxa"/>
              <w:bottom w:w="0" w:type="dxa"/>
              <w:right w:w="20" w:type="dxa"/>
            </w:tcMar>
            <w:vAlign w:val="center"/>
            <w:hideMark/>
          </w:tcPr>
          <w:p w14:paraId="71DBAFD7"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13F5B609"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5455231A" w14:textId="77777777" w:rsidR="00000000" w:rsidRDefault="00405D16">
            <w:pPr>
              <w:spacing w:after="100"/>
              <w:jc w:val="right"/>
              <w:rPr>
                <w:rFonts w:eastAsia="Times New Roman"/>
              </w:rPr>
            </w:pPr>
            <w:r>
              <w:rPr>
                <w:rFonts w:eastAsia="Times New Roman"/>
                <w:b/>
                <w:bCs/>
                <w:color w:val="000000"/>
                <w:sz w:val="18"/>
                <w:szCs w:val="18"/>
              </w:rPr>
              <w:t>(270)</w:t>
            </w:r>
          </w:p>
        </w:tc>
        <w:tc>
          <w:tcPr>
            <w:tcW w:w="0" w:type="auto"/>
            <w:shd w:val="clear" w:color="auto" w:fill="FFFFFF"/>
            <w:tcMar>
              <w:top w:w="30" w:type="dxa"/>
              <w:left w:w="0" w:type="dxa"/>
              <w:bottom w:w="30" w:type="dxa"/>
              <w:right w:w="20" w:type="dxa"/>
            </w:tcMar>
            <w:vAlign w:val="center"/>
            <w:hideMark/>
          </w:tcPr>
          <w:p w14:paraId="6130804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B4EEFE"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44154A6"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39593DFF" w14:textId="77777777" w:rsidR="00000000" w:rsidRDefault="00405D16">
            <w:pPr>
              <w:spacing w:after="100"/>
              <w:jc w:val="right"/>
              <w:rPr>
                <w:rFonts w:eastAsia="Times New Roman"/>
              </w:rPr>
            </w:pPr>
            <w:r>
              <w:rPr>
                <w:rFonts w:eastAsia="Times New Roman"/>
                <w:b/>
                <w:bCs/>
                <w:color w:val="000000"/>
                <w:sz w:val="18"/>
                <w:szCs w:val="18"/>
              </w:rPr>
              <w:t>(62)</w:t>
            </w:r>
          </w:p>
        </w:tc>
        <w:tc>
          <w:tcPr>
            <w:tcW w:w="0" w:type="auto"/>
            <w:shd w:val="clear" w:color="auto" w:fill="FFFFFF"/>
            <w:tcMar>
              <w:top w:w="30" w:type="dxa"/>
              <w:left w:w="0" w:type="dxa"/>
              <w:bottom w:w="30" w:type="dxa"/>
              <w:right w:w="20" w:type="dxa"/>
            </w:tcMar>
            <w:vAlign w:val="center"/>
            <w:hideMark/>
          </w:tcPr>
          <w:p w14:paraId="2FAC236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D5D524"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B5EB9EB"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1C0F3F52" w14:textId="77777777" w:rsidR="00000000" w:rsidRDefault="00405D16">
            <w:pPr>
              <w:spacing w:after="100"/>
              <w:jc w:val="right"/>
              <w:rPr>
                <w:rFonts w:eastAsia="Times New Roman"/>
              </w:rPr>
            </w:pPr>
            <w:r>
              <w:rPr>
                <w:rFonts w:eastAsia="Times New Roman"/>
                <w:b/>
                <w:bCs/>
                <w:color w:val="000000"/>
                <w:sz w:val="18"/>
                <w:szCs w:val="18"/>
              </w:rPr>
              <w:t>(208)</w:t>
            </w:r>
          </w:p>
        </w:tc>
        <w:tc>
          <w:tcPr>
            <w:tcW w:w="0" w:type="auto"/>
            <w:shd w:val="clear" w:color="auto" w:fill="FFFFFF"/>
            <w:tcMar>
              <w:top w:w="30" w:type="dxa"/>
              <w:left w:w="0" w:type="dxa"/>
              <w:bottom w:w="30" w:type="dxa"/>
              <w:right w:w="20" w:type="dxa"/>
            </w:tcMar>
            <w:vAlign w:val="center"/>
            <w:hideMark/>
          </w:tcPr>
          <w:p w14:paraId="0FFCE33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A47D54"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868F801"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3DFEF4D6" w14:textId="77777777" w:rsidR="00000000" w:rsidRDefault="00405D16">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14:paraId="7903919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F5B550"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53974FD"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2849C6DC"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315E9B3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74ACA0"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80F3956"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3B176F76" w14:textId="77777777" w:rsidR="00000000" w:rsidRDefault="00405D16">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14:paraId="0D1BC5D5" w14:textId="77777777" w:rsidR="00000000" w:rsidRDefault="00405D16">
            <w:pPr>
              <w:spacing w:after="100"/>
              <w:jc w:val="right"/>
              <w:rPr>
                <w:rFonts w:eastAsia="Times New Roman"/>
              </w:rPr>
            </w:pPr>
          </w:p>
        </w:tc>
        <w:tc>
          <w:tcPr>
            <w:tcW w:w="0" w:type="auto"/>
            <w:gridSpan w:val="3"/>
            <w:vAlign w:val="center"/>
            <w:hideMark/>
          </w:tcPr>
          <w:p w14:paraId="7D81262F" w14:textId="77777777" w:rsidR="00000000" w:rsidRDefault="00405D16">
            <w:pPr>
              <w:spacing w:after="100"/>
              <w:jc w:val="right"/>
              <w:rPr>
                <w:rFonts w:eastAsia="Times New Roman"/>
                <w:sz w:val="20"/>
                <w:szCs w:val="20"/>
              </w:rPr>
            </w:pPr>
          </w:p>
        </w:tc>
        <w:tc>
          <w:tcPr>
            <w:tcW w:w="0" w:type="auto"/>
            <w:gridSpan w:val="3"/>
            <w:vAlign w:val="center"/>
            <w:hideMark/>
          </w:tcPr>
          <w:p w14:paraId="5EA2E6E9" w14:textId="77777777" w:rsidR="00000000" w:rsidRDefault="00405D16">
            <w:pPr>
              <w:spacing w:after="100"/>
              <w:rPr>
                <w:rFonts w:eastAsia="Times New Roman"/>
                <w:sz w:val="20"/>
                <w:szCs w:val="20"/>
              </w:rPr>
            </w:pPr>
          </w:p>
        </w:tc>
        <w:tc>
          <w:tcPr>
            <w:tcW w:w="0" w:type="auto"/>
            <w:gridSpan w:val="3"/>
            <w:vAlign w:val="center"/>
            <w:hideMark/>
          </w:tcPr>
          <w:p w14:paraId="2A817301" w14:textId="77777777" w:rsidR="00000000" w:rsidRDefault="00405D16">
            <w:pPr>
              <w:spacing w:after="100"/>
              <w:rPr>
                <w:rFonts w:eastAsia="Times New Roman"/>
                <w:sz w:val="20"/>
                <w:szCs w:val="20"/>
              </w:rPr>
            </w:pPr>
          </w:p>
        </w:tc>
        <w:tc>
          <w:tcPr>
            <w:tcW w:w="0" w:type="auto"/>
            <w:gridSpan w:val="3"/>
            <w:vAlign w:val="center"/>
            <w:hideMark/>
          </w:tcPr>
          <w:p w14:paraId="4325B897" w14:textId="77777777" w:rsidR="00000000" w:rsidRDefault="00405D16">
            <w:pPr>
              <w:spacing w:after="100"/>
              <w:rPr>
                <w:rFonts w:eastAsia="Times New Roman"/>
                <w:sz w:val="20"/>
                <w:szCs w:val="20"/>
              </w:rPr>
            </w:pPr>
          </w:p>
        </w:tc>
        <w:tc>
          <w:tcPr>
            <w:tcW w:w="0" w:type="auto"/>
            <w:gridSpan w:val="3"/>
            <w:vAlign w:val="center"/>
            <w:hideMark/>
          </w:tcPr>
          <w:p w14:paraId="192760C9" w14:textId="77777777" w:rsidR="00000000" w:rsidRDefault="00405D16">
            <w:pPr>
              <w:spacing w:after="100"/>
              <w:rPr>
                <w:rFonts w:eastAsia="Times New Roman"/>
                <w:sz w:val="20"/>
                <w:szCs w:val="20"/>
              </w:rPr>
            </w:pPr>
          </w:p>
        </w:tc>
        <w:tc>
          <w:tcPr>
            <w:tcW w:w="0" w:type="auto"/>
            <w:gridSpan w:val="3"/>
            <w:vAlign w:val="center"/>
            <w:hideMark/>
          </w:tcPr>
          <w:p w14:paraId="16B8B007" w14:textId="77777777" w:rsidR="00000000" w:rsidRDefault="00405D16">
            <w:pPr>
              <w:spacing w:after="100"/>
              <w:rPr>
                <w:rFonts w:eastAsia="Times New Roman"/>
                <w:sz w:val="20"/>
                <w:szCs w:val="20"/>
              </w:rPr>
            </w:pPr>
          </w:p>
        </w:tc>
      </w:tr>
      <w:tr w:rsidR="00000000" w14:paraId="6ABCA44C" w14:textId="77777777">
        <w:trPr>
          <w:divId w:val="2096516365"/>
        </w:trPr>
        <w:tc>
          <w:tcPr>
            <w:tcW w:w="0" w:type="auto"/>
            <w:gridSpan w:val="3"/>
            <w:shd w:val="clear" w:color="auto" w:fill="CCEEFF"/>
            <w:tcMar>
              <w:top w:w="30" w:type="dxa"/>
              <w:left w:w="20" w:type="dxa"/>
              <w:bottom w:w="30" w:type="dxa"/>
              <w:right w:w="20" w:type="dxa"/>
            </w:tcMar>
            <w:vAlign w:val="center"/>
            <w:hideMark/>
          </w:tcPr>
          <w:p w14:paraId="794DCF32" w14:textId="77777777" w:rsidR="00000000" w:rsidRDefault="00405D16">
            <w:pPr>
              <w:spacing w:after="100"/>
              <w:rPr>
                <w:rFonts w:eastAsia="Times New Roman"/>
              </w:rPr>
            </w:pPr>
            <w:r>
              <w:rPr>
                <w:rFonts w:eastAsia="Times New Roman"/>
                <w:color w:val="000000"/>
                <w:sz w:val="18"/>
                <w:szCs w:val="18"/>
              </w:rPr>
              <w:t>Net unrealized gains (losses) on hedging relationships</w:t>
            </w:r>
          </w:p>
        </w:tc>
        <w:tc>
          <w:tcPr>
            <w:tcW w:w="0" w:type="auto"/>
            <w:gridSpan w:val="3"/>
            <w:shd w:val="clear" w:color="auto" w:fill="CCEEFF"/>
            <w:tcMar>
              <w:top w:w="0" w:type="dxa"/>
              <w:left w:w="20" w:type="dxa"/>
              <w:bottom w:w="0" w:type="dxa"/>
              <w:right w:w="20" w:type="dxa"/>
            </w:tcMar>
            <w:vAlign w:val="center"/>
            <w:hideMark/>
          </w:tcPr>
          <w:p w14:paraId="39129964"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9935E48" w14:textId="77777777" w:rsidR="00000000" w:rsidRDefault="00405D16">
            <w:pPr>
              <w:spacing w:after="100"/>
              <w:jc w:val="right"/>
              <w:rPr>
                <w:rFonts w:eastAsia="Times New Roman"/>
              </w:rPr>
            </w:pPr>
            <w:r>
              <w:rPr>
                <w:rFonts w:eastAsia="Times New Roman"/>
                <w:b/>
                <w:bCs/>
                <w:color w:val="000000"/>
                <w:sz w:val="18"/>
                <w:szCs w:val="18"/>
              </w:rPr>
              <w:t>(255)</w:t>
            </w:r>
          </w:p>
        </w:tc>
        <w:tc>
          <w:tcPr>
            <w:tcW w:w="0" w:type="auto"/>
            <w:shd w:val="clear" w:color="auto" w:fill="CCEEFF"/>
            <w:tcMar>
              <w:top w:w="30" w:type="dxa"/>
              <w:left w:w="0" w:type="dxa"/>
              <w:bottom w:w="30" w:type="dxa"/>
              <w:right w:w="20" w:type="dxa"/>
            </w:tcMar>
            <w:vAlign w:val="center"/>
            <w:hideMark/>
          </w:tcPr>
          <w:p w14:paraId="4594B88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784B7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2F30891" w14:textId="77777777" w:rsidR="00000000" w:rsidRDefault="00405D16">
            <w:pPr>
              <w:spacing w:after="100"/>
              <w:jc w:val="right"/>
              <w:rPr>
                <w:rFonts w:eastAsia="Times New Roman"/>
              </w:rPr>
            </w:pPr>
            <w:r>
              <w:rPr>
                <w:rFonts w:eastAsia="Times New Roman"/>
                <w:b/>
                <w:bCs/>
                <w:color w:val="000000"/>
                <w:sz w:val="18"/>
                <w:szCs w:val="18"/>
              </w:rPr>
              <w:t>(60)</w:t>
            </w:r>
          </w:p>
        </w:tc>
        <w:tc>
          <w:tcPr>
            <w:tcW w:w="0" w:type="auto"/>
            <w:shd w:val="clear" w:color="auto" w:fill="CCEEFF"/>
            <w:tcMar>
              <w:top w:w="30" w:type="dxa"/>
              <w:left w:w="0" w:type="dxa"/>
              <w:bottom w:w="30" w:type="dxa"/>
              <w:right w:w="20" w:type="dxa"/>
            </w:tcMar>
            <w:vAlign w:val="center"/>
            <w:hideMark/>
          </w:tcPr>
          <w:p w14:paraId="609C665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0ECBE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1B154E1" w14:textId="77777777" w:rsidR="00000000" w:rsidRDefault="00405D16">
            <w:pPr>
              <w:spacing w:after="100"/>
              <w:jc w:val="right"/>
              <w:rPr>
                <w:rFonts w:eastAsia="Times New Roman"/>
              </w:rPr>
            </w:pPr>
            <w:r>
              <w:rPr>
                <w:rFonts w:eastAsia="Times New Roman"/>
                <w:b/>
                <w:bCs/>
                <w:color w:val="000000"/>
                <w:sz w:val="18"/>
                <w:szCs w:val="18"/>
              </w:rPr>
              <w:t>(195)</w:t>
            </w:r>
          </w:p>
        </w:tc>
        <w:tc>
          <w:tcPr>
            <w:tcW w:w="0" w:type="auto"/>
            <w:shd w:val="clear" w:color="auto" w:fill="CCEEFF"/>
            <w:tcMar>
              <w:top w:w="30" w:type="dxa"/>
              <w:left w:w="0" w:type="dxa"/>
              <w:bottom w:w="30" w:type="dxa"/>
              <w:right w:w="20" w:type="dxa"/>
            </w:tcMar>
            <w:vAlign w:val="center"/>
            <w:hideMark/>
          </w:tcPr>
          <w:p w14:paraId="7B120E3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B8ED1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76D38CB" w14:textId="77777777" w:rsidR="00000000" w:rsidRDefault="00405D16">
            <w:pPr>
              <w:spacing w:after="100"/>
              <w:jc w:val="right"/>
              <w:rPr>
                <w:rFonts w:eastAsia="Times New Roman"/>
              </w:rPr>
            </w:pPr>
            <w:r>
              <w:rPr>
                <w:rFonts w:eastAsia="Times New Roman"/>
                <w:color w:val="000000"/>
                <w:sz w:val="18"/>
                <w:szCs w:val="18"/>
              </w:rPr>
              <w:t>(231)</w:t>
            </w:r>
          </w:p>
        </w:tc>
        <w:tc>
          <w:tcPr>
            <w:tcW w:w="0" w:type="auto"/>
            <w:shd w:val="clear" w:color="auto" w:fill="CCEEFF"/>
            <w:tcMar>
              <w:top w:w="30" w:type="dxa"/>
              <w:left w:w="0" w:type="dxa"/>
              <w:bottom w:w="30" w:type="dxa"/>
              <w:right w:w="20" w:type="dxa"/>
            </w:tcMar>
            <w:vAlign w:val="center"/>
            <w:hideMark/>
          </w:tcPr>
          <w:p w14:paraId="542893B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B6E63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AAB6C15" w14:textId="77777777" w:rsidR="00000000" w:rsidRDefault="00405D16">
            <w:pPr>
              <w:spacing w:after="100"/>
              <w:jc w:val="right"/>
              <w:rPr>
                <w:rFonts w:eastAsia="Times New Roman"/>
              </w:rPr>
            </w:pPr>
            <w:r>
              <w:rPr>
                <w:rFonts w:eastAsia="Times New Roman"/>
                <w:color w:val="000000"/>
                <w:sz w:val="18"/>
                <w:szCs w:val="18"/>
              </w:rPr>
              <w:t>(56)</w:t>
            </w:r>
          </w:p>
        </w:tc>
        <w:tc>
          <w:tcPr>
            <w:tcW w:w="0" w:type="auto"/>
            <w:shd w:val="clear" w:color="auto" w:fill="CCEEFF"/>
            <w:tcMar>
              <w:top w:w="30" w:type="dxa"/>
              <w:left w:w="0" w:type="dxa"/>
              <w:bottom w:w="30" w:type="dxa"/>
              <w:right w:w="20" w:type="dxa"/>
            </w:tcMar>
            <w:vAlign w:val="center"/>
            <w:hideMark/>
          </w:tcPr>
          <w:p w14:paraId="6D5E24C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B5437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7E9814B" w14:textId="77777777" w:rsidR="00000000" w:rsidRDefault="00405D16">
            <w:pPr>
              <w:spacing w:after="100"/>
              <w:jc w:val="right"/>
              <w:rPr>
                <w:rFonts w:eastAsia="Times New Roman"/>
              </w:rPr>
            </w:pPr>
            <w:r>
              <w:rPr>
                <w:rFonts w:eastAsia="Times New Roman"/>
                <w:color w:val="000000"/>
                <w:sz w:val="18"/>
                <w:szCs w:val="18"/>
              </w:rPr>
              <w:t>(175)</w:t>
            </w:r>
          </w:p>
        </w:tc>
        <w:tc>
          <w:tcPr>
            <w:tcW w:w="0" w:type="auto"/>
            <w:shd w:val="clear" w:color="auto" w:fill="CCEEFF"/>
            <w:tcMar>
              <w:top w:w="30" w:type="dxa"/>
              <w:left w:w="0" w:type="dxa"/>
              <w:bottom w:w="30" w:type="dxa"/>
              <w:right w:w="20" w:type="dxa"/>
            </w:tcMar>
            <w:vAlign w:val="center"/>
            <w:hideMark/>
          </w:tcPr>
          <w:p w14:paraId="54121760" w14:textId="77777777" w:rsidR="00000000" w:rsidRDefault="00405D16">
            <w:pPr>
              <w:spacing w:after="100"/>
              <w:jc w:val="right"/>
              <w:rPr>
                <w:rFonts w:eastAsia="Times New Roman"/>
              </w:rPr>
            </w:pPr>
          </w:p>
        </w:tc>
        <w:tc>
          <w:tcPr>
            <w:tcW w:w="0" w:type="auto"/>
            <w:gridSpan w:val="3"/>
            <w:vAlign w:val="center"/>
            <w:hideMark/>
          </w:tcPr>
          <w:p w14:paraId="5517A4E7" w14:textId="77777777" w:rsidR="00000000" w:rsidRDefault="00405D16">
            <w:pPr>
              <w:spacing w:after="100"/>
              <w:jc w:val="right"/>
              <w:rPr>
                <w:rFonts w:eastAsia="Times New Roman"/>
                <w:sz w:val="20"/>
                <w:szCs w:val="20"/>
              </w:rPr>
            </w:pPr>
          </w:p>
        </w:tc>
        <w:tc>
          <w:tcPr>
            <w:tcW w:w="0" w:type="auto"/>
            <w:gridSpan w:val="3"/>
            <w:vAlign w:val="center"/>
            <w:hideMark/>
          </w:tcPr>
          <w:p w14:paraId="071E0265" w14:textId="77777777" w:rsidR="00000000" w:rsidRDefault="00405D16">
            <w:pPr>
              <w:spacing w:after="100"/>
              <w:rPr>
                <w:rFonts w:eastAsia="Times New Roman"/>
                <w:sz w:val="20"/>
                <w:szCs w:val="20"/>
              </w:rPr>
            </w:pPr>
          </w:p>
        </w:tc>
        <w:tc>
          <w:tcPr>
            <w:tcW w:w="0" w:type="auto"/>
            <w:gridSpan w:val="3"/>
            <w:vAlign w:val="center"/>
            <w:hideMark/>
          </w:tcPr>
          <w:p w14:paraId="254E9351" w14:textId="77777777" w:rsidR="00000000" w:rsidRDefault="00405D16">
            <w:pPr>
              <w:spacing w:after="100"/>
              <w:rPr>
                <w:rFonts w:eastAsia="Times New Roman"/>
                <w:sz w:val="20"/>
                <w:szCs w:val="20"/>
              </w:rPr>
            </w:pPr>
          </w:p>
        </w:tc>
        <w:tc>
          <w:tcPr>
            <w:tcW w:w="0" w:type="auto"/>
            <w:gridSpan w:val="3"/>
            <w:vAlign w:val="center"/>
            <w:hideMark/>
          </w:tcPr>
          <w:p w14:paraId="52764DDC" w14:textId="77777777" w:rsidR="00000000" w:rsidRDefault="00405D16">
            <w:pPr>
              <w:spacing w:after="100"/>
              <w:rPr>
                <w:rFonts w:eastAsia="Times New Roman"/>
                <w:sz w:val="20"/>
                <w:szCs w:val="20"/>
              </w:rPr>
            </w:pPr>
          </w:p>
        </w:tc>
        <w:tc>
          <w:tcPr>
            <w:tcW w:w="0" w:type="auto"/>
            <w:gridSpan w:val="3"/>
            <w:vAlign w:val="center"/>
            <w:hideMark/>
          </w:tcPr>
          <w:p w14:paraId="1F95DD0C" w14:textId="77777777" w:rsidR="00000000" w:rsidRDefault="00405D16">
            <w:pPr>
              <w:spacing w:after="100"/>
              <w:rPr>
                <w:rFonts w:eastAsia="Times New Roman"/>
                <w:sz w:val="20"/>
                <w:szCs w:val="20"/>
              </w:rPr>
            </w:pPr>
          </w:p>
        </w:tc>
        <w:tc>
          <w:tcPr>
            <w:tcW w:w="0" w:type="auto"/>
            <w:gridSpan w:val="3"/>
            <w:vAlign w:val="center"/>
            <w:hideMark/>
          </w:tcPr>
          <w:p w14:paraId="534DCCF5" w14:textId="77777777" w:rsidR="00000000" w:rsidRDefault="00405D16">
            <w:pPr>
              <w:spacing w:after="100"/>
              <w:rPr>
                <w:rFonts w:eastAsia="Times New Roman"/>
                <w:sz w:val="20"/>
                <w:szCs w:val="20"/>
              </w:rPr>
            </w:pPr>
          </w:p>
        </w:tc>
      </w:tr>
      <w:tr w:rsidR="00000000" w14:paraId="472F2609" w14:textId="77777777">
        <w:trPr>
          <w:divId w:val="2096516365"/>
        </w:trPr>
        <w:tc>
          <w:tcPr>
            <w:tcW w:w="0" w:type="auto"/>
            <w:gridSpan w:val="3"/>
            <w:shd w:val="clear" w:color="auto" w:fill="FFFFFF"/>
            <w:tcMar>
              <w:top w:w="30" w:type="dxa"/>
              <w:left w:w="20" w:type="dxa"/>
              <w:bottom w:w="30" w:type="dxa"/>
              <w:right w:w="20" w:type="dxa"/>
            </w:tcMar>
            <w:vAlign w:val="center"/>
            <w:hideMark/>
          </w:tcPr>
          <w:p w14:paraId="61F7FAE2" w14:textId="77777777" w:rsidR="00000000" w:rsidRDefault="00405D16">
            <w:pPr>
              <w:spacing w:after="100"/>
              <w:divId w:val="1042948642"/>
              <w:rPr>
                <w:rFonts w:eastAsia="Times New Roman"/>
              </w:rPr>
            </w:pPr>
            <w:r>
              <w:rPr>
                <w:rFonts w:eastAsia="Times New Roman"/>
                <w:color w:val="000000"/>
                <w:sz w:val="18"/>
                <w:szCs w:val="18"/>
              </w:rPr>
              <w:t>Foreign currency translation adjustment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016092F0"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0F1A4B3" w14:textId="77777777" w:rsidR="00000000" w:rsidRDefault="00405D16">
            <w:pPr>
              <w:spacing w:after="100"/>
              <w:jc w:val="right"/>
              <w:rPr>
                <w:rFonts w:eastAsia="Times New Roman"/>
              </w:rPr>
            </w:pPr>
            <w:r>
              <w:rPr>
                <w:rFonts w:eastAsia="Times New Roman"/>
                <w:b/>
                <w:bCs/>
                <w:color w:val="000000"/>
                <w:sz w:val="18"/>
                <w:szCs w:val="18"/>
              </w:rPr>
              <w:t>(6)</w:t>
            </w:r>
          </w:p>
        </w:tc>
        <w:tc>
          <w:tcPr>
            <w:tcW w:w="0" w:type="auto"/>
            <w:shd w:val="clear" w:color="auto" w:fill="FFFFFF"/>
            <w:tcMar>
              <w:top w:w="30" w:type="dxa"/>
              <w:left w:w="0" w:type="dxa"/>
              <w:bottom w:w="30" w:type="dxa"/>
              <w:right w:w="20" w:type="dxa"/>
            </w:tcMar>
            <w:vAlign w:val="center"/>
            <w:hideMark/>
          </w:tcPr>
          <w:p w14:paraId="01486AF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3CD94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36763B1" w14:textId="77777777" w:rsidR="00000000" w:rsidRDefault="00405D16">
            <w:pPr>
              <w:spacing w:after="100"/>
              <w:jc w:val="right"/>
              <w:rPr>
                <w:rFonts w:eastAsia="Times New Roman"/>
              </w:rPr>
            </w:pPr>
            <w:r>
              <w:rPr>
                <w:rFonts w:eastAsia="Times New Roman"/>
                <w:b/>
                <w:bCs/>
                <w:color w:val="000000"/>
                <w:sz w:val="18"/>
                <w:szCs w:val="18"/>
              </w:rPr>
              <w:t>21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0682A6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2FBEF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DBD9B69" w14:textId="77777777" w:rsidR="00000000" w:rsidRDefault="00405D16">
            <w:pPr>
              <w:spacing w:after="100"/>
              <w:jc w:val="right"/>
              <w:rPr>
                <w:rFonts w:eastAsia="Times New Roman"/>
              </w:rPr>
            </w:pPr>
            <w:r>
              <w:rPr>
                <w:rFonts w:eastAsia="Times New Roman"/>
                <w:b/>
                <w:bCs/>
                <w:color w:val="000000"/>
                <w:sz w:val="18"/>
                <w:szCs w:val="18"/>
              </w:rPr>
              <w:t>(27)</w:t>
            </w:r>
          </w:p>
        </w:tc>
        <w:tc>
          <w:tcPr>
            <w:tcW w:w="0" w:type="auto"/>
            <w:shd w:val="clear" w:color="auto" w:fill="FFFFFF"/>
            <w:tcMar>
              <w:top w:w="30" w:type="dxa"/>
              <w:left w:w="0" w:type="dxa"/>
              <w:bottom w:w="30" w:type="dxa"/>
              <w:right w:w="20" w:type="dxa"/>
            </w:tcMar>
            <w:vAlign w:val="center"/>
            <w:hideMark/>
          </w:tcPr>
          <w:p w14:paraId="1E00064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FCAFE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5F3EA0F" w14:textId="77777777" w:rsidR="00000000" w:rsidRDefault="00405D16">
            <w:pPr>
              <w:spacing w:after="100"/>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14:paraId="0967187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21937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A235C6D" w14:textId="77777777" w:rsidR="00000000" w:rsidRDefault="00405D16">
            <w:pPr>
              <w:spacing w:after="100"/>
              <w:jc w:val="right"/>
              <w:rPr>
                <w:rFonts w:eastAsia="Times New Roman"/>
              </w:rPr>
            </w:pPr>
            <w:r>
              <w:rPr>
                <w:rFonts w:eastAsia="Times New Roman"/>
                <w:color w:val="000000"/>
                <w:sz w:val="18"/>
                <w:szCs w:val="18"/>
              </w:rPr>
              <w:t>(24)</w:t>
            </w:r>
          </w:p>
        </w:tc>
        <w:tc>
          <w:tcPr>
            <w:tcW w:w="0" w:type="auto"/>
            <w:shd w:val="clear" w:color="auto" w:fill="FFFFFF"/>
            <w:tcMar>
              <w:top w:w="30" w:type="dxa"/>
              <w:left w:w="0" w:type="dxa"/>
              <w:bottom w:w="30" w:type="dxa"/>
              <w:right w:w="20" w:type="dxa"/>
            </w:tcMar>
            <w:vAlign w:val="center"/>
            <w:hideMark/>
          </w:tcPr>
          <w:p w14:paraId="499DA8C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60925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3DAE859" w14:textId="77777777" w:rsidR="00000000" w:rsidRDefault="00405D16">
            <w:pPr>
              <w:spacing w:after="100"/>
              <w:jc w:val="right"/>
              <w:rPr>
                <w:rFonts w:eastAsia="Times New Roman"/>
              </w:rPr>
            </w:pPr>
            <w:r>
              <w:rPr>
                <w:rFonts w:eastAsia="Times New Roman"/>
                <w:color w:val="000000"/>
                <w:sz w:val="18"/>
                <w:szCs w:val="18"/>
              </w:rPr>
              <w:t>28 </w:t>
            </w:r>
          </w:p>
        </w:tc>
        <w:tc>
          <w:tcPr>
            <w:tcW w:w="0" w:type="auto"/>
            <w:shd w:val="clear" w:color="auto" w:fill="FFFFFF"/>
            <w:tcMar>
              <w:top w:w="30" w:type="dxa"/>
              <w:left w:w="0" w:type="dxa"/>
              <w:bottom w:w="30" w:type="dxa"/>
              <w:right w:w="20" w:type="dxa"/>
            </w:tcMar>
            <w:vAlign w:val="center"/>
            <w:hideMark/>
          </w:tcPr>
          <w:p w14:paraId="101088E2" w14:textId="77777777" w:rsidR="00000000" w:rsidRDefault="00405D16">
            <w:pPr>
              <w:spacing w:after="100"/>
              <w:jc w:val="right"/>
              <w:rPr>
                <w:rFonts w:eastAsia="Times New Roman"/>
              </w:rPr>
            </w:pPr>
          </w:p>
        </w:tc>
        <w:tc>
          <w:tcPr>
            <w:tcW w:w="0" w:type="auto"/>
            <w:gridSpan w:val="3"/>
            <w:vAlign w:val="center"/>
            <w:hideMark/>
          </w:tcPr>
          <w:p w14:paraId="656004D1" w14:textId="77777777" w:rsidR="00000000" w:rsidRDefault="00405D16">
            <w:pPr>
              <w:spacing w:after="100"/>
              <w:jc w:val="right"/>
              <w:rPr>
                <w:rFonts w:eastAsia="Times New Roman"/>
                <w:sz w:val="20"/>
                <w:szCs w:val="20"/>
              </w:rPr>
            </w:pPr>
          </w:p>
        </w:tc>
        <w:tc>
          <w:tcPr>
            <w:tcW w:w="0" w:type="auto"/>
            <w:gridSpan w:val="3"/>
            <w:vAlign w:val="center"/>
            <w:hideMark/>
          </w:tcPr>
          <w:p w14:paraId="2FA5A10A" w14:textId="77777777" w:rsidR="00000000" w:rsidRDefault="00405D16">
            <w:pPr>
              <w:spacing w:after="100"/>
              <w:rPr>
                <w:rFonts w:eastAsia="Times New Roman"/>
                <w:sz w:val="20"/>
                <w:szCs w:val="20"/>
              </w:rPr>
            </w:pPr>
          </w:p>
        </w:tc>
        <w:tc>
          <w:tcPr>
            <w:tcW w:w="0" w:type="auto"/>
            <w:gridSpan w:val="3"/>
            <w:vAlign w:val="center"/>
            <w:hideMark/>
          </w:tcPr>
          <w:p w14:paraId="001FD1AE" w14:textId="77777777" w:rsidR="00000000" w:rsidRDefault="00405D16">
            <w:pPr>
              <w:spacing w:after="100"/>
              <w:rPr>
                <w:rFonts w:eastAsia="Times New Roman"/>
                <w:sz w:val="20"/>
                <w:szCs w:val="20"/>
              </w:rPr>
            </w:pPr>
          </w:p>
        </w:tc>
        <w:tc>
          <w:tcPr>
            <w:tcW w:w="0" w:type="auto"/>
            <w:gridSpan w:val="3"/>
            <w:vAlign w:val="center"/>
            <w:hideMark/>
          </w:tcPr>
          <w:p w14:paraId="5FBBB9E7" w14:textId="77777777" w:rsidR="00000000" w:rsidRDefault="00405D16">
            <w:pPr>
              <w:spacing w:after="100"/>
              <w:rPr>
                <w:rFonts w:eastAsia="Times New Roman"/>
                <w:sz w:val="20"/>
                <w:szCs w:val="20"/>
              </w:rPr>
            </w:pPr>
          </w:p>
        </w:tc>
        <w:tc>
          <w:tcPr>
            <w:tcW w:w="0" w:type="auto"/>
            <w:gridSpan w:val="3"/>
            <w:vAlign w:val="center"/>
            <w:hideMark/>
          </w:tcPr>
          <w:p w14:paraId="3FD7CDE1" w14:textId="77777777" w:rsidR="00000000" w:rsidRDefault="00405D16">
            <w:pPr>
              <w:spacing w:after="100"/>
              <w:rPr>
                <w:rFonts w:eastAsia="Times New Roman"/>
                <w:sz w:val="20"/>
                <w:szCs w:val="20"/>
              </w:rPr>
            </w:pPr>
          </w:p>
        </w:tc>
        <w:tc>
          <w:tcPr>
            <w:tcW w:w="0" w:type="auto"/>
            <w:gridSpan w:val="3"/>
            <w:vAlign w:val="center"/>
            <w:hideMark/>
          </w:tcPr>
          <w:p w14:paraId="5501F55F" w14:textId="77777777" w:rsidR="00000000" w:rsidRDefault="00405D16">
            <w:pPr>
              <w:spacing w:after="100"/>
              <w:rPr>
                <w:rFonts w:eastAsia="Times New Roman"/>
                <w:sz w:val="20"/>
                <w:szCs w:val="20"/>
              </w:rPr>
            </w:pPr>
          </w:p>
        </w:tc>
      </w:tr>
      <w:tr w:rsidR="00000000" w14:paraId="0D408729" w14:textId="77777777">
        <w:trPr>
          <w:divId w:val="2096516365"/>
        </w:trPr>
        <w:tc>
          <w:tcPr>
            <w:tcW w:w="0" w:type="auto"/>
            <w:gridSpan w:val="3"/>
            <w:shd w:val="clear" w:color="auto" w:fill="CCEEFF"/>
            <w:tcMar>
              <w:top w:w="30" w:type="dxa"/>
              <w:left w:w="20" w:type="dxa"/>
              <w:bottom w:w="30" w:type="dxa"/>
              <w:right w:w="20" w:type="dxa"/>
            </w:tcMar>
            <w:vAlign w:val="center"/>
            <w:hideMark/>
          </w:tcPr>
          <w:p w14:paraId="76D31004" w14:textId="77777777" w:rsidR="00000000" w:rsidRDefault="00405D16">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14:paraId="1A1A671C"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1F2682E" w14:textId="77777777" w:rsidR="00000000" w:rsidRDefault="00405D16">
            <w:pPr>
              <w:spacing w:after="100"/>
              <w:jc w:val="right"/>
              <w:rPr>
                <w:rFonts w:eastAsia="Times New Roman"/>
              </w:rPr>
            </w:pPr>
            <w:r>
              <w:rPr>
                <w:rFonts w:eastAsia="Times New Roman"/>
                <w:b/>
                <w:bCs/>
                <w:color w:val="000000"/>
                <w:sz w:val="18"/>
                <w:szCs w:val="18"/>
              </w:rPr>
              <w:t>(3)</w:t>
            </w:r>
          </w:p>
        </w:tc>
        <w:tc>
          <w:tcPr>
            <w:tcW w:w="0" w:type="auto"/>
            <w:shd w:val="clear" w:color="auto" w:fill="CCEEFF"/>
            <w:tcMar>
              <w:top w:w="30" w:type="dxa"/>
              <w:left w:w="0" w:type="dxa"/>
              <w:bottom w:w="30" w:type="dxa"/>
              <w:right w:w="20" w:type="dxa"/>
            </w:tcMar>
            <w:vAlign w:val="center"/>
            <w:hideMark/>
          </w:tcPr>
          <w:p w14:paraId="4B93595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D84EE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B56F583" w14:textId="77777777" w:rsidR="00000000" w:rsidRDefault="00405D16">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center"/>
            <w:hideMark/>
          </w:tcPr>
          <w:p w14:paraId="5215927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A073B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682F0F7" w14:textId="77777777" w:rsidR="00000000" w:rsidRDefault="00405D16">
            <w:pPr>
              <w:spacing w:after="100"/>
              <w:jc w:val="right"/>
              <w:rPr>
                <w:rFonts w:eastAsia="Times New Roman"/>
              </w:rPr>
            </w:pPr>
            <w:r>
              <w:rPr>
                <w:rFonts w:eastAsia="Times New Roman"/>
                <w:b/>
                <w:bCs/>
                <w:color w:val="000000"/>
                <w:sz w:val="18"/>
                <w:szCs w:val="18"/>
              </w:rPr>
              <w:t>(2)</w:t>
            </w:r>
          </w:p>
        </w:tc>
        <w:tc>
          <w:tcPr>
            <w:tcW w:w="0" w:type="auto"/>
            <w:shd w:val="clear" w:color="auto" w:fill="CCEEFF"/>
            <w:tcMar>
              <w:top w:w="30" w:type="dxa"/>
              <w:left w:w="0" w:type="dxa"/>
              <w:bottom w:w="30" w:type="dxa"/>
              <w:right w:w="20" w:type="dxa"/>
            </w:tcMar>
            <w:vAlign w:val="center"/>
            <w:hideMark/>
          </w:tcPr>
          <w:p w14:paraId="28631F4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B2CD3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F769CB4" w14:textId="77777777" w:rsidR="00000000" w:rsidRDefault="00405D16">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center"/>
            <w:hideMark/>
          </w:tcPr>
          <w:p w14:paraId="14667F6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318BD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6CED4FA"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77CD702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5499C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B9B5842" w14:textId="77777777" w:rsidR="00000000" w:rsidRDefault="00405D16">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center"/>
            <w:hideMark/>
          </w:tcPr>
          <w:p w14:paraId="619598F7" w14:textId="77777777" w:rsidR="00000000" w:rsidRDefault="00405D16">
            <w:pPr>
              <w:spacing w:after="100"/>
              <w:jc w:val="right"/>
              <w:rPr>
                <w:rFonts w:eastAsia="Times New Roman"/>
              </w:rPr>
            </w:pPr>
          </w:p>
        </w:tc>
        <w:tc>
          <w:tcPr>
            <w:tcW w:w="0" w:type="auto"/>
            <w:gridSpan w:val="3"/>
            <w:vAlign w:val="center"/>
            <w:hideMark/>
          </w:tcPr>
          <w:p w14:paraId="431A3663" w14:textId="77777777" w:rsidR="00000000" w:rsidRDefault="00405D16">
            <w:pPr>
              <w:spacing w:after="100"/>
              <w:jc w:val="right"/>
              <w:rPr>
                <w:rFonts w:eastAsia="Times New Roman"/>
                <w:sz w:val="20"/>
                <w:szCs w:val="20"/>
              </w:rPr>
            </w:pPr>
          </w:p>
        </w:tc>
        <w:tc>
          <w:tcPr>
            <w:tcW w:w="0" w:type="auto"/>
            <w:gridSpan w:val="3"/>
            <w:vAlign w:val="center"/>
            <w:hideMark/>
          </w:tcPr>
          <w:p w14:paraId="5FA55B11" w14:textId="77777777" w:rsidR="00000000" w:rsidRDefault="00405D16">
            <w:pPr>
              <w:spacing w:after="100"/>
              <w:rPr>
                <w:rFonts w:eastAsia="Times New Roman"/>
                <w:sz w:val="20"/>
                <w:szCs w:val="20"/>
              </w:rPr>
            </w:pPr>
          </w:p>
        </w:tc>
        <w:tc>
          <w:tcPr>
            <w:tcW w:w="0" w:type="auto"/>
            <w:gridSpan w:val="3"/>
            <w:vAlign w:val="center"/>
            <w:hideMark/>
          </w:tcPr>
          <w:p w14:paraId="65A3729D" w14:textId="77777777" w:rsidR="00000000" w:rsidRDefault="00405D16">
            <w:pPr>
              <w:spacing w:after="100"/>
              <w:rPr>
                <w:rFonts w:eastAsia="Times New Roman"/>
                <w:sz w:val="20"/>
                <w:szCs w:val="20"/>
              </w:rPr>
            </w:pPr>
          </w:p>
        </w:tc>
        <w:tc>
          <w:tcPr>
            <w:tcW w:w="0" w:type="auto"/>
            <w:gridSpan w:val="3"/>
            <w:vAlign w:val="center"/>
            <w:hideMark/>
          </w:tcPr>
          <w:p w14:paraId="4A70F043" w14:textId="77777777" w:rsidR="00000000" w:rsidRDefault="00405D16">
            <w:pPr>
              <w:spacing w:after="100"/>
              <w:rPr>
                <w:rFonts w:eastAsia="Times New Roman"/>
                <w:sz w:val="20"/>
                <w:szCs w:val="20"/>
              </w:rPr>
            </w:pPr>
          </w:p>
        </w:tc>
        <w:tc>
          <w:tcPr>
            <w:tcW w:w="0" w:type="auto"/>
            <w:gridSpan w:val="3"/>
            <w:vAlign w:val="center"/>
            <w:hideMark/>
          </w:tcPr>
          <w:p w14:paraId="69BE2483" w14:textId="77777777" w:rsidR="00000000" w:rsidRDefault="00405D16">
            <w:pPr>
              <w:spacing w:after="100"/>
              <w:rPr>
                <w:rFonts w:eastAsia="Times New Roman"/>
                <w:sz w:val="20"/>
                <w:szCs w:val="20"/>
              </w:rPr>
            </w:pPr>
          </w:p>
        </w:tc>
        <w:tc>
          <w:tcPr>
            <w:tcW w:w="0" w:type="auto"/>
            <w:gridSpan w:val="3"/>
            <w:vAlign w:val="center"/>
            <w:hideMark/>
          </w:tcPr>
          <w:p w14:paraId="3E8B9E31" w14:textId="77777777" w:rsidR="00000000" w:rsidRDefault="00405D16">
            <w:pPr>
              <w:spacing w:after="100"/>
              <w:rPr>
                <w:rFonts w:eastAsia="Times New Roman"/>
                <w:sz w:val="20"/>
                <w:szCs w:val="20"/>
              </w:rPr>
            </w:pPr>
          </w:p>
        </w:tc>
      </w:tr>
      <w:tr w:rsidR="00000000" w14:paraId="2B310B22" w14:textId="77777777">
        <w:trPr>
          <w:divId w:val="2096516365"/>
        </w:trPr>
        <w:tc>
          <w:tcPr>
            <w:tcW w:w="0" w:type="auto"/>
            <w:gridSpan w:val="3"/>
            <w:shd w:val="clear" w:color="auto" w:fill="FFFFFF"/>
            <w:tcMar>
              <w:top w:w="30" w:type="dxa"/>
              <w:left w:w="20" w:type="dxa"/>
              <w:bottom w:w="30" w:type="dxa"/>
              <w:right w:w="20" w:type="dxa"/>
            </w:tcMar>
            <w:vAlign w:val="center"/>
            <w:hideMark/>
          </w:tcPr>
          <w:p w14:paraId="7F8DDCB3" w14:textId="77777777" w:rsidR="00000000" w:rsidRDefault="00405D16">
            <w:pPr>
              <w:spacing w:after="100"/>
              <w:rPr>
                <w:rFonts w:eastAsia="Times New Roman"/>
              </w:rPr>
            </w:pPr>
            <w:r>
              <w:rPr>
                <w:rFonts w:eastAsia="Times New Roman"/>
                <w:color w:val="000000"/>
                <w:sz w:val="18"/>
                <w:szCs w:val="18"/>
              </w:rPr>
              <w:t>Other comprehensive income (loss)</w:t>
            </w:r>
          </w:p>
        </w:tc>
        <w:tc>
          <w:tcPr>
            <w:tcW w:w="0" w:type="auto"/>
            <w:gridSpan w:val="3"/>
            <w:shd w:val="clear" w:color="auto" w:fill="FFFFFF"/>
            <w:tcMar>
              <w:top w:w="0" w:type="dxa"/>
              <w:left w:w="20" w:type="dxa"/>
              <w:bottom w:w="0" w:type="dxa"/>
              <w:right w:w="20" w:type="dxa"/>
            </w:tcMar>
            <w:vAlign w:val="center"/>
            <w:hideMark/>
          </w:tcPr>
          <w:p w14:paraId="0058B0B3"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57F6545"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35CE248" w14:textId="77777777" w:rsidR="00000000" w:rsidRDefault="00405D16">
            <w:pPr>
              <w:spacing w:after="100"/>
              <w:jc w:val="right"/>
              <w:rPr>
                <w:rFonts w:eastAsia="Times New Roman"/>
              </w:rPr>
            </w:pPr>
            <w:r>
              <w:rPr>
                <w:rFonts w:eastAsia="Times New Roman"/>
                <w:b/>
                <w:bCs/>
                <w:color w:val="000000"/>
                <w:sz w:val="18"/>
                <w:szCs w:val="18"/>
              </w:rPr>
              <w:t>(534)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D61C0B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2A2CA8"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EFFE14E"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97330A0" w14:textId="77777777" w:rsidR="00000000" w:rsidRDefault="00405D16">
            <w:pPr>
              <w:spacing w:after="100"/>
              <w:jc w:val="right"/>
              <w:rPr>
                <w:rFonts w:eastAsia="Times New Roman"/>
              </w:rPr>
            </w:pPr>
            <w:r>
              <w:rPr>
                <w:rFonts w:eastAsia="Times New Roman"/>
                <w:b/>
                <w:bCs/>
                <w:color w:val="000000"/>
                <w:sz w:val="18"/>
                <w:szCs w:val="18"/>
              </w:rPr>
              <w:t>(102)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31D21F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AC271E"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A657A73"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2174B5E" w14:textId="77777777" w:rsidR="00000000" w:rsidRDefault="00405D16">
            <w:pPr>
              <w:spacing w:after="100"/>
              <w:jc w:val="right"/>
              <w:rPr>
                <w:rFonts w:eastAsia="Times New Roman"/>
              </w:rPr>
            </w:pPr>
            <w:r>
              <w:rPr>
                <w:rFonts w:eastAsia="Times New Roman"/>
                <w:b/>
                <w:bCs/>
                <w:color w:val="000000"/>
                <w:sz w:val="18"/>
                <w:szCs w:val="18"/>
              </w:rPr>
              <w:t>(432)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2B33AD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E49D27"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D6D953E"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0034E94" w14:textId="77777777" w:rsidR="00000000" w:rsidRDefault="00405D16">
            <w:pPr>
              <w:spacing w:after="100"/>
              <w:jc w:val="right"/>
              <w:rPr>
                <w:rFonts w:eastAsia="Times New Roman"/>
              </w:rPr>
            </w:pPr>
            <w:r>
              <w:rPr>
                <w:rFonts w:eastAsia="Times New Roman"/>
                <w:color w:val="000000"/>
                <w:sz w:val="18"/>
                <w:szCs w:val="18"/>
              </w:rPr>
              <w:t>(228)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9EA6E0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8B58A9"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9D510A0"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DEBC408" w14:textId="77777777" w:rsidR="00000000" w:rsidRDefault="00405D16">
            <w:pPr>
              <w:spacing w:after="100"/>
              <w:jc w:val="right"/>
              <w:rPr>
                <w:rFonts w:eastAsia="Times New Roman"/>
              </w:rPr>
            </w:pPr>
            <w:r>
              <w:rPr>
                <w:rFonts w:eastAsia="Times New Roman"/>
                <w:color w:val="000000"/>
                <w:sz w:val="18"/>
                <w:szCs w:val="18"/>
              </w:rPr>
              <w:t>(80)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8CC552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EA8DF5"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E54C7F9"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588585F" w14:textId="77777777" w:rsidR="00000000" w:rsidRDefault="00405D16">
            <w:pPr>
              <w:spacing w:after="100"/>
              <w:jc w:val="right"/>
              <w:rPr>
                <w:rFonts w:eastAsia="Times New Roman"/>
              </w:rPr>
            </w:pPr>
            <w:r>
              <w:rPr>
                <w:rFonts w:eastAsia="Times New Roman"/>
                <w:color w:val="000000"/>
                <w:sz w:val="18"/>
                <w:szCs w:val="18"/>
              </w:rPr>
              <w:t>(148)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AB32834" w14:textId="77777777" w:rsidR="00000000" w:rsidRDefault="00405D16">
            <w:pPr>
              <w:spacing w:after="100"/>
              <w:jc w:val="right"/>
              <w:rPr>
                <w:rFonts w:eastAsia="Times New Roman"/>
              </w:rPr>
            </w:pPr>
          </w:p>
        </w:tc>
        <w:tc>
          <w:tcPr>
            <w:tcW w:w="0" w:type="auto"/>
            <w:gridSpan w:val="3"/>
            <w:vAlign w:val="center"/>
            <w:hideMark/>
          </w:tcPr>
          <w:p w14:paraId="061A17C1" w14:textId="77777777" w:rsidR="00000000" w:rsidRDefault="00405D16">
            <w:pPr>
              <w:spacing w:after="100"/>
              <w:jc w:val="right"/>
              <w:rPr>
                <w:rFonts w:eastAsia="Times New Roman"/>
                <w:sz w:val="20"/>
                <w:szCs w:val="20"/>
              </w:rPr>
            </w:pPr>
          </w:p>
        </w:tc>
        <w:tc>
          <w:tcPr>
            <w:tcW w:w="0" w:type="auto"/>
            <w:gridSpan w:val="3"/>
            <w:vAlign w:val="center"/>
            <w:hideMark/>
          </w:tcPr>
          <w:p w14:paraId="320DF7D1" w14:textId="77777777" w:rsidR="00000000" w:rsidRDefault="00405D16">
            <w:pPr>
              <w:spacing w:after="100"/>
              <w:rPr>
                <w:rFonts w:eastAsia="Times New Roman"/>
                <w:sz w:val="20"/>
                <w:szCs w:val="20"/>
              </w:rPr>
            </w:pPr>
          </w:p>
        </w:tc>
        <w:tc>
          <w:tcPr>
            <w:tcW w:w="0" w:type="auto"/>
            <w:gridSpan w:val="3"/>
            <w:vAlign w:val="center"/>
            <w:hideMark/>
          </w:tcPr>
          <w:p w14:paraId="5CE8E950" w14:textId="77777777" w:rsidR="00000000" w:rsidRDefault="00405D16">
            <w:pPr>
              <w:spacing w:after="100"/>
              <w:rPr>
                <w:rFonts w:eastAsia="Times New Roman"/>
                <w:sz w:val="20"/>
                <w:szCs w:val="20"/>
              </w:rPr>
            </w:pPr>
          </w:p>
        </w:tc>
        <w:tc>
          <w:tcPr>
            <w:tcW w:w="0" w:type="auto"/>
            <w:gridSpan w:val="3"/>
            <w:vAlign w:val="center"/>
            <w:hideMark/>
          </w:tcPr>
          <w:p w14:paraId="6E4B7A7A" w14:textId="77777777" w:rsidR="00000000" w:rsidRDefault="00405D16">
            <w:pPr>
              <w:spacing w:after="100"/>
              <w:rPr>
                <w:rFonts w:eastAsia="Times New Roman"/>
                <w:sz w:val="20"/>
                <w:szCs w:val="20"/>
              </w:rPr>
            </w:pPr>
          </w:p>
        </w:tc>
        <w:tc>
          <w:tcPr>
            <w:tcW w:w="0" w:type="auto"/>
            <w:gridSpan w:val="3"/>
            <w:vAlign w:val="center"/>
            <w:hideMark/>
          </w:tcPr>
          <w:p w14:paraId="60A6810C" w14:textId="77777777" w:rsidR="00000000" w:rsidRDefault="00405D16">
            <w:pPr>
              <w:spacing w:after="100"/>
              <w:rPr>
                <w:rFonts w:eastAsia="Times New Roman"/>
                <w:sz w:val="20"/>
                <w:szCs w:val="20"/>
              </w:rPr>
            </w:pPr>
          </w:p>
        </w:tc>
        <w:tc>
          <w:tcPr>
            <w:tcW w:w="0" w:type="auto"/>
            <w:gridSpan w:val="3"/>
            <w:vAlign w:val="center"/>
            <w:hideMark/>
          </w:tcPr>
          <w:p w14:paraId="6EB18465" w14:textId="77777777" w:rsidR="00000000" w:rsidRDefault="00405D16">
            <w:pPr>
              <w:spacing w:after="100"/>
              <w:rPr>
                <w:rFonts w:eastAsia="Times New Roman"/>
                <w:sz w:val="20"/>
                <w:szCs w:val="20"/>
              </w:rPr>
            </w:pPr>
          </w:p>
        </w:tc>
      </w:tr>
    </w:tbl>
    <w:p w14:paraId="1384D552" w14:textId="77777777" w:rsidR="00000000" w:rsidRDefault="00405D16">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3073"/>
        <w:gridCol w:w="37"/>
        <w:gridCol w:w="36"/>
        <w:gridCol w:w="36"/>
        <w:gridCol w:w="36"/>
        <w:gridCol w:w="110"/>
        <w:gridCol w:w="525"/>
        <w:gridCol w:w="36"/>
        <w:gridCol w:w="36"/>
        <w:gridCol w:w="36"/>
        <w:gridCol w:w="36"/>
        <w:gridCol w:w="111"/>
        <w:gridCol w:w="589"/>
        <w:gridCol w:w="36"/>
        <w:gridCol w:w="36"/>
        <w:gridCol w:w="36"/>
        <w:gridCol w:w="36"/>
        <w:gridCol w:w="110"/>
        <w:gridCol w:w="525"/>
        <w:gridCol w:w="36"/>
        <w:gridCol w:w="36"/>
        <w:gridCol w:w="36"/>
        <w:gridCol w:w="36"/>
        <w:gridCol w:w="110"/>
        <w:gridCol w:w="450"/>
        <w:gridCol w:w="36"/>
        <w:gridCol w:w="36"/>
        <w:gridCol w:w="36"/>
        <w:gridCol w:w="36"/>
        <w:gridCol w:w="111"/>
        <w:gridCol w:w="589"/>
        <w:gridCol w:w="36"/>
        <w:gridCol w:w="36"/>
        <w:gridCol w:w="36"/>
        <w:gridCol w:w="36"/>
        <w:gridCol w:w="110"/>
        <w:gridCol w:w="450"/>
        <w:gridCol w:w="36"/>
        <w:gridCol w:w="36"/>
        <w:gridCol w:w="36"/>
        <w:gridCol w:w="36"/>
        <w:gridCol w:w="36"/>
        <w:gridCol w:w="36"/>
        <w:gridCol w:w="36"/>
        <w:gridCol w:w="36"/>
        <w:gridCol w:w="36"/>
        <w:gridCol w:w="36"/>
        <w:gridCol w:w="36"/>
        <w:gridCol w:w="36"/>
        <w:gridCol w:w="36"/>
        <w:gridCol w:w="36"/>
        <w:gridCol w:w="36"/>
      </w:tblGrid>
      <w:tr w:rsidR="00000000" w14:paraId="563A0C62" w14:textId="77777777">
        <w:tc>
          <w:tcPr>
            <w:tcW w:w="50" w:type="pct"/>
            <w:vAlign w:val="center"/>
            <w:hideMark/>
          </w:tcPr>
          <w:p w14:paraId="69F86694" w14:textId="77777777" w:rsidR="00000000" w:rsidRDefault="00405D16">
            <w:pPr>
              <w:jc w:val="both"/>
              <w:rPr>
                <w:rFonts w:eastAsia="Times New Roman"/>
              </w:rPr>
            </w:pPr>
          </w:p>
        </w:tc>
        <w:tc>
          <w:tcPr>
            <w:tcW w:w="2591" w:type="pct"/>
            <w:vAlign w:val="center"/>
            <w:hideMark/>
          </w:tcPr>
          <w:p w14:paraId="79843A04" w14:textId="77777777" w:rsidR="00000000" w:rsidRDefault="00405D16">
            <w:pPr>
              <w:spacing w:after="100"/>
              <w:rPr>
                <w:rFonts w:eastAsia="Times New Roman"/>
                <w:sz w:val="20"/>
                <w:szCs w:val="20"/>
              </w:rPr>
            </w:pPr>
          </w:p>
        </w:tc>
        <w:tc>
          <w:tcPr>
            <w:tcW w:w="5" w:type="pct"/>
            <w:vAlign w:val="center"/>
            <w:hideMark/>
          </w:tcPr>
          <w:p w14:paraId="60B2AE20" w14:textId="77777777" w:rsidR="00000000" w:rsidRDefault="00405D16">
            <w:pPr>
              <w:spacing w:after="100"/>
              <w:rPr>
                <w:rFonts w:eastAsia="Times New Roman"/>
                <w:sz w:val="20"/>
                <w:szCs w:val="20"/>
              </w:rPr>
            </w:pPr>
          </w:p>
        </w:tc>
        <w:tc>
          <w:tcPr>
            <w:tcW w:w="5" w:type="pct"/>
            <w:vAlign w:val="center"/>
            <w:hideMark/>
          </w:tcPr>
          <w:p w14:paraId="41CEF970" w14:textId="77777777" w:rsidR="00000000" w:rsidRDefault="00405D16">
            <w:pPr>
              <w:spacing w:after="100"/>
              <w:rPr>
                <w:rFonts w:eastAsia="Times New Roman"/>
                <w:sz w:val="20"/>
                <w:szCs w:val="20"/>
              </w:rPr>
            </w:pPr>
          </w:p>
        </w:tc>
        <w:tc>
          <w:tcPr>
            <w:tcW w:w="26" w:type="pct"/>
            <w:vAlign w:val="center"/>
            <w:hideMark/>
          </w:tcPr>
          <w:p w14:paraId="3C44022C" w14:textId="77777777" w:rsidR="00000000" w:rsidRDefault="00405D16">
            <w:pPr>
              <w:spacing w:after="100"/>
              <w:rPr>
                <w:rFonts w:eastAsia="Times New Roman"/>
                <w:sz w:val="20"/>
                <w:szCs w:val="20"/>
              </w:rPr>
            </w:pPr>
          </w:p>
        </w:tc>
        <w:tc>
          <w:tcPr>
            <w:tcW w:w="5" w:type="pct"/>
            <w:vAlign w:val="center"/>
            <w:hideMark/>
          </w:tcPr>
          <w:p w14:paraId="18142C93" w14:textId="77777777" w:rsidR="00000000" w:rsidRDefault="00405D16">
            <w:pPr>
              <w:spacing w:after="100"/>
              <w:rPr>
                <w:rFonts w:eastAsia="Times New Roman"/>
                <w:sz w:val="20"/>
                <w:szCs w:val="20"/>
              </w:rPr>
            </w:pPr>
          </w:p>
        </w:tc>
        <w:tc>
          <w:tcPr>
            <w:tcW w:w="50" w:type="pct"/>
            <w:vAlign w:val="center"/>
            <w:hideMark/>
          </w:tcPr>
          <w:p w14:paraId="58FECE08" w14:textId="77777777" w:rsidR="00000000" w:rsidRDefault="00405D16">
            <w:pPr>
              <w:spacing w:after="100"/>
              <w:rPr>
                <w:rFonts w:eastAsia="Times New Roman"/>
                <w:sz w:val="20"/>
                <w:szCs w:val="20"/>
              </w:rPr>
            </w:pPr>
          </w:p>
        </w:tc>
        <w:tc>
          <w:tcPr>
            <w:tcW w:w="288" w:type="pct"/>
            <w:vAlign w:val="center"/>
            <w:hideMark/>
          </w:tcPr>
          <w:p w14:paraId="4232DF73" w14:textId="77777777" w:rsidR="00000000" w:rsidRDefault="00405D16">
            <w:pPr>
              <w:spacing w:after="100"/>
              <w:rPr>
                <w:rFonts w:eastAsia="Times New Roman"/>
                <w:sz w:val="20"/>
                <w:szCs w:val="20"/>
              </w:rPr>
            </w:pPr>
          </w:p>
        </w:tc>
        <w:tc>
          <w:tcPr>
            <w:tcW w:w="5" w:type="pct"/>
            <w:vAlign w:val="center"/>
            <w:hideMark/>
          </w:tcPr>
          <w:p w14:paraId="34B310C0" w14:textId="77777777" w:rsidR="00000000" w:rsidRDefault="00405D16">
            <w:pPr>
              <w:spacing w:after="100"/>
              <w:rPr>
                <w:rFonts w:eastAsia="Times New Roman"/>
                <w:sz w:val="20"/>
                <w:szCs w:val="20"/>
              </w:rPr>
            </w:pPr>
          </w:p>
        </w:tc>
        <w:tc>
          <w:tcPr>
            <w:tcW w:w="5" w:type="pct"/>
            <w:vAlign w:val="center"/>
            <w:hideMark/>
          </w:tcPr>
          <w:p w14:paraId="549664A6" w14:textId="77777777" w:rsidR="00000000" w:rsidRDefault="00405D16">
            <w:pPr>
              <w:spacing w:after="100"/>
              <w:rPr>
                <w:rFonts w:eastAsia="Times New Roman"/>
                <w:sz w:val="20"/>
                <w:szCs w:val="20"/>
              </w:rPr>
            </w:pPr>
          </w:p>
        </w:tc>
        <w:tc>
          <w:tcPr>
            <w:tcW w:w="26" w:type="pct"/>
            <w:vAlign w:val="center"/>
            <w:hideMark/>
          </w:tcPr>
          <w:p w14:paraId="28A01869" w14:textId="77777777" w:rsidR="00000000" w:rsidRDefault="00405D16">
            <w:pPr>
              <w:spacing w:after="100"/>
              <w:rPr>
                <w:rFonts w:eastAsia="Times New Roman"/>
                <w:sz w:val="20"/>
                <w:szCs w:val="20"/>
              </w:rPr>
            </w:pPr>
          </w:p>
        </w:tc>
        <w:tc>
          <w:tcPr>
            <w:tcW w:w="5" w:type="pct"/>
            <w:vAlign w:val="center"/>
            <w:hideMark/>
          </w:tcPr>
          <w:p w14:paraId="20D54166" w14:textId="77777777" w:rsidR="00000000" w:rsidRDefault="00405D16">
            <w:pPr>
              <w:spacing w:after="100"/>
              <w:rPr>
                <w:rFonts w:eastAsia="Times New Roman"/>
                <w:sz w:val="20"/>
                <w:szCs w:val="20"/>
              </w:rPr>
            </w:pPr>
          </w:p>
        </w:tc>
        <w:tc>
          <w:tcPr>
            <w:tcW w:w="50" w:type="pct"/>
            <w:vAlign w:val="center"/>
            <w:hideMark/>
          </w:tcPr>
          <w:p w14:paraId="303AA3F2" w14:textId="77777777" w:rsidR="00000000" w:rsidRDefault="00405D16">
            <w:pPr>
              <w:spacing w:after="100"/>
              <w:rPr>
                <w:rFonts w:eastAsia="Times New Roman"/>
                <w:sz w:val="20"/>
                <w:szCs w:val="20"/>
              </w:rPr>
            </w:pPr>
          </w:p>
        </w:tc>
        <w:tc>
          <w:tcPr>
            <w:tcW w:w="325" w:type="pct"/>
            <w:vAlign w:val="center"/>
            <w:hideMark/>
          </w:tcPr>
          <w:p w14:paraId="54B0561A" w14:textId="77777777" w:rsidR="00000000" w:rsidRDefault="00405D16">
            <w:pPr>
              <w:spacing w:after="100"/>
              <w:rPr>
                <w:rFonts w:eastAsia="Times New Roman"/>
                <w:sz w:val="20"/>
                <w:szCs w:val="20"/>
              </w:rPr>
            </w:pPr>
          </w:p>
        </w:tc>
        <w:tc>
          <w:tcPr>
            <w:tcW w:w="5" w:type="pct"/>
            <w:vAlign w:val="center"/>
            <w:hideMark/>
          </w:tcPr>
          <w:p w14:paraId="0BE3FF76" w14:textId="77777777" w:rsidR="00000000" w:rsidRDefault="00405D16">
            <w:pPr>
              <w:spacing w:after="100"/>
              <w:rPr>
                <w:rFonts w:eastAsia="Times New Roman"/>
                <w:sz w:val="20"/>
                <w:szCs w:val="20"/>
              </w:rPr>
            </w:pPr>
          </w:p>
        </w:tc>
        <w:tc>
          <w:tcPr>
            <w:tcW w:w="5" w:type="pct"/>
            <w:vAlign w:val="center"/>
            <w:hideMark/>
          </w:tcPr>
          <w:p w14:paraId="44CC0771" w14:textId="77777777" w:rsidR="00000000" w:rsidRDefault="00405D16">
            <w:pPr>
              <w:spacing w:after="100"/>
              <w:rPr>
                <w:rFonts w:eastAsia="Times New Roman"/>
                <w:sz w:val="20"/>
                <w:szCs w:val="20"/>
              </w:rPr>
            </w:pPr>
          </w:p>
        </w:tc>
        <w:tc>
          <w:tcPr>
            <w:tcW w:w="26" w:type="pct"/>
            <w:vAlign w:val="center"/>
            <w:hideMark/>
          </w:tcPr>
          <w:p w14:paraId="62464F05" w14:textId="77777777" w:rsidR="00000000" w:rsidRDefault="00405D16">
            <w:pPr>
              <w:spacing w:after="100"/>
              <w:rPr>
                <w:rFonts w:eastAsia="Times New Roman"/>
                <w:sz w:val="20"/>
                <w:szCs w:val="20"/>
              </w:rPr>
            </w:pPr>
          </w:p>
        </w:tc>
        <w:tc>
          <w:tcPr>
            <w:tcW w:w="5" w:type="pct"/>
            <w:vAlign w:val="center"/>
            <w:hideMark/>
          </w:tcPr>
          <w:p w14:paraId="3E524BE8" w14:textId="77777777" w:rsidR="00000000" w:rsidRDefault="00405D16">
            <w:pPr>
              <w:spacing w:after="100"/>
              <w:rPr>
                <w:rFonts w:eastAsia="Times New Roman"/>
                <w:sz w:val="20"/>
                <w:szCs w:val="20"/>
              </w:rPr>
            </w:pPr>
          </w:p>
        </w:tc>
        <w:tc>
          <w:tcPr>
            <w:tcW w:w="50" w:type="pct"/>
            <w:vAlign w:val="center"/>
            <w:hideMark/>
          </w:tcPr>
          <w:p w14:paraId="7636DBFE" w14:textId="77777777" w:rsidR="00000000" w:rsidRDefault="00405D16">
            <w:pPr>
              <w:spacing w:after="100"/>
              <w:rPr>
                <w:rFonts w:eastAsia="Times New Roman"/>
                <w:sz w:val="20"/>
                <w:szCs w:val="20"/>
              </w:rPr>
            </w:pPr>
          </w:p>
        </w:tc>
        <w:tc>
          <w:tcPr>
            <w:tcW w:w="288" w:type="pct"/>
            <w:vAlign w:val="center"/>
            <w:hideMark/>
          </w:tcPr>
          <w:p w14:paraId="31A2A1E0" w14:textId="77777777" w:rsidR="00000000" w:rsidRDefault="00405D16">
            <w:pPr>
              <w:spacing w:after="100"/>
              <w:rPr>
                <w:rFonts w:eastAsia="Times New Roman"/>
                <w:sz w:val="20"/>
                <w:szCs w:val="20"/>
              </w:rPr>
            </w:pPr>
          </w:p>
        </w:tc>
        <w:tc>
          <w:tcPr>
            <w:tcW w:w="5" w:type="pct"/>
            <w:vAlign w:val="center"/>
            <w:hideMark/>
          </w:tcPr>
          <w:p w14:paraId="4728D8EE" w14:textId="77777777" w:rsidR="00000000" w:rsidRDefault="00405D16">
            <w:pPr>
              <w:spacing w:after="100"/>
              <w:rPr>
                <w:rFonts w:eastAsia="Times New Roman"/>
                <w:sz w:val="20"/>
                <w:szCs w:val="20"/>
              </w:rPr>
            </w:pPr>
          </w:p>
        </w:tc>
        <w:tc>
          <w:tcPr>
            <w:tcW w:w="5" w:type="pct"/>
            <w:vAlign w:val="center"/>
            <w:hideMark/>
          </w:tcPr>
          <w:p w14:paraId="0516F20A" w14:textId="77777777" w:rsidR="00000000" w:rsidRDefault="00405D16">
            <w:pPr>
              <w:spacing w:after="100"/>
              <w:rPr>
                <w:rFonts w:eastAsia="Times New Roman"/>
                <w:sz w:val="20"/>
                <w:szCs w:val="20"/>
              </w:rPr>
            </w:pPr>
          </w:p>
        </w:tc>
        <w:tc>
          <w:tcPr>
            <w:tcW w:w="26" w:type="pct"/>
            <w:vAlign w:val="center"/>
            <w:hideMark/>
          </w:tcPr>
          <w:p w14:paraId="5C50195C" w14:textId="77777777" w:rsidR="00000000" w:rsidRDefault="00405D16">
            <w:pPr>
              <w:spacing w:after="100"/>
              <w:rPr>
                <w:rFonts w:eastAsia="Times New Roman"/>
                <w:sz w:val="20"/>
                <w:szCs w:val="20"/>
              </w:rPr>
            </w:pPr>
          </w:p>
        </w:tc>
        <w:tc>
          <w:tcPr>
            <w:tcW w:w="5" w:type="pct"/>
            <w:vAlign w:val="center"/>
            <w:hideMark/>
          </w:tcPr>
          <w:p w14:paraId="07E9D350" w14:textId="77777777" w:rsidR="00000000" w:rsidRDefault="00405D16">
            <w:pPr>
              <w:spacing w:after="100"/>
              <w:rPr>
                <w:rFonts w:eastAsia="Times New Roman"/>
                <w:sz w:val="20"/>
                <w:szCs w:val="20"/>
              </w:rPr>
            </w:pPr>
          </w:p>
        </w:tc>
        <w:tc>
          <w:tcPr>
            <w:tcW w:w="50" w:type="pct"/>
            <w:vAlign w:val="center"/>
            <w:hideMark/>
          </w:tcPr>
          <w:p w14:paraId="305C6554" w14:textId="77777777" w:rsidR="00000000" w:rsidRDefault="00405D16">
            <w:pPr>
              <w:spacing w:after="100"/>
              <w:rPr>
                <w:rFonts w:eastAsia="Times New Roman"/>
                <w:sz w:val="20"/>
                <w:szCs w:val="20"/>
              </w:rPr>
            </w:pPr>
          </w:p>
        </w:tc>
        <w:tc>
          <w:tcPr>
            <w:tcW w:w="288" w:type="pct"/>
            <w:vAlign w:val="center"/>
            <w:hideMark/>
          </w:tcPr>
          <w:p w14:paraId="63A80302" w14:textId="77777777" w:rsidR="00000000" w:rsidRDefault="00405D16">
            <w:pPr>
              <w:spacing w:after="100"/>
              <w:rPr>
                <w:rFonts w:eastAsia="Times New Roman"/>
                <w:sz w:val="20"/>
                <w:szCs w:val="20"/>
              </w:rPr>
            </w:pPr>
          </w:p>
        </w:tc>
        <w:tc>
          <w:tcPr>
            <w:tcW w:w="5" w:type="pct"/>
            <w:vAlign w:val="center"/>
            <w:hideMark/>
          </w:tcPr>
          <w:p w14:paraId="3F88461C" w14:textId="77777777" w:rsidR="00000000" w:rsidRDefault="00405D16">
            <w:pPr>
              <w:spacing w:after="100"/>
              <w:rPr>
                <w:rFonts w:eastAsia="Times New Roman"/>
                <w:sz w:val="20"/>
                <w:szCs w:val="20"/>
              </w:rPr>
            </w:pPr>
          </w:p>
        </w:tc>
        <w:tc>
          <w:tcPr>
            <w:tcW w:w="5" w:type="pct"/>
            <w:vAlign w:val="center"/>
            <w:hideMark/>
          </w:tcPr>
          <w:p w14:paraId="69F6669A" w14:textId="77777777" w:rsidR="00000000" w:rsidRDefault="00405D16">
            <w:pPr>
              <w:spacing w:after="100"/>
              <w:rPr>
                <w:rFonts w:eastAsia="Times New Roman"/>
                <w:sz w:val="20"/>
                <w:szCs w:val="20"/>
              </w:rPr>
            </w:pPr>
          </w:p>
        </w:tc>
        <w:tc>
          <w:tcPr>
            <w:tcW w:w="26" w:type="pct"/>
            <w:vAlign w:val="center"/>
            <w:hideMark/>
          </w:tcPr>
          <w:p w14:paraId="2CCB1842" w14:textId="77777777" w:rsidR="00000000" w:rsidRDefault="00405D16">
            <w:pPr>
              <w:spacing w:after="100"/>
              <w:rPr>
                <w:rFonts w:eastAsia="Times New Roman"/>
                <w:sz w:val="20"/>
                <w:szCs w:val="20"/>
              </w:rPr>
            </w:pPr>
          </w:p>
        </w:tc>
        <w:tc>
          <w:tcPr>
            <w:tcW w:w="5" w:type="pct"/>
            <w:vAlign w:val="center"/>
            <w:hideMark/>
          </w:tcPr>
          <w:p w14:paraId="066E6E8D" w14:textId="77777777" w:rsidR="00000000" w:rsidRDefault="00405D16">
            <w:pPr>
              <w:spacing w:after="100"/>
              <w:rPr>
                <w:rFonts w:eastAsia="Times New Roman"/>
                <w:sz w:val="20"/>
                <w:szCs w:val="20"/>
              </w:rPr>
            </w:pPr>
          </w:p>
        </w:tc>
        <w:tc>
          <w:tcPr>
            <w:tcW w:w="50" w:type="pct"/>
            <w:vAlign w:val="center"/>
            <w:hideMark/>
          </w:tcPr>
          <w:p w14:paraId="5593D124" w14:textId="77777777" w:rsidR="00000000" w:rsidRDefault="00405D16">
            <w:pPr>
              <w:spacing w:after="100"/>
              <w:rPr>
                <w:rFonts w:eastAsia="Times New Roman"/>
                <w:sz w:val="20"/>
                <w:szCs w:val="20"/>
              </w:rPr>
            </w:pPr>
          </w:p>
        </w:tc>
        <w:tc>
          <w:tcPr>
            <w:tcW w:w="325" w:type="pct"/>
            <w:vAlign w:val="center"/>
            <w:hideMark/>
          </w:tcPr>
          <w:p w14:paraId="22CB3B94" w14:textId="77777777" w:rsidR="00000000" w:rsidRDefault="00405D16">
            <w:pPr>
              <w:spacing w:after="100"/>
              <w:rPr>
                <w:rFonts w:eastAsia="Times New Roman"/>
                <w:sz w:val="20"/>
                <w:szCs w:val="20"/>
              </w:rPr>
            </w:pPr>
          </w:p>
        </w:tc>
        <w:tc>
          <w:tcPr>
            <w:tcW w:w="5" w:type="pct"/>
            <w:vAlign w:val="center"/>
            <w:hideMark/>
          </w:tcPr>
          <w:p w14:paraId="69B96D03" w14:textId="77777777" w:rsidR="00000000" w:rsidRDefault="00405D16">
            <w:pPr>
              <w:spacing w:after="100"/>
              <w:rPr>
                <w:rFonts w:eastAsia="Times New Roman"/>
                <w:sz w:val="20"/>
                <w:szCs w:val="20"/>
              </w:rPr>
            </w:pPr>
          </w:p>
        </w:tc>
        <w:tc>
          <w:tcPr>
            <w:tcW w:w="5" w:type="pct"/>
            <w:vAlign w:val="center"/>
            <w:hideMark/>
          </w:tcPr>
          <w:p w14:paraId="0997FA8A" w14:textId="77777777" w:rsidR="00000000" w:rsidRDefault="00405D16">
            <w:pPr>
              <w:spacing w:after="100"/>
              <w:rPr>
                <w:rFonts w:eastAsia="Times New Roman"/>
                <w:sz w:val="20"/>
                <w:szCs w:val="20"/>
              </w:rPr>
            </w:pPr>
          </w:p>
        </w:tc>
        <w:tc>
          <w:tcPr>
            <w:tcW w:w="26" w:type="pct"/>
            <w:vAlign w:val="center"/>
            <w:hideMark/>
          </w:tcPr>
          <w:p w14:paraId="26732992" w14:textId="77777777" w:rsidR="00000000" w:rsidRDefault="00405D16">
            <w:pPr>
              <w:spacing w:after="100"/>
              <w:rPr>
                <w:rFonts w:eastAsia="Times New Roman"/>
                <w:sz w:val="20"/>
                <w:szCs w:val="20"/>
              </w:rPr>
            </w:pPr>
          </w:p>
        </w:tc>
        <w:tc>
          <w:tcPr>
            <w:tcW w:w="5" w:type="pct"/>
            <w:vAlign w:val="center"/>
            <w:hideMark/>
          </w:tcPr>
          <w:p w14:paraId="2B0E8AAD" w14:textId="77777777" w:rsidR="00000000" w:rsidRDefault="00405D16">
            <w:pPr>
              <w:spacing w:after="100"/>
              <w:rPr>
                <w:rFonts w:eastAsia="Times New Roman"/>
                <w:sz w:val="20"/>
                <w:szCs w:val="20"/>
              </w:rPr>
            </w:pPr>
          </w:p>
        </w:tc>
        <w:tc>
          <w:tcPr>
            <w:tcW w:w="50" w:type="pct"/>
            <w:vAlign w:val="center"/>
            <w:hideMark/>
          </w:tcPr>
          <w:p w14:paraId="67EAD102" w14:textId="77777777" w:rsidR="00000000" w:rsidRDefault="00405D16">
            <w:pPr>
              <w:spacing w:after="100"/>
              <w:rPr>
                <w:rFonts w:eastAsia="Times New Roman"/>
                <w:sz w:val="20"/>
                <w:szCs w:val="20"/>
              </w:rPr>
            </w:pPr>
          </w:p>
        </w:tc>
        <w:tc>
          <w:tcPr>
            <w:tcW w:w="289" w:type="pct"/>
            <w:vAlign w:val="center"/>
            <w:hideMark/>
          </w:tcPr>
          <w:p w14:paraId="3661227A" w14:textId="77777777" w:rsidR="00000000" w:rsidRDefault="00405D16">
            <w:pPr>
              <w:spacing w:after="100"/>
              <w:rPr>
                <w:rFonts w:eastAsia="Times New Roman"/>
                <w:sz w:val="20"/>
                <w:szCs w:val="20"/>
              </w:rPr>
            </w:pPr>
          </w:p>
        </w:tc>
        <w:tc>
          <w:tcPr>
            <w:tcW w:w="5" w:type="pct"/>
            <w:vAlign w:val="center"/>
            <w:hideMark/>
          </w:tcPr>
          <w:p w14:paraId="4774799D" w14:textId="77777777" w:rsidR="00000000" w:rsidRDefault="00405D16">
            <w:pPr>
              <w:spacing w:after="100"/>
              <w:rPr>
                <w:rFonts w:eastAsia="Times New Roman"/>
                <w:sz w:val="20"/>
                <w:szCs w:val="20"/>
              </w:rPr>
            </w:pPr>
          </w:p>
        </w:tc>
        <w:tc>
          <w:tcPr>
            <w:tcW w:w="0" w:type="auto"/>
            <w:vAlign w:val="center"/>
            <w:hideMark/>
          </w:tcPr>
          <w:p w14:paraId="5A6A46F6" w14:textId="77777777" w:rsidR="00000000" w:rsidRDefault="00405D16">
            <w:pPr>
              <w:spacing w:after="100"/>
              <w:rPr>
                <w:rFonts w:eastAsia="Times New Roman"/>
                <w:sz w:val="20"/>
                <w:szCs w:val="20"/>
              </w:rPr>
            </w:pPr>
          </w:p>
        </w:tc>
        <w:tc>
          <w:tcPr>
            <w:tcW w:w="0" w:type="auto"/>
            <w:vAlign w:val="center"/>
            <w:hideMark/>
          </w:tcPr>
          <w:p w14:paraId="3A313DC9" w14:textId="77777777" w:rsidR="00000000" w:rsidRDefault="00405D16">
            <w:pPr>
              <w:spacing w:after="100"/>
              <w:rPr>
                <w:rFonts w:eastAsia="Times New Roman"/>
                <w:sz w:val="20"/>
                <w:szCs w:val="20"/>
              </w:rPr>
            </w:pPr>
          </w:p>
        </w:tc>
        <w:tc>
          <w:tcPr>
            <w:tcW w:w="0" w:type="auto"/>
            <w:gridSpan w:val="3"/>
            <w:vAlign w:val="center"/>
            <w:hideMark/>
          </w:tcPr>
          <w:p w14:paraId="0E1C0983" w14:textId="77777777" w:rsidR="00000000" w:rsidRDefault="00405D16">
            <w:pPr>
              <w:spacing w:after="100"/>
              <w:rPr>
                <w:rFonts w:eastAsia="Times New Roman"/>
                <w:sz w:val="20"/>
                <w:szCs w:val="20"/>
              </w:rPr>
            </w:pPr>
          </w:p>
        </w:tc>
        <w:tc>
          <w:tcPr>
            <w:tcW w:w="0" w:type="auto"/>
            <w:gridSpan w:val="3"/>
            <w:vAlign w:val="center"/>
            <w:hideMark/>
          </w:tcPr>
          <w:p w14:paraId="64A5909F" w14:textId="77777777" w:rsidR="00000000" w:rsidRDefault="00405D16">
            <w:pPr>
              <w:spacing w:after="100"/>
              <w:rPr>
                <w:rFonts w:eastAsia="Times New Roman"/>
                <w:sz w:val="20"/>
                <w:szCs w:val="20"/>
              </w:rPr>
            </w:pPr>
          </w:p>
        </w:tc>
        <w:tc>
          <w:tcPr>
            <w:tcW w:w="0" w:type="auto"/>
            <w:gridSpan w:val="3"/>
            <w:vAlign w:val="center"/>
            <w:hideMark/>
          </w:tcPr>
          <w:p w14:paraId="3EAA2025" w14:textId="77777777" w:rsidR="00000000" w:rsidRDefault="00405D16">
            <w:pPr>
              <w:spacing w:after="100"/>
              <w:rPr>
                <w:rFonts w:eastAsia="Times New Roman"/>
                <w:sz w:val="20"/>
                <w:szCs w:val="20"/>
              </w:rPr>
            </w:pPr>
          </w:p>
        </w:tc>
        <w:tc>
          <w:tcPr>
            <w:tcW w:w="0" w:type="auto"/>
            <w:gridSpan w:val="3"/>
            <w:vAlign w:val="center"/>
            <w:hideMark/>
          </w:tcPr>
          <w:p w14:paraId="1F9FF300" w14:textId="77777777" w:rsidR="00000000" w:rsidRDefault="00405D16">
            <w:pPr>
              <w:spacing w:after="100"/>
              <w:rPr>
                <w:rFonts w:eastAsia="Times New Roman"/>
                <w:sz w:val="20"/>
                <w:szCs w:val="20"/>
              </w:rPr>
            </w:pPr>
          </w:p>
        </w:tc>
      </w:tr>
      <w:tr w:rsidR="00000000" w14:paraId="38D3573C" w14:textId="77777777">
        <w:tc>
          <w:tcPr>
            <w:tcW w:w="0" w:type="auto"/>
            <w:gridSpan w:val="3"/>
            <w:tcMar>
              <w:top w:w="30" w:type="dxa"/>
              <w:left w:w="20" w:type="dxa"/>
              <w:bottom w:w="30" w:type="dxa"/>
              <w:right w:w="20" w:type="dxa"/>
            </w:tcMar>
            <w:vAlign w:val="bottom"/>
            <w:hideMark/>
          </w:tcPr>
          <w:p w14:paraId="0BF9ED16"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0E092489" w14:textId="77777777" w:rsidR="00000000" w:rsidRDefault="00405D16">
            <w:pPr>
              <w:spacing w:after="100"/>
              <w:rPr>
                <w:rFonts w:eastAsia="Times New Roman"/>
              </w:rPr>
            </w:pPr>
          </w:p>
        </w:tc>
        <w:tc>
          <w:tcPr>
            <w:tcW w:w="0" w:type="auto"/>
            <w:gridSpan w:val="33"/>
            <w:tcBorders>
              <w:bottom w:val="single" w:sz="8" w:space="0" w:color="000000"/>
            </w:tcBorders>
            <w:tcMar>
              <w:top w:w="30" w:type="dxa"/>
              <w:left w:w="20" w:type="dxa"/>
              <w:bottom w:w="30" w:type="dxa"/>
              <w:right w:w="20" w:type="dxa"/>
            </w:tcMar>
            <w:vAlign w:val="bottom"/>
            <w:hideMark/>
          </w:tcPr>
          <w:p w14:paraId="0FCB5073" w14:textId="77777777" w:rsidR="00000000" w:rsidRDefault="00405D16">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05D9F37E" w14:textId="77777777" w:rsidR="00000000" w:rsidRDefault="00405D16">
            <w:pPr>
              <w:spacing w:after="100"/>
              <w:jc w:val="center"/>
              <w:rPr>
                <w:rFonts w:eastAsia="Times New Roman"/>
              </w:rPr>
            </w:pPr>
          </w:p>
        </w:tc>
        <w:tc>
          <w:tcPr>
            <w:tcW w:w="0" w:type="auto"/>
            <w:vAlign w:val="center"/>
            <w:hideMark/>
          </w:tcPr>
          <w:p w14:paraId="155EE698" w14:textId="77777777" w:rsidR="00000000" w:rsidRDefault="00405D16">
            <w:pPr>
              <w:spacing w:after="100"/>
              <w:rPr>
                <w:rFonts w:eastAsia="Times New Roman"/>
                <w:sz w:val="20"/>
                <w:szCs w:val="20"/>
              </w:rPr>
            </w:pPr>
          </w:p>
        </w:tc>
        <w:tc>
          <w:tcPr>
            <w:tcW w:w="0" w:type="auto"/>
            <w:gridSpan w:val="3"/>
            <w:vAlign w:val="center"/>
            <w:hideMark/>
          </w:tcPr>
          <w:p w14:paraId="74C10312" w14:textId="77777777" w:rsidR="00000000" w:rsidRDefault="00405D16">
            <w:pPr>
              <w:spacing w:after="100"/>
              <w:rPr>
                <w:rFonts w:eastAsia="Times New Roman"/>
                <w:sz w:val="20"/>
                <w:szCs w:val="20"/>
              </w:rPr>
            </w:pPr>
          </w:p>
        </w:tc>
        <w:tc>
          <w:tcPr>
            <w:tcW w:w="0" w:type="auto"/>
            <w:gridSpan w:val="3"/>
            <w:vAlign w:val="center"/>
            <w:hideMark/>
          </w:tcPr>
          <w:p w14:paraId="2B9FD009" w14:textId="77777777" w:rsidR="00000000" w:rsidRDefault="00405D16">
            <w:pPr>
              <w:spacing w:after="100"/>
              <w:rPr>
                <w:rFonts w:eastAsia="Times New Roman"/>
                <w:sz w:val="20"/>
                <w:szCs w:val="20"/>
              </w:rPr>
            </w:pPr>
          </w:p>
        </w:tc>
        <w:tc>
          <w:tcPr>
            <w:tcW w:w="0" w:type="auto"/>
            <w:gridSpan w:val="3"/>
            <w:vAlign w:val="center"/>
            <w:hideMark/>
          </w:tcPr>
          <w:p w14:paraId="2CFCC4E9" w14:textId="77777777" w:rsidR="00000000" w:rsidRDefault="00405D16">
            <w:pPr>
              <w:spacing w:after="100"/>
              <w:rPr>
                <w:rFonts w:eastAsia="Times New Roman"/>
                <w:sz w:val="20"/>
                <w:szCs w:val="20"/>
              </w:rPr>
            </w:pPr>
          </w:p>
        </w:tc>
        <w:tc>
          <w:tcPr>
            <w:tcW w:w="0" w:type="auto"/>
            <w:gridSpan w:val="3"/>
            <w:vAlign w:val="center"/>
            <w:hideMark/>
          </w:tcPr>
          <w:p w14:paraId="781AD7BD" w14:textId="77777777" w:rsidR="00000000" w:rsidRDefault="00405D16">
            <w:pPr>
              <w:spacing w:after="100"/>
              <w:rPr>
                <w:rFonts w:eastAsia="Times New Roman"/>
                <w:sz w:val="20"/>
                <w:szCs w:val="20"/>
              </w:rPr>
            </w:pPr>
          </w:p>
        </w:tc>
      </w:tr>
      <w:tr w:rsidR="00000000" w14:paraId="41EB5EBA" w14:textId="77777777">
        <w:tc>
          <w:tcPr>
            <w:tcW w:w="0" w:type="auto"/>
            <w:gridSpan w:val="3"/>
            <w:tcMar>
              <w:top w:w="30" w:type="dxa"/>
              <w:left w:w="20" w:type="dxa"/>
              <w:bottom w:w="30" w:type="dxa"/>
              <w:right w:w="20" w:type="dxa"/>
            </w:tcMar>
            <w:vAlign w:val="bottom"/>
            <w:hideMark/>
          </w:tcPr>
          <w:p w14:paraId="1EC67017"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DC6ED49" w14:textId="77777777" w:rsidR="00000000" w:rsidRDefault="00405D16">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1389D593"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29D329E4" w14:textId="77777777" w:rsidR="00000000" w:rsidRDefault="00405D16">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24FAE03A"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vAlign w:val="center"/>
            <w:hideMark/>
          </w:tcPr>
          <w:p w14:paraId="4778E716" w14:textId="77777777" w:rsidR="00000000" w:rsidRDefault="00405D16">
            <w:pPr>
              <w:spacing w:after="100"/>
              <w:jc w:val="center"/>
              <w:rPr>
                <w:rFonts w:eastAsia="Times New Roman"/>
              </w:rPr>
            </w:pPr>
          </w:p>
        </w:tc>
        <w:tc>
          <w:tcPr>
            <w:tcW w:w="0" w:type="auto"/>
            <w:vAlign w:val="center"/>
            <w:hideMark/>
          </w:tcPr>
          <w:p w14:paraId="044624EA" w14:textId="77777777" w:rsidR="00000000" w:rsidRDefault="00405D16">
            <w:pPr>
              <w:spacing w:after="100"/>
              <w:rPr>
                <w:rFonts w:eastAsia="Times New Roman"/>
                <w:sz w:val="20"/>
                <w:szCs w:val="20"/>
              </w:rPr>
            </w:pPr>
          </w:p>
        </w:tc>
        <w:tc>
          <w:tcPr>
            <w:tcW w:w="0" w:type="auto"/>
            <w:vAlign w:val="center"/>
            <w:hideMark/>
          </w:tcPr>
          <w:p w14:paraId="1202EA65" w14:textId="77777777" w:rsidR="00000000" w:rsidRDefault="00405D16">
            <w:pPr>
              <w:spacing w:after="100"/>
              <w:rPr>
                <w:rFonts w:eastAsia="Times New Roman"/>
                <w:sz w:val="20"/>
                <w:szCs w:val="20"/>
              </w:rPr>
            </w:pPr>
          </w:p>
        </w:tc>
        <w:tc>
          <w:tcPr>
            <w:tcW w:w="0" w:type="auto"/>
            <w:vAlign w:val="center"/>
            <w:hideMark/>
          </w:tcPr>
          <w:p w14:paraId="14E6DFD0" w14:textId="77777777" w:rsidR="00000000" w:rsidRDefault="00405D16">
            <w:pPr>
              <w:spacing w:after="100"/>
              <w:rPr>
                <w:rFonts w:eastAsia="Times New Roman"/>
                <w:sz w:val="20"/>
                <w:szCs w:val="20"/>
              </w:rPr>
            </w:pPr>
          </w:p>
        </w:tc>
        <w:tc>
          <w:tcPr>
            <w:tcW w:w="0" w:type="auto"/>
            <w:vAlign w:val="center"/>
            <w:hideMark/>
          </w:tcPr>
          <w:p w14:paraId="7824EE19" w14:textId="77777777" w:rsidR="00000000" w:rsidRDefault="00405D16">
            <w:pPr>
              <w:spacing w:after="100"/>
              <w:rPr>
                <w:rFonts w:eastAsia="Times New Roman"/>
                <w:sz w:val="20"/>
                <w:szCs w:val="20"/>
              </w:rPr>
            </w:pPr>
          </w:p>
        </w:tc>
        <w:tc>
          <w:tcPr>
            <w:tcW w:w="0" w:type="auto"/>
            <w:vAlign w:val="center"/>
            <w:hideMark/>
          </w:tcPr>
          <w:p w14:paraId="3BCF367C" w14:textId="77777777" w:rsidR="00000000" w:rsidRDefault="00405D16">
            <w:pPr>
              <w:spacing w:after="100"/>
              <w:rPr>
                <w:rFonts w:eastAsia="Times New Roman"/>
                <w:sz w:val="20"/>
                <w:szCs w:val="20"/>
              </w:rPr>
            </w:pPr>
          </w:p>
        </w:tc>
        <w:tc>
          <w:tcPr>
            <w:tcW w:w="0" w:type="auto"/>
            <w:vAlign w:val="center"/>
            <w:hideMark/>
          </w:tcPr>
          <w:p w14:paraId="176A0133" w14:textId="77777777" w:rsidR="00000000" w:rsidRDefault="00405D16">
            <w:pPr>
              <w:spacing w:after="100"/>
              <w:rPr>
                <w:rFonts w:eastAsia="Times New Roman"/>
                <w:sz w:val="20"/>
                <w:szCs w:val="20"/>
              </w:rPr>
            </w:pPr>
          </w:p>
        </w:tc>
        <w:tc>
          <w:tcPr>
            <w:tcW w:w="0" w:type="auto"/>
            <w:vAlign w:val="center"/>
            <w:hideMark/>
          </w:tcPr>
          <w:p w14:paraId="58BCC64F" w14:textId="77777777" w:rsidR="00000000" w:rsidRDefault="00405D16">
            <w:pPr>
              <w:spacing w:after="100"/>
              <w:rPr>
                <w:rFonts w:eastAsia="Times New Roman"/>
                <w:sz w:val="20"/>
                <w:szCs w:val="20"/>
              </w:rPr>
            </w:pPr>
          </w:p>
        </w:tc>
        <w:tc>
          <w:tcPr>
            <w:tcW w:w="0" w:type="auto"/>
            <w:vAlign w:val="center"/>
            <w:hideMark/>
          </w:tcPr>
          <w:p w14:paraId="5D10BB29" w14:textId="77777777" w:rsidR="00000000" w:rsidRDefault="00405D16">
            <w:pPr>
              <w:spacing w:after="100"/>
              <w:rPr>
                <w:rFonts w:eastAsia="Times New Roman"/>
                <w:sz w:val="20"/>
                <w:szCs w:val="20"/>
              </w:rPr>
            </w:pPr>
          </w:p>
        </w:tc>
        <w:tc>
          <w:tcPr>
            <w:tcW w:w="0" w:type="auto"/>
            <w:vAlign w:val="center"/>
            <w:hideMark/>
          </w:tcPr>
          <w:p w14:paraId="65E8F466" w14:textId="77777777" w:rsidR="00000000" w:rsidRDefault="00405D16">
            <w:pPr>
              <w:spacing w:after="100"/>
              <w:rPr>
                <w:rFonts w:eastAsia="Times New Roman"/>
                <w:sz w:val="20"/>
                <w:szCs w:val="20"/>
              </w:rPr>
            </w:pPr>
          </w:p>
        </w:tc>
        <w:tc>
          <w:tcPr>
            <w:tcW w:w="0" w:type="auto"/>
            <w:vAlign w:val="center"/>
            <w:hideMark/>
          </w:tcPr>
          <w:p w14:paraId="34F4EB76" w14:textId="77777777" w:rsidR="00000000" w:rsidRDefault="00405D16">
            <w:pPr>
              <w:spacing w:after="100"/>
              <w:rPr>
                <w:rFonts w:eastAsia="Times New Roman"/>
                <w:sz w:val="20"/>
                <w:szCs w:val="20"/>
              </w:rPr>
            </w:pPr>
          </w:p>
        </w:tc>
        <w:tc>
          <w:tcPr>
            <w:tcW w:w="0" w:type="auto"/>
            <w:vAlign w:val="center"/>
            <w:hideMark/>
          </w:tcPr>
          <w:p w14:paraId="32F9D1C1" w14:textId="77777777" w:rsidR="00000000" w:rsidRDefault="00405D16">
            <w:pPr>
              <w:spacing w:after="100"/>
              <w:rPr>
                <w:rFonts w:eastAsia="Times New Roman"/>
                <w:sz w:val="20"/>
                <w:szCs w:val="20"/>
              </w:rPr>
            </w:pPr>
          </w:p>
        </w:tc>
        <w:tc>
          <w:tcPr>
            <w:tcW w:w="0" w:type="auto"/>
            <w:vAlign w:val="center"/>
            <w:hideMark/>
          </w:tcPr>
          <w:p w14:paraId="34F0A252" w14:textId="77777777" w:rsidR="00000000" w:rsidRDefault="00405D16">
            <w:pPr>
              <w:spacing w:after="100"/>
              <w:rPr>
                <w:rFonts w:eastAsia="Times New Roman"/>
                <w:sz w:val="20"/>
                <w:szCs w:val="20"/>
              </w:rPr>
            </w:pPr>
          </w:p>
        </w:tc>
        <w:tc>
          <w:tcPr>
            <w:tcW w:w="0" w:type="auto"/>
            <w:vAlign w:val="center"/>
            <w:hideMark/>
          </w:tcPr>
          <w:p w14:paraId="0E8FE907" w14:textId="77777777" w:rsidR="00000000" w:rsidRDefault="00405D16">
            <w:pPr>
              <w:spacing w:after="100"/>
              <w:rPr>
                <w:rFonts w:eastAsia="Times New Roman"/>
                <w:sz w:val="20"/>
                <w:szCs w:val="20"/>
              </w:rPr>
            </w:pPr>
          </w:p>
        </w:tc>
      </w:tr>
      <w:tr w:rsidR="00000000" w14:paraId="39986315" w14:textId="77777777">
        <w:tc>
          <w:tcPr>
            <w:tcW w:w="0" w:type="auto"/>
            <w:gridSpan w:val="3"/>
            <w:tcMar>
              <w:top w:w="30" w:type="dxa"/>
              <w:left w:w="20" w:type="dxa"/>
              <w:bottom w:w="30" w:type="dxa"/>
              <w:right w:w="20" w:type="dxa"/>
            </w:tcMar>
            <w:vAlign w:val="bottom"/>
            <w:hideMark/>
          </w:tcPr>
          <w:p w14:paraId="7D9DCD59"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29DBCFFC"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0C6CBBD" w14:textId="77777777" w:rsidR="00000000" w:rsidRDefault="00405D16">
            <w:pPr>
              <w:spacing w:after="100"/>
              <w:jc w:val="center"/>
              <w:rPr>
                <w:rFonts w:eastAsia="Times New Roman"/>
              </w:rPr>
            </w:pPr>
            <w:r>
              <w:rPr>
                <w:rFonts w:eastAsia="Times New Roman"/>
                <w:b/>
                <w:bCs/>
                <w:color w:val="000000"/>
                <w:sz w:val="16"/>
                <w:szCs w:val="16"/>
              </w:rPr>
              <w:t>Before</w:t>
            </w:r>
            <w:r>
              <w:rPr>
                <w:rFonts w:eastAsia="Times New Roman"/>
                <w:b/>
                <w:bCs/>
                <w:color w:val="000000"/>
                <w:sz w:val="16"/>
                <w:szCs w:val="16"/>
              </w:rPr>
              <w:br/>
              <w:t>Tax</w:t>
            </w:r>
          </w:p>
        </w:tc>
        <w:tc>
          <w:tcPr>
            <w:tcW w:w="0" w:type="auto"/>
            <w:gridSpan w:val="3"/>
            <w:tcBorders>
              <w:top w:val="single" w:sz="8" w:space="0" w:color="000000"/>
            </w:tcBorders>
            <w:tcMar>
              <w:top w:w="0" w:type="dxa"/>
              <w:left w:w="20" w:type="dxa"/>
              <w:bottom w:w="0" w:type="dxa"/>
              <w:right w:w="20" w:type="dxa"/>
            </w:tcMar>
            <w:vAlign w:val="center"/>
            <w:hideMark/>
          </w:tcPr>
          <w:p w14:paraId="1582FFA8"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D969C62" w14:textId="77777777" w:rsidR="00000000" w:rsidRDefault="00405D16">
            <w:pPr>
              <w:spacing w:after="100"/>
              <w:jc w:val="center"/>
              <w:rPr>
                <w:rFonts w:eastAsia="Times New Roman"/>
              </w:rPr>
            </w:pPr>
            <w:r>
              <w:rPr>
                <w:rFonts w:eastAsia="Times New Roman"/>
                <w:b/>
                <w:bCs/>
                <w:color w:val="000000"/>
                <w:sz w:val="16"/>
                <w:szCs w:val="16"/>
              </w:rPr>
              <w:t>Provision</w:t>
            </w:r>
            <w:r>
              <w:rPr>
                <w:rFonts w:eastAsia="Times New Roman"/>
                <w:b/>
                <w:bCs/>
                <w:color w:val="000000"/>
                <w:sz w:val="16"/>
                <w:szCs w:val="16"/>
              </w:rPr>
              <w:br/>
              <w:t>(Benefit)</w:t>
            </w:r>
          </w:p>
        </w:tc>
        <w:tc>
          <w:tcPr>
            <w:tcW w:w="0" w:type="auto"/>
            <w:gridSpan w:val="3"/>
            <w:tcBorders>
              <w:top w:val="single" w:sz="8" w:space="0" w:color="000000"/>
            </w:tcBorders>
            <w:tcMar>
              <w:top w:w="0" w:type="dxa"/>
              <w:left w:w="20" w:type="dxa"/>
              <w:bottom w:w="0" w:type="dxa"/>
              <w:right w:w="20" w:type="dxa"/>
            </w:tcMar>
            <w:vAlign w:val="center"/>
            <w:hideMark/>
          </w:tcPr>
          <w:p w14:paraId="75FA38F6"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B681BA6" w14:textId="77777777" w:rsidR="00000000" w:rsidRDefault="00405D16">
            <w:pPr>
              <w:spacing w:after="100"/>
              <w:jc w:val="center"/>
              <w:rPr>
                <w:rFonts w:eastAsia="Times New Roman"/>
              </w:rPr>
            </w:pPr>
            <w:r>
              <w:rPr>
                <w:rFonts w:eastAsia="Times New Roman"/>
                <w:b/>
                <w:bCs/>
                <w:color w:val="000000"/>
                <w:sz w:val="16"/>
                <w:szCs w:val="16"/>
              </w:rPr>
              <w:t>After</w:t>
            </w:r>
            <w:r>
              <w:rPr>
                <w:rFonts w:eastAsia="Times New Roman"/>
                <w:b/>
                <w:bCs/>
                <w:color w:val="000000"/>
                <w:sz w:val="16"/>
                <w:szCs w:val="16"/>
              </w:rPr>
              <w:br/>
              <w:t>Tax</w:t>
            </w:r>
          </w:p>
        </w:tc>
        <w:tc>
          <w:tcPr>
            <w:tcW w:w="0" w:type="auto"/>
            <w:gridSpan w:val="3"/>
            <w:tcMar>
              <w:top w:w="0" w:type="dxa"/>
              <w:left w:w="20" w:type="dxa"/>
              <w:bottom w:w="0" w:type="dxa"/>
              <w:right w:w="20" w:type="dxa"/>
            </w:tcMar>
            <w:vAlign w:val="center"/>
            <w:hideMark/>
          </w:tcPr>
          <w:p w14:paraId="03F96089"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0F92836" w14:textId="77777777" w:rsidR="00000000" w:rsidRDefault="00405D16">
            <w:pPr>
              <w:spacing w:after="100"/>
              <w:jc w:val="center"/>
              <w:rPr>
                <w:rFonts w:eastAsia="Times New Roman"/>
              </w:rPr>
            </w:pPr>
            <w:r>
              <w:rPr>
                <w:rFonts w:eastAsia="Times New Roman"/>
                <w:b/>
                <w:bCs/>
                <w:color w:val="000000"/>
                <w:sz w:val="16"/>
                <w:szCs w:val="16"/>
              </w:rPr>
              <w:t>Before</w:t>
            </w:r>
            <w:r>
              <w:rPr>
                <w:rFonts w:eastAsia="Times New Roman"/>
                <w:b/>
                <w:bCs/>
                <w:color w:val="000000"/>
                <w:sz w:val="16"/>
                <w:szCs w:val="16"/>
              </w:rPr>
              <w:br/>
              <w:t>Tax</w:t>
            </w:r>
          </w:p>
        </w:tc>
        <w:tc>
          <w:tcPr>
            <w:tcW w:w="0" w:type="auto"/>
            <w:gridSpan w:val="3"/>
            <w:tcBorders>
              <w:top w:val="single" w:sz="8" w:space="0" w:color="000000"/>
            </w:tcBorders>
            <w:tcMar>
              <w:top w:w="0" w:type="dxa"/>
              <w:left w:w="20" w:type="dxa"/>
              <w:bottom w:w="0" w:type="dxa"/>
              <w:right w:w="20" w:type="dxa"/>
            </w:tcMar>
            <w:vAlign w:val="center"/>
            <w:hideMark/>
          </w:tcPr>
          <w:p w14:paraId="41885B2F"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71F036D" w14:textId="77777777" w:rsidR="00000000" w:rsidRDefault="00405D16">
            <w:pPr>
              <w:spacing w:after="100"/>
              <w:jc w:val="center"/>
              <w:rPr>
                <w:rFonts w:eastAsia="Times New Roman"/>
              </w:rPr>
            </w:pPr>
            <w:r>
              <w:rPr>
                <w:rFonts w:eastAsia="Times New Roman"/>
                <w:b/>
                <w:bCs/>
                <w:color w:val="000000"/>
                <w:sz w:val="16"/>
                <w:szCs w:val="16"/>
              </w:rPr>
              <w:t>Provision</w:t>
            </w:r>
            <w:r>
              <w:rPr>
                <w:rFonts w:eastAsia="Times New Roman"/>
                <w:b/>
                <w:bCs/>
                <w:color w:val="000000"/>
                <w:sz w:val="16"/>
                <w:szCs w:val="16"/>
              </w:rPr>
              <w:br/>
              <w:t>(Benefit)</w:t>
            </w:r>
          </w:p>
        </w:tc>
        <w:tc>
          <w:tcPr>
            <w:tcW w:w="0" w:type="auto"/>
            <w:gridSpan w:val="3"/>
            <w:tcBorders>
              <w:top w:val="single" w:sz="8" w:space="0" w:color="000000"/>
            </w:tcBorders>
            <w:tcMar>
              <w:top w:w="0" w:type="dxa"/>
              <w:left w:w="20" w:type="dxa"/>
              <w:bottom w:w="0" w:type="dxa"/>
              <w:right w:w="20" w:type="dxa"/>
            </w:tcMar>
            <w:vAlign w:val="center"/>
            <w:hideMark/>
          </w:tcPr>
          <w:p w14:paraId="6BD32EE8"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FBB70F8" w14:textId="77777777" w:rsidR="00000000" w:rsidRDefault="00405D16">
            <w:pPr>
              <w:spacing w:after="100"/>
              <w:jc w:val="center"/>
              <w:rPr>
                <w:rFonts w:eastAsia="Times New Roman"/>
              </w:rPr>
            </w:pPr>
            <w:r>
              <w:rPr>
                <w:rFonts w:eastAsia="Times New Roman"/>
                <w:b/>
                <w:bCs/>
                <w:color w:val="000000"/>
                <w:sz w:val="16"/>
                <w:szCs w:val="16"/>
              </w:rPr>
              <w:t>After</w:t>
            </w:r>
            <w:r>
              <w:rPr>
                <w:rFonts w:eastAsia="Times New Roman"/>
                <w:b/>
                <w:bCs/>
                <w:color w:val="000000"/>
                <w:sz w:val="16"/>
                <w:szCs w:val="16"/>
              </w:rPr>
              <w:br/>
              <w:t>Tax</w:t>
            </w:r>
          </w:p>
        </w:tc>
        <w:tc>
          <w:tcPr>
            <w:tcW w:w="0" w:type="auto"/>
            <w:vAlign w:val="center"/>
            <w:hideMark/>
          </w:tcPr>
          <w:p w14:paraId="74E9A924" w14:textId="77777777" w:rsidR="00000000" w:rsidRDefault="00405D16">
            <w:pPr>
              <w:spacing w:after="100"/>
              <w:jc w:val="center"/>
              <w:rPr>
                <w:rFonts w:eastAsia="Times New Roman"/>
              </w:rPr>
            </w:pPr>
          </w:p>
        </w:tc>
        <w:tc>
          <w:tcPr>
            <w:tcW w:w="0" w:type="auto"/>
            <w:vAlign w:val="center"/>
            <w:hideMark/>
          </w:tcPr>
          <w:p w14:paraId="430ABC1E" w14:textId="77777777" w:rsidR="00000000" w:rsidRDefault="00405D16">
            <w:pPr>
              <w:spacing w:after="100"/>
              <w:rPr>
                <w:rFonts w:eastAsia="Times New Roman"/>
                <w:sz w:val="20"/>
                <w:szCs w:val="20"/>
              </w:rPr>
            </w:pPr>
          </w:p>
        </w:tc>
        <w:tc>
          <w:tcPr>
            <w:tcW w:w="0" w:type="auto"/>
            <w:gridSpan w:val="3"/>
            <w:vAlign w:val="center"/>
            <w:hideMark/>
          </w:tcPr>
          <w:p w14:paraId="0DDFB66D" w14:textId="77777777" w:rsidR="00000000" w:rsidRDefault="00405D16">
            <w:pPr>
              <w:spacing w:after="100"/>
              <w:rPr>
                <w:rFonts w:eastAsia="Times New Roman"/>
                <w:sz w:val="20"/>
                <w:szCs w:val="20"/>
              </w:rPr>
            </w:pPr>
          </w:p>
        </w:tc>
        <w:tc>
          <w:tcPr>
            <w:tcW w:w="0" w:type="auto"/>
            <w:gridSpan w:val="3"/>
            <w:vAlign w:val="center"/>
            <w:hideMark/>
          </w:tcPr>
          <w:p w14:paraId="5A6619CF" w14:textId="77777777" w:rsidR="00000000" w:rsidRDefault="00405D16">
            <w:pPr>
              <w:spacing w:after="100"/>
              <w:rPr>
                <w:rFonts w:eastAsia="Times New Roman"/>
                <w:sz w:val="20"/>
                <w:szCs w:val="20"/>
              </w:rPr>
            </w:pPr>
          </w:p>
        </w:tc>
        <w:tc>
          <w:tcPr>
            <w:tcW w:w="0" w:type="auto"/>
            <w:gridSpan w:val="3"/>
            <w:vAlign w:val="center"/>
            <w:hideMark/>
          </w:tcPr>
          <w:p w14:paraId="19F90C78" w14:textId="77777777" w:rsidR="00000000" w:rsidRDefault="00405D16">
            <w:pPr>
              <w:spacing w:after="100"/>
              <w:rPr>
                <w:rFonts w:eastAsia="Times New Roman"/>
                <w:sz w:val="20"/>
                <w:szCs w:val="20"/>
              </w:rPr>
            </w:pPr>
          </w:p>
        </w:tc>
        <w:tc>
          <w:tcPr>
            <w:tcW w:w="0" w:type="auto"/>
            <w:gridSpan w:val="3"/>
            <w:vAlign w:val="center"/>
            <w:hideMark/>
          </w:tcPr>
          <w:p w14:paraId="02600B26" w14:textId="77777777" w:rsidR="00000000" w:rsidRDefault="00405D16">
            <w:pPr>
              <w:spacing w:after="100"/>
              <w:rPr>
                <w:rFonts w:eastAsia="Times New Roman"/>
                <w:sz w:val="20"/>
                <w:szCs w:val="20"/>
              </w:rPr>
            </w:pPr>
          </w:p>
        </w:tc>
      </w:tr>
      <w:tr w:rsidR="00000000" w14:paraId="023536D5" w14:textId="7777777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61DF1E7" w14:textId="77777777" w:rsidR="00000000" w:rsidRDefault="00405D16">
            <w:pPr>
              <w:spacing w:after="100"/>
              <w:jc w:val="both"/>
              <w:rPr>
                <w:rFonts w:eastAsia="Times New Roman"/>
              </w:rPr>
            </w:pPr>
            <w:r>
              <w:rPr>
                <w:rFonts w:eastAsia="Times New Roman"/>
                <w:b/>
                <w:bCs/>
                <w:color w:val="000000"/>
                <w:sz w:val="18"/>
                <w:szCs w:val="18"/>
              </w:rPr>
              <w:t>Other comprehensive income (loss):</w:t>
            </w:r>
          </w:p>
        </w:tc>
        <w:tc>
          <w:tcPr>
            <w:tcW w:w="0" w:type="auto"/>
            <w:gridSpan w:val="3"/>
            <w:shd w:val="clear" w:color="auto" w:fill="CCEEFF"/>
            <w:tcMar>
              <w:top w:w="0" w:type="dxa"/>
              <w:left w:w="20" w:type="dxa"/>
              <w:bottom w:w="0" w:type="dxa"/>
              <w:right w:w="20" w:type="dxa"/>
            </w:tcMar>
            <w:vAlign w:val="center"/>
            <w:hideMark/>
          </w:tcPr>
          <w:p w14:paraId="65D5EA28" w14:textId="77777777" w:rsidR="00000000" w:rsidRDefault="00405D16">
            <w:pPr>
              <w:spacing w:after="100"/>
              <w:jc w:val="both"/>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A84E60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7AAC02"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25AB6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2D9716"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0A0CD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9AA85B"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C39A39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46C833"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87B4AA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EAF739"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D1B45C3" w14:textId="77777777" w:rsidR="00000000" w:rsidRDefault="00405D16">
            <w:pPr>
              <w:spacing w:after="100"/>
              <w:rPr>
                <w:rFonts w:eastAsia="Times New Roman"/>
                <w:sz w:val="20"/>
                <w:szCs w:val="20"/>
              </w:rPr>
            </w:pPr>
          </w:p>
        </w:tc>
        <w:tc>
          <w:tcPr>
            <w:tcW w:w="0" w:type="auto"/>
            <w:vAlign w:val="center"/>
            <w:hideMark/>
          </w:tcPr>
          <w:p w14:paraId="6A500DA6" w14:textId="77777777" w:rsidR="00000000" w:rsidRDefault="00405D16">
            <w:pPr>
              <w:spacing w:after="100"/>
              <w:rPr>
                <w:rFonts w:eastAsia="Times New Roman"/>
                <w:sz w:val="20"/>
                <w:szCs w:val="20"/>
              </w:rPr>
            </w:pPr>
          </w:p>
        </w:tc>
        <w:tc>
          <w:tcPr>
            <w:tcW w:w="0" w:type="auto"/>
            <w:vAlign w:val="center"/>
            <w:hideMark/>
          </w:tcPr>
          <w:p w14:paraId="1C2881E8" w14:textId="77777777" w:rsidR="00000000" w:rsidRDefault="00405D16">
            <w:pPr>
              <w:spacing w:after="100"/>
              <w:rPr>
                <w:rFonts w:eastAsia="Times New Roman"/>
                <w:sz w:val="20"/>
                <w:szCs w:val="20"/>
              </w:rPr>
            </w:pPr>
          </w:p>
        </w:tc>
        <w:tc>
          <w:tcPr>
            <w:tcW w:w="0" w:type="auto"/>
            <w:gridSpan w:val="3"/>
            <w:vAlign w:val="center"/>
            <w:hideMark/>
          </w:tcPr>
          <w:p w14:paraId="590C6AA3" w14:textId="77777777" w:rsidR="00000000" w:rsidRDefault="00405D16">
            <w:pPr>
              <w:spacing w:after="100"/>
              <w:rPr>
                <w:rFonts w:eastAsia="Times New Roman"/>
                <w:sz w:val="20"/>
                <w:szCs w:val="20"/>
              </w:rPr>
            </w:pPr>
          </w:p>
        </w:tc>
        <w:tc>
          <w:tcPr>
            <w:tcW w:w="0" w:type="auto"/>
            <w:gridSpan w:val="3"/>
            <w:vAlign w:val="center"/>
            <w:hideMark/>
          </w:tcPr>
          <w:p w14:paraId="4C63C263" w14:textId="77777777" w:rsidR="00000000" w:rsidRDefault="00405D16">
            <w:pPr>
              <w:spacing w:after="100"/>
              <w:rPr>
                <w:rFonts w:eastAsia="Times New Roman"/>
                <w:sz w:val="20"/>
                <w:szCs w:val="20"/>
              </w:rPr>
            </w:pPr>
          </w:p>
        </w:tc>
        <w:tc>
          <w:tcPr>
            <w:tcW w:w="0" w:type="auto"/>
            <w:gridSpan w:val="3"/>
            <w:vAlign w:val="center"/>
            <w:hideMark/>
          </w:tcPr>
          <w:p w14:paraId="2A251B45" w14:textId="77777777" w:rsidR="00000000" w:rsidRDefault="00405D16">
            <w:pPr>
              <w:spacing w:after="100"/>
              <w:rPr>
                <w:rFonts w:eastAsia="Times New Roman"/>
                <w:sz w:val="20"/>
                <w:szCs w:val="20"/>
              </w:rPr>
            </w:pPr>
          </w:p>
        </w:tc>
        <w:tc>
          <w:tcPr>
            <w:tcW w:w="0" w:type="auto"/>
            <w:gridSpan w:val="3"/>
            <w:vAlign w:val="center"/>
            <w:hideMark/>
          </w:tcPr>
          <w:p w14:paraId="6C93EE98" w14:textId="77777777" w:rsidR="00000000" w:rsidRDefault="00405D16">
            <w:pPr>
              <w:spacing w:after="100"/>
              <w:rPr>
                <w:rFonts w:eastAsia="Times New Roman"/>
                <w:sz w:val="20"/>
                <w:szCs w:val="20"/>
              </w:rPr>
            </w:pPr>
          </w:p>
        </w:tc>
      </w:tr>
      <w:tr w:rsidR="00000000" w14:paraId="4F63C090" w14:textId="77777777">
        <w:tc>
          <w:tcPr>
            <w:tcW w:w="0" w:type="auto"/>
            <w:gridSpan w:val="3"/>
            <w:shd w:val="clear" w:color="auto" w:fill="FFFFFF"/>
            <w:tcMar>
              <w:top w:w="30" w:type="dxa"/>
              <w:left w:w="20" w:type="dxa"/>
              <w:bottom w:w="30" w:type="dxa"/>
              <w:right w:w="20" w:type="dxa"/>
            </w:tcMar>
            <w:vAlign w:val="center"/>
            <w:hideMark/>
          </w:tcPr>
          <w:p w14:paraId="4E85355C" w14:textId="77777777" w:rsidR="00000000" w:rsidRDefault="00405D16">
            <w:pPr>
              <w:spacing w:after="100"/>
              <w:rPr>
                <w:rFonts w:eastAsia="Times New Roman"/>
              </w:rPr>
            </w:pPr>
            <w:r>
              <w:rPr>
                <w:rFonts w:eastAsia="Times New Roman"/>
                <w:color w:val="000000"/>
                <w:sz w:val="18"/>
                <w:szCs w:val="18"/>
              </w:rPr>
              <w:t>Net unrealized gains (losses) on securities available for sale</w:t>
            </w:r>
          </w:p>
        </w:tc>
        <w:tc>
          <w:tcPr>
            <w:tcW w:w="0" w:type="auto"/>
            <w:gridSpan w:val="3"/>
            <w:shd w:val="clear" w:color="auto" w:fill="FFFFFF"/>
            <w:tcMar>
              <w:top w:w="0" w:type="dxa"/>
              <w:left w:w="20" w:type="dxa"/>
              <w:bottom w:w="0" w:type="dxa"/>
              <w:right w:w="20" w:type="dxa"/>
            </w:tcMar>
            <w:vAlign w:val="center"/>
            <w:hideMark/>
          </w:tcPr>
          <w:p w14:paraId="675CFC2A"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7542BDC2"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1C76A7E6" w14:textId="77777777" w:rsidR="00000000" w:rsidRDefault="00405D16">
            <w:pPr>
              <w:spacing w:after="100"/>
              <w:jc w:val="right"/>
              <w:rPr>
                <w:rFonts w:eastAsia="Times New Roman"/>
              </w:rPr>
            </w:pPr>
            <w:r>
              <w:rPr>
                <w:rFonts w:eastAsia="Times New Roman"/>
                <w:b/>
                <w:bCs/>
                <w:color w:val="000000"/>
                <w:sz w:val="18"/>
                <w:szCs w:val="18"/>
              </w:rPr>
              <w:t>(1,716)</w:t>
            </w:r>
          </w:p>
        </w:tc>
        <w:tc>
          <w:tcPr>
            <w:tcW w:w="0" w:type="auto"/>
            <w:shd w:val="clear" w:color="auto" w:fill="FFFFFF"/>
            <w:tcMar>
              <w:top w:w="30" w:type="dxa"/>
              <w:left w:w="0" w:type="dxa"/>
              <w:bottom w:w="30" w:type="dxa"/>
              <w:right w:w="20" w:type="dxa"/>
            </w:tcMar>
            <w:vAlign w:val="center"/>
            <w:hideMark/>
          </w:tcPr>
          <w:p w14:paraId="0F13F61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D50B3B"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71C8A5D"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6CF4C08A" w14:textId="77777777" w:rsidR="00000000" w:rsidRDefault="00405D16">
            <w:pPr>
              <w:spacing w:after="100"/>
              <w:jc w:val="right"/>
              <w:rPr>
                <w:rFonts w:eastAsia="Times New Roman"/>
              </w:rPr>
            </w:pPr>
            <w:r>
              <w:rPr>
                <w:rFonts w:eastAsia="Times New Roman"/>
                <w:b/>
                <w:bCs/>
                <w:color w:val="000000"/>
                <w:sz w:val="18"/>
                <w:szCs w:val="18"/>
              </w:rPr>
              <w:t>(411)</w:t>
            </w:r>
          </w:p>
        </w:tc>
        <w:tc>
          <w:tcPr>
            <w:tcW w:w="0" w:type="auto"/>
            <w:shd w:val="clear" w:color="auto" w:fill="FFFFFF"/>
            <w:tcMar>
              <w:top w:w="30" w:type="dxa"/>
              <w:left w:w="0" w:type="dxa"/>
              <w:bottom w:w="30" w:type="dxa"/>
              <w:right w:w="20" w:type="dxa"/>
            </w:tcMar>
            <w:vAlign w:val="center"/>
            <w:hideMark/>
          </w:tcPr>
          <w:p w14:paraId="048B552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4ED671"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B859102"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6E18B930" w14:textId="77777777" w:rsidR="00000000" w:rsidRDefault="00405D16">
            <w:pPr>
              <w:spacing w:after="100"/>
              <w:jc w:val="right"/>
              <w:rPr>
                <w:rFonts w:eastAsia="Times New Roman"/>
              </w:rPr>
            </w:pPr>
            <w:r>
              <w:rPr>
                <w:rFonts w:eastAsia="Times New Roman"/>
                <w:b/>
                <w:bCs/>
                <w:color w:val="000000"/>
                <w:sz w:val="18"/>
                <w:szCs w:val="18"/>
              </w:rPr>
              <w:t>(1,305)</w:t>
            </w:r>
          </w:p>
        </w:tc>
        <w:tc>
          <w:tcPr>
            <w:tcW w:w="0" w:type="auto"/>
            <w:shd w:val="clear" w:color="auto" w:fill="FFFFFF"/>
            <w:tcMar>
              <w:top w:w="30" w:type="dxa"/>
              <w:left w:w="0" w:type="dxa"/>
              <w:bottom w:w="30" w:type="dxa"/>
              <w:right w:w="20" w:type="dxa"/>
            </w:tcMar>
            <w:vAlign w:val="center"/>
            <w:hideMark/>
          </w:tcPr>
          <w:p w14:paraId="458560D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E21D5C"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58D1DCE"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1BD10FA" w14:textId="77777777" w:rsidR="00000000" w:rsidRDefault="00405D16">
            <w:pPr>
              <w:spacing w:after="100"/>
              <w:jc w:val="right"/>
              <w:rPr>
                <w:rFonts w:eastAsia="Times New Roman"/>
              </w:rPr>
            </w:pPr>
            <w:r>
              <w:rPr>
                <w:rFonts w:eastAsia="Times New Roman"/>
                <w:color w:val="000000"/>
                <w:sz w:val="18"/>
                <w:szCs w:val="18"/>
              </w:rPr>
              <w:t>1,903 </w:t>
            </w:r>
          </w:p>
        </w:tc>
        <w:tc>
          <w:tcPr>
            <w:tcW w:w="0" w:type="auto"/>
            <w:shd w:val="clear" w:color="auto" w:fill="FFFFFF"/>
            <w:tcMar>
              <w:top w:w="30" w:type="dxa"/>
              <w:left w:w="0" w:type="dxa"/>
              <w:bottom w:w="30" w:type="dxa"/>
              <w:right w:w="20" w:type="dxa"/>
            </w:tcMar>
            <w:vAlign w:val="bottom"/>
            <w:hideMark/>
          </w:tcPr>
          <w:p w14:paraId="1D40EF9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33F9C6"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802082E"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100B217" w14:textId="77777777" w:rsidR="00000000" w:rsidRDefault="00405D16">
            <w:pPr>
              <w:spacing w:after="100"/>
              <w:jc w:val="right"/>
              <w:rPr>
                <w:rFonts w:eastAsia="Times New Roman"/>
              </w:rPr>
            </w:pPr>
            <w:r>
              <w:rPr>
                <w:rFonts w:eastAsia="Times New Roman"/>
                <w:color w:val="000000"/>
                <w:sz w:val="18"/>
                <w:szCs w:val="18"/>
              </w:rPr>
              <w:t>456 </w:t>
            </w:r>
          </w:p>
        </w:tc>
        <w:tc>
          <w:tcPr>
            <w:tcW w:w="0" w:type="auto"/>
            <w:shd w:val="clear" w:color="auto" w:fill="FFFFFF"/>
            <w:tcMar>
              <w:top w:w="30" w:type="dxa"/>
              <w:left w:w="0" w:type="dxa"/>
              <w:bottom w:w="30" w:type="dxa"/>
              <w:right w:w="20" w:type="dxa"/>
            </w:tcMar>
            <w:vAlign w:val="bottom"/>
            <w:hideMark/>
          </w:tcPr>
          <w:p w14:paraId="02BCECF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DC1DBF"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B6DE396"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1C0A8A4" w14:textId="77777777" w:rsidR="00000000" w:rsidRDefault="00405D16">
            <w:pPr>
              <w:spacing w:after="100"/>
              <w:jc w:val="right"/>
              <w:rPr>
                <w:rFonts w:eastAsia="Times New Roman"/>
              </w:rPr>
            </w:pPr>
            <w:r>
              <w:rPr>
                <w:rFonts w:eastAsia="Times New Roman"/>
                <w:color w:val="000000"/>
                <w:sz w:val="18"/>
                <w:szCs w:val="18"/>
              </w:rPr>
              <w:t>1,447 </w:t>
            </w:r>
          </w:p>
        </w:tc>
        <w:tc>
          <w:tcPr>
            <w:tcW w:w="0" w:type="auto"/>
            <w:shd w:val="clear" w:color="auto" w:fill="FFFFFF"/>
            <w:tcMar>
              <w:top w:w="30" w:type="dxa"/>
              <w:left w:w="0" w:type="dxa"/>
              <w:bottom w:w="30" w:type="dxa"/>
              <w:right w:w="20" w:type="dxa"/>
            </w:tcMar>
            <w:vAlign w:val="bottom"/>
            <w:hideMark/>
          </w:tcPr>
          <w:p w14:paraId="4712696E" w14:textId="77777777" w:rsidR="00000000" w:rsidRDefault="00405D16">
            <w:pPr>
              <w:spacing w:after="100"/>
              <w:jc w:val="right"/>
              <w:rPr>
                <w:rFonts w:eastAsia="Times New Roman"/>
              </w:rPr>
            </w:pPr>
          </w:p>
        </w:tc>
        <w:tc>
          <w:tcPr>
            <w:tcW w:w="0" w:type="auto"/>
            <w:vAlign w:val="center"/>
            <w:hideMark/>
          </w:tcPr>
          <w:p w14:paraId="2863703D" w14:textId="77777777" w:rsidR="00000000" w:rsidRDefault="00405D16">
            <w:pPr>
              <w:spacing w:after="100"/>
              <w:jc w:val="right"/>
              <w:rPr>
                <w:rFonts w:eastAsia="Times New Roman"/>
                <w:sz w:val="20"/>
                <w:szCs w:val="20"/>
              </w:rPr>
            </w:pPr>
          </w:p>
        </w:tc>
        <w:tc>
          <w:tcPr>
            <w:tcW w:w="0" w:type="auto"/>
            <w:vAlign w:val="center"/>
            <w:hideMark/>
          </w:tcPr>
          <w:p w14:paraId="09D58E62" w14:textId="77777777" w:rsidR="00000000" w:rsidRDefault="00405D16">
            <w:pPr>
              <w:spacing w:after="100"/>
              <w:rPr>
                <w:rFonts w:eastAsia="Times New Roman"/>
                <w:sz w:val="20"/>
                <w:szCs w:val="20"/>
              </w:rPr>
            </w:pPr>
          </w:p>
        </w:tc>
        <w:tc>
          <w:tcPr>
            <w:tcW w:w="0" w:type="auto"/>
            <w:gridSpan w:val="3"/>
            <w:vAlign w:val="center"/>
            <w:hideMark/>
          </w:tcPr>
          <w:p w14:paraId="60C3FE3F" w14:textId="77777777" w:rsidR="00000000" w:rsidRDefault="00405D16">
            <w:pPr>
              <w:spacing w:after="100"/>
              <w:rPr>
                <w:rFonts w:eastAsia="Times New Roman"/>
                <w:sz w:val="20"/>
                <w:szCs w:val="20"/>
              </w:rPr>
            </w:pPr>
          </w:p>
        </w:tc>
        <w:tc>
          <w:tcPr>
            <w:tcW w:w="0" w:type="auto"/>
            <w:gridSpan w:val="3"/>
            <w:vAlign w:val="center"/>
            <w:hideMark/>
          </w:tcPr>
          <w:p w14:paraId="59FD9D03" w14:textId="77777777" w:rsidR="00000000" w:rsidRDefault="00405D16">
            <w:pPr>
              <w:spacing w:after="100"/>
              <w:rPr>
                <w:rFonts w:eastAsia="Times New Roman"/>
                <w:sz w:val="20"/>
                <w:szCs w:val="20"/>
              </w:rPr>
            </w:pPr>
          </w:p>
        </w:tc>
        <w:tc>
          <w:tcPr>
            <w:tcW w:w="0" w:type="auto"/>
            <w:gridSpan w:val="3"/>
            <w:vAlign w:val="center"/>
            <w:hideMark/>
          </w:tcPr>
          <w:p w14:paraId="717D6C08" w14:textId="77777777" w:rsidR="00000000" w:rsidRDefault="00405D16">
            <w:pPr>
              <w:spacing w:after="100"/>
              <w:rPr>
                <w:rFonts w:eastAsia="Times New Roman"/>
                <w:sz w:val="20"/>
                <w:szCs w:val="20"/>
              </w:rPr>
            </w:pPr>
          </w:p>
        </w:tc>
        <w:tc>
          <w:tcPr>
            <w:tcW w:w="0" w:type="auto"/>
            <w:gridSpan w:val="3"/>
            <w:vAlign w:val="center"/>
            <w:hideMark/>
          </w:tcPr>
          <w:p w14:paraId="73A656FB" w14:textId="77777777" w:rsidR="00000000" w:rsidRDefault="00405D16">
            <w:pPr>
              <w:spacing w:after="100"/>
              <w:rPr>
                <w:rFonts w:eastAsia="Times New Roman"/>
                <w:sz w:val="20"/>
                <w:szCs w:val="20"/>
              </w:rPr>
            </w:pPr>
          </w:p>
        </w:tc>
      </w:tr>
      <w:tr w:rsidR="00000000" w14:paraId="0B5FCE07" w14:textId="77777777">
        <w:tc>
          <w:tcPr>
            <w:tcW w:w="0" w:type="auto"/>
            <w:gridSpan w:val="3"/>
            <w:shd w:val="clear" w:color="auto" w:fill="CCEEFF"/>
            <w:tcMar>
              <w:top w:w="30" w:type="dxa"/>
              <w:left w:w="20" w:type="dxa"/>
              <w:bottom w:w="30" w:type="dxa"/>
              <w:right w:w="20" w:type="dxa"/>
            </w:tcMar>
            <w:vAlign w:val="center"/>
            <w:hideMark/>
          </w:tcPr>
          <w:p w14:paraId="40DF2503" w14:textId="77777777" w:rsidR="00000000" w:rsidRDefault="00405D16">
            <w:pPr>
              <w:spacing w:after="100"/>
              <w:rPr>
                <w:rFonts w:eastAsia="Times New Roman"/>
              </w:rPr>
            </w:pPr>
            <w:r>
              <w:rPr>
                <w:rFonts w:eastAsia="Times New Roman"/>
                <w:color w:val="000000"/>
                <w:sz w:val="18"/>
                <w:szCs w:val="18"/>
              </w:rPr>
              <w:t>Net unrealized gains (losses) on hedging relationships</w:t>
            </w:r>
          </w:p>
        </w:tc>
        <w:tc>
          <w:tcPr>
            <w:tcW w:w="0" w:type="auto"/>
            <w:gridSpan w:val="3"/>
            <w:shd w:val="clear" w:color="auto" w:fill="CCEEFF"/>
            <w:tcMar>
              <w:top w:w="0" w:type="dxa"/>
              <w:left w:w="20" w:type="dxa"/>
              <w:bottom w:w="0" w:type="dxa"/>
              <w:right w:w="20" w:type="dxa"/>
            </w:tcMar>
            <w:vAlign w:val="center"/>
            <w:hideMark/>
          </w:tcPr>
          <w:p w14:paraId="4B9BAF9E"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EAD1DD6" w14:textId="77777777" w:rsidR="00000000" w:rsidRDefault="00405D16">
            <w:pPr>
              <w:spacing w:after="100"/>
              <w:jc w:val="right"/>
              <w:rPr>
                <w:rFonts w:eastAsia="Times New Roman"/>
              </w:rPr>
            </w:pPr>
            <w:r>
              <w:rPr>
                <w:rFonts w:eastAsia="Times New Roman"/>
                <w:b/>
                <w:bCs/>
                <w:color w:val="000000"/>
                <w:sz w:val="18"/>
                <w:szCs w:val="18"/>
              </w:rPr>
              <w:t>(1,089)</w:t>
            </w:r>
          </w:p>
        </w:tc>
        <w:tc>
          <w:tcPr>
            <w:tcW w:w="0" w:type="auto"/>
            <w:shd w:val="clear" w:color="auto" w:fill="CCEEFF"/>
            <w:tcMar>
              <w:top w:w="30" w:type="dxa"/>
              <w:left w:w="0" w:type="dxa"/>
              <w:bottom w:w="30" w:type="dxa"/>
              <w:right w:w="20" w:type="dxa"/>
            </w:tcMar>
            <w:vAlign w:val="center"/>
            <w:hideMark/>
          </w:tcPr>
          <w:p w14:paraId="425E61A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D40A8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6A47087" w14:textId="77777777" w:rsidR="00000000" w:rsidRDefault="00405D16">
            <w:pPr>
              <w:spacing w:after="100"/>
              <w:jc w:val="right"/>
              <w:rPr>
                <w:rFonts w:eastAsia="Times New Roman"/>
              </w:rPr>
            </w:pPr>
            <w:r>
              <w:rPr>
                <w:rFonts w:eastAsia="Times New Roman"/>
                <w:b/>
                <w:bCs/>
                <w:color w:val="000000"/>
                <w:sz w:val="18"/>
                <w:szCs w:val="18"/>
              </w:rPr>
              <w:t>(262)</w:t>
            </w:r>
          </w:p>
        </w:tc>
        <w:tc>
          <w:tcPr>
            <w:tcW w:w="0" w:type="auto"/>
            <w:shd w:val="clear" w:color="auto" w:fill="CCEEFF"/>
            <w:tcMar>
              <w:top w:w="30" w:type="dxa"/>
              <w:left w:w="0" w:type="dxa"/>
              <w:bottom w:w="30" w:type="dxa"/>
              <w:right w:w="20" w:type="dxa"/>
            </w:tcMar>
            <w:vAlign w:val="center"/>
            <w:hideMark/>
          </w:tcPr>
          <w:p w14:paraId="3D7DA73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8496F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1A12F9E" w14:textId="77777777" w:rsidR="00000000" w:rsidRDefault="00405D16">
            <w:pPr>
              <w:spacing w:after="100"/>
              <w:jc w:val="right"/>
              <w:rPr>
                <w:rFonts w:eastAsia="Times New Roman"/>
              </w:rPr>
            </w:pPr>
            <w:r>
              <w:rPr>
                <w:rFonts w:eastAsia="Times New Roman"/>
                <w:b/>
                <w:bCs/>
                <w:color w:val="000000"/>
                <w:sz w:val="18"/>
                <w:szCs w:val="18"/>
              </w:rPr>
              <w:t>(827)</w:t>
            </w:r>
          </w:p>
        </w:tc>
        <w:tc>
          <w:tcPr>
            <w:tcW w:w="0" w:type="auto"/>
            <w:shd w:val="clear" w:color="auto" w:fill="CCEEFF"/>
            <w:tcMar>
              <w:top w:w="30" w:type="dxa"/>
              <w:left w:w="0" w:type="dxa"/>
              <w:bottom w:w="30" w:type="dxa"/>
              <w:right w:w="20" w:type="dxa"/>
            </w:tcMar>
            <w:vAlign w:val="center"/>
            <w:hideMark/>
          </w:tcPr>
          <w:p w14:paraId="0FAC93B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ABD31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CDB347" w14:textId="77777777" w:rsidR="00000000" w:rsidRDefault="00405D16">
            <w:pPr>
              <w:spacing w:after="100"/>
              <w:jc w:val="right"/>
              <w:rPr>
                <w:rFonts w:eastAsia="Times New Roman"/>
              </w:rPr>
            </w:pPr>
            <w:r>
              <w:rPr>
                <w:rFonts w:eastAsia="Times New Roman"/>
                <w:color w:val="000000"/>
                <w:sz w:val="18"/>
                <w:szCs w:val="18"/>
              </w:rPr>
              <w:t>1,653 </w:t>
            </w:r>
          </w:p>
        </w:tc>
        <w:tc>
          <w:tcPr>
            <w:tcW w:w="0" w:type="auto"/>
            <w:shd w:val="clear" w:color="auto" w:fill="CCEEFF"/>
            <w:tcMar>
              <w:top w:w="30" w:type="dxa"/>
              <w:left w:w="0" w:type="dxa"/>
              <w:bottom w:w="30" w:type="dxa"/>
              <w:right w:w="20" w:type="dxa"/>
            </w:tcMar>
            <w:vAlign w:val="bottom"/>
            <w:hideMark/>
          </w:tcPr>
          <w:p w14:paraId="5A63A52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C3946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20CE9E" w14:textId="77777777" w:rsidR="00000000" w:rsidRDefault="00405D16">
            <w:pPr>
              <w:spacing w:after="100"/>
              <w:jc w:val="right"/>
              <w:rPr>
                <w:rFonts w:eastAsia="Times New Roman"/>
              </w:rPr>
            </w:pPr>
            <w:r>
              <w:rPr>
                <w:rFonts w:eastAsia="Times New Roman"/>
                <w:color w:val="000000"/>
                <w:sz w:val="18"/>
                <w:szCs w:val="18"/>
              </w:rPr>
              <w:t>397 </w:t>
            </w:r>
          </w:p>
        </w:tc>
        <w:tc>
          <w:tcPr>
            <w:tcW w:w="0" w:type="auto"/>
            <w:shd w:val="clear" w:color="auto" w:fill="CCEEFF"/>
            <w:tcMar>
              <w:top w:w="30" w:type="dxa"/>
              <w:left w:w="0" w:type="dxa"/>
              <w:bottom w:w="30" w:type="dxa"/>
              <w:right w:w="20" w:type="dxa"/>
            </w:tcMar>
            <w:vAlign w:val="bottom"/>
            <w:hideMark/>
          </w:tcPr>
          <w:p w14:paraId="5AA35AC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DDE31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5E2461" w14:textId="77777777" w:rsidR="00000000" w:rsidRDefault="00405D16">
            <w:pPr>
              <w:spacing w:after="100"/>
              <w:jc w:val="right"/>
              <w:rPr>
                <w:rFonts w:eastAsia="Times New Roman"/>
              </w:rPr>
            </w:pPr>
            <w:r>
              <w:rPr>
                <w:rFonts w:eastAsia="Times New Roman"/>
                <w:color w:val="000000"/>
                <w:sz w:val="18"/>
                <w:szCs w:val="18"/>
              </w:rPr>
              <w:t>1,256 </w:t>
            </w:r>
          </w:p>
        </w:tc>
        <w:tc>
          <w:tcPr>
            <w:tcW w:w="0" w:type="auto"/>
            <w:shd w:val="clear" w:color="auto" w:fill="CCEEFF"/>
            <w:tcMar>
              <w:top w:w="30" w:type="dxa"/>
              <w:left w:w="0" w:type="dxa"/>
              <w:bottom w:w="30" w:type="dxa"/>
              <w:right w:w="20" w:type="dxa"/>
            </w:tcMar>
            <w:vAlign w:val="bottom"/>
            <w:hideMark/>
          </w:tcPr>
          <w:p w14:paraId="04A65F1B" w14:textId="77777777" w:rsidR="00000000" w:rsidRDefault="00405D16">
            <w:pPr>
              <w:spacing w:after="100"/>
              <w:jc w:val="right"/>
              <w:rPr>
                <w:rFonts w:eastAsia="Times New Roman"/>
              </w:rPr>
            </w:pPr>
          </w:p>
        </w:tc>
        <w:tc>
          <w:tcPr>
            <w:tcW w:w="0" w:type="auto"/>
            <w:vAlign w:val="center"/>
            <w:hideMark/>
          </w:tcPr>
          <w:p w14:paraId="7D9B3551" w14:textId="77777777" w:rsidR="00000000" w:rsidRDefault="00405D16">
            <w:pPr>
              <w:spacing w:after="100"/>
              <w:jc w:val="right"/>
              <w:rPr>
                <w:rFonts w:eastAsia="Times New Roman"/>
                <w:sz w:val="20"/>
                <w:szCs w:val="20"/>
              </w:rPr>
            </w:pPr>
          </w:p>
        </w:tc>
        <w:tc>
          <w:tcPr>
            <w:tcW w:w="0" w:type="auto"/>
            <w:vAlign w:val="center"/>
            <w:hideMark/>
          </w:tcPr>
          <w:p w14:paraId="46597291" w14:textId="77777777" w:rsidR="00000000" w:rsidRDefault="00405D16">
            <w:pPr>
              <w:spacing w:after="100"/>
              <w:rPr>
                <w:rFonts w:eastAsia="Times New Roman"/>
                <w:sz w:val="20"/>
                <w:szCs w:val="20"/>
              </w:rPr>
            </w:pPr>
          </w:p>
        </w:tc>
        <w:tc>
          <w:tcPr>
            <w:tcW w:w="0" w:type="auto"/>
            <w:gridSpan w:val="3"/>
            <w:vAlign w:val="center"/>
            <w:hideMark/>
          </w:tcPr>
          <w:p w14:paraId="708CEE2E" w14:textId="77777777" w:rsidR="00000000" w:rsidRDefault="00405D16">
            <w:pPr>
              <w:spacing w:after="100"/>
              <w:rPr>
                <w:rFonts w:eastAsia="Times New Roman"/>
                <w:sz w:val="20"/>
                <w:szCs w:val="20"/>
              </w:rPr>
            </w:pPr>
          </w:p>
        </w:tc>
        <w:tc>
          <w:tcPr>
            <w:tcW w:w="0" w:type="auto"/>
            <w:gridSpan w:val="3"/>
            <w:vAlign w:val="center"/>
            <w:hideMark/>
          </w:tcPr>
          <w:p w14:paraId="699A3BD1" w14:textId="77777777" w:rsidR="00000000" w:rsidRDefault="00405D16">
            <w:pPr>
              <w:spacing w:after="100"/>
              <w:rPr>
                <w:rFonts w:eastAsia="Times New Roman"/>
                <w:sz w:val="20"/>
                <w:szCs w:val="20"/>
              </w:rPr>
            </w:pPr>
          </w:p>
        </w:tc>
        <w:tc>
          <w:tcPr>
            <w:tcW w:w="0" w:type="auto"/>
            <w:gridSpan w:val="3"/>
            <w:vAlign w:val="center"/>
            <w:hideMark/>
          </w:tcPr>
          <w:p w14:paraId="5CF5AA59" w14:textId="77777777" w:rsidR="00000000" w:rsidRDefault="00405D16">
            <w:pPr>
              <w:spacing w:after="100"/>
              <w:rPr>
                <w:rFonts w:eastAsia="Times New Roman"/>
                <w:sz w:val="20"/>
                <w:szCs w:val="20"/>
              </w:rPr>
            </w:pPr>
          </w:p>
        </w:tc>
        <w:tc>
          <w:tcPr>
            <w:tcW w:w="0" w:type="auto"/>
            <w:gridSpan w:val="3"/>
            <w:vAlign w:val="center"/>
            <w:hideMark/>
          </w:tcPr>
          <w:p w14:paraId="579507F9" w14:textId="77777777" w:rsidR="00000000" w:rsidRDefault="00405D16">
            <w:pPr>
              <w:spacing w:after="100"/>
              <w:rPr>
                <w:rFonts w:eastAsia="Times New Roman"/>
                <w:sz w:val="20"/>
                <w:szCs w:val="20"/>
              </w:rPr>
            </w:pPr>
          </w:p>
        </w:tc>
      </w:tr>
      <w:tr w:rsidR="00000000" w14:paraId="34A271A0" w14:textId="77777777">
        <w:tc>
          <w:tcPr>
            <w:tcW w:w="0" w:type="auto"/>
            <w:gridSpan w:val="3"/>
            <w:shd w:val="clear" w:color="auto" w:fill="FFFFFF"/>
            <w:tcMar>
              <w:top w:w="30" w:type="dxa"/>
              <w:left w:w="20" w:type="dxa"/>
              <w:bottom w:w="30" w:type="dxa"/>
              <w:right w:w="20" w:type="dxa"/>
            </w:tcMar>
            <w:vAlign w:val="center"/>
            <w:hideMark/>
          </w:tcPr>
          <w:p w14:paraId="756F8B9A" w14:textId="77777777" w:rsidR="00000000" w:rsidRDefault="00405D16">
            <w:pPr>
              <w:spacing w:after="100"/>
              <w:divId w:val="263729493"/>
              <w:rPr>
                <w:rFonts w:eastAsia="Times New Roman"/>
              </w:rPr>
            </w:pPr>
            <w:r>
              <w:rPr>
                <w:rFonts w:eastAsia="Times New Roman"/>
                <w:color w:val="000000"/>
                <w:sz w:val="18"/>
                <w:szCs w:val="18"/>
              </w:rPr>
              <w:t>Foreign currency translation adjustment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534B8177"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2B28913" w14:textId="77777777" w:rsidR="00000000" w:rsidRDefault="00405D16">
            <w:pPr>
              <w:spacing w:after="100"/>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641656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DB456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8017FD7" w14:textId="77777777" w:rsidR="00000000" w:rsidRDefault="00405D16">
            <w:pPr>
              <w:spacing w:after="100"/>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C9240A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C6657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3302FC5" w14:textId="77777777" w:rsidR="00000000" w:rsidRDefault="00405D16">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AA57DB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D4DE1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585DC3" w14:textId="77777777" w:rsidR="00000000" w:rsidRDefault="00405D16">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bottom"/>
            <w:hideMark/>
          </w:tcPr>
          <w:p w14:paraId="1711DA0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E636B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CE64E5" w14:textId="77777777" w:rsidR="00000000" w:rsidRDefault="00405D16">
            <w:pPr>
              <w:spacing w:after="100"/>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vAlign w:val="bottom"/>
            <w:hideMark/>
          </w:tcPr>
          <w:p w14:paraId="2D01918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3927C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B81CE5" w14:textId="77777777" w:rsidR="00000000" w:rsidRDefault="00405D16">
            <w:pPr>
              <w:spacing w:after="100"/>
              <w:jc w:val="right"/>
              <w:rPr>
                <w:rFonts w:eastAsia="Times New Roman"/>
              </w:rPr>
            </w:pPr>
            <w:r>
              <w:rPr>
                <w:rFonts w:eastAsia="Times New Roman"/>
                <w:color w:val="000000"/>
                <w:sz w:val="18"/>
                <w:szCs w:val="18"/>
              </w:rPr>
              <w:t>(16)</w:t>
            </w:r>
          </w:p>
        </w:tc>
        <w:tc>
          <w:tcPr>
            <w:tcW w:w="0" w:type="auto"/>
            <w:shd w:val="clear" w:color="auto" w:fill="FFFFFF"/>
            <w:tcMar>
              <w:top w:w="30" w:type="dxa"/>
              <w:left w:w="0" w:type="dxa"/>
              <w:bottom w:w="30" w:type="dxa"/>
              <w:right w:w="20" w:type="dxa"/>
            </w:tcMar>
            <w:vAlign w:val="bottom"/>
            <w:hideMark/>
          </w:tcPr>
          <w:p w14:paraId="01392CA0" w14:textId="77777777" w:rsidR="00000000" w:rsidRDefault="00405D16">
            <w:pPr>
              <w:spacing w:after="100"/>
              <w:jc w:val="right"/>
              <w:rPr>
                <w:rFonts w:eastAsia="Times New Roman"/>
              </w:rPr>
            </w:pPr>
          </w:p>
        </w:tc>
        <w:tc>
          <w:tcPr>
            <w:tcW w:w="0" w:type="auto"/>
            <w:vAlign w:val="center"/>
            <w:hideMark/>
          </w:tcPr>
          <w:p w14:paraId="0971A8C8" w14:textId="77777777" w:rsidR="00000000" w:rsidRDefault="00405D16">
            <w:pPr>
              <w:spacing w:after="100"/>
              <w:jc w:val="right"/>
              <w:rPr>
                <w:rFonts w:eastAsia="Times New Roman"/>
                <w:sz w:val="20"/>
                <w:szCs w:val="20"/>
              </w:rPr>
            </w:pPr>
          </w:p>
        </w:tc>
        <w:tc>
          <w:tcPr>
            <w:tcW w:w="0" w:type="auto"/>
            <w:vAlign w:val="center"/>
            <w:hideMark/>
          </w:tcPr>
          <w:p w14:paraId="6864AC0A" w14:textId="77777777" w:rsidR="00000000" w:rsidRDefault="00405D16">
            <w:pPr>
              <w:spacing w:after="100"/>
              <w:rPr>
                <w:rFonts w:eastAsia="Times New Roman"/>
                <w:sz w:val="20"/>
                <w:szCs w:val="20"/>
              </w:rPr>
            </w:pPr>
          </w:p>
        </w:tc>
        <w:tc>
          <w:tcPr>
            <w:tcW w:w="0" w:type="auto"/>
            <w:gridSpan w:val="3"/>
            <w:vAlign w:val="center"/>
            <w:hideMark/>
          </w:tcPr>
          <w:p w14:paraId="7928E77D" w14:textId="77777777" w:rsidR="00000000" w:rsidRDefault="00405D16">
            <w:pPr>
              <w:spacing w:after="100"/>
              <w:rPr>
                <w:rFonts w:eastAsia="Times New Roman"/>
                <w:sz w:val="20"/>
                <w:szCs w:val="20"/>
              </w:rPr>
            </w:pPr>
          </w:p>
        </w:tc>
        <w:tc>
          <w:tcPr>
            <w:tcW w:w="0" w:type="auto"/>
            <w:gridSpan w:val="3"/>
            <w:vAlign w:val="center"/>
            <w:hideMark/>
          </w:tcPr>
          <w:p w14:paraId="3145A57D" w14:textId="77777777" w:rsidR="00000000" w:rsidRDefault="00405D16">
            <w:pPr>
              <w:spacing w:after="100"/>
              <w:rPr>
                <w:rFonts w:eastAsia="Times New Roman"/>
                <w:sz w:val="20"/>
                <w:szCs w:val="20"/>
              </w:rPr>
            </w:pPr>
          </w:p>
        </w:tc>
        <w:tc>
          <w:tcPr>
            <w:tcW w:w="0" w:type="auto"/>
            <w:gridSpan w:val="3"/>
            <w:vAlign w:val="center"/>
            <w:hideMark/>
          </w:tcPr>
          <w:p w14:paraId="57EA88A5" w14:textId="77777777" w:rsidR="00000000" w:rsidRDefault="00405D16">
            <w:pPr>
              <w:spacing w:after="100"/>
              <w:rPr>
                <w:rFonts w:eastAsia="Times New Roman"/>
                <w:sz w:val="20"/>
                <w:szCs w:val="20"/>
              </w:rPr>
            </w:pPr>
          </w:p>
        </w:tc>
        <w:tc>
          <w:tcPr>
            <w:tcW w:w="0" w:type="auto"/>
            <w:gridSpan w:val="3"/>
            <w:vAlign w:val="center"/>
            <w:hideMark/>
          </w:tcPr>
          <w:p w14:paraId="5B8912C8" w14:textId="77777777" w:rsidR="00000000" w:rsidRDefault="00405D16">
            <w:pPr>
              <w:spacing w:after="100"/>
              <w:rPr>
                <w:rFonts w:eastAsia="Times New Roman"/>
                <w:sz w:val="20"/>
                <w:szCs w:val="20"/>
              </w:rPr>
            </w:pPr>
          </w:p>
        </w:tc>
      </w:tr>
      <w:tr w:rsidR="00000000" w14:paraId="34D1F0A0" w14:textId="77777777">
        <w:tc>
          <w:tcPr>
            <w:tcW w:w="0" w:type="auto"/>
            <w:gridSpan w:val="3"/>
            <w:shd w:val="clear" w:color="auto" w:fill="CCEEFF"/>
            <w:tcMar>
              <w:top w:w="30" w:type="dxa"/>
              <w:left w:w="20" w:type="dxa"/>
              <w:bottom w:w="30" w:type="dxa"/>
              <w:right w:w="20" w:type="dxa"/>
            </w:tcMar>
            <w:vAlign w:val="center"/>
            <w:hideMark/>
          </w:tcPr>
          <w:p w14:paraId="56EDE156" w14:textId="77777777" w:rsidR="00000000" w:rsidRDefault="00405D16">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14:paraId="7EEA94C1"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8599B44" w14:textId="77777777" w:rsidR="00000000" w:rsidRDefault="00405D16">
            <w:pPr>
              <w:spacing w:after="100"/>
              <w:jc w:val="right"/>
              <w:rPr>
                <w:rFonts w:eastAsia="Times New Roman"/>
              </w:rPr>
            </w:pPr>
            <w:r>
              <w:rPr>
                <w:rFonts w:eastAsia="Times New Roman"/>
                <w:b/>
                <w:bCs/>
                <w:color w:val="000000"/>
                <w:sz w:val="18"/>
                <w:szCs w:val="18"/>
              </w:rPr>
              <w:t>(4)</w:t>
            </w:r>
          </w:p>
        </w:tc>
        <w:tc>
          <w:tcPr>
            <w:tcW w:w="0" w:type="auto"/>
            <w:shd w:val="clear" w:color="auto" w:fill="CCEEFF"/>
            <w:tcMar>
              <w:top w:w="30" w:type="dxa"/>
              <w:left w:w="0" w:type="dxa"/>
              <w:bottom w:w="30" w:type="dxa"/>
              <w:right w:w="20" w:type="dxa"/>
            </w:tcMar>
            <w:vAlign w:val="center"/>
            <w:hideMark/>
          </w:tcPr>
          <w:p w14:paraId="70A6299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964DF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E38C022" w14:textId="77777777" w:rsidR="00000000" w:rsidRDefault="00405D16">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center"/>
            <w:hideMark/>
          </w:tcPr>
          <w:p w14:paraId="122FD14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7CBDF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F900AB6" w14:textId="77777777" w:rsidR="00000000" w:rsidRDefault="00405D16">
            <w:pPr>
              <w:spacing w:after="100"/>
              <w:jc w:val="right"/>
              <w:rPr>
                <w:rFonts w:eastAsia="Times New Roman"/>
              </w:rPr>
            </w:pPr>
            <w:r>
              <w:rPr>
                <w:rFonts w:eastAsia="Times New Roman"/>
                <w:b/>
                <w:bCs/>
                <w:color w:val="000000"/>
                <w:sz w:val="18"/>
                <w:szCs w:val="18"/>
              </w:rPr>
              <w:t>(3)</w:t>
            </w:r>
          </w:p>
        </w:tc>
        <w:tc>
          <w:tcPr>
            <w:tcW w:w="0" w:type="auto"/>
            <w:shd w:val="clear" w:color="auto" w:fill="CCEEFF"/>
            <w:tcMar>
              <w:top w:w="30" w:type="dxa"/>
              <w:left w:w="0" w:type="dxa"/>
              <w:bottom w:w="30" w:type="dxa"/>
              <w:right w:w="20" w:type="dxa"/>
            </w:tcMar>
            <w:vAlign w:val="center"/>
            <w:hideMark/>
          </w:tcPr>
          <w:p w14:paraId="53F7D67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EC425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3B8ED27" w14:textId="77777777" w:rsidR="00000000" w:rsidRDefault="00405D16">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center"/>
            <w:hideMark/>
          </w:tcPr>
          <w:p w14:paraId="586EAED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360E0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9C4E48F"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3180F66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79869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02D1909" w14:textId="77777777" w:rsidR="00000000" w:rsidRDefault="00405D16">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center"/>
            <w:hideMark/>
          </w:tcPr>
          <w:p w14:paraId="1D26415E" w14:textId="77777777" w:rsidR="00000000" w:rsidRDefault="00405D16">
            <w:pPr>
              <w:spacing w:after="100"/>
              <w:jc w:val="right"/>
              <w:rPr>
                <w:rFonts w:eastAsia="Times New Roman"/>
              </w:rPr>
            </w:pPr>
          </w:p>
        </w:tc>
        <w:tc>
          <w:tcPr>
            <w:tcW w:w="0" w:type="auto"/>
            <w:vAlign w:val="center"/>
            <w:hideMark/>
          </w:tcPr>
          <w:p w14:paraId="5FA6777B" w14:textId="77777777" w:rsidR="00000000" w:rsidRDefault="00405D16">
            <w:pPr>
              <w:spacing w:after="100"/>
              <w:jc w:val="right"/>
              <w:rPr>
                <w:rFonts w:eastAsia="Times New Roman"/>
                <w:sz w:val="20"/>
                <w:szCs w:val="20"/>
              </w:rPr>
            </w:pPr>
          </w:p>
        </w:tc>
        <w:tc>
          <w:tcPr>
            <w:tcW w:w="0" w:type="auto"/>
            <w:vAlign w:val="center"/>
            <w:hideMark/>
          </w:tcPr>
          <w:p w14:paraId="10429CB4" w14:textId="77777777" w:rsidR="00000000" w:rsidRDefault="00405D16">
            <w:pPr>
              <w:spacing w:after="100"/>
              <w:rPr>
                <w:rFonts w:eastAsia="Times New Roman"/>
                <w:sz w:val="20"/>
                <w:szCs w:val="20"/>
              </w:rPr>
            </w:pPr>
          </w:p>
        </w:tc>
        <w:tc>
          <w:tcPr>
            <w:tcW w:w="0" w:type="auto"/>
            <w:gridSpan w:val="3"/>
            <w:vAlign w:val="center"/>
            <w:hideMark/>
          </w:tcPr>
          <w:p w14:paraId="668251E5" w14:textId="77777777" w:rsidR="00000000" w:rsidRDefault="00405D16">
            <w:pPr>
              <w:spacing w:after="100"/>
              <w:rPr>
                <w:rFonts w:eastAsia="Times New Roman"/>
                <w:sz w:val="20"/>
                <w:szCs w:val="20"/>
              </w:rPr>
            </w:pPr>
          </w:p>
        </w:tc>
        <w:tc>
          <w:tcPr>
            <w:tcW w:w="0" w:type="auto"/>
            <w:gridSpan w:val="3"/>
            <w:vAlign w:val="center"/>
            <w:hideMark/>
          </w:tcPr>
          <w:p w14:paraId="308CBA59" w14:textId="77777777" w:rsidR="00000000" w:rsidRDefault="00405D16">
            <w:pPr>
              <w:spacing w:after="100"/>
              <w:rPr>
                <w:rFonts w:eastAsia="Times New Roman"/>
                <w:sz w:val="20"/>
                <w:szCs w:val="20"/>
              </w:rPr>
            </w:pPr>
          </w:p>
        </w:tc>
        <w:tc>
          <w:tcPr>
            <w:tcW w:w="0" w:type="auto"/>
            <w:gridSpan w:val="3"/>
            <w:vAlign w:val="center"/>
            <w:hideMark/>
          </w:tcPr>
          <w:p w14:paraId="21D5C159" w14:textId="77777777" w:rsidR="00000000" w:rsidRDefault="00405D16">
            <w:pPr>
              <w:spacing w:after="100"/>
              <w:rPr>
                <w:rFonts w:eastAsia="Times New Roman"/>
                <w:sz w:val="20"/>
                <w:szCs w:val="20"/>
              </w:rPr>
            </w:pPr>
          </w:p>
        </w:tc>
        <w:tc>
          <w:tcPr>
            <w:tcW w:w="0" w:type="auto"/>
            <w:gridSpan w:val="3"/>
            <w:vAlign w:val="center"/>
            <w:hideMark/>
          </w:tcPr>
          <w:p w14:paraId="20674515" w14:textId="77777777" w:rsidR="00000000" w:rsidRDefault="00405D16">
            <w:pPr>
              <w:spacing w:after="100"/>
              <w:rPr>
                <w:rFonts w:eastAsia="Times New Roman"/>
                <w:sz w:val="20"/>
                <w:szCs w:val="20"/>
              </w:rPr>
            </w:pPr>
          </w:p>
        </w:tc>
      </w:tr>
      <w:tr w:rsidR="00000000" w14:paraId="76D62EEF" w14:textId="77777777">
        <w:tc>
          <w:tcPr>
            <w:tcW w:w="0" w:type="auto"/>
            <w:gridSpan w:val="3"/>
            <w:shd w:val="clear" w:color="auto" w:fill="FFFFFF"/>
            <w:tcMar>
              <w:top w:w="30" w:type="dxa"/>
              <w:left w:w="20" w:type="dxa"/>
              <w:bottom w:w="30" w:type="dxa"/>
              <w:right w:w="20" w:type="dxa"/>
            </w:tcMar>
            <w:vAlign w:val="center"/>
            <w:hideMark/>
          </w:tcPr>
          <w:p w14:paraId="7508F43A" w14:textId="77777777" w:rsidR="00000000" w:rsidRDefault="00405D16">
            <w:pPr>
              <w:spacing w:after="100"/>
              <w:rPr>
                <w:rFonts w:eastAsia="Times New Roman"/>
              </w:rPr>
            </w:pPr>
            <w:r>
              <w:rPr>
                <w:rFonts w:eastAsia="Times New Roman"/>
                <w:color w:val="000000"/>
                <w:sz w:val="18"/>
                <w:szCs w:val="18"/>
              </w:rPr>
              <w:t>Other comprehensive income (loss)</w:t>
            </w:r>
          </w:p>
        </w:tc>
        <w:tc>
          <w:tcPr>
            <w:tcW w:w="0" w:type="auto"/>
            <w:gridSpan w:val="3"/>
            <w:shd w:val="clear" w:color="auto" w:fill="FFFFFF"/>
            <w:tcMar>
              <w:top w:w="0" w:type="dxa"/>
              <w:left w:w="20" w:type="dxa"/>
              <w:bottom w:w="0" w:type="dxa"/>
              <w:right w:w="20" w:type="dxa"/>
            </w:tcMar>
            <w:vAlign w:val="center"/>
            <w:hideMark/>
          </w:tcPr>
          <w:p w14:paraId="738E478F"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45C27C5"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E6E7CEB" w14:textId="77777777" w:rsidR="00000000" w:rsidRDefault="00405D16">
            <w:pPr>
              <w:spacing w:after="100"/>
              <w:jc w:val="right"/>
              <w:rPr>
                <w:rFonts w:eastAsia="Times New Roman"/>
              </w:rPr>
            </w:pPr>
            <w:r>
              <w:rPr>
                <w:rFonts w:eastAsia="Times New Roman"/>
                <w:b/>
                <w:bCs/>
                <w:color w:val="000000"/>
                <w:sz w:val="18"/>
                <w:szCs w:val="18"/>
              </w:rPr>
              <w:t>(2,798)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FBB20B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E38C36"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C86CB35"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A2E970E" w14:textId="77777777" w:rsidR="00000000" w:rsidRDefault="00405D16">
            <w:pPr>
              <w:spacing w:after="100"/>
              <w:jc w:val="right"/>
              <w:rPr>
                <w:rFonts w:eastAsia="Times New Roman"/>
              </w:rPr>
            </w:pPr>
            <w:r>
              <w:rPr>
                <w:rFonts w:eastAsia="Times New Roman"/>
                <w:b/>
                <w:bCs/>
                <w:color w:val="000000"/>
                <w:sz w:val="18"/>
                <w:szCs w:val="18"/>
              </w:rPr>
              <w:t>(664)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865D60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D040CD"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152E127"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3943F20" w14:textId="77777777" w:rsidR="00000000" w:rsidRDefault="00405D16">
            <w:pPr>
              <w:spacing w:after="100"/>
              <w:jc w:val="right"/>
              <w:rPr>
                <w:rFonts w:eastAsia="Times New Roman"/>
              </w:rPr>
            </w:pPr>
            <w:r>
              <w:rPr>
                <w:rFonts w:eastAsia="Times New Roman"/>
                <w:b/>
                <w:bCs/>
                <w:color w:val="000000"/>
                <w:sz w:val="18"/>
                <w:szCs w:val="18"/>
              </w:rPr>
              <w:t>(2,134)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946A40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0FEAC6"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BAE914A"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30871D1" w14:textId="77777777" w:rsidR="00000000" w:rsidRDefault="00405D16">
            <w:pPr>
              <w:spacing w:after="100"/>
              <w:jc w:val="right"/>
              <w:rPr>
                <w:rFonts w:eastAsia="Times New Roman"/>
              </w:rPr>
            </w:pPr>
            <w:r>
              <w:rPr>
                <w:rFonts w:eastAsia="Times New Roman"/>
                <w:color w:val="000000"/>
                <w:sz w:val="18"/>
                <w:szCs w:val="18"/>
              </w:rPr>
              <w:t>3,557 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6031FA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E29434"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F5C4165"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1458380" w14:textId="77777777" w:rsidR="00000000" w:rsidRDefault="00405D16">
            <w:pPr>
              <w:spacing w:after="100"/>
              <w:jc w:val="right"/>
              <w:rPr>
                <w:rFonts w:eastAsia="Times New Roman"/>
              </w:rPr>
            </w:pPr>
            <w:r>
              <w:rPr>
                <w:rFonts w:eastAsia="Times New Roman"/>
                <w:color w:val="000000"/>
                <w:sz w:val="18"/>
                <w:szCs w:val="18"/>
              </w:rPr>
              <w:t>872 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2D2B99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2720EA"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D266DEC"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653EA6D" w14:textId="77777777" w:rsidR="00000000" w:rsidRDefault="00405D16">
            <w:pPr>
              <w:spacing w:after="100"/>
              <w:jc w:val="right"/>
              <w:rPr>
                <w:rFonts w:eastAsia="Times New Roman"/>
              </w:rPr>
            </w:pPr>
            <w:r>
              <w:rPr>
                <w:rFonts w:eastAsia="Times New Roman"/>
                <w:color w:val="000000"/>
                <w:sz w:val="18"/>
                <w:szCs w:val="18"/>
              </w:rPr>
              <w:t>2,685 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C551C74" w14:textId="77777777" w:rsidR="00000000" w:rsidRDefault="00405D16">
            <w:pPr>
              <w:spacing w:after="100"/>
              <w:jc w:val="right"/>
              <w:rPr>
                <w:rFonts w:eastAsia="Times New Roman"/>
              </w:rPr>
            </w:pPr>
          </w:p>
        </w:tc>
        <w:tc>
          <w:tcPr>
            <w:tcW w:w="0" w:type="auto"/>
            <w:vAlign w:val="center"/>
            <w:hideMark/>
          </w:tcPr>
          <w:p w14:paraId="68318B92" w14:textId="77777777" w:rsidR="00000000" w:rsidRDefault="00405D16">
            <w:pPr>
              <w:spacing w:after="100"/>
              <w:jc w:val="right"/>
              <w:rPr>
                <w:rFonts w:eastAsia="Times New Roman"/>
                <w:sz w:val="20"/>
                <w:szCs w:val="20"/>
              </w:rPr>
            </w:pPr>
          </w:p>
        </w:tc>
        <w:tc>
          <w:tcPr>
            <w:tcW w:w="0" w:type="auto"/>
            <w:vAlign w:val="center"/>
            <w:hideMark/>
          </w:tcPr>
          <w:p w14:paraId="4FC43C93" w14:textId="77777777" w:rsidR="00000000" w:rsidRDefault="00405D16">
            <w:pPr>
              <w:spacing w:after="100"/>
              <w:rPr>
                <w:rFonts w:eastAsia="Times New Roman"/>
                <w:sz w:val="20"/>
                <w:szCs w:val="20"/>
              </w:rPr>
            </w:pPr>
          </w:p>
        </w:tc>
        <w:tc>
          <w:tcPr>
            <w:tcW w:w="0" w:type="auto"/>
            <w:gridSpan w:val="3"/>
            <w:vAlign w:val="center"/>
            <w:hideMark/>
          </w:tcPr>
          <w:p w14:paraId="3654B9C1" w14:textId="77777777" w:rsidR="00000000" w:rsidRDefault="00405D16">
            <w:pPr>
              <w:spacing w:after="100"/>
              <w:rPr>
                <w:rFonts w:eastAsia="Times New Roman"/>
                <w:sz w:val="20"/>
                <w:szCs w:val="20"/>
              </w:rPr>
            </w:pPr>
          </w:p>
        </w:tc>
        <w:tc>
          <w:tcPr>
            <w:tcW w:w="0" w:type="auto"/>
            <w:gridSpan w:val="3"/>
            <w:vAlign w:val="center"/>
            <w:hideMark/>
          </w:tcPr>
          <w:p w14:paraId="6B66FF98" w14:textId="77777777" w:rsidR="00000000" w:rsidRDefault="00405D16">
            <w:pPr>
              <w:spacing w:after="100"/>
              <w:rPr>
                <w:rFonts w:eastAsia="Times New Roman"/>
                <w:sz w:val="20"/>
                <w:szCs w:val="20"/>
              </w:rPr>
            </w:pPr>
          </w:p>
        </w:tc>
        <w:tc>
          <w:tcPr>
            <w:tcW w:w="0" w:type="auto"/>
            <w:gridSpan w:val="3"/>
            <w:vAlign w:val="center"/>
            <w:hideMark/>
          </w:tcPr>
          <w:p w14:paraId="69686C4B" w14:textId="77777777" w:rsidR="00000000" w:rsidRDefault="00405D16">
            <w:pPr>
              <w:spacing w:after="100"/>
              <w:rPr>
                <w:rFonts w:eastAsia="Times New Roman"/>
                <w:sz w:val="20"/>
                <w:szCs w:val="20"/>
              </w:rPr>
            </w:pPr>
          </w:p>
        </w:tc>
        <w:tc>
          <w:tcPr>
            <w:tcW w:w="0" w:type="auto"/>
            <w:gridSpan w:val="3"/>
            <w:vAlign w:val="center"/>
            <w:hideMark/>
          </w:tcPr>
          <w:p w14:paraId="660F5FAC" w14:textId="77777777" w:rsidR="00000000" w:rsidRDefault="00405D16">
            <w:pPr>
              <w:spacing w:after="100"/>
              <w:rPr>
                <w:rFonts w:eastAsia="Times New Roman"/>
                <w:sz w:val="20"/>
                <w:szCs w:val="20"/>
              </w:rPr>
            </w:pPr>
          </w:p>
        </w:tc>
      </w:tr>
    </w:tbl>
    <w:p w14:paraId="11D384C8" w14:textId="77777777" w:rsidR="00000000" w:rsidRDefault="00405D16">
      <w:pPr>
        <w:jc w:val="both"/>
        <w:rPr>
          <w:rFonts w:eastAsia="Times New Roman"/>
        </w:rPr>
      </w:pPr>
      <w:r>
        <w:rPr>
          <w:rFonts w:eastAsia="Times New Roman"/>
          <w:color w:val="000000"/>
          <w:sz w:val="20"/>
          <w:szCs w:val="20"/>
        </w:rPr>
        <w:t>__________</w:t>
      </w:r>
    </w:p>
    <w:p w14:paraId="7A99AD2B" w14:textId="77777777" w:rsidR="00000000" w:rsidRDefault="00405D16">
      <w:pPr>
        <w:ind w:hanging="360"/>
        <w:jc w:val="both"/>
        <w:divId w:val="67465102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the impact of hedging instruments designated as net investment hedges.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3912D4AA" w14:textId="77777777">
        <w:trPr>
          <w:divId w:val="838277807"/>
          <w:jc w:val="center"/>
        </w:trPr>
        <w:tc>
          <w:tcPr>
            <w:tcW w:w="50" w:type="pct"/>
            <w:vAlign w:val="center"/>
            <w:hideMark/>
          </w:tcPr>
          <w:p w14:paraId="74953385" w14:textId="77777777" w:rsidR="00000000" w:rsidRDefault="00405D16">
            <w:pPr>
              <w:ind w:hanging="360"/>
              <w:jc w:val="both"/>
              <w:rPr>
                <w:rFonts w:eastAsia="Times New Roman"/>
              </w:rPr>
            </w:pPr>
          </w:p>
        </w:tc>
        <w:tc>
          <w:tcPr>
            <w:tcW w:w="1606" w:type="pct"/>
            <w:vAlign w:val="center"/>
            <w:hideMark/>
          </w:tcPr>
          <w:p w14:paraId="1AE65A8C" w14:textId="77777777" w:rsidR="00000000" w:rsidRDefault="00405D16">
            <w:pPr>
              <w:spacing w:after="100"/>
              <w:rPr>
                <w:rFonts w:eastAsia="Times New Roman"/>
                <w:sz w:val="20"/>
                <w:szCs w:val="20"/>
              </w:rPr>
            </w:pPr>
          </w:p>
        </w:tc>
        <w:tc>
          <w:tcPr>
            <w:tcW w:w="5" w:type="pct"/>
            <w:vAlign w:val="center"/>
            <w:hideMark/>
          </w:tcPr>
          <w:p w14:paraId="122C6FA0" w14:textId="77777777" w:rsidR="00000000" w:rsidRDefault="00405D16">
            <w:pPr>
              <w:spacing w:after="100"/>
              <w:rPr>
                <w:rFonts w:eastAsia="Times New Roman"/>
                <w:sz w:val="20"/>
                <w:szCs w:val="20"/>
              </w:rPr>
            </w:pPr>
          </w:p>
        </w:tc>
        <w:tc>
          <w:tcPr>
            <w:tcW w:w="50" w:type="pct"/>
            <w:vAlign w:val="center"/>
            <w:hideMark/>
          </w:tcPr>
          <w:p w14:paraId="4DC2FA88" w14:textId="77777777" w:rsidR="00000000" w:rsidRDefault="00405D16">
            <w:pPr>
              <w:spacing w:after="100"/>
              <w:rPr>
                <w:rFonts w:eastAsia="Times New Roman"/>
                <w:sz w:val="20"/>
                <w:szCs w:val="20"/>
              </w:rPr>
            </w:pPr>
          </w:p>
        </w:tc>
        <w:tc>
          <w:tcPr>
            <w:tcW w:w="1614" w:type="pct"/>
            <w:vAlign w:val="center"/>
            <w:hideMark/>
          </w:tcPr>
          <w:p w14:paraId="4C121018" w14:textId="77777777" w:rsidR="00000000" w:rsidRDefault="00405D16">
            <w:pPr>
              <w:spacing w:after="100"/>
              <w:rPr>
                <w:rFonts w:eastAsia="Times New Roman"/>
                <w:sz w:val="20"/>
                <w:szCs w:val="20"/>
              </w:rPr>
            </w:pPr>
          </w:p>
        </w:tc>
        <w:tc>
          <w:tcPr>
            <w:tcW w:w="5" w:type="pct"/>
            <w:vAlign w:val="center"/>
            <w:hideMark/>
          </w:tcPr>
          <w:p w14:paraId="6C0036A4" w14:textId="77777777" w:rsidR="00000000" w:rsidRDefault="00405D16">
            <w:pPr>
              <w:spacing w:after="100"/>
              <w:rPr>
                <w:rFonts w:eastAsia="Times New Roman"/>
                <w:sz w:val="20"/>
                <w:szCs w:val="20"/>
              </w:rPr>
            </w:pPr>
          </w:p>
        </w:tc>
        <w:tc>
          <w:tcPr>
            <w:tcW w:w="50" w:type="pct"/>
            <w:vAlign w:val="center"/>
            <w:hideMark/>
          </w:tcPr>
          <w:p w14:paraId="5F3D2E2F" w14:textId="77777777" w:rsidR="00000000" w:rsidRDefault="00405D16">
            <w:pPr>
              <w:spacing w:after="100"/>
              <w:rPr>
                <w:rFonts w:eastAsia="Times New Roman"/>
                <w:sz w:val="20"/>
                <w:szCs w:val="20"/>
              </w:rPr>
            </w:pPr>
          </w:p>
        </w:tc>
        <w:tc>
          <w:tcPr>
            <w:tcW w:w="1614" w:type="pct"/>
            <w:vAlign w:val="center"/>
            <w:hideMark/>
          </w:tcPr>
          <w:p w14:paraId="49219D9C" w14:textId="77777777" w:rsidR="00000000" w:rsidRDefault="00405D16">
            <w:pPr>
              <w:spacing w:after="100"/>
              <w:rPr>
                <w:rFonts w:eastAsia="Times New Roman"/>
                <w:sz w:val="20"/>
                <w:szCs w:val="20"/>
              </w:rPr>
            </w:pPr>
          </w:p>
        </w:tc>
        <w:tc>
          <w:tcPr>
            <w:tcW w:w="5" w:type="pct"/>
            <w:vAlign w:val="center"/>
            <w:hideMark/>
          </w:tcPr>
          <w:p w14:paraId="29A85007" w14:textId="77777777" w:rsidR="00000000" w:rsidRDefault="00405D16">
            <w:pPr>
              <w:spacing w:after="100"/>
              <w:rPr>
                <w:rFonts w:eastAsia="Times New Roman"/>
                <w:sz w:val="20"/>
                <w:szCs w:val="20"/>
              </w:rPr>
            </w:pPr>
          </w:p>
        </w:tc>
      </w:tr>
      <w:tr w:rsidR="00000000" w14:paraId="0AF63706" w14:textId="77777777">
        <w:trPr>
          <w:divId w:val="838277807"/>
          <w:trHeight w:val="300"/>
          <w:jc w:val="center"/>
        </w:trPr>
        <w:tc>
          <w:tcPr>
            <w:tcW w:w="0" w:type="auto"/>
            <w:gridSpan w:val="9"/>
            <w:tcMar>
              <w:top w:w="0" w:type="dxa"/>
              <w:left w:w="20" w:type="dxa"/>
              <w:bottom w:w="0" w:type="dxa"/>
              <w:right w:w="20" w:type="dxa"/>
            </w:tcMar>
            <w:vAlign w:val="center"/>
            <w:hideMark/>
          </w:tcPr>
          <w:p w14:paraId="22755979" w14:textId="77777777" w:rsidR="00000000" w:rsidRDefault="00405D16">
            <w:pPr>
              <w:spacing w:after="100"/>
              <w:rPr>
                <w:rFonts w:eastAsia="Times New Roman"/>
                <w:sz w:val="20"/>
                <w:szCs w:val="20"/>
              </w:rPr>
            </w:pPr>
          </w:p>
        </w:tc>
      </w:tr>
      <w:tr w:rsidR="00000000" w14:paraId="654CF24F" w14:textId="77777777">
        <w:trPr>
          <w:divId w:val="838277807"/>
          <w:jc w:val="center"/>
        </w:trPr>
        <w:tc>
          <w:tcPr>
            <w:tcW w:w="0" w:type="auto"/>
            <w:gridSpan w:val="3"/>
            <w:tcMar>
              <w:top w:w="0" w:type="dxa"/>
              <w:left w:w="20" w:type="dxa"/>
              <w:bottom w:w="0" w:type="dxa"/>
              <w:right w:w="20" w:type="dxa"/>
            </w:tcMar>
            <w:vAlign w:val="center"/>
            <w:hideMark/>
          </w:tcPr>
          <w:p w14:paraId="22A9A045"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0764EA8" w14:textId="77777777" w:rsidR="00000000" w:rsidRDefault="00405D16">
            <w:pPr>
              <w:spacing w:after="100"/>
              <w:jc w:val="center"/>
              <w:rPr>
                <w:rFonts w:eastAsia="Times New Roman"/>
              </w:rPr>
            </w:pPr>
            <w:r>
              <w:rPr>
                <w:rFonts w:eastAsia="Times New Roman"/>
                <w:color w:val="000000"/>
                <w:sz w:val="16"/>
                <w:szCs w:val="16"/>
              </w:rPr>
              <w:t>115</w:t>
            </w:r>
          </w:p>
        </w:tc>
        <w:tc>
          <w:tcPr>
            <w:tcW w:w="0" w:type="auto"/>
            <w:gridSpan w:val="3"/>
            <w:tcMar>
              <w:top w:w="30" w:type="dxa"/>
              <w:left w:w="20" w:type="dxa"/>
              <w:bottom w:w="30" w:type="dxa"/>
              <w:right w:w="20" w:type="dxa"/>
            </w:tcMar>
            <w:vAlign w:val="bottom"/>
            <w:hideMark/>
          </w:tcPr>
          <w:p w14:paraId="35B469D5"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53F8AA0C" w14:textId="77777777" w:rsidR="00000000" w:rsidRDefault="00405D16">
      <w:pPr>
        <w:rPr>
          <w:rFonts w:eastAsia="Times New Roman"/>
        </w:rPr>
      </w:pPr>
      <w:r>
        <w:rPr>
          <w:rFonts w:eastAsia="Times New Roman"/>
        </w:rPr>
        <w:pict w14:anchorId="0B54A368">
          <v:rect id="_x0000_i1140" style="width:0;height:1.5pt" o:hralign="center" o:hrstd="t" o:hr="t" fillcolor="#a0a0a0" stroked="f"/>
        </w:pict>
      </w:r>
    </w:p>
    <w:p w14:paraId="05A0770A" w14:textId="77777777" w:rsidR="00000000" w:rsidRDefault="00405D16">
      <w:pPr>
        <w:jc w:val="both"/>
        <w:divId w:val="1228109950"/>
        <w:rPr>
          <w:rFonts w:eastAsia="Times New Roman"/>
        </w:rPr>
      </w:pPr>
      <w:hyperlink w:anchor="idd54a04a485440b4ab4e56094c14d612_13" w:history="1">
        <w:r>
          <w:rPr>
            <w:rStyle w:val="a3"/>
            <w:rFonts w:eastAsia="Times New Roman"/>
            <w:sz w:val="16"/>
            <w:szCs w:val="16"/>
          </w:rPr>
          <w:t>Table of Contents</w:t>
        </w:r>
      </w:hyperlink>
    </w:p>
    <w:p w14:paraId="78036497" w14:textId="77777777" w:rsidR="00000000" w:rsidRDefault="00405D16">
      <w:pPr>
        <w:jc w:val="center"/>
        <w:divId w:val="122810995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126A0997" w14:textId="77777777">
        <w:trPr>
          <w:divId w:val="457379621"/>
        </w:trPr>
        <w:tc>
          <w:tcPr>
            <w:tcW w:w="50" w:type="pct"/>
            <w:vAlign w:val="center"/>
            <w:hideMark/>
          </w:tcPr>
          <w:p w14:paraId="3536EA45" w14:textId="77777777" w:rsidR="00000000" w:rsidRDefault="00405D16">
            <w:pPr>
              <w:jc w:val="center"/>
              <w:rPr>
                <w:rFonts w:eastAsia="Times New Roman"/>
              </w:rPr>
            </w:pPr>
          </w:p>
        </w:tc>
        <w:tc>
          <w:tcPr>
            <w:tcW w:w="4945" w:type="pct"/>
            <w:vAlign w:val="center"/>
            <w:hideMark/>
          </w:tcPr>
          <w:p w14:paraId="16C624D2" w14:textId="77777777" w:rsidR="00000000" w:rsidRDefault="00405D16">
            <w:pPr>
              <w:spacing w:after="100"/>
              <w:rPr>
                <w:rFonts w:eastAsia="Times New Roman"/>
                <w:sz w:val="20"/>
                <w:szCs w:val="20"/>
              </w:rPr>
            </w:pPr>
          </w:p>
        </w:tc>
        <w:tc>
          <w:tcPr>
            <w:tcW w:w="5" w:type="pct"/>
            <w:vAlign w:val="center"/>
            <w:hideMark/>
          </w:tcPr>
          <w:p w14:paraId="4A7F5844" w14:textId="77777777" w:rsidR="00000000" w:rsidRDefault="00405D16">
            <w:pPr>
              <w:spacing w:after="100"/>
              <w:rPr>
                <w:rFonts w:eastAsia="Times New Roman"/>
                <w:sz w:val="20"/>
                <w:szCs w:val="20"/>
              </w:rPr>
            </w:pPr>
          </w:p>
        </w:tc>
      </w:tr>
      <w:tr w:rsidR="00000000" w14:paraId="29810CBC" w14:textId="77777777">
        <w:trPr>
          <w:divId w:val="457379621"/>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08FE9404" w14:textId="77777777" w:rsidR="00000000" w:rsidRDefault="00405D16">
            <w:pPr>
              <w:spacing w:after="100"/>
              <w:rPr>
                <w:rFonts w:eastAsia="Times New Roman"/>
              </w:rPr>
            </w:pPr>
            <w:r>
              <w:rPr>
                <w:rFonts w:eastAsia="Times New Roman"/>
                <w:b/>
                <w:bCs/>
                <w:color w:val="000000"/>
                <w:sz w:val="20"/>
                <w:szCs w:val="20"/>
              </w:rPr>
              <w:t>NOTE 10—EARNINGS PER COMMON SHARE</w:t>
            </w:r>
          </w:p>
        </w:tc>
      </w:tr>
    </w:tbl>
    <w:p w14:paraId="56D25360" w14:textId="77777777" w:rsidR="00000000" w:rsidRDefault="00405D16">
      <w:pPr>
        <w:jc w:val="both"/>
        <w:divId w:val="2039696011"/>
        <w:rPr>
          <w:rFonts w:eastAsia="Times New Roman"/>
        </w:rPr>
      </w:pPr>
      <w:r>
        <w:rPr>
          <w:rFonts w:eastAsia="Times New Roman"/>
          <w:color w:val="000000"/>
          <w:sz w:val="20"/>
          <w:szCs w:val="20"/>
        </w:rPr>
        <w:t>The following table sets forth the computation of basic and diluted earnings per common share.</w:t>
      </w:r>
    </w:p>
    <w:p w14:paraId="5DD563DD" w14:textId="77777777" w:rsidR="00000000" w:rsidRDefault="00405D16">
      <w:pPr>
        <w:divId w:val="1478766021"/>
        <w:rPr>
          <w:rFonts w:eastAsia="Times New Roman"/>
        </w:rPr>
      </w:pPr>
      <w:r>
        <w:rPr>
          <w:rFonts w:eastAsia="Times New Roman"/>
          <w:b/>
          <w:bCs/>
          <w:color w:val="000000"/>
          <w:sz w:val="18"/>
          <w:szCs w:val="18"/>
        </w:rPr>
        <w:t>Table 10.1: Computation of Basic and Diluted Earnings per Common Share</w:t>
      </w:r>
    </w:p>
    <w:tbl>
      <w:tblPr>
        <w:tblW w:w="5000" w:type="pct"/>
        <w:tblCellMar>
          <w:top w:w="15" w:type="dxa"/>
          <w:left w:w="15" w:type="dxa"/>
          <w:bottom w:w="15" w:type="dxa"/>
          <w:right w:w="15" w:type="dxa"/>
        </w:tblCellMar>
        <w:tblLook w:val="04A0" w:firstRow="1" w:lastRow="0" w:firstColumn="1" w:lastColumn="0" w:noHBand="0" w:noVBand="1"/>
      </w:tblPr>
      <w:tblGrid>
        <w:gridCol w:w="40"/>
        <w:gridCol w:w="4583"/>
        <w:gridCol w:w="39"/>
        <w:gridCol w:w="36"/>
        <w:gridCol w:w="36"/>
        <w:gridCol w:w="36"/>
        <w:gridCol w:w="110"/>
        <w:gridCol w:w="620"/>
        <w:gridCol w:w="36"/>
        <w:gridCol w:w="36"/>
        <w:gridCol w:w="36"/>
        <w:gridCol w:w="36"/>
        <w:gridCol w:w="110"/>
        <w:gridCol w:w="620"/>
        <w:gridCol w:w="36"/>
        <w:gridCol w:w="36"/>
        <w:gridCol w:w="36"/>
        <w:gridCol w:w="36"/>
        <w:gridCol w:w="110"/>
        <w:gridCol w:w="620"/>
        <w:gridCol w:w="36"/>
        <w:gridCol w:w="36"/>
        <w:gridCol w:w="36"/>
        <w:gridCol w:w="36"/>
        <w:gridCol w:w="110"/>
        <w:gridCol w:w="624"/>
        <w:gridCol w:w="36"/>
        <w:gridCol w:w="36"/>
        <w:gridCol w:w="36"/>
        <w:gridCol w:w="36"/>
        <w:gridCol w:w="36"/>
      </w:tblGrid>
      <w:tr w:rsidR="00000000" w14:paraId="07205158" w14:textId="77777777">
        <w:trPr>
          <w:divId w:val="1051611083"/>
        </w:trPr>
        <w:tc>
          <w:tcPr>
            <w:tcW w:w="50" w:type="pct"/>
            <w:vAlign w:val="center"/>
            <w:hideMark/>
          </w:tcPr>
          <w:p w14:paraId="5E64F4E4" w14:textId="77777777" w:rsidR="00000000" w:rsidRDefault="00405D16">
            <w:pPr>
              <w:rPr>
                <w:rFonts w:eastAsia="Times New Roman"/>
              </w:rPr>
            </w:pPr>
          </w:p>
        </w:tc>
        <w:tc>
          <w:tcPr>
            <w:tcW w:w="2839" w:type="pct"/>
            <w:vAlign w:val="center"/>
            <w:hideMark/>
          </w:tcPr>
          <w:p w14:paraId="6213C656" w14:textId="77777777" w:rsidR="00000000" w:rsidRDefault="00405D16">
            <w:pPr>
              <w:spacing w:after="100"/>
              <w:rPr>
                <w:rFonts w:eastAsia="Times New Roman"/>
                <w:sz w:val="20"/>
                <w:szCs w:val="20"/>
              </w:rPr>
            </w:pPr>
          </w:p>
        </w:tc>
        <w:tc>
          <w:tcPr>
            <w:tcW w:w="5" w:type="pct"/>
            <w:vAlign w:val="center"/>
            <w:hideMark/>
          </w:tcPr>
          <w:p w14:paraId="2BACC695" w14:textId="77777777" w:rsidR="00000000" w:rsidRDefault="00405D16">
            <w:pPr>
              <w:spacing w:after="100"/>
              <w:rPr>
                <w:rFonts w:eastAsia="Times New Roman"/>
                <w:sz w:val="20"/>
                <w:szCs w:val="20"/>
              </w:rPr>
            </w:pPr>
          </w:p>
        </w:tc>
        <w:tc>
          <w:tcPr>
            <w:tcW w:w="5" w:type="pct"/>
            <w:vAlign w:val="center"/>
            <w:hideMark/>
          </w:tcPr>
          <w:p w14:paraId="1E4B06D7" w14:textId="77777777" w:rsidR="00000000" w:rsidRDefault="00405D16">
            <w:pPr>
              <w:spacing w:after="100"/>
              <w:rPr>
                <w:rFonts w:eastAsia="Times New Roman"/>
                <w:sz w:val="20"/>
                <w:szCs w:val="20"/>
              </w:rPr>
            </w:pPr>
          </w:p>
        </w:tc>
        <w:tc>
          <w:tcPr>
            <w:tcW w:w="26" w:type="pct"/>
            <w:vAlign w:val="center"/>
            <w:hideMark/>
          </w:tcPr>
          <w:p w14:paraId="3F522F3C" w14:textId="77777777" w:rsidR="00000000" w:rsidRDefault="00405D16">
            <w:pPr>
              <w:spacing w:after="100"/>
              <w:rPr>
                <w:rFonts w:eastAsia="Times New Roman"/>
                <w:sz w:val="20"/>
                <w:szCs w:val="20"/>
              </w:rPr>
            </w:pPr>
          </w:p>
        </w:tc>
        <w:tc>
          <w:tcPr>
            <w:tcW w:w="5" w:type="pct"/>
            <w:vAlign w:val="center"/>
            <w:hideMark/>
          </w:tcPr>
          <w:p w14:paraId="4EEAF56D" w14:textId="77777777" w:rsidR="00000000" w:rsidRDefault="00405D16">
            <w:pPr>
              <w:spacing w:after="100"/>
              <w:rPr>
                <w:rFonts w:eastAsia="Times New Roman"/>
                <w:sz w:val="20"/>
                <w:szCs w:val="20"/>
              </w:rPr>
            </w:pPr>
          </w:p>
        </w:tc>
        <w:tc>
          <w:tcPr>
            <w:tcW w:w="50" w:type="pct"/>
            <w:vAlign w:val="center"/>
            <w:hideMark/>
          </w:tcPr>
          <w:p w14:paraId="26D62E44" w14:textId="77777777" w:rsidR="00000000" w:rsidRDefault="00405D16">
            <w:pPr>
              <w:spacing w:after="100"/>
              <w:rPr>
                <w:rFonts w:eastAsia="Times New Roman"/>
                <w:sz w:val="20"/>
                <w:szCs w:val="20"/>
              </w:rPr>
            </w:pPr>
          </w:p>
        </w:tc>
        <w:tc>
          <w:tcPr>
            <w:tcW w:w="434" w:type="pct"/>
            <w:vAlign w:val="center"/>
            <w:hideMark/>
          </w:tcPr>
          <w:p w14:paraId="01B9AE1D" w14:textId="77777777" w:rsidR="00000000" w:rsidRDefault="00405D16">
            <w:pPr>
              <w:spacing w:after="100"/>
              <w:rPr>
                <w:rFonts w:eastAsia="Times New Roman"/>
                <w:sz w:val="20"/>
                <w:szCs w:val="20"/>
              </w:rPr>
            </w:pPr>
          </w:p>
        </w:tc>
        <w:tc>
          <w:tcPr>
            <w:tcW w:w="5" w:type="pct"/>
            <w:vAlign w:val="center"/>
            <w:hideMark/>
          </w:tcPr>
          <w:p w14:paraId="4B5945FB" w14:textId="77777777" w:rsidR="00000000" w:rsidRDefault="00405D16">
            <w:pPr>
              <w:spacing w:after="100"/>
              <w:rPr>
                <w:rFonts w:eastAsia="Times New Roman"/>
                <w:sz w:val="20"/>
                <w:szCs w:val="20"/>
              </w:rPr>
            </w:pPr>
          </w:p>
        </w:tc>
        <w:tc>
          <w:tcPr>
            <w:tcW w:w="5" w:type="pct"/>
            <w:vAlign w:val="center"/>
            <w:hideMark/>
          </w:tcPr>
          <w:p w14:paraId="3ADE97E9" w14:textId="77777777" w:rsidR="00000000" w:rsidRDefault="00405D16">
            <w:pPr>
              <w:spacing w:after="100"/>
              <w:rPr>
                <w:rFonts w:eastAsia="Times New Roman"/>
                <w:sz w:val="20"/>
                <w:szCs w:val="20"/>
              </w:rPr>
            </w:pPr>
          </w:p>
        </w:tc>
        <w:tc>
          <w:tcPr>
            <w:tcW w:w="26" w:type="pct"/>
            <w:vAlign w:val="center"/>
            <w:hideMark/>
          </w:tcPr>
          <w:p w14:paraId="08769B71" w14:textId="77777777" w:rsidR="00000000" w:rsidRDefault="00405D16">
            <w:pPr>
              <w:spacing w:after="100"/>
              <w:rPr>
                <w:rFonts w:eastAsia="Times New Roman"/>
                <w:sz w:val="20"/>
                <w:szCs w:val="20"/>
              </w:rPr>
            </w:pPr>
          </w:p>
        </w:tc>
        <w:tc>
          <w:tcPr>
            <w:tcW w:w="5" w:type="pct"/>
            <w:vAlign w:val="center"/>
            <w:hideMark/>
          </w:tcPr>
          <w:p w14:paraId="4935F0B4" w14:textId="77777777" w:rsidR="00000000" w:rsidRDefault="00405D16">
            <w:pPr>
              <w:spacing w:after="100"/>
              <w:rPr>
                <w:rFonts w:eastAsia="Times New Roman"/>
                <w:sz w:val="20"/>
                <w:szCs w:val="20"/>
              </w:rPr>
            </w:pPr>
          </w:p>
        </w:tc>
        <w:tc>
          <w:tcPr>
            <w:tcW w:w="50" w:type="pct"/>
            <w:vAlign w:val="center"/>
            <w:hideMark/>
          </w:tcPr>
          <w:p w14:paraId="355FFB23" w14:textId="77777777" w:rsidR="00000000" w:rsidRDefault="00405D16">
            <w:pPr>
              <w:spacing w:after="100"/>
              <w:rPr>
                <w:rFonts w:eastAsia="Times New Roman"/>
                <w:sz w:val="20"/>
                <w:szCs w:val="20"/>
              </w:rPr>
            </w:pPr>
          </w:p>
        </w:tc>
        <w:tc>
          <w:tcPr>
            <w:tcW w:w="434" w:type="pct"/>
            <w:vAlign w:val="center"/>
            <w:hideMark/>
          </w:tcPr>
          <w:p w14:paraId="3E324E13" w14:textId="77777777" w:rsidR="00000000" w:rsidRDefault="00405D16">
            <w:pPr>
              <w:spacing w:after="100"/>
              <w:rPr>
                <w:rFonts w:eastAsia="Times New Roman"/>
                <w:sz w:val="20"/>
                <w:szCs w:val="20"/>
              </w:rPr>
            </w:pPr>
          </w:p>
        </w:tc>
        <w:tc>
          <w:tcPr>
            <w:tcW w:w="5" w:type="pct"/>
            <w:vAlign w:val="center"/>
            <w:hideMark/>
          </w:tcPr>
          <w:p w14:paraId="2AE9F902" w14:textId="77777777" w:rsidR="00000000" w:rsidRDefault="00405D16">
            <w:pPr>
              <w:spacing w:after="100"/>
              <w:rPr>
                <w:rFonts w:eastAsia="Times New Roman"/>
                <w:sz w:val="20"/>
                <w:szCs w:val="20"/>
              </w:rPr>
            </w:pPr>
          </w:p>
        </w:tc>
        <w:tc>
          <w:tcPr>
            <w:tcW w:w="5" w:type="pct"/>
            <w:vAlign w:val="center"/>
            <w:hideMark/>
          </w:tcPr>
          <w:p w14:paraId="6D028DDA" w14:textId="77777777" w:rsidR="00000000" w:rsidRDefault="00405D16">
            <w:pPr>
              <w:spacing w:after="100"/>
              <w:rPr>
                <w:rFonts w:eastAsia="Times New Roman"/>
                <w:sz w:val="20"/>
                <w:szCs w:val="20"/>
              </w:rPr>
            </w:pPr>
          </w:p>
        </w:tc>
        <w:tc>
          <w:tcPr>
            <w:tcW w:w="26" w:type="pct"/>
            <w:vAlign w:val="center"/>
            <w:hideMark/>
          </w:tcPr>
          <w:p w14:paraId="1608D304" w14:textId="77777777" w:rsidR="00000000" w:rsidRDefault="00405D16">
            <w:pPr>
              <w:spacing w:after="100"/>
              <w:rPr>
                <w:rFonts w:eastAsia="Times New Roman"/>
                <w:sz w:val="20"/>
                <w:szCs w:val="20"/>
              </w:rPr>
            </w:pPr>
          </w:p>
        </w:tc>
        <w:tc>
          <w:tcPr>
            <w:tcW w:w="5" w:type="pct"/>
            <w:vAlign w:val="center"/>
            <w:hideMark/>
          </w:tcPr>
          <w:p w14:paraId="6B940CCD" w14:textId="77777777" w:rsidR="00000000" w:rsidRDefault="00405D16">
            <w:pPr>
              <w:spacing w:after="100"/>
              <w:rPr>
                <w:rFonts w:eastAsia="Times New Roman"/>
                <w:sz w:val="20"/>
                <w:szCs w:val="20"/>
              </w:rPr>
            </w:pPr>
          </w:p>
        </w:tc>
        <w:tc>
          <w:tcPr>
            <w:tcW w:w="50" w:type="pct"/>
            <w:vAlign w:val="center"/>
            <w:hideMark/>
          </w:tcPr>
          <w:p w14:paraId="29BC1833" w14:textId="77777777" w:rsidR="00000000" w:rsidRDefault="00405D16">
            <w:pPr>
              <w:spacing w:after="100"/>
              <w:rPr>
                <w:rFonts w:eastAsia="Times New Roman"/>
                <w:sz w:val="20"/>
                <w:szCs w:val="20"/>
              </w:rPr>
            </w:pPr>
          </w:p>
        </w:tc>
        <w:tc>
          <w:tcPr>
            <w:tcW w:w="434" w:type="pct"/>
            <w:vAlign w:val="center"/>
            <w:hideMark/>
          </w:tcPr>
          <w:p w14:paraId="2FF91C98" w14:textId="77777777" w:rsidR="00000000" w:rsidRDefault="00405D16">
            <w:pPr>
              <w:spacing w:after="100"/>
              <w:rPr>
                <w:rFonts w:eastAsia="Times New Roman"/>
                <w:sz w:val="20"/>
                <w:szCs w:val="20"/>
              </w:rPr>
            </w:pPr>
          </w:p>
        </w:tc>
        <w:tc>
          <w:tcPr>
            <w:tcW w:w="5" w:type="pct"/>
            <w:vAlign w:val="center"/>
            <w:hideMark/>
          </w:tcPr>
          <w:p w14:paraId="02CAB250" w14:textId="77777777" w:rsidR="00000000" w:rsidRDefault="00405D16">
            <w:pPr>
              <w:spacing w:after="100"/>
              <w:rPr>
                <w:rFonts w:eastAsia="Times New Roman"/>
                <w:sz w:val="20"/>
                <w:szCs w:val="20"/>
              </w:rPr>
            </w:pPr>
          </w:p>
        </w:tc>
        <w:tc>
          <w:tcPr>
            <w:tcW w:w="5" w:type="pct"/>
            <w:vAlign w:val="center"/>
            <w:hideMark/>
          </w:tcPr>
          <w:p w14:paraId="3527584B" w14:textId="77777777" w:rsidR="00000000" w:rsidRDefault="00405D16">
            <w:pPr>
              <w:spacing w:after="100"/>
              <w:rPr>
                <w:rFonts w:eastAsia="Times New Roman"/>
                <w:sz w:val="20"/>
                <w:szCs w:val="20"/>
              </w:rPr>
            </w:pPr>
          </w:p>
        </w:tc>
        <w:tc>
          <w:tcPr>
            <w:tcW w:w="26" w:type="pct"/>
            <w:vAlign w:val="center"/>
            <w:hideMark/>
          </w:tcPr>
          <w:p w14:paraId="4172F5B0" w14:textId="77777777" w:rsidR="00000000" w:rsidRDefault="00405D16">
            <w:pPr>
              <w:spacing w:after="100"/>
              <w:rPr>
                <w:rFonts w:eastAsia="Times New Roman"/>
                <w:sz w:val="20"/>
                <w:szCs w:val="20"/>
              </w:rPr>
            </w:pPr>
          </w:p>
        </w:tc>
        <w:tc>
          <w:tcPr>
            <w:tcW w:w="5" w:type="pct"/>
            <w:vAlign w:val="center"/>
            <w:hideMark/>
          </w:tcPr>
          <w:p w14:paraId="72483381" w14:textId="77777777" w:rsidR="00000000" w:rsidRDefault="00405D16">
            <w:pPr>
              <w:spacing w:after="100"/>
              <w:rPr>
                <w:rFonts w:eastAsia="Times New Roman"/>
                <w:sz w:val="20"/>
                <w:szCs w:val="20"/>
              </w:rPr>
            </w:pPr>
          </w:p>
        </w:tc>
        <w:tc>
          <w:tcPr>
            <w:tcW w:w="50" w:type="pct"/>
            <w:vAlign w:val="center"/>
            <w:hideMark/>
          </w:tcPr>
          <w:p w14:paraId="56ECE282" w14:textId="77777777" w:rsidR="00000000" w:rsidRDefault="00405D16">
            <w:pPr>
              <w:spacing w:after="100"/>
              <w:rPr>
                <w:rFonts w:eastAsia="Times New Roman"/>
                <w:sz w:val="20"/>
                <w:szCs w:val="20"/>
              </w:rPr>
            </w:pPr>
          </w:p>
        </w:tc>
        <w:tc>
          <w:tcPr>
            <w:tcW w:w="435" w:type="pct"/>
            <w:vAlign w:val="center"/>
            <w:hideMark/>
          </w:tcPr>
          <w:p w14:paraId="58BA7ECD" w14:textId="77777777" w:rsidR="00000000" w:rsidRDefault="00405D16">
            <w:pPr>
              <w:spacing w:after="100"/>
              <w:rPr>
                <w:rFonts w:eastAsia="Times New Roman"/>
                <w:sz w:val="20"/>
                <w:szCs w:val="20"/>
              </w:rPr>
            </w:pPr>
          </w:p>
        </w:tc>
        <w:tc>
          <w:tcPr>
            <w:tcW w:w="5" w:type="pct"/>
            <w:vAlign w:val="center"/>
            <w:hideMark/>
          </w:tcPr>
          <w:p w14:paraId="059F55B1" w14:textId="77777777" w:rsidR="00000000" w:rsidRDefault="00405D16">
            <w:pPr>
              <w:spacing w:after="100"/>
              <w:rPr>
                <w:rFonts w:eastAsia="Times New Roman"/>
                <w:sz w:val="20"/>
                <w:szCs w:val="20"/>
              </w:rPr>
            </w:pPr>
          </w:p>
        </w:tc>
        <w:tc>
          <w:tcPr>
            <w:tcW w:w="0" w:type="auto"/>
            <w:vAlign w:val="center"/>
            <w:hideMark/>
          </w:tcPr>
          <w:p w14:paraId="4CA72B43" w14:textId="77777777" w:rsidR="00000000" w:rsidRDefault="00405D16">
            <w:pPr>
              <w:spacing w:after="100"/>
              <w:rPr>
                <w:rFonts w:eastAsia="Times New Roman"/>
                <w:sz w:val="20"/>
                <w:szCs w:val="20"/>
              </w:rPr>
            </w:pPr>
          </w:p>
        </w:tc>
        <w:tc>
          <w:tcPr>
            <w:tcW w:w="0" w:type="auto"/>
            <w:vAlign w:val="center"/>
            <w:hideMark/>
          </w:tcPr>
          <w:p w14:paraId="44337983" w14:textId="77777777" w:rsidR="00000000" w:rsidRDefault="00405D16">
            <w:pPr>
              <w:spacing w:after="100"/>
              <w:rPr>
                <w:rFonts w:eastAsia="Times New Roman"/>
                <w:sz w:val="20"/>
                <w:szCs w:val="20"/>
              </w:rPr>
            </w:pPr>
          </w:p>
        </w:tc>
        <w:tc>
          <w:tcPr>
            <w:tcW w:w="0" w:type="auto"/>
            <w:vAlign w:val="center"/>
            <w:hideMark/>
          </w:tcPr>
          <w:p w14:paraId="05C97E12" w14:textId="77777777" w:rsidR="00000000" w:rsidRDefault="00405D16">
            <w:pPr>
              <w:spacing w:after="100"/>
              <w:rPr>
                <w:rFonts w:eastAsia="Times New Roman"/>
                <w:sz w:val="20"/>
                <w:szCs w:val="20"/>
              </w:rPr>
            </w:pPr>
          </w:p>
        </w:tc>
        <w:tc>
          <w:tcPr>
            <w:tcW w:w="0" w:type="auto"/>
            <w:vAlign w:val="center"/>
            <w:hideMark/>
          </w:tcPr>
          <w:p w14:paraId="1DF62619" w14:textId="77777777" w:rsidR="00000000" w:rsidRDefault="00405D16">
            <w:pPr>
              <w:spacing w:after="100"/>
              <w:rPr>
                <w:rFonts w:eastAsia="Times New Roman"/>
                <w:sz w:val="20"/>
                <w:szCs w:val="20"/>
              </w:rPr>
            </w:pPr>
          </w:p>
        </w:tc>
      </w:tr>
      <w:tr w:rsidR="00000000" w14:paraId="12ABE829" w14:textId="77777777">
        <w:trPr>
          <w:divId w:val="1051611083"/>
        </w:trPr>
        <w:tc>
          <w:tcPr>
            <w:tcW w:w="0" w:type="auto"/>
            <w:gridSpan w:val="3"/>
            <w:tcMar>
              <w:top w:w="0" w:type="dxa"/>
              <w:left w:w="20" w:type="dxa"/>
              <w:bottom w:w="0" w:type="dxa"/>
              <w:right w:w="20" w:type="dxa"/>
            </w:tcMar>
            <w:vAlign w:val="center"/>
            <w:hideMark/>
          </w:tcPr>
          <w:p w14:paraId="7DDD62A6"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11E77A9" w14:textId="77777777" w:rsidR="00000000" w:rsidRDefault="00405D1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8E163E2" w14:textId="77777777" w:rsidR="00000000" w:rsidRDefault="00405D16">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79C1DEF7" w14:textId="77777777" w:rsidR="00000000" w:rsidRDefault="00405D1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D93B254" w14:textId="77777777" w:rsidR="00000000" w:rsidRDefault="00405D16">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462CF916" w14:textId="77777777" w:rsidR="00000000" w:rsidRDefault="00405D16">
            <w:pPr>
              <w:spacing w:after="100"/>
              <w:jc w:val="center"/>
              <w:rPr>
                <w:rFonts w:eastAsia="Times New Roman"/>
              </w:rPr>
            </w:pPr>
          </w:p>
        </w:tc>
        <w:tc>
          <w:tcPr>
            <w:tcW w:w="0" w:type="auto"/>
            <w:vAlign w:val="center"/>
            <w:hideMark/>
          </w:tcPr>
          <w:p w14:paraId="465CA027" w14:textId="77777777" w:rsidR="00000000" w:rsidRDefault="00405D16">
            <w:pPr>
              <w:spacing w:after="100"/>
              <w:rPr>
                <w:rFonts w:eastAsia="Times New Roman"/>
                <w:sz w:val="20"/>
                <w:szCs w:val="20"/>
              </w:rPr>
            </w:pPr>
          </w:p>
        </w:tc>
        <w:tc>
          <w:tcPr>
            <w:tcW w:w="0" w:type="auto"/>
            <w:vAlign w:val="center"/>
            <w:hideMark/>
          </w:tcPr>
          <w:p w14:paraId="6A78C5DE" w14:textId="77777777" w:rsidR="00000000" w:rsidRDefault="00405D16">
            <w:pPr>
              <w:spacing w:after="100"/>
              <w:rPr>
                <w:rFonts w:eastAsia="Times New Roman"/>
                <w:sz w:val="20"/>
                <w:szCs w:val="20"/>
              </w:rPr>
            </w:pPr>
          </w:p>
        </w:tc>
        <w:tc>
          <w:tcPr>
            <w:tcW w:w="0" w:type="auto"/>
            <w:vAlign w:val="center"/>
            <w:hideMark/>
          </w:tcPr>
          <w:p w14:paraId="364BBD5A" w14:textId="77777777" w:rsidR="00000000" w:rsidRDefault="00405D16">
            <w:pPr>
              <w:spacing w:after="100"/>
              <w:rPr>
                <w:rFonts w:eastAsia="Times New Roman"/>
                <w:sz w:val="20"/>
                <w:szCs w:val="20"/>
              </w:rPr>
            </w:pPr>
          </w:p>
        </w:tc>
      </w:tr>
      <w:tr w:rsidR="00000000" w14:paraId="74243950" w14:textId="77777777">
        <w:trPr>
          <w:divId w:val="1051611083"/>
        </w:trPr>
        <w:tc>
          <w:tcPr>
            <w:tcW w:w="0" w:type="auto"/>
            <w:gridSpan w:val="3"/>
            <w:tcMar>
              <w:top w:w="30" w:type="dxa"/>
              <w:left w:w="20" w:type="dxa"/>
              <w:bottom w:w="30" w:type="dxa"/>
              <w:right w:w="20" w:type="dxa"/>
            </w:tcMar>
            <w:vAlign w:val="bottom"/>
            <w:hideMark/>
          </w:tcPr>
          <w:p w14:paraId="67F624CA" w14:textId="77777777" w:rsidR="00000000" w:rsidRDefault="00405D16">
            <w:pPr>
              <w:spacing w:after="100"/>
              <w:rPr>
                <w:rFonts w:eastAsia="Times New Roman"/>
              </w:rPr>
            </w:pPr>
            <w:r>
              <w:rPr>
                <w:rFonts w:eastAsia="Times New Roman"/>
                <w:i/>
                <w:iCs/>
                <w:color w:val="000000"/>
                <w:sz w:val="16"/>
                <w:szCs w:val="16"/>
              </w:rPr>
              <w:t>(Dollars and shares in millions, except per share data)</w:t>
            </w:r>
          </w:p>
        </w:tc>
        <w:tc>
          <w:tcPr>
            <w:tcW w:w="0" w:type="auto"/>
            <w:gridSpan w:val="3"/>
            <w:tcMar>
              <w:top w:w="0" w:type="dxa"/>
              <w:left w:w="20" w:type="dxa"/>
              <w:bottom w:w="0" w:type="dxa"/>
              <w:right w:w="20" w:type="dxa"/>
            </w:tcMar>
            <w:vAlign w:val="center"/>
            <w:hideMark/>
          </w:tcPr>
          <w:p w14:paraId="68EE468D"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8158204"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0C29916C"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1BC9807"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2B211C6F"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04CAAA3"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083B00AA"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A953E3E" w14:textId="77777777" w:rsidR="00000000" w:rsidRDefault="00405D16">
            <w:pPr>
              <w:spacing w:after="100"/>
              <w:jc w:val="center"/>
              <w:rPr>
                <w:rFonts w:eastAsia="Times New Roman"/>
              </w:rPr>
            </w:pPr>
            <w:r>
              <w:rPr>
                <w:rFonts w:eastAsia="Times New Roman"/>
                <w:b/>
                <w:bCs/>
                <w:color w:val="000000"/>
                <w:sz w:val="16"/>
                <w:szCs w:val="16"/>
              </w:rPr>
              <w:t>2020</w:t>
            </w:r>
          </w:p>
        </w:tc>
        <w:tc>
          <w:tcPr>
            <w:tcW w:w="0" w:type="auto"/>
            <w:vAlign w:val="center"/>
            <w:hideMark/>
          </w:tcPr>
          <w:p w14:paraId="2A81AB1D" w14:textId="77777777" w:rsidR="00000000" w:rsidRDefault="00405D16">
            <w:pPr>
              <w:spacing w:after="100"/>
              <w:jc w:val="center"/>
              <w:rPr>
                <w:rFonts w:eastAsia="Times New Roman"/>
              </w:rPr>
            </w:pPr>
          </w:p>
        </w:tc>
        <w:tc>
          <w:tcPr>
            <w:tcW w:w="0" w:type="auto"/>
            <w:vAlign w:val="center"/>
            <w:hideMark/>
          </w:tcPr>
          <w:p w14:paraId="4B8E422A" w14:textId="77777777" w:rsidR="00000000" w:rsidRDefault="00405D16">
            <w:pPr>
              <w:spacing w:after="100"/>
              <w:rPr>
                <w:rFonts w:eastAsia="Times New Roman"/>
                <w:sz w:val="20"/>
                <w:szCs w:val="20"/>
              </w:rPr>
            </w:pPr>
          </w:p>
        </w:tc>
        <w:tc>
          <w:tcPr>
            <w:tcW w:w="0" w:type="auto"/>
            <w:vAlign w:val="center"/>
            <w:hideMark/>
          </w:tcPr>
          <w:p w14:paraId="2B8D1BCD" w14:textId="77777777" w:rsidR="00000000" w:rsidRDefault="00405D16">
            <w:pPr>
              <w:spacing w:after="100"/>
              <w:rPr>
                <w:rFonts w:eastAsia="Times New Roman"/>
                <w:sz w:val="20"/>
                <w:szCs w:val="20"/>
              </w:rPr>
            </w:pPr>
          </w:p>
        </w:tc>
        <w:tc>
          <w:tcPr>
            <w:tcW w:w="0" w:type="auto"/>
            <w:vAlign w:val="center"/>
            <w:hideMark/>
          </w:tcPr>
          <w:p w14:paraId="5F705971" w14:textId="77777777" w:rsidR="00000000" w:rsidRDefault="00405D16">
            <w:pPr>
              <w:spacing w:after="100"/>
              <w:rPr>
                <w:rFonts w:eastAsia="Times New Roman"/>
                <w:sz w:val="20"/>
                <w:szCs w:val="20"/>
              </w:rPr>
            </w:pPr>
          </w:p>
        </w:tc>
      </w:tr>
      <w:tr w:rsidR="00000000" w14:paraId="562228EB" w14:textId="77777777">
        <w:trPr>
          <w:divId w:val="105161108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CB7962B" w14:textId="77777777" w:rsidR="00000000" w:rsidRDefault="00405D16">
            <w:pPr>
              <w:spacing w:after="100"/>
              <w:rPr>
                <w:rFonts w:eastAsia="Times New Roman"/>
              </w:rPr>
            </w:pPr>
            <w:r>
              <w:rPr>
                <w:rFonts w:eastAsia="Times New Roman"/>
                <w:color w:val="000000"/>
                <w:sz w:val="18"/>
                <w:szCs w:val="18"/>
              </w:rPr>
              <w:t>Income from continuing operations, net of tax</w:t>
            </w:r>
          </w:p>
        </w:tc>
        <w:tc>
          <w:tcPr>
            <w:tcW w:w="0" w:type="auto"/>
            <w:gridSpan w:val="3"/>
            <w:shd w:val="clear" w:color="auto" w:fill="CCEEFF"/>
            <w:tcMar>
              <w:top w:w="0" w:type="dxa"/>
              <w:left w:w="20" w:type="dxa"/>
              <w:bottom w:w="0" w:type="dxa"/>
              <w:right w:w="20" w:type="dxa"/>
            </w:tcMar>
            <w:vAlign w:val="center"/>
            <w:hideMark/>
          </w:tcPr>
          <w:p w14:paraId="1A08BCE0"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C429B44"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24B5AE5" w14:textId="77777777" w:rsidR="00000000" w:rsidRDefault="00405D16">
            <w:pPr>
              <w:spacing w:after="100"/>
              <w:jc w:val="right"/>
              <w:rPr>
                <w:rFonts w:eastAsia="Times New Roman"/>
              </w:rPr>
            </w:pPr>
            <w:r>
              <w:rPr>
                <w:rFonts w:eastAsia="Times New Roman"/>
                <w:b/>
                <w:bCs/>
                <w:color w:val="000000"/>
                <w:sz w:val="18"/>
                <w:szCs w:val="18"/>
              </w:rPr>
              <w:t>3,104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FEAB8D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C1EC0C"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C894DF8"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A80F31E" w14:textId="77777777" w:rsidR="00000000" w:rsidRDefault="00405D16">
            <w:pPr>
              <w:spacing w:after="100"/>
              <w:jc w:val="right"/>
              <w:rPr>
                <w:rFonts w:eastAsia="Times New Roman"/>
              </w:rPr>
            </w:pPr>
            <w:r>
              <w:rPr>
                <w:rFonts w:eastAsia="Times New Roman"/>
                <w:color w:val="000000"/>
                <w:sz w:val="18"/>
                <w:szCs w:val="18"/>
              </w:rPr>
              <w:t>2,406 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FFB9F7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2067DA"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D3CD9B6"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278C17B" w14:textId="77777777" w:rsidR="00000000" w:rsidRDefault="00405D16">
            <w:pPr>
              <w:spacing w:after="100"/>
              <w:jc w:val="right"/>
              <w:rPr>
                <w:rFonts w:eastAsia="Times New Roman"/>
              </w:rPr>
            </w:pPr>
            <w:r>
              <w:rPr>
                <w:rFonts w:eastAsia="Times New Roman"/>
                <w:b/>
                <w:bCs/>
                <w:color w:val="000000"/>
                <w:sz w:val="18"/>
                <w:szCs w:val="18"/>
              </w:rPr>
              <w:t>9,968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DA37C8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ECB3CA"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ABA0C12"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E6DF783" w14:textId="77777777" w:rsidR="00000000" w:rsidRDefault="00405D16">
            <w:pPr>
              <w:spacing w:after="100"/>
              <w:jc w:val="right"/>
              <w:rPr>
                <w:rFonts w:eastAsia="Times New Roman"/>
              </w:rPr>
            </w:pPr>
            <w:r>
              <w:rPr>
                <w:rFonts w:eastAsia="Times New Roman"/>
                <w:color w:val="000000"/>
                <w:sz w:val="18"/>
                <w:szCs w:val="18"/>
              </w:rPr>
              <w:t>149 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BBD48C9" w14:textId="77777777" w:rsidR="00000000" w:rsidRDefault="00405D16">
            <w:pPr>
              <w:spacing w:after="100"/>
              <w:jc w:val="right"/>
              <w:rPr>
                <w:rFonts w:eastAsia="Times New Roman"/>
              </w:rPr>
            </w:pPr>
          </w:p>
        </w:tc>
        <w:tc>
          <w:tcPr>
            <w:tcW w:w="0" w:type="auto"/>
            <w:vAlign w:val="center"/>
            <w:hideMark/>
          </w:tcPr>
          <w:p w14:paraId="679E2BF2" w14:textId="77777777" w:rsidR="00000000" w:rsidRDefault="00405D16">
            <w:pPr>
              <w:spacing w:after="100"/>
              <w:jc w:val="right"/>
              <w:rPr>
                <w:rFonts w:eastAsia="Times New Roman"/>
                <w:sz w:val="20"/>
                <w:szCs w:val="20"/>
              </w:rPr>
            </w:pPr>
          </w:p>
        </w:tc>
        <w:tc>
          <w:tcPr>
            <w:tcW w:w="0" w:type="auto"/>
            <w:vAlign w:val="center"/>
            <w:hideMark/>
          </w:tcPr>
          <w:p w14:paraId="3A08D674" w14:textId="77777777" w:rsidR="00000000" w:rsidRDefault="00405D16">
            <w:pPr>
              <w:spacing w:after="100"/>
              <w:rPr>
                <w:rFonts w:eastAsia="Times New Roman"/>
                <w:sz w:val="20"/>
                <w:szCs w:val="20"/>
              </w:rPr>
            </w:pPr>
          </w:p>
        </w:tc>
        <w:tc>
          <w:tcPr>
            <w:tcW w:w="0" w:type="auto"/>
            <w:vAlign w:val="center"/>
            <w:hideMark/>
          </w:tcPr>
          <w:p w14:paraId="0017FD6E" w14:textId="77777777" w:rsidR="00000000" w:rsidRDefault="00405D16">
            <w:pPr>
              <w:spacing w:after="100"/>
              <w:rPr>
                <w:rFonts w:eastAsia="Times New Roman"/>
                <w:sz w:val="20"/>
                <w:szCs w:val="20"/>
              </w:rPr>
            </w:pPr>
          </w:p>
        </w:tc>
        <w:tc>
          <w:tcPr>
            <w:tcW w:w="0" w:type="auto"/>
            <w:vAlign w:val="center"/>
            <w:hideMark/>
          </w:tcPr>
          <w:p w14:paraId="33621DE8" w14:textId="77777777" w:rsidR="00000000" w:rsidRDefault="00405D16">
            <w:pPr>
              <w:spacing w:after="100"/>
              <w:rPr>
                <w:rFonts w:eastAsia="Times New Roman"/>
                <w:sz w:val="20"/>
                <w:szCs w:val="20"/>
              </w:rPr>
            </w:pPr>
          </w:p>
        </w:tc>
      </w:tr>
      <w:tr w:rsidR="00000000" w14:paraId="5F05871B" w14:textId="77777777">
        <w:trPr>
          <w:divId w:val="1051611083"/>
        </w:trPr>
        <w:tc>
          <w:tcPr>
            <w:tcW w:w="0" w:type="auto"/>
            <w:gridSpan w:val="3"/>
            <w:shd w:val="clear" w:color="auto" w:fill="FFFFFF"/>
            <w:tcMar>
              <w:top w:w="30" w:type="dxa"/>
              <w:left w:w="20" w:type="dxa"/>
              <w:bottom w:w="30" w:type="dxa"/>
              <w:right w:w="20" w:type="dxa"/>
            </w:tcMar>
            <w:vAlign w:val="center"/>
            <w:hideMark/>
          </w:tcPr>
          <w:p w14:paraId="7788AC77" w14:textId="77777777" w:rsidR="00000000" w:rsidRDefault="00405D16">
            <w:pPr>
              <w:spacing w:after="100"/>
              <w:rPr>
                <w:rFonts w:eastAsia="Times New Roman"/>
              </w:rPr>
            </w:pPr>
            <w:r>
              <w:rPr>
                <w:rFonts w:eastAsia="Times New Roman"/>
                <w:color w:val="000000"/>
                <w:sz w:val="18"/>
                <w:szCs w:val="18"/>
              </w:rPr>
              <w:t>Loss from discontinued operations, net of tax</w:t>
            </w:r>
          </w:p>
        </w:tc>
        <w:tc>
          <w:tcPr>
            <w:tcW w:w="0" w:type="auto"/>
            <w:gridSpan w:val="3"/>
            <w:shd w:val="clear" w:color="auto" w:fill="FFFFFF"/>
            <w:tcMar>
              <w:top w:w="0" w:type="dxa"/>
              <w:left w:w="20" w:type="dxa"/>
              <w:bottom w:w="0" w:type="dxa"/>
              <w:right w:w="20" w:type="dxa"/>
            </w:tcMar>
            <w:vAlign w:val="center"/>
            <w:hideMark/>
          </w:tcPr>
          <w:p w14:paraId="514D3D0D"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B2C0440"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2ABCDA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FCBD8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1FEEF28"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0C29B49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01BD4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8C71E04" w14:textId="77777777" w:rsidR="00000000" w:rsidRDefault="00405D16">
            <w:pPr>
              <w:spacing w:after="100"/>
              <w:jc w:val="right"/>
              <w:rPr>
                <w:rFonts w:eastAsia="Times New Roman"/>
              </w:rPr>
            </w:pPr>
            <w:r>
              <w:rPr>
                <w:rFonts w:eastAsia="Times New Roman"/>
                <w:b/>
                <w:bCs/>
                <w:color w:val="000000"/>
                <w:sz w:val="18"/>
                <w:szCs w:val="18"/>
              </w:rPr>
              <w:t>(3)</w:t>
            </w:r>
          </w:p>
        </w:tc>
        <w:tc>
          <w:tcPr>
            <w:tcW w:w="0" w:type="auto"/>
            <w:shd w:val="clear" w:color="auto" w:fill="FFFFFF"/>
            <w:tcMar>
              <w:top w:w="30" w:type="dxa"/>
              <w:left w:w="0" w:type="dxa"/>
              <w:bottom w:w="30" w:type="dxa"/>
              <w:right w:w="20" w:type="dxa"/>
            </w:tcMar>
            <w:vAlign w:val="center"/>
            <w:hideMark/>
          </w:tcPr>
          <w:p w14:paraId="69D7556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F3EAA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C7D8573" w14:textId="77777777" w:rsidR="00000000" w:rsidRDefault="00405D16">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center"/>
            <w:hideMark/>
          </w:tcPr>
          <w:p w14:paraId="16754786" w14:textId="77777777" w:rsidR="00000000" w:rsidRDefault="00405D16">
            <w:pPr>
              <w:spacing w:after="100"/>
              <w:jc w:val="right"/>
              <w:rPr>
                <w:rFonts w:eastAsia="Times New Roman"/>
              </w:rPr>
            </w:pPr>
          </w:p>
        </w:tc>
        <w:tc>
          <w:tcPr>
            <w:tcW w:w="0" w:type="auto"/>
            <w:vAlign w:val="center"/>
            <w:hideMark/>
          </w:tcPr>
          <w:p w14:paraId="2C45A2BE" w14:textId="77777777" w:rsidR="00000000" w:rsidRDefault="00405D16">
            <w:pPr>
              <w:spacing w:after="100"/>
              <w:jc w:val="right"/>
              <w:rPr>
                <w:rFonts w:eastAsia="Times New Roman"/>
                <w:sz w:val="20"/>
                <w:szCs w:val="20"/>
              </w:rPr>
            </w:pPr>
          </w:p>
        </w:tc>
        <w:tc>
          <w:tcPr>
            <w:tcW w:w="0" w:type="auto"/>
            <w:vAlign w:val="center"/>
            <w:hideMark/>
          </w:tcPr>
          <w:p w14:paraId="06811C4F" w14:textId="77777777" w:rsidR="00000000" w:rsidRDefault="00405D16">
            <w:pPr>
              <w:spacing w:after="100"/>
              <w:rPr>
                <w:rFonts w:eastAsia="Times New Roman"/>
                <w:sz w:val="20"/>
                <w:szCs w:val="20"/>
              </w:rPr>
            </w:pPr>
          </w:p>
        </w:tc>
        <w:tc>
          <w:tcPr>
            <w:tcW w:w="0" w:type="auto"/>
            <w:vAlign w:val="center"/>
            <w:hideMark/>
          </w:tcPr>
          <w:p w14:paraId="2227A88A" w14:textId="77777777" w:rsidR="00000000" w:rsidRDefault="00405D16">
            <w:pPr>
              <w:spacing w:after="100"/>
              <w:rPr>
                <w:rFonts w:eastAsia="Times New Roman"/>
                <w:sz w:val="20"/>
                <w:szCs w:val="20"/>
              </w:rPr>
            </w:pPr>
          </w:p>
        </w:tc>
        <w:tc>
          <w:tcPr>
            <w:tcW w:w="0" w:type="auto"/>
            <w:vAlign w:val="center"/>
            <w:hideMark/>
          </w:tcPr>
          <w:p w14:paraId="6679858E" w14:textId="77777777" w:rsidR="00000000" w:rsidRDefault="00405D16">
            <w:pPr>
              <w:spacing w:after="100"/>
              <w:rPr>
                <w:rFonts w:eastAsia="Times New Roman"/>
                <w:sz w:val="20"/>
                <w:szCs w:val="20"/>
              </w:rPr>
            </w:pPr>
          </w:p>
        </w:tc>
      </w:tr>
      <w:tr w:rsidR="00000000" w14:paraId="1C6AE497" w14:textId="77777777">
        <w:trPr>
          <w:divId w:val="1051611083"/>
        </w:trPr>
        <w:tc>
          <w:tcPr>
            <w:tcW w:w="0" w:type="auto"/>
            <w:gridSpan w:val="3"/>
            <w:shd w:val="clear" w:color="auto" w:fill="CCEEFF"/>
            <w:tcMar>
              <w:top w:w="30" w:type="dxa"/>
              <w:left w:w="20" w:type="dxa"/>
              <w:bottom w:w="30" w:type="dxa"/>
              <w:right w:w="20" w:type="dxa"/>
            </w:tcMar>
            <w:vAlign w:val="center"/>
            <w:hideMark/>
          </w:tcPr>
          <w:p w14:paraId="721CED93" w14:textId="77777777" w:rsidR="00000000" w:rsidRDefault="00405D16">
            <w:pPr>
              <w:spacing w:after="100"/>
              <w:rPr>
                <w:rFonts w:eastAsia="Times New Roman"/>
              </w:rPr>
            </w:pPr>
            <w:r>
              <w:rPr>
                <w:rFonts w:eastAsia="Times New Roman"/>
                <w:color w:val="000000"/>
                <w:sz w:val="18"/>
                <w:szCs w:val="18"/>
              </w:rPr>
              <w:t>Net income</w:t>
            </w:r>
          </w:p>
        </w:tc>
        <w:tc>
          <w:tcPr>
            <w:tcW w:w="0" w:type="auto"/>
            <w:gridSpan w:val="3"/>
            <w:shd w:val="clear" w:color="auto" w:fill="CCEEFF"/>
            <w:tcMar>
              <w:top w:w="0" w:type="dxa"/>
              <w:left w:w="20" w:type="dxa"/>
              <w:bottom w:w="0" w:type="dxa"/>
              <w:right w:w="20" w:type="dxa"/>
            </w:tcMar>
            <w:vAlign w:val="center"/>
            <w:hideMark/>
          </w:tcPr>
          <w:p w14:paraId="5AD30747"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CCB17C4" w14:textId="77777777" w:rsidR="00000000" w:rsidRDefault="00405D16">
            <w:pPr>
              <w:spacing w:after="100"/>
              <w:jc w:val="right"/>
              <w:rPr>
                <w:rFonts w:eastAsia="Times New Roman"/>
              </w:rPr>
            </w:pPr>
            <w:r>
              <w:rPr>
                <w:rFonts w:eastAsia="Times New Roman"/>
                <w:b/>
                <w:bCs/>
                <w:color w:val="000000"/>
                <w:sz w:val="18"/>
                <w:szCs w:val="18"/>
              </w:rPr>
              <w:t>3,104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65BA66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0B7BFC"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4A03FB9" w14:textId="77777777" w:rsidR="00000000" w:rsidRDefault="00405D16">
            <w:pPr>
              <w:spacing w:after="100"/>
              <w:jc w:val="right"/>
              <w:rPr>
                <w:rFonts w:eastAsia="Times New Roman"/>
              </w:rPr>
            </w:pPr>
            <w:r>
              <w:rPr>
                <w:rFonts w:eastAsia="Times New Roman"/>
                <w:color w:val="000000"/>
                <w:sz w:val="18"/>
                <w:szCs w:val="18"/>
              </w:rPr>
              <w:t>2,406 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2B9797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76B615"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5341F43" w14:textId="77777777" w:rsidR="00000000" w:rsidRDefault="00405D16">
            <w:pPr>
              <w:spacing w:after="100"/>
              <w:jc w:val="right"/>
              <w:rPr>
                <w:rFonts w:eastAsia="Times New Roman"/>
              </w:rPr>
            </w:pPr>
            <w:r>
              <w:rPr>
                <w:rFonts w:eastAsia="Times New Roman"/>
                <w:b/>
                <w:bCs/>
                <w:color w:val="000000"/>
                <w:sz w:val="18"/>
                <w:szCs w:val="18"/>
              </w:rPr>
              <w:t>9,965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BA0532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A3359F"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04CD3A1" w14:textId="77777777" w:rsidR="00000000" w:rsidRDefault="00405D16">
            <w:pPr>
              <w:spacing w:after="100"/>
              <w:jc w:val="right"/>
              <w:rPr>
                <w:rFonts w:eastAsia="Times New Roman"/>
              </w:rPr>
            </w:pPr>
            <w:r>
              <w:rPr>
                <w:rFonts w:eastAsia="Times New Roman"/>
                <w:color w:val="000000"/>
                <w:sz w:val="18"/>
                <w:szCs w:val="18"/>
              </w:rPr>
              <w:t>148 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E5F8A2C" w14:textId="77777777" w:rsidR="00000000" w:rsidRDefault="00405D16">
            <w:pPr>
              <w:spacing w:after="100"/>
              <w:jc w:val="right"/>
              <w:rPr>
                <w:rFonts w:eastAsia="Times New Roman"/>
              </w:rPr>
            </w:pPr>
          </w:p>
        </w:tc>
        <w:tc>
          <w:tcPr>
            <w:tcW w:w="0" w:type="auto"/>
            <w:vAlign w:val="center"/>
            <w:hideMark/>
          </w:tcPr>
          <w:p w14:paraId="6244B8A6" w14:textId="77777777" w:rsidR="00000000" w:rsidRDefault="00405D16">
            <w:pPr>
              <w:spacing w:after="100"/>
              <w:jc w:val="right"/>
              <w:rPr>
                <w:rFonts w:eastAsia="Times New Roman"/>
                <w:sz w:val="20"/>
                <w:szCs w:val="20"/>
              </w:rPr>
            </w:pPr>
          </w:p>
        </w:tc>
        <w:tc>
          <w:tcPr>
            <w:tcW w:w="0" w:type="auto"/>
            <w:vAlign w:val="center"/>
            <w:hideMark/>
          </w:tcPr>
          <w:p w14:paraId="016CA7E1" w14:textId="77777777" w:rsidR="00000000" w:rsidRDefault="00405D16">
            <w:pPr>
              <w:spacing w:after="100"/>
              <w:rPr>
                <w:rFonts w:eastAsia="Times New Roman"/>
                <w:sz w:val="20"/>
                <w:szCs w:val="20"/>
              </w:rPr>
            </w:pPr>
          </w:p>
        </w:tc>
        <w:tc>
          <w:tcPr>
            <w:tcW w:w="0" w:type="auto"/>
            <w:vAlign w:val="center"/>
            <w:hideMark/>
          </w:tcPr>
          <w:p w14:paraId="4071019C" w14:textId="77777777" w:rsidR="00000000" w:rsidRDefault="00405D16">
            <w:pPr>
              <w:spacing w:after="100"/>
              <w:rPr>
                <w:rFonts w:eastAsia="Times New Roman"/>
                <w:sz w:val="20"/>
                <w:szCs w:val="20"/>
              </w:rPr>
            </w:pPr>
          </w:p>
        </w:tc>
        <w:tc>
          <w:tcPr>
            <w:tcW w:w="0" w:type="auto"/>
            <w:vAlign w:val="center"/>
            <w:hideMark/>
          </w:tcPr>
          <w:p w14:paraId="4A579138" w14:textId="77777777" w:rsidR="00000000" w:rsidRDefault="00405D16">
            <w:pPr>
              <w:spacing w:after="100"/>
              <w:rPr>
                <w:rFonts w:eastAsia="Times New Roman"/>
                <w:sz w:val="20"/>
                <w:szCs w:val="20"/>
              </w:rPr>
            </w:pPr>
          </w:p>
        </w:tc>
      </w:tr>
      <w:tr w:rsidR="00000000" w14:paraId="2749CBC8" w14:textId="77777777">
        <w:trPr>
          <w:divId w:val="1051611083"/>
        </w:trPr>
        <w:tc>
          <w:tcPr>
            <w:tcW w:w="0" w:type="auto"/>
            <w:gridSpan w:val="3"/>
            <w:shd w:val="clear" w:color="auto" w:fill="FFFFFF"/>
            <w:tcMar>
              <w:top w:w="30" w:type="dxa"/>
              <w:left w:w="20" w:type="dxa"/>
              <w:bottom w:w="30" w:type="dxa"/>
              <w:right w:w="20" w:type="dxa"/>
            </w:tcMar>
            <w:vAlign w:val="center"/>
            <w:hideMark/>
          </w:tcPr>
          <w:p w14:paraId="4BD04720" w14:textId="77777777" w:rsidR="00000000" w:rsidRDefault="00405D16">
            <w:pPr>
              <w:spacing w:after="100"/>
              <w:rPr>
                <w:rFonts w:eastAsia="Times New Roman"/>
              </w:rPr>
            </w:pPr>
            <w:r>
              <w:rPr>
                <w:rFonts w:eastAsia="Times New Roman"/>
                <w:color w:val="000000"/>
                <w:sz w:val="18"/>
                <w:szCs w:val="18"/>
              </w:rPr>
              <w:t>Dividends and undistributed earnings allocated to participating securities</w:t>
            </w:r>
          </w:p>
        </w:tc>
        <w:tc>
          <w:tcPr>
            <w:tcW w:w="0" w:type="auto"/>
            <w:gridSpan w:val="3"/>
            <w:shd w:val="clear" w:color="auto" w:fill="FFFFFF"/>
            <w:tcMar>
              <w:top w:w="0" w:type="dxa"/>
              <w:left w:w="20" w:type="dxa"/>
              <w:bottom w:w="0" w:type="dxa"/>
              <w:right w:w="20" w:type="dxa"/>
            </w:tcMar>
            <w:vAlign w:val="center"/>
            <w:hideMark/>
          </w:tcPr>
          <w:p w14:paraId="10458167"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581F9AC" w14:textId="77777777" w:rsidR="00000000" w:rsidRDefault="00405D16">
            <w:pPr>
              <w:spacing w:after="100"/>
              <w:jc w:val="right"/>
              <w:rPr>
                <w:rFonts w:eastAsia="Times New Roman"/>
              </w:rPr>
            </w:pPr>
            <w:r>
              <w:rPr>
                <w:rFonts w:eastAsia="Times New Roman"/>
                <w:b/>
                <w:bCs/>
                <w:color w:val="000000"/>
                <w:sz w:val="18"/>
                <w:szCs w:val="18"/>
              </w:rPr>
              <w:t>(26)</w:t>
            </w:r>
          </w:p>
        </w:tc>
        <w:tc>
          <w:tcPr>
            <w:tcW w:w="0" w:type="auto"/>
            <w:shd w:val="clear" w:color="auto" w:fill="FFFFFF"/>
            <w:tcMar>
              <w:top w:w="30" w:type="dxa"/>
              <w:left w:w="0" w:type="dxa"/>
              <w:bottom w:w="30" w:type="dxa"/>
              <w:right w:w="20" w:type="dxa"/>
            </w:tcMar>
            <w:vAlign w:val="center"/>
            <w:hideMark/>
          </w:tcPr>
          <w:p w14:paraId="7654309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D933C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5A32265" w14:textId="77777777" w:rsidR="00000000" w:rsidRDefault="00405D16">
            <w:pPr>
              <w:spacing w:after="100"/>
              <w:jc w:val="right"/>
              <w:rPr>
                <w:rFonts w:eastAsia="Times New Roman"/>
              </w:rPr>
            </w:pPr>
            <w:r>
              <w:rPr>
                <w:rFonts w:eastAsia="Times New Roman"/>
                <w:color w:val="000000"/>
                <w:sz w:val="18"/>
                <w:szCs w:val="18"/>
              </w:rPr>
              <w:t>(20)</w:t>
            </w:r>
          </w:p>
        </w:tc>
        <w:tc>
          <w:tcPr>
            <w:tcW w:w="0" w:type="auto"/>
            <w:shd w:val="clear" w:color="auto" w:fill="FFFFFF"/>
            <w:tcMar>
              <w:top w:w="30" w:type="dxa"/>
              <w:left w:w="0" w:type="dxa"/>
              <w:bottom w:w="30" w:type="dxa"/>
              <w:right w:w="20" w:type="dxa"/>
            </w:tcMar>
            <w:vAlign w:val="center"/>
            <w:hideMark/>
          </w:tcPr>
          <w:p w14:paraId="7E6B47C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AD2A8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2466945" w14:textId="77777777" w:rsidR="00000000" w:rsidRDefault="00405D16">
            <w:pPr>
              <w:spacing w:after="100"/>
              <w:jc w:val="right"/>
              <w:rPr>
                <w:rFonts w:eastAsia="Times New Roman"/>
              </w:rPr>
            </w:pPr>
            <w:r>
              <w:rPr>
                <w:rFonts w:eastAsia="Times New Roman"/>
                <w:b/>
                <w:bCs/>
                <w:color w:val="000000"/>
                <w:sz w:val="18"/>
                <w:szCs w:val="18"/>
              </w:rPr>
              <w:t>(84)</w:t>
            </w:r>
          </w:p>
        </w:tc>
        <w:tc>
          <w:tcPr>
            <w:tcW w:w="0" w:type="auto"/>
            <w:shd w:val="clear" w:color="auto" w:fill="FFFFFF"/>
            <w:tcMar>
              <w:top w:w="30" w:type="dxa"/>
              <w:left w:w="0" w:type="dxa"/>
              <w:bottom w:w="30" w:type="dxa"/>
              <w:right w:w="20" w:type="dxa"/>
            </w:tcMar>
            <w:vAlign w:val="center"/>
            <w:hideMark/>
          </w:tcPr>
          <w:p w14:paraId="5241544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4A39C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D982E6F" w14:textId="77777777" w:rsidR="00000000" w:rsidRDefault="00405D16">
            <w:pPr>
              <w:spacing w:after="100"/>
              <w:jc w:val="right"/>
              <w:rPr>
                <w:rFonts w:eastAsia="Times New Roman"/>
              </w:rPr>
            </w:pPr>
            <w:r>
              <w:rPr>
                <w:rFonts w:eastAsia="Times New Roman"/>
                <w:color w:val="000000"/>
                <w:sz w:val="18"/>
                <w:szCs w:val="18"/>
              </w:rPr>
              <w:t>(5)</w:t>
            </w:r>
          </w:p>
        </w:tc>
        <w:tc>
          <w:tcPr>
            <w:tcW w:w="0" w:type="auto"/>
            <w:shd w:val="clear" w:color="auto" w:fill="FFFFFF"/>
            <w:tcMar>
              <w:top w:w="30" w:type="dxa"/>
              <w:left w:w="0" w:type="dxa"/>
              <w:bottom w:w="30" w:type="dxa"/>
              <w:right w:w="20" w:type="dxa"/>
            </w:tcMar>
            <w:vAlign w:val="center"/>
            <w:hideMark/>
          </w:tcPr>
          <w:p w14:paraId="623A44AB" w14:textId="77777777" w:rsidR="00000000" w:rsidRDefault="00405D16">
            <w:pPr>
              <w:spacing w:after="100"/>
              <w:jc w:val="right"/>
              <w:rPr>
                <w:rFonts w:eastAsia="Times New Roman"/>
              </w:rPr>
            </w:pPr>
          </w:p>
        </w:tc>
        <w:tc>
          <w:tcPr>
            <w:tcW w:w="0" w:type="auto"/>
            <w:vAlign w:val="center"/>
            <w:hideMark/>
          </w:tcPr>
          <w:p w14:paraId="706946FC" w14:textId="77777777" w:rsidR="00000000" w:rsidRDefault="00405D16">
            <w:pPr>
              <w:spacing w:after="100"/>
              <w:jc w:val="right"/>
              <w:rPr>
                <w:rFonts w:eastAsia="Times New Roman"/>
                <w:sz w:val="20"/>
                <w:szCs w:val="20"/>
              </w:rPr>
            </w:pPr>
          </w:p>
        </w:tc>
        <w:tc>
          <w:tcPr>
            <w:tcW w:w="0" w:type="auto"/>
            <w:vAlign w:val="center"/>
            <w:hideMark/>
          </w:tcPr>
          <w:p w14:paraId="11D51CD9" w14:textId="77777777" w:rsidR="00000000" w:rsidRDefault="00405D16">
            <w:pPr>
              <w:spacing w:after="100"/>
              <w:rPr>
                <w:rFonts w:eastAsia="Times New Roman"/>
                <w:sz w:val="20"/>
                <w:szCs w:val="20"/>
              </w:rPr>
            </w:pPr>
          </w:p>
        </w:tc>
        <w:tc>
          <w:tcPr>
            <w:tcW w:w="0" w:type="auto"/>
            <w:vAlign w:val="center"/>
            <w:hideMark/>
          </w:tcPr>
          <w:p w14:paraId="37C06881" w14:textId="77777777" w:rsidR="00000000" w:rsidRDefault="00405D16">
            <w:pPr>
              <w:spacing w:after="100"/>
              <w:rPr>
                <w:rFonts w:eastAsia="Times New Roman"/>
                <w:sz w:val="20"/>
                <w:szCs w:val="20"/>
              </w:rPr>
            </w:pPr>
          </w:p>
        </w:tc>
        <w:tc>
          <w:tcPr>
            <w:tcW w:w="0" w:type="auto"/>
            <w:vAlign w:val="center"/>
            <w:hideMark/>
          </w:tcPr>
          <w:p w14:paraId="6B75F520" w14:textId="77777777" w:rsidR="00000000" w:rsidRDefault="00405D16">
            <w:pPr>
              <w:spacing w:after="100"/>
              <w:rPr>
                <w:rFonts w:eastAsia="Times New Roman"/>
                <w:sz w:val="20"/>
                <w:szCs w:val="20"/>
              </w:rPr>
            </w:pPr>
          </w:p>
        </w:tc>
      </w:tr>
      <w:tr w:rsidR="00000000" w14:paraId="232345F1" w14:textId="77777777">
        <w:trPr>
          <w:divId w:val="1051611083"/>
        </w:trPr>
        <w:tc>
          <w:tcPr>
            <w:tcW w:w="0" w:type="auto"/>
            <w:gridSpan w:val="3"/>
            <w:shd w:val="clear" w:color="auto" w:fill="CCEEFF"/>
            <w:tcMar>
              <w:top w:w="30" w:type="dxa"/>
              <w:left w:w="20" w:type="dxa"/>
              <w:bottom w:w="30" w:type="dxa"/>
              <w:right w:w="20" w:type="dxa"/>
            </w:tcMar>
            <w:vAlign w:val="center"/>
            <w:hideMark/>
          </w:tcPr>
          <w:p w14:paraId="551B7492" w14:textId="77777777" w:rsidR="00000000" w:rsidRDefault="00405D16">
            <w:pPr>
              <w:spacing w:after="100"/>
              <w:rPr>
                <w:rFonts w:eastAsia="Times New Roman"/>
              </w:rPr>
            </w:pPr>
            <w:r>
              <w:rPr>
                <w:rFonts w:eastAsia="Times New Roman"/>
                <w:color w:val="000000"/>
                <w:sz w:val="18"/>
                <w:szCs w:val="18"/>
              </w:rPr>
              <w:t>Preferred stock dividends</w:t>
            </w:r>
          </w:p>
        </w:tc>
        <w:tc>
          <w:tcPr>
            <w:tcW w:w="0" w:type="auto"/>
            <w:gridSpan w:val="3"/>
            <w:shd w:val="clear" w:color="auto" w:fill="CCEEFF"/>
            <w:tcMar>
              <w:top w:w="0" w:type="dxa"/>
              <w:left w:w="20" w:type="dxa"/>
              <w:bottom w:w="0" w:type="dxa"/>
              <w:right w:w="20" w:type="dxa"/>
            </w:tcMar>
            <w:vAlign w:val="center"/>
            <w:hideMark/>
          </w:tcPr>
          <w:p w14:paraId="1953F8BB"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579E2CB" w14:textId="77777777" w:rsidR="00000000" w:rsidRDefault="00405D16">
            <w:pPr>
              <w:spacing w:after="100"/>
              <w:jc w:val="right"/>
              <w:rPr>
                <w:rFonts w:eastAsia="Times New Roman"/>
              </w:rPr>
            </w:pPr>
            <w:r>
              <w:rPr>
                <w:rFonts w:eastAsia="Times New Roman"/>
                <w:b/>
                <w:bCs/>
                <w:color w:val="000000"/>
                <w:sz w:val="18"/>
                <w:szCs w:val="18"/>
              </w:rPr>
              <w:t>(79)</w:t>
            </w:r>
          </w:p>
        </w:tc>
        <w:tc>
          <w:tcPr>
            <w:tcW w:w="0" w:type="auto"/>
            <w:shd w:val="clear" w:color="auto" w:fill="CCEEFF"/>
            <w:tcMar>
              <w:top w:w="30" w:type="dxa"/>
              <w:left w:w="0" w:type="dxa"/>
              <w:bottom w:w="30" w:type="dxa"/>
              <w:right w:w="20" w:type="dxa"/>
            </w:tcMar>
            <w:vAlign w:val="center"/>
            <w:hideMark/>
          </w:tcPr>
          <w:p w14:paraId="6FFE5CC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3B73F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FDC09C4" w14:textId="77777777" w:rsidR="00000000" w:rsidRDefault="00405D16">
            <w:pPr>
              <w:spacing w:after="100"/>
              <w:jc w:val="right"/>
              <w:rPr>
                <w:rFonts w:eastAsia="Times New Roman"/>
              </w:rPr>
            </w:pPr>
            <w:r>
              <w:rPr>
                <w:rFonts w:eastAsia="Times New Roman"/>
                <w:color w:val="000000"/>
                <w:sz w:val="18"/>
                <w:szCs w:val="18"/>
              </w:rPr>
              <w:t>(67)</w:t>
            </w:r>
          </w:p>
        </w:tc>
        <w:tc>
          <w:tcPr>
            <w:tcW w:w="0" w:type="auto"/>
            <w:shd w:val="clear" w:color="auto" w:fill="CCEEFF"/>
            <w:tcMar>
              <w:top w:w="30" w:type="dxa"/>
              <w:left w:w="0" w:type="dxa"/>
              <w:bottom w:w="30" w:type="dxa"/>
              <w:right w:w="20" w:type="dxa"/>
            </w:tcMar>
            <w:vAlign w:val="center"/>
            <w:hideMark/>
          </w:tcPr>
          <w:p w14:paraId="176F91E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3CFB6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4853F89" w14:textId="77777777" w:rsidR="00000000" w:rsidRDefault="00405D16">
            <w:pPr>
              <w:spacing w:after="100"/>
              <w:jc w:val="right"/>
              <w:rPr>
                <w:rFonts w:eastAsia="Times New Roman"/>
              </w:rPr>
            </w:pPr>
            <w:r>
              <w:rPr>
                <w:rFonts w:eastAsia="Times New Roman"/>
                <w:b/>
                <w:bCs/>
                <w:color w:val="000000"/>
                <w:sz w:val="18"/>
                <w:szCs w:val="18"/>
              </w:rPr>
              <w:t>(200)</w:t>
            </w:r>
          </w:p>
        </w:tc>
        <w:tc>
          <w:tcPr>
            <w:tcW w:w="0" w:type="auto"/>
            <w:shd w:val="clear" w:color="auto" w:fill="CCEEFF"/>
            <w:tcMar>
              <w:top w:w="30" w:type="dxa"/>
              <w:left w:w="0" w:type="dxa"/>
              <w:bottom w:w="30" w:type="dxa"/>
              <w:right w:w="20" w:type="dxa"/>
            </w:tcMar>
            <w:vAlign w:val="center"/>
            <w:hideMark/>
          </w:tcPr>
          <w:p w14:paraId="36E34F8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6F938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87BDB44" w14:textId="77777777" w:rsidR="00000000" w:rsidRDefault="00405D16">
            <w:pPr>
              <w:spacing w:after="100"/>
              <w:jc w:val="right"/>
              <w:rPr>
                <w:rFonts w:eastAsia="Times New Roman"/>
              </w:rPr>
            </w:pPr>
            <w:r>
              <w:rPr>
                <w:rFonts w:eastAsia="Times New Roman"/>
                <w:color w:val="000000"/>
                <w:sz w:val="18"/>
                <w:szCs w:val="18"/>
              </w:rPr>
              <w:t>(212)</w:t>
            </w:r>
          </w:p>
        </w:tc>
        <w:tc>
          <w:tcPr>
            <w:tcW w:w="0" w:type="auto"/>
            <w:shd w:val="clear" w:color="auto" w:fill="CCEEFF"/>
            <w:tcMar>
              <w:top w:w="30" w:type="dxa"/>
              <w:left w:w="0" w:type="dxa"/>
              <w:bottom w:w="30" w:type="dxa"/>
              <w:right w:w="20" w:type="dxa"/>
            </w:tcMar>
            <w:vAlign w:val="center"/>
            <w:hideMark/>
          </w:tcPr>
          <w:p w14:paraId="22979A25" w14:textId="77777777" w:rsidR="00000000" w:rsidRDefault="00405D16">
            <w:pPr>
              <w:spacing w:after="100"/>
              <w:jc w:val="right"/>
              <w:rPr>
                <w:rFonts w:eastAsia="Times New Roman"/>
              </w:rPr>
            </w:pPr>
          </w:p>
        </w:tc>
        <w:tc>
          <w:tcPr>
            <w:tcW w:w="0" w:type="auto"/>
            <w:vAlign w:val="center"/>
            <w:hideMark/>
          </w:tcPr>
          <w:p w14:paraId="2D013A23" w14:textId="77777777" w:rsidR="00000000" w:rsidRDefault="00405D16">
            <w:pPr>
              <w:spacing w:after="100"/>
              <w:jc w:val="right"/>
              <w:rPr>
                <w:rFonts w:eastAsia="Times New Roman"/>
                <w:sz w:val="20"/>
                <w:szCs w:val="20"/>
              </w:rPr>
            </w:pPr>
          </w:p>
        </w:tc>
        <w:tc>
          <w:tcPr>
            <w:tcW w:w="0" w:type="auto"/>
            <w:vAlign w:val="center"/>
            <w:hideMark/>
          </w:tcPr>
          <w:p w14:paraId="23200923" w14:textId="77777777" w:rsidR="00000000" w:rsidRDefault="00405D16">
            <w:pPr>
              <w:spacing w:after="100"/>
              <w:rPr>
                <w:rFonts w:eastAsia="Times New Roman"/>
                <w:sz w:val="20"/>
                <w:szCs w:val="20"/>
              </w:rPr>
            </w:pPr>
          </w:p>
        </w:tc>
        <w:tc>
          <w:tcPr>
            <w:tcW w:w="0" w:type="auto"/>
            <w:vAlign w:val="center"/>
            <w:hideMark/>
          </w:tcPr>
          <w:p w14:paraId="1F0B54F0" w14:textId="77777777" w:rsidR="00000000" w:rsidRDefault="00405D16">
            <w:pPr>
              <w:spacing w:after="100"/>
              <w:rPr>
                <w:rFonts w:eastAsia="Times New Roman"/>
                <w:sz w:val="20"/>
                <w:szCs w:val="20"/>
              </w:rPr>
            </w:pPr>
          </w:p>
        </w:tc>
        <w:tc>
          <w:tcPr>
            <w:tcW w:w="0" w:type="auto"/>
            <w:vAlign w:val="center"/>
            <w:hideMark/>
          </w:tcPr>
          <w:p w14:paraId="10C65122" w14:textId="77777777" w:rsidR="00000000" w:rsidRDefault="00405D16">
            <w:pPr>
              <w:spacing w:after="100"/>
              <w:rPr>
                <w:rFonts w:eastAsia="Times New Roman"/>
                <w:sz w:val="20"/>
                <w:szCs w:val="20"/>
              </w:rPr>
            </w:pPr>
          </w:p>
        </w:tc>
      </w:tr>
      <w:tr w:rsidR="00000000" w14:paraId="7F60078F" w14:textId="77777777">
        <w:trPr>
          <w:divId w:val="1051611083"/>
        </w:trPr>
        <w:tc>
          <w:tcPr>
            <w:tcW w:w="0" w:type="auto"/>
            <w:gridSpan w:val="3"/>
            <w:shd w:val="clear" w:color="auto" w:fill="FFFFFF"/>
            <w:tcMar>
              <w:top w:w="30" w:type="dxa"/>
              <w:left w:w="20" w:type="dxa"/>
              <w:bottom w:w="30" w:type="dxa"/>
              <w:right w:w="20" w:type="dxa"/>
            </w:tcMar>
            <w:vAlign w:val="center"/>
            <w:hideMark/>
          </w:tcPr>
          <w:p w14:paraId="1B3EF80F" w14:textId="77777777" w:rsidR="00000000" w:rsidRDefault="00405D16">
            <w:pPr>
              <w:spacing w:after="100"/>
              <w:rPr>
                <w:rFonts w:eastAsia="Times New Roman"/>
              </w:rPr>
            </w:pPr>
            <w:r>
              <w:rPr>
                <w:rFonts w:eastAsia="Times New Roman"/>
                <w:color w:val="000000"/>
                <w:sz w:val="18"/>
                <w:szCs w:val="18"/>
              </w:rPr>
              <w:t>Issuance cost for redeemed preferred stock</w:t>
            </w:r>
          </w:p>
        </w:tc>
        <w:tc>
          <w:tcPr>
            <w:tcW w:w="0" w:type="auto"/>
            <w:gridSpan w:val="3"/>
            <w:shd w:val="clear" w:color="auto" w:fill="FFFFFF"/>
            <w:tcMar>
              <w:top w:w="0" w:type="dxa"/>
              <w:left w:w="20" w:type="dxa"/>
              <w:bottom w:w="0" w:type="dxa"/>
              <w:right w:w="20" w:type="dxa"/>
            </w:tcMar>
            <w:vAlign w:val="center"/>
            <w:hideMark/>
          </w:tcPr>
          <w:p w14:paraId="59BF1231"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229CB3A" w14:textId="77777777" w:rsidR="00000000" w:rsidRDefault="00405D16">
            <w:pPr>
              <w:spacing w:after="100"/>
              <w:jc w:val="right"/>
              <w:rPr>
                <w:rFonts w:eastAsia="Times New Roman"/>
              </w:rPr>
            </w:pPr>
            <w:r>
              <w:rPr>
                <w:rFonts w:eastAsia="Times New Roman"/>
                <w:b/>
                <w:bCs/>
                <w:color w:val="000000"/>
                <w:sz w:val="18"/>
                <w:szCs w:val="18"/>
              </w:rPr>
              <w:t>(12)</w:t>
            </w:r>
          </w:p>
        </w:tc>
        <w:tc>
          <w:tcPr>
            <w:tcW w:w="0" w:type="auto"/>
            <w:shd w:val="clear" w:color="auto" w:fill="FFFFFF"/>
            <w:tcMar>
              <w:top w:w="30" w:type="dxa"/>
              <w:left w:w="0" w:type="dxa"/>
              <w:bottom w:w="30" w:type="dxa"/>
              <w:right w:w="20" w:type="dxa"/>
            </w:tcMar>
            <w:vAlign w:val="center"/>
            <w:hideMark/>
          </w:tcPr>
          <w:p w14:paraId="6866395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B2FDE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1C32FFA"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4814785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59785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76BBB64" w14:textId="77777777" w:rsidR="00000000" w:rsidRDefault="00405D16">
            <w:pPr>
              <w:spacing w:after="100"/>
              <w:jc w:val="right"/>
              <w:rPr>
                <w:rFonts w:eastAsia="Times New Roman"/>
              </w:rPr>
            </w:pPr>
            <w:r>
              <w:rPr>
                <w:rFonts w:eastAsia="Times New Roman"/>
                <w:b/>
                <w:bCs/>
                <w:color w:val="000000"/>
                <w:sz w:val="18"/>
                <w:szCs w:val="18"/>
              </w:rPr>
              <w:t>(12)</w:t>
            </w:r>
          </w:p>
        </w:tc>
        <w:tc>
          <w:tcPr>
            <w:tcW w:w="0" w:type="auto"/>
            <w:shd w:val="clear" w:color="auto" w:fill="FFFFFF"/>
            <w:tcMar>
              <w:top w:w="30" w:type="dxa"/>
              <w:left w:w="0" w:type="dxa"/>
              <w:bottom w:w="30" w:type="dxa"/>
              <w:right w:w="20" w:type="dxa"/>
            </w:tcMar>
            <w:vAlign w:val="center"/>
            <w:hideMark/>
          </w:tcPr>
          <w:p w14:paraId="4B00ADD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1ADC8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58A76A4" w14:textId="77777777" w:rsidR="00000000" w:rsidRDefault="00405D16">
            <w:pPr>
              <w:spacing w:after="100"/>
              <w:jc w:val="right"/>
              <w:rPr>
                <w:rFonts w:eastAsia="Times New Roman"/>
              </w:rPr>
            </w:pPr>
            <w:r>
              <w:rPr>
                <w:rFonts w:eastAsia="Times New Roman"/>
                <w:color w:val="000000"/>
                <w:sz w:val="18"/>
                <w:szCs w:val="18"/>
              </w:rPr>
              <w:t>(22)</w:t>
            </w:r>
          </w:p>
        </w:tc>
        <w:tc>
          <w:tcPr>
            <w:tcW w:w="0" w:type="auto"/>
            <w:shd w:val="clear" w:color="auto" w:fill="FFFFFF"/>
            <w:tcMar>
              <w:top w:w="30" w:type="dxa"/>
              <w:left w:w="0" w:type="dxa"/>
              <w:bottom w:w="30" w:type="dxa"/>
              <w:right w:w="20" w:type="dxa"/>
            </w:tcMar>
            <w:vAlign w:val="center"/>
            <w:hideMark/>
          </w:tcPr>
          <w:p w14:paraId="6BF63E87" w14:textId="77777777" w:rsidR="00000000" w:rsidRDefault="00405D16">
            <w:pPr>
              <w:spacing w:after="100"/>
              <w:jc w:val="right"/>
              <w:rPr>
                <w:rFonts w:eastAsia="Times New Roman"/>
              </w:rPr>
            </w:pPr>
          </w:p>
        </w:tc>
        <w:tc>
          <w:tcPr>
            <w:tcW w:w="0" w:type="auto"/>
            <w:vAlign w:val="center"/>
            <w:hideMark/>
          </w:tcPr>
          <w:p w14:paraId="60C9AFC9" w14:textId="77777777" w:rsidR="00000000" w:rsidRDefault="00405D16">
            <w:pPr>
              <w:spacing w:after="100"/>
              <w:jc w:val="right"/>
              <w:rPr>
                <w:rFonts w:eastAsia="Times New Roman"/>
                <w:sz w:val="20"/>
                <w:szCs w:val="20"/>
              </w:rPr>
            </w:pPr>
          </w:p>
        </w:tc>
        <w:tc>
          <w:tcPr>
            <w:tcW w:w="0" w:type="auto"/>
            <w:vAlign w:val="center"/>
            <w:hideMark/>
          </w:tcPr>
          <w:p w14:paraId="34699DD8" w14:textId="77777777" w:rsidR="00000000" w:rsidRDefault="00405D16">
            <w:pPr>
              <w:spacing w:after="100"/>
              <w:rPr>
                <w:rFonts w:eastAsia="Times New Roman"/>
                <w:sz w:val="20"/>
                <w:szCs w:val="20"/>
              </w:rPr>
            </w:pPr>
          </w:p>
        </w:tc>
        <w:tc>
          <w:tcPr>
            <w:tcW w:w="0" w:type="auto"/>
            <w:vAlign w:val="center"/>
            <w:hideMark/>
          </w:tcPr>
          <w:p w14:paraId="52D9298E" w14:textId="77777777" w:rsidR="00000000" w:rsidRDefault="00405D16">
            <w:pPr>
              <w:spacing w:after="100"/>
              <w:rPr>
                <w:rFonts w:eastAsia="Times New Roman"/>
                <w:sz w:val="20"/>
                <w:szCs w:val="20"/>
              </w:rPr>
            </w:pPr>
          </w:p>
        </w:tc>
        <w:tc>
          <w:tcPr>
            <w:tcW w:w="0" w:type="auto"/>
            <w:vAlign w:val="center"/>
            <w:hideMark/>
          </w:tcPr>
          <w:p w14:paraId="701C0E5D" w14:textId="77777777" w:rsidR="00000000" w:rsidRDefault="00405D16">
            <w:pPr>
              <w:spacing w:after="100"/>
              <w:rPr>
                <w:rFonts w:eastAsia="Times New Roman"/>
                <w:sz w:val="20"/>
                <w:szCs w:val="20"/>
              </w:rPr>
            </w:pPr>
          </w:p>
        </w:tc>
      </w:tr>
      <w:tr w:rsidR="00000000" w14:paraId="076B5698" w14:textId="77777777">
        <w:trPr>
          <w:divId w:val="1051611083"/>
        </w:trPr>
        <w:tc>
          <w:tcPr>
            <w:tcW w:w="0" w:type="auto"/>
            <w:gridSpan w:val="3"/>
            <w:shd w:val="clear" w:color="auto" w:fill="CCEEFF"/>
            <w:tcMar>
              <w:top w:w="30" w:type="dxa"/>
              <w:left w:w="20" w:type="dxa"/>
              <w:bottom w:w="30" w:type="dxa"/>
              <w:right w:w="20" w:type="dxa"/>
            </w:tcMar>
            <w:vAlign w:val="center"/>
            <w:hideMark/>
          </w:tcPr>
          <w:p w14:paraId="220EE9DE" w14:textId="77777777" w:rsidR="00000000" w:rsidRDefault="00405D16">
            <w:pPr>
              <w:spacing w:after="100"/>
              <w:rPr>
                <w:rFonts w:eastAsia="Times New Roman"/>
              </w:rPr>
            </w:pPr>
            <w:r>
              <w:rPr>
                <w:rFonts w:eastAsia="Times New Roman"/>
                <w:color w:val="000000"/>
                <w:sz w:val="18"/>
                <w:szCs w:val="18"/>
              </w:rPr>
              <w:t>Net income (loss) available to common stockholders</w:t>
            </w:r>
          </w:p>
        </w:tc>
        <w:tc>
          <w:tcPr>
            <w:tcW w:w="0" w:type="auto"/>
            <w:gridSpan w:val="3"/>
            <w:shd w:val="clear" w:color="auto" w:fill="CCEEFF"/>
            <w:tcMar>
              <w:top w:w="0" w:type="dxa"/>
              <w:left w:w="20" w:type="dxa"/>
              <w:bottom w:w="0" w:type="dxa"/>
              <w:right w:w="20" w:type="dxa"/>
            </w:tcMar>
            <w:vAlign w:val="center"/>
            <w:hideMark/>
          </w:tcPr>
          <w:p w14:paraId="312EB94C"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88775AB"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FBA11E4" w14:textId="77777777" w:rsidR="00000000" w:rsidRDefault="00405D16">
            <w:pPr>
              <w:spacing w:after="100"/>
              <w:jc w:val="right"/>
              <w:rPr>
                <w:rFonts w:eastAsia="Times New Roman"/>
              </w:rPr>
            </w:pPr>
            <w:r>
              <w:rPr>
                <w:rFonts w:eastAsia="Times New Roman"/>
                <w:b/>
                <w:bCs/>
                <w:color w:val="000000"/>
                <w:sz w:val="18"/>
                <w:szCs w:val="18"/>
              </w:rPr>
              <w:t>2,987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04D197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D6C890"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2D93073"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1249A99" w14:textId="77777777" w:rsidR="00000000" w:rsidRDefault="00405D16">
            <w:pPr>
              <w:spacing w:after="100"/>
              <w:jc w:val="right"/>
              <w:rPr>
                <w:rFonts w:eastAsia="Times New Roman"/>
              </w:rPr>
            </w:pPr>
            <w:r>
              <w:rPr>
                <w:rFonts w:eastAsia="Times New Roman"/>
                <w:color w:val="000000"/>
                <w:sz w:val="18"/>
                <w:szCs w:val="18"/>
              </w:rPr>
              <w:t>2,319 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44BABD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0CED50"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8F90076"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3938603" w14:textId="77777777" w:rsidR="00000000" w:rsidRDefault="00405D16">
            <w:pPr>
              <w:spacing w:after="100"/>
              <w:jc w:val="right"/>
              <w:rPr>
                <w:rFonts w:eastAsia="Times New Roman"/>
              </w:rPr>
            </w:pPr>
            <w:r>
              <w:rPr>
                <w:rFonts w:eastAsia="Times New Roman"/>
                <w:b/>
                <w:bCs/>
                <w:color w:val="000000"/>
                <w:sz w:val="18"/>
                <w:szCs w:val="18"/>
              </w:rPr>
              <w:t>9,669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D88DE1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BC9FED"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D5007D6"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249742E" w14:textId="77777777" w:rsidR="00000000" w:rsidRDefault="00405D16">
            <w:pPr>
              <w:spacing w:after="100"/>
              <w:jc w:val="right"/>
              <w:rPr>
                <w:rFonts w:eastAsia="Times New Roman"/>
              </w:rPr>
            </w:pPr>
            <w:r>
              <w:rPr>
                <w:rFonts w:eastAsia="Times New Roman"/>
                <w:color w:val="000000"/>
                <w:sz w:val="18"/>
                <w:szCs w:val="18"/>
              </w:rPr>
              <w:t>(91)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6FB07F1" w14:textId="77777777" w:rsidR="00000000" w:rsidRDefault="00405D16">
            <w:pPr>
              <w:spacing w:after="100"/>
              <w:jc w:val="right"/>
              <w:rPr>
                <w:rFonts w:eastAsia="Times New Roman"/>
              </w:rPr>
            </w:pPr>
          </w:p>
        </w:tc>
        <w:tc>
          <w:tcPr>
            <w:tcW w:w="0" w:type="auto"/>
            <w:vAlign w:val="center"/>
            <w:hideMark/>
          </w:tcPr>
          <w:p w14:paraId="676C6C82" w14:textId="77777777" w:rsidR="00000000" w:rsidRDefault="00405D16">
            <w:pPr>
              <w:spacing w:after="100"/>
              <w:jc w:val="right"/>
              <w:rPr>
                <w:rFonts w:eastAsia="Times New Roman"/>
                <w:sz w:val="20"/>
                <w:szCs w:val="20"/>
              </w:rPr>
            </w:pPr>
          </w:p>
        </w:tc>
        <w:tc>
          <w:tcPr>
            <w:tcW w:w="0" w:type="auto"/>
            <w:vAlign w:val="center"/>
            <w:hideMark/>
          </w:tcPr>
          <w:p w14:paraId="458BADC3" w14:textId="77777777" w:rsidR="00000000" w:rsidRDefault="00405D16">
            <w:pPr>
              <w:spacing w:after="100"/>
              <w:rPr>
                <w:rFonts w:eastAsia="Times New Roman"/>
                <w:sz w:val="20"/>
                <w:szCs w:val="20"/>
              </w:rPr>
            </w:pPr>
          </w:p>
        </w:tc>
        <w:tc>
          <w:tcPr>
            <w:tcW w:w="0" w:type="auto"/>
            <w:vAlign w:val="center"/>
            <w:hideMark/>
          </w:tcPr>
          <w:p w14:paraId="1A95F952" w14:textId="77777777" w:rsidR="00000000" w:rsidRDefault="00405D16">
            <w:pPr>
              <w:spacing w:after="100"/>
              <w:rPr>
                <w:rFonts w:eastAsia="Times New Roman"/>
                <w:sz w:val="20"/>
                <w:szCs w:val="20"/>
              </w:rPr>
            </w:pPr>
          </w:p>
        </w:tc>
        <w:tc>
          <w:tcPr>
            <w:tcW w:w="0" w:type="auto"/>
            <w:vAlign w:val="center"/>
            <w:hideMark/>
          </w:tcPr>
          <w:p w14:paraId="068A6C59" w14:textId="77777777" w:rsidR="00000000" w:rsidRDefault="00405D16">
            <w:pPr>
              <w:spacing w:after="100"/>
              <w:rPr>
                <w:rFonts w:eastAsia="Times New Roman"/>
                <w:sz w:val="20"/>
                <w:szCs w:val="20"/>
              </w:rPr>
            </w:pPr>
          </w:p>
        </w:tc>
      </w:tr>
      <w:tr w:rsidR="00000000" w14:paraId="2B76A58E" w14:textId="77777777">
        <w:trPr>
          <w:divId w:val="1051611083"/>
          <w:trHeight w:val="240"/>
        </w:trPr>
        <w:tc>
          <w:tcPr>
            <w:tcW w:w="0" w:type="auto"/>
            <w:gridSpan w:val="3"/>
            <w:shd w:val="clear" w:color="auto" w:fill="FFFFFF"/>
            <w:tcMar>
              <w:top w:w="0" w:type="dxa"/>
              <w:left w:w="20" w:type="dxa"/>
              <w:bottom w:w="0" w:type="dxa"/>
              <w:right w:w="20" w:type="dxa"/>
            </w:tcMar>
            <w:vAlign w:val="center"/>
            <w:hideMark/>
          </w:tcPr>
          <w:p w14:paraId="3BE5CAE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A5D6E8"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A327E0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1B085A"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E1C24A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B82C0E"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C7F172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A86652"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16A3D3E" w14:textId="77777777" w:rsidR="00000000" w:rsidRDefault="00405D16">
            <w:pPr>
              <w:spacing w:after="100"/>
              <w:rPr>
                <w:rFonts w:eastAsia="Times New Roman"/>
                <w:sz w:val="20"/>
                <w:szCs w:val="20"/>
              </w:rPr>
            </w:pPr>
          </w:p>
        </w:tc>
        <w:tc>
          <w:tcPr>
            <w:tcW w:w="0" w:type="auto"/>
            <w:vAlign w:val="center"/>
            <w:hideMark/>
          </w:tcPr>
          <w:p w14:paraId="73BC4B1D" w14:textId="77777777" w:rsidR="00000000" w:rsidRDefault="00405D16">
            <w:pPr>
              <w:spacing w:after="100"/>
              <w:rPr>
                <w:rFonts w:eastAsia="Times New Roman"/>
                <w:sz w:val="20"/>
                <w:szCs w:val="20"/>
              </w:rPr>
            </w:pPr>
          </w:p>
        </w:tc>
        <w:tc>
          <w:tcPr>
            <w:tcW w:w="0" w:type="auto"/>
            <w:vAlign w:val="center"/>
            <w:hideMark/>
          </w:tcPr>
          <w:p w14:paraId="199A7E57" w14:textId="77777777" w:rsidR="00000000" w:rsidRDefault="00405D16">
            <w:pPr>
              <w:spacing w:after="100"/>
              <w:rPr>
                <w:rFonts w:eastAsia="Times New Roman"/>
                <w:sz w:val="20"/>
                <w:szCs w:val="20"/>
              </w:rPr>
            </w:pPr>
          </w:p>
        </w:tc>
        <w:tc>
          <w:tcPr>
            <w:tcW w:w="0" w:type="auto"/>
            <w:vAlign w:val="center"/>
            <w:hideMark/>
          </w:tcPr>
          <w:p w14:paraId="56ED8B2C" w14:textId="77777777" w:rsidR="00000000" w:rsidRDefault="00405D16">
            <w:pPr>
              <w:spacing w:after="100"/>
              <w:rPr>
                <w:rFonts w:eastAsia="Times New Roman"/>
                <w:sz w:val="20"/>
                <w:szCs w:val="20"/>
              </w:rPr>
            </w:pPr>
          </w:p>
        </w:tc>
        <w:tc>
          <w:tcPr>
            <w:tcW w:w="0" w:type="auto"/>
            <w:vAlign w:val="center"/>
            <w:hideMark/>
          </w:tcPr>
          <w:p w14:paraId="72010055" w14:textId="77777777" w:rsidR="00000000" w:rsidRDefault="00405D16">
            <w:pPr>
              <w:spacing w:after="100"/>
              <w:rPr>
                <w:rFonts w:eastAsia="Times New Roman"/>
                <w:sz w:val="20"/>
                <w:szCs w:val="20"/>
              </w:rPr>
            </w:pPr>
          </w:p>
        </w:tc>
      </w:tr>
      <w:tr w:rsidR="00000000" w14:paraId="1A7ACAFA" w14:textId="77777777">
        <w:trPr>
          <w:divId w:val="1051611083"/>
        </w:trPr>
        <w:tc>
          <w:tcPr>
            <w:tcW w:w="0" w:type="auto"/>
            <w:gridSpan w:val="3"/>
            <w:shd w:val="clear" w:color="auto" w:fill="CCEEFF"/>
            <w:tcMar>
              <w:top w:w="30" w:type="dxa"/>
              <w:left w:w="20" w:type="dxa"/>
              <w:bottom w:w="30" w:type="dxa"/>
              <w:right w:w="20" w:type="dxa"/>
            </w:tcMar>
            <w:vAlign w:val="center"/>
            <w:hideMark/>
          </w:tcPr>
          <w:p w14:paraId="01BA08FD" w14:textId="77777777" w:rsidR="00000000" w:rsidRDefault="00405D16">
            <w:pPr>
              <w:spacing w:after="100"/>
              <w:rPr>
                <w:rFonts w:eastAsia="Times New Roman"/>
              </w:rPr>
            </w:pPr>
            <w:r>
              <w:rPr>
                <w:rFonts w:eastAsia="Times New Roman"/>
                <w:color w:val="000000"/>
                <w:sz w:val="18"/>
                <w:szCs w:val="18"/>
              </w:rPr>
              <w:t>Total weighted-average basic common shares outstanding</w:t>
            </w:r>
          </w:p>
        </w:tc>
        <w:tc>
          <w:tcPr>
            <w:tcW w:w="0" w:type="auto"/>
            <w:gridSpan w:val="3"/>
            <w:shd w:val="clear" w:color="auto" w:fill="CCEEFF"/>
            <w:tcMar>
              <w:top w:w="0" w:type="dxa"/>
              <w:left w:w="20" w:type="dxa"/>
              <w:bottom w:w="0" w:type="dxa"/>
              <w:right w:w="20" w:type="dxa"/>
            </w:tcMar>
            <w:vAlign w:val="center"/>
            <w:hideMark/>
          </w:tcPr>
          <w:p w14:paraId="58F78190"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A325F3C" w14:textId="77777777" w:rsidR="00000000" w:rsidRDefault="00405D16">
            <w:pPr>
              <w:spacing w:after="100"/>
              <w:jc w:val="right"/>
              <w:rPr>
                <w:rFonts w:eastAsia="Times New Roman"/>
              </w:rPr>
            </w:pPr>
            <w:r>
              <w:rPr>
                <w:rFonts w:eastAsia="Times New Roman"/>
                <w:b/>
                <w:bCs/>
                <w:color w:val="000000"/>
                <w:sz w:val="18"/>
                <w:szCs w:val="18"/>
              </w:rPr>
              <w:t>438.8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97C5D2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0FAC7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B591E22" w14:textId="77777777" w:rsidR="00000000" w:rsidRDefault="00405D16">
            <w:pPr>
              <w:spacing w:after="100"/>
              <w:jc w:val="right"/>
              <w:rPr>
                <w:rFonts w:eastAsia="Times New Roman"/>
              </w:rPr>
            </w:pPr>
            <w:r>
              <w:rPr>
                <w:rFonts w:eastAsia="Times New Roman"/>
                <w:color w:val="000000"/>
                <w:sz w:val="18"/>
                <w:szCs w:val="18"/>
              </w:rPr>
              <w:t>457.8 </w:t>
            </w:r>
          </w:p>
        </w:tc>
        <w:tc>
          <w:tcPr>
            <w:tcW w:w="0" w:type="auto"/>
            <w:shd w:val="clear" w:color="auto" w:fill="CCEEFF"/>
            <w:tcMar>
              <w:top w:w="30" w:type="dxa"/>
              <w:left w:w="0" w:type="dxa"/>
              <w:bottom w:w="30" w:type="dxa"/>
              <w:right w:w="20" w:type="dxa"/>
            </w:tcMar>
            <w:vAlign w:val="center"/>
            <w:hideMark/>
          </w:tcPr>
          <w:p w14:paraId="54E5FFA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8E7D7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3703477" w14:textId="77777777" w:rsidR="00000000" w:rsidRDefault="00405D16">
            <w:pPr>
              <w:spacing w:after="100"/>
              <w:jc w:val="right"/>
              <w:rPr>
                <w:rFonts w:eastAsia="Times New Roman"/>
              </w:rPr>
            </w:pPr>
            <w:r>
              <w:rPr>
                <w:rFonts w:eastAsia="Times New Roman"/>
                <w:b/>
                <w:bCs/>
                <w:color w:val="000000"/>
                <w:sz w:val="18"/>
                <w:szCs w:val="18"/>
              </w:rPr>
              <w:t>449.2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299AB3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4981A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AFF60AC" w14:textId="77777777" w:rsidR="00000000" w:rsidRDefault="00405D16">
            <w:pPr>
              <w:spacing w:after="100"/>
              <w:jc w:val="right"/>
              <w:rPr>
                <w:rFonts w:eastAsia="Times New Roman"/>
              </w:rPr>
            </w:pPr>
            <w:r>
              <w:rPr>
                <w:rFonts w:eastAsia="Times New Roman"/>
                <w:color w:val="000000"/>
                <w:sz w:val="18"/>
                <w:szCs w:val="18"/>
              </w:rPr>
              <w:t>457.4 </w:t>
            </w:r>
          </w:p>
        </w:tc>
        <w:tc>
          <w:tcPr>
            <w:tcW w:w="0" w:type="auto"/>
            <w:shd w:val="clear" w:color="auto" w:fill="CCEEFF"/>
            <w:tcMar>
              <w:top w:w="30" w:type="dxa"/>
              <w:left w:w="0" w:type="dxa"/>
              <w:bottom w:w="30" w:type="dxa"/>
              <w:right w:w="20" w:type="dxa"/>
            </w:tcMar>
            <w:vAlign w:val="center"/>
            <w:hideMark/>
          </w:tcPr>
          <w:p w14:paraId="722C7621" w14:textId="77777777" w:rsidR="00000000" w:rsidRDefault="00405D16">
            <w:pPr>
              <w:spacing w:after="100"/>
              <w:jc w:val="right"/>
              <w:rPr>
                <w:rFonts w:eastAsia="Times New Roman"/>
              </w:rPr>
            </w:pPr>
          </w:p>
        </w:tc>
        <w:tc>
          <w:tcPr>
            <w:tcW w:w="0" w:type="auto"/>
            <w:vAlign w:val="center"/>
            <w:hideMark/>
          </w:tcPr>
          <w:p w14:paraId="2EBCD36A" w14:textId="77777777" w:rsidR="00000000" w:rsidRDefault="00405D16">
            <w:pPr>
              <w:spacing w:after="100"/>
              <w:jc w:val="right"/>
              <w:rPr>
                <w:rFonts w:eastAsia="Times New Roman"/>
                <w:sz w:val="20"/>
                <w:szCs w:val="20"/>
              </w:rPr>
            </w:pPr>
          </w:p>
        </w:tc>
        <w:tc>
          <w:tcPr>
            <w:tcW w:w="0" w:type="auto"/>
            <w:vAlign w:val="center"/>
            <w:hideMark/>
          </w:tcPr>
          <w:p w14:paraId="1D075410" w14:textId="77777777" w:rsidR="00000000" w:rsidRDefault="00405D16">
            <w:pPr>
              <w:spacing w:after="100"/>
              <w:rPr>
                <w:rFonts w:eastAsia="Times New Roman"/>
                <w:sz w:val="20"/>
                <w:szCs w:val="20"/>
              </w:rPr>
            </w:pPr>
          </w:p>
        </w:tc>
        <w:tc>
          <w:tcPr>
            <w:tcW w:w="0" w:type="auto"/>
            <w:vAlign w:val="center"/>
            <w:hideMark/>
          </w:tcPr>
          <w:p w14:paraId="3D30B963" w14:textId="77777777" w:rsidR="00000000" w:rsidRDefault="00405D16">
            <w:pPr>
              <w:spacing w:after="100"/>
              <w:rPr>
                <w:rFonts w:eastAsia="Times New Roman"/>
                <w:sz w:val="20"/>
                <w:szCs w:val="20"/>
              </w:rPr>
            </w:pPr>
          </w:p>
        </w:tc>
        <w:tc>
          <w:tcPr>
            <w:tcW w:w="0" w:type="auto"/>
            <w:vAlign w:val="center"/>
            <w:hideMark/>
          </w:tcPr>
          <w:p w14:paraId="1144E110" w14:textId="77777777" w:rsidR="00000000" w:rsidRDefault="00405D16">
            <w:pPr>
              <w:spacing w:after="100"/>
              <w:rPr>
                <w:rFonts w:eastAsia="Times New Roman"/>
                <w:sz w:val="20"/>
                <w:szCs w:val="20"/>
              </w:rPr>
            </w:pPr>
          </w:p>
        </w:tc>
      </w:tr>
      <w:tr w:rsidR="00000000" w14:paraId="493447CE" w14:textId="77777777">
        <w:trPr>
          <w:divId w:val="1051611083"/>
        </w:trPr>
        <w:tc>
          <w:tcPr>
            <w:tcW w:w="0" w:type="auto"/>
            <w:gridSpan w:val="3"/>
            <w:shd w:val="clear" w:color="auto" w:fill="FFFFFF"/>
            <w:tcMar>
              <w:top w:w="30" w:type="dxa"/>
              <w:left w:w="20" w:type="dxa"/>
              <w:bottom w:w="30" w:type="dxa"/>
              <w:right w:w="20" w:type="dxa"/>
            </w:tcMar>
            <w:vAlign w:val="center"/>
            <w:hideMark/>
          </w:tcPr>
          <w:p w14:paraId="73C99A14" w14:textId="77777777" w:rsidR="00000000" w:rsidRDefault="00405D16">
            <w:pPr>
              <w:spacing w:after="100"/>
              <w:divId w:val="34090494"/>
              <w:rPr>
                <w:rFonts w:eastAsia="Times New Roman"/>
              </w:rPr>
            </w:pPr>
            <w:r>
              <w:rPr>
                <w:rFonts w:eastAsia="Times New Roman"/>
                <w:color w:val="000000"/>
                <w:sz w:val="18"/>
                <w:szCs w:val="18"/>
              </w:rPr>
              <w:t>Effect of dilutive securities</w:t>
            </w:r>
            <w:r>
              <w:rPr>
                <w:rFonts w:eastAsia="Times New Roman"/>
                <w:color w:val="000000"/>
                <w:sz w:val="18"/>
                <w:szCs w:val="18"/>
              </w:rPr>
              <w:t>:</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1828F97D"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F7EC9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3BBE2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FA0C9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C11E4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B41A9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6D93B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C87A11" w14:textId="77777777" w:rsidR="00000000" w:rsidRDefault="00405D16">
            <w:pPr>
              <w:spacing w:after="100"/>
              <w:rPr>
                <w:rFonts w:eastAsia="Times New Roman"/>
                <w:sz w:val="20"/>
                <w:szCs w:val="20"/>
              </w:rPr>
            </w:pPr>
          </w:p>
        </w:tc>
        <w:tc>
          <w:tcPr>
            <w:tcW w:w="0" w:type="auto"/>
            <w:vAlign w:val="center"/>
            <w:hideMark/>
          </w:tcPr>
          <w:p w14:paraId="7BFFCCEB" w14:textId="77777777" w:rsidR="00000000" w:rsidRDefault="00405D16">
            <w:pPr>
              <w:spacing w:after="100"/>
              <w:rPr>
                <w:rFonts w:eastAsia="Times New Roman"/>
                <w:sz w:val="20"/>
                <w:szCs w:val="20"/>
              </w:rPr>
            </w:pPr>
          </w:p>
        </w:tc>
        <w:tc>
          <w:tcPr>
            <w:tcW w:w="0" w:type="auto"/>
            <w:vAlign w:val="center"/>
            <w:hideMark/>
          </w:tcPr>
          <w:p w14:paraId="1F653F0C" w14:textId="77777777" w:rsidR="00000000" w:rsidRDefault="00405D16">
            <w:pPr>
              <w:spacing w:after="100"/>
              <w:rPr>
                <w:rFonts w:eastAsia="Times New Roman"/>
                <w:sz w:val="20"/>
                <w:szCs w:val="20"/>
              </w:rPr>
            </w:pPr>
          </w:p>
        </w:tc>
        <w:tc>
          <w:tcPr>
            <w:tcW w:w="0" w:type="auto"/>
            <w:vAlign w:val="center"/>
            <w:hideMark/>
          </w:tcPr>
          <w:p w14:paraId="0A306397" w14:textId="77777777" w:rsidR="00000000" w:rsidRDefault="00405D16">
            <w:pPr>
              <w:spacing w:after="100"/>
              <w:rPr>
                <w:rFonts w:eastAsia="Times New Roman"/>
                <w:sz w:val="20"/>
                <w:szCs w:val="20"/>
              </w:rPr>
            </w:pPr>
          </w:p>
        </w:tc>
        <w:tc>
          <w:tcPr>
            <w:tcW w:w="0" w:type="auto"/>
            <w:vAlign w:val="center"/>
            <w:hideMark/>
          </w:tcPr>
          <w:p w14:paraId="7D693C1E" w14:textId="77777777" w:rsidR="00000000" w:rsidRDefault="00405D16">
            <w:pPr>
              <w:spacing w:after="100"/>
              <w:rPr>
                <w:rFonts w:eastAsia="Times New Roman"/>
                <w:sz w:val="20"/>
                <w:szCs w:val="20"/>
              </w:rPr>
            </w:pPr>
          </w:p>
        </w:tc>
      </w:tr>
      <w:tr w:rsidR="00000000" w14:paraId="11A57463" w14:textId="77777777">
        <w:trPr>
          <w:divId w:val="1051611083"/>
        </w:trPr>
        <w:tc>
          <w:tcPr>
            <w:tcW w:w="0" w:type="auto"/>
            <w:gridSpan w:val="3"/>
            <w:shd w:val="clear" w:color="auto" w:fill="CCEEFF"/>
            <w:tcMar>
              <w:top w:w="30" w:type="dxa"/>
              <w:left w:w="245" w:type="dxa"/>
              <w:bottom w:w="30" w:type="dxa"/>
              <w:right w:w="20" w:type="dxa"/>
            </w:tcMar>
            <w:vAlign w:val="center"/>
            <w:hideMark/>
          </w:tcPr>
          <w:p w14:paraId="75B37BE1" w14:textId="77777777" w:rsidR="00000000" w:rsidRDefault="00405D16">
            <w:pPr>
              <w:spacing w:after="100"/>
              <w:rPr>
                <w:rFonts w:eastAsia="Times New Roman"/>
              </w:rPr>
            </w:pPr>
            <w:r>
              <w:rPr>
                <w:rFonts w:eastAsia="Times New Roman"/>
                <w:color w:val="000000"/>
                <w:sz w:val="18"/>
                <w:szCs w:val="18"/>
              </w:rPr>
              <w:t>Stock options</w:t>
            </w:r>
          </w:p>
        </w:tc>
        <w:tc>
          <w:tcPr>
            <w:tcW w:w="0" w:type="auto"/>
            <w:gridSpan w:val="3"/>
            <w:shd w:val="clear" w:color="auto" w:fill="CCEEFF"/>
            <w:tcMar>
              <w:top w:w="0" w:type="dxa"/>
              <w:left w:w="20" w:type="dxa"/>
              <w:bottom w:w="0" w:type="dxa"/>
              <w:right w:w="20" w:type="dxa"/>
            </w:tcMar>
            <w:vAlign w:val="center"/>
            <w:hideMark/>
          </w:tcPr>
          <w:p w14:paraId="01A462F9"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A75A43B" w14:textId="77777777" w:rsidR="00000000" w:rsidRDefault="00405D16">
            <w:pPr>
              <w:spacing w:after="100"/>
              <w:jc w:val="right"/>
              <w:rPr>
                <w:rFonts w:eastAsia="Times New Roman"/>
              </w:rPr>
            </w:pPr>
            <w:r>
              <w:rPr>
                <w:rFonts w:eastAsia="Times New Roman"/>
                <w:b/>
                <w:bCs/>
                <w:color w:val="000000"/>
                <w:sz w:val="18"/>
                <w:szCs w:val="18"/>
              </w:rPr>
              <w:t>0.6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E2A20A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32CAD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49C9673" w14:textId="77777777" w:rsidR="00000000" w:rsidRDefault="00405D16">
            <w:pPr>
              <w:spacing w:after="100"/>
              <w:jc w:val="right"/>
              <w:rPr>
                <w:rFonts w:eastAsia="Times New Roman"/>
              </w:rPr>
            </w:pPr>
            <w:r>
              <w:rPr>
                <w:rFonts w:eastAsia="Times New Roman"/>
                <w:color w:val="000000"/>
                <w:sz w:val="18"/>
                <w:szCs w:val="18"/>
              </w:rPr>
              <w:t>0.4 </w:t>
            </w:r>
          </w:p>
        </w:tc>
        <w:tc>
          <w:tcPr>
            <w:tcW w:w="0" w:type="auto"/>
            <w:shd w:val="clear" w:color="auto" w:fill="CCEEFF"/>
            <w:tcMar>
              <w:top w:w="30" w:type="dxa"/>
              <w:left w:w="0" w:type="dxa"/>
              <w:bottom w:w="30" w:type="dxa"/>
              <w:right w:w="20" w:type="dxa"/>
            </w:tcMar>
            <w:vAlign w:val="center"/>
            <w:hideMark/>
          </w:tcPr>
          <w:p w14:paraId="7644910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7CBA8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F0CD4BD" w14:textId="77777777" w:rsidR="00000000" w:rsidRDefault="00405D16">
            <w:pPr>
              <w:spacing w:after="100"/>
              <w:jc w:val="right"/>
              <w:rPr>
                <w:rFonts w:eastAsia="Times New Roman"/>
              </w:rPr>
            </w:pPr>
            <w:r>
              <w:rPr>
                <w:rFonts w:eastAsia="Times New Roman"/>
                <w:b/>
                <w:bCs/>
                <w:color w:val="000000"/>
                <w:sz w:val="18"/>
                <w:szCs w:val="18"/>
              </w:rPr>
              <w:t>0.7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A4A2EA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EB936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A82CA1C" w14:textId="77777777" w:rsidR="00000000" w:rsidRDefault="00405D16">
            <w:pPr>
              <w:spacing w:after="100"/>
              <w:jc w:val="right"/>
              <w:rPr>
                <w:rFonts w:eastAsia="Times New Roman"/>
              </w:rPr>
            </w:pPr>
            <w:r>
              <w:rPr>
                <w:rFonts w:eastAsia="Times New Roman"/>
                <w:color w:val="000000"/>
                <w:sz w:val="18"/>
                <w:szCs w:val="18"/>
              </w:rPr>
              <w:t>0.0 </w:t>
            </w:r>
          </w:p>
        </w:tc>
        <w:tc>
          <w:tcPr>
            <w:tcW w:w="0" w:type="auto"/>
            <w:shd w:val="clear" w:color="auto" w:fill="CCEEFF"/>
            <w:tcMar>
              <w:top w:w="30" w:type="dxa"/>
              <w:left w:w="0" w:type="dxa"/>
              <w:bottom w:w="30" w:type="dxa"/>
              <w:right w:w="20" w:type="dxa"/>
            </w:tcMar>
            <w:vAlign w:val="center"/>
            <w:hideMark/>
          </w:tcPr>
          <w:p w14:paraId="76905907" w14:textId="77777777" w:rsidR="00000000" w:rsidRDefault="00405D16">
            <w:pPr>
              <w:spacing w:after="100"/>
              <w:jc w:val="right"/>
              <w:rPr>
                <w:rFonts w:eastAsia="Times New Roman"/>
              </w:rPr>
            </w:pPr>
          </w:p>
        </w:tc>
        <w:tc>
          <w:tcPr>
            <w:tcW w:w="0" w:type="auto"/>
            <w:vAlign w:val="center"/>
            <w:hideMark/>
          </w:tcPr>
          <w:p w14:paraId="1AB45EFA" w14:textId="77777777" w:rsidR="00000000" w:rsidRDefault="00405D16">
            <w:pPr>
              <w:spacing w:after="100"/>
              <w:jc w:val="right"/>
              <w:rPr>
                <w:rFonts w:eastAsia="Times New Roman"/>
                <w:sz w:val="20"/>
                <w:szCs w:val="20"/>
              </w:rPr>
            </w:pPr>
          </w:p>
        </w:tc>
        <w:tc>
          <w:tcPr>
            <w:tcW w:w="0" w:type="auto"/>
            <w:vAlign w:val="center"/>
            <w:hideMark/>
          </w:tcPr>
          <w:p w14:paraId="14AC52FF" w14:textId="77777777" w:rsidR="00000000" w:rsidRDefault="00405D16">
            <w:pPr>
              <w:spacing w:after="100"/>
              <w:rPr>
                <w:rFonts w:eastAsia="Times New Roman"/>
                <w:sz w:val="20"/>
                <w:szCs w:val="20"/>
              </w:rPr>
            </w:pPr>
          </w:p>
        </w:tc>
        <w:tc>
          <w:tcPr>
            <w:tcW w:w="0" w:type="auto"/>
            <w:vAlign w:val="center"/>
            <w:hideMark/>
          </w:tcPr>
          <w:p w14:paraId="31F8C0A0" w14:textId="77777777" w:rsidR="00000000" w:rsidRDefault="00405D16">
            <w:pPr>
              <w:spacing w:after="100"/>
              <w:rPr>
                <w:rFonts w:eastAsia="Times New Roman"/>
                <w:sz w:val="20"/>
                <w:szCs w:val="20"/>
              </w:rPr>
            </w:pPr>
          </w:p>
        </w:tc>
        <w:tc>
          <w:tcPr>
            <w:tcW w:w="0" w:type="auto"/>
            <w:vAlign w:val="center"/>
            <w:hideMark/>
          </w:tcPr>
          <w:p w14:paraId="2F02989C" w14:textId="77777777" w:rsidR="00000000" w:rsidRDefault="00405D16">
            <w:pPr>
              <w:spacing w:after="100"/>
              <w:rPr>
                <w:rFonts w:eastAsia="Times New Roman"/>
                <w:sz w:val="20"/>
                <w:szCs w:val="20"/>
              </w:rPr>
            </w:pPr>
          </w:p>
        </w:tc>
      </w:tr>
      <w:tr w:rsidR="00000000" w14:paraId="6FCA0B05" w14:textId="77777777">
        <w:trPr>
          <w:divId w:val="1051611083"/>
        </w:trPr>
        <w:tc>
          <w:tcPr>
            <w:tcW w:w="0" w:type="auto"/>
            <w:gridSpan w:val="3"/>
            <w:shd w:val="clear" w:color="auto" w:fill="FFFFFF"/>
            <w:tcMar>
              <w:top w:w="30" w:type="dxa"/>
              <w:left w:w="245" w:type="dxa"/>
              <w:bottom w:w="30" w:type="dxa"/>
              <w:right w:w="20" w:type="dxa"/>
            </w:tcMar>
            <w:vAlign w:val="center"/>
            <w:hideMark/>
          </w:tcPr>
          <w:p w14:paraId="136EBA08" w14:textId="77777777" w:rsidR="00000000" w:rsidRDefault="00405D16">
            <w:pPr>
              <w:spacing w:after="100"/>
              <w:rPr>
                <w:rFonts w:eastAsia="Times New Roman"/>
              </w:rPr>
            </w:pPr>
            <w:r>
              <w:rPr>
                <w:rFonts w:eastAsia="Times New Roman"/>
                <w:color w:val="000000"/>
                <w:sz w:val="18"/>
                <w:szCs w:val="18"/>
              </w:rPr>
              <w:t>Other contingently issuable shares</w:t>
            </w:r>
          </w:p>
        </w:tc>
        <w:tc>
          <w:tcPr>
            <w:tcW w:w="0" w:type="auto"/>
            <w:gridSpan w:val="3"/>
            <w:shd w:val="clear" w:color="auto" w:fill="FFFFFF"/>
            <w:tcMar>
              <w:top w:w="0" w:type="dxa"/>
              <w:left w:w="20" w:type="dxa"/>
              <w:bottom w:w="0" w:type="dxa"/>
              <w:right w:w="20" w:type="dxa"/>
            </w:tcMar>
            <w:vAlign w:val="center"/>
            <w:hideMark/>
          </w:tcPr>
          <w:p w14:paraId="19E38400"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84BA53A" w14:textId="77777777" w:rsidR="00000000" w:rsidRDefault="00405D16">
            <w:pPr>
              <w:spacing w:after="100"/>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90E88E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A5B4F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91B6AE7" w14:textId="77777777" w:rsidR="00000000" w:rsidRDefault="00405D16">
            <w:pPr>
              <w:spacing w:after="100"/>
              <w:jc w:val="right"/>
              <w:rPr>
                <w:rFonts w:eastAsia="Times New Roman"/>
              </w:rPr>
            </w:pPr>
            <w:r>
              <w:rPr>
                <w:rFonts w:eastAsia="Times New Roman"/>
                <w:color w:val="000000"/>
                <w:sz w:val="18"/>
                <w:szCs w:val="18"/>
              </w:rPr>
              <w:t>0.3 </w:t>
            </w:r>
          </w:p>
        </w:tc>
        <w:tc>
          <w:tcPr>
            <w:tcW w:w="0" w:type="auto"/>
            <w:shd w:val="clear" w:color="auto" w:fill="FFFFFF"/>
            <w:tcMar>
              <w:top w:w="30" w:type="dxa"/>
              <w:left w:w="0" w:type="dxa"/>
              <w:bottom w:w="30" w:type="dxa"/>
              <w:right w:w="20" w:type="dxa"/>
            </w:tcMar>
            <w:vAlign w:val="center"/>
            <w:hideMark/>
          </w:tcPr>
          <w:p w14:paraId="6BE0E23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53C1C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13CFE88" w14:textId="77777777" w:rsidR="00000000" w:rsidRDefault="00405D16">
            <w:pPr>
              <w:spacing w:after="100"/>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BFD4CB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751A3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A7BA07D" w14:textId="77777777" w:rsidR="00000000" w:rsidRDefault="00405D16">
            <w:pPr>
              <w:spacing w:after="100"/>
              <w:jc w:val="right"/>
              <w:rPr>
                <w:rFonts w:eastAsia="Times New Roman"/>
              </w:rPr>
            </w:pPr>
            <w:r>
              <w:rPr>
                <w:rFonts w:eastAsia="Times New Roman"/>
                <w:color w:val="000000"/>
                <w:sz w:val="18"/>
                <w:szCs w:val="18"/>
              </w:rPr>
              <w:t>0.0 </w:t>
            </w:r>
          </w:p>
        </w:tc>
        <w:tc>
          <w:tcPr>
            <w:tcW w:w="0" w:type="auto"/>
            <w:shd w:val="clear" w:color="auto" w:fill="FFFFFF"/>
            <w:tcMar>
              <w:top w:w="30" w:type="dxa"/>
              <w:left w:w="0" w:type="dxa"/>
              <w:bottom w:w="30" w:type="dxa"/>
              <w:right w:w="20" w:type="dxa"/>
            </w:tcMar>
            <w:vAlign w:val="center"/>
            <w:hideMark/>
          </w:tcPr>
          <w:p w14:paraId="63C897CD" w14:textId="77777777" w:rsidR="00000000" w:rsidRDefault="00405D16">
            <w:pPr>
              <w:spacing w:after="100"/>
              <w:jc w:val="right"/>
              <w:rPr>
                <w:rFonts w:eastAsia="Times New Roman"/>
              </w:rPr>
            </w:pPr>
          </w:p>
        </w:tc>
        <w:tc>
          <w:tcPr>
            <w:tcW w:w="0" w:type="auto"/>
            <w:vAlign w:val="center"/>
            <w:hideMark/>
          </w:tcPr>
          <w:p w14:paraId="21747CC0" w14:textId="77777777" w:rsidR="00000000" w:rsidRDefault="00405D16">
            <w:pPr>
              <w:spacing w:after="100"/>
              <w:jc w:val="right"/>
              <w:rPr>
                <w:rFonts w:eastAsia="Times New Roman"/>
                <w:sz w:val="20"/>
                <w:szCs w:val="20"/>
              </w:rPr>
            </w:pPr>
          </w:p>
        </w:tc>
        <w:tc>
          <w:tcPr>
            <w:tcW w:w="0" w:type="auto"/>
            <w:vAlign w:val="center"/>
            <w:hideMark/>
          </w:tcPr>
          <w:p w14:paraId="0CE28D19" w14:textId="77777777" w:rsidR="00000000" w:rsidRDefault="00405D16">
            <w:pPr>
              <w:spacing w:after="100"/>
              <w:rPr>
                <w:rFonts w:eastAsia="Times New Roman"/>
                <w:sz w:val="20"/>
                <w:szCs w:val="20"/>
              </w:rPr>
            </w:pPr>
          </w:p>
        </w:tc>
        <w:tc>
          <w:tcPr>
            <w:tcW w:w="0" w:type="auto"/>
            <w:vAlign w:val="center"/>
            <w:hideMark/>
          </w:tcPr>
          <w:p w14:paraId="6A4BA629" w14:textId="77777777" w:rsidR="00000000" w:rsidRDefault="00405D16">
            <w:pPr>
              <w:spacing w:after="100"/>
              <w:rPr>
                <w:rFonts w:eastAsia="Times New Roman"/>
                <w:sz w:val="20"/>
                <w:szCs w:val="20"/>
              </w:rPr>
            </w:pPr>
          </w:p>
        </w:tc>
        <w:tc>
          <w:tcPr>
            <w:tcW w:w="0" w:type="auto"/>
            <w:vAlign w:val="center"/>
            <w:hideMark/>
          </w:tcPr>
          <w:p w14:paraId="733267EE" w14:textId="77777777" w:rsidR="00000000" w:rsidRDefault="00405D16">
            <w:pPr>
              <w:spacing w:after="100"/>
              <w:rPr>
                <w:rFonts w:eastAsia="Times New Roman"/>
                <w:sz w:val="20"/>
                <w:szCs w:val="20"/>
              </w:rPr>
            </w:pPr>
          </w:p>
        </w:tc>
      </w:tr>
      <w:tr w:rsidR="00000000" w14:paraId="791A27DB" w14:textId="77777777">
        <w:trPr>
          <w:divId w:val="1051611083"/>
        </w:trPr>
        <w:tc>
          <w:tcPr>
            <w:tcW w:w="0" w:type="auto"/>
            <w:gridSpan w:val="3"/>
            <w:shd w:val="clear" w:color="auto" w:fill="CCEEFF"/>
            <w:tcMar>
              <w:top w:w="30" w:type="dxa"/>
              <w:left w:w="20" w:type="dxa"/>
              <w:bottom w:w="30" w:type="dxa"/>
              <w:right w:w="20" w:type="dxa"/>
            </w:tcMar>
            <w:vAlign w:val="center"/>
            <w:hideMark/>
          </w:tcPr>
          <w:p w14:paraId="3515BEDF" w14:textId="77777777" w:rsidR="00000000" w:rsidRDefault="00405D16">
            <w:pPr>
              <w:spacing w:after="100"/>
              <w:rPr>
                <w:rFonts w:eastAsia="Times New Roman"/>
              </w:rPr>
            </w:pPr>
            <w:r>
              <w:rPr>
                <w:rFonts w:eastAsia="Times New Roman"/>
                <w:color w:val="000000"/>
                <w:sz w:val="18"/>
                <w:szCs w:val="18"/>
              </w:rPr>
              <w:t>Total effect of dilutive securities</w:t>
            </w:r>
          </w:p>
        </w:tc>
        <w:tc>
          <w:tcPr>
            <w:tcW w:w="0" w:type="auto"/>
            <w:gridSpan w:val="3"/>
            <w:shd w:val="clear" w:color="auto" w:fill="CCEEFF"/>
            <w:tcMar>
              <w:top w:w="0" w:type="dxa"/>
              <w:left w:w="20" w:type="dxa"/>
              <w:bottom w:w="0" w:type="dxa"/>
              <w:right w:w="20" w:type="dxa"/>
            </w:tcMar>
            <w:vAlign w:val="center"/>
            <w:hideMark/>
          </w:tcPr>
          <w:p w14:paraId="1E4834D3"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31F44E3" w14:textId="77777777" w:rsidR="00000000" w:rsidRDefault="00405D16">
            <w:pPr>
              <w:spacing w:after="100"/>
              <w:jc w:val="right"/>
              <w:rPr>
                <w:rFonts w:eastAsia="Times New Roman"/>
              </w:rPr>
            </w:pPr>
            <w:r>
              <w:rPr>
                <w:rFonts w:eastAsia="Times New Roman"/>
                <w:b/>
                <w:bCs/>
                <w:color w:val="000000"/>
                <w:sz w:val="18"/>
                <w:szCs w:val="18"/>
              </w:rPr>
              <w:t>1.7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1A2A82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1AE640"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AFFCA58" w14:textId="77777777" w:rsidR="00000000" w:rsidRDefault="00405D16">
            <w:pPr>
              <w:spacing w:after="100"/>
              <w:jc w:val="right"/>
              <w:rPr>
                <w:rFonts w:eastAsia="Times New Roman"/>
              </w:rPr>
            </w:pPr>
            <w:r>
              <w:rPr>
                <w:rFonts w:eastAsia="Times New Roman"/>
                <w:color w:val="000000"/>
                <w:sz w:val="18"/>
                <w:szCs w:val="18"/>
              </w:rPr>
              <w:t>0.7 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202421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AD9DE7"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E8FA04D" w14:textId="77777777" w:rsidR="00000000" w:rsidRDefault="00405D16">
            <w:pPr>
              <w:spacing w:after="100"/>
              <w:jc w:val="right"/>
              <w:rPr>
                <w:rFonts w:eastAsia="Times New Roman"/>
              </w:rPr>
            </w:pPr>
            <w:r>
              <w:rPr>
                <w:rFonts w:eastAsia="Times New Roman"/>
                <w:b/>
                <w:bCs/>
                <w:color w:val="000000"/>
                <w:sz w:val="18"/>
                <w:szCs w:val="18"/>
              </w:rPr>
              <w:t>1.7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7058DB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1A032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FF834E8" w14:textId="77777777" w:rsidR="00000000" w:rsidRDefault="00405D16">
            <w:pPr>
              <w:spacing w:after="100"/>
              <w:jc w:val="right"/>
              <w:rPr>
                <w:rFonts w:eastAsia="Times New Roman"/>
              </w:rPr>
            </w:pPr>
            <w:r>
              <w:rPr>
                <w:rFonts w:eastAsia="Times New Roman"/>
                <w:color w:val="000000"/>
                <w:sz w:val="18"/>
                <w:szCs w:val="18"/>
              </w:rPr>
              <w:t>0.0 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012692C" w14:textId="77777777" w:rsidR="00000000" w:rsidRDefault="00405D16">
            <w:pPr>
              <w:spacing w:after="100"/>
              <w:jc w:val="right"/>
              <w:rPr>
                <w:rFonts w:eastAsia="Times New Roman"/>
              </w:rPr>
            </w:pPr>
          </w:p>
        </w:tc>
        <w:tc>
          <w:tcPr>
            <w:tcW w:w="0" w:type="auto"/>
            <w:vAlign w:val="center"/>
            <w:hideMark/>
          </w:tcPr>
          <w:p w14:paraId="2D597C00" w14:textId="77777777" w:rsidR="00000000" w:rsidRDefault="00405D16">
            <w:pPr>
              <w:spacing w:after="100"/>
              <w:jc w:val="right"/>
              <w:rPr>
                <w:rFonts w:eastAsia="Times New Roman"/>
                <w:sz w:val="20"/>
                <w:szCs w:val="20"/>
              </w:rPr>
            </w:pPr>
          </w:p>
        </w:tc>
        <w:tc>
          <w:tcPr>
            <w:tcW w:w="0" w:type="auto"/>
            <w:vAlign w:val="center"/>
            <w:hideMark/>
          </w:tcPr>
          <w:p w14:paraId="5CF6DC9F" w14:textId="77777777" w:rsidR="00000000" w:rsidRDefault="00405D16">
            <w:pPr>
              <w:spacing w:after="100"/>
              <w:rPr>
                <w:rFonts w:eastAsia="Times New Roman"/>
                <w:sz w:val="20"/>
                <w:szCs w:val="20"/>
              </w:rPr>
            </w:pPr>
          </w:p>
        </w:tc>
        <w:tc>
          <w:tcPr>
            <w:tcW w:w="0" w:type="auto"/>
            <w:vAlign w:val="center"/>
            <w:hideMark/>
          </w:tcPr>
          <w:p w14:paraId="057AAAB0" w14:textId="77777777" w:rsidR="00000000" w:rsidRDefault="00405D16">
            <w:pPr>
              <w:spacing w:after="100"/>
              <w:rPr>
                <w:rFonts w:eastAsia="Times New Roman"/>
                <w:sz w:val="20"/>
                <w:szCs w:val="20"/>
              </w:rPr>
            </w:pPr>
          </w:p>
        </w:tc>
        <w:tc>
          <w:tcPr>
            <w:tcW w:w="0" w:type="auto"/>
            <w:vAlign w:val="center"/>
            <w:hideMark/>
          </w:tcPr>
          <w:p w14:paraId="4DF2DD21" w14:textId="77777777" w:rsidR="00000000" w:rsidRDefault="00405D16">
            <w:pPr>
              <w:spacing w:after="100"/>
              <w:rPr>
                <w:rFonts w:eastAsia="Times New Roman"/>
                <w:sz w:val="20"/>
                <w:szCs w:val="20"/>
              </w:rPr>
            </w:pPr>
          </w:p>
        </w:tc>
      </w:tr>
      <w:tr w:rsidR="00000000" w14:paraId="5A2F89AE" w14:textId="77777777">
        <w:trPr>
          <w:divId w:val="1051611083"/>
        </w:trPr>
        <w:tc>
          <w:tcPr>
            <w:tcW w:w="0" w:type="auto"/>
            <w:gridSpan w:val="3"/>
            <w:shd w:val="clear" w:color="auto" w:fill="FFFFFF"/>
            <w:tcMar>
              <w:top w:w="30" w:type="dxa"/>
              <w:left w:w="20" w:type="dxa"/>
              <w:bottom w:w="30" w:type="dxa"/>
              <w:right w:w="20" w:type="dxa"/>
            </w:tcMar>
            <w:vAlign w:val="center"/>
            <w:hideMark/>
          </w:tcPr>
          <w:p w14:paraId="7B77F9D6" w14:textId="77777777" w:rsidR="00000000" w:rsidRDefault="00405D16">
            <w:pPr>
              <w:spacing w:after="100"/>
              <w:rPr>
                <w:rFonts w:eastAsia="Times New Roman"/>
              </w:rPr>
            </w:pPr>
            <w:r>
              <w:rPr>
                <w:rFonts w:eastAsia="Times New Roman"/>
                <w:color w:val="000000"/>
                <w:sz w:val="18"/>
                <w:szCs w:val="18"/>
              </w:rPr>
              <w:t xml:space="preserve">Total weighted-average diluted </w:t>
            </w:r>
            <w:r>
              <w:rPr>
                <w:rFonts w:eastAsia="Times New Roman"/>
                <w:color w:val="000000"/>
                <w:sz w:val="18"/>
                <w:szCs w:val="18"/>
              </w:rPr>
              <w:t>common shares outstanding</w:t>
            </w:r>
          </w:p>
        </w:tc>
        <w:tc>
          <w:tcPr>
            <w:tcW w:w="0" w:type="auto"/>
            <w:gridSpan w:val="3"/>
            <w:shd w:val="clear" w:color="auto" w:fill="FFFFFF"/>
            <w:tcMar>
              <w:top w:w="0" w:type="dxa"/>
              <w:left w:w="20" w:type="dxa"/>
              <w:bottom w:w="0" w:type="dxa"/>
              <w:right w:w="20" w:type="dxa"/>
            </w:tcMar>
            <w:vAlign w:val="center"/>
            <w:hideMark/>
          </w:tcPr>
          <w:p w14:paraId="44B87B8E"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468D751" w14:textId="77777777" w:rsidR="00000000" w:rsidRDefault="00405D16">
            <w:pPr>
              <w:spacing w:after="100"/>
              <w:jc w:val="right"/>
              <w:rPr>
                <w:rFonts w:eastAsia="Times New Roman"/>
              </w:rPr>
            </w:pPr>
            <w:r>
              <w:rPr>
                <w:rFonts w:eastAsia="Times New Roman"/>
                <w:b/>
                <w:bCs/>
                <w:color w:val="000000"/>
                <w:sz w:val="18"/>
                <w:szCs w:val="18"/>
              </w:rPr>
              <w:t>440.5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5192B5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A1B98C"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4580834" w14:textId="77777777" w:rsidR="00000000" w:rsidRDefault="00405D16">
            <w:pPr>
              <w:spacing w:after="100"/>
              <w:jc w:val="right"/>
              <w:rPr>
                <w:rFonts w:eastAsia="Times New Roman"/>
              </w:rPr>
            </w:pPr>
            <w:r>
              <w:rPr>
                <w:rFonts w:eastAsia="Times New Roman"/>
                <w:color w:val="000000"/>
                <w:sz w:val="18"/>
                <w:szCs w:val="18"/>
              </w:rPr>
              <w:t>458.5 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03F6C4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2A0B9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40C000B" w14:textId="77777777" w:rsidR="00000000" w:rsidRDefault="00405D16">
            <w:pPr>
              <w:spacing w:after="100"/>
              <w:jc w:val="right"/>
              <w:rPr>
                <w:rFonts w:eastAsia="Times New Roman"/>
              </w:rPr>
            </w:pPr>
            <w:r>
              <w:rPr>
                <w:rFonts w:eastAsia="Times New Roman"/>
                <w:b/>
                <w:bCs/>
                <w:color w:val="000000"/>
                <w:sz w:val="18"/>
                <w:szCs w:val="18"/>
              </w:rPr>
              <w:t>450.9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B6A6B7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A92997"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0AD67C9" w14:textId="77777777" w:rsidR="00000000" w:rsidRDefault="00405D16">
            <w:pPr>
              <w:spacing w:after="100"/>
              <w:jc w:val="right"/>
              <w:rPr>
                <w:rFonts w:eastAsia="Times New Roman"/>
              </w:rPr>
            </w:pPr>
            <w:r>
              <w:rPr>
                <w:rFonts w:eastAsia="Times New Roman"/>
                <w:color w:val="000000"/>
                <w:sz w:val="18"/>
                <w:szCs w:val="18"/>
              </w:rPr>
              <w:t>457.4 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773735E" w14:textId="77777777" w:rsidR="00000000" w:rsidRDefault="00405D16">
            <w:pPr>
              <w:spacing w:after="100"/>
              <w:jc w:val="right"/>
              <w:rPr>
                <w:rFonts w:eastAsia="Times New Roman"/>
              </w:rPr>
            </w:pPr>
          </w:p>
        </w:tc>
        <w:tc>
          <w:tcPr>
            <w:tcW w:w="0" w:type="auto"/>
            <w:vAlign w:val="center"/>
            <w:hideMark/>
          </w:tcPr>
          <w:p w14:paraId="031DC5D4" w14:textId="77777777" w:rsidR="00000000" w:rsidRDefault="00405D16">
            <w:pPr>
              <w:spacing w:after="100"/>
              <w:jc w:val="right"/>
              <w:rPr>
                <w:rFonts w:eastAsia="Times New Roman"/>
                <w:sz w:val="20"/>
                <w:szCs w:val="20"/>
              </w:rPr>
            </w:pPr>
          </w:p>
        </w:tc>
        <w:tc>
          <w:tcPr>
            <w:tcW w:w="0" w:type="auto"/>
            <w:vAlign w:val="center"/>
            <w:hideMark/>
          </w:tcPr>
          <w:p w14:paraId="283AFFFA" w14:textId="77777777" w:rsidR="00000000" w:rsidRDefault="00405D16">
            <w:pPr>
              <w:spacing w:after="100"/>
              <w:rPr>
                <w:rFonts w:eastAsia="Times New Roman"/>
                <w:sz w:val="20"/>
                <w:szCs w:val="20"/>
              </w:rPr>
            </w:pPr>
          </w:p>
        </w:tc>
        <w:tc>
          <w:tcPr>
            <w:tcW w:w="0" w:type="auto"/>
            <w:vAlign w:val="center"/>
            <w:hideMark/>
          </w:tcPr>
          <w:p w14:paraId="7A7AE8DE" w14:textId="77777777" w:rsidR="00000000" w:rsidRDefault="00405D16">
            <w:pPr>
              <w:spacing w:after="100"/>
              <w:rPr>
                <w:rFonts w:eastAsia="Times New Roman"/>
                <w:sz w:val="20"/>
                <w:szCs w:val="20"/>
              </w:rPr>
            </w:pPr>
          </w:p>
        </w:tc>
        <w:tc>
          <w:tcPr>
            <w:tcW w:w="0" w:type="auto"/>
            <w:vAlign w:val="center"/>
            <w:hideMark/>
          </w:tcPr>
          <w:p w14:paraId="584495B1" w14:textId="77777777" w:rsidR="00000000" w:rsidRDefault="00405D16">
            <w:pPr>
              <w:spacing w:after="100"/>
              <w:rPr>
                <w:rFonts w:eastAsia="Times New Roman"/>
                <w:sz w:val="20"/>
                <w:szCs w:val="20"/>
              </w:rPr>
            </w:pPr>
          </w:p>
        </w:tc>
      </w:tr>
      <w:tr w:rsidR="00000000" w14:paraId="26B87955" w14:textId="77777777">
        <w:trPr>
          <w:divId w:val="1051611083"/>
        </w:trPr>
        <w:tc>
          <w:tcPr>
            <w:tcW w:w="0" w:type="auto"/>
            <w:gridSpan w:val="3"/>
            <w:shd w:val="clear" w:color="auto" w:fill="CCEEFF"/>
            <w:tcMar>
              <w:top w:w="30" w:type="dxa"/>
              <w:left w:w="20" w:type="dxa"/>
              <w:bottom w:w="30" w:type="dxa"/>
              <w:right w:w="20" w:type="dxa"/>
            </w:tcMar>
            <w:vAlign w:val="center"/>
            <w:hideMark/>
          </w:tcPr>
          <w:p w14:paraId="6CC1C501" w14:textId="77777777" w:rsidR="00000000" w:rsidRDefault="00405D16">
            <w:pPr>
              <w:spacing w:after="100"/>
              <w:rPr>
                <w:rFonts w:eastAsia="Times New Roman"/>
              </w:rPr>
            </w:pPr>
            <w:r>
              <w:rPr>
                <w:rFonts w:eastAsia="Times New Roman"/>
                <w:b/>
                <w:bCs/>
                <w:color w:val="000000"/>
                <w:sz w:val="18"/>
                <w:szCs w:val="18"/>
              </w:rPr>
              <w:t>Basic earnings per common share:</w:t>
            </w:r>
          </w:p>
        </w:tc>
        <w:tc>
          <w:tcPr>
            <w:tcW w:w="0" w:type="auto"/>
            <w:gridSpan w:val="3"/>
            <w:shd w:val="clear" w:color="auto" w:fill="CCEEFF"/>
            <w:tcMar>
              <w:top w:w="0" w:type="dxa"/>
              <w:left w:w="20" w:type="dxa"/>
              <w:bottom w:w="0" w:type="dxa"/>
              <w:right w:w="20" w:type="dxa"/>
            </w:tcMar>
            <w:vAlign w:val="center"/>
            <w:hideMark/>
          </w:tcPr>
          <w:p w14:paraId="60AFADAC" w14:textId="77777777" w:rsidR="00000000" w:rsidRDefault="00405D16">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EA6987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350106"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475288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A1C693"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24BB9F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29F3ED"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A7F919B" w14:textId="77777777" w:rsidR="00000000" w:rsidRDefault="00405D16">
            <w:pPr>
              <w:spacing w:after="100"/>
              <w:rPr>
                <w:rFonts w:eastAsia="Times New Roman"/>
                <w:sz w:val="20"/>
                <w:szCs w:val="20"/>
              </w:rPr>
            </w:pPr>
          </w:p>
        </w:tc>
        <w:tc>
          <w:tcPr>
            <w:tcW w:w="0" w:type="auto"/>
            <w:vAlign w:val="center"/>
            <w:hideMark/>
          </w:tcPr>
          <w:p w14:paraId="1B01BE3A" w14:textId="77777777" w:rsidR="00000000" w:rsidRDefault="00405D16">
            <w:pPr>
              <w:spacing w:after="100"/>
              <w:rPr>
                <w:rFonts w:eastAsia="Times New Roman"/>
                <w:sz w:val="20"/>
                <w:szCs w:val="20"/>
              </w:rPr>
            </w:pPr>
          </w:p>
        </w:tc>
        <w:tc>
          <w:tcPr>
            <w:tcW w:w="0" w:type="auto"/>
            <w:vAlign w:val="center"/>
            <w:hideMark/>
          </w:tcPr>
          <w:p w14:paraId="2CEB8586" w14:textId="77777777" w:rsidR="00000000" w:rsidRDefault="00405D16">
            <w:pPr>
              <w:spacing w:after="100"/>
              <w:rPr>
                <w:rFonts w:eastAsia="Times New Roman"/>
                <w:sz w:val="20"/>
                <w:szCs w:val="20"/>
              </w:rPr>
            </w:pPr>
          </w:p>
        </w:tc>
        <w:tc>
          <w:tcPr>
            <w:tcW w:w="0" w:type="auto"/>
            <w:vAlign w:val="center"/>
            <w:hideMark/>
          </w:tcPr>
          <w:p w14:paraId="626E1FF9" w14:textId="77777777" w:rsidR="00000000" w:rsidRDefault="00405D16">
            <w:pPr>
              <w:spacing w:after="100"/>
              <w:rPr>
                <w:rFonts w:eastAsia="Times New Roman"/>
                <w:sz w:val="20"/>
                <w:szCs w:val="20"/>
              </w:rPr>
            </w:pPr>
          </w:p>
        </w:tc>
        <w:tc>
          <w:tcPr>
            <w:tcW w:w="0" w:type="auto"/>
            <w:vAlign w:val="center"/>
            <w:hideMark/>
          </w:tcPr>
          <w:p w14:paraId="35CD796F" w14:textId="77777777" w:rsidR="00000000" w:rsidRDefault="00405D16">
            <w:pPr>
              <w:spacing w:after="100"/>
              <w:rPr>
                <w:rFonts w:eastAsia="Times New Roman"/>
                <w:sz w:val="20"/>
                <w:szCs w:val="20"/>
              </w:rPr>
            </w:pPr>
          </w:p>
        </w:tc>
      </w:tr>
      <w:tr w:rsidR="00000000" w14:paraId="4BC030AC" w14:textId="77777777">
        <w:trPr>
          <w:divId w:val="1051611083"/>
        </w:trPr>
        <w:tc>
          <w:tcPr>
            <w:tcW w:w="0" w:type="auto"/>
            <w:gridSpan w:val="3"/>
            <w:shd w:val="clear" w:color="auto" w:fill="FFFFFF"/>
            <w:tcMar>
              <w:top w:w="30" w:type="dxa"/>
              <w:left w:w="20" w:type="dxa"/>
              <w:bottom w:w="30" w:type="dxa"/>
              <w:right w:w="20" w:type="dxa"/>
            </w:tcMar>
            <w:vAlign w:val="center"/>
            <w:hideMark/>
          </w:tcPr>
          <w:p w14:paraId="0E137BD6" w14:textId="77777777" w:rsidR="00000000" w:rsidRDefault="00405D16">
            <w:pPr>
              <w:spacing w:after="100"/>
              <w:rPr>
                <w:rFonts w:eastAsia="Times New Roman"/>
              </w:rPr>
            </w:pPr>
            <w:r>
              <w:rPr>
                <w:rFonts w:eastAsia="Times New Roman"/>
                <w:color w:val="000000"/>
                <w:sz w:val="18"/>
                <w:szCs w:val="18"/>
              </w:rPr>
              <w:t>Net income (loss) from continuing operations</w:t>
            </w:r>
          </w:p>
        </w:tc>
        <w:tc>
          <w:tcPr>
            <w:tcW w:w="0" w:type="auto"/>
            <w:gridSpan w:val="3"/>
            <w:shd w:val="clear" w:color="auto" w:fill="FFFFFF"/>
            <w:tcMar>
              <w:top w:w="0" w:type="dxa"/>
              <w:left w:w="20" w:type="dxa"/>
              <w:bottom w:w="0" w:type="dxa"/>
              <w:right w:w="20" w:type="dxa"/>
            </w:tcMar>
            <w:vAlign w:val="center"/>
            <w:hideMark/>
          </w:tcPr>
          <w:p w14:paraId="1C827EEF"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554C6785"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6F2C4B34" w14:textId="77777777" w:rsidR="00000000" w:rsidRDefault="00405D16">
            <w:pPr>
              <w:spacing w:after="100"/>
              <w:jc w:val="right"/>
              <w:rPr>
                <w:rFonts w:eastAsia="Times New Roman"/>
              </w:rPr>
            </w:pPr>
            <w:r>
              <w:rPr>
                <w:rFonts w:eastAsia="Times New Roman"/>
                <w:b/>
                <w:bCs/>
                <w:color w:val="000000"/>
                <w:sz w:val="18"/>
                <w:szCs w:val="18"/>
              </w:rPr>
              <w:t>6.81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14E0DB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700641"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6ACEC57"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22F3A1D8" w14:textId="77777777" w:rsidR="00000000" w:rsidRDefault="00405D16">
            <w:pPr>
              <w:spacing w:after="100"/>
              <w:jc w:val="right"/>
              <w:rPr>
                <w:rFonts w:eastAsia="Times New Roman"/>
              </w:rPr>
            </w:pPr>
            <w:r>
              <w:rPr>
                <w:rFonts w:eastAsia="Times New Roman"/>
                <w:color w:val="000000"/>
                <w:sz w:val="18"/>
                <w:szCs w:val="18"/>
              </w:rPr>
              <w:t>5.07 </w:t>
            </w:r>
          </w:p>
        </w:tc>
        <w:tc>
          <w:tcPr>
            <w:tcW w:w="0" w:type="auto"/>
            <w:shd w:val="clear" w:color="auto" w:fill="FFFFFF"/>
            <w:tcMar>
              <w:top w:w="30" w:type="dxa"/>
              <w:left w:w="0" w:type="dxa"/>
              <w:bottom w:w="30" w:type="dxa"/>
              <w:right w:w="20" w:type="dxa"/>
            </w:tcMar>
            <w:vAlign w:val="center"/>
            <w:hideMark/>
          </w:tcPr>
          <w:p w14:paraId="7794A5F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AF23E3"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6006F65"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59BE2472" w14:textId="77777777" w:rsidR="00000000" w:rsidRDefault="00405D16">
            <w:pPr>
              <w:spacing w:after="100"/>
              <w:jc w:val="right"/>
              <w:rPr>
                <w:rFonts w:eastAsia="Times New Roman"/>
              </w:rPr>
            </w:pPr>
            <w:r>
              <w:rPr>
                <w:rFonts w:eastAsia="Times New Roman"/>
                <w:b/>
                <w:bCs/>
                <w:color w:val="000000"/>
                <w:sz w:val="18"/>
                <w:szCs w:val="18"/>
              </w:rPr>
              <w:t>21.53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E89107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488F87"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9B6E4D1"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0874F74D" w14:textId="77777777" w:rsidR="00000000" w:rsidRDefault="00405D16">
            <w:pPr>
              <w:spacing w:after="100"/>
              <w:jc w:val="right"/>
              <w:rPr>
                <w:rFonts w:eastAsia="Times New Roman"/>
              </w:rPr>
            </w:pPr>
            <w:r>
              <w:rPr>
                <w:rFonts w:eastAsia="Times New Roman"/>
                <w:color w:val="000000"/>
                <w:sz w:val="18"/>
                <w:szCs w:val="18"/>
              </w:rPr>
              <w:t>(</w:t>
            </w:r>
            <w:r>
              <w:rPr>
                <w:rFonts w:eastAsia="Times New Roman"/>
                <w:color w:val="000000"/>
                <w:sz w:val="18"/>
                <w:szCs w:val="18"/>
              </w:rPr>
              <w:t>0.20)</w:t>
            </w:r>
          </w:p>
        </w:tc>
        <w:tc>
          <w:tcPr>
            <w:tcW w:w="0" w:type="auto"/>
            <w:shd w:val="clear" w:color="auto" w:fill="FFFFFF"/>
            <w:tcMar>
              <w:top w:w="30" w:type="dxa"/>
              <w:left w:w="0" w:type="dxa"/>
              <w:bottom w:w="30" w:type="dxa"/>
              <w:right w:w="20" w:type="dxa"/>
            </w:tcMar>
            <w:vAlign w:val="center"/>
            <w:hideMark/>
          </w:tcPr>
          <w:p w14:paraId="0A40027E" w14:textId="77777777" w:rsidR="00000000" w:rsidRDefault="00405D16">
            <w:pPr>
              <w:spacing w:after="100"/>
              <w:jc w:val="right"/>
              <w:rPr>
                <w:rFonts w:eastAsia="Times New Roman"/>
              </w:rPr>
            </w:pPr>
          </w:p>
        </w:tc>
        <w:tc>
          <w:tcPr>
            <w:tcW w:w="0" w:type="auto"/>
            <w:vAlign w:val="center"/>
            <w:hideMark/>
          </w:tcPr>
          <w:p w14:paraId="54AC541E" w14:textId="77777777" w:rsidR="00000000" w:rsidRDefault="00405D16">
            <w:pPr>
              <w:spacing w:after="100"/>
              <w:jc w:val="right"/>
              <w:rPr>
                <w:rFonts w:eastAsia="Times New Roman"/>
                <w:sz w:val="20"/>
                <w:szCs w:val="20"/>
              </w:rPr>
            </w:pPr>
          </w:p>
        </w:tc>
        <w:tc>
          <w:tcPr>
            <w:tcW w:w="0" w:type="auto"/>
            <w:vAlign w:val="center"/>
            <w:hideMark/>
          </w:tcPr>
          <w:p w14:paraId="7223F383" w14:textId="77777777" w:rsidR="00000000" w:rsidRDefault="00405D16">
            <w:pPr>
              <w:spacing w:after="100"/>
              <w:rPr>
                <w:rFonts w:eastAsia="Times New Roman"/>
                <w:sz w:val="20"/>
                <w:szCs w:val="20"/>
              </w:rPr>
            </w:pPr>
          </w:p>
        </w:tc>
        <w:tc>
          <w:tcPr>
            <w:tcW w:w="0" w:type="auto"/>
            <w:vAlign w:val="center"/>
            <w:hideMark/>
          </w:tcPr>
          <w:p w14:paraId="6841E904" w14:textId="77777777" w:rsidR="00000000" w:rsidRDefault="00405D16">
            <w:pPr>
              <w:spacing w:after="100"/>
              <w:rPr>
                <w:rFonts w:eastAsia="Times New Roman"/>
                <w:sz w:val="20"/>
                <w:szCs w:val="20"/>
              </w:rPr>
            </w:pPr>
          </w:p>
        </w:tc>
        <w:tc>
          <w:tcPr>
            <w:tcW w:w="0" w:type="auto"/>
            <w:vAlign w:val="center"/>
            <w:hideMark/>
          </w:tcPr>
          <w:p w14:paraId="4395252E" w14:textId="77777777" w:rsidR="00000000" w:rsidRDefault="00405D16">
            <w:pPr>
              <w:spacing w:after="100"/>
              <w:rPr>
                <w:rFonts w:eastAsia="Times New Roman"/>
                <w:sz w:val="20"/>
                <w:szCs w:val="20"/>
              </w:rPr>
            </w:pPr>
          </w:p>
        </w:tc>
      </w:tr>
      <w:tr w:rsidR="00000000" w14:paraId="3C58B939" w14:textId="77777777">
        <w:trPr>
          <w:divId w:val="1051611083"/>
        </w:trPr>
        <w:tc>
          <w:tcPr>
            <w:tcW w:w="0" w:type="auto"/>
            <w:gridSpan w:val="3"/>
            <w:shd w:val="clear" w:color="auto" w:fill="CCEEFF"/>
            <w:tcMar>
              <w:top w:w="30" w:type="dxa"/>
              <w:left w:w="20" w:type="dxa"/>
              <w:bottom w:w="30" w:type="dxa"/>
              <w:right w:w="20" w:type="dxa"/>
            </w:tcMar>
            <w:vAlign w:val="center"/>
            <w:hideMark/>
          </w:tcPr>
          <w:p w14:paraId="271823F5" w14:textId="77777777" w:rsidR="00000000" w:rsidRDefault="00405D16">
            <w:pPr>
              <w:spacing w:after="100"/>
              <w:rPr>
                <w:rFonts w:eastAsia="Times New Roman"/>
              </w:rPr>
            </w:pPr>
            <w:r>
              <w:rPr>
                <w:rFonts w:eastAsia="Times New Roman"/>
                <w:color w:val="000000"/>
                <w:sz w:val="18"/>
                <w:szCs w:val="18"/>
              </w:rPr>
              <w:t>Income (loss) from discontinued operations</w:t>
            </w:r>
          </w:p>
        </w:tc>
        <w:tc>
          <w:tcPr>
            <w:tcW w:w="0" w:type="auto"/>
            <w:gridSpan w:val="3"/>
            <w:shd w:val="clear" w:color="auto" w:fill="CCEEFF"/>
            <w:tcMar>
              <w:top w:w="0" w:type="dxa"/>
              <w:left w:w="20" w:type="dxa"/>
              <w:bottom w:w="0" w:type="dxa"/>
              <w:right w:w="20" w:type="dxa"/>
            </w:tcMar>
            <w:vAlign w:val="center"/>
            <w:hideMark/>
          </w:tcPr>
          <w:p w14:paraId="64282FF0"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4C40465" w14:textId="77777777" w:rsidR="00000000" w:rsidRDefault="00405D16">
            <w:pPr>
              <w:spacing w:after="100"/>
              <w:jc w:val="right"/>
              <w:rPr>
                <w:rFonts w:eastAsia="Times New Roman"/>
              </w:rPr>
            </w:pPr>
            <w:r>
              <w:rPr>
                <w:rFonts w:eastAsia="Times New Roman"/>
                <w:b/>
                <w:bCs/>
                <w:color w:val="000000"/>
                <w:sz w:val="18"/>
                <w:szCs w:val="18"/>
              </w:rPr>
              <w:t>0.00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EE97A5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07724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EB83F12" w14:textId="77777777" w:rsidR="00000000" w:rsidRDefault="00405D16">
            <w:pPr>
              <w:spacing w:after="100"/>
              <w:jc w:val="right"/>
              <w:rPr>
                <w:rFonts w:eastAsia="Times New Roman"/>
              </w:rPr>
            </w:pPr>
            <w:r>
              <w:rPr>
                <w:rFonts w:eastAsia="Times New Roman"/>
                <w:color w:val="000000"/>
                <w:sz w:val="18"/>
                <w:szCs w:val="18"/>
              </w:rPr>
              <w:t>0.00 </w:t>
            </w:r>
          </w:p>
        </w:tc>
        <w:tc>
          <w:tcPr>
            <w:tcW w:w="0" w:type="auto"/>
            <w:shd w:val="clear" w:color="auto" w:fill="CCEEFF"/>
            <w:tcMar>
              <w:top w:w="30" w:type="dxa"/>
              <w:left w:w="0" w:type="dxa"/>
              <w:bottom w:w="30" w:type="dxa"/>
              <w:right w:w="20" w:type="dxa"/>
            </w:tcMar>
            <w:vAlign w:val="center"/>
            <w:hideMark/>
          </w:tcPr>
          <w:p w14:paraId="7D588CB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1C7B4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4B2A21E" w14:textId="77777777" w:rsidR="00000000" w:rsidRDefault="00405D16">
            <w:pPr>
              <w:spacing w:after="100"/>
              <w:jc w:val="right"/>
              <w:rPr>
                <w:rFonts w:eastAsia="Times New Roman"/>
              </w:rPr>
            </w:pPr>
            <w:r>
              <w:rPr>
                <w:rFonts w:eastAsia="Times New Roman"/>
                <w:b/>
                <w:bCs/>
                <w:color w:val="000000"/>
                <w:sz w:val="18"/>
                <w:szCs w:val="18"/>
              </w:rPr>
              <w:t>(0.01)</w:t>
            </w:r>
          </w:p>
        </w:tc>
        <w:tc>
          <w:tcPr>
            <w:tcW w:w="0" w:type="auto"/>
            <w:shd w:val="clear" w:color="auto" w:fill="CCEEFF"/>
            <w:tcMar>
              <w:top w:w="30" w:type="dxa"/>
              <w:left w:w="0" w:type="dxa"/>
              <w:bottom w:w="30" w:type="dxa"/>
              <w:right w:w="20" w:type="dxa"/>
            </w:tcMar>
            <w:vAlign w:val="center"/>
            <w:hideMark/>
          </w:tcPr>
          <w:p w14:paraId="340249B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D3C6A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577E8B4" w14:textId="77777777" w:rsidR="00000000" w:rsidRDefault="00405D16">
            <w:pPr>
              <w:spacing w:after="100"/>
              <w:jc w:val="right"/>
              <w:rPr>
                <w:rFonts w:eastAsia="Times New Roman"/>
              </w:rPr>
            </w:pPr>
            <w:r>
              <w:rPr>
                <w:rFonts w:eastAsia="Times New Roman"/>
                <w:color w:val="000000"/>
                <w:sz w:val="18"/>
                <w:szCs w:val="18"/>
              </w:rPr>
              <w:t>0.00 </w:t>
            </w:r>
          </w:p>
        </w:tc>
        <w:tc>
          <w:tcPr>
            <w:tcW w:w="0" w:type="auto"/>
            <w:shd w:val="clear" w:color="auto" w:fill="CCEEFF"/>
            <w:tcMar>
              <w:top w:w="30" w:type="dxa"/>
              <w:left w:w="0" w:type="dxa"/>
              <w:bottom w:w="30" w:type="dxa"/>
              <w:right w:w="20" w:type="dxa"/>
            </w:tcMar>
            <w:vAlign w:val="center"/>
            <w:hideMark/>
          </w:tcPr>
          <w:p w14:paraId="34270F8B" w14:textId="77777777" w:rsidR="00000000" w:rsidRDefault="00405D16">
            <w:pPr>
              <w:spacing w:after="100"/>
              <w:jc w:val="right"/>
              <w:rPr>
                <w:rFonts w:eastAsia="Times New Roman"/>
              </w:rPr>
            </w:pPr>
          </w:p>
        </w:tc>
        <w:tc>
          <w:tcPr>
            <w:tcW w:w="0" w:type="auto"/>
            <w:vAlign w:val="center"/>
            <w:hideMark/>
          </w:tcPr>
          <w:p w14:paraId="598C0C47" w14:textId="77777777" w:rsidR="00000000" w:rsidRDefault="00405D16">
            <w:pPr>
              <w:spacing w:after="100"/>
              <w:jc w:val="right"/>
              <w:rPr>
                <w:rFonts w:eastAsia="Times New Roman"/>
                <w:sz w:val="20"/>
                <w:szCs w:val="20"/>
              </w:rPr>
            </w:pPr>
          </w:p>
        </w:tc>
        <w:tc>
          <w:tcPr>
            <w:tcW w:w="0" w:type="auto"/>
            <w:vAlign w:val="center"/>
            <w:hideMark/>
          </w:tcPr>
          <w:p w14:paraId="6CBFF641" w14:textId="77777777" w:rsidR="00000000" w:rsidRDefault="00405D16">
            <w:pPr>
              <w:spacing w:after="100"/>
              <w:rPr>
                <w:rFonts w:eastAsia="Times New Roman"/>
                <w:sz w:val="20"/>
                <w:szCs w:val="20"/>
              </w:rPr>
            </w:pPr>
          </w:p>
        </w:tc>
        <w:tc>
          <w:tcPr>
            <w:tcW w:w="0" w:type="auto"/>
            <w:vAlign w:val="center"/>
            <w:hideMark/>
          </w:tcPr>
          <w:p w14:paraId="1B56FC20" w14:textId="77777777" w:rsidR="00000000" w:rsidRDefault="00405D16">
            <w:pPr>
              <w:spacing w:after="100"/>
              <w:rPr>
                <w:rFonts w:eastAsia="Times New Roman"/>
                <w:sz w:val="20"/>
                <w:szCs w:val="20"/>
              </w:rPr>
            </w:pPr>
          </w:p>
        </w:tc>
        <w:tc>
          <w:tcPr>
            <w:tcW w:w="0" w:type="auto"/>
            <w:vAlign w:val="center"/>
            <w:hideMark/>
          </w:tcPr>
          <w:p w14:paraId="7313094D" w14:textId="77777777" w:rsidR="00000000" w:rsidRDefault="00405D16">
            <w:pPr>
              <w:spacing w:after="100"/>
              <w:rPr>
                <w:rFonts w:eastAsia="Times New Roman"/>
                <w:sz w:val="20"/>
                <w:szCs w:val="20"/>
              </w:rPr>
            </w:pPr>
          </w:p>
        </w:tc>
      </w:tr>
      <w:tr w:rsidR="00000000" w14:paraId="3E918E28" w14:textId="77777777">
        <w:trPr>
          <w:divId w:val="1051611083"/>
        </w:trPr>
        <w:tc>
          <w:tcPr>
            <w:tcW w:w="0" w:type="auto"/>
            <w:gridSpan w:val="3"/>
            <w:shd w:val="clear" w:color="auto" w:fill="FFFFFF"/>
            <w:tcMar>
              <w:top w:w="30" w:type="dxa"/>
              <w:left w:w="20" w:type="dxa"/>
              <w:bottom w:w="30" w:type="dxa"/>
              <w:right w:w="20" w:type="dxa"/>
            </w:tcMar>
            <w:vAlign w:val="center"/>
            <w:hideMark/>
          </w:tcPr>
          <w:p w14:paraId="32C68910" w14:textId="77777777" w:rsidR="00000000" w:rsidRDefault="00405D16">
            <w:pPr>
              <w:spacing w:after="100"/>
              <w:rPr>
                <w:rFonts w:eastAsia="Times New Roman"/>
              </w:rPr>
            </w:pPr>
            <w:r>
              <w:rPr>
                <w:rFonts w:eastAsia="Times New Roman"/>
                <w:color w:val="000000"/>
                <w:sz w:val="18"/>
                <w:szCs w:val="18"/>
              </w:rPr>
              <w:t>Net income (loss) per basic common share</w:t>
            </w:r>
          </w:p>
        </w:tc>
        <w:tc>
          <w:tcPr>
            <w:tcW w:w="0" w:type="auto"/>
            <w:gridSpan w:val="3"/>
            <w:shd w:val="clear" w:color="auto" w:fill="FFFFFF"/>
            <w:tcMar>
              <w:top w:w="0" w:type="dxa"/>
              <w:left w:w="20" w:type="dxa"/>
              <w:bottom w:w="0" w:type="dxa"/>
              <w:right w:w="20" w:type="dxa"/>
            </w:tcMar>
            <w:vAlign w:val="center"/>
            <w:hideMark/>
          </w:tcPr>
          <w:p w14:paraId="0584FDFD" w14:textId="77777777" w:rsidR="00000000" w:rsidRDefault="00405D16">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5A1077D9"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44D2AEBA" w14:textId="77777777" w:rsidR="00000000" w:rsidRDefault="00405D16">
            <w:pPr>
              <w:spacing w:after="100"/>
              <w:jc w:val="right"/>
              <w:rPr>
                <w:rFonts w:eastAsia="Times New Roman"/>
              </w:rPr>
            </w:pPr>
            <w:r>
              <w:rPr>
                <w:rFonts w:eastAsia="Times New Roman"/>
                <w:b/>
                <w:bCs/>
                <w:color w:val="000000"/>
                <w:sz w:val="18"/>
                <w:szCs w:val="18"/>
              </w:rPr>
              <w:t>6.81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185E8D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416C32"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0DE0A4F1"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7E245ECE" w14:textId="77777777" w:rsidR="00000000" w:rsidRDefault="00405D16">
            <w:pPr>
              <w:spacing w:after="100"/>
              <w:jc w:val="right"/>
              <w:rPr>
                <w:rFonts w:eastAsia="Times New Roman"/>
              </w:rPr>
            </w:pPr>
            <w:r>
              <w:rPr>
                <w:rFonts w:eastAsia="Times New Roman"/>
                <w:color w:val="000000"/>
                <w:sz w:val="18"/>
                <w:szCs w:val="18"/>
              </w:rPr>
              <w:t>5.07 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455F9F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62B586"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42DA8BC7"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53130AD" w14:textId="77777777" w:rsidR="00000000" w:rsidRDefault="00405D16">
            <w:pPr>
              <w:spacing w:after="100"/>
              <w:jc w:val="right"/>
              <w:rPr>
                <w:rFonts w:eastAsia="Times New Roman"/>
              </w:rPr>
            </w:pPr>
            <w:r>
              <w:rPr>
                <w:rFonts w:eastAsia="Times New Roman"/>
                <w:b/>
                <w:bCs/>
                <w:color w:val="000000"/>
                <w:sz w:val="18"/>
                <w:szCs w:val="18"/>
              </w:rPr>
              <w:t>21.52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B254AE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B7ECB1"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6B001B8A"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7E2D63C8" w14:textId="77777777" w:rsidR="00000000" w:rsidRDefault="00405D16">
            <w:pPr>
              <w:spacing w:after="100"/>
              <w:jc w:val="right"/>
              <w:rPr>
                <w:rFonts w:eastAsia="Times New Roman"/>
              </w:rPr>
            </w:pPr>
            <w:r>
              <w:rPr>
                <w:rFonts w:eastAsia="Times New Roman"/>
                <w:color w:val="000000"/>
                <w:sz w:val="18"/>
                <w:szCs w:val="18"/>
              </w:rPr>
              <w:t>(0.20)</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E59EA2A" w14:textId="77777777" w:rsidR="00000000" w:rsidRDefault="00405D16">
            <w:pPr>
              <w:spacing w:after="100"/>
              <w:jc w:val="right"/>
              <w:rPr>
                <w:rFonts w:eastAsia="Times New Roman"/>
              </w:rPr>
            </w:pPr>
          </w:p>
        </w:tc>
        <w:tc>
          <w:tcPr>
            <w:tcW w:w="0" w:type="auto"/>
            <w:vAlign w:val="center"/>
            <w:hideMark/>
          </w:tcPr>
          <w:p w14:paraId="4A79267F" w14:textId="77777777" w:rsidR="00000000" w:rsidRDefault="00405D16">
            <w:pPr>
              <w:spacing w:after="100"/>
              <w:jc w:val="right"/>
              <w:rPr>
                <w:rFonts w:eastAsia="Times New Roman"/>
                <w:sz w:val="20"/>
                <w:szCs w:val="20"/>
              </w:rPr>
            </w:pPr>
          </w:p>
        </w:tc>
        <w:tc>
          <w:tcPr>
            <w:tcW w:w="0" w:type="auto"/>
            <w:vAlign w:val="center"/>
            <w:hideMark/>
          </w:tcPr>
          <w:p w14:paraId="24C6BCCA" w14:textId="77777777" w:rsidR="00000000" w:rsidRDefault="00405D16">
            <w:pPr>
              <w:spacing w:after="100"/>
              <w:rPr>
                <w:rFonts w:eastAsia="Times New Roman"/>
                <w:sz w:val="20"/>
                <w:szCs w:val="20"/>
              </w:rPr>
            </w:pPr>
          </w:p>
        </w:tc>
        <w:tc>
          <w:tcPr>
            <w:tcW w:w="0" w:type="auto"/>
            <w:vAlign w:val="center"/>
            <w:hideMark/>
          </w:tcPr>
          <w:p w14:paraId="77456560" w14:textId="77777777" w:rsidR="00000000" w:rsidRDefault="00405D16">
            <w:pPr>
              <w:spacing w:after="100"/>
              <w:rPr>
                <w:rFonts w:eastAsia="Times New Roman"/>
                <w:sz w:val="20"/>
                <w:szCs w:val="20"/>
              </w:rPr>
            </w:pPr>
          </w:p>
        </w:tc>
        <w:tc>
          <w:tcPr>
            <w:tcW w:w="0" w:type="auto"/>
            <w:vAlign w:val="center"/>
            <w:hideMark/>
          </w:tcPr>
          <w:p w14:paraId="3C4F0578" w14:textId="77777777" w:rsidR="00000000" w:rsidRDefault="00405D16">
            <w:pPr>
              <w:spacing w:after="100"/>
              <w:rPr>
                <w:rFonts w:eastAsia="Times New Roman"/>
                <w:sz w:val="20"/>
                <w:szCs w:val="20"/>
              </w:rPr>
            </w:pPr>
          </w:p>
        </w:tc>
      </w:tr>
      <w:tr w:rsidR="00000000" w14:paraId="597825B0" w14:textId="77777777">
        <w:trPr>
          <w:divId w:val="1051611083"/>
        </w:trPr>
        <w:tc>
          <w:tcPr>
            <w:tcW w:w="0" w:type="auto"/>
            <w:gridSpan w:val="3"/>
            <w:shd w:val="clear" w:color="auto" w:fill="CCEEFF"/>
            <w:tcMar>
              <w:top w:w="30" w:type="dxa"/>
              <w:left w:w="20" w:type="dxa"/>
              <w:bottom w:w="30" w:type="dxa"/>
              <w:right w:w="20" w:type="dxa"/>
            </w:tcMar>
            <w:vAlign w:val="center"/>
            <w:hideMark/>
          </w:tcPr>
          <w:p w14:paraId="71076BE5" w14:textId="77777777" w:rsidR="00000000" w:rsidRDefault="00405D16">
            <w:pPr>
              <w:spacing w:after="100"/>
              <w:divId w:val="302738384"/>
              <w:rPr>
                <w:rFonts w:eastAsia="Times New Roman"/>
              </w:rPr>
            </w:pPr>
            <w:r>
              <w:rPr>
                <w:rFonts w:eastAsia="Times New Roman"/>
                <w:b/>
                <w:bCs/>
                <w:color w:val="000000"/>
                <w:sz w:val="18"/>
                <w:szCs w:val="18"/>
              </w:rPr>
              <w:t>Diluted earnings per common share</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44C32874" w14:textId="77777777" w:rsidR="00000000" w:rsidRDefault="00405D16">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DF3B22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0624A2"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BB849F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FA973E"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38911C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7C84A4"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FF976FE" w14:textId="77777777" w:rsidR="00000000" w:rsidRDefault="00405D16">
            <w:pPr>
              <w:spacing w:after="100"/>
              <w:rPr>
                <w:rFonts w:eastAsia="Times New Roman"/>
                <w:sz w:val="20"/>
                <w:szCs w:val="20"/>
              </w:rPr>
            </w:pPr>
          </w:p>
        </w:tc>
        <w:tc>
          <w:tcPr>
            <w:tcW w:w="0" w:type="auto"/>
            <w:vAlign w:val="center"/>
            <w:hideMark/>
          </w:tcPr>
          <w:p w14:paraId="2056F260" w14:textId="77777777" w:rsidR="00000000" w:rsidRDefault="00405D16">
            <w:pPr>
              <w:spacing w:after="100"/>
              <w:rPr>
                <w:rFonts w:eastAsia="Times New Roman"/>
                <w:sz w:val="20"/>
                <w:szCs w:val="20"/>
              </w:rPr>
            </w:pPr>
          </w:p>
        </w:tc>
        <w:tc>
          <w:tcPr>
            <w:tcW w:w="0" w:type="auto"/>
            <w:vAlign w:val="center"/>
            <w:hideMark/>
          </w:tcPr>
          <w:p w14:paraId="429D0958" w14:textId="77777777" w:rsidR="00000000" w:rsidRDefault="00405D16">
            <w:pPr>
              <w:spacing w:after="100"/>
              <w:rPr>
                <w:rFonts w:eastAsia="Times New Roman"/>
                <w:sz w:val="20"/>
                <w:szCs w:val="20"/>
              </w:rPr>
            </w:pPr>
          </w:p>
        </w:tc>
        <w:tc>
          <w:tcPr>
            <w:tcW w:w="0" w:type="auto"/>
            <w:vAlign w:val="center"/>
            <w:hideMark/>
          </w:tcPr>
          <w:p w14:paraId="1D7C3EDA" w14:textId="77777777" w:rsidR="00000000" w:rsidRDefault="00405D16">
            <w:pPr>
              <w:spacing w:after="100"/>
              <w:rPr>
                <w:rFonts w:eastAsia="Times New Roman"/>
                <w:sz w:val="20"/>
                <w:szCs w:val="20"/>
              </w:rPr>
            </w:pPr>
          </w:p>
        </w:tc>
        <w:tc>
          <w:tcPr>
            <w:tcW w:w="0" w:type="auto"/>
            <w:vAlign w:val="center"/>
            <w:hideMark/>
          </w:tcPr>
          <w:p w14:paraId="4283E86B" w14:textId="77777777" w:rsidR="00000000" w:rsidRDefault="00405D16">
            <w:pPr>
              <w:spacing w:after="100"/>
              <w:rPr>
                <w:rFonts w:eastAsia="Times New Roman"/>
                <w:sz w:val="20"/>
                <w:szCs w:val="20"/>
              </w:rPr>
            </w:pPr>
          </w:p>
        </w:tc>
      </w:tr>
      <w:tr w:rsidR="00000000" w14:paraId="10C44B11" w14:textId="77777777">
        <w:trPr>
          <w:divId w:val="1051611083"/>
        </w:trPr>
        <w:tc>
          <w:tcPr>
            <w:tcW w:w="0" w:type="auto"/>
            <w:gridSpan w:val="3"/>
            <w:shd w:val="clear" w:color="auto" w:fill="FFFFFF"/>
            <w:tcMar>
              <w:top w:w="30" w:type="dxa"/>
              <w:left w:w="20" w:type="dxa"/>
              <w:bottom w:w="30" w:type="dxa"/>
              <w:right w:w="20" w:type="dxa"/>
            </w:tcMar>
            <w:vAlign w:val="center"/>
            <w:hideMark/>
          </w:tcPr>
          <w:p w14:paraId="714AC274" w14:textId="77777777" w:rsidR="00000000" w:rsidRDefault="00405D16">
            <w:pPr>
              <w:spacing w:after="100"/>
              <w:rPr>
                <w:rFonts w:eastAsia="Times New Roman"/>
              </w:rPr>
            </w:pPr>
            <w:r>
              <w:rPr>
                <w:rFonts w:eastAsia="Times New Roman"/>
                <w:color w:val="000000"/>
                <w:sz w:val="18"/>
                <w:szCs w:val="18"/>
              </w:rPr>
              <w:t>Net income (loss) from continuing operations</w:t>
            </w:r>
          </w:p>
        </w:tc>
        <w:tc>
          <w:tcPr>
            <w:tcW w:w="0" w:type="auto"/>
            <w:gridSpan w:val="3"/>
            <w:shd w:val="clear" w:color="auto" w:fill="FFFFFF"/>
            <w:tcMar>
              <w:top w:w="0" w:type="dxa"/>
              <w:left w:w="20" w:type="dxa"/>
              <w:bottom w:w="0" w:type="dxa"/>
              <w:right w:w="20" w:type="dxa"/>
            </w:tcMar>
            <w:vAlign w:val="center"/>
            <w:hideMark/>
          </w:tcPr>
          <w:p w14:paraId="5C12BD19"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55ED43B8"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0A4BC94E" w14:textId="77777777" w:rsidR="00000000" w:rsidRDefault="00405D16">
            <w:pPr>
              <w:spacing w:after="100"/>
              <w:jc w:val="right"/>
              <w:rPr>
                <w:rFonts w:eastAsia="Times New Roman"/>
              </w:rPr>
            </w:pPr>
            <w:r>
              <w:rPr>
                <w:rFonts w:eastAsia="Times New Roman"/>
                <w:b/>
                <w:bCs/>
                <w:color w:val="000000"/>
                <w:sz w:val="18"/>
                <w:szCs w:val="18"/>
              </w:rPr>
              <w:t>6.78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876788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FB6A14"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F21453A"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2A69923F" w14:textId="77777777" w:rsidR="00000000" w:rsidRDefault="00405D16">
            <w:pPr>
              <w:spacing w:after="100"/>
              <w:jc w:val="right"/>
              <w:rPr>
                <w:rFonts w:eastAsia="Times New Roman"/>
              </w:rPr>
            </w:pPr>
            <w:r>
              <w:rPr>
                <w:rFonts w:eastAsia="Times New Roman"/>
                <w:color w:val="000000"/>
                <w:sz w:val="18"/>
                <w:szCs w:val="18"/>
              </w:rPr>
              <w:t>5.06 </w:t>
            </w:r>
          </w:p>
        </w:tc>
        <w:tc>
          <w:tcPr>
            <w:tcW w:w="0" w:type="auto"/>
            <w:shd w:val="clear" w:color="auto" w:fill="FFFFFF"/>
            <w:tcMar>
              <w:top w:w="30" w:type="dxa"/>
              <w:left w:w="0" w:type="dxa"/>
              <w:bottom w:w="30" w:type="dxa"/>
              <w:right w:w="20" w:type="dxa"/>
            </w:tcMar>
            <w:vAlign w:val="center"/>
            <w:hideMark/>
          </w:tcPr>
          <w:p w14:paraId="2F1C3C0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369FEB"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FA1E4FE"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30DAD052" w14:textId="77777777" w:rsidR="00000000" w:rsidRDefault="00405D16">
            <w:pPr>
              <w:spacing w:after="100"/>
              <w:jc w:val="right"/>
              <w:rPr>
                <w:rFonts w:eastAsia="Times New Roman"/>
              </w:rPr>
            </w:pPr>
            <w:r>
              <w:rPr>
                <w:rFonts w:eastAsia="Times New Roman"/>
                <w:b/>
                <w:bCs/>
                <w:color w:val="000000"/>
                <w:sz w:val="18"/>
                <w:szCs w:val="18"/>
              </w:rPr>
              <w:t>21.45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576B0E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6E7DD1"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ADD8F39"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60CC3E72" w14:textId="77777777" w:rsidR="00000000" w:rsidRDefault="00405D16">
            <w:pPr>
              <w:spacing w:after="100"/>
              <w:jc w:val="right"/>
              <w:rPr>
                <w:rFonts w:eastAsia="Times New Roman"/>
              </w:rPr>
            </w:pPr>
            <w:r>
              <w:rPr>
                <w:rFonts w:eastAsia="Times New Roman"/>
                <w:color w:val="000000"/>
                <w:sz w:val="18"/>
                <w:szCs w:val="18"/>
              </w:rPr>
              <w:t>(0.20)</w:t>
            </w:r>
          </w:p>
        </w:tc>
        <w:tc>
          <w:tcPr>
            <w:tcW w:w="0" w:type="auto"/>
            <w:shd w:val="clear" w:color="auto" w:fill="FFFFFF"/>
            <w:tcMar>
              <w:top w:w="30" w:type="dxa"/>
              <w:left w:w="0" w:type="dxa"/>
              <w:bottom w:w="30" w:type="dxa"/>
              <w:right w:w="20" w:type="dxa"/>
            </w:tcMar>
            <w:vAlign w:val="center"/>
            <w:hideMark/>
          </w:tcPr>
          <w:p w14:paraId="168472DC" w14:textId="77777777" w:rsidR="00000000" w:rsidRDefault="00405D16">
            <w:pPr>
              <w:spacing w:after="100"/>
              <w:jc w:val="right"/>
              <w:rPr>
                <w:rFonts w:eastAsia="Times New Roman"/>
              </w:rPr>
            </w:pPr>
          </w:p>
        </w:tc>
        <w:tc>
          <w:tcPr>
            <w:tcW w:w="0" w:type="auto"/>
            <w:vAlign w:val="center"/>
            <w:hideMark/>
          </w:tcPr>
          <w:p w14:paraId="7237146C" w14:textId="77777777" w:rsidR="00000000" w:rsidRDefault="00405D16">
            <w:pPr>
              <w:spacing w:after="100"/>
              <w:jc w:val="right"/>
              <w:rPr>
                <w:rFonts w:eastAsia="Times New Roman"/>
                <w:sz w:val="20"/>
                <w:szCs w:val="20"/>
              </w:rPr>
            </w:pPr>
          </w:p>
        </w:tc>
        <w:tc>
          <w:tcPr>
            <w:tcW w:w="0" w:type="auto"/>
            <w:vAlign w:val="center"/>
            <w:hideMark/>
          </w:tcPr>
          <w:p w14:paraId="46175D68" w14:textId="77777777" w:rsidR="00000000" w:rsidRDefault="00405D16">
            <w:pPr>
              <w:spacing w:after="100"/>
              <w:rPr>
                <w:rFonts w:eastAsia="Times New Roman"/>
                <w:sz w:val="20"/>
                <w:szCs w:val="20"/>
              </w:rPr>
            </w:pPr>
          </w:p>
        </w:tc>
        <w:tc>
          <w:tcPr>
            <w:tcW w:w="0" w:type="auto"/>
            <w:vAlign w:val="center"/>
            <w:hideMark/>
          </w:tcPr>
          <w:p w14:paraId="09674776" w14:textId="77777777" w:rsidR="00000000" w:rsidRDefault="00405D16">
            <w:pPr>
              <w:spacing w:after="100"/>
              <w:rPr>
                <w:rFonts w:eastAsia="Times New Roman"/>
                <w:sz w:val="20"/>
                <w:szCs w:val="20"/>
              </w:rPr>
            </w:pPr>
          </w:p>
        </w:tc>
        <w:tc>
          <w:tcPr>
            <w:tcW w:w="0" w:type="auto"/>
            <w:vAlign w:val="center"/>
            <w:hideMark/>
          </w:tcPr>
          <w:p w14:paraId="5A2D23D3" w14:textId="77777777" w:rsidR="00000000" w:rsidRDefault="00405D16">
            <w:pPr>
              <w:spacing w:after="100"/>
              <w:rPr>
                <w:rFonts w:eastAsia="Times New Roman"/>
                <w:sz w:val="20"/>
                <w:szCs w:val="20"/>
              </w:rPr>
            </w:pPr>
          </w:p>
        </w:tc>
      </w:tr>
      <w:tr w:rsidR="00000000" w14:paraId="57B499E1" w14:textId="77777777">
        <w:trPr>
          <w:divId w:val="1051611083"/>
        </w:trPr>
        <w:tc>
          <w:tcPr>
            <w:tcW w:w="0" w:type="auto"/>
            <w:gridSpan w:val="3"/>
            <w:shd w:val="clear" w:color="auto" w:fill="CCEEFF"/>
            <w:tcMar>
              <w:top w:w="30" w:type="dxa"/>
              <w:left w:w="20" w:type="dxa"/>
              <w:bottom w:w="30" w:type="dxa"/>
              <w:right w:w="20" w:type="dxa"/>
            </w:tcMar>
            <w:vAlign w:val="center"/>
            <w:hideMark/>
          </w:tcPr>
          <w:p w14:paraId="558096DA" w14:textId="77777777" w:rsidR="00000000" w:rsidRDefault="00405D16">
            <w:pPr>
              <w:spacing w:after="100"/>
              <w:rPr>
                <w:rFonts w:eastAsia="Times New Roman"/>
              </w:rPr>
            </w:pPr>
            <w:r>
              <w:rPr>
                <w:rFonts w:eastAsia="Times New Roman"/>
                <w:color w:val="000000"/>
                <w:sz w:val="18"/>
                <w:szCs w:val="18"/>
              </w:rPr>
              <w:t>Income (loss) from discontinued operations</w:t>
            </w:r>
          </w:p>
        </w:tc>
        <w:tc>
          <w:tcPr>
            <w:tcW w:w="0" w:type="auto"/>
            <w:gridSpan w:val="3"/>
            <w:shd w:val="clear" w:color="auto" w:fill="CCEEFF"/>
            <w:tcMar>
              <w:top w:w="0" w:type="dxa"/>
              <w:left w:w="20" w:type="dxa"/>
              <w:bottom w:w="0" w:type="dxa"/>
              <w:right w:w="20" w:type="dxa"/>
            </w:tcMar>
            <w:vAlign w:val="center"/>
            <w:hideMark/>
          </w:tcPr>
          <w:p w14:paraId="41281491"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9A9E3AE" w14:textId="77777777" w:rsidR="00000000" w:rsidRDefault="00405D16">
            <w:pPr>
              <w:spacing w:after="100"/>
              <w:jc w:val="right"/>
              <w:rPr>
                <w:rFonts w:eastAsia="Times New Roman"/>
              </w:rPr>
            </w:pPr>
            <w:r>
              <w:rPr>
                <w:rFonts w:eastAsia="Times New Roman"/>
                <w:b/>
                <w:bCs/>
                <w:color w:val="000000"/>
                <w:sz w:val="18"/>
                <w:szCs w:val="18"/>
              </w:rPr>
              <w:t>0.00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5905E5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80A23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7DC4464" w14:textId="77777777" w:rsidR="00000000" w:rsidRDefault="00405D16">
            <w:pPr>
              <w:spacing w:after="100"/>
              <w:jc w:val="right"/>
              <w:rPr>
                <w:rFonts w:eastAsia="Times New Roman"/>
              </w:rPr>
            </w:pPr>
            <w:r>
              <w:rPr>
                <w:rFonts w:eastAsia="Times New Roman"/>
                <w:color w:val="000000"/>
                <w:sz w:val="18"/>
                <w:szCs w:val="18"/>
              </w:rPr>
              <w:t>0.00 </w:t>
            </w:r>
          </w:p>
        </w:tc>
        <w:tc>
          <w:tcPr>
            <w:tcW w:w="0" w:type="auto"/>
            <w:shd w:val="clear" w:color="auto" w:fill="CCEEFF"/>
            <w:tcMar>
              <w:top w:w="30" w:type="dxa"/>
              <w:left w:w="0" w:type="dxa"/>
              <w:bottom w:w="30" w:type="dxa"/>
              <w:right w:w="20" w:type="dxa"/>
            </w:tcMar>
            <w:vAlign w:val="center"/>
            <w:hideMark/>
          </w:tcPr>
          <w:p w14:paraId="1838887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D7484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CFC4427" w14:textId="77777777" w:rsidR="00000000" w:rsidRDefault="00405D16">
            <w:pPr>
              <w:spacing w:after="100"/>
              <w:jc w:val="right"/>
              <w:rPr>
                <w:rFonts w:eastAsia="Times New Roman"/>
              </w:rPr>
            </w:pPr>
            <w:r>
              <w:rPr>
                <w:rFonts w:eastAsia="Times New Roman"/>
                <w:b/>
                <w:bCs/>
                <w:color w:val="000000"/>
                <w:sz w:val="18"/>
                <w:szCs w:val="18"/>
              </w:rPr>
              <w:t>(0.01)</w:t>
            </w:r>
          </w:p>
        </w:tc>
        <w:tc>
          <w:tcPr>
            <w:tcW w:w="0" w:type="auto"/>
            <w:shd w:val="clear" w:color="auto" w:fill="CCEEFF"/>
            <w:tcMar>
              <w:top w:w="30" w:type="dxa"/>
              <w:left w:w="0" w:type="dxa"/>
              <w:bottom w:w="30" w:type="dxa"/>
              <w:right w:w="20" w:type="dxa"/>
            </w:tcMar>
            <w:vAlign w:val="center"/>
            <w:hideMark/>
          </w:tcPr>
          <w:p w14:paraId="14CF51C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810F5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2356FF8" w14:textId="77777777" w:rsidR="00000000" w:rsidRDefault="00405D16">
            <w:pPr>
              <w:spacing w:after="100"/>
              <w:jc w:val="right"/>
              <w:rPr>
                <w:rFonts w:eastAsia="Times New Roman"/>
              </w:rPr>
            </w:pPr>
            <w:r>
              <w:rPr>
                <w:rFonts w:eastAsia="Times New Roman"/>
                <w:color w:val="000000"/>
                <w:sz w:val="18"/>
                <w:szCs w:val="18"/>
              </w:rPr>
              <w:t>0.00 </w:t>
            </w:r>
          </w:p>
        </w:tc>
        <w:tc>
          <w:tcPr>
            <w:tcW w:w="0" w:type="auto"/>
            <w:shd w:val="clear" w:color="auto" w:fill="CCEEFF"/>
            <w:tcMar>
              <w:top w:w="30" w:type="dxa"/>
              <w:left w:w="0" w:type="dxa"/>
              <w:bottom w:w="30" w:type="dxa"/>
              <w:right w:w="20" w:type="dxa"/>
            </w:tcMar>
            <w:vAlign w:val="center"/>
            <w:hideMark/>
          </w:tcPr>
          <w:p w14:paraId="771532F7" w14:textId="77777777" w:rsidR="00000000" w:rsidRDefault="00405D16">
            <w:pPr>
              <w:spacing w:after="100"/>
              <w:jc w:val="right"/>
              <w:rPr>
                <w:rFonts w:eastAsia="Times New Roman"/>
              </w:rPr>
            </w:pPr>
          </w:p>
        </w:tc>
        <w:tc>
          <w:tcPr>
            <w:tcW w:w="0" w:type="auto"/>
            <w:vAlign w:val="center"/>
            <w:hideMark/>
          </w:tcPr>
          <w:p w14:paraId="03511E94" w14:textId="77777777" w:rsidR="00000000" w:rsidRDefault="00405D16">
            <w:pPr>
              <w:spacing w:after="100"/>
              <w:jc w:val="right"/>
              <w:rPr>
                <w:rFonts w:eastAsia="Times New Roman"/>
                <w:sz w:val="20"/>
                <w:szCs w:val="20"/>
              </w:rPr>
            </w:pPr>
          </w:p>
        </w:tc>
        <w:tc>
          <w:tcPr>
            <w:tcW w:w="0" w:type="auto"/>
            <w:vAlign w:val="center"/>
            <w:hideMark/>
          </w:tcPr>
          <w:p w14:paraId="5A0EB628" w14:textId="77777777" w:rsidR="00000000" w:rsidRDefault="00405D16">
            <w:pPr>
              <w:spacing w:after="100"/>
              <w:rPr>
                <w:rFonts w:eastAsia="Times New Roman"/>
                <w:sz w:val="20"/>
                <w:szCs w:val="20"/>
              </w:rPr>
            </w:pPr>
          </w:p>
        </w:tc>
        <w:tc>
          <w:tcPr>
            <w:tcW w:w="0" w:type="auto"/>
            <w:vAlign w:val="center"/>
            <w:hideMark/>
          </w:tcPr>
          <w:p w14:paraId="016F04B0" w14:textId="77777777" w:rsidR="00000000" w:rsidRDefault="00405D16">
            <w:pPr>
              <w:spacing w:after="100"/>
              <w:rPr>
                <w:rFonts w:eastAsia="Times New Roman"/>
                <w:sz w:val="20"/>
                <w:szCs w:val="20"/>
              </w:rPr>
            </w:pPr>
          </w:p>
        </w:tc>
        <w:tc>
          <w:tcPr>
            <w:tcW w:w="0" w:type="auto"/>
            <w:vAlign w:val="center"/>
            <w:hideMark/>
          </w:tcPr>
          <w:p w14:paraId="1B138A7D" w14:textId="77777777" w:rsidR="00000000" w:rsidRDefault="00405D16">
            <w:pPr>
              <w:spacing w:after="100"/>
              <w:rPr>
                <w:rFonts w:eastAsia="Times New Roman"/>
                <w:sz w:val="20"/>
                <w:szCs w:val="20"/>
              </w:rPr>
            </w:pPr>
          </w:p>
        </w:tc>
      </w:tr>
      <w:tr w:rsidR="00000000" w14:paraId="12192E6B" w14:textId="77777777">
        <w:trPr>
          <w:divId w:val="1051611083"/>
        </w:trPr>
        <w:tc>
          <w:tcPr>
            <w:tcW w:w="0" w:type="auto"/>
            <w:gridSpan w:val="3"/>
            <w:shd w:val="clear" w:color="auto" w:fill="FFFFFF"/>
            <w:tcMar>
              <w:top w:w="30" w:type="dxa"/>
              <w:left w:w="20" w:type="dxa"/>
              <w:bottom w:w="30" w:type="dxa"/>
              <w:right w:w="20" w:type="dxa"/>
            </w:tcMar>
            <w:vAlign w:val="center"/>
            <w:hideMark/>
          </w:tcPr>
          <w:p w14:paraId="4680221E" w14:textId="77777777" w:rsidR="00000000" w:rsidRDefault="00405D16">
            <w:pPr>
              <w:spacing w:after="100"/>
              <w:rPr>
                <w:rFonts w:eastAsia="Times New Roman"/>
              </w:rPr>
            </w:pPr>
            <w:r>
              <w:rPr>
                <w:rFonts w:eastAsia="Times New Roman"/>
                <w:color w:val="000000"/>
                <w:sz w:val="18"/>
                <w:szCs w:val="18"/>
              </w:rPr>
              <w:t>Net income (loss) per diluted common share</w:t>
            </w:r>
          </w:p>
        </w:tc>
        <w:tc>
          <w:tcPr>
            <w:tcW w:w="0" w:type="auto"/>
            <w:gridSpan w:val="3"/>
            <w:shd w:val="clear" w:color="auto" w:fill="FFFFFF"/>
            <w:tcMar>
              <w:top w:w="0" w:type="dxa"/>
              <w:left w:w="20" w:type="dxa"/>
              <w:bottom w:w="0" w:type="dxa"/>
              <w:right w:w="20" w:type="dxa"/>
            </w:tcMar>
            <w:vAlign w:val="center"/>
            <w:hideMark/>
          </w:tcPr>
          <w:p w14:paraId="3CA9C518"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7FB0EA5"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56DC37B" w14:textId="77777777" w:rsidR="00000000" w:rsidRDefault="00405D16">
            <w:pPr>
              <w:spacing w:after="100"/>
              <w:jc w:val="right"/>
              <w:rPr>
                <w:rFonts w:eastAsia="Times New Roman"/>
              </w:rPr>
            </w:pPr>
            <w:r>
              <w:rPr>
                <w:rFonts w:eastAsia="Times New Roman"/>
                <w:b/>
                <w:bCs/>
                <w:color w:val="000000"/>
                <w:sz w:val="18"/>
                <w:szCs w:val="18"/>
              </w:rPr>
              <w:t>6.78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EF122F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D76367"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90D420E"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CABF28C" w14:textId="77777777" w:rsidR="00000000" w:rsidRDefault="00405D16">
            <w:pPr>
              <w:spacing w:after="100"/>
              <w:jc w:val="right"/>
              <w:rPr>
                <w:rFonts w:eastAsia="Times New Roman"/>
              </w:rPr>
            </w:pPr>
            <w:r>
              <w:rPr>
                <w:rFonts w:eastAsia="Times New Roman"/>
                <w:color w:val="000000"/>
                <w:sz w:val="18"/>
                <w:szCs w:val="18"/>
              </w:rPr>
              <w:t>5.06 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B84A81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3091C2"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1548370"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2432FDD" w14:textId="77777777" w:rsidR="00000000" w:rsidRDefault="00405D16">
            <w:pPr>
              <w:spacing w:after="100"/>
              <w:jc w:val="right"/>
              <w:rPr>
                <w:rFonts w:eastAsia="Times New Roman"/>
              </w:rPr>
            </w:pPr>
            <w:r>
              <w:rPr>
                <w:rFonts w:eastAsia="Times New Roman"/>
                <w:b/>
                <w:bCs/>
                <w:color w:val="000000"/>
                <w:sz w:val="18"/>
                <w:szCs w:val="18"/>
              </w:rPr>
              <w:t>21.44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68FF26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5306F9"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B3F6914"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AAF1050" w14:textId="77777777" w:rsidR="00000000" w:rsidRDefault="00405D16">
            <w:pPr>
              <w:spacing w:after="100"/>
              <w:jc w:val="right"/>
              <w:rPr>
                <w:rFonts w:eastAsia="Times New Roman"/>
              </w:rPr>
            </w:pPr>
            <w:r>
              <w:rPr>
                <w:rFonts w:eastAsia="Times New Roman"/>
                <w:color w:val="000000"/>
                <w:sz w:val="18"/>
                <w:szCs w:val="18"/>
              </w:rPr>
              <w:t>(0.20)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911A40F" w14:textId="77777777" w:rsidR="00000000" w:rsidRDefault="00405D16">
            <w:pPr>
              <w:spacing w:after="100"/>
              <w:jc w:val="right"/>
              <w:rPr>
                <w:rFonts w:eastAsia="Times New Roman"/>
              </w:rPr>
            </w:pPr>
          </w:p>
        </w:tc>
        <w:tc>
          <w:tcPr>
            <w:tcW w:w="0" w:type="auto"/>
            <w:vAlign w:val="center"/>
            <w:hideMark/>
          </w:tcPr>
          <w:p w14:paraId="04CF8282" w14:textId="77777777" w:rsidR="00000000" w:rsidRDefault="00405D16">
            <w:pPr>
              <w:spacing w:after="100"/>
              <w:jc w:val="right"/>
              <w:rPr>
                <w:rFonts w:eastAsia="Times New Roman"/>
                <w:sz w:val="20"/>
                <w:szCs w:val="20"/>
              </w:rPr>
            </w:pPr>
          </w:p>
        </w:tc>
        <w:tc>
          <w:tcPr>
            <w:tcW w:w="0" w:type="auto"/>
            <w:vAlign w:val="center"/>
            <w:hideMark/>
          </w:tcPr>
          <w:p w14:paraId="27CE6B67" w14:textId="77777777" w:rsidR="00000000" w:rsidRDefault="00405D16">
            <w:pPr>
              <w:spacing w:after="100"/>
              <w:rPr>
                <w:rFonts w:eastAsia="Times New Roman"/>
                <w:sz w:val="20"/>
                <w:szCs w:val="20"/>
              </w:rPr>
            </w:pPr>
          </w:p>
        </w:tc>
        <w:tc>
          <w:tcPr>
            <w:tcW w:w="0" w:type="auto"/>
            <w:vAlign w:val="center"/>
            <w:hideMark/>
          </w:tcPr>
          <w:p w14:paraId="34FB0E68" w14:textId="77777777" w:rsidR="00000000" w:rsidRDefault="00405D16">
            <w:pPr>
              <w:spacing w:after="100"/>
              <w:rPr>
                <w:rFonts w:eastAsia="Times New Roman"/>
                <w:sz w:val="20"/>
                <w:szCs w:val="20"/>
              </w:rPr>
            </w:pPr>
          </w:p>
        </w:tc>
        <w:tc>
          <w:tcPr>
            <w:tcW w:w="0" w:type="auto"/>
            <w:vAlign w:val="center"/>
            <w:hideMark/>
          </w:tcPr>
          <w:p w14:paraId="1E648A45" w14:textId="77777777" w:rsidR="00000000" w:rsidRDefault="00405D16">
            <w:pPr>
              <w:spacing w:after="100"/>
              <w:rPr>
                <w:rFonts w:eastAsia="Times New Roman"/>
                <w:sz w:val="20"/>
                <w:szCs w:val="20"/>
              </w:rPr>
            </w:pPr>
          </w:p>
        </w:tc>
      </w:tr>
    </w:tbl>
    <w:p w14:paraId="6B167EEF" w14:textId="77777777" w:rsidR="00000000" w:rsidRDefault="00405D16">
      <w:pPr>
        <w:divId w:val="1051611083"/>
        <w:rPr>
          <w:rFonts w:eastAsia="Times New Roman"/>
        </w:rPr>
      </w:pPr>
      <w:r>
        <w:rPr>
          <w:rFonts w:eastAsia="Times New Roman"/>
          <w:color w:val="000000"/>
          <w:sz w:val="20"/>
          <w:szCs w:val="20"/>
        </w:rPr>
        <w:t>__________</w:t>
      </w:r>
      <w:r>
        <w:rPr>
          <w:rFonts w:eastAsia="Times New Roman"/>
          <w:color w:val="000000"/>
          <w:sz w:val="16"/>
          <w:szCs w:val="16"/>
        </w:rPr>
        <w:t xml:space="preserve"> </w:t>
      </w:r>
    </w:p>
    <w:p w14:paraId="59107C47" w14:textId="77777777" w:rsidR="00000000" w:rsidRDefault="00405D16">
      <w:pPr>
        <w:ind w:hanging="360"/>
        <w:jc w:val="both"/>
        <w:divId w:val="99511252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shd w:val="clear" w:color="auto" w:fill="FFFFFF"/>
        </w:rPr>
        <w:t xml:space="preserve">Excluded from the computation of diluted earnings per share were </w:t>
      </w:r>
      <w:r>
        <w:rPr>
          <w:rFonts w:eastAsia="Times New Roman"/>
          <w:color w:val="000000"/>
          <w:sz w:val="16"/>
          <w:szCs w:val="16"/>
        </w:rPr>
        <w:t>awards</w:t>
      </w:r>
      <w:r>
        <w:rPr>
          <w:rFonts w:eastAsia="Times New Roman"/>
          <w:color w:val="000000"/>
          <w:sz w:val="16"/>
          <w:szCs w:val="16"/>
          <w:shd w:val="clear" w:color="auto" w:fill="FFFFFF"/>
        </w:rPr>
        <w:t xml:space="preserve"> of </w:t>
      </w:r>
      <w:r>
        <w:rPr>
          <w:rFonts w:eastAsia="Times New Roman"/>
          <w:color w:val="000000"/>
          <w:sz w:val="16"/>
          <w:szCs w:val="16"/>
        </w:rPr>
        <w:t>34 thousand</w:t>
      </w:r>
      <w:r>
        <w:rPr>
          <w:rFonts w:eastAsia="Times New Roman"/>
          <w:color w:val="000000"/>
          <w:sz w:val="16"/>
          <w:szCs w:val="16"/>
          <w:shd w:val="clear" w:color="auto" w:fill="FFFFFF"/>
        </w:rPr>
        <w:t xml:space="preserve"> shares for the nine months ended September 30, 2021, and 774 thousand shares related to options with an exercise price ranging from $70.96 to $86.34 for the three months</w:t>
      </w:r>
      <w:r>
        <w:rPr>
          <w:rFonts w:eastAsia="Times New Roman"/>
          <w:color w:val="000000"/>
          <w:sz w:val="16"/>
          <w:szCs w:val="16"/>
          <w:shd w:val="clear" w:color="auto" w:fill="FFFFFF"/>
        </w:rPr>
        <w:t xml:space="preserve"> ended September 30, 2020, respectively, because their inclusion would be anti-dilutive. In periods of net loss available to common stockholders, dilutive securities are excluded as their inclusion would have an anti-dilutive effect. Accordingly, for the n</w:t>
      </w:r>
      <w:r>
        <w:rPr>
          <w:rFonts w:eastAsia="Times New Roman"/>
          <w:color w:val="000000"/>
          <w:sz w:val="16"/>
          <w:szCs w:val="16"/>
          <w:shd w:val="clear" w:color="auto" w:fill="FFFFFF"/>
        </w:rPr>
        <w:t>ine months ended September 30, 2020, awards of 762 thousand shares and options of 2.7 million shares with an exercise price ranging from $36.55 to $86.34 were excluded from the computation of diluted earnings per share.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6E115B77" w14:textId="77777777">
        <w:trPr>
          <w:divId w:val="1815752701"/>
          <w:jc w:val="center"/>
        </w:trPr>
        <w:tc>
          <w:tcPr>
            <w:tcW w:w="50" w:type="pct"/>
            <w:vAlign w:val="center"/>
            <w:hideMark/>
          </w:tcPr>
          <w:p w14:paraId="687C8788" w14:textId="77777777" w:rsidR="00000000" w:rsidRDefault="00405D16">
            <w:pPr>
              <w:ind w:hanging="360"/>
              <w:jc w:val="both"/>
              <w:rPr>
                <w:rFonts w:eastAsia="Times New Roman"/>
              </w:rPr>
            </w:pPr>
          </w:p>
        </w:tc>
        <w:tc>
          <w:tcPr>
            <w:tcW w:w="1606" w:type="pct"/>
            <w:vAlign w:val="center"/>
            <w:hideMark/>
          </w:tcPr>
          <w:p w14:paraId="0C686126" w14:textId="77777777" w:rsidR="00000000" w:rsidRDefault="00405D16">
            <w:pPr>
              <w:spacing w:after="100"/>
              <w:rPr>
                <w:rFonts w:eastAsia="Times New Roman"/>
                <w:sz w:val="20"/>
                <w:szCs w:val="20"/>
              </w:rPr>
            </w:pPr>
          </w:p>
        </w:tc>
        <w:tc>
          <w:tcPr>
            <w:tcW w:w="5" w:type="pct"/>
            <w:vAlign w:val="center"/>
            <w:hideMark/>
          </w:tcPr>
          <w:p w14:paraId="1B63A222" w14:textId="77777777" w:rsidR="00000000" w:rsidRDefault="00405D16">
            <w:pPr>
              <w:spacing w:after="100"/>
              <w:rPr>
                <w:rFonts w:eastAsia="Times New Roman"/>
                <w:sz w:val="20"/>
                <w:szCs w:val="20"/>
              </w:rPr>
            </w:pPr>
          </w:p>
        </w:tc>
        <w:tc>
          <w:tcPr>
            <w:tcW w:w="50" w:type="pct"/>
            <w:vAlign w:val="center"/>
            <w:hideMark/>
          </w:tcPr>
          <w:p w14:paraId="584FB616" w14:textId="77777777" w:rsidR="00000000" w:rsidRDefault="00405D16">
            <w:pPr>
              <w:spacing w:after="100"/>
              <w:rPr>
                <w:rFonts w:eastAsia="Times New Roman"/>
                <w:sz w:val="20"/>
                <w:szCs w:val="20"/>
              </w:rPr>
            </w:pPr>
          </w:p>
        </w:tc>
        <w:tc>
          <w:tcPr>
            <w:tcW w:w="1614" w:type="pct"/>
            <w:vAlign w:val="center"/>
            <w:hideMark/>
          </w:tcPr>
          <w:p w14:paraId="05094BA1" w14:textId="77777777" w:rsidR="00000000" w:rsidRDefault="00405D16">
            <w:pPr>
              <w:spacing w:after="100"/>
              <w:rPr>
                <w:rFonts w:eastAsia="Times New Roman"/>
                <w:sz w:val="20"/>
                <w:szCs w:val="20"/>
              </w:rPr>
            </w:pPr>
          </w:p>
        </w:tc>
        <w:tc>
          <w:tcPr>
            <w:tcW w:w="5" w:type="pct"/>
            <w:vAlign w:val="center"/>
            <w:hideMark/>
          </w:tcPr>
          <w:p w14:paraId="50A7069A" w14:textId="77777777" w:rsidR="00000000" w:rsidRDefault="00405D16">
            <w:pPr>
              <w:spacing w:after="100"/>
              <w:rPr>
                <w:rFonts w:eastAsia="Times New Roman"/>
                <w:sz w:val="20"/>
                <w:szCs w:val="20"/>
              </w:rPr>
            </w:pPr>
          </w:p>
        </w:tc>
        <w:tc>
          <w:tcPr>
            <w:tcW w:w="50" w:type="pct"/>
            <w:vAlign w:val="center"/>
            <w:hideMark/>
          </w:tcPr>
          <w:p w14:paraId="32B514BE" w14:textId="77777777" w:rsidR="00000000" w:rsidRDefault="00405D16">
            <w:pPr>
              <w:spacing w:after="100"/>
              <w:rPr>
                <w:rFonts w:eastAsia="Times New Roman"/>
                <w:sz w:val="20"/>
                <w:szCs w:val="20"/>
              </w:rPr>
            </w:pPr>
          </w:p>
        </w:tc>
        <w:tc>
          <w:tcPr>
            <w:tcW w:w="1614" w:type="pct"/>
            <w:vAlign w:val="center"/>
            <w:hideMark/>
          </w:tcPr>
          <w:p w14:paraId="67E98BD9" w14:textId="77777777" w:rsidR="00000000" w:rsidRDefault="00405D16">
            <w:pPr>
              <w:spacing w:after="100"/>
              <w:rPr>
                <w:rFonts w:eastAsia="Times New Roman"/>
                <w:sz w:val="20"/>
                <w:szCs w:val="20"/>
              </w:rPr>
            </w:pPr>
          </w:p>
        </w:tc>
        <w:tc>
          <w:tcPr>
            <w:tcW w:w="5" w:type="pct"/>
            <w:vAlign w:val="center"/>
            <w:hideMark/>
          </w:tcPr>
          <w:p w14:paraId="05A6E0F9" w14:textId="77777777" w:rsidR="00000000" w:rsidRDefault="00405D16">
            <w:pPr>
              <w:spacing w:after="100"/>
              <w:rPr>
                <w:rFonts w:eastAsia="Times New Roman"/>
                <w:sz w:val="20"/>
                <w:szCs w:val="20"/>
              </w:rPr>
            </w:pPr>
          </w:p>
        </w:tc>
      </w:tr>
      <w:tr w:rsidR="00000000" w14:paraId="257FB8F5" w14:textId="77777777">
        <w:trPr>
          <w:divId w:val="1815752701"/>
          <w:trHeight w:val="300"/>
          <w:jc w:val="center"/>
        </w:trPr>
        <w:tc>
          <w:tcPr>
            <w:tcW w:w="0" w:type="auto"/>
            <w:gridSpan w:val="9"/>
            <w:tcMar>
              <w:top w:w="0" w:type="dxa"/>
              <w:left w:w="20" w:type="dxa"/>
              <w:bottom w:w="0" w:type="dxa"/>
              <w:right w:w="20" w:type="dxa"/>
            </w:tcMar>
            <w:vAlign w:val="center"/>
            <w:hideMark/>
          </w:tcPr>
          <w:p w14:paraId="2AEEC81D" w14:textId="77777777" w:rsidR="00000000" w:rsidRDefault="00405D16">
            <w:pPr>
              <w:spacing w:after="100"/>
              <w:rPr>
                <w:rFonts w:eastAsia="Times New Roman"/>
                <w:sz w:val="20"/>
                <w:szCs w:val="20"/>
              </w:rPr>
            </w:pPr>
          </w:p>
        </w:tc>
      </w:tr>
      <w:tr w:rsidR="00000000" w14:paraId="1E5B0081" w14:textId="77777777">
        <w:trPr>
          <w:divId w:val="1815752701"/>
          <w:jc w:val="center"/>
        </w:trPr>
        <w:tc>
          <w:tcPr>
            <w:tcW w:w="0" w:type="auto"/>
            <w:gridSpan w:val="3"/>
            <w:tcMar>
              <w:top w:w="0" w:type="dxa"/>
              <w:left w:w="20" w:type="dxa"/>
              <w:bottom w:w="0" w:type="dxa"/>
              <w:right w:w="20" w:type="dxa"/>
            </w:tcMar>
            <w:vAlign w:val="center"/>
            <w:hideMark/>
          </w:tcPr>
          <w:p w14:paraId="2FE7603A"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A636703" w14:textId="77777777" w:rsidR="00000000" w:rsidRDefault="00405D16">
            <w:pPr>
              <w:spacing w:after="100"/>
              <w:jc w:val="center"/>
              <w:rPr>
                <w:rFonts w:eastAsia="Times New Roman"/>
              </w:rPr>
            </w:pPr>
            <w:r>
              <w:rPr>
                <w:rFonts w:eastAsia="Times New Roman"/>
                <w:color w:val="000000"/>
                <w:sz w:val="16"/>
                <w:szCs w:val="16"/>
              </w:rPr>
              <w:t>116</w:t>
            </w:r>
          </w:p>
        </w:tc>
        <w:tc>
          <w:tcPr>
            <w:tcW w:w="0" w:type="auto"/>
            <w:gridSpan w:val="3"/>
            <w:tcMar>
              <w:top w:w="30" w:type="dxa"/>
              <w:left w:w="20" w:type="dxa"/>
              <w:bottom w:w="30" w:type="dxa"/>
              <w:right w:w="20" w:type="dxa"/>
            </w:tcMar>
            <w:vAlign w:val="bottom"/>
            <w:hideMark/>
          </w:tcPr>
          <w:p w14:paraId="3273C50B"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242F0F9C" w14:textId="77777777" w:rsidR="00000000" w:rsidRDefault="00405D16">
      <w:pPr>
        <w:rPr>
          <w:rFonts w:eastAsia="Times New Roman"/>
        </w:rPr>
      </w:pPr>
      <w:r>
        <w:rPr>
          <w:rFonts w:eastAsia="Times New Roman"/>
        </w:rPr>
        <w:pict w14:anchorId="490D7B76">
          <v:rect id="_x0000_i1141" style="width:0;height:1.5pt" o:hralign="center" o:hrstd="t" o:hr="t" fillcolor="#a0a0a0" stroked="f"/>
        </w:pict>
      </w:r>
    </w:p>
    <w:p w14:paraId="3C7696BC" w14:textId="77777777" w:rsidR="00000000" w:rsidRDefault="00405D16">
      <w:pPr>
        <w:jc w:val="both"/>
        <w:divId w:val="1218929367"/>
        <w:rPr>
          <w:rFonts w:eastAsia="Times New Roman"/>
        </w:rPr>
      </w:pPr>
      <w:hyperlink w:anchor="idd54a04a485440b4ab4e56094c14d612_13" w:history="1">
        <w:r>
          <w:rPr>
            <w:rStyle w:val="a3"/>
            <w:rFonts w:eastAsia="Times New Roman"/>
            <w:sz w:val="16"/>
            <w:szCs w:val="16"/>
          </w:rPr>
          <w:t>Table of Contents</w:t>
        </w:r>
      </w:hyperlink>
    </w:p>
    <w:p w14:paraId="2C817394" w14:textId="77777777" w:rsidR="00000000" w:rsidRDefault="00405D16">
      <w:pPr>
        <w:jc w:val="center"/>
        <w:divId w:val="121892936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374157CD" w14:textId="77777777">
        <w:trPr>
          <w:divId w:val="1828594848"/>
        </w:trPr>
        <w:tc>
          <w:tcPr>
            <w:tcW w:w="50" w:type="pct"/>
            <w:vAlign w:val="center"/>
            <w:hideMark/>
          </w:tcPr>
          <w:p w14:paraId="7D3BC0F7" w14:textId="77777777" w:rsidR="00000000" w:rsidRDefault="00405D16">
            <w:pPr>
              <w:jc w:val="center"/>
              <w:rPr>
                <w:rFonts w:eastAsia="Times New Roman"/>
              </w:rPr>
            </w:pPr>
          </w:p>
        </w:tc>
        <w:tc>
          <w:tcPr>
            <w:tcW w:w="4945" w:type="pct"/>
            <w:vAlign w:val="center"/>
            <w:hideMark/>
          </w:tcPr>
          <w:p w14:paraId="7866B984" w14:textId="77777777" w:rsidR="00000000" w:rsidRDefault="00405D16">
            <w:pPr>
              <w:spacing w:after="100"/>
              <w:rPr>
                <w:rFonts w:eastAsia="Times New Roman"/>
                <w:sz w:val="20"/>
                <w:szCs w:val="20"/>
              </w:rPr>
            </w:pPr>
          </w:p>
        </w:tc>
        <w:tc>
          <w:tcPr>
            <w:tcW w:w="5" w:type="pct"/>
            <w:vAlign w:val="center"/>
            <w:hideMark/>
          </w:tcPr>
          <w:p w14:paraId="17E7EB7A" w14:textId="77777777" w:rsidR="00000000" w:rsidRDefault="00405D16">
            <w:pPr>
              <w:spacing w:after="100"/>
              <w:rPr>
                <w:rFonts w:eastAsia="Times New Roman"/>
                <w:sz w:val="20"/>
                <w:szCs w:val="20"/>
              </w:rPr>
            </w:pPr>
          </w:p>
        </w:tc>
      </w:tr>
      <w:tr w:rsidR="00000000" w14:paraId="7760E76B" w14:textId="77777777">
        <w:trPr>
          <w:divId w:val="1828594848"/>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60D21AF4" w14:textId="77777777" w:rsidR="00000000" w:rsidRDefault="00405D16">
            <w:pPr>
              <w:spacing w:after="100"/>
              <w:rPr>
                <w:rFonts w:eastAsia="Times New Roman"/>
              </w:rPr>
            </w:pPr>
            <w:r>
              <w:rPr>
                <w:rFonts w:eastAsia="Times New Roman"/>
                <w:b/>
                <w:bCs/>
                <w:color w:val="000000"/>
                <w:sz w:val="20"/>
                <w:szCs w:val="20"/>
              </w:rPr>
              <w:t>NOTE 11—FAIR VALUE MEASUREMENT</w:t>
            </w:r>
          </w:p>
        </w:tc>
      </w:tr>
    </w:tbl>
    <w:p w14:paraId="5B9AD979" w14:textId="77777777" w:rsidR="00000000" w:rsidRDefault="00405D16">
      <w:pPr>
        <w:jc w:val="both"/>
        <w:divId w:val="873930636"/>
        <w:rPr>
          <w:rFonts w:eastAsia="Times New Roman"/>
        </w:rPr>
      </w:pPr>
      <w:r>
        <w:rPr>
          <w:rFonts w:eastAsia="Times New Roman"/>
          <w:color w:val="000000"/>
          <w:sz w:val="20"/>
          <w:szCs w:val="20"/>
        </w:rPr>
        <w:t>Fair value, also referred to as an exit price, is defined as the price that would be received for an asset or paid to transfer a liability in an orderly transaction between market participants on the measurement date. The fair value accounting guidance pro</w:t>
      </w:r>
      <w:r>
        <w:rPr>
          <w:rFonts w:eastAsia="Times New Roman"/>
          <w:color w:val="000000"/>
          <w:sz w:val="20"/>
          <w:szCs w:val="20"/>
        </w:rPr>
        <w:t xml:space="preserve">vides a three-level fair value hierarchy for classifying financial instruments. This hierarchy is based on the markets in which the assets or liabilities trade and whether the inputs to the valuation techniques used to measure fair value are observable or </w:t>
      </w:r>
      <w:r>
        <w:rPr>
          <w:rFonts w:eastAsia="Times New Roman"/>
          <w:color w:val="000000"/>
          <w:sz w:val="20"/>
          <w:szCs w:val="20"/>
        </w:rPr>
        <w:t>unobservable. The fair value measurement of a financial asset or liability is assigned a level based on the lowest level of any input that is significant to the fair value measurement in its entirety. The three levels of the fair value hierarchy are descri</w:t>
      </w:r>
      <w:r>
        <w:rPr>
          <w:rFonts w:eastAsia="Times New Roman"/>
          <w:color w:val="000000"/>
          <w:sz w:val="20"/>
          <w:szCs w:val="20"/>
        </w:rPr>
        <w:t>bed below:</w:t>
      </w:r>
    </w:p>
    <w:tbl>
      <w:tblPr>
        <w:tblW w:w="5000" w:type="pct"/>
        <w:tblCellMar>
          <w:top w:w="15" w:type="dxa"/>
          <w:left w:w="15" w:type="dxa"/>
          <w:bottom w:w="15" w:type="dxa"/>
          <w:right w:w="15" w:type="dxa"/>
        </w:tblCellMar>
        <w:tblLook w:val="04A0" w:firstRow="1" w:lastRow="0" w:firstColumn="1" w:lastColumn="0" w:noHBand="0" w:noVBand="1"/>
      </w:tblPr>
      <w:tblGrid>
        <w:gridCol w:w="86"/>
        <w:gridCol w:w="607"/>
        <w:gridCol w:w="36"/>
        <w:gridCol w:w="36"/>
        <w:gridCol w:w="36"/>
        <w:gridCol w:w="36"/>
        <w:gridCol w:w="38"/>
        <w:gridCol w:w="7394"/>
        <w:gridCol w:w="37"/>
      </w:tblGrid>
      <w:tr w:rsidR="00000000" w14:paraId="28F30273" w14:textId="77777777">
        <w:trPr>
          <w:divId w:val="1934389901"/>
        </w:trPr>
        <w:tc>
          <w:tcPr>
            <w:tcW w:w="50" w:type="pct"/>
            <w:vAlign w:val="center"/>
            <w:hideMark/>
          </w:tcPr>
          <w:p w14:paraId="5E95DC7C" w14:textId="77777777" w:rsidR="00000000" w:rsidRDefault="00405D16">
            <w:pPr>
              <w:jc w:val="both"/>
              <w:rPr>
                <w:rFonts w:eastAsia="Times New Roman"/>
              </w:rPr>
            </w:pPr>
          </w:p>
        </w:tc>
        <w:tc>
          <w:tcPr>
            <w:tcW w:w="354" w:type="pct"/>
            <w:vAlign w:val="center"/>
            <w:hideMark/>
          </w:tcPr>
          <w:p w14:paraId="36385F9B" w14:textId="77777777" w:rsidR="00000000" w:rsidRDefault="00405D16">
            <w:pPr>
              <w:spacing w:after="100"/>
              <w:rPr>
                <w:rFonts w:eastAsia="Times New Roman"/>
                <w:sz w:val="20"/>
                <w:szCs w:val="20"/>
              </w:rPr>
            </w:pPr>
          </w:p>
        </w:tc>
        <w:tc>
          <w:tcPr>
            <w:tcW w:w="5" w:type="pct"/>
            <w:vAlign w:val="center"/>
            <w:hideMark/>
          </w:tcPr>
          <w:p w14:paraId="2BB89FFE" w14:textId="77777777" w:rsidR="00000000" w:rsidRDefault="00405D16">
            <w:pPr>
              <w:spacing w:after="100"/>
              <w:rPr>
                <w:rFonts w:eastAsia="Times New Roman"/>
                <w:sz w:val="20"/>
                <w:szCs w:val="20"/>
              </w:rPr>
            </w:pPr>
          </w:p>
        </w:tc>
        <w:tc>
          <w:tcPr>
            <w:tcW w:w="5" w:type="pct"/>
            <w:vAlign w:val="center"/>
            <w:hideMark/>
          </w:tcPr>
          <w:p w14:paraId="64DE8F37" w14:textId="77777777" w:rsidR="00000000" w:rsidRDefault="00405D16">
            <w:pPr>
              <w:spacing w:after="100"/>
              <w:rPr>
                <w:rFonts w:eastAsia="Times New Roman"/>
                <w:sz w:val="20"/>
                <w:szCs w:val="20"/>
              </w:rPr>
            </w:pPr>
          </w:p>
        </w:tc>
        <w:tc>
          <w:tcPr>
            <w:tcW w:w="26" w:type="pct"/>
            <w:vAlign w:val="center"/>
            <w:hideMark/>
          </w:tcPr>
          <w:p w14:paraId="492916CF" w14:textId="77777777" w:rsidR="00000000" w:rsidRDefault="00405D16">
            <w:pPr>
              <w:spacing w:after="100"/>
              <w:rPr>
                <w:rFonts w:eastAsia="Times New Roman"/>
                <w:sz w:val="20"/>
                <w:szCs w:val="20"/>
              </w:rPr>
            </w:pPr>
          </w:p>
        </w:tc>
        <w:tc>
          <w:tcPr>
            <w:tcW w:w="5" w:type="pct"/>
            <w:vAlign w:val="center"/>
            <w:hideMark/>
          </w:tcPr>
          <w:p w14:paraId="485CD745" w14:textId="77777777" w:rsidR="00000000" w:rsidRDefault="00405D16">
            <w:pPr>
              <w:spacing w:after="100"/>
              <w:rPr>
                <w:rFonts w:eastAsia="Times New Roman"/>
                <w:sz w:val="20"/>
                <w:szCs w:val="20"/>
              </w:rPr>
            </w:pPr>
          </w:p>
        </w:tc>
        <w:tc>
          <w:tcPr>
            <w:tcW w:w="50" w:type="pct"/>
            <w:vAlign w:val="center"/>
            <w:hideMark/>
          </w:tcPr>
          <w:p w14:paraId="2CBB4444" w14:textId="77777777" w:rsidR="00000000" w:rsidRDefault="00405D16">
            <w:pPr>
              <w:spacing w:after="100"/>
              <w:rPr>
                <w:rFonts w:eastAsia="Times New Roman"/>
                <w:sz w:val="20"/>
                <w:szCs w:val="20"/>
              </w:rPr>
            </w:pPr>
          </w:p>
        </w:tc>
        <w:tc>
          <w:tcPr>
            <w:tcW w:w="4499" w:type="pct"/>
            <w:vAlign w:val="center"/>
            <w:hideMark/>
          </w:tcPr>
          <w:p w14:paraId="2736A225" w14:textId="77777777" w:rsidR="00000000" w:rsidRDefault="00405D16">
            <w:pPr>
              <w:spacing w:after="100"/>
              <w:rPr>
                <w:rFonts w:eastAsia="Times New Roman"/>
                <w:sz w:val="20"/>
                <w:szCs w:val="20"/>
              </w:rPr>
            </w:pPr>
          </w:p>
        </w:tc>
        <w:tc>
          <w:tcPr>
            <w:tcW w:w="5" w:type="pct"/>
            <w:vAlign w:val="center"/>
            <w:hideMark/>
          </w:tcPr>
          <w:p w14:paraId="75F73D2E" w14:textId="77777777" w:rsidR="00000000" w:rsidRDefault="00405D16">
            <w:pPr>
              <w:spacing w:after="100"/>
              <w:rPr>
                <w:rFonts w:eastAsia="Times New Roman"/>
                <w:sz w:val="20"/>
                <w:szCs w:val="20"/>
              </w:rPr>
            </w:pPr>
          </w:p>
        </w:tc>
      </w:tr>
      <w:tr w:rsidR="00000000" w14:paraId="0C13B9C4" w14:textId="77777777">
        <w:trPr>
          <w:divId w:val="1934389901"/>
        </w:trPr>
        <w:tc>
          <w:tcPr>
            <w:tcW w:w="0" w:type="auto"/>
            <w:gridSpan w:val="3"/>
            <w:tcMar>
              <w:top w:w="30" w:type="dxa"/>
              <w:left w:w="20" w:type="dxa"/>
              <w:bottom w:w="30" w:type="dxa"/>
              <w:right w:w="20" w:type="dxa"/>
            </w:tcMar>
            <w:vAlign w:val="center"/>
            <w:hideMark/>
          </w:tcPr>
          <w:p w14:paraId="0DB1CF9F" w14:textId="77777777" w:rsidR="00000000" w:rsidRDefault="00405D16">
            <w:pPr>
              <w:spacing w:after="100"/>
              <w:rPr>
                <w:rFonts w:eastAsia="Times New Roman"/>
              </w:rPr>
            </w:pPr>
            <w:r>
              <w:rPr>
                <w:rFonts w:eastAsia="Times New Roman"/>
                <w:color w:val="000000"/>
                <w:sz w:val="20"/>
                <w:szCs w:val="20"/>
              </w:rPr>
              <w:t>Level 1:</w:t>
            </w:r>
          </w:p>
        </w:tc>
        <w:tc>
          <w:tcPr>
            <w:tcW w:w="0" w:type="auto"/>
            <w:gridSpan w:val="3"/>
            <w:tcMar>
              <w:top w:w="0" w:type="dxa"/>
              <w:left w:w="20" w:type="dxa"/>
              <w:bottom w:w="0" w:type="dxa"/>
              <w:right w:w="20" w:type="dxa"/>
            </w:tcMar>
            <w:vAlign w:val="center"/>
            <w:hideMark/>
          </w:tcPr>
          <w:p w14:paraId="7976B211" w14:textId="77777777" w:rsidR="00000000" w:rsidRDefault="00405D16">
            <w:pPr>
              <w:spacing w:after="100"/>
              <w:rPr>
                <w:rFonts w:eastAsia="Times New Roman"/>
              </w:rPr>
            </w:pPr>
          </w:p>
        </w:tc>
        <w:tc>
          <w:tcPr>
            <w:tcW w:w="0" w:type="auto"/>
            <w:gridSpan w:val="3"/>
            <w:tcMar>
              <w:top w:w="30" w:type="dxa"/>
              <w:left w:w="20" w:type="dxa"/>
              <w:bottom w:w="30" w:type="dxa"/>
              <w:right w:w="20" w:type="dxa"/>
            </w:tcMar>
            <w:vAlign w:val="center"/>
            <w:hideMark/>
          </w:tcPr>
          <w:p w14:paraId="599A35ED" w14:textId="77777777" w:rsidR="00000000" w:rsidRDefault="00405D16">
            <w:pPr>
              <w:spacing w:after="100"/>
              <w:jc w:val="both"/>
              <w:rPr>
                <w:rFonts w:eastAsia="Times New Roman"/>
              </w:rPr>
            </w:pPr>
            <w:r>
              <w:rPr>
                <w:rFonts w:eastAsia="Times New Roman"/>
                <w:color w:val="000000"/>
                <w:sz w:val="20"/>
                <w:szCs w:val="20"/>
              </w:rPr>
              <w:t>Valuation is based on quoted prices (unadjusted) in active markets for identical assets or liabilities.</w:t>
            </w:r>
          </w:p>
        </w:tc>
      </w:tr>
      <w:tr w:rsidR="00000000" w14:paraId="7C3BAE9A" w14:textId="77777777">
        <w:trPr>
          <w:divId w:val="1934389901"/>
        </w:trPr>
        <w:tc>
          <w:tcPr>
            <w:tcW w:w="0" w:type="auto"/>
            <w:gridSpan w:val="3"/>
            <w:tcMar>
              <w:top w:w="30" w:type="dxa"/>
              <w:left w:w="20" w:type="dxa"/>
              <w:bottom w:w="30" w:type="dxa"/>
              <w:right w:w="20" w:type="dxa"/>
            </w:tcMar>
            <w:hideMark/>
          </w:tcPr>
          <w:p w14:paraId="6BCA408F" w14:textId="77777777" w:rsidR="00000000" w:rsidRDefault="00405D16">
            <w:pPr>
              <w:spacing w:after="100"/>
              <w:rPr>
                <w:rFonts w:eastAsia="Times New Roman"/>
              </w:rPr>
            </w:pPr>
            <w:r>
              <w:rPr>
                <w:rFonts w:eastAsia="Times New Roman"/>
                <w:color w:val="000000"/>
                <w:sz w:val="20"/>
                <w:szCs w:val="20"/>
              </w:rPr>
              <w:t>Level 2:</w:t>
            </w:r>
          </w:p>
        </w:tc>
        <w:tc>
          <w:tcPr>
            <w:tcW w:w="0" w:type="auto"/>
            <w:gridSpan w:val="3"/>
            <w:tcMar>
              <w:top w:w="0" w:type="dxa"/>
              <w:left w:w="20" w:type="dxa"/>
              <w:bottom w:w="0" w:type="dxa"/>
              <w:right w:w="20" w:type="dxa"/>
            </w:tcMar>
            <w:vAlign w:val="center"/>
            <w:hideMark/>
          </w:tcPr>
          <w:p w14:paraId="491B9C2B" w14:textId="77777777" w:rsidR="00000000" w:rsidRDefault="00405D16">
            <w:pPr>
              <w:spacing w:after="100"/>
              <w:rPr>
                <w:rFonts w:eastAsia="Times New Roman"/>
              </w:rPr>
            </w:pPr>
          </w:p>
        </w:tc>
        <w:tc>
          <w:tcPr>
            <w:tcW w:w="0" w:type="auto"/>
            <w:gridSpan w:val="3"/>
            <w:tcMar>
              <w:top w:w="30" w:type="dxa"/>
              <w:left w:w="20" w:type="dxa"/>
              <w:bottom w:w="30" w:type="dxa"/>
              <w:right w:w="20" w:type="dxa"/>
            </w:tcMar>
            <w:vAlign w:val="center"/>
            <w:hideMark/>
          </w:tcPr>
          <w:p w14:paraId="4342FEF4" w14:textId="77777777" w:rsidR="00000000" w:rsidRDefault="00405D16">
            <w:pPr>
              <w:spacing w:after="100"/>
              <w:jc w:val="both"/>
              <w:rPr>
                <w:rFonts w:eastAsia="Times New Roman"/>
              </w:rPr>
            </w:pPr>
            <w:r>
              <w:rPr>
                <w:rFonts w:eastAsia="Times New Roman"/>
                <w:color w:val="000000"/>
                <w:sz w:val="20"/>
                <w:szCs w:val="20"/>
              </w:rPr>
              <w:t xml:space="preserve">Valuation is based on observable market-based inputs other than Level 1 prices, such as quoted prices for similar assets or liabilities, quoted prices in markets that are not active, or other inputs that are observable or can be corroborated by observable </w:t>
            </w:r>
            <w:r>
              <w:rPr>
                <w:rFonts w:eastAsia="Times New Roman"/>
                <w:color w:val="000000"/>
                <w:sz w:val="20"/>
                <w:szCs w:val="20"/>
              </w:rPr>
              <w:t>market data for substantially the full term of the assets or liabilities.</w:t>
            </w:r>
          </w:p>
        </w:tc>
      </w:tr>
      <w:tr w:rsidR="00000000" w14:paraId="2E8241C8" w14:textId="77777777">
        <w:trPr>
          <w:divId w:val="1934389901"/>
        </w:trPr>
        <w:tc>
          <w:tcPr>
            <w:tcW w:w="0" w:type="auto"/>
            <w:gridSpan w:val="3"/>
            <w:tcMar>
              <w:top w:w="30" w:type="dxa"/>
              <w:left w:w="20" w:type="dxa"/>
              <w:bottom w:w="30" w:type="dxa"/>
              <w:right w:w="20" w:type="dxa"/>
            </w:tcMar>
            <w:hideMark/>
          </w:tcPr>
          <w:p w14:paraId="18A65397" w14:textId="77777777" w:rsidR="00000000" w:rsidRDefault="00405D16">
            <w:pPr>
              <w:spacing w:after="100"/>
              <w:rPr>
                <w:rFonts w:eastAsia="Times New Roman"/>
              </w:rPr>
            </w:pPr>
            <w:r>
              <w:rPr>
                <w:rFonts w:eastAsia="Times New Roman"/>
                <w:color w:val="000000"/>
                <w:sz w:val="20"/>
                <w:szCs w:val="20"/>
              </w:rPr>
              <w:t>Level 3:</w:t>
            </w:r>
          </w:p>
        </w:tc>
        <w:tc>
          <w:tcPr>
            <w:tcW w:w="0" w:type="auto"/>
            <w:gridSpan w:val="3"/>
            <w:tcMar>
              <w:top w:w="0" w:type="dxa"/>
              <w:left w:w="20" w:type="dxa"/>
              <w:bottom w:w="0" w:type="dxa"/>
              <w:right w:w="20" w:type="dxa"/>
            </w:tcMar>
            <w:vAlign w:val="center"/>
            <w:hideMark/>
          </w:tcPr>
          <w:p w14:paraId="3FE19542" w14:textId="77777777" w:rsidR="00000000" w:rsidRDefault="00405D16">
            <w:pPr>
              <w:spacing w:after="100"/>
              <w:rPr>
                <w:rFonts w:eastAsia="Times New Roman"/>
              </w:rPr>
            </w:pPr>
          </w:p>
        </w:tc>
        <w:tc>
          <w:tcPr>
            <w:tcW w:w="0" w:type="auto"/>
            <w:gridSpan w:val="3"/>
            <w:tcMar>
              <w:top w:w="30" w:type="dxa"/>
              <w:left w:w="20" w:type="dxa"/>
              <w:bottom w:w="30" w:type="dxa"/>
              <w:right w:w="20" w:type="dxa"/>
            </w:tcMar>
            <w:vAlign w:val="center"/>
            <w:hideMark/>
          </w:tcPr>
          <w:p w14:paraId="4C27D0CE" w14:textId="77777777" w:rsidR="00000000" w:rsidRDefault="00405D16">
            <w:pPr>
              <w:spacing w:after="100"/>
              <w:jc w:val="both"/>
              <w:rPr>
                <w:rFonts w:eastAsia="Times New Roman"/>
              </w:rPr>
            </w:pPr>
            <w:r>
              <w:rPr>
                <w:rFonts w:eastAsia="Times New Roman"/>
                <w:color w:val="000000"/>
                <w:sz w:val="20"/>
                <w:szCs w:val="20"/>
              </w:rPr>
              <w:t>Valuation is generated from techniques that use significant assumptions not observable in the market. Valuation techniques include pricing models, discounted cash flow methodologies or similar techniques.</w:t>
            </w:r>
          </w:p>
        </w:tc>
      </w:tr>
    </w:tbl>
    <w:p w14:paraId="5622726B" w14:textId="77777777" w:rsidR="00000000" w:rsidRDefault="00405D16">
      <w:pPr>
        <w:jc w:val="both"/>
        <w:divId w:val="1934389901"/>
        <w:rPr>
          <w:rFonts w:eastAsia="Times New Roman"/>
        </w:rPr>
      </w:pPr>
      <w:r>
        <w:rPr>
          <w:rFonts w:eastAsia="Times New Roman"/>
          <w:color w:val="000000"/>
          <w:sz w:val="20"/>
          <w:szCs w:val="20"/>
        </w:rPr>
        <w:t>The accounting guidance for fair value measurements requires that we maximize the use of observable inputs and minimize the use of unobservable inputs in determining fair value. The accounting guidance provides for the irrevocable option to elect, on a con</w:t>
      </w:r>
      <w:r>
        <w:rPr>
          <w:rFonts w:eastAsia="Times New Roman"/>
          <w:color w:val="000000"/>
          <w:sz w:val="20"/>
          <w:szCs w:val="20"/>
        </w:rPr>
        <w:t>tract-by-contract basis, to measure certain financial assets and liabilities at fair value at inception of the contract and record any subsequent changes in fair value in earnings.</w:t>
      </w:r>
    </w:p>
    <w:p w14:paraId="028C47C5" w14:textId="77777777" w:rsidR="00000000" w:rsidRDefault="00405D16">
      <w:pPr>
        <w:jc w:val="both"/>
        <w:divId w:val="872574119"/>
        <w:rPr>
          <w:rFonts w:eastAsia="Times New Roman"/>
        </w:rPr>
      </w:pPr>
      <w:r>
        <w:rPr>
          <w:rFonts w:eastAsia="Times New Roman"/>
          <w:color w:val="000000"/>
          <w:sz w:val="20"/>
          <w:szCs w:val="20"/>
        </w:rPr>
        <w:t>The determination and classification of financial instruments in the fair v</w:t>
      </w:r>
      <w:r>
        <w:rPr>
          <w:rFonts w:eastAsia="Times New Roman"/>
          <w:color w:val="000000"/>
          <w:sz w:val="20"/>
          <w:szCs w:val="20"/>
        </w:rPr>
        <w:t>alue hierarchy is performed at the end of each reporting period. We consider all available information, including observable market data, indications of market liquidity and orderliness, and our understanding of the valuation techniques and significant inp</w:t>
      </w:r>
      <w:r>
        <w:rPr>
          <w:rFonts w:eastAsia="Times New Roman"/>
          <w:color w:val="000000"/>
          <w:sz w:val="20"/>
          <w:szCs w:val="20"/>
        </w:rPr>
        <w:t>uts. For additional information on the valuation techniques used in estimating the fair value of our financial assets and liabilities on a recurring basis, see “Note 16—Fair Value Measurement” in our 2020 Form 10-K.</w:t>
      </w:r>
    </w:p>
    <w:p w14:paraId="5AA9FC53" w14:textId="77777777" w:rsidR="00000000" w:rsidRDefault="00405D16">
      <w:pPr>
        <w:divId w:val="1594513963"/>
        <w:rPr>
          <w:rFonts w:eastAsia="Times New Roman"/>
        </w:rPr>
      </w:pPr>
      <w:r>
        <w:rPr>
          <w:rFonts w:eastAsia="Times New Roman"/>
          <w:b/>
          <w:bCs/>
          <w:color w:val="000000"/>
          <w:sz w:val="20"/>
          <w:szCs w:val="20"/>
        </w:rPr>
        <w:t xml:space="preserve">Assets and Liabilities Measured at Fair </w:t>
      </w:r>
      <w:r>
        <w:rPr>
          <w:rFonts w:eastAsia="Times New Roman"/>
          <w:b/>
          <w:bCs/>
          <w:color w:val="000000"/>
          <w:sz w:val="20"/>
          <w:szCs w:val="20"/>
        </w:rPr>
        <w:t>Value on a Recurring Basis</w:t>
      </w:r>
    </w:p>
    <w:p w14:paraId="4641D8FE" w14:textId="77777777" w:rsidR="00000000" w:rsidRDefault="00405D16">
      <w:pPr>
        <w:jc w:val="both"/>
        <w:divId w:val="1135634450"/>
        <w:rPr>
          <w:rFonts w:eastAsia="Times New Roman"/>
        </w:rPr>
      </w:pPr>
      <w:r>
        <w:rPr>
          <w:rFonts w:eastAsia="Times New Roman"/>
          <w:color w:val="000000"/>
          <w:sz w:val="20"/>
          <w:szCs w:val="20"/>
        </w:rPr>
        <w:t>The following table displays our assets and liabilities measured on our consolidated balance sheets at fair value on a recurring basis as of September 30, 2021 and December 31, 2020.</w:t>
      </w:r>
    </w:p>
    <w:p w14:paraId="672E54C6" w14:textId="77777777" w:rsidR="00000000" w:rsidRDefault="00405D16">
      <w:pPr>
        <w:divId w:val="726685467"/>
        <w:rPr>
          <w:rFonts w:eastAsia="Times New Roman"/>
        </w:rPr>
      </w:pPr>
      <w:r>
        <w:rPr>
          <w:rFonts w:eastAsia="Times New Roman"/>
          <w:b/>
          <w:bCs/>
          <w:color w:val="000000"/>
          <w:sz w:val="18"/>
          <w:szCs w:val="18"/>
        </w:rPr>
        <w:t>Table 11.1: Assets and Liabilities Measured at</w:t>
      </w:r>
      <w:r>
        <w:rPr>
          <w:rFonts w:eastAsia="Times New Roman"/>
          <w:b/>
          <w:bCs/>
          <w:color w:val="000000"/>
          <w:sz w:val="18"/>
          <w:szCs w:val="18"/>
        </w:rPr>
        <w:t xml:space="preserve"> Fair Value on a Recurring Basis</w:t>
      </w:r>
    </w:p>
    <w:tbl>
      <w:tblPr>
        <w:tblW w:w="5000" w:type="pct"/>
        <w:tblCellMar>
          <w:top w:w="15" w:type="dxa"/>
          <w:left w:w="15" w:type="dxa"/>
          <w:bottom w:w="15" w:type="dxa"/>
          <w:right w:w="15" w:type="dxa"/>
        </w:tblCellMar>
        <w:tblLook w:val="04A0" w:firstRow="1" w:lastRow="0" w:firstColumn="1" w:lastColumn="0" w:noHBand="0" w:noVBand="1"/>
      </w:tblPr>
      <w:tblGrid>
        <w:gridCol w:w="39"/>
        <w:gridCol w:w="3537"/>
        <w:gridCol w:w="38"/>
        <w:gridCol w:w="36"/>
        <w:gridCol w:w="36"/>
        <w:gridCol w:w="36"/>
        <w:gridCol w:w="111"/>
        <w:gridCol w:w="611"/>
        <w:gridCol w:w="37"/>
        <w:gridCol w:w="37"/>
        <w:gridCol w:w="46"/>
        <w:gridCol w:w="37"/>
        <w:gridCol w:w="111"/>
        <w:gridCol w:w="611"/>
        <w:gridCol w:w="37"/>
        <w:gridCol w:w="37"/>
        <w:gridCol w:w="46"/>
        <w:gridCol w:w="37"/>
        <w:gridCol w:w="110"/>
        <w:gridCol w:w="610"/>
        <w:gridCol w:w="36"/>
        <w:gridCol w:w="36"/>
        <w:gridCol w:w="36"/>
        <w:gridCol w:w="36"/>
        <w:gridCol w:w="111"/>
        <w:gridCol w:w="931"/>
        <w:gridCol w:w="36"/>
        <w:gridCol w:w="36"/>
        <w:gridCol w:w="36"/>
        <w:gridCol w:w="36"/>
        <w:gridCol w:w="110"/>
        <w:gridCol w:w="630"/>
        <w:gridCol w:w="36"/>
      </w:tblGrid>
      <w:tr w:rsidR="00000000" w14:paraId="0EF4A425" w14:textId="77777777">
        <w:trPr>
          <w:divId w:val="1750229406"/>
        </w:trPr>
        <w:tc>
          <w:tcPr>
            <w:tcW w:w="50" w:type="pct"/>
            <w:vAlign w:val="center"/>
            <w:hideMark/>
          </w:tcPr>
          <w:p w14:paraId="77771B39" w14:textId="77777777" w:rsidR="00000000" w:rsidRDefault="00405D16">
            <w:pPr>
              <w:rPr>
                <w:rFonts w:eastAsia="Times New Roman"/>
              </w:rPr>
            </w:pPr>
          </w:p>
        </w:tc>
        <w:tc>
          <w:tcPr>
            <w:tcW w:w="2569" w:type="pct"/>
            <w:vAlign w:val="center"/>
            <w:hideMark/>
          </w:tcPr>
          <w:p w14:paraId="2F5C5E1B" w14:textId="77777777" w:rsidR="00000000" w:rsidRDefault="00405D16">
            <w:pPr>
              <w:spacing w:after="100"/>
              <w:rPr>
                <w:rFonts w:eastAsia="Times New Roman"/>
                <w:sz w:val="20"/>
                <w:szCs w:val="20"/>
              </w:rPr>
            </w:pPr>
          </w:p>
        </w:tc>
        <w:tc>
          <w:tcPr>
            <w:tcW w:w="5" w:type="pct"/>
            <w:vAlign w:val="center"/>
            <w:hideMark/>
          </w:tcPr>
          <w:p w14:paraId="05930A27" w14:textId="77777777" w:rsidR="00000000" w:rsidRDefault="00405D16">
            <w:pPr>
              <w:spacing w:after="100"/>
              <w:rPr>
                <w:rFonts w:eastAsia="Times New Roman"/>
                <w:sz w:val="20"/>
                <w:szCs w:val="20"/>
              </w:rPr>
            </w:pPr>
          </w:p>
        </w:tc>
        <w:tc>
          <w:tcPr>
            <w:tcW w:w="5" w:type="pct"/>
            <w:vAlign w:val="center"/>
            <w:hideMark/>
          </w:tcPr>
          <w:p w14:paraId="74F9338F" w14:textId="77777777" w:rsidR="00000000" w:rsidRDefault="00405D16">
            <w:pPr>
              <w:spacing w:after="100"/>
              <w:rPr>
                <w:rFonts w:eastAsia="Times New Roman"/>
                <w:sz w:val="20"/>
                <w:szCs w:val="20"/>
              </w:rPr>
            </w:pPr>
          </w:p>
        </w:tc>
        <w:tc>
          <w:tcPr>
            <w:tcW w:w="26" w:type="pct"/>
            <w:vAlign w:val="center"/>
            <w:hideMark/>
          </w:tcPr>
          <w:p w14:paraId="173BFA66" w14:textId="77777777" w:rsidR="00000000" w:rsidRDefault="00405D16">
            <w:pPr>
              <w:spacing w:after="100"/>
              <w:rPr>
                <w:rFonts w:eastAsia="Times New Roman"/>
                <w:sz w:val="20"/>
                <w:szCs w:val="20"/>
              </w:rPr>
            </w:pPr>
          </w:p>
        </w:tc>
        <w:tc>
          <w:tcPr>
            <w:tcW w:w="5" w:type="pct"/>
            <w:vAlign w:val="center"/>
            <w:hideMark/>
          </w:tcPr>
          <w:p w14:paraId="7301E1DC" w14:textId="77777777" w:rsidR="00000000" w:rsidRDefault="00405D16">
            <w:pPr>
              <w:spacing w:after="100"/>
              <w:rPr>
                <w:rFonts w:eastAsia="Times New Roman"/>
                <w:sz w:val="20"/>
                <w:szCs w:val="20"/>
              </w:rPr>
            </w:pPr>
          </w:p>
        </w:tc>
        <w:tc>
          <w:tcPr>
            <w:tcW w:w="50" w:type="pct"/>
            <w:vAlign w:val="center"/>
            <w:hideMark/>
          </w:tcPr>
          <w:p w14:paraId="2A42A7B7" w14:textId="77777777" w:rsidR="00000000" w:rsidRDefault="00405D16">
            <w:pPr>
              <w:spacing w:after="100"/>
              <w:rPr>
                <w:rFonts w:eastAsia="Times New Roman"/>
                <w:sz w:val="20"/>
                <w:szCs w:val="20"/>
              </w:rPr>
            </w:pPr>
          </w:p>
        </w:tc>
        <w:tc>
          <w:tcPr>
            <w:tcW w:w="347" w:type="pct"/>
            <w:vAlign w:val="center"/>
            <w:hideMark/>
          </w:tcPr>
          <w:p w14:paraId="5A28D572" w14:textId="77777777" w:rsidR="00000000" w:rsidRDefault="00405D16">
            <w:pPr>
              <w:spacing w:after="100"/>
              <w:rPr>
                <w:rFonts w:eastAsia="Times New Roman"/>
                <w:sz w:val="20"/>
                <w:szCs w:val="20"/>
              </w:rPr>
            </w:pPr>
          </w:p>
        </w:tc>
        <w:tc>
          <w:tcPr>
            <w:tcW w:w="5" w:type="pct"/>
            <w:vAlign w:val="center"/>
            <w:hideMark/>
          </w:tcPr>
          <w:p w14:paraId="6B915891" w14:textId="77777777" w:rsidR="00000000" w:rsidRDefault="00405D16">
            <w:pPr>
              <w:spacing w:after="100"/>
              <w:rPr>
                <w:rFonts w:eastAsia="Times New Roman"/>
                <w:sz w:val="20"/>
                <w:szCs w:val="20"/>
              </w:rPr>
            </w:pPr>
          </w:p>
        </w:tc>
        <w:tc>
          <w:tcPr>
            <w:tcW w:w="5" w:type="pct"/>
            <w:vAlign w:val="center"/>
            <w:hideMark/>
          </w:tcPr>
          <w:p w14:paraId="41FFB0EE" w14:textId="77777777" w:rsidR="00000000" w:rsidRDefault="00405D16">
            <w:pPr>
              <w:spacing w:after="100"/>
              <w:rPr>
                <w:rFonts w:eastAsia="Times New Roman"/>
                <w:sz w:val="20"/>
                <w:szCs w:val="20"/>
              </w:rPr>
            </w:pPr>
          </w:p>
        </w:tc>
        <w:tc>
          <w:tcPr>
            <w:tcW w:w="26" w:type="pct"/>
            <w:vAlign w:val="center"/>
            <w:hideMark/>
          </w:tcPr>
          <w:p w14:paraId="093376DA" w14:textId="77777777" w:rsidR="00000000" w:rsidRDefault="00405D16">
            <w:pPr>
              <w:spacing w:after="100"/>
              <w:rPr>
                <w:rFonts w:eastAsia="Times New Roman"/>
                <w:sz w:val="20"/>
                <w:szCs w:val="20"/>
              </w:rPr>
            </w:pPr>
          </w:p>
        </w:tc>
        <w:tc>
          <w:tcPr>
            <w:tcW w:w="5" w:type="pct"/>
            <w:vAlign w:val="center"/>
            <w:hideMark/>
          </w:tcPr>
          <w:p w14:paraId="16633B40" w14:textId="77777777" w:rsidR="00000000" w:rsidRDefault="00405D16">
            <w:pPr>
              <w:spacing w:after="100"/>
              <w:rPr>
                <w:rFonts w:eastAsia="Times New Roman"/>
                <w:sz w:val="20"/>
                <w:szCs w:val="20"/>
              </w:rPr>
            </w:pPr>
          </w:p>
        </w:tc>
        <w:tc>
          <w:tcPr>
            <w:tcW w:w="50" w:type="pct"/>
            <w:vAlign w:val="center"/>
            <w:hideMark/>
          </w:tcPr>
          <w:p w14:paraId="77E4C69C" w14:textId="77777777" w:rsidR="00000000" w:rsidRDefault="00405D16">
            <w:pPr>
              <w:spacing w:after="100"/>
              <w:rPr>
                <w:rFonts w:eastAsia="Times New Roman"/>
                <w:sz w:val="20"/>
                <w:szCs w:val="20"/>
              </w:rPr>
            </w:pPr>
          </w:p>
        </w:tc>
        <w:tc>
          <w:tcPr>
            <w:tcW w:w="347" w:type="pct"/>
            <w:vAlign w:val="center"/>
            <w:hideMark/>
          </w:tcPr>
          <w:p w14:paraId="1EA45000" w14:textId="77777777" w:rsidR="00000000" w:rsidRDefault="00405D16">
            <w:pPr>
              <w:spacing w:after="100"/>
              <w:rPr>
                <w:rFonts w:eastAsia="Times New Roman"/>
                <w:sz w:val="20"/>
                <w:szCs w:val="20"/>
              </w:rPr>
            </w:pPr>
          </w:p>
        </w:tc>
        <w:tc>
          <w:tcPr>
            <w:tcW w:w="5" w:type="pct"/>
            <w:vAlign w:val="center"/>
            <w:hideMark/>
          </w:tcPr>
          <w:p w14:paraId="209DD742" w14:textId="77777777" w:rsidR="00000000" w:rsidRDefault="00405D16">
            <w:pPr>
              <w:spacing w:after="100"/>
              <w:rPr>
                <w:rFonts w:eastAsia="Times New Roman"/>
                <w:sz w:val="20"/>
                <w:szCs w:val="20"/>
              </w:rPr>
            </w:pPr>
          </w:p>
        </w:tc>
        <w:tc>
          <w:tcPr>
            <w:tcW w:w="5" w:type="pct"/>
            <w:vAlign w:val="center"/>
            <w:hideMark/>
          </w:tcPr>
          <w:p w14:paraId="6257CED9" w14:textId="77777777" w:rsidR="00000000" w:rsidRDefault="00405D16">
            <w:pPr>
              <w:spacing w:after="100"/>
              <w:rPr>
                <w:rFonts w:eastAsia="Times New Roman"/>
                <w:sz w:val="20"/>
                <w:szCs w:val="20"/>
              </w:rPr>
            </w:pPr>
          </w:p>
        </w:tc>
        <w:tc>
          <w:tcPr>
            <w:tcW w:w="26" w:type="pct"/>
            <w:vAlign w:val="center"/>
            <w:hideMark/>
          </w:tcPr>
          <w:p w14:paraId="5DA74CCC" w14:textId="77777777" w:rsidR="00000000" w:rsidRDefault="00405D16">
            <w:pPr>
              <w:spacing w:after="100"/>
              <w:rPr>
                <w:rFonts w:eastAsia="Times New Roman"/>
                <w:sz w:val="20"/>
                <w:szCs w:val="20"/>
              </w:rPr>
            </w:pPr>
          </w:p>
        </w:tc>
        <w:tc>
          <w:tcPr>
            <w:tcW w:w="5" w:type="pct"/>
            <w:vAlign w:val="center"/>
            <w:hideMark/>
          </w:tcPr>
          <w:p w14:paraId="763A1283" w14:textId="77777777" w:rsidR="00000000" w:rsidRDefault="00405D16">
            <w:pPr>
              <w:spacing w:after="100"/>
              <w:rPr>
                <w:rFonts w:eastAsia="Times New Roman"/>
                <w:sz w:val="20"/>
                <w:szCs w:val="20"/>
              </w:rPr>
            </w:pPr>
          </w:p>
        </w:tc>
        <w:tc>
          <w:tcPr>
            <w:tcW w:w="50" w:type="pct"/>
            <w:vAlign w:val="center"/>
            <w:hideMark/>
          </w:tcPr>
          <w:p w14:paraId="2CE514B7" w14:textId="77777777" w:rsidR="00000000" w:rsidRDefault="00405D16">
            <w:pPr>
              <w:spacing w:after="100"/>
              <w:rPr>
                <w:rFonts w:eastAsia="Times New Roman"/>
                <w:sz w:val="20"/>
                <w:szCs w:val="20"/>
              </w:rPr>
            </w:pPr>
          </w:p>
        </w:tc>
        <w:tc>
          <w:tcPr>
            <w:tcW w:w="347" w:type="pct"/>
            <w:vAlign w:val="center"/>
            <w:hideMark/>
          </w:tcPr>
          <w:p w14:paraId="6B588453" w14:textId="77777777" w:rsidR="00000000" w:rsidRDefault="00405D16">
            <w:pPr>
              <w:spacing w:after="100"/>
              <w:rPr>
                <w:rFonts w:eastAsia="Times New Roman"/>
                <w:sz w:val="20"/>
                <w:szCs w:val="20"/>
              </w:rPr>
            </w:pPr>
          </w:p>
        </w:tc>
        <w:tc>
          <w:tcPr>
            <w:tcW w:w="5" w:type="pct"/>
            <w:vAlign w:val="center"/>
            <w:hideMark/>
          </w:tcPr>
          <w:p w14:paraId="3DD947CF" w14:textId="77777777" w:rsidR="00000000" w:rsidRDefault="00405D16">
            <w:pPr>
              <w:spacing w:after="100"/>
              <w:rPr>
                <w:rFonts w:eastAsia="Times New Roman"/>
                <w:sz w:val="20"/>
                <w:szCs w:val="20"/>
              </w:rPr>
            </w:pPr>
          </w:p>
        </w:tc>
        <w:tc>
          <w:tcPr>
            <w:tcW w:w="5" w:type="pct"/>
            <w:vAlign w:val="center"/>
            <w:hideMark/>
          </w:tcPr>
          <w:p w14:paraId="53A49A27" w14:textId="77777777" w:rsidR="00000000" w:rsidRDefault="00405D16">
            <w:pPr>
              <w:spacing w:after="100"/>
              <w:rPr>
                <w:rFonts w:eastAsia="Times New Roman"/>
                <w:sz w:val="20"/>
                <w:szCs w:val="20"/>
              </w:rPr>
            </w:pPr>
          </w:p>
        </w:tc>
        <w:tc>
          <w:tcPr>
            <w:tcW w:w="26" w:type="pct"/>
            <w:vAlign w:val="center"/>
            <w:hideMark/>
          </w:tcPr>
          <w:p w14:paraId="6CBAAEB8" w14:textId="77777777" w:rsidR="00000000" w:rsidRDefault="00405D16">
            <w:pPr>
              <w:spacing w:after="100"/>
              <w:rPr>
                <w:rFonts w:eastAsia="Times New Roman"/>
                <w:sz w:val="20"/>
                <w:szCs w:val="20"/>
              </w:rPr>
            </w:pPr>
          </w:p>
        </w:tc>
        <w:tc>
          <w:tcPr>
            <w:tcW w:w="5" w:type="pct"/>
            <w:vAlign w:val="center"/>
            <w:hideMark/>
          </w:tcPr>
          <w:p w14:paraId="50CDBFE7" w14:textId="77777777" w:rsidR="00000000" w:rsidRDefault="00405D16">
            <w:pPr>
              <w:spacing w:after="100"/>
              <w:rPr>
                <w:rFonts w:eastAsia="Times New Roman"/>
                <w:sz w:val="20"/>
                <w:szCs w:val="20"/>
              </w:rPr>
            </w:pPr>
          </w:p>
        </w:tc>
        <w:tc>
          <w:tcPr>
            <w:tcW w:w="50" w:type="pct"/>
            <w:vAlign w:val="center"/>
            <w:hideMark/>
          </w:tcPr>
          <w:p w14:paraId="0047F2E3" w14:textId="77777777" w:rsidR="00000000" w:rsidRDefault="00405D16">
            <w:pPr>
              <w:spacing w:after="100"/>
              <w:rPr>
                <w:rFonts w:eastAsia="Times New Roman"/>
                <w:sz w:val="20"/>
                <w:szCs w:val="20"/>
              </w:rPr>
            </w:pPr>
          </w:p>
        </w:tc>
        <w:tc>
          <w:tcPr>
            <w:tcW w:w="529" w:type="pct"/>
            <w:vAlign w:val="center"/>
            <w:hideMark/>
          </w:tcPr>
          <w:p w14:paraId="633DAC81" w14:textId="77777777" w:rsidR="00000000" w:rsidRDefault="00405D16">
            <w:pPr>
              <w:spacing w:after="100"/>
              <w:rPr>
                <w:rFonts w:eastAsia="Times New Roman"/>
                <w:sz w:val="20"/>
                <w:szCs w:val="20"/>
              </w:rPr>
            </w:pPr>
          </w:p>
        </w:tc>
        <w:tc>
          <w:tcPr>
            <w:tcW w:w="5" w:type="pct"/>
            <w:vAlign w:val="center"/>
            <w:hideMark/>
          </w:tcPr>
          <w:p w14:paraId="500FB9FD" w14:textId="77777777" w:rsidR="00000000" w:rsidRDefault="00405D16">
            <w:pPr>
              <w:spacing w:after="100"/>
              <w:rPr>
                <w:rFonts w:eastAsia="Times New Roman"/>
                <w:sz w:val="20"/>
                <w:szCs w:val="20"/>
              </w:rPr>
            </w:pPr>
          </w:p>
        </w:tc>
        <w:tc>
          <w:tcPr>
            <w:tcW w:w="5" w:type="pct"/>
            <w:vAlign w:val="center"/>
            <w:hideMark/>
          </w:tcPr>
          <w:p w14:paraId="065F0112" w14:textId="77777777" w:rsidR="00000000" w:rsidRDefault="00405D16">
            <w:pPr>
              <w:spacing w:after="100"/>
              <w:rPr>
                <w:rFonts w:eastAsia="Times New Roman"/>
                <w:sz w:val="20"/>
                <w:szCs w:val="20"/>
              </w:rPr>
            </w:pPr>
          </w:p>
        </w:tc>
        <w:tc>
          <w:tcPr>
            <w:tcW w:w="26" w:type="pct"/>
            <w:vAlign w:val="center"/>
            <w:hideMark/>
          </w:tcPr>
          <w:p w14:paraId="05B8C112" w14:textId="77777777" w:rsidR="00000000" w:rsidRDefault="00405D16">
            <w:pPr>
              <w:spacing w:after="100"/>
              <w:rPr>
                <w:rFonts w:eastAsia="Times New Roman"/>
                <w:sz w:val="20"/>
                <w:szCs w:val="20"/>
              </w:rPr>
            </w:pPr>
          </w:p>
        </w:tc>
        <w:tc>
          <w:tcPr>
            <w:tcW w:w="5" w:type="pct"/>
            <w:vAlign w:val="center"/>
            <w:hideMark/>
          </w:tcPr>
          <w:p w14:paraId="1BD3857D" w14:textId="77777777" w:rsidR="00000000" w:rsidRDefault="00405D16">
            <w:pPr>
              <w:spacing w:after="100"/>
              <w:rPr>
                <w:rFonts w:eastAsia="Times New Roman"/>
                <w:sz w:val="20"/>
                <w:szCs w:val="20"/>
              </w:rPr>
            </w:pPr>
          </w:p>
        </w:tc>
        <w:tc>
          <w:tcPr>
            <w:tcW w:w="50" w:type="pct"/>
            <w:vAlign w:val="center"/>
            <w:hideMark/>
          </w:tcPr>
          <w:p w14:paraId="1CB4DDDC" w14:textId="77777777" w:rsidR="00000000" w:rsidRDefault="00405D16">
            <w:pPr>
              <w:spacing w:after="100"/>
              <w:rPr>
                <w:rFonts w:eastAsia="Times New Roman"/>
                <w:sz w:val="20"/>
                <w:szCs w:val="20"/>
              </w:rPr>
            </w:pPr>
          </w:p>
        </w:tc>
        <w:tc>
          <w:tcPr>
            <w:tcW w:w="347" w:type="pct"/>
            <w:vAlign w:val="center"/>
            <w:hideMark/>
          </w:tcPr>
          <w:p w14:paraId="61B00568" w14:textId="77777777" w:rsidR="00000000" w:rsidRDefault="00405D16">
            <w:pPr>
              <w:spacing w:after="100"/>
              <w:rPr>
                <w:rFonts w:eastAsia="Times New Roman"/>
                <w:sz w:val="20"/>
                <w:szCs w:val="20"/>
              </w:rPr>
            </w:pPr>
          </w:p>
        </w:tc>
        <w:tc>
          <w:tcPr>
            <w:tcW w:w="5" w:type="pct"/>
            <w:vAlign w:val="center"/>
            <w:hideMark/>
          </w:tcPr>
          <w:p w14:paraId="38CC415F" w14:textId="77777777" w:rsidR="00000000" w:rsidRDefault="00405D16">
            <w:pPr>
              <w:spacing w:after="100"/>
              <w:rPr>
                <w:rFonts w:eastAsia="Times New Roman"/>
                <w:sz w:val="20"/>
                <w:szCs w:val="20"/>
              </w:rPr>
            </w:pPr>
          </w:p>
        </w:tc>
      </w:tr>
      <w:tr w:rsidR="00000000" w14:paraId="10F92945" w14:textId="77777777">
        <w:trPr>
          <w:divId w:val="1750229406"/>
        </w:trPr>
        <w:tc>
          <w:tcPr>
            <w:tcW w:w="0" w:type="auto"/>
            <w:gridSpan w:val="3"/>
            <w:tcMar>
              <w:top w:w="0" w:type="dxa"/>
              <w:left w:w="20" w:type="dxa"/>
              <w:bottom w:w="0" w:type="dxa"/>
              <w:right w:w="20" w:type="dxa"/>
            </w:tcMar>
            <w:vAlign w:val="center"/>
            <w:hideMark/>
          </w:tcPr>
          <w:p w14:paraId="5A49CF9E"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CAED8BB" w14:textId="77777777" w:rsidR="00000000" w:rsidRDefault="00405D16">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3ABD7332" w14:textId="77777777" w:rsidR="00000000" w:rsidRDefault="00405D16">
            <w:pPr>
              <w:spacing w:after="100"/>
              <w:jc w:val="center"/>
              <w:rPr>
                <w:rFonts w:eastAsia="Times New Roman"/>
              </w:rPr>
            </w:pPr>
            <w:r>
              <w:rPr>
                <w:rFonts w:eastAsia="Times New Roman"/>
                <w:b/>
                <w:bCs/>
                <w:color w:val="000000"/>
                <w:sz w:val="16"/>
                <w:szCs w:val="16"/>
              </w:rPr>
              <w:t>September 30, 2021</w:t>
            </w:r>
          </w:p>
        </w:tc>
      </w:tr>
      <w:tr w:rsidR="00000000" w14:paraId="3CF0165C" w14:textId="77777777">
        <w:trPr>
          <w:divId w:val="1750229406"/>
          <w:trHeight w:val="240"/>
        </w:trPr>
        <w:tc>
          <w:tcPr>
            <w:tcW w:w="0" w:type="auto"/>
            <w:gridSpan w:val="3"/>
            <w:tcMar>
              <w:top w:w="0" w:type="dxa"/>
              <w:left w:w="20" w:type="dxa"/>
              <w:bottom w:w="0" w:type="dxa"/>
              <w:right w:w="20" w:type="dxa"/>
            </w:tcMar>
            <w:vAlign w:val="center"/>
            <w:hideMark/>
          </w:tcPr>
          <w:p w14:paraId="41B10951" w14:textId="77777777" w:rsidR="00000000" w:rsidRDefault="00405D1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FBF4CAE" w14:textId="77777777" w:rsidR="00000000" w:rsidRDefault="00405D16">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14:paraId="28ED8A67" w14:textId="77777777" w:rsidR="00000000" w:rsidRDefault="00405D16">
            <w:pPr>
              <w:spacing w:after="100"/>
              <w:jc w:val="center"/>
              <w:rPr>
                <w:rFonts w:eastAsia="Times New Roman"/>
              </w:rPr>
            </w:pPr>
            <w:r>
              <w:rPr>
                <w:rFonts w:eastAsia="Times New Roman"/>
                <w:b/>
                <w:bCs/>
                <w:color w:val="000000"/>
                <w:sz w:val="16"/>
                <w:szCs w:val="16"/>
              </w:rPr>
              <w:t>Fair Value Measurements Using</w:t>
            </w:r>
          </w:p>
        </w:tc>
        <w:tc>
          <w:tcPr>
            <w:tcW w:w="0" w:type="auto"/>
            <w:gridSpan w:val="3"/>
            <w:tcBorders>
              <w:top w:val="single" w:sz="8" w:space="0" w:color="000000"/>
            </w:tcBorders>
            <w:tcMar>
              <w:top w:w="0" w:type="dxa"/>
              <w:left w:w="20" w:type="dxa"/>
              <w:bottom w:w="0" w:type="dxa"/>
              <w:right w:w="20" w:type="dxa"/>
            </w:tcMar>
            <w:vAlign w:val="center"/>
            <w:hideMark/>
          </w:tcPr>
          <w:p w14:paraId="3BE34711" w14:textId="77777777" w:rsidR="00000000" w:rsidRDefault="00405D16">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192A331E" w14:textId="77777777" w:rsidR="00000000" w:rsidRDefault="00405D16">
            <w:pPr>
              <w:spacing w:after="100"/>
              <w:jc w:val="center"/>
              <w:rPr>
                <w:rFonts w:eastAsia="Times New Roman"/>
              </w:rPr>
            </w:pPr>
            <w:r>
              <w:rPr>
                <w:rFonts w:eastAsia="Times New Roman"/>
                <w:b/>
                <w:bCs/>
                <w:color w:val="000000"/>
                <w:sz w:val="16"/>
                <w:szCs w:val="16"/>
              </w:rPr>
              <w:t>Netting Adjustment</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02F7B482" w14:textId="77777777" w:rsidR="00000000" w:rsidRDefault="00405D16">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73D491F3" w14:textId="77777777" w:rsidR="00000000" w:rsidRDefault="00405D16">
            <w:pPr>
              <w:spacing w:after="100"/>
              <w:rPr>
                <w:rFonts w:eastAsia="Times New Roman"/>
                <w:sz w:val="20"/>
                <w:szCs w:val="20"/>
              </w:rPr>
            </w:pPr>
          </w:p>
        </w:tc>
      </w:tr>
      <w:tr w:rsidR="00000000" w14:paraId="4BDC488A" w14:textId="77777777">
        <w:trPr>
          <w:divId w:val="1750229406"/>
          <w:trHeight w:val="240"/>
        </w:trPr>
        <w:tc>
          <w:tcPr>
            <w:tcW w:w="0" w:type="auto"/>
            <w:gridSpan w:val="3"/>
            <w:tcMar>
              <w:top w:w="30" w:type="dxa"/>
              <w:left w:w="20" w:type="dxa"/>
              <w:bottom w:w="30" w:type="dxa"/>
              <w:right w:w="20" w:type="dxa"/>
            </w:tcMar>
            <w:vAlign w:val="bottom"/>
            <w:hideMark/>
          </w:tcPr>
          <w:p w14:paraId="6196945F"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68C6EF41"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2D57C49" w14:textId="77777777" w:rsidR="00000000" w:rsidRDefault="00405D16">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14:paraId="430DD708"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4FF37EF" w14:textId="77777777" w:rsidR="00000000" w:rsidRDefault="00405D16">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14:paraId="4E118020"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06D1D3A" w14:textId="77777777" w:rsidR="00000000" w:rsidRDefault="00405D16">
            <w:pPr>
              <w:spacing w:after="100"/>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14:paraId="4506E621" w14:textId="77777777" w:rsidR="00000000" w:rsidRDefault="00405D16">
            <w:pPr>
              <w:spacing w:after="100"/>
              <w:jc w:val="center"/>
              <w:rPr>
                <w:rFonts w:eastAsia="Times New Roman"/>
              </w:rPr>
            </w:pPr>
          </w:p>
        </w:tc>
        <w:tc>
          <w:tcPr>
            <w:tcW w:w="0" w:type="auto"/>
            <w:gridSpan w:val="3"/>
            <w:vMerge/>
            <w:tcBorders>
              <w:top w:val="single" w:sz="8" w:space="0" w:color="000000"/>
            </w:tcBorders>
            <w:vAlign w:val="center"/>
            <w:hideMark/>
          </w:tcPr>
          <w:p w14:paraId="34B75256" w14:textId="77777777" w:rsidR="00000000" w:rsidRDefault="00405D16">
            <w:pPr>
              <w:spacing w:after="100"/>
              <w:rPr>
                <w:rFonts w:eastAsia="Times New Roman"/>
              </w:rPr>
            </w:pPr>
          </w:p>
        </w:tc>
        <w:tc>
          <w:tcPr>
            <w:tcW w:w="0" w:type="auto"/>
            <w:gridSpan w:val="3"/>
            <w:tcMar>
              <w:top w:w="0" w:type="dxa"/>
              <w:left w:w="20" w:type="dxa"/>
              <w:bottom w:w="0" w:type="dxa"/>
              <w:right w:w="20" w:type="dxa"/>
            </w:tcMar>
            <w:vAlign w:val="center"/>
            <w:hideMark/>
          </w:tcPr>
          <w:p w14:paraId="77DE789E"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CC63B43" w14:textId="77777777" w:rsidR="00000000" w:rsidRDefault="00405D16">
            <w:pPr>
              <w:spacing w:after="100"/>
              <w:jc w:val="center"/>
              <w:rPr>
                <w:rFonts w:eastAsia="Times New Roman"/>
              </w:rPr>
            </w:pPr>
            <w:r>
              <w:rPr>
                <w:rFonts w:eastAsia="Times New Roman"/>
                <w:b/>
                <w:bCs/>
                <w:color w:val="000000"/>
                <w:sz w:val="16"/>
                <w:szCs w:val="16"/>
              </w:rPr>
              <w:t>Total</w:t>
            </w:r>
          </w:p>
        </w:tc>
      </w:tr>
      <w:tr w:rsidR="00000000" w14:paraId="38193497" w14:textId="77777777">
        <w:trPr>
          <w:divId w:val="175022940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5CD7AFBF" w14:textId="77777777" w:rsidR="00000000" w:rsidRDefault="00405D16">
            <w:pPr>
              <w:spacing w:after="100"/>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14:paraId="597E1584"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50C4EB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3442DB"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3F5A1E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4FF1CE"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2FC472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434CF0"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7EB408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17040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902B652" w14:textId="77777777" w:rsidR="00000000" w:rsidRDefault="00405D16">
            <w:pPr>
              <w:spacing w:after="100"/>
              <w:rPr>
                <w:rFonts w:eastAsia="Times New Roman"/>
                <w:sz w:val="20"/>
                <w:szCs w:val="20"/>
              </w:rPr>
            </w:pPr>
          </w:p>
        </w:tc>
      </w:tr>
      <w:tr w:rsidR="00000000" w14:paraId="6C556395" w14:textId="77777777">
        <w:trPr>
          <w:divId w:val="1750229406"/>
        </w:trPr>
        <w:tc>
          <w:tcPr>
            <w:tcW w:w="0" w:type="auto"/>
            <w:gridSpan w:val="3"/>
            <w:shd w:val="clear" w:color="auto" w:fill="FFFFFF"/>
            <w:tcMar>
              <w:top w:w="30" w:type="dxa"/>
              <w:left w:w="20" w:type="dxa"/>
              <w:bottom w:w="30" w:type="dxa"/>
              <w:right w:w="20" w:type="dxa"/>
            </w:tcMar>
            <w:vAlign w:val="center"/>
            <w:hideMark/>
          </w:tcPr>
          <w:p w14:paraId="3A0365AA" w14:textId="77777777" w:rsidR="00000000" w:rsidRDefault="00405D16">
            <w:pPr>
              <w:spacing w:after="100"/>
              <w:rPr>
                <w:rFonts w:eastAsia="Times New Roman"/>
              </w:rPr>
            </w:pPr>
            <w:r>
              <w:rPr>
                <w:rFonts w:eastAsia="Times New Roman"/>
                <w:color w:val="000000"/>
                <w:sz w:val="18"/>
                <w:szCs w:val="18"/>
              </w:rPr>
              <w:t>Securities available for sale:</w:t>
            </w:r>
          </w:p>
        </w:tc>
        <w:tc>
          <w:tcPr>
            <w:tcW w:w="0" w:type="auto"/>
            <w:gridSpan w:val="3"/>
            <w:shd w:val="clear" w:color="auto" w:fill="FFFFFF"/>
            <w:tcMar>
              <w:top w:w="0" w:type="dxa"/>
              <w:left w:w="20" w:type="dxa"/>
              <w:bottom w:w="0" w:type="dxa"/>
              <w:right w:w="20" w:type="dxa"/>
            </w:tcMar>
            <w:vAlign w:val="center"/>
            <w:hideMark/>
          </w:tcPr>
          <w:p w14:paraId="2F5FF84F"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C5C87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A847E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DC795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27A61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1BB5F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21B1D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B0FD9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FC89C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3F6D6B" w14:textId="77777777" w:rsidR="00000000" w:rsidRDefault="00405D16">
            <w:pPr>
              <w:spacing w:after="100"/>
              <w:rPr>
                <w:rFonts w:eastAsia="Times New Roman"/>
                <w:sz w:val="20"/>
                <w:szCs w:val="20"/>
              </w:rPr>
            </w:pPr>
          </w:p>
        </w:tc>
      </w:tr>
      <w:tr w:rsidR="00000000" w14:paraId="16F1D10A" w14:textId="77777777">
        <w:trPr>
          <w:divId w:val="1750229406"/>
        </w:trPr>
        <w:tc>
          <w:tcPr>
            <w:tcW w:w="0" w:type="auto"/>
            <w:gridSpan w:val="3"/>
            <w:shd w:val="clear" w:color="auto" w:fill="CCEEFF"/>
            <w:tcMar>
              <w:top w:w="30" w:type="dxa"/>
              <w:left w:w="245" w:type="dxa"/>
              <w:bottom w:w="30" w:type="dxa"/>
              <w:right w:w="20" w:type="dxa"/>
            </w:tcMar>
            <w:vAlign w:val="center"/>
            <w:hideMark/>
          </w:tcPr>
          <w:p w14:paraId="22DA306F" w14:textId="77777777" w:rsidR="00000000" w:rsidRDefault="00405D16">
            <w:pPr>
              <w:spacing w:after="100"/>
              <w:rPr>
                <w:rFonts w:eastAsia="Times New Roman"/>
              </w:rPr>
            </w:pPr>
            <w:r>
              <w:rPr>
                <w:rFonts w:eastAsia="Times New Roman"/>
                <w:color w:val="000000"/>
                <w:sz w:val="18"/>
                <w:szCs w:val="18"/>
              </w:rPr>
              <w:t>U.S. Treasury securities</w:t>
            </w:r>
          </w:p>
        </w:tc>
        <w:tc>
          <w:tcPr>
            <w:tcW w:w="0" w:type="auto"/>
            <w:gridSpan w:val="3"/>
            <w:shd w:val="clear" w:color="auto" w:fill="CCEEFF"/>
            <w:tcMar>
              <w:top w:w="0" w:type="dxa"/>
              <w:left w:w="20" w:type="dxa"/>
              <w:bottom w:w="0" w:type="dxa"/>
              <w:right w:w="20" w:type="dxa"/>
            </w:tcMar>
            <w:vAlign w:val="center"/>
            <w:hideMark/>
          </w:tcPr>
          <w:p w14:paraId="2780DBFB" w14:textId="77777777" w:rsidR="00000000" w:rsidRDefault="00405D16">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1583F4DE"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0255A379" w14:textId="77777777" w:rsidR="00000000" w:rsidRDefault="00405D16">
            <w:pPr>
              <w:spacing w:after="100"/>
              <w:jc w:val="right"/>
              <w:rPr>
                <w:rFonts w:eastAsia="Times New Roman"/>
              </w:rPr>
            </w:pPr>
            <w:r>
              <w:rPr>
                <w:rFonts w:eastAsia="Times New Roman"/>
                <w:b/>
                <w:bCs/>
                <w:color w:val="000000"/>
                <w:sz w:val="18"/>
                <w:szCs w:val="18"/>
              </w:rPr>
              <w:t>9,109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A6CFCA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244B4A"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3569131A"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1B0E8F49"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89B97E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1F04C2"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550654C7"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6EEF2903"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805464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67260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92AD8DF" w14:textId="77777777" w:rsidR="00000000" w:rsidRDefault="00405D16">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BCEC64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99F893"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4BE1E443"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33FEB568" w14:textId="77777777" w:rsidR="00000000" w:rsidRDefault="00405D16">
            <w:pPr>
              <w:spacing w:after="100"/>
              <w:jc w:val="right"/>
              <w:rPr>
                <w:rFonts w:eastAsia="Times New Roman"/>
              </w:rPr>
            </w:pPr>
            <w:r>
              <w:rPr>
                <w:rFonts w:eastAsia="Times New Roman"/>
                <w:b/>
                <w:bCs/>
                <w:color w:val="000000"/>
                <w:sz w:val="18"/>
                <w:szCs w:val="18"/>
              </w:rPr>
              <w:t>9,109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D82332B" w14:textId="77777777" w:rsidR="00000000" w:rsidRDefault="00405D16">
            <w:pPr>
              <w:spacing w:after="100"/>
              <w:jc w:val="right"/>
              <w:rPr>
                <w:rFonts w:eastAsia="Times New Roman"/>
              </w:rPr>
            </w:pPr>
          </w:p>
        </w:tc>
      </w:tr>
      <w:tr w:rsidR="00000000" w14:paraId="6784ACF1" w14:textId="77777777">
        <w:trPr>
          <w:divId w:val="1750229406"/>
        </w:trPr>
        <w:tc>
          <w:tcPr>
            <w:tcW w:w="0" w:type="auto"/>
            <w:gridSpan w:val="3"/>
            <w:shd w:val="clear" w:color="auto" w:fill="FFFFFF"/>
            <w:tcMar>
              <w:top w:w="30" w:type="dxa"/>
              <w:left w:w="245" w:type="dxa"/>
              <w:bottom w:w="30" w:type="dxa"/>
              <w:right w:w="20" w:type="dxa"/>
            </w:tcMar>
            <w:vAlign w:val="center"/>
            <w:hideMark/>
          </w:tcPr>
          <w:p w14:paraId="55ED2CFF" w14:textId="77777777" w:rsidR="00000000" w:rsidRDefault="00405D16">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14:paraId="06E40D9A"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5EA940D"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33E9F0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677D0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13432D6" w14:textId="77777777" w:rsidR="00000000" w:rsidRDefault="00405D16">
            <w:pPr>
              <w:spacing w:after="100"/>
              <w:jc w:val="right"/>
              <w:rPr>
                <w:rFonts w:eastAsia="Times New Roman"/>
              </w:rPr>
            </w:pPr>
            <w:r>
              <w:rPr>
                <w:rFonts w:eastAsia="Times New Roman"/>
                <w:b/>
                <w:bCs/>
                <w:color w:val="000000"/>
                <w:sz w:val="18"/>
                <w:szCs w:val="18"/>
              </w:rPr>
              <w:t>75,428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A8F058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D4A27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769FB42" w14:textId="77777777" w:rsidR="00000000" w:rsidRDefault="00405D16">
            <w:pPr>
              <w:spacing w:after="100"/>
              <w:jc w:val="right"/>
              <w:rPr>
                <w:rFonts w:eastAsia="Times New Roman"/>
              </w:rPr>
            </w:pPr>
            <w:r>
              <w:rPr>
                <w:rFonts w:eastAsia="Times New Roman"/>
                <w:b/>
                <w:bCs/>
                <w:color w:val="000000"/>
                <w:sz w:val="18"/>
                <w:szCs w:val="18"/>
              </w:rPr>
              <w:t>253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7D9041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7FD78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27C2DB6" w14:textId="77777777" w:rsidR="00000000" w:rsidRDefault="00405D16">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0F2668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54007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7A3A522" w14:textId="77777777" w:rsidR="00000000" w:rsidRDefault="00405D16">
            <w:pPr>
              <w:spacing w:after="100"/>
              <w:jc w:val="right"/>
              <w:rPr>
                <w:rFonts w:eastAsia="Times New Roman"/>
              </w:rPr>
            </w:pPr>
            <w:r>
              <w:rPr>
                <w:rFonts w:eastAsia="Times New Roman"/>
                <w:b/>
                <w:bCs/>
                <w:color w:val="000000"/>
                <w:sz w:val="18"/>
                <w:szCs w:val="18"/>
              </w:rPr>
              <w:t>75,681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C02EE82" w14:textId="77777777" w:rsidR="00000000" w:rsidRDefault="00405D16">
            <w:pPr>
              <w:spacing w:after="100"/>
              <w:jc w:val="right"/>
              <w:rPr>
                <w:rFonts w:eastAsia="Times New Roman"/>
              </w:rPr>
            </w:pPr>
          </w:p>
        </w:tc>
      </w:tr>
      <w:tr w:rsidR="00000000" w14:paraId="4D100821" w14:textId="77777777">
        <w:trPr>
          <w:divId w:val="1750229406"/>
        </w:trPr>
        <w:tc>
          <w:tcPr>
            <w:tcW w:w="0" w:type="auto"/>
            <w:gridSpan w:val="3"/>
            <w:shd w:val="clear" w:color="auto" w:fill="CCEEFF"/>
            <w:tcMar>
              <w:top w:w="30" w:type="dxa"/>
              <w:left w:w="245" w:type="dxa"/>
              <w:bottom w:w="30" w:type="dxa"/>
              <w:right w:w="20" w:type="dxa"/>
            </w:tcMar>
            <w:vAlign w:val="center"/>
            <w:hideMark/>
          </w:tcPr>
          <w:p w14:paraId="67EB90D6" w14:textId="77777777" w:rsidR="00000000" w:rsidRDefault="00405D16">
            <w:pPr>
              <w:spacing w:after="100"/>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14:paraId="5320422D"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797896C"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B7FBC3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655F5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207EED0" w14:textId="77777777" w:rsidR="00000000" w:rsidRDefault="00405D16">
            <w:pPr>
              <w:spacing w:after="100"/>
              <w:jc w:val="right"/>
              <w:rPr>
                <w:rFonts w:eastAsia="Times New Roman"/>
              </w:rPr>
            </w:pPr>
            <w:r>
              <w:rPr>
                <w:rFonts w:eastAsia="Times New Roman"/>
                <w:b/>
                <w:bCs/>
                <w:color w:val="000000"/>
                <w:sz w:val="18"/>
                <w:szCs w:val="18"/>
              </w:rPr>
              <w:t>10,188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56189B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ECF78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2E13C9B" w14:textId="77777777" w:rsidR="00000000" w:rsidRDefault="00405D16">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5DEC74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8F8E6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4574502" w14:textId="77777777" w:rsidR="00000000" w:rsidRDefault="00405D16">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2FF490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A1493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4829B3E" w14:textId="77777777" w:rsidR="00000000" w:rsidRDefault="00405D16">
            <w:pPr>
              <w:spacing w:after="100"/>
              <w:jc w:val="right"/>
              <w:rPr>
                <w:rFonts w:eastAsia="Times New Roman"/>
              </w:rPr>
            </w:pPr>
            <w:r>
              <w:rPr>
                <w:rFonts w:eastAsia="Times New Roman"/>
                <w:b/>
                <w:bCs/>
                <w:color w:val="000000"/>
                <w:sz w:val="18"/>
                <w:szCs w:val="18"/>
              </w:rPr>
              <w:t>10,197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18A98AD" w14:textId="77777777" w:rsidR="00000000" w:rsidRDefault="00405D16">
            <w:pPr>
              <w:spacing w:after="100"/>
              <w:jc w:val="right"/>
              <w:rPr>
                <w:rFonts w:eastAsia="Times New Roman"/>
              </w:rPr>
            </w:pPr>
          </w:p>
        </w:tc>
      </w:tr>
      <w:tr w:rsidR="00000000" w14:paraId="449E299A" w14:textId="77777777">
        <w:trPr>
          <w:divId w:val="1750229406"/>
        </w:trPr>
        <w:tc>
          <w:tcPr>
            <w:tcW w:w="0" w:type="auto"/>
            <w:gridSpan w:val="3"/>
            <w:shd w:val="clear" w:color="auto" w:fill="FFFFFF"/>
            <w:tcMar>
              <w:top w:w="30" w:type="dxa"/>
              <w:left w:w="245" w:type="dxa"/>
              <w:bottom w:w="30" w:type="dxa"/>
              <w:right w:w="20" w:type="dxa"/>
            </w:tcMar>
            <w:vAlign w:val="center"/>
            <w:hideMark/>
          </w:tcPr>
          <w:p w14:paraId="7B14A750" w14:textId="77777777" w:rsidR="00000000" w:rsidRDefault="00405D16">
            <w:pPr>
              <w:spacing w:after="100"/>
              <w:rPr>
                <w:rFonts w:eastAsia="Times New Roman"/>
              </w:rPr>
            </w:pPr>
            <w:r>
              <w:rPr>
                <w:rFonts w:eastAsia="Times New Roman"/>
                <w:color w:val="000000"/>
                <w:sz w:val="18"/>
                <w:szCs w:val="18"/>
              </w:rPr>
              <w:t>Other securities</w:t>
            </w:r>
          </w:p>
        </w:tc>
        <w:tc>
          <w:tcPr>
            <w:tcW w:w="0" w:type="auto"/>
            <w:gridSpan w:val="3"/>
            <w:shd w:val="clear" w:color="auto" w:fill="FFFFFF"/>
            <w:tcMar>
              <w:top w:w="0" w:type="dxa"/>
              <w:left w:w="20" w:type="dxa"/>
              <w:bottom w:w="0" w:type="dxa"/>
              <w:right w:w="20" w:type="dxa"/>
            </w:tcMar>
            <w:vAlign w:val="center"/>
            <w:hideMark/>
          </w:tcPr>
          <w:p w14:paraId="62639348"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1162EAA" w14:textId="77777777" w:rsidR="00000000" w:rsidRDefault="00405D16">
            <w:pPr>
              <w:spacing w:after="100"/>
              <w:jc w:val="right"/>
              <w:rPr>
                <w:rFonts w:eastAsia="Times New Roman"/>
              </w:rPr>
            </w:pPr>
            <w:r>
              <w:rPr>
                <w:rFonts w:eastAsia="Times New Roman"/>
                <w:b/>
                <w:bCs/>
                <w:color w:val="000000"/>
                <w:sz w:val="18"/>
                <w:szCs w:val="18"/>
              </w:rPr>
              <w:t>152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B08ECB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6F560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A44CB2C" w14:textId="77777777" w:rsidR="00000000" w:rsidRDefault="00405D16">
            <w:pPr>
              <w:spacing w:after="100"/>
              <w:jc w:val="right"/>
              <w:rPr>
                <w:rFonts w:eastAsia="Times New Roman"/>
              </w:rPr>
            </w:pPr>
            <w:r>
              <w:rPr>
                <w:rFonts w:eastAsia="Times New Roman"/>
                <w:b/>
                <w:bCs/>
                <w:color w:val="000000"/>
                <w:sz w:val="18"/>
                <w:szCs w:val="18"/>
              </w:rPr>
              <w:t>3,010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C33356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94386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845E4E0"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C6A243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FD213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FEFE16B" w14:textId="77777777" w:rsidR="00000000" w:rsidRDefault="00405D16">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0A7A6A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B22EC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0B8C89B" w14:textId="77777777" w:rsidR="00000000" w:rsidRDefault="00405D16">
            <w:pPr>
              <w:spacing w:after="100"/>
              <w:jc w:val="right"/>
              <w:rPr>
                <w:rFonts w:eastAsia="Times New Roman"/>
              </w:rPr>
            </w:pPr>
            <w:r>
              <w:rPr>
                <w:rFonts w:eastAsia="Times New Roman"/>
                <w:b/>
                <w:bCs/>
                <w:color w:val="000000"/>
                <w:sz w:val="18"/>
                <w:szCs w:val="18"/>
              </w:rPr>
              <w:t>3,162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BF4AD04" w14:textId="77777777" w:rsidR="00000000" w:rsidRDefault="00405D16">
            <w:pPr>
              <w:spacing w:after="100"/>
              <w:jc w:val="right"/>
              <w:rPr>
                <w:rFonts w:eastAsia="Times New Roman"/>
              </w:rPr>
            </w:pPr>
          </w:p>
        </w:tc>
      </w:tr>
      <w:tr w:rsidR="00000000" w14:paraId="5940F00A" w14:textId="77777777">
        <w:trPr>
          <w:divId w:val="1750229406"/>
        </w:trPr>
        <w:tc>
          <w:tcPr>
            <w:tcW w:w="0" w:type="auto"/>
            <w:gridSpan w:val="3"/>
            <w:shd w:val="clear" w:color="auto" w:fill="CCEEFF"/>
            <w:tcMar>
              <w:top w:w="30" w:type="dxa"/>
              <w:left w:w="20" w:type="dxa"/>
              <w:bottom w:w="30" w:type="dxa"/>
              <w:right w:w="20" w:type="dxa"/>
            </w:tcMar>
            <w:vAlign w:val="center"/>
            <w:hideMark/>
          </w:tcPr>
          <w:p w14:paraId="02AEC6CD" w14:textId="77777777" w:rsidR="00000000" w:rsidRDefault="00405D16">
            <w:pPr>
              <w:spacing w:after="100"/>
              <w:rPr>
                <w:rFonts w:eastAsia="Times New Roman"/>
              </w:rPr>
            </w:pPr>
            <w:r>
              <w:rPr>
                <w:rFonts w:eastAsia="Times New Roman"/>
                <w:color w:val="000000"/>
                <w:sz w:val="18"/>
                <w:szCs w:val="18"/>
              </w:rPr>
              <w:t>Total securities available for sale</w:t>
            </w:r>
          </w:p>
        </w:tc>
        <w:tc>
          <w:tcPr>
            <w:tcW w:w="0" w:type="auto"/>
            <w:gridSpan w:val="3"/>
            <w:shd w:val="clear" w:color="auto" w:fill="CCEEFF"/>
            <w:tcMar>
              <w:top w:w="0" w:type="dxa"/>
              <w:left w:w="20" w:type="dxa"/>
              <w:bottom w:w="0" w:type="dxa"/>
              <w:right w:w="20" w:type="dxa"/>
            </w:tcMar>
            <w:vAlign w:val="center"/>
            <w:hideMark/>
          </w:tcPr>
          <w:p w14:paraId="060D4F63"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7AB4330" w14:textId="77777777" w:rsidR="00000000" w:rsidRDefault="00405D16">
            <w:pPr>
              <w:spacing w:after="100"/>
              <w:jc w:val="right"/>
              <w:rPr>
                <w:rFonts w:eastAsia="Times New Roman"/>
              </w:rPr>
            </w:pPr>
            <w:r>
              <w:rPr>
                <w:rFonts w:eastAsia="Times New Roman"/>
                <w:b/>
                <w:bCs/>
                <w:color w:val="000000"/>
                <w:sz w:val="18"/>
                <w:szCs w:val="18"/>
              </w:rPr>
              <w:t>9,261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03D581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68C50B"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A5BFF4C" w14:textId="77777777" w:rsidR="00000000" w:rsidRDefault="00405D16">
            <w:pPr>
              <w:spacing w:after="100"/>
              <w:jc w:val="right"/>
              <w:rPr>
                <w:rFonts w:eastAsia="Times New Roman"/>
              </w:rPr>
            </w:pPr>
            <w:r>
              <w:rPr>
                <w:rFonts w:eastAsia="Times New Roman"/>
                <w:b/>
                <w:bCs/>
                <w:color w:val="000000"/>
                <w:sz w:val="18"/>
                <w:szCs w:val="18"/>
              </w:rPr>
              <w:t>88,626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65E11A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D8F87B"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BC17056" w14:textId="77777777" w:rsidR="00000000" w:rsidRDefault="00405D16">
            <w:pPr>
              <w:spacing w:after="100"/>
              <w:jc w:val="right"/>
              <w:rPr>
                <w:rFonts w:eastAsia="Times New Roman"/>
              </w:rPr>
            </w:pPr>
            <w:r>
              <w:rPr>
                <w:rFonts w:eastAsia="Times New Roman"/>
                <w:b/>
                <w:bCs/>
                <w:color w:val="000000"/>
                <w:sz w:val="18"/>
                <w:szCs w:val="18"/>
              </w:rPr>
              <w:t>262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6FF4B1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EF8B0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2B4E901" w14:textId="77777777" w:rsidR="00000000" w:rsidRDefault="00405D16">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15B88F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A1DE5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FDAB5EC" w14:textId="77777777" w:rsidR="00000000" w:rsidRDefault="00405D16">
            <w:pPr>
              <w:spacing w:after="100"/>
              <w:jc w:val="right"/>
              <w:rPr>
                <w:rFonts w:eastAsia="Times New Roman"/>
              </w:rPr>
            </w:pPr>
            <w:r>
              <w:rPr>
                <w:rFonts w:eastAsia="Times New Roman"/>
                <w:b/>
                <w:bCs/>
                <w:color w:val="000000"/>
                <w:sz w:val="18"/>
                <w:szCs w:val="18"/>
              </w:rPr>
              <w:t>98,149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481F92D" w14:textId="77777777" w:rsidR="00000000" w:rsidRDefault="00405D16">
            <w:pPr>
              <w:spacing w:after="100"/>
              <w:jc w:val="right"/>
              <w:rPr>
                <w:rFonts w:eastAsia="Times New Roman"/>
              </w:rPr>
            </w:pPr>
          </w:p>
        </w:tc>
      </w:tr>
      <w:tr w:rsidR="00000000" w14:paraId="4F5A7810" w14:textId="77777777">
        <w:trPr>
          <w:divId w:val="1750229406"/>
        </w:trPr>
        <w:tc>
          <w:tcPr>
            <w:tcW w:w="0" w:type="auto"/>
            <w:gridSpan w:val="3"/>
            <w:shd w:val="clear" w:color="auto" w:fill="FFFFFF"/>
            <w:tcMar>
              <w:top w:w="30" w:type="dxa"/>
              <w:left w:w="20" w:type="dxa"/>
              <w:bottom w:w="30" w:type="dxa"/>
              <w:right w:w="20" w:type="dxa"/>
            </w:tcMar>
            <w:vAlign w:val="center"/>
            <w:hideMark/>
          </w:tcPr>
          <w:p w14:paraId="2B458E6B" w14:textId="77777777" w:rsidR="00000000" w:rsidRDefault="00405D16">
            <w:pPr>
              <w:spacing w:after="100"/>
              <w:rPr>
                <w:rFonts w:eastAsia="Times New Roman"/>
              </w:rPr>
            </w:pPr>
            <w:r>
              <w:rPr>
                <w:rFonts w:eastAsia="Times New Roman"/>
                <w:color w:val="000000"/>
                <w:sz w:val="18"/>
                <w:szCs w:val="18"/>
              </w:rPr>
              <w:t>Loans held for sale</w:t>
            </w:r>
          </w:p>
        </w:tc>
        <w:tc>
          <w:tcPr>
            <w:tcW w:w="0" w:type="auto"/>
            <w:gridSpan w:val="3"/>
            <w:shd w:val="clear" w:color="auto" w:fill="FFFFFF"/>
            <w:tcMar>
              <w:top w:w="0" w:type="dxa"/>
              <w:left w:w="20" w:type="dxa"/>
              <w:bottom w:w="0" w:type="dxa"/>
              <w:right w:w="20" w:type="dxa"/>
            </w:tcMar>
            <w:vAlign w:val="center"/>
            <w:hideMark/>
          </w:tcPr>
          <w:p w14:paraId="26757018"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25A1EAA"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657205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80BFD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14C6CDA" w14:textId="77777777" w:rsidR="00000000" w:rsidRDefault="00405D16">
            <w:pPr>
              <w:spacing w:after="100"/>
              <w:jc w:val="right"/>
              <w:rPr>
                <w:rFonts w:eastAsia="Times New Roman"/>
              </w:rPr>
            </w:pPr>
            <w:r>
              <w:rPr>
                <w:rFonts w:eastAsia="Times New Roman"/>
                <w:b/>
                <w:bCs/>
                <w:color w:val="000000"/>
                <w:sz w:val="18"/>
                <w:szCs w:val="18"/>
              </w:rPr>
              <w:t>1,707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BF8C78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0C5CB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F4CBE80"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E352A4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A4210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B945366" w14:textId="77777777" w:rsidR="00000000" w:rsidRDefault="00405D16">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45056E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23D17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E267B85" w14:textId="77777777" w:rsidR="00000000" w:rsidRDefault="00405D16">
            <w:pPr>
              <w:spacing w:after="100"/>
              <w:jc w:val="right"/>
              <w:rPr>
                <w:rFonts w:eastAsia="Times New Roman"/>
              </w:rPr>
            </w:pPr>
            <w:r>
              <w:rPr>
                <w:rFonts w:eastAsia="Times New Roman"/>
                <w:b/>
                <w:bCs/>
                <w:color w:val="000000"/>
                <w:sz w:val="18"/>
                <w:szCs w:val="18"/>
              </w:rPr>
              <w:t>1,707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55D823E" w14:textId="77777777" w:rsidR="00000000" w:rsidRDefault="00405D16">
            <w:pPr>
              <w:spacing w:after="100"/>
              <w:jc w:val="right"/>
              <w:rPr>
                <w:rFonts w:eastAsia="Times New Roman"/>
              </w:rPr>
            </w:pPr>
          </w:p>
        </w:tc>
      </w:tr>
      <w:tr w:rsidR="00000000" w14:paraId="493B1015" w14:textId="77777777">
        <w:trPr>
          <w:divId w:val="1750229406"/>
        </w:trPr>
        <w:tc>
          <w:tcPr>
            <w:tcW w:w="0" w:type="auto"/>
            <w:gridSpan w:val="3"/>
            <w:shd w:val="clear" w:color="auto" w:fill="CCEEFF"/>
            <w:tcMar>
              <w:top w:w="30" w:type="dxa"/>
              <w:left w:w="20" w:type="dxa"/>
              <w:bottom w:w="30" w:type="dxa"/>
              <w:right w:w="20" w:type="dxa"/>
            </w:tcMar>
            <w:vAlign w:val="center"/>
            <w:hideMark/>
          </w:tcPr>
          <w:p w14:paraId="5CBCDB19" w14:textId="77777777" w:rsidR="00000000" w:rsidRDefault="00405D16">
            <w:pPr>
              <w:spacing w:after="100"/>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14:paraId="542E2D64"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9030F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B3533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8B420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70444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F94EA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4B799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83972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4A871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2D419E" w14:textId="77777777" w:rsidR="00000000" w:rsidRDefault="00405D16">
            <w:pPr>
              <w:spacing w:after="100"/>
              <w:rPr>
                <w:rFonts w:eastAsia="Times New Roman"/>
                <w:sz w:val="20"/>
                <w:szCs w:val="20"/>
              </w:rPr>
            </w:pPr>
          </w:p>
        </w:tc>
      </w:tr>
      <w:tr w:rsidR="00000000" w14:paraId="52778AA6" w14:textId="77777777">
        <w:trPr>
          <w:divId w:val="1750229406"/>
        </w:trPr>
        <w:tc>
          <w:tcPr>
            <w:tcW w:w="0" w:type="auto"/>
            <w:gridSpan w:val="3"/>
            <w:shd w:val="clear" w:color="auto" w:fill="FFFFFF"/>
            <w:tcMar>
              <w:top w:w="30" w:type="dxa"/>
              <w:left w:w="20" w:type="dxa"/>
              <w:bottom w:w="30" w:type="dxa"/>
              <w:right w:w="20" w:type="dxa"/>
            </w:tcMar>
            <w:vAlign w:val="center"/>
            <w:hideMark/>
          </w:tcPr>
          <w:p w14:paraId="79E4CC9E" w14:textId="77777777" w:rsidR="00000000" w:rsidRDefault="00405D16">
            <w:pPr>
              <w:spacing w:after="100"/>
              <w:divId w:val="968825017"/>
              <w:rPr>
                <w:rFonts w:eastAsia="Times New Roman"/>
              </w:rPr>
            </w:pPr>
            <w:r>
              <w:rPr>
                <w:rFonts w:eastAsia="Times New Roman"/>
                <w:color w:val="000000"/>
                <w:sz w:val="18"/>
                <w:szCs w:val="18"/>
              </w:rPr>
              <w:t>Derivative asset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598AC52E"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BBB523F" w14:textId="77777777" w:rsidR="00000000" w:rsidRDefault="00405D16">
            <w:pPr>
              <w:spacing w:after="100"/>
              <w:jc w:val="right"/>
              <w:rPr>
                <w:rFonts w:eastAsia="Times New Roman"/>
              </w:rPr>
            </w:pPr>
            <w:r>
              <w:rPr>
                <w:rFonts w:eastAsia="Times New Roman"/>
                <w:b/>
                <w:bCs/>
                <w:color w:val="000000"/>
                <w:sz w:val="18"/>
                <w:szCs w:val="18"/>
              </w:rPr>
              <w:t>955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C4F213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BAFFA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AEE38A6" w14:textId="77777777" w:rsidR="00000000" w:rsidRDefault="00405D16">
            <w:pPr>
              <w:spacing w:after="100"/>
              <w:jc w:val="right"/>
              <w:rPr>
                <w:rFonts w:eastAsia="Times New Roman"/>
              </w:rPr>
            </w:pPr>
            <w:r>
              <w:rPr>
                <w:rFonts w:eastAsia="Times New Roman"/>
                <w:b/>
                <w:bCs/>
                <w:color w:val="000000"/>
                <w:sz w:val="18"/>
                <w:szCs w:val="18"/>
              </w:rPr>
              <w:t>3,758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000451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678F3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0EF4273" w14:textId="77777777" w:rsidR="00000000" w:rsidRDefault="00405D16">
            <w:pPr>
              <w:spacing w:after="100"/>
              <w:jc w:val="right"/>
              <w:rPr>
                <w:rFonts w:eastAsia="Times New Roman"/>
              </w:rPr>
            </w:pPr>
            <w:r>
              <w:rPr>
                <w:rFonts w:eastAsia="Times New Roman"/>
                <w:b/>
                <w:bCs/>
                <w:color w:val="000000"/>
                <w:sz w:val="18"/>
                <w:szCs w:val="18"/>
              </w:rPr>
              <w:t>191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5D4F21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586507"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B287D03"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7B5089CB" w14:textId="77777777" w:rsidR="00000000" w:rsidRDefault="00405D16">
            <w:pPr>
              <w:spacing w:after="100"/>
              <w:jc w:val="right"/>
              <w:rPr>
                <w:rFonts w:eastAsia="Times New Roman"/>
              </w:rPr>
            </w:pPr>
            <w:r>
              <w:rPr>
                <w:rFonts w:eastAsia="Times New Roman"/>
                <w:b/>
                <w:bCs/>
                <w:color w:val="000000"/>
                <w:sz w:val="18"/>
                <w:szCs w:val="18"/>
              </w:rPr>
              <w:t>(975)</w:t>
            </w:r>
          </w:p>
        </w:tc>
        <w:tc>
          <w:tcPr>
            <w:tcW w:w="0" w:type="auto"/>
            <w:shd w:val="clear" w:color="auto" w:fill="FFFFFF"/>
            <w:tcMar>
              <w:top w:w="30" w:type="dxa"/>
              <w:left w:w="0" w:type="dxa"/>
              <w:bottom w:w="30" w:type="dxa"/>
              <w:right w:w="20" w:type="dxa"/>
            </w:tcMar>
            <w:vAlign w:val="center"/>
            <w:hideMark/>
          </w:tcPr>
          <w:p w14:paraId="5BC3294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14793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17B11B0" w14:textId="77777777" w:rsidR="00000000" w:rsidRDefault="00405D16">
            <w:pPr>
              <w:spacing w:after="100"/>
              <w:jc w:val="right"/>
              <w:rPr>
                <w:rFonts w:eastAsia="Times New Roman"/>
              </w:rPr>
            </w:pPr>
            <w:r>
              <w:rPr>
                <w:rFonts w:eastAsia="Times New Roman"/>
                <w:b/>
                <w:bCs/>
                <w:color w:val="000000"/>
                <w:sz w:val="18"/>
                <w:szCs w:val="18"/>
              </w:rPr>
              <w:t>3,929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9627D8D" w14:textId="77777777" w:rsidR="00000000" w:rsidRDefault="00405D16">
            <w:pPr>
              <w:spacing w:after="100"/>
              <w:jc w:val="right"/>
              <w:rPr>
                <w:rFonts w:eastAsia="Times New Roman"/>
              </w:rPr>
            </w:pPr>
          </w:p>
        </w:tc>
      </w:tr>
      <w:tr w:rsidR="00000000" w14:paraId="64CB5F60" w14:textId="77777777">
        <w:trPr>
          <w:divId w:val="1750229406"/>
        </w:trPr>
        <w:tc>
          <w:tcPr>
            <w:tcW w:w="0" w:type="auto"/>
            <w:gridSpan w:val="3"/>
            <w:shd w:val="clear" w:color="auto" w:fill="CCEEFF"/>
            <w:tcMar>
              <w:top w:w="30" w:type="dxa"/>
              <w:left w:w="20" w:type="dxa"/>
              <w:bottom w:w="30" w:type="dxa"/>
              <w:right w:w="20" w:type="dxa"/>
            </w:tcMar>
            <w:vAlign w:val="center"/>
            <w:hideMark/>
          </w:tcPr>
          <w:p w14:paraId="4F0EE908" w14:textId="77777777" w:rsidR="00000000" w:rsidRDefault="00405D16">
            <w:pPr>
              <w:spacing w:after="100"/>
              <w:divId w:val="1885022841"/>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0A0EB2DF"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0F0DC1E" w14:textId="77777777" w:rsidR="00000000" w:rsidRDefault="00405D16">
            <w:pPr>
              <w:spacing w:after="100"/>
              <w:jc w:val="right"/>
              <w:rPr>
                <w:rFonts w:eastAsia="Times New Roman"/>
              </w:rPr>
            </w:pPr>
            <w:r>
              <w:rPr>
                <w:rFonts w:eastAsia="Times New Roman"/>
                <w:b/>
                <w:bCs/>
                <w:color w:val="000000"/>
                <w:sz w:val="18"/>
                <w:szCs w:val="18"/>
              </w:rPr>
              <w:t>514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339533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399F6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2A3E32B" w14:textId="77777777" w:rsidR="00000000" w:rsidRDefault="00405D16">
            <w:pPr>
              <w:spacing w:after="100"/>
              <w:jc w:val="right"/>
              <w:rPr>
                <w:rFonts w:eastAsia="Times New Roman"/>
              </w:rPr>
            </w:pPr>
            <w:r>
              <w:rPr>
                <w:rFonts w:eastAsia="Times New Roman"/>
                <w:b/>
                <w:bCs/>
                <w:color w:val="000000"/>
                <w:sz w:val="18"/>
                <w:szCs w:val="18"/>
              </w:rPr>
              <w:t>16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44EB26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1FD63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269D4EC" w14:textId="77777777" w:rsidR="00000000" w:rsidRDefault="00405D16">
            <w:pPr>
              <w:spacing w:after="100"/>
              <w:jc w:val="right"/>
              <w:rPr>
                <w:rFonts w:eastAsia="Times New Roman"/>
              </w:rPr>
            </w:pPr>
            <w:r>
              <w:rPr>
                <w:rFonts w:eastAsia="Times New Roman"/>
                <w:b/>
                <w:bCs/>
                <w:color w:val="000000"/>
                <w:sz w:val="18"/>
                <w:szCs w:val="18"/>
              </w:rPr>
              <w:t>43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11A2C8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2A821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DCCB645" w14:textId="77777777" w:rsidR="00000000" w:rsidRDefault="00405D16">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179502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05C9C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719D12D" w14:textId="77777777" w:rsidR="00000000" w:rsidRDefault="00405D16">
            <w:pPr>
              <w:spacing w:after="100"/>
              <w:jc w:val="right"/>
              <w:rPr>
                <w:rFonts w:eastAsia="Times New Roman"/>
              </w:rPr>
            </w:pPr>
            <w:r>
              <w:rPr>
                <w:rFonts w:eastAsia="Times New Roman"/>
                <w:b/>
                <w:bCs/>
                <w:color w:val="000000"/>
                <w:sz w:val="18"/>
                <w:szCs w:val="18"/>
              </w:rPr>
              <w:t>573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47A5995" w14:textId="77777777" w:rsidR="00000000" w:rsidRDefault="00405D16">
            <w:pPr>
              <w:spacing w:after="100"/>
              <w:jc w:val="right"/>
              <w:rPr>
                <w:rFonts w:eastAsia="Times New Roman"/>
              </w:rPr>
            </w:pPr>
          </w:p>
        </w:tc>
      </w:tr>
      <w:tr w:rsidR="00000000" w14:paraId="661566D7" w14:textId="77777777">
        <w:trPr>
          <w:divId w:val="1750229406"/>
        </w:trPr>
        <w:tc>
          <w:tcPr>
            <w:tcW w:w="0" w:type="auto"/>
            <w:gridSpan w:val="3"/>
            <w:shd w:val="clear" w:color="auto" w:fill="FFFFFF"/>
            <w:tcMar>
              <w:top w:w="30" w:type="dxa"/>
              <w:left w:w="20" w:type="dxa"/>
              <w:bottom w:w="30" w:type="dxa"/>
              <w:right w:w="20" w:type="dxa"/>
            </w:tcMar>
            <w:vAlign w:val="center"/>
            <w:hideMark/>
          </w:tcPr>
          <w:p w14:paraId="6916D331" w14:textId="77777777" w:rsidR="00000000" w:rsidRDefault="00405D16">
            <w:pPr>
              <w:spacing w:after="100"/>
              <w:rPr>
                <w:rFonts w:eastAsia="Times New Roman"/>
              </w:rPr>
            </w:pPr>
            <w:r>
              <w:rPr>
                <w:rFonts w:eastAsia="Times New Roman"/>
                <w:b/>
                <w:bCs/>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14:paraId="2BB0FF87" w14:textId="77777777" w:rsidR="00000000" w:rsidRDefault="00405D16">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4047BA21"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1ABC66E5" w14:textId="77777777" w:rsidR="00000000" w:rsidRDefault="00405D16">
            <w:pPr>
              <w:spacing w:after="100"/>
              <w:jc w:val="right"/>
              <w:rPr>
                <w:rFonts w:eastAsia="Times New Roman"/>
              </w:rPr>
            </w:pPr>
            <w:r>
              <w:rPr>
                <w:rFonts w:eastAsia="Times New Roman"/>
                <w:b/>
                <w:bCs/>
                <w:color w:val="000000"/>
                <w:sz w:val="18"/>
                <w:szCs w:val="18"/>
              </w:rPr>
              <w:t>10,730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8C4300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73C919"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59F69946"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6463006C" w14:textId="77777777" w:rsidR="00000000" w:rsidRDefault="00405D16">
            <w:pPr>
              <w:spacing w:after="100"/>
              <w:jc w:val="right"/>
              <w:rPr>
                <w:rFonts w:eastAsia="Times New Roman"/>
              </w:rPr>
            </w:pPr>
            <w:r>
              <w:rPr>
                <w:rFonts w:eastAsia="Times New Roman"/>
                <w:b/>
                <w:bCs/>
                <w:color w:val="000000"/>
                <w:sz w:val="18"/>
                <w:szCs w:val="18"/>
              </w:rPr>
              <w:t>94,107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51421F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6744A4"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04C1077F"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7C494449" w14:textId="77777777" w:rsidR="00000000" w:rsidRDefault="00405D16">
            <w:pPr>
              <w:spacing w:after="100"/>
              <w:jc w:val="right"/>
              <w:rPr>
                <w:rFonts w:eastAsia="Times New Roman"/>
              </w:rPr>
            </w:pPr>
            <w:r>
              <w:rPr>
                <w:rFonts w:eastAsia="Times New Roman"/>
                <w:b/>
                <w:bCs/>
                <w:color w:val="000000"/>
                <w:sz w:val="18"/>
                <w:szCs w:val="18"/>
              </w:rPr>
              <w:t>496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1CDAAB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1B149B"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2BF26E41"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0E7C7554" w14:textId="77777777" w:rsidR="00000000" w:rsidRDefault="00405D16">
            <w:pPr>
              <w:spacing w:after="100"/>
              <w:jc w:val="right"/>
              <w:rPr>
                <w:rFonts w:eastAsia="Times New Roman"/>
              </w:rPr>
            </w:pPr>
            <w:r>
              <w:rPr>
                <w:rFonts w:eastAsia="Times New Roman"/>
                <w:b/>
                <w:bCs/>
                <w:color w:val="000000"/>
                <w:sz w:val="18"/>
                <w:szCs w:val="18"/>
              </w:rPr>
              <w:t>(975)</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7ADD67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091029"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4DBDBD93"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031E9197" w14:textId="77777777" w:rsidR="00000000" w:rsidRDefault="00405D16">
            <w:pPr>
              <w:spacing w:after="100"/>
              <w:jc w:val="right"/>
              <w:rPr>
                <w:rFonts w:eastAsia="Times New Roman"/>
              </w:rPr>
            </w:pPr>
            <w:r>
              <w:rPr>
                <w:rFonts w:eastAsia="Times New Roman"/>
                <w:b/>
                <w:bCs/>
                <w:color w:val="000000"/>
                <w:sz w:val="18"/>
                <w:szCs w:val="18"/>
              </w:rPr>
              <w:t>104,358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6C3F185" w14:textId="77777777" w:rsidR="00000000" w:rsidRDefault="00405D16">
            <w:pPr>
              <w:spacing w:after="100"/>
              <w:jc w:val="right"/>
              <w:rPr>
                <w:rFonts w:eastAsia="Times New Roman"/>
              </w:rPr>
            </w:pPr>
          </w:p>
        </w:tc>
      </w:tr>
      <w:tr w:rsidR="00000000" w14:paraId="28FA1293" w14:textId="77777777">
        <w:trPr>
          <w:divId w:val="1750229406"/>
        </w:trPr>
        <w:tc>
          <w:tcPr>
            <w:tcW w:w="0" w:type="auto"/>
            <w:gridSpan w:val="3"/>
            <w:shd w:val="clear" w:color="auto" w:fill="CCEEFF"/>
            <w:tcMar>
              <w:top w:w="30" w:type="dxa"/>
              <w:left w:w="20" w:type="dxa"/>
              <w:bottom w:w="30" w:type="dxa"/>
              <w:right w:w="20" w:type="dxa"/>
            </w:tcMar>
            <w:vAlign w:val="center"/>
            <w:hideMark/>
          </w:tcPr>
          <w:p w14:paraId="5E1729AF" w14:textId="77777777" w:rsidR="00000000" w:rsidRDefault="00405D16">
            <w:pPr>
              <w:spacing w:after="100"/>
              <w:rPr>
                <w:rFonts w:eastAsia="Times New Roman"/>
              </w:rPr>
            </w:pPr>
            <w:r>
              <w:rPr>
                <w:rFonts w:eastAsia="Times New Roman"/>
                <w:b/>
                <w:bCs/>
                <w:color w:val="000000"/>
                <w:sz w:val="18"/>
                <w:szCs w:val="18"/>
              </w:rPr>
              <w:t>Liabilities:</w:t>
            </w:r>
          </w:p>
        </w:tc>
        <w:tc>
          <w:tcPr>
            <w:tcW w:w="0" w:type="auto"/>
            <w:gridSpan w:val="3"/>
            <w:shd w:val="clear" w:color="auto" w:fill="CCEEFF"/>
            <w:tcMar>
              <w:top w:w="0" w:type="dxa"/>
              <w:left w:w="20" w:type="dxa"/>
              <w:bottom w:w="0" w:type="dxa"/>
              <w:right w:w="20" w:type="dxa"/>
            </w:tcMar>
            <w:vAlign w:val="center"/>
            <w:hideMark/>
          </w:tcPr>
          <w:p w14:paraId="39A707C6" w14:textId="77777777" w:rsidR="00000000" w:rsidRDefault="00405D16">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7E211AB"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CCA5B0"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3FD1F3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A439E1"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74D5AF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A74A44"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5D8BD5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E473A5"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5354DE5" w14:textId="77777777" w:rsidR="00000000" w:rsidRDefault="00405D16">
            <w:pPr>
              <w:spacing w:after="100"/>
              <w:rPr>
                <w:rFonts w:eastAsia="Times New Roman"/>
                <w:sz w:val="20"/>
                <w:szCs w:val="20"/>
              </w:rPr>
            </w:pPr>
          </w:p>
        </w:tc>
      </w:tr>
      <w:tr w:rsidR="00000000" w14:paraId="786CBCD4" w14:textId="77777777">
        <w:trPr>
          <w:divId w:val="1750229406"/>
        </w:trPr>
        <w:tc>
          <w:tcPr>
            <w:tcW w:w="0" w:type="auto"/>
            <w:gridSpan w:val="3"/>
            <w:shd w:val="clear" w:color="auto" w:fill="FFFFFF"/>
            <w:tcMar>
              <w:top w:w="30" w:type="dxa"/>
              <w:left w:w="20" w:type="dxa"/>
              <w:bottom w:w="30" w:type="dxa"/>
              <w:right w:w="20" w:type="dxa"/>
            </w:tcMar>
            <w:vAlign w:val="center"/>
            <w:hideMark/>
          </w:tcPr>
          <w:p w14:paraId="1CA756B7" w14:textId="77777777" w:rsidR="00000000" w:rsidRDefault="00405D16">
            <w:pPr>
              <w:spacing w:after="100"/>
              <w:rPr>
                <w:rFonts w:eastAsia="Times New Roman"/>
              </w:rPr>
            </w:pPr>
            <w:r>
              <w:rPr>
                <w:rFonts w:eastAsia="Times New Roman"/>
                <w:color w:val="000000"/>
                <w:sz w:val="18"/>
                <w:szCs w:val="18"/>
              </w:rPr>
              <w:t>Other liabilities:</w:t>
            </w:r>
          </w:p>
        </w:tc>
        <w:tc>
          <w:tcPr>
            <w:tcW w:w="0" w:type="auto"/>
            <w:gridSpan w:val="3"/>
            <w:shd w:val="clear" w:color="auto" w:fill="FFFFFF"/>
            <w:tcMar>
              <w:top w:w="0" w:type="dxa"/>
              <w:left w:w="20" w:type="dxa"/>
              <w:bottom w:w="0" w:type="dxa"/>
              <w:right w:w="20" w:type="dxa"/>
            </w:tcMar>
            <w:vAlign w:val="center"/>
            <w:hideMark/>
          </w:tcPr>
          <w:p w14:paraId="5AB65EA1"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593084"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A6EC4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C24B3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CC291C"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5216D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43707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3DE20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147F1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5B377E" w14:textId="77777777" w:rsidR="00000000" w:rsidRDefault="00405D16">
            <w:pPr>
              <w:spacing w:after="100"/>
              <w:rPr>
                <w:rFonts w:eastAsia="Times New Roman"/>
                <w:sz w:val="20"/>
                <w:szCs w:val="20"/>
              </w:rPr>
            </w:pPr>
          </w:p>
        </w:tc>
      </w:tr>
      <w:tr w:rsidR="00000000" w14:paraId="55172637" w14:textId="77777777">
        <w:trPr>
          <w:divId w:val="1750229406"/>
        </w:trPr>
        <w:tc>
          <w:tcPr>
            <w:tcW w:w="0" w:type="auto"/>
            <w:gridSpan w:val="3"/>
            <w:shd w:val="clear" w:color="auto" w:fill="CCEEFF"/>
            <w:tcMar>
              <w:top w:w="30" w:type="dxa"/>
              <w:left w:w="20" w:type="dxa"/>
              <w:bottom w:w="30" w:type="dxa"/>
              <w:right w:w="20" w:type="dxa"/>
            </w:tcMar>
            <w:vAlign w:val="center"/>
            <w:hideMark/>
          </w:tcPr>
          <w:p w14:paraId="7E950BF8" w14:textId="77777777" w:rsidR="00000000" w:rsidRDefault="00405D16">
            <w:pPr>
              <w:spacing w:after="100"/>
              <w:divId w:val="19817679"/>
              <w:rPr>
                <w:rFonts w:eastAsia="Times New Roman"/>
              </w:rPr>
            </w:pPr>
            <w:r>
              <w:rPr>
                <w:rFonts w:eastAsia="Times New Roman"/>
                <w:color w:val="000000"/>
                <w:sz w:val="18"/>
                <w:szCs w:val="18"/>
              </w:rPr>
              <w:t>Derivative liabilitie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36F92C25" w14:textId="77777777" w:rsidR="00000000" w:rsidRDefault="00405D16">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101F5572"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1D1DAD44" w14:textId="77777777" w:rsidR="00000000" w:rsidRDefault="00405D16">
            <w:pPr>
              <w:spacing w:after="100"/>
              <w:jc w:val="right"/>
              <w:rPr>
                <w:rFonts w:eastAsia="Times New Roman"/>
              </w:rPr>
            </w:pPr>
            <w:r>
              <w:rPr>
                <w:rFonts w:eastAsia="Times New Roman"/>
                <w:b/>
                <w:bCs/>
                <w:color w:val="000000"/>
                <w:sz w:val="18"/>
                <w:szCs w:val="18"/>
              </w:rPr>
              <w:t>1,904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68CBBA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08E1F8"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5FD1C62D"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0DAC9972" w14:textId="77777777" w:rsidR="00000000" w:rsidRDefault="00405D16">
            <w:pPr>
              <w:spacing w:after="100"/>
              <w:jc w:val="right"/>
              <w:rPr>
                <w:rFonts w:eastAsia="Times New Roman"/>
              </w:rPr>
            </w:pPr>
            <w:r>
              <w:rPr>
                <w:rFonts w:eastAsia="Times New Roman"/>
                <w:b/>
                <w:bCs/>
                <w:color w:val="000000"/>
                <w:sz w:val="18"/>
                <w:szCs w:val="18"/>
              </w:rPr>
              <w:t>1,407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1876FE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DBA676"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0C8DDEA7"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39A361B8" w14:textId="77777777" w:rsidR="00000000" w:rsidRDefault="00405D16">
            <w:pPr>
              <w:spacing w:after="100"/>
              <w:jc w:val="right"/>
              <w:rPr>
                <w:rFonts w:eastAsia="Times New Roman"/>
              </w:rPr>
            </w:pPr>
            <w:r>
              <w:rPr>
                <w:rFonts w:eastAsia="Times New Roman"/>
                <w:b/>
                <w:bCs/>
                <w:color w:val="000000"/>
                <w:sz w:val="18"/>
                <w:szCs w:val="18"/>
              </w:rPr>
              <w:t>152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BE89A6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780AA1"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593C9894"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04B65AA8" w14:textId="77777777" w:rsidR="00000000" w:rsidRDefault="00405D16">
            <w:pPr>
              <w:spacing w:after="100"/>
              <w:jc w:val="right"/>
              <w:rPr>
                <w:rFonts w:eastAsia="Times New Roman"/>
              </w:rPr>
            </w:pPr>
            <w:r>
              <w:rPr>
                <w:rFonts w:eastAsia="Times New Roman"/>
                <w:b/>
                <w:bCs/>
                <w:color w:val="000000"/>
                <w:sz w:val="18"/>
                <w:szCs w:val="18"/>
              </w:rPr>
              <w:t>(</w:t>
            </w:r>
            <w:r>
              <w:rPr>
                <w:rFonts w:eastAsia="Times New Roman"/>
                <w:b/>
                <w:bCs/>
                <w:color w:val="000000"/>
                <w:sz w:val="18"/>
                <w:szCs w:val="18"/>
              </w:rPr>
              <w:t>904)</w:t>
            </w:r>
          </w:p>
        </w:tc>
        <w:tc>
          <w:tcPr>
            <w:tcW w:w="0" w:type="auto"/>
            <w:shd w:val="clear" w:color="auto" w:fill="CCEEFF"/>
            <w:tcMar>
              <w:top w:w="30" w:type="dxa"/>
              <w:left w:w="0" w:type="dxa"/>
              <w:bottom w:w="30" w:type="dxa"/>
              <w:right w:w="20" w:type="dxa"/>
            </w:tcMar>
            <w:vAlign w:val="center"/>
            <w:hideMark/>
          </w:tcPr>
          <w:p w14:paraId="62C0A04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D23F1B"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26CBAAD4"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6E654D72" w14:textId="77777777" w:rsidR="00000000" w:rsidRDefault="00405D16">
            <w:pPr>
              <w:spacing w:after="100"/>
              <w:jc w:val="right"/>
              <w:rPr>
                <w:rFonts w:eastAsia="Times New Roman"/>
              </w:rPr>
            </w:pPr>
            <w:r>
              <w:rPr>
                <w:rFonts w:eastAsia="Times New Roman"/>
                <w:b/>
                <w:bCs/>
                <w:color w:val="000000"/>
                <w:sz w:val="18"/>
                <w:szCs w:val="18"/>
              </w:rPr>
              <w:t>2,559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F5904BA" w14:textId="77777777" w:rsidR="00000000" w:rsidRDefault="00405D16">
            <w:pPr>
              <w:spacing w:after="100"/>
              <w:jc w:val="right"/>
              <w:rPr>
                <w:rFonts w:eastAsia="Times New Roman"/>
              </w:rPr>
            </w:pPr>
          </w:p>
        </w:tc>
      </w:tr>
      <w:tr w:rsidR="00000000" w14:paraId="5C340AE1" w14:textId="77777777">
        <w:trPr>
          <w:divId w:val="1750229406"/>
        </w:trPr>
        <w:tc>
          <w:tcPr>
            <w:tcW w:w="0" w:type="auto"/>
            <w:gridSpan w:val="3"/>
            <w:shd w:val="clear" w:color="auto" w:fill="FFFFFF"/>
            <w:tcMar>
              <w:top w:w="30" w:type="dxa"/>
              <w:left w:w="20" w:type="dxa"/>
              <w:bottom w:w="30" w:type="dxa"/>
              <w:right w:w="20" w:type="dxa"/>
            </w:tcMar>
            <w:vAlign w:val="center"/>
            <w:hideMark/>
          </w:tcPr>
          <w:p w14:paraId="7421F33B" w14:textId="77777777" w:rsidR="00000000" w:rsidRDefault="00405D16">
            <w:pPr>
              <w:spacing w:after="100"/>
              <w:rPr>
                <w:rFonts w:eastAsia="Times New Roman"/>
              </w:rPr>
            </w:pPr>
            <w:r>
              <w:rPr>
                <w:rFonts w:eastAsia="Times New Roman"/>
                <w:b/>
                <w:bCs/>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14:paraId="557D03D0"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8081343"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8D7BCDF" w14:textId="77777777" w:rsidR="00000000" w:rsidRDefault="00405D16">
            <w:pPr>
              <w:spacing w:after="100"/>
              <w:jc w:val="right"/>
              <w:rPr>
                <w:rFonts w:eastAsia="Times New Roman"/>
              </w:rPr>
            </w:pPr>
            <w:r>
              <w:rPr>
                <w:rFonts w:eastAsia="Times New Roman"/>
                <w:b/>
                <w:bCs/>
                <w:color w:val="000000"/>
                <w:sz w:val="18"/>
                <w:szCs w:val="18"/>
              </w:rPr>
              <w:t>1,904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7756E1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0D08DF"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21A4CEB"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605C198" w14:textId="77777777" w:rsidR="00000000" w:rsidRDefault="00405D16">
            <w:pPr>
              <w:spacing w:after="100"/>
              <w:jc w:val="right"/>
              <w:rPr>
                <w:rFonts w:eastAsia="Times New Roman"/>
              </w:rPr>
            </w:pPr>
            <w:r>
              <w:rPr>
                <w:rFonts w:eastAsia="Times New Roman"/>
                <w:b/>
                <w:bCs/>
                <w:color w:val="000000"/>
                <w:sz w:val="18"/>
                <w:szCs w:val="18"/>
              </w:rPr>
              <w:t>1,407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5E09F1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44EC88"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03304CE"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04C4626" w14:textId="77777777" w:rsidR="00000000" w:rsidRDefault="00405D16">
            <w:pPr>
              <w:spacing w:after="100"/>
              <w:jc w:val="right"/>
              <w:rPr>
                <w:rFonts w:eastAsia="Times New Roman"/>
              </w:rPr>
            </w:pPr>
            <w:r>
              <w:rPr>
                <w:rFonts w:eastAsia="Times New Roman"/>
                <w:b/>
                <w:bCs/>
                <w:color w:val="000000"/>
                <w:sz w:val="18"/>
                <w:szCs w:val="18"/>
              </w:rPr>
              <w:t>152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92C0E8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36FC88"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A82C7EC"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63C6C65" w14:textId="77777777" w:rsidR="00000000" w:rsidRDefault="00405D16">
            <w:pPr>
              <w:spacing w:after="100"/>
              <w:jc w:val="right"/>
              <w:rPr>
                <w:rFonts w:eastAsia="Times New Roman"/>
              </w:rPr>
            </w:pPr>
            <w:r>
              <w:rPr>
                <w:rFonts w:eastAsia="Times New Roman"/>
                <w:b/>
                <w:bCs/>
                <w:color w:val="000000"/>
                <w:sz w:val="18"/>
                <w:szCs w:val="18"/>
              </w:rPr>
              <w:t>(904)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717395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0029A7"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E4AE474"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A2B087E" w14:textId="77777777" w:rsidR="00000000" w:rsidRDefault="00405D16">
            <w:pPr>
              <w:spacing w:after="100"/>
              <w:jc w:val="right"/>
              <w:rPr>
                <w:rFonts w:eastAsia="Times New Roman"/>
              </w:rPr>
            </w:pPr>
            <w:r>
              <w:rPr>
                <w:rFonts w:eastAsia="Times New Roman"/>
                <w:b/>
                <w:bCs/>
                <w:color w:val="000000"/>
                <w:sz w:val="18"/>
                <w:szCs w:val="18"/>
              </w:rPr>
              <w:t>2,559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FF16ECA" w14:textId="77777777" w:rsidR="00000000" w:rsidRDefault="00405D16">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554F1F5F" w14:textId="77777777">
        <w:trPr>
          <w:jc w:val="center"/>
        </w:trPr>
        <w:tc>
          <w:tcPr>
            <w:tcW w:w="50" w:type="pct"/>
            <w:vAlign w:val="center"/>
            <w:hideMark/>
          </w:tcPr>
          <w:p w14:paraId="53924F3A" w14:textId="77777777" w:rsidR="00000000" w:rsidRDefault="00405D16">
            <w:pPr>
              <w:rPr>
                <w:rFonts w:eastAsia="Times New Roman"/>
              </w:rPr>
            </w:pPr>
          </w:p>
        </w:tc>
        <w:tc>
          <w:tcPr>
            <w:tcW w:w="1606" w:type="pct"/>
            <w:vAlign w:val="center"/>
            <w:hideMark/>
          </w:tcPr>
          <w:p w14:paraId="2EF636B8" w14:textId="77777777" w:rsidR="00000000" w:rsidRDefault="00405D16">
            <w:pPr>
              <w:spacing w:after="100"/>
              <w:rPr>
                <w:rFonts w:eastAsia="Times New Roman"/>
                <w:sz w:val="20"/>
                <w:szCs w:val="20"/>
              </w:rPr>
            </w:pPr>
          </w:p>
        </w:tc>
        <w:tc>
          <w:tcPr>
            <w:tcW w:w="5" w:type="pct"/>
            <w:vAlign w:val="center"/>
            <w:hideMark/>
          </w:tcPr>
          <w:p w14:paraId="369DF1BC" w14:textId="77777777" w:rsidR="00000000" w:rsidRDefault="00405D16">
            <w:pPr>
              <w:spacing w:after="100"/>
              <w:rPr>
                <w:rFonts w:eastAsia="Times New Roman"/>
                <w:sz w:val="20"/>
                <w:szCs w:val="20"/>
              </w:rPr>
            </w:pPr>
          </w:p>
        </w:tc>
        <w:tc>
          <w:tcPr>
            <w:tcW w:w="50" w:type="pct"/>
            <w:vAlign w:val="center"/>
            <w:hideMark/>
          </w:tcPr>
          <w:p w14:paraId="644F784F" w14:textId="77777777" w:rsidR="00000000" w:rsidRDefault="00405D16">
            <w:pPr>
              <w:spacing w:after="100"/>
              <w:rPr>
                <w:rFonts w:eastAsia="Times New Roman"/>
                <w:sz w:val="20"/>
                <w:szCs w:val="20"/>
              </w:rPr>
            </w:pPr>
          </w:p>
        </w:tc>
        <w:tc>
          <w:tcPr>
            <w:tcW w:w="1614" w:type="pct"/>
            <w:vAlign w:val="center"/>
            <w:hideMark/>
          </w:tcPr>
          <w:p w14:paraId="57C765AF" w14:textId="77777777" w:rsidR="00000000" w:rsidRDefault="00405D16">
            <w:pPr>
              <w:spacing w:after="100"/>
              <w:rPr>
                <w:rFonts w:eastAsia="Times New Roman"/>
                <w:sz w:val="20"/>
                <w:szCs w:val="20"/>
              </w:rPr>
            </w:pPr>
          </w:p>
        </w:tc>
        <w:tc>
          <w:tcPr>
            <w:tcW w:w="5" w:type="pct"/>
            <w:vAlign w:val="center"/>
            <w:hideMark/>
          </w:tcPr>
          <w:p w14:paraId="1794D580" w14:textId="77777777" w:rsidR="00000000" w:rsidRDefault="00405D16">
            <w:pPr>
              <w:spacing w:after="100"/>
              <w:rPr>
                <w:rFonts w:eastAsia="Times New Roman"/>
                <w:sz w:val="20"/>
                <w:szCs w:val="20"/>
              </w:rPr>
            </w:pPr>
          </w:p>
        </w:tc>
        <w:tc>
          <w:tcPr>
            <w:tcW w:w="50" w:type="pct"/>
            <w:vAlign w:val="center"/>
            <w:hideMark/>
          </w:tcPr>
          <w:p w14:paraId="43CF4AB2" w14:textId="77777777" w:rsidR="00000000" w:rsidRDefault="00405D16">
            <w:pPr>
              <w:spacing w:after="100"/>
              <w:rPr>
                <w:rFonts w:eastAsia="Times New Roman"/>
                <w:sz w:val="20"/>
                <w:szCs w:val="20"/>
              </w:rPr>
            </w:pPr>
          </w:p>
        </w:tc>
        <w:tc>
          <w:tcPr>
            <w:tcW w:w="1614" w:type="pct"/>
            <w:vAlign w:val="center"/>
            <w:hideMark/>
          </w:tcPr>
          <w:p w14:paraId="0271552D" w14:textId="77777777" w:rsidR="00000000" w:rsidRDefault="00405D16">
            <w:pPr>
              <w:spacing w:after="100"/>
              <w:rPr>
                <w:rFonts w:eastAsia="Times New Roman"/>
                <w:sz w:val="20"/>
                <w:szCs w:val="20"/>
              </w:rPr>
            </w:pPr>
          </w:p>
        </w:tc>
        <w:tc>
          <w:tcPr>
            <w:tcW w:w="5" w:type="pct"/>
            <w:vAlign w:val="center"/>
            <w:hideMark/>
          </w:tcPr>
          <w:p w14:paraId="50DD4FE7" w14:textId="77777777" w:rsidR="00000000" w:rsidRDefault="00405D16">
            <w:pPr>
              <w:spacing w:after="100"/>
              <w:rPr>
                <w:rFonts w:eastAsia="Times New Roman"/>
                <w:sz w:val="20"/>
                <w:szCs w:val="20"/>
              </w:rPr>
            </w:pPr>
          </w:p>
        </w:tc>
      </w:tr>
      <w:tr w:rsidR="00000000" w14:paraId="7DEFF21B" w14:textId="77777777">
        <w:trPr>
          <w:trHeight w:val="300"/>
          <w:jc w:val="center"/>
        </w:trPr>
        <w:tc>
          <w:tcPr>
            <w:tcW w:w="0" w:type="auto"/>
            <w:gridSpan w:val="9"/>
            <w:tcMar>
              <w:top w:w="0" w:type="dxa"/>
              <w:left w:w="20" w:type="dxa"/>
              <w:bottom w:w="0" w:type="dxa"/>
              <w:right w:w="20" w:type="dxa"/>
            </w:tcMar>
            <w:vAlign w:val="center"/>
            <w:hideMark/>
          </w:tcPr>
          <w:p w14:paraId="577350CF" w14:textId="77777777" w:rsidR="00000000" w:rsidRDefault="00405D16">
            <w:pPr>
              <w:spacing w:after="100"/>
              <w:rPr>
                <w:rFonts w:eastAsia="Times New Roman"/>
                <w:sz w:val="20"/>
                <w:szCs w:val="20"/>
              </w:rPr>
            </w:pPr>
          </w:p>
        </w:tc>
      </w:tr>
      <w:tr w:rsidR="00000000" w14:paraId="4EAF43C0" w14:textId="77777777">
        <w:trPr>
          <w:jc w:val="center"/>
        </w:trPr>
        <w:tc>
          <w:tcPr>
            <w:tcW w:w="0" w:type="auto"/>
            <w:gridSpan w:val="3"/>
            <w:tcMar>
              <w:top w:w="0" w:type="dxa"/>
              <w:left w:w="20" w:type="dxa"/>
              <w:bottom w:w="0" w:type="dxa"/>
              <w:right w:w="20" w:type="dxa"/>
            </w:tcMar>
            <w:vAlign w:val="center"/>
            <w:hideMark/>
          </w:tcPr>
          <w:p w14:paraId="7927FF00"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E6E9352" w14:textId="77777777" w:rsidR="00000000" w:rsidRDefault="00405D16">
            <w:pPr>
              <w:spacing w:after="100"/>
              <w:jc w:val="center"/>
              <w:rPr>
                <w:rFonts w:eastAsia="Times New Roman"/>
              </w:rPr>
            </w:pPr>
            <w:r>
              <w:rPr>
                <w:rFonts w:eastAsia="Times New Roman"/>
                <w:color w:val="000000"/>
                <w:sz w:val="16"/>
                <w:szCs w:val="16"/>
              </w:rPr>
              <w:t>117</w:t>
            </w:r>
          </w:p>
        </w:tc>
        <w:tc>
          <w:tcPr>
            <w:tcW w:w="0" w:type="auto"/>
            <w:gridSpan w:val="3"/>
            <w:tcMar>
              <w:top w:w="30" w:type="dxa"/>
              <w:left w:w="20" w:type="dxa"/>
              <w:bottom w:w="30" w:type="dxa"/>
              <w:right w:w="20" w:type="dxa"/>
            </w:tcMar>
            <w:vAlign w:val="bottom"/>
            <w:hideMark/>
          </w:tcPr>
          <w:p w14:paraId="43166F0E"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34C70A85" w14:textId="77777777" w:rsidR="00000000" w:rsidRDefault="00405D16">
      <w:pPr>
        <w:rPr>
          <w:rFonts w:eastAsia="Times New Roman"/>
        </w:rPr>
      </w:pPr>
      <w:r>
        <w:rPr>
          <w:rFonts w:eastAsia="Times New Roman"/>
        </w:rPr>
        <w:pict w14:anchorId="25463DED">
          <v:rect id="_x0000_i1142" style="width:0;height:1.5pt" o:hralign="center" o:hrstd="t" o:hr="t" fillcolor="#a0a0a0" stroked="f"/>
        </w:pict>
      </w:r>
    </w:p>
    <w:p w14:paraId="52EB6E20" w14:textId="77777777" w:rsidR="00000000" w:rsidRDefault="00405D16">
      <w:pPr>
        <w:jc w:val="both"/>
        <w:divId w:val="1602644838"/>
        <w:rPr>
          <w:rFonts w:eastAsia="Times New Roman"/>
        </w:rPr>
      </w:pPr>
      <w:hyperlink w:anchor="idd54a04a485440b4ab4e56094c14d612_13" w:history="1">
        <w:r>
          <w:rPr>
            <w:rStyle w:val="a3"/>
            <w:rFonts w:eastAsia="Times New Roman"/>
            <w:sz w:val="16"/>
            <w:szCs w:val="16"/>
          </w:rPr>
          <w:t>Table of Contents</w:t>
        </w:r>
      </w:hyperlink>
    </w:p>
    <w:p w14:paraId="2CECAB5A" w14:textId="77777777" w:rsidR="00000000" w:rsidRDefault="00405D16">
      <w:pPr>
        <w:jc w:val="center"/>
        <w:divId w:val="160264483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537"/>
        <w:gridCol w:w="38"/>
        <w:gridCol w:w="36"/>
        <w:gridCol w:w="36"/>
        <w:gridCol w:w="36"/>
        <w:gridCol w:w="111"/>
        <w:gridCol w:w="611"/>
        <w:gridCol w:w="37"/>
        <w:gridCol w:w="37"/>
        <w:gridCol w:w="46"/>
        <w:gridCol w:w="37"/>
        <w:gridCol w:w="111"/>
        <w:gridCol w:w="611"/>
        <w:gridCol w:w="37"/>
        <w:gridCol w:w="37"/>
        <w:gridCol w:w="46"/>
        <w:gridCol w:w="37"/>
        <w:gridCol w:w="110"/>
        <w:gridCol w:w="610"/>
        <w:gridCol w:w="36"/>
        <w:gridCol w:w="36"/>
        <w:gridCol w:w="36"/>
        <w:gridCol w:w="36"/>
        <w:gridCol w:w="111"/>
        <w:gridCol w:w="931"/>
        <w:gridCol w:w="36"/>
        <w:gridCol w:w="36"/>
        <w:gridCol w:w="36"/>
        <w:gridCol w:w="36"/>
        <w:gridCol w:w="110"/>
        <w:gridCol w:w="630"/>
        <w:gridCol w:w="36"/>
      </w:tblGrid>
      <w:tr w:rsidR="00000000" w14:paraId="74DD1366" w14:textId="77777777">
        <w:trPr>
          <w:divId w:val="2041857050"/>
        </w:trPr>
        <w:tc>
          <w:tcPr>
            <w:tcW w:w="50" w:type="pct"/>
            <w:vAlign w:val="center"/>
            <w:hideMark/>
          </w:tcPr>
          <w:p w14:paraId="0E765A7D" w14:textId="77777777" w:rsidR="00000000" w:rsidRDefault="00405D16">
            <w:pPr>
              <w:jc w:val="center"/>
              <w:rPr>
                <w:rFonts w:eastAsia="Times New Roman"/>
              </w:rPr>
            </w:pPr>
          </w:p>
        </w:tc>
        <w:tc>
          <w:tcPr>
            <w:tcW w:w="2569" w:type="pct"/>
            <w:vAlign w:val="center"/>
            <w:hideMark/>
          </w:tcPr>
          <w:p w14:paraId="6D7A2920" w14:textId="77777777" w:rsidR="00000000" w:rsidRDefault="00405D16">
            <w:pPr>
              <w:spacing w:after="100"/>
              <w:rPr>
                <w:rFonts w:eastAsia="Times New Roman"/>
                <w:sz w:val="20"/>
                <w:szCs w:val="20"/>
              </w:rPr>
            </w:pPr>
          </w:p>
        </w:tc>
        <w:tc>
          <w:tcPr>
            <w:tcW w:w="5" w:type="pct"/>
            <w:vAlign w:val="center"/>
            <w:hideMark/>
          </w:tcPr>
          <w:p w14:paraId="0288A7EA" w14:textId="77777777" w:rsidR="00000000" w:rsidRDefault="00405D16">
            <w:pPr>
              <w:spacing w:after="100"/>
              <w:rPr>
                <w:rFonts w:eastAsia="Times New Roman"/>
                <w:sz w:val="20"/>
                <w:szCs w:val="20"/>
              </w:rPr>
            </w:pPr>
          </w:p>
        </w:tc>
        <w:tc>
          <w:tcPr>
            <w:tcW w:w="5" w:type="pct"/>
            <w:vAlign w:val="center"/>
            <w:hideMark/>
          </w:tcPr>
          <w:p w14:paraId="4F9E7614" w14:textId="77777777" w:rsidR="00000000" w:rsidRDefault="00405D16">
            <w:pPr>
              <w:spacing w:after="100"/>
              <w:rPr>
                <w:rFonts w:eastAsia="Times New Roman"/>
                <w:sz w:val="20"/>
                <w:szCs w:val="20"/>
              </w:rPr>
            </w:pPr>
          </w:p>
        </w:tc>
        <w:tc>
          <w:tcPr>
            <w:tcW w:w="26" w:type="pct"/>
            <w:vAlign w:val="center"/>
            <w:hideMark/>
          </w:tcPr>
          <w:p w14:paraId="0D24AE58" w14:textId="77777777" w:rsidR="00000000" w:rsidRDefault="00405D16">
            <w:pPr>
              <w:spacing w:after="100"/>
              <w:rPr>
                <w:rFonts w:eastAsia="Times New Roman"/>
                <w:sz w:val="20"/>
                <w:szCs w:val="20"/>
              </w:rPr>
            </w:pPr>
          </w:p>
        </w:tc>
        <w:tc>
          <w:tcPr>
            <w:tcW w:w="5" w:type="pct"/>
            <w:vAlign w:val="center"/>
            <w:hideMark/>
          </w:tcPr>
          <w:p w14:paraId="53411E9D" w14:textId="77777777" w:rsidR="00000000" w:rsidRDefault="00405D16">
            <w:pPr>
              <w:spacing w:after="100"/>
              <w:rPr>
                <w:rFonts w:eastAsia="Times New Roman"/>
                <w:sz w:val="20"/>
                <w:szCs w:val="20"/>
              </w:rPr>
            </w:pPr>
          </w:p>
        </w:tc>
        <w:tc>
          <w:tcPr>
            <w:tcW w:w="50" w:type="pct"/>
            <w:vAlign w:val="center"/>
            <w:hideMark/>
          </w:tcPr>
          <w:p w14:paraId="0440532B" w14:textId="77777777" w:rsidR="00000000" w:rsidRDefault="00405D16">
            <w:pPr>
              <w:spacing w:after="100"/>
              <w:rPr>
                <w:rFonts w:eastAsia="Times New Roman"/>
                <w:sz w:val="20"/>
                <w:szCs w:val="20"/>
              </w:rPr>
            </w:pPr>
          </w:p>
        </w:tc>
        <w:tc>
          <w:tcPr>
            <w:tcW w:w="347" w:type="pct"/>
            <w:vAlign w:val="center"/>
            <w:hideMark/>
          </w:tcPr>
          <w:p w14:paraId="32C33BD7" w14:textId="77777777" w:rsidR="00000000" w:rsidRDefault="00405D16">
            <w:pPr>
              <w:spacing w:after="100"/>
              <w:rPr>
                <w:rFonts w:eastAsia="Times New Roman"/>
                <w:sz w:val="20"/>
                <w:szCs w:val="20"/>
              </w:rPr>
            </w:pPr>
          </w:p>
        </w:tc>
        <w:tc>
          <w:tcPr>
            <w:tcW w:w="5" w:type="pct"/>
            <w:vAlign w:val="center"/>
            <w:hideMark/>
          </w:tcPr>
          <w:p w14:paraId="06DB68D2" w14:textId="77777777" w:rsidR="00000000" w:rsidRDefault="00405D16">
            <w:pPr>
              <w:spacing w:after="100"/>
              <w:rPr>
                <w:rFonts w:eastAsia="Times New Roman"/>
                <w:sz w:val="20"/>
                <w:szCs w:val="20"/>
              </w:rPr>
            </w:pPr>
          </w:p>
        </w:tc>
        <w:tc>
          <w:tcPr>
            <w:tcW w:w="5" w:type="pct"/>
            <w:vAlign w:val="center"/>
            <w:hideMark/>
          </w:tcPr>
          <w:p w14:paraId="2A50FF3B" w14:textId="77777777" w:rsidR="00000000" w:rsidRDefault="00405D16">
            <w:pPr>
              <w:spacing w:after="100"/>
              <w:rPr>
                <w:rFonts w:eastAsia="Times New Roman"/>
                <w:sz w:val="20"/>
                <w:szCs w:val="20"/>
              </w:rPr>
            </w:pPr>
          </w:p>
        </w:tc>
        <w:tc>
          <w:tcPr>
            <w:tcW w:w="26" w:type="pct"/>
            <w:vAlign w:val="center"/>
            <w:hideMark/>
          </w:tcPr>
          <w:p w14:paraId="005C4418" w14:textId="77777777" w:rsidR="00000000" w:rsidRDefault="00405D16">
            <w:pPr>
              <w:spacing w:after="100"/>
              <w:rPr>
                <w:rFonts w:eastAsia="Times New Roman"/>
                <w:sz w:val="20"/>
                <w:szCs w:val="20"/>
              </w:rPr>
            </w:pPr>
          </w:p>
        </w:tc>
        <w:tc>
          <w:tcPr>
            <w:tcW w:w="5" w:type="pct"/>
            <w:vAlign w:val="center"/>
            <w:hideMark/>
          </w:tcPr>
          <w:p w14:paraId="6EACEF09" w14:textId="77777777" w:rsidR="00000000" w:rsidRDefault="00405D16">
            <w:pPr>
              <w:spacing w:after="100"/>
              <w:rPr>
                <w:rFonts w:eastAsia="Times New Roman"/>
                <w:sz w:val="20"/>
                <w:szCs w:val="20"/>
              </w:rPr>
            </w:pPr>
          </w:p>
        </w:tc>
        <w:tc>
          <w:tcPr>
            <w:tcW w:w="50" w:type="pct"/>
            <w:vAlign w:val="center"/>
            <w:hideMark/>
          </w:tcPr>
          <w:p w14:paraId="7B5B0D73" w14:textId="77777777" w:rsidR="00000000" w:rsidRDefault="00405D16">
            <w:pPr>
              <w:spacing w:after="100"/>
              <w:rPr>
                <w:rFonts w:eastAsia="Times New Roman"/>
                <w:sz w:val="20"/>
                <w:szCs w:val="20"/>
              </w:rPr>
            </w:pPr>
          </w:p>
        </w:tc>
        <w:tc>
          <w:tcPr>
            <w:tcW w:w="347" w:type="pct"/>
            <w:vAlign w:val="center"/>
            <w:hideMark/>
          </w:tcPr>
          <w:p w14:paraId="6F1FF3A1" w14:textId="77777777" w:rsidR="00000000" w:rsidRDefault="00405D16">
            <w:pPr>
              <w:spacing w:after="100"/>
              <w:rPr>
                <w:rFonts w:eastAsia="Times New Roman"/>
                <w:sz w:val="20"/>
                <w:szCs w:val="20"/>
              </w:rPr>
            </w:pPr>
          </w:p>
        </w:tc>
        <w:tc>
          <w:tcPr>
            <w:tcW w:w="5" w:type="pct"/>
            <w:vAlign w:val="center"/>
            <w:hideMark/>
          </w:tcPr>
          <w:p w14:paraId="37D25542" w14:textId="77777777" w:rsidR="00000000" w:rsidRDefault="00405D16">
            <w:pPr>
              <w:spacing w:after="100"/>
              <w:rPr>
                <w:rFonts w:eastAsia="Times New Roman"/>
                <w:sz w:val="20"/>
                <w:szCs w:val="20"/>
              </w:rPr>
            </w:pPr>
          </w:p>
        </w:tc>
        <w:tc>
          <w:tcPr>
            <w:tcW w:w="5" w:type="pct"/>
            <w:vAlign w:val="center"/>
            <w:hideMark/>
          </w:tcPr>
          <w:p w14:paraId="1B1DA2DD" w14:textId="77777777" w:rsidR="00000000" w:rsidRDefault="00405D16">
            <w:pPr>
              <w:spacing w:after="100"/>
              <w:rPr>
                <w:rFonts w:eastAsia="Times New Roman"/>
                <w:sz w:val="20"/>
                <w:szCs w:val="20"/>
              </w:rPr>
            </w:pPr>
          </w:p>
        </w:tc>
        <w:tc>
          <w:tcPr>
            <w:tcW w:w="26" w:type="pct"/>
            <w:vAlign w:val="center"/>
            <w:hideMark/>
          </w:tcPr>
          <w:p w14:paraId="5AFDC29D" w14:textId="77777777" w:rsidR="00000000" w:rsidRDefault="00405D16">
            <w:pPr>
              <w:spacing w:after="100"/>
              <w:rPr>
                <w:rFonts w:eastAsia="Times New Roman"/>
                <w:sz w:val="20"/>
                <w:szCs w:val="20"/>
              </w:rPr>
            </w:pPr>
          </w:p>
        </w:tc>
        <w:tc>
          <w:tcPr>
            <w:tcW w:w="5" w:type="pct"/>
            <w:vAlign w:val="center"/>
            <w:hideMark/>
          </w:tcPr>
          <w:p w14:paraId="541FE211" w14:textId="77777777" w:rsidR="00000000" w:rsidRDefault="00405D16">
            <w:pPr>
              <w:spacing w:after="100"/>
              <w:rPr>
                <w:rFonts w:eastAsia="Times New Roman"/>
                <w:sz w:val="20"/>
                <w:szCs w:val="20"/>
              </w:rPr>
            </w:pPr>
          </w:p>
        </w:tc>
        <w:tc>
          <w:tcPr>
            <w:tcW w:w="50" w:type="pct"/>
            <w:vAlign w:val="center"/>
            <w:hideMark/>
          </w:tcPr>
          <w:p w14:paraId="663088A1" w14:textId="77777777" w:rsidR="00000000" w:rsidRDefault="00405D16">
            <w:pPr>
              <w:spacing w:after="100"/>
              <w:rPr>
                <w:rFonts w:eastAsia="Times New Roman"/>
                <w:sz w:val="20"/>
                <w:szCs w:val="20"/>
              </w:rPr>
            </w:pPr>
          </w:p>
        </w:tc>
        <w:tc>
          <w:tcPr>
            <w:tcW w:w="347" w:type="pct"/>
            <w:vAlign w:val="center"/>
            <w:hideMark/>
          </w:tcPr>
          <w:p w14:paraId="6EF67C40" w14:textId="77777777" w:rsidR="00000000" w:rsidRDefault="00405D16">
            <w:pPr>
              <w:spacing w:after="100"/>
              <w:rPr>
                <w:rFonts w:eastAsia="Times New Roman"/>
                <w:sz w:val="20"/>
                <w:szCs w:val="20"/>
              </w:rPr>
            </w:pPr>
          </w:p>
        </w:tc>
        <w:tc>
          <w:tcPr>
            <w:tcW w:w="5" w:type="pct"/>
            <w:vAlign w:val="center"/>
            <w:hideMark/>
          </w:tcPr>
          <w:p w14:paraId="01099572" w14:textId="77777777" w:rsidR="00000000" w:rsidRDefault="00405D16">
            <w:pPr>
              <w:spacing w:after="100"/>
              <w:rPr>
                <w:rFonts w:eastAsia="Times New Roman"/>
                <w:sz w:val="20"/>
                <w:szCs w:val="20"/>
              </w:rPr>
            </w:pPr>
          </w:p>
        </w:tc>
        <w:tc>
          <w:tcPr>
            <w:tcW w:w="5" w:type="pct"/>
            <w:vAlign w:val="center"/>
            <w:hideMark/>
          </w:tcPr>
          <w:p w14:paraId="67B6E2FF" w14:textId="77777777" w:rsidR="00000000" w:rsidRDefault="00405D16">
            <w:pPr>
              <w:spacing w:after="100"/>
              <w:rPr>
                <w:rFonts w:eastAsia="Times New Roman"/>
                <w:sz w:val="20"/>
                <w:szCs w:val="20"/>
              </w:rPr>
            </w:pPr>
          </w:p>
        </w:tc>
        <w:tc>
          <w:tcPr>
            <w:tcW w:w="26" w:type="pct"/>
            <w:vAlign w:val="center"/>
            <w:hideMark/>
          </w:tcPr>
          <w:p w14:paraId="6E2F2D66" w14:textId="77777777" w:rsidR="00000000" w:rsidRDefault="00405D16">
            <w:pPr>
              <w:spacing w:after="100"/>
              <w:rPr>
                <w:rFonts w:eastAsia="Times New Roman"/>
                <w:sz w:val="20"/>
                <w:szCs w:val="20"/>
              </w:rPr>
            </w:pPr>
          </w:p>
        </w:tc>
        <w:tc>
          <w:tcPr>
            <w:tcW w:w="5" w:type="pct"/>
            <w:vAlign w:val="center"/>
            <w:hideMark/>
          </w:tcPr>
          <w:p w14:paraId="22ED826A" w14:textId="77777777" w:rsidR="00000000" w:rsidRDefault="00405D16">
            <w:pPr>
              <w:spacing w:after="100"/>
              <w:rPr>
                <w:rFonts w:eastAsia="Times New Roman"/>
                <w:sz w:val="20"/>
                <w:szCs w:val="20"/>
              </w:rPr>
            </w:pPr>
          </w:p>
        </w:tc>
        <w:tc>
          <w:tcPr>
            <w:tcW w:w="50" w:type="pct"/>
            <w:vAlign w:val="center"/>
            <w:hideMark/>
          </w:tcPr>
          <w:p w14:paraId="0CB0E6C4" w14:textId="77777777" w:rsidR="00000000" w:rsidRDefault="00405D16">
            <w:pPr>
              <w:spacing w:after="100"/>
              <w:rPr>
                <w:rFonts w:eastAsia="Times New Roman"/>
                <w:sz w:val="20"/>
                <w:szCs w:val="20"/>
              </w:rPr>
            </w:pPr>
          </w:p>
        </w:tc>
        <w:tc>
          <w:tcPr>
            <w:tcW w:w="529" w:type="pct"/>
            <w:vAlign w:val="center"/>
            <w:hideMark/>
          </w:tcPr>
          <w:p w14:paraId="7991A0E7" w14:textId="77777777" w:rsidR="00000000" w:rsidRDefault="00405D16">
            <w:pPr>
              <w:spacing w:after="100"/>
              <w:rPr>
                <w:rFonts w:eastAsia="Times New Roman"/>
                <w:sz w:val="20"/>
                <w:szCs w:val="20"/>
              </w:rPr>
            </w:pPr>
          </w:p>
        </w:tc>
        <w:tc>
          <w:tcPr>
            <w:tcW w:w="5" w:type="pct"/>
            <w:vAlign w:val="center"/>
            <w:hideMark/>
          </w:tcPr>
          <w:p w14:paraId="62D6A47E" w14:textId="77777777" w:rsidR="00000000" w:rsidRDefault="00405D16">
            <w:pPr>
              <w:spacing w:after="100"/>
              <w:rPr>
                <w:rFonts w:eastAsia="Times New Roman"/>
                <w:sz w:val="20"/>
                <w:szCs w:val="20"/>
              </w:rPr>
            </w:pPr>
          </w:p>
        </w:tc>
        <w:tc>
          <w:tcPr>
            <w:tcW w:w="5" w:type="pct"/>
            <w:vAlign w:val="center"/>
            <w:hideMark/>
          </w:tcPr>
          <w:p w14:paraId="5F71693D" w14:textId="77777777" w:rsidR="00000000" w:rsidRDefault="00405D16">
            <w:pPr>
              <w:spacing w:after="100"/>
              <w:rPr>
                <w:rFonts w:eastAsia="Times New Roman"/>
                <w:sz w:val="20"/>
                <w:szCs w:val="20"/>
              </w:rPr>
            </w:pPr>
          </w:p>
        </w:tc>
        <w:tc>
          <w:tcPr>
            <w:tcW w:w="26" w:type="pct"/>
            <w:vAlign w:val="center"/>
            <w:hideMark/>
          </w:tcPr>
          <w:p w14:paraId="1CDF1F7B" w14:textId="77777777" w:rsidR="00000000" w:rsidRDefault="00405D16">
            <w:pPr>
              <w:spacing w:after="100"/>
              <w:rPr>
                <w:rFonts w:eastAsia="Times New Roman"/>
                <w:sz w:val="20"/>
                <w:szCs w:val="20"/>
              </w:rPr>
            </w:pPr>
          </w:p>
        </w:tc>
        <w:tc>
          <w:tcPr>
            <w:tcW w:w="5" w:type="pct"/>
            <w:vAlign w:val="center"/>
            <w:hideMark/>
          </w:tcPr>
          <w:p w14:paraId="36C76EC0" w14:textId="77777777" w:rsidR="00000000" w:rsidRDefault="00405D16">
            <w:pPr>
              <w:spacing w:after="100"/>
              <w:rPr>
                <w:rFonts w:eastAsia="Times New Roman"/>
                <w:sz w:val="20"/>
                <w:szCs w:val="20"/>
              </w:rPr>
            </w:pPr>
          </w:p>
        </w:tc>
        <w:tc>
          <w:tcPr>
            <w:tcW w:w="50" w:type="pct"/>
            <w:vAlign w:val="center"/>
            <w:hideMark/>
          </w:tcPr>
          <w:p w14:paraId="1BF09704" w14:textId="77777777" w:rsidR="00000000" w:rsidRDefault="00405D16">
            <w:pPr>
              <w:spacing w:after="100"/>
              <w:rPr>
                <w:rFonts w:eastAsia="Times New Roman"/>
                <w:sz w:val="20"/>
                <w:szCs w:val="20"/>
              </w:rPr>
            </w:pPr>
          </w:p>
        </w:tc>
        <w:tc>
          <w:tcPr>
            <w:tcW w:w="347" w:type="pct"/>
            <w:vAlign w:val="center"/>
            <w:hideMark/>
          </w:tcPr>
          <w:p w14:paraId="77DE3111" w14:textId="77777777" w:rsidR="00000000" w:rsidRDefault="00405D16">
            <w:pPr>
              <w:spacing w:after="100"/>
              <w:rPr>
                <w:rFonts w:eastAsia="Times New Roman"/>
                <w:sz w:val="20"/>
                <w:szCs w:val="20"/>
              </w:rPr>
            </w:pPr>
          </w:p>
        </w:tc>
        <w:tc>
          <w:tcPr>
            <w:tcW w:w="5" w:type="pct"/>
            <w:vAlign w:val="center"/>
            <w:hideMark/>
          </w:tcPr>
          <w:p w14:paraId="220D575B" w14:textId="77777777" w:rsidR="00000000" w:rsidRDefault="00405D16">
            <w:pPr>
              <w:spacing w:after="100"/>
              <w:rPr>
                <w:rFonts w:eastAsia="Times New Roman"/>
                <w:sz w:val="20"/>
                <w:szCs w:val="20"/>
              </w:rPr>
            </w:pPr>
          </w:p>
        </w:tc>
      </w:tr>
      <w:tr w:rsidR="00000000" w14:paraId="4C0CB51D" w14:textId="77777777">
        <w:trPr>
          <w:divId w:val="2041857050"/>
        </w:trPr>
        <w:tc>
          <w:tcPr>
            <w:tcW w:w="0" w:type="auto"/>
            <w:gridSpan w:val="3"/>
            <w:tcMar>
              <w:top w:w="0" w:type="dxa"/>
              <w:left w:w="20" w:type="dxa"/>
              <w:bottom w:w="0" w:type="dxa"/>
              <w:right w:w="20" w:type="dxa"/>
            </w:tcMar>
            <w:vAlign w:val="center"/>
            <w:hideMark/>
          </w:tcPr>
          <w:p w14:paraId="603E2BFC"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C2A4D2B" w14:textId="77777777" w:rsidR="00000000" w:rsidRDefault="00405D16">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0DDF56AC" w14:textId="77777777" w:rsidR="00000000" w:rsidRDefault="00405D16">
            <w:pPr>
              <w:spacing w:after="100"/>
              <w:jc w:val="center"/>
              <w:rPr>
                <w:rFonts w:eastAsia="Times New Roman"/>
              </w:rPr>
            </w:pPr>
            <w:r>
              <w:rPr>
                <w:rFonts w:eastAsia="Times New Roman"/>
                <w:b/>
                <w:bCs/>
                <w:color w:val="000000"/>
                <w:sz w:val="16"/>
                <w:szCs w:val="16"/>
              </w:rPr>
              <w:t>December 31, 2020</w:t>
            </w:r>
          </w:p>
        </w:tc>
      </w:tr>
      <w:tr w:rsidR="00000000" w14:paraId="214A3A06" w14:textId="77777777">
        <w:trPr>
          <w:divId w:val="2041857050"/>
          <w:trHeight w:val="240"/>
        </w:trPr>
        <w:tc>
          <w:tcPr>
            <w:tcW w:w="0" w:type="auto"/>
            <w:gridSpan w:val="3"/>
            <w:tcMar>
              <w:top w:w="0" w:type="dxa"/>
              <w:left w:w="20" w:type="dxa"/>
              <w:bottom w:w="0" w:type="dxa"/>
              <w:right w:w="20" w:type="dxa"/>
            </w:tcMar>
            <w:vAlign w:val="center"/>
            <w:hideMark/>
          </w:tcPr>
          <w:p w14:paraId="1E8CEEF5" w14:textId="77777777" w:rsidR="00000000" w:rsidRDefault="00405D1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FB7E32E" w14:textId="77777777" w:rsidR="00000000" w:rsidRDefault="00405D16">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14:paraId="6C931BB3" w14:textId="77777777" w:rsidR="00000000" w:rsidRDefault="00405D16">
            <w:pPr>
              <w:spacing w:after="100"/>
              <w:jc w:val="center"/>
              <w:rPr>
                <w:rFonts w:eastAsia="Times New Roman"/>
              </w:rPr>
            </w:pPr>
            <w:r>
              <w:rPr>
                <w:rFonts w:eastAsia="Times New Roman"/>
                <w:b/>
                <w:bCs/>
                <w:color w:val="000000"/>
                <w:sz w:val="16"/>
                <w:szCs w:val="16"/>
              </w:rPr>
              <w:t>Fair Value Measurements Using</w:t>
            </w:r>
          </w:p>
        </w:tc>
        <w:tc>
          <w:tcPr>
            <w:tcW w:w="0" w:type="auto"/>
            <w:gridSpan w:val="3"/>
            <w:tcBorders>
              <w:top w:val="single" w:sz="8" w:space="0" w:color="000000"/>
            </w:tcBorders>
            <w:tcMar>
              <w:top w:w="0" w:type="dxa"/>
              <w:left w:w="20" w:type="dxa"/>
              <w:bottom w:w="0" w:type="dxa"/>
              <w:right w:w="20" w:type="dxa"/>
            </w:tcMar>
            <w:vAlign w:val="center"/>
            <w:hideMark/>
          </w:tcPr>
          <w:p w14:paraId="629A8083" w14:textId="77777777" w:rsidR="00000000" w:rsidRDefault="00405D16">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5C40FD60" w14:textId="77777777" w:rsidR="00000000" w:rsidRDefault="00405D16">
            <w:pPr>
              <w:spacing w:after="100"/>
              <w:jc w:val="center"/>
              <w:rPr>
                <w:rFonts w:eastAsia="Times New Roman"/>
              </w:rPr>
            </w:pPr>
            <w:r>
              <w:rPr>
                <w:rFonts w:eastAsia="Times New Roman"/>
                <w:b/>
                <w:bCs/>
                <w:color w:val="000000"/>
                <w:sz w:val="16"/>
                <w:szCs w:val="16"/>
              </w:rPr>
              <w:t>Netting Adjustment</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44453945" w14:textId="77777777" w:rsidR="00000000" w:rsidRDefault="00405D16">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2EB2ED66" w14:textId="77777777" w:rsidR="00000000" w:rsidRDefault="00405D16">
            <w:pPr>
              <w:spacing w:after="100"/>
              <w:rPr>
                <w:rFonts w:eastAsia="Times New Roman"/>
                <w:sz w:val="20"/>
                <w:szCs w:val="20"/>
              </w:rPr>
            </w:pPr>
          </w:p>
        </w:tc>
      </w:tr>
      <w:tr w:rsidR="00000000" w14:paraId="2F14E37C" w14:textId="77777777">
        <w:trPr>
          <w:divId w:val="2041857050"/>
          <w:trHeight w:val="240"/>
        </w:trPr>
        <w:tc>
          <w:tcPr>
            <w:tcW w:w="0" w:type="auto"/>
            <w:gridSpan w:val="3"/>
            <w:tcMar>
              <w:top w:w="30" w:type="dxa"/>
              <w:left w:w="20" w:type="dxa"/>
              <w:bottom w:w="30" w:type="dxa"/>
              <w:right w:w="20" w:type="dxa"/>
            </w:tcMar>
            <w:vAlign w:val="bottom"/>
            <w:hideMark/>
          </w:tcPr>
          <w:p w14:paraId="37A0B519"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2B504D69"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2B67A01" w14:textId="77777777" w:rsidR="00000000" w:rsidRDefault="00405D16">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14:paraId="6D734F6D"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BBB0B58" w14:textId="77777777" w:rsidR="00000000" w:rsidRDefault="00405D16">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14:paraId="51AF2DD2"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87DBF0F" w14:textId="77777777" w:rsidR="00000000" w:rsidRDefault="00405D16">
            <w:pPr>
              <w:spacing w:after="100"/>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14:paraId="1B178043" w14:textId="77777777" w:rsidR="00000000" w:rsidRDefault="00405D16">
            <w:pPr>
              <w:spacing w:after="100"/>
              <w:jc w:val="center"/>
              <w:rPr>
                <w:rFonts w:eastAsia="Times New Roman"/>
              </w:rPr>
            </w:pPr>
          </w:p>
        </w:tc>
        <w:tc>
          <w:tcPr>
            <w:tcW w:w="0" w:type="auto"/>
            <w:gridSpan w:val="3"/>
            <w:vMerge/>
            <w:tcBorders>
              <w:top w:val="single" w:sz="8" w:space="0" w:color="000000"/>
            </w:tcBorders>
            <w:vAlign w:val="center"/>
            <w:hideMark/>
          </w:tcPr>
          <w:p w14:paraId="6FA04DB3" w14:textId="77777777" w:rsidR="00000000" w:rsidRDefault="00405D16">
            <w:pPr>
              <w:spacing w:after="100"/>
              <w:rPr>
                <w:rFonts w:eastAsia="Times New Roman"/>
              </w:rPr>
            </w:pPr>
          </w:p>
        </w:tc>
        <w:tc>
          <w:tcPr>
            <w:tcW w:w="0" w:type="auto"/>
            <w:gridSpan w:val="3"/>
            <w:tcMar>
              <w:top w:w="0" w:type="dxa"/>
              <w:left w:w="20" w:type="dxa"/>
              <w:bottom w:w="0" w:type="dxa"/>
              <w:right w:w="20" w:type="dxa"/>
            </w:tcMar>
            <w:vAlign w:val="center"/>
            <w:hideMark/>
          </w:tcPr>
          <w:p w14:paraId="73D1B12D"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E8713F1" w14:textId="77777777" w:rsidR="00000000" w:rsidRDefault="00405D16">
            <w:pPr>
              <w:spacing w:after="100"/>
              <w:jc w:val="center"/>
              <w:rPr>
                <w:rFonts w:eastAsia="Times New Roman"/>
              </w:rPr>
            </w:pPr>
            <w:r>
              <w:rPr>
                <w:rFonts w:eastAsia="Times New Roman"/>
                <w:b/>
                <w:bCs/>
                <w:color w:val="000000"/>
                <w:sz w:val="16"/>
                <w:szCs w:val="16"/>
              </w:rPr>
              <w:t>Total</w:t>
            </w:r>
          </w:p>
        </w:tc>
      </w:tr>
      <w:tr w:rsidR="00000000" w14:paraId="0789B09D" w14:textId="77777777">
        <w:trPr>
          <w:divId w:val="204185705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F67EB35" w14:textId="77777777" w:rsidR="00000000" w:rsidRDefault="00405D16">
            <w:pPr>
              <w:spacing w:after="100"/>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14:paraId="60B71DF4"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C05015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114F6F"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E210D4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07EA63"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BB7A04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8C5BC6"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9A9733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B5552D"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B917D89" w14:textId="77777777" w:rsidR="00000000" w:rsidRDefault="00405D16">
            <w:pPr>
              <w:spacing w:after="100"/>
              <w:rPr>
                <w:rFonts w:eastAsia="Times New Roman"/>
                <w:sz w:val="20"/>
                <w:szCs w:val="20"/>
              </w:rPr>
            </w:pPr>
          </w:p>
        </w:tc>
      </w:tr>
      <w:tr w:rsidR="00000000" w14:paraId="0E68BE0C" w14:textId="77777777">
        <w:trPr>
          <w:divId w:val="2041857050"/>
        </w:trPr>
        <w:tc>
          <w:tcPr>
            <w:tcW w:w="0" w:type="auto"/>
            <w:gridSpan w:val="3"/>
            <w:shd w:val="clear" w:color="auto" w:fill="FFFFFF"/>
            <w:tcMar>
              <w:top w:w="30" w:type="dxa"/>
              <w:left w:w="20" w:type="dxa"/>
              <w:bottom w:w="30" w:type="dxa"/>
              <w:right w:w="20" w:type="dxa"/>
            </w:tcMar>
            <w:vAlign w:val="center"/>
            <w:hideMark/>
          </w:tcPr>
          <w:p w14:paraId="48492138" w14:textId="77777777" w:rsidR="00000000" w:rsidRDefault="00405D16">
            <w:pPr>
              <w:spacing w:after="100"/>
              <w:rPr>
                <w:rFonts w:eastAsia="Times New Roman"/>
              </w:rPr>
            </w:pPr>
            <w:r>
              <w:rPr>
                <w:rFonts w:eastAsia="Times New Roman"/>
                <w:color w:val="000000"/>
                <w:sz w:val="18"/>
                <w:szCs w:val="18"/>
              </w:rPr>
              <w:t>Securities available for sale:</w:t>
            </w:r>
          </w:p>
        </w:tc>
        <w:tc>
          <w:tcPr>
            <w:tcW w:w="0" w:type="auto"/>
            <w:gridSpan w:val="3"/>
            <w:shd w:val="clear" w:color="auto" w:fill="FFFFFF"/>
            <w:tcMar>
              <w:top w:w="0" w:type="dxa"/>
              <w:left w:w="20" w:type="dxa"/>
              <w:bottom w:w="0" w:type="dxa"/>
              <w:right w:w="20" w:type="dxa"/>
            </w:tcMar>
            <w:vAlign w:val="center"/>
            <w:hideMark/>
          </w:tcPr>
          <w:p w14:paraId="388C454D"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4B5A4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D38F0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2266E4"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D21BF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876BC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3DBE94"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C50A14"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20AB0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4F39CA" w14:textId="77777777" w:rsidR="00000000" w:rsidRDefault="00405D16">
            <w:pPr>
              <w:spacing w:after="100"/>
              <w:rPr>
                <w:rFonts w:eastAsia="Times New Roman"/>
                <w:sz w:val="20"/>
                <w:szCs w:val="20"/>
              </w:rPr>
            </w:pPr>
          </w:p>
        </w:tc>
      </w:tr>
      <w:tr w:rsidR="00000000" w14:paraId="10A0E193" w14:textId="77777777">
        <w:trPr>
          <w:divId w:val="2041857050"/>
        </w:trPr>
        <w:tc>
          <w:tcPr>
            <w:tcW w:w="0" w:type="auto"/>
            <w:gridSpan w:val="3"/>
            <w:shd w:val="clear" w:color="auto" w:fill="CCEEFF"/>
            <w:tcMar>
              <w:top w:w="30" w:type="dxa"/>
              <w:left w:w="245" w:type="dxa"/>
              <w:bottom w:w="30" w:type="dxa"/>
              <w:right w:w="20" w:type="dxa"/>
            </w:tcMar>
            <w:vAlign w:val="center"/>
            <w:hideMark/>
          </w:tcPr>
          <w:p w14:paraId="634F86A8" w14:textId="77777777" w:rsidR="00000000" w:rsidRDefault="00405D16">
            <w:pPr>
              <w:spacing w:after="100"/>
              <w:rPr>
                <w:rFonts w:eastAsia="Times New Roman"/>
              </w:rPr>
            </w:pPr>
            <w:r>
              <w:rPr>
                <w:rFonts w:eastAsia="Times New Roman"/>
                <w:color w:val="000000"/>
                <w:sz w:val="18"/>
                <w:szCs w:val="18"/>
              </w:rPr>
              <w:t>U.S. Treasury securities</w:t>
            </w:r>
          </w:p>
        </w:tc>
        <w:tc>
          <w:tcPr>
            <w:tcW w:w="0" w:type="auto"/>
            <w:gridSpan w:val="3"/>
            <w:shd w:val="clear" w:color="auto" w:fill="CCEEFF"/>
            <w:tcMar>
              <w:top w:w="0" w:type="dxa"/>
              <w:left w:w="20" w:type="dxa"/>
              <w:bottom w:w="0" w:type="dxa"/>
              <w:right w:w="20" w:type="dxa"/>
            </w:tcMar>
            <w:vAlign w:val="center"/>
            <w:hideMark/>
          </w:tcPr>
          <w:p w14:paraId="7CEDD2FD" w14:textId="77777777" w:rsidR="00000000" w:rsidRDefault="00405D16">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4AC42CB2"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62F37B02" w14:textId="77777777" w:rsidR="00000000" w:rsidRDefault="00405D16">
            <w:pPr>
              <w:spacing w:after="100"/>
              <w:jc w:val="right"/>
              <w:rPr>
                <w:rFonts w:eastAsia="Times New Roman"/>
              </w:rPr>
            </w:pPr>
            <w:r>
              <w:rPr>
                <w:rFonts w:eastAsia="Times New Roman"/>
                <w:color w:val="000000"/>
                <w:sz w:val="18"/>
                <w:szCs w:val="18"/>
              </w:rPr>
              <w:t>9,318 </w:t>
            </w:r>
          </w:p>
        </w:tc>
        <w:tc>
          <w:tcPr>
            <w:tcW w:w="0" w:type="auto"/>
            <w:shd w:val="clear" w:color="auto" w:fill="CCEEFF"/>
            <w:tcMar>
              <w:top w:w="30" w:type="dxa"/>
              <w:left w:w="0" w:type="dxa"/>
              <w:bottom w:w="30" w:type="dxa"/>
              <w:right w:w="20" w:type="dxa"/>
            </w:tcMar>
            <w:vAlign w:val="center"/>
            <w:hideMark/>
          </w:tcPr>
          <w:p w14:paraId="31C2ED7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1CE418"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55673BD8"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746FA01D"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795E5FC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8D878C"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3495E47F"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756B9F6B"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3CCFD06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7B7F2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BC9AC53" w14:textId="77777777" w:rsidR="00000000" w:rsidRDefault="00405D16">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2E4A5A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B2AAD1"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394FD68A"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46E631F7" w14:textId="77777777" w:rsidR="00000000" w:rsidRDefault="00405D16">
            <w:pPr>
              <w:spacing w:after="100"/>
              <w:jc w:val="right"/>
              <w:rPr>
                <w:rFonts w:eastAsia="Times New Roman"/>
              </w:rPr>
            </w:pPr>
            <w:r>
              <w:rPr>
                <w:rFonts w:eastAsia="Times New Roman"/>
                <w:color w:val="000000"/>
                <w:sz w:val="18"/>
                <w:szCs w:val="18"/>
              </w:rPr>
              <w:t>9,318 </w:t>
            </w:r>
          </w:p>
        </w:tc>
        <w:tc>
          <w:tcPr>
            <w:tcW w:w="0" w:type="auto"/>
            <w:shd w:val="clear" w:color="auto" w:fill="CCEEFF"/>
            <w:tcMar>
              <w:top w:w="30" w:type="dxa"/>
              <w:left w:w="0" w:type="dxa"/>
              <w:bottom w:w="30" w:type="dxa"/>
              <w:right w:w="20" w:type="dxa"/>
            </w:tcMar>
            <w:vAlign w:val="center"/>
            <w:hideMark/>
          </w:tcPr>
          <w:p w14:paraId="0817B5AA" w14:textId="77777777" w:rsidR="00000000" w:rsidRDefault="00405D16">
            <w:pPr>
              <w:spacing w:after="100"/>
              <w:jc w:val="right"/>
              <w:rPr>
                <w:rFonts w:eastAsia="Times New Roman"/>
              </w:rPr>
            </w:pPr>
          </w:p>
        </w:tc>
      </w:tr>
      <w:tr w:rsidR="00000000" w14:paraId="7B79705E" w14:textId="77777777">
        <w:trPr>
          <w:divId w:val="2041857050"/>
        </w:trPr>
        <w:tc>
          <w:tcPr>
            <w:tcW w:w="0" w:type="auto"/>
            <w:gridSpan w:val="3"/>
            <w:shd w:val="clear" w:color="auto" w:fill="FFFFFF"/>
            <w:tcMar>
              <w:top w:w="30" w:type="dxa"/>
              <w:left w:w="245" w:type="dxa"/>
              <w:bottom w:w="30" w:type="dxa"/>
              <w:right w:w="20" w:type="dxa"/>
            </w:tcMar>
            <w:vAlign w:val="center"/>
            <w:hideMark/>
          </w:tcPr>
          <w:p w14:paraId="06FA7B54" w14:textId="77777777" w:rsidR="00000000" w:rsidRDefault="00405D16">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14:paraId="5259FE76"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183D081"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18E2C45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92675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1943200" w14:textId="77777777" w:rsidR="00000000" w:rsidRDefault="00405D16">
            <w:pPr>
              <w:spacing w:after="100"/>
              <w:jc w:val="right"/>
              <w:rPr>
                <w:rFonts w:eastAsia="Times New Roman"/>
              </w:rPr>
            </w:pPr>
            <w:r>
              <w:rPr>
                <w:rFonts w:eastAsia="Times New Roman"/>
                <w:color w:val="000000"/>
                <w:sz w:val="18"/>
                <w:szCs w:val="18"/>
              </w:rPr>
              <w:t>76,375 </w:t>
            </w:r>
          </w:p>
        </w:tc>
        <w:tc>
          <w:tcPr>
            <w:tcW w:w="0" w:type="auto"/>
            <w:shd w:val="clear" w:color="auto" w:fill="FFFFFF"/>
            <w:tcMar>
              <w:top w:w="30" w:type="dxa"/>
              <w:left w:w="0" w:type="dxa"/>
              <w:bottom w:w="30" w:type="dxa"/>
              <w:right w:w="20" w:type="dxa"/>
            </w:tcMar>
            <w:vAlign w:val="center"/>
            <w:hideMark/>
          </w:tcPr>
          <w:p w14:paraId="0D4F145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CB845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3A04BA0" w14:textId="77777777" w:rsidR="00000000" w:rsidRDefault="00405D16">
            <w:pPr>
              <w:spacing w:after="100"/>
              <w:jc w:val="right"/>
              <w:rPr>
                <w:rFonts w:eastAsia="Times New Roman"/>
              </w:rPr>
            </w:pPr>
            <w:r>
              <w:rPr>
                <w:rFonts w:eastAsia="Times New Roman"/>
                <w:color w:val="000000"/>
                <w:sz w:val="18"/>
                <w:szCs w:val="18"/>
              </w:rPr>
              <w:t>328 </w:t>
            </w:r>
          </w:p>
        </w:tc>
        <w:tc>
          <w:tcPr>
            <w:tcW w:w="0" w:type="auto"/>
            <w:shd w:val="clear" w:color="auto" w:fill="FFFFFF"/>
            <w:tcMar>
              <w:top w:w="30" w:type="dxa"/>
              <w:left w:w="0" w:type="dxa"/>
              <w:bottom w:w="30" w:type="dxa"/>
              <w:right w:w="20" w:type="dxa"/>
            </w:tcMar>
            <w:vAlign w:val="center"/>
            <w:hideMark/>
          </w:tcPr>
          <w:p w14:paraId="6782336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FB076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157E677" w14:textId="77777777" w:rsidR="00000000" w:rsidRDefault="00405D16">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4313A3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93722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68E1229" w14:textId="77777777" w:rsidR="00000000" w:rsidRDefault="00405D16">
            <w:pPr>
              <w:spacing w:after="100"/>
              <w:jc w:val="right"/>
              <w:rPr>
                <w:rFonts w:eastAsia="Times New Roman"/>
              </w:rPr>
            </w:pPr>
            <w:r>
              <w:rPr>
                <w:rFonts w:eastAsia="Times New Roman"/>
                <w:color w:val="000000"/>
                <w:sz w:val="18"/>
                <w:szCs w:val="18"/>
              </w:rPr>
              <w:t>76,703 </w:t>
            </w:r>
          </w:p>
        </w:tc>
        <w:tc>
          <w:tcPr>
            <w:tcW w:w="0" w:type="auto"/>
            <w:shd w:val="clear" w:color="auto" w:fill="FFFFFF"/>
            <w:tcMar>
              <w:top w:w="30" w:type="dxa"/>
              <w:left w:w="0" w:type="dxa"/>
              <w:bottom w:w="30" w:type="dxa"/>
              <w:right w:w="20" w:type="dxa"/>
            </w:tcMar>
            <w:vAlign w:val="center"/>
            <w:hideMark/>
          </w:tcPr>
          <w:p w14:paraId="535B953F" w14:textId="77777777" w:rsidR="00000000" w:rsidRDefault="00405D16">
            <w:pPr>
              <w:spacing w:after="100"/>
              <w:jc w:val="right"/>
              <w:rPr>
                <w:rFonts w:eastAsia="Times New Roman"/>
              </w:rPr>
            </w:pPr>
          </w:p>
        </w:tc>
      </w:tr>
      <w:tr w:rsidR="00000000" w14:paraId="11F0B6DA" w14:textId="77777777">
        <w:trPr>
          <w:divId w:val="2041857050"/>
        </w:trPr>
        <w:tc>
          <w:tcPr>
            <w:tcW w:w="0" w:type="auto"/>
            <w:gridSpan w:val="3"/>
            <w:shd w:val="clear" w:color="auto" w:fill="CCEEFF"/>
            <w:tcMar>
              <w:top w:w="30" w:type="dxa"/>
              <w:left w:w="245" w:type="dxa"/>
              <w:bottom w:w="30" w:type="dxa"/>
              <w:right w:w="20" w:type="dxa"/>
            </w:tcMar>
            <w:vAlign w:val="center"/>
            <w:hideMark/>
          </w:tcPr>
          <w:p w14:paraId="7CD8C838" w14:textId="77777777" w:rsidR="00000000" w:rsidRDefault="00405D16">
            <w:pPr>
              <w:spacing w:after="100"/>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14:paraId="23861923"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A7F12E1"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2804204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57E64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42A8730" w14:textId="77777777" w:rsidR="00000000" w:rsidRDefault="00405D16">
            <w:pPr>
              <w:spacing w:after="100"/>
              <w:jc w:val="right"/>
              <w:rPr>
                <w:rFonts w:eastAsia="Times New Roman"/>
              </w:rPr>
            </w:pPr>
            <w:r>
              <w:rPr>
                <w:rFonts w:eastAsia="Times New Roman"/>
                <w:color w:val="000000"/>
                <w:sz w:val="18"/>
                <w:szCs w:val="18"/>
              </w:rPr>
              <w:t>11,624 </w:t>
            </w:r>
          </w:p>
        </w:tc>
        <w:tc>
          <w:tcPr>
            <w:tcW w:w="0" w:type="auto"/>
            <w:shd w:val="clear" w:color="auto" w:fill="CCEEFF"/>
            <w:tcMar>
              <w:top w:w="30" w:type="dxa"/>
              <w:left w:w="0" w:type="dxa"/>
              <w:bottom w:w="30" w:type="dxa"/>
              <w:right w:w="20" w:type="dxa"/>
            </w:tcMar>
            <w:vAlign w:val="center"/>
            <w:hideMark/>
          </w:tcPr>
          <w:p w14:paraId="4E91224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DC5EC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12CA421" w14:textId="77777777" w:rsidR="00000000" w:rsidRDefault="00405D16">
            <w:pPr>
              <w:spacing w:after="100"/>
              <w:jc w:val="right"/>
              <w:rPr>
                <w:rFonts w:eastAsia="Times New Roman"/>
              </w:rPr>
            </w:pPr>
            <w:r>
              <w:rPr>
                <w:rFonts w:eastAsia="Times New Roman"/>
                <w:color w:val="000000"/>
                <w:sz w:val="18"/>
                <w:szCs w:val="18"/>
              </w:rPr>
              <w:t>111 </w:t>
            </w:r>
          </w:p>
        </w:tc>
        <w:tc>
          <w:tcPr>
            <w:tcW w:w="0" w:type="auto"/>
            <w:shd w:val="clear" w:color="auto" w:fill="CCEEFF"/>
            <w:tcMar>
              <w:top w:w="30" w:type="dxa"/>
              <w:left w:w="0" w:type="dxa"/>
              <w:bottom w:w="30" w:type="dxa"/>
              <w:right w:w="20" w:type="dxa"/>
            </w:tcMar>
            <w:vAlign w:val="center"/>
            <w:hideMark/>
          </w:tcPr>
          <w:p w14:paraId="78A1436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A4AAB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13589D8" w14:textId="77777777" w:rsidR="00000000" w:rsidRDefault="00405D16">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DF5DDC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4967D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7209EEE" w14:textId="77777777" w:rsidR="00000000" w:rsidRDefault="00405D16">
            <w:pPr>
              <w:spacing w:after="100"/>
              <w:jc w:val="right"/>
              <w:rPr>
                <w:rFonts w:eastAsia="Times New Roman"/>
              </w:rPr>
            </w:pPr>
            <w:r>
              <w:rPr>
                <w:rFonts w:eastAsia="Times New Roman"/>
                <w:color w:val="000000"/>
                <w:sz w:val="18"/>
                <w:szCs w:val="18"/>
              </w:rPr>
              <w:t>11,735 </w:t>
            </w:r>
          </w:p>
        </w:tc>
        <w:tc>
          <w:tcPr>
            <w:tcW w:w="0" w:type="auto"/>
            <w:shd w:val="clear" w:color="auto" w:fill="CCEEFF"/>
            <w:tcMar>
              <w:top w:w="30" w:type="dxa"/>
              <w:left w:w="0" w:type="dxa"/>
              <w:bottom w:w="30" w:type="dxa"/>
              <w:right w:w="20" w:type="dxa"/>
            </w:tcMar>
            <w:vAlign w:val="center"/>
            <w:hideMark/>
          </w:tcPr>
          <w:p w14:paraId="197E00C8" w14:textId="77777777" w:rsidR="00000000" w:rsidRDefault="00405D16">
            <w:pPr>
              <w:spacing w:after="100"/>
              <w:jc w:val="right"/>
              <w:rPr>
                <w:rFonts w:eastAsia="Times New Roman"/>
              </w:rPr>
            </w:pPr>
          </w:p>
        </w:tc>
      </w:tr>
      <w:tr w:rsidR="00000000" w14:paraId="57BD0C12" w14:textId="77777777">
        <w:trPr>
          <w:divId w:val="2041857050"/>
        </w:trPr>
        <w:tc>
          <w:tcPr>
            <w:tcW w:w="0" w:type="auto"/>
            <w:gridSpan w:val="3"/>
            <w:shd w:val="clear" w:color="auto" w:fill="FFFFFF"/>
            <w:tcMar>
              <w:top w:w="30" w:type="dxa"/>
              <w:left w:w="245" w:type="dxa"/>
              <w:bottom w:w="30" w:type="dxa"/>
              <w:right w:w="20" w:type="dxa"/>
            </w:tcMar>
            <w:vAlign w:val="center"/>
            <w:hideMark/>
          </w:tcPr>
          <w:p w14:paraId="5AA37387" w14:textId="77777777" w:rsidR="00000000" w:rsidRDefault="00405D16">
            <w:pPr>
              <w:spacing w:after="100"/>
              <w:rPr>
                <w:rFonts w:eastAsia="Times New Roman"/>
              </w:rPr>
            </w:pPr>
            <w:r>
              <w:rPr>
                <w:rFonts w:eastAsia="Times New Roman"/>
                <w:color w:val="000000"/>
                <w:sz w:val="18"/>
                <w:szCs w:val="18"/>
              </w:rPr>
              <w:t>Other securities</w:t>
            </w:r>
          </w:p>
        </w:tc>
        <w:tc>
          <w:tcPr>
            <w:tcW w:w="0" w:type="auto"/>
            <w:gridSpan w:val="3"/>
            <w:shd w:val="clear" w:color="auto" w:fill="FFFFFF"/>
            <w:tcMar>
              <w:top w:w="0" w:type="dxa"/>
              <w:left w:w="20" w:type="dxa"/>
              <w:bottom w:w="0" w:type="dxa"/>
              <w:right w:w="20" w:type="dxa"/>
            </w:tcMar>
            <w:vAlign w:val="center"/>
            <w:hideMark/>
          </w:tcPr>
          <w:p w14:paraId="4B93F3EF"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601F543" w14:textId="77777777" w:rsidR="00000000" w:rsidRDefault="00405D16">
            <w:pPr>
              <w:spacing w:after="100"/>
              <w:jc w:val="right"/>
              <w:rPr>
                <w:rFonts w:eastAsia="Times New Roman"/>
              </w:rPr>
            </w:pPr>
            <w:r>
              <w:rPr>
                <w:rFonts w:eastAsia="Times New Roman"/>
                <w:color w:val="000000"/>
                <w:sz w:val="18"/>
                <w:szCs w:val="18"/>
              </w:rPr>
              <w:t>142 </w:t>
            </w:r>
          </w:p>
        </w:tc>
        <w:tc>
          <w:tcPr>
            <w:tcW w:w="0" w:type="auto"/>
            <w:shd w:val="clear" w:color="auto" w:fill="FFFFFF"/>
            <w:tcMar>
              <w:top w:w="30" w:type="dxa"/>
              <w:left w:w="0" w:type="dxa"/>
              <w:bottom w:w="30" w:type="dxa"/>
              <w:right w:w="20" w:type="dxa"/>
            </w:tcMar>
            <w:vAlign w:val="center"/>
            <w:hideMark/>
          </w:tcPr>
          <w:p w14:paraId="142AD23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CFA81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E70CDA7" w14:textId="77777777" w:rsidR="00000000" w:rsidRDefault="00405D16">
            <w:pPr>
              <w:spacing w:after="100"/>
              <w:jc w:val="right"/>
              <w:rPr>
                <w:rFonts w:eastAsia="Times New Roman"/>
              </w:rPr>
            </w:pPr>
            <w:r>
              <w:rPr>
                <w:rFonts w:eastAsia="Times New Roman"/>
                <w:color w:val="000000"/>
                <w:sz w:val="18"/>
                <w:szCs w:val="18"/>
              </w:rPr>
              <w:t>2,547 </w:t>
            </w:r>
          </w:p>
        </w:tc>
        <w:tc>
          <w:tcPr>
            <w:tcW w:w="0" w:type="auto"/>
            <w:shd w:val="clear" w:color="auto" w:fill="FFFFFF"/>
            <w:tcMar>
              <w:top w:w="30" w:type="dxa"/>
              <w:left w:w="0" w:type="dxa"/>
              <w:bottom w:w="30" w:type="dxa"/>
              <w:right w:w="20" w:type="dxa"/>
            </w:tcMar>
            <w:vAlign w:val="center"/>
            <w:hideMark/>
          </w:tcPr>
          <w:p w14:paraId="088E623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5A12E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F93C942"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139CE2A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B046A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9929B80" w14:textId="77777777" w:rsidR="00000000" w:rsidRDefault="00405D16">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86477D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56FE3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163BF9A" w14:textId="77777777" w:rsidR="00000000" w:rsidRDefault="00405D16">
            <w:pPr>
              <w:spacing w:after="100"/>
              <w:jc w:val="right"/>
              <w:rPr>
                <w:rFonts w:eastAsia="Times New Roman"/>
              </w:rPr>
            </w:pPr>
            <w:r>
              <w:rPr>
                <w:rFonts w:eastAsia="Times New Roman"/>
                <w:color w:val="000000"/>
                <w:sz w:val="18"/>
                <w:szCs w:val="18"/>
              </w:rPr>
              <w:t>2,689 </w:t>
            </w:r>
          </w:p>
        </w:tc>
        <w:tc>
          <w:tcPr>
            <w:tcW w:w="0" w:type="auto"/>
            <w:shd w:val="clear" w:color="auto" w:fill="FFFFFF"/>
            <w:tcMar>
              <w:top w:w="30" w:type="dxa"/>
              <w:left w:w="0" w:type="dxa"/>
              <w:bottom w:w="30" w:type="dxa"/>
              <w:right w:w="20" w:type="dxa"/>
            </w:tcMar>
            <w:vAlign w:val="center"/>
            <w:hideMark/>
          </w:tcPr>
          <w:p w14:paraId="7ABA4A30" w14:textId="77777777" w:rsidR="00000000" w:rsidRDefault="00405D16">
            <w:pPr>
              <w:spacing w:after="100"/>
              <w:jc w:val="right"/>
              <w:rPr>
                <w:rFonts w:eastAsia="Times New Roman"/>
              </w:rPr>
            </w:pPr>
          </w:p>
        </w:tc>
      </w:tr>
      <w:tr w:rsidR="00000000" w14:paraId="3A67E7AB" w14:textId="77777777">
        <w:trPr>
          <w:divId w:val="2041857050"/>
        </w:trPr>
        <w:tc>
          <w:tcPr>
            <w:tcW w:w="0" w:type="auto"/>
            <w:gridSpan w:val="3"/>
            <w:shd w:val="clear" w:color="auto" w:fill="CCEEFF"/>
            <w:tcMar>
              <w:top w:w="30" w:type="dxa"/>
              <w:left w:w="20" w:type="dxa"/>
              <w:bottom w:w="30" w:type="dxa"/>
              <w:right w:w="20" w:type="dxa"/>
            </w:tcMar>
            <w:vAlign w:val="center"/>
            <w:hideMark/>
          </w:tcPr>
          <w:p w14:paraId="0A84F977" w14:textId="77777777" w:rsidR="00000000" w:rsidRDefault="00405D16">
            <w:pPr>
              <w:spacing w:after="100"/>
              <w:rPr>
                <w:rFonts w:eastAsia="Times New Roman"/>
              </w:rPr>
            </w:pPr>
            <w:r>
              <w:rPr>
                <w:rFonts w:eastAsia="Times New Roman"/>
                <w:color w:val="000000"/>
                <w:sz w:val="18"/>
                <w:szCs w:val="18"/>
              </w:rPr>
              <w:t>Total securities available for sale</w:t>
            </w:r>
          </w:p>
        </w:tc>
        <w:tc>
          <w:tcPr>
            <w:tcW w:w="0" w:type="auto"/>
            <w:gridSpan w:val="3"/>
            <w:shd w:val="clear" w:color="auto" w:fill="CCEEFF"/>
            <w:tcMar>
              <w:top w:w="0" w:type="dxa"/>
              <w:left w:w="20" w:type="dxa"/>
              <w:bottom w:w="0" w:type="dxa"/>
              <w:right w:w="20" w:type="dxa"/>
            </w:tcMar>
            <w:vAlign w:val="center"/>
            <w:hideMark/>
          </w:tcPr>
          <w:p w14:paraId="2A63056D"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3D3ED1B" w14:textId="77777777" w:rsidR="00000000" w:rsidRDefault="00405D16">
            <w:pPr>
              <w:spacing w:after="100"/>
              <w:jc w:val="right"/>
              <w:rPr>
                <w:rFonts w:eastAsia="Times New Roman"/>
              </w:rPr>
            </w:pPr>
            <w:r>
              <w:rPr>
                <w:rFonts w:eastAsia="Times New Roman"/>
                <w:color w:val="000000"/>
                <w:sz w:val="18"/>
                <w:szCs w:val="18"/>
              </w:rPr>
              <w:t>9,460 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43BFBB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34DD05"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30FE979" w14:textId="77777777" w:rsidR="00000000" w:rsidRDefault="00405D16">
            <w:pPr>
              <w:spacing w:after="100"/>
              <w:jc w:val="right"/>
              <w:rPr>
                <w:rFonts w:eastAsia="Times New Roman"/>
              </w:rPr>
            </w:pPr>
            <w:r>
              <w:rPr>
                <w:rFonts w:eastAsia="Times New Roman"/>
                <w:color w:val="000000"/>
                <w:sz w:val="18"/>
                <w:szCs w:val="18"/>
              </w:rPr>
              <w:t>90,546 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47CAD1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08EE9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7B53F1D" w14:textId="77777777" w:rsidR="00000000" w:rsidRDefault="00405D16">
            <w:pPr>
              <w:spacing w:after="100"/>
              <w:jc w:val="right"/>
              <w:rPr>
                <w:rFonts w:eastAsia="Times New Roman"/>
              </w:rPr>
            </w:pPr>
            <w:r>
              <w:rPr>
                <w:rFonts w:eastAsia="Times New Roman"/>
                <w:color w:val="000000"/>
                <w:sz w:val="18"/>
                <w:szCs w:val="18"/>
              </w:rPr>
              <w:t>439 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F4320D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4FA1C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2FD7E86" w14:textId="77777777" w:rsidR="00000000" w:rsidRDefault="00405D16">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1EB958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D31987"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E873B90" w14:textId="77777777" w:rsidR="00000000" w:rsidRDefault="00405D16">
            <w:pPr>
              <w:spacing w:after="100"/>
              <w:jc w:val="right"/>
              <w:rPr>
                <w:rFonts w:eastAsia="Times New Roman"/>
              </w:rPr>
            </w:pPr>
            <w:r>
              <w:rPr>
                <w:rFonts w:eastAsia="Times New Roman"/>
                <w:color w:val="000000"/>
                <w:sz w:val="18"/>
                <w:szCs w:val="18"/>
              </w:rPr>
              <w:t>100,445 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504F640" w14:textId="77777777" w:rsidR="00000000" w:rsidRDefault="00405D16">
            <w:pPr>
              <w:spacing w:after="100"/>
              <w:jc w:val="right"/>
              <w:rPr>
                <w:rFonts w:eastAsia="Times New Roman"/>
              </w:rPr>
            </w:pPr>
          </w:p>
        </w:tc>
      </w:tr>
      <w:tr w:rsidR="00000000" w14:paraId="74DE7EB2" w14:textId="77777777">
        <w:trPr>
          <w:divId w:val="2041857050"/>
        </w:trPr>
        <w:tc>
          <w:tcPr>
            <w:tcW w:w="0" w:type="auto"/>
            <w:gridSpan w:val="3"/>
            <w:shd w:val="clear" w:color="auto" w:fill="FFFFFF"/>
            <w:tcMar>
              <w:top w:w="30" w:type="dxa"/>
              <w:left w:w="20" w:type="dxa"/>
              <w:bottom w:w="30" w:type="dxa"/>
              <w:right w:w="20" w:type="dxa"/>
            </w:tcMar>
            <w:vAlign w:val="center"/>
            <w:hideMark/>
          </w:tcPr>
          <w:p w14:paraId="3F2F4C9C" w14:textId="77777777" w:rsidR="00000000" w:rsidRDefault="00405D16">
            <w:pPr>
              <w:spacing w:after="100"/>
              <w:rPr>
                <w:rFonts w:eastAsia="Times New Roman"/>
              </w:rPr>
            </w:pPr>
            <w:r>
              <w:rPr>
                <w:rFonts w:eastAsia="Times New Roman"/>
                <w:color w:val="000000"/>
                <w:sz w:val="18"/>
                <w:szCs w:val="18"/>
              </w:rPr>
              <w:t>Loans held for sale</w:t>
            </w:r>
          </w:p>
        </w:tc>
        <w:tc>
          <w:tcPr>
            <w:tcW w:w="0" w:type="auto"/>
            <w:gridSpan w:val="3"/>
            <w:shd w:val="clear" w:color="auto" w:fill="FFFFFF"/>
            <w:tcMar>
              <w:top w:w="0" w:type="dxa"/>
              <w:left w:w="20" w:type="dxa"/>
              <w:bottom w:w="0" w:type="dxa"/>
              <w:right w:w="20" w:type="dxa"/>
            </w:tcMar>
            <w:vAlign w:val="center"/>
            <w:hideMark/>
          </w:tcPr>
          <w:p w14:paraId="149ACD13"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1BA018F"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27DA928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334A9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5C22427" w14:textId="77777777" w:rsidR="00000000" w:rsidRDefault="00405D16">
            <w:pPr>
              <w:spacing w:after="100"/>
              <w:jc w:val="right"/>
              <w:rPr>
                <w:rFonts w:eastAsia="Times New Roman"/>
              </w:rPr>
            </w:pPr>
            <w:r>
              <w:rPr>
                <w:rFonts w:eastAsia="Times New Roman"/>
                <w:color w:val="000000"/>
                <w:sz w:val="18"/>
                <w:szCs w:val="18"/>
              </w:rPr>
              <w:t>596 </w:t>
            </w:r>
          </w:p>
        </w:tc>
        <w:tc>
          <w:tcPr>
            <w:tcW w:w="0" w:type="auto"/>
            <w:shd w:val="clear" w:color="auto" w:fill="FFFFFF"/>
            <w:tcMar>
              <w:top w:w="30" w:type="dxa"/>
              <w:left w:w="0" w:type="dxa"/>
              <w:bottom w:w="30" w:type="dxa"/>
              <w:right w:w="20" w:type="dxa"/>
            </w:tcMar>
            <w:vAlign w:val="center"/>
            <w:hideMark/>
          </w:tcPr>
          <w:p w14:paraId="13F1D21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14D79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D9F16D8"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7B3C1A4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C936B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145D0CC" w14:textId="77777777" w:rsidR="00000000" w:rsidRDefault="00405D16">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E67D74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BBCA3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F488CBF" w14:textId="77777777" w:rsidR="00000000" w:rsidRDefault="00405D16">
            <w:pPr>
              <w:spacing w:after="100"/>
              <w:jc w:val="right"/>
              <w:rPr>
                <w:rFonts w:eastAsia="Times New Roman"/>
              </w:rPr>
            </w:pPr>
            <w:r>
              <w:rPr>
                <w:rFonts w:eastAsia="Times New Roman"/>
                <w:color w:val="000000"/>
                <w:sz w:val="18"/>
                <w:szCs w:val="18"/>
              </w:rPr>
              <w:t>596 </w:t>
            </w:r>
          </w:p>
        </w:tc>
        <w:tc>
          <w:tcPr>
            <w:tcW w:w="0" w:type="auto"/>
            <w:shd w:val="clear" w:color="auto" w:fill="FFFFFF"/>
            <w:tcMar>
              <w:top w:w="30" w:type="dxa"/>
              <w:left w:w="0" w:type="dxa"/>
              <w:bottom w:w="30" w:type="dxa"/>
              <w:right w:w="20" w:type="dxa"/>
            </w:tcMar>
            <w:vAlign w:val="center"/>
            <w:hideMark/>
          </w:tcPr>
          <w:p w14:paraId="7D4C5825" w14:textId="77777777" w:rsidR="00000000" w:rsidRDefault="00405D16">
            <w:pPr>
              <w:spacing w:after="100"/>
              <w:jc w:val="right"/>
              <w:rPr>
                <w:rFonts w:eastAsia="Times New Roman"/>
              </w:rPr>
            </w:pPr>
          </w:p>
        </w:tc>
      </w:tr>
      <w:tr w:rsidR="00000000" w14:paraId="4E767A15" w14:textId="77777777">
        <w:trPr>
          <w:divId w:val="2041857050"/>
        </w:trPr>
        <w:tc>
          <w:tcPr>
            <w:tcW w:w="0" w:type="auto"/>
            <w:gridSpan w:val="3"/>
            <w:shd w:val="clear" w:color="auto" w:fill="CCEEFF"/>
            <w:tcMar>
              <w:top w:w="30" w:type="dxa"/>
              <w:left w:w="20" w:type="dxa"/>
              <w:bottom w:w="30" w:type="dxa"/>
              <w:right w:w="20" w:type="dxa"/>
            </w:tcMar>
            <w:vAlign w:val="center"/>
            <w:hideMark/>
          </w:tcPr>
          <w:p w14:paraId="16AF6B3A" w14:textId="77777777" w:rsidR="00000000" w:rsidRDefault="00405D16">
            <w:pPr>
              <w:spacing w:after="100"/>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14:paraId="62B14D96" w14:textId="77777777" w:rsidR="00000000" w:rsidRDefault="00405D1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FA523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305F2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BEE88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EA837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C1531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9CF59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876F9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D0A86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D877BE" w14:textId="77777777" w:rsidR="00000000" w:rsidRDefault="00405D16">
            <w:pPr>
              <w:spacing w:after="100"/>
              <w:rPr>
                <w:rFonts w:eastAsia="Times New Roman"/>
                <w:sz w:val="20"/>
                <w:szCs w:val="20"/>
              </w:rPr>
            </w:pPr>
          </w:p>
        </w:tc>
      </w:tr>
      <w:tr w:rsidR="00000000" w14:paraId="252667F7" w14:textId="77777777">
        <w:trPr>
          <w:divId w:val="2041857050"/>
        </w:trPr>
        <w:tc>
          <w:tcPr>
            <w:tcW w:w="0" w:type="auto"/>
            <w:gridSpan w:val="3"/>
            <w:shd w:val="clear" w:color="auto" w:fill="FFFFFF"/>
            <w:tcMar>
              <w:top w:w="30" w:type="dxa"/>
              <w:left w:w="20" w:type="dxa"/>
              <w:bottom w:w="30" w:type="dxa"/>
              <w:right w:w="20" w:type="dxa"/>
            </w:tcMar>
            <w:vAlign w:val="center"/>
            <w:hideMark/>
          </w:tcPr>
          <w:p w14:paraId="32364B1A" w14:textId="77777777" w:rsidR="00000000" w:rsidRDefault="00405D16">
            <w:pPr>
              <w:spacing w:after="100"/>
              <w:divId w:val="1119422324"/>
              <w:rPr>
                <w:rFonts w:eastAsia="Times New Roman"/>
              </w:rPr>
            </w:pPr>
            <w:r>
              <w:rPr>
                <w:rFonts w:eastAsia="Times New Roman"/>
                <w:color w:val="000000"/>
                <w:sz w:val="18"/>
                <w:szCs w:val="18"/>
              </w:rPr>
              <w:t>Derivative asset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67EBE542"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FC6F362" w14:textId="77777777" w:rsidR="00000000" w:rsidRDefault="00405D16">
            <w:pPr>
              <w:spacing w:after="100"/>
              <w:jc w:val="right"/>
              <w:rPr>
                <w:rFonts w:eastAsia="Times New Roman"/>
              </w:rPr>
            </w:pPr>
            <w:r>
              <w:rPr>
                <w:rFonts w:eastAsia="Times New Roman"/>
                <w:color w:val="000000"/>
                <w:sz w:val="18"/>
                <w:szCs w:val="18"/>
              </w:rPr>
              <w:t>268 </w:t>
            </w:r>
          </w:p>
        </w:tc>
        <w:tc>
          <w:tcPr>
            <w:tcW w:w="0" w:type="auto"/>
            <w:shd w:val="clear" w:color="auto" w:fill="FFFFFF"/>
            <w:tcMar>
              <w:top w:w="30" w:type="dxa"/>
              <w:left w:w="0" w:type="dxa"/>
              <w:bottom w:w="30" w:type="dxa"/>
              <w:right w:w="20" w:type="dxa"/>
            </w:tcMar>
            <w:vAlign w:val="center"/>
            <w:hideMark/>
          </w:tcPr>
          <w:p w14:paraId="6E73F1B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0C974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B154A34" w14:textId="77777777" w:rsidR="00000000" w:rsidRDefault="00405D16">
            <w:pPr>
              <w:spacing w:after="100"/>
              <w:jc w:val="right"/>
              <w:rPr>
                <w:rFonts w:eastAsia="Times New Roman"/>
              </w:rPr>
            </w:pPr>
            <w:r>
              <w:rPr>
                <w:rFonts w:eastAsia="Times New Roman"/>
                <w:color w:val="000000"/>
                <w:sz w:val="18"/>
                <w:szCs w:val="18"/>
              </w:rPr>
              <w:t>3,006 </w:t>
            </w:r>
          </w:p>
        </w:tc>
        <w:tc>
          <w:tcPr>
            <w:tcW w:w="0" w:type="auto"/>
            <w:shd w:val="clear" w:color="auto" w:fill="FFFFFF"/>
            <w:tcMar>
              <w:top w:w="30" w:type="dxa"/>
              <w:left w:w="0" w:type="dxa"/>
              <w:bottom w:w="30" w:type="dxa"/>
              <w:right w:w="20" w:type="dxa"/>
            </w:tcMar>
            <w:vAlign w:val="center"/>
            <w:hideMark/>
          </w:tcPr>
          <w:p w14:paraId="4ACC6FA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E42D7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FAFFE61" w14:textId="77777777" w:rsidR="00000000" w:rsidRDefault="00405D16">
            <w:pPr>
              <w:spacing w:after="100"/>
              <w:jc w:val="right"/>
              <w:rPr>
                <w:rFonts w:eastAsia="Times New Roman"/>
              </w:rPr>
            </w:pPr>
            <w:r>
              <w:rPr>
                <w:rFonts w:eastAsia="Times New Roman"/>
                <w:color w:val="000000"/>
                <w:sz w:val="18"/>
                <w:szCs w:val="18"/>
              </w:rPr>
              <w:t>141 </w:t>
            </w:r>
          </w:p>
        </w:tc>
        <w:tc>
          <w:tcPr>
            <w:tcW w:w="0" w:type="auto"/>
            <w:shd w:val="clear" w:color="auto" w:fill="FFFFFF"/>
            <w:tcMar>
              <w:top w:w="30" w:type="dxa"/>
              <w:left w:w="0" w:type="dxa"/>
              <w:bottom w:w="30" w:type="dxa"/>
              <w:right w:w="20" w:type="dxa"/>
            </w:tcMar>
            <w:vAlign w:val="center"/>
            <w:hideMark/>
          </w:tcPr>
          <w:p w14:paraId="6DBE76C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E06CB7"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2B78504"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1576D0CF" w14:textId="77777777" w:rsidR="00000000" w:rsidRDefault="00405D16">
            <w:pPr>
              <w:spacing w:after="100"/>
              <w:jc w:val="right"/>
              <w:rPr>
                <w:rFonts w:eastAsia="Times New Roman"/>
              </w:rPr>
            </w:pPr>
            <w:r>
              <w:rPr>
                <w:rFonts w:eastAsia="Times New Roman"/>
                <w:color w:val="000000"/>
                <w:sz w:val="18"/>
                <w:szCs w:val="18"/>
              </w:rPr>
              <w:t>(1,148)</w:t>
            </w:r>
          </w:p>
        </w:tc>
        <w:tc>
          <w:tcPr>
            <w:tcW w:w="0" w:type="auto"/>
            <w:shd w:val="clear" w:color="auto" w:fill="FFFFFF"/>
            <w:tcMar>
              <w:top w:w="30" w:type="dxa"/>
              <w:left w:w="0" w:type="dxa"/>
              <w:bottom w:w="30" w:type="dxa"/>
              <w:right w:w="20" w:type="dxa"/>
            </w:tcMar>
            <w:vAlign w:val="center"/>
            <w:hideMark/>
          </w:tcPr>
          <w:p w14:paraId="0A354D5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E41E8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F72FAEC" w14:textId="77777777" w:rsidR="00000000" w:rsidRDefault="00405D16">
            <w:pPr>
              <w:spacing w:after="100"/>
              <w:jc w:val="right"/>
              <w:rPr>
                <w:rFonts w:eastAsia="Times New Roman"/>
              </w:rPr>
            </w:pPr>
            <w:r>
              <w:rPr>
                <w:rFonts w:eastAsia="Times New Roman"/>
                <w:color w:val="000000"/>
                <w:sz w:val="18"/>
                <w:szCs w:val="18"/>
              </w:rPr>
              <w:t>2,267 </w:t>
            </w:r>
          </w:p>
        </w:tc>
        <w:tc>
          <w:tcPr>
            <w:tcW w:w="0" w:type="auto"/>
            <w:shd w:val="clear" w:color="auto" w:fill="FFFFFF"/>
            <w:tcMar>
              <w:top w:w="30" w:type="dxa"/>
              <w:left w:w="0" w:type="dxa"/>
              <w:bottom w:w="30" w:type="dxa"/>
              <w:right w:w="20" w:type="dxa"/>
            </w:tcMar>
            <w:vAlign w:val="center"/>
            <w:hideMark/>
          </w:tcPr>
          <w:p w14:paraId="79113B8C" w14:textId="77777777" w:rsidR="00000000" w:rsidRDefault="00405D16">
            <w:pPr>
              <w:spacing w:after="100"/>
              <w:jc w:val="right"/>
              <w:rPr>
                <w:rFonts w:eastAsia="Times New Roman"/>
              </w:rPr>
            </w:pPr>
          </w:p>
        </w:tc>
      </w:tr>
      <w:tr w:rsidR="00000000" w14:paraId="05B99467" w14:textId="77777777">
        <w:trPr>
          <w:divId w:val="2041857050"/>
        </w:trPr>
        <w:tc>
          <w:tcPr>
            <w:tcW w:w="0" w:type="auto"/>
            <w:gridSpan w:val="3"/>
            <w:shd w:val="clear" w:color="auto" w:fill="CCEEFF"/>
            <w:tcMar>
              <w:top w:w="30" w:type="dxa"/>
              <w:left w:w="20" w:type="dxa"/>
              <w:bottom w:w="30" w:type="dxa"/>
              <w:right w:w="20" w:type="dxa"/>
            </w:tcMar>
            <w:vAlign w:val="center"/>
            <w:hideMark/>
          </w:tcPr>
          <w:p w14:paraId="4D6F3D2E" w14:textId="77777777" w:rsidR="00000000" w:rsidRDefault="00405D16">
            <w:pPr>
              <w:spacing w:after="100"/>
              <w:divId w:val="1761949976"/>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3F8AEE5E"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FE77220" w14:textId="77777777" w:rsidR="00000000" w:rsidRDefault="00405D16">
            <w:pPr>
              <w:spacing w:after="100"/>
              <w:jc w:val="right"/>
              <w:rPr>
                <w:rFonts w:eastAsia="Times New Roman"/>
              </w:rPr>
            </w:pPr>
            <w:r>
              <w:rPr>
                <w:rFonts w:eastAsia="Times New Roman"/>
                <w:color w:val="000000"/>
                <w:sz w:val="18"/>
                <w:szCs w:val="18"/>
              </w:rPr>
              <w:t>430 </w:t>
            </w:r>
          </w:p>
        </w:tc>
        <w:tc>
          <w:tcPr>
            <w:tcW w:w="0" w:type="auto"/>
            <w:shd w:val="clear" w:color="auto" w:fill="CCEEFF"/>
            <w:tcMar>
              <w:top w:w="30" w:type="dxa"/>
              <w:left w:w="0" w:type="dxa"/>
              <w:bottom w:w="30" w:type="dxa"/>
              <w:right w:w="20" w:type="dxa"/>
            </w:tcMar>
            <w:vAlign w:val="center"/>
            <w:hideMark/>
          </w:tcPr>
          <w:p w14:paraId="7D1217A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216BC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F31A277" w14:textId="77777777" w:rsidR="00000000" w:rsidRDefault="00405D16">
            <w:pPr>
              <w:spacing w:after="100"/>
              <w:jc w:val="right"/>
              <w:rPr>
                <w:rFonts w:eastAsia="Times New Roman"/>
              </w:rPr>
            </w:pPr>
            <w:r>
              <w:rPr>
                <w:rFonts w:eastAsia="Times New Roman"/>
                <w:color w:val="000000"/>
                <w:sz w:val="18"/>
                <w:szCs w:val="18"/>
              </w:rPr>
              <w:t>552 </w:t>
            </w:r>
          </w:p>
        </w:tc>
        <w:tc>
          <w:tcPr>
            <w:tcW w:w="0" w:type="auto"/>
            <w:shd w:val="clear" w:color="auto" w:fill="CCEEFF"/>
            <w:tcMar>
              <w:top w:w="30" w:type="dxa"/>
              <w:left w:w="0" w:type="dxa"/>
              <w:bottom w:w="30" w:type="dxa"/>
              <w:right w:w="20" w:type="dxa"/>
            </w:tcMar>
            <w:vAlign w:val="center"/>
            <w:hideMark/>
          </w:tcPr>
          <w:p w14:paraId="1E3286E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6DECF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B28772D" w14:textId="77777777" w:rsidR="00000000" w:rsidRDefault="00405D16">
            <w:pPr>
              <w:spacing w:after="100"/>
              <w:jc w:val="right"/>
              <w:rPr>
                <w:rFonts w:eastAsia="Times New Roman"/>
              </w:rPr>
            </w:pPr>
            <w:r>
              <w:rPr>
                <w:rFonts w:eastAsia="Times New Roman"/>
                <w:color w:val="000000"/>
                <w:sz w:val="18"/>
                <w:szCs w:val="18"/>
              </w:rPr>
              <w:t>55 </w:t>
            </w:r>
          </w:p>
        </w:tc>
        <w:tc>
          <w:tcPr>
            <w:tcW w:w="0" w:type="auto"/>
            <w:shd w:val="clear" w:color="auto" w:fill="CCEEFF"/>
            <w:tcMar>
              <w:top w:w="30" w:type="dxa"/>
              <w:left w:w="0" w:type="dxa"/>
              <w:bottom w:w="30" w:type="dxa"/>
              <w:right w:w="20" w:type="dxa"/>
            </w:tcMar>
            <w:vAlign w:val="center"/>
            <w:hideMark/>
          </w:tcPr>
          <w:p w14:paraId="5A70E31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C40EC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7775E40" w14:textId="77777777" w:rsidR="00000000" w:rsidRDefault="00405D16">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967B06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E7B36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8D9D7D9" w14:textId="77777777" w:rsidR="00000000" w:rsidRDefault="00405D16">
            <w:pPr>
              <w:spacing w:after="100"/>
              <w:jc w:val="right"/>
              <w:rPr>
                <w:rFonts w:eastAsia="Times New Roman"/>
              </w:rPr>
            </w:pPr>
            <w:r>
              <w:rPr>
                <w:rFonts w:eastAsia="Times New Roman"/>
                <w:color w:val="000000"/>
                <w:sz w:val="18"/>
                <w:szCs w:val="18"/>
              </w:rPr>
              <w:t>1,037 </w:t>
            </w:r>
          </w:p>
        </w:tc>
        <w:tc>
          <w:tcPr>
            <w:tcW w:w="0" w:type="auto"/>
            <w:shd w:val="clear" w:color="auto" w:fill="CCEEFF"/>
            <w:tcMar>
              <w:top w:w="30" w:type="dxa"/>
              <w:left w:w="0" w:type="dxa"/>
              <w:bottom w:w="30" w:type="dxa"/>
              <w:right w:w="20" w:type="dxa"/>
            </w:tcMar>
            <w:vAlign w:val="center"/>
            <w:hideMark/>
          </w:tcPr>
          <w:p w14:paraId="483A757A" w14:textId="77777777" w:rsidR="00000000" w:rsidRDefault="00405D16">
            <w:pPr>
              <w:spacing w:after="100"/>
              <w:jc w:val="right"/>
              <w:rPr>
                <w:rFonts w:eastAsia="Times New Roman"/>
              </w:rPr>
            </w:pPr>
          </w:p>
        </w:tc>
      </w:tr>
      <w:tr w:rsidR="00000000" w14:paraId="34AEFDB4" w14:textId="77777777">
        <w:trPr>
          <w:divId w:val="2041857050"/>
        </w:trPr>
        <w:tc>
          <w:tcPr>
            <w:tcW w:w="0" w:type="auto"/>
            <w:gridSpan w:val="3"/>
            <w:shd w:val="clear" w:color="auto" w:fill="FFFFFF"/>
            <w:tcMar>
              <w:top w:w="30" w:type="dxa"/>
              <w:left w:w="20" w:type="dxa"/>
              <w:bottom w:w="30" w:type="dxa"/>
              <w:right w:w="20" w:type="dxa"/>
            </w:tcMar>
            <w:vAlign w:val="center"/>
            <w:hideMark/>
          </w:tcPr>
          <w:p w14:paraId="3B7EE70B" w14:textId="77777777" w:rsidR="00000000" w:rsidRDefault="00405D16">
            <w:pPr>
              <w:spacing w:after="100"/>
              <w:rPr>
                <w:rFonts w:eastAsia="Times New Roman"/>
              </w:rPr>
            </w:pPr>
            <w:r>
              <w:rPr>
                <w:rFonts w:eastAsia="Times New Roman"/>
                <w:b/>
                <w:bCs/>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14:paraId="0E72709C" w14:textId="77777777" w:rsidR="00000000" w:rsidRDefault="00405D16">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5756BB74"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3562467B" w14:textId="77777777" w:rsidR="00000000" w:rsidRDefault="00405D16">
            <w:pPr>
              <w:spacing w:after="100"/>
              <w:jc w:val="right"/>
              <w:rPr>
                <w:rFonts w:eastAsia="Times New Roman"/>
              </w:rPr>
            </w:pPr>
            <w:r>
              <w:rPr>
                <w:rFonts w:eastAsia="Times New Roman"/>
                <w:color w:val="000000"/>
                <w:sz w:val="18"/>
                <w:szCs w:val="18"/>
              </w:rPr>
              <w:t>10,158 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636A16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DA68D2"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7DF424EA"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1A39230A" w14:textId="77777777" w:rsidR="00000000" w:rsidRDefault="00405D16">
            <w:pPr>
              <w:spacing w:after="100"/>
              <w:jc w:val="right"/>
              <w:rPr>
                <w:rFonts w:eastAsia="Times New Roman"/>
              </w:rPr>
            </w:pPr>
            <w:r>
              <w:rPr>
                <w:rFonts w:eastAsia="Times New Roman"/>
                <w:color w:val="000000"/>
                <w:sz w:val="18"/>
                <w:szCs w:val="18"/>
              </w:rPr>
              <w:t>94,700 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D01FE3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81632F"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2EC6E38F"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1F14A491" w14:textId="77777777" w:rsidR="00000000" w:rsidRDefault="00405D16">
            <w:pPr>
              <w:spacing w:after="100"/>
              <w:jc w:val="right"/>
              <w:rPr>
                <w:rFonts w:eastAsia="Times New Roman"/>
              </w:rPr>
            </w:pPr>
            <w:r>
              <w:rPr>
                <w:rFonts w:eastAsia="Times New Roman"/>
                <w:color w:val="000000"/>
                <w:sz w:val="18"/>
                <w:szCs w:val="18"/>
              </w:rPr>
              <w:t>635 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5FA0A5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6AB5BF"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5CCB1EA7"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7763C455" w14:textId="77777777" w:rsidR="00000000" w:rsidRDefault="00405D16">
            <w:pPr>
              <w:spacing w:after="100"/>
              <w:jc w:val="right"/>
              <w:rPr>
                <w:rFonts w:eastAsia="Times New Roman"/>
              </w:rPr>
            </w:pPr>
            <w:r>
              <w:rPr>
                <w:rFonts w:eastAsia="Times New Roman"/>
                <w:color w:val="000000"/>
                <w:sz w:val="18"/>
                <w:szCs w:val="18"/>
              </w:rPr>
              <w:t>(1,148)</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96FDEA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BD6430"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73B97620"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2CF5B106" w14:textId="77777777" w:rsidR="00000000" w:rsidRDefault="00405D16">
            <w:pPr>
              <w:spacing w:after="100"/>
              <w:jc w:val="right"/>
              <w:rPr>
                <w:rFonts w:eastAsia="Times New Roman"/>
              </w:rPr>
            </w:pPr>
            <w:r>
              <w:rPr>
                <w:rFonts w:eastAsia="Times New Roman"/>
                <w:color w:val="000000"/>
                <w:sz w:val="18"/>
                <w:szCs w:val="18"/>
              </w:rPr>
              <w:t>104,345 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894EF58" w14:textId="77777777" w:rsidR="00000000" w:rsidRDefault="00405D16">
            <w:pPr>
              <w:spacing w:after="100"/>
              <w:jc w:val="right"/>
              <w:rPr>
                <w:rFonts w:eastAsia="Times New Roman"/>
              </w:rPr>
            </w:pPr>
          </w:p>
        </w:tc>
      </w:tr>
      <w:tr w:rsidR="00000000" w14:paraId="12A05A1A" w14:textId="77777777">
        <w:trPr>
          <w:divId w:val="2041857050"/>
        </w:trPr>
        <w:tc>
          <w:tcPr>
            <w:tcW w:w="0" w:type="auto"/>
            <w:gridSpan w:val="3"/>
            <w:shd w:val="clear" w:color="auto" w:fill="CCEEFF"/>
            <w:tcMar>
              <w:top w:w="30" w:type="dxa"/>
              <w:left w:w="20" w:type="dxa"/>
              <w:bottom w:w="30" w:type="dxa"/>
              <w:right w:w="20" w:type="dxa"/>
            </w:tcMar>
            <w:vAlign w:val="center"/>
            <w:hideMark/>
          </w:tcPr>
          <w:p w14:paraId="3847AA19" w14:textId="77777777" w:rsidR="00000000" w:rsidRDefault="00405D16">
            <w:pPr>
              <w:spacing w:after="100"/>
              <w:rPr>
                <w:rFonts w:eastAsia="Times New Roman"/>
              </w:rPr>
            </w:pPr>
            <w:r>
              <w:rPr>
                <w:rFonts w:eastAsia="Times New Roman"/>
                <w:b/>
                <w:bCs/>
                <w:color w:val="000000"/>
                <w:sz w:val="18"/>
                <w:szCs w:val="18"/>
              </w:rPr>
              <w:t>Liabilities:</w:t>
            </w:r>
          </w:p>
        </w:tc>
        <w:tc>
          <w:tcPr>
            <w:tcW w:w="0" w:type="auto"/>
            <w:gridSpan w:val="3"/>
            <w:shd w:val="clear" w:color="auto" w:fill="CCEEFF"/>
            <w:tcMar>
              <w:top w:w="0" w:type="dxa"/>
              <w:left w:w="20" w:type="dxa"/>
              <w:bottom w:w="0" w:type="dxa"/>
              <w:right w:w="20" w:type="dxa"/>
            </w:tcMar>
            <w:vAlign w:val="center"/>
            <w:hideMark/>
          </w:tcPr>
          <w:p w14:paraId="30555467" w14:textId="77777777" w:rsidR="00000000" w:rsidRDefault="00405D16">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493CCA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1F2FAF"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875209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6F4C45"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8CDB4A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975BDB"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7ABB27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E9FA6F"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B395C8C" w14:textId="77777777" w:rsidR="00000000" w:rsidRDefault="00405D16">
            <w:pPr>
              <w:spacing w:after="100"/>
              <w:rPr>
                <w:rFonts w:eastAsia="Times New Roman"/>
                <w:sz w:val="20"/>
                <w:szCs w:val="20"/>
              </w:rPr>
            </w:pPr>
          </w:p>
        </w:tc>
      </w:tr>
      <w:tr w:rsidR="00000000" w14:paraId="48724A0A" w14:textId="77777777">
        <w:trPr>
          <w:divId w:val="2041857050"/>
        </w:trPr>
        <w:tc>
          <w:tcPr>
            <w:tcW w:w="0" w:type="auto"/>
            <w:gridSpan w:val="3"/>
            <w:shd w:val="clear" w:color="auto" w:fill="FFFFFF"/>
            <w:tcMar>
              <w:top w:w="30" w:type="dxa"/>
              <w:left w:w="20" w:type="dxa"/>
              <w:bottom w:w="30" w:type="dxa"/>
              <w:right w:w="20" w:type="dxa"/>
            </w:tcMar>
            <w:vAlign w:val="center"/>
            <w:hideMark/>
          </w:tcPr>
          <w:p w14:paraId="2CAD5902" w14:textId="77777777" w:rsidR="00000000" w:rsidRDefault="00405D16">
            <w:pPr>
              <w:spacing w:after="100"/>
              <w:rPr>
                <w:rFonts w:eastAsia="Times New Roman"/>
              </w:rPr>
            </w:pPr>
            <w:r>
              <w:rPr>
                <w:rFonts w:eastAsia="Times New Roman"/>
                <w:color w:val="000000"/>
                <w:sz w:val="18"/>
                <w:szCs w:val="18"/>
              </w:rPr>
              <w:t>Other liabilities:</w:t>
            </w:r>
          </w:p>
        </w:tc>
        <w:tc>
          <w:tcPr>
            <w:tcW w:w="0" w:type="auto"/>
            <w:gridSpan w:val="3"/>
            <w:shd w:val="clear" w:color="auto" w:fill="FFFFFF"/>
            <w:tcMar>
              <w:top w:w="0" w:type="dxa"/>
              <w:left w:w="20" w:type="dxa"/>
              <w:bottom w:w="0" w:type="dxa"/>
              <w:right w:w="20" w:type="dxa"/>
            </w:tcMar>
            <w:vAlign w:val="center"/>
            <w:hideMark/>
          </w:tcPr>
          <w:p w14:paraId="113C7919"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FE5F9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A6F854"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9196B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50C3E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78365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C9244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82D33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EE1A7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79D1CB" w14:textId="77777777" w:rsidR="00000000" w:rsidRDefault="00405D16">
            <w:pPr>
              <w:spacing w:after="100"/>
              <w:rPr>
                <w:rFonts w:eastAsia="Times New Roman"/>
                <w:sz w:val="20"/>
                <w:szCs w:val="20"/>
              </w:rPr>
            </w:pPr>
          </w:p>
        </w:tc>
      </w:tr>
      <w:tr w:rsidR="00000000" w14:paraId="03D46AF8" w14:textId="77777777">
        <w:trPr>
          <w:divId w:val="2041857050"/>
        </w:trPr>
        <w:tc>
          <w:tcPr>
            <w:tcW w:w="0" w:type="auto"/>
            <w:gridSpan w:val="3"/>
            <w:shd w:val="clear" w:color="auto" w:fill="CCEEFF"/>
            <w:tcMar>
              <w:top w:w="30" w:type="dxa"/>
              <w:left w:w="20" w:type="dxa"/>
              <w:bottom w:w="30" w:type="dxa"/>
              <w:right w:w="20" w:type="dxa"/>
            </w:tcMar>
            <w:vAlign w:val="center"/>
            <w:hideMark/>
          </w:tcPr>
          <w:p w14:paraId="638F2DAF" w14:textId="77777777" w:rsidR="00000000" w:rsidRDefault="00405D16">
            <w:pPr>
              <w:spacing w:after="100"/>
              <w:divId w:val="1504078760"/>
              <w:rPr>
                <w:rFonts w:eastAsia="Times New Roman"/>
              </w:rPr>
            </w:pPr>
            <w:r>
              <w:rPr>
                <w:rFonts w:eastAsia="Times New Roman"/>
                <w:color w:val="000000"/>
                <w:sz w:val="18"/>
                <w:szCs w:val="18"/>
              </w:rPr>
              <w:t>Derivative liabilitie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06D87A6E" w14:textId="77777777" w:rsidR="00000000" w:rsidRDefault="00405D16">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39DD77FF"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005147A9" w14:textId="77777777" w:rsidR="00000000" w:rsidRDefault="00405D16">
            <w:pPr>
              <w:spacing w:after="100"/>
              <w:jc w:val="right"/>
              <w:rPr>
                <w:rFonts w:eastAsia="Times New Roman"/>
              </w:rPr>
            </w:pPr>
            <w:r>
              <w:rPr>
                <w:rFonts w:eastAsia="Times New Roman"/>
                <w:color w:val="000000"/>
                <w:sz w:val="18"/>
                <w:szCs w:val="18"/>
              </w:rPr>
              <w:t>271 </w:t>
            </w:r>
          </w:p>
        </w:tc>
        <w:tc>
          <w:tcPr>
            <w:tcW w:w="0" w:type="auto"/>
            <w:shd w:val="clear" w:color="auto" w:fill="CCEEFF"/>
            <w:tcMar>
              <w:top w:w="30" w:type="dxa"/>
              <w:left w:w="0" w:type="dxa"/>
              <w:bottom w:w="30" w:type="dxa"/>
              <w:right w:w="20" w:type="dxa"/>
            </w:tcMar>
            <w:vAlign w:val="center"/>
            <w:hideMark/>
          </w:tcPr>
          <w:p w14:paraId="4936BF9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60C93D"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20151908"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646E02A6" w14:textId="77777777" w:rsidR="00000000" w:rsidRDefault="00405D16">
            <w:pPr>
              <w:spacing w:after="100"/>
              <w:jc w:val="right"/>
              <w:rPr>
                <w:rFonts w:eastAsia="Times New Roman"/>
              </w:rPr>
            </w:pPr>
            <w:r>
              <w:rPr>
                <w:rFonts w:eastAsia="Times New Roman"/>
                <w:color w:val="000000"/>
                <w:sz w:val="18"/>
                <w:szCs w:val="18"/>
              </w:rPr>
              <w:t>1,137 </w:t>
            </w:r>
          </w:p>
        </w:tc>
        <w:tc>
          <w:tcPr>
            <w:tcW w:w="0" w:type="auto"/>
            <w:shd w:val="clear" w:color="auto" w:fill="CCEEFF"/>
            <w:tcMar>
              <w:top w:w="30" w:type="dxa"/>
              <w:left w:w="0" w:type="dxa"/>
              <w:bottom w:w="30" w:type="dxa"/>
              <w:right w:w="20" w:type="dxa"/>
            </w:tcMar>
            <w:vAlign w:val="center"/>
            <w:hideMark/>
          </w:tcPr>
          <w:p w14:paraId="6B6883B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926637"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42681855"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2E7A523E" w14:textId="77777777" w:rsidR="00000000" w:rsidRDefault="00405D16">
            <w:pPr>
              <w:spacing w:after="100"/>
              <w:jc w:val="right"/>
              <w:rPr>
                <w:rFonts w:eastAsia="Times New Roman"/>
              </w:rPr>
            </w:pPr>
            <w:r>
              <w:rPr>
                <w:rFonts w:eastAsia="Times New Roman"/>
                <w:color w:val="000000"/>
                <w:sz w:val="18"/>
                <w:szCs w:val="18"/>
              </w:rPr>
              <w:t>110 </w:t>
            </w:r>
          </w:p>
        </w:tc>
        <w:tc>
          <w:tcPr>
            <w:tcW w:w="0" w:type="auto"/>
            <w:shd w:val="clear" w:color="auto" w:fill="CCEEFF"/>
            <w:tcMar>
              <w:top w:w="30" w:type="dxa"/>
              <w:left w:w="0" w:type="dxa"/>
              <w:bottom w:w="30" w:type="dxa"/>
              <w:right w:w="20" w:type="dxa"/>
            </w:tcMar>
            <w:vAlign w:val="center"/>
            <w:hideMark/>
          </w:tcPr>
          <w:p w14:paraId="25B1D47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2FA434"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68BB3EB9"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72622542" w14:textId="77777777" w:rsidR="00000000" w:rsidRDefault="00405D16">
            <w:pPr>
              <w:spacing w:after="100"/>
              <w:jc w:val="right"/>
              <w:rPr>
                <w:rFonts w:eastAsia="Times New Roman"/>
              </w:rPr>
            </w:pPr>
            <w:r>
              <w:rPr>
                <w:rFonts w:eastAsia="Times New Roman"/>
                <w:color w:val="000000"/>
                <w:sz w:val="18"/>
                <w:szCs w:val="18"/>
              </w:rPr>
              <w:t>(739)</w:t>
            </w:r>
          </w:p>
        </w:tc>
        <w:tc>
          <w:tcPr>
            <w:tcW w:w="0" w:type="auto"/>
            <w:shd w:val="clear" w:color="auto" w:fill="CCEEFF"/>
            <w:tcMar>
              <w:top w:w="30" w:type="dxa"/>
              <w:left w:w="0" w:type="dxa"/>
              <w:bottom w:w="30" w:type="dxa"/>
              <w:right w:w="20" w:type="dxa"/>
            </w:tcMar>
            <w:vAlign w:val="center"/>
            <w:hideMark/>
          </w:tcPr>
          <w:p w14:paraId="3A3C3DF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217F8D" w14:textId="77777777" w:rsidR="00000000" w:rsidRDefault="00405D1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042709C3"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68AE2088" w14:textId="77777777" w:rsidR="00000000" w:rsidRDefault="00405D16">
            <w:pPr>
              <w:spacing w:after="100"/>
              <w:jc w:val="right"/>
              <w:rPr>
                <w:rFonts w:eastAsia="Times New Roman"/>
              </w:rPr>
            </w:pPr>
            <w:r>
              <w:rPr>
                <w:rFonts w:eastAsia="Times New Roman"/>
                <w:color w:val="000000"/>
                <w:sz w:val="18"/>
                <w:szCs w:val="18"/>
              </w:rPr>
              <w:t>779 </w:t>
            </w:r>
          </w:p>
        </w:tc>
        <w:tc>
          <w:tcPr>
            <w:tcW w:w="0" w:type="auto"/>
            <w:shd w:val="clear" w:color="auto" w:fill="CCEEFF"/>
            <w:tcMar>
              <w:top w:w="30" w:type="dxa"/>
              <w:left w:w="0" w:type="dxa"/>
              <w:bottom w:w="30" w:type="dxa"/>
              <w:right w:w="20" w:type="dxa"/>
            </w:tcMar>
            <w:vAlign w:val="center"/>
            <w:hideMark/>
          </w:tcPr>
          <w:p w14:paraId="7B22DF10" w14:textId="77777777" w:rsidR="00000000" w:rsidRDefault="00405D16">
            <w:pPr>
              <w:spacing w:after="100"/>
              <w:jc w:val="right"/>
              <w:rPr>
                <w:rFonts w:eastAsia="Times New Roman"/>
              </w:rPr>
            </w:pPr>
          </w:p>
        </w:tc>
      </w:tr>
      <w:tr w:rsidR="00000000" w14:paraId="1EE5E300" w14:textId="77777777">
        <w:trPr>
          <w:divId w:val="2041857050"/>
        </w:trPr>
        <w:tc>
          <w:tcPr>
            <w:tcW w:w="0" w:type="auto"/>
            <w:gridSpan w:val="3"/>
            <w:shd w:val="clear" w:color="auto" w:fill="FFFFFF"/>
            <w:tcMar>
              <w:top w:w="30" w:type="dxa"/>
              <w:left w:w="20" w:type="dxa"/>
              <w:bottom w:w="30" w:type="dxa"/>
              <w:right w:w="20" w:type="dxa"/>
            </w:tcMar>
            <w:vAlign w:val="center"/>
            <w:hideMark/>
          </w:tcPr>
          <w:p w14:paraId="07184CD7" w14:textId="77777777" w:rsidR="00000000" w:rsidRDefault="00405D16">
            <w:pPr>
              <w:spacing w:after="100"/>
              <w:rPr>
                <w:rFonts w:eastAsia="Times New Roman"/>
              </w:rPr>
            </w:pPr>
            <w:r>
              <w:rPr>
                <w:rFonts w:eastAsia="Times New Roman"/>
                <w:b/>
                <w:bCs/>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14:paraId="4A48960B"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DB0F7D7"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920D6C2" w14:textId="77777777" w:rsidR="00000000" w:rsidRDefault="00405D16">
            <w:pPr>
              <w:spacing w:after="100"/>
              <w:jc w:val="right"/>
              <w:rPr>
                <w:rFonts w:eastAsia="Times New Roman"/>
              </w:rPr>
            </w:pPr>
            <w:r>
              <w:rPr>
                <w:rFonts w:eastAsia="Times New Roman"/>
                <w:color w:val="000000"/>
                <w:sz w:val="18"/>
                <w:szCs w:val="18"/>
              </w:rPr>
              <w:t>271 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BDBC0A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7A508F"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77156E3"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21F339B" w14:textId="77777777" w:rsidR="00000000" w:rsidRDefault="00405D16">
            <w:pPr>
              <w:spacing w:after="100"/>
              <w:jc w:val="right"/>
              <w:rPr>
                <w:rFonts w:eastAsia="Times New Roman"/>
              </w:rPr>
            </w:pPr>
            <w:r>
              <w:rPr>
                <w:rFonts w:eastAsia="Times New Roman"/>
                <w:color w:val="000000"/>
                <w:sz w:val="18"/>
                <w:szCs w:val="18"/>
              </w:rPr>
              <w:t>1,137 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20BA5F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E9BFDA"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971FBF8"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4DC108A" w14:textId="77777777" w:rsidR="00000000" w:rsidRDefault="00405D16">
            <w:pPr>
              <w:spacing w:after="100"/>
              <w:jc w:val="right"/>
              <w:rPr>
                <w:rFonts w:eastAsia="Times New Roman"/>
              </w:rPr>
            </w:pPr>
            <w:r>
              <w:rPr>
                <w:rFonts w:eastAsia="Times New Roman"/>
                <w:color w:val="000000"/>
                <w:sz w:val="18"/>
                <w:szCs w:val="18"/>
              </w:rPr>
              <w:t>110 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97367D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6421B6"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B6E2532"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B95E686" w14:textId="77777777" w:rsidR="00000000" w:rsidRDefault="00405D16">
            <w:pPr>
              <w:spacing w:after="100"/>
              <w:jc w:val="right"/>
              <w:rPr>
                <w:rFonts w:eastAsia="Times New Roman"/>
              </w:rPr>
            </w:pPr>
            <w:r>
              <w:rPr>
                <w:rFonts w:eastAsia="Times New Roman"/>
                <w:color w:val="000000"/>
                <w:sz w:val="18"/>
                <w:szCs w:val="18"/>
              </w:rPr>
              <w:t>(739)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0B98A2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F5F473"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EAFCA67"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8F4972E" w14:textId="77777777" w:rsidR="00000000" w:rsidRDefault="00405D16">
            <w:pPr>
              <w:spacing w:after="100"/>
              <w:jc w:val="right"/>
              <w:rPr>
                <w:rFonts w:eastAsia="Times New Roman"/>
              </w:rPr>
            </w:pPr>
            <w:r>
              <w:rPr>
                <w:rFonts w:eastAsia="Times New Roman"/>
                <w:color w:val="000000"/>
                <w:sz w:val="18"/>
                <w:szCs w:val="18"/>
              </w:rPr>
              <w:t>779 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A58774F" w14:textId="77777777" w:rsidR="00000000" w:rsidRDefault="00405D16">
            <w:pPr>
              <w:spacing w:after="100"/>
              <w:jc w:val="right"/>
              <w:rPr>
                <w:rFonts w:eastAsia="Times New Roman"/>
              </w:rPr>
            </w:pPr>
          </w:p>
        </w:tc>
      </w:tr>
    </w:tbl>
    <w:p w14:paraId="74422D8C" w14:textId="77777777" w:rsidR="00000000" w:rsidRDefault="00405D16">
      <w:pPr>
        <w:divId w:val="2041857050"/>
        <w:rPr>
          <w:rFonts w:eastAsia="Times New Roman"/>
        </w:rPr>
      </w:pPr>
      <w:r>
        <w:rPr>
          <w:rFonts w:eastAsia="Times New Roman"/>
          <w:color w:val="000000"/>
          <w:sz w:val="20"/>
          <w:szCs w:val="20"/>
        </w:rPr>
        <w:t>__________</w:t>
      </w:r>
    </w:p>
    <w:p w14:paraId="29DA36B1" w14:textId="77777777" w:rsidR="00000000" w:rsidRDefault="00405D16">
      <w:pPr>
        <w:ind w:hanging="360"/>
        <w:jc w:val="both"/>
        <w:divId w:val="79445010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Represents balance sheet netting of derivative asse</w:t>
      </w:r>
      <w:r>
        <w:rPr>
          <w:rFonts w:eastAsia="Times New Roman"/>
          <w:color w:val="000000"/>
          <w:sz w:val="16"/>
          <w:szCs w:val="16"/>
        </w:rPr>
        <w:t>ts and liabilities, and related payables and receivables for cash collateral held or placed with the same counterparty. See “Note 8—Derivative Instruments and Hedging Activities” for additional information.</w:t>
      </w:r>
    </w:p>
    <w:p w14:paraId="3370EE42" w14:textId="77777777" w:rsidR="00000000" w:rsidRDefault="00405D16">
      <w:pPr>
        <w:ind w:hanging="360"/>
        <w:jc w:val="both"/>
        <w:divId w:val="968709906"/>
        <w:rPr>
          <w:rFonts w:eastAsia="Times New Roman"/>
        </w:rPr>
      </w:pPr>
      <w:r>
        <w:rPr>
          <w:rFonts w:eastAsia="Times New Roman"/>
          <w:color w:val="000000"/>
          <w:sz w:val="10"/>
          <w:szCs w:val="10"/>
          <w:shd w:val="clear" w:color="auto" w:fill="FFFFFF"/>
        </w:rPr>
        <w:t>(2</w:t>
      </w:r>
      <w:r>
        <w:rPr>
          <w:rFonts w:eastAsia="Times New Roman"/>
          <w:color w:val="000000"/>
          <w:sz w:val="10"/>
          <w:szCs w:val="10"/>
          <w:shd w:val="clear" w:color="auto" w:fill="FFFFFF"/>
        </w:rPr>
        <w:t>)</w:t>
      </w:r>
      <w:r>
        <w:rPr>
          <w:rFonts w:eastAsia="Times New Roman"/>
          <w:color w:val="000000"/>
          <w:sz w:val="16"/>
          <w:szCs w:val="16"/>
        </w:rPr>
        <w:t>Does not reflect $17 million and $31 million r</w:t>
      </w:r>
      <w:r>
        <w:rPr>
          <w:rFonts w:eastAsia="Times New Roman"/>
          <w:color w:val="000000"/>
          <w:sz w:val="16"/>
          <w:szCs w:val="16"/>
        </w:rPr>
        <w:t>ecognized as a net valuation allowance on derivative assets and liabilities for non-performance risk as of September 30, 2021 and December 31, 2020</w:t>
      </w:r>
      <w:r>
        <w:rPr>
          <w:rFonts w:eastAsia="Times New Roman"/>
          <w:color w:val="000000"/>
          <w:sz w:val="16"/>
          <w:szCs w:val="16"/>
          <w:shd w:val="clear" w:color="auto" w:fill="FFFFFF"/>
        </w:rPr>
        <w:t>, respectively. Non-performance risk is included in derivative assets and liabilities, which are part of othe</w:t>
      </w:r>
      <w:r>
        <w:rPr>
          <w:rFonts w:eastAsia="Times New Roman"/>
          <w:color w:val="000000"/>
          <w:sz w:val="16"/>
          <w:szCs w:val="16"/>
          <w:shd w:val="clear" w:color="auto" w:fill="FFFFFF"/>
        </w:rPr>
        <w:t>r assets and other liabilities on the consolidated balance sheets, and is offset through non-interest income in the consolidated statements of income.</w:t>
      </w:r>
    </w:p>
    <w:p w14:paraId="0E71182C" w14:textId="77777777" w:rsidR="00000000" w:rsidRDefault="00405D16">
      <w:pPr>
        <w:ind w:hanging="360"/>
        <w:jc w:val="both"/>
        <w:divId w:val="1668096097"/>
        <w:rPr>
          <w:rFonts w:eastAsia="Times New Roman"/>
        </w:rPr>
      </w:pPr>
      <w:r>
        <w:rPr>
          <w:rFonts w:eastAsia="Times New Roman"/>
          <w:color w:val="000000"/>
          <w:sz w:val="10"/>
          <w:szCs w:val="10"/>
          <w:shd w:val="clear" w:color="auto" w:fill="FFFFFF"/>
        </w:rPr>
        <w:t>(3</w:t>
      </w:r>
      <w:r>
        <w:rPr>
          <w:rFonts w:eastAsia="Times New Roman"/>
          <w:color w:val="000000"/>
          <w:sz w:val="10"/>
          <w:szCs w:val="10"/>
          <w:shd w:val="clear" w:color="auto" w:fill="FFFFFF"/>
        </w:rPr>
        <w:t>)</w:t>
      </w:r>
      <w:r>
        <w:rPr>
          <w:rFonts w:eastAsia="Times New Roman"/>
          <w:color w:val="000000"/>
          <w:sz w:val="16"/>
          <w:szCs w:val="16"/>
        </w:rPr>
        <w:t>As of September 30, 2021 and December 31, 2020, other includes retained interests in securitizations o</w:t>
      </w:r>
      <w:r>
        <w:rPr>
          <w:rFonts w:eastAsia="Times New Roman"/>
          <w:color w:val="000000"/>
          <w:sz w:val="16"/>
          <w:szCs w:val="16"/>
        </w:rPr>
        <w:t xml:space="preserve">f $43 million and $55 million, deferred compensation plan assets of </w:t>
      </w:r>
      <w:r>
        <w:rPr>
          <w:rFonts w:eastAsia="Times New Roman"/>
          <w:color w:val="000000"/>
          <w:sz w:val="16"/>
          <w:szCs w:val="16"/>
          <w:shd w:val="clear" w:color="auto" w:fill="FFFFFF"/>
        </w:rPr>
        <w:t>$463 million</w:t>
      </w:r>
      <w:r>
        <w:rPr>
          <w:rFonts w:eastAsia="Times New Roman"/>
          <w:color w:val="000000"/>
          <w:sz w:val="16"/>
          <w:szCs w:val="16"/>
        </w:rPr>
        <w:t xml:space="preserve"> and $414 million, and equity securities of $67 million and $568 million including unrealized gains of $43 million and $535 million, respectively.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6755A34A" w14:textId="77777777">
        <w:trPr>
          <w:divId w:val="1604722827"/>
          <w:jc w:val="center"/>
        </w:trPr>
        <w:tc>
          <w:tcPr>
            <w:tcW w:w="50" w:type="pct"/>
            <w:vAlign w:val="center"/>
            <w:hideMark/>
          </w:tcPr>
          <w:p w14:paraId="23B8FA52" w14:textId="77777777" w:rsidR="00000000" w:rsidRDefault="00405D16">
            <w:pPr>
              <w:ind w:hanging="360"/>
              <w:jc w:val="both"/>
              <w:rPr>
                <w:rFonts w:eastAsia="Times New Roman"/>
              </w:rPr>
            </w:pPr>
          </w:p>
        </w:tc>
        <w:tc>
          <w:tcPr>
            <w:tcW w:w="1606" w:type="pct"/>
            <w:vAlign w:val="center"/>
            <w:hideMark/>
          </w:tcPr>
          <w:p w14:paraId="0A67E752" w14:textId="77777777" w:rsidR="00000000" w:rsidRDefault="00405D16">
            <w:pPr>
              <w:spacing w:after="100"/>
              <w:rPr>
                <w:rFonts w:eastAsia="Times New Roman"/>
                <w:sz w:val="20"/>
                <w:szCs w:val="20"/>
              </w:rPr>
            </w:pPr>
          </w:p>
        </w:tc>
        <w:tc>
          <w:tcPr>
            <w:tcW w:w="5" w:type="pct"/>
            <w:vAlign w:val="center"/>
            <w:hideMark/>
          </w:tcPr>
          <w:p w14:paraId="4F21EBDC" w14:textId="77777777" w:rsidR="00000000" w:rsidRDefault="00405D16">
            <w:pPr>
              <w:spacing w:after="100"/>
              <w:rPr>
                <w:rFonts w:eastAsia="Times New Roman"/>
                <w:sz w:val="20"/>
                <w:szCs w:val="20"/>
              </w:rPr>
            </w:pPr>
          </w:p>
        </w:tc>
        <w:tc>
          <w:tcPr>
            <w:tcW w:w="50" w:type="pct"/>
            <w:vAlign w:val="center"/>
            <w:hideMark/>
          </w:tcPr>
          <w:p w14:paraId="6362442A" w14:textId="77777777" w:rsidR="00000000" w:rsidRDefault="00405D16">
            <w:pPr>
              <w:spacing w:after="100"/>
              <w:rPr>
                <w:rFonts w:eastAsia="Times New Roman"/>
                <w:sz w:val="20"/>
                <w:szCs w:val="20"/>
              </w:rPr>
            </w:pPr>
          </w:p>
        </w:tc>
        <w:tc>
          <w:tcPr>
            <w:tcW w:w="1614" w:type="pct"/>
            <w:vAlign w:val="center"/>
            <w:hideMark/>
          </w:tcPr>
          <w:p w14:paraId="4BDDF904" w14:textId="77777777" w:rsidR="00000000" w:rsidRDefault="00405D16">
            <w:pPr>
              <w:spacing w:after="100"/>
              <w:rPr>
                <w:rFonts w:eastAsia="Times New Roman"/>
                <w:sz w:val="20"/>
                <w:szCs w:val="20"/>
              </w:rPr>
            </w:pPr>
          </w:p>
        </w:tc>
        <w:tc>
          <w:tcPr>
            <w:tcW w:w="5" w:type="pct"/>
            <w:vAlign w:val="center"/>
            <w:hideMark/>
          </w:tcPr>
          <w:p w14:paraId="1DA6EEAA" w14:textId="77777777" w:rsidR="00000000" w:rsidRDefault="00405D16">
            <w:pPr>
              <w:spacing w:after="100"/>
              <w:rPr>
                <w:rFonts w:eastAsia="Times New Roman"/>
                <w:sz w:val="20"/>
                <w:szCs w:val="20"/>
              </w:rPr>
            </w:pPr>
          </w:p>
        </w:tc>
        <w:tc>
          <w:tcPr>
            <w:tcW w:w="50" w:type="pct"/>
            <w:vAlign w:val="center"/>
            <w:hideMark/>
          </w:tcPr>
          <w:p w14:paraId="281EABED" w14:textId="77777777" w:rsidR="00000000" w:rsidRDefault="00405D16">
            <w:pPr>
              <w:spacing w:after="100"/>
              <w:rPr>
                <w:rFonts w:eastAsia="Times New Roman"/>
                <w:sz w:val="20"/>
                <w:szCs w:val="20"/>
              </w:rPr>
            </w:pPr>
          </w:p>
        </w:tc>
        <w:tc>
          <w:tcPr>
            <w:tcW w:w="1614" w:type="pct"/>
            <w:vAlign w:val="center"/>
            <w:hideMark/>
          </w:tcPr>
          <w:p w14:paraId="3BB67778" w14:textId="77777777" w:rsidR="00000000" w:rsidRDefault="00405D16">
            <w:pPr>
              <w:spacing w:after="100"/>
              <w:rPr>
                <w:rFonts w:eastAsia="Times New Roman"/>
                <w:sz w:val="20"/>
                <w:szCs w:val="20"/>
              </w:rPr>
            </w:pPr>
          </w:p>
        </w:tc>
        <w:tc>
          <w:tcPr>
            <w:tcW w:w="5" w:type="pct"/>
            <w:vAlign w:val="center"/>
            <w:hideMark/>
          </w:tcPr>
          <w:p w14:paraId="6211FE4C" w14:textId="77777777" w:rsidR="00000000" w:rsidRDefault="00405D16">
            <w:pPr>
              <w:spacing w:after="100"/>
              <w:rPr>
                <w:rFonts w:eastAsia="Times New Roman"/>
                <w:sz w:val="20"/>
                <w:szCs w:val="20"/>
              </w:rPr>
            </w:pPr>
          </w:p>
        </w:tc>
      </w:tr>
      <w:tr w:rsidR="00000000" w14:paraId="7EB774B2" w14:textId="77777777">
        <w:trPr>
          <w:divId w:val="1604722827"/>
          <w:trHeight w:val="300"/>
          <w:jc w:val="center"/>
        </w:trPr>
        <w:tc>
          <w:tcPr>
            <w:tcW w:w="0" w:type="auto"/>
            <w:gridSpan w:val="9"/>
            <w:tcMar>
              <w:top w:w="0" w:type="dxa"/>
              <w:left w:w="20" w:type="dxa"/>
              <w:bottom w:w="0" w:type="dxa"/>
              <w:right w:w="20" w:type="dxa"/>
            </w:tcMar>
            <w:vAlign w:val="center"/>
            <w:hideMark/>
          </w:tcPr>
          <w:p w14:paraId="5B664D7C" w14:textId="77777777" w:rsidR="00000000" w:rsidRDefault="00405D16">
            <w:pPr>
              <w:spacing w:after="100"/>
              <w:rPr>
                <w:rFonts w:eastAsia="Times New Roman"/>
                <w:sz w:val="20"/>
                <w:szCs w:val="20"/>
              </w:rPr>
            </w:pPr>
          </w:p>
        </w:tc>
      </w:tr>
      <w:tr w:rsidR="00000000" w14:paraId="7072BA02" w14:textId="77777777">
        <w:trPr>
          <w:divId w:val="1604722827"/>
          <w:jc w:val="center"/>
        </w:trPr>
        <w:tc>
          <w:tcPr>
            <w:tcW w:w="0" w:type="auto"/>
            <w:gridSpan w:val="3"/>
            <w:tcMar>
              <w:top w:w="0" w:type="dxa"/>
              <w:left w:w="20" w:type="dxa"/>
              <w:bottom w:w="0" w:type="dxa"/>
              <w:right w:w="20" w:type="dxa"/>
            </w:tcMar>
            <w:vAlign w:val="center"/>
            <w:hideMark/>
          </w:tcPr>
          <w:p w14:paraId="5F04CB05"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5ED707B" w14:textId="77777777" w:rsidR="00000000" w:rsidRDefault="00405D16">
            <w:pPr>
              <w:spacing w:after="100"/>
              <w:jc w:val="center"/>
              <w:rPr>
                <w:rFonts w:eastAsia="Times New Roman"/>
              </w:rPr>
            </w:pPr>
            <w:r>
              <w:rPr>
                <w:rFonts w:eastAsia="Times New Roman"/>
                <w:color w:val="000000"/>
                <w:sz w:val="16"/>
                <w:szCs w:val="16"/>
              </w:rPr>
              <w:t>118</w:t>
            </w:r>
          </w:p>
        </w:tc>
        <w:tc>
          <w:tcPr>
            <w:tcW w:w="0" w:type="auto"/>
            <w:gridSpan w:val="3"/>
            <w:tcMar>
              <w:top w:w="30" w:type="dxa"/>
              <w:left w:w="20" w:type="dxa"/>
              <w:bottom w:w="30" w:type="dxa"/>
              <w:right w:w="20" w:type="dxa"/>
            </w:tcMar>
            <w:vAlign w:val="bottom"/>
            <w:hideMark/>
          </w:tcPr>
          <w:p w14:paraId="11010D95"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7C56D75C" w14:textId="77777777" w:rsidR="00000000" w:rsidRDefault="00405D16">
      <w:pPr>
        <w:rPr>
          <w:rFonts w:eastAsia="Times New Roman"/>
        </w:rPr>
      </w:pPr>
      <w:r>
        <w:rPr>
          <w:rFonts w:eastAsia="Times New Roman"/>
        </w:rPr>
        <w:pict w14:anchorId="12C281B2">
          <v:rect id="_x0000_i1143" style="width:0;height:1.5pt" o:hralign="center" o:hrstd="t" o:hr="t" fillcolor="#a0a0a0" stroked="f"/>
        </w:pict>
      </w:r>
    </w:p>
    <w:p w14:paraId="2A90CF59" w14:textId="77777777" w:rsidR="00000000" w:rsidRDefault="00405D16">
      <w:pPr>
        <w:jc w:val="both"/>
        <w:divId w:val="396590017"/>
        <w:rPr>
          <w:rFonts w:eastAsia="Times New Roman"/>
        </w:rPr>
      </w:pPr>
      <w:hyperlink w:anchor="idd54a04a485440b4ab4e56094c14d612_13" w:history="1">
        <w:r>
          <w:rPr>
            <w:rStyle w:val="a3"/>
            <w:rFonts w:eastAsia="Times New Roman"/>
            <w:sz w:val="16"/>
            <w:szCs w:val="16"/>
          </w:rPr>
          <w:t>Table of Contents</w:t>
        </w:r>
      </w:hyperlink>
    </w:p>
    <w:p w14:paraId="106F449B" w14:textId="77777777" w:rsidR="00000000" w:rsidRDefault="00405D16">
      <w:pPr>
        <w:jc w:val="center"/>
        <w:divId w:val="396590017"/>
        <w:rPr>
          <w:rFonts w:eastAsia="Times New Roman"/>
        </w:rPr>
      </w:pPr>
    </w:p>
    <w:p w14:paraId="17A7956D" w14:textId="77777777" w:rsidR="00000000" w:rsidRDefault="00405D16">
      <w:pPr>
        <w:divId w:val="909076844"/>
        <w:rPr>
          <w:rFonts w:eastAsia="Times New Roman"/>
        </w:rPr>
      </w:pPr>
      <w:r>
        <w:rPr>
          <w:rFonts w:eastAsia="Times New Roman"/>
          <w:b/>
          <w:bCs/>
          <w:color w:val="000000"/>
          <w:sz w:val="20"/>
          <w:szCs w:val="20"/>
          <w:shd w:val="clear" w:color="auto" w:fill="FFFFFF"/>
        </w:rPr>
        <w:t>Level 3 Recurring Fair Val</w:t>
      </w:r>
      <w:r>
        <w:rPr>
          <w:rFonts w:eastAsia="Times New Roman"/>
          <w:b/>
          <w:bCs/>
          <w:color w:val="000000"/>
          <w:sz w:val="20"/>
          <w:szCs w:val="20"/>
        </w:rPr>
        <w:t>ue Rollforward</w:t>
      </w:r>
    </w:p>
    <w:p w14:paraId="131C2309" w14:textId="77777777" w:rsidR="00000000" w:rsidRDefault="00405D16">
      <w:pPr>
        <w:jc w:val="both"/>
        <w:divId w:val="1902515738"/>
        <w:rPr>
          <w:rFonts w:eastAsia="Times New Roman"/>
        </w:rPr>
      </w:pPr>
      <w:r>
        <w:rPr>
          <w:rFonts w:eastAsia="Times New Roman"/>
          <w:color w:val="000000"/>
          <w:sz w:val="20"/>
          <w:szCs w:val="20"/>
        </w:rPr>
        <w:t xml:space="preserve">The table below presents a reconciliation for all assets and liabilities measured and recognized at fair value on a recurring basis using significant unobservable inputs (Level 3) for the three and nine months ended September 30, 2021 and 2020. Generally, </w:t>
      </w:r>
      <w:r>
        <w:rPr>
          <w:rFonts w:eastAsia="Times New Roman"/>
          <w:color w:val="000000"/>
          <w:sz w:val="20"/>
          <w:szCs w:val="20"/>
        </w:rPr>
        <w:t>transfers into Level 3 were primarily driven by the usage of unobservable assumptions in the pricing of these financial instruments as evidenced by wider pricing variations among pricing vendors and transfers out of Level 3 were primarily driven by the usa</w:t>
      </w:r>
      <w:r>
        <w:rPr>
          <w:rFonts w:eastAsia="Times New Roman"/>
          <w:color w:val="000000"/>
          <w:sz w:val="20"/>
          <w:szCs w:val="20"/>
        </w:rPr>
        <w:t>ge of assumptions corroborated by market observable information as evidenced by tighter pricing among multiple pricing sources.</w:t>
      </w:r>
    </w:p>
    <w:p w14:paraId="3978B8BB" w14:textId="77777777" w:rsidR="00000000" w:rsidRDefault="00405D16">
      <w:pPr>
        <w:divId w:val="13311520"/>
        <w:rPr>
          <w:rFonts w:eastAsia="Times New Roman"/>
        </w:rPr>
      </w:pPr>
      <w:r>
        <w:rPr>
          <w:rFonts w:eastAsia="Times New Roman"/>
          <w:b/>
          <w:bCs/>
          <w:color w:val="000000"/>
          <w:sz w:val="18"/>
          <w:szCs w:val="18"/>
        </w:rPr>
        <w:t>Table 11.2: Level 3 Recurring Fair Value Rollforward</w:t>
      </w:r>
    </w:p>
    <w:tbl>
      <w:tblPr>
        <w:tblW w:w="5000" w:type="pct"/>
        <w:tblCellMar>
          <w:top w:w="15" w:type="dxa"/>
          <w:left w:w="15" w:type="dxa"/>
          <w:bottom w:w="15" w:type="dxa"/>
          <w:right w:w="15" w:type="dxa"/>
        </w:tblCellMar>
        <w:tblLook w:val="04A0" w:firstRow="1" w:lastRow="0" w:firstColumn="1" w:lastColumn="0" w:noHBand="0" w:noVBand="1"/>
      </w:tblPr>
      <w:tblGrid>
        <w:gridCol w:w="87"/>
        <w:gridCol w:w="57"/>
        <w:gridCol w:w="1153"/>
        <w:gridCol w:w="4"/>
        <w:gridCol w:w="34"/>
        <w:gridCol w:w="36"/>
        <w:gridCol w:w="36"/>
        <w:gridCol w:w="36"/>
        <w:gridCol w:w="2"/>
        <w:gridCol w:w="109"/>
        <w:gridCol w:w="35"/>
        <w:gridCol w:w="144"/>
        <w:gridCol w:w="144"/>
        <w:gridCol w:w="74"/>
        <w:gridCol w:w="36"/>
        <w:gridCol w:w="34"/>
        <w:gridCol w:w="2"/>
        <w:gridCol w:w="36"/>
        <w:gridCol w:w="36"/>
        <w:gridCol w:w="111"/>
        <w:gridCol w:w="268"/>
        <w:gridCol w:w="144"/>
        <w:gridCol w:w="32"/>
        <w:gridCol w:w="37"/>
        <w:gridCol w:w="37"/>
        <w:gridCol w:w="38"/>
        <w:gridCol w:w="9"/>
        <w:gridCol w:w="36"/>
        <w:gridCol w:w="99"/>
        <w:gridCol w:w="11"/>
        <w:gridCol w:w="133"/>
        <w:gridCol w:w="144"/>
        <w:gridCol w:w="166"/>
        <w:gridCol w:w="36"/>
        <w:gridCol w:w="36"/>
        <w:gridCol w:w="36"/>
        <w:gridCol w:w="36"/>
        <w:gridCol w:w="95"/>
        <w:gridCol w:w="16"/>
        <w:gridCol w:w="128"/>
        <w:gridCol w:w="144"/>
        <w:gridCol w:w="144"/>
        <w:gridCol w:w="46"/>
        <w:gridCol w:w="36"/>
        <w:gridCol w:w="36"/>
        <w:gridCol w:w="26"/>
        <w:gridCol w:w="10"/>
        <w:gridCol w:w="36"/>
        <w:gridCol w:w="98"/>
        <w:gridCol w:w="13"/>
        <w:gridCol w:w="236"/>
        <w:gridCol w:w="36"/>
        <w:gridCol w:w="36"/>
        <w:gridCol w:w="36"/>
        <w:gridCol w:w="36"/>
        <w:gridCol w:w="12"/>
        <w:gridCol w:w="99"/>
        <w:gridCol w:w="45"/>
        <w:gridCol w:w="144"/>
        <w:gridCol w:w="144"/>
        <w:gridCol w:w="97"/>
        <w:gridCol w:w="36"/>
        <w:gridCol w:w="11"/>
        <w:gridCol w:w="25"/>
        <w:gridCol w:w="36"/>
        <w:gridCol w:w="36"/>
        <w:gridCol w:w="47"/>
        <w:gridCol w:w="64"/>
        <w:gridCol w:w="366"/>
        <w:gridCol w:w="144"/>
        <w:gridCol w:w="24"/>
        <w:gridCol w:w="36"/>
        <w:gridCol w:w="36"/>
        <w:gridCol w:w="36"/>
        <w:gridCol w:w="12"/>
        <w:gridCol w:w="24"/>
        <w:gridCol w:w="111"/>
        <w:gridCol w:w="9"/>
        <w:gridCol w:w="144"/>
        <w:gridCol w:w="144"/>
        <w:gridCol w:w="150"/>
        <w:gridCol w:w="36"/>
        <w:gridCol w:w="36"/>
        <w:gridCol w:w="36"/>
        <w:gridCol w:w="36"/>
        <w:gridCol w:w="38"/>
        <w:gridCol w:w="73"/>
        <w:gridCol w:w="71"/>
        <w:gridCol w:w="144"/>
        <w:gridCol w:w="144"/>
        <w:gridCol w:w="81"/>
        <w:gridCol w:w="36"/>
        <w:gridCol w:w="27"/>
        <w:gridCol w:w="9"/>
        <w:gridCol w:w="36"/>
        <w:gridCol w:w="36"/>
        <w:gridCol w:w="63"/>
        <w:gridCol w:w="48"/>
        <w:gridCol w:w="357"/>
        <w:gridCol w:w="144"/>
        <w:gridCol w:w="19"/>
        <w:gridCol w:w="125"/>
        <w:gridCol w:w="144"/>
        <w:gridCol w:w="144"/>
        <w:gridCol w:w="144"/>
        <w:gridCol w:w="234"/>
        <w:gridCol w:w="256"/>
        <w:gridCol w:w="144"/>
        <w:gridCol w:w="144"/>
        <w:gridCol w:w="144"/>
        <w:gridCol w:w="144"/>
        <w:gridCol w:w="144"/>
        <w:gridCol w:w="441"/>
        <w:gridCol w:w="144"/>
        <w:gridCol w:w="144"/>
        <w:gridCol w:w="144"/>
        <w:gridCol w:w="144"/>
        <w:gridCol w:w="144"/>
        <w:gridCol w:w="405"/>
        <w:gridCol w:w="144"/>
        <w:gridCol w:w="144"/>
        <w:gridCol w:w="144"/>
        <w:gridCol w:w="144"/>
        <w:gridCol w:w="144"/>
        <w:gridCol w:w="588"/>
        <w:gridCol w:w="144"/>
      </w:tblGrid>
      <w:tr w:rsidR="00000000" w14:paraId="56ED8D36" w14:textId="77777777">
        <w:trPr>
          <w:gridAfter w:val="20"/>
          <w:divId w:val="858130227"/>
        </w:trPr>
        <w:tc>
          <w:tcPr>
            <w:tcW w:w="50" w:type="pct"/>
            <w:vAlign w:val="center"/>
            <w:hideMark/>
          </w:tcPr>
          <w:p w14:paraId="6753BB11" w14:textId="77777777" w:rsidR="00000000" w:rsidRDefault="00405D16">
            <w:pPr>
              <w:rPr>
                <w:rFonts w:eastAsia="Times New Roman"/>
              </w:rPr>
            </w:pPr>
          </w:p>
        </w:tc>
        <w:tc>
          <w:tcPr>
            <w:tcW w:w="697" w:type="pct"/>
            <w:gridSpan w:val="2"/>
            <w:vAlign w:val="center"/>
            <w:hideMark/>
          </w:tcPr>
          <w:p w14:paraId="123C72EA" w14:textId="77777777" w:rsidR="00000000" w:rsidRDefault="00405D16">
            <w:pPr>
              <w:spacing w:after="100"/>
              <w:rPr>
                <w:rFonts w:eastAsia="Times New Roman"/>
                <w:sz w:val="20"/>
                <w:szCs w:val="20"/>
              </w:rPr>
            </w:pPr>
          </w:p>
        </w:tc>
        <w:tc>
          <w:tcPr>
            <w:tcW w:w="5" w:type="pct"/>
            <w:gridSpan w:val="2"/>
            <w:vAlign w:val="center"/>
            <w:hideMark/>
          </w:tcPr>
          <w:p w14:paraId="34113886" w14:textId="77777777" w:rsidR="00000000" w:rsidRDefault="00405D16">
            <w:pPr>
              <w:spacing w:after="100"/>
              <w:rPr>
                <w:rFonts w:eastAsia="Times New Roman"/>
                <w:sz w:val="20"/>
                <w:szCs w:val="20"/>
              </w:rPr>
            </w:pPr>
          </w:p>
        </w:tc>
        <w:tc>
          <w:tcPr>
            <w:tcW w:w="5" w:type="pct"/>
            <w:vAlign w:val="center"/>
            <w:hideMark/>
          </w:tcPr>
          <w:p w14:paraId="13B24B64" w14:textId="77777777" w:rsidR="00000000" w:rsidRDefault="00405D16">
            <w:pPr>
              <w:spacing w:after="100"/>
              <w:rPr>
                <w:rFonts w:eastAsia="Times New Roman"/>
                <w:sz w:val="20"/>
                <w:szCs w:val="20"/>
              </w:rPr>
            </w:pPr>
          </w:p>
        </w:tc>
        <w:tc>
          <w:tcPr>
            <w:tcW w:w="26" w:type="pct"/>
            <w:vAlign w:val="center"/>
            <w:hideMark/>
          </w:tcPr>
          <w:p w14:paraId="3A030595" w14:textId="77777777" w:rsidR="00000000" w:rsidRDefault="00405D16">
            <w:pPr>
              <w:spacing w:after="100"/>
              <w:rPr>
                <w:rFonts w:eastAsia="Times New Roman"/>
                <w:sz w:val="20"/>
                <w:szCs w:val="20"/>
              </w:rPr>
            </w:pPr>
          </w:p>
        </w:tc>
        <w:tc>
          <w:tcPr>
            <w:tcW w:w="5" w:type="pct"/>
            <w:vAlign w:val="center"/>
            <w:hideMark/>
          </w:tcPr>
          <w:p w14:paraId="20F9FF32" w14:textId="77777777" w:rsidR="00000000" w:rsidRDefault="00405D16">
            <w:pPr>
              <w:spacing w:after="100"/>
              <w:rPr>
                <w:rFonts w:eastAsia="Times New Roman"/>
                <w:sz w:val="20"/>
                <w:szCs w:val="20"/>
              </w:rPr>
            </w:pPr>
          </w:p>
        </w:tc>
        <w:tc>
          <w:tcPr>
            <w:tcW w:w="50" w:type="pct"/>
            <w:gridSpan w:val="2"/>
            <w:vAlign w:val="center"/>
            <w:hideMark/>
          </w:tcPr>
          <w:p w14:paraId="31BFE161" w14:textId="77777777" w:rsidR="00000000" w:rsidRDefault="00405D16">
            <w:pPr>
              <w:spacing w:after="100"/>
              <w:rPr>
                <w:rFonts w:eastAsia="Times New Roman"/>
                <w:sz w:val="20"/>
                <w:szCs w:val="20"/>
              </w:rPr>
            </w:pPr>
          </w:p>
        </w:tc>
        <w:tc>
          <w:tcPr>
            <w:tcW w:w="273" w:type="pct"/>
            <w:gridSpan w:val="4"/>
            <w:vAlign w:val="center"/>
            <w:hideMark/>
          </w:tcPr>
          <w:p w14:paraId="29361344" w14:textId="77777777" w:rsidR="00000000" w:rsidRDefault="00405D16">
            <w:pPr>
              <w:spacing w:after="100"/>
              <w:rPr>
                <w:rFonts w:eastAsia="Times New Roman"/>
                <w:sz w:val="20"/>
                <w:szCs w:val="20"/>
              </w:rPr>
            </w:pPr>
          </w:p>
        </w:tc>
        <w:tc>
          <w:tcPr>
            <w:tcW w:w="5" w:type="pct"/>
            <w:vAlign w:val="center"/>
            <w:hideMark/>
          </w:tcPr>
          <w:p w14:paraId="1A8DE70E" w14:textId="77777777" w:rsidR="00000000" w:rsidRDefault="00405D16">
            <w:pPr>
              <w:spacing w:after="100"/>
              <w:rPr>
                <w:rFonts w:eastAsia="Times New Roman"/>
                <w:sz w:val="20"/>
                <w:szCs w:val="20"/>
              </w:rPr>
            </w:pPr>
          </w:p>
        </w:tc>
        <w:tc>
          <w:tcPr>
            <w:tcW w:w="5" w:type="pct"/>
            <w:gridSpan w:val="2"/>
            <w:vAlign w:val="center"/>
            <w:hideMark/>
          </w:tcPr>
          <w:p w14:paraId="50E5C546" w14:textId="77777777" w:rsidR="00000000" w:rsidRDefault="00405D16">
            <w:pPr>
              <w:spacing w:after="100"/>
              <w:rPr>
                <w:rFonts w:eastAsia="Times New Roman"/>
                <w:sz w:val="20"/>
                <w:szCs w:val="20"/>
              </w:rPr>
            </w:pPr>
          </w:p>
        </w:tc>
        <w:tc>
          <w:tcPr>
            <w:tcW w:w="26" w:type="pct"/>
            <w:vAlign w:val="center"/>
            <w:hideMark/>
          </w:tcPr>
          <w:p w14:paraId="19CDE952" w14:textId="77777777" w:rsidR="00000000" w:rsidRDefault="00405D16">
            <w:pPr>
              <w:spacing w:after="100"/>
              <w:rPr>
                <w:rFonts w:eastAsia="Times New Roman"/>
                <w:sz w:val="20"/>
                <w:szCs w:val="20"/>
              </w:rPr>
            </w:pPr>
          </w:p>
        </w:tc>
        <w:tc>
          <w:tcPr>
            <w:tcW w:w="5" w:type="pct"/>
            <w:vAlign w:val="center"/>
            <w:hideMark/>
          </w:tcPr>
          <w:p w14:paraId="0B7CAEEE" w14:textId="77777777" w:rsidR="00000000" w:rsidRDefault="00405D16">
            <w:pPr>
              <w:spacing w:after="100"/>
              <w:rPr>
                <w:rFonts w:eastAsia="Times New Roman"/>
                <w:sz w:val="20"/>
                <w:szCs w:val="20"/>
              </w:rPr>
            </w:pPr>
          </w:p>
        </w:tc>
        <w:tc>
          <w:tcPr>
            <w:tcW w:w="50" w:type="pct"/>
            <w:vAlign w:val="center"/>
            <w:hideMark/>
          </w:tcPr>
          <w:p w14:paraId="494FA685" w14:textId="77777777" w:rsidR="00000000" w:rsidRDefault="00405D16">
            <w:pPr>
              <w:spacing w:after="100"/>
              <w:rPr>
                <w:rFonts w:eastAsia="Times New Roman"/>
                <w:sz w:val="20"/>
                <w:szCs w:val="20"/>
              </w:rPr>
            </w:pPr>
          </w:p>
        </w:tc>
        <w:tc>
          <w:tcPr>
            <w:tcW w:w="244" w:type="pct"/>
            <w:gridSpan w:val="3"/>
            <w:vAlign w:val="center"/>
            <w:hideMark/>
          </w:tcPr>
          <w:p w14:paraId="0FB40FCA" w14:textId="77777777" w:rsidR="00000000" w:rsidRDefault="00405D16">
            <w:pPr>
              <w:spacing w:after="100"/>
              <w:rPr>
                <w:rFonts w:eastAsia="Times New Roman"/>
                <w:sz w:val="20"/>
                <w:szCs w:val="20"/>
              </w:rPr>
            </w:pPr>
          </w:p>
        </w:tc>
        <w:tc>
          <w:tcPr>
            <w:tcW w:w="5" w:type="pct"/>
            <w:vAlign w:val="center"/>
            <w:hideMark/>
          </w:tcPr>
          <w:p w14:paraId="09CE7933" w14:textId="77777777" w:rsidR="00000000" w:rsidRDefault="00405D16">
            <w:pPr>
              <w:spacing w:after="100"/>
              <w:rPr>
                <w:rFonts w:eastAsia="Times New Roman"/>
                <w:sz w:val="20"/>
                <w:szCs w:val="20"/>
              </w:rPr>
            </w:pPr>
          </w:p>
        </w:tc>
        <w:tc>
          <w:tcPr>
            <w:tcW w:w="5" w:type="pct"/>
            <w:vAlign w:val="center"/>
            <w:hideMark/>
          </w:tcPr>
          <w:p w14:paraId="510C5193" w14:textId="77777777" w:rsidR="00000000" w:rsidRDefault="00405D16">
            <w:pPr>
              <w:spacing w:after="100"/>
              <w:rPr>
                <w:rFonts w:eastAsia="Times New Roman"/>
                <w:sz w:val="20"/>
                <w:szCs w:val="20"/>
              </w:rPr>
            </w:pPr>
          </w:p>
        </w:tc>
        <w:tc>
          <w:tcPr>
            <w:tcW w:w="26" w:type="pct"/>
            <w:gridSpan w:val="2"/>
            <w:vAlign w:val="center"/>
            <w:hideMark/>
          </w:tcPr>
          <w:p w14:paraId="60A24925" w14:textId="77777777" w:rsidR="00000000" w:rsidRDefault="00405D16">
            <w:pPr>
              <w:spacing w:after="100"/>
              <w:rPr>
                <w:rFonts w:eastAsia="Times New Roman"/>
                <w:sz w:val="20"/>
                <w:szCs w:val="20"/>
              </w:rPr>
            </w:pPr>
          </w:p>
        </w:tc>
        <w:tc>
          <w:tcPr>
            <w:tcW w:w="5" w:type="pct"/>
            <w:vAlign w:val="center"/>
            <w:hideMark/>
          </w:tcPr>
          <w:p w14:paraId="4CDCFAFD" w14:textId="77777777" w:rsidR="00000000" w:rsidRDefault="00405D16">
            <w:pPr>
              <w:spacing w:after="100"/>
              <w:rPr>
                <w:rFonts w:eastAsia="Times New Roman"/>
                <w:sz w:val="20"/>
                <w:szCs w:val="20"/>
              </w:rPr>
            </w:pPr>
          </w:p>
        </w:tc>
        <w:tc>
          <w:tcPr>
            <w:tcW w:w="50" w:type="pct"/>
            <w:gridSpan w:val="2"/>
            <w:vAlign w:val="center"/>
            <w:hideMark/>
          </w:tcPr>
          <w:p w14:paraId="5495A0FD" w14:textId="77777777" w:rsidR="00000000" w:rsidRDefault="00405D16">
            <w:pPr>
              <w:spacing w:after="100"/>
              <w:rPr>
                <w:rFonts w:eastAsia="Times New Roman"/>
                <w:sz w:val="20"/>
                <w:szCs w:val="20"/>
              </w:rPr>
            </w:pPr>
          </w:p>
        </w:tc>
        <w:tc>
          <w:tcPr>
            <w:tcW w:w="244" w:type="pct"/>
            <w:gridSpan w:val="3"/>
            <w:vAlign w:val="center"/>
            <w:hideMark/>
          </w:tcPr>
          <w:p w14:paraId="0B4DE507" w14:textId="77777777" w:rsidR="00000000" w:rsidRDefault="00405D16">
            <w:pPr>
              <w:spacing w:after="100"/>
              <w:rPr>
                <w:rFonts w:eastAsia="Times New Roman"/>
                <w:sz w:val="20"/>
                <w:szCs w:val="20"/>
              </w:rPr>
            </w:pPr>
          </w:p>
        </w:tc>
        <w:tc>
          <w:tcPr>
            <w:tcW w:w="5" w:type="pct"/>
            <w:vAlign w:val="center"/>
            <w:hideMark/>
          </w:tcPr>
          <w:p w14:paraId="4657EC39" w14:textId="77777777" w:rsidR="00000000" w:rsidRDefault="00405D16">
            <w:pPr>
              <w:spacing w:after="100"/>
              <w:rPr>
                <w:rFonts w:eastAsia="Times New Roman"/>
                <w:sz w:val="20"/>
                <w:szCs w:val="20"/>
              </w:rPr>
            </w:pPr>
          </w:p>
        </w:tc>
        <w:tc>
          <w:tcPr>
            <w:tcW w:w="5" w:type="pct"/>
            <w:vAlign w:val="center"/>
            <w:hideMark/>
          </w:tcPr>
          <w:p w14:paraId="360E26C4" w14:textId="77777777" w:rsidR="00000000" w:rsidRDefault="00405D16">
            <w:pPr>
              <w:spacing w:after="100"/>
              <w:rPr>
                <w:rFonts w:eastAsia="Times New Roman"/>
                <w:sz w:val="20"/>
                <w:szCs w:val="20"/>
              </w:rPr>
            </w:pPr>
          </w:p>
        </w:tc>
        <w:tc>
          <w:tcPr>
            <w:tcW w:w="26" w:type="pct"/>
            <w:vAlign w:val="center"/>
            <w:hideMark/>
          </w:tcPr>
          <w:p w14:paraId="57F201CC" w14:textId="77777777" w:rsidR="00000000" w:rsidRDefault="00405D16">
            <w:pPr>
              <w:spacing w:after="100"/>
              <w:rPr>
                <w:rFonts w:eastAsia="Times New Roman"/>
                <w:sz w:val="20"/>
                <w:szCs w:val="20"/>
              </w:rPr>
            </w:pPr>
          </w:p>
        </w:tc>
        <w:tc>
          <w:tcPr>
            <w:tcW w:w="5" w:type="pct"/>
            <w:vAlign w:val="center"/>
            <w:hideMark/>
          </w:tcPr>
          <w:p w14:paraId="7A3BCBB8" w14:textId="77777777" w:rsidR="00000000" w:rsidRDefault="00405D16">
            <w:pPr>
              <w:spacing w:after="100"/>
              <w:rPr>
                <w:rFonts w:eastAsia="Times New Roman"/>
                <w:sz w:val="20"/>
                <w:szCs w:val="20"/>
              </w:rPr>
            </w:pPr>
          </w:p>
        </w:tc>
        <w:tc>
          <w:tcPr>
            <w:tcW w:w="50" w:type="pct"/>
            <w:gridSpan w:val="2"/>
            <w:vAlign w:val="center"/>
            <w:hideMark/>
          </w:tcPr>
          <w:p w14:paraId="63033F2A" w14:textId="77777777" w:rsidR="00000000" w:rsidRDefault="00405D16">
            <w:pPr>
              <w:spacing w:after="100"/>
              <w:rPr>
                <w:rFonts w:eastAsia="Times New Roman"/>
                <w:sz w:val="20"/>
                <w:szCs w:val="20"/>
              </w:rPr>
            </w:pPr>
          </w:p>
        </w:tc>
        <w:tc>
          <w:tcPr>
            <w:tcW w:w="259" w:type="pct"/>
            <w:gridSpan w:val="4"/>
            <w:vAlign w:val="center"/>
            <w:hideMark/>
          </w:tcPr>
          <w:p w14:paraId="0E9B08B3" w14:textId="77777777" w:rsidR="00000000" w:rsidRDefault="00405D16">
            <w:pPr>
              <w:spacing w:after="100"/>
              <w:rPr>
                <w:rFonts w:eastAsia="Times New Roman"/>
                <w:sz w:val="20"/>
                <w:szCs w:val="20"/>
              </w:rPr>
            </w:pPr>
          </w:p>
        </w:tc>
        <w:tc>
          <w:tcPr>
            <w:tcW w:w="5" w:type="pct"/>
            <w:vAlign w:val="center"/>
            <w:hideMark/>
          </w:tcPr>
          <w:p w14:paraId="6CA977B8" w14:textId="77777777" w:rsidR="00000000" w:rsidRDefault="00405D16">
            <w:pPr>
              <w:spacing w:after="100"/>
              <w:rPr>
                <w:rFonts w:eastAsia="Times New Roman"/>
                <w:sz w:val="20"/>
                <w:szCs w:val="20"/>
              </w:rPr>
            </w:pPr>
          </w:p>
        </w:tc>
        <w:tc>
          <w:tcPr>
            <w:tcW w:w="5" w:type="pct"/>
            <w:vAlign w:val="center"/>
            <w:hideMark/>
          </w:tcPr>
          <w:p w14:paraId="3C62ACA1" w14:textId="77777777" w:rsidR="00000000" w:rsidRDefault="00405D16">
            <w:pPr>
              <w:spacing w:after="100"/>
              <w:rPr>
                <w:rFonts w:eastAsia="Times New Roman"/>
                <w:sz w:val="20"/>
                <w:szCs w:val="20"/>
              </w:rPr>
            </w:pPr>
          </w:p>
        </w:tc>
        <w:tc>
          <w:tcPr>
            <w:tcW w:w="26" w:type="pct"/>
            <w:gridSpan w:val="2"/>
            <w:vAlign w:val="center"/>
            <w:hideMark/>
          </w:tcPr>
          <w:p w14:paraId="30856DC9" w14:textId="77777777" w:rsidR="00000000" w:rsidRDefault="00405D16">
            <w:pPr>
              <w:spacing w:after="100"/>
              <w:rPr>
                <w:rFonts w:eastAsia="Times New Roman"/>
                <w:sz w:val="20"/>
                <w:szCs w:val="20"/>
              </w:rPr>
            </w:pPr>
          </w:p>
        </w:tc>
        <w:tc>
          <w:tcPr>
            <w:tcW w:w="5" w:type="pct"/>
            <w:vAlign w:val="center"/>
            <w:hideMark/>
          </w:tcPr>
          <w:p w14:paraId="09D194EF" w14:textId="77777777" w:rsidR="00000000" w:rsidRDefault="00405D16">
            <w:pPr>
              <w:spacing w:after="100"/>
              <w:rPr>
                <w:rFonts w:eastAsia="Times New Roman"/>
                <w:sz w:val="20"/>
                <w:szCs w:val="20"/>
              </w:rPr>
            </w:pPr>
          </w:p>
        </w:tc>
        <w:tc>
          <w:tcPr>
            <w:tcW w:w="50" w:type="pct"/>
            <w:gridSpan w:val="2"/>
            <w:vAlign w:val="center"/>
            <w:hideMark/>
          </w:tcPr>
          <w:p w14:paraId="484B514B" w14:textId="77777777" w:rsidR="00000000" w:rsidRDefault="00405D16">
            <w:pPr>
              <w:spacing w:after="100"/>
              <w:rPr>
                <w:rFonts w:eastAsia="Times New Roman"/>
                <w:sz w:val="20"/>
                <w:szCs w:val="20"/>
              </w:rPr>
            </w:pPr>
          </w:p>
        </w:tc>
        <w:tc>
          <w:tcPr>
            <w:tcW w:w="200" w:type="pct"/>
            <w:vAlign w:val="center"/>
            <w:hideMark/>
          </w:tcPr>
          <w:p w14:paraId="0C7A7421" w14:textId="77777777" w:rsidR="00000000" w:rsidRDefault="00405D16">
            <w:pPr>
              <w:spacing w:after="100"/>
              <w:rPr>
                <w:rFonts w:eastAsia="Times New Roman"/>
                <w:sz w:val="20"/>
                <w:szCs w:val="20"/>
              </w:rPr>
            </w:pPr>
          </w:p>
        </w:tc>
        <w:tc>
          <w:tcPr>
            <w:tcW w:w="5" w:type="pct"/>
            <w:vAlign w:val="center"/>
            <w:hideMark/>
          </w:tcPr>
          <w:p w14:paraId="50C5CD36" w14:textId="77777777" w:rsidR="00000000" w:rsidRDefault="00405D16">
            <w:pPr>
              <w:spacing w:after="100"/>
              <w:rPr>
                <w:rFonts w:eastAsia="Times New Roman"/>
                <w:sz w:val="20"/>
                <w:szCs w:val="20"/>
              </w:rPr>
            </w:pPr>
          </w:p>
        </w:tc>
        <w:tc>
          <w:tcPr>
            <w:tcW w:w="5" w:type="pct"/>
            <w:vAlign w:val="center"/>
            <w:hideMark/>
          </w:tcPr>
          <w:p w14:paraId="4F5E656F" w14:textId="77777777" w:rsidR="00000000" w:rsidRDefault="00405D16">
            <w:pPr>
              <w:spacing w:after="100"/>
              <w:rPr>
                <w:rFonts w:eastAsia="Times New Roman"/>
                <w:sz w:val="20"/>
                <w:szCs w:val="20"/>
              </w:rPr>
            </w:pPr>
          </w:p>
        </w:tc>
        <w:tc>
          <w:tcPr>
            <w:tcW w:w="26" w:type="pct"/>
            <w:vAlign w:val="center"/>
            <w:hideMark/>
          </w:tcPr>
          <w:p w14:paraId="736644D6" w14:textId="77777777" w:rsidR="00000000" w:rsidRDefault="00405D16">
            <w:pPr>
              <w:spacing w:after="100"/>
              <w:rPr>
                <w:rFonts w:eastAsia="Times New Roman"/>
                <w:sz w:val="20"/>
                <w:szCs w:val="20"/>
              </w:rPr>
            </w:pPr>
          </w:p>
        </w:tc>
        <w:tc>
          <w:tcPr>
            <w:tcW w:w="5" w:type="pct"/>
            <w:vAlign w:val="center"/>
            <w:hideMark/>
          </w:tcPr>
          <w:p w14:paraId="356BCD10" w14:textId="77777777" w:rsidR="00000000" w:rsidRDefault="00405D16">
            <w:pPr>
              <w:spacing w:after="100"/>
              <w:rPr>
                <w:rFonts w:eastAsia="Times New Roman"/>
                <w:sz w:val="20"/>
                <w:szCs w:val="20"/>
              </w:rPr>
            </w:pPr>
          </w:p>
        </w:tc>
        <w:tc>
          <w:tcPr>
            <w:tcW w:w="50" w:type="pct"/>
            <w:gridSpan w:val="2"/>
            <w:vAlign w:val="center"/>
            <w:hideMark/>
          </w:tcPr>
          <w:p w14:paraId="03A6BA74" w14:textId="77777777" w:rsidR="00000000" w:rsidRDefault="00405D16">
            <w:pPr>
              <w:spacing w:after="100"/>
              <w:rPr>
                <w:rFonts w:eastAsia="Times New Roman"/>
                <w:sz w:val="20"/>
                <w:szCs w:val="20"/>
              </w:rPr>
            </w:pPr>
          </w:p>
        </w:tc>
        <w:tc>
          <w:tcPr>
            <w:tcW w:w="244" w:type="pct"/>
            <w:gridSpan w:val="4"/>
            <w:vAlign w:val="center"/>
            <w:hideMark/>
          </w:tcPr>
          <w:p w14:paraId="2E4BAD3D" w14:textId="77777777" w:rsidR="00000000" w:rsidRDefault="00405D16">
            <w:pPr>
              <w:spacing w:after="100"/>
              <w:rPr>
                <w:rFonts w:eastAsia="Times New Roman"/>
                <w:sz w:val="20"/>
                <w:szCs w:val="20"/>
              </w:rPr>
            </w:pPr>
          </w:p>
        </w:tc>
        <w:tc>
          <w:tcPr>
            <w:tcW w:w="5" w:type="pct"/>
            <w:vAlign w:val="center"/>
            <w:hideMark/>
          </w:tcPr>
          <w:p w14:paraId="2841C05F" w14:textId="77777777" w:rsidR="00000000" w:rsidRDefault="00405D16">
            <w:pPr>
              <w:spacing w:after="100"/>
              <w:rPr>
                <w:rFonts w:eastAsia="Times New Roman"/>
                <w:sz w:val="20"/>
                <w:szCs w:val="20"/>
              </w:rPr>
            </w:pPr>
          </w:p>
        </w:tc>
        <w:tc>
          <w:tcPr>
            <w:tcW w:w="5" w:type="pct"/>
            <w:gridSpan w:val="2"/>
            <w:vAlign w:val="center"/>
            <w:hideMark/>
          </w:tcPr>
          <w:p w14:paraId="7D7DD3BA" w14:textId="77777777" w:rsidR="00000000" w:rsidRDefault="00405D16">
            <w:pPr>
              <w:spacing w:after="100"/>
              <w:rPr>
                <w:rFonts w:eastAsia="Times New Roman"/>
                <w:sz w:val="20"/>
                <w:szCs w:val="20"/>
              </w:rPr>
            </w:pPr>
          </w:p>
        </w:tc>
        <w:tc>
          <w:tcPr>
            <w:tcW w:w="26" w:type="pct"/>
            <w:vAlign w:val="center"/>
            <w:hideMark/>
          </w:tcPr>
          <w:p w14:paraId="5F3070E4" w14:textId="77777777" w:rsidR="00000000" w:rsidRDefault="00405D16">
            <w:pPr>
              <w:spacing w:after="100"/>
              <w:rPr>
                <w:rFonts w:eastAsia="Times New Roman"/>
                <w:sz w:val="20"/>
                <w:szCs w:val="20"/>
              </w:rPr>
            </w:pPr>
          </w:p>
        </w:tc>
        <w:tc>
          <w:tcPr>
            <w:tcW w:w="5" w:type="pct"/>
            <w:vAlign w:val="center"/>
            <w:hideMark/>
          </w:tcPr>
          <w:p w14:paraId="6067D170" w14:textId="77777777" w:rsidR="00000000" w:rsidRDefault="00405D16">
            <w:pPr>
              <w:spacing w:after="100"/>
              <w:rPr>
                <w:rFonts w:eastAsia="Times New Roman"/>
                <w:sz w:val="20"/>
                <w:szCs w:val="20"/>
              </w:rPr>
            </w:pPr>
          </w:p>
        </w:tc>
        <w:tc>
          <w:tcPr>
            <w:tcW w:w="50" w:type="pct"/>
            <w:gridSpan w:val="2"/>
            <w:vAlign w:val="center"/>
            <w:hideMark/>
          </w:tcPr>
          <w:p w14:paraId="09DAA423" w14:textId="77777777" w:rsidR="00000000" w:rsidRDefault="00405D16">
            <w:pPr>
              <w:spacing w:after="100"/>
              <w:rPr>
                <w:rFonts w:eastAsia="Times New Roman"/>
                <w:sz w:val="20"/>
                <w:szCs w:val="20"/>
              </w:rPr>
            </w:pPr>
          </w:p>
        </w:tc>
        <w:tc>
          <w:tcPr>
            <w:tcW w:w="295" w:type="pct"/>
            <w:gridSpan w:val="3"/>
            <w:vAlign w:val="center"/>
            <w:hideMark/>
          </w:tcPr>
          <w:p w14:paraId="23D77C27" w14:textId="77777777" w:rsidR="00000000" w:rsidRDefault="00405D16">
            <w:pPr>
              <w:spacing w:after="100"/>
              <w:rPr>
                <w:rFonts w:eastAsia="Times New Roman"/>
                <w:sz w:val="20"/>
                <w:szCs w:val="20"/>
              </w:rPr>
            </w:pPr>
          </w:p>
        </w:tc>
        <w:tc>
          <w:tcPr>
            <w:tcW w:w="5" w:type="pct"/>
            <w:vAlign w:val="center"/>
            <w:hideMark/>
          </w:tcPr>
          <w:p w14:paraId="1CC2A8CE" w14:textId="77777777" w:rsidR="00000000" w:rsidRDefault="00405D16">
            <w:pPr>
              <w:spacing w:after="100"/>
              <w:rPr>
                <w:rFonts w:eastAsia="Times New Roman"/>
                <w:sz w:val="20"/>
                <w:szCs w:val="20"/>
              </w:rPr>
            </w:pPr>
          </w:p>
        </w:tc>
        <w:tc>
          <w:tcPr>
            <w:tcW w:w="5" w:type="pct"/>
            <w:vAlign w:val="center"/>
            <w:hideMark/>
          </w:tcPr>
          <w:p w14:paraId="72D2A8FF" w14:textId="77777777" w:rsidR="00000000" w:rsidRDefault="00405D16">
            <w:pPr>
              <w:spacing w:after="100"/>
              <w:rPr>
                <w:rFonts w:eastAsia="Times New Roman"/>
                <w:sz w:val="20"/>
                <w:szCs w:val="20"/>
              </w:rPr>
            </w:pPr>
          </w:p>
        </w:tc>
        <w:tc>
          <w:tcPr>
            <w:tcW w:w="26" w:type="pct"/>
            <w:vAlign w:val="center"/>
            <w:hideMark/>
          </w:tcPr>
          <w:p w14:paraId="16AA2764" w14:textId="77777777" w:rsidR="00000000" w:rsidRDefault="00405D16">
            <w:pPr>
              <w:spacing w:after="100"/>
              <w:rPr>
                <w:rFonts w:eastAsia="Times New Roman"/>
                <w:sz w:val="20"/>
                <w:szCs w:val="20"/>
              </w:rPr>
            </w:pPr>
          </w:p>
        </w:tc>
        <w:tc>
          <w:tcPr>
            <w:tcW w:w="5" w:type="pct"/>
            <w:gridSpan w:val="2"/>
            <w:vAlign w:val="center"/>
            <w:hideMark/>
          </w:tcPr>
          <w:p w14:paraId="18B5D869" w14:textId="77777777" w:rsidR="00000000" w:rsidRDefault="00405D16">
            <w:pPr>
              <w:spacing w:after="100"/>
              <w:rPr>
                <w:rFonts w:eastAsia="Times New Roman"/>
                <w:sz w:val="20"/>
                <w:szCs w:val="20"/>
              </w:rPr>
            </w:pPr>
          </w:p>
        </w:tc>
        <w:tc>
          <w:tcPr>
            <w:tcW w:w="50" w:type="pct"/>
            <w:vAlign w:val="center"/>
            <w:hideMark/>
          </w:tcPr>
          <w:p w14:paraId="133BE6A6" w14:textId="77777777" w:rsidR="00000000" w:rsidRDefault="00405D16">
            <w:pPr>
              <w:spacing w:after="100"/>
              <w:rPr>
                <w:rFonts w:eastAsia="Times New Roman"/>
                <w:sz w:val="20"/>
                <w:szCs w:val="20"/>
              </w:rPr>
            </w:pPr>
          </w:p>
        </w:tc>
        <w:tc>
          <w:tcPr>
            <w:tcW w:w="266" w:type="pct"/>
            <w:gridSpan w:val="4"/>
            <w:vAlign w:val="center"/>
            <w:hideMark/>
          </w:tcPr>
          <w:p w14:paraId="7C0C321D" w14:textId="77777777" w:rsidR="00000000" w:rsidRDefault="00405D16">
            <w:pPr>
              <w:spacing w:after="100"/>
              <w:rPr>
                <w:rFonts w:eastAsia="Times New Roman"/>
                <w:sz w:val="20"/>
                <w:szCs w:val="20"/>
              </w:rPr>
            </w:pPr>
          </w:p>
        </w:tc>
        <w:tc>
          <w:tcPr>
            <w:tcW w:w="5" w:type="pct"/>
            <w:vAlign w:val="center"/>
            <w:hideMark/>
          </w:tcPr>
          <w:p w14:paraId="7AEB6B22" w14:textId="77777777" w:rsidR="00000000" w:rsidRDefault="00405D16">
            <w:pPr>
              <w:spacing w:after="100"/>
              <w:rPr>
                <w:rFonts w:eastAsia="Times New Roman"/>
                <w:sz w:val="20"/>
                <w:szCs w:val="20"/>
              </w:rPr>
            </w:pPr>
          </w:p>
        </w:tc>
        <w:tc>
          <w:tcPr>
            <w:tcW w:w="5" w:type="pct"/>
            <w:vAlign w:val="center"/>
            <w:hideMark/>
          </w:tcPr>
          <w:p w14:paraId="3479E712" w14:textId="77777777" w:rsidR="00000000" w:rsidRDefault="00405D16">
            <w:pPr>
              <w:spacing w:after="100"/>
              <w:rPr>
                <w:rFonts w:eastAsia="Times New Roman"/>
                <w:sz w:val="20"/>
                <w:szCs w:val="20"/>
              </w:rPr>
            </w:pPr>
          </w:p>
        </w:tc>
        <w:tc>
          <w:tcPr>
            <w:tcW w:w="26" w:type="pct"/>
            <w:vAlign w:val="center"/>
            <w:hideMark/>
          </w:tcPr>
          <w:p w14:paraId="43A270C9" w14:textId="77777777" w:rsidR="00000000" w:rsidRDefault="00405D16">
            <w:pPr>
              <w:spacing w:after="100"/>
              <w:rPr>
                <w:rFonts w:eastAsia="Times New Roman"/>
                <w:sz w:val="20"/>
                <w:szCs w:val="20"/>
              </w:rPr>
            </w:pPr>
          </w:p>
        </w:tc>
        <w:tc>
          <w:tcPr>
            <w:tcW w:w="5" w:type="pct"/>
            <w:vAlign w:val="center"/>
            <w:hideMark/>
          </w:tcPr>
          <w:p w14:paraId="49CDA14A" w14:textId="77777777" w:rsidR="00000000" w:rsidRDefault="00405D16">
            <w:pPr>
              <w:spacing w:after="100"/>
              <w:rPr>
                <w:rFonts w:eastAsia="Times New Roman"/>
                <w:sz w:val="20"/>
                <w:szCs w:val="20"/>
              </w:rPr>
            </w:pPr>
          </w:p>
        </w:tc>
        <w:tc>
          <w:tcPr>
            <w:tcW w:w="50" w:type="pct"/>
            <w:gridSpan w:val="2"/>
            <w:vAlign w:val="center"/>
            <w:hideMark/>
          </w:tcPr>
          <w:p w14:paraId="70B17EA7" w14:textId="77777777" w:rsidR="00000000" w:rsidRDefault="00405D16">
            <w:pPr>
              <w:spacing w:after="100"/>
              <w:rPr>
                <w:rFonts w:eastAsia="Times New Roman"/>
                <w:sz w:val="20"/>
                <w:szCs w:val="20"/>
              </w:rPr>
            </w:pPr>
          </w:p>
        </w:tc>
        <w:tc>
          <w:tcPr>
            <w:tcW w:w="244" w:type="pct"/>
            <w:gridSpan w:val="4"/>
            <w:vAlign w:val="center"/>
            <w:hideMark/>
          </w:tcPr>
          <w:p w14:paraId="6454C6A6" w14:textId="77777777" w:rsidR="00000000" w:rsidRDefault="00405D16">
            <w:pPr>
              <w:spacing w:after="100"/>
              <w:rPr>
                <w:rFonts w:eastAsia="Times New Roman"/>
                <w:sz w:val="20"/>
                <w:szCs w:val="20"/>
              </w:rPr>
            </w:pPr>
          </w:p>
        </w:tc>
        <w:tc>
          <w:tcPr>
            <w:tcW w:w="5" w:type="pct"/>
            <w:vAlign w:val="center"/>
            <w:hideMark/>
          </w:tcPr>
          <w:p w14:paraId="2355C36B" w14:textId="77777777" w:rsidR="00000000" w:rsidRDefault="00405D16">
            <w:pPr>
              <w:spacing w:after="100"/>
              <w:rPr>
                <w:rFonts w:eastAsia="Times New Roman"/>
                <w:sz w:val="20"/>
                <w:szCs w:val="20"/>
              </w:rPr>
            </w:pPr>
          </w:p>
        </w:tc>
        <w:tc>
          <w:tcPr>
            <w:tcW w:w="5" w:type="pct"/>
            <w:gridSpan w:val="2"/>
            <w:vAlign w:val="center"/>
            <w:hideMark/>
          </w:tcPr>
          <w:p w14:paraId="2C36B60A" w14:textId="77777777" w:rsidR="00000000" w:rsidRDefault="00405D16">
            <w:pPr>
              <w:spacing w:after="100"/>
              <w:rPr>
                <w:rFonts w:eastAsia="Times New Roman"/>
                <w:sz w:val="20"/>
                <w:szCs w:val="20"/>
              </w:rPr>
            </w:pPr>
          </w:p>
        </w:tc>
        <w:tc>
          <w:tcPr>
            <w:tcW w:w="26" w:type="pct"/>
            <w:vAlign w:val="center"/>
            <w:hideMark/>
          </w:tcPr>
          <w:p w14:paraId="49F27320" w14:textId="77777777" w:rsidR="00000000" w:rsidRDefault="00405D16">
            <w:pPr>
              <w:spacing w:after="100"/>
              <w:rPr>
                <w:rFonts w:eastAsia="Times New Roman"/>
                <w:sz w:val="20"/>
                <w:szCs w:val="20"/>
              </w:rPr>
            </w:pPr>
          </w:p>
        </w:tc>
        <w:tc>
          <w:tcPr>
            <w:tcW w:w="5" w:type="pct"/>
            <w:vAlign w:val="center"/>
            <w:hideMark/>
          </w:tcPr>
          <w:p w14:paraId="75377620" w14:textId="77777777" w:rsidR="00000000" w:rsidRDefault="00405D16">
            <w:pPr>
              <w:spacing w:after="100"/>
              <w:rPr>
                <w:rFonts w:eastAsia="Times New Roman"/>
                <w:sz w:val="20"/>
                <w:szCs w:val="20"/>
              </w:rPr>
            </w:pPr>
          </w:p>
        </w:tc>
        <w:tc>
          <w:tcPr>
            <w:tcW w:w="50" w:type="pct"/>
            <w:gridSpan w:val="2"/>
            <w:vAlign w:val="center"/>
            <w:hideMark/>
          </w:tcPr>
          <w:p w14:paraId="6BBBB238" w14:textId="77777777" w:rsidR="00000000" w:rsidRDefault="00405D16">
            <w:pPr>
              <w:spacing w:after="100"/>
              <w:rPr>
                <w:rFonts w:eastAsia="Times New Roman"/>
                <w:sz w:val="20"/>
                <w:szCs w:val="20"/>
              </w:rPr>
            </w:pPr>
          </w:p>
        </w:tc>
        <w:tc>
          <w:tcPr>
            <w:tcW w:w="354" w:type="pct"/>
            <w:gridSpan w:val="3"/>
            <w:vAlign w:val="center"/>
            <w:hideMark/>
          </w:tcPr>
          <w:p w14:paraId="1AB0ED48" w14:textId="77777777" w:rsidR="00000000" w:rsidRDefault="00405D16">
            <w:pPr>
              <w:spacing w:after="100"/>
              <w:rPr>
                <w:rFonts w:eastAsia="Times New Roman"/>
                <w:sz w:val="20"/>
                <w:szCs w:val="20"/>
              </w:rPr>
            </w:pPr>
          </w:p>
        </w:tc>
        <w:tc>
          <w:tcPr>
            <w:tcW w:w="5" w:type="pct"/>
            <w:gridSpan w:val="5"/>
            <w:vAlign w:val="center"/>
            <w:hideMark/>
          </w:tcPr>
          <w:p w14:paraId="108B9C08" w14:textId="77777777" w:rsidR="00000000" w:rsidRDefault="00405D16">
            <w:pPr>
              <w:spacing w:after="100"/>
              <w:rPr>
                <w:rFonts w:eastAsia="Times New Roman"/>
                <w:sz w:val="20"/>
                <w:szCs w:val="20"/>
              </w:rPr>
            </w:pPr>
          </w:p>
        </w:tc>
      </w:tr>
      <w:tr w:rsidR="00000000" w14:paraId="2BD86957" w14:textId="77777777">
        <w:trPr>
          <w:gridAfter w:val="20"/>
          <w:divId w:val="858130227"/>
        </w:trPr>
        <w:tc>
          <w:tcPr>
            <w:tcW w:w="0" w:type="auto"/>
            <w:gridSpan w:val="5"/>
            <w:tcMar>
              <w:top w:w="0" w:type="dxa"/>
              <w:left w:w="20" w:type="dxa"/>
              <w:bottom w:w="0" w:type="dxa"/>
              <w:right w:w="20" w:type="dxa"/>
            </w:tcMar>
            <w:vAlign w:val="center"/>
            <w:hideMark/>
          </w:tcPr>
          <w:p w14:paraId="724F3432"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3924B5D" w14:textId="77777777" w:rsidR="00000000" w:rsidRDefault="00405D16">
            <w:pPr>
              <w:spacing w:after="100"/>
              <w:rPr>
                <w:rFonts w:eastAsia="Times New Roman"/>
                <w:sz w:val="20"/>
                <w:szCs w:val="20"/>
              </w:rPr>
            </w:pPr>
          </w:p>
        </w:tc>
        <w:tc>
          <w:tcPr>
            <w:tcW w:w="0" w:type="auto"/>
            <w:gridSpan w:val="93"/>
            <w:tcMar>
              <w:top w:w="30" w:type="dxa"/>
              <w:left w:w="20" w:type="dxa"/>
              <w:bottom w:w="30" w:type="dxa"/>
              <w:right w:w="20" w:type="dxa"/>
            </w:tcMar>
            <w:vAlign w:val="bottom"/>
            <w:hideMark/>
          </w:tcPr>
          <w:p w14:paraId="7E620985" w14:textId="77777777" w:rsidR="00000000" w:rsidRDefault="00405D16">
            <w:pPr>
              <w:spacing w:after="100"/>
              <w:jc w:val="center"/>
              <w:rPr>
                <w:rFonts w:eastAsia="Times New Roman"/>
              </w:rPr>
            </w:pPr>
            <w:r>
              <w:rPr>
                <w:rFonts w:eastAsia="Times New Roman"/>
                <w:b/>
                <w:bCs/>
                <w:color w:val="000000"/>
                <w:sz w:val="14"/>
                <w:szCs w:val="14"/>
              </w:rPr>
              <w:t>Fair Value Measurements Using Significant Unobservable Inputs (Level 3)</w:t>
            </w:r>
          </w:p>
        </w:tc>
        <w:tc>
          <w:tcPr>
            <w:tcW w:w="0" w:type="auto"/>
            <w:gridSpan w:val="5"/>
            <w:vAlign w:val="center"/>
            <w:hideMark/>
          </w:tcPr>
          <w:p w14:paraId="12143240" w14:textId="77777777" w:rsidR="00000000" w:rsidRDefault="00405D16">
            <w:pPr>
              <w:spacing w:after="100"/>
              <w:rPr>
                <w:rFonts w:eastAsia="Times New Roman"/>
                <w:sz w:val="20"/>
                <w:szCs w:val="20"/>
              </w:rPr>
            </w:pPr>
          </w:p>
        </w:tc>
      </w:tr>
      <w:tr w:rsidR="00000000" w14:paraId="7E2CE36B" w14:textId="77777777">
        <w:trPr>
          <w:gridAfter w:val="20"/>
          <w:divId w:val="858130227"/>
        </w:trPr>
        <w:tc>
          <w:tcPr>
            <w:tcW w:w="0" w:type="auto"/>
            <w:gridSpan w:val="5"/>
            <w:tcMar>
              <w:top w:w="0" w:type="dxa"/>
              <w:left w:w="20" w:type="dxa"/>
              <w:bottom w:w="0" w:type="dxa"/>
              <w:right w:w="20" w:type="dxa"/>
            </w:tcMar>
            <w:vAlign w:val="center"/>
            <w:hideMark/>
          </w:tcPr>
          <w:p w14:paraId="284DE8E7" w14:textId="77777777" w:rsidR="00000000" w:rsidRDefault="00405D1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FECA588" w14:textId="77777777" w:rsidR="00000000" w:rsidRDefault="00405D16">
            <w:pPr>
              <w:spacing w:after="100"/>
              <w:rPr>
                <w:rFonts w:eastAsia="Times New Roman"/>
                <w:sz w:val="20"/>
                <w:szCs w:val="20"/>
              </w:rPr>
            </w:pPr>
          </w:p>
        </w:tc>
        <w:tc>
          <w:tcPr>
            <w:tcW w:w="0" w:type="auto"/>
            <w:gridSpan w:val="93"/>
            <w:tcMar>
              <w:top w:w="30" w:type="dxa"/>
              <w:left w:w="20" w:type="dxa"/>
              <w:bottom w:w="30" w:type="dxa"/>
              <w:right w:w="20" w:type="dxa"/>
            </w:tcMar>
            <w:vAlign w:val="bottom"/>
            <w:hideMark/>
          </w:tcPr>
          <w:p w14:paraId="4497346A" w14:textId="77777777" w:rsidR="00000000" w:rsidRDefault="00405D16">
            <w:pPr>
              <w:spacing w:after="100"/>
              <w:jc w:val="center"/>
              <w:rPr>
                <w:rFonts w:eastAsia="Times New Roman"/>
              </w:rPr>
            </w:pPr>
            <w:r>
              <w:rPr>
                <w:rFonts w:eastAsia="Times New Roman"/>
                <w:b/>
                <w:bCs/>
                <w:color w:val="000000"/>
                <w:sz w:val="14"/>
                <w:szCs w:val="14"/>
              </w:rPr>
              <w:t>Three Months Ended September 30, 2021</w:t>
            </w:r>
          </w:p>
        </w:tc>
        <w:tc>
          <w:tcPr>
            <w:tcW w:w="0" w:type="auto"/>
            <w:gridSpan w:val="5"/>
            <w:vAlign w:val="center"/>
            <w:hideMark/>
          </w:tcPr>
          <w:p w14:paraId="77C29075" w14:textId="77777777" w:rsidR="00000000" w:rsidRDefault="00405D16">
            <w:pPr>
              <w:spacing w:after="100"/>
              <w:rPr>
                <w:rFonts w:eastAsia="Times New Roman"/>
                <w:sz w:val="20"/>
                <w:szCs w:val="20"/>
              </w:rPr>
            </w:pPr>
          </w:p>
        </w:tc>
      </w:tr>
      <w:tr w:rsidR="00000000" w14:paraId="52DEE6C6" w14:textId="77777777">
        <w:trPr>
          <w:gridAfter w:val="20"/>
          <w:divId w:val="858130227"/>
          <w:trHeight w:val="300"/>
        </w:trPr>
        <w:tc>
          <w:tcPr>
            <w:tcW w:w="0" w:type="auto"/>
            <w:gridSpan w:val="5"/>
            <w:tcMar>
              <w:top w:w="0" w:type="dxa"/>
              <w:left w:w="20" w:type="dxa"/>
              <w:bottom w:w="0" w:type="dxa"/>
              <w:right w:w="20" w:type="dxa"/>
            </w:tcMar>
            <w:vAlign w:val="center"/>
            <w:hideMark/>
          </w:tcPr>
          <w:p w14:paraId="1B1D7716" w14:textId="77777777" w:rsidR="00000000" w:rsidRDefault="00405D1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46E3A2B" w14:textId="77777777" w:rsidR="00000000" w:rsidRDefault="00405D16">
            <w:pPr>
              <w:spacing w:after="100"/>
              <w:rPr>
                <w:rFonts w:eastAsia="Times New Roman"/>
                <w:sz w:val="20"/>
                <w:szCs w:val="20"/>
              </w:rPr>
            </w:pPr>
          </w:p>
        </w:tc>
        <w:tc>
          <w:tcPr>
            <w:tcW w:w="0" w:type="auto"/>
            <w:gridSpan w:val="7"/>
            <w:tcBorders>
              <w:top w:val="single" w:sz="8" w:space="0" w:color="000000"/>
            </w:tcBorders>
            <w:tcMar>
              <w:top w:w="0" w:type="dxa"/>
              <w:left w:w="20" w:type="dxa"/>
              <w:bottom w:w="0" w:type="dxa"/>
              <w:right w:w="20" w:type="dxa"/>
            </w:tcMar>
            <w:vAlign w:val="center"/>
            <w:hideMark/>
          </w:tcPr>
          <w:p w14:paraId="23BA5FC9" w14:textId="77777777" w:rsidR="00000000" w:rsidRDefault="00405D16">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14:paraId="3FF96588" w14:textId="77777777" w:rsidR="00000000" w:rsidRDefault="00405D16">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14:paraId="5DB8DF22" w14:textId="77777777" w:rsidR="00000000" w:rsidRDefault="00405D16">
            <w:pPr>
              <w:spacing w:after="100"/>
              <w:jc w:val="center"/>
              <w:rPr>
                <w:rFonts w:eastAsia="Times New Roman"/>
              </w:rPr>
            </w:pPr>
            <w:r>
              <w:rPr>
                <w:rFonts w:eastAsia="Times New Roman"/>
                <w:b/>
                <w:bCs/>
                <w:color w:val="000000"/>
                <w:sz w:val="12"/>
                <w:szCs w:val="12"/>
              </w:rPr>
              <w:t>Total Gains (Losses)</w:t>
            </w:r>
            <w:r>
              <w:rPr>
                <w:rFonts w:eastAsia="Times New Roman"/>
                <w:b/>
                <w:bCs/>
                <w:color w:val="000000"/>
                <w:sz w:val="12"/>
                <w:szCs w:val="12"/>
              </w:rPr>
              <w:br/>
              <w:t>(Realized/Unrealized)</w:t>
            </w:r>
          </w:p>
        </w:tc>
        <w:tc>
          <w:tcPr>
            <w:tcW w:w="0" w:type="auto"/>
            <w:gridSpan w:val="3"/>
            <w:tcBorders>
              <w:top w:val="single" w:sz="8" w:space="0" w:color="000000"/>
            </w:tcBorders>
            <w:tcMar>
              <w:top w:w="0" w:type="dxa"/>
              <w:left w:w="20" w:type="dxa"/>
              <w:bottom w:w="0" w:type="dxa"/>
              <w:right w:w="20" w:type="dxa"/>
            </w:tcMar>
            <w:vAlign w:val="center"/>
            <w:hideMark/>
          </w:tcPr>
          <w:p w14:paraId="1854F531" w14:textId="77777777" w:rsidR="00000000" w:rsidRDefault="00405D16">
            <w:pPr>
              <w:spacing w:after="100"/>
              <w:jc w:val="center"/>
              <w:rPr>
                <w:rFonts w:eastAsia="Times New Roman"/>
              </w:rPr>
            </w:pPr>
          </w:p>
        </w:tc>
        <w:tc>
          <w:tcPr>
            <w:tcW w:w="0" w:type="auto"/>
            <w:gridSpan w:val="7"/>
            <w:tcBorders>
              <w:top w:val="single" w:sz="8" w:space="0" w:color="000000"/>
            </w:tcBorders>
            <w:tcMar>
              <w:top w:w="0" w:type="dxa"/>
              <w:left w:w="20" w:type="dxa"/>
              <w:bottom w:w="0" w:type="dxa"/>
              <w:right w:w="20" w:type="dxa"/>
            </w:tcMar>
            <w:vAlign w:val="center"/>
            <w:hideMark/>
          </w:tcPr>
          <w:p w14:paraId="0E4F2A7A" w14:textId="77777777" w:rsidR="00000000" w:rsidRDefault="00405D16">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14:paraId="0E1D3D5A" w14:textId="77777777" w:rsidR="00000000" w:rsidRDefault="00405D16">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14:paraId="12C74D8F"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2F732B5" w14:textId="77777777" w:rsidR="00000000" w:rsidRDefault="00405D16">
            <w:pPr>
              <w:spacing w:after="100"/>
              <w:rPr>
                <w:rFonts w:eastAsia="Times New Roman"/>
                <w:sz w:val="20"/>
                <w:szCs w:val="20"/>
              </w:rPr>
            </w:pPr>
          </w:p>
        </w:tc>
        <w:tc>
          <w:tcPr>
            <w:tcW w:w="0" w:type="auto"/>
            <w:gridSpan w:val="7"/>
            <w:tcBorders>
              <w:top w:val="single" w:sz="8" w:space="0" w:color="000000"/>
            </w:tcBorders>
            <w:tcMar>
              <w:top w:w="0" w:type="dxa"/>
              <w:left w:w="20" w:type="dxa"/>
              <w:bottom w:w="0" w:type="dxa"/>
              <w:right w:w="20" w:type="dxa"/>
            </w:tcMar>
            <w:vAlign w:val="center"/>
            <w:hideMark/>
          </w:tcPr>
          <w:p w14:paraId="6060EF5E" w14:textId="77777777" w:rsidR="00000000" w:rsidRDefault="00405D16">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14:paraId="01CBCA0A" w14:textId="77777777" w:rsidR="00000000" w:rsidRDefault="00405D16">
            <w:pPr>
              <w:spacing w:after="100"/>
              <w:rPr>
                <w:rFonts w:eastAsia="Times New Roman"/>
                <w:sz w:val="20"/>
                <w:szCs w:val="20"/>
              </w:rPr>
            </w:pPr>
          </w:p>
        </w:tc>
        <w:tc>
          <w:tcPr>
            <w:tcW w:w="0" w:type="auto"/>
            <w:gridSpan w:val="6"/>
            <w:tcBorders>
              <w:top w:val="single" w:sz="8" w:space="0" w:color="000000"/>
            </w:tcBorders>
            <w:tcMar>
              <w:top w:w="0" w:type="dxa"/>
              <w:left w:w="20" w:type="dxa"/>
              <w:bottom w:w="0" w:type="dxa"/>
              <w:right w:w="20" w:type="dxa"/>
            </w:tcMar>
            <w:vAlign w:val="center"/>
            <w:hideMark/>
          </w:tcPr>
          <w:p w14:paraId="0212806F" w14:textId="77777777" w:rsidR="00000000" w:rsidRDefault="00405D16">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14:paraId="1AD5C88B" w14:textId="77777777" w:rsidR="00000000" w:rsidRDefault="00405D16">
            <w:pPr>
              <w:spacing w:after="100"/>
              <w:rPr>
                <w:rFonts w:eastAsia="Times New Roman"/>
                <w:sz w:val="20"/>
                <w:szCs w:val="20"/>
              </w:rPr>
            </w:pPr>
          </w:p>
        </w:tc>
        <w:tc>
          <w:tcPr>
            <w:tcW w:w="0" w:type="auto"/>
            <w:gridSpan w:val="6"/>
            <w:tcBorders>
              <w:top w:val="single" w:sz="8" w:space="0" w:color="000000"/>
            </w:tcBorders>
            <w:tcMar>
              <w:top w:w="0" w:type="dxa"/>
              <w:left w:w="20" w:type="dxa"/>
              <w:bottom w:w="0" w:type="dxa"/>
              <w:right w:w="20" w:type="dxa"/>
            </w:tcMar>
            <w:vAlign w:val="center"/>
            <w:hideMark/>
          </w:tcPr>
          <w:p w14:paraId="167B3909"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047D77A" w14:textId="77777777" w:rsidR="00000000" w:rsidRDefault="00405D16">
            <w:pPr>
              <w:spacing w:after="100"/>
              <w:rPr>
                <w:rFonts w:eastAsia="Times New Roman"/>
                <w:sz w:val="20"/>
                <w:szCs w:val="20"/>
              </w:rPr>
            </w:pPr>
          </w:p>
        </w:tc>
        <w:tc>
          <w:tcPr>
            <w:tcW w:w="0" w:type="auto"/>
            <w:gridSpan w:val="7"/>
            <w:tcBorders>
              <w:top w:val="single" w:sz="8" w:space="0" w:color="000000"/>
            </w:tcBorders>
            <w:tcMar>
              <w:top w:w="0" w:type="dxa"/>
              <w:left w:w="20" w:type="dxa"/>
              <w:bottom w:w="0" w:type="dxa"/>
              <w:right w:w="20" w:type="dxa"/>
            </w:tcMar>
            <w:vAlign w:val="center"/>
            <w:hideMark/>
          </w:tcPr>
          <w:p w14:paraId="2F22288E" w14:textId="77777777" w:rsidR="00000000" w:rsidRDefault="00405D16">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14:paraId="4C7AA321" w14:textId="77777777" w:rsidR="00000000" w:rsidRDefault="00405D16">
            <w:pPr>
              <w:spacing w:after="100"/>
              <w:rPr>
                <w:rFonts w:eastAsia="Times New Roman"/>
                <w:sz w:val="20"/>
                <w:szCs w:val="20"/>
              </w:rPr>
            </w:pPr>
          </w:p>
        </w:tc>
        <w:tc>
          <w:tcPr>
            <w:tcW w:w="0" w:type="auto"/>
            <w:gridSpan w:val="5"/>
            <w:tcBorders>
              <w:top w:val="single" w:sz="8" w:space="0" w:color="000000"/>
            </w:tcBorders>
            <w:tcMar>
              <w:top w:w="0" w:type="dxa"/>
              <w:left w:w="20" w:type="dxa"/>
              <w:bottom w:w="0" w:type="dxa"/>
              <w:right w:w="20" w:type="dxa"/>
            </w:tcMar>
            <w:vAlign w:val="center"/>
            <w:hideMark/>
          </w:tcPr>
          <w:p w14:paraId="17D11723" w14:textId="77777777" w:rsidR="00000000" w:rsidRDefault="00405D16">
            <w:pPr>
              <w:spacing w:after="100"/>
              <w:rPr>
                <w:rFonts w:eastAsia="Times New Roman"/>
                <w:sz w:val="20"/>
                <w:szCs w:val="20"/>
              </w:rPr>
            </w:pPr>
          </w:p>
        </w:tc>
        <w:tc>
          <w:tcPr>
            <w:tcW w:w="0" w:type="auto"/>
            <w:gridSpan w:val="5"/>
            <w:tcBorders>
              <w:top w:val="single" w:sz="8" w:space="0" w:color="000000"/>
            </w:tcBorders>
            <w:tcMar>
              <w:top w:w="0" w:type="dxa"/>
              <w:left w:w="20" w:type="dxa"/>
              <w:bottom w:w="0" w:type="dxa"/>
              <w:right w:w="20" w:type="dxa"/>
            </w:tcMar>
            <w:vAlign w:val="center"/>
            <w:hideMark/>
          </w:tcPr>
          <w:p w14:paraId="4B714DA4" w14:textId="77777777" w:rsidR="00000000" w:rsidRDefault="00405D16">
            <w:pPr>
              <w:spacing w:after="100"/>
              <w:jc w:val="center"/>
              <w:rPr>
                <w:rFonts w:eastAsia="Times New Roman"/>
              </w:rPr>
            </w:pPr>
            <w:r>
              <w:rPr>
                <w:rFonts w:eastAsia="Times New Roman"/>
                <w:b/>
                <w:bCs/>
                <w:color w:val="000000"/>
                <w:sz w:val="12"/>
                <w:szCs w:val="12"/>
              </w:rPr>
              <w:t xml:space="preserve">Net Unrealized Gains (Losses) Included in Net Income Related to Assets and Liabilities Still Held as of </w:t>
            </w:r>
          </w:p>
          <w:p w14:paraId="54BC61B2" w14:textId="77777777" w:rsidR="00000000" w:rsidRDefault="00405D16">
            <w:pPr>
              <w:spacing w:after="100"/>
              <w:jc w:val="center"/>
              <w:rPr>
                <w:rFonts w:eastAsia="Times New Roman"/>
              </w:rPr>
            </w:pPr>
            <w:r>
              <w:rPr>
                <w:rFonts w:eastAsia="Times New Roman"/>
                <w:b/>
                <w:bCs/>
                <w:color w:val="000000"/>
                <w:sz w:val="12"/>
                <w:szCs w:val="12"/>
              </w:rPr>
              <w:t>September 30, 202</w:t>
            </w:r>
            <w:r>
              <w:rPr>
                <w:rFonts w:eastAsia="Times New Roman"/>
                <w:b/>
                <w:bCs/>
                <w:color w:val="000000"/>
                <w:sz w:val="12"/>
                <w:szCs w:val="12"/>
              </w:rPr>
              <w:t>1</w:t>
            </w:r>
            <w:r>
              <w:rPr>
                <w:rFonts w:eastAsia="Times New Roman"/>
                <w:b/>
                <w:bCs/>
                <w:color w:val="000000"/>
                <w:sz w:val="8"/>
                <w:szCs w:val="8"/>
              </w:rPr>
              <w:t>(1</w:t>
            </w:r>
            <w:r>
              <w:rPr>
                <w:rFonts w:eastAsia="Times New Roman"/>
                <w:b/>
                <w:bCs/>
                <w:color w:val="000000"/>
                <w:sz w:val="8"/>
                <w:szCs w:val="8"/>
              </w:rPr>
              <w:t>)</w:t>
            </w:r>
          </w:p>
          <w:p w14:paraId="59FCD0B0" w14:textId="77777777" w:rsidR="00000000" w:rsidRDefault="00405D16">
            <w:pPr>
              <w:spacing w:after="100"/>
              <w:jc w:val="center"/>
              <w:rPr>
                <w:rFonts w:eastAsia="Times New Roman"/>
              </w:rPr>
            </w:pPr>
          </w:p>
        </w:tc>
      </w:tr>
      <w:tr w:rsidR="00000000" w14:paraId="479630FF" w14:textId="77777777">
        <w:trPr>
          <w:gridAfter w:val="20"/>
          <w:divId w:val="858130227"/>
          <w:trHeight w:val="460"/>
        </w:trPr>
        <w:tc>
          <w:tcPr>
            <w:tcW w:w="0" w:type="auto"/>
            <w:gridSpan w:val="5"/>
            <w:tcMar>
              <w:top w:w="30" w:type="dxa"/>
              <w:left w:w="20" w:type="dxa"/>
              <w:bottom w:w="30" w:type="dxa"/>
              <w:right w:w="20" w:type="dxa"/>
            </w:tcMar>
            <w:vAlign w:val="bottom"/>
            <w:hideMark/>
          </w:tcPr>
          <w:p w14:paraId="4C4816EA" w14:textId="77777777" w:rsidR="00000000" w:rsidRDefault="00405D16">
            <w:pPr>
              <w:spacing w:after="100"/>
              <w:rPr>
                <w:rFonts w:eastAsia="Times New Roman"/>
              </w:rPr>
            </w:pPr>
            <w:r>
              <w:rPr>
                <w:rFonts w:eastAsia="Times New Roman"/>
                <w:i/>
                <w:iCs/>
                <w:color w:val="000000"/>
                <w:sz w:val="14"/>
                <w:szCs w:val="14"/>
              </w:rPr>
              <w:t>(Dollars in millions)</w:t>
            </w:r>
          </w:p>
        </w:tc>
        <w:tc>
          <w:tcPr>
            <w:tcW w:w="0" w:type="auto"/>
            <w:gridSpan w:val="3"/>
            <w:tcMar>
              <w:top w:w="0" w:type="dxa"/>
              <w:left w:w="20" w:type="dxa"/>
              <w:bottom w:w="0" w:type="dxa"/>
              <w:right w:w="20" w:type="dxa"/>
            </w:tcMar>
            <w:vAlign w:val="center"/>
            <w:hideMark/>
          </w:tcPr>
          <w:p w14:paraId="04A3F8CF" w14:textId="77777777" w:rsidR="00000000" w:rsidRDefault="00405D16">
            <w:pPr>
              <w:spacing w:after="100"/>
              <w:rPr>
                <w:rFonts w:eastAsia="Times New Roman"/>
              </w:rPr>
            </w:pPr>
          </w:p>
        </w:tc>
        <w:tc>
          <w:tcPr>
            <w:tcW w:w="0" w:type="auto"/>
            <w:gridSpan w:val="7"/>
            <w:tcMar>
              <w:top w:w="30" w:type="dxa"/>
              <w:left w:w="20" w:type="dxa"/>
              <w:bottom w:w="30" w:type="dxa"/>
              <w:right w:w="20" w:type="dxa"/>
            </w:tcMar>
            <w:vAlign w:val="bottom"/>
            <w:hideMark/>
          </w:tcPr>
          <w:p w14:paraId="218CE2F6" w14:textId="77777777" w:rsidR="00000000" w:rsidRDefault="00405D16">
            <w:pPr>
              <w:spacing w:after="100"/>
              <w:jc w:val="center"/>
              <w:rPr>
                <w:rFonts w:eastAsia="Times New Roman"/>
              </w:rPr>
            </w:pPr>
            <w:r>
              <w:rPr>
                <w:rFonts w:eastAsia="Times New Roman"/>
                <w:b/>
                <w:bCs/>
                <w:color w:val="000000"/>
                <w:sz w:val="12"/>
                <w:szCs w:val="12"/>
              </w:rPr>
              <w:t>Balance, July 1, 2021</w:t>
            </w:r>
          </w:p>
        </w:tc>
        <w:tc>
          <w:tcPr>
            <w:tcW w:w="0" w:type="auto"/>
            <w:gridSpan w:val="4"/>
            <w:tcMar>
              <w:top w:w="0" w:type="dxa"/>
              <w:left w:w="20" w:type="dxa"/>
              <w:bottom w:w="0" w:type="dxa"/>
              <w:right w:w="20" w:type="dxa"/>
            </w:tcMar>
            <w:vAlign w:val="center"/>
            <w:hideMark/>
          </w:tcPr>
          <w:p w14:paraId="34EBAEF7" w14:textId="77777777" w:rsidR="00000000" w:rsidRDefault="00405D16">
            <w:pPr>
              <w:spacing w:after="100"/>
              <w:jc w:val="center"/>
              <w:rPr>
                <w:rFonts w:eastAsia="Times New Roman"/>
              </w:rPr>
            </w:pPr>
          </w:p>
        </w:tc>
        <w:tc>
          <w:tcPr>
            <w:tcW w:w="0" w:type="auto"/>
            <w:gridSpan w:val="5"/>
            <w:tcBorders>
              <w:top w:val="single" w:sz="8" w:space="0" w:color="000000"/>
            </w:tcBorders>
            <w:tcMar>
              <w:top w:w="30" w:type="dxa"/>
              <w:left w:w="20" w:type="dxa"/>
              <w:bottom w:w="30" w:type="dxa"/>
              <w:right w:w="20" w:type="dxa"/>
            </w:tcMar>
            <w:vAlign w:val="bottom"/>
            <w:hideMark/>
          </w:tcPr>
          <w:p w14:paraId="50A40B07" w14:textId="77777777" w:rsidR="00000000" w:rsidRDefault="00405D16">
            <w:pPr>
              <w:spacing w:after="100"/>
              <w:jc w:val="center"/>
              <w:rPr>
                <w:rFonts w:eastAsia="Times New Roman"/>
              </w:rPr>
            </w:pPr>
            <w:r>
              <w:rPr>
                <w:rFonts w:eastAsia="Times New Roman"/>
                <w:b/>
                <w:bCs/>
                <w:color w:val="000000"/>
                <w:sz w:val="12"/>
                <w:szCs w:val="12"/>
              </w:rPr>
              <w:t>Included</w:t>
            </w:r>
          </w:p>
          <w:p w14:paraId="4047E874" w14:textId="77777777" w:rsidR="00000000" w:rsidRDefault="00405D16">
            <w:pPr>
              <w:spacing w:after="100"/>
              <w:jc w:val="center"/>
              <w:rPr>
                <w:rFonts w:eastAsia="Times New Roman"/>
              </w:rPr>
            </w:pPr>
            <w:r>
              <w:rPr>
                <w:rFonts w:eastAsia="Times New Roman"/>
                <w:b/>
                <w:bCs/>
                <w:color w:val="000000"/>
                <w:sz w:val="12"/>
                <w:szCs w:val="12"/>
              </w:rPr>
              <w:t>in Net</w:t>
            </w:r>
          </w:p>
          <w:p w14:paraId="21AD8CF9" w14:textId="77777777" w:rsidR="00000000" w:rsidRDefault="00405D16">
            <w:pPr>
              <w:spacing w:after="100"/>
              <w:jc w:val="center"/>
              <w:rPr>
                <w:rFonts w:eastAsia="Times New Roman"/>
              </w:rPr>
            </w:pPr>
            <w:r>
              <w:rPr>
                <w:rFonts w:eastAsia="Times New Roman"/>
                <w:b/>
                <w:bCs/>
                <w:color w:val="000000"/>
                <w:sz w:val="12"/>
                <w:szCs w:val="12"/>
              </w:rPr>
              <w:t>Incom</w:t>
            </w:r>
            <w:r>
              <w:rPr>
                <w:rFonts w:eastAsia="Times New Roman"/>
                <w:b/>
                <w:bCs/>
                <w:color w:val="000000"/>
                <w:sz w:val="12"/>
                <w:szCs w:val="12"/>
              </w:rPr>
              <w:t>e</w:t>
            </w:r>
            <w:r>
              <w:rPr>
                <w:rFonts w:eastAsia="Times New Roman"/>
                <w:b/>
                <w:bCs/>
                <w:color w:val="000000"/>
                <w:sz w:val="8"/>
                <w:szCs w:val="8"/>
              </w:rPr>
              <w:t>(1</w:t>
            </w:r>
            <w:r>
              <w:rPr>
                <w:rFonts w:eastAsia="Times New Roman"/>
                <w:b/>
                <w:bCs/>
                <w:color w:val="000000"/>
                <w:sz w:val="8"/>
                <w:szCs w:val="8"/>
              </w:rPr>
              <w:t>)</w:t>
            </w:r>
          </w:p>
        </w:tc>
        <w:tc>
          <w:tcPr>
            <w:tcW w:w="0" w:type="auto"/>
            <w:gridSpan w:val="4"/>
            <w:tcBorders>
              <w:top w:val="single" w:sz="8" w:space="0" w:color="000000"/>
            </w:tcBorders>
            <w:tcMar>
              <w:top w:w="0" w:type="dxa"/>
              <w:left w:w="20" w:type="dxa"/>
              <w:bottom w:w="0" w:type="dxa"/>
              <w:right w:w="20" w:type="dxa"/>
            </w:tcMar>
            <w:vAlign w:val="center"/>
            <w:hideMark/>
          </w:tcPr>
          <w:p w14:paraId="1A05F657" w14:textId="77777777" w:rsidR="00000000" w:rsidRDefault="00405D16">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14:paraId="71C81ED3" w14:textId="77777777" w:rsidR="00000000" w:rsidRDefault="00405D16">
            <w:pPr>
              <w:spacing w:after="100"/>
              <w:jc w:val="center"/>
              <w:rPr>
                <w:rFonts w:eastAsia="Times New Roman"/>
              </w:rPr>
            </w:pPr>
            <w:r>
              <w:rPr>
                <w:rFonts w:eastAsia="Times New Roman"/>
                <w:b/>
                <w:bCs/>
                <w:color w:val="000000"/>
                <w:sz w:val="12"/>
                <w:szCs w:val="12"/>
              </w:rPr>
              <w:t>Included in OCI</w:t>
            </w:r>
          </w:p>
        </w:tc>
        <w:tc>
          <w:tcPr>
            <w:tcW w:w="0" w:type="auto"/>
            <w:gridSpan w:val="3"/>
            <w:tcMar>
              <w:top w:w="0" w:type="dxa"/>
              <w:left w:w="20" w:type="dxa"/>
              <w:bottom w:w="0" w:type="dxa"/>
              <w:right w:w="20" w:type="dxa"/>
            </w:tcMar>
            <w:vAlign w:val="center"/>
            <w:hideMark/>
          </w:tcPr>
          <w:p w14:paraId="25537FD6" w14:textId="77777777" w:rsidR="00000000" w:rsidRDefault="00405D16">
            <w:pPr>
              <w:spacing w:after="100"/>
              <w:jc w:val="center"/>
              <w:rPr>
                <w:rFonts w:eastAsia="Times New Roman"/>
              </w:rPr>
            </w:pPr>
          </w:p>
        </w:tc>
        <w:tc>
          <w:tcPr>
            <w:tcW w:w="0" w:type="auto"/>
            <w:gridSpan w:val="7"/>
            <w:tcMar>
              <w:top w:w="30" w:type="dxa"/>
              <w:left w:w="20" w:type="dxa"/>
              <w:bottom w:w="30" w:type="dxa"/>
              <w:right w:w="20" w:type="dxa"/>
            </w:tcMar>
            <w:vAlign w:val="bottom"/>
            <w:hideMark/>
          </w:tcPr>
          <w:p w14:paraId="0F5BFFE6" w14:textId="77777777" w:rsidR="00000000" w:rsidRDefault="00405D16">
            <w:pPr>
              <w:spacing w:after="100"/>
              <w:jc w:val="center"/>
              <w:rPr>
                <w:rFonts w:eastAsia="Times New Roman"/>
              </w:rPr>
            </w:pPr>
            <w:r>
              <w:rPr>
                <w:rFonts w:eastAsia="Times New Roman"/>
                <w:b/>
                <w:bCs/>
                <w:color w:val="000000"/>
                <w:sz w:val="12"/>
                <w:szCs w:val="12"/>
              </w:rPr>
              <w:t>Purchases</w:t>
            </w:r>
          </w:p>
        </w:tc>
        <w:tc>
          <w:tcPr>
            <w:tcW w:w="0" w:type="auto"/>
            <w:gridSpan w:val="4"/>
            <w:tcMar>
              <w:top w:w="0" w:type="dxa"/>
              <w:left w:w="20" w:type="dxa"/>
              <w:bottom w:w="0" w:type="dxa"/>
              <w:right w:w="20" w:type="dxa"/>
            </w:tcMar>
            <w:vAlign w:val="center"/>
            <w:hideMark/>
          </w:tcPr>
          <w:p w14:paraId="5774D526" w14:textId="77777777" w:rsidR="00000000" w:rsidRDefault="00405D16">
            <w:pPr>
              <w:spacing w:after="100"/>
              <w:jc w:val="center"/>
              <w:rPr>
                <w:rFonts w:eastAsia="Times New Roman"/>
              </w:rPr>
            </w:pPr>
          </w:p>
        </w:tc>
        <w:tc>
          <w:tcPr>
            <w:tcW w:w="0" w:type="auto"/>
            <w:gridSpan w:val="4"/>
            <w:tcMar>
              <w:top w:w="30" w:type="dxa"/>
              <w:left w:w="20" w:type="dxa"/>
              <w:bottom w:w="30" w:type="dxa"/>
              <w:right w:w="20" w:type="dxa"/>
            </w:tcMar>
            <w:vAlign w:val="bottom"/>
            <w:hideMark/>
          </w:tcPr>
          <w:p w14:paraId="3821EE4B" w14:textId="77777777" w:rsidR="00000000" w:rsidRDefault="00405D16">
            <w:pPr>
              <w:spacing w:after="100"/>
              <w:jc w:val="center"/>
              <w:rPr>
                <w:rFonts w:eastAsia="Times New Roman"/>
              </w:rPr>
            </w:pPr>
            <w:r>
              <w:rPr>
                <w:rFonts w:eastAsia="Times New Roman"/>
                <w:b/>
                <w:bCs/>
                <w:color w:val="000000"/>
                <w:sz w:val="12"/>
                <w:szCs w:val="12"/>
              </w:rPr>
              <w:t>Sales</w:t>
            </w:r>
          </w:p>
        </w:tc>
        <w:tc>
          <w:tcPr>
            <w:tcW w:w="0" w:type="auto"/>
            <w:gridSpan w:val="3"/>
            <w:tcMar>
              <w:top w:w="0" w:type="dxa"/>
              <w:left w:w="20" w:type="dxa"/>
              <w:bottom w:w="0" w:type="dxa"/>
              <w:right w:w="20" w:type="dxa"/>
            </w:tcMar>
            <w:vAlign w:val="center"/>
            <w:hideMark/>
          </w:tcPr>
          <w:p w14:paraId="08BF84C6" w14:textId="77777777" w:rsidR="00000000" w:rsidRDefault="00405D16">
            <w:pPr>
              <w:spacing w:after="100"/>
              <w:jc w:val="center"/>
              <w:rPr>
                <w:rFonts w:eastAsia="Times New Roman"/>
              </w:rPr>
            </w:pPr>
          </w:p>
        </w:tc>
        <w:tc>
          <w:tcPr>
            <w:tcW w:w="0" w:type="auto"/>
            <w:gridSpan w:val="7"/>
            <w:tcMar>
              <w:top w:w="30" w:type="dxa"/>
              <w:left w:w="20" w:type="dxa"/>
              <w:bottom w:w="30" w:type="dxa"/>
              <w:right w:w="20" w:type="dxa"/>
            </w:tcMar>
            <w:vAlign w:val="bottom"/>
            <w:hideMark/>
          </w:tcPr>
          <w:p w14:paraId="36554505" w14:textId="77777777" w:rsidR="00000000" w:rsidRDefault="00405D16">
            <w:pPr>
              <w:spacing w:after="100"/>
              <w:jc w:val="center"/>
              <w:rPr>
                <w:rFonts w:eastAsia="Times New Roman"/>
              </w:rPr>
            </w:pPr>
            <w:r>
              <w:rPr>
                <w:rFonts w:eastAsia="Times New Roman"/>
                <w:b/>
                <w:bCs/>
                <w:color w:val="000000"/>
                <w:sz w:val="12"/>
                <w:szCs w:val="12"/>
              </w:rPr>
              <w:t>Issuances</w:t>
            </w:r>
          </w:p>
        </w:tc>
        <w:tc>
          <w:tcPr>
            <w:tcW w:w="0" w:type="auto"/>
            <w:gridSpan w:val="4"/>
            <w:tcMar>
              <w:top w:w="0" w:type="dxa"/>
              <w:left w:w="20" w:type="dxa"/>
              <w:bottom w:w="0" w:type="dxa"/>
              <w:right w:w="20" w:type="dxa"/>
            </w:tcMar>
            <w:vAlign w:val="center"/>
            <w:hideMark/>
          </w:tcPr>
          <w:p w14:paraId="0045A74A" w14:textId="77777777" w:rsidR="00000000" w:rsidRDefault="00405D16">
            <w:pPr>
              <w:spacing w:after="100"/>
              <w:jc w:val="center"/>
              <w:rPr>
                <w:rFonts w:eastAsia="Times New Roman"/>
              </w:rPr>
            </w:pPr>
          </w:p>
        </w:tc>
        <w:tc>
          <w:tcPr>
            <w:tcW w:w="0" w:type="auto"/>
            <w:gridSpan w:val="6"/>
            <w:tcMar>
              <w:top w:w="30" w:type="dxa"/>
              <w:left w:w="20" w:type="dxa"/>
              <w:bottom w:w="30" w:type="dxa"/>
              <w:right w:w="20" w:type="dxa"/>
            </w:tcMar>
            <w:vAlign w:val="bottom"/>
            <w:hideMark/>
          </w:tcPr>
          <w:p w14:paraId="0B2F6687" w14:textId="77777777" w:rsidR="00000000" w:rsidRDefault="00405D16">
            <w:pPr>
              <w:spacing w:after="100"/>
              <w:jc w:val="center"/>
              <w:rPr>
                <w:rFonts w:eastAsia="Times New Roman"/>
              </w:rPr>
            </w:pPr>
            <w:r>
              <w:rPr>
                <w:rFonts w:eastAsia="Times New Roman"/>
                <w:b/>
                <w:bCs/>
                <w:color w:val="000000"/>
                <w:sz w:val="12"/>
                <w:szCs w:val="12"/>
              </w:rPr>
              <w:t>Settlements</w:t>
            </w:r>
          </w:p>
        </w:tc>
        <w:tc>
          <w:tcPr>
            <w:tcW w:w="0" w:type="auto"/>
            <w:gridSpan w:val="4"/>
            <w:tcMar>
              <w:top w:w="0" w:type="dxa"/>
              <w:left w:w="20" w:type="dxa"/>
              <w:bottom w:w="0" w:type="dxa"/>
              <w:right w:w="20" w:type="dxa"/>
            </w:tcMar>
            <w:vAlign w:val="center"/>
            <w:hideMark/>
          </w:tcPr>
          <w:p w14:paraId="347CF5B4" w14:textId="77777777" w:rsidR="00000000" w:rsidRDefault="00405D16">
            <w:pPr>
              <w:spacing w:after="100"/>
              <w:jc w:val="center"/>
              <w:rPr>
                <w:rFonts w:eastAsia="Times New Roman"/>
              </w:rPr>
            </w:pPr>
          </w:p>
        </w:tc>
        <w:tc>
          <w:tcPr>
            <w:tcW w:w="0" w:type="auto"/>
            <w:gridSpan w:val="6"/>
            <w:tcMar>
              <w:top w:w="30" w:type="dxa"/>
              <w:left w:w="20" w:type="dxa"/>
              <w:bottom w:w="30" w:type="dxa"/>
              <w:right w:w="20" w:type="dxa"/>
            </w:tcMar>
            <w:vAlign w:val="bottom"/>
            <w:hideMark/>
          </w:tcPr>
          <w:p w14:paraId="38EAC622" w14:textId="77777777" w:rsidR="00000000" w:rsidRDefault="00405D16">
            <w:pPr>
              <w:spacing w:after="100"/>
              <w:jc w:val="center"/>
              <w:rPr>
                <w:rFonts w:eastAsia="Times New Roman"/>
              </w:rPr>
            </w:pPr>
            <w:r>
              <w:rPr>
                <w:rFonts w:eastAsia="Times New Roman"/>
                <w:b/>
                <w:bCs/>
                <w:color w:val="000000"/>
                <w:sz w:val="12"/>
                <w:szCs w:val="12"/>
              </w:rPr>
              <w:t>Transfers</w:t>
            </w:r>
            <w:r>
              <w:rPr>
                <w:rFonts w:eastAsia="Times New Roman"/>
                <w:b/>
                <w:bCs/>
                <w:color w:val="000000"/>
                <w:sz w:val="12"/>
                <w:szCs w:val="12"/>
              </w:rPr>
              <w:br/>
              <w:t>Into</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14:paraId="21BFE972" w14:textId="77777777" w:rsidR="00000000" w:rsidRDefault="00405D16">
            <w:pPr>
              <w:spacing w:after="100"/>
              <w:jc w:val="center"/>
              <w:rPr>
                <w:rFonts w:eastAsia="Times New Roman"/>
              </w:rPr>
            </w:pPr>
          </w:p>
        </w:tc>
        <w:tc>
          <w:tcPr>
            <w:tcW w:w="0" w:type="auto"/>
            <w:gridSpan w:val="7"/>
            <w:tcMar>
              <w:top w:w="30" w:type="dxa"/>
              <w:left w:w="20" w:type="dxa"/>
              <w:bottom w:w="30" w:type="dxa"/>
              <w:right w:w="20" w:type="dxa"/>
            </w:tcMar>
            <w:vAlign w:val="bottom"/>
            <w:hideMark/>
          </w:tcPr>
          <w:p w14:paraId="5A6B8989" w14:textId="77777777" w:rsidR="00000000" w:rsidRDefault="00405D16">
            <w:pPr>
              <w:spacing w:after="100"/>
              <w:jc w:val="center"/>
              <w:rPr>
                <w:rFonts w:eastAsia="Times New Roman"/>
              </w:rPr>
            </w:pPr>
            <w:r>
              <w:rPr>
                <w:rFonts w:eastAsia="Times New Roman"/>
                <w:b/>
                <w:bCs/>
                <w:color w:val="000000"/>
                <w:sz w:val="12"/>
                <w:szCs w:val="12"/>
              </w:rPr>
              <w:t>Transfers</w:t>
            </w:r>
            <w:r>
              <w:rPr>
                <w:rFonts w:eastAsia="Times New Roman"/>
                <w:b/>
                <w:bCs/>
                <w:color w:val="000000"/>
                <w:sz w:val="12"/>
                <w:szCs w:val="12"/>
              </w:rPr>
              <w:br/>
              <w:t>Out of</w:t>
            </w:r>
            <w:r>
              <w:rPr>
                <w:rFonts w:eastAsia="Times New Roman"/>
                <w:b/>
                <w:bCs/>
                <w:color w:val="000000"/>
                <w:sz w:val="12"/>
                <w:szCs w:val="12"/>
              </w:rPr>
              <w:br/>
              <w:t>Level 3</w:t>
            </w:r>
          </w:p>
        </w:tc>
        <w:tc>
          <w:tcPr>
            <w:tcW w:w="0" w:type="auto"/>
            <w:gridSpan w:val="4"/>
            <w:tcMar>
              <w:top w:w="0" w:type="dxa"/>
              <w:left w:w="20" w:type="dxa"/>
              <w:bottom w:w="0" w:type="dxa"/>
              <w:right w:w="20" w:type="dxa"/>
            </w:tcMar>
            <w:vAlign w:val="center"/>
            <w:hideMark/>
          </w:tcPr>
          <w:p w14:paraId="6A8845C7" w14:textId="77777777" w:rsidR="00000000" w:rsidRDefault="00405D16">
            <w:pPr>
              <w:spacing w:after="100"/>
              <w:jc w:val="center"/>
              <w:rPr>
                <w:rFonts w:eastAsia="Times New Roman"/>
              </w:rPr>
            </w:pPr>
          </w:p>
        </w:tc>
        <w:tc>
          <w:tcPr>
            <w:tcW w:w="0" w:type="auto"/>
            <w:gridSpan w:val="5"/>
            <w:tcMar>
              <w:top w:w="30" w:type="dxa"/>
              <w:left w:w="20" w:type="dxa"/>
              <w:bottom w:w="30" w:type="dxa"/>
              <w:right w:w="20" w:type="dxa"/>
            </w:tcMar>
            <w:vAlign w:val="bottom"/>
            <w:hideMark/>
          </w:tcPr>
          <w:p w14:paraId="08E9CA8C" w14:textId="77777777" w:rsidR="00000000" w:rsidRDefault="00405D16">
            <w:pPr>
              <w:spacing w:after="100"/>
              <w:jc w:val="center"/>
              <w:rPr>
                <w:rFonts w:eastAsia="Times New Roman"/>
              </w:rPr>
            </w:pPr>
            <w:r>
              <w:rPr>
                <w:rFonts w:eastAsia="Times New Roman"/>
                <w:b/>
                <w:bCs/>
                <w:color w:val="000000"/>
                <w:sz w:val="12"/>
                <w:szCs w:val="12"/>
              </w:rPr>
              <w:t>Balance, September 30, 2021</w:t>
            </w:r>
          </w:p>
        </w:tc>
        <w:tc>
          <w:tcPr>
            <w:tcW w:w="0" w:type="auto"/>
            <w:gridSpan w:val="5"/>
            <w:tcMar>
              <w:top w:w="0" w:type="dxa"/>
              <w:left w:w="20" w:type="dxa"/>
              <w:bottom w:w="0" w:type="dxa"/>
              <w:right w:w="20" w:type="dxa"/>
            </w:tcMar>
            <w:vAlign w:val="center"/>
            <w:hideMark/>
          </w:tcPr>
          <w:p w14:paraId="0C0C1BE1" w14:textId="77777777" w:rsidR="00000000" w:rsidRDefault="00405D16">
            <w:pPr>
              <w:spacing w:after="100"/>
              <w:jc w:val="center"/>
              <w:rPr>
                <w:rFonts w:eastAsia="Times New Roman"/>
              </w:rPr>
            </w:pPr>
          </w:p>
        </w:tc>
      </w:tr>
      <w:tr w:rsidR="00000000" w14:paraId="0B7E39FD" w14:textId="77777777">
        <w:trPr>
          <w:gridAfter w:val="20"/>
          <w:divId w:val="858130227"/>
        </w:trPr>
        <w:tc>
          <w:tcPr>
            <w:tcW w:w="0" w:type="auto"/>
            <w:gridSpan w:val="5"/>
            <w:tcBorders>
              <w:top w:val="single" w:sz="8" w:space="0" w:color="000000"/>
            </w:tcBorders>
            <w:shd w:val="clear" w:color="auto" w:fill="CCEEFF"/>
            <w:tcMar>
              <w:top w:w="30" w:type="dxa"/>
              <w:left w:w="20" w:type="dxa"/>
              <w:bottom w:w="30" w:type="dxa"/>
              <w:right w:w="20" w:type="dxa"/>
            </w:tcMar>
            <w:vAlign w:val="center"/>
            <w:hideMark/>
          </w:tcPr>
          <w:p w14:paraId="67E2918F" w14:textId="77777777" w:rsidR="00000000" w:rsidRDefault="00405D16">
            <w:pPr>
              <w:spacing w:after="100"/>
              <w:divId w:val="1400976663"/>
              <w:rPr>
                <w:rFonts w:eastAsia="Times New Roman"/>
              </w:rPr>
            </w:pPr>
            <w:r>
              <w:rPr>
                <w:rFonts w:eastAsia="Times New Roman"/>
                <w:color w:val="000000"/>
                <w:sz w:val="18"/>
                <w:szCs w:val="18"/>
              </w:rPr>
              <w:t>Securities available for sale</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79F6FC81" w14:textId="77777777" w:rsidR="00000000" w:rsidRDefault="00405D16">
            <w:pPr>
              <w:spacing w:after="100"/>
              <w:rPr>
                <w:rFonts w:eastAsia="Times New Roman"/>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14:paraId="1341CDBD"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5E7E7C49" w14:textId="77777777" w:rsidR="00000000" w:rsidRDefault="00405D16">
            <w:pPr>
              <w:spacing w:after="100"/>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14:paraId="3572F84D"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16AC7E83" w14:textId="77777777" w:rsidR="00000000" w:rsidRDefault="00405D16">
            <w:pPr>
              <w:spacing w:after="100"/>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14:paraId="727E279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C1373F" w14:textId="77777777" w:rsidR="00000000" w:rsidRDefault="00405D16">
            <w:pPr>
              <w:spacing w:after="100"/>
              <w:rPr>
                <w:rFonts w:eastAsia="Times New Roman"/>
                <w:sz w:val="20"/>
                <w:szCs w:val="20"/>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14:paraId="4B716E09"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59973CBD" w14:textId="77777777" w:rsidR="00000000" w:rsidRDefault="00405D16">
            <w:pPr>
              <w:spacing w:after="100"/>
              <w:rPr>
                <w:rFonts w:eastAsia="Times New Roman"/>
                <w:sz w:val="20"/>
                <w:szCs w:val="20"/>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14:paraId="1A0206F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D1DF36" w14:textId="77777777" w:rsidR="00000000" w:rsidRDefault="00405D16">
            <w:pPr>
              <w:spacing w:after="100"/>
              <w:rPr>
                <w:rFonts w:eastAsia="Times New Roman"/>
                <w:sz w:val="20"/>
                <w:szCs w:val="20"/>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14:paraId="406CFE46"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30638D3C" w14:textId="77777777" w:rsidR="00000000" w:rsidRDefault="00405D16">
            <w:pPr>
              <w:spacing w:after="100"/>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14:paraId="762E0D69"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5FC57472" w14:textId="77777777" w:rsidR="00000000" w:rsidRDefault="00405D16">
            <w:pPr>
              <w:spacing w:after="100"/>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14:paraId="35112AA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9D4DEF" w14:textId="77777777" w:rsidR="00000000" w:rsidRDefault="00405D16">
            <w:pPr>
              <w:spacing w:after="100"/>
              <w:rPr>
                <w:rFonts w:eastAsia="Times New Roman"/>
                <w:sz w:val="20"/>
                <w:szCs w:val="20"/>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14:paraId="23C3B5CC"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26222336" w14:textId="77777777" w:rsidR="00000000" w:rsidRDefault="00405D16">
            <w:pPr>
              <w:spacing w:after="100"/>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14:paraId="06AD88C4" w14:textId="77777777" w:rsidR="00000000" w:rsidRDefault="00405D16">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4A6478E1" w14:textId="77777777" w:rsidR="00000000" w:rsidRDefault="00405D16">
            <w:pPr>
              <w:spacing w:after="100"/>
              <w:rPr>
                <w:rFonts w:eastAsia="Times New Roman"/>
                <w:sz w:val="20"/>
                <w:szCs w:val="20"/>
              </w:rPr>
            </w:pPr>
          </w:p>
        </w:tc>
      </w:tr>
      <w:tr w:rsidR="00405D16" w14:paraId="7978FF56" w14:textId="77777777">
        <w:trPr>
          <w:gridAfter w:val="20"/>
          <w:divId w:val="858130227"/>
        </w:trPr>
        <w:tc>
          <w:tcPr>
            <w:tcW w:w="0" w:type="auto"/>
            <w:gridSpan w:val="5"/>
            <w:shd w:val="clear" w:color="auto" w:fill="FFFFFF"/>
            <w:tcMar>
              <w:top w:w="30" w:type="dxa"/>
              <w:left w:w="245" w:type="dxa"/>
              <w:bottom w:w="30" w:type="dxa"/>
              <w:right w:w="20" w:type="dxa"/>
            </w:tcMar>
            <w:vAlign w:val="center"/>
            <w:hideMark/>
          </w:tcPr>
          <w:p w14:paraId="0483681E" w14:textId="77777777" w:rsidR="00000000" w:rsidRDefault="00405D16">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14:paraId="403E0C22"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76447E6" w14:textId="77777777" w:rsidR="00000000" w:rsidRDefault="00405D16">
            <w:pPr>
              <w:spacing w:after="100"/>
              <w:rPr>
                <w:rFonts w:eastAsia="Times New Roman"/>
              </w:rPr>
            </w:pPr>
            <w:r>
              <w:rPr>
                <w:rFonts w:eastAsia="Times New Roman"/>
                <w:color w:val="000000"/>
                <w:sz w:val="18"/>
                <w:szCs w:val="18"/>
              </w:rPr>
              <w:t>$</w:t>
            </w:r>
          </w:p>
        </w:tc>
        <w:tc>
          <w:tcPr>
            <w:tcW w:w="0" w:type="auto"/>
            <w:gridSpan w:val="4"/>
            <w:shd w:val="clear" w:color="auto" w:fill="FFFFFF"/>
            <w:tcMar>
              <w:top w:w="30" w:type="dxa"/>
              <w:left w:w="0" w:type="dxa"/>
              <w:bottom w:w="30" w:type="dxa"/>
              <w:right w:w="0" w:type="dxa"/>
            </w:tcMar>
            <w:vAlign w:val="bottom"/>
            <w:hideMark/>
          </w:tcPr>
          <w:p w14:paraId="4D270A56" w14:textId="77777777" w:rsidR="00000000" w:rsidRDefault="00405D16">
            <w:pPr>
              <w:spacing w:after="100"/>
              <w:jc w:val="right"/>
              <w:rPr>
                <w:rFonts w:eastAsia="Times New Roman"/>
              </w:rPr>
            </w:pPr>
            <w:r>
              <w:rPr>
                <w:rFonts w:eastAsia="Times New Roman"/>
                <w:color w:val="000000"/>
                <w:sz w:val="18"/>
                <w:szCs w:val="18"/>
              </w:rPr>
              <w:t>289 </w:t>
            </w:r>
          </w:p>
        </w:tc>
        <w:tc>
          <w:tcPr>
            <w:tcW w:w="0" w:type="auto"/>
            <w:shd w:val="clear" w:color="auto" w:fill="FFFFFF"/>
            <w:tcMar>
              <w:top w:w="30" w:type="dxa"/>
              <w:left w:w="0" w:type="dxa"/>
              <w:bottom w:w="30" w:type="dxa"/>
              <w:right w:w="20" w:type="dxa"/>
            </w:tcMar>
            <w:vAlign w:val="bottom"/>
            <w:hideMark/>
          </w:tcPr>
          <w:p w14:paraId="6DC45F87"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2191B987"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E8730B4"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30" w:type="dxa"/>
              <w:left w:w="0" w:type="dxa"/>
              <w:bottom w:w="30" w:type="dxa"/>
              <w:right w:w="0" w:type="dxa"/>
            </w:tcMar>
            <w:vAlign w:val="bottom"/>
            <w:hideMark/>
          </w:tcPr>
          <w:p w14:paraId="5364603A" w14:textId="77777777" w:rsidR="00000000" w:rsidRDefault="00405D16">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CCC6E35"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59ACB8A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33B601"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30" w:type="dxa"/>
              <w:left w:w="0" w:type="dxa"/>
              <w:bottom w:w="30" w:type="dxa"/>
              <w:right w:w="0" w:type="dxa"/>
            </w:tcMar>
            <w:vAlign w:val="bottom"/>
            <w:hideMark/>
          </w:tcPr>
          <w:p w14:paraId="24DA2313" w14:textId="77777777" w:rsidR="00000000" w:rsidRDefault="00405D16">
            <w:pPr>
              <w:spacing w:after="100"/>
              <w:jc w:val="right"/>
              <w:rPr>
                <w:rFonts w:eastAsia="Times New Roman"/>
              </w:rPr>
            </w:pPr>
            <w:r>
              <w:rPr>
                <w:rFonts w:eastAsia="Times New Roman"/>
                <w:b/>
                <w:bCs/>
                <w:color w:val="000000"/>
                <w:sz w:val="18"/>
                <w:szCs w:val="18"/>
              </w:rPr>
              <w:t>(1)</w:t>
            </w:r>
          </w:p>
        </w:tc>
        <w:tc>
          <w:tcPr>
            <w:tcW w:w="0" w:type="auto"/>
            <w:shd w:val="clear" w:color="auto" w:fill="FFFFFF"/>
            <w:tcMar>
              <w:top w:w="30" w:type="dxa"/>
              <w:left w:w="0" w:type="dxa"/>
              <w:bottom w:w="30" w:type="dxa"/>
              <w:right w:w="20" w:type="dxa"/>
            </w:tcMar>
            <w:vAlign w:val="bottom"/>
            <w:hideMark/>
          </w:tcPr>
          <w:p w14:paraId="5F805A2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0F8A9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44CFCC"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4"/>
            <w:shd w:val="clear" w:color="auto" w:fill="FFFFFF"/>
            <w:tcMar>
              <w:top w:w="30" w:type="dxa"/>
              <w:left w:w="0" w:type="dxa"/>
              <w:bottom w:w="30" w:type="dxa"/>
              <w:right w:w="0" w:type="dxa"/>
            </w:tcMar>
            <w:vAlign w:val="bottom"/>
            <w:hideMark/>
          </w:tcPr>
          <w:p w14:paraId="67E49222"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6C71810"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5EF3055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219BAD"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205DFBFD"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098DEF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AEA39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C5B27D"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4"/>
            <w:shd w:val="clear" w:color="auto" w:fill="FFFFFF"/>
            <w:tcMar>
              <w:top w:w="30" w:type="dxa"/>
              <w:left w:w="0" w:type="dxa"/>
              <w:bottom w:w="30" w:type="dxa"/>
              <w:right w:w="0" w:type="dxa"/>
            </w:tcMar>
            <w:vAlign w:val="bottom"/>
            <w:hideMark/>
          </w:tcPr>
          <w:p w14:paraId="145D43D3"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8FFA408"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6244B17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589439"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30" w:type="dxa"/>
              <w:left w:w="0" w:type="dxa"/>
              <w:bottom w:w="30" w:type="dxa"/>
              <w:right w:w="0" w:type="dxa"/>
            </w:tcMar>
            <w:vAlign w:val="bottom"/>
            <w:hideMark/>
          </w:tcPr>
          <w:p w14:paraId="613B0374" w14:textId="77777777" w:rsidR="00000000" w:rsidRDefault="00405D16">
            <w:pPr>
              <w:spacing w:after="100"/>
              <w:jc w:val="right"/>
              <w:rPr>
                <w:rFonts w:eastAsia="Times New Roman"/>
              </w:rPr>
            </w:pPr>
            <w:r>
              <w:rPr>
                <w:rFonts w:eastAsia="Times New Roman"/>
                <w:b/>
                <w:bCs/>
                <w:color w:val="000000"/>
                <w:sz w:val="18"/>
                <w:szCs w:val="18"/>
              </w:rPr>
              <w:t>(23)</w:t>
            </w:r>
          </w:p>
        </w:tc>
        <w:tc>
          <w:tcPr>
            <w:tcW w:w="0" w:type="auto"/>
            <w:shd w:val="clear" w:color="auto" w:fill="FFFFFF"/>
            <w:tcMar>
              <w:top w:w="30" w:type="dxa"/>
              <w:left w:w="0" w:type="dxa"/>
              <w:bottom w:w="30" w:type="dxa"/>
              <w:right w:w="20" w:type="dxa"/>
            </w:tcMar>
            <w:vAlign w:val="bottom"/>
            <w:hideMark/>
          </w:tcPr>
          <w:p w14:paraId="3000748D"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1C840D4E"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0FF3923"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4"/>
            <w:shd w:val="clear" w:color="auto" w:fill="FFFFFF"/>
            <w:tcMar>
              <w:top w:w="30" w:type="dxa"/>
              <w:left w:w="0" w:type="dxa"/>
              <w:bottom w:w="30" w:type="dxa"/>
              <w:right w:w="0" w:type="dxa"/>
            </w:tcMar>
            <w:vAlign w:val="bottom"/>
            <w:hideMark/>
          </w:tcPr>
          <w:p w14:paraId="2A3FB85A" w14:textId="77777777" w:rsidR="00000000" w:rsidRDefault="00405D16">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99016D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C9B84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B085FD"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4"/>
            <w:shd w:val="clear" w:color="auto" w:fill="FFFFFF"/>
            <w:tcMar>
              <w:top w:w="30" w:type="dxa"/>
              <w:left w:w="0" w:type="dxa"/>
              <w:bottom w:w="30" w:type="dxa"/>
              <w:right w:w="0" w:type="dxa"/>
            </w:tcMar>
            <w:vAlign w:val="bottom"/>
            <w:hideMark/>
          </w:tcPr>
          <w:p w14:paraId="3F112C34" w14:textId="77777777" w:rsidR="00000000" w:rsidRDefault="00405D16">
            <w:pPr>
              <w:spacing w:after="100"/>
              <w:jc w:val="right"/>
              <w:rPr>
                <w:rFonts w:eastAsia="Times New Roman"/>
              </w:rPr>
            </w:pPr>
            <w:r>
              <w:rPr>
                <w:rFonts w:eastAsia="Times New Roman"/>
                <w:b/>
                <w:bCs/>
                <w:color w:val="000000"/>
                <w:sz w:val="18"/>
                <w:szCs w:val="18"/>
              </w:rPr>
              <w:t>(20)</w:t>
            </w:r>
          </w:p>
        </w:tc>
        <w:tc>
          <w:tcPr>
            <w:tcW w:w="0" w:type="auto"/>
            <w:shd w:val="clear" w:color="auto" w:fill="FFFFFF"/>
            <w:tcMar>
              <w:top w:w="30" w:type="dxa"/>
              <w:left w:w="0" w:type="dxa"/>
              <w:bottom w:w="30" w:type="dxa"/>
              <w:right w:w="20" w:type="dxa"/>
            </w:tcMar>
            <w:vAlign w:val="bottom"/>
            <w:hideMark/>
          </w:tcPr>
          <w:p w14:paraId="10D992F2"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05E70F6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46B2D2"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30" w:type="dxa"/>
              <w:left w:w="0" w:type="dxa"/>
              <w:bottom w:w="30" w:type="dxa"/>
              <w:right w:w="0" w:type="dxa"/>
            </w:tcMar>
            <w:vAlign w:val="bottom"/>
            <w:hideMark/>
          </w:tcPr>
          <w:p w14:paraId="0F46D1F2" w14:textId="77777777" w:rsidR="00000000" w:rsidRDefault="00405D16">
            <w:pPr>
              <w:spacing w:after="100"/>
              <w:jc w:val="right"/>
              <w:rPr>
                <w:rFonts w:eastAsia="Times New Roman"/>
              </w:rPr>
            </w:pPr>
            <w:r>
              <w:rPr>
                <w:rFonts w:eastAsia="Times New Roman"/>
                <w:b/>
                <w:bCs/>
                <w:color w:val="000000"/>
                <w:sz w:val="18"/>
                <w:szCs w:val="18"/>
              </w:rPr>
              <w:t>253</w:t>
            </w:r>
            <w:r>
              <w:rPr>
                <w:rFonts w:eastAsia="Times New Roman"/>
                <w:color w:val="000000"/>
                <w:sz w:val="18"/>
                <w:szCs w:val="18"/>
              </w:rPr>
              <w:t> </w:t>
            </w:r>
          </w:p>
        </w:tc>
        <w:tc>
          <w:tcPr>
            <w:tcW w:w="0" w:type="auto"/>
            <w:gridSpan w:val="5"/>
            <w:shd w:val="clear" w:color="auto" w:fill="FFFFFF"/>
            <w:tcMar>
              <w:top w:w="30" w:type="dxa"/>
              <w:left w:w="0" w:type="dxa"/>
              <w:bottom w:w="30" w:type="dxa"/>
              <w:right w:w="20" w:type="dxa"/>
            </w:tcMar>
            <w:vAlign w:val="bottom"/>
            <w:hideMark/>
          </w:tcPr>
          <w:p w14:paraId="2AF0F879" w14:textId="77777777" w:rsidR="00000000" w:rsidRDefault="00405D16">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r>
      <w:tr w:rsidR="00405D16" w14:paraId="503FC557" w14:textId="77777777">
        <w:trPr>
          <w:gridAfter w:val="20"/>
          <w:divId w:val="858130227"/>
        </w:trPr>
        <w:tc>
          <w:tcPr>
            <w:tcW w:w="0" w:type="auto"/>
            <w:gridSpan w:val="5"/>
            <w:shd w:val="clear" w:color="auto" w:fill="CCEEFF"/>
            <w:tcMar>
              <w:top w:w="30" w:type="dxa"/>
              <w:left w:w="245" w:type="dxa"/>
              <w:bottom w:w="30" w:type="dxa"/>
              <w:right w:w="20" w:type="dxa"/>
            </w:tcMar>
            <w:vAlign w:val="center"/>
            <w:hideMark/>
          </w:tcPr>
          <w:p w14:paraId="31E88E17" w14:textId="77777777" w:rsidR="00000000" w:rsidRDefault="00405D16">
            <w:pPr>
              <w:spacing w:after="100"/>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14:paraId="419FC7F8" w14:textId="77777777" w:rsidR="00000000" w:rsidRDefault="00405D16">
            <w:pPr>
              <w:spacing w:after="100"/>
              <w:rPr>
                <w:rFonts w:eastAsia="Times New Roman"/>
              </w:rPr>
            </w:pPr>
          </w:p>
        </w:tc>
        <w:tc>
          <w:tcPr>
            <w:tcW w:w="0" w:type="auto"/>
            <w:gridSpan w:val="6"/>
            <w:shd w:val="clear" w:color="auto" w:fill="CCEEFF"/>
            <w:tcMar>
              <w:top w:w="30" w:type="dxa"/>
              <w:left w:w="20" w:type="dxa"/>
              <w:bottom w:w="30" w:type="dxa"/>
              <w:right w:w="0" w:type="dxa"/>
            </w:tcMar>
            <w:vAlign w:val="bottom"/>
            <w:hideMark/>
          </w:tcPr>
          <w:p w14:paraId="29C7571A" w14:textId="77777777" w:rsidR="00000000" w:rsidRDefault="00405D16">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bottom"/>
            <w:hideMark/>
          </w:tcPr>
          <w:p w14:paraId="5F654A66"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4BE40F9C" w14:textId="77777777" w:rsidR="00000000" w:rsidRDefault="00405D16">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0737A460"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CA99C09"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11D40912" w14:textId="77777777" w:rsidR="00000000" w:rsidRDefault="00405D16">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0E6CBE80" w14:textId="77777777" w:rsidR="00000000" w:rsidRDefault="00405D16">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CD4E87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E85297" w14:textId="77777777" w:rsidR="00000000" w:rsidRDefault="00405D16">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01B5277A"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DB824C7"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3C679547"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6CD68B00"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D9F606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4254B7" w14:textId="77777777" w:rsidR="00000000" w:rsidRDefault="00405D16">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19B8CFB8"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2057426"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0645B963" w14:textId="77777777" w:rsidR="00000000" w:rsidRDefault="00405D16">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3BE5CDCD" w14:textId="77777777" w:rsidR="00000000" w:rsidRDefault="00405D16">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bottom"/>
            <w:hideMark/>
          </w:tcPr>
          <w:p w14:paraId="7A150C35"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14824C2F" w14:textId="77777777" w:rsidR="00000000" w:rsidRDefault="00405D16">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65B17586"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3F6765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26A739" w14:textId="77777777" w:rsidR="00000000" w:rsidRDefault="00405D16">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42E9F15A"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3DCD3A7"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69B07752" w14:textId="77777777" w:rsidR="00000000" w:rsidRDefault="00405D16">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31DE73D5" w14:textId="77777777" w:rsidR="00000000" w:rsidRDefault="00405D16">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gridSpan w:val="5"/>
            <w:shd w:val="clear" w:color="auto" w:fill="CCEEFF"/>
            <w:tcMar>
              <w:top w:w="30" w:type="dxa"/>
              <w:left w:w="0" w:type="dxa"/>
              <w:bottom w:w="30" w:type="dxa"/>
              <w:right w:w="20" w:type="dxa"/>
            </w:tcMar>
            <w:vAlign w:val="bottom"/>
            <w:hideMark/>
          </w:tcPr>
          <w:p w14:paraId="3E0E9390"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r>
      <w:tr w:rsidR="00000000" w14:paraId="16A6FD6B" w14:textId="77777777">
        <w:trPr>
          <w:gridAfter w:val="20"/>
          <w:divId w:val="858130227"/>
        </w:trPr>
        <w:tc>
          <w:tcPr>
            <w:tcW w:w="0" w:type="auto"/>
            <w:gridSpan w:val="5"/>
            <w:vAlign w:val="center"/>
            <w:hideMark/>
          </w:tcPr>
          <w:p w14:paraId="39828621" w14:textId="77777777" w:rsidR="00000000" w:rsidRDefault="00405D16">
            <w:pPr>
              <w:spacing w:after="100"/>
              <w:jc w:val="right"/>
              <w:rPr>
                <w:rFonts w:eastAsia="Times New Roman"/>
                <w:sz w:val="20"/>
                <w:szCs w:val="20"/>
              </w:rPr>
            </w:pPr>
          </w:p>
        </w:tc>
        <w:tc>
          <w:tcPr>
            <w:tcW w:w="0" w:type="auto"/>
            <w:gridSpan w:val="3"/>
            <w:vAlign w:val="center"/>
            <w:hideMark/>
          </w:tcPr>
          <w:p w14:paraId="5F606C90" w14:textId="77777777" w:rsidR="00000000" w:rsidRDefault="00405D16">
            <w:pPr>
              <w:spacing w:after="100"/>
              <w:rPr>
                <w:rFonts w:eastAsia="Times New Roman"/>
                <w:sz w:val="20"/>
                <w:szCs w:val="20"/>
              </w:rPr>
            </w:pPr>
          </w:p>
        </w:tc>
        <w:tc>
          <w:tcPr>
            <w:tcW w:w="0" w:type="auto"/>
            <w:gridSpan w:val="7"/>
            <w:vAlign w:val="center"/>
            <w:hideMark/>
          </w:tcPr>
          <w:p w14:paraId="1131C295" w14:textId="77777777" w:rsidR="00000000" w:rsidRDefault="00405D16">
            <w:pPr>
              <w:spacing w:after="100"/>
              <w:rPr>
                <w:rFonts w:eastAsia="Times New Roman"/>
                <w:sz w:val="20"/>
                <w:szCs w:val="20"/>
              </w:rPr>
            </w:pPr>
          </w:p>
        </w:tc>
        <w:tc>
          <w:tcPr>
            <w:tcW w:w="0" w:type="auto"/>
            <w:gridSpan w:val="4"/>
            <w:vAlign w:val="center"/>
            <w:hideMark/>
          </w:tcPr>
          <w:p w14:paraId="3D0281AE" w14:textId="77777777" w:rsidR="00000000" w:rsidRDefault="00405D16">
            <w:pPr>
              <w:spacing w:after="100"/>
              <w:rPr>
                <w:rFonts w:eastAsia="Times New Roman"/>
                <w:sz w:val="20"/>
                <w:szCs w:val="20"/>
              </w:rPr>
            </w:pPr>
          </w:p>
        </w:tc>
        <w:tc>
          <w:tcPr>
            <w:tcW w:w="0" w:type="auto"/>
            <w:gridSpan w:val="5"/>
            <w:vAlign w:val="center"/>
            <w:hideMark/>
          </w:tcPr>
          <w:p w14:paraId="2435C8DA" w14:textId="77777777" w:rsidR="00000000" w:rsidRDefault="00405D16">
            <w:pPr>
              <w:spacing w:after="100"/>
              <w:rPr>
                <w:rFonts w:eastAsia="Times New Roman"/>
                <w:sz w:val="20"/>
                <w:szCs w:val="20"/>
              </w:rPr>
            </w:pPr>
          </w:p>
        </w:tc>
        <w:tc>
          <w:tcPr>
            <w:tcW w:w="0" w:type="auto"/>
            <w:gridSpan w:val="4"/>
            <w:vAlign w:val="center"/>
            <w:hideMark/>
          </w:tcPr>
          <w:p w14:paraId="3E672877" w14:textId="77777777" w:rsidR="00000000" w:rsidRDefault="00405D16">
            <w:pPr>
              <w:spacing w:after="100"/>
              <w:rPr>
                <w:rFonts w:eastAsia="Times New Roman"/>
                <w:sz w:val="20"/>
                <w:szCs w:val="20"/>
              </w:rPr>
            </w:pPr>
          </w:p>
        </w:tc>
        <w:tc>
          <w:tcPr>
            <w:tcW w:w="0" w:type="auto"/>
            <w:gridSpan w:val="6"/>
            <w:vAlign w:val="center"/>
            <w:hideMark/>
          </w:tcPr>
          <w:p w14:paraId="16882BD5" w14:textId="77777777" w:rsidR="00000000" w:rsidRDefault="00405D16">
            <w:pPr>
              <w:spacing w:after="100"/>
              <w:rPr>
                <w:rFonts w:eastAsia="Times New Roman"/>
                <w:sz w:val="20"/>
                <w:szCs w:val="20"/>
              </w:rPr>
            </w:pPr>
          </w:p>
        </w:tc>
        <w:tc>
          <w:tcPr>
            <w:tcW w:w="0" w:type="auto"/>
            <w:gridSpan w:val="3"/>
            <w:vAlign w:val="center"/>
            <w:hideMark/>
          </w:tcPr>
          <w:p w14:paraId="0106529D" w14:textId="77777777" w:rsidR="00000000" w:rsidRDefault="00405D16">
            <w:pPr>
              <w:spacing w:after="100"/>
              <w:rPr>
                <w:rFonts w:eastAsia="Times New Roman"/>
                <w:sz w:val="20"/>
                <w:szCs w:val="20"/>
              </w:rPr>
            </w:pPr>
          </w:p>
        </w:tc>
        <w:tc>
          <w:tcPr>
            <w:tcW w:w="0" w:type="auto"/>
            <w:gridSpan w:val="7"/>
            <w:vAlign w:val="center"/>
            <w:hideMark/>
          </w:tcPr>
          <w:p w14:paraId="6A9C0868" w14:textId="77777777" w:rsidR="00000000" w:rsidRDefault="00405D16">
            <w:pPr>
              <w:spacing w:after="100"/>
              <w:rPr>
                <w:rFonts w:eastAsia="Times New Roman"/>
                <w:sz w:val="20"/>
                <w:szCs w:val="20"/>
              </w:rPr>
            </w:pPr>
          </w:p>
        </w:tc>
        <w:tc>
          <w:tcPr>
            <w:tcW w:w="0" w:type="auto"/>
            <w:gridSpan w:val="4"/>
            <w:vAlign w:val="center"/>
            <w:hideMark/>
          </w:tcPr>
          <w:p w14:paraId="7EFB6089" w14:textId="77777777" w:rsidR="00000000" w:rsidRDefault="00405D16">
            <w:pPr>
              <w:spacing w:after="100"/>
              <w:rPr>
                <w:rFonts w:eastAsia="Times New Roman"/>
                <w:sz w:val="20"/>
                <w:szCs w:val="20"/>
              </w:rPr>
            </w:pPr>
          </w:p>
        </w:tc>
        <w:tc>
          <w:tcPr>
            <w:tcW w:w="0" w:type="auto"/>
            <w:gridSpan w:val="4"/>
            <w:vAlign w:val="center"/>
            <w:hideMark/>
          </w:tcPr>
          <w:p w14:paraId="0CB35C83" w14:textId="77777777" w:rsidR="00000000" w:rsidRDefault="00405D16">
            <w:pPr>
              <w:spacing w:after="100"/>
              <w:rPr>
                <w:rFonts w:eastAsia="Times New Roman"/>
                <w:sz w:val="20"/>
                <w:szCs w:val="20"/>
              </w:rPr>
            </w:pPr>
          </w:p>
        </w:tc>
        <w:tc>
          <w:tcPr>
            <w:tcW w:w="0" w:type="auto"/>
            <w:gridSpan w:val="3"/>
            <w:vAlign w:val="center"/>
            <w:hideMark/>
          </w:tcPr>
          <w:p w14:paraId="57F0C110" w14:textId="77777777" w:rsidR="00000000" w:rsidRDefault="00405D16">
            <w:pPr>
              <w:spacing w:after="100"/>
              <w:rPr>
                <w:rFonts w:eastAsia="Times New Roman"/>
                <w:sz w:val="20"/>
                <w:szCs w:val="20"/>
              </w:rPr>
            </w:pPr>
          </w:p>
        </w:tc>
        <w:tc>
          <w:tcPr>
            <w:tcW w:w="0" w:type="auto"/>
            <w:gridSpan w:val="7"/>
            <w:vAlign w:val="center"/>
            <w:hideMark/>
          </w:tcPr>
          <w:p w14:paraId="4A2B7AD9" w14:textId="77777777" w:rsidR="00000000" w:rsidRDefault="00405D16">
            <w:pPr>
              <w:spacing w:after="100"/>
              <w:rPr>
                <w:rFonts w:eastAsia="Times New Roman"/>
                <w:sz w:val="20"/>
                <w:szCs w:val="20"/>
              </w:rPr>
            </w:pPr>
          </w:p>
        </w:tc>
        <w:tc>
          <w:tcPr>
            <w:tcW w:w="0" w:type="auto"/>
            <w:gridSpan w:val="4"/>
            <w:vAlign w:val="center"/>
            <w:hideMark/>
          </w:tcPr>
          <w:p w14:paraId="0114B03A" w14:textId="77777777" w:rsidR="00000000" w:rsidRDefault="00405D16">
            <w:pPr>
              <w:spacing w:after="100"/>
              <w:rPr>
                <w:rFonts w:eastAsia="Times New Roman"/>
                <w:sz w:val="20"/>
                <w:szCs w:val="20"/>
              </w:rPr>
            </w:pPr>
          </w:p>
        </w:tc>
        <w:tc>
          <w:tcPr>
            <w:tcW w:w="0" w:type="auto"/>
            <w:gridSpan w:val="6"/>
            <w:vAlign w:val="center"/>
            <w:hideMark/>
          </w:tcPr>
          <w:p w14:paraId="11B948EF" w14:textId="77777777" w:rsidR="00000000" w:rsidRDefault="00405D16">
            <w:pPr>
              <w:spacing w:after="100"/>
              <w:rPr>
                <w:rFonts w:eastAsia="Times New Roman"/>
                <w:sz w:val="20"/>
                <w:szCs w:val="20"/>
              </w:rPr>
            </w:pPr>
          </w:p>
        </w:tc>
        <w:tc>
          <w:tcPr>
            <w:tcW w:w="0" w:type="auto"/>
            <w:gridSpan w:val="4"/>
            <w:vAlign w:val="center"/>
            <w:hideMark/>
          </w:tcPr>
          <w:p w14:paraId="0C2FC495" w14:textId="77777777" w:rsidR="00000000" w:rsidRDefault="00405D16">
            <w:pPr>
              <w:spacing w:after="100"/>
              <w:rPr>
                <w:rFonts w:eastAsia="Times New Roman"/>
                <w:sz w:val="20"/>
                <w:szCs w:val="20"/>
              </w:rPr>
            </w:pPr>
          </w:p>
        </w:tc>
        <w:tc>
          <w:tcPr>
            <w:tcW w:w="0" w:type="auto"/>
            <w:gridSpan w:val="6"/>
            <w:vAlign w:val="center"/>
            <w:hideMark/>
          </w:tcPr>
          <w:p w14:paraId="1F95393F" w14:textId="77777777" w:rsidR="00000000" w:rsidRDefault="00405D16">
            <w:pPr>
              <w:spacing w:after="100"/>
              <w:rPr>
                <w:rFonts w:eastAsia="Times New Roman"/>
                <w:sz w:val="20"/>
                <w:szCs w:val="20"/>
              </w:rPr>
            </w:pPr>
          </w:p>
        </w:tc>
        <w:tc>
          <w:tcPr>
            <w:tcW w:w="0" w:type="auto"/>
            <w:gridSpan w:val="3"/>
            <w:vAlign w:val="center"/>
            <w:hideMark/>
          </w:tcPr>
          <w:p w14:paraId="3AC1EF0E" w14:textId="77777777" w:rsidR="00000000" w:rsidRDefault="00405D16">
            <w:pPr>
              <w:spacing w:after="100"/>
              <w:rPr>
                <w:rFonts w:eastAsia="Times New Roman"/>
                <w:sz w:val="20"/>
                <w:szCs w:val="20"/>
              </w:rPr>
            </w:pPr>
          </w:p>
        </w:tc>
        <w:tc>
          <w:tcPr>
            <w:tcW w:w="0" w:type="auto"/>
            <w:gridSpan w:val="7"/>
            <w:vAlign w:val="center"/>
            <w:hideMark/>
          </w:tcPr>
          <w:p w14:paraId="3CFCC105" w14:textId="77777777" w:rsidR="00000000" w:rsidRDefault="00405D16">
            <w:pPr>
              <w:spacing w:after="100"/>
              <w:rPr>
                <w:rFonts w:eastAsia="Times New Roman"/>
                <w:sz w:val="20"/>
                <w:szCs w:val="20"/>
              </w:rPr>
            </w:pPr>
          </w:p>
        </w:tc>
        <w:tc>
          <w:tcPr>
            <w:tcW w:w="0" w:type="auto"/>
            <w:gridSpan w:val="4"/>
            <w:vAlign w:val="center"/>
            <w:hideMark/>
          </w:tcPr>
          <w:p w14:paraId="47859F34" w14:textId="77777777" w:rsidR="00000000" w:rsidRDefault="00405D16">
            <w:pPr>
              <w:spacing w:after="100"/>
              <w:rPr>
                <w:rFonts w:eastAsia="Times New Roman"/>
                <w:sz w:val="20"/>
                <w:szCs w:val="20"/>
              </w:rPr>
            </w:pPr>
          </w:p>
        </w:tc>
        <w:tc>
          <w:tcPr>
            <w:tcW w:w="0" w:type="auto"/>
            <w:gridSpan w:val="5"/>
            <w:vAlign w:val="center"/>
            <w:hideMark/>
          </w:tcPr>
          <w:p w14:paraId="6C39652E" w14:textId="77777777" w:rsidR="00000000" w:rsidRDefault="00405D16">
            <w:pPr>
              <w:spacing w:after="100"/>
              <w:rPr>
                <w:rFonts w:eastAsia="Times New Roman"/>
                <w:sz w:val="20"/>
                <w:szCs w:val="20"/>
              </w:rPr>
            </w:pPr>
          </w:p>
        </w:tc>
        <w:tc>
          <w:tcPr>
            <w:tcW w:w="0" w:type="auto"/>
            <w:gridSpan w:val="5"/>
            <w:vAlign w:val="center"/>
            <w:hideMark/>
          </w:tcPr>
          <w:p w14:paraId="70EB8700" w14:textId="77777777" w:rsidR="00000000" w:rsidRDefault="00405D16">
            <w:pPr>
              <w:spacing w:after="100"/>
              <w:rPr>
                <w:rFonts w:eastAsia="Times New Roman"/>
                <w:sz w:val="20"/>
                <w:szCs w:val="20"/>
              </w:rPr>
            </w:pPr>
          </w:p>
        </w:tc>
      </w:tr>
      <w:tr w:rsidR="00405D16" w14:paraId="484C7C3A" w14:textId="77777777">
        <w:trPr>
          <w:gridAfter w:val="20"/>
          <w:divId w:val="858130227"/>
        </w:trPr>
        <w:tc>
          <w:tcPr>
            <w:tcW w:w="0" w:type="auto"/>
            <w:gridSpan w:val="5"/>
            <w:shd w:val="clear" w:color="auto" w:fill="FFFFFF"/>
            <w:tcMar>
              <w:top w:w="30" w:type="dxa"/>
              <w:left w:w="20" w:type="dxa"/>
              <w:bottom w:w="30" w:type="dxa"/>
              <w:right w:w="20" w:type="dxa"/>
            </w:tcMar>
            <w:vAlign w:val="center"/>
            <w:hideMark/>
          </w:tcPr>
          <w:p w14:paraId="1F54B370" w14:textId="77777777" w:rsidR="00000000" w:rsidRDefault="00405D16">
            <w:pPr>
              <w:spacing w:after="100"/>
              <w:rPr>
                <w:rFonts w:eastAsia="Times New Roman"/>
              </w:rPr>
            </w:pPr>
            <w:r>
              <w:rPr>
                <w:rFonts w:eastAsia="Times New Roman"/>
                <w:color w:val="000000"/>
                <w:sz w:val="18"/>
                <w:szCs w:val="18"/>
              </w:rPr>
              <w:t>Total securities available for sale</w:t>
            </w:r>
          </w:p>
        </w:tc>
        <w:tc>
          <w:tcPr>
            <w:tcW w:w="0" w:type="auto"/>
            <w:gridSpan w:val="3"/>
            <w:shd w:val="clear" w:color="auto" w:fill="FFFFFF"/>
            <w:tcMar>
              <w:top w:w="0" w:type="dxa"/>
              <w:left w:w="20" w:type="dxa"/>
              <w:bottom w:w="0" w:type="dxa"/>
              <w:right w:w="20" w:type="dxa"/>
            </w:tcMar>
            <w:vAlign w:val="center"/>
            <w:hideMark/>
          </w:tcPr>
          <w:p w14:paraId="0F7480B2" w14:textId="77777777" w:rsidR="00000000" w:rsidRDefault="00405D16">
            <w:pPr>
              <w:spacing w:after="100"/>
              <w:rPr>
                <w:rFonts w:eastAsia="Times New Roman"/>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14:paraId="0379D834" w14:textId="77777777" w:rsidR="00000000" w:rsidRDefault="00405D16">
            <w:pPr>
              <w:spacing w:after="100"/>
              <w:jc w:val="right"/>
              <w:rPr>
                <w:rFonts w:eastAsia="Times New Roman"/>
              </w:rPr>
            </w:pPr>
            <w:r>
              <w:rPr>
                <w:rFonts w:eastAsia="Times New Roman"/>
                <w:color w:val="000000"/>
                <w:sz w:val="18"/>
                <w:szCs w:val="18"/>
              </w:rPr>
              <w:t>298 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467E475"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50B444BA" w14:textId="77777777" w:rsidR="00000000" w:rsidRDefault="00405D16">
            <w:pPr>
              <w:spacing w:after="100"/>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14:paraId="2EBD86E3" w14:textId="77777777" w:rsidR="00000000" w:rsidRDefault="00405D16">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7EC7AD9"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06319C25" w14:textId="77777777" w:rsidR="00000000" w:rsidRDefault="00405D16">
            <w:pPr>
              <w:spacing w:after="100"/>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14:paraId="383FEB98"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73DE9E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423766" w14:textId="77777777" w:rsidR="00000000" w:rsidRDefault="00405D16">
            <w:pPr>
              <w:spacing w:after="100"/>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14:paraId="20543C04"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A8F37F3"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43623E98" w14:textId="77777777" w:rsidR="00000000" w:rsidRDefault="00405D16">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0" w:type="dxa"/>
            </w:tcMar>
            <w:vAlign w:val="bottom"/>
            <w:hideMark/>
          </w:tcPr>
          <w:p w14:paraId="2B08147A"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0065C3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0BB5C4" w14:textId="77777777" w:rsidR="00000000" w:rsidRDefault="00405D16">
            <w:pPr>
              <w:spacing w:after="100"/>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14:paraId="3F4904AF"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45774D"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56FEBAFC" w14:textId="77777777" w:rsidR="00000000" w:rsidRDefault="00405D16">
            <w:pPr>
              <w:spacing w:after="100"/>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14:paraId="055832B0" w14:textId="77777777" w:rsidR="00000000" w:rsidRDefault="00405D16">
            <w:pPr>
              <w:spacing w:after="100"/>
              <w:jc w:val="right"/>
              <w:rPr>
                <w:rFonts w:eastAsia="Times New Roman"/>
              </w:rPr>
            </w:pPr>
            <w:r>
              <w:rPr>
                <w:rFonts w:eastAsia="Times New Roman"/>
                <w:b/>
                <w:bCs/>
                <w:color w:val="000000"/>
                <w:sz w:val="18"/>
                <w:szCs w:val="18"/>
              </w:rPr>
              <w:t>(24)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9D34F3"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61050BCB" w14:textId="77777777" w:rsidR="00000000" w:rsidRDefault="00405D16">
            <w:pPr>
              <w:spacing w:after="100"/>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14:paraId="19A24975" w14:textId="77777777" w:rsidR="00000000" w:rsidRDefault="00405D16">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1E8D7C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AA078A" w14:textId="77777777" w:rsidR="00000000" w:rsidRDefault="00405D16">
            <w:pPr>
              <w:spacing w:after="100"/>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14:paraId="01F01FB7" w14:textId="77777777" w:rsidR="00000000" w:rsidRDefault="00405D16">
            <w:pPr>
              <w:spacing w:after="100"/>
              <w:jc w:val="right"/>
              <w:rPr>
                <w:rFonts w:eastAsia="Times New Roman"/>
              </w:rPr>
            </w:pPr>
            <w:r>
              <w:rPr>
                <w:rFonts w:eastAsia="Times New Roman"/>
                <w:b/>
                <w:bCs/>
                <w:color w:val="000000"/>
                <w:sz w:val="18"/>
                <w:szCs w:val="18"/>
              </w:rPr>
              <w:t>(20)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3FD6D25"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5C511117" w14:textId="77777777" w:rsidR="00000000" w:rsidRDefault="00405D16">
            <w:pPr>
              <w:spacing w:after="100"/>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14:paraId="2D097872" w14:textId="77777777" w:rsidR="00000000" w:rsidRDefault="00405D16">
            <w:pPr>
              <w:spacing w:after="100"/>
              <w:jc w:val="right"/>
              <w:rPr>
                <w:rFonts w:eastAsia="Times New Roman"/>
              </w:rPr>
            </w:pPr>
            <w:r>
              <w:rPr>
                <w:rFonts w:eastAsia="Times New Roman"/>
                <w:b/>
                <w:bCs/>
                <w:color w:val="000000"/>
                <w:sz w:val="18"/>
                <w:szCs w:val="18"/>
              </w:rPr>
              <w:t>262</w:t>
            </w:r>
            <w:r>
              <w:rPr>
                <w:rFonts w:eastAsia="Times New Roman"/>
                <w:color w:val="000000"/>
                <w:sz w:val="18"/>
                <w:szCs w:val="18"/>
              </w:rPr>
              <w:t> </w:t>
            </w:r>
          </w:p>
        </w:tc>
        <w:tc>
          <w:tcPr>
            <w:tcW w:w="0" w:type="auto"/>
            <w:gridSpan w:val="5"/>
            <w:tcBorders>
              <w:top w:val="single" w:sz="8" w:space="0" w:color="000000"/>
            </w:tcBorders>
            <w:shd w:val="clear" w:color="auto" w:fill="FFFFFF"/>
            <w:tcMar>
              <w:top w:w="30" w:type="dxa"/>
              <w:left w:w="0" w:type="dxa"/>
              <w:bottom w:w="30" w:type="dxa"/>
              <w:right w:w="20" w:type="dxa"/>
            </w:tcMar>
            <w:vAlign w:val="bottom"/>
            <w:hideMark/>
          </w:tcPr>
          <w:p w14:paraId="5F5E8621" w14:textId="77777777" w:rsidR="00000000" w:rsidRDefault="00405D16">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r>
      <w:tr w:rsidR="00000000" w14:paraId="52FA5326" w14:textId="77777777">
        <w:trPr>
          <w:gridAfter w:val="20"/>
          <w:divId w:val="858130227"/>
        </w:trPr>
        <w:tc>
          <w:tcPr>
            <w:tcW w:w="0" w:type="auto"/>
            <w:gridSpan w:val="5"/>
            <w:shd w:val="clear" w:color="auto" w:fill="CCEEFF"/>
            <w:tcMar>
              <w:top w:w="30" w:type="dxa"/>
              <w:left w:w="20" w:type="dxa"/>
              <w:bottom w:w="30" w:type="dxa"/>
              <w:right w:w="20" w:type="dxa"/>
            </w:tcMar>
            <w:vAlign w:val="center"/>
            <w:hideMark/>
          </w:tcPr>
          <w:p w14:paraId="3946878D" w14:textId="77777777" w:rsidR="00000000" w:rsidRDefault="00405D16">
            <w:pPr>
              <w:spacing w:after="100"/>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14:paraId="61CAF4D4" w14:textId="77777777" w:rsidR="00000000" w:rsidRDefault="00405D16">
            <w:pPr>
              <w:spacing w:after="100"/>
              <w:rPr>
                <w:rFonts w:eastAsia="Times New Roman"/>
              </w:rPr>
            </w:pPr>
          </w:p>
        </w:tc>
        <w:tc>
          <w:tcPr>
            <w:tcW w:w="0" w:type="auto"/>
            <w:gridSpan w:val="7"/>
            <w:tcBorders>
              <w:top w:val="double" w:sz="6" w:space="0" w:color="000000"/>
            </w:tcBorders>
            <w:shd w:val="clear" w:color="auto" w:fill="CCEEFF"/>
            <w:tcMar>
              <w:top w:w="0" w:type="dxa"/>
              <w:left w:w="20" w:type="dxa"/>
              <w:bottom w:w="0" w:type="dxa"/>
              <w:right w:w="20" w:type="dxa"/>
            </w:tcMar>
            <w:vAlign w:val="center"/>
            <w:hideMark/>
          </w:tcPr>
          <w:p w14:paraId="421F433B"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4462FC95" w14:textId="77777777" w:rsidR="00000000" w:rsidRDefault="00405D16">
            <w:pPr>
              <w:spacing w:after="100"/>
              <w:rPr>
                <w:rFonts w:eastAsia="Times New Roman"/>
                <w:sz w:val="20"/>
                <w:szCs w:val="20"/>
              </w:rPr>
            </w:pPr>
          </w:p>
        </w:tc>
        <w:tc>
          <w:tcPr>
            <w:tcW w:w="0" w:type="auto"/>
            <w:gridSpan w:val="5"/>
            <w:tcBorders>
              <w:top w:val="double" w:sz="6" w:space="0" w:color="000000"/>
            </w:tcBorders>
            <w:shd w:val="clear" w:color="auto" w:fill="CCEEFF"/>
            <w:tcMar>
              <w:top w:w="0" w:type="dxa"/>
              <w:left w:w="20" w:type="dxa"/>
              <w:bottom w:w="0" w:type="dxa"/>
              <w:right w:w="20" w:type="dxa"/>
            </w:tcMar>
            <w:vAlign w:val="center"/>
            <w:hideMark/>
          </w:tcPr>
          <w:p w14:paraId="2480CB47"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7C0332E3" w14:textId="77777777" w:rsidR="00000000" w:rsidRDefault="00405D16">
            <w:pPr>
              <w:spacing w:after="100"/>
              <w:rPr>
                <w:rFonts w:eastAsia="Times New Roman"/>
                <w:sz w:val="20"/>
                <w:szCs w:val="20"/>
              </w:rPr>
            </w:pPr>
          </w:p>
        </w:tc>
        <w:tc>
          <w:tcPr>
            <w:tcW w:w="0" w:type="auto"/>
            <w:gridSpan w:val="6"/>
            <w:tcBorders>
              <w:top w:val="double" w:sz="6" w:space="0" w:color="000000"/>
            </w:tcBorders>
            <w:shd w:val="clear" w:color="auto" w:fill="CCEEFF"/>
            <w:tcMar>
              <w:top w:w="0" w:type="dxa"/>
              <w:left w:w="20" w:type="dxa"/>
              <w:bottom w:w="0" w:type="dxa"/>
              <w:right w:w="20" w:type="dxa"/>
            </w:tcMar>
            <w:vAlign w:val="center"/>
            <w:hideMark/>
          </w:tcPr>
          <w:p w14:paraId="21C4355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3EFC48" w14:textId="77777777" w:rsidR="00000000" w:rsidRDefault="00405D16">
            <w:pPr>
              <w:spacing w:after="100"/>
              <w:rPr>
                <w:rFonts w:eastAsia="Times New Roman"/>
                <w:sz w:val="20"/>
                <w:szCs w:val="20"/>
              </w:rPr>
            </w:pPr>
          </w:p>
        </w:tc>
        <w:tc>
          <w:tcPr>
            <w:tcW w:w="0" w:type="auto"/>
            <w:gridSpan w:val="7"/>
            <w:tcBorders>
              <w:top w:val="double" w:sz="6" w:space="0" w:color="000000"/>
            </w:tcBorders>
            <w:shd w:val="clear" w:color="auto" w:fill="CCEEFF"/>
            <w:tcMar>
              <w:top w:w="0" w:type="dxa"/>
              <w:left w:w="20" w:type="dxa"/>
              <w:bottom w:w="0" w:type="dxa"/>
              <w:right w:w="20" w:type="dxa"/>
            </w:tcMar>
            <w:vAlign w:val="center"/>
            <w:hideMark/>
          </w:tcPr>
          <w:p w14:paraId="2E614068"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63F09F22" w14:textId="77777777" w:rsidR="00000000" w:rsidRDefault="00405D16">
            <w:pPr>
              <w:spacing w:after="100"/>
              <w:rPr>
                <w:rFonts w:eastAsia="Times New Roman"/>
                <w:sz w:val="20"/>
                <w:szCs w:val="20"/>
              </w:rPr>
            </w:pPr>
          </w:p>
        </w:tc>
        <w:tc>
          <w:tcPr>
            <w:tcW w:w="0" w:type="auto"/>
            <w:gridSpan w:val="4"/>
            <w:tcBorders>
              <w:top w:val="double" w:sz="6" w:space="0" w:color="000000"/>
            </w:tcBorders>
            <w:shd w:val="clear" w:color="auto" w:fill="CCEEFF"/>
            <w:tcMar>
              <w:top w:w="0" w:type="dxa"/>
              <w:left w:w="20" w:type="dxa"/>
              <w:bottom w:w="0" w:type="dxa"/>
              <w:right w:w="20" w:type="dxa"/>
            </w:tcMar>
            <w:vAlign w:val="center"/>
            <w:hideMark/>
          </w:tcPr>
          <w:p w14:paraId="2115D4E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94D3C4" w14:textId="77777777" w:rsidR="00000000" w:rsidRDefault="00405D16">
            <w:pPr>
              <w:spacing w:after="100"/>
              <w:rPr>
                <w:rFonts w:eastAsia="Times New Roman"/>
                <w:sz w:val="20"/>
                <w:szCs w:val="20"/>
              </w:rPr>
            </w:pPr>
          </w:p>
        </w:tc>
        <w:tc>
          <w:tcPr>
            <w:tcW w:w="0" w:type="auto"/>
            <w:gridSpan w:val="7"/>
            <w:tcBorders>
              <w:top w:val="double" w:sz="6" w:space="0" w:color="000000"/>
            </w:tcBorders>
            <w:shd w:val="clear" w:color="auto" w:fill="CCEEFF"/>
            <w:tcMar>
              <w:top w:w="0" w:type="dxa"/>
              <w:left w:w="20" w:type="dxa"/>
              <w:bottom w:w="0" w:type="dxa"/>
              <w:right w:w="20" w:type="dxa"/>
            </w:tcMar>
            <w:vAlign w:val="center"/>
            <w:hideMark/>
          </w:tcPr>
          <w:p w14:paraId="318CF519"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07A39355" w14:textId="77777777" w:rsidR="00000000" w:rsidRDefault="00405D16">
            <w:pPr>
              <w:spacing w:after="100"/>
              <w:rPr>
                <w:rFonts w:eastAsia="Times New Roman"/>
                <w:sz w:val="20"/>
                <w:szCs w:val="20"/>
              </w:rPr>
            </w:pPr>
          </w:p>
        </w:tc>
        <w:tc>
          <w:tcPr>
            <w:tcW w:w="0" w:type="auto"/>
            <w:gridSpan w:val="6"/>
            <w:tcBorders>
              <w:top w:val="double" w:sz="6" w:space="0" w:color="000000"/>
            </w:tcBorders>
            <w:shd w:val="clear" w:color="auto" w:fill="CCEEFF"/>
            <w:tcMar>
              <w:top w:w="0" w:type="dxa"/>
              <w:left w:w="20" w:type="dxa"/>
              <w:bottom w:w="0" w:type="dxa"/>
              <w:right w:w="20" w:type="dxa"/>
            </w:tcMar>
            <w:vAlign w:val="center"/>
            <w:hideMark/>
          </w:tcPr>
          <w:p w14:paraId="2957CFCA"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28CB3CCB" w14:textId="77777777" w:rsidR="00000000" w:rsidRDefault="00405D16">
            <w:pPr>
              <w:spacing w:after="100"/>
              <w:rPr>
                <w:rFonts w:eastAsia="Times New Roman"/>
                <w:sz w:val="20"/>
                <w:szCs w:val="20"/>
              </w:rPr>
            </w:pPr>
          </w:p>
        </w:tc>
        <w:tc>
          <w:tcPr>
            <w:tcW w:w="0" w:type="auto"/>
            <w:gridSpan w:val="6"/>
            <w:tcBorders>
              <w:top w:val="double" w:sz="6" w:space="0" w:color="000000"/>
            </w:tcBorders>
            <w:shd w:val="clear" w:color="auto" w:fill="CCEEFF"/>
            <w:tcMar>
              <w:top w:w="0" w:type="dxa"/>
              <w:left w:w="20" w:type="dxa"/>
              <w:bottom w:w="0" w:type="dxa"/>
              <w:right w:w="20" w:type="dxa"/>
            </w:tcMar>
            <w:vAlign w:val="center"/>
            <w:hideMark/>
          </w:tcPr>
          <w:p w14:paraId="17E80B5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08E3E6" w14:textId="77777777" w:rsidR="00000000" w:rsidRDefault="00405D16">
            <w:pPr>
              <w:spacing w:after="100"/>
              <w:rPr>
                <w:rFonts w:eastAsia="Times New Roman"/>
                <w:sz w:val="20"/>
                <w:szCs w:val="20"/>
              </w:rPr>
            </w:pPr>
          </w:p>
        </w:tc>
        <w:tc>
          <w:tcPr>
            <w:tcW w:w="0" w:type="auto"/>
            <w:gridSpan w:val="7"/>
            <w:tcBorders>
              <w:top w:val="double" w:sz="6" w:space="0" w:color="000000"/>
            </w:tcBorders>
            <w:shd w:val="clear" w:color="auto" w:fill="CCEEFF"/>
            <w:tcMar>
              <w:top w:w="0" w:type="dxa"/>
              <w:left w:w="20" w:type="dxa"/>
              <w:bottom w:w="0" w:type="dxa"/>
              <w:right w:w="20" w:type="dxa"/>
            </w:tcMar>
            <w:vAlign w:val="center"/>
            <w:hideMark/>
          </w:tcPr>
          <w:p w14:paraId="3C1BC4B9"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1056C2B4" w14:textId="77777777" w:rsidR="00000000" w:rsidRDefault="00405D16">
            <w:pPr>
              <w:spacing w:after="100"/>
              <w:rPr>
                <w:rFonts w:eastAsia="Times New Roman"/>
                <w:sz w:val="20"/>
                <w:szCs w:val="20"/>
              </w:rPr>
            </w:pPr>
          </w:p>
        </w:tc>
        <w:tc>
          <w:tcPr>
            <w:tcW w:w="0" w:type="auto"/>
            <w:gridSpan w:val="5"/>
            <w:tcBorders>
              <w:top w:val="double" w:sz="6" w:space="0" w:color="000000"/>
            </w:tcBorders>
            <w:shd w:val="clear" w:color="auto" w:fill="CCEEFF"/>
            <w:tcMar>
              <w:top w:w="0" w:type="dxa"/>
              <w:left w:w="20" w:type="dxa"/>
              <w:bottom w:w="0" w:type="dxa"/>
              <w:right w:w="20" w:type="dxa"/>
            </w:tcMar>
            <w:vAlign w:val="center"/>
            <w:hideMark/>
          </w:tcPr>
          <w:p w14:paraId="6B783088" w14:textId="77777777" w:rsidR="00000000" w:rsidRDefault="00405D16">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7CEAB3A2" w14:textId="77777777" w:rsidR="00000000" w:rsidRDefault="00405D16">
            <w:pPr>
              <w:spacing w:after="100"/>
              <w:rPr>
                <w:rFonts w:eastAsia="Times New Roman"/>
                <w:sz w:val="20"/>
                <w:szCs w:val="20"/>
              </w:rPr>
            </w:pPr>
          </w:p>
        </w:tc>
      </w:tr>
      <w:tr w:rsidR="00000000" w14:paraId="22B00AFF" w14:textId="77777777">
        <w:trPr>
          <w:gridAfter w:val="20"/>
          <w:divId w:val="858130227"/>
        </w:trPr>
        <w:tc>
          <w:tcPr>
            <w:tcW w:w="0" w:type="auto"/>
            <w:gridSpan w:val="5"/>
            <w:vAlign w:val="center"/>
            <w:hideMark/>
          </w:tcPr>
          <w:p w14:paraId="6854B809" w14:textId="77777777" w:rsidR="00000000" w:rsidRDefault="00405D16">
            <w:pPr>
              <w:spacing w:after="100"/>
              <w:rPr>
                <w:rFonts w:eastAsia="Times New Roman"/>
                <w:sz w:val="20"/>
                <w:szCs w:val="20"/>
              </w:rPr>
            </w:pPr>
          </w:p>
        </w:tc>
        <w:tc>
          <w:tcPr>
            <w:tcW w:w="0" w:type="auto"/>
            <w:gridSpan w:val="3"/>
            <w:vAlign w:val="center"/>
            <w:hideMark/>
          </w:tcPr>
          <w:p w14:paraId="15252C4E" w14:textId="77777777" w:rsidR="00000000" w:rsidRDefault="00405D16">
            <w:pPr>
              <w:spacing w:after="100"/>
              <w:rPr>
                <w:rFonts w:eastAsia="Times New Roman"/>
                <w:sz w:val="20"/>
                <w:szCs w:val="20"/>
              </w:rPr>
            </w:pPr>
          </w:p>
        </w:tc>
        <w:tc>
          <w:tcPr>
            <w:tcW w:w="0" w:type="auto"/>
            <w:gridSpan w:val="7"/>
            <w:vAlign w:val="center"/>
            <w:hideMark/>
          </w:tcPr>
          <w:p w14:paraId="4E21698D" w14:textId="77777777" w:rsidR="00000000" w:rsidRDefault="00405D16">
            <w:pPr>
              <w:spacing w:after="100"/>
              <w:rPr>
                <w:rFonts w:eastAsia="Times New Roman"/>
                <w:sz w:val="20"/>
                <w:szCs w:val="20"/>
              </w:rPr>
            </w:pPr>
          </w:p>
        </w:tc>
        <w:tc>
          <w:tcPr>
            <w:tcW w:w="0" w:type="auto"/>
            <w:gridSpan w:val="4"/>
            <w:vAlign w:val="center"/>
            <w:hideMark/>
          </w:tcPr>
          <w:p w14:paraId="72DB2F6B" w14:textId="77777777" w:rsidR="00000000" w:rsidRDefault="00405D16">
            <w:pPr>
              <w:spacing w:after="100"/>
              <w:rPr>
                <w:rFonts w:eastAsia="Times New Roman"/>
                <w:sz w:val="20"/>
                <w:szCs w:val="20"/>
              </w:rPr>
            </w:pPr>
          </w:p>
        </w:tc>
        <w:tc>
          <w:tcPr>
            <w:tcW w:w="0" w:type="auto"/>
            <w:gridSpan w:val="5"/>
            <w:vAlign w:val="center"/>
            <w:hideMark/>
          </w:tcPr>
          <w:p w14:paraId="5DB71CF9" w14:textId="77777777" w:rsidR="00000000" w:rsidRDefault="00405D16">
            <w:pPr>
              <w:spacing w:after="100"/>
              <w:rPr>
                <w:rFonts w:eastAsia="Times New Roman"/>
                <w:sz w:val="20"/>
                <w:szCs w:val="20"/>
              </w:rPr>
            </w:pPr>
          </w:p>
        </w:tc>
        <w:tc>
          <w:tcPr>
            <w:tcW w:w="0" w:type="auto"/>
            <w:gridSpan w:val="4"/>
            <w:vAlign w:val="center"/>
            <w:hideMark/>
          </w:tcPr>
          <w:p w14:paraId="54DF5519" w14:textId="77777777" w:rsidR="00000000" w:rsidRDefault="00405D16">
            <w:pPr>
              <w:spacing w:after="100"/>
              <w:rPr>
                <w:rFonts w:eastAsia="Times New Roman"/>
                <w:sz w:val="20"/>
                <w:szCs w:val="20"/>
              </w:rPr>
            </w:pPr>
          </w:p>
        </w:tc>
        <w:tc>
          <w:tcPr>
            <w:tcW w:w="0" w:type="auto"/>
            <w:gridSpan w:val="6"/>
            <w:vAlign w:val="center"/>
            <w:hideMark/>
          </w:tcPr>
          <w:p w14:paraId="16D0755A" w14:textId="77777777" w:rsidR="00000000" w:rsidRDefault="00405D16">
            <w:pPr>
              <w:spacing w:after="100"/>
              <w:rPr>
                <w:rFonts w:eastAsia="Times New Roman"/>
                <w:sz w:val="20"/>
                <w:szCs w:val="20"/>
              </w:rPr>
            </w:pPr>
          </w:p>
        </w:tc>
        <w:tc>
          <w:tcPr>
            <w:tcW w:w="0" w:type="auto"/>
            <w:gridSpan w:val="3"/>
            <w:vAlign w:val="center"/>
            <w:hideMark/>
          </w:tcPr>
          <w:p w14:paraId="5632CC4B" w14:textId="77777777" w:rsidR="00000000" w:rsidRDefault="00405D16">
            <w:pPr>
              <w:spacing w:after="100"/>
              <w:rPr>
                <w:rFonts w:eastAsia="Times New Roman"/>
                <w:sz w:val="20"/>
                <w:szCs w:val="20"/>
              </w:rPr>
            </w:pPr>
          </w:p>
        </w:tc>
        <w:tc>
          <w:tcPr>
            <w:tcW w:w="0" w:type="auto"/>
            <w:gridSpan w:val="7"/>
            <w:vAlign w:val="center"/>
            <w:hideMark/>
          </w:tcPr>
          <w:p w14:paraId="75D447D6" w14:textId="77777777" w:rsidR="00000000" w:rsidRDefault="00405D16">
            <w:pPr>
              <w:spacing w:after="100"/>
              <w:rPr>
                <w:rFonts w:eastAsia="Times New Roman"/>
                <w:sz w:val="20"/>
                <w:szCs w:val="20"/>
              </w:rPr>
            </w:pPr>
          </w:p>
        </w:tc>
        <w:tc>
          <w:tcPr>
            <w:tcW w:w="0" w:type="auto"/>
            <w:gridSpan w:val="4"/>
            <w:vAlign w:val="center"/>
            <w:hideMark/>
          </w:tcPr>
          <w:p w14:paraId="6BD4E0D7" w14:textId="77777777" w:rsidR="00000000" w:rsidRDefault="00405D16">
            <w:pPr>
              <w:spacing w:after="100"/>
              <w:rPr>
                <w:rFonts w:eastAsia="Times New Roman"/>
                <w:sz w:val="20"/>
                <w:szCs w:val="20"/>
              </w:rPr>
            </w:pPr>
          </w:p>
        </w:tc>
        <w:tc>
          <w:tcPr>
            <w:tcW w:w="0" w:type="auto"/>
            <w:gridSpan w:val="4"/>
            <w:vAlign w:val="center"/>
            <w:hideMark/>
          </w:tcPr>
          <w:p w14:paraId="60C27AEF" w14:textId="77777777" w:rsidR="00000000" w:rsidRDefault="00405D16">
            <w:pPr>
              <w:spacing w:after="100"/>
              <w:rPr>
                <w:rFonts w:eastAsia="Times New Roman"/>
                <w:sz w:val="20"/>
                <w:szCs w:val="20"/>
              </w:rPr>
            </w:pPr>
          </w:p>
        </w:tc>
        <w:tc>
          <w:tcPr>
            <w:tcW w:w="0" w:type="auto"/>
            <w:gridSpan w:val="3"/>
            <w:vAlign w:val="center"/>
            <w:hideMark/>
          </w:tcPr>
          <w:p w14:paraId="1FF31325" w14:textId="77777777" w:rsidR="00000000" w:rsidRDefault="00405D16">
            <w:pPr>
              <w:spacing w:after="100"/>
              <w:rPr>
                <w:rFonts w:eastAsia="Times New Roman"/>
                <w:sz w:val="20"/>
                <w:szCs w:val="20"/>
              </w:rPr>
            </w:pPr>
          </w:p>
        </w:tc>
        <w:tc>
          <w:tcPr>
            <w:tcW w:w="0" w:type="auto"/>
            <w:gridSpan w:val="7"/>
            <w:vAlign w:val="center"/>
            <w:hideMark/>
          </w:tcPr>
          <w:p w14:paraId="4B3230A2" w14:textId="77777777" w:rsidR="00000000" w:rsidRDefault="00405D16">
            <w:pPr>
              <w:spacing w:after="100"/>
              <w:rPr>
                <w:rFonts w:eastAsia="Times New Roman"/>
                <w:sz w:val="20"/>
                <w:szCs w:val="20"/>
              </w:rPr>
            </w:pPr>
          </w:p>
        </w:tc>
        <w:tc>
          <w:tcPr>
            <w:tcW w:w="0" w:type="auto"/>
            <w:gridSpan w:val="4"/>
            <w:vAlign w:val="center"/>
            <w:hideMark/>
          </w:tcPr>
          <w:p w14:paraId="5F80878C" w14:textId="77777777" w:rsidR="00000000" w:rsidRDefault="00405D16">
            <w:pPr>
              <w:spacing w:after="100"/>
              <w:rPr>
                <w:rFonts w:eastAsia="Times New Roman"/>
                <w:sz w:val="20"/>
                <w:szCs w:val="20"/>
              </w:rPr>
            </w:pPr>
          </w:p>
        </w:tc>
        <w:tc>
          <w:tcPr>
            <w:tcW w:w="0" w:type="auto"/>
            <w:gridSpan w:val="6"/>
            <w:vAlign w:val="center"/>
            <w:hideMark/>
          </w:tcPr>
          <w:p w14:paraId="60DCF7C0" w14:textId="77777777" w:rsidR="00000000" w:rsidRDefault="00405D16">
            <w:pPr>
              <w:spacing w:after="100"/>
              <w:rPr>
                <w:rFonts w:eastAsia="Times New Roman"/>
                <w:sz w:val="20"/>
                <w:szCs w:val="20"/>
              </w:rPr>
            </w:pPr>
          </w:p>
        </w:tc>
        <w:tc>
          <w:tcPr>
            <w:tcW w:w="0" w:type="auto"/>
            <w:gridSpan w:val="4"/>
            <w:vAlign w:val="center"/>
            <w:hideMark/>
          </w:tcPr>
          <w:p w14:paraId="18195E30" w14:textId="77777777" w:rsidR="00000000" w:rsidRDefault="00405D16">
            <w:pPr>
              <w:spacing w:after="100"/>
              <w:rPr>
                <w:rFonts w:eastAsia="Times New Roman"/>
                <w:sz w:val="20"/>
                <w:szCs w:val="20"/>
              </w:rPr>
            </w:pPr>
          </w:p>
        </w:tc>
        <w:tc>
          <w:tcPr>
            <w:tcW w:w="0" w:type="auto"/>
            <w:gridSpan w:val="6"/>
            <w:vAlign w:val="center"/>
            <w:hideMark/>
          </w:tcPr>
          <w:p w14:paraId="203F1E52" w14:textId="77777777" w:rsidR="00000000" w:rsidRDefault="00405D16">
            <w:pPr>
              <w:spacing w:after="100"/>
              <w:rPr>
                <w:rFonts w:eastAsia="Times New Roman"/>
                <w:sz w:val="20"/>
                <w:szCs w:val="20"/>
              </w:rPr>
            </w:pPr>
          </w:p>
        </w:tc>
        <w:tc>
          <w:tcPr>
            <w:tcW w:w="0" w:type="auto"/>
            <w:gridSpan w:val="3"/>
            <w:vAlign w:val="center"/>
            <w:hideMark/>
          </w:tcPr>
          <w:p w14:paraId="307B032F" w14:textId="77777777" w:rsidR="00000000" w:rsidRDefault="00405D16">
            <w:pPr>
              <w:spacing w:after="100"/>
              <w:rPr>
                <w:rFonts w:eastAsia="Times New Roman"/>
                <w:sz w:val="20"/>
                <w:szCs w:val="20"/>
              </w:rPr>
            </w:pPr>
          </w:p>
        </w:tc>
        <w:tc>
          <w:tcPr>
            <w:tcW w:w="0" w:type="auto"/>
            <w:gridSpan w:val="7"/>
            <w:vAlign w:val="center"/>
            <w:hideMark/>
          </w:tcPr>
          <w:p w14:paraId="7A360247" w14:textId="77777777" w:rsidR="00000000" w:rsidRDefault="00405D16">
            <w:pPr>
              <w:spacing w:after="100"/>
              <w:rPr>
                <w:rFonts w:eastAsia="Times New Roman"/>
                <w:sz w:val="20"/>
                <w:szCs w:val="20"/>
              </w:rPr>
            </w:pPr>
          </w:p>
        </w:tc>
        <w:tc>
          <w:tcPr>
            <w:tcW w:w="0" w:type="auto"/>
            <w:gridSpan w:val="4"/>
            <w:vAlign w:val="center"/>
            <w:hideMark/>
          </w:tcPr>
          <w:p w14:paraId="050266B1" w14:textId="77777777" w:rsidR="00000000" w:rsidRDefault="00405D16">
            <w:pPr>
              <w:spacing w:after="100"/>
              <w:rPr>
                <w:rFonts w:eastAsia="Times New Roman"/>
                <w:sz w:val="20"/>
                <w:szCs w:val="20"/>
              </w:rPr>
            </w:pPr>
          </w:p>
        </w:tc>
        <w:tc>
          <w:tcPr>
            <w:tcW w:w="0" w:type="auto"/>
            <w:gridSpan w:val="5"/>
            <w:vAlign w:val="center"/>
            <w:hideMark/>
          </w:tcPr>
          <w:p w14:paraId="482A4262" w14:textId="77777777" w:rsidR="00000000" w:rsidRDefault="00405D16">
            <w:pPr>
              <w:spacing w:after="100"/>
              <w:rPr>
                <w:rFonts w:eastAsia="Times New Roman"/>
                <w:sz w:val="20"/>
                <w:szCs w:val="20"/>
              </w:rPr>
            </w:pPr>
          </w:p>
        </w:tc>
        <w:tc>
          <w:tcPr>
            <w:tcW w:w="0" w:type="auto"/>
            <w:gridSpan w:val="5"/>
            <w:vAlign w:val="center"/>
            <w:hideMark/>
          </w:tcPr>
          <w:p w14:paraId="18417847" w14:textId="77777777" w:rsidR="00000000" w:rsidRDefault="00405D16">
            <w:pPr>
              <w:spacing w:after="100"/>
              <w:rPr>
                <w:rFonts w:eastAsia="Times New Roman"/>
                <w:sz w:val="20"/>
                <w:szCs w:val="20"/>
              </w:rPr>
            </w:pPr>
          </w:p>
        </w:tc>
      </w:tr>
      <w:tr w:rsidR="00405D16" w14:paraId="4D26B73E" w14:textId="77777777">
        <w:trPr>
          <w:gridAfter w:val="20"/>
          <w:divId w:val="858130227"/>
        </w:trPr>
        <w:tc>
          <w:tcPr>
            <w:tcW w:w="0" w:type="auto"/>
            <w:gridSpan w:val="5"/>
            <w:shd w:val="clear" w:color="auto" w:fill="FFFFFF"/>
            <w:tcMar>
              <w:top w:w="30" w:type="dxa"/>
              <w:left w:w="245" w:type="dxa"/>
              <w:bottom w:w="30" w:type="dxa"/>
              <w:right w:w="20" w:type="dxa"/>
            </w:tcMar>
            <w:vAlign w:val="center"/>
            <w:hideMark/>
          </w:tcPr>
          <w:p w14:paraId="56A28BE3" w14:textId="77777777" w:rsidR="00000000" w:rsidRDefault="00405D16">
            <w:pPr>
              <w:spacing w:after="100"/>
              <w:rPr>
                <w:rFonts w:eastAsia="Times New Roman"/>
              </w:rPr>
            </w:pPr>
            <w:r>
              <w:rPr>
                <w:rFonts w:eastAsia="Times New Roman"/>
                <w:color w:val="000000"/>
                <w:sz w:val="18"/>
                <w:szCs w:val="18"/>
              </w:rPr>
              <w:t>Retained interests in securitizations</w:t>
            </w:r>
          </w:p>
        </w:tc>
        <w:tc>
          <w:tcPr>
            <w:tcW w:w="0" w:type="auto"/>
            <w:gridSpan w:val="3"/>
            <w:shd w:val="clear" w:color="auto" w:fill="FFFFFF"/>
            <w:tcMar>
              <w:top w:w="0" w:type="dxa"/>
              <w:left w:w="20" w:type="dxa"/>
              <w:bottom w:w="0" w:type="dxa"/>
              <w:right w:w="20" w:type="dxa"/>
            </w:tcMar>
            <w:vAlign w:val="center"/>
            <w:hideMark/>
          </w:tcPr>
          <w:p w14:paraId="34DD6699" w14:textId="77777777" w:rsidR="00000000" w:rsidRDefault="00405D16">
            <w:pPr>
              <w:spacing w:after="100"/>
              <w:rPr>
                <w:rFonts w:eastAsia="Times New Roman"/>
              </w:rPr>
            </w:pPr>
          </w:p>
        </w:tc>
        <w:tc>
          <w:tcPr>
            <w:tcW w:w="0" w:type="auto"/>
            <w:gridSpan w:val="6"/>
            <w:shd w:val="clear" w:color="auto" w:fill="FFFFFF"/>
            <w:tcMar>
              <w:top w:w="30" w:type="dxa"/>
              <w:left w:w="20" w:type="dxa"/>
              <w:bottom w:w="30" w:type="dxa"/>
              <w:right w:w="0" w:type="dxa"/>
            </w:tcMar>
            <w:vAlign w:val="bottom"/>
            <w:hideMark/>
          </w:tcPr>
          <w:p w14:paraId="2CB5BAF9" w14:textId="77777777" w:rsidR="00000000" w:rsidRDefault="00405D16">
            <w:pPr>
              <w:spacing w:after="100"/>
              <w:jc w:val="right"/>
              <w:rPr>
                <w:rFonts w:eastAsia="Times New Roman"/>
              </w:rPr>
            </w:pPr>
            <w:r>
              <w:rPr>
                <w:rFonts w:eastAsia="Times New Roman"/>
                <w:color w:val="000000"/>
                <w:sz w:val="18"/>
                <w:szCs w:val="18"/>
              </w:rPr>
              <w:t>46 </w:t>
            </w:r>
          </w:p>
        </w:tc>
        <w:tc>
          <w:tcPr>
            <w:tcW w:w="0" w:type="auto"/>
            <w:shd w:val="clear" w:color="auto" w:fill="FFFFFF"/>
            <w:tcMar>
              <w:top w:w="30" w:type="dxa"/>
              <w:left w:w="0" w:type="dxa"/>
              <w:bottom w:w="30" w:type="dxa"/>
              <w:right w:w="20" w:type="dxa"/>
            </w:tcMar>
            <w:vAlign w:val="bottom"/>
            <w:hideMark/>
          </w:tcPr>
          <w:p w14:paraId="52D2AF8F"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77A5D743" w14:textId="77777777" w:rsidR="00000000" w:rsidRDefault="00405D16">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14:paraId="30402F22" w14:textId="77777777" w:rsidR="00000000" w:rsidRDefault="00405D16">
            <w:pPr>
              <w:spacing w:after="100"/>
              <w:jc w:val="right"/>
              <w:rPr>
                <w:rFonts w:eastAsia="Times New Roman"/>
              </w:rPr>
            </w:pPr>
            <w:r>
              <w:rPr>
                <w:rFonts w:eastAsia="Times New Roman"/>
                <w:b/>
                <w:bCs/>
                <w:color w:val="000000"/>
                <w:sz w:val="18"/>
                <w:szCs w:val="18"/>
              </w:rPr>
              <w:t>(3)</w:t>
            </w:r>
          </w:p>
        </w:tc>
        <w:tc>
          <w:tcPr>
            <w:tcW w:w="0" w:type="auto"/>
            <w:shd w:val="clear" w:color="auto" w:fill="FFFFFF"/>
            <w:tcMar>
              <w:top w:w="30" w:type="dxa"/>
              <w:left w:w="0" w:type="dxa"/>
              <w:bottom w:w="30" w:type="dxa"/>
              <w:right w:w="20" w:type="dxa"/>
            </w:tcMar>
            <w:vAlign w:val="bottom"/>
            <w:hideMark/>
          </w:tcPr>
          <w:p w14:paraId="295D06B1"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70D677E2" w14:textId="77777777" w:rsidR="00000000" w:rsidRDefault="00405D16">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6EC21328"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665E1B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8FF607" w14:textId="77777777" w:rsidR="00000000" w:rsidRDefault="00405D16">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14:paraId="06DE4343"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7C71737"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4BD26375"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613E6E79"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320F22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F75023" w14:textId="77777777" w:rsidR="00000000" w:rsidRDefault="00405D16">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14:paraId="57CA137F"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E5AE598"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0026FF18" w14:textId="77777777" w:rsidR="00000000" w:rsidRDefault="00405D16">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7314ED65"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4E425F2"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3F906624" w14:textId="77777777" w:rsidR="00000000" w:rsidRDefault="00405D16">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21AB59E2"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5A3EEA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07FF79" w14:textId="77777777" w:rsidR="00000000" w:rsidRDefault="00405D16">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14:paraId="76E08744"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EB23264"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3543F561" w14:textId="77777777" w:rsidR="00000000" w:rsidRDefault="00405D16">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0B2955EB" w14:textId="77777777" w:rsidR="00000000" w:rsidRDefault="00405D16">
            <w:pPr>
              <w:spacing w:after="100"/>
              <w:jc w:val="right"/>
              <w:rPr>
                <w:rFonts w:eastAsia="Times New Roman"/>
              </w:rPr>
            </w:pPr>
            <w:r>
              <w:rPr>
                <w:rFonts w:eastAsia="Times New Roman"/>
                <w:b/>
                <w:bCs/>
                <w:color w:val="000000"/>
                <w:sz w:val="18"/>
                <w:szCs w:val="18"/>
              </w:rPr>
              <w:t>43</w:t>
            </w:r>
            <w:r>
              <w:rPr>
                <w:rFonts w:eastAsia="Times New Roman"/>
                <w:color w:val="000000"/>
                <w:sz w:val="18"/>
                <w:szCs w:val="18"/>
              </w:rPr>
              <w:t> </w:t>
            </w:r>
          </w:p>
        </w:tc>
        <w:tc>
          <w:tcPr>
            <w:tcW w:w="0" w:type="auto"/>
            <w:gridSpan w:val="5"/>
            <w:shd w:val="clear" w:color="auto" w:fill="FFFFFF"/>
            <w:tcMar>
              <w:top w:w="30" w:type="dxa"/>
              <w:left w:w="0" w:type="dxa"/>
              <w:bottom w:w="30" w:type="dxa"/>
              <w:right w:w="20" w:type="dxa"/>
            </w:tcMar>
            <w:vAlign w:val="bottom"/>
            <w:hideMark/>
          </w:tcPr>
          <w:p w14:paraId="4BD1DD61" w14:textId="77777777" w:rsidR="00000000" w:rsidRDefault="00405D16">
            <w:pPr>
              <w:spacing w:after="100"/>
              <w:jc w:val="right"/>
              <w:rPr>
                <w:rFonts w:eastAsia="Times New Roman"/>
              </w:rPr>
            </w:pPr>
            <w:r>
              <w:rPr>
                <w:rFonts w:eastAsia="Times New Roman"/>
                <w:b/>
                <w:bCs/>
                <w:color w:val="000000"/>
                <w:sz w:val="18"/>
                <w:szCs w:val="18"/>
              </w:rPr>
              <w:t>(3)</w:t>
            </w:r>
          </w:p>
        </w:tc>
      </w:tr>
      <w:tr w:rsidR="00405D16" w14:paraId="4886F789" w14:textId="77777777">
        <w:trPr>
          <w:gridAfter w:val="20"/>
          <w:divId w:val="858130227"/>
        </w:trPr>
        <w:tc>
          <w:tcPr>
            <w:tcW w:w="0" w:type="auto"/>
            <w:gridSpan w:val="5"/>
            <w:shd w:val="clear" w:color="auto" w:fill="CCEEFF"/>
            <w:tcMar>
              <w:top w:w="30" w:type="dxa"/>
              <w:left w:w="20" w:type="dxa"/>
              <w:bottom w:w="30" w:type="dxa"/>
              <w:right w:w="20" w:type="dxa"/>
            </w:tcMar>
            <w:vAlign w:val="center"/>
            <w:hideMark/>
          </w:tcPr>
          <w:p w14:paraId="615099AB" w14:textId="77777777" w:rsidR="00000000" w:rsidRDefault="00405D16">
            <w:pPr>
              <w:spacing w:after="100"/>
              <w:divId w:val="1000280292"/>
              <w:rPr>
                <w:rFonts w:eastAsia="Times New Roman"/>
              </w:rPr>
            </w:pPr>
            <w:r>
              <w:rPr>
                <w:rFonts w:eastAsia="Times New Roman"/>
                <w:color w:val="000000"/>
                <w:sz w:val="18"/>
                <w:szCs w:val="18"/>
              </w:rPr>
              <w:t>Net derivative assets (liabilities</w:t>
            </w:r>
            <w:r>
              <w:rPr>
                <w:rFonts w:eastAsia="Times New Roman"/>
                <w:color w:val="000000"/>
                <w:sz w:val="18"/>
                <w:szCs w:val="18"/>
              </w:rPr>
              <w:t>)</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6C240E49" w14:textId="77777777" w:rsidR="00000000" w:rsidRDefault="00405D16">
            <w:pPr>
              <w:spacing w:after="100"/>
              <w:rPr>
                <w:rFonts w:eastAsia="Times New Roman"/>
              </w:rPr>
            </w:pPr>
          </w:p>
        </w:tc>
        <w:tc>
          <w:tcPr>
            <w:tcW w:w="0" w:type="auto"/>
            <w:gridSpan w:val="6"/>
            <w:shd w:val="clear" w:color="auto" w:fill="CCEEFF"/>
            <w:tcMar>
              <w:top w:w="30" w:type="dxa"/>
              <w:left w:w="20" w:type="dxa"/>
              <w:bottom w:w="30" w:type="dxa"/>
              <w:right w:w="0" w:type="dxa"/>
            </w:tcMar>
            <w:vAlign w:val="bottom"/>
            <w:hideMark/>
          </w:tcPr>
          <w:p w14:paraId="3E44E634" w14:textId="77777777" w:rsidR="00000000" w:rsidRDefault="00405D16">
            <w:pPr>
              <w:spacing w:after="100"/>
              <w:jc w:val="right"/>
              <w:rPr>
                <w:rFonts w:eastAsia="Times New Roman"/>
              </w:rPr>
            </w:pPr>
            <w:r>
              <w:rPr>
                <w:rFonts w:eastAsia="Times New Roman"/>
                <w:color w:val="000000"/>
                <w:sz w:val="18"/>
                <w:szCs w:val="18"/>
              </w:rPr>
              <w:t>19 </w:t>
            </w:r>
          </w:p>
        </w:tc>
        <w:tc>
          <w:tcPr>
            <w:tcW w:w="0" w:type="auto"/>
            <w:shd w:val="clear" w:color="auto" w:fill="CCEEFF"/>
            <w:tcMar>
              <w:top w:w="30" w:type="dxa"/>
              <w:left w:w="0" w:type="dxa"/>
              <w:bottom w:w="30" w:type="dxa"/>
              <w:right w:w="20" w:type="dxa"/>
            </w:tcMar>
            <w:vAlign w:val="bottom"/>
            <w:hideMark/>
          </w:tcPr>
          <w:p w14:paraId="74403114"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5DA7C473" w14:textId="77777777" w:rsidR="00000000" w:rsidRDefault="00405D16">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0828571B" w14:textId="77777777" w:rsidR="00000000" w:rsidRDefault="00405D16">
            <w:pPr>
              <w:spacing w:after="100"/>
              <w:jc w:val="right"/>
              <w:rPr>
                <w:rFonts w:eastAsia="Times New Roman"/>
              </w:rPr>
            </w:pPr>
            <w:r>
              <w:rPr>
                <w:rFonts w:eastAsia="Times New Roman"/>
                <w:b/>
                <w:bCs/>
                <w:color w:val="000000"/>
                <w:sz w:val="18"/>
                <w:szCs w:val="18"/>
              </w:rPr>
              <w:t>(31)</w:t>
            </w:r>
          </w:p>
        </w:tc>
        <w:tc>
          <w:tcPr>
            <w:tcW w:w="0" w:type="auto"/>
            <w:shd w:val="clear" w:color="auto" w:fill="CCEEFF"/>
            <w:tcMar>
              <w:top w:w="30" w:type="dxa"/>
              <w:left w:w="0" w:type="dxa"/>
              <w:bottom w:w="30" w:type="dxa"/>
              <w:right w:w="20" w:type="dxa"/>
            </w:tcMar>
            <w:vAlign w:val="bottom"/>
            <w:hideMark/>
          </w:tcPr>
          <w:p w14:paraId="0EA26CCC"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08347440" w14:textId="77777777" w:rsidR="00000000" w:rsidRDefault="00405D16">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5F5C802F"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AAE691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032F71" w14:textId="77777777" w:rsidR="00000000" w:rsidRDefault="00405D16">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653FB4A0"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8014F44"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454AC82F"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60EE7CCD"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836BA7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9D041C" w14:textId="77777777" w:rsidR="00000000" w:rsidRDefault="00405D16">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70B37093" w14:textId="77777777" w:rsidR="00000000" w:rsidRDefault="00405D16">
            <w:pPr>
              <w:spacing w:after="100"/>
              <w:jc w:val="right"/>
              <w:rPr>
                <w:rFonts w:eastAsia="Times New Roman"/>
              </w:rPr>
            </w:pPr>
            <w:r>
              <w:rPr>
                <w:rFonts w:eastAsia="Times New Roman"/>
                <w:b/>
                <w:bCs/>
                <w:color w:val="000000"/>
                <w:sz w:val="18"/>
                <w:szCs w:val="18"/>
              </w:rPr>
              <w:t>44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EF29F67"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2CDA10C1" w14:textId="77777777" w:rsidR="00000000" w:rsidRDefault="00405D16">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44C189E4" w14:textId="77777777" w:rsidR="00000000" w:rsidRDefault="00405D16">
            <w:pPr>
              <w:spacing w:after="100"/>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FD3B822"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084BD50F" w14:textId="77777777" w:rsidR="00000000" w:rsidRDefault="00405D16">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603958B8"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30D747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3AE3F6" w14:textId="77777777" w:rsidR="00000000" w:rsidRDefault="00405D16">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1C481435" w14:textId="77777777" w:rsidR="00000000" w:rsidRDefault="00405D16">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43C05CE"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5DB76D6D" w14:textId="77777777" w:rsidR="00000000" w:rsidRDefault="00405D16">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60EDD446" w14:textId="77777777" w:rsidR="00000000" w:rsidRDefault="00405D16">
            <w:pPr>
              <w:spacing w:after="100"/>
              <w:jc w:val="right"/>
              <w:rPr>
                <w:rFonts w:eastAsia="Times New Roman"/>
              </w:rPr>
            </w:pPr>
            <w:r>
              <w:rPr>
                <w:rFonts w:eastAsia="Times New Roman"/>
                <w:b/>
                <w:bCs/>
                <w:color w:val="000000"/>
                <w:sz w:val="18"/>
                <w:szCs w:val="18"/>
              </w:rPr>
              <w:t>39</w:t>
            </w:r>
            <w:r>
              <w:rPr>
                <w:rFonts w:eastAsia="Times New Roman"/>
                <w:color w:val="000000"/>
                <w:sz w:val="18"/>
                <w:szCs w:val="18"/>
              </w:rPr>
              <w:t> </w:t>
            </w:r>
          </w:p>
        </w:tc>
        <w:tc>
          <w:tcPr>
            <w:tcW w:w="0" w:type="auto"/>
            <w:gridSpan w:val="5"/>
            <w:shd w:val="clear" w:color="auto" w:fill="CCEEFF"/>
            <w:tcMar>
              <w:top w:w="30" w:type="dxa"/>
              <w:left w:w="0" w:type="dxa"/>
              <w:bottom w:w="30" w:type="dxa"/>
              <w:right w:w="20" w:type="dxa"/>
            </w:tcMar>
            <w:vAlign w:val="bottom"/>
            <w:hideMark/>
          </w:tcPr>
          <w:p w14:paraId="1EF56DEE" w14:textId="77777777" w:rsidR="00000000" w:rsidRDefault="00405D16">
            <w:pPr>
              <w:spacing w:after="100"/>
              <w:jc w:val="right"/>
              <w:rPr>
                <w:rFonts w:eastAsia="Times New Roman"/>
              </w:rPr>
            </w:pPr>
            <w:r>
              <w:rPr>
                <w:rFonts w:eastAsia="Times New Roman"/>
                <w:b/>
                <w:bCs/>
                <w:color w:val="000000"/>
                <w:sz w:val="18"/>
                <w:szCs w:val="18"/>
              </w:rPr>
              <w:t>(29)</w:t>
            </w:r>
          </w:p>
        </w:tc>
      </w:tr>
      <w:tr w:rsidR="00000000" w14:paraId="36D7452C" w14:textId="77777777">
        <w:tc>
          <w:tcPr>
            <w:tcW w:w="50" w:type="pct"/>
            <w:gridSpan w:val="2"/>
            <w:vAlign w:val="center"/>
            <w:hideMark/>
          </w:tcPr>
          <w:p w14:paraId="7CD325D2" w14:textId="77777777" w:rsidR="00000000" w:rsidRDefault="00405D16">
            <w:pPr>
              <w:jc w:val="both"/>
              <w:rPr>
                <w:rFonts w:eastAsia="Times New Roman"/>
              </w:rPr>
            </w:pPr>
          </w:p>
        </w:tc>
        <w:tc>
          <w:tcPr>
            <w:tcW w:w="697" w:type="pct"/>
            <w:gridSpan w:val="2"/>
            <w:vAlign w:val="center"/>
            <w:hideMark/>
          </w:tcPr>
          <w:p w14:paraId="4B5EEE70" w14:textId="77777777" w:rsidR="00000000" w:rsidRDefault="00405D16">
            <w:pPr>
              <w:spacing w:after="100"/>
              <w:rPr>
                <w:rFonts w:eastAsia="Times New Roman"/>
                <w:sz w:val="20"/>
                <w:szCs w:val="20"/>
              </w:rPr>
            </w:pPr>
          </w:p>
        </w:tc>
        <w:tc>
          <w:tcPr>
            <w:tcW w:w="5" w:type="pct"/>
            <w:gridSpan w:val="5"/>
            <w:vAlign w:val="center"/>
            <w:hideMark/>
          </w:tcPr>
          <w:p w14:paraId="13EE0FFD" w14:textId="77777777" w:rsidR="00000000" w:rsidRDefault="00405D16">
            <w:pPr>
              <w:spacing w:after="100"/>
              <w:rPr>
                <w:rFonts w:eastAsia="Times New Roman"/>
                <w:sz w:val="20"/>
                <w:szCs w:val="20"/>
              </w:rPr>
            </w:pPr>
          </w:p>
        </w:tc>
        <w:tc>
          <w:tcPr>
            <w:tcW w:w="5" w:type="pct"/>
            <w:gridSpan w:val="2"/>
            <w:vAlign w:val="center"/>
            <w:hideMark/>
          </w:tcPr>
          <w:p w14:paraId="2EE81376" w14:textId="77777777" w:rsidR="00000000" w:rsidRDefault="00405D16">
            <w:pPr>
              <w:spacing w:after="100"/>
              <w:rPr>
                <w:rFonts w:eastAsia="Times New Roman"/>
                <w:sz w:val="20"/>
                <w:szCs w:val="20"/>
              </w:rPr>
            </w:pPr>
          </w:p>
        </w:tc>
        <w:tc>
          <w:tcPr>
            <w:tcW w:w="26" w:type="pct"/>
            <w:vAlign w:val="center"/>
            <w:hideMark/>
          </w:tcPr>
          <w:p w14:paraId="183F5256" w14:textId="77777777" w:rsidR="00000000" w:rsidRDefault="00405D16">
            <w:pPr>
              <w:spacing w:after="100"/>
              <w:rPr>
                <w:rFonts w:eastAsia="Times New Roman"/>
                <w:sz w:val="20"/>
                <w:szCs w:val="20"/>
              </w:rPr>
            </w:pPr>
          </w:p>
        </w:tc>
        <w:tc>
          <w:tcPr>
            <w:tcW w:w="5" w:type="pct"/>
            <w:vAlign w:val="center"/>
            <w:hideMark/>
          </w:tcPr>
          <w:p w14:paraId="5046771F" w14:textId="77777777" w:rsidR="00000000" w:rsidRDefault="00405D16">
            <w:pPr>
              <w:spacing w:after="100"/>
              <w:rPr>
                <w:rFonts w:eastAsia="Times New Roman"/>
                <w:sz w:val="20"/>
                <w:szCs w:val="20"/>
              </w:rPr>
            </w:pPr>
          </w:p>
        </w:tc>
        <w:tc>
          <w:tcPr>
            <w:tcW w:w="50" w:type="pct"/>
            <w:gridSpan w:val="3"/>
            <w:vAlign w:val="center"/>
            <w:hideMark/>
          </w:tcPr>
          <w:p w14:paraId="3A54BDD9" w14:textId="77777777" w:rsidR="00000000" w:rsidRDefault="00405D16">
            <w:pPr>
              <w:spacing w:after="100"/>
              <w:rPr>
                <w:rFonts w:eastAsia="Times New Roman"/>
                <w:sz w:val="20"/>
                <w:szCs w:val="20"/>
              </w:rPr>
            </w:pPr>
          </w:p>
        </w:tc>
        <w:tc>
          <w:tcPr>
            <w:tcW w:w="273" w:type="pct"/>
            <w:gridSpan w:val="5"/>
            <w:vAlign w:val="center"/>
            <w:hideMark/>
          </w:tcPr>
          <w:p w14:paraId="600402A6" w14:textId="77777777" w:rsidR="00000000" w:rsidRDefault="00405D16">
            <w:pPr>
              <w:spacing w:after="100"/>
              <w:rPr>
                <w:rFonts w:eastAsia="Times New Roman"/>
                <w:sz w:val="20"/>
                <w:szCs w:val="20"/>
              </w:rPr>
            </w:pPr>
          </w:p>
        </w:tc>
        <w:tc>
          <w:tcPr>
            <w:tcW w:w="5" w:type="pct"/>
            <w:vAlign w:val="center"/>
            <w:hideMark/>
          </w:tcPr>
          <w:p w14:paraId="14E68BD3" w14:textId="77777777" w:rsidR="00000000" w:rsidRDefault="00405D16">
            <w:pPr>
              <w:spacing w:after="100"/>
              <w:rPr>
                <w:rFonts w:eastAsia="Times New Roman"/>
                <w:sz w:val="20"/>
                <w:szCs w:val="20"/>
              </w:rPr>
            </w:pPr>
          </w:p>
        </w:tc>
        <w:tc>
          <w:tcPr>
            <w:tcW w:w="5" w:type="pct"/>
            <w:gridSpan w:val="4"/>
            <w:vAlign w:val="center"/>
            <w:hideMark/>
          </w:tcPr>
          <w:p w14:paraId="6B8ED83E" w14:textId="77777777" w:rsidR="00000000" w:rsidRDefault="00405D16">
            <w:pPr>
              <w:spacing w:after="100"/>
              <w:rPr>
                <w:rFonts w:eastAsia="Times New Roman"/>
                <w:sz w:val="20"/>
                <w:szCs w:val="20"/>
              </w:rPr>
            </w:pPr>
          </w:p>
        </w:tc>
        <w:tc>
          <w:tcPr>
            <w:tcW w:w="26" w:type="pct"/>
            <w:gridSpan w:val="3"/>
            <w:vAlign w:val="center"/>
            <w:hideMark/>
          </w:tcPr>
          <w:p w14:paraId="620AC45F" w14:textId="77777777" w:rsidR="00000000" w:rsidRDefault="00405D16">
            <w:pPr>
              <w:spacing w:after="100"/>
              <w:rPr>
                <w:rFonts w:eastAsia="Times New Roman"/>
                <w:sz w:val="20"/>
                <w:szCs w:val="20"/>
              </w:rPr>
            </w:pPr>
          </w:p>
        </w:tc>
        <w:tc>
          <w:tcPr>
            <w:tcW w:w="5" w:type="pct"/>
            <w:gridSpan w:val="2"/>
            <w:vAlign w:val="center"/>
            <w:hideMark/>
          </w:tcPr>
          <w:p w14:paraId="521C6879" w14:textId="77777777" w:rsidR="00000000" w:rsidRDefault="00405D16">
            <w:pPr>
              <w:spacing w:after="100"/>
              <w:rPr>
                <w:rFonts w:eastAsia="Times New Roman"/>
                <w:sz w:val="20"/>
                <w:szCs w:val="20"/>
              </w:rPr>
            </w:pPr>
          </w:p>
        </w:tc>
        <w:tc>
          <w:tcPr>
            <w:tcW w:w="50" w:type="pct"/>
            <w:vAlign w:val="center"/>
            <w:hideMark/>
          </w:tcPr>
          <w:p w14:paraId="26E0BC61" w14:textId="77777777" w:rsidR="00000000" w:rsidRDefault="00405D16">
            <w:pPr>
              <w:spacing w:after="100"/>
              <w:rPr>
                <w:rFonts w:eastAsia="Times New Roman"/>
                <w:sz w:val="20"/>
                <w:szCs w:val="20"/>
              </w:rPr>
            </w:pPr>
          </w:p>
        </w:tc>
        <w:tc>
          <w:tcPr>
            <w:tcW w:w="244" w:type="pct"/>
            <w:gridSpan w:val="6"/>
            <w:vAlign w:val="center"/>
            <w:hideMark/>
          </w:tcPr>
          <w:p w14:paraId="16A7A796" w14:textId="77777777" w:rsidR="00000000" w:rsidRDefault="00405D16">
            <w:pPr>
              <w:spacing w:after="100"/>
              <w:rPr>
                <w:rFonts w:eastAsia="Times New Roman"/>
                <w:sz w:val="20"/>
                <w:szCs w:val="20"/>
              </w:rPr>
            </w:pPr>
          </w:p>
        </w:tc>
        <w:tc>
          <w:tcPr>
            <w:tcW w:w="5" w:type="pct"/>
            <w:gridSpan w:val="2"/>
            <w:vAlign w:val="center"/>
            <w:hideMark/>
          </w:tcPr>
          <w:p w14:paraId="38D4F0DF" w14:textId="77777777" w:rsidR="00000000" w:rsidRDefault="00405D16">
            <w:pPr>
              <w:spacing w:after="100"/>
              <w:rPr>
                <w:rFonts w:eastAsia="Times New Roman"/>
                <w:sz w:val="20"/>
                <w:szCs w:val="20"/>
              </w:rPr>
            </w:pPr>
          </w:p>
        </w:tc>
        <w:tc>
          <w:tcPr>
            <w:tcW w:w="5" w:type="pct"/>
            <w:vAlign w:val="center"/>
            <w:hideMark/>
          </w:tcPr>
          <w:p w14:paraId="5C296A82" w14:textId="77777777" w:rsidR="00000000" w:rsidRDefault="00405D16">
            <w:pPr>
              <w:spacing w:after="100"/>
              <w:rPr>
                <w:rFonts w:eastAsia="Times New Roman"/>
                <w:sz w:val="20"/>
                <w:szCs w:val="20"/>
              </w:rPr>
            </w:pPr>
          </w:p>
        </w:tc>
        <w:tc>
          <w:tcPr>
            <w:tcW w:w="26" w:type="pct"/>
            <w:vAlign w:val="center"/>
            <w:hideMark/>
          </w:tcPr>
          <w:p w14:paraId="3BE7F2B7" w14:textId="77777777" w:rsidR="00000000" w:rsidRDefault="00405D16">
            <w:pPr>
              <w:spacing w:after="100"/>
              <w:rPr>
                <w:rFonts w:eastAsia="Times New Roman"/>
                <w:sz w:val="20"/>
                <w:szCs w:val="20"/>
              </w:rPr>
            </w:pPr>
          </w:p>
        </w:tc>
        <w:tc>
          <w:tcPr>
            <w:tcW w:w="5" w:type="pct"/>
            <w:gridSpan w:val="4"/>
            <w:vAlign w:val="center"/>
            <w:hideMark/>
          </w:tcPr>
          <w:p w14:paraId="4C572920" w14:textId="77777777" w:rsidR="00000000" w:rsidRDefault="00405D16">
            <w:pPr>
              <w:spacing w:after="100"/>
              <w:rPr>
                <w:rFonts w:eastAsia="Times New Roman"/>
                <w:sz w:val="20"/>
                <w:szCs w:val="20"/>
              </w:rPr>
            </w:pPr>
          </w:p>
        </w:tc>
        <w:tc>
          <w:tcPr>
            <w:tcW w:w="50" w:type="pct"/>
            <w:gridSpan w:val="3"/>
            <w:vAlign w:val="center"/>
            <w:hideMark/>
          </w:tcPr>
          <w:p w14:paraId="46D197E0" w14:textId="77777777" w:rsidR="00000000" w:rsidRDefault="00405D16">
            <w:pPr>
              <w:spacing w:after="100"/>
              <w:rPr>
                <w:rFonts w:eastAsia="Times New Roman"/>
                <w:sz w:val="20"/>
                <w:szCs w:val="20"/>
              </w:rPr>
            </w:pPr>
          </w:p>
        </w:tc>
        <w:tc>
          <w:tcPr>
            <w:tcW w:w="244" w:type="pct"/>
            <w:gridSpan w:val="7"/>
            <w:vAlign w:val="center"/>
            <w:hideMark/>
          </w:tcPr>
          <w:p w14:paraId="71BC51C0" w14:textId="77777777" w:rsidR="00000000" w:rsidRDefault="00405D16">
            <w:pPr>
              <w:spacing w:after="100"/>
              <w:rPr>
                <w:rFonts w:eastAsia="Times New Roman"/>
                <w:sz w:val="20"/>
                <w:szCs w:val="20"/>
              </w:rPr>
            </w:pPr>
          </w:p>
        </w:tc>
        <w:tc>
          <w:tcPr>
            <w:tcW w:w="5" w:type="pct"/>
            <w:gridSpan w:val="2"/>
            <w:vAlign w:val="center"/>
            <w:hideMark/>
          </w:tcPr>
          <w:p w14:paraId="609929BC" w14:textId="77777777" w:rsidR="00000000" w:rsidRDefault="00405D16">
            <w:pPr>
              <w:spacing w:after="100"/>
              <w:rPr>
                <w:rFonts w:eastAsia="Times New Roman"/>
                <w:sz w:val="20"/>
                <w:szCs w:val="20"/>
              </w:rPr>
            </w:pPr>
          </w:p>
        </w:tc>
        <w:tc>
          <w:tcPr>
            <w:tcW w:w="5" w:type="pct"/>
            <w:vAlign w:val="center"/>
            <w:hideMark/>
          </w:tcPr>
          <w:p w14:paraId="6EE2FC38" w14:textId="77777777" w:rsidR="00000000" w:rsidRDefault="00405D16">
            <w:pPr>
              <w:spacing w:after="100"/>
              <w:rPr>
                <w:rFonts w:eastAsia="Times New Roman"/>
                <w:sz w:val="20"/>
                <w:szCs w:val="20"/>
              </w:rPr>
            </w:pPr>
          </w:p>
        </w:tc>
        <w:tc>
          <w:tcPr>
            <w:tcW w:w="26" w:type="pct"/>
            <w:vAlign w:val="center"/>
            <w:hideMark/>
          </w:tcPr>
          <w:p w14:paraId="14F2D1E7" w14:textId="77777777" w:rsidR="00000000" w:rsidRDefault="00405D16">
            <w:pPr>
              <w:spacing w:after="100"/>
              <w:rPr>
                <w:rFonts w:eastAsia="Times New Roman"/>
                <w:sz w:val="20"/>
                <w:szCs w:val="20"/>
              </w:rPr>
            </w:pPr>
          </w:p>
        </w:tc>
        <w:tc>
          <w:tcPr>
            <w:tcW w:w="5" w:type="pct"/>
            <w:gridSpan w:val="3"/>
            <w:vAlign w:val="center"/>
            <w:hideMark/>
          </w:tcPr>
          <w:p w14:paraId="426B5193" w14:textId="77777777" w:rsidR="00000000" w:rsidRDefault="00405D16">
            <w:pPr>
              <w:spacing w:after="100"/>
              <w:rPr>
                <w:rFonts w:eastAsia="Times New Roman"/>
                <w:sz w:val="20"/>
                <w:szCs w:val="20"/>
              </w:rPr>
            </w:pPr>
          </w:p>
        </w:tc>
        <w:tc>
          <w:tcPr>
            <w:tcW w:w="50" w:type="pct"/>
            <w:gridSpan w:val="4"/>
            <w:vAlign w:val="center"/>
            <w:hideMark/>
          </w:tcPr>
          <w:p w14:paraId="2A255942" w14:textId="77777777" w:rsidR="00000000" w:rsidRDefault="00405D16">
            <w:pPr>
              <w:spacing w:after="100"/>
              <w:rPr>
                <w:rFonts w:eastAsia="Times New Roman"/>
                <w:sz w:val="20"/>
                <w:szCs w:val="20"/>
              </w:rPr>
            </w:pPr>
          </w:p>
        </w:tc>
        <w:tc>
          <w:tcPr>
            <w:tcW w:w="259" w:type="pct"/>
            <w:gridSpan w:val="2"/>
            <w:vAlign w:val="center"/>
            <w:hideMark/>
          </w:tcPr>
          <w:p w14:paraId="75DDFF2E" w14:textId="77777777" w:rsidR="00000000" w:rsidRDefault="00405D16">
            <w:pPr>
              <w:spacing w:after="100"/>
              <w:rPr>
                <w:rFonts w:eastAsia="Times New Roman"/>
                <w:sz w:val="20"/>
                <w:szCs w:val="20"/>
              </w:rPr>
            </w:pPr>
          </w:p>
        </w:tc>
        <w:tc>
          <w:tcPr>
            <w:tcW w:w="5" w:type="pct"/>
            <w:vAlign w:val="center"/>
            <w:hideMark/>
          </w:tcPr>
          <w:p w14:paraId="60938F7B" w14:textId="77777777" w:rsidR="00000000" w:rsidRDefault="00405D16">
            <w:pPr>
              <w:spacing w:after="100"/>
              <w:rPr>
                <w:rFonts w:eastAsia="Times New Roman"/>
                <w:sz w:val="20"/>
                <w:szCs w:val="20"/>
              </w:rPr>
            </w:pPr>
          </w:p>
        </w:tc>
        <w:tc>
          <w:tcPr>
            <w:tcW w:w="5" w:type="pct"/>
            <w:gridSpan w:val="5"/>
            <w:vAlign w:val="center"/>
            <w:hideMark/>
          </w:tcPr>
          <w:p w14:paraId="17F4409F" w14:textId="77777777" w:rsidR="00000000" w:rsidRDefault="00405D16">
            <w:pPr>
              <w:spacing w:after="100"/>
              <w:rPr>
                <w:rFonts w:eastAsia="Times New Roman"/>
                <w:sz w:val="20"/>
                <w:szCs w:val="20"/>
              </w:rPr>
            </w:pPr>
          </w:p>
        </w:tc>
        <w:tc>
          <w:tcPr>
            <w:tcW w:w="26" w:type="pct"/>
            <w:gridSpan w:val="3"/>
            <w:vAlign w:val="center"/>
            <w:hideMark/>
          </w:tcPr>
          <w:p w14:paraId="105FCC90" w14:textId="77777777" w:rsidR="00000000" w:rsidRDefault="00405D16">
            <w:pPr>
              <w:spacing w:after="100"/>
              <w:rPr>
                <w:rFonts w:eastAsia="Times New Roman"/>
                <w:sz w:val="20"/>
                <w:szCs w:val="20"/>
              </w:rPr>
            </w:pPr>
          </w:p>
        </w:tc>
        <w:tc>
          <w:tcPr>
            <w:tcW w:w="5" w:type="pct"/>
            <w:vAlign w:val="center"/>
            <w:hideMark/>
          </w:tcPr>
          <w:p w14:paraId="463757A6" w14:textId="77777777" w:rsidR="00000000" w:rsidRDefault="00405D16">
            <w:pPr>
              <w:spacing w:after="100"/>
              <w:rPr>
                <w:rFonts w:eastAsia="Times New Roman"/>
                <w:sz w:val="20"/>
                <w:szCs w:val="20"/>
              </w:rPr>
            </w:pPr>
          </w:p>
        </w:tc>
        <w:tc>
          <w:tcPr>
            <w:tcW w:w="50" w:type="pct"/>
            <w:vAlign w:val="center"/>
            <w:hideMark/>
          </w:tcPr>
          <w:p w14:paraId="542A6301" w14:textId="77777777" w:rsidR="00000000" w:rsidRDefault="00405D16">
            <w:pPr>
              <w:spacing w:after="100"/>
              <w:rPr>
                <w:rFonts w:eastAsia="Times New Roman"/>
                <w:sz w:val="20"/>
                <w:szCs w:val="20"/>
              </w:rPr>
            </w:pPr>
          </w:p>
        </w:tc>
        <w:tc>
          <w:tcPr>
            <w:tcW w:w="200" w:type="pct"/>
            <w:gridSpan w:val="6"/>
            <w:vAlign w:val="center"/>
            <w:hideMark/>
          </w:tcPr>
          <w:p w14:paraId="7925062F" w14:textId="77777777" w:rsidR="00000000" w:rsidRDefault="00405D16">
            <w:pPr>
              <w:spacing w:after="100"/>
              <w:rPr>
                <w:rFonts w:eastAsia="Times New Roman"/>
                <w:sz w:val="20"/>
                <w:szCs w:val="20"/>
              </w:rPr>
            </w:pPr>
          </w:p>
        </w:tc>
        <w:tc>
          <w:tcPr>
            <w:tcW w:w="5" w:type="pct"/>
            <w:gridSpan w:val="2"/>
            <w:vAlign w:val="center"/>
            <w:hideMark/>
          </w:tcPr>
          <w:p w14:paraId="1C6B3DB3" w14:textId="77777777" w:rsidR="00000000" w:rsidRDefault="00405D16">
            <w:pPr>
              <w:spacing w:after="100"/>
              <w:rPr>
                <w:rFonts w:eastAsia="Times New Roman"/>
                <w:sz w:val="20"/>
                <w:szCs w:val="20"/>
              </w:rPr>
            </w:pPr>
          </w:p>
        </w:tc>
        <w:tc>
          <w:tcPr>
            <w:tcW w:w="5" w:type="pct"/>
            <w:vAlign w:val="center"/>
            <w:hideMark/>
          </w:tcPr>
          <w:p w14:paraId="592AC2FC" w14:textId="77777777" w:rsidR="00000000" w:rsidRDefault="00405D16">
            <w:pPr>
              <w:spacing w:after="100"/>
              <w:rPr>
                <w:rFonts w:eastAsia="Times New Roman"/>
                <w:sz w:val="20"/>
                <w:szCs w:val="20"/>
              </w:rPr>
            </w:pPr>
          </w:p>
        </w:tc>
        <w:tc>
          <w:tcPr>
            <w:tcW w:w="26" w:type="pct"/>
            <w:vAlign w:val="center"/>
            <w:hideMark/>
          </w:tcPr>
          <w:p w14:paraId="588717E9" w14:textId="77777777" w:rsidR="00000000" w:rsidRDefault="00405D16">
            <w:pPr>
              <w:spacing w:after="100"/>
              <w:rPr>
                <w:rFonts w:eastAsia="Times New Roman"/>
                <w:sz w:val="20"/>
                <w:szCs w:val="20"/>
              </w:rPr>
            </w:pPr>
          </w:p>
        </w:tc>
        <w:tc>
          <w:tcPr>
            <w:tcW w:w="5" w:type="pct"/>
            <w:gridSpan w:val="3"/>
            <w:vAlign w:val="center"/>
            <w:hideMark/>
          </w:tcPr>
          <w:p w14:paraId="51AD21BB" w14:textId="77777777" w:rsidR="00000000" w:rsidRDefault="00405D16">
            <w:pPr>
              <w:spacing w:after="100"/>
              <w:rPr>
                <w:rFonts w:eastAsia="Times New Roman"/>
                <w:sz w:val="20"/>
                <w:szCs w:val="20"/>
              </w:rPr>
            </w:pPr>
          </w:p>
        </w:tc>
        <w:tc>
          <w:tcPr>
            <w:tcW w:w="50" w:type="pct"/>
            <w:gridSpan w:val="4"/>
            <w:vAlign w:val="center"/>
            <w:hideMark/>
          </w:tcPr>
          <w:p w14:paraId="79F3E5D6" w14:textId="77777777" w:rsidR="00000000" w:rsidRDefault="00405D16">
            <w:pPr>
              <w:spacing w:after="100"/>
              <w:rPr>
                <w:rFonts w:eastAsia="Times New Roman"/>
                <w:sz w:val="20"/>
                <w:szCs w:val="20"/>
              </w:rPr>
            </w:pPr>
          </w:p>
        </w:tc>
        <w:tc>
          <w:tcPr>
            <w:tcW w:w="244" w:type="pct"/>
            <w:gridSpan w:val="2"/>
            <w:vAlign w:val="center"/>
            <w:hideMark/>
          </w:tcPr>
          <w:p w14:paraId="1CC539F5" w14:textId="77777777" w:rsidR="00000000" w:rsidRDefault="00405D16">
            <w:pPr>
              <w:spacing w:after="100"/>
              <w:rPr>
                <w:rFonts w:eastAsia="Times New Roman"/>
                <w:sz w:val="20"/>
                <w:szCs w:val="20"/>
              </w:rPr>
            </w:pPr>
          </w:p>
        </w:tc>
        <w:tc>
          <w:tcPr>
            <w:tcW w:w="5" w:type="pct"/>
            <w:vAlign w:val="center"/>
            <w:hideMark/>
          </w:tcPr>
          <w:p w14:paraId="554D1F2E" w14:textId="77777777" w:rsidR="00000000" w:rsidRDefault="00405D16">
            <w:pPr>
              <w:spacing w:after="100"/>
              <w:rPr>
                <w:rFonts w:eastAsia="Times New Roman"/>
                <w:sz w:val="20"/>
                <w:szCs w:val="20"/>
              </w:rPr>
            </w:pPr>
          </w:p>
        </w:tc>
        <w:tc>
          <w:tcPr>
            <w:tcW w:w="5" w:type="pct"/>
            <w:gridSpan w:val="2"/>
            <w:vAlign w:val="center"/>
            <w:hideMark/>
          </w:tcPr>
          <w:p w14:paraId="0AB203E0" w14:textId="77777777" w:rsidR="00000000" w:rsidRDefault="00405D16">
            <w:pPr>
              <w:spacing w:after="100"/>
              <w:rPr>
                <w:rFonts w:eastAsia="Times New Roman"/>
                <w:sz w:val="20"/>
                <w:szCs w:val="20"/>
              </w:rPr>
            </w:pPr>
          </w:p>
        </w:tc>
        <w:tc>
          <w:tcPr>
            <w:tcW w:w="26" w:type="pct"/>
            <w:vAlign w:val="center"/>
            <w:hideMark/>
          </w:tcPr>
          <w:p w14:paraId="6A4B6BE2" w14:textId="77777777" w:rsidR="00000000" w:rsidRDefault="00405D16">
            <w:pPr>
              <w:spacing w:after="100"/>
              <w:rPr>
                <w:rFonts w:eastAsia="Times New Roman"/>
                <w:sz w:val="20"/>
                <w:szCs w:val="20"/>
              </w:rPr>
            </w:pPr>
          </w:p>
        </w:tc>
        <w:tc>
          <w:tcPr>
            <w:tcW w:w="5" w:type="pct"/>
            <w:vAlign w:val="center"/>
            <w:hideMark/>
          </w:tcPr>
          <w:p w14:paraId="6A76B030" w14:textId="77777777" w:rsidR="00000000" w:rsidRDefault="00405D16">
            <w:pPr>
              <w:spacing w:after="100"/>
              <w:rPr>
                <w:rFonts w:eastAsia="Times New Roman"/>
                <w:sz w:val="20"/>
                <w:szCs w:val="20"/>
              </w:rPr>
            </w:pPr>
          </w:p>
        </w:tc>
        <w:tc>
          <w:tcPr>
            <w:tcW w:w="50" w:type="pct"/>
            <w:vAlign w:val="center"/>
            <w:hideMark/>
          </w:tcPr>
          <w:p w14:paraId="665221A3" w14:textId="77777777" w:rsidR="00000000" w:rsidRDefault="00405D16">
            <w:pPr>
              <w:spacing w:after="100"/>
              <w:rPr>
                <w:rFonts w:eastAsia="Times New Roman"/>
                <w:sz w:val="20"/>
                <w:szCs w:val="20"/>
              </w:rPr>
            </w:pPr>
          </w:p>
        </w:tc>
        <w:tc>
          <w:tcPr>
            <w:tcW w:w="295" w:type="pct"/>
            <w:gridSpan w:val="2"/>
            <w:vAlign w:val="center"/>
            <w:hideMark/>
          </w:tcPr>
          <w:p w14:paraId="77E1623F" w14:textId="77777777" w:rsidR="00000000" w:rsidRDefault="00405D16">
            <w:pPr>
              <w:spacing w:after="100"/>
              <w:rPr>
                <w:rFonts w:eastAsia="Times New Roman"/>
                <w:sz w:val="20"/>
                <w:szCs w:val="20"/>
              </w:rPr>
            </w:pPr>
          </w:p>
        </w:tc>
        <w:tc>
          <w:tcPr>
            <w:tcW w:w="5" w:type="pct"/>
            <w:vAlign w:val="center"/>
            <w:hideMark/>
          </w:tcPr>
          <w:p w14:paraId="1C830AA4" w14:textId="77777777" w:rsidR="00000000" w:rsidRDefault="00405D16">
            <w:pPr>
              <w:spacing w:after="100"/>
              <w:rPr>
                <w:rFonts w:eastAsia="Times New Roman"/>
                <w:sz w:val="20"/>
                <w:szCs w:val="20"/>
              </w:rPr>
            </w:pPr>
          </w:p>
        </w:tc>
        <w:tc>
          <w:tcPr>
            <w:tcW w:w="5" w:type="pct"/>
            <w:vAlign w:val="center"/>
            <w:hideMark/>
          </w:tcPr>
          <w:p w14:paraId="6A3C03E0" w14:textId="77777777" w:rsidR="00000000" w:rsidRDefault="00405D16">
            <w:pPr>
              <w:spacing w:after="100"/>
              <w:rPr>
                <w:rFonts w:eastAsia="Times New Roman"/>
                <w:sz w:val="20"/>
                <w:szCs w:val="20"/>
              </w:rPr>
            </w:pPr>
          </w:p>
        </w:tc>
        <w:tc>
          <w:tcPr>
            <w:tcW w:w="26" w:type="pct"/>
            <w:vAlign w:val="center"/>
            <w:hideMark/>
          </w:tcPr>
          <w:p w14:paraId="1B6DA176" w14:textId="77777777" w:rsidR="00000000" w:rsidRDefault="00405D16">
            <w:pPr>
              <w:spacing w:after="100"/>
              <w:rPr>
                <w:rFonts w:eastAsia="Times New Roman"/>
                <w:sz w:val="20"/>
                <w:szCs w:val="20"/>
              </w:rPr>
            </w:pPr>
          </w:p>
        </w:tc>
        <w:tc>
          <w:tcPr>
            <w:tcW w:w="5" w:type="pct"/>
            <w:vAlign w:val="center"/>
            <w:hideMark/>
          </w:tcPr>
          <w:p w14:paraId="57D7F3B9" w14:textId="77777777" w:rsidR="00000000" w:rsidRDefault="00405D16">
            <w:pPr>
              <w:spacing w:after="100"/>
              <w:rPr>
                <w:rFonts w:eastAsia="Times New Roman"/>
                <w:sz w:val="20"/>
                <w:szCs w:val="20"/>
              </w:rPr>
            </w:pPr>
          </w:p>
        </w:tc>
        <w:tc>
          <w:tcPr>
            <w:tcW w:w="50" w:type="pct"/>
            <w:vAlign w:val="center"/>
            <w:hideMark/>
          </w:tcPr>
          <w:p w14:paraId="12ADE178" w14:textId="77777777" w:rsidR="00000000" w:rsidRDefault="00405D16">
            <w:pPr>
              <w:spacing w:after="100"/>
              <w:rPr>
                <w:rFonts w:eastAsia="Times New Roman"/>
                <w:sz w:val="20"/>
                <w:szCs w:val="20"/>
              </w:rPr>
            </w:pPr>
          </w:p>
        </w:tc>
        <w:tc>
          <w:tcPr>
            <w:tcW w:w="266" w:type="pct"/>
            <w:vAlign w:val="center"/>
            <w:hideMark/>
          </w:tcPr>
          <w:p w14:paraId="33AF633B" w14:textId="77777777" w:rsidR="00000000" w:rsidRDefault="00405D16">
            <w:pPr>
              <w:spacing w:after="100"/>
              <w:rPr>
                <w:rFonts w:eastAsia="Times New Roman"/>
                <w:sz w:val="20"/>
                <w:szCs w:val="20"/>
              </w:rPr>
            </w:pPr>
          </w:p>
        </w:tc>
        <w:tc>
          <w:tcPr>
            <w:tcW w:w="5" w:type="pct"/>
            <w:vAlign w:val="center"/>
            <w:hideMark/>
          </w:tcPr>
          <w:p w14:paraId="6A7E8F78" w14:textId="77777777" w:rsidR="00000000" w:rsidRDefault="00405D16">
            <w:pPr>
              <w:spacing w:after="100"/>
              <w:rPr>
                <w:rFonts w:eastAsia="Times New Roman"/>
                <w:sz w:val="20"/>
                <w:szCs w:val="20"/>
              </w:rPr>
            </w:pPr>
          </w:p>
        </w:tc>
        <w:tc>
          <w:tcPr>
            <w:tcW w:w="5" w:type="pct"/>
            <w:vAlign w:val="center"/>
            <w:hideMark/>
          </w:tcPr>
          <w:p w14:paraId="1452E1E9" w14:textId="77777777" w:rsidR="00000000" w:rsidRDefault="00405D16">
            <w:pPr>
              <w:spacing w:after="100"/>
              <w:rPr>
                <w:rFonts w:eastAsia="Times New Roman"/>
                <w:sz w:val="20"/>
                <w:szCs w:val="20"/>
              </w:rPr>
            </w:pPr>
          </w:p>
        </w:tc>
        <w:tc>
          <w:tcPr>
            <w:tcW w:w="26" w:type="pct"/>
            <w:vAlign w:val="center"/>
            <w:hideMark/>
          </w:tcPr>
          <w:p w14:paraId="4AB17006" w14:textId="77777777" w:rsidR="00000000" w:rsidRDefault="00405D16">
            <w:pPr>
              <w:spacing w:after="100"/>
              <w:rPr>
                <w:rFonts w:eastAsia="Times New Roman"/>
                <w:sz w:val="20"/>
                <w:szCs w:val="20"/>
              </w:rPr>
            </w:pPr>
          </w:p>
        </w:tc>
        <w:tc>
          <w:tcPr>
            <w:tcW w:w="5" w:type="pct"/>
            <w:vAlign w:val="center"/>
            <w:hideMark/>
          </w:tcPr>
          <w:p w14:paraId="142381DB" w14:textId="77777777" w:rsidR="00000000" w:rsidRDefault="00405D16">
            <w:pPr>
              <w:spacing w:after="100"/>
              <w:rPr>
                <w:rFonts w:eastAsia="Times New Roman"/>
                <w:sz w:val="20"/>
                <w:szCs w:val="20"/>
              </w:rPr>
            </w:pPr>
          </w:p>
        </w:tc>
        <w:tc>
          <w:tcPr>
            <w:tcW w:w="50" w:type="pct"/>
            <w:vAlign w:val="center"/>
            <w:hideMark/>
          </w:tcPr>
          <w:p w14:paraId="313962B6" w14:textId="77777777" w:rsidR="00000000" w:rsidRDefault="00405D16">
            <w:pPr>
              <w:spacing w:after="100"/>
              <w:rPr>
                <w:rFonts w:eastAsia="Times New Roman"/>
                <w:sz w:val="20"/>
                <w:szCs w:val="20"/>
              </w:rPr>
            </w:pPr>
          </w:p>
        </w:tc>
        <w:tc>
          <w:tcPr>
            <w:tcW w:w="244" w:type="pct"/>
            <w:vAlign w:val="center"/>
            <w:hideMark/>
          </w:tcPr>
          <w:p w14:paraId="018CA3C8" w14:textId="77777777" w:rsidR="00000000" w:rsidRDefault="00405D16">
            <w:pPr>
              <w:spacing w:after="100"/>
              <w:rPr>
                <w:rFonts w:eastAsia="Times New Roman"/>
                <w:sz w:val="20"/>
                <w:szCs w:val="20"/>
              </w:rPr>
            </w:pPr>
          </w:p>
        </w:tc>
        <w:tc>
          <w:tcPr>
            <w:tcW w:w="5" w:type="pct"/>
            <w:vAlign w:val="center"/>
            <w:hideMark/>
          </w:tcPr>
          <w:p w14:paraId="0B73E3F6" w14:textId="77777777" w:rsidR="00000000" w:rsidRDefault="00405D16">
            <w:pPr>
              <w:spacing w:after="100"/>
              <w:rPr>
                <w:rFonts w:eastAsia="Times New Roman"/>
                <w:sz w:val="20"/>
                <w:szCs w:val="20"/>
              </w:rPr>
            </w:pPr>
          </w:p>
        </w:tc>
        <w:tc>
          <w:tcPr>
            <w:tcW w:w="5" w:type="pct"/>
            <w:vAlign w:val="center"/>
            <w:hideMark/>
          </w:tcPr>
          <w:p w14:paraId="77FCFF99" w14:textId="77777777" w:rsidR="00000000" w:rsidRDefault="00405D16">
            <w:pPr>
              <w:spacing w:after="100"/>
              <w:rPr>
                <w:rFonts w:eastAsia="Times New Roman"/>
                <w:sz w:val="20"/>
                <w:szCs w:val="20"/>
              </w:rPr>
            </w:pPr>
          </w:p>
        </w:tc>
        <w:tc>
          <w:tcPr>
            <w:tcW w:w="26" w:type="pct"/>
            <w:vAlign w:val="center"/>
            <w:hideMark/>
          </w:tcPr>
          <w:p w14:paraId="3FE694DE" w14:textId="77777777" w:rsidR="00000000" w:rsidRDefault="00405D16">
            <w:pPr>
              <w:spacing w:after="100"/>
              <w:rPr>
                <w:rFonts w:eastAsia="Times New Roman"/>
                <w:sz w:val="20"/>
                <w:szCs w:val="20"/>
              </w:rPr>
            </w:pPr>
          </w:p>
        </w:tc>
        <w:tc>
          <w:tcPr>
            <w:tcW w:w="5" w:type="pct"/>
            <w:vAlign w:val="center"/>
            <w:hideMark/>
          </w:tcPr>
          <w:p w14:paraId="0BE9E9AF" w14:textId="77777777" w:rsidR="00000000" w:rsidRDefault="00405D16">
            <w:pPr>
              <w:spacing w:after="100"/>
              <w:rPr>
                <w:rFonts w:eastAsia="Times New Roman"/>
                <w:sz w:val="20"/>
                <w:szCs w:val="20"/>
              </w:rPr>
            </w:pPr>
          </w:p>
        </w:tc>
        <w:tc>
          <w:tcPr>
            <w:tcW w:w="50" w:type="pct"/>
            <w:vAlign w:val="center"/>
            <w:hideMark/>
          </w:tcPr>
          <w:p w14:paraId="27B69AAB" w14:textId="77777777" w:rsidR="00000000" w:rsidRDefault="00405D16">
            <w:pPr>
              <w:spacing w:after="100"/>
              <w:rPr>
                <w:rFonts w:eastAsia="Times New Roman"/>
                <w:sz w:val="20"/>
                <w:szCs w:val="20"/>
              </w:rPr>
            </w:pPr>
          </w:p>
        </w:tc>
        <w:tc>
          <w:tcPr>
            <w:tcW w:w="354" w:type="pct"/>
            <w:vAlign w:val="center"/>
            <w:hideMark/>
          </w:tcPr>
          <w:p w14:paraId="23585F86" w14:textId="77777777" w:rsidR="00000000" w:rsidRDefault="00405D16">
            <w:pPr>
              <w:spacing w:after="100"/>
              <w:rPr>
                <w:rFonts w:eastAsia="Times New Roman"/>
                <w:sz w:val="20"/>
                <w:szCs w:val="20"/>
              </w:rPr>
            </w:pPr>
          </w:p>
        </w:tc>
        <w:tc>
          <w:tcPr>
            <w:tcW w:w="5" w:type="pct"/>
            <w:vAlign w:val="center"/>
            <w:hideMark/>
          </w:tcPr>
          <w:p w14:paraId="10556383" w14:textId="77777777" w:rsidR="00000000" w:rsidRDefault="00405D16">
            <w:pPr>
              <w:spacing w:after="100"/>
              <w:rPr>
                <w:rFonts w:eastAsia="Times New Roman"/>
                <w:sz w:val="20"/>
                <w:szCs w:val="20"/>
              </w:rPr>
            </w:pPr>
          </w:p>
        </w:tc>
      </w:tr>
      <w:tr w:rsidR="00000000" w14:paraId="2C9E3B3E" w14:textId="77777777">
        <w:tc>
          <w:tcPr>
            <w:tcW w:w="0" w:type="auto"/>
            <w:gridSpan w:val="9"/>
            <w:tcMar>
              <w:top w:w="0" w:type="dxa"/>
              <w:left w:w="20" w:type="dxa"/>
              <w:bottom w:w="0" w:type="dxa"/>
              <w:right w:w="20" w:type="dxa"/>
            </w:tcMar>
            <w:vAlign w:val="center"/>
            <w:hideMark/>
          </w:tcPr>
          <w:p w14:paraId="7B8585BE" w14:textId="77777777" w:rsidR="00000000" w:rsidRDefault="00405D16">
            <w:pPr>
              <w:spacing w:after="100"/>
              <w:rPr>
                <w:rFonts w:eastAsia="Times New Roman"/>
                <w:sz w:val="20"/>
                <w:szCs w:val="20"/>
              </w:rPr>
            </w:pPr>
          </w:p>
        </w:tc>
        <w:tc>
          <w:tcPr>
            <w:tcW w:w="0" w:type="auto"/>
            <w:gridSpan w:val="4"/>
            <w:tcMar>
              <w:top w:w="0" w:type="dxa"/>
              <w:left w:w="20" w:type="dxa"/>
              <w:bottom w:w="0" w:type="dxa"/>
              <w:right w:w="20" w:type="dxa"/>
            </w:tcMar>
            <w:vAlign w:val="center"/>
            <w:hideMark/>
          </w:tcPr>
          <w:p w14:paraId="4C68C548" w14:textId="77777777" w:rsidR="00000000" w:rsidRDefault="00405D16">
            <w:pPr>
              <w:spacing w:after="100"/>
              <w:rPr>
                <w:rFonts w:eastAsia="Times New Roman"/>
                <w:sz w:val="20"/>
                <w:szCs w:val="20"/>
              </w:rPr>
            </w:pPr>
          </w:p>
        </w:tc>
        <w:tc>
          <w:tcPr>
            <w:tcW w:w="0" w:type="auto"/>
            <w:gridSpan w:val="112"/>
            <w:tcMar>
              <w:top w:w="30" w:type="dxa"/>
              <w:left w:w="20" w:type="dxa"/>
              <w:bottom w:w="30" w:type="dxa"/>
              <w:right w:w="20" w:type="dxa"/>
            </w:tcMar>
            <w:vAlign w:val="bottom"/>
            <w:hideMark/>
          </w:tcPr>
          <w:p w14:paraId="6A652D5A" w14:textId="77777777" w:rsidR="00000000" w:rsidRDefault="00405D16">
            <w:pPr>
              <w:spacing w:after="100"/>
              <w:jc w:val="center"/>
              <w:rPr>
                <w:rFonts w:eastAsia="Times New Roman"/>
              </w:rPr>
            </w:pPr>
            <w:r>
              <w:rPr>
                <w:rFonts w:eastAsia="Times New Roman"/>
                <w:b/>
                <w:bCs/>
                <w:color w:val="000000"/>
                <w:sz w:val="14"/>
                <w:szCs w:val="14"/>
              </w:rPr>
              <w:t>Fair Value Measurements Using Significant Unobservable Inputs (Level 3)</w:t>
            </w:r>
          </w:p>
        </w:tc>
        <w:tc>
          <w:tcPr>
            <w:tcW w:w="0" w:type="auto"/>
            <w:vAlign w:val="center"/>
            <w:hideMark/>
          </w:tcPr>
          <w:p w14:paraId="4689B980" w14:textId="77777777" w:rsidR="00000000" w:rsidRDefault="00405D16">
            <w:pPr>
              <w:spacing w:after="100"/>
              <w:rPr>
                <w:rFonts w:eastAsia="Times New Roman"/>
                <w:sz w:val="20"/>
                <w:szCs w:val="20"/>
              </w:rPr>
            </w:pPr>
          </w:p>
        </w:tc>
      </w:tr>
      <w:tr w:rsidR="00000000" w14:paraId="3DD9512B" w14:textId="77777777">
        <w:tc>
          <w:tcPr>
            <w:tcW w:w="0" w:type="auto"/>
            <w:gridSpan w:val="9"/>
            <w:tcMar>
              <w:top w:w="0" w:type="dxa"/>
              <w:left w:w="20" w:type="dxa"/>
              <w:bottom w:w="0" w:type="dxa"/>
              <w:right w:w="20" w:type="dxa"/>
            </w:tcMar>
            <w:vAlign w:val="center"/>
            <w:hideMark/>
          </w:tcPr>
          <w:p w14:paraId="4D5387E6" w14:textId="77777777" w:rsidR="00000000" w:rsidRDefault="00405D16">
            <w:pPr>
              <w:spacing w:after="100"/>
              <w:jc w:val="center"/>
              <w:rPr>
                <w:rFonts w:eastAsia="Times New Roman"/>
              </w:rPr>
            </w:pPr>
          </w:p>
        </w:tc>
        <w:tc>
          <w:tcPr>
            <w:tcW w:w="0" w:type="auto"/>
            <w:gridSpan w:val="4"/>
            <w:tcMar>
              <w:top w:w="0" w:type="dxa"/>
              <w:left w:w="20" w:type="dxa"/>
              <w:bottom w:w="0" w:type="dxa"/>
              <w:right w:w="20" w:type="dxa"/>
            </w:tcMar>
            <w:vAlign w:val="center"/>
            <w:hideMark/>
          </w:tcPr>
          <w:p w14:paraId="18915C3F" w14:textId="77777777" w:rsidR="00000000" w:rsidRDefault="00405D16">
            <w:pPr>
              <w:spacing w:after="100"/>
              <w:rPr>
                <w:rFonts w:eastAsia="Times New Roman"/>
                <w:sz w:val="20"/>
                <w:szCs w:val="20"/>
              </w:rPr>
            </w:pPr>
          </w:p>
        </w:tc>
        <w:tc>
          <w:tcPr>
            <w:tcW w:w="0" w:type="auto"/>
            <w:gridSpan w:val="112"/>
            <w:tcMar>
              <w:top w:w="30" w:type="dxa"/>
              <w:left w:w="20" w:type="dxa"/>
              <w:bottom w:w="30" w:type="dxa"/>
              <w:right w:w="20" w:type="dxa"/>
            </w:tcMar>
            <w:vAlign w:val="bottom"/>
            <w:hideMark/>
          </w:tcPr>
          <w:p w14:paraId="1B8CA0A0" w14:textId="77777777" w:rsidR="00000000" w:rsidRDefault="00405D16">
            <w:pPr>
              <w:spacing w:after="100"/>
              <w:jc w:val="center"/>
              <w:rPr>
                <w:rFonts w:eastAsia="Times New Roman"/>
              </w:rPr>
            </w:pPr>
            <w:r>
              <w:rPr>
                <w:rFonts w:eastAsia="Times New Roman"/>
                <w:b/>
                <w:bCs/>
                <w:color w:val="000000"/>
                <w:sz w:val="14"/>
                <w:szCs w:val="14"/>
              </w:rPr>
              <w:t>Nine Months Ended September 30, 2021</w:t>
            </w:r>
          </w:p>
        </w:tc>
        <w:tc>
          <w:tcPr>
            <w:tcW w:w="0" w:type="auto"/>
            <w:vAlign w:val="center"/>
            <w:hideMark/>
          </w:tcPr>
          <w:p w14:paraId="7CFAD564" w14:textId="77777777" w:rsidR="00000000" w:rsidRDefault="00405D16">
            <w:pPr>
              <w:spacing w:after="100"/>
              <w:rPr>
                <w:rFonts w:eastAsia="Times New Roman"/>
                <w:sz w:val="20"/>
                <w:szCs w:val="20"/>
              </w:rPr>
            </w:pPr>
          </w:p>
        </w:tc>
      </w:tr>
      <w:tr w:rsidR="00000000" w14:paraId="25D50F27" w14:textId="77777777">
        <w:trPr>
          <w:trHeight w:val="300"/>
        </w:trPr>
        <w:tc>
          <w:tcPr>
            <w:tcW w:w="0" w:type="auto"/>
            <w:gridSpan w:val="9"/>
            <w:tcMar>
              <w:top w:w="0" w:type="dxa"/>
              <w:left w:w="20" w:type="dxa"/>
              <w:bottom w:w="0" w:type="dxa"/>
              <w:right w:w="20" w:type="dxa"/>
            </w:tcMar>
            <w:vAlign w:val="center"/>
            <w:hideMark/>
          </w:tcPr>
          <w:p w14:paraId="550BB191" w14:textId="77777777" w:rsidR="00000000" w:rsidRDefault="00405D16">
            <w:pPr>
              <w:spacing w:after="100"/>
              <w:jc w:val="center"/>
              <w:rPr>
                <w:rFonts w:eastAsia="Times New Roman"/>
              </w:rPr>
            </w:pPr>
          </w:p>
        </w:tc>
        <w:tc>
          <w:tcPr>
            <w:tcW w:w="0" w:type="auto"/>
            <w:gridSpan w:val="4"/>
            <w:tcMar>
              <w:top w:w="0" w:type="dxa"/>
              <w:left w:w="20" w:type="dxa"/>
              <w:bottom w:w="0" w:type="dxa"/>
              <w:right w:w="20" w:type="dxa"/>
            </w:tcMar>
            <w:vAlign w:val="center"/>
            <w:hideMark/>
          </w:tcPr>
          <w:p w14:paraId="3CA7E470" w14:textId="77777777" w:rsidR="00000000" w:rsidRDefault="00405D16">
            <w:pPr>
              <w:spacing w:after="100"/>
              <w:rPr>
                <w:rFonts w:eastAsia="Times New Roman"/>
                <w:sz w:val="20"/>
                <w:szCs w:val="20"/>
              </w:rPr>
            </w:pPr>
          </w:p>
        </w:tc>
        <w:tc>
          <w:tcPr>
            <w:tcW w:w="0" w:type="auto"/>
            <w:gridSpan w:val="9"/>
            <w:tcBorders>
              <w:top w:val="single" w:sz="8" w:space="0" w:color="000000"/>
            </w:tcBorders>
            <w:tcMar>
              <w:top w:w="0" w:type="dxa"/>
              <w:left w:w="20" w:type="dxa"/>
              <w:bottom w:w="0" w:type="dxa"/>
              <w:right w:w="20" w:type="dxa"/>
            </w:tcMar>
            <w:vAlign w:val="center"/>
            <w:hideMark/>
          </w:tcPr>
          <w:p w14:paraId="0FF37196" w14:textId="77777777" w:rsidR="00000000" w:rsidRDefault="00405D16">
            <w:pPr>
              <w:spacing w:after="100"/>
              <w:rPr>
                <w:rFonts w:eastAsia="Times New Roman"/>
                <w:sz w:val="20"/>
                <w:szCs w:val="20"/>
              </w:rPr>
            </w:pPr>
          </w:p>
        </w:tc>
        <w:tc>
          <w:tcPr>
            <w:tcW w:w="0" w:type="auto"/>
            <w:gridSpan w:val="9"/>
            <w:tcBorders>
              <w:top w:val="single" w:sz="8" w:space="0" w:color="000000"/>
            </w:tcBorders>
            <w:tcMar>
              <w:top w:w="0" w:type="dxa"/>
              <w:left w:w="20" w:type="dxa"/>
              <w:bottom w:w="0" w:type="dxa"/>
              <w:right w:w="20" w:type="dxa"/>
            </w:tcMar>
            <w:vAlign w:val="center"/>
            <w:hideMark/>
          </w:tcPr>
          <w:p w14:paraId="09593341" w14:textId="77777777" w:rsidR="00000000" w:rsidRDefault="00405D16">
            <w:pPr>
              <w:spacing w:after="100"/>
              <w:rPr>
                <w:rFonts w:eastAsia="Times New Roman"/>
                <w:sz w:val="20"/>
                <w:szCs w:val="20"/>
              </w:rPr>
            </w:pPr>
          </w:p>
        </w:tc>
        <w:tc>
          <w:tcPr>
            <w:tcW w:w="0" w:type="auto"/>
            <w:gridSpan w:val="27"/>
            <w:tcBorders>
              <w:top w:val="single" w:sz="8" w:space="0" w:color="000000"/>
            </w:tcBorders>
            <w:tcMar>
              <w:top w:w="30" w:type="dxa"/>
              <w:left w:w="20" w:type="dxa"/>
              <w:bottom w:w="30" w:type="dxa"/>
              <w:right w:w="20" w:type="dxa"/>
            </w:tcMar>
            <w:vAlign w:val="bottom"/>
            <w:hideMark/>
          </w:tcPr>
          <w:p w14:paraId="3E0FFB16" w14:textId="77777777" w:rsidR="00000000" w:rsidRDefault="00405D16">
            <w:pPr>
              <w:spacing w:after="100"/>
              <w:jc w:val="center"/>
              <w:rPr>
                <w:rFonts w:eastAsia="Times New Roman"/>
              </w:rPr>
            </w:pPr>
            <w:r>
              <w:rPr>
                <w:rFonts w:eastAsia="Times New Roman"/>
                <w:b/>
                <w:bCs/>
                <w:color w:val="000000"/>
                <w:sz w:val="12"/>
                <w:szCs w:val="12"/>
              </w:rPr>
              <w:t>Total Gains (Losses)</w:t>
            </w:r>
            <w:r>
              <w:rPr>
                <w:rFonts w:eastAsia="Times New Roman"/>
                <w:b/>
                <w:bCs/>
                <w:color w:val="000000"/>
                <w:sz w:val="12"/>
                <w:szCs w:val="12"/>
              </w:rPr>
              <w:br/>
              <w:t>(Realized/Unrealized)</w:t>
            </w:r>
          </w:p>
        </w:tc>
        <w:tc>
          <w:tcPr>
            <w:tcW w:w="0" w:type="auto"/>
            <w:gridSpan w:val="5"/>
            <w:tcBorders>
              <w:top w:val="single" w:sz="8" w:space="0" w:color="000000"/>
            </w:tcBorders>
            <w:tcMar>
              <w:top w:w="0" w:type="dxa"/>
              <w:left w:w="20" w:type="dxa"/>
              <w:bottom w:w="0" w:type="dxa"/>
              <w:right w:w="20" w:type="dxa"/>
            </w:tcMar>
            <w:vAlign w:val="center"/>
            <w:hideMark/>
          </w:tcPr>
          <w:p w14:paraId="062056DC" w14:textId="77777777" w:rsidR="00000000" w:rsidRDefault="00405D16">
            <w:pPr>
              <w:spacing w:after="100"/>
              <w:jc w:val="center"/>
              <w:rPr>
                <w:rFonts w:eastAsia="Times New Roman"/>
              </w:rPr>
            </w:pPr>
          </w:p>
        </w:tc>
        <w:tc>
          <w:tcPr>
            <w:tcW w:w="0" w:type="auto"/>
            <w:gridSpan w:val="7"/>
            <w:tcBorders>
              <w:top w:val="single" w:sz="8" w:space="0" w:color="000000"/>
            </w:tcBorders>
            <w:tcMar>
              <w:top w:w="0" w:type="dxa"/>
              <w:left w:w="20" w:type="dxa"/>
              <w:bottom w:w="0" w:type="dxa"/>
              <w:right w:w="20" w:type="dxa"/>
            </w:tcMar>
            <w:vAlign w:val="center"/>
            <w:hideMark/>
          </w:tcPr>
          <w:p w14:paraId="21B0DD90" w14:textId="77777777" w:rsidR="00000000" w:rsidRDefault="00405D16">
            <w:pPr>
              <w:spacing w:after="100"/>
              <w:rPr>
                <w:rFonts w:eastAsia="Times New Roman"/>
                <w:sz w:val="20"/>
                <w:szCs w:val="20"/>
              </w:rPr>
            </w:pPr>
          </w:p>
        </w:tc>
        <w:tc>
          <w:tcPr>
            <w:tcW w:w="0" w:type="auto"/>
            <w:gridSpan w:val="9"/>
            <w:tcBorders>
              <w:top w:val="single" w:sz="8" w:space="0" w:color="000000"/>
            </w:tcBorders>
            <w:tcMar>
              <w:top w:w="0" w:type="dxa"/>
              <w:left w:w="20" w:type="dxa"/>
              <w:bottom w:w="0" w:type="dxa"/>
              <w:right w:w="20" w:type="dxa"/>
            </w:tcMar>
            <w:vAlign w:val="center"/>
            <w:hideMark/>
          </w:tcPr>
          <w:p w14:paraId="1930942A" w14:textId="77777777" w:rsidR="00000000" w:rsidRDefault="00405D16">
            <w:pPr>
              <w:spacing w:after="100"/>
              <w:rPr>
                <w:rFonts w:eastAsia="Times New Roman"/>
                <w:sz w:val="20"/>
                <w:szCs w:val="20"/>
              </w:rPr>
            </w:pPr>
          </w:p>
        </w:tc>
        <w:tc>
          <w:tcPr>
            <w:tcW w:w="0" w:type="auto"/>
            <w:gridSpan w:val="9"/>
            <w:tcBorders>
              <w:top w:val="single" w:sz="8" w:space="0" w:color="000000"/>
            </w:tcBorders>
            <w:tcMar>
              <w:top w:w="0" w:type="dxa"/>
              <w:left w:w="20" w:type="dxa"/>
              <w:bottom w:w="0" w:type="dxa"/>
              <w:right w:w="20" w:type="dxa"/>
            </w:tcMar>
            <w:vAlign w:val="center"/>
            <w:hideMark/>
          </w:tcPr>
          <w:p w14:paraId="77B0C13B" w14:textId="77777777" w:rsidR="00000000" w:rsidRDefault="00405D16">
            <w:pPr>
              <w:spacing w:after="100"/>
              <w:rPr>
                <w:rFonts w:eastAsia="Times New Roman"/>
                <w:sz w:val="20"/>
                <w:szCs w:val="20"/>
              </w:rPr>
            </w:pPr>
          </w:p>
        </w:tc>
        <w:tc>
          <w:tcPr>
            <w:tcW w:w="0" w:type="auto"/>
            <w:gridSpan w:val="5"/>
            <w:tcBorders>
              <w:top w:val="single" w:sz="8" w:space="0" w:color="000000"/>
            </w:tcBorders>
            <w:tcMar>
              <w:top w:w="0" w:type="dxa"/>
              <w:left w:w="20" w:type="dxa"/>
              <w:bottom w:w="0" w:type="dxa"/>
              <w:right w:w="20" w:type="dxa"/>
            </w:tcMar>
            <w:vAlign w:val="center"/>
            <w:hideMark/>
          </w:tcPr>
          <w:p w14:paraId="52F1FA8E" w14:textId="77777777" w:rsidR="00000000" w:rsidRDefault="00405D16">
            <w:pPr>
              <w:spacing w:after="100"/>
              <w:rPr>
                <w:rFonts w:eastAsia="Times New Roman"/>
                <w:sz w:val="20"/>
                <w:szCs w:val="20"/>
              </w:rPr>
            </w:pPr>
          </w:p>
        </w:tc>
        <w:tc>
          <w:tcPr>
            <w:tcW w:w="0" w:type="auto"/>
            <w:gridSpan w:val="7"/>
            <w:tcBorders>
              <w:top w:val="single" w:sz="8" w:space="0" w:color="000000"/>
            </w:tcBorders>
            <w:tcMar>
              <w:top w:w="0" w:type="dxa"/>
              <w:left w:w="20" w:type="dxa"/>
              <w:bottom w:w="0" w:type="dxa"/>
              <w:right w:w="20" w:type="dxa"/>
            </w:tcMar>
            <w:vAlign w:val="center"/>
            <w:hideMark/>
          </w:tcPr>
          <w:p w14:paraId="2825F8D2" w14:textId="77777777" w:rsidR="00000000" w:rsidRDefault="00405D16">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14:paraId="53C764F5" w14:textId="77777777" w:rsidR="00000000" w:rsidRDefault="00405D16">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14:paraId="2378EE96"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165B353"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59D7840"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51B2E40"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ECA48E1"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15AD4B4" w14:textId="77777777" w:rsidR="00000000" w:rsidRDefault="00405D16">
            <w:pPr>
              <w:spacing w:after="100"/>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14:paraId="649EC59F" w14:textId="77777777" w:rsidR="00000000" w:rsidRDefault="00405D16">
            <w:pPr>
              <w:spacing w:after="100"/>
              <w:rPr>
                <w:rFonts w:eastAsia="Times New Roman"/>
                <w:sz w:val="20"/>
                <w:szCs w:val="20"/>
              </w:rPr>
            </w:pPr>
          </w:p>
        </w:tc>
        <w:tc>
          <w:tcPr>
            <w:tcW w:w="0" w:type="auto"/>
            <w:tcBorders>
              <w:top w:val="single" w:sz="8" w:space="0" w:color="000000"/>
            </w:tcBorders>
            <w:tcMar>
              <w:top w:w="0" w:type="dxa"/>
              <w:left w:w="20" w:type="dxa"/>
              <w:bottom w:w="0" w:type="dxa"/>
              <w:right w:w="20" w:type="dxa"/>
            </w:tcMar>
            <w:vAlign w:val="center"/>
            <w:hideMark/>
          </w:tcPr>
          <w:p w14:paraId="3A10427F" w14:textId="77777777" w:rsidR="00000000" w:rsidRDefault="00405D16">
            <w:pPr>
              <w:spacing w:after="100"/>
              <w:jc w:val="center"/>
              <w:rPr>
                <w:rFonts w:eastAsia="Times New Roman"/>
              </w:rPr>
            </w:pPr>
            <w:r>
              <w:rPr>
                <w:rFonts w:eastAsia="Times New Roman"/>
                <w:b/>
                <w:bCs/>
                <w:color w:val="000000"/>
                <w:sz w:val="12"/>
                <w:szCs w:val="12"/>
              </w:rPr>
              <w:t xml:space="preserve">Net Unrealized Gains (Losses) Included in Net Income Related to Assets and Liabilities Still Held as of </w:t>
            </w:r>
          </w:p>
          <w:p w14:paraId="1CD3E4E5" w14:textId="77777777" w:rsidR="00000000" w:rsidRDefault="00405D16">
            <w:pPr>
              <w:spacing w:after="100"/>
              <w:jc w:val="center"/>
              <w:rPr>
                <w:rFonts w:eastAsia="Times New Roman"/>
              </w:rPr>
            </w:pPr>
            <w:r>
              <w:rPr>
                <w:rFonts w:eastAsia="Times New Roman"/>
                <w:b/>
                <w:bCs/>
                <w:color w:val="000000"/>
                <w:sz w:val="12"/>
                <w:szCs w:val="12"/>
              </w:rPr>
              <w:t>September 30, 202</w:t>
            </w:r>
            <w:r>
              <w:rPr>
                <w:rFonts w:eastAsia="Times New Roman"/>
                <w:b/>
                <w:bCs/>
                <w:color w:val="000000"/>
                <w:sz w:val="12"/>
                <w:szCs w:val="12"/>
              </w:rPr>
              <w:t>1</w:t>
            </w:r>
            <w:r>
              <w:rPr>
                <w:rFonts w:eastAsia="Times New Roman"/>
                <w:b/>
                <w:bCs/>
                <w:color w:val="000000"/>
                <w:sz w:val="8"/>
                <w:szCs w:val="8"/>
              </w:rPr>
              <w:t>(1</w:t>
            </w:r>
            <w:r>
              <w:rPr>
                <w:rFonts w:eastAsia="Times New Roman"/>
                <w:b/>
                <w:bCs/>
                <w:color w:val="000000"/>
                <w:sz w:val="8"/>
                <w:szCs w:val="8"/>
              </w:rPr>
              <w:t>)</w:t>
            </w:r>
          </w:p>
          <w:p w14:paraId="0800E81B" w14:textId="77777777" w:rsidR="00000000" w:rsidRDefault="00405D16">
            <w:pPr>
              <w:spacing w:after="100"/>
              <w:jc w:val="center"/>
              <w:rPr>
                <w:rFonts w:eastAsia="Times New Roman"/>
              </w:rPr>
            </w:pPr>
          </w:p>
        </w:tc>
      </w:tr>
      <w:tr w:rsidR="00000000" w14:paraId="7299ECA7" w14:textId="77777777">
        <w:trPr>
          <w:trHeight w:val="460"/>
        </w:trPr>
        <w:tc>
          <w:tcPr>
            <w:tcW w:w="0" w:type="auto"/>
            <w:gridSpan w:val="9"/>
            <w:tcMar>
              <w:top w:w="30" w:type="dxa"/>
              <w:left w:w="20" w:type="dxa"/>
              <w:bottom w:w="30" w:type="dxa"/>
              <w:right w:w="20" w:type="dxa"/>
            </w:tcMar>
            <w:vAlign w:val="bottom"/>
            <w:hideMark/>
          </w:tcPr>
          <w:p w14:paraId="79B31F9C" w14:textId="77777777" w:rsidR="00000000" w:rsidRDefault="00405D16">
            <w:pPr>
              <w:spacing w:after="100"/>
              <w:rPr>
                <w:rFonts w:eastAsia="Times New Roman"/>
              </w:rPr>
            </w:pPr>
            <w:r>
              <w:rPr>
                <w:rFonts w:eastAsia="Times New Roman"/>
                <w:i/>
                <w:iCs/>
                <w:color w:val="000000"/>
                <w:sz w:val="14"/>
                <w:szCs w:val="14"/>
              </w:rPr>
              <w:t>(Dollars in millions)</w:t>
            </w:r>
          </w:p>
        </w:tc>
        <w:tc>
          <w:tcPr>
            <w:tcW w:w="0" w:type="auto"/>
            <w:gridSpan w:val="4"/>
            <w:tcMar>
              <w:top w:w="0" w:type="dxa"/>
              <w:left w:w="20" w:type="dxa"/>
              <w:bottom w:w="0" w:type="dxa"/>
              <w:right w:w="20" w:type="dxa"/>
            </w:tcMar>
            <w:vAlign w:val="center"/>
            <w:hideMark/>
          </w:tcPr>
          <w:p w14:paraId="67D098B5" w14:textId="77777777" w:rsidR="00000000" w:rsidRDefault="00405D16">
            <w:pPr>
              <w:spacing w:after="100"/>
              <w:rPr>
                <w:rFonts w:eastAsia="Times New Roman"/>
              </w:rPr>
            </w:pPr>
          </w:p>
        </w:tc>
        <w:tc>
          <w:tcPr>
            <w:tcW w:w="0" w:type="auto"/>
            <w:gridSpan w:val="9"/>
            <w:tcMar>
              <w:top w:w="30" w:type="dxa"/>
              <w:left w:w="20" w:type="dxa"/>
              <w:bottom w:w="30" w:type="dxa"/>
              <w:right w:w="20" w:type="dxa"/>
            </w:tcMar>
            <w:vAlign w:val="bottom"/>
            <w:hideMark/>
          </w:tcPr>
          <w:p w14:paraId="487F4D77" w14:textId="77777777" w:rsidR="00000000" w:rsidRDefault="00405D16">
            <w:pPr>
              <w:spacing w:after="100"/>
              <w:jc w:val="center"/>
              <w:rPr>
                <w:rFonts w:eastAsia="Times New Roman"/>
              </w:rPr>
            </w:pPr>
            <w:r>
              <w:rPr>
                <w:rFonts w:eastAsia="Times New Roman"/>
                <w:b/>
                <w:bCs/>
                <w:color w:val="000000"/>
                <w:sz w:val="12"/>
                <w:szCs w:val="12"/>
              </w:rPr>
              <w:t>Balance, January 1, 2021</w:t>
            </w:r>
          </w:p>
        </w:tc>
        <w:tc>
          <w:tcPr>
            <w:tcW w:w="0" w:type="auto"/>
            <w:gridSpan w:val="9"/>
            <w:tcMar>
              <w:top w:w="0" w:type="dxa"/>
              <w:left w:w="20" w:type="dxa"/>
              <w:bottom w:w="0" w:type="dxa"/>
              <w:right w:w="20" w:type="dxa"/>
            </w:tcMar>
            <w:vAlign w:val="center"/>
            <w:hideMark/>
          </w:tcPr>
          <w:p w14:paraId="56CBB5C8" w14:textId="77777777" w:rsidR="00000000" w:rsidRDefault="00405D16">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6009948B" w14:textId="77777777" w:rsidR="00000000" w:rsidRDefault="00405D16">
            <w:pPr>
              <w:spacing w:after="100"/>
              <w:jc w:val="center"/>
              <w:rPr>
                <w:rFonts w:eastAsia="Times New Roman"/>
              </w:rPr>
            </w:pPr>
            <w:r>
              <w:rPr>
                <w:rFonts w:eastAsia="Times New Roman"/>
                <w:b/>
                <w:bCs/>
                <w:color w:val="000000"/>
                <w:sz w:val="12"/>
                <w:szCs w:val="12"/>
              </w:rPr>
              <w:t>Included</w:t>
            </w:r>
          </w:p>
          <w:p w14:paraId="6A947EFF" w14:textId="77777777" w:rsidR="00000000" w:rsidRDefault="00405D16">
            <w:pPr>
              <w:spacing w:after="100"/>
              <w:jc w:val="center"/>
              <w:rPr>
                <w:rFonts w:eastAsia="Times New Roman"/>
              </w:rPr>
            </w:pPr>
            <w:r>
              <w:rPr>
                <w:rFonts w:eastAsia="Times New Roman"/>
                <w:b/>
                <w:bCs/>
                <w:color w:val="000000"/>
                <w:sz w:val="12"/>
                <w:szCs w:val="12"/>
              </w:rPr>
              <w:t>in Net</w:t>
            </w:r>
          </w:p>
          <w:p w14:paraId="5DD8E90E" w14:textId="77777777" w:rsidR="00000000" w:rsidRDefault="00405D16">
            <w:pPr>
              <w:spacing w:after="100"/>
              <w:jc w:val="center"/>
              <w:rPr>
                <w:rFonts w:eastAsia="Times New Roman"/>
              </w:rPr>
            </w:pPr>
            <w:r>
              <w:rPr>
                <w:rFonts w:eastAsia="Times New Roman"/>
                <w:b/>
                <w:bCs/>
                <w:color w:val="000000"/>
                <w:sz w:val="12"/>
                <w:szCs w:val="12"/>
              </w:rPr>
              <w:t>Incom</w:t>
            </w:r>
            <w:r>
              <w:rPr>
                <w:rFonts w:eastAsia="Times New Roman"/>
                <w:b/>
                <w:bCs/>
                <w:color w:val="000000"/>
                <w:sz w:val="12"/>
                <w:szCs w:val="12"/>
              </w:rPr>
              <w:t>e</w:t>
            </w:r>
            <w:r>
              <w:rPr>
                <w:rFonts w:eastAsia="Times New Roman"/>
                <w:b/>
                <w:bCs/>
                <w:color w:val="000000"/>
                <w:sz w:val="8"/>
                <w:szCs w:val="8"/>
              </w:rPr>
              <w:t>(1</w:t>
            </w:r>
            <w:r>
              <w:rPr>
                <w:rFonts w:eastAsia="Times New Roman"/>
                <w:b/>
                <w:bCs/>
                <w:color w:val="000000"/>
                <w:sz w:val="8"/>
                <w:szCs w:val="8"/>
              </w:rPr>
              <w:t>)</w:t>
            </w:r>
          </w:p>
        </w:tc>
        <w:tc>
          <w:tcPr>
            <w:tcW w:w="0" w:type="auto"/>
            <w:gridSpan w:val="6"/>
            <w:tcBorders>
              <w:top w:val="single" w:sz="8" w:space="0" w:color="000000"/>
            </w:tcBorders>
            <w:tcMar>
              <w:top w:w="0" w:type="dxa"/>
              <w:left w:w="20" w:type="dxa"/>
              <w:bottom w:w="0" w:type="dxa"/>
              <w:right w:w="20" w:type="dxa"/>
            </w:tcMar>
            <w:vAlign w:val="center"/>
            <w:hideMark/>
          </w:tcPr>
          <w:p w14:paraId="6571B7EB" w14:textId="77777777" w:rsidR="00000000" w:rsidRDefault="00405D16">
            <w:pPr>
              <w:spacing w:after="100"/>
              <w:jc w:val="center"/>
              <w:rPr>
                <w:rFonts w:eastAsia="Times New Roman"/>
              </w:rPr>
            </w:pPr>
          </w:p>
        </w:tc>
        <w:tc>
          <w:tcPr>
            <w:tcW w:w="0" w:type="auto"/>
            <w:gridSpan w:val="12"/>
            <w:tcBorders>
              <w:top w:val="single" w:sz="8" w:space="0" w:color="000000"/>
            </w:tcBorders>
            <w:tcMar>
              <w:top w:w="30" w:type="dxa"/>
              <w:left w:w="20" w:type="dxa"/>
              <w:bottom w:w="30" w:type="dxa"/>
              <w:right w:w="20" w:type="dxa"/>
            </w:tcMar>
            <w:vAlign w:val="bottom"/>
            <w:hideMark/>
          </w:tcPr>
          <w:p w14:paraId="56A9998C" w14:textId="77777777" w:rsidR="00000000" w:rsidRDefault="00405D16">
            <w:pPr>
              <w:spacing w:after="100"/>
              <w:jc w:val="center"/>
              <w:rPr>
                <w:rFonts w:eastAsia="Times New Roman"/>
              </w:rPr>
            </w:pPr>
            <w:r>
              <w:rPr>
                <w:rFonts w:eastAsia="Times New Roman"/>
                <w:b/>
                <w:bCs/>
                <w:color w:val="000000"/>
                <w:sz w:val="12"/>
                <w:szCs w:val="12"/>
              </w:rPr>
              <w:t>Included in OCI</w:t>
            </w:r>
          </w:p>
        </w:tc>
        <w:tc>
          <w:tcPr>
            <w:tcW w:w="0" w:type="auto"/>
            <w:gridSpan w:val="5"/>
            <w:tcMar>
              <w:top w:w="0" w:type="dxa"/>
              <w:left w:w="20" w:type="dxa"/>
              <w:bottom w:w="0" w:type="dxa"/>
              <w:right w:w="20" w:type="dxa"/>
            </w:tcMar>
            <w:vAlign w:val="center"/>
            <w:hideMark/>
          </w:tcPr>
          <w:p w14:paraId="43746E45" w14:textId="77777777" w:rsidR="00000000" w:rsidRDefault="00405D16">
            <w:pPr>
              <w:spacing w:after="100"/>
              <w:jc w:val="center"/>
              <w:rPr>
                <w:rFonts w:eastAsia="Times New Roman"/>
              </w:rPr>
            </w:pPr>
          </w:p>
        </w:tc>
        <w:tc>
          <w:tcPr>
            <w:tcW w:w="0" w:type="auto"/>
            <w:gridSpan w:val="7"/>
            <w:tcMar>
              <w:top w:w="30" w:type="dxa"/>
              <w:left w:w="20" w:type="dxa"/>
              <w:bottom w:w="30" w:type="dxa"/>
              <w:right w:w="20" w:type="dxa"/>
            </w:tcMar>
            <w:vAlign w:val="bottom"/>
            <w:hideMark/>
          </w:tcPr>
          <w:p w14:paraId="64B721CF" w14:textId="77777777" w:rsidR="00000000" w:rsidRDefault="00405D16">
            <w:pPr>
              <w:spacing w:after="100"/>
              <w:jc w:val="center"/>
              <w:rPr>
                <w:rFonts w:eastAsia="Times New Roman"/>
              </w:rPr>
            </w:pPr>
            <w:r>
              <w:rPr>
                <w:rFonts w:eastAsia="Times New Roman"/>
                <w:b/>
                <w:bCs/>
                <w:color w:val="000000"/>
                <w:sz w:val="12"/>
                <w:szCs w:val="12"/>
              </w:rPr>
              <w:t>Purchases</w:t>
            </w:r>
          </w:p>
        </w:tc>
        <w:tc>
          <w:tcPr>
            <w:tcW w:w="0" w:type="auto"/>
            <w:gridSpan w:val="9"/>
            <w:tcMar>
              <w:top w:w="0" w:type="dxa"/>
              <w:left w:w="20" w:type="dxa"/>
              <w:bottom w:w="0" w:type="dxa"/>
              <w:right w:w="20" w:type="dxa"/>
            </w:tcMar>
            <w:vAlign w:val="center"/>
            <w:hideMark/>
          </w:tcPr>
          <w:p w14:paraId="6098ECBF" w14:textId="77777777" w:rsidR="00000000" w:rsidRDefault="00405D1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5BF4077" w14:textId="77777777" w:rsidR="00000000" w:rsidRDefault="00405D16">
            <w:pPr>
              <w:spacing w:after="100"/>
              <w:jc w:val="center"/>
              <w:rPr>
                <w:rFonts w:eastAsia="Times New Roman"/>
              </w:rPr>
            </w:pPr>
            <w:r>
              <w:rPr>
                <w:rFonts w:eastAsia="Times New Roman"/>
                <w:b/>
                <w:bCs/>
                <w:color w:val="000000"/>
                <w:sz w:val="12"/>
                <w:szCs w:val="12"/>
              </w:rPr>
              <w:t>Sales</w:t>
            </w:r>
          </w:p>
        </w:tc>
        <w:tc>
          <w:tcPr>
            <w:tcW w:w="0" w:type="auto"/>
            <w:gridSpan w:val="5"/>
            <w:tcMar>
              <w:top w:w="0" w:type="dxa"/>
              <w:left w:w="20" w:type="dxa"/>
              <w:bottom w:w="0" w:type="dxa"/>
              <w:right w:w="20" w:type="dxa"/>
            </w:tcMar>
            <w:vAlign w:val="center"/>
            <w:hideMark/>
          </w:tcPr>
          <w:p w14:paraId="7518F057" w14:textId="77777777" w:rsidR="00000000" w:rsidRDefault="00405D16">
            <w:pPr>
              <w:spacing w:after="100"/>
              <w:jc w:val="center"/>
              <w:rPr>
                <w:rFonts w:eastAsia="Times New Roman"/>
              </w:rPr>
            </w:pPr>
          </w:p>
        </w:tc>
        <w:tc>
          <w:tcPr>
            <w:tcW w:w="0" w:type="auto"/>
            <w:gridSpan w:val="7"/>
            <w:tcMar>
              <w:top w:w="30" w:type="dxa"/>
              <w:left w:w="20" w:type="dxa"/>
              <w:bottom w:w="30" w:type="dxa"/>
              <w:right w:w="20" w:type="dxa"/>
            </w:tcMar>
            <w:vAlign w:val="bottom"/>
            <w:hideMark/>
          </w:tcPr>
          <w:p w14:paraId="58C93503" w14:textId="77777777" w:rsidR="00000000" w:rsidRDefault="00405D16">
            <w:pPr>
              <w:spacing w:after="100"/>
              <w:jc w:val="center"/>
              <w:rPr>
                <w:rFonts w:eastAsia="Times New Roman"/>
              </w:rPr>
            </w:pPr>
            <w:r>
              <w:rPr>
                <w:rFonts w:eastAsia="Times New Roman"/>
                <w:b/>
                <w:bCs/>
                <w:color w:val="000000"/>
                <w:sz w:val="12"/>
                <w:szCs w:val="12"/>
              </w:rPr>
              <w:t>Issuances</w:t>
            </w:r>
          </w:p>
        </w:tc>
        <w:tc>
          <w:tcPr>
            <w:tcW w:w="0" w:type="auto"/>
            <w:gridSpan w:val="4"/>
            <w:tcMar>
              <w:top w:w="0" w:type="dxa"/>
              <w:left w:w="20" w:type="dxa"/>
              <w:bottom w:w="0" w:type="dxa"/>
              <w:right w:w="20" w:type="dxa"/>
            </w:tcMar>
            <w:vAlign w:val="center"/>
            <w:hideMark/>
          </w:tcPr>
          <w:p w14:paraId="3A039439" w14:textId="77777777" w:rsidR="00000000" w:rsidRDefault="00405D16">
            <w:pPr>
              <w:spacing w:after="100"/>
              <w:jc w:val="center"/>
              <w:rPr>
                <w:rFonts w:eastAsia="Times New Roman"/>
              </w:rPr>
            </w:pPr>
          </w:p>
        </w:tc>
        <w:tc>
          <w:tcPr>
            <w:tcW w:w="0" w:type="auto"/>
            <w:gridSpan w:val="4"/>
            <w:tcMar>
              <w:top w:w="30" w:type="dxa"/>
              <w:left w:w="20" w:type="dxa"/>
              <w:bottom w:w="30" w:type="dxa"/>
              <w:right w:w="20" w:type="dxa"/>
            </w:tcMar>
            <w:vAlign w:val="bottom"/>
            <w:hideMark/>
          </w:tcPr>
          <w:p w14:paraId="365A2A45" w14:textId="77777777" w:rsidR="00000000" w:rsidRDefault="00405D16">
            <w:pPr>
              <w:spacing w:after="100"/>
              <w:jc w:val="center"/>
              <w:rPr>
                <w:rFonts w:eastAsia="Times New Roman"/>
              </w:rPr>
            </w:pPr>
            <w:r>
              <w:rPr>
                <w:rFonts w:eastAsia="Times New Roman"/>
                <w:b/>
                <w:bCs/>
                <w:color w:val="000000"/>
                <w:sz w:val="12"/>
                <w:szCs w:val="12"/>
              </w:rPr>
              <w:t>Settlements</w:t>
            </w:r>
          </w:p>
        </w:tc>
        <w:tc>
          <w:tcPr>
            <w:tcW w:w="0" w:type="auto"/>
            <w:gridSpan w:val="3"/>
            <w:tcMar>
              <w:top w:w="0" w:type="dxa"/>
              <w:left w:w="20" w:type="dxa"/>
              <w:bottom w:w="0" w:type="dxa"/>
              <w:right w:w="20" w:type="dxa"/>
            </w:tcMar>
            <w:vAlign w:val="center"/>
            <w:hideMark/>
          </w:tcPr>
          <w:p w14:paraId="3C14718F"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7554247" w14:textId="77777777" w:rsidR="00000000" w:rsidRDefault="00405D16">
            <w:pPr>
              <w:spacing w:after="100"/>
              <w:jc w:val="center"/>
              <w:rPr>
                <w:rFonts w:eastAsia="Times New Roman"/>
              </w:rPr>
            </w:pPr>
            <w:r>
              <w:rPr>
                <w:rFonts w:eastAsia="Times New Roman"/>
                <w:b/>
                <w:bCs/>
                <w:color w:val="000000"/>
                <w:sz w:val="12"/>
                <w:szCs w:val="12"/>
              </w:rPr>
              <w:t>Transfers</w:t>
            </w:r>
            <w:r>
              <w:rPr>
                <w:rFonts w:eastAsia="Times New Roman"/>
                <w:b/>
                <w:bCs/>
                <w:color w:val="000000"/>
                <w:sz w:val="12"/>
                <w:szCs w:val="12"/>
              </w:rPr>
              <w:br/>
              <w:t>Into</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14:paraId="1CDC9B00"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633168E" w14:textId="77777777" w:rsidR="00000000" w:rsidRDefault="00405D16">
            <w:pPr>
              <w:spacing w:after="100"/>
              <w:jc w:val="center"/>
              <w:rPr>
                <w:rFonts w:eastAsia="Times New Roman"/>
              </w:rPr>
            </w:pPr>
            <w:r>
              <w:rPr>
                <w:rFonts w:eastAsia="Times New Roman"/>
                <w:b/>
                <w:bCs/>
                <w:color w:val="000000"/>
                <w:sz w:val="12"/>
                <w:szCs w:val="12"/>
              </w:rPr>
              <w:t>Transfers</w:t>
            </w:r>
            <w:r>
              <w:rPr>
                <w:rFonts w:eastAsia="Times New Roman"/>
                <w:b/>
                <w:bCs/>
                <w:color w:val="000000"/>
                <w:sz w:val="12"/>
                <w:szCs w:val="12"/>
              </w:rPr>
              <w:br/>
              <w:t>Out of</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14:paraId="00F53156" w14:textId="77777777" w:rsidR="00000000" w:rsidRDefault="00405D16">
            <w:pPr>
              <w:spacing w:after="100"/>
              <w:jc w:val="center"/>
              <w:rPr>
                <w:rFonts w:eastAsia="Times New Roman"/>
              </w:rPr>
            </w:pPr>
          </w:p>
        </w:tc>
        <w:tc>
          <w:tcPr>
            <w:tcW w:w="0" w:type="auto"/>
            <w:gridSpan w:val="2"/>
            <w:tcMar>
              <w:top w:w="30" w:type="dxa"/>
              <w:left w:w="20" w:type="dxa"/>
              <w:bottom w:w="30" w:type="dxa"/>
              <w:right w:w="20" w:type="dxa"/>
            </w:tcMar>
            <w:vAlign w:val="bottom"/>
            <w:hideMark/>
          </w:tcPr>
          <w:p w14:paraId="59726B5C" w14:textId="77777777" w:rsidR="00000000" w:rsidRDefault="00405D16">
            <w:pPr>
              <w:spacing w:after="100"/>
              <w:jc w:val="center"/>
              <w:rPr>
                <w:rFonts w:eastAsia="Times New Roman"/>
              </w:rPr>
            </w:pPr>
            <w:r>
              <w:rPr>
                <w:rFonts w:eastAsia="Times New Roman"/>
                <w:b/>
                <w:bCs/>
                <w:color w:val="000000"/>
                <w:sz w:val="12"/>
                <w:szCs w:val="12"/>
              </w:rPr>
              <w:t>Balance, September 30, 2021</w:t>
            </w:r>
          </w:p>
        </w:tc>
        <w:tc>
          <w:tcPr>
            <w:tcW w:w="0" w:type="auto"/>
            <w:tcMar>
              <w:top w:w="0" w:type="dxa"/>
              <w:left w:w="20" w:type="dxa"/>
              <w:bottom w:w="0" w:type="dxa"/>
              <w:right w:w="20" w:type="dxa"/>
            </w:tcMar>
            <w:vAlign w:val="center"/>
            <w:hideMark/>
          </w:tcPr>
          <w:p w14:paraId="158D8E54" w14:textId="77777777" w:rsidR="00000000" w:rsidRDefault="00405D16">
            <w:pPr>
              <w:spacing w:after="100"/>
              <w:jc w:val="center"/>
              <w:rPr>
                <w:rFonts w:eastAsia="Times New Roman"/>
              </w:rPr>
            </w:pPr>
          </w:p>
        </w:tc>
      </w:tr>
      <w:tr w:rsidR="00000000" w14:paraId="74FF3F7E" w14:textId="77777777">
        <w:tc>
          <w:tcPr>
            <w:tcW w:w="0" w:type="auto"/>
            <w:gridSpan w:val="9"/>
            <w:tcBorders>
              <w:top w:val="single" w:sz="8" w:space="0" w:color="000000"/>
            </w:tcBorders>
            <w:shd w:val="clear" w:color="auto" w:fill="CCEEFF"/>
            <w:tcMar>
              <w:top w:w="30" w:type="dxa"/>
              <w:left w:w="20" w:type="dxa"/>
              <w:bottom w:w="30" w:type="dxa"/>
              <w:right w:w="20" w:type="dxa"/>
            </w:tcMar>
            <w:vAlign w:val="center"/>
            <w:hideMark/>
          </w:tcPr>
          <w:p w14:paraId="1618AF18" w14:textId="77777777" w:rsidR="00000000" w:rsidRDefault="00405D16">
            <w:pPr>
              <w:spacing w:after="100"/>
              <w:divId w:val="1089082603"/>
              <w:rPr>
                <w:rFonts w:eastAsia="Times New Roman"/>
              </w:rPr>
            </w:pPr>
            <w:r>
              <w:rPr>
                <w:rFonts w:eastAsia="Times New Roman"/>
                <w:color w:val="000000"/>
                <w:sz w:val="18"/>
                <w:szCs w:val="18"/>
              </w:rPr>
              <w:t>Securities available for sale</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4"/>
            <w:shd w:val="clear" w:color="auto" w:fill="CCEEFF"/>
            <w:tcMar>
              <w:top w:w="0" w:type="dxa"/>
              <w:left w:w="20" w:type="dxa"/>
              <w:bottom w:w="0" w:type="dxa"/>
              <w:right w:w="20" w:type="dxa"/>
            </w:tcMar>
            <w:vAlign w:val="center"/>
            <w:hideMark/>
          </w:tcPr>
          <w:p w14:paraId="4C01D8E6" w14:textId="77777777" w:rsidR="00000000" w:rsidRDefault="00405D16">
            <w:pPr>
              <w:spacing w:after="100"/>
              <w:rPr>
                <w:rFonts w:eastAsia="Times New Roman"/>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14:paraId="7DEADDB2" w14:textId="77777777" w:rsidR="00000000" w:rsidRDefault="00405D16">
            <w:pPr>
              <w:spacing w:after="100"/>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14:paraId="3647F651" w14:textId="77777777" w:rsidR="00000000" w:rsidRDefault="00405D16">
            <w:pPr>
              <w:spacing w:after="100"/>
              <w:rPr>
                <w:rFonts w:eastAsia="Times New Roman"/>
                <w:sz w:val="20"/>
                <w:szCs w:val="20"/>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14:paraId="01C156A0" w14:textId="77777777" w:rsidR="00000000" w:rsidRDefault="00405D16">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14:paraId="7124D964" w14:textId="77777777" w:rsidR="00000000" w:rsidRDefault="00405D16">
            <w:pPr>
              <w:spacing w:after="100"/>
              <w:rPr>
                <w:rFonts w:eastAsia="Times New Roman"/>
                <w:sz w:val="20"/>
                <w:szCs w:val="20"/>
              </w:rPr>
            </w:pPr>
          </w:p>
        </w:tc>
        <w:tc>
          <w:tcPr>
            <w:tcW w:w="0" w:type="auto"/>
            <w:gridSpan w:val="12"/>
            <w:tcBorders>
              <w:top w:val="single" w:sz="8" w:space="0" w:color="000000"/>
            </w:tcBorders>
            <w:shd w:val="clear" w:color="auto" w:fill="CCEEFF"/>
            <w:tcMar>
              <w:top w:w="0" w:type="dxa"/>
              <w:left w:w="20" w:type="dxa"/>
              <w:bottom w:w="0" w:type="dxa"/>
              <w:right w:w="20" w:type="dxa"/>
            </w:tcMar>
            <w:vAlign w:val="center"/>
            <w:hideMark/>
          </w:tcPr>
          <w:p w14:paraId="2DB4C40C" w14:textId="77777777" w:rsidR="00000000" w:rsidRDefault="00405D16">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0AD1CE5D" w14:textId="77777777" w:rsidR="00000000" w:rsidRDefault="00405D16">
            <w:pPr>
              <w:spacing w:after="100"/>
              <w:rPr>
                <w:rFonts w:eastAsia="Times New Roman"/>
                <w:sz w:val="20"/>
                <w:szCs w:val="20"/>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14:paraId="2DE67CA2" w14:textId="77777777" w:rsidR="00000000" w:rsidRDefault="00405D16">
            <w:pPr>
              <w:spacing w:after="100"/>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14:paraId="7E482B30" w14:textId="77777777" w:rsidR="00000000" w:rsidRDefault="00405D16">
            <w:pPr>
              <w:spacing w:after="100"/>
              <w:rPr>
                <w:rFonts w:eastAsia="Times New Roman"/>
                <w:sz w:val="20"/>
                <w:szCs w:val="20"/>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14:paraId="31ADD68F" w14:textId="77777777" w:rsidR="00000000" w:rsidRDefault="00405D16">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750D0B2E" w14:textId="77777777" w:rsidR="00000000" w:rsidRDefault="00405D16">
            <w:pPr>
              <w:spacing w:after="100"/>
              <w:rPr>
                <w:rFonts w:eastAsia="Times New Roman"/>
                <w:sz w:val="20"/>
                <w:szCs w:val="20"/>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14:paraId="1072DEBF"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21D802C1" w14:textId="77777777" w:rsidR="00000000" w:rsidRDefault="00405D16">
            <w:pPr>
              <w:spacing w:after="100"/>
              <w:rPr>
                <w:rFonts w:eastAsia="Times New Roman"/>
                <w:sz w:val="20"/>
                <w:szCs w:val="20"/>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14:paraId="76EE76E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53B4F6"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7521AC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D952B3"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3468F2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EE4A6B" w14:textId="77777777" w:rsidR="00000000" w:rsidRDefault="00405D16">
            <w:pPr>
              <w:spacing w:after="100"/>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14:paraId="54A9CBC1" w14:textId="77777777" w:rsidR="00000000" w:rsidRDefault="00405D16">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14:paraId="10FA7FA3" w14:textId="77777777" w:rsidR="00000000" w:rsidRDefault="00405D16">
            <w:pPr>
              <w:spacing w:after="100"/>
              <w:rPr>
                <w:rFonts w:eastAsia="Times New Roman"/>
                <w:sz w:val="20"/>
                <w:szCs w:val="20"/>
              </w:rPr>
            </w:pPr>
          </w:p>
        </w:tc>
      </w:tr>
      <w:tr w:rsidR="00405D16" w14:paraId="169E8784" w14:textId="77777777">
        <w:tc>
          <w:tcPr>
            <w:tcW w:w="0" w:type="auto"/>
            <w:gridSpan w:val="9"/>
            <w:shd w:val="clear" w:color="auto" w:fill="FFFFFF"/>
            <w:tcMar>
              <w:top w:w="30" w:type="dxa"/>
              <w:left w:w="245" w:type="dxa"/>
              <w:bottom w:w="30" w:type="dxa"/>
              <w:right w:w="20" w:type="dxa"/>
            </w:tcMar>
            <w:vAlign w:val="center"/>
            <w:hideMark/>
          </w:tcPr>
          <w:p w14:paraId="7F33B636" w14:textId="77777777" w:rsidR="00000000" w:rsidRDefault="00405D16">
            <w:pPr>
              <w:spacing w:after="100"/>
              <w:rPr>
                <w:rFonts w:eastAsia="Times New Roman"/>
              </w:rPr>
            </w:pPr>
            <w:r>
              <w:rPr>
                <w:rFonts w:eastAsia="Times New Roman"/>
                <w:color w:val="000000"/>
                <w:sz w:val="18"/>
                <w:szCs w:val="18"/>
              </w:rPr>
              <w:t>RMBS</w:t>
            </w:r>
          </w:p>
        </w:tc>
        <w:tc>
          <w:tcPr>
            <w:tcW w:w="0" w:type="auto"/>
            <w:gridSpan w:val="4"/>
            <w:shd w:val="clear" w:color="auto" w:fill="FFFFFF"/>
            <w:tcMar>
              <w:top w:w="0" w:type="dxa"/>
              <w:left w:w="20" w:type="dxa"/>
              <w:bottom w:w="0" w:type="dxa"/>
              <w:right w:w="20" w:type="dxa"/>
            </w:tcMar>
            <w:vAlign w:val="center"/>
            <w:hideMark/>
          </w:tcPr>
          <w:p w14:paraId="7DE2361E" w14:textId="77777777" w:rsidR="00000000" w:rsidRDefault="00405D16">
            <w:pPr>
              <w:spacing w:after="100"/>
              <w:rPr>
                <w:rFonts w:eastAsia="Times New Roman"/>
              </w:rPr>
            </w:pPr>
          </w:p>
        </w:tc>
        <w:tc>
          <w:tcPr>
            <w:tcW w:w="0" w:type="auto"/>
            <w:gridSpan w:val="3"/>
            <w:shd w:val="clear" w:color="auto" w:fill="FFFFFF"/>
            <w:tcMar>
              <w:top w:w="30" w:type="dxa"/>
              <w:left w:w="20" w:type="dxa"/>
              <w:bottom w:w="30" w:type="dxa"/>
              <w:right w:w="0" w:type="dxa"/>
            </w:tcMar>
            <w:vAlign w:val="bottom"/>
            <w:hideMark/>
          </w:tcPr>
          <w:p w14:paraId="6A430A84" w14:textId="77777777" w:rsidR="00000000" w:rsidRDefault="00405D16">
            <w:pPr>
              <w:spacing w:after="100"/>
              <w:rPr>
                <w:rFonts w:eastAsia="Times New Roman"/>
              </w:rPr>
            </w:pPr>
            <w:r>
              <w:rPr>
                <w:rFonts w:eastAsia="Times New Roman"/>
                <w:color w:val="000000"/>
                <w:sz w:val="18"/>
                <w:szCs w:val="18"/>
              </w:rPr>
              <w:t>$</w:t>
            </w:r>
          </w:p>
        </w:tc>
        <w:tc>
          <w:tcPr>
            <w:tcW w:w="0" w:type="auto"/>
            <w:gridSpan w:val="5"/>
            <w:shd w:val="clear" w:color="auto" w:fill="FFFFFF"/>
            <w:tcMar>
              <w:top w:w="30" w:type="dxa"/>
              <w:left w:w="0" w:type="dxa"/>
              <w:bottom w:w="30" w:type="dxa"/>
              <w:right w:w="0" w:type="dxa"/>
            </w:tcMar>
            <w:vAlign w:val="bottom"/>
            <w:hideMark/>
          </w:tcPr>
          <w:p w14:paraId="28F76044" w14:textId="77777777" w:rsidR="00000000" w:rsidRDefault="00405D16">
            <w:pPr>
              <w:spacing w:after="100"/>
              <w:jc w:val="right"/>
              <w:rPr>
                <w:rFonts w:eastAsia="Times New Roman"/>
              </w:rPr>
            </w:pPr>
            <w:r>
              <w:rPr>
                <w:rFonts w:eastAsia="Times New Roman"/>
                <w:color w:val="000000"/>
                <w:sz w:val="18"/>
                <w:szCs w:val="18"/>
              </w:rPr>
              <w:t>328 </w:t>
            </w:r>
          </w:p>
        </w:tc>
        <w:tc>
          <w:tcPr>
            <w:tcW w:w="0" w:type="auto"/>
            <w:shd w:val="clear" w:color="auto" w:fill="FFFFFF"/>
            <w:tcMar>
              <w:top w:w="30" w:type="dxa"/>
              <w:left w:w="0" w:type="dxa"/>
              <w:bottom w:w="30" w:type="dxa"/>
              <w:right w:w="20" w:type="dxa"/>
            </w:tcMar>
            <w:vAlign w:val="bottom"/>
            <w:hideMark/>
          </w:tcPr>
          <w:p w14:paraId="3534E346" w14:textId="77777777" w:rsidR="00000000" w:rsidRDefault="00405D16">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48FFD4B6"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990339E"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6"/>
            <w:shd w:val="clear" w:color="auto" w:fill="FFFFFF"/>
            <w:tcMar>
              <w:top w:w="30" w:type="dxa"/>
              <w:left w:w="0" w:type="dxa"/>
              <w:bottom w:w="30" w:type="dxa"/>
              <w:right w:w="0" w:type="dxa"/>
            </w:tcMar>
            <w:vAlign w:val="bottom"/>
            <w:hideMark/>
          </w:tcPr>
          <w:p w14:paraId="4C1904A5" w14:textId="77777777" w:rsidR="00000000" w:rsidRDefault="00405D16">
            <w:pPr>
              <w:spacing w:after="100"/>
              <w:jc w:val="right"/>
              <w:rPr>
                <w:rFonts w:eastAsia="Times New Roman"/>
              </w:rPr>
            </w:pPr>
            <w:r>
              <w:rPr>
                <w:rFonts w:eastAsia="Times New Roman"/>
                <w:b/>
                <w:bCs/>
                <w:color w:val="000000"/>
                <w:sz w:val="18"/>
                <w:szCs w:val="18"/>
              </w:rPr>
              <w:t>15</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bottom"/>
            <w:hideMark/>
          </w:tcPr>
          <w:p w14:paraId="76D41C62" w14:textId="77777777" w:rsidR="00000000" w:rsidRDefault="00405D16">
            <w:pPr>
              <w:spacing w:after="100"/>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14:paraId="4251D1C3"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57E910E9"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7"/>
            <w:shd w:val="clear" w:color="auto" w:fill="FFFFFF"/>
            <w:tcMar>
              <w:top w:w="30" w:type="dxa"/>
              <w:left w:w="0" w:type="dxa"/>
              <w:bottom w:w="30" w:type="dxa"/>
              <w:right w:w="0" w:type="dxa"/>
            </w:tcMar>
            <w:vAlign w:val="bottom"/>
            <w:hideMark/>
          </w:tcPr>
          <w:p w14:paraId="233AAA24" w14:textId="77777777" w:rsidR="00000000" w:rsidRDefault="00405D16">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bottom"/>
            <w:hideMark/>
          </w:tcPr>
          <w:p w14:paraId="1C9DE559" w14:textId="77777777" w:rsidR="00000000" w:rsidRDefault="00405D16">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14:paraId="707438A2" w14:textId="77777777" w:rsidR="00000000" w:rsidRDefault="00405D16">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14:paraId="35AD8C9F"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0" w:type="dxa"/>
            </w:tcMar>
            <w:vAlign w:val="bottom"/>
            <w:hideMark/>
          </w:tcPr>
          <w:p w14:paraId="5DF88DA5"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35EE3A3" w14:textId="77777777" w:rsidR="00000000" w:rsidRDefault="00405D16">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0A4F9EE3"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B8F268F"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6"/>
            <w:shd w:val="clear" w:color="auto" w:fill="FFFFFF"/>
            <w:tcMar>
              <w:top w:w="30" w:type="dxa"/>
              <w:left w:w="0" w:type="dxa"/>
              <w:bottom w:w="30" w:type="dxa"/>
              <w:right w:w="0" w:type="dxa"/>
            </w:tcMar>
            <w:vAlign w:val="bottom"/>
            <w:hideMark/>
          </w:tcPr>
          <w:p w14:paraId="2DC7095A"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bottom"/>
            <w:hideMark/>
          </w:tcPr>
          <w:p w14:paraId="47BE8D86" w14:textId="77777777" w:rsidR="00000000" w:rsidRDefault="00405D16">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14:paraId="7448209F" w14:textId="77777777" w:rsidR="00000000" w:rsidRDefault="00405D16">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14:paraId="0E1876E4"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0" w:type="dxa"/>
            </w:tcMar>
            <w:vAlign w:val="bottom"/>
            <w:hideMark/>
          </w:tcPr>
          <w:p w14:paraId="5B95B782"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9ADD64A"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3D02831D"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46CCC26" w14:textId="77777777" w:rsidR="00000000" w:rsidRDefault="00405D16">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0" w:type="dxa"/>
            </w:tcMar>
            <w:vAlign w:val="bottom"/>
            <w:hideMark/>
          </w:tcPr>
          <w:p w14:paraId="7CE094C2" w14:textId="77777777" w:rsidR="00000000" w:rsidRDefault="00405D16">
            <w:pPr>
              <w:spacing w:after="100"/>
              <w:jc w:val="right"/>
              <w:rPr>
                <w:rFonts w:eastAsia="Times New Roman"/>
              </w:rPr>
            </w:pPr>
            <w:r>
              <w:rPr>
                <w:rFonts w:eastAsia="Times New Roman"/>
                <w:b/>
                <w:bCs/>
                <w:color w:val="000000"/>
                <w:sz w:val="18"/>
                <w:szCs w:val="18"/>
              </w:rPr>
              <w:t>(74)</w:t>
            </w:r>
          </w:p>
        </w:tc>
        <w:tc>
          <w:tcPr>
            <w:tcW w:w="0" w:type="auto"/>
            <w:shd w:val="clear" w:color="auto" w:fill="FFFFFF"/>
            <w:tcMar>
              <w:top w:w="30" w:type="dxa"/>
              <w:left w:w="0" w:type="dxa"/>
              <w:bottom w:w="30" w:type="dxa"/>
              <w:right w:w="20" w:type="dxa"/>
            </w:tcMar>
            <w:vAlign w:val="bottom"/>
            <w:hideMark/>
          </w:tcPr>
          <w:p w14:paraId="4EB7D73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C7C220"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36F3677"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0C89625A" w14:textId="77777777" w:rsidR="00000000" w:rsidRDefault="00405D16">
            <w:pPr>
              <w:spacing w:after="100"/>
              <w:jc w:val="right"/>
              <w:rPr>
                <w:rFonts w:eastAsia="Times New Roman"/>
              </w:rPr>
            </w:pPr>
            <w:r>
              <w:rPr>
                <w:rFonts w:eastAsia="Times New Roman"/>
                <w:b/>
                <w:bCs/>
                <w:color w:val="000000"/>
                <w:sz w:val="18"/>
                <w:szCs w:val="18"/>
              </w:rPr>
              <w:t>88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D8ED89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16B2D4"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DD7306D"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5369B564" w14:textId="77777777" w:rsidR="00000000" w:rsidRDefault="00405D16">
            <w:pPr>
              <w:spacing w:after="100"/>
              <w:jc w:val="right"/>
              <w:rPr>
                <w:rFonts w:eastAsia="Times New Roman"/>
              </w:rPr>
            </w:pPr>
            <w:r>
              <w:rPr>
                <w:rFonts w:eastAsia="Times New Roman"/>
                <w:b/>
                <w:bCs/>
                <w:color w:val="000000"/>
                <w:sz w:val="18"/>
                <w:szCs w:val="18"/>
              </w:rPr>
              <w:t>(107)</w:t>
            </w:r>
          </w:p>
        </w:tc>
        <w:tc>
          <w:tcPr>
            <w:tcW w:w="0" w:type="auto"/>
            <w:shd w:val="clear" w:color="auto" w:fill="FFFFFF"/>
            <w:tcMar>
              <w:top w:w="30" w:type="dxa"/>
              <w:left w:w="0" w:type="dxa"/>
              <w:bottom w:w="30" w:type="dxa"/>
              <w:right w:w="20" w:type="dxa"/>
            </w:tcMar>
            <w:vAlign w:val="bottom"/>
            <w:hideMark/>
          </w:tcPr>
          <w:p w14:paraId="1960977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9F9DC7"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B74A432"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74CC0840" w14:textId="77777777" w:rsidR="00000000" w:rsidRDefault="00405D16">
            <w:pPr>
              <w:spacing w:after="100"/>
              <w:jc w:val="right"/>
              <w:rPr>
                <w:rFonts w:eastAsia="Times New Roman"/>
              </w:rPr>
            </w:pPr>
            <w:r>
              <w:rPr>
                <w:rFonts w:eastAsia="Times New Roman"/>
                <w:b/>
                <w:bCs/>
                <w:color w:val="000000"/>
                <w:sz w:val="18"/>
                <w:szCs w:val="18"/>
              </w:rPr>
              <w:t>253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2656347" w14:textId="77777777" w:rsidR="00000000" w:rsidRDefault="00405D16">
            <w:pPr>
              <w:spacing w:after="100"/>
              <w:jc w:val="right"/>
              <w:rPr>
                <w:rFonts w:eastAsia="Times New Roman"/>
              </w:rPr>
            </w:pPr>
            <w:r>
              <w:rPr>
                <w:rFonts w:eastAsia="Times New Roman"/>
                <w:b/>
                <w:bCs/>
                <w:color w:val="000000"/>
                <w:sz w:val="18"/>
                <w:szCs w:val="18"/>
              </w:rPr>
              <w:t>$11</w:t>
            </w:r>
            <w:r>
              <w:rPr>
                <w:rFonts w:eastAsia="Times New Roman"/>
                <w:color w:val="000000"/>
                <w:sz w:val="18"/>
                <w:szCs w:val="18"/>
              </w:rPr>
              <w:t> </w:t>
            </w:r>
          </w:p>
        </w:tc>
      </w:tr>
      <w:tr w:rsidR="00000000" w14:paraId="1A113950" w14:textId="77777777">
        <w:tc>
          <w:tcPr>
            <w:tcW w:w="0" w:type="auto"/>
            <w:gridSpan w:val="9"/>
            <w:shd w:val="clear" w:color="auto" w:fill="CCEEFF"/>
            <w:tcMar>
              <w:top w:w="30" w:type="dxa"/>
              <w:left w:w="245" w:type="dxa"/>
              <w:bottom w:w="30" w:type="dxa"/>
              <w:right w:w="20" w:type="dxa"/>
            </w:tcMar>
            <w:vAlign w:val="center"/>
            <w:hideMark/>
          </w:tcPr>
          <w:p w14:paraId="5AC19BEF" w14:textId="77777777" w:rsidR="00000000" w:rsidRDefault="00405D16">
            <w:pPr>
              <w:spacing w:after="100"/>
              <w:rPr>
                <w:rFonts w:eastAsia="Times New Roman"/>
              </w:rPr>
            </w:pPr>
            <w:r>
              <w:rPr>
                <w:rFonts w:eastAsia="Times New Roman"/>
                <w:color w:val="000000"/>
                <w:sz w:val="18"/>
                <w:szCs w:val="18"/>
              </w:rPr>
              <w:t>CMBS</w:t>
            </w:r>
          </w:p>
        </w:tc>
        <w:tc>
          <w:tcPr>
            <w:tcW w:w="0" w:type="auto"/>
            <w:gridSpan w:val="4"/>
            <w:shd w:val="clear" w:color="auto" w:fill="CCEEFF"/>
            <w:tcMar>
              <w:top w:w="0" w:type="dxa"/>
              <w:left w:w="20" w:type="dxa"/>
              <w:bottom w:w="0" w:type="dxa"/>
              <w:right w:w="20" w:type="dxa"/>
            </w:tcMar>
            <w:vAlign w:val="center"/>
            <w:hideMark/>
          </w:tcPr>
          <w:p w14:paraId="5087F684" w14:textId="77777777" w:rsidR="00000000" w:rsidRDefault="00405D16">
            <w:pPr>
              <w:spacing w:after="100"/>
              <w:rPr>
                <w:rFonts w:eastAsia="Times New Roman"/>
              </w:rPr>
            </w:pPr>
          </w:p>
        </w:tc>
        <w:tc>
          <w:tcPr>
            <w:tcW w:w="0" w:type="auto"/>
            <w:gridSpan w:val="8"/>
            <w:shd w:val="clear" w:color="auto" w:fill="CCEEFF"/>
            <w:tcMar>
              <w:top w:w="30" w:type="dxa"/>
              <w:left w:w="20" w:type="dxa"/>
              <w:bottom w:w="30" w:type="dxa"/>
              <w:right w:w="0" w:type="dxa"/>
            </w:tcMar>
            <w:vAlign w:val="bottom"/>
            <w:hideMark/>
          </w:tcPr>
          <w:p w14:paraId="0B0905DD" w14:textId="77777777" w:rsidR="00000000" w:rsidRDefault="00405D16">
            <w:pPr>
              <w:spacing w:after="100"/>
              <w:jc w:val="right"/>
              <w:rPr>
                <w:rFonts w:eastAsia="Times New Roman"/>
              </w:rPr>
            </w:pPr>
            <w:r>
              <w:rPr>
                <w:rFonts w:eastAsia="Times New Roman"/>
                <w:color w:val="000000"/>
                <w:sz w:val="18"/>
                <w:szCs w:val="18"/>
              </w:rPr>
              <w:t>111 </w:t>
            </w:r>
          </w:p>
        </w:tc>
        <w:tc>
          <w:tcPr>
            <w:tcW w:w="0" w:type="auto"/>
            <w:shd w:val="clear" w:color="auto" w:fill="CCEEFF"/>
            <w:tcMar>
              <w:top w:w="30" w:type="dxa"/>
              <w:left w:w="0" w:type="dxa"/>
              <w:bottom w:w="30" w:type="dxa"/>
              <w:right w:w="20" w:type="dxa"/>
            </w:tcMar>
            <w:vAlign w:val="bottom"/>
            <w:hideMark/>
          </w:tcPr>
          <w:p w14:paraId="7432B5F1" w14:textId="77777777" w:rsidR="00000000" w:rsidRDefault="00405D16">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587AC367" w14:textId="77777777" w:rsidR="00000000" w:rsidRDefault="00405D16">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14:paraId="78A73323"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bottom"/>
            <w:hideMark/>
          </w:tcPr>
          <w:p w14:paraId="4161B50F" w14:textId="77777777" w:rsidR="00000000" w:rsidRDefault="00405D16">
            <w:pPr>
              <w:spacing w:after="100"/>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14:paraId="5C6BD74A" w14:textId="77777777" w:rsidR="00000000" w:rsidRDefault="00405D16">
            <w:pPr>
              <w:spacing w:after="100"/>
              <w:jc w:val="right"/>
              <w:rPr>
                <w:rFonts w:eastAsia="Times New Roman"/>
                <w:sz w:val="20"/>
                <w:szCs w:val="20"/>
              </w:rPr>
            </w:pPr>
          </w:p>
        </w:tc>
        <w:tc>
          <w:tcPr>
            <w:tcW w:w="0" w:type="auto"/>
            <w:gridSpan w:val="10"/>
            <w:shd w:val="clear" w:color="auto" w:fill="CCEEFF"/>
            <w:tcMar>
              <w:top w:w="30" w:type="dxa"/>
              <w:left w:w="20" w:type="dxa"/>
              <w:bottom w:w="30" w:type="dxa"/>
              <w:right w:w="0" w:type="dxa"/>
            </w:tcMar>
            <w:vAlign w:val="bottom"/>
            <w:hideMark/>
          </w:tcPr>
          <w:p w14:paraId="302F1FBB" w14:textId="77777777" w:rsidR="00000000" w:rsidRDefault="00405D16">
            <w:pPr>
              <w:spacing w:after="100"/>
              <w:jc w:val="right"/>
              <w:rPr>
                <w:rFonts w:eastAsia="Times New Roman"/>
              </w:rPr>
            </w:pPr>
            <w:r>
              <w:rPr>
                <w:rFonts w:eastAsia="Times New Roman"/>
                <w:b/>
                <w:bCs/>
                <w:color w:val="000000"/>
                <w:sz w:val="18"/>
                <w:szCs w:val="18"/>
              </w:rPr>
              <w:t>(1)</w:t>
            </w:r>
          </w:p>
        </w:tc>
        <w:tc>
          <w:tcPr>
            <w:tcW w:w="0" w:type="auto"/>
            <w:gridSpan w:val="2"/>
            <w:shd w:val="clear" w:color="auto" w:fill="CCEEFF"/>
            <w:tcMar>
              <w:top w:w="30" w:type="dxa"/>
              <w:left w:w="0" w:type="dxa"/>
              <w:bottom w:w="30" w:type="dxa"/>
              <w:right w:w="20" w:type="dxa"/>
            </w:tcMar>
            <w:vAlign w:val="bottom"/>
            <w:hideMark/>
          </w:tcPr>
          <w:p w14:paraId="1AE1075A" w14:textId="77777777" w:rsidR="00000000" w:rsidRDefault="00405D16">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14:paraId="45E3C6EF" w14:textId="77777777" w:rsidR="00000000" w:rsidRDefault="00405D16">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4E53A45A"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9D4EF40" w14:textId="77777777" w:rsidR="00000000" w:rsidRDefault="00405D16">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78EB734A" w14:textId="77777777" w:rsidR="00000000" w:rsidRDefault="00405D16">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14:paraId="7BB2E6A0"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bottom"/>
            <w:hideMark/>
          </w:tcPr>
          <w:p w14:paraId="19467500" w14:textId="77777777" w:rsidR="00000000" w:rsidRDefault="00405D16">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14:paraId="3F0331A1" w14:textId="77777777" w:rsidR="00000000" w:rsidRDefault="00405D16">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7893C2E7"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7A91AD1"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0D76AA5B"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1C722427" w14:textId="77777777" w:rsidR="00000000" w:rsidRDefault="00405D16">
            <w:pPr>
              <w:spacing w:after="100"/>
              <w:jc w:val="right"/>
              <w:rPr>
                <w:rFonts w:eastAsia="Times New Roman"/>
              </w:rPr>
            </w:pPr>
            <w:r>
              <w:rPr>
                <w:rFonts w:eastAsia="Times New Roman"/>
                <w:b/>
                <w:bCs/>
                <w:color w:val="000000"/>
                <w:sz w:val="18"/>
                <w:szCs w:val="18"/>
              </w:rPr>
              <w:t>(7)</w:t>
            </w:r>
          </w:p>
        </w:tc>
        <w:tc>
          <w:tcPr>
            <w:tcW w:w="0" w:type="auto"/>
            <w:shd w:val="clear" w:color="auto" w:fill="CCEEFF"/>
            <w:tcMar>
              <w:top w:w="30" w:type="dxa"/>
              <w:left w:w="0" w:type="dxa"/>
              <w:bottom w:w="30" w:type="dxa"/>
              <w:right w:w="20" w:type="dxa"/>
            </w:tcMar>
            <w:vAlign w:val="bottom"/>
            <w:hideMark/>
          </w:tcPr>
          <w:p w14:paraId="61E19D6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60127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B24DB5"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25BDBB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09CA5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A415A5" w14:textId="77777777" w:rsidR="00000000" w:rsidRDefault="00405D16">
            <w:pPr>
              <w:spacing w:after="100"/>
              <w:jc w:val="right"/>
              <w:rPr>
                <w:rFonts w:eastAsia="Times New Roman"/>
              </w:rPr>
            </w:pPr>
            <w:r>
              <w:rPr>
                <w:rFonts w:eastAsia="Times New Roman"/>
                <w:b/>
                <w:bCs/>
                <w:color w:val="000000"/>
                <w:sz w:val="18"/>
                <w:szCs w:val="18"/>
              </w:rPr>
              <w:t>(94)</w:t>
            </w:r>
          </w:p>
        </w:tc>
        <w:tc>
          <w:tcPr>
            <w:tcW w:w="0" w:type="auto"/>
            <w:shd w:val="clear" w:color="auto" w:fill="CCEEFF"/>
            <w:tcMar>
              <w:top w:w="30" w:type="dxa"/>
              <w:left w:w="0" w:type="dxa"/>
              <w:bottom w:w="30" w:type="dxa"/>
              <w:right w:w="20" w:type="dxa"/>
            </w:tcMar>
            <w:vAlign w:val="bottom"/>
            <w:hideMark/>
          </w:tcPr>
          <w:p w14:paraId="0CDF0A9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A6572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69C575" w14:textId="77777777" w:rsidR="00000000" w:rsidRDefault="00405D16">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7C9215A"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r>
      <w:tr w:rsidR="00000000" w14:paraId="056491EF" w14:textId="77777777">
        <w:tc>
          <w:tcPr>
            <w:tcW w:w="0" w:type="auto"/>
            <w:gridSpan w:val="9"/>
            <w:vAlign w:val="center"/>
            <w:hideMark/>
          </w:tcPr>
          <w:p w14:paraId="21D06DB5" w14:textId="77777777" w:rsidR="00000000" w:rsidRDefault="00405D16">
            <w:pPr>
              <w:spacing w:after="100"/>
              <w:jc w:val="right"/>
              <w:rPr>
                <w:rFonts w:eastAsia="Times New Roman"/>
                <w:sz w:val="20"/>
                <w:szCs w:val="20"/>
              </w:rPr>
            </w:pPr>
          </w:p>
        </w:tc>
        <w:tc>
          <w:tcPr>
            <w:tcW w:w="0" w:type="auto"/>
            <w:gridSpan w:val="4"/>
            <w:vAlign w:val="center"/>
            <w:hideMark/>
          </w:tcPr>
          <w:p w14:paraId="540D82B5" w14:textId="77777777" w:rsidR="00000000" w:rsidRDefault="00405D16">
            <w:pPr>
              <w:spacing w:after="100"/>
              <w:rPr>
                <w:rFonts w:eastAsia="Times New Roman"/>
                <w:sz w:val="20"/>
                <w:szCs w:val="20"/>
              </w:rPr>
            </w:pPr>
          </w:p>
        </w:tc>
        <w:tc>
          <w:tcPr>
            <w:tcW w:w="0" w:type="auto"/>
            <w:gridSpan w:val="9"/>
            <w:vAlign w:val="center"/>
            <w:hideMark/>
          </w:tcPr>
          <w:p w14:paraId="255C3E4F" w14:textId="77777777" w:rsidR="00000000" w:rsidRDefault="00405D16">
            <w:pPr>
              <w:spacing w:after="100"/>
              <w:rPr>
                <w:rFonts w:eastAsia="Times New Roman"/>
                <w:sz w:val="20"/>
                <w:szCs w:val="20"/>
              </w:rPr>
            </w:pPr>
          </w:p>
        </w:tc>
        <w:tc>
          <w:tcPr>
            <w:tcW w:w="0" w:type="auto"/>
            <w:gridSpan w:val="9"/>
            <w:vAlign w:val="center"/>
            <w:hideMark/>
          </w:tcPr>
          <w:p w14:paraId="5ECF2D65" w14:textId="77777777" w:rsidR="00000000" w:rsidRDefault="00405D16">
            <w:pPr>
              <w:spacing w:after="100"/>
              <w:rPr>
                <w:rFonts w:eastAsia="Times New Roman"/>
                <w:sz w:val="20"/>
                <w:szCs w:val="20"/>
              </w:rPr>
            </w:pPr>
          </w:p>
        </w:tc>
        <w:tc>
          <w:tcPr>
            <w:tcW w:w="0" w:type="auto"/>
            <w:gridSpan w:val="9"/>
            <w:vAlign w:val="center"/>
            <w:hideMark/>
          </w:tcPr>
          <w:p w14:paraId="4D0D6D95" w14:textId="77777777" w:rsidR="00000000" w:rsidRDefault="00405D16">
            <w:pPr>
              <w:spacing w:after="100"/>
              <w:rPr>
                <w:rFonts w:eastAsia="Times New Roman"/>
                <w:sz w:val="20"/>
                <w:szCs w:val="20"/>
              </w:rPr>
            </w:pPr>
          </w:p>
        </w:tc>
        <w:tc>
          <w:tcPr>
            <w:tcW w:w="0" w:type="auto"/>
            <w:gridSpan w:val="6"/>
            <w:vAlign w:val="center"/>
            <w:hideMark/>
          </w:tcPr>
          <w:p w14:paraId="1731CA91" w14:textId="77777777" w:rsidR="00000000" w:rsidRDefault="00405D16">
            <w:pPr>
              <w:spacing w:after="100"/>
              <w:rPr>
                <w:rFonts w:eastAsia="Times New Roman"/>
                <w:sz w:val="20"/>
                <w:szCs w:val="20"/>
              </w:rPr>
            </w:pPr>
          </w:p>
        </w:tc>
        <w:tc>
          <w:tcPr>
            <w:tcW w:w="0" w:type="auto"/>
            <w:gridSpan w:val="12"/>
            <w:vAlign w:val="center"/>
            <w:hideMark/>
          </w:tcPr>
          <w:p w14:paraId="6C34E38E" w14:textId="77777777" w:rsidR="00000000" w:rsidRDefault="00405D16">
            <w:pPr>
              <w:spacing w:after="100"/>
              <w:rPr>
                <w:rFonts w:eastAsia="Times New Roman"/>
                <w:sz w:val="20"/>
                <w:szCs w:val="20"/>
              </w:rPr>
            </w:pPr>
          </w:p>
        </w:tc>
        <w:tc>
          <w:tcPr>
            <w:tcW w:w="0" w:type="auto"/>
            <w:gridSpan w:val="5"/>
            <w:vAlign w:val="center"/>
            <w:hideMark/>
          </w:tcPr>
          <w:p w14:paraId="440AB858" w14:textId="77777777" w:rsidR="00000000" w:rsidRDefault="00405D16">
            <w:pPr>
              <w:spacing w:after="100"/>
              <w:rPr>
                <w:rFonts w:eastAsia="Times New Roman"/>
                <w:sz w:val="20"/>
                <w:szCs w:val="20"/>
              </w:rPr>
            </w:pPr>
          </w:p>
        </w:tc>
        <w:tc>
          <w:tcPr>
            <w:tcW w:w="0" w:type="auto"/>
            <w:gridSpan w:val="7"/>
            <w:vAlign w:val="center"/>
            <w:hideMark/>
          </w:tcPr>
          <w:p w14:paraId="6A4EE840" w14:textId="77777777" w:rsidR="00000000" w:rsidRDefault="00405D16">
            <w:pPr>
              <w:spacing w:after="100"/>
              <w:rPr>
                <w:rFonts w:eastAsia="Times New Roman"/>
                <w:sz w:val="20"/>
                <w:szCs w:val="20"/>
              </w:rPr>
            </w:pPr>
          </w:p>
        </w:tc>
        <w:tc>
          <w:tcPr>
            <w:tcW w:w="0" w:type="auto"/>
            <w:gridSpan w:val="9"/>
            <w:vAlign w:val="center"/>
            <w:hideMark/>
          </w:tcPr>
          <w:p w14:paraId="7030C8BF" w14:textId="77777777" w:rsidR="00000000" w:rsidRDefault="00405D16">
            <w:pPr>
              <w:spacing w:after="100"/>
              <w:rPr>
                <w:rFonts w:eastAsia="Times New Roman"/>
                <w:sz w:val="20"/>
                <w:szCs w:val="20"/>
              </w:rPr>
            </w:pPr>
          </w:p>
        </w:tc>
        <w:tc>
          <w:tcPr>
            <w:tcW w:w="0" w:type="auto"/>
            <w:gridSpan w:val="9"/>
            <w:vAlign w:val="center"/>
            <w:hideMark/>
          </w:tcPr>
          <w:p w14:paraId="1A923E00" w14:textId="77777777" w:rsidR="00000000" w:rsidRDefault="00405D16">
            <w:pPr>
              <w:spacing w:after="100"/>
              <w:rPr>
                <w:rFonts w:eastAsia="Times New Roman"/>
                <w:sz w:val="20"/>
                <w:szCs w:val="20"/>
              </w:rPr>
            </w:pPr>
          </w:p>
        </w:tc>
        <w:tc>
          <w:tcPr>
            <w:tcW w:w="0" w:type="auto"/>
            <w:gridSpan w:val="5"/>
            <w:vAlign w:val="center"/>
            <w:hideMark/>
          </w:tcPr>
          <w:p w14:paraId="77614E27" w14:textId="77777777" w:rsidR="00000000" w:rsidRDefault="00405D16">
            <w:pPr>
              <w:spacing w:after="100"/>
              <w:rPr>
                <w:rFonts w:eastAsia="Times New Roman"/>
                <w:sz w:val="20"/>
                <w:szCs w:val="20"/>
              </w:rPr>
            </w:pPr>
          </w:p>
        </w:tc>
        <w:tc>
          <w:tcPr>
            <w:tcW w:w="0" w:type="auto"/>
            <w:gridSpan w:val="7"/>
            <w:vAlign w:val="center"/>
            <w:hideMark/>
          </w:tcPr>
          <w:p w14:paraId="6B002B4C" w14:textId="77777777" w:rsidR="00000000" w:rsidRDefault="00405D16">
            <w:pPr>
              <w:spacing w:after="100"/>
              <w:rPr>
                <w:rFonts w:eastAsia="Times New Roman"/>
                <w:sz w:val="20"/>
                <w:szCs w:val="20"/>
              </w:rPr>
            </w:pPr>
          </w:p>
        </w:tc>
        <w:tc>
          <w:tcPr>
            <w:tcW w:w="0" w:type="auto"/>
            <w:gridSpan w:val="4"/>
            <w:vAlign w:val="center"/>
            <w:hideMark/>
          </w:tcPr>
          <w:p w14:paraId="0089E9A4" w14:textId="77777777" w:rsidR="00000000" w:rsidRDefault="00405D16">
            <w:pPr>
              <w:spacing w:after="100"/>
              <w:rPr>
                <w:rFonts w:eastAsia="Times New Roman"/>
                <w:sz w:val="20"/>
                <w:szCs w:val="20"/>
              </w:rPr>
            </w:pPr>
          </w:p>
        </w:tc>
        <w:tc>
          <w:tcPr>
            <w:tcW w:w="0" w:type="auto"/>
            <w:gridSpan w:val="4"/>
            <w:vAlign w:val="center"/>
            <w:hideMark/>
          </w:tcPr>
          <w:p w14:paraId="45D4E2C3" w14:textId="77777777" w:rsidR="00000000" w:rsidRDefault="00405D16">
            <w:pPr>
              <w:spacing w:after="100"/>
              <w:rPr>
                <w:rFonts w:eastAsia="Times New Roman"/>
                <w:sz w:val="20"/>
                <w:szCs w:val="20"/>
              </w:rPr>
            </w:pPr>
          </w:p>
        </w:tc>
        <w:tc>
          <w:tcPr>
            <w:tcW w:w="0" w:type="auto"/>
            <w:gridSpan w:val="3"/>
            <w:vAlign w:val="center"/>
            <w:hideMark/>
          </w:tcPr>
          <w:p w14:paraId="130C36CC" w14:textId="77777777" w:rsidR="00000000" w:rsidRDefault="00405D16">
            <w:pPr>
              <w:spacing w:after="100"/>
              <w:rPr>
                <w:rFonts w:eastAsia="Times New Roman"/>
                <w:sz w:val="20"/>
                <w:szCs w:val="20"/>
              </w:rPr>
            </w:pPr>
          </w:p>
        </w:tc>
        <w:tc>
          <w:tcPr>
            <w:tcW w:w="0" w:type="auto"/>
            <w:gridSpan w:val="3"/>
            <w:vAlign w:val="center"/>
            <w:hideMark/>
          </w:tcPr>
          <w:p w14:paraId="569EFAE3" w14:textId="77777777" w:rsidR="00000000" w:rsidRDefault="00405D16">
            <w:pPr>
              <w:spacing w:after="100"/>
              <w:rPr>
                <w:rFonts w:eastAsia="Times New Roman"/>
                <w:sz w:val="20"/>
                <w:szCs w:val="20"/>
              </w:rPr>
            </w:pPr>
          </w:p>
        </w:tc>
        <w:tc>
          <w:tcPr>
            <w:tcW w:w="0" w:type="auto"/>
            <w:gridSpan w:val="3"/>
            <w:vAlign w:val="center"/>
            <w:hideMark/>
          </w:tcPr>
          <w:p w14:paraId="2C0BBAF2" w14:textId="77777777" w:rsidR="00000000" w:rsidRDefault="00405D16">
            <w:pPr>
              <w:spacing w:after="100"/>
              <w:rPr>
                <w:rFonts w:eastAsia="Times New Roman"/>
                <w:sz w:val="20"/>
                <w:szCs w:val="20"/>
              </w:rPr>
            </w:pPr>
          </w:p>
        </w:tc>
        <w:tc>
          <w:tcPr>
            <w:tcW w:w="0" w:type="auto"/>
            <w:gridSpan w:val="3"/>
            <w:vAlign w:val="center"/>
            <w:hideMark/>
          </w:tcPr>
          <w:p w14:paraId="590F9FA4" w14:textId="77777777" w:rsidR="00000000" w:rsidRDefault="00405D16">
            <w:pPr>
              <w:spacing w:after="100"/>
              <w:rPr>
                <w:rFonts w:eastAsia="Times New Roman"/>
                <w:sz w:val="20"/>
                <w:szCs w:val="20"/>
              </w:rPr>
            </w:pPr>
          </w:p>
        </w:tc>
        <w:tc>
          <w:tcPr>
            <w:tcW w:w="0" w:type="auto"/>
            <w:gridSpan w:val="3"/>
            <w:vAlign w:val="center"/>
            <w:hideMark/>
          </w:tcPr>
          <w:p w14:paraId="476C4C97" w14:textId="77777777" w:rsidR="00000000" w:rsidRDefault="00405D16">
            <w:pPr>
              <w:spacing w:after="100"/>
              <w:rPr>
                <w:rFonts w:eastAsia="Times New Roman"/>
                <w:sz w:val="20"/>
                <w:szCs w:val="20"/>
              </w:rPr>
            </w:pPr>
          </w:p>
        </w:tc>
        <w:tc>
          <w:tcPr>
            <w:tcW w:w="0" w:type="auto"/>
            <w:gridSpan w:val="2"/>
            <w:vAlign w:val="center"/>
            <w:hideMark/>
          </w:tcPr>
          <w:p w14:paraId="20C319EB" w14:textId="77777777" w:rsidR="00000000" w:rsidRDefault="00405D16">
            <w:pPr>
              <w:spacing w:after="100"/>
              <w:rPr>
                <w:rFonts w:eastAsia="Times New Roman"/>
                <w:sz w:val="20"/>
                <w:szCs w:val="20"/>
              </w:rPr>
            </w:pPr>
          </w:p>
        </w:tc>
        <w:tc>
          <w:tcPr>
            <w:tcW w:w="0" w:type="auto"/>
            <w:vAlign w:val="center"/>
            <w:hideMark/>
          </w:tcPr>
          <w:p w14:paraId="77C616C6" w14:textId="77777777" w:rsidR="00000000" w:rsidRDefault="00405D16">
            <w:pPr>
              <w:spacing w:after="100"/>
              <w:rPr>
                <w:rFonts w:eastAsia="Times New Roman"/>
                <w:sz w:val="20"/>
                <w:szCs w:val="20"/>
              </w:rPr>
            </w:pPr>
          </w:p>
        </w:tc>
      </w:tr>
      <w:tr w:rsidR="00000000" w14:paraId="5BAE30B2" w14:textId="77777777">
        <w:tc>
          <w:tcPr>
            <w:tcW w:w="0" w:type="auto"/>
            <w:gridSpan w:val="9"/>
            <w:shd w:val="clear" w:color="auto" w:fill="FFFFFF"/>
            <w:tcMar>
              <w:top w:w="30" w:type="dxa"/>
              <w:left w:w="20" w:type="dxa"/>
              <w:bottom w:w="30" w:type="dxa"/>
              <w:right w:w="20" w:type="dxa"/>
            </w:tcMar>
            <w:vAlign w:val="center"/>
            <w:hideMark/>
          </w:tcPr>
          <w:p w14:paraId="7E3F35CB" w14:textId="77777777" w:rsidR="00000000" w:rsidRDefault="00405D16">
            <w:pPr>
              <w:spacing w:after="100"/>
              <w:rPr>
                <w:rFonts w:eastAsia="Times New Roman"/>
              </w:rPr>
            </w:pPr>
            <w:r>
              <w:rPr>
                <w:rFonts w:eastAsia="Times New Roman"/>
                <w:color w:val="000000"/>
                <w:sz w:val="18"/>
                <w:szCs w:val="18"/>
              </w:rPr>
              <w:t>Total securities available for sale</w:t>
            </w:r>
          </w:p>
        </w:tc>
        <w:tc>
          <w:tcPr>
            <w:tcW w:w="0" w:type="auto"/>
            <w:gridSpan w:val="4"/>
            <w:shd w:val="clear" w:color="auto" w:fill="FFFFFF"/>
            <w:tcMar>
              <w:top w:w="0" w:type="dxa"/>
              <w:left w:w="20" w:type="dxa"/>
              <w:bottom w:w="0" w:type="dxa"/>
              <w:right w:w="20" w:type="dxa"/>
            </w:tcMar>
            <w:vAlign w:val="center"/>
            <w:hideMark/>
          </w:tcPr>
          <w:p w14:paraId="59FFA0E2" w14:textId="77777777" w:rsidR="00000000" w:rsidRDefault="00405D16">
            <w:pPr>
              <w:spacing w:after="100"/>
              <w:rPr>
                <w:rFonts w:eastAsia="Times New Roman"/>
              </w:rPr>
            </w:pPr>
          </w:p>
        </w:tc>
        <w:tc>
          <w:tcPr>
            <w:tcW w:w="0" w:type="auto"/>
            <w:gridSpan w:val="8"/>
            <w:tcBorders>
              <w:top w:val="single" w:sz="8" w:space="0" w:color="000000"/>
            </w:tcBorders>
            <w:shd w:val="clear" w:color="auto" w:fill="FFFFFF"/>
            <w:tcMar>
              <w:top w:w="30" w:type="dxa"/>
              <w:left w:w="20" w:type="dxa"/>
              <w:bottom w:w="30" w:type="dxa"/>
              <w:right w:w="0" w:type="dxa"/>
            </w:tcMar>
            <w:vAlign w:val="bottom"/>
            <w:hideMark/>
          </w:tcPr>
          <w:p w14:paraId="3ECBECEC" w14:textId="77777777" w:rsidR="00000000" w:rsidRDefault="00405D16">
            <w:pPr>
              <w:spacing w:after="100"/>
              <w:jc w:val="right"/>
              <w:rPr>
                <w:rFonts w:eastAsia="Times New Roman"/>
              </w:rPr>
            </w:pPr>
            <w:r>
              <w:rPr>
                <w:rFonts w:eastAsia="Times New Roman"/>
                <w:color w:val="000000"/>
                <w:sz w:val="18"/>
                <w:szCs w:val="18"/>
              </w:rPr>
              <w:t>439 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4CE603" w14:textId="77777777" w:rsidR="00000000" w:rsidRDefault="00405D16">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1120D77C" w14:textId="77777777" w:rsidR="00000000" w:rsidRDefault="00405D16">
            <w:pPr>
              <w:spacing w:after="100"/>
              <w:jc w:val="right"/>
              <w:rPr>
                <w:rFonts w:eastAsia="Times New Roman"/>
                <w:sz w:val="20"/>
                <w:szCs w:val="20"/>
              </w:rPr>
            </w:pPr>
          </w:p>
        </w:tc>
        <w:tc>
          <w:tcPr>
            <w:tcW w:w="0" w:type="auto"/>
            <w:gridSpan w:val="7"/>
            <w:tcBorders>
              <w:top w:val="single" w:sz="8" w:space="0" w:color="000000"/>
            </w:tcBorders>
            <w:shd w:val="clear" w:color="auto" w:fill="FFFFFF"/>
            <w:tcMar>
              <w:top w:w="30" w:type="dxa"/>
              <w:left w:w="20" w:type="dxa"/>
              <w:bottom w:w="30" w:type="dxa"/>
              <w:right w:w="0" w:type="dxa"/>
            </w:tcMar>
            <w:vAlign w:val="bottom"/>
            <w:hideMark/>
          </w:tcPr>
          <w:p w14:paraId="33F77415" w14:textId="77777777" w:rsidR="00000000" w:rsidRDefault="00405D16">
            <w:pPr>
              <w:spacing w:after="100"/>
              <w:jc w:val="right"/>
              <w:rPr>
                <w:rFonts w:eastAsia="Times New Roman"/>
              </w:rPr>
            </w:pPr>
            <w:r>
              <w:rPr>
                <w:rFonts w:eastAsia="Times New Roman"/>
                <w:b/>
                <w:bCs/>
                <w:color w:val="000000"/>
                <w:sz w:val="18"/>
                <w:szCs w:val="18"/>
              </w:rPr>
              <w:t>15</w:t>
            </w:r>
            <w:r>
              <w:rPr>
                <w:rFonts w:eastAsia="Times New Roman"/>
                <w:color w:val="000000"/>
                <w:sz w:val="18"/>
                <w:szCs w:val="18"/>
              </w:rPr>
              <w:t> </w:t>
            </w:r>
          </w:p>
        </w:tc>
        <w:tc>
          <w:tcPr>
            <w:tcW w:w="0" w:type="auto"/>
            <w:gridSpan w:val="2"/>
            <w:tcBorders>
              <w:top w:val="single" w:sz="8" w:space="0" w:color="000000"/>
            </w:tcBorders>
            <w:shd w:val="clear" w:color="auto" w:fill="FFFFFF"/>
            <w:tcMar>
              <w:top w:w="30" w:type="dxa"/>
              <w:left w:w="0" w:type="dxa"/>
              <w:bottom w:w="30" w:type="dxa"/>
              <w:right w:w="20" w:type="dxa"/>
            </w:tcMar>
            <w:vAlign w:val="bottom"/>
            <w:hideMark/>
          </w:tcPr>
          <w:p w14:paraId="372D20C5" w14:textId="77777777" w:rsidR="00000000" w:rsidRDefault="00405D16">
            <w:pPr>
              <w:spacing w:after="100"/>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14:paraId="594F08EC" w14:textId="77777777" w:rsidR="00000000" w:rsidRDefault="00405D16">
            <w:pPr>
              <w:spacing w:after="100"/>
              <w:jc w:val="right"/>
              <w:rPr>
                <w:rFonts w:eastAsia="Times New Roman"/>
                <w:sz w:val="20"/>
                <w:szCs w:val="20"/>
              </w:rPr>
            </w:pPr>
          </w:p>
        </w:tc>
        <w:tc>
          <w:tcPr>
            <w:tcW w:w="0" w:type="auto"/>
            <w:gridSpan w:val="10"/>
            <w:tcBorders>
              <w:top w:val="single" w:sz="8" w:space="0" w:color="000000"/>
            </w:tcBorders>
            <w:shd w:val="clear" w:color="auto" w:fill="FFFFFF"/>
            <w:tcMar>
              <w:top w:w="30" w:type="dxa"/>
              <w:left w:w="20" w:type="dxa"/>
              <w:bottom w:w="30" w:type="dxa"/>
              <w:right w:w="0" w:type="dxa"/>
            </w:tcMar>
            <w:vAlign w:val="bottom"/>
            <w:hideMark/>
          </w:tcPr>
          <w:p w14:paraId="48161A07" w14:textId="77777777" w:rsidR="00000000" w:rsidRDefault="00405D16">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gridSpan w:val="2"/>
            <w:tcBorders>
              <w:top w:val="single" w:sz="8" w:space="0" w:color="000000"/>
            </w:tcBorders>
            <w:shd w:val="clear" w:color="auto" w:fill="FFFFFF"/>
            <w:tcMar>
              <w:top w:w="30" w:type="dxa"/>
              <w:left w:w="0" w:type="dxa"/>
              <w:bottom w:w="30" w:type="dxa"/>
              <w:right w:w="20" w:type="dxa"/>
            </w:tcMar>
            <w:vAlign w:val="bottom"/>
            <w:hideMark/>
          </w:tcPr>
          <w:p w14:paraId="12F165A6" w14:textId="77777777" w:rsidR="00000000" w:rsidRDefault="00405D16">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14:paraId="51D54262" w14:textId="77777777" w:rsidR="00000000" w:rsidRDefault="00405D16">
            <w:pPr>
              <w:spacing w:after="100"/>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14:paraId="7D608277"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A79F967" w14:textId="77777777" w:rsidR="00000000" w:rsidRDefault="00405D16">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3461CD18" w14:textId="77777777" w:rsidR="00000000" w:rsidRDefault="00405D16">
            <w:pPr>
              <w:spacing w:after="100"/>
              <w:jc w:val="right"/>
              <w:rPr>
                <w:rFonts w:eastAsia="Times New Roman"/>
                <w:sz w:val="20"/>
                <w:szCs w:val="20"/>
              </w:rPr>
            </w:pPr>
          </w:p>
        </w:tc>
        <w:tc>
          <w:tcPr>
            <w:tcW w:w="0" w:type="auto"/>
            <w:gridSpan w:val="7"/>
            <w:tcBorders>
              <w:top w:val="single" w:sz="8" w:space="0" w:color="000000"/>
            </w:tcBorders>
            <w:shd w:val="clear" w:color="auto" w:fill="FFFFFF"/>
            <w:tcMar>
              <w:top w:w="30" w:type="dxa"/>
              <w:left w:w="20" w:type="dxa"/>
              <w:bottom w:w="30" w:type="dxa"/>
              <w:right w:w="0" w:type="dxa"/>
            </w:tcMar>
            <w:vAlign w:val="bottom"/>
            <w:hideMark/>
          </w:tcPr>
          <w:p w14:paraId="2705E21E"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tcBorders>
              <w:top w:val="single" w:sz="8" w:space="0" w:color="000000"/>
            </w:tcBorders>
            <w:shd w:val="clear" w:color="auto" w:fill="FFFFFF"/>
            <w:tcMar>
              <w:top w:w="30" w:type="dxa"/>
              <w:left w:w="0" w:type="dxa"/>
              <w:bottom w:w="30" w:type="dxa"/>
              <w:right w:w="20" w:type="dxa"/>
            </w:tcMar>
            <w:vAlign w:val="bottom"/>
            <w:hideMark/>
          </w:tcPr>
          <w:p w14:paraId="27C06EEB" w14:textId="77777777" w:rsidR="00000000" w:rsidRDefault="00405D16">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14:paraId="1C6BF4EE" w14:textId="77777777" w:rsidR="00000000" w:rsidRDefault="00405D16">
            <w:pPr>
              <w:spacing w:after="100"/>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14:paraId="74A013D7"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C2626F3"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1EB11E42" w14:textId="77777777" w:rsidR="00000000" w:rsidRDefault="00405D16">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0" w:type="dxa"/>
            </w:tcMar>
            <w:vAlign w:val="bottom"/>
            <w:hideMark/>
          </w:tcPr>
          <w:p w14:paraId="0BE2859F" w14:textId="77777777" w:rsidR="00000000" w:rsidRDefault="00405D16">
            <w:pPr>
              <w:spacing w:after="100"/>
              <w:jc w:val="right"/>
              <w:rPr>
                <w:rFonts w:eastAsia="Times New Roman"/>
              </w:rPr>
            </w:pPr>
            <w:r>
              <w:rPr>
                <w:rFonts w:eastAsia="Times New Roman"/>
                <w:b/>
                <w:bCs/>
                <w:color w:val="000000"/>
                <w:sz w:val="18"/>
                <w:szCs w:val="18"/>
              </w:rPr>
              <w:t>(81)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C2CEEB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CEC709"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1B674F8" w14:textId="77777777" w:rsidR="00000000" w:rsidRDefault="00405D16">
            <w:pPr>
              <w:spacing w:after="100"/>
              <w:jc w:val="right"/>
              <w:rPr>
                <w:rFonts w:eastAsia="Times New Roman"/>
              </w:rPr>
            </w:pPr>
            <w:r>
              <w:rPr>
                <w:rFonts w:eastAsia="Times New Roman"/>
                <w:b/>
                <w:bCs/>
                <w:color w:val="000000"/>
                <w:sz w:val="18"/>
                <w:szCs w:val="18"/>
              </w:rPr>
              <w:t>88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FB219A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8DC63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FF95968" w14:textId="77777777" w:rsidR="00000000" w:rsidRDefault="00405D16">
            <w:pPr>
              <w:spacing w:after="100"/>
              <w:jc w:val="right"/>
              <w:rPr>
                <w:rFonts w:eastAsia="Times New Roman"/>
              </w:rPr>
            </w:pPr>
            <w:r>
              <w:rPr>
                <w:rFonts w:eastAsia="Times New Roman"/>
                <w:b/>
                <w:bCs/>
                <w:color w:val="000000"/>
                <w:sz w:val="18"/>
                <w:szCs w:val="18"/>
              </w:rPr>
              <w:t>(201)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BE7E48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376258"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9C48624" w14:textId="77777777" w:rsidR="00000000" w:rsidRDefault="00405D16">
            <w:pPr>
              <w:spacing w:after="100"/>
              <w:jc w:val="right"/>
              <w:rPr>
                <w:rFonts w:eastAsia="Times New Roman"/>
              </w:rPr>
            </w:pPr>
            <w:r>
              <w:rPr>
                <w:rFonts w:eastAsia="Times New Roman"/>
                <w:b/>
                <w:bCs/>
                <w:color w:val="000000"/>
                <w:sz w:val="18"/>
                <w:szCs w:val="18"/>
              </w:rPr>
              <w:t>262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35AC115" w14:textId="77777777" w:rsidR="00000000" w:rsidRDefault="00405D16">
            <w:pPr>
              <w:spacing w:after="100"/>
              <w:jc w:val="right"/>
              <w:rPr>
                <w:rFonts w:eastAsia="Times New Roman"/>
              </w:rPr>
            </w:pPr>
            <w:r>
              <w:rPr>
                <w:rFonts w:eastAsia="Times New Roman"/>
                <w:b/>
                <w:bCs/>
                <w:color w:val="000000"/>
                <w:sz w:val="18"/>
                <w:szCs w:val="18"/>
              </w:rPr>
              <w:t>11</w:t>
            </w:r>
            <w:r>
              <w:rPr>
                <w:rFonts w:eastAsia="Times New Roman"/>
                <w:color w:val="000000"/>
                <w:sz w:val="18"/>
                <w:szCs w:val="18"/>
              </w:rPr>
              <w:t> </w:t>
            </w:r>
          </w:p>
        </w:tc>
      </w:tr>
      <w:tr w:rsidR="00000000" w14:paraId="318F3BE4" w14:textId="77777777">
        <w:tc>
          <w:tcPr>
            <w:tcW w:w="0" w:type="auto"/>
            <w:gridSpan w:val="9"/>
            <w:shd w:val="clear" w:color="auto" w:fill="CCEEFF"/>
            <w:tcMar>
              <w:top w:w="30" w:type="dxa"/>
              <w:left w:w="20" w:type="dxa"/>
              <w:bottom w:w="30" w:type="dxa"/>
              <w:right w:w="20" w:type="dxa"/>
            </w:tcMar>
            <w:vAlign w:val="center"/>
            <w:hideMark/>
          </w:tcPr>
          <w:p w14:paraId="448F1659" w14:textId="77777777" w:rsidR="00000000" w:rsidRDefault="00405D16">
            <w:pPr>
              <w:spacing w:after="100"/>
              <w:rPr>
                <w:rFonts w:eastAsia="Times New Roman"/>
              </w:rPr>
            </w:pPr>
            <w:r>
              <w:rPr>
                <w:rFonts w:eastAsia="Times New Roman"/>
                <w:color w:val="000000"/>
                <w:sz w:val="18"/>
                <w:szCs w:val="18"/>
              </w:rPr>
              <w:t>Other assets:</w:t>
            </w:r>
          </w:p>
        </w:tc>
        <w:tc>
          <w:tcPr>
            <w:tcW w:w="0" w:type="auto"/>
            <w:gridSpan w:val="4"/>
            <w:shd w:val="clear" w:color="auto" w:fill="CCEEFF"/>
            <w:tcMar>
              <w:top w:w="0" w:type="dxa"/>
              <w:left w:w="20" w:type="dxa"/>
              <w:bottom w:w="0" w:type="dxa"/>
              <w:right w:w="20" w:type="dxa"/>
            </w:tcMar>
            <w:vAlign w:val="center"/>
            <w:hideMark/>
          </w:tcPr>
          <w:p w14:paraId="40592D92" w14:textId="77777777" w:rsidR="00000000" w:rsidRDefault="00405D16">
            <w:pPr>
              <w:spacing w:after="100"/>
              <w:rPr>
                <w:rFonts w:eastAsia="Times New Roman"/>
              </w:rPr>
            </w:pPr>
          </w:p>
        </w:tc>
        <w:tc>
          <w:tcPr>
            <w:tcW w:w="0" w:type="auto"/>
            <w:gridSpan w:val="9"/>
            <w:tcBorders>
              <w:top w:val="double" w:sz="6" w:space="0" w:color="000000"/>
            </w:tcBorders>
            <w:shd w:val="clear" w:color="auto" w:fill="CCEEFF"/>
            <w:tcMar>
              <w:top w:w="0" w:type="dxa"/>
              <w:left w:w="20" w:type="dxa"/>
              <w:bottom w:w="0" w:type="dxa"/>
              <w:right w:w="20" w:type="dxa"/>
            </w:tcMar>
            <w:vAlign w:val="center"/>
            <w:hideMark/>
          </w:tcPr>
          <w:p w14:paraId="383620B1" w14:textId="77777777" w:rsidR="00000000" w:rsidRDefault="00405D16">
            <w:pPr>
              <w:spacing w:after="100"/>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14:paraId="0F90FA4C" w14:textId="77777777" w:rsidR="00000000" w:rsidRDefault="00405D16">
            <w:pPr>
              <w:spacing w:after="100"/>
              <w:rPr>
                <w:rFonts w:eastAsia="Times New Roman"/>
                <w:sz w:val="20"/>
                <w:szCs w:val="20"/>
              </w:rPr>
            </w:pPr>
          </w:p>
        </w:tc>
        <w:tc>
          <w:tcPr>
            <w:tcW w:w="0" w:type="auto"/>
            <w:gridSpan w:val="9"/>
            <w:tcBorders>
              <w:top w:val="double" w:sz="6" w:space="0" w:color="000000"/>
            </w:tcBorders>
            <w:shd w:val="clear" w:color="auto" w:fill="CCEEFF"/>
            <w:tcMar>
              <w:top w:w="0" w:type="dxa"/>
              <w:left w:w="20" w:type="dxa"/>
              <w:bottom w:w="0" w:type="dxa"/>
              <w:right w:w="20" w:type="dxa"/>
            </w:tcMar>
            <w:vAlign w:val="center"/>
            <w:hideMark/>
          </w:tcPr>
          <w:p w14:paraId="47DF00D6" w14:textId="77777777" w:rsidR="00000000" w:rsidRDefault="00405D16">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14:paraId="512FF9AB" w14:textId="77777777" w:rsidR="00000000" w:rsidRDefault="00405D16">
            <w:pPr>
              <w:spacing w:after="100"/>
              <w:rPr>
                <w:rFonts w:eastAsia="Times New Roman"/>
                <w:sz w:val="20"/>
                <w:szCs w:val="20"/>
              </w:rPr>
            </w:pPr>
          </w:p>
        </w:tc>
        <w:tc>
          <w:tcPr>
            <w:tcW w:w="0" w:type="auto"/>
            <w:gridSpan w:val="12"/>
            <w:tcBorders>
              <w:top w:val="double" w:sz="6" w:space="0" w:color="000000"/>
            </w:tcBorders>
            <w:shd w:val="clear" w:color="auto" w:fill="CCEEFF"/>
            <w:tcMar>
              <w:top w:w="0" w:type="dxa"/>
              <w:left w:w="20" w:type="dxa"/>
              <w:bottom w:w="0" w:type="dxa"/>
              <w:right w:w="20" w:type="dxa"/>
            </w:tcMar>
            <w:vAlign w:val="center"/>
            <w:hideMark/>
          </w:tcPr>
          <w:p w14:paraId="3889EC7D" w14:textId="77777777" w:rsidR="00000000" w:rsidRDefault="00405D16">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1E42494F" w14:textId="77777777" w:rsidR="00000000" w:rsidRDefault="00405D16">
            <w:pPr>
              <w:spacing w:after="100"/>
              <w:rPr>
                <w:rFonts w:eastAsia="Times New Roman"/>
                <w:sz w:val="20"/>
                <w:szCs w:val="20"/>
              </w:rPr>
            </w:pPr>
          </w:p>
        </w:tc>
        <w:tc>
          <w:tcPr>
            <w:tcW w:w="0" w:type="auto"/>
            <w:gridSpan w:val="7"/>
            <w:tcBorders>
              <w:top w:val="double" w:sz="6" w:space="0" w:color="000000"/>
            </w:tcBorders>
            <w:shd w:val="clear" w:color="auto" w:fill="CCEEFF"/>
            <w:tcMar>
              <w:top w:w="0" w:type="dxa"/>
              <w:left w:w="20" w:type="dxa"/>
              <w:bottom w:w="0" w:type="dxa"/>
              <w:right w:w="20" w:type="dxa"/>
            </w:tcMar>
            <w:vAlign w:val="center"/>
            <w:hideMark/>
          </w:tcPr>
          <w:p w14:paraId="700323A1" w14:textId="77777777" w:rsidR="00000000" w:rsidRDefault="00405D16">
            <w:pPr>
              <w:spacing w:after="100"/>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14:paraId="437ABFB7" w14:textId="77777777" w:rsidR="00000000" w:rsidRDefault="00405D16">
            <w:pPr>
              <w:spacing w:after="100"/>
              <w:rPr>
                <w:rFonts w:eastAsia="Times New Roman"/>
                <w:sz w:val="20"/>
                <w:szCs w:val="20"/>
              </w:rPr>
            </w:pPr>
          </w:p>
        </w:tc>
        <w:tc>
          <w:tcPr>
            <w:tcW w:w="0" w:type="auto"/>
            <w:gridSpan w:val="9"/>
            <w:tcBorders>
              <w:top w:val="double" w:sz="6" w:space="0" w:color="000000"/>
            </w:tcBorders>
            <w:shd w:val="clear" w:color="auto" w:fill="CCEEFF"/>
            <w:tcMar>
              <w:top w:w="0" w:type="dxa"/>
              <w:left w:w="20" w:type="dxa"/>
              <w:bottom w:w="0" w:type="dxa"/>
              <w:right w:w="20" w:type="dxa"/>
            </w:tcMar>
            <w:vAlign w:val="center"/>
            <w:hideMark/>
          </w:tcPr>
          <w:p w14:paraId="57199C6E" w14:textId="77777777" w:rsidR="00000000" w:rsidRDefault="00405D16">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0C9316B5" w14:textId="77777777" w:rsidR="00000000" w:rsidRDefault="00405D16">
            <w:pPr>
              <w:spacing w:after="100"/>
              <w:rPr>
                <w:rFonts w:eastAsia="Times New Roman"/>
                <w:sz w:val="20"/>
                <w:szCs w:val="20"/>
              </w:rPr>
            </w:pPr>
          </w:p>
        </w:tc>
        <w:tc>
          <w:tcPr>
            <w:tcW w:w="0" w:type="auto"/>
            <w:gridSpan w:val="7"/>
            <w:tcBorders>
              <w:top w:val="double" w:sz="6" w:space="0" w:color="000000"/>
            </w:tcBorders>
            <w:shd w:val="clear" w:color="auto" w:fill="CCEEFF"/>
            <w:tcMar>
              <w:top w:w="0" w:type="dxa"/>
              <w:left w:w="20" w:type="dxa"/>
              <w:bottom w:w="0" w:type="dxa"/>
              <w:right w:w="20" w:type="dxa"/>
            </w:tcMar>
            <w:vAlign w:val="center"/>
            <w:hideMark/>
          </w:tcPr>
          <w:p w14:paraId="01DAE311"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4545B753" w14:textId="77777777" w:rsidR="00000000" w:rsidRDefault="00405D16">
            <w:pPr>
              <w:spacing w:after="100"/>
              <w:rPr>
                <w:rFonts w:eastAsia="Times New Roman"/>
                <w:sz w:val="20"/>
                <w:szCs w:val="20"/>
              </w:rPr>
            </w:pPr>
          </w:p>
        </w:tc>
        <w:tc>
          <w:tcPr>
            <w:tcW w:w="0" w:type="auto"/>
            <w:gridSpan w:val="4"/>
            <w:tcBorders>
              <w:top w:val="double" w:sz="6" w:space="0" w:color="000000"/>
            </w:tcBorders>
            <w:shd w:val="clear" w:color="auto" w:fill="CCEEFF"/>
            <w:tcMar>
              <w:top w:w="0" w:type="dxa"/>
              <w:left w:w="20" w:type="dxa"/>
              <w:bottom w:w="0" w:type="dxa"/>
              <w:right w:w="20" w:type="dxa"/>
            </w:tcMar>
            <w:vAlign w:val="center"/>
            <w:hideMark/>
          </w:tcPr>
          <w:p w14:paraId="1E96D52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7D1104"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8028EF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342CCC"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DA73A0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69963A" w14:textId="77777777" w:rsidR="00000000" w:rsidRDefault="00405D16">
            <w:pPr>
              <w:spacing w:after="100"/>
              <w:rPr>
                <w:rFonts w:eastAsia="Times New Roman"/>
                <w:sz w:val="20"/>
                <w:szCs w:val="20"/>
              </w:rPr>
            </w:pPr>
          </w:p>
        </w:tc>
        <w:tc>
          <w:tcPr>
            <w:tcW w:w="0" w:type="auto"/>
            <w:gridSpan w:val="2"/>
            <w:tcBorders>
              <w:top w:val="double" w:sz="6" w:space="0" w:color="000000"/>
            </w:tcBorders>
            <w:shd w:val="clear" w:color="auto" w:fill="CCEEFF"/>
            <w:tcMar>
              <w:top w:w="0" w:type="dxa"/>
              <w:left w:w="20" w:type="dxa"/>
              <w:bottom w:w="0" w:type="dxa"/>
              <w:right w:w="20" w:type="dxa"/>
            </w:tcMar>
            <w:vAlign w:val="center"/>
            <w:hideMark/>
          </w:tcPr>
          <w:p w14:paraId="14B502B1" w14:textId="77777777" w:rsidR="00000000" w:rsidRDefault="00405D16">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14:paraId="7F350F0C" w14:textId="77777777" w:rsidR="00000000" w:rsidRDefault="00405D16">
            <w:pPr>
              <w:spacing w:after="100"/>
              <w:rPr>
                <w:rFonts w:eastAsia="Times New Roman"/>
                <w:sz w:val="20"/>
                <w:szCs w:val="20"/>
              </w:rPr>
            </w:pPr>
          </w:p>
        </w:tc>
      </w:tr>
      <w:tr w:rsidR="00000000" w14:paraId="6F04244B" w14:textId="77777777">
        <w:tc>
          <w:tcPr>
            <w:tcW w:w="0" w:type="auto"/>
            <w:gridSpan w:val="9"/>
            <w:vAlign w:val="center"/>
            <w:hideMark/>
          </w:tcPr>
          <w:p w14:paraId="5EF96F78" w14:textId="77777777" w:rsidR="00000000" w:rsidRDefault="00405D16">
            <w:pPr>
              <w:spacing w:after="100"/>
              <w:rPr>
                <w:rFonts w:eastAsia="Times New Roman"/>
                <w:sz w:val="20"/>
                <w:szCs w:val="20"/>
              </w:rPr>
            </w:pPr>
          </w:p>
        </w:tc>
        <w:tc>
          <w:tcPr>
            <w:tcW w:w="0" w:type="auto"/>
            <w:gridSpan w:val="4"/>
            <w:vAlign w:val="center"/>
            <w:hideMark/>
          </w:tcPr>
          <w:p w14:paraId="2236400A" w14:textId="77777777" w:rsidR="00000000" w:rsidRDefault="00405D16">
            <w:pPr>
              <w:spacing w:after="100"/>
              <w:rPr>
                <w:rFonts w:eastAsia="Times New Roman"/>
                <w:sz w:val="20"/>
                <w:szCs w:val="20"/>
              </w:rPr>
            </w:pPr>
          </w:p>
        </w:tc>
        <w:tc>
          <w:tcPr>
            <w:tcW w:w="0" w:type="auto"/>
            <w:gridSpan w:val="9"/>
            <w:vAlign w:val="center"/>
            <w:hideMark/>
          </w:tcPr>
          <w:p w14:paraId="16437343" w14:textId="77777777" w:rsidR="00000000" w:rsidRDefault="00405D16">
            <w:pPr>
              <w:spacing w:after="100"/>
              <w:rPr>
                <w:rFonts w:eastAsia="Times New Roman"/>
                <w:sz w:val="20"/>
                <w:szCs w:val="20"/>
              </w:rPr>
            </w:pPr>
          </w:p>
        </w:tc>
        <w:tc>
          <w:tcPr>
            <w:tcW w:w="0" w:type="auto"/>
            <w:gridSpan w:val="9"/>
            <w:vAlign w:val="center"/>
            <w:hideMark/>
          </w:tcPr>
          <w:p w14:paraId="34A98A96" w14:textId="77777777" w:rsidR="00000000" w:rsidRDefault="00405D16">
            <w:pPr>
              <w:spacing w:after="100"/>
              <w:rPr>
                <w:rFonts w:eastAsia="Times New Roman"/>
                <w:sz w:val="20"/>
                <w:szCs w:val="20"/>
              </w:rPr>
            </w:pPr>
          </w:p>
        </w:tc>
        <w:tc>
          <w:tcPr>
            <w:tcW w:w="0" w:type="auto"/>
            <w:gridSpan w:val="9"/>
            <w:vAlign w:val="center"/>
            <w:hideMark/>
          </w:tcPr>
          <w:p w14:paraId="67366DA3" w14:textId="77777777" w:rsidR="00000000" w:rsidRDefault="00405D16">
            <w:pPr>
              <w:spacing w:after="100"/>
              <w:rPr>
                <w:rFonts w:eastAsia="Times New Roman"/>
                <w:sz w:val="20"/>
                <w:szCs w:val="20"/>
              </w:rPr>
            </w:pPr>
          </w:p>
        </w:tc>
        <w:tc>
          <w:tcPr>
            <w:tcW w:w="0" w:type="auto"/>
            <w:gridSpan w:val="6"/>
            <w:vAlign w:val="center"/>
            <w:hideMark/>
          </w:tcPr>
          <w:p w14:paraId="2E18FB8E" w14:textId="77777777" w:rsidR="00000000" w:rsidRDefault="00405D16">
            <w:pPr>
              <w:spacing w:after="100"/>
              <w:rPr>
                <w:rFonts w:eastAsia="Times New Roman"/>
                <w:sz w:val="20"/>
                <w:szCs w:val="20"/>
              </w:rPr>
            </w:pPr>
          </w:p>
        </w:tc>
        <w:tc>
          <w:tcPr>
            <w:tcW w:w="0" w:type="auto"/>
            <w:gridSpan w:val="12"/>
            <w:vAlign w:val="center"/>
            <w:hideMark/>
          </w:tcPr>
          <w:p w14:paraId="0F773B4C" w14:textId="77777777" w:rsidR="00000000" w:rsidRDefault="00405D16">
            <w:pPr>
              <w:spacing w:after="100"/>
              <w:rPr>
                <w:rFonts w:eastAsia="Times New Roman"/>
                <w:sz w:val="20"/>
                <w:szCs w:val="20"/>
              </w:rPr>
            </w:pPr>
          </w:p>
        </w:tc>
        <w:tc>
          <w:tcPr>
            <w:tcW w:w="0" w:type="auto"/>
            <w:gridSpan w:val="5"/>
            <w:vAlign w:val="center"/>
            <w:hideMark/>
          </w:tcPr>
          <w:p w14:paraId="6C2A9BBD" w14:textId="77777777" w:rsidR="00000000" w:rsidRDefault="00405D16">
            <w:pPr>
              <w:spacing w:after="100"/>
              <w:rPr>
                <w:rFonts w:eastAsia="Times New Roman"/>
                <w:sz w:val="20"/>
                <w:szCs w:val="20"/>
              </w:rPr>
            </w:pPr>
          </w:p>
        </w:tc>
        <w:tc>
          <w:tcPr>
            <w:tcW w:w="0" w:type="auto"/>
            <w:gridSpan w:val="7"/>
            <w:vAlign w:val="center"/>
            <w:hideMark/>
          </w:tcPr>
          <w:p w14:paraId="39A5864A" w14:textId="77777777" w:rsidR="00000000" w:rsidRDefault="00405D16">
            <w:pPr>
              <w:spacing w:after="100"/>
              <w:rPr>
                <w:rFonts w:eastAsia="Times New Roman"/>
                <w:sz w:val="20"/>
                <w:szCs w:val="20"/>
              </w:rPr>
            </w:pPr>
          </w:p>
        </w:tc>
        <w:tc>
          <w:tcPr>
            <w:tcW w:w="0" w:type="auto"/>
            <w:gridSpan w:val="9"/>
            <w:vAlign w:val="center"/>
            <w:hideMark/>
          </w:tcPr>
          <w:p w14:paraId="1E1D9CA0" w14:textId="77777777" w:rsidR="00000000" w:rsidRDefault="00405D16">
            <w:pPr>
              <w:spacing w:after="100"/>
              <w:rPr>
                <w:rFonts w:eastAsia="Times New Roman"/>
                <w:sz w:val="20"/>
                <w:szCs w:val="20"/>
              </w:rPr>
            </w:pPr>
          </w:p>
        </w:tc>
        <w:tc>
          <w:tcPr>
            <w:tcW w:w="0" w:type="auto"/>
            <w:gridSpan w:val="9"/>
            <w:vAlign w:val="center"/>
            <w:hideMark/>
          </w:tcPr>
          <w:p w14:paraId="710E747F" w14:textId="77777777" w:rsidR="00000000" w:rsidRDefault="00405D16">
            <w:pPr>
              <w:spacing w:after="100"/>
              <w:rPr>
                <w:rFonts w:eastAsia="Times New Roman"/>
                <w:sz w:val="20"/>
                <w:szCs w:val="20"/>
              </w:rPr>
            </w:pPr>
          </w:p>
        </w:tc>
        <w:tc>
          <w:tcPr>
            <w:tcW w:w="0" w:type="auto"/>
            <w:gridSpan w:val="5"/>
            <w:vAlign w:val="center"/>
            <w:hideMark/>
          </w:tcPr>
          <w:p w14:paraId="52982C30" w14:textId="77777777" w:rsidR="00000000" w:rsidRDefault="00405D16">
            <w:pPr>
              <w:spacing w:after="100"/>
              <w:rPr>
                <w:rFonts w:eastAsia="Times New Roman"/>
                <w:sz w:val="20"/>
                <w:szCs w:val="20"/>
              </w:rPr>
            </w:pPr>
          </w:p>
        </w:tc>
        <w:tc>
          <w:tcPr>
            <w:tcW w:w="0" w:type="auto"/>
            <w:gridSpan w:val="7"/>
            <w:vAlign w:val="center"/>
            <w:hideMark/>
          </w:tcPr>
          <w:p w14:paraId="32E4179D" w14:textId="77777777" w:rsidR="00000000" w:rsidRDefault="00405D16">
            <w:pPr>
              <w:spacing w:after="100"/>
              <w:rPr>
                <w:rFonts w:eastAsia="Times New Roman"/>
                <w:sz w:val="20"/>
                <w:szCs w:val="20"/>
              </w:rPr>
            </w:pPr>
          </w:p>
        </w:tc>
        <w:tc>
          <w:tcPr>
            <w:tcW w:w="0" w:type="auto"/>
            <w:gridSpan w:val="4"/>
            <w:vAlign w:val="center"/>
            <w:hideMark/>
          </w:tcPr>
          <w:p w14:paraId="736AA445" w14:textId="77777777" w:rsidR="00000000" w:rsidRDefault="00405D16">
            <w:pPr>
              <w:spacing w:after="100"/>
              <w:rPr>
                <w:rFonts w:eastAsia="Times New Roman"/>
                <w:sz w:val="20"/>
                <w:szCs w:val="20"/>
              </w:rPr>
            </w:pPr>
          </w:p>
        </w:tc>
        <w:tc>
          <w:tcPr>
            <w:tcW w:w="0" w:type="auto"/>
            <w:gridSpan w:val="4"/>
            <w:vAlign w:val="center"/>
            <w:hideMark/>
          </w:tcPr>
          <w:p w14:paraId="5D2CDAC8" w14:textId="77777777" w:rsidR="00000000" w:rsidRDefault="00405D16">
            <w:pPr>
              <w:spacing w:after="100"/>
              <w:rPr>
                <w:rFonts w:eastAsia="Times New Roman"/>
                <w:sz w:val="20"/>
                <w:szCs w:val="20"/>
              </w:rPr>
            </w:pPr>
          </w:p>
        </w:tc>
        <w:tc>
          <w:tcPr>
            <w:tcW w:w="0" w:type="auto"/>
            <w:gridSpan w:val="3"/>
            <w:vAlign w:val="center"/>
            <w:hideMark/>
          </w:tcPr>
          <w:p w14:paraId="1CD22444" w14:textId="77777777" w:rsidR="00000000" w:rsidRDefault="00405D16">
            <w:pPr>
              <w:spacing w:after="100"/>
              <w:rPr>
                <w:rFonts w:eastAsia="Times New Roman"/>
                <w:sz w:val="20"/>
                <w:szCs w:val="20"/>
              </w:rPr>
            </w:pPr>
          </w:p>
        </w:tc>
        <w:tc>
          <w:tcPr>
            <w:tcW w:w="0" w:type="auto"/>
            <w:gridSpan w:val="3"/>
            <w:vAlign w:val="center"/>
            <w:hideMark/>
          </w:tcPr>
          <w:p w14:paraId="44C616F9" w14:textId="77777777" w:rsidR="00000000" w:rsidRDefault="00405D16">
            <w:pPr>
              <w:spacing w:after="100"/>
              <w:rPr>
                <w:rFonts w:eastAsia="Times New Roman"/>
                <w:sz w:val="20"/>
                <w:szCs w:val="20"/>
              </w:rPr>
            </w:pPr>
          </w:p>
        </w:tc>
        <w:tc>
          <w:tcPr>
            <w:tcW w:w="0" w:type="auto"/>
            <w:gridSpan w:val="3"/>
            <w:vAlign w:val="center"/>
            <w:hideMark/>
          </w:tcPr>
          <w:p w14:paraId="7E6C393A" w14:textId="77777777" w:rsidR="00000000" w:rsidRDefault="00405D16">
            <w:pPr>
              <w:spacing w:after="100"/>
              <w:rPr>
                <w:rFonts w:eastAsia="Times New Roman"/>
                <w:sz w:val="20"/>
                <w:szCs w:val="20"/>
              </w:rPr>
            </w:pPr>
          </w:p>
        </w:tc>
        <w:tc>
          <w:tcPr>
            <w:tcW w:w="0" w:type="auto"/>
            <w:gridSpan w:val="3"/>
            <w:vAlign w:val="center"/>
            <w:hideMark/>
          </w:tcPr>
          <w:p w14:paraId="18DC600E" w14:textId="77777777" w:rsidR="00000000" w:rsidRDefault="00405D16">
            <w:pPr>
              <w:spacing w:after="100"/>
              <w:rPr>
                <w:rFonts w:eastAsia="Times New Roman"/>
                <w:sz w:val="20"/>
                <w:szCs w:val="20"/>
              </w:rPr>
            </w:pPr>
          </w:p>
        </w:tc>
        <w:tc>
          <w:tcPr>
            <w:tcW w:w="0" w:type="auto"/>
            <w:gridSpan w:val="3"/>
            <w:vAlign w:val="center"/>
            <w:hideMark/>
          </w:tcPr>
          <w:p w14:paraId="595DC7D6" w14:textId="77777777" w:rsidR="00000000" w:rsidRDefault="00405D16">
            <w:pPr>
              <w:spacing w:after="100"/>
              <w:rPr>
                <w:rFonts w:eastAsia="Times New Roman"/>
                <w:sz w:val="20"/>
                <w:szCs w:val="20"/>
              </w:rPr>
            </w:pPr>
          </w:p>
        </w:tc>
        <w:tc>
          <w:tcPr>
            <w:tcW w:w="0" w:type="auto"/>
            <w:gridSpan w:val="2"/>
            <w:vAlign w:val="center"/>
            <w:hideMark/>
          </w:tcPr>
          <w:p w14:paraId="7DC832E8" w14:textId="77777777" w:rsidR="00000000" w:rsidRDefault="00405D16">
            <w:pPr>
              <w:spacing w:after="100"/>
              <w:rPr>
                <w:rFonts w:eastAsia="Times New Roman"/>
                <w:sz w:val="20"/>
                <w:szCs w:val="20"/>
              </w:rPr>
            </w:pPr>
          </w:p>
        </w:tc>
        <w:tc>
          <w:tcPr>
            <w:tcW w:w="0" w:type="auto"/>
            <w:vAlign w:val="center"/>
            <w:hideMark/>
          </w:tcPr>
          <w:p w14:paraId="0455EA24" w14:textId="77777777" w:rsidR="00000000" w:rsidRDefault="00405D16">
            <w:pPr>
              <w:spacing w:after="100"/>
              <w:rPr>
                <w:rFonts w:eastAsia="Times New Roman"/>
                <w:sz w:val="20"/>
                <w:szCs w:val="20"/>
              </w:rPr>
            </w:pPr>
          </w:p>
        </w:tc>
      </w:tr>
      <w:tr w:rsidR="00000000" w14:paraId="5A38723D" w14:textId="77777777">
        <w:tc>
          <w:tcPr>
            <w:tcW w:w="0" w:type="auto"/>
            <w:gridSpan w:val="9"/>
            <w:shd w:val="clear" w:color="auto" w:fill="FFFFFF"/>
            <w:tcMar>
              <w:top w:w="30" w:type="dxa"/>
              <w:left w:w="245" w:type="dxa"/>
              <w:bottom w:w="30" w:type="dxa"/>
              <w:right w:w="20" w:type="dxa"/>
            </w:tcMar>
            <w:vAlign w:val="center"/>
            <w:hideMark/>
          </w:tcPr>
          <w:p w14:paraId="0CF13A73" w14:textId="77777777" w:rsidR="00000000" w:rsidRDefault="00405D16">
            <w:pPr>
              <w:spacing w:after="100"/>
              <w:rPr>
                <w:rFonts w:eastAsia="Times New Roman"/>
              </w:rPr>
            </w:pPr>
            <w:r>
              <w:rPr>
                <w:rFonts w:eastAsia="Times New Roman"/>
                <w:color w:val="000000"/>
                <w:sz w:val="18"/>
                <w:szCs w:val="18"/>
              </w:rPr>
              <w:t>Retained interests in securitizations</w:t>
            </w:r>
          </w:p>
        </w:tc>
        <w:tc>
          <w:tcPr>
            <w:tcW w:w="0" w:type="auto"/>
            <w:gridSpan w:val="4"/>
            <w:shd w:val="clear" w:color="auto" w:fill="FFFFFF"/>
            <w:tcMar>
              <w:top w:w="0" w:type="dxa"/>
              <w:left w:w="20" w:type="dxa"/>
              <w:bottom w:w="0" w:type="dxa"/>
              <w:right w:w="20" w:type="dxa"/>
            </w:tcMar>
            <w:vAlign w:val="center"/>
            <w:hideMark/>
          </w:tcPr>
          <w:p w14:paraId="1D5C0228" w14:textId="77777777" w:rsidR="00000000" w:rsidRDefault="00405D16">
            <w:pPr>
              <w:spacing w:after="100"/>
              <w:rPr>
                <w:rFonts w:eastAsia="Times New Roman"/>
              </w:rPr>
            </w:pPr>
          </w:p>
        </w:tc>
        <w:tc>
          <w:tcPr>
            <w:tcW w:w="0" w:type="auto"/>
            <w:gridSpan w:val="8"/>
            <w:shd w:val="clear" w:color="auto" w:fill="FFFFFF"/>
            <w:tcMar>
              <w:top w:w="30" w:type="dxa"/>
              <w:left w:w="20" w:type="dxa"/>
              <w:bottom w:w="30" w:type="dxa"/>
              <w:right w:w="0" w:type="dxa"/>
            </w:tcMar>
            <w:vAlign w:val="bottom"/>
            <w:hideMark/>
          </w:tcPr>
          <w:p w14:paraId="6DCB6ABB" w14:textId="77777777" w:rsidR="00000000" w:rsidRDefault="00405D16">
            <w:pPr>
              <w:spacing w:after="100"/>
              <w:jc w:val="right"/>
              <w:rPr>
                <w:rFonts w:eastAsia="Times New Roman"/>
              </w:rPr>
            </w:pPr>
            <w:r>
              <w:rPr>
                <w:rFonts w:eastAsia="Times New Roman"/>
                <w:color w:val="000000"/>
                <w:sz w:val="18"/>
                <w:szCs w:val="18"/>
              </w:rPr>
              <w:t>55 </w:t>
            </w:r>
          </w:p>
        </w:tc>
        <w:tc>
          <w:tcPr>
            <w:tcW w:w="0" w:type="auto"/>
            <w:shd w:val="clear" w:color="auto" w:fill="FFFFFF"/>
            <w:tcMar>
              <w:top w:w="30" w:type="dxa"/>
              <w:left w:w="0" w:type="dxa"/>
              <w:bottom w:w="30" w:type="dxa"/>
              <w:right w:w="20" w:type="dxa"/>
            </w:tcMar>
            <w:vAlign w:val="bottom"/>
            <w:hideMark/>
          </w:tcPr>
          <w:p w14:paraId="2FCA7C99" w14:textId="77777777" w:rsidR="00000000" w:rsidRDefault="00405D16">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061ACC62" w14:textId="77777777" w:rsidR="00000000" w:rsidRDefault="00405D16">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14:paraId="4D1F7410" w14:textId="77777777" w:rsidR="00000000" w:rsidRDefault="00405D16">
            <w:pPr>
              <w:spacing w:after="100"/>
              <w:jc w:val="right"/>
              <w:rPr>
                <w:rFonts w:eastAsia="Times New Roman"/>
              </w:rPr>
            </w:pPr>
            <w:r>
              <w:rPr>
                <w:rFonts w:eastAsia="Times New Roman"/>
                <w:b/>
                <w:bCs/>
                <w:color w:val="000000"/>
                <w:sz w:val="18"/>
                <w:szCs w:val="18"/>
              </w:rPr>
              <w:t>(12)</w:t>
            </w:r>
          </w:p>
        </w:tc>
        <w:tc>
          <w:tcPr>
            <w:tcW w:w="0" w:type="auto"/>
            <w:gridSpan w:val="2"/>
            <w:shd w:val="clear" w:color="auto" w:fill="FFFFFF"/>
            <w:tcMar>
              <w:top w:w="30" w:type="dxa"/>
              <w:left w:w="0" w:type="dxa"/>
              <w:bottom w:w="30" w:type="dxa"/>
              <w:right w:w="20" w:type="dxa"/>
            </w:tcMar>
            <w:vAlign w:val="bottom"/>
            <w:hideMark/>
          </w:tcPr>
          <w:p w14:paraId="4AB466F3" w14:textId="77777777" w:rsidR="00000000" w:rsidRDefault="00405D16">
            <w:pPr>
              <w:spacing w:after="100"/>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14:paraId="05DE49A7" w14:textId="77777777" w:rsidR="00000000" w:rsidRDefault="00405D16">
            <w:pPr>
              <w:spacing w:after="100"/>
              <w:jc w:val="right"/>
              <w:rPr>
                <w:rFonts w:eastAsia="Times New Roman"/>
                <w:sz w:val="20"/>
                <w:szCs w:val="20"/>
              </w:rPr>
            </w:pPr>
          </w:p>
        </w:tc>
        <w:tc>
          <w:tcPr>
            <w:tcW w:w="0" w:type="auto"/>
            <w:gridSpan w:val="10"/>
            <w:shd w:val="clear" w:color="auto" w:fill="FFFFFF"/>
            <w:tcMar>
              <w:top w:w="30" w:type="dxa"/>
              <w:left w:w="20" w:type="dxa"/>
              <w:bottom w:w="30" w:type="dxa"/>
              <w:right w:w="0" w:type="dxa"/>
            </w:tcMar>
            <w:vAlign w:val="bottom"/>
            <w:hideMark/>
          </w:tcPr>
          <w:p w14:paraId="3BBC492F"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bottom"/>
            <w:hideMark/>
          </w:tcPr>
          <w:p w14:paraId="41506EC9" w14:textId="77777777" w:rsidR="00000000" w:rsidRDefault="00405D16">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14:paraId="45B6DF46" w14:textId="77777777" w:rsidR="00000000" w:rsidRDefault="00405D16">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14:paraId="13A05A7F"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9BC7A5B" w14:textId="77777777" w:rsidR="00000000" w:rsidRDefault="00405D16">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1EAE9BB9" w14:textId="77777777" w:rsidR="00000000" w:rsidRDefault="00405D16">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14:paraId="2B98D78F"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bottom"/>
            <w:hideMark/>
          </w:tcPr>
          <w:p w14:paraId="21924A24" w14:textId="77777777" w:rsidR="00000000" w:rsidRDefault="00405D16">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14:paraId="0432FB9B" w14:textId="77777777" w:rsidR="00000000" w:rsidRDefault="00405D16">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14:paraId="32EB2973"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2A1E6D7"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18217337"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564DC5CB"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0A9F22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BBDA9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BCFE69"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C78F2A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01AD1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5901B9"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FA3F7E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6AA07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9A50D0" w14:textId="77777777" w:rsidR="00000000" w:rsidRDefault="00405D16">
            <w:pPr>
              <w:spacing w:after="100"/>
              <w:jc w:val="right"/>
              <w:rPr>
                <w:rFonts w:eastAsia="Times New Roman"/>
              </w:rPr>
            </w:pPr>
            <w:r>
              <w:rPr>
                <w:rFonts w:eastAsia="Times New Roman"/>
                <w:b/>
                <w:bCs/>
                <w:color w:val="000000"/>
                <w:sz w:val="18"/>
                <w:szCs w:val="18"/>
              </w:rPr>
              <w:t>43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C1B3121" w14:textId="77777777" w:rsidR="00000000" w:rsidRDefault="00405D16">
            <w:pPr>
              <w:spacing w:after="100"/>
              <w:jc w:val="right"/>
              <w:rPr>
                <w:rFonts w:eastAsia="Times New Roman"/>
              </w:rPr>
            </w:pPr>
            <w:r>
              <w:rPr>
                <w:rFonts w:eastAsia="Times New Roman"/>
                <w:b/>
                <w:bCs/>
                <w:color w:val="000000"/>
                <w:sz w:val="18"/>
                <w:szCs w:val="18"/>
              </w:rPr>
              <w:t>(12)</w:t>
            </w:r>
          </w:p>
        </w:tc>
      </w:tr>
      <w:tr w:rsidR="00000000" w14:paraId="1722F811" w14:textId="77777777">
        <w:tc>
          <w:tcPr>
            <w:tcW w:w="0" w:type="auto"/>
            <w:gridSpan w:val="9"/>
            <w:shd w:val="clear" w:color="auto" w:fill="CCEEFF"/>
            <w:tcMar>
              <w:top w:w="30" w:type="dxa"/>
              <w:left w:w="20" w:type="dxa"/>
              <w:bottom w:w="30" w:type="dxa"/>
              <w:right w:w="20" w:type="dxa"/>
            </w:tcMar>
            <w:vAlign w:val="center"/>
            <w:hideMark/>
          </w:tcPr>
          <w:p w14:paraId="4283714A" w14:textId="77777777" w:rsidR="00000000" w:rsidRDefault="00405D16">
            <w:pPr>
              <w:spacing w:after="100"/>
              <w:divId w:val="383874179"/>
              <w:rPr>
                <w:rFonts w:eastAsia="Times New Roman"/>
              </w:rPr>
            </w:pPr>
            <w:r>
              <w:rPr>
                <w:rFonts w:eastAsia="Times New Roman"/>
                <w:color w:val="000000"/>
                <w:sz w:val="18"/>
                <w:szCs w:val="18"/>
              </w:rPr>
              <w:t>Net derivative assets (liabilities</w:t>
            </w:r>
            <w:r>
              <w:rPr>
                <w:rFonts w:eastAsia="Times New Roman"/>
                <w:color w:val="000000"/>
                <w:sz w:val="18"/>
                <w:szCs w:val="18"/>
              </w:rPr>
              <w:t>)</w:t>
            </w:r>
            <w:r>
              <w:rPr>
                <w:rFonts w:eastAsia="Times New Roman"/>
                <w:color w:val="000000"/>
                <w:sz w:val="12"/>
                <w:szCs w:val="12"/>
              </w:rPr>
              <w:t>(4</w:t>
            </w:r>
            <w:r>
              <w:rPr>
                <w:rFonts w:eastAsia="Times New Roman"/>
                <w:color w:val="000000"/>
                <w:sz w:val="12"/>
                <w:szCs w:val="12"/>
              </w:rPr>
              <w:t>)</w:t>
            </w:r>
          </w:p>
        </w:tc>
        <w:tc>
          <w:tcPr>
            <w:tcW w:w="0" w:type="auto"/>
            <w:gridSpan w:val="4"/>
            <w:shd w:val="clear" w:color="auto" w:fill="CCEEFF"/>
            <w:tcMar>
              <w:top w:w="0" w:type="dxa"/>
              <w:left w:w="20" w:type="dxa"/>
              <w:bottom w:w="0" w:type="dxa"/>
              <w:right w:w="20" w:type="dxa"/>
            </w:tcMar>
            <w:vAlign w:val="center"/>
            <w:hideMark/>
          </w:tcPr>
          <w:p w14:paraId="479E09A3" w14:textId="77777777" w:rsidR="00000000" w:rsidRDefault="00405D16">
            <w:pPr>
              <w:spacing w:after="100"/>
              <w:rPr>
                <w:rFonts w:eastAsia="Times New Roman"/>
              </w:rPr>
            </w:pPr>
          </w:p>
        </w:tc>
        <w:tc>
          <w:tcPr>
            <w:tcW w:w="0" w:type="auto"/>
            <w:gridSpan w:val="8"/>
            <w:shd w:val="clear" w:color="auto" w:fill="CCEEFF"/>
            <w:tcMar>
              <w:top w:w="30" w:type="dxa"/>
              <w:left w:w="20" w:type="dxa"/>
              <w:bottom w:w="30" w:type="dxa"/>
              <w:right w:w="0" w:type="dxa"/>
            </w:tcMar>
            <w:vAlign w:val="bottom"/>
            <w:hideMark/>
          </w:tcPr>
          <w:p w14:paraId="14E47F52" w14:textId="77777777" w:rsidR="00000000" w:rsidRDefault="00405D16">
            <w:pPr>
              <w:spacing w:after="100"/>
              <w:jc w:val="right"/>
              <w:rPr>
                <w:rFonts w:eastAsia="Times New Roman"/>
              </w:rPr>
            </w:pPr>
            <w:r>
              <w:rPr>
                <w:rFonts w:eastAsia="Times New Roman"/>
                <w:color w:val="000000"/>
                <w:sz w:val="18"/>
                <w:szCs w:val="18"/>
              </w:rPr>
              <w:t>31 </w:t>
            </w:r>
          </w:p>
        </w:tc>
        <w:tc>
          <w:tcPr>
            <w:tcW w:w="0" w:type="auto"/>
            <w:shd w:val="clear" w:color="auto" w:fill="CCEEFF"/>
            <w:tcMar>
              <w:top w:w="30" w:type="dxa"/>
              <w:left w:w="0" w:type="dxa"/>
              <w:bottom w:w="30" w:type="dxa"/>
              <w:right w:w="20" w:type="dxa"/>
            </w:tcMar>
            <w:vAlign w:val="bottom"/>
            <w:hideMark/>
          </w:tcPr>
          <w:p w14:paraId="1CF51CBF" w14:textId="77777777" w:rsidR="00000000" w:rsidRDefault="00405D16">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025C8875" w14:textId="77777777" w:rsidR="00000000" w:rsidRDefault="00405D16">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14:paraId="32EBA568" w14:textId="77777777" w:rsidR="00000000" w:rsidRDefault="00405D16">
            <w:pPr>
              <w:spacing w:after="100"/>
              <w:jc w:val="right"/>
              <w:rPr>
                <w:rFonts w:eastAsia="Times New Roman"/>
              </w:rPr>
            </w:pPr>
            <w:r>
              <w:rPr>
                <w:rFonts w:eastAsia="Times New Roman"/>
                <w:b/>
                <w:bCs/>
                <w:color w:val="000000"/>
                <w:sz w:val="18"/>
                <w:szCs w:val="18"/>
              </w:rPr>
              <w:t>(41)</w:t>
            </w:r>
          </w:p>
        </w:tc>
        <w:tc>
          <w:tcPr>
            <w:tcW w:w="0" w:type="auto"/>
            <w:gridSpan w:val="2"/>
            <w:shd w:val="clear" w:color="auto" w:fill="CCEEFF"/>
            <w:tcMar>
              <w:top w:w="30" w:type="dxa"/>
              <w:left w:w="0" w:type="dxa"/>
              <w:bottom w:w="30" w:type="dxa"/>
              <w:right w:w="20" w:type="dxa"/>
            </w:tcMar>
            <w:vAlign w:val="bottom"/>
            <w:hideMark/>
          </w:tcPr>
          <w:p w14:paraId="15354367" w14:textId="77777777" w:rsidR="00000000" w:rsidRDefault="00405D16">
            <w:pPr>
              <w:spacing w:after="100"/>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14:paraId="37678EE0" w14:textId="77777777" w:rsidR="00000000" w:rsidRDefault="00405D16">
            <w:pPr>
              <w:spacing w:after="100"/>
              <w:jc w:val="right"/>
              <w:rPr>
                <w:rFonts w:eastAsia="Times New Roman"/>
                <w:sz w:val="20"/>
                <w:szCs w:val="20"/>
              </w:rPr>
            </w:pPr>
          </w:p>
        </w:tc>
        <w:tc>
          <w:tcPr>
            <w:tcW w:w="0" w:type="auto"/>
            <w:gridSpan w:val="10"/>
            <w:shd w:val="clear" w:color="auto" w:fill="CCEEFF"/>
            <w:tcMar>
              <w:top w:w="30" w:type="dxa"/>
              <w:left w:w="20" w:type="dxa"/>
              <w:bottom w:w="30" w:type="dxa"/>
              <w:right w:w="0" w:type="dxa"/>
            </w:tcMar>
            <w:vAlign w:val="bottom"/>
            <w:hideMark/>
          </w:tcPr>
          <w:p w14:paraId="1AE0F3A8"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bottom"/>
            <w:hideMark/>
          </w:tcPr>
          <w:p w14:paraId="42F0240F" w14:textId="77777777" w:rsidR="00000000" w:rsidRDefault="00405D16">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14:paraId="11A43DDA" w14:textId="77777777" w:rsidR="00000000" w:rsidRDefault="00405D16">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64E584F9"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42B27D0" w14:textId="77777777" w:rsidR="00000000" w:rsidRDefault="00405D16">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16A32ADC" w14:textId="77777777" w:rsidR="00000000" w:rsidRDefault="00405D16">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14:paraId="0CAFFAAA"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bottom"/>
            <w:hideMark/>
          </w:tcPr>
          <w:p w14:paraId="562FFCD6" w14:textId="77777777" w:rsidR="00000000" w:rsidRDefault="00405D16">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14:paraId="0A03769C" w14:textId="77777777" w:rsidR="00000000" w:rsidRDefault="00405D16">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41EA027B" w14:textId="77777777" w:rsidR="00000000" w:rsidRDefault="00405D16">
            <w:pPr>
              <w:spacing w:after="100"/>
              <w:jc w:val="right"/>
              <w:rPr>
                <w:rFonts w:eastAsia="Times New Roman"/>
              </w:rPr>
            </w:pPr>
            <w:r>
              <w:rPr>
                <w:rFonts w:eastAsia="Times New Roman"/>
                <w:b/>
                <w:bCs/>
                <w:color w:val="000000"/>
                <w:sz w:val="18"/>
                <w:szCs w:val="18"/>
              </w:rPr>
              <w:t>66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96E1149"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1E99E6E0"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113AF28C" w14:textId="77777777" w:rsidR="00000000" w:rsidRDefault="00405D16">
            <w:pPr>
              <w:spacing w:after="100"/>
              <w:jc w:val="right"/>
              <w:rPr>
                <w:rFonts w:eastAsia="Times New Roman"/>
              </w:rPr>
            </w:pPr>
            <w:r>
              <w:rPr>
                <w:rFonts w:eastAsia="Times New Roman"/>
                <w:b/>
                <w:bCs/>
                <w:color w:val="000000"/>
                <w:sz w:val="18"/>
                <w:szCs w:val="18"/>
              </w:rPr>
              <w:t>(23)</w:t>
            </w:r>
          </w:p>
        </w:tc>
        <w:tc>
          <w:tcPr>
            <w:tcW w:w="0" w:type="auto"/>
            <w:shd w:val="clear" w:color="auto" w:fill="CCEEFF"/>
            <w:tcMar>
              <w:top w:w="30" w:type="dxa"/>
              <w:left w:w="0" w:type="dxa"/>
              <w:bottom w:w="30" w:type="dxa"/>
              <w:right w:w="20" w:type="dxa"/>
            </w:tcMar>
            <w:vAlign w:val="bottom"/>
            <w:hideMark/>
          </w:tcPr>
          <w:p w14:paraId="1D77B02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AE03C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D42FA2" w14:textId="77777777" w:rsidR="00000000" w:rsidRDefault="00405D16">
            <w:pPr>
              <w:spacing w:after="100"/>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83405C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CDCE4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6E40DF"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8BB79C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3B040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159639" w14:textId="77777777" w:rsidR="00000000" w:rsidRDefault="00405D16">
            <w:pPr>
              <w:spacing w:after="100"/>
              <w:jc w:val="right"/>
              <w:rPr>
                <w:rFonts w:eastAsia="Times New Roman"/>
              </w:rPr>
            </w:pPr>
            <w:r>
              <w:rPr>
                <w:rFonts w:eastAsia="Times New Roman"/>
                <w:b/>
                <w:bCs/>
                <w:color w:val="000000"/>
                <w:sz w:val="18"/>
                <w:szCs w:val="18"/>
              </w:rPr>
              <w:t>39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130C5DA" w14:textId="77777777" w:rsidR="00000000" w:rsidRDefault="00405D16">
            <w:pPr>
              <w:spacing w:after="100"/>
              <w:jc w:val="right"/>
              <w:rPr>
                <w:rFonts w:eastAsia="Times New Roman"/>
              </w:rPr>
            </w:pPr>
            <w:r>
              <w:rPr>
                <w:rFonts w:eastAsia="Times New Roman"/>
                <w:b/>
                <w:bCs/>
                <w:color w:val="000000"/>
                <w:sz w:val="18"/>
                <w:szCs w:val="18"/>
              </w:rPr>
              <w:t>(32)</w:t>
            </w:r>
          </w:p>
        </w:tc>
      </w:tr>
    </w:tbl>
    <w:p w14:paraId="339373AD" w14:textId="77777777" w:rsidR="00000000" w:rsidRDefault="00405D16">
      <w:pPr>
        <w:jc w:val="center"/>
        <w:divId w:val="1660882240"/>
        <w:rPr>
          <w:rFonts w:eastAsia="Times New Roman"/>
          <w:vanish/>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1171CBA2" w14:textId="77777777">
        <w:trPr>
          <w:divId w:val="1660882240"/>
          <w:jc w:val="center"/>
        </w:trPr>
        <w:tc>
          <w:tcPr>
            <w:tcW w:w="50" w:type="pct"/>
            <w:vAlign w:val="center"/>
            <w:hideMark/>
          </w:tcPr>
          <w:p w14:paraId="3AC982F9" w14:textId="77777777" w:rsidR="00000000" w:rsidRDefault="00405D16">
            <w:pPr>
              <w:jc w:val="both"/>
              <w:rPr>
                <w:rFonts w:eastAsia="Times New Roman"/>
              </w:rPr>
            </w:pPr>
          </w:p>
        </w:tc>
        <w:tc>
          <w:tcPr>
            <w:tcW w:w="1606" w:type="pct"/>
            <w:vAlign w:val="center"/>
            <w:hideMark/>
          </w:tcPr>
          <w:p w14:paraId="5FB25D1A" w14:textId="77777777" w:rsidR="00000000" w:rsidRDefault="00405D16">
            <w:pPr>
              <w:spacing w:after="100"/>
              <w:rPr>
                <w:rFonts w:eastAsia="Times New Roman"/>
                <w:sz w:val="20"/>
                <w:szCs w:val="20"/>
              </w:rPr>
            </w:pPr>
          </w:p>
        </w:tc>
        <w:tc>
          <w:tcPr>
            <w:tcW w:w="5" w:type="pct"/>
            <w:vAlign w:val="center"/>
            <w:hideMark/>
          </w:tcPr>
          <w:p w14:paraId="58AA95B2" w14:textId="77777777" w:rsidR="00000000" w:rsidRDefault="00405D16">
            <w:pPr>
              <w:spacing w:after="100"/>
              <w:rPr>
                <w:rFonts w:eastAsia="Times New Roman"/>
                <w:sz w:val="20"/>
                <w:szCs w:val="20"/>
              </w:rPr>
            </w:pPr>
          </w:p>
        </w:tc>
        <w:tc>
          <w:tcPr>
            <w:tcW w:w="50" w:type="pct"/>
            <w:vAlign w:val="center"/>
            <w:hideMark/>
          </w:tcPr>
          <w:p w14:paraId="233DB30B" w14:textId="77777777" w:rsidR="00000000" w:rsidRDefault="00405D16">
            <w:pPr>
              <w:spacing w:after="100"/>
              <w:rPr>
                <w:rFonts w:eastAsia="Times New Roman"/>
                <w:sz w:val="20"/>
                <w:szCs w:val="20"/>
              </w:rPr>
            </w:pPr>
          </w:p>
        </w:tc>
        <w:tc>
          <w:tcPr>
            <w:tcW w:w="1614" w:type="pct"/>
            <w:vAlign w:val="center"/>
            <w:hideMark/>
          </w:tcPr>
          <w:p w14:paraId="110A7D9F" w14:textId="77777777" w:rsidR="00000000" w:rsidRDefault="00405D16">
            <w:pPr>
              <w:spacing w:after="100"/>
              <w:rPr>
                <w:rFonts w:eastAsia="Times New Roman"/>
                <w:sz w:val="20"/>
                <w:szCs w:val="20"/>
              </w:rPr>
            </w:pPr>
          </w:p>
        </w:tc>
        <w:tc>
          <w:tcPr>
            <w:tcW w:w="5" w:type="pct"/>
            <w:vAlign w:val="center"/>
            <w:hideMark/>
          </w:tcPr>
          <w:p w14:paraId="5A820152" w14:textId="77777777" w:rsidR="00000000" w:rsidRDefault="00405D16">
            <w:pPr>
              <w:spacing w:after="100"/>
              <w:rPr>
                <w:rFonts w:eastAsia="Times New Roman"/>
                <w:sz w:val="20"/>
                <w:szCs w:val="20"/>
              </w:rPr>
            </w:pPr>
          </w:p>
        </w:tc>
        <w:tc>
          <w:tcPr>
            <w:tcW w:w="50" w:type="pct"/>
            <w:vAlign w:val="center"/>
            <w:hideMark/>
          </w:tcPr>
          <w:p w14:paraId="48798858" w14:textId="77777777" w:rsidR="00000000" w:rsidRDefault="00405D16">
            <w:pPr>
              <w:spacing w:after="100"/>
              <w:rPr>
                <w:rFonts w:eastAsia="Times New Roman"/>
                <w:sz w:val="20"/>
                <w:szCs w:val="20"/>
              </w:rPr>
            </w:pPr>
          </w:p>
        </w:tc>
        <w:tc>
          <w:tcPr>
            <w:tcW w:w="1614" w:type="pct"/>
            <w:vAlign w:val="center"/>
            <w:hideMark/>
          </w:tcPr>
          <w:p w14:paraId="797084D6" w14:textId="77777777" w:rsidR="00000000" w:rsidRDefault="00405D16">
            <w:pPr>
              <w:spacing w:after="100"/>
              <w:rPr>
                <w:rFonts w:eastAsia="Times New Roman"/>
                <w:sz w:val="20"/>
                <w:szCs w:val="20"/>
              </w:rPr>
            </w:pPr>
          </w:p>
        </w:tc>
        <w:tc>
          <w:tcPr>
            <w:tcW w:w="5" w:type="pct"/>
            <w:vAlign w:val="center"/>
            <w:hideMark/>
          </w:tcPr>
          <w:p w14:paraId="6CA50305" w14:textId="77777777" w:rsidR="00000000" w:rsidRDefault="00405D16">
            <w:pPr>
              <w:spacing w:after="100"/>
              <w:rPr>
                <w:rFonts w:eastAsia="Times New Roman"/>
                <w:sz w:val="20"/>
                <w:szCs w:val="20"/>
              </w:rPr>
            </w:pPr>
          </w:p>
        </w:tc>
      </w:tr>
      <w:tr w:rsidR="00000000" w14:paraId="1FE4114B" w14:textId="77777777">
        <w:trPr>
          <w:divId w:val="1660882240"/>
          <w:trHeight w:val="300"/>
          <w:jc w:val="center"/>
        </w:trPr>
        <w:tc>
          <w:tcPr>
            <w:tcW w:w="0" w:type="auto"/>
            <w:gridSpan w:val="9"/>
            <w:tcMar>
              <w:top w:w="0" w:type="dxa"/>
              <w:left w:w="20" w:type="dxa"/>
              <w:bottom w:w="0" w:type="dxa"/>
              <w:right w:w="20" w:type="dxa"/>
            </w:tcMar>
            <w:vAlign w:val="center"/>
            <w:hideMark/>
          </w:tcPr>
          <w:p w14:paraId="559DC038" w14:textId="77777777" w:rsidR="00000000" w:rsidRDefault="00405D16">
            <w:pPr>
              <w:spacing w:after="100"/>
              <w:rPr>
                <w:rFonts w:eastAsia="Times New Roman"/>
                <w:sz w:val="20"/>
                <w:szCs w:val="20"/>
              </w:rPr>
            </w:pPr>
          </w:p>
        </w:tc>
      </w:tr>
      <w:tr w:rsidR="00000000" w14:paraId="4452432A" w14:textId="77777777">
        <w:trPr>
          <w:divId w:val="1660882240"/>
          <w:jc w:val="center"/>
        </w:trPr>
        <w:tc>
          <w:tcPr>
            <w:tcW w:w="0" w:type="auto"/>
            <w:gridSpan w:val="3"/>
            <w:tcMar>
              <w:top w:w="0" w:type="dxa"/>
              <w:left w:w="20" w:type="dxa"/>
              <w:bottom w:w="0" w:type="dxa"/>
              <w:right w:w="20" w:type="dxa"/>
            </w:tcMar>
            <w:vAlign w:val="center"/>
            <w:hideMark/>
          </w:tcPr>
          <w:p w14:paraId="0B7821C6"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AB44CE6" w14:textId="77777777" w:rsidR="00000000" w:rsidRDefault="00405D16">
            <w:pPr>
              <w:spacing w:after="100"/>
              <w:jc w:val="center"/>
              <w:rPr>
                <w:rFonts w:eastAsia="Times New Roman"/>
              </w:rPr>
            </w:pPr>
            <w:r>
              <w:rPr>
                <w:rFonts w:eastAsia="Times New Roman"/>
                <w:color w:val="000000"/>
                <w:sz w:val="16"/>
                <w:szCs w:val="16"/>
              </w:rPr>
              <w:t>119</w:t>
            </w:r>
          </w:p>
        </w:tc>
        <w:tc>
          <w:tcPr>
            <w:tcW w:w="0" w:type="auto"/>
            <w:gridSpan w:val="3"/>
            <w:tcMar>
              <w:top w:w="30" w:type="dxa"/>
              <w:left w:w="20" w:type="dxa"/>
              <w:bottom w:w="30" w:type="dxa"/>
              <w:right w:w="20" w:type="dxa"/>
            </w:tcMar>
            <w:vAlign w:val="bottom"/>
            <w:hideMark/>
          </w:tcPr>
          <w:p w14:paraId="11F6CE3A"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22E76FA9" w14:textId="77777777" w:rsidR="00000000" w:rsidRDefault="00405D16">
      <w:pPr>
        <w:rPr>
          <w:rFonts w:eastAsia="Times New Roman"/>
        </w:rPr>
      </w:pPr>
      <w:r>
        <w:rPr>
          <w:rFonts w:eastAsia="Times New Roman"/>
        </w:rPr>
        <w:pict w14:anchorId="4AF63FE9">
          <v:rect id="_x0000_i1144" style="width:0;height:1.5pt" o:hralign="center" o:hrstd="t" o:hr="t" fillcolor="#a0a0a0" stroked="f"/>
        </w:pict>
      </w:r>
    </w:p>
    <w:p w14:paraId="23B37239" w14:textId="77777777" w:rsidR="00000000" w:rsidRDefault="00405D16">
      <w:pPr>
        <w:jc w:val="both"/>
        <w:divId w:val="3169122"/>
        <w:rPr>
          <w:rFonts w:eastAsia="Times New Roman"/>
        </w:rPr>
      </w:pPr>
      <w:hyperlink w:anchor="idd54a04a485440b4ab4e56094c14d612_13" w:history="1">
        <w:r>
          <w:rPr>
            <w:rStyle w:val="a3"/>
            <w:rFonts w:eastAsia="Times New Roman"/>
            <w:sz w:val="16"/>
            <w:szCs w:val="16"/>
          </w:rPr>
          <w:t>Table of Contents</w:t>
        </w:r>
      </w:hyperlink>
    </w:p>
    <w:p w14:paraId="3631C7A7" w14:textId="77777777" w:rsidR="00000000" w:rsidRDefault="00405D16">
      <w:pPr>
        <w:jc w:val="center"/>
        <w:divId w:val="316912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0"/>
        <w:gridCol w:w="64"/>
        <w:gridCol w:w="1039"/>
        <w:gridCol w:w="38"/>
        <w:gridCol w:w="36"/>
        <w:gridCol w:w="36"/>
        <w:gridCol w:w="8"/>
        <w:gridCol w:w="28"/>
        <w:gridCol w:w="111"/>
        <w:gridCol w:w="5"/>
        <w:gridCol w:w="144"/>
        <w:gridCol w:w="144"/>
        <w:gridCol w:w="104"/>
        <w:gridCol w:w="36"/>
        <w:gridCol w:w="4"/>
        <w:gridCol w:w="32"/>
        <w:gridCol w:w="36"/>
        <w:gridCol w:w="36"/>
        <w:gridCol w:w="40"/>
        <w:gridCol w:w="71"/>
        <w:gridCol w:w="382"/>
        <w:gridCol w:w="62"/>
        <w:gridCol w:w="37"/>
        <w:gridCol w:w="37"/>
        <w:gridCol w:w="8"/>
        <w:gridCol w:w="39"/>
        <w:gridCol w:w="36"/>
        <w:gridCol w:w="69"/>
        <w:gridCol w:w="41"/>
        <w:gridCol w:w="103"/>
        <w:gridCol w:w="144"/>
        <w:gridCol w:w="144"/>
        <w:gridCol w:w="52"/>
        <w:gridCol w:w="36"/>
        <w:gridCol w:w="36"/>
        <w:gridCol w:w="36"/>
        <w:gridCol w:w="36"/>
        <w:gridCol w:w="111"/>
        <w:gridCol w:w="98"/>
        <w:gridCol w:w="144"/>
        <w:gridCol w:w="144"/>
        <w:gridCol w:w="76"/>
        <w:gridCol w:w="36"/>
        <w:gridCol w:w="32"/>
        <w:gridCol w:w="4"/>
        <w:gridCol w:w="36"/>
        <w:gridCol w:w="36"/>
        <w:gridCol w:w="68"/>
        <w:gridCol w:w="43"/>
        <w:gridCol w:w="101"/>
        <w:gridCol w:w="135"/>
        <w:gridCol w:w="36"/>
        <w:gridCol w:w="36"/>
        <w:gridCol w:w="36"/>
        <w:gridCol w:w="36"/>
        <w:gridCol w:w="111"/>
        <w:gridCol w:w="15"/>
        <w:gridCol w:w="144"/>
        <w:gridCol w:w="144"/>
        <w:gridCol w:w="127"/>
        <w:gridCol w:w="17"/>
        <w:gridCol w:w="19"/>
        <w:gridCol w:w="36"/>
        <w:gridCol w:w="36"/>
        <w:gridCol w:w="36"/>
        <w:gridCol w:w="17"/>
        <w:gridCol w:w="94"/>
        <w:gridCol w:w="50"/>
        <w:gridCol w:w="430"/>
        <w:gridCol w:w="54"/>
        <w:gridCol w:w="36"/>
        <w:gridCol w:w="36"/>
        <w:gridCol w:w="18"/>
        <w:gridCol w:w="18"/>
        <w:gridCol w:w="36"/>
        <w:gridCol w:w="90"/>
        <w:gridCol w:w="21"/>
        <w:gridCol w:w="123"/>
        <w:gridCol w:w="144"/>
        <w:gridCol w:w="144"/>
        <w:gridCol w:w="36"/>
        <w:gridCol w:w="36"/>
        <w:gridCol w:w="36"/>
        <w:gridCol w:w="36"/>
        <w:gridCol w:w="36"/>
        <w:gridCol w:w="111"/>
        <w:gridCol w:w="41"/>
        <w:gridCol w:w="144"/>
        <w:gridCol w:w="144"/>
        <w:gridCol w:w="111"/>
        <w:gridCol w:w="33"/>
        <w:gridCol w:w="3"/>
        <w:gridCol w:w="36"/>
        <w:gridCol w:w="36"/>
        <w:gridCol w:w="36"/>
        <w:gridCol w:w="33"/>
        <w:gridCol w:w="78"/>
        <w:gridCol w:w="66"/>
        <w:gridCol w:w="405"/>
        <w:gridCol w:w="144"/>
        <w:gridCol w:w="63"/>
        <w:gridCol w:w="81"/>
        <w:gridCol w:w="144"/>
        <w:gridCol w:w="144"/>
        <w:gridCol w:w="144"/>
        <w:gridCol w:w="278"/>
        <w:gridCol w:w="212"/>
        <w:gridCol w:w="144"/>
        <w:gridCol w:w="144"/>
        <w:gridCol w:w="144"/>
        <w:gridCol w:w="144"/>
        <w:gridCol w:w="144"/>
        <w:gridCol w:w="441"/>
        <w:gridCol w:w="144"/>
        <w:gridCol w:w="144"/>
        <w:gridCol w:w="144"/>
        <w:gridCol w:w="144"/>
        <w:gridCol w:w="144"/>
        <w:gridCol w:w="405"/>
        <w:gridCol w:w="144"/>
        <w:gridCol w:w="144"/>
        <w:gridCol w:w="144"/>
        <w:gridCol w:w="144"/>
        <w:gridCol w:w="144"/>
        <w:gridCol w:w="588"/>
        <w:gridCol w:w="144"/>
      </w:tblGrid>
      <w:tr w:rsidR="00000000" w14:paraId="6AC4E714" w14:textId="77777777">
        <w:trPr>
          <w:gridAfter w:val="20"/>
          <w:divId w:val="403920393"/>
        </w:trPr>
        <w:tc>
          <w:tcPr>
            <w:tcW w:w="50" w:type="pct"/>
            <w:vAlign w:val="center"/>
            <w:hideMark/>
          </w:tcPr>
          <w:p w14:paraId="2EC52E6E" w14:textId="77777777" w:rsidR="00000000" w:rsidRDefault="00405D16">
            <w:pPr>
              <w:jc w:val="center"/>
              <w:rPr>
                <w:rFonts w:eastAsia="Times New Roman"/>
              </w:rPr>
            </w:pPr>
          </w:p>
        </w:tc>
        <w:tc>
          <w:tcPr>
            <w:tcW w:w="697" w:type="pct"/>
            <w:gridSpan w:val="2"/>
            <w:vAlign w:val="center"/>
            <w:hideMark/>
          </w:tcPr>
          <w:p w14:paraId="5D9306DA" w14:textId="77777777" w:rsidR="00000000" w:rsidRDefault="00405D16">
            <w:pPr>
              <w:spacing w:after="100"/>
              <w:rPr>
                <w:rFonts w:eastAsia="Times New Roman"/>
                <w:sz w:val="20"/>
                <w:szCs w:val="20"/>
              </w:rPr>
            </w:pPr>
          </w:p>
        </w:tc>
        <w:tc>
          <w:tcPr>
            <w:tcW w:w="5" w:type="pct"/>
            <w:vAlign w:val="center"/>
            <w:hideMark/>
          </w:tcPr>
          <w:p w14:paraId="6C7AD1AD" w14:textId="77777777" w:rsidR="00000000" w:rsidRDefault="00405D16">
            <w:pPr>
              <w:spacing w:after="100"/>
              <w:rPr>
                <w:rFonts w:eastAsia="Times New Roman"/>
                <w:sz w:val="20"/>
                <w:szCs w:val="20"/>
              </w:rPr>
            </w:pPr>
          </w:p>
        </w:tc>
        <w:tc>
          <w:tcPr>
            <w:tcW w:w="5" w:type="pct"/>
            <w:vAlign w:val="center"/>
            <w:hideMark/>
          </w:tcPr>
          <w:p w14:paraId="3ECADD0C" w14:textId="77777777" w:rsidR="00000000" w:rsidRDefault="00405D16">
            <w:pPr>
              <w:spacing w:after="100"/>
              <w:rPr>
                <w:rFonts w:eastAsia="Times New Roman"/>
                <w:sz w:val="20"/>
                <w:szCs w:val="20"/>
              </w:rPr>
            </w:pPr>
          </w:p>
        </w:tc>
        <w:tc>
          <w:tcPr>
            <w:tcW w:w="26" w:type="pct"/>
            <w:vAlign w:val="center"/>
            <w:hideMark/>
          </w:tcPr>
          <w:p w14:paraId="078EF14D" w14:textId="77777777" w:rsidR="00000000" w:rsidRDefault="00405D16">
            <w:pPr>
              <w:spacing w:after="100"/>
              <w:rPr>
                <w:rFonts w:eastAsia="Times New Roman"/>
                <w:sz w:val="20"/>
                <w:szCs w:val="20"/>
              </w:rPr>
            </w:pPr>
          </w:p>
        </w:tc>
        <w:tc>
          <w:tcPr>
            <w:tcW w:w="5" w:type="pct"/>
            <w:gridSpan w:val="2"/>
            <w:vAlign w:val="center"/>
            <w:hideMark/>
          </w:tcPr>
          <w:p w14:paraId="11CBC595" w14:textId="77777777" w:rsidR="00000000" w:rsidRDefault="00405D16">
            <w:pPr>
              <w:spacing w:after="100"/>
              <w:rPr>
                <w:rFonts w:eastAsia="Times New Roman"/>
                <w:sz w:val="20"/>
                <w:szCs w:val="20"/>
              </w:rPr>
            </w:pPr>
          </w:p>
        </w:tc>
        <w:tc>
          <w:tcPr>
            <w:tcW w:w="50" w:type="pct"/>
            <w:vAlign w:val="center"/>
            <w:hideMark/>
          </w:tcPr>
          <w:p w14:paraId="516797DB" w14:textId="77777777" w:rsidR="00000000" w:rsidRDefault="00405D16">
            <w:pPr>
              <w:spacing w:after="100"/>
              <w:rPr>
                <w:rFonts w:eastAsia="Times New Roman"/>
                <w:sz w:val="20"/>
                <w:szCs w:val="20"/>
              </w:rPr>
            </w:pPr>
          </w:p>
        </w:tc>
        <w:tc>
          <w:tcPr>
            <w:tcW w:w="273" w:type="pct"/>
            <w:gridSpan w:val="4"/>
            <w:vAlign w:val="center"/>
            <w:hideMark/>
          </w:tcPr>
          <w:p w14:paraId="0E398547" w14:textId="77777777" w:rsidR="00000000" w:rsidRDefault="00405D16">
            <w:pPr>
              <w:spacing w:after="100"/>
              <w:rPr>
                <w:rFonts w:eastAsia="Times New Roman"/>
                <w:sz w:val="20"/>
                <w:szCs w:val="20"/>
              </w:rPr>
            </w:pPr>
          </w:p>
        </w:tc>
        <w:tc>
          <w:tcPr>
            <w:tcW w:w="5" w:type="pct"/>
            <w:vAlign w:val="center"/>
            <w:hideMark/>
          </w:tcPr>
          <w:p w14:paraId="4FBAAAAA" w14:textId="77777777" w:rsidR="00000000" w:rsidRDefault="00405D16">
            <w:pPr>
              <w:spacing w:after="100"/>
              <w:rPr>
                <w:rFonts w:eastAsia="Times New Roman"/>
                <w:sz w:val="20"/>
                <w:szCs w:val="20"/>
              </w:rPr>
            </w:pPr>
          </w:p>
        </w:tc>
        <w:tc>
          <w:tcPr>
            <w:tcW w:w="5" w:type="pct"/>
            <w:gridSpan w:val="2"/>
            <w:vAlign w:val="center"/>
            <w:hideMark/>
          </w:tcPr>
          <w:p w14:paraId="47322C9A" w14:textId="77777777" w:rsidR="00000000" w:rsidRDefault="00405D16">
            <w:pPr>
              <w:spacing w:after="100"/>
              <w:rPr>
                <w:rFonts w:eastAsia="Times New Roman"/>
                <w:sz w:val="20"/>
                <w:szCs w:val="20"/>
              </w:rPr>
            </w:pPr>
          </w:p>
        </w:tc>
        <w:tc>
          <w:tcPr>
            <w:tcW w:w="26" w:type="pct"/>
            <w:vAlign w:val="center"/>
            <w:hideMark/>
          </w:tcPr>
          <w:p w14:paraId="6AE5D88C" w14:textId="77777777" w:rsidR="00000000" w:rsidRDefault="00405D16">
            <w:pPr>
              <w:spacing w:after="100"/>
              <w:rPr>
                <w:rFonts w:eastAsia="Times New Roman"/>
                <w:sz w:val="20"/>
                <w:szCs w:val="20"/>
              </w:rPr>
            </w:pPr>
          </w:p>
        </w:tc>
        <w:tc>
          <w:tcPr>
            <w:tcW w:w="5" w:type="pct"/>
            <w:vAlign w:val="center"/>
            <w:hideMark/>
          </w:tcPr>
          <w:p w14:paraId="0EB17371" w14:textId="77777777" w:rsidR="00000000" w:rsidRDefault="00405D16">
            <w:pPr>
              <w:spacing w:after="100"/>
              <w:rPr>
                <w:rFonts w:eastAsia="Times New Roman"/>
                <w:sz w:val="20"/>
                <w:szCs w:val="20"/>
              </w:rPr>
            </w:pPr>
          </w:p>
        </w:tc>
        <w:tc>
          <w:tcPr>
            <w:tcW w:w="50" w:type="pct"/>
            <w:gridSpan w:val="2"/>
            <w:vAlign w:val="center"/>
            <w:hideMark/>
          </w:tcPr>
          <w:p w14:paraId="48A65DD6" w14:textId="77777777" w:rsidR="00000000" w:rsidRDefault="00405D16">
            <w:pPr>
              <w:spacing w:after="100"/>
              <w:rPr>
                <w:rFonts w:eastAsia="Times New Roman"/>
                <w:sz w:val="20"/>
                <w:szCs w:val="20"/>
              </w:rPr>
            </w:pPr>
          </w:p>
        </w:tc>
        <w:tc>
          <w:tcPr>
            <w:tcW w:w="244" w:type="pct"/>
            <w:gridSpan w:val="2"/>
            <w:vAlign w:val="center"/>
            <w:hideMark/>
          </w:tcPr>
          <w:p w14:paraId="316AC5E4" w14:textId="77777777" w:rsidR="00000000" w:rsidRDefault="00405D16">
            <w:pPr>
              <w:spacing w:after="100"/>
              <w:rPr>
                <w:rFonts w:eastAsia="Times New Roman"/>
                <w:sz w:val="20"/>
                <w:szCs w:val="20"/>
              </w:rPr>
            </w:pPr>
          </w:p>
        </w:tc>
        <w:tc>
          <w:tcPr>
            <w:tcW w:w="5" w:type="pct"/>
            <w:vAlign w:val="center"/>
            <w:hideMark/>
          </w:tcPr>
          <w:p w14:paraId="68368BED" w14:textId="77777777" w:rsidR="00000000" w:rsidRDefault="00405D16">
            <w:pPr>
              <w:spacing w:after="100"/>
              <w:rPr>
                <w:rFonts w:eastAsia="Times New Roman"/>
                <w:sz w:val="20"/>
                <w:szCs w:val="20"/>
              </w:rPr>
            </w:pPr>
          </w:p>
        </w:tc>
        <w:tc>
          <w:tcPr>
            <w:tcW w:w="5" w:type="pct"/>
            <w:vAlign w:val="center"/>
            <w:hideMark/>
          </w:tcPr>
          <w:p w14:paraId="0FA2E39C" w14:textId="77777777" w:rsidR="00000000" w:rsidRDefault="00405D16">
            <w:pPr>
              <w:spacing w:after="100"/>
              <w:rPr>
                <w:rFonts w:eastAsia="Times New Roman"/>
                <w:sz w:val="20"/>
                <w:szCs w:val="20"/>
              </w:rPr>
            </w:pPr>
          </w:p>
        </w:tc>
        <w:tc>
          <w:tcPr>
            <w:tcW w:w="26" w:type="pct"/>
            <w:gridSpan w:val="2"/>
            <w:vAlign w:val="center"/>
            <w:hideMark/>
          </w:tcPr>
          <w:p w14:paraId="77028959" w14:textId="77777777" w:rsidR="00000000" w:rsidRDefault="00405D16">
            <w:pPr>
              <w:spacing w:after="100"/>
              <w:rPr>
                <w:rFonts w:eastAsia="Times New Roman"/>
                <w:sz w:val="20"/>
                <w:szCs w:val="20"/>
              </w:rPr>
            </w:pPr>
          </w:p>
        </w:tc>
        <w:tc>
          <w:tcPr>
            <w:tcW w:w="5" w:type="pct"/>
            <w:vAlign w:val="center"/>
            <w:hideMark/>
          </w:tcPr>
          <w:p w14:paraId="375C0595" w14:textId="77777777" w:rsidR="00000000" w:rsidRDefault="00405D16">
            <w:pPr>
              <w:spacing w:after="100"/>
              <w:rPr>
                <w:rFonts w:eastAsia="Times New Roman"/>
                <w:sz w:val="20"/>
                <w:szCs w:val="20"/>
              </w:rPr>
            </w:pPr>
          </w:p>
        </w:tc>
        <w:tc>
          <w:tcPr>
            <w:tcW w:w="50" w:type="pct"/>
            <w:gridSpan w:val="2"/>
            <w:vAlign w:val="center"/>
            <w:hideMark/>
          </w:tcPr>
          <w:p w14:paraId="604EEE7B" w14:textId="77777777" w:rsidR="00000000" w:rsidRDefault="00405D16">
            <w:pPr>
              <w:spacing w:after="100"/>
              <w:rPr>
                <w:rFonts w:eastAsia="Times New Roman"/>
                <w:sz w:val="20"/>
                <w:szCs w:val="20"/>
              </w:rPr>
            </w:pPr>
          </w:p>
        </w:tc>
        <w:tc>
          <w:tcPr>
            <w:tcW w:w="244" w:type="pct"/>
            <w:gridSpan w:val="4"/>
            <w:vAlign w:val="center"/>
            <w:hideMark/>
          </w:tcPr>
          <w:p w14:paraId="4F1FDE37" w14:textId="77777777" w:rsidR="00000000" w:rsidRDefault="00405D16">
            <w:pPr>
              <w:spacing w:after="100"/>
              <w:rPr>
                <w:rFonts w:eastAsia="Times New Roman"/>
                <w:sz w:val="20"/>
                <w:szCs w:val="20"/>
              </w:rPr>
            </w:pPr>
          </w:p>
        </w:tc>
        <w:tc>
          <w:tcPr>
            <w:tcW w:w="5" w:type="pct"/>
            <w:vAlign w:val="center"/>
            <w:hideMark/>
          </w:tcPr>
          <w:p w14:paraId="149CD5A6" w14:textId="77777777" w:rsidR="00000000" w:rsidRDefault="00405D16">
            <w:pPr>
              <w:spacing w:after="100"/>
              <w:rPr>
                <w:rFonts w:eastAsia="Times New Roman"/>
                <w:sz w:val="20"/>
                <w:szCs w:val="20"/>
              </w:rPr>
            </w:pPr>
          </w:p>
        </w:tc>
        <w:tc>
          <w:tcPr>
            <w:tcW w:w="5" w:type="pct"/>
            <w:vAlign w:val="center"/>
            <w:hideMark/>
          </w:tcPr>
          <w:p w14:paraId="5FBD09D5" w14:textId="77777777" w:rsidR="00000000" w:rsidRDefault="00405D16">
            <w:pPr>
              <w:spacing w:after="100"/>
              <w:rPr>
                <w:rFonts w:eastAsia="Times New Roman"/>
                <w:sz w:val="20"/>
                <w:szCs w:val="20"/>
              </w:rPr>
            </w:pPr>
          </w:p>
        </w:tc>
        <w:tc>
          <w:tcPr>
            <w:tcW w:w="26" w:type="pct"/>
            <w:vAlign w:val="center"/>
            <w:hideMark/>
          </w:tcPr>
          <w:p w14:paraId="722F29FC" w14:textId="77777777" w:rsidR="00000000" w:rsidRDefault="00405D16">
            <w:pPr>
              <w:spacing w:after="100"/>
              <w:rPr>
                <w:rFonts w:eastAsia="Times New Roman"/>
                <w:sz w:val="20"/>
                <w:szCs w:val="20"/>
              </w:rPr>
            </w:pPr>
          </w:p>
        </w:tc>
        <w:tc>
          <w:tcPr>
            <w:tcW w:w="5" w:type="pct"/>
            <w:vAlign w:val="center"/>
            <w:hideMark/>
          </w:tcPr>
          <w:p w14:paraId="166AA12F" w14:textId="77777777" w:rsidR="00000000" w:rsidRDefault="00405D16">
            <w:pPr>
              <w:spacing w:after="100"/>
              <w:rPr>
                <w:rFonts w:eastAsia="Times New Roman"/>
                <w:sz w:val="20"/>
                <w:szCs w:val="20"/>
              </w:rPr>
            </w:pPr>
          </w:p>
        </w:tc>
        <w:tc>
          <w:tcPr>
            <w:tcW w:w="50" w:type="pct"/>
            <w:vAlign w:val="center"/>
            <w:hideMark/>
          </w:tcPr>
          <w:p w14:paraId="13B64CA3" w14:textId="77777777" w:rsidR="00000000" w:rsidRDefault="00405D16">
            <w:pPr>
              <w:spacing w:after="100"/>
              <w:rPr>
                <w:rFonts w:eastAsia="Times New Roman"/>
                <w:sz w:val="20"/>
                <w:szCs w:val="20"/>
              </w:rPr>
            </w:pPr>
          </w:p>
        </w:tc>
        <w:tc>
          <w:tcPr>
            <w:tcW w:w="259" w:type="pct"/>
            <w:gridSpan w:val="4"/>
            <w:vAlign w:val="center"/>
            <w:hideMark/>
          </w:tcPr>
          <w:p w14:paraId="53A6C468" w14:textId="77777777" w:rsidR="00000000" w:rsidRDefault="00405D16">
            <w:pPr>
              <w:spacing w:after="100"/>
              <w:rPr>
                <w:rFonts w:eastAsia="Times New Roman"/>
                <w:sz w:val="20"/>
                <w:szCs w:val="20"/>
              </w:rPr>
            </w:pPr>
          </w:p>
        </w:tc>
        <w:tc>
          <w:tcPr>
            <w:tcW w:w="5" w:type="pct"/>
            <w:vAlign w:val="center"/>
            <w:hideMark/>
          </w:tcPr>
          <w:p w14:paraId="3FC9B6A7" w14:textId="77777777" w:rsidR="00000000" w:rsidRDefault="00405D16">
            <w:pPr>
              <w:spacing w:after="100"/>
              <w:rPr>
                <w:rFonts w:eastAsia="Times New Roman"/>
                <w:sz w:val="20"/>
                <w:szCs w:val="20"/>
              </w:rPr>
            </w:pPr>
          </w:p>
        </w:tc>
        <w:tc>
          <w:tcPr>
            <w:tcW w:w="5" w:type="pct"/>
            <w:gridSpan w:val="2"/>
            <w:vAlign w:val="center"/>
            <w:hideMark/>
          </w:tcPr>
          <w:p w14:paraId="3870FB96" w14:textId="77777777" w:rsidR="00000000" w:rsidRDefault="00405D16">
            <w:pPr>
              <w:spacing w:after="100"/>
              <w:rPr>
                <w:rFonts w:eastAsia="Times New Roman"/>
                <w:sz w:val="20"/>
                <w:szCs w:val="20"/>
              </w:rPr>
            </w:pPr>
          </w:p>
        </w:tc>
        <w:tc>
          <w:tcPr>
            <w:tcW w:w="26" w:type="pct"/>
            <w:vAlign w:val="center"/>
            <w:hideMark/>
          </w:tcPr>
          <w:p w14:paraId="617077F1" w14:textId="77777777" w:rsidR="00000000" w:rsidRDefault="00405D16">
            <w:pPr>
              <w:spacing w:after="100"/>
              <w:rPr>
                <w:rFonts w:eastAsia="Times New Roman"/>
                <w:sz w:val="20"/>
                <w:szCs w:val="20"/>
              </w:rPr>
            </w:pPr>
          </w:p>
        </w:tc>
        <w:tc>
          <w:tcPr>
            <w:tcW w:w="5" w:type="pct"/>
            <w:vAlign w:val="center"/>
            <w:hideMark/>
          </w:tcPr>
          <w:p w14:paraId="32B63936" w14:textId="77777777" w:rsidR="00000000" w:rsidRDefault="00405D16">
            <w:pPr>
              <w:spacing w:after="100"/>
              <w:rPr>
                <w:rFonts w:eastAsia="Times New Roman"/>
                <w:sz w:val="20"/>
                <w:szCs w:val="20"/>
              </w:rPr>
            </w:pPr>
          </w:p>
        </w:tc>
        <w:tc>
          <w:tcPr>
            <w:tcW w:w="50" w:type="pct"/>
            <w:gridSpan w:val="2"/>
            <w:vAlign w:val="center"/>
            <w:hideMark/>
          </w:tcPr>
          <w:p w14:paraId="13BD8C3C" w14:textId="77777777" w:rsidR="00000000" w:rsidRDefault="00405D16">
            <w:pPr>
              <w:spacing w:after="100"/>
              <w:rPr>
                <w:rFonts w:eastAsia="Times New Roman"/>
                <w:sz w:val="20"/>
                <w:szCs w:val="20"/>
              </w:rPr>
            </w:pPr>
          </w:p>
        </w:tc>
        <w:tc>
          <w:tcPr>
            <w:tcW w:w="200" w:type="pct"/>
            <w:gridSpan w:val="2"/>
            <w:vAlign w:val="center"/>
            <w:hideMark/>
          </w:tcPr>
          <w:p w14:paraId="69B99570" w14:textId="77777777" w:rsidR="00000000" w:rsidRDefault="00405D16">
            <w:pPr>
              <w:spacing w:after="100"/>
              <w:rPr>
                <w:rFonts w:eastAsia="Times New Roman"/>
                <w:sz w:val="20"/>
                <w:szCs w:val="20"/>
              </w:rPr>
            </w:pPr>
          </w:p>
        </w:tc>
        <w:tc>
          <w:tcPr>
            <w:tcW w:w="5" w:type="pct"/>
            <w:vAlign w:val="center"/>
            <w:hideMark/>
          </w:tcPr>
          <w:p w14:paraId="0FA6DA02" w14:textId="77777777" w:rsidR="00000000" w:rsidRDefault="00405D16">
            <w:pPr>
              <w:spacing w:after="100"/>
              <w:rPr>
                <w:rFonts w:eastAsia="Times New Roman"/>
                <w:sz w:val="20"/>
                <w:szCs w:val="20"/>
              </w:rPr>
            </w:pPr>
          </w:p>
        </w:tc>
        <w:tc>
          <w:tcPr>
            <w:tcW w:w="5" w:type="pct"/>
            <w:vAlign w:val="center"/>
            <w:hideMark/>
          </w:tcPr>
          <w:p w14:paraId="0F063CEC" w14:textId="77777777" w:rsidR="00000000" w:rsidRDefault="00405D16">
            <w:pPr>
              <w:spacing w:after="100"/>
              <w:rPr>
                <w:rFonts w:eastAsia="Times New Roman"/>
                <w:sz w:val="20"/>
                <w:szCs w:val="20"/>
              </w:rPr>
            </w:pPr>
          </w:p>
        </w:tc>
        <w:tc>
          <w:tcPr>
            <w:tcW w:w="26" w:type="pct"/>
            <w:vAlign w:val="center"/>
            <w:hideMark/>
          </w:tcPr>
          <w:p w14:paraId="7D5BD411" w14:textId="77777777" w:rsidR="00000000" w:rsidRDefault="00405D16">
            <w:pPr>
              <w:spacing w:after="100"/>
              <w:rPr>
                <w:rFonts w:eastAsia="Times New Roman"/>
                <w:sz w:val="20"/>
                <w:szCs w:val="20"/>
              </w:rPr>
            </w:pPr>
          </w:p>
        </w:tc>
        <w:tc>
          <w:tcPr>
            <w:tcW w:w="5" w:type="pct"/>
            <w:vAlign w:val="center"/>
            <w:hideMark/>
          </w:tcPr>
          <w:p w14:paraId="46E38211" w14:textId="77777777" w:rsidR="00000000" w:rsidRDefault="00405D16">
            <w:pPr>
              <w:spacing w:after="100"/>
              <w:rPr>
                <w:rFonts w:eastAsia="Times New Roman"/>
                <w:sz w:val="20"/>
                <w:szCs w:val="20"/>
              </w:rPr>
            </w:pPr>
          </w:p>
        </w:tc>
        <w:tc>
          <w:tcPr>
            <w:tcW w:w="50" w:type="pct"/>
            <w:vAlign w:val="center"/>
            <w:hideMark/>
          </w:tcPr>
          <w:p w14:paraId="2101A39D" w14:textId="77777777" w:rsidR="00000000" w:rsidRDefault="00405D16">
            <w:pPr>
              <w:spacing w:after="100"/>
              <w:rPr>
                <w:rFonts w:eastAsia="Times New Roman"/>
                <w:sz w:val="20"/>
                <w:szCs w:val="20"/>
              </w:rPr>
            </w:pPr>
          </w:p>
        </w:tc>
        <w:tc>
          <w:tcPr>
            <w:tcW w:w="244" w:type="pct"/>
            <w:gridSpan w:val="4"/>
            <w:vAlign w:val="center"/>
            <w:hideMark/>
          </w:tcPr>
          <w:p w14:paraId="56EE84EB" w14:textId="77777777" w:rsidR="00000000" w:rsidRDefault="00405D16">
            <w:pPr>
              <w:spacing w:after="100"/>
              <w:rPr>
                <w:rFonts w:eastAsia="Times New Roman"/>
                <w:sz w:val="20"/>
                <w:szCs w:val="20"/>
              </w:rPr>
            </w:pPr>
          </w:p>
        </w:tc>
        <w:tc>
          <w:tcPr>
            <w:tcW w:w="5" w:type="pct"/>
            <w:gridSpan w:val="2"/>
            <w:vAlign w:val="center"/>
            <w:hideMark/>
          </w:tcPr>
          <w:p w14:paraId="176DFEC5" w14:textId="77777777" w:rsidR="00000000" w:rsidRDefault="00405D16">
            <w:pPr>
              <w:spacing w:after="100"/>
              <w:rPr>
                <w:rFonts w:eastAsia="Times New Roman"/>
                <w:sz w:val="20"/>
                <w:szCs w:val="20"/>
              </w:rPr>
            </w:pPr>
          </w:p>
        </w:tc>
        <w:tc>
          <w:tcPr>
            <w:tcW w:w="5" w:type="pct"/>
            <w:vAlign w:val="center"/>
            <w:hideMark/>
          </w:tcPr>
          <w:p w14:paraId="71D38569" w14:textId="77777777" w:rsidR="00000000" w:rsidRDefault="00405D16">
            <w:pPr>
              <w:spacing w:after="100"/>
              <w:rPr>
                <w:rFonts w:eastAsia="Times New Roman"/>
                <w:sz w:val="20"/>
                <w:szCs w:val="20"/>
              </w:rPr>
            </w:pPr>
          </w:p>
        </w:tc>
        <w:tc>
          <w:tcPr>
            <w:tcW w:w="26" w:type="pct"/>
            <w:vAlign w:val="center"/>
            <w:hideMark/>
          </w:tcPr>
          <w:p w14:paraId="5AB1EFAD" w14:textId="77777777" w:rsidR="00000000" w:rsidRDefault="00405D16">
            <w:pPr>
              <w:spacing w:after="100"/>
              <w:rPr>
                <w:rFonts w:eastAsia="Times New Roman"/>
                <w:sz w:val="20"/>
                <w:szCs w:val="20"/>
              </w:rPr>
            </w:pPr>
          </w:p>
        </w:tc>
        <w:tc>
          <w:tcPr>
            <w:tcW w:w="5" w:type="pct"/>
            <w:vAlign w:val="center"/>
            <w:hideMark/>
          </w:tcPr>
          <w:p w14:paraId="7744944A" w14:textId="77777777" w:rsidR="00000000" w:rsidRDefault="00405D16">
            <w:pPr>
              <w:spacing w:after="100"/>
              <w:rPr>
                <w:rFonts w:eastAsia="Times New Roman"/>
                <w:sz w:val="20"/>
                <w:szCs w:val="20"/>
              </w:rPr>
            </w:pPr>
          </w:p>
        </w:tc>
        <w:tc>
          <w:tcPr>
            <w:tcW w:w="50" w:type="pct"/>
            <w:gridSpan w:val="2"/>
            <w:vAlign w:val="center"/>
            <w:hideMark/>
          </w:tcPr>
          <w:p w14:paraId="1CF9CFEC" w14:textId="77777777" w:rsidR="00000000" w:rsidRDefault="00405D16">
            <w:pPr>
              <w:spacing w:after="100"/>
              <w:rPr>
                <w:rFonts w:eastAsia="Times New Roman"/>
                <w:sz w:val="20"/>
                <w:szCs w:val="20"/>
              </w:rPr>
            </w:pPr>
          </w:p>
        </w:tc>
        <w:tc>
          <w:tcPr>
            <w:tcW w:w="295" w:type="pct"/>
            <w:gridSpan w:val="3"/>
            <w:vAlign w:val="center"/>
            <w:hideMark/>
          </w:tcPr>
          <w:p w14:paraId="36AA6016" w14:textId="77777777" w:rsidR="00000000" w:rsidRDefault="00405D16">
            <w:pPr>
              <w:spacing w:after="100"/>
              <w:rPr>
                <w:rFonts w:eastAsia="Times New Roman"/>
                <w:sz w:val="20"/>
                <w:szCs w:val="20"/>
              </w:rPr>
            </w:pPr>
          </w:p>
        </w:tc>
        <w:tc>
          <w:tcPr>
            <w:tcW w:w="5" w:type="pct"/>
            <w:vAlign w:val="center"/>
            <w:hideMark/>
          </w:tcPr>
          <w:p w14:paraId="4134ED2E" w14:textId="77777777" w:rsidR="00000000" w:rsidRDefault="00405D16">
            <w:pPr>
              <w:spacing w:after="100"/>
              <w:rPr>
                <w:rFonts w:eastAsia="Times New Roman"/>
                <w:sz w:val="20"/>
                <w:szCs w:val="20"/>
              </w:rPr>
            </w:pPr>
          </w:p>
        </w:tc>
        <w:tc>
          <w:tcPr>
            <w:tcW w:w="5" w:type="pct"/>
            <w:vAlign w:val="center"/>
            <w:hideMark/>
          </w:tcPr>
          <w:p w14:paraId="267BD89A" w14:textId="77777777" w:rsidR="00000000" w:rsidRDefault="00405D16">
            <w:pPr>
              <w:spacing w:after="100"/>
              <w:rPr>
                <w:rFonts w:eastAsia="Times New Roman"/>
                <w:sz w:val="20"/>
                <w:szCs w:val="20"/>
              </w:rPr>
            </w:pPr>
          </w:p>
        </w:tc>
        <w:tc>
          <w:tcPr>
            <w:tcW w:w="26" w:type="pct"/>
            <w:gridSpan w:val="2"/>
            <w:vAlign w:val="center"/>
            <w:hideMark/>
          </w:tcPr>
          <w:p w14:paraId="78314C15" w14:textId="77777777" w:rsidR="00000000" w:rsidRDefault="00405D16">
            <w:pPr>
              <w:spacing w:after="100"/>
              <w:rPr>
                <w:rFonts w:eastAsia="Times New Roman"/>
                <w:sz w:val="20"/>
                <w:szCs w:val="20"/>
              </w:rPr>
            </w:pPr>
          </w:p>
        </w:tc>
        <w:tc>
          <w:tcPr>
            <w:tcW w:w="5" w:type="pct"/>
            <w:vAlign w:val="center"/>
            <w:hideMark/>
          </w:tcPr>
          <w:p w14:paraId="1640AE0E" w14:textId="77777777" w:rsidR="00000000" w:rsidRDefault="00405D16">
            <w:pPr>
              <w:spacing w:after="100"/>
              <w:rPr>
                <w:rFonts w:eastAsia="Times New Roman"/>
                <w:sz w:val="20"/>
                <w:szCs w:val="20"/>
              </w:rPr>
            </w:pPr>
          </w:p>
        </w:tc>
        <w:tc>
          <w:tcPr>
            <w:tcW w:w="50" w:type="pct"/>
            <w:gridSpan w:val="2"/>
            <w:vAlign w:val="center"/>
            <w:hideMark/>
          </w:tcPr>
          <w:p w14:paraId="4A61FC44" w14:textId="77777777" w:rsidR="00000000" w:rsidRDefault="00405D16">
            <w:pPr>
              <w:spacing w:after="100"/>
              <w:rPr>
                <w:rFonts w:eastAsia="Times New Roman"/>
                <w:sz w:val="20"/>
                <w:szCs w:val="20"/>
              </w:rPr>
            </w:pPr>
          </w:p>
        </w:tc>
        <w:tc>
          <w:tcPr>
            <w:tcW w:w="266" w:type="pct"/>
            <w:gridSpan w:val="4"/>
            <w:vAlign w:val="center"/>
            <w:hideMark/>
          </w:tcPr>
          <w:p w14:paraId="2C17AAD9" w14:textId="77777777" w:rsidR="00000000" w:rsidRDefault="00405D16">
            <w:pPr>
              <w:spacing w:after="100"/>
              <w:rPr>
                <w:rFonts w:eastAsia="Times New Roman"/>
                <w:sz w:val="20"/>
                <w:szCs w:val="20"/>
              </w:rPr>
            </w:pPr>
          </w:p>
        </w:tc>
        <w:tc>
          <w:tcPr>
            <w:tcW w:w="5" w:type="pct"/>
            <w:vAlign w:val="center"/>
            <w:hideMark/>
          </w:tcPr>
          <w:p w14:paraId="2302211F" w14:textId="77777777" w:rsidR="00000000" w:rsidRDefault="00405D16">
            <w:pPr>
              <w:spacing w:after="100"/>
              <w:rPr>
                <w:rFonts w:eastAsia="Times New Roman"/>
                <w:sz w:val="20"/>
                <w:szCs w:val="20"/>
              </w:rPr>
            </w:pPr>
          </w:p>
        </w:tc>
        <w:tc>
          <w:tcPr>
            <w:tcW w:w="5" w:type="pct"/>
            <w:vAlign w:val="center"/>
            <w:hideMark/>
          </w:tcPr>
          <w:p w14:paraId="23BD7762" w14:textId="77777777" w:rsidR="00000000" w:rsidRDefault="00405D16">
            <w:pPr>
              <w:spacing w:after="100"/>
              <w:rPr>
                <w:rFonts w:eastAsia="Times New Roman"/>
                <w:sz w:val="20"/>
                <w:szCs w:val="20"/>
              </w:rPr>
            </w:pPr>
          </w:p>
        </w:tc>
        <w:tc>
          <w:tcPr>
            <w:tcW w:w="26" w:type="pct"/>
            <w:vAlign w:val="center"/>
            <w:hideMark/>
          </w:tcPr>
          <w:p w14:paraId="3699AB44" w14:textId="77777777" w:rsidR="00000000" w:rsidRDefault="00405D16">
            <w:pPr>
              <w:spacing w:after="100"/>
              <w:rPr>
                <w:rFonts w:eastAsia="Times New Roman"/>
                <w:sz w:val="20"/>
                <w:szCs w:val="20"/>
              </w:rPr>
            </w:pPr>
          </w:p>
        </w:tc>
        <w:tc>
          <w:tcPr>
            <w:tcW w:w="5" w:type="pct"/>
            <w:vAlign w:val="center"/>
            <w:hideMark/>
          </w:tcPr>
          <w:p w14:paraId="404C202D" w14:textId="77777777" w:rsidR="00000000" w:rsidRDefault="00405D16">
            <w:pPr>
              <w:spacing w:after="100"/>
              <w:rPr>
                <w:rFonts w:eastAsia="Times New Roman"/>
                <w:sz w:val="20"/>
                <w:szCs w:val="20"/>
              </w:rPr>
            </w:pPr>
          </w:p>
        </w:tc>
        <w:tc>
          <w:tcPr>
            <w:tcW w:w="50" w:type="pct"/>
            <w:vAlign w:val="center"/>
            <w:hideMark/>
          </w:tcPr>
          <w:p w14:paraId="437B3B55" w14:textId="77777777" w:rsidR="00000000" w:rsidRDefault="00405D16">
            <w:pPr>
              <w:spacing w:after="100"/>
              <w:rPr>
                <w:rFonts w:eastAsia="Times New Roman"/>
                <w:sz w:val="20"/>
                <w:szCs w:val="20"/>
              </w:rPr>
            </w:pPr>
          </w:p>
        </w:tc>
        <w:tc>
          <w:tcPr>
            <w:tcW w:w="244" w:type="pct"/>
            <w:gridSpan w:val="4"/>
            <w:vAlign w:val="center"/>
            <w:hideMark/>
          </w:tcPr>
          <w:p w14:paraId="69A015AD" w14:textId="77777777" w:rsidR="00000000" w:rsidRDefault="00405D16">
            <w:pPr>
              <w:spacing w:after="100"/>
              <w:rPr>
                <w:rFonts w:eastAsia="Times New Roman"/>
                <w:sz w:val="20"/>
                <w:szCs w:val="20"/>
              </w:rPr>
            </w:pPr>
          </w:p>
        </w:tc>
        <w:tc>
          <w:tcPr>
            <w:tcW w:w="5" w:type="pct"/>
            <w:gridSpan w:val="2"/>
            <w:vAlign w:val="center"/>
            <w:hideMark/>
          </w:tcPr>
          <w:p w14:paraId="3D6C79F8" w14:textId="77777777" w:rsidR="00000000" w:rsidRDefault="00405D16">
            <w:pPr>
              <w:spacing w:after="100"/>
              <w:rPr>
                <w:rFonts w:eastAsia="Times New Roman"/>
                <w:sz w:val="20"/>
                <w:szCs w:val="20"/>
              </w:rPr>
            </w:pPr>
          </w:p>
        </w:tc>
        <w:tc>
          <w:tcPr>
            <w:tcW w:w="5" w:type="pct"/>
            <w:vAlign w:val="center"/>
            <w:hideMark/>
          </w:tcPr>
          <w:p w14:paraId="058FFD0F" w14:textId="77777777" w:rsidR="00000000" w:rsidRDefault="00405D16">
            <w:pPr>
              <w:spacing w:after="100"/>
              <w:rPr>
                <w:rFonts w:eastAsia="Times New Roman"/>
                <w:sz w:val="20"/>
                <w:szCs w:val="20"/>
              </w:rPr>
            </w:pPr>
          </w:p>
        </w:tc>
        <w:tc>
          <w:tcPr>
            <w:tcW w:w="26" w:type="pct"/>
            <w:vAlign w:val="center"/>
            <w:hideMark/>
          </w:tcPr>
          <w:p w14:paraId="7FEBD361" w14:textId="77777777" w:rsidR="00000000" w:rsidRDefault="00405D16">
            <w:pPr>
              <w:spacing w:after="100"/>
              <w:rPr>
                <w:rFonts w:eastAsia="Times New Roman"/>
                <w:sz w:val="20"/>
                <w:szCs w:val="20"/>
              </w:rPr>
            </w:pPr>
          </w:p>
        </w:tc>
        <w:tc>
          <w:tcPr>
            <w:tcW w:w="5" w:type="pct"/>
            <w:vAlign w:val="center"/>
            <w:hideMark/>
          </w:tcPr>
          <w:p w14:paraId="15193384" w14:textId="77777777" w:rsidR="00000000" w:rsidRDefault="00405D16">
            <w:pPr>
              <w:spacing w:after="100"/>
              <w:rPr>
                <w:rFonts w:eastAsia="Times New Roman"/>
                <w:sz w:val="20"/>
                <w:szCs w:val="20"/>
              </w:rPr>
            </w:pPr>
          </w:p>
        </w:tc>
        <w:tc>
          <w:tcPr>
            <w:tcW w:w="50" w:type="pct"/>
            <w:gridSpan w:val="2"/>
            <w:vAlign w:val="center"/>
            <w:hideMark/>
          </w:tcPr>
          <w:p w14:paraId="02DA0B6D" w14:textId="77777777" w:rsidR="00000000" w:rsidRDefault="00405D16">
            <w:pPr>
              <w:spacing w:after="100"/>
              <w:rPr>
                <w:rFonts w:eastAsia="Times New Roman"/>
                <w:sz w:val="20"/>
                <w:szCs w:val="20"/>
              </w:rPr>
            </w:pPr>
          </w:p>
        </w:tc>
        <w:tc>
          <w:tcPr>
            <w:tcW w:w="354" w:type="pct"/>
            <w:gridSpan w:val="4"/>
            <w:vAlign w:val="center"/>
            <w:hideMark/>
          </w:tcPr>
          <w:p w14:paraId="01F4F81E" w14:textId="77777777" w:rsidR="00000000" w:rsidRDefault="00405D16">
            <w:pPr>
              <w:spacing w:after="100"/>
              <w:rPr>
                <w:rFonts w:eastAsia="Times New Roman"/>
                <w:sz w:val="20"/>
                <w:szCs w:val="20"/>
              </w:rPr>
            </w:pPr>
          </w:p>
        </w:tc>
        <w:tc>
          <w:tcPr>
            <w:tcW w:w="5" w:type="pct"/>
            <w:gridSpan w:val="5"/>
            <w:vAlign w:val="center"/>
            <w:hideMark/>
          </w:tcPr>
          <w:p w14:paraId="2DDF4E20" w14:textId="77777777" w:rsidR="00000000" w:rsidRDefault="00405D16">
            <w:pPr>
              <w:spacing w:after="100"/>
              <w:rPr>
                <w:rFonts w:eastAsia="Times New Roman"/>
                <w:sz w:val="20"/>
                <w:szCs w:val="20"/>
              </w:rPr>
            </w:pPr>
          </w:p>
        </w:tc>
      </w:tr>
      <w:tr w:rsidR="00000000" w14:paraId="2DDA830F" w14:textId="77777777">
        <w:trPr>
          <w:gridAfter w:val="20"/>
          <w:divId w:val="403920393"/>
        </w:trPr>
        <w:tc>
          <w:tcPr>
            <w:tcW w:w="0" w:type="auto"/>
            <w:gridSpan w:val="4"/>
            <w:tcMar>
              <w:top w:w="0" w:type="dxa"/>
              <w:left w:w="20" w:type="dxa"/>
              <w:bottom w:w="0" w:type="dxa"/>
              <w:right w:w="20" w:type="dxa"/>
            </w:tcMar>
            <w:vAlign w:val="center"/>
            <w:hideMark/>
          </w:tcPr>
          <w:p w14:paraId="1EE1CB13" w14:textId="77777777" w:rsidR="00000000" w:rsidRDefault="00405D16">
            <w:pPr>
              <w:spacing w:after="100"/>
              <w:rPr>
                <w:rFonts w:eastAsia="Times New Roman"/>
                <w:sz w:val="20"/>
                <w:szCs w:val="20"/>
              </w:rPr>
            </w:pPr>
          </w:p>
        </w:tc>
        <w:tc>
          <w:tcPr>
            <w:tcW w:w="0" w:type="auto"/>
            <w:gridSpan w:val="4"/>
            <w:tcMar>
              <w:top w:w="0" w:type="dxa"/>
              <w:left w:w="20" w:type="dxa"/>
              <w:bottom w:w="0" w:type="dxa"/>
              <w:right w:w="20" w:type="dxa"/>
            </w:tcMar>
            <w:vAlign w:val="center"/>
            <w:hideMark/>
          </w:tcPr>
          <w:p w14:paraId="57386574" w14:textId="77777777" w:rsidR="00000000" w:rsidRDefault="00405D16">
            <w:pPr>
              <w:spacing w:after="100"/>
              <w:rPr>
                <w:rFonts w:eastAsia="Times New Roman"/>
                <w:sz w:val="20"/>
                <w:szCs w:val="20"/>
              </w:rPr>
            </w:pPr>
          </w:p>
        </w:tc>
        <w:tc>
          <w:tcPr>
            <w:tcW w:w="0" w:type="auto"/>
            <w:gridSpan w:val="93"/>
            <w:tcMar>
              <w:top w:w="30" w:type="dxa"/>
              <w:left w:w="20" w:type="dxa"/>
              <w:bottom w:w="30" w:type="dxa"/>
              <w:right w:w="20" w:type="dxa"/>
            </w:tcMar>
            <w:vAlign w:val="bottom"/>
            <w:hideMark/>
          </w:tcPr>
          <w:p w14:paraId="2998ECE8" w14:textId="77777777" w:rsidR="00000000" w:rsidRDefault="00405D16">
            <w:pPr>
              <w:spacing w:after="100"/>
              <w:jc w:val="center"/>
              <w:rPr>
                <w:rFonts w:eastAsia="Times New Roman"/>
              </w:rPr>
            </w:pPr>
            <w:r>
              <w:rPr>
                <w:rFonts w:eastAsia="Times New Roman"/>
                <w:b/>
                <w:bCs/>
                <w:color w:val="000000"/>
                <w:sz w:val="14"/>
                <w:szCs w:val="14"/>
              </w:rPr>
              <w:t>Fair Value Measurements Using Significant Unobservable Inputs (Level 3)</w:t>
            </w:r>
          </w:p>
        </w:tc>
        <w:tc>
          <w:tcPr>
            <w:tcW w:w="0" w:type="auto"/>
            <w:gridSpan w:val="5"/>
            <w:vAlign w:val="center"/>
            <w:hideMark/>
          </w:tcPr>
          <w:p w14:paraId="6AC54AFC" w14:textId="77777777" w:rsidR="00000000" w:rsidRDefault="00405D16">
            <w:pPr>
              <w:spacing w:after="100"/>
              <w:rPr>
                <w:rFonts w:eastAsia="Times New Roman"/>
                <w:sz w:val="20"/>
                <w:szCs w:val="20"/>
              </w:rPr>
            </w:pPr>
          </w:p>
        </w:tc>
      </w:tr>
      <w:tr w:rsidR="00000000" w14:paraId="5A0D6612" w14:textId="77777777">
        <w:trPr>
          <w:gridAfter w:val="20"/>
          <w:divId w:val="403920393"/>
        </w:trPr>
        <w:tc>
          <w:tcPr>
            <w:tcW w:w="0" w:type="auto"/>
            <w:gridSpan w:val="4"/>
            <w:tcMar>
              <w:top w:w="0" w:type="dxa"/>
              <w:left w:w="20" w:type="dxa"/>
              <w:bottom w:w="0" w:type="dxa"/>
              <w:right w:w="20" w:type="dxa"/>
            </w:tcMar>
            <w:vAlign w:val="center"/>
            <w:hideMark/>
          </w:tcPr>
          <w:p w14:paraId="32E2A44D" w14:textId="77777777" w:rsidR="00000000" w:rsidRDefault="00405D16">
            <w:pPr>
              <w:spacing w:after="100"/>
              <w:jc w:val="center"/>
              <w:rPr>
                <w:rFonts w:eastAsia="Times New Roman"/>
              </w:rPr>
            </w:pPr>
          </w:p>
        </w:tc>
        <w:tc>
          <w:tcPr>
            <w:tcW w:w="0" w:type="auto"/>
            <w:gridSpan w:val="4"/>
            <w:tcMar>
              <w:top w:w="0" w:type="dxa"/>
              <w:left w:w="20" w:type="dxa"/>
              <w:bottom w:w="0" w:type="dxa"/>
              <w:right w:w="20" w:type="dxa"/>
            </w:tcMar>
            <w:vAlign w:val="center"/>
            <w:hideMark/>
          </w:tcPr>
          <w:p w14:paraId="3BC5ED3F" w14:textId="77777777" w:rsidR="00000000" w:rsidRDefault="00405D16">
            <w:pPr>
              <w:spacing w:after="100"/>
              <w:rPr>
                <w:rFonts w:eastAsia="Times New Roman"/>
                <w:sz w:val="20"/>
                <w:szCs w:val="20"/>
              </w:rPr>
            </w:pPr>
          </w:p>
        </w:tc>
        <w:tc>
          <w:tcPr>
            <w:tcW w:w="0" w:type="auto"/>
            <w:gridSpan w:val="93"/>
            <w:tcMar>
              <w:top w:w="30" w:type="dxa"/>
              <w:left w:w="20" w:type="dxa"/>
              <w:bottom w:w="30" w:type="dxa"/>
              <w:right w:w="20" w:type="dxa"/>
            </w:tcMar>
            <w:vAlign w:val="bottom"/>
            <w:hideMark/>
          </w:tcPr>
          <w:p w14:paraId="332B6A78" w14:textId="77777777" w:rsidR="00000000" w:rsidRDefault="00405D16">
            <w:pPr>
              <w:spacing w:after="100"/>
              <w:jc w:val="center"/>
              <w:rPr>
                <w:rFonts w:eastAsia="Times New Roman"/>
              </w:rPr>
            </w:pPr>
            <w:r>
              <w:rPr>
                <w:rFonts w:eastAsia="Times New Roman"/>
                <w:b/>
                <w:bCs/>
                <w:color w:val="000000"/>
                <w:sz w:val="14"/>
                <w:szCs w:val="14"/>
              </w:rPr>
              <w:t>Three Months Ended September 30, 2020</w:t>
            </w:r>
          </w:p>
        </w:tc>
        <w:tc>
          <w:tcPr>
            <w:tcW w:w="0" w:type="auto"/>
            <w:gridSpan w:val="5"/>
            <w:vAlign w:val="center"/>
            <w:hideMark/>
          </w:tcPr>
          <w:p w14:paraId="23A05C9B" w14:textId="77777777" w:rsidR="00000000" w:rsidRDefault="00405D16">
            <w:pPr>
              <w:spacing w:after="100"/>
              <w:rPr>
                <w:rFonts w:eastAsia="Times New Roman"/>
                <w:sz w:val="20"/>
                <w:szCs w:val="20"/>
              </w:rPr>
            </w:pPr>
          </w:p>
        </w:tc>
      </w:tr>
      <w:tr w:rsidR="00000000" w14:paraId="1CBCC971" w14:textId="77777777">
        <w:trPr>
          <w:gridAfter w:val="20"/>
          <w:divId w:val="403920393"/>
          <w:trHeight w:val="300"/>
        </w:trPr>
        <w:tc>
          <w:tcPr>
            <w:tcW w:w="0" w:type="auto"/>
            <w:gridSpan w:val="4"/>
            <w:tcMar>
              <w:top w:w="0" w:type="dxa"/>
              <w:left w:w="20" w:type="dxa"/>
              <w:bottom w:w="0" w:type="dxa"/>
              <w:right w:w="20" w:type="dxa"/>
            </w:tcMar>
            <w:vAlign w:val="center"/>
            <w:hideMark/>
          </w:tcPr>
          <w:p w14:paraId="4F11B07B" w14:textId="77777777" w:rsidR="00000000" w:rsidRDefault="00405D16">
            <w:pPr>
              <w:spacing w:after="100"/>
              <w:jc w:val="center"/>
              <w:rPr>
                <w:rFonts w:eastAsia="Times New Roman"/>
              </w:rPr>
            </w:pPr>
          </w:p>
        </w:tc>
        <w:tc>
          <w:tcPr>
            <w:tcW w:w="0" w:type="auto"/>
            <w:gridSpan w:val="4"/>
            <w:tcMar>
              <w:top w:w="0" w:type="dxa"/>
              <w:left w:w="20" w:type="dxa"/>
              <w:bottom w:w="0" w:type="dxa"/>
              <w:right w:w="20" w:type="dxa"/>
            </w:tcMar>
            <w:vAlign w:val="center"/>
            <w:hideMark/>
          </w:tcPr>
          <w:p w14:paraId="74AC46C2" w14:textId="77777777" w:rsidR="00000000" w:rsidRDefault="00405D16">
            <w:pPr>
              <w:spacing w:after="100"/>
              <w:rPr>
                <w:rFonts w:eastAsia="Times New Roman"/>
                <w:sz w:val="20"/>
                <w:szCs w:val="20"/>
              </w:rPr>
            </w:pPr>
          </w:p>
        </w:tc>
        <w:tc>
          <w:tcPr>
            <w:tcW w:w="0" w:type="auto"/>
            <w:gridSpan w:val="6"/>
            <w:tcBorders>
              <w:top w:val="single" w:sz="8" w:space="0" w:color="000000"/>
            </w:tcBorders>
            <w:tcMar>
              <w:top w:w="0" w:type="dxa"/>
              <w:left w:w="20" w:type="dxa"/>
              <w:bottom w:w="0" w:type="dxa"/>
              <w:right w:w="20" w:type="dxa"/>
            </w:tcMar>
            <w:vAlign w:val="center"/>
            <w:hideMark/>
          </w:tcPr>
          <w:p w14:paraId="102365C8" w14:textId="77777777" w:rsidR="00000000" w:rsidRDefault="00405D16">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14:paraId="39047350" w14:textId="77777777" w:rsidR="00000000" w:rsidRDefault="00405D16">
            <w:pPr>
              <w:spacing w:after="100"/>
              <w:rPr>
                <w:rFonts w:eastAsia="Times New Roman"/>
                <w:sz w:val="20"/>
                <w:szCs w:val="20"/>
              </w:rPr>
            </w:pPr>
          </w:p>
        </w:tc>
        <w:tc>
          <w:tcPr>
            <w:tcW w:w="0" w:type="auto"/>
            <w:gridSpan w:val="16"/>
            <w:tcBorders>
              <w:top w:val="single" w:sz="8" w:space="0" w:color="000000"/>
            </w:tcBorders>
            <w:tcMar>
              <w:top w:w="30" w:type="dxa"/>
              <w:left w:w="20" w:type="dxa"/>
              <w:bottom w:w="30" w:type="dxa"/>
              <w:right w:w="20" w:type="dxa"/>
            </w:tcMar>
            <w:vAlign w:val="bottom"/>
            <w:hideMark/>
          </w:tcPr>
          <w:p w14:paraId="7AC88CBD" w14:textId="77777777" w:rsidR="00000000" w:rsidRDefault="00405D16">
            <w:pPr>
              <w:spacing w:after="100"/>
              <w:jc w:val="center"/>
              <w:rPr>
                <w:rFonts w:eastAsia="Times New Roman"/>
              </w:rPr>
            </w:pPr>
            <w:r>
              <w:rPr>
                <w:rFonts w:eastAsia="Times New Roman"/>
                <w:b/>
                <w:bCs/>
                <w:color w:val="000000"/>
                <w:sz w:val="12"/>
                <w:szCs w:val="12"/>
              </w:rPr>
              <w:t>Total Gains (Losses)</w:t>
            </w:r>
            <w:r>
              <w:rPr>
                <w:rFonts w:eastAsia="Times New Roman"/>
                <w:b/>
                <w:bCs/>
                <w:color w:val="000000"/>
                <w:sz w:val="12"/>
                <w:szCs w:val="12"/>
              </w:rPr>
              <w:br/>
              <w:t>(Realized/Unrealized)</w:t>
            </w:r>
          </w:p>
        </w:tc>
        <w:tc>
          <w:tcPr>
            <w:tcW w:w="0" w:type="auto"/>
            <w:gridSpan w:val="3"/>
            <w:tcBorders>
              <w:top w:val="single" w:sz="8" w:space="0" w:color="000000"/>
            </w:tcBorders>
            <w:tcMar>
              <w:top w:w="0" w:type="dxa"/>
              <w:left w:w="20" w:type="dxa"/>
              <w:bottom w:w="0" w:type="dxa"/>
              <w:right w:w="20" w:type="dxa"/>
            </w:tcMar>
            <w:vAlign w:val="center"/>
            <w:hideMark/>
          </w:tcPr>
          <w:p w14:paraId="7ACC3634" w14:textId="77777777" w:rsidR="00000000" w:rsidRDefault="00405D16">
            <w:pPr>
              <w:spacing w:after="100"/>
              <w:jc w:val="center"/>
              <w:rPr>
                <w:rFonts w:eastAsia="Times New Roman"/>
              </w:rPr>
            </w:pPr>
          </w:p>
        </w:tc>
        <w:tc>
          <w:tcPr>
            <w:tcW w:w="0" w:type="auto"/>
            <w:gridSpan w:val="6"/>
            <w:tcBorders>
              <w:top w:val="single" w:sz="8" w:space="0" w:color="000000"/>
            </w:tcBorders>
            <w:tcMar>
              <w:top w:w="0" w:type="dxa"/>
              <w:left w:w="20" w:type="dxa"/>
              <w:bottom w:w="0" w:type="dxa"/>
              <w:right w:w="20" w:type="dxa"/>
            </w:tcMar>
            <w:vAlign w:val="center"/>
            <w:hideMark/>
          </w:tcPr>
          <w:p w14:paraId="0748595D" w14:textId="77777777" w:rsidR="00000000" w:rsidRDefault="00405D16">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14:paraId="7D98EA9F" w14:textId="77777777" w:rsidR="00000000" w:rsidRDefault="00405D16">
            <w:pPr>
              <w:spacing w:after="100"/>
              <w:rPr>
                <w:rFonts w:eastAsia="Times New Roman"/>
                <w:sz w:val="20"/>
                <w:szCs w:val="20"/>
              </w:rPr>
            </w:pPr>
          </w:p>
        </w:tc>
        <w:tc>
          <w:tcPr>
            <w:tcW w:w="0" w:type="auto"/>
            <w:gridSpan w:val="5"/>
            <w:tcBorders>
              <w:top w:val="single" w:sz="8" w:space="0" w:color="000000"/>
            </w:tcBorders>
            <w:tcMar>
              <w:top w:w="0" w:type="dxa"/>
              <w:left w:w="20" w:type="dxa"/>
              <w:bottom w:w="0" w:type="dxa"/>
              <w:right w:w="20" w:type="dxa"/>
            </w:tcMar>
            <w:vAlign w:val="center"/>
            <w:hideMark/>
          </w:tcPr>
          <w:p w14:paraId="6E6DCB8C"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526A862" w14:textId="77777777" w:rsidR="00000000" w:rsidRDefault="00405D16">
            <w:pPr>
              <w:spacing w:after="100"/>
              <w:rPr>
                <w:rFonts w:eastAsia="Times New Roman"/>
                <w:sz w:val="20"/>
                <w:szCs w:val="20"/>
              </w:rPr>
            </w:pPr>
          </w:p>
        </w:tc>
        <w:tc>
          <w:tcPr>
            <w:tcW w:w="0" w:type="auto"/>
            <w:gridSpan w:val="7"/>
            <w:tcBorders>
              <w:top w:val="single" w:sz="8" w:space="0" w:color="000000"/>
            </w:tcBorders>
            <w:tcMar>
              <w:top w:w="0" w:type="dxa"/>
              <w:left w:w="20" w:type="dxa"/>
              <w:bottom w:w="0" w:type="dxa"/>
              <w:right w:w="20" w:type="dxa"/>
            </w:tcMar>
            <w:vAlign w:val="center"/>
            <w:hideMark/>
          </w:tcPr>
          <w:p w14:paraId="37166815"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1A3B51C" w14:textId="77777777" w:rsidR="00000000" w:rsidRDefault="00405D16">
            <w:pPr>
              <w:spacing w:after="100"/>
              <w:rPr>
                <w:rFonts w:eastAsia="Times New Roman"/>
                <w:sz w:val="20"/>
                <w:szCs w:val="20"/>
              </w:rPr>
            </w:pPr>
          </w:p>
        </w:tc>
        <w:tc>
          <w:tcPr>
            <w:tcW w:w="0" w:type="auto"/>
            <w:gridSpan w:val="6"/>
            <w:tcBorders>
              <w:top w:val="single" w:sz="8" w:space="0" w:color="000000"/>
            </w:tcBorders>
            <w:tcMar>
              <w:top w:w="0" w:type="dxa"/>
              <w:left w:w="20" w:type="dxa"/>
              <w:bottom w:w="0" w:type="dxa"/>
              <w:right w:w="20" w:type="dxa"/>
            </w:tcMar>
            <w:vAlign w:val="center"/>
            <w:hideMark/>
          </w:tcPr>
          <w:p w14:paraId="3067D7F4" w14:textId="77777777" w:rsidR="00000000" w:rsidRDefault="00405D16">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14:paraId="1AD46AF5" w14:textId="77777777" w:rsidR="00000000" w:rsidRDefault="00405D16">
            <w:pPr>
              <w:spacing w:after="100"/>
              <w:rPr>
                <w:rFonts w:eastAsia="Times New Roman"/>
                <w:sz w:val="20"/>
                <w:szCs w:val="20"/>
              </w:rPr>
            </w:pPr>
          </w:p>
        </w:tc>
        <w:tc>
          <w:tcPr>
            <w:tcW w:w="0" w:type="auto"/>
            <w:gridSpan w:val="7"/>
            <w:tcBorders>
              <w:top w:val="single" w:sz="8" w:space="0" w:color="000000"/>
            </w:tcBorders>
            <w:tcMar>
              <w:top w:w="0" w:type="dxa"/>
              <w:left w:w="20" w:type="dxa"/>
              <w:bottom w:w="0" w:type="dxa"/>
              <w:right w:w="20" w:type="dxa"/>
            </w:tcMar>
            <w:vAlign w:val="center"/>
            <w:hideMark/>
          </w:tcPr>
          <w:p w14:paraId="6217FF23"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DA3BC27" w14:textId="77777777" w:rsidR="00000000" w:rsidRDefault="00405D16">
            <w:pPr>
              <w:spacing w:after="100"/>
              <w:rPr>
                <w:rFonts w:eastAsia="Times New Roman"/>
                <w:sz w:val="20"/>
                <w:szCs w:val="20"/>
              </w:rPr>
            </w:pPr>
          </w:p>
        </w:tc>
        <w:tc>
          <w:tcPr>
            <w:tcW w:w="0" w:type="auto"/>
            <w:gridSpan w:val="7"/>
            <w:tcBorders>
              <w:top w:val="single" w:sz="8" w:space="0" w:color="000000"/>
            </w:tcBorders>
            <w:tcMar>
              <w:top w:w="0" w:type="dxa"/>
              <w:left w:w="20" w:type="dxa"/>
              <w:bottom w:w="0" w:type="dxa"/>
              <w:right w:w="20" w:type="dxa"/>
            </w:tcMar>
            <w:vAlign w:val="center"/>
            <w:hideMark/>
          </w:tcPr>
          <w:p w14:paraId="1D76073A"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3FFF47E" w14:textId="77777777" w:rsidR="00000000" w:rsidRDefault="00405D16">
            <w:pPr>
              <w:spacing w:after="100"/>
              <w:rPr>
                <w:rFonts w:eastAsia="Times New Roman"/>
                <w:sz w:val="20"/>
                <w:szCs w:val="20"/>
              </w:rPr>
            </w:pPr>
          </w:p>
        </w:tc>
        <w:tc>
          <w:tcPr>
            <w:tcW w:w="0" w:type="auto"/>
            <w:gridSpan w:val="6"/>
            <w:tcBorders>
              <w:top w:val="single" w:sz="8" w:space="0" w:color="000000"/>
            </w:tcBorders>
            <w:tcMar>
              <w:top w:w="0" w:type="dxa"/>
              <w:left w:w="20" w:type="dxa"/>
              <w:bottom w:w="0" w:type="dxa"/>
              <w:right w:w="20" w:type="dxa"/>
            </w:tcMar>
            <w:vAlign w:val="center"/>
            <w:hideMark/>
          </w:tcPr>
          <w:p w14:paraId="1D535700" w14:textId="77777777" w:rsidR="00000000" w:rsidRDefault="00405D16">
            <w:pPr>
              <w:spacing w:after="100"/>
              <w:rPr>
                <w:rFonts w:eastAsia="Times New Roman"/>
                <w:sz w:val="20"/>
                <w:szCs w:val="20"/>
              </w:rPr>
            </w:pPr>
          </w:p>
        </w:tc>
        <w:tc>
          <w:tcPr>
            <w:tcW w:w="0" w:type="auto"/>
            <w:gridSpan w:val="5"/>
            <w:tcBorders>
              <w:top w:val="single" w:sz="8" w:space="0" w:color="000000"/>
            </w:tcBorders>
            <w:tcMar>
              <w:top w:w="0" w:type="dxa"/>
              <w:left w:w="20" w:type="dxa"/>
              <w:bottom w:w="0" w:type="dxa"/>
              <w:right w:w="20" w:type="dxa"/>
            </w:tcMar>
            <w:vAlign w:val="center"/>
            <w:hideMark/>
          </w:tcPr>
          <w:p w14:paraId="213D4A95" w14:textId="77777777" w:rsidR="00000000" w:rsidRDefault="00405D16">
            <w:pPr>
              <w:spacing w:after="100"/>
              <w:jc w:val="center"/>
              <w:rPr>
                <w:rFonts w:eastAsia="Times New Roman"/>
              </w:rPr>
            </w:pPr>
            <w:r>
              <w:rPr>
                <w:rFonts w:eastAsia="Times New Roman"/>
                <w:b/>
                <w:bCs/>
                <w:color w:val="000000"/>
                <w:sz w:val="12"/>
                <w:szCs w:val="12"/>
              </w:rPr>
              <w:t xml:space="preserve">Net Unrealized Gains (Losses) Included in Net Income Related to Assets and Liabilities Still Held as of </w:t>
            </w:r>
          </w:p>
          <w:p w14:paraId="4762F6B8" w14:textId="77777777" w:rsidR="00000000" w:rsidRDefault="00405D16">
            <w:pPr>
              <w:spacing w:after="100"/>
              <w:jc w:val="center"/>
              <w:rPr>
                <w:rFonts w:eastAsia="Times New Roman"/>
              </w:rPr>
            </w:pPr>
            <w:r>
              <w:rPr>
                <w:rFonts w:eastAsia="Times New Roman"/>
                <w:b/>
                <w:bCs/>
                <w:color w:val="000000"/>
                <w:sz w:val="12"/>
                <w:szCs w:val="12"/>
              </w:rPr>
              <w:t>September 30, 202</w:t>
            </w:r>
            <w:r>
              <w:rPr>
                <w:rFonts w:eastAsia="Times New Roman"/>
                <w:b/>
                <w:bCs/>
                <w:color w:val="000000"/>
                <w:sz w:val="12"/>
                <w:szCs w:val="12"/>
              </w:rPr>
              <w:t>0</w:t>
            </w:r>
            <w:r>
              <w:rPr>
                <w:rFonts w:eastAsia="Times New Roman"/>
                <w:b/>
                <w:bCs/>
                <w:color w:val="000000"/>
                <w:sz w:val="8"/>
                <w:szCs w:val="8"/>
              </w:rPr>
              <w:t>(1</w:t>
            </w:r>
            <w:r>
              <w:rPr>
                <w:rFonts w:eastAsia="Times New Roman"/>
                <w:b/>
                <w:bCs/>
                <w:color w:val="000000"/>
                <w:sz w:val="8"/>
                <w:szCs w:val="8"/>
              </w:rPr>
              <w:t>)</w:t>
            </w:r>
          </w:p>
          <w:p w14:paraId="3A9FBA59" w14:textId="77777777" w:rsidR="00000000" w:rsidRDefault="00405D16">
            <w:pPr>
              <w:spacing w:after="100"/>
              <w:jc w:val="center"/>
              <w:rPr>
                <w:rFonts w:eastAsia="Times New Roman"/>
              </w:rPr>
            </w:pPr>
          </w:p>
        </w:tc>
      </w:tr>
      <w:tr w:rsidR="00000000" w14:paraId="4346AFCE" w14:textId="77777777">
        <w:trPr>
          <w:gridAfter w:val="20"/>
          <w:divId w:val="403920393"/>
          <w:trHeight w:val="460"/>
        </w:trPr>
        <w:tc>
          <w:tcPr>
            <w:tcW w:w="0" w:type="auto"/>
            <w:gridSpan w:val="4"/>
            <w:tcMar>
              <w:top w:w="30" w:type="dxa"/>
              <w:left w:w="20" w:type="dxa"/>
              <w:bottom w:w="30" w:type="dxa"/>
              <w:right w:w="20" w:type="dxa"/>
            </w:tcMar>
            <w:vAlign w:val="bottom"/>
            <w:hideMark/>
          </w:tcPr>
          <w:p w14:paraId="1188B71D" w14:textId="77777777" w:rsidR="00000000" w:rsidRDefault="00405D16">
            <w:pPr>
              <w:spacing w:after="100"/>
              <w:rPr>
                <w:rFonts w:eastAsia="Times New Roman"/>
              </w:rPr>
            </w:pPr>
            <w:r>
              <w:rPr>
                <w:rFonts w:eastAsia="Times New Roman"/>
                <w:i/>
                <w:iCs/>
                <w:color w:val="000000"/>
                <w:sz w:val="12"/>
                <w:szCs w:val="12"/>
              </w:rPr>
              <w:t>(Dollars in millions)</w:t>
            </w:r>
          </w:p>
        </w:tc>
        <w:tc>
          <w:tcPr>
            <w:tcW w:w="0" w:type="auto"/>
            <w:gridSpan w:val="4"/>
            <w:tcMar>
              <w:top w:w="0" w:type="dxa"/>
              <w:left w:w="20" w:type="dxa"/>
              <w:bottom w:w="0" w:type="dxa"/>
              <w:right w:w="20" w:type="dxa"/>
            </w:tcMar>
            <w:vAlign w:val="center"/>
            <w:hideMark/>
          </w:tcPr>
          <w:p w14:paraId="44E59CD1" w14:textId="77777777" w:rsidR="00000000" w:rsidRDefault="00405D16">
            <w:pPr>
              <w:spacing w:after="100"/>
              <w:rPr>
                <w:rFonts w:eastAsia="Times New Roman"/>
              </w:rPr>
            </w:pPr>
          </w:p>
        </w:tc>
        <w:tc>
          <w:tcPr>
            <w:tcW w:w="0" w:type="auto"/>
            <w:gridSpan w:val="6"/>
            <w:tcMar>
              <w:top w:w="30" w:type="dxa"/>
              <w:left w:w="20" w:type="dxa"/>
              <w:bottom w:w="30" w:type="dxa"/>
              <w:right w:w="20" w:type="dxa"/>
            </w:tcMar>
            <w:vAlign w:val="bottom"/>
            <w:hideMark/>
          </w:tcPr>
          <w:p w14:paraId="37BDCA21" w14:textId="77777777" w:rsidR="00000000" w:rsidRDefault="00405D16">
            <w:pPr>
              <w:spacing w:after="100"/>
              <w:jc w:val="center"/>
              <w:rPr>
                <w:rFonts w:eastAsia="Times New Roman"/>
              </w:rPr>
            </w:pPr>
            <w:r>
              <w:rPr>
                <w:rFonts w:eastAsia="Times New Roman"/>
                <w:b/>
                <w:bCs/>
                <w:color w:val="000000"/>
                <w:sz w:val="12"/>
                <w:szCs w:val="12"/>
              </w:rPr>
              <w:t>Balance, July 1, 2020</w:t>
            </w:r>
          </w:p>
        </w:tc>
        <w:tc>
          <w:tcPr>
            <w:tcW w:w="0" w:type="auto"/>
            <w:gridSpan w:val="4"/>
            <w:tcMar>
              <w:top w:w="0" w:type="dxa"/>
              <w:left w:w="20" w:type="dxa"/>
              <w:bottom w:w="0" w:type="dxa"/>
              <w:right w:w="20" w:type="dxa"/>
            </w:tcMar>
            <w:vAlign w:val="center"/>
            <w:hideMark/>
          </w:tcPr>
          <w:p w14:paraId="0700236B" w14:textId="77777777" w:rsidR="00000000" w:rsidRDefault="00405D16">
            <w:pPr>
              <w:spacing w:after="100"/>
              <w:jc w:val="center"/>
              <w:rPr>
                <w:rFonts w:eastAsia="Times New Roman"/>
              </w:rPr>
            </w:pPr>
          </w:p>
        </w:tc>
        <w:tc>
          <w:tcPr>
            <w:tcW w:w="0" w:type="auto"/>
            <w:gridSpan w:val="5"/>
            <w:tcBorders>
              <w:top w:val="single" w:sz="8" w:space="0" w:color="000000"/>
            </w:tcBorders>
            <w:tcMar>
              <w:top w:w="30" w:type="dxa"/>
              <w:left w:w="20" w:type="dxa"/>
              <w:bottom w:w="30" w:type="dxa"/>
              <w:right w:w="20" w:type="dxa"/>
            </w:tcMar>
            <w:vAlign w:val="bottom"/>
            <w:hideMark/>
          </w:tcPr>
          <w:p w14:paraId="2B5B61AA" w14:textId="77777777" w:rsidR="00000000" w:rsidRDefault="00405D16">
            <w:pPr>
              <w:spacing w:after="100"/>
              <w:jc w:val="center"/>
              <w:rPr>
                <w:rFonts w:eastAsia="Times New Roman"/>
              </w:rPr>
            </w:pPr>
            <w:r>
              <w:rPr>
                <w:rFonts w:eastAsia="Times New Roman"/>
                <w:b/>
                <w:bCs/>
                <w:color w:val="000000"/>
                <w:sz w:val="12"/>
                <w:szCs w:val="12"/>
              </w:rPr>
              <w:t>Included</w:t>
            </w:r>
          </w:p>
          <w:p w14:paraId="6BBE8D86" w14:textId="77777777" w:rsidR="00000000" w:rsidRDefault="00405D16">
            <w:pPr>
              <w:spacing w:after="100"/>
              <w:jc w:val="center"/>
              <w:rPr>
                <w:rFonts w:eastAsia="Times New Roman"/>
              </w:rPr>
            </w:pPr>
            <w:r>
              <w:rPr>
                <w:rFonts w:eastAsia="Times New Roman"/>
                <w:b/>
                <w:bCs/>
                <w:color w:val="000000"/>
                <w:sz w:val="12"/>
                <w:szCs w:val="12"/>
              </w:rPr>
              <w:t>in Net</w:t>
            </w:r>
          </w:p>
          <w:p w14:paraId="0848348F" w14:textId="77777777" w:rsidR="00000000" w:rsidRDefault="00405D16">
            <w:pPr>
              <w:spacing w:after="100"/>
              <w:jc w:val="center"/>
              <w:rPr>
                <w:rFonts w:eastAsia="Times New Roman"/>
              </w:rPr>
            </w:pPr>
            <w:r>
              <w:rPr>
                <w:rFonts w:eastAsia="Times New Roman"/>
                <w:b/>
                <w:bCs/>
                <w:color w:val="000000"/>
                <w:sz w:val="12"/>
                <w:szCs w:val="12"/>
              </w:rPr>
              <w:t>Incom</w:t>
            </w:r>
            <w:r>
              <w:rPr>
                <w:rFonts w:eastAsia="Times New Roman"/>
                <w:b/>
                <w:bCs/>
                <w:color w:val="000000"/>
                <w:sz w:val="12"/>
                <w:szCs w:val="12"/>
              </w:rPr>
              <w:t>e</w:t>
            </w:r>
            <w:r>
              <w:rPr>
                <w:rFonts w:eastAsia="Times New Roman"/>
                <w:b/>
                <w:bCs/>
                <w:color w:val="000000"/>
                <w:sz w:val="8"/>
                <w:szCs w:val="8"/>
              </w:rPr>
              <w:t>(1</w:t>
            </w:r>
            <w:r>
              <w:rPr>
                <w:rFonts w:eastAsia="Times New Roman"/>
                <w:b/>
                <w:bCs/>
                <w:color w:val="000000"/>
                <w:sz w:val="8"/>
                <w:szCs w:val="8"/>
              </w:rPr>
              <w:t>)</w:t>
            </w:r>
          </w:p>
        </w:tc>
        <w:tc>
          <w:tcPr>
            <w:tcW w:w="0" w:type="auto"/>
            <w:gridSpan w:val="4"/>
            <w:tcBorders>
              <w:top w:val="single" w:sz="8" w:space="0" w:color="000000"/>
            </w:tcBorders>
            <w:tcMar>
              <w:top w:w="0" w:type="dxa"/>
              <w:left w:w="20" w:type="dxa"/>
              <w:bottom w:w="0" w:type="dxa"/>
              <w:right w:w="20" w:type="dxa"/>
            </w:tcMar>
            <w:vAlign w:val="center"/>
            <w:hideMark/>
          </w:tcPr>
          <w:p w14:paraId="5515148F" w14:textId="77777777" w:rsidR="00000000" w:rsidRDefault="00405D16">
            <w:pPr>
              <w:spacing w:after="100"/>
              <w:jc w:val="center"/>
              <w:rPr>
                <w:rFonts w:eastAsia="Times New Roman"/>
              </w:rPr>
            </w:pPr>
          </w:p>
        </w:tc>
        <w:tc>
          <w:tcPr>
            <w:tcW w:w="0" w:type="auto"/>
            <w:gridSpan w:val="7"/>
            <w:tcBorders>
              <w:top w:val="single" w:sz="8" w:space="0" w:color="000000"/>
            </w:tcBorders>
            <w:tcMar>
              <w:top w:w="30" w:type="dxa"/>
              <w:left w:w="20" w:type="dxa"/>
              <w:bottom w:w="30" w:type="dxa"/>
              <w:right w:w="20" w:type="dxa"/>
            </w:tcMar>
            <w:vAlign w:val="bottom"/>
            <w:hideMark/>
          </w:tcPr>
          <w:p w14:paraId="24C29E26" w14:textId="77777777" w:rsidR="00000000" w:rsidRDefault="00405D16">
            <w:pPr>
              <w:spacing w:after="100"/>
              <w:jc w:val="center"/>
              <w:rPr>
                <w:rFonts w:eastAsia="Times New Roman"/>
              </w:rPr>
            </w:pPr>
            <w:r>
              <w:rPr>
                <w:rFonts w:eastAsia="Times New Roman"/>
                <w:b/>
                <w:bCs/>
                <w:color w:val="000000"/>
                <w:sz w:val="12"/>
                <w:szCs w:val="12"/>
              </w:rPr>
              <w:t>Included in OCI</w:t>
            </w:r>
          </w:p>
        </w:tc>
        <w:tc>
          <w:tcPr>
            <w:tcW w:w="0" w:type="auto"/>
            <w:gridSpan w:val="3"/>
            <w:tcMar>
              <w:top w:w="0" w:type="dxa"/>
              <w:left w:w="20" w:type="dxa"/>
              <w:bottom w:w="0" w:type="dxa"/>
              <w:right w:w="20" w:type="dxa"/>
            </w:tcMar>
            <w:vAlign w:val="center"/>
            <w:hideMark/>
          </w:tcPr>
          <w:p w14:paraId="5939D65E" w14:textId="77777777" w:rsidR="00000000" w:rsidRDefault="00405D16">
            <w:pPr>
              <w:spacing w:after="100"/>
              <w:jc w:val="center"/>
              <w:rPr>
                <w:rFonts w:eastAsia="Times New Roman"/>
              </w:rPr>
            </w:pPr>
          </w:p>
        </w:tc>
        <w:tc>
          <w:tcPr>
            <w:tcW w:w="0" w:type="auto"/>
            <w:gridSpan w:val="6"/>
            <w:tcMar>
              <w:top w:w="30" w:type="dxa"/>
              <w:left w:w="20" w:type="dxa"/>
              <w:bottom w:w="30" w:type="dxa"/>
              <w:right w:w="20" w:type="dxa"/>
            </w:tcMar>
            <w:vAlign w:val="bottom"/>
            <w:hideMark/>
          </w:tcPr>
          <w:p w14:paraId="1AE1C7B1" w14:textId="77777777" w:rsidR="00000000" w:rsidRDefault="00405D16">
            <w:pPr>
              <w:spacing w:after="100"/>
              <w:jc w:val="center"/>
              <w:rPr>
                <w:rFonts w:eastAsia="Times New Roman"/>
              </w:rPr>
            </w:pPr>
            <w:r>
              <w:rPr>
                <w:rFonts w:eastAsia="Times New Roman"/>
                <w:b/>
                <w:bCs/>
                <w:color w:val="000000"/>
                <w:sz w:val="12"/>
                <w:szCs w:val="12"/>
              </w:rPr>
              <w:t>Purchases</w:t>
            </w:r>
          </w:p>
        </w:tc>
        <w:tc>
          <w:tcPr>
            <w:tcW w:w="0" w:type="auto"/>
            <w:gridSpan w:val="4"/>
            <w:tcMar>
              <w:top w:w="0" w:type="dxa"/>
              <w:left w:w="20" w:type="dxa"/>
              <w:bottom w:w="0" w:type="dxa"/>
              <w:right w:w="20" w:type="dxa"/>
            </w:tcMar>
            <w:vAlign w:val="center"/>
            <w:hideMark/>
          </w:tcPr>
          <w:p w14:paraId="62B68839" w14:textId="77777777" w:rsidR="00000000" w:rsidRDefault="00405D16">
            <w:pPr>
              <w:spacing w:after="100"/>
              <w:jc w:val="center"/>
              <w:rPr>
                <w:rFonts w:eastAsia="Times New Roman"/>
              </w:rPr>
            </w:pPr>
          </w:p>
        </w:tc>
        <w:tc>
          <w:tcPr>
            <w:tcW w:w="0" w:type="auto"/>
            <w:gridSpan w:val="5"/>
            <w:tcMar>
              <w:top w:w="30" w:type="dxa"/>
              <w:left w:w="20" w:type="dxa"/>
              <w:bottom w:w="30" w:type="dxa"/>
              <w:right w:w="20" w:type="dxa"/>
            </w:tcMar>
            <w:vAlign w:val="bottom"/>
            <w:hideMark/>
          </w:tcPr>
          <w:p w14:paraId="0F94D205" w14:textId="77777777" w:rsidR="00000000" w:rsidRDefault="00405D16">
            <w:pPr>
              <w:spacing w:after="100"/>
              <w:jc w:val="center"/>
              <w:rPr>
                <w:rFonts w:eastAsia="Times New Roman"/>
              </w:rPr>
            </w:pPr>
            <w:r>
              <w:rPr>
                <w:rFonts w:eastAsia="Times New Roman"/>
                <w:b/>
                <w:bCs/>
                <w:color w:val="000000"/>
                <w:sz w:val="12"/>
                <w:szCs w:val="12"/>
              </w:rPr>
              <w:t>Sales</w:t>
            </w:r>
          </w:p>
        </w:tc>
        <w:tc>
          <w:tcPr>
            <w:tcW w:w="0" w:type="auto"/>
            <w:gridSpan w:val="3"/>
            <w:tcMar>
              <w:top w:w="0" w:type="dxa"/>
              <w:left w:w="20" w:type="dxa"/>
              <w:bottom w:w="0" w:type="dxa"/>
              <w:right w:w="20" w:type="dxa"/>
            </w:tcMar>
            <w:vAlign w:val="center"/>
            <w:hideMark/>
          </w:tcPr>
          <w:p w14:paraId="5B49BF17" w14:textId="77777777" w:rsidR="00000000" w:rsidRDefault="00405D16">
            <w:pPr>
              <w:spacing w:after="100"/>
              <w:jc w:val="center"/>
              <w:rPr>
                <w:rFonts w:eastAsia="Times New Roman"/>
              </w:rPr>
            </w:pPr>
          </w:p>
        </w:tc>
        <w:tc>
          <w:tcPr>
            <w:tcW w:w="0" w:type="auto"/>
            <w:gridSpan w:val="7"/>
            <w:tcMar>
              <w:top w:w="30" w:type="dxa"/>
              <w:left w:w="20" w:type="dxa"/>
              <w:bottom w:w="30" w:type="dxa"/>
              <w:right w:w="20" w:type="dxa"/>
            </w:tcMar>
            <w:vAlign w:val="bottom"/>
            <w:hideMark/>
          </w:tcPr>
          <w:p w14:paraId="3734B4D1" w14:textId="77777777" w:rsidR="00000000" w:rsidRDefault="00405D16">
            <w:pPr>
              <w:spacing w:after="100"/>
              <w:jc w:val="center"/>
              <w:rPr>
                <w:rFonts w:eastAsia="Times New Roman"/>
              </w:rPr>
            </w:pPr>
            <w:r>
              <w:rPr>
                <w:rFonts w:eastAsia="Times New Roman"/>
                <w:b/>
                <w:bCs/>
                <w:color w:val="000000"/>
                <w:sz w:val="12"/>
                <w:szCs w:val="12"/>
              </w:rPr>
              <w:t>Issuances</w:t>
            </w:r>
          </w:p>
        </w:tc>
        <w:tc>
          <w:tcPr>
            <w:tcW w:w="0" w:type="auto"/>
            <w:gridSpan w:val="3"/>
            <w:tcMar>
              <w:top w:w="0" w:type="dxa"/>
              <w:left w:w="20" w:type="dxa"/>
              <w:bottom w:w="0" w:type="dxa"/>
              <w:right w:w="20" w:type="dxa"/>
            </w:tcMar>
            <w:vAlign w:val="center"/>
            <w:hideMark/>
          </w:tcPr>
          <w:p w14:paraId="7C097922" w14:textId="77777777" w:rsidR="00000000" w:rsidRDefault="00405D16">
            <w:pPr>
              <w:spacing w:after="100"/>
              <w:jc w:val="center"/>
              <w:rPr>
                <w:rFonts w:eastAsia="Times New Roman"/>
              </w:rPr>
            </w:pPr>
          </w:p>
        </w:tc>
        <w:tc>
          <w:tcPr>
            <w:tcW w:w="0" w:type="auto"/>
            <w:gridSpan w:val="6"/>
            <w:tcMar>
              <w:top w:w="30" w:type="dxa"/>
              <w:left w:w="20" w:type="dxa"/>
              <w:bottom w:w="30" w:type="dxa"/>
              <w:right w:w="20" w:type="dxa"/>
            </w:tcMar>
            <w:vAlign w:val="bottom"/>
            <w:hideMark/>
          </w:tcPr>
          <w:p w14:paraId="12790AEF" w14:textId="77777777" w:rsidR="00000000" w:rsidRDefault="00405D16">
            <w:pPr>
              <w:spacing w:after="100"/>
              <w:jc w:val="center"/>
              <w:rPr>
                <w:rFonts w:eastAsia="Times New Roman"/>
              </w:rPr>
            </w:pPr>
            <w:r>
              <w:rPr>
                <w:rFonts w:eastAsia="Times New Roman"/>
                <w:b/>
                <w:bCs/>
                <w:color w:val="000000"/>
                <w:sz w:val="12"/>
                <w:szCs w:val="12"/>
              </w:rPr>
              <w:t>Settlements</w:t>
            </w:r>
          </w:p>
        </w:tc>
        <w:tc>
          <w:tcPr>
            <w:tcW w:w="0" w:type="auto"/>
            <w:gridSpan w:val="4"/>
            <w:tcMar>
              <w:top w:w="0" w:type="dxa"/>
              <w:left w:w="20" w:type="dxa"/>
              <w:bottom w:w="0" w:type="dxa"/>
              <w:right w:w="20" w:type="dxa"/>
            </w:tcMar>
            <w:vAlign w:val="center"/>
            <w:hideMark/>
          </w:tcPr>
          <w:p w14:paraId="48A536C9" w14:textId="77777777" w:rsidR="00000000" w:rsidRDefault="00405D16">
            <w:pPr>
              <w:spacing w:after="100"/>
              <w:jc w:val="center"/>
              <w:rPr>
                <w:rFonts w:eastAsia="Times New Roman"/>
              </w:rPr>
            </w:pPr>
          </w:p>
        </w:tc>
        <w:tc>
          <w:tcPr>
            <w:tcW w:w="0" w:type="auto"/>
            <w:gridSpan w:val="7"/>
            <w:tcMar>
              <w:top w:w="30" w:type="dxa"/>
              <w:left w:w="20" w:type="dxa"/>
              <w:bottom w:w="30" w:type="dxa"/>
              <w:right w:w="20" w:type="dxa"/>
            </w:tcMar>
            <w:vAlign w:val="bottom"/>
            <w:hideMark/>
          </w:tcPr>
          <w:p w14:paraId="05338D32" w14:textId="77777777" w:rsidR="00000000" w:rsidRDefault="00405D16">
            <w:pPr>
              <w:spacing w:after="100"/>
              <w:jc w:val="center"/>
              <w:rPr>
                <w:rFonts w:eastAsia="Times New Roman"/>
              </w:rPr>
            </w:pPr>
            <w:r>
              <w:rPr>
                <w:rFonts w:eastAsia="Times New Roman"/>
                <w:b/>
                <w:bCs/>
                <w:color w:val="000000"/>
                <w:sz w:val="12"/>
                <w:szCs w:val="12"/>
              </w:rPr>
              <w:t>Transfers</w:t>
            </w:r>
            <w:r>
              <w:rPr>
                <w:rFonts w:eastAsia="Times New Roman"/>
                <w:b/>
                <w:bCs/>
                <w:color w:val="000000"/>
                <w:sz w:val="12"/>
                <w:szCs w:val="12"/>
              </w:rPr>
              <w:br/>
              <w:t>Into</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14:paraId="25BC7847" w14:textId="77777777" w:rsidR="00000000" w:rsidRDefault="00405D16">
            <w:pPr>
              <w:spacing w:after="100"/>
              <w:jc w:val="center"/>
              <w:rPr>
                <w:rFonts w:eastAsia="Times New Roman"/>
              </w:rPr>
            </w:pPr>
          </w:p>
        </w:tc>
        <w:tc>
          <w:tcPr>
            <w:tcW w:w="0" w:type="auto"/>
            <w:gridSpan w:val="7"/>
            <w:tcMar>
              <w:top w:w="30" w:type="dxa"/>
              <w:left w:w="20" w:type="dxa"/>
              <w:bottom w:w="30" w:type="dxa"/>
              <w:right w:w="20" w:type="dxa"/>
            </w:tcMar>
            <w:vAlign w:val="bottom"/>
            <w:hideMark/>
          </w:tcPr>
          <w:p w14:paraId="4A5F0FB6" w14:textId="77777777" w:rsidR="00000000" w:rsidRDefault="00405D16">
            <w:pPr>
              <w:spacing w:after="100"/>
              <w:jc w:val="center"/>
              <w:rPr>
                <w:rFonts w:eastAsia="Times New Roman"/>
              </w:rPr>
            </w:pPr>
            <w:r>
              <w:rPr>
                <w:rFonts w:eastAsia="Times New Roman"/>
                <w:b/>
                <w:bCs/>
                <w:color w:val="000000"/>
                <w:sz w:val="12"/>
                <w:szCs w:val="12"/>
              </w:rPr>
              <w:t>Transfers</w:t>
            </w:r>
            <w:r>
              <w:rPr>
                <w:rFonts w:eastAsia="Times New Roman"/>
                <w:b/>
                <w:bCs/>
                <w:color w:val="000000"/>
                <w:sz w:val="12"/>
                <w:szCs w:val="12"/>
              </w:rPr>
              <w:br/>
              <w:t>Out of</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14:paraId="3BEAA3BE" w14:textId="77777777" w:rsidR="00000000" w:rsidRDefault="00405D16">
            <w:pPr>
              <w:spacing w:after="100"/>
              <w:jc w:val="center"/>
              <w:rPr>
                <w:rFonts w:eastAsia="Times New Roman"/>
              </w:rPr>
            </w:pPr>
          </w:p>
        </w:tc>
        <w:tc>
          <w:tcPr>
            <w:tcW w:w="0" w:type="auto"/>
            <w:gridSpan w:val="6"/>
            <w:tcMar>
              <w:top w:w="30" w:type="dxa"/>
              <w:left w:w="20" w:type="dxa"/>
              <w:bottom w:w="30" w:type="dxa"/>
              <w:right w:w="20" w:type="dxa"/>
            </w:tcMar>
            <w:vAlign w:val="bottom"/>
            <w:hideMark/>
          </w:tcPr>
          <w:p w14:paraId="339875B5" w14:textId="77777777" w:rsidR="00000000" w:rsidRDefault="00405D16">
            <w:pPr>
              <w:spacing w:after="100"/>
              <w:jc w:val="center"/>
              <w:rPr>
                <w:rFonts w:eastAsia="Times New Roman"/>
              </w:rPr>
            </w:pPr>
            <w:r>
              <w:rPr>
                <w:rFonts w:eastAsia="Times New Roman"/>
                <w:b/>
                <w:bCs/>
                <w:color w:val="000000"/>
                <w:sz w:val="12"/>
                <w:szCs w:val="12"/>
              </w:rPr>
              <w:t>Balance, September 30, 2020</w:t>
            </w:r>
          </w:p>
        </w:tc>
        <w:tc>
          <w:tcPr>
            <w:tcW w:w="0" w:type="auto"/>
            <w:gridSpan w:val="5"/>
            <w:tcMar>
              <w:top w:w="0" w:type="dxa"/>
              <w:left w:w="20" w:type="dxa"/>
              <w:bottom w:w="0" w:type="dxa"/>
              <w:right w:w="20" w:type="dxa"/>
            </w:tcMar>
            <w:vAlign w:val="center"/>
            <w:hideMark/>
          </w:tcPr>
          <w:p w14:paraId="7AE877BE" w14:textId="77777777" w:rsidR="00000000" w:rsidRDefault="00405D16">
            <w:pPr>
              <w:spacing w:after="100"/>
              <w:jc w:val="center"/>
              <w:rPr>
                <w:rFonts w:eastAsia="Times New Roman"/>
              </w:rPr>
            </w:pPr>
          </w:p>
        </w:tc>
      </w:tr>
      <w:tr w:rsidR="00000000" w14:paraId="08B6D291" w14:textId="77777777">
        <w:trPr>
          <w:gridAfter w:val="20"/>
          <w:divId w:val="403920393"/>
        </w:trPr>
        <w:tc>
          <w:tcPr>
            <w:tcW w:w="0" w:type="auto"/>
            <w:gridSpan w:val="4"/>
            <w:tcBorders>
              <w:top w:val="single" w:sz="8" w:space="0" w:color="000000"/>
            </w:tcBorders>
            <w:shd w:val="clear" w:color="auto" w:fill="CCEEFF"/>
            <w:tcMar>
              <w:top w:w="30" w:type="dxa"/>
              <w:left w:w="20" w:type="dxa"/>
              <w:bottom w:w="30" w:type="dxa"/>
              <w:right w:w="20" w:type="dxa"/>
            </w:tcMar>
            <w:vAlign w:val="center"/>
            <w:hideMark/>
          </w:tcPr>
          <w:p w14:paraId="09D34E60" w14:textId="77777777" w:rsidR="00000000" w:rsidRDefault="00405D16">
            <w:pPr>
              <w:spacing w:after="100"/>
              <w:divId w:val="1621111230"/>
              <w:rPr>
                <w:rFonts w:eastAsia="Times New Roman"/>
              </w:rPr>
            </w:pPr>
            <w:r>
              <w:rPr>
                <w:rFonts w:eastAsia="Times New Roman"/>
                <w:color w:val="000000"/>
                <w:sz w:val="18"/>
                <w:szCs w:val="18"/>
              </w:rPr>
              <w:t>Securities available for sale</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4"/>
            <w:shd w:val="clear" w:color="auto" w:fill="CCEEFF"/>
            <w:tcMar>
              <w:top w:w="0" w:type="dxa"/>
              <w:left w:w="20" w:type="dxa"/>
              <w:bottom w:w="0" w:type="dxa"/>
              <w:right w:w="20" w:type="dxa"/>
            </w:tcMar>
            <w:vAlign w:val="center"/>
            <w:hideMark/>
          </w:tcPr>
          <w:p w14:paraId="0A7278DE" w14:textId="77777777" w:rsidR="00000000" w:rsidRDefault="00405D16">
            <w:pPr>
              <w:spacing w:after="100"/>
              <w:rPr>
                <w:rFonts w:eastAsia="Times New Roman"/>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14:paraId="649394C5"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0CBF2548" w14:textId="77777777" w:rsidR="00000000" w:rsidRDefault="00405D16">
            <w:pPr>
              <w:spacing w:after="100"/>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14:paraId="1C05FB39"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2C8378CC" w14:textId="77777777" w:rsidR="00000000" w:rsidRDefault="00405D16">
            <w:pPr>
              <w:spacing w:after="100"/>
              <w:rPr>
                <w:rFonts w:eastAsia="Times New Roman"/>
                <w:sz w:val="20"/>
                <w:szCs w:val="20"/>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14:paraId="4ABE01B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5416D3" w14:textId="77777777" w:rsidR="00000000" w:rsidRDefault="00405D16">
            <w:pPr>
              <w:spacing w:after="100"/>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14:paraId="12FCA4F3"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0150C158" w14:textId="77777777" w:rsidR="00000000" w:rsidRDefault="00405D16">
            <w:pPr>
              <w:spacing w:after="100"/>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14:paraId="1215EFE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A0A3AA" w14:textId="77777777" w:rsidR="00000000" w:rsidRDefault="00405D16">
            <w:pPr>
              <w:spacing w:after="100"/>
              <w:rPr>
                <w:rFonts w:eastAsia="Times New Roman"/>
                <w:sz w:val="20"/>
                <w:szCs w:val="20"/>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14:paraId="23B3B20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C24D34" w14:textId="77777777" w:rsidR="00000000" w:rsidRDefault="00405D16">
            <w:pPr>
              <w:spacing w:after="100"/>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14:paraId="1C188B60"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74A7A04A" w14:textId="77777777" w:rsidR="00000000" w:rsidRDefault="00405D16">
            <w:pPr>
              <w:spacing w:after="100"/>
              <w:rPr>
                <w:rFonts w:eastAsia="Times New Roman"/>
                <w:sz w:val="20"/>
                <w:szCs w:val="20"/>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14:paraId="5DBD1C7C"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FAA693" w14:textId="77777777" w:rsidR="00000000" w:rsidRDefault="00405D16">
            <w:pPr>
              <w:spacing w:after="100"/>
              <w:rPr>
                <w:rFonts w:eastAsia="Times New Roman"/>
                <w:sz w:val="20"/>
                <w:szCs w:val="20"/>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14:paraId="3CD533F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37470C" w14:textId="77777777" w:rsidR="00000000" w:rsidRDefault="00405D16">
            <w:pPr>
              <w:spacing w:after="100"/>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14:paraId="15AD79AB" w14:textId="77777777" w:rsidR="00000000" w:rsidRDefault="00405D16">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3B215496" w14:textId="77777777" w:rsidR="00000000" w:rsidRDefault="00405D16">
            <w:pPr>
              <w:spacing w:after="100"/>
              <w:rPr>
                <w:rFonts w:eastAsia="Times New Roman"/>
                <w:sz w:val="20"/>
                <w:szCs w:val="20"/>
              </w:rPr>
            </w:pPr>
          </w:p>
        </w:tc>
      </w:tr>
      <w:tr w:rsidR="00405D16" w14:paraId="2011ECC1" w14:textId="77777777">
        <w:trPr>
          <w:gridAfter w:val="20"/>
          <w:divId w:val="403920393"/>
        </w:trPr>
        <w:tc>
          <w:tcPr>
            <w:tcW w:w="0" w:type="auto"/>
            <w:gridSpan w:val="4"/>
            <w:shd w:val="clear" w:color="auto" w:fill="FFFFFF"/>
            <w:tcMar>
              <w:top w:w="30" w:type="dxa"/>
              <w:left w:w="245" w:type="dxa"/>
              <w:bottom w:w="30" w:type="dxa"/>
              <w:right w:w="20" w:type="dxa"/>
            </w:tcMar>
            <w:vAlign w:val="center"/>
            <w:hideMark/>
          </w:tcPr>
          <w:p w14:paraId="68B8B082" w14:textId="77777777" w:rsidR="00000000" w:rsidRDefault="00405D16">
            <w:pPr>
              <w:spacing w:after="100"/>
              <w:rPr>
                <w:rFonts w:eastAsia="Times New Roman"/>
              </w:rPr>
            </w:pPr>
            <w:r>
              <w:rPr>
                <w:rFonts w:eastAsia="Times New Roman"/>
                <w:color w:val="000000"/>
                <w:sz w:val="16"/>
                <w:szCs w:val="16"/>
              </w:rPr>
              <w:t>RMBS</w:t>
            </w:r>
          </w:p>
        </w:tc>
        <w:tc>
          <w:tcPr>
            <w:tcW w:w="0" w:type="auto"/>
            <w:gridSpan w:val="4"/>
            <w:shd w:val="clear" w:color="auto" w:fill="FFFFFF"/>
            <w:tcMar>
              <w:top w:w="0" w:type="dxa"/>
              <w:left w:w="20" w:type="dxa"/>
              <w:bottom w:w="0" w:type="dxa"/>
              <w:right w:w="20" w:type="dxa"/>
            </w:tcMar>
            <w:vAlign w:val="center"/>
            <w:hideMark/>
          </w:tcPr>
          <w:p w14:paraId="10584F09"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6DCBDA6" w14:textId="77777777" w:rsidR="00000000" w:rsidRDefault="00405D16">
            <w:pPr>
              <w:spacing w:after="100"/>
              <w:rPr>
                <w:rFonts w:eastAsia="Times New Roman"/>
              </w:rPr>
            </w:pPr>
            <w:r>
              <w:rPr>
                <w:rFonts w:eastAsia="Times New Roman"/>
                <w:color w:val="000000"/>
                <w:sz w:val="18"/>
                <w:szCs w:val="18"/>
              </w:rPr>
              <w:t>$</w:t>
            </w:r>
          </w:p>
        </w:tc>
        <w:tc>
          <w:tcPr>
            <w:tcW w:w="0" w:type="auto"/>
            <w:gridSpan w:val="4"/>
            <w:shd w:val="clear" w:color="auto" w:fill="FFFFFF"/>
            <w:tcMar>
              <w:top w:w="30" w:type="dxa"/>
              <w:left w:w="0" w:type="dxa"/>
              <w:bottom w:w="30" w:type="dxa"/>
              <w:right w:w="0" w:type="dxa"/>
            </w:tcMar>
            <w:vAlign w:val="bottom"/>
            <w:hideMark/>
          </w:tcPr>
          <w:p w14:paraId="7D6457AD" w14:textId="77777777" w:rsidR="00000000" w:rsidRDefault="00405D16">
            <w:pPr>
              <w:spacing w:after="100"/>
              <w:jc w:val="right"/>
              <w:rPr>
                <w:rFonts w:eastAsia="Times New Roman"/>
              </w:rPr>
            </w:pPr>
            <w:r>
              <w:rPr>
                <w:rFonts w:eastAsia="Times New Roman"/>
                <w:color w:val="000000"/>
                <w:sz w:val="18"/>
                <w:szCs w:val="18"/>
              </w:rPr>
              <w:t>474 </w:t>
            </w:r>
          </w:p>
        </w:tc>
        <w:tc>
          <w:tcPr>
            <w:tcW w:w="0" w:type="auto"/>
            <w:shd w:val="clear" w:color="auto" w:fill="FFFFFF"/>
            <w:tcMar>
              <w:top w:w="30" w:type="dxa"/>
              <w:left w:w="0" w:type="dxa"/>
              <w:bottom w:w="30" w:type="dxa"/>
              <w:right w:w="20" w:type="dxa"/>
            </w:tcMar>
            <w:vAlign w:val="bottom"/>
            <w:hideMark/>
          </w:tcPr>
          <w:p w14:paraId="0D8487E7"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305E6CB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7E042C" w14:textId="77777777" w:rsidR="00000000" w:rsidRDefault="00405D16">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0" w:type="dxa"/>
            </w:tcMar>
            <w:vAlign w:val="bottom"/>
            <w:hideMark/>
          </w:tcPr>
          <w:p w14:paraId="4A72D557" w14:textId="77777777" w:rsidR="00000000" w:rsidRDefault="00405D16">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14:paraId="326F3DC7"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70A1C69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4CA41E" w14:textId="77777777" w:rsidR="00000000" w:rsidRDefault="00405D16">
            <w:pPr>
              <w:spacing w:after="100"/>
              <w:rPr>
                <w:rFonts w:eastAsia="Times New Roman"/>
              </w:rPr>
            </w:pPr>
            <w:r>
              <w:rPr>
                <w:rFonts w:eastAsia="Times New Roman"/>
                <w:color w:val="000000"/>
                <w:sz w:val="18"/>
                <w:szCs w:val="18"/>
              </w:rPr>
              <w:t>$</w:t>
            </w:r>
          </w:p>
        </w:tc>
        <w:tc>
          <w:tcPr>
            <w:tcW w:w="0" w:type="auto"/>
            <w:gridSpan w:val="4"/>
            <w:shd w:val="clear" w:color="auto" w:fill="FFFFFF"/>
            <w:tcMar>
              <w:top w:w="30" w:type="dxa"/>
              <w:left w:w="0" w:type="dxa"/>
              <w:bottom w:w="30" w:type="dxa"/>
              <w:right w:w="0" w:type="dxa"/>
            </w:tcMar>
            <w:vAlign w:val="bottom"/>
            <w:hideMark/>
          </w:tcPr>
          <w:p w14:paraId="5C40BFC7" w14:textId="77777777" w:rsidR="00000000" w:rsidRDefault="00405D16">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bottom"/>
            <w:hideMark/>
          </w:tcPr>
          <w:p w14:paraId="3B0A2DE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90C7E0"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D5089A2" w14:textId="77777777" w:rsidR="00000000" w:rsidRDefault="00405D16">
            <w:pPr>
              <w:spacing w:after="100"/>
              <w:rPr>
                <w:rFonts w:eastAsia="Times New Roman"/>
              </w:rPr>
            </w:pPr>
            <w:r>
              <w:rPr>
                <w:rFonts w:eastAsia="Times New Roman"/>
                <w:color w:val="000000"/>
                <w:sz w:val="18"/>
                <w:szCs w:val="18"/>
              </w:rPr>
              <w:t>$</w:t>
            </w:r>
          </w:p>
        </w:tc>
        <w:tc>
          <w:tcPr>
            <w:tcW w:w="0" w:type="auto"/>
            <w:gridSpan w:val="4"/>
            <w:shd w:val="clear" w:color="auto" w:fill="FFFFFF"/>
            <w:tcMar>
              <w:top w:w="30" w:type="dxa"/>
              <w:left w:w="0" w:type="dxa"/>
              <w:bottom w:w="30" w:type="dxa"/>
              <w:right w:w="0" w:type="dxa"/>
            </w:tcMar>
            <w:vAlign w:val="bottom"/>
            <w:hideMark/>
          </w:tcPr>
          <w:p w14:paraId="35BCDA9A"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291B1C1D"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10125A0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14A20D" w14:textId="77777777" w:rsidR="00000000" w:rsidRDefault="00405D16">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0" w:type="dxa"/>
            </w:tcMar>
            <w:vAlign w:val="bottom"/>
            <w:hideMark/>
          </w:tcPr>
          <w:p w14:paraId="51998897"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0A19E7B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DB2FAC"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9C0AB4E" w14:textId="77777777" w:rsidR="00000000" w:rsidRDefault="00405D16">
            <w:pPr>
              <w:spacing w:after="100"/>
              <w:rPr>
                <w:rFonts w:eastAsia="Times New Roman"/>
              </w:rPr>
            </w:pPr>
            <w:r>
              <w:rPr>
                <w:rFonts w:eastAsia="Times New Roman"/>
                <w:color w:val="000000"/>
                <w:sz w:val="18"/>
                <w:szCs w:val="18"/>
              </w:rPr>
              <w:t>$</w:t>
            </w:r>
          </w:p>
        </w:tc>
        <w:tc>
          <w:tcPr>
            <w:tcW w:w="0" w:type="auto"/>
            <w:gridSpan w:val="4"/>
            <w:shd w:val="clear" w:color="auto" w:fill="FFFFFF"/>
            <w:tcMar>
              <w:top w:w="30" w:type="dxa"/>
              <w:left w:w="0" w:type="dxa"/>
              <w:bottom w:w="30" w:type="dxa"/>
              <w:right w:w="0" w:type="dxa"/>
            </w:tcMar>
            <w:vAlign w:val="bottom"/>
            <w:hideMark/>
          </w:tcPr>
          <w:p w14:paraId="4F78B6A9" w14:textId="77777777" w:rsidR="00000000" w:rsidRDefault="00405D16">
            <w:pPr>
              <w:spacing w:after="100"/>
              <w:jc w:val="right"/>
              <w:rPr>
                <w:rFonts w:eastAsia="Times New Roman"/>
              </w:rPr>
            </w:pPr>
            <w:r>
              <w:rPr>
                <w:rFonts w:eastAsia="Times New Roman"/>
                <w:color w:val="000000"/>
                <w:sz w:val="18"/>
                <w:szCs w:val="18"/>
              </w:rPr>
              <w:t>0 </w:t>
            </w:r>
          </w:p>
        </w:tc>
        <w:tc>
          <w:tcPr>
            <w:tcW w:w="0" w:type="auto"/>
            <w:gridSpan w:val="2"/>
            <w:shd w:val="clear" w:color="auto" w:fill="FFFFFF"/>
            <w:tcMar>
              <w:top w:w="30" w:type="dxa"/>
              <w:left w:w="0" w:type="dxa"/>
              <w:bottom w:w="30" w:type="dxa"/>
              <w:right w:w="20" w:type="dxa"/>
            </w:tcMar>
            <w:vAlign w:val="bottom"/>
            <w:hideMark/>
          </w:tcPr>
          <w:p w14:paraId="65045DB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8D0E8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7315FB" w14:textId="77777777" w:rsidR="00000000" w:rsidRDefault="00405D16">
            <w:pPr>
              <w:spacing w:after="100"/>
              <w:rPr>
                <w:rFonts w:eastAsia="Times New Roman"/>
              </w:rPr>
            </w:pPr>
            <w:r>
              <w:rPr>
                <w:rFonts w:eastAsia="Times New Roman"/>
                <w:color w:val="000000"/>
                <w:sz w:val="18"/>
                <w:szCs w:val="18"/>
              </w:rPr>
              <w:t>$</w:t>
            </w:r>
          </w:p>
        </w:tc>
        <w:tc>
          <w:tcPr>
            <w:tcW w:w="0" w:type="auto"/>
            <w:gridSpan w:val="3"/>
            <w:shd w:val="clear" w:color="auto" w:fill="FFFFFF"/>
            <w:tcMar>
              <w:top w:w="30" w:type="dxa"/>
              <w:left w:w="0" w:type="dxa"/>
              <w:bottom w:w="30" w:type="dxa"/>
              <w:right w:w="0" w:type="dxa"/>
            </w:tcMar>
            <w:vAlign w:val="bottom"/>
            <w:hideMark/>
          </w:tcPr>
          <w:p w14:paraId="2B1EF5DB" w14:textId="77777777" w:rsidR="00000000" w:rsidRDefault="00405D16">
            <w:pPr>
              <w:spacing w:after="100"/>
              <w:jc w:val="right"/>
              <w:rPr>
                <w:rFonts w:eastAsia="Times New Roman"/>
              </w:rPr>
            </w:pPr>
            <w:r>
              <w:rPr>
                <w:rFonts w:eastAsia="Times New Roman"/>
                <w:color w:val="000000"/>
                <w:sz w:val="18"/>
                <w:szCs w:val="18"/>
              </w:rPr>
              <w:t>(22)</w:t>
            </w:r>
          </w:p>
        </w:tc>
        <w:tc>
          <w:tcPr>
            <w:tcW w:w="0" w:type="auto"/>
            <w:shd w:val="clear" w:color="auto" w:fill="FFFFFF"/>
            <w:tcMar>
              <w:top w:w="30" w:type="dxa"/>
              <w:left w:w="0" w:type="dxa"/>
              <w:bottom w:w="30" w:type="dxa"/>
              <w:right w:w="20" w:type="dxa"/>
            </w:tcMar>
            <w:vAlign w:val="bottom"/>
            <w:hideMark/>
          </w:tcPr>
          <w:p w14:paraId="5DCAAAD3"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4308397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908742" w14:textId="77777777" w:rsidR="00000000" w:rsidRDefault="00405D16">
            <w:pPr>
              <w:spacing w:after="100"/>
              <w:rPr>
                <w:rFonts w:eastAsia="Times New Roman"/>
              </w:rPr>
            </w:pPr>
            <w:r>
              <w:rPr>
                <w:rFonts w:eastAsia="Times New Roman"/>
                <w:color w:val="000000"/>
                <w:sz w:val="18"/>
                <w:szCs w:val="18"/>
              </w:rPr>
              <w:t>$</w:t>
            </w:r>
          </w:p>
        </w:tc>
        <w:tc>
          <w:tcPr>
            <w:tcW w:w="0" w:type="auto"/>
            <w:gridSpan w:val="4"/>
            <w:shd w:val="clear" w:color="auto" w:fill="FFFFFF"/>
            <w:tcMar>
              <w:top w:w="30" w:type="dxa"/>
              <w:left w:w="0" w:type="dxa"/>
              <w:bottom w:w="30" w:type="dxa"/>
              <w:right w:w="0" w:type="dxa"/>
            </w:tcMar>
            <w:vAlign w:val="bottom"/>
            <w:hideMark/>
          </w:tcPr>
          <w:p w14:paraId="1CA1B556" w14:textId="77777777" w:rsidR="00000000" w:rsidRDefault="00405D16">
            <w:pPr>
              <w:spacing w:after="100"/>
              <w:jc w:val="right"/>
              <w:rPr>
                <w:rFonts w:eastAsia="Times New Roman"/>
              </w:rPr>
            </w:pPr>
            <w:r>
              <w:rPr>
                <w:rFonts w:eastAsia="Times New Roman"/>
                <w:color w:val="000000"/>
                <w:sz w:val="18"/>
                <w:szCs w:val="18"/>
              </w:rPr>
              <w:t>56 </w:t>
            </w:r>
          </w:p>
        </w:tc>
        <w:tc>
          <w:tcPr>
            <w:tcW w:w="0" w:type="auto"/>
            <w:shd w:val="clear" w:color="auto" w:fill="FFFFFF"/>
            <w:tcMar>
              <w:top w:w="30" w:type="dxa"/>
              <w:left w:w="0" w:type="dxa"/>
              <w:bottom w:w="30" w:type="dxa"/>
              <w:right w:w="20" w:type="dxa"/>
            </w:tcMar>
            <w:vAlign w:val="bottom"/>
            <w:hideMark/>
          </w:tcPr>
          <w:p w14:paraId="02B66D3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88FA67"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0FAFAF7" w14:textId="77777777" w:rsidR="00000000" w:rsidRDefault="00405D16">
            <w:pPr>
              <w:spacing w:after="100"/>
              <w:rPr>
                <w:rFonts w:eastAsia="Times New Roman"/>
              </w:rPr>
            </w:pPr>
            <w:r>
              <w:rPr>
                <w:rFonts w:eastAsia="Times New Roman"/>
                <w:color w:val="000000"/>
                <w:sz w:val="18"/>
                <w:szCs w:val="18"/>
              </w:rPr>
              <w:t>$</w:t>
            </w:r>
          </w:p>
        </w:tc>
        <w:tc>
          <w:tcPr>
            <w:tcW w:w="0" w:type="auto"/>
            <w:gridSpan w:val="4"/>
            <w:shd w:val="clear" w:color="auto" w:fill="FFFFFF"/>
            <w:tcMar>
              <w:top w:w="30" w:type="dxa"/>
              <w:left w:w="0" w:type="dxa"/>
              <w:bottom w:w="30" w:type="dxa"/>
              <w:right w:w="0" w:type="dxa"/>
            </w:tcMar>
            <w:vAlign w:val="bottom"/>
            <w:hideMark/>
          </w:tcPr>
          <w:p w14:paraId="777AB363" w14:textId="77777777" w:rsidR="00000000" w:rsidRDefault="00405D16">
            <w:pPr>
              <w:spacing w:after="100"/>
              <w:jc w:val="right"/>
              <w:rPr>
                <w:rFonts w:eastAsia="Times New Roman"/>
              </w:rPr>
            </w:pPr>
            <w:r>
              <w:rPr>
                <w:rFonts w:eastAsia="Times New Roman"/>
                <w:color w:val="000000"/>
                <w:sz w:val="18"/>
                <w:szCs w:val="18"/>
              </w:rPr>
              <w:t>(47)</w:t>
            </w:r>
          </w:p>
        </w:tc>
        <w:tc>
          <w:tcPr>
            <w:tcW w:w="0" w:type="auto"/>
            <w:gridSpan w:val="2"/>
            <w:shd w:val="clear" w:color="auto" w:fill="FFFFFF"/>
            <w:tcMar>
              <w:top w:w="30" w:type="dxa"/>
              <w:left w:w="0" w:type="dxa"/>
              <w:bottom w:w="30" w:type="dxa"/>
              <w:right w:w="20" w:type="dxa"/>
            </w:tcMar>
            <w:vAlign w:val="bottom"/>
            <w:hideMark/>
          </w:tcPr>
          <w:p w14:paraId="3940DF1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BC490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4993AA" w14:textId="77777777" w:rsidR="00000000" w:rsidRDefault="00405D16">
            <w:pPr>
              <w:spacing w:after="100"/>
              <w:rPr>
                <w:rFonts w:eastAsia="Times New Roman"/>
              </w:rPr>
            </w:pPr>
            <w:r>
              <w:rPr>
                <w:rFonts w:eastAsia="Times New Roman"/>
                <w:color w:val="000000"/>
                <w:sz w:val="18"/>
                <w:szCs w:val="18"/>
              </w:rPr>
              <w:t>$</w:t>
            </w:r>
          </w:p>
        </w:tc>
        <w:tc>
          <w:tcPr>
            <w:tcW w:w="0" w:type="auto"/>
            <w:gridSpan w:val="4"/>
            <w:shd w:val="clear" w:color="auto" w:fill="FFFFFF"/>
            <w:tcMar>
              <w:top w:w="30" w:type="dxa"/>
              <w:left w:w="0" w:type="dxa"/>
              <w:bottom w:w="30" w:type="dxa"/>
              <w:right w:w="0" w:type="dxa"/>
            </w:tcMar>
            <w:vAlign w:val="bottom"/>
            <w:hideMark/>
          </w:tcPr>
          <w:p w14:paraId="33B2B49B" w14:textId="77777777" w:rsidR="00000000" w:rsidRDefault="00405D16">
            <w:pPr>
              <w:spacing w:after="100"/>
              <w:jc w:val="right"/>
              <w:rPr>
                <w:rFonts w:eastAsia="Times New Roman"/>
              </w:rPr>
            </w:pPr>
            <w:r>
              <w:rPr>
                <w:rFonts w:eastAsia="Times New Roman"/>
                <w:color w:val="000000"/>
                <w:sz w:val="18"/>
                <w:szCs w:val="18"/>
              </w:rPr>
              <w:t>474 </w:t>
            </w:r>
          </w:p>
        </w:tc>
        <w:tc>
          <w:tcPr>
            <w:tcW w:w="0" w:type="auto"/>
            <w:gridSpan w:val="5"/>
            <w:shd w:val="clear" w:color="auto" w:fill="FFFFFF"/>
            <w:tcMar>
              <w:top w:w="30" w:type="dxa"/>
              <w:left w:w="0" w:type="dxa"/>
              <w:bottom w:w="30" w:type="dxa"/>
              <w:right w:w="20" w:type="dxa"/>
            </w:tcMar>
            <w:vAlign w:val="bottom"/>
            <w:hideMark/>
          </w:tcPr>
          <w:p w14:paraId="69C75B99" w14:textId="77777777" w:rsidR="00000000" w:rsidRDefault="00405D16">
            <w:pPr>
              <w:spacing w:after="100"/>
              <w:jc w:val="right"/>
              <w:rPr>
                <w:rFonts w:eastAsia="Times New Roman"/>
              </w:rPr>
            </w:pPr>
            <w:r>
              <w:rPr>
                <w:rFonts w:eastAsia="Times New Roman"/>
                <w:color w:val="000000"/>
                <w:sz w:val="18"/>
                <w:szCs w:val="18"/>
              </w:rPr>
              <w:t>$10 </w:t>
            </w:r>
          </w:p>
        </w:tc>
      </w:tr>
      <w:tr w:rsidR="00405D16" w14:paraId="0940BEA6" w14:textId="77777777">
        <w:trPr>
          <w:gridAfter w:val="20"/>
          <w:divId w:val="403920393"/>
        </w:trPr>
        <w:tc>
          <w:tcPr>
            <w:tcW w:w="0" w:type="auto"/>
            <w:gridSpan w:val="4"/>
            <w:shd w:val="clear" w:color="auto" w:fill="CCEEFF"/>
            <w:tcMar>
              <w:top w:w="30" w:type="dxa"/>
              <w:left w:w="245" w:type="dxa"/>
              <w:bottom w:w="30" w:type="dxa"/>
              <w:right w:w="20" w:type="dxa"/>
            </w:tcMar>
            <w:vAlign w:val="center"/>
            <w:hideMark/>
          </w:tcPr>
          <w:p w14:paraId="6AB4585D" w14:textId="77777777" w:rsidR="00000000" w:rsidRDefault="00405D16">
            <w:pPr>
              <w:spacing w:after="100"/>
              <w:rPr>
                <w:rFonts w:eastAsia="Times New Roman"/>
              </w:rPr>
            </w:pPr>
            <w:r>
              <w:rPr>
                <w:rFonts w:eastAsia="Times New Roman"/>
                <w:color w:val="000000"/>
                <w:sz w:val="16"/>
                <w:szCs w:val="16"/>
              </w:rPr>
              <w:t>CMBS</w:t>
            </w:r>
          </w:p>
        </w:tc>
        <w:tc>
          <w:tcPr>
            <w:tcW w:w="0" w:type="auto"/>
            <w:gridSpan w:val="4"/>
            <w:shd w:val="clear" w:color="auto" w:fill="CCEEFF"/>
            <w:tcMar>
              <w:top w:w="0" w:type="dxa"/>
              <w:left w:w="20" w:type="dxa"/>
              <w:bottom w:w="0" w:type="dxa"/>
              <w:right w:w="20" w:type="dxa"/>
            </w:tcMar>
            <w:vAlign w:val="center"/>
            <w:hideMark/>
          </w:tcPr>
          <w:p w14:paraId="23AEE717" w14:textId="77777777" w:rsidR="00000000" w:rsidRDefault="00405D16">
            <w:pPr>
              <w:spacing w:after="100"/>
              <w:rPr>
                <w:rFonts w:eastAsia="Times New Roman"/>
              </w:rPr>
            </w:pPr>
          </w:p>
        </w:tc>
        <w:tc>
          <w:tcPr>
            <w:tcW w:w="0" w:type="auto"/>
            <w:gridSpan w:val="5"/>
            <w:shd w:val="clear" w:color="auto" w:fill="CCEEFF"/>
            <w:tcMar>
              <w:top w:w="30" w:type="dxa"/>
              <w:left w:w="20" w:type="dxa"/>
              <w:bottom w:w="30" w:type="dxa"/>
              <w:right w:w="0" w:type="dxa"/>
            </w:tcMar>
            <w:vAlign w:val="bottom"/>
            <w:hideMark/>
          </w:tcPr>
          <w:p w14:paraId="07E42823" w14:textId="77777777" w:rsidR="00000000" w:rsidRDefault="00405D16">
            <w:pPr>
              <w:spacing w:after="100"/>
              <w:jc w:val="right"/>
              <w:rPr>
                <w:rFonts w:eastAsia="Times New Roman"/>
              </w:rPr>
            </w:pPr>
            <w:r>
              <w:rPr>
                <w:rFonts w:eastAsia="Times New Roman"/>
                <w:color w:val="000000"/>
                <w:sz w:val="18"/>
                <w:szCs w:val="18"/>
              </w:rPr>
              <w:t>282 </w:t>
            </w:r>
          </w:p>
        </w:tc>
        <w:tc>
          <w:tcPr>
            <w:tcW w:w="0" w:type="auto"/>
            <w:shd w:val="clear" w:color="auto" w:fill="CCEEFF"/>
            <w:tcMar>
              <w:top w:w="30" w:type="dxa"/>
              <w:left w:w="0" w:type="dxa"/>
              <w:bottom w:w="30" w:type="dxa"/>
              <w:right w:w="20" w:type="dxa"/>
            </w:tcMar>
            <w:vAlign w:val="bottom"/>
            <w:hideMark/>
          </w:tcPr>
          <w:p w14:paraId="56E484D4"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17C8A91C" w14:textId="77777777" w:rsidR="00000000" w:rsidRDefault="00405D16">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080C66D3" w14:textId="77777777" w:rsidR="00000000" w:rsidRDefault="00405D16">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14:paraId="5ED16359"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21DD3E1A" w14:textId="77777777" w:rsidR="00000000" w:rsidRDefault="00405D16">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3FA42D15" w14:textId="77777777" w:rsidR="00000000" w:rsidRDefault="00405D16">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14:paraId="18625CF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953D82" w14:textId="77777777" w:rsidR="00000000" w:rsidRDefault="00405D16">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48656C88"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7601821B"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32E94ACF" w14:textId="77777777" w:rsidR="00000000" w:rsidRDefault="00405D16">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3AE7AA8F"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6487151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416887" w14:textId="77777777" w:rsidR="00000000" w:rsidRDefault="00405D16">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4153D3F7" w14:textId="77777777" w:rsidR="00000000" w:rsidRDefault="00405D16">
            <w:pPr>
              <w:spacing w:after="100"/>
              <w:jc w:val="right"/>
              <w:rPr>
                <w:rFonts w:eastAsia="Times New Roman"/>
              </w:rPr>
            </w:pPr>
            <w:r>
              <w:rPr>
                <w:rFonts w:eastAsia="Times New Roman"/>
                <w:color w:val="000000"/>
                <w:sz w:val="18"/>
                <w:szCs w:val="18"/>
              </w:rPr>
              <w:t>0 </w:t>
            </w:r>
          </w:p>
        </w:tc>
        <w:tc>
          <w:tcPr>
            <w:tcW w:w="0" w:type="auto"/>
            <w:gridSpan w:val="2"/>
            <w:shd w:val="clear" w:color="auto" w:fill="CCEEFF"/>
            <w:tcMar>
              <w:top w:w="30" w:type="dxa"/>
              <w:left w:w="0" w:type="dxa"/>
              <w:bottom w:w="30" w:type="dxa"/>
              <w:right w:w="20" w:type="dxa"/>
            </w:tcMar>
            <w:vAlign w:val="bottom"/>
            <w:hideMark/>
          </w:tcPr>
          <w:p w14:paraId="47F78B2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A29B54" w14:textId="77777777" w:rsidR="00000000" w:rsidRDefault="00405D16">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3F2DD3E3" w14:textId="77777777" w:rsidR="00000000" w:rsidRDefault="00405D16">
            <w:pPr>
              <w:spacing w:after="100"/>
              <w:jc w:val="right"/>
              <w:rPr>
                <w:rFonts w:eastAsia="Times New Roman"/>
              </w:rPr>
            </w:pPr>
            <w:r>
              <w:rPr>
                <w:rFonts w:eastAsia="Times New Roman"/>
                <w:color w:val="000000"/>
                <w:sz w:val="18"/>
                <w:szCs w:val="18"/>
              </w:rPr>
              <w:t>(8)</w:t>
            </w:r>
          </w:p>
        </w:tc>
        <w:tc>
          <w:tcPr>
            <w:tcW w:w="0" w:type="auto"/>
            <w:shd w:val="clear" w:color="auto" w:fill="CCEEFF"/>
            <w:tcMar>
              <w:top w:w="30" w:type="dxa"/>
              <w:left w:w="0" w:type="dxa"/>
              <w:bottom w:w="30" w:type="dxa"/>
              <w:right w:w="20" w:type="dxa"/>
            </w:tcMar>
            <w:vAlign w:val="bottom"/>
            <w:hideMark/>
          </w:tcPr>
          <w:p w14:paraId="5C26745E"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4A4B303C" w14:textId="77777777" w:rsidR="00000000" w:rsidRDefault="00405D16">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418651D4" w14:textId="77777777" w:rsidR="00000000" w:rsidRDefault="00405D16">
            <w:pPr>
              <w:spacing w:after="100"/>
              <w:jc w:val="right"/>
              <w:rPr>
                <w:rFonts w:eastAsia="Times New Roman"/>
              </w:rPr>
            </w:pPr>
            <w:r>
              <w:rPr>
                <w:rFonts w:eastAsia="Times New Roman"/>
                <w:color w:val="000000"/>
                <w:sz w:val="18"/>
                <w:szCs w:val="18"/>
              </w:rPr>
              <w:t>98 </w:t>
            </w:r>
          </w:p>
        </w:tc>
        <w:tc>
          <w:tcPr>
            <w:tcW w:w="0" w:type="auto"/>
            <w:shd w:val="clear" w:color="auto" w:fill="CCEEFF"/>
            <w:tcMar>
              <w:top w:w="30" w:type="dxa"/>
              <w:left w:w="0" w:type="dxa"/>
              <w:bottom w:w="30" w:type="dxa"/>
              <w:right w:w="20" w:type="dxa"/>
            </w:tcMar>
            <w:vAlign w:val="bottom"/>
            <w:hideMark/>
          </w:tcPr>
          <w:p w14:paraId="58FDF84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2B63FD" w14:textId="77777777" w:rsidR="00000000" w:rsidRDefault="00405D16">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75A7955B" w14:textId="77777777" w:rsidR="00000000" w:rsidRDefault="00405D16">
            <w:pPr>
              <w:spacing w:after="100"/>
              <w:jc w:val="right"/>
              <w:rPr>
                <w:rFonts w:eastAsia="Times New Roman"/>
              </w:rPr>
            </w:pPr>
            <w:r>
              <w:rPr>
                <w:rFonts w:eastAsia="Times New Roman"/>
                <w:color w:val="000000"/>
                <w:sz w:val="18"/>
                <w:szCs w:val="18"/>
              </w:rPr>
              <w:t>0 </w:t>
            </w:r>
          </w:p>
        </w:tc>
        <w:tc>
          <w:tcPr>
            <w:tcW w:w="0" w:type="auto"/>
            <w:gridSpan w:val="2"/>
            <w:shd w:val="clear" w:color="auto" w:fill="CCEEFF"/>
            <w:tcMar>
              <w:top w:w="30" w:type="dxa"/>
              <w:left w:w="0" w:type="dxa"/>
              <w:bottom w:w="30" w:type="dxa"/>
              <w:right w:w="20" w:type="dxa"/>
            </w:tcMar>
            <w:vAlign w:val="bottom"/>
            <w:hideMark/>
          </w:tcPr>
          <w:p w14:paraId="3919C9F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658642" w14:textId="77777777" w:rsidR="00000000" w:rsidRDefault="00405D16">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2ADC6C0B" w14:textId="77777777" w:rsidR="00000000" w:rsidRDefault="00405D16">
            <w:pPr>
              <w:spacing w:after="100"/>
              <w:jc w:val="right"/>
              <w:rPr>
                <w:rFonts w:eastAsia="Times New Roman"/>
              </w:rPr>
            </w:pPr>
            <w:r>
              <w:rPr>
                <w:rFonts w:eastAsia="Times New Roman"/>
                <w:color w:val="000000"/>
                <w:sz w:val="18"/>
                <w:szCs w:val="18"/>
              </w:rPr>
              <w:t>372 </w:t>
            </w:r>
          </w:p>
        </w:tc>
        <w:tc>
          <w:tcPr>
            <w:tcW w:w="0" w:type="auto"/>
            <w:gridSpan w:val="5"/>
            <w:shd w:val="clear" w:color="auto" w:fill="CCEEFF"/>
            <w:tcMar>
              <w:top w:w="30" w:type="dxa"/>
              <w:left w:w="0" w:type="dxa"/>
              <w:bottom w:w="30" w:type="dxa"/>
              <w:right w:w="20" w:type="dxa"/>
            </w:tcMar>
            <w:vAlign w:val="bottom"/>
            <w:hideMark/>
          </w:tcPr>
          <w:p w14:paraId="6529A235" w14:textId="77777777" w:rsidR="00000000" w:rsidRDefault="00405D16">
            <w:pPr>
              <w:spacing w:after="100"/>
              <w:jc w:val="right"/>
              <w:rPr>
                <w:rFonts w:eastAsia="Times New Roman"/>
              </w:rPr>
            </w:pPr>
            <w:r>
              <w:rPr>
                <w:rFonts w:eastAsia="Times New Roman"/>
                <w:color w:val="000000"/>
                <w:sz w:val="18"/>
                <w:szCs w:val="18"/>
              </w:rPr>
              <w:t>(1)</w:t>
            </w:r>
          </w:p>
        </w:tc>
      </w:tr>
      <w:tr w:rsidR="00000000" w14:paraId="7F9E577C" w14:textId="77777777">
        <w:trPr>
          <w:gridAfter w:val="20"/>
          <w:divId w:val="403920393"/>
        </w:trPr>
        <w:tc>
          <w:tcPr>
            <w:tcW w:w="0" w:type="auto"/>
            <w:gridSpan w:val="4"/>
            <w:vAlign w:val="center"/>
            <w:hideMark/>
          </w:tcPr>
          <w:p w14:paraId="13DE8F4B" w14:textId="77777777" w:rsidR="00000000" w:rsidRDefault="00405D16">
            <w:pPr>
              <w:spacing w:after="100"/>
              <w:jc w:val="right"/>
              <w:rPr>
                <w:rFonts w:eastAsia="Times New Roman"/>
                <w:sz w:val="20"/>
                <w:szCs w:val="20"/>
              </w:rPr>
            </w:pPr>
          </w:p>
        </w:tc>
        <w:tc>
          <w:tcPr>
            <w:tcW w:w="0" w:type="auto"/>
            <w:gridSpan w:val="4"/>
            <w:vAlign w:val="center"/>
            <w:hideMark/>
          </w:tcPr>
          <w:p w14:paraId="5C2BF16F" w14:textId="77777777" w:rsidR="00000000" w:rsidRDefault="00405D16">
            <w:pPr>
              <w:spacing w:after="100"/>
              <w:rPr>
                <w:rFonts w:eastAsia="Times New Roman"/>
                <w:sz w:val="20"/>
                <w:szCs w:val="20"/>
              </w:rPr>
            </w:pPr>
          </w:p>
        </w:tc>
        <w:tc>
          <w:tcPr>
            <w:tcW w:w="0" w:type="auto"/>
            <w:gridSpan w:val="6"/>
            <w:vAlign w:val="center"/>
            <w:hideMark/>
          </w:tcPr>
          <w:p w14:paraId="1CDA0A37" w14:textId="77777777" w:rsidR="00000000" w:rsidRDefault="00405D16">
            <w:pPr>
              <w:spacing w:after="100"/>
              <w:rPr>
                <w:rFonts w:eastAsia="Times New Roman"/>
                <w:sz w:val="20"/>
                <w:szCs w:val="20"/>
              </w:rPr>
            </w:pPr>
          </w:p>
        </w:tc>
        <w:tc>
          <w:tcPr>
            <w:tcW w:w="0" w:type="auto"/>
            <w:gridSpan w:val="4"/>
            <w:vAlign w:val="center"/>
            <w:hideMark/>
          </w:tcPr>
          <w:p w14:paraId="73C6A01E" w14:textId="77777777" w:rsidR="00000000" w:rsidRDefault="00405D16">
            <w:pPr>
              <w:spacing w:after="100"/>
              <w:rPr>
                <w:rFonts w:eastAsia="Times New Roman"/>
                <w:sz w:val="20"/>
                <w:szCs w:val="20"/>
              </w:rPr>
            </w:pPr>
          </w:p>
        </w:tc>
        <w:tc>
          <w:tcPr>
            <w:tcW w:w="0" w:type="auto"/>
            <w:gridSpan w:val="5"/>
            <w:vAlign w:val="center"/>
            <w:hideMark/>
          </w:tcPr>
          <w:p w14:paraId="25F98B52" w14:textId="77777777" w:rsidR="00000000" w:rsidRDefault="00405D16">
            <w:pPr>
              <w:spacing w:after="100"/>
              <w:rPr>
                <w:rFonts w:eastAsia="Times New Roman"/>
                <w:sz w:val="20"/>
                <w:szCs w:val="20"/>
              </w:rPr>
            </w:pPr>
          </w:p>
        </w:tc>
        <w:tc>
          <w:tcPr>
            <w:tcW w:w="0" w:type="auto"/>
            <w:gridSpan w:val="4"/>
            <w:vAlign w:val="center"/>
            <w:hideMark/>
          </w:tcPr>
          <w:p w14:paraId="71629C55" w14:textId="77777777" w:rsidR="00000000" w:rsidRDefault="00405D16">
            <w:pPr>
              <w:spacing w:after="100"/>
              <w:rPr>
                <w:rFonts w:eastAsia="Times New Roman"/>
                <w:sz w:val="20"/>
                <w:szCs w:val="20"/>
              </w:rPr>
            </w:pPr>
          </w:p>
        </w:tc>
        <w:tc>
          <w:tcPr>
            <w:tcW w:w="0" w:type="auto"/>
            <w:gridSpan w:val="7"/>
            <w:vAlign w:val="center"/>
            <w:hideMark/>
          </w:tcPr>
          <w:p w14:paraId="6F145705" w14:textId="77777777" w:rsidR="00000000" w:rsidRDefault="00405D16">
            <w:pPr>
              <w:spacing w:after="100"/>
              <w:rPr>
                <w:rFonts w:eastAsia="Times New Roman"/>
                <w:sz w:val="20"/>
                <w:szCs w:val="20"/>
              </w:rPr>
            </w:pPr>
          </w:p>
        </w:tc>
        <w:tc>
          <w:tcPr>
            <w:tcW w:w="0" w:type="auto"/>
            <w:gridSpan w:val="3"/>
            <w:vAlign w:val="center"/>
            <w:hideMark/>
          </w:tcPr>
          <w:p w14:paraId="7A5B5B9D" w14:textId="77777777" w:rsidR="00000000" w:rsidRDefault="00405D16">
            <w:pPr>
              <w:spacing w:after="100"/>
              <w:rPr>
                <w:rFonts w:eastAsia="Times New Roman"/>
                <w:sz w:val="20"/>
                <w:szCs w:val="20"/>
              </w:rPr>
            </w:pPr>
          </w:p>
        </w:tc>
        <w:tc>
          <w:tcPr>
            <w:tcW w:w="0" w:type="auto"/>
            <w:gridSpan w:val="6"/>
            <w:vAlign w:val="center"/>
            <w:hideMark/>
          </w:tcPr>
          <w:p w14:paraId="1DD69F88" w14:textId="77777777" w:rsidR="00000000" w:rsidRDefault="00405D16">
            <w:pPr>
              <w:spacing w:after="100"/>
              <w:rPr>
                <w:rFonts w:eastAsia="Times New Roman"/>
                <w:sz w:val="20"/>
                <w:szCs w:val="20"/>
              </w:rPr>
            </w:pPr>
          </w:p>
        </w:tc>
        <w:tc>
          <w:tcPr>
            <w:tcW w:w="0" w:type="auto"/>
            <w:gridSpan w:val="4"/>
            <w:vAlign w:val="center"/>
            <w:hideMark/>
          </w:tcPr>
          <w:p w14:paraId="4DB2E3DF" w14:textId="77777777" w:rsidR="00000000" w:rsidRDefault="00405D16">
            <w:pPr>
              <w:spacing w:after="100"/>
              <w:rPr>
                <w:rFonts w:eastAsia="Times New Roman"/>
                <w:sz w:val="20"/>
                <w:szCs w:val="20"/>
              </w:rPr>
            </w:pPr>
          </w:p>
        </w:tc>
        <w:tc>
          <w:tcPr>
            <w:tcW w:w="0" w:type="auto"/>
            <w:gridSpan w:val="5"/>
            <w:vAlign w:val="center"/>
            <w:hideMark/>
          </w:tcPr>
          <w:p w14:paraId="62DCB614" w14:textId="77777777" w:rsidR="00000000" w:rsidRDefault="00405D16">
            <w:pPr>
              <w:spacing w:after="100"/>
              <w:rPr>
                <w:rFonts w:eastAsia="Times New Roman"/>
                <w:sz w:val="20"/>
                <w:szCs w:val="20"/>
              </w:rPr>
            </w:pPr>
          </w:p>
        </w:tc>
        <w:tc>
          <w:tcPr>
            <w:tcW w:w="0" w:type="auto"/>
            <w:gridSpan w:val="3"/>
            <w:vAlign w:val="center"/>
            <w:hideMark/>
          </w:tcPr>
          <w:p w14:paraId="484215D3" w14:textId="77777777" w:rsidR="00000000" w:rsidRDefault="00405D16">
            <w:pPr>
              <w:spacing w:after="100"/>
              <w:rPr>
                <w:rFonts w:eastAsia="Times New Roman"/>
                <w:sz w:val="20"/>
                <w:szCs w:val="20"/>
              </w:rPr>
            </w:pPr>
          </w:p>
        </w:tc>
        <w:tc>
          <w:tcPr>
            <w:tcW w:w="0" w:type="auto"/>
            <w:gridSpan w:val="7"/>
            <w:vAlign w:val="center"/>
            <w:hideMark/>
          </w:tcPr>
          <w:p w14:paraId="2A4C2375" w14:textId="77777777" w:rsidR="00000000" w:rsidRDefault="00405D16">
            <w:pPr>
              <w:spacing w:after="100"/>
              <w:rPr>
                <w:rFonts w:eastAsia="Times New Roman"/>
                <w:sz w:val="20"/>
                <w:szCs w:val="20"/>
              </w:rPr>
            </w:pPr>
          </w:p>
        </w:tc>
        <w:tc>
          <w:tcPr>
            <w:tcW w:w="0" w:type="auto"/>
            <w:gridSpan w:val="3"/>
            <w:vAlign w:val="center"/>
            <w:hideMark/>
          </w:tcPr>
          <w:p w14:paraId="45F9173F" w14:textId="77777777" w:rsidR="00000000" w:rsidRDefault="00405D16">
            <w:pPr>
              <w:spacing w:after="100"/>
              <w:rPr>
                <w:rFonts w:eastAsia="Times New Roman"/>
                <w:sz w:val="20"/>
                <w:szCs w:val="20"/>
              </w:rPr>
            </w:pPr>
          </w:p>
        </w:tc>
        <w:tc>
          <w:tcPr>
            <w:tcW w:w="0" w:type="auto"/>
            <w:gridSpan w:val="6"/>
            <w:vAlign w:val="center"/>
            <w:hideMark/>
          </w:tcPr>
          <w:p w14:paraId="7FFD9A42" w14:textId="77777777" w:rsidR="00000000" w:rsidRDefault="00405D16">
            <w:pPr>
              <w:spacing w:after="100"/>
              <w:rPr>
                <w:rFonts w:eastAsia="Times New Roman"/>
                <w:sz w:val="20"/>
                <w:szCs w:val="20"/>
              </w:rPr>
            </w:pPr>
          </w:p>
        </w:tc>
        <w:tc>
          <w:tcPr>
            <w:tcW w:w="0" w:type="auto"/>
            <w:gridSpan w:val="4"/>
            <w:vAlign w:val="center"/>
            <w:hideMark/>
          </w:tcPr>
          <w:p w14:paraId="3F13D608" w14:textId="77777777" w:rsidR="00000000" w:rsidRDefault="00405D16">
            <w:pPr>
              <w:spacing w:after="100"/>
              <w:rPr>
                <w:rFonts w:eastAsia="Times New Roman"/>
                <w:sz w:val="20"/>
                <w:szCs w:val="20"/>
              </w:rPr>
            </w:pPr>
          </w:p>
        </w:tc>
        <w:tc>
          <w:tcPr>
            <w:tcW w:w="0" w:type="auto"/>
            <w:gridSpan w:val="7"/>
            <w:vAlign w:val="center"/>
            <w:hideMark/>
          </w:tcPr>
          <w:p w14:paraId="7706B4B7" w14:textId="77777777" w:rsidR="00000000" w:rsidRDefault="00405D16">
            <w:pPr>
              <w:spacing w:after="100"/>
              <w:rPr>
                <w:rFonts w:eastAsia="Times New Roman"/>
                <w:sz w:val="20"/>
                <w:szCs w:val="20"/>
              </w:rPr>
            </w:pPr>
          </w:p>
        </w:tc>
        <w:tc>
          <w:tcPr>
            <w:tcW w:w="0" w:type="auto"/>
            <w:gridSpan w:val="3"/>
            <w:vAlign w:val="center"/>
            <w:hideMark/>
          </w:tcPr>
          <w:p w14:paraId="574FB914" w14:textId="77777777" w:rsidR="00000000" w:rsidRDefault="00405D16">
            <w:pPr>
              <w:spacing w:after="100"/>
              <w:rPr>
                <w:rFonts w:eastAsia="Times New Roman"/>
                <w:sz w:val="20"/>
                <w:szCs w:val="20"/>
              </w:rPr>
            </w:pPr>
          </w:p>
        </w:tc>
        <w:tc>
          <w:tcPr>
            <w:tcW w:w="0" w:type="auto"/>
            <w:gridSpan w:val="7"/>
            <w:vAlign w:val="center"/>
            <w:hideMark/>
          </w:tcPr>
          <w:p w14:paraId="287C23FC" w14:textId="77777777" w:rsidR="00000000" w:rsidRDefault="00405D16">
            <w:pPr>
              <w:spacing w:after="100"/>
              <w:rPr>
                <w:rFonts w:eastAsia="Times New Roman"/>
                <w:sz w:val="20"/>
                <w:szCs w:val="20"/>
              </w:rPr>
            </w:pPr>
          </w:p>
        </w:tc>
        <w:tc>
          <w:tcPr>
            <w:tcW w:w="0" w:type="auto"/>
            <w:gridSpan w:val="3"/>
            <w:vAlign w:val="center"/>
            <w:hideMark/>
          </w:tcPr>
          <w:p w14:paraId="3D7D4DB8" w14:textId="77777777" w:rsidR="00000000" w:rsidRDefault="00405D16">
            <w:pPr>
              <w:spacing w:after="100"/>
              <w:rPr>
                <w:rFonts w:eastAsia="Times New Roman"/>
                <w:sz w:val="20"/>
                <w:szCs w:val="20"/>
              </w:rPr>
            </w:pPr>
          </w:p>
        </w:tc>
        <w:tc>
          <w:tcPr>
            <w:tcW w:w="0" w:type="auto"/>
            <w:gridSpan w:val="6"/>
            <w:vAlign w:val="center"/>
            <w:hideMark/>
          </w:tcPr>
          <w:p w14:paraId="0B1B5726" w14:textId="77777777" w:rsidR="00000000" w:rsidRDefault="00405D16">
            <w:pPr>
              <w:spacing w:after="100"/>
              <w:rPr>
                <w:rFonts w:eastAsia="Times New Roman"/>
                <w:sz w:val="20"/>
                <w:szCs w:val="20"/>
              </w:rPr>
            </w:pPr>
          </w:p>
        </w:tc>
        <w:tc>
          <w:tcPr>
            <w:tcW w:w="0" w:type="auto"/>
            <w:gridSpan w:val="5"/>
            <w:vAlign w:val="center"/>
            <w:hideMark/>
          </w:tcPr>
          <w:p w14:paraId="32EB1556" w14:textId="77777777" w:rsidR="00000000" w:rsidRDefault="00405D16">
            <w:pPr>
              <w:spacing w:after="100"/>
              <w:rPr>
                <w:rFonts w:eastAsia="Times New Roman"/>
                <w:sz w:val="20"/>
                <w:szCs w:val="20"/>
              </w:rPr>
            </w:pPr>
          </w:p>
        </w:tc>
      </w:tr>
      <w:tr w:rsidR="00405D16" w14:paraId="5BA30BC4" w14:textId="77777777">
        <w:trPr>
          <w:gridAfter w:val="20"/>
          <w:divId w:val="403920393"/>
        </w:trPr>
        <w:tc>
          <w:tcPr>
            <w:tcW w:w="0" w:type="auto"/>
            <w:gridSpan w:val="4"/>
            <w:shd w:val="clear" w:color="auto" w:fill="FFFFFF"/>
            <w:tcMar>
              <w:top w:w="30" w:type="dxa"/>
              <w:left w:w="20" w:type="dxa"/>
              <w:bottom w:w="30" w:type="dxa"/>
              <w:right w:w="20" w:type="dxa"/>
            </w:tcMar>
            <w:vAlign w:val="center"/>
            <w:hideMark/>
          </w:tcPr>
          <w:p w14:paraId="788F28AE" w14:textId="77777777" w:rsidR="00000000" w:rsidRDefault="00405D16">
            <w:pPr>
              <w:spacing w:after="100"/>
              <w:rPr>
                <w:rFonts w:eastAsia="Times New Roman"/>
              </w:rPr>
            </w:pPr>
            <w:r>
              <w:rPr>
                <w:rFonts w:eastAsia="Times New Roman"/>
                <w:color w:val="000000"/>
                <w:sz w:val="16"/>
                <w:szCs w:val="16"/>
              </w:rPr>
              <w:t>Total securities available for sale</w:t>
            </w:r>
          </w:p>
        </w:tc>
        <w:tc>
          <w:tcPr>
            <w:tcW w:w="0" w:type="auto"/>
            <w:gridSpan w:val="4"/>
            <w:shd w:val="clear" w:color="auto" w:fill="FFFFFF"/>
            <w:tcMar>
              <w:top w:w="0" w:type="dxa"/>
              <w:left w:w="20" w:type="dxa"/>
              <w:bottom w:w="0" w:type="dxa"/>
              <w:right w:w="20" w:type="dxa"/>
            </w:tcMar>
            <w:vAlign w:val="center"/>
            <w:hideMark/>
          </w:tcPr>
          <w:p w14:paraId="27188623" w14:textId="77777777" w:rsidR="00000000" w:rsidRDefault="00405D16">
            <w:pPr>
              <w:spacing w:after="100"/>
              <w:rPr>
                <w:rFonts w:eastAsia="Times New Roman"/>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14:paraId="72DEA7FB" w14:textId="77777777" w:rsidR="00000000" w:rsidRDefault="00405D16">
            <w:pPr>
              <w:spacing w:after="100"/>
              <w:jc w:val="right"/>
              <w:rPr>
                <w:rFonts w:eastAsia="Times New Roman"/>
              </w:rPr>
            </w:pPr>
            <w:r>
              <w:rPr>
                <w:rFonts w:eastAsia="Times New Roman"/>
                <w:color w:val="000000"/>
                <w:sz w:val="18"/>
                <w:szCs w:val="18"/>
              </w:rPr>
              <w:t>756 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2DF3C05"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290E8521" w14:textId="77777777" w:rsidR="00000000" w:rsidRDefault="00405D16">
            <w:pPr>
              <w:spacing w:after="100"/>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14:paraId="2D15F963" w14:textId="77777777" w:rsidR="00000000" w:rsidRDefault="00405D16">
            <w:pPr>
              <w:spacing w:after="100"/>
              <w:jc w:val="right"/>
              <w:rPr>
                <w:rFonts w:eastAsia="Times New Roman"/>
              </w:rPr>
            </w:pPr>
            <w:r>
              <w:rPr>
                <w:rFonts w:eastAsia="Times New Roman"/>
                <w:color w:val="000000"/>
                <w:sz w:val="18"/>
                <w:szCs w:val="18"/>
              </w:rPr>
              <w:t>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F0D1FDC"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758C0D0A" w14:textId="77777777" w:rsidR="00000000" w:rsidRDefault="00405D16">
            <w:pPr>
              <w:spacing w:after="100"/>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14:paraId="18DD3BD6" w14:textId="77777777" w:rsidR="00000000" w:rsidRDefault="00405D16">
            <w:pPr>
              <w:spacing w:after="100"/>
              <w:jc w:val="right"/>
              <w:rPr>
                <w:rFonts w:eastAsia="Times New Roman"/>
              </w:rPr>
            </w:pPr>
            <w:r>
              <w:rPr>
                <w:rFonts w:eastAsia="Times New Roman"/>
                <w:color w:val="000000"/>
                <w:sz w:val="18"/>
                <w:szCs w:val="18"/>
              </w:rPr>
              <w:t>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A4D365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299664" w14:textId="77777777" w:rsidR="00000000" w:rsidRDefault="00405D16">
            <w:pPr>
              <w:spacing w:after="100"/>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14:paraId="797B79EE" w14:textId="77777777" w:rsidR="00000000" w:rsidRDefault="00405D16">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1018631"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0285BA7B" w14:textId="77777777" w:rsidR="00000000" w:rsidRDefault="00405D16">
            <w:pPr>
              <w:spacing w:after="100"/>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14:paraId="5F4FA865" w14:textId="77777777" w:rsidR="00000000" w:rsidRDefault="00405D16">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DFC0EE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D36C3D" w14:textId="77777777" w:rsidR="00000000" w:rsidRDefault="00405D16">
            <w:pPr>
              <w:spacing w:after="100"/>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14:paraId="5EEC10DD" w14:textId="77777777" w:rsidR="00000000" w:rsidRDefault="00405D16">
            <w:pPr>
              <w:spacing w:after="100"/>
              <w:jc w:val="right"/>
              <w:rPr>
                <w:rFonts w:eastAsia="Times New Roman"/>
              </w:rPr>
            </w:pPr>
            <w:r>
              <w:rPr>
                <w:rFonts w:eastAsia="Times New Roman"/>
                <w:color w:val="000000"/>
                <w:sz w:val="18"/>
                <w:szCs w:val="18"/>
              </w:rPr>
              <w:t>0 </w:t>
            </w:r>
          </w:p>
        </w:tc>
        <w:tc>
          <w:tcPr>
            <w:tcW w:w="0" w:type="auto"/>
            <w:gridSpan w:val="2"/>
            <w:tcBorders>
              <w:top w:val="single" w:sz="8" w:space="0" w:color="000000"/>
            </w:tcBorders>
            <w:shd w:val="clear" w:color="auto" w:fill="FFFFFF"/>
            <w:tcMar>
              <w:top w:w="30" w:type="dxa"/>
              <w:left w:w="0" w:type="dxa"/>
              <w:bottom w:w="30" w:type="dxa"/>
              <w:right w:w="20" w:type="dxa"/>
            </w:tcMar>
            <w:vAlign w:val="bottom"/>
            <w:hideMark/>
          </w:tcPr>
          <w:p w14:paraId="214FCAA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1F00E7" w14:textId="77777777" w:rsidR="00000000" w:rsidRDefault="00405D16">
            <w:pPr>
              <w:spacing w:after="100"/>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14:paraId="79725E47" w14:textId="77777777" w:rsidR="00000000" w:rsidRDefault="00405D16">
            <w:pPr>
              <w:spacing w:after="100"/>
              <w:jc w:val="right"/>
              <w:rPr>
                <w:rFonts w:eastAsia="Times New Roman"/>
              </w:rPr>
            </w:pPr>
            <w:r>
              <w:rPr>
                <w:rFonts w:eastAsia="Times New Roman"/>
                <w:color w:val="000000"/>
                <w:sz w:val="18"/>
                <w:szCs w:val="18"/>
              </w:rPr>
              <w:t>(30)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397CB1F"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61582B84" w14:textId="77777777" w:rsidR="00000000" w:rsidRDefault="00405D16">
            <w:pPr>
              <w:spacing w:after="100"/>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14:paraId="0E8A5D31" w14:textId="77777777" w:rsidR="00000000" w:rsidRDefault="00405D16">
            <w:pPr>
              <w:spacing w:after="100"/>
              <w:jc w:val="right"/>
              <w:rPr>
                <w:rFonts w:eastAsia="Times New Roman"/>
              </w:rPr>
            </w:pPr>
            <w:r>
              <w:rPr>
                <w:rFonts w:eastAsia="Times New Roman"/>
                <w:color w:val="000000"/>
                <w:sz w:val="18"/>
                <w:szCs w:val="18"/>
              </w:rPr>
              <w:t>154 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D25EC6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EB0FD2" w14:textId="77777777" w:rsidR="00000000" w:rsidRDefault="00405D16">
            <w:pPr>
              <w:spacing w:after="100"/>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14:paraId="6ECAD469" w14:textId="77777777" w:rsidR="00000000" w:rsidRDefault="00405D16">
            <w:pPr>
              <w:spacing w:after="100"/>
              <w:jc w:val="right"/>
              <w:rPr>
                <w:rFonts w:eastAsia="Times New Roman"/>
              </w:rPr>
            </w:pPr>
            <w:r>
              <w:rPr>
                <w:rFonts w:eastAsia="Times New Roman"/>
                <w:color w:val="000000"/>
                <w:sz w:val="18"/>
                <w:szCs w:val="18"/>
              </w:rPr>
              <w:t>(47)</w:t>
            </w:r>
          </w:p>
        </w:tc>
        <w:tc>
          <w:tcPr>
            <w:tcW w:w="0" w:type="auto"/>
            <w:gridSpan w:val="2"/>
            <w:tcBorders>
              <w:top w:val="single" w:sz="8" w:space="0" w:color="000000"/>
            </w:tcBorders>
            <w:shd w:val="clear" w:color="auto" w:fill="FFFFFF"/>
            <w:tcMar>
              <w:top w:w="30" w:type="dxa"/>
              <w:left w:w="0" w:type="dxa"/>
              <w:bottom w:w="30" w:type="dxa"/>
              <w:right w:w="20" w:type="dxa"/>
            </w:tcMar>
            <w:vAlign w:val="bottom"/>
            <w:hideMark/>
          </w:tcPr>
          <w:p w14:paraId="7643BA4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4E12A2" w14:textId="77777777" w:rsidR="00000000" w:rsidRDefault="00405D16">
            <w:pPr>
              <w:spacing w:after="100"/>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14:paraId="112D866E" w14:textId="77777777" w:rsidR="00000000" w:rsidRDefault="00405D16">
            <w:pPr>
              <w:spacing w:after="100"/>
              <w:jc w:val="right"/>
              <w:rPr>
                <w:rFonts w:eastAsia="Times New Roman"/>
              </w:rPr>
            </w:pPr>
            <w:r>
              <w:rPr>
                <w:rFonts w:eastAsia="Times New Roman"/>
                <w:color w:val="000000"/>
                <w:sz w:val="18"/>
                <w:szCs w:val="18"/>
              </w:rPr>
              <w:t>846 </w:t>
            </w:r>
          </w:p>
        </w:tc>
        <w:tc>
          <w:tcPr>
            <w:tcW w:w="0" w:type="auto"/>
            <w:gridSpan w:val="5"/>
            <w:tcBorders>
              <w:top w:val="single" w:sz="8" w:space="0" w:color="000000"/>
            </w:tcBorders>
            <w:shd w:val="clear" w:color="auto" w:fill="FFFFFF"/>
            <w:tcMar>
              <w:top w:w="30" w:type="dxa"/>
              <w:left w:w="0" w:type="dxa"/>
              <w:bottom w:w="30" w:type="dxa"/>
              <w:right w:w="20" w:type="dxa"/>
            </w:tcMar>
            <w:vAlign w:val="bottom"/>
            <w:hideMark/>
          </w:tcPr>
          <w:p w14:paraId="1A8AD892" w14:textId="77777777" w:rsidR="00000000" w:rsidRDefault="00405D16">
            <w:pPr>
              <w:spacing w:after="100"/>
              <w:jc w:val="right"/>
              <w:rPr>
                <w:rFonts w:eastAsia="Times New Roman"/>
              </w:rPr>
            </w:pPr>
            <w:r>
              <w:rPr>
                <w:rFonts w:eastAsia="Times New Roman"/>
                <w:color w:val="000000"/>
                <w:sz w:val="18"/>
                <w:szCs w:val="18"/>
              </w:rPr>
              <w:t>9 </w:t>
            </w:r>
          </w:p>
        </w:tc>
      </w:tr>
      <w:tr w:rsidR="00000000" w14:paraId="4707C905" w14:textId="77777777">
        <w:trPr>
          <w:gridAfter w:val="20"/>
          <w:divId w:val="403920393"/>
        </w:trPr>
        <w:tc>
          <w:tcPr>
            <w:tcW w:w="0" w:type="auto"/>
            <w:gridSpan w:val="4"/>
            <w:shd w:val="clear" w:color="auto" w:fill="CCEEFF"/>
            <w:tcMar>
              <w:top w:w="30" w:type="dxa"/>
              <w:left w:w="20" w:type="dxa"/>
              <w:bottom w:w="30" w:type="dxa"/>
              <w:right w:w="20" w:type="dxa"/>
            </w:tcMar>
            <w:vAlign w:val="center"/>
            <w:hideMark/>
          </w:tcPr>
          <w:p w14:paraId="190736EC" w14:textId="77777777" w:rsidR="00000000" w:rsidRDefault="00405D16">
            <w:pPr>
              <w:spacing w:after="100"/>
              <w:rPr>
                <w:rFonts w:eastAsia="Times New Roman"/>
              </w:rPr>
            </w:pPr>
            <w:r>
              <w:rPr>
                <w:rFonts w:eastAsia="Times New Roman"/>
                <w:color w:val="000000"/>
                <w:sz w:val="16"/>
                <w:szCs w:val="16"/>
              </w:rPr>
              <w:t>Other assets:</w:t>
            </w:r>
          </w:p>
        </w:tc>
        <w:tc>
          <w:tcPr>
            <w:tcW w:w="0" w:type="auto"/>
            <w:gridSpan w:val="4"/>
            <w:shd w:val="clear" w:color="auto" w:fill="CCEEFF"/>
            <w:tcMar>
              <w:top w:w="0" w:type="dxa"/>
              <w:left w:w="20" w:type="dxa"/>
              <w:bottom w:w="0" w:type="dxa"/>
              <w:right w:w="20" w:type="dxa"/>
            </w:tcMar>
            <w:vAlign w:val="center"/>
            <w:hideMark/>
          </w:tcPr>
          <w:p w14:paraId="44D2B19C" w14:textId="77777777" w:rsidR="00000000" w:rsidRDefault="00405D16">
            <w:pPr>
              <w:spacing w:after="100"/>
              <w:rPr>
                <w:rFonts w:eastAsia="Times New Roman"/>
              </w:rPr>
            </w:pPr>
          </w:p>
        </w:tc>
        <w:tc>
          <w:tcPr>
            <w:tcW w:w="0" w:type="auto"/>
            <w:gridSpan w:val="6"/>
            <w:tcBorders>
              <w:top w:val="double" w:sz="6" w:space="0" w:color="000000"/>
            </w:tcBorders>
            <w:shd w:val="clear" w:color="auto" w:fill="CCEEFF"/>
            <w:tcMar>
              <w:top w:w="0" w:type="dxa"/>
              <w:left w:w="20" w:type="dxa"/>
              <w:bottom w:w="0" w:type="dxa"/>
              <w:right w:w="20" w:type="dxa"/>
            </w:tcMar>
            <w:vAlign w:val="center"/>
            <w:hideMark/>
          </w:tcPr>
          <w:p w14:paraId="61F47826"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7AB238C5" w14:textId="77777777" w:rsidR="00000000" w:rsidRDefault="00405D16">
            <w:pPr>
              <w:spacing w:after="100"/>
              <w:rPr>
                <w:rFonts w:eastAsia="Times New Roman"/>
                <w:sz w:val="20"/>
                <w:szCs w:val="20"/>
              </w:rPr>
            </w:pPr>
          </w:p>
        </w:tc>
        <w:tc>
          <w:tcPr>
            <w:tcW w:w="0" w:type="auto"/>
            <w:gridSpan w:val="5"/>
            <w:tcBorders>
              <w:top w:val="double" w:sz="6" w:space="0" w:color="000000"/>
            </w:tcBorders>
            <w:shd w:val="clear" w:color="auto" w:fill="CCEEFF"/>
            <w:tcMar>
              <w:top w:w="0" w:type="dxa"/>
              <w:left w:w="20" w:type="dxa"/>
              <w:bottom w:w="0" w:type="dxa"/>
              <w:right w:w="20" w:type="dxa"/>
            </w:tcMar>
            <w:vAlign w:val="center"/>
            <w:hideMark/>
          </w:tcPr>
          <w:p w14:paraId="2238DE25"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7AAEFF97" w14:textId="77777777" w:rsidR="00000000" w:rsidRDefault="00405D16">
            <w:pPr>
              <w:spacing w:after="100"/>
              <w:rPr>
                <w:rFonts w:eastAsia="Times New Roman"/>
                <w:sz w:val="20"/>
                <w:szCs w:val="20"/>
              </w:rPr>
            </w:pPr>
          </w:p>
        </w:tc>
        <w:tc>
          <w:tcPr>
            <w:tcW w:w="0" w:type="auto"/>
            <w:gridSpan w:val="7"/>
            <w:tcBorders>
              <w:top w:val="double" w:sz="6" w:space="0" w:color="000000"/>
            </w:tcBorders>
            <w:shd w:val="clear" w:color="auto" w:fill="CCEEFF"/>
            <w:tcMar>
              <w:top w:w="0" w:type="dxa"/>
              <w:left w:w="20" w:type="dxa"/>
              <w:bottom w:w="0" w:type="dxa"/>
              <w:right w:w="20" w:type="dxa"/>
            </w:tcMar>
            <w:vAlign w:val="center"/>
            <w:hideMark/>
          </w:tcPr>
          <w:p w14:paraId="26902F0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68099E" w14:textId="77777777" w:rsidR="00000000" w:rsidRDefault="00405D16">
            <w:pPr>
              <w:spacing w:after="100"/>
              <w:rPr>
                <w:rFonts w:eastAsia="Times New Roman"/>
                <w:sz w:val="20"/>
                <w:szCs w:val="20"/>
              </w:rPr>
            </w:pPr>
          </w:p>
        </w:tc>
        <w:tc>
          <w:tcPr>
            <w:tcW w:w="0" w:type="auto"/>
            <w:gridSpan w:val="6"/>
            <w:tcBorders>
              <w:top w:val="double" w:sz="6" w:space="0" w:color="000000"/>
            </w:tcBorders>
            <w:shd w:val="clear" w:color="auto" w:fill="CCEEFF"/>
            <w:tcMar>
              <w:top w:w="0" w:type="dxa"/>
              <w:left w:w="20" w:type="dxa"/>
              <w:bottom w:w="0" w:type="dxa"/>
              <w:right w:w="20" w:type="dxa"/>
            </w:tcMar>
            <w:vAlign w:val="center"/>
            <w:hideMark/>
          </w:tcPr>
          <w:p w14:paraId="2645941E"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565012B2" w14:textId="77777777" w:rsidR="00000000" w:rsidRDefault="00405D16">
            <w:pPr>
              <w:spacing w:after="100"/>
              <w:rPr>
                <w:rFonts w:eastAsia="Times New Roman"/>
                <w:sz w:val="20"/>
                <w:szCs w:val="20"/>
              </w:rPr>
            </w:pPr>
          </w:p>
        </w:tc>
        <w:tc>
          <w:tcPr>
            <w:tcW w:w="0" w:type="auto"/>
            <w:gridSpan w:val="5"/>
            <w:tcBorders>
              <w:top w:val="double" w:sz="6" w:space="0" w:color="000000"/>
            </w:tcBorders>
            <w:shd w:val="clear" w:color="auto" w:fill="CCEEFF"/>
            <w:tcMar>
              <w:top w:w="0" w:type="dxa"/>
              <w:left w:w="20" w:type="dxa"/>
              <w:bottom w:w="0" w:type="dxa"/>
              <w:right w:w="20" w:type="dxa"/>
            </w:tcMar>
            <w:vAlign w:val="center"/>
            <w:hideMark/>
          </w:tcPr>
          <w:p w14:paraId="58EA21A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1A38EC" w14:textId="77777777" w:rsidR="00000000" w:rsidRDefault="00405D16">
            <w:pPr>
              <w:spacing w:after="100"/>
              <w:rPr>
                <w:rFonts w:eastAsia="Times New Roman"/>
                <w:sz w:val="20"/>
                <w:szCs w:val="20"/>
              </w:rPr>
            </w:pPr>
          </w:p>
        </w:tc>
        <w:tc>
          <w:tcPr>
            <w:tcW w:w="0" w:type="auto"/>
            <w:gridSpan w:val="7"/>
            <w:tcBorders>
              <w:top w:val="double" w:sz="6" w:space="0" w:color="000000"/>
            </w:tcBorders>
            <w:shd w:val="clear" w:color="auto" w:fill="CCEEFF"/>
            <w:tcMar>
              <w:top w:w="0" w:type="dxa"/>
              <w:left w:w="20" w:type="dxa"/>
              <w:bottom w:w="0" w:type="dxa"/>
              <w:right w:w="20" w:type="dxa"/>
            </w:tcMar>
            <w:vAlign w:val="center"/>
            <w:hideMark/>
          </w:tcPr>
          <w:p w14:paraId="6E06781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3B148F" w14:textId="77777777" w:rsidR="00000000" w:rsidRDefault="00405D16">
            <w:pPr>
              <w:spacing w:after="100"/>
              <w:rPr>
                <w:rFonts w:eastAsia="Times New Roman"/>
                <w:sz w:val="20"/>
                <w:szCs w:val="20"/>
              </w:rPr>
            </w:pPr>
          </w:p>
        </w:tc>
        <w:tc>
          <w:tcPr>
            <w:tcW w:w="0" w:type="auto"/>
            <w:gridSpan w:val="6"/>
            <w:tcBorders>
              <w:top w:val="double" w:sz="6" w:space="0" w:color="000000"/>
            </w:tcBorders>
            <w:shd w:val="clear" w:color="auto" w:fill="CCEEFF"/>
            <w:tcMar>
              <w:top w:w="0" w:type="dxa"/>
              <w:left w:w="20" w:type="dxa"/>
              <w:bottom w:w="0" w:type="dxa"/>
              <w:right w:w="20" w:type="dxa"/>
            </w:tcMar>
            <w:vAlign w:val="center"/>
            <w:hideMark/>
          </w:tcPr>
          <w:p w14:paraId="3A905697"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4E56B1E0" w14:textId="77777777" w:rsidR="00000000" w:rsidRDefault="00405D16">
            <w:pPr>
              <w:spacing w:after="100"/>
              <w:rPr>
                <w:rFonts w:eastAsia="Times New Roman"/>
                <w:sz w:val="20"/>
                <w:szCs w:val="20"/>
              </w:rPr>
            </w:pPr>
          </w:p>
        </w:tc>
        <w:tc>
          <w:tcPr>
            <w:tcW w:w="0" w:type="auto"/>
            <w:gridSpan w:val="7"/>
            <w:tcBorders>
              <w:top w:val="double" w:sz="6" w:space="0" w:color="000000"/>
            </w:tcBorders>
            <w:shd w:val="clear" w:color="auto" w:fill="CCEEFF"/>
            <w:tcMar>
              <w:top w:w="0" w:type="dxa"/>
              <w:left w:w="20" w:type="dxa"/>
              <w:bottom w:w="0" w:type="dxa"/>
              <w:right w:w="20" w:type="dxa"/>
            </w:tcMar>
            <w:vAlign w:val="center"/>
            <w:hideMark/>
          </w:tcPr>
          <w:p w14:paraId="6EF2C21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0D5694" w14:textId="77777777" w:rsidR="00000000" w:rsidRDefault="00405D16">
            <w:pPr>
              <w:spacing w:after="100"/>
              <w:rPr>
                <w:rFonts w:eastAsia="Times New Roman"/>
                <w:sz w:val="20"/>
                <w:szCs w:val="20"/>
              </w:rPr>
            </w:pPr>
          </w:p>
        </w:tc>
        <w:tc>
          <w:tcPr>
            <w:tcW w:w="0" w:type="auto"/>
            <w:gridSpan w:val="7"/>
            <w:tcBorders>
              <w:top w:val="double" w:sz="6" w:space="0" w:color="000000"/>
            </w:tcBorders>
            <w:shd w:val="clear" w:color="auto" w:fill="CCEEFF"/>
            <w:tcMar>
              <w:top w:w="0" w:type="dxa"/>
              <w:left w:w="20" w:type="dxa"/>
              <w:bottom w:w="0" w:type="dxa"/>
              <w:right w:w="20" w:type="dxa"/>
            </w:tcMar>
            <w:vAlign w:val="center"/>
            <w:hideMark/>
          </w:tcPr>
          <w:p w14:paraId="04BF64C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89E742" w14:textId="77777777" w:rsidR="00000000" w:rsidRDefault="00405D16">
            <w:pPr>
              <w:spacing w:after="100"/>
              <w:rPr>
                <w:rFonts w:eastAsia="Times New Roman"/>
                <w:sz w:val="20"/>
                <w:szCs w:val="20"/>
              </w:rPr>
            </w:pPr>
          </w:p>
        </w:tc>
        <w:tc>
          <w:tcPr>
            <w:tcW w:w="0" w:type="auto"/>
            <w:gridSpan w:val="6"/>
            <w:tcBorders>
              <w:top w:val="double" w:sz="6" w:space="0" w:color="000000"/>
            </w:tcBorders>
            <w:shd w:val="clear" w:color="auto" w:fill="CCEEFF"/>
            <w:tcMar>
              <w:top w:w="0" w:type="dxa"/>
              <w:left w:w="20" w:type="dxa"/>
              <w:bottom w:w="0" w:type="dxa"/>
              <w:right w:w="20" w:type="dxa"/>
            </w:tcMar>
            <w:vAlign w:val="center"/>
            <w:hideMark/>
          </w:tcPr>
          <w:p w14:paraId="6E7994F5" w14:textId="77777777" w:rsidR="00000000" w:rsidRDefault="00405D16">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49546DDE" w14:textId="77777777" w:rsidR="00000000" w:rsidRDefault="00405D16">
            <w:pPr>
              <w:spacing w:after="100"/>
              <w:rPr>
                <w:rFonts w:eastAsia="Times New Roman"/>
                <w:sz w:val="20"/>
                <w:szCs w:val="20"/>
              </w:rPr>
            </w:pPr>
          </w:p>
        </w:tc>
      </w:tr>
      <w:tr w:rsidR="00000000" w14:paraId="053E5B91" w14:textId="77777777">
        <w:trPr>
          <w:gridAfter w:val="20"/>
          <w:divId w:val="403920393"/>
        </w:trPr>
        <w:tc>
          <w:tcPr>
            <w:tcW w:w="0" w:type="auto"/>
            <w:gridSpan w:val="4"/>
            <w:vAlign w:val="center"/>
            <w:hideMark/>
          </w:tcPr>
          <w:p w14:paraId="10B7A9D3" w14:textId="77777777" w:rsidR="00000000" w:rsidRDefault="00405D16">
            <w:pPr>
              <w:spacing w:after="100"/>
              <w:rPr>
                <w:rFonts w:eastAsia="Times New Roman"/>
                <w:sz w:val="20"/>
                <w:szCs w:val="20"/>
              </w:rPr>
            </w:pPr>
          </w:p>
        </w:tc>
        <w:tc>
          <w:tcPr>
            <w:tcW w:w="0" w:type="auto"/>
            <w:gridSpan w:val="4"/>
            <w:vAlign w:val="center"/>
            <w:hideMark/>
          </w:tcPr>
          <w:p w14:paraId="70FAB16E" w14:textId="77777777" w:rsidR="00000000" w:rsidRDefault="00405D16">
            <w:pPr>
              <w:spacing w:after="100"/>
              <w:rPr>
                <w:rFonts w:eastAsia="Times New Roman"/>
                <w:sz w:val="20"/>
                <w:szCs w:val="20"/>
              </w:rPr>
            </w:pPr>
          </w:p>
        </w:tc>
        <w:tc>
          <w:tcPr>
            <w:tcW w:w="0" w:type="auto"/>
            <w:gridSpan w:val="6"/>
            <w:vAlign w:val="center"/>
            <w:hideMark/>
          </w:tcPr>
          <w:p w14:paraId="5C75C87D" w14:textId="77777777" w:rsidR="00000000" w:rsidRDefault="00405D16">
            <w:pPr>
              <w:spacing w:after="100"/>
              <w:rPr>
                <w:rFonts w:eastAsia="Times New Roman"/>
                <w:sz w:val="20"/>
                <w:szCs w:val="20"/>
              </w:rPr>
            </w:pPr>
          </w:p>
        </w:tc>
        <w:tc>
          <w:tcPr>
            <w:tcW w:w="0" w:type="auto"/>
            <w:gridSpan w:val="4"/>
            <w:vAlign w:val="center"/>
            <w:hideMark/>
          </w:tcPr>
          <w:p w14:paraId="2D99433F" w14:textId="77777777" w:rsidR="00000000" w:rsidRDefault="00405D16">
            <w:pPr>
              <w:spacing w:after="100"/>
              <w:rPr>
                <w:rFonts w:eastAsia="Times New Roman"/>
                <w:sz w:val="20"/>
                <w:szCs w:val="20"/>
              </w:rPr>
            </w:pPr>
          </w:p>
        </w:tc>
        <w:tc>
          <w:tcPr>
            <w:tcW w:w="0" w:type="auto"/>
            <w:gridSpan w:val="5"/>
            <w:vAlign w:val="center"/>
            <w:hideMark/>
          </w:tcPr>
          <w:p w14:paraId="6BB58793" w14:textId="77777777" w:rsidR="00000000" w:rsidRDefault="00405D16">
            <w:pPr>
              <w:spacing w:after="100"/>
              <w:rPr>
                <w:rFonts w:eastAsia="Times New Roman"/>
                <w:sz w:val="20"/>
                <w:szCs w:val="20"/>
              </w:rPr>
            </w:pPr>
          </w:p>
        </w:tc>
        <w:tc>
          <w:tcPr>
            <w:tcW w:w="0" w:type="auto"/>
            <w:gridSpan w:val="4"/>
            <w:vAlign w:val="center"/>
            <w:hideMark/>
          </w:tcPr>
          <w:p w14:paraId="2E1EFB61" w14:textId="77777777" w:rsidR="00000000" w:rsidRDefault="00405D16">
            <w:pPr>
              <w:spacing w:after="100"/>
              <w:rPr>
                <w:rFonts w:eastAsia="Times New Roman"/>
                <w:sz w:val="20"/>
                <w:szCs w:val="20"/>
              </w:rPr>
            </w:pPr>
          </w:p>
        </w:tc>
        <w:tc>
          <w:tcPr>
            <w:tcW w:w="0" w:type="auto"/>
            <w:gridSpan w:val="7"/>
            <w:vAlign w:val="center"/>
            <w:hideMark/>
          </w:tcPr>
          <w:p w14:paraId="759E7E25" w14:textId="77777777" w:rsidR="00000000" w:rsidRDefault="00405D16">
            <w:pPr>
              <w:spacing w:after="100"/>
              <w:rPr>
                <w:rFonts w:eastAsia="Times New Roman"/>
                <w:sz w:val="20"/>
                <w:szCs w:val="20"/>
              </w:rPr>
            </w:pPr>
          </w:p>
        </w:tc>
        <w:tc>
          <w:tcPr>
            <w:tcW w:w="0" w:type="auto"/>
            <w:gridSpan w:val="3"/>
            <w:vAlign w:val="center"/>
            <w:hideMark/>
          </w:tcPr>
          <w:p w14:paraId="5C5A3D56" w14:textId="77777777" w:rsidR="00000000" w:rsidRDefault="00405D16">
            <w:pPr>
              <w:spacing w:after="100"/>
              <w:rPr>
                <w:rFonts w:eastAsia="Times New Roman"/>
                <w:sz w:val="20"/>
                <w:szCs w:val="20"/>
              </w:rPr>
            </w:pPr>
          </w:p>
        </w:tc>
        <w:tc>
          <w:tcPr>
            <w:tcW w:w="0" w:type="auto"/>
            <w:gridSpan w:val="6"/>
            <w:vAlign w:val="center"/>
            <w:hideMark/>
          </w:tcPr>
          <w:p w14:paraId="0CEFFBAA" w14:textId="77777777" w:rsidR="00000000" w:rsidRDefault="00405D16">
            <w:pPr>
              <w:spacing w:after="100"/>
              <w:rPr>
                <w:rFonts w:eastAsia="Times New Roman"/>
                <w:sz w:val="20"/>
                <w:szCs w:val="20"/>
              </w:rPr>
            </w:pPr>
          </w:p>
        </w:tc>
        <w:tc>
          <w:tcPr>
            <w:tcW w:w="0" w:type="auto"/>
            <w:gridSpan w:val="4"/>
            <w:vAlign w:val="center"/>
            <w:hideMark/>
          </w:tcPr>
          <w:p w14:paraId="6D96600D" w14:textId="77777777" w:rsidR="00000000" w:rsidRDefault="00405D16">
            <w:pPr>
              <w:spacing w:after="100"/>
              <w:rPr>
                <w:rFonts w:eastAsia="Times New Roman"/>
                <w:sz w:val="20"/>
                <w:szCs w:val="20"/>
              </w:rPr>
            </w:pPr>
          </w:p>
        </w:tc>
        <w:tc>
          <w:tcPr>
            <w:tcW w:w="0" w:type="auto"/>
            <w:gridSpan w:val="5"/>
            <w:vAlign w:val="center"/>
            <w:hideMark/>
          </w:tcPr>
          <w:p w14:paraId="3CEFD4E0" w14:textId="77777777" w:rsidR="00000000" w:rsidRDefault="00405D16">
            <w:pPr>
              <w:spacing w:after="100"/>
              <w:rPr>
                <w:rFonts w:eastAsia="Times New Roman"/>
                <w:sz w:val="20"/>
                <w:szCs w:val="20"/>
              </w:rPr>
            </w:pPr>
          </w:p>
        </w:tc>
        <w:tc>
          <w:tcPr>
            <w:tcW w:w="0" w:type="auto"/>
            <w:gridSpan w:val="3"/>
            <w:vAlign w:val="center"/>
            <w:hideMark/>
          </w:tcPr>
          <w:p w14:paraId="57C65C7B" w14:textId="77777777" w:rsidR="00000000" w:rsidRDefault="00405D16">
            <w:pPr>
              <w:spacing w:after="100"/>
              <w:rPr>
                <w:rFonts w:eastAsia="Times New Roman"/>
                <w:sz w:val="20"/>
                <w:szCs w:val="20"/>
              </w:rPr>
            </w:pPr>
          </w:p>
        </w:tc>
        <w:tc>
          <w:tcPr>
            <w:tcW w:w="0" w:type="auto"/>
            <w:gridSpan w:val="7"/>
            <w:vAlign w:val="center"/>
            <w:hideMark/>
          </w:tcPr>
          <w:p w14:paraId="6FD6C2FB" w14:textId="77777777" w:rsidR="00000000" w:rsidRDefault="00405D16">
            <w:pPr>
              <w:spacing w:after="100"/>
              <w:rPr>
                <w:rFonts w:eastAsia="Times New Roman"/>
                <w:sz w:val="20"/>
                <w:szCs w:val="20"/>
              </w:rPr>
            </w:pPr>
          </w:p>
        </w:tc>
        <w:tc>
          <w:tcPr>
            <w:tcW w:w="0" w:type="auto"/>
            <w:gridSpan w:val="3"/>
            <w:vAlign w:val="center"/>
            <w:hideMark/>
          </w:tcPr>
          <w:p w14:paraId="1D031165" w14:textId="77777777" w:rsidR="00000000" w:rsidRDefault="00405D16">
            <w:pPr>
              <w:spacing w:after="100"/>
              <w:rPr>
                <w:rFonts w:eastAsia="Times New Roman"/>
                <w:sz w:val="20"/>
                <w:szCs w:val="20"/>
              </w:rPr>
            </w:pPr>
          </w:p>
        </w:tc>
        <w:tc>
          <w:tcPr>
            <w:tcW w:w="0" w:type="auto"/>
            <w:gridSpan w:val="6"/>
            <w:vAlign w:val="center"/>
            <w:hideMark/>
          </w:tcPr>
          <w:p w14:paraId="19BF0D0F" w14:textId="77777777" w:rsidR="00000000" w:rsidRDefault="00405D16">
            <w:pPr>
              <w:spacing w:after="100"/>
              <w:rPr>
                <w:rFonts w:eastAsia="Times New Roman"/>
                <w:sz w:val="20"/>
                <w:szCs w:val="20"/>
              </w:rPr>
            </w:pPr>
          </w:p>
        </w:tc>
        <w:tc>
          <w:tcPr>
            <w:tcW w:w="0" w:type="auto"/>
            <w:gridSpan w:val="4"/>
            <w:vAlign w:val="center"/>
            <w:hideMark/>
          </w:tcPr>
          <w:p w14:paraId="5164C939" w14:textId="77777777" w:rsidR="00000000" w:rsidRDefault="00405D16">
            <w:pPr>
              <w:spacing w:after="100"/>
              <w:rPr>
                <w:rFonts w:eastAsia="Times New Roman"/>
                <w:sz w:val="20"/>
                <w:szCs w:val="20"/>
              </w:rPr>
            </w:pPr>
          </w:p>
        </w:tc>
        <w:tc>
          <w:tcPr>
            <w:tcW w:w="0" w:type="auto"/>
            <w:gridSpan w:val="7"/>
            <w:vAlign w:val="center"/>
            <w:hideMark/>
          </w:tcPr>
          <w:p w14:paraId="22886235" w14:textId="77777777" w:rsidR="00000000" w:rsidRDefault="00405D16">
            <w:pPr>
              <w:spacing w:after="100"/>
              <w:rPr>
                <w:rFonts w:eastAsia="Times New Roman"/>
                <w:sz w:val="20"/>
                <w:szCs w:val="20"/>
              </w:rPr>
            </w:pPr>
          </w:p>
        </w:tc>
        <w:tc>
          <w:tcPr>
            <w:tcW w:w="0" w:type="auto"/>
            <w:gridSpan w:val="3"/>
            <w:vAlign w:val="center"/>
            <w:hideMark/>
          </w:tcPr>
          <w:p w14:paraId="652C3E34" w14:textId="77777777" w:rsidR="00000000" w:rsidRDefault="00405D16">
            <w:pPr>
              <w:spacing w:after="100"/>
              <w:rPr>
                <w:rFonts w:eastAsia="Times New Roman"/>
                <w:sz w:val="20"/>
                <w:szCs w:val="20"/>
              </w:rPr>
            </w:pPr>
          </w:p>
        </w:tc>
        <w:tc>
          <w:tcPr>
            <w:tcW w:w="0" w:type="auto"/>
            <w:gridSpan w:val="7"/>
            <w:vAlign w:val="center"/>
            <w:hideMark/>
          </w:tcPr>
          <w:p w14:paraId="6D5B3E82" w14:textId="77777777" w:rsidR="00000000" w:rsidRDefault="00405D16">
            <w:pPr>
              <w:spacing w:after="100"/>
              <w:rPr>
                <w:rFonts w:eastAsia="Times New Roman"/>
                <w:sz w:val="20"/>
                <w:szCs w:val="20"/>
              </w:rPr>
            </w:pPr>
          </w:p>
        </w:tc>
        <w:tc>
          <w:tcPr>
            <w:tcW w:w="0" w:type="auto"/>
            <w:gridSpan w:val="3"/>
            <w:vAlign w:val="center"/>
            <w:hideMark/>
          </w:tcPr>
          <w:p w14:paraId="6079F776" w14:textId="77777777" w:rsidR="00000000" w:rsidRDefault="00405D16">
            <w:pPr>
              <w:spacing w:after="100"/>
              <w:rPr>
                <w:rFonts w:eastAsia="Times New Roman"/>
                <w:sz w:val="20"/>
                <w:szCs w:val="20"/>
              </w:rPr>
            </w:pPr>
          </w:p>
        </w:tc>
        <w:tc>
          <w:tcPr>
            <w:tcW w:w="0" w:type="auto"/>
            <w:gridSpan w:val="6"/>
            <w:vAlign w:val="center"/>
            <w:hideMark/>
          </w:tcPr>
          <w:p w14:paraId="42175BFC" w14:textId="77777777" w:rsidR="00000000" w:rsidRDefault="00405D16">
            <w:pPr>
              <w:spacing w:after="100"/>
              <w:rPr>
                <w:rFonts w:eastAsia="Times New Roman"/>
                <w:sz w:val="20"/>
                <w:szCs w:val="20"/>
              </w:rPr>
            </w:pPr>
          </w:p>
        </w:tc>
        <w:tc>
          <w:tcPr>
            <w:tcW w:w="0" w:type="auto"/>
            <w:gridSpan w:val="5"/>
            <w:vAlign w:val="center"/>
            <w:hideMark/>
          </w:tcPr>
          <w:p w14:paraId="15309E87" w14:textId="77777777" w:rsidR="00000000" w:rsidRDefault="00405D16">
            <w:pPr>
              <w:spacing w:after="100"/>
              <w:rPr>
                <w:rFonts w:eastAsia="Times New Roman"/>
                <w:sz w:val="20"/>
                <w:szCs w:val="20"/>
              </w:rPr>
            </w:pPr>
          </w:p>
        </w:tc>
      </w:tr>
      <w:tr w:rsidR="00405D16" w14:paraId="03DC43B5" w14:textId="77777777">
        <w:trPr>
          <w:gridAfter w:val="20"/>
          <w:divId w:val="403920393"/>
        </w:trPr>
        <w:tc>
          <w:tcPr>
            <w:tcW w:w="0" w:type="auto"/>
            <w:gridSpan w:val="4"/>
            <w:shd w:val="clear" w:color="auto" w:fill="FFFFFF"/>
            <w:tcMar>
              <w:top w:w="30" w:type="dxa"/>
              <w:left w:w="245" w:type="dxa"/>
              <w:bottom w:w="30" w:type="dxa"/>
              <w:right w:w="20" w:type="dxa"/>
            </w:tcMar>
            <w:vAlign w:val="center"/>
            <w:hideMark/>
          </w:tcPr>
          <w:p w14:paraId="444B77D5" w14:textId="77777777" w:rsidR="00000000" w:rsidRDefault="00405D16">
            <w:pPr>
              <w:spacing w:after="100"/>
              <w:rPr>
                <w:rFonts w:eastAsia="Times New Roman"/>
              </w:rPr>
            </w:pPr>
            <w:r>
              <w:rPr>
                <w:rFonts w:eastAsia="Times New Roman"/>
                <w:color w:val="000000"/>
                <w:sz w:val="16"/>
                <w:szCs w:val="16"/>
              </w:rPr>
              <w:t>Retained interests in securitizations</w:t>
            </w:r>
          </w:p>
        </w:tc>
        <w:tc>
          <w:tcPr>
            <w:tcW w:w="0" w:type="auto"/>
            <w:gridSpan w:val="4"/>
            <w:shd w:val="clear" w:color="auto" w:fill="FFFFFF"/>
            <w:tcMar>
              <w:top w:w="0" w:type="dxa"/>
              <w:left w:w="20" w:type="dxa"/>
              <w:bottom w:w="0" w:type="dxa"/>
              <w:right w:w="20" w:type="dxa"/>
            </w:tcMar>
            <w:vAlign w:val="center"/>
            <w:hideMark/>
          </w:tcPr>
          <w:p w14:paraId="1E40FC06" w14:textId="77777777" w:rsidR="00000000" w:rsidRDefault="00405D16">
            <w:pPr>
              <w:spacing w:after="100"/>
              <w:rPr>
                <w:rFonts w:eastAsia="Times New Roman"/>
              </w:rPr>
            </w:pPr>
          </w:p>
        </w:tc>
        <w:tc>
          <w:tcPr>
            <w:tcW w:w="0" w:type="auto"/>
            <w:gridSpan w:val="5"/>
            <w:shd w:val="clear" w:color="auto" w:fill="FFFFFF"/>
            <w:tcMar>
              <w:top w:w="30" w:type="dxa"/>
              <w:left w:w="20" w:type="dxa"/>
              <w:bottom w:w="30" w:type="dxa"/>
              <w:right w:w="0" w:type="dxa"/>
            </w:tcMar>
            <w:vAlign w:val="bottom"/>
            <w:hideMark/>
          </w:tcPr>
          <w:p w14:paraId="3E113D42" w14:textId="77777777" w:rsidR="00000000" w:rsidRDefault="00405D16">
            <w:pPr>
              <w:spacing w:after="100"/>
              <w:jc w:val="right"/>
              <w:rPr>
                <w:rFonts w:eastAsia="Times New Roman"/>
              </w:rPr>
            </w:pPr>
            <w:r>
              <w:rPr>
                <w:rFonts w:eastAsia="Times New Roman"/>
                <w:color w:val="000000"/>
                <w:sz w:val="18"/>
                <w:szCs w:val="18"/>
              </w:rPr>
              <w:t>56 </w:t>
            </w:r>
          </w:p>
        </w:tc>
        <w:tc>
          <w:tcPr>
            <w:tcW w:w="0" w:type="auto"/>
            <w:shd w:val="clear" w:color="auto" w:fill="FFFFFF"/>
            <w:tcMar>
              <w:top w:w="30" w:type="dxa"/>
              <w:left w:w="0" w:type="dxa"/>
              <w:bottom w:w="30" w:type="dxa"/>
              <w:right w:w="20" w:type="dxa"/>
            </w:tcMar>
            <w:vAlign w:val="bottom"/>
            <w:hideMark/>
          </w:tcPr>
          <w:p w14:paraId="3667E6F7"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4B147157" w14:textId="77777777" w:rsidR="00000000" w:rsidRDefault="00405D16">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14:paraId="6A4CE7C0"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2363A617"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40E78511" w14:textId="77777777" w:rsidR="00000000" w:rsidRDefault="00405D16">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14:paraId="0CE8A64F"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5440E2F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4FF565" w14:textId="77777777" w:rsidR="00000000" w:rsidRDefault="00405D16">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0E861177"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4858B9AD"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0ED80B93" w14:textId="77777777" w:rsidR="00000000" w:rsidRDefault="00405D16">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14:paraId="1140C532"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7CD9CAE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491106" w14:textId="77777777" w:rsidR="00000000" w:rsidRDefault="00405D16">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701EF39C" w14:textId="77777777" w:rsidR="00000000" w:rsidRDefault="00405D16">
            <w:pPr>
              <w:spacing w:after="100"/>
              <w:jc w:val="right"/>
              <w:rPr>
                <w:rFonts w:eastAsia="Times New Roman"/>
              </w:rPr>
            </w:pPr>
            <w:r>
              <w:rPr>
                <w:rFonts w:eastAsia="Times New Roman"/>
                <w:color w:val="000000"/>
                <w:sz w:val="18"/>
                <w:szCs w:val="18"/>
              </w:rPr>
              <w:t>0 </w:t>
            </w:r>
          </w:p>
        </w:tc>
        <w:tc>
          <w:tcPr>
            <w:tcW w:w="0" w:type="auto"/>
            <w:gridSpan w:val="2"/>
            <w:shd w:val="clear" w:color="auto" w:fill="FFFFFF"/>
            <w:tcMar>
              <w:top w:w="30" w:type="dxa"/>
              <w:left w:w="0" w:type="dxa"/>
              <w:bottom w:w="30" w:type="dxa"/>
              <w:right w:w="20" w:type="dxa"/>
            </w:tcMar>
            <w:vAlign w:val="bottom"/>
            <w:hideMark/>
          </w:tcPr>
          <w:p w14:paraId="6E749F1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08BD55" w14:textId="77777777" w:rsidR="00000000" w:rsidRDefault="00405D16">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6954165B"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59EA8EE7"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167918B3" w14:textId="77777777" w:rsidR="00000000" w:rsidRDefault="00405D16">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14:paraId="3EB54A44"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4BEEF83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B5CDFF" w14:textId="77777777" w:rsidR="00000000" w:rsidRDefault="00405D16">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3EAC6BF4" w14:textId="77777777" w:rsidR="00000000" w:rsidRDefault="00405D16">
            <w:pPr>
              <w:spacing w:after="100"/>
              <w:jc w:val="right"/>
              <w:rPr>
                <w:rFonts w:eastAsia="Times New Roman"/>
              </w:rPr>
            </w:pPr>
            <w:r>
              <w:rPr>
                <w:rFonts w:eastAsia="Times New Roman"/>
                <w:color w:val="000000"/>
                <w:sz w:val="18"/>
                <w:szCs w:val="18"/>
              </w:rPr>
              <w:t>0 </w:t>
            </w:r>
          </w:p>
        </w:tc>
        <w:tc>
          <w:tcPr>
            <w:tcW w:w="0" w:type="auto"/>
            <w:gridSpan w:val="2"/>
            <w:shd w:val="clear" w:color="auto" w:fill="FFFFFF"/>
            <w:tcMar>
              <w:top w:w="30" w:type="dxa"/>
              <w:left w:w="0" w:type="dxa"/>
              <w:bottom w:w="30" w:type="dxa"/>
              <w:right w:w="20" w:type="dxa"/>
            </w:tcMar>
            <w:vAlign w:val="bottom"/>
            <w:hideMark/>
          </w:tcPr>
          <w:p w14:paraId="77B651F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7296BE" w14:textId="77777777" w:rsidR="00000000" w:rsidRDefault="00405D16">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14:paraId="4F0DCB2B" w14:textId="77777777" w:rsidR="00000000" w:rsidRDefault="00405D16">
            <w:pPr>
              <w:spacing w:after="100"/>
              <w:jc w:val="right"/>
              <w:rPr>
                <w:rFonts w:eastAsia="Times New Roman"/>
              </w:rPr>
            </w:pPr>
            <w:r>
              <w:rPr>
                <w:rFonts w:eastAsia="Times New Roman"/>
                <w:color w:val="000000"/>
                <w:sz w:val="18"/>
                <w:szCs w:val="18"/>
              </w:rPr>
              <w:t>56 </w:t>
            </w:r>
          </w:p>
        </w:tc>
        <w:tc>
          <w:tcPr>
            <w:tcW w:w="0" w:type="auto"/>
            <w:gridSpan w:val="5"/>
            <w:shd w:val="clear" w:color="auto" w:fill="FFFFFF"/>
            <w:tcMar>
              <w:top w:w="30" w:type="dxa"/>
              <w:left w:w="0" w:type="dxa"/>
              <w:bottom w:w="30" w:type="dxa"/>
              <w:right w:w="20" w:type="dxa"/>
            </w:tcMar>
            <w:vAlign w:val="bottom"/>
            <w:hideMark/>
          </w:tcPr>
          <w:p w14:paraId="5F3809C9" w14:textId="77777777" w:rsidR="00000000" w:rsidRDefault="00405D16">
            <w:pPr>
              <w:spacing w:after="100"/>
              <w:jc w:val="right"/>
              <w:rPr>
                <w:rFonts w:eastAsia="Times New Roman"/>
              </w:rPr>
            </w:pPr>
            <w:r>
              <w:rPr>
                <w:rFonts w:eastAsia="Times New Roman"/>
                <w:color w:val="000000"/>
                <w:sz w:val="18"/>
                <w:szCs w:val="18"/>
              </w:rPr>
              <w:t>0 </w:t>
            </w:r>
          </w:p>
        </w:tc>
      </w:tr>
      <w:tr w:rsidR="00405D16" w14:paraId="7971FC52" w14:textId="77777777">
        <w:trPr>
          <w:gridAfter w:val="20"/>
          <w:divId w:val="403920393"/>
        </w:trPr>
        <w:tc>
          <w:tcPr>
            <w:tcW w:w="0" w:type="auto"/>
            <w:gridSpan w:val="4"/>
            <w:shd w:val="clear" w:color="auto" w:fill="CCEEFF"/>
            <w:tcMar>
              <w:top w:w="30" w:type="dxa"/>
              <w:left w:w="20" w:type="dxa"/>
              <w:bottom w:w="30" w:type="dxa"/>
              <w:right w:w="20" w:type="dxa"/>
            </w:tcMar>
            <w:vAlign w:val="center"/>
            <w:hideMark/>
          </w:tcPr>
          <w:p w14:paraId="341E2882" w14:textId="77777777" w:rsidR="00000000" w:rsidRDefault="00405D16">
            <w:pPr>
              <w:spacing w:after="100"/>
              <w:divId w:val="1736389934"/>
              <w:rPr>
                <w:rFonts w:eastAsia="Times New Roman"/>
              </w:rPr>
            </w:pPr>
            <w:r>
              <w:rPr>
                <w:rFonts w:eastAsia="Times New Roman"/>
                <w:color w:val="000000"/>
                <w:sz w:val="16"/>
                <w:szCs w:val="16"/>
              </w:rPr>
              <w:t>Net derivative assets (liabilities</w:t>
            </w:r>
            <w:r>
              <w:rPr>
                <w:rFonts w:eastAsia="Times New Roman"/>
                <w:color w:val="000000"/>
                <w:sz w:val="16"/>
                <w:szCs w:val="16"/>
              </w:rPr>
              <w:t>)</w:t>
            </w:r>
            <w:r>
              <w:rPr>
                <w:rFonts w:eastAsia="Times New Roman"/>
                <w:color w:val="000000"/>
                <w:sz w:val="10"/>
                <w:szCs w:val="10"/>
              </w:rPr>
              <w:t>(4</w:t>
            </w:r>
            <w:r>
              <w:rPr>
                <w:rFonts w:eastAsia="Times New Roman"/>
                <w:color w:val="000000"/>
                <w:sz w:val="10"/>
                <w:szCs w:val="10"/>
              </w:rPr>
              <w:t>)</w:t>
            </w:r>
          </w:p>
        </w:tc>
        <w:tc>
          <w:tcPr>
            <w:tcW w:w="0" w:type="auto"/>
            <w:gridSpan w:val="4"/>
            <w:shd w:val="clear" w:color="auto" w:fill="CCEEFF"/>
            <w:tcMar>
              <w:top w:w="0" w:type="dxa"/>
              <w:left w:w="20" w:type="dxa"/>
              <w:bottom w:w="0" w:type="dxa"/>
              <w:right w:w="20" w:type="dxa"/>
            </w:tcMar>
            <w:vAlign w:val="center"/>
            <w:hideMark/>
          </w:tcPr>
          <w:p w14:paraId="0404CE15" w14:textId="77777777" w:rsidR="00000000" w:rsidRDefault="00405D16">
            <w:pPr>
              <w:spacing w:after="100"/>
              <w:rPr>
                <w:rFonts w:eastAsia="Times New Roman"/>
              </w:rPr>
            </w:pPr>
          </w:p>
        </w:tc>
        <w:tc>
          <w:tcPr>
            <w:tcW w:w="0" w:type="auto"/>
            <w:gridSpan w:val="5"/>
            <w:shd w:val="clear" w:color="auto" w:fill="CCEEFF"/>
            <w:tcMar>
              <w:top w:w="30" w:type="dxa"/>
              <w:left w:w="20" w:type="dxa"/>
              <w:bottom w:w="30" w:type="dxa"/>
              <w:right w:w="0" w:type="dxa"/>
            </w:tcMar>
            <w:vAlign w:val="bottom"/>
            <w:hideMark/>
          </w:tcPr>
          <w:p w14:paraId="4762C0B6" w14:textId="77777777" w:rsidR="00000000" w:rsidRDefault="00405D16">
            <w:pPr>
              <w:spacing w:after="100"/>
              <w:jc w:val="right"/>
              <w:rPr>
                <w:rFonts w:eastAsia="Times New Roman"/>
              </w:rPr>
            </w:pPr>
            <w:r>
              <w:rPr>
                <w:rFonts w:eastAsia="Times New Roman"/>
                <w:color w:val="000000"/>
                <w:sz w:val="18"/>
                <w:szCs w:val="18"/>
              </w:rPr>
              <w:t>34 </w:t>
            </w:r>
          </w:p>
        </w:tc>
        <w:tc>
          <w:tcPr>
            <w:tcW w:w="0" w:type="auto"/>
            <w:shd w:val="clear" w:color="auto" w:fill="CCEEFF"/>
            <w:tcMar>
              <w:top w:w="30" w:type="dxa"/>
              <w:left w:w="0" w:type="dxa"/>
              <w:bottom w:w="30" w:type="dxa"/>
              <w:right w:w="20" w:type="dxa"/>
            </w:tcMar>
            <w:vAlign w:val="bottom"/>
            <w:hideMark/>
          </w:tcPr>
          <w:p w14:paraId="3287F217"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245F2C62" w14:textId="77777777" w:rsidR="00000000" w:rsidRDefault="00405D16">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72365EC6" w14:textId="77777777" w:rsidR="00000000" w:rsidRDefault="00405D16">
            <w:pPr>
              <w:spacing w:after="100"/>
              <w:jc w:val="right"/>
              <w:rPr>
                <w:rFonts w:eastAsia="Times New Roman"/>
              </w:rPr>
            </w:pPr>
            <w:r>
              <w:rPr>
                <w:rFonts w:eastAsia="Times New Roman"/>
                <w:color w:val="000000"/>
                <w:sz w:val="18"/>
                <w:szCs w:val="18"/>
              </w:rPr>
              <w:t>8 </w:t>
            </w:r>
          </w:p>
        </w:tc>
        <w:tc>
          <w:tcPr>
            <w:tcW w:w="0" w:type="auto"/>
            <w:shd w:val="clear" w:color="auto" w:fill="CCEEFF"/>
            <w:tcMar>
              <w:top w:w="30" w:type="dxa"/>
              <w:left w:w="0" w:type="dxa"/>
              <w:bottom w:w="30" w:type="dxa"/>
              <w:right w:w="20" w:type="dxa"/>
            </w:tcMar>
            <w:vAlign w:val="bottom"/>
            <w:hideMark/>
          </w:tcPr>
          <w:p w14:paraId="2ADED475"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4189502A" w14:textId="77777777" w:rsidR="00000000" w:rsidRDefault="00405D16">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4BD535EC"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4D82705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1C3F4D" w14:textId="77777777" w:rsidR="00000000" w:rsidRDefault="00405D16">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76B53F51"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224AF82B"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311F5945" w14:textId="77777777" w:rsidR="00000000" w:rsidRDefault="00405D16">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1AB08921"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0189816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35C155" w14:textId="77777777" w:rsidR="00000000" w:rsidRDefault="00405D16">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104691DB" w14:textId="77777777" w:rsidR="00000000" w:rsidRDefault="00405D16">
            <w:pPr>
              <w:spacing w:after="100"/>
              <w:jc w:val="right"/>
              <w:rPr>
                <w:rFonts w:eastAsia="Times New Roman"/>
              </w:rPr>
            </w:pPr>
            <w:r>
              <w:rPr>
                <w:rFonts w:eastAsia="Times New Roman"/>
                <w:color w:val="000000"/>
                <w:sz w:val="18"/>
                <w:szCs w:val="18"/>
              </w:rPr>
              <w:t>13 </w:t>
            </w:r>
          </w:p>
        </w:tc>
        <w:tc>
          <w:tcPr>
            <w:tcW w:w="0" w:type="auto"/>
            <w:gridSpan w:val="2"/>
            <w:shd w:val="clear" w:color="auto" w:fill="CCEEFF"/>
            <w:tcMar>
              <w:top w:w="30" w:type="dxa"/>
              <w:left w:w="0" w:type="dxa"/>
              <w:bottom w:w="30" w:type="dxa"/>
              <w:right w:w="20" w:type="dxa"/>
            </w:tcMar>
            <w:vAlign w:val="bottom"/>
            <w:hideMark/>
          </w:tcPr>
          <w:p w14:paraId="7E56317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B4C5E9" w14:textId="77777777" w:rsidR="00000000" w:rsidRDefault="00405D16">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711960DF" w14:textId="77777777" w:rsidR="00000000" w:rsidRDefault="00405D16">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14:paraId="75A6340F"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042816C5" w14:textId="77777777" w:rsidR="00000000" w:rsidRDefault="00405D16">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10FE25A9"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00F790A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75ECE1" w14:textId="77777777" w:rsidR="00000000" w:rsidRDefault="00405D16">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2B0D37C7" w14:textId="77777777" w:rsidR="00000000" w:rsidRDefault="00405D16">
            <w:pPr>
              <w:spacing w:after="100"/>
              <w:jc w:val="right"/>
              <w:rPr>
                <w:rFonts w:eastAsia="Times New Roman"/>
              </w:rPr>
            </w:pPr>
            <w:r>
              <w:rPr>
                <w:rFonts w:eastAsia="Times New Roman"/>
                <w:color w:val="000000"/>
                <w:sz w:val="18"/>
                <w:szCs w:val="18"/>
              </w:rPr>
              <w:t>(9</w:t>
            </w:r>
            <w:r>
              <w:rPr>
                <w:rFonts w:eastAsia="Times New Roman"/>
                <w:color w:val="000000"/>
                <w:sz w:val="18"/>
                <w:szCs w:val="18"/>
              </w:rPr>
              <w:t>)</w:t>
            </w:r>
          </w:p>
        </w:tc>
        <w:tc>
          <w:tcPr>
            <w:tcW w:w="0" w:type="auto"/>
            <w:gridSpan w:val="2"/>
            <w:shd w:val="clear" w:color="auto" w:fill="CCEEFF"/>
            <w:tcMar>
              <w:top w:w="30" w:type="dxa"/>
              <w:left w:w="0" w:type="dxa"/>
              <w:bottom w:w="30" w:type="dxa"/>
              <w:right w:w="20" w:type="dxa"/>
            </w:tcMar>
            <w:vAlign w:val="bottom"/>
            <w:hideMark/>
          </w:tcPr>
          <w:p w14:paraId="3521899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A7980A" w14:textId="77777777" w:rsidR="00000000" w:rsidRDefault="00405D16">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5280B2B4" w14:textId="77777777" w:rsidR="00000000" w:rsidRDefault="00405D16">
            <w:pPr>
              <w:spacing w:after="100"/>
              <w:jc w:val="right"/>
              <w:rPr>
                <w:rFonts w:eastAsia="Times New Roman"/>
              </w:rPr>
            </w:pPr>
            <w:r>
              <w:rPr>
                <w:rFonts w:eastAsia="Times New Roman"/>
                <w:color w:val="000000"/>
                <w:sz w:val="18"/>
                <w:szCs w:val="18"/>
              </w:rPr>
              <w:t>44 </w:t>
            </w:r>
          </w:p>
        </w:tc>
        <w:tc>
          <w:tcPr>
            <w:tcW w:w="0" w:type="auto"/>
            <w:gridSpan w:val="5"/>
            <w:shd w:val="clear" w:color="auto" w:fill="CCEEFF"/>
            <w:tcMar>
              <w:top w:w="30" w:type="dxa"/>
              <w:left w:w="0" w:type="dxa"/>
              <w:bottom w:w="30" w:type="dxa"/>
              <w:right w:w="20" w:type="dxa"/>
            </w:tcMar>
            <w:vAlign w:val="bottom"/>
            <w:hideMark/>
          </w:tcPr>
          <w:p w14:paraId="2E547750" w14:textId="77777777" w:rsidR="00000000" w:rsidRDefault="00405D16">
            <w:pPr>
              <w:spacing w:after="100"/>
              <w:jc w:val="right"/>
              <w:rPr>
                <w:rFonts w:eastAsia="Times New Roman"/>
              </w:rPr>
            </w:pPr>
            <w:r>
              <w:rPr>
                <w:rFonts w:eastAsia="Times New Roman"/>
                <w:color w:val="000000"/>
                <w:sz w:val="18"/>
                <w:szCs w:val="18"/>
              </w:rPr>
              <w:t>0 </w:t>
            </w:r>
          </w:p>
        </w:tc>
      </w:tr>
      <w:tr w:rsidR="00000000" w14:paraId="0E4C2D7A" w14:textId="77777777">
        <w:tc>
          <w:tcPr>
            <w:tcW w:w="50" w:type="pct"/>
            <w:gridSpan w:val="2"/>
            <w:vAlign w:val="center"/>
            <w:hideMark/>
          </w:tcPr>
          <w:p w14:paraId="24E9C1D6" w14:textId="77777777" w:rsidR="00000000" w:rsidRDefault="00405D16">
            <w:pPr>
              <w:jc w:val="both"/>
              <w:rPr>
                <w:rFonts w:eastAsia="Times New Roman"/>
              </w:rPr>
            </w:pPr>
          </w:p>
        </w:tc>
        <w:tc>
          <w:tcPr>
            <w:tcW w:w="697" w:type="pct"/>
            <w:gridSpan w:val="5"/>
            <w:vAlign w:val="center"/>
            <w:hideMark/>
          </w:tcPr>
          <w:p w14:paraId="36BE05E2" w14:textId="77777777" w:rsidR="00000000" w:rsidRDefault="00405D16">
            <w:pPr>
              <w:spacing w:after="100"/>
              <w:rPr>
                <w:rFonts w:eastAsia="Times New Roman"/>
                <w:sz w:val="20"/>
                <w:szCs w:val="20"/>
              </w:rPr>
            </w:pPr>
          </w:p>
        </w:tc>
        <w:tc>
          <w:tcPr>
            <w:tcW w:w="5" w:type="pct"/>
            <w:gridSpan w:val="3"/>
            <w:vAlign w:val="center"/>
            <w:hideMark/>
          </w:tcPr>
          <w:p w14:paraId="32F49275" w14:textId="77777777" w:rsidR="00000000" w:rsidRDefault="00405D16">
            <w:pPr>
              <w:spacing w:after="100"/>
              <w:rPr>
                <w:rFonts w:eastAsia="Times New Roman"/>
                <w:sz w:val="20"/>
                <w:szCs w:val="20"/>
              </w:rPr>
            </w:pPr>
          </w:p>
        </w:tc>
        <w:tc>
          <w:tcPr>
            <w:tcW w:w="5" w:type="pct"/>
            <w:vAlign w:val="center"/>
            <w:hideMark/>
          </w:tcPr>
          <w:p w14:paraId="6BA366CC" w14:textId="77777777" w:rsidR="00000000" w:rsidRDefault="00405D16">
            <w:pPr>
              <w:spacing w:after="100"/>
              <w:rPr>
                <w:rFonts w:eastAsia="Times New Roman"/>
                <w:sz w:val="20"/>
                <w:szCs w:val="20"/>
              </w:rPr>
            </w:pPr>
          </w:p>
        </w:tc>
        <w:tc>
          <w:tcPr>
            <w:tcW w:w="26" w:type="pct"/>
            <w:vAlign w:val="center"/>
            <w:hideMark/>
          </w:tcPr>
          <w:p w14:paraId="76AB8735" w14:textId="77777777" w:rsidR="00000000" w:rsidRDefault="00405D16">
            <w:pPr>
              <w:spacing w:after="100"/>
              <w:rPr>
                <w:rFonts w:eastAsia="Times New Roman"/>
                <w:sz w:val="20"/>
                <w:szCs w:val="20"/>
              </w:rPr>
            </w:pPr>
          </w:p>
        </w:tc>
        <w:tc>
          <w:tcPr>
            <w:tcW w:w="5" w:type="pct"/>
            <w:gridSpan w:val="3"/>
            <w:vAlign w:val="center"/>
            <w:hideMark/>
          </w:tcPr>
          <w:p w14:paraId="2D6EFA0F" w14:textId="77777777" w:rsidR="00000000" w:rsidRDefault="00405D16">
            <w:pPr>
              <w:spacing w:after="100"/>
              <w:rPr>
                <w:rFonts w:eastAsia="Times New Roman"/>
                <w:sz w:val="20"/>
                <w:szCs w:val="20"/>
              </w:rPr>
            </w:pPr>
          </w:p>
        </w:tc>
        <w:tc>
          <w:tcPr>
            <w:tcW w:w="50" w:type="pct"/>
            <w:gridSpan w:val="4"/>
            <w:vAlign w:val="center"/>
            <w:hideMark/>
          </w:tcPr>
          <w:p w14:paraId="157BEA64" w14:textId="77777777" w:rsidR="00000000" w:rsidRDefault="00405D16">
            <w:pPr>
              <w:spacing w:after="100"/>
              <w:rPr>
                <w:rFonts w:eastAsia="Times New Roman"/>
                <w:sz w:val="20"/>
                <w:szCs w:val="20"/>
              </w:rPr>
            </w:pPr>
          </w:p>
        </w:tc>
        <w:tc>
          <w:tcPr>
            <w:tcW w:w="273" w:type="pct"/>
            <w:gridSpan w:val="2"/>
            <w:vAlign w:val="center"/>
            <w:hideMark/>
          </w:tcPr>
          <w:p w14:paraId="4DDBC91B" w14:textId="77777777" w:rsidR="00000000" w:rsidRDefault="00405D16">
            <w:pPr>
              <w:spacing w:after="100"/>
              <w:rPr>
                <w:rFonts w:eastAsia="Times New Roman"/>
                <w:sz w:val="20"/>
                <w:szCs w:val="20"/>
              </w:rPr>
            </w:pPr>
          </w:p>
        </w:tc>
        <w:tc>
          <w:tcPr>
            <w:tcW w:w="5" w:type="pct"/>
            <w:gridSpan w:val="4"/>
            <w:vAlign w:val="center"/>
            <w:hideMark/>
          </w:tcPr>
          <w:p w14:paraId="03BEF54B" w14:textId="77777777" w:rsidR="00000000" w:rsidRDefault="00405D16">
            <w:pPr>
              <w:spacing w:after="100"/>
              <w:rPr>
                <w:rFonts w:eastAsia="Times New Roman"/>
                <w:sz w:val="20"/>
                <w:szCs w:val="20"/>
              </w:rPr>
            </w:pPr>
          </w:p>
        </w:tc>
        <w:tc>
          <w:tcPr>
            <w:tcW w:w="5" w:type="pct"/>
            <w:gridSpan w:val="3"/>
            <w:vAlign w:val="center"/>
            <w:hideMark/>
          </w:tcPr>
          <w:p w14:paraId="4FD4E19D" w14:textId="77777777" w:rsidR="00000000" w:rsidRDefault="00405D16">
            <w:pPr>
              <w:spacing w:after="100"/>
              <w:rPr>
                <w:rFonts w:eastAsia="Times New Roman"/>
                <w:sz w:val="20"/>
                <w:szCs w:val="20"/>
              </w:rPr>
            </w:pPr>
          </w:p>
        </w:tc>
        <w:tc>
          <w:tcPr>
            <w:tcW w:w="26" w:type="pct"/>
            <w:gridSpan w:val="2"/>
            <w:vAlign w:val="center"/>
            <w:hideMark/>
          </w:tcPr>
          <w:p w14:paraId="34E013AF" w14:textId="77777777" w:rsidR="00000000" w:rsidRDefault="00405D16">
            <w:pPr>
              <w:spacing w:after="100"/>
              <w:rPr>
                <w:rFonts w:eastAsia="Times New Roman"/>
                <w:sz w:val="20"/>
                <w:szCs w:val="20"/>
              </w:rPr>
            </w:pPr>
          </w:p>
        </w:tc>
        <w:tc>
          <w:tcPr>
            <w:tcW w:w="5" w:type="pct"/>
            <w:vAlign w:val="center"/>
            <w:hideMark/>
          </w:tcPr>
          <w:p w14:paraId="135FFDA3" w14:textId="77777777" w:rsidR="00000000" w:rsidRDefault="00405D16">
            <w:pPr>
              <w:spacing w:after="100"/>
              <w:rPr>
                <w:rFonts w:eastAsia="Times New Roman"/>
                <w:sz w:val="20"/>
                <w:szCs w:val="20"/>
              </w:rPr>
            </w:pPr>
          </w:p>
        </w:tc>
        <w:tc>
          <w:tcPr>
            <w:tcW w:w="50" w:type="pct"/>
            <w:vAlign w:val="center"/>
            <w:hideMark/>
          </w:tcPr>
          <w:p w14:paraId="6492209E" w14:textId="77777777" w:rsidR="00000000" w:rsidRDefault="00405D16">
            <w:pPr>
              <w:spacing w:after="100"/>
              <w:rPr>
                <w:rFonts w:eastAsia="Times New Roman"/>
                <w:sz w:val="20"/>
                <w:szCs w:val="20"/>
              </w:rPr>
            </w:pPr>
          </w:p>
        </w:tc>
        <w:tc>
          <w:tcPr>
            <w:tcW w:w="244" w:type="pct"/>
            <w:gridSpan w:val="7"/>
            <w:vAlign w:val="center"/>
            <w:hideMark/>
          </w:tcPr>
          <w:p w14:paraId="54FA3566" w14:textId="77777777" w:rsidR="00000000" w:rsidRDefault="00405D16">
            <w:pPr>
              <w:spacing w:after="100"/>
              <w:rPr>
                <w:rFonts w:eastAsia="Times New Roman"/>
                <w:sz w:val="20"/>
                <w:szCs w:val="20"/>
              </w:rPr>
            </w:pPr>
          </w:p>
        </w:tc>
        <w:tc>
          <w:tcPr>
            <w:tcW w:w="5" w:type="pct"/>
            <w:vAlign w:val="center"/>
            <w:hideMark/>
          </w:tcPr>
          <w:p w14:paraId="1DDF6864" w14:textId="77777777" w:rsidR="00000000" w:rsidRDefault="00405D16">
            <w:pPr>
              <w:spacing w:after="100"/>
              <w:rPr>
                <w:rFonts w:eastAsia="Times New Roman"/>
                <w:sz w:val="20"/>
                <w:szCs w:val="20"/>
              </w:rPr>
            </w:pPr>
          </w:p>
        </w:tc>
        <w:tc>
          <w:tcPr>
            <w:tcW w:w="5" w:type="pct"/>
            <w:vAlign w:val="center"/>
            <w:hideMark/>
          </w:tcPr>
          <w:p w14:paraId="1EB4921B" w14:textId="77777777" w:rsidR="00000000" w:rsidRDefault="00405D16">
            <w:pPr>
              <w:spacing w:after="100"/>
              <w:rPr>
                <w:rFonts w:eastAsia="Times New Roman"/>
                <w:sz w:val="20"/>
                <w:szCs w:val="20"/>
              </w:rPr>
            </w:pPr>
          </w:p>
        </w:tc>
        <w:tc>
          <w:tcPr>
            <w:tcW w:w="26" w:type="pct"/>
            <w:gridSpan w:val="3"/>
            <w:vAlign w:val="center"/>
            <w:hideMark/>
          </w:tcPr>
          <w:p w14:paraId="1055DE1E" w14:textId="77777777" w:rsidR="00000000" w:rsidRDefault="00405D16">
            <w:pPr>
              <w:spacing w:after="100"/>
              <w:rPr>
                <w:rFonts w:eastAsia="Times New Roman"/>
                <w:sz w:val="20"/>
                <w:szCs w:val="20"/>
              </w:rPr>
            </w:pPr>
          </w:p>
        </w:tc>
        <w:tc>
          <w:tcPr>
            <w:tcW w:w="5" w:type="pct"/>
            <w:gridSpan w:val="4"/>
            <w:vAlign w:val="center"/>
            <w:hideMark/>
          </w:tcPr>
          <w:p w14:paraId="4936E33D" w14:textId="77777777" w:rsidR="00000000" w:rsidRDefault="00405D16">
            <w:pPr>
              <w:spacing w:after="100"/>
              <w:rPr>
                <w:rFonts w:eastAsia="Times New Roman"/>
                <w:sz w:val="20"/>
                <w:szCs w:val="20"/>
              </w:rPr>
            </w:pPr>
          </w:p>
        </w:tc>
        <w:tc>
          <w:tcPr>
            <w:tcW w:w="50" w:type="pct"/>
            <w:gridSpan w:val="2"/>
            <w:vAlign w:val="center"/>
            <w:hideMark/>
          </w:tcPr>
          <w:p w14:paraId="59B879CB" w14:textId="77777777" w:rsidR="00000000" w:rsidRDefault="00405D16">
            <w:pPr>
              <w:spacing w:after="100"/>
              <w:rPr>
                <w:rFonts w:eastAsia="Times New Roman"/>
                <w:sz w:val="20"/>
                <w:szCs w:val="20"/>
              </w:rPr>
            </w:pPr>
          </w:p>
        </w:tc>
        <w:tc>
          <w:tcPr>
            <w:tcW w:w="244" w:type="pct"/>
            <w:gridSpan w:val="7"/>
            <w:vAlign w:val="center"/>
            <w:hideMark/>
          </w:tcPr>
          <w:p w14:paraId="15254A66" w14:textId="77777777" w:rsidR="00000000" w:rsidRDefault="00405D16">
            <w:pPr>
              <w:spacing w:after="100"/>
              <w:rPr>
                <w:rFonts w:eastAsia="Times New Roman"/>
                <w:sz w:val="20"/>
                <w:szCs w:val="20"/>
              </w:rPr>
            </w:pPr>
          </w:p>
        </w:tc>
        <w:tc>
          <w:tcPr>
            <w:tcW w:w="5" w:type="pct"/>
            <w:vAlign w:val="center"/>
            <w:hideMark/>
          </w:tcPr>
          <w:p w14:paraId="52A3E2E0" w14:textId="77777777" w:rsidR="00000000" w:rsidRDefault="00405D16">
            <w:pPr>
              <w:spacing w:after="100"/>
              <w:rPr>
                <w:rFonts w:eastAsia="Times New Roman"/>
                <w:sz w:val="20"/>
                <w:szCs w:val="20"/>
              </w:rPr>
            </w:pPr>
          </w:p>
        </w:tc>
        <w:tc>
          <w:tcPr>
            <w:tcW w:w="5" w:type="pct"/>
            <w:vAlign w:val="center"/>
            <w:hideMark/>
          </w:tcPr>
          <w:p w14:paraId="74439193" w14:textId="77777777" w:rsidR="00000000" w:rsidRDefault="00405D16">
            <w:pPr>
              <w:spacing w:after="100"/>
              <w:rPr>
                <w:rFonts w:eastAsia="Times New Roman"/>
                <w:sz w:val="20"/>
                <w:szCs w:val="20"/>
              </w:rPr>
            </w:pPr>
          </w:p>
        </w:tc>
        <w:tc>
          <w:tcPr>
            <w:tcW w:w="26" w:type="pct"/>
            <w:gridSpan w:val="2"/>
            <w:vAlign w:val="center"/>
            <w:hideMark/>
          </w:tcPr>
          <w:p w14:paraId="5F34AB50" w14:textId="77777777" w:rsidR="00000000" w:rsidRDefault="00405D16">
            <w:pPr>
              <w:spacing w:after="100"/>
              <w:rPr>
                <w:rFonts w:eastAsia="Times New Roman"/>
                <w:sz w:val="20"/>
                <w:szCs w:val="20"/>
              </w:rPr>
            </w:pPr>
          </w:p>
        </w:tc>
        <w:tc>
          <w:tcPr>
            <w:tcW w:w="5" w:type="pct"/>
            <w:gridSpan w:val="5"/>
            <w:vAlign w:val="center"/>
            <w:hideMark/>
          </w:tcPr>
          <w:p w14:paraId="029D0019" w14:textId="77777777" w:rsidR="00000000" w:rsidRDefault="00405D16">
            <w:pPr>
              <w:spacing w:after="100"/>
              <w:rPr>
                <w:rFonts w:eastAsia="Times New Roman"/>
                <w:sz w:val="20"/>
                <w:szCs w:val="20"/>
              </w:rPr>
            </w:pPr>
          </w:p>
        </w:tc>
        <w:tc>
          <w:tcPr>
            <w:tcW w:w="50" w:type="pct"/>
            <w:gridSpan w:val="2"/>
            <w:vAlign w:val="center"/>
            <w:hideMark/>
          </w:tcPr>
          <w:p w14:paraId="5C195F00" w14:textId="77777777" w:rsidR="00000000" w:rsidRDefault="00405D16">
            <w:pPr>
              <w:spacing w:after="100"/>
              <w:rPr>
                <w:rFonts w:eastAsia="Times New Roman"/>
                <w:sz w:val="20"/>
                <w:szCs w:val="20"/>
              </w:rPr>
            </w:pPr>
          </w:p>
        </w:tc>
        <w:tc>
          <w:tcPr>
            <w:tcW w:w="259" w:type="pct"/>
            <w:vAlign w:val="center"/>
            <w:hideMark/>
          </w:tcPr>
          <w:p w14:paraId="545E6B60" w14:textId="77777777" w:rsidR="00000000" w:rsidRDefault="00405D16">
            <w:pPr>
              <w:spacing w:after="100"/>
              <w:rPr>
                <w:rFonts w:eastAsia="Times New Roman"/>
                <w:sz w:val="20"/>
                <w:szCs w:val="20"/>
              </w:rPr>
            </w:pPr>
          </w:p>
        </w:tc>
        <w:tc>
          <w:tcPr>
            <w:tcW w:w="5" w:type="pct"/>
            <w:gridSpan w:val="4"/>
            <w:vAlign w:val="center"/>
            <w:hideMark/>
          </w:tcPr>
          <w:p w14:paraId="454A33B1" w14:textId="77777777" w:rsidR="00000000" w:rsidRDefault="00405D16">
            <w:pPr>
              <w:spacing w:after="100"/>
              <w:rPr>
                <w:rFonts w:eastAsia="Times New Roman"/>
                <w:sz w:val="20"/>
                <w:szCs w:val="20"/>
              </w:rPr>
            </w:pPr>
          </w:p>
        </w:tc>
        <w:tc>
          <w:tcPr>
            <w:tcW w:w="5" w:type="pct"/>
            <w:gridSpan w:val="3"/>
            <w:vAlign w:val="center"/>
            <w:hideMark/>
          </w:tcPr>
          <w:p w14:paraId="4AADE3C5" w14:textId="77777777" w:rsidR="00000000" w:rsidRDefault="00405D16">
            <w:pPr>
              <w:spacing w:after="100"/>
              <w:rPr>
                <w:rFonts w:eastAsia="Times New Roman"/>
                <w:sz w:val="20"/>
                <w:szCs w:val="20"/>
              </w:rPr>
            </w:pPr>
          </w:p>
        </w:tc>
        <w:tc>
          <w:tcPr>
            <w:tcW w:w="26" w:type="pct"/>
            <w:gridSpan w:val="2"/>
            <w:vAlign w:val="center"/>
            <w:hideMark/>
          </w:tcPr>
          <w:p w14:paraId="0C07C793" w14:textId="77777777" w:rsidR="00000000" w:rsidRDefault="00405D16">
            <w:pPr>
              <w:spacing w:after="100"/>
              <w:rPr>
                <w:rFonts w:eastAsia="Times New Roman"/>
                <w:sz w:val="20"/>
                <w:szCs w:val="20"/>
              </w:rPr>
            </w:pPr>
          </w:p>
        </w:tc>
        <w:tc>
          <w:tcPr>
            <w:tcW w:w="5" w:type="pct"/>
            <w:vAlign w:val="center"/>
            <w:hideMark/>
          </w:tcPr>
          <w:p w14:paraId="217FFF10" w14:textId="77777777" w:rsidR="00000000" w:rsidRDefault="00405D16">
            <w:pPr>
              <w:spacing w:after="100"/>
              <w:rPr>
                <w:rFonts w:eastAsia="Times New Roman"/>
                <w:sz w:val="20"/>
                <w:szCs w:val="20"/>
              </w:rPr>
            </w:pPr>
          </w:p>
        </w:tc>
        <w:tc>
          <w:tcPr>
            <w:tcW w:w="50" w:type="pct"/>
            <w:vAlign w:val="center"/>
            <w:hideMark/>
          </w:tcPr>
          <w:p w14:paraId="4668C62E" w14:textId="77777777" w:rsidR="00000000" w:rsidRDefault="00405D16">
            <w:pPr>
              <w:spacing w:after="100"/>
              <w:rPr>
                <w:rFonts w:eastAsia="Times New Roman"/>
                <w:sz w:val="20"/>
                <w:szCs w:val="20"/>
              </w:rPr>
            </w:pPr>
          </w:p>
        </w:tc>
        <w:tc>
          <w:tcPr>
            <w:tcW w:w="200" w:type="pct"/>
            <w:gridSpan w:val="7"/>
            <w:vAlign w:val="center"/>
            <w:hideMark/>
          </w:tcPr>
          <w:p w14:paraId="3C87A37C" w14:textId="77777777" w:rsidR="00000000" w:rsidRDefault="00405D16">
            <w:pPr>
              <w:spacing w:after="100"/>
              <w:rPr>
                <w:rFonts w:eastAsia="Times New Roman"/>
                <w:sz w:val="20"/>
                <w:szCs w:val="20"/>
              </w:rPr>
            </w:pPr>
          </w:p>
        </w:tc>
        <w:tc>
          <w:tcPr>
            <w:tcW w:w="5" w:type="pct"/>
            <w:vAlign w:val="center"/>
            <w:hideMark/>
          </w:tcPr>
          <w:p w14:paraId="3A979E8B" w14:textId="77777777" w:rsidR="00000000" w:rsidRDefault="00405D16">
            <w:pPr>
              <w:spacing w:after="100"/>
              <w:rPr>
                <w:rFonts w:eastAsia="Times New Roman"/>
                <w:sz w:val="20"/>
                <w:szCs w:val="20"/>
              </w:rPr>
            </w:pPr>
          </w:p>
        </w:tc>
        <w:tc>
          <w:tcPr>
            <w:tcW w:w="5" w:type="pct"/>
            <w:vAlign w:val="center"/>
            <w:hideMark/>
          </w:tcPr>
          <w:p w14:paraId="65AA13CF" w14:textId="77777777" w:rsidR="00000000" w:rsidRDefault="00405D16">
            <w:pPr>
              <w:spacing w:after="100"/>
              <w:rPr>
                <w:rFonts w:eastAsia="Times New Roman"/>
                <w:sz w:val="20"/>
                <w:szCs w:val="20"/>
              </w:rPr>
            </w:pPr>
          </w:p>
        </w:tc>
        <w:tc>
          <w:tcPr>
            <w:tcW w:w="26" w:type="pct"/>
            <w:gridSpan w:val="2"/>
            <w:vAlign w:val="center"/>
            <w:hideMark/>
          </w:tcPr>
          <w:p w14:paraId="48C6D9D2" w14:textId="77777777" w:rsidR="00000000" w:rsidRDefault="00405D16">
            <w:pPr>
              <w:spacing w:after="100"/>
              <w:rPr>
                <w:rFonts w:eastAsia="Times New Roman"/>
                <w:sz w:val="20"/>
                <w:szCs w:val="20"/>
              </w:rPr>
            </w:pPr>
          </w:p>
        </w:tc>
        <w:tc>
          <w:tcPr>
            <w:tcW w:w="5" w:type="pct"/>
            <w:gridSpan w:val="5"/>
            <w:vAlign w:val="center"/>
            <w:hideMark/>
          </w:tcPr>
          <w:p w14:paraId="0F9F1D2A" w14:textId="77777777" w:rsidR="00000000" w:rsidRDefault="00405D16">
            <w:pPr>
              <w:spacing w:after="100"/>
              <w:rPr>
                <w:rFonts w:eastAsia="Times New Roman"/>
                <w:sz w:val="20"/>
                <w:szCs w:val="20"/>
              </w:rPr>
            </w:pPr>
          </w:p>
        </w:tc>
        <w:tc>
          <w:tcPr>
            <w:tcW w:w="50" w:type="pct"/>
            <w:gridSpan w:val="2"/>
            <w:vAlign w:val="center"/>
            <w:hideMark/>
          </w:tcPr>
          <w:p w14:paraId="662E9FDC" w14:textId="77777777" w:rsidR="00000000" w:rsidRDefault="00405D16">
            <w:pPr>
              <w:spacing w:after="100"/>
              <w:rPr>
                <w:rFonts w:eastAsia="Times New Roman"/>
                <w:sz w:val="20"/>
                <w:szCs w:val="20"/>
              </w:rPr>
            </w:pPr>
          </w:p>
        </w:tc>
        <w:tc>
          <w:tcPr>
            <w:tcW w:w="244" w:type="pct"/>
            <w:vAlign w:val="center"/>
            <w:hideMark/>
          </w:tcPr>
          <w:p w14:paraId="25B79F54" w14:textId="77777777" w:rsidR="00000000" w:rsidRDefault="00405D16">
            <w:pPr>
              <w:spacing w:after="100"/>
              <w:rPr>
                <w:rFonts w:eastAsia="Times New Roman"/>
                <w:sz w:val="20"/>
                <w:szCs w:val="20"/>
              </w:rPr>
            </w:pPr>
          </w:p>
        </w:tc>
        <w:tc>
          <w:tcPr>
            <w:tcW w:w="5" w:type="pct"/>
            <w:vAlign w:val="center"/>
            <w:hideMark/>
          </w:tcPr>
          <w:p w14:paraId="10681C48" w14:textId="77777777" w:rsidR="00000000" w:rsidRDefault="00405D16">
            <w:pPr>
              <w:spacing w:after="100"/>
              <w:rPr>
                <w:rFonts w:eastAsia="Times New Roman"/>
                <w:sz w:val="20"/>
                <w:szCs w:val="20"/>
              </w:rPr>
            </w:pPr>
          </w:p>
        </w:tc>
        <w:tc>
          <w:tcPr>
            <w:tcW w:w="5" w:type="pct"/>
            <w:gridSpan w:val="2"/>
            <w:vAlign w:val="center"/>
            <w:hideMark/>
          </w:tcPr>
          <w:p w14:paraId="0511A391" w14:textId="77777777" w:rsidR="00000000" w:rsidRDefault="00405D16">
            <w:pPr>
              <w:spacing w:after="100"/>
              <w:rPr>
                <w:rFonts w:eastAsia="Times New Roman"/>
                <w:sz w:val="20"/>
                <w:szCs w:val="20"/>
              </w:rPr>
            </w:pPr>
          </w:p>
        </w:tc>
        <w:tc>
          <w:tcPr>
            <w:tcW w:w="26" w:type="pct"/>
            <w:vAlign w:val="center"/>
            <w:hideMark/>
          </w:tcPr>
          <w:p w14:paraId="10BCA801" w14:textId="77777777" w:rsidR="00000000" w:rsidRDefault="00405D16">
            <w:pPr>
              <w:spacing w:after="100"/>
              <w:rPr>
                <w:rFonts w:eastAsia="Times New Roman"/>
                <w:sz w:val="20"/>
                <w:szCs w:val="20"/>
              </w:rPr>
            </w:pPr>
          </w:p>
        </w:tc>
        <w:tc>
          <w:tcPr>
            <w:tcW w:w="5" w:type="pct"/>
            <w:vAlign w:val="center"/>
            <w:hideMark/>
          </w:tcPr>
          <w:p w14:paraId="3085D5ED" w14:textId="77777777" w:rsidR="00000000" w:rsidRDefault="00405D16">
            <w:pPr>
              <w:spacing w:after="100"/>
              <w:rPr>
                <w:rFonts w:eastAsia="Times New Roman"/>
                <w:sz w:val="20"/>
                <w:szCs w:val="20"/>
              </w:rPr>
            </w:pPr>
          </w:p>
        </w:tc>
        <w:tc>
          <w:tcPr>
            <w:tcW w:w="50" w:type="pct"/>
            <w:vAlign w:val="center"/>
            <w:hideMark/>
          </w:tcPr>
          <w:p w14:paraId="196CBB58" w14:textId="77777777" w:rsidR="00000000" w:rsidRDefault="00405D16">
            <w:pPr>
              <w:spacing w:after="100"/>
              <w:rPr>
                <w:rFonts w:eastAsia="Times New Roman"/>
                <w:sz w:val="20"/>
                <w:szCs w:val="20"/>
              </w:rPr>
            </w:pPr>
          </w:p>
        </w:tc>
        <w:tc>
          <w:tcPr>
            <w:tcW w:w="295" w:type="pct"/>
            <w:gridSpan w:val="2"/>
            <w:vAlign w:val="center"/>
            <w:hideMark/>
          </w:tcPr>
          <w:p w14:paraId="7B5BD510" w14:textId="77777777" w:rsidR="00000000" w:rsidRDefault="00405D16">
            <w:pPr>
              <w:spacing w:after="100"/>
              <w:rPr>
                <w:rFonts w:eastAsia="Times New Roman"/>
                <w:sz w:val="20"/>
                <w:szCs w:val="20"/>
              </w:rPr>
            </w:pPr>
          </w:p>
        </w:tc>
        <w:tc>
          <w:tcPr>
            <w:tcW w:w="5" w:type="pct"/>
            <w:vAlign w:val="center"/>
            <w:hideMark/>
          </w:tcPr>
          <w:p w14:paraId="0D09CC90" w14:textId="77777777" w:rsidR="00000000" w:rsidRDefault="00405D16">
            <w:pPr>
              <w:spacing w:after="100"/>
              <w:rPr>
                <w:rFonts w:eastAsia="Times New Roman"/>
                <w:sz w:val="20"/>
                <w:szCs w:val="20"/>
              </w:rPr>
            </w:pPr>
          </w:p>
        </w:tc>
        <w:tc>
          <w:tcPr>
            <w:tcW w:w="5" w:type="pct"/>
            <w:vAlign w:val="center"/>
            <w:hideMark/>
          </w:tcPr>
          <w:p w14:paraId="4BF96CA1" w14:textId="77777777" w:rsidR="00000000" w:rsidRDefault="00405D16">
            <w:pPr>
              <w:spacing w:after="100"/>
              <w:rPr>
                <w:rFonts w:eastAsia="Times New Roman"/>
                <w:sz w:val="20"/>
                <w:szCs w:val="20"/>
              </w:rPr>
            </w:pPr>
          </w:p>
        </w:tc>
        <w:tc>
          <w:tcPr>
            <w:tcW w:w="26" w:type="pct"/>
            <w:vAlign w:val="center"/>
            <w:hideMark/>
          </w:tcPr>
          <w:p w14:paraId="3AC93ECB" w14:textId="77777777" w:rsidR="00000000" w:rsidRDefault="00405D16">
            <w:pPr>
              <w:spacing w:after="100"/>
              <w:rPr>
                <w:rFonts w:eastAsia="Times New Roman"/>
                <w:sz w:val="20"/>
                <w:szCs w:val="20"/>
              </w:rPr>
            </w:pPr>
          </w:p>
        </w:tc>
        <w:tc>
          <w:tcPr>
            <w:tcW w:w="5" w:type="pct"/>
            <w:vAlign w:val="center"/>
            <w:hideMark/>
          </w:tcPr>
          <w:p w14:paraId="557AD793" w14:textId="77777777" w:rsidR="00000000" w:rsidRDefault="00405D16">
            <w:pPr>
              <w:spacing w:after="100"/>
              <w:rPr>
                <w:rFonts w:eastAsia="Times New Roman"/>
                <w:sz w:val="20"/>
                <w:szCs w:val="20"/>
              </w:rPr>
            </w:pPr>
          </w:p>
        </w:tc>
        <w:tc>
          <w:tcPr>
            <w:tcW w:w="50" w:type="pct"/>
            <w:vAlign w:val="center"/>
            <w:hideMark/>
          </w:tcPr>
          <w:p w14:paraId="64ACF678" w14:textId="77777777" w:rsidR="00000000" w:rsidRDefault="00405D16">
            <w:pPr>
              <w:spacing w:after="100"/>
              <w:rPr>
                <w:rFonts w:eastAsia="Times New Roman"/>
                <w:sz w:val="20"/>
                <w:szCs w:val="20"/>
              </w:rPr>
            </w:pPr>
          </w:p>
        </w:tc>
        <w:tc>
          <w:tcPr>
            <w:tcW w:w="266" w:type="pct"/>
            <w:vAlign w:val="center"/>
            <w:hideMark/>
          </w:tcPr>
          <w:p w14:paraId="5A785227" w14:textId="77777777" w:rsidR="00000000" w:rsidRDefault="00405D16">
            <w:pPr>
              <w:spacing w:after="100"/>
              <w:rPr>
                <w:rFonts w:eastAsia="Times New Roman"/>
                <w:sz w:val="20"/>
                <w:szCs w:val="20"/>
              </w:rPr>
            </w:pPr>
          </w:p>
        </w:tc>
        <w:tc>
          <w:tcPr>
            <w:tcW w:w="5" w:type="pct"/>
            <w:vAlign w:val="center"/>
            <w:hideMark/>
          </w:tcPr>
          <w:p w14:paraId="54F485F9" w14:textId="77777777" w:rsidR="00000000" w:rsidRDefault="00405D16">
            <w:pPr>
              <w:spacing w:after="100"/>
              <w:rPr>
                <w:rFonts w:eastAsia="Times New Roman"/>
                <w:sz w:val="20"/>
                <w:szCs w:val="20"/>
              </w:rPr>
            </w:pPr>
          </w:p>
        </w:tc>
        <w:tc>
          <w:tcPr>
            <w:tcW w:w="5" w:type="pct"/>
            <w:vAlign w:val="center"/>
            <w:hideMark/>
          </w:tcPr>
          <w:p w14:paraId="43C47933" w14:textId="77777777" w:rsidR="00000000" w:rsidRDefault="00405D16">
            <w:pPr>
              <w:spacing w:after="100"/>
              <w:rPr>
                <w:rFonts w:eastAsia="Times New Roman"/>
                <w:sz w:val="20"/>
                <w:szCs w:val="20"/>
              </w:rPr>
            </w:pPr>
          </w:p>
        </w:tc>
        <w:tc>
          <w:tcPr>
            <w:tcW w:w="26" w:type="pct"/>
            <w:vAlign w:val="center"/>
            <w:hideMark/>
          </w:tcPr>
          <w:p w14:paraId="636A67E7" w14:textId="77777777" w:rsidR="00000000" w:rsidRDefault="00405D16">
            <w:pPr>
              <w:spacing w:after="100"/>
              <w:rPr>
                <w:rFonts w:eastAsia="Times New Roman"/>
                <w:sz w:val="20"/>
                <w:szCs w:val="20"/>
              </w:rPr>
            </w:pPr>
          </w:p>
        </w:tc>
        <w:tc>
          <w:tcPr>
            <w:tcW w:w="5" w:type="pct"/>
            <w:vAlign w:val="center"/>
            <w:hideMark/>
          </w:tcPr>
          <w:p w14:paraId="0420E29C" w14:textId="77777777" w:rsidR="00000000" w:rsidRDefault="00405D16">
            <w:pPr>
              <w:spacing w:after="100"/>
              <w:rPr>
                <w:rFonts w:eastAsia="Times New Roman"/>
                <w:sz w:val="20"/>
                <w:szCs w:val="20"/>
              </w:rPr>
            </w:pPr>
          </w:p>
        </w:tc>
        <w:tc>
          <w:tcPr>
            <w:tcW w:w="50" w:type="pct"/>
            <w:vAlign w:val="center"/>
            <w:hideMark/>
          </w:tcPr>
          <w:p w14:paraId="7CA23E67" w14:textId="77777777" w:rsidR="00000000" w:rsidRDefault="00405D16">
            <w:pPr>
              <w:spacing w:after="100"/>
              <w:rPr>
                <w:rFonts w:eastAsia="Times New Roman"/>
                <w:sz w:val="20"/>
                <w:szCs w:val="20"/>
              </w:rPr>
            </w:pPr>
          </w:p>
        </w:tc>
        <w:tc>
          <w:tcPr>
            <w:tcW w:w="244" w:type="pct"/>
            <w:vAlign w:val="center"/>
            <w:hideMark/>
          </w:tcPr>
          <w:p w14:paraId="7740FD69" w14:textId="77777777" w:rsidR="00000000" w:rsidRDefault="00405D16">
            <w:pPr>
              <w:spacing w:after="100"/>
              <w:rPr>
                <w:rFonts w:eastAsia="Times New Roman"/>
                <w:sz w:val="20"/>
                <w:szCs w:val="20"/>
              </w:rPr>
            </w:pPr>
          </w:p>
        </w:tc>
        <w:tc>
          <w:tcPr>
            <w:tcW w:w="5" w:type="pct"/>
            <w:vAlign w:val="center"/>
            <w:hideMark/>
          </w:tcPr>
          <w:p w14:paraId="13469910" w14:textId="77777777" w:rsidR="00000000" w:rsidRDefault="00405D16">
            <w:pPr>
              <w:spacing w:after="100"/>
              <w:rPr>
                <w:rFonts w:eastAsia="Times New Roman"/>
                <w:sz w:val="20"/>
                <w:szCs w:val="20"/>
              </w:rPr>
            </w:pPr>
          </w:p>
        </w:tc>
        <w:tc>
          <w:tcPr>
            <w:tcW w:w="5" w:type="pct"/>
            <w:vAlign w:val="center"/>
            <w:hideMark/>
          </w:tcPr>
          <w:p w14:paraId="166AAE4B" w14:textId="77777777" w:rsidR="00000000" w:rsidRDefault="00405D16">
            <w:pPr>
              <w:spacing w:after="100"/>
              <w:rPr>
                <w:rFonts w:eastAsia="Times New Roman"/>
                <w:sz w:val="20"/>
                <w:szCs w:val="20"/>
              </w:rPr>
            </w:pPr>
          </w:p>
        </w:tc>
        <w:tc>
          <w:tcPr>
            <w:tcW w:w="26" w:type="pct"/>
            <w:vAlign w:val="center"/>
            <w:hideMark/>
          </w:tcPr>
          <w:p w14:paraId="15AD1E8F" w14:textId="77777777" w:rsidR="00000000" w:rsidRDefault="00405D16">
            <w:pPr>
              <w:spacing w:after="100"/>
              <w:rPr>
                <w:rFonts w:eastAsia="Times New Roman"/>
                <w:sz w:val="20"/>
                <w:szCs w:val="20"/>
              </w:rPr>
            </w:pPr>
          </w:p>
        </w:tc>
        <w:tc>
          <w:tcPr>
            <w:tcW w:w="5" w:type="pct"/>
            <w:vAlign w:val="center"/>
            <w:hideMark/>
          </w:tcPr>
          <w:p w14:paraId="2D7A06FA" w14:textId="77777777" w:rsidR="00000000" w:rsidRDefault="00405D16">
            <w:pPr>
              <w:spacing w:after="100"/>
              <w:rPr>
                <w:rFonts w:eastAsia="Times New Roman"/>
                <w:sz w:val="20"/>
                <w:szCs w:val="20"/>
              </w:rPr>
            </w:pPr>
          </w:p>
        </w:tc>
        <w:tc>
          <w:tcPr>
            <w:tcW w:w="50" w:type="pct"/>
            <w:vAlign w:val="center"/>
            <w:hideMark/>
          </w:tcPr>
          <w:p w14:paraId="3D6A730C" w14:textId="77777777" w:rsidR="00000000" w:rsidRDefault="00405D16">
            <w:pPr>
              <w:spacing w:after="100"/>
              <w:rPr>
                <w:rFonts w:eastAsia="Times New Roman"/>
                <w:sz w:val="20"/>
                <w:szCs w:val="20"/>
              </w:rPr>
            </w:pPr>
          </w:p>
        </w:tc>
        <w:tc>
          <w:tcPr>
            <w:tcW w:w="354" w:type="pct"/>
            <w:vAlign w:val="center"/>
            <w:hideMark/>
          </w:tcPr>
          <w:p w14:paraId="37CC5F1D" w14:textId="77777777" w:rsidR="00000000" w:rsidRDefault="00405D16">
            <w:pPr>
              <w:spacing w:after="100"/>
              <w:rPr>
                <w:rFonts w:eastAsia="Times New Roman"/>
                <w:sz w:val="20"/>
                <w:szCs w:val="20"/>
              </w:rPr>
            </w:pPr>
          </w:p>
        </w:tc>
        <w:tc>
          <w:tcPr>
            <w:tcW w:w="5" w:type="pct"/>
            <w:vAlign w:val="center"/>
            <w:hideMark/>
          </w:tcPr>
          <w:p w14:paraId="3669A783" w14:textId="77777777" w:rsidR="00000000" w:rsidRDefault="00405D16">
            <w:pPr>
              <w:spacing w:after="100"/>
              <w:rPr>
                <w:rFonts w:eastAsia="Times New Roman"/>
                <w:sz w:val="20"/>
                <w:szCs w:val="20"/>
              </w:rPr>
            </w:pPr>
          </w:p>
        </w:tc>
      </w:tr>
      <w:tr w:rsidR="00000000" w14:paraId="2864E20C" w14:textId="77777777">
        <w:tc>
          <w:tcPr>
            <w:tcW w:w="0" w:type="auto"/>
            <w:gridSpan w:val="10"/>
            <w:tcMar>
              <w:top w:w="0" w:type="dxa"/>
              <w:left w:w="20" w:type="dxa"/>
              <w:bottom w:w="0" w:type="dxa"/>
              <w:right w:w="20" w:type="dxa"/>
            </w:tcMar>
            <w:vAlign w:val="center"/>
            <w:hideMark/>
          </w:tcPr>
          <w:p w14:paraId="1B794F7B" w14:textId="77777777" w:rsidR="00000000" w:rsidRDefault="00405D16">
            <w:pPr>
              <w:spacing w:after="100"/>
              <w:rPr>
                <w:rFonts w:eastAsia="Times New Roman"/>
                <w:sz w:val="20"/>
                <w:szCs w:val="20"/>
              </w:rPr>
            </w:pPr>
          </w:p>
        </w:tc>
        <w:tc>
          <w:tcPr>
            <w:tcW w:w="0" w:type="auto"/>
            <w:gridSpan w:val="5"/>
            <w:tcMar>
              <w:top w:w="0" w:type="dxa"/>
              <w:left w:w="20" w:type="dxa"/>
              <w:bottom w:w="0" w:type="dxa"/>
              <w:right w:w="20" w:type="dxa"/>
            </w:tcMar>
            <w:vAlign w:val="center"/>
            <w:hideMark/>
          </w:tcPr>
          <w:p w14:paraId="17EAD0F7" w14:textId="77777777" w:rsidR="00000000" w:rsidRDefault="00405D16">
            <w:pPr>
              <w:spacing w:after="100"/>
              <w:rPr>
                <w:rFonts w:eastAsia="Times New Roman"/>
                <w:sz w:val="20"/>
                <w:szCs w:val="20"/>
              </w:rPr>
            </w:pPr>
          </w:p>
        </w:tc>
        <w:tc>
          <w:tcPr>
            <w:tcW w:w="0" w:type="auto"/>
            <w:gridSpan w:val="110"/>
            <w:tcMar>
              <w:top w:w="30" w:type="dxa"/>
              <w:left w:w="20" w:type="dxa"/>
              <w:bottom w:w="30" w:type="dxa"/>
              <w:right w:w="20" w:type="dxa"/>
            </w:tcMar>
            <w:vAlign w:val="bottom"/>
            <w:hideMark/>
          </w:tcPr>
          <w:p w14:paraId="265F5ECF" w14:textId="77777777" w:rsidR="00000000" w:rsidRDefault="00405D16">
            <w:pPr>
              <w:spacing w:after="100"/>
              <w:jc w:val="center"/>
              <w:rPr>
                <w:rFonts w:eastAsia="Times New Roman"/>
              </w:rPr>
            </w:pPr>
            <w:r>
              <w:rPr>
                <w:rFonts w:eastAsia="Times New Roman"/>
                <w:b/>
                <w:bCs/>
                <w:color w:val="000000"/>
                <w:sz w:val="14"/>
                <w:szCs w:val="14"/>
              </w:rPr>
              <w:t>Fair Value Measurements Using Significant Unobservable Inputs (Level 3)</w:t>
            </w:r>
          </w:p>
        </w:tc>
        <w:tc>
          <w:tcPr>
            <w:tcW w:w="0" w:type="auto"/>
            <w:vAlign w:val="center"/>
            <w:hideMark/>
          </w:tcPr>
          <w:p w14:paraId="33C50530" w14:textId="77777777" w:rsidR="00000000" w:rsidRDefault="00405D16">
            <w:pPr>
              <w:spacing w:after="100"/>
              <w:rPr>
                <w:rFonts w:eastAsia="Times New Roman"/>
                <w:sz w:val="20"/>
                <w:szCs w:val="20"/>
              </w:rPr>
            </w:pPr>
          </w:p>
        </w:tc>
      </w:tr>
      <w:tr w:rsidR="00000000" w14:paraId="5A870667" w14:textId="77777777">
        <w:tc>
          <w:tcPr>
            <w:tcW w:w="0" w:type="auto"/>
            <w:gridSpan w:val="10"/>
            <w:tcMar>
              <w:top w:w="0" w:type="dxa"/>
              <w:left w:w="20" w:type="dxa"/>
              <w:bottom w:w="0" w:type="dxa"/>
              <w:right w:w="20" w:type="dxa"/>
            </w:tcMar>
            <w:vAlign w:val="center"/>
            <w:hideMark/>
          </w:tcPr>
          <w:p w14:paraId="4140B782" w14:textId="77777777" w:rsidR="00000000" w:rsidRDefault="00405D16">
            <w:pPr>
              <w:spacing w:after="100"/>
              <w:jc w:val="center"/>
              <w:rPr>
                <w:rFonts w:eastAsia="Times New Roman"/>
              </w:rPr>
            </w:pPr>
          </w:p>
        </w:tc>
        <w:tc>
          <w:tcPr>
            <w:tcW w:w="0" w:type="auto"/>
            <w:gridSpan w:val="5"/>
            <w:tcMar>
              <w:top w:w="0" w:type="dxa"/>
              <w:left w:w="20" w:type="dxa"/>
              <w:bottom w:w="0" w:type="dxa"/>
              <w:right w:w="20" w:type="dxa"/>
            </w:tcMar>
            <w:vAlign w:val="center"/>
            <w:hideMark/>
          </w:tcPr>
          <w:p w14:paraId="6ACCC533" w14:textId="77777777" w:rsidR="00000000" w:rsidRDefault="00405D16">
            <w:pPr>
              <w:spacing w:after="100"/>
              <w:rPr>
                <w:rFonts w:eastAsia="Times New Roman"/>
                <w:sz w:val="20"/>
                <w:szCs w:val="20"/>
              </w:rPr>
            </w:pPr>
          </w:p>
        </w:tc>
        <w:tc>
          <w:tcPr>
            <w:tcW w:w="0" w:type="auto"/>
            <w:gridSpan w:val="110"/>
            <w:tcMar>
              <w:top w:w="30" w:type="dxa"/>
              <w:left w:w="20" w:type="dxa"/>
              <w:bottom w:w="30" w:type="dxa"/>
              <w:right w:w="20" w:type="dxa"/>
            </w:tcMar>
            <w:vAlign w:val="bottom"/>
            <w:hideMark/>
          </w:tcPr>
          <w:p w14:paraId="4CB62099" w14:textId="77777777" w:rsidR="00000000" w:rsidRDefault="00405D16">
            <w:pPr>
              <w:spacing w:after="100"/>
              <w:jc w:val="center"/>
              <w:rPr>
                <w:rFonts w:eastAsia="Times New Roman"/>
              </w:rPr>
            </w:pPr>
            <w:r>
              <w:rPr>
                <w:rFonts w:eastAsia="Times New Roman"/>
                <w:b/>
                <w:bCs/>
                <w:color w:val="000000"/>
                <w:sz w:val="14"/>
                <w:szCs w:val="14"/>
              </w:rPr>
              <w:t>Nine Months Ended September 30, 2020</w:t>
            </w:r>
          </w:p>
        </w:tc>
        <w:tc>
          <w:tcPr>
            <w:tcW w:w="0" w:type="auto"/>
            <w:vAlign w:val="center"/>
            <w:hideMark/>
          </w:tcPr>
          <w:p w14:paraId="020D7D28" w14:textId="77777777" w:rsidR="00000000" w:rsidRDefault="00405D16">
            <w:pPr>
              <w:spacing w:after="100"/>
              <w:rPr>
                <w:rFonts w:eastAsia="Times New Roman"/>
                <w:sz w:val="20"/>
                <w:szCs w:val="20"/>
              </w:rPr>
            </w:pPr>
          </w:p>
        </w:tc>
      </w:tr>
      <w:tr w:rsidR="00000000" w14:paraId="2737D490" w14:textId="77777777">
        <w:trPr>
          <w:trHeight w:val="300"/>
        </w:trPr>
        <w:tc>
          <w:tcPr>
            <w:tcW w:w="0" w:type="auto"/>
            <w:gridSpan w:val="10"/>
            <w:tcMar>
              <w:top w:w="0" w:type="dxa"/>
              <w:left w:w="20" w:type="dxa"/>
              <w:bottom w:w="0" w:type="dxa"/>
              <w:right w:w="20" w:type="dxa"/>
            </w:tcMar>
            <w:vAlign w:val="center"/>
            <w:hideMark/>
          </w:tcPr>
          <w:p w14:paraId="090D70F8" w14:textId="77777777" w:rsidR="00000000" w:rsidRDefault="00405D16">
            <w:pPr>
              <w:spacing w:after="100"/>
              <w:jc w:val="center"/>
              <w:rPr>
                <w:rFonts w:eastAsia="Times New Roman"/>
              </w:rPr>
            </w:pPr>
          </w:p>
        </w:tc>
        <w:tc>
          <w:tcPr>
            <w:tcW w:w="0" w:type="auto"/>
            <w:gridSpan w:val="5"/>
            <w:tcMar>
              <w:top w:w="0" w:type="dxa"/>
              <w:left w:w="20" w:type="dxa"/>
              <w:bottom w:w="0" w:type="dxa"/>
              <w:right w:w="20" w:type="dxa"/>
            </w:tcMar>
            <w:vAlign w:val="center"/>
            <w:hideMark/>
          </w:tcPr>
          <w:p w14:paraId="63B39283" w14:textId="77777777" w:rsidR="00000000" w:rsidRDefault="00405D16">
            <w:pPr>
              <w:spacing w:after="100"/>
              <w:rPr>
                <w:rFonts w:eastAsia="Times New Roman"/>
                <w:sz w:val="20"/>
                <w:szCs w:val="20"/>
              </w:rPr>
            </w:pPr>
          </w:p>
        </w:tc>
        <w:tc>
          <w:tcPr>
            <w:tcW w:w="0" w:type="auto"/>
            <w:gridSpan w:val="10"/>
            <w:tcBorders>
              <w:top w:val="single" w:sz="8" w:space="0" w:color="000000"/>
            </w:tcBorders>
            <w:tcMar>
              <w:top w:w="0" w:type="dxa"/>
              <w:left w:w="20" w:type="dxa"/>
              <w:bottom w:w="0" w:type="dxa"/>
              <w:right w:w="20" w:type="dxa"/>
            </w:tcMar>
            <w:vAlign w:val="center"/>
            <w:hideMark/>
          </w:tcPr>
          <w:p w14:paraId="7B08A32C" w14:textId="77777777" w:rsidR="00000000" w:rsidRDefault="00405D16">
            <w:pPr>
              <w:spacing w:after="100"/>
              <w:rPr>
                <w:rFonts w:eastAsia="Times New Roman"/>
                <w:sz w:val="20"/>
                <w:szCs w:val="20"/>
              </w:rPr>
            </w:pPr>
          </w:p>
        </w:tc>
        <w:tc>
          <w:tcPr>
            <w:tcW w:w="0" w:type="auto"/>
            <w:gridSpan w:val="6"/>
            <w:tcBorders>
              <w:top w:val="single" w:sz="8" w:space="0" w:color="000000"/>
            </w:tcBorders>
            <w:tcMar>
              <w:top w:w="0" w:type="dxa"/>
              <w:left w:w="20" w:type="dxa"/>
              <w:bottom w:w="0" w:type="dxa"/>
              <w:right w:w="20" w:type="dxa"/>
            </w:tcMar>
            <w:vAlign w:val="center"/>
            <w:hideMark/>
          </w:tcPr>
          <w:p w14:paraId="1568CB4B" w14:textId="77777777" w:rsidR="00000000" w:rsidRDefault="00405D16">
            <w:pPr>
              <w:spacing w:after="100"/>
              <w:rPr>
                <w:rFonts w:eastAsia="Times New Roman"/>
                <w:sz w:val="20"/>
                <w:szCs w:val="20"/>
              </w:rPr>
            </w:pPr>
          </w:p>
        </w:tc>
        <w:tc>
          <w:tcPr>
            <w:tcW w:w="0" w:type="auto"/>
            <w:gridSpan w:val="27"/>
            <w:tcBorders>
              <w:top w:val="single" w:sz="8" w:space="0" w:color="000000"/>
            </w:tcBorders>
            <w:tcMar>
              <w:top w:w="30" w:type="dxa"/>
              <w:left w:w="20" w:type="dxa"/>
              <w:bottom w:w="30" w:type="dxa"/>
              <w:right w:w="20" w:type="dxa"/>
            </w:tcMar>
            <w:vAlign w:val="bottom"/>
            <w:hideMark/>
          </w:tcPr>
          <w:p w14:paraId="704BBCE8" w14:textId="77777777" w:rsidR="00000000" w:rsidRDefault="00405D16">
            <w:pPr>
              <w:spacing w:after="100"/>
              <w:jc w:val="center"/>
              <w:rPr>
                <w:rFonts w:eastAsia="Times New Roman"/>
              </w:rPr>
            </w:pPr>
            <w:r>
              <w:rPr>
                <w:rFonts w:eastAsia="Times New Roman"/>
                <w:b/>
                <w:bCs/>
                <w:color w:val="000000"/>
                <w:sz w:val="12"/>
                <w:szCs w:val="12"/>
              </w:rPr>
              <w:t>Total Gains (Losses)</w:t>
            </w:r>
            <w:r>
              <w:rPr>
                <w:rFonts w:eastAsia="Times New Roman"/>
                <w:b/>
                <w:bCs/>
                <w:color w:val="000000"/>
                <w:sz w:val="12"/>
                <w:szCs w:val="12"/>
              </w:rPr>
              <w:br/>
              <w:t>(Realized/Unrealized)</w:t>
            </w:r>
          </w:p>
        </w:tc>
        <w:tc>
          <w:tcPr>
            <w:tcW w:w="0" w:type="auto"/>
            <w:gridSpan w:val="8"/>
            <w:tcBorders>
              <w:top w:val="single" w:sz="8" w:space="0" w:color="000000"/>
            </w:tcBorders>
            <w:tcMar>
              <w:top w:w="0" w:type="dxa"/>
              <w:left w:w="20" w:type="dxa"/>
              <w:bottom w:w="0" w:type="dxa"/>
              <w:right w:w="20" w:type="dxa"/>
            </w:tcMar>
            <w:vAlign w:val="center"/>
            <w:hideMark/>
          </w:tcPr>
          <w:p w14:paraId="249B071F" w14:textId="77777777" w:rsidR="00000000" w:rsidRDefault="00405D16">
            <w:pPr>
              <w:spacing w:after="100"/>
              <w:jc w:val="center"/>
              <w:rPr>
                <w:rFonts w:eastAsia="Times New Roman"/>
              </w:rPr>
            </w:pPr>
          </w:p>
        </w:tc>
        <w:tc>
          <w:tcPr>
            <w:tcW w:w="0" w:type="auto"/>
            <w:gridSpan w:val="7"/>
            <w:tcBorders>
              <w:top w:val="single" w:sz="8" w:space="0" w:color="000000"/>
            </w:tcBorders>
            <w:tcMar>
              <w:top w:w="0" w:type="dxa"/>
              <w:left w:w="20" w:type="dxa"/>
              <w:bottom w:w="0" w:type="dxa"/>
              <w:right w:w="20" w:type="dxa"/>
            </w:tcMar>
            <w:vAlign w:val="center"/>
            <w:hideMark/>
          </w:tcPr>
          <w:p w14:paraId="6A6CE708" w14:textId="77777777" w:rsidR="00000000" w:rsidRDefault="00405D16">
            <w:pPr>
              <w:spacing w:after="100"/>
              <w:rPr>
                <w:rFonts w:eastAsia="Times New Roman"/>
                <w:sz w:val="20"/>
                <w:szCs w:val="20"/>
              </w:rPr>
            </w:pPr>
          </w:p>
        </w:tc>
        <w:tc>
          <w:tcPr>
            <w:tcW w:w="0" w:type="auto"/>
            <w:gridSpan w:val="6"/>
            <w:tcBorders>
              <w:top w:val="single" w:sz="8" w:space="0" w:color="000000"/>
            </w:tcBorders>
            <w:tcMar>
              <w:top w:w="0" w:type="dxa"/>
              <w:left w:w="20" w:type="dxa"/>
              <w:bottom w:w="0" w:type="dxa"/>
              <w:right w:w="20" w:type="dxa"/>
            </w:tcMar>
            <w:vAlign w:val="center"/>
            <w:hideMark/>
          </w:tcPr>
          <w:p w14:paraId="6EE815A4" w14:textId="77777777" w:rsidR="00000000" w:rsidRDefault="00405D16">
            <w:pPr>
              <w:spacing w:after="100"/>
              <w:rPr>
                <w:rFonts w:eastAsia="Times New Roman"/>
                <w:sz w:val="20"/>
                <w:szCs w:val="20"/>
              </w:rPr>
            </w:pPr>
          </w:p>
        </w:tc>
        <w:tc>
          <w:tcPr>
            <w:tcW w:w="0" w:type="auto"/>
            <w:gridSpan w:val="9"/>
            <w:tcBorders>
              <w:top w:val="single" w:sz="8" w:space="0" w:color="000000"/>
            </w:tcBorders>
            <w:tcMar>
              <w:top w:w="0" w:type="dxa"/>
              <w:left w:w="20" w:type="dxa"/>
              <w:bottom w:w="0" w:type="dxa"/>
              <w:right w:w="20" w:type="dxa"/>
            </w:tcMar>
            <w:vAlign w:val="center"/>
            <w:hideMark/>
          </w:tcPr>
          <w:p w14:paraId="58931875" w14:textId="77777777" w:rsidR="00000000" w:rsidRDefault="00405D16">
            <w:pPr>
              <w:spacing w:after="100"/>
              <w:rPr>
                <w:rFonts w:eastAsia="Times New Roman"/>
                <w:sz w:val="20"/>
                <w:szCs w:val="20"/>
              </w:rPr>
            </w:pPr>
          </w:p>
        </w:tc>
        <w:tc>
          <w:tcPr>
            <w:tcW w:w="0" w:type="auto"/>
            <w:gridSpan w:val="8"/>
            <w:tcBorders>
              <w:top w:val="single" w:sz="8" w:space="0" w:color="000000"/>
            </w:tcBorders>
            <w:tcMar>
              <w:top w:w="0" w:type="dxa"/>
              <w:left w:w="20" w:type="dxa"/>
              <w:bottom w:w="0" w:type="dxa"/>
              <w:right w:w="20" w:type="dxa"/>
            </w:tcMar>
            <w:vAlign w:val="center"/>
            <w:hideMark/>
          </w:tcPr>
          <w:p w14:paraId="1E1E1F4A" w14:textId="77777777" w:rsidR="00000000" w:rsidRDefault="00405D16">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14:paraId="04A32B1C" w14:textId="77777777" w:rsidR="00000000" w:rsidRDefault="00405D16">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14:paraId="02B980C1" w14:textId="77777777" w:rsidR="00000000" w:rsidRDefault="00405D16">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14:paraId="218D2CB4"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FF8BEE6"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4C04F4D"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0AF1D55"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9050FFB"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24302AC" w14:textId="77777777" w:rsidR="00000000" w:rsidRDefault="00405D16">
            <w:pPr>
              <w:spacing w:after="100"/>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14:paraId="6FCA6F4D" w14:textId="77777777" w:rsidR="00000000" w:rsidRDefault="00405D16">
            <w:pPr>
              <w:spacing w:after="100"/>
              <w:rPr>
                <w:rFonts w:eastAsia="Times New Roman"/>
                <w:sz w:val="20"/>
                <w:szCs w:val="20"/>
              </w:rPr>
            </w:pPr>
          </w:p>
        </w:tc>
        <w:tc>
          <w:tcPr>
            <w:tcW w:w="0" w:type="auto"/>
            <w:tcBorders>
              <w:top w:val="single" w:sz="8" w:space="0" w:color="000000"/>
            </w:tcBorders>
            <w:tcMar>
              <w:top w:w="0" w:type="dxa"/>
              <w:left w:w="20" w:type="dxa"/>
              <w:bottom w:w="0" w:type="dxa"/>
              <w:right w:w="20" w:type="dxa"/>
            </w:tcMar>
            <w:vAlign w:val="center"/>
            <w:hideMark/>
          </w:tcPr>
          <w:p w14:paraId="441CCF9D" w14:textId="77777777" w:rsidR="00000000" w:rsidRDefault="00405D16">
            <w:pPr>
              <w:spacing w:after="100"/>
              <w:jc w:val="center"/>
              <w:rPr>
                <w:rFonts w:eastAsia="Times New Roman"/>
              </w:rPr>
            </w:pPr>
            <w:r>
              <w:rPr>
                <w:rFonts w:eastAsia="Times New Roman"/>
                <w:b/>
                <w:bCs/>
                <w:color w:val="000000"/>
                <w:sz w:val="12"/>
                <w:szCs w:val="12"/>
              </w:rPr>
              <w:t xml:space="preserve">Net Unrealized Gains (Losses) Included in Net Income Related to Assets and Liabilities Still Held as of </w:t>
            </w:r>
          </w:p>
          <w:p w14:paraId="20559094" w14:textId="77777777" w:rsidR="00000000" w:rsidRDefault="00405D16">
            <w:pPr>
              <w:spacing w:after="100"/>
              <w:jc w:val="center"/>
              <w:rPr>
                <w:rFonts w:eastAsia="Times New Roman"/>
              </w:rPr>
            </w:pPr>
            <w:r>
              <w:rPr>
                <w:rFonts w:eastAsia="Times New Roman"/>
                <w:b/>
                <w:bCs/>
                <w:color w:val="000000"/>
                <w:sz w:val="12"/>
                <w:szCs w:val="12"/>
              </w:rPr>
              <w:t>September 30, 202</w:t>
            </w:r>
            <w:r>
              <w:rPr>
                <w:rFonts w:eastAsia="Times New Roman"/>
                <w:b/>
                <w:bCs/>
                <w:color w:val="000000"/>
                <w:sz w:val="12"/>
                <w:szCs w:val="12"/>
              </w:rPr>
              <w:t>0</w:t>
            </w:r>
            <w:r>
              <w:rPr>
                <w:rFonts w:eastAsia="Times New Roman"/>
                <w:b/>
                <w:bCs/>
                <w:color w:val="000000"/>
                <w:sz w:val="8"/>
                <w:szCs w:val="8"/>
              </w:rPr>
              <w:t>(1</w:t>
            </w:r>
            <w:r>
              <w:rPr>
                <w:rFonts w:eastAsia="Times New Roman"/>
                <w:b/>
                <w:bCs/>
                <w:color w:val="000000"/>
                <w:sz w:val="8"/>
                <w:szCs w:val="8"/>
              </w:rPr>
              <w:t>)</w:t>
            </w:r>
          </w:p>
          <w:p w14:paraId="0D984FBE" w14:textId="77777777" w:rsidR="00000000" w:rsidRDefault="00405D16">
            <w:pPr>
              <w:spacing w:after="100"/>
              <w:jc w:val="center"/>
              <w:rPr>
                <w:rFonts w:eastAsia="Times New Roman"/>
              </w:rPr>
            </w:pPr>
          </w:p>
        </w:tc>
      </w:tr>
      <w:tr w:rsidR="00000000" w14:paraId="49C1FD5E" w14:textId="77777777">
        <w:trPr>
          <w:trHeight w:val="460"/>
        </w:trPr>
        <w:tc>
          <w:tcPr>
            <w:tcW w:w="0" w:type="auto"/>
            <w:gridSpan w:val="10"/>
            <w:tcMar>
              <w:top w:w="30" w:type="dxa"/>
              <w:left w:w="20" w:type="dxa"/>
              <w:bottom w:w="30" w:type="dxa"/>
              <w:right w:w="20" w:type="dxa"/>
            </w:tcMar>
            <w:vAlign w:val="bottom"/>
            <w:hideMark/>
          </w:tcPr>
          <w:p w14:paraId="23E2560E" w14:textId="77777777" w:rsidR="00000000" w:rsidRDefault="00405D16">
            <w:pPr>
              <w:spacing w:after="100"/>
              <w:rPr>
                <w:rFonts w:eastAsia="Times New Roman"/>
              </w:rPr>
            </w:pPr>
            <w:r>
              <w:rPr>
                <w:rFonts w:eastAsia="Times New Roman"/>
                <w:i/>
                <w:iCs/>
                <w:color w:val="000000"/>
                <w:sz w:val="12"/>
                <w:szCs w:val="12"/>
              </w:rPr>
              <w:t>(Dollars in millions)</w:t>
            </w:r>
          </w:p>
        </w:tc>
        <w:tc>
          <w:tcPr>
            <w:tcW w:w="0" w:type="auto"/>
            <w:gridSpan w:val="5"/>
            <w:tcMar>
              <w:top w:w="0" w:type="dxa"/>
              <w:left w:w="20" w:type="dxa"/>
              <w:bottom w:w="0" w:type="dxa"/>
              <w:right w:w="20" w:type="dxa"/>
            </w:tcMar>
            <w:vAlign w:val="center"/>
            <w:hideMark/>
          </w:tcPr>
          <w:p w14:paraId="3D0C2456" w14:textId="77777777" w:rsidR="00000000" w:rsidRDefault="00405D16">
            <w:pPr>
              <w:spacing w:after="100"/>
              <w:rPr>
                <w:rFonts w:eastAsia="Times New Roman"/>
              </w:rPr>
            </w:pPr>
          </w:p>
        </w:tc>
        <w:tc>
          <w:tcPr>
            <w:tcW w:w="0" w:type="auto"/>
            <w:gridSpan w:val="10"/>
            <w:tcMar>
              <w:top w:w="30" w:type="dxa"/>
              <w:left w:w="20" w:type="dxa"/>
              <w:bottom w:w="30" w:type="dxa"/>
              <w:right w:w="20" w:type="dxa"/>
            </w:tcMar>
            <w:vAlign w:val="bottom"/>
            <w:hideMark/>
          </w:tcPr>
          <w:p w14:paraId="15DADB80" w14:textId="77777777" w:rsidR="00000000" w:rsidRDefault="00405D16">
            <w:pPr>
              <w:spacing w:after="100"/>
              <w:jc w:val="center"/>
              <w:rPr>
                <w:rFonts w:eastAsia="Times New Roman"/>
              </w:rPr>
            </w:pPr>
            <w:r>
              <w:rPr>
                <w:rFonts w:eastAsia="Times New Roman"/>
                <w:b/>
                <w:bCs/>
                <w:color w:val="000000"/>
                <w:sz w:val="12"/>
                <w:szCs w:val="12"/>
              </w:rPr>
              <w:t>Balance, January 1, 2020</w:t>
            </w:r>
          </w:p>
        </w:tc>
        <w:tc>
          <w:tcPr>
            <w:tcW w:w="0" w:type="auto"/>
            <w:gridSpan w:val="6"/>
            <w:tcMar>
              <w:top w:w="0" w:type="dxa"/>
              <w:left w:w="20" w:type="dxa"/>
              <w:bottom w:w="0" w:type="dxa"/>
              <w:right w:w="20" w:type="dxa"/>
            </w:tcMar>
            <w:vAlign w:val="center"/>
            <w:hideMark/>
          </w:tcPr>
          <w:p w14:paraId="08237254" w14:textId="77777777" w:rsidR="00000000" w:rsidRDefault="00405D16">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52E5B62A" w14:textId="77777777" w:rsidR="00000000" w:rsidRDefault="00405D16">
            <w:pPr>
              <w:spacing w:after="100"/>
              <w:jc w:val="center"/>
              <w:rPr>
                <w:rFonts w:eastAsia="Times New Roman"/>
              </w:rPr>
            </w:pPr>
            <w:r>
              <w:rPr>
                <w:rFonts w:eastAsia="Times New Roman"/>
                <w:b/>
                <w:bCs/>
                <w:color w:val="000000"/>
                <w:sz w:val="12"/>
                <w:szCs w:val="12"/>
              </w:rPr>
              <w:t>Included</w:t>
            </w:r>
          </w:p>
          <w:p w14:paraId="518A4532" w14:textId="77777777" w:rsidR="00000000" w:rsidRDefault="00405D16">
            <w:pPr>
              <w:spacing w:after="100"/>
              <w:jc w:val="center"/>
              <w:rPr>
                <w:rFonts w:eastAsia="Times New Roman"/>
              </w:rPr>
            </w:pPr>
            <w:r>
              <w:rPr>
                <w:rFonts w:eastAsia="Times New Roman"/>
                <w:b/>
                <w:bCs/>
                <w:color w:val="000000"/>
                <w:sz w:val="12"/>
                <w:szCs w:val="12"/>
              </w:rPr>
              <w:t>in Net</w:t>
            </w:r>
          </w:p>
          <w:p w14:paraId="408D6422" w14:textId="77777777" w:rsidR="00000000" w:rsidRDefault="00405D16">
            <w:pPr>
              <w:spacing w:after="100"/>
              <w:jc w:val="center"/>
              <w:rPr>
                <w:rFonts w:eastAsia="Times New Roman"/>
              </w:rPr>
            </w:pPr>
            <w:r>
              <w:rPr>
                <w:rFonts w:eastAsia="Times New Roman"/>
                <w:b/>
                <w:bCs/>
                <w:color w:val="000000"/>
                <w:sz w:val="12"/>
                <w:szCs w:val="12"/>
              </w:rPr>
              <w:t>Incom</w:t>
            </w:r>
            <w:r>
              <w:rPr>
                <w:rFonts w:eastAsia="Times New Roman"/>
                <w:b/>
                <w:bCs/>
                <w:color w:val="000000"/>
                <w:sz w:val="12"/>
                <w:szCs w:val="12"/>
              </w:rPr>
              <w:t>e</w:t>
            </w:r>
            <w:r>
              <w:rPr>
                <w:rFonts w:eastAsia="Times New Roman"/>
                <w:b/>
                <w:bCs/>
                <w:color w:val="000000"/>
                <w:sz w:val="8"/>
                <w:szCs w:val="8"/>
              </w:rPr>
              <w:t>(1</w:t>
            </w:r>
            <w:r>
              <w:rPr>
                <w:rFonts w:eastAsia="Times New Roman"/>
                <w:b/>
                <w:bCs/>
                <w:color w:val="000000"/>
                <w:sz w:val="8"/>
                <w:szCs w:val="8"/>
              </w:rPr>
              <w:t>)</w:t>
            </w:r>
          </w:p>
        </w:tc>
        <w:tc>
          <w:tcPr>
            <w:tcW w:w="0" w:type="auto"/>
            <w:gridSpan w:val="8"/>
            <w:tcBorders>
              <w:top w:val="single" w:sz="8" w:space="0" w:color="000000"/>
            </w:tcBorders>
            <w:tcMar>
              <w:top w:w="0" w:type="dxa"/>
              <w:left w:w="20" w:type="dxa"/>
              <w:bottom w:w="0" w:type="dxa"/>
              <w:right w:w="20" w:type="dxa"/>
            </w:tcMar>
            <w:vAlign w:val="center"/>
            <w:hideMark/>
          </w:tcPr>
          <w:p w14:paraId="0B474572" w14:textId="77777777" w:rsidR="00000000" w:rsidRDefault="00405D16">
            <w:pPr>
              <w:spacing w:after="100"/>
              <w:jc w:val="center"/>
              <w:rPr>
                <w:rFonts w:eastAsia="Times New Roman"/>
              </w:rPr>
            </w:pPr>
          </w:p>
        </w:tc>
        <w:tc>
          <w:tcPr>
            <w:tcW w:w="0" w:type="auto"/>
            <w:gridSpan w:val="10"/>
            <w:tcBorders>
              <w:top w:val="single" w:sz="8" w:space="0" w:color="000000"/>
            </w:tcBorders>
            <w:tcMar>
              <w:top w:w="30" w:type="dxa"/>
              <w:left w:w="20" w:type="dxa"/>
              <w:bottom w:w="30" w:type="dxa"/>
              <w:right w:w="20" w:type="dxa"/>
            </w:tcMar>
            <w:vAlign w:val="bottom"/>
            <w:hideMark/>
          </w:tcPr>
          <w:p w14:paraId="483FD8C4" w14:textId="77777777" w:rsidR="00000000" w:rsidRDefault="00405D16">
            <w:pPr>
              <w:spacing w:after="100"/>
              <w:jc w:val="center"/>
              <w:rPr>
                <w:rFonts w:eastAsia="Times New Roman"/>
              </w:rPr>
            </w:pPr>
            <w:r>
              <w:rPr>
                <w:rFonts w:eastAsia="Times New Roman"/>
                <w:b/>
                <w:bCs/>
                <w:color w:val="000000"/>
                <w:sz w:val="12"/>
                <w:szCs w:val="12"/>
              </w:rPr>
              <w:t>Included in OCI</w:t>
            </w:r>
          </w:p>
        </w:tc>
        <w:tc>
          <w:tcPr>
            <w:tcW w:w="0" w:type="auto"/>
            <w:gridSpan w:val="8"/>
            <w:tcMar>
              <w:top w:w="0" w:type="dxa"/>
              <w:left w:w="20" w:type="dxa"/>
              <w:bottom w:w="0" w:type="dxa"/>
              <w:right w:w="20" w:type="dxa"/>
            </w:tcMar>
            <w:vAlign w:val="center"/>
            <w:hideMark/>
          </w:tcPr>
          <w:p w14:paraId="546BB370" w14:textId="77777777" w:rsidR="00000000" w:rsidRDefault="00405D16">
            <w:pPr>
              <w:spacing w:after="100"/>
              <w:jc w:val="center"/>
              <w:rPr>
                <w:rFonts w:eastAsia="Times New Roman"/>
              </w:rPr>
            </w:pPr>
          </w:p>
        </w:tc>
        <w:tc>
          <w:tcPr>
            <w:tcW w:w="0" w:type="auto"/>
            <w:gridSpan w:val="7"/>
            <w:tcMar>
              <w:top w:w="30" w:type="dxa"/>
              <w:left w:w="20" w:type="dxa"/>
              <w:bottom w:w="30" w:type="dxa"/>
              <w:right w:w="20" w:type="dxa"/>
            </w:tcMar>
            <w:vAlign w:val="bottom"/>
            <w:hideMark/>
          </w:tcPr>
          <w:p w14:paraId="42CFC088" w14:textId="77777777" w:rsidR="00000000" w:rsidRDefault="00405D16">
            <w:pPr>
              <w:spacing w:after="100"/>
              <w:jc w:val="center"/>
              <w:rPr>
                <w:rFonts w:eastAsia="Times New Roman"/>
              </w:rPr>
            </w:pPr>
            <w:r>
              <w:rPr>
                <w:rFonts w:eastAsia="Times New Roman"/>
                <w:b/>
                <w:bCs/>
                <w:color w:val="000000"/>
                <w:sz w:val="12"/>
                <w:szCs w:val="12"/>
              </w:rPr>
              <w:t>Purchases</w:t>
            </w:r>
          </w:p>
        </w:tc>
        <w:tc>
          <w:tcPr>
            <w:tcW w:w="0" w:type="auto"/>
            <w:gridSpan w:val="6"/>
            <w:tcMar>
              <w:top w:w="0" w:type="dxa"/>
              <w:left w:w="20" w:type="dxa"/>
              <w:bottom w:w="0" w:type="dxa"/>
              <w:right w:w="20" w:type="dxa"/>
            </w:tcMar>
            <w:vAlign w:val="center"/>
            <w:hideMark/>
          </w:tcPr>
          <w:p w14:paraId="3719EA03" w14:textId="77777777" w:rsidR="00000000" w:rsidRDefault="00405D1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78334F4D" w14:textId="77777777" w:rsidR="00000000" w:rsidRDefault="00405D16">
            <w:pPr>
              <w:spacing w:after="100"/>
              <w:jc w:val="center"/>
              <w:rPr>
                <w:rFonts w:eastAsia="Times New Roman"/>
              </w:rPr>
            </w:pPr>
            <w:r>
              <w:rPr>
                <w:rFonts w:eastAsia="Times New Roman"/>
                <w:b/>
                <w:bCs/>
                <w:color w:val="000000"/>
                <w:sz w:val="12"/>
                <w:szCs w:val="12"/>
              </w:rPr>
              <w:t>Sales</w:t>
            </w:r>
          </w:p>
        </w:tc>
        <w:tc>
          <w:tcPr>
            <w:tcW w:w="0" w:type="auto"/>
            <w:gridSpan w:val="8"/>
            <w:tcMar>
              <w:top w:w="0" w:type="dxa"/>
              <w:left w:w="20" w:type="dxa"/>
              <w:bottom w:w="0" w:type="dxa"/>
              <w:right w:w="20" w:type="dxa"/>
            </w:tcMar>
            <w:vAlign w:val="center"/>
            <w:hideMark/>
          </w:tcPr>
          <w:p w14:paraId="6376317C" w14:textId="77777777" w:rsidR="00000000" w:rsidRDefault="00405D16">
            <w:pPr>
              <w:spacing w:after="100"/>
              <w:jc w:val="center"/>
              <w:rPr>
                <w:rFonts w:eastAsia="Times New Roman"/>
              </w:rPr>
            </w:pPr>
          </w:p>
        </w:tc>
        <w:tc>
          <w:tcPr>
            <w:tcW w:w="0" w:type="auto"/>
            <w:gridSpan w:val="4"/>
            <w:tcMar>
              <w:top w:w="30" w:type="dxa"/>
              <w:left w:w="20" w:type="dxa"/>
              <w:bottom w:w="30" w:type="dxa"/>
              <w:right w:w="20" w:type="dxa"/>
            </w:tcMar>
            <w:vAlign w:val="bottom"/>
            <w:hideMark/>
          </w:tcPr>
          <w:p w14:paraId="48554D45" w14:textId="77777777" w:rsidR="00000000" w:rsidRDefault="00405D16">
            <w:pPr>
              <w:spacing w:after="100"/>
              <w:jc w:val="center"/>
              <w:rPr>
                <w:rFonts w:eastAsia="Times New Roman"/>
              </w:rPr>
            </w:pPr>
            <w:r>
              <w:rPr>
                <w:rFonts w:eastAsia="Times New Roman"/>
                <w:b/>
                <w:bCs/>
                <w:color w:val="000000"/>
                <w:sz w:val="12"/>
                <w:szCs w:val="12"/>
              </w:rPr>
              <w:t>Issuances</w:t>
            </w:r>
          </w:p>
        </w:tc>
        <w:tc>
          <w:tcPr>
            <w:tcW w:w="0" w:type="auto"/>
            <w:gridSpan w:val="4"/>
            <w:tcMar>
              <w:top w:w="0" w:type="dxa"/>
              <w:left w:w="20" w:type="dxa"/>
              <w:bottom w:w="0" w:type="dxa"/>
              <w:right w:w="20" w:type="dxa"/>
            </w:tcMar>
            <w:vAlign w:val="center"/>
            <w:hideMark/>
          </w:tcPr>
          <w:p w14:paraId="0B822723" w14:textId="77777777" w:rsidR="00000000" w:rsidRDefault="00405D16">
            <w:pPr>
              <w:spacing w:after="100"/>
              <w:jc w:val="center"/>
              <w:rPr>
                <w:rFonts w:eastAsia="Times New Roman"/>
              </w:rPr>
            </w:pPr>
          </w:p>
        </w:tc>
        <w:tc>
          <w:tcPr>
            <w:tcW w:w="0" w:type="auto"/>
            <w:gridSpan w:val="4"/>
            <w:tcMar>
              <w:top w:w="30" w:type="dxa"/>
              <w:left w:w="20" w:type="dxa"/>
              <w:bottom w:w="30" w:type="dxa"/>
              <w:right w:w="20" w:type="dxa"/>
            </w:tcMar>
            <w:vAlign w:val="bottom"/>
            <w:hideMark/>
          </w:tcPr>
          <w:p w14:paraId="1B241FBE" w14:textId="77777777" w:rsidR="00000000" w:rsidRDefault="00405D16">
            <w:pPr>
              <w:spacing w:after="100"/>
              <w:jc w:val="center"/>
              <w:rPr>
                <w:rFonts w:eastAsia="Times New Roman"/>
              </w:rPr>
            </w:pPr>
            <w:r>
              <w:rPr>
                <w:rFonts w:eastAsia="Times New Roman"/>
                <w:b/>
                <w:bCs/>
                <w:color w:val="000000"/>
                <w:sz w:val="12"/>
                <w:szCs w:val="12"/>
              </w:rPr>
              <w:t>Settlements</w:t>
            </w:r>
          </w:p>
        </w:tc>
        <w:tc>
          <w:tcPr>
            <w:tcW w:w="0" w:type="auto"/>
            <w:gridSpan w:val="3"/>
            <w:tcMar>
              <w:top w:w="0" w:type="dxa"/>
              <w:left w:w="20" w:type="dxa"/>
              <w:bottom w:w="0" w:type="dxa"/>
              <w:right w:w="20" w:type="dxa"/>
            </w:tcMar>
            <w:vAlign w:val="center"/>
            <w:hideMark/>
          </w:tcPr>
          <w:p w14:paraId="53E26E13"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0A5B5A1" w14:textId="77777777" w:rsidR="00000000" w:rsidRDefault="00405D16">
            <w:pPr>
              <w:spacing w:after="100"/>
              <w:jc w:val="center"/>
              <w:rPr>
                <w:rFonts w:eastAsia="Times New Roman"/>
              </w:rPr>
            </w:pPr>
            <w:r>
              <w:rPr>
                <w:rFonts w:eastAsia="Times New Roman"/>
                <w:b/>
                <w:bCs/>
                <w:color w:val="000000"/>
                <w:sz w:val="12"/>
                <w:szCs w:val="12"/>
              </w:rPr>
              <w:t>Transfers</w:t>
            </w:r>
            <w:r>
              <w:rPr>
                <w:rFonts w:eastAsia="Times New Roman"/>
                <w:b/>
                <w:bCs/>
                <w:color w:val="000000"/>
                <w:sz w:val="12"/>
                <w:szCs w:val="12"/>
              </w:rPr>
              <w:br/>
              <w:t>Into</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14:paraId="6035BC73"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88B7540" w14:textId="77777777" w:rsidR="00000000" w:rsidRDefault="00405D16">
            <w:pPr>
              <w:spacing w:after="100"/>
              <w:jc w:val="center"/>
              <w:rPr>
                <w:rFonts w:eastAsia="Times New Roman"/>
              </w:rPr>
            </w:pPr>
            <w:r>
              <w:rPr>
                <w:rFonts w:eastAsia="Times New Roman"/>
                <w:b/>
                <w:bCs/>
                <w:color w:val="000000"/>
                <w:sz w:val="12"/>
                <w:szCs w:val="12"/>
              </w:rPr>
              <w:t>Transfers</w:t>
            </w:r>
            <w:r>
              <w:rPr>
                <w:rFonts w:eastAsia="Times New Roman"/>
                <w:b/>
                <w:bCs/>
                <w:color w:val="000000"/>
                <w:sz w:val="12"/>
                <w:szCs w:val="12"/>
              </w:rPr>
              <w:br/>
              <w:t>Out of</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14:paraId="691DDA2F" w14:textId="77777777" w:rsidR="00000000" w:rsidRDefault="00405D16">
            <w:pPr>
              <w:spacing w:after="100"/>
              <w:jc w:val="center"/>
              <w:rPr>
                <w:rFonts w:eastAsia="Times New Roman"/>
              </w:rPr>
            </w:pPr>
          </w:p>
        </w:tc>
        <w:tc>
          <w:tcPr>
            <w:tcW w:w="0" w:type="auto"/>
            <w:gridSpan w:val="2"/>
            <w:tcMar>
              <w:top w:w="30" w:type="dxa"/>
              <w:left w:w="20" w:type="dxa"/>
              <w:bottom w:w="30" w:type="dxa"/>
              <w:right w:w="20" w:type="dxa"/>
            </w:tcMar>
            <w:vAlign w:val="bottom"/>
            <w:hideMark/>
          </w:tcPr>
          <w:p w14:paraId="39483748" w14:textId="77777777" w:rsidR="00000000" w:rsidRDefault="00405D16">
            <w:pPr>
              <w:spacing w:after="100"/>
              <w:jc w:val="center"/>
              <w:rPr>
                <w:rFonts w:eastAsia="Times New Roman"/>
              </w:rPr>
            </w:pPr>
            <w:r>
              <w:rPr>
                <w:rFonts w:eastAsia="Times New Roman"/>
                <w:b/>
                <w:bCs/>
                <w:color w:val="000000"/>
                <w:sz w:val="12"/>
                <w:szCs w:val="12"/>
              </w:rPr>
              <w:t>Balance, September 30, 2020</w:t>
            </w:r>
          </w:p>
        </w:tc>
        <w:tc>
          <w:tcPr>
            <w:tcW w:w="0" w:type="auto"/>
            <w:tcMar>
              <w:top w:w="0" w:type="dxa"/>
              <w:left w:w="20" w:type="dxa"/>
              <w:bottom w:w="0" w:type="dxa"/>
              <w:right w:w="20" w:type="dxa"/>
            </w:tcMar>
            <w:vAlign w:val="center"/>
            <w:hideMark/>
          </w:tcPr>
          <w:p w14:paraId="227DA8D0" w14:textId="77777777" w:rsidR="00000000" w:rsidRDefault="00405D16">
            <w:pPr>
              <w:spacing w:after="100"/>
              <w:jc w:val="center"/>
              <w:rPr>
                <w:rFonts w:eastAsia="Times New Roman"/>
              </w:rPr>
            </w:pPr>
          </w:p>
        </w:tc>
      </w:tr>
      <w:tr w:rsidR="00000000" w14:paraId="5A70AA43" w14:textId="77777777">
        <w:tc>
          <w:tcPr>
            <w:tcW w:w="0" w:type="auto"/>
            <w:gridSpan w:val="10"/>
            <w:tcBorders>
              <w:top w:val="single" w:sz="8" w:space="0" w:color="000000"/>
            </w:tcBorders>
            <w:shd w:val="clear" w:color="auto" w:fill="CCEEFF"/>
            <w:tcMar>
              <w:top w:w="30" w:type="dxa"/>
              <w:left w:w="20" w:type="dxa"/>
              <w:bottom w:w="30" w:type="dxa"/>
              <w:right w:w="20" w:type="dxa"/>
            </w:tcMar>
            <w:vAlign w:val="center"/>
            <w:hideMark/>
          </w:tcPr>
          <w:p w14:paraId="3221D5C4" w14:textId="77777777" w:rsidR="00000000" w:rsidRDefault="00405D16">
            <w:pPr>
              <w:spacing w:after="100"/>
              <w:divId w:val="1252397552"/>
              <w:rPr>
                <w:rFonts w:eastAsia="Times New Roman"/>
              </w:rPr>
            </w:pPr>
            <w:r>
              <w:rPr>
                <w:rFonts w:eastAsia="Times New Roman"/>
                <w:color w:val="000000"/>
                <w:sz w:val="18"/>
                <w:szCs w:val="18"/>
              </w:rPr>
              <w:t>Securities available for sale</w:t>
            </w:r>
            <w:r>
              <w:rPr>
                <w:rFonts w:eastAsia="Times New Roman"/>
                <w:color w:val="000000"/>
                <w:sz w:val="18"/>
                <w:szCs w:val="18"/>
              </w:rPr>
              <w:t>:</w:t>
            </w:r>
            <w:r>
              <w:rPr>
                <w:rFonts w:eastAsia="Times New Roman"/>
                <w:color w:val="000000"/>
                <w:sz w:val="12"/>
                <w:szCs w:val="12"/>
              </w:rPr>
              <w:t>(2)(3</w:t>
            </w:r>
            <w:r>
              <w:rPr>
                <w:rFonts w:eastAsia="Times New Roman"/>
                <w:color w:val="000000"/>
                <w:sz w:val="12"/>
                <w:szCs w:val="12"/>
              </w:rPr>
              <w:t>)</w:t>
            </w:r>
          </w:p>
        </w:tc>
        <w:tc>
          <w:tcPr>
            <w:tcW w:w="0" w:type="auto"/>
            <w:gridSpan w:val="5"/>
            <w:shd w:val="clear" w:color="auto" w:fill="CCEEFF"/>
            <w:tcMar>
              <w:top w:w="0" w:type="dxa"/>
              <w:left w:w="20" w:type="dxa"/>
              <w:bottom w:w="0" w:type="dxa"/>
              <w:right w:w="20" w:type="dxa"/>
            </w:tcMar>
            <w:vAlign w:val="center"/>
            <w:hideMark/>
          </w:tcPr>
          <w:p w14:paraId="57129924" w14:textId="77777777" w:rsidR="00000000" w:rsidRDefault="00405D16">
            <w:pPr>
              <w:spacing w:after="100"/>
              <w:rPr>
                <w:rFonts w:eastAsia="Times New Roman"/>
              </w:rPr>
            </w:pPr>
          </w:p>
        </w:tc>
        <w:tc>
          <w:tcPr>
            <w:tcW w:w="0" w:type="auto"/>
            <w:gridSpan w:val="10"/>
            <w:tcBorders>
              <w:top w:val="single" w:sz="8" w:space="0" w:color="000000"/>
            </w:tcBorders>
            <w:shd w:val="clear" w:color="auto" w:fill="CCEEFF"/>
            <w:tcMar>
              <w:top w:w="0" w:type="dxa"/>
              <w:left w:w="20" w:type="dxa"/>
              <w:bottom w:w="0" w:type="dxa"/>
              <w:right w:w="20" w:type="dxa"/>
            </w:tcMar>
            <w:vAlign w:val="center"/>
            <w:hideMark/>
          </w:tcPr>
          <w:p w14:paraId="7F89EB37" w14:textId="77777777" w:rsidR="00000000" w:rsidRDefault="00405D16">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14:paraId="6911A7D2" w14:textId="77777777" w:rsidR="00000000" w:rsidRDefault="00405D16">
            <w:pPr>
              <w:spacing w:after="100"/>
              <w:rPr>
                <w:rFonts w:eastAsia="Times New Roman"/>
                <w:sz w:val="20"/>
                <w:szCs w:val="20"/>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14:paraId="65601374" w14:textId="77777777" w:rsidR="00000000" w:rsidRDefault="00405D16">
            <w:pPr>
              <w:spacing w:after="100"/>
              <w:rPr>
                <w:rFonts w:eastAsia="Times New Roman"/>
                <w:sz w:val="20"/>
                <w:szCs w:val="20"/>
              </w:rPr>
            </w:pPr>
          </w:p>
        </w:tc>
        <w:tc>
          <w:tcPr>
            <w:tcW w:w="0" w:type="auto"/>
            <w:gridSpan w:val="8"/>
            <w:shd w:val="clear" w:color="auto" w:fill="CCEEFF"/>
            <w:tcMar>
              <w:top w:w="0" w:type="dxa"/>
              <w:left w:w="20" w:type="dxa"/>
              <w:bottom w:w="0" w:type="dxa"/>
              <w:right w:w="20" w:type="dxa"/>
            </w:tcMar>
            <w:vAlign w:val="center"/>
            <w:hideMark/>
          </w:tcPr>
          <w:p w14:paraId="31D7461F" w14:textId="77777777" w:rsidR="00000000" w:rsidRDefault="00405D16">
            <w:pPr>
              <w:spacing w:after="100"/>
              <w:rPr>
                <w:rFonts w:eastAsia="Times New Roman"/>
                <w:sz w:val="20"/>
                <w:szCs w:val="20"/>
              </w:rPr>
            </w:pPr>
          </w:p>
        </w:tc>
        <w:tc>
          <w:tcPr>
            <w:tcW w:w="0" w:type="auto"/>
            <w:gridSpan w:val="10"/>
            <w:tcBorders>
              <w:top w:val="single" w:sz="8" w:space="0" w:color="000000"/>
            </w:tcBorders>
            <w:shd w:val="clear" w:color="auto" w:fill="CCEEFF"/>
            <w:tcMar>
              <w:top w:w="0" w:type="dxa"/>
              <w:left w:w="20" w:type="dxa"/>
              <w:bottom w:w="0" w:type="dxa"/>
              <w:right w:w="20" w:type="dxa"/>
            </w:tcMar>
            <w:vAlign w:val="center"/>
            <w:hideMark/>
          </w:tcPr>
          <w:p w14:paraId="2AA9EC34" w14:textId="77777777" w:rsidR="00000000" w:rsidRDefault="00405D16">
            <w:pPr>
              <w:spacing w:after="100"/>
              <w:rPr>
                <w:rFonts w:eastAsia="Times New Roman"/>
                <w:sz w:val="20"/>
                <w:szCs w:val="20"/>
              </w:rPr>
            </w:pPr>
          </w:p>
        </w:tc>
        <w:tc>
          <w:tcPr>
            <w:tcW w:w="0" w:type="auto"/>
            <w:gridSpan w:val="8"/>
            <w:shd w:val="clear" w:color="auto" w:fill="CCEEFF"/>
            <w:tcMar>
              <w:top w:w="0" w:type="dxa"/>
              <w:left w:w="20" w:type="dxa"/>
              <w:bottom w:w="0" w:type="dxa"/>
              <w:right w:w="20" w:type="dxa"/>
            </w:tcMar>
            <w:vAlign w:val="center"/>
            <w:hideMark/>
          </w:tcPr>
          <w:p w14:paraId="53D751AB" w14:textId="77777777" w:rsidR="00000000" w:rsidRDefault="00405D16">
            <w:pPr>
              <w:spacing w:after="100"/>
              <w:rPr>
                <w:rFonts w:eastAsia="Times New Roman"/>
                <w:sz w:val="20"/>
                <w:szCs w:val="20"/>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14:paraId="0664F19B" w14:textId="77777777" w:rsidR="00000000" w:rsidRDefault="00405D16">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14:paraId="69956AAC" w14:textId="77777777" w:rsidR="00000000" w:rsidRDefault="00405D16">
            <w:pPr>
              <w:spacing w:after="100"/>
              <w:rPr>
                <w:rFonts w:eastAsia="Times New Roman"/>
                <w:sz w:val="20"/>
                <w:szCs w:val="20"/>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14:paraId="242A3E80" w14:textId="77777777" w:rsidR="00000000" w:rsidRDefault="00405D16">
            <w:pPr>
              <w:spacing w:after="100"/>
              <w:rPr>
                <w:rFonts w:eastAsia="Times New Roman"/>
                <w:sz w:val="20"/>
                <w:szCs w:val="20"/>
              </w:rPr>
            </w:pPr>
          </w:p>
        </w:tc>
        <w:tc>
          <w:tcPr>
            <w:tcW w:w="0" w:type="auto"/>
            <w:gridSpan w:val="8"/>
            <w:shd w:val="clear" w:color="auto" w:fill="CCEEFF"/>
            <w:tcMar>
              <w:top w:w="0" w:type="dxa"/>
              <w:left w:w="20" w:type="dxa"/>
              <w:bottom w:w="0" w:type="dxa"/>
              <w:right w:w="20" w:type="dxa"/>
            </w:tcMar>
            <w:vAlign w:val="center"/>
            <w:hideMark/>
          </w:tcPr>
          <w:p w14:paraId="03AC6B34" w14:textId="77777777" w:rsidR="00000000" w:rsidRDefault="00405D16">
            <w:pPr>
              <w:spacing w:after="100"/>
              <w:rPr>
                <w:rFonts w:eastAsia="Times New Roman"/>
                <w:sz w:val="20"/>
                <w:szCs w:val="20"/>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14:paraId="08994DEF"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7C4F8B75" w14:textId="77777777" w:rsidR="00000000" w:rsidRDefault="00405D16">
            <w:pPr>
              <w:spacing w:after="100"/>
              <w:rPr>
                <w:rFonts w:eastAsia="Times New Roman"/>
                <w:sz w:val="20"/>
                <w:szCs w:val="20"/>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14:paraId="12A60C3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2EF4BF"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F6FEC4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C90030"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11936D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588954" w14:textId="77777777" w:rsidR="00000000" w:rsidRDefault="00405D16">
            <w:pPr>
              <w:spacing w:after="100"/>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14:paraId="42992519" w14:textId="77777777" w:rsidR="00000000" w:rsidRDefault="00405D16">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14:paraId="0830FD43" w14:textId="77777777" w:rsidR="00000000" w:rsidRDefault="00405D16">
            <w:pPr>
              <w:spacing w:after="100"/>
              <w:rPr>
                <w:rFonts w:eastAsia="Times New Roman"/>
                <w:sz w:val="20"/>
                <w:szCs w:val="20"/>
              </w:rPr>
            </w:pPr>
          </w:p>
        </w:tc>
      </w:tr>
      <w:tr w:rsidR="00405D16" w14:paraId="5117F2CE" w14:textId="77777777">
        <w:tc>
          <w:tcPr>
            <w:tcW w:w="0" w:type="auto"/>
            <w:gridSpan w:val="10"/>
            <w:shd w:val="clear" w:color="auto" w:fill="FFFFFF"/>
            <w:tcMar>
              <w:top w:w="30" w:type="dxa"/>
              <w:left w:w="245" w:type="dxa"/>
              <w:bottom w:w="30" w:type="dxa"/>
              <w:right w:w="20" w:type="dxa"/>
            </w:tcMar>
            <w:vAlign w:val="center"/>
            <w:hideMark/>
          </w:tcPr>
          <w:p w14:paraId="2F40ABA6" w14:textId="77777777" w:rsidR="00000000" w:rsidRDefault="00405D16">
            <w:pPr>
              <w:spacing w:after="100"/>
              <w:rPr>
                <w:rFonts w:eastAsia="Times New Roman"/>
              </w:rPr>
            </w:pPr>
            <w:r>
              <w:rPr>
                <w:rFonts w:eastAsia="Times New Roman"/>
                <w:color w:val="000000"/>
                <w:sz w:val="16"/>
                <w:szCs w:val="16"/>
              </w:rPr>
              <w:t>RMBS</w:t>
            </w:r>
          </w:p>
        </w:tc>
        <w:tc>
          <w:tcPr>
            <w:tcW w:w="0" w:type="auto"/>
            <w:gridSpan w:val="5"/>
            <w:shd w:val="clear" w:color="auto" w:fill="FFFFFF"/>
            <w:tcMar>
              <w:top w:w="0" w:type="dxa"/>
              <w:left w:w="20" w:type="dxa"/>
              <w:bottom w:w="0" w:type="dxa"/>
              <w:right w:w="20" w:type="dxa"/>
            </w:tcMar>
            <w:vAlign w:val="center"/>
            <w:hideMark/>
          </w:tcPr>
          <w:p w14:paraId="5F05DAF1" w14:textId="77777777" w:rsidR="00000000" w:rsidRDefault="00405D16">
            <w:pPr>
              <w:spacing w:after="100"/>
              <w:rPr>
                <w:rFonts w:eastAsia="Times New Roman"/>
              </w:rPr>
            </w:pPr>
          </w:p>
        </w:tc>
        <w:tc>
          <w:tcPr>
            <w:tcW w:w="0" w:type="auto"/>
            <w:gridSpan w:val="4"/>
            <w:shd w:val="clear" w:color="auto" w:fill="FFFFFF"/>
            <w:tcMar>
              <w:top w:w="30" w:type="dxa"/>
              <w:left w:w="20" w:type="dxa"/>
              <w:bottom w:w="30" w:type="dxa"/>
              <w:right w:w="0" w:type="dxa"/>
            </w:tcMar>
            <w:vAlign w:val="bottom"/>
            <w:hideMark/>
          </w:tcPr>
          <w:p w14:paraId="7EAD2F02" w14:textId="77777777" w:rsidR="00000000" w:rsidRDefault="00405D16">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0" w:type="dxa"/>
            </w:tcMar>
            <w:vAlign w:val="bottom"/>
            <w:hideMark/>
          </w:tcPr>
          <w:p w14:paraId="54F1494D" w14:textId="77777777" w:rsidR="00000000" w:rsidRDefault="00405D16">
            <w:pPr>
              <w:spacing w:after="100"/>
              <w:jc w:val="right"/>
              <w:rPr>
                <w:rFonts w:eastAsia="Times New Roman"/>
              </w:rPr>
            </w:pPr>
            <w:r>
              <w:rPr>
                <w:rFonts w:eastAsia="Times New Roman"/>
                <w:color w:val="000000"/>
                <w:sz w:val="18"/>
                <w:szCs w:val="18"/>
              </w:rPr>
              <w:t>433 </w:t>
            </w:r>
          </w:p>
        </w:tc>
        <w:tc>
          <w:tcPr>
            <w:tcW w:w="0" w:type="auto"/>
            <w:gridSpan w:val="4"/>
            <w:shd w:val="clear" w:color="auto" w:fill="FFFFFF"/>
            <w:tcMar>
              <w:top w:w="30" w:type="dxa"/>
              <w:left w:w="0" w:type="dxa"/>
              <w:bottom w:w="30" w:type="dxa"/>
              <w:right w:w="20" w:type="dxa"/>
            </w:tcMar>
            <w:vAlign w:val="bottom"/>
            <w:hideMark/>
          </w:tcPr>
          <w:p w14:paraId="4795E644" w14:textId="77777777" w:rsidR="00000000" w:rsidRDefault="00405D16">
            <w:pPr>
              <w:spacing w:after="100"/>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14:paraId="5CAF89A1"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53FD7E7" w14:textId="77777777" w:rsidR="00000000" w:rsidRDefault="00405D16">
            <w:pPr>
              <w:spacing w:after="100"/>
              <w:rPr>
                <w:rFonts w:eastAsia="Times New Roman"/>
              </w:rPr>
            </w:pPr>
            <w:r>
              <w:rPr>
                <w:rFonts w:eastAsia="Times New Roman"/>
                <w:color w:val="000000"/>
                <w:sz w:val="18"/>
                <w:szCs w:val="18"/>
              </w:rPr>
              <w:t>$</w:t>
            </w:r>
          </w:p>
        </w:tc>
        <w:tc>
          <w:tcPr>
            <w:tcW w:w="0" w:type="auto"/>
            <w:gridSpan w:val="7"/>
            <w:shd w:val="clear" w:color="auto" w:fill="FFFFFF"/>
            <w:tcMar>
              <w:top w:w="30" w:type="dxa"/>
              <w:left w:w="0" w:type="dxa"/>
              <w:bottom w:w="30" w:type="dxa"/>
              <w:right w:w="0" w:type="dxa"/>
            </w:tcMar>
            <w:vAlign w:val="bottom"/>
            <w:hideMark/>
          </w:tcPr>
          <w:p w14:paraId="0D4AA0C6" w14:textId="77777777" w:rsidR="00000000" w:rsidRDefault="00405D16">
            <w:pPr>
              <w:spacing w:after="100"/>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vAlign w:val="bottom"/>
            <w:hideMark/>
          </w:tcPr>
          <w:p w14:paraId="030675F8" w14:textId="77777777" w:rsidR="00000000" w:rsidRDefault="00405D16">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29E85AC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EE3F4F" w14:textId="77777777" w:rsidR="00000000" w:rsidRDefault="00405D16">
            <w:pPr>
              <w:spacing w:after="100"/>
              <w:rPr>
                <w:rFonts w:eastAsia="Times New Roman"/>
              </w:rPr>
            </w:pPr>
            <w:r>
              <w:rPr>
                <w:rFonts w:eastAsia="Times New Roman"/>
                <w:color w:val="000000"/>
                <w:sz w:val="18"/>
                <w:szCs w:val="18"/>
              </w:rPr>
              <w:t>$</w:t>
            </w:r>
          </w:p>
        </w:tc>
        <w:tc>
          <w:tcPr>
            <w:tcW w:w="0" w:type="auto"/>
            <w:gridSpan w:val="7"/>
            <w:shd w:val="clear" w:color="auto" w:fill="FFFFFF"/>
            <w:tcMar>
              <w:top w:w="30" w:type="dxa"/>
              <w:left w:w="0" w:type="dxa"/>
              <w:bottom w:w="30" w:type="dxa"/>
              <w:right w:w="0" w:type="dxa"/>
            </w:tcMar>
            <w:vAlign w:val="bottom"/>
            <w:hideMark/>
          </w:tcPr>
          <w:p w14:paraId="3BFF9616" w14:textId="77777777" w:rsidR="00000000" w:rsidRDefault="00405D16">
            <w:pPr>
              <w:spacing w:after="100"/>
              <w:jc w:val="right"/>
              <w:rPr>
                <w:rFonts w:eastAsia="Times New Roman"/>
              </w:rPr>
            </w:pPr>
            <w:r>
              <w:rPr>
                <w:rFonts w:eastAsia="Times New Roman"/>
                <w:color w:val="000000"/>
                <w:sz w:val="18"/>
                <w:szCs w:val="18"/>
              </w:rPr>
              <w:t>(21)</w:t>
            </w:r>
          </w:p>
        </w:tc>
        <w:tc>
          <w:tcPr>
            <w:tcW w:w="0" w:type="auto"/>
            <w:shd w:val="clear" w:color="auto" w:fill="FFFFFF"/>
            <w:tcMar>
              <w:top w:w="30" w:type="dxa"/>
              <w:left w:w="0" w:type="dxa"/>
              <w:bottom w:w="30" w:type="dxa"/>
              <w:right w:w="20" w:type="dxa"/>
            </w:tcMar>
            <w:vAlign w:val="bottom"/>
            <w:hideMark/>
          </w:tcPr>
          <w:p w14:paraId="572DA268" w14:textId="77777777" w:rsidR="00000000" w:rsidRDefault="00405D16">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0CBC568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4F9431"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7F4E2E8" w14:textId="77777777" w:rsidR="00000000" w:rsidRDefault="00405D16">
            <w:pPr>
              <w:spacing w:after="100"/>
              <w:jc w:val="right"/>
              <w:rPr>
                <w:rFonts w:eastAsia="Times New Roman"/>
              </w:rPr>
            </w:pPr>
            <w:r>
              <w:rPr>
                <w:rFonts w:eastAsia="Times New Roman"/>
                <w:color w:val="000000"/>
                <w:sz w:val="18"/>
                <w:szCs w:val="18"/>
              </w:rPr>
              <w:t>0 </w:t>
            </w:r>
          </w:p>
        </w:tc>
        <w:tc>
          <w:tcPr>
            <w:tcW w:w="0" w:type="auto"/>
            <w:gridSpan w:val="4"/>
            <w:shd w:val="clear" w:color="auto" w:fill="FFFFFF"/>
            <w:tcMar>
              <w:top w:w="30" w:type="dxa"/>
              <w:left w:w="0" w:type="dxa"/>
              <w:bottom w:w="30" w:type="dxa"/>
              <w:right w:w="20" w:type="dxa"/>
            </w:tcMar>
            <w:vAlign w:val="bottom"/>
            <w:hideMark/>
          </w:tcPr>
          <w:p w14:paraId="08B1C696" w14:textId="77777777" w:rsidR="00000000" w:rsidRDefault="00405D16">
            <w:pPr>
              <w:spacing w:after="100"/>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14:paraId="271C15FA"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B83D51C" w14:textId="77777777" w:rsidR="00000000" w:rsidRDefault="00405D16">
            <w:pPr>
              <w:spacing w:after="100"/>
              <w:rPr>
                <w:rFonts w:eastAsia="Times New Roman"/>
              </w:rPr>
            </w:pPr>
            <w:r>
              <w:rPr>
                <w:rFonts w:eastAsia="Times New Roman"/>
                <w:color w:val="000000"/>
                <w:sz w:val="18"/>
                <w:szCs w:val="18"/>
              </w:rPr>
              <w:t>$</w:t>
            </w:r>
          </w:p>
        </w:tc>
        <w:tc>
          <w:tcPr>
            <w:tcW w:w="0" w:type="auto"/>
            <w:gridSpan w:val="7"/>
            <w:shd w:val="clear" w:color="auto" w:fill="FFFFFF"/>
            <w:tcMar>
              <w:top w:w="30" w:type="dxa"/>
              <w:left w:w="0" w:type="dxa"/>
              <w:bottom w:w="30" w:type="dxa"/>
              <w:right w:w="0" w:type="dxa"/>
            </w:tcMar>
            <w:vAlign w:val="bottom"/>
            <w:hideMark/>
          </w:tcPr>
          <w:p w14:paraId="0B938358"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3522774C" w14:textId="77777777" w:rsidR="00000000" w:rsidRDefault="00405D16">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06477E8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CD7AF8"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8F38750"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019ACE6D"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2AEDCE37"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00CEAAE" w14:textId="77777777" w:rsidR="00000000" w:rsidRDefault="00405D16">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0" w:type="dxa"/>
            </w:tcMar>
            <w:vAlign w:val="bottom"/>
            <w:hideMark/>
          </w:tcPr>
          <w:p w14:paraId="0A93B3E6" w14:textId="77777777" w:rsidR="00000000" w:rsidRDefault="00405D16">
            <w:pPr>
              <w:spacing w:after="100"/>
              <w:jc w:val="right"/>
              <w:rPr>
                <w:rFonts w:eastAsia="Times New Roman"/>
              </w:rPr>
            </w:pPr>
            <w:r>
              <w:rPr>
                <w:rFonts w:eastAsia="Times New Roman"/>
                <w:color w:val="000000"/>
                <w:sz w:val="18"/>
                <w:szCs w:val="18"/>
              </w:rPr>
              <w:t>(55)</w:t>
            </w:r>
          </w:p>
        </w:tc>
        <w:tc>
          <w:tcPr>
            <w:tcW w:w="0" w:type="auto"/>
            <w:shd w:val="clear" w:color="auto" w:fill="FFFFFF"/>
            <w:tcMar>
              <w:top w:w="30" w:type="dxa"/>
              <w:left w:w="0" w:type="dxa"/>
              <w:bottom w:w="30" w:type="dxa"/>
              <w:right w:w="20" w:type="dxa"/>
            </w:tcMar>
            <w:vAlign w:val="bottom"/>
            <w:hideMark/>
          </w:tcPr>
          <w:p w14:paraId="5F692D7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03540E"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7BC9738"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9021C07" w14:textId="77777777" w:rsidR="00000000" w:rsidRDefault="00405D16">
            <w:pPr>
              <w:spacing w:after="100"/>
              <w:jc w:val="right"/>
              <w:rPr>
                <w:rFonts w:eastAsia="Times New Roman"/>
              </w:rPr>
            </w:pPr>
            <w:r>
              <w:rPr>
                <w:rFonts w:eastAsia="Times New Roman"/>
                <w:color w:val="000000"/>
                <w:sz w:val="18"/>
                <w:szCs w:val="18"/>
              </w:rPr>
              <w:t>196 </w:t>
            </w:r>
          </w:p>
        </w:tc>
        <w:tc>
          <w:tcPr>
            <w:tcW w:w="0" w:type="auto"/>
            <w:shd w:val="clear" w:color="auto" w:fill="FFFFFF"/>
            <w:tcMar>
              <w:top w:w="30" w:type="dxa"/>
              <w:left w:w="0" w:type="dxa"/>
              <w:bottom w:w="30" w:type="dxa"/>
              <w:right w:w="20" w:type="dxa"/>
            </w:tcMar>
            <w:vAlign w:val="bottom"/>
            <w:hideMark/>
          </w:tcPr>
          <w:p w14:paraId="60FA2CD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96BD9E"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9F55939"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46CBF3D" w14:textId="77777777" w:rsidR="00000000" w:rsidRDefault="00405D16">
            <w:pPr>
              <w:spacing w:after="100"/>
              <w:jc w:val="right"/>
              <w:rPr>
                <w:rFonts w:eastAsia="Times New Roman"/>
              </w:rPr>
            </w:pPr>
            <w:r>
              <w:rPr>
                <w:rFonts w:eastAsia="Times New Roman"/>
                <w:color w:val="000000"/>
                <w:sz w:val="18"/>
                <w:szCs w:val="18"/>
              </w:rPr>
              <w:t>(98)</w:t>
            </w:r>
          </w:p>
        </w:tc>
        <w:tc>
          <w:tcPr>
            <w:tcW w:w="0" w:type="auto"/>
            <w:shd w:val="clear" w:color="auto" w:fill="FFFFFF"/>
            <w:tcMar>
              <w:top w:w="30" w:type="dxa"/>
              <w:left w:w="0" w:type="dxa"/>
              <w:bottom w:w="30" w:type="dxa"/>
              <w:right w:w="20" w:type="dxa"/>
            </w:tcMar>
            <w:vAlign w:val="bottom"/>
            <w:hideMark/>
          </w:tcPr>
          <w:p w14:paraId="3AF177B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8A077C"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64E0ABF"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AFF0E09" w14:textId="77777777" w:rsidR="00000000" w:rsidRDefault="00405D16">
            <w:pPr>
              <w:spacing w:after="100"/>
              <w:jc w:val="right"/>
              <w:rPr>
                <w:rFonts w:eastAsia="Times New Roman"/>
              </w:rPr>
            </w:pPr>
            <w:r>
              <w:rPr>
                <w:rFonts w:eastAsia="Times New Roman"/>
                <w:color w:val="000000"/>
                <w:sz w:val="18"/>
                <w:szCs w:val="18"/>
              </w:rPr>
              <w:t>474 </w:t>
            </w:r>
          </w:p>
        </w:tc>
        <w:tc>
          <w:tcPr>
            <w:tcW w:w="0" w:type="auto"/>
            <w:shd w:val="clear" w:color="auto" w:fill="FFFFFF"/>
            <w:tcMar>
              <w:top w:w="30" w:type="dxa"/>
              <w:left w:w="0" w:type="dxa"/>
              <w:bottom w:w="30" w:type="dxa"/>
              <w:right w:w="20" w:type="dxa"/>
            </w:tcMar>
            <w:vAlign w:val="bottom"/>
            <w:hideMark/>
          </w:tcPr>
          <w:p w14:paraId="55CA6881" w14:textId="77777777" w:rsidR="00000000" w:rsidRDefault="00405D16">
            <w:pPr>
              <w:spacing w:after="100"/>
              <w:jc w:val="right"/>
              <w:rPr>
                <w:rFonts w:eastAsia="Times New Roman"/>
              </w:rPr>
            </w:pPr>
            <w:r>
              <w:rPr>
                <w:rFonts w:eastAsia="Times New Roman"/>
                <w:color w:val="000000"/>
                <w:sz w:val="18"/>
                <w:szCs w:val="18"/>
              </w:rPr>
              <w:t>$20 </w:t>
            </w:r>
          </w:p>
        </w:tc>
      </w:tr>
      <w:tr w:rsidR="00000000" w14:paraId="30DEE5E0" w14:textId="77777777">
        <w:tc>
          <w:tcPr>
            <w:tcW w:w="0" w:type="auto"/>
            <w:gridSpan w:val="10"/>
            <w:shd w:val="clear" w:color="auto" w:fill="CCEEFF"/>
            <w:tcMar>
              <w:top w:w="30" w:type="dxa"/>
              <w:left w:w="245" w:type="dxa"/>
              <w:bottom w:w="30" w:type="dxa"/>
              <w:right w:w="20" w:type="dxa"/>
            </w:tcMar>
            <w:vAlign w:val="center"/>
            <w:hideMark/>
          </w:tcPr>
          <w:p w14:paraId="1ECAAFCA" w14:textId="77777777" w:rsidR="00000000" w:rsidRDefault="00405D16">
            <w:pPr>
              <w:spacing w:after="100"/>
              <w:rPr>
                <w:rFonts w:eastAsia="Times New Roman"/>
              </w:rPr>
            </w:pPr>
            <w:r>
              <w:rPr>
                <w:rFonts w:eastAsia="Times New Roman"/>
                <w:color w:val="000000"/>
                <w:sz w:val="16"/>
                <w:szCs w:val="16"/>
              </w:rPr>
              <w:t>CMBS</w:t>
            </w:r>
          </w:p>
        </w:tc>
        <w:tc>
          <w:tcPr>
            <w:tcW w:w="0" w:type="auto"/>
            <w:gridSpan w:val="5"/>
            <w:shd w:val="clear" w:color="auto" w:fill="CCEEFF"/>
            <w:tcMar>
              <w:top w:w="0" w:type="dxa"/>
              <w:left w:w="20" w:type="dxa"/>
              <w:bottom w:w="0" w:type="dxa"/>
              <w:right w:w="20" w:type="dxa"/>
            </w:tcMar>
            <w:vAlign w:val="center"/>
            <w:hideMark/>
          </w:tcPr>
          <w:p w14:paraId="60C6A1E3" w14:textId="77777777" w:rsidR="00000000" w:rsidRDefault="00405D16">
            <w:pPr>
              <w:spacing w:after="100"/>
              <w:rPr>
                <w:rFonts w:eastAsia="Times New Roman"/>
              </w:rPr>
            </w:pPr>
          </w:p>
        </w:tc>
        <w:tc>
          <w:tcPr>
            <w:tcW w:w="0" w:type="auto"/>
            <w:gridSpan w:val="6"/>
            <w:shd w:val="clear" w:color="auto" w:fill="CCEEFF"/>
            <w:tcMar>
              <w:top w:w="30" w:type="dxa"/>
              <w:left w:w="20" w:type="dxa"/>
              <w:bottom w:w="30" w:type="dxa"/>
              <w:right w:w="0" w:type="dxa"/>
            </w:tcMar>
            <w:vAlign w:val="bottom"/>
            <w:hideMark/>
          </w:tcPr>
          <w:p w14:paraId="3F3D6293" w14:textId="77777777" w:rsidR="00000000" w:rsidRDefault="00405D16">
            <w:pPr>
              <w:spacing w:after="100"/>
              <w:jc w:val="right"/>
              <w:rPr>
                <w:rFonts w:eastAsia="Times New Roman"/>
              </w:rPr>
            </w:pPr>
            <w:r>
              <w:rPr>
                <w:rFonts w:eastAsia="Times New Roman"/>
                <w:color w:val="000000"/>
                <w:sz w:val="18"/>
                <w:szCs w:val="18"/>
              </w:rPr>
              <w:t>13 </w:t>
            </w:r>
          </w:p>
        </w:tc>
        <w:tc>
          <w:tcPr>
            <w:tcW w:w="0" w:type="auto"/>
            <w:gridSpan w:val="4"/>
            <w:shd w:val="clear" w:color="auto" w:fill="CCEEFF"/>
            <w:tcMar>
              <w:top w:w="30" w:type="dxa"/>
              <w:left w:w="0" w:type="dxa"/>
              <w:bottom w:w="30" w:type="dxa"/>
              <w:right w:w="20" w:type="dxa"/>
            </w:tcMar>
            <w:vAlign w:val="bottom"/>
            <w:hideMark/>
          </w:tcPr>
          <w:p w14:paraId="30FB6477" w14:textId="77777777" w:rsidR="00000000" w:rsidRDefault="00405D16">
            <w:pPr>
              <w:spacing w:after="100"/>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14:paraId="3749F283" w14:textId="77777777" w:rsidR="00000000" w:rsidRDefault="00405D16">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2AE957CB" w14:textId="77777777" w:rsidR="00000000" w:rsidRDefault="00405D16">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14:paraId="54D9D62B" w14:textId="77777777" w:rsidR="00000000" w:rsidRDefault="00405D16">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43FA1E24" w14:textId="77777777" w:rsidR="00000000" w:rsidRDefault="00405D16">
            <w:pPr>
              <w:spacing w:after="100"/>
              <w:jc w:val="right"/>
              <w:rPr>
                <w:rFonts w:eastAsia="Times New Roman"/>
                <w:sz w:val="20"/>
                <w:szCs w:val="20"/>
              </w:rPr>
            </w:pPr>
          </w:p>
        </w:tc>
        <w:tc>
          <w:tcPr>
            <w:tcW w:w="0" w:type="auto"/>
            <w:gridSpan w:val="9"/>
            <w:shd w:val="clear" w:color="auto" w:fill="CCEEFF"/>
            <w:tcMar>
              <w:top w:w="30" w:type="dxa"/>
              <w:left w:w="20" w:type="dxa"/>
              <w:bottom w:w="30" w:type="dxa"/>
              <w:right w:w="0" w:type="dxa"/>
            </w:tcMar>
            <w:vAlign w:val="bottom"/>
            <w:hideMark/>
          </w:tcPr>
          <w:p w14:paraId="6D6321D8"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0F164259" w14:textId="77777777" w:rsidR="00000000" w:rsidRDefault="00405D16">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63FC12F1"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586F93BF" w14:textId="77777777" w:rsidR="00000000" w:rsidRDefault="00405D16">
            <w:pPr>
              <w:spacing w:after="100"/>
              <w:jc w:val="right"/>
              <w:rPr>
                <w:rFonts w:eastAsia="Times New Roman"/>
              </w:rPr>
            </w:pPr>
            <w:r>
              <w:rPr>
                <w:rFonts w:eastAsia="Times New Roman"/>
                <w:color w:val="000000"/>
                <w:sz w:val="18"/>
                <w:szCs w:val="18"/>
              </w:rPr>
              <w:t>0 </w:t>
            </w:r>
          </w:p>
        </w:tc>
        <w:tc>
          <w:tcPr>
            <w:tcW w:w="0" w:type="auto"/>
            <w:gridSpan w:val="4"/>
            <w:shd w:val="clear" w:color="auto" w:fill="CCEEFF"/>
            <w:tcMar>
              <w:top w:w="30" w:type="dxa"/>
              <w:left w:w="0" w:type="dxa"/>
              <w:bottom w:w="30" w:type="dxa"/>
              <w:right w:w="20" w:type="dxa"/>
            </w:tcMar>
            <w:vAlign w:val="bottom"/>
            <w:hideMark/>
          </w:tcPr>
          <w:p w14:paraId="4B83EB51" w14:textId="77777777" w:rsidR="00000000" w:rsidRDefault="00405D16">
            <w:pPr>
              <w:spacing w:after="100"/>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14:paraId="1EE74F9B" w14:textId="77777777" w:rsidR="00000000" w:rsidRDefault="00405D16">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2AE5A43C"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46DA4ABE" w14:textId="77777777" w:rsidR="00000000" w:rsidRDefault="00405D16">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3F7236A9"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1BA7D0DB"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100424C6"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0A0370C9"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410A92FB" w14:textId="77777777" w:rsidR="00000000" w:rsidRDefault="00405D16">
            <w:pPr>
              <w:spacing w:after="100"/>
              <w:jc w:val="right"/>
              <w:rPr>
                <w:rFonts w:eastAsia="Times New Roman"/>
              </w:rPr>
            </w:pPr>
            <w:r>
              <w:rPr>
                <w:rFonts w:eastAsia="Times New Roman"/>
                <w:color w:val="000000"/>
                <w:sz w:val="18"/>
                <w:szCs w:val="18"/>
              </w:rPr>
              <w:t>(11)</w:t>
            </w:r>
          </w:p>
        </w:tc>
        <w:tc>
          <w:tcPr>
            <w:tcW w:w="0" w:type="auto"/>
            <w:shd w:val="clear" w:color="auto" w:fill="CCEEFF"/>
            <w:tcMar>
              <w:top w:w="30" w:type="dxa"/>
              <w:left w:w="0" w:type="dxa"/>
              <w:bottom w:w="30" w:type="dxa"/>
              <w:right w:w="20" w:type="dxa"/>
            </w:tcMar>
            <w:vAlign w:val="bottom"/>
            <w:hideMark/>
          </w:tcPr>
          <w:p w14:paraId="4DB5775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B0C58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96ECB1" w14:textId="77777777" w:rsidR="00000000" w:rsidRDefault="00405D16">
            <w:pPr>
              <w:spacing w:after="100"/>
              <w:jc w:val="right"/>
              <w:rPr>
                <w:rFonts w:eastAsia="Times New Roman"/>
              </w:rPr>
            </w:pPr>
            <w:r>
              <w:rPr>
                <w:rFonts w:eastAsia="Times New Roman"/>
                <w:color w:val="000000"/>
                <w:sz w:val="18"/>
                <w:szCs w:val="18"/>
              </w:rPr>
              <w:t>371 </w:t>
            </w:r>
          </w:p>
        </w:tc>
        <w:tc>
          <w:tcPr>
            <w:tcW w:w="0" w:type="auto"/>
            <w:shd w:val="clear" w:color="auto" w:fill="CCEEFF"/>
            <w:tcMar>
              <w:top w:w="30" w:type="dxa"/>
              <w:left w:w="0" w:type="dxa"/>
              <w:bottom w:w="30" w:type="dxa"/>
              <w:right w:w="20" w:type="dxa"/>
            </w:tcMar>
            <w:vAlign w:val="bottom"/>
            <w:hideMark/>
          </w:tcPr>
          <w:p w14:paraId="1E03069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1F87F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B118A1"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060AADF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C159B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9A972B" w14:textId="77777777" w:rsidR="00000000" w:rsidRDefault="00405D16">
            <w:pPr>
              <w:spacing w:after="100"/>
              <w:jc w:val="right"/>
              <w:rPr>
                <w:rFonts w:eastAsia="Times New Roman"/>
              </w:rPr>
            </w:pPr>
            <w:r>
              <w:rPr>
                <w:rFonts w:eastAsia="Times New Roman"/>
                <w:color w:val="000000"/>
                <w:sz w:val="18"/>
                <w:szCs w:val="18"/>
              </w:rPr>
              <w:t>372 </w:t>
            </w:r>
          </w:p>
        </w:tc>
        <w:tc>
          <w:tcPr>
            <w:tcW w:w="0" w:type="auto"/>
            <w:shd w:val="clear" w:color="auto" w:fill="CCEEFF"/>
            <w:tcMar>
              <w:top w:w="30" w:type="dxa"/>
              <w:left w:w="0" w:type="dxa"/>
              <w:bottom w:w="30" w:type="dxa"/>
              <w:right w:w="20" w:type="dxa"/>
            </w:tcMar>
            <w:vAlign w:val="bottom"/>
            <w:hideMark/>
          </w:tcPr>
          <w:p w14:paraId="7BA62B7A" w14:textId="77777777" w:rsidR="00000000" w:rsidRDefault="00405D16">
            <w:pPr>
              <w:spacing w:after="100"/>
              <w:jc w:val="right"/>
              <w:rPr>
                <w:rFonts w:eastAsia="Times New Roman"/>
              </w:rPr>
            </w:pPr>
            <w:r>
              <w:rPr>
                <w:rFonts w:eastAsia="Times New Roman"/>
                <w:color w:val="000000"/>
                <w:sz w:val="18"/>
                <w:szCs w:val="18"/>
              </w:rPr>
              <w:t>(4)</w:t>
            </w:r>
          </w:p>
        </w:tc>
      </w:tr>
      <w:tr w:rsidR="00000000" w14:paraId="19977224" w14:textId="77777777">
        <w:tc>
          <w:tcPr>
            <w:tcW w:w="0" w:type="auto"/>
            <w:gridSpan w:val="10"/>
            <w:vAlign w:val="center"/>
            <w:hideMark/>
          </w:tcPr>
          <w:p w14:paraId="72259445" w14:textId="77777777" w:rsidR="00000000" w:rsidRDefault="00405D16">
            <w:pPr>
              <w:spacing w:after="100"/>
              <w:jc w:val="right"/>
              <w:rPr>
                <w:rFonts w:eastAsia="Times New Roman"/>
                <w:sz w:val="20"/>
                <w:szCs w:val="20"/>
              </w:rPr>
            </w:pPr>
          </w:p>
        </w:tc>
        <w:tc>
          <w:tcPr>
            <w:tcW w:w="0" w:type="auto"/>
            <w:gridSpan w:val="5"/>
            <w:vAlign w:val="center"/>
            <w:hideMark/>
          </w:tcPr>
          <w:p w14:paraId="26B6095D" w14:textId="77777777" w:rsidR="00000000" w:rsidRDefault="00405D16">
            <w:pPr>
              <w:spacing w:after="100"/>
              <w:rPr>
                <w:rFonts w:eastAsia="Times New Roman"/>
                <w:sz w:val="20"/>
                <w:szCs w:val="20"/>
              </w:rPr>
            </w:pPr>
          </w:p>
        </w:tc>
        <w:tc>
          <w:tcPr>
            <w:tcW w:w="0" w:type="auto"/>
            <w:gridSpan w:val="10"/>
            <w:vAlign w:val="center"/>
            <w:hideMark/>
          </w:tcPr>
          <w:p w14:paraId="3091F6A6" w14:textId="77777777" w:rsidR="00000000" w:rsidRDefault="00405D16">
            <w:pPr>
              <w:spacing w:after="100"/>
              <w:rPr>
                <w:rFonts w:eastAsia="Times New Roman"/>
                <w:sz w:val="20"/>
                <w:szCs w:val="20"/>
              </w:rPr>
            </w:pPr>
          </w:p>
        </w:tc>
        <w:tc>
          <w:tcPr>
            <w:tcW w:w="0" w:type="auto"/>
            <w:gridSpan w:val="6"/>
            <w:vAlign w:val="center"/>
            <w:hideMark/>
          </w:tcPr>
          <w:p w14:paraId="6AB00B2E" w14:textId="77777777" w:rsidR="00000000" w:rsidRDefault="00405D16">
            <w:pPr>
              <w:spacing w:after="100"/>
              <w:rPr>
                <w:rFonts w:eastAsia="Times New Roman"/>
                <w:sz w:val="20"/>
                <w:szCs w:val="20"/>
              </w:rPr>
            </w:pPr>
          </w:p>
        </w:tc>
        <w:tc>
          <w:tcPr>
            <w:tcW w:w="0" w:type="auto"/>
            <w:gridSpan w:val="9"/>
            <w:vAlign w:val="center"/>
            <w:hideMark/>
          </w:tcPr>
          <w:p w14:paraId="7EA9CB7C" w14:textId="77777777" w:rsidR="00000000" w:rsidRDefault="00405D16">
            <w:pPr>
              <w:spacing w:after="100"/>
              <w:rPr>
                <w:rFonts w:eastAsia="Times New Roman"/>
                <w:sz w:val="20"/>
                <w:szCs w:val="20"/>
              </w:rPr>
            </w:pPr>
          </w:p>
        </w:tc>
        <w:tc>
          <w:tcPr>
            <w:tcW w:w="0" w:type="auto"/>
            <w:gridSpan w:val="8"/>
            <w:vAlign w:val="center"/>
            <w:hideMark/>
          </w:tcPr>
          <w:p w14:paraId="52F043D7" w14:textId="77777777" w:rsidR="00000000" w:rsidRDefault="00405D16">
            <w:pPr>
              <w:spacing w:after="100"/>
              <w:rPr>
                <w:rFonts w:eastAsia="Times New Roman"/>
                <w:sz w:val="20"/>
                <w:szCs w:val="20"/>
              </w:rPr>
            </w:pPr>
          </w:p>
        </w:tc>
        <w:tc>
          <w:tcPr>
            <w:tcW w:w="0" w:type="auto"/>
            <w:gridSpan w:val="10"/>
            <w:vAlign w:val="center"/>
            <w:hideMark/>
          </w:tcPr>
          <w:p w14:paraId="6667693E" w14:textId="77777777" w:rsidR="00000000" w:rsidRDefault="00405D16">
            <w:pPr>
              <w:spacing w:after="100"/>
              <w:rPr>
                <w:rFonts w:eastAsia="Times New Roman"/>
                <w:sz w:val="20"/>
                <w:szCs w:val="20"/>
              </w:rPr>
            </w:pPr>
          </w:p>
        </w:tc>
        <w:tc>
          <w:tcPr>
            <w:tcW w:w="0" w:type="auto"/>
            <w:gridSpan w:val="8"/>
            <w:vAlign w:val="center"/>
            <w:hideMark/>
          </w:tcPr>
          <w:p w14:paraId="283D5D12" w14:textId="77777777" w:rsidR="00000000" w:rsidRDefault="00405D16">
            <w:pPr>
              <w:spacing w:after="100"/>
              <w:rPr>
                <w:rFonts w:eastAsia="Times New Roman"/>
                <w:sz w:val="20"/>
                <w:szCs w:val="20"/>
              </w:rPr>
            </w:pPr>
          </w:p>
        </w:tc>
        <w:tc>
          <w:tcPr>
            <w:tcW w:w="0" w:type="auto"/>
            <w:gridSpan w:val="7"/>
            <w:vAlign w:val="center"/>
            <w:hideMark/>
          </w:tcPr>
          <w:p w14:paraId="55284471" w14:textId="77777777" w:rsidR="00000000" w:rsidRDefault="00405D16">
            <w:pPr>
              <w:spacing w:after="100"/>
              <w:rPr>
                <w:rFonts w:eastAsia="Times New Roman"/>
                <w:sz w:val="20"/>
                <w:szCs w:val="20"/>
              </w:rPr>
            </w:pPr>
          </w:p>
        </w:tc>
        <w:tc>
          <w:tcPr>
            <w:tcW w:w="0" w:type="auto"/>
            <w:gridSpan w:val="6"/>
            <w:vAlign w:val="center"/>
            <w:hideMark/>
          </w:tcPr>
          <w:p w14:paraId="04D69924" w14:textId="77777777" w:rsidR="00000000" w:rsidRDefault="00405D16">
            <w:pPr>
              <w:spacing w:after="100"/>
              <w:rPr>
                <w:rFonts w:eastAsia="Times New Roman"/>
                <w:sz w:val="20"/>
                <w:szCs w:val="20"/>
              </w:rPr>
            </w:pPr>
          </w:p>
        </w:tc>
        <w:tc>
          <w:tcPr>
            <w:tcW w:w="0" w:type="auto"/>
            <w:gridSpan w:val="9"/>
            <w:vAlign w:val="center"/>
            <w:hideMark/>
          </w:tcPr>
          <w:p w14:paraId="37BDB7BF" w14:textId="77777777" w:rsidR="00000000" w:rsidRDefault="00405D16">
            <w:pPr>
              <w:spacing w:after="100"/>
              <w:rPr>
                <w:rFonts w:eastAsia="Times New Roman"/>
                <w:sz w:val="20"/>
                <w:szCs w:val="20"/>
              </w:rPr>
            </w:pPr>
          </w:p>
        </w:tc>
        <w:tc>
          <w:tcPr>
            <w:tcW w:w="0" w:type="auto"/>
            <w:gridSpan w:val="8"/>
            <w:vAlign w:val="center"/>
            <w:hideMark/>
          </w:tcPr>
          <w:p w14:paraId="043EE0AC" w14:textId="77777777" w:rsidR="00000000" w:rsidRDefault="00405D16">
            <w:pPr>
              <w:spacing w:after="100"/>
              <w:rPr>
                <w:rFonts w:eastAsia="Times New Roman"/>
                <w:sz w:val="20"/>
                <w:szCs w:val="20"/>
              </w:rPr>
            </w:pPr>
          </w:p>
        </w:tc>
        <w:tc>
          <w:tcPr>
            <w:tcW w:w="0" w:type="auto"/>
            <w:gridSpan w:val="4"/>
            <w:vAlign w:val="center"/>
            <w:hideMark/>
          </w:tcPr>
          <w:p w14:paraId="7B3DE87E" w14:textId="77777777" w:rsidR="00000000" w:rsidRDefault="00405D16">
            <w:pPr>
              <w:spacing w:after="100"/>
              <w:rPr>
                <w:rFonts w:eastAsia="Times New Roman"/>
                <w:sz w:val="20"/>
                <w:szCs w:val="20"/>
              </w:rPr>
            </w:pPr>
          </w:p>
        </w:tc>
        <w:tc>
          <w:tcPr>
            <w:tcW w:w="0" w:type="auto"/>
            <w:gridSpan w:val="4"/>
            <w:vAlign w:val="center"/>
            <w:hideMark/>
          </w:tcPr>
          <w:p w14:paraId="110D2AF4" w14:textId="77777777" w:rsidR="00000000" w:rsidRDefault="00405D16">
            <w:pPr>
              <w:spacing w:after="100"/>
              <w:rPr>
                <w:rFonts w:eastAsia="Times New Roman"/>
                <w:sz w:val="20"/>
                <w:szCs w:val="20"/>
              </w:rPr>
            </w:pPr>
          </w:p>
        </w:tc>
        <w:tc>
          <w:tcPr>
            <w:tcW w:w="0" w:type="auto"/>
            <w:gridSpan w:val="4"/>
            <w:vAlign w:val="center"/>
            <w:hideMark/>
          </w:tcPr>
          <w:p w14:paraId="41358BD0" w14:textId="77777777" w:rsidR="00000000" w:rsidRDefault="00405D16">
            <w:pPr>
              <w:spacing w:after="100"/>
              <w:rPr>
                <w:rFonts w:eastAsia="Times New Roman"/>
                <w:sz w:val="20"/>
                <w:szCs w:val="20"/>
              </w:rPr>
            </w:pPr>
          </w:p>
        </w:tc>
        <w:tc>
          <w:tcPr>
            <w:tcW w:w="0" w:type="auto"/>
            <w:gridSpan w:val="3"/>
            <w:vAlign w:val="center"/>
            <w:hideMark/>
          </w:tcPr>
          <w:p w14:paraId="3E4174BE" w14:textId="77777777" w:rsidR="00000000" w:rsidRDefault="00405D16">
            <w:pPr>
              <w:spacing w:after="100"/>
              <w:rPr>
                <w:rFonts w:eastAsia="Times New Roman"/>
                <w:sz w:val="20"/>
                <w:szCs w:val="20"/>
              </w:rPr>
            </w:pPr>
          </w:p>
        </w:tc>
        <w:tc>
          <w:tcPr>
            <w:tcW w:w="0" w:type="auto"/>
            <w:gridSpan w:val="3"/>
            <w:vAlign w:val="center"/>
            <w:hideMark/>
          </w:tcPr>
          <w:p w14:paraId="7028701E" w14:textId="77777777" w:rsidR="00000000" w:rsidRDefault="00405D16">
            <w:pPr>
              <w:spacing w:after="100"/>
              <w:rPr>
                <w:rFonts w:eastAsia="Times New Roman"/>
                <w:sz w:val="20"/>
                <w:szCs w:val="20"/>
              </w:rPr>
            </w:pPr>
          </w:p>
        </w:tc>
        <w:tc>
          <w:tcPr>
            <w:tcW w:w="0" w:type="auto"/>
            <w:gridSpan w:val="3"/>
            <w:vAlign w:val="center"/>
            <w:hideMark/>
          </w:tcPr>
          <w:p w14:paraId="5A621998" w14:textId="77777777" w:rsidR="00000000" w:rsidRDefault="00405D16">
            <w:pPr>
              <w:spacing w:after="100"/>
              <w:rPr>
                <w:rFonts w:eastAsia="Times New Roman"/>
                <w:sz w:val="20"/>
                <w:szCs w:val="20"/>
              </w:rPr>
            </w:pPr>
          </w:p>
        </w:tc>
        <w:tc>
          <w:tcPr>
            <w:tcW w:w="0" w:type="auto"/>
            <w:gridSpan w:val="3"/>
            <w:vAlign w:val="center"/>
            <w:hideMark/>
          </w:tcPr>
          <w:p w14:paraId="007CCF3D" w14:textId="77777777" w:rsidR="00000000" w:rsidRDefault="00405D16">
            <w:pPr>
              <w:spacing w:after="100"/>
              <w:rPr>
                <w:rFonts w:eastAsia="Times New Roman"/>
                <w:sz w:val="20"/>
                <w:szCs w:val="20"/>
              </w:rPr>
            </w:pPr>
          </w:p>
        </w:tc>
        <w:tc>
          <w:tcPr>
            <w:tcW w:w="0" w:type="auto"/>
            <w:gridSpan w:val="3"/>
            <w:vAlign w:val="center"/>
            <w:hideMark/>
          </w:tcPr>
          <w:p w14:paraId="4F2703AB" w14:textId="77777777" w:rsidR="00000000" w:rsidRDefault="00405D16">
            <w:pPr>
              <w:spacing w:after="100"/>
              <w:rPr>
                <w:rFonts w:eastAsia="Times New Roman"/>
                <w:sz w:val="20"/>
                <w:szCs w:val="20"/>
              </w:rPr>
            </w:pPr>
          </w:p>
        </w:tc>
        <w:tc>
          <w:tcPr>
            <w:tcW w:w="0" w:type="auto"/>
            <w:gridSpan w:val="2"/>
            <w:vAlign w:val="center"/>
            <w:hideMark/>
          </w:tcPr>
          <w:p w14:paraId="26C48CEB" w14:textId="77777777" w:rsidR="00000000" w:rsidRDefault="00405D16">
            <w:pPr>
              <w:spacing w:after="100"/>
              <w:rPr>
                <w:rFonts w:eastAsia="Times New Roman"/>
                <w:sz w:val="20"/>
                <w:szCs w:val="20"/>
              </w:rPr>
            </w:pPr>
          </w:p>
        </w:tc>
        <w:tc>
          <w:tcPr>
            <w:tcW w:w="0" w:type="auto"/>
            <w:vAlign w:val="center"/>
            <w:hideMark/>
          </w:tcPr>
          <w:p w14:paraId="5D5ED17C" w14:textId="77777777" w:rsidR="00000000" w:rsidRDefault="00405D16">
            <w:pPr>
              <w:spacing w:after="100"/>
              <w:rPr>
                <w:rFonts w:eastAsia="Times New Roman"/>
                <w:sz w:val="20"/>
                <w:szCs w:val="20"/>
              </w:rPr>
            </w:pPr>
          </w:p>
        </w:tc>
      </w:tr>
      <w:tr w:rsidR="00000000" w14:paraId="11819B16" w14:textId="77777777">
        <w:tc>
          <w:tcPr>
            <w:tcW w:w="0" w:type="auto"/>
            <w:gridSpan w:val="10"/>
            <w:shd w:val="clear" w:color="auto" w:fill="FFFFFF"/>
            <w:tcMar>
              <w:top w:w="30" w:type="dxa"/>
              <w:left w:w="20" w:type="dxa"/>
              <w:bottom w:w="30" w:type="dxa"/>
              <w:right w:w="20" w:type="dxa"/>
            </w:tcMar>
            <w:vAlign w:val="center"/>
            <w:hideMark/>
          </w:tcPr>
          <w:p w14:paraId="62029EBA" w14:textId="77777777" w:rsidR="00000000" w:rsidRDefault="00405D16">
            <w:pPr>
              <w:spacing w:after="100"/>
              <w:rPr>
                <w:rFonts w:eastAsia="Times New Roman"/>
              </w:rPr>
            </w:pPr>
            <w:r>
              <w:rPr>
                <w:rFonts w:eastAsia="Times New Roman"/>
                <w:color w:val="000000"/>
                <w:sz w:val="16"/>
                <w:szCs w:val="16"/>
              </w:rPr>
              <w:t>Total securities available for sale</w:t>
            </w:r>
          </w:p>
        </w:tc>
        <w:tc>
          <w:tcPr>
            <w:tcW w:w="0" w:type="auto"/>
            <w:gridSpan w:val="5"/>
            <w:shd w:val="clear" w:color="auto" w:fill="FFFFFF"/>
            <w:tcMar>
              <w:top w:w="0" w:type="dxa"/>
              <w:left w:w="20" w:type="dxa"/>
              <w:bottom w:w="0" w:type="dxa"/>
              <w:right w:w="20" w:type="dxa"/>
            </w:tcMar>
            <w:vAlign w:val="center"/>
            <w:hideMark/>
          </w:tcPr>
          <w:p w14:paraId="199022A2" w14:textId="77777777" w:rsidR="00000000" w:rsidRDefault="00405D16">
            <w:pPr>
              <w:spacing w:after="100"/>
              <w:rPr>
                <w:rFonts w:eastAsia="Times New Roman"/>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14:paraId="498D6B41" w14:textId="77777777" w:rsidR="00000000" w:rsidRDefault="00405D16">
            <w:pPr>
              <w:spacing w:after="100"/>
              <w:jc w:val="right"/>
              <w:rPr>
                <w:rFonts w:eastAsia="Times New Roman"/>
              </w:rPr>
            </w:pPr>
            <w:r>
              <w:rPr>
                <w:rFonts w:eastAsia="Times New Roman"/>
                <w:color w:val="000000"/>
                <w:sz w:val="18"/>
                <w:szCs w:val="18"/>
              </w:rPr>
              <w:t>446 </w:t>
            </w:r>
          </w:p>
        </w:tc>
        <w:tc>
          <w:tcPr>
            <w:tcW w:w="0" w:type="auto"/>
            <w:gridSpan w:val="4"/>
            <w:tcBorders>
              <w:top w:val="single" w:sz="8" w:space="0" w:color="000000"/>
            </w:tcBorders>
            <w:shd w:val="clear" w:color="auto" w:fill="FFFFFF"/>
            <w:tcMar>
              <w:top w:w="30" w:type="dxa"/>
              <w:left w:w="0" w:type="dxa"/>
              <w:bottom w:w="30" w:type="dxa"/>
              <w:right w:w="20" w:type="dxa"/>
            </w:tcMar>
            <w:vAlign w:val="bottom"/>
            <w:hideMark/>
          </w:tcPr>
          <w:p w14:paraId="5158849D" w14:textId="77777777" w:rsidR="00000000" w:rsidRDefault="00405D16">
            <w:pPr>
              <w:spacing w:after="100"/>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14:paraId="4BE4595F" w14:textId="77777777" w:rsidR="00000000" w:rsidRDefault="00405D16">
            <w:pPr>
              <w:spacing w:after="100"/>
              <w:jc w:val="right"/>
              <w:rPr>
                <w:rFonts w:eastAsia="Times New Roman"/>
                <w:sz w:val="20"/>
                <w:szCs w:val="20"/>
              </w:rPr>
            </w:pPr>
          </w:p>
        </w:tc>
        <w:tc>
          <w:tcPr>
            <w:tcW w:w="0" w:type="auto"/>
            <w:gridSpan w:val="8"/>
            <w:tcBorders>
              <w:top w:val="single" w:sz="8" w:space="0" w:color="000000"/>
            </w:tcBorders>
            <w:shd w:val="clear" w:color="auto" w:fill="FFFFFF"/>
            <w:tcMar>
              <w:top w:w="30" w:type="dxa"/>
              <w:left w:w="20" w:type="dxa"/>
              <w:bottom w:w="30" w:type="dxa"/>
              <w:right w:w="0" w:type="dxa"/>
            </w:tcMar>
            <w:vAlign w:val="bottom"/>
            <w:hideMark/>
          </w:tcPr>
          <w:p w14:paraId="12455F4A" w14:textId="77777777" w:rsidR="00000000" w:rsidRDefault="00405D16">
            <w:pPr>
              <w:spacing w:after="100"/>
              <w:jc w:val="right"/>
              <w:rPr>
                <w:rFonts w:eastAsia="Times New Roman"/>
              </w:rPr>
            </w:pPr>
            <w:r>
              <w:rPr>
                <w:rFonts w:eastAsia="Times New Roman"/>
                <w:color w:val="000000"/>
                <w:sz w:val="18"/>
                <w:szCs w:val="18"/>
              </w:rPr>
              <w:t>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656231" w14:textId="77777777" w:rsidR="00000000" w:rsidRDefault="00405D16">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6E74B023" w14:textId="77777777" w:rsidR="00000000" w:rsidRDefault="00405D16">
            <w:pPr>
              <w:spacing w:after="100"/>
              <w:jc w:val="right"/>
              <w:rPr>
                <w:rFonts w:eastAsia="Times New Roman"/>
                <w:sz w:val="20"/>
                <w:szCs w:val="20"/>
              </w:rPr>
            </w:pPr>
          </w:p>
        </w:tc>
        <w:tc>
          <w:tcPr>
            <w:tcW w:w="0" w:type="auto"/>
            <w:gridSpan w:val="9"/>
            <w:tcBorders>
              <w:top w:val="single" w:sz="8" w:space="0" w:color="000000"/>
            </w:tcBorders>
            <w:shd w:val="clear" w:color="auto" w:fill="FFFFFF"/>
            <w:tcMar>
              <w:top w:w="30" w:type="dxa"/>
              <w:left w:w="20" w:type="dxa"/>
              <w:bottom w:w="30" w:type="dxa"/>
              <w:right w:w="0" w:type="dxa"/>
            </w:tcMar>
            <w:vAlign w:val="bottom"/>
            <w:hideMark/>
          </w:tcPr>
          <w:p w14:paraId="0D9633B7" w14:textId="77777777" w:rsidR="00000000" w:rsidRDefault="00405D16">
            <w:pPr>
              <w:spacing w:after="100"/>
              <w:jc w:val="right"/>
              <w:rPr>
                <w:rFonts w:eastAsia="Times New Roman"/>
              </w:rPr>
            </w:pPr>
            <w:r>
              <w:rPr>
                <w:rFonts w:eastAsia="Times New Roman"/>
                <w:color w:val="000000"/>
                <w:sz w:val="18"/>
                <w:szCs w:val="18"/>
              </w:rPr>
              <w:t>(21)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64AB6D7" w14:textId="77777777" w:rsidR="00000000" w:rsidRDefault="00405D16">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0B553B43" w14:textId="77777777" w:rsidR="00000000" w:rsidRDefault="00405D16">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0" w:type="dxa"/>
            </w:tcMar>
            <w:vAlign w:val="bottom"/>
            <w:hideMark/>
          </w:tcPr>
          <w:p w14:paraId="5FCF350E" w14:textId="77777777" w:rsidR="00000000" w:rsidRDefault="00405D16">
            <w:pPr>
              <w:spacing w:after="100"/>
              <w:jc w:val="right"/>
              <w:rPr>
                <w:rFonts w:eastAsia="Times New Roman"/>
              </w:rPr>
            </w:pPr>
            <w:r>
              <w:rPr>
                <w:rFonts w:eastAsia="Times New Roman"/>
                <w:color w:val="000000"/>
                <w:sz w:val="18"/>
                <w:szCs w:val="18"/>
              </w:rPr>
              <w:t>0 </w:t>
            </w:r>
          </w:p>
        </w:tc>
        <w:tc>
          <w:tcPr>
            <w:tcW w:w="0" w:type="auto"/>
            <w:gridSpan w:val="4"/>
            <w:tcBorders>
              <w:top w:val="single" w:sz="8" w:space="0" w:color="000000"/>
            </w:tcBorders>
            <w:shd w:val="clear" w:color="auto" w:fill="FFFFFF"/>
            <w:tcMar>
              <w:top w:w="30" w:type="dxa"/>
              <w:left w:w="0" w:type="dxa"/>
              <w:bottom w:w="30" w:type="dxa"/>
              <w:right w:w="20" w:type="dxa"/>
            </w:tcMar>
            <w:vAlign w:val="bottom"/>
            <w:hideMark/>
          </w:tcPr>
          <w:p w14:paraId="2B335160" w14:textId="77777777" w:rsidR="00000000" w:rsidRDefault="00405D16">
            <w:pPr>
              <w:spacing w:after="100"/>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14:paraId="6AC589F1" w14:textId="77777777" w:rsidR="00000000" w:rsidRDefault="00405D16">
            <w:pPr>
              <w:spacing w:after="100"/>
              <w:jc w:val="right"/>
              <w:rPr>
                <w:rFonts w:eastAsia="Times New Roman"/>
                <w:sz w:val="20"/>
                <w:szCs w:val="20"/>
              </w:rPr>
            </w:pPr>
          </w:p>
        </w:tc>
        <w:tc>
          <w:tcPr>
            <w:tcW w:w="0" w:type="auto"/>
            <w:gridSpan w:val="8"/>
            <w:tcBorders>
              <w:top w:val="single" w:sz="8" w:space="0" w:color="000000"/>
            </w:tcBorders>
            <w:shd w:val="clear" w:color="auto" w:fill="FFFFFF"/>
            <w:tcMar>
              <w:top w:w="30" w:type="dxa"/>
              <w:left w:w="20" w:type="dxa"/>
              <w:bottom w:w="30" w:type="dxa"/>
              <w:right w:w="0" w:type="dxa"/>
            </w:tcMar>
            <w:vAlign w:val="bottom"/>
            <w:hideMark/>
          </w:tcPr>
          <w:p w14:paraId="3749D9FD" w14:textId="77777777" w:rsidR="00000000" w:rsidRDefault="00405D16">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73C8711" w14:textId="77777777" w:rsidR="00000000" w:rsidRDefault="00405D16">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58166DF1" w14:textId="77777777" w:rsidR="00000000" w:rsidRDefault="00405D16">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0" w:type="dxa"/>
            </w:tcMar>
            <w:vAlign w:val="bottom"/>
            <w:hideMark/>
          </w:tcPr>
          <w:p w14:paraId="6F849D6D" w14:textId="77777777" w:rsidR="00000000" w:rsidRDefault="00405D16">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D98477F"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65FBB85D" w14:textId="77777777" w:rsidR="00000000" w:rsidRDefault="00405D16">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0" w:type="dxa"/>
            </w:tcMar>
            <w:vAlign w:val="bottom"/>
            <w:hideMark/>
          </w:tcPr>
          <w:p w14:paraId="04DCB0D7" w14:textId="77777777" w:rsidR="00000000" w:rsidRDefault="00405D16">
            <w:pPr>
              <w:spacing w:after="100"/>
              <w:jc w:val="right"/>
              <w:rPr>
                <w:rFonts w:eastAsia="Times New Roman"/>
              </w:rPr>
            </w:pPr>
            <w:r>
              <w:rPr>
                <w:rFonts w:eastAsia="Times New Roman"/>
                <w:color w:val="000000"/>
                <w:sz w:val="18"/>
                <w:szCs w:val="18"/>
              </w:rPr>
              <w:t>(66)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78CE8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988B4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124FCE4" w14:textId="77777777" w:rsidR="00000000" w:rsidRDefault="00405D16">
            <w:pPr>
              <w:spacing w:after="100"/>
              <w:jc w:val="right"/>
              <w:rPr>
                <w:rFonts w:eastAsia="Times New Roman"/>
              </w:rPr>
            </w:pPr>
            <w:r>
              <w:rPr>
                <w:rFonts w:eastAsia="Times New Roman"/>
                <w:color w:val="000000"/>
                <w:sz w:val="18"/>
                <w:szCs w:val="18"/>
              </w:rPr>
              <w:t>567 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066A3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26242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A453039" w14:textId="77777777" w:rsidR="00000000" w:rsidRDefault="00405D16">
            <w:pPr>
              <w:spacing w:after="100"/>
              <w:jc w:val="right"/>
              <w:rPr>
                <w:rFonts w:eastAsia="Times New Roman"/>
              </w:rPr>
            </w:pPr>
            <w:r>
              <w:rPr>
                <w:rFonts w:eastAsia="Times New Roman"/>
                <w:color w:val="000000"/>
                <w:sz w:val="18"/>
                <w:szCs w:val="18"/>
              </w:rPr>
              <w:t>(98)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57EEE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75A316"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6FE442E" w14:textId="77777777" w:rsidR="00000000" w:rsidRDefault="00405D16">
            <w:pPr>
              <w:spacing w:after="100"/>
              <w:jc w:val="right"/>
              <w:rPr>
                <w:rFonts w:eastAsia="Times New Roman"/>
              </w:rPr>
            </w:pPr>
            <w:r>
              <w:rPr>
                <w:rFonts w:eastAsia="Times New Roman"/>
                <w:color w:val="000000"/>
                <w:sz w:val="18"/>
                <w:szCs w:val="18"/>
              </w:rPr>
              <w:t>846 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8A739A" w14:textId="77777777" w:rsidR="00000000" w:rsidRDefault="00405D16">
            <w:pPr>
              <w:spacing w:after="100"/>
              <w:jc w:val="right"/>
              <w:rPr>
                <w:rFonts w:eastAsia="Times New Roman"/>
              </w:rPr>
            </w:pPr>
            <w:r>
              <w:rPr>
                <w:rFonts w:eastAsia="Times New Roman"/>
                <w:color w:val="000000"/>
                <w:sz w:val="18"/>
                <w:szCs w:val="18"/>
              </w:rPr>
              <w:t>16 </w:t>
            </w:r>
          </w:p>
        </w:tc>
      </w:tr>
      <w:tr w:rsidR="00000000" w14:paraId="200469D3" w14:textId="77777777">
        <w:tc>
          <w:tcPr>
            <w:tcW w:w="0" w:type="auto"/>
            <w:gridSpan w:val="10"/>
            <w:shd w:val="clear" w:color="auto" w:fill="CCEEFF"/>
            <w:tcMar>
              <w:top w:w="30" w:type="dxa"/>
              <w:left w:w="20" w:type="dxa"/>
              <w:bottom w:w="30" w:type="dxa"/>
              <w:right w:w="20" w:type="dxa"/>
            </w:tcMar>
            <w:vAlign w:val="center"/>
            <w:hideMark/>
          </w:tcPr>
          <w:p w14:paraId="3427610D" w14:textId="77777777" w:rsidR="00000000" w:rsidRDefault="00405D16">
            <w:pPr>
              <w:spacing w:after="100"/>
              <w:rPr>
                <w:rFonts w:eastAsia="Times New Roman"/>
              </w:rPr>
            </w:pPr>
            <w:r>
              <w:rPr>
                <w:rFonts w:eastAsia="Times New Roman"/>
                <w:color w:val="000000"/>
                <w:sz w:val="16"/>
                <w:szCs w:val="16"/>
              </w:rPr>
              <w:t>Other assets:</w:t>
            </w:r>
          </w:p>
        </w:tc>
        <w:tc>
          <w:tcPr>
            <w:tcW w:w="0" w:type="auto"/>
            <w:gridSpan w:val="5"/>
            <w:shd w:val="clear" w:color="auto" w:fill="CCEEFF"/>
            <w:tcMar>
              <w:top w:w="0" w:type="dxa"/>
              <w:left w:w="20" w:type="dxa"/>
              <w:bottom w:w="0" w:type="dxa"/>
              <w:right w:w="20" w:type="dxa"/>
            </w:tcMar>
            <w:vAlign w:val="center"/>
            <w:hideMark/>
          </w:tcPr>
          <w:p w14:paraId="65C30331" w14:textId="77777777" w:rsidR="00000000" w:rsidRDefault="00405D16">
            <w:pPr>
              <w:spacing w:after="100"/>
              <w:rPr>
                <w:rFonts w:eastAsia="Times New Roman"/>
              </w:rPr>
            </w:pPr>
          </w:p>
        </w:tc>
        <w:tc>
          <w:tcPr>
            <w:tcW w:w="0" w:type="auto"/>
            <w:gridSpan w:val="10"/>
            <w:tcBorders>
              <w:top w:val="double" w:sz="6" w:space="0" w:color="000000"/>
            </w:tcBorders>
            <w:shd w:val="clear" w:color="auto" w:fill="CCEEFF"/>
            <w:tcMar>
              <w:top w:w="0" w:type="dxa"/>
              <w:left w:w="20" w:type="dxa"/>
              <w:bottom w:w="0" w:type="dxa"/>
              <w:right w:w="20" w:type="dxa"/>
            </w:tcMar>
            <w:vAlign w:val="center"/>
            <w:hideMark/>
          </w:tcPr>
          <w:p w14:paraId="055E55FB" w14:textId="77777777" w:rsidR="00000000" w:rsidRDefault="00405D16">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14:paraId="0F15363C" w14:textId="77777777" w:rsidR="00000000" w:rsidRDefault="00405D16">
            <w:pPr>
              <w:spacing w:after="100"/>
              <w:rPr>
                <w:rFonts w:eastAsia="Times New Roman"/>
                <w:sz w:val="20"/>
                <w:szCs w:val="20"/>
              </w:rPr>
            </w:pPr>
          </w:p>
        </w:tc>
        <w:tc>
          <w:tcPr>
            <w:tcW w:w="0" w:type="auto"/>
            <w:gridSpan w:val="9"/>
            <w:tcBorders>
              <w:top w:val="double" w:sz="6" w:space="0" w:color="000000"/>
            </w:tcBorders>
            <w:shd w:val="clear" w:color="auto" w:fill="CCEEFF"/>
            <w:tcMar>
              <w:top w:w="0" w:type="dxa"/>
              <w:left w:w="20" w:type="dxa"/>
              <w:bottom w:w="0" w:type="dxa"/>
              <w:right w:w="20" w:type="dxa"/>
            </w:tcMar>
            <w:vAlign w:val="center"/>
            <w:hideMark/>
          </w:tcPr>
          <w:p w14:paraId="3BCE4A2E" w14:textId="77777777" w:rsidR="00000000" w:rsidRDefault="00405D16">
            <w:pPr>
              <w:spacing w:after="100"/>
              <w:rPr>
                <w:rFonts w:eastAsia="Times New Roman"/>
                <w:sz w:val="20"/>
                <w:szCs w:val="20"/>
              </w:rPr>
            </w:pPr>
          </w:p>
        </w:tc>
        <w:tc>
          <w:tcPr>
            <w:tcW w:w="0" w:type="auto"/>
            <w:gridSpan w:val="8"/>
            <w:shd w:val="clear" w:color="auto" w:fill="CCEEFF"/>
            <w:tcMar>
              <w:top w:w="0" w:type="dxa"/>
              <w:left w:w="20" w:type="dxa"/>
              <w:bottom w:w="0" w:type="dxa"/>
              <w:right w:w="20" w:type="dxa"/>
            </w:tcMar>
            <w:vAlign w:val="center"/>
            <w:hideMark/>
          </w:tcPr>
          <w:p w14:paraId="74008AE5" w14:textId="77777777" w:rsidR="00000000" w:rsidRDefault="00405D16">
            <w:pPr>
              <w:spacing w:after="100"/>
              <w:rPr>
                <w:rFonts w:eastAsia="Times New Roman"/>
                <w:sz w:val="20"/>
                <w:szCs w:val="20"/>
              </w:rPr>
            </w:pPr>
          </w:p>
        </w:tc>
        <w:tc>
          <w:tcPr>
            <w:tcW w:w="0" w:type="auto"/>
            <w:gridSpan w:val="10"/>
            <w:tcBorders>
              <w:top w:val="double" w:sz="6" w:space="0" w:color="000000"/>
            </w:tcBorders>
            <w:shd w:val="clear" w:color="auto" w:fill="CCEEFF"/>
            <w:tcMar>
              <w:top w:w="0" w:type="dxa"/>
              <w:left w:w="20" w:type="dxa"/>
              <w:bottom w:w="0" w:type="dxa"/>
              <w:right w:w="20" w:type="dxa"/>
            </w:tcMar>
            <w:vAlign w:val="center"/>
            <w:hideMark/>
          </w:tcPr>
          <w:p w14:paraId="53DD5845" w14:textId="77777777" w:rsidR="00000000" w:rsidRDefault="00405D16">
            <w:pPr>
              <w:spacing w:after="100"/>
              <w:rPr>
                <w:rFonts w:eastAsia="Times New Roman"/>
                <w:sz w:val="20"/>
                <w:szCs w:val="20"/>
              </w:rPr>
            </w:pPr>
          </w:p>
        </w:tc>
        <w:tc>
          <w:tcPr>
            <w:tcW w:w="0" w:type="auto"/>
            <w:gridSpan w:val="8"/>
            <w:shd w:val="clear" w:color="auto" w:fill="CCEEFF"/>
            <w:tcMar>
              <w:top w:w="0" w:type="dxa"/>
              <w:left w:w="20" w:type="dxa"/>
              <w:bottom w:w="0" w:type="dxa"/>
              <w:right w:w="20" w:type="dxa"/>
            </w:tcMar>
            <w:vAlign w:val="center"/>
            <w:hideMark/>
          </w:tcPr>
          <w:p w14:paraId="6D902A40" w14:textId="77777777" w:rsidR="00000000" w:rsidRDefault="00405D16">
            <w:pPr>
              <w:spacing w:after="100"/>
              <w:rPr>
                <w:rFonts w:eastAsia="Times New Roman"/>
                <w:sz w:val="20"/>
                <w:szCs w:val="20"/>
              </w:rPr>
            </w:pPr>
          </w:p>
        </w:tc>
        <w:tc>
          <w:tcPr>
            <w:tcW w:w="0" w:type="auto"/>
            <w:gridSpan w:val="7"/>
            <w:tcBorders>
              <w:top w:val="double" w:sz="6" w:space="0" w:color="000000"/>
            </w:tcBorders>
            <w:shd w:val="clear" w:color="auto" w:fill="CCEEFF"/>
            <w:tcMar>
              <w:top w:w="0" w:type="dxa"/>
              <w:left w:w="20" w:type="dxa"/>
              <w:bottom w:w="0" w:type="dxa"/>
              <w:right w:w="20" w:type="dxa"/>
            </w:tcMar>
            <w:vAlign w:val="center"/>
            <w:hideMark/>
          </w:tcPr>
          <w:p w14:paraId="4EB1DBA0" w14:textId="77777777" w:rsidR="00000000" w:rsidRDefault="00405D16">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14:paraId="18436511" w14:textId="77777777" w:rsidR="00000000" w:rsidRDefault="00405D16">
            <w:pPr>
              <w:spacing w:after="100"/>
              <w:rPr>
                <w:rFonts w:eastAsia="Times New Roman"/>
                <w:sz w:val="20"/>
                <w:szCs w:val="20"/>
              </w:rPr>
            </w:pPr>
          </w:p>
        </w:tc>
        <w:tc>
          <w:tcPr>
            <w:tcW w:w="0" w:type="auto"/>
            <w:gridSpan w:val="9"/>
            <w:tcBorders>
              <w:top w:val="double" w:sz="6" w:space="0" w:color="000000"/>
            </w:tcBorders>
            <w:shd w:val="clear" w:color="auto" w:fill="CCEEFF"/>
            <w:tcMar>
              <w:top w:w="0" w:type="dxa"/>
              <w:left w:w="20" w:type="dxa"/>
              <w:bottom w:w="0" w:type="dxa"/>
              <w:right w:w="20" w:type="dxa"/>
            </w:tcMar>
            <w:vAlign w:val="center"/>
            <w:hideMark/>
          </w:tcPr>
          <w:p w14:paraId="6C88EBC7" w14:textId="77777777" w:rsidR="00000000" w:rsidRDefault="00405D16">
            <w:pPr>
              <w:spacing w:after="100"/>
              <w:rPr>
                <w:rFonts w:eastAsia="Times New Roman"/>
                <w:sz w:val="20"/>
                <w:szCs w:val="20"/>
              </w:rPr>
            </w:pPr>
          </w:p>
        </w:tc>
        <w:tc>
          <w:tcPr>
            <w:tcW w:w="0" w:type="auto"/>
            <w:gridSpan w:val="8"/>
            <w:shd w:val="clear" w:color="auto" w:fill="CCEEFF"/>
            <w:tcMar>
              <w:top w:w="0" w:type="dxa"/>
              <w:left w:w="20" w:type="dxa"/>
              <w:bottom w:w="0" w:type="dxa"/>
              <w:right w:w="20" w:type="dxa"/>
            </w:tcMar>
            <w:vAlign w:val="center"/>
            <w:hideMark/>
          </w:tcPr>
          <w:p w14:paraId="5BCA30BF" w14:textId="77777777" w:rsidR="00000000" w:rsidRDefault="00405D16">
            <w:pPr>
              <w:spacing w:after="100"/>
              <w:rPr>
                <w:rFonts w:eastAsia="Times New Roman"/>
                <w:sz w:val="20"/>
                <w:szCs w:val="20"/>
              </w:rPr>
            </w:pPr>
          </w:p>
        </w:tc>
        <w:tc>
          <w:tcPr>
            <w:tcW w:w="0" w:type="auto"/>
            <w:gridSpan w:val="4"/>
            <w:tcBorders>
              <w:top w:val="double" w:sz="6" w:space="0" w:color="000000"/>
            </w:tcBorders>
            <w:shd w:val="clear" w:color="auto" w:fill="CCEEFF"/>
            <w:tcMar>
              <w:top w:w="0" w:type="dxa"/>
              <w:left w:w="20" w:type="dxa"/>
              <w:bottom w:w="0" w:type="dxa"/>
              <w:right w:w="20" w:type="dxa"/>
            </w:tcMar>
            <w:vAlign w:val="center"/>
            <w:hideMark/>
          </w:tcPr>
          <w:p w14:paraId="76BCE82C" w14:textId="77777777" w:rsidR="00000000" w:rsidRDefault="00405D16">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4823E98D" w14:textId="77777777" w:rsidR="00000000" w:rsidRDefault="00405D16">
            <w:pPr>
              <w:spacing w:after="100"/>
              <w:rPr>
                <w:rFonts w:eastAsia="Times New Roman"/>
                <w:sz w:val="20"/>
                <w:szCs w:val="20"/>
              </w:rPr>
            </w:pPr>
          </w:p>
        </w:tc>
        <w:tc>
          <w:tcPr>
            <w:tcW w:w="0" w:type="auto"/>
            <w:gridSpan w:val="4"/>
            <w:tcBorders>
              <w:top w:val="double" w:sz="6" w:space="0" w:color="000000"/>
            </w:tcBorders>
            <w:shd w:val="clear" w:color="auto" w:fill="CCEEFF"/>
            <w:tcMar>
              <w:top w:w="0" w:type="dxa"/>
              <w:left w:w="20" w:type="dxa"/>
              <w:bottom w:w="0" w:type="dxa"/>
              <w:right w:w="20" w:type="dxa"/>
            </w:tcMar>
            <w:vAlign w:val="center"/>
            <w:hideMark/>
          </w:tcPr>
          <w:p w14:paraId="24C3B2F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B4B6E6"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9D945E2"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F5ACF03" w14:textId="77777777" w:rsidR="00000000" w:rsidRDefault="00405D1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9C483B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FF388A" w14:textId="77777777" w:rsidR="00000000" w:rsidRDefault="00405D16">
            <w:pPr>
              <w:spacing w:after="100"/>
              <w:rPr>
                <w:rFonts w:eastAsia="Times New Roman"/>
                <w:sz w:val="20"/>
                <w:szCs w:val="20"/>
              </w:rPr>
            </w:pPr>
          </w:p>
        </w:tc>
        <w:tc>
          <w:tcPr>
            <w:tcW w:w="0" w:type="auto"/>
            <w:gridSpan w:val="2"/>
            <w:tcBorders>
              <w:top w:val="double" w:sz="6" w:space="0" w:color="000000"/>
            </w:tcBorders>
            <w:shd w:val="clear" w:color="auto" w:fill="CCEEFF"/>
            <w:tcMar>
              <w:top w:w="0" w:type="dxa"/>
              <w:left w:w="20" w:type="dxa"/>
              <w:bottom w:w="0" w:type="dxa"/>
              <w:right w:w="20" w:type="dxa"/>
            </w:tcMar>
            <w:vAlign w:val="center"/>
            <w:hideMark/>
          </w:tcPr>
          <w:p w14:paraId="0428CD2B" w14:textId="77777777" w:rsidR="00000000" w:rsidRDefault="00405D16">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14:paraId="2C53A597" w14:textId="77777777" w:rsidR="00000000" w:rsidRDefault="00405D16">
            <w:pPr>
              <w:spacing w:after="100"/>
              <w:rPr>
                <w:rFonts w:eastAsia="Times New Roman"/>
                <w:sz w:val="20"/>
                <w:szCs w:val="20"/>
              </w:rPr>
            </w:pPr>
          </w:p>
        </w:tc>
      </w:tr>
      <w:tr w:rsidR="00000000" w14:paraId="6EA264A0" w14:textId="77777777">
        <w:tc>
          <w:tcPr>
            <w:tcW w:w="0" w:type="auto"/>
            <w:gridSpan w:val="10"/>
            <w:vAlign w:val="center"/>
            <w:hideMark/>
          </w:tcPr>
          <w:p w14:paraId="645C8091" w14:textId="77777777" w:rsidR="00000000" w:rsidRDefault="00405D16">
            <w:pPr>
              <w:spacing w:after="100"/>
              <w:rPr>
                <w:rFonts w:eastAsia="Times New Roman"/>
                <w:sz w:val="20"/>
                <w:szCs w:val="20"/>
              </w:rPr>
            </w:pPr>
          </w:p>
        </w:tc>
        <w:tc>
          <w:tcPr>
            <w:tcW w:w="0" w:type="auto"/>
            <w:gridSpan w:val="5"/>
            <w:vAlign w:val="center"/>
            <w:hideMark/>
          </w:tcPr>
          <w:p w14:paraId="4BBD2E5D" w14:textId="77777777" w:rsidR="00000000" w:rsidRDefault="00405D16">
            <w:pPr>
              <w:spacing w:after="100"/>
              <w:rPr>
                <w:rFonts w:eastAsia="Times New Roman"/>
                <w:sz w:val="20"/>
                <w:szCs w:val="20"/>
              </w:rPr>
            </w:pPr>
          </w:p>
        </w:tc>
        <w:tc>
          <w:tcPr>
            <w:tcW w:w="0" w:type="auto"/>
            <w:gridSpan w:val="10"/>
            <w:vAlign w:val="center"/>
            <w:hideMark/>
          </w:tcPr>
          <w:p w14:paraId="33A89102" w14:textId="77777777" w:rsidR="00000000" w:rsidRDefault="00405D16">
            <w:pPr>
              <w:spacing w:after="100"/>
              <w:rPr>
                <w:rFonts w:eastAsia="Times New Roman"/>
                <w:sz w:val="20"/>
                <w:szCs w:val="20"/>
              </w:rPr>
            </w:pPr>
          </w:p>
        </w:tc>
        <w:tc>
          <w:tcPr>
            <w:tcW w:w="0" w:type="auto"/>
            <w:gridSpan w:val="6"/>
            <w:vAlign w:val="center"/>
            <w:hideMark/>
          </w:tcPr>
          <w:p w14:paraId="64CFD0CB" w14:textId="77777777" w:rsidR="00000000" w:rsidRDefault="00405D16">
            <w:pPr>
              <w:spacing w:after="100"/>
              <w:rPr>
                <w:rFonts w:eastAsia="Times New Roman"/>
                <w:sz w:val="20"/>
                <w:szCs w:val="20"/>
              </w:rPr>
            </w:pPr>
          </w:p>
        </w:tc>
        <w:tc>
          <w:tcPr>
            <w:tcW w:w="0" w:type="auto"/>
            <w:gridSpan w:val="9"/>
            <w:vAlign w:val="center"/>
            <w:hideMark/>
          </w:tcPr>
          <w:p w14:paraId="1389D823" w14:textId="77777777" w:rsidR="00000000" w:rsidRDefault="00405D16">
            <w:pPr>
              <w:spacing w:after="100"/>
              <w:rPr>
                <w:rFonts w:eastAsia="Times New Roman"/>
                <w:sz w:val="20"/>
                <w:szCs w:val="20"/>
              </w:rPr>
            </w:pPr>
          </w:p>
        </w:tc>
        <w:tc>
          <w:tcPr>
            <w:tcW w:w="0" w:type="auto"/>
            <w:gridSpan w:val="8"/>
            <w:vAlign w:val="center"/>
            <w:hideMark/>
          </w:tcPr>
          <w:p w14:paraId="2A3568C5" w14:textId="77777777" w:rsidR="00000000" w:rsidRDefault="00405D16">
            <w:pPr>
              <w:spacing w:after="100"/>
              <w:rPr>
                <w:rFonts w:eastAsia="Times New Roman"/>
                <w:sz w:val="20"/>
                <w:szCs w:val="20"/>
              </w:rPr>
            </w:pPr>
          </w:p>
        </w:tc>
        <w:tc>
          <w:tcPr>
            <w:tcW w:w="0" w:type="auto"/>
            <w:gridSpan w:val="10"/>
            <w:vAlign w:val="center"/>
            <w:hideMark/>
          </w:tcPr>
          <w:p w14:paraId="5E010DEE" w14:textId="77777777" w:rsidR="00000000" w:rsidRDefault="00405D16">
            <w:pPr>
              <w:spacing w:after="100"/>
              <w:rPr>
                <w:rFonts w:eastAsia="Times New Roman"/>
                <w:sz w:val="20"/>
                <w:szCs w:val="20"/>
              </w:rPr>
            </w:pPr>
          </w:p>
        </w:tc>
        <w:tc>
          <w:tcPr>
            <w:tcW w:w="0" w:type="auto"/>
            <w:gridSpan w:val="8"/>
            <w:vAlign w:val="center"/>
            <w:hideMark/>
          </w:tcPr>
          <w:p w14:paraId="69803E6C" w14:textId="77777777" w:rsidR="00000000" w:rsidRDefault="00405D16">
            <w:pPr>
              <w:spacing w:after="100"/>
              <w:rPr>
                <w:rFonts w:eastAsia="Times New Roman"/>
                <w:sz w:val="20"/>
                <w:szCs w:val="20"/>
              </w:rPr>
            </w:pPr>
          </w:p>
        </w:tc>
        <w:tc>
          <w:tcPr>
            <w:tcW w:w="0" w:type="auto"/>
            <w:gridSpan w:val="7"/>
            <w:vAlign w:val="center"/>
            <w:hideMark/>
          </w:tcPr>
          <w:p w14:paraId="77E7A2B4" w14:textId="77777777" w:rsidR="00000000" w:rsidRDefault="00405D16">
            <w:pPr>
              <w:spacing w:after="100"/>
              <w:rPr>
                <w:rFonts w:eastAsia="Times New Roman"/>
                <w:sz w:val="20"/>
                <w:szCs w:val="20"/>
              </w:rPr>
            </w:pPr>
          </w:p>
        </w:tc>
        <w:tc>
          <w:tcPr>
            <w:tcW w:w="0" w:type="auto"/>
            <w:gridSpan w:val="6"/>
            <w:vAlign w:val="center"/>
            <w:hideMark/>
          </w:tcPr>
          <w:p w14:paraId="0C59BBB2" w14:textId="77777777" w:rsidR="00000000" w:rsidRDefault="00405D16">
            <w:pPr>
              <w:spacing w:after="100"/>
              <w:rPr>
                <w:rFonts w:eastAsia="Times New Roman"/>
                <w:sz w:val="20"/>
                <w:szCs w:val="20"/>
              </w:rPr>
            </w:pPr>
          </w:p>
        </w:tc>
        <w:tc>
          <w:tcPr>
            <w:tcW w:w="0" w:type="auto"/>
            <w:gridSpan w:val="9"/>
            <w:vAlign w:val="center"/>
            <w:hideMark/>
          </w:tcPr>
          <w:p w14:paraId="69824925" w14:textId="77777777" w:rsidR="00000000" w:rsidRDefault="00405D16">
            <w:pPr>
              <w:spacing w:after="100"/>
              <w:rPr>
                <w:rFonts w:eastAsia="Times New Roman"/>
                <w:sz w:val="20"/>
                <w:szCs w:val="20"/>
              </w:rPr>
            </w:pPr>
          </w:p>
        </w:tc>
        <w:tc>
          <w:tcPr>
            <w:tcW w:w="0" w:type="auto"/>
            <w:gridSpan w:val="8"/>
            <w:vAlign w:val="center"/>
            <w:hideMark/>
          </w:tcPr>
          <w:p w14:paraId="463CF419" w14:textId="77777777" w:rsidR="00000000" w:rsidRDefault="00405D16">
            <w:pPr>
              <w:spacing w:after="100"/>
              <w:rPr>
                <w:rFonts w:eastAsia="Times New Roman"/>
                <w:sz w:val="20"/>
                <w:szCs w:val="20"/>
              </w:rPr>
            </w:pPr>
          </w:p>
        </w:tc>
        <w:tc>
          <w:tcPr>
            <w:tcW w:w="0" w:type="auto"/>
            <w:gridSpan w:val="4"/>
            <w:vAlign w:val="center"/>
            <w:hideMark/>
          </w:tcPr>
          <w:p w14:paraId="2B6D2CE3" w14:textId="77777777" w:rsidR="00000000" w:rsidRDefault="00405D16">
            <w:pPr>
              <w:spacing w:after="100"/>
              <w:rPr>
                <w:rFonts w:eastAsia="Times New Roman"/>
                <w:sz w:val="20"/>
                <w:szCs w:val="20"/>
              </w:rPr>
            </w:pPr>
          </w:p>
        </w:tc>
        <w:tc>
          <w:tcPr>
            <w:tcW w:w="0" w:type="auto"/>
            <w:gridSpan w:val="4"/>
            <w:vAlign w:val="center"/>
            <w:hideMark/>
          </w:tcPr>
          <w:p w14:paraId="165FD716" w14:textId="77777777" w:rsidR="00000000" w:rsidRDefault="00405D16">
            <w:pPr>
              <w:spacing w:after="100"/>
              <w:rPr>
                <w:rFonts w:eastAsia="Times New Roman"/>
                <w:sz w:val="20"/>
                <w:szCs w:val="20"/>
              </w:rPr>
            </w:pPr>
          </w:p>
        </w:tc>
        <w:tc>
          <w:tcPr>
            <w:tcW w:w="0" w:type="auto"/>
            <w:gridSpan w:val="4"/>
            <w:vAlign w:val="center"/>
            <w:hideMark/>
          </w:tcPr>
          <w:p w14:paraId="75CB1991" w14:textId="77777777" w:rsidR="00000000" w:rsidRDefault="00405D16">
            <w:pPr>
              <w:spacing w:after="100"/>
              <w:rPr>
                <w:rFonts w:eastAsia="Times New Roman"/>
                <w:sz w:val="20"/>
                <w:szCs w:val="20"/>
              </w:rPr>
            </w:pPr>
          </w:p>
        </w:tc>
        <w:tc>
          <w:tcPr>
            <w:tcW w:w="0" w:type="auto"/>
            <w:gridSpan w:val="3"/>
            <w:vAlign w:val="center"/>
            <w:hideMark/>
          </w:tcPr>
          <w:p w14:paraId="0BA0C0D2" w14:textId="77777777" w:rsidR="00000000" w:rsidRDefault="00405D16">
            <w:pPr>
              <w:spacing w:after="100"/>
              <w:rPr>
                <w:rFonts w:eastAsia="Times New Roman"/>
                <w:sz w:val="20"/>
                <w:szCs w:val="20"/>
              </w:rPr>
            </w:pPr>
          </w:p>
        </w:tc>
        <w:tc>
          <w:tcPr>
            <w:tcW w:w="0" w:type="auto"/>
            <w:gridSpan w:val="3"/>
            <w:vAlign w:val="center"/>
            <w:hideMark/>
          </w:tcPr>
          <w:p w14:paraId="3111F68E" w14:textId="77777777" w:rsidR="00000000" w:rsidRDefault="00405D16">
            <w:pPr>
              <w:spacing w:after="100"/>
              <w:rPr>
                <w:rFonts w:eastAsia="Times New Roman"/>
                <w:sz w:val="20"/>
                <w:szCs w:val="20"/>
              </w:rPr>
            </w:pPr>
          </w:p>
        </w:tc>
        <w:tc>
          <w:tcPr>
            <w:tcW w:w="0" w:type="auto"/>
            <w:gridSpan w:val="3"/>
            <w:vAlign w:val="center"/>
            <w:hideMark/>
          </w:tcPr>
          <w:p w14:paraId="192C7D41" w14:textId="77777777" w:rsidR="00000000" w:rsidRDefault="00405D16">
            <w:pPr>
              <w:spacing w:after="100"/>
              <w:rPr>
                <w:rFonts w:eastAsia="Times New Roman"/>
                <w:sz w:val="20"/>
                <w:szCs w:val="20"/>
              </w:rPr>
            </w:pPr>
          </w:p>
        </w:tc>
        <w:tc>
          <w:tcPr>
            <w:tcW w:w="0" w:type="auto"/>
            <w:gridSpan w:val="3"/>
            <w:vAlign w:val="center"/>
            <w:hideMark/>
          </w:tcPr>
          <w:p w14:paraId="5ACDEE05" w14:textId="77777777" w:rsidR="00000000" w:rsidRDefault="00405D16">
            <w:pPr>
              <w:spacing w:after="100"/>
              <w:rPr>
                <w:rFonts w:eastAsia="Times New Roman"/>
                <w:sz w:val="20"/>
                <w:szCs w:val="20"/>
              </w:rPr>
            </w:pPr>
          </w:p>
        </w:tc>
        <w:tc>
          <w:tcPr>
            <w:tcW w:w="0" w:type="auto"/>
            <w:gridSpan w:val="3"/>
            <w:vAlign w:val="center"/>
            <w:hideMark/>
          </w:tcPr>
          <w:p w14:paraId="293113A1" w14:textId="77777777" w:rsidR="00000000" w:rsidRDefault="00405D16">
            <w:pPr>
              <w:spacing w:after="100"/>
              <w:rPr>
                <w:rFonts w:eastAsia="Times New Roman"/>
                <w:sz w:val="20"/>
                <w:szCs w:val="20"/>
              </w:rPr>
            </w:pPr>
          </w:p>
        </w:tc>
        <w:tc>
          <w:tcPr>
            <w:tcW w:w="0" w:type="auto"/>
            <w:gridSpan w:val="2"/>
            <w:vAlign w:val="center"/>
            <w:hideMark/>
          </w:tcPr>
          <w:p w14:paraId="5ACACAD9" w14:textId="77777777" w:rsidR="00000000" w:rsidRDefault="00405D16">
            <w:pPr>
              <w:spacing w:after="100"/>
              <w:rPr>
                <w:rFonts w:eastAsia="Times New Roman"/>
                <w:sz w:val="20"/>
                <w:szCs w:val="20"/>
              </w:rPr>
            </w:pPr>
          </w:p>
        </w:tc>
        <w:tc>
          <w:tcPr>
            <w:tcW w:w="0" w:type="auto"/>
            <w:vAlign w:val="center"/>
            <w:hideMark/>
          </w:tcPr>
          <w:p w14:paraId="30D4CBFD" w14:textId="77777777" w:rsidR="00000000" w:rsidRDefault="00405D16">
            <w:pPr>
              <w:spacing w:after="100"/>
              <w:rPr>
                <w:rFonts w:eastAsia="Times New Roman"/>
                <w:sz w:val="20"/>
                <w:szCs w:val="20"/>
              </w:rPr>
            </w:pPr>
          </w:p>
        </w:tc>
      </w:tr>
      <w:tr w:rsidR="00000000" w14:paraId="63FA7F0B" w14:textId="77777777">
        <w:tc>
          <w:tcPr>
            <w:tcW w:w="0" w:type="auto"/>
            <w:gridSpan w:val="10"/>
            <w:shd w:val="clear" w:color="auto" w:fill="FFFFFF"/>
            <w:tcMar>
              <w:top w:w="30" w:type="dxa"/>
              <w:left w:w="245" w:type="dxa"/>
              <w:bottom w:w="30" w:type="dxa"/>
              <w:right w:w="20" w:type="dxa"/>
            </w:tcMar>
            <w:vAlign w:val="center"/>
            <w:hideMark/>
          </w:tcPr>
          <w:p w14:paraId="66FB4569" w14:textId="77777777" w:rsidR="00000000" w:rsidRDefault="00405D16">
            <w:pPr>
              <w:spacing w:after="100"/>
              <w:rPr>
                <w:rFonts w:eastAsia="Times New Roman"/>
              </w:rPr>
            </w:pPr>
            <w:r>
              <w:rPr>
                <w:rFonts w:eastAsia="Times New Roman"/>
                <w:color w:val="000000"/>
                <w:sz w:val="16"/>
                <w:szCs w:val="16"/>
              </w:rPr>
              <w:t>Retained interests in securitizations</w:t>
            </w:r>
          </w:p>
        </w:tc>
        <w:tc>
          <w:tcPr>
            <w:tcW w:w="0" w:type="auto"/>
            <w:gridSpan w:val="5"/>
            <w:shd w:val="clear" w:color="auto" w:fill="FFFFFF"/>
            <w:tcMar>
              <w:top w:w="0" w:type="dxa"/>
              <w:left w:w="20" w:type="dxa"/>
              <w:bottom w:w="0" w:type="dxa"/>
              <w:right w:w="20" w:type="dxa"/>
            </w:tcMar>
            <w:vAlign w:val="center"/>
            <w:hideMark/>
          </w:tcPr>
          <w:p w14:paraId="50A2AD94" w14:textId="77777777" w:rsidR="00000000" w:rsidRDefault="00405D16">
            <w:pPr>
              <w:spacing w:after="100"/>
              <w:rPr>
                <w:rFonts w:eastAsia="Times New Roman"/>
              </w:rPr>
            </w:pPr>
          </w:p>
        </w:tc>
        <w:tc>
          <w:tcPr>
            <w:tcW w:w="0" w:type="auto"/>
            <w:gridSpan w:val="6"/>
            <w:shd w:val="clear" w:color="auto" w:fill="FFFFFF"/>
            <w:tcMar>
              <w:top w:w="30" w:type="dxa"/>
              <w:left w:w="20" w:type="dxa"/>
              <w:bottom w:w="30" w:type="dxa"/>
              <w:right w:w="0" w:type="dxa"/>
            </w:tcMar>
            <w:vAlign w:val="bottom"/>
            <w:hideMark/>
          </w:tcPr>
          <w:p w14:paraId="0BE9D7D7" w14:textId="77777777" w:rsidR="00000000" w:rsidRDefault="00405D16">
            <w:pPr>
              <w:spacing w:after="100"/>
              <w:jc w:val="right"/>
              <w:rPr>
                <w:rFonts w:eastAsia="Times New Roman"/>
              </w:rPr>
            </w:pPr>
            <w:r>
              <w:rPr>
                <w:rFonts w:eastAsia="Times New Roman"/>
                <w:color w:val="000000"/>
                <w:sz w:val="18"/>
                <w:szCs w:val="18"/>
              </w:rPr>
              <w:t>66 </w:t>
            </w:r>
          </w:p>
        </w:tc>
        <w:tc>
          <w:tcPr>
            <w:tcW w:w="0" w:type="auto"/>
            <w:gridSpan w:val="4"/>
            <w:shd w:val="clear" w:color="auto" w:fill="FFFFFF"/>
            <w:tcMar>
              <w:top w:w="30" w:type="dxa"/>
              <w:left w:w="0" w:type="dxa"/>
              <w:bottom w:w="30" w:type="dxa"/>
              <w:right w:w="20" w:type="dxa"/>
            </w:tcMar>
            <w:vAlign w:val="bottom"/>
            <w:hideMark/>
          </w:tcPr>
          <w:p w14:paraId="250A1B1D" w14:textId="77777777" w:rsidR="00000000" w:rsidRDefault="00405D16">
            <w:pPr>
              <w:spacing w:after="100"/>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14:paraId="0FBEF05E" w14:textId="77777777" w:rsidR="00000000" w:rsidRDefault="00405D16">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2B180EE8" w14:textId="77777777" w:rsidR="00000000" w:rsidRDefault="00405D16">
            <w:pPr>
              <w:spacing w:after="100"/>
              <w:jc w:val="right"/>
              <w:rPr>
                <w:rFonts w:eastAsia="Times New Roman"/>
              </w:rPr>
            </w:pPr>
            <w:r>
              <w:rPr>
                <w:rFonts w:eastAsia="Times New Roman"/>
                <w:color w:val="000000"/>
                <w:sz w:val="18"/>
                <w:szCs w:val="18"/>
              </w:rPr>
              <w:t>(10)</w:t>
            </w:r>
          </w:p>
        </w:tc>
        <w:tc>
          <w:tcPr>
            <w:tcW w:w="0" w:type="auto"/>
            <w:shd w:val="clear" w:color="auto" w:fill="FFFFFF"/>
            <w:tcMar>
              <w:top w:w="30" w:type="dxa"/>
              <w:left w:w="0" w:type="dxa"/>
              <w:bottom w:w="30" w:type="dxa"/>
              <w:right w:w="20" w:type="dxa"/>
            </w:tcMar>
            <w:vAlign w:val="bottom"/>
            <w:hideMark/>
          </w:tcPr>
          <w:p w14:paraId="55009C11" w14:textId="77777777" w:rsidR="00000000" w:rsidRDefault="00405D16">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13702473" w14:textId="77777777" w:rsidR="00000000" w:rsidRDefault="00405D16">
            <w:pPr>
              <w:spacing w:after="100"/>
              <w:jc w:val="right"/>
              <w:rPr>
                <w:rFonts w:eastAsia="Times New Roman"/>
                <w:sz w:val="20"/>
                <w:szCs w:val="20"/>
              </w:rPr>
            </w:pPr>
          </w:p>
        </w:tc>
        <w:tc>
          <w:tcPr>
            <w:tcW w:w="0" w:type="auto"/>
            <w:gridSpan w:val="9"/>
            <w:shd w:val="clear" w:color="auto" w:fill="FFFFFF"/>
            <w:tcMar>
              <w:top w:w="30" w:type="dxa"/>
              <w:left w:w="20" w:type="dxa"/>
              <w:bottom w:w="30" w:type="dxa"/>
              <w:right w:w="0" w:type="dxa"/>
            </w:tcMar>
            <w:vAlign w:val="bottom"/>
            <w:hideMark/>
          </w:tcPr>
          <w:p w14:paraId="5033154F"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52C5671E" w14:textId="77777777" w:rsidR="00000000" w:rsidRDefault="00405D16">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7A11C78E"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172194BD" w14:textId="77777777" w:rsidR="00000000" w:rsidRDefault="00405D16">
            <w:pPr>
              <w:spacing w:after="100"/>
              <w:jc w:val="right"/>
              <w:rPr>
                <w:rFonts w:eastAsia="Times New Roman"/>
              </w:rPr>
            </w:pPr>
            <w:r>
              <w:rPr>
                <w:rFonts w:eastAsia="Times New Roman"/>
                <w:color w:val="000000"/>
                <w:sz w:val="18"/>
                <w:szCs w:val="18"/>
              </w:rPr>
              <w:t>0 </w:t>
            </w:r>
          </w:p>
        </w:tc>
        <w:tc>
          <w:tcPr>
            <w:tcW w:w="0" w:type="auto"/>
            <w:gridSpan w:val="4"/>
            <w:shd w:val="clear" w:color="auto" w:fill="FFFFFF"/>
            <w:tcMar>
              <w:top w:w="30" w:type="dxa"/>
              <w:left w:w="0" w:type="dxa"/>
              <w:bottom w:w="30" w:type="dxa"/>
              <w:right w:w="20" w:type="dxa"/>
            </w:tcMar>
            <w:vAlign w:val="bottom"/>
            <w:hideMark/>
          </w:tcPr>
          <w:p w14:paraId="7E53DDC3" w14:textId="77777777" w:rsidR="00000000" w:rsidRDefault="00405D16">
            <w:pPr>
              <w:spacing w:after="100"/>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14:paraId="726F9080" w14:textId="77777777" w:rsidR="00000000" w:rsidRDefault="00405D16">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3D0778B5"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62AE9B7B" w14:textId="77777777" w:rsidR="00000000" w:rsidRDefault="00405D16">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5F8FB4D1"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2718AEC9"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78F62E55" w14:textId="77777777" w:rsidR="00000000" w:rsidRDefault="00405D16">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175C6080"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4DEEDE73"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5FD8B45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8B9A9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B76288"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534BF20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9071E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6E545A"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5EA6EBB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ACCDD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610067" w14:textId="77777777" w:rsidR="00000000" w:rsidRDefault="00405D16">
            <w:pPr>
              <w:spacing w:after="100"/>
              <w:jc w:val="right"/>
              <w:rPr>
                <w:rFonts w:eastAsia="Times New Roman"/>
              </w:rPr>
            </w:pPr>
            <w:r>
              <w:rPr>
                <w:rFonts w:eastAsia="Times New Roman"/>
                <w:color w:val="000000"/>
                <w:sz w:val="18"/>
                <w:szCs w:val="18"/>
              </w:rPr>
              <w:t>56 </w:t>
            </w:r>
          </w:p>
        </w:tc>
        <w:tc>
          <w:tcPr>
            <w:tcW w:w="0" w:type="auto"/>
            <w:shd w:val="clear" w:color="auto" w:fill="FFFFFF"/>
            <w:tcMar>
              <w:top w:w="30" w:type="dxa"/>
              <w:left w:w="0" w:type="dxa"/>
              <w:bottom w:w="30" w:type="dxa"/>
              <w:right w:w="20" w:type="dxa"/>
            </w:tcMar>
            <w:vAlign w:val="bottom"/>
            <w:hideMark/>
          </w:tcPr>
          <w:p w14:paraId="085946B7" w14:textId="77777777" w:rsidR="00000000" w:rsidRDefault="00405D16">
            <w:pPr>
              <w:spacing w:after="100"/>
              <w:jc w:val="right"/>
              <w:rPr>
                <w:rFonts w:eastAsia="Times New Roman"/>
              </w:rPr>
            </w:pPr>
            <w:r>
              <w:rPr>
                <w:rFonts w:eastAsia="Times New Roman"/>
                <w:color w:val="000000"/>
                <w:sz w:val="18"/>
                <w:szCs w:val="18"/>
              </w:rPr>
              <w:t>(10)</w:t>
            </w:r>
          </w:p>
        </w:tc>
      </w:tr>
      <w:tr w:rsidR="00000000" w14:paraId="3D104DB3" w14:textId="77777777">
        <w:tc>
          <w:tcPr>
            <w:tcW w:w="0" w:type="auto"/>
            <w:gridSpan w:val="10"/>
            <w:shd w:val="clear" w:color="auto" w:fill="CCEEFF"/>
            <w:tcMar>
              <w:top w:w="30" w:type="dxa"/>
              <w:left w:w="20" w:type="dxa"/>
              <w:bottom w:w="30" w:type="dxa"/>
              <w:right w:w="20" w:type="dxa"/>
            </w:tcMar>
            <w:vAlign w:val="center"/>
            <w:hideMark/>
          </w:tcPr>
          <w:p w14:paraId="1BE8BB6A" w14:textId="77777777" w:rsidR="00000000" w:rsidRDefault="00405D16">
            <w:pPr>
              <w:spacing w:after="100"/>
              <w:divId w:val="657656343"/>
              <w:rPr>
                <w:rFonts w:eastAsia="Times New Roman"/>
              </w:rPr>
            </w:pPr>
            <w:r>
              <w:rPr>
                <w:rFonts w:eastAsia="Times New Roman"/>
                <w:color w:val="000000"/>
                <w:sz w:val="16"/>
                <w:szCs w:val="16"/>
              </w:rPr>
              <w:t>Net derivative assets (liabilities</w:t>
            </w:r>
            <w:r>
              <w:rPr>
                <w:rFonts w:eastAsia="Times New Roman"/>
                <w:color w:val="000000"/>
                <w:sz w:val="16"/>
                <w:szCs w:val="16"/>
              </w:rPr>
              <w:t>)</w:t>
            </w:r>
            <w:r>
              <w:rPr>
                <w:rFonts w:eastAsia="Times New Roman"/>
                <w:color w:val="000000"/>
                <w:sz w:val="10"/>
                <w:szCs w:val="10"/>
              </w:rPr>
              <w:t>(4</w:t>
            </w:r>
            <w:r>
              <w:rPr>
                <w:rFonts w:eastAsia="Times New Roman"/>
                <w:color w:val="000000"/>
                <w:sz w:val="10"/>
                <w:szCs w:val="10"/>
              </w:rPr>
              <w:t>)</w:t>
            </w:r>
          </w:p>
        </w:tc>
        <w:tc>
          <w:tcPr>
            <w:tcW w:w="0" w:type="auto"/>
            <w:gridSpan w:val="5"/>
            <w:shd w:val="clear" w:color="auto" w:fill="CCEEFF"/>
            <w:tcMar>
              <w:top w:w="0" w:type="dxa"/>
              <w:left w:w="20" w:type="dxa"/>
              <w:bottom w:w="0" w:type="dxa"/>
              <w:right w:w="20" w:type="dxa"/>
            </w:tcMar>
            <w:vAlign w:val="center"/>
            <w:hideMark/>
          </w:tcPr>
          <w:p w14:paraId="4A6A92FF" w14:textId="77777777" w:rsidR="00000000" w:rsidRDefault="00405D16">
            <w:pPr>
              <w:spacing w:after="100"/>
              <w:rPr>
                <w:rFonts w:eastAsia="Times New Roman"/>
              </w:rPr>
            </w:pPr>
          </w:p>
        </w:tc>
        <w:tc>
          <w:tcPr>
            <w:tcW w:w="0" w:type="auto"/>
            <w:gridSpan w:val="6"/>
            <w:shd w:val="clear" w:color="auto" w:fill="CCEEFF"/>
            <w:tcMar>
              <w:top w:w="30" w:type="dxa"/>
              <w:left w:w="20" w:type="dxa"/>
              <w:bottom w:w="30" w:type="dxa"/>
              <w:right w:w="0" w:type="dxa"/>
            </w:tcMar>
            <w:vAlign w:val="bottom"/>
            <w:hideMark/>
          </w:tcPr>
          <w:p w14:paraId="75961108" w14:textId="77777777" w:rsidR="00000000" w:rsidRDefault="00405D16">
            <w:pPr>
              <w:spacing w:after="100"/>
              <w:jc w:val="right"/>
              <w:rPr>
                <w:rFonts w:eastAsia="Times New Roman"/>
              </w:rPr>
            </w:pPr>
            <w:r>
              <w:rPr>
                <w:rFonts w:eastAsia="Times New Roman"/>
                <w:color w:val="000000"/>
                <w:sz w:val="18"/>
                <w:szCs w:val="18"/>
              </w:rPr>
              <w:t>26 </w:t>
            </w:r>
          </w:p>
        </w:tc>
        <w:tc>
          <w:tcPr>
            <w:tcW w:w="0" w:type="auto"/>
            <w:gridSpan w:val="4"/>
            <w:shd w:val="clear" w:color="auto" w:fill="CCEEFF"/>
            <w:tcMar>
              <w:top w:w="30" w:type="dxa"/>
              <w:left w:w="0" w:type="dxa"/>
              <w:bottom w:w="30" w:type="dxa"/>
              <w:right w:w="20" w:type="dxa"/>
            </w:tcMar>
            <w:vAlign w:val="bottom"/>
            <w:hideMark/>
          </w:tcPr>
          <w:p w14:paraId="19185C4A" w14:textId="77777777" w:rsidR="00000000" w:rsidRDefault="00405D16">
            <w:pPr>
              <w:spacing w:after="100"/>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14:paraId="56994A70" w14:textId="77777777" w:rsidR="00000000" w:rsidRDefault="00405D16">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51C9966F" w14:textId="77777777" w:rsidR="00000000" w:rsidRDefault="00405D16">
            <w:pPr>
              <w:spacing w:after="100"/>
              <w:jc w:val="right"/>
              <w:rPr>
                <w:rFonts w:eastAsia="Times New Roman"/>
              </w:rPr>
            </w:pPr>
            <w:r>
              <w:rPr>
                <w:rFonts w:eastAsia="Times New Roman"/>
                <w:color w:val="000000"/>
                <w:sz w:val="18"/>
                <w:szCs w:val="18"/>
              </w:rPr>
              <w:t>20 </w:t>
            </w:r>
          </w:p>
        </w:tc>
        <w:tc>
          <w:tcPr>
            <w:tcW w:w="0" w:type="auto"/>
            <w:shd w:val="clear" w:color="auto" w:fill="CCEEFF"/>
            <w:tcMar>
              <w:top w:w="30" w:type="dxa"/>
              <w:left w:w="0" w:type="dxa"/>
              <w:bottom w:w="30" w:type="dxa"/>
              <w:right w:w="20" w:type="dxa"/>
            </w:tcMar>
            <w:vAlign w:val="bottom"/>
            <w:hideMark/>
          </w:tcPr>
          <w:p w14:paraId="3D9D01CE" w14:textId="77777777" w:rsidR="00000000" w:rsidRDefault="00405D16">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4B5B21BD" w14:textId="77777777" w:rsidR="00000000" w:rsidRDefault="00405D16">
            <w:pPr>
              <w:spacing w:after="100"/>
              <w:jc w:val="right"/>
              <w:rPr>
                <w:rFonts w:eastAsia="Times New Roman"/>
                <w:sz w:val="20"/>
                <w:szCs w:val="20"/>
              </w:rPr>
            </w:pPr>
          </w:p>
        </w:tc>
        <w:tc>
          <w:tcPr>
            <w:tcW w:w="0" w:type="auto"/>
            <w:gridSpan w:val="9"/>
            <w:shd w:val="clear" w:color="auto" w:fill="CCEEFF"/>
            <w:tcMar>
              <w:top w:w="30" w:type="dxa"/>
              <w:left w:w="20" w:type="dxa"/>
              <w:bottom w:w="30" w:type="dxa"/>
              <w:right w:w="0" w:type="dxa"/>
            </w:tcMar>
            <w:vAlign w:val="bottom"/>
            <w:hideMark/>
          </w:tcPr>
          <w:p w14:paraId="022A2AB4"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26B4E31B" w14:textId="77777777" w:rsidR="00000000" w:rsidRDefault="00405D16">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047940A1"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3AB12559" w14:textId="77777777" w:rsidR="00000000" w:rsidRDefault="00405D16">
            <w:pPr>
              <w:spacing w:after="100"/>
              <w:jc w:val="right"/>
              <w:rPr>
                <w:rFonts w:eastAsia="Times New Roman"/>
              </w:rPr>
            </w:pPr>
            <w:r>
              <w:rPr>
                <w:rFonts w:eastAsia="Times New Roman"/>
                <w:color w:val="000000"/>
                <w:sz w:val="18"/>
                <w:szCs w:val="18"/>
              </w:rPr>
              <w:t>0 </w:t>
            </w:r>
          </w:p>
        </w:tc>
        <w:tc>
          <w:tcPr>
            <w:tcW w:w="0" w:type="auto"/>
            <w:gridSpan w:val="4"/>
            <w:shd w:val="clear" w:color="auto" w:fill="CCEEFF"/>
            <w:tcMar>
              <w:top w:w="30" w:type="dxa"/>
              <w:left w:w="0" w:type="dxa"/>
              <w:bottom w:w="30" w:type="dxa"/>
              <w:right w:w="20" w:type="dxa"/>
            </w:tcMar>
            <w:vAlign w:val="bottom"/>
            <w:hideMark/>
          </w:tcPr>
          <w:p w14:paraId="38F29E66" w14:textId="77777777" w:rsidR="00000000" w:rsidRDefault="00405D16">
            <w:pPr>
              <w:spacing w:after="100"/>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14:paraId="4EB38B71" w14:textId="77777777" w:rsidR="00000000" w:rsidRDefault="00405D16">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58F94677"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6E1129F4" w14:textId="77777777" w:rsidR="00000000" w:rsidRDefault="00405D16">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238376F8"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0577CF5B" w14:textId="77777777" w:rsidR="00000000" w:rsidRDefault="00405D16">
            <w:pPr>
              <w:spacing w:after="100"/>
              <w:jc w:val="right"/>
              <w:rPr>
                <w:rFonts w:eastAsia="Times New Roman"/>
              </w:rPr>
            </w:pPr>
            <w:r>
              <w:rPr>
                <w:rFonts w:eastAsia="Times New Roman"/>
                <w:color w:val="000000"/>
                <w:sz w:val="18"/>
                <w:szCs w:val="18"/>
              </w:rPr>
              <w:t>39 </w:t>
            </w:r>
          </w:p>
        </w:tc>
        <w:tc>
          <w:tcPr>
            <w:tcW w:w="0" w:type="auto"/>
            <w:shd w:val="clear" w:color="auto" w:fill="CCEEFF"/>
            <w:tcMar>
              <w:top w:w="30" w:type="dxa"/>
              <w:left w:w="0" w:type="dxa"/>
              <w:bottom w:w="30" w:type="dxa"/>
              <w:right w:w="20" w:type="dxa"/>
            </w:tcMar>
            <w:vAlign w:val="bottom"/>
            <w:hideMark/>
          </w:tcPr>
          <w:p w14:paraId="605A7F91" w14:textId="77777777" w:rsidR="00000000" w:rsidRDefault="00405D16">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0ADCCFA5"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5416AAFB" w14:textId="77777777" w:rsidR="00000000" w:rsidRDefault="00405D16">
            <w:pPr>
              <w:spacing w:after="100"/>
              <w:jc w:val="right"/>
              <w:rPr>
                <w:rFonts w:eastAsia="Times New Roman"/>
              </w:rPr>
            </w:pPr>
            <w:r>
              <w:rPr>
                <w:rFonts w:eastAsia="Times New Roman"/>
                <w:color w:val="000000"/>
                <w:sz w:val="18"/>
                <w:szCs w:val="18"/>
              </w:rPr>
              <w:t>(30)</w:t>
            </w:r>
          </w:p>
        </w:tc>
        <w:tc>
          <w:tcPr>
            <w:tcW w:w="0" w:type="auto"/>
            <w:shd w:val="clear" w:color="auto" w:fill="CCEEFF"/>
            <w:tcMar>
              <w:top w:w="30" w:type="dxa"/>
              <w:left w:w="0" w:type="dxa"/>
              <w:bottom w:w="30" w:type="dxa"/>
              <w:right w:w="20" w:type="dxa"/>
            </w:tcMar>
            <w:vAlign w:val="bottom"/>
            <w:hideMark/>
          </w:tcPr>
          <w:p w14:paraId="04AA485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A4D27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2B2248"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52CEF21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29E5D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64787A" w14:textId="77777777" w:rsidR="00000000" w:rsidRDefault="00405D16">
            <w:pPr>
              <w:spacing w:after="100"/>
              <w:jc w:val="right"/>
              <w:rPr>
                <w:rFonts w:eastAsia="Times New Roman"/>
              </w:rPr>
            </w:pPr>
            <w:r>
              <w:rPr>
                <w:rFonts w:eastAsia="Times New Roman"/>
                <w:color w:val="000000"/>
                <w:sz w:val="18"/>
                <w:szCs w:val="18"/>
              </w:rPr>
              <w:t>(11)</w:t>
            </w:r>
          </w:p>
        </w:tc>
        <w:tc>
          <w:tcPr>
            <w:tcW w:w="0" w:type="auto"/>
            <w:shd w:val="clear" w:color="auto" w:fill="CCEEFF"/>
            <w:tcMar>
              <w:top w:w="30" w:type="dxa"/>
              <w:left w:w="0" w:type="dxa"/>
              <w:bottom w:w="30" w:type="dxa"/>
              <w:right w:w="20" w:type="dxa"/>
            </w:tcMar>
            <w:vAlign w:val="bottom"/>
            <w:hideMark/>
          </w:tcPr>
          <w:p w14:paraId="6B6E995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FD813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52CFF4" w14:textId="77777777" w:rsidR="00000000" w:rsidRDefault="00405D16">
            <w:pPr>
              <w:spacing w:after="100"/>
              <w:jc w:val="right"/>
              <w:rPr>
                <w:rFonts w:eastAsia="Times New Roman"/>
              </w:rPr>
            </w:pPr>
            <w:r>
              <w:rPr>
                <w:rFonts w:eastAsia="Times New Roman"/>
                <w:color w:val="000000"/>
                <w:sz w:val="18"/>
                <w:szCs w:val="18"/>
              </w:rPr>
              <w:t>44 </w:t>
            </w:r>
          </w:p>
        </w:tc>
        <w:tc>
          <w:tcPr>
            <w:tcW w:w="0" w:type="auto"/>
            <w:shd w:val="clear" w:color="auto" w:fill="CCEEFF"/>
            <w:tcMar>
              <w:top w:w="30" w:type="dxa"/>
              <w:left w:w="0" w:type="dxa"/>
              <w:bottom w:w="30" w:type="dxa"/>
              <w:right w:w="20" w:type="dxa"/>
            </w:tcMar>
            <w:vAlign w:val="bottom"/>
            <w:hideMark/>
          </w:tcPr>
          <w:p w14:paraId="2800AD97" w14:textId="77777777" w:rsidR="00000000" w:rsidRDefault="00405D16">
            <w:pPr>
              <w:spacing w:after="100"/>
              <w:jc w:val="right"/>
              <w:rPr>
                <w:rFonts w:eastAsia="Times New Roman"/>
              </w:rPr>
            </w:pPr>
            <w:r>
              <w:rPr>
                <w:rFonts w:eastAsia="Times New Roman"/>
                <w:color w:val="000000"/>
                <w:sz w:val="18"/>
                <w:szCs w:val="18"/>
              </w:rPr>
              <w:t>18 </w:t>
            </w:r>
          </w:p>
        </w:tc>
      </w:tr>
    </w:tbl>
    <w:p w14:paraId="3581AFAF" w14:textId="77777777" w:rsidR="00000000" w:rsidRDefault="00405D16">
      <w:pPr>
        <w:jc w:val="both"/>
        <w:rPr>
          <w:rFonts w:eastAsia="Times New Roman"/>
        </w:rPr>
      </w:pPr>
      <w:r>
        <w:rPr>
          <w:rFonts w:eastAsia="Times New Roman"/>
          <w:color w:val="000000"/>
          <w:sz w:val="20"/>
          <w:szCs w:val="20"/>
        </w:rPr>
        <w:t>__________</w:t>
      </w:r>
    </w:p>
    <w:p w14:paraId="4B3D9661" w14:textId="77777777" w:rsidR="00000000" w:rsidRDefault="00405D16">
      <w:pPr>
        <w:ind w:hanging="360"/>
        <w:jc w:val="both"/>
        <w:divId w:val="111714548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Realized gains (losses) on securities available for sale are included in net securities gains (losses) and retained interests in secur</w:t>
      </w:r>
      <w:r>
        <w:rPr>
          <w:rFonts w:eastAsia="Times New Roman"/>
          <w:color w:val="000000"/>
          <w:sz w:val="16"/>
          <w:szCs w:val="16"/>
        </w:rPr>
        <w:t>itizations are reported as a component of non-interest income in our consolidated statements of income. Gains (losses) on derivatives are included as a component of net interest income or non-interest income in our consolidated statements of income.</w:t>
      </w:r>
    </w:p>
    <w:p w14:paraId="14BEDDDC" w14:textId="77777777" w:rsidR="00000000" w:rsidRDefault="00405D16">
      <w:pPr>
        <w:ind w:hanging="360"/>
        <w:jc w:val="both"/>
        <w:divId w:val="1600869963"/>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For the three and nine months ended September 30, 2021, included in OCI related to Level 3 securities available for sale still held as of September 30, 2021 were no net unrealized gains and $3 million of net unrealized gains, respectively. For the three an</w:t>
      </w:r>
      <w:r>
        <w:rPr>
          <w:rFonts w:eastAsia="Times New Roman"/>
          <w:color w:val="000000"/>
          <w:sz w:val="16"/>
          <w:szCs w:val="16"/>
        </w:rPr>
        <w:t xml:space="preserve">d nine months ended September 30, 2020, included in OCI related to Level 3 securities available for sale still held as of September 30, 2020 were net unrealized gains of $5 million and net unrealized losses of $16 million, respectively. </w:t>
      </w:r>
    </w:p>
    <w:p w14:paraId="7951F37F" w14:textId="77777777" w:rsidR="00000000" w:rsidRDefault="00405D16">
      <w:pPr>
        <w:ind w:hanging="360"/>
        <w:jc w:val="both"/>
        <w:divId w:val="544759139"/>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 xml:space="preserve">The fair value </w:t>
      </w:r>
      <w:r>
        <w:rPr>
          <w:rFonts w:eastAsia="Times New Roman"/>
          <w:color w:val="000000"/>
          <w:sz w:val="16"/>
          <w:szCs w:val="16"/>
        </w:rPr>
        <w:t>of RMBS as of January 1, 2020 includes a cumulative adjustment of $4 million from the adoption of the CECL standard.</w:t>
      </w:r>
    </w:p>
    <w:p w14:paraId="57F74047" w14:textId="77777777" w:rsidR="00000000" w:rsidRDefault="00405D16">
      <w:pPr>
        <w:ind w:hanging="360"/>
        <w:jc w:val="both"/>
        <w:divId w:val="975258355"/>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Includes derivative assets and liabilities of $191 million and $152 million, respectively, as of September 30, 2021 and $153 million and</w:t>
      </w:r>
      <w:r>
        <w:rPr>
          <w:rFonts w:eastAsia="Times New Roman"/>
          <w:color w:val="000000"/>
          <w:sz w:val="16"/>
          <w:szCs w:val="16"/>
        </w:rPr>
        <w:t xml:space="preserve"> $109 million, respectively, as of September 30, 2020.</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084B0B06" w14:textId="77777777">
        <w:trPr>
          <w:divId w:val="872160060"/>
          <w:jc w:val="center"/>
        </w:trPr>
        <w:tc>
          <w:tcPr>
            <w:tcW w:w="50" w:type="pct"/>
            <w:vAlign w:val="center"/>
            <w:hideMark/>
          </w:tcPr>
          <w:p w14:paraId="4369C86C" w14:textId="77777777" w:rsidR="00000000" w:rsidRDefault="00405D16">
            <w:pPr>
              <w:ind w:hanging="360"/>
              <w:jc w:val="both"/>
              <w:rPr>
                <w:rFonts w:eastAsia="Times New Roman"/>
              </w:rPr>
            </w:pPr>
          </w:p>
        </w:tc>
        <w:tc>
          <w:tcPr>
            <w:tcW w:w="1606" w:type="pct"/>
            <w:vAlign w:val="center"/>
            <w:hideMark/>
          </w:tcPr>
          <w:p w14:paraId="4C3AAEE6" w14:textId="77777777" w:rsidR="00000000" w:rsidRDefault="00405D16">
            <w:pPr>
              <w:spacing w:after="100"/>
              <w:rPr>
                <w:rFonts w:eastAsia="Times New Roman"/>
                <w:sz w:val="20"/>
                <w:szCs w:val="20"/>
              </w:rPr>
            </w:pPr>
          </w:p>
        </w:tc>
        <w:tc>
          <w:tcPr>
            <w:tcW w:w="5" w:type="pct"/>
            <w:vAlign w:val="center"/>
            <w:hideMark/>
          </w:tcPr>
          <w:p w14:paraId="02549B54" w14:textId="77777777" w:rsidR="00000000" w:rsidRDefault="00405D16">
            <w:pPr>
              <w:spacing w:after="100"/>
              <w:rPr>
                <w:rFonts w:eastAsia="Times New Roman"/>
                <w:sz w:val="20"/>
                <w:szCs w:val="20"/>
              </w:rPr>
            </w:pPr>
          </w:p>
        </w:tc>
        <w:tc>
          <w:tcPr>
            <w:tcW w:w="50" w:type="pct"/>
            <w:vAlign w:val="center"/>
            <w:hideMark/>
          </w:tcPr>
          <w:p w14:paraId="02D79CF7" w14:textId="77777777" w:rsidR="00000000" w:rsidRDefault="00405D16">
            <w:pPr>
              <w:spacing w:after="100"/>
              <w:rPr>
                <w:rFonts w:eastAsia="Times New Roman"/>
                <w:sz w:val="20"/>
                <w:szCs w:val="20"/>
              </w:rPr>
            </w:pPr>
          </w:p>
        </w:tc>
        <w:tc>
          <w:tcPr>
            <w:tcW w:w="1614" w:type="pct"/>
            <w:vAlign w:val="center"/>
            <w:hideMark/>
          </w:tcPr>
          <w:p w14:paraId="24AD7318" w14:textId="77777777" w:rsidR="00000000" w:rsidRDefault="00405D16">
            <w:pPr>
              <w:spacing w:after="100"/>
              <w:rPr>
                <w:rFonts w:eastAsia="Times New Roman"/>
                <w:sz w:val="20"/>
                <w:szCs w:val="20"/>
              </w:rPr>
            </w:pPr>
          </w:p>
        </w:tc>
        <w:tc>
          <w:tcPr>
            <w:tcW w:w="5" w:type="pct"/>
            <w:vAlign w:val="center"/>
            <w:hideMark/>
          </w:tcPr>
          <w:p w14:paraId="2D253582" w14:textId="77777777" w:rsidR="00000000" w:rsidRDefault="00405D16">
            <w:pPr>
              <w:spacing w:after="100"/>
              <w:rPr>
                <w:rFonts w:eastAsia="Times New Roman"/>
                <w:sz w:val="20"/>
                <w:szCs w:val="20"/>
              </w:rPr>
            </w:pPr>
          </w:p>
        </w:tc>
        <w:tc>
          <w:tcPr>
            <w:tcW w:w="50" w:type="pct"/>
            <w:vAlign w:val="center"/>
            <w:hideMark/>
          </w:tcPr>
          <w:p w14:paraId="07828D9A" w14:textId="77777777" w:rsidR="00000000" w:rsidRDefault="00405D16">
            <w:pPr>
              <w:spacing w:after="100"/>
              <w:rPr>
                <w:rFonts w:eastAsia="Times New Roman"/>
                <w:sz w:val="20"/>
                <w:szCs w:val="20"/>
              </w:rPr>
            </w:pPr>
          </w:p>
        </w:tc>
        <w:tc>
          <w:tcPr>
            <w:tcW w:w="1614" w:type="pct"/>
            <w:vAlign w:val="center"/>
            <w:hideMark/>
          </w:tcPr>
          <w:p w14:paraId="367F0A76" w14:textId="77777777" w:rsidR="00000000" w:rsidRDefault="00405D16">
            <w:pPr>
              <w:spacing w:after="100"/>
              <w:rPr>
                <w:rFonts w:eastAsia="Times New Roman"/>
                <w:sz w:val="20"/>
                <w:szCs w:val="20"/>
              </w:rPr>
            </w:pPr>
          </w:p>
        </w:tc>
        <w:tc>
          <w:tcPr>
            <w:tcW w:w="5" w:type="pct"/>
            <w:vAlign w:val="center"/>
            <w:hideMark/>
          </w:tcPr>
          <w:p w14:paraId="42C12F94" w14:textId="77777777" w:rsidR="00000000" w:rsidRDefault="00405D16">
            <w:pPr>
              <w:spacing w:after="100"/>
              <w:rPr>
                <w:rFonts w:eastAsia="Times New Roman"/>
                <w:sz w:val="20"/>
                <w:szCs w:val="20"/>
              </w:rPr>
            </w:pPr>
          </w:p>
        </w:tc>
      </w:tr>
      <w:tr w:rsidR="00000000" w14:paraId="12DFD651" w14:textId="77777777">
        <w:trPr>
          <w:divId w:val="872160060"/>
          <w:trHeight w:val="300"/>
          <w:jc w:val="center"/>
        </w:trPr>
        <w:tc>
          <w:tcPr>
            <w:tcW w:w="0" w:type="auto"/>
            <w:gridSpan w:val="9"/>
            <w:tcMar>
              <w:top w:w="0" w:type="dxa"/>
              <w:left w:w="20" w:type="dxa"/>
              <w:bottom w:w="0" w:type="dxa"/>
              <w:right w:w="20" w:type="dxa"/>
            </w:tcMar>
            <w:vAlign w:val="center"/>
            <w:hideMark/>
          </w:tcPr>
          <w:p w14:paraId="41F298E1" w14:textId="77777777" w:rsidR="00000000" w:rsidRDefault="00405D16">
            <w:pPr>
              <w:spacing w:after="100"/>
              <w:rPr>
                <w:rFonts w:eastAsia="Times New Roman"/>
                <w:sz w:val="20"/>
                <w:szCs w:val="20"/>
              </w:rPr>
            </w:pPr>
          </w:p>
        </w:tc>
      </w:tr>
      <w:tr w:rsidR="00000000" w14:paraId="56717141" w14:textId="77777777">
        <w:trPr>
          <w:divId w:val="872160060"/>
          <w:jc w:val="center"/>
        </w:trPr>
        <w:tc>
          <w:tcPr>
            <w:tcW w:w="0" w:type="auto"/>
            <w:gridSpan w:val="3"/>
            <w:tcMar>
              <w:top w:w="0" w:type="dxa"/>
              <w:left w:w="20" w:type="dxa"/>
              <w:bottom w:w="0" w:type="dxa"/>
              <w:right w:w="20" w:type="dxa"/>
            </w:tcMar>
            <w:vAlign w:val="center"/>
            <w:hideMark/>
          </w:tcPr>
          <w:p w14:paraId="302DAE74"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38A677D" w14:textId="77777777" w:rsidR="00000000" w:rsidRDefault="00405D16">
            <w:pPr>
              <w:spacing w:after="100"/>
              <w:jc w:val="center"/>
              <w:rPr>
                <w:rFonts w:eastAsia="Times New Roman"/>
              </w:rPr>
            </w:pPr>
            <w:r>
              <w:rPr>
                <w:rFonts w:eastAsia="Times New Roman"/>
                <w:color w:val="000000"/>
                <w:sz w:val="16"/>
                <w:szCs w:val="16"/>
              </w:rPr>
              <w:t>120</w:t>
            </w:r>
          </w:p>
        </w:tc>
        <w:tc>
          <w:tcPr>
            <w:tcW w:w="0" w:type="auto"/>
            <w:gridSpan w:val="3"/>
            <w:tcMar>
              <w:top w:w="30" w:type="dxa"/>
              <w:left w:w="20" w:type="dxa"/>
              <w:bottom w:w="30" w:type="dxa"/>
              <w:right w:w="20" w:type="dxa"/>
            </w:tcMar>
            <w:vAlign w:val="bottom"/>
            <w:hideMark/>
          </w:tcPr>
          <w:p w14:paraId="4FB10DF6"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5912B11D" w14:textId="77777777" w:rsidR="00000000" w:rsidRDefault="00405D16">
      <w:pPr>
        <w:rPr>
          <w:rFonts w:eastAsia="Times New Roman"/>
        </w:rPr>
      </w:pPr>
      <w:r>
        <w:rPr>
          <w:rFonts w:eastAsia="Times New Roman"/>
        </w:rPr>
        <w:pict w14:anchorId="63FEBAF7">
          <v:rect id="_x0000_i1145" style="width:0;height:1.5pt" o:hralign="center" o:hrstd="t" o:hr="t" fillcolor="#a0a0a0" stroked="f"/>
        </w:pict>
      </w:r>
    </w:p>
    <w:p w14:paraId="3D2191F5" w14:textId="77777777" w:rsidR="00000000" w:rsidRDefault="00405D16">
      <w:pPr>
        <w:jc w:val="both"/>
        <w:divId w:val="1736467800"/>
        <w:rPr>
          <w:rFonts w:eastAsia="Times New Roman"/>
        </w:rPr>
      </w:pPr>
      <w:hyperlink w:anchor="idd54a04a485440b4ab4e56094c14d612_13" w:history="1">
        <w:r>
          <w:rPr>
            <w:rStyle w:val="a3"/>
            <w:rFonts w:eastAsia="Times New Roman"/>
            <w:sz w:val="16"/>
            <w:szCs w:val="16"/>
          </w:rPr>
          <w:t>Table of Contents</w:t>
        </w:r>
      </w:hyperlink>
    </w:p>
    <w:p w14:paraId="4BE93779" w14:textId="77777777" w:rsidR="00000000" w:rsidRDefault="00405D16">
      <w:pPr>
        <w:jc w:val="center"/>
        <w:divId w:val="1736467800"/>
        <w:rPr>
          <w:rFonts w:eastAsia="Times New Roman"/>
        </w:rPr>
      </w:pPr>
    </w:p>
    <w:p w14:paraId="4D020422" w14:textId="77777777" w:rsidR="00000000" w:rsidRDefault="00405D16">
      <w:pPr>
        <w:jc w:val="both"/>
        <w:divId w:val="2126345530"/>
        <w:rPr>
          <w:rFonts w:eastAsia="Times New Roman"/>
        </w:rPr>
      </w:pPr>
      <w:r>
        <w:rPr>
          <w:rFonts w:eastAsia="Times New Roman"/>
          <w:b/>
          <w:bCs/>
          <w:color w:val="000000"/>
          <w:sz w:val="20"/>
          <w:szCs w:val="20"/>
        </w:rPr>
        <w:t>Significant Level 3 Fair Value Asset and Liability Inputs</w:t>
      </w:r>
    </w:p>
    <w:p w14:paraId="61656AC2" w14:textId="77777777" w:rsidR="00000000" w:rsidRDefault="00405D16">
      <w:pPr>
        <w:jc w:val="both"/>
        <w:divId w:val="1372655368"/>
        <w:rPr>
          <w:rFonts w:eastAsia="Times New Roman"/>
        </w:rPr>
      </w:pPr>
      <w:r>
        <w:rPr>
          <w:rFonts w:eastAsia="Times New Roman"/>
          <w:color w:val="000000"/>
          <w:sz w:val="20"/>
          <w:szCs w:val="20"/>
        </w:rPr>
        <w:t>Generally, uncertainties in fair value measurements of financial instruments, such as changes in unobservable inputs, may have a significant impact on fair value. Certain of these unobservable inputs will, in isolation, have a directionally consistent impa</w:t>
      </w:r>
      <w:r>
        <w:rPr>
          <w:rFonts w:eastAsia="Times New Roman"/>
          <w:color w:val="000000"/>
          <w:sz w:val="20"/>
          <w:szCs w:val="20"/>
        </w:rPr>
        <w:t>ct on the fair value of the instrument for a given change in that input. Alternatively, the fair value of the instrument may move in an opposite direction for a given change in another input. In general, an increase in the discount rate, default rates, los</w:t>
      </w:r>
      <w:r>
        <w:rPr>
          <w:rFonts w:eastAsia="Times New Roman"/>
          <w:color w:val="000000"/>
          <w:sz w:val="20"/>
          <w:szCs w:val="20"/>
        </w:rPr>
        <w:t>s severity and credit spreads, in isolation, would result in a decrease in the fair value measurement. In addition, an increase in default rates would generally be accompanied by a decrease in recovery rates, slower prepayment rates and an increase in liqu</w:t>
      </w:r>
      <w:r>
        <w:rPr>
          <w:rFonts w:eastAsia="Times New Roman"/>
          <w:color w:val="000000"/>
          <w:sz w:val="20"/>
          <w:szCs w:val="20"/>
        </w:rPr>
        <w:t>idity spreads.</w:t>
      </w:r>
    </w:p>
    <w:p w14:paraId="0ABD8F96" w14:textId="77777777" w:rsidR="00000000" w:rsidRDefault="00405D16">
      <w:pPr>
        <w:jc w:val="both"/>
        <w:divId w:val="1141116704"/>
        <w:rPr>
          <w:rFonts w:eastAsia="Times New Roman"/>
        </w:rPr>
      </w:pPr>
      <w:r>
        <w:rPr>
          <w:rFonts w:eastAsia="Times New Roman"/>
          <w:b/>
          <w:bCs/>
          <w:color w:val="000000"/>
          <w:sz w:val="20"/>
          <w:szCs w:val="20"/>
        </w:rPr>
        <w:t>Techniques and Inputs for Level 3 Fair Value Measurements</w:t>
      </w:r>
    </w:p>
    <w:p w14:paraId="253A31AE" w14:textId="77777777" w:rsidR="00000000" w:rsidRDefault="00405D16">
      <w:pPr>
        <w:jc w:val="both"/>
        <w:divId w:val="1534001370"/>
        <w:rPr>
          <w:rFonts w:eastAsia="Times New Roman"/>
        </w:rPr>
      </w:pPr>
      <w:r>
        <w:rPr>
          <w:rFonts w:eastAsia="Times New Roman"/>
          <w:color w:val="000000"/>
          <w:sz w:val="20"/>
          <w:szCs w:val="20"/>
        </w:rPr>
        <w:t>The following table presents the significant unobservable inputs used to determine the fair values of our Level 3 financial instruments on a recurring basis. We utilize multiple vendo</w:t>
      </w:r>
      <w:r>
        <w:rPr>
          <w:rFonts w:eastAsia="Times New Roman"/>
          <w:color w:val="000000"/>
          <w:sz w:val="20"/>
          <w:szCs w:val="20"/>
        </w:rPr>
        <w:t>r pricing services to obtain fair value for our securities. Several of our vendor pricing services are only able to provide unobservable input information for a limited number of securities due to software licensing restrictions. Other vendor pricing servi</w:t>
      </w:r>
      <w:r>
        <w:rPr>
          <w:rFonts w:eastAsia="Times New Roman"/>
          <w:color w:val="000000"/>
          <w:sz w:val="20"/>
          <w:szCs w:val="20"/>
        </w:rPr>
        <w:t>ces are able to provide unobservable input information for all securities for which they provide a valuation. As a result, the unobservable input information for the securities available for sale presented below represents a composite summary of all inform</w:t>
      </w:r>
      <w:r>
        <w:rPr>
          <w:rFonts w:eastAsia="Times New Roman"/>
          <w:color w:val="000000"/>
          <w:sz w:val="20"/>
          <w:szCs w:val="20"/>
        </w:rPr>
        <w:t>ation we are able to obtain. The unobservable input information for all other Level 3 financial instruments is based on the assumptions used in our internal valuation models.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3C6B1B0B" w14:textId="77777777">
        <w:trPr>
          <w:divId w:val="2058704528"/>
          <w:jc w:val="center"/>
        </w:trPr>
        <w:tc>
          <w:tcPr>
            <w:tcW w:w="50" w:type="pct"/>
            <w:vAlign w:val="center"/>
            <w:hideMark/>
          </w:tcPr>
          <w:p w14:paraId="44909EED" w14:textId="77777777" w:rsidR="00000000" w:rsidRDefault="00405D16">
            <w:pPr>
              <w:jc w:val="both"/>
              <w:rPr>
                <w:rFonts w:eastAsia="Times New Roman"/>
              </w:rPr>
            </w:pPr>
          </w:p>
        </w:tc>
        <w:tc>
          <w:tcPr>
            <w:tcW w:w="1606" w:type="pct"/>
            <w:vAlign w:val="center"/>
            <w:hideMark/>
          </w:tcPr>
          <w:p w14:paraId="7B2DC535" w14:textId="77777777" w:rsidR="00000000" w:rsidRDefault="00405D16">
            <w:pPr>
              <w:spacing w:after="100"/>
              <w:rPr>
                <w:rFonts w:eastAsia="Times New Roman"/>
                <w:sz w:val="20"/>
                <w:szCs w:val="20"/>
              </w:rPr>
            </w:pPr>
          </w:p>
        </w:tc>
        <w:tc>
          <w:tcPr>
            <w:tcW w:w="5" w:type="pct"/>
            <w:vAlign w:val="center"/>
            <w:hideMark/>
          </w:tcPr>
          <w:p w14:paraId="25F37DAA" w14:textId="77777777" w:rsidR="00000000" w:rsidRDefault="00405D16">
            <w:pPr>
              <w:spacing w:after="100"/>
              <w:rPr>
                <w:rFonts w:eastAsia="Times New Roman"/>
                <w:sz w:val="20"/>
                <w:szCs w:val="20"/>
              </w:rPr>
            </w:pPr>
          </w:p>
        </w:tc>
        <w:tc>
          <w:tcPr>
            <w:tcW w:w="50" w:type="pct"/>
            <w:vAlign w:val="center"/>
            <w:hideMark/>
          </w:tcPr>
          <w:p w14:paraId="09289C88" w14:textId="77777777" w:rsidR="00000000" w:rsidRDefault="00405D16">
            <w:pPr>
              <w:spacing w:after="100"/>
              <w:rPr>
                <w:rFonts w:eastAsia="Times New Roman"/>
                <w:sz w:val="20"/>
                <w:szCs w:val="20"/>
              </w:rPr>
            </w:pPr>
          </w:p>
        </w:tc>
        <w:tc>
          <w:tcPr>
            <w:tcW w:w="1614" w:type="pct"/>
            <w:vAlign w:val="center"/>
            <w:hideMark/>
          </w:tcPr>
          <w:p w14:paraId="7609C29A" w14:textId="77777777" w:rsidR="00000000" w:rsidRDefault="00405D16">
            <w:pPr>
              <w:spacing w:after="100"/>
              <w:rPr>
                <w:rFonts w:eastAsia="Times New Roman"/>
                <w:sz w:val="20"/>
                <w:szCs w:val="20"/>
              </w:rPr>
            </w:pPr>
          </w:p>
        </w:tc>
        <w:tc>
          <w:tcPr>
            <w:tcW w:w="5" w:type="pct"/>
            <w:vAlign w:val="center"/>
            <w:hideMark/>
          </w:tcPr>
          <w:p w14:paraId="6F7B8CCC" w14:textId="77777777" w:rsidR="00000000" w:rsidRDefault="00405D16">
            <w:pPr>
              <w:spacing w:after="100"/>
              <w:rPr>
                <w:rFonts w:eastAsia="Times New Roman"/>
                <w:sz w:val="20"/>
                <w:szCs w:val="20"/>
              </w:rPr>
            </w:pPr>
          </w:p>
        </w:tc>
        <w:tc>
          <w:tcPr>
            <w:tcW w:w="50" w:type="pct"/>
            <w:vAlign w:val="center"/>
            <w:hideMark/>
          </w:tcPr>
          <w:p w14:paraId="71D55BE0" w14:textId="77777777" w:rsidR="00000000" w:rsidRDefault="00405D16">
            <w:pPr>
              <w:spacing w:after="100"/>
              <w:rPr>
                <w:rFonts w:eastAsia="Times New Roman"/>
                <w:sz w:val="20"/>
                <w:szCs w:val="20"/>
              </w:rPr>
            </w:pPr>
          </w:p>
        </w:tc>
        <w:tc>
          <w:tcPr>
            <w:tcW w:w="1614" w:type="pct"/>
            <w:vAlign w:val="center"/>
            <w:hideMark/>
          </w:tcPr>
          <w:p w14:paraId="2132A4A0" w14:textId="77777777" w:rsidR="00000000" w:rsidRDefault="00405D16">
            <w:pPr>
              <w:spacing w:after="100"/>
              <w:rPr>
                <w:rFonts w:eastAsia="Times New Roman"/>
                <w:sz w:val="20"/>
                <w:szCs w:val="20"/>
              </w:rPr>
            </w:pPr>
          </w:p>
        </w:tc>
        <w:tc>
          <w:tcPr>
            <w:tcW w:w="5" w:type="pct"/>
            <w:vAlign w:val="center"/>
            <w:hideMark/>
          </w:tcPr>
          <w:p w14:paraId="2EE25888" w14:textId="77777777" w:rsidR="00000000" w:rsidRDefault="00405D16">
            <w:pPr>
              <w:spacing w:after="100"/>
              <w:rPr>
                <w:rFonts w:eastAsia="Times New Roman"/>
                <w:sz w:val="20"/>
                <w:szCs w:val="20"/>
              </w:rPr>
            </w:pPr>
          </w:p>
        </w:tc>
      </w:tr>
      <w:tr w:rsidR="00000000" w14:paraId="3EFEB1A8" w14:textId="77777777">
        <w:trPr>
          <w:divId w:val="2058704528"/>
          <w:trHeight w:val="300"/>
          <w:jc w:val="center"/>
        </w:trPr>
        <w:tc>
          <w:tcPr>
            <w:tcW w:w="0" w:type="auto"/>
            <w:gridSpan w:val="9"/>
            <w:tcMar>
              <w:top w:w="0" w:type="dxa"/>
              <w:left w:w="20" w:type="dxa"/>
              <w:bottom w:w="0" w:type="dxa"/>
              <w:right w:w="20" w:type="dxa"/>
            </w:tcMar>
            <w:vAlign w:val="center"/>
            <w:hideMark/>
          </w:tcPr>
          <w:p w14:paraId="73F95354" w14:textId="77777777" w:rsidR="00000000" w:rsidRDefault="00405D16">
            <w:pPr>
              <w:spacing w:after="100"/>
              <w:rPr>
                <w:rFonts w:eastAsia="Times New Roman"/>
                <w:sz w:val="20"/>
                <w:szCs w:val="20"/>
              </w:rPr>
            </w:pPr>
          </w:p>
        </w:tc>
      </w:tr>
      <w:tr w:rsidR="00000000" w14:paraId="3B1367EA" w14:textId="77777777">
        <w:trPr>
          <w:divId w:val="2058704528"/>
          <w:jc w:val="center"/>
        </w:trPr>
        <w:tc>
          <w:tcPr>
            <w:tcW w:w="0" w:type="auto"/>
            <w:gridSpan w:val="3"/>
            <w:tcMar>
              <w:top w:w="0" w:type="dxa"/>
              <w:left w:w="20" w:type="dxa"/>
              <w:bottom w:w="0" w:type="dxa"/>
              <w:right w:w="20" w:type="dxa"/>
            </w:tcMar>
            <w:vAlign w:val="center"/>
            <w:hideMark/>
          </w:tcPr>
          <w:p w14:paraId="4BF2427D"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7ED81B0" w14:textId="77777777" w:rsidR="00000000" w:rsidRDefault="00405D16">
            <w:pPr>
              <w:spacing w:after="100"/>
              <w:jc w:val="center"/>
              <w:rPr>
                <w:rFonts w:eastAsia="Times New Roman"/>
              </w:rPr>
            </w:pPr>
            <w:r>
              <w:rPr>
                <w:rFonts w:eastAsia="Times New Roman"/>
                <w:color w:val="000000"/>
                <w:sz w:val="16"/>
                <w:szCs w:val="16"/>
              </w:rPr>
              <w:t>121</w:t>
            </w:r>
          </w:p>
        </w:tc>
        <w:tc>
          <w:tcPr>
            <w:tcW w:w="0" w:type="auto"/>
            <w:gridSpan w:val="3"/>
            <w:tcMar>
              <w:top w:w="30" w:type="dxa"/>
              <w:left w:w="20" w:type="dxa"/>
              <w:bottom w:w="30" w:type="dxa"/>
              <w:right w:w="20" w:type="dxa"/>
            </w:tcMar>
            <w:vAlign w:val="bottom"/>
            <w:hideMark/>
          </w:tcPr>
          <w:p w14:paraId="5D951354"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72865326" w14:textId="77777777" w:rsidR="00000000" w:rsidRDefault="00405D16">
      <w:pPr>
        <w:rPr>
          <w:rFonts w:eastAsia="Times New Roman"/>
        </w:rPr>
      </w:pPr>
      <w:r>
        <w:rPr>
          <w:rFonts w:eastAsia="Times New Roman"/>
        </w:rPr>
        <w:pict w14:anchorId="3E577018">
          <v:rect id="_x0000_i1146" style="width:0;height:1.5pt" o:hralign="center" o:hrstd="t" o:hr="t" fillcolor="#a0a0a0" stroked="f"/>
        </w:pict>
      </w:r>
    </w:p>
    <w:p w14:paraId="2630BC29" w14:textId="77777777" w:rsidR="00000000" w:rsidRDefault="00405D16">
      <w:pPr>
        <w:jc w:val="both"/>
        <w:divId w:val="1061057923"/>
        <w:rPr>
          <w:rFonts w:eastAsia="Times New Roman"/>
        </w:rPr>
      </w:pPr>
      <w:hyperlink w:anchor="idd54a04a485440b4ab4e56094c14d612_13" w:history="1">
        <w:r>
          <w:rPr>
            <w:rStyle w:val="a3"/>
            <w:rFonts w:eastAsia="Times New Roman"/>
            <w:sz w:val="16"/>
            <w:szCs w:val="16"/>
          </w:rPr>
          <w:t>Table of Contents</w:t>
        </w:r>
      </w:hyperlink>
    </w:p>
    <w:p w14:paraId="36AF4557" w14:textId="77777777" w:rsidR="00000000" w:rsidRDefault="00405D16">
      <w:pPr>
        <w:jc w:val="center"/>
        <w:divId w:val="1061057923"/>
        <w:rPr>
          <w:rFonts w:eastAsia="Times New Roman"/>
        </w:rPr>
      </w:pPr>
    </w:p>
    <w:p w14:paraId="7D03E947" w14:textId="77777777" w:rsidR="00000000" w:rsidRDefault="00405D16">
      <w:pPr>
        <w:divId w:val="1175998976"/>
        <w:rPr>
          <w:rFonts w:eastAsia="Times New Roman"/>
        </w:rPr>
      </w:pPr>
      <w:r>
        <w:rPr>
          <w:rFonts w:eastAsia="Times New Roman"/>
          <w:b/>
          <w:bCs/>
          <w:color w:val="000000"/>
          <w:sz w:val="18"/>
          <w:szCs w:val="18"/>
        </w:rPr>
        <w:t>Table 11.3: Quantitative Information about Level 3 Fair Value Measurements</w:t>
      </w:r>
    </w:p>
    <w:tbl>
      <w:tblPr>
        <w:tblW w:w="4992" w:type="pct"/>
        <w:tblCellMar>
          <w:top w:w="15" w:type="dxa"/>
          <w:left w:w="15" w:type="dxa"/>
          <w:bottom w:w="15" w:type="dxa"/>
          <w:right w:w="15" w:type="dxa"/>
        </w:tblCellMar>
        <w:tblLook w:val="04A0" w:firstRow="1" w:lastRow="0" w:firstColumn="1" w:lastColumn="0" w:noHBand="0" w:noVBand="1"/>
      </w:tblPr>
      <w:tblGrid>
        <w:gridCol w:w="53"/>
        <w:gridCol w:w="1742"/>
        <w:gridCol w:w="38"/>
        <w:gridCol w:w="36"/>
        <w:gridCol w:w="36"/>
        <w:gridCol w:w="36"/>
        <w:gridCol w:w="111"/>
        <w:gridCol w:w="713"/>
        <w:gridCol w:w="37"/>
        <w:gridCol w:w="36"/>
        <w:gridCol w:w="36"/>
        <w:gridCol w:w="36"/>
        <w:gridCol w:w="70"/>
        <w:gridCol w:w="1215"/>
        <w:gridCol w:w="36"/>
        <w:gridCol w:w="36"/>
        <w:gridCol w:w="36"/>
        <w:gridCol w:w="36"/>
        <w:gridCol w:w="92"/>
        <w:gridCol w:w="1984"/>
        <w:gridCol w:w="36"/>
        <w:gridCol w:w="36"/>
        <w:gridCol w:w="36"/>
        <w:gridCol w:w="36"/>
        <w:gridCol w:w="37"/>
        <w:gridCol w:w="799"/>
        <w:gridCol w:w="36"/>
        <w:gridCol w:w="36"/>
        <w:gridCol w:w="36"/>
        <w:gridCol w:w="36"/>
        <w:gridCol w:w="85"/>
        <w:gridCol w:w="633"/>
        <w:gridCol w:w="36"/>
      </w:tblGrid>
      <w:tr w:rsidR="00000000" w14:paraId="2AC23021" w14:textId="77777777">
        <w:trPr>
          <w:divId w:val="577057563"/>
        </w:trPr>
        <w:tc>
          <w:tcPr>
            <w:tcW w:w="50" w:type="pct"/>
            <w:vAlign w:val="center"/>
            <w:hideMark/>
          </w:tcPr>
          <w:p w14:paraId="1A193E5C" w14:textId="77777777" w:rsidR="00000000" w:rsidRDefault="00405D16">
            <w:pPr>
              <w:rPr>
                <w:rFonts w:eastAsia="Times New Roman"/>
              </w:rPr>
            </w:pPr>
          </w:p>
        </w:tc>
        <w:tc>
          <w:tcPr>
            <w:tcW w:w="1108" w:type="pct"/>
            <w:vAlign w:val="center"/>
            <w:hideMark/>
          </w:tcPr>
          <w:p w14:paraId="557A02BF" w14:textId="77777777" w:rsidR="00000000" w:rsidRDefault="00405D16">
            <w:pPr>
              <w:spacing w:after="100"/>
              <w:rPr>
                <w:rFonts w:eastAsia="Times New Roman"/>
                <w:sz w:val="20"/>
                <w:szCs w:val="20"/>
              </w:rPr>
            </w:pPr>
          </w:p>
        </w:tc>
        <w:tc>
          <w:tcPr>
            <w:tcW w:w="5" w:type="pct"/>
            <w:vAlign w:val="center"/>
            <w:hideMark/>
          </w:tcPr>
          <w:p w14:paraId="44C8437C" w14:textId="77777777" w:rsidR="00000000" w:rsidRDefault="00405D16">
            <w:pPr>
              <w:spacing w:after="100"/>
              <w:rPr>
                <w:rFonts w:eastAsia="Times New Roman"/>
                <w:sz w:val="20"/>
                <w:szCs w:val="20"/>
              </w:rPr>
            </w:pPr>
          </w:p>
        </w:tc>
        <w:tc>
          <w:tcPr>
            <w:tcW w:w="5" w:type="pct"/>
            <w:vAlign w:val="center"/>
            <w:hideMark/>
          </w:tcPr>
          <w:p w14:paraId="51D1CDAD" w14:textId="77777777" w:rsidR="00000000" w:rsidRDefault="00405D16">
            <w:pPr>
              <w:spacing w:after="100"/>
              <w:rPr>
                <w:rFonts w:eastAsia="Times New Roman"/>
                <w:sz w:val="20"/>
                <w:szCs w:val="20"/>
              </w:rPr>
            </w:pPr>
          </w:p>
        </w:tc>
        <w:tc>
          <w:tcPr>
            <w:tcW w:w="26" w:type="pct"/>
            <w:vAlign w:val="center"/>
            <w:hideMark/>
          </w:tcPr>
          <w:p w14:paraId="78CC59AF" w14:textId="77777777" w:rsidR="00000000" w:rsidRDefault="00405D16">
            <w:pPr>
              <w:spacing w:after="100"/>
              <w:rPr>
                <w:rFonts w:eastAsia="Times New Roman"/>
                <w:sz w:val="20"/>
                <w:szCs w:val="20"/>
              </w:rPr>
            </w:pPr>
          </w:p>
        </w:tc>
        <w:tc>
          <w:tcPr>
            <w:tcW w:w="5" w:type="pct"/>
            <w:vAlign w:val="center"/>
            <w:hideMark/>
          </w:tcPr>
          <w:p w14:paraId="529987BC" w14:textId="77777777" w:rsidR="00000000" w:rsidRDefault="00405D16">
            <w:pPr>
              <w:spacing w:after="100"/>
              <w:rPr>
                <w:rFonts w:eastAsia="Times New Roman"/>
                <w:sz w:val="20"/>
                <w:szCs w:val="20"/>
              </w:rPr>
            </w:pPr>
          </w:p>
        </w:tc>
        <w:tc>
          <w:tcPr>
            <w:tcW w:w="50" w:type="pct"/>
            <w:vAlign w:val="center"/>
            <w:hideMark/>
          </w:tcPr>
          <w:p w14:paraId="66F90632" w14:textId="77777777" w:rsidR="00000000" w:rsidRDefault="00405D16">
            <w:pPr>
              <w:spacing w:after="100"/>
              <w:rPr>
                <w:rFonts w:eastAsia="Times New Roman"/>
                <w:sz w:val="20"/>
                <w:szCs w:val="20"/>
              </w:rPr>
            </w:pPr>
          </w:p>
        </w:tc>
        <w:tc>
          <w:tcPr>
            <w:tcW w:w="501" w:type="pct"/>
            <w:vAlign w:val="center"/>
            <w:hideMark/>
          </w:tcPr>
          <w:p w14:paraId="7A6F9044" w14:textId="77777777" w:rsidR="00000000" w:rsidRDefault="00405D16">
            <w:pPr>
              <w:spacing w:after="100"/>
              <w:rPr>
                <w:rFonts w:eastAsia="Times New Roman"/>
                <w:sz w:val="20"/>
                <w:szCs w:val="20"/>
              </w:rPr>
            </w:pPr>
          </w:p>
        </w:tc>
        <w:tc>
          <w:tcPr>
            <w:tcW w:w="5" w:type="pct"/>
            <w:vAlign w:val="center"/>
            <w:hideMark/>
          </w:tcPr>
          <w:p w14:paraId="24FE7452" w14:textId="77777777" w:rsidR="00000000" w:rsidRDefault="00405D16">
            <w:pPr>
              <w:spacing w:after="100"/>
              <w:rPr>
                <w:rFonts w:eastAsia="Times New Roman"/>
                <w:sz w:val="20"/>
                <w:szCs w:val="20"/>
              </w:rPr>
            </w:pPr>
          </w:p>
        </w:tc>
        <w:tc>
          <w:tcPr>
            <w:tcW w:w="5" w:type="pct"/>
            <w:vAlign w:val="center"/>
            <w:hideMark/>
          </w:tcPr>
          <w:p w14:paraId="50C12BC1" w14:textId="77777777" w:rsidR="00000000" w:rsidRDefault="00405D16">
            <w:pPr>
              <w:spacing w:after="100"/>
              <w:rPr>
                <w:rFonts w:eastAsia="Times New Roman"/>
                <w:sz w:val="20"/>
                <w:szCs w:val="20"/>
              </w:rPr>
            </w:pPr>
          </w:p>
        </w:tc>
        <w:tc>
          <w:tcPr>
            <w:tcW w:w="26" w:type="pct"/>
            <w:vAlign w:val="center"/>
            <w:hideMark/>
          </w:tcPr>
          <w:p w14:paraId="1DB86D46" w14:textId="77777777" w:rsidR="00000000" w:rsidRDefault="00405D16">
            <w:pPr>
              <w:spacing w:after="100"/>
              <w:rPr>
                <w:rFonts w:eastAsia="Times New Roman"/>
                <w:sz w:val="20"/>
                <w:szCs w:val="20"/>
              </w:rPr>
            </w:pPr>
          </w:p>
        </w:tc>
        <w:tc>
          <w:tcPr>
            <w:tcW w:w="5" w:type="pct"/>
            <w:vAlign w:val="center"/>
            <w:hideMark/>
          </w:tcPr>
          <w:p w14:paraId="4744C7F5" w14:textId="77777777" w:rsidR="00000000" w:rsidRDefault="00405D16">
            <w:pPr>
              <w:spacing w:after="100"/>
              <w:rPr>
                <w:rFonts w:eastAsia="Times New Roman"/>
                <w:sz w:val="20"/>
                <w:szCs w:val="20"/>
              </w:rPr>
            </w:pPr>
          </w:p>
        </w:tc>
        <w:tc>
          <w:tcPr>
            <w:tcW w:w="50" w:type="pct"/>
            <w:vAlign w:val="center"/>
            <w:hideMark/>
          </w:tcPr>
          <w:p w14:paraId="34B7DE51" w14:textId="77777777" w:rsidR="00000000" w:rsidRDefault="00405D16">
            <w:pPr>
              <w:spacing w:after="100"/>
              <w:rPr>
                <w:rFonts w:eastAsia="Times New Roman"/>
                <w:sz w:val="20"/>
                <w:szCs w:val="20"/>
              </w:rPr>
            </w:pPr>
          </w:p>
        </w:tc>
        <w:tc>
          <w:tcPr>
            <w:tcW w:w="830" w:type="pct"/>
            <w:vAlign w:val="center"/>
            <w:hideMark/>
          </w:tcPr>
          <w:p w14:paraId="0CD89AE0" w14:textId="77777777" w:rsidR="00000000" w:rsidRDefault="00405D16">
            <w:pPr>
              <w:spacing w:after="100"/>
              <w:rPr>
                <w:rFonts w:eastAsia="Times New Roman"/>
                <w:sz w:val="20"/>
                <w:szCs w:val="20"/>
              </w:rPr>
            </w:pPr>
          </w:p>
        </w:tc>
        <w:tc>
          <w:tcPr>
            <w:tcW w:w="5" w:type="pct"/>
            <w:vAlign w:val="center"/>
            <w:hideMark/>
          </w:tcPr>
          <w:p w14:paraId="6CBA47DB" w14:textId="77777777" w:rsidR="00000000" w:rsidRDefault="00405D16">
            <w:pPr>
              <w:spacing w:after="100"/>
              <w:rPr>
                <w:rFonts w:eastAsia="Times New Roman"/>
                <w:sz w:val="20"/>
                <w:szCs w:val="20"/>
              </w:rPr>
            </w:pPr>
          </w:p>
        </w:tc>
        <w:tc>
          <w:tcPr>
            <w:tcW w:w="5" w:type="pct"/>
            <w:vAlign w:val="center"/>
            <w:hideMark/>
          </w:tcPr>
          <w:p w14:paraId="41639D83" w14:textId="77777777" w:rsidR="00000000" w:rsidRDefault="00405D16">
            <w:pPr>
              <w:spacing w:after="100"/>
              <w:rPr>
                <w:rFonts w:eastAsia="Times New Roman"/>
                <w:sz w:val="20"/>
                <w:szCs w:val="20"/>
              </w:rPr>
            </w:pPr>
          </w:p>
        </w:tc>
        <w:tc>
          <w:tcPr>
            <w:tcW w:w="26" w:type="pct"/>
            <w:vAlign w:val="center"/>
            <w:hideMark/>
          </w:tcPr>
          <w:p w14:paraId="259E754C" w14:textId="77777777" w:rsidR="00000000" w:rsidRDefault="00405D16">
            <w:pPr>
              <w:spacing w:after="100"/>
              <w:rPr>
                <w:rFonts w:eastAsia="Times New Roman"/>
                <w:sz w:val="20"/>
                <w:szCs w:val="20"/>
              </w:rPr>
            </w:pPr>
          </w:p>
        </w:tc>
        <w:tc>
          <w:tcPr>
            <w:tcW w:w="5" w:type="pct"/>
            <w:vAlign w:val="center"/>
            <w:hideMark/>
          </w:tcPr>
          <w:p w14:paraId="4B069BC2" w14:textId="77777777" w:rsidR="00000000" w:rsidRDefault="00405D16">
            <w:pPr>
              <w:spacing w:after="100"/>
              <w:rPr>
                <w:rFonts w:eastAsia="Times New Roman"/>
                <w:sz w:val="20"/>
                <w:szCs w:val="20"/>
              </w:rPr>
            </w:pPr>
          </w:p>
        </w:tc>
        <w:tc>
          <w:tcPr>
            <w:tcW w:w="50" w:type="pct"/>
            <w:vAlign w:val="center"/>
            <w:hideMark/>
          </w:tcPr>
          <w:p w14:paraId="57922F53" w14:textId="77777777" w:rsidR="00000000" w:rsidRDefault="00405D16">
            <w:pPr>
              <w:spacing w:after="100"/>
              <w:rPr>
                <w:rFonts w:eastAsia="Times New Roman"/>
                <w:sz w:val="20"/>
                <w:szCs w:val="20"/>
              </w:rPr>
            </w:pPr>
          </w:p>
        </w:tc>
        <w:tc>
          <w:tcPr>
            <w:tcW w:w="1079" w:type="pct"/>
            <w:vAlign w:val="center"/>
            <w:hideMark/>
          </w:tcPr>
          <w:p w14:paraId="1E2E78CB" w14:textId="77777777" w:rsidR="00000000" w:rsidRDefault="00405D16">
            <w:pPr>
              <w:spacing w:after="100"/>
              <w:rPr>
                <w:rFonts w:eastAsia="Times New Roman"/>
                <w:sz w:val="20"/>
                <w:szCs w:val="20"/>
              </w:rPr>
            </w:pPr>
          </w:p>
        </w:tc>
        <w:tc>
          <w:tcPr>
            <w:tcW w:w="5" w:type="pct"/>
            <w:vAlign w:val="center"/>
            <w:hideMark/>
          </w:tcPr>
          <w:p w14:paraId="77DCBDF6" w14:textId="77777777" w:rsidR="00000000" w:rsidRDefault="00405D16">
            <w:pPr>
              <w:spacing w:after="100"/>
              <w:rPr>
                <w:rFonts w:eastAsia="Times New Roman"/>
                <w:sz w:val="20"/>
                <w:szCs w:val="20"/>
              </w:rPr>
            </w:pPr>
          </w:p>
        </w:tc>
        <w:tc>
          <w:tcPr>
            <w:tcW w:w="5" w:type="pct"/>
            <w:vAlign w:val="center"/>
            <w:hideMark/>
          </w:tcPr>
          <w:p w14:paraId="6A708BBD" w14:textId="77777777" w:rsidR="00000000" w:rsidRDefault="00405D16">
            <w:pPr>
              <w:spacing w:after="100"/>
              <w:rPr>
                <w:rFonts w:eastAsia="Times New Roman"/>
                <w:sz w:val="20"/>
                <w:szCs w:val="20"/>
              </w:rPr>
            </w:pPr>
          </w:p>
        </w:tc>
        <w:tc>
          <w:tcPr>
            <w:tcW w:w="26" w:type="pct"/>
            <w:vAlign w:val="center"/>
            <w:hideMark/>
          </w:tcPr>
          <w:p w14:paraId="7AADB7C9" w14:textId="77777777" w:rsidR="00000000" w:rsidRDefault="00405D16">
            <w:pPr>
              <w:spacing w:after="100"/>
              <w:rPr>
                <w:rFonts w:eastAsia="Times New Roman"/>
                <w:sz w:val="20"/>
                <w:szCs w:val="20"/>
              </w:rPr>
            </w:pPr>
          </w:p>
        </w:tc>
        <w:tc>
          <w:tcPr>
            <w:tcW w:w="5" w:type="pct"/>
            <w:vAlign w:val="center"/>
            <w:hideMark/>
          </w:tcPr>
          <w:p w14:paraId="757089F6" w14:textId="77777777" w:rsidR="00000000" w:rsidRDefault="00405D16">
            <w:pPr>
              <w:spacing w:after="100"/>
              <w:rPr>
                <w:rFonts w:eastAsia="Times New Roman"/>
                <w:sz w:val="20"/>
                <w:szCs w:val="20"/>
              </w:rPr>
            </w:pPr>
          </w:p>
        </w:tc>
        <w:tc>
          <w:tcPr>
            <w:tcW w:w="50" w:type="pct"/>
            <w:vAlign w:val="center"/>
            <w:hideMark/>
          </w:tcPr>
          <w:p w14:paraId="79698A97" w14:textId="77777777" w:rsidR="00000000" w:rsidRDefault="00405D16">
            <w:pPr>
              <w:spacing w:after="100"/>
              <w:rPr>
                <w:rFonts w:eastAsia="Times New Roman"/>
                <w:sz w:val="20"/>
                <w:szCs w:val="20"/>
              </w:rPr>
            </w:pPr>
          </w:p>
        </w:tc>
        <w:tc>
          <w:tcPr>
            <w:tcW w:w="589" w:type="pct"/>
            <w:vAlign w:val="center"/>
            <w:hideMark/>
          </w:tcPr>
          <w:p w14:paraId="60F6B62B" w14:textId="77777777" w:rsidR="00000000" w:rsidRDefault="00405D16">
            <w:pPr>
              <w:spacing w:after="100"/>
              <w:rPr>
                <w:rFonts w:eastAsia="Times New Roman"/>
                <w:sz w:val="20"/>
                <w:szCs w:val="20"/>
              </w:rPr>
            </w:pPr>
          </w:p>
        </w:tc>
        <w:tc>
          <w:tcPr>
            <w:tcW w:w="5" w:type="pct"/>
            <w:vAlign w:val="center"/>
            <w:hideMark/>
          </w:tcPr>
          <w:p w14:paraId="73B77E70" w14:textId="77777777" w:rsidR="00000000" w:rsidRDefault="00405D16">
            <w:pPr>
              <w:spacing w:after="100"/>
              <w:rPr>
                <w:rFonts w:eastAsia="Times New Roman"/>
                <w:sz w:val="20"/>
                <w:szCs w:val="20"/>
              </w:rPr>
            </w:pPr>
          </w:p>
        </w:tc>
        <w:tc>
          <w:tcPr>
            <w:tcW w:w="5" w:type="pct"/>
            <w:vAlign w:val="center"/>
            <w:hideMark/>
          </w:tcPr>
          <w:p w14:paraId="617A8153" w14:textId="77777777" w:rsidR="00000000" w:rsidRDefault="00405D16">
            <w:pPr>
              <w:spacing w:after="100"/>
              <w:rPr>
                <w:rFonts w:eastAsia="Times New Roman"/>
                <w:sz w:val="20"/>
                <w:szCs w:val="20"/>
              </w:rPr>
            </w:pPr>
          </w:p>
        </w:tc>
        <w:tc>
          <w:tcPr>
            <w:tcW w:w="26" w:type="pct"/>
            <w:vAlign w:val="center"/>
            <w:hideMark/>
          </w:tcPr>
          <w:p w14:paraId="33C04A0F" w14:textId="77777777" w:rsidR="00000000" w:rsidRDefault="00405D16">
            <w:pPr>
              <w:spacing w:after="100"/>
              <w:rPr>
                <w:rFonts w:eastAsia="Times New Roman"/>
                <w:sz w:val="20"/>
                <w:szCs w:val="20"/>
              </w:rPr>
            </w:pPr>
          </w:p>
        </w:tc>
        <w:tc>
          <w:tcPr>
            <w:tcW w:w="5" w:type="pct"/>
            <w:vAlign w:val="center"/>
            <w:hideMark/>
          </w:tcPr>
          <w:p w14:paraId="72E5F36B" w14:textId="77777777" w:rsidR="00000000" w:rsidRDefault="00405D16">
            <w:pPr>
              <w:spacing w:after="100"/>
              <w:rPr>
                <w:rFonts w:eastAsia="Times New Roman"/>
                <w:sz w:val="20"/>
                <w:szCs w:val="20"/>
              </w:rPr>
            </w:pPr>
          </w:p>
        </w:tc>
        <w:tc>
          <w:tcPr>
            <w:tcW w:w="50" w:type="pct"/>
            <w:vAlign w:val="center"/>
            <w:hideMark/>
          </w:tcPr>
          <w:p w14:paraId="7AB84521" w14:textId="77777777" w:rsidR="00000000" w:rsidRDefault="00405D16">
            <w:pPr>
              <w:spacing w:after="100"/>
              <w:rPr>
                <w:rFonts w:eastAsia="Times New Roman"/>
                <w:sz w:val="20"/>
                <w:szCs w:val="20"/>
              </w:rPr>
            </w:pPr>
          </w:p>
        </w:tc>
        <w:tc>
          <w:tcPr>
            <w:tcW w:w="377" w:type="pct"/>
            <w:vAlign w:val="center"/>
            <w:hideMark/>
          </w:tcPr>
          <w:p w14:paraId="0A410D89" w14:textId="77777777" w:rsidR="00000000" w:rsidRDefault="00405D16">
            <w:pPr>
              <w:spacing w:after="100"/>
              <w:rPr>
                <w:rFonts w:eastAsia="Times New Roman"/>
                <w:sz w:val="20"/>
                <w:szCs w:val="20"/>
              </w:rPr>
            </w:pPr>
          </w:p>
        </w:tc>
        <w:tc>
          <w:tcPr>
            <w:tcW w:w="5" w:type="pct"/>
            <w:vAlign w:val="center"/>
            <w:hideMark/>
          </w:tcPr>
          <w:p w14:paraId="7CB0EEB2" w14:textId="77777777" w:rsidR="00000000" w:rsidRDefault="00405D16">
            <w:pPr>
              <w:spacing w:after="100"/>
              <w:rPr>
                <w:rFonts w:eastAsia="Times New Roman"/>
                <w:sz w:val="20"/>
                <w:szCs w:val="20"/>
              </w:rPr>
            </w:pPr>
          </w:p>
        </w:tc>
      </w:tr>
      <w:tr w:rsidR="00000000" w14:paraId="54D4BFFE" w14:textId="77777777">
        <w:trPr>
          <w:divId w:val="577057563"/>
        </w:trPr>
        <w:tc>
          <w:tcPr>
            <w:tcW w:w="0" w:type="auto"/>
            <w:gridSpan w:val="3"/>
            <w:tcMar>
              <w:top w:w="0" w:type="dxa"/>
              <w:left w:w="20" w:type="dxa"/>
              <w:bottom w:w="0" w:type="dxa"/>
              <w:right w:w="20" w:type="dxa"/>
            </w:tcMar>
            <w:vAlign w:val="center"/>
            <w:hideMark/>
          </w:tcPr>
          <w:p w14:paraId="76BD396D"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45109D3" w14:textId="77777777" w:rsidR="00000000" w:rsidRDefault="00405D16">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43F2CDFA" w14:textId="77777777" w:rsidR="00000000" w:rsidRDefault="00405D16">
            <w:pPr>
              <w:spacing w:after="100"/>
              <w:jc w:val="center"/>
              <w:rPr>
                <w:rFonts w:eastAsia="Times New Roman"/>
              </w:rPr>
            </w:pPr>
            <w:r>
              <w:rPr>
                <w:rFonts w:eastAsia="Times New Roman"/>
                <w:b/>
                <w:bCs/>
                <w:color w:val="000000"/>
                <w:sz w:val="16"/>
                <w:szCs w:val="16"/>
              </w:rPr>
              <w:t>Quantitative Information about Level 3 Fair Value Measurements</w:t>
            </w:r>
          </w:p>
        </w:tc>
      </w:tr>
      <w:tr w:rsidR="00000000" w14:paraId="47EABFD9" w14:textId="77777777">
        <w:trPr>
          <w:divId w:val="577057563"/>
        </w:trPr>
        <w:tc>
          <w:tcPr>
            <w:tcW w:w="0" w:type="auto"/>
            <w:gridSpan w:val="3"/>
            <w:tcMar>
              <w:top w:w="30" w:type="dxa"/>
              <w:left w:w="20" w:type="dxa"/>
              <w:bottom w:w="30" w:type="dxa"/>
              <w:right w:w="20" w:type="dxa"/>
            </w:tcMar>
            <w:vAlign w:val="bottom"/>
            <w:hideMark/>
          </w:tcPr>
          <w:p w14:paraId="00D65AC1"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3A644BAC"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4B7C9BF" w14:textId="77777777" w:rsidR="00000000" w:rsidRDefault="00405D16">
            <w:pPr>
              <w:spacing w:after="100"/>
              <w:jc w:val="center"/>
              <w:rPr>
                <w:rFonts w:eastAsia="Times New Roman"/>
              </w:rPr>
            </w:pPr>
            <w:r>
              <w:rPr>
                <w:rFonts w:eastAsia="Times New Roman"/>
                <w:b/>
                <w:bCs/>
                <w:color w:val="000000"/>
                <w:sz w:val="16"/>
                <w:szCs w:val="16"/>
              </w:rPr>
              <w:t xml:space="preserve">Fair Value at </w:t>
            </w:r>
            <w:r>
              <w:rPr>
                <w:rFonts w:eastAsia="Times New Roman"/>
                <w:b/>
                <w:bCs/>
                <w:color w:val="000000"/>
                <w:sz w:val="16"/>
                <w:szCs w:val="16"/>
              </w:rPr>
              <w:br/>
              <w:t xml:space="preserve">September 30, </w:t>
            </w:r>
            <w:r>
              <w:rPr>
                <w:rFonts w:eastAsia="Times New Roman"/>
                <w:b/>
                <w:bCs/>
                <w:color w:val="000000"/>
                <w:sz w:val="16"/>
                <w:szCs w:val="16"/>
              </w:rPr>
              <w:b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9C3758A" w14:textId="77777777" w:rsidR="00000000" w:rsidRDefault="00405D16">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A80D7BF" w14:textId="77777777" w:rsidR="00000000" w:rsidRDefault="00405D16">
            <w:pPr>
              <w:spacing w:after="100"/>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Valuation</w:t>
            </w:r>
            <w:r>
              <w:rPr>
                <w:rFonts w:eastAsia="Times New Roman"/>
                <w:b/>
                <w:bCs/>
                <w:color w:val="000000"/>
                <w:sz w:val="16"/>
                <w:szCs w:val="16"/>
              </w:rPr>
              <w:br/>
              <w:t>Techniques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BE17F19" w14:textId="77777777" w:rsidR="00000000" w:rsidRDefault="00405D16">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4D5AB37" w14:textId="77777777" w:rsidR="00000000" w:rsidRDefault="00405D16">
            <w:pPr>
              <w:spacing w:after="100"/>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Unobservable</w:t>
            </w:r>
            <w:r>
              <w:rPr>
                <w:rFonts w:eastAsia="Times New Roman"/>
                <w:b/>
                <w:bCs/>
                <w:color w:val="000000"/>
                <w:sz w:val="16"/>
                <w:szCs w:val="16"/>
              </w:rPr>
              <w:br/>
              <w:t>Inputs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4161B40" w14:textId="77777777" w:rsidR="00000000" w:rsidRDefault="00405D16">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F20178E" w14:textId="77777777" w:rsidR="00000000" w:rsidRDefault="00405D16">
            <w:pPr>
              <w:spacing w:after="100"/>
              <w:jc w:val="center"/>
              <w:rPr>
                <w:rFonts w:eastAsia="Times New Roman"/>
              </w:rPr>
            </w:pPr>
            <w:r>
              <w:rPr>
                <w:rFonts w:eastAsia="Times New Roman"/>
                <w:b/>
                <w:bCs/>
                <w:color w:val="000000"/>
                <w:sz w:val="16"/>
                <w:szCs w:val="16"/>
              </w:rPr>
              <w:t>Range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D3469FD" w14:textId="77777777" w:rsidR="00000000" w:rsidRDefault="00405D16">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ED31315" w14:textId="77777777" w:rsidR="00000000" w:rsidRDefault="00405D16">
            <w:pPr>
              <w:spacing w:after="100"/>
              <w:jc w:val="center"/>
              <w:rPr>
                <w:rFonts w:eastAsia="Times New Roman"/>
              </w:rPr>
            </w:pPr>
            <w:r>
              <w:rPr>
                <w:rFonts w:eastAsia="Times New Roman"/>
                <w:b/>
                <w:bCs/>
                <w:color w:val="000000"/>
                <w:sz w:val="16"/>
                <w:szCs w:val="16"/>
              </w:rPr>
              <w:t>Weighted</w:t>
            </w:r>
          </w:p>
          <w:p w14:paraId="628FF65A" w14:textId="77777777" w:rsidR="00000000" w:rsidRDefault="00405D16">
            <w:pPr>
              <w:spacing w:after="100"/>
              <w:jc w:val="center"/>
              <w:rPr>
                <w:rFonts w:eastAsia="Times New Roman"/>
              </w:rPr>
            </w:pPr>
            <w:r>
              <w:rPr>
                <w:rFonts w:eastAsia="Times New Roman"/>
                <w:b/>
                <w:bCs/>
                <w:color w:val="000000"/>
                <w:sz w:val="16"/>
                <w:szCs w:val="16"/>
              </w:rPr>
              <w:t>Averag</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r>
      <w:tr w:rsidR="00000000" w14:paraId="5E324D41" w14:textId="77777777">
        <w:trPr>
          <w:divId w:val="57705756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3CEC9EB" w14:textId="77777777" w:rsidR="00000000" w:rsidRDefault="00405D16">
            <w:pPr>
              <w:spacing w:after="100"/>
              <w:rPr>
                <w:rFonts w:eastAsia="Times New Roman"/>
              </w:rPr>
            </w:pPr>
            <w:r>
              <w:rPr>
                <w:rFonts w:eastAsia="Times New Roman"/>
                <w:color w:val="000000"/>
                <w:sz w:val="18"/>
                <w:szCs w:val="18"/>
              </w:rPr>
              <w:t>Securities available for sale:</w:t>
            </w:r>
          </w:p>
        </w:tc>
        <w:tc>
          <w:tcPr>
            <w:tcW w:w="0" w:type="auto"/>
            <w:gridSpan w:val="3"/>
            <w:shd w:val="clear" w:color="auto" w:fill="CCEEFF"/>
            <w:tcMar>
              <w:top w:w="0" w:type="dxa"/>
              <w:left w:w="20" w:type="dxa"/>
              <w:bottom w:w="0" w:type="dxa"/>
              <w:right w:w="20" w:type="dxa"/>
            </w:tcMar>
            <w:vAlign w:val="center"/>
            <w:hideMark/>
          </w:tcPr>
          <w:p w14:paraId="7F24E6ED"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5BC18E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13DA56"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0AC0A9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1EBAD6"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CF2933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0754E3"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1507E7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10EB75"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C25B8E0" w14:textId="77777777" w:rsidR="00000000" w:rsidRDefault="00405D16">
            <w:pPr>
              <w:spacing w:after="100"/>
              <w:rPr>
                <w:rFonts w:eastAsia="Times New Roman"/>
                <w:sz w:val="20"/>
                <w:szCs w:val="20"/>
              </w:rPr>
            </w:pPr>
          </w:p>
        </w:tc>
      </w:tr>
      <w:tr w:rsidR="00000000" w14:paraId="03D4D5E4" w14:textId="77777777">
        <w:trPr>
          <w:divId w:val="577057563"/>
        </w:trPr>
        <w:tc>
          <w:tcPr>
            <w:tcW w:w="0" w:type="auto"/>
            <w:gridSpan w:val="3"/>
            <w:shd w:val="clear" w:color="auto" w:fill="FFFFFF"/>
            <w:tcMar>
              <w:top w:w="30" w:type="dxa"/>
              <w:left w:w="155" w:type="dxa"/>
              <w:bottom w:w="30" w:type="dxa"/>
              <w:right w:w="20" w:type="dxa"/>
            </w:tcMar>
            <w:hideMark/>
          </w:tcPr>
          <w:p w14:paraId="4ACA9553" w14:textId="77777777" w:rsidR="00000000" w:rsidRDefault="00405D16">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14:paraId="58CF5B68"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hideMark/>
          </w:tcPr>
          <w:p w14:paraId="25F27ED9"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hideMark/>
          </w:tcPr>
          <w:p w14:paraId="62F90B0B" w14:textId="77777777" w:rsidR="00000000" w:rsidRDefault="00405D16">
            <w:pPr>
              <w:spacing w:after="100"/>
              <w:jc w:val="right"/>
              <w:rPr>
                <w:rFonts w:eastAsia="Times New Roman"/>
              </w:rPr>
            </w:pPr>
            <w:r>
              <w:rPr>
                <w:rFonts w:eastAsia="Times New Roman"/>
                <w:b/>
                <w:bCs/>
                <w:color w:val="000000"/>
                <w:sz w:val="18"/>
                <w:szCs w:val="18"/>
              </w:rPr>
              <w:t>253</w:t>
            </w:r>
            <w:r>
              <w:rPr>
                <w:rFonts w:eastAsia="Times New Roman"/>
                <w:color w:val="000000"/>
                <w:sz w:val="18"/>
                <w:szCs w:val="18"/>
              </w:rPr>
              <w:t> </w:t>
            </w:r>
          </w:p>
        </w:tc>
        <w:tc>
          <w:tcPr>
            <w:tcW w:w="0" w:type="auto"/>
            <w:shd w:val="clear" w:color="auto" w:fill="FFFFFF"/>
            <w:tcMar>
              <w:top w:w="30" w:type="dxa"/>
              <w:left w:w="0" w:type="dxa"/>
              <w:bottom w:w="30" w:type="dxa"/>
              <w:right w:w="20" w:type="dxa"/>
            </w:tcMar>
            <w:hideMark/>
          </w:tcPr>
          <w:p w14:paraId="0729986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C7DD50"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4B822D9D" w14:textId="77777777" w:rsidR="00000000" w:rsidRDefault="00405D16">
            <w:pPr>
              <w:spacing w:after="100"/>
              <w:rPr>
                <w:rFonts w:eastAsia="Times New Roman"/>
              </w:rPr>
            </w:pPr>
            <w:r>
              <w:rPr>
                <w:rFonts w:eastAsia="Times New Roman"/>
                <w:color w:val="000000"/>
                <w:sz w:val="18"/>
                <w:szCs w:val="18"/>
              </w:rPr>
              <w:t>Discounted cash flows (vendor pricing)</w:t>
            </w:r>
          </w:p>
        </w:tc>
        <w:tc>
          <w:tcPr>
            <w:tcW w:w="0" w:type="auto"/>
            <w:gridSpan w:val="3"/>
            <w:shd w:val="clear" w:color="auto" w:fill="FFFFFF"/>
            <w:tcMar>
              <w:top w:w="0" w:type="dxa"/>
              <w:left w:w="20" w:type="dxa"/>
              <w:bottom w:w="0" w:type="dxa"/>
              <w:right w:w="20" w:type="dxa"/>
            </w:tcMar>
            <w:vAlign w:val="center"/>
            <w:hideMark/>
          </w:tcPr>
          <w:p w14:paraId="5C1CBAEC" w14:textId="77777777" w:rsidR="00000000" w:rsidRDefault="00405D1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553BD63C" w14:textId="77777777" w:rsidR="00000000" w:rsidRDefault="00405D16">
            <w:pPr>
              <w:spacing w:after="100"/>
              <w:rPr>
                <w:rFonts w:eastAsia="Times New Roman"/>
              </w:rPr>
            </w:pPr>
            <w:r>
              <w:rPr>
                <w:rFonts w:eastAsia="Times New Roman"/>
                <w:color w:val="000000"/>
                <w:sz w:val="18"/>
                <w:szCs w:val="18"/>
              </w:rPr>
              <w:t>Yield</w:t>
            </w:r>
            <w:r>
              <w:rPr>
                <w:rFonts w:eastAsia="Times New Roman"/>
                <w:color w:val="000000"/>
                <w:sz w:val="18"/>
                <w:szCs w:val="18"/>
              </w:rPr>
              <w:br/>
              <w:t>Voluntary prepayment rate</w:t>
            </w:r>
            <w:r>
              <w:rPr>
                <w:rFonts w:eastAsia="Times New Roman"/>
                <w:color w:val="000000"/>
                <w:sz w:val="18"/>
                <w:szCs w:val="18"/>
              </w:rPr>
              <w:br/>
              <w:t>Default rate</w:t>
            </w:r>
            <w:r>
              <w:rPr>
                <w:rFonts w:eastAsia="Times New Roman"/>
                <w:color w:val="000000"/>
                <w:sz w:val="18"/>
                <w:szCs w:val="18"/>
              </w:rPr>
              <w:br/>
              <w:t>Loss severity</w:t>
            </w:r>
          </w:p>
        </w:tc>
        <w:tc>
          <w:tcPr>
            <w:tcW w:w="0" w:type="auto"/>
            <w:gridSpan w:val="3"/>
            <w:shd w:val="clear" w:color="auto" w:fill="FFFFFF"/>
            <w:tcMar>
              <w:top w:w="0" w:type="dxa"/>
              <w:left w:w="20" w:type="dxa"/>
              <w:bottom w:w="0" w:type="dxa"/>
              <w:right w:w="20" w:type="dxa"/>
            </w:tcMar>
            <w:vAlign w:val="center"/>
            <w:hideMark/>
          </w:tcPr>
          <w:p w14:paraId="7396A837" w14:textId="77777777" w:rsidR="00000000" w:rsidRDefault="00405D1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75C03FD0" w14:textId="77777777" w:rsidR="00000000" w:rsidRDefault="00405D16">
            <w:pPr>
              <w:spacing w:after="100"/>
              <w:divId w:val="1945844665"/>
              <w:rPr>
                <w:rFonts w:eastAsia="Times New Roman"/>
              </w:rPr>
            </w:pPr>
            <w:r>
              <w:rPr>
                <w:rFonts w:eastAsia="Times New Roman"/>
                <w:b/>
                <w:bCs/>
                <w:color w:val="000000"/>
                <w:sz w:val="18"/>
                <w:szCs w:val="18"/>
              </w:rPr>
              <w:t>0-17%</w:t>
            </w:r>
          </w:p>
          <w:p w14:paraId="6B5CF5E3" w14:textId="77777777" w:rsidR="00000000" w:rsidRDefault="00405D16">
            <w:pPr>
              <w:spacing w:after="100"/>
              <w:divId w:val="1297181733"/>
              <w:rPr>
                <w:rFonts w:eastAsia="Times New Roman"/>
              </w:rPr>
            </w:pPr>
            <w:r>
              <w:rPr>
                <w:rFonts w:eastAsia="Times New Roman"/>
                <w:b/>
                <w:bCs/>
                <w:color w:val="000000"/>
                <w:sz w:val="18"/>
                <w:szCs w:val="18"/>
              </w:rPr>
              <w:t>5-20%</w:t>
            </w:r>
          </w:p>
          <w:p w14:paraId="6851F1E2" w14:textId="77777777" w:rsidR="00000000" w:rsidRDefault="00405D16">
            <w:pPr>
              <w:spacing w:after="100"/>
              <w:divId w:val="2009748088"/>
              <w:rPr>
                <w:rFonts w:eastAsia="Times New Roman"/>
              </w:rPr>
            </w:pPr>
            <w:r>
              <w:rPr>
                <w:rFonts w:eastAsia="Times New Roman"/>
                <w:b/>
                <w:bCs/>
                <w:color w:val="000000"/>
                <w:sz w:val="18"/>
                <w:szCs w:val="18"/>
              </w:rPr>
              <w:t>1-11%</w:t>
            </w:r>
          </w:p>
          <w:p w14:paraId="2AB96503" w14:textId="77777777" w:rsidR="00000000" w:rsidRDefault="00405D16">
            <w:pPr>
              <w:spacing w:after="100"/>
              <w:divId w:val="1949965707"/>
              <w:rPr>
                <w:rFonts w:eastAsia="Times New Roman"/>
              </w:rPr>
            </w:pPr>
            <w:r>
              <w:rPr>
                <w:rFonts w:eastAsia="Times New Roman"/>
                <w:b/>
                <w:bCs/>
                <w:color w:val="000000"/>
                <w:sz w:val="18"/>
                <w:szCs w:val="18"/>
              </w:rPr>
              <w:t>30-100%</w:t>
            </w:r>
          </w:p>
        </w:tc>
        <w:tc>
          <w:tcPr>
            <w:tcW w:w="0" w:type="auto"/>
            <w:gridSpan w:val="3"/>
            <w:shd w:val="clear" w:color="auto" w:fill="FFFFFF"/>
            <w:tcMar>
              <w:top w:w="0" w:type="dxa"/>
              <w:left w:w="20" w:type="dxa"/>
              <w:bottom w:w="0" w:type="dxa"/>
              <w:right w:w="20" w:type="dxa"/>
            </w:tcMar>
            <w:vAlign w:val="center"/>
            <w:hideMark/>
          </w:tcPr>
          <w:p w14:paraId="2564EBE0" w14:textId="77777777" w:rsidR="00000000" w:rsidRDefault="00405D1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2BB9A44D" w14:textId="77777777" w:rsidR="00000000" w:rsidRDefault="00405D16">
            <w:pPr>
              <w:spacing w:after="100"/>
              <w:divId w:val="1800223759"/>
              <w:rPr>
                <w:rFonts w:eastAsia="Times New Roman"/>
              </w:rPr>
            </w:pPr>
            <w:r>
              <w:rPr>
                <w:rFonts w:eastAsia="Times New Roman"/>
                <w:b/>
                <w:bCs/>
                <w:color w:val="000000"/>
                <w:sz w:val="18"/>
                <w:szCs w:val="18"/>
              </w:rPr>
              <w:t>3%</w:t>
            </w:r>
          </w:p>
          <w:p w14:paraId="0BE0F318" w14:textId="77777777" w:rsidR="00000000" w:rsidRDefault="00405D16">
            <w:pPr>
              <w:spacing w:after="100"/>
              <w:divId w:val="608512517"/>
              <w:rPr>
                <w:rFonts w:eastAsia="Times New Roman"/>
              </w:rPr>
            </w:pPr>
            <w:r>
              <w:rPr>
                <w:rFonts w:eastAsia="Times New Roman"/>
                <w:b/>
                <w:bCs/>
                <w:color w:val="000000"/>
                <w:sz w:val="18"/>
                <w:szCs w:val="18"/>
              </w:rPr>
              <w:t>11%</w:t>
            </w:r>
          </w:p>
          <w:p w14:paraId="4FDAA062" w14:textId="77777777" w:rsidR="00000000" w:rsidRDefault="00405D16">
            <w:pPr>
              <w:spacing w:after="100"/>
              <w:divId w:val="510610288"/>
              <w:rPr>
                <w:rFonts w:eastAsia="Times New Roman"/>
              </w:rPr>
            </w:pPr>
            <w:r>
              <w:rPr>
                <w:rFonts w:eastAsia="Times New Roman"/>
                <w:b/>
                <w:bCs/>
                <w:color w:val="000000"/>
                <w:sz w:val="18"/>
                <w:szCs w:val="18"/>
              </w:rPr>
              <w:t>2</w:t>
            </w:r>
            <w:r>
              <w:rPr>
                <w:rFonts w:eastAsia="Times New Roman"/>
                <w:b/>
                <w:bCs/>
                <w:color w:val="000000"/>
                <w:sz w:val="18"/>
                <w:szCs w:val="18"/>
              </w:rPr>
              <w:t>%</w:t>
            </w:r>
          </w:p>
          <w:p w14:paraId="1147A014" w14:textId="77777777" w:rsidR="00000000" w:rsidRDefault="00405D16">
            <w:pPr>
              <w:spacing w:after="100"/>
              <w:divId w:val="541791897"/>
              <w:rPr>
                <w:rFonts w:eastAsia="Times New Roman"/>
              </w:rPr>
            </w:pPr>
            <w:r>
              <w:rPr>
                <w:rFonts w:eastAsia="Times New Roman"/>
                <w:b/>
                <w:bCs/>
                <w:color w:val="000000"/>
                <w:sz w:val="18"/>
                <w:szCs w:val="18"/>
              </w:rPr>
              <w:t>68%</w:t>
            </w:r>
          </w:p>
        </w:tc>
      </w:tr>
      <w:tr w:rsidR="00000000" w14:paraId="6894BC67" w14:textId="77777777">
        <w:trPr>
          <w:divId w:val="577057563"/>
        </w:trPr>
        <w:tc>
          <w:tcPr>
            <w:tcW w:w="0" w:type="auto"/>
            <w:gridSpan w:val="3"/>
            <w:shd w:val="clear" w:color="auto" w:fill="CCEEFF"/>
            <w:tcMar>
              <w:top w:w="30" w:type="dxa"/>
              <w:left w:w="155" w:type="dxa"/>
              <w:bottom w:w="30" w:type="dxa"/>
              <w:right w:w="20" w:type="dxa"/>
            </w:tcMar>
            <w:hideMark/>
          </w:tcPr>
          <w:p w14:paraId="171E4F44" w14:textId="77777777" w:rsidR="00000000" w:rsidRDefault="00405D16">
            <w:pPr>
              <w:spacing w:after="100"/>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14:paraId="00D3A977"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hideMark/>
          </w:tcPr>
          <w:p w14:paraId="5318F1D4" w14:textId="77777777" w:rsidR="00000000" w:rsidRDefault="00405D16">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CCEEFF"/>
            <w:tcMar>
              <w:top w:w="30" w:type="dxa"/>
              <w:left w:w="0" w:type="dxa"/>
              <w:bottom w:w="30" w:type="dxa"/>
              <w:right w:w="20" w:type="dxa"/>
            </w:tcMar>
            <w:hideMark/>
          </w:tcPr>
          <w:p w14:paraId="7F02234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119C71"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0EAB4F94" w14:textId="77777777" w:rsidR="00000000" w:rsidRDefault="00405D16">
            <w:pPr>
              <w:spacing w:after="100"/>
              <w:rPr>
                <w:rFonts w:eastAsia="Times New Roman"/>
              </w:rPr>
            </w:pPr>
            <w:r>
              <w:rPr>
                <w:rFonts w:eastAsia="Times New Roman"/>
                <w:color w:val="000000"/>
                <w:sz w:val="18"/>
                <w:szCs w:val="18"/>
              </w:rPr>
              <w:t>Discounted cash flows (vendor pricing)</w:t>
            </w:r>
          </w:p>
        </w:tc>
        <w:tc>
          <w:tcPr>
            <w:tcW w:w="0" w:type="auto"/>
            <w:gridSpan w:val="3"/>
            <w:shd w:val="clear" w:color="auto" w:fill="CCEEFF"/>
            <w:tcMar>
              <w:top w:w="0" w:type="dxa"/>
              <w:left w:w="20" w:type="dxa"/>
              <w:bottom w:w="0" w:type="dxa"/>
              <w:right w:w="20" w:type="dxa"/>
            </w:tcMar>
            <w:vAlign w:val="center"/>
            <w:hideMark/>
          </w:tcPr>
          <w:p w14:paraId="5D18A0E7" w14:textId="77777777" w:rsidR="00000000" w:rsidRDefault="00405D16">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14E1AA58" w14:textId="77777777" w:rsidR="00000000" w:rsidRDefault="00405D16">
            <w:pPr>
              <w:spacing w:after="100"/>
              <w:rPr>
                <w:rFonts w:eastAsia="Times New Roman"/>
              </w:rPr>
            </w:pPr>
            <w:r>
              <w:rPr>
                <w:rFonts w:eastAsia="Times New Roman"/>
                <w:color w:val="000000"/>
                <w:sz w:val="18"/>
                <w:szCs w:val="18"/>
              </w:rPr>
              <w:t>Yield</w:t>
            </w:r>
          </w:p>
        </w:tc>
        <w:tc>
          <w:tcPr>
            <w:tcW w:w="0" w:type="auto"/>
            <w:gridSpan w:val="3"/>
            <w:shd w:val="clear" w:color="auto" w:fill="CCEEFF"/>
            <w:tcMar>
              <w:top w:w="0" w:type="dxa"/>
              <w:left w:w="20" w:type="dxa"/>
              <w:bottom w:w="0" w:type="dxa"/>
              <w:right w:w="20" w:type="dxa"/>
            </w:tcMar>
            <w:vAlign w:val="center"/>
            <w:hideMark/>
          </w:tcPr>
          <w:p w14:paraId="30509F14" w14:textId="77777777" w:rsidR="00000000" w:rsidRDefault="00405D16">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1FF38315" w14:textId="77777777" w:rsidR="00000000" w:rsidRDefault="00405D16">
            <w:pPr>
              <w:spacing w:after="100"/>
              <w:divId w:val="2080245565"/>
              <w:rPr>
                <w:rFonts w:eastAsia="Times New Roman"/>
              </w:rPr>
            </w:pPr>
            <w:r>
              <w:rPr>
                <w:rFonts w:eastAsia="Times New Roman"/>
                <w:b/>
                <w:bCs/>
                <w:color w:val="000000"/>
                <w:sz w:val="18"/>
                <w:szCs w:val="18"/>
              </w:rPr>
              <w:t>1%</w:t>
            </w:r>
          </w:p>
        </w:tc>
        <w:tc>
          <w:tcPr>
            <w:tcW w:w="0" w:type="auto"/>
            <w:gridSpan w:val="3"/>
            <w:shd w:val="clear" w:color="auto" w:fill="CCEEFF"/>
            <w:tcMar>
              <w:top w:w="0" w:type="dxa"/>
              <w:left w:w="20" w:type="dxa"/>
              <w:bottom w:w="0" w:type="dxa"/>
              <w:right w:w="20" w:type="dxa"/>
            </w:tcMar>
            <w:vAlign w:val="center"/>
            <w:hideMark/>
          </w:tcPr>
          <w:p w14:paraId="5BF874AD" w14:textId="77777777" w:rsidR="00000000" w:rsidRDefault="00405D16">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65A0E597" w14:textId="77777777" w:rsidR="00000000" w:rsidRDefault="00405D16">
            <w:pPr>
              <w:spacing w:after="100"/>
              <w:divId w:val="1215039568"/>
              <w:rPr>
                <w:rFonts w:eastAsia="Times New Roman"/>
              </w:rPr>
            </w:pPr>
            <w:r>
              <w:rPr>
                <w:rFonts w:eastAsia="Times New Roman"/>
                <w:b/>
                <w:bCs/>
                <w:color w:val="000000"/>
                <w:sz w:val="18"/>
                <w:szCs w:val="18"/>
              </w:rPr>
              <w:t>1%</w:t>
            </w:r>
          </w:p>
        </w:tc>
      </w:tr>
      <w:tr w:rsidR="00000000" w14:paraId="2C6428DA" w14:textId="77777777">
        <w:trPr>
          <w:divId w:val="577057563"/>
        </w:trPr>
        <w:tc>
          <w:tcPr>
            <w:tcW w:w="0" w:type="auto"/>
            <w:gridSpan w:val="3"/>
            <w:shd w:val="clear" w:color="auto" w:fill="FFFFFF"/>
            <w:tcMar>
              <w:top w:w="30" w:type="dxa"/>
              <w:left w:w="20" w:type="dxa"/>
              <w:bottom w:w="30" w:type="dxa"/>
              <w:right w:w="20" w:type="dxa"/>
            </w:tcMar>
            <w:hideMark/>
          </w:tcPr>
          <w:p w14:paraId="2D0CA07F" w14:textId="77777777" w:rsidR="00000000" w:rsidRDefault="00405D16">
            <w:pPr>
              <w:spacing w:after="100"/>
              <w:rPr>
                <w:rFonts w:eastAsia="Times New Roman"/>
              </w:rPr>
            </w:pPr>
            <w:r>
              <w:rPr>
                <w:rFonts w:eastAsia="Times New Roman"/>
                <w:color w:val="000000"/>
                <w:sz w:val="18"/>
                <w:szCs w:val="18"/>
              </w:rPr>
              <w:t>Other assets:</w:t>
            </w:r>
          </w:p>
        </w:tc>
        <w:tc>
          <w:tcPr>
            <w:tcW w:w="0" w:type="auto"/>
            <w:gridSpan w:val="3"/>
            <w:shd w:val="clear" w:color="auto" w:fill="FFFFFF"/>
            <w:tcMar>
              <w:top w:w="0" w:type="dxa"/>
              <w:left w:w="20" w:type="dxa"/>
              <w:bottom w:w="0" w:type="dxa"/>
              <w:right w:w="20" w:type="dxa"/>
            </w:tcMar>
            <w:vAlign w:val="center"/>
            <w:hideMark/>
          </w:tcPr>
          <w:p w14:paraId="58760340"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67834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24B44F"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25E8E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65CF1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C5D2D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371C5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47D87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489F1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0CA009" w14:textId="77777777" w:rsidR="00000000" w:rsidRDefault="00405D16">
            <w:pPr>
              <w:spacing w:after="100"/>
              <w:rPr>
                <w:rFonts w:eastAsia="Times New Roman"/>
                <w:sz w:val="20"/>
                <w:szCs w:val="20"/>
              </w:rPr>
            </w:pPr>
          </w:p>
        </w:tc>
      </w:tr>
      <w:tr w:rsidR="00000000" w14:paraId="04567CA0" w14:textId="77777777">
        <w:trPr>
          <w:divId w:val="577057563"/>
        </w:trPr>
        <w:tc>
          <w:tcPr>
            <w:tcW w:w="0" w:type="auto"/>
            <w:gridSpan w:val="3"/>
            <w:shd w:val="clear" w:color="auto" w:fill="CCEEFF"/>
            <w:tcMar>
              <w:top w:w="30" w:type="dxa"/>
              <w:left w:w="20" w:type="dxa"/>
              <w:bottom w:w="30" w:type="dxa"/>
              <w:right w:w="20" w:type="dxa"/>
            </w:tcMar>
            <w:hideMark/>
          </w:tcPr>
          <w:p w14:paraId="197FF3C9" w14:textId="77777777" w:rsidR="00000000" w:rsidRDefault="00405D16">
            <w:pPr>
              <w:spacing w:after="100"/>
              <w:divId w:val="1909728853"/>
              <w:rPr>
                <w:rFonts w:eastAsia="Times New Roman"/>
              </w:rPr>
            </w:pPr>
            <w:r>
              <w:rPr>
                <w:rFonts w:eastAsia="Times New Roman"/>
                <w:color w:val="000000"/>
                <w:sz w:val="18"/>
                <w:szCs w:val="18"/>
              </w:rPr>
              <w:t>Retained interests in securitization</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5CB82F86"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hideMark/>
          </w:tcPr>
          <w:p w14:paraId="210408CA" w14:textId="77777777" w:rsidR="00000000" w:rsidRDefault="00405D16">
            <w:pPr>
              <w:spacing w:after="100"/>
              <w:jc w:val="right"/>
              <w:rPr>
                <w:rFonts w:eastAsia="Times New Roman"/>
              </w:rPr>
            </w:pPr>
            <w:r>
              <w:rPr>
                <w:rFonts w:eastAsia="Times New Roman"/>
                <w:b/>
                <w:bCs/>
                <w:color w:val="000000"/>
                <w:sz w:val="18"/>
                <w:szCs w:val="18"/>
              </w:rPr>
              <w:t>43</w:t>
            </w:r>
            <w:r>
              <w:rPr>
                <w:rFonts w:eastAsia="Times New Roman"/>
                <w:color w:val="000000"/>
                <w:sz w:val="18"/>
                <w:szCs w:val="18"/>
              </w:rPr>
              <w:t> </w:t>
            </w:r>
          </w:p>
        </w:tc>
        <w:tc>
          <w:tcPr>
            <w:tcW w:w="0" w:type="auto"/>
            <w:shd w:val="clear" w:color="auto" w:fill="CCEEFF"/>
            <w:tcMar>
              <w:top w:w="30" w:type="dxa"/>
              <w:left w:w="0" w:type="dxa"/>
              <w:bottom w:w="30" w:type="dxa"/>
              <w:right w:w="20" w:type="dxa"/>
            </w:tcMar>
            <w:hideMark/>
          </w:tcPr>
          <w:p w14:paraId="32D1F07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020EB2"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58FA8EDD" w14:textId="77777777" w:rsidR="00000000" w:rsidRDefault="00405D16">
            <w:pPr>
              <w:spacing w:after="100"/>
              <w:rPr>
                <w:rFonts w:eastAsia="Times New Roman"/>
              </w:rPr>
            </w:pPr>
            <w:r>
              <w:rPr>
                <w:rFonts w:eastAsia="Times New Roman"/>
                <w:color w:val="000000"/>
                <w:sz w:val="18"/>
                <w:szCs w:val="18"/>
              </w:rPr>
              <w:t>Discounted cash flows</w:t>
            </w:r>
          </w:p>
        </w:tc>
        <w:tc>
          <w:tcPr>
            <w:tcW w:w="0" w:type="auto"/>
            <w:gridSpan w:val="3"/>
            <w:shd w:val="clear" w:color="auto" w:fill="CCEEFF"/>
            <w:tcMar>
              <w:top w:w="0" w:type="dxa"/>
              <w:left w:w="20" w:type="dxa"/>
              <w:bottom w:w="0" w:type="dxa"/>
              <w:right w:w="20" w:type="dxa"/>
            </w:tcMar>
            <w:vAlign w:val="center"/>
            <w:hideMark/>
          </w:tcPr>
          <w:p w14:paraId="1F47AA13" w14:textId="77777777" w:rsidR="00000000" w:rsidRDefault="00405D16">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1B546310" w14:textId="77777777" w:rsidR="00000000" w:rsidRDefault="00405D16">
            <w:pPr>
              <w:spacing w:after="100"/>
              <w:rPr>
                <w:rFonts w:eastAsia="Times New Roman"/>
              </w:rPr>
            </w:pPr>
            <w:r>
              <w:rPr>
                <w:rFonts w:eastAsia="Times New Roman"/>
                <w:color w:val="000000"/>
                <w:sz w:val="18"/>
                <w:szCs w:val="18"/>
              </w:rPr>
              <w:t>Life of receivables </w:t>
            </w:r>
            <w:r>
              <w:rPr>
                <w:rFonts w:eastAsia="Times New Roman"/>
                <w:color w:val="000000"/>
                <w:sz w:val="18"/>
                <w:szCs w:val="18"/>
              </w:rPr>
              <w:t>(months)</w:t>
            </w:r>
            <w:r>
              <w:rPr>
                <w:rFonts w:eastAsia="Times New Roman"/>
                <w:color w:val="000000"/>
                <w:sz w:val="18"/>
                <w:szCs w:val="18"/>
              </w:rPr>
              <w:br/>
              <w:t>Voluntary prepayment rate</w:t>
            </w:r>
            <w:r>
              <w:rPr>
                <w:rFonts w:eastAsia="Times New Roman"/>
                <w:color w:val="000000"/>
                <w:sz w:val="18"/>
                <w:szCs w:val="18"/>
              </w:rPr>
              <w:br/>
              <w:t>Discount rate</w:t>
            </w:r>
            <w:r>
              <w:rPr>
                <w:rFonts w:eastAsia="Times New Roman"/>
                <w:color w:val="000000"/>
                <w:sz w:val="18"/>
                <w:szCs w:val="18"/>
              </w:rPr>
              <w:br/>
              <w:t>Default rate</w:t>
            </w:r>
            <w:r>
              <w:rPr>
                <w:rFonts w:eastAsia="Times New Roman"/>
                <w:color w:val="000000"/>
                <w:sz w:val="18"/>
                <w:szCs w:val="18"/>
              </w:rPr>
              <w:br/>
              <w:t>Loss severity</w:t>
            </w:r>
          </w:p>
        </w:tc>
        <w:tc>
          <w:tcPr>
            <w:tcW w:w="0" w:type="auto"/>
            <w:gridSpan w:val="3"/>
            <w:shd w:val="clear" w:color="auto" w:fill="CCEEFF"/>
            <w:tcMar>
              <w:top w:w="0" w:type="dxa"/>
              <w:left w:w="20" w:type="dxa"/>
              <w:bottom w:w="0" w:type="dxa"/>
              <w:right w:w="20" w:type="dxa"/>
            </w:tcMar>
            <w:vAlign w:val="center"/>
            <w:hideMark/>
          </w:tcPr>
          <w:p w14:paraId="0F690D38" w14:textId="77777777" w:rsidR="00000000" w:rsidRDefault="00405D16">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4C2CDDDB" w14:textId="77777777" w:rsidR="00000000" w:rsidRDefault="00405D16">
            <w:pPr>
              <w:spacing w:after="100"/>
              <w:divId w:val="798035370"/>
              <w:rPr>
                <w:rFonts w:eastAsia="Times New Roman"/>
              </w:rPr>
            </w:pPr>
            <w:r>
              <w:rPr>
                <w:rFonts w:eastAsia="Times New Roman"/>
                <w:b/>
                <w:bCs/>
                <w:color w:val="000000"/>
                <w:sz w:val="18"/>
                <w:szCs w:val="18"/>
              </w:rPr>
              <w:t>30-36</w:t>
            </w:r>
          </w:p>
          <w:p w14:paraId="70480375" w14:textId="77777777" w:rsidR="00000000" w:rsidRDefault="00405D16">
            <w:pPr>
              <w:spacing w:after="100"/>
              <w:divId w:val="1254245331"/>
              <w:rPr>
                <w:rFonts w:eastAsia="Times New Roman"/>
              </w:rPr>
            </w:pPr>
            <w:r>
              <w:rPr>
                <w:rFonts w:eastAsia="Times New Roman"/>
                <w:b/>
                <w:bCs/>
                <w:color w:val="000000"/>
                <w:sz w:val="18"/>
                <w:szCs w:val="18"/>
              </w:rPr>
              <w:t>9-17%</w:t>
            </w:r>
          </w:p>
          <w:p w14:paraId="15B984BC" w14:textId="77777777" w:rsidR="00000000" w:rsidRDefault="00405D16">
            <w:pPr>
              <w:spacing w:after="100"/>
              <w:divId w:val="288166782"/>
              <w:rPr>
                <w:rFonts w:eastAsia="Times New Roman"/>
              </w:rPr>
            </w:pPr>
            <w:r>
              <w:rPr>
                <w:rFonts w:eastAsia="Times New Roman"/>
                <w:b/>
                <w:bCs/>
                <w:color w:val="000000"/>
                <w:sz w:val="18"/>
                <w:szCs w:val="18"/>
              </w:rPr>
              <w:t>2-8%</w:t>
            </w:r>
          </w:p>
          <w:p w14:paraId="0925E310" w14:textId="77777777" w:rsidR="00000000" w:rsidRDefault="00405D16">
            <w:pPr>
              <w:spacing w:after="100"/>
              <w:divId w:val="1467770912"/>
              <w:rPr>
                <w:rFonts w:eastAsia="Times New Roman"/>
              </w:rPr>
            </w:pPr>
            <w:r>
              <w:rPr>
                <w:rFonts w:eastAsia="Times New Roman"/>
                <w:b/>
                <w:bCs/>
                <w:color w:val="000000"/>
                <w:sz w:val="18"/>
                <w:szCs w:val="18"/>
              </w:rPr>
              <w:t>2-4%</w:t>
            </w:r>
          </w:p>
          <w:p w14:paraId="0D848A39" w14:textId="77777777" w:rsidR="00000000" w:rsidRDefault="00405D16">
            <w:pPr>
              <w:spacing w:after="100"/>
              <w:divId w:val="767696836"/>
              <w:rPr>
                <w:rFonts w:eastAsia="Times New Roman"/>
              </w:rPr>
            </w:pPr>
            <w:r>
              <w:rPr>
                <w:rFonts w:eastAsia="Times New Roman"/>
                <w:b/>
                <w:bCs/>
                <w:color w:val="000000"/>
                <w:sz w:val="18"/>
                <w:szCs w:val="18"/>
              </w:rPr>
              <w:t>56-151%</w:t>
            </w:r>
          </w:p>
        </w:tc>
        <w:tc>
          <w:tcPr>
            <w:tcW w:w="0" w:type="auto"/>
            <w:gridSpan w:val="3"/>
            <w:shd w:val="clear" w:color="auto" w:fill="CCEEFF"/>
            <w:tcMar>
              <w:top w:w="0" w:type="dxa"/>
              <w:left w:w="20" w:type="dxa"/>
              <w:bottom w:w="0" w:type="dxa"/>
              <w:right w:w="20" w:type="dxa"/>
            </w:tcMar>
            <w:vAlign w:val="center"/>
            <w:hideMark/>
          </w:tcPr>
          <w:p w14:paraId="30B76308" w14:textId="77777777" w:rsidR="00000000" w:rsidRDefault="00405D16">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065EF7D6" w14:textId="77777777" w:rsidR="00000000" w:rsidRDefault="00405D16">
            <w:pPr>
              <w:spacing w:after="100"/>
              <w:rPr>
                <w:rFonts w:eastAsia="Times New Roman"/>
              </w:rPr>
            </w:pPr>
            <w:r>
              <w:rPr>
                <w:rFonts w:eastAsia="Times New Roman"/>
                <w:b/>
                <w:bCs/>
                <w:color w:val="000000"/>
                <w:sz w:val="18"/>
                <w:szCs w:val="18"/>
              </w:rPr>
              <w:t>N/A</w:t>
            </w:r>
          </w:p>
        </w:tc>
      </w:tr>
      <w:tr w:rsidR="00000000" w14:paraId="280E9D78" w14:textId="77777777">
        <w:trPr>
          <w:divId w:val="577057563"/>
        </w:trPr>
        <w:tc>
          <w:tcPr>
            <w:tcW w:w="0" w:type="auto"/>
            <w:gridSpan w:val="3"/>
            <w:shd w:val="clear" w:color="auto" w:fill="FFFFFF"/>
            <w:tcMar>
              <w:top w:w="30" w:type="dxa"/>
              <w:left w:w="20" w:type="dxa"/>
              <w:bottom w:w="30" w:type="dxa"/>
              <w:right w:w="20" w:type="dxa"/>
            </w:tcMar>
            <w:hideMark/>
          </w:tcPr>
          <w:p w14:paraId="04F7BC3A" w14:textId="77777777" w:rsidR="00000000" w:rsidRDefault="00405D16">
            <w:pPr>
              <w:spacing w:after="100"/>
              <w:rPr>
                <w:rFonts w:eastAsia="Times New Roman"/>
              </w:rPr>
            </w:pPr>
            <w:r>
              <w:rPr>
                <w:rFonts w:eastAsia="Times New Roman"/>
                <w:color w:val="000000"/>
                <w:sz w:val="18"/>
                <w:szCs w:val="18"/>
              </w:rPr>
              <w:t>Net derivative assets (liabilities)</w:t>
            </w:r>
          </w:p>
        </w:tc>
        <w:tc>
          <w:tcPr>
            <w:tcW w:w="0" w:type="auto"/>
            <w:gridSpan w:val="3"/>
            <w:shd w:val="clear" w:color="auto" w:fill="FFFFFF"/>
            <w:tcMar>
              <w:top w:w="0" w:type="dxa"/>
              <w:left w:w="20" w:type="dxa"/>
              <w:bottom w:w="0" w:type="dxa"/>
              <w:right w:w="20" w:type="dxa"/>
            </w:tcMar>
            <w:vAlign w:val="center"/>
            <w:hideMark/>
          </w:tcPr>
          <w:p w14:paraId="2EFCB618"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hideMark/>
          </w:tcPr>
          <w:p w14:paraId="2FE272F6" w14:textId="77777777" w:rsidR="00000000" w:rsidRDefault="00405D16">
            <w:pPr>
              <w:spacing w:after="100"/>
              <w:jc w:val="right"/>
              <w:rPr>
                <w:rFonts w:eastAsia="Times New Roman"/>
              </w:rPr>
            </w:pPr>
            <w:r>
              <w:rPr>
                <w:rFonts w:eastAsia="Times New Roman"/>
                <w:b/>
                <w:bCs/>
                <w:color w:val="000000"/>
                <w:sz w:val="18"/>
                <w:szCs w:val="18"/>
              </w:rPr>
              <w:t>39</w:t>
            </w:r>
            <w:r>
              <w:rPr>
                <w:rFonts w:eastAsia="Times New Roman"/>
                <w:color w:val="000000"/>
                <w:sz w:val="18"/>
                <w:szCs w:val="18"/>
              </w:rPr>
              <w:t> </w:t>
            </w:r>
          </w:p>
        </w:tc>
        <w:tc>
          <w:tcPr>
            <w:tcW w:w="0" w:type="auto"/>
            <w:shd w:val="clear" w:color="auto" w:fill="FFFFFF"/>
            <w:tcMar>
              <w:top w:w="30" w:type="dxa"/>
              <w:left w:w="0" w:type="dxa"/>
              <w:bottom w:w="30" w:type="dxa"/>
              <w:right w:w="20" w:type="dxa"/>
            </w:tcMar>
            <w:hideMark/>
          </w:tcPr>
          <w:p w14:paraId="1D6122B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7D3D57"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09A7064E" w14:textId="77777777" w:rsidR="00000000" w:rsidRDefault="00405D16">
            <w:pPr>
              <w:spacing w:after="100"/>
              <w:rPr>
                <w:rFonts w:eastAsia="Times New Roman"/>
              </w:rPr>
            </w:pPr>
            <w:r>
              <w:rPr>
                <w:rFonts w:eastAsia="Times New Roman"/>
                <w:color w:val="000000"/>
                <w:sz w:val="18"/>
                <w:szCs w:val="18"/>
              </w:rPr>
              <w:t>Discounted cash flows</w:t>
            </w:r>
          </w:p>
        </w:tc>
        <w:tc>
          <w:tcPr>
            <w:tcW w:w="0" w:type="auto"/>
            <w:gridSpan w:val="3"/>
            <w:shd w:val="clear" w:color="auto" w:fill="FFFFFF"/>
            <w:tcMar>
              <w:top w:w="0" w:type="dxa"/>
              <w:left w:w="20" w:type="dxa"/>
              <w:bottom w:w="0" w:type="dxa"/>
              <w:right w:w="20" w:type="dxa"/>
            </w:tcMar>
            <w:vAlign w:val="center"/>
            <w:hideMark/>
          </w:tcPr>
          <w:p w14:paraId="67A98DB0" w14:textId="77777777" w:rsidR="00000000" w:rsidRDefault="00405D1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6EAD9158" w14:textId="77777777" w:rsidR="00000000" w:rsidRDefault="00405D16">
            <w:pPr>
              <w:spacing w:after="100"/>
              <w:rPr>
                <w:rFonts w:eastAsia="Times New Roman"/>
              </w:rPr>
            </w:pPr>
            <w:r>
              <w:rPr>
                <w:rFonts w:eastAsia="Times New Roman"/>
                <w:color w:val="000000"/>
                <w:sz w:val="18"/>
                <w:szCs w:val="18"/>
              </w:rPr>
              <w:t>Swap rates</w:t>
            </w:r>
          </w:p>
        </w:tc>
        <w:tc>
          <w:tcPr>
            <w:tcW w:w="0" w:type="auto"/>
            <w:gridSpan w:val="3"/>
            <w:shd w:val="clear" w:color="auto" w:fill="FFFFFF"/>
            <w:tcMar>
              <w:top w:w="0" w:type="dxa"/>
              <w:left w:w="20" w:type="dxa"/>
              <w:bottom w:w="0" w:type="dxa"/>
              <w:right w:w="20" w:type="dxa"/>
            </w:tcMar>
            <w:vAlign w:val="center"/>
            <w:hideMark/>
          </w:tcPr>
          <w:p w14:paraId="13ADD934" w14:textId="77777777" w:rsidR="00000000" w:rsidRDefault="00405D1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0F7259AA" w14:textId="77777777" w:rsidR="00000000" w:rsidRDefault="00405D16">
            <w:pPr>
              <w:spacing w:after="100"/>
              <w:divId w:val="1083146235"/>
              <w:rPr>
                <w:rFonts w:eastAsia="Times New Roman"/>
              </w:rPr>
            </w:pPr>
            <w:r>
              <w:rPr>
                <w:rFonts w:eastAsia="Times New Roman"/>
                <w:b/>
                <w:bCs/>
                <w:color w:val="000000"/>
                <w:sz w:val="18"/>
                <w:szCs w:val="18"/>
              </w:rPr>
              <w:t>1-2%</w:t>
            </w:r>
          </w:p>
        </w:tc>
        <w:tc>
          <w:tcPr>
            <w:tcW w:w="0" w:type="auto"/>
            <w:gridSpan w:val="3"/>
            <w:shd w:val="clear" w:color="auto" w:fill="FFFFFF"/>
            <w:tcMar>
              <w:top w:w="0" w:type="dxa"/>
              <w:left w:w="20" w:type="dxa"/>
              <w:bottom w:w="0" w:type="dxa"/>
              <w:right w:w="20" w:type="dxa"/>
            </w:tcMar>
            <w:vAlign w:val="center"/>
            <w:hideMark/>
          </w:tcPr>
          <w:p w14:paraId="30E683F5" w14:textId="77777777" w:rsidR="00000000" w:rsidRDefault="00405D1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1661267F" w14:textId="77777777" w:rsidR="00000000" w:rsidRDefault="00405D16">
            <w:pPr>
              <w:spacing w:after="100"/>
              <w:rPr>
                <w:rFonts w:eastAsia="Times New Roman"/>
              </w:rPr>
            </w:pPr>
            <w:r>
              <w:rPr>
                <w:rFonts w:eastAsia="Times New Roman"/>
                <w:b/>
                <w:bCs/>
                <w:color w:val="000000"/>
                <w:sz w:val="18"/>
                <w:szCs w:val="18"/>
              </w:rPr>
              <w:t>1%</w:t>
            </w: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1837"/>
        <w:gridCol w:w="144"/>
        <w:gridCol w:w="144"/>
        <w:gridCol w:w="144"/>
        <w:gridCol w:w="144"/>
        <w:gridCol w:w="144"/>
        <w:gridCol w:w="830"/>
        <w:gridCol w:w="144"/>
        <w:gridCol w:w="144"/>
        <w:gridCol w:w="144"/>
        <w:gridCol w:w="144"/>
        <w:gridCol w:w="144"/>
        <w:gridCol w:w="1376"/>
        <w:gridCol w:w="144"/>
        <w:gridCol w:w="144"/>
        <w:gridCol w:w="144"/>
        <w:gridCol w:w="144"/>
        <w:gridCol w:w="144"/>
        <w:gridCol w:w="1789"/>
        <w:gridCol w:w="144"/>
        <w:gridCol w:w="144"/>
        <w:gridCol w:w="144"/>
        <w:gridCol w:w="144"/>
        <w:gridCol w:w="144"/>
        <w:gridCol w:w="976"/>
        <w:gridCol w:w="144"/>
        <w:gridCol w:w="144"/>
        <w:gridCol w:w="144"/>
        <w:gridCol w:w="144"/>
        <w:gridCol w:w="144"/>
        <w:gridCol w:w="625"/>
        <w:gridCol w:w="144"/>
      </w:tblGrid>
      <w:tr w:rsidR="00000000" w14:paraId="75009F80" w14:textId="77777777">
        <w:tc>
          <w:tcPr>
            <w:tcW w:w="50" w:type="pct"/>
            <w:vAlign w:val="center"/>
            <w:hideMark/>
          </w:tcPr>
          <w:p w14:paraId="53BBDB6F" w14:textId="77777777" w:rsidR="00000000" w:rsidRDefault="00405D16">
            <w:pPr>
              <w:rPr>
                <w:rFonts w:eastAsia="Times New Roman"/>
              </w:rPr>
            </w:pPr>
          </w:p>
        </w:tc>
        <w:tc>
          <w:tcPr>
            <w:tcW w:w="1108" w:type="pct"/>
            <w:vAlign w:val="center"/>
            <w:hideMark/>
          </w:tcPr>
          <w:p w14:paraId="68DE1F2B" w14:textId="77777777" w:rsidR="00000000" w:rsidRDefault="00405D16">
            <w:pPr>
              <w:spacing w:after="100"/>
              <w:rPr>
                <w:rFonts w:eastAsia="Times New Roman"/>
                <w:sz w:val="20"/>
                <w:szCs w:val="20"/>
              </w:rPr>
            </w:pPr>
          </w:p>
        </w:tc>
        <w:tc>
          <w:tcPr>
            <w:tcW w:w="5" w:type="pct"/>
            <w:vAlign w:val="center"/>
            <w:hideMark/>
          </w:tcPr>
          <w:p w14:paraId="2C5E9967" w14:textId="77777777" w:rsidR="00000000" w:rsidRDefault="00405D16">
            <w:pPr>
              <w:spacing w:after="100"/>
              <w:rPr>
                <w:rFonts w:eastAsia="Times New Roman"/>
                <w:sz w:val="20"/>
                <w:szCs w:val="20"/>
              </w:rPr>
            </w:pPr>
          </w:p>
        </w:tc>
        <w:tc>
          <w:tcPr>
            <w:tcW w:w="5" w:type="pct"/>
            <w:vAlign w:val="center"/>
            <w:hideMark/>
          </w:tcPr>
          <w:p w14:paraId="442FC3A8" w14:textId="77777777" w:rsidR="00000000" w:rsidRDefault="00405D16">
            <w:pPr>
              <w:spacing w:after="100"/>
              <w:rPr>
                <w:rFonts w:eastAsia="Times New Roman"/>
                <w:sz w:val="20"/>
                <w:szCs w:val="20"/>
              </w:rPr>
            </w:pPr>
          </w:p>
        </w:tc>
        <w:tc>
          <w:tcPr>
            <w:tcW w:w="26" w:type="pct"/>
            <w:vAlign w:val="center"/>
            <w:hideMark/>
          </w:tcPr>
          <w:p w14:paraId="7771E98E" w14:textId="77777777" w:rsidR="00000000" w:rsidRDefault="00405D16">
            <w:pPr>
              <w:spacing w:after="100"/>
              <w:rPr>
                <w:rFonts w:eastAsia="Times New Roman"/>
                <w:sz w:val="20"/>
                <w:szCs w:val="20"/>
              </w:rPr>
            </w:pPr>
          </w:p>
        </w:tc>
        <w:tc>
          <w:tcPr>
            <w:tcW w:w="5" w:type="pct"/>
            <w:vAlign w:val="center"/>
            <w:hideMark/>
          </w:tcPr>
          <w:p w14:paraId="6819F182" w14:textId="77777777" w:rsidR="00000000" w:rsidRDefault="00405D16">
            <w:pPr>
              <w:spacing w:after="100"/>
              <w:rPr>
                <w:rFonts w:eastAsia="Times New Roman"/>
                <w:sz w:val="20"/>
                <w:szCs w:val="20"/>
              </w:rPr>
            </w:pPr>
          </w:p>
        </w:tc>
        <w:tc>
          <w:tcPr>
            <w:tcW w:w="50" w:type="pct"/>
            <w:vAlign w:val="center"/>
            <w:hideMark/>
          </w:tcPr>
          <w:p w14:paraId="4652EB0F" w14:textId="77777777" w:rsidR="00000000" w:rsidRDefault="00405D16">
            <w:pPr>
              <w:spacing w:after="100"/>
              <w:rPr>
                <w:rFonts w:eastAsia="Times New Roman"/>
                <w:sz w:val="20"/>
                <w:szCs w:val="20"/>
              </w:rPr>
            </w:pPr>
          </w:p>
        </w:tc>
        <w:tc>
          <w:tcPr>
            <w:tcW w:w="501" w:type="pct"/>
            <w:vAlign w:val="center"/>
            <w:hideMark/>
          </w:tcPr>
          <w:p w14:paraId="76106853" w14:textId="77777777" w:rsidR="00000000" w:rsidRDefault="00405D16">
            <w:pPr>
              <w:spacing w:after="100"/>
              <w:rPr>
                <w:rFonts w:eastAsia="Times New Roman"/>
                <w:sz w:val="20"/>
                <w:szCs w:val="20"/>
              </w:rPr>
            </w:pPr>
          </w:p>
        </w:tc>
        <w:tc>
          <w:tcPr>
            <w:tcW w:w="5" w:type="pct"/>
            <w:vAlign w:val="center"/>
            <w:hideMark/>
          </w:tcPr>
          <w:p w14:paraId="6E7F3C19" w14:textId="77777777" w:rsidR="00000000" w:rsidRDefault="00405D16">
            <w:pPr>
              <w:spacing w:after="100"/>
              <w:rPr>
                <w:rFonts w:eastAsia="Times New Roman"/>
                <w:sz w:val="20"/>
                <w:szCs w:val="20"/>
              </w:rPr>
            </w:pPr>
          </w:p>
        </w:tc>
        <w:tc>
          <w:tcPr>
            <w:tcW w:w="5" w:type="pct"/>
            <w:vAlign w:val="center"/>
            <w:hideMark/>
          </w:tcPr>
          <w:p w14:paraId="22318657" w14:textId="77777777" w:rsidR="00000000" w:rsidRDefault="00405D16">
            <w:pPr>
              <w:spacing w:after="100"/>
              <w:rPr>
                <w:rFonts w:eastAsia="Times New Roman"/>
                <w:sz w:val="20"/>
                <w:szCs w:val="20"/>
              </w:rPr>
            </w:pPr>
          </w:p>
        </w:tc>
        <w:tc>
          <w:tcPr>
            <w:tcW w:w="26" w:type="pct"/>
            <w:vAlign w:val="center"/>
            <w:hideMark/>
          </w:tcPr>
          <w:p w14:paraId="60FB89CD" w14:textId="77777777" w:rsidR="00000000" w:rsidRDefault="00405D16">
            <w:pPr>
              <w:spacing w:after="100"/>
              <w:rPr>
                <w:rFonts w:eastAsia="Times New Roman"/>
                <w:sz w:val="20"/>
                <w:szCs w:val="20"/>
              </w:rPr>
            </w:pPr>
          </w:p>
        </w:tc>
        <w:tc>
          <w:tcPr>
            <w:tcW w:w="5" w:type="pct"/>
            <w:vAlign w:val="center"/>
            <w:hideMark/>
          </w:tcPr>
          <w:p w14:paraId="2CE26147" w14:textId="77777777" w:rsidR="00000000" w:rsidRDefault="00405D16">
            <w:pPr>
              <w:spacing w:after="100"/>
              <w:rPr>
                <w:rFonts w:eastAsia="Times New Roman"/>
                <w:sz w:val="20"/>
                <w:szCs w:val="20"/>
              </w:rPr>
            </w:pPr>
          </w:p>
        </w:tc>
        <w:tc>
          <w:tcPr>
            <w:tcW w:w="50" w:type="pct"/>
            <w:vAlign w:val="center"/>
            <w:hideMark/>
          </w:tcPr>
          <w:p w14:paraId="03BAB88A" w14:textId="77777777" w:rsidR="00000000" w:rsidRDefault="00405D16">
            <w:pPr>
              <w:spacing w:after="100"/>
              <w:rPr>
                <w:rFonts w:eastAsia="Times New Roman"/>
                <w:sz w:val="20"/>
                <w:szCs w:val="20"/>
              </w:rPr>
            </w:pPr>
          </w:p>
        </w:tc>
        <w:tc>
          <w:tcPr>
            <w:tcW w:w="830" w:type="pct"/>
            <w:vAlign w:val="center"/>
            <w:hideMark/>
          </w:tcPr>
          <w:p w14:paraId="2D462E25" w14:textId="77777777" w:rsidR="00000000" w:rsidRDefault="00405D16">
            <w:pPr>
              <w:spacing w:after="100"/>
              <w:rPr>
                <w:rFonts w:eastAsia="Times New Roman"/>
                <w:sz w:val="20"/>
                <w:szCs w:val="20"/>
              </w:rPr>
            </w:pPr>
          </w:p>
        </w:tc>
        <w:tc>
          <w:tcPr>
            <w:tcW w:w="5" w:type="pct"/>
            <w:vAlign w:val="center"/>
            <w:hideMark/>
          </w:tcPr>
          <w:p w14:paraId="78651B21" w14:textId="77777777" w:rsidR="00000000" w:rsidRDefault="00405D16">
            <w:pPr>
              <w:spacing w:after="100"/>
              <w:rPr>
                <w:rFonts w:eastAsia="Times New Roman"/>
                <w:sz w:val="20"/>
                <w:szCs w:val="20"/>
              </w:rPr>
            </w:pPr>
          </w:p>
        </w:tc>
        <w:tc>
          <w:tcPr>
            <w:tcW w:w="5" w:type="pct"/>
            <w:vAlign w:val="center"/>
            <w:hideMark/>
          </w:tcPr>
          <w:p w14:paraId="59CEAB16" w14:textId="77777777" w:rsidR="00000000" w:rsidRDefault="00405D16">
            <w:pPr>
              <w:spacing w:after="100"/>
              <w:rPr>
                <w:rFonts w:eastAsia="Times New Roman"/>
                <w:sz w:val="20"/>
                <w:szCs w:val="20"/>
              </w:rPr>
            </w:pPr>
          </w:p>
        </w:tc>
        <w:tc>
          <w:tcPr>
            <w:tcW w:w="26" w:type="pct"/>
            <w:vAlign w:val="center"/>
            <w:hideMark/>
          </w:tcPr>
          <w:p w14:paraId="68864C9F" w14:textId="77777777" w:rsidR="00000000" w:rsidRDefault="00405D16">
            <w:pPr>
              <w:spacing w:after="100"/>
              <w:rPr>
                <w:rFonts w:eastAsia="Times New Roman"/>
                <w:sz w:val="20"/>
                <w:szCs w:val="20"/>
              </w:rPr>
            </w:pPr>
          </w:p>
        </w:tc>
        <w:tc>
          <w:tcPr>
            <w:tcW w:w="5" w:type="pct"/>
            <w:vAlign w:val="center"/>
            <w:hideMark/>
          </w:tcPr>
          <w:p w14:paraId="0336639B" w14:textId="77777777" w:rsidR="00000000" w:rsidRDefault="00405D16">
            <w:pPr>
              <w:spacing w:after="100"/>
              <w:rPr>
                <w:rFonts w:eastAsia="Times New Roman"/>
                <w:sz w:val="20"/>
                <w:szCs w:val="20"/>
              </w:rPr>
            </w:pPr>
          </w:p>
        </w:tc>
        <w:tc>
          <w:tcPr>
            <w:tcW w:w="50" w:type="pct"/>
            <w:vAlign w:val="center"/>
            <w:hideMark/>
          </w:tcPr>
          <w:p w14:paraId="5897DDBD" w14:textId="77777777" w:rsidR="00000000" w:rsidRDefault="00405D16">
            <w:pPr>
              <w:spacing w:after="100"/>
              <w:rPr>
                <w:rFonts w:eastAsia="Times New Roman"/>
                <w:sz w:val="20"/>
                <w:szCs w:val="20"/>
              </w:rPr>
            </w:pPr>
          </w:p>
        </w:tc>
        <w:tc>
          <w:tcPr>
            <w:tcW w:w="1079" w:type="pct"/>
            <w:vAlign w:val="center"/>
            <w:hideMark/>
          </w:tcPr>
          <w:p w14:paraId="552290D9" w14:textId="77777777" w:rsidR="00000000" w:rsidRDefault="00405D16">
            <w:pPr>
              <w:spacing w:after="100"/>
              <w:rPr>
                <w:rFonts w:eastAsia="Times New Roman"/>
                <w:sz w:val="20"/>
                <w:szCs w:val="20"/>
              </w:rPr>
            </w:pPr>
          </w:p>
        </w:tc>
        <w:tc>
          <w:tcPr>
            <w:tcW w:w="5" w:type="pct"/>
            <w:vAlign w:val="center"/>
            <w:hideMark/>
          </w:tcPr>
          <w:p w14:paraId="2A1BC8F9" w14:textId="77777777" w:rsidR="00000000" w:rsidRDefault="00405D16">
            <w:pPr>
              <w:spacing w:after="100"/>
              <w:rPr>
                <w:rFonts w:eastAsia="Times New Roman"/>
                <w:sz w:val="20"/>
                <w:szCs w:val="20"/>
              </w:rPr>
            </w:pPr>
          </w:p>
        </w:tc>
        <w:tc>
          <w:tcPr>
            <w:tcW w:w="5" w:type="pct"/>
            <w:vAlign w:val="center"/>
            <w:hideMark/>
          </w:tcPr>
          <w:p w14:paraId="06F9C0C4" w14:textId="77777777" w:rsidR="00000000" w:rsidRDefault="00405D16">
            <w:pPr>
              <w:spacing w:after="100"/>
              <w:rPr>
                <w:rFonts w:eastAsia="Times New Roman"/>
                <w:sz w:val="20"/>
                <w:szCs w:val="20"/>
              </w:rPr>
            </w:pPr>
          </w:p>
        </w:tc>
        <w:tc>
          <w:tcPr>
            <w:tcW w:w="26" w:type="pct"/>
            <w:vAlign w:val="center"/>
            <w:hideMark/>
          </w:tcPr>
          <w:p w14:paraId="3664DD8B" w14:textId="77777777" w:rsidR="00000000" w:rsidRDefault="00405D16">
            <w:pPr>
              <w:spacing w:after="100"/>
              <w:rPr>
                <w:rFonts w:eastAsia="Times New Roman"/>
                <w:sz w:val="20"/>
                <w:szCs w:val="20"/>
              </w:rPr>
            </w:pPr>
          </w:p>
        </w:tc>
        <w:tc>
          <w:tcPr>
            <w:tcW w:w="5" w:type="pct"/>
            <w:vAlign w:val="center"/>
            <w:hideMark/>
          </w:tcPr>
          <w:p w14:paraId="5693FC21" w14:textId="77777777" w:rsidR="00000000" w:rsidRDefault="00405D16">
            <w:pPr>
              <w:spacing w:after="100"/>
              <w:rPr>
                <w:rFonts w:eastAsia="Times New Roman"/>
                <w:sz w:val="20"/>
                <w:szCs w:val="20"/>
              </w:rPr>
            </w:pPr>
          </w:p>
        </w:tc>
        <w:tc>
          <w:tcPr>
            <w:tcW w:w="50" w:type="pct"/>
            <w:vAlign w:val="center"/>
            <w:hideMark/>
          </w:tcPr>
          <w:p w14:paraId="063C67A4" w14:textId="77777777" w:rsidR="00000000" w:rsidRDefault="00405D16">
            <w:pPr>
              <w:spacing w:after="100"/>
              <w:rPr>
                <w:rFonts w:eastAsia="Times New Roman"/>
                <w:sz w:val="20"/>
                <w:szCs w:val="20"/>
              </w:rPr>
            </w:pPr>
          </w:p>
        </w:tc>
        <w:tc>
          <w:tcPr>
            <w:tcW w:w="589" w:type="pct"/>
            <w:vAlign w:val="center"/>
            <w:hideMark/>
          </w:tcPr>
          <w:p w14:paraId="5660B666" w14:textId="77777777" w:rsidR="00000000" w:rsidRDefault="00405D16">
            <w:pPr>
              <w:spacing w:after="100"/>
              <w:rPr>
                <w:rFonts w:eastAsia="Times New Roman"/>
                <w:sz w:val="20"/>
                <w:szCs w:val="20"/>
              </w:rPr>
            </w:pPr>
          </w:p>
        </w:tc>
        <w:tc>
          <w:tcPr>
            <w:tcW w:w="5" w:type="pct"/>
            <w:vAlign w:val="center"/>
            <w:hideMark/>
          </w:tcPr>
          <w:p w14:paraId="57424D41" w14:textId="77777777" w:rsidR="00000000" w:rsidRDefault="00405D16">
            <w:pPr>
              <w:spacing w:after="100"/>
              <w:rPr>
                <w:rFonts w:eastAsia="Times New Roman"/>
                <w:sz w:val="20"/>
                <w:szCs w:val="20"/>
              </w:rPr>
            </w:pPr>
          </w:p>
        </w:tc>
        <w:tc>
          <w:tcPr>
            <w:tcW w:w="5" w:type="pct"/>
            <w:vAlign w:val="center"/>
            <w:hideMark/>
          </w:tcPr>
          <w:p w14:paraId="259AAD87" w14:textId="77777777" w:rsidR="00000000" w:rsidRDefault="00405D16">
            <w:pPr>
              <w:spacing w:after="100"/>
              <w:rPr>
                <w:rFonts w:eastAsia="Times New Roman"/>
                <w:sz w:val="20"/>
                <w:szCs w:val="20"/>
              </w:rPr>
            </w:pPr>
          </w:p>
        </w:tc>
        <w:tc>
          <w:tcPr>
            <w:tcW w:w="26" w:type="pct"/>
            <w:vAlign w:val="center"/>
            <w:hideMark/>
          </w:tcPr>
          <w:p w14:paraId="39FFD1A2" w14:textId="77777777" w:rsidR="00000000" w:rsidRDefault="00405D16">
            <w:pPr>
              <w:spacing w:after="100"/>
              <w:rPr>
                <w:rFonts w:eastAsia="Times New Roman"/>
                <w:sz w:val="20"/>
                <w:szCs w:val="20"/>
              </w:rPr>
            </w:pPr>
          </w:p>
        </w:tc>
        <w:tc>
          <w:tcPr>
            <w:tcW w:w="5" w:type="pct"/>
            <w:vAlign w:val="center"/>
            <w:hideMark/>
          </w:tcPr>
          <w:p w14:paraId="261A1988" w14:textId="77777777" w:rsidR="00000000" w:rsidRDefault="00405D16">
            <w:pPr>
              <w:spacing w:after="100"/>
              <w:rPr>
                <w:rFonts w:eastAsia="Times New Roman"/>
                <w:sz w:val="20"/>
                <w:szCs w:val="20"/>
              </w:rPr>
            </w:pPr>
          </w:p>
        </w:tc>
        <w:tc>
          <w:tcPr>
            <w:tcW w:w="50" w:type="pct"/>
            <w:vAlign w:val="center"/>
            <w:hideMark/>
          </w:tcPr>
          <w:p w14:paraId="52523C8A" w14:textId="77777777" w:rsidR="00000000" w:rsidRDefault="00405D16">
            <w:pPr>
              <w:spacing w:after="100"/>
              <w:rPr>
                <w:rFonts w:eastAsia="Times New Roman"/>
                <w:sz w:val="20"/>
                <w:szCs w:val="20"/>
              </w:rPr>
            </w:pPr>
          </w:p>
        </w:tc>
        <w:tc>
          <w:tcPr>
            <w:tcW w:w="377" w:type="pct"/>
            <w:vAlign w:val="center"/>
            <w:hideMark/>
          </w:tcPr>
          <w:p w14:paraId="37E95492" w14:textId="77777777" w:rsidR="00000000" w:rsidRDefault="00405D16">
            <w:pPr>
              <w:spacing w:after="100"/>
              <w:rPr>
                <w:rFonts w:eastAsia="Times New Roman"/>
                <w:sz w:val="20"/>
                <w:szCs w:val="20"/>
              </w:rPr>
            </w:pPr>
          </w:p>
        </w:tc>
        <w:tc>
          <w:tcPr>
            <w:tcW w:w="5" w:type="pct"/>
            <w:vAlign w:val="center"/>
            <w:hideMark/>
          </w:tcPr>
          <w:p w14:paraId="0D5E4819" w14:textId="77777777" w:rsidR="00000000" w:rsidRDefault="00405D16">
            <w:pPr>
              <w:spacing w:after="100"/>
              <w:rPr>
                <w:rFonts w:eastAsia="Times New Roman"/>
                <w:sz w:val="20"/>
                <w:szCs w:val="20"/>
              </w:rPr>
            </w:pPr>
          </w:p>
        </w:tc>
      </w:tr>
      <w:tr w:rsidR="00000000" w14:paraId="1AD98CCD" w14:textId="77777777">
        <w:tc>
          <w:tcPr>
            <w:tcW w:w="0" w:type="auto"/>
            <w:gridSpan w:val="3"/>
            <w:tcMar>
              <w:top w:w="0" w:type="dxa"/>
              <w:left w:w="20" w:type="dxa"/>
              <w:bottom w:w="0" w:type="dxa"/>
              <w:right w:w="20" w:type="dxa"/>
            </w:tcMar>
            <w:vAlign w:val="center"/>
            <w:hideMark/>
          </w:tcPr>
          <w:p w14:paraId="33F3E916"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F41C6F0" w14:textId="77777777" w:rsidR="00000000" w:rsidRDefault="00405D16">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0979A5C8" w14:textId="77777777" w:rsidR="00000000" w:rsidRDefault="00405D16">
            <w:pPr>
              <w:spacing w:after="100"/>
              <w:jc w:val="center"/>
              <w:rPr>
                <w:rFonts w:eastAsia="Times New Roman"/>
              </w:rPr>
            </w:pPr>
            <w:r>
              <w:rPr>
                <w:rFonts w:eastAsia="Times New Roman"/>
                <w:b/>
                <w:bCs/>
                <w:color w:val="000000"/>
                <w:sz w:val="16"/>
                <w:szCs w:val="16"/>
              </w:rPr>
              <w:t>Quantitative Information about Level 3 Fair Value Measurements</w:t>
            </w:r>
          </w:p>
        </w:tc>
      </w:tr>
      <w:tr w:rsidR="00000000" w14:paraId="13C4ABB2" w14:textId="77777777">
        <w:tc>
          <w:tcPr>
            <w:tcW w:w="0" w:type="auto"/>
            <w:gridSpan w:val="3"/>
            <w:tcMar>
              <w:top w:w="30" w:type="dxa"/>
              <w:left w:w="20" w:type="dxa"/>
              <w:bottom w:w="30" w:type="dxa"/>
              <w:right w:w="20" w:type="dxa"/>
            </w:tcMar>
            <w:vAlign w:val="bottom"/>
            <w:hideMark/>
          </w:tcPr>
          <w:p w14:paraId="26FB4F38"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121ADA68"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B399110" w14:textId="77777777" w:rsidR="00000000" w:rsidRDefault="00405D16">
            <w:pPr>
              <w:spacing w:after="100"/>
              <w:jc w:val="center"/>
              <w:rPr>
                <w:rFonts w:eastAsia="Times New Roman"/>
              </w:rPr>
            </w:pPr>
            <w:r>
              <w:rPr>
                <w:rFonts w:eastAsia="Times New Roman"/>
                <w:b/>
                <w:bCs/>
                <w:color w:val="000000"/>
                <w:sz w:val="16"/>
                <w:szCs w:val="16"/>
              </w:rPr>
              <w:t xml:space="preserve">Fair Value at </w:t>
            </w:r>
            <w:r>
              <w:rPr>
                <w:rFonts w:eastAsia="Times New Roman"/>
                <w:b/>
                <w:bCs/>
                <w:color w:val="000000"/>
                <w:sz w:val="16"/>
                <w:szCs w:val="16"/>
              </w:rPr>
              <w:br/>
              <w:t xml:space="preserve">December 31, </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5A7EDF03"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03E6BE0" w14:textId="77777777" w:rsidR="00000000" w:rsidRDefault="00405D16">
            <w:pPr>
              <w:spacing w:after="100"/>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Valuation</w:t>
            </w:r>
            <w:r>
              <w:rPr>
                <w:rFonts w:eastAsia="Times New Roman"/>
                <w:b/>
                <w:bCs/>
                <w:color w:val="000000"/>
                <w:sz w:val="16"/>
                <w:szCs w:val="16"/>
              </w:rPr>
              <w:br/>
            </w:r>
            <w:r>
              <w:rPr>
                <w:rFonts w:eastAsia="Times New Roman"/>
                <w:b/>
                <w:bCs/>
                <w:color w:val="000000"/>
                <w:sz w:val="16"/>
                <w:szCs w:val="16"/>
              </w:rPr>
              <w:t>Techniques</w:t>
            </w:r>
          </w:p>
        </w:tc>
        <w:tc>
          <w:tcPr>
            <w:tcW w:w="0" w:type="auto"/>
            <w:gridSpan w:val="3"/>
            <w:tcBorders>
              <w:top w:val="single" w:sz="8" w:space="0" w:color="000000"/>
            </w:tcBorders>
            <w:tcMar>
              <w:top w:w="0" w:type="dxa"/>
              <w:left w:w="20" w:type="dxa"/>
              <w:bottom w:w="0" w:type="dxa"/>
              <w:right w:w="20" w:type="dxa"/>
            </w:tcMar>
            <w:vAlign w:val="center"/>
            <w:hideMark/>
          </w:tcPr>
          <w:p w14:paraId="05BD5EE6"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CEE4DF5" w14:textId="77777777" w:rsidR="00000000" w:rsidRDefault="00405D16">
            <w:pPr>
              <w:spacing w:after="100"/>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Unobservable</w:t>
            </w:r>
            <w:r>
              <w:rPr>
                <w:rFonts w:eastAsia="Times New Roman"/>
                <w:b/>
                <w:bCs/>
                <w:color w:val="000000"/>
                <w:sz w:val="16"/>
                <w:szCs w:val="16"/>
              </w:rPr>
              <w:br/>
              <w:t>Inputs</w:t>
            </w:r>
          </w:p>
        </w:tc>
        <w:tc>
          <w:tcPr>
            <w:tcW w:w="0" w:type="auto"/>
            <w:gridSpan w:val="3"/>
            <w:tcBorders>
              <w:top w:val="single" w:sz="8" w:space="0" w:color="000000"/>
            </w:tcBorders>
            <w:tcMar>
              <w:top w:w="0" w:type="dxa"/>
              <w:left w:w="20" w:type="dxa"/>
              <w:bottom w:w="0" w:type="dxa"/>
              <w:right w:w="20" w:type="dxa"/>
            </w:tcMar>
            <w:vAlign w:val="center"/>
            <w:hideMark/>
          </w:tcPr>
          <w:p w14:paraId="6D3196E1"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2761EA4" w14:textId="77777777" w:rsidR="00000000" w:rsidRDefault="00405D16">
            <w:pPr>
              <w:spacing w:after="100"/>
              <w:jc w:val="center"/>
              <w:rPr>
                <w:rFonts w:eastAsia="Times New Roman"/>
              </w:rPr>
            </w:pPr>
            <w:r>
              <w:rPr>
                <w:rFonts w:eastAsia="Times New Roman"/>
                <w:b/>
                <w:bCs/>
                <w:color w:val="000000"/>
                <w:sz w:val="16"/>
                <w:szCs w:val="16"/>
              </w:rPr>
              <w:t>Range</w:t>
            </w:r>
          </w:p>
        </w:tc>
        <w:tc>
          <w:tcPr>
            <w:tcW w:w="0" w:type="auto"/>
            <w:gridSpan w:val="3"/>
            <w:tcBorders>
              <w:top w:val="single" w:sz="8" w:space="0" w:color="000000"/>
            </w:tcBorders>
            <w:tcMar>
              <w:top w:w="0" w:type="dxa"/>
              <w:left w:w="20" w:type="dxa"/>
              <w:bottom w:w="0" w:type="dxa"/>
              <w:right w:w="20" w:type="dxa"/>
            </w:tcMar>
            <w:vAlign w:val="center"/>
            <w:hideMark/>
          </w:tcPr>
          <w:p w14:paraId="28823872" w14:textId="77777777" w:rsidR="00000000" w:rsidRDefault="00405D16">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6BC301A" w14:textId="77777777" w:rsidR="00000000" w:rsidRDefault="00405D16">
            <w:pPr>
              <w:spacing w:after="100"/>
              <w:jc w:val="center"/>
              <w:rPr>
                <w:rFonts w:eastAsia="Times New Roman"/>
              </w:rPr>
            </w:pPr>
            <w:r>
              <w:rPr>
                <w:rFonts w:eastAsia="Times New Roman"/>
                <w:b/>
                <w:bCs/>
                <w:color w:val="000000"/>
                <w:sz w:val="16"/>
                <w:szCs w:val="16"/>
              </w:rPr>
              <w:t>Weighted</w:t>
            </w:r>
          </w:p>
          <w:p w14:paraId="1C8E2240" w14:textId="77777777" w:rsidR="00000000" w:rsidRDefault="00405D16">
            <w:pPr>
              <w:spacing w:after="100"/>
              <w:jc w:val="center"/>
              <w:rPr>
                <w:rFonts w:eastAsia="Times New Roman"/>
              </w:rPr>
            </w:pPr>
            <w:r>
              <w:rPr>
                <w:rFonts w:eastAsia="Times New Roman"/>
                <w:b/>
                <w:bCs/>
                <w:color w:val="000000"/>
                <w:sz w:val="16"/>
                <w:szCs w:val="16"/>
              </w:rPr>
              <w:t>Averag</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r>
      <w:tr w:rsidR="00000000" w14:paraId="6A892CCD" w14:textId="7777777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AFB9936" w14:textId="77777777" w:rsidR="00000000" w:rsidRDefault="00405D16">
            <w:pPr>
              <w:spacing w:after="100"/>
              <w:rPr>
                <w:rFonts w:eastAsia="Times New Roman"/>
              </w:rPr>
            </w:pPr>
            <w:r>
              <w:rPr>
                <w:rFonts w:eastAsia="Times New Roman"/>
                <w:color w:val="000000"/>
                <w:sz w:val="18"/>
                <w:szCs w:val="18"/>
              </w:rPr>
              <w:t>Securities available for sale:</w:t>
            </w:r>
          </w:p>
        </w:tc>
        <w:tc>
          <w:tcPr>
            <w:tcW w:w="0" w:type="auto"/>
            <w:gridSpan w:val="3"/>
            <w:shd w:val="clear" w:color="auto" w:fill="CCEEFF"/>
            <w:tcMar>
              <w:top w:w="0" w:type="dxa"/>
              <w:left w:w="20" w:type="dxa"/>
              <w:bottom w:w="0" w:type="dxa"/>
              <w:right w:w="20" w:type="dxa"/>
            </w:tcMar>
            <w:vAlign w:val="center"/>
            <w:hideMark/>
          </w:tcPr>
          <w:p w14:paraId="2131ACBF"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9BCE63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D99D9C"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D802F4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A2AD2D"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0DA974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E94E69"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D71FC0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DE189E"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B634635" w14:textId="77777777" w:rsidR="00000000" w:rsidRDefault="00405D16">
            <w:pPr>
              <w:spacing w:after="100"/>
              <w:rPr>
                <w:rFonts w:eastAsia="Times New Roman"/>
                <w:sz w:val="20"/>
                <w:szCs w:val="20"/>
              </w:rPr>
            </w:pPr>
          </w:p>
        </w:tc>
      </w:tr>
      <w:tr w:rsidR="00000000" w14:paraId="49492D16" w14:textId="77777777">
        <w:tc>
          <w:tcPr>
            <w:tcW w:w="0" w:type="auto"/>
            <w:gridSpan w:val="3"/>
            <w:shd w:val="clear" w:color="auto" w:fill="FFFFFF"/>
            <w:tcMar>
              <w:top w:w="30" w:type="dxa"/>
              <w:left w:w="155" w:type="dxa"/>
              <w:bottom w:w="30" w:type="dxa"/>
              <w:right w:w="20" w:type="dxa"/>
            </w:tcMar>
            <w:hideMark/>
          </w:tcPr>
          <w:p w14:paraId="2B88B49A" w14:textId="77777777" w:rsidR="00000000" w:rsidRDefault="00405D16">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14:paraId="368542A6"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hideMark/>
          </w:tcPr>
          <w:p w14:paraId="315AB7D1"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hideMark/>
          </w:tcPr>
          <w:p w14:paraId="004A9AC8" w14:textId="77777777" w:rsidR="00000000" w:rsidRDefault="00405D16">
            <w:pPr>
              <w:spacing w:after="100"/>
              <w:jc w:val="right"/>
              <w:rPr>
                <w:rFonts w:eastAsia="Times New Roman"/>
              </w:rPr>
            </w:pPr>
            <w:r>
              <w:rPr>
                <w:rFonts w:eastAsia="Times New Roman"/>
                <w:color w:val="000000"/>
                <w:sz w:val="18"/>
                <w:szCs w:val="18"/>
              </w:rPr>
              <w:t>328 </w:t>
            </w:r>
          </w:p>
        </w:tc>
        <w:tc>
          <w:tcPr>
            <w:tcW w:w="0" w:type="auto"/>
            <w:shd w:val="clear" w:color="auto" w:fill="FFFFFF"/>
            <w:tcMar>
              <w:top w:w="30" w:type="dxa"/>
              <w:left w:w="0" w:type="dxa"/>
              <w:bottom w:w="30" w:type="dxa"/>
              <w:right w:w="20" w:type="dxa"/>
            </w:tcMar>
            <w:hideMark/>
          </w:tcPr>
          <w:p w14:paraId="4920939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CA0244"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3DC58B5F" w14:textId="77777777" w:rsidR="00000000" w:rsidRDefault="00405D16">
            <w:pPr>
              <w:spacing w:after="100"/>
              <w:rPr>
                <w:rFonts w:eastAsia="Times New Roman"/>
              </w:rPr>
            </w:pPr>
            <w:r>
              <w:rPr>
                <w:rFonts w:eastAsia="Times New Roman"/>
                <w:color w:val="000000"/>
                <w:sz w:val="18"/>
                <w:szCs w:val="18"/>
              </w:rPr>
              <w:t>Discounted cash flows (vendor pricing)</w:t>
            </w:r>
          </w:p>
        </w:tc>
        <w:tc>
          <w:tcPr>
            <w:tcW w:w="0" w:type="auto"/>
            <w:gridSpan w:val="3"/>
            <w:shd w:val="clear" w:color="auto" w:fill="FFFFFF"/>
            <w:tcMar>
              <w:top w:w="0" w:type="dxa"/>
              <w:left w:w="20" w:type="dxa"/>
              <w:bottom w:w="0" w:type="dxa"/>
              <w:right w:w="20" w:type="dxa"/>
            </w:tcMar>
            <w:vAlign w:val="center"/>
            <w:hideMark/>
          </w:tcPr>
          <w:p w14:paraId="5E809CD8" w14:textId="77777777" w:rsidR="00000000" w:rsidRDefault="00405D16">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070DF971" w14:textId="77777777" w:rsidR="00000000" w:rsidRDefault="00405D16">
            <w:pPr>
              <w:spacing w:after="100"/>
              <w:rPr>
                <w:rFonts w:eastAsia="Times New Roman"/>
              </w:rPr>
            </w:pPr>
            <w:r>
              <w:rPr>
                <w:rFonts w:eastAsia="Times New Roman"/>
                <w:color w:val="000000"/>
                <w:sz w:val="18"/>
                <w:szCs w:val="18"/>
              </w:rPr>
              <w:t>Yield</w:t>
            </w:r>
            <w:r>
              <w:rPr>
                <w:rFonts w:eastAsia="Times New Roman"/>
                <w:color w:val="000000"/>
                <w:sz w:val="18"/>
                <w:szCs w:val="18"/>
              </w:rPr>
              <w:br/>
              <w:t>Voluntary </w:t>
            </w:r>
            <w:r>
              <w:rPr>
                <w:rFonts w:eastAsia="Times New Roman"/>
                <w:color w:val="000000"/>
                <w:sz w:val="18"/>
                <w:szCs w:val="18"/>
              </w:rPr>
              <w:t>prepayment rate</w:t>
            </w:r>
            <w:r>
              <w:rPr>
                <w:rFonts w:eastAsia="Times New Roman"/>
                <w:color w:val="000000"/>
                <w:sz w:val="18"/>
                <w:szCs w:val="18"/>
              </w:rPr>
              <w:br/>
              <w:t>Default rate</w:t>
            </w:r>
            <w:r>
              <w:rPr>
                <w:rFonts w:eastAsia="Times New Roman"/>
                <w:color w:val="000000"/>
                <w:sz w:val="18"/>
                <w:szCs w:val="18"/>
              </w:rPr>
              <w:br/>
              <w:t>Loss severity</w:t>
            </w:r>
          </w:p>
        </w:tc>
        <w:tc>
          <w:tcPr>
            <w:tcW w:w="0" w:type="auto"/>
            <w:gridSpan w:val="3"/>
            <w:shd w:val="clear" w:color="auto" w:fill="FFFFFF"/>
            <w:tcMar>
              <w:top w:w="0" w:type="dxa"/>
              <w:left w:w="20" w:type="dxa"/>
              <w:bottom w:w="0" w:type="dxa"/>
              <w:right w:w="20" w:type="dxa"/>
            </w:tcMar>
            <w:vAlign w:val="center"/>
            <w:hideMark/>
          </w:tcPr>
          <w:p w14:paraId="3E2717E7" w14:textId="77777777" w:rsidR="00000000" w:rsidRDefault="00405D1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7CCCC711" w14:textId="77777777" w:rsidR="00000000" w:rsidRDefault="00405D16">
            <w:pPr>
              <w:spacing w:after="100"/>
              <w:divId w:val="900678211"/>
              <w:rPr>
                <w:rFonts w:eastAsia="Times New Roman"/>
              </w:rPr>
            </w:pPr>
            <w:r>
              <w:rPr>
                <w:rFonts w:eastAsia="Times New Roman"/>
                <w:color w:val="000000"/>
                <w:sz w:val="18"/>
                <w:szCs w:val="18"/>
              </w:rPr>
              <w:t>2-12%</w:t>
            </w:r>
          </w:p>
          <w:p w14:paraId="56FDC252" w14:textId="77777777" w:rsidR="00000000" w:rsidRDefault="00405D16">
            <w:pPr>
              <w:spacing w:after="100"/>
              <w:divId w:val="244149261"/>
              <w:rPr>
                <w:rFonts w:eastAsia="Times New Roman"/>
              </w:rPr>
            </w:pPr>
            <w:r>
              <w:rPr>
                <w:rFonts w:eastAsia="Times New Roman"/>
                <w:color w:val="000000"/>
                <w:sz w:val="18"/>
                <w:szCs w:val="18"/>
              </w:rPr>
              <w:t>8-15%</w:t>
            </w:r>
          </w:p>
          <w:p w14:paraId="6014BA66" w14:textId="77777777" w:rsidR="00000000" w:rsidRDefault="00405D16">
            <w:pPr>
              <w:spacing w:after="100"/>
              <w:divId w:val="1298140733"/>
              <w:rPr>
                <w:rFonts w:eastAsia="Times New Roman"/>
              </w:rPr>
            </w:pPr>
            <w:r>
              <w:rPr>
                <w:rFonts w:eastAsia="Times New Roman"/>
                <w:color w:val="000000"/>
                <w:sz w:val="18"/>
                <w:szCs w:val="18"/>
              </w:rPr>
              <w:t>0-11%</w:t>
            </w:r>
          </w:p>
          <w:p w14:paraId="163FC980" w14:textId="77777777" w:rsidR="00000000" w:rsidRDefault="00405D16">
            <w:pPr>
              <w:spacing w:after="100"/>
              <w:divId w:val="1314985058"/>
              <w:rPr>
                <w:rFonts w:eastAsia="Times New Roman"/>
              </w:rPr>
            </w:pPr>
            <w:r>
              <w:rPr>
                <w:rFonts w:eastAsia="Times New Roman"/>
                <w:color w:val="000000"/>
                <w:sz w:val="18"/>
                <w:szCs w:val="18"/>
              </w:rPr>
              <w:t>30-100%</w:t>
            </w:r>
          </w:p>
        </w:tc>
        <w:tc>
          <w:tcPr>
            <w:tcW w:w="0" w:type="auto"/>
            <w:gridSpan w:val="3"/>
            <w:shd w:val="clear" w:color="auto" w:fill="FFFFFF"/>
            <w:tcMar>
              <w:top w:w="0" w:type="dxa"/>
              <w:left w:w="20" w:type="dxa"/>
              <w:bottom w:w="0" w:type="dxa"/>
              <w:right w:w="20" w:type="dxa"/>
            </w:tcMar>
            <w:vAlign w:val="center"/>
            <w:hideMark/>
          </w:tcPr>
          <w:p w14:paraId="2822034D" w14:textId="77777777" w:rsidR="00000000" w:rsidRDefault="00405D1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3BE5659C" w14:textId="77777777" w:rsidR="00000000" w:rsidRDefault="00405D16">
            <w:pPr>
              <w:spacing w:after="100"/>
              <w:divId w:val="1961913044"/>
              <w:rPr>
                <w:rFonts w:eastAsia="Times New Roman"/>
              </w:rPr>
            </w:pPr>
            <w:r>
              <w:rPr>
                <w:rFonts w:eastAsia="Times New Roman"/>
                <w:color w:val="000000"/>
                <w:sz w:val="18"/>
                <w:szCs w:val="18"/>
              </w:rPr>
              <w:t>3%</w:t>
            </w:r>
          </w:p>
          <w:p w14:paraId="6A77D3D5" w14:textId="77777777" w:rsidR="00000000" w:rsidRDefault="00405D16">
            <w:pPr>
              <w:spacing w:after="100"/>
              <w:divId w:val="1869827516"/>
              <w:rPr>
                <w:rFonts w:eastAsia="Times New Roman"/>
              </w:rPr>
            </w:pPr>
            <w:r>
              <w:rPr>
                <w:rFonts w:eastAsia="Times New Roman"/>
                <w:color w:val="000000"/>
                <w:sz w:val="18"/>
                <w:szCs w:val="18"/>
              </w:rPr>
              <w:t>10%</w:t>
            </w:r>
          </w:p>
          <w:p w14:paraId="12067B22" w14:textId="77777777" w:rsidR="00000000" w:rsidRDefault="00405D16">
            <w:pPr>
              <w:spacing w:after="100"/>
              <w:divId w:val="1232541194"/>
              <w:rPr>
                <w:rFonts w:eastAsia="Times New Roman"/>
              </w:rPr>
            </w:pPr>
            <w:r>
              <w:rPr>
                <w:rFonts w:eastAsia="Times New Roman"/>
                <w:color w:val="000000"/>
                <w:sz w:val="18"/>
                <w:szCs w:val="18"/>
              </w:rPr>
              <w:t>2%</w:t>
            </w:r>
          </w:p>
          <w:p w14:paraId="1DAE7848" w14:textId="77777777" w:rsidR="00000000" w:rsidRDefault="00405D16">
            <w:pPr>
              <w:spacing w:after="100"/>
              <w:divId w:val="520968843"/>
              <w:rPr>
                <w:rFonts w:eastAsia="Times New Roman"/>
              </w:rPr>
            </w:pPr>
            <w:r>
              <w:rPr>
                <w:rFonts w:eastAsia="Times New Roman"/>
                <w:color w:val="000000"/>
                <w:sz w:val="18"/>
                <w:szCs w:val="18"/>
              </w:rPr>
              <w:t>73%</w:t>
            </w:r>
          </w:p>
        </w:tc>
      </w:tr>
      <w:tr w:rsidR="00000000" w14:paraId="67580044" w14:textId="77777777">
        <w:tc>
          <w:tcPr>
            <w:tcW w:w="0" w:type="auto"/>
            <w:gridSpan w:val="3"/>
            <w:shd w:val="clear" w:color="auto" w:fill="CCEEFF"/>
            <w:tcMar>
              <w:top w:w="30" w:type="dxa"/>
              <w:left w:w="155" w:type="dxa"/>
              <w:bottom w:w="30" w:type="dxa"/>
              <w:right w:w="20" w:type="dxa"/>
            </w:tcMar>
            <w:hideMark/>
          </w:tcPr>
          <w:p w14:paraId="1753710C" w14:textId="77777777" w:rsidR="00000000" w:rsidRDefault="00405D16">
            <w:pPr>
              <w:spacing w:after="100"/>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14:paraId="77249AD8"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hideMark/>
          </w:tcPr>
          <w:p w14:paraId="5255473B" w14:textId="77777777" w:rsidR="00000000" w:rsidRDefault="00405D16">
            <w:pPr>
              <w:spacing w:after="100"/>
              <w:jc w:val="right"/>
              <w:rPr>
                <w:rFonts w:eastAsia="Times New Roman"/>
              </w:rPr>
            </w:pPr>
            <w:r>
              <w:rPr>
                <w:rFonts w:eastAsia="Times New Roman"/>
                <w:color w:val="000000"/>
                <w:sz w:val="18"/>
                <w:szCs w:val="18"/>
              </w:rPr>
              <w:t>111 </w:t>
            </w:r>
          </w:p>
        </w:tc>
        <w:tc>
          <w:tcPr>
            <w:tcW w:w="0" w:type="auto"/>
            <w:shd w:val="clear" w:color="auto" w:fill="CCEEFF"/>
            <w:tcMar>
              <w:top w:w="30" w:type="dxa"/>
              <w:left w:w="0" w:type="dxa"/>
              <w:bottom w:w="30" w:type="dxa"/>
              <w:right w:w="20" w:type="dxa"/>
            </w:tcMar>
            <w:hideMark/>
          </w:tcPr>
          <w:p w14:paraId="2C9A788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0EA191"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75591F4C" w14:textId="77777777" w:rsidR="00000000" w:rsidRDefault="00405D16">
            <w:pPr>
              <w:spacing w:after="100"/>
              <w:rPr>
                <w:rFonts w:eastAsia="Times New Roman"/>
              </w:rPr>
            </w:pPr>
            <w:r>
              <w:rPr>
                <w:rFonts w:eastAsia="Times New Roman"/>
                <w:color w:val="000000"/>
                <w:sz w:val="18"/>
                <w:szCs w:val="18"/>
              </w:rPr>
              <w:t>Discounted cash flows (vendor pricing)</w:t>
            </w:r>
          </w:p>
        </w:tc>
        <w:tc>
          <w:tcPr>
            <w:tcW w:w="0" w:type="auto"/>
            <w:gridSpan w:val="3"/>
            <w:shd w:val="clear" w:color="auto" w:fill="CCEEFF"/>
            <w:tcMar>
              <w:top w:w="0" w:type="dxa"/>
              <w:left w:w="20" w:type="dxa"/>
              <w:bottom w:w="0" w:type="dxa"/>
              <w:right w:w="20" w:type="dxa"/>
            </w:tcMar>
            <w:vAlign w:val="center"/>
            <w:hideMark/>
          </w:tcPr>
          <w:p w14:paraId="7712AED3" w14:textId="77777777" w:rsidR="00000000" w:rsidRDefault="00405D16">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22C9DD8C" w14:textId="77777777" w:rsidR="00000000" w:rsidRDefault="00405D16">
            <w:pPr>
              <w:spacing w:after="100"/>
              <w:rPr>
                <w:rFonts w:eastAsia="Times New Roman"/>
              </w:rPr>
            </w:pPr>
            <w:r>
              <w:rPr>
                <w:rFonts w:eastAsia="Times New Roman"/>
                <w:color w:val="000000"/>
                <w:sz w:val="18"/>
                <w:szCs w:val="18"/>
              </w:rPr>
              <w:t>Yield</w:t>
            </w:r>
          </w:p>
        </w:tc>
        <w:tc>
          <w:tcPr>
            <w:tcW w:w="0" w:type="auto"/>
            <w:gridSpan w:val="3"/>
            <w:shd w:val="clear" w:color="auto" w:fill="CCEEFF"/>
            <w:tcMar>
              <w:top w:w="0" w:type="dxa"/>
              <w:left w:w="20" w:type="dxa"/>
              <w:bottom w:w="0" w:type="dxa"/>
              <w:right w:w="20" w:type="dxa"/>
            </w:tcMar>
            <w:vAlign w:val="center"/>
            <w:hideMark/>
          </w:tcPr>
          <w:p w14:paraId="3545184E" w14:textId="77777777" w:rsidR="00000000" w:rsidRDefault="00405D16">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36C23703" w14:textId="77777777" w:rsidR="00000000" w:rsidRDefault="00405D16">
            <w:pPr>
              <w:spacing w:after="100"/>
              <w:divId w:val="595598043"/>
              <w:rPr>
                <w:rFonts w:eastAsia="Times New Roman"/>
              </w:rPr>
            </w:pPr>
            <w:r>
              <w:rPr>
                <w:rFonts w:eastAsia="Times New Roman"/>
                <w:color w:val="000000"/>
                <w:sz w:val="18"/>
                <w:szCs w:val="18"/>
              </w:rPr>
              <w:t>1-3%</w:t>
            </w:r>
          </w:p>
        </w:tc>
        <w:tc>
          <w:tcPr>
            <w:tcW w:w="0" w:type="auto"/>
            <w:gridSpan w:val="3"/>
            <w:shd w:val="clear" w:color="auto" w:fill="CCEEFF"/>
            <w:tcMar>
              <w:top w:w="0" w:type="dxa"/>
              <w:left w:w="20" w:type="dxa"/>
              <w:bottom w:w="0" w:type="dxa"/>
              <w:right w:w="20" w:type="dxa"/>
            </w:tcMar>
            <w:vAlign w:val="center"/>
            <w:hideMark/>
          </w:tcPr>
          <w:p w14:paraId="53C53D4A" w14:textId="77777777" w:rsidR="00000000" w:rsidRDefault="00405D16">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50CD197F" w14:textId="77777777" w:rsidR="00000000" w:rsidRDefault="00405D16">
            <w:pPr>
              <w:spacing w:after="100"/>
              <w:rPr>
                <w:rFonts w:eastAsia="Times New Roman"/>
              </w:rPr>
            </w:pPr>
            <w:r>
              <w:rPr>
                <w:rFonts w:eastAsia="Times New Roman"/>
                <w:color w:val="000000"/>
                <w:sz w:val="18"/>
                <w:szCs w:val="18"/>
              </w:rPr>
              <w:t>2%</w:t>
            </w:r>
          </w:p>
        </w:tc>
      </w:tr>
      <w:tr w:rsidR="00000000" w14:paraId="2C19E8D0" w14:textId="77777777">
        <w:tc>
          <w:tcPr>
            <w:tcW w:w="0" w:type="auto"/>
            <w:gridSpan w:val="3"/>
            <w:shd w:val="clear" w:color="auto" w:fill="FFFFFF"/>
            <w:tcMar>
              <w:top w:w="30" w:type="dxa"/>
              <w:left w:w="20" w:type="dxa"/>
              <w:bottom w:w="30" w:type="dxa"/>
              <w:right w:w="20" w:type="dxa"/>
            </w:tcMar>
            <w:hideMark/>
          </w:tcPr>
          <w:p w14:paraId="360F1675" w14:textId="77777777" w:rsidR="00000000" w:rsidRDefault="00405D16">
            <w:pPr>
              <w:spacing w:after="100"/>
              <w:rPr>
                <w:rFonts w:eastAsia="Times New Roman"/>
              </w:rPr>
            </w:pPr>
            <w:r>
              <w:rPr>
                <w:rFonts w:eastAsia="Times New Roman"/>
                <w:color w:val="000000"/>
                <w:sz w:val="18"/>
                <w:szCs w:val="18"/>
              </w:rPr>
              <w:t>Other assets:</w:t>
            </w:r>
          </w:p>
        </w:tc>
        <w:tc>
          <w:tcPr>
            <w:tcW w:w="0" w:type="auto"/>
            <w:gridSpan w:val="3"/>
            <w:shd w:val="clear" w:color="auto" w:fill="FFFFFF"/>
            <w:tcMar>
              <w:top w:w="0" w:type="dxa"/>
              <w:left w:w="20" w:type="dxa"/>
              <w:bottom w:w="0" w:type="dxa"/>
              <w:right w:w="20" w:type="dxa"/>
            </w:tcMar>
            <w:vAlign w:val="center"/>
            <w:hideMark/>
          </w:tcPr>
          <w:p w14:paraId="7BDD539A"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DD37A0"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ABD88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9F9AE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0739A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3CC245"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F5A6C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0C3F11"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DC450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5196FB" w14:textId="77777777" w:rsidR="00000000" w:rsidRDefault="00405D16">
            <w:pPr>
              <w:spacing w:after="100"/>
              <w:rPr>
                <w:rFonts w:eastAsia="Times New Roman"/>
                <w:sz w:val="20"/>
                <w:szCs w:val="20"/>
              </w:rPr>
            </w:pPr>
          </w:p>
        </w:tc>
      </w:tr>
      <w:tr w:rsidR="00000000" w14:paraId="5B88D103" w14:textId="77777777">
        <w:tc>
          <w:tcPr>
            <w:tcW w:w="0" w:type="auto"/>
            <w:gridSpan w:val="3"/>
            <w:shd w:val="clear" w:color="auto" w:fill="CCEEFF"/>
            <w:tcMar>
              <w:top w:w="30" w:type="dxa"/>
              <w:left w:w="20" w:type="dxa"/>
              <w:bottom w:w="30" w:type="dxa"/>
              <w:right w:w="20" w:type="dxa"/>
            </w:tcMar>
            <w:hideMark/>
          </w:tcPr>
          <w:p w14:paraId="79052DEE" w14:textId="77777777" w:rsidR="00000000" w:rsidRDefault="00405D16">
            <w:pPr>
              <w:spacing w:after="100"/>
              <w:divId w:val="1221557415"/>
              <w:rPr>
                <w:rFonts w:eastAsia="Times New Roman"/>
              </w:rPr>
            </w:pPr>
            <w:r>
              <w:rPr>
                <w:rFonts w:eastAsia="Times New Roman"/>
                <w:color w:val="000000"/>
                <w:sz w:val="18"/>
                <w:szCs w:val="18"/>
              </w:rPr>
              <w:t>Retained interests in securitization</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56BFF068"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hideMark/>
          </w:tcPr>
          <w:p w14:paraId="1C76A3D2" w14:textId="77777777" w:rsidR="00000000" w:rsidRDefault="00405D16">
            <w:pPr>
              <w:spacing w:after="100"/>
              <w:jc w:val="right"/>
              <w:rPr>
                <w:rFonts w:eastAsia="Times New Roman"/>
              </w:rPr>
            </w:pPr>
            <w:r>
              <w:rPr>
                <w:rFonts w:eastAsia="Times New Roman"/>
                <w:color w:val="000000"/>
                <w:sz w:val="18"/>
                <w:szCs w:val="18"/>
              </w:rPr>
              <w:t>55 </w:t>
            </w:r>
          </w:p>
        </w:tc>
        <w:tc>
          <w:tcPr>
            <w:tcW w:w="0" w:type="auto"/>
            <w:shd w:val="clear" w:color="auto" w:fill="CCEEFF"/>
            <w:tcMar>
              <w:top w:w="30" w:type="dxa"/>
              <w:left w:w="0" w:type="dxa"/>
              <w:bottom w:w="30" w:type="dxa"/>
              <w:right w:w="20" w:type="dxa"/>
            </w:tcMar>
            <w:hideMark/>
          </w:tcPr>
          <w:p w14:paraId="0E77613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D86D98" w14:textId="77777777" w:rsidR="00000000" w:rsidRDefault="00405D1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4DF11D0F" w14:textId="77777777" w:rsidR="00000000" w:rsidRDefault="00405D16">
            <w:pPr>
              <w:spacing w:after="100"/>
              <w:rPr>
                <w:rFonts w:eastAsia="Times New Roman"/>
              </w:rPr>
            </w:pPr>
            <w:r>
              <w:rPr>
                <w:rFonts w:eastAsia="Times New Roman"/>
                <w:color w:val="000000"/>
                <w:sz w:val="18"/>
                <w:szCs w:val="18"/>
              </w:rPr>
              <w:t>Discounted cash flows</w:t>
            </w:r>
          </w:p>
        </w:tc>
        <w:tc>
          <w:tcPr>
            <w:tcW w:w="0" w:type="auto"/>
            <w:gridSpan w:val="3"/>
            <w:shd w:val="clear" w:color="auto" w:fill="CCEEFF"/>
            <w:tcMar>
              <w:top w:w="0" w:type="dxa"/>
              <w:left w:w="20" w:type="dxa"/>
              <w:bottom w:w="0" w:type="dxa"/>
              <w:right w:w="20" w:type="dxa"/>
            </w:tcMar>
            <w:vAlign w:val="center"/>
            <w:hideMark/>
          </w:tcPr>
          <w:p w14:paraId="35F4B52C" w14:textId="77777777" w:rsidR="00000000" w:rsidRDefault="00405D16">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07D721F8" w14:textId="77777777" w:rsidR="00000000" w:rsidRDefault="00405D16">
            <w:pPr>
              <w:spacing w:after="100"/>
              <w:rPr>
                <w:rFonts w:eastAsia="Times New Roman"/>
              </w:rPr>
            </w:pPr>
            <w:r>
              <w:rPr>
                <w:rFonts w:eastAsia="Times New Roman"/>
                <w:color w:val="000000"/>
                <w:sz w:val="18"/>
                <w:szCs w:val="18"/>
              </w:rPr>
              <w:t>Life of receivables (months)</w:t>
            </w:r>
            <w:r>
              <w:rPr>
                <w:rFonts w:eastAsia="Times New Roman"/>
                <w:color w:val="000000"/>
                <w:sz w:val="18"/>
                <w:szCs w:val="18"/>
              </w:rPr>
              <w:br/>
              <w:t>Voluntary prepayment rate</w:t>
            </w:r>
            <w:r>
              <w:rPr>
                <w:rFonts w:eastAsia="Times New Roman"/>
                <w:color w:val="000000"/>
                <w:sz w:val="18"/>
                <w:szCs w:val="18"/>
              </w:rPr>
              <w:br/>
              <w:t>Discount rate</w:t>
            </w:r>
            <w:r>
              <w:rPr>
                <w:rFonts w:eastAsia="Times New Roman"/>
                <w:color w:val="000000"/>
                <w:sz w:val="18"/>
                <w:szCs w:val="18"/>
              </w:rPr>
              <w:br/>
              <w:t>Default rate</w:t>
            </w:r>
            <w:r>
              <w:rPr>
                <w:rFonts w:eastAsia="Times New Roman"/>
                <w:color w:val="000000"/>
                <w:sz w:val="18"/>
                <w:szCs w:val="18"/>
              </w:rPr>
              <w:br/>
              <w:t>Loss severity</w:t>
            </w:r>
          </w:p>
        </w:tc>
        <w:tc>
          <w:tcPr>
            <w:tcW w:w="0" w:type="auto"/>
            <w:gridSpan w:val="3"/>
            <w:shd w:val="clear" w:color="auto" w:fill="CCEEFF"/>
            <w:tcMar>
              <w:top w:w="0" w:type="dxa"/>
              <w:left w:w="20" w:type="dxa"/>
              <w:bottom w:w="0" w:type="dxa"/>
              <w:right w:w="20" w:type="dxa"/>
            </w:tcMar>
            <w:vAlign w:val="center"/>
            <w:hideMark/>
          </w:tcPr>
          <w:p w14:paraId="633ED76C" w14:textId="77777777" w:rsidR="00000000" w:rsidRDefault="00405D16">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7CDB2A24" w14:textId="77777777" w:rsidR="00000000" w:rsidRDefault="00405D16">
            <w:pPr>
              <w:spacing w:after="100"/>
              <w:divId w:val="1272206592"/>
              <w:rPr>
                <w:rFonts w:eastAsia="Times New Roman"/>
              </w:rPr>
            </w:pPr>
            <w:r>
              <w:rPr>
                <w:rFonts w:eastAsia="Times New Roman"/>
                <w:color w:val="000000"/>
                <w:sz w:val="18"/>
                <w:szCs w:val="18"/>
              </w:rPr>
              <w:t>37-52</w:t>
            </w:r>
          </w:p>
          <w:p w14:paraId="7EEC9418" w14:textId="77777777" w:rsidR="00000000" w:rsidRDefault="00405D16">
            <w:pPr>
              <w:spacing w:after="100"/>
              <w:divId w:val="1897620803"/>
              <w:rPr>
                <w:rFonts w:eastAsia="Times New Roman"/>
              </w:rPr>
            </w:pPr>
            <w:r>
              <w:rPr>
                <w:rFonts w:eastAsia="Times New Roman"/>
                <w:color w:val="000000"/>
                <w:sz w:val="18"/>
                <w:szCs w:val="18"/>
              </w:rPr>
              <w:t>3-13%</w:t>
            </w:r>
          </w:p>
          <w:p w14:paraId="54FA6802" w14:textId="77777777" w:rsidR="00000000" w:rsidRDefault="00405D16">
            <w:pPr>
              <w:spacing w:after="100"/>
              <w:divId w:val="1612858320"/>
              <w:rPr>
                <w:rFonts w:eastAsia="Times New Roman"/>
              </w:rPr>
            </w:pPr>
            <w:r>
              <w:rPr>
                <w:rFonts w:eastAsia="Times New Roman"/>
                <w:color w:val="000000"/>
                <w:sz w:val="18"/>
                <w:szCs w:val="18"/>
              </w:rPr>
              <w:t>2-12%</w:t>
            </w:r>
          </w:p>
          <w:p w14:paraId="25750858" w14:textId="77777777" w:rsidR="00000000" w:rsidRDefault="00405D16">
            <w:pPr>
              <w:spacing w:after="100"/>
              <w:divId w:val="530580430"/>
              <w:rPr>
                <w:rFonts w:eastAsia="Times New Roman"/>
              </w:rPr>
            </w:pPr>
            <w:r>
              <w:rPr>
                <w:rFonts w:eastAsia="Times New Roman"/>
                <w:color w:val="000000"/>
                <w:sz w:val="18"/>
                <w:szCs w:val="18"/>
              </w:rPr>
              <w:t>3-3%</w:t>
            </w:r>
          </w:p>
          <w:p w14:paraId="15CDD5DD" w14:textId="77777777" w:rsidR="00000000" w:rsidRDefault="00405D16">
            <w:pPr>
              <w:spacing w:after="100"/>
              <w:divId w:val="130372152"/>
              <w:rPr>
                <w:rFonts w:eastAsia="Times New Roman"/>
              </w:rPr>
            </w:pPr>
            <w:r>
              <w:rPr>
                <w:rFonts w:eastAsia="Times New Roman"/>
                <w:color w:val="000000"/>
                <w:sz w:val="18"/>
                <w:szCs w:val="18"/>
              </w:rPr>
              <w:t>55-70%</w:t>
            </w:r>
          </w:p>
        </w:tc>
        <w:tc>
          <w:tcPr>
            <w:tcW w:w="0" w:type="auto"/>
            <w:gridSpan w:val="3"/>
            <w:shd w:val="clear" w:color="auto" w:fill="CCEEFF"/>
            <w:tcMar>
              <w:top w:w="0" w:type="dxa"/>
              <w:left w:w="20" w:type="dxa"/>
              <w:bottom w:w="0" w:type="dxa"/>
              <w:right w:w="20" w:type="dxa"/>
            </w:tcMar>
            <w:vAlign w:val="center"/>
            <w:hideMark/>
          </w:tcPr>
          <w:p w14:paraId="1492341D" w14:textId="77777777" w:rsidR="00000000" w:rsidRDefault="00405D16">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47E5F22F" w14:textId="77777777" w:rsidR="00000000" w:rsidRDefault="00405D16">
            <w:pPr>
              <w:spacing w:after="100"/>
              <w:rPr>
                <w:rFonts w:eastAsia="Times New Roman"/>
              </w:rPr>
            </w:pPr>
            <w:r>
              <w:rPr>
                <w:rFonts w:eastAsia="Times New Roman"/>
                <w:color w:val="000000"/>
                <w:sz w:val="18"/>
                <w:szCs w:val="18"/>
              </w:rPr>
              <w:t>N/A</w:t>
            </w:r>
          </w:p>
        </w:tc>
      </w:tr>
      <w:tr w:rsidR="00000000" w14:paraId="023A10E1" w14:textId="77777777">
        <w:tc>
          <w:tcPr>
            <w:tcW w:w="0" w:type="auto"/>
            <w:gridSpan w:val="3"/>
            <w:shd w:val="clear" w:color="auto" w:fill="FFFFFF"/>
            <w:tcMar>
              <w:top w:w="30" w:type="dxa"/>
              <w:left w:w="20" w:type="dxa"/>
              <w:bottom w:w="30" w:type="dxa"/>
              <w:right w:w="20" w:type="dxa"/>
            </w:tcMar>
            <w:hideMark/>
          </w:tcPr>
          <w:p w14:paraId="2AC7350F" w14:textId="77777777" w:rsidR="00000000" w:rsidRDefault="00405D16">
            <w:pPr>
              <w:spacing w:after="100"/>
              <w:rPr>
                <w:rFonts w:eastAsia="Times New Roman"/>
              </w:rPr>
            </w:pPr>
            <w:r>
              <w:rPr>
                <w:rFonts w:eastAsia="Times New Roman"/>
                <w:color w:val="000000"/>
                <w:sz w:val="18"/>
                <w:szCs w:val="18"/>
              </w:rPr>
              <w:t>Net derivative assets (liabilities)</w:t>
            </w:r>
          </w:p>
        </w:tc>
        <w:tc>
          <w:tcPr>
            <w:tcW w:w="0" w:type="auto"/>
            <w:gridSpan w:val="3"/>
            <w:shd w:val="clear" w:color="auto" w:fill="FFFFFF"/>
            <w:tcMar>
              <w:top w:w="0" w:type="dxa"/>
              <w:left w:w="20" w:type="dxa"/>
              <w:bottom w:w="0" w:type="dxa"/>
              <w:right w:w="20" w:type="dxa"/>
            </w:tcMar>
            <w:vAlign w:val="center"/>
            <w:hideMark/>
          </w:tcPr>
          <w:p w14:paraId="374B598A"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hideMark/>
          </w:tcPr>
          <w:p w14:paraId="60B6DBD9" w14:textId="77777777" w:rsidR="00000000" w:rsidRDefault="00405D16">
            <w:pPr>
              <w:spacing w:after="100"/>
              <w:jc w:val="right"/>
              <w:rPr>
                <w:rFonts w:eastAsia="Times New Roman"/>
              </w:rPr>
            </w:pPr>
            <w:r>
              <w:rPr>
                <w:rFonts w:eastAsia="Times New Roman"/>
                <w:color w:val="000000"/>
                <w:sz w:val="18"/>
                <w:szCs w:val="18"/>
              </w:rPr>
              <w:t>31 </w:t>
            </w:r>
          </w:p>
        </w:tc>
        <w:tc>
          <w:tcPr>
            <w:tcW w:w="0" w:type="auto"/>
            <w:shd w:val="clear" w:color="auto" w:fill="FFFFFF"/>
            <w:tcMar>
              <w:top w:w="30" w:type="dxa"/>
              <w:left w:w="0" w:type="dxa"/>
              <w:bottom w:w="30" w:type="dxa"/>
              <w:right w:w="20" w:type="dxa"/>
            </w:tcMar>
            <w:hideMark/>
          </w:tcPr>
          <w:p w14:paraId="621CF01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32AD05" w14:textId="77777777" w:rsidR="00000000" w:rsidRDefault="00405D1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3224616C" w14:textId="77777777" w:rsidR="00000000" w:rsidRDefault="00405D16">
            <w:pPr>
              <w:spacing w:after="100"/>
              <w:rPr>
                <w:rFonts w:eastAsia="Times New Roman"/>
              </w:rPr>
            </w:pPr>
            <w:r>
              <w:rPr>
                <w:rFonts w:eastAsia="Times New Roman"/>
                <w:color w:val="000000"/>
                <w:sz w:val="18"/>
                <w:szCs w:val="18"/>
              </w:rPr>
              <w:t>Discounted cash flows</w:t>
            </w:r>
          </w:p>
        </w:tc>
        <w:tc>
          <w:tcPr>
            <w:tcW w:w="0" w:type="auto"/>
            <w:gridSpan w:val="3"/>
            <w:shd w:val="clear" w:color="auto" w:fill="FFFFFF"/>
            <w:tcMar>
              <w:top w:w="0" w:type="dxa"/>
              <w:left w:w="20" w:type="dxa"/>
              <w:bottom w:w="0" w:type="dxa"/>
              <w:right w:w="20" w:type="dxa"/>
            </w:tcMar>
            <w:vAlign w:val="center"/>
            <w:hideMark/>
          </w:tcPr>
          <w:p w14:paraId="38BA4673" w14:textId="77777777" w:rsidR="00000000" w:rsidRDefault="00405D1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5D2D77ED" w14:textId="77777777" w:rsidR="00000000" w:rsidRDefault="00405D16">
            <w:pPr>
              <w:spacing w:after="100"/>
              <w:rPr>
                <w:rFonts w:eastAsia="Times New Roman"/>
              </w:rPr>
            </w:pPr>
            <w:r>
              <w:rPr>
                <w:rFonts w:eastAsia="Times New Roman"/>
                <w:color w:val="000000"/>
                <w:sz w:val="18"/>
                <w:szCs w:val="18"/>
              </w:rPr>
              <w:t>Swap rates</w:t>
            </w:r>
          </w:p>
        </w:tc>
        <w:tc>
          <w:tcPr>
            <w:tcW w:w="0" w:type="auto"/>
            <w:gridSpan w:val="3"/>
            <w:shd w:val="clear" w:color="auto" w:fill="FFFFFF"/>
            <w:tcMar>
              <w:top w:w="0" w:type="dxa"/>
              <w:left w:w="20" w:type="dxa"/>
              <w:bottom w:w="0" w:type="dxa"/>
              <w:right w:w="20" w:type="dxa"/>
            </w:tcMar>
            <w:vAlign w:val="center"/>
            <w:hideMark/>
          </w:tcPr>
          <w:p w14:paraId="345EAA3F" w14:textId="77777777" w:rsidR="00000000" w:rsidRDefault="00405D1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2EB602FD" w14:textId="77777777" w:rsidR="00000000" w:rsidRDefault="00405D16">
            <w:pPr>
              <w:spacing w:after="100"/>
              <w:rPr>
                <w:rFonts w:eastAsia="Times New Roman"/>
              </w:rPr>
            </w:pPr>
            <w:r>
              <w:rPr>
                <w:rFonts w:eastAsia="Times New Roman"/>
                <w:color w:val="000000"/>
                <w:sz w:val="18"/>
                <w:szCs w:val="18"/>
              </w:rPr>
              <w:t>1%</w:t>
            </w:r>
          </w:p>
        </w:tc>
        <w:tc>
          <w:tcPr>
            <w:tcW w:w="0" w:type="auto"/>
            <w:gridSpan w:val="3"/>
            <w:shd w:val="clear" w:color="auto" w:fill="FFFFFF"/>
            <w:tcMar>
              <w:top w:w="0" w:type="dxa"/>
              <w:left w:w="20" w:type="dxa"/>
              <w:bottom w:w="0" w:type="dxa"/>
              <w:right w:w="20" w:type="dxa"/>
            </w:tcMar>
            <w:vAlign w:val="center"/>
            <w:hideMark/>
          </w:tcPr>
          <w:p w14:paraId="179D5E0F" w14:textId="77777777" w:rsidR="00000000" w:rsidRDefault="00405D1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0B2E1721" w14:textId="77777777" w:rsidR="00000000" w:rsidRDefault="00405D16">
            <w:pPr>
              <w:spacing w:after="100"/>
              <w:rPr>
                <w:rFonts w:eastAsia="Times New Roman"/>
              </w:rPr>
            </w:pPr>
            <w:r>
              <w:rPr>
                <w:rFonts w:eastAsia="Times New Roman"/>
                <w:color w:val="000000"/>
                <w:sz w:val="18"/>
                <w:szCs w:val="18"/>
              </w:rPr>
              <w:t>1%</w:t>
            </w:r>
          </w:p>
        </w:tc>
      </w:tr>
    </w:tbl>
    <w:p w14:paraId="08A62A95" w14:textId="77777777" w:rsidR="00000000" w:rsidRDefault="00405D16">
      <w:pPr>
        <w:rPr>
          <w:rFonts w:eastAsia="Times New Roman"/>
        </w:rPr>
      </w:pPr>
      <w:r>
        <w:rPr>
          <w:rFonts w:eastAsia="Times New Roman"/>
          <w:color w:val="000000"/>
          <w:sz w:val="20"/>
          <w:szCs w:val="20"/>
        </w:rPr>
        <w:t>__________</w:t>
      </w:r>
    </w:p>
    <w:p w14:paraId="69BC5B5D" w14:textId="77777777" w:rsidR="00000000" w:rsidRDefault="00405D16">
      <w:pPr>
        <w:ind w:hanging="360"/>
        <w:jc w:val="both"/>
        <w:divId w:val="106456775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Weighted averages are calculated by using the product of the input multiplied by the relative fair value of the instruments.</w:t>
      </w:r>
    </w:p>
    <w:p w14:paraId="7A09E952" w14:textId="77777777" w:rsidR="00000000" w:rsidRDefault="00405D16">
      <w:pPr>
        <w:ind w:hanging="360"/>
        <w:jc w:val="both"/>
        <w:divId w:val="74241330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Due to the nature of the various mortgage securitization structures in which we have retained </w:t>
      </w:r>
      <w:r>
        <w:rPr>
          <w:rFonts w:eastAsia="Times New Roman"/>
          <w:color w:val="000000"/>
          <w:sz w:val="16"/>
          <w:szCs w:val="16"/>
        </w:rPr>
        <w:t>interests, it is not meaningful to present a consolidated weighted average for the significant unobservable inputs.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0B4D4991" w14:textId="77777777">
        <w:trPr>
          <w:divId w:val="1295330560"/>
          <w:jc w:val="center"/>
        </w:trPr>
        <w:tc>
          <w:tcPr>
            <w:tcW w:w="50" w:type="pct"/>
            <w:vAlign w:val="center"/>
            <w:hideMark/>
          </w:tcPr>
          <w:p w14:paraId="6948EAF1" w14:textId="77777777" w:rsidR="00000000" w:rsidRDefault="00405D16">
            <w:pPr>
              <w:ind w:hanging="360"/>
              <w:jc w:val="both"/>
              <w:rPr>
                <w:rFonts w:eastAsia="Times New Roman"/>
              </w:rPr>
            </w:pPr>
          </w:p>
        </w:tc>
        <w:tc>
          <w:tcPr>
            <w:tcW w:w="1606" w:type="pct"/>
            <w:vAlign w:val="center"/>
            <w:hideMark/>
          </w:tcPr>
          <w:p w14:paraId="2D6A1F01" w14:textId="77777777" w:rsidR="00000000" w:rsidRDefault="00405D16">
            <w:pPr>
              <w:spacing w:after="100"/>
              <w:rPr>
                <w:rFonts w:eastAsia="Times New Roman"/>
                <w:sz w:val="20"/>
                <w:szCs w:val="20"/>
              </w:rPr>
            </w:pPr>
          </w:p>
        </w:tc>
        <w:tc>
          <w:tcPr>
            <w:tcW w:w="5" w:type="pct"/>
            <w:vAlign w:val="center"/>
            <w:hideMark/>
          </w:tcPr>
          <w:p w14:paraId="5B344214" w14:textId="77777777" w:rsidR="00000000" w:rsidRDefault="00405D16">
            <w:pPr>
              <w:spacing w:after="100"/>
              <w:rPr>
                <w:rFonts w:eastAsia="Times New Roman"/>
                <w:sz w:val="20"/>
                <w:szCs w:val="20"/>
              </w:rPr>
            </w:pPr>
          </w:p>
        </w:tc>
        <w:tc>
          <w:tcPr>
            <w:tcW w:w="50" w:type="pct"/>
            <w:vAlign w:val="center"/>
            <w:hideMark/>
          </w:tcPr>
          <w:p w14:paraId="7ED7D580" w14:textId="77777777" w:rsidR="00000000" w:rsidRDefault="00405D16">
            <w:pPr>
              <w:spacing w:after="100"/>
              <w:rPr>
                <w:rFonts w:eastAsia="Times New Roman"/>
                <w:sz w:val="20"/>
                <w:szCs w:val="20"/>
              </w:rPr>
            </w:pPr>
          </w:p>
        </w:tc>
        <w:tc>
          <w:tcPr>
            <w:tcW w:w="1614" w:type="pct"/>
            <w:vAlign w:val="center"/>
            <w:hideMark/>
          </w:tcPr>
          <w:p w14:paraId="39268058" w14:textId="77777777" w:rsidR="00000000" w:rsidRDefault="00405D16">
            <w:pPr>
              <w:spacing w:after="100"/>
              <w:rPr>
                <w:rFonts w:eastAsia="Times New Roman"/>
                <w:sz w:val="20"/>
                <w:szCs w:val="20"/>
              </w:rPr>
            </w:pPr>
          </w:p>
        </w:tc>
        <w:tc>
          <w:tcPr>
            <w:tcW w:w="5" w:type="pct"/>
            <w:vAlign w:val="center"/>
            <w:hideMark/>
          </w:tcPr>
          <w:p w14:paraId="151678BA" w14:textId="77777777" w:rsidR="00000000" w:rsidRDefault="00405D16">
            <w:pPr>
              <w:spacing w:after="100"/>
              <w:rPr>
                <w:rFonts w:eastAsia="Times New Roman"/>
                <w:sz w:val="20"/>
                <w:szCs w:val="20"/>
              </w:rPr>
            </w:pPr>
          </w:p>
        </w:tc>
        <w:tc>
          <w:tcPr>
            <w:tcW w:w="50" w:type="pct"/>
            <w:vAlign w:val="center"/>
            <w:hideMark/>
          </w:tcPr>
          <w:p w14:paraId="1A22395C" w14:textId="77777777" w:rsidR="00000000" w:rsidRDefault="00405D16">
            <w:pPr>
              <w:spacing w:after="100"/>
              <w:rPr>
                <w:rFonts w:eastAsia="Times New Roman"/>
                <w:sz w:val="20"/>
                <w:szCs w:val="20"/>
              </w:rPr>
            </w:pPr>
          </w:p>
        </w:tc>
        <w:tc>
          <w:tcPr>
            <w:tcW w:w="1614" w:type="pct"/>
            <w:vAlign w:val="center"/>
            <w:hideMark/>
          </w:tcPr>
          <w:p w14:paraId="2DFF4455" w14:textId="77777777" w:rsidR="00000000" w:rsidRDefault="00405D16">
            <w:pPr>
              <w:spacing w:after="100"/>
              <w:rPr>
                <w:rFonts w:eastAsia="Times New Roman"/>
                <w:sz w:val="20"/>
                <w:szCs w:val="20"/>
              </w:rPr>
            </w:pPr>
          </w:p>
        </w:tc>
        <w:tc>
          <w:tcPr>
            <w:tcW w:w="5" w:type="pct"/>
            <w:vAlign w:val="center"/>
            <w:hideMark/>
          </w:tcPr>
          <w:p w14:paraId="34ED366A" w14:textId="77777777" w:rsidR="00000000" w:rsidRDefault="00405D16">
            <w:pPr>
              <w:spacing w:after="100"/>
              <w:rPr>
                <w:rFonts w:eastAsia="Times New Roman"/>
                <w:sz w:val="20"/>
                <w:szCs w:val="20"/>
              </w:rPr>
            </w:pPr>
          </w:p>
        </w:tc>
      </w:tr>
      <w:tr w:rsidR="00000000" w14:paraId="790E8A3E" w14:textId="77777777">
        <w:trPr>
          <w:divId w:val="1295330560"/>
          <w:trHeight w:val="300"/>
          <w:jc w:val="center"/>
        </w:trPr>
        <w:tc>
          <w:tcPr>
            <w:tcW w:w="0" w:type="auto"/>
            <w:gridSpan w:val="9"/>
            <w:tcMar>
              <w:top w:w="0" w:type="dxa"/>
              <w:left w:w="20" w:type="dxa"/>
              <w:bottom w:w="0" w:type="dxa"/>
              <w:right w:w="20" w:type="dxa"/>
            </w:tcMar>
            <w:vAlign w:val="center"/>
            <w:hideMark/>
          </w:tcPr>
          <w:p w14:paraId="2F0BF6F9" w14:textId="77777777" w:rsidR="00000000" w:rsidRDefault="00405D16">
            <w:pPr>
              <w:spacing w:after="100"/>
              <w:rPr>
                <w:rFonts w:eastAsia="Times New Roman"/>
                <w:sz w:val="20"/>
                <w:szCs w:val="20"/>
              </w:rPr>
            </w:pPr>
          </w:p>
        </w:tc>
      </w:tr>
      <w:tr w:rsidR="00000000" w14:paraId="49DE087D" w14:textId="77777777">
        <w:trPr>
          <w:divId w:val="1295330560"/>
          <w:jc w:val="center"/>
        </w:trPr>
        <w:tc>
          <w:tcPr>
            <w:tcW w:w="0" w:type="auto"/>
            <w:gridSpan w:val="3"/>
            <w:tcMar>
              <w:top w:w="0" w:type="dxa"/>
              <w:left w:w="20" w:type="dxa"/>
              <w:bottom w:w="0" w:type="dxa"/>
              <w:right w:w="20" w:type="dxa"/>
            </w:tcMar>
            <w:vAlign w:val="center"/>
            <w:hideMark/>
          </w:tcPr>
          <w:p w14:paraId="3DDA59EB"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CB86DB3" w14:textId="77777777" w:rsidR="00000000" w:rsidRDefault="00405D16">
            <w:pPr>
              <w:spacing w:after="100"/>
              <w:jc w:val="center"/>
              <w:rPr>
                <w:rFonts w:eastAsia="Times New Roman"/>
              </w:rPr>
            </w:pPr>
            <w:r>
              <w:rPr>
                <w:rFonts w:eastAsia="Times New Roman"/>
                <w:color w:val="000000"/>
                <w:sz w:val="16"/>
                <w:szCs w:val="16"/>
              </w:rPr>
              <w:t>122</w:t>
            </w:r>
          </w:p>
        </w:tc>
        <w:tc>
          <w:tcPr>
            <w:tcW w:w="0" w:type="auto"/>
            <w:gridSpan w:val="3"/>
            <w:tcMar>
              <w:top w:w="30" w:type="dxa"/>
              <w:left w:w="20" w:type="dxa"/>
              <w:bottom w:w="30" w:type="dxa"/>
              <w:right w:w="20" w:type="dxa"/>
            </w:tcMar>
            <w:vAlign w:val="bottom"/>
            <w:hideMark/>
          </w:tcPr>
          <w:p w14:paraId="4A556A5B"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65F87EAC" w14:textId="77777777" w:rsidR="00000000" w:rsidRDefault="00405D16">
      <w:pPr>
        <w:rPr>
          <w:rFonts w:eastAsia="Times New Roman"/>
        </w:rPr>
      </w:pPr>
      <w:r>
        <w:rPr>
          <w:rFonts w:eastAsia="Times New Roman"/>
        </w:rPr>
        <w:pict w14:anchorId="3B7424CE">
          <v:rect id="_x0000_i1147" style="width:0;height:1.5pt" o:hralign="center" o:hrstd="t" o:hr="t" fillcolor="#a0a0a0" stroked="f"/>
        </w:pict>
      </w:r>
    </w:p>
    <w:p w14:paraId="09206F78" w14:textId="77777777" w:rsidR="00000000" w:rsidRDefault="00405D16">
      <w:pPr>
        <w:jc w:val="both"/>
        <w:divId w:val="2064405586"/>
        <w:rPr>
          <w:rFonts w:eastAsia="Times New Roman"/>
        </w:rPr>
      </w:pPr>
      <w:hyperlink w:anchor="idd54a04a485440b4ab4e56094c14d612_13" w:history="1">
        <w:r>
          <w:rPr>
            <w:rStyle w:val="a3"/>
            <w:rFonts w:eastAsia="Times New Roman"/>
            <w:sz w:val="16"/>
            <w:szCs w:val="16"/>
          </w:rPr>
          <w:t>Table of Contents</w:t>
        </w:r>
      </w:hyperlink>
    </w:p>
    <w:p w14:paraId="3C61000C" w14:textId="77777777" w:rsidR="00000000" w:rsidRDefault="00405D16">
      <w:pPr>
        <w:jc w:val="center"/>
        <w:divId w:val="2064405586"/>
        <w:rPr>
          <w:rFonts w:eastAsia="Times New Roman"/>
        </w:rPr>
      </w:pPr>
    </w:p>
    <w:p w14:paraId="704BA1B3" w14:textId="77777777" w:rsidR="00000000" w:rsidRDefault="00405D16">
      <w:pPr>
        <w:divId w:val="2074890844"/>
        <w:rPr>
          <w:rFonts w:eastAsia="Times New Roman"/>
        </w:rPr>
      </w:pPr>
      <w:r>
        <w:rPr>
          <w:rFonts w:eastAsia="Times New Roman"/>
          <w:b/>
          <w:bCs/>
          <w:color w:val="000000"/>
          <w:sz w:val="20"/>
          <w:szCs w:val="20"/>
        </w:rPr>
        <w:t>Assets and Liabilities Measured at Fair Value on a Nonrecurring Basis</w:t>
      </w:r>
    </w:p>
    <w:p w14:paraId="20874BF6" w14:textId="77777777" w:rsidR="00000000" w:rsidRDefault="00405D16">
      <w:pPr>
        <w:jc w:val="both"/>
        <w:divId w:val="1022896057"/>
        <w:rPr>
          <w:rFonts w:eastAsia="Times New Roman"/>
        </w:rPr>
      </w:pPr>
      <w:r>
        <w:rPr>
          <w:rFonts w:eastAsia="Times New Roman"/>
          <w:color w:val="000000"/>
          <w:sz w:val="20"/>
          <w:szCs w:val="20"/>
        </w:rPr>
        <w:t>We are required to measure and recognize certain assets at fair value on a nonrecurring basis on the consolidated balance sheets. These assets are not measured at fair value on an ongoing basis but are subject to fair value adjustments in certain circumsta</w:t>
      </w:r>
      <w:r>
        <w:rPr>
          <w:rFonts w:eastAsia="Times New Roman"/>
          <w:color w:val="000000"/>
          <w:sz w:val="20"/>
          <w:szCs w:val="20"/>
        </w:rPr>
        <w:t xml:space="preserve">nces (for example, from the application of lower of cost or fair value accounting or when we evaluate for impairment). </w:t>
      </w:r>
    </w:p>
    <w:p w14:paraId="0179E0A2" w14:textId="77777777" w:rsidR="00000000" w:rsidRDefault="00405D16">
      <w:pPr>
        <w:jc w:val="both"/>
        <w:divId w:val="2088919035"/>
        <w:rPr>
          <w:rFonts w:eastAsia="Times New Roman"/>
        </w:rPr>
      </w:pPr>
      <w:r>
        <w:rPr>
          <w:rFonts w:eastAsia="Times New Roman"/>
          <w:color w:val="000000"/>
          <w:sz w:val="20"/>
          <w:szCs w:val="20"/>
        </w:rPr>
        <w:t>The following table presents the carrying value of the assets measured at fair value on a nonrecurring basis and still held as of Septem</w:t>
      </w:r>
      <w:r>
        <w:rPr>
          <w:rFonts w:eastAsia="Times New Roman"/>
          <w:color w:val="000000"/>
          <w:sz w:val="20"/>
          <w:szCs w:val="20"/>
        </w:rPr>
        <w:t>ber 30, 2021 and December 31, 2020, and for which a nonrecurring fair value measurement was recorded during the nine and twelve months then ended.</w:t>
      </w:r>
    </w:p>
    <w:p w14:paraId="3BAB462C" w14:textId="77777777" w:rsidR="00000000" w:rsidRDefault="00405D16">
      <w:pPr>
        <w:divId w:val="1114404807"/>
        <w:rPr>
          <w:rFonts w:eastAsia="Times New Roman"/>
        </w:rPr>
      </w:pPr>
      <w:r>
        <w:rPr>
          <w:rFonts w:eastAsia="Times New Roman"/>
          <w:b/>
          <w:bCs/>
          <w:color w:val="000000"/>
          <w:sz w:val="18"/>
          <w:szCs w:val="18"/>
        </w:rPr>
        <w:t>Table 11.4: Nonrecurring Fair Value Measurements</w:t>
      </w:r>
    </w:p>
    <w:tbl>
      <w:tblPr>
        <w:tblW w:w="4985" w:type="pct"/>
        <w:tblCellMar>
          <w:top w:w="15" w:type="dxa"/>
          <w:left w:w="15" w:type="dxa"/>
          <w:bottom w:w="15" w:type="dxa"/>
          <w:right w:w="15" w:type="dxa"/>
        </w:tblCellMar>
        <w:tblLook w:val="04A0" w:firstRow="1" w:lastRow="0" w:firstColumn="1" w:lastColumn="0" w:noHBand="0" w:noVBand="1"/>
      </w:tblPr>
      <w:tblGrid>
        <w:gridCol w:w="38"/>
        <w:gridCol w:w="5871"/>
        <w:gridCol w:w="37"/>
        <w:gridCol w:w="36"/>
        <w:gridCol w:w="36"/>
        <w:gridCol w:w="36"/>
        <w:gridCol w:w="111"/>
        <w:gridCol w:w="622"/>
        <w:gridCol w:w="37"/>
        <w:gridCol w:w="37"/>
        <w:gridCol w:w="48"/>
        <w:gridCol w:w="36"/>
        <w:gridCol w:w="110"/>
        <w:gridCol w:w="621"/>
        <w:gridCol w:w="36"/>
        <w:gridCol w:w="36"/>
        <w:gridCol w:w="36"/>
        <w:gridCol w:w="36"/>
        <w:gridCol w:w="110"/>
        <w:gridCol w:w="315"/>
        <w:gridCol w:w="36"/>
      </w:tblGrid>
      <w:tr w:rsidR="00000000" w14:paraId="26F06293" w14:textId="77777777">
        <w:trPr>
          <w:divId w:val="2097551360"/>
        </w:trPr>
        <w:tc>
          <w:tcPr>
            <w:tcW w:w="50" w:type="pct"/>
            <w:vAlign w:val="center"/>
            <w:hideMark/>
          </w:tcPr>
          <w:p w14:paraId="34AFDCFA" w14:textId="77777777" w:rsidR="00000000" w:rsidRDefault="00405D16">
            <w:pPr>
              <w:rPr>
                <w:rFonts w:eastAsia="Times New Roman"/>
              </w:rPr>
            </w:pPr>
          </w:p>
        </w:tc>
        <w:tc>
          <w:tcPr>
            <w:tcW w:w="3669" w:type="pct"/>
            <w:vAlign w:val="center"/>
            <w:hideMark/>
          </w:tcPr>
          <w:p w14:paraId="59BD43B4" w14:textId="77777777" w:rsidR="00000000" w:rsidRDefault="00405D16">
            <w:pPr>
              <w:spacing w:after="100"/>
              <w:rPr>
                <w:rFonts w:eastAsia="Times New Roman"/>
                <w:sz w:val="20"/>
                <w:szCs w:val="20"/>
              </w:rPr>
            </w:pPr>
          </w:p>
        </w:tc>
        <w:tc>
          <w:tcPr>
            <w:tcW w:w="5" w:type="pct"/>
            <w:vAlign w:val="center"/>
            <w:hideMark/>
          </w:tcPr>
          <w:p w14:paraId="4CDB24E9" w14:textId="77777777" w:rsidR="00000000" w:rsidRDefault="00405D16">
            <w:pPr>
              <w:spacing w:after="100"/>
              <w:rPr>
                <w:rFonts w:eastAsia="Times New Roman"/>
                <w:sz w:val="20"/>
                <w:szCs w:val="20"/>
              </w:rPr>
            </w:pPr>
          </w:p>
        </w:tc>
        <w:tc>
          <w:tcPr>
            <w:tcW w:w="5" w:type="pct"/>
            <w:vAlign w:val="center"/>
            <w:hideMark/>
          </w:tcPr>
          <w:p w14:paraId="0E23D44A" w14:textId="77777777" w:rsidR="00000000" w:rsidRDefault="00405D16">
            <w:pPr>
              <w:spacing w:after="100"/>
              <w:rPr>
                <w:rFonts w:eastAsia="Times New Roman"/>
                <w:sz w:val="20"/>
                <w:szCs w:val="20"/>
              </w:rPr>
            </w:pPr>
          </w:p>
        </w:tc>
        <w:tc>
          <w:tcPr>
            <w:tcW w:w="26" w:type="pct"/>
            <w:vAlign w:val="center"/>
            <w:hideMark/>
          </w:tcPr>
          <w:p w14:paraId="0F93E5F7" w14:textId="77777777" w:rsidR="00000000" w:rsidRDefault="00405D16">
            <w:pPr>
              <w:spacing w:after="100"/>
              <w:rPr>
                <w:rFonts w:eastAsia="Times New Roman"/>
                <w:sz w:val="20"/>
                <w:szCs w:val="20"/>
              </w:rPr>
            </w:pPr>
          </w:p>
        </w:tc>
        <w:tc>
          <w:tcPr>
            <w:tcW w:w="5" w:type="pct"/>
            <w:vAlign w:val="center"/>
            <w:hideMark/>
          </w:tcPr>
          <w:p w14:paraId="37E9E85B" w14:textId="77777777" w:rsidR="00000000" w:rsidRDefault="00405D16">
            <w:pPr>
              <w:spacing w:after="100"/>
              <w:rPr>
                <w:rFonts w:eastAsia="Times New Roman"/>
                <w:sz w:val="20"/>
                <w:szCs w:val="20"/>
              </w:rPr>
            </w:pPr>
          </w:p>
        </w:tc>
        <w:tc>
          <w:tcPr>
            <w:tcW w:w="50" w:type="pct"/>
            <w:vAlign w:val="center"/>
            <w:hideMark/>
          </w:tcPr>
          <w:p w14:paraId="2383CAAB" w14:textId="77777777" w:rsidR="00000000" w:rsidRDefault="00405D16">
            <w:pPr>
              <w:spacing w:after="100"/>
              <w:rPr>
                <w:rFonts w:eastAsia="Times New Roman"/>
                <w:sz w:val="20"/>
                <w:szCs w:val="20"/>
              </w:rPr>
            </w:pPr>
          </w:p>
        </w:tc>
        <w:tc>
          <w:tcPr>
            <w:tcW w:w="333" w:type="pct"/>
            <w:vAlign w:val="center"/>
            <w:hideMark/>
          </w:tcPr>
          <w:p w14:paraId="1202D346" w14:textId="77777777" w:rsidR="00000000" w:rsidRDefault="00405D16">
            <w:pPr>
              <w:spacing w:after="100"/>
              <w:rPr>
                <w:rFonts w:eastAsia="Times New Roman"/>
                <w:sz w:val="20"/>
                <w:szCs w:val="20"/>
              </w:rPr>
            </w:pPr>
          </w:p>
        </w:tc>
        <w:tc>
          <w:tcPr>
            <w:tcW w:w="5" w:type="pct"/>
            <w:vAlign w:val="center"/>
            <w:hideMark/>
          </w:tcPr>
          <w:p w14:paraId="116FCD0B" w14:textId="77777777" w:rsidR="00000000" w:rsidRDefault="00405D16">
            <w:pPr>
              <w:spacing w:after="100"/>
              <w:rPr>
                <w:rFonts w:eastAsia="Times New Roman"/>
                <w:sz w:val="20"/>
                <w:szCs w:val="20"/>
              </w:rPr>
            </w:pPr>
          </w:p>
        </w:tc>
        <w:tc>
          <w:tcPr>
            <w:tcW w:w="5" w:type="pct"/>
            <w:vAlign w:val="center"/>
            <w:hideMark/>
          </w:tcPr>
          <w:p w14:paraId="0919E3B6" w14:textId="77777777" w:rsidR="00000000" w:rsidRDefault="00405D16">
            <w:pPr>
              <w:spacing w:after="100"/>
              <w:rPr>
                <w:rFonts w:eastAsia="Times New Roman"/>
                <w:sz w:val="20"/>
                <w:szCs w:val="20"/>
              </w:rPr>
            </w:pPr>
          </w:p>
        </w:tc>
        <w:tc>
          <w:tcPr>
            <w:tcW w:w="26" w:type="pct"/>
            <w:vAlign w:val="center"/>
            <w:hideMark/>
          </w:tcPr>
          <w:p w14:paraId="41415FE2" w14:textId="77777777" w:rsidR="00000000" w:rsidRDefault="00405D16">
            <w:pPr>
              <w:spacing w:after="100"/>
              <w:rPr>
                <w:rFonts w:eastAsia="Times New Roman"/>
                <w:sz w:val="20"/>
                <w:szCs w:val="20"/>
              </w:rPr>
            </w:pPr>
          </w:p>
        </w:tc>
        <w:tc>
          <w:tcPr>
            <w:tcW w:w="5" w:type="pct"/>
            <w:vAlign w:val="center"/>
            <w:hideMark/>
          </w:tcPr>
          <w:p w14:paraId="040845BC" w14:textId="77777777" w:rsidR="00000000" w:rsidRDefault="00405D16">
            <w:pPr>
              <w:spacing w:after="100"/>
              <w:rPr>
                <w:rFonts w:eastAsia="Times New Roman"/>
                <w:sz w:val="20"/>
                <w:szCs w:val="20"/>
              </w:rPr>
            </w:pPr>
          </w:p>
        </w:tc>
        <w:tc>
          <w:tcPr>
            <w:tcW w:w="50" w:type="pct"/>
            <w:vAlign w:val="center"/>
            <w:hideMark/>
          </w:tcPr>
          <w:p w14:paraId="4C67EE99" w14:textId="77777777" w:rsidR="00000000" w:rsidRDefault="00405D16">
            <w:pPr>
              <w:spacing w:after="100"/>
              <w:rPr>
                <w:rFonts w:eastAsia="Times New Roman"/>
                <w:sz w:val="20"/>
                <w:szCs w:val="20"/>
              </w:rPr>
            </w:pPr>
          </w:p>
        </w:tc>
        <w:tc>
          <w:tcPr>
            <w:tcW w:w="333" w:type="pct"/>
            <w:vAlign w:val="center"/>
            <w:hideMark/>
          </w:tcPr>
          <w:p w14:paraId="4A39515A" w14:textId="77777777" w:rsidR="00000000" w:rsidRDefault="00405D16">
            <w:pPr>
              <w:spacing w:after="100"/>
              <w:rPr>
                <w:rFonts w:eastAsia="Times New Roman"/>
                <w:sz w:val="20"/>
                <w:szCs w:val="20"/>
              </w:rPr>
            </w:pPr>
          </w:p>
        </w:tc>
        <w:tc>
          <w:tcPr>
            <w:tcW w:w="5" w:type="pct"/>
            <w:vAlign w:val="center"/>
            <w:hideMark/>
          </w:tcPr>
          <w:p w14:paraId="13F2C782" w14:textId="77777777" w:rsidR="00000000" w:rsidRDefault="00405D16">
            <w:pPr>
              <w:spacing w:after="100"/>
              <w:rPr>
                <w:rFonts w:eastAsia="Times New Roman"/>
                <w:sz w:val="20"/>
                <w:szCs w:val="20"/>
              </w:rPr>
            </w:pPr>
          </w:p>
        </w:tc>
        <w:tc>
          <w:tcPr>
            <w:tcW w:w="5" w:type="pct"/>
            <w:vAlign w:val="center"/>
            <w:hideMark/>
          </w:tcPr>
          <w:p w14:paraId="63DC8996" w14:textId="77777777" w:rsidR="00000000" w:rsidRDefault="00405D16">
            <w:pPr>
              <w:spacing w:after="100"/>
              <w:rPr>
                <w:rFonts w:eastAsia="Times New Roman"/>
                <w:sz w:val="20"/>
                <w:szCs w:val="20"/>
              </w:rPr>
            </w:pPr>
          </w:p>
        </w:tc>
        <w:tc>
          <w:tcPr>
            <w:tcW w:w="26" w:type="pct"/>
            <w:vAlign w:val="center"/>
            <w:hideMark/>
          </w:tcPr>
          <w:p w14:paraId="1E9724A6" w14:textId="77777777" w:rsidR="00000000" w:rsidRDefault="00405D16">
            <w:pPr>
              <w:spacing w:after="100"/>
              <w:rPr>
                <w:rFonts w:eastAsia="Times New Roman"/>
                <w:sz w:val="20"/>
                <w:szCs w:val="20"/>
              </w:rPr>
            </w:pPr>
          </w:p>
        </w:tc>
        <w:tc>
          <w:tcPr>
            <w:tcW w:w="5" w:type="pct"/>
            <w:vAlign w:val="center"/>
            <w:hideMark/>
          </w:tcPr>
          <w:p w14:paraId="2765B006" w14:textId="77777777" w:rsidR="00000000" w:rsidRDefault="00405D16">
            <w:pPr>
              <w:spacing w:after="100"/>
              <w:rPr>
                <w:rFonts w:eastAsia="Times New Roman"/>
                <w:sz w:val="20"/>
                <w:szCs w:val="20"/>
              </w:rPr>
            </w:pPr>
          </w:p>
        </w:tc>
        <w:tc>
          <w:tcPr>
            <w:tcW w:w="50" w:type="pct"/>
            <w:vAlign w:val="center"/>
            <w:hideMark/>
          </w:tcPr>
          <w:p w14:paraId="031EA71B" w14:textId="77777777" w:rsidR="00000000" w:rsidRDefault="00405D16">
            <w:pPr>
              <w:spacing w:after="100"/>
              <w:rPr>
                <w:rFonts w:eastAsia="Times New Roman"/>
                <w:sz w:val="20"/>
                <w:szCs w:val="20"/>
              </w:rPr>
            </w:pPr>
          </w:p>
        </w:tc>
        <w:tc>
          <w:tcPr>
            <w:tcW w:w="333" w:type="pct"/>
            <w:vAlign w:val="center"/>
            <w:hideMark/>
          </w:tcPr>
          <w:p w14:paraId="49FD70E1" w14:textId="77777777" w:rsidR="00000000" w:rsidRDefault="00405D16">
            <w:pPr>
              <w:spacing w:after="100"/>
              <w:rPr>
                <w:rFonts w:eastAsia="Times New Roman"/>
                <w:sz w:val="20"/>
                <w:szCs w:val="20"/>
              </w:rPr>
            </w:pPr>
          </w:p>
        </w:tc>
        <w:tc>
          <w:tcPr>
            <w:tcW w:w="5" w:type="pct"/>
            <w:vAlign w:val="center"/>
            <w:hideMark/>
          </w:tcPr>
          <w:p w14:paraId="1AE038D1" w14:textId="77777777" w:rsidR="00000000" w:rsidRDefault="00405D16">
            <w:pPr>
              <w:spacing w:after="100"/>
              <w:rPr>
                <w:rFonts w:eastAsia="Times New Roman"/>
                <w:sz w:val="20"/>
                <w:szCs w:val="20"/>
              </w:rPr>
            </w:pPr>
          </w:p>
        </w:tc>
      </w:tr>
      <w:tr w:rsidR="00000000" w14:paraId="71E4CCFD" w14:textId="77777777">
        <w:trPr>
          <w:divId w:val="2097551360"/>
        </w:trPr>
        <w:tc>
          <w:tcPr>
            <w:tcW w:w="0" w:type="auto"/>
            <w:gridSpan w:val="3"/>
            <w:tcMar>
              <w:top w:w="0" w:type="dxa"/>
              <w:left w:w="20" w:type="dxa"/>
              <w:bottom w:w="0" w:type="dxa"/>
              <w:right w:w="20" w:type="dxa"/>
            </w:tcMar>
            <w:vAlign w:val="center"/>
            <w:hideMark/>
          </w:tcPr>
          <w:p w14:paraId="6F02612A"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9567833" w14:textId="77777777" w:rsidR="00000000" w:rsidRDefault="00405D16">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154E24C1" w14:textId="77777777" w:rsidR="00000000" w:rsidRDefault="00405D16">
            <w:pPr>
              <w:spacing w:after="100"/>
              <w:jc w:val="center"/>
              <w:rPr>
                <w:rFonts w:eastAsia="Times New Roman"/>
              </w:rPr>
            </w:pPr>
            <w:r>
              <w:rPr>
                <w:rFonts w:eastAsia="Times New Roman"/>
                <w:b/>
                <w:bCs/>
                <w:color w:val="000000"/>
                <w:sz w:val="16"/>
                <w:szCs w:val="16"/>
              </w:rPr>
              <w:t>September 30, 2021</w:t>
            </w:r>
          </w:p>
        </w:tc>
      </w:tr>
      <w:tr w:rsidR="00000000" w14:paraId="44EDDDED" w14:textId="77777777">
        <w:trPr>
          <w:divId w:val="2097551360"/>
          <w:trHeight w:val="360"/>
        </w:trPr>
        <w:tc>
          <w:tcPr>
            <w:tcW w:w="0" w:type="auto"/>
            <w:gridSpan w:val="3"/>
            <w:tcMar>
              <w:top w:w="0" w:type="dxa"/>
              <w:left w:w="20" w:type="dxa"/>
              <w:bottom w:w="0" w:type="dxa"/>
              <w:right w:w="20" w:type="dxa"/>
            </w:tcMar>
            <w:vAlign w:val="center"/>
            <w:hideMark/>
          </w:tcPr>
          <w:p w14:paraId="7198EDAF" w14:textId="77777777" w:rsidR="00000000" w:rsidRDefault="00405D1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2E34272" w14:textId="77777777" w:rsidR="00000000" w:rsidRDefault="00405D16">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3378CA3C" w14:textId="77777777" w:rsidR="00000000" w:rsidRDefault="00405D16">
            <w:pPr>
              <w:spacing w:after="100"/>
              <w:jc w:val="center"/>
              <w:rPr>
                <w:rFonts w:eastAsia="Times New Roman"/>
              </w:rPr>
            </w:pPr>
            <w:r>
              <w:rPr>
                <w:rFonts w:eastAsia="Times New Roman"/>
                <w:b/>
                <w:bCs/>
                <w:color w:val="000000"/>
                <w:sz w:val="16"/>
                <w:szCs w:val="16"/>
              </w:rPr>
              <w:t>Estimated Fair Value Hierarchy</w:t>
            </w:r>
          </w:p>
        </w:tc>
        <w:tc>
          <w:tcPr>
            <w:tcW w:w="0" w:type="auto"/>
            <w:gridSpan w:val="3"/>
            <w:tcBorders>
              <w:top w:val="single" w:sz="8" w:space="0" w:color="000000"/>
            </w:tcBorders>
            <w:tcMar>
              <w:top w:w="0" w:type="dxa"/>
              <w:left w:w="20" w:type="dxa"/>
              <w:bottom w:w="0" w:type="dxa"/>
              <w:right w:w="20" w:type="dxa"/>
            </w:tcMar>
            <w:vAlign w:val="center"/>
            <w:hideMark/>
          </w:tcPr>
          <w:p w14:paraId="3BF329D4" w14:textId="77777777" w:rsidR="00000000" w:rsidRDefault="00405D16">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14:paraId="7A986F2C" w14:textId="77777777" w:rsidR="00000000" w:rsidRDefault="00405D16">
            <w:pPr>
              <w:spacing w:after="100"/>
              <w:jc w:val="center"/>
              <w:rPr>
                <w:rFonts w:eastAsia="Times New Roman"/>
              </w:rPr>
            </w:pPr>
            <w:r>
              <w:rPr>
                <w:rFonts w:eastAsia="Times New Roman"/>
                <w:b/>
                <w:bCs/>
                <w:color w:val="000000"/>
                <w:sz w:val="16"/>
                <w:szCs w:val="16"/>
              </w:rPr>
              <w:t>Total</w:t>
            </w:r>
          </w:p>
        </w:tc>
      </w:tr>
      <w:tr w:rsidR="00000000" w14:paraId="687D2B0E" w14:textId="77777777">
        <w:trPr>
          <w:divId w:val="2097551360"/>
          <w:trHeight w:val="240"/>
        </w:trPr>
        <w:tc>
          <w:tcPr>
            <w:tcW w:w="0" w:type="auto"/>
            <w:gridSpan w:val="3"/>
            <w:tcBorders>
              <w:bottom w:val="single" w:sz="8" w:space="0" w:color="000000"/>
            </w:tcBorders>
            <w:tcMar>
              <w:top w:w="30" w:type="dxa"/>
              <w:left w:w="20" w:type="dxa"/>
              <w:bottom w:w="30" w:type="dxa"/>
              <w:right w:w="20" w:type="dxa"/>
            </w:tcMar>
            <w:vAlign w:val="bottom"/>
            <w:hideMark/>
          </w:tcPr>
          <w:p w14:paraId="74679926"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456B2EA8" w14:textId="77777777" w:rsidR="00000000" w:rsidRDefault="00405D16">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BE9B394" w14:textId="77777777" w:rsidR="00000000" w:rsidRDefault="00405D16">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14:paraId="0F9B18B9" w14:textId="77777777" w:rsidR="00000000" w:rsidRDefault="00405D1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C103085" w14:textId="77777777" w:rsidR="00000000" w:rsidRDefault="00405D16">
            <w:pPr>
              <w:spacing w:after="100"/>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14:paraId="24224AD1" w14:textId="77777777" w:rsidR="00000000" w:rsidRDefault="00405D16">
            <w:pPr>
              <w:spacing w:after="100"/>
              <w:jc w:val="center"/>
              <w:rPr>
                <w:rFonts w:eastAsia="Times New Roman"/>
              </w:rPr>
            </w:pPr>
          </w:p>
        </w:tc>
        <w:tc>
          <w:tcPr>
            <w:tcW w:w="0" w:type="auto"/>
            <w:gridSpan w:val="3"/>
            <w:vMerge/>
            <w:tcBorders>
              <w:top w:val="single" w:sz="8" w:space="0" w:color="000000"/>
              <w:bottom w:val="single" w:sz="8" w:space="0" w:color="000000"/>
            </w:tcBorders>
            <w:vAlign w:val="center"/>
            <w:hideMark/>
          </w:tcPr>
          <w:p w14:paraId="529CE800" w14:textId="77777777" w:rsidR="00000000" w:rsidRDefault="00405D16">
            <w:pPr>
              <w:spacing w:after="100"/>
              <w:rPr>
                <w:rFonts w:eastAsia="Times New Roman"/>
              </w:rPr>
            </w:pPr>
          </w:p>
        </w:tc>
      </w:tr>
      <w:tr w:rsidR="00000000" w14:paraId="7CE6A2B4" w14:textId="77777777">
        <w:trPr>
          <w:divId w:val="209755136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4E996DF" w14:textId="77777777" w:rsidR="00000000" w:rsidRDefault="00405D16">
            <w:pPr>
              <w:spacing w:after="100"/>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14:paraId="304DBA3C"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0EE65BE"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4C1EA9D"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E52528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35593E"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4AD6295"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AABDDC6" w14:textId="77777777" w:rsidR="00000000" w:rsidRDefault="00405D16">
            <w:pPr>
              <w:spacing w:after="100"/>
              <w:jc w:val="right"/>
              <w:rPr>
                <w:rFonts w:eastAsia="Times New Roman"/>
              </w:rPr>
            </w:pPr>
            <w:r>
              <w:rPr>
                <w:rFonts w:eastAsia="Times New Roman"/>
                <w:b/>
                <w:bCs/>
                <w:color w:val="000000"/>
                <w:sz w:val="18"/>
                <w:szCs w:val="18"/>
              </w:rPr>
              <w:t>126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E67C14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6EC485"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D75E261"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E7A88B0" w14:textId="77777777" w:rsidR="00000000" w:rsidRDefault="00405D16">
            <w:pPr>
              <w:spacing w:after="100"/>
              <w:jc w:val="right"/>
              <w:rPr>
                <w:rFonts w:eastAsia="Times New Roman"/>
              </w:rPr>
            </w:pPr>
            <w:r>
              <w:rPr>
                <w:rFonts w:eastAsia="Times New Roman"/>
                <w:b/>
                <w:bCs/>
                <w:color w:val="000000"/>
                <w:sz w:val="18"/>
                <w:szCs w:val="18"/>
              </w:rPr>
              <w:t>126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DDAC5E4" w14:textId="77777777" w:rsidR="00000000" w:rsidRDefault="00405D16">
            <w:pPr>
              <w:spacing w:after="100"/>
              <w:jc w:val="right"/>
              <w:rPr>
                <w:rFonts w:eastAsia="Times New Roman"/>
              </w:rPr>
            </w:pPr>
          </w:p>
        </w:tc>
      </w:tr>
      <w:tr w:rsidR="00000000" w14:paraId="1F5F1B12" w14:textId="77777777">
        <w:trPr>
          <w:divId w:val="2097551360"/>
        </w:trPr>
        <w:tc>
          <w:tcPr>
            <w:tcW w:w="0" w:type="auto"/>
            <w:gridSpan w:val="3"/>
            <w:vAlign w:val="center"/>
            <w:hideMark/>
          </w:tcPr>
          <w:p w14:paraId="36FCBC5E" w14:textId="77777777" w:rsidR="00000000" w:rsidRDefault="00405D16">
            <w:pPr>
              <w:spacing w:after="100"/>
              <w:jc w:val="right"/>
              <w:rPr>
                <w:rFonts w:eastAsia="Times New Roman"/>
                <w:sz w:val="20"/>
                <w:szCs w:val="20"/>
              </w:rPr>
            </w:pPr>
          </w:p>
        </w:tc>
        <w:tc>
          <w:tcPr>
            <w:tcW w:w="0" w:type="auto"/>
            <w:gridSpan w:val="3"/>
            <w:vAlign w:val="center"/>
            <w:hideMark/>
          </w:tcPr>
          <w:p w14:paraId="18D3280F" w14:textId="77777777" w:rsidR="00000000" w:rsidRDefault="00405D16">
            <w:pPr>
              <w:spacing w:after="100"/>
              <w:rPr>
                <w:rFonts w:eastAsia="Times New Roman"/>
                <w:sz w:val="20"/>
                <w:szCs w:val="20"/>
              </w:rPr>
            </w:pPr>
          </w:p>
        </w:tc>
        <w:tc>
          <w:tcPr>
            <w:tcW w:w="0" w:type="auto"/>
            <w:gridSpan w:val="3"/>
            <w:vAlign w:val="center"/>
            <w:hideMark/>
          </w:tcPr>
          <w:p w14:paraId="77B48CFB" w14:textId="77777777" w:rsidR="00000000" w:rsidRDefault="00405D16">
            <w:pPr>
              <w:spacing w:after="100"/>
              <w:rPr>
                <w:rFonts w:eastAsia="Times New Roman"/>
                <w:sz w:val="20"/>
                <w:szCs w:val="20"/>
              </w:rPr>
            </w:pPr>
          </w:p>
        </w:tc>
        <w:tc>
          <w:tcPr>
            <w:tcW w:w="0" w:type="auto"/>
            <w:gridSpan w:val="3"/>
            <w:vAlign w:val="center"/>
            <w:hideMark/>
          </w:tcPr>
          <w:p w14:paraId="6491689A" w14:textId="77777777" w:rsidR="00000000" w:rsidRDefault="00405D16">
            <w:pPr>
              <w:spacing w:after="100"/>
              <w:rPr>
                <w:rFonts w:eastAsia="Times New Roman"/>
                <w:sz w:val="20"/>
                <w:szCs w:val="20"/>
              </w:rPr>
            </w:pPr>
          </w:p>
        </w:tc>
        <w:tc>
          <w:tcPr>
            <w:tcW w:w="0" w:type="auto"/>
            <w:gridSpan w:val="3"/>
            <w:vAlign w:val="center"/>
            <w:hideMark/>
          </w:tcPr>
          <w:p w14:paraId="3966B9AE" w14:textId="77777777" w:rsidR="00000000" w:rsidRDefault="00405D16">
            <w:pPr>
              <w:spacing w:after="100"/>
              <w:rPr>
                <w:rFonts w:eastAsia="Times New Roman"/>
                <w:sz w:val="20"/>
                <w:szCs w:val="20"/>
              </w:rPr>
            </w:pPr>
          </w:p>
        </w:tc>
        <w:tc>
          <w:tcPr>
            <w:tcW w:w="0" w:type="auto"/>
            <w:gridSpan w:val="3"/>
            <w:vAlign w:val="center"/>
            <w:hideMark/>
          </w:tcPr>
          <w:p w14:paraId="34EE2AF8" w14:textId="77777777" w:rsidR="00000000" w:rsidRDefault="00405D16">
            <w:pPr>
              <w:spacing w:after="100"/>
              <w:rPr>
                <w:rFonts w:eastAsia="Times New Roman"/>
                <w:sz w:val="20"/>
                <w:szCs w:val="20"/>
              </w:rPr>
            </w:pPr>
          </w:p>
        </w:tc>
        <w:tc>
          <w:tcPr>
            <w:tcW w:w="0" w:type="auto"/>
            <w:gridSpan w:val="3"/>
            <w:vAlign w:val="center"/>
            <w:hideMark/>
          </w:tcPr>
          <w:p w14:paraId="2FF32F02" w14:textId="77777777" w:rsidR="00000000" w:rsidRDefault="00405D16">
            <w:pPr>
              <w:spacing w:after="100"/>
              <w:rPr>
                <w:rFonts w:eastAsia="Times New Roman"/>
                <w:sz w:val="20"/>
                <w:szCs w:val="20"/>
              </w:rPr>
            </w:pPr>
          </w:p>
        </w:tc>
      </w:tr>
      <w:tr w:rsidR="00000000" w14:paraId="4E7AD054" w14:textId="77777777">
        <w:trPr>
          <w:divId w:val="2097551360"/>
        </w:trPr>
        <w:tc>
          <w:tcPr>
            <w:tcW w:w="0" w:type="auto"/>
            <w:gridSpan w:val="3"/>
            <w:shd w:val="clear" w:color="auto" w:fill="FFFFFF"/>
            <w:tcMar>
              <w:top w:w="30" w:type="dxa"/>
              <w:left w:w="20" w:type="dxa"/>
              <w:bottom w:w="30" w:type="dxa"/>
              <w:right w:w="20" w:type="dxa"/>
            </w:tcMar>
            <w:vAlign w:val="center"/>
            <w:hideMark/>
          </w:tcPr>
          <w:p w14:paraId="1E9E55FC" w14:textId="77777777" w:rsidR="00000000" w:rsidRDefault="00405D16">
            <w:pPr>
              <w:spacing w:after="100"/>
              <w:divId w:val="975917838"/>
              <w:rPr>
                <w:rFonts w:eastAsia="Times New Roman"/>
              </w:rPr>
            </w:pPr>
            <w:r>
              <w:rPr>
                <w:rFonts w:eastAsia="Times New Roman"/>
                <w:color w:val="000000"/>
                <w:sz w:val="18"/>
                <w:szCs w:val="18"/>
              </w:rPr>
              <w:t>Other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3B557339"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83220E8"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6253DE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C45D5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13CF88A" w14:textId="77777777" w:rsidR="00000000" w:rsidRDefault="00405D16">
            <w:pPr>
              <w:spacing w:after="100"/>
              <w:jc w:val="right"/>
              <w:rPr>
                <w:rFonts w:eastAsia="Times New Roman"/>
              </w:rPr>
            </w:pPr>
            <w:r>
              <w:rPr>
                <w:rFonts w:eastAsia="Times New Roman"/>
                <w:b/>
                <w:bCs/>
                <w:color w:val="000000"/>
                <w:sz w:val="18"/>
                <w:szCs w:val="18"/>
              </w:rPr>
              <w:t>175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B17B99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37F8E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65472FB" w14:textId="77777777" w:rsidR="00000000" w:rsidRDefault="00405D16">
            <w:pPr>
              <w:spacing w:after="100"/>
              <w:jc w:val="right"/>
              <w:rPr>
                <w:rFonts w:eastAsia="Times New Roman"/>
              </w:rPr>
            </w:pPr>
            <w:r>
              <w:rPr>
                <w:rFonts w:eastAsia="Times New Roman"/>
                <w:b/>
                <w:bCs/>
                <w:color w:val="000000"/>
                <w:sz w:val="18"/>
                <w:szCs w:val="18"/>
              </w:rPr>
              <w:t>175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0CC08D0" w14:textId="77777777" w:rsidR="00000000" w:rsidRDefault="00405D16">
            <w:pPr>
              <w:spacing w:after="100"/>
              <w:jc w:val="right"/>
              <w:rPr>
                <w:rFonts w:eastAsia="Times New Roman"/>
              </w:rPr>
            </w:pPr>
          </w:p>
        </w:tc>
      </w:tr>
      <w:tr w:rsidR="00000000" w14:paraId="589BEF7E" w14:textId="77777777">
        <w:trPr>
          <w:divId w:val="2097551360"/>
        </w:trPr>
        <w:tc>
          <w:tcPr>
            <w:tcW w:w="0" w:type="auto"/>
            <w:gridSpan w:val="3"/>
            <w:shd w:val="clear" w:color="auto" w:fill="CCEEFF"/>
            <w:tcMar>
              <w:top w:w="30" w:type="dxa"/>
              <w:left w:w="20" w:type="dxa"/>
              <w:bottom w:w="30" w:type="dxa"/>
              <w:right w:w="20" w:type="dxa"/>
            </w:tcMar>
            <w:vAlign w:val="center"/>
            <w:hideMark/>
          </w:tcPr>
          <w:p w14:paraId="58970C44" w14:textId="77777777" w:rsidR="00000000" w:rsidRDefault="00405D16">
            <w:pPr>
              <w:spacing w:after="100"/>
              <w:rPr>
                <w:rFonts w:eastAsia="Times New Roman"/>
              </w:rPr>
            </w:pPr>
            <w:r>
              <w:rPr>
                <w:rFonts w:eastAsia="Times New Roman"/>
                <w:b/>
                <w:bCs/>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35BE802B"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847C7F0"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4CE259F"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385F9A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C7AB61"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80659B1"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6ABB0A6" w14:textId="77777777" w:rsidR="00000000" w:rsidRDefault="00405D16">
            <w:pPr>
              <w:spacing w:after="100"/>
              <w:jc w:val="right"/>
              <w:rPr>
                <w:rFonts w:eastAsia="Times New Roman"/>
              </w:rPr>
            </w:pPr>
            <w:r>
              <w:rPr>
                <w:rFonts w:eastAsia="Times New Roman"/>
                <w:b/>
                <w:bCs/>
                <w:color w:val="000000"/>
                <w:sz w:val="18"/>
                <w:szCs w:val="18"/>
              </w:rPr>
              <w:t>301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3A47F8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BC88B3"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3D51924"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13232F3" w14:textId="77777777" w:rsidR="00000000" w:rsidRDefault="00405D16">
            <w:pPr>
              <w:spacing w:after="100"/>
              <w:jc w:val="right"/>
              <w:rPr>
                <w:rFonts w:eastAsia="Times New Roman"/>
              </w:rPr>
            </w:pPr>
            <w:r>
              <w:rPr>
                <w:rFonts w:eastAsia="Times New Roman"/>
                <w:b/>
                <w:bCs/>
                <w:color w:val="000000"/>
                <w:sz w:val="18"/>
                <w:szCs w:val="18"/>
              </w:rPr>
              <w:t>301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DD968F2" w14:textId="77777777" w:rsidR="00000000" w:rsidRDefault="00405D16">
            <w:pPr>
              <w:spacing w:after="100"/>
              <w:jc w:val="right"/>
              <w:rPr>
                <w:rFonts w:eastAsia="Times New Roman"/>
              </w:rPr>
            </w:pPr>
          </w:p>
        </w:tc>
      </w:tr>
    </w:tbl>
    <w:tbl>
      <w:tblPr>
        <w:tblW w:w="4985" w:type="pct"/>
        <w:tblCellMar>
          <w:top w:w="15" w:type="dxa"/>
          <w:left w:w="15" w:type="dxa"/>
          <w:bottom w:w="15" w:type="dxa"/>
          <w:right w:w="15" w:type="dxa"/>
        </w:tblCellMar>
        <w:tblLook w:val="04A0" w:firstRow="1" w:lastRow="0" w:firstColumn="1" w:lastColumn="0" w:noHBand="0" w:noVBand="1"/>
      </w:tblPr>
      <w:tblGrid>
        <w:gridCol w:w="144"/>
        <w:gridCol w:w="6076"/>
        <w:gridCol w:w="144"/>
        <w:gridCol w:w="144"/>
        <w:gridCol w:w="144"/>
        <w:gridCol w:w="144"/>
        <w:gridCol w:w="144"/>
        <w:gridCol w:w="551"/>
        <w:gridCol w:w="144"/>
        <w:gridCol w:w="144"/>
        <w:gridCol w:w="144"/>
        <w:gridCol w:w="144"/>
        <w:gridCol w:w="144"/>
        <w:gridCol w:w="551"/>
        <w:gridCol w:w="144"/>
        <w:gridCol w:w="144"/>
        <w:gridCol w:w="144"/>
        <w:gridCol w:w="144"/>
        <w:gridCol w:w="144"/>
        <w:gridCol w:w="551"/>
        <w:gridCol w:w="144"/>
      </w:tblGrid>
      <w:tr w:rsidR="00000000" w14:paraId="63869357" w14:textId="77777777">
        <w:tc>
          <w:tcPr>
            <w:tcW w:w="50" w:type="pct"/>
            <w:vAlign w:val="center"/>
            <w:hideMark/>
          </w:tcPr>
          <w:p w14:paraId="713F9DF8" w14:textId="77777777" w:rsidR="00000000" w:rsidRDefault="00405D16">
            <w:pPr>
              <w:rPr>
                <w:rFonts w:eastAsia="Times New Roman"/>
              </w:rPr>
            </w:pPr>
          </w:p>
        </w:tc>
        <w:tc>
          <w:tcPr>
            <w:tcW w:w="3669" w:type="pct"/>
            <w:vAlign w:val="center"/>
            <w:hideMark/>
          </w:tcPr>
          <w:p w14:paraId="309C3432" w14:textId="77777777" w:rsidR="00000000" w:rsidRDefault="00405D16">
            <w:pPr>
              <w:spacing w:after="100"/>
              <w:rPr>
                <w:rFonts w:eastAsia="Times New Roman"/>
                <w:sz w:val="20"/>
                <w:szCs w:val="20"/>
              </w:rPr>
            </w:pPr>
          </w:p>
        </w:tc>
        <w:tc>
          <w:tcPr>
            <w:tcW w:w="5" w:type="pct"/>
            <w:vAlign w:val="center"/>
            <w:hideMark/>
          </w:tcPr>
          <w:p w14:paraId="738B3ACD" w14:textId="77777777" w:rsidR="00000000" w:rsidRDefault="00405D16">
            <w:pPr>
              <w:spacing w:after="100"/>
              <w:rPr>
                <w:rFonts w:eastAsia="Times New Roman"/>
                <w:sz w:val="20"/>
                <w:szCs w:val="20"/>
              </w:rPr>
            </w:pPr>
          </w:p>
        </w:tc>
        <w:tc>
          <w:tcPr>
            <w:tcW w:w="5" w:type="pct"/>
            <w:vAlign w:val="center"/>
            <w:hideMark/>
          </w:tcPr>
          <w:p w14:paraId="3F5BC61B" w14:textId="77777777" w:rsidR="00000000" w:rsidRDefault="00405D16">
            <w:pPr>
              <w:spacing w:after="100"/>
              <w:rPr>
                <w:rFonts w:eastAsia="Times New Roman"/>
                <w:sz w:val="20"/>
                <w:szCs w:val="20"/>
              </w:rPr>
            </w:pPr>
          </w:p>
        </w:tc>
        <w:tc>
          <w:tcPr>
            <w:tcW w:w="26" w:type="pct"/>
            <w:vAlign w:val="center"/>
            <w:hideMark/>
          </w:tcPr>
          <w:p w14:paraId="3ECBC88F" w14:textId="77777777" w:rsidR="00000000" w:rsidRDefault="00405D16">
            <w:pPr>
              <w:spacing w:after="100"/>
              <w:rPr>
                <w:rFonts w:eastAsia="Times New Roman"/>
                <w:sz w:val="20"/>
                <w:szCs w:val="20"/>
              </w:rPr>
            </w:pPr>
          </w:p>
        </w:tc>
        <w:tc>
          <w:tcPr>
            <w:tcW w:w="5" w:type="pct"/>
            <w:vAlign w:val="center"/>
            <w:hideMark/>
          </w:tcPr>
          <w:p w14:paraId="2AD9EC1E" w14:textId="77777777" w:rsidR="00000000" w:rsidRDefault="00405D16">
            <w:pPr>
              <w:spacing w:after="100"/>
              <w:rPr>
                <w:rFonts w:eastAsia="Times New Roman"/>
                <w:sz w:val="20"/>
                <w:szCs w:val="20"/>
              </w:rPr>
            </w:pPr>
          </w:p>
        </w:tc>
        <w:tc>
          <w:tcPr>
            <w:tcW w:w="50" w:type="pct"/>
            <w:vAlign w:val="center"/>
            <w:hideMark/>
          </w:tcPr>
          <w:p w14:paraId="05441065" w14:textId="77777777" w:rsidR="00000000" w:rsidRDefault="00405D16">
            <w:pPr>
              <w:spacing w:after="100"/>
              <w:rPr>
                <w:rFonts w:eastAsia="Times New Roman"/>
                <w:sz w:val="20"/>
                <w:szCs w:val="20"/>
              </w:rPr>
            </w:pPr>
          </w:p>
        </w:tc>
        <w:tc>
          <w:tcPr>
            <w:tcW w:w="333" w:type="pct"/>
            <w:vAlign w:val="center"/>
            <w:hideMark/>
          </w:tcPr>
          <w:p w14:paraId="1F35AFD6" w14:textId="77777777" w:rsidR="00000000" w:rsidRDefault="00405D16">
            <w:pPr>
              <w:spacing w:after="100"/>
              <w:rPr>
                <w:rFonts w:eastAsia="Times New Roman"/>
                <w:sz w:val="20"/>
                <w:szCs w:val="20"/>
              </w:rPr>
            </w:pPr>
          </w:p>
        </w:tc>
        <w:tc>
          <w:tcPr>
            <w:tcW w:w="5" w:type="pct"/>
            <w:vAlign w:val="center"/>
            <w:hideMark/>
          </w:tcPr>
          <w:p w14:paraId="69A7609C" w14:textId="77777777" w:rsidR="00000000" w:rsidRDefault="00405D16">
            <w:pPr>
              <w:spacing w:after="100"/>
              <w:rPr>
                <w:rFonts w:eastAsia="Times New Roman"/>
                <w:sz w:val="20"/>
                <w:szCs w:val="20"/>
              </w:rPr>
            </w:pPr>
          </w:p>
        </w:tc>
        <w:tc>
          <w:tcPr>
            <w:tcW w:w="5" w:type="pct"/>
            <w:vAlign w:val="center"/>
            <w:hideMark/>
          </w:tcPr>
          <w:p w14:paraId="55321F88" w14:textId="77777777" w:rsidR="00000000" w:rsidRDefault="00405D16">
            <w:pPr>
              <w:spacing w:after="100"/>
              <w:rPr>
                <w:rFonts w:eastAsia="Times New Roman"/>
                <w:sz w:val="20"/>
                <w:szCs w:val="20"/>
              </w:rPr>
            </w:pPr>
          </w:p>
        </w:tc>
        <w:tc>
          <w:tcPr>
            <w:tcW w:w="26" w:type="pct"/>
            <w:vAlign w:val="center"/>
            <w:hideMark/>
          </w:tcPr>
          <w:p w14:paraId="7EF07C98" w14:textId="77777777" w:rsidR="00000000" w:rsidRDefault="00405D16">
            <w:pPr>
              <w:spacing w:after="100"/>
              <w:rPr>
                <w:rFonts w:eastAsia="Times New Roman"/>
                <w:sz w:val="20"/>
                <w:szCs w:val="20"/>
              </w:rPr>
            </w:pPr>
          </w:p>
        </w:tc>
        <w:tc>
          <w:tcPr>
            <w:tcW w:w="5" w:type="pct"/>
            <w:vAlign w:val="center"/>
            <w:hideMark/>
          </w:tcPr>
          <w:p w14:paraId="6AE8CB67" w14:textId="77777777" w:rsidR="00000000" w:rsidRDefault="00405D16">
            <w:pPr>
              <w:spacing w:after="100"/>
              <w:rPr>
                <w:rFonts w:eastAsia="Times New Roman"/>
                <w:sz w:val="20"/>
                <w:szCs w:val="20"/>
              </w:rPr>
            </w:pPr>
          </w:p>
        </w:tc>
        <w:tc>
          <w:tcPr>
            <w:tcW w:w="50" w:type="pct"/>
            <w:vAlign w:val="center"/>
            <w:hideMark/>
          </w:tcPr>
          <w:p w14:paraId="7FD015BE" w14:textId="77777777" w:rsidR="00000000" w:rsidRDefault="00405D16">
            <w:pPr>
              <w:spacing w:after="100"/>
              <w:rPr>
                <w:rFonts w:eastAsia="Times New Roman"/>
                <w:sz w:val="20"/>
                <w:szCs w:val="20"/>
              </w:rPr>
            </w:pPr>
          </w:p>
        </w:tc>
        <w:tc>
          <w:tcPr>
            <w:tcW w:w="333" w:type="pct"/>
            <w:vAlign w:val="center"/>
            <w:hideMark/>
          </w:tcPr>
          <w:p w14:paraId="6CDF0671" w14:textId="77777777" w:rsidR="00000000" w:rsidRDefault="00405D16">
            <w:pPr>
              <w:spacing w:after="100"/>
              <w:rPr>
                <w:rFonts w:eastAsia="Times New Roman"/>
                <w:sz w:val="20"/>
                <w:szCs w:val="20"/>
              </w:rPr>
            </w:pPr>
          </w:p>
        </w:tc>
        <w:tc>
          <w:tcPr>
            <w:tcW w:w="5" w:type="pct"/>
            <w:vAlign w:val="center"/>
            <w:hideMark/>
          </w:tcPr>
          <w:p w14:paraId="430716F6" w14:textId="77777777" w:rsidR="00000000" w:rsidRDefault="00405D16">
            <w:pPr>
              <w:spacing w:after="100"/>
              <w:rPr>
                <w:rFonts w:eastAsia="Times New Roman"/>
                <w:sz w:val="20"/>
                <w:szCs w:val="20"/>
              </w:rPr>
            </w:pPr>
          </w:p>
        </w:tc>
        <w:tc>
          <w:tcPr>
            <w:tcW w:w="5" w:type="pct"/>
            <w:vAlign w:val="center"/>
            <w:hideMark/>
          </w:tcPr>
          <w:p w14:paraId="0208A33A" w14:textId="77777777" w:rsidR="00000000" w:rsidRDefault="00405D16">
            <w:pPr>
              <w:spacing w:after="100"/>
              <w:rPr>
                <w:rFonts w:eastAsia="Times New Roman"/>
                <w:sz w:val="20"/>
                <w:szCs w:val="20"/>
              </w:rPr>
            </w:pPr>
          </w:p>
        </w:tc>
        <w:tc>
          <w:tcPr>
            <w:tcW w:w="26" w:type="pct"/>
            <w:vAlign w:val="center"/>
            <w:hideMark/>
          </w:tcPr>
          <w:p w14:paraId="206AA2F7" w14:textId="77777777" w:rsidR="00000000" w:rsidRDefault="00405D16">
            <w:pPr>
              <w:spacing w:after="100"/>
              <w:rPr>
                <w:rFonts w:eastAsia="Times New Roman"/>
                <w:sz w:val="20"/>
                <w:szCs w:val="20"/>
              </w:rPr>
            </w:pPr>
          </w:p>
        </w:tc>
        <w:tc>
          <w:tcPr>
            <w:tcW w:w="5" w:type="pct"/>
            <w:vAlign w:val="center"/>
            <w:hideMark/>
          </w:tcPr>
          <w:p w14:paraId="35FAAEBB" w14:textId="77777777" w:rsidR="00000000" w:rsidRDefault="00405D16">
            <w:pPr>
              <w:spacing w:after="100"/>
              <w:rPr>
                <w:rFonts w:eastAsia="Times New Roman"/>
                <w:sz w:val="20"/>
                <w:szCs w:val="20"/>
              </w:rPr>
            </w:pPr>
          </w:p>
        </w:tc>
        <w:tc>
          <w:tcPr>
            <w:tcW w:w="50" w:type="pct"/>
            <w:vAlign w:val="center"/>
            <w:hideMark/>
          </w:tcPr>
          <w:p w14:paraId="6D0E13F9" w14:textId="77777777" w:rsidR="00000000" w:rsidRDefault="00405D16">
            <w:pPr>
              <w:spacing w:after="100"/>
              <w:rPr>
                <w:rFonts w:eastAsia="Times New Roman"/>
                <w:sz w:val="20"/>
                <w:szCs w:val="20"/>
              </w:rPr>
            </w:pPr>
          </w:p>
        </w:tc>
        <w:tc>
          <w:tcPr>
            <w:tcW w:w="333" w:type="pct"/>
            <w:vAlign w:val="center"/>
            <w:hideMark/>
          </w:tcPr>
          <w:p w14:paraId="502121B4" w14:textId="77777777" w:rsidR="00000000" w:rsidRDefault="00405D16">
            <w:pPr>
              <w:spacing w:after="100"/>
              <w:rPr>
                <w:rFonts w:eastAsia="Times New Roman"/>
                <w:sz w:val="20"/>
                <w:szCs w:val="20"/>
              </w:rPr>
            </w:pPr>
          </w:p>
        </w:tc>
        <w:tc>
          <w:tcPr>
            <w:tcW w:w="5" w:type="pct"/>
            <w:vAlign w:val="center"/>
            <w:hideMark/>
          </w:tcPr>
          <w:p w14:paraId="2216E61C" w14:textId="77777777" w:rsidR="00000000" w:rsidRDefault="00405D16">
            <w:pPr>
              <w:spacing w:after="100"/>
              <w:rPr>
                <w:rFonts w:eastAsia="Times New Roman"/>
                <w:sz w:val="20"/>
                <w:szCs w:val="20"/>
              </w:rPr>
            </w:pPr>
          </w:p>
        </w:tc>
      </w:tr>
      <w:tr w:rsidR="00000000" w14:paraId="45246062" w14:textId="77777777">
        <w:tc>
          <w:tcPr>
            <w:tcW w:w="0" w:type="auto"/>
            <w:gridSpan w:val="3"/>
            <w:tcMar>
              <w:top w:w="0" w:type="dxa"/>
              <w:left w:w="20" w:type="dxa"/>
              <w:bottom w:w="0" w:type="dxa"/>
              <w:right w:w="20" w:type="dxa"/>
            </w:tcMar>
            <w:vAlign w:val="center"/>
            <w:hideMark/>
          </w:tcPr>
          <w:p w14:paraId="3CCF6246"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AF9DFF5" w14:textId="77777777" w:rsidR="00000000" w:rsidRDefault="00405D16">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5F11B39C" w14:textId="77777777" w:rsidR="00000000" w:rsidRDefault="00405D16">
            <w:pPr>
              <w:spacing w:after="100"/>
              <w:jc w:val="center"/>
              <w:rPr>
                <w:rFonts w:eastAsia="Times New Roman"/>
              </w:rPr>
            </w:pPr>
            <w:r>
              <w:rPr>
                <w:rFonts w:eastAsia="Times New Roman"/>
                <w:b/>
                <w:bCs/>
                <w:color w:val="000000"/>
                <w:sz w:val="16"/>
                <w:szCs w:val="16"/>
              </w:rPr>
              <w:t>December 31, 2020</w:t>
            </w:r>
          </w:p>
        </w:tc>
      </w:tr>
      <w:tr w:rsidR="00000000" w14:paraId="640EFD8B" w14:textId="77777777">
        <w:trPr>
          <w:trHeight w:val="360"/>
        </w:trPr>
        <w:tc>
          <w:tcPr>
            <w:tcW w:w="0" w:type="auto"/>
            <w:gridSpan w:val="3"/>
            <w:tcMar>
              <w:top w:w="0" w:type="dxa"/>
              <w:left w:w="20" w:type="dxa"/>
              <w:bottom w:w="0" w:type="dxa"/>
              <w:right w:w="20" w:type="dxa"/>
            </w:tcMar>
            <w:vAlign w:val="center"/>
            <w:hideMark/>
          </w:tcPr>
          <w:p w14:paraId="1F925AFB" w14:textId="77777777" w:rsidR="00000000" w:rsidRDefault="00405D1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CB91EAF" w14:textId="77777777" w:rsidR="00000000" w:rsidRDefault="00405D16">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74DAEEB2" w14:textId="77777777" w:rsidR="00000000" w:rsidRDefault="00405D16">
            <w:pPr>
              <w:spacing w:after="100"/>
              <w:jc w:val="center"/>
              <w:rPr>
                <w:rFonts w:eastAsia="Times New Roman"/>
              </w:rPr>
            </w:pPr>
            <w:r>
              <w:rPr>
                <w:rFonts w:eastAsia="Times New Roman"/>
                <w:b/>
                <w:bCs/>
                <w:color w:val="000000"/>
                <w:sz w:val="16"/>
                <w:szCs w:val="16"/>
              </w:rPr>
              <w:t>Estimated Fair Value Hierarchy</w:t>
            </w:r>
          </w:p>
        </w:tc>
        <w:tc>
          <w:tcPr>
            <w:tcW w:w="0" w:type="auto"/>
            <w:gridSpan w:val="3"/>
            <w:tcBorders>
              <w:top w:val="single" w:sz="8" w:space="0" w:color="000000"/>
            </w:tcBorders>
            <w:tcMar>
              <w:top w:w="0" w:type="dxa"/>
              <w:left w:w="20" w:type="dxa"/>
              <w:bottom w:w="0" w:type="dxa"/>
              <w:right w:w="20" w:type="dxa"/>
            </w:tcMar>
            <w:vAlign w:val="center"/>
            <w:hideMark/>
          </w:tcPr>
          <w:p w14:paraId="0E041BAD" w14:textId="77777777" w:rsidR="00000000" w:rsidRDefault="00405D16">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14:paraId="4EA67CCF" w14:textId="77777777" w:rsidR="00000000" w:rsidRDefault="00405D16">
            <w:pPr>
              <w:spacing w:after="100"/>
              <w:jc w:val="center"/>
              <w:rPr>
                <w:rFonts w:eastAsia="Times New Roman"/>
              </w:rPr>
            </w:pPr>
            <w:r>
              <w:rPr>
                <w:rFonts w:eastAsia="Times New Roman"/>
                <w:b/>
                <w:bCs/>
                <w:color w:val="000000"/>
                <w:sz w:val="16"/>
                <w:szCs w:val="16"/>
              </w:rPr>
              <w:t>Total</w:t>
            </w:r>
          </w:p>
        </w:tc>
      </w:tr>
      <w:tr w:rsidR="00000000" w14:paraId="5FD8BDC7" w14:textId="77777777">
        <w:trPr>
          <w:trHeight w:val="240"/>
        </w:trPr>
        <w:tc>
          <w:tcPr>
            <w:tcW w:w="0" w:type="auto"/>
            <w:gridSpan w:val="3"/>
            <w:tcBorders>
              <w:bottom w:val="single" w:sz="8" w:space="0" w:color="000000"/>
            </w:tcBorders>
            <w:tcMar>
              <w:top w:w="30" w:type="dxa"/>
              <w:left w:w="20" w:type="dxa"/>
              <w:bottom w:w="30" w:type="dxa"/>
              <w:right w:w="20" w:type="dxa"/>
            </w:tcMar>
            <w:vAlign w:val="bottom"/>
            <w:hideMark/>
          </w:tcPr>
          <w:p w14:paraId="2E21B05D"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5D77A4B8" w14:textId="77777777" w:rsidR="00000000" w:rsidRDefault="00405D16">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1F704E1" w14:textId="77777777" w:rsidR="00000000" w:rsidRDefault="00405D16">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14:paraId="0C830402" w14:textId="77777777" w:rsidR="00000000" w:rsidRDefault="00405D16">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93D7328" w14:textId="77777777" w:rsidR="00000000" w:rsidRDefault="00405D16">
            <w:pPr>
              <w:spacing w:after="100"/>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14:paraId="6577825F" w14:textId="77777777" w:rsidR="00000000" w:rsidRDefault="00405D16">
            <w:pPr>
              <w:spacing w:after="100"/>
              <w:jc w:val="center"/>
              <w:rPr>
                <w:rFonts w:eastAsia="Times New Roman"/>
              </w:rPr>
            </w:pPr>
          </w:p>
        </w:tc>
        <w:tc>
          <w:tcPr>
            <w:tcW w:w="0" w:type="auto"/>
            <w:gridSpan w:val="3"/>
            <w:vMerge/>
            <w:tcBorders>
              <w:top w:val="single" w:sz="8" w:space="0" w:color="000000"/>
              <w:bottom w:val="single" w:sz="8" w:space="0" w:color="000000"/>
            </w:tcBorders>
            <w:vAlign w:val="center"/>
            <w:hideMark/>
          </w:tcPr>
          <w:p w14:paraId="34D1633C" w14:textId="77777777" w:rsidR="00000000" w:rsidRDefault="00405D16">
            <w:pPr>
              <w:spacing w:after="100"/>
              <w:rPr>
                <w:rFonts w:eastAsia="Times New Roman"/>
              </w:rPr>
            </w:pPr>
          </w:p>
        </w:tc>
      </w:tr>
      <w:tr w:rsidR="00000000" w14:paraId="6E32D0EC" w14:textId="7777777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8F551FD" w14:textId="77777777" w:rsidR="00000000" w:rsidRDefault="00405D16">
            <w:pPr>
              <w:spacing w:after="100"/>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14:paraId="16571075"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51F1F2A"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5FB4CC0" w14:textId="77777777" w:rsidR="00000000" w:rsidRDefault="00405D16">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4BC27F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55C369"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2367215"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DC3486D" w14:textId="77777777" w:rsidR="00000000" w:rsidRDefault="00405D16">
            <w:pPr>
              <w:spacing w:after="100"/>
              <w:jc w:val="right"/>
              <w:rPr>
                <w:rFonts w:eastAsia="Times New Roman"/>
              </w:rPr>
            </w:pPr>
            <w:r>
              <w:rPr>
                <w:rFonts w:eastAsia="Times New Roman"/>
                <w:color w:val="000000"/>
                <w:sz w:val="18"/>
                <w:szCs w:val="18"/>
              </w:rPr>
              <w:t>305 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7BE4B4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5B8A50"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4D5E186"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C39AFF0" w14:textId="77777777" w:rsidR="00000000" w:rsidRDefault="00405D16">
            <w:pPr>
              <w:spacing w:after="100"/>
              <w:jc w:val="right"/>
              <w:rPr>
                <w:rFonts w:eastAsia="Times New Roman"/>
              </w:rPr>
            </w:pPr>
            <w:r>
              <w:rPr>
                <w:rFonts w:eastAsia="Times New Roman"/>
                <w:color w:val="000000"/>
                <w:sz w:val="18"/>
                <w:szCs w:val="18"/>
              </w:rPr>
              <w:t>305 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C1F775C" w14:textId="77777777" w:rsidR="00000000" w:rsidRDefault="00405D16">
            <w:pPr>
              <w:spacing w:after="100"/>
              <w:jc w:val="right"/>
              <w:rPr>
                <w:rFonts w:eastAsia="Times New Roman"/>
              </w:rPr>
            </w:pPr>
          </w:p>
        </w:tc>
      </w:tr>
      <w:tr w:rsidR="00000000" w14:paraId="369788EE" w14:textId="77777777">
        <w:tc>
          <w:tcPr>
            <w:tcW w:w="0" w:type="auto"/>
            <w:gridSpan w:val="3"/>
            <w:shd w:val="clear" w:color="auto" w:fill="FFFFFF"/>
            <w:tcMar>
              <w:top w:w="30" w:type="dxa"/>
              <w:left w:w="20" w:type="dxa"/>
              <w:bottom w:w="30" w:type="dxa"/>
              <w:right w:w="20" w:type="dxa"/>
            </w:tcMar>
            <w:vAlign w:val="center"/>
            <w:hideMark/>
          </w:tcPr>
          <w:p w14:paraId="2E85D908" w14:textId="77777777" w:rsidR="00000000" w:rsidRDefault="00405D16">
            <w:pPr>
              <w:spacing w:after="100"/>
              <w:divId w:val="1384137856"/>
              <w:rPr>
                <w:rFonts w:eastAsia="Times New Roman"/>
              </w:rPr>
            </w:pPr>
            <w:r>
              <w:rPr>
                <w:rFonts w:eastAsia="Times New Roman"/>
                <w:color w:val="000000"/>
                <w:sz w:val="18"/>
                <w:szCs w:val="18"/>
              </w:rPr>
              <w:t>Other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5FE3E5F1"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4F926D1"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2552F8B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1C67A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BC2914C" w14:textId="77777777" w:rsidR="00000000" w:rsidRDefault="00405D16">
            <w:pPr>
              <w:spacing w:after="100"/>
              <w:jc w:val="right"/>
              <w:rPr>
                <w:rFonts w:eastAsia="Times New Roman"/>
              </w:rPr>
            </w:pPr>
            <w:r>
              <w:rPr>
                <w:rFonts w:eastAsia="Times New Roman"/>
                <w:color w:val="000000"/>
                <w:sz w:val="18"/>
                <w:szCs w:val="18"/>
              </w:rPr>
              <w:t>175 </w:t>
            </w:r>
          </w:p>
        </w:tc>
        <w:tc>
          <w:tcPr>
            <w:tcW w:w="0" w:type="auto"/>
            <w:shd w:val="clear" w:color="auto" w:fill="FFFFFF"/>
            <w:tcMar>
              <w:top w:w="30" w:type="dxa"/>
              <w:left w:w="0" w:type="dxa"/>
              <w:bottom w:w="30" w:type="dxa"/>
              <w:right w:w="20" w:type="dxa"/>
            </w:tcMar>
            <w:vAlign w:val="center"/>
            <w:hideMark/>
          </w:tcPr>
          <w:p w14:paraId="424CD9A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472C6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A7FE0A8" w14:textId="77777777" w:rsidR="00000000" w:rsidRDefault="00405D16">
            <w:pPr>
              <w:spacing w:after="100"/>
              <w:jc w:val="right"/>
              <w:rPr>
                <w:rFonts w:eastAsia="Times New Roman"/>
              </w:rPr>
            </w:pPr>
            <w:r>
              <w:rPr>
                <w:rFonts w:eastAsia="Times New Roman"/>
                <w:color w:val="000000"/>
                <w:sz w:val="18"/>
                <w:szCs w:val="18"/>
              </w:rPr>
              <w:t>175 </w:t>
            </w:r>
          </w:p>
        </w:tc>
        <w:tc>
          <w:tcPr>
            <w:tcW w:w="0" w:type="auto"/>
            <w:shd w:val="clear" w:color="auto" w:fill="FFFFFF"/>
            <w:tcMar>
              <w:top w:w="30" w:type="dxa"/>
              <w:left w:w="0" w:type="dxa"/>
              <w:bottom w:w="30" w:type="dxa"/>
              <w:right w:w="20" w:type="dxa"/>
            </w:tcMar>
            <w:vAlign w:val="center"/>
            <w:hideMark/>
          </w:tcPr>
          <w:p w14:paraId="76DA7A6C" w14:textId="77777777" w:rsidR="00000000" w:rsidRDefault="00405D16">
            <w:pPr>
              <w:spacing w:after="100"/>
              <w:jc w:val="right"/>
              <w:rPr>
                <w:rFonts w:eastAsia="Times New Roman"/>
              </w:rPr>
            </w:pPr>
          </w:p>
        </w:tc>
      </w:tr>
      <w:tr w:rsidR="00000000" w14:paraId="28C1DD64" w14:textId="77777777">
        <w:tc>
          <w:tcPr>
            <w:tcW w:w="0" w:type="auto"/>
            <w:gridSpan w:val="3"/>
            <w:shd w:val="clear" w:color="auto" w:fill="CCEEFF"/>
            <w:tcMar>
              <w:top w:w="30" w:type="dxa"/>
              <w:left w:w="20" w:type="dxa"/>
              <w:bottom w:w="30" w:type="dxa"/>
              <w:right w:w="20" w:type="dxa"/>
            </w:tcMar>
            <w:vAlign w:val="center"/>
            <w:hideMark/>
          </w:tcPr>
          <w:p w14:paraId="6E6CEA80" w14:textId="77777777" w:rsidR="00000000" w:rsidRDefault="00405D16">
            <w:pPr>
              <w:spacing w:after="100"/>
              <w:rPr>
                <w:rFonts w:eastAsia="Times New Roman"/>
              </w:rPr>
            </w:pPr>
            <w:r>
              <w:rPr>
                <w:rFonts w:eastAsia="Times New Roman"/>
                <w:b/>
                <w:bCs/>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636D1ABF"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BA8011A"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73F3BFB" w14:textId="77777777" w:rsidR="00000000" w:rsidRDefault="00405D16">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FECD7A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195EAE"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4522A93"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F3842DD" w14:textId="77777777" w:rsidR="00000000" w:rsidRDefault="00405D16">
            <w:pPr>
              <w:spacing w:after="100"/>
              <w:jc w:val="right"/>
              <w:rPr>
                <w:rFonts w:eastAsia="Times New Roman"/>
              </w:rPr>
            </w:pPr>
            <w:r>
              <w:rPr>
                <w:rFonts w:eastAsia="Times New Roman"/>
                <w:color w:val="000000"/>
                <w:sz w:val="18"/>
                <w:szCs w:val="18"/>
              </w:rPr>
              <w:t>480 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C69DCB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446C4A"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FFAFB45"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A865C3B" w14:textId="77777777" w:rsidR="00000000" w:rsidRDefault="00405D16">
            <w:pPr>
              <w:spacing w:after="100"/>
              <w:jc w:val="right"/>
              <w:rPr>
                <w:rFonts w:eastAsia="Times New Roman"/>
              </w:rPr>
            </w:pPr>
            <w:r>
              <w:rPr>
                <w:rFonts w:eastAsia="Times New Roman"/>
                <w:color w:val="000000"/>
                <w:sz w:val="18"/>
                <w:szCs w:val="18"/>
              </w:rPr>
              <w:t>480 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F8D3F4A" w14:textId="77777777" w:rsidR="00000000" w:rsidRDefault="00405D16">
            <w:pPr>
              <w:spacing w:after="100"/>
              <w:jc w:val="right"/>
              <w:rPr>
                <w:rFonts w:eastAsia="Times New Roman"/>
              </w:rPr>
            </w:pPr>
          </w:p>
        </w:tc>
      </w:tr>
      <w:tr w:rsidR="00000000" w14:paraId="63B5CFB1" w14:textId="77777777">
        <w:tc>
          <w:tcPr>
            <w:tcW w:w="0" w:type="auto"/>
            <w:gridSpan w:val="3"/>
            <w:vAlign w:val="center"/>
            <w:hideMark/>
          </w:tcPr>
          <w:p w14:paraId="30570132" w14:textId="77777777" w:rsidR="00000000" w:rsidRDefault="00405D16">
            <w:pPr>
              <w:spacing w:after="100"/>
              <w:jc w:val="right"/>
              <w:rPr>
                <w:rFonts w:eastAsia="Times New Roman"/>
                <w:sz w:val="20"/>
                <w:szCs w:val="20"/>
              </w:rPr>
            </w:pPr>
          </w:p>
        </w:tc>
        <w:tc>
          <w:tcPr>
            <w:tcW w:w="0" w:type="auto"/>
            <w:gridSpan w:val="3"/>
            <w:vAlign w:val="center"/>
            <w:hideMark/>
          </w:tcPr>
          <w:p w14:paraId="14D5BA07" w14:textId="77777777" w:rsidR="00000000" w:rsidRDefault="00405D16">
            <w:pPr>
              <w:spacing w:after="100"/>
              <w:rPr>
                <w:rFonts w:eastAsia="Times New Roman"/>
                <w:sz w:val="20"/>
                <w:szCs w:val="20"/>
              </w:rPr>
            </w:pPr>
          </w:p>
        </w:tc>
        <w:tc>
          <w:tcPr>
            <w:tcW w:w="0" w:type="auto"/>
            <w:gridSpan w:val="3"/>
            <w:vAlign w:val="center"/>
            <w:hideMark/>
          </w:tcPr>
          <w:p w14:paraId="664E505E" w14:textId="77777777" w:rsidR="00000000" w:rsidRDefault="00405D16">
            <w:pPr>
              <w:spacing w:after="100"/>
              <w:rPr>
                <w:rFonts w:eastAsia="Times New Roman"/>
                <w:sz w:val="20"/>
                <w:szCs w:val="20"/>
              </w:rPr>
            </w:pPr>
          </w:p>
        </w:tc>
        <w:tc>
          <w:tcPr>
            <w:tcW w:w="0" w:type="auto"/>
            <w:gridSpan w:val="3"/>
            <w:vAlign w:val="center"/>
            <w:hideMark/>
          </w:tcPr>
          <w:p w14:paraId="656E1E55" w14:textId="77777777" w:rsidR="00000000" w:rsidRDefault="00405D16">
            <w:pPr>
              <w:spacing w:after="100"/>
              <w:rPr>
                <w:rFonts w:eastAsia="Times New Roman"/>
                <w:sz w:val="20"/>
                <w:szCs w:val="20"/>
              </w:rPr>
            </w:pPr>
          </w:p>
        </w:tc>
        <w:tc>
          <w:tcPr>
            <w:tcW w:w="0" w:type="auto"/>
            <w:gridSpan w:val="3"/>
            <w:vAlign w:val="center"/>
            <w:hideMark/>
          </w:tcPr>
          <w:p w14:paraId="4C8E8A34" w14:textId="77777777" w:rsidR="00000000" w:rsidRDefault="00405D16">
            <w:pPr>
              <w:spacing w:after="100"/>
              <w:rPr>
                <w:rFonts w:eastAsia="Times New Roman"/>
                <w:sz w:val="20"/>
                <w:szCs w:val="20"/>
              </w:rPr>
            </w:pPr>
          </w:p>
        </w:tc>
        <w:tc>
          <w:tcPr>
            <w:tcW w:w="0" w:type="auto"/>
            <w:gridSpan w:val="3"/>
            <w:vAlign w:val="center"/>
            <w:hideMark/>
          </w:tcPr>
          <w:p w14:paraId="1358D93D" w14:textId="77777777" w:rsidR="00000000" w:rsidRDefault="00405D16">
            <w:pPr>
              <w:spacing w:after="100"/>
              <w:rPr>
                <w:rFonts w:eastAsia="Times New Roman"/>
                <w:sz w:val="20"/>
                <w:szCs w:val="20"/>
              </w:rPr>
            </w:pPr>
          </w:p>
        </w:tc>
        <w:tc>
          <w:tcPr>
            <w:tcW w:w="0" w:type="auto"/>
            <w:gridSpan w:val="3"/>
            <w:vAlign w:val="center"/>
            <w:hideMark/>
          </w:tcPr>
          <w:p w14:paraId="5292C5A9" w14:textId="77777777" w:rsidR="00000000" w:rsidRDefault="00405D16">
            <w:pPr>
              <w:spacing w:after="100"/>
              <w:rPr>
                <w:rFonts w:eastAsia="Times New Roman"/>
                <w:sz w:val="20"/>
                <w:szCs w:val="20"/>
              </w:rPr>
            </w:pPr>
          </w:p>
        </w:tc>
      </w:tr>
    </w:tbl>
    <w:p w14:paraId="50ED9756" w14:textId="77777777" w:rsidR="00000000" w:rsidRDefault="00405D16">
      <w:pPr>
        <w:divId w:val="1121341307"/>
        <w:rPr>
          <w:rFonts w:eastAsia="Times New Roman"/>
        </w:rPr>
      </w:pPr>
      <w:r>
        <w:rPr>
          <w:rFonts w:eastAsia="Times New Roman"/>
          <w:color w:val="000000"/>
          <w:sz w:val="20"/>
          <w:szCs w:val="20"/>
        </w:rPr>
        <w:t>__________</w:t>
      </w:r>
    </w:p>
    <w:p w14:paraId="45D39682" w14:textId="77777777" w:rsidR="00000000" w:rsidRDefault="00405D16">
      <w:pPr>
        <w:ind w:hanging="360"/>
        <w:jc w:val="both"/>
        <w:divId w:val="83133904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shd w:val="clear" w:color="auto" w:fill="FFFFFF"/>
        </w:rPr>
        <w:t xml:space="preserve">As of September 30, 2021, other assets included equity method investments subject to impairment of </w:t>
      </w:r>
      <w:r>
        <w:rPr>
          <w:rFonts w:eastAsia="Times New Roman"/>
          <w:color w:val="000000"/>
          <w:sz w:val="16"/>
          <w:szCs w:val="16"/>
        </w:rPr>
        <w:t xml:space="preserve">$53 million, </w:t>
      </w:r>
      <w:r>
        <w:rPr>
          <w:rFonts w:eastAsia="Times New Roman"/>
          <w:color w:val="000000"/>
          <w:sz w:val="16"/>
          <w:szCs w:val="16"/>
          <w:shd w:val="clear" w:color="auto" w:fill="FFFFFF"/>
        </w:rPr>
        <w:t>investments accounted for under measurement al</w:t>
      </w:r>
      <w:r>
        <w:rPr>
          <w:rFonts w:eastAsia="Times New Roman"/>
          <w:color w:val="000000"/>
          <w:sz w:val="16"/>
          <w:szCs w:val="16"/>
        </w:rPr>
        <w:t>ternative of $15 million, repossessed assets of $39 million and long-lived assets held for sale of</w:t>
      </w:r>
      <w:r>
        <w:rPr>
          <w:rFonts w:eastAsia="Times New Roman"/>
          <w:color w:val="000000"/>
          <w:sz w:val="16"/>
          <w:szCs w:val="16"/>
        </w:rPr>
        <w:t xml:space="preserve"> $68 million. As of December 31, 2020, other assets included equity investments accounted for under the measurement alternative of $25 million, repossessed assets of $42 million and long-lived assets held for sale of $108 million.</w:t>
      </w:r>
    </w:p>
    <w:p w14:paraId="6141D204" w14:textId="77777777" w:rsidR="00000000" w:rsidRDefault="00405D16">
      <w:pPr>
        <w:jc w:val="both"/>
        <w:divId w:val="1286085183"/>
        <w:rPr>
          <w:rFonts w:eastAsia="Times New Roman"/>
        </w:rPr>
      </w:pPr>
      <w:r>
        <w:rPr>
          <w:rFonts w:eastAsia="Times New Roman"/>
          <w:color w:val="000000"/>
          <w:sz w:val="20"/>
          <w:szCs w:val="20"/>
        </w:rPr>
        <w:t>In the above table, loans</w:t>
      </w:r>
      <w:r>
        <w:rPr>
          <w:rFonts w:eastAsia="Times New Roman"/>
          <w:color w:val="000000"/>
          <w:sz w:val="20"/>
          <w:szCs w:val="20"/>
        </w:rPr>
        <w:t xml:space="preserve"> held for investment are generally valued based in part on the estimated fair value of the underlying collateral and the non-recoverable rate, which is considered to be a significant unobservable input. The non-recoverable rate ranged from 0% to 100%, with</w:t>
      </w:r>
      <w:r>
        <w:rPr>
          <w:rFonts w:eastAsia="Times New Roman"/>
          <w:color w:val="000000"/>
          <w:sz w:val="20"/>
          <w:szCs w:val="20"/>
        </w:rPr>
        <w:t xml:space="preserve"> a weighted average of 14%, and from 0% to 89%, with a weighted average of 14%, as of September 30, 2021 and December 31, 2020, respectively. The weighted average non-recoverable rate is calculated based on the estimated market value of the underlying coll</w:t>
      </w:r>
      <w:r>
        <w:rPr>
          <w:rFonts w:eastAsia="Times New Roman"/>
          <w:color w:val="000000"/>
          <w:sz w:val="20"/>
          <w:szCs w:val="20"/>
        </w:rPr>
        <w:t>ateral. The significant unobservable inputs and related quantitative information related to fair value of the other assets are not meaningful to disclose as they vary significantly across properties and collateral.</w:t>
      </w:r>
    </w:p>
    <w:p w14:paraId="3522C6A9" w14:textId="77777777" w:rsidR="00000000" w:rsidRDefault="00405D16">
      <w:pPr>
        <w:jc w:val="both"/>
        <w:divId w:val="2114549508"/>
        <w:rPr>
          <w:rFonts w:eastAsia="Times New Roman"/>
        </w:rPr>
      </w:pPr>
      <w:r>
        <w:rPr>
          <w:rFonts w:eastAsia="Times New Roman"/>
          <w:color w:val="000000"/>
          <w:sz w:val="20"/>
          <w:szCs w:val="20"/>
        </w:rPr>
        <w:t>The following table presents total nonrec</w:t>
      </w:r>
      <w:r>
        <w:rPr>
          <w:rFonts w:eastAsia="Times New Roman"/>
          <w:color w:val="000000"/>
          <w:sz w:val="20"/>
          <w:szCs w:val="20"/>
        </w:rPr>
        <w:t>urring fair value measurements for the period, included in earnings, attributable to the change in fair value relating to assets that are still held at September 30, 2021 and December 31, 2020.</w:t>
      </w:r>
    </w:p>
    <w:p w14:paraId="122C07C1" w14:textId="77777777" w:rsidR="00000000" w:rsidRDefault="00405D16">
      <w:pPr>
        <w:divId w:val="33582494"/>
        <w:rPr>
          <w:rFonts w:eastAsia="Times New Roman"/>
        </w:rPr>
      </w:pPr>
      <w:r>
        <w:rPr>
          <w:rFonts w:eastAsia="Times New Roman"/>
          <w:b/>
          <w:bCs/>
          <w:color w:val="000000"/>
          <w:sz w:val="18"/>
          <w:szCs w:val="18"/>
        </w:rPr>
        <w:t>Table 11.5: Nonrecurring Fair Value Measurements Included in E</w:t>
      </w:r>
      <w:r>
        <w:rPr>
          <w:rFonts w:eastAsia="Times New Roman"/>
          <w:b/>
          <w:bCs/>
          <w:color w:val="000000"/>
          <w:sz w:val="18"/>
          <w:szCs w:val="18"/>
        </w:rPr>
        <w:t>arnings</w:t>
      </w:r>
    </w:p>
    <w:tbl>
      <w:tblPr>
        <w:tblW w:w="5000" w:type="pct"/>
        <w:tblCellMar>
          <w:top w:w="15" w:type="dxa"/>
          <w:left w:w="15" w:type="dxa"/>
          <w:bottom w:w="15" w:type="dxa"/>
          <w:right w:w="15" w:type="dxa"/>
        </w:tblCellMar>
        <w:tblLook w:val="04A0" w:firstRow="1" w:lastRow="0" w:firstColumn="1" w:lastColumn="0" w:noHBand="0" w:noVBand="1"/>
      </w:tblPr>
      <w:tblGrid>
        <w:gridCol w:w="42"/>
        <w:gridCol w:w="5843"/>
        <w:gridCol w:w="37"/>
        <w:gridCol w:w="36"/>
        <w:gridCol w:w="36"/>
        <w:gridCol w:w="36"/>
        <w:gridCol w:w="110"/>
        <w:gridCol w:w="938"/>
        <w:gridCol w:w="36"/>
        <w:gridCol w:w="36"/>
        <w:gridCol w:w="36"/>
        <w:gridCol w:w="36"/>
        <w:gridCol w:w="110"/>
        <w:gridCol w:w="938"/>
        <w:gridCol w:w="36"/>
      </w:tblGrid>
      <w:tr w:rsidR="00000000" w14:paraId="37002C60" w14:textId="77777777">
        <w:trPr>
          <w:divId w:val="839851309"/>
        </w:trPr>
        <w:tc>
          <w:tcPr>
            <w:tcW w:w="50" w:type="pct"/>
            <w:vAlign w:val="center"/>
            <w:hideMark/>
          </w:tcPr>
          <w:p w14:paraId="3E324018" w14:textId="77777777" w:rsidR="00000000" w:rsidRDefault="00405D16">
            <w:pPr>
              <w:rPr>
                <w:rFonts w:eastAsia="Times New Roman"/>
              </w:rPr>
            </w:pPr>
          </w:p>
        </w:tc>
        <w:tc>
          <w:tcPr>
            <w:tcW w:w="3541" w:type="pct"/>
            <w:vAlign w:val="center"/>
            <w:hideMark/>
          </w:tcPr>
          <w:p w14:paraId="28D1AF6A" w14:textId="77777777" w:rsidR="00000000" w:rsidRDefault="00405D16">
            <w:pPr>
              <w:spacing w:after="100"/>
              <w:rPr>
                <w:rFonts w:eastAsia="Times New Roman"/>
                <w:sz w:val="20"/>
                <w:szCs w:val="20"/>
              </w:rPr>
            </w:pPr>
          </w:p>
        </w:tc>
        <w:tc>
          <w:tcPr>
            <w:tcW w:w="5" w:type="pct"/>
            <w:vAlign w:val="center"/>
            <w:hideMark/>
          </w:tcPr>
          <w:p w14:paraId="0F432F0E" w14:textId="77777777" w:rsidR="00000000" w:rsidRDefault="00405D16">
            <w:pPr>
              <w:spacing w:after="100"/>
              <w:rPr>
                <w:rFonts w:eastAsia="Times New Roman"/>
                <w:sz w:val="20"/>
                <w:szCs w:val="20"/>
              </w:rPr>
            </w:pPr>
          </w:p>
        </w:tc>
        <w:tc>
          <w:tcPr>
            <w:tcW w:w="5" w:type="pct"/>
            <w:vAlign w:val="center"/>
            <w:hideMark/>
          </w:tcPr>
          <w:p w14:paraId="1F70F2BF" w14:textId="77777777" w:rsidR="00000000" w:rsidRDefault="00405D16">
            <w:pPr>
              <w:spacing w:after="100"/>
              <w:rPr>
                <w:rFonts w:eastAsia="Times New Roman"/>
                <w:sz w:val="20"/>
                <w:szCs w:val="20"/>
              </w:rPr>
            </w:pPr>
          </w:p>
        </w:tc>
        <w:tc>
          <w:tcPr>
            <w:tcW w:w="26" w:type="pct"/>
            <w:vAlign w:val="center"/>
            <w:hideMark/>
          </w:tcPr>
          <w:p w14:paraId="4B1D47E0" w14:textId="77777777" w:rsidR="00000000" w:rsidRDefault="00405D16">
            <w:pPr>
              <w:spacing w:after="100"/>
              <w:rPr>
                <w:rFonts w:eastAsia="Times New Roman"/>
                <w:sz w:val="20"/>
                <w:szCs w:val="20"/>
              </w:rPr>
            </w:pPr>
          </w:p>
        </w:tc>
        <w:tc>
          <w:tcPr>
            <w:tcW w:w="5" w:type="pct"/>
            <w:vAlign w:val="center"/>
            <w:hideMark/>
          </w:tcPr>
          <w:p w14:paraId="3D5B48F2" w14:textId="77777777" w:rsidR="00000000" w:rsidRDefault="00405D16">
            <w:pPr>
              <w:spacing w:after="100"/>
              <w:rPr>
                <w:rFonts w:eastAsia="Times New Roman"/>
                <w:sz w:val="20"/>
                <w:szCs w:val="20"/>
              </w:rPr>
            </w:pPr>
          </w:p>
        </w:tc>
        <w:tc>
          <w:tcPr>
            <w:tcW w:w="50" w:type="pct"/>
            <w:vAlign w:val="center"/>
            <w:hideMark/>
          </w:tcPr>
          <w:p w14:paraId="720A4D51" w14:textId="77777777" w:rsidR="00000000" w:rsidRDefault="00405D16">
            <w:pPr>
              <w:spacing w:after="100"/>
              <w:rPr>
                <w:rFonts w:eastAsia="Times New Roman"/>
                <w:sz w:val="20"/>
                <w:szCs w:val="20"/>
              </w:rPr>
            </w:pPr>
          </w:p>
        </w:tc>
        <w:tc>
          <w:tcPr>
            <w:tcW w:w="610" w:type="pct"/>
            <w:vAlign w:val="center"/>
            <w:hideMark/>
          </w:tcPr>
          <w:p w14:paraId="104521BA" w14:textId="77777777" w:rsidR="00000000" w:rsidRDefault="00405D16">
            <w:pPr>
              <w:spacing w:after="100"/>
              <w:rPr>
                <w:rFonts w:eastAsia="Times New Roman"/>
                <w:sz w:val="20"/>
                <w:szCs w:val="20"/>
              </w:rPr>
            </w:pPr>
          </w:p>
        </w:tc>
        <w:tc>
          <w:tcPr>
            <w:tcW w:w="5" w:type="pct"/>
            <w:vAlign w:val="center"/>
            <w:hideMark/>
          </w:tcPr>
          <w:p w14:paraId="472B9571" w14:textId="77777777" w:rsidR="00000000" w:rsidRDefault="00405D16">
            <w:pPr>
              <w:spacing w:after="100"/>
              <w:rPr>
                <w:rFonts w:eastAsia="Times New Roman"/>
                <w:sz w:val="20"/>
                <w:szCs w:val="20"/>
              </w:rPr>
            </w:pPr>
          </w:p>
        </w:tc>
        <w:tc>
          <w:tcPr>
            <w:tcW w:w="5" w:type="pct"/>
            <w:vAlign w:val="center"/>
            <w:hideMark/>
          </w:tcPr>
          <w:p w14:paraId="6E10E4B8" w14:textId="77777777" w:rsidR="00000000" w:rsidRDefault="00405D16">
            <w:pPr>
              <w:spacing w:after="100"/>
              <w:rPr>
                <w:rFonts w:eastAsia="Times New Roman"/>
                <w:sz w:val="20"/>
                <w:szCs w:val="20"/>
              </w:rPr>
            </w:pPr>
          </w:p>
        </w:tc>
        <w:tc>
          <w:tcPr>
            <w:tcW w:w="26" w:type="pct"/>
            <w:vAlign w:val="center"/>
            <w:hideMark/>
          </w:tcPr>
          <w:p w14:paraId="19234A6D" w14:textId="77777777" w:rsidR="00000000" w:rsidRDefault="00405D16">
            <w:pPr>
              <w:spacing w:after="100"/>
              <w:rPr>
                <w:rFonts w:eastAsia="Times New Roman"/>
                <w:sz w:val="20"/>
                <w:szCs w:val="20"/>
              </w:rPr>
            </w:pPr>
          </w:p>
        </w:tc>
        <w:tc>
          <w:tcPr>
            <w:tcW w:w="5" w:type="pct"/>
            <w:vAlign w:val="center"/>
            <w:hideMark/>
          </w:tcPr>
          <w:p w14:paraId="79EAFA81" w14:textId="77777777" w:rsidR="00000000" w:rsidRDefault="00405D16">
            <w:pPr>
              <w:spacing w:after="100"/>
              <w:rPr>
                <w:rFonts w:eastAsia="Times New Roman"/>
                <w:sz w:val="20"/>
                <w:szCs w:val="20"/>
              </w:rPr>
            </w:pPr>
          </w:p>
        </w:tc>
        <w:tc>
          <w:tcPr>
            <w:tcW w:w="50" w:type="pct"/>
            <w:vAlign w:val="center"/>
            <w:hideMark/>
          </w:tcPr>
          <w:p w14:paraId="46992EEF" w14:textId="77777777" w:rsidR="00000000" w:rsidRDefault="00405D16">
            <w:pPr>
              <w:spacing w:after="100"/>
              <w:rPr>
                <w:rFonts w:eastAsia="Times New Roman"/>
                <w:sz w:val="20"/>
                <w:szCs w:val="20"/>
              </w:rPr>
            </w:pPr>
          </w:p>
        </w:tc>
        <w:tc>
          <w:tcPr>
            <w:tcW w:w="610" w:type="pct"/>
            <w:vAlign w:val="center"/>
            <w:hideMark/>
          </w:tcPr>
          <w:p w14:paraId="7DAA5B44" w14:textId="77777777" w:rsidR="00000000" w:rsidRDefault="00405D16">
            <w:pPr>
              <w:spacing w:after="100"/>
              <w:rPr>
                <w:rFonts w:eastAsia="Times New Roman"/>
                <w:sz w:val="20"/>
                <w:szCs w:val="20"/>
              </w:rPr>
            </w:pPr>
          </w:p>
        </w:tc>
        <w:tc>
          <w:tcPr>
            <w:tcW w:w="5" w:type="pct"/>
            <w:vAlign w:val="center"/>
            <w:hideMark/>
          </w:tcPr>
          <w:p w14:paraId="0B7C34BF" w14:textId="77777777" w:rsidR="00000000" w:rsidRDefault="00405D16">
            <w:pPr>
              <w:spacing w:after="100"/>
              <w:rPr>
                <w:rFonts w:eastAsia="Times New Roman"/>
                <w:sz w:val="20"/>
                <w:szCs w:val="20"/>
              </w:rPr>
            </w:pPr>
          </w:p>
        </w:tc>
      </w:tr>
      <w:tr w:rsidR="00000000" w14:paraId="7FBE3C76" w14:textId="77777777">
        <w:trPr>
          <w:divId w:val="839851309"/>
        </w:trPr>
        <w:tc>
          <w:tcPr>
            <w:tcW w:w="0" w:type="auto"/>
            <w:gridSpan w:val="3"/>
            <w:tcMar>
              <w:top w:w="0" w:type="dxa"/>
              <w:left w:w="20" w:type="dxa"/>
              <w:bottom w:w="0" w:type="dxa"/>
              <w:right w:w="20" w:type="dxa"/>
            </w:tcMar>
            <w:vAlign w:val="center"/>
            <w:hideMark/>
          </w:tcPr>
          <w:p w14:paraId="1CB32011"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EE1E0B4" w14:textId="77777777" w:rsidR="00000000" w:rsidRDefault="00405D16">
            <w:pPr>
              <w:spacing w:after="100"/>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bottom"/>
            <w:hideMark/>
          </w:tcPr>
          <w:p w14:paraId="5A761987" w14:textId="77777777" w:rsidR="00000000" w:rsidRDefault="00405D16">
            <w:pPr>
              <w:spacing w:after="100"/>
              <w:jc w:val="center"/>
              <w:rPr>
                <w:rFonts w:eastAsia="Times New Roman"/>
              </w:rPr>
            </w:pPr>
            <w:r>
              <w:rPr>
                <w:rFonts w:eastAsia="Times New Roman"/>
                <w:b/>
                <w:bCs/>
                <w:color w:val="000000"/>
                <w:sz w:val="16"/>
                <w:szCs w:val="16"/>
              </w:rPr>
              <w:t>Total Gains (Losses)</w:t>
            </w:r>
          </w:p>
        </w:tc>
      </w:tr>
      <w:tr w:rsidR="00000000" w14:paraId="130BE580" w14:textId="77777777">
        <w:trPr>
          <w:divId w:val="839851309"/>
        </w:trPr>
        <w:tc>
          <w:tcPr>
            <w:tcW w:w="0" w:type="auto"/>
            <w:gridSpan w:val="3"/>
            <w:tcMar>
              <w:top w:w="0" w:type="dxa"/>
              <w:left w:w="20" w:type="dxa"/>
              <w:bottom w:w="0" w:type="dxa"/>
              <w:right w:w="20" w:type="dxa"/>
            </w:tcMar>
            <w:vAlign w:val="center"/>
            <w:hideMark/>
          </w:tcPr>
          <w:p w14:paraId="402274B3" w14:textId="77777777" w:rsidR="00000000" w:rsidRDefault="00405D1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4E3DE5B" w14:textId="77777777" w:rsidR="00000000" w:rsidRDefault="00405D16">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34D60F0B" w14:textId="77777777" w:rsidR="00000000" w:rsidRDefault="00405D16">
            <w:pPr>
              <w:spacing w:after="100"/>
              <w:jc w:val="center"/>
              <w:rPr>
                <w:rFonts w:eastAsia="Times New Roman"/>
              </w:rPr>
            </w:pPr>
            <w:r>
              <w:rPr>
                <w:rFonts w:eastAsia="Times New Roman"/>
                <w:b/>
                <w:bCs/>
                <w:color w:val="000000"/>
                <w:sz w:val="16"/>
                <w:szCs w:val="16"/>
              </w:rPr>
              <w:t>Nine Months Ended September 30,</w:t>
            </w:r>
          </w:p>
        </w:tc>
      </w:tr>
      <w:tr w:rsidR="00000000" w14:paraId="5A0EE385" w14:textId="77777777">
        <w:trPr>
          <w:divId w:val="839851309"/>
        </w:trPr>
        <w:tc>
          <w:tcPr>
            <w:tcW w:w="0" w:type="auto"/>
            <w:gridSpan w:val="3"/>
            <w:tcMar>
              <w:top w:w="30" w:type="dxa"/>
              <w:left w:w="20" w:type="dxa"/>
              <w:bottom w:w="30" w:type="dxa"/>
              <w:right w:w="20" w:type="dxa"/>
            </w:tcMar>
            <w:vAlign w:val="bottom"/>
            <w:hideMark/>
          </w:tcPr>
          <w:p w14:paraId="4A70246F"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4B32945C"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E7265AF" w14:textId="77777777" w:rsidR="00000000" w:rsidRDefault="00405D16">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35B3E9BA"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21A67D9" w14:textId="77777777" w:rsidR="00000000" w:rsidRDefault="00405D16">
            <w:pPr>
              <w:spacing w:after="100"/>
              <w:jc w:val="center"/>
              <w:rPr>
                <w:rFonts w:eastAsia="Times New Roman"/>
              </w:rPr>
            </w:pPr>
            <w:r>
              <w:rPr>
                <w:rFonts w:eastAsia="Times New Roman"/>
                <w:b/>
                <w:bCs/>
                <w:color w:val="000000"/>
                <w:sz w:val="16"/>
                <w:szCs w:val="16"/>
              </w:rPr>
              <w:t>2020</w:t>
            </w:r>
          </w:p>
        </w:tc>
      </w:tr>
      <w:tr w:rsidR="00000000" w14:paraId="5C753980" w14:textId="77777777">
        <w:trPr>
          <w:divId w:val="83985130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83B508B" w14:textId="77777777" w:rsidR="00000000" w:rsidRDefault="00405D16">
            <w:pPr>
              <w:spacing w:after="100"/>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14:paraId="668D9533"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0A1A1EA"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3CD666D" w14:textId="77777777" w:rsidR="00000000" w:rsidRDefault="00405D16">
            <w:pPr>
              <w:spacing w:after="100"/>
              <w:jc w:val="right"/>
              <w:rPr>
                <w:rFonts w:eastAsia="Times New Roman"/>
              </w:rPr>
            </w:pPr>
            <w:r>
              <w:rPr>
                <w:rFonts w:eastAsia="Times New Roman"/>
                <w:b/>
                <w:bCs/>
                <w:color w:val="000000"/>
                <w:sz w:val="18"/>
                <w:szCs w:val="18"/>
              </w:rPr>
              <w:t>12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9DF23F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736F55"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782D6FC"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17E69D9" w14:textId="77777777" w:rsidR="00000000" w:rsidRDefault="00405D16">
            <w:pPr>
              <w:spacing w:after="100"/>
              <w:jc w:val="right"/>
              <w:rPr>
                <w:rFonts w:eastAsia="Times New Roman"/>
              </w:rPr>
            </w:pPr>
            <w:r>
              <w:rPr>
                <w:rFonts w:eastAsia="Times New Roman"/>
                <w:color w:val="000000"/>
                <w:sz w:val="18"/>
                <w:szCs w:val="18"/>
              </w:rPr>
              <w:t>187 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9AF7DAC" w14:textId="77777777" w:rsidR="00000000" w:rsidRDefault="00405D16">
            <w:pPr>
              <w:spacing w:after="100"/>
              <w:jc w:val="right"/>
              <w:rPr>
                <w:rFonts w:eastAsia="Times New Roman"/>
              </w:rPr>
            </w:pPr>
          </w:p>
        </w:tc>
      </w:tr>
      <w:tr w:rsidR="00000000" w14:paraId="7CDE8A8D" w14:textId="77777777">
        <w:trPr>
          <w:divId w:val="839851309"/>
        </w:trPr>
        <w:tc>
          <w:tcPr>
            <w:tcW w:w="0" w:type="auto"/>
            <w:gridSpan w:val="3"/>
            <w:vAlign w:val="center"/>
            <w:hideMark/>
          </w:tcPr>
          <w:p w14:paraId="182BD3D2" w14:textId="77777777" w:rsidR="00000000" w:rsidRDefault="00405D16">
            <w:pPr>
              <w:spacing w:after="100"/>
              <w:jc w:val="right"/>
              <w:rPr>
                <w:rFonts w:eastAsia="Times New Roman"/>
                <w:sz w:val="20"/>
                <w:szCs w:val="20"/>
              </w:rPr>
            </w:pPr>
          </w:p>
        </w:tc>
        <w:tc>
          <w:tcPr>
            <w:tcW w:w="0" w:type="auto"/>
            <w:gridSpan w:val="3"/>
            <w:vAlign w:val="center"/>
            <w:hideMark/>
          </w:tcPr>
          <w:p w14:paraId="6469DD7A" w14:textId="77777777" w:rsidR="00000000" w:rsidRDefault="00405D16">
            <w:pPr>
              <w:spacing w:after="100"/>
              <w:rPr>
                <w:rFonts w:eastAsia="Times New Roman"/>
                <w:sz w:val="20"/>
                <w:szCs w:val="20"/>
              </w:rPr>
            </w:pPr>
          </w:p>
        </w:tc>
        <w:tc>
          <w:tcPr>
            <w:tcW w:w="0" w:type="auto"/>
            <w:gridSpan w:val="3"/>
            <w:vAlign w:val="center"/>
            <w:hideMark/>
          </w:tcPr>
          <w:p w14:paraId="4C628862" w14:textId="77777777" w:rsidR="00000000" w:rsidRDefault="00405D16">
            <w:pPr>
              <w:spacing w:after="100"/>
              <w:rPr>
                <w:rFonts w:eastAsia="Times New Roman"/>
                <w:sz w:val="20"/>
                <w:szCs w:val="20"/>
              </w:rPr>
            </w:pPr>
          </w:p>
        </w:tc>
        <w:tc>
          <w:tcPr>
            <w:tcW w:w="0" w:type="auto"/>
            <w:gridSpan w:val="3"/>
            <w:vAlign w:val="center"/>
            <w:hideMark/>
          </w:tcPr>
          <w:p w14:paraId="7B16E320" w14:textId="77777777" w:rsidR="00000000" w:rsidRDefault="00405D16">
            <w:pPr>
              <w:spacing w:after="100"/>
              <w:rPr>
                <w:rFonts w:eastAsia="Times New Roman"/>
                <w:sz w:val="20"/>
                <w:szCs w:val="20"/>
              </w:rPr>
            </w:pPr>
          </w:p>
        </w:tc>
        <w:tc>
          <w:tcPr>
            <w:tcW w:w="0" w:type="auto"/>
            <w:gridSpan w:val="3"/>
            <w:vAlign w:val="center"/>
            <w:hideMark/>
          </w:tcPr>
          <w:p w14:paraId="3814466D" w14:textId="77777777" w:rsidR="00000000" w:rsidRDefault="00405D16">
            <w:pPr>
              <w:spacing w:after="100"/>
              <w:rPr>
                <w:rFonts w:eastAsia="Times New Roman"/>
                <w:sz w:val="20"/>
                <w:szCs w:val="20"/>
              </w:rPr>
            </w:pPr>
          </w:p>
        </w:tc>
      </w:tr>
      <w:tr w:rsidR="00000000" w14:paraId="0E42EAFC" w14:textId="77777777">
        <w:trPr>
          <w:divId w:val="839851309"/>
        </w:trPr>
        <w:tc>
          <w:tcPr>
            <w:tcW w:w="0" w:type="auto"/>
            <w:gridSpan w:val="3"/>
            <w:shd w:val="clear" w:color="auto" w:fill="FFFFFF"/>
            <w:tcMar>
              <w:top w:w="30" w:type="dxa"/>
              <w:left w:w="20" w:type="dxa"/>
              <w:bottom w:w="30" w:type="dxa"/>
              <w:right w:w="20" w:type="dxa"/>
            </w:tcMar>
            <w:vAlign w:val="center"/>
            <w:hideMark/>
          </w:tcPr>
          <w:p w14:paraId="007643F4" w14:textId="77777777" w:rsidR="00000000" w:rsidRDefault="00405D16">
            <w:pPr>
              <w:spacing w:after="100"/>
              <w:divId w:val="1905213524"/>
              <w:rPr>
                <w:rFonts w:eastAsia="Times New Roman"/>
              </w:rPr>
            </w:pPr>
            <w:r>
              <w:rPr>
                <w:rFonts w:eastAsia="Times New Roman"/>
                <w:color w:val="000000"/>
                <w:sz w:val="18"/>
                <w:szCs w:val="18"/>
              </w:rPr>
              <w:t>Other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54199D83"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5BC9B6E" w14:textId="77777777" w:rsidR="00000000" w:rsidRDefault="00405D16">
            <w:pPr>
              <w:spacing w:after="100"/>
              <w:jc w:val="right"/>
              <w:rPr>
                <w:rFonts w:eastAsia="Times New Roman"/>
              </w:rPr>
            </w:pPr>
            <w:r>
              <w:rPr>
                <w:rFonts w:eastAsia="Times New Roman"/>
                <w:b/>
                <w:bCs/>
                <w:color w:val="000000"/>
                <w:sz w:val="18"/>
                <w:szCs w:val="18"/>
              </w:rPr>
              <w:t>(65)</w:t>
            </w:r>
          </w:p>
        </w:tc>
        <w:tc>
          <w:tcPr>
            <w:tcW w:w="0" w:type="auto"/>
            <w:shd w:val="clear" w:color="auto" w:fill="FFFFFF"/>
            <w:tcMar>
              <w:top w:w="30" w:type="dxa"/>
              <w:left w:w="0" w:type="dxa"/>
              <w:bottom w:w="30" w:type="dxa"/>
              <w:right w:w="20" w:type="dxa"/>
            </w:tcMar>
            <w:vAlign w:val="center"/>
            <w:hideMark/>
          </w:tcPr>
          <w:p w14:paraId="5FA3C56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D8860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59AF903" w14:textId="77777777" w:rsidR="00000000" w:rsidRDefault="00405D16">
            <w:pPr>
              <w:spacing w:after="100"/>
              <w:jc w:val="right"/>
              <w:rPr>
                <w:rFonts w:eastAsia="Times New Roman"/>
              </w:rPr>
            </w:pPr>
            <w:r>
              <w:rPr>
                <w:rFonts w:eastAsia="Times New Roman"/>
                <w:color w:val="000000"/>
                <w:sz w:val="18"/>
                <w:szCs w:val="18"/>
              </w:rPr>
              <w:t>(42)</w:t>
            </w:r>
          </w:p>
        </w:tc>
        <w:tc>
          <w:tcPr>
            <w:tcW w:w="0" w:type="auto"/>
            <w:shd w:val="clear" w:color="auto" w:fill="FFFFFF"/>
            <w:tcMar>
              <w:top w:w="30" w:type="dxa"/>
              <w:left w:w="0" w:type="dxa"/>
              <w:bottom w:w="30" w:type="dxa"/>
              <w:right w:w="20" w:type="dxa"/>
            </w:tcMar>
            <w:vAlign w:val="center"/>
            <w:hideMark/>
          </w:tcPr>
          <w:p w14:paraId="754FB796" w14:textId="77777777" w:rsidR="00000000" w:rsidRDefault="00405D16">
            <w:pPr>
              <w:spacing w:after="100"/>
              <w:jc w:val="right"/>
              <w:rPr>
                <w:rFonts w:eastAsia="Times New Roman"/>
              </w:rPr>
            </w:pPr>
          </w:p>
        </w:tc>
      </w:tr>
      <w:tr w:rsidR="00000000" w14:paraId="05EBEF60" w14:textId="77777777">
        <w:trPr>
          <w:divId w:val="839851309"/>
        </w:trPr>
        <w:tc>
          <w:tcPr>
            <w:tcW w:w="0" w:type="auto"/>
            <w:gridSpan w:val="3"/>
            <w:shd w:val="clear" w:color="auto" w:fill="CCEEFF"/>
            <w:tcMar>
              <w:top w:w="30" w:type="dxa"/>
              <w:left w:w="20" w:type="dxa"/>
              <w:bottom w:w="30" w:type="dxa"/>
              <w:right w:w="20" w:type="dxa"/>
            </w:tcMar>
            <w:vAlign w:val="center"/>
            <w:hideMark/>
          </w:tcPr>
          <w:p w14:paraId="383D71D5" w14:textId="77777777" w:rsidR="00000000" w:rsidRDefault="00405D16">
            <w:pPr>
              <w:spacing w:after="100"/>
              <w:rPr>
                <w:rFonts w:eastAsia="Times New Roman"/>
              </w:rPr>
            </w:pPr>
            <w:r>
              <w:rPr>
                <w:rFonts w:eastAsia="Times New Roman"/>
                <w:b/>
                <w:bCs/>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2844B945"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F844B14"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1413541" w14:textId="77777777" w:rsidR="00000000" w:rsidRDefault="00405D16">
            <w:pPr>
              <w:spacing w:after="100"/>
              <w:jc w:val="right"/>
              <w:rPr>
                <w:rFonts w:eastAsia="Times New Roman"/>
              </w:rPr>
            </w:pPr>
            <w:r>
              <w:rPr>
                <w:rFonts w:eastAsia="Times New Roman"/>
                <w:b/>
                <w:bCs/>
                <w:color w:val="000000"/>
                <w:sz w:val="18"/>
                <w:szCs w:val="18"/>
              </w:rPr>
              <w:t>(53)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DA4C32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E0508B"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C7EAB28"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278DC06" w14:textId="77777777" w:rsidR="00000000" w:rsidRDefault="00405D16">
            <w:pPr>
              <w:spacing w:after="100"/>
              <w:jc w:val="right"/>
              <w:rPr>
                <w:rFonts w:eastAsia="Times New Roman"/>
              </w:rPr>
            </w:pPr>
            <w:r>
              <w:rPr>
                <w:rFonts w:eastAsia="Times New Roman"/>
                <w:color w:val="000000"/>
                <w:sz w:val="18"/>
                <w:szCs w:val="18"/>
              </w:rPr>
              <w:t>145 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19D9864" w14:textId="77777777" w:rsidR="00000000" w:rsidRDefault="00405D16">
            <w:pPr>
              <w:spacing w:after="100"/>
              <w:jc w:val="right"/>
              <w:rPr>
                <w:rFonts w:eastAsia="Times New Roman"/>
              </w:rPr>
            </w:pPr>
          </w:p>
        </w:tc>
      </w:tr>
    </w:tbl>
    <w:p w14:paraId="474AEE72" w14:textId="77777777" w:rsidR="00000000" w:rsidRDefault="00405D16">
      <w:pPr>
        <w:divId w:val="1548881943"/>
        <w:rPr>
          <w:rFonts w:eastAsia="Times New Roman"/>
        </w:rPr>
      </w:pPr>
      <w:r>
        <w:rPr>
          <w:rFonts w:eastAsia="Times New Roman"/>
          <w:color w:val="000000"/>
          <w:sz w:val="20"/>
          <w:szCs w:val="20"/>
        </w:rPr>
        <w:t>__________</w:t>
      </w:r>
    </w:p>
    <w:p w14:paraId="20AA6A93" w14:textId="77777777" w:rsidR="00000000" w:rsidRDefault="00405D16">
      <w:pPr>
        <w:ind w:hanging="360"/>
        <w:jc w:val="both"/>
        <w:divId w:val="119118482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Other assets include fair value adjustments related to repossessed assets, long-lived assets held for sale and equity investments accounted for under the </w:t>
      </w:r>
      <w:r>
        <w:rPr>
          <w:rFonts w:eastAsia="Times New Roman"/>
          <w:color w:val="000000"/>
          <w:sz w:val="16"/>
          <w:szCs w:val="16"/>
          <w:shd w:val="clear" w:color="auto" w:fill="FFFFFF"/>
        </w:rPr>
        <w:t>measurement alternative.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757EF4AC" w14:textId="77777777">
        <w:trPr>
          <w:divId w:val="1771781628"/>
          <w:jc w:val="center"/>
        </w:trPr>
        <w:tc>
          <w:tcPr>
            <w:tcW w:w="50" w:type="pct"/>
            <w:vAlign w:val="center"/>
            <w:hideMark/>
          </w:tcPr>
          <w:p w14:paraId="44C7571A" w14:textId="77777777" w:rsidR="00000000" w:rsidRDefault="00405D16">
            <w:pPr>
              <w:ind w:hanging="360"/>
              <w:jc w:val="both"/>
              <w:rPr>
                <w:rFonts w:eastAsia="Times New Roman"/>
              </w:rPr>
            </w:pPr>
          </w:p>
        </w:tc>
        <w:tc>
          <w:tcPr>
            <w:tcW w:w="1606" w:type="pct"/>
            <w:vAlign w:val="center"/>
            <w:hideMark/>
          </w:tcPr>
          <w:p w14:paraId="2E656826" w14:textId="77777777" w:rsidR="00000000" w:rsidRDefault="00405D16">
            <w:pPr>
              <w:spacing w:after="100"/>
              <w:rPr>
                <w:rFonts w:eastAsia="Times New Roman"/>
                <w:sz w:val="20"/>
                <w:szCs w:val="20"/>
              </w:rPr>
            </w:pPr>
          </w:p>
        </w:tc>
        <w:tc>
          <w:tcPr>
            <w:tcW w:w="5" w:type="pct"/>
            <w:vAlign w:val="center"/>
            <w:hideMark/>
          </w:tcPr>
          <w:p w14:paraId="03593C45" w14:textId="77777777" w:rsidR="00000000" w:rsidRDefault="00405D16">
            <w:pPr>
              <w:spacing w:after="100"/>
              <w:rPr>
                <w:rFonts w:eastAsia="Times New Roman"/>
                <w:sz w:val="20"/>
                <w:szCs w:val="20"/>
              </w:rPr>
            </w:pPr>
          </w:p>
        </w:tc>
        <w:tc>
          <w:tcPr>
            <w:tcW w:w="50" w:type="pct"/>
            <w:vAlign w:val="center"/>
            <w:hideMark/>
          </w:tcPr>
          <w:p w14:paraId="1169DAF7" w14:textId="77777777" w:rsidR="00000000" w:rsidRDefault="00405D16">
            <w:pPr>
              <w:spacing w:after="100"/>
              <w:rPr>
                <w:rFonts w:eastAsia="Times New Roman"/>
                <w:sz w:val="20"/>
                <w:szCs w:val="20"/>
              </w:rPr>
            </w:pPr>
          </w:p>
        </w:tc>
        <w:tc>
          <w:tcPr>
            <w:tcW w:w="1614" w:type="pct"/>
            <w:vAlign w:val="center"/>
            <w:hideMark/>
          </w:tcPr>
          <w:p w14:paraId="2501FC8A" w14:textId="77777777" w:rsidR="00000000" w:rsidRDefault="00405D16">
            <w:pPr>
              <w:spacing w:after="100"/>
              <w:rPr>
                <w:rFonts w:eastAsia="Times New Roman"/>
                <w:sz w:val="20"/>
                <w:szCs w:val="20"/>
              </w:rPr>
            </w:pPr>
          </w:p>
        </w:tc>
        <w:tc>
          <w:tcPr>
            <w:tcW w:w="5" w:type="pct"/>
            <w:vAlign w:val="center"/>
            <w:hideMark/>
          </w:tcPr>
          <w:p w14:paraId="5842068F" w14:textId="77777777" w:rsidR="00000000" w:rsidRDefault="00405D16">
            <w:pPr>
              <w:spacing w:after="100"/>
              <w:rPr>
                <w:rFonts w:eastAsia="Times New Roman"/>
                <w:sz w:val="20"/>
                <w:szCs w:val="20"/>
              </w:rPr>
            </w:pPr>
          </w:p>
        </w:tc>
        <w:tc>
          <w:tcPr>
            <w:tcW w:w="50" w:type="pct"/>
            <w:vAlign w:val="center"/>
            <w:hideMark/>
          </w:tcPr>
          <w:p w14:paraId="78028046" w14:textId="77777777" w:rsidR="00000000" w:rsidRDefault="00405D16">
            <w:pPr>
              <w:spacing w:after="100"/>
              <w:rPr>
                <w:rFonts w:eastAsia="Times New Roman"/>
                <w:sz w:val="20"/>
                <w:szCs w:val="20"/>
              </w:rPr>
            </w:pPr>
          </w:p>
        </w:tc>
        <w:tc>
          <w:tcPr>
            <w:tcW w:w="1614" w:type="pct"/>
            <w:vAlign w:val="center"/>
            <w:hideMark/>
          </w:tcPr>
          <w:p w14:paraId="130005F4" w14:textId="77777777" w:rsidR="00000000" w:rsidRDefault="00405D16">
            <w:pPr>
              <w:spacing w:after="100"/>
              <w:rPr>
                <w:rFonts w:eastAsia="Times New Roman"/>
                <w:sz w:val="20"/>
                <w:szCs w:val="20"/>
              </w:rPr>
            </w:pPr>
          </w:p>
        </w:tc>
        <w:tc>
          <w:tcPr>
            <w:tcW w:w="5" w:type="pct"/>
            <w:vAlign w:val="center"/>
            <w:hideMark/>
          </w:tcPr>
          <w:p w14:paraId="02F11352" w14:textId="77777777" w:rsidR="00000000" w:rsidRDefault="00405D16">
            <w:pPr>
              <w:spacing w:after="100"/>
              <w:rPr>
                <w:rFonts w:eastAsia="Times New Roman"/>
                <w:sz w:val="20"/>
                <w:szCs w:val="20"/>
              </w:rPr>
            </w:pPr>
          </w:p>
        </w:tc>
      </w:tr>
      <w:tr w:rsidR="00000000" w14:paraId="3DF4A753" w14:textId="77777777">
        <w:trPr>
          <w:divId w:val="1771781628"/>
          <w:trHeight w:val="300"/>
          <w:jc w:val="center"/>
        </w:trPr>
        <w:tc>
          <w:tcPr>
            <w:tcW w:w="0" w:type="auto"/>
            <w:gridSpan w:val="9"/>
            <w:tcMar>
              <w:top w:w="0" w:type="dxa"/>
              <w:left w:w="20" w:type="dxa"/>
              <w:bottom w:w="0" w:type="dxa"/>
              <w:right w:w="20" w:type="dxa"/>
            </w:tcMar>
            <w:vAlign w:val="center"/>
            <w:hideMark/>
          </w:tcPr>
          <w:p w14:paraId="227D5A0F" w14:textId="77777777" w:rsidR="00000000" w:rsidRDefault="00405D16">
            <w:pPr>
              <w:spacing w:after="100"/>
              <w:rPr>
                <w:rFonts w:eastAsia="Times New Roman"/>
                <w:sz w:val="20"/>
                <w:szCs w:val="20"/>
              </w:rPr>
            </w:pPr>
          </w:p>
        </w:tc>
      </w:tr>
      <w:tr w:rsidR="00000000" w14:paraId="43A81ADD" w14:textId="77777777">
        <w:trPr>
          <w:divId w:val="1771781628"/>
          <w:jc w:val="center"/>
        </w:trPr>
        <w:tc>
          <w:tcPr>
            <w:tcW w:w="0" w:type="auto"/>
            <w:gridSpan w:val="3"/>
            <w:tcMar>
              <w:top w:w="0" w:type="dxa"/>
              <w:left w:w="20" w:type="dxa"/>
              <w:bottom w:w="0" w:type="dxa"/>
              <w:right w:w="20" w:type="dxa"/>
            </w:tcMar>
            <w:vAlign w:val="center"/>
            <w:hideMark/>
          </w:tcPr>
          <w:p w14:paraId="6DC3E5A1"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F4D4076" w14:textId="77777777" w:rsidR="00000000" w:rsidRDefault="00405D16">
            <w:pPr>
              <w:spacing w:after="100"/>
              <w:jc w:val="center"/>
              <w:rPr>
                <w:rFonts w:eastAsia="Times New Roman"/>
              </w:rPr>
            </w:pPr>
            <w:r>
              <w:rPr>
                <w:rFonts w:eastAsia="Times New Roman"/>
                <w:color w:val="000000"/>
                <w:sz w:val="16"/>
                <w:szCs w:val="16"/>
              </w:rPr>
              <w:t>123</w:t>
            </w:r>
          </w:p>
        </w:tc>
        <w:tc>
          <w:tcPr>
            <w:tcW w:w="0" w:type="auto"/>
            <w:gridSpan w:val="3"/>
            <w:tcMar>
              <w:top w:w="30" w:type="dxa"/>
              <w:left w:w="20" w:type="dxa"/>
              <w:bottom w:w="30" w:type="dxa"/>
              <w:right w:w="20" w:type="dxa"/>
            </w:tcMar>
            <w:vAlign w:val="bottom"/>
            <w:hideMark/>
          </w:tcPr>
          <w:p w14:paraId="21AEA2CB"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231B7750" w14:textId="77777777" w:rsidR="00000000" w:rsidRDefault="00405D16">
      <w:pPr>
        <w:rPr>
          <w:rFonts w:eastAsia="Times New Roman"/>
        </w:rPr>
      </w:pPr>
      <w:r>
        <w:rPr>
          <w:rFonts w:eastAsia="Times New Roman"/>
        </w:rPr>
        <w:pict w14:anchorId="71B4D5BD">
          <v:rect id="_x0000_i1148" style="width:0;height:1.5pt" o:hralign="center" o:hrstd="t" o:hr="t" fillcolor="#a0a0a0" stroked="f"/>
        </w:pict>
      </w:r>
    </w:p>
    <w:p w14:paraId="6FBD0888" w14:textId="77777777" w:rsidR="00000000" w:rsidRDefault="00405D16">
      <w:pPr>
        <w:jc w:val="both"/>
        <w:divId w:val="73284261"/>
        <w:rPr>
          <w:rFonts w:eastAsia="Times New Roman"/>
        </w:rPr>
      </w:pPr>
      <w:hyperlink w:anchor="idd54a04a485440b4ab4e56094c14d612_13" w:history="1">
        <w:r>
          <w:rPr>
            <w:rStyle w:val="a3"/>
            <w:rFonts w:eastAsia="Times New Roman"/>
            <w:sz w:val="16"/>
            <w:szCs w:val="16"/>
          </w:rPr>
          <w:t>Table of Contents</w:t>
        </w:r>
      </w:hyperlink>
    </w:p>
    <w:p w14:paraId="41FD4CC1" w14:textId="77777777" w:rsidR="00000000" w:rsidRDefault="00405D16">
      <w:pPr>
        <w:jc w:val="center"/>
        <w:divId w:val="73284261"/>
        <w:rPr>
          <w:rFonts w:eastAsia="Times New Roman"/>
        </w:rPr>
      </w:pPr>
    </w:p>
    <w:p w14:paraId="2D7671FD" w14:textId="77777777" w:rsidR="00000000" w:rsidRDefault="00405D16">
      <w:pPr>
        <w:divId w:val="1513257517"/>
        <w:rPr>
          <w:rFonts w:eastAsia="Times New Roman"/>
        </w:rPr>
      </w:pPr>
      <w:r>
        <w:rPr>
          <w:rFonts w:eastAsia="Times New Roman"/>
          <w:b/>
          <w:bCs/>
          <w:color w:val="000000"/>
          <w:sz w:val="20"/>
          <w:szCs w:val="20"/>
        </w:rPr>
        <w:t>Fair Value of Financial Instruments</w:t>
      </w:r>
    </w:p>
    <w:p w14:paraId="33FFC3A3" w14:textId="77777777" w:rsidR="00000000" w:rsidRDefault="00405D16">
      <w:pPr>
        <w:jc w:val="both"/>
        <w:divId w:val="879781391"/>
        <w:rPr>
          <w:rFonts w:eastAsia="Times New Roman"/>
        </w:rPr>
      </w:pPr>
      <w:r>
        <w:rPr>
          <w:rFonts w:eastAsia="Times New Roman"/>
          <w:color w:val="000000"/>
          <w:sz w:val="20"/>
          <w:szCs w:val="20"/>
        </w:rPr>
        <w:t xml:space="preserve">The following table presents the carrying value and estimated fair value, including the level within the </w:t>
      </w:r>
      <w:r>
        <w:rPr>
          <w:rFonts w:eastAsia="Times New Roman"/>
          <w:color w:val="000000"/>
          <w:sz w:val="20"/>
          <w:szCs w:val="20"/>
        </w:rPr>
        <w:t>fair value hierarchy, of our financial instruments that are not measured at fair value on a recurring basis on our consolidated balance sheets as of September 30, 2021 and December 31, 2020.</w:t>
      </w:r>
    </w:p>
    <w:p w14:paraId="76011E0D" w14:textId="77777777" w:rsidR="00000000" w:rsidRDefault="00405D16">
      <w:pPr>
        <w:divId w:val="2024166649"/>
        <w:rPr>
          <w:rFonts w:eastAsia="Times New Roman"/>
        </w:rPr>
      </w:pPr>
      <w:r>
        <w:rPr>
          <w:rFonts w:eastAsia="Times New Roman"/>
          <w:b/>
          <w:bCs/>
          <w:color w:val="000000"/>
          <w:sz w:val="18"/>
          <w:szCs w:val="18"/>
        </w:rPr>
        <w:t>Table 11.6: Fair Value of Financial Instruments</w:t>
      </w:r>
      <w:r>
        <w:rPr>
          <w:rFonts w:eastAsia="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0"/>
        <w:gridCol w:w="4234"/>
        <w:gridCol w:w="39"/>
        <w:gridCol w:w="36"/>
        <w:gridCol w:w="36"/>
        <w:gridCol w:w="36"/>
        <w:gridCol w:w="110"/>
        <w:gridCol w:w="540"/>
        <w:gridCol w:w="36"/>
        <w:gridCol w:w="36"/>
        <w:gridCol w:w="36"/>
        <w:gridCol w:w="36"/>
        <w:gridCol w:w="111"/>
        <w:gridCol w:w="633"/>
        <w:gridCol w:w="36"/>
        <w:gridCol w:w="36"/>
        <w:gridCol w:w="36"/>
        <w:gridCol w:w="36"/>
        <w:gridCol w:w="110"/>
        <w:gridCol w:w="450"/>
        <w:gridCol w:w="36"/>
        <w:gridCol w:w="36"/>
        <w:gridCol w:w="36"/>
        <w:gridCol w:w="36"/>
        <w:gridCol w:w="110"/>
        <w:gridCol w:w="540"/>
        <w:gridCol w:w="36"/>
        <w:gridCol w:w="36"/>
        <w:gridCol w:w="36"/>
        <w:gridCol w:w="36"/>
        <w:gridCol w:w="112"/>
        <w:gridCol w:w="557"/>
        <w:gridCol w:w="36"/>
      </w:tblGrid>
      <w:tr w:rsidR="00000000" w14:paraId="31283A46" w14:textId="77777777">
        <w:trPr>
          <w:divId w:val="680593605"/>
        </w:trPr>
        <w:tc>
          <w:tcPr>
            <w:tcW w:w="50" w:type="pct"/>
            <w:vAlign w:val="center"/>
            <w:hideMark/>
          </w:tcPr>
          <w:p w14:paraId="23EAD0C3" w14:textId="77777777" w:rsidR="00000000" w:rsidRDefault="00405D16">
            <w:pPr>
              <w:rPr>
                <w:rFonts w:eastAsia="Times New Roman"/>
              </w:rPr>
            </w:pPr>
          </w:p>
        </w:tc>
        <w:tc>
          <w:tcPr>
            <w:tcW w:w="2912" w:type="pct"/>
            <w:vAlign w:val="center"/>
            <w:hideMark/>
          </w:tcPr>
          <w:p w14:paraId="02577C05" w14:textId="77777777" w:rsidR="00000000" w:rsidRDefault="00405D16">
            <w:pPr>
              <w:spacing w:after="100"/>
              <w:rPr>
                <w:rFonts w:eastAsia="Times New Roman"/>
                <w:sz w:val="20"/>
                <w:szCs w:val="20"/>
              </w:rPr>
            </w:pPr>
          </w:p>
        </w:tc>
        <w:tc>
          <w:tcPr>
            <w:tcW w:w="5" w:type="pct"/>
            <w:vAlign w:val="center"/>
            <w:hideMark/>
          </w:tcPr>
          <w:p w14:paraId="713D819D" w14:textId="77777777" w:rsidR="00000000" w:rsidRDefault="00405D16">
            <w:pPr>
              <w:spacing w:after="100"/>
              <w:rPr>
                <w:rFonts w:eastAsia="Times New Roman"/>
                <w:sz w:val="20"/>
                <w:szCs w:val="20"/>
              </w:rPr>
            </w:pPr>
          </w:p>
        </w:tc>
        <w:tc>
          <w:tcPr>
            <w:tcW w:w="5" w:type="pct"/>
            <w:vAlign w:val="center"/>
            <w:hideMark/>
          </w:tcPr>
          <w:p w14:paraId="5FA24DE9" w14:textId="77777777" w:rsidR="00000000" w:rsidRDefault="00405D16">
            <w:pPr>
              <w:spacing w:after="100"/>
              <w:rPr>
                <w:rFonts w:eastAsia="Times New Roman"/>
                <w:sz w:val="20"/>
                <w:szCs w:val="20"/>
              </w:rPr>
            </w:pPr>
          </w:p>
        </w:tc>
        <w:tc>
          <w:tcPr>
            <w:tcW w:w="26" w:type="pct"/>
            <w:vAlign w:val="center"/>
            <w:hideMark/>
          </w:tcPr>
          <w:p w14:paraId="7093C75F" w14:textId="77777777" w:rsidR="00000000" w:rsidRDefault="00405D16">
            <w:pPr>
              <w:spacing w:after="100"/>
              <w:rPr>
                <w:rFonts w:eastAsia="Times New Roman"/>
                <w:sz w:val="20"/>
                <w:szCs w:val="20"/>
              </w:rPr>
            </w:pPr>
          </w:p>
        </w:tc>
        <w:tc>
          <w:tcPr>
            <w:tcW w:w="5" w:type="pct"/>
            <w:vAlign w:val="center"/>
            <w:hideMark/>
          </w:tcPr>
          <w:p w14:paraId="70547EA5" w14:textId="77777777" w:rsidR="00000000" w:rsidRDefault="00405D16">
            <w:pPr>
              <w:spacing w:after="100"/>
              <w:rPr>
                <w:rFonts w:eastAsia="Times New Roman"/>
                <w:sz w:val="20"/>
                <w:szCs w:val="20"/>
              </w:rPr>
            </w:pPr>
          </w:p>
        </w:tc>
        <w:tc>
          <w:tcPr>
            <w:tcW w:w="50" w:type="pct"/>
            <w:vAlign w:val="center"/>
            <w:hideMark/>
          </w:tcPr>
          <w:p w14:paraId="748B78F3" w14:textId="77777777" w:rsidR="00000000" w:rsidRDefault="00405D16">
            <w:pPr>
              <w:spacing w:after="100"/>
              <w:rPr>
                <w:rFonts w:eastAsia="Times New Roman"/>
                <w:sz w:val="20"/>
                <w:szCs w:val="20"/>
              </w:rPr>
            </w:pPr>
          </w:p>
        </w:tc>
        <w:tc>
          <w:tcPr>
            <w:tcW w:w="317" w:type="pct"/>
            <w:vAlign w:val="center"/>
            <w:hideMark/>
          </w:tcPr>
          <w:p w14:paraId="25ABE99B" w14:textId="77777777" w:rsidR="00000000" w:rsidRDefault="00405D16">
            <w:pPr>
              <w:spacing w:after="100"/>
              <w:rPr>
                <w:rFonts w:eastAsia="Times New Roman"/>
                <w:sz w:val="20"/>
                <w:szCs w:val="20"/>
              </w:rPr>
            </w:pPr>
          </w:p>
        </w:tc>
        <w:tc>
          <w:tcPr>
            <w:tcW w:w="5" w:type="pct"/>
            <w:vAlign w:val="center"/>
            <w:hideMark/>
          </w:tcPr>
          <w:p w14:paraId="4F2DA55E" w14:textId="77777777" w:rsidR="00000000" w:rsidRDefault="00405D16">
            <w:pPr>
              <w:spacing w:after="100"/>
              <w:rPr>
                <w:rFonts w:eastAsia="Times New Roman"/>
                <w:sz w:val="20"/>
                <w:szCs w:val="20"/>
              </w:rPr>
            </w:pPr>
          </w:p>
        </w:tc>
        <w:tc>
          <w:tcPr>
            <w:tcW w:w="5" w:type="pct"/>
            <w:vAlign w:val="center"/>
            <w:hideMark/>
          </w:tcPr>
          <w:p w14:paraId="252DDA9F" w14:textId="77777777" w:rsidR="00000000" w:rsidRDefault="00405D16">
            <w:pPr>
              <w:spacing w:after="100"/>
              <w:rPr>
                <w:rFonts w:eastAsia="Times New Roman"/>
                <w:sz w:val="20"/>
                <w:szCs w:val="20"/>
              </w:rPr>
            </w:pPr>
          </w:p>
        </w:tc>
        <w:tc>
          <w:tcPr>
            <w:tcW w:w="26" w:type="pct"/>
            <w:vAlign w:val="center"/>
            <w:hideMark/>
          </w:tcPr>
          <w:p w14:paraId="6B28C693" w14:textId="77777777" w:rsidR="00000000" w:rsidRDefault="00405D16">
            <w:pPr>
              <w:spacing w:after="100"/>
              <w:rPr>
                <w:rFonts w:eastAsia="Times New Roman"/>
                <w:sz w:val="20"/>
                <w:szCs w:val="20"/>
              </w:rPr>
            </w:pPr>
          </w:p>
        </w:tc>
        <w:tc>
          <w:tcPr>
            <w:tcW w:w="5" w:type="pct"/>
            <w:vAlign w:val="center"/>
            <w:hideMark/>
          </w:tcPr>
          <w:p w14:paraId="1656D3D1" w14:textId="77777777" w:rsidR="00000000" w:rsidRDefault="00405D16">
            <w:pPr>
              <w:spacing w:after="100"/>
              <w:rPr>
                <w:rFonts w:eastAsia="Times New Roman"/>
                <w:sz w:val="20"/>
                <w:szCs w:val="20"/>
              </w:rPr>
            </w:pPr>
          </w:p>
        </w:tc>
        <w:tc>
          <w:tcPr>
            <w:tcW w:w="50" w:type="pct"/>
            <w:vAlign w:val="center"/>
            <w:hideMark/>
          </w:tcPr>
          <w:p w14:paraId="1C08A74F" w14:textId="77777777" w:rsidR="00000000" w:rsidRDefault="00405D16">
            <w:pPr>
              <w:spacing w:after="100"/>
              <w:rPr>
                <w:rFonts w:eastAsia="Times New Roman"/>
                <w:sz w:val="20"/>
                <w:szCs w:val="20"/>
              </w:rPr>
            </w:pPr>
          </w:p>
        </w:tc>
        <w:tc>
          <w:tcPr>
            <w:tcW w:w="347" w:type="pct"/>
            <w:vAlign w:val="center"/>
            <w:hideMark/>
          </w:tcPr>
          <w:p w14:paraId="130745E3" w14:textId="77777777" w:rsidR="00000000" w:rsidRDefault="00405D16">
            <w:pPr>
              <w:spacing w:after="100"/>
              <w:rPr>
                <w:rFonts w:eastAsia="Times New Roman"/>
                <w:sz w:val="20"/>
                <w:szCs w:val="20"/>
              </w:rPr>
            </w:pPr>
          </w:p>
        </w:tc>
        <w:tc>
          <w:tcPr>
            <w:tcW w:w="5" w:type="pct"/>
            <w:vAlign w:val="center"/>
            <w:hideMark/>
          </w:tcPr>
          <w:p w14:paraId="1910D42F" w14:textId="77777777" w:rsidR="00000000" w:rsidRDefault="00405D16">
            <w:pPr>
              <w:spacing w:after="100"/>
              <w:rPr>
                <w:rFonts w:eastAsia="Times New Roman"/>
                <w:sz w:val="20"/>
                <w:szCs w:val="20"/>
              </w:rPr>
            </w:pPr>
          </w:p>
        </w:tc>
        <w:tc>
          <w:tcPr>
            <w:tcW w:w="5" w:type="pct"/>
            <w:vAlign w:val="center"/>
            <w:hideMark/>
          </w:tcPr>
          <w:p w14:paraId="35A8C3D3" w14:textId="77777777" w:rsidR="00000000" w:rsidRDefault="00405D16">
            <w:pPr>
              <w:spacing w:after="100"/>
              <w:rPr>
                <w:rFonts w:eastAsia="Times New Roman"/>
                <w:sz w:val="20"/>
                <w:szCs w:val="20"/>
              </w:rPr>
            </w:pPr>
          </w:p>
        </w:tc>
        <w:tc>
          <w:tcPr>
            <w:tcW w:w="26" w:type="pct"/>
            <w:vAlign w:val="center"/>
            <w:hideMark/>
          </w:tcPr>
          <w:p w14:paraId="266D4AB3" w14:textId="77777777" w:rsidR="00000000" w:rsidRDefault="00405D16">
            <w:pPr>
              <w:spacing w:after="100"/>
              <w:rPr>
                <w:rFonts w:eastAsia="Times New Roman"/>
                <w:sz w:val="20"/>
                <w:szCs w:val="20"/>
              </w:rPr>
            </w:pPr>
          </w:p>
        </w:tc>
        <w:tc>
          <w:tcPr>
            <w:tcW w:w="5" w:type="pct"/>
            <w:vAlign w:val="center"/>
            <w:hideMark/>
          </w:tcPr>
          <w:p w14:paraId="49D76EB9" w14:textId="77777777" w:rsidR="00000000" w:rsidRDefault="00405D16">
            <w:pPr>
              <w:spacing w:after="100"/>
              <w:rPr>
                <w:rFonts w:eastAsia="Times New Roman"/>
                <w:sz w:val="20"/>
                <w:szCs w:val="20"/>
              </w:rPr>
            </w:pPr>
          </w:p>
        </w:tc>
        <w:tc>
          <w:tcPr>
            <w:tcW w:w="50" w:type="pct"/>
            <w:vAlign w:val="center"/>
            <w:hideMark/>
          </w:tcPr>
          <w:p w14:paraId="68BF83CD" w14:textId="77777777" w:rsidR="00000000" w:rsidRDefault="00405D16">
            <w:pPr>
              <w:spacing w:after="100"/>
              <w:rPr>
                <w:rFonts w:eastAsia="Times New Roman"/>
                <w:sz w:val="20"/>
                <w:szCs w:val="20"/>
              </w:rPr>
            </w:pPr>
          </w:p>
        </w:tc>
        <w:tc>
          <w:tcPr>
            <w:tcW w:w="303" w:type="pct"/>
            <w:vAlign w:val="center"/>
            <w:hideMark/>
          </w:tcPr>
          <w:p w14:paraId="16302C16" w14:textId="77777777" w:rsidR="00000000" w:rsidRDefault="00405D16">
            <w:pPr>
              <w:spacing w:after="100"/>
              <w:rPr>
                <w:rFonts w:eastAsia="Times New Roman"/>
                <w:sz w:val="20"/>
                <w:szCs w:val="20"/>
              </w:rPr>
            </w:pPr>
          </w:p>
        </w:tc>
        <w:tc>
          <w:tcPr>
            <w:tcW w:w="5" w:type="pct"/>
            <w:vAlign w:val="center"/>
            <w:hideMark/>
          </w:tcPr>
          <w:p w14:paraId="51180EF3" w14:textId="77777777" w:rsidR="00000000" w:rsidRDefault="00405D16">
            <w:pPr>
              <w:spacing w:after="100"/>
              <w:rPr>
                <w:rFonts w:eastAsia="Times New Roman"/>
                <w:sz w:val="20"/>
                <w:szCs w:val="20"/>
              </w:rPr>
            </w:pPr>
          </w:p>
        </w:tc>
        <w:tc>
          <w:tcPr>
            <w:tcW w:w="5" w:type="pct"/>
            <w:vAlign w:val="center"/>
            <w:hideMark/>
          </w:tcPr>
          <w:p w14:paraId="23025AA5" w14:textId="77777777" w:rsidR="00000000" w:rsidRDefault="00405D16">
            <w:pPr>
              <w:spacing w:after="100"/>
              <w:rPr>
                <w:rFonts w:eastAsia="Times New Roman"/>
                <w:sz w:val="20"/>
                <w:szCs w:val="20"/>
              </w:rPr>
            </w:pPr>
          </w:p>
        </w:tc>
        <w:tc>
          <w:tcPr>
            <w:tcW w:w="26" w:type="pct"/>
            <w:vAlign w:val="center"/>
            <w:hideMark/>
          </w:tcPr>
          <w:p w14:paraId="2C5C21AB" w14:textId="77777777" w:rsidR="00000000" w:rsidRDefault="00405D16">
            <w:pPr>
              <w:spacing w:after="100"/>
              <w:rPr>
                <w:rFonts w:eastAsia="Times New Roman"/>
                <w:sz w:val="20"/>
                <w:szCs w:val="20"/>
              </w:rPr>
            </w:pPr>
          </w:p>
        </w:tc>
        <w:tc>
          <w:tcPr>
            <w:tcW w:w="5" w:type="pct"/>
            <w:vAlign w:val="center"/>
            <w:hideMark/>
          </w:tcPr>
          <w:p w14:paraId="658459A9" w14:textId="77777777" w:rsidR="00000000" w:rsidRDefault="00405D16">
            <w:pPr>
              <w:spacing w:after="100"/>
              <w:rPr>
                <w:rFonts w:eastAsia="Times New Roman"/>
                <w:sz w:val="20"/>
                <w:szCs w:val="20"/>
              </w:rPr>
            </w:pPr>
          </w:p>
        </w:tc>
        <w:tc>
          <w:tcPr>
            <w:tcW w:w="50" w:type="pct"/>
            <w:vAlign w:val="center"/>
            <w:hideMark/>
          </w:tcPr>
          <w:p w14:paraId="21709F9C" w14:textId="77777777" w:rsidR="00000000" w:rsidRDefault="00405D16">
            <w:pPr>
              <w:spacing w:after="100"/>
              <w:rPr>
                <w:rFonts w:eastAsia="Times New Roman"/>
                <w:sz w:val="20"/>
                <w:szCs w:val="20"/>
              </w:rPr>
            </w:pPr>
          </w:p>
        </w:tc>
        <w:tc>
          <w:tcPr>
            <w:tcW w:w="303" w:type="pct"/>
            <w:vAlign w:val="center"/>
            <w:hideMark/>
          </w:tcPr>
          <w:p w14:paraId="78A7D6C5" w14:textId="77777777" w:rsidR="00000000" w:rsidRDefault="00405D16">
            <w:pPr>
              <w:spacing w:after="100"/>
              <w:rPr>
                <w:rFonts w:eastAsia="Times New Roman"/>
                <w:sz w:val="20"/>
                <w:szCs w:val="20"/>
              </w:rPr>
            </w:pPr>
          </w:p>
        </w:tc>
        <w:tc>
          <w:tcPr>
            <w:tcW w:w="5" w:type="pct"/>
            <w:vAlign w:val="center"/>
            <w:hideMark/>
          </w:tcPr>
          <w:p w14:paraId="59E73F1F" w14:textId="77777777" w:rsidR="00000000" w:rsidRDefault="00405D16">
            <w:pPr>
              <w:spacing w:after="100"/>
              <w:rPr>
                <w:rFonts w:eastAsia="Times New Roman"/>
                <w:sz w:val="20"/>
                <w:szCs w:val="20"/>
              </w:rPr>
            </w:pPr>
          </w:p>
        </w:tc>
        <w:tc>
          <w:tcPr>
            <w:tcW w:w="5" w:type="pct"/>
            <w:vAlign w:val="center"/>
            <w:hideMark/>
          </w:tcPr>
          <w:p w14:paraId="176D7656" w14:textId="77777777" w:rsidR="00000000" w:rsidRDefault="00405D16">
            <w:pPr>
              <w:spacing w:after="100"/>
              <w:rPr>
                <w:rFonts w:eastAsia="Times New Roman"/>
                <w:sz w:val="20"/>
                <w:szCs w:val="20"/>
              </w:rPr>
            </w:pPr>
          </w:p>
        </w:tc>
        <w:tc>
          <w:tcPr>
            <w:tcW w:w="26" w:type="pct"/>
            <w:vAlign w:val="center"/>
            <w:hideMark/>
          </w:tcPr>
          <w:p w14:paraId="5D616E33" w14:textId="77777777" w:rsidR="00000000" w:rsidRDefault="00405D16">
            <w:pPr>
              <w:spacing w:after="100"/>
              <w:rPr>
                <w:rFonts w:eastAsia="Times New Roman"/>
                <w:sz w:val="20"/>
                <w:szCs w:val="20"/>
              </w:rPr>
            </w:pPr>
          </w:p>
        </w:tc>
        <w:tc>
          <w:tcPr>
            <w:tcW w:w="5" w:type="pct"/>
            <w:vAlign w:val="center"/>
            <w:hideMark/>
          </w:tcPr>
          <w:p w14:paraId="7DCD73C3" w14:textId="77777777" w:rsidR="00000000" w:rsidRDefault="00405D16">
            <w:pPr>
              <w:spacing w:after="100"/>
              <w:rPr>
                <w:rFonts w:eastAsia="Times New Roman"/>
                <w:sz w:val="20"/>
                <w:szCs w:val="20"/>
              </w:rPr>
            </w:pPr>
          </w:p>
        </w:tc>
        <w:tc>
          <w:tcPr>
            <w:tcW w:w="50" w:type="pct"/>
            <w:vAlign w:val="center"/>
            <w:hideMark/>
          </w:tcPr>
          <w:p w14:paraId="4DDF0CDB" w14:textId="77777777" w:rsidR="00000000" w:rsidRDefault="00405D16">
            <w:pPr>
              <w:spacing w:after="100"/>
              <w:rPr>
                <w:rFonts w:eastAsia="Times New Roman"/>
                <w:sz w:val="20"/>
                <w:szCs w:val="20"/>
              </w:rPr>
            </w:pPr>
          </w:p>
        </w:tc>
        <w:tc>
          <w:tcPr>
            <w:tcW w:w="303" w:type="pct"/>
            <w:vAlign w:val="center"/>
            <w:hideMark/>
          </w:tcPr>
          <w:p w14:paraId="00FD01B5" w14:textId="77777777" w:rsidR="00000000" w:rsidRDefault="00405D16">
            <w:pPr>
              <w:spacing w:after="100"/>
              <w:rPr>
                <w:rFonts w:eastAsia="Times New Roman"/>
                <w:sz w:val="20"/>
                <w:szCs w:val="20"/>
              </w:rPr>
            </w:pPr>
          </w:p>
        </w:tc>
        <w:tc>
          <w:tcPr>
            <w:tcW w:w="5" w:type="pct"/>
            <w:vAlign w:val="center"/>
            <w:hideMark/>
          </w:tcPr>
          <w:p w14:paraId="05372F8F" w14:textId="77777777" w:rsidR="00000000" w:rsidRDefault="00405D16">
            <w:pPr>
              <w:spacing w:after="100"/>
              <w:rPr>
                <w:rFonts w:eastAsia="Times New Roman"/>
                <w:sz w:val="20"/>
                <w:szCs w:val="20"/>
              </w:rPr>
            </w:pPr>
          </w:p>
        </w:tc>
      </w:tr>
      <w:tr w:rsidR="00000000" w14:paraId="2DC5039C" w14:textId="77777777">
        <w:trPr>
          <w:divId w:val="680593605"/>
        </w:trPr>
        <w:tc>
          <w:tcPr>
            <w:tcW w:w="0" w:type="auto"/>
            <w:gridSpan w:val="3"/>
            <w:tcMar>
              <w:top w:w="0" w:type="dxa"/>
              <w:left w:w="20" w:type="dxa"/>
              <w:bottom w:w="0" w:type="dxa"/>
              <w:right w:w="20" w:type="dxa"/>
            </w:tcMar>
            <w:vAlign w:val="center"/>
            <w:hideMark/>
          </w:tcPr>
          <w:p w14:paraId="6F504CAD"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69A8111" w14:textId="77777777" w:rsidR="00000000" w:rsidRDefault="00405D16">
            <w:pPr>
              <w:spacing w:after="100"/>
              <w:rPr>
                <w:rFonts w:eastAsia="Times New Roman"/>
                <w:sz w:val="20"/>
                <w:szCs w:val="20"/>
              </w:rPr>
            </w:pPr>
          </w:p>
        </w:tc>
        <w:tc>
          <w:tcPr>
            <w:tcW w:w="0" w:type="auto"/>
            <w:gridSpan w:val="27"/>
            <w:tcBorders>
              <w:bottom w:val="single" w:sz="8" w:space="0" w:color="000000"/>
            </w:tcBorders>
            <w:tcMar>
              <w:top w:w="30" w:type="dxa"/>
              <w:left w:w="20" w:type="dxa"/>
              <w:bottom w:w="30" w:type="dxa"/>
              <w:right w:w="20" w:type="dxa"/>
            </w:tcMar>
            <w:vAlign w:val="bottom"/>
            <w:hideMark/>
          </w:tcPr>
          <w:p w14:paraId="20566748" w14:textId="77777777" w:rsidR="00000000" w:rsidRDefault="00405D16">
            <w:pPr>
              <w:spacing w:after="100"/>
              <w:jc w:val="center"/>
              <w:rPr>
                <w:rFonts w:eastAsia="Times New Roman"/>
              </w:rPr>
            </w:pPr>
            <w:r>
              <w:rPr>
                <w:rFonts w:eastAsia="Times New Roman"/>
                <w:b/>
                <w:bCs/>
                <w:color w:val="000000"/>
                <w:sz w:val="16"/>
                <w:szCs w:val="16"/>
              </w:rPr>
              <w:t>September 30, 2021</w:t>
            </w:r>
          </w:p>
        </w:tc>
      </w:tr>
      <w:tr w:rsidR="00000000" w14:paraId="6B2603CC" w14:textId="77777777">
        <w:trPr>
          <w:divId w:val="680593605"/>
          <w:trHeight w:val="360"/>
        </w:trPr>
        <w:tc>
          <w:tcPr>
            <w:tcW w:w="0" w:type="auto"/>
            <w:gridSpan w:val="3"/>
            <w:tcMar>
              <w:top w:w="0" w:type="dxa"/>
              <w:left w:w="20" w:type="dxa"/>
              <w:bottom w:w="0" w:type="dxa"/>
              <w:right w:w="20" w:type="dxa"/>
            </w:tcMar>
            <w:vAlign w:val="center"/>
            <w:hideMark/>
          </w:tcPr>
          <w:p w14:paraId="7A2831F6" w14:textId="77777777" w:rsidR="00000000" w:rsidRDefault="00405D1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311B6B5" w14:textId="77777777" w:rsidR="00000000" w:rsidRDefault="00405D16">
            <w:pPr>
              <w:spacing w:after="100"/>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099B1FD7" w14:textId="77777777" w:rsidR="00000000" w:rsidRDefault="00405D16">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Value</w:t>
            </w:r>
          </w:p>
        </w:tc>
        <w:tc>
          <w:tcPr>
            <w:tcW w:w="0" w:type="auto"/>
            <w:gridSpan w:val="3"/>
            <w:tcBorders>
              <w:top w:val="single" w:sz="8" w:space="0" w:color="000000"/>
            </w:tcBorders>
            <w:tcMar>
              <w:top w:w="0" w:type="dxa"/>
              <w:left w:w="20" w:type="dxa"/>
              <w:bottom w:w="0" w:type="dxa"/>
              <w:right w:w="20" w:type="dxa"/>
            </w:tcMar>
            <w:vAlign w:val="center"/>
            <w:hideMark/>
          </w:tcPr>
          <w:p w14:paraId="1F2125BE" w14:textId="77777777" w:rsidR="00000000" w:rsidRDefault="00405D16">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55B1AB0F" w14:textId="77777777" w:rsidR="00000000" w:rsidRDefault="00405D16">
            <w:pPr>
              <w:spacing w:after="100"/>
              <w:jc w:val="center"/>
              <w:rPr>
                <w:rFonts w:eastAsia="Times New Roman"/>
              </w:rPr>
            </w:pPr>
            <w:r>
              <w:rPr>
                <w:rFonts w:eastAsia="Times New Roman"/>
                <w:b/>
                <w:bCs/>
                <w:color w:val="000000"/>
                <w:sz w:val="16"/>
                <w:szCs w:val="16"/>
              </w:rPr>
              <w:t>Estimated</w:t>
            </w:r>
            <w:r>
              <w:rPr>
                <w:rFonts w:eastAsia="Times New Roman"/>
                <w:b/>
                <w:bCs/>
                <w:color w:val="000000"/>
                <w:sz w:val="16"/>
                <w:szCs w:val="16"/>
              </w:rPr>
              <w:br/>
              <w:t>Fair Value</w:t>
            </w:r>
          </w:p>
        </w:tc>
        <w:tc>
          <w:tcPr>
            <w:tcW w:w="0" w:type="auto"/>
            <w:gridSpan w:val="3"/>
            <w:tcBorders>
              <w:top w:val="single" w:sz="8" w:space="0" w:color="000000"/>
            </w:tcBorders>
            <w:tcMar>
              <w:top w:w="0" w:type="dxa"/>
              <w:left w:w="20" w:type="dxa"/>
              <w:bottom w:w="0" w:type="dxa"/>
              <w:right w:w="20" w:type="dxa"/>
            </w:tcMar>
            <w:vAlign w:val="center"/>
            <w:hideMark/>
          </w:tcPr>
          <w:p w14:paraId="1BFC51C4" w14:textId="77777777" w:rsidR="00000000" w:rsidRDefault="00405D16">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39D99496" w14:textId="77777777" w:rsidR="00000000" w:rsidRDefault="00405D16">
            <w:pPr>
              <w:spacing w:after="100"/>
              <w:jc w:val="center"/>
              <w:rPr>
                <w:rFonts w:eastAsia="Times New Roman"/>
              </w:rPr>
            </w:pPr>
            <w:r>
              <w:rPr>
                <w:rFonts w:eastAsia="Times New Roman"/>
                <w:b/>
                <w:bCs/>
                <w:color w:val="000000"/>
                <w:sz w:val="16"/>
                <w:szCs w:val="16"/>
              </w:rPr>
              <w:t>Estimated Fair Value Hierarchy</w:t>
            </w:r>
          </w:p>
        </w:tc>
      </w:tr>
      <w:tr w:rsidR="00000000" w14:paraId="6137940B" w14:textId="77777777">
        <w:trPr>
          <w:divId w:val="680593605"/>
          <w:trHeight w:val="240"/>
        </w:trPr>
        <w:tc>
          <w:tcPr>
            <w:tcW w:w="0" w:type="auto"/>
            <w:gridSpan w:val="3"/>
            <w:tcMar>
              <w:top w:w="30" w:type="dxa"/>
              <w:left w:w="20" w:type="dxa"/>
              <w:bottom w:w="30" w:type="dxa"/>
              <w:right w:w="20" w:type="dxa"/>
            </w:tcMar>
            <w:vAlign w:val="bottom"/>
            <w:hideMark/>
          </w:tcPr>
          <w:p w14:paraId="2C6CA9FD"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5FC21292" w14:textId="77777777" w:rsidR="00000000" w:rsidRDefault="00405D16">
            <w:pPr>
              <w:spacing w:after="100"/>
              <w:rPr>
                <w:rFonts w:eastAsia="Times New Roman"/>
              </w:rPr>
            </w:pPr>
          </w:p>
        </w:tc>
        <w:tc>
          <w:tcPr>
            <w:tcW w:w="0" w:type="auto"/>
            <w:gridSpan w:val="3"/>
            <w:vMerge/>
            <w:tcBorders>
              <w:top w:val="single" w:sz="8" w:space="0" w:color="000000"/>
            </w:tcBorders>
            <w:vAlign w:val="center"/>
            <w:hideMark/>
          </w:tcPr>
          <w:p w14:paraId="334F45B4" w14:textId="77777777" w:rsidR="00000000" w:rsidRDefault="00405D16">
            <w:pPr>
              <w:spacing w:after="100"/>
              <w:rPr>
                <w:rFonts w:eastAsia="Times New Roman"/>
              </w:rPr>
            </w:pPr>
          </w:p>
        </w:tc>
        <w:tc>
          <w:tcPr>
            <w:tcW w:w="0" w:type="auto"/>
            <w:gridSpan w:val="3"/>
            <w:tcMar>
              <w:top w:w="0" w:type="dxa"/>
              <w:left w:w="20" w:type="dxa"/>
              <w:bottom w:w="0" w:type="dxa"/>
              <w:right w:w="20" w:type="dxa"/>
            </w:tcMar>
            <w:vAlign w:val="center"/>
            <w:hideMark/>
          </w:tcPr>
          <w:p w14:paraId="0331DBFE" w14:textId="77777777" w:rsidR="00000000" w:rsidRDefault="00405D16">
            <w:pPr>
              <w:spacing w:after="100"/>
              <w:rPr>
                <w:rFonts w:eastAsia="Times New Roman"/>
                <w:sz w:val="20"/>
                <w:szCs w:val="20"/>
              </w:rPr>
            </w:pPr>
          </w:p>
        </w:tc>
        <w:tc>
          <w:tcPr>
            <w:tcW w:w="0" w:type="auto"/>
            <w:gridSpan w:val="3"/>
            <w:vMerge/>
            <w:tcBorders>
              <w:top w:val="single" w:sz="8" w:space="0" w:color="000000"/>
            </w:tcBorders>
            <w:vAlign w:val="center"/>
            <w:hideMark/>
          </w:tcPr>
          <w:p w14:paraId="2AD14B55" w14:textId="77777777" w:rsidR="00000000" w:rsidRDefault="00405D16">
            <w:pPr>
              <w:spacing w:after="100"/>
              <w:rPr>
                <w:rFonts w:eastAsia="Times New Roman"/>
              </w:rPr>
            </w:pPr>
          </w:p>
        </w:tc>
        <w:tc>
          <w:tcPr>
            <w:tcW w:w="0" w:type="auto"/>
            <w:gridSpan w:val="3"/>
            <w:tcMar>
              <w:top w:w="0" w:type="dxa"/>
              <w:left w:w="20" w:type="dxa"/>
              <w:bottom w:w="0" w:type="dxa"/>
              <w:right w:w="20" w:type="dxa"/>
            </w:tcMar>
            <w:vAlign w:val="center"/>
            <w:hideMark/>
          </w:tcPr>
          <w:p w14:paraId="3A43CE3A"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64B6973" w14:textId="77777777" w:rsidR="00000000" w:rsidRDefault="00405D16">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14:paraId="26194D93"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3C1D05A" w14:textId="77777777" w:rsidR="00000000" w:rsidRDefault="00405D16">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14:paraId="2D62DF45"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51C13FC" w14:textId="77777777" w:rsidR="00000000" w:rsidRDefault="00405D16">
            <w:pPr>
              <w:spacing w:after="100"/>
              <w:jc w:val="center"/>
              <w:rPr>
                <w:rFonts w:eastAsia="Times New Roman"/>
              </w:rPr>
            </w:pPr>
            <w:r>
              <w:rPr>
                <w:rFonts w:eastAsia="Times New Roman"/>
                <w:b/>
                <w:bCs/>
                <w:color w:val="000000"/>
                <w:sz w:val="16"/>
                <w:szCs w:val="16"/>
              </w:rPr>
              <w:t>Level 3</w:t>
            </w:r>
          </w:p>
        </w:tc>
      </w:tr>
      <w:tr w:rsidR="00000000" w14:paraId="4B09F47B" w14:textId="77777777">
        <w:trPr>
          <w:divId w:val="68059360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C37609C" w14:textId="77777777" w:rsidR="00000000" w:rsidRDefault="00405D16">
            <w:pPr>
              <w:spacing w:after="100"/>
              <w:rPr>
                <w:rFonts w:eastAsia="Times New Roman"/>
              </w:rPr>
            </w:pPr>
            <w:r>
              <w:rPr>
                <w:rFonts w:eastAsia="Times New Roman"/>
                <w:b/>
                <w:bCs/>
                <w:color w:val="000000"/>
                <w:sz w:val="18"/>
                <w:szCs w:val="18"/>
              </w:rPr>
              <w:t>Financial assets:</w:t>
            </w:r>
          </w:p>
        </w:tc>
        <w:tc>
          <w:tcPr>
            <w:tcW w:w="0" w:type="auto"/>
            <w:gridSpan w:val="3"/>
            <w:shd w:val="clear" w:color="auto" w:fill="CCEEFF"/>
            <w:tcMar>
              <w:top w:w="0" w:type="dxa"/>
              <w:left w:w="20" w:type="dxa"/>
              <w:bottom w:w="0" w:type="dxa"/>
              <w:right w:w="20" w:type="dxa"/>
            </w:tcMar>
            <w:vAlign w:val="center"/>
            <w:hideMark/>
          </w:tcPr>
          <w:p w14:paraId="638208C0"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E96A3E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1B0CA4"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CC0D81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2F4631"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9A4C37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EB2A82"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CA903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0CA49E"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614122D" w14:textId="77777777" w:rsidR="00000000" w:rsidRDefault="00405D16">
            <w:pPr>
              <w:spacing w:after="100"/>
              <w:rPr>
                <w:rFonts w:eastAsia="Times New Roman"/>
                <w:sz w:val="20"/>
                <w:szCs w:val="20"/>
              </w:rPr>
            </w:pPr>
          </w:p>
        </w:tc>
      </w:tr>
      <w:tr w:rsidR="00000000" w14:paraId="061F1316" w14:textId="77777777">
        <w:trPr>
          <w:divId w:val="680593605"/>
        </w:trPr>
        <w:tc>
          <w:tcPr>
            <w:tcW w:w="0" w:type="auto"/>
            <w:gridSpan w:val="3"/>
            <w:shd w:val="clear" w:color="auto" w:fill="FFFFFF"/>
            <w:tcMar>
              <w:top w:w="30" w:type="dxa"/>
              <w:left w:w="245" w:type="dxa"/>
              <w:bottom w:w="30" w:type="dxa"/>
              <w:right w:w="20" w:type="dxa"/>
            </w:tcMar>
            <w:vAlign w:val="center"/>
            <w:hideMark/>
          </w:tcPr>
          <w:p w14:paraId="57F4EBFF" w14:textId="77777777" w:rsidR="00000000" w:rsidRDefault="00405D16">
            <w:pPr>
              <w:spacing w:after="100"/>
              <w:rPr>
                <w:rFonts w:eastAsia="Times New Roman"/>
              </w:rPr>
            </w:pPr>
            <w:r>
              <w:rPr>
                <w:rFonts w:eastAsia="Times New Roman"/>
                <w:color w:val="000000"/>
                <w:sz w:val="18"/>
                <w:szCs w:val="18"/>
              </w:rPr>
              <w:t>Cash and cash equivalents</w:t>
            </w:r>
          </w:p>
        </w:tc>
        <w:tc>
          <w:tcPr>
            <w:tcW w:w="0" w:type="auto"/>
            <w:gridSpan w:val="3"/>
            <w:shd w:val="clear" w:color="auto" w:fill="FFFFFF"/>
            <w:tcMar>
              <w:top w:w="0" w:type="dxa"/>
              <w:left w:w="20" w:type="dxa"/>
              <w:bottom w:w="0" w:type="dxa"/>
              <w:right w:w="20" w:type="dxa"/>
            </w:tcMar>
            <w:vAlign w:val="center"/>
            <w:hideMark/>
          </w:tcPr>
          <w:p w14:paraId="6A0E8341"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49CE4ADA"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0A1A58CD" w14:textId="77777777" w:rsidR="00000000" w:rsidRDefault="00405D16">
            <w:pPr>
              <w:spacing w:after="100"/>
              <w:jc w:val="right"/>
              <w:rPr>
                <w:rFonts w:eastAsia="Times New Roman"/>
              </w:rPr>
            </w:pPr>
            <w:r>
              <w:rPr>
                <w:rFonts w:eastAsia="Times New Roman"/>
                <w:b/>
                <w:bCs/>
                <w:color w:val="000000"/>
                <w:sz w:val="18"/>
                <w:szCs w:val="18"/>
              </w:rPr>
              <w:t>26,624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FCD6E8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1580B6"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EF7C041"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51973416" w14:textId="77777777" w:rsidR="00000000" w:rsidRDefault="00405D16">
            <w:pPr>
              <w:spacing w:after="100"/>
              <w:jc w:val="right"/>
              <w:rPr>
                <w:rFonts w:eastAsia="Times New Roman"/>
              </w:rPr>
            </w:pPr>
            <w:r>
              <w:rPr>
                <w:rFonts w:eastAsia="Times New Roman"/>
                <w:b/>
                <w:bCs/>
                <w:color w:val="000000"/>
                <w:sz w:val="18"/>
                <w:szCs w:val="18"/>
              </w:rPr>
              <w:t>26,624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0B60BD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F19E8F"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A5CB12A"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71054A3B" w14:textId="77777777" w:rsidR="00000000" w:rsidRDefault="00405D16">
            <w:pPr>
              <w:spacing w:after="100"/>
              <w:jc w:val="right"/>
              <w:rPr>
                <w:rFonts w:eastAsia="Times New Roman"/>
              </w:rPr>
            </w:pPr>
            <w:r>
              <w:rPr>
                <w:rFonts w:eastAsia="Times New Roman"/>
                <w:b/>
                <w:bCs/>
                <w:color w:val="000000"/>
                <w:sz w:val="18"/>
                <w:szCs w:val="18"/>
              </w:rPr>
              <w:t>5,444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2FDBF8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AA89D3"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8761209"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549EA774" w14:textId="77777777" w:rsidR="00000000" w:rsidRDefault="00405D16">
            <w:pPr>
              <w:spacing w:after="100"/>
              <w:jc w:val="right"/>
              <w:rPr>
                <w:rFonts w:eastAsia="Times New Roman"/>
              </w:rPr>
            </w:pPr>
            <w:r>
              <w:rPr>
                <w:rFonts w:eastAsia="Times New Roman"/>
                <w:b/>
                <w:bCs/>
                <w:color w:val="000000"/>
                <w:sz w:val="18"/>
                <w:szCs w:val="18"/>
              </w:rPr>
              <w:t>21,180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58AF23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7B2975"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5F2428B"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69EFD4EA"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0C8101E" w14:textId="77777777" w:rsidR="00000000" w:rsidRDefault="00405D16">
            <w:pPr>
              <w:spacing w:after="100"/>
              <w:jc w:val="right"/>
              <w:rPr>
                <w:rFonts w:eastAsia="Times New Roman"/>
              </w:rPr>
            </w:pPr>
          </w:p>
        </w:tc>
      </w:tr>
      <w:tr w:rsidR="00000000" w14:paraId="36102371" w14:textId="77777777">
        <w:trPr>
          <w:divId w:val="680593605"/>
        </w:trPr>
        <w:tc>
          <w:tcPr>
            <w:tcW w:w="0" w:type="auto"/>
            <w:gridSpan w:val="3"/>
            <w:shd w:val="clear" w:color="auto" w:fill="CCEEFF"/>
            <w:tcMar>
              <w:top w:w="30" w:type="dxa"/>
              <w:left w:w="245" w:type="dxa"/>
              <w:bottom w:w="30" w:type="dxa"/>
              <w:right w:w="20" w:type="dxa"/>
            </w:tcMar>
            <w:vAlign w:val="center"/>
            <w:hideMark/>
          </w:tcPr>
          <w:p w14:paraId="712BF1B4" w14:textId="77777777" w:rsidR="00000000" w:rsidRDefault="00405D16">
            <w:pPr>
              <w:spacing w:after="100"/>
              <w:rPr>
                <w:rFonts w:eastAsia="Times New Roman"/>
              </w:rPr>
            </w:pPr>
            <w:r>
              <w:rPr>
                <w:rFonts w:eastAsia="Times New Roman"/>
                <w:color w:val="000000"/>
                <w:sz w:val="18"/>
                <w:szCs w:val="18"/>
              </w:rPr>
              <w:t>Restricted cash for securitization investors</w:t>
            </w:r>
          </w:p>
        </w:tc>
        <w:tc>
          <w:tcPr>
            <w:tcW w:w="0" w:type="auto"/>
            <w:gridSpan w:val="3"/>
            <w:shd w:val="clear" w:color="auto" w:fill="CCEEFF"/>
            <w:tcMar>
              <w:top w:w="0" w:type="dxa"/>
              <w:left w:w="20" w:type="dxa"/>
              <w:bottom w:w="0" w:type="dxa"/>
              <w:right w:w="20" w:type="dxa"/>
            </w:tcMar>
            <w:vAlign w:val="center"/>
            <w:hideMark/>
          </w:tcPr>
          <w:p w14:paraId="3DE487DE"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33D24B2" w14:textId="77777777" w:rsidR="00000000" w:rsidRDefault="00405D16">
            <w:pPr>
              <w:spacing w:after="100"/>
              <w:jc w:val="right"/>
              <w:rPr>
                <w:rFonts w:eastAsia="Times New Roman"/>
              </w:rPr>
            </w:pPr>
            <w:r>
              <w:rPr>
                <w:rFonts w:eastAsia="Times New Roman"/>
                <w:b/>
                <w:bCs/>
                <w:color w:val="000000"/>
                <w:sz w:val="18"/>
                <w:szCs w:val="18"/>
              </w:rPr>
              <w:t>234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BB57A5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23F00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9BBBD11" w14:textId="77777777" w:rsidR="00000000" w:rsidRDefault="00405D16">
            <w:pPr>
              <w:spacing w:after="100"/>
              <w:jc w:val="right"/>
              <w:rPr>
                <w:rFonts w:eastAsia="Times New Roman"/>
              </w:rPr>
            </w:pPr>
            <w:r>
              <w:rPr>
                <w:rFonts w:eastAsia="Times New Roman"/>
                <w:b/>
                <w:bCs/>
                <w:color w:val="000000"/>
                <w:sz w:val="18"/>
                <w:szCs w:val="18"/>
              </w:rPr>
              <w:t>234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251196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496C2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7C6C9D2" w14:textId="77777777" w:rsidR="00000000" w:rsidRDefault="00405D16">
            <w:pPr>
              <w:spacing w:after="100"/>
              <w:jc w:val="right"/>
              <w:rPr>
                <w:rFonts w:eastAsia="Times New Roman"/>
              </w:rPr>
            </w:pPr>
            <w:r>
              <w:rPr>
                <w:rFonts w:eastAsia="Times New Roman"/>
                <w:b/>
                <w:bCs/>
                <w:color w:val="000000"/>
                <w:sz w:val="18"/>
                <w:szCs w:val="18"/>
              </w:rPr>
              <w:t>234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03932D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611D4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1AC1FDA"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34ED4D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485CF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D23BC10"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EF27219" w14:textId="77777777" w:rsidR="00000000" w:rsidRDefault="00405D16">
            <w:pPr>
              <w:spacing w:after="100"/>
              <w:jc w:val="right"/>
              <w:rPr>
                <w:rFonts w:eastAsia="Times New Roman"/>
              </w:rPr>
            </w:pPr>
          </w:p>
        </w:tc>
      </w:tr>
      <w:tr w:rsidR="00000000" w14:paraId="2AA9B320" w14:textId="77777777">
        <w:trPr>
          <w:divId w:val="680593605"/>
        </w:trPr>
        <w:tc>
          <w:tcPr>
            <w:tcW w:w="0" w:type="auto"/>
            <w:gridSpan w:val="3"/>
            <w:vAlign w:val="center"/>
            <w:hideMark/>
          </w:tcPr>
          <w:p w14:paraId="242C715B" w14:textId="77777777" w:rsidR="00000000" w:rsidRDefault="00405D16">
            <w:pPr>
              <w:spacing w:after="100"/>
              <w:jc w:val="right"/>
              <w:rPr>
                <w:rFonts w:eastAsia="Times New Roman"/>
                <w:sz w:val="20"/>
                <w:szCs w:val="20"/>
              </w:rPr>
            </w:pPr>
          </w:p>
        </w:tc>
        <w:tc>
          <w:tcPr>
            <w:tcW w:w="0" w:type="auto"/>
            <w:gridSpan w:val="3"/>
            <w:vAlign w:val="center"/>
            <w:hideMark/>
          </w:tcPr>
          <w:p w14:paraId="58057897" w14:textId="77777777" w:rsidR="00000000" w:rsidRDefault="00405D16">
            <w:pPr>
              <w:spacing w:after="100"/>
              <w:rPr>
                <w:rFonts w:eastAsia="Times New Roman"/>
                <w:sz w:val="20"/>
                <w:szCs w:val="20"/>
              </w:rPr>
            </w:pPr>
          </w:p>
        </w:tc>
        <w:tc>
          <w:tcPr>
            <w:tcW w:w="0" w:type="auto"/>
            <w:gridSpan w:val="3"/>
            <w:vAlign w:val="center"/>
            <w:hideMark/>
          </w:tcPr>
          <w:p w14:paraId="64F00C19" w14:textId="77777777" w:rsidR="00000000" w:rsidRDefault="00405D16">
            <w:pPr>
              <w:spacing w:after="100"/>
              <w:rPr>
                <w:rFonts w:eastAsia="Times New Roman"/>
                <w:sz w:val="20"/>
                <w:szCs w:val="20"/>
              </w:rPr>
            </w:pPr>
          </w:p>
        </w:tc>
        <w:tc>
          <w:tcPr>
            <w:tcW w:w="0" w:type="auto"/>
            <w:gridSpan w:val="3"/>
            <w:vAlign w:val="center"/>
            <w:hideMark/>
          </w:tcPr>
          <w:p w14:paraId="680D13B7" w14:textId="77777777" w:rsidR="00000000" w:rsidRDefault="00405D16">
            <w:pPr>
              <w:spacing w:after="100"/>
              <w:rPr>
                <w:rFonts w:eastAsia="Times New Roman"/>
                <w:sz w:val="20"/>
                <w:szCs w:val="20"/>
              </w:rPr>
            </w:pPr>
          </w:p>
        </w:tc>
        <w:tc>
          <w:tcPr>
            <w:tcW w:w="0" w:type="auto"/>
            <w:gridSpan w:val="3"/>
            <w:vAlign w:val="center"/>
            <w:hideMark/>
          </w:tcPr>
          <w:p w14:paraId="58BA3E41" w14:textId="77777777" w:rsidR="00000000" w:rsidRDefault="00405D16">
            <w:pPr>
              <w:spacing w:after="100"/>
              <w:rPr>
                <w:rFonts w:eastAsia="Times New Roman"/>
                <w:sz w:val="20"/>
                <w:szCs w:val="20"/>
              </w:rPr>
            </w:pPr>
          </w:p>
        </w:tc>
        <w:tc>
          <w:tcPr>
            <w:tcW w:w="0" w:type="auto"/>
            <w:gridSpan w:val="3"/>
            <w:vAlign w:val="center"/>
            <w:hideMark/>
          </w:tcPr>
          <w:p w14:paraId="7BF3173B" w14:textId="77777777" w:rsidR="00000000" w:rsidRDefault="00405D16">
            <w:pPr>
              <w:spacing w:after="100"/>
              <w:rPr>
                <w:rFonts w:eastAsia="Times New Roman"/>
                <w:sz w:val="20"/>
                <w:szCs w:val="20"/>
              </w:rPr>
            </w:pPr>
          </w:p>
        </w:tc>
        <w:tc>
          <w:tcPr>
            <w:tcW w:w="0" w:type="auto"/>
            <w:gridSpan w:val="3"/>
            <w:vAlign w:val="center"/>
            <w:hideMark/>
          </w:tcPr>
          <w:p w14:paraId="37CF278C" w14:textId="77777777" w:rsidR="00000000" w:rsidRDefault="00405D16">
            <w:pPr>
              <w:spacing w:after="100"/>
              <w:rPr>
                <w:rFonts w:eastAsia="Times New Roman"/>
                <w:sz w:val="20"/>
                <w:szCs w:val="20"/>
              </w:rPr>
            </w:pPr>
          </w:p>
        </w:tc>
        <w:tc>
          <w:tcPr>
            <w:tcW w:w="0" w:type="auto"/>
            <w:gridSpan w:val="3"/>
            <w:vAlign w:val="center"/>
            <w:hideMark/>
          </w:tcPr>
          <w:p w14:paraId="212CFC1B" w14:textId="77777777" w:rsidR="00000000" w:rsidRDefault="00405D16">
            <w:pPr>
              <w:spacing w:after="100"/>
              <w:rPr>
                <w:rFonts w:eastAsia="Times New Roman"/>
                <w:sz w:val="20"/>
                <w:szCs w:val="20"/>
              </w:rPr>
            </w:pPr>
          </w:p>
        </w:tc>
        <w:tc>
          <w:tcPr>
            <w:tcW w:w="0" w:type="auto"/>
            <w:gridSpan w:val="3"/>
            <w:vAlign w:val="center"/>
            <w:hideMark/>
          </w:tcPr>
          <w:p w14:paraId="55D04DE8" w14:textId="77777777" w:rsidR="00000000" w:rsidRDefault="00405D16">
            <w:pPr>
              <w:spacing w:after="100"/>
              <w:rPr>
                <w:rFonts w:eastAsia="Times New Roman"/>
                <w:sz w:val="20"/>
                <w:szCs w:val="20"/>
              </w:rPr>
            </w:pPr>
          </w:p>
        </w:tc>
        <w:tc>
          <w:tcPr>
            <w:tcW w:w="0" w:type="auto"/>
            <w:gridSpan w:val="3"/>
            <w:vAlign w:val="center"/>
            <w:hideMark/>
          </w:tcPr>
          <w:p w14:paraId="33499CAB" w14:textId="77777777" w:rsidR="00000000" w:rsidRDefault="00405D16">
            <w:pPr>
              <w:spacing w:after="100"/>
              <w:rPr>
                <w:rFonts w:eastAsia="Times New Roman"/>
                <w:sz w:val="20"/>
                <w:szCs w:val="20"/>
              </w:rPr>
            </w:pPr>
          </w:p>
        </w:tc>
        <w:tc>
          <w:tcPr>
            <w:tcW w:w="0" w:type="auto"/>
            <w:gridSpan w:val="3"/>
            <w:vAlign w:val="center"/>
            <w:hideMark/>
          </w:tcPr>
          <w:p w14:paraId="2A0C085D" w14:textId="77777777" w:rsidR="00000000" w:rsidRDefault="00405D16">
            <w:pPr>
              <w:spacing w:after="100"/>
              <w:rPr>
                <w:rFonts w:eastAsia="Times New Roman"/>
                <w:sz w:val="20"/>
                <w:szCs w:val="20"/>
              </w:rPr>
            </w:pPr>
          </w:p>
        </w:tc>
      </w:tr>
      <w:tr w:rsidR="00000000" w14:paraId="2D5227A9" w14:textId="77777777">
        <w:trPr>
          <w:divId w:val="680593605"/>
        </w:trPr>
        <w:tc>
          <w:tcPr>
            <w:tcW w:w="0" w:type="auto"/>
            <w:gridSpan w:val="3"/>
            <w:shd w:val="clear" w:color="auto" w:fill="FFFFFF"/>
            <w:tcMar>
              <w:top w:w="30" w:type="dxa"/>
              <w:left w:w="245" w:type="dxa"/>
              <w:bottom w:w="30" w:type="dxa"/>
              <w:right w:w="20" w:type="dxa"/>
            </w:tcMar>
            <w:vAlign w:val="center"/>
            <w:hideMark/>
          </w:tcPr>
          <w:p w14:paraId="4B499636" w14:textId="77777777" w:rsidR="00000000" w:rsidRDefault="00405D16">
            <w:pPr>
              <w:spacing w:after="100"/>
              <w:rPr>
                <w:rFonts w:eastAsia="Times New Roman"/>
              </w:rPr>
            </w:pPr>
            <w:r>
              <w:rPr>
                <w:rFonts w:eastAsia="Times New Roman"/>
                <w:color w:val="000000"/>
                <w:sz w:val="18"/>
                <w:szCs w:val="18"/>
              </w:rPr>
              <w:t>Net loans held for investment</w:t>
            </w:r>
          </w:p>
        </w:tc>
        <w:tc>
          <w:tcPr>
            <w:tcW w:w="0" w:type="auto"/>
            <w:gridSpan w:val="3"/>
            <w:shd w:val="clear" w:color="auto" w:fill="FFFFFF"/>
            <w:tcMar>
              <w:top w:w="0" w:type="dxa"/>
              <w:left w:w="20" w:type="dxa"/>
              <w:bottom w:w="0" w:type="dxa"/>
              <w:right w:w="20" w:type="dxa"/>
            </w:tcMar>
            <w:vAlign w:val="center"/>
            <w:hideMark/>
          </w:tcPr>
          <w:p w14:paraId="6114694F"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718F7C7" w14:textId="77777777" w:rsidR="00000000" w:rsidRDefault="00405D16">
            <w:pPr>
              <w:spacing w:after="100"/>
              <w:jc w:val="right"/>
              <w:rPr>
                <w:rFonts w:eastAsia="Times New Roman"/>
              </w:rPr>
            </w:pPr>
            <w:r>
              <w:rPr>
                <w:rFonts w:eastAsia="Times New Roman"/>
                <w:b/>
                <w:bCs/>
                <w:color w:val="000000"/>
                <w:sz w:val="18"/>
                <w:szCs w:val="18"/>
              </w:rPr>
              <w:t>249,817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3E685B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A4204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C7663F6" w14:textId="77777777" w:rsidR="00000000" w:rsidRDefault="00405D16">
            <w:pPr>
              <w:spacing w:after="100"/>
              <w:jc w:val="right"/>
              <w:rPr>
                <w:rFonts w:eastAsia="Times New Roman"/>
              </w:rPr>
            </w:pPr>
            <w:r>
              <w:rPr>
                <w:rFonts w:eastAsia="Times New Roman"/>
                <w:b/>
                <w:bCs/>
                <w:color w:val="000000"/>
                <w:sz w:val="18"/>
                <w:szCs w:val="18"/>
              </w:rPr>
              <w:t>254,878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4E5A21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874DE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9C37332"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A2749D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49712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C861AFE"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FC63C7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0B8CC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D24BAC9" w14:textId="77777777" w:rsidR="00000000" w:rsidRDefault="00405D16">
            <w:pPr>
              <w:spacing w:after="100"/>
              <w:jc w:val="right"/>
              <w:rPr>
                <w:rFonts w:eastAsia="Times New Roman"/>
              </w:rPr>
            </w:pPr>
            <w:r>
              <w:rPr>
                <w:rFonts w:eastAsia="Times New Roman"/>
                <w:b/>
                <w:bCs/>
                <w:color w:val="000000"/>
                <w:sz w:val="18"/>
                <w:szCs w:val="18"/>
              </w:rPr>
              <w:t>254,878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51E7A99" w14:textId="77777777" w:rsidR="00000000" w:rsidRDefault="00405D16">
            <w:pPr>
              <w:spacing w:after="100"/>
              <w:jc w:val="right"/>
              <w:rPr>
                <w:rFonts w:eastAsia="Times New Roman"/>
              </w:rPr>
            </w:pPr>
          </w:p>
        </w:tc>
      </w:tr>
      <w:tr w:rsidR="00000000" w14:paraId="0D9FF0CF" w14:textId="77777777">
        <w:trPr>
          <w:divId w:val="680593605"/>
        </w:trPr>
        <w:tc>
          <w:tcPr>
            <w:tcW w:w="0" w:type="auto"/>
            <w:gridSpan w:val="3"/>
            <w:shd w:val="clear" w:color="auto" w:fill="CCEEFF"/>
            <w:tcMar>
              <w:top w:w="30" w:type="dxa"/>
              <w:left w:w="245" w:type="dxa"/>
              <w:bottom w:w="30" w:type="dxa"/>
              <w:right w:w="20" w:type="dxa"/>
            </w:tcMar>
            <w:vAlign w:val="center"/>
            <w:hideMark/>
          </w:tcPr>
          <w:p w14:paraId="43C83D69" w14:textId="77777777" w:rsidR="00000000" w:rsidRDefault="00405D16">
            <w:pPr>
              <w:spacing w:after="100"/>
              <w:rPr>
                <w:rFonts w:eastAsia="Times New Roman"/>
              </w:rPr>
            </w:pPr>
            <w:r>
              <w:rPr>
                <w:rFonts w:eastAsia="Times New Roman"/>
                <w:color w:val="000000"/>
                <w:sz w:val="18"/>
                <w:szCs w:val="18"/>
              </w:rPr>
              <w:t>Loans held for sale</w:t>
            </w:r>
          </w:p>
        </w:tc>
        <w:tc>
          <w:tcPr>
            <w:tcW w:w="0" w:type="auto"/>
            <w:gridSpan w:val="3"/>
            <w:shd w:val="clear" w:color="auto" w:fill="CCEEFF"/>
            <w:tcMar>
              <w:top w:w="0" w:type="dxa"/>
              <w:left w:w="20" w:type="dxa"/>
              <w:bottom w:w="0" w:type="dxa"/>
              <w:right w:w="20" w:type="dxa"/>
            </w:tcMar>
            <w:vAlign w:val="center"/>
            <w:hideMark/>
          </w:tcPr>
          <w:p w14:paraId="73E8B5C4"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1920B20" w14:textId="77777777" w:rsidR="00000000" w:rsidRDefault="00405D16">
            <w:pPr>
              <w:spacing w:after="100"/>
              <w:jc w:val="right"/>
              <w:rPr>
                <w:rFonts w:eastAsia="Times New Roman"/>
              </w:rPr>
            </w:pPr>
            <w:r>
              <w:rPr>
                <w:rFonts w:eastAsia="Times New Roman"/>
                <w:b/>
                <w:bCs/>
                <w:color w:val="000000"/>
                <w:sz w:val="18"/>
                <w:szCs w:val="18"/>
              </w:rPr>
              <w:t>4,593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AC1AC4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FA2D7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2AE8DF0" w14:textId="77777777" w:rsidR="00000000" w:rsidRDefault="00405D16">
            <w:pPr>
              <w:spacing w:after="100"/>
              <w:jc w:val="right"/>
              <w:rPr>
                <w:rFonts w:eastAsia="Times New Roman"/>
              </w:rPr>
            </w:pPr>
            <w:r>
              <w:rPr>
                <w:rFonts w:eastAsia="Times New Roman"/>
                <w:b/>
                <w:bCs/>
                <w:color w:val="000000"/>
                <w:sz w:val="18"/>
                <w:szCs w:val="18"/>
              </w:rPr>
              <w:t>4,880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D87FF0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4EF33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0D5C971"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49DD7E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71A42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0B3F63E" w14:textId="77777777" w:rsidR="00000000" w:rsidRDefault="00405D16">
            <w:pPr>
              <w:spacing w:after="100"/>
              <w:jc w:val="right"/>
              <w:rPr>
                <w:rFonts w:eastAsia="Times New Roman"/>
              </w:rPr>
            </w:pPr>
            <w:r>
              <w:rPr>
                <w:rFonts w:eastAsia="Times New Roman"/>
                <w:b/>
                <w:bCs/>
                <w:color w:val="000000"/>
                <w:sz w:val="18"/>
                <w:szCs w:val="18"/>
              </w:rPr>
              <w:t>4,880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2FA5C3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B0DD4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126068C"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AD5F835" w14:textId="77777777" w:rsidR="00000000" w:rsidRDefault="00405D16">
            <w:pPr>
              <w:spacing w:after="100"/>
              <w:jc w:val="right"/>
              <w:rPr>
                <w:rFonts w:eastAsia="Times New Roman"/>
              </w:rPr>
            </w:pPr>
          </w:p>
        </w:tc>
      </w:tr>
      <w:tr w:rsidR="00000000" w14:paraId="5E3A381F" w14:textId="77777777">
        <w:trPr>
          <w:divId w:val="680593605"/>
        </w:trPr>
        <w:tc>
          <w:tcPr>
            <w:tcW w:w="0" w:type="auto"/>
            <w:gridSpan w:val="3"/>
            <w:shd w:val="clear" w:color="auto" w:fill="FFFFFF"/>
            <w:tcMar>
              <w:top w:w="30" w:type="dxa"/>
              <w:left w:w="245" w:type="dxa"/>
              <w:bottom w:w="30" w:type="dxa"/>
              <w:right w:w="20" w:type="dxa"/>
            </w:tcMar>
            <w:vAlign w:val="center"/>
            <w:hideMark/>
          </w:tcPr>
          <w:p w14:paraId="4BE5E9B9" w14:textId="77777777" w:rsidR="00000000" w:rsidRDefault="00405D16">
            <w:pPr>
              <w:spacing w:after="100"/>
              <w:rPr>
                <w:rFonts w:eastAsia="Times New Roman"/>
              </w:rPr>
            </w:pPr>
            <w:r>
              <w:rPr>
                <w:rFonts w:eastAsia="Times New Roman"/>
                <w:color w:val="000000"/>
                <w:sz w:val="18"/>
                <w:szCs w:val="18"/>
              </w:rPr>
              <w:t>Interest receivable</w:t>
            </w:r>
          </w:p>
        </w:tc>
        <w:tc>
          <w:tcPr>
            <w:tcW w:w="0" w:type="auto"/>
            <w:gridSpan w:val="3"/>
            <w:shd w:val="clear" w:color="auto" w:fill="FFFFFF"/>
            <w:tcMar>
              <w:top w:w="0" w:type="dxa"/>
              <w:left w:w="20" w:type="dxa"/>
              <w:bottom w:w="0" w:type="dxa"/>
              <w:right w:w="20" w:type="dxa"/>
            </w:tcMar>
            <w:vAlign w:val="center"/>
            <w:hideMark/>
          </w:tcPr>
          <w:p w14:paraId="4E4444B5"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C0CC02D" w14:textId="77777777" w:rsidR="00000000" w:rsidRDefault="00405D16">
            <w:pPr>
              <w:spacing w:after="100"/>
              <w:jc w:val="right"/>
              <w:rPr>
                <w:rFonts w:eastAsia="Times New Roman"/>
              </w:rPr>
            </w:pPr>
            <w:r>
              <w:rPr>
                <w:rFonts w:eastAsia="Times New Roman"/>
                <w:b/>
                <w:bCs/>
                <w:color w:val="000000"/>
                <w:sz w:val="18"/>
                <w:szCs w:val="18"/>
              </w:rPr>
              <w:t>1,418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03551D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90A61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04111DC" w14:textId="77777777" w:rsidR="00000000" w:rsidRDefault="00405D16">
            <w:pPr>
              <w:spacing w:after="100"/>
              <w:jc w:val="right"/>
              <w:rPr>
                <w:rFonts w:eastAsia="Times New Roman"/>
              </w:rPr>
            </w:pPr>
            <w:r>
              <w:rPr>
                <w:rFonts w:eastAsia="Times New Roman"/>
                <w:b/>
                <w:bCs/>
                <w:color w:val="000000"/>
                <w:sz w:val="18"/>
                <w:szCs w:val="18"/>
              </w:rPr>
              <w:t>1,418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B56E1A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1C4AB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B6B8155"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64D89D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AD258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88505D5" w14:textId="77777777" w:rsidR="00000000" w:rsidRDefault="00405D16">
            <w:pPr>
              <w:spacing w:after="100"/>
              <w:jc w:val="right"/>
              <w:rPr>
                <w:rFonts w:eastAsia="Times New Roman"/>
              </w:rPr>
            </w:pPr>
            <w:r>
              <w:rPr>
                <w:rFonts w:eastAsia="Times New Roman"/>
                <w:b/>
                <w:bCs/>
                <w:color w:val="000000"/>
                <w:sz w:val="18"/>
                <w:szCs w:val="18"/>
              </w:rPr>
              <w:t>1,418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23D7DC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0F9E2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E33FE7D"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BB6C897" w14:textId="77777777" w:rsidR="00000000" w:rsidRDefault="00405D16">
            <w:pPr>
              <w:spacing w:after="100"/>
              <w:jc w:val="right"/>
              <w:rPr>
                <w:rFonts w:eastAsia="Times New Roman"/>
              </w:rPr>
            </w:pPr>
          </w:p>
        </w:tc>
      </w:tr>
      <w:tr w:rsidR="00000000" w14:paraId="37531A37" w14:textId="77777777">
        <w:trPr>
          <w:divId w:val="680593605"/>
        </w:trPr>
        <w:tc>
          <w:tcPr>
            <w:tcW w:w="0" w:type="auto"/>
            <w:gridSpan w:val="3"/>
            <w:shd w:val="clear" w:color="auto" w:fill="CCEEFF"/>
            <w:tcMar>
              <w:top w:w="30" w:type="dxa"/>
              <w:left w:w="20" w:type="dxa"/>
              <w:bottom w:w="30" w:type="dxa"/>
              <w:right w:w="20" w:type="dxa"/>
            </w:tcMar>
            <w:vAlign w:val="center"/>
            <w:hideMark/>
          </w:tcPr>
          <w:p w14:paraId="7A87F36C" w14:textId="77777777" w:rsidR="00000000" w:rsidRDefault="00405D16">
            <w:pPr>
              <w:spacing w:after="100"/>
              <w:divId w:val="1884319918"/>
              <w:rPr>
                <w:rFonts w:eastAsia="Times New Roman"/>
              </w:rPr>
            </w:pPr>
            <w:r>
              <w:rPr>
                <w:rFonts w:eastAsia="Times New Roman"/>
                <w:color w:val="000000"/>
                <w:sz w:val="18"/>
                <w:szCs w:val="18"/>
              </w:rPr>
              <w:t>Other investment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4C92613B"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6A8FCF6" w14:textId="77777777" w:rsidR="00000000" w:rsidRDefault="00405D16">
            <w:pPr>
              <w:spacing w:after="100"/>
              <w:jc w:val="right"/>
              <w:rPr>
                <w:rFonts w:eastAsia="Times New Roman"/>
              </w:rPr>
            </w:pPr>
            <w:r>
              <w:rPr>
                <w:rFonts w:eastAsia="Times New Roman"/>
                <w:b/>
                <w:bCs/>
                <w:color w:val="000000"/>
                <w:sz w:val="18"/>
                <w:szCs w:val="18"/>
              </w:rPr>
              <w:t>1,344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BFD2BC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84626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3BFFAB6" w14:textId="77777777" w:rsidR="00000000" w:rsidRDefault="00405D16">
            <w:pPr>
              <w:spacing w:after="100"/>
              <w:jc w:val="right"/>
              <w:rPr>
                <w:rFonts w:eastAsia="Times New Roman"/>
              </w:rPr>
            </w:pPr>
            <w:r>
              <w:rPr>
                <w:rFonts w:eastAsia="Times New Roman"/>
                <w:b/>
                <w:bCs/>
                <w:color w:val="000000"/>
                <w:sz w:val="18"/>
                <w:szCs w:val="18"/>
              </w:rPr>
              <w:t>1,344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701E42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9B2D7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22C4B5C"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853B81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C99ED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7DEE10A" w14:textId="77777777" w:rsidR="00000000" w:rsidRDefault="00405D16">
            <w:pPr>
              <w:spacing w:after="100"/>
              <w:jc w:val="right"/>
              <w:rPr>
                <w:rFonts w:eastAsia="Times New Roman"/>
              </w:rPr>
            </w:pPr>
            <w:r>
              <w:rPr>
                <w:rFonts w:eastAsia="Times New Roman"/>
                <w:b/>
                <w:bCs/>
                <w:color w:val="000000"/>
                <w:sz w:val="18"/>
                <w:szCs w:val="18"/>
              </w:rPr>
              <w:t>1,344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C6C150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70541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556AAF4"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8E94043" w14:textId="77777777" w:rsidR="00000000" w:rsidRDefault="00405D16">
            <w:pPr>
              <w:spacing w:after="100"/>
              <w:jc w:val="right"/>
              <w:rPr>
                <w:rFonts w:eastAsia="Times New Roman"/>
              </w:rPr>
            </w:pPr>
          </w:p>
        </w:tc>
      </w:tr>
      <w:tr w:rsidR="00000000" w14:paraId="2CF45702" w14:textId="77777777">
        <w:trPr>
          <w:divId w:val="680593605"/>
        </w:trPr>
        <w:tc>
          <w:tcPr>
            <w:tcW w:w="0" w:type="auto"/>
            <w:gridSpan w:val="3"/>
            <w:shd w:val="clear" w:color="auto" w:fill="FFFFFF"/>
            <w:tcMar>
              <w:top w:w="30" w:type="dxa"/>
              <w:left w:w="20" w:type="dxa"/>
              <w:bottom w:w="30" w:type="dxa"/>
              <w:right w:w="20" w:type="dxa"/>
            </w:tcMar>
            <w:vAlign w:val="center"/>
            <w:hideMark/>
          </w:tcPr>
          <w:p w14:paraId="0A217B96" w14:textId="77777777" w:rsidR="00000000" w:rsidRDefault="00405D16">
            <w:pPr>
              <w:spacing w:after="100"/>
              <w:rPr>
                <w:rFonts w:eastAsia="Times New Roman"/>
              </w:rPr>
            </w:pPr>
            <w:r>
              <w:rPr>
                <w:rFonts w:eastAsia="Times New Roman"/>
                <w:b/>
                <w:bCs/>
                <w:color w:val="000000"/>
                <w:sz w:val="18"/>
                <w:szCs w:val="18"/>
              </w:rPr>
              <w:t>Financial liabilities:</w:t>
            </w:r>
          </w:p>
        </w:tc>
        <w:tc>
          <w:tcPr>
            <w:tcW w:w="0" w:type="auto"/>
            <w:gridSpan w:val="3"/>
            <w:shd w:val="clear" w:color="auto" w:fill="FFFFFF"/>
            <w:tcMar>
              <w:top w:w="0" w:type="dxa"/>
              <w:left w:w="20" w:type="dxa"/>
              <w:bottom w:w="0" w:type="dxa"/>
              <w:right w:w="20" w:type="dxa"/>
            </w:tcMar>
            <w:vAlign w:val="center"/>
            <w:hideMark/>
          </w:tcPr>
          <w:p w14:paraId="418EE788"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55358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F3762D"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09790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751C3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C7806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95F23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7B13E8"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B7A4E3"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3D911A" w14:textId="77777777" w:rsidR="00000000" w:rsidRDefault="00405D16">
            <w:pPr>
              <w:spacing w:after="100"/>
              <w:rPr>
                <w:rFonts w:eastAsia="Times New Roman"/>
                <w:sz w:val="20"/>
                <w:szCs w:val="20"/>
              </w:rPr>
            </w:pPr>
          </w:p>
        </w:tc>
      </w:tr>
      <w:tr w:rsidR="00000000" w14:paraId="1EC94AC7" w14:textId="77777777">
        <w:trPr>
          <w:divId w:val="680593605"/>
        </w:trPr>
        <w:tc>
          <w:tcPr>
            <w:tcW w:w="0" w:type="auto"/>
            <w:gridSpan w:val="3"/>
            <w:shd w:val="clear" w:color="auto" w:fill="CCEEFF"/>
            <w:tcMar>
              <w:top w:w="30" w:type="dxa"/>
              <w:left w:w="245" w:type="dxa"/>
              <w:bottom w:w="30" w:type="dxa"/>
              <w:right w:w="20" w:type="dxa"/>
            </w:tcMar>
            <w:vAlign w:val="center"/>
            <w:hideMark/>
          </w:tcPr>
          <w:p w14:paraId="34BAA2EC" w14:textId="77777777" w:rsidR="00000000" w:rsidRDefault="00405D16">
            <w:pPr>
              <w:spacing w:after="100"/>
              <w:rPr>
                <w:rFonts w:eastAsia="Times New Roman"/>
              </w:rPr>
            </w:pPr>
            <w:r>
              <w:rPr>
                <w:rFonts w:eastAsia="Times New Roman"/>
                <w:color w:val="000000"/>
                <w:sz w:val="18"/>
                <w:szCs w:val="18"/>
              </w:rPr>
              <w:t>Deposits with defined maturities</w:t>
            </w:r>
          </w:p>
        </w:tc>
        <w:tc>
          <w:tcPr>
            <w:tcW w:w="0" w:type="auto"/>
            <w:gridSpan w:val="3"/>
            <w:shd w:val="clear" w:color="auto" w:fill="CCEEFF"/>
            <w:tcMar>
              <w:top w:w="0" w:type="dxa"/>
              <w:left w:w="20" w:type="dxa"/>
              <w:bottom w:w="0" w:type="dxa"/>
              <w:right w:w="20" w:type="dxa"/>
            </w:tcMar>
            <w:vAlign w:val="center"/>
            <w:hideMark/>
          </w:tcPr>
          <w:p w14:paraId="7708FE3D"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F0E6771" w14:textId="77777777" w:rsidR="00000000" w:rsidRDefault="00405D16">
            <w:pPr>
              <w:spacing w:after="100"/>
              <w:jc w:val="right"/>
              <w:rPr>
                <w:rFonts w:eastAsia="Times New Roman"/>
              </w:rPr>
            </w:pPr>
            <w:r>
              <w:rPr>
                <w:rFonts w:eastAsia="Times New Roman"/>
                <w:b/>
                <w:bCs/>
                <w:color w:val="000000"/>
                <w:sz w:val="18"/>
                <w:szCs w:val="18"/>
              </w:rPr>
              <w:t>19,283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6A3288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55972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A94BF83" w14:textId="77777777" w:rsidR="00000000" w:rsidRDefault="00405D16">
            <w:pPr>
              <w:spacing w:after="100"/>
              <w:jc w:val="right"/>
              <w:rPr>
                <w:rFonts w:eastAsia="Times New Roman"/>
              </w:rPr>
            </w:pPr>
            <w:r>
              <w:rPr>
                <w:rFonts w:eastAsia="Times New Roman"/>
                <w:b/>
                <w:bCs/>
                <w:color w:val="000000"/>
                <w:sz w:val="18"/>
                <w:szCs w:val="18"/>
              </w:rPr>
              <w:t>19,483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783C03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7287C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8CEB54E"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D0E420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081EC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D92558B" w14:textId="77777777" w:rsidR="00000000" w:rsidRDefault="00405D16">
            <w:pPr>
              <w:spacing w:after="100"/>
              <w:jc w:val="right"/>
              <w:rPr>
                <w:rFonts w:eastAsia="Times New Roman"/>
              </w:rPr>
            </w:pPr>
            <w:r>
              <w:rPr>
                <w:rFonts w:eastAsia="Times New Roman"/>
                <w:b/>
                <w:bCs/>
                <w:color w:val="000000"/>
                <w:sz w:val="18"/>
                <w:szCs w:val="18"/>
              </w:rPr>
              <w:t>19,483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1E8A2B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B8266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7A6B715"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1CA73CD" w14:textId="77777777" w:rsidR="00000000" w:rsidRDefault="00405D16">
            <w:pPr>
              <w:spacing w:after="100"/>
              <w:jc w:val="right"/>
              <w:rPr>
                <w:rFonts w:eastAsia="Times New Roman"/>
              </w:rPr>
            </w:pPr>
          </w:p>
        </w:tc>
      </w:tr>
      <w:tr w:rsidR="00000000" w14:paraId="71960A30" w14:textId="77777777">
        <w:trPr>
          <w:divId w:val="680593605"/>
        </w:trPr>
        <w:tc>
          <w:tcPr>
            <w:tcW w:w="0" w:type="auto"/>
            <w:gridSpan w:val="3"/>
            <w:shd w:val="clear" w:color="auto" w:fill="FFFFFF"/>
            <w:tcMar>
              <w:top w:w="30" w:type="dxa"/>
              <w:left w:w="245" w:type="dxa"/>
              <w:bottom w:w="30" w:type="dxa"/>
              <w:right w:w="20" w:type="dxa"/>
            </w:tcMar>
            <w:vAlign w:val="center"/>
            <w:hideMark/>
          </w:tcPr>
          <w:p w14:paraId="2B467CD3" w14:textId="77777777" w:rsidR="00000000" w:rsidRDefault="00405D16">
            <w:pPr>
              <w:spacing w:after="100"/>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14:paraId="4A2F7DE6"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AFDB2D4" w14:textId="77777777" w:rsidR="00000000" w:rsidRDefault="00405D16">
            <w:pPr>
              <w:spacing w:after="100"/>
              <w:jc w:val="right"/>
              <w:rPr>
                <w:rFonts w:eastAsia="Times New Roman"/>
              </w:rPr>
            </w:pPr>
            <w:r>
              <w:rPr>
                <w:rFonts w:eastAsia="Times New Roman"/>
                <w:b/>
                <w:bCs/>
                <w:color w:val="000000"/>
                <w:sz w:val="18"/>
                <w:szCs w:val="18"/>
              </w:rPr>
              <w:t>12,635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1C2336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3BB03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6E42318" w14:textId="77777777" w:rsidR="00000000" w:rsidRDefault="00405D16">
            <w:pPr>
              <w:spacing w:after="100"/>
              <w:jc w:val="right"/>
              <w:rPr>
                <w:rFonts w:eastAsia="Times New Roman"/>
              </w:rPr>
            </w:pPr>
            <w:r>
              <w:rPr>
                <w:rFonts w:eastAsia="Times New Roman"/>
                <w:b/>
                <w:bCs/>
                <w:color w:val="000000"/>
                <w:sz w:val="18"/>
                <w:szCs w:val="18"/>
              </w:rPr>
              <w:t>12,782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92325E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714AF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9557C82"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F96697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588C5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80DA3FA" w14:textId="77777777" w:rsidR="00000000" w:rsidRDefault="00405D16">
            <w:pPr>
              <w:spacing w:after="100"/>
              <w:jc w:val="right"/>
              <w:rPr>
                <w:rFonts w:eastAsia="Times New Roman"/>
              </w:rPr>
            </w:pPr>
            <w:r>
              <w:rPr>
                <w:rFonts w:eastAsia="Times New Roman"/>
                <w:b/>
                <w:bCs/>
                <w:color w:val="000000"/>
                <w:sz w:val="18"/>
                <w:szCs w:val="18"/>
              </w:rPr>
              <w:t>12,782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E587FA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259DE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2279345"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3496434" w14:textId="77777777" w:rsidR="00000000" w:rsidRDefault="00405D16">
            <w:pPr>
              <w:spacing w:after="100"/>
              <w:jc w:val="right"/>
              <w:rPr>
                <w:rFonts w:eastAsia="Times New Roman"/>
              </w:rPr>
            </w:pPr>
          </w:p>
        </w:tc>
      </w:tr>
      <w:tr w:rsidR="00000000" w14:paraId="6024AB53" w14:textId="77777777">
        <w:trPr>
          <w:divId w:val="680593605"/>
        </w:trPr>
        <w:tc>
          <w:tcPr>
            <w:tcW w:w="0" w:type="auto"/>
            <w:gridSpan w:val="3"/>
            <w:shd w:val="clear" w:color="auto" w:fill="CCEEFF"/>
            <w:tcMar>
              <w:top w:w="30" w:type="dxa"/>
              <w:left w:w="245" w:type="dxa"/>
              <w:bottom w:w="30" w:type="dxa"/>
              <w:right w:w="20" w:type="dxa"/>
            </w:tcMar>
            <w:vAlign w:val="center"/>
            <w:hideMark/>
          </w:tcPr>
          <w:p w14:paraId="2411C87A" w14:textId="77777777" w:rsidR="00000000" w:rsidRDefault="00405D16">
            <w:pPr>
              <w:spacing w:after="100"/>
              <w:rPr>
                <w:rFonts w:eastAsia="Times New Roman"/>
              </w:rPr>
            </w:pPr>
            <w:r>
              <w:rPr>
                <w:rFonts w:eastAsia="Times New Roman"/>
                <w:color w:val="000000"/>
                <w:sz w:val="18"/>
                <w:szCs w:val="18"/>
              </w:rPr>
              <w:t>Senior and subordinated notes</w:t>
            </w:r>
          </w:p>
        </w:tc>
        <w:tc>
          <w:tcPr>
            <w:tcW w:w="0" w:type="auto"/>
            <w:gridSpan w:val="3"/>
            <w:shd w:val="clear" w:color="auto" w:fill="CCEEFF"/>
            <w:tcMar>
              <w:top w:w="0" w:type="dxa"/>
              <w:left w:w="20" w:type="dxa"/>
              <w:bottom w:w="0" w:type="dxa"/>
              <w:right w:w="20" w:type="dxa"/>
            </w:tcMar>
            <w:vAlign w:val="center"/>
            <w:hideMark/>
          </w:tcPr>
          <w:p w14:paraId="5944BFAB"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D79EAAC" w14:textId="77777777" w:rsidR="00000000" w:rsidRDefault="00405D16">
            <w:pPr>
              <w:spacing w:after="100"/>
              <w:jc w:val="right"/>
              <w:rPr>
                <w:rFonts w:eastAsia="Times New Roman"/>
              </w:rPr>
            </w:pPr>
            <w:r>
              <w:rPr>
                <w:rFonts w:eastAsia="Times New Roman"/>
                <w:b/>
                <w:bCs/>
                <w:color w:val="000000"/>
                <w:sz w:val="18"/>
                <w:szCs w:val="18"/>
              </w:rPr>
              <w:t>23,983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92CA36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845A0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07E1183" w14:textId="77777777" w:rsidR="00000000" w:rsidRDefault="00405D16">
            <w:pPr>
              <w:spacing w:after="100"/>
              <w:jc w:val="right"/>
              <w:rPr>
                <w:rFonts w:eastAsia="Times New Roman"/>
              </w:rPr>
            </w:pPr>
            <w:r>
              <w:rPr>
                <w:rFonts w:eastAsia="Times New Roman"/>
                <w:b/>
                <w:bCs/>
                <w:color w:val="000000"/>
                <w:sz w:val="18"/>
                <w:szCs w:val="18"/>
              </w:rPr>
              <w:t>24,754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F72A20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C000A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FE4D888"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953D48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0C903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D0553AA" w14:textId="77777777" w:rsidR="00000000" w:rsidRDefault="00405D16">
            <w:pPr>
              <w:spacing w:after="100"/>
              <w:jc w:val="right"/>
              <w:rPr>
                <w:rFonts w:eastAsia="Times New Roman"/>
              </w:rPr>
            </w:pPr>
            <w:r>
              <w:rPr>
                <w:rFonts w:eastAsia="Times New Roman"/>
                <w:b/>
                <w:bCs/>
                <w:color w:val="000000"/>
                <w:sz w:val="18"/>
                <w:szCs w:val="18"/>
              </w:rPr>
              <w:t>24,754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06777E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6F95E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FD6DFF0"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159E14A" w14:textId="77777777" w:rsidR="00000000" w:rsidRDefault="00405D16">
            <w:pPr>
              <w:spacing w:after="100"/>
              <w:jc w:val="right"/>
              <w:rPr>
                <w:rFonts w:eastAsia="Times New Roman"/>
              </w:rPr>
            </w:pPr>
          </w:p>
        </w:tc>
      </w:tr>
      <w:tr w:rsidR="00000000" w14:paraId="571638B0" w14:textId="77777777">
        <w:trPr>
          <w:divId w:val="680593605"/>
        </w:trPr>
        <w:tc>
          <w:tcPr>
            <w:tcW w:w="0" w:type="auto"/>
            <w:gridSpan w:val="3"/>
            <w:shd w:val="clear" w:color="auto" w:fill="FFFFFF"/>
            <w:tcMar>
              <w:top w:w="30" w:type="dxa"/>
              <w:left w:w="245" w:type="dxa"/>
              <w:bottom w:w="30" w:type="dxa"/>
              <w:right w:w="20" w:type="dxa"/>
            </w:tcMar>
            <w:vAlign w:val="center"/>
            <w:hideMark/>
          </w:tcPr>
          <w:p w14:paraId="79CD6804" w14:textId="77777777" w:rsidR="00000000" w:rsidRDefault="00405D16">
            <w:pPr>
              <w:spacing w:after="100"/>
              <w:rPr>
                <w:rFonts w:eastAsia="Times New Roman"/>
              </w:rPr>
            </w:pPr>
            <w:r>
              <w:rPr>
                <w:rFonts w:eastAsia="Times New Roman"/>
                <w:color w:val="000000"/>
                <w:sz w:val="18"/>
                <w:szCs w:val="18"/>
              </w:rPr>
              <w:t>Federal funds purchased and securities loaned or sold under agreements to repurchase</w:t>
            </w:r>
          </w:p>
        </w:tc>
        <w:tc>
          <w:tcPr>
            <w:tcW w:w="0" w:type="auto"/>
            <w:gridSpan w:val="3"/>
            <w:shd w:val="clear" w:color="auto" w:fill="FFFFFF"/>
            <w:tcMar>
              <w:top w:w="0" w:type="dxa"/>
              <w:left w:w="20" w:type="dxa"/>
              <w:bottom w:w="0" w:type="dxa"/>
              <w:right w:w="20" w:type="dxa"/>
            </w:tcMar>
            <w:vAlign w:val="center"/>
            <w:hideMark/>
          </w:tcPr>
          <w:p w14:paraId="581C4BA0"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08E21CD" w14:textId="77777777" w:rsidR="00000000" w:rsidRDefault="00405D16">
            <w:pPr>
              <w:spacing w:after="100"/>
              <w:jc w:val="right"/>
              <w:rPr>
                <w:rFonts w:eastAsia="Times New Roman"/>
              </w:rPr>
            </w:pPr>
            <w:r>
              <w:rPr>
                <w:rFonts w:eastAsia="Times New Roman"/>
                <w:b/>
                <w:bCs/>
                <w:color w:val="000000"/>
                <w:sz w:val="18"/>
                <w:szCs w:val="18"/>
              </w:rPr>
              <w:t>825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7B385C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20B22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5F9AA6" w14:textId="77777777" w:rsidR="00000000" w:rsidRDefault="00405D16">
            <w:pPr>
              <w:spacing w:after="100"/>
              <w:jc w:val="right"/>
              <w:rPr>
                <w:rFonts w:eastAsia="Times New Roman"/>
              </w:rPr>
            </w:pPr>
            <w:r>
              <w:rPr>
                <w:rFonts w:eastAsia="Times New Roman"/>
                <w:b/>
                <w:bCs/>
                <w:color w:val="000000"/>
                <w:sz w:val="18"/>
                <w:szCs w:val="18"/>
              </w:rPr>
              <w:t>825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0BC9E4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11110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C78127"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CB28AC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8418A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B225B8" w14:textId="77777777" w:rsidR="00000000" w:rsidRDefault="00405D16">
            <w:pPr>
              <w:spacing w:after="100"/>
              <w:jc w:val="right"/>
              <w:rPr>
                <w:rFonts w:eastAsia="Times New Roman"/>
              </w:rPr>
            </w:pPr>
            <w:r>
              <w:rPr>
                <w:rFonts w:eastAsia="Times New Roman"/>
                <w:b/>
                <w:bCs/>
                <w:color w:val="000000"/>
                <w:sz w:val="18"/>
                <w:szCs w:val="18"/>
              </w:rPr>
              <w:t>825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35DCB0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42947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45CF81"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2364587" w14:textId="77777777" w:rsidR="00000000" w:rsidRDefault="00405D16">
            <w:pPr>
              <w:spacing w:after="100"/>
              <w:jc w:val="right"/>
              <w:rPr>
                <w:rFonts w:eastAsia="Times New Roman"/>
              </w:rPr>
            </w:pPr>
          </w:p>
        </w:tc>
      </w:tr>
      <w:tr w:rsidR="00000000" w14:paraId="236D19D2" w14:textId="77777777">
        <w:trPr>
          <w:divId w:val="680593605"/>
        </w:trPr>
        <w:tc>
          <w:tcPr>
            <w:tcW w:w="0" w:type="auto"/>
            <w:gridSpan w:val="3"/>
            <w:vAlign w:val="center"/>
            <w:hideMark/>
          </w:tcPr>
          <w:p w14:paraId="0A89A051" w14:textId="77777777" w:rsidR="00000000" w:rsidRDefault="00405D16">
            <w:pPr>
              <w:spacing w:after="100"/>
              <w:jc w:val="right"/>
              <w:rPr>
                <w:rFonts w:eastAsia="Times New Roman"/>
                <w:sz w:val="20"/>
                <w:szCs w:val="20"/>
              </w:rPr>
            </w:pPr>
          </w:p>
        </w:tc>
        <w:tc>
          <w:tcPr>
            <w:tcW w:w="0" w:type="auto"/>
            <w:gridSpan w:val="3"/>
            <w:vAlign w:val="center"/>
            <w:hideMark/>
          </w:tcPr>
          <w:p w14:paraId="5CD7F7E0" w14:textId="77777777" w:rsidR="00000000" w:rsidRDefault="00405D16">
            <w:pPr>
              <w:spacing w:after="100"/>
              <w:rPr>
                <w:rFonts w:eastAsia="Times New Roman"/>
                <w:sz w:val="20"/>
                <w:szCs w:val="20"/>
              </w:rPr>
            </w:pPr>
          </w:p>
        </w:tc>
        <w:tc>
          <w:tcPr>
            <w:tcW w:w="0" w:type="auto"/>
            <w:gridSpan w:val="3"/>
            <w:vAlign w:val="center"/>
            <w:hideMark/>
          </w:tcPr>
          <w:p w14:paraId="644D2BE8" w14:textId="77777777" w:rsidR="00000000" w:rsidRDefault="00405D16">
            <w:pPr>
              <w:spacing w:after="100"/>
              <w:rPr>
                <w:rFonts w:eastAsia="Times New Roman"/>
                <w:sz w:val="20"/>
                <w:szCs w:val="20"/>
              </w:rPr>
            </w:pPr>
          </w:p>
        </w:tc>
        <w:tc>
          <w:tcPr>
            <w:tcW w:w="0" w:type="auto"/>
            <w:gridSpan w:val="3"/>
            <w:vAlign w:val="center"/>
            <w:hideMark/>
          </w:tcPr>
          <w:p w14:paraId="7F9A53D2" w14:textId="77777777" w:rsidR="00000000" w:rsidRDefault="00405D16">
            <w:pPr>
              <w:spacing w:after="100"/>
              <w:rPr>
                <w:rFonts w:eastAsia="Times New Roman"/>
                <w:sz w:val="20"/>
                <w:szCs w:val="20"/>
              </w:rPr>
            </w:pPr>
          </w:p>
        </w:tc>
        <w:tc>
          <w:tcPr>
            <w:tcW w:w="0" w:type="auto"/>
            <w:gridSpan w:val="3"/>
            <w:vAlign w:val="center"/>
            <w:hideMark/>
          </w:tcPr>
          <w:p w14:paraId="5E8E98BF" w14:textId="77777777" w:rsidR="00000000" w:rsidRDefault="00405D16">
            <w:pPr>
              <w:spacing w:after="100"/>
              <w:rPr>
                <w:rFonts w:eastAsia="Times New Roman"/>
                <w:sz w:val="20"/>
                <w:szCs w:val="20"/>
              </w:rPr>
            </w:pPr>
          </w:p>
        </w:tc>
        <w:tc>
          <w:tcPr>
            <w:tcW w:w="0" w:type="auto"/>
            <w:gridSpan w:val="3"/>
            <w:vAlign w:val="center"/>
            <w:hideMark/>
          </w:tcPr>
          <w:p w14:paraId="1F86C229" w14:textId="77777777" w:rsidR="00000000" w:rsidRDefault="00405D16">
            <w:pPr>
              <w:spacing w:after="100"/>
              <w:rPr>
                <w:rFonts w:eastAsia="Times New Roman"/>
                <w:sz w:val="20"/>
                <w:szCs w:val="20"/>
              </w:rPr>
            </w:pPr>
          </w:p>
        </w:tc>
        <w:tc>
          <w:tcPr>
            <w:tcW w:w="0" w:type="auto"/>
            <w:gridSpan w:val="3"/>
            <w:vAlign w:val="center"/>
            <w:hideMark/>
          </w:tcPr>
          <w:p w14:paraId="0FD37285" w14:textId="77777777" w:rsidR="00000000" w:rsidRDefault="00405D16">
            <w:pPr>
              <w:spacing w:after="100"/>
              <w:rPr>
                <w:rFonts w:eastAsia="Times New Roman"/>
                <w:sz w:val="20"/>
                <w:szCs w:val="20"/>
              </w:rPr>
            </w:pPr>
          </w:p>
        </w:tc>
        <w:tc>
          <w:tcPr>
            <w:tcW w:w="0" w:type="auto"/>
            <w:gridSpan w:val="3"/>
            <w:vAlign w:val="center"/>
            <w:hideMark/>
          </w:tcPr>
          <w:p w14:paraId="3DDD00B4" w14:textId="77777777" w:rsidR="00000000" w:rsidRDefault="00405D16">
            <w:pPr>
              <w:spacing w:after="100"/>
              <w:rPr>
                <w:rFonts w:eastAsia="Times New Roman"/>
                <w:sz w:val="20"/>
                <w:szCs w:val="20"/>
              </w:rPr>
            </w:pPr>
          </w:p>
        </w:tc>
        <w:tc>
          <w:tcPr>
            <w:tcW w:w="0" w:type="auto"/>
            <w:gridSpan w:val="3"/>
            <w:vAlign w:val="center"/>
            <w:hideMark/>
          </w:tcPr>
          <w:p w14:paraId="6270CF8E" w14:textId="77777777" w:rsidR="00000000" w:rsidRDefault="00405D16">
            <w:pPr>
              <w:spacing w:after="100"/>
              <w:rPr>
                <w:rFonts w:eastAsia="Times New Roman"/>
                <w:sz w:val="20"/>
                <w:szCs w:val="20"/>
              </w:rPr>
            </w:pPr>
          </w:p>
        </w:tc>
        <w:tc>
          <w:tcPr>
            <w:tcW w:w="0" w:type="auto"/>
            <w:gridSpan w:val="3"/>
            <w:vAlign w:val="center"/>
            <w:hideMark/>
          </w:tcPr>
          <w:p w14:paraId="1CD77672" w14:textId="77777777" w:rsidR="00000000" w:rsidRDefault="00405D16">
            <w:pPr>
              <w:spacing w:after="100"/>
              <w:rPr>
                <w:rFonts w:eastAsia="Times New Roman"/>
                <w:sz w:val="20"/>
                <w:szCs w:val="20"/>
              </w:rPr>
            </w:pPr>
          </w:p>
        </w:tc>
        <w:tc>
          <w:tcPr>
            <w:tcW w:w="0" w:type="auto"/>
            <w:gridSpan w:val="3"/>
            <w:vAlign w:val="center"/>
            <w:hideMark/>
          </w:tcPr>
          <w:p w14:paraId="10E7B08F" w14:textId="77777777" w:rsidR="00000000" w:rsidRDefault="00405D16">
            <w:pPr>
              <w:spacing w:after="100"/>
              <w:rPr>
                <w:rFonts w:eastAsia="Times New Roman"/>
                <w:sz w:val="20"/>
                <w:szCs w:val="20"/>
              </w:rPr>
            </w:pPr>
          </w:p>
        </w:tc>
      </w:tr>
      <w:tr w:rsidR="00000000" w14:paraId="5A2B08F6" w14:textId="77777777">
        <w:trPr>
          <w:divId w:val="680593605"/>
        </w:trPr>
        <w:tc>
          <w:tcPr>
            <w:tcW w:w="0" w:type="auto"/>
            <w:gridSpan w:val="3"/>
            <w:shd w:val="clear" w:color="auto" w:fill="CCEEFF"/>
            <w:tcMar>
              <w:top w:w="30" w:type="dxa"/>
              <w:left w:w="245" w:type="dxa"/>
              <w:bottom w:w="30" w:type="dxa"/>
              <w:right w:w="20" w:type="dxa"/>
            </w:tcMar>
            <w:vAlign w:val="center"/>
            <w:hideMark/>
          </w:tcPr>
          <w:p w14:paraId="2B8445C9" w14:textId="77777777" w:rsidR="00000000" w:rsidRDefault="00405D16">
            <w:pPr>
              <w:spacing w:after="100"/>
              <w:rPr>
                <w:rFonts w:eastAsia="Times New Roman"/>
              </w:rPr>
            </w:pPr>
            <w:r>
              <w:rPr>
                <w:rFonts w:eastAsia="Times New Roman"/>
                <w:color w:val="000000"/>
                <w:sz w:val="18"/>
                <w:szCs w:val="18"/>
              </w:rPr>
              <w:t>Interest payable</w:t>
            </w:r>
          </w:p>
        </w:tc>
        <w:tc>
          <w:tcPr>
            <w:tcW w:w="0" w:type="auto"/>
            <w:gridSpan w:val="3"/>
            <w:shd w:val="clear" w:color="auto" w:fill="CCEEFF"/>
            <w:tcMar>
              <w:top w:w="0" w:type="dxa"/>
              <w:left w:w="20" w:type="dxa"/>
              <w:bottom w:w="0" w:type="dxa"/>
              <w:right w:w="20" w:type="dxa"/>
            </w:tcMar>
            <w:vAlign w:val="center"/>
            <w:hideMark/>
          </w:tcPr>
          <w:p w14:paraId="0C760837"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725D171" w14:textId="77777777" w:rsidR="00000000" w:rsidRDefault="00405D16">
            <w:pPr>
              <w:spacing w:after="100"/>
              <w:jc w:val="right"/>
              <w:rPr>
                <w:rFonts w:eastAsia="Times New Roman"/>
              </w:rPr>
            </w:pPr>
            <w:r>
              <w:rPr>
                <w:rFonts w:eastAsia="Times New Roman"/>
                <w:b/>
                <w:bCs/>
                <w:color w:val="000000"/>
                <w:sz w:val="18"/>
                <w:szCs w:val="18"/>
              </w:rPr>
              <w:t>241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0E09D0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F4686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2575D58" w14:textId="77777777" w:rsidR="00000000" w:rsidRDefault="00405D16">
            <w:pPr>
              <w:spacing w:after="100"/>
              <w:jc w:val="right"/>
              <w:rPr>
                <w:rFonts w:eastAsia="Times New Roman"/>
              </w:rPr>
            </w:pPr>
            <w:r>
              <w:rPr>
                <w:rFonts w:eastAsia="Times New Roman"/>
                <w:b/>
                <w:bCs/>
                <w:color w:val="000000"/>
                <w:sz w:val="18"/>
                <w:szCs w:val="18"/>
              </w:rPr>
              <w:t>241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CA4A58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6FEEF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8302584"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A1C2F5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50F62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AFFC59A" w14:textId="77777777" w:rsidR="00000000" w:rsidRDefault="00405D16">
            <w:pPr>
              <w:spacing w:after="100"/>
              <w:jc w:val="right"/>
              <w:rPr>
                <w:rFonts w:eastAsia="Times New Roman"/>
              </w:rPr>
            </w:pPr>
            <w:r>
              <w:rPr>
                <w:rFonts w:eastAsia="Times New Roman"/>
                <w:b/>
                <w:bCs/>
                <w:color w:val="000000"/>
                <w:sz w:val="18"/>
                <w:szCs w:val="18"/>
              </w:rPr>
              <w:t>241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14C8ED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0FDB1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854E22A"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B7532CE" w14:textId="77777777" w:rsidR="00000000" w:rsidRDefault="00405D16">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825"/>
        <w:gridCol w:w="144"/>
        <w:gridCol w:w="144"/>
        <w:gridCol w:w="144"/>
        <w:gridCol w:w="144"/>
        <w:gridCol w:w="144"/>
        <w:gridCol w:w="551"/>
        <w:gridCol w:w="144"/>
        <w:gridCol w:w="144"/>
        <w:gridCol w:w="144"/>
        <w:gridCol w:w="144"/>
        <w:gridCol w:w="144"/>
        <w:gridCol w:w="563"/>
        <w:gridCol w:w="144"/>
        <w:gridCol w:w="144"/>
        <w:gridCol w:w="144"/>
        <w:gridCol w:w="144"/>
        <w:gridCol w:w="144"/>
        <w:gridCol w:w="503"/>
        <w:gridCol w:w="144"/>
        <w:gridCol w:w="144"/>
        <w:gridCol w:w="144"/>
        <w:gridCol w:w="144"/>
        <w:gridCol w:w="144"/>
        <w:gridCol w:w="503"/>
        <w:gridCol w:w="144"/>
        <w:gridCol w:w="144"/>
        <w:gridCol w:w="144"/>
        <w:gridCol w:w="144"/>
        <w:gridCol w:w="144"/>
        <w:gridCol w:w="503"/>
        <w:gridCol w:w="144"/>
      </w:tblGrid>
      <w:tr w:rsidR="00000000" w14:paraId="596B0165" w14:textId="77777777">
        <w:tc>
          <w:tcPr>
            <w:tcW w:w="50" w:type="pct"/>
            <w:vAlign w:val="center"/>
            <w:hideMark/>
          </w:tcPr>
          <w:p w14:paraId="4003B696" w14:textId="77777777" w:rsidR="00000000" w:rsidRDefault="00405D16">
            <w:pPr>
              <w:rPr>
                <w:rFonts w:eastAsia="Times New Roman"/>
              </w:rPr>
            </w:pPr>
          </w:p>
        </w:tc>
        <w:tc>
          <w:tcPr>
            <w:tcW w:w="2905" w:type="pct"/>
            <w:vAlign w:val="center"/>
            <w:hideMark/>
          </w:tcPr>
          <w:p w14:paraId="69805D93" w14:textId="77777777" w:rsidR="00000000" w:rsidRDefault="00405D16">
            <w:pPr>
              <w:spacing w:after="100"/>
              <w:rPr>
                <w:rFonts w:eastAsia="Times New Roman"/>
                <w:sz w:val="20"/>
                <w:szCs w:val="20"/>
              </w:rPr>
            </w:pPr>
          </w:p>
        </w:tc>
        <w:tc>
          <w:tcPr>
            <w:tcW w:w="5" w:type="pct"/>
            <w:vAlign w:val="center"/>
            <w:hideMark/>
          </w:tcPr>
          <w:p w14:paraId="7C92BC5F" w14:textId="77777777" w:rsidR="00000000" w:rsidRDefault="00405D16">
            <w:pPr>
              <w:spacing w:after="100"/>
              <w:rPr>
                <w:rFonts w:eastAsia="Times New Roman"/>
                <w:sz w:val="20"/>
                <w:szCs w:val="20"/>
              </w:rPr>
            </w:pPr>
          </w:p>
        </w:tc>
        <w:tc>
          <w:tcPr>
            <w:tcW w:w="5" w:type="pct"/>
            <w:vAlign w:val="center"/>
            <w:hideMark/>
          </w:tcPr>
          <w:p w14:paraId="24517EE7" w14:textId="77777777" w:rsidR="00000000" w:rsidRDefault="00405D16">
            <w:pPr>
              <w:spacing w:after="100"/>
              <w:rPr>
                <w:rFonts w:eastAsia="Times New Roman"/>
                <w:sz w:val="20"/>
                <w:szCs w:val="20"/>
              </w:rPr>
            </w:pPr>
          </w:p>
        </w:tc>
        <w:tc>
          <w:tcPr>
            <w:tcW w:w="26" w:type="pct"/>
            <w:vAlign w:val="center"/>
            <w:hideMark/>
          </w:tcPr>
          <w:p w14:paraId="657E1718" w14:textId="77777777" w:rsidR="00000000" w:rsidRDefault="00405D16">
            <w:pPr>
              <w:spacing w:after="100"/>
              <w:rPr>
                <w:rFonts w:eastAsia="Times New Roman"/>
                <w:sz w:val="20"/>
                <w:szCs w:val="20"/>
              </w:rPr>
            </w:pPr>
          </w:p>
        </w:tc>
        <w:tc>
          <w:tcPr>
            <w:tcW w:w="5" w:type="pct"/>
            <w:vAlign w:val="center"/>
            <w:hideMark/>
          </w:tcPr>
          <w:p w14:paraId="3148CFE2" w14:textId="77777777" w:rsidR="00000000" w:rsidRDefault="00405D16">
            <w:pPr>
              <w:spacing w:after="100"/>
              <w:rPr>
                <w:rFonts w:eastAsia="Times New Roman"/>
                <w:sz w:val="20"/>
                <w:szCs w:val="20"/>
              </w:rPr>
            </w:pPr>
          </w:p>
        </w:tc>
        <w:tc>
          <w:tcPr>
            <w:tcW w:w="50" w:type="pct"/>
            <w:vAlign w:val="center"/>
            <w:hideMark/>
          </w:tcPr>
          <w:p w14:paraId="515BD49C" w14:textId="77777777" w:rsidR="00000000" w:rsidRDefault="00405D16">
            <w:pPr>
              <w:spacing w:after="100"/>
              <w:rPr>
                <w:rFonts w:eastAsia="Times New Roman"/>
                <w:sz w:val="20"/>
                <w:szCs w:val="20"/>
              </w:rPr>
            </w:pPr>
          </w:p>
        </w:tc>
        <w:tc>
          <w:tcPr>
            <w:tcW w:w="332" w:type="pct"/>
            <w:vAlign w:val="center"/>
            <w:hideMark/>
          </w:tcPr>
          <w:p w14:paraId="4AF857C3" w14:textId="77777777" w:rsidR="00000000" w:rsidRDefault="00405D16">
            <w:pPr>
              <w:spacing w:after="100"/>
              <w:rPr>
                <w:rFonts w:eastAsia="Times New Roman"/>
                <w:sz w:val="20"/>
                <w:szCs w:val="20"/>
              </w:rPr>
            </w:pPr>
          </w:p>
        </w:tc>
        <w:tc>
          <w:tcPr>
            <w:tcW w:w="5" w:type="pct"/>
            <w:vAlign w:val="center"/>
            <w:hideMark/>
          </w:tcPr>
          <w:p w14:paraId="344BADAE" w14:textId="77777777" w:rsidR="00000000" w:rsidRDefault="00405D16">
            <w:pPr>
              <w:spacing w:after="100"/>
              <w:rPr>
                <w:rFonts w:eastAsia="Times New Roman"/>
                <w:sz w:val="20"/>
                <w:szCs w:val="20"/>
              </w:rPr>
            </w:pPr>
          </w:p>
        </w:tc>
        <w:tc>
          <w:tcPr>
            <w:tcW w:w="5" w:type="pct"/>
            <w:vAlign w:val="center"/>
            <w:hideMark/>
          </w:tcPr>
          <w:p w14:paraId="5652BDE2" w14:textId="77777777" w:rsidR="00000000" w:rsidRDefault="00405D16">
            <w:pPr>
              <w:spacing w:after="100"/>
              <w:rPr>
                <w:rFonts w:eastAsia="Times New Roman"/>
                <w:sz w:val="20"/>
                <w:szCs w:val="20"/>
              </w:rPr>
            </w:pPr>
          </w:p>
        </w:tc>
        <w:tc>
          <w:tcPr>
            <w:tcW w:w="26" w:type="pct"/>
            <w:vAlign w:val="center"/>
            <w:hideMark/>
          </w:tcPr>
          <w:p w14:paraId="3F4B607E" w14:textId="77777777" w:rsidR="00000000" w:rsidRDefault="00405D16">
            <w:pPr>
              <w:spacing w:after="100"/>
              <w:rPr>
                <w:rFonts w:eastAsia="Times New Roman"/>
                <w:sz w:val="20"/>
                <w:szCs w:val="20"/>
              </w:rPr>
            </w:pPr>
          </w:p>
        </w:tc>
        <w:tc>
          <w:tcPr>
            <w:tcW w:w="5" w:type="pct"/>
            <w:vAlign w:val="center"/>
            <w:hideMark/>
          </w:tcPr>
          <w:p w14:paraId="49C19000" w14:textId="77777777" w:rsidR="00000000" w:rsidRDefault="00405D16">
            <w:pPr>
              <w:spacing w:after="100"/>
              <w:rPr>
                <w:rFonts w:eastAsia="Times New Roman"/>
                <w:sz w:val="20"/>
                <w:szCs w:val="20"/>
              </w:rPr>
            </w:pPr>
          </w:p>
        </w:tc>
        <w:tc>
          <w:tcPr>
            <w:tcW w:w="50" w:type="pct"/>
            <w:vAlign w:val="center"/>
            <w:hideMark/>
          </w:tcPr>
          <w:p w14:paraId="21BE1BC1" w14:textId="77777777" w:rsidR="00000000" w:rsidRDefault="00405D16">
            <w:pPr>
              <w:spacing w:after="100"/>
              <w:rPr>
                <w:rFonts w:eastAsia="Times New Roman"/>
                <w:sz w:val="20"/>
                <w:szCs w:val="20"/>
              </w:rPr>
            </w:pPr>
          </w:p>
        </w:tc>
        <w:tc>
          <w:tcPr>
            <w:tcW w:w="339" w:type="pct"/>
            <w:vAlign w:val="center"/>
            <w:hideMark/>
          </w:tcPr>
          <w:p w14:paraId="153B8718" w14:textId="77777777" w:rsidR="00000000" w:rsidRDefault="00405D16">
            <w:pPr>
              <w:spacing w:after="100"/>
              <w:rPr>
                <w:rFonts w:eastAsia="Times New Roman"/>
                <w:sz w:val="20"/>
                <w:szCs w:val="20"/>
              </w:rPr>
            </w:pPr>
          </w:p>
        </w:tc>
        <w:tc>
          <w:tcPr>
            <w:tcW w:w="5" w:type="pct"/>
            <w:vAlign w:val="center"/>
            <w:hideMark/>
          </w:tcPr>
          <w:p w14:paraId="27BA5E3D" w14:textId="77777777" w:rsidR="00000000" w:rsidRDefault="00405D16">
            <w:pPr>
              <w:spacing w:after="100"/>
              <w:rPr>
                <w:rFonts w:eastAsia="Times New Roman"/>
                <w:sz w:val="20"/>
                <w:szCs w:val="20"/>
              </w:rPr>
            </w:pPr>
          </w:p>
        </w:tc>
        <w:tc>
          <w:tcPr>
            <w:tcW w:w="5" w:type="pct"/>
            <w:vAlign w:val="center"/>
            <w:hideMark/>
          </w:tcPr>
          <w:p w14:paraId="33BE1EAE" w14:textId="77777777" w:rsidR="00000000" w:rsidRDefault="00405D16">
            <w:pPr>
              <w:spacing w:after="100"/>
              <w:rPr>
                <w:rFonts w:eastAsia="Times New Roman"/>
                <w:sz w:val="20"/>
                <w:szCs w:val="20"/>
              </w:rPr>
            </w:pPr>
          </w:p>
        </w:tc>
        <w:tc>
          <w:tcPr>
            <w:tcW w:w="26" w:type="pct"/>
            <w:vAlign w:val="center"/>
            <w:hideMark/>
          </w:tcPr>
          <w:p w14:paraId="1FABCEDB" w14:textId="77777777" w:rsidR="00000000" w:rsidRDefault="00405D16">
            <w:pPr>
              <w:spacing w:after="100"/>
              <w:rPr>
                <w:rFonts w:eastAsia="Times New Roman"/>
                <w:sz w:val="20"/>
                <w:szCs w:val="20"/>
              </w:rPr>
            </w:pPr>
          </w:p>
        </w:tc>
        <w:tc>
          <w:tcPr>
            <w:tcW w:w="5" w:type="pct"/>
            <w:vAlign w:val="center"/>
            <w:hideMark/>
          </w:tcPr>
          <w:p w14:paraId="1D2B72A4" w14:textId="77777777" w:rsidR="00000000" w:rsidRDefault="00405D16">
            <w:pPr>
              <w:spacing w:after="100"/>
              <w:rPr>
                <w:rFonts w:eastAsia="Times New Roman"/>
                <w:sz w:val="20"/>
                <w:szCs w:val="20"/>
              </w:rPr>
            </w:pPr>
          </w:p>
        </w:tc>
        <w:tc>
          <w:tcPr>
            <w:tcW w:w="50" w:type="pct"/>
            <w:vAlign w:val="center"/>
            <w:hideMark/>
          </w:tcPr>
          <w:p w14:paraId="26D9B135" w14:textId="77777777" w:rsidR="00000000" w:rsidRDefault="00405D16">
            <w:pPr>
              <w:spacing w:after="100"/>
              <w:rPr>
                <w:rFonts w:eastAsia="Times New Roman"/>
                <w:sz w:val="20"/>
                <w:szCs w:val="20"/>
              </w:rPr>
            </w:pPr>
          </w:p>
        </w:tc>
        <w:tc>
          <w:tcPr>
            <w:tcW w:w="303" w:type="pct"/>
            <w:vAlign w:val="center"/>
            <w:hideMark/>
          </w:tcPr>
          <w:p w14:paraId="086FF781" w14:textId="77777777" w:rsidR="00000000" w:rsidRDefault="00405D16">
            <w:pPr>
              <w:spacing w:after="100"/>
              <w:rPr>
                <w:rFonts w:eastAsia="Times New Roman"/>
                <w:sz w:val="20"/>
                <w:szCs w:val="20"/>
              </w:rPr>
            </w:pPr>
          </w:p>
        </w:tc>
        <w:tc>
          <w:tcPr>
            <w:tcW w:w="5" w:type="pct"/>
            <w:vAlign w:val="center"/>
            <w:hideMark/>
          </w:tcPr>
          <w:p w14:paraId="4A76BAA6" w14:textId="77777777" w:rsidR="00000000" w:rsidRDefault="00405D16">
            <w:pPr>
              <w:spacing w:after="100"/>
              <w:rPr>
                <w:rFonts w:eastAsia="Times New Roman"/>
                <w:sz w:val="20"/>
                <w:szCs w:val="20"/>
              </w:rPr>
            </w:pPr>
          </w:p>
        </w:tc>
        <w:tc>
          <w:tcPr>
            <w:tcW w:w="5" w:type="pct"/>
            <w:vAlign w:val="center"/>
            <w:hideMark/>
          </w:tcPr>
          <w:p w14:paraId="47E34147" w14:textId="77777777" w:rsidR="00000000" w:rsidRDefault="00405D16">
            <w:pPr>
              <w:spacing w:after="100"/>
              <w:rPr>
                <w:rFonts w:eastAsia="Times New Roman"/>
                <w:sz w:val="20"/>
                <w:szCs w:val="20"/>
              </w:rPr>
            </w:pPr>
          </w:p>
        </w:tc>
        <w:tc>
          <w:tcPr>
            <w:tcW w:w="26" w:type="pct"/>
            <w:vAlign w:val="center"/>
            <w:hideMark/>
          </w:tcPr>
          <w:p w14:paraId="744C2BDD" w14:textId="77777777" w:rsidR="00000000" w:rsidRDefault="00405D16">
            <w:pPr>
              <w:spacing w:after="100"/>
              <w:rPr>
                <w:rFonts w:eastAsia="Times New Roman"/>
                <w:sz w:val="20"/>
                <w:szCs w:val="20"/>
              </w:rPr>
            </w:pPr>
          </w:p>
        </w:tc>
        <w:tc>
          <w:tcPr>
            <w:tcW w:w="5" w:type="pct"/>
            <w:vAlign w:val="center"/>
            <w:hideMark/>
          </w:tcPr>
          <w:p w14:paraId="293BACC8" w14:textId="77777777" w:rsidR="00000000" w:rsidRDefault="00405D16">
            <w:pPr>
              <w:spacing w:after="100"/>
              <w:rPr>
                <w:rFonts w:eastAsia="Times New Roman"/>
                <w:sz w:val="20"/>
                <w:szCs w:val="20"/>
              </w:rPr>
            </w:pPr>
          </w:p>
        </w:tc>
        <w:tc>
          <w:tcPr>
            <w:tcW w:w="50" w:type="pct"/>
            <w:vAlign w:val="center"/>
            <w:hideMark/>
          </w:tcPr>
          <w:p w14:paraId="716032EB" w14:textId="77777777" w:rsidR="00000000" w:rsidRDefault="00405D16">
            <w:pPr>
              <w:spacing w:after="100"/>
              <w:rPr>
                <w:rFonts w:eastAsia="Times New Roman"/>
                <w:sz w:val="20"/>
                <w:szCs w:val="20"/>
              </w:rPr>
            </w:pPr>
          </w:p>
        </w:tc>
        <w:tc>
          <w:tcPr>
            <w:tcW w:w="303" w:type="pct"/>
            <w:vAlign w:val="center"/>
            <w:hideMark/>
          </w:tcPr>
          <w:p w14:paraId="128E5F67" w14:textId="77777777" w:rsidR="00000000" w:rsidRDefault="00405D16">
            <w:pPr>
              <w:spacing w:after="100"/>
              <w:rPr>
                <w:rFonts w:eastAsia="Times New Roman"/>
                <w:sz w:val="20"/>
                <w:szCs w:val="20"/>
              </w:rPr>
            </w:pPr>
          </w:p>
        </w:tc>
        <w:tc>
          <w:tcPr>
            <w:tcW w:w="5" w:type="pct"/>
            <w:vAlign w:val="center"/>
            <w:hideMark/>
          </w:tcPr>
          <w:p w14:paraId="7AEEB9F9" w14:textId="77777777" w:rsidR="00000000" w:rsidRDefault="00405D16">
            <w:pPr>
              <w:spacing w:after="100"/>
              <w:rPr>
                <w:rFonts w:eastAsia="Times New Roman"/>
                <w:sz w:val="20"/>
                <w:szCs w:val="20"/>
              </w:rPr>
            </w:pPr>
          </w:p>
        </w:tc>
        <w:tc>
          <w:tcPr>
            <w:tcW w:w="5" w:type="pct"/>
            <w:vAlign w:val="center"/>
            <w:hideMark/>
          </w:tcPr>
          <w:p w14:paraId="33617134" w14:textId="77777777" w:rsidR="00000000" w:rsidRDefault="00405D16">
            <w:pPr>
              <w:spacing w:after="100"/>
              <w:rPr>
                <w:rFonts w:eastAsia="Times New Roman"/>
                <w:sz w:val="20"/>
                <w:szCs w:val="20"/>
              </w:rPr>
            </w:pPr>
          </w:p>
        </w:tc>
        <w:tc>
          <w:tcPr>
            <w:tcW w:w="26" w:type="pct"/>
            <w:vAlign w:val="center"/>
            <w:hideMark/>
          </w:tcPr>
          <w:p w14:paraId="3C40B986" w14:textId="77777777" w:rsidR="00000000" w:rsidRDefault="00405D16">
            <w:pPr>
              <w:spacing w:after="100"/>
              <w:rPr>
                <w:rFonts w:eastAsia="Times New Roman"/>
                <w:sz w:val="20"/>
                <w:szCs w:val="20"/>
              </w:rPr>
            </w:pPr>
          </w:p>
        </w:tc>
        <w:tc>
          <w:tcPr>
            <w:tcW w:w="5" w:type="pct"/>
            <w:vAlign w:val="center"/>
            <w:hideMark/>
          </w:tcPr>
          <w:p w14:paraId="1A1A1728" w14:textId="77777777" w:rsidR="00000000" w:rsidRDefault="00405D16">
            <w:pPr>
              <w:spacing w:after="100"/>
              <w:rPr>
                <w:rFonts w:eastAsia="Times New Roman"/>
                <w:sz w:val="20"/>
                <w:szCs w:val="20"/>
              </w:rPr>
            </w:pPr>
          </w:p>
        </w:tc>
        <w:tc>
          <w:tcPr>
            <w:tcW w:w="50" w:type="pct"/>
            <w:vAlign w:val="center"/>
            <w:hideMark/>
          </w:tcPr>
          <w:p w14:paraId="75F72C53" w14:textId="77777777" w:rsidR="00000000" w:rsidRDefault="00405D16">
            <w:pPr>
              <w:spacing w:after="100"/>
              <w:rPr>
                <w:rFonts w:eastAsia="Times New Roman"/>
                <w:sz w:val="20"/>
                <w:szCs w:val="20"/>
              </w:rPr>
            </w:pPr>
          </w:p>
        </w:tc>
        <w:tc>
          <w:tcPr>
            <w:tcW w:w="303" w:type="pct"/>
            <w:vAlign w:val="center"/>
            <w:hideMark/>
          </w:tcPr>
          <w:p w14:paraId="266C6158" w14:textId="77777777" w:rsidR="00000000" w:rsidRDefault="00405D16">
            <w:pPr>
              <w:spacing w:after="100"/>
              <w:rPr>
                <w:rFonts w:eastAsia="Times New Roman"/>
                <w:sz w:val="20"/>
                <w:szCs w:val="20"/>
              </w:rPr>
            </w:pPr>
          </w:p>
        </w:tc>
        <w:tc>
          <w:tcPr>
            <w:tcW w:w="5" w:type="pct"/>
            <w:vAlign w:val="center"/>
            <w:hideMark/>
          </w:tcPr>
          <w:p w14:paraId="26DF23BE" w14:textId="77777777" w:rsidR="00000000" w:rsidRDefault="00405D16">
            <w:pPr>
              <w:spacing w:after="100"/>
              <w:rPr>
                <w:rFonts w:eastAsia="Times New Roman"/>
                <w:sz w:val="20"/>
                <w:szCs w:val="20"/>
              </w:rPr>
            </w:pPr>
          </w:p>
        </w:tc>
      </w:tr>
      <w:tr w:rsidR="00000000" w14:paraId="26D0366E" w14:textId="77777777">
        <w:tc>
          <w:tcPr>
            <w:tcW w:w="0" w:type="auto"/>
            <w:gridSpan w:val="3"/>
            <w:tcMar>
              <w:top w:w="30" w:type="dxa"/>
              <w:left w:w="20" w:type="dxa"/>
              <w:bottom w:w="30" w:type="dxa"/>
              <w:right w:w="20" w:type="dxa"/>
            </w:tcMar>
            <w:vAlign w:val="bottom"/>
            <w:hideMark/>
          </w:tcPr>
          <w:p w14:paraId="79216391" w14:textId="77777777" w:rsidR="00000000" w:rsidRDefault="00405D16">
            <w:pPr>
              <w:spacing w:after="100"/>
              <w:rPr>
                <w:rFonts w:eastAsia="Times New Roman"/>
              </w:rPr>
            </w:pPr>
            <w:r>
              <w:rPr>
                <w:rFonts w:eastAsia="Times New Roman"/>
                <w:color w:val="000000"/>
                <w:sz w:val="14"/>
                <w:szCs w:val="14"/>
              </w:rPr>
              <w:t> </w:t>
            </w:r>
          </w:p>
        </w:tc>
        <w:tc>
          <w:tcPr>
            <w:tcW w:w="0" w:type="auto"/>
            <w:gridSpan w:val="3"/>
            <w:tcMar>
              <w:top w:w="0" w:type="dxa"/>
              <w:left w:w="20" w:type="dxa"/>
              <w:bottom w:w="0" w:type="dxa"/>
              <w:right w:w="20" w:type="dxa"/>
            </w:tcMar>
            <w:vAlign w:val="center"/>
            <w:hideMark/>
          </w:tcPr>
          <w:p w14:paraId="10F5B6C0" w14:textId="77777777" w:rsidR="00000000" w:rsidRDefault="00405D16">
            <w:pPr>
              <w:spacing w:after="100"/>
              <w:rPr>
                <w:rFonts w:eastAsia="Times New Roman"/>
              </w:rPr>
            </w:pPr>
          </w:p>
        </w:tc>
        <w:tc>
          <w:tcPr>
            <w:tcW w:w="0" w:type="auto"/>
            <w:gridSpan w:val="27"/>
            <w:tcBorders>
              <w:bottom w:val="single" w:sz="8" w:space="0" w:color="000000"/>
            </w:tcBorders>
            <w:tcMar>
              <w:top w:w="30" w:type="dxa"/>
              <w:left w:w="20" w:type="dxa"/>
              <w:bottom w:w="30" w:type="dxa"/>
              <w:right w:w="20" w:type="dxa"/>
            </w:tcMar>
            <w:vAlign w:val="bottom"/>
            <w:hideMark/>
          </w:tcPr>
          <w:p w14:paraId="3D70AE01" w14:textId="77777777" w:rsidR="00000000" w:rsidRDefault="00405D16">
            <w:pPr>
              <w:spacing w:after="100"/>
              <w:jc w:val="center"/>
              <w:rPr>
                <w:rFonts w:eastAsia="Times New Roman"/>
              </w:rPr>
            </w:pPr>
            <w:r>
              <w:rPr>
                <w:rFonts w:eastAsia="Times New Roman"/>
                <w:b/>
                <w:bCs/>
                <w:color w:val="000000"/>
                <w:sz w:val="16"/>
                <w:szCs w:val="16"/>
              </w:rPr>
              <w:t>December 31, 2020</w:t>
            </w:r>
          </w:p>
        </w:tc>
      </w:tr>
      <w:tr w:rsidR="00000000" w14:paraId="71E36C85" w14:textId="77777777">
        <w:trPr>
          <w:trHeight w:val="360"/>
        </w:trPr>
        <w:tc>
          <w:tcPr>
            <w:tcW w:w="0" w:type="auto"/>
            <w:gridSpan w:val="3"/>
            <w:tcMar>
              <w:top w:w="0" w:type="dxa"/>
              <w:left w:w="20" w:type="dxa"/>
              <w:bottom w:w="0" w:type="dxa"/>
              <w:right w:w="20" w:type="dxa"/>
            </w:tcMar>
            <w:vAlign w:val="center"/>
            <w:hideMark/>
          </w:tcPr>
          <w:p w14:paraId="1CC4DA2D" w14:textId="77777777" w:rsidR="00000000" w:rsidRDefault="00405D1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6F2BD60" w14:textId="77777777" w:rsidR="00000000" w:rsidRDefault="00405D16">
            <w:pPr>
              <w:spacing w:after="100"/>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6957DB39" w14:textId="77777777" w:rsidR="00000000" w:rsidRDefault="00405D16">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Value</w:t>
            </w:r>
          </w:p>
        </w:tc>
        <w:tc>
          <w:tcPr>
            <w:tcW w:w="0" w:type="auto"/>
            <w:gridSpan w:val="3"/>
            <w:tcBorders>
              <w:top w:val="single" w:sz="8" w:space="0" w:color="000000"/>
            </w:tcBorders>
            <w:tcMar>
              <w:top w:w="0" w:type="dxa"/>
              <w:left w:w="20" w:type="dxa"/>
              <w:bottom w:w="0" w:type="dxa"/>
              <w:right w:w="20" w:type="dxa"/>
            </w:tcMar>
            <w:vAlign w:val="center"/>
            <w:hideMark/>
          </w:tcPr>
          <w:p w14:paraId="6A820141" w14:textId="77777777" w:rsidR="00000000" w:rsidRDefault="00405D16">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18771BDE" w14:textId="77777777" w:rsidR="00000000" w:rsidRDefault="00405D16">
            <w:pPr>
              <w:spacing w:after="100"/>
              <w:jc w:val="center"/>
              <w:rPr>
                <w:rFonts w:eastAsia="Times New Roman"/>
              </w:rPr>
            </w:pPr>
            <w:r>
              <w:rPr>
                <w:rFonts w:eastAsia="Times New Roman"/>
                <w:b/>
                <w:bCs/>
                <w:color w:val="000000"/>
                <w:sz w:val="16"/>
                <w:szCs w:val="16"/>
              </w:rPr>
              <w:t>Estimated</w:t>
            </w:r>
            <w:r>
              <w:rPr>
                <w:rFonts w:eastAsia="Times New Roman"/>
                <w:b/>
                <w:bCs/>
                <w:color w:val="000000"/>
                <w:sz w:val="16"/>
                <w:szCs w:val="16"/>
              </w:rPr>
              <w:br/>
              <w:t>Fair Value</w:t>
            </w:r>
          </w:p>
        </w:tc>
        <w:tc>
          <w:tcPr>
            <w:tcW w:w="0" w:type="auto"/>
            <w:gridSpan w:val="3"/>
            <w:tcBorders>
              <w:top w:val="single" w:sz="8" w:space="0" w:color="000000"/>
            </w:tcBorders>
            <w:tcMar>
              <w:top w:w="0" w:type="dxa"/>
              <w:left w:w="20" w:type="dxa"/>
              <w:bottom w:w="0" w:type="dxa"/>
              <w:right w:w="20" w:type="dxa"/>
            </w:tcMar>
            <w:vAlign w:val="center"/>
            <w:hideMark/>
          </w:tcPr>
          <w:p w14:paraId="2C74D3CA" w14:textId="77777777" w:rsidR="00000000" w:rsidRDefault="00405D16">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18EDB272" w14:textId="77777777" w:rsidR="00000000" w:rsidRDefault="00405D16">
            <w:pPr>
              <w:spacing w:after="100"/>
              <w:jc w:val="center"/>
              <w:rPr>
                <w:rFonts w:eastAsia="Times New Roman"/>
              </w:rPr>
            </w:pPr>
            <w:r>
              <w:rPr>
                <w:rFonts w:eastAsia="Times New Roman"/>
                <w:b/>
                <w:bCs/>
                <w:color w:val="000000"/>
                <w:sz w:val="16"/>
                <w:szCs w:val="16"/>
              </w:rPr>
              <w:t>Estimated Fair Value Hierarchy</w:t>
            </w:r>
          </w:p>
        </w:tc>
      </w:tr>
      <w:tr w:rsidR="00000000" w14:paraId="2A5D489D" w14:textId="77777777">
        <w:trPr>
          <w:trHeight w:val="240"/>
        </w:trPr>
        <w:tc>
          <w:tcPr>
            <w:tcW w:w="0" w:type="auto"/>
            <w:gridSpan w:val="3"/>
            <w:tcMar>
              <w:top w:w="30" w:type="dxa"/>
              <w:left w:w="20" w:type="dxa"/>
              <w:bottom w:w="30" w:type="dxa"/>
              <w:right w:w="20" w:type="dxa"/>
            </w:tcMar>
            <w:vAlign w:val="bottom"/>
            <w:hideMark/>
          </w:tcPr>
          <w:p w14:paraId="3CC7117E"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3BF6ED42" w14:textId="77777777" w:rsidR="00000000" w:rsidRDefault="00405D16">
            <w:pPr>
              <w:spacing w:after="100"/>
              <w:rPr>
                <w:rFonts w:eastAsia="Times New Roman"/>
              </w:rPr>
            </w:pPr>
          </w:p>
        </w:tc>
        <w:tc>
          <w:tcPr>
            <w:tcW w:w="0" w:type="auto"/>
            <w:gridSpan w:val="3"/>
            <w:vMerge/>
            <w:tcBorders>
              <w:top w:val="single" w:sz="8" w:space="0" w:color="000000"/>
            </w:tcBorders>
            <w:vAlign w:val="center"/>
            <w:hideMark/>
          </w:tcPr>
          <w:p w14:paraId="0AF8D8B1" w14:textId="77777777" w:rsidR="00000000" w:rsidRDefault="00405D16">
            <w:pPr>
              <w:spacing w:after="100"/>
              <w:rPr>
                <w:rFonts w:eastAsia="Times New Roman"/>
              </w:rPr>
            </w:pPr>
          </w:p>
        </w:tc>
        <w:tc>
          <w:tcPr>
            <w:tcW w:w="0" w:type="auto"/>
            <w:gridSpan w:val="3"/>
            <w:tcMar>
              <w:top w:w="0" w:type="dxa"/>
              <w:left w:w="20" w:type="dxa"/>
              <w:bottom w:w="0" w:type="dxa"/>
              <w:right w:w="20" w:type="dxa"/>
            </w:tcMar>
            <w:vAlign w:val="center"/>
            <w:hideMark/>
          </w:tcPr>
          <w:p w14:paraId="079DBE5E" w14:textId="77777777" w:rsidR="00000000" w:rsidRDefault="00405D16">
            <w:pPr>
              <w:spacing w:after="100"/>
              <w:rPr>
                <w:rFonts w:eastAsia="Times New Roman"/>
                <w:sz w:val="20"/>
                <w:szCs w:val="20"/>
              </w:rPr>
            </w:pPr>
          </w:p>
        </w:tc>
        <w:tc>
          <w:tcPr>
            <w:tcW w:w="0" w:type="auto"/>
            <w:gridSpan w:val="3"/>
            <w:vMerge/>
            <w:tcBorders>
              <w:top w:val="single" w:sz="8" w:space="0" w:color="000000"/>
            </w:tcBorders>
            <w:vAlign w:val="center"/>
            <w:hideMark/>
          </w:tcPr>
          <w:p w14:paraId="499CDB3D" w14:textId="77777777" w:rsidR="00000000" w:rsidRDefault="00405D16">
            <w:pPr>
              <w:spacing w:after="100"/>
              <w:rPr>
                <w:rFonts w:eastAsia="Times New Roman"/>
              </w:rPr>
            </w:pPr>
          </w:p>
        </w:tc>
        <w:tc>
          <w:tcPr>
            <w:tcW w:w="0" w:type="auto"/>
            <w:gridSpan w:val="3"/>
            <w:tcMar>
              <w:top w:w="0" w:type="dxa"/>
              <w:left w:w="20" w:type="dxa"/>
              <w:bottom w:w="0" w:type="dxa"/>
              <w:right w:w="20" w:type="dxa"/>
            </w:tcMar>
            <w:vAlign w:val="center"/>
            <w:hideMark/>
          </w:tcPr>
          <w:p w14:paraId="21938AC1"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43ECE8D" w14:textId="77777777" w:rsidR="00000000" w:rsidRDefault="00405D16">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14:paraId="6886D927"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8459685" w14:textId="77777777" w:rsidR="00000000" w:rsidRDefault="00405D16">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14:paraId="40AC2EA1"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885A6D0" w14:textId="77777777" w:rsidR="00000000" w:rsidRDefault="00405D16">
            <w:pPr>
              <w:spacing w:after="100"/>
              <w:jc w:val="center"/>
              <w:rPr>
                <w:rFonts w:eastAsia="Times New Roman"/>
              </w:rPr>
            </w:pPr>
            <w:r>
              <w:rPr>
                <w:rFonts w:eastAsia="Times New Roman"/>
                <w:b/>
                <w:bCs/>
                <w:color w:val="000000"/>
                <w:sz w:val="16"/>
                <w:szCs w:val="16"/>
              </w:rPr>
              <w:t>Level 3</w:t>
            </w:r>
          </w:p>
        </w:tc>
      </w:tr>
      <w:tr w:rsidR="00000000" w14:paraId="2FC7F2C3" w14:textId="7777777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57B77AB6" w14:textId="77777777" w:rsidR="00000000" w:rsidRDefault="00405D16">
            <w:pPr>
              <w:spacing w:after="100"/>
              <w:rPr>
                <w:rFonts w:eastAsia="Times New Roman"/>
              </w:rPr>
            </w:pPr>
            <w:r>
              <w:rPr>
                <w:rFonts w:eastAsia="Times New Roman"/>
                <w:b/>
                <w:bCs/>
                <w:color w:val="000000"/>
                <w:sz w:val="18"/>
                <w:szCs w:val="18"/>
              </w:rPr>
              <w:t>Financial assets:</w:t>
            </w:r>
          </w:p>
        </w:tc>
        <w:tc>
          <w:tcPr>
            <w:tcW w:w="0" w:type="auto"/>
            <w:gridSpan w:val="3"/>
            <w:shd w:val="clear" w:color="auto" w:fill="CCEEFF"/>
            <w:tcMar>
              <w:top w:w="0" w:type="dxa"/>
              <w:left w:w="20" w:type="dxa"/>
              <w:bottom w:w="0" w:type="dxa"/>
              <w:right w:w="20" w:type="dxa"/>
            </w:tcMar>
            <w:vAlign w:val="center"/>
            <w:hideMark/>
          </w:tcPr>
          <w:p w14:paraId="34EB837E"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A20376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FAB1A7"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C7E2CD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8AC710"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A0388E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A8DD51"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D3F3183"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5B3432"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1EE588E" w14:textId="77777777" w:rsidR="00000000" w:rsidRDefault="00405D16">
            <w:pPr>
              <w:spacing w:after="100"/>
              <w:rPr>
                <w:rFonts w:eastAsia="Times New Roman"/>
                <w:sz w:val="20"/>
                <w:szCs w:val="20"/>
              </w:rPr>
            </w:pPr>
          </w:p>
        </w:tc>
      </w:tr>
      <w:tr w:rsidR="00000000" w14:paraId="7987A44C" w14:textId="77777777">
        <w:tc>
          <w:tcPr>
            <w:tcW w:w="0" w:type="auto"/>
            <w:gridSpan w:val="3"/>
            <w:shd w:val="clear" w:color="auto" w:fill="FFFFFF"/>
            <w:tcMar>
              <w:top w:w="30" w:type="dxa"/>
              <w:left w:w="245" w:type="dxa"/>
              <w:bottom w:w="30" w:type="dxa"/>
              <w:right w:w="20" w:type="dxa"/>
            </w:tcMar>
            <w:vAlign w:val="center"/>
            <w:hideMark/>
          </w:tcPr>
          <w:p w14:paraId="24B8FF02" w14:textId="77777777" w:rsidR="00000000" w:rsidRDefault="00405D16">
            <w:pPr>
              <w:spacing w:after="100"/>
              <w:rPr>
                <w:rFonts w:eastAsia="Times New Roman"/>
              </w:rPr>
            </w:pPr>
            <w:r>
              <w:rPr>
                <w:rFonts w:eastAsia="Times New Roman"/>
                <w:color w:val="000000"/>
                <w:sz w:val="18"/>
                <w:szCs w:val="18"/>
              </w:rPr>
              <w:t>Cash and cash equivalents</w:t>
            </w:r>
          </w:p>
        </w:tc>
        <w:tc>
          <w:tcPr>
            <w:tcW w:w="0" w:type="auto"/>
            <w:gridSpan w:val="3"/>
            <w:shd w:val="clear" w:color="auto" w:fill="FFFFFF"/>
            <w:tcMar>
              <w:top w:w="0" w:type="dxa"/>
              <w:left w:w="20" w:type="dxa"/>
              <w:bottom w:w="0" w:type="dxa"/>
              <w:right w:w="20" w:type="dxa"/>
            </w:tcMar>
            <w:vAlign w:val="center"/>
            <w:hideMark/>
          </w:tcPr>
          <w:p w14:paraId="681BA3E0"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076AB267"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234ACDB8" w14:textId="77777777" w:rsidR="00000000" w:rsidRDefault="00405D16">
            <w:pPr>
              <w:spacing w:after="100"/>
              <w:jc w:val="right"/>
              <w:rPr>
                <w:rFonts w:eastAsia="Times New Roman"/>
              </w:rPr>
            </w:pPr>
            <w:r>
              <w:rPr>
                <w:rFonts w:eastAsia="Times New Roman"/>
                <w:color w:val="000000"/>
                <w:sz w:val="18"/>
                <w:szCs w:val="18"/>
              </w:rPr>
              <w:t>40,509 </w:t>
            </w:r>
          </w:p>
        </w:tc>
        <w:tc>
          <w:tcPr>
            <w:tcW w:w="0" w:type="auto"/>
            <w:shd w:val="clear" w:color="auto" w:fill="FFFFFF"/>
            <w:tcMar>
              <w:top w:w="30" w:type="dxa"/>
              <w:left w:w="0" w:type="dxa"/>
              <w:bottom w:w="30" w:type="dxa"/>
              <w:right w:w="20" w:type="dxa"/>
            </w:tcMar>
            <w:vAlign w:val="center"/>
            <w:hideMark/>
          </w:tcPr>
          <w:p w14:paraId="07C2DD7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B60A78"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7BC964E"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58DEF9B6" w14:textId="77777777" w:rsidR="00000000" w:rsidRDefault="00405D16">
            <w:pPr>
              <w:spacing w:after="100"/>
              <w:jc w:val="right"/>
              <w:rPr>
                <w:rFonts w:eastAsia="Times New Roman"/>
              </w:rPr>
            </w:pPr>
            <w:r>
              <w:rPr>
                <w:rFonts w:eastAsia="Times New Roman"/>
                <w:color w:val="000000"/>
                <w:sz w:val="18"/>
                <w:szCs w:val="18"/>
              </w:rPr>
              <w:t>40,509 </w:t>
            </w:r>
          </w:p>
        </w:tc>
        <w:tc>
          <w:tcPr>
            <w:tcW w:w="0" w:type="auto"/>
            <w:shd w:val="clear" w:color="auto" w:fill="FFFFFF"/>
            <w:tcMar>
              <w:top w:w="30" w:type="dxa"/>
              <w:left w:w="0" w:type="dxa"/>
              <w:bottom w:w="30" w:type="dxa"/>
              <w:right w:w="20" w:type="dxa"/>
            </w:tcMar>
            <w:vAlign w:val="center"/>
            <w:hideMark/>
          </w:tcPr>
          <w:p w14:paraId="7D1EB0F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785C4F"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D7A1559"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3F91B838" w14:textId="77777777" w:rsidR="00000000" w:rsidRDefault="00405D16">
            <w:pPr>
              <w:spacing w:after="100"/>
              <w:jc w:val="right"/>
              <w:rPr>
                <w:rFonts w:eastAsia="Times New Roman"/>
              </w:rPr>
            </w:pPr>
            <w:r>
              <w:rPr>
                <w:rFonts w:eastAsia="Times New Roman"/>
                <w:color w:val="000000"/>
                <w:sz w:val="18"/>
                <w:szCs w:val="18"/>
              </w:rPr>
              <w:t>4,708 </w:t>
            </w:r>
          </w:p>
        </w:tc>
        <w:tc>
          <w:tcPr>
            <w:tcW w:w="0" w:type="auto"/>
            <w:shd w:val="clear" w:color="auto" w:fill="FFFFFF"/>
            <w:tcMar>
              <w:top w:w="30" w:type="dxa"/>
              <w:left w:w="0" w:type="dxa"/>
              <w:bottom w:w="30" w:type="dxa"/>
              <w:right w:w="20" w:type="dxa"/>
            </w:tcMar>
            <w:vAlign w:val="center"/>
            <w:hideMark/>
          </w:tcPr>
          <w:p w14:paraId="545521B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FB86D4"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C705DF1"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6DD0A1BE" w14:textId="77777777" w:rsidR="00000000" w:rsidRDefault="00405D16">
            <w:pPr>
              <w:spacing w:after="100"/>
              <w:jc w:val="right"/>
              <w:rPr>
                <w:rFonts w:eastAsia="Times New Roman"/>
              </w:rPr>
            </w:pPr>
            <w:r>
              <w:rPr>
                <w:rFonts w:eastAsia="Times New Roman"/>
                <w:color w:val="000000"/>
                <w:sz w:val="18"/>
                <w:szCs w:val="18"/>
              </w:rPr>
              <w:t>35,801 </w:t>
            </w:r>
          </w:p>
        </w:tc>
        <w:tc>
          <w:tcPr>
            <w:tcW w:w="0" w:type="auto"/>
            <w:shd w:val="clear" w:color="auto" w:fill="FFFFFF"/>
            <w:tcMar>
              <w:top w:w="30" w:type="dxa"/>
              <w:left w:w="0" w:type="dxa"/>
              <w:bottom w:w="30" w:type="dxa"/>
              <w:right w:w="20" w:type="dxa"/>
            </w:tcMar>
            <w:vAlign w:val="center"/>
            <w:hideMark/>
          </w:tcPr>
          <w:p w14:paraId="77D9E2E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E2422E"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F11DA92"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3AFAD042"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431436D0" w14:textId="77777777" w:rsidR="00000000" w:rsidRDefault="00405D16">
            <w:pPr>
              <w:spacing w:after="100"/>
              <w:jc w:val="right"/>
              <w:rPr>
                <w:rFonts w:eastAsia="Times New Roman"/>
              </w:rPr>
            </w:pPr>
          </w:p>
        </w:tc>
      </w:tr>
      <w:tr w:rsidR="00000000" w14:paraId="51EB05C3" w14:textId="77777777">
        <w:tc>
          <w:tcPr>
            <w:tcW w:w="0" w:type="auto"/>
            <w:gridSpan w:val="3"/>
            <w:shd w:val="clear" w:color="auto" w:fill="CCEEFF"/>
            <w:tcMar>
              <w:top w:w="30" w:type="dxa"/>
              <w:left w:w="245" w:type="dxa"/>
              <w:bottom w:w="30" w:type="dxa"/>
              <w:right w:w="20" w:type="dxa"/>
            </w:tcMar>
            <w:vAlign w:val="center"/>
            <w:hideMark/>
          </w:tcPr>
          <w:p w14:paraId="63B6F689" w14:textId="77777777" w:rsidR="00000000" w:rsidRDefault="00405D16">
            <w:pPr>
              <w:spacing w:after="100"/>
              <w:rPr>
                <w:rFonts w:eastAsia="Times New Roman"/>
              </w:rPr>
            </w:pPr>
            <w:r>
              <w:rPr>
                <w:rFonts w:eastAsia="Times New Roman"/>
                <w:color w:val="000000"/>
                <w:sz w:val="18"/>
                <w:szCs w:val="18"/>
              </w:rPr>
              <w:t>Restricted cash for securitization investors</w:t>
            </w:r>
          </w:p>
        </w:tc>
        <w:tc>
          <w:tcPr>
            <w:tcW w:w="0" w:type="auto"/>
            <w:gridSpan w:val="3"/>
            <w:shd w:val="clear" w:color="auto" w:fill="CCEEFF"/>
            <w:tcMar>
              <w:top w:w="0" w:type="dxa"/>
              <w:left w:w="20" w:type="dxa"/>
              <w:bottom w:w="0" w:type="dxa"/>
              <w:right w:w="20" w:type="dxa"/>
            </w:tcMar>
            <w:vAlign w:val="center"/>
            <w:hideMark/>
          </w:tcPr>
          <w:p w14:paraId="7D1CDA94"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6FA66C9" w14:textId="77777777" w:rsidR="00000000" w:rsidRDefault="00405D16">
            <w:pPr>
              <w:spacing w:after="100"/>
              <w:jc w:val="right"/>
              <w:rPr>
                <w:rFonts w:eastAsia="Times New Roman"/>
              </w:rPr>
            </w:pPr>
            <w:r>
              <w:rPr>
                <w:rFonts w:eastAsia="Times New Roman"/>
                <w:color w:val="000000"/>
                <w:sz w:val="18"/>
                <w:szCs w:val="18"/>
              </w:rPr>
              <w:t>262 </w:t>
            </w:r>
          </w:p>
        </w:tc>
        <w:tc>
          <w:tcPr>
            <w:tcW w:w="0" w:type="auto"/>
            <w:shd w:val="clear" w:color="auto" w:fill="CCEEFF"/>
            <w:tcMar>
              <w:top w:w="30" w:type="dxa"/>
              <w:left w:w="0" w:type="dxa"/>
              <w:bottom w:w="30" w:type="dxa"/>
              <w:right w:w="20" w:type="dxa"/>
            </w:tcMar>
            <w:vAlign w:val="center"/>
            <w:hideMark/>
          </w:tcPr>
          <w:p w14:paraId="5F46132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59626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62031AD" w14:textId="77777777" w:rsidR="00000000" w:rsidRDefault="00405D16">
            <w:pPr>
              <w:spacing w:after="100"/>
              <w:jc w:val="right"/>
              <w:rPr>
                <w:rFonts w:eastAsia="Times New Roman"/>
              </w:rPr>
            </w:pPr>
            <w:r>
              <w:rPr>
                <w:rFonts w:eastAsia="Times New Roman"/>
                <w:color w:val="000000"/>
                <w:sz w:val="18"/>
                <w:szCs w:val="18"/>
              </w:rPr>
              <w:t>262 </w:t>
            </w:r>
          </w:p>
        </w:tc>
        <w:tc>
          <w:tcPr>
            <w:tcW w:w="0" w:type="auto"/>
            <w:shd w:val="clear" w:color="auto" w:fill="CCEEFF"/>
            <w:tcMar>
              <w:top w:w="30" w:type="dxa"/>
              <w:left w:w="0" w:type="dxa"/>
              <w:bottom w:w="30" w:type="dxa"/>
              <w:right w:w="20" w:type="dxa"/>
            </w:tcMar>
            <w:vAlign w:val="center"/>
            <w:hideMark/>
          </w:tcPr>
          <w:p w14:paraId="7C1E9F2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CC64D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544BB68" w14:textId="77777777" w:rsidR="00000000" w:rsidRDefault="00405D16">
            <w:pPr>
              <w:spacing w:after="100"/>
              <w:jc w:val="right"/>
              <w:rPr>
                <w:rFonts w:eastAsia="Times New Roman"/>
              </w:rPr>
            </w:pPr>
            <w:r>
              <w:rPr>
                <w:rFonts w:eastAsia="Times New Roman"/>
                <w:color w:val="000000"/>
                <w:sz w:val="18"/>
                <w:szCs w:val="18"/>
              </w:rPr>
              <w:t>262 </w:t>
            </w:r>
          </w:p>
        </w:tc>
        <w:tc>
          <w:tcPr>
            <w:tcW w:w="0" w:type="auto"/>
            <w:shd w:val="clear" w:color="auto" w:fill="CCEEFF"/>
            <w:tcMar>
              <w:top w:w="30" w:type="dxa"/>
              <w:left w:w="0" w:type="dxa"/>
              <w:bottom w:w="30" w:type="dxa"/>
              <w:right w:w="20" w:type="dxa"/>
            </w:tcMar>
            <w:vAlign w:val="center"/>
            <w:hideMark/>
          </w:tcPr>
          <w:p w14:paraId="18D66CE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1DD2B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42A3BD5"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3346236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CA36F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CAC3D55"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76B9D345" w14:textId="77777777" w:rsidR="00000000" w:rsidRDefault="00405D16">
            <w:pPr>
              <w:spacing w:after="100"/>
              <w:jc w:val="right"/>
              <w:rPr>
                <w:rFonts w:eastAsia="Times New Roman"/>
              </w:rPr>
            </w:pPr>
          </w:p>
        </w:tc>
      </w:tr>
      <w:tr w:rsidR="00000000" w14:paraId="371DAA80" w14:textId="77777777">
        <w:tc>
          <w:tcPr>
            <w:tcW w:w="0" w:type="auto"/>
            <w:gridSpan w:val="3"/>
            <w:shd w:val="clear" w:color="auto" w:fill="FFFFFF"/>
            <w:tcMar>
              <w:top w:w="30" w:type="dxa"/>
              <w:left w:w="245" w:type="dxa"/>
              <w:bottom w:w="30" w:type="dxa"/>
              <w:right w:w="20" w:type="dxa"/>
            </w:tcMar>
            <w:vAlign w:val="center"/>
            <w:hideMark/>
          </w:tcPr>
          <w:p w14:paraId="4048E1E2" w14:textId="77777777" w:rsidR="00000000" w:rsidRDefault="00405D16">
            <w:pPr>
              <w:spacing w:after="100"/>
              <w:rPr>
                <w:rFonts w:eastAsia="Times New Roman"/>
              </w:rPr>
            </w:pPr>
            <w:r>
              <w:rPr>
                <w:rFonts w:eastAsia="Times New Roman"/>
                <w:color w:val="000000"/>
                <w:sz w:val="18"/>
                <w:szCs w:val="18"/>
              </w:rPr>
              <w:t>Net loans held for investment</w:t>
            </w:r>
          </w:p>
        </w:tc>
        <w:tc>
          <w:tcPr>
            <w:tcW w:w="0" w:type="auto"/>
            <w:gridSpan w:val="3"/>
            <w:shd w:val="clear" w:color="auto" w:fill="FFFFFF"/>
            <w:tcMar>
              <w:top w:w="0" w:type="dxa"/>
              <w:left w:w="20" w:type="dxa"/>
              <w:bottom w:w="0" w:type="dxa"/>
              <w:right w:w="20" w:type="dxa"/>
            </w:tcMar>
            <w:vAlign w:val="center"/>
            <w:hideMark/>
          </w:tcPr>
          <w:p w14:paraId="470E5EFD"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D5ED91E" w14:textId="77777777" w:rsidR="00000000" w:rsidRDefault="00405D16">
            <w:pPr>
              <w:spacing w:after="100"/>
              <w:jc w:val="right"/>
              <w:rPr>
                <w:rFonts w:eastAsia="Times New Roman"/>
              </w:rPr>
            </w:pPr>
            <w:r>
              <w:rPr>
                <w:rFonts w:eastAsia="Times New Roman"/>
                <w:color w:val="000000"/>
                <w:sz w:val="18"/>
                <w:szCs w:val="18"/>
              </w:rPr>
              <w:t>236,060 </w:t>
            </w:r>
          </w:p>
        </w:tc>
        <w:tc>
          <w:tcPr>
            <w:tcW w:w="0" w:type="auto"/>
            <w:shd w:val="clear" w:color="auto" w:fill="FFFFFF"/>
            <w:tcMar>
              <w:top w:w="30" w:type="dxa"/>
              <w:left w:w="0" w:type="dxa"/>
              <w:bottom w:w="30" w:type="dxa"/>
              <w:right w:w="20" w:type="dxa"/>
            </w:tcMar>
            <w:vAlign w:val="center"/>
            <w:hideMark/>
          </w:tcPr>
          <w:p w14:paraId="0ABC192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1D00E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CB83F57" w14:textId="77777777" w:rsidR="00000000" w:rsidRDefault="00405D16">
            <w:pPr>
              <w:spacing w:after="100"/>
              <w:jc w:val="right"/>
              <w:rPr>
                <w:rFonts w:eastAsia="Times New Roman"/>
              </w:rPr>
            </w:pPr>
            <w:r>
              <w:rPr>
                <w:rFonts w:eastAsia="Times New Roman"/>
                <w:color w:val="000000"/>
                <w:sz w:val="18"/>
                <w:szCs w:val="18"/>
              </w:rPr>
              <w:t>244,701 </w:t>
            </w:r>
          </w:p>
        </w:tc>
        <w:tc>
          <w:tcPr>
            <w:tcW w:w="0" w:type="auto"/>
            <w:shd w:val="clear" w:color="auto" w:fill="FFFFFF"/>
            <w:tcMar>
              <w:top w:w="30" w:type="dxa"/>
              <w:left w:w="0" w:type="dxa"/>
              <w:bottom w:w="30" w:type="dxa"/>
              <w:right w:w="20" w:type="dxa"/>
            </w:tcMar>
            <w:vAlign w:val="center"/>
            <w:hideMark/>
          </w:tcPr>
          <w:p w14:paraId="1362A0A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BB164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9520D7D"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4BDC45A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682DC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3B1ABB3"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7214BB8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6B318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B575803" w14:textId="77777777" w:rsidR="00000000" w:rsidRDefault="00405D16">
            <w:pPr>
              <w:spacing w:after="100"/>
              <w:jc w:val="right"/>
              <w:rPr>
                <w:rFonts w:eastAsia="Times New Roman"/>
              </w:rPr>
            </w:pPr>
            <w:r>
              <w:rPr>
                <w:rFonts w:eastAsia="Times New Roman"/>
                <w:color w:val="000000"/>
                <w:sz w:val="18"/>
                <w:szCs w:val="18"/>
              </w:rPr>
              <w:t>244,701 </w:t>
            </w:r>
          </w:p>
        </w:tc>
        <w:tc>
          <w:tcPr>
            <w:tcW w:w="0" w:type="auto"/>
            <w:shd w:val="clear" w:color="auto" w:fill="FFFFFF"/>
            <w:tcMar>
              <w:top w:w="30" w:type="dxa"/>
              <w:left w:w="0" w:type="dxa"/>
              <w:bottom w:w="30" w:type="dxa"/>
              <w:right w:w="20" w:type="dxa"/>
            </w:tcMar>
            <w:vAlign w:val="center"/>
            <w:hideMark/>
          </w:tcPr>
          <w:p w14:paraId="70D85ABB" w14:textId="77777777" w:rsidR="00000000" w:rsidRDefault="00405D16">
            <w:pPr>
              <w:spacing w:after="100"/>
              <w:jc w:val="right"/>
              <w:rPr>
                <w:rFonts w:eastAsia="Times New Roman"/>
              </w:rPr>
            </w:pPr>
          </w:p>
        </w:tc>
      </w:tr>
      <w:tr w:rsidR="00000000" w14:paraId="7F38DF11" w14:textId="77777777">
        <w:tc>
          <w:tcPr>
            <w:tcW w:w="0" w:type="auto"/>
            <w:gridSpan w:val="3"/>
            <w:shd w:val="clear" w:color="auto" w:fill="CCEEFF"/>
            <w:tcMar>
              <w:top w:w="30" w:type="dxa"/>
              <w:left w:w="245" w:type="dxa"/>
              <w:bottom w:w="30" w:type="dxa"/>
              <w:right w:w="20" w:type="dxa"/>
            </w:tcMar>
            <w:vAlign w:val="center"/>
            <w:hideMark/>
          </w:tcPr>
          <w:p w14:paraId="0822C001" w14:textId="77777777" w:rsidR="00000000" w:rsidRDefault="00405D16">
            <w:pPr>
              <w:spacing w:after="100"/>
              <w:rPr>
                <w:rFonts w:eastAsia="Times New Roman"/>
              </w:rPr>
            </w:pPr>
            <w:r>
              <w:rPr>
                <w:rFonts w:eastAsia="Times New Roman"/>
                <w:color w:val="000000"/>
                <w:sz w:val="18"/>
                <w:szCs w:val="18"/>
              </w:rPr>
              <w:t>Loans held for sale</w:t>
            </w:r>
          </w:p>
        </w:tc>
        <w:tc>
          <w:tcPr>
            <w:tcW w:w="0" w:type="auto"/>
            <w:gridSpan w:val="3"/>
            <w:shd w:val="clear" w:color="auto" w:fill="CCEEFF"/>
            <w:tcMar>
              <w:top w:w="0" w:type="dxa"/>
              <w:left w:w="20" w:type="dxa"/>
              <w:bottom w:w="0" w:type="dxa"/>
              <w:right w:w="20" w:type="dxa"/>
            </w:tcMar>
            <w:vAlign w:val="center"/>
            <w:hideMark/>
          </w:tcPr>
          <w:p w14:paraId="382C8F20"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07B9146" w14:textId="77777777" w:rsidR="00000000" w:rsidRDefault="00405D16">
            <w:pPr>
              <w:spacing w:after="100"/>
              <w:jc w:val="right"/>
              <w:rPr>
                <w:rFonts w:eastAsia="Times New Roman"/>
              </w:rPr>
            </w:pPr>
            <w:r>
              <w:rPr>
                <w:rFonts w:eastAsia="Times New Roman"/>
                <w:color w:val="000000"/>
                <w:sz w:val="18"/>
                <w:szCs w:val="18"/>
              </w:rPr>
              <w:t>2,114 </w:t>
            </w:r>
          </w:p>
        </w:tc>
        <w:tc>
          <w:tcPr>
            <w:tcW w:w="0" w:type="auto"/>
            <w:shd w:val="clear" w:color="auto" w:fill="CCEEFF"/>
            <w:tcMar>
              <w:top w:w="30" w:type="dxa"/>
              <w:left w:w="0" w:type="dxa"/>
              <w:bottom w:w="30" w:type="dxa"/>
              <w:right w:w="20" w:type="dxa"/>
            </w:tcMar>
            <w:vAlign w:val="center"/>
            <w:hideMark/>
          </w:tcPr>
          <w:p w14:paraId="3F80EB5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D067C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92B1A76" w14:textId="77777777" w:rsidR="00000000" w:rsidRDefault="00405D16">
            <w:pPr>
              <w:spacing w:after="100"/>
              <w:jc w:val="right"/>
              <w:rPr>
                <w:rFonts w:eastAsia="Times New Roman"/>
              </w:rPr>
            </w:pPr>
            <w:r>
              <w:rPr>
                <w:rFonts w:eastAsia="Times New Roman"/>
                <w:color w:val="000000"/>
                <w:sz w:val="18"/>
                <w:szCs w:val="18"/>
              </w:rPr>
              <w:t>2,214 </w:t>
            </w:r>
          </w:p>
        </w:tc>
        <w:tc>
          <w:tcPr>
            <w:tcW w:w="0" w:type="auto"/>
            <w:shd w:val="clear" w:color="auto" w:fill="CCEEFF"/>
            <w:tcMar>
              <w:top w:w="30" w:type="dxa"/>
              <w:left w:w="0" w:type="dxa"/>
              <w:bottom w:w="30" w:type="dxa"/>
              <w:right w:w="20" w:type="dxa"/>
            </w:tcMar>
            <w:vAlign w:val="center"/>
            <w:hideMark/>
          </w:tcPr>
          <w:p w14:paraId="55A2E56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48682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5D08D0A"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4CBF8F8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F2E2A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FEEC124" w14:textId="77777777" w:rsidR="00000000" w:rsidRDefault="00405D16">
            <w:pPr>
              <w:spacing w:after="100"/>
              <w:jc w:val="right"/>
              <w:rPr>
                <w:rFonts w:eastAsia="Times New Roman"/>
              </w:rPr>
            </w:pPr>
            <w:r>
              <w:rPr>
                <w:rFonts w:eastAsia="Times New Roman"/>
                <w:color w:val="000000"/>
                <w:sz w:val="18"/>
                <w:szCs w:val="18"/>
              </w:rPr>
              <w:t>2,214 </w:t>
            </w:r>
          </w:p>
        </w:tc>
        <w:tc>
          <w:tcPr>
            <w:tcW w:w="0" w:type="auto"/>
            <w:shd w:val="clear" w:color="auto" w:fill="CCEEFF"/>
            <w:tcMar>
              <w:top w:w="30" w:type="dxa"/>
              <w:left w:w="0" w:type="dxa"/>
              <w:bottom w:w="30" w:type="dxa"/>
              <w:right w:w="20" w:type="dxa"/>
            </w:tcMar>
            <w:vAlign w:val="center"/>
            <w:hideMark/>
          </w:tcPr>
          <w:p w14:paraId="6574683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CE82D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67E0D75"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1CD70072" w14:textId="77777777" w:rsidR="00000000" w:rsidRDefault="00405D16">
            <w:pPr>
              <w:spacing w:after="100"/>
              <w:jc w:val="right"/>
              <w:rPr>
                <w:rFonts w:eastAsia="Times New Roman"/>
              </w:rPr>
            </w:pPr>
          </w:p>
        </w:tc>
      </w:tr>
      <w:tr w:rsidR="00000000" w14:paraId="0D9EB974" w14:textId="77777777">
        <w:tc>
          <w:tcPr>
            <w:tcW w:w="0" w:type="auto"/>
            <w:gridSpan w:val="3"/>
            <w:shd w:val="clear" w:color="auto" w:fill="FFFFFF"/>
            <w:tcMar>
              <w:top w:w="30" w:type="dxa"/>
              <w:left w:w="245" w:type="dxa"/>
              <w:bottom w:w="30" w:type="dxa"/>
              <w:right w:w="20" w:type="dxa"/>
            </w:tcMar>
            <w:vAlign w:val="center"/>
            <w:hideMark/>
          </w:tcPr>
          <w:p w14:paraId="43D27E38" w14:textId="77777777" w:rsidR="00000000" w:rsidRDefault="00405D16">
            <w:pPr>
              <w:spacing w:after="100"/>
              <w:rPr>
                <w:rFonts w:eastAsia="Times New Roman"/>
              </w:rPr>
            </w:pPr>
            <w:r>
              <w:rPr>
                <w:rFonts w:eastAsia="Times New Roman"/>
                <w:color w:val="000000"/>
                <w:sz w:val="18"/>
                <w:szCs w:val="18"/>
              </w:rPr>
              <w:t>Interest receivable</w:t>
            </w:r>
          </w:p>
        </w:tc>
        <w:tc>
          <w:tcPr>
            <w:tcW w:w="0" w:type="auto"/>
            <w:gridSpan w:val="3"/>
            <w:shd w:val="clear" w:color="auto" w:fill="FFFFFF"/>
            <w:tcMar>
              <w:top w:w="0" w:type="dxa"/>
              <w:left w:w="20" w:type="dxa"/>
              <w:bottom w:w="0" w:type="dxa"/>
              <w:right w:w="20" w:type="dxa"/>
            </w:tcMar>
            <w:vAlign w:val="center"/>
            <w:hideMark/>
          </w:tcPr>
          <w:p w14:paraId="7D410BAC"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369C3D0" w14:textId="77777777" w:rsidR="00000000" w:rsidRDefault="00405D16">
            <w:pPr>
              <w:spacing w:after="100"/>
              <w:jc w:val="right"/>
              <w:rPr>
                <w:rFonts w:eastAsia="Times New Roman"/>
              </w:rPr>
            </w:pPr>
            <w:r>
              <w:rPr>
                <w:rFonts w:eastAsia="Times New Roman"/>
                <w:color w:val="000000"/>
                <w:sz w:val="18"/>
                <w:szCs w:val="18"/>
              </w:rPr>
              <w:t>1,471 </w:t>
            </w:r>
          </w:p>
        </w:tc>
        <w:tc>
          <w:tcPr>
            <w:tcW w:w="0" w:type="auto"/>
            <w:shd w:val="clear" w:color="auto" w:fill="FFFFFF"/>
            <w:tcMar>
              <w:top w:w="30" w:type="dxa"/>
              <w:left w:w="0" w:type="dxa"/>
              <w:bottom w:w="30" w:type="dxa"/>
              <w:right w:w="20" w:type="dxa"/>
            </w:tcMar>
            <w:vAlign w:val="center"/>
            <w:hideMark/>
          </w:tcPr>
          <w:p w14:paraId="4B89E5F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491C8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3D896C1" w14:textId="77777777" w:rsidR="00000000" w:rsidRDefault="00405D16">
            <w:pPr>
              <w:spacing w:after="100"/>
              <w:jc w:val="right"/>
              <w:rPr>
                <w:rFonts w:eastAsia="Times New Roman"/>
              </w:rPr>
            </w:pPr>
            <w:r>
              <w:rPr>
                <w:rFonts w:eastAsia="Times New Roman"/>
                <w:color w:val="000000"/>
                <w:sz w:val="18"/>
                <w:szCs w:val="18"/>
              </w:rPr>
              <w:t>1,471 </w:t>
            </w:r>
          </w:p>
        </w:tc>
        <w:tc>
          <w:tcPr>
            <w:tcW w:w="0" w:type="auto"/>
            <w:shd w:val="clear" w:color="auto" w:fill="FFFFFF"/>
            <w:tcMar>
              <w:top w:w="30" w:type="dxa"/>
              <w:left w:w="0" w:type="dxa"/>
              <w:bottom w:w="30" w:type="dxa"/>
              <w:right w:w="20" w:type="dxa"/>
            </w:tcMar>
            <w:vAlign w:val="center"/>
            <w:hideMark/>
          </w:tcPr>
          <w:p w14:paraId="271C1B9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5A5F0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1FC1863"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2F40523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9F40C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584031A" w14:textId="77777777" w:rsidR="00000000" w:rsidRDefault="00405D16">
            <w:pPr>
              <w:spacing w:after="100"/>
              <w:jc w:val="right"/>
              <w:rPr>
                <w:rFonts w:eastAsia="Times New Roman"/>
              </w:rPr>
            </w:pPr>
            <w:r>
              <w:rPr>
                <w:rFonts w:eastAsia="Times New Roman"/>
                <w:color w:val="000000"/>
                <w:sz w:val="18"/>
                <w:szCs w:val="18"/>
              </w:rPr>
              <w:t>1,471 </w:t>
            </w:r>
          </w:p>
        </w:tc>
        <w:tc>
          <w:tcPr>
            <w:tcW w:w="0" w:type="auto"/>
            <w:shd w:val="clear" w:color="auto" w:fill="FFFFFF"/>
            <w:tcMar>
              <w:top w:w="30" w:type="dxa"/>
              <w:left w:w="0" w:type="dxa"/>
              <w:bottom w:w="30" w:type="dxa"/>
              <w:right w:w="20" w:type="dxa"/>
            </w:tcMar>
            <w:vAlign w:val="center"/>
            <w:hideMark/>
          </w:tcPr>
          <w:p w14:paraId="1477F83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7AA59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13011A9"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3C225EE1" w14:textId="77777777" w:rsidR="00000000" w:rsidRDefault="00405D16">
            <w:pPr>
              <w:spacing w:after="100"/>
              <w:jc w:val="right"/>
              <w:rPr>
                <w:rFonts w:eastAsia="Times New Roman"/>
              </w:rPr>
            </w:pPr>
          </w:p>
        </w:tc>
      </w:tr>
      <w:tr w:rsidR="00000000" w14:paraId="428FE0CA" w14:textId="77777777">
        <w:tc>
          <w:tcPr>
            <w:tcW w:w="0" w:type="auto"/>
            <w:gridSpan w:val="3"/>
            <w:shd w:val="clear" w:color="auto" w:fill="CCEEFF"/>
            <w:tcMar>
              <w:top w:w="30" w:type="dxa"/>
              <w:left w:w="20" w:type="dxa"/>
              <w:bottom w:w="30" w:type="dxa"/>
              <w:right w:w="20" w:type="dxa"/>
            </w:tcMar>
            <w:vAlign w:val="center"/>
            <w:hideMark/>
          </w:tcPr>
          <w:p w14:paraId="1D3D5735" w14:textId="77777777" w:rsidR="00000000" w:rsidRDefault="00405D16">
            <w:pPr>
              <w:spacing w:after="100"/>
              <w:divId w:val="66652762"/>
              <w:rPr>
                <w:rFonts w:eastAsia="Times New Roman"/>
              </w:rPr>
            </w:pPr>
            <w:r>
              <w:rPr>
                <w:rFonts w:eastAsia="Times New Roman"/>
                <w:color w:val="000000"/>
                <w:sz w:val="18"/>
                <w:szCs w:val="18"/>
              </w:rPr>
              <w:t>Other investment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55474B58"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B224690" w14:textId="77777777" w:rsidR="00000000" w:rsidRDefault="00405D16">
            <w:pPr>
              <w:spacing w:after="100"/>
              <w:jc w:val="right"/>
              <w:rPr>
                <w:rFonts w:eastAsia="Times New Roman"/>
              </w:rPr>
            </w:pPr>
            <w:r>
              <w:rPr>
                <w:rFonts w:eastAsia="Times New Roman"/>
                <w:color w:val="000000"/>
                <w:sz w:val="18"/>
                <w:szCs w:val="18"/>
              </w:rPr>
              <w:t>1,341 </w:t>
            </w:r>
          </w:p>
        </w:tc>
        <w:tc>
          <w:tcPr>
            <w:tcW w:w="0" w:type="auto"/>
            <w:shd w:val="clear" w:color="auto" w:fill="CCEEFF"/>
            <w:tcMar>
              <w:top w:w="30" w:type="dxa"/>
              <w:left w:w="0" w:type="dxa"/>
              <w:bottom w:w="30" w:type="dxa"/>
              <w:right w:w="20" w:type="dxa"/>
            </w:tcMar>
            <w:vAlign w:val="center"/>
            <w:hideMark/>
          </w:tcPr>
          <w:p w14:paraId="5CF9C2C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B121A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A65F98F" w14:textId="77777777" w:rsidR="00000000" w:rsidRDefault="00405D16">
            <w:pPr>
              <w:spacing w:after="100"/>
              <w:jc w:val="right"/>
              <w:rPr>
                <w:rFonts w:eastAsia="Times New Roman"/>
              </w:rPr>
            </w:pPr>
            <w:r>
              <w:rPr>
                <w:rFonts w:eastAsia="Times New Roman"/>
                <w:color w:val="000000"/>
                <w:sz w:val="18"/>
                <w:szCs w:val="18"/>
              </w:rPr>
              <w:t>1,341 </w:t>
            </w:r>
          </w:p>
        </w:tc>
        <w:tc>
          <w:tcPr>
            <w:tcW w:w="0" w:type="auto"/>
            <w:shd w:val="clear" w:color="auto" w:fill="CCEEFF"/>
            <w:tcMar>
              <w:top w:w="30" w:type="dxa"/>
              <w:left w:w="0" w:type="dxa"/>
              <w:bottom w:w="30" w:type="dxa"/>
              <w:right w:w="20" w:type="dxa"/>
            </w:tcMar>
            <w:vAlign w:val="center"/>
            <w:hideMark/>
          </w:tcPr>
          <w:p w14:paraId="4523CBC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4D493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4FDA39B"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417A641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5EF76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946594D" w14:textId="77777777" w:rsidR="00000000" w:rsidRDefault="00405D16">
            <w:pPr>
              <w:spacing w:after="100"/>
              <w:jc w:val="right"/>
              <w:rPr>
                <w:rFonts w:eastAsia="Times New Roman"/>
              </w:rPr>
            </w:pPr>
            <w:r>
              <w:rPr>
                <w:rFonts w:eastAsia="Times New Roman"/>
                <w:color w:val="000000"/>
                <w:sz w:val="18"/>
                <w:szCs w:val="18"/>
              </w:rPr>
              <w:t>1,341 </w:t>
            </w:r>
          </w:p>
        </w:tc>
        <w:tc>
          <w:tcPr>
            <w:tcW w:w="0" w:type="auto"/>
            <w:shd w:val="clear" w:color="auto" w:fill="CCEEFF"/>
            <w:tcMar>
              <w:top w:w="30" w:type="dxa"/>
              <w:left w:w="0" w:type="dxa"/>
              <w:bottom w:w="30" w:type="dxa"/>
              <w:right w:w="20" w:type="dxa"/>
            </w:tcMar>
            <w:vAlign w:val="center"/>
            <w:hideMark/>
          </w:tcPr>
          <w:p w14:paraId="2ADCB6D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60189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19C7708"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5A8F3277" w14:textId="77777777" w:rsidR="00000000" w:rsidRDefault="00405D16">
            <w:pPr>
              <w:spacing w:after="100"/>
              <w:jc w:val="right"/>
              <w:rPr>
                <w:rFonts w:eastAsia="Times New Roman"/>
              </w:rPr>
            </w:pPr>
          </w:p>
        </w:tc>
      </w:tr>
      <w:tr w:rsidR="00000000" w14:paraId="080B3368" w14:textId="77777777">
        <w:tc>
          <w:tcPr>
            <w:tcW w:w="0" w:type="auto"/>
            <w:gridSpan w:val="3"/>
            <w:shd w:val="clear" w:color="auto" w:fill="FFFFFF"/>
            <w:tcMar>
              <w:top w:w="30" w:type="dxa"/>
              <w:left w:w="20" w:type="dxa"/>
              <w:bottom w:w="30" w:type="dxa"/>
              <w:right w:w="20" w:type="dxa"/>
            </w:tcMar>
            <w:vAlign w:val="center"/>
            <w:hideMark/>
          </w:tcPr>
          <w:p w14:paraId="24AF6BE4" w14:textId="77777777" w:rsidR="00000000" w:rsidRDefault="00405D16">
            <w:pPr>
              <w:spacing w:after="100"/>
              <w:rPr>
                <w:rFonts w:eastAsia="Times New Roman"/>
              </w:rPr>
            </w:pPr>
            <w:r>
              <w:rPr>
                <w:rFonts w:eastAsia="Times New Roman"/>
                <w:b/>
                <w:bCs/>
                <w:color w:val="000000"/>
                <w:sz w:val="18"/>
                <w:szCs w:val="18"/>
              </w:rPr>
              <w:t>Financial liabilities:</w:t>
            </w:r>
          </w:p>
        </w:tc>
        <w:tc>
          <w:tcPr>
            <w:tcW w:w="0" w:type="auto"/>
            <w:gridSpan w:val="3"/>
            <w:shd w:val="clear" w:color="auto" w:fill="FFFFFF"/>
            <w:tcMar>
              <w:top w:w="0" w:type="dxa"/>
              <w:left w:w="20" w:type="dxa"/>
              <w:bottom w:w="0" w:type="dxa"/>
              <w:right w:w="20" w:type="dxa"/>
            </w:tcMar>
            <w:vAlign w:val="center"/>
            <w:hideMark/>
          </w:tcPr>
          <w:p w14:paraId="78CAE0BE" w14:textId="77777777" w:rsidR="00000000" w:rsidRDefault="00405D1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1CCDD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116B79"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54EDE7"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3794CE"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546D2A"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ECC54B"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598A56"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1CF902" w14:textId="77777777" w:rsidR="00000000" w:rsidRDefault="00405D1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898DA2" w14:textId="77777777" w:rsidR="00000000" w:rsidRDefault="00405D16">
            <w:pPr>
              <w:spacing w:after="100"/>
              <w:rPr>
                <w:rFonts w:eastAsia="Times New Roman"/>
                <w:sz w:val="20"/>
                <w:szCs w:val="20"/>
              </w:rPr>
            </w:pPr>
          </w:p>
        </w:tc>
      </w:tr>
      <w:tr w:rsidR="00000000" w14:paraId="422ED049" w14:textId="77777777">
        <w:tc>
          <w:tcPr>
            <w:tcW w:w="0" w:type="auto"/>
            <w:gridSpan w:val="3"/>
            <w:shd w:val="clear" w:color="auto" w:fill="CCEEFF"/>
            <w:tcMar>
              <w:top w:w="30" w:type="dxa"/>
              <w:left w:w="245" w:type="dxa"/>
              <w:bottom w:w="30" w:type="dxa"/>
              <w:right w:w="20" w:type="dxa"/>
            </w:tcMar>
            <w:vAlign w:val="center"/>
            <w:hideMark/>
          </w:tcPr>
          <w:p w14:paraId="30BFCF0F" w14:textId="77777777" w:rsidR="00000000" w:rsidRDefault="00405D16">
            <w:pPr>
              <w:spacing w:after="100"/>
              <w:rPr>
                <w:rFonts w:eastAsia="Times New Roman"/>
              </w:rPr>
            </w:pPr>
            <w:r>
              <w:rPr>
                <w:rFonts w:eastAsia="Times New Roman"/>
                <w:color w:val="000000"/>
                <w:sz w:val="18"/>
                <w:szCs w:val="18"/>
              </w:rPr>
              <w:t>Deposits with defined maturities</w:t>
            </w:r>
          </w:p>
        </w:tc>
        <w:tc>
          <w:tcPr>
            <w:tcW w:w="0" w:type="auto"/>
            <w:gridSpan w:val="3"/>
            <w:shd w:val="clear" w:color="auto" w:fill="CCEEFF"/>
            <w:tcMar>
              <w:top w:w="0" w:type="dxa"/>
              <w:left w:w="20" w:type="dxa"/>
              <w:bottom w:w="0" w:type="dxa"/>
              <w:right w:w="20" w:type="dxa"/>
            </w:tcMar>
            <w:vAlign w:val="center"/>
            <w:hideMark/>
          </w:tcPr>
          <w:p w14:paraId="497747B8"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0072C73" w14:textId="77777777" w:rsidR="00000000" w:rsidRDefault="00405D16">
            <w:pPr>
              <w:spacing w:after="100"/>
              <w:jc w:val="right"/>
              <w:rPr>
                <w:rFonts w:eastAsia="Times New Roman"/>
              </w:rPr>
            </w:pPr>
            <w:r>
              <w:rPr>
                <w:rFonts w:eastAsia="Times New Roman"/>
                <w:color w:val="000000"/>
                <w:sz w:val="18"/>
                <w:szCs w:val="18"/>
              </w:rPr>
              <w:t>32,746 </w:t>
            </w:r>
          </w:p>
        </w:tc>
        <w:tc>
          <w:tcPr>
            <w:tcW w:w="0" w:type="auto"/>
            <w:shd w:val="clear" w:color="auto" w:fill="CCEEFF"/>
            <w:tcMar>
              <w:top w:w="30" w:type="dxa"/>
              <w:left w:w="0" w:type="dxa"/>
              <w:bottom w:w="30" w:type="dxa"/>
              <w:right w:w="20" w:type="dxa"/>
            </w:tcMar>
            <w:vAlign w:val="center"/>
            <w:hideMark/>
          </w:tcPr>
          <w:p w14:paraId="2E40D9A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EA6CA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458193E" w14:textId="77777777" w:rsidR="00000000" w:rsidRDefault="00405D16">
            <w:pPr>
              <w:spacing w:after="100"/>
              <w:jc w:val="right"/>
              <w:rPr>
                <w:rFonts w:eastAsia="Times New Roman"/>
              </w:rPr>
            </w:pPr>
            <w:r>
              <w:rPr>
                <w:rFonts w:eastAsia="Times New Roman"/>
                <w:color w:val="000000"/>
                <w:sz w:val="18"/>
                <w:szCs w:val="18"/>
              </w:rPr>
              <w:t>33,111 </w:t>
            </w:r>
          </w:p>
        </w:tc>
        <w:tc>
          <w:tcPr>
            <w:tcW w:w="0" w:type="auto"/>
            <w:shd w:val="clear" w:color="auto" w:fill="CCEEFF"/>
            <w:tcMar>
              <w:top w:w="30" w:type="dxa"/>
              <w:left w:w="0" w:type="dxa"/>
              <w:bottom w:w="30" w:type="dxa"/>
              <w:right w:w="20" w:type="dxa"/>
            </w:tcMar>
            <w:vAlign w:val="center"/>
            <w:hideMark/>
          </w:tcPr>
          <w:p w14:paraId="62CD24A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051A2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5C91612"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2E608A8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AF3CA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5B6A3D2" w14:textId="77777777" w:rsidR="00000000" w:rsidRDefault="00405D16">
            <w:pPr>
              <w:spacing w:after="100"/>
              <w:jc w:val="right"/>
              <w:rPr>
                <w:rFonts w:eastAsia="Times New Roman"/>
              </w:rPr>
            </w:pPr>
            <w:r>
              <w:rPr>
                <w:rFonts w:eastAsia="Times New Roman"/>
                <w:color w:val="000000"/>
                <w:sz w:val="18"/>
                <w:szCs w:val="18"/>
              </w:rPr>
              <w:t>33,111 </w:t>
            </w:r>
          </w:p>
        </w:tc>
        <w:tc>
          <w:tcPr>
            <w:tcW w:w="0" w:type="auto"/>
            <w:shd w:val="clear" w:color="auto" w:fill="CCEEFF"/>
            <w:tcMar>
              <w:top w:w="30" w:type="dxa"/>
              <w:left w:w="0" w:type="dxa"/>
              <w:bottom w:w="30" w:type="dxa"/>
              <w:right w:w="20" w:type="dxa"/>
            </w:tcMar>
            <w:vAlign w:val="center"/>
            <w:hideMark/>
          </w:tcPr>
          <w:p w14:paraId="4AB757E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B3FDA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215D29E"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4A3DDC07" w14:textId="77777777" w:rsidR="00000000" w:rsidRDefault="00405D16">
            <w:pPr>
              <w:spacing w:after="100"/>
              <w:jc w:val="right"/>
              <w:rPr>
                <w:rFonts w:eastAsia="Times New Roman"/>
              </w:rPr>
            </w:pPr>
          </w:p>
        </w:tc>
      </w:tr>
      <w:tr w:rsidR="00000000" w14:paraId="421D6FF8" w14:textId="77777777">
        <w:tc>
          <w:tcPr>
            <w:tcW w:w="0" w:type="auto"/>
            <w:gridSpan w:val="3"/>
            <w:shd w:val="clear" w:color="auto" w:fill="FFFFFF"/>
            <w:tcMar>
              <w:top w:w="30" w:type="dxa"/>
              <w:left w:w="245" w:type="dxa"/>
              <w:bottom w:w="30" w:type="dxa"/>
              <w:right w:w="20" w:type="dxa"/>
            </w:tcMar>
            <w:vAlign w:val="center"/>
            <w:hideMark/>
          </w:tcPr>
          <w:p w14:paraId="18F94EE6" w14:textId="77777777" w:rsidR="00000000" w:rsidRDefault="00405D16">
            <w:pPr>
              <w:spacing w:after="100"/>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14:paraId="2F5480E2"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7E121D6" w14:textId="77777777" w:rsidR="00000000" w:rsidRDefault="00405D16">
            <w:pPr>
              <w:spacing w:after="100"/>
              <w:jc w:val="right"/>
              <w:rPr>
                <w:rFonts w:eastAsia="Times New Roman"/>
              </w:rPr>
            </w:pPr>
            <w:r>
              <w:rPr>
                <w:rFonts w:eastAsia="Times New Roman"/>
                <w:color w:val="000000"/>
                <w:sz w:val="18"/>
                <w:szCs w:val="18"/>
              </w:rPr>
              <w:t>12,414 </w:t>
            </w:r>
          </w:p>
        </w:tc>
        <w:tc>
          <w:tcPr>
            <w:tcW w:w="0" w:type="auto"/>
            <w:shd w:val="clear" w:color="auto" w:fill="FFFFFF"/>
            <w:tcMar>
              <w:top w:w="30" w:type="dxa"/>
              <w:left w:w="0" w:type="dxa"/>
              <w:bottom w:w="30" w:type="dxa"/>
              <w:right w:w="20" w:type="dxa"/>
            </w:tcMar>
            <w:vAlign w:val="center"/>
            <w:hideMark/>
          </w:tcPr>
          <w:p w14:paraId="72DBF05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A1605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BFA2FA5" w14:textId="77777777" w:rsidR="00000000" w:rsidRDefault="00405D16">
            <w:pPr>
              <w:spacing w:after="100"/>
              <w:jc w:val="right"/>
              <w:rPr>
                <w:rFonts w:eastAsia="Times New Roman"/>
              </w:rPr>
            </w:pPr>
            <w:r>
              <w:rPr>
                <w:rFonts w:eastAsia="Times New Roman"/>
                <w:color w:val="000000"/>
                <w:sz w:val="18"/>
                <w:szCs w:val="18"/>
              </w:rPr>
              <w:t>12,584 </w:t>
            </w:r>
          </w:p>
        </w:tc>
        <w:tc>
          <w:tcPr>
            <w:tcW w:w="0" w:type="auto"/>
            <w:shd w:val="clear" w:color="auto" w:fill="FFFFFF"/>
            <w:tcMar>
              <w:top w:w="30" w:type="dxa"/>
              <w:left w:w="0" w:type="dxa"/>
              <w:bottom w:w="30" w:type="dxa"/>
              <w:right w:w="20" w:type="dxa"/>
            </w:tcMar>
            <w:vAlign w:val="center"/>
            <w:hideMark/>
          </w:tcPr>
          <w:p w14:paraId="6802836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78555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A6FEB82"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32AADDC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0BD9D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1AFE052" w14:textId="77777777" w:rsidR="00000000" w:rsidRDefault="00405D16">
            <w:pPr>
              <w:spacing w:after="100"/>
              <w:jc w:val="right"/>
              <w:rPr>
                <w:rFonts w:eastAsia="Times New Roman"/>
              </w:rPr>
            </w:pPr>
            <w:r>
              <w:rPr>
                <w:rFonts w:eastAsia="Times New Roman"/>
                <w:color w:val="000000"/>
                <w:sz w:val="18"/>
                <w:szCs w:val="18"/>
              </w:rPr>
              <w:t>12,584 </w:t>
            </w:r>
          </w:p>
        </w:tc>
        <w:tc>
          <w:tcPr>
            <w:tcW w:w="0" w:type="auto"/>
            <w:shd w:val="clear" w:color="auto" w:fill="FFFFFF"/>
            <w:tcMar>
              <w:top w:w="30" w:type="dxa"/>
              <w:left w:w="0" w:type="dxa"/>
              <w:bottom w:w="30" w:type="dxa"/>
              <w:right w:w="20" w:type="dxa"/>
            </w:tcMar>
            <w:vAlign w:val="center"/>
            <w:hideMark/>
          </w:tcPr>
          <w:p w14:paraId="133D88E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B8C01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CAEB7A1"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35C783F0" w14:textId="77777777" w:rsidR="00000000" w:rsidRDefault="00405D16">
            <w:pPr>
              <w:spacing w:after="100"/>
              <w:jc w:val="right"/>
              <w:rPr>
                <w:rFonts w:eastAsia="Times New Roman"/>
              </w:rPr>
            </w:pPr>
          </w:p>
        </w:tc>
      </w:tr>
      <w:tr w:rsidR="00000000" w14:paraId="7FE91008" w14:textId="77777777">
        <w:tc>
          <w:tcPr>
            <w:tcW w:w="0" w:type="auto"/>
            <w:gridSpan w:val="3"/>
            <w:shd w:val="clear" w:color="auto" w:fill="CCEEFF"/>
            <w:tcMar>
              <w:top w:w="30" w:type="dxa"/>
              <w:left w:w="245" w:type="dxa"/>
              <w:bottom w:w="30" w:type="dxa"/>
              <w:right w:w="20" w:type="dxa"/>
            </w:tcMar>
            <w:vAlign w:val="center"/>
            <w:hideMark/>
          </w:tcPr>
          <w:p w14:paraId="7E5D5881" w14:textId="77777777" w:rsidR="00000000" w:rsidRDefault="00405D16">
            <w:pPr>
              <w:spacing w:after="100"/>
              <w:rPr>
                <w:rFonts w:eastAsia="Times New Roman"/>
              </w:rPr>
            </w:pPr>
            <w:r>
              <w:rPr>
                <w:rFonts w:eastAsia="Times New Roman"/>
                <w:color w:val="000000"/>
                <w:sz w:val="18"/>
                <w:szCs w:val="18"/>
              </w:rPr>
              <w:t>Senior and subordinated notes</w:t>
            </w:r>
          </w:p>
        </w:tc>
        <w:tc>
          <w:tcPr>
            <w:tcW w:w="0" w:type="auto"/>
            <w:gridSpan w:val="3"/>
            <w:shd w:val="clear" w:color="auto" w:fill="CCEEFF"/>
            <w:tcMar>
              <w:top w:w="0" w:type="dxa"/>
              <w:left w:w="20" w:type="dxa"/>
              <w:bottom w:w="0" w:type="dxa"/>
              <w:right w:w="20" w:type="dxa"/>
            </w:tcMar>
            <w:vAlign w:val="center"/>
            <w:hideMark/>
          </w:tcPr>
          <w:p w14:paraId="5E193DC7"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963F14F" w14:textId="77777777" w:rsidR="00000000" w:rsidRDefault="00405D16">
            <w:pPr>
              <w:spacing w:after="100"/>
              <w:jc w:val="right"/>
              <w:rPr>
                <w:rFonts w:eastAsia="Times New Roman"/>
              </w:rPr>
            </w:pPr>
            <w:r>
              <w:rPr>
                <w:rFonts w:eastAsia="Times New Roman"/>
                <w:color w:val="000000"/>
                <w:sz w:val="18"/>
                <w:szCs w:val="18"/>
              </w:rPr>
              <w:t>27,382 </w:t>
            </w:r>
          </w:p>
        </w:tc>
        <w:tc>
          <w:tcPr>
            <w:tcW w:w="0" w:type="auto"/>
            <w:shd w:val="clear" w:color="auto" w:fill="CCEEFF"/>
            <w:tcMar>
              <w:top w:w="30" w:type="dxa"/>
              <w:left w:w="0" w:type="dxa"/>
              <w:bottom w:w="30" w:type="dxa"/>
              <w:right w:w="20" w:type="dxa"/>
            </w:tcMar>
            <w:vAlign w:val="center"/>
            <w:hideMark/>
          </w:tcPr>
          <w:p w14:paraId="5A2D1A6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5A857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EBEC182" w14:textId="77777777" w:rsidR="00000000" w:rsidRDefault="00405D16">
            <w:pPr>
              <w:spacing w:after="100"/>
              <w:jc w:val="right"/>
              <w:rPr>
                <w:rFonts w:eastAsia="Times New Roman"/>
              </w:rPr>
            </w:pPr>
            <w:r>
              <w:rPr>
                <w:rFonts w:eastAsia="Times New Roman"/>
                <w:color w:val="000000"/>
                <w:sz w:val="18"/>
                <w:szCs w:val="18"/>
              </w:rPr>
              <w:t>28,282 </w:t>
            </w:r>
          </w:p>
        </w:tc>
        <w:tc>
          <w:tcPr>
            <w:tcW w:w="0" w:type="auto"/>
            <w:shd w:val="clear" w:color="auto" w:fill="CCEEFF"/>
            <w:tcMar>
              <w:top w:w="30" w:type="dxa"/>
              <w:left w:w="0" w:type="dxa"/>
              <w:bottom w:w="30" w:type="dxa"/>
              <w:right w:w="20" w:type="dxa"/>
            </w:tcMar>
            <w:vAlign w:val="center"/>
            <w:hideMark/>
          </w:tcPr>
          <w:p w14:paraId="1712503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9B824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CE2B2A4"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2FEC224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EC02C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933E908" w14:textId="77777777" w:rsidR="00000000" w:rsidRDefault="00405D16">
            <w:pPr>
              <w:spacing w:after="100"/>
              <w:jc w:val="right"/>
              <w:rPr>
                <w:rFonts w:eastAsia="Times New Roman"/>
              </w:rPr>
            </w:pPr>
            <w:r>
              <w:rPr>
                <w:rFonts w:eastAsia="Times New Roman"/>
                <w:color w:val="000000"/>
                <w:sz w:val="18"/>
                <w:szCs w:val="18"/>
              </w:rPr>
              <w:t>28,282 </w:t>
            </w:r>
          </w:p>
        </w:tc>
        <w:tc>
          <w:tcPr>
            <w:tcW w:w="0" w:type="auto"/>
            <w:shd w:val="clear" w:color="auto" w:fill="CCEEFF"/>
            <w:tcMar>
              <w:top w:w="30" w:type="dxa"/>
              <w:left w:w="0" w:type="dxa"/>
              <w:bottom w:w="30" w:type="dxa"/>
              <w:right w:w="20" w:type="dxa"/>
            </w:tcMar>
            <w:vAlign w:val="center"/>
            <w:hideMark/>
          </w:tcPr>
          <w:p w14:paraId="677FB61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79768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3C61C80"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52401817" w14:textId="77777777" w:rsidR="00000000" w:rsidRDefault="00405D16">
            <w:pPr>
              <w:spacing w:after="100"/>
              <w:jc w:val="right"/>
              <w:rPr>
                <w:rFonts w:eastAsia="Times New Roman"/>
              </w:rPr>
            </w:pPr>
          </w:p>
        </w:tc>
      </w:tr>
      <w:tr w:rsidR="00000000" w14:paraId="7E17EF16" w14:textId="77777777">
        <w:tc>
          <w:tcPr>
            <w:tcW w:w="0" w:type="auto"/>
            <w:gridSpan w:val="3"/>
            <w:shd w:val="clear" w:color="auto" w:fill="FFFFFF"/>
            <w:tcMar>
              <w:top w:w="30" w:type="dxa"/>
              <w:left w:w="245" w:type="dxa"/>
              <w:bottom w:w="30" w:type="dxa"/>
              <w:right w:w="20" w:type="dxa"/>
            </w:tcMar>
            <w:vAlign w:val="bottom"/>
            <w:hideMark/>
          </w:tcPr>
          <w:p w14:paraId="2B18EF67" w14:textId="77777777" w:rsidR="00000000" w:rsidRDefault="00405D16">
            <w:pPr>
              <w:spacing w:after="100"/>
              <w:rPr>
                <w:rFonts w:eastAsia="Times New Roman"/>
              </w:rPr>
            </w:pPr>
            <w:r>
              <w:rPr>
                <w:rFonts w:eastAsia="Times New Roman"/>
                <w:color w:val="000000"/>
                <w:sz w:val="18"/>
                <w:szCs w:val="18"/>
              </w:rPr>
              <w:t>Federal funds purchased and securities loaned or sold under agreements to repurchase</w:t>
            </w:r>
          </w:p>
        </w:tc>
        <w:tc>
          <w:tcPr>
            <w:tcW w:w="0" w:type="auto"/>
            <w:gridSpan w:val="3"/>
            <w:shd w:val="clear" w:color="auto" w:fill="FFFFFF"/>
            <w:tcMar>
              <w:top w:w="0" w:type="dxa"/>
              <w:left w:w="20" w:type="dxa"/>
              <w:bottom w:w="0" w:type="dxa"/>
              <w:right w:w="20" w:type="dxa"/>
            </w:tcMar>
            <w:vAlign w:val="center"/>
            <w:hideMark/>
          </w:tcPr>
          <w:p w14:paraId="76A51CDA"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750E09D" w14:textId="77777777" w:rsidR="00000000" w:rsidRDefault="00405D16">
            <w:pPr>
              <w:spacing w:after="100"/>
              <w:jc w:val="right"/>
              <w:rPr>
                <w:rFonts w:eastAsia="Times New Roman"/>
              </w:rPr>
            </w:pPr>
            <w:r>
              <w:rPr>
                <w:rFonts w:eastAsia="Times New Roman"/>
                <w:color w:val="000000"/>
                <w:sz w:val="18"/>
                <w:szCs w:val="18"/>
              </w:rPr>
              <w:t>668 </w:t>
            </w:r>
          </w:p>
        </w:tc>
        <w:tc>
          <w:tcPr>
            <w:tcW w:w="0" w:type="auto"/>
            <w:shd w:val="clear" w:color="auto" w:fill="FFFFFF"/>
            <w:tcMar>
              <w:top w:w="30" w:type="dxa"/>
              <w:left w:w="0" w:type="dxa"/>
              <w:bottom w:w="30" w:type="dxa"/>
              <w:right w:w="20" w:type="dxa"/>
            </w:tcMar>
            <w:vAlign w:val="bottom"/>
            <w:hideMark/>
          </w:tcPr>
          <w:p w14:paraId="34C5C5F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489A4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527D50" w14:textId="77777777" w:rsidR="00000000" w:rsidRDefault="00405D16">
            <w:pPr>
              <w:spacing w:after="100"/>
              <w:jc w:val="right"/>
              <w:rPr>
                <w:rFonts w:eastAsia="Times New Roman"/>
              </w:rPr>
            </w:pPr>
            <w:r>
              <w:rPr>
                <w:rFonts w:eastAsia="Times New Roman"/>
                <w:color w:val="000000"/>
                <w:sz w:val="18"/>
                <w:szCs w:val="18"/>
              </w:rPr>
              <w:t>668 </w:t>
            </w:r>
          </w:p>
        </w:tc>
        <w:tc>
          <w:tcPr>
            <w:tcW w:w="0" w:type="auto"/>
            <w:shd w:val="clear" w:color="auto" w:fill="FFFFFF"/>
            <w:tcMar>
              <w:top w:w="30" w:type="dxa"/>
              <w:left w:w="0" w:type="dxa"/>
              <w:bottom w:w="30" w:type="dxa"/>
              <w:right w:w="20" w:type="dxa"/>
            </w:tcMar>
            <w:vAlign w:val="bottom"/>
            <w:hideMark/>
          </w:tcPr>
          <w:p w14:paraId="359E4DC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1A1AA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7DCA05"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65BBE89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D80E8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B31B8E" w14:textId="77777777" w:rsidR="00000000" w:rsidRDefault="00405D16">
            <w:pPr>
              <w:spacing w:after="100"/>
              <w:jc w:val="right"/>
              <w:rPr>
                <w:rFonts w:eastAsia="Times New Roman"/>
              </w:rPr>
            </w:pPr>
            <w:r>
              <w:rPr>
                <w:rFonts w:eastAsia="Times New Roman"/>
                <w:color w:val="000000"/>
                <w:sz w:val="18"/>
                <w:szCs w:val="18"/>
              </w:rPr>
              <w:t>668 </w:t>
            </w:r>
          </w:p>
        </w:tc>
        <w:tc>
          <w:tcPr>
            <w:tcW w:w="0" w:type="auto"/>
            <w:shd w:val="clear" w:color="auto" w:fill="FFFFFF"/>
            <w:tcMar>
              <w:top w:w="30" w:type="dxa"/>
              <w:left w:w="0" w:type="dxa"/>
              <w:bottom w:w="30" w:type="dxa"/>
              <w:right w:w="20" w:type="dxa"/>
            </w:tcMar>
            <w:vAlign w:val="bottom"/>
            <w:hideMark/>
          </w:tcPr>
          <w:p w14:paraId="3534D27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7A8B0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335730"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5AA4C49F" w14:textId="77777777" w:rsidR="00000000" w:rsidRDefault="00405D16">
            <w:pPr>
              <w:spacing w:after="100"/>
              <w:jc w:val="right"/>
              <w:rPr>
                <w:rFonts w:eastAsia="Times New Roman"/>
              </w:rPr>
            </w:pPr>
          </w:p>
        </w:tc>
      </w:tr>
      <w:tr w:rsidR="00000000" w14:paraId="0AC0B405" w14:textId="77777777">
        <w:tc>
          <w:tcPr>
            <w:tcW w:w="0" w:type="auto"/>
            <w:gridSpan w:val="3"/>
            <w:vAlign w:val="center"/>
            <w:hideMark/>
          </w:tcPr>
          <w:p w14:paraId="773C0B56" w14:textId="77777777" w:rsidR="00000000" w:rsidRDefault="00405D16">
            <w:pPr>
              <w:spacing w:after="100"/>
              <w:jc w:val="right"/>
              <w:rPr>
                <w:rFonts w:eastAsia="Times New Roman"/>
                <w:sz w:val="20"/>
                <w:szCs w:val="20"/>
              </w:rPr>
            </w:pPr>
          </w:p>
        </w:tc>
        <w:tc>
          <w:tcPr>
            <w:tcW w:w="0" w:type="auto"/>
            <w:gridSpan w:val="3"/>
            <w:vAlign w:val="center"/>
            <w:hideMark/>
          </w:tcPr>
          <w:p w14:paraId="558BD542" w14:textId="77777777" w:rsidR="00000000" w:rsidRDefault="00405D16">
            <w:pPr>
              <w:spacing w:after="100"/>
              <w:rPr>
                <w:rFonts w:eastAsia="Times New Roman"/>
                <w:sz w:val="20"/>
                <w:szCs w:val="20"/>
              </w:rPr>
            </w:pPr>
          </w:p>
        </w:tc>
        <w:tc>
          <w:tcPr>
            <w:tcW w:w="0" w:type="auto"/>
            <w:gridSpan w:val="3"/>
            <w:vAlign w:val="center"/>
            <w:hideMark/>
          </w:tcPr>
          <w:p w14:paraId="708117EB" w14:textId="77777777" w:rsidR="00000000" w:rsidRDefault="00405D16">
            <w:pPr>
              <w:spacing w:after="100"/>
              <w:rPr>
                <w:rFonts w:eastAsia="Times New Roman"/>
                <w:sz w:val="20"/>
                <w:szCs w:val="20"/>
              </w:rPr>
            </w:pPr>
          </w:p>
        </w:tc>
        <w:tc>
          <w:tcPr>
            <w:tcW w:w="0" w:type="auto"/>
            <w:gridSpan w:val="3"/>
            <w:vAlign w:val="center"/>
            <w:hideMark/>
          </w:tcPr>
          <w:p w14:paraId="237F957F" w14:textId="77777777" w:rsidR="00000000" w:rsidRDefault="00405D16">
            <w:pPr>
              <w:spacing w:after="100"/>
              <w:rPr>
                <w:rFonts w:eastAsia="Times New Roman"/>
                <w:sz w:val="20"/>
                <w:szCs w:val="20"/>
              </w:rPr>
            </w:pPr>
          </w:p>
        </w:tc>
        <w:tc>
          <w:tcPr>
            <w:tcW w:w="0" w:type="auto"/>
            <w:gridSpan w:val="3"/>
            <w:vAlign w:val="center"/>
            <w:hideMark/>
          </w:tcPr>
          <w:p w14:paraId="7096FE2D" w14:textId="77777777" w:rsidR="00000000" w:rsidRDefault="00405D16">
            <w:pPr>
              <w:spacing w:after="100"/>
              <w:rPr>
                <w:rFonts w:eastAsia="Times New Roman"/>
                <w:sz w:val="20"/>
                <w:szCs w:val="20"/>
              </w:rPr>
            </w:pPr>
          </w:p>
        </w:tc>
        <w:tc>
          <w:tcPr>
            <w:tcW w:w="0" w:type="auto"/>
            <w:gridSpan w:val="3"/>
            <w:vAlign w:val="center"/>
            <w:hideMark/>
          </w:tcPr>
          <w:p w14:paraId="6BA20AC4" w14:textId="77777777" w:rsidR="00000000" w:rsidRDefault="00405D16">
            <w:pPr>
              <w:spacing w:after="100"/>
              <w:rPr>
                <w:rFonts w:eastAsia="Times New Roman"/>
                <w:sz w:val="20"/>
                <w:szCs w:val="20"/>
              </w:rPr>
            </w:pPr>
          </w:p>
        </w:tc>
        <w:tc>
          <w:tcPr>
            <w:tcW w:w="0" w:type="auto"/>
            <w:gridSpan w:val="3"/>
            <w:vAlign w:val="center"/>
            <w:hideMark/>
          </w:tcPr>
          <w:p w14:paraId="4283FC4F" w14:textId="77777777" w:rsidR="00000000" w:rsidRDefault="00405D16">
            <w:pPr>
              <w:spacing w:after="100"/>
              <w:rPr>
                <w:rFonts w:eastAsia="Times New Roman"/>
                <w:sz w:val="20"/>
                <w:szCs w:val="20"/>
              </w:rPr>
            </w:pPr>
          </w:p>
        </w:tc>
        <w:tc>
          <w:tcPr>
            <w:tcW w:w="0" w:type="auto"/>
            <w:gridSpan w:val="3"/>
            <w:vAlign w:val="center"/>
            <w:hideMark/>
          </w:tcPr>
          <w:p w14:paraId="5C734D52" w14:textId="77777777" w:rsidR="00000000" w:rsidRDefault="00405D16">
            <w:pPr>
              <w:spacing w:after="100"/>
              <w:rPr>
                <w:rFonts w:eastAsia="Times New Roman"/>
                <w:sz w:val="20"/>
                <w:szCs w:val="20"/>
              </w:rPr>
            </w:pPr>
          </w:p>
        </w:tc>
        <w:tc>
          <w:tcPr>
            <w:tcW w:w="0" w:type="auto"/>
            <w:gridSpan w:val="3"/>
            <w:vAlign w:val="center"/>
            <w:hideMark/>
          </w:tcPr>
          <w:p w14:paraId="4E6A2ED6" w14:textId="77777777" w:rsidR="00000000" w:rsidRDefault="00405D16">
            <w:pPr>
              <w:spacing w:after="100"/>
              <w:rPr>
                <w:rFonts w:eastAsia="Times New Roman"/>
                <w:sz w:val="20"/>
                <w:szCs w:val="20"/>
              </w:rPr>
            </w:pPr>
          </w:p>
        </w:tc>
        <w:tc>
          <w:tcPr>
            <w:tcW w:w="0" w:type="auto"/>
            <w:gridSpan w:val="3"/>
            <w:vAlign w:val="center"/>
            <w:hideMark/>
          </w:tcPr>
          <w:p w14:paraId="5A939EBC" w14:textId="77777777" w:rsidR="00000000" w:rsidRDefault="00405D16">
            <w:pPr>
              <w:spacing w:after="100"/>
              <w:rPr>
                <w:rFonts w:eastAsia="Times New Roman"/>
                <w:sz w:val="20"/>
                <w:szCs w:val="20"/>
              </w:rPr>
            </w:pPr>
          </w:p>
        </w:tc>
        <w:tc>
          <w:tcPr>
            <w:tcW w:w="0" w:type="auto"/>
            <w:gridSpan w:val="3"/>
            <w:vAlign w:val="center"/>
            <w:hideMark/>
          </w:tcPr>
          <w:p w14:paraId="6C3D67B6" w14:textId="77777777" w:rsidR="00000000" w:rsidRDefault="00405D16">
            <w:pPr>
              <w:spacing w:after="100"/>
              <w:rPr>
                <w:rFonts w:eastAsia="Times New Roman"/>
                <w:sz w:val="20"/>
                <w:szCs w:val="20"/>
              </w:rPr>
            </w:pPr>
          </w:p>
        </w:tc>
      </w:tr>
      <w:tr w:rsidR="00000000" w14:paraId="2E5AD636" w14:textId="77777777">
        <w:tc>
          <w:tcPr>
            <w:tcW w:w="0" w:type="auto"/>
            <w:gridSpan w:val="3"/>
            <w:shd w:val="clear" w:color="auto" w:fill="CCEEFF"/>
            <w:tcMar>
              <w:top w:w="30" w:type="dxa"/>
              <w:left w:w="245" w:type="dxa"/>
              <w:bottom w:w="30" w:type="dxa"/>
              <w:right w:w="20" w:type="dxa"/>
            </w:tcMar>
            <w:vAlign w:val="center"/>
            <w:hideMark/>
          </w:tcPr>
          <w:p w14:paraId="1DC6E3E2" w14:textId="77777777" w:rsidR="00000000" w:rsidRDefault="00405D16">
            <w:pPr>
              <w:spacing w:after="100"/>
              <w:rPr>
                <w:rFonts w:eastAsia="Times New Roman"/>
              </w:rPr>
            </w:pPr>
            <w:r>
              <w:rPr>
                <w:rFonts w:eastAsia="Times New Roman"/>
                <w:color w:val="000000"/>
                <w:sz w:val="18"/>
                <w:szCs w:val="18"/>
              </w:rPr>
              <w:t>Interest payable</w:t>
            </w:r>
          </w:p>
        </w:tc>
        <w:tc>
          <w:tcPr>
            <w:tcW w:w="0" w:type="auto"/>
            <w:gridSpan w:val="3"/>
            <w:shd w:val="clear" w:color="auto" w:fill="CCEEFF"/>
            <w:tcMar>
              <w:top w:w="0" w:type="dxa"/>
              <w:left w:w="20" w:type="dxa"/>
              <w:bottom w:w="0" w:type="dxa"/>
              <w:right w:w="20" w:type="dxa"/>
            </w:tcMar>
            <w:vAlign w:val="center"/>
            <w:hideMark/>
          </w:tcPr>
          <w:p w14:paraId="72211430"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A107364" w14:textId="77777777" w:rsidR="00000000" w:rsidRDefault="00405D16">
            <w:pPr>
              <w:spacing w:after="100"/>
              <w:jc w:val="right"/>
              <w:rPr>
                <w:rFonts w:eastAsia="Times New Roman"/>
              </w:rPr>
            </w:pPr>
            <w:r>
              <w:rPr>
                <w:rFonts w:eastAsia="Times New Roman"/>
                <w:color w:val="000000"/>
                <w:sz w:val="18"/>
                <w:szCs w:val="18"/>
              </w:rPr>
              <w:t>352 </w:t>
            </w:r>
          </w:p>
        </w:tc>
        <w:tc>
          <w:tcPr>
            <w:tcW w:w="0" w:type="auto"/>
            <w:shd w:val="clear" w:color="auto" w:fill="CCEEFF"/>
            <w:tcMar>
              <w:top w:w="30" w:type="dxa"/>
              <w:left w:w="0" w:type="dxa"/>
              <w:bottom w:w="30" w:type="dxa"/>
              <w:right w:w="20" w:type="dxa"/>
            </w:tcMar>
            <w:vAlign w:val="center"/>
            <w:hideMark/>
          </w:tcPr>
          <w:p w14:paraId="6427AA3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B975D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5EB8B7B" w14:textId="77777777" w:rsidR="00000000" w:rsidRDefault="00405D16">
            <w:pPr>
              <w:spacing w:after="100"/>
              <w:jc w:val="right"/>
              <w:rPr>
                <w:rFonts w:eastAsia="Times New Roman"/>
              </w:rPr>
            </w:pPr>
            <w:r>
              <w:rPr>
                <w:rFonts w:eastAsia="Times New Roman"/>
                <w:color w:val="000000"/>
                <w:sz w:val="18"/>
                <w:szCs w:val="18"/>
              </w:rPr>
              <w:t>352 </w:t>
            </w:r>
          </w:p>
        </w:tc>
        <w:tc>
          <w:tcPr>
            <w:tcW w:w="0" w:type="auto"/>
            <w:shd w:val="clear" w:color="auto" w:fill="CCEEFF"/>
            <w:tcMar>
              <w:top w:w="30" w:type="dxa"/>
              <w:left w:w="0" w:type="dxa"/>
              <w:bottom w:w="30" w:type="dxa"/>
              <w:right w:w="20" w:type="dxa"/>
            </w:tcMar>
            <w:vAlign w:val="center"/>
            <w:hideMark/>
          </w:tcPr>
          <w:p w14:paraId="7852D29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669E3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7D05B0E"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7F41EEF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79737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15062B2" w14:textId="77777777" w:rsidR="00000000" w:rsidRDefault="00405D16">
            <w:pPr>
              <w:spacing w:after="100"/>
              <w:jc w:val="right"/>
              <w:rPr>
                <w:rFonts w:eastAsia="Times New Roman"/>
              </w:rPr>
            </w:pPr>
            <w:r>
              <w:rPr>
                <w:rFonts w:eastAsia="Times New Roman"/>
                <w:color w:val="000000"/>
                <w:sz w:val="18"/>
                <w:szCs w:val="18"/>
              </w:rPr>
              <w:t>352 </w:t>
            </w:r>
          </w:p>
        </w:tc>
        <w:tc>
          <w:tcPr>
            <w:tcW w:w="0" w:type="auto"/>
            <w:shd w:val="clear" w:color="auto" w:fill="CCEEFF"/>
            <w:tcMar>
              <w:top w:w="30" w:type="dxa"/>
              <w:left w:w="0" w:type="dxa"/>
              <w:bottom w:w="30" w:type="dxa"/>
              <w:right w:w="20" w:type="dxa"/>
            </w:tcMar>
            <w:vAlign w:val="center"/>
            <w:hideMark/>
          </w:tcPr>
          <w:p w14:paraId="53E709C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6FCDB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933FA4A"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7A15B8AE" w14:textId="77777777" w:rsidR="00000000" w:rsidRDefault="00405D16">
            <w:pPr>
              <w:spacing w:after="100"/>
              <w:jc w:val="right"/>
              <w:rPr>
                <w:rFonts w:eastAsia="Times New Roman"/>
              </w:rPr>
            </w:pPr>
          </w:p>
        </w:tc>
      </w:tr>
    </w:tbl>
    <w:p w14:paraId="6DD897C7" w14:textId="77777777" w:rsidR="00000000" w:rsidRDefault="00405D16">
      <w:pPr>
        <w:rPr>
          <w:rFonts w:eastAsia="Times New Roman"/>
        </w:rPr>
      </w:pPr>
      <w:r>
        <w:rPr>
          <w:rFonts w:eastAsia="Times New Roman"/>
          <w:color w:val="000000"/>
          <w:sz w:val="20"/>
          <w:szCs w:val="20"/>
        </w:rPr>
        <w:t>__________</w:t>
      </w:r>
    </w:p>
    <w:p w14:paraId="2943960B" w14:textId="77777777" w:rsidR="00000000" w:rsidRDefault="00405D16">
      <w:pPr>
        <w:ind w:hanging="360"/>
        <w:jc w:val="both"/>
        <w:divId w:val="115160024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Other investments include FHLB and Federal Reserve stock. These investments are included in other assets on our consolidated balance sh</w:t>
      </w:r>
      <w:r>
        <w:rPr>
          <w:rFonts w:eastAsia="Times New Roman"/>
          <w:color w:val="000000"/>
          <w:sz w:val="16"/>
          <w:szCs w:val="16"/>
        </w:rPr>
        <w:t>eets.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34056770" w14:textId="77777777">
        <w:trPr>
          <w:divId w:val="1166945486"/>
          <w:jc w:val="center"/>
        </w:trPr>
        <w:tc>
          <w:tcPr>
            <w:tcW w:w="50" w:type="pct"/>
            <w:vAlign w:val="center"/>
            <w:hideMark/>
          </w:tcPr>
          <w:p w14:paraId="20DFFB71" w14:textId="77777777" w:rsidR="00000000" w:rsidRDefault="00405D16">
            <w:pPr>
              <w:ind w:hanging="360"/>
              <w:jc w:val="both"/>
              <w:rPr>
                <w:rFonts w:eastAsia="Times New Roman"/>
              </w:rPr>
            </w:pPr>
          </w:p>
        </w:tc>
        <w:tc>
          <w:tcPr>
            <w:tcW w:w="1606" w:type="pct"/>
            <w:vAlign w:val="center"/>
            <w:hideMark/>
          </w:tcPr>
          <w:p w14:paraId="4BBDD08D" w14:textId="77777777" w:rsidR="00000000" w:rsidRDefault="00405D16">
            <w:pPr>
              <w:spacing w:after="100"/>
              <w:rPr>
                <w:rFonts w:eastAsia="Times New Roman"/>
                <w:sz w:val="20"/>
                <w:szCs w:val="20"/>
              </w:rPr>
            </w:pPr>
          </w:p>
        </w:tc>
        <w:tc>
          <w:tcPr>
            <w:tcW w:w="5" w:type="pct"/>
            <w:vAlign w:val="center"/>
            <w:hideMark/>
          </w:tcPr>
          <w:p w14:paraId="4BF69B65" w14:textId="77777777" w:rsidR="00000000" w:rsidRDefault="00405D16">
            <w:pPr>
              <w:spacing w:after="100"/>
              <w:rPr>
                <w:rFonts w:eastAsia="Times New Roman"/>
                <w:sz w:val="20"/>
                <w:szCs w:val="20"/>
              </w:rPr>
            </w:pPr>
          </w:p>
        </w:tc>
        <w:tc>
          <w:tcPr>
            <w:tcW w:w="50" w:type="pct"/>
            <w:vAlign w:val="center"/>
            <w:hideMark/>
          </w:tcPr>
          <w:p w14:paraId="4EB45A4A" w14:textId="77777777" w:rsidR="00000000" w:rsidRDefault="00405D16">
            <w:pPr>
              <w:spacing w:after="100"/>
              <w:rPr>
                <w:rFonts w:eastAsia="Times New Roman"/>
                <w:sz w:val="20"/>
                <w:szCs w:val="20"/>
              </w:rPr>
            </w:pPr>
          </w:p>
        </w:tc>
        <w:tc>
          <w:tcPr>
            <w:tcW w:w="1614" w:type="pct"/>
            <w:vAlign w:val="center"/>
            <w:hideMark/>
          </w:tcPr>
          <w:p w14:paraId="77F8B899" w14:textId="77777777" w:rsidR="00000000" w:rsidRDefault="00405D16">
            <w:pPr>
              <w:spacing w:after="100"/>
              <w:rPr>
                <w:rFonts w:eastAsia="Times New Roman"/>
                <w:sz w:val="20"/>
                <w:szCs w:val="20"/>
              </w:rPr>
            </w:pPr>
          </w:p>
        </w:tc>
        <w:tc>
          <w:tcPr>
            <w:tcW w:w="5" w:type="pct"/>
            <w:vAlign w:val="center"/>
            <w:hideMark/>
          </w:tcPr>
          <w:p w14:paraId="1BCEBF1E" w14:textId="77777777" w:rsidR="00000000" w:rsidRDefault="00405D16">
            <w:pPr>
              <w:spacing w:after="100"/>
              <w:rPr>
                <w:rFonts w:eastAsia="Times New Roman"/>
                <w:sz w:val="20"/>
                <w:szCs w:val="20"/>
              </w:rPr>
            </w:pPr>
          </w:p>
        </w:tc>
        <w:tc>
          <w:tcPr>
            <w:tcW w:w="50" w:type="pct"/>
            <w:vAlign w:val="center"/>
            <w:hideMark/>
          </w:tcPr>
          <w:p w14:paraId="6586AD59" w14:textId="77777777" w:rsidR="00000000" w:rsidRDefault="00405D16">
            <w:pPr>
              <w:spacing w:after="100"/>
              <w:rPr>
                <w:rFonts w:eastAsia="Times New Roman"/>
                <w:sz w:val="20"/>
                <w:szCs w:val="20"/>
              </w:rPr>
            </w:pPr>
          </w:p>
        </w:tc>
        <w:tc>
          <w:tcPr>
            <w:tcW w:w="1614" w:type="pct"/>
            <w:vAlign w:val="center"/>
            <w:hideMark/>
          </w:tcPr>
          <w:p w14:paraId="7AB52C29" w14:textId="77777777" w:rsidR="00000000" w:rsidRDefault="00405D16">
            <w:pPr>
              <w:spacing w:after="100"/>
              <w:rPr>
                <w:rFonts w:eastAsia="Times New Roman"/>
                <w:sz w:val="20"/>
                <w:szCs w:val="20"/>
              </w:rPr>
            </w:pPr>
          </w:p>
        </w:tc>
        <w:tc>
          <w:tcPr>
            <w:tcW w:w="5" w:type="pct"/>
            <w:vAlign w:val="center"/>
            <w:hideMark/>
          </w:tcPr>
          <w:p w14:paraId="136C1244" w14:textId="77777777" w:rsidR="00000000" w:rsidRDefault="00405D16">
            <w:pPr>
              <w:spacing w:after="100"/>
              <w:rPr>
                <w:rFonts w:eastAsia="Times New Roman"/>
                <w:sz w:val="20"/>
                <w:szCs w:val="20"/>
              </w:rPr>
            </w:pPr>
          </w:p>
        </w:tc>
      </w:tr>
      <w:tr w:rsidR="00000000" w14:paraId="0600CAD6" w14:textId="77777777">
        <w:trPr>
          <w:divId w:val="1166945486"/>
          <w:trHeight w:val="300"/>
          <w:jc w:val="center"/>
        </w:trPr>
        <w:tc>
          <w:tcPr>
            <w:tcW w:w="0" w:type="auto"/>
            <w:gridSpan w:val="9"/>
            <w:tcMar>
              <w:top w:w="0" w:type="dxa"/>
              <w:left w:w="20" w:type="dxa"/>
              <w:bottom w:w="0" w:type="dxa"/>
              <w:right w:w="20" w:type="dxa"/>
            </w:tcMar>
            <w:vAlign w:val="center"/>
            <w:hideMark/>
          </w:tcPr>
          <w:p w14:paraId="4E5DF806" w14:textId="77777777" w:rsidR="00000000" w:rsidRDefault="00405D16">
            <w:pPr>
              <w:spacing w:after="100"/>
              <w:rPr>
                <w:rFonts w:eastAsia="Times New Roman"/>
                <w:sz w:val="20"/>
                <w:szCs w:val="20"/>
              </w:rPr>
            </w:pPr>
          </w:p>
        </w:tc>
      </w:tr>
      <w:tr w:rsidR="00000000" w14:paraId="4A7A9CD6" w14:textId="77777777">
        <w:trPr>
          <w:divId w:val="1166945486"/>
          <w:jc w:val="center"/>
        </w:trPr>
        <w:tc>
          <w:tcPr>
            <w:tcW w:w="0" w:type="auto"/>
            <w:gridSpan w:val="3"/>
            <w:tcMar>
              <w:top w:w="0" w:type="dxa"/>
              <w:left w:w="20" w:type="dxa"/>
              <w:bottom w:w="0" w:type="dxa"/>
              <w:right w:w="20" w:type="dxa"/>
            </w:tcMar>
            <w:vAlign w:val="center"/>
            <w:hideMark/>
          </w:tcPr>
          <w:p w14:paraId="6772203F"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04C0D0C" w14:textId="77777777" w:rsidR="00000000" w:rsidRDefault="00405D16">
            <w:pPr>
              <w:spacing w:after="100"/>
              <w:jc w:val="center"/>
              <w:rPr>
                <w:rFonts w:eastAsia="Times New Roman"/>
              </w:rPr>
            </w:pPr>
            <w:r>
              <w:rPr>
                <w:rFonts w:eastAsia="Times New Roman"/>
                <w:color w:val="000000"/>
                <w:sz w:val="16"/>
                <w:szCs w:val="16"/>
              </w:rPr>
              <w:t>124</w:t>
            </w:r>
          </w:p>
        </w:tc>
        <w:tc>
          <w:tcPr>
            <w:tcW w:w="0" w:type="auto"/>
            <w:gridSpan w:val="3"/>
            <w:tcMar>
              <w:top w:w="30" w:type="dxa"/>
              <w:left w:w="20" w:type="dxa"/>
              <w:bottom w:w="30" w:type="dxa"/>
              <w:right w:w="20" w:type="dxa"/>
            </w:tcMar>
            <w:vAlign w:val="bottom"/>
            <w:hideMark/>
          </w:tcPr>
          <w:p w14:paraId="209D3803"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5CDF9E19" w14:textId="77777777" w:rsidR="00000000" w:rsidRDefault="00405D16">
      <w:pPr>
        <w:rPr>
          <w:rFonts w:eastAsia="Times New Roman"/>
        </w:rPr>
      </w:pPr>
      <w:r>
        <w:rPr>
          <w:rFonts w:eastAsia="Times New Roman"/>
        </w:rPr>
        <w:pict w14:anchorId="4178AADF">
          <v:rect id="_x0000_i1149" style="width:0;height:1.5pt" o:hralign="center" o:hrstd="t" o:hr="t" fillcolor="#a0a0a0" stroked="f"/>
        </w:pict>
      </w:r>
    </w:p>
    <w:p w14:paraId="09C1158E" w14:textId="77777777" w:rsidR="00000000" w:rsidRDefault="00405D16">
      <w:pPr>
        <w:jc w:val="both"/>
        <w:divId w:val="1400247876"/>
        <w:rPr>
          <w:rFonts w:eastAsia="Times New Roman"/>
        </w:rPr>
      </w:pPr>
      <w:hyperlink w:anchor="idd54a04a485440b4ab4e56094c14d612_13" w:history="1">
        <w:r>
          <w:rPr>
            <w:rStyle w:val="a3"/>
            <w:rFonts w:eastAsia="Times New Roman"/>
            <w:sz w:val="16"/>
            <w:szCs w:val="16"/>
          </w:rPr>
          <w:t>Table of Contents</w:t>
        </w:r>
      </w:hyperlink>
    </w:p>
    <w:p w14:paraId="4F648E59" w14:textId="77777777" w:rsidR="00000000" w:rsidRDefault="00405D16">
      <w:pPr>
        <w:jc w:val="center"/>
        <w:divId w:val="140024787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3948333C" w14:textId="77777777">
        <w:trPr>
          <w:divId w:val="1788426079"/>
        </w:trPr>
        <w:tc>
          <w:tcPr>
            <w:tcW w:w="50" w:type="pct"/>
            <w:vAlign w:val="center"/>
            <w:hideMark/>
          </w:tcPr>
          <w:p w14:paraId="5FB5DB26" w14:textId="77777777" w:rsidR="00000000" w:rsidRDefault="00405D16">
            <w:pPr>
              <w:jc w:val="center"/>
              <w:rPr>
                <w:rFonts w:eastAsia="Times New Roman"/>
              </w:rPr>
            </w:pPr>
          </w:p>
        </w:tc>
        <w:tc>
          <w:tcPr>
            <w:tcW w:w="4945" w:type="pct"/>
            <w:vAlign w:val="center"/>
            <w:hideMark/>
          </w:tcPr>
          <w:p w14:paraId="5EA53372" w14:textId="77777777" w:rsidR="00000000" w:rsidRDefault="00405D16">
            <w:pPr>
              <w:spacing w:after="100"/>
              <w:rPr>
                <w:rFonts w:eastAsia="Times New Roman"/>
                <w:sz w:val="20"/>
                <w:szCs w:val="20"/>
              </w:rPr>
            </w:pPr>
          </w:p>
        </w:tc>
        <w:tc>
          <w:tcPr>
            <w:tcW w:w="5" w:type="pct"/>
            <w:vAlign w:val="center"/>
            <w:hideMark/>
          </w:tcPr>
          <w:p w14:paraId="02B372CF" w14:textId="77777777" w:rsidR="00000000" w:rsidRDefault="00405D16">
            <w:pPr>
              <w:spacing w:after="100"/>
              <w:rPr>
                <w:rFonts w:eastAsia="Times New Roman"/>
                <w:sz w:val="20"/>
                <w:szCs w:val="20"/>
              </w:rPr>
            </w:pPr>
          </w:p>
        </w:tc>
      </w:tr>
      <w:tr w:rsidR="00000000" w14:paraId="03EE008D" w14:textId="77777777">
        <w:trPr>
          <w:divId w:val="1788426079"/>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21E25BF1" w14:textId="77777777" w:rsidR="00000000" w:rsidRDefault="00405D16">
            <w:pPr>
              <w:spacing w:after="100"/>
              <w:rPr>
                <w:rFonts w:eastAsia="Times New Roman"/>
              </w:rPr>
            </w:pPr>
            <w:r>
              <w:rPr>
                <w:rFonts w:eastAsia="Times New Roman"/>
                <w:b/>
                <w:bCs/>
                <w:color w:val="000000"/>
                <w:sz w:val="20"/>
                <w:szCs w:val="20"/>
              </w:rPr>
              <w:t>NOTE 12—BUSINESS SEGMENTS AND REVENUE FROM CONTRACTS WITH CUSTOMERS</w:t>
            </w:r>
          </w:p>
        </w:tc>
      </w:tr>
    </w:tbl>
    <w:p w14:paraId="5C97C616" w14:textId="77777777" w:rsidR="00000000" w:rsidRDefault="00405D16">
      <w:pPr>
        <w:jc w:val="both"/>
        <w:divId w:val="1339694124"/>
        <w:rPr>
          <w:rFonts w:eastAsia="Times New Roman"/>
        </w:rPr>
      </w:pPr>
      <w:r>
        <w:rPr>
          <w:rFonts w:eastAsia="Times New Roman"/>
          <w:color w:val="000000"/>
          <w:sz w:val="20"/>
          <w:szCs w:val="20"/>
        </w:rPr>
        <w:t>Our principal operations are organized into three major business segments, which are defined primarily based on the products and services provided or the types of customers served: Credit Card, Consumer Banking and Commercial Banking. The operations of acq</w:t>
      </w:r>
      <w:r>
        <w:rPr>
          <w:rFonts w:eastAsia="Times New Roman"/>
          <w:color w:val="000000"/>
          <w:sz w:val="20"/>
          <w:szCs w:val="20"/>
        </w:rPr>
        <w:t>uired businesses have been integrated into or managed as a part of our existing business segments. Certain activities that are not part of a segment, such as management of our corporate investment portfolio, asset/liability management by our centralized Co</w:t>
      </w:r>
      <w:r>
        <w:rPr>
          <w:rFonts w:eastAsia="Times New Roman"/>
          <w:color w:val="000000"/>
          <w:sz w:val="20"/>
          <w:szCs w:val="20"/>
        </w:rPr>
        <w:t>rporate Treasury group and residual tax expense or benefit to arrive at the consolidated effective tax rate that is not assessed to our primary business segments, are included in the Other category.</w:t>
      </w:r>
    </w:p>
    <w:p w14:paraId="459721EB" w14:textId="77777777" w:rsidR="00000000" w:rsidRDefault="00405D16">
      <w:pPr>
        <w:divId w:val="1277327662"/>
        <w:rPr>
          <w:rFonts w:eastAsia="Times New Roman"/>
        </w:rPr>
      </w:pPr>
      <w:r>
        <w:rPr>
          <w:rFonts w:eastAsia="Times New Roman"/>
          <w:b/>
          <w:bCs/>
          <w:color w:val="000000"/>
          <w:sz w:val="20"/>
          <w:szCs w:val="20"/>
        </w:rPr>
        <w:t>Basis of Presentation</w:t>
      </w:r>
    </w:p>
    <w:p w14:paraId="51FD0BBD" w14:textId="77777777" w:rsidR="00000000" w:rsidRDefault="00405D16">
      <w:pPr>
        <w:jc w:val="both"/>
        <w:divId w:val="2087336308"/>
        <w:rPr>
          <w:rFonts w:eastAsia="Times New Roman"/>
        </w:rPr>
      </w:pPr>
      <w:r>
        <w:rPr>
          <w:rFonts w:eastAsia="Times New Roman"/>
          <w:color w:val="000000"/>
          <w:sz w:val="20"/>
          <w:szCs w:val="20"/>
        </w:rPr>
        <w:t>We report the results of each of ou</w:t>
      </w:r>
      <w:r>
        <w:rPr>
          <w:rFonts w:eastAsia="Times New Roman"/>
          <w:color w:val="000000"/>
          <w:sz w:val="20"/>
          <w:szCs w:val="20"/>
        </w:rPr>
        <w:t xml:space="preserve">r business segments on a continuing operations basis. The results of our individual businesses reflect the manner in which management evaluates performance and makes decisions about funding our operations and allocating resources. </w:t>
      </w:r>
    </w:p>
    <w:p w14:paraId="73B8238E" w14:textId="77777777" w:rsidR="00000000" w:rsidRDefault="00405D16">
      <w:pPr>
        <w:divId w:val="1072964706"/>
        <w:rPr>
          <w:rFonts w:eastAsia="Times New Roman"/>
        </w:rPr>
      </w:pPr>
      <w:r>
        <w:rPr>
          <w:rFonts w:eastAsia="Times New Roman"/>
          <w:b/>
          <w:bCs/>
          <w:color w:val="000000"/>
          <w:sz w:val="20"/>
          <w:szCs w:val="20"/>
        </w:rPr>
        <w:t>Business Segment Reporti</w:t>
      </w:r>
      <w:r>
        <w:rPr>
          <w:rFonts w:eastAsia="Times New Roman"/>
          <w:b/>
          <w:bCs/>
          <w:color w:val="000000"/>
          <w:sz w:val="20"/>
          <w:szCs w:val="20"/>
        </w:rPr>
        <w:t>ng Methodology</w:t>
      </w:r>
    </w:p>
    <w:p w14:paraId="7A38ECE1" w14:textId="77777777" w:rsidR="00000000" w:rsidRDefault="00405D16">
      <w:pPr>
        <w:jc w:val="both"/>
        <w:divId w:val="1237518313"/>
        <w:rPr>
          <w:rFonts w:eastAsia="Times New Roman"/>
        </w:rPr>
      </w:pPr>
      <w:r>
        <w:rPr>
          <w:rFonts w:eastAsia="Times New Roman"/>
          <w:color w:val="000000"/>
          <w:sz w:val="20"/>
          <w:szCs w:val="20"/>
        </w:rPr>
        <w:t>The results of our business segments are intended to present each segment as if it were a stand-alone business. Our internal management and reporting process used to derive our segment results employs various allocation methodologies, includ</w:t>
      </w:r>
      <w:r>
        <w:rPr>
          <w:rFonts w:eastAsia="Times New Roman"/>
          <w:color w:val="000000"/>
          <w:sz w:val="20"/>
          <w:szCs w:val="20"/>
        </w:rPr>
        <w:t>ing funds transfer pricing, to assign certain balance sheet assets, deposits and other liabilities and their related revenue and expenses directly or indirectly attributable to each business segment. Our funds transfer pricing process provides a funds cred</w:t>
      </w:r>
      <w:r>
        <w:rPr>
          <w:rFonts w:eastAsia="Times New Roman"/>
          <w:color w:val="000000"/>
          <w:sz w:val="20"/>
          <w:szCs w:val="20"/>
        </w:rPr>
        <w:t>it for sources of funds, such as deposits generated by our Consumer Banking and Commercial Banking businesses, and a funds charge for the use of funds by each segment. Due to the integrated nature of our business segments, estimates and judgments have been</w:t>
      </w:r>
      <w:r>
        <w:rPr>
          <w:rFonts w:eastAsia="Times New Roman"/>
          <w:color w:val="000000"/>
          <w:sz w:val="20"/>
          <w:szCs w:val="20"/>
        </w:rPr>
        <w:t xml:space="preserve"> made in allocating certain revenue and expense items. Transactions between segments are based on specific criteria or approximate third-party rates. We regularly assess the assumptions, methodologies and reporting classifications used for segment reportin</w:t>
      </w:r>
      <w:r>
        <w:rPr>
          <w:rFonts w:eastAsia="Times New Roman"/>
          <w:color w:val="000000"/>
          <w:sz w:val="20"/>
          <w:szCs w:val="20"/>
        </w:rPr>
        <w:t>g, which may result in the implementation of refinements or changes in future periods. We provide additional information on the allocation methodologies used to derive our business segment results in “Note 17—Business Segments and Revenue from Contracts wi</w:t>
      </w:r>
      <w:r>
        <w:rPr>
          <w:rFonts w:eastAsia="Times New Roman"/>
          <w:color w:val="000000"/>
          <w:sz w:val="20"/>
          <w:szCs w:val="20"/>
        </w:rPr>
        <w:t>th Customers” in our 2020 Form 10-K.</w:t>
      </w:r>
    </w:p>
    <w:p w14:paraId="74E45BF6" w14:textId="77777777" w:rsidR="00000000" w:rsidRDefault="00405D16">
      <w:pPr>
        <w:divId w:val="2022319370"/>
        <w:rPr>
          <w:rFonts w:eastAsia="Times New Roman"/>
        </w:rPr>
      </w:pPr>
      <w:r>
        <w:rPr>
          <w:rFonts w:eastAsia="Times New Roman"/>
          <w:b/>
          <w:bCs/>
          <w:color w:val="000000"/>
          <w:sz w:val="20"/>
          <w:szCs w:val="20"/>
        </w:rPr>
        <w:t>Segment Results and Reconciliation</w:t>
      </w:r>
    </w:p>
    <w:p w14:paraId="77A8DFAE" w14:textId="77777777" w:rsidR="00000000" w:rsidRDefault="00405D16">
      <w:pPr>
        <w:jc w:val="both"/>
        <w:divId w:val="270016899"/>
        <w:rPr>
          <w:rFonts w:eastAsia="Times New Roman"/>
        </w:rPr>
      </w:pPr>
      <w:r>
        <w:rPr>
          <w:rFonts w:eastAsia="Times New Roman"/>
          <w:color w:val="000000"/>
          <w:sz w:val="20"/>
          <w:szCs w:val="20"/>
        </w:rPr>
        <w:t>We may periodically change our business segments or reclassify business segment results based on modifications to our management reporting methodologies or changes in organizational alignment. The following table presents our business segment results for t</w:t>
      </w:r>
      <w:r>
        <w:rPr>
          <w:rFonts w:eastAsia="Times New Roman"/>
          <w:color w:val="000000"/>
          <w:sz w:val="20"/>
          <w:szCs w:val="20"/>
        </w:rPr>
        <w:t>he three and nine months ended September 30, 2021 and 2020, selected balance sheet data as of September 30, 2021 and 2020, and a reconciliation of our total business segment results to our reported consolidated income from continuing operations, loans held</w:t>
      </w:r>
      <w:r>
        <w:rPr>
          <w:rFonts w:eastAsia="Times New Roman"/>
          <w:color w:val="000000"/>
          <w:sz w:val="20"/>
          <w:szCs w:val="20"/>
        </w:rPr>
        <w:t xml:space="preserve"> for investment and deposits.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75768807" w14:textId="77777777">
        <w:trPr>
          <w:divId w:val="1585068887"/>
          <w:jc w:val="center"/>
        </w:trPr>
        <w:tc>
          <w:tcPr>
            <w:tcW w:w="50" w:type="pct"/>
            <w:vAlign w:val="center"/>
            <w:hideMark/>
          </w:tcPr>
          <w:p w14:paraId="249A0508" w14:textId="77777777" w:rsidR="00000000" w:rsidRDefault="00405D16">
            <w:pPr>
              <w:jc w:val="both"/>
              <w:rPr>
                <w:rFonts w:eastAsia="Times New Roman"/>
              </w:rPr>
            </w:pPr>
          </w:p>
        </w:tc>
        <w:tc>
          <w:tcPr>
            <w:tcW w:w="1606" w:type="pct"/>
            <w:vAlign w:val="center"/>
            <w:hideMark/>
          </w:tcPr>
          <w:p w14:paraId="43BFD042" w14:textId="77777777" w:rsidR="00000000" w:rsidRDefault="00405D16">
            <w:pPr>
              <w:spacing w:after="100"/>
              <w:rPr>
                <w:rFonts w:eastAsia="Times New Roman"/>
                <w:sz w:val="20"/>
                <w:szCs w:val="20"/>
              </w:rPr>
            </w:pPr>
          </w:p>
        </w:tc>
        <w:tc>
          <w:tcPr>
            <w:tcW w:w="5" w:type="pct"/>
            <w:vAlign w:val="center"/>
            <w:hideMark/>
          </w:tcPr>
          <w:p w14:paraId="30A55157" w14:textId="77777777" w:rsidR="00000000" w:rsidRDefault="00405D16">
            <w:pPr>
              <w:spacing w:after="100"/>
              <w:rPr>
                <w:rFonts w:eastAsia="Times New Roman"/>
                <w:sz w:val="20"/>
                <w:szCs w:val="20"/>
              </w:rPr>
            </w:pPr>
          </w:p>
        </w:tc>
        <w:tc>
          <w:tcPr>
            <w:tcW w:w="50" w:type="pct"/>
            <w:vAlign w:val="center"/>
            <w:hideMark/>
          </w:tcPr>
          <w:p w14:paraId="512E3685" w14:textId="77777777" w:rsidR="00000000" w:rsidRDefault="00405D16">
            <w:pPr>
              <w:spacing w:after="100"/>
              <w:rPr>
                <w:rFonts w:eastAsia="Times New Roman"/>
                <w:sz w:val="20"/>
                <w:szCs w:val="20"/>
              </w:rPr>
            </w:pPr>
          </w:p>
        </w:tc>
        <w:tc>
          <w:tcPr>
            <w:tcW w:w="1614" w:type="pct"/>
            <w:vAlign w:val="center"/>
            <w:hideMark/>
          </w:tcPr>
          <w:p w14:paraId="74EE63D4" w14:textId="77777777" w:rsidR="00000000" w:rsidRDefault="00405D16">
            <w:pPr>
              <w:spacing w:after="100"/>
              <w:rPr>
                <w:rFonts w:eastAsia="Times New Roman"/>
                <w:sz w:val="20"/>
                <w:szCs w:val="20"/>
              </w:rPr>
            </w:pPr>
          </w:p>
        </w:tc>
        <w:tc>
          <w:tcPr>
            <w:tcW w:w="5" w:type="pct"/>
            <w:vAlign w:val="center"/>
            <w:hideMark/>
          </w:tcPr>
          <w:p w14:paraId="7878C236" w14:textId="77777777" w:rsidR="00000000" w:rsidRDefault="00405D16">
            <w:pPr>
              <w:spacing w:after="100"/>
              <w:rPr>
                <w:rFonts w:eastAsia="Times New Roman"/>
                <w:sz w:val="20"/>
                <w:szCs w:val="20"/>
              </w:rPr>
            </w:pPr>
          </w:p>
        </w:tc>
        <w:tc>
          <w:tcPr>
            <w:tcW w:w="50" w:type="pct"/>
            <w:vAlign w:val="center"/>
            <w:hideMark/>
          </w:tcPr>
          <w:p w14:paraId="4BBF77BE" w14:textId="77777777" w:rsidR="00000000" w:rsidRDefault="00405D16">
            <w:pPr>
              <w:spacing w:after="100"/>
              <w:rPr>
                <w:rFonts w:eastAsia="Times New Roman"/>
                <w:sz w:val="20"/>
                <w:szCs w:val="20"/>
              </w:rPr>
            </w:pPr>
          </w:p>
        </w:tc>
        <w:tc>
          <w:tcPr>
            <w:tcW w:w="1614" w:type="pct"/>
            <w:vAlign w:val="center"/>
            <w:hideMark/>
          </w:tcPr>
          <w:p w14:paraId="0B61A40B" w14:textId="77777777" w:rsidR="00000000" w:rsidRDefault="00405D16">
            <w:pPr>
              <w:spacing w:after="100"/>
              <w:rPr>
                <w:rFonts w:eastAsia="Times New Roman"/>
                <w:sz w:val="20"/>
                <w:szCs w:val="20"/>
              </w:rPr>
            </w:pPr>
          </w:p>
        </w:tc>
        <w:tc>
          <w:tcPr>
            <w:tcW w:w="5" w:type="pct"/>
            <w:vAlign w:val="center"/>
            <w:hideMark/>
          </w:tcPr>
          <w:p w14:paraId="3BDF02AD" w14:textId="77777777" w:rsidR="00000000" w:rsidRDefault="00405D16">
            <w:pPr>
              <w:spacing w:after="100"/>
              <w:rPr>
                <w:rFonts w:eastAsia="Times New Roman"/>
                <w:sz w:val="20"/>
                <w:szCs w:val="20"/>
              </w:rPr>
            </w:pPr>
          </w:p>
        </w:tc>
      </w:tr>
      <w:tr w:rsidR="00000000" w14:paraId="37261059" w14:textId="77777777">
        <w:trPr>
          <w:divId w:val="1585068887"/>
          <w:trHeight w:val="300"/>
          <w:jc w:val="center"/>
        </w:trPr>
        <w:tc>
          <w:tcPr>
            <w:tcW w:w="0" w:type="auto"/>
            <w:gridSpan w:val="9"/>
            <w:tcMar>
              <w:top w:w="0" w:type="dxa"/>
              <w:left w:w="20" w:type="dxa"/>
              <w:bottom w:w="0" w:type="dxa"/>
              <w:right w:w="20" w:type="dxa"/>
            </w:tcMar>
            <w:vAlign w:val="center"/>
            <w:hideMark/>
          </w:tcPr>
          <w:p w14:paraId="5F4D64EF" w14:textId="77777777" w:rsidR="00000000" w:rsidRDefault="00405D16">
            <w:pPr>
              <w:spacing w:after="100"/>
              <w:rPr>
                <w:rFonts w:eastAsia="Times New Roman"/>
                <w:sz w:val="20"/>
                <w:szCs w:val="20"/>
              </w:rPr>
            </w:pPr>
          </w:p>
        </w:tc>
      </w:tr>
      <w:tr w:rsidR="00000000" w14:paraId="26562892" w14:textId="77777777">
        <w:trPr>
          <w:divId w:val="1585068887"/>
          <w:jc w:val="center"/>
        </w:trPr>
        <w:tc>
          <w:tcPr>
            <w:tcW w:w="0" w:type="auto"/>
            <w:gridSpan w:val="3"/>
            <w:tcMar>
              <w:top w:w="0" w:type="dxa"/>
              <w:left w:w="20" w:type="dxa"/>
              <w:bottom w:w="0" w:type="dxa"/>
              <w:right w:w="20" w:type="dxa"/>
            </w:tcMar>
            <w:vAlign w:val="center"/>
            <w:hideMark/>
          </w:tcPr>
          <w:p w14:paraId="4A4DF2E9"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B6CA08C" w14:textId="77777777" w:rsidR="00000000" w:rsidRDefault="00405D16">
            <w:pPr>
              <w:spacing w:after="100"/>
              <w:jc w:val="center"/>
              <w:rPr>
                <w:rFonts w:eastAsia="Times New Roman"/>
              </w:rPr>
            </w:pPr>
            <w:r>
              <w:rPr>
                <w:rFonts w:eastAsia="Times New Roman"/>
                <w:color w:val="000000"/>
                <w:sz w:val="16"/>
                <w:szCs w:val="16"/>
              </w:rPr>
              <w:t>125</w:t>
            </w:r>
          </w:p>
        </w:tc>
        <w:tc>
          <w:tcPr>
            <w:tcW w:w="0" w:type="auto"/>
            <w:gridSpan w:val="3"/>
            <w:tcMar>
              <w:top w:w="30" w:type="dxa"/>
              <w:left w:w="20" w:type="dxa"/>
              <w:bottom w:w="30" w:type="dxa"/>
              <w:right w:w="20" w:type="dxa"/>
            </w:tcMar>
            <w:vAlign w:val="bottom"/>
            <w:hideMark/>
          </w:tcPr>
          <w:p w14:paraId="0157F4C7"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525F3E4F" w14:textId="77777777" w:rsidR="00000000" w:rsidRDefault="00405D16">
      <w:pPr>
        <w:rPr>
          <w:rFonts w:eastAsia="Times New Roman"/>
        </w:rPr>
      </w:pPr>
      <w:r>
        <w:rPr>
          <w:rFonts w:eastAsia="Times New Roman"/>
        </w:rPr>
        <w:pict w14:anchorId="4D40068D">
          <v:rect id="_x0000_i1150" style="width:0;height:1.5pt" o:hralign="center" o:hrstd="t" o:hr="t" fillcolor="#a0a0a0" stroked="f"/>
        </w:pict>
      </w:r>
    </w:p>
    <w:p w14:paraId="2AE636CD" w14:textId="77777777" w:rsidR="00000000" w:rsidRDefault="00405D16">
      <w:pPr>
        <w:jc w:val="both"/>
        <w:divId w:val="1725907391"/>
        <w:rPr>
          <w:rFonts w:eastAsia="Times New Roman"/>
        </w:rPr>
      </w:pPr>
      <w:hyperlink w:anchor="idd54a04a485440b4ab4e56094c14d612_13" w:history="1">
        <w:r>
          <w:rPr>
            <w:rStyle w:val="a3"/>
            <w:rFonts w:eastAsia="Times New Roman"/>
            <w:sz w:val="16"/>
            <w:szCs w:val="16"/>
          </w:rPr>
          <w:t>Table of Contents</w:t>
        </w:r>
      </w:hyperlink>
    </w:p>
    <w:p w14:paraId="5CD12D63" w14:textId="77777777" w:rsidR="00000000" w:rsidRDefault="00405D16">
      <w:pPr>
        <w:jc w:val="center"/>
        <w:divId w:val="1725907391"/>
        <w:rPr>
          <w:rFonts w:eastAsia="Times New Roman"/>
        </w:rPr>
      </w:pPr>
    </w:p>
    <w:p w14:paraId="5FC723C7" w14:textId="77777777" w:rsidR="00000000" w:rsidRDefault="00405D16">
      <w:pPr>
        <w:divId w:val="1794210964"/>
        <w:rPr>
          <w:rFonts w:eastAsia="Times New Roman"/>
        </w:rPr>
      </w:pPr>
      <w:r>
        <w:rPr>
          <w:rFonts w:eastAsia="Times New Roman"/>
          <w:b/>
          <w:bCs/>
          <w:color w:val="000000"/>
          <w:sz w:val="18"/>
          <w:szCs w:val="18"/>
        </w:rPr>
        <w:t>Table 12.1: Segment Results and Reconciliation</w:t>
      </w:r>
    </w:p>
    <w:tbl>
      <w:tblPr>
        <w:tblW w:w="4992" w:type="pct"/>
        <w:tblCellMar>
          <w:top w:w="15" w:type="dxa"/>
          <w:left w:w="15" w:type="dxa"/>
          <w:bottom w:w="15" w:type="dxa"/>
          <w:right w:w="15" w:type="dxa"/>
        </w:tblCellMar>
        <w:tblLook w:val="04A0" w:firstRow="1" w:lastRow="0" w:firstColumn="1" w:lastColumn="0" w:noHBand="0" w:noVBand="1"/>
      </w:tblPr>
      <w:tblGrid>
        <w:gridCol w:w="39"/>
        <w:gridCol w:w="3518"/>
        <w:gridCol w:w="38"/>
        <w:gridCol w:w="36"/>
        <w:gridCol w:w="36"/>
        <w:gridCol w:w="36"/>
        <w:gridCol w:w="110"/>
        <w:gridCol w:w="630"/>
        <w:gridCol w:w="36"/>
        <w:gridCol w:w="36"/>
        <w:gridCol w:w="36"/>
        <w:gridCol w:w="36"/>
        <w:gridCol w:w="111"/>
        <w:gridCol w:w="668"/>
        <w:gridCol w:w="36"/>
        <w:gridCol w:w="36"/>
        <w:gridCol w:w="36"/>
        <w:gridCol w:w="36"/>
        <w:gridCol w:w="111"/>
        <w:gridCol w:w="793"/>
        <w:gridCol w:w="36"/>
        <w:gridCol w:w="36"/>
        <w:gridCol w:w="36"/>
        <w:gridCol w:w="36"/>
        <w:gridCol w:w="111"/>
        <w:gridCol w:w="499"/>
        <w:gridCol w:w="36"/>
        <w:gridCol w:w="36"/>
        <w:gridCol w:w="36"/>
        <w:gridCol w:w="36"/>
        <w:gridCol w:w="111"/>
        <w:gridCol w:w="834"/>
        <w:gridCol w:w="36"/>
      </w:tblGrid>
      <w:tr w:rsidR="00000000" w14:paraId="57743BBC" w14:textId="77777777">
        <w:trPr>
          <w:divId w:val="1272324005"/>
        </w:trPr>
        <w:tc>
          <w:tcPr>
            <w:tcW w:w="50" w:type="pct"/>
            <w:vAlign w:val="center"/>
            <w:hideMark/>
          </w:tcPr>
          <w:p w14:paraId="75B469F3" w14:textId="77777777" w:rsidR="00000000" w:rsidRDefault="00405D16">
            <w:pPr>
              <w:rPr>
                <w:rFonts w:eastAsia="Times New Roman"/>
              </w:rPr>
            </w:pPr>
          </w:p>
        </w:tc>
        <w:tc>
          <w:tcPr>
            <w:tcW w:w="2280" w:type="pct"/>
            <w:vAlign w:val="center"/>
            <w:hideMark/>
          </w:tcPr>
          <w:p w14:paraId="25517542" w14:textId="77777777" w:rsidR="00000000" w:rsidRDefault="00405D16">
            <w:pPr>
              <w:spacing w:after="100"/>
              <w:rPr>
                <w:rFonts w:eastAsia="Times New Roman"/>
                <w:sz w:val="20"/>
                <w:szCs w:val="20"/>
              </w:rPr>
            </w:pPr>
          </w:p>
        </w:tc>
        <w:tc>
          <w:tcPr>
            <w:tcW w:w="5" w:type="pct"/>
            <w:vAlign w:val="center"/>
            <w:hideMark/>
          </w:tcPr>
          <w:p w14:paraId="410C20B2" w14:textId="77777777" w:rsidR="00000000" w:rsidRDefault="00405D16">
            <w:pPr>
              <w:spacing w:after="100"/>
              <w:rPr>
                <w:rFonts w:eastAsia="Times New Roman"/>
                <w:sz w:val="20"/>
                <w:szCs w:val="20"/>
              </w:rPr>
            </w:pPr>
          </w:p>
        </w:tc>
        <w:tc>
          <w:tcPr>
            <w:tcW w:w="5" w:type="pct"/>
            <w:vAlign w:val="center"/>
            <w:hideMark/>
          </w:tcPr>
          <w:p w14:paraId="094F1D97" w14:textId="77777777" w:rsidR="00000000" w:rsidRDefault="00405D16">
            <w:pPr>
              <w:spacing w:after="100"/>
              <w:rPr>
                <w:rFonts w:eastAsia="Times New Roman"/>
                <w:sz w:val="20"/>
                <w:szCs w:val="20"/>
              </w:rPr>
            </w:pPr>
          </w:p>
        </w:tc>
        <w:tc>
          <w:tcPr>
            <w:tcW w:w="26" w:type="pct"/>
            <w:vAlign w:val="center"/>
            <w:hideMark/>
          </w:tcPr>
          <w:p w14:paraId="3B2EE3ED" w14:textId="77777777" w:rsidR="00000000" w:rsidRDefault="00405D16">
            <w:pPr>
              <w:spacing w:after="100"/>
              <w:rPr>
                <w:rFonts w:eastAsia="Times New Roman"/>
                <w:sz w:val="20"/>
                <w:szCs w:val="20"/>
              </w:rPr>
            </w:pPr>
          </w:p>
        </w:tc>
        <w:tc>
          <w:tcPr>
            <w:tcW w:w="5" w:type="pct"/>
            <w:vAlign w:val="center"/>
            <w:hideMark/>
          </w:tcPr>
          <w:p w14:paraId="10EACC2C" w14:textId="77777777" w:rsidR="00000000" w:rsidRDefault="00405D16">
            <w:pPr>
              <w:spacing w:after="100"/>
              <w:rPr>
                <w:rFonts w:eastAsia="Times New Roman"/>
                <w:sz w:val="20"/>
                <w:szCs w:val="20"/>
              </w:rPr>
            </w:pPr>
          </w:p>
        </w:tc>
        <w:tc>
          <w:tcPr>
            <w:tcW w:w="50" w:type="pct"/>
            <w:vAlign w:val="center"/>
            <w:hideMark/>
          </w:tcPr>
          <w:p w14:paraId="1AA77BFE" w14:textId="77777777" w:rsidR="00000000" w:rsidRDefault="00405D16">
            <w:pPr>
              <w:spacing w:after="100"/>
              <w:rPr>
                <w:rFonts w:eastAsia="Times New Roman"/>
                <w:sz w:val="20"/>
                <w:szCs w:val="20"/>
              </w:rPr>
            </w:pPr>
          </w:p>
        </w:tc>
        <w:tc>
          <w:tcPr>
            <w:tcW w:w="442" w:type="pct"/>
            <w:vAlign w:val="center"/>
            <w:hideMark/>
          </w:tcPr>
          <w:p w14:paraId="264C881B" w14:textId="77777777" w:rsidR="00000000" w:rsidRDefault="00405D16">
            <w:pPr>
              <w:spacing w:after="100"/>
              <w:rPr>
                <w:rFonts w:eastAsia="Times New Roman"/>
                <w:sz w:val="20"/>
                <w:szCs w:val="20"/>
              </w:rPr>
            </w:pPr>
          </w:p>
        </w:tc>
        <w:tc>
          <w:tcPr>
            <w:tcW w:w="5" w:type="pct"/>
            <w:vAlign w:val="center"/>
            <w:hideMark/>
          </w:tcPr>
          <w:p w14:paraId="610E3C90" w14:textId="77777777" w:rsidR="00000000" w:rsidRDefault="00405D16">
            <w:pPr>
              <w:spacing w:after="100"/>
              <w:rPr>
                <w:rFonts w:eastAsia="Times New Roman"/>
                <w:sz w:val="20"/>
                <w:szCs w:val="20"/>
              </w:rPr>
            </w:pPr>
          </w:p>
        </w:tc>
        <w:tc>
          <w:tcPr>
            <w:tcW w:w="5" w:type="pct"/>
            <w:vAlign w:val="center"/>
            <w:hideMark/>
          </w:tcPr>
          <w:p w14:paraId="7A364876" w14:textId="77777777" w:rsidR="00000000" w:rsidRDefault="00405D16">
            <w:pPr>
              <w:spacing w:after="100"/>
              <w:rPr>
                <w:rFonts w:eastAsia="Times New Roman"/>
                <w:sz w:val="20"/>
                <w:szCs w:val="20"/>
              </w:rPr>
            </w:pPr>
          </w:p>
        </w:tc>
        <w:tc>
          <w:tcPr>
            <w:tcW w:w="26" w:type="pct"/>
            <w:vAlign w:val="center"/>
            <w:hideMark/>
          </w:tcPr>
          <w:p w14:paraId="0F86C324" w14:textId="77777777" w:rsidR="00000000" w:rsidRDefault="00405D16">
            <w:pPr>
              <w:spacing w:after="100"/>
              <w:rPr>
                <w:rFonts w:eastAsia="Times New Roman"/>
                <w:sz w:val="20"/>
                <w:szCs w:val="20"/>
              </w:rPr>
            </w:pPr>
          </w:p>
        </w:tc>
        <w:tc>
          <w:tcPr>
            <w:tcW w:w="5" w:type="pct"/>
            <w:vAlign w:val="center"/>
            <w:hideMark/>
          </w:tcPr>
          <w:p w14:paraId="3FF901B0" w14:textId="77777777" w:rsidR="00000000" w:rsidRDefault="00405D16">
            <w:pPr>
              <w:spacing w:after="100"/>
              <w:rPr>
                <w:rFonts w:eastAsia="Times New Roman"/>
                <w:sz w:val="20"/>
                <w:szCs w:val="20"/>
              </w:rPr>
            </w:pPr>
          </w:p>
        </w:tc>
        <w:tc>
          <w:tcPr>
            <w:tcW w:w="50" w:type="pct"/>
            <w:vAlign w:val="center"/>
            <w:hideMark/>
          </w:tcPr>
          <w:p w14:paraId="4EC28CF6" w14:textId="77777777" w:rsidR="00000000" w:rsidRDefault="00405D16">
            <w:pPr>
              <w:spacing w:after="100"/>
              <w:rPr>
                <w:rFonts w:eastAsia="Times New Roman"/>
                <w:sz w:val="20"/>
                <w:szCs w:val="20"/>
              </w:rPr>
            </w:pPr>
          </w:p>
        </w:tc>
        <w:tc>
          <w:tcPr>
            <w:tcW w:w="435" w:type="pct"/>
            <w:vAlign w:val="center"/>
            <w:hideMark/>
          </w:tcPr>
          <w:p w14:paraId="18A692E9" w14:textId="77777777" w:rsidR="00000000" w:rsidRDefault="00405D16">
            <w:pPr>
              <w:spacing w:after="100"/>
              <w:rPr>
                <w:rFonts w:eastAsia="Times New Roman"/>
                <w:sz w:val="20"/>
                <w:szCs w:val="20"/>
              </w:rPr>
            </w:pPr>
          </w:p>
        </w:tc>
        <w:tc>
          <w:tcPr>
            <w:tcW w:w="5" w:type="pct"/>
            <w:vAlign w:val="center"/>
            <w:hideMark/>
          </w:tcPr>
          <w:p w14:paraId="495EAA71" w14:textId="77777777" w:rsidR="00000000" w:rsidRDefault="00405D16">
            <w:pPr>
              <w:spacing w:after="100"/>
              <w:rPr>
                <w:rFonts w:eastAsia="Times New Roman"/>
                <w:sz w:val="20"/>
                <w:szCs w:val="20"/>
              </w:rPr>
            </w:pPr>
          </w:p>
        </w:tc>
        <w:tc>
          <w:tcPr>
            <w:tcW w:w="5" w:type="pct"/>
            <w:vAlign w:val="center"/>
            <w:hideMark/>
          </w:tcPr>
          <w:p w14:paraId="4FBD9AEC" w14:textId="77777777" w:rsidR="00000000" w:rsidRDefault="00405D16">
            <w:pPr>
              <w:spacing w:after="100"/>
              <w:rPr>
                <w:rFonts w:eastAsia="Times New Roman"/>
                <w:sz w:val="20"/>
                <w:szCs w:val="20"/>
              </w:rPr>
            </w:pPr>
          </w:p>
        </w:tc>
        <w:tc>
          <w:tcPr>
            <w:tcW w:w="26" w:type="pct"/>
            <w:vAlign w:val="center"/>
            <w:hideMark/>
          </w:tcPr>
          <w:p w14:paraId="37ED42D3" w14:textId="77777777" w:rsidR="00000000" w:rsidRDefault="00405D16">
            <w:pPr>
              <w:spacing w:after="100"/>
              <w:rPr>
                <w:rFonts w:eastAsia="Times New Roman"/>
                <w:sz w:val="20"/>
                <w:szCs w:val="20"/>
              </w:rPr>
            </w:pPr>
          </w:p>
        </w:tc>
        <w:tc>
          <w:tcPr>
            <w:tcW w:w="5" w:type="pct"/>
            <w:vAlign w:val="center"/>
            <w:hideMark/>
          </w:tcPr>
          <w:p w14:paraId="2429727E" w14:textId="77777777" w:rsidR="00000000" w:rsidRDefault="00405D16">
            <w:pPr>
              <w:spacing w:after="100"/>
              <w:rPr>
                <w:rFonts w:eastAsia="Times New Roman"/>
                <w:sz w:val="20"/>
                <w:szCs w:val="20"/>
              </w:rPr>
            </w:pPr>
          </w:p>
        </w:tc>
        <w:tc>
          <w:tcPr>
            <w:tcW w:w="50" w:type="pct"/>
            <w:vAlign w:val="center"/>
            <w:hideMark/>
          </w:tcPr>
          <w:p w14:paraId="651A1D71" w14:textId="77777777" w:rsidR="00000000" w:rsidRDefault="00405D16">
            <w:pPr>
              <w:spacing w:after="100"/>
              <w:rPr>
                <w:rFonts w:eastAsia="Times New Roman"/>
                <w:sz w:val="20"/>
                <w:szCs w:val="20"/>
              </w:rPr>
            </w:pPr>
          </w:p>
        </w:tc>
        <w:tc>
          <w:tcPr>
            <w:tcW w:w="472" w:type="pct"/>
            <w:vAlign w:val="center"/>
            <w:hideMark/>
          </w:tcPr>
          <w:p w14:paraId="35E877CE" w14:textId="77777777" w:rsidR="00000000" w:rsidRDefault="00405D16">
            <w:pPr>
              <w:spacing w:after="100"/>
              <w:rPr>
                <w:rFonts w:eastAsia="Times New Roman"/>
                <w:sz w:val="20"/>
                <w:szCs w:val="20"/>
              </w:rPr>
            </w:pPr>
          </w:p>
        </w:tc>
        <w:tc>
          <w:tcPr>
            <w:tcW w:w="5" w:type="pct"/>
            <w:vAlign w:val="center"/>
            <w:hideMark/>
          </w:tcPr>
          <w:p w14:paraId="3248E810" w14:textId="77777777" w:rsidR="00000000" w:rsidRDefault="00405D16">
            <w:pPr>
              <w:spacing w:after="100"/>
              <w:rPr>
                <w:rFonts w:eastAsia="Times New Roman"/>
                <w:sz w:val="20"/>
                <w:szCs w:val="20"/>
              </w:rPr>
            </w:pPr>
          </w:p>
        </w:tc>
        <w:tc>
          <w:tcPr>
            <w:tcW w:w="5" w:type="pct"/>
            <w:vAlign w:val="center"/>
            <w:hideMark/>
          </w:tcPr>
          <w:p w14:paraId="31FB7991" w14:textId="77777777" w:rsidR="00000000" w:rsidRDefault="00405D16">
            <w:pPr>
              <w:spacing w:after="100"/>
              <w:rPr>
                <w:rFonts w:eastAsia="Times New Roman"/>
                <w:sz w:val="20"/>
                <w:szCs w:val="20"/>
              </w:rPr>
            </w:pPr>
          </w:p>
        </w:tc>
        <w:tc>
          <w:tcPr>
            <w:tcW w:w="26" w:type="pct"/>
            <w:vAlign w:val="center"/>
            <w:hideMark/>
          </w:tcPr>
          <w:p w14:paraId="17737BA8" w14:textId="77777777" w:rsidR="00000000" w:rsidRDefault="00405D16">
            <w:pPr>
              <w:spacing w:after="100"/>
              <w:rPr>
                <w:rFonts w:eastAsia="Times New Roman"/>
                <w:sz w:val="20"/>
                <w:szCs w:val="20"/>
              </w:rPr>
            </w:pPr>
          </w:p>
        </w:tc>
        <w:tc>
          <w:tcPr>
            <w:tcW w:w="5" w:type="pct"/>
            <w:vAlign w:val="center"/>
            <w:hideMark/>
          </w:tcPr>
          <w:p w14:paraId="445B968D" w14:textId="77777777" w:rsidR="00000000" w:rsidRDefault="00405D16">
            <w:pPr>
              <w:spacing w:after="100"/>
              <w:rPr>
                <w:rFonts w:eastAsia="Times New Roman"/>
                <w:sz w:val="20"/>
                <w:szCs w:val="20"/>
              </w:rPr>
            </w:pPr>
          </w:p>
        </w:tc>
        <w:tc>
          <w:tcPr>
            <w:tcW w:w="50" w:type="pct"/>
            <w:vAlign w:val="center"/>
            <w:hideMark/>
          </w:tcPr>
          <w:p w14:paraId="08AB73BF" w14:textId="77777777" w:rsidR="00000000" w:rsidRDefault="00405D16">
            <w:pPr>
              <w:spacing w:after="100"/>
              <w:rPr>
                <w:rFonts w:eastAsia="Times New Roman"/>
                <w:sz w:val="20"/>
                <w:szCs w:val="20"/>
              </w:rPr>
            </w:pPr>
          </w:p>
        </w:tc>
        <w:tc>
          <w:tcPr>
            <w:tcW w:w="413" w:type="pct"/>
            <w:vAlign w:val="center"/>
            <w:hideMark/>
          </w:tcPr>
          <w:p w14:paraId="348415AB" w14:textId="77777777" w:rsidR="00000000" w:rsidRDefault="00405D16">
            <w:pPr>
              <w:spacing w:after="100"/>
              <w:rPr>
                <w:rFonts w:eastAsia="Times New Roman"/>
                <w:sz w:val="20"/>
                <w:szCs w:val="20"/>
              </w:rPr>
            </w:pPr>
          </w:p>
        </w:tc>
        <w:tc>
          <w:tcPr>
            <w:tcW w:w="5" w:type="pct"/>
            <w:vAlign w:val="center"/>
            <w:hideMark/>
          </w:tcPr>
          <w:p w14:paraId="4A400C33" w14:textId="77777777" w:rsidR="00000000" w:rsidRDefault="00405D16">
            <w:pPr>
              <w:spacing w:after="100"/>
              <w:rPr>
                <w:rFonts w:eastAsia="Times New Roman"/>
                <w:sz w:val="20"/>
                <w:szCs w:val="20"/>
              </w:rPr>
            </w:pPr>
          </w:p>
        </w:tc>
        <w:tc>
          <w:tcPr>
            <w:tcW w:w="5" w:type="pct"/>
            <w:vAlign w:val="center"/>
            <w:hideMark/>
          </w:tcPr>
          <w:p w14:paraId="1620DA85" w14:textId="77777777" w:rsidR="00000000" w:rsidRDefault="00405D16">
            <w:pPr>
              <w:spacing w:after="100"/>
              <w:rPr>
                <w:rFonts w:eastAsia="Times New Roman"/>
                <w:sz w:val="20"/>
                <w:szCs w:val="20"/>
              </w:rPr>
            </w:pPr>
          </w:p>
        </w:tc>
        <w:tc>
          <w:tcPr>
            <w:tcW w:w="26" w:type="pct"/>
            <w:vAlign w:val="center"/>
            <w:hideMark/>
          </w:tcPr>
          <w:p w14:paraId="056BD991" w14:textId="77777777" w:rsidR="00000000" w:rsidRDefault="00405D16">
            <w:pPr>
              <w:spacing w:after="100"/>
              <w:rPr>
                <w:rFonts w:eastAsia="Times New Roman"/>
                <w:sz w:val="20"/>
                <w:szCs w:val="20"/>
              </w:rPr>
            </w:pPr>
          </w:p>
        </w:tc>
        <w:tc>
          <w:tcPr>
            <w:tcW w:w="5" w:type="pct"/>
            <w:vAlign w:val="center"/>
            <w:hideMark/>
          </w:tcPr>
          <w:p w14:paraId="15863A76" w14:textId="77777777" w:rsidR="00000000" w:rsidRDefault="00405D16">
            <w:pPr>
              <w:spacing w:after="100"/>
              <w:rPr>
                <w:rFonts w:eastAsia="Times New Roman"/>
                <w:sz w:val="20"/>
                <w:szCs w:val="20"/>
              </w:rPr>
            </w:pPr>
          </w:p>
        </w:tc>
        <w:tc>
          <w:tcPr>
            <w:tcW w:w="50" w:type="pct"/>
            <w:vAlign w:val="center"/>
            <w:hideMark/>
          </w:tcPr>
          <w:p w14:paraId="597D8FD7" w14:textId="77777777" w:rsidR="00000000" w:rsidRDefault="00405D16">
            <w:pPr>
              <w:spacing w:after="100"/>
              <w:rPr>
                <w:rFonts w:eastAsia="Times New Roman"/>
                <w:sz w:val="20"/>
                <w:szCs w:val="20"/>
              </w:rPr>
            </w:pPr>
          </w:p>
        </w:tc>
        <w:tc>
          <w:tcPr>
            <w:tcW w:w="442" w:type="pct"/>
            <w:vAlign w:val="center"/>
            <w:hideMark/>
          </w:tcPr>
          <w:p w14:paraId="4104162E" w14:textId="77777777" w:rsidR="00000000" w:rsidRDefault="00405D16">
            <w:pPr>
              <w:spacing w:after="100"/>
              <w:rPr>
                <w:rFonts w:eastAsia="Times New Roman"/>
                <w:sz w:val="20"/>
                <w:szCs w:val="20"/>
              </w:rPr>
            </w:pPr>
          </w:p>
        </w:tc>
        <w:tc>
          <w:tcPr>
            <w:tcW w:w="5" w:type="pct"/>
            <w:vAlign w:val="center"/>
            <w:hideMark/>
          </w:tcPr>
          <w:p w14:paraId="54D3ABD7" w14:textId="77777777" w:rsidR="00000000" w:rsidRDefault="00405D16">
            <w:pPr>
              <w:spacing w:after="100"/>
              <w:rPr>
                <w:rFonts w:eastAsia="Times New Roman"/>
                <w:sz w:val="20"/>
                <w:szCs w:val="20"/>
              </w:rPr>
            </w:pPr>
          </w:p>
        </w:tc>
      </w:tr>
      <w:tr w:rsidR="00000000" w14:paraId="479AC767" w14:textId="77777777">
        <w:trPr>
          <w:divId w:val="1272324005"/>
        </w:trPr>
        <w:tc>
          <w:tcPr>
            <w:tcW w:w="0" w:type="auto"/>
            <w:gridSpan w:val="3"/>
            <w:tcMar>
              <w:top w:w="0" w:type="dxa"/>
              <w:left w:w="20" w:type="dxa"/>
              <w:bottom w:w="0" w:type="dxa"/>
              <w:right w:w="20" w:type="dxa"/>
            </w:tcMar>
            <w:vAlign w:val="center"/>
            <w:hideMark/>
          </w:tcPr>
          <w:p w14:paraId="212472F7"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E5B3524" w14:textId="77777777" w:rsidR="00000000" w:rsidRDefault="00405D16">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5C125D86" w14:textId="77777777" w:rsidR="00000000" w:rsidRDefault="00405D16">
            <w:pPr>
              <w:spacing w:after="100"/>
              <w:jc w:val="center"/>
              <w:rPr>
                <w:rFonts w:eastAsia="Times New Roman"/>
              </w:rPr>
            </w:pPr>
            <w:r>
              <w:rPr>
                <w:rFonts w:eastAsia="Times New Roman"/>
                <w:b/>
                <w:bCs/>
                <w:color w:val="000000"/>
                <w:sz w:val="16"/>
                <w:szCs w:val="16"/>
              </w:rPr>
              <w:t>Three Months Ended September 30, 2021</w:t>
            </w:r>
          </w:p>
        </w:tc>
      </w:tr>
      <w:tr w:rsidR="00000000" w14:paraId="336B3E1B" w14:textId="77777777">
        <w:trPr>
          <w:divId w:val="1272324005"/>
        </w:trPr>
        <w:tc>
          <w:tcPr>
            <w:tcW w:w="0" w:type="auto"/>
            <w:gridSpan w:val="3"/>
            <w:tcMar>
              <w:top w:w="30" w:type="dxa"/>
              <w:left w:w="20" w:type="dxa"/>
              <w:bottom w:w="30" w:type="dxa"/>
              <w:right w:w="20" w:type="dxa"/>
            </w:tcMar>
            <w:vAlign w:val="bottom"/>
            <w:hideMark/>
          </w:tcPr>
          <w:p w14:paraId="17E09F93"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1F56861F"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564242F" w14:textId="77777777" w:rsidR="00000000" w:rsidRDefault="00405D16">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7DCCFF81"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C72EF4D" w14:textId="77777777" w:rsidR="00000000" w:rsidRDefault="00405D16">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20532522"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0C439C2" w14:textId="77777777" w:rsidR="00000000" w:rsidRDefault="00405D16">
            <w:pPr>
              <w:spacing w:after="100"/>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72E887FD"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DB5DDCF" w14:textId="77777777" w:rsidR="00000000" w:rsidRDefault="00405D16">
            <w:pPr>
              <w:spacing w:after="100"/>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250B336E"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9C0C5A6" w14:textId="77777777" w:rsidR="00000000" w:rsidRDefault="00405D16">
            <w:pPr>
              <w:spacing w:after="100"/>
              <w:jc w:val="center"/>
              <w:rPr>
                <w:rFonts w:eastAsia="Times New Roman"/>
              </w:rPr>
            </w:pPr>
            <w:r>
              <w:rPr>
                <w:rFonts w:eastAsia="Times New Roman"/>
                <w:b/>
                <w:bCs/>
                <w:color w:val="000000"/>
                <w:sz w:val="16"/>
                <w:szCs w:val="16"/>
              </w:rPr>
              <w:t>Consolidated Total</w:t>
            </w:r>
          </w:p>
        </w:tc>
      </w:tr>
      <w:tr w:rsidR="00000000" w14:paraId="543EA883" w14:textId="77777777">
        <w:trPr>
          <w:divId w:val="127232400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43A729E" w14:textId="77777777" w:rsidR="00000000" w:rsidRDefault="00405D16">
            <w:pPr>
              <w:spacing w:after="100"/>
              <w:rPr>
                <w:rFonts w:eastAsia="Times New Roman"/>
              </w:rPr>
            </w:pPr>
            <w:r>
              <w:rPr>
                <w:rFonts w:eastAsia="Times New Roman"/>
                <w:color w:val="000000"/>
                <w:sz w:val="18"/>
                <w:szCs w:val="18"/>
              </w:rPr>
              <w:t>Net interest income (loss)</w:t>
            </w:r>
          </w:p>
        </w:tc>
        <w:tc>
          <w:tcPr>
            <w:tcW w:w="0" w:type="auto"/>
            <w:gridSpan w:val="3"/>
            <w:shd w:val="clear" w:color="auto" w:fill="CCEEFF"/>
            <w:tcMar>
              <w:top w:w="0" w:type="dxa"/>
              <w:left w:w="20" w:type="dxa"/>
              <w:bottom w:w="0" w:type="dxa"/>
              <w:right w:w="20" w:type="dxa"/>
            </w:tcMar>
            <w:vAlign w:val="center"/>
            <w:hideMark/>
          </w:tcPr>
          <w:p w14:paraId="414BE4F3"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79B180B"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3F628B3" w14:textId="77777777" w:rsidR="00000000" w:rsidRDefault="00405D16">
            <w:pPr>
              <w:spacing w:after="100"/>
              <w:jc w:val="right"/>
              <w:rPr>
                <w:rFonts w:eastAsia="Times New Roman"/>
              </w:rPr>
            </w:pPr>
            <w:r>
              <w:rPr>
                <w:rFonts w:eastAsia="Times New Roman"/>
                <w:b/>
                <w:bCs/>
                <w:color w:val="000000"/>
                <w:sz w:val="18"/>
                <w:szCs w:val="18"/>
              </w:rPr>
              <w:t>3,620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584388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79D3FC"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8C639D3"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7A50DDF" w14:textId="77777777" w:rsidR="00000000" w:rsidRDefault="00405D16">
            <w:pPr>
              <w:spacing w:after="100"/>
              <w:jc w:val="right"/>
              <w:rPr>
                <w:rFonts w:eastAsia="Times New Roman"/>
              </w:rPr>
            </w:pPr>
            <w:r>
              <w:rPr>
                <w:rFonts w:eastAsia="Times New Roman"/>
                <w:b/>
                <w:bCs/>
                <w:color w:val="000000"/>
                <w:sz w:val="18"/>
                <w:szCs w:val="18"/>
              </w:rPr>
              <w:t>2,159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212030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0ABCF2"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EFF5992"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51BFEB7" w14:textId="77777777" w:rsidR="00000000" w:rsidRDefault="00405D16">
            <w:pPr>
              <w:spacing w:after="100"/>
              <w:jc w:val="right"/>
              <w:rPr>
                <w:rFonts w:eastAsia="Times New Roman"/>
              </w:rPr>
            </w:pPr>
            <w:r>
              <w:rPr>
                <w:rFonts w:eastAsia="Times New Roman"/>
                <w:b/>
                <w:bCs/>
                <w:color w:val="000000"/>
                <w:sz w:val="18"/>
                <w:szCs w:val="18"/>
              </w:rPr>
              <w:t>578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E07BA0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7868A6"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B53746F"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BA68EC9" w14:textId="77777777" w:rsidR="00000000" w:rsidRDefault="00405D16">
            <w:pPr>
              <w:spacing w:after="100"/>
              <w:jc w:val="right"/>
              <w:rPr>
                <w:rFonts w:eastAsia="Times New Roman"/>
              </w:rPr>
            </w:pPr>
            <w:r>
              <w:rPr>
                <w:rFonts w:eastAsia="Times New Roman"/>
                <w:b/>
                <w:bCs/>
                <w:color w:val="000000"/>
                <w:sz w:val="18"/>
                <w:szCs w:val="18"/>
              </w:rPr>
              <w:t>(201)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FC05AF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6D5937"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B047D61"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64AC961" w14:textId="77777777" w:rsidR="00000000" w:rsidRDefault="00405D16">
            <w:pPr>
              <w:spacing w:after="100"/>
              <w:jc w:val="right"/>
              <w:rPr>
                <w:rFonts w:eastAsia="Times New Roman"/>
              </w:rPr>
            </w:pPr>
            <w:r>
              <w:rPr>
                <w:rFonts w:eastAsia="Times New Roman"/>
                <w:b/>
                <w:bCs/>
                <w:color w:val="000000"/>
                <w:sz w:val="18"/>
                <w:szCs w:val="18"/>
              </w:rPr>
              <w:t>6,156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E1C7197" w14:textId="77777777" w:rsidR="00000000" w:rsidRDefault="00405D16">
            <w:pPr>
              <w:spacing w:after="100"/>
              <w:jc w:val="right"/>
              <w:rPr>
                <w:rFonts w:eastAsia="Times New Roman"/>
              </w:rPr>
            </w:pPr>
          </w:p>
        </w:tc>
      </w:tr>
      <w:tr w:rsidR="00000000" w14:paraId="2E57C494" w14:textId="77777777">
        <w:trPr>
          <w:divId w:val="1272324005"/>
        </w:trPr>
        <w:tc>
          <w:tcPr>
            <w:tcW w:w="0" w:type="auto"/>
            <w:gridSpan w:val="3"/>
            <w:shd w:val="clear" w:color="auto" w:fill="FFFFFF"/>
            <w:tcMar>
              <w:top w:w="30" w:type="dxa"/>
              <w:left w:w="20" w:type="dxa"/>
              <w:bottom w:w="30" w:type="dxa"/>
              <w:right w:w="20" w:type="dxa"/>
            </w:tcMar>
            <w:vAlign w:val="center"/>
            <w:hideMark/>
          </w:tcPr>
          <w:p w14:paraId="02D390C5" w14:textId="77777777" w:rsidR="00000000" w:rsidRDefault="00405D16">
            <w:pPr>
              <w:spacing w:after="100"/>
              <w:rPr>
                <w:rFonts w:eastAsia="Times New Roman"/>
              </w:rPr>
            </w:pPr>
            <w:r>
              <w:rPr>
                <w:rFonts w:eastAsia="Times New Roman"/>
                <w:color w:val="000000"/>
                <w:sz w:val="18"/>
                <w:szCs w:val="18"/>
              </w:rPr>
              <w:t>Non-interest income (loss)</w:t>
            </w:r>
          </w:p>
        </w:tc>
        <w:tc>
          <w:tcPr>
            <w:tcW w:w="0" w:type="auto"/>
            <w:gridSpan w:val="3"/>
            <w:shd w:val="clear" w:color="auto" w:fill="FFFFFF"/>
            <w:tcMar>
              <w:top w:w="0" w:type="dxa"/>
              <w:left w:w="20" w:type="dxa"/>
              <w:bottom w:w="0" w:type="dxa"/>
              <w:right w:w="20" w:type="dxa"/>
            </w:tcMar>
            <w:vAlign w:val="center"/>
            <w:hideMark/>
          </w:tcPr>
          <w:p w14:paraId="09658D9E"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7F694C9" w14:textId="77777777" w:rsidR="00000000" w:rsidRDefault="00405D16">
            <w:pPr>
              <w:spacing w:after="100"/>
              <w:jc w:val="right"/>
              <w:rPr>
                <w:rFonts w:eastAsia="Times New Roman"/>
              </w:rPr>
            </w:pPr>
            <w:r>
              <w:rPr>
                <w:rFonts w:eastAsia="Times New Roman"/>
                <w:b/>
                <w:bCs/>
                <w:color w:val="000000"/>
                <w:sz w:val="18"/>
                <w:szCs w:val="18"/>
              </w:rPr>
              <w:t>1,263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9B697D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EBB98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A387A69" w14:textId="77777777" w:rsidR="00000000" w:rsidRDefault="00405D16">
            <w:pPr>
              <w:spacing w:after="100"/>
              <w:jc w:val="right"/>
              <w:rPr>
                <w:rFonts w:eastAsia="Times New Roman"/>
              </w:rPr>
            </w:pPr>
            <w:r>
              <w:rPr>
                <w:rFonts w:eastAsia="Times New Roman"/>
                <w:b/>
                <w:bCs/>
                <w:color w:val="000000"/>
                <w:sz w:val="18"/>
                <w:szCs w:val="18"/>
              </w:rPr>
              <w:t>127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3BCBAE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5A0E1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BDABB8D" w14:textId="77777777" w:rsidR="00000000" w:rsidRDefault="00405D16">
            <w:pPr>
              <w:spacing w:after="100"/>
              <w:jc w:val="right"/>
              <w:rPr>
                <w:rFonts w:eastAsia="Times New Roman"/>
              </w:rPr>
            </w:pPr>
            <w:r>
              <w:rPr>
                <w:rFonts w:eastAsia="Times New Roman"/>
                <w:b/>
                <w:bCs/>
                <w:color w:val="000000"/>
                <w:sz w:val="18"/>
                <w:szCs w:val="18"/>
              </w:rPr>
              <w:t>306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15A098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2C833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4B3BD62" w14:textId="77777777" w:rsidR="00000000" w:rsidRDefault="00405D16">
            <w:pPr>
              <w:spacing w:after="100"/>
              <w:jc w:val="right"/>
              <w:rPr>
                <w:rFonts w:eastAsia="Times New Roman"/>
              </w:rPr>
            </w:pPr>
            <w:r>
              <w:rPr>
                <w:rFonts w:eastAsia="Times New Roman"/>
                <w:b/>
                <w:bCs/>
                <w:color w:val="000000"/>
                <w:sz w:val="18"/>
                <w:szCs w:val="18"/>
              </w:rPr>
              <w:t>(22)</w:t>
            </w:r>
          </w:p>
        </w:tc>
        <w:tc>
          <w:tcPr>
            <w:tcW w:w="0" w:type="auto"/>
            <w:shd w:val="clear" w:color="auto" w:fill="FFFFFF"/>
            <w:tcMar>
              <w:top w:w="30" w:type="dxa"/>
              <w:left w:w="0" w:type="dxa"/>
              <w:bottom w:w="30" w:type="dxa"/>
              <w:right w:w="20" w:type="dxa"/>
            </w:tcMar>
            <w:vAlign w:val="center"/>
            <w:hideMark/>
          </w:tcPr>
          <w:p w14:paraId="5E754CF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167CF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AC401E4" w14:textId="77777777" w:rsidR="00000000" w:rsidRDefault="00405D16">
            <w:pPr>
              <w:spacing w:after="100"/>
              <w:jc w:val="right"/>
              <w:rPr>
                <w:rFonts w:eastAsia="Times New Roman"/>
              </w:rPr>
            </w:pPr>
            <w:r>
              <w:rPr>
                <w:rFonts w:eastAsia="Times New Roman"/>
                <w:b/>
                <w:bCs/>
                <w:color w:val="000000"/>
                <w:sz w:val="18"/>
                <w:szCs w:val="18"/>
              </w:rPr>
              <w:t>1,674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C896797" w14:textId="77777777" w:rsidR="00000000" w:rsidRDefault="00405D16">
            <w:pPr>
              <w:spacing w:after="100"/>
              <w:jc w:val="right"/>
              <w:rPr>
                <w:rFonts w:eastAsia="Times New Roman"/>
              </w:rPr>
            </w:pPr>
          </w:p>
        </w:tc>
      </w:tr>
      <w:tr w:rsidR="00000000" w14:paraId="59D8CE92" w14:textId="77777777">
        <w:trPr>
          <w:divId w:val="1272324005"/>
        </w:trPr>
        <w:tc>
          <w:tcPr>
            <w:tcW w:w="0" w:type="auto"/>
            <w:gridSpan w:val="3"/>
            <w:shd w:val="clear" w:color="auto" w:fill="CCEEFF"/>
            <w:tcMar>
              <w:top w:w="30" w:type="dxa"/>
              <w:left w:w="20" w:type="dxa"/>
              <w:bottom w:w="30" w:type="dxa"/>
              <w:right w:w="20" w:type="dxa"/>
            </w:tcMar>
            <w:vAlign w:val="center"/>
            <w:hideMark/>
          </w:tcPr>
          <w:p w14:paraId="781D287F" w14:textId="77777777" w:rsidR="00000000" w:rsidRDefault="00405D16">
            <w:pPr>
              <w:spacing w:after="100"/>
              <w:divId w:val="1985963813"/>
              <w:rPr>
                <w:rFonts w:eastAsia="Times New Roman"/>
              </w:rPr>
            </w:pPr>
            <w:r>
              <w:rPr>
                <w:rFonts w:eastAsia="Times New Roman"/>
                <w:color w:val="000000"/>
                <w:sz w:val="18"/>
                <w:szCs w:val="18"/>
              </w:rPr>
              <w:t>Total net revenue (loss</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11A77BF6"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14B4E87" w14:textId="77777777" w:rsidR="00000000" w:rsidRDefault="00405D16">
            <w:pPr>
              <w:spacing w:after="100"/>
              <w:jc w:val="right"/>
              <w:rPr>
                <w:rFonts w:eastAsia="Times New Roman"/>
              </w:rPr>
            </w:pPr>
            <w:r>
              <w:rPr>
                <w:rFonts w:eastAsia="Times New Roman"/>
                <w:b/>
                <w:bCs/>
                <w:color w:val="000000"/>
                <w:sz w:val="18"/>
                <w:szCs w:val="18"/>
              </w:rPr>
              <w:t>4,883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11079C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1D380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BFBA290" w14:textId="77777777" w:rsidR="00000000" w:rsidRDefault="00405D16">
            <w:pPr>
              <w:spacing w:after="100"/>
              <w:jc w:val="right"/>
              <w:rPr>
                <w:rFonts w:eastAsia="Times New Roman"/>
              </w:rPr>
            </w:pPr>
            <w:r>
              <w:rPr>
                <w:rFonts w:eastAsia="Times New Roman"/>
                <w:b/>
                <w:bCs/>
                <w:color w:val="000000"/>
                <w:sz w:val="18"/>
                <w:szCs w:val="18"/>
              </w:rPr>
              <w:t>2,286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F983A5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03E9A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726E29D" w14:textId="77777777" w:rsidR="00000000" w:rsidRDefault="00405D16">
            <w:pPr>
              <w:spacing w:after="100"/>
              <w:jc w:val="right"/>
              <w:rPr>
                <w:rFonts w:eastAsia="Times New Roman"/>
              </w:rPr>
            </w:pPr>
            <w:r>
              <w:rPr>
                <w:rFonts w:eastAsia="Times New Roman"/>
                <w:b/>
                <w:bCs/>
                <w:color w:val="000000"/>
                <w:sz w:val="18"/>
                <w:szCs w:val="18"/>
              </w:rPr>
              <w:t>884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9D0770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741BA5"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A554E54" w14:textId="77777777" w:rsidR="00000000" w:rsidRDefault="00405D16">
            <w:pPr>
              <w:spacing w:after="100"/>
              <w:jc w:val="right"/>
              <w:rPr>
                <w:rFonts w:eastAsia="Times New Roman"/>
              </w:rPr>
            </w:pPr>
            <w:r>
              <w:rPr>
                <w:rFonts w:eastAsia="Times New Roman"/>
                <w:b/>
                <w:bCs/>
                <w:color w:val="000000"/>
                <w:sz w:val="18"/>
                <w:szCs w:val="18"/>
              </w:rPr>
              <w:t>(223)</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5AAA7A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EDD7C0"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57AE228" w14:textId="77777777" w:rsidR="00000000" w:rsidRDefault="00405D16">
            <w:pPr>
              <w:spacing w:after="100"/>
              <w:jc w:val="right"/>
              <w:rPr>
                <w:rFonts w:eastAsia="Times New Roman"/>
              </w:rPr>
            </w:pPr>
            <w:r>
              <w:rPr>
                <w:rFonts w:eastAsia="Times New Roman"/>
                <w:b/>
                <w:bCs/>
                <w:color w:val="000000"/>
                <w:sz w:val="18"/>
                <w:szCs w:val="18"/>
              </w:rPr>
              <w:t>7,830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642C051" w14:textId="77777777" w:rsidR="00000000" w:rsidRDefault="00405D16">
            <w:pPr>
              <w:spacing w:after="100"/>
              <w:jc w:val="right"/>
              <w:rPr>
                <w:rFonts w:eastAsia="Times New Roman"/>
              </w:rPr>
            </w:pPr>
          </w:p>
        </w:tc>
      </w:tr>
      <w:tr w:rsidR="00000000" w14:paraId="2FDAD362" w14:textId="77777777">
        <w:trPr>
          <w:divId w:val="1272324005"/>
        </w:trPr>
        <w:tc>
          <w:tcPr>
            <w:tcW w:w="0" w:type="auto"/>
            <w:gridSpan w:val="3"/>
            <w:shd w:val="clear" w:color="auto" w:fill="FFFFFF"/>
            <w:tcMar>
              <w:top w:w="30" w:type="dxa"/>
              <w:left w:w="20" w:type="dxa"/>
              <w:bottom w:w="30" w:type="dxa"/>
              <w:right w:w="20" w:type="dxa"/>
            </w:tcMar>
            <w:vAlign w:val="center"/>
            <w:hideMark/>
          </w:tcPr>
          <w:p w14:paraId="6D79AD80" w14:textId="77777777" w:rsidR="00000000" w:rsidRDefault="00405D16">
            <w:pPr>
              <w:spacing w:after="100"/>
              <w:rPr>
                <w:rFonts w:eastAsia="Times New Roman"/>
              </w:rPr>
            </w:pPr>
            <w:r>
              <w:rPr>
                <w:rFonts w:eastAsia="Times New Roman"/>
                <w:color w:val="000000"/>
                <w:sz w:val="18"/>
                <w:szCs w:val="18"/>
              </w:rPr>
              <w:t>Provision (benefit) for credit losses</w:t>
            </w:r>
          </w:p>
        </w:tc>
        <w:tc>
          <w:tcPr>
            <w:tcW w:w="0" w:type="auto"/>
            <w:gridSpan w:val="3"/>
            <w:shd w:val="clear" w:color="auto" w:fill="FFFFFF"/>
            <w:tcMar>
              <w:top w:w="0" w:type="dxa"/>
              <w:left w:w="20" w:type="dxa"/>
              <w:bottom w:w="0" w:type="dxa"/>
              <w:right w:w="20" w:type="dxa"/>
            </w:tcMar>
            <w:vAlign w:val="center"/>
            <w:hideMark/>
          </w:tcPr>
          <w:p w14:paraId="7001E801"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42E6CC5" w14:textId="77777777" w:rsidR="00000000" w:rsidRDefault="00405D16">
            <w:pPr>
              <w:spacing w:after="100"/>
              <w:jc w:val="right"/>
              <w:rPr>
                <w:rFonts w:eastAsia="Times New Roman"/>
              </w:rPr>
            </w:pPr>
            <w:r>
              <w:rPr>
                <w:rFonts w:eastAsia="Times New Roman"/>
                <w:b/>
                <w:bCs/>
                <w:color w:val="000000"/>
                <w:sz w:val="18"/>
                <w:szCs w:val="18"/>
              </w:rPr>
              <w:t>(198)</w:t>
            </w:r>
          </w:p>
        </w:tc>
        <w:tc>
          <w:tcPr>
            <w:tcW w:w="0" w:type="auto"/>
            <w:shd w:val="clear" w:color="auto" w:fill="FFFFFF"/>
            <w:tcMar>
              <w:top w:w="30" w:type="dxa"/>
              <w:left w:w="0" w:type="dxa"/>
              <w:bottom w:w="30" w:type="dxa"/>
              <w:right w:w="20" w:type="dxa"/>
            </w:tcMar>
            <w:vAlign w:val="center"/>
            <w:hideMark/>
          </w:tcPr>
          <w:p w14:paraId="540F858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825C3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E189176" w14:textId="77777777" w:rsidR="00000000" w:rsidRDefault="00405D16">
            <w:pPr>
              <w:spacing w:after="100"/>
              <w:jc w:val="right"/>
              <w:rPr>
                <w:rFonts w:eastAsia="Times New Roman"/>
              </w:rPr>
            </w:pPr>
            <w:r>
              <w:rPr>
                <w:rFonts w:eastAsia="Times New Roman"/>
                <w:b/>
                <w:bCs/>
                <w:color w:val="000000"/>
                <w:sz w:val="18"/>
                <w:szCs w:val="18"/>
              </w:rPr>
              <w:t>(91)</w:t>
            </w:r>
          </w:p>
        </w:tc>
        <w:tc>
          <w:tcPr>
            <w:tcW w:w="0" w:type="auto"/>
            <w:shd w:val="clear" w:color="auto" w:fill="FFFFFF"/>
            <w:tcMar>
              <w:top w:w="30" w:type="dxa"/>
              <w:left w:w="0" w:type="dxa"/>
              <w:bottom w:w="30" w:type="dxa"/>
              <w:right w:w="20" w:type="dxa"/>
            </w:tcMar>
            <w:vAlign w:val="center"/>
            <w:hideMark/>
          </w:tcPr>
          <w:p w14:paraId="5F91097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263EB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8414D80" w14:textId="77777777" w:rsidR="00000000" w:rsidRDefault="00405D16">
            <w:pPr>
              <w:spacing w:after="100"/>
              <w:jc w:val="right"/>
              <w:rPr>
                <w:rFonts w:eastAsia="Times New Roman"/>
              </w:rPr>
            </w:pPr>
            <w:r>
              <w:rPr>
                <w:rFonts w:eastAsia="Times New Roman"/>
                <w:b/>
                <w:bCs/>
                <w:color w:val="000000"/>
                <w:sz w:val="18"/>
                <w:szCs w:val="18"/>
              </w:rPr>
              <w:t>(53)</w:t>
            </w:r>
          </w:p>
        </w:tc>
        <w:tc>
          <w:tcPr>
            <w:tcW w:w="0" w:type="auto"/>
            <w:shd w:val="clear" w:color="auto" w:fill="FFFFFF"/>
            <w:tcMar>
              <w:top w:w="30" w:type="dxa"/>
              <w:left w:w="0" w:type="dxa"/>
              <w:bottom w:w="30" w:type="dxa"/>
              <w:right w:w="20" w:type="dxa"/>
            </w:tcMar>
            <w:vAlign w:val="center"/>
            <w:hideMark/>
          </w:tcPr>
          <w:p w14:paraId="4C46D88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EC9EC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49366C6"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5DA7BC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CBE79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E81A6AF" w14:textId="77777777" w:rsidR="00000000" w:rsidRDefault="00405D16">
            <w:pPr>
              <w:spacing w:after="100"/>
              <w:jc w:val="right"/>
              <w:rPr>
                <w:rFonts w:eastAsia="Times New Roman"/>
              </w:rPr>
            </w:pPr>
            <w:r>
              <w:rPr>
                <w:rFonts w:eastAsia="Times New Roman"/>
                <w:b/>
                <w:bCs/>
                <w:color w:val="000000"/>
                <w:sz w:val="18"/>
                <w:szCs w:val="18"/>
              </w:rPr>
              <w:t>(342)</w:t>
            </w:r>
          </w:p>
        </w:tc>
        <w:tc>
          <w:tcPr>
            <w:tcW w:w="0" w:type="auto"/>
            <w:shd w:val="clear" w:color="auto" w:fill="FFFFFF"/>
            <w:tcMar>
              <w:top w:w="30" w:type="dxa"/>
              <w:left w:w="0" w:type="dxa"/>
              <w:bottom w:w="30" w:type="dxa"/>
              <w:right w:w="20" w:type="dxa"/>
            </w:tcMar>
            <w:vAlign w:val="center"/>
            <w:hideMark/>
          </w:tcPr>
          <w:p w14:paraId="4EE4854E" w14:textId="77777777" w:rsidR="00000000" w:rsidRDefault="00405D16">
            <w:pPr>
              <w:spacing w:after="100"/>
              <w:jc w:val="right"/>
              <w:rPr>
                <w:rFonts w:eastAsia="Times New Roman"/>
              </w:rPr>
            </w:pPr>
          </w:p>
        </w:tc>
      </w:tr>
      <w:tr w:rsidR="00000000" w14:paraId="3A28CD26" w14:textId="77777777">
        <w:trPr>
          <w:divId w:val="1272324005"/>
        </w:trPr>
        <w:tc>
          <w:tcPr>
            <w:tcW w:w="0" w:type="auto"/>
            <w:gridSpan w:val="3"/>
            <w:shd w:val="clear" w:color="auto" w:fill="CCEEFF"/>
            <w:tcMar>
              <w:top w:w="30" w:type="dxa"/>
              <w:left w:w="20" w:type="dxa"/>
              <w:bottom w:w="30" w:type="dxa"/>
              <w:right w:w="20" w:type="dxa"/>
            </w:tcMar>
            <w:vAlign w:val="center"/>
            <w:hideMark/>
          </w:tcPr>
          <w:p w14:paraId="78EC2C77" w14:textId="77777777" w:rsidR="00000000" w:rsidRDefault="00405D16">
            <w:pPr>
              <w:spacing w:after="100"/>
              <w:rPr>
                <w:rFonts w:eastAsia="Times New Roman"/>
              </w:rPr>
            </w:pPr>
            <w:r>
              <w:rPr>
                <w:rFonts w:eastAsia="Times New Roman"/>
                <w:color w:val="000000"/>
                <w:sz w:val="18"/>
                <w:szCs w:val="18"/>
              </w:rPr>
              <w:t>Non-interest expense</w:t>
            </w:r>
          </w:p>
        </w:tc>
        <w:tc>
          <w:tcPr>
            <w:tcW w:w="0" w:type="auto"/>
            <w:gridSpan w:val="3"/>
            <w:shd w:val="clear" w:color="auto" w:fill="CCEEFF"/>
            <w:tcMar>
              <w:top w:w="0" w:type="dxa"/>
              <w:left w:w="20" w:type="dxa"/>
              <w:bottom w:w="0" w:type="dxa"/>
              <w:right w:w="20" w:type="dxa"/>
            </w:tcMar>
            <w:vAlign w:val="center"/>
            <w:hideMark/>
          </w:tcPr>
          <w:p w14:paraId="1772D794"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BC51678" w14:textId="77777777" w:rsidR="00000000" w:rsidRDefault="00405D16">
            <w:pPr>
              <w:spacing w:after="100"/>
              <w:jc w:val="right"/>
              <w:rPr>
                <w:rFonts w:eastAsia="Times New Roman"/>
              </w:rPr>
            </w:pPr>
            <w:r>
              <w:rPr>
                <w:rFonts w:eastAsia="Times New Roman"/>
                <w:b/>
                <w:bCs/>
                <w:color w:val="000000"/>
                <w:sz w:val="18"/>
                <w:szCs w:val="18"/>
              </w:rPr>
              <w:t>2,424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2FBBAE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3F254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7863FC7" w14:textId="77777777" w:rsidR="00000000" w:rsidRDefault="00405D16">
            <w:pPr>
              <w:spacing w:after="100"/>
              <w:jc w:val="right"/>
              <w:rPr>
                <w:rFonts w:eastAsia="Times New Roman"/>
              </w:rPr>
            </w:pPr>
            <w:r>
              <w:rPr>
                <w:rFonts w:eastAsia="Times New Roman"/>
                <w:b/>
                <w:bCs/>
                <w:color w:val="000000"/>
                <w:sz w:val="18"/>
                <w:szCs w:val="18"/>
              </w:rPr>
              <w:t>1,186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449A27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EA7BA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996C05C" w14:textId="77777777" w:rsidR="00000000" w:rsidRDefault="00405D16">
            <w:pPr>
              <w:spacing w:after="100"/>
              <w:jc w:val="right"/>
              <w:rPr>
                <w:rFonts w:eastAsia="Times New Roman"/>
              </w:rPr>
            </w:pPr>
            <w:r>
              <w:rPr>
                <w:rFonts w:eastAsia="Times New Roman"/>
                <w:b/>
                <w:bCs/>
                <w:color w:val="000000"/>
                <w:sz w:val="18"/>
                <w:szCs w:val="18"/>
              </w:rPr>
              <w:t>459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75E6B9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51E4A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CBDDD57" w14:textId="77777777" w:rsidR="00000000" w:rsidRDefault="00405D16">
            <w:pPr>
              <w:spacing w:after="100"/>
              <w:jc w:val="right"/>
              <w:rPr>
                <w:rFonts w:eastAsia="Times New Roman"/>
              </w:rPr>
            </w:pPr>
            <w:r>
              <w:rPr>
                <w:rFonts w:eastAsia="Times New Roman"/>
                <w:b/>
                <w:bCs/>
                <w:color w:val="000000"/>
                <w:sz w:val="18"/>
                <w:szCs w:val="18"/>
              </w:rPr>
              <w:t>117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AE14A6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F0AF5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F8410CC" w14:textId="77777777" w:rsidR="00000000" w:rsidRDefault="00405D16">
            <w:pPr>
              <w:spacing w:after="100"/>
              <w:jc w:val="right"/>
              <w:rPr>
                <w:rFonts w:eastAsia="Times New Roman"/>
              </w:rPr>
            </w:pPr>
            <w:r>
              <w:rPr>
                <w:rFonts w:eastAsia="Times New Roman"/>
                <w:b/>
                <w:bCs/>
                <w:color w:val="000000"/>
                <w:sz w:val="18"/>
                <w:szCs w:val="18"/>
              </w:rPr>
              <w:t>4,186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8853AAD" w14:textId="77777777" w:rsidR="00000000" w:rsidRDefault="00405D16">
            <w:pPr>
              <w:spacing w:after="100"/>
              <w:jc w:val="right"/>
              <w:rPr>
                <w:rFonts w:eastAsia="Times New Roman"/>
              </w:rPr>
            </w:pPr>
          </w:p>
        </w:tc>
      </w:tr>
      <w:tr w:rsidR="00000000" w14:paraId="2FAD458E" w14:textId="77777777">
        <w:trPr>
          <w:divId w:val="1272324005"/>
        </w:trPr>
        <w:tc>
          <w:tcPr>
            <w:tcW w:w="0" w:type="auto"/>
            <w:gridSpan w:val="3"/>
            <w:shd w:val="clear" w:color="auto" w:fill="FFFFFF"/>
            <w:tcMar>
              <w:top w:w="30" w:type="dxa"/>
              <w:left w:w="20" w:type="dxa"/>
              <w:bottom w:w="30" w:type="dxa"/>
              <w:right w:w="20" w:type="dxa"/>
            </w:tcMar>
            <w:vAlign w:val="center"/>
            <w:hideMark/>
          </w:tcPr>
          <w:p w14:paraId="4A52FD86" w14:textId="77777777" w:rsidR="00000000" w:rsidRDefault="00405D16">
            <w:pPr>
              <w:spacing w:after="100"/>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FFFFFF"/>
            <w:tcMar>
              <w:top w:w="0" w:type="dxa"/>
              <w:left w:w="20" w:type="dxa"/>
              <w:bottom w:w="0" w:type="dxa"/>
              <w:right w:w="20" w:type="dxa"/>
            </w:tcMar>
            <w:vAlign w:val="center"/>
            <w:hideMark/>
          </w:tcPr>
          <w:p w14:paraId="6CD4EBE6"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F6AB7D0" w14:textId="77777777" w:rsidR="00000000" w:rsidRDefault="00405D16">
            <w:pPr>
              <w:spacing w:after="100"/>
              <w:jc w:val="right"/>
              <w:rPr>
                <w:rFonts w:eastAsia="Times New Roman"/>
              </w:rPr>
            </w:pPr>
            <w:r>
              <w:rPr>
                <w:rFonts w:eastAsia="Times New Roman"/>
                <w:b/>
                <w:bCs/>
                <w:color w:val="000000"/>
                <w:sz w:val="18"/>
                <w:szCs w:val="18"/>
              </w:rPr>
              <w:t>2,657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C1A77B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6F5018"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F606D94" w14:textId="77777777" w:rsidR="00000000" w:rsidRDefault="00405D16">
            <w:pPr>
              <w:spacing w:after="100"/>
              <w:jc w:val="right"/>
              <w:rPr>
                <w:rFonts w:eastAsia="Times New Roman"/>
              </w:rPr>
            </w:pPr>
            <w:r>
              <w:rPr>
                <w:rFonts w:eastAsia="Times New Roman"/>
                <w:b/>
                <w:bCs/>
                <w:color w:val="000000"/>
                <w:sz w:val="18"/>
                <w:szCs w:val="18"/>
              </w:rPr>
              <w:t>1,191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1589DD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ABD0C4"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D74C79E" w14:textId="77777777" w:rsidR="00000000" w:rsidRDefault="00405D16">
            <w:pPr>
              <w:spacing w:after="100"/>
              <w:jc w:val="right"/>
              <w:rPr>
                <w:rFonts w:eastAsia="Times New Roman"/>
              </w:rPr>
            </w:pPr>
            <w:r>
              <w:rPr>
                <w:rFonts w:eastAsia="Times New Roman"/>
                <w:b/>
                <w:bCs/>
                <w:color w:val="000000"/>
                <w:sz w:val="18"/>
                <w:szCs w:val="18"/>
              </w:rPr>
              <w:t>478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41ADF2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EEA996"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FECCCF6" w14:textId="77777777" w:rsidR="00000000" w:rsidRDefault="00405D16">
            <w:pPr>
              <w:spacing w:after="100"/>
              <w:jc w:val="right"/>
              <w:rPr>
                <w:rFonts w:eastAsia="Times New Roman"/>
              </w:rPr>
            </w:pPr>
            <w:r>
              <w:rPr>
                <w:rFonts w:eastAsia="Times New Roman"/>
                <w:b/>
                <w:bCs/>
                <w:color w:val="000000"/>
                <w:sz w:val="18"/>
                <w:szCs w:val="18"/>
              </w:rPr>
              <w:t>(340)</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A7FE1B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0410D6"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206C147" w14:textId="77777777" w:rsidR="00000000" w:rsidRDefault="00405D16">
            <w:pPr>
              <w:spacing w:after="100"/>
              <w:jc w:val="right"/>
              <w:rPr>
                <w:rFonts w:eastAsia="Times New Roman"/>
              </w:rPr>
            </w:pPr>
            <w:r>
              <w:rPr>
                <w:rFonts w:eastAsia="Times New Roman"/>
                <w:b/>
                <w:bCs/>
                <w:color w:val="000000"/>
                <w:sz w:val="18"/>
                <w:szCs w:val="18"/>
              </w:rPr>
              <w:t>3,986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8318AF9" w14:textId="77777777" w:rsidR="00000000" w:rsidRDefault="00405D16">
            <w:pPr>
              <w:spacing w:after="100"/>
              <w:jc w:val="right"/>
              <w:rPr>
                <w:rFonts w:eastAsia="Times New Roman"/>
              </w:rPr>
            </w:pPr>
          </w:p>
        </w:tc>
      </w:tr>
      <w:tr w:rsidR="00000000" w14:paraId="23863AC7" w14:textId="77777777">
        <w:trPr>
          <w:divId w:val="1272324005"/>
        </w:trPr>
        <w:tc>
          <w:tcPr>
            <w:tcW w:w="0" w:type="auto"/>
            <w:gridSpan w:val="3"/>
            <w:shd w:val="clear" w:color="auto" w:fill="CCEEFF"/>
            <w:tcMar>
              <w:top w:w="30" w:type="dxa"/>
              <w:left w:w="20" w:type="dxa"/>
              <w:bottom w:w="30" w:type="dxa"/>
              <w:right w:w="20" w:type="dxa"/>
            </w:tcMar>
            <w:vAlign w:val="center"/>
            <w:hideMark/>
          </w:tcPr>
          <w:p w14:paraId="25521CEC" w14:textId="77777777" w:rsidR="00000000" w:rsidRDefault="00405D16">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14:paraId="5A2C5662"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1FAE6D5" w14:textId="77777777" w:rsidR="00000000" w:rsidRDefault="00405D16">
            <w:pPr>
              <w:spacing w:after="100"/>
              <w:jc w:val="right"/>
              <w:rPr>
                <w:rFonts w:eastAsia="Times New Roman"/>
              </w:rPr>
            </w:pPr>
            <w:r>
              <w:rPr>
                <w:rFonts w:eastAsia="Times New Roman"/>
                <w:b/>
                <w:bCs/>
                <w:color w:val="000000"/>
                <w:sz w:val="18"/>
                <w:szCs w:val="18"/>
              </w:rPr>
              <w:t>627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176758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87E1D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FF08DA4" w14:textId="77777777" w:rsidR="00000000" w:rsidRDefault="00405D16">
            <w:pPr>
              <w:spacing w:after="100"/>
              <w:jc w:val="right"/>
              <w:rPr>
                <w:rFonts w:eastAsia="Times New Roman"/>
              </w:rPr>
            </w:pPr>
            <w:r>
              <w:rPr>
                <w:rFonts w:eastAsia="Times New Roman"/>
                <w:b/>
                <w:bCs/>
                <w:color w:val="000000"/>
                <w:sz w:val="18"/>
                <w:szCs w:val="18"/>
              </w:rPr>
              <w:t>282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A76827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77669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2A8AA5E" w14:textId="77777777" w:rsidR="00000000" w:rsidRDefault="00405D16">
            <w:pPr>
              <w:spacing w:after="100"/>
              <w:jc w:val="right"/>
              <w:rPr>
                <w:rFonts w:eastAsia="Times New Roman"/>
              </w:rPr>
            </w:pPr>
            <w:r>
              <w:rPr>
                <w:rFonts w:eastAsia="Times New Roman"/>
                <w:b/>
                <w:bCs/>
                <w:color w:val="000000"/>
                <w:sz w:val="18"/>
                <w:szCs w:val="18"/>
              </w:rPr>
              <w:t>113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B9CB25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7367F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76726FA" w14:textId="77777777" w:rsidR="00000000" w:rsidRDefault="00405D16">
            <w:pPr>
              <w:spacing w:after="100"/>
              <w:jc w:val="right"/>
              <w:rPr>
                <w:rFonts w:eastAsia="Times New Roman"/>
              </w:rPr>
            </w:pPr>
            <w:r>
              <w:rPr>
                <w:rFonts w:eastAsia="Times New Roman"/>
                <w:b/>
                <w:bCs/>
                <w:color w:val="000000"/>
                <w:sz w:val="18"/>
                <w:szCs w:val="18"/>
              </w:rPr>
              <w:t>(140)</w:t>
            </w:r>
          </w:p>
        </w:tc>
        <w:tc>
          <w:tcPr>
            <w:tcW w:w="0" w:type="auto"/>
            <w:shd w:val="clear" w:color="auto" w:fill="CCEEFF"/>
            <w:tcMar>
              <w:top w:w="30" w:type="dxa"/>
              <w:left w:w="0" w:type="dxa"/>
              <w:bottom w:w="30" w:type="dxa"/>
              <w:right w:w="20" w:type="dxa"/>
            </w:tcMar>
            <w:vAlign w:val="center"/>
            <w:hideMark/>
          </w:tcPr>
          <w:p w14:paraId="1B4EEE8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229E1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117D6C2" w14:textId="77777777" w:rsidR="00000000" w:rsidRDefault="00405D16">
            <w:pPr>
              <w:spacing w:after="100"/>
              <w:jc w:val="right"/>
              <w:rPr>
                <w:rFonts w:eastAsia="Times New Roman"/>
              </w:rPr>
            </w:pPr>
            <w:r>
              <w:rPr>
                <w:rFonts w:eastAsia="Times New Roman"/>
                <w:b/>
                <w:bCs/>
                <w:color w:val="000000"/>
                <w:sz w:val="18"/>
                <w:szCs w:val="18"/>
              </w:rPr>
              <w:t>882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A96BABA" w14:textId="77777777" w:rsidR="00000000" w:rsidRDefault="00405D16">
            <w:pPr>
              <w:spacing w:after="100"/>
              <w:jc w:val="right"/>
              <w:rPr>
                <w:rFonts w:eastAsia="Times New Roman"/>
              </w:rPr>
            </w:pPr>
          </w:p>
        </w:tc>
      </w:tr>
      <w:tr w:rsidR="00000000" w14:paraId="64B5220A" w14:textId="77777777">
        <w:trPr>
          <w:divId w:val="1272324005"/>
        </w:trPr>
        <w:tc>
          <w:tcPr>
            <w:tcW w:w="0" w:type="auto"/>
            <w:gridSpan w:val="3"/>
            <w:shd w:val="clear" w:color="auto" w:fill="FFFFFF"/>
            <w:tcMar>
              <w:top w:w="30" w:type="dxa"/>
              <w:left w:w="20" w:type="dxa"/>
              <w:bottom w:w="30" w:type="dxa"/>
              <w:right w:w="20" w:type="dxa"/>
            </w:tcMar>
            <w:vAlign w:val="center"/>
            <w:hideMark/>
          </w:tcPr>
          <w:p w14:paraId="6F89A986" w14:textId="77777777" w:rsidR="00000000" w:rsidRDefault="00405D16">
            <w:pPr>
              <w:spacing w:after="100"/>
              <w:rPr>
                <w:rFonts w:eastAsia="Times New Roman"/>
              </w:rPr>
            </w:pPr>
            <w:r>
              <w:rPr>
                <w:rFonts w:eastAsia="Times New Roman"/>
                <w:color w:val="000000"/>
                <w:sz w:val="18"/>
                <w:szCs w:val="18"/>
              </w:rPr>
              <w:t>Income (loss) from continuing operations, net of tax</w:t>
            </w:r>
          </w:p>
        </w:tc>
        <w:tc>
          <w:tcPr>
            <w:tcW w:w="0" w:type="auto"/>
            <w:gridSpan w:val="3"/>
            <w:shd w:val="clear" w:color="auto" w:fill="FFFFFF"/>
            <w:tcMar>
              <w:top w:w="0" w:type="dxa"/>
              <w:left w:w="20" w:type="dxa"/>
              <w:bottom w:w="0" w:type="dxa"/>
              <w:right w:w="20" w:type="dxa"/>
            </w:tcMar>
            <w:vAlign w:val="center"/>
            <w:hideMark/>
          </w:tcPr>
          <w:p w14:paraId="0F397397" w14:textId="77777777" w:rsidR="00000000" w:rsidRDefault="00405D16">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2A142FB7"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63773A5F" w14:textId="77777777" w:rsidR="00000000" w:rsidRDefault="00405D16">
            <w:pPr>
              <w:spacing w:after="100"/>
              <w:jc w:val="right"/>
              <w:rPr>
                <w:rFonts w:eastAsia="Times New Roman"/>
              </w:rPr>
            </w:pPr>
            <w:r>
              <w:rPr>
                <w:rFonts w:eastAsia="Times New Roman"/>
                <w:b/>
                <w:bCs/>
                <w:color w:val="000000"/>
                <w:sz w:val="18"/>
                <w:szCs w:val="18"/>
              </w:rPr>
              <w:t>2,030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00745D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106369"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29C2A676"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2B78C540" w14:textId="77777777" w:rsidR="00000000" w:rsidRDefault="00405D16">
            <w:pPr>
              <w:spacing w:after="100"/>
              <w:jc w:val="right"/>
              <w:rPr>
                <w:rFonts w:eastAsia="Times New Roman"/>
              </w:rPr>
            </w:pPr>
            <w:r>
              <w:rPr>
                <w:rFonts w:eastAsia="Times New Roman"/>
                <w:b/>
                <w:bCs/>
                <w:color w:val="000000"/>
                <w:sz w:val="18"/>
                <w:szCs w:val="18"/>
              </w:rPr>
              <w:t>909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333ED8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2D6177"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0A00D5E5"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D1A667D" w14:textId="77777777" w:rsidR="00000000" w:rsidRDefault="00405D16">
            <w:pPr>
              <w:spacing w:after="100"/>
              <w:jc w:val="right"/>
              <w:rPr>
                <w:rFonts w:eastAsia="Times New Roman"/>
              </w:rPr>
            </w:pPr>
            <w:r>
              <w:rPr>
                <w:rFonts w:eastAsia="Times New Roman"/>
                <w:b/>
                <w:bCs/>
                <w:color w:val="000000"/>
                <w:sz w:val="18"/>
                <w:szCs w:val="18"/>
              </w:rPr>
              <w:t>365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8DAC15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392BEE"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3B57422C"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1D925D5D" w14:textId="77777777" w:rsidR="00000000" w:rsidRDefault="00405D16">
            <w:pPr>
              <w:spacing w:after="100"/>
              <w:jc w:val="right"/>
              <w:rPr>
                <w:rFonts w:eastAsia="Times New Roman"/>
              </w:rPr>
            </w:pPr>
            <w:r>
              <w:rPr>
                <w:rFonts w:eastAsia="Times New Roman"/>
                <w:b/>
                <w:bCs/>
                <w:color w:val="000000"/>
                <w:sz w:val="18"/>
                <w:szCs w:val="18"/>
              </w:rPr>
              <w:t>(200)</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314884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BD27A6"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14A6B797"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ADDDCBE" w14:textId="77777777" w:rsidR="00000000" w:rsidRDefault="00405D16">
            <w:pPr>
              <w:spacing w:after="100"/>
              <w:jc w:val="right"/>
              <w:rPr>
                <w:rFonts w:eastAsia="Times New Roman"/>
              </w:rPr>
            </w:pPr>
            <w:r>
              <w:rPr>
                <w:rFonts w:eastAsia="Times New Roman"/>
                <w:b/>
                <w:bCs/>
                <w:color w:val="000000"/>
                <w:sz w:val="18"/>
                <w:szCs w:val="18"/>
              </w:rPr>
              <w:t>3,104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C6A4A68" w14:textId="77777777" w:rsidR="00000000" w:rsidRDefault="00405D16">
            <w:pPr>
              <w:spacing w:after="100"/>
              <w:jc w:val="right"/>
              <w:rPr>
                <w:rFonts w:eastAsia="Times New Roman"/>
              </w:rPr>
            </w:pPr>
          </w:p>
        </w:tc>
      </w:tr>
      <w:tr w:rsidR="00000000" w14:paraId="31C13EA3" w14:textId="77777777">
        <w:trPr>
          <w:divId w:val="1272324005"/>
        </w:trPr>
        <w:tc>
          <w:tcPr>
            <w:tcW w:w="0" w:type="auto"/>
            <w:gridSpan w:val="3"/>
            <w:shd w:val="clear" w:color="auto" w:fill="CCEEFF"/>
            <w:tcMar>
              <w:top w:w="30" w:type="dxa"/>
              <w:left w:w="20" w:type="dxa"/>
              <w:bottom w:w="30" w:type="dxa"/>
              <w:right w:w="20" w:type="dxa"/>
            </w:tcMar>
            <w:vAlign w:val="center"/>
            <w:hideMark/>
          </w:tcPr>
          <w:p w14:paraId="13E7C48F" w14:textId="77777777" w:rsidR="00000000" w:rsidRDefault="00405D16">
            <w:pPr>
              <w:spacing w:after="100"/>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14:paraId="3D6C5D25" w14:textId="77777777" w:rsidR="00000000" w:rsidRDefault="00405D16">
            <w:pPr>
              <w:spacing w:after="100"/>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013E1AF4"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469CB332" w14:textId="77777777" w:rsidR="00000000" w:rsidRDefault="00405D16">
            <w:pPr>
              <w:spacing w:after="100"/>
              <w:jc w:val="right"/>
              <w:rPr>
                <w:rFonts w:eastAsia="Times New Roman"/>
              </w:rPr>
            </w:pPr>
            <w:r>
              <w:rPr>
                <w:rFonts w:eastAsia="Times New Roman"/>
                <w:b/>
                <w:bCs/>
                <w:color w:val="000000"/>
                <w:sz w:val="18"/>
                <w:szCs w:val="18"/>
              </w:rPr>
              <w:t>105,030</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0493539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FB9A29" w14:textId="77777777" w:rsidR="00000000" w:rsidRDefault="00405D16">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2955CE7E"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5BDF8912" w14:textId="77777777" w:rsidR="00000000" w:rsidRDefault="00405D16">
            <w:pPr>
              <w:spacing w:after="100"/>
              <w:jc w:val="right"/>
              <w:rPr>
                <w:rFonts w:eastAsia="Times New Roman"/>
              </w:rPr>
            </w:pPr>
            <w:r>
              <w:rPr>
                <w:rFonts w:eastAsia="Times New Roman"/>
                <w:b/>
                <w:bCs/>
                <w:color w:val="000000"/>
                <w:sz w:val="18"/>
                <w:szCs w:val="18"/>
              </w:rPr>
              <w:t>77,112</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299A547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A6A29C" w14:textId="77777777" w:rsidR="00000000" w:rsidRDefault="00405D16">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33B9048D"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5BF072CF" w14:textId="77777777" w:rsidR="00000000" w:rsidRDefault="00405D16">
            <w:pPr>
              <w:spacing w:after="100"/>
              <w:jc w:val="right"/>
              <w:rPr>
                <w:rFonts w:eastAsia="Times New Roman"/>
              </w:rPr>
            </w:pPr>
            <w:r>
              <w:rPr>
                <w:rFonts w:eastAsia="Times New Roman"/>
                <w:b/>
                <w:bCs/>
                <w:color w:val="000000"/>
                <w:sz w:val="18"/>
                <w:szCs w:val="18"/>
              </w:rPr>
              <w:t>79,248</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3271440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4B3EF8" w14:textId="77777777" w:rsidR="00000000" w:rsidRDefault="00405D16">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67BB910D"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21B87B36"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3D5B982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E86887" w14:textId="77777777" w:rsidR="00000000" w:rsidRDefault="00405D16">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57FEFFDF"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6CAAFF87" w14:textId="77777777" w:rsidR="00000000" w:rsidRDefault="00405D16">
            <w:pPr>
              <w:spacing w:after="100"/>
              <w:jc w:val="right"/>
              <w:rPr>
                <w:rFonts w:eastAsia="Times New Roman"/>
              </w:rPr>
            </w:pPr>
            <w:r>
              <w:rPr>
                <w:rFonts w:eastAsia="Times New Roman"/>
                <w:b/>
                <w:bCs/>
                <w:color w:val="000000"/>
                <w:sz w:val="18"/>
                <w:szCs w:val="18"/>
              </w:rPr>
              <w:t>261,390</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7719BEFF" w14:textId="77777777" w:rsidR="00000000" w:rsidRDefault="00405D16">
            <w:pPr>
              <w:spacing w:after="100"/>
              <w:jc w:val="right"/>
              <w:rPr>
                <w:rFonts w:eastAsia="Times New Roman"/>
              </w:rPr>
            </w:pPr>
          </w:p>
        </w:tc>
      </w:tr>
      <w:tr w:rsidR="00000000" w14:paraId="7EAAD29A" w14:textId="77777777">
        <w:trPr>
          <w:divId w:val="1272324005"/>
        </w:trPr>
        <w:tc>
          <w:tcPr>
            <w:tcW w:w="0" w:type="auto"/>
            <w:gridSpan w:val="3"/>
            <w:shd w:val="clear" w:color="auto" w:fill="FFFFFF"/>
            <w:tcMar>
              <w:top w:w="30" w:type="dxa"/>
              <w:left w:w="20" w:type="dxa"/>
              <w:bottom w:w="30" w:type="dxa"/>
              <w:right w:w="20" w:type="dxa"/>
            </w:tcMar>
            <w:vAlign w:val="center"/>
            <w:hideMark/>
          </w:tcPr>
          <w:p w14:paraId="5D8CD2BF" w14:textId="77777777" w:rsidR="00000000" w:rsidRDefault="00405D16">
            <w:pPr>
              <w:spacing w:after="100"/>
              <w:rPr>
                <w:rFonts w:eastAsia="Times New Roman"/>
              </w:rPr>
            </w:pPr>
            <w:r>
              <w:rPr>
                <w:rFonts w:eastAsia="Times New Roman"/>
                <w:color w:val="000000"/>
                <w:sz w:val="18"/>
                <w:szCs w:val="18"/>
              </w:rPr>
              <w:t>Deposits</w:t>
            </w:r>
          </w:p>
        </w:tc>
        <w:tc>
          <w:tcPr>
            <w:tcW w:w="0" w:type="auto"/>
            <w:gridSpan w:val="3"/>
            <w:shd w:val="clear" w:color="auto" w:fill="FFFFFF"/>
            <w:tcMar>
              <w:top w:w="0" w:type="dxa"/>
              <w:left w:w="20" w:type="dxa"/>
              <w:bottom w:w="0" w:type="dxa"/>
              <w:right w:w="20" w:type="dxa"/>
            </w:tcMar>
            <w:vAlign w:val="center"/>
            <w:hideMark/>
          </w:tcPr>
          <w:p w14:paraId="7E7DD9ED"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D1E528F"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F51FC5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4B290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97259BF" w14:textId="77777777" w:rsidR="00000000" w:rsidRDefault="00405D16">
            <w:pPr>
              <w:spacing w:after="100"/>
              <w:jc w:val="right"/>
              <w:rPr>
                <w:rFonts w:eastAsia="Times New Roman"/>
              </w:rPr>
            </w:pPr>
            <w:r>
              <w:rPr>
                <w:rFonts w:eastAsia="Times New Roman"/>
                <w:b/>
                <w:bCs/>
                <w:color w:val="000000"/>
                <w:sz w:val="18"/>
                <w:szCs w:val="18"/>
              </w:rPr>
              <w:t>252,387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2E9CA8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0C7F15"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07405D9" w14:textId="77777777" w:rsidR="00000000" w:rsidRDefault="00405D16">
            <w:pPr>
              <w:spacing w:after="100"/>
              <w:jc w:val="right"/>
              <w:rPr>
                <w:rFonts w:eastAsia="Times New Roman"/>
              </w:rPr>
            </w:pPr>
            <w:r>
              <w:rPr>
                <w:rFonts w:eastAsia="Times New Roman"/>
                <w:b/>
                <w:bCs/>
                <w:color w:val="000000"/>
                <w:sz w:val="18"/>
                <w:szCs w:val="18"/>
              </w:rPr>
              <w:t>43,347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E1118A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EC32D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067FA7E" w14:textId="77777777" w:rsidR="00000000" w:rsidRDefault="00405D16">
            <w:pPr>
              <w:spacing w:after="100"/>
              <w:jc w:val="right"/>
              <w:rPr>
                <w:rFonts w:eastAsia="Times New Roman"/>
              </w:rPr>
            </w:pPr>
            <w:r>
              <w:rPr>
                <w:rFonts w:eastAsia="Times New Roman"/>
                <w:b/>
                <w:bCs/>
                <w:color w:val="000000"/>
                <w:sz w:val="18"/>
                <w:szCs w:val="18"/>
              </w:rPr>
              <w:t>10,204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0015BB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28335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44652FF" w14:textId="77777777" w:rsidR="00000000" w:rsidRDefault="00405D16">
            <w:pPr>
              <w:spacing w:after="100"/>
              <w:jc w:val="right"/>
              <w:rPr>
                <w:rFonts w:eastAsia="Times New Roman"/>
              </w:rPr>
            </w:pPr>
            <w:r>
              <w:rPr>
                <w:rFonts w:eastAsia="Times New Roman"/>
                <w:b/>
                <w:bCs/>
                <w:color w:val="000000"/>
                <w:sz w:val="18"/>
                <w:szCs w:val="18"/>
              </w:rPr>
              <w:t>305,938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8EAB191" w14:textId="77777777" w:rsidR="00000000" w:rsidRDefault="00405D16">
            <w:pPr>
              <w:spacing w:after="100"/>
              <w:jc w:val="right"/>
              <w:rPr>
                <w:rFonts w:eastAsia="Times New Roman"/>
              </w:rPr>
            </w:pP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3781"/>
        <w:gridCol w:w="144"/>
        <w:gridCol w:w="144"/>
        <w:gridCol w:w="144"/>
        <w:gridCol w:w="144"/>
        <w:gridCol w:w="144"/>
        <w:gridCol w:w="733"/>
        <w:gridCol w:w="144"/>
        <w:gridCol w:w="144"/>
        <w:gridCol w:w="144"/>
        <w:gridCol w:w="144"/>
        <w:gridCol w:w="144"/>
        <w:gridCol w:w="721"/>
        <w:gridCol w:w="144"/>
        <w:gridCol w:w="144"/>
        <w:gridCol w:w="144"/>
        <w:gridCol w:w="144"/>
        <w:gridCol w:w="144"/>
        <w:gridCol w:w="782"/>
        <w:gridCol w:w="144"/>
        <w:gridCol w:w="144"/>
        <w:gridCol w:w="144"/>
        <w:gridCol w:w="144"/>
        <w:gridCol w:w="144"/>
        <w:gridCol w:w="684"/>
        <w:gridCol w:w="144"/>
        <w:gridCol w:w="144"/>
        <w:gridCol w:w="144"/>
        <w:gridCol w:w="144"/>
        <w:gridCol w:w="144"/>
        <w:gridCol w:w="733"/>
        <w:gridCol w:w="144"/>
      </w:tblGrid>
      <w:tr w:rsidR="00000000" w14:paraId="0A21476E" w14:textId="77777777">
        <w:tc>
          <w:tcPr>
            <w:tcW w:w="50" w:type="pct"/>
            <w:vAlign w:val="center"/>
            <w:hideMark/>
          </w:tcPr>
          <w:p w14:paraId="7A5E505C" w14:textId="77777777" w:rsidR="00000000" w:rsidRDefault="00405D16">
            <w:pPr>
              <w:rPr>
                <w:rFonts w:eastAsia="Times New Roman"/>
              </w:rPr>
            </w:pPr>
          </w:p>
        </w:tc>
        <w:tc>
          <w:tcPr>
            <w:tcW w:w="2280" w:type="pct"/>
            <w:vAlign w:val="center"/>
            <w:hideMark/>
          </w:tcPr>
          <w:p w14:paraId="0F3DC15A" w14:textId="77777777" w:rsidR="00000000" w:rsidRDefault="00405D16">
            <w:pPr>
              <w:spacing w:after="100"/>
              <w:rPr>
                <w:rFonts w:eastAsia="Times New Roman"/>
                <w:sz w:val="20"/>
                <w:szCs w:val="20"/>
              </w:rPr>
            </w:pPr>
          </w:p>
        </w:tc>
        <w:tc>
          <w:tcPr>
            <w:tcW w:w="5" w:type="pct"/>
            <w:vAlign w:val="center"/>
            <w:hideMark/>
          </w:tcPr>
          <w:p w14:paraId="4F2F4AC6" w14:textId="77777777" w:rsidR="00000000" w:rsidRDefault="00405D16">
            <w:pPr>
              <w:spacing w:after="100"/>
              <w:rPr>
                <w:rFonts w:eastAsia="Times New Roman"/>
                <w:sz w:val="20"/>
                <w:szCs w:val="20"/>
              </w:rPr>
            </w:pPr>
          </w:p>
        </w:tc>
        <w:tc>
          <w:tcPr>
            <w:tcW w:w="5" w:type="pct"/>
            <w:vAlign w:val="center"/>
            <w:hideMark/>
          </w:tcPr>
          <w:p w14:paraId="645466CB" w14:textId="77777777" w:rsidR="00000000" w:rsidRDefault="00405D16">
            <w:pPr>
              <w:spacing w:after="100"/>
              <w:rPr>
                <w:rFonts w:eastAsia="Times New Roman"/>
                <w:sz w:val="20"/>
                <w:szCs w:val="20"/>
              </w:rPr>
            </w:pPr>
          </w:p>
        </w:tc>
        <w:tc>
          <w:tcPr>
            <w:tcW w:w="26" w:type="pct"/>
            <w:vAlign w:val="center"/>
            <w:hideMark/>
          </w:tcPr>
          <w:p w14:paraId="14F863EC" w14:textId="77777777" w:rsidR="00000000" w:rsidRDefault="00405D16">
            <w:pPr>
              <w:spacing w:after="100"/>
              <w:rPr>
                <w:rFonts w:eastAsia="Times New Roman"/>
                <w:sz w:val="20"/>
                <w:szCs w:val="20"/>
              </w:rPr>
            </w:pPr>
          </w:p>
        </w:tc>
        <w:tc>
          <w:tcPr>
            <w:tcW w:w="5" w:type="pct"/>
            <w:vAlign w:val="center"/>
            <w:hideMark/>
          </w:tcPr>
          <w:p w14:paraId="181E16F9" w14:textId="77777777" w:rsidR="00000000" w:rsidRDefault="00405D16">
            <w:pPr>
              <w:spacing w:after="100"/>
              <w:rPr>
                <w:rFonts w:eastAsia="Times New Roman"/>
                <w:sz w:val="20"/>
                <w:szCs w:val="20"/>
              </w:rPr>
            </w:pPr>
          </w:p>
        </w:tc>
        <w:tc>
          <w:tcPr>
            <w:tcW w:w="50" w:type="pct"/>
            <w:vAlign w:val="center"/>
            <w:hideMark/>
          </w:tcPr>
          <w:p w14:paraId="556417D0" w14:textId="77777777" w:rsidR="00000000" w:rsidRDefault="00405D16">
            <w:pPr>
              <w:spacing w:after="100"/>
              <w:rPr>
                <w:rFonts w:eastAsia="Times New Roman"/>
                <w:sz w:val="20"/>
                <w:szCs w:val="20"/>
              </w:rPr>
            </w:pPr>
          </w:p>
        </w:tc>
        <w:tc>
          <w:tcPr>
            <w:tcW w:w="442" w:type="pct"/>
            <w:vAlign w:val="center"/>
            <w:hideMark/>
          </w:tcPr>
          <w:p w14:paraId="7BF259BB" w14:textId="77777777" w:rsidR="00000000" w:rsidRDefault="00405D16">
            <w:pPr>
              <w:spacing w:after="100"/>
              <w:rPr>
                <w:rFonts w:eastAsia="Times New Roman"/>
                <w:sz w:val="20"/>
                <w:szCs w:val="20"/>
              </w:rPr>
            </w:pPr>
          </w:p>
        </w:tc>
        <w:tc>
          <w:tcPr>
            <w:tcW w:w="5" w:type="pct"/>
            <w:vAlign w:val="center"/>
            <w:hideMark/>
          </w:tcPr>
          <w:p w14:paraId="1B694C9A" w14:textId="77777777" w:rsidR="00000000" w:rsidRDefault="00405D16">
            <w:pPr>
              <w:spacing w:after="100"/>
              <w:rPr>
                <w:rFonts w:eastAsia="Times New Roman"/>
                <w:sz w:val="20"/>
                <w:szCs w:val="20"/>
              </w:rPr>
            </w:pPr>
          </w:p>
        </w:tc>
        <w:tc>
          <w:tcPr>
            <w:tcW w:w="5" w:type="pct"/>
            <w:vAlign w:val="center"/>
            <w:hideMark/>
          </w:tcPr>
          <w:p w14:paraId="31AC788D" w14:textId="77777777" w:rsidR="00000000" w:rsidRDefault="00405D16">
            <w:pPr>
              <w:spacing w:after="100"/>
              <w:rPr>
                <w:rFonts w:eastAsia="Times New Roman"/>
                <w:sz w:val="20"/>
                <w:szCs w:val="20"/>
              </w:rPr>
            </w:pPr>
          </w:p>
        </w:tc>
        <w:tc>
          <w:tcPr>
            <w:tcW w:w="26" w:type="pct"/>
            <w:vAlign w:val="center"/>
            <w:hideMark/>
          </w:tcPr>
          <w:p w14:paraId="40999370" w14:textId="77777777" w:rsidR="00000000" w:rsidRDefault="00405D16">
            <w:pPr>
              <w:spacing w:after="100"/>
              <w:rPr>
                <w:rFonts w:eastAsia="Times New Roman"/>
                <w:sz w:val="20"/>
                <w:szCs w:val="20"/>
              </w:rPr>
            </w:pPr>
          </w:p>
        </w:tc>
        <w:tc>
          <w:tcPr>
            <w:tcW w:w="5" w:type="pct"/>
            <w:vAlign w:val="center"/>
            <w:hideMark/>
          </w:tcPr>
          <w:p w14:paraId="5EB9FDD6" w14:textId="77777777" w:rsidR="00000000" w:rsidRDefault="00405D16">
            <w:pPr>
              <w:spacing w:after="100"/>
              <w:rPr>
                <w:rFonts w:eastAsia="Times New Roman"/>
                <w:sz w:val="20"/>
                <w:szCs w:val="20"/>
              </w:rPr>
            </w:pPr>
          </w:p>
        </w:tc>
        <w:tc>
          <w:tcPr>
            <w:tcW w:w="50" w:type="pct"/>
            <w:vAlign w:val="center"/>
            <w:hideMark/>
          </w:tcPr>
          <w:p w14:paraId="204BE5E4" w14:textId="77777777" w:rsidR="00000000" w:rsidRDefault="00405D16">
            <w:pPr>
              <w:spacing w:after="100"/>
              <w:rPr>
                <w:rFonts w:eastAsia="Times New Roman"/>
                <w:sz w:val="20"/>
                <w:szCs w:val="20"/>
              </w:rPr>
            </w:pPr>
          </w:p>
        </w:tc>
        <w:tc>
          <w:tcPr>
            <w:tcW w:w="435" w:type="pct"/>
            <w:vAlign w:val="center"/>
            <w:hideMark/>
          </w:tcPr>
          <w:p w14:paraId="1ABF2BEE" w14:textId="77777777" w:rsidR="00000000" w:rsidRDefault="00405D16">
            <w:pPr>
              <w:spacing w:after="100"/>
              <w:rPr>
                <w:rFonts w:eastAsia="Times New Roman"/>
                <w:sz w:val="20"/>
                <w:szCs w:val="20"/>
              </w:rPr>
            </w:pPr>
          </w:p>
        </w:tc>
        <w:tc>
          <w:tcPr>
            <w:tcW w:w="5" w:type="pct"/>
            <w:vAlign w:val="center"/>
            <w:hideMark/>
          </w:tcPr>
          <w:p w14:paraId="3305039B" w14:textId="77777777" w:rsidR="00000000" w:rsidRDefault="00405D16">
            <w:pPr>
              <w:spacing w:after="100"/>
              <w:rPr>
                <w:rFonts w:eastAsia="Times New Roman"/>
                <w:sz w:val="20"/>
                <w:szCs w:val="20"/>
              </w:rPr>
            </w:pPr>
          </w:p>
        </w:tc>
        <w:tc>
          <w:tcPr>
            <w:tcW w:w="5" w:type="pct"/>
            <w:vAlign w:val="center"/>
            <w:hideMark/>
          </w:tcPr>
          <w:p w14:paraId="62682959" w14:textId="77777777" w:rsidR="00000000" w:rsidRDefault="00405D16">
            <w:pPr>
              <w:spacing w:after="100"/>
              <w:rPr>
                <w:rFonts w:eastAsia="Times New Roman"/>
                <w:sz w:val="20"/>
                <w:szCs w:val="20"/>
              </w:rPr>
            </w:pPr>
          </w:p>
        </w:tc>
        <w:tc>
          <w:tcPr>
            <w:tcW w:w="26" w:type="pct"/>
            <w:vAlign w:val="center"/>
            <w:hideMark/>
          </w:tcPr>
          <w:p w14:paraId="51072594" w14:textId="77777777" w:rsidR="00000000" w:rsidRDefault="00405D16">
            <w:pPr>
              <w:spacing w:after="100"/>
              <w:rPr>
                <w:rFonts w:eastAsia="Times New Roman"/>
                <w:sz w:val="20"/>
                <w:szCs w:val="20"/>
              </w:rPr>
            </w:pPr>
          </w:p>
        </w:tc>
        <w:tc>
          <w:tcPr>
            <w:tcW w:w="5" w:type="pct"/>
            <w:vAlign w:val="center"/>
            <w:hideMark/>
          </w:tcPr>
          <w:p w14:paraId="1A398E56" w14:textId="77777777" w:rsidR="00000000" w:rsidRDefault="00405D16">
            <w:pPr>
              <w:spacing w:after="100"/>
              <w:rPr>
                <w:rFonts w:eastAsia="Times New Roman"/>
                <w:sz w:val="20"/>
                <w:szCs w:val="20"/>
              </w:rPr>
            </w:pPr>
          </w:p>
        </w:tc>
        <w:tc>
          <w:tcPr>
            <w:tcW w:w="50" w:type="pct"/>
            <w:vAlign w:val="center"/>
            <w:hideMark/>
          </w:tcPr>
          <w:p w14:paraId="2D163E7A" w14:textId="77777777" w:rsidR="00000000" w:rsidRDefault="00405D16">
            <w:pPr>
              <w:spacing w:after="100"/>
              <w:rPr>
                <w:rFonts w:eastAsia="Times New Roman"/>
                <w:sz w:val="20"/>
                <w:szCs w:val="20"/>
              </w:rPr>
            </w:pPr>
          </w:p>
        </w:tc>
        <w:tc>
          <w:tcPr>
            <w:tcW w:w="472" w:type="pct"/>
            <w:vAlign w:val="center"/>
            <w:hideMark/>
          </w:tcPr>
          <w:p w14:paraId="4967A1DD" w14:textId="77777777" w:rsidR="00000000" w:rsidRDefault="00405D16">
            <w:pPr>
              <w:spacing w:after="100"/>
              <w:rPr>
                <w:rFonts w:eastAsia="Times New Roman"/>
                <w:sz w:val="20"/>
                <w:szCs w:val="20"/>
              </w:rPr>
            </w:pPr>
          </w:p>
        </w:tc>
        <w:tc>
          <w:tcPr>
            <w:tcW w:w="5" w:type="pct"/>
            <w:vAlign w:val="center"/>
            <w:hideMark/>
          </w:tcPr>
          <w:p w14:paraId="27B9896E" w14:textId="77777777" w:rsidR="00000000" w:rsidRDefault="00405D16">
            <w:pPr>
              <w:spacing w:after="100"/>
              <w:rPr>
                <w:rFonts w:eastAsia="Times New Roman"/>
                <w:sz w:val="20"/>
                <w:szCs w:val="20"/>
              </w:rPr>
            </w:pPr>
          </w:p>
        </w:tc>
        <w:tc>
          <w:tcPr>
            <w:tcW w:w="5" w:type="pct"/>
            <w:vAlign w:val="center"/>
            <w:hideMark/>
          </w:tcPr>
          <w:p w14:paraId="13DA1B41" w14:textId="77777777" w:rsidR="00000000" w:rsidRDefault="00405D16">
            <w:pPr>
              <w:spacing w:after="100"/>
              <w:rPr>
                <w:rFonts w:eastAsia="Times New Roman"/>
                <w:sz w:val="20"/>
                <w:szCs w:val="20"/>
              </w:rPr>
            </w:pPr>
          </w:p>
        </w:tc>
        <w:tc>
          <w:tcPr>
            <w:tcW w:w="26" w:type="pct"/>
            <w:vAlign w:val="center"/>
            <w:hideMark/>
          </w:tcPr>
          <w:p w14:paraId="31543B5F" w14:textId="77777777" w:rsidR="00000000" w:rsidRDefault="00405D16">
            <w:pPr>
              <w:spacing w:after="100"/>
              <w:rPr>
                <w:rFonts w:eastAsia="Times New Roman"/>
                <w:sz w:val="20"/>
                <w:szCs w:val="20"/>
              </w:rPr>
            </w:pPr>
          </w:p>
        </w:tc>
        <w:tc>
          <w:tcPr>
            <w:tcW w:w="5" w:type="pct"/>
            <w:vAlign w:val="center"/>
            <w:hideMark/>
          </w:tcPr>
          <w:p w14:paraId="07766C2E" w14:textId="77777777" w:rsidR="00000000" w:rsidRDefault="00405D16">
            <w:pPr>
              <w:spacing w:after="100"/>
              <w:rPr>
                <w:rFonts w:eastAsia="Times New Roman"/>
                <w:sz w:val="20"/>
                <w:szCs w:val="20"/>
              </w:rPr>
            </w:pPr>
          </w:p>
        </w:tc>
        <w:tc>
          <w:tcPr>
            <w:tcW w:w="50" w:type="pct"/>
            <w:vAlign w:val="center"/>
            <w:hideMark/>
          </w:tcPr>
          <w:p w14:paraId="6520CAD2" w14:textId="77777777" w:rsidR="00000000" w:rsidRDefault="00405D16">
            <w:pPr>
              <w:spacing w:after="100"/>
              <w:rPr>
                <w:rFonts w:eastAsia="Times New Roman"/>
                <w:sz w:val="20"/>
                <w:szCs w:val="20"/>
              </w:rPr>
            </w:pPr>
          </w:p>
        </w:tc>
        <w:tc>
          <w:tcPr>
            <w:tcW w:w="413" w:type="pct"/>
            <w:vAlign w:val="center"/>
            <w:hideMark/>
          </w:tcPr>
          <w:p w14:paraId="3611B747" w14:textId="77777777" w:rsidR="00000000" w:rsidRDefault="00405D16">
            <w:pPr>
              <w:spacing w:after="100"/>
              <w:rPr>
                <w:rFonts w:eastAsia="Times New Roman"/>
                <w:sz w:val="20"/>
                <w:szCs w:val="20"/>
              </w:rPr>
            </w:pPr>
          </w:p>
        </w:tc>
        <w:tc>
          <w:tcPr>
            <w:tcW w:w="5" w:type="pct"/>
            <w:vAlign w:val="center"/>
            <w:hideMark/>
          </w:tcPr>
          <w:p w14:paraId="60B0E23A" w14:textId="77777777" w:rsidR="00000000" w:rsidRDefault="00405D16">
            <w:pPr>
              <w:spacing w:after="100"/>
              <w:rPr>
                <w:rFonts w:eastAsia="Times New Roman"/>
                <w:sz w:val="20"/>
                <w:szCs w:val="20"/>
              </w:rPr>
            </w:pPr>
          </w:p>
        </w:tc>
        <w:tc>
          <w:tcPr>
            <w:tcW w:w="5" w:type="pct"/>
            <w:vAlign w:val="center"/>
            <w:hideMark/>
          </w:tcPr>
          <w:p w14:paraId="7CE3B730" w14:textId="77777777" w:rsidR="00000000" w:rsidRDefault="00405D16">
            <w:pPr>
              <w:spacing w:after="100"/>
              <w:rPr>
                <w:rFonts w:eastAsia="Times New Roman"/>
                <w:sz w:val="20"/>
                <w:szCs w:val="20"/>
              </w:rPr>
            </w:pPr>
          </w:p>
        </w:tc>
        <w:tc>
          <w:tcPr>
            <w:tcW w:w="26" w:type="pct"/>
            <w:vAlign w:val="center"/>
            <w:hideMark/>
          </w:tcPr>
          <w:p w14:paraId="46F7B0C3" w14:textId="77777777" w:rsidR="00000000" w:rsidRDefault="00405D16">
            <w:pPr>
              <w:spacing w:after="100"/>
              <w:rPr>
                <w:rFonts w:eastAsia="Times New Roman"/>
                <w:sz w:val="20"/>
                <w:szCs w:val="20"/>
              </w:rPr>
            </w:pPr>
          </w:p>
        </w:tc>
        <w:tc>
          <w:tcPr>
            <w:tcW w:w="5" w:type="pct"/>
            <w:vAlign w:val="center"/>
            <w:hideMark/>
          </w:tcPr>
          <w:p w14:paraId="2744FA4A" w14:textId="77777777" w:rsidR="00000000" w:rsidRDefault="00405D16">
            <w:pPr>
              <w:spacing w:after="100"/>
              <w:rPr>
                <w:rFonts w:eastAsia="Times New Roman"/>
                <w:sz w:val="20"/>
                <w:szCs w:val="20"/>
              </w:rPr>
            </w:pPr>
          </w:p>
        </w:tc>
        <w:tc>
          <w:tcPr>
            <w:tcW w:w="50" w:type="pct"/>
            <w:vAlign w:val="center"/>
            <w:hideMark/>
          </w:tcPr>
          <w:p w14:paraId="1C42AD5F" w14:textId="77777777" w:rsidR="00000000" w:rsidRDefault="00405D16">
            <w:pPr>
              <w:spacing w:after="100"/>
              <w:rPr>
                <w:rFonts w:eastAsia="Times New Roman"/>
                <w:sz w:val="20"/>
                <w:szCs w:val="20"/>
              </w:rPr>
            </w:pPr>
          </w:p>
        </w:tc>
        <w:tc>
          <w:tcPr>
            <w:tcW w:w="442" w:type="pct"/>
            <w:vAlign w:val="center"/>
            <w:hideMark/>
          </w:tcPr>
          <w:p w14:paraId="4501C9BD" w14:textId="77777777" w:rsidR="00000000" w:rsidRDefault="00405D16">
            <w:pPr>
              <w:spacing w:after="100"/>
              <w:rPr>
                <w:rFonts w:eastAsia="Times New Roman"/>
                <w:sz w:val="20"/>
                <w:szCs w:val="20"/>
              </w:rPr>
            </w:pPr>
          </w:p>
        </w:tc>
        <w:tc>
          <w:tcPr>
            <w:tcW w:w="5" w:type="pct"/>
            <w:vAlign w:val="center"/>
            <w:hideMark/>
          </w:tcPr>
          <w:p w14:paraId="70A52249" w14:textId="77777777" w:rsidR="00000000" w:rsidRDefault="00405D16">
            <w:pPr>
              <w:spacing w:after="100"/>
              <w:rPr>
                <w:rFonts w:eastAsia="Times New Roman"/>
                <w:sz w:val="20"/>
                <w:szCs w:val="20"/>
              </w:rPr>
            </w:pPr>
          </w:p>
        </w:tc>
      </w:tr>
      <w:tr w:rsidR="00000000" w14:paraId="35DA0AB3" w14:textId="77777777">
        <w:tc>
          <w:tcPr>
            <w:tcW w:w="0" w:type="auto"/>
            <w:gridSpan w:val="3"/>
            <w:tcMar>
              <w:top w:w="0" w:type="dxa"/>
              <w:left w:w="20" w:type="dxa"/>
              <w:bottom w:w="0" w:type="dxa"/>
              <w:right w:w="20" w:type="dxa"/>
            </w:tcMar>
            <w:vAlign w:val="center"/>
            <w:hideMark/>
          </w:tcPr>
          <w:p w14:paraId="39BDF2A5"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71279CF" w14:textId="77777777" w:rsidR="00000000" w:rsidRDefault="00405D16">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2AD7DA2F" w14:textId="77777777" w:rsidR="00000000" w:rsidRDefault="00405D16">
            <w:pPr>
              <w:spacing w:after="100"/>
              <w:jc w:val="center"/>
              <w:rPr>
                <w:rFonts w:eastAsia="Times New Roman"/>
              </w:rPr>
            </w:pPr>
            <w:r>
              <w:rPr>
                <w:rFonts w:eastAsia="Times New Roman"/>
                <w:b/>
                <w:bCs/>
                <w:color w:val="000000"/>
                <w:sz w:val="16"/>
                <w:szCs w:val="16"/>
              </w:rPr>
              <w:t>Nine Months Ended September 30, 2021</w:t>
            </w:r>
          </w:p>
        </w:tc>
      </w:tr>
      <w:tr w:rsidR="00000000" w14:paraId="7CCC0C9F" w14:textId="77777777">
        <w:tc>
          <w:tcPr>
            <w:tcW w:w="0" w:type="auto"/>
            <w:gridSpan w:val="3"/>
            <w:tcMar>
              <w:top w:w="30" w:type="dxa"/>
              <w:left w:w="20" w:type="dxa"/>
              <w:bottom w:w="30" w:type="dxa"/>
              <w:right w:w="20" w:type="dxa"/>
            </w:tcMar>
            <w:vAlign w:val="bottom"/>
            <w:hideMark/>
          </w:tcPr>
          <w:p w14:paraId="08D955C3"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14BBE06D"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69D6D20" w14:textId="77777777" w:rsidR="00000000" w:rsidRDefault="00405D16">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60700897"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50669E3" w14:textId="77777777" w:rsidR="00000000" w:rsidRDefault="00405D16">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22190BEC"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5EB2A23" w14:textId="77777777" w:rsidR="00000000" w:rsidRDefault="00405D16">
            <w:pPr>
              <w:spacing w:after="100"/>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19BC4C8C"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7D14371" w14:textId="77777777" w:rsidR="00000000" w:rsidRDefault="00405D16">
            <w:pPr>
              <w:spacing w:after="100"/>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621522CF"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FE55A74" w14:textId="77777777" w:rsidR="00000000" w:rsidRDefault="00405D16">
            <w:pPr>
              <w:spacing w:after="100"/>
              <w:jc w:val="center"/>
              <w:rPr>
                <w:rFonts w:eastAsia="Times New Roman"/>
              </w:rPr>
            </w:pPr>
            <w:r>
              <w:rPr>
                <w:rFonts w:eastAsia="Times New Roman"/>
                <w:b/>
                <w:bCs/>
                <w:color w:val="000000"/>
                <w:sz w:val="16"/>
                <w:szCs w:val="16"/>
              </w:rPr>
              <w:t>Consolidated Total</w:t>
            </w:r>
          </w:p>
        </w:tc>
      </w:tr>
      <w:tr w:rsidR="00000000" w14:paraId="1F38E04F" w14:textId="7777777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B0D32F6" w14:textId="77777777" w:rsidR="00000000" w:rsidRDefault="00405D16">
            <w:pPr>
              <w:spacing w:after="100"/>
              <w:rPr>
                <w:rFonts w:eastAsia="Times New Roman"/>
              </w:rPr>
            </w:pPr>
            <w:r>
              <w:rPr>
                <w:rFonts w:eastAsia="Times New Roman"/>
                <w:color w:val="000000"/>
                <w:sz w:val="18"/>
                <w:szCs w:val="18"/>
              </w:rPr>
              <w:t>Net interest income (loss)</w:t>
            </w:r>
          </w:p>
        </w:tc>
        <w:tc>
          <w:tcPr>
            <w:tcW w:w="0" w:type="auto"/>
            <w:gridSpan w:val="3"/>
            <w:shd w:val="clear" w:color="auto" w:fill="CCEEFF"/>
            <w:tcMar>
              <w:top w:w="0" w:type="dxa"/>
              <w:left w:w="20" w:type="dxa"/>
              <w:bottom w:w="0" w:type="dxa"/>
              <w:right w:w="20" w:type="dxa"/>
            </w:tcMar>
            <w:vAlign w:val="center"/>
            <w:hideMark/>
          </w:tcPr>
          <w:p w14:paraId="0468E34F"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6E4FC4E"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9B0156D" w14:textId="77777777" w:rsidR="00000000" w:rsidRDefault="00405D16">
            <w:pPr>
              <w:spacing w:after="100"/>
              <w:jc w:val="right"/>
              <w:rPr>
                <w:rFonts w:eastAsia="Times New Roman"/>
              </w:rPr>
            </w:pPr>
            <w:r>
              <w:rPr>
                <w:rFonts w:eastAsia="Times New Roman"/>
                <w:b/>
                <w:bCs/>
                <w:color w:val="000000"/>
                <w:sz w:val="18"/>
                <w:szCs w:val="18"/>
              </w:rPr>
              <w:t>10,209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332CF5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480C4C"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A0CB073"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3DA1AC0" w14:textId="77777777" w:rsidR="00000000" w:rsidRDefault="00405D16">
            <w:pPr>
              <w:spacing w:after="100"/>
              <w:jc w:val="right"/>
              <w:rPr>
                <w:rFonts w:eastAsia="Times New Roman"/>
              </w:rPr>
            </w:pPr>
            <w:r>
              <w:rPr>
                <w:rFonts w:eastAsia="Times New Roman"/>
                <w:b/>
                <w:bCs/>
                <w:color w:val="000000"/>
                <w:sz w:val="18"/>
                <w:szCs w:val="18"/>
              </w:rPr>
              <w:t>6,290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140EB9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9B4119"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91D20DD"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D82B4C0" w14:textId="77777777" w:rsidR="00000000" w:rsidRDefault="00405D16">
            <w:pPr>
              <w:spacing w:after="100"/>
              <w:jc w:val="right"/>
              <w:rPr>
                <w:rFonts w:eastAsia="Times New Roman"/>
              </w:rPr>
            </w:pPr>
            <w:r>
              <w:rPr>
                <w:rFonts w:eastAsia="Times New Roman"/>
                <w:b/>
                <w:bCs/>
                <w:color w:val="000000"/>
                <w:sz w:val="18"/>
                <w:szCs w:val="18"/>
              </w:rPr>
              <w:t>1,558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A5CE3E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9FA03C"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ED2E1AF"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B28BFC8" w14:textId="77777777" w:rsidR="00000000" w:rsidRDefault="00405D16">
            <w:pPr>
              <w:spacing w:after="100"/>
              <w:jc w:val="right"/>
              <w:rPr>
                <w:rFonts w:eastAsia="Times New Roman"/>
              </w:rPr>
            </w:pPr>
            <w:r>
              <w:rPr>
                <w:rFonts w:eastAsia="Times New Roman"/>
                <w:b/>
                <w:bCs/>
                <w:color w:val="000000"/>
                <w:sz w:val="18"/>
                <w:szCs w:val="18"/>
              </w:rPr>
              <w:t>(336)</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55220E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C49E5F"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3FC90A8"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B465752" w14:textId="77777777" w:rsidR="00000000" w:rsidRDefault="00405D16">
            <w:pPr>
              <w:spacing w:after="100"/>
              <w:jc w:val="right"/>
              <w:rPr>
                <w:rFonts w:eastAsia="Times New Roman"/>
              </w:rPr>
            </w:pPr>
            <w:r>
              <w:rPr>
                <w:rFonts w:eastAsia="Times New Roman"/>
                <w:b/>
                <w:bCs/>
                <w:color w:val="000000"/>
                <w:sz w:val="18"/>
                <w:szCs w:val="18"/>
              </w:rPr>
              <w:t>17,721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490B9E8" w14:textId="77777777" w:rsidR="00000000" w:rsidRDefault="00405D16">
            <w:pPr>
              <w:spacing w:after="100"/>
              <w:jc w:val="right"/>
              <w:rPr>
                <w:rFonts w:eastAsia="Times New Roman"/>
              </w:rPr>
            </w:pPr>
          </w:p>
        </w:tc>
      </w:tr>
      <w:tr w:rsidR="00000000" w14:paraId="626E88F1" w14:textId="77777777">
        <w:tc>
          <w:tcPr>
            <w:tcW w:w="0" w:type="auto"/>
            <w:gridSpan w:val="3"/>
            <w:shd w:val="clear" w:color="auto" w:fill="FFFFFF"/>
            <w:tcMar>
              <w:top w:w="30" w:type="dxa"/>
              <w:left w:w="20" w:type="dxa"/>
              <w:bottom w:w="30" w:type="dxa"/>
              <w:right w:w="20" w:type="dxa"/>
            </w:tcMar>
            <w:vAlign w:val="center"/>
            <w:hideMark/>
          </w:tcPr>
          <w:p w14:paraId="6402072C" w14:textId="77777777" w:rsidR="00000000" w:rsidRDefault="00405D16">
            <w:pPr>
              <w:spacing w:after="100"/>
              <w:rPr>
                <w:rFonts w:eastAsia="Times New Roman"/>
              </w:rPr>
            </w:pPr>
            <w:r>
              <w:rPr>
                <w:rFonts w:eastAsia="Times New Roman"/>
                <w:color w:val="000000"/>
                <w:sz w:val="18"/>
                <w:szCs w:val="18"/>
              </w:rPr>
              <w:t>Non-interest income (loss)</w:t>
            </w:r>
          </w:p>
        </w:tc>
        <w:tc>
          <w:tcPr>
            <w:tcW w:w="0" w:type="auto"/>
            <w:gridSpan w:val="3"/>
            <w:shd w:val="clear" w:color="auto" w:fill="FFFFFF"/>
            <w:tcMar>
              <w:top w:w="0" w:type="dxa"/>
              <w:left w:w="20" w:type="dxa"/>
              <w:bottom w:w="0" w:type="dxa"/>
              <w:right w:w="20" w:type="dxa"/>
            </w:tcMar>
            <w:vAlign w:val="center"/>
            <w:hideMark/>
          </w:tcPr>
          <w:p w14:paraId="3CD9FFF9"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23DB6E5" w14:textId="77777777" w:rsidR="00000000" w:rsidRDefault="00405D16">
            <w:pPr>
              <w:spacing w:after="100"/>
              <w:jc w:val="right"/>
              <w:rPr>
                <w:rFonts w:eastAsia="Times New Roman"/>
              </w:rPr>
            </w:pPr>
            <w:r>
              <w:rPr>
                <w:rFonts w:eastAsia="Times New Roman"/>
                <w:b/>
                <w:bCs/>
                <w:color w:val="000000"/>
                <w:sz w:val="18"/>
                <w:szCs w:val="18"/>
              </w:rPr>
              <w:t>3,545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49E34F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622C3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547F175" w14:textId="77777777" w:rsidR="00000000" w:rsidRDefault="00405D16">
            <w:pPr>
              <w:spacing w:after="100"/>
              <w:jc w:val="right"/>
              <w:rPr>
                <w:rFonts w:eastAsia="Times New Roman"/>
              </w:rPr>
            </w:pPr>
            <w:r>
              <w:rPr>
                <w:rFonts w:eastAsia="Times New Roman"/>
                <w:b/>
                <w:bCs/>
                <w:color w:val="000000"/>
                <w:sz w:val="18"/>
                <w:szCs w:val="18"/>
              </w:rPr>
              <w:t>412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406F26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8EAF5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1E9667D" w14:textId="77777777" w:rsidR="00000000" w:rsidRDefault="00405D16">
            <w:pPr>
              <w:spacing w:after="100"/>
              <w:jc w:val="right"/>
              <w:rPr>
                <w:rFonts w:eastAsia="Times New Roman"/>
              </w:rPr>
            </w:pPr>
            <w:r>
              <w:rPr>
                <w:rFonts w:eastAsia="Times New Roman"/>
                <w:b/>
                <w:bCs/>
                <w:color w:val="000000"/>
                <w:sz w:val="18"/>
                <w:szCs w:val="18"/>
              </w:rPr>
              <w:t>803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20D80A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0C9BA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DBCE0A4" w14:textId="77777777" w:rsidR="00000000" w:rsidRDefault="00405D16">
            <w:pPr>
              <w:spacing w:after="100"/>
              <w:jc w:val="right"/>
              <w:rPr>
                <w:rFonts w:eastAsia="Times New Roman"/>
              </w:rPr>
            </w:pPr>
            <w:r>
              <w:rPr>
                <w:rFonts w:eastAsia="Times New Roman"/>
                <w:b/>
                <w:bCs/>
                <w:color w:val="000000"/>
                <w:sz w:val="18"/>
                <w:szCs w:val="18"/>
              </w:rPr>
              <w:t>(164)</w:t>
            </w:r>
          </w:p>
        </w:tc>
        <w:tc>
          <w:tcPr>
            <w:tcW w:w="0" w:type="auto"/>
            <w:shd w:val="clear" w:color="auto" w:fill="FFFFFF"/>
            <w:tcMar>
              <w:top w:w="30" w:type="dxa"/>
              <w:left w:w="0" w:type="dxa"/>
              <w:bottom w:w="30" w:type="dxa"/>
              <w:right w:w="20" w:type="dxa"/>
            </w:tcMar>
            <w:vAlign w:val="center"/>
            <w:hideMark/>
          </w:tcPr>
          <w:p w14:paraId="7202AE2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E0A97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4D2588E" w14:textId="77777777" w:rsidR="00000000" w:rsidRDefault="00405D16">
            <w:pPr>
              <w:spacing w:after="100"/>
              <w:jc w:val="right"/>
              <w:rPr>
                <w:rFonts w:eastAsia="Times New Roman"/>
              </w:rPr>
            </w:pPr>
            <w:r>
              <w:rPr>
                <w:rFonts w:eastAsia="Times New Roman"/>
                <w:b/>
                <w:bCs/>
                <w:color w:val="000000"/>
                <w:sz w:val="18"/>
                <w:szCs w:val="18"/>
              </w:rPr>
              <w:t>4,596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49C1215" w14:textId="77777777" w:rsidR="00000000" w:rsidRDefault="00405D16">
            <w:pPr>
              <w:spacing w:after="100"/>
              <w:jc w:val="right"/>
              <w:rPr>
                <w:rFonts w:eastAsia="Times New Roman"/>
              </w:rPr>
            </w:pPr>
          </w:p>
        </w:tc>
      </w:tr>
      <w:tr w:rsidR="00000000" w14:paraId="7BB90C2E" w14:textId="77777777">
        <w:tc>
          <w:tcPr>
            <w:tcW w:w="0" w:type="auto"/>
            <w:gridSpan w:val="3"/>
            <w:shd w:val="clear" w:color="auto" w:fill="CCEEFF"/>
            <w:tcMar>
              <w:top w:w="30" w:type="dxa"/>
              <w:left w:w="20" w:type="dxa"/>
              <w:bottom w:w="30" w:type="dxa"/>
              <w:right w:w="20" w:type="dxa"/>
            </w:tcMar>
            <w:vAlign w:val="center"/>
            <w:hideMark/>
          </w:tcPr>
          <w:p w14:paraId="4588732C" w14:textId="77777777" w:rsidR="00000000" w:rsidRDefault="00405D16">
            <w:pPr>
              <w:spacing w:after="100"/>
              <w:divId w:val="286201933"/>
              <w:rPr>
                <w:rFonts w:eastAsia="Times New Roman"/>
              </w:rPr>
            </w:pPr>
            <w:r>
              <w:rPr>
                <w:rFonts w:eastAsia="Times New Roman"/>
                <w:color w:val="000000"/>
                <w:sz w:val="18"/>
                <w:szCs w:val="18"/>
              </w:rPr>
              <w:t>Total net revenue (loss</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1EB72EDC"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48D7986" w14:textId="77777777" w:rsidR="00000000" w:rsidRDefault="00405D16">
            <w:pPr>
              <w:spacing w:after="100"/>
              <w:jc w:val="right"/>
              <w:rPr>
                <w:rFonts w:eastAsia="Times New Roman"/>
              </w:rPr>
            </w:pPr>
            <w:r>
              <w:rPr>
                <w:rFonts w:eastAsia="Times New Roman"/>
                <w:b/>
                <w:bCs/>
                <w:color w:val="000000"/>
                <w:sz w:val="18"/>
                <w:szCs w:val="18"/>
              </w:rPr>
              <w:t>13,754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27BEE1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6984C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616B3F5" w14:textId="77777777" w:rsidR="00000000" w:rsidRDefault="00405D16">
            <w:pPr>
              <w:spacing w:after="100"/>
              <w:jc w:val="right"/>
              <w:rPr>
                <w:rFonts w:eastAsia="Times New Roman"/>
              </w:rPr>
            </w:pPr>
            <w:r>
              <w:rPr>
                <w:rFonts w:eastAsia="Times New Roman"/>
                <w:b/>
                <w:bCs/>
                <w:color w:val="000000"/>
                <w:sz w:val="18"/>
                <w:szCs w:val="18"/>
              </w:rPr>
              <w:t>6,702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002A1A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009A3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2286D39" w14:textId="77777777" w:rsidR="00000000" w:rsidRDefault="00405D16">
            <w:pPr>
              <w:spacing w:after="100"/>
              <w:jc w:val="right"/>
              <w:rPr>
                <w:rFonts w:eastAsia="Times New Roman"/>
              </w:rPr>
            </w:pPr>
            <w:r>
              <w:rPr>
                <w:rFonts w:eastAsia="Times New Roman"/>
                <w:b/>
                <w:bCs/>
                <w:color w:val="000000"/>
                <w:sz w:val="18"/>
                <w:szCs w:val="18"/>
              </w:rPr>
              <w:t>2,361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3F2DD4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1ECD46"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3B5B4EC" w14:textId="77777777" w:rsidR="00000000" w:rsidRDefault="00405D16">
            <w:pPr>
              <w:spacing w:after="100"/>
              <w:jc w:val="right"/>
              <w:rPr>
                <w:rFonts w:eastAsia="Times New Roman"/>
              </w:rPr>
            </w:pPr>
            <w:r>
              <w:rPr>
                <w:rFonts w:eastAsia="Times New Roman"/>
                <w:b/>
                <w:bCs/>
                <w:color w:val="000000"/>
                <w:sz w:val="18"/>
                <w:szCs w:val="18"/>
              </w:rPr>
              <w:t>(</w:t>
            </w:r>
            <w:r>
              <w:rPr>
                <w:rFonts w:eastAsia="Times New Roman"/>
                <w:b/>
                <w:bCs/>
                <w:color w:val="000000"/>
                <w:sz w:val="18"/>
                <w:szCs w:val="18"/>
              </w:rPr>
              <w:t>500)</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CEA87F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6E09F6"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480DAEF" w14:textId="77777777" w:rsidR="00000000" w:rsidRDefault="00405D16">
            <w:pPr>
              <w:spacing w:after="100"/>
              <w:jc w:val="right"/>
              <w:rPr>
                <w:rFonts w:eastAsia="Times New Roman"/>
              </w:rPr>
            </w:pPr>
            <w:r>
              <w:rPr>
                <w:rFonts w:eastAsia="Times New Roman"/>
                <w:b/>
                <w:bCs/>
                <w:color w:val="000000"/>
                <w:sz w:val="18"/>
                <w:szCs w:val="18"/>
              </w:rPr>
              <w:t>22,317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E5C085A" w14:textId="77777777" w:rsidR="00000000" w:rsidRDefault="00405D16">
            <w:pPr>
              <w:spacing w:after="100"/>
              <w:jc w:val="right"/>
              <w:rPr>
                <w:rFonts w:eastAsia="Times New Roman"/>
              </w:rPr>
            </w:pPr>
          </w:p>
        </w:tc>
      </w:tr>
      <w:tr w:rsidR="00000000" w14:paraId="01443AFE" w14:textId="77777777">
        <w:tc>
          <w:tcPr>
            <w:tcW w:w="0" w:type="auto"/>
            <w:gridSpan w:val="3"/>
            <w:shd w:val="clear" w:color="auto" w:fill="FFFFFF"/>
            <w:tcMar>
              <w:top w:w="30" w:type="dxa"/>
              <w:left w:w="20" w:type="dxa"/>
              <w:bottom w:w="30" w:type="dxa"/>
              <w:right w:w="20" w:type="dxa"/>
            </w:tcMar>
            <w:vAlign w:val="center"/>
            <w:hideMark/>
          </w:tcPr>
          <w:p w14:paraId="0515365A" w14:textId="77777777" w:rsidR="00000000" w:rsidRDefault="00405D16">
            <w:pPr>
              <w:spacing w:after="100"/>
              <w:rPr>
                <w:rFonts w:eastAsia="Times New Roman"/>
              </w:rPr>
            </w:pPr>
            <w:r>
              <w:rPr>
                <w:rFonts w:eastAsia="Times New Roman"/>
                <w:color w:val="000000"/>
                <w:sz w:val="18"/>
                <w:szCs w:val="18"/>
              </w:rPr>
              <w:t>Benefit for credit losses</w:t>
            </w:r>
          </w:p>
        </w:tc>
        <w:tc>
          <w:tcPr>
            <w:tcW w:w="0" w:type="auto"/>
            <w:gridSpan w:val="3"/>
            <w:shd w:val="clear" w:color="auto" w:fill="FFFFFF"/>
            <w:tcMar>
              <w:top w:w="0" w:type="dxa"/>
              <w:left w:w="20" w:type="dxa"/>
              <w:bottom w:w="0" w:type="dxa"/>
              <w:right w:w="20" w:type="dxa"/>
            </w:tcMar>
            <w:vAlign w:val="center"/>
            <w:hideMark/>
          </w:tcPr>
          <w:p w14:paraId="19D2D511"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844B3C2" w14:textId="77777777" w:rsidR="00000000" w:rsidRDefault="00405D16">
            <w:pPr>
              <w:spacing w:after="100"/>
              <w:jc w:val="right"/>
              <w:rPr>
                <w:rFonts w:eastAsia="Times New Roman"/>
              </w:rPr>
            </w:pPr>
            <w:r>
              <w:rPr>
                <w:rFonts w:eastAsia="Times New Roman"/>
                <w:b/>
                <w:bCs/>
                <w:color w:val="000000"/>
                <w:sz w:val="18"/>
                <w:szCs w:val="18"/>
              </w:rPr>
              <w:t>(1,325)</w:t>
            </w:r>
          </w:p>
        </w:tc>
        <w:tc>
          <w:tcPr>
            <w:tcW w:w="0" w:type="auto"/>
            <w:shd w:val="clear" w:color="auto" w:fill="FFFFFF"/>
            <w:tcMar>
              <w:top w:w="30" w:type="dxa"/>
              <w:left w:w="0" w:type="dxa"/>
              <w:bottom w:w="30" w:type="dxa"/>
              <w:right w:w="20" w:type="dxa"/>
            </w:tcMar>
            <w:vAlign w:val="center"/>
            <w:hideMark/>
          </w:tcPr>
          <w:p w14:paraId="0EB0F75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0E751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3AFBA91" w14:textId="77777777" w:rsidR="00000000" w:rsidRDefault="00405D16">
            <w:pPr>
              <w:spacing w:after="100"/>
              <w:jc w:val="right"/>
              <w:rPr>
                <w:rFonts w:eastAsia="Times New Roman"/>
              </w:rPr>
            </w:pPr>
            <w:r>
              <w:rPr>
                <w:rFonts w:eastAsia="Times New Roman"/>
                <w:b/>
                <w:bCs/>
                <w:color w:val="000000"/>
                <w:sz w:val="18"/>
                <w:szCs w:val="18"/>
              </w:rPr>
              <w:t>(523)</w:t>
            </w:r>
          </w:p>
        </w:tc>
        <w:tc>
          <w:tcPr>
            <w:tcW w:w="0" w:type="auto"/>
            <w:shd w:val="clear" w:color="auto" w:fill="FFFFFF"/>
            <w:tcMar>
              <w:top w:w="30" w:type="dxa"/>
              <w:left w:w="0" w:type="dxa"/>
              <w:bottom w:w="30" w:type="dxa"/>
              <w:right w:w="20" w:type="dxa"/>
            </w:tcMar>
            <w:vAlign w:val="center"/>
            <w:hideMark/>
          </w:tcPr>
          <w:p w14:paraId="67952F2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3DF8C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17CCFF1" w14:textId="77777777" w:rsidR="00000000" w:rsidRDefault="00405D16">
            <w:pPr>
              <w:spacing w:after="100"/>
              <w:jc w:val="right"/>
              <w:rPr>
                <w:rFonts w:eastAsia="Times New Roman"/>
              </w:rPr>
            </w:pPr>
            <w:r>
              <w:rPr>
                <w:rFonts w:eastAsia="Times New Roman"/>
                <w:b/>
                <w:bCs/>
                <w:color w:val="000000"/>
                <w:sz w:val="18"/>
                <w:szCs w:val="18"/>
              </w:rPr>
              <w:t>(475)</w:t>
            </w:r>
          </w:p>
        </w:tc>
        <w:tc>
          <w:tcPr>
            <w:tcW w:w="0" w:type="auto"/>
            <w:shd w:val="clear" w:color="auto" w:fill="FFFFFF"/>
            <w:tcMar>
              <w:top w:w="30" w:type="dxa"/>
              <w:left w:w="0" w:type="dxa"/>
              <w:bottom w:w="30" w:type="dxa"/>
              <w:right w:w="20" w:type="dxa"/>
            </w:tcMar>
            <w:vAlign w:val="center"/>
            <w:hideMark/>
          </w:tcPr>
          <w:p w14:paraId="4C42237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589BE6"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2619B74" w14:textId="77777777" w:rsidR="00000000" w:rsidRDefault="00405D16">
            <w:pPr>
              <w:spacing w:after="100"/>
              <w:jc w:val="right"/>
              <w:rPr>
                <w:rFonts w:eastAsia="Times New Roman"/>
              </w:rPr>
            </w:pPr>
            <w:r>
              <w:rPr>
                <w:rFonts w:eastAsia="Times New Roman"/>
                <w:b/>
                <w:bCs/>
                <w:color w:val="000000"/>
                <w:sz w:val="18"/>
                <w:szCs w:val="18"/>
              </w:rPr>
              <w:t>(2)</w:t>
            </w:r>
          </w:p>
        </w:tc>
        <w:tc>
          <w:tcPr>
            <w:tcW w:w="0" w:type="auto"/>
            <w:shd w:val="clear" w:color="auto" w:fill="FFFFFF"/>
            <w:tcMar>
              <w:top w:w="30" w:type="dxa"/>
              <w:left w:w="0" w:type="dxa"/>
              <w:bottom w:w="30" w:type="dxa"/>
              <w:right w:w="20" w:type="dxa"/>
            </w:tcMar>
            <w:vAlign w:val="center"/>
            <w:hideMark/>
          </w:tcPr>
          <w:p w14:paraId="75955CE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19C06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CF6AF32" w14:textId="77777777" w:rsidR="00000000" w:rsidRDefault="00405D16">
            <w:pPr>
              <w:spacing w:after="100"/>
              <w:jc w:val="right"/>
              <w:rPr>
                <w:rFonts w:eastAsia="Times New Roman"/>
              </w:rPr>
            </w:pPr>
            <w:r>
              <w:rPr>
                <w:rFonts w:eastAsia="Times New Roman"/>
                <w:b/>
                <w:bCs/>
                <w:color w:val="000000"/>
                <w:sz w:val="18"/>
                <w:szCs w:val="18"/>
              </w:rPr>
              <w:t>(2,325)</w:t>
            </w:r>
          </w:p>
        </w:tc>
        <w:tc>
          <w:tcPr>
            <w:tcW w:w="0" w:type="auto"/>
            <w:shd w:val="clear" w:color="auto" w:fill="FFFFFF"/>
            <w:tcMar>
              <w:top w:w="30" w:type="dxa"/>
              <w:left w:w="0" w:type="dxa"/>
              <w:bottom w:w="30" w:type="dxa"/>
              <w:right w:w="20" w:type="dxa"/>
            </w:tcMar>
            <w:vAlign w:val="center"/>
            <w:hideMark/>
          </w:tcPr>
          <w:p w14:paraId="5EABD62C" w14:textId="77777777" w:rsidR="00000000" w:rsidRDefault="00405D16">
            <w:pPr>
              <w:spacing w:after="100"/>
              <w:jc w:val="right"/>
              <w:rPr>
                <w:rFonts w:eastAsia="Times New Roman"/>
              </w:rPr>
            </w:pPr>
          </w:p>
        </w:tc>
      </w:tr>
      <w:tr w:rsidR="00000000" w14:paraId="32582F00" w14:textId="77777777">
        <w:tc>
          <w:tcPr>
            <w:tcW w:w="0" w:type="auto"/>
            <w:gridSpan w:val="3"/>
            <w:shd w:val="clear" w:color="auto" w:fill="CCEEFF"/>
            <w:tcMar>
              <w:top w:w="30" w:type="dxa"/>
              <w:left w:w="20" w:type="dxa"/>
              <w:bottom w:w="30" w:type="dxa"/>
              <w:right w:w="20" w:type="dxa"/>
            </w:tcMar>
            <w:vAlign w:val="center"/>
            <w:hideMark/>
          </w:tcPr>
          <w:p w14:paraId="3197D00E" w14:textId="77777777" w:rsidR="00000000" w:rsidRDefault="00405D16">
            <w:pPr>
              <w:spacing w:after="100"/>
              <w:rPr>
                <w:rFonts w:eastAsia="Times New Roman"/>
              </w:rPr>
            </w:pPr>
            <w:r>
              <w:rPr>
                <w:rFonts w:eastAsia="Times New Roman"/>
                <w:color w:val="000000"/>
                <w:sz w:val="18"/>
                <w:szCs w:val="18"/>
              </w:rPr>
              <w:t>Non-interest expense</w:t>
            </w:r>
          </w:p>
        </w:tc>
        <w:tc>
          <w:tcPr>
            <w:tcW w:w="0" w:type="auto"/>
            <w:gridSpan w:val="3"/>
            <w:shd w:val="clear" w:color="auto" w:fill="CCEEFF"/>
            <w:tcMar>
              <w:top w:w="0" w:type="dxa"/>
              <w:left w:w="20" w:type="dxa"/>
              <w:bottom w:w="0" w:type="dxa"/>
              <w:right w:w="20" w:type="dxa"/>
            </w:tcMar>
            <w:vAlign w:val="center"/>
            <w:hideMark/>
          </w:tcPr>
          <w:p w14:paraId="28158241"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C32BC6F" w14:textId="77777777" w:rsidR="00000000" w:rsidRDefault="00405D16">
            <w:pPr>
              <w:spacing w:after="100"/>
              <w:jc w:val="right"/>
              <w:rPr>
                <w:rFonts w:eastAsia="Times New Roman"/>
              </w:rPr>
            </w:pPr>
            <w:r>
              <w:rPr>
                <w:rFonts w:eastAsia="Times New Roman"/>
                <w:b/>
                <w:bCs/>
                <w:color w:val="000000"/>
                <w:sz w:val="18"/>
                <w:szCs w:val="18"/>
              </w:rPr>
              <w:t>6,822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173D51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C29E9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C4AA20F" w14:textId="77777777" w:rsidR="00000000" w:rsidRDefault="00405D16">
            <w:pPr>
              <w:spacing w:after="100"/>
              <w:jc w:val="right"/>
              <w:rPr>
                <w:rFonts w:eastAsia="Times New Roman"/>
              </w:rPr>
            </w:pPr>
            <w:r>
              <w:rPr>
                <w:rFonts w:eastAsia="Times New Roman"/>
                <w:b/>
                <w:bCs/>
                <w:color w:val="000000"/>
                <w:sz w:val="18"/>
                <w:szCs w:val="18"/>
              </w:rPr>
              <w:t>3,426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637CA8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6175E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6F52F74" w14:textId="77777777" w:rsidR="00000000" w:rsidRDefault="00405D16">
            <w:pPr>
              <w:spacing w:after="100"/>
              <w:jc w:val="right"/>
              <w:rPr>
                <w:rFonts w:eastAsia="Times New Roman"/>
              </w:rPr>
            </w:pPr>
            <w:r>
              <w:rPr>
                <w:rFonts w:eastAsia="Times New Roman"/>
                <w:b/>
                <w:bCs/>
                <w:color w:val="000000"/>
                <w:sz w:val="18"/>
                <w:szCs w:val="18"/>
              </w:rPr>
              <w:t>1,295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72A5DB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5B0B61"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2D05B69" w14:textId="77777777" w:rsidR="00000000" w:rsidRDefault="00405D16">
            <w:pPr>
              <w:spacing w:after="100"/>
              <w:jc w:val="right"/>
              <w:rPr>
                <w:rFonts w:eastAsia="Times New Roman"/>
              </w:rPr>
            </w:pPr>
            <w:r>
              <w:rPr>
                <w:rFonts w:eastAsia="Times New Roman"/>
                <w:b/>
                <w:bCs/>
                <w:color w:val="000000"/>
                <w:sz w:val="18"/>
                <w:szCs w:val="18"/>
              </w:rPr>
              <w:t>349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E4F967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4B824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1D2E3F1" w14:textId="77777777" w:rsidR="00000000" w:rsidRDefault="00405D16">
            <w:pPr>
              <w:spacing w:after="100"/>
              <w:jc w:val="right"/>
              <w:rPr>
                <w:rFonts w:eastAsia="Times New Roman"/>
              </w:rPr>
            </w:pPr>
            <w:r>
              <w:rPr>
                <w:rFonts w:eastAsia="Times New Roman"/>
                <w:b/>
                <w:bCs/>
                <w:color w:val="000000"/>
                <w:sz w:val="18"/>
                <w:szCs w:val="18"/>
              </w:rPr>
              <w:t>11,892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27F8D2F" w14:textId="77777777" w:rsidR="00000000" w:rsidRDefault="00405D16">
            <w:pPr>
              <w:spacing w:after="100"/>
              <w:jc w:val="right"/>
              <w:rPr>
                <w:rFonts w:eastAsia="Times New Roman"/>
              </w:rPr>
            </w:pPr>
          </w:p>
        </w:tc>
      </w:tr>
      <w:tr w:rsidR="00000000" w14:paraId="1FCF3D43" w14:textId="77777777">
        <w:tc>
          <w:tcPr>
            <w:tcW w:w="0" w:type="auto"/>
            <w:gridSpan w:val="3"/>
            <w:shd w:val="clear" w:color="auto" w:fill="FFFFFF"/>
            <w:tcMar>
              <w:top w:w="30" w:type="dxa"/>
              <w:left w:w="20" w:type="dxa"/>
              <w:bottom w:w="30" w:type="dxa"/>
              <w:right w:w="20" w:type="dxa"/>
            </w:tcMar>
            <w:vAlign w:val="center"/>
            <w:hideMark/>
          </w:tcPr>
          <w:p w14:paraId="7C0FCE31" w14:textId="77777777" w:rsidR="00000000" w:rsidRDefault="00405D16">
            <w:pPr>
              <w:spacing w:after="100"/>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FFFFFF"/>
            <w:tcMar>
              <w:top w:w="0" w:type="dxa"/>
              <w:left w:w="20" w:type="dxa"/>
              <w:bottom w:w="0" w:type="dxa"/>
              <w:right w:w="20" w:type="dxa"/>
            </w:tcMar>
            <w:vAlign w:val="center"/>
            <w:hideMark/>
          </w:tcPr>
          <w:p w14:paraId="05661AAD"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91A0F7A" w14:textId="77777777" w:rsidR="00000000" w:rsidRDefault="00405D16">
            <w:pPr>
              <w:spacing w:after="100"/>
              <w:jc w:val="right"/>
              <w:rPr>
                <w:rFonts w:eastAsia="Times New Roman"/>
              </w:rPr>
            </w:pPr>
            <w:r>
              <w:rPr>
                <w:rFonts w:eastAsia="Times New Roman"/>
                <w:b/>
                <w:bCs/>
                <w:color w:val="000000"/>
                <w:sz w:val="18"/>
                <w:szCs w:val="18"/>
              </w:rPr>
              <w:t>8,257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7D090B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4D7F3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3158784" w14:textId="77777777" w:rsidR="00000000" w:rsidRDefault="00405D16">
            <w:pPr>
              <w:spacing w:after="100"/>
              <w:jc w:val="right"/>
              <w:rPr>
                <w:rFonts w:eastAsia="Times New Roman"/>
              </w:rPr>
            </w:pPr>
            <w:r>
              <w:rPr>
                <w:rFonts w:eastAsia="Times New Roman"/>
                <w:b/>
                <w:bCs/>
                <w:color w:val="000000"/>
                <w:sz w:val="18"/>
                <w:szCs w:val="18"/>
              </w:rPr>
              <w:t>3,799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BFCB16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2FF167"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24CBC7B" w14:textId="77777777" w:rsidR="00000000" w:rsidRDefault="00405D16">
            <w:pPr>
              <w:spacing w:after="100"/>
              <w:jc w:val="right"/>
              <w:rPr>
                <w:rFonts w:eastAsia="Times New Roman"/>
              </w:rPr>
            </w:pPr>
            <w:r>
              <w:rPr>
                <w:rFonts w:eastAsia="Times New Roman"/>
                <w:b/>
                <w:bCs/>
                <w:color w:val="000000"/>
                <w:sz w:val="18"/>
                <w:szCs w:val="18"/>
              </w:rPr>
              <w:t>1,541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4E7A02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F7364F"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AEB3523" w14:textId="77777777" w:rsidR="00000000" w:rsidRDefault="00405D16">
            <w:pPr>
              <w:spacing w:after="100"/>
              <w:jc w:val="right"/>
              <w:rPr>
                <w:rFonts w:eastAsia="Times New Roman"/>
              </w:rPr>
            </w:pPr>
            <w:r>
              <w:rPr>
                <w:rFonts w:eastAsia="Times New Roman"/>
                <w:b/>
                <w:bCs/>
                <w:color w:val="000000"/>
                <w:sz w:val="18"/>
                <w:szCs w:val="18"/>
              </w:rPr>
              <w:t>(847)</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C6261A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48E04B"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7D15FB6" w14:textId="77777777" w:rsidR="00000000" w:rsidRDefault="00405D16">
            <w:pPr>
              <w:spacing w:after="100"/>
              <w:jc w:val="right"/>
              <w:rPr>
                <w:rFonts w:eastAsia="Times New Roman"/>
              </w:rPr>
            </w:pPr>
            <w:r>
              <w:rPr>
                <w:rFonts w:eastAsia="Times New Roman"/>
                <w:b/>
                <w:bCs/>
                <w:color w:val="000000"/>
                <w:sz w:val="18"/>
                <w:szCs w:val="18"/>
              </w:rPr>
              <w:t>12,750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6518104" w14:textId="77777777" w:rsidR="00000000" w:rsidRDefault="00405D16">
            <w:pPr>
              <w:spacing w:after="100"/>
              <w:jc w:val="right"/>
              <w:rPr>
                <w:rFonts w:eastAsia="Times New Roman"/>
              </w:rPr>
            </w:pPr>
          </w:p>
        </w:tc>
      </w:tr>
      <w:tr w:rsidR="00000000" w14:paraId="413804FF" w14:textId="77777777">
        <w:tc>
          <w:tcPr>
            <w:tcW w:w="0" w:type="auto"/>
            <w:gridSpan w:val="3"/>
            <w:shd w:val="clear" w:color="auto" w:fill="CCEEFF"/>
            <w:tcMar>
              <w:top w:w="30" w:type="dxa"/>
              <w:left w:w="20" w:type="dxa"/>
              <w:bottom w:w="30" w:type="dxa"/>
              <w:right w:w="20" w:type="dxa"/>
            </w:tcMar>
            <w:vAlign w:val="center"/>
            <w:hideMark/>
          </w:tcPr>
          <w:p w14:paraId="6C6DFFC4" w14:textId="77777777" w:rsidR="00000000" w:rsidRDefault="00405D16">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14:paraId="52F9E688"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80DD1A3" w14:textId="77777777" w:rsidR="00000000" w:rsidRDefault="00405D16">
            <w:pPr>
              <w:spacing w:after="100"/>
              <w:jc w:val="right"/>
              <w:rPr>
                <w:rFonts w:eastAsia="Times New Roman"/>
              </w:rPr>
            </w:pPr>
            <w:r>
              <w:rPr>
                <w:rFonts w:eastAsia="Times New Roman"/>
                <w:b/>
                <w:bCs/>
                <w:color w:val="000000"/>
                <w:sz w:val="18"/>
                <w:szCs w:val="18"/>
              </w:rPr>
              <w:t>1,952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530391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0A661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7FB788B" w14:textId="77777777" w:rsidR="00000000" w:rsidRDefault="00405D16">
            <w:pPr>
              <w:spacing w:after="100"/>
              <w:jc w:val="right"/>
              <w:rPr>
                <w:rFonts w:eastAsia="Times New Roman"/>
              </w:rPr>
            </w:pPr>
            <w:r>
              <w:rPr>
                <w:rFonts w:eastAsia="Times New Roman"/>
                <w:b/>
                <w:bCs/>
                <w:color w:val="000000"/>
                <w:sz w:val="18"/>
                <w:szCs w:val="18"/>
              </w:rPr>
              <w:t>897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54C2D7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78CDD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37DF0B3" w14:textId="77777777" w:rsidR="00000000" w:rsidRDefault="00405D16">
            <w:pPr>
              <w:spacing w:after="100"/>
              <w:jc w:val="right"/>
              <w:rPr>
                <w:rFonts w:eastAsia="Times New Roman"/>
              </w:rPr>
            </w:pPr>
            <w:r>
              <w:rPr>
                <w:rFonts w:eastAsia="Times New Roman"/>
                <w:b/>
                <w:bCs/>
                <w:color w:val="000000"/>
                <w:sz w:val="18"/>
                <w:szCs w:val="18"/>
              </w:rPr>
              <w:t>364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187C80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11E64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6BBDF94" w14:textId="77777777" w:rsidR="00000000" w:rsidRDefault="00405D16">
            <w:pPr>
              <w:spacing w:after="100"/>
              <w:jc w:val="right"/>
              <w:rPr>
                <w:rFonts w:eastAsia="Times New Roman"/>
              </w:rPr>
            </w:pPr>
            <w:r>
              <w:rPr>
                <w:rFonts w:eastAsia="Times New Roman"/>
                <w:b/>
                <w:bCs/>
                <w:color w:val="000000"/>
                <w:sz w:val="18"/>
                <w:szCs w:val="18"/>
              </w:rPr>
              <w:t>(431)</w:t>
            </w:r>
          </w:p>
        </w:tc>
        <w:tc>
          <w:tcPr>
            <w:tcW w:w="0" w:type="auto"/>
            <w:shd w:val="clear" w:color="auto" w:fill="CCEEFF"/>
            <w:tcMar>
              <w:top w:w="30" w:type="dxa"/>
              <w:left w:w="0" w:type="dxa"/>
              <w:bottom w:w="30" w:type="dxa"/>
              <w:right w:w="20" w:type="dxa"/>
            </w:tcMar>
            <w:vAlign w:val="center"/>
            <w:hideMark/>
          </w:tcPr>
          <w:p w14:paraId="407CE39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33115D"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C2DCE8A" w14:textId="77777777" w:rsidR="00000000" w:rsidRDefault="00405D16">
            <w:pPr>
              <w:spacing w:after="100"/>
              <w:jc w:val="right"/>
              <w:rPr>
                <w:rFonts w:eastAsia="Times New Roman"/>
              </w:rPr>
            </w:pPr>
            <w:r>
              <w:rPr>
                <w:rFonts w:eastAsia="Times New Roman"/>
                <w:b/>
                <w:bCs/>
                <w:color w:val="000000"/>
                <w:sz w:val="18"/>
                <w:szCs w:val="18"/>
              </w:rPr>
              <w:t>2,782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4594EFD" w14:textId="77777777" w:rsidR="00000000" w:rsidRDefault="00405D16">
            <w:pPr>
              <w:spacing w:after="100"/>
              <w:jc w:val="right"/>
              <w:rPr>
                <w:rFonts w:eastAsia="Times New Roman"/>
              </w:rPr>
            </w:pPr>
          </w:p>
        </w:tc>
      </w:tr>
      <w:tr w:rsidR="00000000" w14:paraId="70E288F3" w14:textId="77777777">
        <w:tc>
          <w:tcPr>
            <w:tcW w:w="0" w:type="auto"/>
            <w:gridSpan w:val="3"/>
            <w:shd w:val="clear" w:color="auto" w:fill="FFFFFF"/>
            <w:tcMar>
              <w:top w:w="30" w:type="dxa"/>
              <w:left w:w="20" w:type="dxa"/>
              <w:bottom w:w="30" w:type="dxa"/>
              <w:right w:w="20" w:type="dxa"/>
            </w:tcMar>
            <w:vAlign w:val="center"/>
            <w:hideMark/>
          </w:tcPr>
          <w:p w14:paraId="1D24703F" w14:textId="77777777" w:rsidR="00000000" w:rsidRDefault="00405D16">
            <w:pPr>
              <w:spacing w:after="100"/>
              <w:rPr>
                <w:rFonts w:eastAsia="Times New Roman"/>
              </w:rPr>
            </w:pPr>
            <w:r>
              <w:rPr>
                <w:rFonts w:eastAsia="Times New Roman"/>
                <w:color w:val="000000"/>
                <w:sz w:val="18"/>
                <w:szCs w:val="18"/>
              </w:rPr>
              <w:t>Income (loss) from continuing operations, net of tax</w:t>
            </w:r>
          </w:p>
        </w:tc>
        <w:tc>
          <w:tcPr>
            <w:tcW w:w="0" w:type="auto"/>
            <w:gridSpan w:val="3"/>
            <w:shd w:val="clear" w:color="auto" w:fill="FFFFFF"/>
            <w:tcMar>
              <w:top w:w="0" w:type="dxa"/>
              <w:left w:w="20" w:type="dxa"/>
              <w:bottom w:w="0" w:type="dxa"/>
              <w:right w:w="20" w:type="dxa"/>
            </w:tcMar>
            <w:vAlign w:val="center"/>
            <w:hideMark/>
          </w:tcPr>
          <w:p w14:paraId="19F2F0EA" w14:textId="77777777" w:rsidR="00000000" w:rsidRDefault="00405D16">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1810F430"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D748B3C" w14:textId="77777777" w:rsidR="00000000" w:rsidRDefault="00405D16">
            <w:pPr>
              <w:spacing w:after="100"/>
              <w:jc w:val="right"/>
              <w:rPr>
                <w:rFonts w:eastAsia="Times New Roman"/>
              </w:rPr>
            </w:pPr>
            <w:r>
              <w:rPr>
                <w:rFonts w:eastAsia="Times New Roman"/>
                <w:b/>
                <w:bCs/>
                <w:color w:val="000000"/>
                <w:sz w:val="18"/>
                <w:szCs w:val="18"/>
              </w:rPr>
              <w:t>6,305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B0E66A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85A136"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6B866E74"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1F48502E" w14:textId="77777777" w:rsidR="00000000" w:rsidRDefault="00405D16">
            <w:pPr>
              <w:spacing w:after="100"/>
              <w:jc w:val="right"/>
              <w:rPr>
                <w:rFonts w:eastAsia="Times New Roman"/>
              </w:rPr>
            </w:pPr>
            <w:r>
              <w:rPr>
                <w:rFonts w:eastAsia="Times New Roman"/>
                <w:b/>
                <w:bCs/>
                <w:color w:val="000000"/>
                <w:sz w:val="18"/>
                <w:szCs w:val="18"/>
              </w:rPr>
              <w:t>2,902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438A7E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8D8BA0"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5D3262FF"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710CC3CD" w14:textId="77777777" w:rsidR="00000000" w:rsidRDefault="00405D16">
            <w:pPr>
              <w:spacing w:after="100"/>
              <w:jc w:val="right"/>
              <w:rPr>
                <w:rFonts w:eastAsia="Times New Roman"/>
              </w:rPr>
            </w:pPr>
            <w:r>
              <w:rPr>
                <w:rFonts w:eastAsia="Times New Roman"/>
                <w:b/>
                <w:bCs/>
                <w:color w:val="000000"/>
                <w:sz w:val="18"/>
                <w:szCs w:val="18"/>
              </w:rPr>
              <w:t>1,177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1C0704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A047B6"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05EBC486"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40DEED05" w14:textId="77777777" w:rsidR="00000000" w:rsidRDefault="00405D16">
            <w:pPr>
              <w:spacing w:after="100"/>
              <w:jc w:val="right"/>
              <w:rPr>
                <w:rFonts w:eastAsia="Times New Roman"/>
              </w:rPr>
            </w:pPr>
            <w:r>
              <w:rPr>
                <w:rFonts w:eastAsia="Times New Roman"/>
                <w:b/>
                <w:bCs/>
                <w:color w:val="000000"/>
                <w:sz w:val="18"/>
                <w:szCs w:val="18"/>
              </w:rPr>
              <w:t>(416)</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337B65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5A825E"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6A481F6C"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6BEA52D1" w14:textId="77777777" w:rsidR="00000000" w:rsidRDefault="00405D16">
            <w:pPr>
              <w:spacing w:after="100"/>
              <w:jc w:val="right"/>
              <w:rPr>
                <w:rFonts w:eastAsia="Times New Roman"/>
              </w:rPr>
            </w:pPr>
            <w:r>
              <w:rPr>
                <w:rFonts w:eastAsia="Times New Roman"/>
                <w:b/>
                <w:bCs/>
                <w:color w:val="000000"/>
                <w:sz w:val="18"/>
                <w:szCs w:val="18"/>
              </w:rPr>
              <w:t>9,968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777FAF0" w14:textId="77777777" w:rsidR="00000000" w:rsidRDefault="00405D16">
            <w:pPr>
              <w:spacing w:after="100"/>
              <w:jc w:val="right"/>
              <w:rPr>
                <w:rFonts w:eastAsia="Times New Roman"/>
              </w:rPr>
            </w:pPr>
          </w:p>
        </w:tc>
      </w:tr>
      <w:tr w:rsidR="00000000" w14:paraId="15798C2E" w14:textId="77777777">
        <w:tc>
          <w:tcPr>
            <w:tcW w:w="0" w:type="auto"/>
            <w:gridSpan w:val="3"/>
            <w:shd w:val="clear" w:color="auto" w:fill="CCEEFF"/>
            <w:tcMar>
              <w:top w:w="30" w:type="dxa"/>
              <w:left w:w="20" w:type="dxa"/>
              <w:bottom w:w="30" w:type="dxa"/>
              <w:right w:w="20" w:type="dxa"/>
            </w:tcMar>
            <w:vAlign w:val="center"/>
            <w:hideMark/>
          </w:tcPr>
          <w:p w14:paraId="3DACC238" w14:textId="77777777" w:rsidR="00000000" w:rsidRDefault="00405D16">
            <w:pPr>
              <w:spacing w:after="100"/>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14:paraId="27A3C692" w14:textId="77777777" w:rsidR="00000000" w:rsidRDefault="00405D16">
            <w:pPr>
              <w:spacing w:after="100"/>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51059BEA"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5F3B47C8" w14:textId="77777777" w:rsidR="00000000" w:rsidRDefault="00405D16">
            <w:pPr>
              <w:spacing w:after="100"/>
              <w:jc w:val="right"/>
              <w:rPr>
                <w:rFonts w:eastAsia="Times New Roman"/>
              </w:rPr>
            </w:pPr>
            <w:r>
              <w:rPr>
                <w:rFonts w:eastAsia="Times New Roman"/>
                <w:b/>
                <w:bCs/>
                <w:color w:val="000000"/>
                <w:sz w:val="18"/>
                <w:szCs w:val="18"/>
              </w:rPr>
              <w:t>105,030</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003DB37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1A1CEA" w14:textId="77777777" w:rsidR="00000000" w:rsidRDefault="00405D16">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36D42A8E"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047160E2" w14:textId="77777777" w:rsidR="00000000" w:rsidRDefault="00405D16">
            <w:pPr>
              <w:spacing w:after="100"/>
              <w:jc w:val="right"/>
              <w:rPr>
                <w:rFonts w:eastAsia="Times New Roman"/>
              </w:rPr>
            </w:pPr>
            <w:r>
              <w:rPr>
                <w:rFonts w:eastAsia="Times New Roman"/>
                <w:b/>
                <w:bCs/>
                <w:color w:val="000000"/>
                <w:sz w:val="18"/>
                <w:szCs w:val="18"/>
              </w:rPr>
              <w:t>77,112</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0C9E62A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3C062D" w14:textId="77777777" w:rsidR="00000000" w:rsidRDefault="00405D16">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20C5ADD6"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5AAABB24" w14:textId="77777777" w:rsidR="00000000" w:rsidRDefault="00405D16">
            <w:pPr>
              <w:spacing w:after="100"/>
              <w:jc w:val="right"/>
              <w:rPr>
                <w:rFonts w:eastAsia="Times New Roman"/>
              </w:rPr>
            </w:pPr>
            <w:r>
              <w:rPr>
                <w:rFonts w:eastAsia="Times New Roman"/>
                <w:b/>
                <w:bCs/>
                <w:color w:val="000000"/>
                <w:sz w:val="18"/>
                <w:szCs w:val="18"/>
              </w:rPr>
              <w:t>79,248</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62DA2A1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8DC8A3" w14:textId="77777777" w:rsidR="00000000" w:rsidRDefault="00405D16">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685700F6"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6CCCBED9"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05C270B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6BB757" w14:textId="77777777" w:rsidR="00000000" w:rsidRDefault="00405D16">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32652C52"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6E62039A" w14:textId="77777777" w:rsidR="00000000" w:rsidRDefault="00405D16">
            <w:pPr>
              <w:spacing w:after="100"/>
              <w:jc w:val="right"/>
              <w:rPr>
                <w:rFonts w:eastAsia="Times New Roman"/>
              </w:rPr>
            </w:pPr>
            <w:r>
              <w:rPr>
                <w:rFonts w:eastAsia="Times New Roman"/>
                <w:b/>
                <w:bCs/>
                <w:color w:val="000000"/>
                <w:sz w:val="18"/>
                <w:szCs w:val="18"/>
              </w:rPr>
              <w:t>261,390</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41312587" w14:textId="77777777" w:rsidR="00000000" w:rsidRDefault="00405D16">
            <w:pPr>
              <w:spacing w:after="100"/>
              <w:jc w:val="right"/>
              <w:rPr>
                <w:rFonts w:eastAsia="Times New Roman"/>
              </w:rPr>
            </w:pPr>
          </w:p>
        </w:tc>
      </w:tr>
      <w:tr w:rsidR="00000000" w14:paraId="4406FBE8" w14:textId="77777777">
        <w:tc>
          <w:tcPr>
            <w:tcW w:w="0" w:type="auto"/>
            <w:gridSpan w:val="3"/>
            <w:shd w:val="clear" w:color="auto" w:fill="FFFFFF"/>
            <w:tcMar>
              <w:top w:w="30" w:type="dxa"/>
              <w:left w:w="20" w:type="dxa"/>
              <w:bottom w:w="30" w:type="dxa"/>
              <w:right w:w="20" w:type="dxa"/>
            </w:tcMar>
            <w:vAlign w:val="center"/>
            <w:hideMark/>
          </w:tcPr>
          <w:p w14:paraId="730375E8" w14:textId="77777777" w:rsidR="00000000" w:rsidRDefault="00405D16">
            <w:pPr>
              <w:spacing w:after="100"/>
              <w:rPr>
                <w:rFonts w:eastAsia="Times New Roman"/>
              </w:rPr>
            </w:pPr>
            <w:r>
              <w:rPr>
                <w:rFonts w:eastAsia="Times New Roman"/>
                <w:color w:val="000000"/>
                <w:sz w:val="18"/>
                <w:szCs w:val="18"/>
              </w:rPr>
              <w:t>Deposits</w:t>
            </w:r>
          </w:p>
        </w:tc>
        <w:tc>
          <w:tcPr>
            <w:tcW w:w="0" w:type="auto"/>
            <w:gridSpan w:val="3"/>
            <w:shd w:val="clear" w:color="auto" w:fill="FFFFFF"/>
            <w:tcMar>
              <w:top w:w="0" w:type="dxa"/>
              <w:left w:w="20" w:type="dxa"/>
              <w:bottom w:w="0" w:type="dxa"/>
              <w:right w:w="20" w:type="dxa"/>
            </w:tcMar>
            <w:vAlign w:val="center"/>
            <w:hideMark/>
          </w:tcPr>
          <w:p w14:paraId="66CF4422"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875BA1F"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772151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9F3D4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DFE187F" w14:textId="77777777" w:rsidR="00000000" w:rsidRDefault="00405D16">
            <w:pPr>
              <w:spacing w:after="100"/>
              <w:jc w:val="right"/>
              <w:rPr>
                <w:rFonts w:eastAsia="Times New Roman"/>
              </w:rPr>
            </w:pPr>
            <w:r>
              <w:rPr>
                <w:rFonts w:eastAsia="Times New Roman"/>
                <w:b/>
                <w:bCs/>
                <w:color w:val="000000"/>
                <w:sz w:val="18"/>
                <w:szCs w:val="18"/>
              </w:rPr>
              <w:t>252,387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7FE7BD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E2517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D5CBC1F" w14:textId="77777777" w:rsidR="00000000" w:rsidRDefault="00405D16">
            <w:pPr>
              <w:spacing w:after="100"/>
              <w:jc w:val="right"/>
              <w:rPr>
                <w:rFonts w:eastAsia="Times New Roman"/>
              </w:rPr>
            </w:pPr>
            <w:r>
              <w:rPr>
                <w:rFonts w:eastAsia="Times New Roman"/>
                <w:b/>
                <w:bCs/>
                <w:color w:val="000000"/>
                <w:sz w:val="18"/>
                <w:szCs w:val="18"/>
              </w:rPr>
              <w:t>43,347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9A99BF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D1677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E7B0910" w14:textId="77777777" w:rsidR="00000000" w:rsidRDefault="00405D16">
            <w:pPr>
              <w:spacing w:after="100"/>
              <w:jc w:val="right"/>
              <w:rPr>
                <w:rFonts w:eastAsia="Times New Roman"/>
              </w:rPr>
            </w:pPr>
            <w:r>
              <w:rPr>
                <w:rFonts w:eastAsia="Times New Roman"/>
                <w:b/>
                <w:bCs/>
                <w:color w:val="000000"/>
                <w:sz w:val="18"/>
                <w:szCs w:val="18"/>
              </w:rPr>
              <w:t>10,204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117739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B969D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31DAFED" w14:textId="77777777" w:rsidR="00000000" w:rsidRDefault="00405D16">
            <w:pPr>
              <w:spacing w:after="100"/>
              <w:jc w:val="right"/>
              <w:rPr>
                <w:rFonts w:eastAsia="Times New Roman"/>
              </w:rPr>
            </w:pPr>
            <w:r>
              <w:rPr>
                <w:rFonts w:eastAsia="Times New Roman"/>
                <w:b/>
                <w:bCs/>
                <w:color w:val="000000"/>
                <w:sz w:val="18"/>
                <w:szCs w:val="18"/>
              </w:rPr>
              <w:t>305,938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4F2DCA2" w14:textId="77777777" w:rsidR="00000000" w:rsidRDefault="00405D16">
            <w:pPr>
              <w:spacing w:after="100"/>
              <w:jc w:val="right"/>
              <w:rPr>
                <w:rFonts w:eastAsia="Times New Roman"/>
              </w:rPr>
            </w:pPr>
          </w:p>
        </w:tc>
      </w:tr>
    </w:tbl>
    <w:p w14:paraId="5AFAD0F1" w14:textId="77777777" w:rsidR="00000000" w:rsidRDefault="00405D16">
      <w:pPr>
        <w:jc w:val="both"/>
        <w:divId w:val="1684740637"/>
        <w:rPr>
          <w:rFonts w:eastAsia="Times New Roman"/>
          <w:vanish/>
        </w:rPr>
      </w:pPr>
    </w:p>
    <w:tbl>
      <w:tblPr>
        <w:tblW w:w="497" w:type="pct"/>
        <w:tblCellMar>
          <w:top w:w="15" w:type="dxa"/>
          <w:left w:w="15" w:type="dxa"/>
          <w:bottom w:w="15" w:type="dxa"/>
          <w:right w:w="15" w:type="dxa"/>
        </w:tblCellMar>
        <w:tblLook w:val="04A0" w:firstRow="1" w:lastRow="0" w:firstColumn="1" w:lastColumn="0" w:noHBand="0" w:noVBand="1"/>
      </w:tblPr>
      <w:tblGrid>
        <w:gridCol w:w="36"/>
        <w:gridCol w:w="754"/>
        <w:gridCol w:w="36"/>
      </w:tblGrid>
      <w:tr w:rsidR="00000000" w14:paraId="3D0825D3" w14:textId="77777777">
        <w:trPr>
          <w:divId w:val="1684740637"/>
        </w:trPr>
        <w:tc>
          <w:tcPr>
            <w:tcW w:w="50" w:type="pct"/>
            <w:vAlign w:val="center"/>
            <w:hideMark/>
          </w:tcPr>
          <w:p w14:paraId="632E8956" w14:textId="77777777" w:rsidR="00000000" w:rsidRDefault="00405D16">
            <w:pPr>
              <w:jc w:val="both"/>
              <w:rPr>
                <w:rFonts w:eastAsia="Times New Roman"/>
              </w:rPr>
            </w:pPr>
          </w:p>
        </w:tc>
        <w:tc>
          <w:tcPr>
            <w:tcW w:w="4945" w:type="pct"/>
            <w:vAlign w:val="center"/>
            <w:hideMark/>
          </w:tcPr>
          <w:p w14:paraId="0B5795A4" w14:textId="77777777" w:rsidR="00000000" w:rsidRDefault="00405D16">
            <w:pPr>
              <w:spacing w:after="100"/>
              <w:rPr>
                <w:rFonts w:eastAsia="Times New Roman"/>
                <w:sz w:val="20"/>
                <w:szCs w:val="20"/>
              </w:rPr>
            </w:pPr>
          </w:p>
        </w:tc>
        <w:tc>
          <w:tcPr>
            <w:tcW w:w="5" w:type="pct"/>
            <w:vAlign w:val="center"/>
            <w:hideMark/>
          </w:tcPr>
          <w:p w14:paraId="3A146F8C" w14:textId="77777777" w:rsidR="00000000" w:rsidRDefault="00405D16">
            <w:pPr>
              <w:spacing w:after="100"/>
              <w:rPr>
                <w:rFonts w:eastAsia="Times New Roman"/>
                <w:sz w:val="20"/>
                <w:szCs w:val="20"/>
              </w:rPr>
            </w:pPr>
          </w:p>
        </w:tc>
      </w:tr>
      <w:tr w:rsidR="00000000" w14:paraId="1F378827" w14:textId="77777777">
        <w:trPr>
          <w:divId w:val="1684740637"/>
          <w:trHeight w:val="60"/>
        </w:trPr>
        <w:tc>
          <w:tcPr>
            <w:tcW w:w="0" w:type="auto"/>
            <w:gridSpan w:val="3"/>
            <w:tcMar>
              <w:top w:w="0" w:type="dxa"/>
              <w:left w:w="20" w:type="dxa"/>
              <w:bottom w:w="0" w:type="dxa"/>
              <w:right w:w="20" w:type="dxa"/>
            </w:tcMar>
            <w:vAlign w:val="center"/>
            <w:hideMark/>
          </w:tcPr>
          <w:p w14:paraId="7C9FF2EE" w14:textId="77777777" w:rsidR="00000000" w:rsidRDefault="00405D16">
            <w:pPr>
              <w:spacing w:after="100"/>
              <w:rPr>
                <w:rFonts w:eastAsia="Times New Roman"/>
                <w:sz w:val="20"/>
                <w:szCs w:val="20"/>
              </w:rPr>
            </w:pPr>
          </w:p>
        </w:tc>
      </w:tr>
    </w:tbl>
    <w:p w14:paraId="306F0507" w14:textId="77777777" w:rsidR="00000000" w:rsidRDefault="00405D16">
      <w:pPr>
        <w:jc w:val="both"/>
        <w:divId w:val="1684740637"/>
        <w:rPr>
          <w:rFonts w:eastAsia="Times New Roman"/>
          <w:vanish/>
        </w:rPr>
      </w:pPr>
    </w:p>
    <w:tbl>
      <w:tblPr>
        <w:tblW w:w="4992" w:type="pct"/>
        <w:tblCellMar>
          <w:top w:w="15" w:type="dxa"/>
          <w:left w:w="15" w:type="dxa"/>
          <w:bottom w:w="15" w:type="dxa"/>
          <w:right w:w="15" w:type="dxa"/>
        </w:tblCellMar>
        <w:tblLook w:val="04A0" w:firstRow="1" w:lastRow="0" w:firstColumn="1" w:lastColumn="0" w:noHBand="0" w:noVBand="1"/>
      </w:tblPr>
      <w:tblGrid>
        <w:gridCol w:w="39"/>
        <w:gridCol w:w="3518"/>
        <w:gridCol w:w="38"/>
        <w:gridCol w:w="36"/>
        <w:gridCol w:w="36"/>
        <w:gridCol w:w="36"/>
        <w:gridCol w:w="110"/>
        <w:gridCol w:w="630"/>
        <w:gridCol w:w="36"/>
        <w:gridCol w:w="36"/>
        <w:gridCol w:w="36"/>
        <w:gridCol w:w="36"/>
        <w:gridCol w:w="111"/>
        <w:gridCol w:w="668"/>
        <w:gridCol w:w="36"/>
        <w:gridCol w:w="36"/>
        <w:gridCol w:w="36"/>
        <w:gridCol w:w="36"/>
        <w:gridCol w:w="111"/>
        <w:gridCol w:w="793"/>
        <w:gridCol w:w="36"/>
        <w:gridCol w:w="36"/>
        <w:gridCol w:w="36"/>
        <w:gridCol w:w="36"/>
        <w:gridCol w:w="111"/>
        <w:gridCol w:w="499"/>
        <w:gridCol w:w="36"/>
        <w:gridCol w:w="36"/>
        <w:gridCol w:w="36"/>
        <w:gridCol w:w="36"/>
        <w:gridCol w:w="111"/>
        <w:gridCol w:w="834"/>
        <w:gridCol w:w="36"/>
      </w:tblGrid>
      <w:tr w:rsidR="00000000" w14:paraId="63BB306E" w14:textId="77777777">
        <w:trPr>
          <w:divId w:val="1684740637"/>
        </w:trPr>
        <w:tc>
          <w:tcPr>
            <w:tcW w:w="50" w:type="pct"/>
            <w:vAlign w:val="center"/>
            <w:hideMark/>
          </w:tcPr>
          <w:p w14:paraId="2E20B49C" w14:textId="77777777" w:rsidR="00000000" w:rsidRDefault="00405D16">
            <w:pPr>
              <w:jc w:val="both"/>
              <w:rPr>
                <w:rFonts w:eastAsia="Times New Roman"/>
              </w:rPr>
            </w:pPr>
          </w:p>
        </w:tc>
        <w:tc>
          <w:tcPr>
            <w:tcW w:w="2280" w:type="pct"/>
            <w:vAlign w:val="center"/>
            <w:hideMark/>
          </w:tcPr>
          <w:p w14:paraId="37BDA10F" w14:textId="77777777" w:rsidR="00000000" w:rsidRDefault="00405D16">
            <w:pPr>
              <w:spacing w:after="100"/>
              <w:rPr>
                <w:rFonts w:eastAsia="Times New Roman"/>
                <w:sz w:val="20"/>
                <w:szCs w:val="20"/>
              </w:rPr>
            </w:pPr>
          </w:p>
        </w:tc>
        <w:tc>
          <w:tcPr>
            <w:tcW w:w="5" w:type="pct"/>
            <w:vAlign w:val="center"/>
            <w:hideMark/>
          </w:tcPr>
          <w:p w14:paraId="00D894DE" w14:textId="77777777" w:rsidR="00000000" w:rsidRDefault="00405D16">
            <w:pPr>
              <w:spacing w:after="100"/>
              <w:rPr>
                <w:rFonts w:eastAsia="Times New Roman"/>
                <w:sz w:val="20"/>
                <w:szCs w:val="20"/>
              </w:rPr>
            </w:pPr>
          </w:p>
        </w:tc>
        <w:tc>
          <w:tcPr>
            <w:tcW w:w="5" w:type="pct"/>
            <w:vAlign w:val="center"/>
            <w:hideMark/>
          </w:tcPr>
          <w:p w14:paraId="0FD3C904" w14:textId="77777777" w:rsidR="00000000" w:rsidRDefault="00405D16">
            <w:pPr>
              <w:spacing w:after="100"/>
              <w:rPr>
                <w:rFonts w:eastAsia="Times New Roman"/>
                <w:sz w:val="20"/>
                <w:szCs w:val="20"/>
              </w:rPr>
            </w:pPr>
          </w:p>
        </w:tc>
        <w:tc>
          <w:tcPr>
            <w:tcW w:w="26" w:type="pct"/>
            <w:vAlign w:val="center"/>
            <w:hideMark/>
          </w:tcPr>
          <w:p w14:paraId="4AD3530E" w14:textId="77777777" w:rsidR="00000000" w:rsidRDefault="00405D16">
            <w:pPr>
              <w:spacing w:after="100"/>
              <w:rPr>
                <w:rFonts w:eastAsia="Times New Roman"/>
                <w:sz w:val="20"/>
                <w:szCs w:val="20"/>
              </w:rPr>
            </w:pPr>
          </w:p>
        </w:tc>
        <w:tc>
          <w:tcPr>
            <w:tcW w:w="5" w:type="pct"/>
            <w:vAlign w:val="center"/>
            <w:hideMark/>
          </w:tcPr>
          <w:p w14:paraId="282612B2" w14:textId="77777777" w:rsidR="00000000" w:rsidRDefault="00405D16">
            <w:pPr>
              <w:spacing w:after="100"/>
              <w:rPr>
                <w:rFonts w:eastAsia="Times New Roman"/>
                <w:sz w:val="20"/>
                <w:szCs w:val="20"/>
              </w:rPr>
            </w:pPr>
          </w:p>
        </w:tc>
        <w:tc>
          <w:tcPr>
            <w:tcW w:w="50" w:type="pct"/>
            <w:vAlign w:val="center"/>
            <w:hideMark/>
          </w:tcPr>
          <w:p w14:paraId="57A80749" w14:textId="77777777" w:rsidR="00000000" w:rsidRDefault="00405D16">
            <w:pPr>
              <w:spacing w:after="100"/>
              <w:rPr>
                <w:rFonts w:eastAsia="Times New Roman"/>
                <w:sz w:val="20"/>
                <w:szCs w:val="20"/>
              </w:rPr>
            </w:pPr>
          </w:p>
        </w:tc>
        <w:tc>
          <w:tcPr>
            <w:tcW w:w="442" w:type="pct"/>
            <w:vAlign w:val="center"/>
            <w:hideMark/>
          </w:tcPr>
          <w:p w14:paraId="642C6671" w14:textId="77777777" w:rsidR="00000000" w:rsidRDefault="00405D16">
            <w:pPr>
              <w:spacing w:after="100"/>
              <w:rPr>
                <w:rFonts w:eastAsia="Times New Roman"/>
                <w:sz w:val="20"/>
                <w:szCs w:val="20"/>
              </w:rPr>
            </w:pPr>
          </w:p>
        </w:tc>
        <w:tc>
          <w:tcPr>
            <w:tcW w:w="5" w:type="pct"/>
            <w:vAlign w:val="center"/>
            <w:hideMark/>
          </w:tcPr>
          <w:p w14:paraId="1662DE9C" w14:textId="77777777" w:rsidR="00000000" w:rsidRDefault="00405D16">
            <w:pPr>
              <w:spacing w:after="100"/>
              <w:rPr>
                <w:rFonts w:eastAsia="Times New Roman"/>
                <w:sz w:val="20"/>
                <w:szCs w:val="20"/>
              </w:rPr>
            </w:pPr>
          </w:p>
        </w:tc>
        <w:tc>
          <w:tcPr>
            <w:tcW w:w="5" w:type="pct"/>
            <w:vAlign w:val="center"/>
            <w:hideMark/>
          </w:tcPr>
          <w:p w14:paraId="6A02CD2D" w14:textId="77777777" w:rsidR="00000000" w:rsidRDefault="00405D16">
            <w:pPr>
              <w:spacing w:after="100"/>
              <w:rPr>
                <w:rFonts w:eastAsia="Times New Roman"/>
                <w:sz w:val="20"/>
                <w:szCs w:val="20"/>
              </w:rPr>
            </w:pPr>
          </w:p>
        </w:tc>
        <w:tc>
          <w:tcPr>
            <w:tcW w:w="26" w:type="pct"/>
            <w:vAlign w:val="center"/>
            <w:hideMark/>
          </w:tcPr>
          <w:p w14:paraId="088634A2" w14:textId="77777777" w:rsidR="00000000" w:rsidRDefault="00405D16">
            <w:pPr>
              <w:spacing w:after="100"/>
              <w:rPr>
                <w:rFonts w:eastAsia="Times New Roman"/>
                <w:sz w:val="20"/>
                <w:szCs w:val="20"/>
              </w:rPr>
            </w:pPr>
          </w:p>
        </w:tc>
        <w:tc>
          <w:tcPr>
            <w:tcW w:w="5" w:type="pct"/>
            <w:vAlign w:val="center"/>
            <w:hideMark/>
          </w:tcPr>
          <w:p w14:paraId="1F9DD2F1" w14:textId="77777777" w:rsidR="00000000" w:rsidRDefault="00405D16">
            <w:pPr>
              <w:spacing w:after="100"/>
              <w:rPr>
                <w:rFonts w:eastAsia="Times New Roman"/>
                <w:sz w:val="20"/>
                <w:szCs w:val="20"/>
              </w:rPr>
            </w:pPr>
          </w:p>
        </w:tc>
        <w:tc>
          <w:tcPr>
            <w:tcW w:w="50" w:type="pct"/>
            <w:vAlign w:val="center"/>
            <w:hideMark/>
          </w:tcPr>
          <w:p w14:paraId="04B221D9" w14:textId="77777777" w:rsidR="00000000" w:rsidRDefault="00405D16">
            <w:pPr>
              <w:spacing w:after="100"/>
              <w:rPr>
                <w:rFonts w:eastAsia="Times New Roman"/>
                <w:sz w:val="20"/>
                <w:szCs w:val="20"/>
              </w:rPr>
            </w:pPr>
          </w:p>
        </w:tc>
        <w:tc>
          <w:tcPr>
            <w:tcW w:w="435" w:type="pct"/>
            <w:vAlign w:val="center"/>
            <w:hideMark/>
          </w:tcPr>
          <w:p w14:paraId="40C94172" w14:textId="77777777" w:rsidR="00000000" w:rsidRDefault="00405D16">
            <w:pPr>
              <w:spacing w:after="100"/>
              <w:rPr>
                <w:rFonts w:eastAsia="Times New Roman"/>
                <w:sz w:val="20"/>
                <w:szCs w:val="20"/>
              </w:rPr>
            </w:pPr>
          </w:p>
        </w:tc>
        <w:tc>
          <w:tcPr>
            <w:tcW w:w="5" w:type="pct"/>
            <w:vAlign w:val="center"/>
            <w:hideMark/>
          </w:tcPr>
          <w:p w14:paraId="03E0946D" w14:textId="77777777" w:rsidR="00000000" w:rsidRDefault="00405D16">
            <w:pPr>
              <w:spacing w:after="100"/>
              <w:rPr>
                <w:rFonts w:eastAsia="Times New Roman"/>
                <w:sz w:val="20"/>
                <w:szCs w:val="20"/>
              </w:rPr>
            </w:pPr>
          </w:p>
        </w:tc>
        <w:tc>
          <w:tcPr>
            <w:tcW w:w="5" w:type="pct"/>
            <w:vAlign w:val="center"/>
            <w:hideMark/>
          </w:tcPr>
          <w:p w14:paraId="59AABD30" w14:textId="77777777" w:rsidR="00000000" w:rsidRDefault="00405D16">
            <w:pPr>
              <w:spacing w:after="100"/>
              <w:rPr>
                <w:rFonts w:eastAsia="Times New Roman"/>
                <w:sz w:val="20"/>
                <w:szCs w:val="20"/>
              </w:rPr>
            </w:pPr>
          </w:p>
        </w:tc>
        <w:tc>
          <w:tcPr>
            <w:tcW w:w="26" w:type="pct"/>
            <w:vAlign w:val="center"/>
            <w:hideMark/>
          </w:tcPr>
          <w:p w14:paraId="0628BEFF" w14:textId="77777777" w:rsidR="00000000" w:rsidRDefault="00405D16">
            <w:pPr>
              <w:spacing w:after="100"/>
              <w:rPr>
                <w:rFonts w:eastAsia="Times New Roman"/>
                <w:sz w:val="20"/>
                <w:szCs w:val="20"/>
              </w:rPr>
            </w:pPr>
          </w:p>
        </w:tc>
        <w:tc>
          <w:tcPr>
            <w:tcW w:w="5" w:type="pct"/>
            <w:vAlign w:val="center"/>
            <w:hideMark/>
          </w:tcPr>
          <w:p w14:paraId="6433E6F8" w14:textId="77777777" w:rsidR="00000000" w:rsidRDefault="00405D16">
            <w:pPr>
              <w:spacing w:after="100"/>
              <w:rPr>
                <w:rFonts w:eastAsia="Times New Roman"/>
                <w:sz w:val="20"/>
                <w:szCs w:val="20"/>
              </w:rPr>
            </w:pPr>
          </w:p>
        </w:tc>
        <w:tc>
          <w:tcPr>
            <w:tcW w:w="50" w:type="pct"/>
            <w:vAlign w:val="center"/>
            <w:hideMark/>
          </w:tcPr>
          <w:p w14:paraId="3630A9FC" w14:textId="77777777" w:rsidR="00000000" w:rsidRDefault="00405D16">
            <w:pPr>
              <w:spacing w:after="100"/>
              <w:rPr>
                <w:rFonts w:eastAsia="Times New Roman"/>
                <w:sz w:val="20"/>
                <w:szCs w:val="20"/>
              </w:rPr>
            </w:pPr>
          </w:p>
        </w:tc>
        <w:tc>
          <w:tcPr>
            <w:tcW w:w="472" w:type="pct"/>
            <w:vAlign w:val="center"/>
            <w:hideMark/>
          </w:tcPr>
          <w:p w14:paraId="03F605FD" w14:textId="77777777" w:rsidR="00000000" w:rsidRDefault="00405D16">
            <w:pPr>
              <w:spacing w:after="100"/>
              <w:rPr>
                <w:rFonts w:eastAsia="Times New Roman"/>
                <w:sz w:val="20"/>
                <w:szCs w:val="20"/>
              </w:rPr>
            </w:pPr>
          </w:p>
        </w:tc>
        <w:tc>
          <w:tcPr>
            <w:tcW w:w="5" w:type="pct"/>
            <w:vAlign w:val="center"/>
            <w:hideMark/>
          </w:tcPr>
          <w:p w14:paraId="10505B6F" w14:textId="77777777" w:rsidR="00000000" w:rsidRDefault="00405D16">
            <w:pPr>
              <w:spacing w:after="100"/>
              <w:rPr>
                <w:rFonts w:eastAsia="Times New Roman"/>
                <w:sz w:val="20"/>
                <w:szCs w:val="20"/>
              </w:rPr>
            </w:pPr>
          </w:p>
        </w:tc>
        <w:tc>
          <w:tcPr>
            <w:tcW w:w="5" w:type="pct"/>
            <w:vAlign w:val="center"/>
            <w:hideMark/>
          </w:tcPr>
          <w:p w14:paraId="75D05E5A" w14:textId="77777777" w:rsidR="00000000" w:rsidRDefault="00405D16">
            <w:pPr>
              <w:spacing w:after="100"/>
              <w:rPr>
                <w:rFonts w:eastAsia="Times New Roman"/>
                <w:sz w:val="20"/>
                <w:szCs w:val="20"/>
              </w:rPr>
            </w:pPr>
          </w:p>
        </w:tc>
        <w:tc>
          <w:tcPr>
            <w:tcW w:w="26" w:type="pct"/>
            <w:vAlign w:val="center"/>
            <w:hideMark/>
          </w:tcPr>
          <w:p w14:paraId="55C0A944" w14:textId="77777777" w:rsidR="00000000" w:rsidRDefault="00405D16">
            <w:pPr>
              <w:spacing w:after="100"/>
              <w:rPr>
                <w:rFonts w:eastAsia="Times New Roman"/>
                <w:sz w:val="20"/>
                <w:szCs w:val="20"/>
              </w:rPr>
            </w:pPr>
          </w:p>
        </w:tc>
        <w:tc>
          <w:tcPr>
            <w:tcW w:w="5" w:type="pct"/>
            <w:vAlign w:val="center"/>
            <w:hideMark/>
          </w:tcPr>
          <w:p w14:paraId="5B2A783C" w14:textId="77777777" w:rsidR="00000000" w:rsidRDefault="00405D16">
            <w:pPr>
              <w:spacing w:after="100"/>
              <w:rPr>
                <w:rFonts w:eastAsia="Times New Roman"/>
                <w:sz w:val="20"/>
                <w:szCs w:val="20"/>
              </w:rPr>
            </w:pPr>
          </w:p>
        </w:tc>
        <w:tc>
          <w:tcPr>
            <w:tcW w:w="50" w:type="pct"/>
            <w:vAlign w:val="center"/>
            <w:hideMark/>
          </w:tcPr>
          <w:p w14:paraId="07536A2B" w14:textId="77777777" w:rsidR="00000000" w:rsidRDefault="00405D16">
            <w:pPr>
              <w:spacing w:after="100"/>
              <w:rPr>
                <w:rFonts w:eastAsia="Times New Roman"/>
                <w:sz w:val="20"/>
                <w:szCs w:val="20"/>
              </w:rPr>
            </w:pPr>
          </w:p>
        </w:tc>
        <w:tc>
          <w:tcPr>
            <w:tcW w:w="413" w:type="pct"/>
            <w:vAlign w:val="center"/>
            <w:hideMark/>
          </w:tcPr>
          <w:p w14:paraId="261CBB54" w14:textId="77777777" w:rsidR="00000000" w:rsidRDefault="00405D16">
            <w:pPr>
              <w:spacing w:after="100"/>
              <w:rPr>
                <w:rFonts w:eastAsia="Times New Roman"/>
                <w:sz w:val="20"/>
                <w:szCs w:val="20"/>
              </w:rPr>
            </w:pPr>
          </w:p>
        </w:tc>
        <w:tc>
          <w:tcPr>
            <w:tcW w:w="5" w:type="pct"/>
            <w:vAlign w:val="center"/>
            <w:hideMark/>
          </w:tcPr>
          <w:p w14:paraId="374B58D6" w14:textId="77777777" w:rsidR="00000000" w:rsidRDefault="00405D16">
            <w:pPr>
              <w:spacing w:after="100"/>
              <w:rPr>
                <w:rFonts w:eastAsia="Times New Roman"/>
                <w:sz w:val="20"/>
                <w:szCs w:val="20"/>
              </w:rPr>
            </w:pPr>
          </w:p>
        </w:tc>
        <w:tc>
          <w:tcPr>
            <w:tcW w:w="5" w:type="pct"/>
            <w:vAlign w:val="center"/>
            <w:hideMark/>
          </w:tcPr>
          <w:p w14:paraId="609BE2FB" w14:textId="77777777" w:rsidR="00000000" w:rsidRDefault="00405D16">
            <w:pPr>
              <w:spacing w:after="100"/>
              <w:rPr>
                <w:rFonts w:eastAsia="Times New Roman"/>
                <w:sz w:val="20"/>
                <w:szCs w:val="20"/>
              </w:rPr>
            </w:pPr>
          </w:p>
        </w:tc>
        <w:tc>
          <w:tcPr>
            <w:tcW w:w="26" w:type="pct"/>
            <w:vAlign w:val="center"/>
            <w:hideMark/>
          </w:tcPr>
          <w:p w14:paraId="575F9DD6" w14:textId="77777777" w:rsidR="00000000" w:rsidRDefault="00405D16">
            <w:pPr>
              <w:spacing w:after="100"/>
              <w:rPr>
                <w:rFonts w:eastAsia="Times New Roman"/>
                <w:sz w:val="20"/>
                <w:szCs w:val="20"/>
              </w:rPr>
            </w:pPr>
          </w:p>
        </w:tc>
        <w:tc>
          <w:tcPr>
            <w:tcW w:w="5" w:type="pct"/>
            <w:vAlign w:val="center"/>
            <w:hideMark/>
          </w:tcPr>
          <w:p w14:paraId="0A36EEBE" w14:textId="77777777" w:rsidR="00000000" w:rsidRDefault="00405D16">
            <w:pPr>
              <w:spacing w:after="100"/>
              <w:rPr>
                <w:rFonts w:eastAsia="Times New Roman"/>
                <w:sz w:val="20"/>
                <w:szCs w:val="20"/>
              </w:rPr>
            </w:pPr>
          </w:p>
        </w:tc>
        <w:tc>
          <w:tcPr>
            <w:tcW w:w="50" w:type="pct"/>
            <w:vAlign w:val="center"/>
            <w:hideMark/>
          </w:tcPr>
          <w:p w14:paraId="787193E3" w14:textId="77777777" w:rsidR="00000000" w:rsidRDefault="00405D16">
            <w:pPr>
              <w:spacing w:after="100"/>
              <w:rPr>
                <w:rFonts w:eastAsia="Times New Roman"/>
                <w:sz w:val="20"/>
                <w:szCs w:val="20"/>
              </w:rPr>
            </w:pPr>
          </w:p>
        </w:tc>
        <w:tc>
          <w:tcPr>
            <w:tcW w:w="442" w:type="pct"/>
            <w:vAlign w:val="center"/>
            <w:hideMark/>
          </w:tcPr>
          <w:p w14:paraId="38435364" w14:textId="77777777" w:rsidR="00000000" w:rsidRDefault="00405D16">
            <w:pPr>
              <w:spacing w:after="100"/>
              <w:rPr>
                <w:rFonts w:eastAsia="Times New Roman"/>
                <w:sz w:val="20"/>
                <w:szCs w:val="20"/>
              </w:rPr>
            </w:pPr>
          </w:p>
        </w:tc>
        <w:tc>
          <w:tcPr>
            <w:tcW w:w="5" w:type="pct"/>
            <w:vAlign w:val="center"/>
            <w:hideMark/>
          </w:tcPr>
          <w:p w14:paraId="09E2FAC6" w14:textId="77777777" w:rsidR="00000000" w:rsidRDefault="00405D16">
            <w:pPr>
              <w:spacing w:after="100"/>
              <w:rPr>
                <w:rFonts w:eastAsia="Times New Roman"/>
                <w:sz w:val="20"/>
                <w:szCs w:val="20"/>
              </w:rPr>
            </w:pPr>
          </w:p>
        </w:tc>
      </w:tr>
      <w:tr w:rsidR="00000000" w14:paraId="27DD8CCF" w14:textId="77777777">
        <w:trPr>
          <w:divId w:val="1684740637"/>
        </w:trPr>
        <w:tc>
          <w:tcPr>
            <w:tcW w:w="0" w:type="auto"/>
            <w:gridSpan w:val="3"/>
            <w:tcMar>
              <w:top w:w="0" w:type="dxa"/>
              <w:left w:w="20" w:type="dxa"/>
              <w:bottom w:w="0" w:type="dxa"/>
              <w:right w:w="20" w:type="dxa"/>
            </w:tcMar>
            <w:vAlign w:val="center"/>
            <w:hideMark/>
          </w:tcPr>
          <w:p w14:paraId="1F3DD623"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24CBEF4" w14:textId="77777777" w:rsidR="00000000" w:rsidRDefault="00405D16">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75465FFE" w14:textId="77777777" w:rsidR="00000000" w:rsidRDefault="00405D16">
            <w:pPr>
              <w:spacing w:after="100"/>
              <w:jc w:val="center"/>
              <w:rPr>
                <w:rFonts w:eastAsia="Times New Roman"/>
              </w:rPr>
            </w:pPr>
            <w:r>
              <w:rPr>
                <w:rFonts w:eastAsia="Times New Roman"/>
                <w:b/>
                <w:bCs/>
                <w:color w:val="000000"/>
                <w:sz w:val="16"/>
                <w:szCs w:val="16"/>
              </w:rPr>
              <w:t>Three Months Ended September 30, 2020</w:t>
            </w:r>
          </w:p>
        </w:tc>
      </w:tr>
      <w:tr w:rsidR="00000000" w14:paraId="0650A37E" w14:textId="77777777">
        <w:trPr>
          <w:divId w:val="1684740637"/>
        </w:trPr>
        <w:tc>
          <w:tcPr>
            <w:tcW w:w="0" w:type="auto"/>
            <w:gridSpan w:val="3"/>
            <w:tcMar>
              <w:top w:w="30" w:type="dxa"/>
              <w:left w:w="20" w:type="dxa"/>
              <w:bottom w:w="30" w:type="dxa"/>
              <w:right w:w="20" w:type="dxa"/>
            </w:tcMar>
            <w:vAlign w:val="bottom"/>
            <w:hideMark/>
          </w:tcPr>
          <w:p w14:paraId="796FACA6"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4C3F5923"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54B5EDE" w14:textId="77777777" w:rsidR="00000000" w:rsidRDefault="00405D16">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27834B9C"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2F854CB" w14:textId="77777777" w:rsidR="00000000" w:rsidRDefault="00405D16">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3BD9E7A2"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197FD4E" w14:textId="77777777" w:rsidR="00000000" w:rsidRDefault="00405D16">
            <w:pPr>
              <w:spacing w:after="100"/>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2EDD6FCE"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016FCD8" w14:textId="77777777" w:rsidR="00000000" w:rsidRDefault="00405D16">
            <w:pPr>
              <w:spacing w:after="100"/>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0CEE9721"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8288A5B" w14:textId="77777777" w:rsidR="00000000" w:rsidRDefault="00405D16">
            <w:pPr>
              <w:spacing w:after="100"/>
              <w:jc w:val="center"/>
              <w:rPr>
                <w:rFonts w:eastAsia="Times New Roman"/>
              </w:rPr>
            </w:pPr>
            <w:r>
              <w:rPr>
                <w:rFonts w:eastAsia="Times New Roman"/>
                <w:b/>
                <w:bCs/>
                <w:color w:val="000000"/>
                <w:sz w:val="16"/>
                <w:szCs w:val="16"/>
              </w:rPr>
              <w:t>Consolidated Total</w:t>
            </w:r>
          </w:p>
        </w:tc>
      </w:tr>
      <w:tr w:rsidR="00000000" w14:paraId="0388D29E" w14:textId="77777777">
        <w:trPr>
          <w:divId w:val="168474063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5E9CBF49" w14:textId="77777777" w:rsidR="00000000" w:rsidRDefault="00405D16">
            <w:pPr>
              <w:spacing w:after="100"/>
              <w:rPr>
                <w:rFonts w:eastAsia="Times New Roman"/>
              </w:rPr>
            </w:pPr>
            <w:r>
              <w:rPr>
                <w:rFonts w:eastAsia="Times New Roman"/>
                <w:color w:val="000000"/>
                <w:sz w:val="18"/>
                <w:szCs w:val="18"/>
              </w:rPr>
              <w:t>Net interest income (loss)</w:t>
            </w:r>
          </w:p>
        </w:tc>
        <w:tc>
          <w:tcPr>
            <w:tcW w:w="0" w:type="auto"/>
            <w:gridSpan w:val="3"/>
            <w:shd w:val="clear" w:color="auto" w:fill="CCEEFF"/>
            <w:tcMar>
              <w:top w:w="0" w:type="dxa"/>
              <w:left w:w="20" w:type="dxa"/>
              <w:bottom w:w="0" w:type="dxa"/>
              <w:right w:w="20" w:type="dxa"/>
            </w:tcMar>
            <w:vAlign w:val="center"/>
            <w:hideMark/>
          </w:tcPr>
          <w:p w14:paraId="3E633B4C"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FE69C09"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CFD05C5" w14:textId="77777777" w:rsidR="00000000" w:rsidRDefault="00405D16">
            <w:pPr>
              <w:spacing w:after="100"/>
              <w:jc w:val="right"/>
              <w:rPr>
                <w:rFonts w:eastAsia="Times New Roman"/>
              </w:rPr>
            </w:pPr>
            <w:r>
              <w:rPr>
                <w:rFonts w:eastAsia="Times New Roman"/>
                <w:color w:val="000000"/>
                <w:sz w:val="18"/>
                <w:szCs w:val="18"/>
              </w:rPr>
              <w:t>3,292 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1D3443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EBB550"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D9789AB"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989232A" w14:textId="77777777" w:rsidR="00000000" w:rsidRDefault="00405D16">
            <w:pPr>
              <w:spacing w:after="100"/>
              <w:jc w:val="right"/>
              <w:rPr>
                <w:rFonts w:eastAsia="Times New Roman"/>
              </w:rPr>
            </w:pPr>
            <w:r>
              <w:rPr>
                <w:rFonts w:eastAsia="Times New Roman"/>
                <w:color w:val="000000"/>
                <w:sz w:val="18"/>
                <w:szCs w:val="18"/>
              </w:rPr>
              <w:t>1,904 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D16C50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912496"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4356B2F"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05D91A4" w14:textId="77777777" w:rsidR="00000000" w:rsidRDefault="00405D16">
            <w:pPr>
              <w:spacing w:after="100"/>
              <w:jc w:val="right"/>
              <w:rPr>
                <w:rFonts w:eastAsia="Times New Roman"/>
              </w:rPr>
            </w:pPr>
            <w:r>
              <w:rPr>
                <w:rFonts w:eastAsia="Times New Roman"/>
                <w:color w:val="000000"/>
                <w:sz w:val="18"/>
                <w:szCs w:val="18"/>
              </w:rPr>
              <w:t>517 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0A8F07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1D94F8"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5E8A744"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965A5E2" w14:textId="77777777" w:rsidR="00000000" w:rsidRDefault="00405D16">
            <w:pPr>
              <w:spacing w:after="100"/>
              <w:jc w:val="right"/>
              <w:rPr>
                <w:rFonts w:eastAsia="Times New Roman"/>
              </w:rPr>
            </w:pPr>
            <w:r>
              <w:rPr>
                <w:rFonts w:eastAsia="Times New Roman"/>
                <w:color w:val="000000"/>
                <w:sz w:val="18"/>
                <w:szCs w:val="18"/>
              </w:rPr>
              <w:t>(158)</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B99A23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F042DD"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F41E4EF"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DF89E0E" w14:textId="77777777" w:rsidR="00000000" w:rsidRDefault="00405D16">
            <w:pPr>
              <w:spacing w:after="100"/>
              <w:jc w:val="right"/>
              <w:rPr>
                <w:rFonts w:eastAsia="Times New Roman"/>
              </w:rPr>
            </w:pPr>
            <w:r>
              <w:rPr>
                <w:rFonts w:eastAsia="Times New Roman"/>
                <w:color w:val="000000"/>
                <w:sz w:val="18"/>
                <w:szCs w:val="18"/>
              </w:rPr>
              <w:t>5,555 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5D47B3E" w14:textId="77777777" w:rsidR="00000000" w:rsidRDefault="00405D16">
            <w:pPr>
              <w:spacing w:after="100"/>
              <w:jc w:val="right"/>
              <w:rPr>
                <w:rFonts w:eastAsia="Times New Roman"/>
              </w:rPr>
            </w:pPr>
          </w:p>
        </w:tc>
      </w:tr>
      <w:tr w:rsidR="00000000" w14:paraId="7470BFBC" w14:textId="77777777">
        <w:trPr>
          <w:divId w:val="1684740637"/>
        </w:trPr>
        <w:tc>
          <w:tcPr>
            <w:tcW w:w="0" w:type="auto"/>
            <w:gridSpan w:val="3"/>
            <w:shd w:val="clear" w:color="auto" w:fill="FFFFFF"/>
            <w:tcMar>
              <w:top w:w="30" w:type="dxa"/>
              <w:left w:w="20" w:type="dxa"/>
              <w:bottom w:w="30" w:type="dxa"/>
              <w:right w:w="20" w:type="dxa"/>
            </w:tcMar>
            <w:vAlign w:val="center"/>
            <w:hideMark/>
          </w:tcPr>
          <w:p w14:paraId="3304A9C0" w14:textId="77777777" w:rsidR="00000000" w:rsidRDefault="00405D16">
            <w:pPr>
              <w:spacing w:after="100"/>
              <w:rPr>
                <w:rFonts w:eastAsia="Times New Roman"/>
              </w:rPr>
            </w:pPr>
            <w:r>
              <w:rPr>
                <w:rFonts w:eastAsia="Times New Roman"/>
                <w:color w:val="000000"/>
                <w:sz w:val="18"/>
                <w:szCs w:val="18"/>
              </w:rPr>
              <w:t>Non-interest income (loss)</w:t>
            </w:r>
          </w:p>
        </w:tc>
        <w:tc>
          <w:tcPr>
            <w:tcW w:w="0" w:type="auto"/>
            <w:gridSpan w:val="3"/>
            <w:shd w:val="clear" w:color="auto" w:fill="FFFFFF"/>
            <w:tcMar>
              <w:top w:w="0" w:type="dxa"/>
              <w:left w:w="20" w:type="dxa"/>
              <w:bottom w:w="0" w:type="dxa"/>
              <w:right w:w="20" w:type="dxa"/>
            </w:tcMar>
            <w:vAlign w:val="center"/>
            <w:hideMark/>
          </w:tcPr>
          <w:p w14:paraId="54F106FC"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DA5E264" w14:textId="77777777" w:rsidR="00000000" w:rsidRDefault="00405D16">
            <w:pPr>
              <w:spacing w:after="100"/>
              <w:jc w:val="right"/>
              <w:rPr>
                <w:rFonts w:eastAsia="Times New Roman"/>
              </w:rPr>
            </w:pPr>
            <w:r>
              <w:rPr>
                <w:rFonts w:eastAsia="Times New Roman"/>
                <w:color w:val="000000"/>
                <w:sz w:val="18"/>
                <w:szCs w:val="18"/>
              </w:rPr>
              <w:t>1,013 </w:t>
            </w:r>
          </w:p>
        </w:tc>
        <w:tc>
          <w:tcPr>
            <w:tcW w:w="0" w:type="auto"/>
            <w:shd w:val="clear" w:color="auto" w:fill="FFFFFF"/>
            <w:tcMar>
              <w:top w:w="30" w:type="dxa"/>
              <w:left w:w="0" w:type="dxa"/>
              <w:bottom w:w="30" w:type="dxa"/>
              <w:right w:w="20" w:type="dxa"/>
            </w:tcMar>
            <w:vAlign w:val="center"/>
            <w:hideMark/>
          </w:tcPr>
          <w:p w14:paraId="1FEADEF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77510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C6CBAC8" w14:textId="77777777" w:rsidR="00000000" w:rsidRDefault="00405D16">
            <w:pPr>
              <w:spacing w:after="100"/>
              <w:jc w:val="right"/>
              <w:rPr>
                <w:rFonts w:eastAsia="Times New Roman"/>
              </w:rPr>
            </w:pPr>
            <w:r>
              <w:rPr>
                <w:rFonts w:eastAsia="Times New Roman"/>
                <w:color w:val="000000"/>
                <w:sz w:val="18"/>
                <w:szCs w:val="18"/>
              </w:rPr>
              <w:t>107 </w:t>
            </w:r>
          </w:p>
        </w:tc>
        <w:tc>
          <w:tcPr>
            <w:tcW w:w="0" w:type="auto"/>
            <w:shd w:val="clear" w:color="auto" w:fill="FFFFFF"/>
            <w:tcMar>
              <w:top w:w="30" w:type="dxa"/>
              <w:left w:w="0" w:type="dxa"/>
              <w:bottom w:w="30" w:type="dxa"/>
              <w:right w:w="20" w:type="dxa"/>
            </w:tcMar>
            <w:vAlign w:val="center"/>
            <w:hideMark/>
          </w:tcPr>
          <w:p w14:paraId="024675C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222FE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E95C456" w14:textId="77777777" w:rsidR="00000000" w:rsidRDefault="00405D16">
            <w:pPr>
              <w:spacing w:after="100"/>
              <w:jc w:val="right"/>
              <w:rPr>
                <w:rFonts w:eastAsia="Times New Roman"/>
              </w:rPr>
            </w:pPr>
            <w:r>
              <w:rPr>
                <w:rFonts w:eastAsia="Times New Roman"/>
                <w:color w:val="000000"/>
                <w:sz w:val="18"/>
                <w:szCs w:val="18"/>
              </w:rPr>
              <w:t>237 </w:t>
            </w:r>
          </w:p>
        </w:tc>
        <w:tc>
          <w:tcPr>
            <w:tcW w:w="0" w:type="auto"/>
            <w:shd w:val="clear" w:color="auto" w:fill="FFFFFF"/>
            <w:tcMar>
              <w:top w:w="30" w:type="dxa"/>
              <w:left w:w="0" w:type="dxa"/>
              <w:bottom w:w="30" w:type="dxa"/>
              <w:right w:w="20" w:type="dxa"/>
            </w:tcMar>
            <w:vAlign w:val="center"/>
            <w:hideMark/>
          </w:tcPr>
          <w:p w14:paraId="2299DFE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3041E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A5D9E66" w14:textId="77777777" w:rsidR="00000000" w:rsidRDefault="00405D16">
            <w:pPr>
              <w:spacing w:after="100"/>
              <w:jc w:val="right"/>
              <w:rPr>
                <w:rFonts w:eastAsia="Times New Roman"/>
              </w:rPr>
            </w:pPr>
            <w:r>
              <w:rPr>
                <w:rFonts w:eastAsia="Times New Roman"/>
                <w:color w:val="000000"/>
                <w:sz w:val="18"/>
                <w:szCs w:val="18"/>
              </w:rPr>
              <w:t>469 </w:t>
            </w:r>
          </w:p>
        </w:tc>
        <w:tc>
          <w:tcPr>
            <w:tcW w:w="0" w:type="auto"/>
            <w:shd w:val="clear" w:color="auto" w:fill="FFFFFF"/>
            <w:tcMar>
              <w:top w:w="30" w:type="dxa"/>
              <w:left w:w="0" w:type="dxa"/>
              <w:bottom w:w="30" w:type="dxa"/>
              <w:right w:w="20" w:type="dxa"/>
            </w:tcMar>
            <w:vAlign w:val="center"/>
            <w:hideMark/>
          </w:tcPr>
          <w:p w14:paraId="04929A9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40EC5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0B7B7DF" w14:textId="77777777" w:rsidR="00000000" w:rsidRDefault="00405D16">
            <w:pPr>
              <w:spacing w:after="100"/>
              <w:jc w:val="right"/>
              <w:rPr>
                <w:rFonts w:eastAsia="Times New Roman"/>
              </w:rPr>
            </w:pPr>
            <w:r>
              <w:rPr>
                <w:rFonts w:eastAsia="Times New Roman"/>
                <w:color w:val="000000"/>
                <w:sz w:val="18"/>
                <w:szCs w:val="18"/>
              </w:rPr>
              <w:t>1,826 </w:t>
            </w:r>
          </w:p>
        </w:tc>
        <w:tc>
          <w:tcPr>
            <w:tcW w:w="0" w:type="auto"/>
            <w:shd w:val="clear" w:color="auto" w:fill="FFFFFF"/>
            <w:tcMar>
              <w:top w:w="30" w:type="dxa"/>
              <w:left w:w="0" w:type="dxa"/>
              <w:bottom w:w="30" w:type="dxa"/>
              <w:right w:w="20" w:type="dxa"/>
            </w:tcMar>
            <w:vAlign w:val="center"/>
            <w:hideMark/>
          </w:tcPr>
          <w:p w14:paraId="0315BFEE" w14:textId="77777777" w:rsidR="00000000" w:rsidRDefault="00405D16">
            <w:pPr>
              <w:spacing w:after="100"/>
              <w:jc w:val="right"/>
              <w:rPr>
                <w:rFonts w:eastAsia="Times New Roman"/>
              </w:rPr>
            </w:pPr>
          </w:p>
        </w:tc>
      </w:tr>
      <w:tr w:rsidR="00000000" w14:paraId="77B625A0" w14:textId="77777777">
        <w:trPr>
          <w:divId w:val="1684740637"/>
        </w:trPr>
        <w:tc>
          <w:tcPr>
            <w:tcW w:w="0" w:type="auto"/>
            <w:gridSpan w:val="3"/>
            <w:shd w:val="clear" w:color="auto" w:fill="CCEEFF"/>
            <w:tcMar>
              <w:top w:w="30" w:type="dxa"/>
              <w:left w:w="20" w:type="dxa"/>
              <w:bottom w:w="30" w:type="dxa"/>
              <w:right w:w="20" w:type="dxa"/>
            </w:tcMar>
            <w:vAlign w:val="center"/>
            <w:hideMark/>
          </w:tcPr>
          <w:p w14:paraId="24788AEF" w14:textId="77777777" w:rsidR="00000000" w:rsidRDefault="00405D16">
            <w:pPr>
              <w:spacing w:after="100"/>
              <w:divId w:val="1440491447"/>
              <w:rPr>
                <w:rFonts w:eastAsia="Times New Roman"/>
              </w:rPr>
            </w:pPr>
            <w:r>
              <w:rPr>
                <w:rFonts w:eastAsia="Times New Roman"/>
                <w:color w:val="000000"/>
                <w:sz w:val="18"/>
                <w:szCs w:val="18"/>
              </w:rPr>
              <w:t>Total net revenue (loss</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3F76B224"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79CD536" w14:textId="77777777" w:rsidR="00000000" w:rsidRDefault="00405D16">
            <w:pPr>
              <w:spacing w:after="100"/>
              <w:jc w:val="right"/>
              <w:rPr>
                <w:rFonts w:eastAsia="Times New Roman"/>
              </w:rPr>
            </w:pPr>
            <w:r>
              <w:rPr>
                <w:rFonts w:eastAsia="Times New Roman"/>
                <w:color w:val="000000"/>
                <w:sz w:val="18"/>
                <w:szCs w:val="18"/>
              </w:rPr>
              <w:t>4,305 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6AC530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FB232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C7FFADC" w14:textId="77777777" w:rsidR="00000000" w:rsidRDefault="00405D16">
            <w:pPr>
              <w:spacing w:after="100"/>
              <w:jc w:val="right"/>
              <w:rPr>
                <w:rFonts w:eastAsia="Times New Roman"/>
              </w:rPr>
            </w:pPr>
            <w:r>
              <w:rPr>
                <w:rFonts w:eastAsia="Times New Roman"/>
                <w:color w:val="000000"/>
                <w:sz w:val="18"/>
                <w:szCs w:val="18"/>
              </w:rPr>
              <w:t>2,011 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4C7C19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5A4E1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9739855" w14:textId="77777777" w:rsidR="00000000" w:rsidRDefault="00405D16">
            <w:pPr>
              <w:spacing w:after="100"/>
              <w:jc w:val="right"/>
              <w:rPr>
                <w:rFonts w:eastAsia="Times New Roman"/>
              </w:rPr>
            </w:pPr>
            <w:r>
              <w:rPr>
                <w:rFonts w:eastAsia="Times New Roman"/>
                <w:color w:val="000000"/>
                <w:sz w:val="18"/>
                <w:szCs w:val="18"/>
              </w:rPr>
              <w:t>754 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2A7E10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6F9AF6"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D98A0AA" w14:textId="77777777" w:rsidR="00000000" w:rsidRDefault="00405D16">
            <w:pPr>
              <w:spacing w:after="100"/>
              <w:jc w:val="right"/>
              <w:rPr>
                <w:rFonts w:eastAsia="Times New Roman"/>
              </w:rPr>
            </w:pPr>
            <w:r>
              <w:rPr>
                <w:rFonts w:eastAsia="Times New Roman"/>
                <w:color w:val="000000"/>
                <w:sz w:val="18"/>
                <w:szCs w:val="18"/>
              </w:rPr>
              <w:t>311 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35876A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CD60F4"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90D3A99" w14:textId="77777777" w:rsidR="00000000" w:rsidRDefault="00405D16">
            <w:pPr>
              <w:spacing w:after="100"/>
              <w:jc w:val="right"/>
              <w:rPr>
                <w:rFonts w:eastAsia="Times New Roman"/>
              </w:rPr>
            </w:pPr>
            <w:r>
              <w:rPr>
                <w:rFonts w:eastAsia="Times New Roman"/>
                <w:color w:val="000000"/>
                <w:sz w:val="18"/>
                <w:szCs w:val="18"/>
              </w:rPr>
              <w:t>7,381 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B8DBDC6" w14:textId="77777777" w:rsidR="00000000" w:rsidRDefault="00405D16">
            <w:pPr>
              <w:spacing w:after="100"/>
              <w:jc w:val="right"/>
              <w:rPr>
                <w:rFonts w:eastAsia="Times New Roman"/>
              </w:rPr>
            </w:pPr>
          </w:p>
        </w:tc>
      </w:tr>
      <w:tr w:rsidR="00000000" w14:paraId="5025F1B4" w14:textId="77777777">
        <w:trPr>
          <w:divId w:val="1684740637"/>
        </w:trPr>
        <w:tc>
          <w:tcPr>
            <w:tcW w:w="0" w:type="auto"/>
            <w:gridSpan w:val="3"/>
            <w:shd w:val="clear" w:color="auto" w:fill="FFFFFF"/>
            <w:tcMar>
              <w:top w:w="30" w:type="dxa"/>
              <w:left w:w="20" w:type="dxa"/>
              <w:bottom w:w="30" w:type="dxa"/>
              <w:right w:w="20" w:type="dxa"/>
            </w:tcMar>
            <w:vAlign w:val="center"/>
            <w:hideMark/>
          </w:tcPr>
          <w:p w14:paraId="21CE5D05" w14:textId="77777777" w:rsidR="00000000" w:rsidRDefault="00405D16">
            <w:pPr>
              <w:spacing w:after="100"/>
              <w:rPr>
                <w:rFonts w:eastAsia="Times New Roman"/>
              </w:rPr>
            </w:pPr>
            <w:r>
              <w:rPr>
                <w:rFonts w:eastAsia="Times New Roman"/>
                <w:color w:val="000000"/>
                <w:sz w:val="18"/>
                <w:szCs w:val="18"/>
              </w:rPr>
              <w:t>Provision (benefit) for credit losses</w:t>
            </w:r>
          </w:p>
        </w:tc>
        <w:tc>
          <w:tcPr>
            <w:tcW w:w="0" w:type="auto"/>
            <w:gridSpan w:val="3"/>
            <w:shd w:val="clear" w:color="auto" w:fill="FFFFFF"/>
            <w:tcMar>
              <w:top w:w="0" w:type="dxa"/>
              <w:left w:w="20" w:type="dxa"/>
              <w:bottom w:w="0" w:type="dxa"/>
              <w:right w:w="20" w:type="dxa"/>
            </w:tcMar>
            <w:vAlign w:val="center"/>
            <w:hideMark/>
          </w:tcPr>
          <w:p w14:paraId="04D33FE5"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746D4B6" w14:textId="77777777" w:rsidR="00000000" w:rsidRDefault="00405D16">
            <w:pPr>
              <w:spacing w:after="100"/>
              <w:jc w:val="right"/>
              <w:rPr>
                <w:rFonts w:eastAsia="Times New Roman"/>
              </w:rPr>
            </w:pPr>
            <w:r>
              <w:rPr>
                <w:rFonts w:eastAsia="Times New Roman"/>
                <w:color w:val="000000"/>
                <w:sz w:val="18"/>
                <w:szCs w:val="18"/>
              </w:rPr>
              <w:t>450 </w:t>
            </w:r>
          </w:p>
        </w:tc>
        <w:tc>
          <w:tcPr>
            <w:tcW w:w="0" w:type="auto"/>
            <w:shd w:val="clear" w:color="auto" w:fill="FFFFFF"/>
            <w:tcMar>
              <w:top w:w="30" w:type="dxa"/>
              <w:left w:w="0" w:type="dxa"/>
              <w:bottom w:w="30" w:type="dxa"/>
              <w:right w:w="20" w:type="dxa"/>
            </w:tcMar>
            <w:vAlign w:val="center"/>
            <w:hideMark/>
          </w:tcPr>
          <w:p w14:paraId="335B1D8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880AC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31316A5" w14:textId="77777777" w:rsidR="00000000" w:rsidRDefault="00405D16">
            <w:pPr>
              <w:spacing w:after="100"/>
              <w:jc w:val="right"/>
              <w:rPr>
                <w:rFonts w:eastAsia="Times New Roman"/>
              </w:rPr>
            </w:pPr>
            <w:r>
              <w:rPr>
                <w:rFonts w:eastAsia="Times New Roman"/>
                <w:color w:val="000000"/>
                <w:sz w:val="18"/>
                <w:szCs w:val="18"/>
              </w:rPr>
              <w:t>(43)</w:t>
            </w:r>
          </w:p>
        </w:tc>
        <w:tc>
          <w:tcPr>
            <w:tcW w:w="0" w:type="auto"/>
            <w:shd w:val="clear" w:color="auto" w:fill="FFFFFF"/>
            <w:tcMar>
              <w:top w:w="30" w:type="dxa"/>
              <w:left w:w="0" w:type="dxa"/>
              <w:bottom w:w="30" w:type="dxa"/>
              <w:right w:w="20" w:type="dxa"/>
            </w:tcMar>
            <w:vAlign w:val="center"/>
            <w:hideMark/>
          </w:tcPr>
          <w:p w14:paraId="0E5865F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4BE2F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A4FC7DF" w14:textId="77777777" w:rsidR="00000000" w:rsidRDefault="00405D16">
            <w:pPr>
              <w:spacing w:after="100"/>
              <w:jc w:val="right"/>
              <w:rPr>
                <w:rFonts w:eastAsia="Times New Roman"/>
              </w:rPr>
            </w:pPr>
            <w:r>
              <w:rPr>
                <w:rFonts w:eastAsia="Times New Roman"/>
                <w:color w:val="000000"/>
                <w:sz w:val="18"/>
                <w:szCs w:val="18"/>
              </w:rPr>
              <w:t>(74)</w:t>
            </w:r>
          </w:p>
        </w:tc>
        <w:tc>
          <w:tcPr>
            <w:tcW w:w="0" w:type="auto"/>
            <w:shd w:val="clear" w:color="auto" w:fill="FFFFFF"/>
            <w:tcMar>
              <w:top w:w="30" w:type="dxa"/>
              <w:left w:w="0" w:type="dxa"/>
              <w:bottom w:w="30" w:type="dxa"/>
              <w:right w:w="20" w:type="dxa"/>
            </w:tcMar>
            <w:vAlign w:val="center"/>
            <w:hideMark/>
          </w:tcPr>
          <w:p w14:paraId="51B3864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32806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F757F08" w14:textId="77777777" w:rsidR="00000000" w:rsidRDefault="00405D16">
            <w:pPr>
              <w:spacing w:after="100"/>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center"/>
            <w:hideMark/>
          </w:tcPr>
          <w:p w14:paraId="599740F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A4A66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9900F90" w14:textId="77777777" w:rsidR="00000000" w:rsidRDefault="00405D16">
            <w:pPr>
              <w:spacing w:after="100"/>
              <w:jc w:val="right"/>
              <w:rPr>
                <w:rFonts w:eastAsia="Times New Roman"/>
              </w:rPr>
            </w:pPr>
            <w:r>
              <w:rPr>
                <w:rFonts w:eastAsia="Times New Roman"/>
                <w:color w:val="000000"/>
                <w:sz w:val="18"/>
                <w:szCs w:val="18"/>
              </w:rPr>
              <w:t>331 </w:t>
            </w:r>
          </w:p>
        </w:tc>
        <w:tc>
          <w:tcPr>
            <w:tcW w:w="0" w:type="auto"/>
            <w:shd w:val="clear" w:color="auto" w:fill="FFFFFF"/>
            <w:tcMar>
              <w:top w:w="30" w:type="dxa"/>
              <w:left w:w="0" w:type="dxa"/>
              <w:bottom w:w="30" w:type="dxa"/>
              <w:right w:w="20" w:type="dxa"/>
            </w:tcMar>
            <w:vAlign w:val="center"/>
            <w:hideMark/>
          </w:tcPr>
          <w:p w14:paraId="66B1DADB" w14:textId="77777777" w:rsidR="00000000" w:rsidRDefault="00405D16">
            <w:pPr>
              <w:spacing w:after="100"/>
              <w:jc w:val="right"/>
              <w:rPr>
                <w:rFonts w:eastAsia="Times New Roman"/>
              </w:rPr>
            </w:pPr>
          </w:p>
        </w:tc>
      </w:tr>
      <w:tr w:rsidR="00000000" w14:paraId="7DCF95D4" w14:textId="77777777">
        <w:trPr>
          <w:divId w:val="1684740637"/>
        </w:trPr>
        <w:tc>
          <w:tcPr>
            <w:tcW w:w="0" w:type="auto"/>
            <w:gridSpan w:val="3"/>
            <w:shd w:val="clear" w:color="auto" w:fill="CCEEFF"/>
            <w:tcMar>
              <w:top w:w="30" w:type="dxa"/>
              <w:left w:w="20" w:type="dxa"/>
              <w:bottom w:w="30" w:type="dxa"/>
              <w:right w:w="20" w:type="dxa"/>
            </w:tcMar>
            <w:vAlign w:val="center"/>
            <w:hideMark/>
          </w:tcPr>
          <w:p w14:paraId="5AB660AE" w14:textId="77777777" w:rsidR="00000000" w:rsidRDefault="00405D16">
            <w:pPr>
              <w:spacing w:after="100"/>
              <w:rPr>
                <w:rFonts w:eastAsia="Times New Roman"/>
              </w:rPr>
            </w:pPr>
            <w:r>
              <w:rPr>
                <w:rFonts w:eastAsia="Times New Roman"/>
                <w:color w:val="000000"/>
                <w:sz w:val="18"/>
                <w:szCs w:val="18"/>
              </w:rPr>
              <w:t>Non-interest expense</w:t>
            </w:r>
          </w:p>
        </w:tc>
        <w:tc>
          <w:tcPr>
            <w:tcW w:w="0" w:type="auto"/>
            <w:gridSpan w:val="3"/>
            <w:shd w:val="clear" w:color="auto" w:fill="CCEEFF"/>
            <w:tcMar>
              <w:top w:w="0" w:type="dxa"/>
              <w:left w:w="20" w:type="dxa"/>
              <w:bottom w:w="0" w:type="dxa"/>
              <w:right w:w="20" w:type="dxa"/>
            </w:tcMar>
            <w:vAlign w:val="center"/>
            <w:hideMark/>
          </w:tcPr>
          <w:p w14:paraId="21A7C855"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CBD258B" w14:textId="77777777" w:rsidR="00000000" w:rsidRDefault="00405D16">
            <w:pPr>
              <w:spacing w:after="100"/>
              <w:jc w:val="right"/>
              <w:rPr>
                <w:rFonts w:eastAsia="Times New Roman"/>
              </w:rPr>
            </w:pPr>
            <w:r>
              <w:rPr>
                <w:rFonts w:eastAsia="Times New Roman"/>
                <w:color w:val="000000"/>
                <w:sz w:val="18"/>
                <w:szCs w:val="18"/>
              </w:rPr>
              <w:t>2,003 </w:t>
            </w:r>
          </w:p>
        </w:tc>
        <w:tc>
          <w:tcPr>
            <w:tcW w:w="0" w:type="auto"/>
            <w:shd w:val="clear" w:color="auto" w:fill="CCEEFF"/>
            <w:tcMar>
              <w:top w:w="30" w:type="dxa"/>
              <w:left w:w="0" w:type="dxa"/>
              <w:bottom w:w="30" w:type="dxa"/>
              <w:right w:w="20" w:type="dxa"/>
            </w:tcMar>
            <w:vAlign w:val="center"/>
            <w:hideMark/>
          </w:tcPr>
          <w:p w14:paraId="3F5615F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95A81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C5DF110" w14:textId="77777777" w:rsidR="00000000" w:rsidRDefault="00405D16">
            <w:pPr>
              <w:spacing w:after="100"/>
              <w:jc w:val="right"/>
              <w:rPr>
                <w:rFonts w:eastAsia="Times New Roman"/>
              </w:rPr>
            </w:pPr>
            <w:r>
              <w:rPr>
                <w:rFonts w:eastAsia="Times New Roman"/>
                <w:color w:val="000000"/>
                <w:sz w:val="18"/>
                <w:szCs w:val="18"/>
              </w:rPr>
              <w:t>1,011 </w:t>
            </w:r>
          </w:p>
        </w:tc>
        <w:tc>
          <w:tcPr>
            <w:tcW w:w="0" w:type="auto"/>
            <w:shd w:val="clear" w:color="auto" w:fill="CCEEFF"/>
            <w:tcMar>
              <w:top w:w="30" w:type="dxa"/>
              <w:left w:w="0" w:type="dxa"/>
              <w:bottom w:w="30" w:type="dxa"/>
              <w:right w:w="20" w:type="dxa"/>
            </w:tcMar>
            <w:vAlign w:val="center"/>
            <w:hideMark/>
          </w:tcPr>
          <w:p w14:paraId="1AF5DEF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7654C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79F7452" w14:textId="77777777" w:rsidR="00000000" w:rsidRDefault="00405D16">
            <w:pPr>
              <w:spacing w:after="100"/>
              <w:jc w:val="right"/>
              <w:rPr>
                <w:rFonts w:eastAsia="Times New Roman"/>
              </w:rPr>
            </w:pPr>
            <w:r>
              <w:rPr>
                <w:rFonts w:eastAsia="Times New Roman"/>
                <w:color w:val="000000"/>
                <w:sz w:val="18"/>
                <w:szCs w:val="18"/>
              </w:rPr>
              <w:t>424 </w:t>
            </w:r>
          </w:p>
        </w:tc>
        <w:tc>
          <w:tcPr>
            <w:tcW w:w="0" w:type="auto"/>
            <w:shd w:val="clear" w:color="auto" w:fill="CCEEFF"/>
            <w:tcMar>
              <w:top w:w="30" w:type="dxa"/>
              <w:left w:w="0" w:type="dxa"/>
              <w:bottom w:w="30" w:type="dxa"/>
              <w:right w:w="20" w:type="dxa"/>
            </w:tcMar>
            <w:vAlign w:val="center"/>
            <w:hideMark/>
          </w:tcPr>
          <w:p w14:paraId="0B3E245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04DA1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72ED4C8" w14:textId="77777777" w:rsidR="00000000" w:rsidRDefault="00405D16">
            <w:pPr>
              <w:spacing w:after="100"/>
              <w:jc w:val="right"/>
              <w:rPr>
                <w:rFonts w:eastAsia="Times New Roman"/>
              </w:rPr>
            </w:pPr>
            <w:r>
              <w:rPr>
                <w:rFonts w:eastAsia="Times New Roman"/>
                <w:color w:val="000000"/>
                <w:sz w:val="18"/>
                <w:szCs w:val="18"/>
              </w:rPr>
              <w:t>110 </w:t>
            </w:r>
          </w:p>
        </w:tc>
        <w:tc>
          <w:tcPr>
            <w:tcW w:w="0" w:type="auto"/>
            <w:shd w:val="clear" w:color="auto" w:fill="CCEEFF"/>
            <w:tcMar>
              <w:top w:w="30" w:type="dxa"/>
              <w:left w:w="0" w:type="dxa"/>
              <w:bottom w:w="30" w:type="dxa"/>
              <w:right w:w="20" w:type="dxa"/>
            </w:tcMar>
            <w:vAlign w:val="center"/>
            <w:hideMark/>
          </w:tcPr>
          <w:p w14:paraId="3AA5DA3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B2515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EE7681F" w14:textId="77777777" w:rsidR="00000000" w:rsidRDefault="00405D16">
            <w:pPr>
              <w:spacing w:after="100"/>
              <w:jc w:val="right"/>
              <w:rPr>
                <w:rFonts w:eastAsia="Times New Roman"/>
              </w:rPr>
            </w:pPr>
            <w:r>
              <w:rPr>
                <w:rFonts w:eastAsia="Times New Roman"/>
                <w:color w:val="000000"/>
                <w:sz w:val="18"/>
                <w:szCs w:val="18"/>
              </w:rPr>
              <w:t>3,548 </w:t>
            </w:r>
          </w:p>
        </w:tc>
        <w:tc>
          <w:tcPr>
            <w:tcW w:w="0" w:type="auto"/>
            <w:shd w:val="clear" w:color="auto" w:fill="CCEEFF"/>
            <w:tcMar>
              <w:top w:w="30" w:type="dxa"/>
              <w:left w:w="0" w:type="dxa"/>
              <w:bottom w:w="30" w:type="dxa"/>
              <w:right w:w="20" w:type="dxa"/>
            </w:tcMar>
            <w:vAlign w:val="center"/>
            <w:hideMark/>
          </w:tcPr>
          <w:p w14:paraId="6E924E37" w14:textId="77777777" w:rsidR="00000000" w:rsidRDefault="00405D16">
            <w:pPr>
              <w:spacing w:after="100"/>
              <w:jc w:val="right"/>
              <w:rPr>
                <w:rFonts w:eastAsia="Times New Roman"/>
              </w:rPr>
            </w:pPr>
          </w:p>
        </w:tc>
      </w:tr>
      <w:tr w:rsidR="00000000" w14:paraId="20B7B4AE" w14:textId="77777777">
        <w:trPr>
          <w:divId w:val="1684740637"/>
        </w:trPr>
        <w:tc>
          <w:tcPr>
            <w:tcW w:w="0" w:type="auto"/>
            <w:gridSpan w:val="3"/>
            <w:shd w:val="clear" w:color="auto" w:fill="FFFFFF"/>
            <w:tcMar>
              <w:top w:w="30" w:type="dxa"/>
              <w:left w:w="20" w:type="dxa"/>
              <w:bottom w:w="30" w:type="dxa"/>
              <w:right w:w="20" w:type="dxa"/>
            </w:tcMar>
            <w:vAlign w:val="center"/>
            <w:hideMark/>
          </w:tcPr>
          <w:p w14:paraId="1FB3DDFA" w14:textId="77777777" w:rsidR="00000000" w:rsidRDefault="00405D16">
            <w:pPr>
              <w:spacing w:after="100"/>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FFFFFF"/>
            <w:tcMar>
              <w:top w:w="0" w:type="dxa"/>
              <w:left w:w="20" w:type="dxa"/>
              <w:bottom w:w="0" w:type="dxa"/>
              <w:right w:w="20" w:type="dxa"/>
            </w:tcMar>
            <w:vAlign w:val="center"/>
            <w:hideMark/>
          </w:tcPr>
          <w:p w14:paraId="52579251"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49506BF" w14:textId="77777777" w:rsidR="00000000" w:rsidRDefault="00405D16">
            <w:pPr>
              <w:spacing w:after="100"/>
              <w:jc w:val="right"/>
              <w:rPr>
                <w:rFonts w:eastAsia="Times New Roman"/>
              </w:rPr>
            </w:pPr>
            <w:r>
              <w:rPr>
                <w:rFonts w:eastAsia="Times New Roman"/>
                <w:color w:val="000000"/>
                <w:sz w:val="18"/>
                <w:szCs w:val="18"/>
              </w:rPr>
              <w:t>1,852 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4306E4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039008"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0B94E82" w14:textId="77777777" w:rsidR="00000000" w:rsidRDefault="00405D16">
            <w:pPr>
              <w:spacing w:after="100"/>
              <w:jc w:val="right"/>
              <w:rPr>
                <w:rFonts w:eastAsia="Times New Roman"/>
              </w:rPr>
            </w:pPr>
            <w:r>
              <w:rPr>
                <w:rFonts w:eastAsia="Times New Roman"/>
                <w:color w:val="000000"/>
                <w:sz w:val="18"/>
                <w:szCs w:val="18"/>
              </w:rPr>
              <w:t>1,043 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005B5A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15CA9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D0ABCCE" w14:textId="77777777" w:rsidR="00000000" w:rsidRDefault="00405D16">
            <w:pPr>
              <w:spacing w:after="100"/>
              <w:jc w:val="right"/>
              <w:rPr>
                <w:rFonts w:eastAsia="Times New Roman"/>
              </w:rPr>
            </w:pPr>
            <w:r>
              <w:rPr>
                <w:rFonts w:eastAsia="Times New Roman"/>
                <w:color w:val="000000"/>
                <w:sz w:val="18"/>
                <w:szCs w:val="18"/>
              </w:rPr>
              <w:t>404 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FFA078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FF6D9B"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31CA98D" w14:textId="77777777" w:rsidR="00000000" w:rsidRDefault="00405D16">
            <w:pPr>
              <w:spacing w:after="100"/>
              <w:jc w:val="right"/>
              <w:rPr>
                <w:rFonts w:eastAsia="Times New Roman"/>
              </w:rPr>
            </w:pPr>
            <w:r>
              <w:rPr>
                <w:rFonts w:eastAsia="Times New Roman"/>
                <w:color w:val="000000"/>
                <w:sz w:val="18"/>
                <w:szCs w:val="18"/>
              </w:rPr>
              <w:t>203 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DA162B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53B2F6"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D05439C" w14:textId="77777777" w:rsidR="00000000" w:rsidRDefault="00405D16">
            <w:pPr>
              <w:spacing w:after="100"/>
              <w:jc w:val="right"/>
              <w:rPr>
                <w:rFonts w:eastAsia="Times New Roman"/>
              </w:rPr>
            </w:pPr>
            <w:r>
              <w:rPr>
                <w:rFonts w:eastAsia="Times New Roman"/>
                <w:color w:val="000000"/>
                <w:sz w:val="18"/>
                <w:szCs w:val="18"/>
              </w:rPr>
              <w:t>3,502 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DFF9304" w14:textId="77777777" w:rsidR="00000000" w:rsidRDefault="00405D16">
            <w:pPr>
              <w:spacing w:after="100"/>
              <w:jc w:val="right"/>
              <w:rPr>
                <w:rFonts w:eastAsia="Times New Roman"/>
              </w:rPr>
            </w:pPr>
          </w:p>
        </w:tc>
      </w:tr>
      <w:tr w:rsidR="00000000" w14:paraId="3141E966" w14:textId="77777777">
        <w:trPr>
          <w:divId w:val="1684740637"/>
        </w:trPr>
        <w:tc>
          <w:tcPr>
            <w:tcW w:w="0" w:type="auto"/>
            <w:gridSpan w:val="3"/>
            <w:shd w:val="clear" w:color="auto" w:fill="CCEEFF"/>
            <w:tcMar>
              <w:top w:w="30" w:type="dxa"/>
              <w:left w:w="20" w:type="dxa"/>
              <w:bottom w:w="30" w:type="dxa"/>
              <w:right w:w="20" w:type="dxa"/>
            </w:tcMar>
            <w:vAlign w:val="center"/>
            <w:hideMark/>
          </w:tcPr>
          <w:p w14:paraId="429B41D7" w14:textId="77777777" w:rsidR="00000000" w:rsidRDefault="00405D16">
            <w:pPr>
              <w:spacing w:after="100"/>
              <w:rPr>
                <w:rFonts w:eastAsia="Times New Roman"/>
              </w:rPr>
            </w:pPr>
            <w:r>
              <w:rPr>
                <w:rFonts w:eastAsia="Times New Roman"/>
                <w:color w:val="000000"/>
                <w:sz w:val="18"/>
                <w:szCs w:val="18"/>
              </w:rPr>
              <w:t>Income tax provision</w:t>
            </w:r>
          </w:p>
        </w:tc>
        <w:tc>
          <w:tcPr>
            <w:tcW w:w="0" w:type="auto"/>
            <w:gridSpan w:val="3"/>
            <w:shd w:val="clear" w:color="auto" w:fill="CCEEFF"/>
            <w:tcMar>
              <w:top w:w="0" w:type="dxa"/>
              <w:left w:w="20" w:type="dxa"/>
              <w:bottom w:w="0" w:type="dxa"/>
              <w:right w:w="20" w:type="dxa"/>
            </w:tcMar>
            <w:vAlign w:val="center"/>
            <w:hideMark/>
          </w:tcPr>
          <w:p w14:paraId="5939ABA5"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47AD147" w14:textId="77777777" w:rsidR="00000000" w:rsidRDefault="00405D16">
            <w:pPr>
              <w:spacing w:after="100"/>
              <w:jc w:val="right"/>
              <w:rPr>
                <w:rFonts w:eastAsia="Times New Roman"/>
              </w:rPr>
            </w:pPr>
            <w:r>
              <w:rPr>
                <w:rFonts w:eastAsia="Times New Roman"/>
                <w:color w:val="000000"/>
                <w:sz w:val="18"/>
                <w:szCs w:val="18"/>
              </w:rPr>
              <w:t>438 </w:t>
            </w:r>
          </w:p>
        </w:tc>
        <w:tc>
          <w:tcPr>
            <w:tcW w:w="0" w:type="auto"/>
            <w:shd w:val="clear" w:color="auto" w:fill="CCEEFF"/>
            <w:tcMar>
              <w:top w:w="30" w:type="dxa"/>
              <w:left w:w="0" w:type="dxa"/>
              <w:bottom w:w="30" w:type="dxa"/>
              <w:right w:w="20" w:type="dxa"/>
            </w:tcMar>
            <w:vAlign w:val="center"/>
            <w:hideMark/>
          </w:tcPr>
          <w:p w14:paraId="46BB5FB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52ED68"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16A7C09" w14:textId="77777777" w:rsidR="00000000" w:rsidRDefault="00405D16">
            <w:pPr>
              <w:spacing w:after="100"/>
              <w:jc w:val="right"/>
              <w:rPr>
                <w:rFonts w:eastAsia="Times New Roman"/>
              </w:rPr>
            </w:pPr>
            <w:r>
              <w:rPr>
                <w:rFonts w:eastAsia="Times New Roman"/>
                <w:color w:val="000000"/>
                <w:sz w:val="18"/>
                <w:szCs w:val="18"/>
              </w:rPr>
              <w:t>247 </w:t>
            </w:r>
          </w:p>
        </w:tc>
        <w:tc>
          <w:tcPr>
            <w:tcW w:w="0" w:type="auto"/>
            <w:shd w:val="clear" w:color="auto" w:fill="CCEEFF"/>
            <w:tcMar>
              <w:top w:w="30" w:type="dxa"/>
              <w:left w:w="0" w:type="dxa"/>
              <w:bottom w:w="30" w:type="dxa"/>
              <w:right w:w="20" w:type="dxa"/>
            </w:tcMar>
            <w:vAlign w:val="center"/>
            <w:hideMark/>
          </w:tcPr>
          <w:p w14:paraId="3D25232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C2B71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CF67CA4" w14:textId="77777777" w:rsidR="00000000" w:rsidRDefault="00405D16">
            <w:pPr>
              <w:spacing w:after="100"/>
              <w:jc w:val="right"/>
              <w:rPr>
                <w:rFonts w:eastAsia="Times New Roman"/>
              </w:rPr>
            </w:pPr>
            <w:r>
              <w:rPr>
                <w:rFonts w:eastAsia="Times New Roman"/>
                <w:color w:val="000000"/>
                <w:sz w:val="18"/>
                <w:szCs w:val="18"/>
              </w:rPr>
              <w:t>95 </w:t>
            </w:r>
          </w:p>
        </w:tc>
        <w:tc>
          <w:tcPr>
            <w:tcW w:w="0" w:type="auto"/>
            <w:shd w:val="clear" w:color="auto" w:fill="CCEEFF"/>
            <w:tcMar>
              <w:top w:w="30" w:type="dxa"/>
              <w:left w:w="0" w:type="dxa"/>
              <w:bottom w:w="30" w:type="dxa"/>
              <w:right w:w="20" w:type="dxa"/>
            </w:tcMar>
            <w:vAlign w:val="center"/>
            <w:hideMark/>
          </w:tcPr>
          <w:p w14:paraId="27187B8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474BE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73875D3" w14:textId="77777777" w:rsidR="00000000" w:rsidRDefault="00405D16">
            <w:pPr>
              <w:spacing w:after="100"/>
              <w:jc w:val="right"/>
              <w:rPr>
                <w:rFonts w:eastAsia="Times New Roman"/>
              </w:rPr>
            </w:pPr>
            <w:r>
              <w:rPr>
                <w:rFonts w:eastAsia="Times New Roman"/>
                <w:color w:val="000000"/>
                <w:sz w:val="18"/>
                <w:szCs w:val="18"/>
              </w:rPr>
              <w:t>316 </w:t>
            </w:r>
          </w:p>
        </w:tc>
        <w:tc>
          <w:tcPr>
            <w:tcW w:w="0" w:type="auto"/>
            <w:shd w:val="clear" w:color="auto" w:fill="CCEEFF"/>
            <w:tcMar>
              <w:top w:w="30" w:type="dxa"/>
              <w:left w:w="0" w:type="dxa"/>
              <w:bottom w:w="30" w:type="dxa"/>
              <w:right w:w="20" w:type="dxa"/>
            </w:tcMar>
            <w:vAlign w:val="center"/>
            <w:hideMark/>
          </w:tcPr>
          <w:p w14:paraId="2C0CF87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A3EA42"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35EAC56" w14:textId="77777777" w:rsidR="00000000" w:rsidRDefault="00405D16">
            <w:pPr>
              <w:spacing w:after="100"/>
              <w:jc w:val="right"/>
              <w:rPr>
                <w:rFonts w:eastAsia="Times New Roman"/>
              </w:rPr>
            </w:pPr>
            <w:r>
              <w:rPr>
                <w:rFonts w:eastAsia="Times New Roman"/>
                <w:color w:val="000000"/>
                <w:sz w:val="18"/>
                <w:szCs w:val="18"/>
              </w:rPr>
              <w:t>1,096 </w:t>
            </w:r>
          </w:p>
        </w:tc>
        <w:tc>
          <w:tcPr>
            <w:tcW w:w="0" w:type="auto"/>
            <w:shd w:val="clear" w:color="auto" w:fill="CCEEFF"/>
            <w:tcMar>
              <w:top w:w="30" w:type="dxa"/>
              <w:left w:w="0" w:type="dxa"/>
              <w:bottom w:w="30" w:type="dxa"/>
              <w:right w:w="20" w:type="dxa"/>
            </w:tcMar>
            <w:vAlign w:val="center"/>
            <w:hideMark/>
          </w:tcPr>
          <w:p w14:paraId="32062839" w14:textId="77777777" w:rsidR="00000000" w:rsidRDefault="00405D16">
            <w:pPr>
              <w:spacing w:after="100"/>
              <w:jc w:val="right"/>
              <w:rPr>
                <w:rFonts w:eastAsia="Times New Roman"/>
              </w:rPr>
            </w:pPr>
          </w:p>
        </w:tc>
      </w:tr>
      <w:tr w:rsidR="00000000" w14:paraId="42034C25" w14:textId="77777777">
        <w:trPr>
          <w:divId w:val="1684740637"/>
        </w:trPr>
        <w:tc>
          <w:tcPr>
            <w:tcW w:w="0" w:type="auto"/>
            <w:gridSpan w:val="3"/>
            <w:shd w:val="clear" w:color="auto" w:fill="FFFFFF"/>
            <w:tcMar>
              <w:top w:w="30" w:type="dxa"/>
              <w:left w:w="20" w:type="dxa"/>
              <w:bottom w:w="30" w:type="dxa"/>
              <w:right w:w="20" w:type="dxa"/>
            </w:tcMar>
            <w:vAlign w:val="center"/>
            <w:hideMark/>
          </w:tcPr>
          <w:p w14:paraId="48A3CDF6" w14:textId="77777777" w:rsidR="00000000" w:rsidRDefault="00405D16">
            <w:pPr>
              <w:spacing w:after="100"/>
              <w:rPr>
                <w:rFonts w:eastAsia="Times New Roman"/>
              </w:rPr>
            </w:pPr>
            <w:r>
              <w:rPr>
                <w:rFonts w:eastAsia="Times New Roman"/>
                <w:color w:val="000000"/>
                <w:sz w:val="18"/>
                <w:szCs w:val="18"/>
              </w:rPr>
              <w:t>Income (loss) from continuing operations, net of tax</w:t>
            </w:r>
          </w:p>
        </w:tc>
        <w:tc>
          <w:tcPr>
            <w:tcW w:w="0" w:type="auto"/>
            <w:gridSpan w:val="3"/>
            <w:shd w:val="clear" w:color="auto" w:fill="FFFFFF"/>
            <w:tcMar>
              <w:top w:w="0" w:type="dxa"/>
              <w:left w:w="20" w:type="dxa"/>
              <w:bottom w:w="0" w:type="dxa"/>
              <w:right w:w="20" w:type="dxa"/>
            </w:tcMar>
            <w:vAlign w:val="center"/>
            <w:hideMark/>
          </w:tcPr>
          <w:p w14:paraId="4F214363" w14:textId="77777777" w:rsidR="00000000" w:rsidRDefault="00405D16">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4A2311D1"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3E6F6B7F" w14:textId="77777777" w:rsidR="00000000" w:rsidRDefault="00405D16">
            <w:pPr>
              <w:spacing w:after="100"/>
              <w:jc w:val="right"/>
              <w:rPr>
                <w:rFonts w:eastAsia="Times New Roman"/>
              </w:rPr>
            </w:pPr>
            <w:r>
              <w:rPr>
                <w:rFonts w:eastAsia="Times New Roman"/>
                <w:color w:val="000000"/>
                <w:sz w:val="18"/>
                <w:szCs w:val="18"/>
              </w:rPr>
              <w:t>1,414 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37BC88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C95B6E"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1DC56A1F"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3984F4F7" w14:textId="77777777" w:rsidR="00000000" w:rsidRDefault="00405D16">
            <w:pPr>
              <w:spacing w:after="100"/>
              <w:jc w:val="right"/>
              <w:rPr>
                <w:rFonts w:eastAsia="Times New Roman"/>
              </w:rPr>
            </w:pPr>
            <w:r>
              <w:rPr>
                <w:rFonts w:eastAsia="Times New Roman"/>
                <w:color w:val="000000"/>
                <w:sz w:val="18"/>
                <w:szCs w:val="18"/>
              </w:rPr>
              <w:t>796 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CB6691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E99A00"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68C5D042"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07D36127" w14:textId="77777777" w:rsidR="00000000" w:rsidRDefault="00405D16">
            <w:pPr>
              <w:spacing w:after="100"/>
              <w:jc w:val="right"/>
              <w:rPr>
                <w:rFonts w:eastAsia="Times New Roman"/>
              </w:rPr>
            </w:pPr>
            <w:r>
              <w:rPr>
                <w:rFonts w:eastAsia="Times New Roman"/>
                <w:color w:val="000000"/>
                <w:sz w:val="18"/>
                <w:szCs w:val="18"/>
              </w:rPr>
              <w:t>309 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342BB3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15AAC3"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5444DCFF"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70DEFA86" w14:textId="77777777" w:rsidR="00000000" w:rsidRDefault="00405D16">
            <w:pPr>
              <w:spacing w:after="100"/>
              <w:jc w:val="right"/>
              <w:rPr>
                <w:rFonts w:eastAsia="Times New Roman"/>
              </w:rPr>
            </w:pPr>
            <w:r>
              <w:rPr>
                <w:rFonts w:eastAsia="Times New Roman"/>
                <w:color w:val="000000"/>
                <w:sz w:val="18"/>
                <w:szCs w:val="18"/>
              </w:rPr>
              <w:t>(113)</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53DE95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2E1982"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3A9554B6"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0DDFA4B5" w14:textId="77777777" w:rsidR="00000000" w:rsidRDefault="00405D16">
            <w:pPr>
              <w:spacing w:after="100"/>
              <w:jc w:val="right"/>
              <w:rPr>
                <w:rFonts w:eastAsia="Times New Roman"/>
              </w:rPr>
            </w:pPr>
            <w:r>
              <w:rPr>
                <w:rFonts w:eastAsia="Times New Roman"/>
                <w:color w:val="000000"/>
                <w:sz w:val="18"/>
                <w:szCs w:val="18"/>
              </w:rPr>
              <w:t>2,406 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7BE7E62" w14:textId="77777777" w:rsidR="00000000" w:rsidRDefault="00405D16">
            <w:pPr>
              <w:spacing w:after="100"/>
              <w:jc w:val="right"/>
              <w:rPr>
                <w:rFonts w:eastAsia="Times New Roman"/>
              </w:rPr>
            </w:pPr>
          </w:p>
        </w:tc>
      </w:tr>
      <w:tr w:rsidR="00000000" w14:paraId="578B9895" w14:textId="77777777">
        <w:trPr>
          <w:divId w:val="1684740637"/>
        </w:trPr>
        <w:tc>
          <w:tcPr>
            <w:tcW w:w="0" w:type="auto"/>
            <w:gridSpan w:val="3"/>
            <w:shd w:val="clear" w:color="auto" w:fill="CCEEFF"/>
            <w:tcMar>
              <w:top w:w="30" w:type="dxa"/>
              <w:left w:w="20" w:type="dxa"/>
              <w:bottom w:w="30" w:type="dxa"/>
              <w:right w:w="20" w:type="dxa"/>
            </w:tcMar>
            <w:vAlign w:val="center"/>
            <w:hideMark/>
          </w:tcPr>
          <w:p w14:paraId="138CF96A" w14:textId="77777777" w:rsidR="00000000" w:rsidRDefault="00405D16">
            <w:pPr>
              <w:spacing w:after="100"/>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14:paraId="22492669" w14:textId="77777777" w:rsidR="00000000" w:rsidRDefault="00405D16">
            <w:pPr>
              <w:spacing w:after="100"/>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6B5347E2"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74F99CB7" w14:textId="77777777" w:rsidR="00000000" w:rsidRDefault="00405D16">
            <w:pPr>
              <w:spacing w:after="100"/>
              <w:jc w:val="right"/>
              <w:rPr>
                <w:rFonts w:eastAsia="Times New Roman"/>
              </w:rPr>
            </w:pPr>
            <w:r>
              <w:rPr>
                <w:rFonts w:eastAsia="Times New Roman"/>
                <w:color w:val="000000"/>
                <w:sz w:val="18"/>
                <w:szCs w:val="18"/>
              </w:rPr>
              <w:t>103,641 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26FDFCD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D8736D" w14:textId="77777777" w:rsidR="00000000" w:rsidRDefault="00405D16">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22D121D3"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4C0B4DA1" w14:textId="77777777" w:rsidR="00000000" w:rsidRDefault="00405D16">
            <w:pPr>
              <w:spacing w:after="100"/>
              <w:jc w:val="right"/>
              <w:rPr>
                <w:rFonts w:eastAsia="Times New Roman"/>
              </w:rPr>
            </w:pPr>
            <w:r>
              <w:rPr>
                <w:rFonts w:eastAsia="Times New Roman"/>
                <w:color w:val="000000"/>
                <w:sz w:val="18"/>
                <w:szCs w:val="18"/>
              </w:rPr>
              <w:t>68,688 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68ADF93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3FC4F8" w14:textId="77777777" w:rsidR="00000000" w:rsidRDefault="00405D16">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2A744B31"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4A755C42" w14:textId="77777777" w:rsidR="00000000" w:rsidRDefault="00405D16">
            <w:pPr>
              <w:spacing w:after="100"/>
              <w:jc w:val="right"/>
              <w:rPr>
                <w:rFonts w:eastAsia="Times New Roman"/>
              </w:rPr>
            </w:pPr>
            <w:r>
              <w:rPr>
                <w:rFonts w:eastAsia="Times New Roman"/>
                <w:color w:val="000000"/>
                <w:sz w:val="18"/>
                <w:szCs w:val="18"/>
              </w:rPr>
              <w:t>75,894 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1361386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BE8F62" w14:textId="77777777" w:rsidR="00000000" w:rsidRDefault="00405D16">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108F57A7"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66226C38" w14:textId="77777777" w:rsidR="00000000" w:rsidRDefault="00405D16">
            <w:pPr>
              <w:spacing w:after="100"/>
              <w:jc w:val="right"/>
              <w:rPr>
                <w:rFonts w:eastAsia="Times New Roman"/>
              </w:rPr>
            </w:pPr>
            <w:r>
              <w:rPr>
                <w:rFonts w:eastAsia="Times New Roman"/>
                <w:color w:val="000000"/>
                <w:sz w:val="18"/>
                <w:szCs w:val="18"/>
              </w:rPr>
              <w:t>0 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519E964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F81E40" w14:textId="77777777" w:rsidR="00000000" w:rsidRDefault="00405D16">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08AD4BC7"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7B40D28D" w14:textId="77777777" w:rsidR="00000000" w:rsidRDefault="00405D16">
            <w:pPr>
              <w:spacing w:after="100"/>
              <w:jc w:val="right"/>
              <w:rPr>
                <w:rFonts w:eastAsia="Times New Roman"/>
              </w:rPr>
            </w:pPr>
            <w:r>
              <w:rPr>
                <w:rFonts w:eastAsia="Times New Roman"/>
                <w:color w:val="000000"/>
                <w:sz w:val="18"/>
                <w:szCs w:val="18"/>
              </w:rPr>
              <w:t>248,223 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00DA7372" w14:textId="77777777" w:rsidR="00000000" w:rsidRDefault="00405D16">
            <w:pPr>
              <w:spacing w:after="100"/>
              <w:jc w:val="right"/>
              <w:rPr>
                <w:rFonts w:eastAsia="Times New Roman"/>
              </w:rPr>
            </w:pPr>
          </w:p>
        </w:tc>
      </w:tr>
      <w:tr w:rsidR="00000000" w14:paraId="475B149A" w14:textId="77777777">
        <w:trPr>
          <w:divId w:val="1684740637"/>
        </w:trPr>
        <w:tc>
          <w:tcPr>
            <w:tcW w:w="0" w:type="auto"/>
            <w:gridSpan w:val="3"/>
            <w:shd w:val="clear" w:color="auto" w:fill="FFFFFF"/>
            <w:tcMar>
              <w:top w:w="30" w:type="dxa"/>
              <w:left w:w="20" w:type="dxa"/>
              <w:bottom w:w="30" w:type="dxa"/>
              <w:right w:w="20" w:type="dxa"/>
            </w:tcMar>
            <w:vAlign w:val="center"/>
            <w:hideMark/>
          </w:tcPr>
          <w:p w14:paraId="21696080" w14:textId="77777777" w:rsidR="00000000" w:rsidRDefault="00405D16">
            <w:pPr>
              <w:spacing w:after="100"/>
              <w:rPr>
                <w:rFonts w:eastAsia="Times New Roman"/>
              </w:rPr>
            </w:pPr>
            <w:r>
              <w:rPr>
                <w:rFonts w:eastAsia="Times New Roman"/>
                <w:color w:val="000000"/>
                <w:sz w:val="18"/>
                <w:szCs w:val="18"/>
              </w:rPr>
              <w:t>Deposits</w:t>
            </w:r>
          </w:p>
        </w:tc>
        <w:tc>
          <w:tcPr>
            <w:tcW w:w="0" w:type="auto"/>
            <w:gridSpan w:val="3"/>
            <w:shd w:val="clear" w:color="auto" w:fill="FFFFFF"/>
            <w:tcMar>
              <w:top w:w="0" w:type="dxa"/>
              <w:left w:w="20" w:type="dxa"/>
              <w:bottom w:w="0" w:type="dxa"/>
              <w:right w:w="20" w:type="dxa"/>
            </w:tcMar>
            <w:vAlign w:val="center"/>
            <w:hideMark/>
          </w:tcPr>
          <w:p w14:paraId="62A7E1AB"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D894EC9"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77A063E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25DB4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A591EF6" w14:textId="77777777" w:rsidR="00000000" w:rsidRDefault="00405D16">
            <w:pPr>
              <w:spacing w:after="100"/>
              <w:jc w:val="right"/>
              <w:rPr>
                <w:rFonts w:eastAsia="Times New Roman"/>
              </w:rPr>
            </w:pPr>
            <w:r>
              <w:rPr>
                <w:rFonts w:eastAsia="Times New Roman"/>
                <w:color w:val="000000"/>
                <w:sz w:val="18"/>
                <w:szCs w:val="18"/>
              </w:rPr>
              <w:t>249,684 </w:t>
            </w:r>
          </w:p>
        </w:tc>
        <w:tc>
          <w:tcPr>
            <w:tcW w:w="0" w:type="auto"/>
            <w:shd w:val="clear" w:color="auto" w:fill="FFFFFF"/>
            <w:tcMar>
              <w:top w:w="30" w:type="dxa"/>
              <w:left w:w="0" w:type="dxa"/>
              <w:bottom w:w="30" w:type="dxa"/>
              <w:right w:w="20" w:type="dxa"/>
            </w:tcMar>
            <w:vAlign w:val="center"/>
            <w:hideMark/>
          </w:tcPr>
          <w:p w14:paraId="58058EB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4204E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7C24797" w14:textId="77777777" w:rsidR="00000000" w:rsidRDefault="00405D16">
            <w:pPr>
              <w:spacing w:after="100"/>
              <w:jc w:val="right"/>
              <w:rPr>
                <w:rFonts w:eastAsia="Times New Roman"/>
              </w:rPr>
            </w:pPr>
            <w:r>
              <w:rPr>
                <w:rFonts w:eastAsia="Times New Roman"/>
                <w:color w:val="000000"/>
                <w:sz w:val="18"/>
                <w:szCs w:val="18"/>
              </w:rPr>
              <w:t>36,783 </w:t>
            </w:r>
          </w:p>
        </w:tc>
        <w:tc>
          <w:tcPr>
            <w:tcW w:w="0" w:type="auto"/>
            <w:shd w:val="clear" w:color="auto" w:fill="FFFFFF"/>
            <w:tcMar>
              <w:top w:w="30" w:type="dxa"/>
              <w:left w:w="0" w:type="dxa"/>
              <w:bottom w:w="30" w:type="dxa"/>
              <w:right w:w="20" w:type="dxa"/>
            </w:tcMar>
            <w:vAlign w:val="center"/>
            <w:hideMark/>
          </w:tcPr>
          <w:p w14:paraId="03413E8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079BB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3EEFA22" w14:textId="77777777" w:rsidR="00000000" w:rsidRDefault="00405D16">
            <w:pPr>
              <w:spacing w:after="100"/>
              <w:jc w:val="right"/>
              <w:rPr>
                <w:rFonts w:eastAsia="Times New Roman"/>
              </w:rPr>
            </w:pPr>
            <w:r>
              <w:rPr>
                <w:rFonts w:eastAsia="Times New Roman"/>
                <w:color w:val="000000"/>
                <w:sz w:val="18"/>
                <w:szCs w:val="18"/>
              </w:rPr>
              <w:t>19,258 </w:t>
            </w:r>
          </w:p>
        </w:tc>
        <w:tc>
          <w:tcPr>
            <w:tcW w:w="0" w:type="auto"/>
            <w:shd w:val="clear" w:color="auto" w:fill="FFFFFF"/>
            <w:tcMar>
              <w:top w:w="30" w:type="dxa"/>
              <w:left w:w="0" w:type="dxa"/>
              <w:bottom w:w="30" w:type="dxa"/>
              <w:right w:w="20" w:type="dxa"/>
            </w:tcMar>
            <w:vAlign w:val="center"/>
            <w:hideMark/>
          </w:tcPr>
          <w:p w14:paraId="71FEAB9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0A87E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90C185B" w14:textId="77777777" w:rsidR="00000000" w:rsidRDefault="00405D16">
            <w:pPr>
              <w:spacing w:after="100"/>
              <w:jc w:val="right"/>
              <w:rPr>
                <w:rFonts w:eastAsia="Times New Roman"/>
              </w:rPr>
            </w:pPr>
            <w:r>
              <w:rPr>
                <w:rFonts w:eastAsia="Times New Roman"/>
                <w:color w:val="000000"/>
                <w:sz w:val="18"/>
                <w:szCs w:val="18"/>
              </w:rPr>
              <w:t>305,725 </w:t>
            </w:r>
          </w:p>
        </w:tc>
        <w:tc>
          <w:tcPr>
            <w:tcW w:w="0" w:type="auto"/>
            <w:shd w:val="clear" w:color="auto" w:fill="FFFFFF"/>
            <w:tcMar>
              <w:top w:w="30" w:type="dxa"/>
              <w:left w:w="0" w:type="dxa"/>
              <w:bottom w:w="30" w:type="dxa"/>
              <w:right w:w="20" w:type="dxa"/>
            </w:tcMar>
            <w:vAlign w:val="center"/>
            <w:hideMark/>
          </w:tcPr>
          <w:p w14:paraId="600F55CA" w14:textId="77777777" w:rsidR="00000000" w:rsidRDefault="00405D16">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09930F0A" w14:textId="77777777">
        <w:trPr>
          <w:jc w:val="center"/>
        </w:trPr>
        <w:tc>
          <w:tcPr>
            <w:tcW w:w="50" w:type="pct"/>
            <w:vAlign w:val="center"/>
            <w:hideMark/>
          </w:tcPr>
          <w:p w14:paraId="0C323935" w14:textId="77777777" w:rsidR="00000000" w:rsidRDefault="00405D16">
            <w:pPr>
              <w:jc w:val="both"/>
              <w:rPr>
                <w:rFonts w:eastAsia="Times New Roman"/>
              </w:rPr>
            </w:pPr>
          </w:p>
        </w:tc>
        <w:tc>
          <w:tcPr>
            <w:tcW w:w="1606" w:type="pct"/>
            <w:vAlign w:val="center"/>
            <w:hideMark/>
          </w:tcPr>
          <w:p w14:paraId="7DC950E2" w14:textId="77777777" w:rsidR="00000000" w:rsidRDefault="00405D16">
            <w:pPr>
              <w:spacing w:after="100"/>
              <w:rPr>
                <w:rFonts w:eastAsia="Times New Roman"/>
                <w:sz w:val="20"/>
                <w:szCs w:val="20"/>
              </w:rPr>
            </w:pPr>
          </w:p>
        </w:tc>
        <w:tc>
          <w:tcPr>
            <w:tcW w:w="5" w:type="pct"/>
            <w:vAlign w:val="center"/>
            <w:hideMark/>
          </w:tcPr>
          <w:p w14:paraId="2F30FBDE" w14:textId="77777777" w:rsidR="00000000" w:rsidRDefault="00405D16">
            <w:pPr>
              <w:spacing w:after="100"/>
              <w:rPr>
                <w:rFonts w:eastAsia="Times New Roman"/>
                <w:sz w:val="20"/>
                <w:szCs w:val="20"/>
              </w:rPr>
            </w:pPr>
          </w:p>
        </w:tc>
        <w:tc>
          <w:tcPr>
            <w:tcW w:w="50" w:type="pct"/>
            <w:vAlign w:val="center"/>
            <w:hideMark/>
          </w:tcPr>
          <w:p w14:paraId="053B409B" w14:textId="77777777" w:rsidR="00000000" w:rsidRDefault="00405D16">
            <w:pPr>
              <w:spacing w:after="100"/>
              <w:rPr>
                <w:rFonts w:eastAsia="Times New Roman"/>
                <w:sz w:val="20"/>
                <w:szCs w:val="20"/>
              </w:rPr>
            </w:pPr>
          </w:p>
        </w:tc>
        <w:tc>
          <w:tcPr>
            <w:tcW w:w="1614" w:type="pct"/>
            <w:vAlign w:val="center"/>
            <w:hideMark/>
          </w:tcPr>
          <w:p w14:paraId="4D2A1C53" w14:textId="77777777" w:rsidR="00000000" w:rsidRDefault="00405D16">
            <w:pPr>
              <w:spacing w:after="100"/>
              <w:rPr>
                <w:rFonts w:eastAsia="Times New Roman"/>
                <w:sz w:val="20"/>
                <w:szCs w:val="20"/>
              </w:rPr>
            </w:pPr>
          </w:p>
        </w:tc>
        <w:tc>
          <w:tcPr>
            <w:tcW w:w="5" w:type="pct"/>
            <w:vAlign w:val="center"/>
            <w:hideMark/>
          </w:tcPr>
          <w:p w14:paraId="638D87D3" w14:textId="77777777" w:rsidR="00000000" w:rsidRDefault="00405D16">
            <w:pPr>
              <w:spacing w:after="100"/>
              <w:rPr>
                <w:rFonts w:eastAsia="Times New Roman"/>
                <w:sz w:val="20"/>
                <w:szCs w:val="20"/>
              </w:rPr>
            </w:pPr>
          </w:p>
        </w:tc>
        <w:tc>
          <w:tcPr>
            <w:tcW w:w="50" w:type="pct"/>
            <w:vAlign w:val="center"/>
            <w:hideMark/>
          </w:tcPr>
          <w:p w14:paraId="47A0842A" w14:textId="77777777" w:rsidR="00000000" w:rsidRDefault="00405D16">
            <w:pPr>
              <w:spacing w:after="100"/>
              <w:rPr>
                <w:rFonts w:eastAsia="Times New Roman"/>
                <w:sz w:val="20"/>
                <w:szCs w:val="20"/>
              </w:rPr>
            </w:pPr>
          </w:p>
        </w:tc>
        <w:tc>
          <w:tcPr>
            <w:tcW w:w="1614" w:type="pct"/>
            <w:vAlign w:val="center"/>
            <w:hideMark/>
          </w:tcPr>
          <w:p w14:paraId="73FB2947" w14:textId="77777777" w:rsidR="00000000" w:rsidRDefault="00405D16">
            <w:pPr>
              <w:spacing w:after="100"/>
              <w:rPr>
                <w:rFonts w:eastAsia="Times New Roman"/>
                <w:sz w:val="20"/>
                <w:szCs w:val="20"/>
              </w:rPr>
            </w:pPr>
          </w:p>
        </w:tc>
        <w:tc>
          <w:tcPr>
            <w:tcW w:w="5" w:type="pct"/>
            <w:vAlign w:val="center"/>
            <w:hideMark/>
          </w:tcPr>
          <w:p w14:paraId="056B89D3" w14:textId="77777777" w:rsidR="00000000" w:rsidRDefault="00405D16">
            <w:pPr>
              <w:spacing w:after="100"/>
              <w:rPr>
                <w:rFonts w:eastAsia="Times New Roman"/>
                <w:sz w:val="20"/>
                <w:szCs w:val="20"/>
              </w:rPr>
            </w:pPr>
          </w:p>
        </w:tc>
      </w:tr>
      <w:tr w:rsidR="00000000" w14:paraId="534F6697" w14:textId="77777777">
        <w:trPr>
          <w:trHeight w:val="300"/>
          <w:jc w:val="center"/>
        </w:trPr>
        <w:tc>
          <w:tcPr>
            <w:tcW w:w="0" w:type="auto"/>
            <w:gridSpan w:val="9"/>
            <w:tcMar>
              <w:top w:w="0" w:type="dxa"/>
              <w:left w:w="20" w:type="dxa"/>
              <w:bottom w:w="0" w:type="dxa"/>
              <w:right w:w="20" w:type="dxa"/>
            </w:tcMar>
            <w:vAlign w:val="center"/>
            <w:hideMark/>
          </w:tcPr>
          <w:p w14:paraId="69B4ACA0" w14:textId="77777777" w:rsidR="00000000" w:rsidRDefault="00405D16">
            <w:pPr>
              <w:spacing w:after="100"/>
              <w:rPr>
                <w:rFonts w:eastAsia="Times New Roman"/>
                <w:sz w:val="20"/>
                <w:szCs w:val="20"/>
              </w:rPr>
            </w:pPr>
          </w:p>
        </w:tc>
      </w:tr>
      <w:tr w:rsidR="00000000" w14:paraId="015F09CA" w14:textId="77777777">
        <w:trPr>
          <w:jc w:val="center"/>
        </w:trPr>
        <w:tc>
          <w:tcPr>
            <w:tcW w:w="0" w:type="auto"/>
            <w:gridSpan w:val="3"/>
            <w:tcMar>
              <w:top w:w="0" w:type="dxa"/>
              <w:left w:w="20" w:type="dxa"/>
              <w:bottom w:w="0" w:type="dxa"/>
              <w:right w:w="20" w:type="dxa"/>
            </w:tcMar>
            <w:vAlign w:val="center"/>
            <w:hideMark/>
          </w:tcPr>
          <w:p w14:paraId="281FA159"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07D9BC9" w14:textId="77777777" w:rsidR="00000000" w:rsidRDefault="00405D16">
            <w:pPr>
              <w:spacing w:after="100"/>
              <w:jc w:val="center"/>
              <w:rPr>
                <w:rFonts w:eastAsia="Times New Roman"/>
              </w:rPr>
            </w:pPr>
            <w:r>
              <w:rPr>
                <w:rFonts w:eastAsia="Times New Roman"/>
                <w:color w:val="000000"/>
                <w:sz w:val="16"/>
                <w:szCs w:val="16"/>
              </w:rPr>
              <w:t>126</w:t>
            </w:r>
          </w:p>
        </w:tc>
        <w:tc>
          <w:tcPr>
            <w:tcW w:w="0" w:type="auto"/>
            <w:gridSpan w:val="3"/>
            <w:tcMar>
              <w:top w:w="30" w:type="dxa"/>
              <w:left w:w="20" w:type="dxa"/>
              <w:bottom w:w="30" w:type="dxa"/>
              <w:right w:w="20" w:type="dxa"/>
            </w:tcMar>
            <w:vAlign w:val="bottom"/>
            <w:hideMark/>
          </w:tcPr>
          <w:p w14:paraId="4DCE60A9"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36074E6B" w14:textId="77777777" w:rsidR="00000000" w:rsidRDefault="00405D16">
      <w:pPr>
        <w:rPr>
          <w:rFonts w:eastAsia="Times New Roman"/>
        </w:rPr>
      </w:pPr>
      <w:r>
        <w:rPr>
          <w:rFonts w:eastAsia="Times New Roman"/>
        </w:rPr>
        <w:pict w14:anchorId="2C482B63">
          <v:rect id="_x0000_i1151" style="width:0;height:1.5pt" o:hralign="center" o:hrstd="t" o:hr="t" fillcolor="#a0a0a0" stroked="f"/>
        </w:pict>
      </w:r>
    </w:p>
    <w:p w14:paraId="51583603" w14:textId="77777777" w:rsidR="00000000" w:rsidRDefault="00405D16">
      <w:pPr>
        <w:jc w:val="both"/>
        <w:divId w:val="121198609"/>
        <w:rPr>
          <w:rFonts w:eastAsia="Times New Roman"/>
        </w:rPr>
      </w:pPr>
      <w:hyperlink w:anchor="idd54a04a485440b4ab4e56094c14d612_13" w:history="1">
        <w:r>
          <w:rPr>
            <w:rStyle w:val="a3"/>
            <w:rFonts w:eastAsia="Times New Roman"/>
            <w:sz w:val="16"/>
            <w:szCs w:val="16"/>
          </w:rPr>
          <w:t>Table of Contents</w:t>
        </w:r>
      </w:hyperlink>
    </w:p>
    <w:p w14:paraId="401CFFE9" w14:textId="77777777" w:rsidR="00000000" w:rsidRDefault="00405D16">
      <w:pPr>
        <w:jc w:val="center"/>
        <w:divId w:val="121198609"/>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39"/>
        <w:gridCol w:w="3518"/>
        <w:gridCol w:w="38"/>
        <w:gridCol w:w="36"/>
        <w:gridCol w:w="36"/>
        <w:gridCol w:w="36"/>
        <w:gridCol w:w="110"/>
        <w:gridCol w:w="630"/>
        <w:gridCol w:w="36"/>
        <w:gridCol w:w="36"/>
        <w:gridCol w:w="36"/>
        <w:gridCol w:w="36"/>
        <w:gridCol w:w="111"/>
        <w:gridCol w:w="668"/>
        <w:gridCol w:w="36"/>
        <w:gridCol w:w="36"/>
        <w:gridCol w:w="36"/>
        <w:gridCol w:w="36"/>
        <w:gridCol w:w="111"/>
        <w:gridCol w:w="793"/>
        <w:gridCol w:w="36"/>
        <w:gridCol w:w="36"/>
        <w:gridCol w:w="36"/>
        <w:gridCol w:w="36"/>
        <w:gridCol w:w="111"/>
        <w:gridCol w:w="499"/>
        <w:gridCol w:w="36"/>
        <w:gridCol w:w="36"/>
        <w:gridCol w:w="36"/>
        <w:gridCol w:w="36"/>
        <w:gridCol w:w="111"/>
        <w:gridCol w:w="834"/>
        <w:gridCol w:w="36"/>
      </w:tblGrid>
      <w:tr w:rsidR="00000000" w14:paraId="0D192D89" w14:textId="77777777">
        <w:tc>
          <w:tcPr>
            <w:tcW w:w="50" w:type="pct"/>
            <w:vAlign w:val="center"/>
            <w:hideMark/>
          </w:tcPr>
          <w:p w14:paraId="339259EC" w14:textId="77777777" w:rsidR="00000000" w:rsidRDefault="00405D16">
            <w:pPr>
              <w:jc w:val="center"/>
              <w:rPr>
                <w:rFonts w:eastAsia="Times New Roman"/>
              </w:rPr>
            </w:pPr>
          </w:p>
        </w:tc>
        <w:tc>
          <w:tcPr>
            <w:tcW w:w="2280" w:type="pct"/>
            <w:vAlign w:val="center"/>
            <w:hideMark/>
          </w:tcPr>
          <w:p w14:paraId="10908921" w14:textId="77777777" w:rsidR="00000000" w:rsidRDefault="00405D16">
            <w:pPr>
              <w:spacing w:after="100"/>
              <w:rPr>
                <w:rFonts w:eastAsia="Times New Roman"/>
                <w:sz w:val="20"/>
                <w:szCs w:val="20"/>
              </w:rPr>
            </w:pPr>
          </w:p>
        </w:tc>
        <w:tc>
          <w:tcPr>
            <w:tcW w:w="5" w:type="pct"/>
            <w:vAlign w:val="center"/>
            <w:hideMark/>
          </w:tcPr>
          <w:p w14:paraId="13E97B07" w14:textId="77777777" w:rsidR="00000000" w:rsidRDefault="00405D16">
            <w:pPr>
              <w:spacing w:after="100"/>
              <w:rPr>
                <w:rFonts w:eastAsia="Times New Roman"/>
                <w:sz w:val="20"/>
                <w:szCs w:val="20"/>
              </w:rPr>
            </w:pPr>
          </w:p>
        </w:tc>
        <w:tc>
          <w:tcPr>
            <w:tcW w:w="5" w:type="pct"/>
            <w:vAlign w:val="center"/>
            <w:hideMark/>
          </w:tcPr>
          <w:p w14:paraId="7F216C51" w14:textId="77777777" w:rsidR="00000000" w:rsidRDefault="00405D16">
            <w:pPr>
              <w:spacing w:after="100"/>
              <w:rPr>
                <w:rFonts w:eastAsia="Times New Roman"/>
                <w:sz w:val="20"/>
                <w:szCs w:val="20"/>
              </w:rPr>
            </w:pPr>
          </w:p>
        </w:tc>
        <w:tc>
          <w:tcPr>
            <w:tcW w:w="26" w:type="pct"/>
            <w:vAlign w:val="center"/>
            <w:hideMark/>
          </w:tcPr>
          <w:p w14:paraId="40456925" w14:textId="77777777" w:rsidR="00000000" w:rsidRDefault="00405D16">
            <w:pPr>
              <w:spacing w:after="100"/>
              <w:rPr>
                <w:rFonts w:eastAsia="Times New Roman"/>
                <w:sz w:val="20"/>
                <w:szCs w:val="20"/>
              </w:rPr>
            </w:pPr>
          </w:p>
        </w:tc>
        <w:tc>
          <w:tcPr>
            <w:tcW w:w="5" w:type="pct"/>
            <w:vAlign w:val="center"/>
            <w:hideMark/>
          </w:tcPr>
          <w:p w14:paraId="41DF84E3" w14:textId="77777777" w:rsidR="00000000" w:rsidRDefault="00405D16">
            <w:pPr>
              <w:spacing w:after="100"/>
              <w:rPr>
                <w:rFonts w:eastAsia="Times New Roman"/>
                <w:sz w:val="20"/>
                <w:szCs w:val="20"/>
              </w:rPr>
            </w:pPr>
          </w:p>
        </w:tc>
        <w:tc>
          <w:tcPr>
            <w:tcW w:w="50" w:type="pct"/>
            <w:vAlign w:val="center"/>
            <w:hideMark/>
          </w:tcPr>
          <w:p w14:paraId="36F9C724" w14:textId="77777777" w:rsidR="00000000" w:rsidRDefault="00405D16">
            <w:pPr>
              <w:spacing w:after="100"/>
              <w:rPr>
                <w:rFonts w:eastAsia="Times New Roman"/>
                <w:sz w:val="20"/>
                <w:szCs w:val="20"/>
              </w:rPr>
            </w:pPr>
          </w:p>
        </w:tc>
        <w:tc>
          <w:tcPr>
            <w:tcW w:w="442" w:type="pct"/>
            <w:vAlign w:val="center"/>
            <w:hideMark/>
          </w:tcPr>
          <w:p w14:paraId="27597F47" w14:textId="77777777" w:rsidR="00000000" w:rsidRDefault="00405D16">
            <w:pPr>
              <w:spacing w:after="100"/>
              <w:rPr>
                <w:rFonts w:eastAsia="Times New Roman"/>
                <w:sz w:val="20"/>
                <w:szCs w:val="20"/>
              </w:rPr>
            </w:pPr>
          </w:p>
        </w:tc>
        <w:tc>
          <w:tcPr>
            <w:tcW w:w="5" w:type="pct"/>
            <w:vAlign w:val="center"/>
            <w:hideMark/>
          </w:tcPr>
          <w:p w14:paraId="2F74A069" w14:textId="77777777" w:rsidR="00000000" w:rsidRDefault="00405D16">
            <w:pPr>
              <w:spacing w:after="100"/>
              <w:rPr>
                <w:rFonts w:eastAsia="Times New Roman"/>
                <w:sz w:val="20"/>
                <w:szCs w:val="20"/>
              </w:rPr>
            </w:pPr>
          </w:p>
        </w:tc>
        <w:tc>
          <w:tcPr>
            <w:tcW w:w="5" w:type="pct"/>
            <w:vAlign w:val="center"/>
            <w:hideMark/>
          </w:tcPr>
          <w:p w14:paraId="283A98EA" w14:textId="77777777" w:rsidR="00000000" w:rsidRDefault="00405D16">
            <w:pPr>
              <w:spacing w:after="100"/>
              <w:rPr>
                <w:rFonts w:eastAsia="Times New Roman"/>
                <w:sz w:val="20"/>
                <w:szCs w:val="20"/>
              </w:rPr>
            </w:pPr>
          </w:p>
        </w:tc>
        <w:tc>
          <w:tcPr>
            <w:tcW w:w="26" w:type="pct"/>
            <w:vAlign w:val="center"/>
            <w:hideMark/>
          </w:tcPr>
          <w:p w14:paraId="6B090865" w14:textId="77777777" w:rsidR="00000000" w:rsidRDefault="00405D16">
            <w:pPr>
              <w:spacing w:after="100"/>
              <w:rPr>
                <w:rFonts w:eastAsia="Times New Roman"/>
                <w:sz w:val="20"/>
                <w:szCs w:val="20"/>
              </w:rPr>
            </w:pPr>
          </w:p>
        </w:tc>
        <w:tc>
          <w:tcPr>
            <w:tcW w:w="5" w:type="pct"/>
            <w:vAlign w:val="center"/>
            <w:hideMark/>
          </w:tcPr>
          <w:p w14:paraId="5493FE28" w14:textId="77777777" w:rsidR="00000000" w:rsidRDefault="00405D16">
            <w:pPr>
              <w:spacing w:after="100"/>
              <w:rPr>
                <w:rFonts w:eastAsia="Times New Roman"/>
                <w:sz w:val="20"/>
                <w:szCs w:val="20"/>
              </w:rPr>
            </w:pPr>
          </w:p>
        </w:tc>
        <w:tc>
          <w:tcPr>
            <w:tcW w:w="50" w:type="pct"/>
            <w:vAlign w:val="center"/>
            <w:hideMark/>
          </w:tcPr>
          <w:p w14:paraId="4C8A1AEC" w14:textId="77777777" w:rsidR="00000000" w:rsidRDefault="00405D16">
            <w:pPr>
              <w:spacing w:after="100"/>
              <w:rPr>
                <w:rFonts w:eastAsia="Times New Roman"/>
                <w:sz w:val="20"/>
                <w:szCs w:val="20"/>
              </w:rPr>
            </w:pPr>
          </w:p>
        </w:tc>
        <w:tc>
          <w:tcPr>
            <w:tcW w:w="435" w:type="pct"/>
            <w:vAlign w:val="center"/>
            <w:hideMark/>
          </w:tcPr>
          <w:p w14:paraId="6937BA21" w14:textId="77777777" w:rsidR="00000000" w:rsidRDefault="00405D16">
            <w:pPr>
              <w:spacing w:after="100"/>
              <w:rPr>
                <w:rFonts w:eastAsia="Times New Roman"/>
                <w:sz w:val="20"/>
                <w:szCs w:val="20"/>
              </w:rPr>
            </w:pPr>
          </w:p>
        </w:tc>
        <w:tc>
          <w:tcPr>
            <w:tcW w:w="5" w:type="pct"/>
            <w:vAlign w:val="center"/>
            <w:hideMark/>
          </w:tcPr>
          <w:p w14:paraId="19EC817F" w14:textId="77777777" w:rsidR="00000000" w:rsidRDefault="00405D16">
            <w:pPr>
              <w:spacing w:after="100"/>
              <w:rPr>
                <w:rFonts w:eastAsia="Times New Roman"/>
                <w:sz w:val="20"/>
                <w:szCs w:val="20"/>
              </w:rPr>
            </w:pPr>
          </w:p>
        </w:tc>
        <w:tc>
          <w:tcPr>
            <w:tcW w:w="5" w:type="pct"/>
            <w:vAlign w:val="center"/>
            <w:hideMark/>
          </w:tcPr>
          <w:p w14:paraId="2130A221" w14:textId="77777777" w:rsidR="00000000" w:rsidRDefault="00405D16">
            <w:pPr>
              <w:spacing w:after="100"/>
              <w:rPr>
                <w:rFonts w:eastAsia="Times New Roman"/>
                <w:sz w:val="20"/>
                <w:szCs w:val="20"/>
              </w:rPr>
            </w:pPr>
          </w:p>
        </w:tc>
        <w:tc>
          <w:tcPr>
            <w:tcW w:w="26" w:type="pct"/>
            <w:vAlign w:val="center"/>
            <w:hideMark/>
          </w:tcPr>
          <w:p w14:paraId="61C8A048" w14:textId="77777777" w:rsidR="00000000" w:rsidRDefault="00405D16">
            <w:pPr>
              <w:spacing w:after="100"/>
              <w:rPr>
                <w:rFonts w:eastAsia="Times New Roman"/>
                <w:sz w:val="20"/>
                <w:szCs w:val="20"/>
              </w:rPr>
            </w:pPr>
          </w:p>
        </w:tc>
        <w:tc>
          <w:tcPr>
            <w:tcW w:w="5" w:type="pct"/>
            <w:vAlign w:val="center"/>
            <w:hideMark/>
          </w:tcPr>
          <w:p w14:paraId="68B9D141" w14:textId="77777777" w:rsidR="00000000" w:rsidRDefault="00405D16">
            <w:pPr>
              <w:spacing w:after="100"/>
              <w:rPr>
                <w:rFonts w:eastAsia="Times New Roman"/>
                <w:sz w:val="20"/>
                <w:szCs w:val="20"/>
              </w:rPr>
            </w:pPr>
          </w:p>
        </w:tc>
        <w:tc>
          <w:tcPr>
            <w:tcW w:w="50" w:type="pct"/>
            <w:vAlign w:val="center"/>
            <w:hideMark/>
          </w:tcPr>
          <w:p w14:paraId="3B9DA86B" w14:textId="77777777" w:rsidR="00000000" w:rsidRDefault="00405D16">
            <w:pPr>
              <w:spacing w:after="100"/>
              <w:rPr>
                <w:rFonts w:eastAsia="Times New Roman"/>
                <w:sz w:val="20"/>
                <w:szCs w:val="20"/>
              </w:rPr>
            </w:pPr>
          </w:p>
        </w:tc>
        <w:tc>
          <w:tcPr>
            <w:tcW w:w="472" w:type="pct"/>
            <w:vAlign w:val="center"/>
            <w:hideMark/>
          </w:tcPr>
          <w:p w14:paraId="2A52E9BD" w14:textId="77777777" w:rsidR="00000000" w:rsidRDefault="00405D16">
            <w:pPr>
              <w:spacing w:after="100"/>
              <w:rPr>
                <w:rFonts w:eastAsia="Times New Roman"/>
                <w:sz w:val="20"/>
                <w:szCs w:val="20"/>
              </w:rPr>
            </w:pPr>
          </w:p>
        </w:tc>
        <w:tc>
          <w:tcPr>
            <w:tcW w:w="5" w:type="pct"/>
            <w:vAlign w:val="center"/>
            <w:hideMark/>
          </w:tcPr>
          <w:p w14:paraId="49DDBB78" w14:textId="77777777" w:rsidR="00000000" w:rsidRDefault="00405D16">
            <w:pPr>
              <w:spacing w:after="100"/>
              <w:rPr>
                <w:rFonts w:eastAsia="Times New Roman"/>
                <w:sz w:val="20"/>
                <w:szCs w:val="20"/>
              </w:rPr>
            </w:pPr>
          </w:p>
        </w:tc>
        <w:tc>
          <w:tcPr>
            <w:tcW w:w="5" w:type="pct"/>
            <w:vAlign w:val="center"/>
            <w:hideMark/>
          </w:tcPr>
          <w:p w14:paraId="5A6DD331" w14:textId="77777777" w:rsidR="00000000" w:rsidRDefault="00405D16">
            <w:pPr>
              <w:spacing w:after="100"/>
              <w:rPr>
                <w:rFonts w:eastAsia="Times New Roman"/>
                <w:sz w:val="20"/>
                <w:szCs w:val="20"/>
              </w:rPr>
            </w:pPr>
          </w:p>
        </w:tc>
        <w:tc>
          <w:tcPr>
            <w:tcW w:w="26" w:type="pct"/>
            <w:vAlign w:val="center"/>
            <w:hideMark/>
          </w:tcPr>
          <w:p w14:paraId="424BEE85" w14:textId="77777777" w:rsidR="00000000" w:rsidRDefault="00405D16">
            <w:pPr>
              <w:spacing w:after="100"/>
              <w:rPr>
                <w:rFonts w:eastAsia="Times New Roman"/>
                <w:sz w:val="20"/>
                <w:szCs w:val="20"/>
              </w:rPr>
            </w:pPr>
          </w:p>
        </w:tc>
        <w:tc>
          <w:tcPr>
            <w:tcW w:w="5" w:type="pct"/>
            <w:vAlign w:val="center"/>
            <w:hideMark/>
          </w:tcPr>
          <w:p w14:paraId="760A377C" w14:textId="77777777" w:rsidR="00000000" w:rsidRDefault="00405D16">
            <w:pPr>
              <w:spacing w:after="100"/>
              <w:rPr>
                <w:rFonts w:eastAsia="Times New Roman"/>
                <w:sz w:val="20"/>
                <w:szCs w:val="20"/>
              </w:rPr>
            </w:pPr>
          </w:p>
        </w:tc>
        <w:tc>
          <w:tcPr>
            <w:tcW w:w="50" w:type="pct"/>
            <w:vAlign w:val="center"/>
            <w:hideMark/>
          </w:tcPr>
          <w:p w14:paraId="00FF81B8" w14:textId="77777777" w:rsidR="00000000" w:rsidRDefault="00405D16">
            <w:pPr>
              <w:spacing w:after="100"/>
              <w:rPr>
                <w:rFonts w:eastAsia="Times New Roman"/>
                <w:sz w:val="20"/>
                <w:szCs w:val="20"/>
              </w:rPr>
            </w:pPr>
          </w:p>
        </w:tc>
        <w:tc>
          <w:tcPr>
            <w:tcW w:w="413" w:type="pct"/>
            <w:vAlign w:val="center"/>
            <w:hideMark/>
          </w:tcPr>
          <w:p w14:paraId="65201216" w14:textId="77777777" w:rsidR="00000000" w:rsidRDefault="00405D16">
            <w:pPr>
              <w:spacing w:after="100"/>
              <w:rPr>
                <w:rFonts w:eastAsia="Times New Roman"/>
                <w:sz w:val="20"/>
                <w:szCs w:val="20"/>
              </w:rPr>
            </w:pPr>
          </w:p>
        </w:tc>
        <w:tc>
          <w:tcPr>
            <w:tcW w:w="5" w:type="pct"/>
            <w:vAlign w:val="center"/>
            <w:hideMark/>
          </w:tcPr>
          <w:p w14:paraId="1A62B036" w14:textId="77777777" w:rsidR="00000000" w:rsidRDefault="00405D16">
            <w:pPr>
              <w:spacing w:after="100"/>
              <w:rPr>
                <w:rFonts w:eastAsia="Times New Roman"/>
                <w:sz w:val="20"/>
                <w:szCs w:val="20"/>
              </w:rPr>
            </w:pPr>
          </w:p>
        </w:tc>
        <w:tc>
          <w:tcPr>
            <w:tcW w:w="5" w:type="pct"/>
            <w:vAlign w:val="center"/>
            <w:hideMark/>
          </w:tcPr>
          <w:p w14:paraId="570EBADE" w14:textId="77777777" w:rsidR="00000000" w:rsidRDefault="00405D16">
            <w:pPr>
              <w:spacing w:after="100"/>
              <w:rPr>
                <w:rFonts w:eastAsia="Times New Roman"/>
                <w:sz w:val="20"/>
                <w:szCs w:val="20"/>
              </w:rPr>
            </w:pPr>
          </w:p>
        </w:tc>
        <w:tc>
          <w:tcPr>
            <w:tcW w:w="26" w:type="pct"/>
            <w:vAlign w:val="center"/>
            <w:hideMark/>
          </w:tcPr>
          <w:p w14:paraId="6B23B9C7" w14:textId="77777777" w:rsidR="00000000" w:rsidRDefault="00405D16">
            <w:pPr>
              <w:spacing w:after="100"/>
              <w:rPr>
                <w:rFonts w:eastAsia="Times New Roman"/>
                <w:sz w:val="20"/>
                <w:szCs w:val="20"/>
              </w:rPr>
            </w:pPr>
          </w:p>
        </w:tc>
        <w:tc>
          <w:tcPr>
            <w:tcW w:w="5" w:type="pct"/>
            <w:vAlign w:val="center"/>
            <w:hideMark/>
          </w:tcPr>
          <w:p w14:paraId="549AED0B" w14:textId="77777777" w:rsidR="00000000" w:rsidRDefault="00405D16">
            <w:pPr>
              <w:spacing w:after="100"/>
              <w:rPr>
                <w:rFonts w:eastAsia="Times New Roman"/>
                <w:sz w:val="20"/>
                <w:szCs w:val="20"/>
              </w:rPr>
            </w:pPr>
          </w:p>
        </w:tc>
        <w:tc>
          <w:tcPr>
            <w:tcW w:w="50" w:type="pct"/>
            <w:vAlign w:val="center"/>
            <w:hideMark/>
          </w:tcPr>
          <w:p w14:paraId="5684B29C" w14:textId="77777777" w:rsidR="00000000" w:rsidRDefault="00405D16">
            <w:pPr>
              <w:spacing w:after="100"/>
              <w:rPr>
                <w:rFonts w:eastAsia="Times New Roman"/>
                <w:sz w:val="20"/>
                <w:szCs w:val="20"/>
              </w:rPr>
            </w:pPr>
          </w:p>
        </w:tc>
        <w:tc>
          <w:tcPr>
            <w:tcW w:w="442" w:type="pct"/>
            <w:vAlign w:val="center"/>
            <w:hideMark/>
          </w:tcPr>
          <w:p w14:paraId="3BC4EEED" w14:textId="77777777" w:rsidR="00000000" w:rsidRDefault="00405D16">
            <w:pPr>
              <w:spacing w:after="100"/>
              <w:rPr>
                <w:rFonts w:eastAsia="Times New Roman"/>
                <w:sz w:val="20"/>
                <w:szCs w:val="20"/>
              </w:rPr>
            </w:pPr>
          </w:p>
        </w:tc>
        <w:tc>
          <w:tcPr>
            <w:tcW w:w="5" w:type="pct"/>
            <w:vAlign w:val="center"/>
            <w:hideMark/>
          </w:tcPr>
          <w:p w14:paraId="0D0ED54A" w14:textId="77777777" w:rsidR="00000000" w:rsidRDefault="00405D16">
            <w:pPr>
              <w:spacing w:after="100"/>
              <w:rPr>
                <w:rFonts w:eastAsia="Times New Roman"/>
                <w:sz w:val="20"/>
                <w:szCs w:val="20"/>
              </w:rPr>
            </w:pPr>
          </w:p>
        </w:tc>
      </w:tr>
      <w:tr w:rsidR="00000000" w14:paraId="6C0B1E81" w14:textId="77777777">
        <w:tc>
          <w:tcPr>
            <w:tcW w:w="0" w:type="auto"/>
            <w:gridSpan w:val="3"/>
            <w:tcMar>
              <w:top w:w="0" w:type="dxa"/>
              <w:left w:w="20" w:type="dxa"/>
              <w:bottom w:w="0" w:type="dxa"/>
              <w:right w:w="20" w:type="dxa"/>
            </w:tcMar>
            <w:vAlign w:val="center"/>
            <w:hideMark/>
          </w:tcPr>
          <w:p w14:paraId="19F49659"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3882F0" w14:textId="77777777" w:rsidR="00000000" w:rsidRDefault="00405D16">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2E040A47" w14:textId="77777777" w:rsidR="00000000" w:rsidRDefault="00405D16">
            <w:pPr>
              <w:spacing w:after="100"/>
              <w:jc w:val="center"/>
              <w:rPr>
                <w:rFonts w:eastAsia="Times New Roman"/>
              </w:rPr>
            </w:pPr>
            <w:r>
              <w:rPr>
                <w:rFonts w:eastAsia="Times New Roman"/>
                <w:b/>
                <w:bCs/>
                <w:color w:val="000000"/>
                <w:sz w:val="16"/>
                <w:szCs w:val="16"/>
              </w:rPr>
              <w:t>Nine Months Ended September 30, 2020</w:t>
            </w:r>
          </w:p>
        </w:tc>
      </w:tr>
      <w:tr w:rsidR="00000000" w14:paraId="0EEB7CDC" w14:textId="77777777">
        <w:tc>
          <w:tcPr>
            <w:tcW w:w="0" w:type="auto"/>
            <w:gridSpan w:val="3"/>
            <w:tcMar>
              <w:top w:w="30" w:type="dxa"/>
              <w:left w:w="20" w:type="dxa"/>
              <w:bottom w:w="30" w:type="dxa"/>
              <w:right w:w="20" w:type="dxa"/>
            </w:tcMar>
            <w:vAlign w:val="bottom"/>
            <w:hideMark/>
          </w:tcPr>
          <w:p w14:paraId="019E3D78"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2EA8C8C9"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C2B9699" w14:textId="77777777" w:rsidR="00000000" w:rsidRDefault="00405D16">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4F3D26D0"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806D6BC" w14:textId="77777777" w:rsidR="00000000" w:rsidRDefault="00405D16">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3968D24C"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5588BF3" w14:textId="77777777" w:rsidR="00000000" w:rsidRDefault="00405D16">
            <w:pPr>
              <w:spacing w:after="100"/>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30FD90B1"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AA49E9C" w14:textId="77777777" w:rsidR="00000000" w:rsidRDefault="00405D16">
            <w:pPr>
              <w:spacing w:after="100"/>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68658503"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9ACA2BA" w14:textId="77777777" w:rsidR="00000000" w:rsidRDefault="00405D16">
            <w:pPr>
              <w:spacing w:after="100"/>
              <w:jc w:val="center"/>
              <w:rPr>
                <w:rFonts w:eastAsia="Times New Roman"/>
              </w:rPr>
            </w:pPr>
            <w:r>
              <w:rPr>
                <w:rFonts w:eastAsia="Times New Roman"/>
                <w:b/>
                <w:bCs/>
                <w:color w:val="000000"/>
                <w:sz w:val="16"/>
                <w:szCs w:val="16"/>
              </w:rPr>
              <w:t>Consolidated Total</w:t>
            </w:r>
          </w:p>
        </w:tc>
      </w:tr>
      <w:tr w:rsidR="00000000" w14:paraId="2694C722" w14:textId="7777777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B21BBBD" w14:textId="77777777" w:rsidR="00000000" w:rsidRDefault="00405D16">
            <w:pPr>
              <w:spacing w:after="100"/>
              <w:rPr>
                <w:rFonts w:eastAsia="Times New Roman"/>
              </w:rPr>
            </w:pPr>
            <w:r>
              <w:rPr>
                <w:rFonts w:eastAsia="Times New Roman"/>
                <w:color w:val="000000"/>
                <w:sz w:val="18"/>
                <w:szCs w:val="18"/>
              </w:rPr>
              <w:t>Net interest income (loss)</w:t>
            </w:r>
          </w:p>
        </w:tc>
        <w:tc>
          <w:tcPr>
            <w:tcW w:w="0" w:type="auto"/>
            <w:gridSpan w:val="3"/>
            <w:shd w:val="clear" w:color="auto" w:fill="CCEEFF"/>
            <w:tcMar>
              <w:top w:w="0" w:type="dxa"/>
              <w:left w:w="20" w:type="dxa"/>
              <w:bottom w:w="0" w:type="dxa"/>
              <w:right w:w="20" w:type="dxa"/>
            </w:tcMar>
            <w:vAlign w:val="center"/>
            <w:hideMark/>
          </w:tcPr>
          <w:p w14:paraId="582C4E39"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6C1D79E"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579AC5A" w14:textId="77777777" w:rsidR="00000000" w:rsidRDefault="00405D16">
            <w:pPr>
              <w:spacing w:after="100"/>
              <w:jc w:val="right"/>
              <w:rPr>
                <w:rFonts w:eastAsia="Times New Roman"/>
              </w:rPr>
            </w:pPr>
            <w:r>
              <w:rPr>
                <w:rFonts w:eastAsia="Times New Roman"/>
                <w:color w:val="000000"/>
                <w:sz w:val="18"/>
                <w:szCs w:val="18"/>
              </w:rPr>
              <w:t>10,363 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7D5DE5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C0CF03"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9D25A2B"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5D9E050" w14:textId="77777777" w:rsidR="00000000" w:rsidRDefault="00405D16">
            <w:pPr>
              <w:spacing w:after="100"/>
              <w:jc w:val="right"/>
              <w:rPr>
                <w:rFonts w:eastAsia="Times New Roman"/>
              </w:rPr>
            </w:pPr>
            <w:r>
              <w:rPr>
                <w:rFonts w:eastAsia="Times New Roman"/>
                <w:color w:val="000000"/>
                <w:sz w:val="18"/>
                <w:szCs w:val="18"/>
              </w:rPr>
              <w:t>5,226 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27F3BD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27C50F"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EBF8008"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39F737E" w14:textId="77777777" w:rsidR="00000000" w:rsidRDefault="00405D16">
            <w:pPr>
              <w:spacing w:after="100"/>
              <w:jc w:val="right"/>
              <w:rPr>
                <w:rFonts w:eastAsia="Times New Roman"/>
              </w:rPr>
            </w:pPr>
            <w:r>
              <w:rPr>
                <w:rFonts w:eastAsia="Times New Roman"/>
                <w:color w:val="000000"/>
                <w:sz w:val="18"/>
                <w:szCs w:val="18"/>
              </w:rPr>
              <w:t>1,526 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71E98A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D2ACAF"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C379F00"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CDB8C5B" w14:textId="77777777" w:rsidR="00000000" w:rsidRDefault="00405D16">
            <w:pPr>
              <w:spacing w:after="100"/>
              <w:jc w:val="right"/>
              <w:rPr>
                <w:rFonts w:eastAsia="Times New Roman"/>
              </w:rPr>
            </w:pPr>
            <w:r>
              <w:rPr>
                <w:rFonts w:eastAsia="Times New Roman"/>
                <w:color w:val="000000"/>
                <w:sz w:val="18"/>
                <w:szCs w:val="18"/>
              </w:rPr>
              <w:t>(75)</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DA4523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F36CBD"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C9F5730"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7E0C60C" w14:textId="77777777" w:rsidR="00000000" w:rsidRDefault="00405D16">
            <w:pPr>
              <w:spacing w:after="100"/>
              <w:jc w:val="right"/>
              <w:rPr>
                <w:rFonts w:eastAsia="Times New Roman"/>
              </w:rPr>
            </w:pPr>
            <w:r>
              <w:rPr>
                <w:rFonts w:eastAsia="Times New Roman"/>
                <w:color w:val="000000"/>
                <w:sz w:val="18"/>
                <w:szCs w:val="18"/>
              </w:rPr>
              <w:t>17,040 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51A8CB5" w14:textId="77777777" w:rsidR="00000000" w:rsidRDefault="00405D16">
            <w:pPr>
              <w:spacing w:after="100"/>
              <w:jc w:val="right"/>
              <w:rPr>
                <w:rFonts w:eastAsia="Times New Roman"/>
              </w:rPr>
            </w:pPr>
          </w:p>
        </w:tc>
      </w:tr>
      <w:tr w:rsidR="00000000" w14:paraId="61330747" w14:textId="77777777">
        <w:tc>
          <w:tcPr>
            <w:tcW w:w="0" w:type="auto"/>
            <w:gridSpan w:val="3"/>
            <w:shd w:val="clear" w:color="auto" w:fill="FFFFFF"/>
            <w:tcMar>
              <w:top w:w="30" w:type="dxa"/>
              <w:left w:w="20" w:type="dxa"/>
              <w:bottom w:w="30" w:type="dxa"/>
              <w:right w:w="20" w:type="dxa"/>
            </w:tcMar>
            <w:vAlign w:val="center"/>
            <w:hideMark/>
          </w:tcPr>
          <w:p w14:paraId="34A832DA" w14:textId="77777777" w:rsidR="00000000" w:rsidRDefault="00405D16">
            <w:pPr>
              <w:spacing w:after="100"/>
              <w:rPr>
                <w:rFonts w:eastAsia="Times New Roman"/>
              </w:rPr>
            </w:pPr>
            <w:r>
              <w:rPr>
                <w:rFonts w:eastAsia="Times New Roman"/>
                <w:color w:val="000000"/>
                <w:sz w:val="18"/>
                <w:szCs w:val="18"/>
              </w:rPr>
              <w:t>Non-interest income</w:t>
            </w:r>
          </w:p>
        </w:tc>
        <w:tc>
          <w:tcPr>
            <w:tcW w:w="0" w:type="auto"/>
            <w:gridSpan w:val="3"/>
            <w:shd w:val="clear" w:color="auto" w:fill="FFFFFF"/>
            <w:tcMar>
              <w:top w:w="0" w:type="dxa"/>
              <w:left w:w="20" w:type="dxa"/>
              <w:bottom w:w="0" w:type="dxa"/>
              <w:right w:w="20" w:type="dxa"/>
            </w:tcMar>
            <w:vAlign w:val="center"/>
            <w:hideMark/>
          </w:tcPr>
          <w:p w14:paraId="33B3A452"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DB3B070" w14:textId="77777777" w:rsidR="00000000" w:rsidRDefault="00405D16">
            <w:pPr>
              <w:spacing w:after="100"/>
              <w:jc w:val="right"/>
              <w:rPr>
                <w:rFonts w:eastAsia="Times New Roman"/>
              </w:rPr>
            </w:pPr>
            <w:r>
              <w:rPr>
                <w:rFonts w:eastAsia="Times New Roman"/>
                <w:color w:val="000000"/>
                <w:sz w:val="18"/>
                <w:szCs w:val="18"/>
              </w:rPr>
              <w:t>2,769 </w:t>
            </w:r>
          </w:p>
        </w:tc>
        <w:tc>
          <w:tcPr>
            <w:tcW w:w="0" w:type="auto"/>
            <w:shd w:val="clear" w:color="auto" w:fill="FFFFFF"/>
            <w:tcMar>
              <w:top w:w="30" w:type="dxa"/>
              <w:left w:w="0" w:type="dxa"/>
              <w:bottom w:w="30" w:type="dxa"/>
              <w:right w:w="20" w:type="dxa"/>
            </w:tcMar>
            <w:vAlign w:val="center"/>
            <w:hideMark/>
          </w:tcPr>
          <w:p w14:paraId="4184799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38E1C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B3A8648" w14:textId="77777777" w:rsidR="00000000" w:rsidRDefault="00405D16">
            <w:pPr>
              <w:spacing w:after="100"/>
              <w:jc w:val="right"/>
              <w:rPr>
                <w:rFonts w:eastAsia="Times New Roman"/>
              </w:rPr>
            </w:pPr>
            <w:r>
              <w:rPr>
                <w:rFonts w:eastAsia="Times New Roman"/>
                <w:color w:val="000000"/>
                <w:sz w:val="18"/>
                <w:szCs w:val="18"/>
              </w:rPr>
              <w:t>330 </w:t>
            </w:r>
          </w:p>
        </w:tc>
        <w:tc>
          <w:tcPr>
            <w:tcW w:w="0" w:type="auto"/>
            <w:shd w:val="clear" w:color="auto" w:fill="FFFFFF"/>
            <w:tcMar>
              <w:top w:w="30" w:type="dxa"/>
              <w:left w:w="0" w:type="dxa"/>
              <w:bottom w:w="30" w:type="dxa"/>
              <w:right w:w="20" w:type="dxa"/>
            </w:tcMar>
            <w:vAlign w:val="center"/>
            <w:hideMark/>
          </w:tcPr>
          <w:p w14:paraId="7F3E3CB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AC1A0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26FB84B" w14:textId="77777777" w:rsidR="00000000" w:rsidRDefault="00405D16">
            <w:pPr>
              <w:spacing w:after="100"/>
              <w:jc w:val="right"/>
              <w:rPr>
                <w:rFonts w:eastAsia="Times New Roman"/>
              </w:rPr>
            </w:pPr>
            <w:r>
              <w:rPr>
                <w:rFonts w:eastAsia="Times New Roman"/>
                <w:color w:val="000000"/>
                <w:sz w:val="18"/>
                <w:szCs w:val="18"/>
              </w:rPr>
              <w:t>655 </w:t>
            </w:r>
          </w:p>
        </w:tc>
        <w:tc>
          <w:tcPr>
            <w:tcW w:w="0" w:type="auto"/>
            <w:shd w:val="clear" w:color="auto" w:fill="FFFFFF"/>
            <w:tcMar>
              <w:top w:w="30" w:type="dxa"/>
              <w:left w:w="0" w:type="dxa"/>
              <w:bottom w:w="30" w:type="dxa"/>
              <w:right w:w="20" w:type="dxa"/>
            </w:tcMar>
            <w:vAlign w:val="center"/>
            <w:hideMark/>
          </w:tcPr>
          <w:p w14:paraId="62FDD3B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B0BFD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DBD890F" w14:textId="77777777" w:rsidR="00000000" w:rsidRDefault="00405D16">
            <w:pPr>
              <w:spacing w:after="100"/>
              <w:jc w:val="right"/>
              <w:rPr>
                <w:rFonts w:eastAsia="Times New Roman"/>
              </w:rPr>
            </w:pPr>
            <w:r>
              <w:rPr>
                <w:rFonts w:eastAsia="Times New Roman"/>
                <w:color w:val="000000"/>
                <w:sz w:val="18"/>
                <w:szCs w:val="18"/>
              </w:rPr>
              <w:t>392 </w:t>
            </w:r>
          </w:p>
        </w:tc>
        <w:tc>
          <w:tcPr>
            <w:tcW w:w="0" w:type="auto"/>
            <w:shd w:val="clear" w:color="auto" w:fill="FFFFFF"/>
            <w:tcMar>
              <w:top w:w="30" w:type="dxa"/>
              <w:left w:w="0" w:type="dxa"/>
              <w:bottom w:w="30" w:type="dxa"/>
              <w:right w:w="20" w:type="dxa"/>
            </w:tcMar>
            <w:vAlign w:val="center"/>
            <w:hideMark/>
          </w:tcPr>
          <w:p w14:paraId="0B3FBD0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4347F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B2D0F85" w14:textId="77777777" w:rsidR="00000000" w:rsidRDefault="00405D16">
            <w:pPr>
              <w:spacing w:after="100"/>
              <w:jc w:val="right"/>
              <w:rPr>
                <w:rFonts w:eastAsia="Times New Roman"/>
              </w:rPr>
            </w:pPr>
            <w:r>
              <w:rPr>
                <w:rFonts w:eastAsia="Times New Roman"/>
                <w:color w:val="000000"/>
                <w:sz w:val="18"/>
                <w:szCs w:val="18"/>
              </w:rPr>
              <w:t>4,146 </w:t>
            </w:r>
          </w:p>
        </w:tc>
        <w:tc>
          <w:tcPr>
            <w:tcW w:w="0" w:type="auto"/>
            <w:shd w:val="clear" w:color="auto" w:fill="FFFFFF"/>
            <w:tcMar>
              <w:top w:w="30" w:type="dxa"/>
              <w:left w:w="0" w:type="dxa"/>
              <w:bottom w:w="30" w:type="dxa"/>
              <w:right w:w="20" w:type="dxa"/>
            </w:tcMar>
            <w:vAlign w:val="center"/>
            <w:hideMark/>
          </w:tcPr>
          <w:p w14:paraId="6AB94904" w14:textId="77777777" w:rsidR="00000000" w:rsidRDefault="00405D16">
            <w:pPr>
              <w:spacing w:after="100"/>
              <w:jc w:val="right"/>
              <w:rPr>
                <w:rFonts w:eastAsia="Times New Roman"/>
              </w:rPr>
            </w:pPr>
          </w:p>
        </w:tc>
      </w:tr>
      <w:tr w:rsidR="00000000" w14:paraId="31B72377" w14:textId="77777777">
        <w:tc>
          <w:tcPr>
            <w:tcW w:w="0" w:type="auto"/>
            <w:gridSpan w:val="3"/>
            <w:shd w:val="clear" w:color="auto" w:fill="CCEEFF"/>
            <w:tcMar>
              <w:top w:w="30" w:type="dxa"/>
              <w:left w:w="20" w:type="dxa"/>
              <w:bottom w:w="30" w:type="dxa"/>
              <w:right w:w="20" w:type="dxa"/>
            </w:tcMar>
            <w:vAlign w:val="center"/>
            <w:hideMark/>
          </w:tcPr>
          <w:p w14:paraId="7DAB0D0D" w14:textId="77777777" w:rsidR="00000000" w:rsidRDefault="00405D16">
            <w:pPr>
              <w:spacing w:after="100"/>
              <w:divId w:val="374162077"/>
              <w:rPr>
                <w:rFonts w:eastAsia="Times New Roman"/>
              </w:rPr>
            </w:pPr>
            <w:r>
              <w:rPr>
                <w:rFonts w:eastAsia="Times New Roman"/>
                <w:color w:val="000000"/>
                <w:sz w:val="18"/>
                <w:szCs w:val="18"/>
              </w:rPr>
              <w:t>Total net revenu</w:t>
            </w:r>
            <w:r>
              <w:rPr>
                <w:rFonts w:eastAsia="Times New Roman"/>
                <w:color w:val="000000"/>
                <w:sz w:val="18"/>
                <w:szCs w:val="18"/>
              </w:rPr>
              <w:t>e</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262098E5"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B9655B1" w14:textId="77777777" w:rsidR="00000000" w:rsidRDefault="00405D16">
            <w:pPr>
              <w:spacing w:after="100"/>
              <w:jc w:val="right"/>
              <w:rPr>
                <w:rFonts w:eastAsia="Times New Roman"/>
              </w:rPr>
            </w:pPr>
            <w:r>
              <w:rPr>
                <w:rFonts w:eastAsia="Times New Roman"/>
                <w:color w:val="000000"/>
                <w:sz w:val="18"/>
                <w:szCs w:val="18"/>
              </w:rPr>
              <w:t>13,132 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162529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07959F"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203A6AB" w14:textId="77777777" w:rsidR="00000000" w:rsidRDefault="00405D16">
            <w:pPr>
              <w:spacing w:after="100"/>
              <w:jc w:val="right"/>
              <w:rPr>
                <w:rFonts w:eastAsia="Times New Roman"/>
              </w:rPr>
            </w:pPr>
            <w:r>
              <w:rPr>
                <w:rFonts w:eastAsia="Times New Roman"/>
                <w:color w:val="000000"/>
                <w:sz w:val="18"/>
                <w:szCs w:val="18"/>
              </w:rPr>
              <w:t>5,556 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11DA08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A4FE11"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CB3AF88" w14:textId="77777777" w:rsidR="00000000" w:rsidRDefault="00405D16">
            <w:pPr>
              <w:spacing w:after="100"/>
              <w:jc w:val="right"/>
              <w:rPr>
                <w:rFonts w:eastAsia="Times New Roman"/>
              </w:rPr>
            </w:pPr>
            <w:r>
              <w:rPr>
                <w:rFonts w:eastAsia="Times New Roman"/>
                <w:color w:val="000000"/>
                <w:sz w:val="18"/>
                <w:szCs w:val="18"/>
              </w:rPr>
              <w:t>2,181 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462010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CF00F4"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6645114" w14:textId="77777777" w:rsidR="00000000" w:rsidRDefault="00405D16">
            <w:pPr>
              <w:spacing w:after="100"/>
              <w:jc w:val="right"/>
              <w:rPr>
                <w:rFonts w:eastAsia="Times New Roman"/>
              </w:rPr>
            </w:pPr>
            <w:r>
              <w:rPr>
                <w:rFonts w:eastAsia="Times New Roman"/>
                <w:color w:val="000000"/>
                <w:sz w:val="18"/>
                <w:szCs w:val="18"/>
              </w:rPr>
              <w:t>317 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1874E3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CFBD8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2A63345" w14:textId="77777777" w:rsidR="00000000" w:rsidRDefault="00405D16">
            <w:pPr>
              <w:spacing w:after="100"/>
              <w:jc w:val="right"/>
              <w:rPr>
                <w:rFonts w:eastAsia="Times New Roman"/>
              </w:rPr>
            </w:pPr>
            <w:r>
              <w:rPr>
                <w:rFonts w:eastAsia="Times New Roman"/>
                <w:color w:val="000000"/>
                <w:sz w:val="18"/>
                <w:szCs w:val="18"/>
              </w:rPr>
              <w:t>21,186 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D09881A" w14:textId="77777777" w:rsidR="00000000" w:rsidRDefault="00405D16">
            <w:pPr>
              <w:spacing w:after="100"/>
              <w:jc w:val="right"/>
              <w:rPr>
                <w:rFonts w:eastAsia="Times New Roman"/>
              </w:rPr>
            </w:pPr>
          </w:p>
        </w:tc>
      </w:tr>
      <w:tr w:rsidR="00000000" w14:paraId="4CCF11FB" w14:textId="77777777">
        <w:tc>
          <w:tcPr>
            <w:tcW w:w="0" w:type="auto"/>
            <w:gridSpan w:val="3"/>
            <w:shd w:val="clear" w:color="auto" w:fill="FFFFFF"/>
            <w:tcMar>
              <w:top w:w="30" w:type="dxa"/>
              <w:left w:w="20" w:type="dxa"/>
              <w:bottom w:w="30" w:type="dxa"/>
              <w:right w:w="20" w:type="dxa"/>
            </w:tcMar>
            <w:vAlign w:val="center"/>
            <w:hideMark/>
          </w:tcPr>
          <w:p w14:paraId="59D86ACA" w14:textId="77777777" w:rsidR="00000000" w:rsidRDefault="00405D16">
            <w:pPr>
              <w:spacing w:after="100"/>
              <w:rPr>
                <w:rFonts w:eastAsia="Times New Roman"/>
              </w:rPr>
            </w:pPr>
            <w:r>
              <w:rPr>
                <w:rFonts w:eastAsia="Times New Roman"/>
                <w:color w:val="000000"/>
                <w:sz w:val="18"/>
                <w:szCs w:val="18"/>
              </w:rPr>
              <w:t>Provision for credit losses</w:t>
            </w:r>
          </w:p>
        </w:tc>
        <w:tc>
          <w:tcPr>
            <w:tcW w:w="0" w:type="auto"/>
            <w:gridSpan w:val="3"/>
            <w:shd w:val="clear" w:color="auto" w:fill="FFFFFF"/>
            <w:tcMar>
              <w:top w:w="0" w:type="dxa"/>
              <w:left w:w="20" w:type="dxa"/>
              <w:bottom w:w="0" w:type="dxa"/>
              <w:right w:w="20" w:type="dxa"/>
            </w:tcMar>
            <w:vAlign w:val="center"/>
            <w:hideMark/>
          </w:tcPr>
          <w:p w14:paraId="5E85AA10"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8DA0A1E" w14:textId="77777777" w:rsidR="00000000" w:rsidRDefault="00405D16">
            <w:pPr>
              <w:spacing w:after="100"/>
              <w:jc w:val="right"/>
              <w:rPr>
                <w:rFonts w:eastAsia="Times New Roman"/>
              </w:rPr>
            </w:pPr>
            <w:r>
              <w:rPr>
                <w:rFonts w:eastAsia="Times New Roman"/>
                <w:color w:val="000000"/>
                <w:sz w:val="18"/>
                <w:szCs w:val="18"/>
              </w:rPr>
              <w:t>7,096 </w:t>
            </w:r>
          </w:p>
        </w:tc>
        <w:tc>
          <w:tcPr>
            <w:tcW w:w="0" w:type="auto"/>
            <w:shd w:val="clear" w:color="auto" w:fill="FFFFFF"/>
            <w:tcMar>
              <w:top w:w="30" w:type="dxa"/>
              <w:left w:w="0" w:type="dxa"/>
              <w:bottom w:w="30" w:type="dxa"/>
              <w:right w:w="20" w:type="dxa"/>
            </w:tcMar>
            <w:vAlign w:val="center"/>
            <w:hideMark/>
          </w:tcPr>
          <w:p w14:paraId="6FC306B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E5E1A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90E22ED" w14:textId="77777777" w:rsidR="00000000" w:rsidRDefault="00405D16">
            <w:pPr>
              <w:spacing w:after="100"/>
              <w:jc w:val="right"/>
              <w:rPr>
                <w:rFonts w:eastAsia="Times New Roman"/>
              </w:rPr>
            </w:pPr>
            <w:r>
              <w:rPr>
                <w:rFonts w:eastAsia="Times New Roman"/>
                <w:color w:val="000000"/>
                <w:sz w:val="18"/>
                <w:szCs w:val="18"/>
              </w:rPr>
              <w:t>1,693 </w:t>
            </w:r>
          </w:p>
        </w:tc>
        <w:tc>
          <w:tcPr>
            <w:tcW w:w="0" w:type="auto"/>
            <w:shd w:val="clear" w:color="auto" w:fill="FFFFFF"/>
            <w:tcMar>
              <w:top w:w="30" w:type="dxa"/>
              <w:left w:w="0" w:type="dxa"/>
              <w:bottom w:w="30" w:type="dxa"/>
              <w:right w:w="20" w:type="dxa"/>
            </w:tcMar>
            <w:vAlign w:val="center"/>
            <w:hideMark/>
          </w:tcPr>
          <w:p w14:paraId="6E5EA97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987CD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4F9537D" w14:textId="77777777" w:rsidR="00000000" w:rsidRDefault="00405D16">
            <w:pPr>
              <w:spacing w:after="100"/>
              <w:jc w:val="right"/>
              <w:rPr>
                <w:rFonts w:eastAsia="Times New Roman"/>
              </w:rPr>
            </w:pPr>
            <w:r>
              <w:rPr>
                <w:rFonts w:eastAsia="Times New Roman"/>
                <w:color w:val="000000"/>
                <w:sz w:val="18"/>
                <w:szCs w:val="18"/>
              </w:rPr>
              <w:t>1,209 </w:t>
            </w:r>
          </w:p>
        </w:tc>
        <w:tc>
          <w:tcPr>
            <w:tcW w:w="0" w:type="auto"/>
            <w:shd w:val="clear" w:color="auto" w:fill="FFFFFF"/>
            <w:tcMar>
              <w:top w:w="30" w:type="dxa"/>
              <w:left w:w="0" w:type="dxa"/>
              <w:bottom w:w="30" w:type="dxa"/>
              <w:right w:w="20" w:type="dxa"/>
            </w:tcMar>
            <w:vAlign w:val="center"/>
            <w:hideMark/>
          </w:tcPr>
          <w:p w14:paraId="5C04BC0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AE154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D745D73" w14:textId="77777777" w:rsidR="00000000" w:rsidRDefault="00405D16">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center"/>
            <w:hideMark/>
          </w:tcPr>
          <w:p w14:paraId="7431F83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0D38E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24D537B" w14:textId="77777777" w:rsidR="00000000" w:rsidRDefault="00405D16">
            <w:pPr>
              <w:spacing w:after="100"/>
              <w:jc w:val="right"/>
              <w:rPr>
                <w:rFonts w:eastAsia="Times New Roman"/>
              </w:rPr>
            </w:pPr>
            <w:r>
              <w:rPr>
                <w:rFonts w:eastAsia="Times New Roman"/>
                <w:color w:val="000000"/>
                <w:sz w:val="18"/>
                <w:szCs w:val="18"/>
              </w:rPr>
              <w:t>10,000 </w:t>
            </w:r>
          </w:p>
        </w:tc>
        <w:tc>
          <w:tcPr>
            <w:tcW w:w="0" w:type="auto"/>
            <w:shd w:val="clear" w:color="auto" w:fill="FFFFFF"/>
            <w:tcMar>
              <w:top w:w="30" w:type="dxa"/>
              <w:left w:w="0" w:type="dxa"/>
              <w:bottom w:w="30" w:type="dxa"/>
              <w:right w:w="20" w:type="dxa"/>
            </w:tcMar>
            <w:vAlign w:val="center"/>
            <w:hideMark/>
          </w:tcPr>
          <w:p w14:paraId="4B8873CB" w14:textId="77777777" w:rsidR="00000000" w:rsidRDefault="00405D16">
            <w:pPr>
              <w:spacing w:after="100"/>
              <w:jc w:val="right"/>
              <w:rPr>
                <w:rFonts w:eastAsia="Times New Roman"/>
              </w:rPr>
            </w:pPr>
          </w:p>
        </w:tc>
      </w:tr>
      <w:tr w:rsidR="00000000" w14:paraId="1A4A2B69" w14:textId="77777777">
        <w:tc>
          <w:tcPr>
            <w:tcW w:w="0" w:type="auto"/>
            <w:gridSpan w:val="3"/>
            <w:shd w:val="clear" w:color="auto" w:fill="CCEEFF"/>
            <w:tcMar>
              <w:top w:w="30" w:type="dxa"/>
              <w:left w:w="20" w:type="dxa"/>
              <w:bottom w:w="30" w:type="dxa"/>
              <w:right w:w="20" w:type="dxa"/>
            </w:tcMar>
            <w:vAlign w:val="center"/>
            <w:hideMark/>
          </w:tcPr>
          <w:p w14:paraId="3EF19EDA" w14:textId="77777777" w:rsidR="00000000" w:rsidRDefault="00405D16">
            <w:pPr>
              <w:spacing w:after="100"/>
              <w:rPr>
                <w:rFonts w:eastAsia="Times New Roman"/>
              </w:rPr>
            </w:pPr>
            <w:r>
              <w:rPr>
                <w:rFonts w:eastAsia="Times New Roman"/>
                <w:color w:val="000000"/>
                <w:sz w:val="18"/>
                <w:szCs w:val="18"/>
              </w:rPr>
              <w:t>Non-interest expense</w:t>
            </w:r>
          </w:p>
        </w:tc>
        <w:tc>
          <w:tcPr>
            <w:tcW w:w="0" w:type="auto"/>
            <w:gridSpan w:val="3"/>
            <w:shd w:val="clear" w:color="auto" w:fill="CCEEFF"/>
            <w:tcMar>
              <w:top w:w="0" w:type="dxa"/>
              <w:left w:w="20" w:type="dxa"/>
              <w:bottom w:w="0" w:type="dxa"/>
              <w:right w:w="20" w:type="dxa"/>
            </w:tcMar>
            <w:vAlign w:val="center"/>
            <w:hideMark/>
          </w:tcPr>
          <w:p w14:paraId="5667F4C6"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D263920" w14:textId="77777777" w:rsidR="00000000" w:rsidRDefault="00405D16">
            <w:pPr>
              <w:spacing w:after="100"/>
              <w:jc w:val="right"/>
              <w:rPr>
                <w:rFonts w:eastAsia="Times New Roman"/>
              </w:rPr>
            </w:pPr>
            <w:r>
              <w:rPr>
                <w:rFonts w:eastAsia="Times New Roman"/>
                <w:color w:val="000000"/>
                <w:sz w:val="18"/>
                <w:szCs w:val="18"/>
              </w:rPr>
              <w:t>6,180 </w:t>
            </w:r>
          </w:p>
        </w:tc>
        <w:tc>
          <w:tcPr>
            <w:tcW w:w="0" w:type="auto"/>
            <w:shd w:val="clear" w:color="auto" w:fill="CCEEFF"/>
            <w:tcMar>
              <w:top w:w="30" w:type="dxa"/>
              <w:left w:w="0" w:type="dxa"/>
              <w:bottom w:w="30" w:type="dxa"/>
              <w:right w:w="20" w:type="dxa"/>
            </w:tcMar>
            <w:vAlign w:val="center"/>
            <w:hideMark/>
          </w:tcPr>
          <w:p w14:paraId="6E6A81B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FF953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60C0DF7" w14:textId="77777777" w:rsidR="00000000" w:rsidRDefault="00405D16">
            <w:pPr>
              <w:spacing w:after="100"/>
              <w:jc w:val="right"/>
              <w:rPr>
                <w:rFonts w:eastAsia="Times New Roman"/>
              </w:rPr>
            </w:pPr>
            <w:r>
              <w:rPr>
                <w:rFonts w:eastAsia="Times New Roman"/>
                <w:color w:val="000000"/>
                <w:sz w:val="18"/>
                <w:szCs w:val="18"/>
              </w:rPr>
              <w:t>3,038 </w:t>
            </w:r>
          </w:p>
        </w:tc>
        <w:tc>
          <w:tcPr>
            <w:tcW w:w="0" w:type="auto"/>
            <w:shd w:val="clear" w:color="auto" w:fill="CCEEFF"/>
            <w:tcMar>
              <w:top w:w="30" w:type="dxa"/>
              <w:left w:w="0" w:type="dxa"/>
              <w:bottom w:w="30" w:type="dxa"/>
              <w:right w:w="20" w:type="dxa"/>
            </w:tcMar>
            <w:vAlign w:val="center"/>
            <w:hideMark/>
          </w:tcPr>
          <w:p w14:paraId="67806BE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B99A4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F6133B9" w14:textId="77777777" w:rsidR="00000000" w:rsidRDefault="00405D16">
            <w:pPr>
              <w:spacing w:after="100"/>
              <w:jc w:val="right"/>
              <w:rPr>
                <w:rFonts w:eastAsia="Times New Roman"/>
              </w:rPr>
            </w:pPr>
            <w:r>
              <w:rPr>
                <w:rFonts w:eastAsia="Times New Roman"/>
                <w:color w:val="000000"/>
                <w:sz w:val="18"/>
                <w:szCs w:val="18"/>
              </w:rPr>
              <w:t>1,261 </w:t>
            </w:r>
          </w:p>
        </w:tc>
        <w:tc>
          <w:tcPr>
            <w:tcW w:w="0" w:type="auto"/>
            <w:shd w:val="clear" w:color="auto" w:fill="CCEEFF"/>
            <w:tcMar>
              <w:top w:w="30" w:type="dxa"/>
              <w:left w:w="0" w:type="dxa"/>
              <w:bottom w:w="30" w:type="dxa"/>
              <w:right w:w="20" w:type="dxa"/>
            </w:tcMar>
            <w:vAlign w:val="center"/>
            <w:hideMark/>
          </w:tcPr>
          <w:p w14:paraId="6F09F91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A548E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BEBDC8E" w14:textId="77777777" w:rsidR="00000000" w:rsidRDefault="00405D16">
            <w:pPr>
              <w:spacing w:after="100"/>
              <w:jc w:val="right"/>
              <w:rPr>
                <w:rFonts w:eastAsia="Times New Roman"/>
              </w:rPr>
            </w:pPr>
            <w:r>
              <w:rPr>
                <w:rFonts w:eastAsia="Times New Roman"/>
                <w:color w:val="000000"/>
                <w:sz w:val="18"/>
                <w:szCs w:val="18"/>
              </w:rPr>
              <w:t>568 </w:t>
            </w:r>
          </w:p>
        </w:tc>
        <w:tc>
          <w:tcPr>
            <w:tcW w:w="0" w:type="auto"/>
            <w:shd w:val="clear" w:color="auto" w:fill="CCEEFF"/>
            <w:tcMar>
              <w:top w:w="30" w:type="dxa"/>
              <w:left w:w="0" w:type="dxa"/>
              <w:bottom w:w="30" w:type="dxa"/>
              <w:right w:w="20" w:type="dxa"/>
            </w:tcMar>
            <w:vAlign w:val="center"/>
            <w:hideMark/>
          </w:tcPr>
          <w:p w14:paraId="4279046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ABEFC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A1AED93" w14:textId="77777777" w:rsidR="00000000" w:rsidRDefault="00405D16">
            <w:pPr>
              <w:spacing w:after="100"/>
              <w:jc w:val="right"/>
              <w:rPr>
                <w:rFonts w:eastAsia="Times New Roman"/>
              </w:rPr>
            </w:pPr>
            <w:r>
              <w:rPr>
                <w:rFonts w:eastAsia="Times New Roman"/>
                <w:color w:val="000000"/>
                <w:sz w:val="18"/>
                <w:szCs w:val="18"/>
              </w:rPr>
              <w:t>11,047 </w:t>
            </w:r>
          </w:p>
        </w:tc>
        <w:tc>
          <w:tcPr>
            <w:tcW w:w="0" w:type="auto"/>
            <w:shd w:val="clear" w:color="auto" w:fill="CCEEFF"/>
            <w:tcMar>
              <w:top w:w="30" w:type="dxa"/>
              <w:left w:w="0" w:type="dxa"/>
              <w:bottom w:w="30" w:type="dxa"/>
              <w:right w:w="20" w:type="dxa"/>
            </w:tcMar>
            <w:vAlign w:val="center"/>
            <w:hideMark/>
          </w:tcPr>
          <w:p w14:paraId="56190E65" w14:textId="77777777" w:rsidR="00000000" w:rsidRDefault="00405D16">
            <w:pPr>
              <w:spacing w:after="100"/>
              <w:jc w:val="right"/>
              <w:rPr>
                <w:rFonts w:eastAsia="Times New Roman"/>
              </w:rPr>
            </w:pPr>
          </w:p>
        </w:tc>
      </w:tr>
      <w:tr w:rsidR="00000000" w14:paraId="18C67B4D" w14:textId="77777777">
        <w:tc>
          <w:tcPr>
            <w:tcW w:w="0" w:type="auto"/>
            <w:gridSpan w:val="3"/>
            <w:shd w:val="clear" w:color="auto" w:fill="FFFFFF"/>
            <w:tcMar>
              <w:top w:w="30" w:type="dxa"/>
              <w:left w:w="20" w:type="dxa"/>
              <w:bottom w:w="30" w:type="dxa"/>
              <w:right w:w="20" w:type="dxa"/>
            </w:tcMar>
            <w:vAlign w:val="center"/>
            <w:hideMark/>
          </w:tcPr>
          <w:p w14:paraId="2A701225" w14:textId="77777777" w:rsidR="00000000" w:rsidRDefault="00405D16">
            <w:pPr>
              <w:spacing w:after="100"/>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FFFFFF"/>
            <w:tcMar>
              <w:top w:w="0" w:type="dxa"/>
              <w:left w:w="20" w:type="dxa"/>
              <w:bottom w:w="0" w:type="dxa"/>
              <w:right w:w="20" w:type="dxa"/>
            </w:tcMar>
            <w:vAlign w:val="center"/>
            <w:hideMark/>
          </w:tcPr>
          <w:p w14:paraId="2874D55B" w14:textId="77777777" w:rsidR="00000000" w:rsidRDefault="00405D16">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529DB94" w14:textId="77777777" w:rsidR="00000000" w:rsidRDefault="00405D16">
            <w:pPr>
              <w:spacing w:after="100"/>
              <w:jc w:val="right"/>
              <w:rPr>
                <w:rFonts w:eastAsia="Times New Roman"/>
              </w:rPr>
            </w:pPr>
            <w:r>
              <w:rPr>
                <w:rFonts w:eastAsia="Times New Roman"/>
                <w:color w:val="000000"/>
                <w:sz w:val="18"/>
                <w:szCs w:val="18"/>
              </w:rPr>
              <w:t>(144)</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1D9763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99C1D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BAE8ACF" w14:textId="77777777" w:rsidR="00000000" w:rsidRDefault="00405D16">
            <w:pPr>
              <w:spacing w:after="100"/>
              <w:jc w:val="right"/>
              <w:rPr>
                <w:rFonts w:eastAsia="Times New Roman"/>
              </w:rPr>
            </w:pPr>
            <w:r>
              <w:rPr>
                <w:rFonts w:eastAsia="Times New Roman"/>
                <w:color w:val="000000"/>
                <w:sz w:val="18"/>
                <w:szCs w:val="18"/>
              </w:rPr>
              <w:t>825 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20FED0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0530D5"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A2F4EEA" w14:textId="77777777" w:rsidR="00000000" w:rsidRDefault="00405D16">
            <w:pPr>
              <w:spacing w:after="100"/>
              <w:jc w:val="right"/>
              <w:rPr>
                <w:rFonts w:eastAsia="Times New Roman"/>
              </w:rPr>
            </w:pPr>
            <w:r>
              <w:rPr>
                <w:rFonts w:eastAsia="Times New Roman"/>
                <w:color w:val="000000"/>
                <w:sz w:val="18"/>
                <w:szCs w:val="18"/>
              </w:rPr>
              <w:t>(289)</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3F36AD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554E28"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FA42EE5" w14:textId="77777777" w:rsidR="00000000" w:rsidRDefault="00405D16">
            <w:pPr>
              <w:spacing w:after="100"/>
              <w:jc w:val="right"/>
              <w:rPr>
                <w:rFonts w:eastAsia="Times New Roman"/>
              </w:rPr>
            </w:pPr>
            <w:r>
              <w:rPr>
                <w:rFonts w:eastAsia="Times New Roman"/>
                <w:color w:val="000000"/>
                <w:sz w:val="18"/>
                <w:szCs w:val="18"/>
              </w:rPr>
              <w:t>(253)</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8A7E34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C6FDB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BFF8CE0" w14:textId="77777777" w:rsidR="00000000" w:rsidRDefault="00405D16">
            <w:pPr>
              <w:spacing w:after="100"/>
              <w:jc w:val="right"/>
              <w:rPr>
                <w:rFonts w:eastAsia="Times New Roman"/>
              </w:rPr>
            </w:pPr>
            <w:r>
              <w:rPr>
                <w:rFonts w:eastAsia="Times New Roman"/>
                <w:color w:val="000000"/>
                <w:sz w:val="18"/>
                <w:szCs w:val="18"/>
              </w:rPr>
              <w:t>139 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5CC46D7" w14:textId="77777777" w:rsidR="00000000" w:rsidRDefault="00405D16">
            <w:pPr>
              <w:spacing w:after="100"/>
              <w:jc w:val="right"/>
              <w:rPr>
                <w:rFonts w:eastAsia="Times New Roman"/>
              </w:rPr>
            </w:pPr>
          </w:p>
        </w:tc>
      </w:tr>
      <w:tr w:rsidR="00000000" w14:paraId="30EBAE83" w14:textId="77777777">
        <w:tc>
          <w:tcPr>
            <w:tcW w:w="0" w:type="auto"/>
            <w:gridSpan w:val="3"/>
            <w:shd w:val="clear" w:color="auto" w:fill="CCEEFF"/>
            <w:tcMar>
              <w:top w:w="30" w:type="dxa"/>
              <w:left w:w="20" w:type="dxa"/>
              <w:bottom w:w="30" w:type="dxa"/>
              <w:right w:w="20" w:type="dxa"/>
            </w:tcMar>
            <w:vAlign w:val="center"/>
            <w:hideMark/>
          </w:tcPr>
          <w:p w14:paraId="1175009B" w14:textId="77777777" w:rsidR="00000000" w:rsidRDefault="00405D16">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14:paraId="50A506A9"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5FD5EC1" w14:textId="77777777" w:rsidR="00000000" w:rsidRDefault="00405D16">
            <w:pPr>
              <w:spacing w:after="100"/>
              <w:jc w:val="right"/>
              <w:rPr>
                <w:rFonts w:eastAsia="Times New Roman"/>
              </w:rPr>
            </w:pPr>
            <w:r>
              <w:rPr>
                <w:rFonts w:eastAsia="Times New Roman"/>
                <w:color w:val="000000"/>
                <w:sz w:val="18"/>
                <w:szCs w:val="18"/>
              </w:rPr>
              <w:t>(34)</w:t>
            </w:r>
          </w:p>
        </w:tc>
        <w:tc>
          <w:tcPr>
            <w:tcW w:w="0" w:type="auto"/>
            <w:shd w:val="clear" w:color="auto" w:fill="CCEEFF"/>
            <w:tcMar>
              <w:top w:w="30" w:type="dxa"/>
              <w:left w:w="0" w:type="dxa"/>
              <w:bottom w:w="30" w:type="dxa"/>
              <w:right w:w="20" w:type="dxa"/>
            </w:tcMar>
            <w:vAlign w:val="center"/>
            <w:hideMark/>
          </w:tcPr>
          <w:p w14:paraId="4428F86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CDEBD7"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0DD9D4D" w14:textId="77777777" w:rsidR="00000000" w:rsidRDefault="00405D16">
            <w:pPr>
              <w:spacing w:after="100"/>
              <w:jc w:val="right"/>
              <w:rPr>
                <w:rFonts w:eastAsia="Times New Roman"/>
              </w:rPr>
            </w:pPr>
            <w:r>
              <w:rPr>
                <w:rFonts w:eastAsia="Times New Roman"/>
                <w:color w:val="000000"/>
                <w:sz w:val="18"/>
                <w:szCs w:val="18"/>
              </w:rPr>
              <w:t>195 </w:t>
            </w:r>
          </w:p>
        </w:tc>
        <w:tc>
          <w:tcPr>
            <w:tcW w:w="0" w:type="auto"/>
            <w:shd w:val="clear" w:color="auto" w:fill="CCEEFF"/>
            <w:tcMar>
              <w:top w:w="30" w:type="dxa"/>
              <w:left w:w="0" w:type="dxa"/>
              <w:bottom w:w="30" w:type="dxa"/>
              <w:right w:w="20" w:type="dxa"/>
            </w:tcMar>
            <w:vAlign w:val="center"/>
            <w:hideMark/>
          </w:tcPr>
          <w:p w14:paraId="30E8791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7AA40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8F36241" w14:textId="77777777" w:rsidR="00000000" w:rsidRDefault="00405D16">
            <w:pPr>
              <w:spacing w:after="100"/>
              <w:jc w:val="right"/>
              <w:rPr>
                <w:rFonts w:eastAsia="Times New Roman"/>
              </w:rPr>
            </w:pPr>
            <w:r>
              <w:rPr>
                <w:rFonts w:eastAsia="Times New Roman"/>
                <w:color w:val="000000"/>
                <w:sz w:val="18"/>
                <w:szCs w:val="18"/>
              </w:rPr>
              <w:t>(69)</w:t>
            </w:r>
          </w:p>
        </w:tc>
        <w:tc>
          <w:tcPr>
            <w:tcW w:w="0" w:type="auto"/>
            <w:shd w:val="clear" w:color="auto" w:fill="CCEEFF"/>
            <w:tcMar>
              <w:top w:w="30" w:type="dxa"/>
              <w:left w:w="0" w:type="dxa"/>
              <w:bottom w:w="30" w:type="dxa"/>
              <w:right w:w="20" w:type="dxa"/>
            </w:tcMar>
            <w:vAlign w:val="center"/>
            <w:hideMark/>
          </w:tcPr>
          <w:p w14:paraId="6C0D3CE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E6CD0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B544E4C" w14:textId="77777777" w:rsidR="00000000" w:rsidRDefault="00405D16">
            <w:pPr>
              <w:spacing w:after="100"/>
              <w:jc w:val="right"/>
              <w:rPr>
                <w:rFonts w:eastAsia="Times New Roman"/>
              </w:rPr>
            </w:pPr>
            <w:r>
              <w:rPr>
                <w:rFonts w:eastAsia="Times New Roman"/>
                <w:color w:val="000000"/>
                <w:sz w:val="18"/>
                <w:szCs w:val="18"/>
              </w:rPr>
              <w:t>(102)</w:t>
            </w:r>
          </w:p>
        </w:tc>
        <w:tc>
          <w:tcPr>
            <w:tcW w:w="0" w:type="auto"/>
            <w:shd w:val="clear" w:color="auto" w:fill="CCEEFF"/>
            <w:tcMar>
              <w:top w:w="30" w:type="dxa"/>
              <w:left w:w="0" w:type="dxa"/>
              <w:bottom w:w="30" w:type="dxa"/>
              <w:right w:w="20" w:type="dxa"/>
            </w:tcMar>
            <w:vAlign w:val="center"/>
            <w:hideMark/>
          </w:tcPr>
          <w:p w14:paraId="6C4CA1C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E67BE6"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F2BFA19" w14:textId="77777777" w:rsidR="00000000" w:rsidRDefault="00405D16">
            <w:pPr>
              <w:spacing w:after="100"/>
              <w:jc w:val="right"/>
              <w:rPr>
                <w:rFonts w:eastAsia="Times New Roman"/>
              </w:rPr>
            </w:pPr>
            <w:r>
              <w:rPr>
                <w:rFonts w:eastAsia="Times New Roman"/>
                <w:color w:val="000000"/>
                <w:sz w:val="18"/>
                <w:szCs w:val="18"/>
              </w:rPr>
              <w:t>(10)</w:t>
            </w:r>
          </w:p>
        </w:tc>
        <w:tc>
          <w:tcPr>
            <w:tcW w:w="0" w:type="auto"/>
            <w:shd w:val="clear" w:color="auto" w:fill="CCEEFF"/>
            <w:tcMar>
              <w:top w:w="30" w:type="dxa"/>
              <w:left w:w="0" w:type="dxa"/>
              <w:bottom w:w="30" w:type="dxa"/>
              <w:right w:w="20" w:type="dxa"/>
            </w:tcMar>
            <w:vAlign w:val="center"/>
            <w:hideMark/>
          </w:tcPr>
          <w:p w14:paraId="05267F3B" w14:textId="77777777" w:rsidR="00000000" w:rsidRDefault="00405D16">
            <w:pPr>
              <w:spacing w:after="100"/>
              <w:jc w:val="right"/>
              <w:rPr>
                <w:rFonts w:eastAsia="Times New Roman"/>
              </w:rPr>
            </w:pPr>
          </w:p>
        </w:tc>
      </w:tr>
      <w:tr w:rsidR="00000000" w14:paraId="561A5028" w14:textId="77777777">
        <w:tc>
          <w:tcPr>
            <w:tcW w:w="0" w:type="auto"/>
            <w:gridSpan w:val="3"/>
            <w:shd w:val="clear" w:color="auto" w:fill="FFFFFF"/>
            <w:tcMar>
              <w:top w:w="30" w:type="dxa"/>
              <w:left w:w="20" w:type="dxa"/>
              <w:bottom w:w="30" w:type="dxa"/>
              <w:right w:w="20" w:type="dxa"/>
            </w:tcMar>
            <w:vAlign w:val="center"/>
            <w:hideMark/>
          </w:tcPr>
          <w:p w14:paraId="5C929448" w14:textId="77777777" w:rsidR="00000000" w:rsidRDefault="00405D16">
            <w:pPr>
              <w:spacing w:after="100"/>
              <w:rPr>
                <w:rFonts w:eastAsia="Times New Roman"/>
              </w:rPr>
            </w:pPr>
            <w:r>
              <w:rPr>
                <w:rFonts w:eastAsia="Times New Roman"/>
                <w:color w:val="000000"/>
                <w:sz w:val="18"/>
                <w:szCs w:val="18"/>
              </w:rPr>
              <w:t>Income (loss) from continuing operations, net of tax</w:t>
            </w:r>
          </w:p>
        </w:tc>
        <w:tc>
          <w:tcPr>
            <w:tcW w:w="0" w:type="auto"/>
            <w:gridSpan w:val="3"/>
            <w:shd w:val="clear" w:color="auto" w:fill="FFFFFF"/>
            <w:tcMar>
              <w:top w:w="0" w:type="dxa"/>
              <w:left w:w="20" w:type="dxa"/>
              <w:bottom w:w="0" w:type="dxa"/>
              <w:right w:w="20" w:type="dxa"/>
            </w:tcMar>
            <w:vAlign w:val="center"/>
            <w:hideMark/>
          </w:tcPr>
          <w:p w14:paraId="7E4F6CF0" w14:textId="77777777" w:rsidR="00000000" w:rsidRDefault="00405D16">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48132AC6"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225CC3E0" w14:textId="77777777" w:rsidR="00000000" w:rsidRDefault="00405D16">
            <w:pPr>
              <w:spacing w:after="100"/>
              <w:jc w:val="right"/>
              <w:rPr>
                <w:rFonts w:eastAsia="Times New Roman"/>
              </w:rPr>
            </w:pPr>
            <w:r>
              <w:rPr>
                <w:rFonts w:eastAsia="Times New Roman"/>
                <w:color w:val="000000"/>
                <w:sz w:val="18"/>
                <w:szCs w:val="18"/>
              </w:rPr>
              <w:t>(110)</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BD328F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D7553C"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35EDBFE8"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7CE7EA57" w14:textId="77777777" w:rsidR="00000000" w:rsidRDefault="00405D16">
            <w:pPr>
              <w:spacing w:after="100"/>
              <w:jc w:val="right"/>
              <w:rPr>
                <w:rFonts w:eastAsia="Times New Roman"/>
              </w:rPr>
            </w:pPr>
            <w:r>
              <w:rPr>
                <w:rFonts w:eastAsia="Times New Roman"/>
                <w:color w:val="000000"/>
                <w:sz w:val="18"/>
                <w:szCs w:val="18"/>
              </w:rPr>
              <w:t>630 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815FB3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54929A"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7D88FB4D"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0B1DC59E" w14:textId="77777777" w:rsidR="00000000" w:rsidRDefault="00405D16">
            <w:pPr>
              <w:spacing w:after="100"/>
              <w:jc w:val="right"/>
              <w:rPr>
                <w:rFonts w:eastAsia="Times New Roman"/>
              </w:rPr>
            </w:pPr>
            <w:r>
              <w:rPr>
                <w:rFonts w:eastAsia="Times New Roman"/>
                <w:color w:val="000000"/>
                <w:sz w:val="18"/>
                <w:szCs w:val="18"/>
              </w:rPr>
              <w:t>(220)</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032EFA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1FB3EE"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14466D08"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6CD18EE4" w14:textId="77777777" w:rsidR="00000000" w:rsidRDefault="00405D16">
            <w:pPr>
              <w:spacing w:after="100"/>
              <w:jc w:val="right"/>
              <w:rPr>
                <w:rFonts w:eastAsia="Times New Roman"/>
              </w:rPr>
            </w:pPr>
            <w:r>
              <w:rPr>
                <w:rFonts w:eastAsia="Times New Roman"/>
                <w:color w:val="000000"/>
                <w:sz w:val="18"/>
                <w:szCs w:val="18"/>
              </w:rPr>
              <w:t>(151)</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E63A98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6A8A44"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6247025B"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9324AFA" w14:textId="77777777" w:rsidR="00000000" w:rsidRDefault="00405D16">
            <w:pPr>
              <w:spacing w:after="100"/>
              <w:jc w:val="right"/>
              <w:rPr>
                <w:rFonts w:eastAsia="Times New Roman"/>
              </w:rPr>
            </w:pPr>
            <w:r>
              <w:rPr>
                <w:rFonts w:eastAsia="Times New Roman"/>
                <w:color w:val="000000"/>
                <w:sz w:val="18"/>
                <w:szCs w:val="18"/>
              </w:rPr>
              <w:t>149 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9734490" w14:textId="77777777" w:rsidR="00000000" w:rsidRDefault="00405D16">
            <w:pPr>
              <w:spacing w:after="100"/>
              <w:jc w:val="right"/>
              <w:rPr>
                <w:rFonts w:eastAsia="Times New Roman"/>
              </w:rPr>
            </w:pPr>
          </w:p>
        </w:tc>
      </w:tr>
      <w:tr w:rsidR="00000000" w14:paraId="6B2D90DC" w14:textId="77777777">
        <w:tc>
          <w:tcPr>
            <w:tcW w:w="0" w:type="auto"/>
            <w:gridSpan w:val="3"/>
            <w:shd w:val="clear" w:color="auto" w:fill="CCEEFF"/>
            <w:tcMar>
              <w:top w:w="30" w:type="dxa"/>
              <w:left w:w="20" w:type="dxa"/>
              <w:bottom w:w="30" w:type="dxa"/>
              <w:right w:w="20" w:type="dxa"/>
            </w:tcMar>
            <w:vAlign w:val="center"/>
            <w:hideMark/>
          </w:tcPr>
          <w:p w14:paraId="4A81F482" w14:textId="77777777" w:rsidR="00000000" w:rsidRDefault="00405D16">
            <w:pPr>
              <w:spacing w:after="100"/>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14:paraId="768E013B" w14:textId="77777777" w:rsidR="00000000" w:rsidRDefault="00405D16">
            <w:pPr>
              <w:spacing w:after="100"/>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40D224C0"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58D8BE61" w14:textId="77777777" w:rsidR="00000000" w:rsidRDefault="00405D16">
            <w:pPr>
              <w:spacing w:after="100"/>
              <w:jc w:val="right"/>
              <w:rPr>
                <w:rFonts w:eastAsia="Times New Roman"/>
              </w:rPr>
            </w:pPr>
            <w:r>
              <w:rPr>
                <w:rFonts w:eastAsia="Times New Roman"/>
                <w:color w:val="000000"/>
                <w:sz w:val="18"/>
                <w:szCs w:val="18"/>
              </w:rPr>
              <w:t>103,641 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0E0C66E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D499B1" w14:textId="77777777" w:rsidR="00000000" w:rsidRDefault="00405D16">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5318D2BF"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7A59D31B" w14:textId="77777777" w:rsidR="00000000" w:rsidRDefault="00405D16">
            <w:pPr>
              <w:spacing w:after="100"/>
              <w:jc w:val="right"/>
              <w:rPr>
                <w:rFonts w:eastAsia="Times New Roman"/>
              </w:rPr>
            </w:pPr>
            <w:r>
              <w:rPr>
                <w:rFonts w:eastAsia="Times New Roman"/>
                <w:color w:val="000000"/>
                <w:sz w:val="18"/>
                <w:szCs w:val="18"/>
              </w:rPr>
              <w:t>68,688 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6304BE5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065862" w14:textId="77777777" w:rsidR="00000000" w:rsidRDefault="00405D16">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36798676"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6F28350E" w14:textId="77777777" w:rsidR="00000000" w:rsidRDefault="00405D16">
            <w:pPr>
              <w:spacing w:after="100"/>
              <w:jc w:val="right"/>
              <w:rPr>
                <w:rFonts w:eastAsia="Times New Roman"/>
              </w:rPr>
            </w:pPr>
            <w:r>
              <w:rPr>
                <w:rFonts w:eastAsia="Times New Roman"/>
                <w:color w:val="000000"/>
                <w:sz w:val="18"/>
                <w:szCs w:val="18"/>
              </w:rPr>
              <w:t>75,894 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7488524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C90865" w14:textId="77777777" w:rsidR="00000000" w:rsidRDefault="00405D16">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3753D0C0"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257C2939" w14:textId="77777777" w:rsidR="00000000" w:rsidRDefault="00405D16">
            <w:pPr>
              <w:spacing w:after="100"/>
              <w:jc w:val="right"/>
              <w:rPr>
                <w:rFonts w:eastAsia="Times New Roman"/>
              </w:rPr>
            </w:pPr>
            <w:r>
              <w:rPr>
                <w:rFonts w:eastAsia="Times New Roman"/>
                <w:color w:val="000000"/>
                <w:sz w:val="18"/>
                <w:szCs w:val="18"/>
              </w:rPr>
              <w:t>0 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2746308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C03CBA" w14:textId="77777777" w:rsidR="00000000" w:rsidRDefault="00405D16">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4BE68050"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64D5679C" w14:textId="77777777" w:rsidR="00000000" w:rsidRDefault="00405D16">
            <w:pPr>
              <w:spacing w:after="100"/>
              <w:jc w:val="right"/>
              <w:rPr>
                <w:rFonts w:eastAsia="Times New Roman"/>
              </w:rPr>
            </w:pPr>
            <w:r>
              <w:rPr>
                <w:rFonts w:eastAsia="Times New Roman"/>
                <w:color w:val="000000"/>
                <w:sz w:val="18"/>
                <w:szCs w:val="18"/>
              </w:rPr>
              <w:t>248,223 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69F4B0BF" w14:textId="77777777" w:rsidR="00000000" w:rsidRDefault="00405D16">
            <w:pPr>
              <w:spacing w:after="100"/>
              <w:jc w:val="right"/>
              <w:rPr>
                <w:rFonts w:eastAsia="Times New Roman"/>
              </w:rPr>
            </w:pPr>
          </w:p>
        </w:tc>
      </w:tr>
      <w:tr w:rsidR="00000000" w14:paraId="36270231" w14:textId="77777777">
        <w:tc>
          <w:tcPr>
            <w:tcW w:w="0" w:type="auto"/>
            <w:gridSpan w:val="3"/>
            <w:shd w:val="clear" w:color="auto" w:fill="FFFFFF"/>
            <w:tcMar>
              <w:top w:w="30" w:type="dxa"/>
              <w:left w:w="20" w:type="dxa"/>
              <w:bottom w:w="30" w:type="dxa"/>
              <w:right w:w="20" w:type="dxa"/>
            </w:tcMar>
            <w:vAlign w:val="center"/>
            <w:hideMark/>
          </w:tcPr>
          <w:p w14:paraId="4E1B4354" w14:textId="77777777" w:rsidR="00000000" w:rsidRDefault="00405D16">
            <w:pPr>
              <w:spacing w:after="100"/>
              <w:rPr>
                <w:rFonts w:eastAsia="Times New Roman"/>
              </w:rPr>
            </w:pPr>
            <w:r>
              <w:rPr>
                <w:rFonts w:eastAsia="Times New Roman"/>
                <w:color w:val="000000"/>
                <w:sz w:val="18"/>
                <w:szCs w:val="18"/>
              </w:rPr>
              <w:t>Deposits</w:t>
            </w:r>
          </w:p>
        </w:tc>
        <w:tc>
          <w:tcPr>
            <w:tcW w:w="0" w:type="auto"/>
            <w:gridSpan w:val="3"/>
            <w:shd w:val="clear" w:color="auto" w:fill="FFFFFF"/>
            <w:tcMar>
              <w:top w:w="0" w:type="dxa"/>
              <w:left w:w="20" w:type="dxa"/>
              <w:bottom w:w="0" w:type="dxa"/>
              <w:right w:w="20" w:type="dxa"/>
            </w:tcMar>
            <w:vAlign w:val="center"/>
            <w:hideMark/>
          </w:tcPr>
          <w:p w14:paraId="06F2CDA7"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BC834DE"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3AA1012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B5896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86557FC" w14:textId="77777777" w:rsidR="00000000" w:rsidRDefault="00405D16">
            <w:pPr>
              <w:spacing w:after="100"/>
              <w:jc w:val="right"/>
              <w:rPr>
                <w:rFonts w:eastAsia="Times New Roman"/>
              </w:rPr>
            </w:pPr>
            <w:r>
              <w:rPr>
                <w:rFonts w:eastAsia="Times New Roman"/>
                <w:color w:val="000000"/>
                <w:sz w:val="18"/>
                <w:szCs w:val="18"/>
              </w:rPr>
              <w:t>249,684 </w:t>
            </w:r>
          </w:p>
        </w:tc>
        <w:tc>
          <w:tcPr>
            <w:tcW w:w="0" w:type="auto"/>
            <w:shd w:val="clear" w:color="auto" w:fill="FFFFFF"/>
            <w:tcMar>
              <w:top w:w="30" w:type="dxa"/>
              <w:left w:w="0" w:type="dxa"/>
              <w:bottom w:w="30" w:type="dxa"/>
              <w:right w:w="20" w:type="dxa"/>
            </w:tcMar>
            <w:vAlign w:val="center"/>
            <w:hideMark/>
          </w:tcPr>
          <w:p w14:paraId="72ED4C6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987D1C"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9045A7D" w14:textId="77777777" w:rsidR="00000000" w:rsidRDefault="00405D16">
            <w:pPr>
              <w:spacing w:after="100"/>
              <w:jc w:val="right"/>
              <w:rPr>
                <w:rFonts w:eastAsia="Times New Roman"/>
              </w:rPr>
            </w:pPr>
            <w:r>
              <w:rPr>
                <w:rFonts w:eastAsia="Times New Roman"/>
                <w:color w:val="000000"/>
                <w:sz w:val="18"/>
                <w:szCs w:val="18"/>
              </w:rPr>
              <w:t>36,783 </w:t>
            </w:r>
          </w:p>
        </w:tc>
        <w:tc>
          <w:tcPr>
            <w:tcW w:w="0" w:type="auto"/>
            <w:shd w:val="clear" w:color="auto" w:fill="FFFFFF"/>
            <w:tcMar>
              <w:top w:w="30" w:type="dxa"/>
              <w:left w:w="0" w:type="dxa"/>
              <w:bottom w:w="30" w:type="dxa"/>
              <w:right w:w="20" w:type="dxa"/>
            </w:tcMar>
            <w:vAlign w:val="center"/>
            <w:hideMark/>
          </w:tcPr>
          <w:p w14:paraId="7710338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9635E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49FF4F4" w14:textId="77777777" w:rsidR="00000000" w:rsidRDefault="00405D16">
            <w:pPr>
              <w:spacing w:after="100"/>
              <w:jc w:val="right"/>
              <w:rPr>
                <w:rFonts w:eastAsia="Times New Roman"/>
              </w:rPr>
            </w:pPr>
            <w:r>
              <w:rPr>
                <w:rFonts w:eastAsia="Times New Roman"/>
                <w:color w:val="000000"/>
                <w:sz w:val="18"/>
                <w:szCs w:val="18"/>
              </w:rPr>
              <w:t>19,258 </w:t>
            </w:r>
          </w:p>
        </w:tc>
        <w:tc>
          <w:tcPr>
            <w:tcW w:w="0" w:type="auto"/>
            <w:shd w:val="clear" w:color="auto" w:fill="FFFFFF"/>
            <w:tcMar>
              <w:top w:w="30" w:type="dxa"/>
              <w:left w:w="0" w:type="dxa"/>
              <w:bottom w:w="30" w:type="dxa"/>
              <w:right w:w="20" w:type="dxa"/>
            </w:tcMar>
            <w:vAlign w:val="center"/>
            <w:hideMark/>
          </w:tcPr>
          <w:p w14:paraId="37851A6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5261F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B843ECE" w14:textId="77777777" w:rsidR="00000000" w:rsidRDefault="00405D16">
            <w:pPr>
              <w:spacing w:after="100"/>
              <w:jc w:val="right"/>
              <w:rPr>
                <w:rFonts w:eastAsia="Times New Roman"/>
              </w:rPr>
            </w:pPr>
            <w:r>
              <w:rPr>
                <w:rFonts w:eastAsia="Times New Roman"/>
                <w:color w:val="000000"/>
                <w:sz w:val="18"/>
                <w:szCs w:val="18"/>
              </w:rPr>
              <w:t>305,725 </w:t>
            </w:r>
          </w:p>
        </w:tc>
        <w:tc>
          <w:tcPr>
            <w:tcW w:w="0" w:type="auto"/>
            <w:shd w:val="clear" w:color="auto" w:fill="FFFFFF"/>
            <w:tcMar>
              <w:top w:w="30" w:type="dxa"/>
              <w:left w:w="0" w:type="dxa"/>
              <w:bottom w:w="30" w:type="dxa"/>
              <w:right w:w="20" w:type="dxa"/>
            </w:tcMar>
            <w:vAlign w:val="center"/>
            <w:hideMark/>
          </w:tcPr>
          <w:p w14:paraId="7B6A4005" w14:textId="77777777" w:rsidR="00000000" w:rsidRDefault="00405D16">
            <w:pPr>
              <w:spacing w:after="100"/>
              <w:jc w:val="right"/>
              <w:rPr>
                <w:rFonts w:eastAsia="Times New Roman"/>
              </w:rPr>
            </w:pPr>
          </w:p>
        </w:tc>
      </w:tr>
    </w:tbl>
    <w:p w14:paraId="118BEDBE" w14:textId="77777777" w:rsidR="00000000" w:rsidRDefault="00405D16">
      <w:pPr>
        <w:jc w:val="both"/>
        <w:rPr>
          <w:rFonts w:eastAsia="Times New Roman"/>
        </w:rPr>
      </w:pPr>
      <w:r>
        <w:rPr>
          <w:rFonts w:eastAsia="Times New Roman"/>
          <w:color w:val="000000"/>
          <w:sz w:val="20"/>
          <w:szCs w:val="20"/>
        </w:rPr>
        <w:t>__________</w:t>
      </w:r>
    </w:p>
    <w:p w14:paraId="402C40A1" w14:textId="77777777" w:rsidR="00000000" w:rsidRDefault="00405D16">
      <w:pPr>
        <w:ind w:hanging="360"/>
        <w:jc w:val="both"/>
        <w:divId w:val="115514767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Some of our commercial investments generate tax-exempt income, tax credits or other tax benefits. Accordingly, we present our Commercial Banking revenue and yields on a taxable-equivalent basis, calculated using the federal statutory tax rate of 21% and st</w:t>
      </w:r>
      <w:r>
        <w:rPr>
          <w:rFonts w:eastAsia="Times New Roman"/>
          <w:color w:val="000000"/>
          <w:sz w:val="16"/>
          <w:szCs w:val="16"/>
        </w:rPr>
        <w:t>ate taxes where applicable, with offsetting reductions to the Other category.</w:t>
      </w:r>
    </w:p>
    <w:p w14:paraId="7CB83993" w14:textId="77777777" w:rsidR="00000000" w:rsidRDefault="00405D16">
      <w:pPr>
        <w:ind w:hanging="360"/>
        <w:jc w:val="both"/>
        <w:divId w:val="1335106090"/>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Total net revenue was reduced by $123 million and $478 million in the three and nine months ended September 30, 2021, respectively, and $235 million and $942 million in the th</w:t>
      </w:r>
      <w:r>
        <w:rPr>
          <w:rFonts w:eastAsia="Times New Roman"/>
          <w:color w:val="000000"/>
          <w:sz w:val="16"/>
          <w:szCs w:val="16"/>
        </w:rPr>
        <w:t>ree and nine months ended September 30, 2020, respectively, for credit card finance charges and fees charged off as uncollectible.</w:t>
      </w:r>
    </w:p>
    <w:p w14:paraId="4285BB7B" w14:textId="77777777" w:rsidR="00000000" w:rsidRDefault="00405D16">
      <w:pPr>
        <w:divId w:val="1280448913"/>
        <w:rPr>
          <w:rFonts w:eastAsia="Times New Roman"/>
        </w:rPr>
      </w:pPr>
      <w:r>
        <w:rPr>
          <w:rFonts w:eastAsia="Times New Roman"/>
          <w:b/>
          <w:bCs/>
          <w:color w:val="000000"/>
          <w:sz w:val="20"/>
          <w:szCs w:val="20"/>
        </w:rPr>
        <w:t>Revenue from Contracts with Customers</w:t>
      </w:r>
    </w:p>
    <w:p w14:paraId="1F7639EC" w14:textId="77777777" w:rsidR="00000000" w:rsidRDefault="00405D16">
      <w:pPr>
        <w:jc w:val="both"/>
        <w:rPr>
          <w:rFonts w:eastAsia="Times New Roman"/>
        </w:rPr>
      </w:pPr>
      <w:r>
        <w:rPr>
          <w:rFonts w:eastAsia="Times New Roman"/>
          <w:color w:val="000000"/>
          <w:sz w:val="20"/>
          <w:szCs w:val="20"/>
        </w:rPr>
        <w:t>The majority of our revenue from contracts with customers consists of interchange fees,</w:t>
      </w:r>
      <w:r>
        <w:rPr>
          <w:rFonts w:eastAsia="Times New Roman"/>
          <w:color w:val="000000"/>
          <w:sz w:val="20"/>
          <w:szCs w:val="20"/>
        </w:rPr>
        <w:t xml:space="preserve"> service charges and other customer-related fees, and other contract revenue. Interchange fees are primarily from our Credit Card business and are recognized upon settlement with the interchange networks, net of rewards earned by customers. Service charges</w:t>
      </w:r>
      <w:r>
        <w:rPr>
          <w:rFonts w:eastAsia="Times New Roman"/>
          <w:color w:val="000000"/>
          <w:sz w:val="20"/>
          <w:szCs w:val="20"/>
        </w:rPr>
        <w:t xml:space="preserve"> and other customer-related fees within our Consumer Banking business are primarily related to fees earned on consumer deposit accounts for account maintenance and various transaction-based services such as overdrafts and automated teller machine (“ATM”) u</w:t>
      </w:r>
      <w:r>
        <w:rPr>
          <w:rFonts w:eastAsia="Times New Roman"/>
          <w:color w:val="000000"/>
          <w:sz w:val="20"/>
          <w:szCs w:val="20"/>
        </w:rPr>
        <w:t>sage. Service charges and other customer-related fees within our Commercial Banking business are mostly related to fees earned on treasury management and capital markets services. Other contract revenue in our Credit Card business consists primarily of rev</w:t>
      </w:r>
      <w:r>
        <w:rPr>
          <w:rFonts w:eastAsia="Times New Roman"/>
          <w:color w:val="000000"/>
          <w:sz w:val="20"/>
          <w:szCs w:val="20"/>
        </w:rPr>
        <w:t>enue from our partnership arrangements. Other contract revenue in our Consumer Banking business consists primarily of revenue earned on certain marketing and promotional events from our auto dealers. Revenue from contracts with customers is included in non</w:t>
      </w:r>
      <w:r>
        <w:rPr>
          <w:rFonts w:eastAsia="Times New Roman"/>
          <w:color w:val="000000"/>
          <w:sz w:val="20"/>
          <w:szCs w:val="20"/>
        </w:rPr>
        <w:t>-interest income in our consolidated statements of income.</w:t>
      </w:r>
    </w:p>
    <w:p w14:paraId="1598DD37" w14:textId="77777777" w:rsidR="00000000" w:rsidRDefault="00405D16">
      <w:pPr>
        <w:jc w:val="both"/>
        <w:divId w:val="1761564827"/>
        <w:rPr>
          <w:rFonts w:eastAsia="Times New Roman"/>
        </w:rPr>
      </w:pPr>
      <w:r>
        <w:rPr>
          <w:rFonts w:eastAsia="Times New Roman"/>
          <w:color w:val="000000"/>
          <w:sz w:val="20"/>
          <w:szCs w:val="20"/>
        </w:rPr>
        <w:t>The following table presents revenue from contracts with customers and a reconciliation to non-interest income by business segment for the three and nine months ended September 30, 2021 and 2020.</w:t>
      </w:r>
    </w:p>
    <w:p w14:paraId="246B4F97" w14:textId="77777777" w:rsidR="00000000" w:rsidRDefault="00405D16">
      <w:pPr>
        <w:divId w:val="727647406"/>
        <w:rPr>
          <w:rFonts w:eastAsia="Times New Roman"/>
        </w:rPr>
      </w:pPr>
      <w:r>
        <w:rPr>
          <w:rFonts w:eastAsia="Times New Roman"/>
          <w:b/>
          <w:bCs/>
          <w:color w:val="000000"/>
          <w:sz w:val="18"/>
          <w:szCs w:val="18"/>
        </w:rPr>
        <w:t>T</w:t>
      </w:r>
      <w:r>
        <w:rPr>
          <w:rFonts w:eastAsia="Times New Roman"/>
          <w:b/>
          <w:bCs/>
          <w:color w:val="000000"/>
          <w:sz w:val="18"/>
          <w:szCs w:val="18"/>
        </w:rPr>
        <w:t>able 12.2: Revenue from Contracts with Customers and Reconciliation to Segment Results</w:t>
      </w:r>
    </w:p>
    <w:tbl>
      <w:tblPr>
        <w:tblW w:w="5000" w:type="pct"/>
        <w:tblCellMar>
          <w:top w:w="15" w:type="dxa"/>
          <w:left w:w="15" w:type="dxa"/>
          <w:bottom w:w="15" w:type="dxa"/>
          <w:right w:w="15" w:type="dxa"/>
        </w:tblCellMar>
        <w:tblLook w:val="04A0" w:firstRow="1" w:lastRow="0" w:firstColumn="1" w:lastColumn="0" w:noHBand="0" w:noVBand="1"/>
      </w:tblPr>
      <w:tblGrid>
        <w:gridCol w:w="39"/>
        <w:gridCol w:w="3637"/>
        <w:gridCol w:w="38"/>
        <w:gridCol w:w="36"/>
        <w:gridCol w:w="36"/>
        <w:gridCol w:w="36"/>
        <w:gridCol w:w="110"/>
        <w:gridCol w:w="524"/>
        <w:gridCol w:w="36"/>
        <w:gridCol w:w="36"/>
        <w:gridCol w:w="36"/>
        <w:gridCol w:w="36"/>
        <w:gridCol w:w="111"/>
        <w:gridCol w:w="668"/>
        <w:gridCol w:w="36"/>
        <w:gridCol w:w="36"/>
        <w:gridCol w:w="36"/>
        <w:gridCol w:w="36"/>
        <w:gridCol w:w="111"/>
        <w:gridCol w:w="785"/>
        <w:gridCol w:w="36"/>
        <w:gridCol w:w="36"/>
        <w:gridCol w:w="36"/>
        <w:gridCol w:w="36"/>
        <w:gridCol w:w="111"/>
        <w:gridCol w:w="503"/>
        <w:gridCol w:w="36"/>
        <w:gridCol w:w="36"/>
        <w:gridCol w:w="36"/>
        <w:gridCol w:w="36"/>
        <w:gridCol w:w="111"/>
        <w:gridCol w:w="838"/>
        <w:gridCol w:w="36"/>
      </w:tblGrid>
      <w:tr w:rsidR="00000000" w14:paraId="4C635568" w14:textId="77777777">
        <w:trPr>
          <w:divId w:val="727647406"/>
        </w:trPr>
        <w:tc>
          <w:tcPr>
            <w:tcW w:w="50" w:type="pct"/>
            <w:vAlign w:val="center"/>
            <w:hideMark/>
          </w:tcPr>
          <w:p w14:paraId="43D907B5" w14:textId="77777777" w:rsidR="00000000" w:rsidRDefault="00405D16">
            <w:pPr>
              <w:rPr>
                <w:rFonts w:eastAsia="Times New Roman"/>
              </w:rPr>
            </w:pPr>
          </w:p>
        </w:tc>
        <w:tc>
          <w:tcPr>
            <w:tcW w:w="2284" w:type="pct"/>
            <w:vAlign w:val="center"/>
            <w:hideMark/>
          </w:tcPr>
          <w:p w14:paraId="780978E7" w14:textId="77777777" w:rsidR="00000000" w:rsidRDefault="00405D16">
            <w:pPr>
              <w:spacing w:after="100"/>
              <w:rPr>
                <w:rFonts w:eastAsia="Times New Roman"/>
                <w:sz w:val="20"/>
                <w:szCs w:val="20"/>
              </w:rPr>
            </w:pPr>
          </w:p>
        </w:tc>
        <w:tc>
          <w:tcPr>
            <w:tcW w:w="5" w:type="pct"/>
            <w:vAlign w:val="center"/>
            <w:hideMark/>
          </w:tcPr>
          <w:p w14:paraId="1E702111" w14:textId="77777777" w:rsidR="00000000" w:rsidRDefault="00405D16">
            <w:pPr>
              <w:spacing w:after="100"/>
              <w:rPr>
                <w:rFonts w:eastAsia="Times New Roman"/>
                <w:sz w:val="20"/>
                <w:szCs w:val="20"/>
              </w:rPr>
            </w:pPr>
          </w:p>
        </w:tc>
        <w:tc>
          <w:tcPr>
            <w:tcW w:w="5" w:type="pct"/>
            <w:vAlign w:val="center"/>
            <w:hideMark/>
          </w:tcPr>
          <w:p w14:paraId="4EB1596C" w14:textId="77777777" w:rsidR="00000000" w:rsidRDefault="00405D16">
            <w:pPr>
              <w:spacing w:after="100"/>
              <w:rPr>
                <w:rFonts w:eastAsia="Times New Roman"/>
                <w:sz w:val="20"/>
                <w:szCs w:val="20"/>
              </w:rPr>
            </w:pPr>
          </w:p>
        </w:tc>
        <w:tc>
          <w:tcPr>
            <w:tcW w:w="26" w:type="pct"/>
            <w:vAlign w:val="center"/>
            <w:hideMark/>
          </w:tcPr>
          <w:p w14:paraId="04C072AF" w14:textId="77777777" w:rsidR="00000000" w:rsidRDefault="00405D16">
            <w:pPr>
              <w:spacing w:after="100"/>
              <w:rPr>
                <w:rFonts w:eastAsia="Times New Roman"/>
                <w:sz w:val="20"/>
                <w:szCs w:val="20"/>
              </w:rPr>
            </w:pPr>
          </w:p>
        </w:tc>
        <w:tc>
          <w:tcPr>
            <w:tcW w:w="5" w:type="pct"/>
            <w:vAlign w:val="center"/>
            <w:hideMark/>
          </w:tcPr>
          <w:p w14:paraId="65FC4D02" w14:textId="77777777" w:rsidR="00000000" w:rsidRDefault="00405D16">
            <w:pPr>
              <w:spacing w:after="100"/>
              <w:rPr>
                <w:rFonts w:eastAsia="Times New Roman"/>
                <w:sz w:val="20"/>
                <w:szCs w:val="20"/>
              </w:rPr>
            </w:pPr>
          </w:p>
        </w:tc>
        <w:tc>
          <w:tcPr>
            <w:tcW w:w="50" w:type="pct"/>
            <w:vAlign w:val="center"/>
            <w:hideMark/>
          </w:tcPr>
          <w:p w14:paraId="1B2330BA" w14:textId="77777777" w:rsidR="00000000" w:rsidRDefault="00405D16">
            <w:pPr>
              <w:spacing w:after="100"/>
              <w:rPr>
                <w:rFonts w:eastAsia="Times New Roman"/>
                <w:sz w:val="20"/>
                <w:szCs w:val="20"/>
              </w:rPr>
            </w:pPr>
          </w:p>
        </w:tc>
        <w:tc>
          <w:tcPr>
            <w:tcW w:w="434" w:type="pct"/>
            <w:vAlign w:val="center"/>
            <w:hideMark/>
          </w:tcPr>
          <w:p w14:paraId="301111BC" w14:textId="77777777" w:rsidR="00000000" w:rsidRDefault="00405D16">
            <w:pPr>
              <w:spacing w:after="100"/>
              <w:rPr>
                <w:rFonts w:eastAsia="Times New Roman"/>
                <w:sz w:val="20"/>
                <w:szCs w:val="20"/>
              </w:rPr>
            </w:pPr>
          </w:p>
        </w:tc>
        <w:tc>
          <w:tcPr>
            <w:tcW w:w="5" w:type="pct"/>
            <w:vAlign w:val="center"/>
            <w:hideMark/>
          </w:tcPr>
          <w:p w14:paraId="19E21BB0" w14:textId="77777777" w:rsidR="00000000" w:rsidRDefault="00405D16">
            <w:pPr>
              <w:spacing w:after="100"/>
              <w:rPr>
                <w:rFonts w:eastAsia="Times New Roman"/>
                <w:sz w:val="20"/>
                <w:szCs w:val="20"/>
              </w:rPr>
            </w:pPr>
          </w:p>
        </w:tc>
        <w:tc>
          <w:tcPr>
            <w:tcW w:w="5" w:type="pct"/>
            <w:vAlign w:val="center"/>
            <w:hideMark/>
          </w:tcPr>
          <w:p w14:paraId="124CDFDE" w14:textId="77777777" w:rsidR="00000000" w:rsidRDefault="00405D16">
            <w:pPr>
              <w:spacing w:after="100"/>
              <w:rPr>
                <w:rFonts w:eastAsia="Times New Roman"/>
                <w:sz w:val="20"/>
                <w:szCs w:val="20"/>
              </w:rPr>
            </w:pPr>
          </w:p>
        </w:tc>
        <w:tc>
          <w:tcPr>
            <w:tcW w:w="26" w:type="pct"/>
            <w:vAlign w:val="center"/>
            <w:hideMark/>
          </w:tcPr>
          <w:p w14:paraId="2A351294" w14:textId="77777777" w:rsidR="00000000" w:rsidRDefault="00405D16">
            <w:pPr>
              <w:spacing w:after="100"/>
              <w:rPr>
                <w:rFonts w:eastAsia="Times New Roman"/>
                <w:sz w:val="20"/>
                <w:szCs w:val="20"/>
              </w:rPr>
            </w:pPr>
          </w:p>
        </w:tc>
        <w:tc>
          <w:tcPr>
            <w:tcW w:w="5" w:type="pct"/>
            <w:vAlign w:val="center"/>
            <w:hideMark/>
          </w:tcPr>
          <w:p w14:paraId="511683D1" w14:textId="77777777" w:rsidR="00000000" w:rsidRDefault="00405D16">
            <w:pPr>
              <w:spacing w:after="100"/>
              <w:rPr>
                <w:rFonts w:eastAsia="Times New Roman"/>
                <w:sz w:val="20"/>
                <w:szCs w:val="20"/>
              </w:rPr>
            </w:pPr>
          </w:p>
        </w:tc>
        <w:tc>
          <w:tcPr>
            <w:tcW w:w="50" w:type="pct"/>
            <w:vAlign w:val="center"/>
            <w:hideMark/>
          </w:tcPr>
          <w:p w14:paraId="67CBD0C6" w14:textId="77777777" w:rsidR="00000000" w:rsidRDefault="00405D16">
            <w:pPr>
              <w:spacing w:after="100"/>
              <w:rPr>
                <w:rFonts w:eastAsia="Times New Roman"/>
                <w:sz w:val="20"/>
                <w:szCs w:val="20"/>
              </w:rPr>
            </w:pPr>
          </w:p>
        </w:tc>
        <w:tc>
          <w:tcPr>
            <w:tcW w:w="434" w:type="pct"/>
            <w:vAlign w:val="center"/>
            <w:hideMark/>
          </w:tcPr>
          <w:p w14:paraId="111532B2" w14:textId="77777777" w:rsidR="00000000" w:rsidRDefault="00405D16">
            <w:pPr>
              <w:spacing w:after="100"/>
              <w:rPr>
                <w:rFonts w:eastAsia="Times New Roman"/>
                <w:sz w:val="20"/>
                <w:szCs w:val="20"/>
              </w:rPr>
            </w:pPr>
          </w:p>
        </w:tc>
        <w:tc>
          <w:tcPr>
            <w:tcW w:w="5" w:type="pct"/>
            <w:vAlign w:val="center"/>
            <w:hideMark/>
          </w:tcPr>
          <w:p w14:paraId="75468651" w14:textId="77777777" w:rsidR="00000000" w:rsidRDefault="00405D16">
            <w:pPr>
              <w:spacing w:after="100"/>
              <w:rPr>
                <w:rFonts w:eastAsia="Times New Roman"/>
                <w:sz w:val="20"/>
                <w:szCs w:val="20"/>
              </w:rPr>
            </w:pPr>
          </w:p>
        </w:tc>
        <w:tc>
          <w:tcPr>
            <w:tcW w:w="5" w:type="pct"/>
            <w:vAlign w:val="center"/>
            <w:hideMark/>
          </w:tcPr>
          <w:p w14:paraId="2D9BBF59" w14:textId="77777777" w:rsidR="00000000" w:rsidRDefault="00405D16">
            <w:pPr>
              <w:spacing w:after="100"/>
              <w:rPr>
                <w:rFonts w:eastAsia="Times New Roman"/>
                <w:sz w:val="20"/>
                <w:szCs w:val="20"/>
              </w:rPr>
            </w:pPr>
          </w:p>
        </w:tc>
        <w:tc>
          <w:tcPr>
            <w:tcW w:w="26" w:type="pct"/>
            <w:vAlign w:val="center"/>
            <w:hideMark/>
          </w:tcPr>
          <w:p w14:paraId="4B087ECA" w14:textId="77777777" w:rsidR="00000000" w:rsidRDefault="00405D16">
            <w:pPr>
              <w:spacing w:after="100"/>
              <w:rPr>
                <w:rFonts w:eastAsia="Times New Roman"/>
                <w:sz w:val="20"/>
                <w:szCs w:val="20"/>
              </w:rPr>
            </w:pPr>
          </w:p>
        </w:tc>
        <w:tc>
          <w:tcPr>
            <w:tcW w:w="5" w:type="pct"/>
            <w:vAlign w:val="center"/>
            <w:hideMark/>
          </w:tcPr>
          <w:p w14:paraId="1FF4F3D6" w14:textId="77777777" w:rsidR="00000000" w:rsidRDefault="00405D16">
            <w:pPr>
              <w:spacing w:after="100"/>
              <w:rPr>
                <w:rFonts w:eastAsia="Times New Roman"/>
                <w:sz w:val="20"/>
                <w:szCs w:val="20"/>
              </w:rPr>
            </w:pPr>
          </w:p>
        </w:tc>
        <w:tc>
          <w:tcPr>
            <w:tcW w:w="50" w:type="pct"/>
            <w:vAlign w:val="center"/>
            <w:hideMark/>
          </w:tcPr>
          <w:p w14:paraId="133B142A" w14:textId="77777777" w:rsidR="00000000" w:rsidRDefault="00405D16">
            <w:pPr>
              <w:spacing w:after="100"/>
              <w:rPr>
                <w:rFonts w:eastAsia="Times New Roman"/>
                <w:sz w:val="20"/>
                <w:szCs w:val="20"/>
              </w:rPr>
            </w:pPr>
          </w:p>
        </w:tc>
        <w:tc>
          <w:tcPr>
            <w:tcW w:w="434" w:type="pct"/>
            <w:vAlign w:val="center"/>
            <w:hideMark/>
          </w:tcPr>
          <w:p w14:paraId="5C81444E" w14:textId="77777777" w:rsidR="00000000" w:rsidRDefault="00405D16">
            <w:pPr>
              <w:spacing w:after="100"/>
              <w:rPr>
                <w:rFonts w:eastAsia="Times New Roman"/>
                <w:sz w:val="20"/>
                <w:szCs w:val="20"/>
              </w:rPr>
            </w:pPr>
          </w:p>
        </w:tc>
        <w:tc>
          <w:tcPr>
            <w:tcW w:w="5" w:type="pct"/>
            <w:vAlign w:val="center"/>
            <w:hideMark/>
          </w:tcPr>
          <w:p w14:paraId="66265540" w14:textId="77777777" w:rsidR="00000000" w:rsidRDefault="00405D16">
            <w:pPr>
              <w:spacing w:after="100"/>
              <w:rPr>
                <w:rFonts w:eastAsia="Times New Roman"/>
                <w:sz w:val="20"/>
                <w:szCs w:val="20"/>
              </w:rPr>
            </w:pPr>
          </w:p>
        </w:tc>
        <w:tc>
          <w:tcPr>
            <w:tcW w:w="5" w:type="pct"/>
            <w:vAlign w:val="center"/>
            <w:hideMark/>
          </w:tcPr>
          <w:p w14:paraId="67A16E2F" w14:textId="77777777" w:rsidR="00000000" w:rsidRDefault="00405D16">
            <w:pPr>
              <w:spacing w:after="100"/>
              <w:rPr>
                <w:rFonts w:eastAsia="Times New Roman"/>
                <w:sz w:val="20"/>
                <w:szCs w:val="20"/>
              </w:rPr>
            </w:pPr>
          </w:p>
        </w:tc>
        <w:tc>
          <w:tcPr>
            <w:tcW w:w="26" w:type="pct"/>
            <w:vAlign w:val="center"/>
            <w:hideMark/>
          </w:tcPr>
          <w:p w14:paraId="370CFD88" w14:textId="77777777" w:rsidR="00000000" w:rsidRDefault="00405D16">
            <w:pPr>
              <w:spacing w:after="100"/>
              <w:rPr>
                <w:rFonts w:eastAsia="Times New Roman"/>
                <w:sz w:val="20"/>
                <w:szCs w:val="20"/>
              </w:rPr>
            </w:pPr>
          </w:p>
        </w:tc>
        <w:tc>
          <w:tcPr>
            <w:tcW w:w="5" w:type="pct"/>
            <w:vAlign w:val="center"/>
            <w:hideMark/>
          </w:tcPr>
          <w:p w14:paraId="086718EF" w14:textId="77777777" w:rsidR="00000000" w:rsidRDefault="00405D16">
            <w:pPr>
              <w:spacing w:after="100"/>
              <w:rPr>
                <w:rFonts w:eastAsia="Times New Roman"/>
                <w:sz w:val="20"/>
                <w:szCs w:val="20"/>
              </w:rPr>
            </w:pPr>
          </w:p>
        </w:tc>
        <w:tc>
          <w:tcPr>
            <w:tcW w:w="50" w:type="pct"/>
            <w:vAlign w:val="center"/>
            <w:hideMark/>
          </w:tcPr>
          <w:p w14:paraId="76344A15" w14:textId="77777777" w:rsidR="00000000" w:rsidRDefault="00405D16">
            <w:pPr>
              <w:spacing w:after="100"/>
              <w:rPr>
                <w:rFonts w:eastAsia="Times New Roman"/>
                <w:sz w:val="20"/>
                <w:szCs w:val="20"/>
              </w:rPr>
            </w:pPr>
          </w:p>
        </w:tc>
        <w:tc>
          <w:tcPr>
            <w:tcW w:w="434" w:type="pct"/>
            <w:vAlign w:val="center"/>
            <w:hideMark/>
          </w:tcPr>
          <w:p w14:paraId="4F0B0FD9" w14:textId="77777777" w:rsidR="00000000" w:rsidRDefault="00405D16">
            <w:pPr>
              <w:spacing w:after="100"/>
              <w:rPr>
                <w:rFonts w:eastAsia="Times New Roman"/>
                <w:sz w:val="20"/>
                <w:szCs w:val="20"/>
              </w:rPr>
            </w:pPr>
          </w:p>
        </w:tc>
        <w:tc>
          <w:tcPr>
            <w:tcW w:w="5" w:type="pct"/>
            <w:vAlign w:val="center"/>
            <w:hideMark/>
          </w:tcPr>
          <w:p w14:paraId="766BDA5C" w14:textId="77777777" w:rsidR="00000000" w:rsidRDefault="00405D16">
            <w:pPr>
              <w:spacing w:after="100"/>
              <w:rPr>
                <w:rFonts w:eastAsia="Times New Roman"/>
                <w:sz w:val="20"/>
                <w:szCs w:val="20"/>
              </w:rPr>
            </w:pPr>
          </w:p>
        </w:tc>
        <w:tc>
          <w:tcPr>
            <w:tcW w:w="5" w:type="pct"/>
            <w:vAlign w:val="center"/>
            <w:hideMark/>
          </w:tcPr>
          <w:p w14:paraId="22A4F628" w14:textId="77777777" w:rsidR="00000000" w:rsidRDefault="00405D16">
            <w:pPr>
              <w:spacing w:after="100"/>
              <w:rPr>
                <w:rFonts w:eastAsia="Times New Roman"/>
                <w:sz w:val="20"/>
                <w:szCs w:val="20"/>
              </w:rPr>
            </w:pPr>
          </w:p>
        </w:tc>
        <w:tc>
          <w:tcPr>
            <w:tcW w:w="26" w:type="pct"/>
            <w:vAlign w:val="center"/>
            <w:hideMark/>
          </w:tcPr>
          <w:p w14:paraId="2D842464" w14:textId="77777777" w:rsidR="00000000" w:rsidRDefault="00405D16">
            <w:pPr>
              <w:spacing w:after="100"/>
              <w:rPr>
                <w:rFonts w:eastAsia="Times New Roman"/>
                <w:sz w:val="20"/>
                <w:szCs w:val="20"/>
              </w:rPr>
            </w:pPr>
          </w:p>
        </w:tc>
        <w:tc>
          <w:tcPr>
            <w:tcW w:w="5" w:type="pct"/>
            <w:vAlign w:val="center"/>
            <w:hideMark/>
          </w:tcPr>
          <w:p w14:paraId="4174CB39" w14:textId="77777777" w:rsidR="00000000" w:rsidRDefault="00405D16">
            <w:pPr>
              <w:spacing w:after="100"/>
              <w:rPr>
                <w:rFonts w:eastAsia="Times New Roman"/>
                <w:sz w:val="20"/>
                <w:szCs w:val="20"/>
              </w:rPr>
            </w:pPr>
          </w:p>
        </w:tc>
        <w:tc>
          <w:tcPr>
            <w:tcW w:w="50" w:type="pct"/>
            <w:vAlign w:val="center"/>
            <w:hideMark/>
          </w:tcPr>
          <w:p w14:paraId="38A51AB5" w14:textId="77777777" w:rsidR="00000000" w:rsidRDefault="00405D16">
            <w:pPr>
              <w:spacing w:after="100"/>
              <w:rPr>
                <w:rFonts w:eastAsia="Times New Roman"/>
                <w:sz w:val="20"/>
                <w:szCs w:val="20"/>
              </w:rPr>
            </w:pPr>
          </w:p>
        </w:tc>
        <w:tc>
          <w:tcPr>
            <w:tcW w:w="464" w:type="pct"/>
            <w:vAlign w:val="center"/>
            <w:hideMark/>
          </w:tcPr>
          <w:p w14:paraId="30FE52CB" w14:textId="77777777" w:rsidR="00000000" w:rsidRDefault="00405D16">
            <w:pPr>
              <w:spacing w:after="100"/>
              <w:rPr>
                <w:rFonts w:eastAsia="Times New Roman"/>
                <w:sz w:val="20"/>
                <w:szCs w:val="20"/>
              </w:rPr>
            </w:pPr>
          </w:p>
        </w:tc>
        <w:tc>
          <w:tcPr>
            <w:tcW w:w="5" w:type="pct"/>
            <w:vAlign w:val="center"/>
            <w:hideMark/>
          </w:tcPr>
          <w:p w14:paraId="27BB02B3" w14:textId="77777777" w:rsidR="00000000" w:rsidRDefault="00405D16">
            <w:pPr>
              <w:spacing w:after="100"/>
              <w:rPr>
                <w:rFonts w:eastAsia="Times New Roman"/>
                <w:sz w:val="20"/>
                <w:szCs w:val="20"/>
              </w:rPr>
            </w:pPr>
          </w:p>
        </w:tc>
      </w:tr>
      <w:tr w:rsidR="00000000" w14:paraId="0E3A96F8" w14:textId="77777777">
        <w:trPr>
          <w:divId w:val="727647406"/>
        </w:trPr>
        <w:tc>
          <w:tcPr>
            <w:tcW w:w="0" w:type="auto"/>
            <w:gridSpan w:val="3"/>
            <w:tcMar>
              <w:top w:w="0" w:type="dxa"/>
              <w:left w:w="20" w:type="dxa"/>
              <w:bottom w:w="0" w:type="dxa"/>
              <w:right w:w="20" w:type="dxa"/>
            </w:tcMar>
            <w:vAlign w:val="center"/>
            <w:hideMark/>
          </w:tcPr>
          <w:p w14:paraId="19D06275"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A5DD6A7" w14:textId="77777777" w:rsidR="00000000" w:rsidRDefault="00405D16">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2D00AEB1" w14:textId="77777777" w:rsidR="00000000" w:rsidRDefault="00405D16">
            <w:pPr>
              <w:spacing w:after="100"/>
              <w:jc w:val="center"/>
              <w:rPr>
                <w:rFonts w:eastAsia="Times New Roman"/>
              </w:rPr>
            </w:pPr>
            <w:r>
              <w:rPr>
                <w:rFonts w:eastAsia="Times New Roman"/>
                <w:b/>
                <w:bCs/>
                <w:color w:val="000000"/>
                <w:sz w:val="16"/>
                <w:szCs w:val="16"/>
              </w:rPr>
              <w:t>Three Months Ended September 30, 2021</w:t>
            </w:r>
          </w:p>
        </w:tc>
      </w:tr>
      <w:tr w:rsidR="00000000" w14:paraId="22C61871" w14:textId="77777777">
        <w:trPr>
          <w:divId w:val="727647406"/>
        </w:trPr>
        <w:tc>
          <w:tcPr>
            <w:tcW w:w="0" w:type="auto"/>
            <w:gridSpan w:val="3"/>
            <w:tcMar>
              <w:top w:w="30" w:type="dxa"/>
              <w:left w:w="20" w:type="dxa"/>
              <w:bottom w:w="30" w:type="dxa"/>
              <w:right w:w="20" w:type="dxa"/>
            </w:tcMar>
            <w:vAlign w:val="bottom"/>
            <w:hideMark/>
          </w:tcPr>
          <w:p w14:paraId="78BE5353"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388F8FF0"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691BC88" w14:textId="77777777" w:rsidR="00000000" w:rsidRDefault="00405D16">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4FFA9F26"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CB84474" w14:textId="77777777" w:rsidR="00000000" w:rsidRDefault="00405D16">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2426F334"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54CDC4C" w14:textId="77777777" w:rsidR="00000000" w:rsidRDefault="00405D16">
            <w:pPr>
              <w:spacing w:after="100"/>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70AC113E"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41E7C39" w14:textId="77777777" w:rsidR="00000000" w:rsidRDefault="00405D16">
            <w:pPr>
              <w:spacing w:after="100"/>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7090648E"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E6E9139" w14:textId="77777777" w:rsidR="00000000" w:rsidRDefault="00405D16">
            <w:pPr>
              <w:spacing w:after="100"/>
              <w:jc w:val="center"/>
              <w:rPr>
                <w:rFonts w:eastAsia="Times New Roman"/>
              </w:rPr>
            </w:pPr>
            <w:r>
              <w:rPr>
                <w:rFonts w:eastAsia="Times New Roman"/>
                <w:b/>
                <w:bCs/>
                <w:color w:val="000000"/>
                <w:sz w:val="16"/>
                <w:szCs w:val="16"/>
              </w:rPr>
              <w:t>Consolidated Total</w:t>
            </w:r>
          </w:p>
        </w:tc>
      </w:tr>
      <w:tr w:rsidR="00000000" w14:paraId="51BACF15" w14:textId="77777777">
        <w:trPr>
          <w:divId w:val="72764740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4A46DB6" w14:textId="77777777" w:rsidR="00000000" w:rsidRDefault="00405D16">
            <w:pPr>
              <w:spacing w:after="100"/>
              <w:rPr>
                <w:rFonts w:eastAsia="Times New Roman"/>
              </w:rPr>
            </w:pPr>
            <w:r>
              <w:rPr>
                <w:rFonts w:eastAsia="Times New Roman"/>
                <w:color w:val="000000"/>
                <w:sz w:val="18"/>
                <w:szCs w:val="18"/>
              </w:rPr>
              <w:t>Contract revenue:</w:t>
            </w:r>
          </w:p>
        </w:tc>
        <w:tc>
          <w:tcPr>
            <w:tcW w:w="0" w:type="auto"/>
            <w:gridSpan w:val="3"/>
            <w:shd w:val="clear" w:color="auto" w:fill="CCEEFF"/>
            <w:tcMar>
              <w:top w:w="0" w:type="dxa"/>
              <w:left w:w="20" w:type="dxa"/>
              <w:bottom w:w="0" w:type="dxa"/>
              <w:right w:w="20" w:type="dxa"/>
            </w:tcMar>
            <w:vAlign w:val="center"/>
            <w:hideMark/>
          </w:tcPr>
          <w:p w14:paraId="53119D9B"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5D82FE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B1AC25"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825E661"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03D009"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A50B6F8"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882FCC"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9E6792"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F82A4C"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A7B92C7" w14:textId="77777777" w:rsidR="00000000" w:rsidRDefault="00405D16">
            <w:pPr>
              <w:spacing w:after="100"/>
              <w:rPr>
                <w:rFonts w:eastAsia="Times New Roman"/>
                <w:sz w:val="20"/>
                <w:szCs w:val="20"/>
              </w:rPr>
            </w:pPr>
          </w:p>
        </w:tc>
      </w:tr>
      <w:tr w:rsidR="00000000" w14:paraId="03DEFA0E" w14:textId="77777777">
        <w:trPr>
          <w:divId w:val="727647406"/>
        </w:trPr>
        <w:tc>
          <w:tcPr>
            <w:tcW w:w="0" w:type="auto"/>
            <w:gridSpan w:val="3"/>
            <w:shd w:val="clear" w:color="auto" w:fill="FFFFFF"/>
            <w:tcMar>
              <w:top w:w="30" w:type="dxa"/>
              <w:left w:w="20" w:type="dxa"/>
              <w:bottom w:w="30" w:type="dxa"/>
              <w:right w:w="20" w:type="dxa"/>
            </w:tcMar>
            <w:vAlign w:val="center"/>
            <w:hideMark/>
          </w:tcPr>
          <w:p w14:paraId="06A73CF6" w14:textId="77777777" w:rsidR="00000000" w:rsidRDefault="00405D16">
            <w:pPr>
              <w:spacing w:after="100"/>
              <w:divId w:val="1634407643"/>
              <w:rPr>
                <w:rFonts w:eastAsia="Times New Roman"/>
              </w:rPr>
            </w:pPr>
            <w:r>
              <w:rPr>
                <w:rFonts w:eastAsia="Times New Roman"/>
                <w:color w:val="000000"/>
                <w:sz w:val="18"/>
                <w:szCs w:val="18"/>
              </w:rPr>
              <w:t>Interchange fees, ne</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58DA6529"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4D67ADC9"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1D82D455" w14:textId="77777777" w:rsidR="00000000" w:rsidRDefault="00405D16">
            <w:pPr>
              <w:spacing w:after="100"/>
              <w:jc w:val="right"/>
              <w:rPr>
                <w:rFonts w:eastAsia="Times New Roman"/>
              </w:rPr>
            </w:pPr>
            <w:r>
              <w:rPr>
                <w:rFonts w:eastAsia="Times New Roman"/>
                <w:b/>
                <w:bCs/>
                <w:color w:val="000000"/>
                <w:sz w:val="18"/>
                <w:szCs w:val="18"/>
              </w:rPr>
              <w:t>930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F18925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B26500"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2D98B96"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7ECCEA7B" w14:textId="77777777" w:rsidR="00000000" w:rsidRDefault="00405D16">
            <w:pPr>
              <w:spacing w:after="100"/>
              <w:jc w:val="right"/>
              <w:rPr>
                <w:rFonts w:eastAsia="Times New Roman"/>
              </w:rPr>
            </w:pPr>
            <w:r>
              <w:rPr>
                <w:rFonts w:eastAsia="Times New Roman"/>
                <w:b/>
                <w:bCs/>
                <w:color w:val="000000"/>
                <w:sz w:val="18"/>
                <w:szCs w:val="18"/>
              </w:rPr>
              <w:t>68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64C6D9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150BE8"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B7672C8"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0A1E6902" w14:textId="77777777" w:rsidR="00000000" w:rsidRDefault="00405D16">
            <w:pPr>
              <w:spacing w:after="100"/>
              <w:jc w:val="right"/>
              <w:rPr>
                <w:rFonts w:eastAsia="Times New Roman"/>
              </w:rPr>
            </w:pPr>
            <w:r>
              <w:rPr>
                <w:rFonts w:eastAsia="Times New Roman"/>
                <w:b/>
                <w:bCs/>
                <w:color w:val="000000"/>
                <w:sz w:val="18"/>
                <w:szCs w:val="18"/>
              </w:rPr>
              <w:t>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BAF191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616284"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E0D246B"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293AD4C5"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101505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753F4D"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F0A514D"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09DDD922" w14:textId="77777777" w:rsidR="00000000" w:rsidRDefault="00405D16">
            <w:pPr>
              <w:spacing w:after="100"/>
              <w:jc w:val="right"/>
              <w:rPr>
                <w:rFonts w:eastAsia="Times New Roman"/>
              </w:rPr>
            </w:pPr>
            <w:r>
              <w:rPr>
                <w:rFonts w:eastAsia="Times New Roman"/>
                <w:b/>
                <w:bCs/>
                <w:color w:val="000000"/>
                <w:sz w:val="18"/>
                <w:szCs w:val="18"/>
              </w:rPr>
              <w:t>1,022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EDF9EE2" w14:textId="77777777" w:rsidR="00000000" w:rsidRDefault="00405D16">
            <w:pPr>
              <w:spacing w:after="100"/>
              <w:jc w:val="right"/>
              <w:rPr>
                <w:rFonts w:eastAsia="Times New Roman"/>
              </w:rPr>
            </w:pPr>
          </w:p>
        </w:tc>
      </w:tr>
      <w:tr w:rsidR="00000000" w14:paraId="7E23F0CF" w14:textId="77777777">
        <w:trPr>
          <w:divId w:val="727647406"/>
        </w:trPr>
        <w:tc>
          <w:tcPr>
            <w:tcW w:w="0" w:type="auto"/>
            <w:gridSpan w:val="3"/>
            <w:shd w:val="clear" w:color="auto" w:fill="CCEEFF"/>
            <w:tcMar>
              <w:top w:w="30" w:type="dxa"/>
              <w:left w:w="245" w:type="dxa"/>
              <w:bottom w:w="30" w:type="dxa"/>
              <w:right w:w="20" w:type="dxa"/>
            </w:tcMar>
            <w:vAlign w:val="center"/>
            <w:hideMark/>
          </w:tcPr>
          <w:p w14:paraId="1C2B962C" w14:textId="77777777" w:rsidR="00000000" w:rsidRDefault="00405D16">
            <w:pPr>
              <w:spacing w:after="100"/>
              <w:rPr>
                <w:rFonts w:eastAsia="Times New Roman"/>
              </w:rPr>
            </w:pPr>
            <w:r>
              <w:rPr>
                <w:rFonts w:eastAsia="Times New Roman"/>
                <w:color w:val="000000"/>
                <w:sz w:val="18"/>
                <w:szCs w:val="18"/>
              </w:rPr>
              <w:t>Service charges and other customer-related fees</w:t>
            </w:r>
          </w:p>
        </w:tc>
        <w:tc>
          <w:tcPr>
            <w:tcW w:w="0" w:type="auto"/>
            <w:gridSpan w:val="3"/>
            <w:shd w:val="clear" w:color="auto" w:fill="CCEEFF"/>
            <w:tcMar>
              <w:top w:w="0" w:type="dxa"/>
              <w:left w:w="20" w:type="dxa"/>
              <w:bottom w:w="0" w:type="dxa"/>
              <w:right w:w="20" w:type="dxa"/>
            </w:tcMar>
            <w:vAlign w:val="center"/>
            <w:hideMark/>
          </w:tcPr>
          <w:p w14:paraId="4F2CDA78"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6C60830"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634BDB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5E78E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3523ADF" w14:textId="77777777" w:rsidR="00000000" w:rsidRDefault="00405D16">
            <w:pPr>
              <w:spacing w:after="100"/>
              <w:jc w:val="right"/>
              <w:rPr>
                <w:rFonts w:eastAsia="Times New Roman"/>
              </w:rPr>
            </w:pPr>
            <w:r>
              <w:rPr>
                <w:rFonts w:eastAsia="Times New Roman"/>
                <w:b/>
                <w:bCs/>
                <w:color w:val="000000"/>
                <w:sz w:val="18"/>
                <w:szCs w:val="18"/>
              </w:rPr>
              <w:t>42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4A952E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DD61B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DFAC3D5" w14:textId="77777777" w:rsidR="00000000" w:rsidRDefault="00405D16">
            <w:pPr>
              <w:spacing w:after="100"/>
              <w:jc w:val="right"/>
              <w:rPr>
                <w:rFonts w:eastAsia="Times New Roman"/>
              </w:rPr>
            </w:pPr>
            <w:r>
              <w:rPr>
                <w:rFonts w:eastAsia="Times New Roman"/>
                <w:b/>
                <w:bCs/>
                <w:color w:val="000000"/>
                <w:sz w:val="18"/>
                <w:szCs w:val="18"/>
              </w:rPr>
              <w:t>71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837A31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79561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EE99AF0"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2E99B1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EF9A25"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0F960A5" w14:textId="77777777" w:rsidR="00000000" w:rsidRDefault="00405D16">
            <w:pPr>
              <w:spacing w:after="100"/>
              <w:jc w:val="right"/>
              <w:rPr>
                <w:rFonts w:eastAsia="Times New Roman"/>
              </w:rPr>
            </w:pPr>
            <w:r>
              <w:rPr>
                <w:rFonts w:eastAsia="Times New Roman"/>
                <w:b/>
                <w:bCs/>
                <w:color w:val="000000"/>
                <w:sz w:val="18"/>
                <w:szCs w:val="18"/>
              </w:rPr>
              <w:t>113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9FD86AA" w14:textId="77777777" w:rsidR="00000000" w:rsidRDefault="00405D16">
            <w:pPr>
              <w:spacing w:after="100"/>
              <w:jc w:val="right"/>
              <w:rPr>
                <w:rFonts w:eastAsia="Times New Roman"/>
              </w:rPr>
            </w:pPr>
          </w:p>
        </w:tc>
      </w:tr>
      <w:tr w:rsidR="00000000" w14:paraId="6FED5F9A" w14:textId="77777777">
        <w:trPr>
          <w:divId w:val="727647406"/>
        </w:trPr>
        <w:tc>
          <w:tcPr>
            <w:tcW w:w="0" w:type="auto"/>
            <w:gridSpan w:val="3"/>
            <w:shd w:val="clear" w:color="auto" w:fill="FFFFFF"/>
            <w:tcMar>
              <w:top w:w="30" w:type="dxa"/>
              <w:left w:w="245" w:type="dxa"/>
              <w:bottom w:w="30" w:type="dxa"/>
              <w:right w:w="20" w:type="dxa"/>
            </w:tcMar>
            <w:vAlign w:val="center"/>
            <w:hideMark/>
          </w:tcPr>
          <w:p w14:paraId="43DA3939" w14:textId="77777777" w:rsidR="00000000" w:rsidRDefault="00405D16">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14:paraId="25D21BA5"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87B5DEA" w14:textId="77777777" w:rsidR="00000000" w:rsidRDefault="00405D16">
            <w:pPr>
              <w:spacing w:after="100"/>
              <w:jc w:val="right"/>
              <w:rPr>
                <w:rFonts w:eastAsia="Times New Roman"/>
              </w:rPr>
            </w:pPr>
            <w:r>
              <w:rPr>
                <w:rFonts w:eastAsia="Times New Roman"/>
                <w:b/>
                <w:bCs/>
                <w:color w:val="000000"/>
                <w:sz w:val="18"/>
                <w:szCs w:val="18"/>
              </w:rPr>
              <w:t>98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FCE8CBB"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F9E10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A3A0C53" w14:textId="77777777" w:rsidR="00000000" w:rsidRDefault="00405D16">
            <w:pPr>
              <w:spacing w:after="100"/>
              <w:jc w:val="right"/>
              <w:rPr>
                <w:rFonts w:eastAsia="Times New Roman"/>
              </w:rPr>
            </w:pPr>
            <w:r>
              <w:rPr>
                <w:rFonts w:eastAsia="Times New Roman"/>
                <w:b/>
                <w:bCs/>
                <w:color w:val="000000"/>
                <w:sz w:val="18"/>
                <w:szCs w:val="18"/>
              </w:rPr>
              <w:t>17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FF7BCF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1A4B3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1C563D0" w14:textId="77777777" w:rsidR="00000000" w:rsidRDefault="00405D16">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C92F7A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34B53D"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A19B5B5"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75CC4B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F3396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9EF1D76" w14:textId="77777777" w:rsidR="00000000" w:rsidRDefault="00405D16">
            <w:pPr>
              <w:spacing w:after="100"/>
              <w:jc w:val="right"/>
              <w:rPr>
                <w:rFonts w:eastAsia="Times New Roman"/>
              </w:rPr>
            </w:pPr>
            <w:r>
              <w:rPr>
                <w:rFonts w:eastAsia="Times New Roman"/>
                <w:b/>
                <w:bCs/>
                <w:color w:val="000000"/>
                <w:sz w:val="18"/>
                <w:szCs w:val="18"/>
              </w:rPr>
              <w:t>116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549EBF1" w14:textId="77777777" w:rsidR="00000000" w:rsidRDefault="00405D16">
            <w:pPr>
              <w:spacing w:after="100"/>
              <w:jc w:val="right"/>
              <w:rPr>
                <w:rFonts w:eastAsia="Times New Roman"/>
              </w:rPr>
            </w:pPr>
          </w:p>
        </w:tc>
      </w:tr>
      <w:tr w:rsidR="00000000" w14:paraId="4E63A05D" w14:textId="77777777">
        <w:trPr>
          <w:divId w:val="727647406"/>
        </w:trPr>
        <w:tc>
          <w:tcPr>
            <w:tcW w:w="0" w:type="auto"/>
            <w:gridSpan w:val="3"/>
            <w:shd w:val="clear" w:color="auto" w:fill="CCEEFF"/>
            <w:tcMar>
              <w:top w:w="30" w:type="dxa"/>
              <w:left w:w="20" w:type="dxa"/>
              <w:bottom w:w="30" w:type="dxa"/>
              <w:right w:w="20" w:type="dxa"/>
            </w:tcMar>
            <w:vAlign w:val="center"/>
            <w:hideMark/>
          </w:tcPr>
          <w:p w14:paraId="00799C19" w14:textId="77777777" w:rsidR="00000000" w:rsidRDefault="00405D16">
            <w:pPr>
              <w:spacing w:after="100"/>
              <w:rPr>
                <w:rFonts w:eastAsia="Times New Roman"/>
              </w:rPr>
            </w:pPr>
            <w:r>
              <w:rPr>
                <w:rFonts w:eastAsia="Times New Roman"/>
                <w:color w:val="000000"/>
                <w:sz w:val="18"/>
                <w:szCs w:val="18"/>
              </w:rPr>
              <w:t>Total contract revenue</w:t>
            </w:r>
          </w:p>
        </w:tc>
        <w:tc>
          <w:tcPr>
            <w:tcW w:w="0" w:type="auto"/>
            <w:gridSpan w:val="3"/>
            <w:shd w:val="clear" w:color="auto" w:fill="CCEEFF"/>
            <w:tcMar>
              <w:top w:w="0" w:type="dxa"/>
              <w:left w:w="20" w:type="dxa"/>
              <w:bottom w:w="0" w:type="dxa"/>
              <w:right w:w="20" w:type="dxa"/>
            </w:tcMar>
            <w:vAlign w:val="center"/>
            <w:hideMark/>
          </w:tcPr>
          <w:p w14:paraId="54661604"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B67745D" w14:textId="77777777" w:rsidR="00000000" w:rsidRDefault="00405D16">
            <w:pPr>
              <w:spacing w:after="100"/>
              <w:jc w:val="right"/>
              <w:rPr>
                <w:rFonts w:eastAsia="Times New Roman"/>
              </w:rPr>
            </w:pPr>
            <w:r>
              <w:rPr>
                <w:rFonts w:eastAsia="Times New Roman"/>
                <w:b/>
                <w:bCs/>
                <w:color w:val="000000"/>
                <w:sz w:val="18"/>
                <w:szCs w:val="18"/>
              </w:rPr>
              <w:t>1,028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AE80214"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A4A17E"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3D42BBA" w14:textId="77777777" w:rsidR="00000000" w:rsidRDefault="00405D16">
            <w:pPr>
              <w:spacing w:after="100"/>
              <w:jc w:val="right"/>
              <w:rPr>
                <w:rFonts w:eastAsia="Times New Roman"/>
              </w:rPr>
            </w:pPr>
            <w:r>
              <w:rPr>
                <w:rFonts w:eastAsia="Times New Roman"/>
                <w:b/>
                <w:bCs/>
                <w:color w:val="000000"/>
                <w:sz w:val="18"/>
                <w:szCs w:val="18"/>
              </w:rPr>
              <w:t>127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D9E46F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14C3F3"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3AE1BCA" w14:textId="77777777" w:rsidR="00000000" w:rsidRDefault="00405D16">
            <w:pPr>
              <w:spacing w:after="100"/>
              <w:jc w:val="right"/>
              <w:rPr>
                <w:rFonts w:eastAsia="Times New Roman"/>
              </w:rPr>
            </w:pPr>
            <w:r>
              <w:rPr>
                <w:rFonts w:eastAsia="Times New Roman"/>
                <w:b/>
                <w:bCs/>
                <w:color w:val="000000"/>
                <w:sz w:val="18"/>
                <w:szCs w:val="18"/>
              </w:rPr>
              <w:t>96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96CFE6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68B67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D2C0502"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CC9168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7171F0"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02CCFA4" w14:textId="77777777" w:rsidR="00000000" w:rsidRDefault="00405D16">
            <w:pPr>
              <w:spacing w:after="100"/>
              <w:jc w:val="right"/>
              <w:rPr>
                <w:rFonts w:eastAsia="Times New Roman"/>
              </w:rPr>
            </w:pPr>
            <w:r>
              <w:rPr>
                <w:rFonts w:eastAsia="Times New Roman"/>
                <w:b/>
                <w:bCs/>
                <w:color w:val="000000"/>
                <w:sz w:val="18"/>
                <w:szCs w:val="18"/>
              </w:rPr>
              <w:t>1,251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2269D0B" w14:textId="77777777" w:rsidR="00000000" w:rsidRDefault="00405D16">
            <w:pPr>
              <w:spacing w:after="100"/>
              <w:jc w:val="right"/>
              <w:rPr>
                <w:rFonts w:eastAsia="Times New Roman"/>
              </w:rPr>
            </w:pPr>
          </w:p>
        </w:tc>
      </w:tr>
      <w:tr w:rsidR="00000000" w14:paraId="0E8ED362" w14:textId="77777777">
        <w:trPr>
          <w:divId w:val="727647406"/>
        </w:trPr>
        <w:tc>
          <w:tcPr>
            <w:tcW w:w="0" w:type="auto"/>
            <w:gridSpan w:val="3"/>
            <w:shd w:val="clear" w:color="auto" w:fill="FFFFFF"/>
            <w:tcMar>
              <w:top w:w="30" w:type="dxa"/>
              <w:left w:w="20" w:type="dxa"/>
              <w:bottom w:w="30" w:type="dxa"/>
              <w:right w:w="20" w:type="dxa"/>
            </w:tcMar>
            <w:vAlign w:val="center"/>
            <w:hideMark/>
          </w:tcPr>
          <w:p w14:paraId="5F0BE2E1" w14:textId="77777777" w:rsidR="00000000" w:rsidRDefault="00405D16">
            <w:pPr>
              <w:spacing w:after="100"/>
              <w:rPr>
                <w:rFonts w:eastAsia="Times New Roman"/>
              </w:rPr>
            </w:pPr>
            <w:r>
              <w:rPr>
                <w:rFonts w:eastAsia="Times New Roman"/>
                <w:color w:val="000000"/>
                <w:sz w:val="18"/>
                <w:szCs w:val="18"/>
              </w:rPr>
              <w:t>Revenue (reduction) from other sources</w:t>
            </w:r>
          </w:p>
        </w:tc>
        <w:tc>
          <w:tcPr>
            <w:tcW w:w="0" w:type="auto"/>
            <w:gridSpan w:val="3"/>
            <w:shd w:val="clear" w:color="auto" w:fill="FFFFFF"/>
            <w:tcMar>
              <w:top w:w="0" w:type="dxa"/>
              <w:left w:w="20" w:type="dxa"/>
              <w:bottom w:w="0" w:type="dxa"/>
              <w:right w:w="20" w:type="dxa"/>
            </w:tcMar>
            <w:vAlign w:val="center"/>
            <w:hideMark/>
          </w:tcPr>
          <w:p w14:paraId="660BBC6F"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B48E156" w14:textId="77777777" w:rsidR="00000000" w:rsidRDefault="00405D16">
            <w:pPr>
              <w:spacing w:after="100"/>
              <w:jc w:val="right"/>
              <w:rPr>
                <w:rFonts w:eastAsia="Times New Roman"/>
              </w:rPr>
            </w:pPr>
            <w:r>
              <w:rPr>
                <w:rFonts w:eastAsia="Times New Roman"/>
                <w:b/>
                <w:bCs/>
                <w:color w:val="000000"/>
                <w:sz w:val="18"/>
                <w:szCs w:val="18"/>
              </w:rPr>
              <w:t>235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5F9997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81B34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1C6F84B"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9301EC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188CD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6E096FB" w14:textId="77777777" w:rsidR="00000000" w:rsidRDefault="00405D16">
            <w:pPr>
              <w:spacing w:after="100"/>
              <w:jc w:val="right"/>
              <w:rPr>
                <w:rFonts w:eastAsia="Times New Roman"/>
              </w:rPr>
            </w:pPr>
            <w:r>
              <w:rPr>
                <w:rFonts w:eastAsia="Times New Roman"/>
                <w:b/>
                <w:bCs/>
                <w:color w:val="000000"/>
                <w:sz w:val="18"/>
                <w:szCs w:val="18"/>
              </w:rPr>
              <w:t>210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10D0AD5"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65333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16ABAC6" w14:textId="77777777" w:rsidR="00000000" w:rsidRDefault="00405D16">
            <w:pPr>
              <w:spacing w:after="100"/>
              <w:jc w:val="right"/>
              <w:rPr>
                <w:rFonts w:eastAsia="Times New Roman"/>
              </w:rPr>
            </w:pPr>
            <w:r>
              <w:rPr>
                <w:rFonts w:eastAsia="Times New Roman"/>
                <w:b/>
                <w:bCs/>
                <w:color w:val="000000"/>
                <w:sz w:val="18"/>
                <w:szCs w:val="18"/>
              </w:rPr>
              <w:t>(22)</w:t>
            </w:r>
          </w:p>
        </w:tc>
        <w:tc>
          <w:tcPr>
            <w:tcW w:w="0" w:type="auto"/>
            <w:shd w:val="clear" w:color="auto" w:fill="FFFFFF"/>
            <w:tcMar>
              <w:top w:w="30" w:type="dxa"/>
              <w:left w:w="0" w:type="dxa"/>
              <w:bottom w:w="30" w:type="dxa"/>
              <w:right w:w="20" w:type="dxa"/>
            </w:tcMar>
            <w:vAlign w:val="center"/>
            <w:hideMark/>
          </w:tcPr>
          <w:p w14:paraId="768BEB4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CD3F0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CF9000A" w14:textId="77777777" w:rsidR="00000000" w:rsidRDefault="00405D16">
            <w:pPr>
              <w:spacing w:after="100"/>
              <w:jc w:val="right"/>
              <w:rPr>
                <w:rFonts w:eastAsia="Times New Roman"/>
              </w:rPr>
            </w:pPr>
            <w:r>
              <w:rPr>
                <w:rFonts w:eastAsia="Times New Roman"/>
                <w:b/>
                <w:bCs/>
                <w:color w:val="000000"/>
                <w:sz w:val="18"/>
                <w:szCs w:val="18"/>
              </w:rPr>
              <w:t>423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7832E2A" w14:textId="77777777" w:rsidR="00000000" w:rsidRDefault="00405D16">
            <w:pPr>
              <w:spacing w:after="100"/>
              <w:jc w:val="right"/>
              <w:rPr>
                <w:rFonts w:eastAsia="Times New Roman"/>
              </w:rPr>
            </w:pPr>
          </w:p>
        </w:tc>
      </w:tr>
      <w:tr w:rsidR="00000000" w14:paraId="0FCDA923" w14:textId="77777777">
        <w:trPr>
          <w:divId w:val="727647406"/>
        </w:trPr>
        <w:tc>
          <w:tcPr>
            <w:tcW w:w="0" w:type="auto"/>
            <w:gridSpan w:val="3"/>
            <w:shd w:val="clear" w:color="auto" w:fill="CCEEFF"/>
            <w:tcMar>
              <w:top w:w="30" w:type="dxa"/>
              <w:left w:w="20" w:type="dxa"/>
              <w:bottom w:w="30" w:type="dxa"/>
              <w:right w:w="20" w:type="dxa"/>
            </w:tcMar>
            <w:vAlign w:val="center"/>
            <w:hideMark/>
          </w:tcPr>
          <w:p w14:paraId="18500D14" w14:textId="77777777" w:rsidR="00000000" w:rsidRDefault="00405D16">
            <w:pPr>
              <w:spacing w:after="100"/>
              <w:rPr>
                <w:rFonts w:eastAsia="Times New Roman"/>
              </w:rPr>
            </w:pPr>
            <w:r>
              <w:rPr>
                <w:rFonts w:eastAsia="Times New Roman"/>
                <w:color w:val="000000"/>
                <w:sz w:val="18"/>
                <w:szCs w:val="18"/>
              </w:rPr>
              <w:t>Total non-interest income (loss)</w:t>
            </w:r>
          </w:p>
        </w:tc>
        <w:tc>
          <w:tcPr>
            <w:tcW w:w="0" w:type="auto"/>
            <w:gridSpan w:val="3"/>
            <w:shd w:val="clear" w:color="auto" w:fill="CCEEFF"/>
            <w:tcMar>
              <w:top w:w="0" w:type="dxa"/>
              <w:left w:w="20" w:type="dxa"/>
              <w:bottom w:w="0" w:type="dxa"/>
              <w:right w:w="20" w:type="dxa"/>
            </w:tcMar>
            <w:vAlign w:val="center"/>
            <w:hideMark/>
          </w:tcPr>
          <w:p w14:paraId="52126DC3"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809C635"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A05961B" w14:textId="77777777" w:rsidR="00000000" w:rsidRDefault="00405D16">
            <w:pPr>
              <w:spacing w:after="100"/>
              <w:jc w:val="right"/>
              <w:rPr>
                <w:rFonts w:eastAsia="Times New Roman"/>
              </w:rPr>
            </w:pPr>
            <w:r>
              <w:rPr>
                <w:rFonts w:eastAsia="Times New Roman"/>
                <w:b/>
                <w:bCs/>
                <w:color w:val="000000"/>
                <w:sz w:val="18"/>
                <w:szCs w:val="18"/>
              </w:rPr>
              <w:t>1,263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35C3BC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6E6DC7"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B764A60"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41031F9" w14:textId="77777777" w:rsidR="00000000" w:rsidRDefault="00405D16">
            <w:pPr>
              <w:spacing w:after="100"/>
              <w:jc w:val="right"/>
              <w:rPr>
                <w:rFonts w:eastAsia="Times New Roman"/>
              </w:rPr>
            </w:pPr>
            <w:r>
              <w:rPr>
                <w:rFonts w:eastAsia="Times New Roman"/>
                <w:b/>
                <w:bCs/>
                <w:color w:val="000000"/>
                <w:sz w:val="18"/>
                <w:szCs w:val="18"/>
              </w:rPr>
              <w:t>127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C59E2E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631376"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6EE5170"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FB6F8AC" w14:textId="77777777" w:rsidR="00000000" w:rsidRDefault="00405D16">
            <w:pPr>
              <w:spacing w:after="100"/>
              <w:jc w:val="right"/>
              <w:rPr>
                <w:rFonts w:eastAsia="Times New Roman"/>
              </w:rPr>
            </w:pPr>
            <w:r>
              <w:rPr>
                <w:rFonts w:eastAsia="Times New Roman"/>
                <w:b/>
                <w:bCs/>
                <w:color w:val="000000"/>
                <w:sz w:val="18"/>
                <w:szCs w:val="18"/>
              </w:rPr>
              <w:t>306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96EC72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DB404C"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B3E5344"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10D1F42" w14:textId="77777777" w:rsidR="00000000" w:rsidRDefault="00405D16">
            <w:pPr>
              <w:spacing w:after="100"/>
              <w:jc w:val="right"/>
              <w:rPr>
                <w:rFonts w:eastAsia="Times New Roman"/>
              </w:rPr>
            </w:pPr>
            <w:r>
              <w:rPr>
                <w:rFonts w:eastAsia="Times New Roman"/>
                <w:b/>
                <w:bCs/>
                <w:color w:val="000000"/>
                <w:sz w:val="18"/>
                <w:szCs w:val="18"/>
              </w:rPr>
              <w:t>(22)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F7512B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5C24B0"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EF859D7"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89B6824" w14:textId="77777777" w:rsidR="00000000" w:rsidRDefault="00405D16">
            <w:pPr>
              <w:spacing w:after="100"/>
              <w:jc w:val="right"/>
              <w:rPr>
                <w:rFonts w:eastAsia="Times New Roman"/>
              </w:rPr>
            </w:pPr>
            <w:r>
              <w:rPr>
                <w:rFonts w:eastAsia="Times New Roman"/>
                <w:b/>
                <w:bCs/>
                <w:color w:val="000000"/>
                <w:sz w:val="18"/>
                <w:szCs w:val="18"/>
              </w:rPr>
              <w:t>1,674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CF72184" w14:textId="77777777" w:rsidR="00000000" w:rsidRDefault="00405D16">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52183B4F" w14:textId="77777777">
        <w:trPr>
          <w:jc w:val="center"/>
        </w:trPr>
        <w:tc>
          <w:tcPr>
            <w:tcW w:w="50" w:type="pct"/>
            <w:vAlign w:val="center"/>
            <w:hideMark/>
          </w:tcPr>
          <w:p w14:paraId="5FDE5192" w14:textId="77777777" w:rsidR="00000000" w:rsidRDefault="00405D16">
            <w:pPr>
              <w:rPr>
                <w:rFonts w:eastAsia="Times New Roman"/>
              </w:rPr>
            </w:pPr>
          </w:p>
        </w:tc>
        <w:tc>
          <w:tcPr>
            <w:tcW w:w="1606" w:type="pct"/>
            <w:vAlign w:val="center"/>
            <w:hideMark/>
          </w:tcPr>
          <w:p w14:paraId="6EEC2E2B" w14:textId="77777777" w:rsidR="00000000" w:rsidRDefault="00405D16">
            <w:pPr>
              <w:spacing w:after="100"/>
              <w:rPr>
                <w:rFonts w:eastAsia="Times New Roman"/>
                <w:sz w:val="20"/>
                <w:szCs w:val="20"/>
              </w:rPr>
            </w:pPr>
          </w:p>
        </w:tc>
        <w:tc>
          <w:tcPr>
            <w:tcW w:w="5" w:type="pct"/>
            <w:vAlign w:val="center"/>
            <w:hideMark/>
          </w:tcPr>
          <w:p w14:paraId="75B4298B" w14:textId="77777777" w:rsidR="00000000" w:rsidRDefault="00405D16">
            <w:pPr>
              <w:spacing w:after="100"/>
              <w:rPr>
                <w:rFonts w:eastAsia="Times New Roman"/>
                <w:sz w:val="20"/>
                <w:szCs w:val="20"/>
              </w:rPr>
            </w:pPr>
          </w:p>
        </w:tc>
        <w:tc>
          <w:tcPr>
            <w:tcW w:w="50" w:type="pct"/>
            <w:vAlign w:val="center"/>
            <w:hideMark/>
          </w:tcPr>
          <w:p w14:paraId="1BAAB881" w14:textId="77777777" w:rsidR="00000000" w:rsidRDefault="00405D16">
            <w:pPr>
              <w:spacing w:after="100"/>
              <w:rPr>
                <w:rFonts w:eastAsia="Times New Roman"/>
                <w:sz w:val="20"/>
                <w:szCs w:val="20"/>
              </w:rPr>
            </w:pPr>
          </w:p>
        </w:tc>
        <w:tc>
          <w:tcPr>
            <w:tcW w:w="1614" w:type="pct"/>
            <w:vAlign w:val="center"/>
            <w:hideMark/>
          </w:tcPr>
          <w:p w14:paraId="7F74DBD7" w14:textId="77777777" w:rsidR="00000000" w:rsidRDefault="00405D16">
            <w:pPr>
              <w:spacing w:after="100"/>
              <w:rPr>
                <w:rFonts w:eastAsia="Times New Roman"/>
                <w:sz w:val="20"/>
                <w:szCs w:val="20"/>
              </w:rPr>
            </w:pPr>
          </w:p>
        </w:tc>
        <w:tc>
          <w:tcPr>
            <w:tcW w:w="5" w:type="pct"/>
            <w:vAlign w:val="center"/>
            <w:hideMark/>
          </w:tcPr>
          <w:p w14:paraId="4122C30A" w14:textId="77777777" w:rsidR="00000000" w:rsidRDefault="00405D16">
            <w:pPr>
              <w:spacing w:after="100"/>
              <w:rPr>
                <w:rFonts w:eastAsia="Times New Roman"/>
                <w:sz w:val="20"/>
                <w:szCs w:val="20"/>
              </w:rPr>
            </w:pPr>
          </w:p>
        </w:tc>
        <w:tc>
          <w:tcPr>
            <w:tcW w:w="50" w:type="pct"/>
            <w:vAlign w:val="center"/>
            <w:hideMark/>
          </w:tcPr>
          <w:p w14:paraId="6DA11AE4" w14:textId="77777777" w:rsidR="00000000" w:rsidRDefault="00405D16">
            <w:pPr>
              <w:spacing w:after="100"/>
              <w:rPr>
                <w:rFonts w:eastAsia="Times New Roman"/>
                <w:sz w:val="20"/>
                <w:szCs w:val="20"/>
              </w:rPr>
            </w:pPr>
          </w:p>
        </w:tc>
        <w:tc>
          <w:tcPr>
            <w:tcW w:w="1614" w:type="pct"/>
            <w:vAlign w:val="center"/>
            <w:hideMark/>
          </w:tcPr>
          <w:p w14:paraId="589188E0" w14:textId="77777777" w:rsidR="00000000" w:rsidRDefault="00405D16">
            <w:pPr>
              <w:spacing w:after="100"/>
              <w:rPr>
                <w:rFonts w:eastAsia="Times New Roman"/>
                <w:sz w:val="20"/>
                <w:szCs w:val="20"/>
              </w:rPr>
            </w:pPr>
          </w:p>
        </w:tc>
        <w:tc>
          <w:tcPr>
            <w:tcW w:w="5" w:type="pct"/>
            <w:vAlign w:val="center"/>
            <w:hideMark/>
          </w:tcPr>
          <w:p w14:paraId="623CD084" w14:textId="77777777" w:rsidR="00000000" w:rsidRDefault="00405D16">
            <w:pPr>
              <w:spacing w:after="100"/>
              <w:rPr>
                <w:rFonts w:eastAsia="Times New Roman"/>
                <w:sz w:val="20"/>
                <w:szCs w:val="20"/>
              </w:rPr>
            </w:pPr>
          </w:p>
        </w:tc>
      </w:tr>
      <w:tr w:rsidR="00000000" w14:paraId="79FA0C5F" w14:textId="77777777">
        <w:trPr>
          <w:trHeight w:val="300"/>
          <w:jc w:val="center"/>
        </w:trPr>
        <w:tc>
          <w:tcPr>
            <w:tcW w:w="0" w:type="auto"/>
            <w:gridSpan w:val="9"/>
            <w:tcMar>
              <w:top w:w="0" w:type="dxa"/>
              <w:left w:w="20" w:type="dxa"/>
              <w:bottom w:w="0" w:type="dxa"/>
              <w:right w:w="20" w:type="dxa"/>
            </w:tcMar>
            <w:vAlign w:val="center"/>
            <w:hideMark/>
          </w:tcPr>
          <w:p w14:paraId="06A819FF" w14:textId="77777777" w:rsidR="00000000" w:rsidRDefault="00405D16">
            <w:pPr>
              <w:spacing w:after="100"/>
              <w:rPr>
                <w:rFonts w:eastAsia="Times New Roman"/>
                <w:sz w:val="20"/>
                <w:szCs w:val="20"/>
              </w:rPr>
            </w:pPr>
          </w:p>
        </w:tc>
      </w:tr>
      <w:tr w:rsidR="00000000" w14:paraId="78AD9293" w14:textId="77777777">
        <w:trPr>
          <w:jc w:val="center"/>
        </w:trPr>
        <w:tc>
          <w:tcPr>
            <w:tcW w:w="0" w:type="auto"/>
            <w:gridSpan w:val="3"/>
            <w:tcMar>
              <w:top w:w="0" w:type="dxa"/>
              <w:left w:w="20" w:type="dxa"/>
              <w:bottom w:w="0" w:type="dxa"/>
              <w:right w:w="20" w:type="dxa"/>
            </w:tcMar>
            <w:vAlign w:val="center"/>
            <w:hideMark/>
          </w:tcPr>
          <w:p w14:paraId="08B99652"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2C87A5D" w14:textId="77777777" w:rsidR="00000000" w:rsidRDefault="00405D16">
            <w:pPr>
              <w:spacing w:after="100"/>
              <w:jc w:val="center"/>
              <w:rPr>
                <w:rFonts w:eastAsia="Times New Roman"/>
              </w:rPr>
            </w:pPr>
            <w:r>
              <w:rPr>
                <w:rFonts w:eastAsia="Times New Roman"/>
                <w:color w:val="000000"/>
                <w:sz w:val="16"/>
                <w:szCs w:val="16"/>
              </w:rPr>
              <w:t>127</w:t>
            </w:r>
          </w:p>
        </w:tc>
        <w:tc>
          <w:tcPr>
            <w:tcW w:w="0" w:type="auto"/>
            <w:gridSpan w:val="3"/>
            <w:tcMar>
              <w:top w:w="30" w:type="dxa"/>
              <w:left w:w="20" w:type="dxa"/>
              <w:bottom w:w="30" w:type="dxa"/>
              <w:right w:w="20" w:type="dxa"/>
            </w:tcMar>
            <w:vAlign w:val="bottom"/>
            <w:hideMark/>
          </w:tcPr>
          <w:p w14:paraId="700B32ED"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35DD0192" w14:textId="77777777" w:rsidR="00000000" w:rsidRDefault="00405D16">
      <w:pPr>
        <w:rPr>
          <w:rFonts w:eastAsia="Times New Roman"/>
        </w:rPr>
      </w:pPr>
      <w:r>
        <w:rPr>
          <w:rFonts w:eastAsia="Times New Roman"/>
        </w:rPr>
        <w:pict w14:anchorId="67B53879">
          <v:rect id="_x0000_i1152" style="width:0;height:1.5pt" o:hralign="center" o:hrstd="t" o:hr="t" fillcolor="#a0a0a0" stroked="f"/>
        </w:pict>
      </w:r>
    </w:p>
    <w:p w14:paraId="7A9214BA" w14:textId="77777777" w:rsidR="00000000" w:rsidRDefault="00405D16">
      <w:pPr>
        <w:jc w:val="both"/>
        <w:divId w:val="941644464"/>
        <w:rPr>
          <w:rFonts w:eastAsia="Times New Roman"/>
        </w:rPr>
      </w:pPr>
      <w:hyperlink w:anchor="idd54a04a485440b4ab4e56094c14d612_13" w:history="1">
        <w:r>
          <w:rPr>
            <w:rStyle w:val="a3"/>
            <w:rFonts w:eastAsia="Times New Roman"/>
            <w:sz w:val="16"/>
            <w:szCs w:val="16"/>
          </w:rPr>
          <w:t>Table of Contents</w:t>
        </w:r>
      </w:hyperlink>
    </w:p>
    <w:p w14:paraId="513229D7" w14:textId="77777777" w:rsidR="00000000" w:rsidRDefault="00405D16">
      <w:pPr>
        <w:jc w:val="center"/>
        <w:divId w:val="941644464"/>
        <w:rPr>
          <w:rFonts w:eastAsia="Times New Roman"/>
        </w:rPr>
      </w:pPr>
    </w:p>
    <w:tbl>
      <w:tblPr>
        <w:tblW w:w="519" w:type="pct"/>
        <w:tblCellMar>
          <w:top w:w="15" w:type="dxa"/>
          <w:left w:w="15" w:type="dxa"/>
          <w:bottom w:w="15" w:type="dxa"/>
          <w:right w:w="15" w:type="dxa"/>
        </w:tblCellMar>
        <w:tblLook w:val="04A0" w:firstRow="1" w:lastRow="0" w:firstColumn="1" w:lastColumn="0" w:noHBand="0" w:noVBand="1"/>
      </w:tblPr>
      <w:tblGrid>
        <w:gridCol w:w="36"/>
        <w:gridCol w:w="790"/>
        <w:gridCol w:w="36"/>
      </w:tblGrid>
      <w:tr w:rsidR="00000000" w14:paraId="1B4C523D" w14:textId="77777777">
        <w:trPr>
          <w:divId w:val="1218006207"/>
        </w:trPr>
        <w:tc>
          <w:tcPr>
            <w:tcW w:w="50" w:type="pct"/>
            <w:vAlign w:val="center"/>
            <w:hideMark/>
          </w:tcPr>
          <w:p w14:paraId="0C7C0A21" w14:textId="77777777" w:rsidR="00000000" w:rsidRDefault="00405D16">
            <w:pPr>
              <w:jc w:val="center"/>
              <w:rPr>
                <w:rFonts w:eastAsia="Times New Roman"/>
              </w:rPr>
            </w:pPr>
          </w:p>
        </w:tc>
        <w:tc>
          <w:tcPr>
            <w:tcW w:w="4945" w:type="pct"/>
            <w:vAlign w:val="center"/>
            <w:hideMark/>
          </w:tcPr>
          <w:p w14:paraId="0D9D527B" w14:textId="77777777" w:rsidR="00000000" w:rsidRDefault="00405D16">
            <w:pPr>
              <w:spacing w:after="100"/>
              <w:rPr>
                <w:rFonts w:eastAsia="Times New Roman"/>
                <w:sz w:val="20"/>
                <w:szCs w:val="20"/>
              </w:rPr>
            </w:pPr>
          </w:p>
        </w:tc>
        <w:tc>
          <w:tcPr>
            <w:tcW w:w="5" w:type="pct"/>
            <w:vAlign w:val="center"/>
            <w:hideMark/>
          </w:tcPr>
          <w:p w14:paraId="6771FEE4" w14:textId="77777777" w:rsidR="00000000" w:rsidRDefault="00405D16">
            <w:pPr>
              <w:spacing w:after="100"/>
              <w:rPr>
                <w:rFonts w:eastAsia="Times New Roman"/>
                <w:sz w:val="20"/>
                <w:szCs w:val="20"/>
              </w:rPr>
            </w:pPr>
          </w:p>
        </w:tc>
      </w:tr>
      <w:tr w:rsidR="00000000" w14:paraId="26383318" w14:textId="77777777">
        <w:trPr>
          <w:divId w:val="1218006207"/>
          <w:trHeight w:val="60"/>
        </w:trPr>
        <w:tc>
          <w:tcPr>
            <w:tcW w:w="0" w:type="auto"/>
            <w:gridSpan w:val="3"/>
            <w:tcMar>
              <w:top w:w="0" w:type="dxa"/>
              <w:left w:w="20" w:type="dxa"/>
              <w:bottom w:w="0" w:type="dxa"/>
              <w:right w:w="20" w:type="dxa"/>
            </w:tcMar>
            <w:vAlign w:val="center"/>
            <w:hideMark/>
          </w:tcPr>
          <w:p w14:paraId="59FBA6BB" w14:textId="77777777" w:rsidR="00000000" w:rsidRDefault="00405D16">
            <w:pPr>
              <w:spacing w:after="100"/>
              <w:rPr>
                <w:rFonts w:eastAsia="Times New Roman"/>
                <w:sz w:val="20"/>
                <w:szCs w:val="20"/>
              </w:rPr>
            </w:pPr>
          </w:p>
        </w:tc>
      </w:tr>
    </w:tbl>
    <w:p w14:paraId="550CED6B" w14:textId="77777777" w:rsidR="00000000" w:rsidRDefault="00405D16">
      <w:pPr>
        <w:divId w:val="121800620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637"/>
        <w:gridCol w:w="38"/>
        <w:gridCol w:w="36"/>
        <w:gridCol w:w="36"/>
        <w:gridCol w:w="36"/>
        <w:gridCol w:w="110"/>
        <w:gridCol w:w="524"/>
        <w:gridCol w:w="36"/>
        <w:gridCol w:w="36"/>
        <w:gridCol w:w="36"/>
        <w:gridCol w:w="36"/>
        <w:gridCol w:w="111"/>
        <w:gridCol w:w="668"/>
        <w:gridCol w:w="36"/>
        <w:gridCol w:w="36"/>
        <w:gridCol w:w="36"/>
        <w:gridCol w:w="36"/>
        <w:gridCol w:w="111"/>
        <w:gridCol w:w="785"/>
        <w:gridCol w:w="36"/>
        <w:gridCol w:w="36"/>
        <w:gridCol w:w="36"/>
        <w:gridCol w:w="36"/>
        <w:gridCol w:w="111"/>
        <w:gridCol w:w="503"/>
        <w:gridCol w:w="36"/>
        <w:gridCol w:w="36"/>
        <w:gridCol w:w="36"/>
        <w:gridCol w:w="36"/>
        <w:gridCol w:w="111"/>
        <w:gridCol w:w="838"/>
        <w:gridCol w:w="36"/>
      </w:tblGrid>
      <w:tr w:rsidR="00000000" w14:paraId="5AE8BF3D" w14:textId="77777777">
        <w:trPr>
          <w:divId w:val="1218006207"/>
        </w:trPr>
        <w:tc>
          <w:tcPr>
            <w:tcW w:w="50" w:type="pct"/>
            <w:vAlign w:val="center"/>
            <w:hideMark/>
          </w:tcPr>
          <w:p w14:paraId="6BFD0992" w14:textId="77777777" w:rsidR="00000000" w:rsidRDefault="00405D16">
            <w:pPr>
              <w:rPr>
                <w:rFonts w:eastAsia="Times New Roman"/>
              </w:rPr>
            </w:pPr>
          </w:p>
        </w:tc>
        <w:tc>
          <w:tcPr>
            <w:tcW w:w="2284" w:type="pct"/>
            <w:vAlign w:val="center"/>
            <w:hideMark/>
          </w:tcPr>
          <w:p w14:paraId="65650EDD" w14:textId="77777777" w:rsidR="00000000" w:rsidRDefault="00405D16">
            <w:pPr>
              <w:spacing w:after="100"/>
              <w:rPr>
                <w:rFonts w:eastAsia="Times New Roman"/>
                <w:sz w:val="20"/>
                <w:szCs w:val="20"/>
              </w:rPr>
            </w:pPr>
          </w:p>
        </w:tc>
        <w:tc>
          <w:tcPr>
            <w:tcW w:w="5" w:type="pct"/>
            <w:vAlign w:val="center"/>
            <w:hideMark/>
          </w:tcPr>
          <w:p w14:paraId="70F8129E" w14:textId="77777777" w:rsidR="00000000" w:rsidRDefault="00405D16">
            <w:pPr>
              <w:spacing w:after="100"/>
              <w:rPr>
                <w:rFonts w:eastAsia="Times New Roman"/>
                <w:sz w:val="20"/>
                <w:szCs w:val="20"/>
              </w:rPr>
            </w:pPr>
          </w:p>
        </w:tc>
        <w:tc>
          <w:tcPr>
            <w:tcW w:w="5" w:type="pct"/>
            <w:vAlign w:val="center"/>
            <w:hideMark/>
          </w:tcPr>
          <w:p w14:paraId="77EF2B89" w14:textId="77777777" w:rsidR="00000000" w:rsidRDefault="00405D16">
            <w:pPr>
              <w:spacing w:after="100"/>
              <w:rPr>
                <w:rFonts w:eastAsia="Times New Roman"/>
                <w:sz w:val="20"/>
                <w:szCs w:val="20"/>
              </w:rPr>
            </w:pPr>
          </w:p>
        </w:tc>
        <w:tc>
          <w:tcPr>
            <w:tcW w:w="26" w:type="pct"/>
            <w:vAlign w:val="center"/>
            <w:hideMark/>
          </w:tcPr>
          <w:p w14:paraId="2D661597" w14:textId="77777777" w:rsidR="00000000" w:rsidRDefault="00405D16">
            <w:pPr>
              <w:spacing w:after="100"/>
              <w:rPr>
                <w:rFonts w:eastAsia="Times New Roman"/>
                <w:sz w:val="20"/>
                <w:szCs w:val="20"/>
              </w:rPr>
            </w:pPr>
          </w:p>
        </w:tc>
        <w:tc>
          <w:tcPr>
            <w:tcW w:w="5" w:type="pct"/>
            <w:vAlign w:val="center"/>
            <w:hideMark/>
          </w:tcPr>
          <w:p w14:paraId="40570E35" w14:textId="77777777" w:rsidR="00000000" w:rsidRDefault="00405D16">
            <w:pPr>
              <w:spacing w:after="100"/>
              <w:rPr>
                <w:rFonts w:eastAsia="Times New Roman"/>
                <w:sz w:val="20"/>
                <w:szCs w:val="20"/>
              </w:rPr>
            </w:pPr>
          </w:p>
        </w:tc>
        <w:tc>
          <w:tcPr>
            <w:tcW w:w="50" w:type="pct"/>
            <w:vAlign w:val="center"/>
            <w:hideMark/>
          </w:tcPr>
          <w:p w14:paraId="66C8E49D" w14:textId="77777777" w:rsidR="00000000" w:rsidRDefault="00405D16">
            <w:pPr>
              <w:spacing w:after="100"/>
              <w:rPr>
                <w:rFonts w:eastAsia="Times New Roman"/>
                <w:sz w:val="20"/>
                <w:szCs w:val="20"/>
              </w:rPr>
            </w:pPr>
          </w:p>
        </w:tc>
        <w:tc>
          <w:tcPr>
            <w:tcW w:w="434" w:type="pct"/>
            <w:vAlign w:val="center"/>
            <w:hideMark/>
          </w:tcPr>
          <w:p w14:paraId="43F74150" w14:textId="77777777" w:rsidR="00000000" w:rsidRDefault="00405D16">
            <w:pPr>
              <w:spacing w:after="100"/>
              <w:rPr>
                <w:rFonts w:eastAsia="Times New Roman"/>
                <w:sz w:val="20"/>
                <w:szCs w:val="20"/>
              </w:rPr>
            </w:pPr>
          </w:p>
        </w:tc>
        <w:tc>
          <w:tcPr>
            <w:tcW w:w="5" w:type="pct"/>
            <w:vAlign w:val="center"/>
            <w:hideMark/>
          </w:tcPr>
          <w:p w14:paraId="7F917193" w14:textId="77777777" w:rsidR="00000000" w:rsidRDefault="00405D16">
            <w:pPr>
              <w:spacing w:after="100"/>
              <w:rPr>
                <w:rFonts w:eastAsia="Times New Roman"/>
                <w:sz w:val="20"/>
                <w:szCs w:val="20"/>
              </w:rPr>
            </w:pPr>
          </w:p>
        </w:tc>
        <w:tc>
          <w:tcPr>
            <w:tcW w:w="5" w:type="pct"/>
            <w:vAlign w:val="center"/>
            <w:hideMark/>
          </w:tcPr>
          <w:p w14:paraId="09BF1A9A" w14:textId="77777777" w:rsidR="00000000" w:rsidRDefault="00405D16">
            <w:pPr>
              <w:spacing w:after="100"/>
              <w:rPr>
                <w:rFonts w:eastAsia="Times New Roman"/>
                <w:sz w:val="20"/>
                <w:szCs w:val="20"/>
              </w:rPr>
            </w:pPr>
          </w:p>
        </w:tc>
        <w:tc>
          <w:tcPr>
            <w:tcW w:w="26" w:type="pct"/>
            <w:vAlign w:val="center"/>
            <w:hideMark/>
          </w:tcPr>
          <w:p w14:paraId="036C45B7" w14:textId="77777777" w:rsidR="00000000" w:rsidRDefault="00405D16">
            <w:pPr>
              <w:spacing w:after="100"/>
              <w:rPr>
                <w:rFonts w:eastAsia="Times New Roman"/>
                <w:sz w:val="20"/>
                <w:szCs w:val="20"/>
              </w:rPr>
            </w:pPr>
          </w:p>
        </w:tc>
        <w:tc>
          <w:tcPr>
            <w:tcW w:w="5" w:type="pct"/>
            <w:vAlign w:val="center"/>
            <w:hideMark/>
          </w:tcPr>
          <w:p w14:paraId="6BBB20B2" w14:textId="77777777" w:rsidR="00000000" w:rsidRDefault="00405D16">
            <w:pPr>
              <w:spacing w:after="100"/>
              <w:rPr>
                <w:rFonts w:eastAsia="Times New Roman"/>
                <w:sz w:val="20"/>
                <w:szCs w:val="20"/>
              </w:rPr>
            </w:pPr>
          </w:p>
        </w:tc>
        <w:tc>
          <w:tcPr>
            <w:tcW w:w="50" w:type="pct"/>
            <w:vAlign w:val="center"/>
            <w:hideMark/>
          </w:tcPr>
          <w:p w14:paraId="04E234BE" w14:textId="77777777" w:rsidR="00000000" w:rsidRDefault="00405D16">
            <w:pPr>
              <w:spacing w:after="100"/>
              <w:rPr>
                <w:rFonts w:eastAsia="Times New Roman"/>
                <w:sz w:val="20"/>
                <w:szCs w:val="20"/>
              </w:rPr>
            </w:pPr>
          </w:p>
        </w:tc>
        <w:tc>
          <w:tcPr>
            <w:tcW w:w="434" w:type="pct"/>
            <w:vAlign w:val="center"/>
            <w:hideMark/>
          </w:tcPr>
          <w:p w14:paraId="750E1C09" w14:textId="77777777" w:rsidR="00000000" w:rsidRDefault="00405D16">
            <w:pPr>
              <w:spacing w:after="100"/>
              <w:rPr>
                <w:rFonts w:eastAsia="Times New Roman"/>
                <w:sz w:val="20"/>
                <w:szCs w:val="20"/>
              </w:rPr>
            </w:pPr>
          </w:p>
        </w:tc>
        <w:tc>
          <w:tcPr>
            <w:tcW w:w="5" w:type="pct"/>
            <w:vAlign w:val="center"/>
            <w:hideMark/>
          </w:tcPr>
          <w:p w14:paraId="39567C42" w14:textId="77777777" w:rsidR="00000000" w:rsidRDefault="00405D16">
            <w:pPr>
              <w:spacing w:after="100"/>
              <w:rPr>
                <w:rFonts w:eastAsia="Times New Roman"/>
                <w:sz w:val="20"/>
                <w:szCs w:val="20"/>
              </w:rPr>
            </w:pPr>
          </w:p>
        </w:tc>
        <w:tc>
          <w:tcPr>
            <w:tcW w:w="5" w:type="pct"/>
            <w:vAlign w:val="center"/>
            <w:hideMark/>
          </w:tcPr>
          <w:p w14:paraId="45E9B489" w14:textId="77777777" w:rsidR="00000000" w:rsidRDefault="00405D16">
            <w:pPr>
              <w:spacing w:after="100"/>
              <w:rPr>
                <w:rFonts w:eastAsia="Times New Roman"/>
                <w:sz w:val="20"/>
                <w:szCs w:val="20"/>
              </w:rPr>
            </w:pPr>
          </w:p>
        </w:tc>
        <w:tc>
          <w:tcPr>
            <w:tcW w:w="26" w:type="pct"/>
            <w:vAlign w:val="center"/>
            <w:hideMark/>
          </w:tcPr>
          <w:p w14:paraId="31BFCD54" w14:textId="77777777" w:rsidR="00000000" w:rsidRDefault="00405D16">
            <w:pPr>
              <w:spacing w:after="100"/>
              <w:rPr>
                <w:rFonts w:eastAsia="Times New Roman"/>
                <w:sz w:val="20"/>
                <w:szCs w:val="20"/>
              </w:rPr>
            </w:pPr>
          </w:p>
        </w:tc>
        <w:tc>
          <w:tcPr>
            <w:tcW w:w="5" w:type="pct"/>
            <w:vAlign w:val="center"/>
            <w:hideMark/>
          </w:tcPr>
          <w:p w14:paraId="2634D606" w14:textId="77777777" w:rsidR="00000000" w:rsidRDefault="00405D16">
            <w:pPr>
              <w:spacing w:after="100"/>
              <w:rPr>
                <w:rFonts w:eastAsia="Times New Roman"/>
                <w:sz w:val="20"/>
                <w:szCs w:val="20"/>
              </w:rPr>
            </w:pPr>
          </w:p>
        </w:tc>
        <w:tc>
          <w:tcPr>
            <w:tcW w:w="50" w:type="pct"/>
            <w:vAlign w:val="center"/>
            <w:hideMark/>
          </w:tcPr>
          <w:p w14:paraId="54037B18" w14:textId="77777777" w:rsidR="00000000" w:rsidRDefault="00405D16">
            <w:pPr>
              <w:spacing w:after="100"/>
              <w:rPr>
                <w:rFonts w:eastAsia="Times New Roman"/>
                <w:sz w:val="20"/>
                <w:szCs w:val="20"/>
              </w:rPr>
            </w:pPr>
          </w:p>
        </w:tc>
        <w:tc>
          <w:tcPr>
            <w:tcW w:w="434" w:type="pct"/>
            <w:vAlign w:val="center"/>
            <w:hideMark/>
          </w:tcPr>
          <w:p w14:paraId="24963C89" w14:textId="77777777" w:rsidR="00000000" w:rsidRDefault="00405D16">
            <w:pPr>
              <w:spacing w:after="100"/>
              <w:rPr>
                <w:rFonts w:eastAsia="Times New Roman"/>
                <w:sz w:val="20"/>
                <w:szCs w:val="20"/>
              </w:rPr>
            </w:pPr>
          </w:p>
        </w:tc>
        <w:tc>
          <w:tcPr>
            <w:tcW w:w="5" w:type="pct"/>
            <w:vAlign w:val="center"/>
            <w:hideMark/>
          </w:tcPr>
          <w:p w14:paraId="329D0E11" w14:textId="77777777" w:rsidR="00000000" w:rsidRDefault="00405D16">
            <w:pPr>
              <w:spacing w:after="100"/>
              <w:rPr>
                <w:rFonts w:eastAsia="Times New Roman"/>
                <w:sz w:val="20"/>
                <w:szCs w:val="20"/>
              </w:rPr>
            </w:pPr>
          </w:p>
        </w:tc>
        <w:tc>
          <w:tcPr>
            <w:tcW w:w="5" w:type="pct"/>
            <w:vAlign w:val="center"/>
            <w:hideMark/>
          </w:tcPr>
          <w:p w14:paraId="4E3161CA" w14:textId="77777777" w:rsidR="00000000" w:rsidRDefault="00405D16">
            <w:pPr>
              <w:spacing w:after="100"/>
              <w:rPr>
                <w:rFonts w:eastAsia="Times New Roman"/>
                <w:sz w:val="20"/>
                <w:szCs w:val="20"/>
              </w:rPr>
            </w:pPr>
          </w:p>
        </w:tc>
        <w:tc>
          <w:tcPr>
            <w:tcW w:w="26" w:type="pct"/>
            <w:vAlign w:val="center"/>
            <w:hideMark/>
          </w:tcPr>
          <w:p w14:paraId="57816463" w14:textId="77777777" w:rsidR="00000000" w:rsidRDefault="00405D16">
            <w:pPr>
              <w:spacing w:after="100"/>
              <w:rPr>
                <w:rFonts w:eastAsia="Times New Roman"/>
                <w:sz w:val="20"/>
                <w:szCs w:val="20"/>
              </w:rPr>
            </w:pPr>
          </w:p>
        </w:tc>
        <w:tc>
          <w:tcPr>
            <w:tcW w:w="5" w:type="pct"/>
            <w:vAlign w:val="center"/>
            <w:hideMark/>
          </w:tcPr>
          <w:p w14:paraId="19F51A49" w14:textId="77777777" w:rsidR="00000000" w:rsidRDefault="00405D16">
            <w:pPr>
              <w:spacing w:after="100"/>
              <w:rPr>
                <w:rFonts w:eastAsia="Times New Roman"/>
                <w:sz w:val="20"/>
                <w:szCs w:val="20"/>
              </w:rPr>
            </w:pPr>
          </w:p>
        </w:tc>
        <w:tc>
          <w:tcPr>
            <w:tcW w:w="50" w:type="pct"/>
            <w:vAlign w:val="center"/>
            <w:hideMark/>
          </w:tcPr>
          <w:p w14:paraId="6AFE20B5" w14:textId="77777777" w:rsidR="00000000" w:rsidRDefault="00405D16">
            <w:pPr>
              <w:spacing w:after="100"/>
              <w:rPr>
                <w:rFonts w:eastAsia="Times New Roman"/>
                <w:sz w:val="20"/>
                <w:szCs w:val="20"/>
              </w:rPr>
            </w:pPr>
          </w:p>
        </w:tc>
        <w:tc>
          <w:tcPr>
            <w:tcW w:w="434" w:type="pct"/>
            <w:vAlign w:val="center"/>
            <w:hideMark/>
          </w:tcPr>
          <w:p w14:paraId="3239B6D1" w14:textId="77777777" w:rsidR="00000000" w:rsidRDefault="00405D16">
            <w:pPr>
              <w:spacing w:after="100"/>
              <w:rPr>
                <w:rFonts w:eastAsia="Times New Roman"/>
                <w:sz w:val="20"/>
                <w:szCs w:val="20"/>
              </w:rPr>
            </w:pPr>
          </w:p>
        </w:tc>
        <w:tc>
          <w:tcPr>
            <w:tcW w:w="5" w:type="pct"/>
            <w:vAlign w:val="center"/>
            <w:hideMark/>
          </w:tcPr>
          <w:p w14:paraId="6B273B87" w14:textId="77777777" w:rsidR="00000000" w:rsidRDefault="00405D16">
            <w:pPr>
              <w:spacing w:after="100"/>
              <w:rPr>
                <w:rFonts w:eastAsia="Times New Roman"/>
                <w:sz w:val="20"/>
                <w:szCs w:val="20"/>
              </w:rPr>
            </w:pPr>
          </w:p>
        </w:tc>
        <w:tc>
          <w:tcPr>
            <w:tcW w:w="5" w:type="pct"/>
            <w:vAlign w:val="center"/>
            <w:hideMark/>
          </w:tcPr>
          <w:p w14:paraId="5B238E72" w14:textId="77777777" w:rsidR="00000000" w:rsidRDefault="00405D16">
            <w:pPr>
              <w:spacing w:after="100"/>
              <w:rPr>
                <w:rFonts w:eastAsia="Times New Roman"/>
                <w:sz w:val="20"/>
                <w:szCs w:val="20"/>
              </w:rPr>
            </w:pPr>
          </w:p>
        </w:tc>
        <w:tc>
          <w:tcPr>
            <w:tcW w:w="26" w:type="pct"/>
            <w:vAlign w:val="center"/>
            <w:hideMark/>
          </w:tcPr>
          <w:p w14:paraId="7E1C9489" w14:textId="77777777" w:rsidR="00000000" w:rsidRDefault="00405D16">
            <w:pPr>
              <w:spacing w:after="100"/>
              <w:rPr>
                <w:rFonts w:eastAsia="Times New Roman"/>
                <w:sz w:val="20"/>
                <w:szCs w:val="20"/>
              </w:rPr>
            </w:pPr>
          </w:p>
        </w:tc>
        <w:tc>
          <w:tcPr>
            <w:tcW w:w="5" w:type="pct"/>
            <w:vAlign w:val="center"/>
            <w:hideMark/>
          </w:tcPr>
          <w:p w14:paraId="297B45E8" w14:textId="77777777" w:rsidR="00000000" w:rsidRDefault="00405D16">
            <w:pPr>
              <w:spacing w:after="100"/>
              <w:rPr>
                <w:rFonts w:eastAsia="Times New Roman"/>
                <w:sz w:val="20"/>
                <w:szCs w:val="20"/>
              </w:rPr>
            </w:pPr>
          </w:p>
        </w:tc>
        <w:tc>
          <w:tcPr>
            <w:tcW w:w="50" w:type="pct"/>
            <w:vAlign w:val="center"/>
            <w:hideMark/>
          </w:tcPr>
          <w:p w14:paraId="79358BC0" w14:textId="77777777" w:rsidR="00000000" w:rsidRDefault="00405D16">
            <w:pPr>
              <w:spacing w:after="100"/>
              <w:rPr>
                <w:rFonts w:eastAsia="Times New Roman"/>
                <w:sz w:val="20"/>
                <w:szCs w:val="20"/>
              </w:rPr>
            </w:pPr>
          </w:p>
        </w:tc>
        <w:tc>
          <w:tcPr>
            <w:tcW w:w="464" w:type="pct"/>
            <w:vAlign w:val="center"/>
            <w:hideMark/>
          </w:tcPr>
          <w:p w14:paraId="163F46FA" w14:textId="77777777" w:rsidR="00000000" w:rsidRDefault="00405D16">
            <w:pPr>
              <w:spacing w:after="100"/>
              <w:rPr>
                <w:rFonts w:eastAsia="Times New Roman"/>
                <w:sz w:val="20"/>
                <w:szCs w:val="20"/>
              </w:rPr>
            </w:pPr>
          </w:p>
        </w:tc>
        <w:tc>
          <w:tcPr>
            <w:tcW w:w="5" w:type="pct"/>
            <w:vAlign w:val="center"/>
            <w:hideMark/>
          </w:tcPr>
          <w:p w14:paraId="1492B2F9" w14:textId="77777777" w:rsidR="00000000" w:rsidRDefault="00405D16">
            <w:pPr>
              <w:spacing w:after="100"/>
              <w:rPr>
                <w:rFonts w:eastAsia="Times New Roman"/>
                <w:sz w:val="20"/>
                <w:szCs w:val="20"/>
              </w:rPr>
            </w:pPr>
          </w:p>
        </w:tc>
      </w:tr>
      <w:tr w:rsidR="00000000" w14:paraId="0EC7CE23" w14:textId="77777777">
        <w:trPr>
          <w:divId w:val="1218006207"/>
        </w:trPr>
        <w:tc>
          <w:tcPr>
            <w:tcW w:w="0" w:type="auto"/>
            <w:gridSpan w:val="3"/>
            <w:tcMar>
              <w:top w:w="0" w:type="dxa"/>
              <w:left w:w="20" w:type="dxa"/>
              <w:bottom w:w="0" w:type="dxa"/>
              <w:right w:w="20" w:type="dxa"/>
            </w:tcMar>
            <w:vAlign w:val="center"/>
            <w:hideMark/>
          </w:tcPr>
          <w:p w14:paraId="2DFD7DA0"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0C91D44" w14:textId="77777777" w:rsidR="00000000" w:rsidRDefault="00405D16">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6E74B81B" w14:textId="77777777" w:rsidR="00000000" w:rsidRDefault="00405D16">
            <w:pPr>
              <w:spacing w:after="100"/>
              <w:jc w:val="center"/>
              <w:rPr>
                <w:rFonts w:eastAsia="Times New Roman"/>
              </w:rPr>
            </w:pPr>
            <w:r>
              <w:rPr>
                <w:rFonts w:eastAsia="Times New Roman"/>
                <w:b/>
                <w:bCs/>
                <w:color w:val="000000"/>
                <w:sz w:val="16"/>
                <w:szCs w:val="16"/>
              </w:rPr>
              <w:t>Nine Months Ended September 30, 2021</w:t>
            </w:r>
          </w:p>
        </w:tc>
      </w:tr>
      <w:tr w:rsidR="00000000" w14:paraId="6EC0ACD2" w14:textId="77777777">
        <w:trPr>
          <w:divId w:val="1218006207"/>
        </w:trPr>
        <w:tc>
          <w:tcPr>
            <w:tcW w:w="0" w:type="auto"/>
            <w:gridSpan w:val="3"/>
            <w:tcMar>
              <w:top w:w="30" w:type="dxa"/>
              <w:left w:w="20" w:type="dxa"/>
              <w:bottom w:w="30" w:type="dxa"/>
              <w:right w:w="20" w:type="dxa"/>
            </w:tcMar>
            <w:vAlign w:val="bottom"/>
            <w:hideMark/>
          </w:tcPr>
          <w:p w14:paraId="223BBE9A"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690BE206"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EAF658" w14:textId="77777777" w:rsidR="00000000" w:rsidRDefault="00405D16">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5BF9529A"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6E2C679" w14:textId="77777777" w:rsidR="00000000" w:rsidRDefault="00405D16">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44E4D258"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9665143" w14:textId="77777777" w:rsidR="00000000" w:rsidRDefault="00405D16">
            <w:pPr>
              <w:spacing w:after="100"/>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05484246"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0231D1E" w14:textId="77777777" w:rsidR="00000000" w:rsidRDefault="00405D16">
            <w:pPr>
              <w:spacing w:after="100"/>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1E20EFC0"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09A6925" w14:textId="77777777" w:rsidR="00000000" w:rsidRDefault="00405D16">
            <w:pPr>
              <w:spacing w:after="100"/>
              <w:jc w:val="center"/>
              <w:rPr>
                <w:rFonts w:eastAsia="Times New Roman"/>
              </w:rPr>
            </w:pPr>
            <w:r>
              <w:rPr>
                <w:rFonts w:eastAsia="Times New Roman"/>
                <w:b/>
                <w:bCs/>
                <w:color w:val="000000"/>
                <w:sz w:val="16"/>
                <w:szCs w:val="16"/>
              </w:rPr>
              <w:t>Consolidated Total</w:t>
            </w:r>
          </w:p>
        </w:tc>
      </w:tr>
      <w:tr w:rsidR="00000000" w14:paraId="225464AF" w14:textId="77777777">
        <w:trPr>
          <w:divId w:val="121800620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0B2E235" w14:textId="77777777" w:rsidR="00000000" w:rsidRDefault="00405D16">
            <w:pPr>
              <w:spacing w:after="100"/>
              <w:rPr>
                <w:rFonts w:eastAsia="Times New Roman"/>
              </w:rPr>
            </w:pPr>
            <w:r>
              <w:rPr>
                <w:rFonts w:eastAsia="Times New Roman"/>
                <w:color w:val="000000"/>
                <w:sz w:val="18"/>
                <w:szCs w:val="18"/>
              </w:rPr>
              <w:t>Contract revenue:</w:t>
            </w:r>
          </w:p>
        </w:tc>
        <w:tc>
          <w:tcPr>
            <w:tcW w:w="0" w:type="auto"/>
            <w:gridSpan w:val="3"/>
            <w:shd w:val="clear" w:color="auto" w:fill="CCEEFF"/>
            <w:tcMar>
              <w:top w:w="0" w:type="dxa"/>
              <w:left w:w="20" w:type="dxa"/>
              <w:bottom w:w="0" w:type="dxa"/>
              <w:right w:w="20" w:type="dxa"/>
            </w:tcMar>
            <w:vAlign w:val="center"/>
            <w:hideMark/>
          </w:tcPr>
          <w:p w14:paraId="199CF714"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5BF7C6E"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154A5A"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1D20F9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AE380D"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0A93D2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9B4F90"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C483E14"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824089"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1F29540" w14:textId="77777777" w:rsidR="00000000" w:rsidRDefault="00405D16">
            <w:pPr>
              <w:spacing w:after="100"/>
              <w:rPr>
                <w:rFonts w:eastAsia="Times New Roman"/>
                <w:sz w:val="20"/>
                <w:szCs w:val="20"/>
              </w:rPr>
            </w:pPr>
          </w:p>
        </w:tc>
      </w:tr>
      <w:tr w:rsidR="00000000" w14:paraId="45E1BC9D" w14:textId="77777777">
        <w:trPr>
          <w:divId w:val="1218006207"/>
        </w:trPr>
        <w:tc>
          <w:tcPr>
            <w:tcW w:w="0" w:type="auto"/>
            <w:gridSpan w:val="3"/>
            <w:shd w:val="clear" w:color="auto" w:fill="FFFFFF"/>
            <w:tcMar>
              <w:top w:w="30" w:type="dxa"/>
              <w:left w:w="20" w:type="dxa"/>
              <w:bottom w:w="30" w:type="dxa"/>
              <w:right w:w="20" w:type="dxa"/>
            </w:tcMar>
            <w:vAlign w:val="center"/>
            <w:hideMark/>
          </w:tcPr>
          <w:p w14:paraId="1AA75C67" w14:textId="77777777" w:rsidR="00000000" w:rsidRDefault="00405D16">
            <w:pPr>
              <w:spacing w:after="100"/>
              <w:divId w:val="1262687898"/>
              <w:rPr>
                <w:rFonts w:eastAsia="Times New Roman"/>
              </w:rPr>
            </w:pPr>
            <w:r>
              <w:rPr>
                <w:rFonts w:eastAsia="Times New Roman"/>
                <w:color w:val="000000"/>
                <w:sz w:val="18"/>
                <w:szCs w:val="18"/>
              </w:rPr>
              <w:t>Interchange fees, ne</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21909231"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4245332C"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73C902DC" w14:textId="77777777" w:rsidR="00000000" w:rsidRDefault="00405D16">
            <w:pPr>
              <w:spacing w:after="100"/>
              <w:jc w:val="right"/>
              <w:rPr>
                <w:rFonts w:eastAsia="Times New Roman"/>
              </w:rPr>
            </w:pPr>
            <w:r>
              <w:rPr>
                <w:rFonts w:eastAsia="Times New Roman"/>
                <w:b/>
                <w:bCs/>
                <w:color w:val="000000"/>
                <w:sz w:val="18"/>
                <w:szCs w:val="18"/>
              </w:rPr>
              <w:t>2,598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17FB70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9C1EE5"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F59EAE4"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47951EE8" w14:textId="77777777" w:rsidR="00000000" w:rsidRDefault="00405D16">
            <w:pPr>
              <w:spacing w:after="100"/>
              <w:jc w:val="right"/>
              <w:rPr>
                <w:rFonts w:eastAsia="Times New Roman"/>
              </w:rPr>
            </w:pPr>
            <w:r>
              <w:rPr>
                <w:rFonts w:eastAsia="Times New Roman"/>
                <w:b/>
                <w:bCs/>
                <w:color w:val="000000"/>
                <w:sz w:val="18"/>
                <w:szCs w:val="18"/>
              </w:rPr>
              <w:t>192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ECF85F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5447B3"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E4F837B"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5B73DD46" w14:textId="77777777" w:rsidR="00000000" w:rsidRDefault="00405D16">
            <w:pPr>
              <w:spacing w:after="100"/>
              <w:jc w:val="right"/>
              <w:rPr>
                <w:rFonts w:eastAsia="Times New Roman"/>
              </w:rPr>
            </w:pPr>
            <w:r>
              <w:rPr>
                <w:rFonts w:eastAsia="Times New Roman"/>
                <w:b/>
                <w:bCs/>
                <w:color w:val="000000"/>
                <w:sz w:val="18"/>
                <w:szCs w:val="18"/>
              </w:rPr>
              <w:t>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6FCAD3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8E925E"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691E322"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65C37806"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6E074D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F037B3"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99599B5"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4B3679C3" w14:textId="77777777" w:rsidR="00000000" w:rsidRDefault="00405D16">
            <w:pPr>
              <w:spacing w:after="100"/>
              <w:jc w:val="right"/>
              <w:rPr>
                <w:rFonts w:eastAsia="Times New Roman"/>
              </w:rPr>
            </w:pPr>
            <w:r>
              <w:rPr>
                <w:rFonts w:eastAsia="Times New Roman"/>
                <w:b/>
                <w:bCs/>
                <w:color w:val="000000"/>
                <w:sz w:val="18"/>
                <w:szCs w:val="18"/>
              </w:rPr>
              <w:t>2,855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3EA12D9" w14:textId="77777777" w:rsidR="00000000" w:rsidRDefault="00405D16">
            <w:pPr>
              <w:spacing w:after="100"/>
              <w:jc w:val="right"/>
              <w:rPr>
                <w:rFonts w:eastAsia="Times New Roman"/>
              </w:rPr>
            </w:pPr>
          </w:p>
        </w:tc>
      </w:tr>
      <w:tr w:rsidR="00000000" w14:paraId="54D3FB54" w14:textId="77777777">
        <w:trPr>
          <w:divId w:val="1218006207"/>
        </w:trPr>
        <w:tc>
          <w:tcPr>
            <w:tcW w:w="0" w:type="auto"/>
            <w:gridSpan w:val="3"/>
            <w:shd w:val="clear" w:color="auto" w:fill="CCEEFF"/>
            <w:tcMar>
              <w:top w:w="30" w:type="dxa"/>
              <w:left w:w="245" w:type="dxa"/>
              <w:bottom w:w="30" w:type="dxa"/>
              <w:right w:w="20" w:type="dxa"/>
            </w:tcMar>
            <w:vAlign w:val="center"/>
            <w:hideMark/>
          </w:tcPr>
          <w:p w14:paraId="000DAC34" w14:textId="77777777" w:rsidR="00000000" w:rsidRDefault="00405D16">
            <w:pPr>
              <w:spacing w:after="100"/>
              <w:rPr>
                <w:rFonts w:eastAsia="Times New Roman"/>
              </w:rPr>
            </w:pPr>
            <w:r>
              <w:rPr>
                <w:rFonts w:eastAsia="Times New Roman"/>
                <w:color w:val="000000"/>
                <w:sz w:val="18"/>
                <w:szCs w:val="18"/>
              </w:rPr>
              <w:t>Service charges and other customer-related fees</w:t>
            </w:r>
          </w:p>
        </w:tc>
        <w:tc>
          <w:tcPr>
            <w:tcW w:w="0" w:type="auto"/>
            <w:gridSpan w:val="3"/>
            <w:shd w:val="clear" w:color="auto" w:fill="CCEEFF"/>
            <w:tcMar>
              <w:top w:w="0" w:type="dxa"/>
              <w:left w:w="20" w:type="dxa"/>
              <w:bottom w:w="0" w:type="dxa"/>
              <w:right w:w="20" w:type="dxa"/>
            </w:tcMar>
            <w:vAlign w:val="center"/>
            <w:hideMark/>
          </w:tcPr>
          <w:p w14:paraId="27940036"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3D8EFBB"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471D7C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7027C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FB34E32" w14:textId="77777777" w:rsidR="00000000" w:rsidRDefault="00405D16">
            <w:pPr>
              <w:spacing w:after="100"/>
              <w:jc w:val="right"/>
              <w:rPr>
                <w:rFonts w:eastAsia="Times New Roman"/>
              </w:rPr>
            </w:pPr>
            <w:r>
              <w:rPr>
                <w:rFonts w:eastAsia="Times New Roman"/>
                <w:b/>
                <w:bCs/>
                <w:color w:val="000000"/>
                <w:sz w:val="18"/>
                <w:szCs w:val="18"/>
              </w:rPr>
              <w:t>131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CCB978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80D4D4"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E71D175" w14:textId="77777777" w:rsidR="00000000" w:rsidRDefault="00405D16">
            <w:pPr>
              <w:spacing w:after="100"/>
              <w:jc w:val="right"/>
              <w:rPr>
                <w:rFonts w:eastAsia="Times New Roman"/>
              </w:rPr>
            </w:pPr>
            <w:r>
              <w:rPr>
                <w:rFonts w:eastAsia="Times New Roman"/>
                <w:b/>
                <w:bCs/>
                <w:color w:val="000000"/>
                <w:sz w:val="18"/>
                <w:szCs w:val="18"/>
              </w:rPr>
              <w:t>187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F7D6CD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C641B0"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5D2C9E3"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297F83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19F4E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DD6029D" w14:textId="77777777" w:rsidR="00000000" w:rsidRDefault="00405D16">
            <w:pPr>
              <w:spacing w:after="100"/>
              <w:jc w:val="right"/>
              <w:rPr>
                <w:rFonts w:eastAsia="Times New Roman"/>
              </w:rPr>
            </w:pPr>
            <w:r>
              <w:rPr>
                <w:rFonts w:eastAsia="Times New Roman"/>
                <w:b/>
                <w:bCs/>
                <w:color w:val="000000"/>
                <w:sz w:val="18"/>
                <w:szCs w:val="18"/>
              </w:rPr>
              <w:t>318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62F04B3" w14:textId="77777777" w:rsidR="00000000" w:rsidRDefault="00405D16">
            <w:pPr>
              <w:spacing w:after="100"/>
              <w:jc w:val="right"/>
              <w:rPr>
                <w:rFonts w:eastAsia="Times New Roman"/>
              </w:rPr>
            </w:pPr>
          </w:p>
        </w:tc>
      </w:tr>
      <w:tr w:rsidR="00000000" w14:paraId="6336A9FE" w14:textId="77777777">
        <w:trPr>
          <w:divId w:val="1218006207"/>
        </w:trPr>
        <w:tc>
          <w:tcPr>
            <w:tcW w:w="0" w:type="auto"/>
            <w:gridSpan w:val="3"/>
            <w:shd w:val="clear" w:color="auto" w:fill="FFFFFF"/>
            <w:tcMar>
              <w:top w:w="30" w:type="dxa"/>
              <w:left w:w="245" w:type="dxa"/>
              <w:bottom w:w="30" w:type="dxa"/>
              <w:right w:w="20" w:type="dxa"/>
            </w:tcMar>
            <w:vAlign w:val="center"/>
            <w:hideMark/>
          </w:tcPr>
          <w:p w14:paraId="635D971C" w14:textId="77777777" w:rsidR="00000000" w:rsidRDefault="00405D16">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14:paraId="187B05F6"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2A05A5A" w14:textId="77777777" w:rsidR="00000000" w:rsidRDefault="00405D16">
            <w:pPr>
              <w:spacing w:after="100"/>
              <w:jc w:val="right"/>
              <w:rPr>
                <w:rFonts w:eastAsia="Times New Roman"/>
              </w:rPr>
            </w:pPr>
            <w:r>
              <w:rPr>
                <w:rFonts w:eastAsia="Times New Roman"/>
                <w:b/>
                <w:bCs/>
                <w:color w:val="000000"/>
                <w:sz w:val="18"/>
                <w:szCs w:val="18"/>
              </w:rPr>
              <w:t>262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CB6FA1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A47A6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AF8908A" w14:textId="77777777" w:rsidR="00000000" w:rsidRDefault="00405D16">
            <w:pPr>
              <w:spacing w:after="100"/>
              <w:jc w:val="right"/>
              <w:rPr>
                <w:rFonts w:eastAsia="Times New Roman"/>
              </w:rPr>
            </w:pPr>
            <w:r>
              <w:rPr>
                <w:rFonts w:eastAsia="Times New Roman"/>
                <w:b/>
                <w:bCs/>
                <w:color w:val="000000"/>
                <w:sz w:val="18"/>
                <w:szCs w:val="18"/>
              </w:rPr>
              <w:t>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CCDF72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8F076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E1BE6C3" w14:textId="77777777" w:rsidR="00000000" w:rsidRDefault="00405D16">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F70B9B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9119B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39352F9"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5E2F2B8"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867BF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84FC8D8" w14:textId="77777777" w:rsidR="00000000" w:rsidRDefault="00405D16">
            <w:pPr>
              <w:spacing w:after="100"/>
              <w:jc w:val="right"/>
              <w:rPr>
                <w:rFonts w:eastAsia="Times New Roman"/>
              </w:rPr>
            </w:pPr>
            <w:r>
              <w:rPr>
                <w:rFonts w:eastAsia="Times New Roman"/>
                <w:b/>
                <w:bCs/>
                <w:color w:val="000000"/>
                <w:sz w:val="18"/>
                <w:szCs w:val="18"/>
              </w:rPr>
              <w:t>320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7D8CCD4" w14:textId="77777777" w:rsidR="00000000" w:rsidRDefault="00405D16">
            <w:pPr>
              <w:spacing w:after="100"/>
              <w:jc w:val="right"/>
              <w:rPr>
                <w:rFonts w:eastAsia="Times New Roman"/>
              </w:rPr>
            </w:pPr>
          </w:p>
        </w:tc>
      </w:tr>
      <w:tr w:rsidR="00000000" w14:paraId="63FB44F5" w14:textId="77777777">
        <w:trPr>
          <w:divId w:val="1218006207"/>
        </w:trPr>
        <w:tc>
          <w:tcPr>
            <w:tcW w:w="0" w:type="auto"/>
            <w:gridSpan w:val="3"/>
            <w:shd w:val="clear" w:color="auto" w:fill="CCEEFF"/>
            <w:tcMar>
              <w:top w:w="30" w:type="dxa"/>
              <w:left w:w="20" w:type="dxa"/>
              <w:bottom w:w="30" w:type="dxa"/>
              <w:right w:w="20" w:type="dxa"/>
            </w:tcMar>
            <w:vAlign w:val="center"/>
            <w:hideMark/>
          </w:tcPr>
          <w:p w14:paraId="43247254" w14:textId="77777777" w:rsidR="00000000" w:rsidRDefault="00405D16">
            <w:pPr>
              <w:spacing w:after="100"/>
              <w:rPr>
                <w:rFonts w:eastAsia="Times New Roman"/>
              </w:rPr>
            </w:pPr>
            <w:r>
              <w:rPr>
                <w:rFonts w:eastAsia="Times New Roman"/>
                <w:color w:val="000000"/>
                <w:sz w:val="18"/>
                <w:szCs w:val="18"/>
              </w:rPr>
              <w:t>Total contract revenue</w:t>
            </w:r>
          </w:p>
        </w:tc>
        <w:tc>
          <w:tcPr>
            <w:tcW w:w="0" w:type="auto"/>
            <w:gridSpan w:val="3"/>
            <w:shd w:val="clear" w:color="auto" w:fill="CCEEFF"/>
            <w:tcMar>
              <w:top w:w="0" w:type="dxa"/>
              <w:left w:w="20" w:type="dxa"/>
              <w:bottom w:w="0" w:type="dxa"/>
              <w:right w:w="20" w:type="dxa"/>
            </w:tcMar>
            <w:vAlign w:val="center"/>
            <w:hideMark/>
          </w:tcPr>
          <w:p w14:paraId="6842E06C"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8A87C41" w14:textId="77777777" w:rsidR="00000000" w:rsidRDefault="00405D16">
            <w:pPr>
              <w:spacing w:after="100"/>
              <w:jc w:val="right"/>
              <w:rPr>
                <w:rFonts w:eastAsia="Times New Roman"/>
              </w:rPr>
            </w:pPr>
            <w:r>
              <w:rPr>
                <w:rFonts w:eastAsia="Times New Roman"/>
                <w:b/>
                <w:bCs/>
                <w:color w:val="000000"/>
                <w:sz w:val="18"/>
                <w:szCs w:val="18"/>
              </w:rPr>
              <w:t>2,860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2B3AE7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38F7C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E8754E1" w14:textId="77777777" w:rsidR="00000000" w:rsidRDefault="00405D16">
            <w:pPr>
              <w:spacing w:after="100"/>
              <w:jc w:val="right"/>
              <w:rPr>
                <w:rFonts w:eastAsia="Times New Roman"/>
              </w:rPr>
            </w:pPr>
            <w:r>
              <w:rPr>
                <w:rFonts w:eastAsia="Times New Roman"/>
                <w:b/>
                <w:bCs/>
                <w:color w:val="000000"/>
                <w:sz w:val="18"/>
                <w:szCs w:val="18"/>
              </w:rPr>
              <w:t>378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8D01AA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9C17A5"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943E2A5" w14:textId="77777777" w:rsidR="00000000" w:rsidRDefault="00405D16">
            <w:pPr>
              <w:spacing w:after="100"/>
              <w:jc w:val="right"/>
              <w:rPr>
                <w:rFonts w:eastAsia="Times New Roman"/>
              </w:rPr>
            </w:pPr>
            <w:r>
              <w:rPr>
                <w:rFonts w:eastAsia="Times New Roman"/>
                <w:b/>
                <w:bCs/>
                <w:color w:val="000000"/>
                <w:sz w:val="18"/>
                <w:szCs w:val="18"/>
              </w:rPr>
              <w:t>255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C5A954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1DAD9F"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F9A64A9" w14:textId="77777777" w:rsidR="00000000" w:rsidRDefault="00405D16">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1146E3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D48D52"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03E40C1" w14:textId="77777777" w:rsidR="00000000" w:rsidRDefault="00405D16">
            <w:pPr>
              <w:spacing w:after="100"/>
              <w:jc w:val="right"/>
              <w:rPr>
                <w:rFonts w:eastAsia="Times New Roman"/>
              </w:rPr>
            </w:pPr>
            <w:r>
              <w:rPr>
                <w:rFonts w:eastAsia="Times New Roman"/>
                <w:b/>
                <w:bCs/>
                <w:color w:val="000000"/>
                <w:sz w:val="18"/>
                <w:szCs w:val="18"/>
              </w:rPr>
              <w:t>3,493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F470E44" w14:textId="77777777" w:rsidR="00000000" w:rsidRDefault="00405D16">
            <w:pPr>
              <w:spacing w:after="100"/>
              <w:jc w:val="right"/>
              <w:rPr>
                <w:rFonts w:eastAsia="Times New Roman"/>
              </w:rPr>
            </w:pPr>
          </w:p>
        </w:tc>
      </w:tr>
      <w:tr w:rsidR="00000000" w14:paraId="4BC10D55" w14:textId="77777777">
        <w:trPr>
          <w:divId w:val="1218006207"/>
        </w:trPr>
        <w:tc>
          <w:tcPr>
            <w:tcW w:w="0" w:type="auto"/>
            <w:gridSpan w:val="3"/>
            <w:shd w:val="clear" w:color="auto" w:fill="FFFFFF"/>
            <w:tcMar>
              <w:top w:w="30" w:type="dxa"/>
              <w:left w:w="20" w:type="dxa"/>
              <w:bottom w:w="30" w:type="dxa"/>
              <w:right w:w="20" w:type="dxa"/>
            </w:tcMar>
            <w:vAlign w:val="center"/>
            <w:hideMark/>
          </w:tcPr>
          <w:p w14:paraId="39914764" w14:textId="77777777" w:rsidR="00000000" w:rsidRDefault="00405D16">
            <w:pPr>
              <w:spacing w:after="100"/>
              <w:rPr>
                <w:rFonts w:eastAsia="Times New Roman"/>
              </w:rPr>
            </w:pPr>
            <w:r>
              <w:rPr>
                <w:rFonts w:eastAsia="Times New Roman"/>
                <w:color w:val="000000"/>
                <w:sz w:val="18"/>
                <w:szCs w:val="18"/>
              </w:rPr>
              <w:t>Revenue (reduction) from other sources</w:t>
            </w:r>
          </w:p>
        </w:tc>
        <w:tc>
          <w:tcPr>
            <w:tcW w:w="0" w:type="auto"/>
            <w:gridSpan w:val="3"/>
            <w:shd w:val="clear" w:color="auto" w:fill="FFFFFF"/>
            <w:tcMar>
              <w:top w:w="0" w:type="dxa"/>
              <w:left w:w="20" w:type="dxa"/>
              <w:bottom w:w="0" w:type="dxa"/>
              <w:right w:w="20" w:type="dxa"/>
            </w:tcMar>
            <w:vAlign w:val="center"/>
            <w:hideMark/>
          </w:tcPr>
          <w:p w14:paraId="156C9FBF"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33922C1" w14:textId="77777777" w:rsidR="00000000" w:rsidRDefault="00405D16">
            <w:pPr>
              <w:spacing w:after="100"/>
              <w:jc w:val="right"/>
              <w:rPr>
                <w:rFonts w:eastAsia="Times New Roman"/>
              </w:rPr>
            </w:pPr>
            <w:r>
              <w:rPr>
                <w:rFonts w:eastAsia="Times New Roman"/>
                <w:b/>
                <w:bCs/>
                <w:color w:val="000000"/>
                <w:sz w:val="18"/>
                <w:szCs w:val="18"/>
              </w:rPr>
              <w:t>685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1F6FAB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FD059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7CC4ACC" w14:textId="77777777" w:rsidR="00000000" w:rsidRDefault="00405D16">
            <w:pPr>
              <w:spacing w:after="100"/>
              <w:jc w:val="right"/>
              <w:rPr>
                <w:rFonts w:eastAsia="Times New Roman"/>
              </w:rPr>
            </w:pPr>
            <w:r>
              <w:rPr>
                <w:rFonts w:eastAsia="Times New Roman"/>
                <w:b/>
                <w:bCs/>
                <w:color w:val="000000"/>
                <w:sz w:val="18"/>
                <w:szCs w:val="18"/>
              </w:rPr>
              <w:t>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35E3EE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9F6EF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C7003A4" w14:textId="77777777" w:rsidR="00000000" w:rsidRDefault="00405D16">
            <w:pPr>
              <w:spacing w:after="100"/>
              <w:jc w:val="right"/>
              <w:rPr>
                <w:rFonts w:eastAsia="Times New Roman"/>
              </w:rPr>
            </w:pPr>
            <w:r>
              <w:rPr>
                <w:rFonts w:eastAsia="Times New Roman"/>
                <w:b/>
                <w:bCs/>
                <w:color w:val="000000"/>
                <w:sz w:val="18"/>
                <w:szCs w:val="18"/>
              </w:rPr>
              <w:t>548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048A09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459DFE"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2CAEAB8" w14:textId="77777777" w:rsidR="00000000" w:rsidRDefault="00405D16">
            <w:pPr>
              <w:spacing w:after="100"/>
              <w:jc w:val="right"/>
              <w:rPr>
                <w:rFonts w:eastAsia="Times New Roman"/>
              </w:rPr>
            </w:pPr>
            <w:r>
              <w:rPr>
                <w:rFonts w:eastAsia="Times New Roman"/>
                <w:b/>
                <w:bCs/>
                <w:color w:val="000000"/>
                <w:sz w:val="18"/>
                <w:szCs w:val="18"/>
              </w:rPr>
              <w:t>(164)</w:t>
            </w:r>
          </w:p>
        </w:tc>
        <w:tc>
          <w:tcPr>
            <w:tcW w:w="0" w:type="auto"/>
            <w:shd w:val="clear" w:color="auto" w:fill="FFFFFF"/>
            <w:tcMar>
              <w:top w:w="30" w:type="dxa"/>
              <w:left w:w="0" w:type="dxa"/>
              <w:bottom w:w="30" w:type="dxa"/>
              <w:right w:w="20" w:type="dxa"/>
            </w:tcMar>
            <w:vAlign w:val="center"/>
            <w:hideMark/>
          </w:tcPr>
          <w:p w14:paraId="1D9B7FB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7E83E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D968C76" w14:textId="77777777" w:rsidR="00000000" w:rsidRDefault="00405D16">
            <w:pPr>
              <w:spacing w:after="100"/>
              <w:jc w:val="right"/>
              <w:rPr>
                <w:rFonts w:eastAsia="Times New Roman"/>
              </w:rPr>
            </w:pPr>
            <w:r>
              <w:rPr>
                <w:rFonts w:eastAsia="Times New Roman"/>
                <w:b/>
                <w:bCs/>
                <w:color w:val="000000"/>
                <w:sz w:val="18"/>
                <w:szCs w:val="18"/>
              </w:rPr>
              <w:t>1,103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3973B0C" w14:textId="77777777" w:rsidR="00000000" w:rsidRDefault="00405D16">
            <w:pPr>
              <w:spacing w:after="100"/>
              <w:jc w:val="right"/>
              <w:rPr>
                <w:rFonts w:eastAsia="Times New Roman"/>
              </w:rPr>
            </w:pPr>
          </w:p>
        </w:tc>
      </w:tr>
      <w:tr w:rsidR="00000000" w14:paraId="177DABEE" w14:textId="77777777">
        <w:trPr>
          <w:divId w:val="1218006207"/>
        </w:trPr>
        <w:tc>
          <w:tcPr>
            <w:tcW w:w="0" w:type="auto"/>
            <w:gridSpan w:val="3"/>
            <w:shd w:val="clear" w:color="auto" w:fill="CCEEFF"/>
            <w:tcMar>
              <w:top w:w="30" w:type="dxa"/>
              <w:left w:w="20" w:type="dxa"/>
              <w:bottom w:w="30" w:type="dxa"/>
              <w:right w:w="20" w:type="dxa"/>
            </w:tcMar>
            <w:vAlign w:val="center"/>
            <w:hideMark/>
          </w:tcPr>
          <w:p w14:paraId="482944C7" w14:textId="77777777" w:rsidR="00000000" w:rsidRDefault="00405D16">
            <w:pPr>
              <w:spacing w:after="100"/>
              <w:rPr>
                <w:rFonts w:eastAsia="Times New Roman"/>
              </w:rPr>
            </w:pPr>
            <w:r>
              <w:rPr>
                <w:rFonts w:eastAsia="Times New Roman"/>
                <w:color w:val="000000"/>
                <w:sz w:val="18"/>
                <w:szCs w:val="18"/>
              </w:rPr>
              <w:t>Total non-interest income (loss)</w:t>
            </w:r>
          </w:p>
        </w:tc>
        <w:tc>
          <w:tcPr>
            <w:tcW w:w="0" w:type="auto"/>
            <w:gridSpan w:val="3"/>
            <w:shd w:val="clear" w:color="auto" w:fill="CCEEFF"/>
            <w:tcMar>
              <w:top w:w="0" w:type="dxa"/>
              <w:left w:w="20" w:type="dxa"/>
              <w:bottom w:w="0" w:type="dxa"/>
              <w:right w:w="20" w:type="dxa"/>
            </w:tcMar>
            <w:vAlign w:val="center"/>
            <w:hideMark/>
          </w:tcPr>
          <w:p w14:paraId="72406A65"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C3E984F"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865CCA9" w14:textId="77777777" w:rsidR="00000000" w:rsidRDefault="00405D16">
            <w:pPr>
              <w:spacing w:after="100"/>
              <w:jc w:val="right"/>
              <w:rPr>
                <w:rFonts w:eastAsia="Times New Roman"/>
              </w:rPr>
            </w:pPr>
            <w:r>
              <w:rPr>
                <w:rFonts w:eastAsia="Times New Roman"/>
                <w:b/>
                <w:bCs/>
                <w:color w:val="000000"/>
                <w:sz w:val="18"/>
                <w:szCs w:val="18"/>
              </w:rPr>
              <w:t>3,545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46977E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2A240D"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4B5CAAF"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D2D6BBF" w14:textId="77777777" w:rsidR="00000000" w:rsidRDefault="00405D16">
            <w:pPr>
              <w:spacing w:after="100"/>
              <w:jc w:val="right"/>
              <w:rPr>
                <w:rFonts w:eastAsia="Times New Roman"/>
              </w:rPr>
            </w:pPr>
            <w:r>
              <w:rPr>
                <w:rFonts w:eastAsia="Times New Roman"/>
                <w:b/>
                <w:bCs/>
                <w:color w:val="000000"/>
                <w:sz w:val="18"/>
                <w:szCs w:val="18"/>
              </w:rPr>
              <w:t>412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28B65D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CFA348"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0B7CC64"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628CA87" w14:textId="77777777" w:rsidR="00000000" w:rsidRDefault="00405D16">
            <w:pPr>
              <w:spacing w:after="100"/>
              <w:jc w:val="right"/>
              <w:rPr>
                <w:rFonts w:eastAsia="Times New Roman"/>
              </w:rPr>
            </w:pPr>
            <w:r>
              <w:rPr>
                <w:rFonts w:eastAsia="Times New Roman"/>
                <w:b/>
                <w:bCs/>
                <w:color w:val="000000"/>
                <w:sz w:val="18"/>
                <w:szCs w:val="18"/>
              </w:rPr>
              <w:t>803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5EE91B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589F8C"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EEDB30B"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FFAB07F" w14:textId="77777777" w:rsidR="00000000" w:rsidRDefault="00405D16">
            <w:pPr>
              <w:spacing w:after="100"/>
              <w:jc w:val="right"/>
              <w:rPr>
                <w:rFonts w:eastAsia="Times New Roman"/>
              </w:rPr>
            </w:pPr>
            <w:r>
              <w:rPr>
                <w:rFonts w:eastAsia="Times New Roman"/>
                <w:b/>
                <w:bCs/>
                <w:color w:val="000000"/>
                <w:sz w:val="18"/>
                <w:szCs w:val="18"/>
              </w:rPr>
              <w:t>(164)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F51C99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AF43FA"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1CFA869"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67C8EC6" w14:textId="77777777" w:rsidR="00000000" w:rsidRDefault="00405D16">
            <w:pPr>
              <w:spacing w:after="100"/>
              <w:jc w:val="right"/>
              <w:rPr>
                <w:rFonts w:eastAsia="Times New Roman"/>
              </w:rPr>
            </w:pPr>
            <w:r>
              <w:rPr>
                <w:rFonts w:eastAsia="Times New Roman"/>
                <w:b/>
                <w:bCs/>
                <w:color w:val="000000"/>
                <w:sz w:val="18"/>
                <w:szCs w:val="18"/>
              </w:rPr>
              <w:t>4,596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37E187A" w14:textId="77777777" w:rsidR="00000000" w:rsidRDefault="00405D16">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794"/>
        <w:gridCol w:w="144"/>
        <w:gridCol w:w="144"/>
        <w:gridCol w:w="144"/>
        <w:gridCol w:w="144"/>
        <w:gridCol w:w="144"/>
        <w:gridCol w:w="720"/>
        <w:gridCol w:w="144"/>
        <w:gridCol w:w="144"/>
        <w:gridCol w:w="144"/>
        <w:gridCol w:w="144"/>
        <w:gridCol w:w="144"/>
        <w:gridCol w:w="720"/>
        <w:gridCol w:w="144"/>
        <w:gridCol w:w="144"/>
        <w:gridCol w:w="144"/>
        <w:gridCol w:w="144"/>
        <w:gridCol w:w="144"/>
        <w:gridCol w:w="720"/>
        <w:gridCol w:w="144"/>
        <w:gridCol w:w="144"/>
        <w:gridCol w:w="144"/>
        <w:gridCol w:w="144"/>
        <w:gridCol w:w="144"/>
        <w:gridCol w:w="720"/>
        <w:gridCol w:w="144"/>
        <w:gridCol w:w="144"/>
        <w:gridCol w:w="144"/>
        <w:gridCol w:w="144"/>
        <w:gridCol w:w="144"/>
        <w:gridCol w:w="770"/>
        <w:gridCol w:w="144"/>
      </w:tblGrid>
      <w:tr w:rsidR="00000000" w14:paraId="5C4B786D" w14:textId="77777777">
        <w:tc>
          <w:tcPr>
            <w:tcW w:w="50" w:type="pct"/>
            <w:vAlign w:val="center"/>
            <w:hideMark/>
          </w:tcPr>
          <w:p w14:paraId="4B39985C" w14:textId="77777777" w:rsidR="00000000" w:rsidRDefault="00405D16">
            <w:pPr>
              <w:rPr>
                <w:rFonts w:eastAsia="Times New Roman"/>
              </w:rPr>
            </w:pPr>
          </w:p>
        </w:tc>
        <w:tc>
          <w:tcPr>
            <w:tcW w:w="2284" w:type="pct"/>
            <w:vAlign w:val="center"/>
            <w:hideMark/>
          </w:tcPr>
          <w:p w14:paraId="7B96E586" w14:textId="77777777" w:rsidR="00000000" w:rsidRDefault="00405D16">
            <w:pPr>
              <w:spacing w:after="100"/>
              <w:rPr>
                <w:rFonts w:eastAsia="Times New Roman"/>
                <w:sz w:val="20"/>
                <w:szCs w:val="20"/>
              </w:rPr>
            </w:pPr>
          </w:p>
        </w:tc>
        <w:tc>
          <w:tcPr>
            <w:tcW w:w="5" w:type="pct"/>
            <w:vAlign w:val="center"/>
            <w:hideMark/>
          </w:tcPr>
          <w:p w14:paraId="66F0394B" w14:textId="77777777" w:rsidR="00000000" w:rsidRDefault="00405D16">
            <w:pPr>
              <w:spacing w:after="100"/>
              <w:rPr>
                <w:rFonts w:eastAsia="Times New Roman"/>
                <w:sz w:val="20"/>
                <w:szCs w:val="20"/>
              </w:rPr>
            </w:pPr>
          </w:p>
        </w:tc>
        <w:tc>
          <w:tcPr>
            <w:tcW w:w="5" w:type="pct"/>
            <w:vAlign w:val="center"/>
            <w:hideMark/>
          </w:tcPr>
          <w:p w14:paraId="28D2D694" w14:textId="77777777" w:rsidR="00000000" w:rsidRDefault="00405D16">
            <w:pPr>
              <w:spacing w:after="100"/>
              <w:rPr>
                <w:rFonts w:eastAsia="Times New Roman"/>
                <w:sz w:val="20"/>
                <w:szCs w:val="20"/>
              </w:rPr>
            </w:pPr>
          </w:p>
        </w:tc>
        <w:tc>
          <w:tcPr>
            <w:tcW w:w="26" w:type="pct"/>
            <w:vAlign w:val="center"/>
            <w:hideMark/>
          </w:tcPr>
          <w:p w14:paraId="3B7EA78F" w14:textId="77777777" w:rsidR="00000000" w:rsidRDefault="00405D16">
            <w:pPr>
              <w:spacing w:after="100"/>
              <w:rPr>
                <w:rFonts w:eastAsia="Times New Roman"/>
                <w:sz w:val="20"/>
                <w:szCs w:val="20"/>
              </w:rPr>
            </w:pPr>
          </w:p>
        </w:tc>
        <w:tc>
          <w:tcPr>
            <w:tcW w:w="5" w:type="pct"/>
            <w:vAlign w:val="center"/>
            <w:hideMark/>
          </w:tcPr>
          <w:p w14:paraId="04EEF0D8" w14:textId="77777777" w:rsidR="00000000" w:rsidRDefault="00405D16">
            <w:pPr>
              <w:spacing w:after="100"/>
              <w:rPr>
                <w:rFonts w:eastAsia="Times New Roman"/>
                <w:sz w:val="20"/>
                <w:szCs w:val="20"/>
              </w:rPr>
            </w:pPr>
          </w:p>
        </w:tc>
        <w:tc>
          <w:tcPr>
            <w:tcW w:w="50" w:type="pct"/>
            <w:vAlign w:val="center"/>
            <w:hideMark/>
          </w:tcPr>
          <w:p w14:paraId="5D9A446A" w14:textId="77777777" w:rsidR="00000000" w:rsidRDefault="00405D16">
            <w:pPr>
              <w:spacing w:after="100"/>
              <w:rPr>
                <w:rFonts w:eastAsia="Times New Roman"/>
                <w:sz w:val="20"/>
                <w:szCs w:val="20"/>
              </w:rPr>
            </w:pPr>
          </w:p>
        </w:tc>
        <w:tc>
          <w:tcPr>
            <w:tcW w:w="434" w:type="pct"/>
            <w:vAlign w:val="center"/>
            <w:hideMark/>
          </w:tcPr>
          <w:p w14:paraId="023F8E52" w14:textId="77777777" w:rsidR="00000000" w:rsidRDefault="00405D16">
            <w:pPr>
              <w:spacing w:after="100"/>
              <w:rPr>
                <w:rFonts w:eastAsia="Times New Roman"/>
                <w:sz w:val="20"/>
                <w:szCs w:val="20"/>
              </w:rPr>
            </w:pPr>
          </w:p>
        </w:tc>
        <w:tc>
          <w:tcPr>
            <w:tcW w:w="5" w:type="pct"/>
            <w:vAlign w:val="center"/>
            <w:hideMark/>
          </w:tcPr>
          <w:p w14:paraId="5B43A446" w14:textId="77777777" w:rsidR="00000000" w:rsidRDefault="00405D16">
            <w:pPr>
              <w:spacing w:after="100"/>
              <w:rPr>
                <w:rFonts w:eastAsia="Times New Roman"/>
                <w:sz w:val="20"/>
                <w:szCs w:val="20"/>
              </w:rPr>
            </w:pPr>
          </w:p>
        </w:tc>
        <w:tc>
          <w:tcPr>
            <w:tcW w:w="5" w:type="pct"/>
            <w:vAlign w:val="center"/>
            <w:hideMark/>
          </w:tcPr>
          <w:p w14:paraId="4D01EC05" w14:textId="77777777" w:rsidR="00000000" w:rsidRDefault="00405D16">
            <w:pPr>
              <w:spacing w:after="100"/>
              <w:rPr>
                <w:rFonts w:eastAsia="Times New Roman"/>
                <w:sz w:val="20"/>
                <w:szCs w:val="20"/>
              </w:rPr>
            </w:pPr>
          </w:p>
        </w:tc>
        <w:tc>
          <w:tcPr>
            <w:tcW w:w="26" w:type="pct"/>
            <w:vAlign w:val="center"/>
            <w:hideMark/>
          </w:tcPr>
          <w:p w14:paraId="5DC85D72" w14:textId="77777777" w:rsidR="00000000" w:rsidRDefault="00405D16">
            <w:pPr>
              <w:spacing w:after="100"/>
              <w:rPr>
                <w:rFonts w:eastAsia="Times New Roman"/>
                <w:sz w:val="20"/>
                <w:szCs w:val="20"/>
              </w:rPr>
            </w:pPr>
          </w:p>
        </w:tc>
        <w:tc>
          <w:tcPr>
            <w:tcW w:w="5" w:type="pct"/>
            <w:vAlign w:val="center"/>
            <w:hideMark/>
          </w:tcPr>
          <w:p w14:paraId="6AB5D240" w14:textId="77777777" w:rsidR="00000000" w:rsidRDefault="00405D16">
            <w:pPr>
              <w:spacing w:after="100"/>
              <w:rPr>
                <w:rFonts w:eastAsia="Times New Roman"/>
                <w:sz w:val="20"/>
                <w:szCs w:val="20"/>
              </w:rPr>
            </w:pPr>
          </w:p>
        </w:tc>
        <w:tc>
          <w:tcPr>
            <w:tcW w:w="50" w:type="pct"/>
            <w:vAlign w:val="center"/>
            <w:hideMark/>
          </w:tcPr>
          <w:p w14:paraId="5C4FDA68" w14:textId="77777777" w:rsidR="00000000" w:rsidRDefault="00405D16">
            <w:pPr>
              <w:spacing w:after="100"/>
              <w:rPr>
                <w:rFonts w:eastAsia="Times New Roman"/>
                <w:sz w:val="20"/>
                <w:szCs w:val="20"/>
              </w:rPr>
            </w:pPr>
          </w:p>
        </w:tc>
        <w:tc>
          <w:tcPr>
            <w:tcW w:w="434" w:type="pct"/>
            <w:vAlign w:val="center"/>
            <w:hideMark/>
          </w:tcPr>
          <w:p w14:paraId="7E7ABCF7" w14:textId="77777777" w:rsidR="00000000" w:rsidRDefault="00405D16">
            <w:pPr>
              <w:spacing w:after="100"/>
              <w:rPr>
                <w:rFonts w:eastAsia="Times New Roman"/>
                <w:sz w:val="20"/>
                <w:szCs w:val="20"/>
              </w:rPr>
            </w:pPr>
          </w:p>
        </w:tc>
        <w:tc>
          <w:tcPr>
            <w:tcW w:w="5" w:type="pct"/>
            <w:vAlign w:val="center"/>
            <w:hideMark/>
          </w:tcPr>
          <w:p w14:paraId="45B0533B" w14:textId="77777777" w:rsidR="00000000" w:rsidRDefault="00405D16">
            <w:pPr>
              <w:spacing w:after="100"/>
              <w:rPr>
                <w:rFonts w:eastAsia="Times New Roman"/>
                <w:sz w:val="20"/>
                <w:szCs w:val="20"/>
              </w:rPr>
            </w:pPr>
          </w:p>
        </w:tc>
        <w:tc>
          <w:tcPr>
            <w:tcW w:w="5" w:type="pct"/>
            <w:vAlign w:val="center"/>
            <w:hideMark/>
          </w:tcPr>
          <w:p w14:paraId="1875CFE2" w14:textId="77777777" w:rsidR="00000000" w:rsidRDefault="00405D16">
            <w:pPr>
              <w:spacing w:after="100"/>
              <w:rPr>
                <w:rFonts w:eastAsia="Times New Roman"/>
                <w:sz w:val="20"/>
                <w:szCs w:val="20"/>
              </w:rPr>
            </w:pPr>
          </w:p>
        </w:tc>
        <w:tc>
          <w:tcPr>
            <w:tcW w:w="26" w:type="pct"/>
            <w:vAlign w:val="center"/>
            <w:hideMark/>
          </w:tcPr>
          <w:p w14:paraId="7AB4D595" w14:textId="77777777" w:rsidR="00000000" w:rsidRDefault="00405D16">
            <w:pPr>
              <w:spacing w:after="100"/>
              <w:rPr>
                <w:rFonts w:eastAsia="Times New Roman"/>
                <w:sz w:val="20"/>
                <w:szCs w:val="20"/>
              </w:rPr>
            </w:pPr>
          </w:p>
        </w:tc>
        <w:tc>
          <w:tcPr>
            <w:tcW w:w="5" w:type="pct"/>
            <w:vAlign w:val="center"/>
            <w:hideMark/>
          </w:tcPr>
          <w:p w14:paraId="0672B616" w14:textId="77777777" w:rsidR="00000000" w:rsidRDefault="00405D16">
            <w:pPr>
              <w:spacing w:after="100"/>
              <w:rPr>
                <w:rFonts w:eastAsia="Times New Roman"/>
                <w:sz w:val="20"/>
                <w:szCs w:val="20"/>
              </w:rPr>
            </w:pPr>
          </w:p>
        </w:tc>
        <w:tc>
          <w:tcPr>
            <w:tcW w:w="50" w:type="pct"/>
            <w:vAlign w:val="center"/>
            <w:hideMark/>
          </w:tcPr>
          <w:p w14:paraId="79C00E54" w14:textId="77777777" w:rsidR="00000000" w:rsidRDefault="00405D16">
            <w:pPr>
              <w:spacing w:after="100"/>
              <w:rPr>
                <w:rFonts w:eastAsia="Times New Roman"/>
                <w:sz w:val="20"/>
                <w:szCs w:val="20"/>
              </w:rPr>
            </w:pPr>
          </w:p>
        </w:tc>
        <w:tc>
          <w:tcPr>
            <w:tcW w:w="434" w:type="pct"/>
            <w:vAlign w:val="center"/>
            <w:hideMark/>
          </w:tcPr>
          <w:p w14:paraId="57F2B063" w14:textId="77777777" w:rsidR="00000000" w:rsidRDefault="00405D16">
            <w:pPr>
              <w:spacing w:after="100"/>
              <w:rPr>
                <w:rFonts w:eastAsia="Times New Roman"/>
                <w:sz w:val="20"/>
                <w:szCs w:val="20"/>
              </w:rPr>
            </w:pPr>
          </w:p>
        </w:tc>
        <w:tc>
          <w:tcPr>
            <w:tcW w:w="5" w:type="pct"/>
            <w:vAlign w:val="center"/>
            <w:hideMark/>
          </w:tcPr>
          <w:p w14:paraId="1465BA2E" w14:textId="77777777" w:rsidR="00000000" w:rsidRDefault="00405D16">
            <w:pPr>
              <w:spacing w:after="100"/>
              <w:rPr>
                <w:rFonts w:eastAsia="Times New Roman"/>
                <w:sz w:val="20"/>
                <w:szCs w:val="20"/>
              </w:rPr>
            </w:pPr>
          </w:p>
        </w:tc>
        <w:tc>
          <w:tcPr>
            <w:tcW w:w="5" w:type="pct"/>
            <w:vAlign w:val="center"/>
            <w:hideMark/>
          </w:tcPr>
          <w:p w14:paraId="1DA445FD" w14:textId="77777777" w:rsidR="00000000" w:rsidRDefault="00405D16">
            <w:pPr>
              <w:spacing w:after="100"/>
              <w:rPr>
                <w:rFonts w:eastAsia="Times New Roman"/>
                <w:sz w:val="20"/>
                <w:szCs w:val="20"/>
              </w:rPr>
            </w:pPr>
          </w:p>
        </w:tc>
        <w:tc>
          <w:tcPr>
            <w:tcW w:w="26" w:type="pct"/>
            <w:vAlign w:val="center"/>
            <w:hideMark/>
          </w:tcPr>
          <w:p w14:paraId="421DB521" w14:textId="77777777" w:rsidR="00000000" w:rsidRDefault="00405D16">
            <w:pPr>
              <w:spacing w:after="100"/>
              <w:rPr>
                <w:rFonts w:eastAsia="Times New Roman"/>
                <w:sz w:val="20"/>
                <w:szCs w:val="20"/>
              </w:rPr>
            </w:pPr>
          </w:p>
        </w:tc>
        <w:tc>
          <w:tcPr>
            <w:tcW w:w="5" w:type="pct"/>
            <w:vAlign w:val="center"/>
            <w:hideMark/>
          </w:tcPr>
          <w:p w14:paraId="08BA9200" w14:textId="77777777" w:rsidR="00000000" w:rsidRDefault="00405D16">
            <w:pPr>
              <w:spacing w:after="100"/>
              <w:rPr>
                <w:rFonts w:eastAsia="Times New Roman"/>
                <w:sz w:val="20"/>
                <w:szCs w:val="20"/>
              </w:rPr>
            </w:pPr>
          </w:p>
        </w:tc>
        <w:tc>
          <w:tcPr>
            <w:tcW w:w="50" w:type="pct"/>
            <w:vAlign w:val="center"/>
            <w:hideMark/>
          </w:tcPr>
          <w:p w14:paraId="787FC9C3" w14:textId="77777777" w:rsidR="00000000" w:rsidRDefault="00405D16">
            <w:pPr>
              <w:spacing w:after="100"/>
              <w:rPr>
                <w:rFonts w:eastAsia="Times New Roman"/>
                <w:sz w:val="20"/>
                <w:szCs w:val="20"/>
              </w:rPr>
            </w:pPr>
          </w:p>
        </w:tc>
        <w:tc>
          <w:tcPr>
            <w:tcW w:w="434" w:type="pct"/>
            <w:vAlign w:val="center"/>
            <w:hideMark/>
          </w:tcPr>
          <w:p w14:paraId="596C2DC8" w14:textId="77777777" w:rsidR="00000000" w:rsidRDefault="00405D16">
            <w:pPr>
              <w:spacing w:after="100"/>
              <w:rPr>
                <w:rFonts w:eastAsia="Times New Roman"/>
                <w:sz w:val="20"/>
                <w:szCs w:val="20"/>
              </w:rPr>
            </w:pPr>
          </w:p>
        </w:tc>
        <w:tc>
          <w:tcPr>
            <w:tcW w:w="5" w:type="pct"/>
            <w:vAlign w:val="center"/>
            <w:hideMark/>
          </w:tcPr>
          <w:p w14:paraId="262539E2" w14:textId="77777777" w:rsidR="00000000" w:rsidRDefault="00405D16">
            <w:pPr>
              <w:spacing w:after="100"/>
              <w:rPr>
                <w:rFonts w:eastAsia="Times New Roman"/>
                <w:sz w:val="20"/>
                <w:szCs w:val="20"/>
              </w:rPr>
            </w:pPr>
          </w:p>
        </w:tc>
        <w:tc>
          <w:tcPr>
            <w:tcW w:w="5" w:type="pct"/>
            <w:vAlign w:val="center"/>
            <w:hideMark/>
          </w:tcPr>
          <w:p w14:paraId="7D2A5FF9" w14:textId="77777777" w:rsidR="00000000" w:rsidRDefault="00405D16">
            <w:pPr>
              <w:spacing w:after="100"/>
              <w:rPr>
                <w:rFonts w:eastAsia="Times New Roman"/>
                <w:sz w:val="20"/>
                <w:szCs w:val="20"/>
              </w:rPr>
            </w:pPr>
          </w:p>
        </w:tc>
        <w:tc>
          <w:tcPr>
            <w:tcW w:w="26" w:type="pct"/>
            <w:vAlign w:val="center"/>
            <w:hideMark/>
          </w:tcPr>
          <w:p w14:paraId="5DB0E198" w14:textId="77777777" w:rsidR="00000000" w:rsidRDefault="00405D16">
            <w:pPr>
              <w:spacing w:after="100"/>
              <w:rPr>
                <w:rFonts w:eastAsia="Times New Roman"/>
                <w:sz w:val="20"/>
                <w:szCs w:val="20"/>
              </w:rPr>
            </w:pPr>
          </w:p>
        </w:tc>
        <w:tc>
          <w:tcPr>
            <w:tcW w:w="5" w:type="pct"/>
            <w:vAlign w:val="center"/>
            <w:hideMark/>
          </w:tcPr>
          <w:p w14:paraId="65CB7416" w14:textId="77777777" w:rsidR="00000000" w:rsidRDefault="00405D16">
            <w:pPr>
              <w:spacing w:after="100"/>
              <w:rPr>
                <w:rFonts w:eastAsia="Times New Roman"/>
                <w:sz w:val="20"/>
                <w:szCs w:val="20"/>
              </w:rPr>
            </w:pPr>
          </w:p>
        </w:tc>
        <w:tc>
          <w:tcPr>
            <w:tcW w:w="50" w:type="pct"/>
            <w:vAlign w:val="center"/>
            <w:hideMark/>
          </w:tcPr>
          <w:p w14:paraId="49315119" w14:textId="77777777" w:rsidR="00000000" w:rsidRDefault="00405D16">
            <w:pPr>
              <w:spacing w:after="100"/>
              <w:rPr>
                <w:rFonts w:eastAsia="Times New Roman"/>
                <w:sz w:val="20"/>
                <w:szCs w:val="20"/>
              </w:rPr>
            </w:pPr>
          </w:p>
        </w:tc>
        <w:tc>
          <w:tcPr>
            <w:tcW w:w="464" w:type="pct"/>
            <w:vAlign w:val="center"/>
            <w:hideMark/>
          </w:tcPr>
          <w:p w14:paraId="04011583" w14:textId="77777777" w:rsidR="00000000" w:rsidRDefault="00405D16">
            <w:pPr>
              <w:spacing w:after="100"/>
              <w:rPr>
                <w:rFonts w:eastAsia="Times New Roman"/>
                <w:sz w:val="20"/>
                <w:szCs w:val="20"/>
              </w:rPr>
            </w:pPr>
          </w:p>
        </w:tc>
        <w:tc>
          <w:tcPr>
            <w:tcW w:w="5" w:type="pct"/>
            <w:vAlign w:val="center"/>
            <w:hideMark/>
          </w:tcPr>
          <w:p w14:paraId="38A2E582" w14:textId="77777777" w:rsidR="00000000" w:rsidRDefault="00405D16">
            <w:pPr>
              <w:spacing w:after="100"/>
              <w:rPr>
                <w:rFonts w:eastAsia="Times New Roman"/>
                <w:sz w:val="20"/>
                <w:szCs w:val="20"/>
              </w:rPr>
            </w:pPr>
          </w:p>
        </w:tc>
      </w:tr>
      <w:tr w:rsidR="00000000" w14:paraId="09347C6C" w14:textId="77777777">
        <w:tc>
          <w:tcPr>
            <w:tcW w:w="0" w:type="auto"/>
            <w:gridSpan w:val="3"/>
            <w:tcMar>
              <w:top w:w="0" w:type="dxa"/>
              <w:left w:w="20" w:type="dxa"/>
              <w:bottom w:w="0" w:type="dxa"/>
              <w:right w:w="20" w:type="dxa"/>
            </w:tcMar>
            <w:vAlign w:val="center"/>
            <w:hideMark/>
          </w:tcPr>
          <w:p w14:paraId="5657E362"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4BB1520" w14:textId="77777777" w:rsidR="00000000" w:rsidRDefault="00405D16">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18261D08" w14:textId="77777777" w:rsidR="00000000" w:rsidRDefault="00405D16">
            <w:pPr>
              <w:spacing w:after="100"/>
              <w:jc w:val="center"/>
              <w:rPr>
                <w:rFonts w:eastAsia="Times New Roman"/>
              </w:rPr>
            </w:pPr>
            <w:r>
              <w:rPr>
                <w:rFonts w:eastAsia="Times New Roman"/>
                <w:b/>
                <w:bCs/>
                <w:color w:val="000000"/>
                <w:sz w:val="16"/>
                <w:szCs w:val="16"/>
              </w:rPr>
              <w:t>Three Months Ended September 30, 2020</w:t>
            </w:r>
          </w:p>
        </w:tc>
      </w:tr>
      <w:tr w:rsidR="00000000" w14:paraId="10758E6E" w14:textId="77777777">
        <w:tc>
          <w:tcPr>
            <w:tcW w:w="0" w:type="auto"/>
            <w:gridSpan w:val="3"/>
            <w:tcMar>
              <w:top w:w="30" w:type="dxa"/>
              <w:left w:w="20" w:type="dxa"/>
              <w:bottom w:w="30" w:type="dxa"/>
              <w:right w:w="20" w:type="dxa"/>
            </w:tcMar>
            <w:vAlign w:val="bottom"/>
            <w:hideMark/>
          </w:tcPr>
          <w:p w14:paraId="3D95FDC5"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3E3553CC"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EDC7BCC" w14:textId="77777777" w:rsidR="00000000" w:rsidRDefault="00405D16">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0B860DEA"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0D08474" w14:textId="77777777" w:rsidR="00000000" w:rsidRDefault="00405D16">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4A7623B1"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1441711" w14:textId="77777777" w:rsidR="00000000" w:rsidRDefault="00405D16">
            <w:pPr>
              <w:spacing w:after="100"/>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1C35B1E2"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2F5E23F" w14:textId="77777777" w:rsidR="00000000" w:rsidRDefault="00405D16">
            <w:pPr>
              <w:spacing w:after="100"/>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3DF57F1A"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E19D7B9" w14:textId="77777777" w:rsidR="00000000" w:rsidRDefault="00405D16">
            <w:pPr>
              <w:spacing w:after="100"/>
              <w:jc w:val="center"/>
              <w:rPr>
                <w:rFonts w:eastAsia="Times New Roman"/>
              </w:rPr>
            </w:pPr>
            <w:r>
              <w:rPr>
                <w:rFonts w:eastAsia="Times New Roman"/>
                <w:b/>
                <w:bCs/>
                <w:color w:val="000000"/>
                <w:sz w:val="16"/>
                <w:szCs w:val="16"/>
              </w:rPr>
              <w:t>Consolidated Total</w:t>
            </w:r>
          </w:p>
        </w:tc>
      </w:tr>
      <w:tr w:rsidR="00000000" w14:paraId="76DF76CE" w14:textId="7777777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8E5CA9C" w14:textId="77777777" w:rsidR="00000000" w:rsidRDefault="00405D16">
            <w:pPr>
              <w:spacing w:after="100"/>
              <w:rPr>
                <w:rFonts w:eastAsia="Times New Roman"/>
              </w:rPr>
            </w:pPr>
            <w:r>
              <w:rPr>
                <w:rFonts w:eastAsia="Times New Roman"/>
                <w:color w:val="000000"/>
                <w:sz w:val="18"/>
                <w:szCs w:val="18"/>
              </w:rPr>
              <w:t>Contract revenue:</w:t>
            </w:r>
          </w:p>
        </w:tc>
        <w:tc>
          <w:tcPr>
            <w:tcW w:w="0" w:type="auto"/>
            <w:gridSpan w:val="3"/>
            <w:shd w:val="clear" w:color="auto" w:fill="CCEEFF"/>
            <w:tcMar>
              <w:top w:w="0" w:type="dxa"/>
              <w:left w:w="20" w:type="dxa"/>
              <w:bottom w:w="0" w:type="dxa"/>
              <w:right w:w="20" w:type="dxa"/>
            </w:tcMar>
            <w:vAlign w:val="center"/>
            <w:hideMark/>
          </w:tcPr>
          <w:p w14:paraId="729A826F"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C8ACC45"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CB34ED"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5BA5B57"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4EDA04"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10EBB3F"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323A06"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AE8E5BA"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C1D9A1"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EC6ACCA" w14:textId="77777777" w:rsidR="00000000" w:rsidRDefault="00405D16">
            <w:pPr>
              <w:spacing w:after="100"/>
              <w:rPr>
                <w:rFonts w:eastAsia="Times New Roman"/>
                <w:sz w:val="20"/>
                <w:szCs w:val="20"/>
              </w:rPr>
            </w:pPr>
          </w:p>
        </w:tc>
      </w:tr>
      <w:tr w:rsidR="00000000" w14:paraId="283CBFC9" w14:textId="77777777">
        <w:tc>
          <w:tcPr>
            <w:tcW w:w="0" w:type="auto"/>
            <w:gridSpan w:val="3"/>
            <w:shd w:val="clear" w:color="auto" w:fill="FFFFFF"/>
            <w:tcMar>
              <w:top w:w="30" w:type="dxa"/>
              <w:left w:w="20" w:type="dxa"/>
              <w:bottom w:w="30" w:type="dxa"/>
              <w:right w:w="20" w:type="dxa"/>
            </w:tcMar>
            <w:vAlign w:val="center"/>
            <w:hideMark/>
          </w:tcPr>
          <w:p w14:paraId="75DDAA3A" w14:textId="77777777" w:rsidR="00000000" w:rsidRDefault="00405D16">
            <w:pPr>
              <w:spacing w:after="100"/>
              <w:divId w:val="1469128374"/>
              <w:rPr>
                <w:rFonts w:eastAsia="Times New Roman"/>
              </w:rPr>
            </w:pPr>
            <w:r>
              <w:rPr>
                <w:rFonts w:eastAsia="Times New Roman"/>
                <w:color w:val="000000"/>
                <w:sz w:val="18"/>
                <w:szCs w:val="18"/>
              </w:rPr>
              <w:t>Interchange fees, ne</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53D87AC4"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32EA893F"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6A9FF9C5" w14:textId="77777777" w:rsidR="00000000" w:rsidRDefault="00405D16">
            <w:pPr>
              <w:spacing w:after="100"/>
              <w:jc w:val="right"/>
              <w:rPr>
                <w:rFonts w:eastAsia="Times New Roman"/>
              </w:rPr>
            </w:pPr>
            <w:r>
              <w:rPr>
                <w:rFonts w:eastAsia="Times New Roman"/>
                <w:color w:val="000000"/>
                <w:sz w:val="18"/>
                <w:szCs w:val="18"/>
              </w:rPr>
              <w:t>703 </w:t>
            </w:r>
          </w:p>
        </w:tc>
        <w:tc>
          <w:tcPr>
            <w:tcW w:w="0" w:type="auto"/>
            <w:shd w:val="clear" w:color="auto" w:fill="FFFFFF"/>
            <w:tcMar>
              <w:top w:w="30" w:type="dxa"/>
              <w:left w:w="0" w:type="dxa"/>
              <w:bottom w:w="30" w:type="dxa"/>
              <w:right w:w="20" w:type="dxa"/>
            </w:tcMar>
            <w:vAlign w:val="center"/>
            <w:hideMark/>
          </w:tcPr>
          <w:p w14:paraId="163DEA2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4C05F2"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F8D0ED2"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417E7C6F" w14:textId="77777777" w:rsidR="00000000" w:rsidRDefault="00405D16">
            <w:pPr>
              <w:spacing w:after="100"/>
              <w:jc w:val="right"/>
              <w:rPr>
                <w:rFonts w:eastAsia="Times New Roman"/>
              </w:rPr>
            </w:pPr>
            <w:r>
              <w:rPr>
                <w:rFonts w:eastAsia="Times New Roman"/>
                <w:color w:val="000000"/>
                <w:sz w:val="18"/>
                <w:szCs w:val="18"/>
              </w:rPr>
              <w:t>54 </w:t>
            </w:r>
          </w:p>
        </w:tc>
        <w:tc>
          <w:tcPr>
            <w:tcW w:w="0" w:type="auto"/>
            <w:shd w:val="clear" w:color="auto" w:fill="FFFFFF"/>
            <w:tcMar>
              <w:top w:w="30" w:type="dxa"/>
              <w:left w:w="0" w:type="dxa"/>
              <w:bottom w:w="30" w:type="dxa"/>
              <w:right w:w="20" w:type="dxa"/>
            </w:tcMar>
            <w:vAlign w:val="center"/>
            <w:hideMark/>
          </w:tcPr>
          <w:p w14:paraId="2C78889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1DC428"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BFAF332"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255095A4" w14:textId="77777777" w:rsidR="00000000" w:rsidRDefault="00405D16">
            <w:pPr>
              <w:spacing w:after="100"/>
              <w:jc w:val="right"/>
              <w:rPr>
                <w:rFonts w:eastAsia="Times New Roman"/>
              </w:rPr>
            </w:pPr>
            <w:r>
              <w:rPr>
                <w:rFonts w:eastAsia="Times New Roman"/>
                <w:color w:val="000000"/>
                <w:sz w:val="18"/>
                <w:szCs w:val="18"/>
              </w:rPr>
              <w:t>17 </w:t>
            </w:r>
          </w:p>
        </w:tc>
        <w:tc>
          <w:tcPr>
            <w:tcW w:w="0" w:type="auto"/>
            <w:shd w:val="clear" w:color="auto" w:fill="FFFFFF"/>
            <w:tcMar>
              <w:top w:w="30" w:type="dxa"/>
              <w:left w:w="0" w:type="dxa"/>
              <w:bottom w:w="30" w:type="dxa"/>
              <w:right w:w="20" w:type="dxa"/>
            </w:tcMar>
            <w:vAlign w:val="center"/>
            <w:hideMark/>
          </w:tcPr>
          <w:p w14:paraId="1F896B3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E26D53"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A88F547"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43365C77" w14:textId="77777777" w:rsidR="00000000" w:rsidRDefault="00405D16">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14:paraId="1786198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8CF5EE"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0C3684D"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73853EB1" w14:textId="77777777" w:rsidR="00000000" w:rsidRDefault="00405D16">
            <w:pPr>
              <w:spacing w:after="100"/>
              <w:jc w:val="right"/>
              <w:rPr>
                <w:rFonts w:eastAsia="Times New Roman"/>
              </w:rPr>
            </w:pPr>
            <w:r>
              <w:rPr>
                <w:rFonts w:eastAsia="Times New Roman"/>
                <w:color w:val="000000"/>
                <w:sz w:val="18"/>
                <w:szCs w:val="18"/>
              </w:rPr>
              <w:t>775 </w:t>
            </w:r>
          </w:p>
        </w:tc>
        <w:tc>
          <w:tcPr>
            <w:tcW w:w="0" w:type="auto"/>
            <w:shd w:val="clear" w:color="auto" w:fill="FFFFFF"/>
            <w:tcMar>
              <w:top w:w="30" w:type="dxa"/>
              <w:left w:w="0" w:type="dxa"/>
              <w:bottom w:w="30" w:type="dxa"/>
              <w:right w:w="20" w:type="dxa"/>
            </w:tcMar>
            <w:vAlign w:val="center"/>
            <w:hideMark/>
          </w:tcPr>
          <w:p w14:paraId="59C2FBA5" w14:textId="77777777" w:rsidR="00000000" w:rsidRDefault="00405D16">
            <w:pPr>
              <w:spacing w:after="100"/>
              <w:jc w:val="right"/>
              <w:rPr>
                <w:rFonts w:eastAsia="Times New Roman"/>
              </w:rPr>
            </w:pPr>
          </w:p>
        </w:tc>
      </w:tr>
      <w:tr w:rsidR="00000000" w14:paraId="47443FB8" w14:textId="77777777">
        <w:tc>
          <w:tcPr>
            <w:tcW w:w="0" w:type="auto"/>
            <w:gridSpan w:val="3"/>
            <w:shd w:val="clear" w:color="auto" w:fill="CCEEFF"/>
            <w:tcMar>
              <w:top w:w="30" w:type="dxa"/>
              <w:left w:w="245" w:type="dxa"/>
              <w:bottom w:w="30" w:type="dxa"/>
              <w:right w:w="20" w:type="dxa"/>
            </w:tcMar>
            <w:vAlign w:val="center"/>
            <w:hideMark/>
          </w:tcPr>
          <w:p w14:paraId="3D964980" w14:textId="77777777" w:rsidR="00000000" w:rsidRDefault="00405D16">
            <w:pPr>
              <w:spacing w:after="100"/>
              <w:rPr>
                <w:rFonts w:eastAsia="Times New Roman"/>
              </w:rPr>
            </w:pPr>
            <w:r>
              <w:rPr>
                <w:rFonts w:eastAsia="Times New Roman"/>
                <w:color w:val="000000"/>
                <w:sz w:val="18"/>
                <w:szCs w:val="18"/>
              </w:rPr>
              <w:t>Service charges and other customer-related fees</w:t>
            </w:r>
          </w:p>
        </w:tc>
        <w:tc>
          <w:tcPr>
            <w:tcW w:w="0" w:type="auto"/>
            <w:gridSpan w:val="3"/>
            <w:shd w:val="clear" w:color="auto" w:fill="CCEEFF"/>
            <w:tcMar>
              <w:top w:w="0" w:type="dxa"/>
              <w:left w:w="20" w:type="dxa"/>
              <w:bottom w:w="0" w:type="dxa"/>
              <w:right w:w="20" w:type="dxa"/>
            </w:tcMar>
            <w:vAlign w:val="center"/>
            <w:hideMark/>
          </w:tcPr>
          <w:p w14:paraId="498E9847"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E74C164"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602C253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9CB3FB"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EB16778" w14:textId="77777777" w:rsidR="00000000" w:rsidRDefault="00405D16">
            <w:pPr>
              <w:spacing w:after="100"/>
              <w:jc w:val="right"/>
              <w:rPr>
                <w:rFonts w:eastAsia="Times New Roman"/>
              </w:rPr>
            </w:pPr>
            <w:r>
              <w:rPr>
                <w:rFonts w:eastAsia="Times New Roman"/>
                <w:color w:val="000000"/>
                <w:sz w:val="18"/>
                <w:szCs w:val="18"/>
              </w:rPr>
              <w:t>42 </w:t>
            </w:r>
          </w:p>
        </w:tc>
        <w:tc>
          <w:tcPr>
            <w:tcW w:w="0" w:type="auto"/>
            <w:shd w:val="clear" w:color="auto" w:fill="CCEEFF"/>
            <w:tcMar>
              <w:top w:w="30" w:type="dxa"/>
              <w:left w:w="0" w:type="dxa"/>
              <w:bottom w:w="30" w:type="dxa"/>
              <w:right w:w="20" w:type="dxa"/>
            </w:tcMar>
            <w:vAlign w:val="center"/>
            <w:hideMark/>
          </w:tcPr>
          <w:p w14:paraId="06DB44C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EA6C7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05114AF" w14:textId="77777777" w:rsidR="00000000" w:rsidRDefault="00405D16">
            <w:pPr>
              <w:spacing w:after="100"/>
              <w:jc w:val="right"/>
              <w:rPr>
                <w:rFonts w:eastAsia="Times New Roman"/>
              </w:rPr>
            </w:pPr>
            <w:r>
              <w:rPr>
                <w:rFonts w:eastAsia="Times New Roman"/>
                <w:color w:val="000000"/>
                <w:sz w:val="18"/>
                <w:szCs w:val="18"/>
              </w:rPr>
              <w:t>50 </w:t>
            </w:r>
          </w:p>
        </w:tc>
        <w:tc>
          <w:tcPr>
            <w:tcW w:w="0" w:type="auto"/>
            <w:shd w:val="clear" w:color="auto" w:fill="CCEEFF"/>
            <w:tcMar>
              <w:top w:w="30" w:type="dxa"/>
              <w:left w:w="0" w:type="dxa"/>
              <w:bottom w:w="30" w:type="dxa"/>
              <w:right w:w="20" w:type="dxa"/>
            </w:tcMar>
            <w:vAlign w:val="center"/>
            <w:hideMark/>
          </w:tcPr>
          <w:p w14:paraId="5193618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115DB9"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B454858"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4BF50C0B"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DBE50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8EF0282" w14:textId="77777777" w:rsidR="00000000" w:rsidRDefault="00405D16">
            <w:pPr>
              <w:spacing w:after="100"/>
              <w:jc w:val="right"/>
              <w:rPr>
                <w:rFonts w:eastAsia="Times New Roman"/>
              </w:rPr>
            </w:pPr>
            <w:r>
              <w:rPr>
                <w:rFonts w:eastAsia="Times New Roman"/>
                <w:color w:val="000000"/>
                <w:sz w:val="18"/>
                <w:szCs w:val="18"/>
              </w:rPr>
              <w:t>92 </w:t>
            </w:r>
          </w:p>
        </w:tc>
        <w:tc>
          <w:tcPr>
            <w:tcW w:w="0" w:type="auto"/>
            <w:shd w:val="clear" w:color="auto" w:fill="CCEEFF"/>
            <w:tcMar>
              <w:top w:w="30" w:type="dxa"/>
              <w:left w:w="0" w:type="dxa"/>
              <w:bottom w:w="30" w:type="dxa"/>
              <w:right w:w="20" w:type="dxa"/>
            </w:tcMar>
            <w:vAlign w:val="center"/>
            <w:hideMark/>
          </w:tcPr>
          <w:p w14:paraId="24400673" w14:textId="77777777" w:rsidR="00000000" w:rsidRDefault="00405D16">
            <w:pPr>
              <w:spacing w:after="100"/>
              <w:jc w:val="right"/>
              <w:rPr>
                <w:rFonts w:eastAsia="Times New Roman"/>
              </w:rPr>
            </w:pPr>
          </w:p>
        </w:tc>
      </w:tr>
      <w:tr w:rsidR="00000000" w14:paraId="7EA5395B" w14:textId="77777777">
        <w:tc>
          <w:tcPr>
            <w:tcW w:w="0" w:type="auto"/>
            <w:gridSpan w:val="3"/>
            <w:shd w:val="clear" w:color="auto" w:fill="FFFFFF"/>
            <w:tcMar>
              <w:top w:w="30" w:type="dxa"/>
              <w:left w:w="245" w:type="dxa"/>
              <w:bottom w:w="30" w:type="dxa"/>
              <w:right w:w="20" w:type="dxa"/>
            </w:tcMar>
            <w:vAlign w:val="center"/>
            <w:hideMark/>
          </w:tcPr>
          <w:p w14:paraId="204D5CCC" w14:textId="77777777" w:rsidR="00000000" w:rsidRDefault="00405D16">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14:paraId="52EDC79D"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70FB325" w14:textId="77777777" w:rsidR="00000000" w:rsidRDefault="00405D16">
            <w:pPr>
              <w:spacing w:after="100"/>
              <w:jc w:val="right"/>
              <w:rPr>
                <w:rFonts w:eastAsia="Times New Roman"/>
              </w:rPr>
            </w:pPr>
            <w:r>
              <w:rPr>
                <w:rFonts w:eastAsia="Times New Roman"/>
                <w:color w:val="000000"/>
                <w:sz w:val="18"/>
                <w:szCs w:val="18"/>
              </w:rPr>
              <w:t>109 </w:t>
            </w:r>
          </w:p>
        </w:tc>
        <w:tc>
          <w:tcPr>
            <w:tcW w:w="0" w:type="auto"/>
            <w:shd w:val="clear" w:color="auto" w:fill="FFFFFF"/>
            <w:tcMar>
              <w:top w:w="30" w:type="dxa"/>
              <w:left w:w="0" w:type="dxa"/>
              <w:bottom w:w="30" w:type="dxa"/>
              <w:right w:w="20" w:type="dxa"/>
            </w:tcMar>
            <w:vAlign w:val="center"/>
            <w:hideMark/>
          </w:tcPr>
          <w:p w14:paraId="0058558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D4FF2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14CFAA6" w14:textId="77777777" w:rsidR="00000000" w:rsidRDefault="00405D16">
            <w:pPr>
              <w:spacing w:after="100"/>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14:paraId="213869C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3DD47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B0D0B1C" w14:textId="77777777" w:rsidR="00000000" w:rsidRDefault="00405D16">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14:paraId="7E70134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9F758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C6CE933"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793B40F6"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380BE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E2CDA4F" w14:textId="77777777" w:rsidR="00000000" w:rsidRDefault="00405D16">
            <w:pPr>
              <w:spacing w:after="100"/>
              <w:jc w:val="right"/>
              <w:rPr>
                <w:rFonts w:eastAsia="Times New Roman"/>
              </w:rPr>
            </w:pPr>
            <w:r>
              <w:rPr>
                <w:rFonts w:eastAsia="Times New Roman"/>
                <w:color w:val="000000"/>
                <w:sz w:val="18"/>
                <w:szCs w:val="18"/>
              </w:rPr>
              <w:t>115 </w:t>
            </w:r>
          </w:p>
        </w:tc>
        <w:tc>
          <w:tcPr>
            <w:tcW w:w="0" w:type="auto"/>
            <w:shd w:val="clear" w:color="auto" w:fill="FFFFFF"/>
            <w:tcMar>
              <w:top w:w="30" w:type="dxa"/>
              <w:left w:w="0" w:type="dxa"/>
              <w:bottom w:w="30" w:type="dxa"/>
              <w:right w:w="20" w:type="dxa"/>
            </w:tcMar>
            <w:vAlign w:val="center"/>
            <w:hideMark/>
          </w:tcPr>
          <w:p w14:paraId="69BFD041" w14:textId="77777777" w:rsidR="00000000" w:rsidRDefault="00405D16">
            <w:pPr>
              <w:spacing w:after="100"/>
              <w:jc w:val="right"/>
              <w:rPr>
                <w:rFonts w:eastAsia="Times New Roman"/>
              </w:rPr>
            </w:pPr>
          </w:p>
        </w:tc>
      </w:tr>
      <w:tr w:rsidR="00000000" w14:paraId="5E5D5ACC" w14:textId="77777777">
        <w:tc>
          <w:tcPr>
            <w:tcW w:w="0" w:type="auto"/>
            <w:gridSpan w:val="3"/>
            <w:shd w:val="clear" w:color="auto" w:fill="CCEEFF"/>
            <w:tcMar>
              <w:top w:w="30" w:type="dxa"/>
              <w:left w:w="20" w:type="dxa"/>
              <w:bottom w:w="30" w:type="dxa"/>
              <w:right w:w="20" w:type="dxa"/>
            </w:tcMar>
            <w:vAlign w:val="center"/>
            <w:hideMark/>
          </w:tcPr>
          <w:p w14:paraId="23965FE8" w14:textId="77777777" w:rsidR="00000000" w:rsidRDefault="00405D16">
            <w:pPr>
              <w:spacing w:after="100"/>
              <w:rPr>
                <w:rFonts w:eastAsia="Times New Roman"/>
              </w:rPr>
            </w:pPr>
            <w:r>
              <w:rPr>
                <w:rFonts w:eastAsia="Times New Roman"/>
                <w:color w:val="000000"/>
                <w:sz w:val="18"/>
                <w:szCs w:val="18"/>
              </w:rPr>
              <w:t>Total contract revenue</w:t>
            </w:r>
          </w:p>
        </w:tc>
        <w:tc>
          <w:tcPr>
            <w:tcW w:w="0" w:type="auto"/>
            <w:gridSpan w:val="3"/>
            <w:shd w:val="clear" w:color="auto" w:fill="CCEEFF"/>
            <w:tcMar>
              <w:top w:w="0" w:type="dxa"/>
              <w:left w:w="20" w:type="dxa"/>
              <w:bottom w:w="0" w:type="dxa"/>
              <w:right w:w="20" w:type="dxa"/>
            </w:tcMar>
            <w:vAlign w:val="center"/>
            <w:hideMark/>
          </w:tcPr>
          <w:p w14:paraId="5AEA06E5"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F176132" w14:textId="77777777" w:rsidR="00000000" w:rsidRDefault="00405D16">
            <w:pPr>
              <w:spacing w:after="100"/>
              <w:jc w:val="right"/>
              <w:rPr>
                <w:rFonts w:eastAsia="Times New Roman"/>
              </w:rPr>
            </w:pPr>
            <w:r>
              <w:rPr>
                <w:rFonts w:eastAsia="Times New Roman"/>
                <w:color w:val="000000"/>
                <w:sz w:val="18"/>
                <w:szCs w:val="18"/>
              </w:rPr>
              <w:t>812 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EF8AB7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D7723D"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8465EDC" w14:textId="77777777" w:rsidR="00000000" w:rsidRDefault="00405D16">
            <w:pPr>
              <w:spacing w:after="100"/>
              <w:jc w:val="right"/>
              <w:rPr>
                <w:rFonts w:eastAsia="Times New Roman"/>
              </w:rPr>
            </w:pPr>
            <w:r>
              <w:rPr>
                <w:rFonts w:eastAsia="Times New Roman"/>
                <w:color w:val="000000"/>
                <w:sz w:val="18"/>
                <w:szCs w:val="18"/>
              </w:rPr>
              <w:t>101 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EB1E97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55BE36"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66F0ADC" w14:textId="77777777" w:rsidR="00000000" w:rsidRDefault="00405D16">
            <w:pPr>
              <w:spacing w:after="100"/>
              <w:jc w:val="right"/>
              <w:rPr>
                <w:rFonts w:eastAsia="Times New Roman"/>
              </w:rPr>
            </w:pPr>
            <w:r>
              <w:rPr>
                <w:rFonts w:eastAsia="Times New Roman"/>
                <w:color w:val="000000"/>
                <w:sz w:val="18"/>
                <w:szCs w:val="18"/>
              </w:rPr>
              <w:t>68 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D0093A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2E5A7F"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F527D46" w14:textId="77777777" w:rsidR="00000000" w:rsidRDefault="00405D16">
            <w:pPr>
              <w:spacing w:after="100"/>
              <w:jc w:val="right"/>
              <w:rPr>
                <w:rFonts w:eastAsia="Times New Roman"/>
              </w:rPr>
            </w:pPr>
            <w:r>
              <w:rPr>
                <w:rFonts w:eastAsia="Times New Roman"/>
                <w:color w:val="000000"/>
                <w:sz w:val="18"/>
                <w:szCs w:val="18"/>
              </w:rPr>
              <w:t>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A9CB6A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18F94B"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E20820C" w14:textId="77777777" w:rsidR="00000000" w:rsidRDefault="00405D16">
            <w:pPr>
              <w:spacing w:after="100"/>
              <w:jc w:val="right"/>
              <w:rPr>
                <w:rFonts w:eastAsia="Times New Roman"/>
              </w:rPr>
            </w:pPr>
            <w:r>
              <w:rPr>
                <w:rFonts w:eastAsia="Times New Roman"/>
                <w:color w:val="000000"/>
                <w:sz w:val="18"/>
                <w:szCs w:val="18"/>
              </w:rPr>
              <w:t>982 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029CAFF" w14:textId="77777777" w:rsidR="00000000" w:rsidRDefault="00405D16">
            <w:pPr>
              <w:spacing w:after="100"/>
              <w:jc w:val="right"/>
              <w:rPr>
                <w:rFonts w:eastAsia="Times New Roman"/>
              </w:rPr>
            </w:pPr>
          </w:p>
        </w:tc>
      </w:tr>
      <w:tr w:rsidR="00000000" w14:paraId="17459389" w14:textId="77777777">
        <w:tc>
          <w:tcPr>
            <w:tcW w:w="0" w:type="auto"/>
            <w:gridSpan w:val="3"/>
            <w:shd w:val="clear" w:color="auto" w:fill="FFFFFF"/>
            <w:tcMar>
              <w:top w:w="30" w:type="dxa"/>
              <w:left w:w="20" w:type="dxa"/>
              <w:bottom w:w="30" w:type="dxa"/>
              <w:right w:w="20" w:type="dxa"/>
            </w:tcMar>
            <w:vAlign w:val="center"/>
            <w:hideMark/>
          </w:tcPr>
          <w:p w14:paraId="3E712CDC" w14:textId="77777777" w:rsidR="00000000" w:rsidRDefault="00405D16">
            <w:pPr>
              <w:spacing w:after="100"/>
              <w:rPr>
                <w:rFonts w:eastAsia="Times New Roman"/>
              </w:rPr>
            </w:pPr>
            <w:r>
              <w:rPr>
                <w:rFonts w:eastAsia="Times New Roman"/>
                <w:color w:val="000000"/>
                <w:sz w:val="18"/>
                <w:szCs w:val="18"/>
              </w:rPr>
              <w:t>Revenue from other sources</w:t>
            </w:r>
          </w:p>
        </w:tc>
        <w:tc>
          <w:tcPr>
            <w:tcW w:w="0" w:type="auto"/>
            <w:gridSpan w:val="3"/>
            <w:shd w:val="clear" w:color="auto" w:fill="FFFFFF"/>
            <w:tcMar>
              <w:top w:w="0" w:type="dxa"/>
              <w:left w:w="20" w:type="dxa"/>
              <w:bottom w:w="0" w:type="dxa"/>
              <w:right w:w="20" w:type="dxa"/>
            </w:tcMar>
            <w:vAlign w:val="center"/>
            <w:hideMark/>
          </w:tcPr>
          <w:p w14:paraId="16D2D99A"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1F2AF14" w14:textId="77777777" w:rsidR="00000000" w:rsidRDefault="00405D16">
            <w:pPr>
              <w:spacing w:after="100"/>
              <w:jc w:val="right"/>
              <w:rPr>
                <w:rFonts w:eastAsia="Times New Roman"/>
              </w:rPr>
            </w:pPr>
            <w:r>
              <w:rPr>
                <w:rFonts w:eastAsia="Times New Roman"/>
                <w:color w:val="000000"/>
                <w:sz w:val="18"/>
                <w:szCs w:val="18"/>
              </w:rPr>
              <w:t>201 </w:t>
            </w:r>
          </w:p>
        </w:tc>
        <w:tc>
          <w:tcPr>
            <w:tcW w:w="0" w:type="auto"/>
            <w:shd w:val="clear" w:color="auto" w:fill="FFFFFF"/>
            <w:tcMar>
              <w:top w:w="30" w:type="dxa"/>
              <w:left w:w="0" w:type="dxa"/>
              <w:bottom w:w="30" w:type="dxa"/>
              <w:right w:w="20" w:type="dxa"/>
            </w:tcMar>
            <w:vAlign w:val="center"/>
            <w:hideMark/>
          </w:tcPr>
          <w:p w14:paraId="46336CB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DE1872"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C5CAC34" w14:textId="77777777" w:rsidR="00000000" w:rsidRDefault="00405D16">
            <w:pPr>
              <w:spacing w:after="100"/>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center"/>
            <w:hideMark/>
          </w:tcPr>
          <w:p w14:paraId="5A46F1C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B528B1"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6E6F541" w14:textId="77777777" w:rsidR="00000000" w:rsidRDefault="00405D16">
            <w:pPr>
              <w:spacing w:after="100"/>
              <w:jc w:val="right"/>
              <w:rPr>
                <w:rFonts w:eastAsia="Times New Roman"/>
              </w:rPr>
            </w:pPr>
            <w:r>
              <w:rPr>
                <w:rFonts w:eastAsia="Times New Roman"/>
                <w:color w:val="000000"/>
                <w:sz w:val="18"/>
                <w:szCs w:val="18"/>
              </w:rPr>
              <w:t>169 </w:t>
            </w:r>
          </w:p>
        </w:tc>
        <w:tc>
          <w:tcPr>
            <w:tcW w:w="0" w:type="auto"/>
            <w:shd w:val="clear" w:color="auto" w:fill="FFFFFF"/>
            <w:tcMar>
              <w:top w:w="30" w:type="dxa"/>
              <w:left w:w="0" w:type="dxa"/>
              <w:bottom w:w="30" w:type="dxa"/>
              <w:right w:w="20" w:type="dxa"/>
            </w:tcMar>
            <w:vAlign w:val="center"/>
            <w:hideMark/>
          </w:tcPr>
          <w:p w14:paraId="555B884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8787B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16F8B91" w14:textId="77777777" w:rsidR="00000000" w:rsidRDefault="00405D16">
            <w:pPr>
              <w:spacing w:after="100"/>
              <w:jc w:val="right"/>
              <w:rPr>
                <w:rFonts w:eastAsia="Times New Roman"/>
              </w:rPr>
            </w:pPr>
            <w:r>
              <w:rPr>
                <w:rFonts w:eastAsia="Times New Roman"/>
                <w:color w:val="000000"/>
                <w:sz w:val="18"/>
                <w:szCs w:val="18"/>
              </w:rPr>
              <w:t>468 </w:t>
            </w:r>
          </w:p>
        </w:tc>
        <w:tc>
          <w:tcPr>
            <w:tcW w:w="0" w:type="auto"/>
            <w:shd w:val="clear" w:color="auto" w:fill="FFFFFF"/>
            <w:tcMar>
              <w:top w:w="30" w:type="dxa"/>
              <w:left w:w="0" w:type="dxa"/>
              <w:bottom w:w="30" w:type="dxa"/>
              <w:right w:w="20" w:type="dxa"/>
            </w:tcMar>
            <w:vAlign w:val="center"/>
            <w:hideMark/>
          </w:tcPr>
          <w:p w14:paraId="5F4A2A1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3CB9B3"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3ACD49B" w14:textId="77777777" w:rsidR="00000000" w:rsidRDefault="00405D16">
            <w:pPr>
              <w:spacing w:after="100"/>
              <w:jc w:val="right"/>
              <w:rPr>
                <w:rFonts w:eastAsia="Times New Roman"/>
              </w:rPr>
            </w:pPr>
            <w:r>
              <w:rPr>
                <w:rFonts w:eastAsia="Times New Roman"/>
                <w:color w:val="000000"/>
                <w:sz w:val="18"/>
                <w:szCs w:val="18"/>
              </w:rPr>
              <w:t>844 </w:t>
            </w:r>
          </w:p>
        </w:tc>
        <w:tc>
          <w:tcPr>
            <w:tcW w:w="0" w:type="auto"/>
            <w:shd w:val="clear" w:color="auto" w:fill="FFFFFF"/>
            <w:tcMar>
              <w:top w:w="30" w:type="dxa"/>
              <w:left w:w="0" w:type="dxa"/>
              <w:bottom w:w="30" w:type="dxa"/>
              <w:right w:w="20" w:type="dxa"/>
            </w:tcMar>
            <w:vAlign w:val="center"/>
            <w:hideMark/>
          </w:tcPr>
          <w:p w14:paraId="38650A36" w14:textId="77777777" w:rsidR="00000000" w:rsidRDefault="00405D16">
            <w:pPr>
              <w:spacing w:after="100"/>
              <w:jc w:val="right"/>
              <w:rPr>
                <w:rFonts w:eastAsia="Times New Roman"/>
              </w:rPr>
            </w:pPr>
          </w:p>
        </w:tc>
      </w:tr>
      <w:tr w:rsidR="00000000" w14:paraId="6831E6D6" w14:textId="77777777">
        <w:tc>
          <w:tcPr>
            <w:tcW w:w="0" w:type="auto"/>
            <w:gridSpan w:val="3"/>
            <w:shd w:val="clear" w:color="auto" w:fill="CCEEFF"/>
            <w:tcMar>
              <w:top w:w="30" w:type="dxa"/>
              <w:left w:w="20" w:type="dxa"/>
              <w:bottom w:w="30" w:type="dxa"/>
              <w:right w:w="20" w:type="dxa"/>
            </w:tcMar>
            <w:vAlign w:val="center"/>
            <w:hideMark/>
          </w:tcPr>
          <w:p w14:paraId="6339A10B" w14:textId="77777777" w:rsidR="00000000" w:rsidRDefault="00405D16">
            <w:pPr>
              <w:spacing w:after="100"/>
              <w:rPr>
                <w:rFonts w:eastAsia="Times New Roman"/>
              </w:rPr>
            </w:pPr>
            <w:r>
              <w:rPr>
                <w:rFonts w:eastAsia="Times New Roman"/>
                <w:color w:val="000000"/>
                <w:sz w:val="18"/>
                <w:szCs w:val="18"/>
              </w:rPr>
              <w:t>Total non-interest income</w:t>
            </w:r>
          </w:p>
        </w:tc>
        <w:tc>
          <w:tcPr>
            <w:tcW w:w="0" w:type="auto"/>
            <w:gridSpan w:val="3"/>
            <w:shd w:val="clear" w:color="auto" w:fill="CCEEFF"/>
            <w:tcMar>
              <w:top w:w="0" w:type="dxa"/>
              <w:left w:w="20" w:type="dxa"/>
              <w:bottom w:w="0" w:type="dxa"/>
              <w:right w:w="20" w:type="dxa"/>
            </w:tcMar>
            <w:vAlign w:val="center"/>
            <w:hideMark/>
          </w:tcPr>
          <w:p w14:paraId="34E41EA1"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E77D517"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6369B96" w14:textId="77777777" w:rsidR="00000000" w:rsidRDefault="00405D16">
            <w:pPr>
              <w:spacing w:after="100"/>
              <w:jc w:val="right"/>
              <w:rPr>
                <w:rFonts w:eastAsia="Times New Roman"/>
              </w:rPr>
            </w:pPr>
            <w:r>
              <w:rPr>
                <w:rFonts w:eastAsia="Times New Roman"/>
                <w:color w:val="000000"/>
                <w:sz w:val="18"/>
                <w:szCs w:val="18"/>
              </w:rPr>
              <w:t>1,013 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7FBA73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4B3ED3"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DB60DEC"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C411ECE" w14:textId="77777777" w:rsidR="00000000" w:rsidRDefault="00405D16">
            <w:pPr>
              <w:spacing w:after="100"/>
              <w:jc w:val="right"/>
              <w:rPr>
                <w:rFonts w:eastAsia="Times New Roman"/>
              </w:rPr>
            </w:pPr>
            <w:r>
              <w:rPr>
                <w:rFonts w:eastAsia="Times New Roman"/>
                <w:color w:val="000000"/>
                <w:sz w:val="18"/>
                <w:szCs w:val="18"/>
              </w:rPr>
              <w:t>107 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9479947"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D02DD5"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F7B13BB"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FB0AE20" w14:textId="77777777" w:rsidR="00000000" w:rsidRDefault="00405D16">
            <w:pPr>
              <w:spacing w:after="100"/>
              <w:jc w:val="right"/>
              <w:rPr>
                <w:rFonts w:eastAsia="Times New Roman"/>
              </w:rPr>
            </w:pPr>
            <w:r>
              <w:rPr>
                <w:rFonts w:eastAsia="Times New Roman"/>
                <w:color w:val="000000"/>
                <w:sz w:val="18"/>
                <w:szCs w:val="18"/>
              </w:rPr>
              <w:t>237 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814B62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9CB64F"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00ABAC1"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6AB77F2" w14:textId="77777777" w:rsidR="00000000" w:rsidRDefault="00405D16">
            <w:pPr>
              <w:spacing w:after="100"/>
              <w:jc w:val="right"/>
              <w:rPr>
                <w:rFonts w:eastAsia="Times New Roman"/>
              </w:rPr>
            </w:pPr>
            <w:r>
              <w:rPr>
                <w:rFonts w:eastAsia="Times New Roman"/>
                <w:color w:val="000000"/>
                <w:sz w:val="18"/>
                <w:szCs w:val="18"/>
              </w:rPr>
              <w:t>469 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B25663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D01E82"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F2F2DBA"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FFA23DE" w14:textId="77777777" w:rsidR="00000000" w:rsidRDefault="00405D16">
            <w:pPr>
              <w:spacing w:after="100"/>
              <w:jc w:val="right"/>
              <w:rPr>
                <w:rFonts w:eastAsia="Times New Roman"/>
              </w:rPr>
            </w:pPr>
            <w:r>
              <w:rPr>
                <w:rFonts w:eastAsia="Times New Roman"/>
                <w:color w:val="000000"/>
                <w:sz w:val="18"/>
                <w:szCs w:val="18"/>
              </w:rPr>
              <w:t>1,826 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A3ED9AF" w14:textId="77777777" w:rsidR="00000000" w:rsidRDefault="00405D16">
            <w:pPr>
              <w:spacing w:after="100"/>
              <w:jc w:val="right"/>
              <w:rPr>
                <w:rFonts w:eastAsia="Times New Roman"/>
              </w:rPr>
            </w:pPr>
          </w:p>
        </w:tc>
      </w:tr>
    </w:tbl>
    <w:p w14:paraId="5D719EE5" w14:textId="77777777" w:rsidR="00000000" w:rsidRDefault="00405D16">
      <w:pPr>
        <w:jc w:val="both"/>
        <w:divId w:val="114964028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637"/>
        <w:gridCol w:w="38"/>
        <w:gridCol w:w="36"/>
        <w:gridCol w:w="36"/>
        <w:gridCol w:w="36"/>
        <w:gridCol w:w="110"/>
        <w:gridCol w:w="524"/>
        <w:gridCol w:w="36"/>
        <w:gridCol w:w="36"/>
        <w:gridCol w:w="36"/>
        <w:gridCol w:w="36"/>
        <w:gridCol w:w="111"/>
        <w:gridCol w:w="668"/>
        <w:gridCol w:w="36"/>
        <w:gridCol w:w="36"/>
        <w:gridCol w:w="36"/>
        <w:gridCol w:w="36"/>
        <w:gridCol w:w="111"/>
        <w:gridCol w:w="785"/>
        <w:gridCol w:w="36"/>
        <w:gridCol w:w="36"/>
        <w:gridCol w:w="36"/>
        <w:gridCol w:w="36"/>
        <w:gridCol w:w="111"/>
        <w:gridCol w:w="503"/>
        <w:gridCol w:w="36"/>
        <w:gridCol w:w="36"/>
        <w:gridCol w:w="36"/>
        <w:gridCol w:w="36"/>
        <w:gridCol w:w="111"/>
        <w:gridCol w:w="838"/>
        <w:gridCol w:w="36"/>
      </w:tblGrid>
      <w:tr w:rsidR="00000000" w14:paraId="051190CA" w14:textId="77777777">
        <w:trPr>
          <w:divId w:val="1149640284"/>
        </w:trPr>
        <w:tc>
          <w:tcPr>
            <w:tcW w:w="50" w:type="pct"/>
            <w:vAlign w:val="center"/>
            <w:hideMark/>
          </w:tcPr>
          <w:p w14:paraId="6AE99A65" w14:textId="77777777" w:rsidR="00000000" w:rsidRDefault="00405D16">
            <w:pPr>
              <w:jc w:val="both"/>
              <w:rPr>
                <w:rFonts w:eastAsia="Times New Roman"/>
              </w:rPr>
            </w:pPr>
          </w:p>
        </w:tc>
        <w:tc>
          <w:tcPr>
            <w:tcW w:w="2284" w:type="pct"/>
            <w:vAlign w:val="center"/>
            <w:hideMark/>
          </w:tcPr>
          <w:p w14:paraId="1ED5016A" w14:textId="77777777" w:rsidR="00000000" w:rsidRDefault="00405D16">
            <w:pPr>
              <w:spacing w:after="100"/>
              <w:rPr>
                <w:rFonts w:eastAsia="Times New Roman"/>
                <w:sz w:val="20"/>
                <w:szCs w:val="20"/>
              </w:rPr>
            </w:pPr>
          </w:p>
        </w:tc>
        <w:tc>
          <w:tcPr>
            <w:tcW w:w="5" w:type="pct"/>
            <w:vAlign w:val="center"/>
            <w:hideMark/>
          </w:tcPr>
          <w:p w14:paraId="6CA4088F" w14:textId="77777777" w:rsidR="00000000" w:rsidRDefault="00405D16">
            <w:pPr>
              <w:spacing w:after="100"/>
              <w:rPr>
                <w:rFonts w:eastAsia="Times New Roman"/>
                <w:sz w:val="20"/>
                <w:szCs w:val="20"/>
              </w:rPr>
            </w:pPr>
          </w:p>
        </w:tc>
        <w:tc>
          <w:tcPr>
            <w:tcW w:w="5" w:type="pct"/>
            <w:vAlign w:val="center"/>
            <w:hideMark/>
          </w:tcPr>
          <w:p w14:paraId="6BE959F8" w14:textId="77777777" w:rsidR="00000000" w:rsidRDefault="00405D16">
            <w:pPr>
              <w:spacing w:after="100"/>
              <w:rPr>
                <w:rFonts w:eastAsia="Times New Roman"/>
                <w:sz w:val="20"/>
                <w:szCs w:val="20"/>
              </w:rPr>
            </w:pPr>
          </w:p>
        </w:tc>
        <w:tc>
          <w:tcPr>
            <w:tcW w:w="26" w:type="pct"/>
            <w:vAlign w:val="center"/>
            <w:hideMark/>
          </w:tcPr>
          <w:p w14:paraId="722D8164" w14:textId="77777777" w:rsidR="00000000" w:rsidRDefault="00405D16">
            <w:pPr>
              <w:spacing w:after="100"/>
              <w:rPr>
                <w:rFonts w:eastAsia="Times New Roman"/>
                <w:sz w:val="20"/>
                <w:szCs w:val="20"/>
              </w:rPr>
            </w:pPr>
          </w:p>
        </w:tc>
        <w:tc>
          <w:tcPr>
            <w:tcW w:w="5" w:type="pct"/>
            <w:vAlign w:val="center"/>
            <w:hideMark/>
          </w:tcPr>
          <w:p w14:paraId="56C9D4BC" w14:textId="77777777" w:rsidR="00000000" w:rsidRDefault="00405D16">
            <w:pPr>
              <w:spacing w:after="100"/>
              <w:rPr>
                <w:rFonts w:eastAsia="Times New Roman"/>
                <w:sz w:val="20"/>
                <w:szCs w:val="20"/>
              </w:rPr>
            </w:pPr>
          </w:p>
        </w:tc>
        <w:tc>
          <w:tcPr>
            <w:tcW w:w="50" w:type="pct"/>
            <w:vAlign w:val="center"/>
            <w:hideMark/>
          </w:tcPr>
          <w:p w14:paraId="17F3106F" w14:textId="77777777" w:rsidR="00000000" w:rsidRDefault="00405D16">
            <w:pPr>
              <w:spacing w:after="100"/>
              <w:rPr>
                <w:rFonts w:eastAsia="Times New Roman"/>
                <w:sz w:val="20"/>
                <w:szCs w:val="20"/>
              </w:rPr>
            </w:pPr>
          </w:p>
        </w:tc>
        <w:tc>
          <w:tcPr>
            <w:tcW w:w="434" w:type="pct"/>
            <w:vAlign w:val="center"/>
            <w:hideMark/>
          </w:tcPr>
          <w:p w14:paraId="62CA2786" w14:textId="77777777" w:rsidR="00000000" w:rsidRDefault="00405D16">
            <w:pPr>
              <w:spacing w:after="100"/>
              <w:rPr>
                <w:rFonts w:eastAsia="Times New Roman"/>
                <w:sz w:val="20"/>
                <w:szCs w:val="20"/>
              </w:rPr>
            </w:pPr>
          </w:p>
        </w:tc>
        <w:tc>
          <w:tcPr>
            <w:tcW w:w="5" w:type="pct"/>
            <w:vAlign w:val="center"/>
            <w:hideMark/>
          </w:tcPr>
          <w:p w14:paraId="005B182D" w14:textId="77777777" w:rsidR="00000000" w:rsidRDefault="00405D16">
            <w:pPr>
              <w:spacing w:after="100"/>
              <w:rPr>
                <w:rFonts w:eastAsia="Times New Roman"/>
                <w:sz w:val="20"/>
                <w:szCs w:val="20"/>
              </w:rPr>
            </w:pPr>
          </w:p>
        </w:tc>
        <w:tc>
          <w:tcPr>
            <w:tcW w:w="5" w:type="pct"/>
            <w:vAlign w:val="center"/>
            <w:hideMark/>
          </w:tcPr>
          <w:p w14:paraId="41BB1751" w14:textId="77777777" w:rsidR="00000000" w:rsidRDefault="00405D16">
            <w:pPr>
              <w:spacing w:after="100"/>
              <w:rPr>
                <w:rFonts w:eastAsia="Times New Roman"/>
                <w:sz w:val="20"/>
                <w:szCs w:val="20"/>
              </w:rPr>
            </w:pPr>
          </w:p>
        </w:tc>
        <w:tc>
          <w:tcPr>
            <w:tcW w:w="26" w:type="pct"/>
            <w:vAlign w:val="center"/>
            <w:hideMark/>
          </w:tcPr>
          <w:p w14:paraId="417A5545" w14:textId="77777777" w:rsidR="00000000" w:rsidRDefault="00405D16">
            <w:pPr>
              <w:spacing w:after="100"/>
              <w:rPr>
                <w:rFonts w:eastAsia="Times New Roman"/>
                <w:sz w:val="20"/>
                <w:szCs w:val="20"/>
              </w:rPr>
            </w:pPr>
          </w:p>
        </w:tc>
        <w:tc>
          <w:tcPr>
            <w:tcW w:w="5" w:type="pct"/>
            <w:vAlign w:val="center"/>
            <w:hideMark/>
          </w:tcPr>
          <w:p w14:paraId="0D260DF0" w14:textId="77777777" w:rsidR="00000000" w:rsidRDefault="00405D16">
            <w:pPr>
              <w:spacing w:after="100"/>
              <w:rPr>
                <w:rFonts w:eastAsia="Times New Roman"/>
                <w:sz w:val="20"/>
                <w:szCs w:val="20"/>
              </w:rPr>
            </w:pPr>
          </w:p>
        </w:tc>
        <w:tc>
          <w:tcPr>
            <w:tcW w:w="50" w:type="pct"/>
            <w:vAlign w:val="center"/>
            <w:hideMark/>
          </w:tcPr>
          <w:p w14:paraId="07F169D0" w14:textId="77777777" w:rsidR="00000000" w:rsidRDefault="00405D16">
            <w:pPr>
              <w:spacing w:after="100"/>
              <w:rPr>
                <w:rFonts w:eastAsia="Times New Roman"/>
                <w:sz w:val="20"/>
                <w:szCs w:val="20"/>
              </w:rPr>
            </w:pPr>
          </w:p>
        </w:tc>
        <w:tc>
          <w:tcPr>
            <w:tcW w:w="434" w:type="pct"/>
            <w:vAlign w:val="center"/>
            <w:hideMark/>
          </w:tcPr>
          <w:p w14:paraId="5374F7D3" w14:textId="77777777" w:rsidR="00000000" w:rsidRDefault="00405D16">
            <w:pPr>
              <w:spacing w:after="100"/>
              <w:rPr>
                <w:rFonts w:eastAsia="Times New Roman"/>
                <w:sz w:val="20"/>
                <w:szCs w:val="20"/>
              </w:rPr>
            </w:pPr>
          </w:p>
        </w:tc>
        <w:tc>
          <w:tcPr>
            <w:tcW w:w="5" w:type="pct"/>
            <w:vAlign w:val="center"/>
            <w:hideMark/>
          </w:tcPr>
          <w:p w14:paraId="49543A62" w14:textId="77777777" w:rsidR="00000000" w:rsidRDefault="00405D16">
            <w:pPr>
              <w:spacing w:after="100"/>
              <w:rPr>
                <w:rFonts w:eastAsia="Times New Roman"/>
                <w:sz w:val="20"/>
                <w:szCs w:val="20"/>
              </w:rPr>
            </w:pPr>
          </w:p>
        </w:tc>
        <w:tc>
          <w:tcPr>
            <w:tcW w:w="5" w:type="pct"/>
            <w:vAlign w:val="center"/>
            <w:hideMark/>
          </w:tcPr>
          <w:p w14:paraId="3F50AE8C" w14:textId="77777777" w:rsidR="00000000" w:rsidRDefault="00405D16">
            <w:pPr>
              <w:spacing w:after="100"/>
              <w:rPr>
                <w:rFonts w:eastAsia="Times New Roman"/>
                <w:sz w:val="20"/>
                <w:szCs w:val="20"/>
              </w:rPr>
            </w:pPr>
          </w:p>
        </w:tc>
        <w:tc>
          <w:tcPr>
            <w:tcW w:w="26" w:type="pct"/>
            <w:vAlign w:val="center"/>
            <w:hideMark/>
          </w:tcPr>
          <w:p w14:paraId="15450EBF" w14:textId="77777777" w:rsidR="00000000" w:rsidRDefault="00405D16">
            <w:pPr>
              <w:spacing w:after="100"/>
              <w:rPr>
                <w:rFonts w:eastAsia="Times New Roman"/>
                <w:sz w:val="20"/>
                <w:szCs w:val="20"/>
              </w:rPr>
            </w:pPr>
          </w:p>
        </w:tc>
        <w:tc>
          <w:tcPr>
            <w:tcW w:w="5" w:type="pct"/>
            <w:vAlign w:val="center"/>
            <w:hideMark/>
          </w:tcPr>
          <w:p w14:paraId="15537FB8" w14:textId="77777777" w:rsidR="00000000" w:rsidRDefault="00405D16">
            <w:pPr>
              <w:spacing w:after="100"/>
              <w:rPr>
                <w:rFonts w:eastAsia="Times New Roman"/>
                <w:sz w:val="20"/>
                <w:szCs w:val="20"/>
              </w:rPr>
            </w:pPr>
          </w:p>
        </w:tc>
        <w:tc>
          <w:tcPr>
            <w:tcW w:w="50" w:type="pct"/>
            <w:vAlign w:val="center"/>
            <w:hideMark/>
          </w:tcPr>
          <w:p w14:paraId="3F577083" w14:textId="77777777" w:rsidR="00000000" w:rsidRDefault="00405D16">
            <w:pPr>
              <w:spacing w:after="100"/>
              <w:rPr>
                <w:rFonts w:eastAsia="Times New Roman"/>
                <w:sz w:val="20"/>
                <w:szCs w:val="20"/>
              </w:rPr>
            </w:pPr>
          </w:p>
        </w:tc>
        <w:tc>
          <w:tcPr>
            <w:tcW w:w="434" w:type="pct"/>
            <w:vAlign w:val="center"/>
            <w:hideMark/>
          </w:tcPr>
          <w:p w14:paraId="1884340C" w14:textId="77777777" w:rsidR="00000000" w:rsidRDefault="00405D16">
            <w:pPr>
              <w:spacing w:after="100"/>
              <w:rPr>
                <w:rFonts w:eastAsia="Times New Roman"/>
                <w:sz w:val="20"/>
                <w:szCs w:val="20"/>
              </w:rPr>
            </w:pPr>
          </w:p>
        </w:tc>
        <w:tc>
          <w:tcPr>
            <w:tcW w:w="5" w:type="pct"/>
            <w:vAlign w:val="center"/>
            <w:hideMark/>
          </w:tcPr>
          <w:p w14:paraId="22CD7DC3" w14:textId="77777777" w:rsidR="00000000" w:rsidRDefault="00405D16">
            <w:pPr>
              <w:spacing w:after="100"/>
              <w:rPr>
                <w:rFonts w:eastAsia="Times New Roman"/>
                <w:sz w:val="20"/>
                <w:szCs w:val="20"/>
              </w:rPr>
            </w:pPr>
          </w:p>
        </w:tc>
        <w:tc>
          <w:tcPr>
            <w:tcW w:w="5" w:type="pct"/>
            <w:vAlign w:val="center"/>
            <w:hideMark/>
          </w:tcPr>
          <w:p w14:paraId="405E6DAB" w14:textId="77777777" w:rsidR="00000000" w:rsidRDefault="00405D16">
            <w:pPr>
              <w:spacing w:after="100"/>
              <w:rPr>
                <w:rFonts w:eastAsia="Times New Roman"/>
                <w:sz w:val="20"/>
                <w:szCs w:val="20"/>
              </w:rPr>
            </w:pPr>
          </w:p>
        </w:tc>
        <w:tc>
          <w:tcPr>
            <w:tcW w:w="26" w:type="pct"/>
            <w:vAlign w:val="center"/>
            <w:hideMark/>
          </w:tcPr>
          <w:p w14:paraId="01A20C12" w14:textId="77777777" w:rsidR="00000000" w:rsidRDefault="00405D16">
            <w:pPr>
              <w:spacing w:after="100"/>
              <w:rPr>
                <w:rFonts w:eastAsia="Times New Roman"/>
                <w:sz w:val="20"/>
                <w:szCs w:val="20"/>
              </w:rPr>
            </w:pPr>
          </w:p>
        </w:tc>
        <w:tc>
          <w:tcPr>
            <w:tcW w:w="5" w:type="pct"/>
            <w:vAlign w:val="center"/>
            <w:hideMark/>
          </w:tcPr>
          <w:p w14:paraId="40B5C4F0" w14:textId="77777777" w:rsidR="00000000" w:rsidRDefault="00405D16">
            <w:pPr>
              <w:spacing w:after="100"/>
              <w:rPr>
                <w:rFonts w:eastAsia="Times New Roman"/>
                <w:sz w:val="20"/>
                <w:szCs w:val="20"/>
              </w:rPr>
            </w:pPr>
          </w:p>
        </w:tc>
        <w:tc>
          <w:tcPr>
            <w:tcW w:w="50" w:type="pct"/>
            <w:vAlign w:val="center"/>
            <w:hideMark/>
          </w:tcPr>
          <w:p w14:paraId="18510016" w14:textId="77777777" w:rsidR="00000000" w:rsidRDefault="00405D16">
            <w:pPr>
              <w:spacing w:after="100"/>
              <w:rPr>
                <w:rFonts w:eastAsia="Times New Roman"/>
                <w:sz w:val="20"/>
                <w:szCs w:val="20"/>
              </w:rPr>
            </w:pPr>
          </w:p>
        </w:tc>
        <w:tc>
          <w:tcPr>
            <w:tcW w:w="434" w:type="pct"/>
            <w:vAlign w:val="center"/>
            <w:hideMark/>
          </w:tcPr>
          <w:p w14:paraId="767D0336" w14:textId="77777777" w:rsidR="00000000" w:rsidRDefault="00405D16">
            <w:pPr>
              <w:spacing w:after="100"/>
              <w:rPr>
                <w:rFonts w:eastAsia="Times New Roman"/>
                <w:sz w:val="20"/>
                <w:szCs w:val="20"/>
              </w:rPr>
            </w:pPr>
          </w:p>
        </w:tc>
        <w:tc>
          <w:tcPr>
            <w:tcW w:w="5" w:type="pct"/>
            <w:vAlign w:val="center"/>
            <w:hideMark/>
          </w:tcPr>
          <w:p w14:paraId="34F129CD" w14:textId="77777777" w:rsidR="00000000" w:rsidRDefault="00405D16">
            <w:pPr>
              <w:spacing w:after="100"/>
              <w:rPr>
                <w:rFonts w:eastAsia="Times New Roman"/>
                <w:sz w:val="20"/>
                <w:szCs w:val="20"/>
              </w:rPr>
            </w:pPr>
          </w:p>
        </w:tc>
        <w:tc>
          <w:tcPr>
            <w:tcW w:w="5" w:type="pct"/>
            <w:vAlign w:val="center"/>
            <w:hideMark/>
          </w:tcPr>
          <w:p w14:paraId="22DD68A1" w14:textId="77777777" w:rsidR="00000000" w:rsidRDefault="00405D16">
            <w:pPr>
              <w:spacing w:after="100"/>
              <w:rPr>
                <w:rFonts w:eastAsia="Times New Roman"/>
                <w:sz w:val="20"/>
                <w:szCs w:val="20"/>
              </w:rPr>
            </w:pPr>
          </w:p>
        </w:tc>
        <w:tc>
          <w:tcPr>
            <w:tcW w:w="26" w:type="pct"/>
            <w:vAlign w:val="center"/>
            <w:hideMark/>
          </w:tcPr>
          <w:p w14:paraId="2303A316" w14:textId="77777777" w:rsidR="00000000" w:rsidRDefault="00405D16">
            <w:pPr>
              <w:spacing w:after="100"/>
              <w:rPr>
                <w:rFonts w:eastAsia="Times New Roman"/>
                <w:sz w:val="20"/>
                <w:szCs w:val="20"/>
              </w:rPr>
            </w:pPr>
          </w:p>
        </w:tc>
        <w:tc>
          <w:tcPr>
            <w:tcW w:w="5" w:type="pct"/>
            <w:vAlign w:val="center"/>
            <w:hideMark/>
          </w:tcPr>
          <w:p w14:paraId="5D94381D" w14:textId="77777777" w:rsidR="00000000" w:rsidRDefault="00405D16">
            <w:pPr>
              <w:spacing w:after="100"/>
              <w:rPr>
                <w:rFonts w:eastAsia="Times New Roman"/>
                <w:sz w:val="20"/>
                <w:szCs w:val="20"/>
              </w:rPr>
            </w:pPr>
          </w:p>
        </w:tc>
        <w:tc>
          <w:tcPr>
            <w:tcW w:w="50" w:type="pct"/>
            <w:vAlign w:val="center"/>
            <w:hideMark/>
          </w:tcPr>
          <w:p w14:paraId="1A39A86C" w14:textId="77777777" w:rsidR="00000000" w:rsidRDefault="00405D16">
            <w:pPr>
              <w:spacing w:after="100"/>
              <w:rPr>
                <w:rFonts w:eastAsia="Times New Roman"/>
                <w:sz w:val="20"/>
                <w:szCs w:val="20"/>
              </w:rPr>
            </w:pPr>
          </w:p>
        </w:tc>
        <w:tc>
          <w:tcPr>
            <w:tcW w:w="464" w:type="pct"/>
            <w:vAlign w:val="center"/>
            <w:hideMark/>
          </w:tcPr>
          <w:p w14:paraId="30FF02B0" w14:textId="77777777" w:rsidR="00000000" w:rsidRDefault="00405D16">
            <w:pPr>
              <w:spacing w:after="100"/>
              <w:rPr>
                <w:rFonts w:eastAsia="Times New Roman"/>
                <w:sz w:val="20"/>
                <w:szCs w:val="20"/>
              </w:rPr>
            </w:pPr>
          </w:p>
        </w:tc>
        <w:tc>
          <w:tcPr>
            <w:tcW w:w="5" w:type="pct"/>
            <w:vAlign w:val="center"/>
            <w:hideMark/>
          </w:tcPr>
          <w:p w14:paraId="4216F068" w14:textId="77777777" w:rsidR="00000000" w:rsidRDefault="00405D16">
            <w:pPr>
              <w:spacing w:after="100"/>
              <w:rPr>
                <w:rFonts w:eastAsia="Times New Roman"/>
                <w:sz w:val="20"/>
                <w:szCs w:val="20"/>
              </w:rPr>
            </w:pPr>
          </w:p>
        </w:tc>
      </w:tr>
      <w:tr w:rsidR="00000000" w14:paraId="65EA0571" w14:textId="77777777">
        <w:trPr>
          <w:divId w:val="1149640284"/>
        </w:trPr>
        <w:tc>
          <w:tcPr>
            <w:tcW w:w="0" w:type="auto"/>
            <w:gridSpan w:val="3"/>
            <w:tcMar>
              <w:top w:w="0" w:type="dxa"/>
              <w:left w:w="20" w:type="dxa"/>
              <w:bottom w:w="0" w:type="dxa"/>
              <w:right w:w="20" w:type="dxa"/>
            </w:tcMar>
            <w:vAlign w:val="center"/>
            <w:hideMark/>
          </w:tcPr>
          <w:p w14:paraId="0DEC420B"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BAE5D5D" w14:textId="77777777" w:rsidR="00000000" w:rsidRDefault="00405D16">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2B40898F" w14:textId="77777777" w:rsidR="00000000" w:rsidRDefault="00405D16">
            <w:pPr>
              <w:spacing w:after="100"/>
              <w:jc w:val="center"/>
              <w:rPr>
                <w:rFonts w:eastAsia="Times New Roman"/>
              </w:rPr>
            </w:pPr>
            <w:r>
              <w:rPr>
                <w:rFonts w:eastAsia="Times New Roman"/>
                <w:b/>
                <w:bCs/>
                <w:color w:val="000000"/>
                <w:sz w:val="16"/>
                <w:szCs w:val="16"/>
              </w:rPr>
              <w:t>Nine Months Ended September 30, 2020</w:t>
            </w:r>
          </w:p>
        </w:tc>
      </w:tr>
      <w:tr w:rsidR="00000000" w14:paraId="34FEDF0B" w14:textId="77777777">
        <w:trPr>
          <w:divId w:val="1149640284"/>
        </w:trPr>
        <w:tc>
          <w:tcPr>
            <w:tcW w:w="0" w:type="auto"/>
            <w:gridSpan w:val="3"/>
            <w:tcMar>
              <w:top w:w="30" w:type="dxa"/>
              <w:left w:w="20" w:type="dxa"/>
              <w:bottom w:w="30" w:type="dxa"/>
              <w:right w:w="20" w:type="dxa"/>
            </w:tcMar>
            <w:vAlign w:val="bottom"/>
            <w:hideMark/>
          </w:tcPr>
          <w:p w14:paraId="5DDFBFBA"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6BCB3030"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D0497AC" w14:textId="77777777" w:rsidR="00000000" w:rsidRDefault="00405D16">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643B9399"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C9A46FF" w14:textId="77777777" w:rsidR="00000000" w:rsidRDefault="00405D16">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25A28C7D"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7F467CE" w14:textId="77777777" w:rsidR="00000000" w:rsidRDefault="00405D16">
            <w:pPr>
              <w:spacing w:after="100"/>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263F4638"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47599E6" w14:textId="77777777" w:rsidR="00000000" w:rsidRDefault="00405D16">
            <w:pPr>
              <w:spacing w:after="100"/>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0E9DF84E"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D4B8374" w14:textId="77777777" w:rsidR="00000000" w:rsidRDefault="00405D16">
            <w:pPr>
              <w:spacing w:after="100"/>
              <w:jc w:val="center"/>
              <w:rPr>
                <w:rFonts w:eastAsia="Times New Roman"/>
              </w:rPr>
            </w:pPr>
            <w:r>
              <w:rPr>
                <w:rFonts w:eastAsia="Times New Roman"/>
                <w:b/>
                <w:bCs/>
                <w:color w:val="000000"/>
                <w:sz w:val="16"/>
                <w:szCs w:val="16"/>
              </w:rPr>
              <w:t>Consolidated Total</w:t>
            </w:r>
          </w:p>
        </w:tc>
      </w:tr>
      <w:tr w:rsidR="00000000" w14:paraId="5CACC23F" w14:textId="77777777">
        <w:trPr>
          <w:divId w:val="114964028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0BF8409" w14:textId="77777777" w:rsidR="00000000" w:rsidRDefault="00405D16">
            <w:pPr>
              <w:spacing w:after="100"/>
              <w:rPr>
                <w:rFonts w:eastAsia="Times New Roman"/>
              </w:rPr>
            </w:pPr>
            <w:r>
              <w:rPr>
                <w:rFonts w:eastAsia="Times New Roman"/>
                <w:color w:val="000000"/>
                <w:sz w:val="18"/>
                <w:szCs w:val="18"/>
              </w:rPr>
              <w:t>Contract revenue:</w:t>
            </w:r>
          </w:p>
        </w:tc>
        <w:tc>
          <w:tcPr>
            <w:tcW w:w="0" w:type="auto"/>
            <w:gridSpan w:val="3"/>
            <w:shd w:val="clear" w:color="auto" w:fill="CCEEFF"/>
            <w:tcMar>
              <w:top w:w="0" w:type="dxa"/>
              <w:left w:w="20" w:type="dxa"/>
              <w:bottom w:w="0" w:type="dxa"/>
              <w:right w:w="20" w:type="dxa"/>
            </w:tcMar>
            <w:vAlign w:val="center"/>
            <w:hideMark/>
          </w:tcPr>
          <w:p w14:paraId="3E391B58" w14:textId="77777777" w:rsidR="00000000" w:rsidRDefault="00405D16">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FDAE326"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48FD05"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A1FAF50"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956BB3"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B51917D"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472BC5"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C6709B9" w14:textId="77777777" w:rsidR="00000000" w:rsidRDefault="00405D1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ECB9ED" w14:textId="77777777" w:rsidR="00000000" w:rsidRDefault="00405D1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FA58A06" w14:textId="77777777" w:rsidR="00000000" w:rsidRDefault="00405D16">
            <w:pPr>
              <w:spacing w:after="100"/>
              <w:rPr>
                <w:rFonts w:eastAsia="Times New Roman"/>
                <w:sz w:val="20"/>
                <w:szCs w:val="20"/>
              </w:rPr>
            </w:pPr>
          </w:p>
        </w:tc>
      </w:tr>
      <w:tr w:rsidR="00000000" w14:paraId="1011FBF1" w14:textId="77777777">
        <w:trPr>
          <w:divId w:val="1149640284"/>
        </w:trPr>
        <w:tc>
          <w:tcPr>
            <w:tcW w:w="0" w:type="auto"/>
            <w:gridSpan w:val="3"/>
            <w:shd w:val="clear" w:color="auto" w:fill="FFFFFF"/>
            <w:tcMar>
              <w:top w:w="30" w:type="dxa"/>
              <w:left w:w="20" w:type="dxa"/>
              <w:bottom w:w="30" w:type="dxa"/>
              <w:right w:w="20" w:type="dxa"/>
            </w:tcMar>
            <w:vAlign w:val="center"/>
            <w:hideMark/>
          </w:tcPr>
          <w:p w14:paraId="6AA4E252" w14:textId="77777777" w:rsidR="00000000" w:rsidRDefault="00405D16">
            <w:pPr>
              <w:spacing w:after="100"/>
              <w:divId w:val="2140997146"/>
              <w:rPr>
                <w:rFonts w:eastAsia="Times New Roman"/>
              </w:rPr>
            </w:pPr>
            <w:r>
              <w:rPr>
                <w:rFonts w:eastAsia="Times New Roman"/>
                <w:color w:val="000000"/>
                <w:sz w:val="18"/>
                <w:szCs w:val="18"/>
              </w:rPr>
              <w:t>Interchange fees, ne</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528B5228" w14:textId="77777777" w:rsidR="00000000" w:rsidRDefault="00405D16">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45DBB7BA"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19242354" w14:textId="77777777" w:rsidR="00000000" w:rsidRDefault="00405D16">
            <w:pPr>
              <w:spacing w:after="100"/>
              <w:jc w:val="right"/>
              <w:rPr>
                <w:rFonts w:eastAsia="Times New Roman"/>
              </w:rPr>
            </w:pPr>
            <w:r>
              <w:rPr>
                <w:rFonts w:eastAsia="Times New Roman"/>
                <w:color w:val="000000"/>
                <w:sz w:val="18"/>
                <w:szCs w:val="18"/>
              </w:rPr>
              <w:t>2,003 </w:t>
            </w:r>
          </w:p>
        </w:tc>
        <w:tc>
          <w:tcPr>
            <w:tcW w:w="0" w:type="auto"/>
            <w:shd w:val="clear" w:color="auto" w:fill="FFFFFF"/>
            <w:tcMar>
              <w:top w:w="30" w:type="dxa"/>
              <w:left w:w="0" w:type="dxa"/>
              <w:bottom w:w="30" w:type="dxa"/>
              <w:right w:w="20" w:type="dxa"/>
            </w:tcMar>
            <w:vAlign w:val="center"/>
            <w:hideMark/>
          </w:tcPr>
          <w:p w14:paraId="1A6C0F4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93E93F"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B67DB6B"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6A59874A" w14:textId="77777777" w:rsidR="00000000" w:rsidRDefault="00405D16">
            <w:pPr>
              <w:spacing w:after="100"/>
              <w:jc w:val="right"/>
              <w:rPr>
                <w:rFonts w:eastAsia="Times New Roman"/>
              </w:rPr>
            </w:pPr>
            <w:r>
              <w:rPr>
                <w:rFonts w:eastAsia="Times New Roman"/>
                <w:color w:val="000000"/>
                <w:sz w:val="18"/>
                <w:szCs w:val="18"/>
              </w:rPr>
              <w:t>152 </w:t>
            </w:r>
          </w:p>
        </w:tc>
        <w:tc>
          <w:tcPr>
            <w:tcW w:w="0" w:type="auto"/>
            <w:shd w:val="clear" w:color="auto" w:fill="FFFFFF"/>
            <w:tcMar>
              <w:top w:w="30" w:type="dxa"/>
              <w:left w:w="0" w:type="dxa"/>
              <w:bottom w:w="30" w:type="dxa"/>
              <w:right w:w="20" w:type="dxa"/>
            </w:tcMar>
            <w:vAlign w:val="center"/>
            <w:hideMark/>
          </w:tcPr>
          <w:p w14:paraId="07A7FF8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035348"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19EDE8D"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06CCA88F" w14:textId="77777777" w:rsidR="00000000" w:rsidRDefault="00405D16">
            <w:pPr>
              <w:spacing w:after="100"/>
              <w:jc w:val="right"/>
              <w:rPr>
                <w:rFonts w:eastAsia="Times New Roman"/>
              </w:rPr>
            </w:pPr>
            <w:r>
              <w:rPr>
                <w:rFonts w:eastAsia="Times New Roman"/>
                <w:color w:val="000000"/>
                <w:sz w:val="18"/>
                <w:szCs w:val="18"/>
              </w:rPr>
              <w:t>45 </w:t>
            </w:r>
          </w:p>
        </w:tc>
        <w:tc>
          <w:tcPr>
            <w:tcW w:w="0" w:type="auto"/>
            <w:shd w:val="clear" w:color="auto" w:fill="FFFFFF"/>
            <w:tcMar>
              <w:top w:w="30" w:type="dxa"/>
              <w:left w:w="0" w:type="dxa"/>
              <w:bottom w:w="30" w:type="dxa"/>
              <w:right w:w="20" w:type="dxa"/>
            </w:tcMar>
            <w:vAlign w:val="center"/>
            <w:hideMark/>
          </w:tcPr>
          <w:p w14:paraId="746B278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D92F81"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0003544"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43083D88" w14:textId="77777777" w:rsidR="00000000" w:rsidRDefault="00405D16">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center"/>
            <w:hideMark/>
          </w:tcPr>
          <w:p w14:paraId="2E2D5D5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632275"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F2DB765"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17E1962E" w14:textId="77777777" w:rsidR="00000000" w:rsidRDefault="00405D16">
            <w:pPr>
              <w:spacing w:after="100"/>
              <w:jc w:val="right"/>
              <w:rPr>
                <w:rFonts w:eastAsia="Times New Roman"/>
              </w:rPr>
            </w:pPr>
            <w:r>
              <w:rPr>
                <w:rFonts w:eastAsia="Times New Roman"/>
                <w:color w:val="000000"/>
                <w:sz w:val="18"/>
                <w:szCs w:val="18"/>
              </w:rPr>
              <w:t>2,199 </w:t>
            </w:r>
          </w:p>
        </w:tc>
        <w:tc>
          <w:tcPr>
            <w:tcW w:w="0" w:type="auto"/>
            <w:shd w:val="clear" w:color="auto" w:fill="FFFFFF"/>
            <w:tcMar>
              <w:top w:w="30" w:type="dxa"/>
              <w:left w:w="0" w:type="dxa"/>
              <w:bottom w:w="30" w:type="dxa"/>
              <w:right w:w="20" w:type="dxa"/>
            </w:tcMar>
            <w:vAlign w:val="center"/>
            <w:hideMark/>
          </w:tcPr>
          <w:p w14:paraId="444B192F" w14:textId="77777777" w:rsidR="00000000" w:rsidRDefault="00405D16">
            <w:pPr>
              <w:spacing w:after="100"/>
              <w:jc w:val="right"/>
              <w:rPr>
                <w:rFonts w:eastAsia="Times New Roman"/>
              </w:rPr>
            </w:pPr>
          </w:p>
        </w:tc>
      </w:tr>
      <w:tr w:rsidR="00000000" w14:paraId="06F2561D" w14:textId="77777777">
        <w:trPr>
          <w:divId w:val="1149640284"/>
        </w:trPr>
        <w:tc>
          <w:tcPr>
            <w:tcW w:w="0" w:type="auto"/>
            <w:gridSpan w:val="3"/>
            <w:shd w:val="clear" w:color="auto" w:fill="CCEEFF"/>
            <w:tcMar>
              <w:top w:w="30" w:type="dxa"/>
              <w:left w:w="245" w:type="dxa"/>
              <w:bottom w:w="30" w:type="dxa"/>
              <w:right w:w="20" w:type="dxa"/>
            </w:tcMar>
            <w:vAlign w:val="center"/>
            <w:hideMark/>
          </w:tcPr>
          <w:p w14:paraId="1CFAF431" w14:textId="77777777" w:rsidR="00000000" w:rsidRDefault="00405D16">
            <w:pPr>
              <w:spacing w:after="100"/>
              <w:rPr>
                <w:rFonts w:eastAsia="Times New Roman"/>
              </w:rPr>
            </w:pPr>
            <w:r>
              <w:rPr>
                <w:rFonts w:eastAsia="Times New Roman"/>
                <w:color w:val="000000"/>
                <w:sz w:val="18"/>
                <w:szCs w:val="18"/>
              </w:rPr>
              <w:t>Service charges and other customer-related fees</w:t>
            </w:r>
          </w:p>
        </w:tc>
        <w:tc>
          <w:tcPr>
            <w:tcW w:w="0" w:type="auto"/>
            <w:gridSpan w:val="3"/>
            <w:shd w:val="clear" w:color="auto" w:fill="CCEEFF"/>
            <w:tcMar>
              <w:top w:w="0" w:type="dxa"/>
              <w:left w:w="20" w:type="dxa"/>
              <w:bottom w:w="0" w:type="dxa"/>
              <w:right w:w="20" w:type="dxa"/>
            </w:tcMar>
            <w:vAlign w:val="center"/>
            <w:hideMark/>
          </w:tcPr>
          <w:p w14:paraId="6276B2A6"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EB062A4"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4FC533B3"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5D394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26A9403" w14:textId="77777777" w:rsidR="00000000" w:rsidRDefault="00405D16">
            <w:pPr>
              <w:spacing w:after="100"/>
              <w:jc w:val="right"/>
              <w:rPr>
                <w:rFonts w:eastAsia="Times New Roman"/>
              </w:rPr>
            </w:pPr>
            <w:r>
              <w:rPr>
                <w:rFonts w:eastAsia="Times New Roman"/>
                <w:color w:val="000000"/>
                <w:sz w:val="18"/>
                <w:szCs w:val="18"/>
              </w:rPr>
              <w:t>137 </w:t>
            </w:r>
          </w:p>
        </w:tc>
        <w:tc>
          <w:tcPr>
            <w:tcW w:w="0" w:type="auto"/>
            <w:shd w:val="clear" w:color="auto" w:fill="CCEEFF"/>
            <w:tcMar>
              <w:top w:w="30" w:type="dxa"/>
              <w:left w:w="0" w:type="dxa"/>
              <w:bottom w:w="30" w:type="dxa"/>
              <w:right w:w="20" w:type="dxa"/>
            </w:tcMar>
            <w:vAlign w:val="center"/>
            <w:hideMark/>
          </w:tcPr>
          <w:p w14:paraId="6DBCF44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F53D8A"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F468B82" w14:textId="77777777" w:rsidR="00000000" w:rsidRDefault="00405D16">
            <w:pPr>
              <w:spacing w:after="100"/>
              <w:jc w:val="right"/>
              <w:rPr>
                <w:rFonts w:eastAsia="Times New Roman"/>
              </w:rPr>
            </w:pPr>
            <w:r>
              <w:rPr>
                <w:rFonts w:eastAsia="Times New Roman"/>
                <w:color w:val="000000"/>
                <w:sz w:val="18"/>
                <w:szCs w:val="18"/>
              </w:rPr>
              <w:t>124 </w:t>
            </w:r>
          </w:p>
        </w:tc>
        <w:tc>
          <w:tcPr>
            <w:tcW w:w="0" w:type="auto"/>
            <w:shd w:val="clear" w:color="auto" w:fill="CCEEFF"/>
            <w:tcMar>
              <w:top w:w="30" w:type="dxa"/>
              <w:left w:w="0" w:type="dxa"/>
              <w:bottom w:w="30" w:type="dxa"/>
              <w:right w:w="20" w:type="dxa"/>
            </w:tcMar>
            <w:vAlign w:val="center"/>
            <w:hideMark/>
          </w:tcPr>
          <w:p w14:paraId="6062D2C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3D840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4FF9315" w14:textId="77777777" w:rsidR="00000000" w:rsidRDefault="00405D16">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center"/>
            <w:hideMark/>
          </w:tcPr>
          <w:p w14:paraId="4BBA547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47FA4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25A5355" w14:textId="77777777" w:rsidR="00000000" w:rsidRDefault="00405D16">
            <w:pPr>
              <w:spacing w:after="100"/>
              <w:jc w:val="right"/>
              <w:rPr>
                <w:rFonts w:eastAsia="Times New Roman"/>
              </w:rPr>
            </w:pPr>
            <w:r>
              <w:rPr>
                <w:rFonts w:eastAsia="Times New Roman"/>
                <w:color w:val="000000"/>
                <w:sz w:val="18"/>
                <w:szCs w:val="18"/>
              </w:rPr>
              <w:t>260 </w:t>
            </w:r>
          </w:p>
        </w:tc>
        <w:tc>
          <w:tcPr>
            <w:tcW w:w="0" w:type="auto"/>
            <w:shd w:val="clear" w:color="auto" w:fill="CCEEFF"/>
            <w:tcMar>
              <w:top w:w="30" w:type="dxa"/>
              <w:left w:w="0" w:type="dxa"/>
              <w:bottom w:w="30" w:type="dxa"/>
              <w:right w:w="20" w:type="dxa"/>
            </w:tcMar>
            <w:vAlign w:val="center"/>
            <w:hideMark/>
          </w:tcPr>
          <w:p w14:paraId="6E3BCB47" w14:textId="77777777" w:rsidR="00000000" w:rsidRDefault="00405D16">
            <w:pPr>
              <w:spacing w:after="100"/>
              <w:jc w:val="right"/>
              <w:rPr>
                <w:rFonts w:eastAsia="Times New Roman"/>
              </w:rPr>
            </w:pPr>
          </w:p>
        </w:tc>
      </w:tr>
      <w:tr w:rsidR="00000000" w14:paraId="78E80EF8" w14:textId="77777777">
        <w:trPr>
          <w:divId w:val="1149640284"/>
        </w:trPr>
        <w:tc>
          <w:tcPr>
            <w:tcW w:w="0" w:type="auto"/>
            <w:gridSpan w:val="3"/>
            <w:shd w:val="clear" w:color="auto" w:fill="FFFFFF"/>
            <w:tcMar>
              <w:top w:w="30" w:type="dxa"/>
              <w:left w:w="245" w:type="dxa"/>
              <w:bottom w:w="30" w:type="dxa"/>
              <w:right w:w="20" w:type="dxa"/>
            </w:tcMar>
            <w:vAlign w:val="center"/>
            <w:hideMark/>
          </w:tcPr>
          <w:p w14:paraId="19DE38A1" w14:textId="77777777" w:rsidR="00000000" w:rsidRDefault="00405D16">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14:paraId="7D2F44C3"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96DE999" w14:textId="77777777" w:rsidR="00000000" w:rsidRDefault="00405D16">
            <w:pPr>
              <w:spacing w:after="100"/>
              <w:jc w:val="right"/>
              <w:rPr>
                <w:rFonts w:eastAsia="Times New Roman"/>
              </w:rPr>
            </w:pPr>
            <w:r>
              <w:rPr>
                <w:rFonts w:eastAsia="Times New Roman"/>
                <w:color w:val="000000"/>
                <w:sz w:val="18"/>
                <w:szCs w:val="18"/>
              </w:rPr>
              <w:t>236 </w:t>
            </w:r>
          </w:p>
        </w:tc>
        <w:tc>
          <w:tcPr>
            <w:tcW w:w="0" w:type="auto"/>
            <w:shd w:val="clear" w:color="auto" w:fill="FFFFFF"/>
            <w:tcMar>
              <w:top w:w="30" w:type="dxa"/>
              <w:left w:w="0" w:type="dxa"/>
              <w:bottom w:w="30" w:type="dxa"/>
              <w:right w:w="20" w:type="dxa"/>
            </w:tcMar>
            <w:vAlign w:val="center"/>
            <w:hideMark/>
          </w:tcPr>
          <w:p w14:paraId="28A756B2"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B5A269"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1247560" w14:textId="77777777" w:rsidR="00000000" w:rsidRDefault="00405D16">
            <w:pPr>
              <w:spacing w:after="100"/>
              <w:jc w:val="right"/>
              <w:rPr>
                <w:rFonts w:eastAsia="Times New Roman"/>
              </w:rPr>
            </w:pPr>
            <w:r>
              <w:rPr>
                <w:rFonts w:eastAsia="Times New Roman"/>
                <w:color w:val="000000"/>
                <w:sz w:val="18"/>
                <w:szCs w:val="18"/>
              </w:rPr>
              <w:t>27 </w:t>
            </w:r>
          </w:p>
        </w:tc>
        <w:tc>
          <w:tcPr>
            <w:tcW w:w="0" w:type="auto"/>
            <w:shd w:val="clear" w:color="auto" w:fill="FFFFFF"/>
            <w:tcMar>
              <w:top w:w="30" w:type="dxa"/>
              <w:left w:w="0" w:type="dxa"/>
              <w:bottom w:w="30" w:type="dxa"/>
              <w:right w:w="20" w:type="dxa"/>
            </w:tcMar>
            <w:vAlign w:val="center"/>
            <w:hideMark/>
          </w:tcPr>
          <w:p w14:paraId="1EB7DEE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EF4E0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D9099DE" w14:textId="77777777" w:rsidR="00000000" w:rsidRDefault="00405D16">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center"/>
            <w:hideMark/>
          </w:tcPr>
          <w:p w14:paraId="7F6B85C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F822F8"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C6271B6" w14:textId="77777777" w:rsidR="00000000" w:rsidRDefault="00405D16">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67B1495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57F3D0"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4313E8B" w14:textId="77777777" w:rsidR="00000000" w:rsidRDefault="00405D16">
            <w:pPr>
              <w:spacing w:after="100"/>
              <w:jc w:val="right"/>
              <w:rPr>
                <w:rFonts w:eastAsia="Times New Roman"/>
              </w:rPr>
            </w:pPr>
            <w:r>
              <w:rPr>
                <w:rFonts w:eastAsia="Times New Roman"/>
                <w:color w:val="000000"/>
                <w:sz w:val="18"/>
                <w:szCs w:val="18"/>
              </w:rPr>
              <w:t>265 </w:t>
            </w:r>
          </w:p>
        </w:tc>
        <w:tc>
          <w:tcPr>
            <w:tcW w:w="0" w:type="auto"/>
            <w:shd w:val="clear" w:color="auto" w:fill="FFFFFF"/>
            <w:tcMar>
              <w:top w:w="30" w:type="dxa"/>
              <w:left w:w="0" w:type="dxa"/>
              <w:bottom w:w="30" w:type="dxa"/>
              <w:right w:w="20" w:type="dxa"/>
            </w:tcMar>
            <w:vAlign w:val="center"/>
            <w:hideMark/>
          </w:tcPr>
          <w:p w14:paraId="10391505" w14:textId="77777777" w:rsidR="00000000" w:rsidRDefault="00405D16">
            <w:pPr>
              <w:spacing w:after="100"/>
              <w:jc w:val="right"/>
              <w:rPr>
                <w:rFonts w:eastAsia="Times New Roman"/>
              </w:rPr>
            </w:pPr>
          </w:p>
        </w:tc>
      </w:tr>
      <w:tr w:rsidR="00000000" w14:paraId="51D806E2" w14:textId="77777777">
        <w:trPr>
          <w:divId w:val="1149640284"/>
        </w:trPr>
        <w:tc>
          <w:tcPr>
            <w:tcW w:w="0" w:type="auto"/>
            <w:gridSpan w:val="3"/>
            <w:shd w:val="clear" w:color="auto" w:fill="CCEEFF"/>
            <w:tcMar>
              <w:top w:w="30" w:type="dxa"/>
              <w:left w:w="20" w:type="dxa"/>
              <w:bottom w:w="30" w:type="dxa"/>
              <w:right w:w="20" w:type="dxa"/>
            </w:tcMar>
            <w:vAlign w:val="center"/>
            <w:hideMark/>
          </w:tcPr>
          <w:p w14:paraId="79933C19" w14:textId="77777777" w:rsidR="00000000" w:rsidRDefault="00405D16">
            <w:pPr>
              <w:spacing w:after="100"/>
              <w:rPr>
                <w:rFonts w:eastAsia="Times New Roman"/>
              </w:rPr>
            </w:pPr>
            <w:r>
              <w:rPr>
                <w:rFonts w:eastAsia="Times New Roman"/>
                <w:color w:val="000000"/>
                <w:sz w:val="18"/>
                <w:szCs w:val="18"/>
              </w:rPr>
              <w:t>Total contract revenue</w:t>
            </w:r>
          </w:p>
        </w:tc>
        <w:tc>
          <w:tcPr>
            <w:tcW w:w="0" w:type="auto"/>
            <w:gridSpan w:val="3"/>
            <w:shd w:val="clear" w:color="auto" w:fill="CCEEFF"/>
            <w:tcMar>
              <w:top w:w="0" w:type="dxa"/>
              <w:left w:w="20" w:type="dxa"/>
              <w:bottom w:w="0" w:type="dxa"/>
              <w:right w:w="20" w:type="dxa"/>
            </w:tcMar>
            <w:vAlign w:val="center"/>
            <w:hideMark/>
          </w:tcPr>
          <w:p w14:paraId="20757C9A"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639DA9D" w14:textId="77777777" w:rsidR="00000000" w:rsidRDefault="00405D16">
            <w:pPr>
              <w:spacing w:after="100"/>
              <w:jc w:val="right"/>
              <w:rPr>
                <w:rFonts w:eastAsia="Times New Roman"/>
              </w:rPr>
            </w:pPr>
            <w:r>
              <w:rPr>
                <w:rFonts w:eastAsia="Times New Roman"/>
                <w:color w:val="000000"/>
                <w:sz w:val="18"/>
                <w:szCs w:val="18"/>
              </w:rPr>
              <w:t>2,239 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4849B7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4DFE2C"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11CD02D" w14:textId="77777777" w:rsidR="00000000" w:rsidRDefault="00405D16">
            <w:pPr>
              <w:spacing w:after="100"/>
              <w:jc w:val="right"/>
              <w:rPr>
                <w:rFonts w:eastAsia="Times New Roman"/>
              </w:rPr>
            </w:pPr>
            <w:r>
              <w:rPr>
                <w:rFonts w:eastAsia="Times New Roman"/>
                <w:color w:val="000000"/>
                <w:sz w:val="18"/>
                <w:szCs w:val="18"/>
              </w:rPr>
              <w:t>316 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96B214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E91701"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2247C9F" w14:textId="77777777" w:rsidR="00000000" w:rsidRDefault="00405D16">
            <w:pPr>
              <w:spacing w:after="100"/>
              <w:jc w:val="right"/>
              <w:rPr>
                <w:rFonts w:eastAsia="Times New Roman"/>
              </w:rPr>
            </w:pPr>
            <w:r>
              <w:rPr>
                <w:rFonts w:eastAsia="Times New Roman"/>
                <w:color w:val="000000"/>
                <w:sz w:val="18"/>
                <w:szCs w:val="18"/>
              </w:rPr>
              <w:t>171 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CCDB1F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30E7CF"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139C7F1" w14:textId="77777777" w:rsidR="00000000" w:rsidRDefault="00405D16">
            <w:pPr>
              <w:spacing w:after="100"/>
              <w:jc w:val="right"/>
              <w:rPr>
                <w:rFonts w:eastAsia="Times New Roman"/>
              </w:rPr>
            </w:pPr>
            <w:r>
              <w:rPr>
                <w:rFonts w:eastAsia="Times New Roman"/>
                <w:color w:val="000000"/>
                <w:sz w:val="18"/>
                <w:szCs w:val="18"/>
              </w:rPr>
              <w:t>(2)</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0B836E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1FFBCA"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40B381F" w14:textId="77777777" w:rsidR="00000000" w:rsidRDefault="00405D16">
            <w:pPr>
              <w:spacing w:after="100"/>
              <w:jc w:val="right"/>
              <w:rPr>
                <w:rFonts w:eastAsia="Times New Roman"/>
              </w:rPr>
            </w:pPr>
            <w:r>
              <w:rPr>
                <w:rFonts w:eastAsia="Times New Roman"/>
                <w:color w:val="000000"/>
                <w:sz w:val="18"/>
                <w:szCs w:val="18"/>
              </w:rPr>
              <w:t>2,724 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D74B889" w14:textId="77777777" w:rsidR="00000000" w:rsidRDefault="00405D16">
            <w:pPr>
              <w:spacing w:after="100"/>
              <w:jc w:val="right"/>
              <w:rPr>
                <w:rFonts w:eastAsia="Times New Roman"/>
              </w:rPr>
            </w:pPr>
          </w:p>
        </w:tc>
      </w:tr>
      <w:tr w:rsidR="00000000" w14:paraId="4FDA2F98" w14:textId="77777777">
        <w:trPr>
          <w:divId w:val="1149640284"/>
        </w:trPr>
        <w:tc>
          <w:tcPr>
            <w:tcW w:w="0" w:type="auto"/>
            <w:gridSpan w:val="3"/>
            <w:shd w:val="clear" w:color="auto" w:fill="FFFFFF"/>
            <w:tcMar>
              <w:top w:w="30" w:type="dxa"/>
              <w:left w:w="20" w:type="dxa"/>
              <w:bottom w:w="30" w:type="dxa"/>
              <w:right w:w="20" w:type="dxa"/>
            </w:tcMar>
            <w:vAlign w:val="center"/>
            <w:hideMark/>
          </w:tcPr>
          <w:p w14:paraId="678CDEE5" w14:textId="77777777" w:rsidR="00000000" w:rsidRDefault="00405D16">
            <w:pPr>
              <w:spacing w:after="100"/>
              <w:rPr>
                <w:rFonts w:eastAsia="Times New Roman"/>
              </w:rPr>
            </w:pPr>
            <w:r>
              <w:rPr>
                <w:rFonts w:eastAsia="Times New Roman"/>
                <w:color w:val="000000"/>
                <w:sz w:val="18"/>
                <w:szCs w:val="18"/>
              </w:rPr>
              <w:t>Revenue from other sources</w:t>
            </w:r>
          </w:p>
        </w:tc>
        <w:tc>
          <w:tcPr>
            <w:tcW w:w="0" w:type="auto"/>
            <w:gridSpan w:val="3"/>
            <w:shd w:val="clear" w:color="auto" w:fill="FFFFFF"/>
            <w:tcMar>
              <w:top w:w="0" w:type="dxa"/>
              <w:left w:w="20" w:type="dxa"/>
              <w:bottom w:w="0" w:type="dxa"/>
              <w:right w:w="20" w:type="dxa"/>
            </w:tcMar>
            <w:vAlign w:val="center"/>
            <w:hideMark/>
          </w:tcPr>
          <w:p w14:paraId="224FEC62"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F2C225F" w14:textId="77777777" w:rsidR="00000000" w:rsidRDefault="00405D16">
            <w:pPr>
              <w:spacing w:after="100"/>
              <w:jc w:val="right"/>
              <w:rPr>
                <w:rFonts w:eastAsia="Times New Roman"/>
              </w:rPr>
            </w:pPr>
            <w:r>
              <w:rPr>
                <w:rFonts w:eastAsia="Times New Roman"/>
                <w:color w:val="000000"/>
                <w:sz w:val="18"/>
                <w:szCs w:val="18"/>
              </w:rPr>
              <w:t>530 </w:t>
            </w:r>
          </w:p>
        </w:tc>
        <w:tc>
          <w:tcPr>
            <w:tcW w:w="0" w:type="auto"/>
            <w:shd w:val="clear" w:color="auto" w:fill="FFFFFF"/>
            <w:tcMar>
              <w:top w:w="30" w:type="dxa"/>
              <w:left w:w="0" w:type="dxa"/>
              <w:bottom w:w="30" w:type="dxa"/>
              <w:right w:w="20" w:type="dxa"/>
            </w:tcMar>
            <w:vAlign w:val="center"/>
            <w:hideMark/>
          </w:tcPr>
          <w:p w14:paraId="0B2F8E40"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70EAE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8F0FFA8" w14:textId="77777777" w:rsidR="00000000" w:rsidRDefault="00405D16">
            <w:pPr>
              <w:spacing w:after="100"/>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center"/>
            <w:hideMark/>
          </w:tcPr>
          <w:p w14:paraId="708C920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CB8AC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A9906BC" w14:textId="77777777" w:rsidR="00000000" w:rsidRDefault="00405D16">
            <w:pPr>
              <w:spacing w:after="100"/>
              <w:jc w:val="right"/>
              <w:rPr>
                <w:rFonts w:eastAsia="Times New Roman"/>
              </w:rPr>
            </w:pPr>
            <w:r>
              <w:rPr>
                <w:rFonts w:eastAsia="Times New Roman"/>
                <w:color w:val="000000"/>
                <w:sz w:val="18"/>
                <w:szCs w:val="18"/>
              </w:rPr>
              <w:t>484 </w:t>
            </w:r>
          </w:p>
        </w:tc>
        <w:tc>
          <w:tcPr>
            <w:tcW w:w="0" w:type="auto"/>
            <w:shd w:val="clear" w:color="auto" w:fill="FFFFFF"/>
            <w:tcMar>
              <w:top w:w="30" w:type="dxa"/>
              <w:left w:w="0" w:type="dxa"/>
              <w:bottom w:w="30" w:type="dxa"/>
              <w:right w:w="20" w:type="dxa"/>
            </w:tcMar>
            <w:vAlign w:val="center"/>
            <w:hideMark/>
          </w:tcPr>
          <w:p w14:paraId="4BA4247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182F6A"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1DFE036" w14:textId="77777777" w:rsidR="00000000" w:rsidRDefault="00405D16">
            <w:pPr>
              <w:spacing w:after="100"/>
              <w:jc w:val="right"/>
              <w:rPr>
                <w:rFonts w:eastAsia="Times New Roman"/>
              </w:rPr>
            </w:pPr>
            <w:r>
              <w:rPr>
                <w:rFonts w:eastAsia="Times New Roman"/>
                <w:color w:val="000000"/>
                <w:sz w:val="18"/>
                <w:szCs w:val="18"/>
              </w:rPr>
              <w:t>394 </w:t>
            </w:r>
          </w:p>
        </w:tc>
        <w:tc>
          <w:tcPr>
            <w:tcW w:w="0" w:type="auto"/>
            <w:shd w:val="clear" w:color="auto" w:fill="FFFFFF"/>
            <w:tcMar>
              <w:top w:w="30" w:type="dxa"/>
              <w:left w:w="0" w:type="dxa"/>
              <w:bottom w:w="30" w:type="dxa"/>
              <w:right w:w="20" w:type="dxa"/>
            </w:tcMar>
            <w:vAlign w:val="center"/>
            <w:hideMark/>
          </w:tcPr>
          <w:p w14:paraId="04A91DE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ED202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1F764F5" w14:textId="77777777" w:rsidR="00000000" w:rsidRDefault="00405D16">
            <w:pPr>
              <w:spacing w:after="100"/>
              <w:jc w:val="right"/>
              <w:rPr>
                <w:rFonts w:eastAsia="Times New Roman"/>
              </w:rPr>
            </w:pPr>
            <w:r>
              <w:rPr>
                <w:rFonts w:eastAsia="Times New Roman"/>
                <w:color w:val="000000"/>
                <w:sz w:val="18"/>
                <w:szCs w:val="18"/>
              </w:rPr>
              <w:t>1,422 </w:t>
            </w:r>
          </w:p>
        </w:tc>
        <w:tc>
          <w:tcPr>
            <w:tcW w:w="0" w:type="auto"/>
            <w:shd w:val="clear" w:color="auto" w:fill="FFFFFF"/>
            <w:tcMar>
              <w:top w:w="30" w:type="dxa"/>
              <w:left w:w="0" w:type="dxa"/>
              <w:bottom w:w="30" w:type="dxa"/>
              <w:right w:w="20" w:type="dxa"/>
            </w:tcMar>
            <w:vAlign w:val="center"/>
            <w:hideMark/>
          </w:tcPr>
          <w:p w14:paraId="7AE8CBAA" w14:textId="77777777" w:rsidR="00000000" w:rsidRDefault="00405D16">
            <w:pPr>
              <w:spacing w:after="100"/>
              <w:jc w:val="right"/>
              <w:rPr>
                <w:rFonts w:eastAsia="Times New Roman"/>
              </w:rPr>
            </w:pPr>
          </w:p>
        </w:tc>
      </w:tr>
      <w:tr w:rsidR="00000000" w14:paraId="4CF9F407" w14:textId="77777777">
        <w:trPr>
          <w:divId w:val="1149640284"/>
        </w:trPr>
        <w:tc>
          <w:tcPr>
            <w:tcW w:w="0" w:type="auto"/>
            <w:gridSpan w:val="3"/>
            <w:shd w:val="clear" w:color="auto" w:fill="CCEEFF"/>
            <w:tcMar>
              <w:top w:w="30" w:type="dxa"/>
              <w:left w:w="20" w:type="dxa"/>
              <w:bottom w:w="30" w:type="dxa"/>
              <w:right w:w="20" w:type="dxa"/>
            </w:tcMar>
            <w:vAlign w:val="center"/>
            <w:hideMark/>
          </w:tcPr>
          <w:p w14:paraId="0060B75C" w14:textId="77777777" w:rsidR="00000000" w:rsidRDefault="00405D16">
            <w:pPr>
              <w:spacing w:after="100"/>
              <w:rPr>
                <w:rFonts w:eastAsia="Times New Roman"/>
              </w:rPr>
            </w:pPr>
            <w:r>
              <w:rPr>
                <w:rFonts w:eastAsia="Times New Roman"/>
                <w:color w:val="000000"/>
                <w:sz w:val="18"/>
                <w:szCs w:val="18"/>
              </w:rPr>
              <w:t>Total non-interest income</w:t>
            </w:r>
          </w:p>
        </w:tc>
        <w:tc>
          <w:tcPr>
            <w:tcW w:w="0" w:type="auto"/>
            <w:gridSpan w:val="3"/>
            <w:shd w:val="clear" w:color="auto" w:fill="CCEEFF"/>
            <w:tcMar>
              <w:top w:w="0" w:type="dxa"/>
              <w:left w:w="20" w:type="dxa"/>
              <w:bottom w:w="0" w:type="dxa"/>
              <w:right w:w="20" w:type="dxa"/>
            </w:tcMar>
            <w:vAlign w:val="center"/>
            <w:hideMark/>
          </w:tcPr>
          <w:p w14:paraId="1966EF6F"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CFC32D8"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2374F2F" w14:textId="77777777" w:rsidR="00000000" w:rsidRDefault="00405D16">
            <w:pPr>
              <w:spacing w:after="100"/>
              <w:jc w:val="right"/>
              <w:rPr>
                <w:rFonts w:eastAsia="Times New Roman"/>
              </w:rPr>
            </w:pPr>
            <w:r>
              <w:rPr>
                <w:rFonts w:eastAsia="Times New Roman"/>
                <w:color w:val="000000"/>
                <w:sz w:val="18"/>
                <w:szCs w:val="18"/>
              </w:rPr>
              <w:t>2,769 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EE58B66"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21B346"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2E781EF"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6709141" w14:textId="77777777" w:rsidR="00000000" w:rsidRDefault="00405D16">
            <w:pPr>
              <w:spacing w:after="100"/>
              <w:jc w:val="right"/>
              <w:rPr>
                <w:rFonts w:eastAsia="Times New Roman"/>
              </w:rPr>
            </w:pPr>
            <w:r>
              <w:rPr>
                <w:rFonts w:eastAsia="Times New Roman"/>
                <w:color w:val="000000"/>
                <w:sz w:val="18"/>
                <w:szCs w:val="18"/>
              </w:rPr>
              <w:t>330 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78145E1"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62855C"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FA2CBE0"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37425B9" w14:textId="77777777" w:rsidR="00000000" w:rsidRDefault="00405D16">
            <w:pPr>
              <w:spacing w:after="100"/>
              <w:jc w:val="right"/>
              <w:rPr>
                <w:rFonts w:eastAsia="Times New Roman"/>
              </w:rPr>
            </w:pPr>
            <w:r>
              <w:rPr>
                <w:rFonts w:eastAsia="Times New Roman"/>
                <w:color w:val="000000"/>
                <w:sz w:val="18"/>
                <w:szCs w:val="18"/>
              </w:rPr>
              <w:t>655 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9D7D96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BC7B9F"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1DF3A83"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3BD46C76" w14:textId="77777777" w:rsidR="00000000" w:rsidRDefault="00405D16">
            <w:pPr>
              <w:spacing w:after="100"/>
              <w:jc w:val="right"/>
              <w:rPr>
                <w:rFonts w:eastAsia="Times New Roman"/>
              </w:rPr>
            </w:pPr>
            <w:r>
              <w:rPr>
                <w:rFonts w:eastAsia="Times New Roman"/>
                <w:color w:val="000000"/>
                <w:sz w:val="18"/>
                <w:szCs w:val="18"/>
              </w:rPr>
              <w:t>392 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F51BF8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2DCE59"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E521589"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E10DD25" w14:textId="77777777" w:rsidR="00000000" w:rsidRDefault="00405D16">
            <w:pPr>
              <w:spacing w:after="100"/>
              <w:jc w:val="right"/>
              <w:rPr>
                <w:rFonts w:eastAsia="Times New Roman"/>
              </w:rPr>
            </w:pPr>
            <w:r>
              <w:rPr>
                <w:rFonts w:eastAsia="Times New Roman"/>
                <w:color w:val="000000"/>
                <w:sz w:val="18"/>
                <w:szCs w:val="18"/>
              </w:rPr>
              <w:t>4,146 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800AD01" w14:textId="77777777" w:rsidR="00000000" w:rsidRDefault="00405D16">
            <w:pPr>
              <w:spacing w:after="100"/>
              <w:jc w:val="right"/>
              <w:rPr>
                <w:rFonts w:eastAsia="Times New Roman"/>
              </w:rPr>
            </w:pPr>
          </w:p>
        </w:tc>
      </w:tr>
    </w:tbl>
    <w:p w14:paraId="2C138357" w14:textId="77777777" w:rsidR="00000000" w:rsidRDefault="00405D16">
      <w:pPr>
        <w:jc w:val="both"/>
        <w:divId w:val="114964028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6"/>
        <w:gridCol w:w="3772"/>
        <w:gridCol w:w="36"/>
        <w:gridCol w:w="36"/>
        <w:gridCol w:w="36"/>
        <w:gridCol w:w="36"/>
        <w:gridCol w:w="36"/>
        <w:gridCol w:w="697"/>
        <w:gridCol w:w="36"/>
        <w:gridCol w:w="36"/>
        <w:gridCol w:w="36"/>
        <w:gridCol w:w="36"/>
        <w:gridCol w:w="38"/>
        <w:gridCol w:w="697"/>
        <w:gridCol w:w="36"/>
        <w:gridCol w:w="36"/>
        <w:gridCol w:w="36"/>
        <w:gridCol w:w="36"/>
        <w:gridCol w:w="38"/>
        <w:gridCol w:w="697"/>
        <w:gridCol w:w="36"/>
        <w:gridCol w:w="36"/>
        <w:gridCol w:w="36"/>
        <w:gridCol w:w="36"/>
        <w:gridCol w:w="38"/>
        <w:gridCol w:w="697"/>
        <w:gridCol w:w="36"/>
        <w:gridCol w:w="36"/>
        <w:gridCol w:w="36"/>
        <w:gridCol w:w="36"/>
        <w:gridCol w:w="38"/>
        <w:gridCol w:w="746"/>
        <w:gridCol w:w="36"/>
      </w:tblGrid>
      <w:tr w:rsidR="00000000" w14:paraId="5566B351" w14:textId="77777777">
        <w:trPr>
          <w:divId w:val="1149640284"/>
        </w:trPr>
        <w:tc>
          <w:tcPr>
            <w:tcW w:w="50" w:type="pct"/>
            <w:vAlign w:val="center"/>
            <w:hideMark/>
          </w:tcPr>
          <w:p w14:paraId="03A26F6F" w14:textId="77777777" w:rsidR="00000000" w:rsidRDefault="00405D16">
            <w:pPr>
              <w:jc w:val="both"/>
              <w:rPr>
                <w:rFonts w:eastAsia="Times New Roman"/>
              </w:rPr>
            </w:pPr>
          </w:p>
        </w:tc>
        <w:tc>
          <w:tcPr>
            <w:tcW w:w="2284" w:type="pct"/>
            <w:vAlign w:val="center"/>
            <w:hideMark/>
          </w:tcPr>
          <w:p w14:paraId="0999AC1A" w14:textId="77777777" w:rsidR="00000000" w:rsidRDefault="00405D16">
            <w:pPr>
              <w:spacing w:after="100"/>
              <w:rPr>
                <w:rFonts w:eastAsia="Times New Roman"/>
                <w:sz w:val="20"/>
                <w:szCs w:val="20"/>
              </w:rPr>
            </w:pPr>
          </w:p>
        </w:tc>
        <w:tc>
          <w:tcPr>
            <w:tcW w:w="5" w:type="pct"/>
            <w:vAlign w:val="center"/>
            <w:hideMark/>
          </w:tcPr>
          <w:p w14:paraId="676C0C74" w14:textId="77777777" w:rsidR="00000000" w:rsidRDefault="00405D16">
            <w:pPr>
              <w:spacing w:after="100"/>
              <w:rPr>
                <w:rFonts w:eastAsia="Times New Roman"/>
                <w:sz w:val="20"/>
                <w:szCs w:val="20"/>
              </w:rPr>
            </w:pPr>
          </w:p>
        </w:tc>
        <w:tc>
          <w:tcPr>
            <w:tcW w:w="5" w:type="pct"/>
            <w:vAlign w:val="center"/>
            <w:hideMark/>
          </w:tcPr>
          <w:p w14:paraId="3726A205" w14:textId="77777777" w:rsidR="00000000" w:rsidRDefault="00405D16">
            <w:pPr>
              <w:spacing w:after="100"/>
              <w:rPr>
                <w:rFonts w:eastAsia="Times New Roman"/>
                <w:sz w:val="20"/>
                <w:szCs w:val="20"/>
              </w:rPr>
            </w:pPr>
          </w:p>
        </w:tc>
        <w:tc>
          <w:tcPr>
            <w:tcW w:w="26" w:type="pct"/>
            <w:vAlign w:val="center"/>
            <w:hideMark/>
          </w:tcPr>
          <w:p w14:paraId="60227886" w14:textId="77777777" w:rsidR="00000000" w:rsidRDefault="00405D16">
            <w:pPr>
              <w:spacing w:after="100"/>
              <w:rPr>
                <w:rFonts w:eastAsia="Times New Roman"/>
                <w:sz w:val="20"/>
                <w:szCs w:val="20"/>
              </w:rPr>
            </w:pPr>
          </w:p>
        </w:tc>
        <w:tc>
          <w:tcPr>
            <w:tcW w:w="5" w:type="pct"/>
            <w:vAlign w:val="center"/>
            <w:hideMark/>
          </w:tcPr>
          <w:p w14:paraId="25769D4D" w14:textId="77777777" w:rsidR="00000000" w:rsidRDefault="00405D16">
            <w:pPr>
              <w:spacing w:after="100"/>
              <w:rPr>
                <w:rFonts w:eastAsia="Times New Roman"/>
                <w:sz w:val="20"/>
                <w:szCs w:val="20"/>
              </w:rPr>
            </w:pPr>
          </w:p>
        </w:tc>
        <w:tc>
          <w:tcPr>
            <w:tcW w:w="50" w:type="pct"/>
            <w:vAlign w:val="center"/>
            <w:hideMark/>
          </w:tcPr>
          <w:p w14:paraId="527D46AC" w14:textId="77777777" w:rsidR="00000000" w:rsidRDefault="00405D16">
            <w:pPr>
              <w:spacing w:after="100"/>
              <w:rPr>
                <w:rFonts w:eastAsia="Times New Roman"/>
                <w:sz w:val="20"/>
                <w:szCs w:val="20"/>
              </w:rPr>
            </w:pPr>
          </w:p>
        </w:tc>
        <w:tc>
          <w:tcPr>
            <w:tcW w:w="434" w:type="pct"/>
            <w:vAlign w:val="center"/>
            <w:hideMark/>
          </w:tcPr>
          <w:p w14:paraId="2B0D1B10" w14:textId="77777777" w:rsidR="00000000" w:rsidRDefault="00405D16">
            <w:pPr>
              <w:spacing w:after="100"/>
              <w:rPr>
                <w:rFonts w:eastAsia="Times New Roman"/>
                <w:sz w:val="20"/>
                <w:szCs w:val="20"/>
              </w:rPr>
            </w:pPr>
          </w:p>
        </w:tc>
        <w:tc>
          <w:tcPr>
            <w:tcW w:w="5" w:type="pct"/>
            <w:vAlign w:val="center"/>
            <w:hideMark/>
          </w:tcPr>
          <w:p w14:paraId="30D401D7" w14:textId="77777777" w:rsidR="00000000" w:rsidRDefault="00405D16">
            <w:pPr>
              <w:spacing w:after="100"/>
              <w:rPr>
                <w:rFonts w:eastAsia="Times New Roman"/>
                <w:sz w:val="20"/>
                <w:szCs w:val="20"/>
              </w:rPr>
            </w:pPr>
          </w:p>
        </w:tc>
        <w:tc>
          <w:tcPr>
            <w:tcW w:w="5" w:type="pct"/>
            <w:vAlign w:val="center"/>
            <w:hideMark/>
          </w:tcPr>
          <w:p w14:paraId="50576474" w14:textId="77777777" w:rsidR="00000000" w:rsidRDefault="00405D16">
            <w:pPr>
              <w:spacing w:after="100"/>
              <w:rPr>
                <w:rFonts w:eastAsia="Times New Roman"/>
                <w:sz w:val="20"/>
                <w:szCs w:val="20"/>
              </w:rPr>
            </w:pPr>
          </w:p>
        </w:tc>
        <w:tc>
          <w:tcPr>
            <w:tcW w:w="26" w:type="pct"/>
            <w:vAlign w:val="center"/>
            <w:hideMark/>
          </w:tcPr>
          <w:p w14:paraId="43B59DB1" w14:textId="77777777" w:rsidR="00000000" w:rsidRDefault="00405D16">
            <w:pPr>
              <w:spacing w:after="100"/>
              <w:rPr>
                <w:rFonts w:eastAsia="Times New Roman"/>
                <w:sz w:val="20"/>
                <w:szCs w:val="20"/>
              </w:rPr>
            </w:pPr>
          </w:p>
        </w:tc>
        <w:tc>
          <w:tcPr>
            <w:tcW w:w="5" w:type="pct"/>
            <w:vAlign w:val="center"/>
            <w:hideMark/>
          </w:tcPr>
          <w:p w14:paraId="296F6A31" w14:textId="77777777" w:rsidR="00000000" w:rsidRDefault="00405D16">
            <w:pPr>
              <w:spacing w:after="100"/>
              <w:rPr>
                <w:rFonts w:eastAsia="Times New Roman"/>
                <w:sz w:val="20"/>
                <w:szCs w:val="20"/>
              </w:rPr>
            </w:pPr>
          </w:p>
        </w:tc>
        <w:tc>
          <w:tcPr>
            <w:tcW w:w="50" w:type="pct"/>
            <w:vAlign w:val="center"/>
            <w:hideMark/>
          </w:tcPr>
          <w:p w14:paraId="324999F1" w14:textId="77777777" w:rsidR="00000000" w:rsidRDefault="00405D16">
            <w:pPr>
              <w:spacing w:after="100"/>
              <w:rPr>
                <w:rFonts w:eastAsia="Times New Roman"/>
                <w:sz w:val="20"/>
                <w:szCs w:val="20"/>
              </w:rPr>
            </w:pPr>
          </w:p>
        </w:tc>
        <w:tc>
          <w:tcPr>
            <w:tcW w:w="434" w:type="pct"/>
            <w:vAlign w:val="center"/>
            <w:hideMark/>
          </w:tcPr>
          <w:p w14:paraId="4CA3789C" w14:textId="77777777" w:rsidR="00000000" w:rsidRDefault="00405D16">
            <w:pPr>
              <w:spacing w:after="100"/>
              <w:rPr>
                <w:rFonts w:eastAsia="Times New Roman"/>
                <w:sz w:val="20"/>
                <w:szCs w:val="20"/>
              </w:rPr>
            </w:pPr>
          </w:p>
        </w:tc>
        <w:tc>
          <w:tcPr>
            <w:tcW w:w="5" w:type="pct"/>
            <w:vAlign w:val="center"/>
            <w:hideMark/>
          </w:tcPr>
          <w:p w14:paraId="3656CC25" w14:textId="77777777" w:rsidR="00000000" w:rsidRDefault="00405D16">
            <w:pPr>
              <w:spacing w:after="100"/>
              <w:rPr>
                <w:rFonts w:eastAsia="Times New Roman"/>
                <w:sz w:val="20"/>
                <w:szCs w:val="20"/>
              </w:rPr>
            </w:pPr>
          </w:p>
        </w:tc>
        <w:tc>
          <w:tcPr>
            <w:tcW w:w="5" w:type="pct"/>
            <w:vAlign w:val="center"/>
            <w:hideMark/>
          </w:tcPr>
          <w:p w14:paraId="3AE26841" w14:textId="77777777" w:rsidR="00000000" w:rsidRDefault="00405D16">
            <w:pPr>
              <w:spacing w:after="100"/>
              <w:rPr>
                <w:rFonts w:eastAsia="Times New Roman"/>
                <w:sz w:val="20"/>
                <w:szCs w:val="20"/>
              </w:rPr>
            </w:pPr>
          </w:p>
        </w:tc>
        <w:tc>
          <w:tcPr>
            <w:tcW w:w="26" w:type="pct"/>
            <w:vAlign w:val="center"/>
            <w:hideMark/>
          </w:tcPr>
          <w:p w14:paraId="1AC66407" w14:textId="77777777" w:rsidR="00000000" w:rsidRDefault="00405D16">
            <w:pPr>
              <w:spacing w:after="100"/>
              <w:rPr>
                <w:rFonts w:eastAsia="Times New Roman"/>
                <w:sz w:val="20"/>
                <w:szCs w:val="20"/>
              </w:rPr>
            </w:pPr>
          </w:p>
        </w:tc>
        <w:tc>
          <w:tcPr>
            <w:tcW w:w="5" w:type="pct"/>
            <w:vAlign w:val="center"/>
            <w:hideMark/>
          </w:tcPr>
          <w:p w14:paraId="47F80EEC" w14:textId="77777777" w:rsidR="00000000" w:rsidRDefault="00405D16">
            <w:pPr>
              <w:spacing w:after="100"/>
              <w:rPr>
                <w:rFonts w:eastAsia="Times New Roman"/>
                <w:sz w:val="20"/>
                <w:szCs w:val="20"/>
              </w:rPr>
            </w:pPr>
          </w:p>
        </w:tc>
        <w:tc>
          <w:tcPr>
            <w:tcW w:w="50" w:type="pct"/>
            <w:vAlign w:val="center"/>
            <w:hideMark/>
          </w:tcPr>
          <w:p w14:paraId="12615E49" w14:textId="77777777" w:rsidR="00000000" w:rsidRDefault="00405D16">
            <w:pPr>
              <w:spacing w:after="100"/>
              <w:rPr>
                <w:rFonts w:eastAsia="Times New Roman"/>
                <w:sz w:val="20"/>
                <w:szCs w:val="20"/>
              </w:rPr>
            </w:pPr>
          </w:p>
        </w:tc>
        <w:tc>
          <w:tcPr>
            <w:tcW w:w="434" w:type="pct"/>
            <w:vAlign w:val="center"/>
            <w:hideMark/>
          </w:tcPr>
          <w:p w14:paraId="3C6AD53C" w14:textId="77777777" w:rsidR="00000000" w:rsidRDefault="00405D16">
            <w:pPr>
              <w:spacing w:after="100"/>
              <w:rPr>
                <w:rFonts w:eastAsia="Times New Roman"/>
                <w:sz w:val="20"/>
                <w:szCs w:val="20"/>
              </w:rPr>
            </w:pPr>
          </w:p>
        </w:tc>
        <w:tc>
          <w:tcPr>
            <w:tcW w:w="5" w:type="pct"/>
            <w:vAlign w:val="center"/>
            <w:hideMark/>
          </w:tcPr>
          <w:p w14:paraId="698339E8" w14:textId="77777777" w:rsidR="00000000" w:rsidRDefault="00405D16">
            <w:pPr>
              <w:spacing w:after="100"/>
              <w:rPr>
                <w:rFonts w:eastAsia="Times New Roman"/>
                <w:sz w:val="20"/>
                <w:szCs w:val="20"/>
              </w:rPr>
            </w:pPr>
          </w:p>
        </w:tc>
        <w:tc>
          <w:tcPr>
            <w:tcW w:w="5" w:type="pct"/>
            <w:vAlign w:val="center"/>
            <w:hideMark/>
          </w:tcPr>
          <w:p w14:paraId="6A5174B0" w14:textId="77777777" w:rsidR="00000000" w:rsidRDefault="00405D16">
            <w:pPr>
              <w:spacing w:after="100"/>
              <w:rPr>
                <w:rFonts w:eastAsia="Times New Roman"/>
                <w:sz w:val="20"/>
                <w:szCs w:val="20"/>
              </w:rPr>
            </w:pPr>
          </w:p>
        </w:tc>
        <w:tc>
          <w:tcPr>
            <w:tcW w:w="26" w:type="pct"/>
            <w:vAlign w:val="center"/>
            <w:hideMark/>
          </w:tcPr>
          <w:p w14:paraId="51F663FF" w14:textId="77777777" w:rsidR="00000000" w:rsidRDefault="00405D16">
            <w:pPr>
              <w:spacing w:after="100"/>
              <w:rPr>
                <w:rFonts w:eastAsia="Times New Roman"/>
                <w:sz w:val="20"/>
                <w:szCs w:val="20"/>
              </w:rPr>
            </w:pPr>
          </w:p>
        </w:tc>
        <w:tc>
          <w:tcPr>
            <w:tcW w:w="5" w:type="pct"/>
            <w:vAlign w:val="center"/>
            <w:hideMark/>
          </w:tcPr>
          <w:p w14:paraId="7467023A" w14:textId="77777777" w:rsidR="00000000" w:rsidRDefault="00405D16">
            <w:pPr>
              <w:spacing w:after="100"/>
              <w:rPr>
                <w:rFonts w:eastAsia="Times New Roman"/>
                <w:sz w:val="20"/>
                <w:szCs w:val="20"/>
              </w:rPr>
            </w:pPr>
          </w:p>
        </w:tc>
        <w:tc>
          <w:tcPr>
            <w:tcW w:w="50" w:type="pct"/>
            <w:vAlign w:val="center"/>
            <w:hideMark/>
          </w:tcPr>
          <w:p w14:paraId="2ECD6E0C" w14:textId="77777777" w:rsidR="00000000" w:rsidRDefault="00405D16">
            <w:pPr>
              <w:spacing w:after="100"/>
              <w:rPr>
                <w:rFonts w:eastAsia="Times New Roman"/>
                <w:sz w:val="20"/>
                <w:szCs w:val="20"/>
              </w:rPr>
            </w:pPr>
          </w:p>
        </w:tc>
        <w:tc>
          <w:tcPr>
            <w:tcW w:w="434" w:type="pct"/>
            <w:vAlign w:val="center"/>
            <w:hideMark/>
          </w:tcPr>
          <w:p w14:paraId="1A038952" w14:textId="77777777" w:rsidR="00000000" w:rsidRDefault="00405D16">
            <w:pPr>
              <w:spacing w:after="100"/>
              <w:rPr>
                <w:rFonts w:eastAsia="Times New Roman"/>
                <w:sz w:val="20"/>
                <w:szCs w:val="20"/>
              </w:rPr>
            </w:pPr>
          </w:p>
        </w:tc>
        <w:tc>
          <w:tcPr>
            <w:tcW w:w="5" w:type="pct"/>
            <w:vAlign w:val="center"/>
            <w:hideMark/>
          </w:tcPr>
          <w:p w14:paraId="14B7C2CB" w14:textId="77777777" w:rsidR="00000000" w:rsidRDefault="00405D16">
            <w:pPr>
              <w:spacing w:after="100"/>
              <w:rPr>
                <w:rFonts w:eastAsia="Times New Roman"/>
                <w:sz w:val="20"/>
                <w:szCs w:val="20"/>
              </w:rPr>
            </w:pPr>
          </w:p>
        </w:tc>
        <w:tc>
          <w:tcPr>
            <w:tcW w:w="5" w:type="pct"/>
            <w:vAlign w:val="center"/>
            <w:hideMark/>
          </w:tcPr>
          <w:p w14:paraId="68B89B78" w14:textId="77777777" w:rsidR="00000000" w:rsidRDefault="00405D16">
            <w:pPr>
              <w:spacing w:after="100"/>
              <w:rPr>
                <w:rFonts w:eastAsia="Times New Roman"/>
                <w:sz w:val="20"/>
                <w:szCs w:val="20"/>
              </w:rPr>
            </w:pPr>
          </w:p>
        </w:tc>
        <w:tc>
          <w:tcPr>
            <w:tcW w:w="26" w:type="pct"/>
            <w:vAlign w:val="center"/>
            <w:hideMark/>
          </w:tcPr>
          <w:p w14:paraId="0D312D81" w14:textId="77777777" w:rsidR="00000000" w:rsidRDefault="00405D16">
            <w:pPr>
              <w:spacing w:after="100"/>
              <w:rPr>
                <w:rFonts w:eastAsia="Times New Roman"/>
                <w:sz w:val="20"/>
                <w:szCs w:val="20"/>
              </w:rPr>
            </w:pPr>
          </w:p>
        </w:tc>
        <w:tc>
          <w:tcPr>
            <w:tcW w:w="5" w:type="pct"/>
            <w:vAlign w:val="center"/>
            <w:hideMark/>
          </w:tcPr>
          <w:p w14:paraId="32AB5859" w14:textId="77777777" w:rsidR="00000000" w:rsidRDefault="00405D16">
            <w:pPr>
              <w:spacing w:after="100"/>
              <w:rPr>
                <w:rFonts w:eastAsia="Times New Roman"/>
                <w:sz w:val="20"/>
                <w:szCs w:val="20"/>
              </w:rPr>
            </w:pPr>
          </w:p>
        </w:tc>
        <w:tc>
          <w:tcPr>
            <w:tcW w:w="50" w:type="pct"/>
            <w:vAlign w:val="center"/>
            <w:hideMark/>
          </w:tcPr>
          <w:p w14:paraId="726927CB" w14:textId="77777777" w:rsidR="00000000" w:rsidRDefault="00405D16">
            <w:pPr>
              <w:spacing w:after="100"/>
              <w:rPr>
                <w:rFonts w:eastAsia="Times New Roman"/>
                <w:sz w:val="20"/>
                <w:szCs w:val="20"/>
              </w:rPr>
            </w:pPr>
          </w:p>
        </w:tc>
        <w:tc>
          <w:tcPr>
            <w:tcW w:w="464" w:type="pct"/>
            <w:vAlign w:val="center"/>
            <w:hideMark/>
          </w:tcPr>
          <w:p w14:paraId="4728924E" w14:textId="77777777" w:rsidR="00000000" w:rsidRDefault="00405D16">
            <w:pPr>
              <w:spacing w:after="100"/>
              <w:rPr>
                <w:rFonts w:eastAsia="Times New Roman"/>
                <w:sz w:val="20"/>
                <w:szCs w:val="20"/>
              </w:rPr>
            </w:pPr>
          </w:p>
        </w:tc>
        <w:tc>
          <w:tcPr>
            <w:tcW w:w="5" w:type="pct"/>
            <w:vAlign w:val="center"/>
            <w:hideMark/>
          </w:tcPr>
          <w:p w14:paraId="7A81820A" w14:textId="77777777" w:rsidR="00000000" w:rsidRDefault="00405D16">
            <w:pPr>
              <w:spacing w:after="100"/>
              <w:rPr>
                <w:rFonts w:eastAsia="Times New Roman"/>
                <w:sz w:val="20"/>
                <w:szCs w:val="20"/>
              </w:rPr>
            </w:pPr>
          </w:p>
        </w:tc>
      </w:tr>
      <w:tr w:rsidR="00000000" w14:paraId="156B776A" w14:textId="77777777">
        <w:trPr>
          <w:divId w:val="1149640284"/>
          <w:trHeight w:val="60"/>
        </w:trPr>
        <w:tc>
          <w:tcPr>
            <w:tcW w:w="0" w:type="auto"/>
            <w:gridSpan w:val="33"/>
            <w:tcMar>
              <w:top w:w="0" w:type="dxa"/>
              <w:left w:w="20" w:type="dxa"/>
              <w:bottom w:w="0" w:type="dxa"/>
              <w:right w:w="20" w:type="dxa"/>
            </w:tcMar>
            <w:vAlign w:val="center"/>
            <w:hideMark/>
          </w:tcPr>
          <w:p w14:paraId="5FFA03AA" w14:textId="77777777" w:rsidR="00000000" w:rsidRDefault="00405D16">
            <w:pPr>
              <w:spacing w:after="100"/>
              <w:rPr>
                <w:rFonts w:eastAsia="Times New Roman"/>
                <w:sz w:val="20"/>
                <w:szCs w:val="20"/>
              </w:rPr>
            </w:pPr>
          </w:p>
        </w:tc>
      </w:tr>
      <w:tr w:rsidR="00000000" w14:paraId="623F1256" w14:textId="77777777">
        <w:trPr>
          <w:divId w:val="1149640284"/>
        </w:trPr>
        <w:tc>
          <w:tcPr>
            <w:tcW w:w="0" w:type="auto"/>
            <w:gridSpan w:val="3"/>
            <w:vAlign w:val="center"/>
            <w:hideMark/>
          </w:tcPr>
          <w:p w14:paraId="56D0CB23" w14:textId="77777777" w:rsidR="00000000" w:rsidRDefault="00405D16">
            <w:pPr>
              <w:spacing w:after="100"/>
              <w:rPr>
                <w:rFonts w:eastAsia="Times New Roman"/>
                <w:sz w:val="20"/>
                <w:szCs w:val="20"/>
              </w:rPr>
            </w:pPr>
          </w:p>
        </w:tc>
        <w:tc>
          <w:tcPr>
            <w:tcW w:w="0" w:type="auto"/>
            <w:gridSpan w:val="3"/>
            <w:vAlign w:val="center"/>
            <w:hideMark/>
          </w:tcPr>
          <w:p w14:paraId="230DEF4F" w14:textId="77777777" w:rsidR="00000000" w:rsidRDefault="00405D16">
            <w:pPr>
              <w:spacing w:after="100"/>
              <w:rPr>
                <w:rFonts w:eastAsia="Times New Roman"/>
                <w:sz w:val="20"/>
                <w:szCs w:val="20"/>
              </w:rPr>
            </w:pPr>
          </w:p>
        </w:tc>
        <w:tc>
          <w:tcPr>
            <w:tcW w:w="0" w:type="auto"/>
            <w:gridSpan w:val="3"/>
            <w:vAlign w:val="center"/>
            <w:hideMark/>
          </w:tcPr>
          <w:p w14:paraId="68A26B42" w14:textId="77777777" w:rsidR="00000000" w:rsidRDefault="00405D16">
            <w:pPr>
              <w:spacing w:after="100"/>
              <w:rPr>
                <w:rFonts w:eastAsia="Times New Roman"/>
                <w:sz w:val="20"/>
                <w:szCs w:val="20"/>
              </w:rPr>
            </w:pPr>
          </w:p>
        </w:tc>
        <w:tc>
          <w:tcPr>
            <w:tcW w:w="0" w:type="auto"/>
            <w:vAlign w:val="center"/>
            <w:hideMark/>
          </w:tcPr>
          <w:p w14:paraId="39F9C0B5" w14:textId="77777777" w:rsidR="00000000" w:rsidRDefault="00405D16">
            <w:pPr>
              <w:spacing w:after="100"/>
              <w:rPr>
                <w:rFonts w:eastAsia="Times New Roman"/>
                <w:sz w:val="20"/>
                <w:szCs w:val="20"/>
              </w:rPr>
            </w:pPr>
          </w:p>
        </w:tc>
        <w:tc>
          <w:tcPr>
            <w:tcW w:w="0" w:type="auto"/>
            <w:vAlign w:val="center"/>
            <w:hideMark/>
          </w:tcPr>
          <w:p w14:paraId="3D62B1A7" w14:textId="77777777" w:rsidR="00000000" w:rsidRDefault="00405D16">
            <w:pPr>
              <w:spacing w:after="100"/>
              <w:rPr>
                <w:rFonts w:eastAsia="Times New Roman"/>
                <w:sz w:val="20"/>
                <w:szCs w:val="20"/>
              </w:rPr>
            </w:pPr>
          </w:p>
        </w:tc>
        <w:tc>
          <w:tcPr>
            <w:tcW w:w="0" w:type="auto"/>
            <w:vAlign w:val="center"/>
            <w:hideMark/>
          </w:tcPr>
          <w:p w14:paraId="0E461B9A" w14:textId="77777777" w:rsidR="00000000" w:rsidRDefault="00405D16">
            <w:pPr>
              <w:spacing w:after="100"/>
              <w:rPr>
                <w:rFonts w:eastAsia="Times New Roman"/>
                <w:sz w:val="20"/>
                <w:szCs w:val="20"/>
              </w:rPr>
            </w:pPr>
          </w:p>
        </w:tc>
        <w:tc>
          <w:tcPr>
            <w:tcW w:w="0" w:type="auto"/>
            <w:vAlign w:val="center"/>
            <w:hideMark/>
          </w:tcPr>
          <w:p w14:paraId="329DA4CF" w14:textId="77777777" w:rsidR="00000000" w:rsidRDefault="00405D16">
            <w:pPr>
              <w:spacing w:after="100"/>
              <w:rPr>
                <w:rFonts w:eastAsia="Times New Roman"/>
                <w:sz w:val="20"/>
                <w:szCs w:val="20"/>
              </w:rPr>
            </w:pPr>
          </w:p>
        </w:tc>
        <w:tc>
          <w:tcPr>
            <w:tcW w:w="0" w:type="auto"/>
            <w:vAlign w:val="center"/>
            <w:hideMark/>
          </w:tcPr>
          <w:p w14:paraId="64C86613" w14:textId="77777777" w:rsidR="00000000" w:rsidRDefault="00405D16">
            <w:pPr>
              <w:spacing w:after="100"/>
              <w:rPr>
                <w:rFonts w:eastAsia="Times New Roman"/>
                <w:sz w:val="20"/>
                <w:szCs w:val="20"/>
              </w:rPr>
            </w:pPr>
          </w:p>
        </w:tc>
        <w:tc>
          <w:tcPr>
            <w:tcW w:w="0" w:type="auto"/>
            <w:vAlign w:val="center"/>
            <w:hideMark/>
          </w:tcPr>
          <w:p w14:paraId="7700CEAD" w14:textId="77777777" w:rsidR="00000000" w:rsidRDefault="00405D16">
            <w:pPr>
              <w:spacing w:after="100"/>
              <w:rPr>
                <w:rFonts w:eastAsia="Times New Roman"/>
                <w:sz w:val="20"/>
                <w:szCs w:val="20"/>
              </w:rPr>
            </w:pPr>
          </w:p>
        </w:tc>
        <w:tc>
          <w:tcPr>
            <w:tcW w:w="0" w:type="auto"/>
            <w:vAlign w:val="center"/>
            <w:hideMark/>
          </w:tcPr>
          <w:p w14:paraId="7505B2A3" w14:textId="77777777" w:rsidR="00000000" w:rsidRDefault="00405D16">
            <w:pPr>
              <w:spacing w:after="100"/>
              <w:rPr>
                <w:rFonts w:eastAsia="Times New Roman"/>
                <w:sz w:val="20"/>
                <w:szCs w:val="20"/>
              </w:rPr>
            </w:pPr>
          </w:p>
        </w:tc>
        <w:tc>
          <w:tcPr>
            <w:tcW w:w="0" w:type="auto"/>
            <w:vAlign w:val="center"/>
            <w:hideMark/>
          </w:tcPr>
          <w:p w14:paraId="76A317B7" w14:textId="77777777" w:rsidR="00000000" w:rsidRDefault="00405D16">
            <w:pPr>
              <w:spacing w:after="100"/>
              <w:rPr>
                <w:rFonts w:eastAsia="Times New Roman"/>
                <w:sz w:val="20"/>
                <w:szCs w:val="20"/>
              </w:rPr>
            </w:pPr>
          </w:p>
        </w:tc>
        <w:tc>
          <w:tcPr>
            <w:tcW w:w="0" w:type="auto"/>
            <w:vAlign w:val="center"/>
            <w:hideMark/>
          </w:tcPr>
          <w:p w14:paraId="69D1B519" w14:textId="77777777" w:rsidR="00000000" w:rsidRDefault="00405D16">
            <w:pPr>
              <w:spacing w:after="100"/>
              <w:rPr>
                <w:rFonts w:eastAsia="Times New Roman"/>
                <w:sz w:val="20"/>
                <w:szCs w:val="20"/>
              </w:rPr>
            </w:pPr>
          </w:p>
        </w:tc>
        <w:tc>
          <w:tcPr>
            <w:tcW w:w="0" w:type="auto"/>
            <w:vAlign w:val="center"/>
            <w:hideMark/>
          </w:tcPr>
          <w:p w14:paraId="2D1D7665" w14:textId="77777777" w:rsidR="00000000" w:rsidRDefault="00405D16">
            <w:pPr>
              <w:spacing w:after="100"/>
              <w:rPr>
                <w:rFonts w:eastAsia="Times New Roman"/>
                <w:sz w:val="20"/>
                <w:szCs w:val="20"/>
              </w:rPr>
            </w:pPr>
          </w:p>
        </w:tc>
        <w:tc>
          <w:tcPr>
            <w:tcW w:w="0" w:type="auto"/>
            <w:vAlign w:val="center"/>
            <w:hideMark/>
          </w:tcPr>
          <w:p w14:paraId="5E53D343" w14:textId="77777777" w:rsidR="00000000" w:rsidRDefault="00405D16">
            <w:pPr>
              <w:spacing w:after="100"/>
              <w:rPr>
                <w:rFonts w:eastAsia="Times New Roman"/>
                <w:sz w:val="20"/>
                <w:szCs w:val="20"/>
              </w:rPr>
            </w:pPr>
          </w:p>
        </w:tc>
        <w:tc>
          <w:tcPr>
            <w:tcW w:w="0" w:type="auto"/>
            <w:vAlign w:val="center"/>
            <w:hideMark/>
          </w:tcPr>
          <w:p w14:paraId="50DC919F" w14:textId="77777777" w:rsidR="00000000" w:rsidRDefault="00405D16">
            <w:pPr>
              <w:spacing w:after="100"/>
              <w:rPr>
                <w:rFonts w:eastAsia="Times New Roman"/>
                <w:sz w:val="20"/>
                <w:szCs w:val="20"/>
              </w:rPr>
            </w:pPr>
          </w:p>
        </w:tc>
        <w:tc>
          <w:tcPr>
            <w:tcW w:w="0" w:type="auto"/>
            <w:vAlign w:val="center"/>
            <w:hideMark/>
          </w:tcPr>
          <w:p w14:paraId="38CB6A43" w14:textId="77777777" w:rsidR="00000000" w:rsidRDefault="00405D16">
            <w:pPr>
              <w:spacing w:after="100"/>
              <w:rPr>
                <w:rFonts w:eastAsia="Times New Roman"/>
                <w:sz w:val="20"/>
                <w:szCs w:val="20"/>
              </w:rPr>
            </w:pPr>
          </w:p>
        </w:tc>
        <w:tc>
          <w:tcPr>
            <w:tcW w:w="0" w:type="auto"/>
            <w:vAlign w:val="center"/>
            <w:hideMark/>
          </w:tcPr>
          <w:p w14:paraId="6EB85C96" w14:textId="77777777" w:rsidR="00000000" w:rsidRDefault="00405D16">
            <w:pPr>
              <w:spacing w:after="100"/>
              <w:rPr>
                <w:rFonts w:eastAsia="Times New Roman"/>
                <w:sz w:val="20"/>
                <w:szCs w:val="20"/>
              </w:rPr>
            </w:pPr>
          </w:p>
        </w:tc>
        <w:tc>
          <w:tcPr>
            <w:tcW w:w="0" w:type="auto"/>
            <w:vAlign w:val="center"/>
            <w:hideMark/>
          </w:tcPr>
          <w:p w14:paraId="31C4D4F0" w14:textId="77777777" w:rsidR="00000000" w:rsidRDefault="00405D16">
            <w:pPr>
              <w:spacing w:after="100"/>
              <w:rPr>
                <w:rFonts w:eastAsia="Times New Roman"/>
                <w:sz w:val="20"/>
                <w:szCs w:val="20"/>
              </w:rPr>
            </w:pPr>
          </w:p>
        </w:tc>
        <w:tc>
          <w:tcPr>
            <w:tcW w:w="0" w:type="auto"/>
            <w:vAlign w:val="center"/>
            <w:hideMark/>
          </w:tcPr>
          <w:p w14:paraId="6729CB22" w14:textId="77777777" w:rsidR="00000000" w:rsidRDefault="00405D16">
            <w:pPr>
              <w:spacing w:after="100"/>
              <w:rPr>
                <w:rFonts w:eastAsia="Times New Roman"/>
                <w:sz w:val="20"/>
                <w:szCs w:val="20"/>
              </w:rPr>
            </w:pPr>
          </w:p>
        </w:tc>
        <w:tc>
          <w:tcPr>
            <w:tcW w:w="0" w:type="auto"/>
            <w:vAlign w:val="center"/>
            <w:hideMark/>
          </w:tcPr>
          <w:p w14:paraId="4962D049" w14:textId="77777777" w:rsidR="00000000" w:rsidRDefault="00405D16">
            <w:pPr>
              <w:spacing w:after="100"/>
              <w:rPr>
                <w:rFonts w:eastAsia="Times New Roman"/>
                <w:sz w:val="20"/>
                <w:szCs w:val="20"/>
              </w:rPr>
            </w:pPr>
          </w:p>
        </w:tc>
        <w:tc>
          <w:tcPr>
            <w:tcW w:w="0" w:type="auto"/>
            <w:vAlign w:val="center"/>
            <w:hideMark/>
          </w:tcPr>
          <w:p w14:paraId="6EDD60CD" w14:textId="77777777" w:rsidR="00000000" w:rsidRDefault="00405D16">
            <w:pPr>
              <w:spacing w:after="100"/>
              <w:rPr>
                <w:rFonts w:eastAsia="Times New Roman"/>
                <w:sz w:val="20"/>
                <w:szCs w:val="20"/>
              </w:rPr>
            </w:pPr>
          </w:p>
        </w:tc>
        <w:tc>
          <w:tcPr>
            <w:tcW w:w="0" w:type="auto"/>
            <w:vAlign w:val="center"/>
            <w:hideMark/>
          </w:tcPr>
          <w:p w14:paraId="3DD781F9" w14:textId="77777777" w:rsidR="00000000" w:rsidRDefault="00405D16">
            <w:pPr>
              <w:spacing w:after="100"/>
              <w:rPr>
                <w:rFonts w:eastAsia="Times New Roman"/>
                <w:sz w:val="20"/>
                <w:szCs w:val="20"/>
              </w:rPr>
            </w:pPr>
          </w:p>
        </w:tc>
        <w:tc>
          <w:tcPr>
            <w:tcW w:w="0" w:type="auto"/>
            <w:vAlign w:val="center"/>
            <w:hideMark/>
          </w:tcPr>
          <w:p w14:paraId="0FA1FDB5" w14:textId="77777777" w:rsidR="00000000" w:rsidRDefault="00405D16">
            <w:pPr>
              <w:spacing w:after="100"/>
              <w:rPr>
                <w:rFonts w:eastAsia="Times New Roman"/>
                <w:sz w:val="20"/>
                <w:szCs w:val="20"/>
              </w:rPr>
            </w:pPr>
          </w:p>
        </w:tc>
        <w:tc>
          <w:tcPr>
            <w:tcW w:w="0" w:type="auto"/>
            <w:vAlign w:val="center"/>
            <w:hideMark/>
          </w:tcPr>
          <w:p w14:paraId="548ED0D6" w14:textId="77777777" w:rsidR="00000000" w:rsidRDefault="00405D16">
            <w:pPr>
              <w:spacing w:after="100"/>
              <w:rPr>
                <w:rFonts w:eastAsia="Times New Roman"/>
                <w:sz w:val="20"/>
                <w:szCs w:val="20"/>
              </w:rPr>
            </w:pPr>
          </w:p>
        </w:tc>
        <w:tc>
          <w:tcPr>
            <w:tcW w:w="0" w:type="auto"/>
            <w:vAlign w:val="center"/>
            <w:hideMark/>
          </w:tcPr>
          <w:p w14:paraId="05EE718B" w14:textId="77777777" w:rsidR="00000000" w:rsidRDefault="00405D16">
            <w:pPr>
              <w:spacing w:after="100"/>
              <w:rPr>
                <w:rFonts w:eastAsia="Times New Roman"/>
                <w:sz w:val="20"/>
                <w:szCs w:val="20"/>
              </w:rPr>
            </w:pPr>
          </w:p>
        </w:tc>
        <w:tc>
          <w:tcPr>
            <w:tcW w:w="0" w:type="auto"/>
            <w:vAlign w:val="center"/>
            <w:hideMark/>
          </w:tcPr>
          <w:p w14:paraId="2786A622" w14:textId="77777777" w:rsidR="00000000" w:rsidRDefault="00405D16">
            <w:pPr>
              <w:spacing w:after="100"/>
              <w:rPr>
                <w:rFonts w:eastAsia="Times New Roman"/>
                <w:sz w:val="20"/>
                <w:szCs w:val="20"/>
              </w:rPr>
            </w:pPr>
          </w:p>
        </w:tc>
        <w:tc>
          <w:tcPr>
            <w:tcW w:w="0" w:type="auto"/>
            <w:vAlign w:val="center"/>
            <w:hideMark/>
          </w:tcPr>
          <w:p w14:paraId="73A02883" w14:textId="77777777" w:rsidR="00000000" w:rsidRDefault="00405D16">
            <w:pPr>
              <w:spacing w:after="100"/>
              <w:rPr>
                <w:rFonts w:eastAsia="Times New Roman"/>
                <w:sz w:val="20"/>
                <w:szCs w:val="20"/>
              </w:rPr>
            </w:pPr>
          </w:p>
        </w:tc>
      </w:tr>
      <w:tr w:rsidR="00000000" w14:paraId="1DC41CCD" w14:textId="77777777">
        <w:trPr>
          <w:divId w:val="1149640284"/>
        </w:trPr>
        <w:tc>
          <w:tcPr>
            <w:tcW w:w="0" w:type="auto"/>
            <w:gridSpan w:val="3"/>
            <w:vAlign w:val="center"/>
            <w:hideMark/>
          </w:tcPr>
          <w:p w14:paraId="28AF6B0C" w14:textId="77777777" w:rsidR="00000000" w:rsidRDefault="00405D16">
            <w:pPr>
              <w:spacing w:after="100"/>
              <w:rPr>
                <w:rFonts w:eastAsia="Times New Roman"/>
                <w:sz w:val="20"/>
                <w:szCs w:val="20"/>
              </w:rPr>
            </w:pPr>
          </w:p>
        </w:tc>
        <w:tc>
          <w:tcPr>
            <w:tcW w:w="0" w:type="auto"/>
            <w:gridSpan w:val="3"/>
            <w:vAlign w:val="center"/>
            <w:hideMark/>
          </w:tcPr>
          <w:p w14:paraId="6CAA8439" w14:textId="77777777" w:rsidR="00000000" w:rsidRDefault="00405D16">
            <w:pPr>
              <w:spacing w:after="100"/>
              <w:rPr>
                <w:rFonts w:eastAsia="Times New Roman"/>
                <w:sz w:val="20"/>
                <w:szCs w:val="20"/>
              </w:rPr>
            </w:pPr>
          </w:p>
        </w:tc>
        <w:tc>
          <w:tcPr>
            <w:tcW w:w="0" w:type="auto"/>
            <w:gridSpan w:val="3"/>
            <w:vAlign w:val="center"/>
            <w:hideMark/>
          </w:tcPr>
          <w:p w14:paraId="649F68E1" w14:textId="77777777" w:rsidR="00000000" w:rsidRDefault="00405D16">
            <w:pPr>
              <w:spacing w:after="100"/>
              <w:rPr>
                <w:rFonts w:eastAsia="Times New Roman"/>
                <w:sz w:val="20"/>
                <w:szCs w:val="20"/>
              </w:rPr>
            </w:pPr>
          </w:p>
        </w:tc>
        <w:tc>
          <w:tcPr>
            <w:tcW w:w="0" w:type="auto"/>
            <w:gridSpan w:val="3"/>
            <w:vAlign w:val="center"/>
            <w:hideMark/>
          </w:tcPr>
          <w:p w14:paraId="5287686A" w14:textId="77777777" w:rsidR="00000000" w:rsidRDefault="00405D16">
            <w:pPr>
              <w:spacing w:after="100"/>
              <w:rPr>
                <w:rFonts w:eastAsia="Times New Roman"/>
                <w:sz w:val="20"/>
                <w:szCs w:val="20"/>
              </w:rPr>
            </w:pPr>
          </w:p>
        </w:tc>
        <w:tc>
          <w:tcPr>
            <w:tcW w:w="0" w:type="auto"/>
            <w:gridSpan w:val="3"/>
            <w:vAlign w:val="center"/>
            <w:hideMark/>
          </w:tcPr>
          <w:p w14:paraId="2FBD7AD5" w14:textId="77777777" w:rsidR="00000000" w:rsidRDefault="00405D16">
            <w:pPr>
              <w:spacing w:after="100"/>
              <w:rPr>
                <w:rFonts w:eastAsia="Times New Roman"/>
                <w:sz w:val="20"/>
                <w:szCs w:val="20"/>
              </w:rPr>
            </w:pPr>
          </w:p>
        </w:tc>
        <w:tc>
          <w:tcPr>
            <w:tcW w:w="0" w:type="auto"/>
            <w:gridSpan w:val="3"/>
            <w:vAlign w:val="center"/>
            <w:hideMark/>
          </w:tcPr>
          <w:p w14:paraId="131E0C6E" w14:textId="77777777" w:rsidR="00000000" w:rsidRDefault="00405D16">
            <w:pPr>
              <w:spacing w:after="100"/>
              <w:rPr>
                <w:rFonts w:eastAsia="Times New Roman"/>
                <w:sz w:val="20"/>
                <w:szCs w:val="20"/>
              </w:rPr>
            </w:pPr>
          </w:p>
        </w:tc>
        <w:tc>
          <w:tcPr>
            <w:tcW w:w="0" w:type="auto"/>
            <w:gridSpan w:val="3"/>
            <w:vAlign w:val="center"/>
            <w:hideMark/>
          </w:tcPr>
          <w:p w14:paraId="02CFA3A4" w14:textId="77777777" w:rsidR="00000000" w:rsidRDefault="00405D16">
            <w:pPr>
              <w:spacing w:after="100"/>
              <w:rPr>
                <w:rFonts w:eastAsia="Times New Roman"/>
                <w:sz w:val="20"/>
                <w:szCs w:val="20"/>
              </w:rPr>
            </w:pPr>
          </w:p>
        </w:tc>
        <w:tc>
          <w:tcPr>
            <w:tcW w:w="0" w:type="auto"/>
            <w:gridSpan w:val="3"/>
            <w:vAlign w:val="center"/>
            <w:hideMark/>
          </w:tcPr>
          <w:p w14:paraId="72C58F96" w14:textId="77777777" w:rsidR="00000000" w:rsidRDefault="00405D16">
            <w:pPr>
              <w:spacing w:after="100"/>
              <w:rPr>
                <w:rFonts w:eastAsia="Times New Roman"/>
                <w:sz w:val="20"/>
                <w:szCs w:val="20"/>
              </w:rPr>
            </w:pPr>
          </w:p>
        </w:tc>
        <w:tc>
          <w:tcPr>
            <w:tcW w:w="0" w:type="auto"/>
            <w:gridSpan w:val="3"/>
            <w:vAlign w:val="center"/>
            <w:hideMark/>
          </w:tcPr>
          <w:p w14:paraId="20225280" w14:textId="77777777" w:rsidR="00000000" w:rsidRDefault="00405D16">
            <w:pPr>
              <w:spacing w:after="100"/>
              <w:rPr>
                <w:rFonts w:eastAsia="Times New Roman"/>
                <w:sz w:val="20"/>
                <w:szCs w:val="20"/>
              </w:rPr>
            </w:pPr>
          </w:p>
        </w:tc>
        <w:tc>
          <w:tcPr>
            <w:tcW w:w="0" w:type="auto"/>
            <w:gridSpan w:val="3"/>
            <w:vAlign w:val="center"/>
            <w:hideMark/>
          </w:tcPr>
          <w:p w14:paraId="5FC3BD5C" w14:textId="77777777" w:rsidR="00000000" w:rsidRDefault="00405D16">
            <w:pPr>
              <w:spacing w:after="100"/>
              <w:rPr>
                <w:rFonts w:eastAsia="Times New Roman"/>
                <w:sz w:val="20"/>
                <w:szCs w:val="20"/>
              </w:rPr>
            </w:pPr>
          </w:p>
        </w:tc>
        <w:tc>
          <w:tcPr>
            <w:tcW w:w="0" w:type="auto"/>
            <w:gridSpan w:val="3"/>
            <w:vAlign w:val="center"/>
            <w:hideMark/>
          </w:tcPr>
          <w:p w14:paraId="7344497C" w14:textId="77777777" w:rsidR="00000000" w:rsidRDefault="00405D16">
            <w:pPr>
              <w:spacing w:after="100"/>
              <w:rPr>
                <w:rFonts w:eastAsia="Times New Roman"/>
                <w:sz w:val="20"/>
                <w:szCs w:val="20"/>
              </w:rPr>
            </w:pPr>
          </w:p>
        </w:tc>
      </w:tr>
      <w:tr w:rsidR="00000000" w14:paraId="560C508F" w14:textId="77777777">
        <w:trPr>
          <w:divId w:val="1149640284"/>
        </w:trPr>
        <w:tc>
          <w:tcPr>
            <w:tcW w:w="0" w:type="auto"/>
            <w:gridSpan w:val="3"/>
            <w:vAlign w:val="center"/>
            <w:hideMark/>
          </w:tcPr>
          <w:p w14:paraId="0791969A" w14:textId="77777777" w:rsidR="00000000" w:rsidRDefault="00405D16">
            <w:pPr>
              <w:spacing w:after="100"/>
              <w:rPr>
                <w:rFonts w:eastAsia="Times New Roman"/>
                <w:sz w:val="20"/>
                <w:szCs w:val="20"/>
              </w:rPr>
            </w:pPr>
          </w:p>
        </w:tc>
        <w:tc>
          <w:tcPr>
            <w:tcW w:w="0" w:type="auto"/>
            <w:gridSpan w:val="3"/>
            <w:vAlign w:val="center"/>
            <w:hideMark/>
          </w:tcPr>
          <w:p w14:paraId="774B5946" w14:textId="77777777" w:rsidR="00000000" w:rsidRDefault="00405D16">
            <w:pPr>
              <w:spacing w:after="100"/>
              <w:rPr>
                <w:rFonts w:eastAsia="Times New Roman"/>
                <w:sz w:val="20"/>
                <w:szCs w:val="20"/>
              </w:rPr>
            </w:pPr>
          </w:p>
        </w:tc>
        <w:tc>
          <w:tcPr>
            <w:tcW w:w="0" w:type="auto"/>
            <w:gridSpan w:val="3"/>
            <w:vAlign w:val="center"/>
            <w:hideMark/>
          </w:tcPr>
          <w:p w14:paraId="20ACCFA3" w14:textId="77777777" w:rsidR="00000000" w:rsidRDefault="00405D16">
            <w:pPr>
              <w:spacing w:after="100"/>
              <w:rPr>
                <w:rFonts w:eastAsia="Times New Roman"/>
                <w:sz w:val="20"/>
                <w:szCs w:val="20"/>
              </w:rPr>
            </w:pPr>
          </w:p>
        </w:tc>
        <w:tc>
          <w:tcPr>
            <w:tcW w:w="0" w:type="auto"/>
            <w:gridSpan w:val="3"/>
            <w:vAlign w:val="center"/>
            <w:hideMark/>
          </w:tcPr>
          <w:p w14:paraId="20A667C6" w14:textId="77777777" w:rsidR="00000000" w:rsidRDefault="00405D16">
            <w:pPr>
              <w:spacing w:after="100"/>
              <w:rPr>
                <w:rFonts w:eastAsia="Times New Roman"/>
                <w:sz w:val="20"/>
                <w:szCs w:val="20"/>
              </w:rPr>
            </w:pPr>
          </w:p>
        </w:tc>
        <w:tc>
          <w:tcPr>
            <w:tcW w:w="0" w:type="auto"/>
            <w:gridSpan w:val="3"/>
            <w:vAlign w:val="center"/>
            <w:hideMark/>
          </w:tcPr>
          <w:p w14:paraId="2AE7DC51" w14:textId="77777777" w:rsidR="00000000" w:rsidRDefault="00405D16">
            <w:pPr>
              <w:spacing w:after="100"/>
              <w:rPr>
                <w:rFonts w:eastAsia="Times New Roman"/>
                <w:sz w:val="20"/>
                <w:szCs w:val="20"/>
              </w:rPr>
            </w:pPr>
          </w:p>
        </w:tc>
        <w:tc>
          <w:tcPr>
            <w:tcW w:w="0" w:type="auto"/>
            <w:gridSpan w:val="3"/>
            <w:vAlign w:val="center"/>
            <w:hideMark/>
          </w:tcPr>
          <w:p w14:paraId="1BFBCA8C" w14:textId="77777777" w:rsidR="00000000" w:rsidRDefault="00405D16">
            <w:pPr>
              <w:spacing w:after="100"/>
              <w:rPr>
                <w:rFonts w:eastAsia="Times New Roman"/>
                <w:sz w:val="20"/>
                <w:szCs w:val="20"/>
              </w:rPr>
            </w:pPr>
          </w:p>
        </w:tc>
        <w:tc>
          <w:tcPr>
            <w:tcW w:w="0" w:type="auto"/>
            <w:gridSpan w:val="3"/>
            <w:vAlign w:val="center"/>
            <w:hideMark/>
          </w:tcPr>
          <w:p w14:paraId="25961C67" w14:textId="77777777" w:rsidR="00000000" w:rsidRDefault="00405D16">
            <w:pPr>
              <w:spacing w:after="100"/>
              <w:rPr>
                <w:rFonts w:eastAsia="Times New Roman"/>
                <w:sz w:val="20"/>
                <w:szCs w:val="20"/>
              </w:rPr>
            </w:pPr>
          </w:p>
        </w:tc>
        <w:tc>
          <w:tcPr>
            <w:tcW w:w="0" w:type="auto"/>
            <w:gridSpan w:val="3"/>
            <w:vAlign w:val="center"/>
            <w:hideMark/>
          </w:tcPr>
          <w:p w14:paraId="0ACC5019" w14:textId="77777777" w:rsidR="00000000" w:rsidRDefault="00405D16">
            <w:pPr>
              <w:spacing w:after="100"/>
              <w:rPr>
                <w:rFonts w:eastAsia="Times New Roman"/>
                <w:sz w:val="20"/>
                <w:szCs w:val="20"/>
              </w:rPr>
            </w:pPr>
          </w:p>
        </w:tc>
        <w:tc>
          <w:tcPr>
            <w:tcW w:w="0" w:type="auto"/>
            <w:gridSpan w:val="3"/>
            <w:vAlign w:val="center"/>
            <w:hideMark/>
          </w:tcPr>
          <w:p w14:paraId="5B2976CB" w14:textId="77777777" w:rsidR="00000000" w:rsidRDefault="00405D16">
            <w:pPr>
              <w:spacing w:after="100"/>
              <w:rPr>
                <w:rFonts w:eastAsia="Times New Roman"/>
                <w:sz w:val="20"/>
                <w:szCs w:val="20"/>
              </w:rPr>
            </w:pPr>
          </w:p>
        </w:tc>
        <w:tc>
          <w:tcPr>
            <w:tcW w:w="0" w:type="auto"/>
            <w:gridSpan w:val="3"/>
            <w:vAlign w:val="center"/>
            <w:hideMark/>
          </w:tcPr>
          <w:p w14:paraId="60BF2DEC" w14:textId="77777777" w:rsidR="00000000" w:rsidRDefault="00405D16">
            <w:pPr>
              <w:spacing w:after="100"/>
              <w:rPr>
                <w:rFonts w:eastAsia="Times New Roman"/>
                <w:sz w:val="20"/>
                <w:szCs w:val="20"/>
              </w:rPr>
            </w:pPr>
          </w:p>
        </w:tc>
        <w:tc>
          <w:tcPr>
            <w:tcW w:w="0" w:type="auto"/>
            <w:gridSpan w:val="3"/>
            <w:vAlign w:val="center"/>
            <w:hideMark/>
          </w:tcPr>
          <w:p w14:paraId="2151B152" w14:textId="77777777" w:rsidR="00000000" w:rsidRDefault="00405D16">
            <w:pPr>
              <w:spacing w:after="100"/>
              <w:rPr>
                <w:rFonts w:eastAsia="Times New Roman"/>
                <w:sz w:val="20"/>
                <w:szCs w:val="20"/>
              </w:rPr>
            </w:pPr>
          </w:p>
        </w:tc>
      </w:tr>
      <w:tr w:rsidR="00000000" w14:paraId="533EC3A0" w14:textId="77777777">
        <w:trPr>
          <w:divId w:val="1149640284"/>
        </w:trPr>
        <w:tc>
          <w:tcPr>
            <w:tcW w:w="0" w:type="auto"/>
            <w:gridSpan w:val="3"/>
            <w:vAlign w:val="center"/>
            <w:hideMark/>
          </w:tcPr>
          <w:p w14:paraId="317B5983" w14:textId="77777777" w:rsidR="00000000" w:rsidRDefault="00405D16">
            <w:pPr>
              <w:spacing w:after="100"/>
              <w:rPr>
                <w:rFonts w:eastAsia="Times New Roman"/>
                <w:sz w:val="20"/>
                <w:szCs w:val="20"/>
              </w:rPr>
            </w:pPr>
          </w:p>
        </w:tc>
        <w:tc>
          <w:tcPr>
            <w:tcW w:w="0" w:type="auto"/>
            <w:gridSpan w:val="3"/>
            <w:vAlign w:val="center"/>
            <w:hideMark/>
          </w:tcPr>
          <w:p w14:paraId="6425CF14" w14:textId="77777777" w:rsidR="00000000" w:rsidRDefault="00405D16">
            <w:pPr>
              <w:spacing w:after="100"/>
              <w:rPr>
                <w:rFonts w:eastAsia="Times New Roman"/>
                <w:sz w:val="20"/>
                <w:szCs w:val="20"/>
              </w:rPr>
            </w:pPr>
          </w:p>
        </w:tc>
        <w:tc>
          <w:tcPr>
            <w:tcW w:w="0" w:type="auto"/>
            <w:gridSpan w:val="3"/>
            <w:vAlign w:val="center"/>
            <w:hideMark/>
          </w:tcPr>
          <w:p w14:paraId="19861FF7" w14:textId="77777777" w:rsidR="00000000" w:rsidRDefault="00405D16">
            <w:pPr>
              <w:spacing w:after="100"/>
              <w:rPr>
                <w:rFonts w:eastAsia="Times New Roman"/>
                <w:sz w:val="20"/>
                <w:szCs w:val="20"/>
              </w:rPr>
            </w:pPr>
          </w:p>
        </w:tc>
        <w:tc>
          <w:tcPr>
            <w:tcW w:w="0" w:type="auto"/>
            <w:gridSpan w:val="3"/>
            <w:vAlign w:val="center"/>
            <w:hideMark/>
          </w:tcPr>
          <w:p w14:paraId="4984F735" w14:textId="77777777" w:rsidR="00000000" w:rsidRDefault="00405D16">
            <w:pPr>
              <w:spacing w:after="100"/>
              <w:rPr>
                <w:rFonts w:eastAsia="Times New Roman"/>
                <w:sz w:val="20"/>
                <w:szCs w:val="20"/>
              </w:rPr>
            </w:pPr>
          </w:p>
        </w:tc>
        <w:tc>
          <w:tcPr>
            <w:tcW w:w="0" w:type="auto"/>
            <w:gridSpan w:val="3"/>
            <w:vAlign w:val="center"/>
            <w:hideMark/>
          </w:tcPr>
          <w:p w14:paraId="0D0C9A1A" w14:textId="77777777" w:rsidR="00000000" w:rsidRDefault="00405D16">
            <w:pPr>
              <w:spacing w:after="100"/>
              <w:rPr>
                <w:rFonts w:eastAsia="Times New Roman"/>
                <w:sz w:val="20"/>
                <w:szCs w:val="20"/>
              </w:rPr>
            </w:pPr>
          </w:p>
        </w:tc>
        <w:tc>
          <w:tcPr>
            <w:tcW w:w="0" w:type="auto"/>
            <w:gridSpan w:val="3"/>
            <w:vAlign w:val="center"/>
            <w:hideMark/>
          </w:tcPr>
          <w:p w14:paraId="378095DD" w14:textId="77777777" w:rsidR="00000000" w:rsidRDefault="00405D16">
            <w:pPr>
              <w:spacing w:after="100"/>
              <w:rPr>
                <w:rFonts w:eastAsia="Times New Roman"/>
                <w:sz w:val="20"/>
                <w:szCs w:val="20"/>
              </w:rPr>
            </w:pPr>
          </w:p>
        </w:tc>
        <w:tc>
          <w:tcPr>
            <w:tcW w:w="0" w:type="auto"/>
            <w:gridSpan w:val="3"/>
            <w:vAlign w:val="center"/>
            <w:hideMark/>
          </w:tcPr>
          <w:p w14:paraId="5B01FE86" w14:textId="77777777" w:rsidR="00000000" w:rsidRDefault="00405D16">
            <w:pPr>
              <w:spacing w:after="100"/>
              <w:rPr>
                <w:rFonts w:eastAsia="Times New Roman"/>
                <w:sz w:val="20"/>
                <w:szCs w:val="20"/>
              </w:rPr>
            </w:pPr>
          </w:p>
        </w:tc>
        <w:tc>
          <w:tcPr>
            <w:tcW w:w="0" w:type="auto"/>
            <w:gridSpan w:val="3"/>
            <w:vAlign w:val="center"/>
            <w:hideMark/>
          </w:tcPr>
          <w:p w14:paraId="768E4034" w14:textId="77777777" w:rsidR="00000000" w:rsidRDefault="00405D16">
            <w:pPr>
              <w:spacing w:after="100"/>
              <w:rPr>
                <w:rFonts w:eastAsia="Times New Roman"/>
                <w:sz w:val="20"/>
                <w:szCs w:val="20"/>
              </w:rPr>
            </w:pPr>
          </w:p>
        </w:tc>
        <w:tc>
          <w:tcPr>
            <w:tcW w:w="0" w:type="auto"/>
            <w:gridSpan w:val="3"/>
            <w:vAlign w:val="center"/>
            <w:hideMark/>
          </w:tcPr>
          <w:p w14:paraId="4A420FD0" w14:textId="77777777" w:rsidR="00000000" w:rsidRDefault="00405D16">
            <w:pPr>
              <w:spacing w:after="100"/>
              <w:rPr>
                <w:rFonts w:eastAsia="Times New Roman"/>
                <w:sz w:val="20"/>
                <w:szCs w:val="20"/>
              </w:rPr>
            </w:pPr>
          </w:p>
        </w:tc>
        <w:tc>
          <w:tcPr>
            <w:tcW w:w="0" w:type="auto"/>
            <w:gridSpan w:val="3"/>
            <w:vAlign w:val="center"/>
            <w:hideMark/>
          </w:tcPr>
          <w:p w14:paraId="63658164" w14:textId="77777777" w:rsidR="00000000" w:rsidRDefault="00405D16">
            <w:pPr>
              <w:spacing w:after="100"/>
              <w:rPr>
                <w:rFonts w:eastAsia="Times New Roman"/>
                <w:sz w:val="20"/>
                <w:szCs w:val="20"/>
              </w:rPr>
            </w:pPr>
          </w:p>
        </w:tc>
        <w:tc>
          <w:tcPr>
            <w:tcW w:w="0" w:type="auto"/>
            <w:gridSpan w:val="3"/>
            <w:vAlign w:val="center"/>
            <w:hideMark/>
          </w:tcPr>
          <w:p w14:paraId="4821C992" w14:textId="77777777" w:rsidR="00000000" w:rsidRDefault="00405D16">
            <w:pPr>
              <w:spacing w:after="100"/>
              <w:rPr>
                <w:rFonts w:eastAsia="Times New Roman"/>
                <w:sz w:val="20"/>
                <w:szCs w:val="20"/>
              </w:rPr>
            </w:pPr>
          </w:p>
        </w:tc>
      </w:tr>
      <w:tr w:rsidR="00000000" w14:paraId="342465F2" w14:textId="77777777">
        <w:trPr>
          <w:divId w:val="1149640284"/>
        </w:trPr>
        <w:tc>
          <w:tcPr>
            <w:tcW w:w="0" w:type="auto"/>
            <w:gridSpan w:val="3"/>
            <w:vAlign w:val="center"/>
            <w:hideMark/>
          </w:tcPr>
          <w:p w14:paraId="29E3A5F2" w14:textId="77777777" w:rsidR="00000000" w:rsidRDefault="00405D16">
            <w:pPr>
              <w:spacing w:after="100"/>
              <w:rPr>
                <w:rFonts w:eastAsia="Times New Roman"/>
                <w:sz w:val="20"/>
                <w:szCs w:val="20"/>
              </w:rPr>
            </w:pPr>
          </w:p>
        </w:tc>
        <w:tc>
          <w:tcPr>
            <w:tcW w:w="0" w:type="auto"/>
            <w:gridSpan w:val="3"/>
            <w:vAlign w:val="center"/>
            <w:hideMark/>
          </w:tcPr>
          <w:p w14:paraId="1D620012" w14:textId="77777777" w:rsidR="00000000" w:rsidRDefault="00405D16">
            <w:pPr>
              <w:spacing w:after="100"/>
              <w:rPr>
                <w:rFonts w:eastAsia="Times New Roman"/>
                <w:sz w:val="20"/>
                <w:szCs w:val="20"/>
              </w:rPr>
            </w:pPr>
          </w:p>
        </w:tc>
        <w:tc>
          <w:tcPr>
            <w:tcW w:w="0" w:type="auto"/>
            <w:gridSpan w:val="3"/>
            <w:vAlign w:val="center"/>
            <w:hideMark/>
          </w:tcPr>
          <w:p w14:paraId="53A96D22" w14:textId="77777777" w:rsidR="00000000" w:rsidRDefault="00405D16">
            <w:pPr>
              <w:spacing w:after="100"/>
              <w:rPr>
                <w:rFonts w:eastAsia="Times New Roman"/>
                <w:sz w:val="20"/>
                <w:szCs w:val="20"/>
              </w:rPr>
            </w:pPr>
          </w:p>
        </w:tc>
        <w:tc>
          <w:tcPr>
            <w:tcW w:w="0" w:type="auto"/>
            <w:gridSpan w:val="3"/>
            <w:vAlign w:val="center"/>
            <w:hideMark/>
          </w:tcPr>
          <w:p w14:paraId="25CC8CD7" w14:textId="77777777" w:rsidR="00000000" w:rsidRDefault="00405D16">
            <w:pPr>
              <w:spacing w:after="100"/>
              <w:rPr>
                <w:rFonts w:eastAsia="Times New Roman"/>
                <w:sz w:val="20"/>
                <w:szCs w:val="20"/>
              </w:rPr>
            </w:pPr>
          </w:p>
        </w:tc>
        <w:tc>
          <w:tcPr>
            <w:tcW w:w="0" w:type="auto"/>
            <w:gridSpan w:val="3"/>
            <w:vAlign w:val="center"/>
            <w:hideMark/>
          </w:tcPr>
          <w:p w14:paraId="3343E5A1" w14:textId="77777777" w:rsidR="00000000" w:rsidRDefault="00405D16">
            <w:pPr>
              <w:spacing w:after="100"/>
              <w:rPr>
                <w:rFonts w:eastAsia="Times New Roman"/>
                <w:sz w:val="20"/>
                <w:szCs w:val="20"/>
              </w:rPr>
            </w:pPr>
          </w:p>
        </w:tc>
        <w:tc>
          <w:tcPr>
            <w:tcW w:w="0" w:type="auto"/>
            <w:gridSpan w:val="3"/>
            <w:vAlign w:val="center"/>
            <w:hideMark/>
          </w:tcPr>
          <w:p w14:paraId="4ECD1CF1" w14:textId="77777777" w:rsidR="00000000" w:rsidRDefault="00405D16">
            <w:pPr>
              <w:spacing w:after="100"/>
              <w:rPr>
                <w:rFonts w:eastAsia="Times New Roman"/>
                <w:sz w:val="20"/>
                <w:szCs w:val="20"/>
              </w:rPr>
            </w:pPr>
          </w:p>
        </w:tc>
        <w:tc>
          <w:tcPr>
            <w:tcW w:w="0" w:type="auto"/>
            <w:gridSpan w:val="3"/>
            <w:vAlign w:val="center"/>
            <w:hideMark/>
          </w:tcPr>
          <w:p w14:paraId="2DDC2005" w14:textId="77777777" w:rsidR="00000000" w:rsidRDefault="00405D16">
            <w:pPr>
              <w:spacing w:after="100"/>
              <w:rPr>
                <w:rFonts w:eastAsia="Times New Roman"/>
                <w:sz w:val="20"/>
                <w:szCs w:val="20"/>
              </w:rPr>
            </w:pPr>
          </w:p>
        </w:tc>
        <w:tc>
          <w:tcPr>
            <w:tcW w:w="0" w:type="auto"/>
            <w:gridSpan w:val="3"/>
            <w:vAlign w:val="center"/>
            <w:hideMark/>
          </w:tcPr>
          <w:p w14:paraId="70C52AD1" w14:textId="77777777" w:rsidR="00000000" w:rsidRDefault="00405D16">
            <w:pPr>
              <w:spacing w:after="100"/>
              <w:rPr>
                <w:rFonts w:eastAsia="Times New Roman"/>
                <w:sz w:val="20"/>
                <w:szCs w:val="20"/>
              </w:rPr>
            </w:pPr>
          </w:p>
        </w:tc>
        <w:tc>
          <w:tcPr>
            <w:tcW w:w="0" w:type="auto"/>
            <w:gridSpan w:val="3"/>
            <w:vAlign w:val="center"/>
            <w:hideMark/>
          </w:tcPr>
          <w:p w14:paraId="57088D4F" w14:textId="77777777" w:rsidR="00000000" w:rsidRDefault="00405D16">
            <w:pPr>
              <w:spacing w:after="100"/>
              <w:rPr>
                <w:rFonts w:eastAsia="Times New Roman"/>
                <w:sz w:val="20"/>
                <w:szCs w:val="20"/>
              </w:rPr>
            </w:pPr>
          </w:p>
        </w:tc>
        <w:tc>
          <w:tcPr>
            <w:tcW w:w="0" w:type="auto"/>
            <w:gridSpan w:val="3"/>
            <w:vAlign w:val="center"/>
            <w:hideMark/>
          </w:tcPr>
          <w:p w14:paraId="7E21F36D" w14:textId="77777777" w:rsidR="00000000" w:rsidRDefault="00405D16">
            <w:pPr>
              <w:spacing w:after="100"/>
              <w:rPr>
                <w:rFonts w:eastAsia="Times New Roman"/>
                <w:sz w:val="20"/>
                <w:szCs w:val="20"/>
              </w:rPr>
            </w:pPr>
          </w:p>
        </w:tc>
        <w:tc>
          <w:tcPr>
            <w:tcW w:w="0" w:type="auto"/>
            <w:gridSpan w:val="3"/>
            <w:vAlign w:val="center"/>
            <w:hideMark/>
          </w:tcPr>
          <w:p w14:paraId="778493BB" w14:textId="77777777" w:rsidR="00000000" w:rsidRDefault="00405D16">
            <w:pPr>
              <w:spacing w:after="100"/>
              <w:rPr>
                <w:rFonts w:eastAsia="Times New Roman"/>
                <w:sz w:val="20"/>
                <w:szCs w:val="20"/>
              </w:rPr>
            </w:pPr>
          </w:p>
        </w:tc>
      </w:tr>
      <w:tr w:rsidR="00000000" w14:paraId="0128119C" w14:textId="77777777">
        <w:trPr>
          <w:divId w:val="1149640284"/>
        </w:trPr>
        <w:tc>
          <w:tcPr>
            <w:tcW w:w="0" w:type="auto"/>
            <w:gridSpan w:val="3"/>
            <w:vAlign w:val="center"/>
            <w:hideMark/>
          </w:tcPr>
          <w:p w14:paraId="7367B5E0" w14:textId="77777777" w:rsidR="00000000" w:rsidRDefault="00405D16">
            <w:pPr>
              <w:spacing w:after="100"/>
              <w:rPr>
                <w:rFonts w:eastAsia="Times New Roman"/>
                <w:sz w:val="20"/>
                <w:szCs w:val="20"/>
              </w:rPr>
            </w:pPr>
          </w:p>
        </w:tc>
        <w:tc>
          <w:tcPr>
            <w:tcW w:w="0" w:type="auto"/>
            <w:gridSpan w:val="3"/>
            <w:vAlign w:val="center"/>
            <w:hideMark/>
          </w:tcPr>
          <w:p w14:paraId="6CB93EB8" w14:textId="77777777" w:rsidR="00000000" w:rsidRDefault="00405D16">
            <w:pPr>
              <w:spacing w:after="100"/>
              <w:rPr>
                <w:rFonts w:eastAsia="Times New Roman"/>
                <w:sz w:val="20"/>
                <w:szCs w:val="20"/>
              </w:rPr>
            </w:pPr>
          </w:p>
        </w:tc>
        <w:tc>
          <w:tcPr>
            <w:tcW w:w="0" w:type="auto"/>
            <w:gridSpan w:val="3"/>
            <w:vAlign w:val="center"/>
            <w:hideMark/>
          </w:tcPr>
          <w:p w14:paraId="19A80BDD" w14:textId="77777777" w:rsidR="00000000" w:rsidRDefault="00405D16">
            <w:pPr>
              <w:spacing w:after="100"/>
              <w:rPr>
                <w:rFonts w:eastAsia="Times New Roman"/>
                <w:sz w:val="20"/>
                <w:szCs w:val="20"/>
              </w:rPr>
            </w:pPr>
          </w:p>
        </w:tc>
        <w:tc>
          <w:tcPr>
            <w:tcW w:w="0" w:type="auto"/>
            <w:gridSpan w:val="3"/>
            <w:vAlign w:val="center"/>
            <w:hideMark/>
          </w:tcPr>
          <w:p w14:paraId="5EDBC9DE" w14:textId="77777777" w:rsidR="00000000" w:rsidRDefault="00405D16">
            <w:pPr>
              <w:spacing w:after="100"/>
              <w:rPr>
                <w:rFonts w:eastAsia="Times New Roman"/>
                <w:sz w:val="20"/>
                <w:szCs w:val="20"/>
              </w:rPr>
            </w:pPr>
          </w:p>
        </w:tc>
        <w:tc>
          <w:tcPr>
            <w:tcW w:w="0" w:type="auto"/>
            <w:gridSpan w:val="3"/>
            <w:vAlign w:val="center"/>
            <w:hideMark/>
          </w:tcPr>
          <w:p w14:paraId="30DC2669" w14:textId="77777777" w:rsidR="00000000" w:rsidRDefault="00405D16">
            <w:pPr>
              <w:spacing w:after="100"/>
              <w:rPr>
                <w:rFonts w:eastAsia="Times New Roman"/>
                <w:sz w:val="20"/>
                <w:szCs w:val="20"/>
              </w:rPr>
            </w:pPr>
          </w:p>
        </w:tc>
        <w:tc>
          <w:tcPr>
            <w:tcW w:w="0" w:type="auto"/>
            <w:gridSpan w:val="3"/>
            <w:vAlign w:val="center"/>
            <w:hideMark/>
          </w:tcPr>
          <w:p w14:paraId="08BA5F0B" w14:textId="77777777" w:rsidR="00000000" w:rsidRDefault="00405D16">
            <w:pPr>
              <w:spacing w:after="100"/>
              <w:rPr>
                <w:rFonts w:eastAsia="Times New Roman"/>
                <w:sz w:val="20"/>
                <w:szCs w:val="20"/>
              </w:rPr>
            </w:pPr>
          </w:p>
        </w:tc>
        <w:tc>
          <w:tcPr>
            <w:tcW w:w="0" w:type="auto"/>
            <w:gridSpan w:val="3"/>
            <w:vAlign w:val="center"/>
            <w:hideMark/>
          </w:tcPr>
          <w:p w14:paraId="70DCD4C0" w14:textId="77777777" w:rsidR="00000000" w:rsidRDefault="00405D16">
            <w:pPr>
              <w:spacing w:after="100"/>
              <w:rPr>
                <w:rFonts w:eastAsia="Times New Roman"/>
                <w:sz w:val="20"/>
                <w:szCs w:val="20"/>
              </w:rPr>
            </w:pPr>
          </w:p>
        </w:tc>
        <w:tc>
          <w:tcPr>
            <w:tcW w:w="0" w:type="auto"/>
            <w:gridSpan w:val="3"/>
            <w:vAlign w:val="center"/>
            <w:hideMark/>
          </w:tcPr>
          <w:p w14:paraId="62DACCF3" w14:textId="77777777" w:rsidR="00000000" w:rsidRDefault="00405D16">
            <w:pPr>
              <w:spacing w:after="100"/>
              <w:rPr>
                <w:rFonts w:eastAsia="Times New Roman"/>
                <w:sz w:val="20"/>
                <w:szCs w:val="20"/>
              </w:rPr>
            </w:pPr>
          </w:p>
        </w:tc>
        <w:tc>
          <w:tcPr>
            <w:tcW w:w="0" w:type="auto"/>
            <w:gridSpan w:val="3"/>
            <w:vAlign w:val="center"/>
            <w:hideMark/>
          </w:tcPr>
          <w:p w14:paraId="7EF56236" w14:textId="77777777" w:rsidR="00000000" w:rsidRDefault="00405D16">
            <w:pPr>
              <w:spacing w:after="100"/>
              <w:rPr>
                <w:rFonts w:eastAsia="Times New Roman"/>
                <w:sz w:val="20"/>
                <w:szCs w:val="20"/>
              </w:rPr>
            </w:pPr>
          </w:p>
        </w:tc>
        <w:tc>
          <w:tcPr>
            <w:tcW w:w="0" w:type="auto"/>
            <w:gridSpan w:val="3"/>
            <w:vAlign w:val="center"/>
            <w:hideMark/>
          </w:tcPr>
          <w:p w14:paraId="26C5ACF3" w14:textId="77777777" w:rsidR="00000000" w:rsidRDefault="00405D16">
            <w:pPr>
              <w:spacing w:after="100"/>
              <w:rPr>
                <w:rFonts w:eastAsia="Times New Roman"/>
                <w:sz w:val="20"/>
                <w:szCs w:val="20"/>
              </w:rPr>
            </w:pPr>
          </w:p>
        </w:tc>
        <w:tc>
          <w:tcPr>
            <w:tcW w:w="0" w:type="auto"/>
            <w:gridSpan w:val="3"/>
            <w:vAlign w:val="center"/>
            <w:hideMark/>
          </w:tcPr>
          <w:p w14:paraId="0888BF85" w14:textId="77777777" w:rsidR="00000000" w:rsidRDefault="00405D16">
            <w:pPr>
              <w:spacing w:after="100"/>
              <w:rPr>
                <w:rFonts w:eastAsia="Times New Roman"/>
                <w:sz w:val="20"/>
                <w:szCs w:val="20"/>
              </w:rPr>
            </w:pPr>
          </w:p>
        </w:tc>
      </w:tr>
      <w:tr w:rsidR="00000000" w14:paraId="7CDF501B" w14:textId="77777777">
        <w:trPr>
          <w:divId w:val="1149640284"/>
        </w:trPr>
        <w:tc>
          <w:tcPr>
            <w:tcW w:w="0" w:type="auto"/>
            <w:gridSpan w:val="3"/>
            <w:vAlign w:val="center"/>
            <w:hideMark/>
          </w:tcPr>
          <w:p w14:paraId="79383B4D" w14:textId="77777777" w:rsidR="00000000" w:rsidRDefault="00405D16">
            <w:pPr>
              <w:spacing w:after="100"/>
              <w:rPr>
                <w:rFonts w:eastAsia="Times New Roman"/>
                <w:sz w:val="20"/>
                <w:szCs w:val="20"/>
              </w:rPr>
            </w:pPr>
          </w:p>
        </w:tc>
        <w:tc>
          <w:tcPr>
            <w:tcW w:w="0" w:type="auto"/>
            <w:gridSpan w:val="3"/>
            <w:vAlign w:val="center"/>
            <w:hideMark/>
          </w:tcPr>
          <w:p w14:paraId="7D47EA90" w14:textId="77777777" w:rsidR="00000000" w:rsidRDefault="00405D16">
            <w:pPr>
              <w:spacing w:after="100"/>
              <w:rPr>
                <w:rFonts w:eastAsia="Times New Roman"/>
                <w:sz w:val="20"/>
                <w:szCs w:val="20"/>
              </w:rPr>
            </w:pPr>
          </w:p>
        </w:tc>
        <w:tc>
          <w:tcPr>
            <w:tcW w:w="0" w:type="auto"/>
            <w:gridSpan w:val="3"/>
            <w:vAlign w:val="center"/>
            <w:hideMark/>
          </w:tcPr>
          <w:p w14:paraId="4AFE89C7" w14:textId="77777777" w:rsidR="00000000" w:rsidRDefault="00405D16">
            <w:pPr>
              <w:spacing w:after="100"/>
              <w:rPr>
                <w:rFonts w:eastAsia="Times New Roman"/>
                <w:sz w:val="20"/>
                <w:szCs w:val="20"/>
              </w:rPr>
            </w:pPr>
          </w:p>
        </w:tc>
        <w:tc>
          <w:tcPr>
            <w:tcW w:w="0" w:type="auto"/>
            <w:gridSpan w:val="3"/>
            <w:vAlign w:val="center"/>
            <w:hideMark/>
          </w:tcPr>
          <w:p w14:paraId="21F86DB0" w14:textId="77777777" w:rsidR="00000000" w:rsidRDefault="00405D16">
            <w:pPr>
              <w:spacing w:after="100"/>
              <w:rPr>
                <w:rFonts w:eastAsia="Times New Roman"/>
                <w:sz w:val="20"/>
                <w:szCs w:val="20"/>
              </w:rPr>
            </w:pPr>
          </w:p>
        </w:tc>
        <w:tc>
          <w:tcPr>
            <w:tcW w:w="0" w:type="auto"/>
            <w:gridSpan w:val="3"/>
            <w:vAlign w:val="center"/>
            <w:hideMark/>
          </w:tcPr>
          <w:p w14:paraId="5294BCF9" w14:textId="77777777" w:rsidR="00000000" w:rsidRDefault="00405D16">
            <w:pPr>
              <w:spacing w:after="100"/>
              <w:rPr>
                <w:rFonts w:eastAsia="Times New Roman"/>
                <w:sz w:val="20"/>
                <w:szCs w:val="20"/>
              </w:rPr>
            </w:pPr>
          </w:p>
        </w:tc>
        <w:tc>
          <w:tcPr>
            <w:tcW w:w="0" w:type="auto"/>
            <w:gridSpan w:val="3"/>
            <w:vAlign w:val="center"/>
            <w:hideMark/>
          </w:tcPr>
          <w:p w14:paraId="2F22739A" w14:textId="77777777" w:rsidR="00000000" w:rsidRDefault="00405D16">
            <w:pPr>
              <w:spacing w:after="100"/>
              <w:rPr>
                <w:rFonts w:eastAsia="Times New Roman"/>
                <w:sz w:val="20"/>
                <w:szCs w:val="20"/>
              </w:rPr>
            </w:pPr>
          </w:p>
        </w:tc>
        <w:tc>
          <w:tcPr>
            <w:tcW w:w="0" w:type="auto"/>
            <w:gridSpan w:val="3"/>
            <w:vAlign w:val="center"/>
            <w:hideMark/>
          </w:tcPr>
          <w:p w14:paraId="57B997F0" w14:textId="77777777" w:rsidR="00000000" w:rsidRDefault="00405D16">
            <w:pPr>
              <w:spacing w:after="100"/>
              <w:rPr>
                <w:rFonts w:eastAsia="Times New Roman"/>
                <w:sz w:val="20"/>
                <w:szCs w:val="20"/>
              </w:rPr>
            </w:pPr>
          </w:p>
        </w:tc>
        <w:tc>
          <w:tcPr>
            <w:tcW w:w="0" w:type="auto"/>
            <w:gridSpan w:val="3"/>
            <w:vAlign w:val="center"/>
            <w:hideMark/>
          </w:tcPr>
          <w:p w14:paraId="0606A67C" w14:textId="77777777" w:rsidR="00000000" w:rsidRDefault="00405D16">
            <w:pPr>
              <w:spacing w:after="100"/>
              <w:rPr>
                <w:rFonts w:eastAsia="Times New Roman"/>
                <w:sz w:val="20"/>
                <w:szCs w:val="20"/>
              </w:rPr>
            </w:pPr>
          </w:p>
        </w:tc>
        <w:tc>
          <w:tcPr>
            <w:tcW w:w="0" w:type="auto"/>
            <w:gridSpan w:val="3"/>
            <w:vAlign w:val="center"/>
            <w:hideMark/>
          </w:tcPr>
          <w:p w14:paraId="482DA3C9" w14:textId="77777777" w:rsidR="00000000" w:rsidRDefault="00405D16">
            <w:pPr>
              <w:spacing w:after="100"/>
              <w:rPr>
                <w:rFonts w:eastAsia="Times New Roman"/>
                <w:sz w:val="20"/>
                <w:szCs w:val="20"/>
              </w:rPr>
            </w:pPr>
          </w:p>
        </w:tc>
        <w:tc>
          <w:tcPr>
            <w:tcW w:w="0" w:type="auto"/>
            <w:gridSpan w:val="3"/>
            <w:vAlign w:val="center"/>
            <w:hideMark/>
          </w:tcPr>
          <w:p w14:paraId="19F12D77" w14:textId="77777777" w:rsidR="00000000" w:rsidRDefault="00405D16">
            <w:pPr>
              <w:spacing w:after="100"/>
              <w:rPr>
                <w:rFonts w:eastAsia="Times New Roman"/>
                <w:sz w:val="20"/>
                <w:szCs w:val="20"/>
              </w:rPr>
            </w:pPr>
          </w:p>
        </w:tc>
        <w:tc>
          <w:tcPr>
            <w:tcW w:w="0" w:type="auto"/>
            <w:gridSpan w:val="3"/>
            <w:vAlign w:val="center"/>
            <w:hideMark/>
          </w:tcPr>
          <w:p w14:paraId="5469E0BB" w14:textId="77777777" w:rsidR="00000000" w:rsidRDefault="00405D16">
            <w:pPr>
              <w:spacing w:after="100"/>
              <w:rPr>
                <w:rFonts w:eastAsia="Times New Roman"/>
                <w:sz w:val="20"/>
                <w:szCs w:val="20"/>
              </w:rPr>
            </w:pPr>
          </w:p>
        </w:tc>
      </w:tr>
      <w:tr w:rsidR="00000000" w14:paraId="681311DA" w14:textId="77777777">
        <w:trPr>
          <w:divId w:val="1149640284"/>
        </w:trPr>
        <w:tc>
          <w:tcPr>
            <w:tcW w:w="0" w:type="auto"/>
            <w:gridSpan w:val="3"/>
            <w:vAlign w:val="center"/>
            <w:hideMark/>
          </w:tcPr>
          <w:p w14:paraId="1E110469" w14:textId="77777777" w:rsidR="00000000" w:rsidRDefault="00405D16">
            <w:pPr>
              <w:spacing w:after="100"/>
              <w:rPr>
                <w:rFonts w:eastAsia="Times New Roman"/>
                <w:sz w:val="20"/>
                <w:szCs w:val="20"/>
              </w:rPr>
            </w:pPr>
          </w:p>
        </w:tc>
        <w:tc>
          <w:tcPr>
            <w:tcW w:w="0" w:type="auto"/>
            <w:gridSpan w:val="3"/>
            <w:vAlign w:val="center"/>
            <w:hideMark/>
          </w:tcPr>
          <w:p w14:paraId="0DE2F981" w14:textId="77777777" w:rsidR="00000000" w:rsidRDefault="00405D16">
            <w:pPr>
              <w:spacing w:after="100"/>
              <w:rPr>
                <w:rFonts w:eastAsia="Times New Roman"/>
                <w:sz w:val="20"/>
                <w:szCs w:val="20"/>
              </w:rPr>
            </w:pPr>
          </w:p>
        </w:tc>
        <w:tc>
          <w:tcPr>
            <w:tcW w:w="0" w:type="auto"/>
            <w:gridSpan w:val="3"/>
            <w:vAlign w:val="center"/>
            <w:hideMark/>
          </w:tcPr>
          <w:p w14:paraId="578A76AB" w14:textId="77777777" w:rsidR="00000000" w:rsidRDefault="00405D16">
            <w:pPr>
              <w:spacing w:after="100"/>
              <w:rPr>
                <w:rFonts w:eastAsia="Times New Roman"/>
                <w:sz w:val="20"/>
                <w:szCs w:val="20"/>
              </w:rPr>
            </w:pPr>
          </w:p>
        </w:tc>
        <w:tc>
          <w:tcPr>
            <w:tcW w:w="0" w:type="auto"/>
            <w:gridSpan w:val="3"/>
            <w:vAlign w:val="center"/>
            <w:hideMark/>
          </w:tcPr>
          <w:p w14:paraId="75F76FC9" w14:textId="77777777" w:rsidR="00000000" w:rsidRDefault="00405D16">
            <w:pPr>
              <w:spacing w:after="100"/>
              <w:rPr>
                <w:rFonts w:eastAsia="Times New Roman"/>
                <w:sz w:val="20"/>
                <w:szCs w:val="20"/>
              </w:rPr>
            </w:pPr>
          </w:p>
        </w:tc>
        <w:tc>
          <w:tcPr>
            <w:tcW w:w="0" w:type="auto"/>
            <w:gridSpan w:val="3"/>
            <w:vAlign w:val="center"/>
            <w:hideMark/>
          </w:tcPr>
          <w:p w14:paraId="308860EA" w14:textId="77777777" w:rsidR="00000000" w:rsidRDefault="00405D16">
            <w:pPr>
              <w:spacing w:after="100"/>
              <w:rPr>
                <w:rFonts w:eastAsia="Times New Roman"/>
                <w:sz w:val="20"/>
                <w:szCs w:val="20"/>
              </w:rPr>
            </w:pPr>
          </w:p>
        </w:tc>
        <w:tc>
          <w:tcPr>
            <w:tcW w:w="0" w:type="auto"/>
            <w:gridSpan w:val="3"/>
            <w:vAlign w:val="center"/>
            <w:hideMark/>
          </w:tcPr>
          <w:p w14:paraId="7AFAC440" w14:textId="77777777" w:rsidR="00000000" w:rsidRDefault="00405D16">
            <w:pPr>
              <w:spacing w:after="100"/>
              <w:rPr>
                <w:rFonts w:eastAsia="Times New Roman"/>
                <w:sz w:val="20"/>
                <w:szCs w:val="20"/>
              </w:rPr>
            </w:pPr>
          </w:p>
        </w:tc>
        <w:tc>
          <w:tcPr>
            <w:tcW w:w="0" w:type="auto"/>
            <w:gridSpan w:val="3"/>
            <w:vAlign w:val="center"/>
            <w:hideMark/>
          </w:tcPr>
          <w:p w14:paraId="0147C3E4" w14:textId="77777777" w:rsidR="00000000" w:rsidRDefault="00405D16">
            <w:pPr>
              <w:spacing w:after="100"/>
              <w:rPr>
                <w:rFonts w:eastAsia="Times New Roman"/>
                <w:sz w:val="20"/>
                <w:szCs w:val="20"/>
              </w:rPr>
            </w:pPr>
          </w:p>
        </w:tc>
        <w:tc>
          <w:tcPr>
            <w:tcW w:w="0" w:type="auto"/>
            <w:gridSpan w:val="3"/>
            <w:vAlign w:val="center"/>
            <w:hideMark/>
          </w:tcPr>
          <w:p w14:paraId="3932A006" w14:textId="77777777" w:rsidR="00000000" w:rsidRDefault="00405D16">
            <w:pPr>
              <w:spacing w:after="100"/>
              <w:rPr>
                <w:rFonts w:eastAsia="Times New Roman"/>
                <w:sz w:val="20"/>
                <w:szCs w:val="20"/>
              </w:rPr>
            </w:pPr>
          </w:p>
        </w:tc>
        <w:tc>
          <w:tcPr>
            <w:tcW w:w="0" w:type="auto"/>
            <w:gridSpan w:val="3"/>
            <w:vAlign w:val="center"/>
            <w:hideMark/>
          </w:tcPr>
          <w:p w14:paraId="6631E7BC" w14:textId="77777777" w:rsidR="00000000" w:rsidRDefault="00405D16">
            <w:pPr>
              <w:spacing w:after="100"/>
              <w:rPr>
                <w:rFonts w:eastAsia="Times New Roman"/>
                <w:sz w:val="20"/>
                <w:szCs w:val="20"/>
              </w:rPr>
            </w:pPr>
          </w:p>
        </w:tc>
        <w:tc>
          <w:tcPr>
            <w:tcW w:w="0" w:type="auto"/>
            <w:gridSpan w:val="3"/>
            <w:vAlign w:val="center"/>
            <w:hideMark/>
          </w:tcPr>
          <w:p w14:paraId="23940FA2" w14:textId="77777777" w:rsidR="00000000" w:rsidRDefault="00405D16">
            <w:pPr>
              <w:spacing w:after="100"/>
              <w:rPr>
                <w:rFonts w:eastAsia="Times New Roman"/>
                <w:sz w:val="20"/>
                <w:szCs w:val="20"/>
              </w:rPr>
            </w:pPr>
          </w:p>
        </w:tc>
        <w:tc>
          <w:tcPr>
            <w:tcW w:w="0" w:type="auto"/>
            <w:gridSpan w:val="3"/>
            <w:vAlign w:val="center"/>
            <w:hideMark/>
          </w:tcPr>
          <w:p w14:paraId="022888C1" w14:textId="77777777" w:rsidR="00000000" w:rsidRDefault="00405D16">
            <w:pPr>
              <w:spacing w:after="100"/>
              <w:rPr>
                <w:rFonts w:eastAsia="Times New Roman"/>
                <w:sz w:val="20"/>
                <w:szCs w:val="20"/>
              </w:rPr>
            </w:pPr>
          </w:p>
        </w:tc>
      </w:tr>
      <w:tr w:rsidR="00000000" w14:paraId="11852BFD" w14:textId="77777777">
        <w:trPr>
          <w:divId w:val="1149640284"/>
        </w:trPr>
        <w:tc>
          <w:tcPr>
            <w:tcW w:w="0" w:type="auto"/>
            <w:gridSpan w:val="3"/>
            <w:vAlign w:val="center"/>
            <w:hideMark/>
          </w:tcPr>
          <w:p w14:paraId="3EA0CBD0" w14:textId="77777777" w:rsidR="00000000" w:rsidRDefault="00405D16">
            <w:pPr>
              <w:spacing w:after="100"/>
              <w:rPr>
                <w:rFonts w:eastAsia="Times New Roman"/>
                <w:sz w:val="20"/>
                <w:szCs w:val="20"/>
              </w:rPr>
            </w:pPr>
          </w:p>
        </w:tc>
        <w:tc>
          <w:tcPr>
            <w:tcW w:w="0" w:type="auto"/>
            <w:gridSpan w:val="3"/>
            <w:vAlign w:val="center"/>
            <w:hideMark/>
          </w:tcPr>
          <w:p w14:paraId="39B7BF75" w14:textId="77777777" w:rsidR="00000000" w:rsidRDefault="00405D16">
            <w:pPr>
              <w:spacing w:after="100"/>
              <w:rPr>
                <w:rFonts w:eastAsia="Times New Roman"/>
                <w:sz w:val="20"/>
                <w:szCs w:val="20"/>
              </w:rPr>
            </w:pPr>
          </w:p>
        </w:tc>
        <w:tc>
          <w:tcPr>
            <w:tcW w:w="0" w:type="auto"/>
            <w:gridSpan w:val="3"/>
            <w:vAlign w:val="center"/>
            <w:hideMark/>
          </w:tcPr>
          <w:p w14:paraId="5938BDA0" w14:textId="77777777" w:rsidR="00000000" w:rsidRDefault="00405D16">
            <w:pPr>
              <w:spacing w:after="100"/>
              <w:rPr>
                <w:rFonts w:eastAsia="Times New Roman"/>
                <w:sz w:val="20"/>
                <w:szCs w:val="20"/>
              </w:rPr>
            </w:pPr>
          </w:p>
        </w:tc>
        <w:tc>
          <w:tcPr>
            <w:tcW w:w="0" w:type="auto"/>
            <w:gridSpan w:val="3"/>
            <w:vAlign w:val="center"/>
            <w:hideMark/>
          </w:tcPr>
          <w:p w14:paraId="70CF7FF5" w14:textId="77777777" w:rsidR="00000000" w:rsidRDefault="00405D16">
            <w:pPr>
              <w:spacing w:after="100"/>
              <w:rPr>
                <w:rFonts w:eastAsia="Times New Roman"/>
                <w:sz w:val="20"/>
                <w:szCs w:val="20"/>
              </w:rPr>
            </w:pPr>
          </w:p>
        </w:tc>
        <w:tc>
          <w:tcPr>
            <w:tcW w:w="0" w:type="auto"/>
            <w:gridSpan w:val="3"/>
            <w:vAlign w:val="center"/>
            <w:hideMark/>
          </w:tcPr>
          <w:p w14:paraId="636CDC3A" w14:textId="77777777" w:rsidR="00000000" w:rsidRDefault="00405D16">
            <w:pPr>
              <w:spacing w:after="100"/>
              <w:rPr>
                <w:rFonts w:eastAsia="Times New Roman"/>
                <w:sz w:val="20"/>
                <w:szCs w:val="20"/>
              </w:rPr>
            </w:pPr>
          </w:p>
        </w:tc>
        <w:tc>
          <w:tcPr>
            <w:tcW w:w="0" w:type="auto"/>
            <w:gridSpan w:val="3"/>
            <w:vAlign w:val="center"/>
            <w:hideMark/>
          </w:tcPr>
          <w:p w14:paraId="62499195" w14:textId="77777777" w:rsidR="00000000" w:rsidRDefault="00405D16">
            <w:pPr>
              <w:spacing w:after="100"/>
              <w:rPr>
                <w:rFonts w:eastAsia="Times New Roman"/>
                <w:sz w:val="20"/>
                <w:szCs w:val="20"/>
              </w:rPr>
            </w:pPr>
          </w:p>
        </w:tc>
        <w:tc>
          <w:tcPr>
            <w:tcW w:w="0" w:type="auto"/>
            <w:gridSpan w:val="3"/>
            <w:vAlign w:val="center"/>
            <w:hideMark/>
          </w:tcPr>
          <w:p w14:paraId="3B62EC47" w14:textId="77777777" w:rsidR="00000000" w:rsidRDefault="00405D16">
            <w:pPr>
              <w:spacing w:after="100"/>
              <w:rPr>
                <w:rFonts w:eastAsia="Times New Roman"/>
                <w:sz w:val="20"/>
                <w:szCs w:val="20"/>
              </w:rPr>
            </w:pPr>
          </w:p>
        </w:tc>
        <w:tc>
          <w:tcPr>
            <w:tcW w:w="0" w:type="auto"/>
            <w:gridSpan w:val="3"/>
            <w:vAlign w:val="center"/>
            <w:hideMark/>
          </w:tcPr>
          <w:p w14:paraId="5D0F2FE4" w14:textId="77777777" w:rsidR="00000000" w:rsidRDefault="00405D16">
            <w:pPr>
              <w:spacing w:after="100"/>
              <w:rPr>
                <w:rFonts w:eastAsia="Times New Roman"/>
                <w:sz w:val="20"/>
                <w:szCs w:val="20"/>
              </w:rPr>
            </w:pPr>
          </w:p>
        </w:tc>
        <w:tc>
          <w:tcPr>
            <w:tcW w:w="0" w:type="auto"/>
            <w:gridSpan w:val="3"/>
            <w:vAlign w:val="center"/>
            <w:hideMark/>
          </w:tcPr>
          <w:p w14:paraId="2AAD1E56" w14:textId="77777777" w:rsidR="00000000" w:rsidRDefault="00405D16">
            <w:pPr>
              <w:spacing w:after="100"/>
              <w:rPr>
                <w:rFonts w:eastAsia="Times New Roman"/>
                <w:sz w:val="20"/>
                <w:szCs w:val="20"/>
              </w:rPr>
            </w:pPr>
          </w:p>
        </w:tc>
        <w:tc>
          <w:tcPr>
            <w:tcW w:w="0" w:type="auto"/>
            <w:gridSpan w:val="3"/>
            <w:vAlign w:val="center"/>
            <w:hideMark/>
          </w:tcPr>
          <w:p w14:paraId="4E71A148" w14:textId="77777777" w:rsidR="00000000" w:rsidRDefault="00405D16">
            <w:pPr>
              <w:spacing w:after="100"/>
              <w:rPr>
                <w:rFonts w:eastAsia="Times New Roman"/>
                <w:sz w:val="20"/>
                <w:szCs w:val="20"/>
              </w:rPr>
            </w:pPr>
          </w:p>
        </w:tc>
        <w:tc>
          <w:tcPr>
            <w:tcW w:w="0" w:type="auto"/>
            <w:gridSpan w:val="3"/>
            <w:vAlign w:val="center"/>
            <w:hideMark/>
          </w:tcPr>
          <w:p w14:paraId="78453167" w14:textId="77777777" w:rsidR="00000000" w:rsidRDefault="00405D16">
            <w:pPr>
              <w:spacing w:after="100"/>
              <w:rPr>
                <w:rFonts w:eastAsia="Times New Roman"/>
                <w:sz w:val="20"/>
                <w:szCs w:val="20"/>
              </w:rPr>
            </w:pPr>
          </w:p>
        </w:tc>
      </w:tr>
    </w:tbl>
    <w:p w14:paraId="3CF54E38" w14:textId="77777777" w:rsidR="00000000" w:rsidRDefault="00405D16">
      <w:pPr>
        <w:jc w:val="both"/>
        <w:divId w:val="1149640284"/>
        <w:rPr>
          <w:rFonts w:eastAsia="Times New Roman"/>
        </w:rPr>
      </w:pPr>
      <w:r>
        <w:rPr>
          <w:rFonts w:eastAsia="Times New Roman"/>
          <w:color w:val="000000"/>
          <w:sz w:val="20"/>
          <w:szCs w:val="20"/>
        </w:rPr>
        <w:t>________</w:t>
      </w:r>
    </w:p>
    <w:p w14:paraId="29C694DC" w14:textId="77777777" w:rsidR="00000000" w:rsidRDefault="00405D16">
      <w:pPr>
        <w:ind w:hanging="360"/>
        <w:jc w:val="both"/>
        <w:divId w:val="99040269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Some of our commercial investments generate tax-exempt income, tax credits or other tax benefits. Accordingly, we present our Commercial Banking revenue and yields on a taxable-equivalent basis, calculated using the federal statutory tax rate of 21% and st</w:t>
      </w:r>
      <w:r>
        <w:rPr>
          <w:rFonts w:eastAsia="Times New Roman"/>
          <w:color w:val="000000"/>
          <w:sz w:val="16"/>
          <w:szCs w:val="16"/>
        </w:rPr>
        <w:t>ate taxes where applicable, with offsetting reductions to the Other category.</w:t>
      </w:r>
    </w:p>
    <w:p w14:paraId="42497F95" w14:textId="77777777" w:rsidR="00000000" w:rsidRDefault="00405D16">
      <w:pPr>
        <w:ind w:hanging="360"/>
        <w:jc w:val="both"/>
        <w:divId w:val="2102942669"/>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Interchange fees are presented net of customer reward expenses.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6362E6FF" w14:textId="77777777">
        <w:trPr>
          <w:divId w:val="403793655"/>
          <w:jc w:val="center"/>
        </w:trPr>
        <w:tc>
          <w:tcPr>
            <w:tcW w:w="50" w:type="pct"/>
            <w:vAlign w:val="center"/>
            <w:hideMark/>
          </w:tcPr>
          <w:p w14:paraId="18B051CB" w14:textId="77777777" w:rsidR="00000000" w:rsidRDefault="00405D16">
            <w:pPr>
              <w:ind w:hanging="360"/>
              <w:jc w:val="both"/>
              <w:rPr>
                <w:rFonts w:eastAsia="Times New Roman"/>
              </w:rPr>
            </w:pPr>
          </w:p>
        </w:tc>
        <w:tc>
          <w:tcPr>
            <w:tcW w:w="1606" w:type="pct"/>
            <w:vAlign w:val="center"/>
            <w:hideMark/>
          </w:tcPr>
          <w:p w14:paraId="3F3EAA58" w14:textId="77777777" w:rsidR="00000000" w:rsidRDefault="00405D16">
            <w:pPr>
              <w:spacing w:after="100"/>
              <w:rPr>
                <w:rFonts w:eastAsia="Times New Roman"/>
                <w:sz w:val="20"/>
                <w:szCs w:val="20"/>
              </w:rPr>
            </w:pPr>
          </w:p>
        </w:tc>
        <w:tc>
          <w:tcPr>
            <w:tcW w:w="5" w:type="pct"/>
            <w:vAlign w:val="center"/>
            <w:hideMark/>
          </w:tcPr>
          <w:p w14:paraId="6219C463" w14:textId="77777777" w:rsidR="00000000" w:rsidRDefault="00405D16">
            <w:pPr>
              <w:spacing w:after="100"/>
              <w:rPr>
                <w:rFonts w:eastAsia="Times New Roman"/>
                <w:sz w:val="20"/>
                <w:szCs w:val="20"/>
              </w:rPr>
            </w:pPr>
          </w:p>
        </w:tc>
        <w:tc>
          <w:tcPr>
            <w:tcW w:w="50" w:type="pct"/>
            <w:vAlign w:val="center"/>
            <w:hideMark/>
          </w:tcPr>
          <w:p w14:paraId="119002AD" w14:textId="77777777" w:rsidR="00000000" w:rsidRDefault="00405D16">
            <w:pPr>
              <w:spacing w:after="100"/>
              <w:rPr>
                <w:rFonts w:eastAsia="Times New Roman"/>
                <w:sz w:val="20"/>
                <w:szCs w:val="20"/>
              </w:rPr>
            </w:pPr>
          </w:p>
        </w:tc>
        <w:tc>
          <w:tcPr>
            <w:tcW w:w="1614" w:type="pct"/>
            <w:vAlign w:val="center"/>
            <w:hideMark/>
          </w:tcPr>
          <w:p w14:paraId="5CC37239" w14:textId="77777777" w:rsidR="00000000" w:rsidRDefault="00405D16">
            <w:pPr>
              <w:spacing w:after="100"/>
              <w:rPr>
                <w:rFonts w:eastAsia="Times New Roman"/>
                <w:sz w:val="20"/>
                <w:szCs w:val="20"/>
              </w:rPr>
            </w:pPr>
          </w:p>
        </w:tc>
        <w:tc>
          <w:tcPr>
            <w:tcW w:w="5" w:type="pct"/>
            <w:vAlign w:val="center"/>
            <w:hideMark/>
          </w:tcPr>
          <w:p w14:paraId="5101EA92" w14:textId="77777777" w:rsidR="00000000" w:rsidRDefault="00405D16">
            <w:pPr>
              <w:spacing w:after="100"/>
              <w:rPr>
                <w:rFonts w:eastAsia="Times New Roman"/>
                <w:sz w:val="20"/>
                <w:szCs w:val="20"/>
              </w:rPr>
            </w:pPr>
          </w:p>
        </w:tc>
        <w:tc>
          <w:tcPr>
            <w:tcW w:w="50" w:type="pct"/>
            <w:vAlign w:val="center"/>
            <w:hideMark/>
          </w:tcPr>
          <w:p w14:paraId="5190B22A" w14:textId="77777777" w:rsidR="00000000" w:rsidRDefault="00405D16">
            <w:pPr>
              <w:spacing w:after="100"/>
              <w:rPr>
                <w:rFonts w:eastAsia="Times New Roman"/>
                <w:sz w:val="20"/>
                <w:szCs w:val="20"/>
              </w:rPr>
            </w:pPr>
          </w:p>
        </w:tc>
        <w:tc>
          <w:tcPr>
            <w:tcW w:w="1614" w:type="pct"/>
            <w:vAlign w:val="center"/>
            <w:hideMark/>
          </w:tcPr>
          <w:p w14:paraId="370FC7E8" w14:textId="77777777" w:rsidR="00000000" w:rsidRDefault="00405D16">
            <w:pPr>
              <w:spacing w:after="100"/>
              <w:rPr>
                <w:rFonts w:eastAsia="Times New Roman"/>
                <w:sz w:val="20"/>
                <w:szCs w:val="20"/>
              </w:rPr>
            </w:pPr>
          </w:p>
        </w:tc>
        <w:tc>
          <w:tcPr>
            <w:tcW w:w="5" w:type="pct"/>
            <w:vAlign w:val="center"/>
            <w:hideMark/>
          </w:tcPr>
          <w:p w14:paraId="7374D02B" w14:textId="77777777" w:rsidR="00000000" w:rsidRDefault="00405D16">
            <w:pPr>
              <w:spacing w:after="100"/>
              <w:rPr>
                <w:rFonts w:eastAsia="Times New Roman"/>
                <w:sz w:val="20"/>
                <w:szCs w:val="20"/>
              </w:rPr>
            </w:pPr>
          </w:p>
        </w:tc>
      </w:tr>
      <w:tr w:rsidR="00000000" w14:paraId="3BE18D8E" w14:textId="77777777">
        <w:trPr>
          <w:divId w:val="403793655"/>
          <w:trHeight w:val="300"/>
          <w:jc w:val="center"/>
        </w:trPr>
        <w:tc>
          <w:tcPr>
            <w:tcW w:w="0" w:type="auto"/>
            <w:gridSpan w:val="9"/>
            <w:tcMar>
              <w:top w:w="0" w:type="dxa"/>
              <w:left w:w="20" w:type="dxa"/>
              <w:bottom w:w="0" w:type="dxa"/>
              <w:right w:w="20" w:type="dxa"/>
            </w:tcMar>
            <w:vAlign w:val="center"/>
            <w:hideMark/>
          </w:tcPr>
          <w:p w14:paraId="6444BBB2" w14:textId="77777777" w:rsidR="00000000" w:rsidRDefault="00405D16">
            <w:pPr>
              <w:spacing w:after="100"/>
              <w:rPr>
                <w:rFonts w:eastAsia="Times New Roman"/>
                <w:sz w:val="20"/>
                <w:szCs w:val="20"/>
              </w:rPr>
            </w:pPr>
          </w:p>
        </w:tc>
      </w:tr>
      <w:tr w:rsidR="00000000" w14:paraId="11FA3177" w14:textId="77777777">
        <w:trPr>
          <w:divId w:val="403793655"/>
          <w:jc w:val="center"/>
        </w:trPr>
        <w:tc>
          <w:tcPr>
            <w:tcW w:w="0" w:type="auto"/>
            <w:gridSpan w:val="3"/>
            <w:tcMar>
              <w:top w:w="0" w:type="dxa"/>
              <w:left w:w="20" w:type="dxa"/>
              <w:bottom w:w="0" w:type="dxa"/>
              <w:right w:w="20" w:type="dxa"/>
            </w:tcMar>
            <w:vAlign w:val="center"/>
            <w:hideMark/>
          </w:tcPr>
          <w:p w14:paraId="57005E05"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423D310" w14:textId="77777777" w:rsidR="00000000" w:rsidRDefault="00405D16">
            <w:pPr>
              <w:spacing w:after="100"/>
              <w:jc w:val="center"/>
              <w:rPr>
                <w:rFonts w:eastAsia="Times New Roman"/>
              </w:rPr>
            </w:pPr>
            <w:r>
              <w:rPr>
                <w:rFonts w:eastAsia="Times New Roman"/>
                <w:color w:val="000000"/>
                <w:sz w:val="16"/>
                <w:szCs w:val="16"/>
              </w:rPr>
              <w:t>128</w:t>
            </w:r>
          </w:p>
        </w:tc>
        <w:tc>
          <w:tcPr>
            <w:tcW w:w="0" w:type="auto"/>
            <w:gridSpan w:val="3"/>
            <w:tcMar>
              <w:top w:w="30" w:type="dxa"/>
              <w:left w:w="20" w:type="dxa"/>
              <w:bottom w:w="30" w:type="dxa"/>
              <w:right w:w="20" w:type="dxa"/>
            </w:tcMar>
            <w:vAlign w:val="bottom"/>
            <w:hideMark/>
          </w:tcPr>
          <w:p w14:paraId="2D64E036"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46485E66" w14:textId="77777777" w:rsidR="00000000" w:rsidRDefault="00405D16">
      <w:pPr>
        <w:rPr>
          <w:rFonts w:eastAsia="Times New Roman"/>
        </w:rPr>
      </w:pPr>
      <w:r>
        <w:rPr>
          <w:rFonts w:eastAsia="Times New Roman"/>
        </w:rPr>
        <w:pict w14:anchorId="2E446D0C">
          <v:rect id="_x0000_i1153" style="width:0;height:1.5pt" o:hralign="center" o:hrstd="t" o:hr="t" fillcolor="#a0a0a0" stroked="f"/>
        </w:pict>
      </w:r>
    </w:p>
    <w:p w14:paraId="615A436C" w14:textId="77777777" w:rsidR="00000000" w:rsidRDefault="00405D16">
      <w:pPr>
        <w:jc w:val="both"/>
        <w:divId w:val="171185172"/>
        <w:rPr>
          <w:rFonts w:eastAsia="Times New Roman"/>
        </w:rPr>
      </w:pPr>
      <w:hyperlink w:anchor="idd54a04a485440b4ab4e56094c14d612_13" w:history="1">
        <w:r>
          <w:rPr>
            <w:rStyle w:val="a3"/>
            <w:rFonts w:eastAsia="Times New Roman"/>
            <w:sz w:val="16"/>
            <w:szCs w:val="16"/>
          </w:rPr>
          <w:t>Table of Contents</w:t>
        </w:r>
      </w:hyperlink>
    </w:p>
    <w:p w14:paraId="5ED9744D" w14:textId="77777777" w:rsidR="00000000" w:rsidRDefault="00405D16">
      <w:pPr>
        <w:jc w:val="center"/>
        <w:divId w:val="17118517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56F688D6" w14:textId="77777777">
        <w:trPr>
          <w:divId w:val="1736930203"/>
        </w:trPr>
        <w:tc>
          <w:tcPr>
            <w:tcW w:w="50" w:type="pct"/>
            <w:vAlign w:val="center"/>
            <w:hideMark/>
          </w:tcPr>
          <w:p w14:paraId="574FA7A8" w14:textId="77777777" w:rsidR="00000000" w:rsidRDefault="00405D16">
            <w:pPr>
              <w:jc w:val="center"/>
              <w:rPr>
                <w:rFonts w:eastAsia="Times New Roman"/>
              </w:rPr>
            </w:pPr>
          </w:p>
        </w:tc>
        <w:tc>
          <w:tcPr>
            <w:tcW w:w="4945" w:type="pct"/>
            <w:vAlign w:val="center"/>
            <w:hideMark/>
          </w:tcPr>
          <w:p w14:paraId="25DFB146" w14:textId="77777777" w:rsidR="00000000" w:rsidRDefault="00405D16">
            <w:pPr>
              <w:spacing w:after="100"/>
              <w:rPr>
                <w:rFonts w:eastAsia="Times New Roman"/>
                <w:sz w:val="20"/>
                <w:szCs w:val="20"/>
              </w:rPr>
            </w:pPr>
          </w:p>
        </w:tc>
        <w:tc>
          <w:tcPr>
            <w:tcW w:w="5" w:type="pct"/>
            <w:vAlign w:val="center"/>
            <w:hideMark/>
          </w:tcPr>
          <w:p w14:paraId="11A08AB9" w14:textId="77777777" w:rsidR="00000000" w:rsidRDefault="00405D16">
            <w:pPr>
              <w:spacing w:after="100"/>
              <w:rPr>
                <w:rFonts w:eastAsia="Times New Roman"/>
                <w:sz w:val="20"/>
                <w:szCs w:val="20"/>
              </w:rPr>
            </w:pPr>
          </w:p>
        </w:tc>
      </w:tr>
      <w:tr w:rsidR="00000000" w14:paraId="6ADE83CD" w14:textId="77777777">
        <w:trPr>
          <w:divId w:val="1736930203"/>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4AEC6B55" w14:textId="77777777" w:rsidR="00000000" w:rsidRDefault="00405D16">
            <w:pPr>
              <w:spacing w:after="100"/>
              <w:rPr>
                <w:rFonts w:eastAsia="Times New Roman"/>
              </w:rPr>
            </w:pPr>
            <w:r>
              <w:rPr>
                <w:rFonts w:eastAsia="Times New Roman"/>
                <w:b/>
                <w:bCs/>
                <w:color w:val="000000"/>
                <w:sz w:val="20"/>
                <w:szCs w:val="20"/>
              </w:rPr>
              <w:t>NOTE 13—COMMITMENTS, CONTINGENCIES, GUARANTEES AND OTHERS</w:t>
            </w:r>
          </w:p>
        </w:tc>
      </w:tr>
    </w:tbl>
    <w:p w14:paraId="75734D33" w14:textId="77777777" w:rsidR="00000000" w:rsidRDefault="00405D16">
      <w:pPr>
        <w:divId w:val="829638662"/>
        <w:rPr>
          <w:rFonts w:eastAsia="Times New Roman"/>
        </w:rPr>
      </w:pPr>
      <w:r>
        <w:rPr>
          <w:rFonts w:eastAsia="Times New Roman"/>
          <w:b/>
          <w:bCs/>
          <w:color w:val="000000"/>
          <w:sz w:val="20"/>
          <w:szCs w:val="20"/>
        </w:rPr>
        <w:t>Commitments to Lend</w:t>
      </w:r>
    </w:p>
    <w:p w14:paraId="636595EF" w14:textId="77777777" w:rsidR="00000000" w:rsidRDefault="00405D16">
      <w:pPr>
        <w:jc w:val="both"/>
        <w:divId w:val="425274605"/>
        <w:rPr>
          <w:rFonts w:eastAsia="Times New Roman"/>
        </w:rPr>
      </w:pPr>
      <w:r>
        <w:rPr>
          <w:rFonts w:eastAsia="Times New Roman"/>
          <w:color w:val="000000"/>
          <w:sz w:val="20"/>
          <w:szCs w:val="20"/>
        </w:rPr>
        <w:t>Our unfunded lending commitments primarily consist of credit card lines, loan commitments to customers of both our Commercial Banking and Consumer Banking businesses, as well as standby and commercial letters of credit. These commitments, other than credit</w:t>
      </w:r>
      <w:r>
        <w:rPr>
          <w:rFonts w:eastAsia="Times New Roman"/>
          <w:color w:val="000000"/>
          <w:sz w:val="20"/>
          <w:szCs w:val="20"/>
        </w:rPr>
        <w:t xml:space="preserve"> card lines, are legally binding conditional agreements that have fixed expirations or termination dates and specified interest rates and purposes. The contractual amount of these commitments represents the maximum possible credit risk to us should the cou</w:t>
      </w:r>
      <w:r>
        <w:rPr>
          <w:rFonts w:eastAsia="Times New Roman"/>
          <w:color w:val="000000"/>
          <w:sz w:val="20"/>
          <w:szCs w:val="20"/>
        </w:rPr>
        <w:t>nterparty draw upon the commitment. We generally manage the potential risk of unfunded lending commitments by limiting the total amount of arrangements, monitoring the size and maturity structure of these portfolios and applying the same credit standards f</w:t>
      </w:r>
      <w:r>
        <w:rPr>
          <w:rFonts w:eastAsia="Times New Roman"/>
          <w:color w:val="000000"/>
          <w:sz w:val="20"/>
          <w:szCs w:val="20"/>
        </w:rPr>
        <w:t>or all of our credit activities.</w:t>
      </w:r>
    </w:p>
    <w:p w14:paraId="4B35EE21" w14:textId="77777777" w:rsidR="00000000" w:rsidRDefault="00405D16">
      <w:pPr>
        <w:jc w:val="both"/>
        <w:divId w:val="552498954"/>
        <w:rPr>
          <w:rFonts w:eastAsia="Times New Roman"/>
        </w:rPr>
      </w:pPr>
      <w:r>
        <w:rPr>
          <w:rFonts w:eastAsia="Times New Roman"/>
          <w:color w:val="000000"/>
          <w:sz w:val="20"/>
          <w:szCs w:val="20"/>
        </w:rPr>
        <w:t>For unused credit card lines, we have not experienced and do not anticipate that all of our customers will access their entire available line at any given point in time. Commitments to extend credit other than credit card l</w:t>
      </w:r>
      <w:r>
        <w:rPr>
          <w:rFonts w:eastAsia="Times New Roman"/>
          <w:color w:val="000000"/>
          <w:sz w:val="20"/>
          <w:szCs w:val="20"/>
        </w:rPr>
        <w:t>ines generally require customers to maintain certain credit standards. Collateral requirements and loan-to-value (“LTV”) ratios are the same as those for funded transactions and are established based on management’s credit assessment of the customer. These</w:t>
      </w:r>
      <w:r>
        <w:rPr>
          <w:rFonts w:eastAsia="Times New Roman"/>
          <w:color w:val="000000"/>
          <w:sz w:val="20"/>
          <w:szCs w:val="20"/>
        </w:rPr>
        <w:t xml:space="preserve"> commitments may expire without being drawn upon; therefore, the total commitment amount does not necessarily represent future funding requirements.</w:t>
      </w:r>
    </w:p>
    <w:p w14:paraId="6EFD4EF0" w14:textId="77777777" w:rsidR="00000000" w:rsidRDefault="00405D16">
      <w:pPr>
        <w:jc w:val="both"/>
        <w:divId w:val="1743913859"/>
        <w:rPr>
          <w:rFonts w:eastAsia="Times New Roman"/>
        </w:rPr>
      </w:pPr>
      <w:r>
        <w:rPr>
          <w:rFonts w:eastAsia="Times New Roman"/>
          <w:color w:val="000000"/>
          <w:sz w:val="20"/>
          <w:szCs w:val="20"/>
        </w:rPr>
        <w:t>We also issue letters of credit, such as financial standby, performance standby and commercial letters of c</w:t>
      </w:r>
      <w:r>
        <w:rPr>
          <w:rFonts w:eastAsia="Times New Roman"/>
          <w:color w:val="000000"/>
          <w:sz w:val="20"/>
          <w:szCs w:val="20"/>
        </w:rPr>
        <w:t>redit, to meet the financing needs of our customers. Standby letters of credit are conditional commitments issued by us to guarantee the performance of a customer to a third party in a borrowing arrangement. Commercial letters of credit are short-term comm</w:t>
      </w:r>
      <w:r>
        <w:rPr>
          <w:rFonts w:eastAsia="Times New Roman"/>
          <w:color w:val="000000"/>
          <w:sz w:val="20"/>
          <w:szCs w:val="20"/>
        </w:rPr>
        <w:t xml:space="preserve">itments issued primarily to facilitate trade finance activities for customers and are generally collateralized by the goods being shipped to the customer. These collateral requirements are similar to those for funded transactions and are established based </w:t>
      </w:r>
      <w:r>
        <w:rPr>
          <w:rFonts w:eastAsia="Times New Roman"/>
          <w:color w:val="000000"/>
          <w:sz w:val="20"/>
          <w:szCs w:val="20"/>
        </w:rPr>
        <w:t>on management’s credit assessment of the customer. Management conducts regular reviews of all outstanding letters of credit and the results of these reviews are considered in assessing the adequacy of reserves for unfunded lending commitments.</w:t>
      </w:r>
    </w:p>
    <w:p w14:paraId="06CA3D0F" w14:textId="77777777" w:rsidR="00000000" w:rsidRDefault="00405D16">
      <w:pPr>
        <w:jc w:val="both"/>
        <w:divId w:val="1319966313"/>
        <w:rPr>
          <w:rFonts w:eastAsia="Times New Roman"/>
        </w:rPr>
      </w:pPr>
      <w:r>
        <w:rPr>
          <w:rFonts w:eastAsia="Times New Roman"/>
          <w:color w:val="000000"/>
          <w:sz w:val="20"/>
          <w:szCs w:val="20"/>
        </w:rPr>
        <w:t>The followin</w:t>
      </w:r>
      <w:r>
        <w:rPr>
          <w:rFonts w:eastAsia="Times New Roman"/>
          <w:color w:val="000000"/>
          <w:sz w:val="20"/>
          <w:szCs w:val="20"/>
        </w:rPr>
        <w:t>g table presents the contractual amount and carrying value of our unfunded lending commitments as of September 30, 2021 and December 31, 2020. The carrying value represents our reserve and deferred revenue on legally binding commitments.</w:t>
      </w:r>
    </w:p>
    <w:p w14:paraId="17952345" w14:textId="77777777" w:rsidR="00000000" w:rsidRDefault="00405D16">
      <w:pPr>
        <w:divId w:val="1065957915"/>
        <w:rPr>
          <w:rFonts w:eastAsia="Times New Roman"/>
        </w:rPr>
      </w:pPr>
      <w:r>
        <w:rPr>
          <w:rFonts w:eastAsia="Times New Roman"/>
          <w:b/>
          <w:bCs/>
          <w:color w:val="000000"/>
          <w:sz w:val="18"/>
          <w:szCs w:val="18"/>
        </w:rPr>
        <w:t>Table 13.1: Unfund</w:t>
      </w:r>
      <w:r>
        <w:rPr>
          <w:rFonts w:eastAsia="Times New Roman"/>
          <w:b/>
          <w:bCs/>
          <w:color w:val="000000"/>
          <w:sz w:val="18"/>
          <w:szCs w:val="18"/>
        </w:rPr>
        <w:t>ed Lending Commitments</w:t>
      </w:r>
    </w:p>
    <w:tbl>
      <w:tblPr>
        <w:tblW w:w="4992" w:type="pct"/>
        <w:tblCellMar>
          <w:top w:w="15" w:type="dxa"/>
          <w:left w:w="15" w:type="dxa"/>
          <w:bottom w:w="15" w:type="dxa"/>
          <w:right w:w="15" w:type="dxa"/>
        </w:tblCellMar>
        <w:tblLook w:val="04A0" w:firstRow="1" w:lastRow="0" w:firstColumn="1" w:lastColumn="0" w:noHBand="0" w:noVBand="1"/>
      </w:tblPr>
      <w:tblGrid>
        <w:gridCol w:w="38"/>
        <w:gridCol w:w="4270"/>
        <w:gridCol w:w="37"/>
        <w:gridCol w:w="36"/>
        <w:gridCol w:w="36"/>
        <w:gridCol w:w="36"/>
        <w:gridCol w:w="110"/>
        <w:gridCol w:w="732"/>
        <w:gridCol w:w="36"/>
        <w:gridCol w:w="36"/>
        <w:gridCol w:w="36"/>
        <w:gridCol w:w="36"/>
        <w:gridCol w:w="110"/>
        <w:gridCol w:w="732"/>
        <w:gridCol w:w="36"/>
        <w:gridCol w:w="36"/>
        <w:gridCol w:w="36"/>
        <w:gridCol w:w="36"/>
        <w:gridCol w:w="111"/>
        <w:gridCol w:w="732"/>
        <w:gridCol w:w="36"/>
        <w:gridCol w:w="36"/>
        <w:gridCol w:w="36"/>
        <w:gridCol w:w="36"/>
        <w:gridCol w:w="111"/>
        <w:gridCol w:w="734"/>
        <w:gridCol w:w="36"/>
      </w:tblGrid>
      <w:tr w:rsidR="00000000" w14:paraId="2586126B" w14:textId="77777777">
        <w:trPr>
          <w:divId w:val="440031047"/>
        </w:trPr>
        <w:tc>
          <w:tcPr>
            <w:tcW w:w="50" w:type="pct"/>
            <w:vAlign w:val="center"/>
            <w:hideMark/>
          </w:tcPr>
          <w:p w14:paraId="4F76D818" w14:textId="77777777" w:rsidR="00000000" w:rsidRDefault="00405D16">
            <w:pPr>
              <w:rPr>
                <w:rFonts w:eastAsia="Times New Roman"/>
              </w:rPr>
            </w:pPr>
          </w:p>
        </w:tc>
        <w:tc>
          <w:tcPr>
            <w:tcW w:w="2602" w:type="pct"/>
            <w:vAlign w:val="center"/>
            <w:hideMark/>
          </w:tcPr>
          <w:p w14:paraId="1D4CFC3E" w14:textId="77777777" w:rsidR="00000000" w:rsidRDefault="00405D16">
            <w:pPr>
              <w:spacing w:after="100"/>
              <w:rPr>
                <w:rFonts w:eastAsia="Times New Roman"/>
                <w:sz w:val="20"/>
                <w:szCs w:val="20"/>
              </w:rPr>
            </w:pPr>
          </w:p>
        </w:tc>
        <w:tc>
          <w:tcPr>
            <w:tcW w:w="5" w:type="pct"/>
            <w:vAlign w:val="center"/>
            <w:hideMark/>
          </w:tcPr>
          <w:p w14:paraId="2D75A31A" w14:textId="77777777" w:rsidR="00000000" w:rsidRDefault="00405D16">
            <w:pPr>
              <w:spacing w:after="100"/>
              <w:rPr>
                <w:rFonts w:eastAsia="Times New Roman"/>
                <w:sz w:val="20"/>
                <w:szCs w:val="20"/>
              </w:rPr>
            </w:pPr>
          </w:p>
        </w:tc>
        <w:tc>
          <w:tcPr>
            <w:tcW w:w="5" w:type="pct"/>
            <w:vAlign w:val="center"/>
            <w:hideMark/>
          </w:tcPr>
          <w:p w14:paraId="14FEE85A" w14:textId="77777777" w:rsidR="00000000" w:rsidRDefault="00405D16">
            <w:pPr>
              <w:spacing w:after="100"/>
              <w:rPr>
                <w:rFonts w:eastAsia="Times New Roman"/>
                <w:sz w:val="20"/>
                <w:szCs w:val="20"/>
              </w:rPr>
            </w:pPr>
          </w:p>
        </w:tc>
        <w:tc>
          <w:tcPr>
            <w:tcW w:w="26" w:type="pct"/>
            <w:vAlign w:val="center"/>
            <w:hideMark/>
          </w:tcPr>
          <w:p w14:paraId="12247840" w14:textId="77777777" w:rsidR="00000000" w:rsidRDefault="00405D16">
            <w:pPr>
              <w:spacing w:after="100"/>
              <w:rPr>
                <w:rFonts w:eastAsia="Times New Roman"/>
                <w:sz w:val="20"/>
                <w:szCs w:val="20"/>
              </w:rPr>
            </w:pPr>
          </w:p>
        </w:tc>
        <w:tc>
          <w:tcPr>
            <w:tcW w:w="5" w:type="pct"/>
            <w:vAlign w:val="center"/>
            <w:hideMark/>
          </w:tcPr>
          <w:p w14:paraId="1C25E188" w14:textId="77777777" w:rsidR="00000000" w:rsidRDefault="00405D16">
            <w:pPr>
              <w:spacing w:after="100"/>
              <w:rPr>
                <w:rFonts w:eastAsia="Times New Roman"/>
                <w:sz w:val="20"/>
                <w:szCs w:val="20"/>
              </w:rPr>
            </w:pPr>
          </w:p>
        </w:tc>
        <w:tc>
          <w:tcPr>
            <w:tcW w:w="50" w:type="pct"/>
            <w:vAlign w:val="center"/>
            <w:hideMark/>
          </w:tcPr>
          <w:p w14:paraId="7449CD4F" w14:textId="77777777" w:rsidR="00000000" w:rsidRDefault="00405D16">
            <w:pPr>
              <w:spacing w:after="100"/>
              <w:rPr>
                <w:rFonts w:eastAsia="Times New Roman"/>
                <w:sz w:val="20"/>
                <w:szCs w:val="20"/>
              </w:rPr>
            </w:pPr>
          </w:p>
        </w:tc>
        <w:tc>
          <w:tcPr>
            <w:tcW w:w="494" w:type="pct"/>
            <w:vAlign w:val="center"/>
            <w:hideMark/>
          </w:tcPr>
          <w:p w14:paraId="4E5644A9" w14:textId="77777777" w:rsidR="00000000" w:rsidRDefault="00405D16">
            <w:pPr>
              <w:spacing w:after="100"/>
              <w:rPr>
                <w:rFonts w:eastAsia="Times New Roman"/>
                <w:sz w:val="20"/>
                <w:szCs w:val="20"/>
              </w:rPr>
            </w:pPr>
          </w:p>
        </w:tc>
        <w:tc>
          <w:tcPr>
            <w:tcW w:w="5" w:type="pct"/>
            <w:vAlign w:val="center"/>
            <w:hideMark/>
          </w:tcPr>
          <w:p w14:paraId="5E94F610" w14:textId="77777777" w:rsidR="00000000" w:rsidRDefault="00405D16">
            <w:pPr>
              <w:spacing w:after="100"/>
              <w:rPr>
                <w:rFonts w:eastAsia="Times New Roman"/>
                <w:sz w:val="20"/>
                <w:szCs w:val="20"/>
              </w:rPr>
            </w:pPr>
          </w:p>
        </w:tc>
        <w:tc>
          <w:tcPr>
            <w:tcW w:w="5" w:type="pct"/>
            <w:vAlign w:val="center"/>
            <w:hideMark/>
          </w:tcPr>
          <w:p w14:paraId="13B0A885" w14:textId="77777777" w:rsidR="00000000" w:rsidRDefault="00405D16">
            <w:pPr>
              <w:spacing w:after="100"/>
              <w:rPr>
                <w:rFonts w:eastAsia="Times New Roman"/>
                <w:sz w:val="20"/>
                <w:szCs w:val="20"/>
              </w:rPr>
            </w:pPr>
          </w:p>
        </w:tc>
        <w:tc>
          <w:tcPr>
            <w:tcW w:w="26" w:type="pct"/>
            <w:vAlign w:val="center"/>
            <w:hideMark/>
          </w:tcPr>
          <w:p w14:paraId="7B3DAE96" w14:textId="77777777" w:rsidR="00000000" w:rsidRDefault="00405D16">
            <w:pPr>
              <w:spacing w:after="100"/>
              <w:rPr>
                <w:rFonts w:eastAsia="Times New Roman"/>
                <w:sz w:val="20"/>
                <w:szCs w:val="20"/>
              </w:rPr>
            </w:pPr>
          </w:p>
        </w:tc>
        <w:tc>
          <w:tcPr>
            <w:tcW w:w="5" w:type="pct"/>
            <w:vAlign w:val="center"/>
            <w:hideMark/>
          </w:tcPr>
          <w:p w14:paraId="085F9A25" w14:textId="77777777" w:rsidR="00000000" w:rsidRDefault="00405D16">
            <w:pPr>
              <w:spacing w:after="100"/>
              <w:rPr>
                <w:rFonts w:eastAsia="Times New Roman"/>
                <w:sz w:val="20"/>
                <w:szCs w:val="20"/>
              </w:rPr>
            </w:pPr>
          </w:p>
        </w:tc>
        <w:tc>
          <w:tcPr>
            <w:tcW w:w="50" w:type="pct"/>
            <w:vAlign w:val="center"/>
            <w:hideMark/>
          </w:tcPr>
          <w:p w14:paraId="56A93569" w14:textId="77777777" w:rsidR="00000000" w:rsidRDefault="00405D16">
            <w:pPr>
              <w:spacing w:after="100"/>
              <w:rPr>
                <w:rFonts w:eastAsia="Times New Roman"/>
                <w:sz w:val="20"/>
                <w:szCs w:val="20"/>
              </w:rPr>
            </w:pPr>
          </w:p>
        </w:tc>
        <w:tc>
          <w:tcPr>
            <w:tcW w:w="494" w:type="pct"/>
            <w:vAlign w:val="center"/>
            <w:hideMark/>
          </w:tcPr>
          <w:p w14:paraId="3472F149" w14:textId="77777777" w:rsidR="00000000" w:rsidRDefault="00405D16">
            <w:pPr>
              <w:spacing w:after="100"/>
              <w:rPr>
                <w:rFonts w:eastAsia="Times New Roman"/>
                <w:sz w:val="20"/>
                <w:szCs w:val="20"/>
              </w:rPr>
            </w:pPr>
          </w:p>
        </w:tc>
        <w:tc>
          <w:tcPr>
            <w:tcW w:w="5" w:type="pct"/>
            <w:vAlign w:val="center"/>
            <w:hideMark/>
          </w:tcPr>
          <w:p w14:paraId="389F45D3" w14:textId="77777777" w:rsidR="00000000" w:rsidRDefault="00405D16">
            <w:pPr>
              <w:spacing w:after="100"/>
              <w:rPr>
                <w:rFonts w:eastAsia="Times New Roman"/>
                <w:sz w:val="20"/>
                <w:szCs w:val="20"/>
              </w:rPr>
            </w:pPr>
          </w:p>
        </w:tc>
        <w:tc>
          <w:tcPr>
            <w:tcW w:w="5" w:type="pct"/>
            <w:vAlign w:val="center"/>
            <w:hideMark/>
          </w:tcPr>
          <w:p w14:paraId="5146945B" w14:textId="77777777" w:rsidR="00000000" w:rsidRDefault="00405D16">
            <w:pPr>
              <w:spacing w:after="100"/>
              <w:rPr>
                <w:rFonts w:eastAsia="Times New Roman"/>
                <w:sz w:val="20"/>
                <w:szCs w:val="20"/>
              </w:rPr>
            </w:pPr>
          </w:p>
        </w:tc>
        <w:tc>
          <w:tcPr>
            <w:tcW w:w="26" w:type="pct"/>
            <w:vAlign w:val="center"/>
            <w:hideMark/>
          </w:tcPr>
          <w:p w14:paraId="1BB645B2" w14:textId="77777777" w:rsidR="00000000" w:rsidRDefault="00405D16">
            <w:pPr>
              <w:spacing w:after="100"/>
              <w:rPr>
                <w:rFonts w:eastAsia="Times New Roman"/>
                <w:sz w:val="20"/>
                <w:szCs w:val="20"/>
              </w:rPr>
            </w:pPr>
          </w:p>
        </w:tc>
        <w:tc>
          <w:tcPr>
            <w:tcW w:w="5" w:type="pct"/>
            <w:vAlign w:val="center"/>
            <w:hideMark/>
          </w:tcPr>
          <w:p w14:paraId="3A9C80F3" w14:textId="77777777" w:rsidR="00000000" w:rsidRDefault="00405D16">
            <w:pPr>
              <w:spacing w:after="100"/>
              <w:rPr>
                <w:rFonts w:eastAsia="Times New Roman"/>
                <w:sz w:val="20"/>
                <w:szCs w:val="20"/>
              </w:rPr>
            </w:pPr>
          </w:p>
        </w:tc>
        <w:tc>
          <w:tcPr>
            <w:tcW w:w="50" w:type="pct"/>
            <w:vAlign w:val="center"/>
            <w:hideMark/>
          </w:tcPr>
          <w:p w14:paraId="210BC877" w14:textId="77777777" w:rsidR="00000000" w:rsidRDefault="00405D16">
            <w:pPr>
              <w:spacing w:after="100"/>
              <w:rPr>
                <w:rFonts w:eastAsia="Times New Roman"/>
                <w:sz w:val="20"/>
                <w:szCs w:val="20"/>
              </w:rPr>
            </w:pPr>
          </w:p>
        </w:tc>
        <w:tc>
          <w:tcPr>
            <w:tcW w:w="494" w:type="pct"/>
            <w:vAlign w:val="center"/>
            <w:hideMark/>
          </w:tcPr>
          <w:p w14:paraId="5C163D11" w14:textId="77777777" w:rsidR="00000000" w:rsidRDefault="00405D16">
            <w:pPr>
              <w:spacing w:after="100"/>
              <w:rPr>
                <w:rFonts w:eastAsia="Times New Roman"/>
                <w:sz w:val="20"/>
                <w:szCs w:val="20"/>
              </w:rPr>
            </w:pPr>
          </w:p>
        </w:tc>
        <w:tc>
          <w:tcPr>
            <w:tcW w:w="5" w:type="pct"/>
            <w:vAlign w:val="center"/>
            <w:hideMark/>
          </w:tcPr>
          <w:p w14:paraId="5C31AC16" w14:textId="77777777" w:rsidR="00000000" w:rsidRDefault="00405D16">
            <w:pPr>
              <w:spacing w:after="100"/>
              <w:rPr>
                <w:rFonts w:eastAsia="Times New Roman"/>
                <w:sz w:val="20"/>
                <w:szCs w:val="20"/>
              </w:rPr>
            </w:pPr>
          </w:p>
        </w:tc>
        <w:tc>
          <w:tcPr>
            <w:tcW w:w="5" w:type="pct"/>
            <w:vAlign w:val="center"/>
            <w:hideMark/>
          </w:tcPr>
          <w:p w14:paraId="78A3ABF2" w14:textId="77777777" w:rsidR="00000000" w:rsidRDefault="00405D16">
            <w:pPr>
              <w:spacing w:after="100"/>
              <w:rPr>
                <w:rFonts w:eastAsia="Times New Roman"/>
                <w:sz w:val="20"/>
                <w:szCs w:val="20"/>
              </w:rPr>
            </w:pPr>
          </w:p>
        </w:tc>
        <w:tc>
          <w:tcPr>
            <w:tcW w:w="26" w:type="pct"/>
            <w:vAlign w:val="center"/>
            <w:hideMark/>
          </w:tcPr>
          <w:p w14:paraId="3A084898" w14:textId="77777777" w:rsidR="00000000" w:rsidRDefault="00405D16">
            <w:pPr>
              <w:spacing w:after="100"/>
              <w:rPr>
                <w:rFonts w:eastAsia="Times New Roman"/>
                <w:sz w:val="20"/>
                <w:szCs w:val="20"/>
              </w:rPr>
            </w:pPr>
          </w:p>
        </w:tc>
        <w:tc>
          <w:tcPr>
            <w:tcW w:w="5" w:type="pct"/>
            <w:vAlign w:val="center"/>
            <w:hideMark/>
          </w:tcPr>
          <w:p w14:paraId="6AD5B56D" w14:textId="77777777" w:rsidR="00000000" w:rsidRDefault="00405D16">
            <w:pPr>
              <w:spacing w:after="100"/>
              <w:rPr>
                <w:rFonts w:eastAsia="Times New Roman"/>
                <w:sz w:val="20"/>
                <w:szCs w:val="20"/>
              </w:rPr>
            </w:pPr>
          </w:p>
        </w:tc>
        <w:tc>
          <w:tcPr>
            <w:tcW w:w="50" w:type="pct"/>
            <w:vAlign w:val="center"/>
            <w:hideMark/>
          </w:tcPr>
          <w:p w14:paraId="239DF802" w14:textId="77777777" w:rsidR="00000000" w:rsidRDefault="00405D16">
            <w:pPr>
              <w:spacing w:after="100"/>
              <w:rPr>
                <w:rFonts w:eastAsia="Times New Roman"/>
                <w:sz w:val="20"/>
                <w:szCs w:val="20"/>
              </w:rPr>
            </w:pPr>
          </w:p>
        </w:tc>
        <w:tc>
          <w:tcPr>
            <w:tcW w:w="494" w:type="pct"/>
            <w:vAlign w:val="center"/>
            <w:hideMark/>
          </w:tcPr>
          <w:p w14:paraId="7E401D4B" w14:textId="77777777" w:rsidR="00000000" w:rsidRDefault="00405D16">
            <w:pPr>
              <w:spacing w:after="100"/>
              <w:rPr>
                <w:rFonts w:eastAsia="Times New Roman"/>
                <w:sz w:val="20"/>
                <w:szCs w:val="20"/>
              </w:rPr>
            </w:pPr>
          </w:p>
        </w:tc>
        <w:tc>
          <w:tcPr>
            <w:tcW w:w="5" w:type="pct"/>
            <w:vAlign w:val="center"/>
            <w:hideMark/>
          </w:tcPr>
          <w:p w14:paraId="7CB0CBC4" w14:textId="77777777" w:rsidR="00000000" w:rsidRDefault="00405D16">
            <w:pPr>
              <w:spacing w:after="100"/>
              <w:rPr>
                <w:rFonts w:eastAsia="Times New Roman"/>
                <w:sz w:val="20"/>
                <w:szCs w:val="20"/>
              </w:rPr>
            </w:pPr>
          </w:p>
        </w:tc>
      </w:tr>
      <w:tr w:rsidR="00000000" w14:paraId="5616AA98" w14:textId="77777777">
        <w:trPr>
          <w:divId w:val="440031047"/>
        </w:trPr>
        <w:tc>
          <w:tcPr>
            <w:tcW w:w="0" w:type="auto"/>
            <w:gridSpan w:val="3"/>
            <w:tcMar>
              <w:top w:w="0" w:type="dxa"/>
              <w:left w:w="20" w:type="dxa"/>
              <w:bottom w:w="0" w:type="dxa"/>
              <w:right w:w="20" w:type="dxa"/>
            </w:tcMar>
            <w:vAlign w:val="center"/>
            <w:hideMark/>
          </w:tcPr>
          <w:p w14:paraId="237D6239"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C2DE5E6" w14:textId="77777777" w:rsidR="00000000" w:rsidRDefault="00405D16">
            <w:pPr>
              <w:spacing w:after="100"/>
              <w:rPr>
                <w:rFonts w:eastAsia="Times New Roman"/>
                <w:sz w:val="20"/>
                <w:szCs w:val="20"/>
              </w:rPr>
            </w:pPr>
          </w:p>
        </w:tc>
        <w:tc>
          <w:tcPr>
            <w:tcW w:w="0" w:type="auto"/>
            <w:gridSpan w:val="9"/>
            <w:tcMar>
              <w:top w:w="30" w:type="dxa"/>
              <w:left w:w="20" w:type="dxa"/>
              <w:bottom w:w="30" w:type="dxa"/>
              <w:right w:w="20" w:type="dxa"/>
            </w:tcMar>
            <w:vAlign w:val="center"/>
            <w:hideMark/>
          </w:tcPr>
          <w:p w14:paraId="27D95D15" w14:textId="77777777" w:rsidR="00000000" w:rsidRDefault="00405D16">
            <w:pPr>
              <w:spacing w:after="100"/>
              <w:jc w:val="center"/>
              <w:rPr>
                <w:rFonts w:eastAsia="Times New Roman"/>
              </w:rPr>
            </w:pPr>
            <w:r>
              <w:rPr>
                <w:rFonts w:eastAsia="Times New Roman"/>
                <w:b/>
                <w:bCs/>
                <w:color w:val="000000"/>
                <w:sz w:val="16"/>
                <w:szCs w:val="16"/>
              </w:rPr>
              <w:t>Contractual Amount</w:t>
            </w:r>
          </w:p>
        </w:tc>
        <w:tc>
          <w:tcPr>
            <w:tcW w:w="0" w:type="auto"/>
            <w:gridSpan w:val="3"/>
            <w:tcMar>
              <w:top w:w="0" w:type="dxa"/>
              <w:left w:w="20" w:type="dxa"/>
              <w:bottom w:w="0" w:type="dxa"/>
              <w:right w:w="20" w:type="dxa"/>
            </w:tcMar>
            <w:vAlign w:val="center"/>
            <w:hideMark/>
          </w:tcPr>
          <w:p w14:paraId="58D4AEC4" w14:textId="77777777" w:rsidR="00000000" w:rsidRDefault="00405D16">
            <w:pPr>
              <w:spacing w:after="100"/>
              <w:jc w:val="center"/>
              <w:rPr>
                <w:rFonts w:eastAsia="Times New Roman"/>
              </w:rPr>
            </w:pPr>
          </w:p>
        </w:tc>
        <w:tc>
          <w:tcPr>
            <w:tcW w:w="0" w:type="auto"/>
            <w:gridSpan w:val="9"/>
            <w:tcMar>
              <w:top w:w="30" w:type="dxa"/>
              <w:left w:w="20" w:type="dxa"/>
              <w:bottom w:w="30" w:type="dxa"/>
              <w:right w:w="20" w:type="dxa"/>
            </w:tcMar>
            <w:vAlign w:val="center"/>
            <w:hideMark/>
          </w:tcPr>
          <w:p w14:paraId="7241819F" w14:textId="77777777" w:rsidR="00000000" w:rsidRDefault="00405D16">
            <w:pPr>
              <w:spacing w:after="100"/>
              <w:jc w:val="center"/>
              <w:rPr>
                <w:rFonts w:eastAsia="Times New Roman"/>
              </w:rPr>
            </w:pPr>
            <w:r>
              <w:rPr>
                <w:rFonts w:eastAsia="Times New Roman"/>
                <w:b/>
                <w:bCs/>
                <w:color w:val="000000"/>
                <w:sz w:val="16"/>
                <w:szCs w:val="16"/>
              </w:rPr>
              <w:t>Carrying Value</w:t>
            </w:r>
          </w:p>
        </w:tc>
      </w:tr>
      <w:tr w:rsidR="00000000" w14:paraId="60C02360" w14:textId="77777777">
        <w:trPr>
          <w:divId w:val="440031047"/>
        </w:trPr>
        <w:tc>
          <w:tcPr>
            <w:tcW w:w="0" w:type="auto"/>
            <w:gridSpan w:val="3"/>
            <w:tcMar>
              <w:top w:w="30" w:type="dxa"/>
              <w:left w:w="20" w:type="dxa"/>
              <w:bottom w:w="30" w:type="dxa"/>
              <w:right w:w="20" w:type="dxa"/>
            </w:tcMar>
            <w:vAlign w:val="bottom"/>
            <w:hideMark/>
          </w:tcPr>
          <w:p w14:paraId="3E9B708C" w14:textId="77777777" w:rsidR="00000000" w:rsidRDefault="00405D16">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6C3970D7" w14:textId="77777777" w:rsidR="00000000" w:rsidRDefault="00405D16">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2AADAF8" w14:textId="77777777" w:rsidR="00000000" w:rsidRDefault="00405D16">
            <w:pPr>
              <w:spacing w:after="100"/>
              <w:jc w:val="center"/>
              <w:rPr>
                <w:rFonts w:eastAsia="Times New Roman"/>
              </w:rPr>
            </w:pPr>
            <w:r>
              <w:rPr>
                <w:rFonts w:eastAsia="Times New Roman"/>
                <w:b/>
                <w:bCs/>
                <w:color w:val="000000"/>
                <w:sz w:val="16"/>
                <w:szCs w:val="16"/>
              </w:rPr>
              <w:t>September 30, 2021</w:t>
            </w:r>
          </w:p>
        </w:tc>
        <w:tc>
          <w:tcPr>
            <w:tcW w:w="0" w:type="auto"/>
            <w:gridSpan w:val="3"/>
            <w:tcBorders>
              <w:top w:val="single" w:sz="8" w:space="0" w:color="000000"/>
            </w:tcBorders>
            <w:tcMar>
              <w:top w:w="0" w:type="dxa"/>
              <w:left w:w="20" w:type="dxa"/>
              <w:bottom w:w="0" w:type="dxa"/>
              <w:right w:w="20" w:type="dxa"/>
            </w:tcMar>
            <w:vAlign w:val="center"/>
            <w:hideMark/>
          </w:tcPr>
          <w:p w14:paraId="1F9F4778"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C85854F" w14:textId="77777777" w:rsidR="00000000" w:rsidRDefault="00405D16">
            <w:pPr>
              <w:spacing w:after="100"/>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14:paraId="695802CF"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070BA9A" w14:textId="77777777" w:rsidR="00000000" w:rsidRDefault="00405D16">
            <w:pPr>
              <w:spacing w:after="100"/>
              <w:jc w:val="center"/>
              <w:rPr>
                <w:rFonts w:eastAsia="Times New Roman"/>
              </w:rPr>
            </w:pPr>
            <w:r>
              <w:rPr>
                <w:rFonts w:eastAsia="Times New Roman"/>
                <w:b/>
                <w:bCs/>
                <w:color w:val="000000"/>
                <w:sz w:val="16"/>
                <w:szCs w:val="16"/>
              </w:rPr>
              <w:t>September 30, 2021</w:t>
            </w:r>
          </w:p>
        </w:tc>
        <w:tc>
          <w:tcPr>
            <w:tcW w:w="0" w:type="auto"/>
            <w:gridSpan w:val="3"/>
            <w:tcBorders>
              <w:top w:val="single" w:sz="8" w:space="0" w:color="000000"/>
            </w:tcBorders>
            <w:tcMar>
              <w:top w:w="0" w:type="dxa"/>
              <w:left w:w="20" w:type="dxa"/>
              <w:bottom w:w="0" w:type="dxa"/>
              <w:right w:w="20" w:type="dxa"/>
            </w:tcMar>
            <w:vAlign w:val="center"/>
            <w:hideMark/>
          </w:tcPr>
          <w:p w14:paraId="2FB3AC5E"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AE866E5" w14:textId="77777777" w:rsidR="00000000" w:rsidRDefault="00405D16">
            <w:pPr>
              <w:spacing w:after="100"/>
              <w:jc w:val="center"/>
              <w:rPr>
                <w:rFonts w:eastAsia="Times New Roman"/>
              </w:rPr>
            </w:pPr>
            <w:r>
              <w:rPr>
                <w:rFonts w:eastAsia="Times New Roman"/>
                <w:b/>
                <w:bCs/>
                <w:color w:val="000000"/>
                <w:sz w:val="16"/>
                <w:szCs w:val="16"/>
              </w:rPr>
              <w:t>December 31, 2020</w:t>
            </w:r>
          </w:p>
        </w:tc>
      </w:tr>
      <w:tr w:rsidR="00000000" w14:paraId="47937151" w14:textId="77777777">
        <w:trPr>
          <w:divId w:val="44003104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619FEF4" w14:textId="77777777" w:rsidR="00000000" w:rsidRDefault="00405D16">
            <w:pPr>
              <w:spacing w:after="100"/>
              <w:rPr>
                <w:rFonts w:eastAsia="Times New Roman"/>
              </w:rPr>
            </w:pPr>
            <w:r>
              <w:rPr>
                <w:rFonts w:eastAsia="Times New Roman"/>
                <w:color w:val="000000"/>
                <w:sz w:val="18"/>
                <w:szCs w:val="18"/>
              </w:rPr>
              <w:t>Credit card lines</w:t>
            </w:r>
          </w:p>
        </w:tc>
        <w:tc>
          <w:tcPr>
            <w:tcW w:w="0" w:type="auto"/>
            <w:gridSpan w:val="3"/>
            <w:shd w:val="clear" w:color="auto" w:fill="CCEEFF"/>
            <w:tcMar>
              <w:top w:w="0" w:type="dxa"/>
              <w:left w:w="20" w:type="dxa"/>
              <w:bottom w:w="0" w:type="dxa"/>
              <w:right w:w="20" w:type="dxa"/>
            </w:tcMar>
            <w:vAlign w:val="center"/>
            <w:hideMark/>
          </w:tcPr>
          <w:p w14:paraId="6E56B1C0" w14:textId="77777777" w:rsidR="00000000" w:rsidRDefault="00405D1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EEE0E29"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DA1F4AA" w14:textId="77777777" w:rsidR="00000000" w:rsidRDefault="00405D16">
            <w:pPr>
              <w:spacing w:after="100"/>
              <w:jc w:val="right"/>
              <w:rPr>
                <w:rFonts w:eastAsia="Times New Roman"/>
              </w:rPr>
            </w:pPr>
            <w:r>
              <w:rPr>
                <w:rFonts w:eastAsia="Times New Roman"/>
                <w:b/>
                <w:bCs/>
                <w:color w:val="000000"/>
                <w:sz w:val="18"/>
                <w:szCs w:val="18"/>
              </w:rPr>
              <w:t>366,744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933F95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F09747"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DE86C7D"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896CE40" w14:textId="77777777" w:rsidR="00000000" w:rsidRDefault="00405D16">
            <w:pPr>
              <w:spacing w:after="100"/>
              <w:jc w:val="right"/>
              <w:rPr>
                <w:rFonts w:eastAsia="Times New Roman"/>
              </w:rPr>
            </w:pPr>
            <w:r>
              <w:rPr>
                <w:rFonts w:eastAsia="Times New Roman"/>
                <w:color w:val="000000"/>
                <w:sz w:val="18"/>
                <w:szCs w:val="18"/>
              </w:rPr>
              <w:t>349,594 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C735B18"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7A8C7F" w14:textId="77777777" w:rsidR="00000000" w:rsidRDefault="00405D16">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86CC9BE" w14:textId="77777777" w:rsidR="00000000" w:rsidRDefault="00405D16">
            <w:pPr>
              <w:spacing w:after="100"/>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14:paraId="50843D30" w14:textId="77777777" w:rsidR="00000000" w:rsidRDefault="00405D16">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C2C38FE" w14:textId="77777777" w:rsidR="00000000" w:rsidRDefault="00405D16">
            <w:pPr>
              <w:spacing w:after="100"/>
              <w:jc w:val="right"/>
              <w:rPr>
                <w:rFonts w:eastAsia="Times New Roman"/>
              </w:rPr>
            </w:pPr>
            <w:r>
              <w:rPr>
                <w:rFonts w:eastAsia="Times New Roman"/>
                <w:color w:val="000000"/>
                <w:sz w:val="18"/>
                <w:szCs w:val="18"/>
              </w:rPr>
              <w:t>N/A</w:t>
            </w:r>
          </w:p>
        </w:tc>
      </w:tr>
      <w:tr w:rsidR="00000000" w14:paraId="76D3ECD2" w14:textId="77777777">
        <w:trPr>
          <w:divId w:val="440031047"/>
        </w:trPr>
        <w:tc>
          <w:tcPr>
            <w:tcW w:w="0" w:type="auto"/>
            <w:gridSpan w:val="3"/>
            <w:shd w:val="clear" w:color="auto" w:fill="FFFFFF"/>
            <w:tcMar>
              <w:top w:w="30" w:type="dxa"/>
              <w:left w:w="20" w:type="dxa"/>
              <w:bottom w:w="30" w:type="dxa"/>
              <w:right w:w="20" w:type="dxa"/>
            </w:tcMar>
            <w:vAlign w:val="center"/>
            <w:hideMark/>
          </w:tcPr>
          <w:p w14:paraId="7E6F12CE" w14:textId="77777777" w:rsidR="00000000" w:rsidRDefault="00405D16">
            <w:pPr>
              <w:spacing w:after="100"/>
              <w:divId w:val="1133792564"/>
              <w:rPr>
                <w:rFonts w:eastAsia="Times New Roman"/>
              </w:rPr>
            </w:pPr>
            <w:r>
              <w:rPr>
                <w:rFonts w:eastAsia="Times New Roman"/>
                <w:color w:val="000000"/>
                <w:sz w:val="18"/>
                <w:szCs w:val="18"/>
              </w:rPr>
              <w:t>Other loan commitment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063155A3"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DAEF7CD" w14:textId="77777777" w:rsidR="00000000" w:rsidRDefault="00405D16">
            <w:pPr>
              <w:spacing w:after="100"/>
              <w:jc w:val="right"/>
              <w:rPr>
                <w:rFonts w:eastAsia="Times New Roman"/>
              </w:rPr>
            </w:pPr>
            <w:r>
              <w:rPr>
                <w:rFonts w:eastAsia="Times New Roman"/>
                <w:b/>
                <w:bCs/>
                <w:color w:val="000000"/>
                <w:sz w:val="18"/>
                <w:szCs w:val="18"/>
              </w:rPr>
              <w:t>40,545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C65460C"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3CF44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174314A" w14:textId="77777777" w:rsidR="00000000" w:rsidRDefault="00405D16">
            <w:pPr>
              <w:spacing w:after="100"/>
              <w:jc w:val="right"/>
              <w:rPr>
                <w:rFonts w:eastAsia="Times New Roman"/>
              </w:rPr>
            </w:pPr>
            <w:r>
              <w:rPr>
                <w:rFonts w:eastAsia="Times New Roman"/>
                <w:color w:val="000000"/>
                <w:sz w:val="18"/>
                <w:szCs w:val="18"/>
              </w:rPr>
              <w:t>35,836 </w:t>
            </w:r>
          </w:p>
        </w:tc>
        <w:tc>
          <w:tcPr>
            <w:tcW w:w="0" w:type="auto"/>
            <w:shd w:val="clear" w:color="auto" w:fill="FFFFFF"/>
            <w:tcMar>
              <w:top w:w="30" w:type="dxa"/>
              <w:left w:w="0" w:type="dxa"/>
              <w:bottom w:w="30" w:type="dxa"/>
              <w:right w:w="20" w:type="dxa"/>
            </w:tcMar>
            <w:vAlign w:val="center"/>
            <w:hideMark/>
          </w:tcPr>
          <w:p w14:paraId="1193DA7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32024A"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98ECE03" w14:textId="77777777" w:rsidR="00000000" w:rsidRDefault="00405D16">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0682301F" w14:textId="77777777" w:rsidR="00000000" w:rsidRDefault="00405D16">
            <w:pPr>
              <w:spacing w:after="100"/>
              <w:jc w:val="right"/>
              <w:rPr>
                <w:rFonts w:eastAsia="Times New Roman"/>
              </w:rPr>
            </w:pPr>
            <w:r>
              <w:rPr>
                <w:rFonts w:eastAsia="Times New Roman"/>
                <w:b/>
                <w:bCs/>
                <w:color w:val="000000"/>
                <w:sz w:val="18"/>
                <w:szCs w:val="18"/>
              </w:rPr>
              <w:t>121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B7CBF5F"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C67C80" w14:textId="77777777" w:rsidR="00000000" w:rsidRDefault="00405D1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8A2FDEF" w14:textId="77777777" w:rsidR="00000000" w:rsidRDefault="00405D1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7FF4A5F1" w14:textId="77777777" w:rsidR="00000000" w:rsidRDefault="00405D16">
            <w:pPr>
              <w:spacing w:after="100"/>
              <w:jc w:val="right"/>
              <w:rPr>
                <w:rFonts w:eastAsia="Times New Roman"/>
              </w:rPr>
            </w:pPr>
            <w:r>
              <w:rPr>
                <w:rFonts w:eastAsia="Times New Roman"/>
                <w:color w:val="000000"/>
                <w:sz w:val="18"/>
                <w:szCs w:val="18"/>
              </w:rPr>
              <w:t>144 </w:t>
            </w:r>
          </w:p>
        </w:tc>
        <w:tc>
          <w:tcPr>
            <w:tcW w:w="0" w:type="auto"/>
            <w:shd w:val="clear" w:color="auto" w:fill="FFFFFF"/>
            <w:tcMar>
              <w:top w:w="30" w:type="dxa"/>
              <w:left w:w="0" w:type="dxa"/>
              <w:bottom w:w="30" w:type="dxa"/>
              <w:right w:w="20" w:type="dxa"/>
            </w:tcMar>
            <w:vAlign w:val="center"/>
            <w:hideMark/>
          </w:tcPr>
          <w:p w14:paraId="678F12DF" w14:textId="77777777" w:rsidR="00000000" w:rsidRDefault="00405D16">
            <w:pPr>
              <w:spacing w:after="100"/>
              <w:jc w:val="right"/>
              <w:rPr>
                <w:rFonts w:eastAsia="Times New Roman"/>
              </w:rPr>
            </w:pPr>
          </w:p>
        </w:tc>
      </w:tr>
      <w:tr w:rsidR="00000000" w14:paraId="2AF1F1DE" w14:textId="77777777">
        <w:trPr>
          <w:divId w:val="440031047"/>
        </w:trPr>
        <w:tc>
          <w:tcPr>
            <w:tcW w:w="0" w:type="auto"/>
            <w:gridSpan w:val="3"/>
            <w:shd w:val="clear" w:color="auto" w:fill="CCEEFF"/>
            <w:tcMar>
              <w:top w:w="30" w:type="dxa"/>
              <w:left w:w="20" w:type="dxa"/>
              <w:bottom w:w="30" w:type="dxa"/>
              <w:right w:w="20" w:type="dxa"/>
            </w:tcMar>
            <w:vAlign w:val="center"/>
            <w:hideMark/>
          </w:tcPr>
          <w:p w14:paraId="3B311F23" w14:textId="77777777" w:rsidR="00000000" w:rsidRDefault="00405D16">
            <w:pPr>
              <w:spacing w:after="100"/>
              <w:divId w:val="1956210700"/>
              <w:rPr>
                <w:rFonts w:eastAsia="Times New Roman"/>
              </w:rPr>
            </w:pPr>
            <w:r>
              <w:rPr>
                <w:rFonts w:eastAsia="Times New Roman"/>
                <w:color w:val="000000"/>
                <w:sz w:val="18"/>
                <w:szCs w:val="18"/>
              </w:rPr>
              <w:t>Standby letters of credit and commercial letters of credi</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66845C73"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EDBA6B4" w14:textId="77777777" w:rsidR="00000000" w:rsidRDefault="00405D16">
            <w:pPr>
              <w:spacing w:after="100"/>
              <w:jc w:val="right"/>
              <w:rPr>
                <w:rFonts w:eastAsia="Times New Roman"/>
              </w:rPr>
            </w:pPr>
            <w:r>
              <w:rPr>
                <w:rFonts w:eastAsia="Times New Roman"/>
                <w:b/>
                <w:bCs/>
                <w:color w:val="000000"/>
                <w:sz w:val="18"/>
                <w:szCs w:val="18"/>
              </w:rPr>
              <w:t>1,380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B973C0E"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E7B7E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B8627EC" w14:textId="77777777" w:rsidR="00000000" w:rsidRDefault="00405D16">
            <w:pPr>
              <w:spacing w:after="100"/>
              <w:jc w:val="right"/>
              <w:rPr>
                <w:rFonts w:eastAsia="Times New Roman"/>
              </w:rPr>
            </w:pPr>
            <w:r>
              <w:rPr>
                <w:rFonts w:eastAsia="Times New Roman"/>
                <w:color w:val="000000"/>
                <w:sz w:val="18"/>
                <w:szCs w:val="18"/>
              </w:rPr>
              <w:t>1,302 </w:t>
            </w:r>
          </w:p>
        </w:tc>
        <w:tc>
          <w:tcPr>
            <w:tcW w:w="0" w:type="auto"/>
            <w:shd w:val="clear" w:color="auto" w:fill="CCEEFF"/>
            <w:tcMar>
              <w:top w:w="30" w:type="dxa"/>
              <w:left w:w="0" w:type="dxa"/>
              <w:bottom w:w="30" w:type="dxa"/>
              <w:right w:w="20" w:type="dxa"/>
            </w:tcMar>
            <w:vAlign w:val="center"/>
            <w:hideMark/>
          </w:tcPr>
          <w:p w14:paraId="14B68C3D"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2EAB3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B6C545F" w14:textId="77777777" w:rsidR="00000000" w:rsidRDefault="00405D16">
            <w:pPr>
              <w:spacing w:after="100"/>
              <w:jc w:val="right"/>
              <w:rPr>
                <w:rFonts w:eastAsia="Times New Roman"/>
              </w:rPr>
            </w:pPr>
            <w:r>
              <w:rPr>
                <w:rFonts w:eastAsia="Times New Roman"/>
                <w:b/>
                <w:bCs/>
                <w:color w:val="000000"/>
                <w:sz w:val="18"/>
                <w:szCs w:val="18"/>
              </w:rPr>
              <w:t>28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5ED9B19"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63FF13"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23D5273" w14:textId="77777777" w:rsidR="00000000" w:rsidRDefault="00405D16">
            <w:pPr>
              <w:spacing w:after="100"/>
              <w:jc w:val="right"/>
              <w:rPr>
                <w:rFonts w:eastAsia="Times New Roman"/>
              </w:rPr>
            </w:pPr>
            <w:r>
              <w:rPr>
                <w:rFonts w:eastAsia="Times New Roman"/>
                <w:color w:val="000000"/>
                <w:sz w:val="18"/>
                <w:szCs w:val="18"/>
              </w:rPr>
              <w:t>32 </w:t>
            </w:r>
          </w:p>
        </w:tc>
        <w:tc>
          <w:tcPr>
            <w:tcW w:w="0" w:type="auto"/>
            <w:shd w:val="clear" w:color="auto" w:fill="CCEEFF"/>
            <w:tcMar>
              <w:top w:w="30" w:type="dxa"/>
              <w:left w:w="0" w:type="dxa"/>
              <w:bottom w:w="30" w:type="dxa"/>
              <w:right w:w="20" w:type="dxa"/>
            </w:tcMar>
            <w:vAlign w:val="center"/>
            <w:hideMark/>
          </w:tcPr>
          <w:p w14:paraId="5590B162" w14:textId="77777777" w:rsidR="00000000" w:rsidRDefault="00405D16">
            <w:pPr>
              <w:spacing w:after="100"/>
              <w:jc w:val="right"/>
              <w:rPr>
                <w:rFonts w:eastAsia="Times New Roman"/>
              </w:rPr>
            </w:pPr>
          </w:p>
        </w:tc>
      </w:tr>
      <w:tr w:rsidR="00000000" w14:paraId="52D37404" w14:textId="77777777">
        <w:trPr>
          <w:divId w:val="440031047"/>
        </w:trPr>
        <w:tc>
          <w:tcPr>
            <w:tcW w:w="0" w:type="auto"/>
            <w:gridSpan w:val="3"/>
            <w:shd w:val="clear" w:color="auto" w:fill="FFFFFF"/>
            <w:tcMar>
              <w:top w:w="30" w:type="dxa"/>
              <w:left w:w="20" w:type="dxa"/>
              <w:bottom w:w="30" w:type="dxa"/>
              <w:right w:w="20" w:type="dxa"/>
            </w:tcMar>
            <w:vAlign w:val="center"/>
            <w:hideMark/>
          </w:tcPr>
          <w:p w14:paraId="1ED88F64" w14:textId="77777777" w:rsidR="00000000" w:rsidRDefault="00405D16">
            <w:pPr>
              <w:spacing w:after="100"/>
              <w:rPr>
                <w:rFonts w:eastAsia="Times New Roman"/>
              </w:rPr>
            </w:pPr>
            <w:r>
              <w:rPr>
                <w:rFonts w:eastAsia="Times New Roman"/>
                <w:color w:val="000000"/>
                <w:sz w:val="18"/>
                <w:szCs w:val="18"/>
              </w:rPr>
              <w:t>Total unfunded lending commitments</w:t>
            </w:r>
          </w:p>
        </w:tc>
        <w:tc>
          <w:tcPr>
            <w:tcW w:w="0" w:type="auto"/>
            <w:gridSpan w:val="3"/>
            <w:shd w:val="clear" w:color="auto" w:fill="FFFFFF"/>
            <w:tcMar>
              <w:top w:w="0" w:type="dxa"/>
              <w:left w:w="20" w:type="dxa"/>
              <w:bottom w:w="0" w:type="dxa"/>
              <w:right w:w="20" w:type="dxa"/>
            </w:tcMar>
            <w:vAlign w:val="center"/>
            <w:hideMark/>
          </w:tcPr>
          <w:p w14:paraId="7501BC94" w14:textId="77777777" w:rsidR="00000000" w:rsidRDefault="00405D16">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EAC5E05"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59FC128" w14:textId="77777777" w:rsidR="00000000" w:rsidRDefault="00405D16">
            <w:pPr>
              <w:spacing w:after="100"/>
              <w:jc w:val="right"/>
              <w:rPr>
                <w:rFonts w:eastAsia="Times New Roman"/>
              </w:rPr>
            </w:pPr>
            <w:r>
              <w:rPr>
                <w:rFonts w:eastAsia="Times New Roman"/>
                <w:b/>
                <w:bCs/>
                <w:color w:val="000000"/>
                <w:sz w:val="18"/>
                <w:szCs w:val="18"/>
              </w:rPr>
              <w:t>408,669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CC1DF1E"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995598"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9757DF0"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B6D323D" w14:textId="77777777" w:rsidR="00000000" w:rsidRDefault="00405D16">
            <w:pPr>
              <w:spacing w:after="100"/>
              <w:jc w:val="right"/>
              <w:rPr>
                <w:rFonts w:eastAsia="Times New Roman"/>
              </w:rPr>
            </w:pPr>
            <w:r>
              <w:rPr>
                <w:rFonts w:eastAsia="Times New Roman"/>
                <w:color w:val="000000"/>
                <w:sz w:val="18"/>
                <w:szCs w:val="18"/>
              </w:rPr>
              <w:t>386,732 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72CFDAA"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0C42BE"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56940A7"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1E2010A" w14:textId="77777777" w:rsidR="00000000" w:rsidRDefault="00405D16">
            <w:pPr>
              <w:spacing w:after="100"/>
              <w:jc w:val="right"/>
              <w:rPr>
                <w:rFonts w:eastAsia="Times New Roman"/>
              </w:rPr>
            </w:pPr>
            <w:r>
              <w:rPr>
                <w:rFonts w:eastAsia="Times New Roman"/>
                <w:b/>
                <w:bCs/>
                <w:color w:val="000000"/>
                <w:sz w:val="18"/>
                <w:szCs w:val="18"/>
              </w:rPr>
              <w:t>149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64EA337"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D852DD" w14:textId="77777777" w:rsidR="00000000" w:rsidRDefault="00405D1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2EFD8F9" w14:textId="77777777" w:rsidR="00000000" w:rsidRDefault="00405D1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663CFD9" w14:textId="77777777" w:rsidR="00000000" w:rsidRDefault="00405D16">
            <w:pPr>
              <w:spacing w:after="100"/>
              <w:jc w:val="right"/>
              <w:rPr>
                <w:rFonts w:eastAsia="Times New Roman"/>
              </w:rPr>
            </w:pPr>
            <w:r>
              <w:rPr>
                <w:rFonts w:eastAsia="Times New Roman"/>
                <w:color w:val="000000"/>
                <w:sz w:val="18"/>
                <w:szCs w:val="18"/>
              </w:rPr>
              <w:t>176 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E29C0B9" w14:textId="77777777" w:rsidR="00000000" w:rsidRDefault="00405D16">
            <w:pPr>
              <w:spacing w:after="100"/>
              <w:jc w:val="right"/>
              <w:rPr>
                <w:rFonts w:eastAsia="Times New Roman"/>
              </w:rPr>
            </w:pPr>
          </w:p>
        </w:tc>
      </w:tr>
    </w:tbl>
    <w:p w14:paraId="15168C35" w14:textId="77777777" w:rsidR="00000000" w:rsidRDefault="00405D16">
      <w:pPr>
        <w:divId w:val="1648627445"/>
        <w:rPr>
          <w:rFonts w:eastAsia="Times New Roman"/>
        </w:rPr>
      </w:pPr>
      <w:r>
        <w:rPr>
          <w:rFonts w:eastAsia="Times New Roman"/>
          <w:color w:val="000000"/>
          <w:sz w:val="20"/>
          <w:szCs w:val="20"/>
        </w:rPr>
        <w:t>__________</w:t>
      </w:r>
    </w:p>
    <w:p w14:paraId="1D0D7D10" w14:textId="77777777" w:rsidR="00000000" w:rsidRDefault="00405D16">
      <w:pPr>
        <w:ind w:hanging="360"/>
        <w:jc w:val="both"/>
        <w:divId w:val="135202583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$2.1 billion and $1.8 </w:t>
      </w:r>
      <w:r>
        <w:rPr>
          <w:rFonts w:eastAsia="Times New Roman"/>
          <w:color w:val="000000"/>
          <w:sz w:val="16"/>
          <w:szCs w:val="16"/>
        </w:rPr>
        <w:t>billion of advised lines of credit as of September 30, 2021 and December 31, 2020, respectively.</w:t>
      </w:r>
    </w:p>
    <w:p w14:paraId="29837DF2" w14:textId="77777777" w:rsidR="00000000" w:rsidRDefault="00405D16">
      <w:pPr>
        <w:ind w:hanging="360"/>
        <w:jc w:val="both"/>
        <w:divId w:val="1412897073"/>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These financial guarantees have expiration dates that range from 2021 to 2023 as of September 30, 2021.</w:t>
      </w:r>
    </w:p>
    <w:p w14:paraId="34836A0E" w14:textId="77777777" w:rsidR="00000000" w:rsidRDefault="00405D16">
      <w:pPr>
        <w:divId w:val="2062246748"/>
        <w:rPr>
          <w:rFonts w:eastAsia="Times New Roman"/>
        </w:rPr>
      </w:pPr>
      <w:r>
        <w:rPr>
          <w:rFonts w:eastAsia="Times New Roman"/>
          <w:b/>
          <w:bCs/>
          <w:color w:val="000000"/>
          <w:sz w:val="20"/>
          <w:szCs w:val="20"/>
        </w:rPr>
        <w:t>Loss Sharing Agreements</w:t>
      </w:r>
    </w:p>
    <w:p w14:paraId="30887D51" w14:textId="77777777" w:rsidR="00000000" w:rsidRDefault="00405D16">
      <w:pPr>
        <w:jc w:val="both"/>
        <w:divId w:val="1970088349"/>
        <w:rPr>
          <w:rFonts w:eastAsia="Times New Roman"/>
        </w:rPr>
      </w:pPr>
      <w:r>
        <w:rPr>
          <w:rFonts w:eastAsia="Times New Roman"/>
          <w:color w:val="000000"/>
          <w:sz w:val="20"/>
          <w:szCs w:val="20"/>
        </w:rPr>
        <w:t>Within our Commercial Bankin</w:t>
      </w:r>
      <w:r>
        <w:rPr>
          <w:rFonts w:eastAsia="Times New Roman"/>
          <w:color w:val="000000"/>
          <w:sz w:val="20"/>
          <w:szCs w:val="20"/>
        </w:rPr>
        <w:t>g business, we originate multifamily commercial real estate loans with the intent to sell them to the GSEs. We enter into loss sharing agreements with the GSEs upon the sale of the loans. Beginning January 1, 2020, we elected the fair value option on new l</w:t>
      </w:r>
      <w:r>
        <w:rPr>
          <w:rFonts w:eastAsia="Times New Roman"/>
          <w:color w:val="000000"/>
          <w:sz w:val="20"/>
          <w:szCs w:val="20"/>
        </w:rPr>
        <w:t xml:space="preserve">oss sharing agreements. Unrealized gains and losses are recorded in other non-interest income in our consolidated statements of income. For those loss sharing agreements entered into as of and prior to December 31, 2019, we amortize the liability recorded </w:t>
      </w:r>
      <w:r>
        <w:rPr>
          <w:rFonts w:eastAsia="Times New Roman"/>
          <w:color w:val="000000"/>
          <w:sz w:val="20"/>
          <w:szCs w:val="20"/>
        </w:rPr>
        <w:t>at inception into non-interest income as we are released from risk of payment under the loss sharing agreement and record our estimate of expected credit losses each period in provision for credit losses in our consolidated statements of income. The liabil</w:t>
      </w:r>
      <w:r>
        <w:rPr>
          <w:rFonts w:eastAsia="Times New Roman"/>
          <w:color w:val="000000"/>
          <w:sz w:val="20"/>
          <w:szCs w:val="20"/>
        </w:rPr>
        <w:t>ity recognized on our consolidated balance sheets for these loss sharing agreements was $90 million and $97 million as of September 30, 2021 and December 31, 2020, respectively.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14D6D4A8" w14:textId="77777777">
        <w:trPr>
          <w:divId w:val="1967075825"/>
          <w:jc w:val="center"/>
        </w:trPr>
        <w:tc>
          <w:tcPr>
            <w:tcW w:w="50" w:type="pct"/>
            <w:vAlign w:val="center"/>
            <w:hideMark/>
          </w:tcPr>
          <w:p w14:paraId="7F3C6B48" w14:textId="77777777" w:rsidR="00000000" w:rsidRDefault="00405D16">
            <w:pPr>
              <w:jc w:val="both"/>
              <w:rPr>
                <w:rFonts w:eastAsia="Times New Roman"/>
              </w:rPr>
            </w:pPr>
          </w:p>
        </w:tc>
        <w:tc>
          <w:tcPr>
            <w:tcW w:w="1606" w:type="pct"/>
            <w:vAlign w:val="center"/>
            <w:hideMark/>
          </w:tcPr>
          <w:p w14:paraId="4BECA7B6" w14:textId="77777777" w:rsidR="00000000" w:rsidRDefault="00405D16">
            <w:pPr>
              <w:spacing w:after="100"/>
              <w:rPr>
                <w:rFonts w:eastAsia="Times New Roman"/>
                <w:sz w:val="20"/>
                <w:szCs w:val="20"/>
              </w:rPr>
            </w:pPr>
          </w:p>
        </w:tc>
        <w:tc>
          <w:tcPr>
            <w:tcW w:w="5" w:type="pct"/>
            <w:vAlign w:val="center"/>
            <w:hideMark/>
          </w:tcPr>
          <w:p w14:paraId="50EAC303" w14:textId="77777777" w:rsidR="00000000" w:rsidRDefault="00405D16">
            <w:pPr>
              <w:spacing w:after="100"/>
              <w:rPr>
                <w:rFonts w:eastAsia="Times New Roman"/>
                <w:sz w:val="20"/>
                <w:szCs w:val="20"/>
              </w:rPr>
            </w:pPr>
          </w:p>
        </w:tc>
        <w:tc>
          <w:tcPr>
            <w:tcW w:w="50" w:type="pct"/>
            <w:vAlign w:val="center"/>
            <w:hideMark/>
          </w:tcPr>
          <w:p w14:paraId="59483862" w14:textId="77777777" w:rsidR="00000000" w:rsidRDefault="00405D16">
            <w:pPr>
              <w:spacing w:after="100"/>
              <w:rPr>
                <w:rFonts w:eastAsia="Times New Roman"/>
                <w:sz w:val="20"/>
                <w:szCs w:val="20"/>
              </w:rPr>
            </w:pPr>
          </w:p>
        </w:tc>
        <w:tc>
          <w:tcPr>
            <w:tcW w:w="1614" w:type="pct"/>
            <w:vAlign w:val="center"/>
            <w:hideMark/>
          </w:tcPr>
          <w:p w14:paraId="42A7EFD4" w14:textId="77777777" w:rsidR="00000000" w:rsidRDefault="00405D16">
            <w:pPr>
              <w:spacing w:after="100"/>
              <w:rPr>
                <w:rFonts w:eastAsia="Times New Roman"/>
                <w:sz w:val="20"/>
                <w:szCs w:val="20"/>
              </w:rPr>
            </w:pPr>
          </w:p>
        </w:tc>
        <w:tc>
          <w:tcPr>
            <w:tcW w:w="5" w:type="pct"/>
            <w:vAlign w:val="center"/>
            <w:hideMark/>
          </w:tcPr>
          <w:p w14:paraId="3FA864E4" w14:textId="77777777" w:rsidR="00000000" w:rsidRDefault="00405D16">
            <w:pPr>
              <w:spacing w:after="100"/>
              <w:rPr>
                <w:rFonts w:eastAsia="Times New Roman"/>
                <w:sz w:val="20"/>
                <w:szCs w:val="20"/>
              </w:rPr>
            </w:pPr>
          </w:p>
        </w:tc>
        <w:tc>
          <w:tcPr>
            <w:tcW w:w="50" w:type="pct"/>
            <w:vAlign w:val="center"/>
            <w:hideMark/>
          </w:tcPr>
          <w:p w14:paraId="3A33669B" w14:textId="77777777" w:rsidR="00000000" w:rsidRDefault="00405D16">
            <w:pPr>
              <w:spacing w:after="100"/>
              <w:rPr>
                <w:rFonts w:eastAsia="Times New Roman"/>
                <w:sz w:val="20"/>
                <w:szCs w:val="20"/>
              </w:rPr>
            </w:pPr>
          </w:p>
        </w:tc>
        <w:tc>
          <w:tcPr>
            <w:tcW w:w="1614" w:type="pct"/>
            <w:vAlign w:val="center"/>
            <w:hideMark/>
          </w:tcPr>
          <w:p w14:paraId="60F411BD" w14:textId="77777777" w:rsidR="00000000" w:rsidRDefault="00405D16">
            <w:pPr>
              <w:spacing w:after="100"/>
              <w:rPr>
                <w:rFonts w:eastAsia="Times New Roman"/>
                <w:sz w:val="20"/>
                <w:szCs w:val="20"/>
              </w:rPr>
            </w:pPr>
          </w:p>
        </w:tc>
        <w:tc>
          <w:tcPr>
            <w:tcW w:w="5" w:type="pct"/>
            <w:vAlign w:val="center"/>
            <w:hideMark/>
          </w:tcPr>
          <w:p w14:paraId="0E5959CD" w14:textId="77777777" w:rsidR="00000000" w:rsidRDefault="00405D16">
            <w:pPr>
              <w:spacing w:after="100"/>
              <w:rPr>
                <w:rFonts w:eastAsia="Times New Roman"/>
                <w:sz w:val="20"/>
                <w:szCs w:val="20"/>
              </w:rPr>
            </w:pPr>
          </w:p>
        </w:tc>
      </w:tr>
      <w:tr w:rsidR="00000000" w14:paraId="3D893BE9" w14:textId="77777777">
        <w:trPr>
          <w:divId w:val="1967075825"/>
          <w:trHeight w:val="300"/>
          <w:jc w:val="center"/>
        </w:trPr>
        <w:tc>
          <w:tcPr>
            <w:tcW w:w="0" w:type="auto"/>
            <w:gridSpan w:val="9"/>
            <w:tcMar>
              <w:top w:w="0" w:type="dxa"/>
              <w:left w:w="20" w:type="dxa"/>
              <w:bottom w:w="0" w:type="dxa"/>
              <w:right w:w="20" w:type="dxa"/>
            </w:tcMar>
            <w:vAlign w:val="center"/>
            <w:hideMark/>
          </w:tcPr>
          <w:p w14:paraId="10A8F9F1" w14:textId="77777777" w:rsidR="00000000" w:rsidRDefault="00405D16">
            <w:pPr>
              <w:spacing w:after="100"/>
              <w:rPr>
                <w:rFonts w:eastAsia="Times New Roman"/>
                <w:sz w:val="20"/>
                <w:szCs w:val="20"/>
              </w:rPr>
            </w:pPr>
          </w:p>
        </w:tc>
      </w:tr>
      <w:tr w:rsidR="00000000" w14:paraId="0621B89A" w14:textId="77777777">
        <w:trPr>
          <w:divId w:val="1967075825"/>
          <w:jc w:val="center"/>
        </w:trPr>
        <w:tc>
          <w:tcPr>
            <w:tcW w:w="0" w:type="auto"/>
            <w:gridSpan w:val="3"/>
            <w:tcMar>
              <w:top w:w="0" w:type="dxa"/>
              <w:left w:w="20" w:type="dxa"/>
              <w:bottom w:w="0" w:type="dxa"/>
              <w:right w:w="20" w:type="dxa"/>
            </w:tcMar>
            <w:vAlign w:val="center"/>
            <w:hideMark/>
          </w:tcPr>
          <w:p w14:paraId="54CC3DAC"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A66DC22" w14:textId="77777777" w:rsidR="00000000" w:rsidRDefault="00405D16">
            <w:pPr>
              <w:spacing w:after="100"/>
              <w:jc w:val="center"/>
              <w:rPr>
                <w:rFonts w:eastAsia="Times New Roman"/>
              </w:rPr>
            </w:pPr>
            <w:r>
              <w:rPr>
                <w:rFonts w:eastAsia="Times New Roman"/>
                <w:color w:val="000000"/>
                <w:sz w:val="16"/>
                <w:szCs w:val="16"/>
              </w:rPr>
              <w:t>129</w:t>
            </w:r>
          </w:p>
        </w:tc>
        <w:tc>
          <w:tcPr>
            <w:tcW w:w="0" w:type="auto"/>
            <w:gridSpan w:val="3"/>
            <w:tcMar>
              <w:top w:w="30" w:type="dxa"/>
              <w:left w:w="20" w:type="dxa"/>
              <w:bottom w:w="30" w:type="dxa"/>
              <w:right w:w="20" w:type="dxa"/>
            </w:tcMar>
            <w:vAlign w:val="bottom"/>
            <w:hideMark/>
          </w:tcPr>
          <w:p w14:paraId="1717C65E"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56B3A51D" w14:textId="77777777" w:rsidR="00000000" w:rsidRDefault="00405D16">
      <w:pPr>
        <w:rPr>
          <w:rFonts w:eastAsia="Times New Roman"/>
        </w:rPr>
      </w:pPr>
      <w:r>
        <w:rPr>
          <w:rFonts w:eastAsia="Times New Roman"/>
        </w:rPr>
        <w:pict w14:anchorId="12183F34">
          <v:rect id="_x0000_i1154" style="width:0;height:1.5pt" o:hralign="center" o:hrstd="t" o:hr="t" fillcolor="#a0a0a0" stroked="f"/>
        </w:pict>
      </w:r>
    </w:p>
    <w:p w14:paraId="44D23A14" w14:textId="77777777" w:rsidR="00000000" w:rsidRDefault="00405D16">
      <w:pPr>
        <w:jc w:val="both"/>
        <w:divId w:val="1108697362"/>
        <w:rPr>
          <w:rFonts w:eastAsia="Times New Roman"/>
        </w:rPr>
      </w:pPr>
      <w:hyperlink w:anchor="idd54a04a485440b4ab4e56094c14d612_13" w:history="1">
        <w:r>
          <w:rPr>
            <w:rStyle w:val="a3"/>
            <w:rFonts w:eastAsia="Times New Roman"/>
            <w:sz w:val="16"/>
            <w:szCs w:val="16"/>
          </w:rPr>
          <w:t>Table of Contents</w:t>
        </w:r>
      </w:hyperlink>
    </w:p>
    <w:p w14:paraId="500AE45C" w14:textId="77777777" w:rsidR="00000000" w:rsidRDefault="00405D16">
      <w:pPr>
        <w:jc w:val="center"/>
        <w:divId w:val="1108697362"/>
        <w:rPr>
          <w:rFonts w:eastAsia="Times New Roman"/>
        </w:rPr>
      </w:pPr>
    </w:p>
    <w:p w14:paraId="4CE7881F" w14:textId="77777777" w:rsidR="00000000" w:rsidRDefault="00405D16">
      <w:pPr>
        <w:jc w:val="both"/>
        <w:divId w:val="116878386"/>
        <w:rPr>
          <w:rFonts w:eastAsia="Times New Roman"/>
        </w:rPr>
      </w:pPr>
      <w:r>
        <w:rPr>
          <w:rFonts w:eastAsia="Times New Roman"/>
          <w:color w:val="000000"/>
          <w:sz w:val="20"/>
          <w:szCs w:val="20"/>
        </w:rPr>
        <w:t>See “Note 4—Allowance for Credit Losses and Reserve for Unfunded Lending Commitments” for more information related to our credit card partner</w:t>
      </w:r>
      <w:r>
        <w:rPr>
          <w:rFonts w:eastAsia="Times New Roman"/>
          <w:color w:val="000000"/>
          <w:sz w:val="20"/>
          <w:szCs w:val="20"/>
        </w:rPr>
        <w:t>ship loss sharing arrangements.</w:t>
      </w:r>
    </w:p>
    <w:p w14:paraId="695DD9E9" w14:textId="77777777" w:rsidR="00000000" w:rsidRDefault="00405D16">
      <w:pPr>
        <w:jc w:val="both"/>
        <w:divId w:val="1541085131"/>
        <w:rPr>
          <w:rFonts w:eastAsia="Times New Roman"/>
        </w:rPr>
      </w:pPr>
      <w:r>
        <w:rPr>
          <w:rFonts w:eastAsia="Times New Roman"/>
          <w:b/>
          <w:bCs/>
          <w:color w:val="000000"/>
          <w:sz w:val="20"/>
          <w:szCs w:val="20"/>
        </w:rPr>
        <w:t>Litigation</w:t>
      </w:r>
    </w:p>
    <w:p w14:paraId="507DB8E1" w14:textId="77777777" w:rsidR="00000000" w:rsidRDefault="00405D16">
      <w:pPr>
        <w:jc w:val="both"/>
        <w:divId w:val="1739211922"/>
        <w:rPr>
          <w:rFonts w:eastAsia="Times New Roman"/>
        </w:rPr>
      </w:pPr>
      <w:r>
        <w:rPr>
          <w:rFonts w:eastAsia="Times New Roman"/>
          <w:color w:val="000000"/>
          <w:sz w:val="20"/>
          <w:szCs w:val="20"/>
        </w:rPr>
        <w:t>In accordance with the current accounting standards for loss contingencies, we establish reserves for litigation-related matters that arise from the ordinary course of our business activities when it is probable t</w:t>
      </w:r>
      <w:r>
        <w:rPr>
          <w:rFonts w:eastAsia="Times New Roman"/>
          <w:color w:val="000000"/>
          <w:sz w:val="20"/>
          <w:szCs w:val="20"/>
        </w:rPr>
        <w:t>hat a loss associated with a claim or proceeding has been incurred and the amount of the loss can be reasonably estimated. None of the amounts we currently have recorded individually or in the aggregate are considered to be material to our financial condit</w:t>
      </w:r>
      <w:r>
        <w:rPr>
          <w:rFonts w:eastAsia="Times New Roman"/>
          <w:color w:val="000000"/>
          <w:sz w:val="20"/>
          <w:szCs w:val="20"/>
        </w:rPr>
        <w:t>ion. Litigation claims and proceedings of all types are subject to many uncertain factors that generally cannot be predicted with assurance. Below we provide a description of potentially material legal proceedings and claims.</w:t>
      </w:r>
    </w:p>
    <w:p w14:paraId="022A6589" w14:textId="77777777" w:rsidR="00000000" w:rsidRDefault="00405D16">
      <w:pPr>
        <w:jc w:val="both"/>
        <w:divId w:val="935017363"/>
        <w:rPr>
          <w:rFonts w:eastAsia="Times New Roman"/>
        </w:rPr>
      </w:pPr>
      <w:r>
        <w:rPr>
          <w:rFonts w:eastAsia="Times New Roman"/>
          <w:color w:val="000000"/>
          <w:sz w:val="20"/>
          <w:szCs w:val="20"/>
        </w:rPr>
        <w:t>For some of the matters disclo</w:t>
      </w:r>
      <w:r>
        <w:rPr>
          <w:rFonts w:eastAsia="Times New Roman"/>
          <w:color w:val="000000"/>
          <w:sz w:val="20"/>
          <w:szCs w:val="20"/>
        </w:rPr>
        <w:t>sed below, we are able to estimate reasonably possible losses above existing reserves, and for other disclosed matters, such an estimate is not possible at this time. For those matters below where an estimate is possible, management currently estimates the</w:t>
      </w:r>
      <w:r>
        <w:rPr>
          <w:rFonts w:eastAsia="Times New Roman"/>
          <w:color w:val="000000"/>
          <w:sz w:val="20"/>
          <w:szCs w:val="20"/>
        </w:rPr>
        <w:t xml:space="preserve"> reasonably possible future losses beyond our reserves as of September 30, 2021 are approximately $200 million. Our reserve and reasonably possible loss estimates involve considerable judgment and reflect that there is still significant uncertainty regardi</w:t>
      </w:r>
      <w:r>
        <w:rPr>
          <w:rFonts w:eastAsia="Times New Roman"/>
          <w:color w:val="000000"/>
          <w:sz w:val="20"/>
          <w:szCs w:val="20"/>
        </w:rPr>
        <w:t>ng numerous factors that may impact the ultimate loss levels. Notwithstanding, our attempt to estimate a reasonably possible range of loss beyond our current accrual levels for some litigation matters based on current information, it is possible that actua</w:t>
      </w:r>
      <w:r>
        <w:rPr>
          <w:rFonts w:eastAsia="Times New Roman"/>
          <w:color w:val="000000"/>
          <w:sz w:val="20"/>
          <w:szCs w:val="20"/>
        </w:rPr>
        <w:t>l future losses will exceed both the current accrual level and the range of reasonably possible losses disclosed here. Given the inherent uncertainties involved in these matters, especially those involving governmental agencies, and the very large or indet</w:t>
      </w:r>
      <w:r>
        <w:rPr>
          <w:rFonts w:eastAsia="Times New Roman"/>
          <w:color w:val="000000"/>
          <w:sz w:val="20"/>
          <w:szCs w:val="20"/>
        </w:rPr>
        <w:t>erminate damages sought in some of these matters, there is significant uncertainty as to the ultimate liability we may incur from these litigation matters and an adverse outcome in one or more of these matters could be material to our results of operations</w:t>
      </w:r>
      <w:r>
        <w:rPr>
          <w:rFonts w:eastAsia="Times New Roman"/>
          <w:color w:val="000000"/>
          <w:sz w:val="20"/>
          <w:szCs w:val="20"/>
        </w:rPr>
        <w:t xml:space="preserve"> or cash flows for any particular reporting period.</w:t>
      </w:r>
    </w:p>
    <w:p w14:paraId="2F85EB6C" w14:textId="77777777" w:rsidR="00000000" w:rsidRDefault="00405D16">
      <w:pPr>
        <w:divId w:val="305548827"/>
        <w:rPr>
          <w:rFonts w:eastAsia="Times New Roman"/>
        </w:rPr>
      </w:pPr>
      <w:r>
        <w:rPr>
          <w:rFonts w:eastAsia="Times New Roman"/>
          <w:b/>
          <w:bCs/>
          <w:i/>
          <w:iCs/>
          <w:color w:val="000000"/>
          <w:sz w:val="20"/>
          <w:szCs w:val="20"/>
        </w:rPr>
        <w:t>Interchange</w:t>
      </w:r>
    </w:p>
    <w:p w14:paraId="3FA55FFC" w14:textId="77777777" w:rsidR="00000000" w:rsidRDefault="00405D16">
      <w:pPr>
        <w:jc w:val="both"/>
        <w:divId w:val="340009384"/>
        <w:rPr>
          <w:rFonts w:eastAsia="Times New Roman"/>
        </w:rPr>
      </w:pPr>
      <w:r>
        <w:rPr>
          <w:rFonts w:eastAsia="Times New Roman"/>
          <w:color w:val="000000"/>
          <w:sz w:val="20"/>
          <w:szCs w:val="20"/>
        </w:rPr>
        <w:t>In 2005, a putative class of retail merchants filed antitrust lawsuits against MasterCard and Visa and several issuing banks, including Capital One, seeking both injunctive relief and monetary</w:t>
      </w:r>
      <w:r>
        <w:rPr>
          <w:rFonts w:eastAsia="Times New Roman"/>
          <w:color w:val="000000"/>
          <w:sz w:val="20"/>
          <w:szCs w:val="20"/>
        </w:rPr>
        <w:t xml:space="preserve"> damages for an alleged conspiracy by defendants to fix the level of interchange fees. Other merchants have asserted similar claims in separate lawsuits, and while these separate cases did not name any issuing banks, Visa, MasterCard and issuers, including</w:t>
      </w:r>
      <w:r>
        <w:rPr>
          <w:rFonts w:eastAsia="Times New Roman"/>
          <w:color w:val="000000"/>
          <w:sz w:val="20"/>
          <w:szCs w:val="20"/>
        </w:rPr>
        <w:t xml:space="preserve"> Capital One, have entered settlement and judgment sharing agreements allocating the liabilities of any judgment or settlement arising from all interchange-related cases.</w:t>
      </w:r>
    </w:p>
    <w:p w14:paraId="4660178B" w14:textId="77777777" w:rsidR="00000000" w:rsidRDefault="00405D16">
      <w:pPr>
        <w:jc w:val="both"/>
        <w:divId w:val="1170870740"/>
        <w:rPr>
          <w:rFonts w:eastAsia="Times New Roman"/>
        </w:rPr>
      </w:pPr>
      <w:r>
        <w:rPr>
          <w:rFonts w:eastAsia="Times New Roman"/>
          <w:color w:val="000000"/>
          <w:sz w:val="20"/>
          <w:szCs w:val="20"/>
        </w:rPr>
        <w:t>The lawsuits were consolidated before the U.S. District Court for the Eastern Distric</w:t>
      </w:r>
      <w:r>
        <w:rPr>
          <w:rFonts w:eastAsia="Times New Roman"/>
          <w:color w:val="000000"/>
          <w:sz w:val="20"/>
          <w:szCs w:val="20"/>
        </w:rPr>
        <w:t>t of New York for certain purposes and were settled in 2012. The class settlement, however, was invalidated by the United States Court of Appeals for the Second Circuit in June 2016, and the suit was bifurcated into separate class actions seeking injunctiv</w:t>
      </w:r>
      <w:r>
        <w:rPr>
          <w:rFonts w:eastAsia="Times New Roman"/>
          <w:color w:val="000000"/>
          <w:sz w:val="20"/>
          <w:szCs w:val="20"/>
        </w:rPr>
        <w:t>e and monetary relief, respectively. In addition, numerous merchant groups opted out of the 2012 settlement and have pursued their own claims. The claims by the injunctive relief class have not been resolved, but the settlement of $5.5 billion for the mone</w:t>
      </w:r>
      <w:r>
        <w:rPr>
          <w:rFonts w:eastAsia="Times New Roman"/>
          <w:color w:val="000000"/>
          <w:sz w:val="20"/>
          <w:szCs w:val="20"/>
        </w:rPr>
        <w:t>tary damages class received final approval from the trial court, and has been appealed to the U.S. Court of Appeals for the Second Circuit. Visa and MasterCard have also settled a number of the opt-out cases, which required non-material payments from issui</w:t>
      </w:r>
      <w:r>
        <w:rPr>
          <w:rFonts w:eastAsia="Times New Roman"/>
          <w:color w:val="000000"/>
          <w:sz w:val="20"/>
          <w:szCs w:val="20"/>
        </w:rPr>
        <w:t>ng banks, including Capital One. Visa created a litigation escrow account following its initial public offering of stock in 2008 that funds settlements for its member banks, and any settlements related to MasterCard-allocated losses have either already bee</w:t>
      </w:r>
      <w:r>
        <w:rPr>
          <w:rFonts w:eastAsia="Times New Roman"/>
          <w:color w:val="000000"/>
          <w:sz w:val="20"/>
          <w:szCs w:val="20"/>
        </w:rPr>
        <w:t>n paid or are reflected in our reserves.</w:t>
      </w:r>
    </w:p>
    <w:p w14:paraId="6F7416E5" w14:textId="77777777" w:rsidR="00000000" w:rsidRDefault="00405D16">
      <w:pPr>
        <w:jc w:val="both"/>
        <w:divId w:val="138960003"/>
        <w:rPr>
          <w:rFonts w:eastAsia="Times New Roman"/>
        </w:rPr>
      </w:pPr>
      <w:r>
        <w:rPr>
          <w:rFonts w:eastAsia="Times New Roman"/>
          <w:b/>
          <w:bCs/>
          <w:i/>
          <w:iCs/>
          <w:color w:val="000000"/>
          <w:sz w:val="20"/>
          <w:szCs w:val="20"/>
        </w:rPr>
        <w:t>Cybersecurity Incident</w:t>
      </w:r>
    </w:p>
    <w:p w14:paraId="539F4281" w14:textId="77777777" w:rsidR="00000000" w:rsidRDefault="00405D16">
      <w:pPr>
        <w:jc w:val="both"/>
        <w:divId w:val="774209436"/>
        <w:rPr>
          <w:rFonts w:eastAsia="Times New Roman"/>
        </w:rPr>
      </w:pPr>
      <w:r>
        <w:rPr>
          <w:rFonts w:eastAsia="Times New Roman"/>
          <w:color w:val="000000"/>
          <w:sz w:val="20"/>
          <w:szCs w:val="20"/>
        </w:rPr>
        <w:t>On July 29, 2019, we announced that on March 22 and 23, 2019 an outside individual gained unauthorized access to our systems. This individual obtained certain types of personal information rel</w:t>
      </w:r>
      <w:r>
        <w:rPr>
          <w:rFonts w:eastAsia="Times New Roman"/>
          <w:color w:val="000000"/>
          <w:sz w:val="20"/>
          <w:szCs w:val="20"/>
        </w:rPr>
        <w:t>ating to people who had applied for our credit card products and to our credit card customers (the “Cybersecurity Incident”). As a result of the Cybersecurity Incident, we are subject to numerous legal proceedings and other inquiries and could be the subje</w:t>
      </w:r>
      <w:r>
        <w:rPr>
          <w:rFonts w:eastAsia="Times New Roman"/>
          <w:color w:val="000000"/>
          <w:sz w:val="20"/>
          <w:szCs w:val="20"/>
        </w:rPr>
        <w:t xml:space="preserve">ct of additional proceedings and inquiries in the future. </w:t>
      </w:r>
    </w:p>
    <w:p w14:paraId="1FC73DAF" w14:textId="77777777" w:rsidR="00000000" w:rsidRDefault="00405D16">
      <w:pPr>
        <w:jc w:val="both"/>
        <w:divId w:val="985478550"/>
        <w:rPr>
          <w:rFonts w:eastAsia="Times New Roman"/>
        </w:rPr>
      </w:pPr>
      <w:r>
        <w:rPr>
          <w:rFonts w:eastAsia="Times New Roman"/>
          <w:i/>
          <w:iCs/>
          <w:color w:val="000000"/>
          <w:sz w:val="20"/>
          <w:szCs w:val="20"/>
        </w:rPr>
        <w:t>Consumer class actions</w:t>
      </w:r>
      <w:r>
        <w:rPr>
          <w:rFonts w:eastAsia="Times New Roman"/>
          <w:color w:val="000000"/>
          <w:sz w:val="20"/>
          <w:szCs w:val="20"/>
        </w:rPr>
        <w:t xml:space="preserve">. We were named as a defendant in approximately 75 putative consumer class action cases (61 in U.S. federal courts, 1 </w:t>
      </w:r>
      <w:r>
        <w:rPr>
          <w:rFonts w:eastAsia="Times New Roman"/>
          <w:color w:val="000000"/>
          <w:sz w:val="20"/>
          <w:szCs w:val="20"/>
        </w:rPr>
        <w:t>in California state court, and 13 in Canadian courts) alleging harm from the Cybersecurity Incident and seeking various remedies, including monetary and injunctive relief. The lawsuits allege breach of contract, negligence, violations of various privacy la</w:t>
      </w:r>
      <w:r>
        <w:rPr>
          <w:rFonts w:eastAsia="Times New Roman"/>
          <w:color w:val="000000"/>
          <w:sz w:val="20"/>
          <w:szCs w:val="20"/>
        </w:rPr>
        <w:t xml:space="preserve">ws and a variety of other legal causes of action. The U.S. consumer class actions have been consolidated for pretrial proceedings before a multi-district litigation (“MDL”) panel in the U.S. District Court for the Eastern District of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27FF3263" w14:textId="77777777">
        <w:trPr>
          <w:divId w:val="92673498"/>
          <w:jc w:val="center"/>
        </w:trPr>
        <w:tc>
          <w:tcPr>
            <w:tcW w:w="50" w:type="pct"/>
            <w:vAlign w:val="center"/>
            <w:hideMark/>
          </w:tcPr>
          <w:p w14:paraId="39962EDA" w14:textId="77777777" w:rsidR="00000000" w:rsidRDefault="00405D16">
            <w:pPr>
              <w:jc w:val="both"/>
              <w:rPr>
                <w:rFonts w:eastAsia="Times New Roman"/>
              </w:rPr>
            </w:pPr>
          </w:p>
        </w:tc>
        <w:tc>
          <w:tcPr>
            <w:tcW w:w="1606" w:type="pct"/>
            <w:vAlign w:val="center"/>
            <w:hideMark/>
          </w:tcPr>
          <w:p w14:paraId="51903796" w14:textId="77777777" w:rsidR="00000000" w:rsidRDefault="00405D16">
            <w:pPr>
              <w:spacing w:after="100"/>
              <w:rPr>
                <w:rFonts w:eastAsia="Times New Roman"/>
                <w:sz w:val="20"/>
                <w:szCs w:val="20"/>
              </w:rPr>
            </w:pPr>
          </w:p>
        </w:tc>
        <w:tc>
          <w:tcPr>
            <w:tcW w:w="5" w:type="pct"/>
            <w:vAlign w:val="center"/>
            <w:hideMark/>
          </w:tcPr>
          <w:p w14:paraId="24B15FE4" w14:textId="77777777" w:rsidR="00000000" w:rsidRDefault="00405D16">
            <w:pPr>
              <w:spacing w:after="100"/>
              <w:rPr>
                <w:rFonts w:eastAsia="Times New Roman"/>
                <w:sz w:val="20"/>
                <w:szCs w:val="20"/>
              </w:rPr>
            </w:pPr>
          </w:p>
        </w:tc>
        <w:tc>
          <w:tcPr>
            <w:tcW w:w="50" w:type="pct"/>
            <w:vAlign w:val="center"/>
            <w:hideMark/>
          </w:tcPr>
          <w:p w14:paraId="43B884F8" w14:textId="77777777" w:rsidR="00000000" w:rsidRDefault="00405D16">
            <w:pPr>
              <w:spacing w:after="100"/>
              <w:rPr>
                <w:rFonts w:eastAsia="Times New Roman"/>
                <w:sz w:val="20"/>
                <w:szCs w:val="20"/>
              </w:rPr>
            </w:pPr>
          </w:p>
        </w:tc>
        <w:tc>
          <w:tcPr>
            <w:tcW w:w="1614" w:type="pct"/>
            <w:vAlign w:val="center"/>
            <w:hideMark/>
          </w:tcPr>
          <w:p w14:paraId="18D20174" w14:textId="77777777" w:rsidR="00000000" w:rsidRDefault="00405D16">
            <w:pPr>
              <w:spacing w:after="100"/>
              <w:rPr>
                <w:rFonts w:eastAsia="Times New Roman"/>
                <w:sz w:val="20"/>
                <w:szCs w:val="20"/>
              </w:rPr>
            </w:pPr>
          </w:p>
        </w:tc>
        <w:tc>
          <w:tcPr>
            <w:tcW w:w="5" w:type="pct"/>
            <w:vAlign w:val="center"/>
            <w:hideMark/>
          </w:tcPr>
          <w:p w14:paraId="4B8E6D12" w14:textId="77777777" w:rsidR="00000000" w:rsidRDefault="00405D16">
            <w:pPr>
              <w:spacing w:after="100"/>
              <w:rPr>
                <w:rFonts w:eastAsia="Times New Roman"/>
                <w:sz w:val="20"/>
                <w:szCs w:val="20"/>
              </w:rPr>
            </w:pPr>
          </w:p>
        </w:tc>
        <w:tc>
          <w:tcPr>
            <w:tcW w:w="50" w:type="pct"/>
            <w:vAlign w:val="center"/>
            <w:hideMark/>
          </w:tcPr>
          <w:p w14:paraId="31FB32A4" w14:textId="77777777" w:rsidR="00000000" w:rsidRDefault="00405D16">
            <w:pPr>
              <w:spacing w:after="100"/>
              <w:rPr>
                <w:rFonts w:eastAsia="Times New Roman"/>
                <w:sz w:val="20"/>
                <w:szCs w:val="20"/>
              </w:rPr>
            </w:pPr>
          </w:p>
        </w:tc>
        <w:tc>
          <w:tcPr>
            <w:tcW w:w="1614" w:type="pct"/>
            <w:vAlign w:val="center"/>
            <w:hideMark/>
          </w:tcPr>
          <w:p w14:paraId="0CD29506" w14:textId="77777777" w:rsidR="00000000" w:rsidRDefault="00405D16">
            <w:pPr>
              <w:spacing w:after="100"/>
              <w:rPr>
                <w:rFonts w:eastAsia="Times New Roman"/>
                <w:sz w:val="20"/>
                <w:szCs w:val="20"/>
              </w:rPr>
            </w:pPr>
          </w:p>
        </w:tc>
        <w:tc>
          <w:tcPr>
            <w:tcW w:w="5" w:type="pct"/>
            <w:vAlign w:val="center"/>
            <w:hideMark/>
          </w:tcPr>
          <w:p w14:paraId="05ABB9AF" w14:textId="77777777" w:rsidR="00000000" w:rsidRDefault="00405D16">
            <w:pPr>
              <w:spacing w:after="100"/>
              <w:rPr>
                <w:rFonts w:eastAsia="Times New Roman"/>
                <w:sz w:val="20"/>
                <w:szCs w:val="20"/>
              </w:rPr>
            </w:pPr>
          </w:p>
        </w:tc>
      </w:tr>
      <w:tr w:rsidR="00000000" w14:paraId="29F30E3F" w14:textId="77777777">
        <w:trPr>
          <w:divId w:val="92673498"/>
          <w:trHeight w:val="300"/>
          <w:jc w:val="center"/>
        </w:trPr>
        <w:tc>
          <w:tcPr>
            <w:tcW w:w="0" w:type="auto"/>
            <w:gridSpan w:val="9"/>
            <w:tcMar>
              <w:top w:w="0" w:type="dxa"/>
              <w:left w:w="20" w:type="dxa"/>
              <w:bottom w:w="0" w:type="dxa"/>
              <w:right w:w="20" w:type="dxa"/>
            </w:tcMar>
            <w:vAlign w:val="center"/>
            <w:hideMark/>
          </w:tcPr>
          <w:p w14:paraId="043CC235" w14:textId="77777777" w:rsidR="00000000" w:rsidRDefault="00405D16">
            <w:pPr>
              <w:spacing w:after="100"/>
              <w:rPr>
                <w:rFonts w:eastAsia="Times New Roman"/>
                <w:sz w:val="20"/>
                <w:szCs w:val="20"/>
              </w:rPr>
            </w:pPr>
          </w:p>
        </w:tc>
      </w:tr>
      <w:tr w:rsidR="00000000" w14:paraId="3BD76D0F" w14:textId="77777777">
        <w:trPr>
          <w:divId w:val="92673498"/>
          <w:jc w:val="center"/>
        </w:trPr>
        <w:tc>
          <w:tcPr>
            <w:tcW w:w="0" w:type="auto"/>
            <w:gridSpan w:val="3"/>
            <w:tcMar>
              <w:top w:w="0" w:type="dxa"/>
              <w:left w:w="20" w:type="dxa"/>
              <w:bottom w:w="0" w:type="dxa"/>
              <w:right w:w="20" w:type="dxa"/>
            </w:tcMar>
            <w:vAlign w:val="center"/>
            <w:hideMark/>
          </w:tcPr>
          <w:p w14:paraId="6C765A0E"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369BCC1" w14:textId="77777777" w:rsidR="00000000" w:rsidRDefault="00405D16">
            <w:pPr>
              <w:spacing w:after="100"/>
              <w:jc w:val="center"/>
              <w:rPr>
                <w:rFonts w:eastAsia="Times New Roman"/>
              </w:rPr>
            </w:pPr>
            <w:r>
              <w:rPr>
                <w:rFonts w:eastAsia="Times New Roman"/>
                <w:color w:val="000000"/>
                <w:sz w:val="16"/>
                <w:szCs w:val="16"/>
              </w:rPr>
              <w:t>130</w:t>
            </w:r>
          </w:p>
        </w:tc>
        <w:tc>
          <w:tcPr>
            <w:tcW w:w="0" w:type="auto"/>
            <w:gridSpan w:val="3"/>
            <w:tcMar>
              <w:top w:w="30" w:type="dxa"/>
              <w:left w:w="20" w:type="dxa"/>
              <w:bottom w:w="30" w:type="dxa"/>
              <w:right w:w="20" w:type="dxa"/>
            </w:tcMar>
            <w:vAlign w:val="bottom"/>
            <w:hideMark/>
          </w:tcPr>
          <w:p w14:paraId="5A7B00B8"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527FA699" w14:textId="77777777" w:rsidR="00000000" w:rsidRDefault="00405D16">
      <w:pPr>
        <w:rPr>
          <w:rFonts w:eastAsia="Times New Roman"/>
        </w:rPr>
      </w:pPr>
      <w:r>
        <w:rPr>
          <w:rFonts w:eastAsia="Times New Roman"/>
        </w:rPr>
        <w:pict w14:anchorId="473D5933">
          <v:rect id="_x0000_i1155" style="width:0;height:1.5pt" o:hralign="center" o:hrstd="t" o:hr="t" fillcolor="#a0a0a0" stroked="f"/>
        </w:pict>
      </w:r>
    </w:p>
    <w:p w14:paraId="062726BC" w14:textId="77777777" w:rsidR="00000000" w:rsidRDefault="00405D16">
      <w:pPr>
        <w:jc w:val="both"/>
        <w:divId w:val="2025666705"/>
        <w:rPr>
          <w:rFonts w:eastAsia="Times New Roman"/>
        </w:rPr>
      </w:pPr>
      <w:hyperlink w:anchor="idd54a04a485440b4ab4e56094c14d612_13" w:history="1">
        <w:r>
          <w:rPr>
            <w:rStyle w:val="a3"/>
            <w:rFonts w:eastAsia="Times New Roman"/>
            <w:sz w:val="16"/>
            <w:szCs w:val="16"/>
          </w:rPr>
          <w:t>Table of Contents</w:t>
        </w:r>
      </w:hyperlink>
    </w:p>
    <w:p w14:paraId="2705A409" w14:textId="77777777" w:rsidR="00000000" w:rsidRDefault="00405D16">
      <w:pPr>
        <w:jc w:val="center"/>
        <w:divId w:val="2025666705"/>
        <w:rPr>
          <w:rFonts w:eastAsia="Times New Roman"/>
        </w:rPr>
      </w:pPr>
    </w:p>
    <w:p w14:paraId="1E72A76B" w14:textId="77777777" w:rsidR="00000000" w:rsidRDefault="00405D16">
      <w:pPr>
        <w:jc w:val="both"/>
        <w:divId w:val="688334871"/>
        <w:rPr>
          <w:rFonts w:eastAsia="Times New Roman"/>
        </w:rPr>
      </w:pPr>
      <w:r>
        <w:rPr>
          <w:rFonts w:eastAsia="Times New Roman"/>
          <w:color w:val="000000"/>
          <w:sz w:val="20"/>
          <w:szCs w:val="20"/>
        </w:rPr>
        <w:t xml:space="preserve">Virginia, Alexandria Division, where the remaining 29 </w:t>
      </w:r>
      <w:r>
        <w:rPr>
          <w:rFonts w:eastAsia="Times New Roman"/>
          <w:color w:val="000000"/>
          <w:sz w:val="20"/>
          <w:szCs w:val="20"/>
        </w:rPr>
        <w:t xml:space="preserve">consumer class actions are currently pending. In the third quarter of 2020, the MDL court denied in part and granted in part Capital One’s motion to dismiss and permitted pretrial discovery to continue. </w:t>
      </w:r>
    </w:p>
    <w:p w14:paraId="2F8D658D" w14:textId="77777777" w:rsidR="00000000" w:rsidRDefault="00405D16">
      <w:pPr>
        <w:jc w:val="both"/>
        <w:divId w:val="518784575"/>
        <w:rPr>
          <w:rFonts w:eastAsia="Times New Roman"/>
        </w:rPr>
      </w:pPr>
      <w:r>
        <w:rPr>
          <w:rFonts w:eastAsia="Times New Roman"/>
          <w:i/>
          <w:iCs/>
          <w:color w:val="000000"/>
          <w:sz w:val="20"/>
          <w:szCs w:val="20"/>
        </w:rPr>
        <w:t>Securities class action</w:t>
      </w:r>
      <w:r>
        <w:rPr>
          <w:rFonts w:eastAsia="Times New Roman"/>
          <w:color w:val="000000"/>
          <w:sz w:val="20"/>
          <w:szCs w:val="20"/>
        </w:rPr>
        <w:t>. The Company and certain off</w:t>
      </w:r>
      <w:r>
        <w:rPr>
          <w:rFonts w:eastAsia="Times New Roman"/>
          <w:color w:val="000000"/>
          <w:sz w:val="20"/>
          <w:szCs w:val="20"/>
        </w:rPr>
        <w:t>icers have also been named as defendants in a putative class action pending in the MDL alleging violations of certain federal securities laws in connection with statements and alleged omissions in securities filings relating to our information security sta</w:t>
      </w:r>
      <w:r>
        <w:rPr>
          <w:rFonts w:eastAsia="Times New Roman"/>
          <w:color w:val="000000"/>
          <w:sz w:val="20"/>
          <w:szCs w:val="20"/>
        </w:rPr>
        <w:t>ndards and practices. The complaint seeks certification of a class of all persons who purchased or otherwise acquired Capital One securities from July 23, 2015 to July 29, 2019, as well as unspecified monetary damages, costs and other relief.</w:t>
      </w:r>
    </w:p>
    <w:p w14:paraId="5E7D961B" w14:textId="77777777" w:rsidR="00000000" w:rsidRDefault="00405D16">
      <w:pPr>
        <w:jc w:val="both"/>
        <w:divId w:val="690692389"/>
        <w:rPr>
          <w:rFonts w:eastAsia="Times New Roman"/>
        </w:rPr>
      </w:pPr>
      <w:r>
        <w:rPr>
          <w:rFonts w:eastAsia="Times New Roman"/>
          <w:i/>
          <w:iCs/>
          <w:color w:val="000000"/>
          <w:sz w:val="20"/>
          <w:szCs w:val="20"/>
        </w:rPr>
        <w:t xml:space="preserve">Governmental </w:t>
      </w:r>
      <w:r>
        <w:rPr>
          <w:rFonts w:eastAsia="Times New Roman"/>
          <w:i/>
          <w:iCs/>
          <w:color w:val="000000"/>
          <w:sz w:val="20"/>
          <w:szCs w:val="20"/>
        </w:rPr>
        <w:t>inquiries</w:t>
      </w:r>
      <w:r>
        <w:rPr>
          <w:rFonts w:eastAsia="Times New Roman"/>
          <w:color w:val="000000"/>
          <w:sz w:val="20"/>
          <w:szCs w:val="20"/>
        </w:rPr>
        <w:t xml:space="preserve">. We have received inquiries and requests for information relating to the Cybersecurity Incident from Congress, federal regulators, relevant Canadian regulators, the Department of Justice, and the offices of approximately fourteen state Attorneys </w:t>
      </w:r>
      <w:r>
        <w:rPr>
          <w:rFonts w:eastAsia="Times New Roman"/>
          <w:color w:val="000000"/>
          <w:sz w:val="20"/>
          <w:szCs w:val="20"/>
        </w:rPr>
        <w:t xml:space="preserve">General. We are cooperating with these offices and responding to their inquiries. </w:t>
      </w:r>
    </w:p>
    <w:p w14:paraId="12F47961" w14:textId="77777777" w:rsidR="00000000" w:rsidRDefault="00405D16">
      <w:pPr>
        <w:jc w:val="both"/>
        <w:rPr>
          <w:rFonts w:eastAsia="Times New Roman"/>
        </w:rPr>
      </w:pPr>
      <w:r>
        <w:rPr>
          <w:rFonts w:eastAsia="Times New Roman"/>
          <w:color w:val="000000"/>
          <w:sz w:val="20"/>
          <w:szCs w:val="20"/>
        </w:rPr>
        <w:t>In August 2020, we entered into consent orders with the Federal Reserve and the Office of the Comptroller of the Currency (“OCC”) resulting from regulatory reviews of the Cy</w:t>
      </w:r>
      <w:r>
        <w:rPr>
          <w:rFonts w:eastAsia="Times New Roman"/>
          <w:color w:val="000000"/>
          <w:sz w:val="20"/>
          <w:szCs w:val="20"/>
        </w:rPr>
        <w:t>bersecurity Incident and relating to ongoing enhancements of our cybersecurity and operational risk management processes. We paid an $80 million penalty to the U.S. Treasury as part of the OCC agreement. The Federal Reserve agreement did not contain a mone</w:t>
      </w:r>
      <w:r>
        <w:rPr>
          <w:rFonts w:eastAsia="Times New Roman"/>
          <w:color w:val="000000"/>
          <w:sz w:val="20"/>
          <w:szCs w:val="20"/>
        </w:rPr>
        <w:t xml:space="preserve">tary penalty. </w:t>
      </w:r>
    </w:p>
    <w:p w14:paraId="47E14379" w14:textId="77777777" w:rsidR="00000000" w:rsidRDefault="00405D16">
      <w:pPr>
        <w:divId w:val="707994797"/>
        <w:rPr>
          <w:rFonts w:eastAsia="Times New Roman"/>
        </w:rPr>
      </w:pPr>
      <w:r>
        <w:rPr>
          <w:rFonts w:eastAsia="Times New Roman"/>
          <w:b/>
          <w:bCs/>
          <w:i/>
          <w:iCs/>
          <w:color w:val="000000"/>
          <w:sz w:val="20"/>
          <w:szCs w:val="20"/>
        </w:rPr>
        <w:t>Taxi Medallion Finance Investigations</w:t>
      </w:r>
    </w:p>
    <w:p w14:paraId="27E64C81" w14:textId="77777777" w:rsidR="00000000" w:rsidRDefault="00405D16">
      <w:pPr>
        <w:jc w:val="both"/>
        <w:divId w:val="628821373"/>
        <w:rPr>
          <w:rFonts w:eastAsia="Times New Roman"/>
        </w:rPr>
      </w:pPr>
      <w:r>
        <w:rPr>
          <w:rFonts w:eastAsia="Times New Roman"/>
          <w:color w:val="000000"/>
          <w:sz w:val="20"/>
          <w:szCs w:val="20"/>
        </w:rPr>
        <w:t>Beginning in 2019, we have received subpoenas from the New York Attorney General’s office and from the U.S. Attorney’s Office for the Southern District of New York, Civil and Criminal Divisions, relating</w:t>
      </w:r>
      <w:r>
        <w:rPr>
          <w:rFonts w:eastAsia="Times New Roman"/>
          <w:color w:val="000000"/>
          <w:sz w:val="20"/>
          <w:szCs w:val="20"/>
        </w:rPr>
        <w:t xml:space="preserve"> to investigations of the taxi medallion finance industry we exited beginning in 2015. The subpoenas seek, among other things, information regarding our lending counterparties and practices. We are cooperating with these investigations.</w:t>
      </w:r>
    </w:p>
    <w:p w14:paraId="4911B8A5" w14:textId="77777777" w:rsidR="00000000" w:rsidRDefault="00405D16">
      <w:pPr>
        <w:divId w:val="2022389782"/>
        <w:rPr>
          <w:rFonts w:eastAsia="Times New Roman"/>
        </w:rPr>
      </w:pPr>
      <w:r>
        <w:rPr>
          <w:rFonts w:eastAsia="Times New Roman"/>
          <w:b/>
          <w:bCs/>
          <w:i/>
          <w:iCs/>
          <w:color w:val="000000"/>
          <w:sz w:val="20"/>
          <w:szCs w:val="20"/>
        </w:rPr>
        <w:t>U.K. PPI Litigation</w:t>
      </w:r>
    </w:p>
    <w:p w14:paraId="47E56C3B" w14:textId="77777777" w:rsidR="00000000" w:rsidRDefault="00405D16">
      <w:pPr>
        <w:jc w:val="both"/>
        <w:divId w:val="1117872145"/>
        <w:rPr>
          <w:rFonts w:eastAsia="Times New Roman"/>
        </w:rPr>
      </w:pPr>
      <w:r>
        <w:rPr>
          <w:rFonts w:eastAsia="Times New Roman"/>
          <w:color w:val="000000"/>
          <w:sz w:val="20"/>
          <w:szCs w:val="20"/>
        </w:rPr>
        <w:t>In the U.K., we previously sold payment protection insurance (“PPI”). For several years leading up to the claims submission deadline of August 29, 2019 (as set by the U.K. Financial Conduct Authority), we received customer complaints and regulatory claims</w:t>
      </w:r>
      <w:r>
        <w:rPr>
          <w:rFonts w:eastAsia="Times New Roman"/>
          <w:color w:val="000000"/>
          <w:sz w:val="20"/>
          <w:szCs w:val="20"/>
        </w:rPr>
        <w:t xml:space="preserve"> relating to PPI. As of the first quarter of 2021, COEP has materially resolved the PPI complaints and regulatory claims received prior to the deadline. Some of the claimants in the U.K. PPI regulatory claims process have subsequently initiated legal proce</w:t>
      </w:r>
      <w:r>
        <w:rPr>
          <w:rFonts w:eastAsia="Times New Roman"/>
          <w:color w:val="000000"/>
          <w:sz w:val="20"/>
          <w:szCs w:val="20"/>
        </w:rPr>
        <w:t>edings, seeking additional redress. We are responding to these proceedings as we receive them.</w:t>
      </w:r>
    </w:p>
    <w:p w14:paraId="4775E88D" w14:textId="77777777" w:rsidR="00000000" w:rsidRDefault="00405D16">
      <w:pPr>
        <w:jc w:val="both"/>
        <w:divId w:val="272983400"/>
        <w:rPr>
          <w:rFonts w:eastAsia="Times New Roman"/>
        </w:rPr>
      </w:pPr>
      <w:r>
        <w:rPr>
          <w:rFonts w:eastAsia="Times New Roman"/>
          <w:b/>
          <w:bCs/>
          <w:i/>
          <w:iCs/>
          <w:color w:val="000000"/>
          <w:sz w:val="20"/>
          <w:szCs w:val="20"/>
        </w:rPr>
        <w:t>Other Pending and Threatened Litigation</w:t>
      </w:r>
    </w:p>
    <w:p w14:paraId="11675041" w14:textId="77777777" w:rsidR="00000000" w:rsidRDefault="00405D16">
      <w:pPr>
        <w:jc w:val="both"/>
        <w:divId w:val="1703090925"/>
        <w:rPr>
          <w:rFonts w:eastAsia="Times New Roman"/>
        </w:rPr>
      </w:pPr>
      <w:r>
        <w:rPr>
          <w:rFonts w:eastAsia="Times New Roman"/>
          <w:color w:val="000000"/>
          <w:sz w:val="20"/>
          <w:szCs w:val="20"/>
        </w:rPr>
        <w:t>In addition, we are commonly subject to various pending and threatened legal actions relating to the conduct of our norma</w:t>
      </w:r>
      <w:r>
        <w:rPr>
          <w:rFonts w:eastAsia="Times New Roman"/>
          <w:color w:val="000000"/>
          <w:sz w:val="20"/>
          <w:szCs w:val="20"/>
        </w:rPr>
        <w:t>l business activities. In the opinion of management, the ultimate aggregate liability, if any, arising out of all such other pending or threatened legal actions is not expected to be material to our consolidated financial position or our results of operati</w:t>
      </w:r>
      <w:r>
        <w:rPr>
          <w:rFonts w:eastAsia="Times New Roman"/>
          <w:color w:val="000000"/>
          <w:sz w:val="20"/>
          <w:szCs w:val="20"/>
        </w:rPr>
        <w:t>ons.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39732D7B" w14:textId="77777777">
        <w:trPr>
          <w:divId w:val="721833936"/>
          <w:jc w:val="center"/>
        </w:trPr>
        <w:tc>
          <w:tcPr>
            <w:tcW w:w="50" w:type="pct"/>
            <w:vAlign w:val="center"/>
            <w:hideMark/>
          </w:tcPr>
          <w:p w14:paraId="437E77B9" w14:textId="77777777" w:rsidR="00000000" w:rsidRDefault="00405D16">
            <w:pPr>
              <w:jc w:val="both"/>
              <w:rPr>
                <w:rFonts w:eastAsia="Times New Roman"/>
              </w:rPr>
            </w:pPr>
          </w:p>
        </w:tc>
        <w:tc>
          <w:tcPr>
            <w:tcW w:w="1606" w:type="pct"/>
            <w:vAlign w:val="center"/>
            <w:hideMark/>
          </w:tcPr>
          <w:p w14:paraId="65C3D131" w14:textId="77777777" w:rsidR="00000000" w:rsidRDefault="00405D16">
            <w:pPr>
              <w:spacing w:after="100"/>
              <w:rPr>
                <w:rFonts w:eastAsia="Times New Roman"/>
                <w:sz w:val="20"/>
                <w:szCs w:val="20"/>
              </w:rPr>
            </w:pPr>
          </w:p>
        </w:tc>
        <w:tc>
          <w:tcPr>
            <w:tcW w:w="5" w:type="pct"/>
            <w:vAlign w:val="center"/>
            <w:hideMark/>
          </w:tcPr>
          <w:p w14:paraId="243D2E9A" w14:textId="77777777" w:rsidR="00000000" w:rsidRDefault="00405D16">
            <w:pPr>
              <w:spacing w:after="100"/>
              <w:rPr>
                <w:rFonts w:eastAsia="Times New Roman"/>
                <w:sz w:val="20"/>
                <w:szCs w:val="20"/>
              </w:rPr>
            </w:pPr>
          </w:p>
        </w:tc>
        <w:tc>
          <w:tcPr>
            <w:tcW w:w="50" w:type="pct"/>
            <w:vAlign w:val="center"/>
            <w:hideMark/>
          </w:tcPr>
          <w:p w14:paraId="5A318FB4" w14:textId="77777777" w:rsidR="00000000" w:rsidRDefault="00405D16">
            <w:pPr>
              <w:spacing w:after="100"/>
              <w:rPr>
                <w:rFonts w:eastAsia="Times New Roman"/>
                <w:sz w:val="20"/>
                <w:szCs w:val="20"/>
              </w:rPr>
            </w:pPr>
          </w:p>
        </w:tc>
        <w:tc>
          <w:tcPr>
            <w:tcW w:w="1614" w:type="pct"/>
            <w:vAlign w:val="center"/>
            <w:hideMark/>
          </w:tcPr>
          <w:p w14:paraId="3A62CA5A" w14:textId="77777777" w:rsidR="00000000" w:rsidRDefault="00405D16">
            <w:pPr>
              <w:spacing w:after="100"/>
              <w:rPr>
                <w:rFonts w:eastAsia="Times New Roman"/>
                <w:sz w:val="20"/>
                <w:szCs w:val="20"/>
              </w:rPr>
            </w:pPr>
          </w:p>
        </w:tc>
        <w:tc>
          <w:tcPr>
            <w:tcW w:w="5" w:type="pct"/>
            <w:vAlign w:val="center"/>
            <w:hideMark/>
          </w:tcPr>
          <w:p w14:paraId="7AF9AFFD" w14:textId="77777777" w:rsidR="00000000" w:rsidRDefault="00405D16">
            <w:pPr>
              <w:spacing w:after="100"/>
              <w:rPr>
                <w:rFonts w:eastAsia="Times New Roman"/>
                <w:sz w:val="20"/>
                <w:szCs w:val="20"/>
              </w:rPr>
            </w:pPr>
          </w:p>
        </w:tc>
        <w:tc>
          <w:tcPr>
            <w:tcW w:w="50" w:type="pct"/>
            <w:vAlign w:val="center"/>
            <w:hideMark/>
          </w:tcPr>
          <w:p w14:paraId="57E1802F" w14:textId="77777777" w:rsidR="00000000" w:rsidRDefault="00405D16">
            <w:pPr>
              <w:spacing w:after="100"/>
              <w:rPr>
                <w:rFonts w:eastAsia="Times New Roman"/>
                <w:sz w:val="20"/>
                <w:szCs w:val="20"/>
              </w:rPr>
            </w:pPr>
          </w:p>
        </w:tc>
        <w:tc>
          <w:tcPr>
            <w:tcW w:w="1614" w:type="pct"/>
            <w:vAlign w:val="center"/>
            <w:hideMark/>
          </w:tcPr>
          <w:p w14:paraId="00FF6DE9" w14:textId="77777777" w:rsidR="00000000" w:rsidRDefault="00405D16">
            <w:pPr>
              <w:spacing w:after="100"/>
              <w:rPr>
                <w:rFonts w:eastAsia="Times New Roman"/>
                <w:sz w:val="20"/>
                <w:szCs w:val="20"/>
              </w:rPr>
            </w:pPr>
          </w:p>
        </w:tc>
        <w:tc>
          <w:tcPr>
            <w:tcW w:w="5" w:type="pct"/>
            <w:vAlign w:val="center"/>
            <w:hideMark/>
          </w:tcPr>
          <w:p w14:paraId="62282729" w14:textId="77777777" w:rsidR="00000000" w:rsidRDefault="00405D16">
            <w:pPr>
              <w:spacing w:after="100"/>
              <w:rPr>
                <w:rFonts w:eastAsia="Times New Roman"/>
                <w:sz w:val="20"/>
                <w:szCs w:val="20"/>
              </w:rPr>
            </w:pPr>
          </w:p>
        </w:tc>
      </w:tr>
      <w:tr w:rsidR="00000000" w14:paraId="51CC983B" w14:textId="77777777">
        <w:trPr>
          <w:divId w:val="721833936"/>
          <w:trHeight w:val="300"/>
          <w:jc w:val="center"/>
        </w:trPr>
        <w:tc>
          <w:tcPr>
            <w:tcW w:w="0" w:type="auto"/>
            <w:gridSpan w:val="9"/>
            <w:tcMar>
              <w:top w:w="0" w:type="dxa"/>
              <w:left w:w="20" w:type="dxa"/>
              <w:bottom w:w="0" w:type="dxa"/>
              <w:right w:w="20" w:type="dxa"/>
            </w:tcMar>
            <w:vAlign w:val="center"/>
            <w:hideMark/>
          </w:tcPr>
          <w:p w14:paraId="12A4A7F8" w14:textId="77777777" w:rsidR="00000000" w:rsidRDefault="00405D16">
            <w:pPr>
              <w:spacing w:after="100"/>
              <w:rPr>
                <w:rFonts w:eastAsia="Times New Roman"/>
                <w:sz w:val="20"/>
                <w:szCs w:val="20"/>
              </w:rPr>
            </w:pPr>
          </w:p>
        </w:tc>
      </w:tr>
      <w:tr w:rsidR="00000000" w14:paraId="27D26004" w14:textId="77777777">
        <w:trPr>
          <w:divId w:val="721833936"/>
          <w:jc w:val="center"/>
        </w:trPr>
        <w:tc>
          <w:tcPr>
            <w:tcW w:w="0" w:type="auto"/>
            <w:gridSpan w:val="3"/>
            <w:tcMar>
              <w:top w:w="0" w:type="dxa"/>
              <w:left w:w="20" w:type="dxa"/>
              <w:bottom w:w="0" w:type="dxa"/>
              <w:right w:w="20" w:type="dxa"/>
            </w:tcMar>
            <w:vAlign w:val="center"/>
            <w:hideMark/>
          </w:tcPr>
          <w:p w14:paraId="30F8DFAF"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6AA04A7" w14:textId="77777777" w:rsidR="00000000" w:rsidRDefault="00405D16">
            <w:pPr>
              <w:spacing w:after="100"/>
              <w:jc w:val="center"/>
              <w:rPr>
                <w:rFonts w:eastAsia="Times New Roman"/>
              </w:rPr>
            </w:pPr>
            <w:r>
              <w:rPr>
                <w:rFonts w:eastAsia="Times New Roman"/>
                <w:color w:val="000000"/>
                <w:sz w:val="16"/>
                <w:szCs w:val="16"/>
              </w:rPr>
              <w:t>131</w:t>
            </w:r>
          </w:p>
        </w:tc>
        <w:tc>
          <w:tcPr>
            <w:tcW w:w="0" w:type="auto"/>
            <w:gridSpan w:val="3"/>
            <w:tcMar>
              <w:top w:w="30" w:type="dxa"/>
              <w:left w:w="20" w:type="dxa"/>
              <w:bottom w:w="30" w:type="dxa"/>
              <w:right w:w="20" w:type="dxa"/>
            </w:tcMar>
            <w:vAlign w:val="bottom"/>
            <w:hideMark/>
          </w:tcPr>
          <w:p w14:paraId="538170D4"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4CBA3B9D" w14:textId="77777777" w:rsidR="00000000" w:rsidRDefault="00405D16">
      <w:pPr>
        <w:rPr>
          <w:rFonts w:eastAsia="Times New Roman"/>
        </w:rPr>
      </w:pPr>
      <w:r>
        <w:rPr>
          <w:rFonts w:eastAsia="Times New Roman"/>
        </w:rPr>
        <w:pict w14:anchorId="1793D2EB">
          <v:rect id="_x0000_i1156" style="width:0;height:1.5pt" o:hralign="center" o:hrstd="t" o:hr="t" fillcolor="#a0a0a0" stroked="f"/>
        </w:pict>
      </w:r>
    </w:p>
    <w:p w14:paraId="1F8DDECA" w14:textId="77777777" w:rsidR="00000000" w:rsidRDefault="00405D16">
      <w:pPr>
        <w:jc w:val="both"/>
        <w:divId w:val="1063022136"/>
        <w:rPr>
          <w:rFonts w:eastAsia="Times New Roman"/>
        </w:rPr>
      </w:pPr>
      <w:hyperlink w:anchor="idd54a04a485440b4ab4e56094c14d612_13" w:history="1">
        <w:r>
          <w:rPr>
            <w:rStyle w:val="a3"/>
            <w:rFonts w:eastAsia="Times New Roman"/>
            <w:sz w:val="16"/>
            <w:szCs w:val="16"/>
          </w:rPr>
          <w:t>Table of Contents</w:t>
        </w:r>
      </w:hyperlink>
    </w:p>
    <w:p w14:paraId="20A89C50" w14:textId="77777777" w:rsidR="00000000" w:rsidRDefault="00405D16">
      <w:pPr>
        <w:divId w:val="1980767560"/>
        <w:rPr>
          <w:rFonts w:eastAsia="Times New Roman"/>
        </w:rPr>
      </w:pPr>
      <w:r>
        <w:rPr>
          <w:rFonts w:eastAsia="Times New Roman"/>
          <w:b/>
          <w:bCs/>
          <w:color w:val="000000"/>
          <w:sz w:val="20"/>
          <w:szCs w:val="20"/>
        </w:rPr>
        <w:t xml:space="preserve">Item 3. Quantitative and Qualitative Disclosures about Market Risk </w:t>
      </w:r>
    </w:p>
    <w:p w14:paraId="7F8173FD" w14:textId="77777777" w:rsidR="00000000" w:rsidRDefault="00405D16">
      <w:pPr>
        <w:jc w:val="both"/>
        <w:divId w:val="1990672418"/>
        <w:rPr>
          <w:rFonts w:eastAsia="Times New Roman"/>
        </w:rPr>
      </w:pPr>
      <w:r>
        <w:rPr>
          <w:rFonts w:eastAsia="Times New Roman"/>
          <w:color w:val="000000"/>
          <w:sz w:val="20"/>
          <w:szCs w:val="20"/>
        </w:rPr>
        <w:t>For a discussion of the quantitative and qualitative disclosures about market risk, see “MD&amp;A—Market Risk Profile.”</w:t>
      </w:r>
    </w:p>
    <w:p w14:paraId="244BA354" w14:textId="77777777" w:rsidR="00000000" w:rsidRDefault="00405D16">
      <w:pPr>
        <w:divId w:val="2008748277"/>
        <w:rPr>
          <w:rFonts w:eastAsia="Times New Roman"/>
        </w:rPr>
      </w:pPr>
      <w:r>
        <w:rPr>
          <w:rFonts w:eastAsia="Times New Roman"/>
          <w:b/>
          <w:bCs/>
          <w:color w:val="000000"/>
          <w:sz w:val="20"/>
          <w:szCs w:val="20"/>
        </w:rPr>
        <w:t>Item 4. Controls and Procedures</w:t>
      </w:r>
    </w:p>
    <w:p w14:paraId="04C58F15" w14:textId="77777777" w:rsidR="00000000" w:rsidRDefault="00405D16">
      <w:pPr>
        <w:divId w:val="138114172"/>
        <w:rPr>
          <w:rFonts w:eastAsia="Times New Roman"/>
        </w:rPr>
      </w:pPr>
      <w:r>
        <w:rPr>
          <w:rFonts w:eastAsia="Times New Roman"/>
          <w:b/>
          <w:bCs/>
          <w:color w:val="000000"/>
          <w:sz w:val="20"/>
          <w:szCs w:val="20"/>
        </w:rPr>
        <w:t>Overview</w:t>
      </w:r>
    </w:p>
    <w:p w14:paraId="2A0EC9A2" w14:textId="77777777" w:rsidR="00000000" w:rsidRDefault="00405D16">
      <w:pPr>
        <w:jc w:val="both"/>
        <w:divId w:val="1409690680"/>
        <w:rPr>
          <w:rFonts w:eastAsia="Times New Roman"/>
        </w:rPr>
      </w:pPr>
      <w:r>
        <w:rPr>
          <w:rFonts w:eastAsia="Times New Roman"/>
          <w:color w:val="000000"/>
          <w:sz w:val="20"/>
          <w:szCs w:val="20"/>
        </w:rPr>
        <w:t>We are required under applicable laws and regulations to maintain controls and procedures, which in</w:t>
      </w:r>
      <w:r>
        <w:rPr>
          <w:rFonts w:eastAsia="Times New Roman"/>
          <w:color w:val="000000"/>
          <w:sz w:val="20"/>
          <w:szCs w:val="20"/>
        </w:rPr>
        <w:t>clude disclosure controls and procedures as well as internal control over financial reporting, as further described below. </w:t>
      </w:r>
    </w:p>
    <w:p w14:paraId="145A1DC0" w14:textId="77777777" w:rsidR="00000000" w:rsidRDefault="00405D16">
      <w:pPr>
        <w:divId w:val="1685941498"/>
        <w:rPr>
          <w:rFonts w:eastAsia="Times New Roman"/>
        </w:rPr>
      </w:pPr>
      <w:r>
        <w:rPr>
          <w:rFonts w:eastAsia="Times New Roman"/>
          <w:b/>
          <w:bCs/>
          <w:color w:val="000000"/>
          <w:sz w:val="20"/>
          <w:szCs w:val="20"/>
        </w:rPr>
        <w:t>(a) Disclosure Controls and Procedures</w:t>
      </w:r>
    </w:p>
    <w:p w14:paraId="603416AE" w14:textId="77777777" w:rsidR="00000000" w:rsidRDefault="00405D16">
      <w:pPr>
        <w:jc w:val="both"/>
        <w:divId w:val="1777361281"/>
        <w:rPr>
          <w:rFonts w:eastAsia="Times New Roman"/>
        </w:rPr>
      </w:pPr>
      <w:r>
        <w:rPr>
          <w:rFonts w:eastAsia="Times New Roman"/>
          <w:color w:val="000000"/>
          <w:sz w:val="20"/>
          <w:szCs w:val="20"/>
        </w:rPr>
        <w:t>Disclosure controls and procedures refer to controls and other procedures designed to provide</w:t>
      </w:r>
      <w:r>
        <w:rPr>
          <w:rFonts w:eastAsia="Times New Roman"/>
          <w:color w:val="000000"/>
          <w:sz w:val="20"/>
          <w:szCs w:val="20"/>
        </w:rPr>
        <w:t xml:space="preserve"> reasonable assurance that information required to be disclosed in our financial reports is recorded, processed, summarized and reported within the time periods specified by the U.S. Securities and Exchange Commission (“SEC”) rules and forms and that such </w:t>
      </w:r>
      <w:r>
        <w:rPr>
          <w:rFonts w:eastAsia="Times New Roman"/>
          <w:color w:val="000000"/>
          <w:sz w:val="20"/>
          <w:szCs w:val="20"/>
        </w:rPr>
        <w:t>information is accumulated and communicated to management, including our Chief Executive Officer and Chief Financial Officer, as appropriate, to allow timely decisions regarding our required disclosure. In designing and evaluating our disclosure controls a</w:t>
      </w:r>
      <w:r>
        <w:rPr>
          <w:rFonts w:eastAsia="Times New Roman"/>
          <w:color w:val="000000"/>
          <w:sz w:val="20"/>
          <w:szCs w:val="20"/>
        </w:rPr>
        <w:t>nd procedures, we recognize that any controls and procedures, no matter how well designed and operated, can provide only reasonable assurance of achieving the desired control objectives, and we must apply judgment in evaluating and implementing possible co</w:t>
      </w:r>
      <w:r>
        <w:rPr>
          <w:rFonts w:eastAsia="Times New Roman"/>
          <w:color w:val="000000"/>
          <w:sz w:val="20"/>
          <w:szCs w:val="20"/>
        </w:rPr>
        <w:t>ntrols and procedures. </w:t>
      </w:r>
    </w:p>
    <w:p w14:paraId="4956F970" w14:textId="77777777" w:rsidR="00000000" w:rsidRDefault="00405D16">
      <w:pPr>
        <w:divId w:val="792479795"/>
        <w:rPr>
          <w:rFonts w:eastAsia="Times New Roman"/>
        </w:rPr>
      </w:pPr>
      <w:r>
        <w:rPr>
          <w:rFonts w:eastAsia="Times New Roman"/>
          <w:b/>
          <w:bCs/>
          <w:i/>
          <w:iCs/>
          <w:color w:val="000000"/>
          <w:sz w:val="20"/>
          <w:szCs w:val="20"/>
        </w:rPr>
        <w:t>Evaluation of Disclosure Controls and Procedures</w:t>
      </w:r>
    </w:p>
    <w:p w14:paraId="28AC0A91" w14:textId="77777777" w:rsidR="00000000" w:rsidRDefault="00405D16">
      <w:pPr>
        <w:jc w:val="both"/>
        <w:divId w:val="1879970420"/>
        <w:rPr>
          <w:rFonts w:eastAsia="Times New Roman"/>
        </w:rPr>
      </w:pPr>
      <w:r>
        <w:rPr>
          <w:rFonts w:eastAsia="Times New Roman"/>
          <w:color w:val="000000"/>
          <w:sz w:val="20"/>
          <w:szCs w:val="20"/>
        </w:rPr>
        <w:t>As required by Rule 13a-15 of the Securities Exchange Act of 1934 (“Exchange Act”), our management, including the Chief Executive Officer and Chief Financial Officer, conducted an eva</w:t>
      </w:r>
      <w:r>
        <w:rPr>
          <w:rFonts w:eastAsia="Times New Roman"/>
          <w:color w:val="000000"/>
          <w:sz w:val="20"/>
          <w:szCs w:val="20"/>
        </w:rPr>
        <w:t>luation of the effectiveness of our disclosure controls and procedures (as that term is defined in Rules 13a-15(e) and 15d-15(e) of the Exchange Act) as of September 30, 2021, the end of the period covered by this Report on Form 10-Q. Based upon that evalu</w:t>
      </w:r>
      <w:r>
        <w:rPr>
          <w:rFonts w:eastAsia="Times New Roman"/>
          <w:color w:val="000000"/>
          <w:sz w:val="20"/>
          <w:szCs w:val="20"/>
        </w:rPr>
        <w:t>ation, the Chief Executive Officer and Chief Financial Officer concluded that our disclosure controls and procedures were effective as of September 30, 2021, at a reasonable level of assurance, in recording, processing, summarizing and reporting informatio</w:t>
      </w:r>
      <w:r>
        <w:rPr>
          <w:rFonts w:eastAsia="Times New Roman"/>
          <w:color w:val="000000"/>
          <w:sz w:val="20"/>
          <w:szCs w:val="20"/>
        </w:rPr>
        <w:t>n required to be disclosed within the time periods specified by the SEC rules and forms.</w:t>
      </w:r>
    </w:p>
    <w:p w14:paraId="6B1E1E16" w14:textId="77777777" w:rsidR="00000000" w:rsidRDefault="00405D16">
      <w:pPr>
        <w:jc w:val="both"/>
        <w:divId w:val="116917811"/>
        <w:rPr>
          <w:rFonts w:eastAsia="Times New Roman"/>
        </w:rPr>
      </w:pPr>
      <w:r>
        <w:rPr>
          <w:rFonts w:eastAsia="Times New Roman"/>
          <w:b/>
          <w:bCs/>
          <w:color w:val="000000"/>
          <w:sz w:val="20"/>
          <w:szCs w:val="20"/>
        </w:rPr>
        <w:t>(b) Changes in Internal Control Over Financial Reporting</w:t>
      </w:r>
    </w:p>
    <w:p w14:paraId="7D7521C8" w14:textId="77777777" w:rsidR="00000000" w:rsidRDefault="00405D16">
      <w:pPr>
        <w:jc w:val="both"/>
        <w:divId w:val="1604992149"/>
        <w:rPr>
          <w:rFonts w:eastAsia="Times New Roman"/>
        </w:rPr>
      </w:pPr>
      <w:r>
        <w:rPr>
          <w:rFonts w:eastAsia="Times New Roman"/>
          <w:color w:val="000000"/>
          <w:sz w:val="20"/>
          <w:szCs w:val="20"/>
        </w:rPr>
        <w:t xml:space="preserve">We regularly review our disclosure controls and procedures and make changes intended to ensure the quality of </w:t>
      </w:r>
      <w:r>
        <w:rPr>
          <w:rFonts w:eastAsia="Times New Roman"/>
          <w:color w:val="000000"/>
          <w:sz w:val="20"/>
          <w:szCs w:val="20"/>
        </w:rPr>
        <w:t>our financial reporting. There were no changes in internal control over financial reporting that occurred in the third quarter of 2021 that materially affected, or are reasonably likely to materially affect, the Company’s internal control over financial re</w:t>
      </w:r>
      <w:r>
        <w:rPr>
          <w:rFonts w:eastAsia="Times New Roman"/>
          <w:color w:val="000000"/>
          <w:sz w:val="20"/>
          <w:szCs w:val="20"/>
        </w:rPr>
        <w:t>porting.</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24F00050" w14:textId="77777777">
        <w:trPr>
          <w:divId w:val="974985226"/>
          <w:jc w:val="center"/>
        </w:trPr>
        <w:tc>
          <w:tcPr>
            <w:tcW w:w="50" w:type="pct"/>
            <w:vAlign w:val="center"/>
            <w:hideMark/>
          </w:tcPr>
          <w:p w14:paraId="119DF629" w14:textId="77777777" w:rsidR="00000000" w:rsidRDefault="00405D16">
            <w:pPr>
              <w:jc w:val="both"/>
              <w:rPr>
                <w:rFonts w:eastAsia="Times New Roman"/>
              </w:rPr>
            </w:pPr>
          </w:p>
        </w:tc>
        <w:tc>
          <w:tcPr>
            <w:tcW w:w="1606" w:type="pct"/>
            <w:vAlign w:val="center"/>
            <w:hideMark/>
          </w:tcPr>
          <w:p w14:paraId="73F94A26" w14:textId="77777777" w:rsidR="00000000" w:rsidRDefault="00405D16">
            <w:pPr>
              <w:spacing w:after="100"/>
              <w:rPr>
                <w:rFonts w:eastAsia="Times New Roman"/>
                <w:sz w:val="20"/>
                <w:szCs w:val="20"/>
              </w:rPr>
            </w:pPr>
          </w:p>
        </w:tc>
        <w:tc>
          <w:tcPr>
            <w:tcW w:w="5" w:type="pct"/>
            <w:vAlign w:val="center"/>
            <w:hideMark/>
          </w:tcPr>
          <w:p w14:paraId="3D9E8A0B" w14:textId="77777777" w:rsidR="00000000" w:rsidRDefault="00405D16">
            <w:pPr>
              <w:spacing w:after="100"/>
              <w:rPr>
                <w:rFonts w:eastAsia="Times New Roman"/>
                <w:sz w:val="20"/>
                <w:szCs w:val="20"/>
              </w:rPr>
            </w:pPr>
          </w:p>
        </w:tc>
        <w:tc>
          <w:tcPr>
            <w:tcW w:w="50" w:type="pct"/>
            <w:vAlign w:val="center"/>
            <w:hideMark/>
          </w:tcPr>
          <w:p w14:paraId="062293C1" w14:textId="77777777" w:rsidR="00000000" w:rsidRDefault="00405D16">
            <w:pPr>
              <w:spacing w:after="100"/>
              <w:rPr>
                <w:rFonts w:eastAsia="Times New Roman"/>
                <w:sz w:val="20"/>
                <w:szCs w:val="20"/>
              </w:rPr>
            </w:pPr>
          </w:p>
        </w:tc>
        <w:tc>
          <w:tcPr>
            <w:tcW w:w="1614" w:type="pct"/>
            <w:vAlign w:val="center"/>
            <w:hideMark/>
          </w:tcPr>
          <w:p w14:paraId="778AF8B9" w14:textId="77777777" w:rsidR="00000000" w:rsidRDefault="00405D16">
            <w:pPr>
              <w:spacing w:after="100"/>
              <w:rPr>
                <w:rFonts w:eastAsia="Times New Roman"/>
                <w:sz w:val="20"/>
                <w:szCs w:val="20"/>
              </w:rPr>
            </w:pPr>
          </w:p>
        </w:tc>
        <w:tc>
          <w:tcPr>
            <w:tcW w:w="5" w:type="pct"/>
            <w:vAlign w:val="center"/>
            <w:hideMark/>
          </w:tcPr>
          <w:p w14:paraId="2974D874" w14:textId="77777777" w:rsidR="00000000" w:rsidRDefault="00405D16">
            <w:pPr>
              <w:spacing w:after="100"/>
              <w:rPr>
                <w:rFonts w:eastAsia="Times New Roman"/>
                <w:sz w:val="20"/>
                <w:szCs w:val="20"/>
              </w:rPr>
            </w:pPr>
          </w:p>
        </w:tc>
        <w:tc>
          <w:tcPr>
            <w:tcW w:w="50" w:type="pct"/>
            <w:vAlign w:val="center"/>
            <w:hideMark/>
          </w:tcPr>
          <w:p w14:paraId="02A0AEBD" w14:textId="77777777" w:rsidR="00000000" w:rsidRDefault="00405D16">
            <w:pPr>
              <w:spacing w:after="100"/>
              <w:rPr>
                <w:rFonts w:eastAsia="Times New Roman"/>
                <w:sz w:val="20"/>
                <w:szCs w:val="20"/>
              </w:rPr>
            </w:pPr>
          </w:p>
        </w:tc>
        <w:tc>
          <w:tcPr>
            <w:tcW w:w="1614" w:type="pct"/>
            <w:vAlign w:val="center"/>
            <w:hideMark/>
          </w:tcPr>
          <w:p w14:paraId="695C3EE8" w14:textId="77777777" w:rsidR="00000000" w:rsidRDefault="00405D16">
            <w:pPr>
              <w:spacing w:after="100"/>
              <w:rPr>
                <w:rFonts w:eastAsia="Times New Roman"/>
                <w:sz w:val="20"/>
                <w:szCs w:val="20"/>
              </w:rPr>
            </w:pPr>
          </w:p>
        </w:tc>
        <w:tc>
          <w:tcPr>
            <w:tcW w:w="5" w:type="pct"/>
            <w:vAlign w:val="center"/>
            <w:hideMark/>
          </w:tcPr>
          <w:p w14:paraId="12E6379B" w14:textId="77777777" w:rsidR="00000000" w:rsidRDefault="00405D16">
            <w:pPr>
              <w:spacing w:after="100"/>
              <w:rPr>
                <w:rFonts w:eastAsia="Times New Roman"/>
                <w:sz w:val="20"/>
                <w:szCs w:val="20"/>
              </w:rPr>
            </w:pPr>
          </w:p>
        </w:tc>
      </w:tr>
      <w:tr w:rsidR="00000000" w14:paraId="5263995C" w14:textId="77777777">
        <w:trPr>
          <w:divId w:val="974985226"/>
          <w:trHeight w:val="300"/>
          <w:jc w:val="center"/>
        </w:trPr>
        <w:tc>
          <w:tcPr>
            <w:tcW w:w="0" w:type="auto"/>
            <w:gridSpan w:val="9"/>
            <w:tcMar>
              <w:top w:w="0" w:type="dxa"/>
              <w:left w:w="20" w:type="dxa"/>
              <w:bottom w:w="0" w:type="dxa"/>
              <w:right w:w="20" w:type="dxa"/>
            </w:tcMar>
            <w:vAlign w:val="center"/>
            <w:hideMark/>
          </w:tcPr>
          <w:p w14:paraId="2648D016" w14:textId="77777777" w:rsidR="00000000" w:rsidRDefault="00405D16">
            <w:pPr>
              <w:spacing w:after="100"/>
              <w:rPr>
                <w:rFonts w:eastAsia="Times New Roman"/>
                <w:sz w:val="20"/>
                <w:szCs w:val="20"/>
              </w:rPr>
            </w:pPr>
          </w:p>
        </w:tc>
      </w:tr>
      <w:tr w:rsidR="00000000" w14:paraId="4844C460" w14:textId="77777777">
        <w:trPr>
          <w:divId w:val="974985226"/>
          <w:jc w:val="center"/>
        </w:trPr>
        <w:tc>
          <w:tcPr>
            <w:tcW w:w="0" w:type="auto"/>
            <w:gridSpan w:val="3"/>
            <w:tcMar>
              <w:top w:w="0" w:type="dxa"/>
              <w:left w:w="20" w:type="dxa"/>
              <w:bottom w:w="0" w:type="dxa"/>
              <w:right w:w="20" w:type="dxa"/>
            </w:tcMar>
            <w:vAlign w:val="center"/>
            <w:hideMark/>
          </w:tcPr>
          <w:p w14:paraId="51FF2F32"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5C263A9" w14:textId="77777777" w:rsidR="00000000" w:rsidRDefault="00405D16">
            <w:pPr>
              <w:spacing w:after="100"/>
              <w:jc w:val="center"/>
              <w:rPr>
                <w:rFonts w:eastAsia="Times New Roman"/>
              </w:rPr>
            </w:pPr>
            <w:r>
              <w:rPr>
                <w:rFonts w:eastAsia="Times New Roman"/>
                <w:color w:val="000000"/>
                <w:sz w:val="16"/>
                <w:szCs w:val="16"/>
              </w:rPr>
              <w:t>132</w:t>
            </w:r>
          </w:p>
        </w:tc>
        <w:tc>
          <w:tcPr>
            <w:tcW w:w="0" w:type="auto"/>
            <w:gridSpan w:val="3"/>
            <w:tcMar>
              <w:top w:w="30" w:type="dxa"/>
              <w:left w:w="20" w:type="dxa"/>
              <w:bottom w:w="30" w:type="dxa"/>
              <w:right w:w="20" w:type="dxa"/>
            </w:tcMar>
            <w:vAlign w:val="bottom"/>
            <w:hideMark/>
          </w:tcPr>
          <w:p w14:paraId="4D7623B5"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112E66C0" w14:textId="77777777" w:rsidR="00000000" w:rsidRDefault="00405D16">
      <w:pPr>
        <w:rPr>
          <w:rFonts w:eastAsia="Times New Roman"/>
        </w:rPr>
      </w:pPr>
      <w:r>
        <w:rPr>
          <w:rFonts w:eastAsia="Times New Roman"/>
        </w:rPr>
        <w:pict w14:anchorId="1D0F4F99">
          <v:rect id="_x0000_i1157" style="width:0;height:1.5pt" o:hralign="center" o:hrstd="t" o:hr="t" fillcolor="#a0a0a0" stroked="f"/>
        </w:pict>
      </w:r>
    </w:p>
    <w:p w14:paraId="3C289F5A" w14:textId="77777777" w:rsidR="00000000" w:rsidRDefault="00405D16">
      <w:pPr>
        <w:jc w:val="both"/>
        <w:divId w:val="2104376333"/>
        <w:rPr>
          <w:rFonts w:eastAsia="Times New Roman"/>
        </w:rPr>
      </w:pPr>
      <w:hyperlink w:anchor="idd54a04a485440b4ab4e56094c14d612_13" w:history="1">
        <w:r>
          <w:rPr>
            <w:rStyle w:val="a3"/>
            <w:rFonts w:eastAsia="Times New Roman"/>
            <w:sz w:val="16"/>
            <w:szCs w:val="16"/>
          </w:rPr>
          <w:t>Table of Contents</w:t>
        </w:r>
      </w:hyperlink>
    </w:p>
    <w:p w14:paraId="7D762419" w14:textId="77777777" w:rsidR="00000000" w:rsidRDefault="00405D16">
      <w:pPr>
        <w:jc w:val="center"/>
        <w:divId w:val="562254713"/>
        <w:rPr>
          <w:rFonts w:eastAsia="Times New Roman"/>
        </w:rPr>
      </w:pPr>
      <w:r>
        <w:rPr>
          <w:rFonts w:eastAsia="Times New Roman"/>
          <w:b/>
          <w:bCs/>
          <w:color w:val="000000"/>
          <w:sz w:val="20"/>
          <w:szCs w:val="20"/>
        </w:rPr>
        <w:t xml:space="preserve">PART II—OTHER INFORMATION </w:t>
      </w:r>
    </w:p>
    <w:p w14:paraId="3853BC35" w14:textId="77777777" w:rsidR="00000000" w:rsidRDefault="00405D16">
      <w:pPr>
        <w:divId w:val="1546407267"/>
        <w:rPr>
          <w:rFonts w:eastAsia="Times New Roman"/>
        </w:rPr>
      </w:pPr>
      <w:r>
        <w:rPr>
          <w:rFonts w:eastAsia="Times New Roman"/>
          <w:b/>
          <w:bCs/>
          <w:color w:val="000000"/>
          <w:sz w:val="20"/>
          <w:szCs w:val="20"/>
        </w:rPr>
        <w:t xml:space="preserve">Item 1. Legal Proceedings </w:t>
      </w:r>
    </w:p>
    <w:p w14:paraId="7F681118" w14:textId="77777777" w:rsidR="00000000" w:rsidRDefault="00405D16">
      <w:pPr>
        <w:jc w:val="both"/>
        <w:divId w:val="1617102379"/>
        <w:rPr>
          <w:rFonts w:eastAsia="Times New Roman"/>
        </w:rPr>
      </w:pPr>
      <w:r>
        <w:rPr>
          <w:rFonts w:eastAsia="Times New Roman"/>
          <w:color w:val="000000"/>
          <w:sz w:val="20"/>
          <w:szCs w:val="20"/>
        </w:rPr>
        <w:t>The information required by Item 103 of Regulation S-K is included in “Note 13—Commitment</w:t>
      </w:r>
      <w:r>
        <w:rPr>
          <w:rFonts w:eastAsia="Times New Roman"/>
          <w:color w:val="000000"/>
          <w:sz w:val="20"/>
          <w:szCs w:val="20"/>
        </w:rPr>
        <w:t>s, Contingencies, Guarantees and Others.”</w:t>
      </w:r>
    </w:p>
    <w:p w14:paraId="5664CFBC" w14:textId="77777777" w:rsidR="00000000" w:rsidRDefault="00405D16">
      <w:pPr>
        <w:divId w:val="614290011"/>
        <w:rPr>
          <w:rFonts w:eastAsia="Times New Roman"/>
        </w:rPr>
      </w:pPr>
      <w:r>
        <w:rPr>
          <w:rFonts w:eastAsia="Times New Roman"/>
          <w:b/>
          <w:bCs/>
          <w:color w:val="000000"/>
          <w:sz w:val="20"/>
          <w:szCs w:val="20"/>
        </w:rPr>
        <w:t xml:space="preserve">Item 1A. Risk Factors </w:t>
      </w:r>
    </w:p>
    <w:p w14:paraId="74824F9D" w14:textId="77777777" w:rsidR="00000000" w:rsidRDefault="00405D16">
      <w:pPr>
        <w:jc w:val="both"/>
        <w:divId w:val="400905628"/>
        <w:rPr>
          <w:rFonts w:eastAsia="Times New Roman"/>
        </w:rPr>
      </w:pPr>
      <w:r>
        <w:rPr>
          <w:rFonts w:eastAsia="Times New Roman"/>
          <w:color w:val="000000"/>
          <w:sz w:val="20"/>
          <w:szCs w:val="20"/>
        </w:rPr>
        <w:t>We are not aware of any material changes from the risk factors set forth under “Part I—Item 1A. Risk Factors” in our 2020 Form 10-K.</w:t>
      </w:r>
    </w:p>
    <w:p w14:paraId="46351E97" w14:textId="77777777" w:rsidR="00000000" w:rsidRDefault="00405D16">
      <w:pPr>
        <w:divId w:val="1777210135"/>
        <w:rPr>
          <w:rFonts w:eastAsia="Times New Roman"/>
        </w:rPr>
      </w:pPr>
      <w:r>
        <w:rPr>
          <w:rFonts w:eastAsia="Times New Roman"/>
          <w:b/>
          <w:bCs/>
          <w:color w:val="000000"/>
          <w:sz w:val="20"/>
          <w:szCs w:val="20"/>
        </w:rPr>
        <w:t>Item 2. Unregistered Sales of Equity Securities and Use of</w:t>
      </w:r>
      <w:r>
        <w:rPr>
          <w:rFonts w:eastAsia="Times New Roman"/>
          <w:b/>
          <w:bCs/>
          <w:color w:val="000000"/>
          <w:sz w:val="20"/>
          <w:szCs w:val="20"/>
        </w:rPr>
        <w:t xml:space="preserve"> Proceeds </w:t>
      </w:r>
    </w:p>
    <w:p w14:paraId="7EE357B3" w14:textId="77777777" w:rsidR="00000000" w:rsidRDefault="00405D16">
      <w:pPr>
        <w:jc w:val="both"/>
        <w:divId w:val="1999267903"/>
        <w:rPr>
          <w:rFonts w:eastAsia="Times New Roman"/>
        </w:rPr>
      </w:pPr>
      <w:r>
        <w:rPr>
          <w:rFonts w:eastAsia="Times New Roman"/>
          <w:color w:val="000000"/>
          <w:sz w:val="20"/>
          <w:szCs w:val="20"/>
        </w:rPr>
        <w:t>The following table presents information related to the repurchases of shares of our common stock for each calendar month in the third quarter of 2021. Commission costs are excluded from the amounts presented below.</w:t>
      </w:r>
    </w:p>
    <w:tbl>
      <w:tblPr>
        <w:tblW w:w="5000" w:type="pct"/>
        <w:tblCellMar>
          <w:top w:w="15" w:type="dxa"/>
          <w:left w:w="15" w:type="dxa"/>
          <w:bottom w:w="15" w:type="dxa"/>
          <w:right w:w="15" w:type="dxa"/>
        </w:tblCellMar>
        <w:tblLook w:val="04A0" w:firstRow="1" w:lastRow="0" w:firstColumn="1" w:lastColumn="0" w:noHBand="0" w:noVBand="1"/>
      </w:tblPr>
      <w:tblGrid>
        <w:gridCol w:w="39"/>
        <w:gridCol w:w="2755"/>
        <w:gridCol w:w="36"/>
        <w:gridCol w:w="36"/>
        <w:gridCol w:w="36"/>
        <w:gridCol w:w="36"/>
        <w:gridCol w:w="58"/>
        <w:gridCol w:w="953"/>
        <w:gridCol w:w="36"/>
        <w:gridCol w:w="36"/>
        <w:gridCol w:w="36"/>
        <w:gridCol w:w="36"/>
        <w:gridCol w:w="111"/>
        <w:gridCol w:w="1008"/>
        <w:gridCol w:w="36"/>
        <w:gridCol w:w="36"/>
        <w:gridCol w:w="36"/>
        <w:gridCol w:w="36"/>
        <w:gridCol w:w="98"/>
        <w:gridCol w:w="1338"/>
        <w:gridCol w:w="36"/>
        <w:gridCol w:w="36"/>
        <w:gridCol w:w="36"/>
        <w:gridCol w:w="36"/>
        <w:gridCol w:w="111"/>
        <w:gridCol w:w="1223"/>
        <w:gridCol w:w="36"/>
      </w:tblGrid>
      <w:tr w:rsidR="00000000" w14:paraId="3B30F8CB" w14:textId="77777777">
        <w:trPr>
          <w:divId w:val="656691511"/>
        </w:trPr>
        <w:tc>
          <w:tcPr>
            <w:tcW w:w="50" w:type="pct"/>
            <w:vAlign w:val="center"/>
            <w:hideMark/>
          </w:tcPr>
          <w:p w14:paraId="72A86DDA" w14:textId="77777777" w:rsidR="00000000" w:rsidRDefault="00405D16">
            <w:pPr>
              <w:jc w:val="both"/>
              <w:rPr>
                <w:rFonts w:eastAsia="Times New Roman"/>
              </w:rPr>
            </w:pPr>
          </w:p>
        </w:tc>
        <w:tc>
          <w:tcPr>
            <w:tcW w:w="1757" w:type="pct"/>
            <w:vAlign w:val="center"/>
            <w:hideMark/>
          </w:tcPr>
          <w:p w14:paraId="428B3FE7" w14:textId="77777777" w:rsidR="00000000" w:rsidRDefault="00405D16">
            <w:pPr>
              <w:spacing w:after="100"/>
              <w:rPr>
                <w:rFonts w:eastAsia="Times New Roman"/>
                <w:sz w:val="20"/>
                <w:szCs w:val="20"/>
              </w:rPr>
            </w:pPr>
          </w:p>
        </w:tc>
        <w:tc>
          <w:tcPr>
            <w:tcW w:w="5" w:type="pct"/>
            <w:vAlign w:val="center"/>
            <w:hideMark/>
          </w:tcPr>
          <w:p w14:paraId="731F568F" w14:textId="77777777" w:rsidR="00000000" w:rsidRDefault="00405D16">
            <w:pPr>
              <w:spacing w:after="100"/>
              <w:rPr>
                <w:rFonts w:eastAsia="Times New Roman"/>
                <w:sz w:val="20"/>
                <w:szCs w:val="20"/>
              </w:rPr>
            </w:pPr>
          </w:p>
        </w:tc>
        <w:tc>
          <w:tcPr>
            <w:tcW w:w="5" w:type="pct"/>
            <w:vAlign w:val="center"/>
            <w:hideMark/>
          </w:tcPr>
          <w:p w14:paraId="14489D65" w14:textId="77777777" w:rsidR="00000000" w:rsidRDefault="00405D16">
            <w:pPr>
              <w:spacing w:after="100"/>
              <w:rPr>
                <w:rFonts w:eastAsia="Times New Roman"/>
                <w:sz w:val="20"/>
                <w:szCs w:val="20"/>
              </w:rPr>
            </w:pPr>
          </w:p>
        </w:tc>
        <w:tc>
          <w:tcPr>
            <w:tcW w:w="26" w:type="pct"/>
            <w:vAlign w:val="center"/>
            <w:hideMark/>
          </w:tcPr>
          <w:p w14:paraId="40CADF78" w14:textId="77777777" w:rsidR="00000000" w:rsidRDefault="00405D16">
            <w:pPr>
              <w:spacing w:after="100"/>
              <w:rPr>
                <w:rFonts w:eastAsia="Times New Roman"/>
                <w:sz w:val="20"/>
                <w:szCs w:val="20"/>
              </w:rPr>
            </w:pPr>
          </w:p>
        </w:tc>
        <w:tc>
          <w:tcPr>
            <w:tcW w:w="5" w:type="pct"/>
            <w:vAlign w:val="center"/>
            <w:hideMark/>
          </w:tcPr>
          <w:p w14:paraId="41EBC5C7" w14:textId="77777777" w:rsidR="00000000" w:rsidRDefault="00405D16">
            <w:pPr>
              <w:spacing w:after="100"/>
              <w:rPr>
                <w:rFonts w:eastAsia="Times New Roman"/>
                <w:sz w:val="20"/>
                <w:szCs w:val="20"/>
              </w:rPr>
            </w:pPr>
          </w:p>
        </w:tc>
        <w:tc>
          <w:tcPr>
            <w:tcW w:w="50" w:type="pct"/>
            <w:vAlign w:val="center"/>
            <w:hideMark/>
          </w:tcPr>
          <w:p w14:paraId="0D0F2C34" w14:textId="77777777" w:rsidR="00000000" w:rsidRDefault="00405D16">
            <w:pPr>
              <w:spacing w:after="100"/>
              <w:rPr>
                <w:rFonts w:eastAsia="Times New Roman"/>
                <w:sz w:val="20"/>
                <w:szCs w:val="20"/>
              </w:rPr>
            </w:pPr>
          </w:p>
        </w:tc>
        <w:tc>
          <w:tcPr>
            <w:tcW w:w="727" w:type="pct"/>
            <w:vAlign w:val="center"/>
            <w:hideMark/>
          </w:tcPr>
          <w:p w14:paraId="1A1F7041" w14:textId="77777777" w:rsidR="00000000" w:rsidRDefault="00405D16">
            <w:pPr>
              <w:spacing w:after="100"/>
              <w:rPr>
                <w:rFonts w:eastAsia="Times New Roman"/>
                <w:sz w:val="20"/>
                <w:szCs w:val="20"/>
              </w:rPr>
            </w:pPr>
          </w:p>
        </w:tc>
        <w:tc>
          <w:tcPr>
            <w:tcW w:w="5" w:type="pct"/>
            <w:vAlign w:val="center"/>
            <w:hideMark/>
          </w:tcPr>
          <w:p w14:paraId="43222B48" w14:textId="77777777" w:rsidR="00000000" w:rsidRDefault="00405D16">
            <w:pPr>
              <w:spacing w:after="100"/>
              <w:rPr>
                <w:rFonts w:eastAsia="Times New Roman"/>
                <w:sz w:val="20"/>
                <w:szCs w:val="20"/>
              </w:rPr>
            </w:pPr>
          </w:p>
        </w:tc>
        <w:tc>
          <w:tcPr>
            <w:tcW w:w="5" w:type="pct"/>
            <w:vAlign w:val="center"/>
            <w:hideMark/>
          </w:tcPr>
          <w:p w14:paraId="10E32F71" w14:textId="77777777" w:rsidR="00000000" w:rsidRDefault="00405D16">
            <w:pPr>
              <w:spacing w:after="100"/>
              <w:rPr>
                <w:rFonts w:eastAsia="Times New Roman"/>
                <w:sz w:val="20"/>
                <w:szCs w:val="20"/>
              </w:rPr>
            </w:pPr>
          </w:p>
        </w:tc>
        <w:tc>
          <w:tcPr>
            <w:tcW w:w="26" w:type="pct"/>
            <w:vAlign w:val="center"/>
            <w:hideMark/>
          </w:tcPr>
          <w:p w14:paraId="769FC40F" w14:textId="77777777" w:rsidR="00000000" w:rsidRDefault="00405D16">
            <w:pPr>
              <w:spacing w:after="100"/>
              <w:rPr>
                <w:rFonts w:eastAsia="Times New Roman"/>
                <w:sz w:val="20"/>
                <w:szCs w:val="20"/>
              </w:rPr>
            </w:pPr>
          </w:p>
        </w:tc>
        <w:tc>
          <w:tcPr>
            <w:tcW w:w="5" w:type="pct"/>
            <w:vAlign w:val="center"/>
            <w:hideMark/>
          </w:tcPr>
          <w:p w14:paraId="6A3174A0" w14:textId="77777777" w:rsidR="00000000" w:rsidRDefault="00405D16">
            <w:pPr>
              <w:spacing w:after="100"/>
              <w:rPr>
                <w:rFonts w:eastAsia="Times New Roman"/>
                <w:sz w:val="20"/>
                <w:szCs w:val="20"/>
              </w:rPr>
            </w:pPr>
          </w:p>
        </w:tc>
        <w:tc>
          <w:tcPr>
            <w:tcW w:w="50" w:type="pct"/>
            <w:vAlign w:val="center"/>
            <w:hideMark/>
          </w:tcPr>
          <w:p w14:paraId="0653FDAA" w14:textId="77777777" w:rsidR="00000000" w:rsidRDefault="00405D16">
            <w:pPr>
              <w:spacing w:after="100"/>
              <w:rPr>
                <w:rFonts w:eastAsia="Times New Roman"/>
                <w:sz w:val="20"/>
                <w:szCs w:val="20"/>
              </w:rPr>
            </w:pPr>
          </w:p>
        </w:tc>
        <w:tc>
          <w:tcPr>
            <w:tcW w:w="727" w:type="pct"/>
            <w:vAlign w:val="center"/>
            <w:hideMark/>
          </w:tcPr>
          <w:p w14:paraId="5F370692" w14:textId="77777777" w:rsidR="00000000" w:rsidRDefault="00405D16">
            <w:pPr>
              <w:spacing w:after="100"/>
              <w:rPr>
                <w:rFonts w:eastAsia="Times New Roman"/>
                <w:sz w:val="20"/>
                <w:szCs w:val="20"/>
              </w:rPr>
            </w:pPr>
          </w:p>
        </w:tc>
        <w:tc>
          <w:tcPr>
            <w:tcW w:w="5" w:type="pct"/>
            <w:vAlign w:val="center"/>
            <w:hideMark/>
          </w:tcPr>
          <w:p w14:paraId="5D04087F" w14:textId="77777777" w:rsidR="00000000" w:rsidRDefault="00405D16">
            <w:pPr>
              <w:spacing w:after="100"/>
              <w:rPr>
                <w:rFonts w:eastAsia="Times New Roman"/>
                <w:sz w:val="20"/>
                <w:szCs w:val="20"/>
              </w:rPr>
            </w:pPr>
          </w:p>
        </w:tc>
        <w:tc>
          <w:tcPr>
            <w:tcW w:w="5" w:type="pct"/>
            <w:vAlign w:val="center"/>
            <w:hideMark/>
          </w:tcPr>
          <w:p w14:paraId="7EC6DAD5" w14:textId="77777777" w:rsidR="00000000" w:rsidRDefault="00405D16">
            <w:pPr>
              <w:spacing w:after="100"/>
              <w:rPr>
                <w:rFonts w:eastAsia="Times New Roman"/>
                <w:sz w:val="20"/>
                <w:szCs w:val="20"/>
              </w:rPr>
            </w:pPr>
          </w:p>
        </w:tc>
        <w:tc>
          <w:tcPr>
            <w:tcW w:w="26" w:type="pct"/>
            <w:vAlign w:val="center"/>
            <w:hideMark/>
          </w:tcPr>
          <w:p w14:paraId="2DC61065" w14:textId="77777777" w:rsidR="00000000" w:rsidRDefault="00405D16">
            <w:pPr>
              <w:spacing w:after="100"/>
              <w:rPr>
                <w:rFonts w:eastAsia="Times New Roman"/>
                <w:sz w:val="20"/>
                <w:szCs w:val="20"/>
              </w:rPr>
            </w:pPr>
          </w:p>
        </w:tc>
        <w:tc>
          <w:tcPr>
            <w:tcW w:w="5" w:type="pct"/>
            <w:vAlign w:val="center"/>
            <w:hideMark/>
          </w:tcPr>
          <w:p w14:paraId="226FC5A4" w14:textId="77777777" w:rsidR="00000000" w:rsidRDefault="00405D16">
            <w:pPr>
              <w:spacing w:after="100"/>
              <w:rPr>
                <w:rFonts w:eastAsia="Times New Roman"/>
                <w:sz w:val="20"/>
                <w:szCs w:val="20"/>
              </w:rPr>
            </w:pPr>
          </w:p>
        </w:tc>
        <w:tc>
          <w:tcPr>
            <w:tcW w:w="50" w:type="pct"/>
            <w:vAlign w:val="center"/>
            <w:hideMark/>
          </w:tcPr>
          <w:p w14:paraId="34FDDAFA" w14:textId="77777777" w:rsidR="00000000" w:rsidRDefault="00405D16">
            <w:pPr>
              <w:spacing w:after="100"/>
              <w:rPr>
                <w:rFonts w:eastAsia="Times New Roman"/>
                <w:sz w:val="20"/>
                <w:szCs w:val="20"/>
              </w:rPr>
            </w:pPr>
          </w:p>
        </w:tc>
        <w:tc>
          <w:tcPr>
            <w:tcW w:w="683" w:type="pct"/>
            <w:vAlign w:val="center"/>
            <w:hideMark/>
          </w:tcPr>
          <w:p w14:paraId="09C67DB8" w14:textId="77777777" w:rsidR="00000000" w:rsidRDefault="00405D16">
            <w:pPr>
              <w:spacing w:after="100"/>
              <w:rPr>
                <w:rFonts w:eastAsia="Times New Roman"/>
                <w:sz w:val="20"/>
                <w:szCs w:val="20"/>
              </w:rPr>
            </w:pPr>
          </w:p>
        </w:tc>
        <w:tc>
          <w:tcPr>
            <w:tcW w:w="5" w:type="pct"/>
            <w:vAlign w:val="center"/>
            <w:hideMark/>
          </w:tcPr>
          <w:p w14:paraId="1ED1A79B" w14:textId="77777777" w:rsidR="00000000" w:rsidRDefault="00405D16">
            <w:pPr>
              <w:spacing w:after="100"/>
              <w:rPr>
                <w:rFonts w:eastAsia="Times New Roman"/>
                <w:sz w:val="20"/>
                <w:szCs w:val="20"/>
              </w:rPr>
            </w:pPr>
          </w:p>
        </w:tc>
        <w:tc>
          <w:tcPr>
            <w:tcW w:w="5" w:type="pct"/>
            <w:vAlign w:val="center"/>
            <w:hideMark/>
          </w:tcPr>
          <w:p w14:paraId="6C179BC7" w14:textId="77777777" w:rsidR="00000000" w:rsidRDefault="00405D16">
            <w:pPr>
              <w:spacing w:after="100"/>
              <w:rPr>
                <w:rFonts w:eastAsia="Times New Roman"/>
                <w:sz w:val="20"/>
                <w:szCs w:val="20"/>
              </w:rPr>
            </w:pPr>
          </w:p>
        </w:tc>
        <w:tc>
          <w:tcPr>
            <w:tcW w:w="26" w:type="pct"/>
            <w:vAlign w:val="center"/>
            <w:hideMark/>
          </w:tcPr>
          <w:p w14:paraId="60C02384" w14:textId="77777777" w:rsidR="00000000" w:rsidRDefault="00405D16">
            <w:pPr>
              <w:spacing w:after="100"/>
              <w:rPr>
                <w:rFonts w:eastAsia="Times New Roman"/>
                <w:sz w:val="20"/>
                <w:szCs w:val="20"/>
              </w:rPr>
            </w:pPr>
          </w:p>
        </w:tc>
        <w:tc>
          <w:tcPr>
            <w:tcW w:w="5" w:type="pct"/>
            <w:vAlign w:val="center"/>
            <w:hideMark/>
          </w:tcPr>
          <w:p w14:paraId="461F7377" w14:textId="77777777" w:rsidR="00000000" w:rsidRDefault="00405D16">
            <w:pPr>
              <w:spacing w:after="100"/>
              <w:rPr>
                <w:rFonts w:eastAsia="Times New Roman"/>
                <w:sz w:val="20"/>
                <w:szCs w:val="20"/>
              </w:rPr>
            </w:pPr>
          </w:p>
        </w:tc>
        <w:tc>
          <w:tcPr>
            <w:tcW w:w="50" w:type="pct"/>
            <w:vAlign w:val="center"/>
            <w:hideMark/>
          </w:tcPr>
          <w:p w14:paraId="3F9D8761" w14:textId="77777777" w:rsidR="00000000" w:rsidRDefault="00405D16">
            <w:pPr>
              <w:spacing w:after="100"/>
              <w:rPr>
                <w:rFonts w:eastAsia="Times New Roman"/>
                <w:sz w:val="20"/>
                <w:szCs w:val="20"/>
              </w:rPr>
            </w:pPr>
          </w:p>
        </w:tc>
        <w:tc>
          <w:tcPr>
            <w:tcW w:w="683" w:type="pct"/>
            <w:vAlign w:val="center"/>
            <w:hideMark/>
          </w:tcPr>
          <w:p w14:paraId="195F6457" w14:textId="77777777" w:rsidR="00000000" w:rsidRDefault="00405D16">
            <w:pPr>
              <w:spacing w:after="100"/>
              <w:rPr>
                <w:rFonts w:eastAsia="Times New Roman"/>
                <w:sz w:val="20"/>
                <w:szCs w:val="20"/>
              </w:rPr>
            </w:pPr>
          </w:p>
        </w:tc>
        <w:tc>
          <w:tcPr>
            <w:tcW w:w="5" w:type="pct"/>
            <w:vAlign w:val="center"/>
            <w:hideMark/>
          </w:tcPr>
          <w:p w14:paraId="7B9917BF" w14:textId="77777777" w:rsidR="00000000" w:rsidRDefault="00405D16">
            <w:pPr>
              <w:spacing w:after="100"/>
              <w:rPr>
                <w:rFonts w:eastAsia="Times New Roman"/>
                <w:sz w:val="20"/>
                <w:szCs w:val="20"/>
              </w:rPr>
            </w:pPr>
          </w:p>
        </w:tc>
      </w:tr>
      <w:tr w:rsidR="00000000" w14:paraId="44C3E0E1" w14:textId="77777777">
        <w:trPr>
          <w:divId w:val="656691511"/>
        </w:trPr>
        <w:tc>
          <w:tcPr>
            <w:tcW w:w="0" w:type="auto"/>
            <w:gridSpan w:val="3"/>
            <w:tcMar>
              <w:top w:w="0" w:type="dxa"/>
              <w:left w:w="20" w:type="dxa"/>
              <w:bottom w:w="0" w:type="dxa"/>
              <w:right w:w="20" w:type="dxa"/>
            </w:tcMar>
            <w:vAlign w:val="center"/>
            <w:hideMark/>
          </w:tcPr>
          <w:p w14:paraId="60C547B4"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5CBAEE"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F7BFD92" w14:textId="77777777" w:rsidR="00000000" w:rsidRDefault="00405D16">
            <w:pPr>
              <w:spacing w:after="100"/>
              <w:jc w:val="center"/>
              <w:rPr>
                <w:rFonts w:eastAsia="Times New Roman"/>
              </w:rPr>
            </w:pPr>
            <w:r>
              <w:rPr>
                <w:rFonts w:eastAsia="Times New Roman"/>
                <w:b/>
                <w:bCs/>
                <w:color w:val="000000"/>
                <w:sz w:val="16"/>
                <w:szCs w:val="16"/>
              </w:rPr>
              <w:t xml:space="preserve">Total Number </w:t>
            </w:r>
          </w:p>
          <w:p w14:paraId="52BBC452" w14:textId="77777777" w:rsidR="00000000" w:rsidRDefault="00405D16">
            <w:pPr>
              <w:spacing w:after="100"/>
              <w:jc w:val="center"/>
              <w:rPr>
                <w:rFonts w:eastAsia="Times New Roman"/>
              </w:rPr>
            </w:pPr>
            <w:r>
              <w:rPr>
                <w:rFonts w:eastAsia="Times New Roman"/>
                <w:b/>
                <w:bCs/>
                <w:color w:val="000000"/>
                <w:sz w:val="16"/>
                <w:szCs w:val="16"/>
              </w:rPr>
              <w:t>of Shares</w:t>
            </w:r>
          </w:p>
          <w:p w14:paraId="0867686A" w14:textId="77777777" w:rsidR="00000000" w:rsidRDefault="00405D16">
            <w:pPr>
              <w:spacing w:after="100"/>
              <w:jc w:val="center"/>
              <w:rPr>
                <w:rFonts w:eastAsia="Times New Roman"/>
              </w:rPr>
            </w:pPr>
            <w:r>
              <w:rPr>
                <w:rFonts w:eastAsia="Times New Roman"/>
                <w:b/>
                <w:bCs/>
                <w:color w:val="000000"/>
                <w:sz w:val="16"/>
                <w:szCs w:val="16"/>
              </w:rPr>
              <w:t>Purchase</w:t>
            </w:r>
            <w:r>
              <w:rPr>
                <w:rFonts w:eastAsia="Times New Roman"/>
                <w:b/>
                <w:bCs/>
                <w:color w:val="000000"/>
                <w:sz w:val="16"/>
                <w:szCs w:val="16"/>
              </w:rPr>
              <w:t>d</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021D7032"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E65DECB" w14:textId="77777777" w:rsidR="00000000" w:rsidRDefault="00405D16">
            <w:pPr>
              <w:spacing w:after="100"/>
              <w:jc w:val="center"/>
              <w:rPr>
                <w:rFonts w:eastAsia="Times New Roman"/>
              </w:rPr>
            </w:pPr>
            <w:r>
              <w:rPr>
                <w:rFonts w:eastAsia="Times New Roman"/>
                <w:b/>
                <w:bCs/>
                <w:color w:val="000000"/>
                <w:sz w:val="16"/>
                <w:szCs w:val="16"/>
              </w:rPr>
              <w:t>Average</w:t>
            </w:r>
            <w:r>
              <w:rPr>
                <w:rFonts w:eastAsia="Times New Roman"/>
                <w:b/>
                <w:bCs/>
                <w:color w:val="000000"/>
                <w:sz w:val="16"/>
                <w:szCs w:val="16"/>
              </w:rPr>
              <w:br/>
              <w:t>Price </w:t>
            </w:r>
            <w:r>
              <w:rPr>
                <w:rFonts w:eastAsia="Times New Roman"/>
                <w:b/>
                <w:bCs/>
                <w:color w:val="000000"/>
                <w:sz w:val="16"/>
                <w:szCs w:val="16"/>
              </w:rPr>
              <w:br/>
              <w:t>per Share</w:t>
            </w:r>
          </w:p>
        </w:tc>
        <w:tc>
          <w:tcPr>
            <w:tcW w:w="0" w:type="auto"/>
            <w:gridSpan w:val="3"/>
            <w:tcMar>
              <w:top w:w="0" w:type="dxa"/>
              <w:left w:w="20" w:type="dxa"/>
              <w:bottom w:w="0" w:type="dxa"/>
              <w:right w:w="20" w:type="dxa"/>
            </w:tcMar>
            <w:vAlign w:val="center"/>
            <w:hideMark/>
          </w:tcPr>
          <w:p w14:paraId="6520E72A"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A5129CC" w14:textId="77777777" w:rsidR="00000000" w:rsidRDefault="00405D16">
            <w:pPr>
              <w:spacing w:after="100"/>
              <w:jc w:val="center"/>
              <w:rPr>
                <w:rFonts w:eastAsia="Times New Roman"/>
              </w:rPr>
            </w:pPr>
            <w:r>
              <w:rPr>
                <w:rFonts w:eastAsia="Times New Roman"/>
                <w:b/>
                <w:bCs/>
                <w:color w:val="000000"/>
                <w:sz w:val="16"/>
                <w:szCs w:val="16"/>
              </w:rPr>
              <w:t>Total Number of</w:t>
            </w:r>
            <w:r>
              <w:rPr>
                <w:rFonts w:eastAsia="Times New Roman"/>
                <w:b/>
                <w:bCs/>
                <w:color w:val="000000"/>
                <w:sz w:val="16"/>
                <w:szCs w:val="16"/>
              </w:rPr>
              <w:br/>
              <w:t>Shares Purchased as</w:t>
            </w:r>
            <w:r>
              <w:rPr>
                <w:rFonts w:eastAsia="Times New Roman"/>
                <w:b/>
                <w:bCs/>
                <w:color w:val="000000"/>
                <w:sz w:val="16"/>
                <w:szCs w:val="16"/>
              </w:rPr>
              <w:br/>
              <w:t>Part of Publicly</w:t>
            </w:r>
            <w:r>
              <w:rPr>
                <w:rFonts w:eastAsia="Times New Roman"/>
                <w:b/>
                <w:bCs/>
                <w:color w:val="000000"/>
                <w:sz w:val="16"/>
                <w:szCs w:val="16"/>
              </w:rPr>
              <w:br/>
              <w:t>Announced Plans</w:t>
            </w:r>
          </w:p>
        </w:tc>
        <w:tc>
          <w:tcPr>
            <w:tcW w:w="0" w:type="auto"/>
            <w:gridSpan w:val="3"/>
            <w:tcMar>
              <w:top w:w="0" w:type="dxa"/>
              <w:left w:w="20" w:type="dxa"/>
              <w:bottom w:w="0" w:type="dxa"/>
              <w:right w:w="20" w:type="dxa"/>
            </w:tcMar>
            <w:vAlign w:val="center"/>
            <w:hideMark/>
          </w:tcPr>
          <w:p w14:paraId="56BD5465"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85B8600" w14:textId="77777777" w:rsidR="00000000" w:rsidRDefault="00405D16">
            <w:pPr>
              <w:spacing w:after="100"/>
              <w:jc w:val="center"/>
              <w:rPr>
                <w:rFonts w:eastAsia="Times New Roman"/>
              </w:rPr>
            </w:pPr>
            <w:r>
              <w:rPr>
                <w:rFonts w:eastAsia="Times New Roman"/>
                <w:b/>
                <w:bCs/>
                <w:color w:val="000000"/>
                <w:sz w:val="16"/>
                <w:szCs w:val="16"/>
              </w:rPr>
              <w:t>Maximum</w:t>
            </w:r>
          </w:p>
          <w:p w14:paraId="2A3089A4" w14:textId="77777777" w:rsidR="00000000" w:rsidRDefault="00405D16">
            <w:pPr>
              <w:spacing w:after="100"/>
              <w:jc w:val="center"/>
              <w:rPr>
                <w:rFonts w:eastAsia="Times New Roman"/>
              </w:rPr>
            </w:pPr>
            <w:r>
              <w:rPr>
                <w:rFonts w:eastAsia="Times New Roman"/>
                <w:b/>
                <w:bCs/>
                <w:color w:val="000000"/>
                <w:sz w:val="16"/>
                <w:szCs w:val="16"/>
              </w:rPr>
              <w:t>Amount That May</w:t>
            </w:r>
          </w:p>
          <w:p w14:paraId="231D11AD" w14:textId="77777777" w:rsidR="00000000" w:rsidRDefault="00405D16">
            <w:pPr>
              <w:spacing w:after="100"/>
              <w:jc w:val="center"/>
              <w:rPr>
                <w:rFonts w:eastAsia="Times New Roman"/>
              </w:rPr>
            </w:pPr>
            <w:r>
              <w:rPr>
                <w:rFonts w:eastAsia="Times New Roman"/>
                <w:b/>
                <w:bCs/>
                <w:color w:val="000000"/>
                <w:sz w:val="16"/>
                <w:szCs w:val="16"/>
              </w:rPr>
              <w:t>Yet be Purchased</w:t>
            </w:r>
          </w:p>
          <w:p w14:paraId="2D3BDD0F" w14:textId="77777777" w:rsidR="00000000" w:rsidRDefault="00405D16">
            <w:pPr>
              <w:spacing w:after="100"/>
              <w:jc w:val="center"/>
              <w:rPr>
                <w:rFonts w:eastAsia="Times New Roman"/>
              </w:rPr>
            </w:pPr>
            <w:r>
              <w:rPr>
                <w:rFonts w:eastAsia="Times New Roman"/>
                <w:b/>
                <w:bCs/>
                <w:color w:val="000000"/>
                <w:sz w:val="16"/>
                <w:szCs w:val="16"/>
              </w:rPr>
              <w:t>Under the Plan</w:t>
            </w:r>
          </w:p>
          <w:p w14:paraId="6C9C5FAA" w14:textId="77777777" w:rsidR="00000000" w:rsidRDefault="00405D16">
            <w:pPr>
              <w:spacing w:after="100"/>
              <w:jc w:val="center"/>
              <w:rPr>
                <w:rFonts w:eastAsia="Times New Roman"/>
              </w:rPr>
            </w:pPr>
            <w:r>
              <w:rPr>
                <w:rFonts w:eastAsia="Times New Roman"/>
                <w:b/>
                <w:bCs/>
                <w:color w:val="000000"/>
                <w:sz w:val="16"/>
                <w:szCs w:val="16"/>
              </w:rPr>
              <w:t>or Program</w:t>
            </w:r>
          </w:p>
          <w:p w14:paraId="460EE715" w14:textId="77777777" w:rsidR="00000000" w:rsidRDefault="00405D16">
            <w:pPr>
              <w:spacing w:after="100"/>
              <w:jc w:val="center"/>
              <w:rPr>
                <w:rFonts w:eastAsia="Times New Roman"/>
              </w:rPr>
            </w:pPr>
            <w:r>
              <w:rPr>
                <w:rFonts w:eastAsia="Times New Roman"/>
                <w:i/>
                <w:iCs/>
                <w:color w:val="000000"/>
                <w:sz w:val="16"/>
                <w:szCs w:val="16"/>
              </w:rPr>
              <w:t>(in millions)</w:t>
            </w:r>
          </w:p>
        </w:tc>
      </w:tr>
      <w:tr w:rsidR="00000000" w14:paraId="3E2853AC" w14:textId="77777777">
        <w:trPr>
          <w:divId w:val="656691511"/>
        </w:trPr>
        <w:tc>
          <w:tcPr>
            <w:tcW w:w="0" w:type="auto"/>
            <w:gridSpan w:val="3"/>
            <w:tcBorders>
              <w:top w:val="single" w:sz="8" w:space="0" w:color="000000"/>
            </w:tcBorders>
            <w:shd w:val="clear" w:color="auto" w:fill="CCEEFF"/>
            <w:tcMar>
              <w:top w:w="30" w:type="dxa"/>
              <w:left w:w="20" w:type="dxa"/>
              <w:bottom w:w="30" w:type="dxa"/>
              <w:right w:w="20" w:type="dxa"/>
            </w:tcMar>
            <w:hideMark/>
          </w:tcPr>
          <w:p w14:paraId="2996DFD2" w14:textId="77777777" w:rsidR="00000000" w:rsidRDefault="00405D16">
            <w:pPr>
              <w:spacing w:after="100"/>
              <w:rPr>
                <w:rFonts w:eastAsia="Times New Roman"/>
              </w:rPr>
            </w:pPr>
            <w:r>
              <w:rPr>
                <w:rFonts w:eastAsia="Times New Roman"/>
                <w:color w:val="000000"/>
                <w:sz w:val="18"/>
                <w:szCs w:val="18"/>
              </w:rPr>
              <w:t>July</w:t>
            </w:r>
          </w:p>
        </w:tc>
        <w:tc>
          <w:tcPr>
            <w:tcW w:w="0" w:type="auto"/>
            <w:gridSpan w:val="3"/>
            <w:shd w:val="clear" w:color="auto" w:fill="CCEEFF"/>
            <w:tcMar>
              <w:top w:w="0" w:type="dxa"/>
              <w:left w:w="20" w:type="dxa"/>
              <w:bottom w:w="0" w:type="dxa"/>
              <w:right w:w="20" w:type="dxa"/>
            </w:tcMar>
            <w:vAlign w:val="center"/>
            <w:hideMark/>
          </w:tcPr>
          <w:p w14:paraId="1C154B17" w14:textId="77777777" w:rsidR="00000000" w:rsidRDefault="00405D16">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7EE75FD" w14:textId="77777777" w:rsidR="00000000" w:rsidRDefault="00405D16">
            <w:pPr>
              <w:spacing w:after="100"/>
              <w:jc w:val="right"/>
              <w:rPr>
                <w:rFonts w:eastAsia="Times New Roman"/>
              </w:rPr>
            </w:pPr>
            <w:r>
              <w:rPr>
                <w:rFonts w:eastAsia="Times New Roman"/>
                <w:b/>
                <w:bCs/>
                <w:color w:val="000000"/>
                <w:sz w:val="18"/>
                <w:szCs w:val="18"/>
              </w:rPr>
              <w:t>6,739,636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315370"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5AB227"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7713A10"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DCD64FC" w14:textId="77777777" w:rsidR="00000000" w:rsidRDefault="00405D16">
            <w:pPr>
              <w:spacing w:after="100"/>
              <w:jc w:val="right"/>
              <w:rPr>
                <w:rFonts w:eastAsia="Times New Roman"/>
              </w:rPr>
            </w:pPr>
            <w:r>
              <w:rPr>
                <w:rFonts w:eastAsia="Times New Roman"/>
                <w:b/>
                <w:bCs/>
                <w:color w:val="000000"/>
                <w:sz w:val="18"/>
                <w:szCs w:val="18"/>
              </w:rPr>
              <w:t>158.63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A7E40C"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E48BA8" w14:textId="77777777" w:rsidR="00000000" w:rsidRDefault="00405D1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4CE8A11" w14:textId="77777777" w:rsidR="00000000" w:rsidRDefault="00405D16">
            <w:pPr>
              <w:spacing w:after="100"/>
              <w:jc w:val="right"/>
              <w:rPr>
                <w:rFonts w:eastAsia="Times New Roman"/>
              </w:rPr>
            </w:pPr>
            <w:r>
              <w:rPr>
                <w:rFonts w:eastAsia="Times New Roman"/>
                <w:b/>
                <w:bCs/>
                <w:color w:val="000000"/>
                <w:sz w:val="18"/>
                <w:szCs w:val="18"/>
              </w:rPr>
              <w:t>6,739,636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938672"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9975D8" w14:textId="77777777" w:rsidR="00000000" w:rsidRDefault="00405D1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A4A9C4F" w14:textId="77777777" w:rsidR="00000000" w:rsidRDefault="00405D16">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5B6F6B" w14:textId="77777777" w:rsidR="00000000" w:rsidRDefault="00405D16">
            <w:pPr>
              <w:spacing w:after="100"/>
              <w:jc w:val="right"/>
              <w:rPr>
                <w:rFonts w:eastAsia="Times New Roman"/>
              </w:rPr>
            </w:pPr>
            <w:r>
              <w:rPr>
                <w:rFonts w:eastAsia="Times New Roman"/>
                <w:b/>
                <w:bCs/>
                <w:color w:val="000000"/>
                <w:sz w:val="18"/>
                <w:szCs w:val="18"/>
              </w:rPr>
              <w:t>4,279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CE4B38" w14:textId="77777777" w:rsidR="00000000" w:rsidRDefault="00405D16">
            <w:pPr>
              <w:spacing w:after="100"/>
              <w:jc w:val="right"/>
              <w:rPr>
                <w:rFonts w:eastAsia="Times New Roman"/>
              </w:rPr>
            </w:pPr>
          </w:p>
        </w:tc>
      </w:tr>
      <w:tr w:rsidR="00000000" w14:paraId="5638608B" w14:textId="77777777">
        <w:trPr>
          <w:divId w:val="656691511"/>
        </w:trPr>
        <w:tc>
          <w:tcPr>
            <w:tcW w:w="0" w:type="auto"/>
            <w:gridSpan w:val="3"/>
            <w:shd w:val="clear" w:color="auto" w:fill="FFFFFF"/>
            <w:tcMar>
              <w:top w:w="30" w:type="dxa"/>
              <w:left w:w="20" w:type="dxa"/>
              <w:bottom w:w="30" w:type="dxa"/>
              <w:right w:w="20" w:type="dxa"/>
            </w:tcMar>
            <w:hideMark/>
          </w:tcPr>
          <w:p w14:paraId="2C1ECD65" w14:textId="77777777" w:rsidR="00000000" w:rsidRDefault="00405D16">
            <w:pPr>
              <w:spacing w:after="100"/>
              <w:rPr>
                <w:rFonts w:eastAsia="Times New Roman"/>
              </w:rPr>
            </w:pPr>
            <w:r>
              <w:rPr>
                <w:rFonts w:eastAsia="Times New Roman"/>
                <w:color w:val="000000"/>
                <w:sz w:val="18"/>
                <w:szCs w:val="18"/>
              </w:rPr>
              <w:t>August</w:t>
            </w:r>
          </w:p>
        </w:tc>
        <w:tc>
          <w:tcPr>
            <w:tcW w:w="0" w:type="auto"/>
            <w:gridSpan w:val="3"/>
            <w:shd w:val="clear" w:color="auto" w:fill="FFFFFF"/>
            <w:tcMar>
              <w:top w:w="0" w:type="dxa"/>
              <w:left w:w="20" w:type="dxa"/>
              <w:bottom w:w="0" w:type="dxa"/>
              <w:right w:w="20" w:type="dxa"/>
            </w:tcMar>
            <w:vAlign w:val="center"/>
            <w:hideMark/>
          </w:tcPr>
          <w:p w14:paraId="34BA625A" w14:textId="77777777" w:rsidR="00000000" w:rsidRDefault="00405D1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D5BD52F" w14:textId="77777777" w:rsidR="00000000" w:rsidRDefault="00405D16">
            <w:pPr>
              <w:spacing w:after="100"/>
              <w:jc w:val="right"/>
              <w:rPr>
                <w:rFonts w:eastAsia="Times New Roman"/>
              </w:rPr>
            </w:pPr>
            <w:r>
              <w:rPr>
                <w:rFonts w:eastAsia="Times New Roman"/>
                <w:b/>
                <w:bCs/>
                <w:color w:val="000000"/>
                <w:sz w:val="18"/>
                <w:szCs w:val="18"/>
              </w:rPr>
              <w:t>5,228,225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70E58A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6B936B"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037C36" w14:textId="77777777" w:rsidR="00000000" w:rsidRDefault="00405D16">
            <w:pPr>
              <w:spacing w:after="100"/>
              <w:jc w:val="right"/>
              <w:rPr>
                <w:rFonts w:eastAsia="Times New Roman"/>
              </w:rPr>
            </w:pPr>
            <w:r>
              <w:rPr>
                <w:rFonts w:eastAsia="Times New Roman"/>
                <w:b/>
                <w:bCs/>
                <w:color w:val="000000"/>
                <w:sz w:val="18"/>
                <w:szCs w:val="18"/>
              </w:rPr>
              <w:t>168.21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EC105B4"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0474F4"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076EB6" w14:textId="77777777" w:rsidR="00000000" w:rsidRDefault="00405D16">
            <w:pPr>
              <w:spacing w:after="100"/>
              <w:jc w:val="right"/>
              <w:rPr>
                <w:rFonts w:eastAsia="Times New Roman"/>
              </w:rPr>
            </w:pPr>
            <w:r>
              <w:rPr>
                <w:rFonts w:eastAsia="Times New Roman"/>
                <w:b/>
                <w:bCs/>
                <w:color w:val="000000"/>
                <w:sz w:val="18"/>
                <w:szCs w:val="18"/>
              </w:rPr>
              <w:t>5,193,719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42F0D31"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19D8CF"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9F4607" w14:textId="77777777" w:rsidR="00000000" w:rsidRDefault="00405D16">
            <w:pPr>
              <w:spacing w:after="100"/>
              <w:jc w:val="right"/>
              <w:rPr>
                <w:rFonts w:eastAsia="Times New Roman"/>
              </w:rPr>
            </w:pPr>
            <w:r>
              <w:rPr>
                <w:rFonts w:eastAsia="Times New Roman"/>
                <w:b/>
                <w:bCs/>
                <w:color w:val="000000"/>
                <w:sz w:val="18"/>
                <w:szCs w:val="18"/>
              </w:rPr>
              <w:t>3,405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74E69AA" w14:textId="77777777" w:rsidR="00000000" w:rsidRDefault="00405D16">
            <w:pPr>
              <w:spacing w:after="100"/>
              <w:jc w:val="right"/>
              <w:rPr>
                <w:rFonts w:eastAsia="Times New Roman"/>
              </w:rPr>
            </w:pPr>
          </w:p>
        </w:tc>
      </w:tr>
      <w:tr w:rsidR="00000000" w14:paraId="5B022793" w14:textId="77777777">
        <w:trPr>
          <w:divId w:val="656691511"/>
        </w:trPr>
        <w:tc>
          <w:tcPr>
            <w:tcW w:w="0" w:type="auto"/>
            <w:gridSpan w:val="3"/>
            <w:shd w:val="clear" w:color="auto" w:fill="CCEEFF"/>
            <w:tcMar>
              <w:top w:w="30" w:type="dxa"/>
              <w:left w:w="20" w:type="dxa"/>
              <w:bottom w:w="30" w:type="dxa"/>
              <w:right w:w="20" w:type="dxa"/>
            </w:tcMar>
            <w:hideMark/>
          </w:tcPr>
          <w:p w14:paraId="4BDCA0C4" w14:textId="77777777" w:rsidR="00000000" w:rsidRDefault="00405D16">
            <w:pPr>
              <w:spacing w:after="100"/>
              <w:rPr>
                <w:rFonts w:eastAsia="Times New Roman"/>
              </w:rPr>
            </w:pPr>
            <w:r>
              <w:rPr>
                <w:rFonts w:eastAsia="Times New Roman"/>
                <w:color w:val="000000"/>
                <w:sz w:val="18"/>
                <w:szCs w:val="18"/>
              </w:rPr>
              <w:t>September</w:t>
            </w:r>
          </w:p>
        </w:tc>
        <w:tc>
          <w:tcPr>
            <w:tcW w:w="0" w:type="auto"/>
            <w:gridSpan w:val="3"/>
            <w:shd w:val="clear" w:color="auto" w:fill="CCEEFF"/>
            <w:tcMar>
              <w:top w:w="0" w:type="dxa"/>
              <w:left w:w="20" w:type="dxa"/>
              <w:bottom w:w="0" w:type="dxa"/>
              <w:right w:w="20" w:type="dxa"/>
            </w:tcMar>
            <w:vAlign w:val="center"/>
            <w:hideMark/>
          </w:tcPr>
          <w:p w14:paraId="6A106B19" w14:textId="77777777" w:rsidR="00000000" w:rsidRDefault="00405D1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2E98D81" w14:textId="77777777" w:rsidR="00000000" w:rsidRDefault="00405D16">
            <w:pPr>
              <w:spacing w:after="100"/>
              <w:jc w:val="right"/>
              <w:rPr>
                <w:rFonts w:eastAsia="Times New Roman"/>
              </w:rPr>
            </w:pPr>
            <w:r>
              <w:rPr>
                <w:rFonts w:eastAsia="Times New Roman"/>
                <w:b/>
                <w:bCs/>
                <w:color w:val="000000"/>
                <w:sz w:val="18"/>
                <w:szCs w:val="18"/>
              </w:rPr>
              <w:t>4,726,051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4E6452A"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F811AF"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CB2D9B" w14:textId="77777777" w:rsidR="00000000" w:rsidRDefault="00405D16">
            <w:pPr>
              <w:spacing w:after="100"/>
              <w:jc w:val="right"/>
              <w:rPr>
                <w:rFonts w:eastAsia="Times New Roman"/>
              </w:rPr>
            </w:pPr>
            <w:r>
              <w:rPr>
                <w:rFonts w:eastAsia="Times New Roman"/>
                <w:b/>
                <w:bCs/>
                <w:color w:val="000000"/>
                <w:sz w:val="18"/>
                <w:szCs w:val="18"/>
              </w:rPr>
              <w:t>160.85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8A174A5"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048F8C"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03AAC8" w14:textId="77777777" w:rsidR="00000000" w:rsidRDefault="00405D16">
            <w:pPr>
              <w:spacing w:after="100"/>
              <w:jc w:val="right"/>
              <w:rPr>
                <w:rFonts w:eastAsia="Times New Roman"/>
              </w:rPr>
            </w:pPr>
            <w:r>
              <w:rPr>
                <w:rFonts w:eastAsia="Times New Roman"/>
                <w:b/>
                <w:bCs/>
                <w:color w:val="000000"/>
                <w:sz w:val="18"/>
                <w:szCs w:val="18"/>
              </w:rPr>
              <w:t>4,726,051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6BB619F" w14:textId="77777777" w:rsidR="00000000" w:rsidRDefault="00405D1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9CD59E" w14:textId="77777777" w:rsidR="00000000" w:rsidRDefault="00405D1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BC0BD5" w14:textId="77777777" w:rsidR="00000000" w:rsidRDefault="00405D16">
            <w:pPr>
              <w:spacing w:after="100"/>
              <w:jc w:val="right"/>
              <w:rPr>
                <w:rFonts w:eastAsia="Times New Roman"/>
              </w:rPr>
            </w:pPr>
            <w:r>
              <w:rPr>
                <w:rFonts w:eastAsia="Times New Roman"/>
                <w:b/>
                <w:bCs/>
                <w:color w:val="000000"/>
                <w:sz w:val="18"/>
                <w:szCs w:val="18"/>
              </w:rPr>
              <w:t>2,644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D1EA08D" w14:textId="77777777" w:rsidR="00000000" w:rsidRDefault="00405D16">
            <w:pPr>
              <w:spacing w:after="100"/>
              <w:jc w:val="right"/>
              <w:rPr>
                <w:rFonts w:eastAsia="Times New Roman"/>
              </w:rPr>
            </w:pPr>
          </w:p>
        </w:tc>
      </w:tr>
      <w:tr w:rsidR="00000000" w14:paraId="3C635A92" w14:textId="77777777">
        <w:trPr>
          <w:divId w:val="656691511"/>
        </w:trPr>
        <w:tc>
          <w:tcPr>
            <w:tcW w:w="0" w:type="auto"/>
            <w:gridSpan w:val="3"/>
            <w:shd w:val="clear" w:color="auto" w:fill="FFFFFF"/>
            <w:tcMar>
              <w:top w:w="30" w:type="dxa"/>
              <w:left w:w="20" w:type="dxa"/>
              <w:bottom w:w="30" w:type="dxa"/>
              <w:right w:w="20" w:type="dxa"/>
            </w:tcMar>
            <w:hideMark/>
          </w:tcPr>
          <w:p w14:paraId="7CB510E2" w14:textId="77777777" w:rsidR="00000000" w:rsidRDefault="00405D16">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4955B02D" w14:textId="77777777" w:rsidR="00000000" w:rsidRDefault="00405D16">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75494C6" w14:textId="77777777" w:rsidR="00000000" w:rsidRDefault="00405D16">
            <w:pPr>
              <w:spacing w:after="100"/>
              <w:jc w:val="right"/>
              <w:rPr>
                <w:rFonts w:eastAsia="Times New Roman"/>
              </w:rPr>
            </w:pPr>
            <w:r>
              <w:rPr>
                <w:rFonts w:eastAsia="Times New Roman"/>
                <w:b/>
                <w:bCs/>
                <w:color w:val="000000"/>
                <w:sz w:val="18"/>
                <w:szCs w:val="18"/>
              </w:rPr>
              <w:t>16,693,912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2DC5563"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C46857" w14:textId="77777777" w:rsidR="00000000" w:rsidRDefault="00405D1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E3C658" w14:textId="77777777" w:rsidR="00000000" w:rsidRDefault="00405D16">
            <w:pPr>
              <w:spacing w:after="100"/>
              <w:jc w:val="right"/>
              <w:rPr>
                <w:rFonts w:eastAsia="Times New Roman"/>
              </w:rPr>
            </w:pPr>
            <w:r>
              <w:rPr>
                <w:rFonts w:eastAsia="Times New Roman"/>
                <w:b/>
                <w:bCs/>
                <w:color w:val="000000"/>
                <w:sz w:val="18"/>
                <w:szCs w:val="18"/>
              </w:rPr>
              <w:t>162.26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33D0EA9"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684A6D" w14:textId="77777777" w:rsidR="00000000" w:rsidRDefault="00405D1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3FC1A0E" w14:textId="77777777" w:rsidR="00000000" w:rsidRDefault="00405D16">
            <w:pPr>
              <w:spacing w:after="100"/>
              <w:jc w:val="right"/>
              <w:rPr>
                <w:rFonts w:eastAsia="Times New Roman"/>
              </w:rPr>
            </w:pPr>
            <w:r>
              <w:rPr>
                <w:rFonts w:eastAsia="Times New Roman"/>
                <w:b/>
                <w:bCs/>
                <w:color w:val="000000"/>
                <w:sz w:val="18"/>
                <w:szCs w:val="18"/>
              </w:rPr>
              <w:t>16,659,406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980587D" w14:textId="77777777" w:rsidR="00000000" w:rsidRDefault="00405D1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CF7F3C" w14:textId="77777777" w:rsidR="00000000" w:rsidRDefault="00405D1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511A1B" w14:textId="77777777" w:rsidR="00000000" w:rsidRDefault="00405D16">
            <w:pPr>
              <w:spacing w:after="100"/>
              <w:rPr>
                <w:rFonts w:eastAsia="Times New Roman"/>
                <w:sz w:val="20"/>
                <w:szCs w:val="20"/>
              </w:rPr>
            </w:pPr>
          </w:p>
        </w:tc>
      </w:tr>
    </w:tbl>
    <w:p w14:paraId="4A9667EF" w14:textId="77777777" w:rsidR="00000000" w:rsidRDefault="00405D16">
      <w:pPr>
        <w:divId w:val="656691511"/>
        <w:rPr>
          <w:rFonts w:eastAsia="Times New Roman"/>
        </w:rPr>
      </w:pPr>
      <w:r>
        <w:rPr>
          <w:rFonts w:eastAsia="Times New Roman"/>
          <w:color w:val="000000"/>
          <w:sz w:val="20"/>
          <w:szCs w:val="20"/>
        </w:rPr>
        <w:t>__________</w:t>
      </w:r>
    </w:p>
    <w:p w14:paraId="071E0DF3" w14:textId="77777777" w:rsidR="00000000" w:rsidRDefault="00405D16">
      <w:pPr>
        <w:ind w:hanging="360"/>
        <w:jc w:val="both"/>
        <w:divId w:val="148107032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On January 25, 2021, our Board of Directors authorized the repurchase of up to $7.5 billion of shares of our common stock. There were 34,506 shares withheld in August to cover taxe</w:t>
      </w:r>
      <w:r>
        <w:rPr>
          <w:rFonts w:eastAsia="Times New Roman"/>
          <w:color w:val="000000"/>
          <w:sz w:val="16"/>
          <w:szCs w:val="16"/>
        </w:rPr>
        <w:t>s on restricted stock units (“RSUs”) whose restrictions have lapsed. See “MD&amp;A—Capital Management—Dividend Policy and Stock Purchases” for more information.</w:t>
      </w:r>
    </w:p>
    <w:p w14:paraId="2709D9C1" w14:textId="77777777" w:rsidR="00000000" w:rsidRDefault="00405D16">
      <w:pPr>
        <w:divId w:val="804590959"/>
        <w:rPr>
          <w:rFonts w:eastAsia="Times New Roman"/>
        </w:rPr>
      </w:pPr>
      <w:r>
        <w:rPr>
          <w:rFonts w:eastAsia="Times New Roman"/>
          <w:b/>
          <w:bCs/>
          <w:color w:val="000000"/>
          <w:sz w:val="20"/>
          <w:szCs w:val="20"/>
        </w:rPr>
        <w:t xml:space="preserve">Item 3. Defaults Upon Senior Securities </w:t>
      </w:r>
    </w:p>
    <w:p w14:paraId="3FF3769D" w14:textId="77777777" w:rsidR="00000000" w:rsidRDefault="00405D16">
      <w:pPr>
        <w:jc w:val="both"/>
        <w:divId w:val="1385786657"/>
        <w:rPr>
          <w:rFonts w:eastAsia="Times New Roman"/>
        </w:rPr>
      </w:pPr>
      <w:r>
        <w:rPr>
          <w:rFonts w:eastAsia="Times New Roman"/>
          <w:color w:val="000000"/>
          <w:sz w:val="20"/>
          <w:szCs w:val="20"/>
        </w:rPr>
        <w:t>None.</w:t>
      </w:r>
    </w:p>
    <w:p w14:paraId="7A1A3308" w14:textId="77777777" w:rsidR="00000000" w:rsidRDefault="00405D16">
      <w:pPr>
        <w:divId w:val="587738643"/>
        <w:rPr>
          <w:rFonts w:eastAsia="Times New Roman"/>
        </w:rPr>
      </w:pPr>
      <w:r>
        <w:rPr>
          <w:rFonts w:eastAsia="Times New Roman"/>
          <w:b/>
          <w:bCs/>
          <w:color w:val="000000"/>
          <w:sz w:val="20"/>
          <w:szCs w:val="20"/>
        </w:rPr>
        <w:t>Item </w:t>
      </w:r>
      <w:r>
        <w:rPr>
          <w:rFonts w:eastAsia="Times New Roman"/>
          <w:b/>
          <w:bCs/>
          <w:color w:val="000000"/>
          <w:sz w:val="20"/>
          <w:szCs w:val="20"/>
        </w:rPr>
        <w:t xml:space="preserve">4. Mine Safety Disclosures </w:t>
      </w:r>
    </w:p>
    <w:p w14:paraId="5A24BD7B" w14:textId="77777777" w:rsidR="00000000" w:rsidRDefault="00405D16">
      <w:pPr>
        <w:divId w:val="803160111"/>
        <w:rPr>
          <w:rFonts w:eastAsia="Times New Roman"/>
        </w:rPr>
      </w:pPr>
      <w:r>
        <w:rPr>
          <w:rFonts w:eastAsia="Times New Roman"/>
          <w:color w:val="000000"/>
          <w:sz w:val="20"/>
          <w:szCs w:val="20"/>
        </w:rPr>
        <w:t>Not applicable.</w:t>
      </w:r>
    </w:p>
    <w:p w14:paraId="4E85F006" w14:textId="77777777" w:rsidR="00000000" w:rsidRDefault="00405D16">
      <w:pPr>
        <w:divId w:val="1774393787"/>
        <w:rPr>
          <w:rFonts w:eastAsia="Times New Roman"/>
        </w:rPr>
      </w:pPr>
      <w:r>
        <w:rPr>
          <w:rFonts w:eastAsia="Times New Roman"/>
          <w:b/>
          <w:bCs/>
          <w:color w:val="000000"/>
          <w:sz w:val="20"/>
          <w:szCs w:val="20"/>
        </w:rPr>
        <w:t>Item 5.</w:t>
      </w:r>
      <w:r>
        <w:rPr>
          <w:rFonts w:eastAsia="Times New Roman"/>
          <w:color w:val="000000"/>
          <w:sz w:val="20"/>
          <w:szCs w:val="20"/>
        </w:rPr>
        <w:t xml:space="preserve"> </w:t>
      </w:r>
      <w:r>
        <w:rPr>
          <w:rFonts w:eastAsia="Times New Roman"/>
          <w:b/>
          <w:bCs/>
          <w:color w:val="000000"/>
          <w:sz w:val="20"/>
          <w:szCs w:val="20"/>
        </w:rPr>
        <w:t xml:space="preserve">Other Information </w:t>
      </w:r>
    </w:p>
    <w:p w14:paraId="0355F5F1" w14:textId="77777777" w:rsidR="00000000" w:rsidRDefault="00405D16">
      <w:pPr>
        <w:jc w:val="both"/>
        <w:divId w:val="975645418"/>
        <w:rPr>
          <w:rFonts w:eastAsia="Times New Roman"/>
        </w:rPr>
      </w:pPr>
      <w:r>
        <w:rPr>
          <w:rFonts w:eastAsia="Times New Roman"/>
          <w:color w:val="000000"/>
          <w:sz w:val="20"/>
          <w:szCs w:val="20"/>
        </w:rPr>
        <w:t>None.</w:t>
      </w:r>
    </w:p>
    <w:p w14:paraId="13C8D746" w14:textId="77777777" w:rsidR="00000000" w:rsidRDefault="00405D16">
      <w:pPr>
        <w:divId w:val="1785230075"/>
        <w:rPr>
          <w:rFonts w:eastAsia="Times New Roman"/>
        </w:rPr>
      </w:pPr>
      <w:r>
        <w:rPr>
          <w:rFonts w:eastAsia="Times New Roman"/>
          <w:b/>
          <w:bCs/>
          <w:color w:val="000000"/>
          <w:sz w:val="20"/>
          <w:szCs w:val="20"/>
        </w:rPr>
        <w:t xml:space="preserve">Item 6. Exhibits </w:t>
      </w:r>
    </w:p>
    <w:p w14:paraId="1AF75F2A" w14:textId="77777777" w:rsidR="00000000" w:rsidRDefault="00405D16">
      <w:pPr>
        <w:jc w:val="both"/>
        <w:divId w:val="514734532"/>
        <w:rPr>
          <w:rFonts w:eastAsia="Times New Roman"/>
        </w:rPr>
      </w:pPr>
      <w:r>
        <w:rPr>
          <w:rFonts w:eastAsia="Times New Roman"/>
          <w:color w:val="000000"/>
          <w:sz w:val="20"/>
          <w:szCs w:val="20"/>
        </w:rPr>
        <w:t>An index to exhibits has been filed as part of this Report and is incorporated herein by reference.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687FBFBA" w14:textId="77777777">
        <w:trPr>
          <w:divId w:val="1888562818"/>
          <w:jc w:val="center"/>
        </w:trPr>
        <w:tc>
          <w:tcPr>
            <w:tcW w:w="50" w:type="pct"/>
            <w:vAlign w:val="center"/>
            <w:hideMark/>
          </w:tcPr>
          <w:p w14:paraId="1F0A93B8" w14:textId="77777777" w:rsidR="00000000" w:rsidRDefault="00405D16">
            <w:pPr>
              <w:jc w:val="both"/>
              <w:rPr>
                <w:rFonts w:eastAsia="Times New Roman"/>
              </w:rPr>
            </w:pPr>
          </w:p>
        </w:tc>
        <w:tc>
          <w:tcPr>
            <w:tcW w:w="1606" w:type="pct"/>
            <w:vAlign w:val="center"/>
            <w:hideMark/>
          </w:tcPr>
          <w:p w14:paraId="73D1BBED" w14:textId="77777777" w:rsidR="00000000" w:rsidRDefault="00405D16">
            <w:pPr>
              <w:spacing w:after="100"/>
              <w:rPr>
                <w:rFonts w:eastAsia="Times New Roman"/>
                <w:sz w:val="20"/>
                <w:szCs w:val="20"/>
              </w:rPr>
            </w:pPr>
          </w:p>
        </w:tc>
        <w:tc>
          <w:tcPr>
            <w:tcW w:w="5" w:type="pct"/>
            <w:vAlign w:val="center"/>
            <w:hideMark/>
          </w:tcPr>
          <w:p w14:paraId="50237B3E" w14:textId="77777777" w:rsidR="00000000" w:rsidRDefault="00405D16">
            <w:pPr>
              <w:spacing w:after="100"/>
              <w:rPr>
                <w:rFonts w:eastAsia="Times New Roman"/>
                <w:sz w:val="20"/>
                <w:szCs w:val="20"/>
              </w:rPr>
            </w:pPr>
          </w:p>
        </w:tc>
        <w:tc>
          <w:tcPr>
            <w:tcW w:w="50" w:type="pct"/>
            <w:vAlign w:val="center"/>
            <w:hideMark/>
          </w:tcPr>
          <w:p w14:paraId="7C3BD502" w14:textId="77777777" w:rsidR="00000000" w:rsidRDefault="00405D16">
            <w:pPr>
              <w:spacing w:after="100"/>
              <w:rPr>
                <w:rFonts w:eastAsia="Times New Roman"/>
                <w:sz w:val="20"/>
                <w:szCs w:val="20"/>
              </w:rPr>
            </w:pPr>
          </w:p>
        </w:tc>
        <w:tc>
          <w:tcPr>
            <w:tcW w:w="1614" w:type="pct"/>
            <w:vAlign w:val="center"/>
            <w:hideMark/>
          </w:tcPr>
          <w:p w14:paraId="1E67A59D" w14:textId="77777777" w:rsidR="00000000" w:rsidRDefault="00405D16">
            <w:pPr>
              <w:spacing w:after="100"/>
              <w:rPr>
                <w:rFonts w:eastAsia="Times New Roman"/>
                <w:sz w:val="20"/>
                <w:szCs w:val="20"/>
              </w:rPr>
            </w:pPr>
          </w:p>
        </w:tc>
        <w:tc>
          <w:tcPr>
            <w:tcW w:w="5" w:type="pct"/>
            <w:vAlign w:val="center"/>
            <w:hideMark/>
          </w:tcPr>
          <w:p w14:paraId="0949437E" w14:textId="77777777" w:rsidR="00000000" w:rsidRDefault="00405D16">
            <w:pPr>
              <w:spacing w:after="100"/>
              <w:rPr>
                <w:rFonts w:eastAsia="Times New Roman"/>
                <w:sz w:val="20"/>
                <w:szCs w:val="20"/>
              </w:rPr>
            </w:pPr>
          </w:p>
        </w:tc>
        <w:tc>
          <w:tcPr>
            <w:tcW w:w="50" w:type="pct"/>
            <w:vAlign w:val="center"/>
            <w:hideMark/>
          </w:tcPr>
          <w:p w14:paraId="5AAEE8E0" w14:textId="77777777" w:rsidR="00000000" w:rsidRDefault="00405D16">
            <w:pPr>
              <w:spacing w:after="100"/>
              <w:rPr>
                <w:rFonts w:eastAsia="Times New Roman"/>
                <w:sz w:val="20"/>
                <w:szCs w:val="20"/>
              </w:rPr>
            </w:pPr>
          </w:p>
        </w:tc>
        <w:tc>
          <w:tcPr>
            <w:tcW w:w="1614" w:type="pct"/>
            <w:vAlign w:val="center"/>
            <w:hideMark/>
          </w:tcPr>
          <w:p w14:paraId="0328CABF" w14:textId="77777777" w:rsidR="00000000" w:rsidRDefault="00405D16">
            <w:pPr>
              <w:spacing w:after="100"/>
              <w:rPr>
                <w:rFonts w:eastAsia="Times New Roman"/>
                <w:sz w:val="20"/>
                <w:szCs w:val="20"/>
              </w:rPr>
            </w:pPr>
          </w:p>
        </w:tc>
        <w:tc>
          <w:tcPr>
            <w:tcW w:w="5" w:type="pct"/>
            <w:vAlign w:val="center"/>
            <w:hideMark/>
          </w:tcPr>
          <w:p w14:paraId="4EF6AE0B" w14:textId="77777777" w:rsidR="00000000" w:rsidRDefault="00405D16">
            <w:pPr>
              <w:spacing w:after="100"/>
              <w:rPr>
                <w:rFonts w:eastAsia="Times New Roman"/>
                <w:sz w:val="20"/>
                <w:szCs w:val="20"/>
              </w:rPr>
            </w:pPr>
          </w:p>
        </w:tc>
      </w:tr>
      <w:tr w:rsidR="00000000" w14:paraId="63C461C3" w14:textId="77777777">
        <w:trPr>
          <w:divId w:val="1888562818"/>
          <w:trHeight w:val="300"/>
          <w:jc w:val="center"/>
        </w:trPr>
        <w:tc>
          <w:tcPr>
            <w:tcW w:w="0" w:type="auto"/>
            <w:gridSpan w:val="9"/>
            <w:tcMar>
              <w:top w:w="0" w:type="dxa"/>
              <w:left w:w="20" w:type="dxa"/>
              <w:bottom w:w="0" w:type="dxa"/>
              <w:right w:w="20" w:type="dxa"/>
            </w:tcMar>
            <w:vAlign w:val="center"/>
            <w:hideMark/>
          </w:tcPr>
          <w:p w14:paraId="07EB2A5A" w14:textId="77777777" w:rsidR="00000000" w:rsidRDefault="00405D16">
            <w:pPr>
              <w:spacing w:after="100"/>
              <w:rPr>
                <w:rFonts w:eastAsia="Times New Roman"/>
                <w:sz w:val="20"/>
                <w:szCs w:val="20"/>
              </w:rPr>
            </w:pPr>
          </w:p>
        </w:tc>
      </w:tr>
      <w:tr w:rsidR="00000000" w14:paraId="6D92BA8C" w14:textId="77777777">
        <w:trPr>
          <w:divId w:val="1888562818"/>
          <w:jc w:val="center"/>
        </w:trPr>
        <w:tc>
          <w:tcPr>
            <w:tcW w:w="0" w:type="auto"/>
            <w:gridSpan w:val="3"/>
            <w:tcMar>
              <w:top w:w="0" w:type="dxa"/>
              <w:left w:w="20" w:type="dxa"/>
              <w:bottom w:w="0" w:type="dxa"/>
              <w:right w:w="20" w:type="dxa"/>
            </w:tcMar>
            <w:vAlign w:val="center"/>
            <w:hideMark/>
          </w:tcPr>
          <w:p w14:paraId="7FE74FFA"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7F4175D" w14:textId="77777777" w:rsidR="00000000" w:rsidRDefault="00405D16">
            <w:pPr>
              <w:spacing w:after="100"/>
              <w:jc w:val="center"/>
              <w:rPr>
                <w:rFonts w:eastAsia="Times New Roman"/>
              </w:rPr>
            </w:pPr>
            <w:r>
              <w:rPr>
                <w:rFonts w:eastAsia="Times New Roman"/>
                <w:color w:val="000000"/>
                <w:sz w:val="16"/>
                <w:szCs w:val="16"/>
              </w:rPr>
              <w:t>133</w:t>
            </w:r>
          </w:p>
        </w:tc>
        <w:tc>
          <w:tcPr>
            <w:tcW w:w="0" w:type="auto"/>
            <w:gridSpan w:val="3"/>
            <w:tcMar>
              <w:top w:w="30" w:type="dxa"/>
              <w:left w:w="20" w:type="dxa"/>
              <w:bottom w:w="30" w:type="dxa"/>
              <w:right w:w="20" w:type="dxa"/>
            </w:tcMar>
            <w:vAlign w:val="bottom"/>
            <w:hideMark/>
          </w:tcPr>
          <w:p w14:paraId="1A313A35"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310B8F03" w14:textId="77777777" w:rsidR="00000000" w:rsidRDefault="00405D16">
      <w:pPr>
        <w:rPr>
          <w:rFonts w:eastAsia="Times New Roman"/>
        </w:rPr>
      </w:pPr>
      <w:r>
        <w:rPr>
          <w:rFonts w:eastAsia="Times New Roman"/>
        </w:rPr>
        <w:pict w14:anchorId="6F6D6C55">
          <v:rect id="_x0000_i1158" style="width:0;height:1.5pt" o:hralign="center" o:hrstd="t" o:hr="t" fillcolor="#a0a0a0" stroked="f"/>
        </w:pict>
      </w:r>
    </w:p>
    <w:p w14:paraId="237A2D33" w14:textId="77777777" w:rsidR="00000000" w:rsidRDefault="00405D16">
      <w:pPr>
        <w:jc w:val="both"/>
        <w:divId w:val="461770672"/>
        <w:rPr>
          <w:rFonts w:eastAsia="Times New Roman"/>
        </w:rPr>
      </w:pPr>
      <w:hyperlink w:anchor="idd54a04a485440b4ab4e56094c14d612_13" w:history="1">
        <w:r>
          <w:rPr>
            <w:rStyle w:val="a3"/>
            <w:rFonts w:eastAsia="Times New Roman"/>
            <w:sz w:val="16"/>
            <w:szCs w:val="16"/>
          </w:rPr>
          <w:t>Table of Contents</w:t>
        </w:r>
      </w:hyperlink>
    </w:p>
    <w:p w14:paraId="2124BF77" w14:textId="77777777" w:rsidR="00000000" w:rsidRDefault="00405D16">
      <w:pPr>
        <w:jc w:val="center"/>
        <w:rPr>
          <w:rFonts w:eastAsia="Times New Roman"/>
        </w:rPr>
      </w:pPr>
      <w:r>
        <w:rPr>
          <w:rFonts w:eastAsia="Times New Roman"/>
          <w:b/>
          <w:bCs/>
          <w:color w:val="000000"/>
          <w:sz w:val="20"/>
          <w:szCs w:val="20"/>
        </w:rPr>
        <w:t xml:space="preserve">EXHIBIT INDEX </w:t>
      </w:r>
    </w:p>
    <w:p w14:paraId="19D20C14" w14:textId="77777777" w:rsidR="00000000" w:rsidRDefault="00405D16">
      <w:pPr>
        <w:jc w:val="both"/>
        <w:divId w:val="629481950"/>
        <w:rPr>
          <w:rFonts w:eastAsia="Times New Roman"/>
        </w:rPr>
      </w:pPr>
      <w:r>
        <w:rPr>
          <w:rFonts w:eastAsia="Times New Roman"/>
          <w:color w:val="000000"/>
          <w:sz w:val="20"/>
          <w:szCs w:val="20"/>
        </w:rPr>
        <w:t>The following exhibits are incorporated by reference or filed herewith. Reference to the “2003 Form 10-K” is to the Company’s Annual Report on Form 10-K for the year ended December 31, 2003, filed on March 5, 2004.</w:t>
      </w:r>
    </w:p>
    <w:tbl>
      <w:tblPr>
        <w:tblW w:w="5000" w:type="pct"/>
        <w:jc w:val="center"/>
        <w:tblCellMar>
          <w:top w:w="15" w:type="dxa"/>
          <w:left w:w="15" w:type="dxa"/>
          <w:bottom w:w="15" w:type="dxa"/>
          <w:right w:w="15" w:type="dxa"/>
        </w:tblCellMar>
        <w:tblLook w:val="04A0" w:firstRow="1" w:lastRow="0" w:firstColumn="1" w:lastColumn="0" w:noHBand="0" w:noVBand="1"/>
      </w:tblPr>
      <w:tblGrid>
        <w:gridCol w:w="88"/>
        <w:gridCol w:w="776"/>
        <w:gridCol w:w="36"/>
        <w:gridCol w:w="36"/>
        <w:gridCol w:w="36"/>
        <w:gridCol w:w="36"/>
        <w:gridCol w:w="40"/>
        <w:gridCol w:w="7220"/>
        <w:gridCol w:w="38"/>
      </w:tblGrid>
      <w:tr w:rsidR="00000000" w14:paraId="3397F9BB" w14:textId="77777777">
        <w:trPr>
          <w:jc w:val="center"/>
        </w:trPr>
        <w:tc>
          <w:tcPr>
            <w:tcW w:w="50" w:type="pct"/>
            <w:vAlign w:val="center"/>
            <w:hideMark/>
          </w:tcPr>
          <w:p w14:paraId="2A26188F" w14:textId="77777777" w:rsidR="00000000" w:rsidRDefault="00405D16">
            <w:pPr>
              <w:jc w:val="both"/>
              <w:rPr>
                <w:rFonts w:eastAsia="Times New Roman"/>
              </w:rPr>
            </w:pPr>
          </w:p>
        </w:tc>
        <w:tc>
          <w:tcPr>
            <w:tcW w:w="442" w:type="pct"/>
            <w:vAlign w:val="center"/>
            <w:hideMark/>
          </w:tcPr>
          <w:p w14:paraId="1288EFC2" w14:textId="77777777" w:rsidR="00000000" w:rsidRDefault="00405D16">
            <w:pPr>
              <w:spacing w:after="100"/>
              <w:rPr>
                <w:rFonts w:eastAsia="Times New Roman"/>
                <w:sz w:val="20"/>
                <w:szCs w:val="20"/>
              </w:rPr>
            </w:pPr>
          </w:p>
        </w:tc>
        <w:tc>
          <w:tcPr>
            <w:tcW w:w="5" w:type="pct"/>
            <w:vAlign w:val="center"/>
            <w:hideMark/>
          </w:tcPr>
          <w:p w14:paraId="2A6295BB" w14:textId="77777777" w:rsidR="00000000" w:rsidRDefault="00405D16">
            <w:pPr>
              <w:spacing w:after="100"/>
              <w:rPr>
                <w:rFonts w:eastAsia="Times New Roman"/>
                <w:sz w:val="20"/>
                <w:szCs w:val="20"/>
              </w:rPr>
            </w:pPr>
          </w:p>
        </w:tc>
        <w:tc>
          <w:tcPr>
            <w:tcW w:w="5" w:type="pct"/>
            <w:vAlign w:val="center"/>
            <w:hideMark/>
          </w:tcPr>
          <w:p w14:paraId="2316FFE0" w14:textId="77777777" w:rsidR="00000000" w:rsidRDefault="00405D16">
            <w:pPr>
              <w:spacing w:after="100"/>
              <w:rPr>
                <w:rFonts w:eastAsia="Times New Roman"/>
                <w:sz w:val="20"/>
                <w:szCs w:val="20"/>
              </w:rPr>
            </w:pPr>
          </w:p>
        </w:tc>
        <w:tc>
          <w:tcPr>
            <w:tcW w:w="26" w:type="pct"/>
            <w:vAlign w:val="center"/>
            <w:hideMark/>
          </w:tcPr>
          <w:p w14:paraId="4462FF27" w14:textId="77777777" w:rsidR="00000000" w:rsidRDefault="00405D16">
            <w:pPr>
              <w:spacing w:after="100"/>
              <w:rPr>
                <w:rFonts w:eastAsia="Times New Roman"/>
                <w:sz w:val="20"/>
                <w:szCs w:val="20"/>
              </w:rPr>
            </w:pPr>
          </w:p>
        </w:tc>
        <w:tc>
          <w:tcPr>
            <w:tcW w:w="5" w:type="pct"/>
            <w:vAlign w:val="center"/>
            <w:hideMark/>
          </w:tcPr>
          <w:p w14:paraId="24E35FA6" w14:textId="77777777" w:rsidR="00000000" w:rsidRDefault="00405D16">
            <w:pPr>
              <w:spacing w:after="100"/>
              <w:rPr>
                <w:rFonts w:eastAsia="Times New Roman"/>
                <w:sz w:val="20"/>
                <w:szCs w:val="20"/>
              </w:rPr>
            </w:pPr>
          </w:p>
        </w:tc>
        <w:tc>
          <w:tcPr>
            <w:tcW w:w="50" w:type="pct"/>
            <w:vAlign w:val="center"/>
            <w:hideMark/>
          </w:tcPr>
          <w:p w14:paraId="41D92D09" w14:textId="77777777" w:rsidR="00000000" w:rsidRDefault="00405D16">
            <w:pPr>
              <w:spacing w:after="100"/>
              <w:rPr>
                <w:rFonts w:eastAsia="Times New Roman"/>
                <w:sz w:val="20"/>
                <w:szCs w:val="20"/>
              </w:rPr>
            </w:pPr>
          </w:p>
        </w:tc>
        <w:tc>
          <w:tcPr>
            <w:tcW w:w="4411" w:type="pct"/>
            <w:vAlign w:val="center"/>
            <w:hideMark/>
          </w:tcPr>
          <w:p w14:paraId="43A181EB" w14:textId="77777777" w:rsidR="00000000" w:rsidRDefault="00405D16">
            <w:pPr>
              <w:spacing w:after="100"/>
              <w:rPr>
                <w:rFonts w:eastAsia="Times New Roman"/>
                <w:sz w:val="20"/>
                <w:szCs w:val="20"/>
              </w:rPr>
            </w:pPr>
          </w:p>
        </w:tc>
        <w:tc>
          <w:tcPr>
            <w:tcW w:w="5" w:type="pct"/>
            <w:vAlign w:val="center"/>
            <w:hideMark/>
          </w:tcPr>
          <w:p w14:paraId="2601F16F" w14:textId="77777777" w:rsidR="00000000" w:rsidRDefault="00405D16">
            <w:pPr>
              <w:spacing w:after="100"/>
              <w:rPr>
                <w:rFonts w:eastAsia="Times New Roman"/>
                <w:sz w:val="20"/>
                <w:szCs w:val="20"/>
              </w:rPr>
            </w:pPr>
          </w:p>
        </w:tc>
      </w:tr>
      <w:tr w:rsidR="00000000" w14:paraId="3FF661FA" w14:textId="77777777">
        <w:trPr>
          <w:jc w:val="center"/>
        </w:trPr>
        <w:tc>
          <w:tcPr>
            <w:tcW w:w="0" w:type="auto"/>
            <w:gridSpan w:val="3"/>
            <w:tcBorders>
              <w:bottom w:val="single" w:sz="8" w:space="0" w:color="000000"/>
            </w:tcBorders>
            <w:tcMar>
              <w:top w:w="30" w:type="dxa"/>
              <w:left w:w="20" w:type="dxa"/>
              <w:bottom w:w="30" w:type="dxa"/>
              <w:right w:w="20" w:type="dxa"/>
            </w:tcMar>
            <w:vAlign w:val="center"/>
            <w:hideMark/>
          </w:tcPr>
          <w:p w14:paraId="68543C92" w14:textId="77777777" w:rsidR="00000000" w:rsidRDefault="00405D16">
            <w:pPr>
              <w:spacing w:after="100"/>
              <w:jc w:val="center"/>
              <w:rPr>
                <w:rFonts w:eastAsia="Times New Roman"/>
              </w:rPr>
            </w:pPr>
            <w:r>
              <w:rPr>
                <w:rFonts w:eastAsia="Times New Roman"/>
                <w:b/>
                <w:bCs/>
                <w:color w:val="000000"/>
                <w:sz w:val="17"/>
                <w:szCs w:val="17"/>
              </w:rPr>
              <w:t>Exhibit No.</w:t>
            </w:r>
          </w:p>
        </w:tc>
        <w:tc>
          <w:tcPr>
            <w:tcW w:w="0" w:type="auto"/>
            <w:gridSpan w:val="3"/>
            <w:tcMar>
              <w:top w:w="0" w:type="dxa"/>
              <w:left w:w="20" w:type="dxa"/>
              <w:bottom w:w="0" w:type="dxa"/>
              <w:right w:w="20" w:type="dxa"/>
            </w:tcMar>
            <w:vAlign w:val="center"/>
            <w:hideMark/>
          </w:tcPr>
          <w:p w14:paraId="02A48B61" w14:textId="77777777" w:rsidR="00000000" w:rsidRDefault="00405D16">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center"/>
            <w:hideMark/>
          </w:tcPr>
          <w:p w14:paraId="7D83AFA6" w14:textId="77777777" w:rsidR="00000000" w:rsidRDefault="00405D16">
            <w:pPr>
              <w:spacing w:after="100"/>
              <w:jc w:val="both"/>
              <w:rPr>
                <w:rFonts w:eastAsia="Times New Roman"/>
              </w:rPr>
            </w:pPr>
            <w:r>
              <w:rPr>
                <w:rFonts w:eastAsia="Times New Roman"/>
                <w:b/>
                <w:bCs/>
                <w:color w:val="000000"/>
                <w:sz w:val="17"/>
                <w:szCs w:val="17"/>
              </w:rPr>
              <w:t>Description</w:t>
            </w:r>
          </w:p>
        </w:tc>
      </w:tr>
      <w:tr w:rsidR="00000000" w14:paraId="47C13BCF" w14:textId="77777777">
        <w:trPr>
          <w:jc w:val="center"/>
        </w:trPr>
        <w:tc>
          <w:tcPr>
            <w:tcW w:w="0" w:type="auto"/>
            <w:gridSpan w:val="3"/>
            <w:tcBorders>
              <w:top w:val="single" w:sz="8" w:space="0" w:color="000000"/>
            </w:tcBorders>
            <w:tcMar>
              <w:top w:w="30" w:type="dxa"/>
              <w:left w:w="20" w:type="dxa"/>
              <w:bottom w:w="30" w:type="dxa"/>
              <w:right w:w="20" w:type="dxa"/>
            </w:tcMar>
            <w:hideMark/>
          </w:tcPr>
          <w:p w14:paraId="6A198929" w14:textId="77777777" w:rsidR="00000000" w:rsidRDefault="00405D16">
            <w:pPr>
              <w:spacing w:after="100"/>
              <w:jc w:val="center"/>
              <w:rPr>
                <w:rFonts w:eastAsia="Times New Roman"/>
              </w:rPr>
            </w:pPr>
            <w:r>
              <w:rPr>
                <w:rFonts w:eastAsia="Times New Roman"/>
                <w:color w:val="000000"/>
                <w:sz w:val="17"/>
                <w:szCs w:val="17"/>
              </w:rPr>
              <w:t>3.1</w:t>
            </w:r>
          </w:p>
        </w:tc>
        <w:tc>
          <w:tcPr>
            <w:tcW w:w="0" w:type="auto"/>
            <w:gridSpan w:val="3"/>
            <w:tcMar>
              <w:top w:w="0" w:type="dxa"/>
              <w:left w:w="20" w:type="dxa"/>
              <w:bottom w:w="0" w:type="dxa"/>
              <w:right w:w="20" w:type="dxa"/>
            </w:tcMar>
            <w:vAlign w:val="center"/>
            <w:hideMark/>
          </w:tcPr>
          <w:p w14:paraId="70AFE5D3" w14:textId="77777777" w:rsidR="00000000" w:rsidRDefault="00405D1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2710BA21" w14:textId="77777777" w:rsidR="00000000" w:rsidRDefault="00405D16">
            <w:pPr>
              <w:spacing w:after="100"/>
              <w:jc w:val="both"/>
              <w:rPr>
                <w:rFonts w:eastAsia="Times New Roman"/>
              </w:rPr>
            </w:pPr>
            <w:hyperlink r:id="rId4" w:history="1">
              <w:r>
                <w:rPr>
                  <w:rStyle w:val="a3"/>
                  <w:rFonts w:eastAsia="Times New Roman"/>
                  <w:sz w:val="17"/>
                  <w:szCs w:val="17"/>
                </w:rPr>
                <w:t>Restated Certificate of Incorporation of Capital One Financial Corporation (as restated May 1, 2020) (incorporated by refer</w:t>
              </w:r>
              <w:r>
                <w:rPr>
                  <w:rStyle w:val="a3"/>
                  <w:rFonts w:eastAsia="Times New Roman"/>
                  <w:sz w:val="17"/>
                  <w:szCs w:val="17"/>
                </w:rPr>
                <w:t>ence to Exhibit 3.2 of the Current Report on Form 8-K, filed on May 4, 2020).</w:t>
              </w:r>
            </w:hyperlink>
          </w:p>
        </w:tc>
      </w:tr>
      <w:tr w:rsidR="00000000" w14:paraId="45344341" w14:textId="77777777">
        <w:trPr>
          <w:jc w:val="center"/>
        </w:trPr>
        <w:tc>
          <w:tcPr>
            <w:tcW w:w="0" w:type="auto"/>
            <w:gridSpan w:val="3"/>
            <w:tcMar>
              <w:top w:w="30" w:type="dxa"/>
              <w:left w:w="20" w:type="dxa"/>
              <w:bottom w:w="30" w:type="dxa"/>
              <w:right w:w="20" w:type="dxa"/>
            </w:tcMar>
            <w:hideMark/>
          </w:tcPr>
          <w:p w14:paraId="5B205A66" w14:textId="77777777" w:rsidR="00000000" w:rsidRDefault="00405D16">
            <w:pPr>
              <w:spacing w:after="100"/>
              <w:jc w:val="center"/>
              <w:rPr>
                <w:rFonts w:eastAsia="Times New Roman"/>
              </w:rPr>
            </w:pPr>
            <w:r>
              <w:rPr>
                <w:rFonts w:eastAsia="Times New Roman"/>
                <w:color w:val="000000"/>
                <w:sz w:val="17"/>
                <w:szCs w:val="17"/>
              </w:rPr>
              <w:t>3.2</w:t>
            </w:r>
          </w:p>
        </w:tc>
        <w:tc>
          <w:tcPr>
            <w:tcW w:w="0" w:type="auto"/>
            <w:gridSpan w:val="3"/>
            <w:tcMar>
              <w:top w:w="0" w:type="dxa"/>
              <w:left w:w="20" w:type="dxa"/>
              <w:bottom w:w="0" w:type="dxa"/>
              <w:right w:w="20" w:type="dxa"/>
            </w:tcMar>
            <w:vAlign w:val="center"/>
            <w:hideMark/>
          </w:tcPr>
          <w:p w14:paraId="0338F1F8"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3AA774AF" w14:textId="77777777" w:rsidR="00000000" w:rsidRDefault="00405D16">
            <w:pPr>
              <w:spacing w:after="100"/>
              <w:jc w:val="both"/>
              <w:rPr>
                <w:rFonts w:eastAsia="Times New Roman"/>
              </w:rPr>
            </w:pPr>
            <w:hyperlink r:id="rId5" w:history="1">
              <w:r>
                <w:rPr>
                  <w:rStyle w:val="a3"/>
                  <w:rFonts w:eastAsia="Times New Roman"/>
                  <w:sz w:val="17"/>
                  <w:szCs w:val="17"/>
                </w:rPr>
                <w:t xml:space="preserve">Amended and Restated Bylaws of Capital One Financial Corporation, dated </w:t>
              </w:r>
            </w:hyperlink>
            <w:hyperlink r:id="rId6" w:history="1">
              <w:r>
                <w:rPr>
                  <w:rStyle w:val="a3"/>
                  <w:rFonts w:eastAsia="Times New Roman"/>
                  <w:sz w:val="17"/>
                  <w:szCs w:val="17"/>
                </w:rPr>
                <w:t>September 23, 2021</w:t>
              </w:r>
            </w:hyperlink>
            <w:hyperlink r:id="rId7" w:history="1">
              <w:r>
                <w:rPr>
                  <w:rStyle w:val="a3"/>
                  <w:rFonts w:eastAsia="Times New Roman"/>
                  <w:sz w:val="17"/>
                  <w:szCs w:val="17"/>
                </w:rPr>
                <w:t xml:space="preserve"> (incorporated by reference to Exhibit </w:t>
              </w:r>
            </w:hyperlink>
            <w:hyperlink r:id="rId8" w:history="1">
              <w:r>
                <w:rPr>
                  <w:rStyle w:val="a3"/>
                  <w:rFonts w:eastAsia="Times New Roman"/>
                  <w:sz w:val="17"/>
                  <w:szCs w:val="17"/>
                </w:rPr>
                <w:t>3.1</w:t>
              </w:r>
            </w:hyperlink>
            <w:hyperlink r:id="rId9" w:history="1">
              <w:r>
                <w:rPr>
                  <w:rStyle w:val="a3"/>
                  <w:rFonts w:eastAsia="Times New Roman"/>
                  <w:sz w:val="17"/>
                  <w:szCs w:val="17"/>
                </w:rPr>
                <w:t xml:space="preserve"> of the Current Report on Form 8-K, filed on </w:t>
              </w:r>
            </w:hyperlink>
            <w:hyperlink r:id="rId10" w:history="1">
              <w:r>
                <w:rPr>
                  <w:rStyle w:val="a3"/>
                  <w:rFonts w:eastAsia="Times New Roman"/>
                  <w:sz w:val="17"/>
                  <w:szCs w:val="17"/>
                </w:rPr>
                <w:t>September 29, 2021).</w:t>
              </w:r>
            </w:hyperlink>
          </w:p>
        </w:tc>
      </w:tr>
      <w:tr w:rsidR="00000000" w14:paraId="404A5840" w14:textId="77777777">
        <w:trPr>
          <w:jc w:val="center"/>
        </w:trPr>
        <w:tc>
          <w:tcPr>
            <w:tcW w:w="0" w:type="auto"/>
            <w:gridSpan w:val="3"/>
            <w:vAlign w:val="center"/>
            <w:hideMark/>
          </w:tcPr>
          <w:p w14:paraId="0104F1C1" w14:textId="77777777" w:rsidR="00000000" w:rsidRDefault="00405D16">
            <w:pPr>
              <w:spacing w:after="100"/>
              <w:jc w:val="both"/>
              <w:rPr>
                <w:rFonts w:eastAsia="Times New Roman"/>
              </w:rPr>
            </w:pPr>
          </w:p>
        </w:tc>
        <w:tc>
          <w:tcPr>
            <w:tcW w:w="0" w:type="auto"/>
            <w:gridSpan w:val="3"/>
            <w:vAlign w:val="center"/>
            <w:hideMark/>
          </w:tcPr>
          <w:p w14:paraId="35BB2420" w14:textId="77777777" w:rsidR="00000000" w:rsidRDefault="00405D16">
            <w:pPr>
              <w:spacing w:after="100"/>
              <w:rPr>
                <w:rFonts w:eastAsia="Times New Roman"/>
                <w:sz w:val="20"/>
                <w:szCs w:val="20"/>
              </w:rPr>
            </w:pPr>
          </w:p>
        </w:tc>
        <w:tc>
          <w:tcPr>
            <w:tcW w:w="0" w:type="auto"/>
            <w:gridSpan w:val="3"/>
            <w:vAlign w:val="center"/>
            <w:hideMark/>
          </w:tcPr>
          <w:p w14:paraId="67659D24" w14:textId="77777777" w:rsidR="00000000" w:rsidRDefault="00405D16">
            <w:pPr>
              <w:spacing w:after="100"/>
              <w:rPr>
                <w:rFonts w:eastAsia="Times New Roman"/>
                <w:sz w:val="20"/>
                <w:szCs w:val="20"/>
              </w:rPr>
            </w:pPr>
          </w:p>
        </w:tc>
      </w:tr>
      <w:tr w:rsidR="00000000" w14:paraId="1FC2D8DE" w14:textId="77777777">
        <w:trPr>
          <w:jc w:val="center"/>
        </w:trPr>
        <w:tc>
          <w:tcPr>
            <w:tcW w:w="0" w:type="auto"/>
            <w:gridSpan w:val="3"/>
            <w:vAlign w:val="center"/>
            <w:hideMark/>
          </w:tcPr>
          <w:p w14:paraId="7F2877D9" w14:textId="77777777" w:rsidR="00000000" w:rsidRDefault="00405D16">
            <w:pPr>
              <w:spacing w:after="100"/>
              <w:rPr>
                <w:rFonts w:eastAsia="Times New Roman"/>
                <w:sz w:val="20"/>
                <w:szCs w:val="20"/>
              </w:rPr>
            </w:pPr>
          </w:p>
        </w:tc>
        <w:tc>
          <w:tcPr>
            <w:tcW w:w="0" w:type="auto"/>
            <w:gridSpan w:val="3"/>
            <w:vAlign w:val="center"/>
            <w:hideMark/>
          </w:tcPr>
          <w:p w14:paraId="4E8AAF8D" w14:textId="77777777" w:rsidR="00000000" w:rsidRDefault="00405D16">
            <w:pPr>
              <w:spacing w:after="100"/>
              <w:rPr>
                <w:rFonts w:eastAsia="Times New Roman"/>
                <w:sz w:val="20"/>
                <w:szCs w:val="20"/>
              </w:rPr>
            </w:pPr>
          </w:p>
        </w:tc>
        <w:tc>
          <w:tcPr>
            <w:tcW w:w="0" w:type="auto"/>
            <w:gridSpan w:val="3"/>
            <w:vAlign w:val="center"/>
            <w:hideMark/>
          </w:tcPr>
          <w:p w14:paraId="397D8778" w14:textId="77777777" w:rsidR="00000000" w:rsidRDefault="00405D16">
            <w:pPr>
              <w:spacing w:after="100"/>
              <w:rPr>
                <w:rFonts w:eastAsia="Times New Roman"/>
                <w:sz w:val="20"/>
                <w:szCs w:val="20"/>
              </w:rPr>
            </w:pPr>
          </w:p>
        </w:tc>
      </w:tr>
      <w:tr w:rsidR="00000000" w14:paraId="06A53A0E" w14:textId="77777777">
        <w:trPr>
          <w:jc w:val="center"/>
        </w:trPr>
        <w:tc>
          <w:tcPr>
            <w:tcW w:w="0" w:type="auto"/>
            <w:gridSpan w:val="3"/>
            <w:vAlign w:val="center"/>
            <w:hideMark/>
          </w:tcPr>
          <w:p w14:paraId="11068110" w14:textId="77777777" w:rsidR="00000000" w:rsidRDefault="00405D16">
            <w:pPr>
              <w:spacing w:after="100"/>
              <w:rPr>
                <w:rFonts w:eastAsia="Times New Roman"/>
                <w:sz w:val="20"/>
                <w:szCs w:val="20"/>
              </w:rPr>
            </w:pPr>
          </w:p>
        </w:tc>
        <w:tc>
          <w:tcPr>
            <w:tcW w:w="0" w:type="auto"/>
            <w:gridSpan w:val="3"/>
            <w:vAlign w:val="center"/>
            <w:hideMark/>
          </w:tcPr>
          <w:p w14:paraId="4191F012" w14:textId="77777777" w:rsidR="00000000" w:rsidRDefault="00405D16">
            <w:pPr>
              <w:spacing w:after="100"/>
              <w:rPr>
                <w:rFonts w:eastAsia="Times New Roman"/>
                <w:sz w:val="20"/>
                <w:szCs w:val="20"/>
              </w:rPr>
            </w:pPr>
          </w:p>
        </w:tc>
        <w:tc>
          <w:tcPr>
            <w:tcW w:w="0" w:type="auto"/>
            <w:gridSpan w:val="3"/>
            <w:vAlign w:val="center"/>
            <w:hideMark/>
          </w:tcPr>
          <w:p w14:paraId="16B3B14B" w14:textId="77777777" w:rsidR="00000000" w:rsidRDefault="00405D16">
            <w:pPr>
              <w:spacing w:after="100"/>
              <w:rPr>
                <w:rFonts w:eastAsia="Times New Roman"/>
                <w:sz w:val="20"/>
                <w:szCs w:val="20"/>
              </w:rPr>
            </w:pPr>
          </w:p>
        </w:tc>
      </w:tr>
      <w:tr w:rsidR="00000000" w14:paraId="2FE7E8A7" w14:textId="77777777">
        <w:trPr>
          <w:jc w:val="center"/>
        </w:trPr>
        <w:tc>
          <w:tcPr>
            <w:tcW w:w="0" w:type="auto"/>
            <w:gridSpan w:val="3"/>
            <w:vAlign w:val="center"/>
            <w:hideMark/>
          </w:tcPr>
          <w:p w14:paraId="0BB0DA38" w14:textId="77777777" w:rsidR="00000000" w:rsidRDefault="00405D16">
            <w:pPr>
              <w:spacing w:after="100"/>
              <w:rPr>
                <w:rFonts w:eastAsia="Times New Roman"/>
                <w:sz w:val="20"/>
                <w:szCs w:val="20"/>
              </w:rPr>
            </w:pPr>
          </w:p>
        </w:tc>
        <w:tc>
          <w:tcPr>
            <w:tcW w:w="0" w:type="auto"/>
            <w:gridSpan w:val="3"/>
            <w:vAlign w:val="center"/>
            <w:hideMark/>
          </w:tcPr>
          <w:p w14:paraId="1AB0537D" w14:textId="77777777" w:rsidR="00000000" w:rsidRDefault="00405D16">
            <w:pPr>
              <w:spacing w:after="100"/>
              <w:rPr>
                <w:rFonts w:eastAsia="Times New Roman"/>
                <w:sz w:val="20"/>
                <w:szCs w:val="20"/>
              </w:rPr>
            </w:pPr>
          </w:p>
        </w:tc>
        <w:tc>
          <w:tcPr>
            <w:tcW w:w="0" w:type="auto"/>
            <w:gridSpan w:val="3"/>
            <w:vAlign w:val="center"/>
            <w:hideMark/>
          </w:tcPr>
          <w:p w14:paraId="797F9E46" w14:textId="77777777" w:rsidR="00000000" w:rsidRDefault="00405D16">
            <w:pPr>
              <w:spacing w:after="100"/>
              <w:rPr>
                <w:rFonts w:eastAsia="Times New Roman"/>
                <w:sz w:val="20"/>
                <w:szCs w:val="20"/>
              </w:rPr>
            </w:pPr>
          </w:p>
        </w:tc>
      </w:tr>
      <w:tr w:rsidR="00000000" w14:paraId="413211D4" w14:textId="77777777">
        <w:trPr>
          <w:jc w:val="center"/>
        </w:trPr>
        <w:tc>
          <w:tcPr>
            <w:tcW w:w="0" w:type="auto"/>
            <w:gridSpan w:val="3"/>
            <w:vAlign w:val="center"/>
            <w:hideMark/>
          </w:tcPr>
          <w:p w14:paraId="6ED52702" w14:textId="77777777" w:rsidR="00000000" w:rsidRDefault="00405D16">
            <w:pPr>
              <w:spacing w:after="100"/>
              <w:rPr>
                <w:rFonts w:eastAsia="Times New Roman"/>
                <w:sz w:val="20"/>
                <w:szCs w:val="20"/>
              </w:rPr>
            </w:pPr>
          </w:p>
        </w:tc>
        <w:tc>
          <w:tcPr>
            <w:tcW w:w="0" w:type="auto"/>
            <w:gridSpan w:val="3"/>
            <w:vAlign w:val="center"/>
            <w:hideMark/>
          </w:tcPr>
          <w:p w14:paraId="0246577D" w14:textId="77777777" w:rsidR="00000000" w:rsidRDefault="00405D16">
            <w:pPr>
              <w:spacing w:after="100"/>
              <w:rPr>
                <w:rFonts w:eastAsia="Times New Roman"/>
                <w:sz w:val="20"/>
                <w:szCs w:val="20"/>
              </w:rPr>
            </w:pPr>
          </w:p>
        </w:tc>
        <w:tc>
          <w:tcPr>
            <w:tcW w:w="0" w:type="auto"/>
            <w:gridSpan w:val="3"/>
            <w:vAlign w:val="center"/>
            <w:hideMark/>
          </w:tcPr>
          <w:p w14:paraId="5F970F47" w14:textId="77777777" w:rsidR="00000000" w:rsidRDefault="00405D16">
            <w:pPr>
              <w:spacing w:after="100"/>
              <w:rPr>
                <w:rFonts w:eastAsia="Times New Roman"/>
                <w:sz w:val="20"/>
                <w:szCs w:val="20"/>
              </w:rPr>
            </w:pPr>
          </w:p>
        </w:tc>
      </w:tr>
      <w:tr w:rsidR="00000000" w14:paraId="7403CFD1" w14:textId="77777777">
        <w:trPr>
          <w:jc w:val="center"/>
        </w:trPr>
        <w:tc>
          <w:tcPr>
            <w:tcW w:w="0" w:type="auto"/>
            <w:gridSpan w:val="3"/>
            <w:tcMar>
              <w:top w:w="30" w:type="dxa"/>
              <w:left w:w="20" w:type="dxa"/>
              <w:bottom w:w="30" w:type="dxa"/>
              <w:right w:w="20" w:type="dxa"/>
            </w:tcMar>
            <w:hideMark/>
          </w:tcPr>
          <w:p w14:paraId="38E2C63C" w14:textId="77777777" w:rsidR="00000000" w:rsidRDefault="00405D16">
            <w:pPr>
              <w:spacing w:after="100"/>
              <w:jc w:val="center"/>
              <w:rPr>
                <w:rFonts w:eastAsia="Times New Roman"/>
              </w:rPr>
            </w:pPr>
            <w:r>
              <w:rPr>
                <w:rFonts w:eastAsia="Times New Roman"/>
                <w:color w:val="000000"/>
                <w:sz w:val="17"/>
                <w:szCs w:val="17"/>
              </w:rPr>
              <w:t>3.3.1</w:t>
            </w:r>
          </w:p>
        </w:tc>
        <w:tc>
          <w:tcPr>
            <w:tcW w:w="0" w:type="auto"/>
            <w:gridSpan w:val="3"/>
            <w:tcMar>
              <w:top w:w="0" w:type="dxa"/>
              <w:left w:w="20" w:type="dxa"/>
              <w:bottom w:w="0" w:type="dxa"/>
              <w:right w:w="20" w:type="dxa"/>
            </w:tcMar>
            <w:vAlign w:val="center"/>
            <w:hideMark/>
          </w:tcPr>
          <w:p w14:paraId="6EDBCBED"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012B4507" w14:textId="77777777" w:rsidR="00000000" w:rsidRDefault="00405D16">
            <w:pPr>
              <w:spacing w:after="100"/>
              <w:jc w:val="both"/>
              <w:rPr>
                <w:rFonts w:eastAsia="Times New Roman"/>
              </w:rPr>
            </w:pPr>
            <w:hyperlink r:id="rId11" w:history="1">
              <w:r>
                <w:rPr>
                  <w:rStyle w:val="a3"/>
                  <w:rFonts w:eastAsia="Times New Roman"/>
                  <w:sz w:val="17"/>
                  <w:szCs w:val="17"/>
                </w:rPr>
                <w:t>Certificate of Designations of Fixed Rate Non-Cumulative Perpetual Preferred Stock, Series K, dated September 16, 2020 (incorporated by reference to Exhibit 3</w:t>
              </w:r>
              <w:r>
                <w:rPr>
                  <w:rStyle w:val="a3"/>
                  <w:rFonts w:eastAsia="Times New Roman"/>
                  <w:sz w:val="17"/>
                  <w:szCs w:val="17"/>
                </w:rPr>
                <w:t>.1 of the Current Report on Form 8-K, filed on September 17, 2020).</w:t>
              </w:r>
            </w:hyperlink>
          </w:p>
        </w:tc>
      </w:tr>
      <w:tr w:rsidR="00000000" w14:paraId="67F93409" w14:textId="77777777">
        <w:trPr>
          <w:jc w:val="center"/>
        </w:trPr>
        <w:tc>
          <w:tcPr>
            <w:tcW w:w="0" w:type="auto"/>
            <w:gridSpan w:val="3"/>
            <w:tcMar>
              <w:top w:w="30" w:type="dxa"/>
              <w:left w:w="20" w:type="dxa"/>
              <w:bottom w:w="30" w:type="dxa"/>
              <w:right w:w="20" w:type="dxa"/>
            </w:tcMar>
            <w:hideMark/>
          </w:tcPr>
          <w:p w14:paraId="5148808F" w14:textId="77777777" w:rsidR="00000000" w:rsidRDefault="00405D16">
            <w:pPr>
              <w:spacing w:after="100"/>
              <w:jc w:val="center"/>
              <w:rPr>
                <w:rFonts w:eastAsia="Times New Roman"/>
              </w:rPr>
            </w:pPr>
            <w:r>
              <w:rPr>
                <w:rFonts w:eastAsia="Times New Roman"/>
                <w:color w:val="000000"/>
                <w:sz w:val="17"/>
                <w:szCs w:val="17"/>
              </w:rPr>
              <w:t>3.3.2</w:t>
            </w:r>
          </w:p>
        </w:tc>
        <w:tc>
          <w:tcPr>
            <w:tcW w:w="0" w:type="auto"/>
            <w:gridSpan w:val="3"/>
            <w:tcMar>
              <w:top w:w="0" w:type="dxa"/>
              <w:left w:w="20" w:type="dxa"/>
              <w:bottom w:w="0" w:type="dxa"/>
              <w:right w:w="20" w:type="dxa"/>
            </w:tcMar>
            <w:vAlign w:val="center"/>
            <w:hideMark/>
          </w:tcPr>
          <w:p w14:paraId="6578C816"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65A0E189" w14:textId="77777777" w:rsidR="00000000" w:rsidRDefault="00405D16">
            <w:pPr>
              <w:spacing w:after="100"/>
              <w:jc w:val="both"/>
              <w:rPr>
                <w:rFonts w:eastAsia="Times New Roman"/>
              </w:rPr>
            </w:pPr>
            <w:hyperlink r:id="rId12" w:history="1">
              <w:r>
                <w:rPr>
                  <w:rStyle w:val="a3"/>
                  <w:rFonts w:eastAsia="Times New Roman"/>
                  <w:sz w:val="17"/>
                  <w:szCs w:val="17"/>
                </w:rPr>
                <w:t xml:space="preserve">Certificate of Designations of Fixed Rate Non-Cumulative Perpetual Preferred Stock, Series L, dated May 3, 2021 (incorporated by reference to Exhibit 3.1 </w:t>
              </w:r>
              <w:r>
                <w:rPr>
                  <w:rStyle w:val="a3"/>
                  <w:rFonts w:eastAsia="Times New Roman"/>
                  <w:sz w:val="17"/>
                  <w:szCs w:val="17"/>
                </w:rPr>
                <w:t>of the Current Report on Form 8-K, filed on May 4, 2021).</w:t>
              </w:r>
            </w:hyperlink>
          </w:p>
        </w:tc>
      </w:tr>
      <w:tr w:rsidR="00000000" w14:paraId="6737ABBD" w14:textId="77777777">
        <w:trPr>
          <w:jc w:val="center"/>
        </w:trPr>
        <w:tc>
          <w:tcPr>
            <w:tcW w:w="0" w:type="auto"/>
            <w:gridSpan w:val="3"/>
            <w:tcMar>
              <w:top w:w="30" w:type="dxa"/>
              <w:left w:w="20" w:type="dxa"/>
              <w:bottom w:w="30" w:type="dxa"/>
              <w:right w:w="20" w:type="dxa"/>
            </w:tcMar>
            <w:hideMark/>
          </w:tcPr>
          <w:p w14:paraId="5E4E335B" w14:textId="77777777" w:rsidR="00000000" w:rsidRDefault="00405D16">
            <w:pPr>
              <w:spacing w:after="100"/>
              <w:jc w:val="center"/>
              <w:rPr>
                <w:rFonts w:eastAsia="Times New Roman"/>
              </w:rPr>
            </w:pPr>
            <w:r>
              <w:rPr>
                <w:rFonts w:eastAsia="Times New Roman"/>
                <w:color w:val="000000"/>
                <w:sz w:val="17"/>
                <w:szCs w:val="17"/>
              </w:rPr>
              <w:t>3.3.3</w:t>
            </w:r>
          </w:p>
        </w:tc>
        <w:tc>
          <w:tcPr>
            <w:tcW w:w="0" w:type="auto"/>
            <w:gridSpan w:val="3"/>
            <w:tcMar>
              <w:top w:w="0" w:type="dxa"/>
              <w:left w:w="20" w:type="dxa"/>
              <w:bottom w:w="0" w:type="dxa"/>
              <w:right w:w="20" w:type="dxa"/>
            </w:tcMar>
            <w:vAlign w:val="center"/>
            <w:hideMark/>
          </w:tcPr>
          <w:p w14:paraId="79150E16"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37CA4EA4" w14:textId="77777777" w:rsidR="00000000" w:rsidRDefault="00405D16">
            <w:pPr>
              <w:spacing w:after="100"/>
              <w:jc w:val="both"/>
              <w:rPr>
                <w:rFonts w:eastAsia="Times New Roman"/>
              </w:rPr>
            </w:pPr>
            <w:hyperlink r:id="rId13" w:history="1">
              <w:r>
                <w:rPr>
                  <w:rStyle w:val="a3"/>
                  <w:rFonts w:eastAsia="Times New Roman"/>
                  <w:sz w:val="17"/>
                  <w:szCs w:val="17"/>
                </w:rPr>
                <w:t>Certificate of Designations of Fixed Rate Reset Non-Cumulative Perpetual Preferred</w:t>
              </w:r>
              <w:r>
                <w:rPr>
                  <w:rStyle w:val="a3"/>
                  <w:rFonts w:eastAsia="Times New Roman"/>
                  <w:sz w:val="17"/>
                  <w:szCs w:val="17"/>
                </w:rPr>
                <w:t xml:space="preserve"> Stock, Series M, dated June 9, 2021 (incorporated by reference to Exhibit 3.1 of the Current Report on Form 8-K, filed on June 10, 2021).</w:t>
              </w:r>
            </w:hyperlink>
          </w:p>
        </w:tc>
      </w:tr>
      <w:tr w:rsidR="00000000" w14:paraId="50D10D73" w14:textId="77777777">
        <w:trPr>
          <w:jc w:val="center"/>
        </w:trPr>
        <w:tc>
          <w:tcPr>
            <w:tcW w:w="0" w:type="auto"/>
            <w:gridSpan w:val="3"/>
            <w:tcMar>
              <w:top w:w="30" w:type="dxa"/>
              <w:left w:w="20" w:type="dxa"/>
              <w:bottom w:w="30" w:type="dxa"/>
              <w:right w:w="20" w:type="dxa"/>
            </w:tcMar>
            <w:hideMark/>
          </w:tcPr>
          <w:p w14:paraId="5DC45A69" w14:textId="77777777" w:rsidR="00000000" w:rsidRDefault="00405D16">
            <w:pPr>
              <w:spacing w:after="100"/>
              <w:jc w:val="center"/>
              <w:rPr>
                <w:rFonts w:eastAsia="Times New Roman"/>
              </w:rPr>
            </w:pPr>
            <w:r>
              <w:rPr>
                <w:rFonts w:eastAsia="Times New Roman"/>
                <w:color w:val="000000"/>
                <w:sz w:val="17"/>
                <w:szCs w:val="17"/>
              </w:rPr>
              <w:t>3.3.4</w:t>
            </w:r>
          </w:p>
        </w:tc>
        <w:tc>
          <w:tcPr>
            <w:tcW w:w="0" w:type="auto"/>
            <w:gridSpan w:val="3"/>
            <w:tcMar>
              <w:top w:w="0" w:type="dxa"/>
              <w:left w:w="20" w:type="dxa"/>
              <w:bottom w:w="0" w:type="dxa"/>
              <w:right w:w="20" w:type="dxa"/>
            </w:tcMar>
            <w:vAlign w:val="center"/>
            <w:hideMark/>
          </w:tcPr>
          <w:p w14:paraId="50CD456F"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6DEDA49D" w14:textId="77777777" w:rsidR="00000000" w:rsidRDefault="00405D16">
            <w:pPr>
              <w:spacing w:after="100"/>
              <w:jc w:val="both"/>
              <w:rPr>
                <w:rFonts w:eastAsia="Times New Roman"/>
              </w:rPr>
            </w:pPr>
            <w:hyperlink r:id="rId14" w:history="1">
              <w:r>
                <w:rPr>
                  <w:rStyle w:val="a3"/>
                  <w:rFonts w:eastAsia="Times New Roman"/>
                  <w:sz w:val="17"/>
                  <w:szCs w:val="17"/>
                </w:rPr>
                <w:t>Certificate of Designations of Fixed Rate Non-Cumulative Perpetual Preferred Stock, Series N, dated July 28, 2021 (incorporated by reference to Exhibit 3</w:t>
              </w:r>
              <w:r>
                <w:rPr>
                  <w:rStyle w:val="a3"/>
                  <w:rFonts w:eastAsia="Times New Roman"/>
                  <w:sz w:val="17"/>
                  <w:szCs w:val="17"/>
                </w:rPr>
                <w:t>.1 of the Current Report on Form 8-K, filed on July 29, 2021).</w:t>
              </w:r>
            </w:hyperlink>
          </w:p>
        </w:tc>
      </w:tr>
      <w:tr w:rsidR="00000000" w14:paraId="3AD85AA0" w14:textId="77777777">
        <w:trPr>
          <w:jc w:val="center"/>
        </w:trPr>
        <w:tc>
          <w:tcPr>
            <w:tcW w:w="0" w:type="auto"/>
            <w:gridSpan w:val="3"/>
            <w:tcMar>
              <w:top w:w="30" w:type="dxa"/>
              <w:left w:w="20" w:type="dxa"/>
              <w:bottom w:w="30" w:type="dxa"/>
              <w:right w:w="20" w:type="dxa"/>
            </w:tcMar>
            <w:hideMark/>
          </w:tcPr>
          <w:p w14:paraId="7EFDDCB3" w14:textId="77777777" w:rsidR="00000000" w:rsidRDefault="00405D16">
            <w:pPr>
              <w:spacing w:after="100"/>
              <w:jc w:val="center"/>
              <w:rPr>
                <w:rFonts w:eastAsia="Times New Roman"/>
              </w:rPr>
            </w:pPr>
            <w:r>
              <w:rPr>
                <w:rFonts w:eastAsia="Times New Roman"/>
                <w:color w:val="000000"/>
                <w:sz w:val="17"/>
                <w:szCs w:val="17"/>
              </w:rPr>
              <w:t>4.1.1</w:t>
            </w:r>
          </w:p>
        </w:tc>
        <w:tc>
          <w:tcPr>
            <w:tcW w:w="0" w:type="auto"/>
            <w:gridSpan w:val="3"/>
            <w:tcMar>
              <w:top w:w="0" w:type="dxa"/>
              <w:left w:w="20" w:type="dxa"/>
              <w:bottom w:w="0" w:type="dxa"/>
              <w:right w:w="20" w:type="dxa"/>
            </w:tcMar>
            <w:vAlign w:val="center"/>
            <w:hideMark/>
          </w:tcPr>
          <w:p w14:paraId="6C08BCC1"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263E3086" w14:textId="77777777" w:rsidR="00000000" w:rsidRDefault="00405D16">
            <w:pPr>
              <w:spacing w:after="100"/>
              <w:jc w:val="both"/>
              <w:rPr>
                <w:rFonts w:eastAsia="Times New Roman"/>
              </w:rPr>
            </w:pPr>
            <w:hyperlink r:id="rId15" w:history="1">
              <w:r>
                <w:rPr>
                  <w:rStyle w:val="a3"/>
                  <w:rFonts w:eastAsia="Times New Roman"/>
                  <w:sz w:val="17"/>
                  <w:szCs w:val="17"/>
                </w:rPr>
                <w:t>Specimen certificate representing the common stock of Capital One Financial Corporation</w:t>
              </w:r>
              <w:r>
                <w:rPr>
                  <w:rStyle w:val="a3"/>
                  <w:rFonts w:eastAsia="Times New Roman"/>
                  <w:sz w:val="17"/>
                  <w:szCs w:val="17"/>
                </w:rPr>
                <w:t xml:space="preserve"> (incorporated by reference to Exhibit 4.1 of the 2003 Form 10-K).</w:t>
              </w:r>
            </w:hyperlink>
          </w:p>
        </w:tc>
      </w:tr>
      <w:tr w:rsidR="00000000" w14:paraId="6B753D17" w14:textId="77777777">
        <w:trPr>
          <w:jc w:val="center"/>
        </w:trPr>
        <w:tc>
          <w:tcPr>
            <w:tcW w:w="0" w:type="auto"/>
            <w:gridSpan w:val="3"/>
            <w:tcMar>
              <w:top w:w="30" w:type="dxa"/>
              <w:left w:w="20" w:type="dxa"/>
              <w:bottom w:w="30" w:type="dxa"/>
              <w:right w:w="20" w:type="dxa"/>
            </w:tcMar>
            <w:hideMark/>
          </w:tcPr>
          <w:p w14:paraId="19196CB7" w14:textId="77777777" w:rsidR="00000000" w:rsidRDefault="00405D16">
            <w:pPr>
              <w:spacing w:after="100"/>
              <w:jc w:val="center"/>
              <w:rPr>
                <w:rFonts w:eastAsia="Times New Roman"/>
              </w:rPr>
            </w:pPr>
            <w:r>
              <w:rPr>
                <w:rFonts w:eastAsia="Times New Roman"/>
                <w:color w:val="000000"/>
                <w:sz w:val="17"/>
                <w:szCs w:val="17"/>
              </w:rPr>
              <w:t>4.1.2</w:t>
            </w:r>
          </w:p>
        </w:tc>
        <w:tc>
          <w:tcPr>
            <w:tcW w:w="0" w:type="auto"/>
            <w:gridSpan w:val="3"/>
            <w:tcMar>
              <w:top w:w="0" w:type="dxa"/>
              <w:left w:w="20" w:type="dxa"/>
              <w:bottom w:w="0" w:type="dxa"/>
              <w:right w:w="20" w:type="dxa"/>
            </w:tcMar>
            <w:vAlign w:val="center"/>
            <w:hideMark/>
          </w:tcPr>
          <w:p w14:paraId="7F6C71FB"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7E5DB1A7" w14:textId="77777777" w:rsidR="00000000" w:rsidRDefault="00405D16">
            <w:pPr>
              <w:spacing w:after="100"/>
              <w:jc w:val="both"/>
              <w:rPr>
                <w:rFonts w:eastAsia="Times New Roman"/>
              </w:rPr>
            </w:pPr>
            <w:hyperlink r:id="rId16" w:history="1">
              <w:r>
                <w:rPr>
                  <w:rStyle w:val="a3"/>
                  <w:rFonts w:eastAsia="Times New Roman"/>
                  <w:sz w:val="17"/>
                  <w:szCs w:val="17"/>
                </w:rPr>
                <w:t>Warrant Agreement, dated December 3, 2009, between Capital One Financial Corporatio</w:t>
              </w:r>
              <w:r>
                <w:rPr>
                  <w:rStyle w:val="a3"/>
                  <w:rFonts w:eastAsia="Times New Roman"/>
                  <w:sz w:val="17"/>
                  <w:szCs w:val="17"/>
                </w:rPr>
                <w:t>n and Computershare Trust Company, N.A. (incorporated by reference to the Exhibit 4.1 of the Form 8-A, filed on December 4, 2009).</w:t>
              </w:r>
            </w:hyperlink>
          </w:p>
        </w:tc>
      </w:tr>
      <w:tr w:rsidR="00000000" w14:paraId="75CF7AAC" w14:textId="77777777">
        <w:trPr>
          <w:jc w:val="center"/>
        </w:trPr>
        <w:tc>
          <w:tcPr>
            <w:tcW w:w="0" w:type="auto"/>
            <w:gridSpan w:val="3"/>
            <w:tcMar>
              <w:top w:w="30" w:type="dxa"/>
              <w:left w:w="20" w:type="dxa"/>
              <w:bottom w:w="30" w:type="dxa"/>
              <w:right w:w="20" w:type="dxa"/>
            </w:tcMar>
            <w:hideMark/>
          </w:tcPr>
          <w:p w14:paraId="0BB58B14" w14:textId="77777777" w:rsidR="00000000" w:rsidRDefault="00405D16">
            <w:pPr>
              <w:spacing w:after="100"/>
              <w:jc w:val="center"/>
              <w:rPr>
                <w:rFonts w:eastAsia="Times New Roman"/>
              </w:rPr>
            </w:pPr>
            <w:r>
              <w:rPr>
                <w:rFonts w:eastAsia="Times New Roman"/>
                <w:color w:val="000000"/>
                <w:sz w:val="17"/>
                <w:szCs w:val="17"/>
              </w:rPr>
              <w:t>4.1.3</w:t>
            </w:r>
          </w:p>
        </w:tc>
        <w:tc>
          <w:tcPr>
            <w:tcW w:w="0" w:type="auto"/>
            <w:gridSpan w:val="3"/>
            <w:tcMar>
              <w:top w:w="0" w:type="dxa"/>
              <w:left w:w="20" w:type="dxa"/>
              <w:bottom w:w="0" w:type="dxa"/>
              <w:right w:w="20" w:type="dxa"/>
            </w:tcMar>
            <w:vAlign w:val="center"/>
            <w:hideMark/>
          </w:tcPr>
          <w:p w14:paraId="4EA52B26"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31752314" w14:textId="77777777" w:rsidR="00000000" w:rsidRDefault="00405D16">
            <w:pPr>
              <w:spacing w:after="100"/>
              <w:jc w:val="both"/>
              <w:rPr>
                <w:rFonts w:eastAsia="Times New Roman"/>
              </w:rPr>
            </w:pPr>
            <w:hyperlink r:id="rId17" w:history="1">
              <w:r>
                <w:rPr>
                  <w:rStyle w:val="a3"/>
                  <w:rFonts w:eastAsia="Times New Roman"/>
                  <w:sz w:val="17"/>
                  <w:szCs w:val="17"/>
                </w:rPr>
                <w:t>Deposit Agreement, dated August 20, 2012 (incorporated by reference to Exhibit 4.1 of the Current Report on Form 8-K, filed on August 20, 2012).</w:t>
              </w:r>
            </w:hyperlink>
          </w:p>
        </w:tc>
      </w:tr>
      <w:tr w:rsidR="00000000" w14:paraId="02F3365D" w14:textId="77777777">
        <w:trPr>
          <w:jc w:val="center"/>
        </w:trPr>
        <w:tc>
          <w:tcPr>
            <w:tcW w:w="0" w:type="auto"/>
            <w:gridSpan w:val="3"/>
            <w:tcMar>
              <w:top w:w="30" w:type="dxa"/>
              <w:left w:w="20" w:type="dxa"/>
              <w:bottom w:w="30" w:type="dxa"/>
              <w:right w:w="20" w:type="dxa"/>
            </w:tcMar>
            <w:hideMark/>
          </w:tcPr>
          <w:p w14:paraId="33A21278" w14:textId="77777777" w:rsidR="00000000" w:rsidRDefault="00405D16">
            <w:pPr>
              <w:spacing w:after="100"/>
              <w:jc w:val="center"/>
              <w:rPr>
                <w:rFonts w:eastAsia="Times New Roman"/>
              </w:rPr>
            </w:pPr>
            <w:r>
              <w:rPr>
                <w:rFonts w:eastAsia="Times New Roman"/>
                <w:color w:val="000000"/>
                <w:sz w:val="17"/>
                <w:szCs w:val="17"/>
              </w:rPr>
              <w:t>4.2</w:t>
            </w:r>
          </w:p>
        </w:tc>
        <w:tc>
          <w:tcPr>
            <w:tcW w:w="0" w:type="auto"/>
            <w:gridSpan w:val="3"/>
            <w:tcMar>
              <w:top w:w="0" w:type="dxa"/>
              <w:left w:w="20" w:type="dxa"/>
              <w:bottom w:w="0" w:type="dxa"/>
              <w:right w:w="20" w:type="dxa"/>
            </w:tcMar>
            <w:vAlign w:val="center"/>
            <w:hideMark/>
          </w:tcPr>
          <w:p w14:paraId="6BAB5457"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26CF8A23" w14:textId="77777777" w:rsidR="00000000" w:rsidRDefault="00405D16">
            <w:pPr>
              <w:spacing w:after="100"/>
              <w:jc w:val="both"/>
              <w:rPr>
                <w:rFonts w:eastAsia="Times New Roman"/>
              </w:rPr>
            </w:pPr>
            <w:r>
              <w:rPr>
                <w:rFonts w:eastAsia="Times New Roman"/>
                <w:color w:val="000000"/>
                <w:sz w:val="17"/>
                <w:szCs w:val="17"/>
              </w:rPr>
              <w:t>Pursuant to Item 601(b)(4)(iii)(A) of Regulation S-K, copies of instruments defining the rights of holders of long-term debt are not filed. The Company agrees to furnish a copy thereof to the SEC upon request.</w:t>
            </w:r>
          </w:p>
        </w:tc>
      </w:tr>
      <w:tr w:rsidR="00000000" w14:paraId="5E799A42" w14:textId="77777777">
        <w:trPr>
          <w:jc w:val="center"/>
        </w:trPr>
        <w:tc>
          <w:tcPr>
            <w:tcW w:w="0" w:type="auto"/>
            <w:gridSpan w:val="3"/>
            <w:vAlign w:val="center"/>
            <w:hideMark/>
          </w:tcPr>
          <w:p w14:paraId="47793280" w14:textId="77777777" w:rsidR="00000000" w:rsidRDefault="00405D16">
            <w:pPr>
              <w:spacing w:after="100"/>
              <w:jc w:val="both"/>
              <w:rPr>
                <w:rFonts w:eastAsia="Times New Roman"/>
              </w:rPr>
            </w:pPr>
          </w:p>
        </w:tc>
        <w:tc>
          <w:tcPr>
            <w:tcW w:w="0" w:type="auto"/>
            <w:gridSpan w:val="3"/>
            <w:vAlign w:val="center"/>
            <w:hideMark/>
          </w:tcPr>
          <w:p w14:paraId="0F93327F" w14:textId="77777777" w:rsidR="00000000" w:rsidRDefault="00405D16">
            <w:pPr>
              <w:spacing w:after="100"/>
              <w:rPr>
                <w:rFonts w:eastAsia="Times New Roman"/>
                <w:sz w:val="20"/>
                <w:szCs w:val="20"/>
              </w:rPr>
            </w:pPr>
          </w:p>
        </w:tc>
        <w:tc>
          <w:tcPr>
            <w:tcW w:w="0" w:type="auto"/>
            <w:gridSpan w:val="3"/>
            <w:vAlign w:val="center"/>
            <w:hideMark/>
          </w:tcPr>
          <w:p w14:paraId="1D04DC06" w14:textId="77777777" w:rsidR="00000000" w:rsidRDefault="00405D16">
            <w:pPr>
              <w:spacing w:after="100"/>
              <w:rPr>
                <w:rFonts w:eastAsia="Times New Roman"/>
                <w:sz w:val="20"/>
                <w:szCs w:val="20"/>
              </w:rPr>
            </w:pPr>
          </w:p>
        </w:tc>
      </w:tr>
      <w:tr w:rsidR="00000000" w14:paraId="0E185F55" w14:textId="77777777">
        <w:trPr>
          <w:jc w:val="center"/>
        </w:trPr>
        <w:tc>
          <w:tcPr>
            <w:tcW w:w="0" w:type="auto"/>
            <w:gridSpan w:val="3"/>
            <w:vAlign w:val="center"/>
            <w:hideMark/>
          </w:tcPr>
          <w:p w14:paraId="7A1FCC23" w14:textId="77777777" w:rsidR="00000000" w:rsidRDefault="00405D16">
            <w:pPr>
              <w:spacing w:after="100"/>
              <w:rPr>
                <w:rFonts w:eastAsia="Times New Roman"/>
                <w:sz w:val="20"/>
                <w:szCs w:val="20"/>
              </w:rPr>
            </w:pPr>
          </w:p>
        </w:tc>
        <w:tc>
          <w:tcPr>
            <w:tcW w:w="0" w:type="auto"/>
            <w:gridSpan w:val="3"/>
            <w:vAlign w:val="center"/>
            <w:hideMark/>
          </w:tcPr>
          <w:p w14:paraId="30E745B7" w14:textId="77777777" w:rsidR="00000000" w:rsidRDefault="00405D16">
            <w:pPr>
              <w:spacing w:after="100"/>
              <w:rPr>
                <w:rFonts w:eastAsia="Times New Roman"/>
                <w:sz w:val="20"/>
                <w:szCs w:val="20"/>
              </w:rPr>
            </w:pPr>
          </w:p>
        </w:tc>
        <w:tc>
          <w:tcPr>
            <w:tcW w:w="0" w:type="auto"/>
            <w:gridSpan w:val="3"/>
            <w:vAlign w:val="center"/>
            <w:hideMark/>
          </w:tcPr>
          <w:p w14:paraId="336A3FA5" w14:textId="77777777" w:rsidR="00000000" w:rsidRDefault="00405D16">
            <w:pPr>
              <w:spacing w:after="100"/>
              <w:rPr>
                <w:rFonts w:eastAsia="Times New Roman"/>
                <w:sz w:val="20"/>
                <w:szCs w:val="20"/>
              </w:rPr>
            </w:pPr>
          </w:p>
        </w:tc>
      </w:tr>
      <w:tr w:rsidR="00000000" w14:paraId="5C706D7B" w14:textId="77777777">
        <w:trPr>
          <w:jc w:val="center"/>
        </w:trPr>
        <w:tc>
          <w:tcPr>
            <w:tcW w:w="0" w:type="auto"/>
            <w:gridSpan w:val="3"/>
            <w:vAlign w:val="center"/>
            <w:hideMark/>
          </w:tcPr>
          <w:p w14:paraId="580DF0CE" w14:textId="77777777" w:rsidR="00000000" w:rsidRDefault="00405D16">
            <w:pPr>
              <w:spacing w:after="100"/>
              <w:rPr>
                <w:rFonts w:eastAsia="Times New Roman"/>
                <w:sz w:val="20"/>
                <w:szCs w:val="20"/>
              </w:rPr>
            </w:pPr>
          </w:p>
        </w:tc>
        <w:tc>
          <w:tcPr>
            <w:tcW w:w="0" w:type="auto"/>
            <w:gridSpan w:val="3"/>
            <w:vAlign w:val="center"/>
            <w:hideMark/>
          </w:tcPr>
          <w:p w14:paraId="29DC0021" w14:textId="77777777" w:rsidR="00000000" w:rsidRDefault="00405D16">
            <w:pPr>
              <w:spacing w:after="100"/>
              <w:rPr>
                <w:rFonts w:eastAsia="Times New Roman"/>
                <w:sz w:val="20"/>
                <w:szCs w:val="20"/>
              </w:rPr>
            </w:pPr>
          </w:p>
        </w:tc>
        <w:tc>
          <w:tcPr>
            <w:tcW w:w="0" w:type="auto"/>
            <w:gridSpan w:val="3"/>
            <w:vAlign w:val="center"/>
            <w:hideMark/>
          </w:tcPr>
          <w:p w14:paraId="77FDBE0A" w14:textId="77777777" w:rsidR="00000000" w:rsidRDefault="00405D16">
            <w:pPr>
              <w:spacing w:after="100"/>
              <w:rPr>
                <w:rFonts w:eastAsia="Times New Roman"/>
                <w:sz w:val="20"/>
                <w:szCs w:val="20"/>
              </w:rPr>
            </w:pPr>
          </w:p>
        </w:tc>
      </w:tr>
      <w:tr w:rsidR="00000000" w14:paraId="3031E1E4" w14:textId="77777777">
        <w:trPr>
          <w:jc w:val="center"/>
        </w:trPr>
        <w:tc>
          <w:tcPr>
            <w:tcW w:w="0" w:type="auto"/>
            <w:gridSpan w:val="3"/>
            <w:tcMar>
              <w:top w:w="30" w:type="dxa"/>
              <w:left w:w="20" w:type="dxa"/>
              <w:bottom w:w="30" w:type="dxa"/>
              <w:right w:w="20" w:type="dxa"/>
            </w:tcMar>
            <w:hideMark/>
          </w:tcPr>
          <w:p w14:paraId="6024FE98" w14:textId="77777777" w:rsidR="00000000" w:rsidRDefault="00405D16">
            <w:pPr>
              <w:spacing w:after="100"/>
              <w:jc w:val="center"/>
              <w:rPr>
                <w:rFonts w:eastAsia="Times New Roman"/>
              </w:rPr>
            </w:pPr>
            <w:r>
              <w:rPr>
                <w:rFonts w:eastAsia="Times New Roman"/>
                <w:color w:val="000000"/>
                <w:sz w:val="17"/>
                <w:szCs w:val="17"/>
              </w:rPr>
              <w:t>31.1*</w:t>
            </w:r>
          </w:p>
        </w:tc>
        <w:tc>
          <w:tcPr>
            <w:tcW w:w="0" w:type="auto"/>
            <w:gridSpan w:val="3"/>
            <w:tcMar>
              <w:top w:w="0" w:type="dxa"/>
              <w:left w:w="20" w:type="dxa"/>
              <w:bottom w:w="0" w:type="dxa"/>
              <w:right w:w="20" w:type="dxa"/>
            </w:tcMar>
            <w:vAlign w:val="center"/>
            <w:hideMark/>
          </w:tcPr>
          <w:p w14:paraId="0647F12D"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0FC0AAA" w14:textId="77777777" w:rsidR="00000000" w:rsidRDefault="00405D16">
            <w:pPr>
              <w:spacing w:after="100"/>
              <w:jc w:val="both"/>
              <w:rPr>
                <w:rFonts w:eastAsia="Times New Roman"/>
              </w:rPr>
            </w:pPr>
            <w:hyperlink r:id="rId18" w:history="1">
              <w:r>
                <w:rPr>
                  <w:rStyle w:val="a3"/>
                  <w:rFonts w:eastAsia="Times New Roman"/>
                  <w:sz w:val="17"/>
                  <w:szCs w:val="17"/>
                </w:rPr>
                <w:t>Certification of Richard D. Fairbank.</w:t>
              </w:r>
            </w:hyperlink>
          </w:p>
        </w:tc>
      </w:tr>
      <w:tr w:rsidR="00000000" w14:paraId="1B511DA4" w14:textId="77777777">
        <w:trPr>
          <w:jc w:val="center"/>
        </w:trPr>
        <w:tc>
          <w:tcPr>
            <w:tcW w:w="0" w:type="auto"/>
            <w:gridSpan w:val="3"/>
            <w:tcMar>
              <w:top w:w="30" w:type="dxa"/>
              <w:left w:w="20" w:type="dxa"/>
              <w:bottom w:w="30" w:type="dxa"/>
              <w:right w:w="20" w:type="dxa"/>
            </w:tcMar>
            <w:hideMark/>
          </w:tcPr>
          <w:p w14:paraId="04B3C245" w14:textId="77777777" w:rsidR="00000000" w:rsidRDefault="00405D16">
            <w:pPr>
              <w:spacing w:after="100"/>
              <w:jc w:val="center"/>
              <w:rPr>
                <w:rFonts w:eastAsia="Times New Roman"/>
              </w:rPr>
            </w:pPr>
            <w:r>
              <w:rPr>
                <w:rFonts w:eastAsia="Times New Roman"/>
                <w:color w:val="000000"/>
                <w:sz w:val="17"/>
                <w:szCs w:val="17"/>
              </w:rPr>
              <w:t>31.2*</w:t>
            </w:r>
          </w:p>
        </w:tc>
        <w:tc>
          <w:tcPr>
            <w:tcW w:w="0" w:type="auto"/>
            <w:gridSpan w:val="3"/>
            <w:tcMar>
              <w:top w:w="0" w:type="dxa"/>
              <w:left w:w="20" w:type="dxa"/>
              <w:bottom w:w="0" w:type="dxa"/>
              <w:right w:w="20" w:type="dxa"/>
            </w:tcMar>
            <w:vAlign w:val="center"/>
            <w:hideMark/>
          </w:tcPr>
          <w:p w14:paraId="7F308DC1"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4BB2A44" w14:textId="77777777" w:rsidR="00000000" w:rsidRDefault="00405D16">
            <w:pPr>
              <w:spacing w:after="100"/>
              <w:jc w:val="both"/>
              <w:rPr>
                <w:rFonts w:eastAsia="Times New Roman"/>
              </w:rPr>
            </w:pPr>
            <w:hyperlink r:id="rId19" w:history="1">
              <w:r>
                <w:rPr>
                  <w:rStyle w:val="a3"/>
                  <w:rFonts w:eastAsia="Times New Roman"/>
                  <w:sz w:val="17"/>
                  <w:szCs w:val="17"/>
                </w:rPr>
                <w:t>Certification of Andrew M. Young.</w:t>
              </w:r>
            </w:hyperlink>
          </w:p>
        </w:tc>
      </w:tr>
      <w:tr w:rsidR="00000000" w14:paraId="4D111456" w14:textId="77777777">
        <w:trPr>
          <w:jc w:val="center"/>
        </w:trPr>
        <w:tc>
          <w:tcPr>
            <w:tcW w:w="0" w:type="auto"/>
            <w:gridSpan w:val="3"/>
            <w:tcMar>
              <w:top w:w="30" w:type="dxa"/>
              <w:left w:w="20" w:type="dxa"/>
              <w:bottom w:w="30" w:type="dxa"/>
              <w:right w:w="20" w:type="dxa"/>
            </w:tcMar>
            <w:hideMark/>
          </w:tcPr>
          <w:p w14:paraId="11EAD321" w14:textId="77777777" w:rsidR="00000000" w:rsidRDefault="00405D16">
            <w:pPr>
              <w:spacing w:after="100"/>
              <w:jc w:val="center"/>
              <w:rPr>
                <w:rFonts w:eastAsia="Times New Roman"/>
              </w:rPr>
            </w:pPr>
            <w:r>
              <w:rPr>
                <w:rFonts w:eastAsia="Times New Roman"/>
                <w:color w:val="000000"/>
                <w:sz w:val="17"/>
                <w:szCs w:val="17"/>
              </w:rPr>
              <w:t>32.1**</w:t>
            </w:r>
          </w:p>
        </w:tc>
        <w:tc>
          <w:tcPr>
            <w:tcW w:w="0" w:type="auto"/>
            <w:gridSpan w:val="3"/>
            <w:tcMar>
              <w:top w:w="0" w:type="dxa"/>
              <w:left w:w="20" w:type="dxa"/>
              <w:bottom w:w="0" w:type="dxa"/>
              <w:right w:w="20" w:type="dxa"/>
            </w:tcMar>
            <w:vAlign w:val="center"/>
            <w:hideMark/>
          </w:tcPr>
          <w:p w14:paraId="78B25574"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C853361" w14:textId="77777777" w:rsidR="00000000" w:rsidRDefault="00405D16">
            <w:pPr>
              <w:spacing w:after="100"/>
              <w:jc w:val="both"/>
              <w:rPr>
                <w:rFonts w:eastAsia="Times New Roman"/>
              </w:rPr>
            </w:pPr>
            <w:hyperlink r:id="rId20" w:history="1">
              <w:r>
                <w:rPr>
                  <w:rStyle w:val="a3"/>
                  <w:rFonts w:eastAsia="Times New Roman"/>
                  <w:sz w:val="17"/>
                  <w:szCs w:val="17"/>
                </w:rPr>
                <w:t>Certification of Richard D. Fairbank.</w:t>
              </w:r>
            </w:hyperlink>
          </w:p>
        </w:tc>
      </w:tr>
      <w:tr w:rsidR="00000000" w14:paraId="23784158" w14:textId="77777777">
        <w:trPr>
          <w:jc w:val="center"/>
        </w:trPr>
        <w:tc>
          <w:tcPr>
            <w:tcW w:w="0" w:type="auto"/>
            <w:gridSpan w:val="3"/>
            <w:tcMar>
              <w:top w:w="30" w:type="dxa"/>
              <w:left w:w="20" w:type="dxa"/>
              <w:bottom w:w="30" w:type="dxa"/>
              <w:right w:w="20" w:type="dxa"/>
            </w:tcMar>
            <w:hideMark/>
          </w:tcPr>
          <w:p w14:paraId="23460A13" w14:textId="77777777" w:rsidR="00000000" w:rsidRDefault="00405D16">
            <w:pPr>
              <w:spacing w:after="100"/>
              <w:jc w:val="center"/>
              <w:rPr>
                <w:rFonts w:eastAsia="Times New Roman"/>
              </w:rPr>
            </w:pPr>
            <w:r>
              <w:rPr>
                <w:rFonts w:eastAsia="Times New Roman"/>
                <w:color w:val="000000"/>
                <w:sz w:val="17"/>
                <w:szCs w:val="17"/>
              </w:rPr>
              <w:t>32.2**</w:t>
            </w:r>
          </w:p>
        </w:tc>
        <w:tc>
          <w:tcPr>
            <w:tcW w:w="0" w:type="auto"/>
            <w:gridSpan w:val="3"/>
            <w:tcMar>
              <w:top w:w="0" w:type="dxa"/>
              <w:left w:w="20" w:type="dxa"/>
              <w:bottom w:w="0" w:type="dxa"/>
              <w:right w:w="20" w:type="dxa"/>
            </w:tcMar>
            <w:vAlign w:val="center"/>
            <w:hideMark/>
          </w:tcPr>
          <w:p w14:paraId="50FD44C8"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F448A3E" w14:textId="77777777" w:rsidR="00000000" w:rsidRDefault="00405D16">
            <w:pPr>
              <w:spacing w:after="100"/>
              <w:jc w:val="both"/>
              <w:rPr>
                <w:rFonts w:eastAsia="Times New Roman"/>
              </w:rPr>
            </w:pPr>
            <w:hyperlink r:id="rId21" w:history="1">
              <w:r>
                <w:rPr>
                  <w:rStyle w:val="a3"/>
                  <w:rFonts w:eastAsia="Times New Roman"/>
                  <w:sz w:val="17"/>
                  <w:szCs w:val="17"/>
                </w:rPr>
                <w:t>Certification of Andrew M. Young.</w:t>
              </w:r>
            </w:hyperlink>
          </w:p>
        </w:tc>
      </w:tr>
      <w:tr w:rsidR="00000000" w14:paraId="6FDCCDF9" w14:textId="77777777">
        <w:trPr>
          <w:jc w:val="center"/>
        </w:trPr>
        <w:tc>
          <w:tcPr>
            <w:tcW w:w="0" w:type="auto"/>
            <w:gridSpan w:val="3"/>
            <w:tcMar>
              <w:top w:w="30" w:type="dxa"/>
              <w:left w:w="20" w:type="dxa"/>
              <w:bottom w:w="30" w:type="dxa"/>
              <w:right w:w="20" w:type="dxa"/>
            </w:tcMar>
            <w:hideMark/>
          </w:tcPr>
          <w:p w14:paraId="576F981F" w14:textId="77777777" w:rsidR="00000000" w:rsidRDefault="00405D16">
            <w:pPr>
              <w:spacing w:after="100"/>
              <w:jc w:val="center"/>
              <w:rPr>
                <w:rFonts w:eastAsia="Times New Roman"/>
              </w:rPr>
            </w:pPr>
            <w:r>
              <w:rPr>
                <w:rFonts w:eastAsia="Times New Roman"/>
                <w:color w:val="000000"/>
                <w:sz w:val="17"/>
                <w:szCs w:val="17"/>
              </w:rPr>
              <w:t>101.INS</w:t>
            </w:r>
          </w:p>
        </w:tc>
        <w:tc>
          <w:tcPr>
            <w:tcW w:w="0" w:type="auto"/>
            <w:gridSpan w:val="3"/>
            <w:tcMar>
              <w:top w:w="0" w:type="dxa"/>
              <w:left w:w="20" w:type="dxa"/>
              <w:bottom w:w="0" w:type="dxa"/>
              <w:right w:w="20" w:type="dxa"/>
            </w:tcMar>
            <w:vAlign w:val="center"/>
            <w:hideMark/>
          </w:tcPr>
          <w:p w14:paraId="6F2BBE37"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C2D45D4" w14:textId="77777777" w:rsidR="00000000" w:rsidRDefault="00405D16">
            <w:pPr>
              <w:spacing w:after="100"/>
              <w:jc w:val="both"/>
              <w:rPr>
                <w:rFonts w:eastAsia="Times New Roman"/>
              </w:rPr>
            </w:pPr>
            <w:r>
              <w:rPr>
                <w:rFonts w:eastAsia="Times New Roman"/>
                <w:color w:val="000000"/>
                <w:sz w:val="17"/>
                <w:szCs w:val="17"/>
              </w:rPr>
              <w:t>XBRL Instance Document - the instance document does not appear in t</w:t>
            </w:r>
            <w:r>
              <w:rPr>
                <w:rFonts w:eastAsia="Times New Roman"/>
                <w:color w:val="000000"/>
                <w:sz w:val="17"/>
                <w:szCs w:val="17"/>
              </w:rPr>
              <w:t>he Interactive Data File because its XBRL tags are embedded within the Inline XBRL document.</w:t>
            </w:r>
          </w:p>
        </w:tc>
      </w:tr>
      <w:tr w:rsidR="00000000" w14:paraId="0945E9ED" w14:textId="77777777">
        <w:trPr>
          <w:jc w:val="center"/>
        </w:trPr>
        <w:tc>
          <w:tcPr>
            <w:tcW w:w="0" w:type="auto"/>
            <w:gridSpan w:val="3"/>
            <w:tcMar>
              <w:top w:w="30" w:type="dxa"/>
              <w:left w:w="20" w:type="dxa"/>
              <w:bottom w:w="30" w:type="dxa"/>
              <w:right w:w="20" w:type="dxa"/>
            </w:tcMar>
            <w:hideMark/>
          </w:tcPr>
          <w:p w14:paraId="04D6C252" w14:textId="77777777" w:rsidR="00000000" w:rsidRDefault="00405D16">
            <w:pPr>
              <w:spacing w:after="100"/>
              <w:jc w:val="center"/>
              <w:rPr>
                <w:rFonts w:eastAsia="Times New Roman"/>
              </w:rPr>
            </w:pPr>
            <w:r>
              <w:rPr>
                <w:rFonts w:eastAsia="Times New Roman"/>
                <w:color w:val="000000"/>
                <w:sz w:val="17"/>
                <w:szCs w:val="17"/>
              </w:rPr>
              <w:t>101.SCH*</w:t>
            </w:r>
          </w:p>
        </w:tc>
        <w:tc>
          <w:tcPr>
            <w:tcW w:w="0" w:type="auto"/>
            <w:gridSpan w:val="3"/>
            <w:tcMar>
              <w:top w:w="0" w:type="dxa"/>
              <w:left w:w="20" w:type="dxa"/>
              <w:bottom w:w="0" w:type="dxa"/>
              <w:right w:w="20" w:type="dxa"/>
            </w:tcMar>
            <w:vAlign w:val="center"/>
            <w:hideMark/>
          </w:tcPr>
          <w:p w14:paraId="3DE976D1"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07FFE27" w14:textId="77777777" w:rsidR="00000000" w:rsidRDefault="00405D16">
            <w:pPr>
              <w:spacing w:after="100"/>
              <w:jc w:val="both"/>
              <w:rPr>
                <w:rFonts w:eastAsia="Times New Roman"/>
              </w:rPr>
            </w:pPr>
            <w:r>
              <w:rPr>
                <w:rFonts w:eastAsia="Times New Roman"/>
                <w:color w:val="000000"/>
                <w:sz w:val="17"/>
                <w:szCs w:val="17"/>
              </w:rPr>
              <w:t>Inline XBRL Taxonomy Extension Schema Document.</w:t>
            </w:r>
          </w:p>
        </w:tc>
      </w:tr>
      <w:tr w:rsidR="00000000" w14:paraId="2C5E6CF6" w14:textId="77777777">
        <w:trPr>
          <w:jc w:val="center"/>
        </w:trPr>
        <w:tc>
          <w:tcPr>
            <w:tcW w:w="0" w:type="auto"/>
            <w:gridSpan w:val="3"/>
            <w:tcMar>
              <w:top w:w="30" w:type="dxa"/>
              <w:left w:w="20" w:type="dxa"/>
              <w:bottom w:w="30" w:type="dxa"/>
              <w:right w:w="20" w:type="dxa"/>
            </w:tcMar>
            <w:hideMark/>
          </w:tcPr>
          <w:p w14:paraId="5A2BCEB6" w14:textId="77777777" w:rsidR="00000000" w:rsidRDefault="00405D16">
            <w:pPr>
              <w:spacing w:after="100"/>
              <w:jc w:val="center"/>
              <w:rPr>
                <w:rFonts w:eastAsia="Times New Roman"/>
              </w:rPr>
            </w:pPr>
            <w:r>
              <w:rPr>
                <w:rFonts w:eastAsia="Times New Roman"/>
                <w:color w:val="000000"/>
                <w:sz w:val="17"/>
                <w:szCs w:val="17"/>
              </w:rPr>
              <w:t>101.CAL*</w:t>
            </w:r>
          </w:p>
        </w:tc>
        <w:tc>
          <w:tcPr>
            <w:tcW w:w="0" w:type="auto"/>
            <w:gridSpan w:val="3"/>
            <w:tcMar>
              <w:top w:w="0" w:type="dxa"/>
              <w:left w:w="20" w:type="dxa"/>
              <w:bottom w:w="0" w:type="dxa"/>
              <w:right w:w="20" w:type="dxa"/>
            </w:tcMar>
            <w:vAlign w:val="center"/>
            <w:hideMark/>
          </w:tcPr>
          <w:p w14:paraId="5DA5FCFF"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3E7BD85" w14:textId="77777777" w:rsidR="00000000" w:rsidRDefault="00405D16">
            <w:pPr>
              <w:spacing w:after="100"/>
              <w:jc w:val="both"/>
              <w:rPr>
                <w:rFonts w:eastAsia="Times New Roman"/>
              </w:rPr>
            </w:pPr>
            <w:r>
              <w:rPr>
                <w:rFonts w:eastAsia="Times New Roman"/>
                <w:color w:val="000000"/>
                <w:sz w:val="17"/>
                <w:szCs w:val="17"/>
              </w:rPr>
              <w:t>Inline XBRL Taxonomy Extension Calculation Linkbase Document.</w:t>
            </w:r>
          </w:p>
        </w:tc>
      </w:tr>
      <w:tr w:rsidR="00000000" w14:paraId="5EC6ABB0" w14:textId="77777777">
        <w:trPr>
          <w:jc w:val="center"/>
        </w:trPr>
        <w:tc>
          <w:tcPr>
            <w:tcW w:w="0" w:type="auto"/>
            <w:gridSpan w:val="3"/>
            <w:tcMar>
              <w:top w:w="30" w:type="dxa"/>
              <w:left w:w="20" w:type="dxa"/>
              <w:bottom w:w="30" w:type="dxa"/>
              <w:right w:w="20" w:type="dxa"/>
            </w:tcMar>
            <w:hideMark/>
          </w:tcPr>
          <w:p w14:paraId="3D86E472" w14:textId="77777777" w:rsidR="00000000" w:rsidRDefault="00405D16">
            <w:pPr>
              <w:spacing w:after="100"/>
              <w:jc w:val="center"/>
              <w:rPr>
                <w:rFonts w:eastAsia="Times New Roman"/>
              </w:rPr>
            </w:pPr>
            <w:r>
              <w:rPr>
                <w:rFonts w:eastAsia="Times New Roman"/>
                <w:color w:val="000000"/>
                <w:sz w:val="17"/>
                <w:szCs w:val="17"/>
              </w:rPr>
              <w:t>101.DEF*</w:t>
            </w:r>
          </w:p>
        </w:tc>
        <w:tc>
          <w:tcPr>
            <w:tcW w:w="0" w:type="auto"/>
            <w:gridSpan w:val="3"/>
            <w:tcMar>
              <w:top w:w="0" w:type="dxa"/>
              <w:left w:w="20" w:type="dxa"/>
              <w:bottom w:w="0" w:type="dxa"/>
              <w:right w:w="20" w:type="dxa"/>
            </w:tcMar>
            <w:vAlign w:val="center"/>
            <w:hideMark/>
          </w:tcPr>
          <w:p w14:paraId="7AF6C366"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7B32606" w14:textId="77777777" w:rsidR="00000000" w:rsidRDefault="00405D16">
            <w:pPr>
              <w:spacing w:after="100"/>
              <w:jc w:val="both"/>
              <w:rPr>
                <w:rFonts w:eastAsia="Times New Roman"/>
              </w:rPr>
            </w:pPr>
            <w:r>
              <w:rPr>
                <w:rFonts w:eastAsia="Times New Roman"/>
                <w:color w:val="000000"/>
                <w:sz w:val="17"/>
                <w:szCs w:val="17"/>
              </w:rPr>
              <w:t>Inline XBRL Taxonomy Extension Definition Linkbase Document.</w:t>
            </w:r>
          </w:p>
        </w:tc>
      </w:tr>
      <w:tr w:rsidR="00000000" w14:paraId="5F7F69E7" w14:textId="77777777">
        <w:trPr>
          <w:jc w:val="center"/>
        </w:trPr>
        <w:tc>
          <w:tcPr>
            <w:tcW w:w="0" w:type="auto"/>
            <w:gridSpan w:val="3"/>
            <w:tcMar>
              <w:top w:w="30" w:type="dxa"/>
              <w:left w:w="20" w:type="dxa"/>
              <w:bottom w:w="30" w:type="dxa"/>
              <w:right w:w="20" w:type="dxa"/>
            </w:tcMar>
            <w:hideMark/>
          </w:tcPr>
          <w:p w14:paraId="06B57447" w14:textId="77777777" w:rsidR="00000000" w:rsidRDefault="00405D16">
            <w:pPr>
              <w:spacing w:after="100"/>
              <w:jc w:val="center"/>
              <w:rPr>
                <w:rFonts w:eastAsia="Times New Roman"/>
              </w:rPr>
            </w:pPr>
            <w:r>
              <w:rPr>
                <w:rFonts w:eastAsia="Times New Roman"/>
                <w:color w:val="000000"/>
                <w:sz w:val="17"/>
                <w:szCs w:val="17"/>
              </w:rPr>
              <w:t>101.LAB*</w:t>
            </w:r>
          </w:p>
        </w:tc>
        <w:tc>
          <w:tcPr>
            <w:tcW w:w="0" w:type="auto"/>
            <w:gridSpan w:val="3"/>
            <w:tcMar>
              <w:top w:w="0" w:type="dxa"/>
              <w:left w:w="20" w:type="dxa"/>
              <w:bottom w:w="0" w:type="dxa"/>
              <w:right w:w="20" w:type="dxa"/>
            </w:tcMar>
            <w:vAlign w:val="center"/>
            <w:hideMark/>
          </w:tcPr>
          <w:p w14:paraId="7A3A8C80"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32CF9FF" w14:textId="77777777" w:rsidR="00000000" w:rsidRDefault="00405D16">
            <w:pPr>
              <w:spacing w:after="100"/>
              <w:jc w:val="both"/>
              <w:rPr>
                <w:rFonts w:eastAsia="Times New Roman"/>
              </w:rPr>
            </w:pPr>
            <w:r>
              <w:rPr>
                <w:rFonts w:eastAsia="Times New Roman"/>
                <w:color w:val="000000"/>
                <w:sz w:val="17"/>
                <w:szCs w:val="17"/>
              </w:rPr>
              <w:t>Inline XBRL Taxonomy Extension Label Linkbase Document.</w:t>
            </w:r>
          </w:p>
        </w:tc>
      </w:tr>
      <w:tr w:rsidR="00000000" w14:paraId="3B2EC582" w14:textId="77777777">
        <w:trPr>
          <w:jc w:val="center"/>
        </w:trPr>
        <w:tc>
          <w:tcPr>
            <w:tcW w:w="0" w:type="auto"/>
            <w:gridSpan w:val="3"/>
            <w:tcMar>
              <w:top w:w="30" w:type="dxa"/>
              <w:left w:w="20" w:type="dxa"/>
              <w:bottom w:w="30" w:type="dxa"/>
              <w:right w:w="20" w:type="dxa"/>
            </w:tcMar>
            <w:hideMark/>
          </w:tcPr>
          <w:p w14:paraId="360E9A96" w14:textId="77777777" w:rsidR="00000000" w:rsidRDefault="00405D16">
            <w:pPr>
              <w:spacing w:after="100"/>
              <w:jc w:val="center"/>
              <w:rPr>
                <w:rFonts w:eastAsia="Times New Roman"/>
              </w:rPr>
            </w:pPr>
            <w:r>
              <w:rPr>
                <w:rFonts w:eastAsia="Times New Roman"/>
                <w:color w:val="000000"/>
                <w:sz w:val="17"/>
                <w:szCs w:val="17"/>
              </w:rPr>
              <w:t>101.PRE*</w:t>
            </w:r>
          </w:p>
        </w:tc>
        <w:tc>
          <w:tcPr>
            <w:tcW w:w="0" w:type="auto"/>
            <w:gridSpan w:val="3"/>
            <w:tcMar>
              <w:top w:w="0" w:type="dxa"/>
              <w:left w:w="20" w:type="dxa"/>
              <w:bottom w:w="0" w:type="dxa"/>
              <w:right w:w="20" w:type="dxa"/>
            </w:tcMar>
            <w:vAlign w:val="center"/>
            <w:hideMark/>
          </w:tcPr>
          <w:p w14:paraId="694D33E6"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1CCDC5D" w14:textId="77777777" w:rsidR="00000000" w:rsidRDefault="00405D16">
            <w:pPr>
              <w:spacing w:after="100"/>
              <w:jc w:val="both"/>
              <w:rPr>
                <w:rFonts w:eastAsia="Times New Roman"/>
              </w:rPr>
            </w:pPr>
            <w:r>
              <w:rPr>
                <w:rFonts w:eastAsia="Times New Roman"/>
                <w:color w:val="000000"/>
                <w:sz w:val="17"/>
                <w:szCs w:val="17"/>
              </w:rPr>
              <w:t>Inline XBRL Taxonomy Extension Presentation Linkbase Document.</w:t>
            </w:r>
          </w:p>
        </w:tc>
      </w:tr>
      <w:tr w:rsidR="00000000" w14:paraId="3DBC508D" w14:textId="77777777">
        <w:trPr>
          <w:jc w:val="center"/>
        </w:trPr>
        <w:tc>
          <w:tcPr>
            <w:tcW w:w="0" w:type="auto"/>
            <w:gridSpan w:val="3"/>
            <w:tcMar>
              <w:top w:w="30" w:type="dxa"/>
              <w:left w:w="20" w:type="dxa"/>
              <w:bottom w:w="30" w:type="dxa"/>
              <w:right w:w="20" w:type="dxa"/>
            </w:tcMar>
            <w:hideMark/>
          </w:tcPr>
          <w:p w14:paraId="0C5BF162" w14:textId="77777777" w:rsidR="00000000" w:rsidRDefault="00405D16">
            <w:pPr>
              <w:spacing w:after="100"/>
              <w:jc w:val="center"/>
              <w:rPr>
                <w:rFonts w:eastAsia="Times New Roman"/>
              </w:rPr>
            </w:pPr>
            <w:r>
              <w:rPr>
                <w:rFonts w:eastAsia="Times New Roman"/>
                <w:color w:val="000000"/>
                <w:sz w:val="17"/>
                <w:szCs w:val="17"/>
              </w:rPr>
              <w:t>104</w:t>
            </w:r>
          </w:p>
        </w:tc>
        <w:tc>
          <w:tcPr>
            <w:tcW w:w="0" w:type="auto"/>
            <w:gridSpan w:val="3"/>
            <w:tcMar>
              <w:top w:w="0" w:type="dxa"/>
              <w:left w:w="20" w:type="dxa"/>
              <w:bottom w:w="0" w:type="dxa"/>
              <w:right w:w="20" w:type="dxa"/>
            </w:tcMar>
            <w:vAlign w:val="center"/>
            <w:hideMark/>
          </w:tcPr>
          <w:p w14:paraId="3E47F852" w14:textId="77777777" w:rsidR="00000000" w:rsidRDefault="00405D1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A0E32B6" w14:textId="77777777" w:rsidR="00000000" w:rsidRDefault="00405D16">
            <w:pPr>
              <w:spacing w:after="100"/>
              <w:jc w:val="both"/>
              <w:rPr>
                <w:rFonts w:eastAsia="Times New Roman"/>
              </w:rPr>
            </w:pPr>
            <w:r>
              <w:rPr>
                <w:rFonts w:eastAsia="Times New Roman"/>
                <w:color w:val="000000"/>
                <w:sz w:val="17"/>
                <w:szCs w:val="17"/>
              </w:rPr>
              <w:t>The cover page of Capital One Financial Corporation’</w:t>
            </w:r>
            <w:r>
              <w:rPr>
                <w:rFonts w:eastAsia="Times New Roman"/>
                <w:color w:val="000000"/>
                <w:sz w:val="17"/>
                <w:szCs w:val="17"/>
              </w:rPr>
              <w:t>s Quarterly Report on Form 10-Q for the quarter ended September 30, 2021, formatted in Inline XBRL (included within the Exhibit 101 attachments).</w:t>
            </w:r>
          </w:p>
        </w:tc>
      </w:tr>
    </w:tbl>
    <w:p w14:paraId="7C6B024B" w14:textId="77777777" w:rsidR="00000000" w:rsidRDefault="00405D16">
      <w:pPr>
        <w:jc w:val="both"/>
        <w:divId w:val="82453206"/>
        <w:rPr>
          <w:rFonts w:eastAsia="Times New Roman"/>
        </w:rPr>
      </w:pPr>
      <w:r>
        <w:rPr>
          <w:rFonts w:eastAsia="Times New Roman"/>
          <w:color w:val="000000"/>
          <w:sz w:val="20"/>
          <w:szCs w:val="20"/>
        </w:rPr>
        <w:t>__________</w:t>
      </w:r>
    </w:p>
    <w:tbl>
      <w:tblPr>
        <w:tblW w:w="5000" w:type="pct"/>
        <w:tblCellMar>
          <w:top w:w="15" w:type="dxa"/>
          <w:left w:w="15" w:type="dxa"/>
          <w:bottom w:w="15" w:type="dxa"/>
          <w:right w:w="15" w:type="dxa"/>
        </w:tblCellMar>
        <w:tblLook w:val="04A0" w:firstRow="1" w:lastRow="0" w:firstColumn="1" w:lastColumn="0" w:noHBand="0" w:noVBand="1"/>
      </w:tblPr>
      <w:tblGrid>
        <w:gridCol w:w="69"/>
        <w:gridCol w:w="197"/>
        <w:gridCol w:w="36"/>
        <w:gridCol w:w="69"/>
        <w:gridCol w:w="7898"/>
        <w:gridCol w:w="37"/>
      </w:tblGrid>
      <w:tr w:rsidR="00000000" w14:paraId="295E40A0" w14:textId="77777777">
        <w:trPr>
          <w:divId w:val="1388531081"/>
        </w:trPr>
        <w:tc>
          <w:tcPr>
            <w:tcW w:w="50" w:type="pct"/>
            <w:vAlign w:val="center"/>
            <w:hideMark/>
          </w:tcPr>
          <w:p w14:paraId="3043E59E" w14:textId="77777777" w:rsidR="00000000" w:rsidRDefault="00405D16">
            <w:pPr>
              <w:jc w:val="both"/>
              <w:rPr>
                <w:rFonts w:eastAsia="Times New Roman"/>
              </w:rPr>
            </w:pPr>
          </w:p>
        </w:tc>
        <w:tc>
          <w:tcPr>
            <w:tcW w:w="127" w:type="pct"/>
            <w:vAlign w:val="center"/>
            <w:hideMark/>
          </w:tcPr>
          <w:p w14:paraId="37CCA74E" w14:textId="77777777" w:rsidR="00000000" w:rsidRDefault="00405D16">
            <w:pPr>
              <w:spacing w:after="100"/>
              <w:rPr>
                <w:rFonts w:eastAsia="Times New Roman"/>
                <w:sz w:val="20"/>
                <w:szCs w:val="20"/>
              </w:rPr>
            </w:pPr>
          </w:p>
        </w:tc>
        <w:tc>
          <w:tcPr>
            <w:tcW w:w="5" w:type="pct"/>
            <w:vAlign w:val="center"/>
            <w:hideMark/>
          </w:tcPr>
          <w:p w14:paraId="413B2B0F" w14:textId="77777777" w:rsidR="00000000" w:rsidRDefault="00405D16">
            <w:pPr>
              <w:spacing w:after="100"/>
              <w:rPr>
                <w:rFonts w:eastAsia="Times New Roman"/>
                <w:sz w:val="20"/>
                <w:szCs w:val="20"/>
              </w:rPr>
            </w:pPr>
          </w:p>
        </w:tc>
        <w:tc>
          <w:tcPr>
            <w:tcW w:w="50" w:type="pct"/>
            <w:vAlign w:val="center"/>
            <w:hideMark/>
          </w:tcPr>
          <w:p w14:paraId="15EFC27B" w14:textId="77777777" w:rsidR="00000000" w:rsidRDefault="00405D16">
            <w:pPr>
              <w:spacing w:after="100"/>
              <w:rPr>
                <w:rFonts w:eastAsia="Times New Roman"/>
                <w:sz w:val="20"/>
                <w:szCs w:val="20"/>
              </w:rPr>
            </w:pPr>
          </w:p>
        </w:tc>
        <w:tc>
          <w:tcPr>
            <w:tcW w:w="4762" w:type="pct"/>
            <w:vAlign w:val="center"/>
            <w:hideMark/>
          </w:tcPr>
          <w:p w14:paraId="2A04AEF8" w14:textId="77777777" w:rsidR="00000000" w:rsidRDefault="00405D16">
            <w:pPr>
              <w:spacing w:after="100"/>
              <w:rPr>
                <w:rFonts w:eastAsia="Times New Roman"/>
                <w:sz w:val="20"/>
                <w:szCs w:val="20"/>
              </w:rPr>
            </w:pPr>
          </w:p>
        </w:tc>
        <w:tc>
          <w:tcPr>
            <w:tcW w:w="5" w:type="pct"/>
            <w:vAlign w:val="center"/>
            <w:hideMark/>
          </w:tcPr>
          <w:p w14:paraId="10B9221C" w14:textId="77777777" w:rsidR="00000000" w:rsidRDefault="00405D16">
            <w:pPr>
              <w:spacing w:after="100"/>
              <w:rPr>
                <w:rFonts w:eastAsia="Times New Roman"/>
                <w:sz w:val="20"/>
                <w:szCs w:val="20"/>
              </w:rPr>
            </w:pPr>
          </w:p>
        </w:tc>
      </w:tr>
      <w:tr w:rsidR="00000000" w14:paraId="2F703C7B" w14:textId="77777777">
        <w:trPr>
          <w:divId w:val="1388531081"/>
        </w:trPr>
        <w:tc>
          <w:tcPr>
            <w:tcW w:w="0" w:type="auto"/>
            <w:gridSpan w:val="3"/>
            <w:vAlign w:val="center"/>
            <w:hideMark/>
          </w:tcPr>
          <w:p w14:paraId="1FE1F34C" w14:textId="77777777" w:rsidR="00000000" w:rsidRDefault="00405D16">
            <w:pPr>
              <w:spacing w:after="100"/>
              <w:rPr>
                <w:rFonts w:eastAsia="Times New Roman"/>
                <w:sz w:val="20"/>
                <w:szCs w:val="20"/>
              </w:rPr>
            </w:pPr>
          </w:p>
        </w:tc>
        <w:tc>
          <w:tcPr>
            <w:tcW w:w="0" w:type="auto"/>
            <w:gridSpan w:val="3"/>
            <w:vAlign w:val="center"/>
            <w:hideMark/>
          </w:tcPr>
          <w:p w14:paraId="3A3F74CA" w14:textId="77777777" w:rsidR="00000000" w:rsidRDefault="00405D16">
            <w:pPr>
              <w:spacing w:after="100"/>
              <w:rPr>
                <w:rFonts w:eastAsia="Times New Roman"/>
                <w:sz w:val="20"/>
                <w:szCs w:val="20"/>
              </w:rPr>
            </w:pPr>
          </w:p>
        </w:tc>
      </w:tr>
      <w:tr w:rsidR="00000000" w14:paraId="6309E18A" w14:textId="77777777">
        <w:trPr>
          <w:divId w:val="1388531081"/>
        </w:trPr>
        <w:tc>
          <w:tcPr>
            <w:tcW w:w="0" w:type="auto"/>
            <w:gridSpan w:val="3"/>
            <w:tcMar>
              <w:top w:w="30" w:type="dxa"/>
              <w:left w:w="20" w:type="dxa"/>
              <w:bottom w:w="30" w:type="dxa"/>
              <w:right w:w="20" w:type="dxa"/>
            </w:tcMar>
            <w:hideMark/>
          </w:tcPr>
          <w:p w14:paraId="7FCCFF04" w14:textId="77777777" w:rsidR="00000000" w:rsidRDefault="00405D16">
            <w:pPr>
              <w:spacing w:after="100"/>
              <w:rPr>
                <w:rFonts w:eastAsia="Times New Roman"/>
              </w:rPr>
            </w:pPr>
            <w:r>
              <w:rPr>
                <w:rFonts w:eastAsia="Times New Roman"/>
                <w:color w:val="000000"/>
                <w:sz w:val="16"/>
                <w:szCs w:val="16"/>
              </w:rPr>
              <w:t>*</w:t>
            </w:r>
          </w:p>
        </w:tc>
        <w:tc>
          <w:tcPr>
            <w:tcW w:w="0" w:type="auto"/>
            <w:gridSpan w:val="3"/>
            <w:tcMar>
              <w:top w:w="30" w:type="dxa"/>
              <w:left w:w="20" w:type="dxa"/>
              <w:bottom w:w="30" w:type="dxa"/>
              <w:right w:w="20" w:type="dxa"/>
            </w:tcMar>
            <w:vAlign w:val="bottom"/>
            <w:hideMark/>
          </w:tcPr>
          <w:p w14:paraId="76602F77" w14:textId="77777777" w:rsidR="00000000" w:rsidRDefault="00405D16">
            <w:pPr>
              <w:spacing w:after="100"/>
              <w:jc w:val="both"/>
              <w:rPr>
                <w:rFonts w:eastAsia="Times New Roman"/>
              </w:rPr>
            </w:pPr>
            <w:r>
              <w:rPr>
                <w:rFonts w:eastAsia="Times New Roman"/>
                <w:color w:val="000000"/>
                <w:sz w:val="16"/>
                <w:szCs w:val="16"/>
              </w:rPr>
              <w:t>Indicates a document being filed with this Form 10-Q.</w:t>
            </w:r>
          </w:p>
        </w:tc>
      </w:tr>
      <w:tr w:rsidR="00000000" w14:paraId="094C1502" w14:textId="77777777">
        <w:trPr>
          <w:divId w:val="1388531081"/>
        </w:trPr>
        <w:tc>
          <w:tcPr>
            <w:tcW w:w="0" w:type="auto"/>
            <w:gridSpan w:val="3"/>
            <w:tcMar>
              <w:top w:w="30" w:type="dxa"/>
              <w:left w:w="20" w:type="dxa"/>
              <w:bottom w:w="30" w:type="dxa"/>
              <w:right w:w="20" w:type="dxa"/>
            </w:tcMar>
            <w:hideMark/>
          </w:tcPr>
          <w:p w14:paraId="0D1E47F9" w14:textId="77777777" w:rsidR="00000000" w:rsidRDefault="00405D16">
            <w:pPr>
              <w:spacing w:after="100"/>
              <w:rPr>
                <w:rFonts w:eastAsia="Times New Roman"/>
              </w:rPr>
            </w:pPr>
            <w:r>
              <w:rPr>
                <w:rFonts w:eastAsia="Times New Roman"/>
                <w:color w:val="000000"/>
                <w:sz w:val="16"/>
                <w:szCs w:val="16"/>
              </w:rPr>
              <w:t>**</w:t>
            </w:r>
          </w:p>
        </w:tc>
        <w:tc>
          <w:tcPr>
            <w:tcW w:w="0" w:type="auto"/>
            <w:gridSpan w:val="3"/>
            <w:tcMar>
              <w:top w:w="30" w:type="dxa"/>
              <w:left w:w="20" w:type="dxa"/>
              <w:bottom w:w="30" w:type="dxa"/>
              <w:right w:w="20" w:type="dxa"/>
            </w:tcMar>
            <w:vAlign w:val="bottom"/>
            <w:hideMark/>
          </w:tcPr>
          <w:p w14:paraId="5DBBD0F4" w14:textId="77777777" w:rsidR="00000000" w:rsidRDefault="00405D16">
            <w:pPr>
              <w:spacing w:after="100"/>
              <w:jc w:val="both"/>
              <w:rPr>
                <w:rFonts w:eastAsia="Times New Roman"/>
              </w:rPr>
            </w:pPr>
            <w:r>
              <w:rPr>
                <w:rFonts w:eastAsia="Times New Roman"/>
                <w:color w:val="000000"/>
                <w:sz w:val="16"/>
                <w:szCs w:val="16"/>
              </w:rPr>
              <w:t>Indicates a document being furnished with this Form 10-Q. Information in this Form 10-Q furnished herewith shall not be deemed to be “filed” for the purposes of Section 18 of the Securities Exchange Act of 1934 or otherwise subject to the liabilities of th</w:t>
            </w:r>
            <w:r>
              <w:rPr>
                <w:rFonts w:eastAsia="Times New Roman"/>
                <w:color w:val="000000"/>
                <w:sz w:val="16"/>
                <w:szCs w:val="16"/>
              </w:rPr>
              <w:t>at Section. Such exhibit shall not be deemed incorporated by reference into any filing under the Securities Act of 1933 or the Securities Exchange Act of 1934.</w:t>
            </w: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51930292" w14:textId="77777777">
        <w:trPr>
          <w:jc w:val="center"/>
        </w:trPr>
        <w:tc>
          <w:tcPr>
            <w:tcW w:w="50" w:type="pct"/>
            <w:vAlign w:val="center"/>
            <w:hideMark/>
          </w:tcPr>
          <w:p w14:paraId="46CEA493" w14:textId="77777777" w:rsidR="00000000" w:rsidRDefault="00405D16">
            <w:pPr>
              <w:ind w:hanging="360"/>
              <w:jc w:val="both"/>
              <w:rPr>
                <w:rFonts w:eastAsia="Times New Roman"/>
              </w:rPr>
            </w:pPr>
          </w:p>
        </w:tc>
        <w:tc>
          <w:tcPr>
            <w:tcW w:w="1606" w:type="pct"/>
            <w:vAlign w:val="center"/>
            <w:hideMark/>
          </w:tcPr>
          <w:p w14:paraId="008C73BF" w14:textId="77777777" w:rsidR="00000000" w:rsidRDefault="00405D16">
            <w:pPr>
              <w:spacing w:after="100"/>
              <w:rPr>
                <w:rFonts w:eastAsia="Times New Roman"/>
                <w:sz w:val="20"/>
                <w:szCs w:val="20"/>
              </w:rPr>
            </w:pPr>
          </w:p>
        </w:tc>
        <w:tc>
          <w:tcPr>
            <w:tcW w:w="5" w:type="pct"/>
            <w:vAlign w:val="center"/>
            <w:hideMark/>
          </w:tcPr>
          <w:p w14:paraId="27411FC9" w14:textId="77777777" w:rsidR="00000000" w:rsidRDefault="00405D16">
            <w:pPr>
              <w:spacing w:after="100"/>
              <w:rPr>
                <w:rFonts w:eastAsia="Times New Roman"/>
                <w:sz w:val="20"/>
                <w:szCs w:val="20"/>
              </w:rPr>
            </w:pPr>
          </w:p>
        </w:tc>
        <w:tc>
          <w:tcPr>
            <w:tcW w:w="50" w:type="pct"/>
            <w:vAlign w:val="center"/>
            <w:hideMark/>
          </w:tcPr>
          <w:p w14:paraId="086D1ABF" w14:textId="77777777" w:rsidR="00000000" w:rsidRDefault="00405D16">
            <w:pPr>
              <w:spacing w:after="100"/>
              <w:rPr>
                <w:rFonts w:eastAsia="Times New Roman"/>
                <w:sz w:val="20"/>
                <w:szCs w:val="20"/>
              </w:rPr>
            </w:pPr>
          </w:p>
        </w:tc>
        <w:tc>
          <w:tcPr>
            <w:tcW w:w="1614" w:type="pct"/>
            <w:vAlign w:val="center"/>
            <w:hideMark/>
          </w:tcPr>
          <w:p w14:paraId="5CA7BD41" w14:textId="77777777" w:rsidR="00000000" w:rsidRDefault="00405D16">
            <w:pPr>
              <w:spacing w:after="100"/>
              <w:rPr>
                <w:rFonts w:eastAsia="Times New Roman"/>
                <w:sz w:val="20"/>
                <w:szCs w:val="20"/>
              </w:rPr>
            </w:pPr>
          </w:p>
        </w:tc>
        <w:tc>
          <w:tcPr>
            <w:tcW w:w="5" w:type="pct"/>
            <w:vAlign w:val="center"/>
            <w:hideMark/>
          </w:tcPr>
          <w:p w14:paraId="2A146116" w14:textId="77777777" w:rsidR="00000000" w:rsidRDefault="00405D16">
            <w:pPr>
              <w:spacing w:after="100"/>
              <w:rPr>
                <w:rFonts w:eastAsia="Times New Roman"/>
                <w:sz w:val="20"/>
                <w:szCs w:val="20"/>
              </w:rPr>
            </w:pPr>
          </w:p>
        </w:tc>
        <w:tc>
          <w:tcPr>
            <w:tcW w:w="50" w:type="pct"/>
            <w:vAlign w:val="center"/>
            <w:hideMark/>
          </w:tcPr>
          <w:p w14:paraId="6ADD4B87" w14:textId="77777777" w:rsidR="00000000" w:rsidRDefault="00405D16">
            <w:pPr>
              <w:spacing w:after="100"/>
              <w:rPr>
                <w:rFonts w:eastAsia="Times New Roman"/>
                <w:sz w:val="20"/>
                <w:szCs w:val="20"/>
              </w:rPr>
            </w:pPr>
          </w:p>
        </w:tc>
        <w:tc>
          <w:tcPr>
            <w:tcW w:w="1614" w:type="pct"/>
            <w:vAlign w:val="center"/>
            <w:hideMark/>
          </w:tcPr>
          <w:p w14:paraId="46A75F45" w14:textId="77777777" w:rsidR="00000000" w:rsidRDefault="00405D16">
            <w:pPr>
              <w:spacing w:after="100"/>
              <w:rPr>
                <w:rFonts w:eastAsia="Times New Roman"/>
                <w:sz w:val="20"/>
                <w:szCs w:val="20"/>
              </w:rPr>
            </w:pPr>
          </w:p>
        </w:tc>
        <w:tc>
          <w:tcPr>
            <w:tcW w:w="5" w:type="pct"/>
            <w:vAlign w:val="center"/>
            <w:hideMark/>
          </w:tcPr>
          <w:p w14:paraId="1DFEC331" w14:textId="77777777" w:rsidR="00000000" w:rsidRDefault="00405D16">
            <w:pPr>
              <w:spacing w:after="100"/>
              <w:rPr>
                <w:rFonts w:eastAsia="Times New Roman"/>
                <w:sz w:val="20"/>
                <w:szCs w:val="20"/>
              </w:rPr>
            </w:pPr>
          </w:p>
        </w:tc>
      </w:tr>
      <w:tr w:rsidR="00000000" w14:paraId="31BBE87F" w14:textId="77777777">
        <w:trPr>
          <w:trHeight w:val="300"/>
          <w:jc w:val="center"/>
        </w:trPr>
        <w:tc>
          <w:tcPr>
            <w:tcW w:w="0" w:type="auto"/>
            <w:gridSpan w:val="9"/>
            <w:tcMar>
              <w:top w:w="0" w:type="dxa"/>
              <w:left w:w="20" w:type="dxa"/>
              <w:bottom w:w="0" w:type="dxa"/>
              <w:right w:w="20" w:type="dxa"/>
            </w:tcMar>
            <w:vAlign w:val="center"/>
            <w:hideMark/>
          </w:tcPr>
          <w:p w14:paraId="0FD677BB" w14:textId="77777777" w:rsidR="00000000" w:rsidRDefault="00405D16">
            <w:pPr>
              <w:spacing w:after="100"/>
              <w:rPr>
                <w:rFonts w:eastAsia="Times New Roman"/>
                <w:sz w:val="20"/>
                <w:szCs w:val="20"/>
              </w:rPr>
            </w:pPr>
          </w:p>
        </w:tc>
      </w:tr>
      <w:tr w:rsidR="00000000" w14:paraId="55D753C0" w14:textId="77777777">
        <w:trPr>
          <w:jc w:val="center"/>
        </w:trPr>
        <w:tc>
          <w:tcPr>
            <w:tcW w:w="0" w:type="auto"/>
            <w:gridSpan w:val="3"/>
            <w:tcMar>
              <w:top w:w="0" w:type="dxa"/>
              <w:left w:w="20" w:type="dxa"/>
              <w:bottom w:w="0" w:type="dxa"/>
              <w:right w:w="20" w:type="dxa"/>
            </w:tcMar>
            <w:vAlign w:val="center"/>
            <w:hideMark/>
          </w:tcPr>
          <w:p w14:paraId="10D32662"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F7433B4" w14:textId="77777777" w:rsidR="00000000" w:rsidRDefault="00405D16">
            <w:pPr>
              <w:spacing w:after="100"/>
              <w:jc w:val="center"/>
              <w:rPr>
                <w:rFonts w:eastAsia="Times New Roman"/>
              </w:rPr>
            </w:pPr>
            <w:r>
              <w:rPr>
                <w:rFonts w:eastAsia="Times New Roman"/>
                <w:color w:val="000000"/>
                <w:sz w:val="16"/>
                <w:szCs w:val="16"/>
              </w:rPr>
              <w:t>134</w:t>
            </w:r>
          </w:p>
        </w:tc>
        <w:tc>
          <w:tcPr>
            <w:tcW w:w="0" w:type="auto"/>
            <w:gridSpan w:val="3"/>
            <w:tcMar>
              <w:top w:w="30" w:type="dxa"/>
              <w:left w:w="20" w:type="dxa"/>
              <w:bottom w:w="30" w:type="dxa"/>
              <w:right w:w="20" w:type="dxa"/>
            </w:tcMar>
            <w:vAlign w:val="bottom"/>
            <w:hideMark/>
          </w:tcPr>
          <w:p w14:paraId="77F03968"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40B4C816" w14:textId="77777777" w:rsidR="00000000" w:rsidRDefault="00405D16">
      <w:pPr>
        <w:rPr>
          <w:rFonts w:eastAsia="Times New Roman"/>
        </w:rPr>
      </w:pPr>
      <w:r>
        <w:rPr>
          <w:rFonts w:eastAsia="Times New Roman"/>
        </w:rPr>
        <w:pict w14:anchorId="53E1EB38">
          <v:rect id="_x0000_i1159" style="width:0;height:1.5pt" o:hralign="center" o:hrstd="t" o:hr="t" fillcolor="#a0a0a0" stroked="f"/>
        </w:pict>
      </w:r>
    </w:p>
    <w:p w14:paraId="726CDDF0" w14:textId="77777777" w:rsidR="00000000" w:rsidRDefault="00405D16">
      <w:pPr>
        <w:jc w:val="both"/>
        <w:divId w:val="1783498651"/>
        <w:rPr>
          <w:rFonts w:eastAsia="Times New Roman"/>
        </w:rPr>
      </w:pPr>
      <w:hyperlink w:anchor="idd54a04a485440b4ab4e56094c14d612_13" w:history="1">
        <w:r>
          <w:rPr>
            <w:rStyle w:val="a3"/>
            <w:rFonts w:eastAsia="Times New Roman"/>
            <w:sz w:val="16"/>
            <w:szCs w:val="16"/>
          </w:rPr>
          <w:t>Table of Contents</w:t>
        </w:r>
      </w:hyperlink>
    </w:p>
    <w:p w14:paraId="558B3A3F" w14:textId="77777777" w:rsidR="00000000" w:rsidRDefault="00405D16">
      <w:pPr>
        <w:jc w:val="center"/>
        <w:divId w:val="1592398102"/>
        <w:rPr>
          <w:rFonts w:eastAsia="Times New Roman"/>
        </w:rPr>
      </w:pPr>
      <w:r>
        <w:rPr>
          <w:rFonts w:eastAsia="Times New Roman"/>
          <w:b/>
          <w:bCs/>
          <w:color w:val="000000"/>
          <w:sz w:val="20"/>
          <w:szCs w:val="20"/>
        </w:rPr>
        <w:t>SIGNATURES</w:t>
      </w:r>
    </w:p>
    <w:p w14:paraId="594658AE" w14:textId="77777777" w:rsidR="00000000" w:rsidRDefault="00405D16">
      <w:pPr>
        <w:jc w:val="both"/>
        <w:divId w:val="147483722"/>
        <w:rPr>
          <w:rFonts w:eastAsia="Times New Roman"/>
        </w:rPr>
      </w:pPr>
      <w:r>
        <w:rPr>
          <w:rFonts w:eastAsia="Times New Roman"/>
          <w:color w:val="000000"/>
          <w:sz w:val="20"/>
          <w:szCs w:val="20"/>
        </w:rPr>
        <w:t xml:space="preserve">Pursuant to the requirements of the Securities Exchange Act of 1934, the registrant has duly caused this report to be signed on its </w:t>
      </w:r>
      <w:r>
        <w:rPr>
          <w:rFonts w:eastAsia="Times New Roman"/>
          <w:color w:val="000000"/>
          <w:sz w:val="20"/>
          <w:szCs w:val="20"/>
        </w:rPr>
        <w:t>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64"/>
        <w:gridCol w:w="3230"/>
        <w:gridCol w:w="36"/>
        <w:gridCol w:w="64"/>
        <w:gridCol w:w="849"/>
        <w:gridCol w:w="36"/>
        <w:gridCol w:w="77"/>
        <w:gridCol w:w="217"/>
        <w:gridCol w:w="36"/>
        <w:gridCol w:w="36"/>
        <w:gridCol w:w="36"/>
        <w:gridCol w:w="36"/>
        <w:gridCol w:w="43"/>
        <w:gridCol w:w="3510"/>
        <w:gridCol w:w="36"/>
      </w:tblGrid>
      <w:tr w:rsidR="00000000" w14:paraId="4CE4950C" w14:textId="77777777">
        <w:trPr>
          <w:divId w:val="1750737079"/>
        </w:trPr>
        <w:tc>
          <w:tcPr>
            <w:tcW w:w="50" w:type="pct"/>
            <w:vAlign w:val="center"/>
            <w:hideMark/>
          </w:tcPr>
          <w:p w14:paraId="7AC4E439" w14:textId="77777777" w:rsidR="00000000" w:rsidRDefault="00405D16">
            <w:pPr>
              <w:jc w:val="both"/>
              <w:rPr>
                <w:rFonts w:eastAsia="Times New Roman"/>
              </w:rPr>
            </w:pPr>
          </w:p>
        </w:tc>
        <w:tc>
          <w:tcPr>
            <w:tcW w:w="1955" w:type="pct"/>
            <w:vAlign w:val="center"/>
            <w:hideMark/>
          </w:tcPr>
          <w:p w14:paraId="6E7456D1" w14:textId="77777777" w:rsidR="00000000" w:rsidRDefault="00405D16">
            <w:pPr>
              <w:spacing w:after="100"/>
              <w:rPr>
                <w:rFonts w:eastAsia="Times New Roman"/>
                <w:sz w:val="20"/>
                <w:szCs w:val="20"/>
              </w:rPr>
            </w:pPr>
          </w:p>
        </w:tc>
        <w:tc>
          <w:tcPr>
            <w:tcW w:w="5" w:type="pct"/>
            <w:vAlign w:val="center"/>
            <w:hideMark/>
          </w:tcPr>
          <w:p w14:paraId="0033705D" w14:textId="77777777" w:rsidR="00000000" w:rsidRDefault="00405D16">
            <w:pPr>
              <w:spacing w:after="100"/>
              <w:rPr>
                <w:rFonts w:eastAsia="Times New Roman"/>
                <w:sz w:val="20"/>
                <w:szCs w:val="20"/>
              </w:rPr>
            </w:pPr>
          </w:p>
        </w:tc>
        <w:tc>
          <w:tcPr>
            <w:tcW w:w="50" w:type="pct"/>
            <w:vAlign w:val="center"/>
            <w:hideMark/>
          </w:tcPr>
          <w:p w14:paraId="506A4A92" w14:textId="77777777" w:rsidR="00000000" w:rsidRDefault="00405D16">
            <w:pPr>
              <w:spacing w:after="100"/>
              <w:rPr>
                <w:rFonts w:eastAsia="Times New Roman"/>
                <w:sz w:val="20"/>
                <w:szCs w:val="20"/>
              </w:rPr>
            </w:pPr>
          </w:p>
        </w:tc>
        <w:tc>
          <w:tcPr>
            <w:tcW w:w="522" w:type="pct"/>
            <w:vAlign w:val="center"/>
            <w:hideMark/>
          </w:tcPr>
          <w:p w14:paraId="18BB9205" w14:textId="77777777" w:rsidR="00000000" w:rsidRDefault="00405D16">
            <w:pPr>
              <w:spacing w:after="100"/>
              <w:rPr>
                <w:rFonts w:eastAsia="Times New Roman"/>
                <w:sz w:val="20"/>
                <w:szCs w:val="20"/>
              </w:rPr>
            </w:pPr>
          </w:p>
        </w:tc>
        <w:tc>
          <w:tcPr>
            <w:tcW w:w="5" w:type="pct"/>
            <w:vAlign w:val="center"/>
            <w:hideMark/>
          </w:tcPr>
          <w:p w14:paraId="6EDD768C" w14:textId="77777777" w:rsidR="00000000" w:rsidRDefault="00405D16">
            <w:pPr>
              <w:spacing w:after="100"/>
              <w:rPr>
                <w:rFonts w:eastAsia="Times New Roman"/>
                <w:sz w:val="20"/>
                <w:szCs w:val="20"/>
              </w:rPr>
            </w:pPr>
          </w:p>
        </w:tc>
        <w:tc>
          <w:tcPr>
            <w:tcW w:w="50" w:type="pct"/>
            <w:vAlign w:val="center"/>
            <w:hideMark/>
          </w:tcPr>
          <w:p w14:paraId="4119C38F" w14:textId="77777777" w:rsidR="00000000" w:rsidRDefault="00405D16">
            <w:pPr>
              <w:spacing w:after="100"/>
              <w:rPr>
                <w:rFonts w:eastAsia="Times New Roman"/>
                <w:sz w:val="20"/>
                <w:szCs w:val="20"/>
              </w:rPr>
            </w:pPr>
          </w:p>
        </w:tc>
        <w:tc>
          <w:tcPr>
            <w:tcW w:w="142" w:type="pct"/>
            <w:vAlign w:val="center"/>
            <w:hideMark/>
          </w:tcPr>
          <w:p w14:paraId="1470119B" w14:textId="77777777" w:rsidR="00000000" w:rsidRDefault="00405D16">
            <w:pPr>
              <w:spacing w:after="100"/>
              <w:rPr>
                <w:rFonts w:eastAsia="Times New Roman"/>
                <w:sz w:val="20"/>
                <w:szCs w:val="20"/>
              </w:rPr>
            </w:pPr>
          </w:p>
        </w:tc>
        <w:tc>
          <w:tcPr>
            <w:tcW w:w="5" w:type="pct"/>
            <w:vAlign w:val="center"/>
            <w:hideMark/>
          </w:tcPr>
          <w:p w14:paraId="2A6013D1" w14:textId="77777777" w:rsidR="00000000" w:rsidRDefault="00405D16">
            <w:pPr>
              <w:spacing w:after="100"/>
              <w:rPr>
                <w:rFonts w:eastAsia="Times New Roman"/>
                <w:sz w:val="20"/>
                <w:szCs w:val="20"/>
              </w:rPr>
            </w:pPr>
          </w:p>
        </w:tc>
        <w:tc>
          <w:tcPr>
            <w:tcW w:w="5" w:type="pct"/>
            <w:vAlign w:val="center"/>
            <w:hideMark/>
          </w:tcPr>
          <w:p w14:paraId="42E50EB8" w14:textId="77777777" w:rsidR="00000000" w:rsidRDefault="00405D16">
            <w:pPr>
              <w:spacing w:after="100"/>
              <w:rPr>
                <w:rFonts w:eastAsia="Times New Roman"/>
                <w:sz w:val="20"/>
                <w:szCs w:val="20"/>
              </w:rPr>
            </w:pPr>
          </w:p>
        </w:tc>
        <w:tc>
          <w:tcPr>
            <w:tcW w:w="26" w:type="pct"/>
            <w:vAlign w:val="center"/>
            <w:hideMark/>
          </w:tcPr>
          <w:p w14:paraId="687281DB" w14:textId="77777777" w:rsidR="00000000" w:rsidRDefault="00405D16">
            <w:pPr>
              <w:spacing w:after="100"/>
              <w:rPr>
                <w:rFonts w:eastAsia="Times New Roman"/>
                <w:sz w:val="20"/>
                <w:szCs w:val="20"/>
              </w:rPr>
            </w:pPr>
          </w:p>
        </w:tc>
        <w:tc>
          <w:tcPr>
            <w:tcW w:w="5" w:type="pct"/>
            <w:vAlign w:val="center"/>
            <w:hideMark/>
          </w:tcPr>
          <w:p w14:paraId="0BECA6AC" w14:textId="77777777" w:rsidR="00000000" w:rsidRDefault="00405D16">
            <w:pPr>
              <w:spacing w:after="100"/>
              <w:rPr>
                <w:rFonts w:eastAsia="Times New Roman"/>
                <w:sz w:val="20"/>
                <w:szCs w:val="20"/>
              </w:rPr>
            </w:pPr>
          </w:p>
        </w:tc>
        <w:tc>
          <w:tcPr>
            <w:tcW w:w="50" w:type="pct"/>
            <w:vAlign w:val="center"/>
            <w:hideMark/>
          </w:tcPr>
          <w:p w14:paraId="10C2CE7B" w14:textId="77777777" w:rsidR="00000000" w:rsidRDefault="00405D16">
            <w:pPr>
              <w:spacing w:after="100"/>
              <w:rPr>
                <w:rFonts w:eastAsia="Times New Roman"/>
                <w:sz w:val="20"/>
                <w:szCs w:val="20"/>
              </w:rPr>
            </w:pPr>
          </w:p>
        </w:tc>
        <w:tc>
          <w:tcPr>
            <w:tcW w:w="2123" w:type="pct"/>
            <w:vAlign w:val="center"/>
            <w:hideMark/>
          </w:tcPr>
          <w:p w14:paraId="1C780ECA" w14:textId="77777777" w:rsidR="00000000" w:rsidRDefault="00405D16">
            <w:pPr>
              <w:spacing w:after="100"/>
              <w:rPr>
                <w:rFonts w:eastAsia="Times New Roman"/>
                <w:sz w:val="20"/>
                <w:szCs w:val="20"/>
              </w:rPr>
            </w:pPr>
          </w:p>
        </w:tc>
        <w:tc>
          <w:tcPr>
            <w:tcW w:w="5" w:type="pct"/>
            <w:vAlign w:val="center"/>
            <w:hideMark/>
          </w:tcPr>
          <w:p w14:paraId="44DC2783" w14:textId="77777777" w:rsidR="00000000" w:rsidRDefault="00405D16">
            <w:pPr>
              <w:spacing w:after="100"/>
              <w:rPr>
                <w:rFonts w:eastAsia="Times New Roman"/>
                <w:sz w:val="20"/>
                <w:szCs w:val="20"/>
              </w:rPr>
            </w:pPr>
          </w:p>
        </w:tc>
      </w:tr>
      <w:tr w:rsidR="00000000" w14:paraId="0D04D55C" w14:textId="77777777">
        <w:trPr>
          <w:divId w:val="1750737079"/>
        </w:trPr>
        <w:tc>
          <w:tcPr>
            <w:tcW w:w="0" w:type="auto"/>
            <w:gridSpan w:val="3"/>
            <w:tcMar>
              <w:top w:w="0" w:type="dxa"/>
              <w:left w:w="20" w:type="dxa"/>
              <w:bottom w:w="0" w:type="dxa"/>
              <w:right w:w="20" w:type="dxa"/>
            </w:tcMar>
            <w:vAlign w:val="center"/>
            <w:hideMark/>
          </w:tcPr>
          <w:p w14:paraId="7836B9A2"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67C789B"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02BBCC8" w14:textId="77777777" w:rsidR="00000000" w:rsidRDefault="00405D16">
            <w:pPr>
              <w:spacing w:after="100"/>
              <w:rPr>
                <w:rFonts w:eastAsia="Times New Roman"/>
              </w:rPr>
            </w:pPr>
          </w:p>
        </w:tc>
        <w:tc>
          <w:tcPr>
            <w:tcW w:w="0" w:type="auto"/>
            <w:gridSpan w:val="3"/>
            <w:tcMar>
              <w:top w:w="0" w:type="dxa"/>
              <w:left w:w="20" w:type="dxa"/>
              <w:bottom w:w="0" w:type="dxa"/>
              <w:right w:w="20" w:type="dxa"/>
            </w:tcMar>
            <w:vAlign w:val="center"/>
            <w:hideMark/>
          </w:tcPr>
          <w:p w14:paraId="38F622C4"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5A09870" w14:textId="77777777" w:rsidR="00000000" w:rsidRDefault="00405D16">
            <w:pPr>
              <w:spacing w:after="100"/>
              <w:rPr>
                <w:rFonts w:eastAsia="Times New Roman"/>
              </w:rPr>
            </w:pPr>
            <w:r>
              <w:rPr>
                <w:rFonts w:eastAsia="Times New Roman"/>
                <w:b/>
                <w:bCs/>
                <w:color w:val="000000"/>
                <w:sz w:val="20"/>
                <w:szCs w:val="20"/>
              </w:rPr>
              <w:t>CAPITAL ONE FINANCIAL CORPORATION</w:t>
            </w:r>
          </w:p>
        </w:tc>
      </w:tr>
      <w:tr w:rsidR="00000000" w14:paraId="526B0483" w14:textId="77777777">
        <w:trPr>
          <w:divId w:val="1750737079"/>
          <w:trHeight w:val="120"/>
        </w:trPr>
        <w:tc>
          <w:tcPr>
            <w:tcW w:w="0" w:type="auto"/>
            <w:gridSpan w:val="3"/>
            <w:tcMar>
              <w:top w:w="0" w:type="dxa"/>
              <w:left w:w="20" w:type="dxa"/>
              <w:bottom w:w="0" w:type="dxa"/>
              <w:right w:w="20" w:type="dxa"/>
            </w:tcMar>
            <w:vAlign w:val="center"/>
            <w:hideMark/>
          </w:tcPr>
          <w:p w14:paraId="0D79E7A4" w14:textId="77777777" w:rsidR="00000000" w:rsidRDefault="00405D16">
            <w:pPr>
              <w:spacing w:after="100"/>
              <w:rPr>
                <w:rFonts w:eastAsia="Times New Roman"/>
              </w:rPr>
            </w:pPr>
          </w:p>
        </w:tc>
        <w:tc>
          <w:tcPr>
            <w:tcW w:w="0" w:type="auto"/>
            <w:gridSpan w:val="3"/>
            <w:tcMar>
              <w:top w:w="0" w:type="dxa"/>
              <w:left w:w="20" w:type="dxa"/>
              <w:bottom w:w="0" w:type="dxa"/>
              <w:right w:w="20" w:type="dxa"/>
            </w:tcMar>
            <w:vAlign w:val="center"/>
            <w:hideMark/>
          </w:tcPr>
          <w:p w14:paraId="18B8416B"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FB25A3E"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83CFB74"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6875F97" w14:textId="77777777" w:rsidR="00000000" w:rsidRDefault="00405D16">
            <w:pPr>
              <w:spacing w:after="100"/>
              <w:rPr>
                <w:rFonts w:eastAsia="Times New Roman"/>
                <w:sz w:val="20"/>
                <w:szCs w:val="20"/>
              </w:rPr>
            </w:pPr>
          </w:p>
        </w:tc>
      </w:tr>
      <w:tr w:rsidR="00000000" w14:paraId="7A872692" w14:textId="77777777">
        <w:trPr>
          <w:divId w:val="1750737079"/>
        </w:trPr>
        <w:tc>
          <w:tcPr>
            <w:tcW w:w="0" w:type="auto"/>
            <w:gridSpan w:val="3"/>
            <w:tcMar>
              <w:top w:w="30" w:type="dxa"/>
              <w:left w:w="20" w:type="dxa"/>
              <w:bottom w:w="30" w:type="dxa"/>
              <w:right w:w="20" w:type="dxa"/>
            </w:tcMar>
            <w:hideMark/>
          </w:tcPr>
          <w:p w14:paraId="6E98FB91" w14:textId="77777777" w:rsidR="00000000" w:rsidRDefault="00405D16">
            <w:pPr>
              <w:spacing w:after="100"/>
              <w:rPr>
                <w:rFonts w:eastAsia="Times New Roman"/>
              </w:rPr>
            </w:pPr>
            <w:r>
              <w:rPr>
                <w:rFonts w:eastAsia="Times New Roman"/>
                <w:color w:val="000000"/>
                <w:sz w:val="20"/>
                <w:szCs w:val="20"/>
              </w:rPr>
              <w:t>Date: November 5, 2021</w:t>
            </w:r>
          </w:p>
        </w:tc>
        <w:tc>
          <w:tcPr>
            <w:tcW w:w="0" w:type="auto"/>
            <w:gridSpan w:val="3"/>
            <w:tcMar>
              <w:top w:w="30" w:type="dxa"/>
              <w:left w:w="20" w:type="dxa"/>
              <w:bottom w:w="30" w:type="dxa"/>
              <w:right w:w="20" w:type="dxa"/>
            </w:tcMar>
            <w:vAlign w:val="bottom"/>
            <w:hideMark/>
          </w:tcPr>
          <w:p w14:paraId="7DF7CBAE"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264DC288" w14:textId="77777777" w:rsidR="00000000" w:rsidRDefault="00405D16">
            <w:pPr>
              <w:spacing w:after="100"/>
              <w:rPr>
                <w:rFonts w:eastAsia="Times New Roman"/>
              </w:rPr>
            </w:pPr>
            <w:r>
              <w:rPr>
                <w:rFonts w:eastAsia="Times New Roman"/>
                <w:color w:val="000000"/>
                <w:sz w:val="18"/>
                <w:szCs w:val="18"/>
              </w:rPr>
              <w:t>By:</w:t>
            </w:r>
          </w:p>
        </w:tc>
        <w:tc>
          <w:tcPr>
            <w:tcW w:w="0" w:type="auto"/>
            <w:gridSpan w:val="3"/>
            <w:tcMar>
              <w:top w:w="0" w:type="dxa"/>
              <w:left w:w="20" w:type="dxa"/>
              <w:bottom w:w="0" w:type="dxa"/>
              <w:right w:w="20" w:type="dxa"/>
            </w:tcMar>
            <w:vAlign w:val="center"/>
            <w:hideMark/>
          </w:tcPr>
          <w:p w14:paraId="102C99AD" w14:textId="77777777" w:rsidR="00000000" w:rsidRDefault="00405D16">
            <w:pPr>
              <w:spacing w:after="100"/>
              <w:rPr>
                <w:rFonts w:eastAsia="Times New Roman"/>
              </w:rPr>
            </w:pPr>
          </w:p>
        </w:tc>
        <w:tc>
          <w:tcPr>
            <w:tcW w:w="0" w:type="auto"/>
            <w:gridSpan w:val="3"/>
            <w:tcMar>
              <w:top w:w="30" w:type="dxa"/>
              <w:left w:w="20" w:type="dxa"/>
              <w:bottom w:w="30" w:type="dxa"/>
              <w:right w:w="20" w:type="dxa"/>
            </w:tcMar>
            <w:vAlign w:val="bottom"/>
            <w:hideMark/>
          </w:tcPr>
          <w:p w14:paraId="1A103327" w14:textId="77777777" w:rsidR="00000000" w:rsidRDefault="00405D16">
            <w:pPr>
              <w:spacing w:after="100"/>
              <w:rPr>
                <w:rFonts w:eastAsia="Times New Roman"/>
              </w:rPr>
            </w:pPr>
            <w:r>
              <w:rPr>
                <w:rFonts w:eastAsia="Times New Roman"/>
                <w:color w:val="000000"/>
                <w:sz w:val="20"/>
                <w:szCs w:val="20"/>
              </w:rPr>
              <w:t>/s/ ANDREW M. YOUNG</w:t>
            </w:r>
          </w:p>
        </w:tc>
      </w:tr>
      <w:tr w:rsidR="00000000" w14:paraId="4DFF673A" w14:textId="77777777">
        <w:trPr>
          <w:divId w:val="1750737079"/>
        </w:trPr>
        <w:tc>
          <w:tcPr>
            <w:tcW w:w="0" w:type="auto"/>
            <w:gridSpan w:val="3"/>
            <w:tcMar>
              <w:top w:w="0" w:type="dxa"/>
              <w:left w:w="20" w:type="dxa"/>
              <w:bottom w:w="0" w:type="dxa"/>
              <w:right w:w="20" w:type="dxa"/>
            </w:tcMar>
            <w:vAlign w:val="center"/>
            <w:hideMark/>
          </w:tcPr>
          <w:p w14:paraId="2DDFB337" w14:textId="77777777" w:rsidR="00000000" w:rsidRDefault="00405D16">
            <w:pPr>
              <w:spacing w:after="100"/>
              <w:rPr>
                <w:rFonts w:eastAsia="Times New Roman"/>
              </w:rPr>
            </w:pPr>
          </w:p>
        </w:tc>
        <w:tc>
          <w:tcPr>
            <w:tcW w:w="0" w:type="auto"/>
            <w:gridSpan w:val="3"/>
            <w:tcMar>
              <w:top w:w="30" w:type="dxa"/>
              <w:left w:w="20" w:type="dxa"/>
              <w:bottom w:w="30" w:type="dxa"/>
              <w:right w:w="20" w:type="dxa"/>
            </w:tcMar>
            <w:vAlign w:val="bottom"/>
            <w:hideMark/>
          </w:tcPr>
          <w:p w14:paraId="79EB0856"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48ABD6C2" w14:textId="77777777" w:rsidR="00000000" w:rsidRDefault="00405D16">
            <w:pPr>
              <w:spacing w:after="100"/>
              <w:rPr>
                <w:rFonts w:eastAsia="Times New Roman"/>
              </w:rPr>
            </w:pPr>
          </w:p>
        </w:tc>
        <w:tc>
          <w:tcPr>
            <w:tcW w:w="0" w:type="auto"/>
            <w:gridSpan w:val="3"/>
            <w:tcMar>
              <w:top w:w="0" w:type="dxa"/>
              <w:left w:w="20" w:type="dxa"/>
              <w:bottom w:w="0" w:type="dxa"/>
              <w:right w:w="20" w:type="dxa"/>
            </w:tcMar>
            <w:vAlign w:val="center"/>
            <w:hideMark/>
          </w:tcPr>
          <w:p w14:paraId="035AB2B6" w14:textId="77777777" w:rsidR="00000000" w:rsidRDefault="00405D1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14:paraId="4986A89D" w14:textId="77777777" w:rsidR="00000000" w:rsidRDefault="00405D16">
            <w:pPr>
              <w:spacing w:after="100"/>
              <w:rPr>
                <w:rFonts w:eastAsia="Times New Roman"/>
              </w:rPr>
            </w:pPr>
            <w:r>
              <w:rPr>
                <w:rFonts w:eastAsia="Times New Roman"/>
                <w:color w:val="000000"/>
                <w:sz w:val="20"/>
                <w:szCs w:val="20"/>
              </w:rPr>
              <w:t>Andrew M. Young</w:t>
            </w:r>
          </w:p>
        </w:tc>
      </w:tr>
      <w:tr w:rsidR="00000000" w14:paraId="3791C2B9" w14:textId="77777777">
        <w:trPr>
          <w:divId w:val="1750737079"/>
        </w:trPr>
        <w:tc>
          <w:tcPr>
            <w:tcW w:w="0" w:type="auto"/>
            <w:gridSpan w:val="3"/>
            <w:tcMar>
              <w:top w:w="0" w:type="dxa"/>
              <w:left w:w="20" w:type="dxa"/>
              <w:bottom w:w="0" w:type="dxa"/>
              <w:right w:w="20" w:type="dxa"/>
            </w:tcMar>
            <w:vAlign w:val="center"/>
            <w:hideMark/>
          </w:tcPr>
          <w:p w14:paraId="5A27EDE4" w14:textId="77777777" w:rsidR="00000000" w:rsidRDefault="00405D16">
            <w:pPr>
              <w:spacing w:after="100"/>
              <w:rPr>
                <w:rFonts w:eastAsia="Times New Roman"/>
              </w:rPr>
            </w:pPr>
          </w:p>
        </w:tc>
        <w:tc>
          <w:tcPr>
            <w:tcW w:w="0" w:type="auto"/>
            <w:gridSpan w:val="3"/>
            <w:tcMar>
              <w:top w:w="30" w:type="dxa"/>
              <w:left w:w="20" w:type="dxa"/>
              <w:bottom w:w="30" w:type="dxa"/>
              <w:right w:w="20" w:type="dxa"/>
            </w:tcMar>
            <w:vAlign w:val="bottom"/>
            <w:hideMark/>
          </w:tcPr>
          <w:p w14:paraId="48DE2B27" w14:textId="77777777" w:rsidR="00000000" w:rsidRDefault="00405D16">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0E2A6385" w14:textId="77777777" w:rsidR="00000000" w:rsidRDefault="00405D16">
            <w:pPr>
              <w:spacing w:after="100"/>
              <w:rPr>
                <w:rFonts w:eastAsia="Times New Roman"/>
              </w:rPr>
            </w:pPr>
          </w:p>
        </w:tc>
        <w:tc>
          <w:tcPr>
            <w:tcW w:w="0" w:type="auto"/>
            <w:gridSpan w:val="3"/>
            <w:tcMar>
              <w:top w:w="0" w:type="dxa"/>
              <w:left w:w="20" w:type="dxa"/>
              <w:bottom w:w="0" w:type="dxa"/>
              <w:right w:w="20" w:type="dxa"/>
            </w:tcMar>
            <w:vAlign w:val="center"/>
            <w:hideMark/>
          </w:tcPr>
          <w:p w14:paraId="0B388B75"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34ACC71" w14:textId="77777777" w:rsidR="00000000" w:rsidRDefault="00405D16">
            <w:pPr>
              <w:spacing w:after="100"/>
              <w:rPr>
                <w:rFonts w:eastAsia="Times New Roman"/>
              </w:rPr>
            </w:pPr>
            <w:r>
              <w:rPr>
                <w:rFonts w:eastAsia="Times New Roman"/>
                <w:color w:val="000000"/>
                <w:sz w:val="20"/>
                <w:szCs w:val="20"/>
              </w:rPr>
              <w:t>Chief Financial Officer</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3684"/>
        <w:gridCol w:w="144"/>
        <w:gridCol w:w="144"/>
        <w:gridCol w:w="144"/>
        <w:gridCol w:w="144"/>
        <w:gridCol w:w="144"/>
        <w:gridCol w:w="2968"/>
        <w:gridCol w:w="144"/>
        <w:gridCol w:w="144"/>
        <w:gridCol w:w="144"/>
        <w:gridCol w:w="144"/>
        <w:gridCol w:w="144"/>
        <w:gridCol w:w="1255"/>
        <w:gridCol w:w="144"/>
      </w:tblGrid>
      <w:tr w:rsidR="00000000" w14:paraId="5D2028D7" w14:textId="77777777">
        <w:trPr>
          <w:jc w:val="center"/>
        </w:trPr>
        <w:tc>
          <w:tcPr>
            <w:tcW w:w="50" w:type="pct"/>
            <w:vAlign w:val="center"/>
            <w:hideMark/>
          </w:tcPr>
          <w:p w14:paraId="6DE80B78" w14:textId="77777777" w:rsidR="00000000" w:rsidRDefault="00405D16">
            <w:pPr>
              <w:jc w:val="both"/>
              <w:rPr>
                <w:rFonts w:eastAsia="Times New Roman"/>
              </w:rPr>
            </w:pPr>
          </w:p>
        </w:tc>
        <w:tc>
          <w:tcPr>
            <w:tcW w:w="2218" w:type="pct"/>
            <w:vAlign w:val="center"/>
            <w:hideMark/>
          </w:tcPr>
          <w:p w14:paraId="7A0CF9BE" w14:textId="77777777" w:rsidR="00000000" w:rsidRDefault="00405D16">
            <w:pPr>
              <w:spacing w:after="100"/>
              <w:rPr>
                <w:rFonts w:eastAsia="Times New Roman"/>
                <w:sz w:val="20"/>
                <w:szCs w:val="20"/>
              </w:rPr>
            </w:pPr>
          </w:p>
        </w:tc>
        <w:tc>
          <w:tcPr>
            <w:tcW w:w="5" w:type="pct"/>
            <w:vAlign w:val="center"/>
            <w:hideMark/>
          </w:tcPr>
          <w:p w14:paraId="5ED5F7AA" w14:textId="77777777" w:rsidR="00000000" w:rsidRDefault="00405D16">
            <w:pPr>
              <w:spacing w:after="100"/>
              <w:rPr>
                <w:rFonts w:eastAsia="Times New Roman"/>
                <w:sz w:val="20"/>
                <w:szCs w:val="20"/>
              </w:rPr>
            </w:pPr>
          </w:p>
        </w:tc>
        <w:tc>
          <w:tcPr>
            <w:tcW w:w="5" w:type="pct"/>
            <w:vAlign w:val="center"/>
            <w:hideMark/>
          </w:tcPr>
          <w:p w14:paraId="518B2885" w14:textId="77777777" w:rsidR="00000000" w:rsidRDefault="00405D16">
            <w:pPr>
              <w:spacing w:after="100"/>
              <w:rPr>
                <w:rFonts w:eastAsia="Times New Roman"/>
                <w:sz w:val="20"/>
                <w:szCs w:val="20"/>
              </w:rPr>
            </w:pPr>
          </w:p>
        </w:tc>
        <w:tc>
          <w:tcPr>
            <w:tcW w:w="26" w:type="pct"/>
            <w:vAlign w:val="center"/>
            <w:hideMark/>
          </w:tcPr>
          <w:p w14:paraId="629E6881" w14:textId="77777777" w:rsidR="00000000" w:rsidRDefault="00405D16">
            <w:pPr>
              <w:spacing w:after="100"/>
              <w:rPr>
                <w:rFonts w:eastAsia="Times New Roman"/>
                <w:sz w:val="20"/>
                <w:szCs w:val="20"/>
              </w:rPr>
            </w:pPr>
          </w:p>
        </w:tc>
        <w:tc>
          <w:tcPr>
            <w:tcW w:w="5" w:type="pct"/>
            <w:vAlign w:val="center"/>
            <w:hideMark/>
          </w:tcPr>
          <w:p w14:paraId="721C162B" w14:textId="77777777" w:rsidR="00000000" w:rsidRDefault="00405D16">
            <w:pPr>
              <w:spacing w:after="100"/>
              <w:rPr>
                <w:rFonts w:eastAsia="Times New Roman"/>
                <w:sz w:val="20"/>
                <w:szCs w:val="20"/>
              </w:rPr>
            </w:pPr>
          </w:p>
        </w:tc>
        <w:tc>
          <w:tcPr>
            <w:tcW w:w="50" w:type="pct"/>
            <w:vAlign w:val="center"/>
            <w:hideMark/>
          </w:tcPr>
          <w:p w14:paraId="3A8B72BF" w14:textId="77777777" w:rsidR="00000000" w:rsidRDefault="00405D16">
            <w:pPr>
              <w:spacing w:after="100"/>
              <w:rPr>
                <w:rFonts w:eastAsia="Times New Roman"/>
                <w:sz w:val="20"/>
                <w:szCs w:val="20"/>
              </w:rPr>
            </w:pPr>
          </w:p>
        </w:tc>
        <w:tc>
          <w:tcPr>
            <w:tcW w:w="1787" w:type="pct"/>
            <w:vAlign w:val="center"/>
            <w:hideMark/>
          </w:tcPr>
          <w:p w14:paraId="12BDDE6F" w14:textId="77777777" w:rsidR="00000000" w:rsidRDefault="00405D16">
            <w:pPr>
              <w:spacing w:after="100"/>
              <w:rPr>
                <w:rFonts w:eastAsia="Times New Roman"/>
                <w:sz w:val="20"/>
                <w:szCs w:val="20"/>
              </w:rPr>
            </w:pPr>
          </w:p>
        </w:tc>
        <w:tc>
          <w:tcPr>
            <w:tcW w:w="5" w:type="pct"/>
            <w:vAlign w:val="center"/>
            <w:hideMark/>
          </w:tcPr>
          <w:p w14:paraId="190B0206" w14:textId="77777777" w:rsidR="00000000" w:rsidRDefault="00405D16">
            <w:pPr>
              <w:spacing w:after="100"/>
              <w:rPr>
                <w:rFonts w:eastAsia="Times New Roman"/>
                <w:sz w:val="20"/>
                <w:szCs w:val="20"/>
              </w:rPr>
            </w:pPr>
          </w:p>
        </w:tc>
        <w:tc>
          <w:tcPr>
            <w:tcW w:w="5" w:type="pct"/>
            <w:vAlign w:val="center"/>
            <w:hideMark/>
          </w:tcPr>
          <w:p w14:paraId="56594E69" w14:textId="77777777" w:rsidR="00000000" w:rsidRDefault="00405D16">
            <w:pPr>
              <w:spacing w:after="100"/>
              <w:rPr>
                <w:rFonts w:eastAsia="Times New Roman"/>
                <w:sz w:val="20"/>
                <w:szCs w:val="20"/>
              </w:rPr>
            </w:pPr>
          </w:p>
        </w:tc>
        <w:tc>
          <w:tcPr>
            <w:tcW w:w="26" w:type="pct"/>
            <w:vAlign w:val="center"/>
            <w:hideMark/>
          </w:tcPr>
          <w:p w14:paraId="3B21EEC2" w14:textId="77777777" w:rsidR="00000000" w:rsidRDefault="00405D16">
            <w:pPr>
              <w:spacing w:after="100"/>
              <w:rPr>
                <w:rFonts w:eastAsia="Times New Roman"/>
                <w:sz w:val="20"/>
                <w:szCs w:val="20"/>
              </w:rPr>
            </w:pPr>
          </w:p>
        </w:tc>
        <w:tc>
          <w:tcPr>
            <w:tcW w:w="5" w:type="pct"/>
            <w:vAlign w:val="center"/>
            <w:hideMark/>
          </w:tcPr>
          <w:p w14:paraId="1FD14F70" w14:textId="77777777" w:rsidR="00000000" w:rsidRDefault="00405D16">
            <w:pPr>
              <w:spacing w:after="100"/>
              <w:rPr>
                <w:rFonts w:eastAsia="Times New Roman"/>
                <w:sz w:val="20"/>
                <w:szCs w:val="20"/>
              </w:rPr>
            </w:pPr>
          </w:p>
        </w:tc>
        <w:tc>
          <w:tcPr>
            <w:tcW w:w="50" w:type="pct"/>
            <w:vAlign w:val="center"/>
            <w:hideMark/>
          </w:tcPr>
          <w:p w14:paraId="3BE12FB0" w14:textId="77777777" w:rsidR="00000000" w:rsidRDefault="00405D16">
            <w:pPr>
              <w:spacing w:after="100"/>
              <w:rPr>
                <w:rFonts w:eastAsia="Times New Roman"/>
                <w:sz w:val="20"/>
                <w:szCs w:val="20"/>
              </w:rPr>
            </w:pPr>
          </w:p>
        </w:tc>
        <w:tc>
          <w:tcPr>
            <w:tcW w:w="756" w:type="pct"/>
            <w:vAlign w:val="center"/>
            <w:hideMark/>
          </w:tcPr>
          <w:p w14:paraId="48EF4F06" w14:textId="77777777" w:rsidR="00000000" w:rsidRDefault="00405D16">
            <w:pPr>
              <w:spacing w:after="100"/>
              <w:rPr>
                <w:rFonts w:eastAsia="Times New Roman"/>
                <w:sz w:val="20"/>
                <w:szCs w:val="20"/>
              </w:rPr>
            </w:pPr>
          </w:p>
        </w:tc>
        <w:tc>
          <w:tcPr>
            <w:tcW w:w="5" w:type="pct"/>
            <w:vAlign w:val="center"/>
            <w:hideMark/>
          </w:tcPr>
          <w:p w14:paraId="1FB77C16" w14:textId="77777777" w:rsidR="00000000" w:rsidRDefault="00405D16">
            <w:pPr>
              <w:spacing w:after="100"/>
              <w:rPr>
                <w:rFonts w:eastAsia="Times New Roman"/>
                <w:sz w:val="20"/>
                <w:szCs w:val="20"/>
              </w:rPr>
            </w:pPr>
          </w:p>
        </w:tc>
      </w:tr>
      <w:tr w:rsidR="00000000" w14:paraId="5A63E383" w14:textId="77777777">
        <w:trPr>
          <w:trHeight w:val="60"/>
          <w:jc w:val="center"/>
        </w:trPr>
        <w:tc>
          <w:tcPr>
            <w:tcW w:w="0" w:type="auto"/>
            <w:gridSpan w:val="3"/>
            <w:tcMar>
              <w:top w:w="0" w:type="dxa"/>
              <w:left w:w="20" w:type="dxa"/>
              <w:bottom w:w="0" w:type="dxa"/>
              <w:right w:w="20" w:type="dxa"/>
            </w:tcMar>
            <w:vAlign w:val="center"/>
            <w:hideMark/>
          </w:tcPr>
          <w:p w14:paraId="35CB9992"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ECF4B3B"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186046D"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D64BC51" w14:textId="77777777" w:rsidR="00000000" w:rsidRDefault="00405D1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C99266C" w14:textId="77777777" w:rsidR="00000000" w:rsidRDefault="00405D16">
            <w:pPr>
              <w:spacing w:after="100"/>
              <w:rPr>
                <w:rFonts w:eastAsia="Times New Roman"/>
                <w:sz w:val="20"/>
                <w:szCs w:val="20"/>
              </w:rPr>
            </w:pPr>
          </w:p>
        </w:tc>
      </w:tr>
      <w:tr w:rsidR="00000000" w14:paraId="4EA612BE" w14:textId="77777777">
        <w:trPr>
          <w:jc w:val="center"/>
        </w:trPr>
        <w:tc>
          <w:tcPr>
            <w:tcW w:w="0" w:type="auto"/>
            <w:gridSpan w:val="3"/>
            <w:vAlign w:val="center"/>
            <w:hideMark/>
          </w:tcPr>
          <w:p w14:paraId="451BF01B" w14:textId="77777777" w:rsidR="00000000" w:rsidRDefault="00405D16">
            <w:pPr>
              <w:spacing w:after="100"/>
              <w:rPr>
                <w:rFonts w:eastAsia="Times New Roman"/>
                <w:sz w:val="20"/>
                <w:szCs w:val="20"/>
              </w:rPr>
            </w:pPr>
          </w:p>
        </w:tc>
        <w:tc>
          <w:tcPr>
            <w:tcW w:w="0" w:type="auto"/>
            <w:gridSpan w:val="3"/>
            <w:vAlign w:val="center"/>
            <w:hideMark/>
          </w:tcPr>
          <w:p w14:paraId="5BD71BA4" w14:textId="77777777" w:rsidR="00000000" w:rsidRDefault="00405D16">
            <w:pPr>
              <w:spacing w:after="100"/>
              <w:rPr>
                <w:rFonts w:eastAsia="Times New Roman"/>
                <w:sz w:val="20"/>
                <w:szCs w:val="20"/>
              </w:rPr>
            </w:pPr>
          </w:p>
        </w:tc>
        <w:tc>
          <w:tcPr>
            <w:tcW w:w="0" w:type="auto"/>
            <w:gridSpan w:val="3"/>
            <w:vAlign w:val="center"/>
            <w:hideMark/>
          </w:tcPr>
          <w:p w14:paraId="664C48A1" w14:textId="77777777" w:rsidR="00000000" w:rsidRDefault="00405D16">
            <w:pPr>
              <w:spacing w:after="100"/>
              <w:rPr>
                <w:rFonts w:eastAsia="Times New Roman"/>
                <w:sz w:val="20"/>
                <w:szCs w:val="20"/>
              </w:rPr>
            </w:pPr>
          </w:p>
        </w:tc>
        <w:tc>
          <w:tcPr>
            <w:tcW w:w="0" w:type="auto"/>
            <w:gridSpan w:val="3"/>
            <w:vAlign w:val="center"/>
            <w:hideMark/>
          </w:tcPr>
          <w:p w14:paraId="178B3177" w14:textId="77777777" w:rsidR="00000000" w:rsidRDefault="00405D16">
            <w:pPr>
              <w:spacing w:after="100"/>
              <w:rPr>
                <w:rFonts w:eastAsia="Times New Roman"/>
                <w:sz w:val="20"/>
                <w:szCs w:val="20"/>
              </w:rPr>
            </w:pPr>
          </w:p>
        </w:tc>
        <w:tc>
          <w:tcPr>
            <w:tcW w:w="0" w:type="auto"/>
            <w:gridSpan w:val="3"/>
            <w:vAlign w:val="center"/>
            <w:hideMark/>
          </w:tcPr>
          <w:p w14:paraId="51F56810" w14:textId="77777777" w:rsidR="00000000" w:rsidRDefault="00405D16">
            <w:pPr>
              <w:spacing w:after="100"/>
              <w:rPr>
                <w:rFonts w:eastAsia="Times New Roman"/>
                <w:sz w:val="20"/>
                <w:szCs w:val="20"/>
              </w:rPr>
            </w:pPr>
          </w:p>
        </w:tc>
      </w:tr>
      <w:tr w:rsidR="00000000" w14:paraId="76038E69" w14:textId="77777777">
        <w:trPr>
          <w:jc w:val="center"/>
        </w:trPr>
        <w:tc>
          <w:tcPr>
            <w:tcW w:w="0" w:type="auto"/>
            <w:gridSpan w:val="3"/>
            <w:vAlign w:val="center"/>
            <w:hideMark/>
          </w:tcPr>
          <w:p w14:paraId="5429D033" w14:textId="77777777" w:rsidR="00000000" w:rsidRDefault="00405D16">
            <w:pPr>
              <w:spacing w:after="100"/>
              <w:rPr>
                <w:rFonts w:eastAsia="Times New Roman"/>
                <w:sz w:val="20"/>
                <w:szCs w:val="20"/>
              </w:rPr>
            </w:pPr>
          </w:p>
        </w:tc>
        <w:tc>
          <w:tcPr>
            <w:tcW w:w="0" w:type="auto"/>
            <w:gridSpan w:val="3"/>
            <w:vAlign w:val="center"/>
            <w:hideMark/>
          </w:tcPr>
          <w:p w14:paraId="632511D0" w14:textId="77777777" w:rsidR="00000000" w:rsidRDefault="00405D16">
            <w:pPr>
              <w:spacing w:after="100"/>
              <w:rPr>
                <w:rFonts w:eastAsia="Times New Roman"/>
                <w:sz w:val="20"/>
                <w:szCs w:val="20"/>
              </w:rPr>
            </w:pPr>
          </w:p>
        </w:tc>
        <w:tc>
          <w:tcPr>
            <w:tcW w:w="0" w:type="auto"/>
            <w:gridSpan w:val="3"/>
            <w:vAlign w:val="center"/>
            <w:hideMark/>
          </w:tcPr>
          <w:p w14:paraId="202937E0" w14:textId="77777777" w:rsidR="00000000" w:rsidRDefault="00405D16">
            <w:pPr>
              <w:spacing w:after="100"/>
              <w:rPr>
                <w:rFonts w:eastAsia="Times New Roman"/>
                <w:sz w:val="20"/>
                <w:szCs w:val="20"/>
              </w:rPr>
            </w:pPr>
          </w:p>
        </w:tc>
        <w:tc>
          <w:tcPr>
            <w:tcW w:w="0" w:type="auto"/>
            <w:gridSpan w:val="3"/>
            <w:vAlign w:val="center"/>
            <w:hideMark/>
          </w:tcPr>
          <w:p w14:paraId="685141A6" w14:textId="77777777" w:rsidR="00000000" w:rsidRDefault="00405D16">
            <w:pPr>
              <w:spacing w:after="100"/>
              <w:rPr>
                <w:rFonts w:eastAsia="Times New Roman"/>
                <w:sz w:val="20"/>
                <w:szCs w:val="20"/>
              </w:rPr>
            </w:pPr>
          </w:p>
        </w:tc>
        <w:tc>
          <w:tcPr>
            <w:tcW w:w="0" w:type="auto"/>
            <w:gridSpan w:val="3"/>
            <w:vAlign w:val="center"/>
            <w:hideMark/>
          </w:tcPr>
          <w:p w14:paraId="10505CC4" w14:textId="77777777" w:rsidR="00000000" w:rsidRDefault="00405D16">
            <w:pPr>
              <w:spacing w:after="100"/>
              <w:rPr>
                <w:rFonts w:eastAsia="Times New Roman"/>
                <w:sz w:val="20"/>
                <w:szCs w:val="20"/>
              </w:rPr>
            </w:pPr>
          </w:p>
        </w:tc>
      </w:tr>
      <w:tr w:rsidR="00000000" w14:paraId="4EDF1AD6" w14:textId="77777777">
        <w:trPr>
          <w:jc w:val="center"/>
        </w:trPr>
        <w:tc>
          <w:tcPr>
            <w:tcW w:w="0" w:type="auto"/>
            <w:gridSpan w:val="3"/>
            <w:vAlign w:val="center"/>
            <w:hideMark/>
          </w:tcPr>
          <w:p w14:paraId="017B4FBA" w14:textId="77777777" w:rsidR="00000000" w:rsidRDefault="00405D16">
            <w:pPr>
              <w:spacing w:after="100"/>
              <w:rPr>
                <w:rFonts w:eastAsia="Times New Roman"/>
                <w:sz w:val="20"/>
                <w:szCs w:val="20"/>
              </w:rPr>
            </w:pPr>
          </w:p>
        </w:tc>
        <w:tc>
          <w:tcPr>
            <w:tcW w:w="0" w:type="auto"/>
            <w:gridSpan w:val="3"/>
            <w:vAlign w:val="center"/>
            <w:hideMark/>
          </w:tcPr>
          <w:p w14:paraId="72AE5687" w14:textId="77777777" w:rsidR="00000000" w:rsidRDefault="00405D16">
            <w:pPr>
              <w:spacing w:after="100"/>
              <w:rPr>
                <w:rFonts w:eastAsia="Times New Roman"/>
                <w:sz w:val="20"/>
                <w:szCs w:val="20"/>
              </w:rPr>
            </w:pPr>
          </w:p>
        </w:tc>
        <w:tc>
          <w:tcPr>
            <w:tcW w:w="0" w:type="auto"/>
            <w:gridSpan w:val="3"/>
            <w:vAlign w:val="center"/>
            <w:hideMark/>
          </w:tcPr>
          <w:p w14:paraId="253A6F95" w14:textId="77777777" w:rsidR="00000000" w:rsidRDefault="00405D16">
            <w:pPr>
              <w:spacing w:after="100"/>
              <w:rPr>
                <w:rFonts w:eastAsia="Times New Roman"/>
                <w:sz w:val="20"/>
                <w:szCs w:val="20"/>
              </w:rPr>
            </w:pPr>
          </w:p>
        </w:tc>
        <w:tc>
          <w:tcPr>
            <w:tcW w:w="0" w:type="auto"/>
            <w:gridSpan w:val="3"/>
            <w:vAlign w:val="center"/>
            <w:hideMark/>
          </w:tcPr>
          <w:p w14:paraId="4DD773C8" w14:textId="77777777" w:rsidR="00000000" w:rsidRDefault="00405D16">
            <w:pPr>
              <w:spacing w:after="100"/>
              <w:rPr>
                <w:rFonts w:eastAsia="Times New Roman"/>
                <w:sz w:val="20"/>
                <w:szCs w:val="20"/>
              </w:rPr>
            </w:pPr>
          </w:p>
        </w:tc>
        <w:tc>
          <w:tcPr>
            <w:tcW w:w="0" w:type="auto"/>
            <w:gridSpan w:val="3"/>
            <w:vAlign w:val="center"/>
            <w:hideMark/>
          </w:tcPr>
          <w:p w14:paraId="5D819287" w14:textId="77777777" w:rsidR="00000000" w:rsidRDefault="00405D16">
            <w:pPr>
              <w:spacing w:after="100"/>
              <w:rPr>
                <w:rFonts w:eastAsia="Times New Roman"/>
                <w:sz w:val="20"/>
                <w:szCs w:val="20"/>
              </w:rPr>
            </w:pPr>
          </w:p>
        </w:tc>
      </w:tr>
      <w:tr w:rsidR="00000000" w14:paraId="55BE23F9" w14:textId="77777777">
        <w:trPr>
          <w:jc w:val="center"/>
        </w:trPr>
        <w:tc>
          <w:tcPr>
            <w:tcW w:w="0" w:type="auto"/>
            <w:gridSpan w:val="3"/>
            <w:vAlign w:val="center"/>
            <w:hideMark/>
          </w:tcPr>
          <w:p w14:paraId="60155CC1" w14:textId="77777777" w:rsidR="00000000" w:rsidRDefault="00405D16">
            <w:pPr>
              <w:spacing w:after="100"/>
              <w:rPr>
                <w:rFonts w:eastAsia="Times New Roman"/>
                <w:sz w:val="20"/>
                <w:szCs w:val="20"/>
              </w:rPr>
            </w:pPr>
          </w:p>
        </w:tc>
        <w:tc>
          <w:tcPr>
            <w:tcW w:w="0" w:type="auto"/>
            <w:gridSpan w:val="3"/>
            <w:vAlign w:val="center"/>
            <w:hideMark/>
          </w:tcPr>
          <w:p w14:paraId="2E94503A" w14:textId="77777777" w:rsidR="00000000" w:rsidRDefault="00405D16">
            <w:pPr>
              <w:spacing w:after="100"/>
              <w:rPr>
                <w:rFonts w:eastAsia="Times New Roman"/>
                <w:sz w:val="20"/>
                <w:szCs w:val="20"/>
              </w:rPr>
            </w:pPr>
          </w:p>
        </w:tc>
        <w:tc>
          <w:tcPr>
            <w:tcW w:w="0" w:type="auto"/>
            <w:gridSpan w:val="3"/>
            <w:vAlign w:val="center"/>
            <w:hideMark/>
          </w:tcPr>
          <w:p w14:paraId="0AD67B12" w14:textId="77777777" w:rsidR="00000000" w:rsidRDefault="00405D16">
            <w:pPr>
              <w:spacing w:after="100"/>
              <w:rPr>
                <w:rFonts w:eastAsia="Times New Roman"/>
                <w:sz w:val="20"/>
                <w:szCs w:val="20"/>
              </w:rPr>
            </w:pPr>
          </w:p>
        </w:tc>
        <w:tc>
          <w:tcPr>
            <w:tcW w:w="0" w:type="auto"/>
            <w:gridSpan w:val="3"/>
            <w:vAlign w:val="center"/>
            <w:hideMark/>
          </w:tcPr>
          <w:p w14:paraId="613C0547" w14:textId="77777777" w:rsidR="00000000" w:rsidRDefault="00405D16">
            <w:pPr>
              <w:spacing w:after="100"/>
              <w:rPr>
                <w:rFonts w:eastAsia="Times New Roman"/>
                <w:sz w:val="20"/>
                <w:szCs w:val="20"/>
              </w:rPr>
            </w:pPr>
          </w:p>
        </w:tc>
        <w:tc>
          <w:tcPr>
            <w:tcW w:w="0" w:type="auto"/>
            <w:gridSpan w:val="3"/>
            <w:vAlign w:val="center"/>
            <w:hideMark/>
          </w:tcPr>
          <w:p w14:paraId="56A36748" w14:textId="77777777" w:rsidR="00000000" w:rsidRDefault="00405D16">
            <w:pPr>
              <w:spacing w:after="100"/>
              <w:rPr>
                <w:rFonts w:eastAsia="Times New Roman"/>
                <w:sz w:val="20"/>
                <w:szCs w:val="20"/>
              </w:rPr>
            </w:pPr>
          </w:p>
        </w:tc>
      </w:tr>
      <w:tr w:rsidR="00000000" w14:paraId="180B2A9A" w14:textId="77777777">
        <w:trPr>
          <w:jc w:val="center"/>
        </w:trPr>
        <w:tc>
          <w:tcPr>
            <w:tcW w:w="0" w:type="auto"/>
            <w:gridSpan w:val="3"/>
            <w:vAlign w:val="center"/>
            <w:hideMark/>
          </w:tcPr>
          <w:p w14:paraId="7A76FA18" w14:textId="77777777" w:rsidR="00000000" w:rsidRDefault="00405D16">
            <w:pPr>
              <w:spacing w:after="100"/>
              <w:rPr>
                <w:rFonts w:eastAsia="Times New Roman"/>
                <w:sz w:val="20"/>
                <w:szCs w:val="20"/>
              </w:rPr>
            </w:pPr>
          </w:p>
        </w:tc>
        <w:tc>
          <w:tcPr>
            <w:tcW w:w="0" w:type="auto"/>
            <w:gridSpan w:val="3"/>
            <w:vAlign w:val="center"/>
            <w:hideMark/>
          </w:tcPr>
          <w:p w14:paraId="41656779" w14:textId="77777777" w:rsidR="00000000" w:rsidRDefault="00405D16">
            <w:pPr>
              <w:spacing w:after="100"/>
              <w:rPr>
                <w:rFonts w:eastAsia="Times New Roman"/>
                <w:sz w:val="20"/>
                <w:szCs w:val="20"/>
              </w:rPr>
            </w:pPr>
          </w:p>
        </w:tc>
        <w:tc>
          <w:tcPr>
            <w:tcW w:w="0" w:type="auto"/>
            <w:gridSpan w:val="3"/>
            <w:vAlign w:val="center"/>
            <w:hideMark/>
          </w:tcPr>
          <w:p w14:paraId="6A3F776E" w14:textId="77777777" w:rsidR="00000000" w:rsidRDefault="00405D16">
            <w:pPr>
              <w:spacing w:after="100"/>
              <w:rPr>
                <w:rFonts w:eastAsia="Times New Roman"/>
                <w:sz w:val="20"/>
                <w:szCs w:val="20"/>
              </w:rPr>
            </w:pPr>
          </w:p>
        </w:tc>
        <w:tc>
          <w:tcPr>
            <w:tcW w:w="0" w:type="auto"/>
            <w:gridSpan w:val="3"/>
            <w:vAlign w:val="center"/>
            <w:hideMark/>
          </w:tcPr>
          <w:p w14:paraId="1FD59513" w14:textId="77777777" w:rsidR="00000000" w:rsidRDefault="00405D16">
            <w:pPr>
              <w:spacing w:after="100"/>
              <w:rPr>
                <w:rFonts w:eastAsia="Times New Roman"/>
                <w:sz w:val="20"/>
                <w:szCs w:val="20"/>
              </w:rPr>
            </w:pPr>
          </w:p>
        </w:tc>
        <w:tc>
          <w:tcPr>
            <w:tcW w:w="0" w:type="auto"/>
            <w:gridSpan w:val="3"/>
            <w:vAlign w:val="center"/>
            <w:hideMark/>
          </w:tcPr>
          <w:p w14:paraId="5FC4B2C5" w14:textId="77777777" w:rsidR="00000000" w:rsidRDefault="00405D16">
            <w:pPr>
              <w:spacing w:after="100"/>
              <w:rPr>
                <w:rFonts w:eastAsia="Times New Roman"/>
                <w:sz w:val="20"/>
                <w:szCs w:val="20"/>
              </w:rPr>
            </w:pPr>
          </w:p>
        </w:tc>
      </w:tr>
      <w:tr w:rsidR="00000000" w14:paraId="3C7BF7D4" w14:textId="77777777">
        <w:trPr>
          <w:jc w:val="center"/>
        </w:trPr>
        <w:tc>
          <w:tcPr>
            <w:tcW w:w="0" w:type="auto"/>
            <w:gridSpan w:val="3"/>
            <w:vAlign w:val="center"/>
            <w:hideMark/>
          </w:tcPr>
          <w:p w14:paraId="7F6E1328" w14:textId="77777777" w:rsidR="00000000" w:rsidRDefault="00405D16">
            <w:pPr>
              <w:spacing w:after="100"/>
              <w:rPr>
                <w:rFonts w:eastAsia="Times New Roman"/>
                <w:sz w:val="20"/>
                <w:szCs w:val="20"/>
              </w:rPr>
            </w:pPr>
          </w:p>
        </w:tc>
        <w:tc>
          <w:tcPr>
            <w:tcW w:w="0" w:type="auto"/>
            <w:gridSpan w:val="3"/>
            <w:vAlign w:val="center"/>
            <w:hideMark/>
          </w:tcPr>
          <w:p w14:paraId="3CE1F518" w14:textId="77777777" w:rsidR="00000000" w:rsidRDefault="00405D16">
            <w:pPr>
              <w:spacing w:after="100"/>
              <w:rPr>
                <w:rFonts w:eastAsia="Times New Roman"/>
                <w:sz w:val="20"/>
                <w:szCs w:val="20"/>
              </w:rPr>
            </w:pPr>
          </w:p>
        </w:tc>
        <w:tc>
          <w:tcPr>
            <w:tcW w:w="0" w:type="auto"/>
            <w:gridSpan w:val="3"/>
            <w:vAlign w:val="center"/>
            <w:hideMark/>
          </w:tcPr>
          <w:p w14:paraId="43847475" w14:textId="77777777" w:rsidR="00000000" w:rsidRDefault="00405D16">
            <w:pPr>
              <w:spacing w:after="100"/>
              <w:rPr>
                <w:rFonts w:eastAsia="Times New Roman"/>
                <w:sz w:val="20"/>
                <w:szCs w:val="20"/>
              </w:rPr>
            </w:pPr>
          </w:p>
        </w:tc>
        <w:tc>
          <w:tcPr>
            <w:tcW w:w="0" w:type="auto"/>
            <w:gridSpan w:val="3"/>
            <w:vAlign w:val="center"/>
            <w:hideMark/>
          </w:tcPr>
          <w:p w14:paraId="4B748512" w14:textId="77777777" w:rsidR="00000000" w:rsidRDefault="00405D16">
            <w:pPr>
              <w:spacing w:after="100"/>
              <w:rPr>
                <w:rFonts w:eastAsia="Times New Roman"/>
                <w:sz w:val="20"/>
                <w:szCs w:val="20"/>
              </w:rPr>
            </w:pPr>
          </w:p>
        </w:tc>
        <w:tc>
          <w:tcPr>
            <w:tcW w:w="0" w:type="auto"/>
            <w:gridSpan w:val="3"/>
            <w:vAlign w:val="center"/>
            <w:hideMark/>
          </w:tcPr>
          <w:p w14:paraId="5021D1D7" w14:textId="77777777" w:rsidR="00000000" w:rsidRDefault="00405D16">
            <w:pPr>
              <w:spacing w:after="100"/>
              <w:rPr>
                <w:rFonts w:eastAsia="Times New Roman"/>
                <w:sz w:val="20"/>
                <w:szCs w:val="20"/>
              </w:rPr>
            </w:pPr>
          </w:p>
        </w:tc>
      </w:tr>
      <w:tr w:rsidR="00000000" w14:paraId="78B2DFAF" w14:textId="77777777">
        <w:trPr>
          <w:jc w:val="center"/>
        </w:trPr>
        <w:tc>
          <w:tcPr>
            <w:tcW w:w="0" w:type="auto"/>
            <w:gridSpan w:val="3"/>
            <w:vAlign w:val="center"/>
            <w:hideMark/>
          </w:tcPr>
          <w:p w14:paraId="7ADF47DE" w14:textId="77777777" w:rsidR="00000000" w:rsidRDefault="00405D16">
            <w:pPr>
              <w:spacing w:after="100"/>
              <w:rPr>
                <w:rFonts w:eastAsia="Times New Roman"/>
                <w:sz w:val="20"/>
                <w:szCs w:val="20"/>
              </w:rPr>
            </w:pPr>
          </w:p>
        </w:tc>
        <w:tc>
          <w:tcPr>
            <w:tcW w:w="0" w:type="auto"/>
            <w:gridSpan w:val="3"/>
            <w:vAlign w:val="center"/>
            <w:hideMark/>
          </w:tcPr>
          <w:p w14:paraId="62D51744" w14:textId="77777777" w:rsidR="00000000" w:rsidRDefault="00405D16">
            <w:pPr>
              <w:spacing w:after="100"/>
              <w:rPr>
                <w:rFonts w:eastAsia="Times New Roman"/>
                <w:sz w:val="20"/>
                <w:szCs w:val="20"/>
              </w:rPr>
            </w:pPr>
          </w:p>
        </w:tc>
        <w:tc>
          <w:tcPr>
            <w:tcW w:w="0" w:type="auto"/>
            <w:gridSpan w:val="3"/>
            <w:vAlign w:val="center"/>
            <w:hideMark/>
          </w:tcPr>
          <w:p w14:paraId="23EA8337" w14:textId="77777777" w:rsidR="00000000" w:rsidRDefault="00405D16">
            <w:pPr>
              <w:spacing w:after="100"/>
              <w:rPr>
                <w:rFonts w:eastAsia="Times New Roman"/>
                <w:sz w:val="20"/>
                <w:szCs w:val="20"/>
              </w:rPr>
            </w:pPr>
          </w:p>
        </w:tc>
        <w:tc>
          <w:tcPr>
            <w:tcW w:w="0" w:type="auto"/>
            <w:gridSpan w:val="3"/>
            <w:vAlign w:val="center"/>
            <w:hideMark/>
          </w:tcPr>
          <w:p w14:paraId="76B8A3F4" w14:textId="77777777" w:rsidR="00000000" w:rsidRDefault="00405D16">
            <w:pPr>
              <w:spacing w:after="100"/>
              <w:rPr>
                <w:rFonts w:eastAsia="Times New Roman"/>
                <w:sz w:val="20"/>
                <w:szCs w:val="20"/>
              </w:rPr>
            </w:pPr>
          </w:p>
        </w:tc>
        <w:tc>
          <w:tcPr>
            <w:tcW w:w="0" w:type="auto"/>
            <w:gridSpan w:val="3"/>
            <w:vAlign w:val="center"/>
            <w:hideMark/>
          </w:tcPr>
          <w:p w14:paraId="2476B2B7" w14:textId="77777777" w:rsidR="00000000" w:rsidRDefault="00405D16">
            <w:pPr>
              <w:spacing w:after="100"/>
              <w:rPr>
                <w:rFonts w:eastAsia="Times New Roman"/>
                <w:sz w:val="20"/>
                <w:szCs w:val="20"/>
              </w:rPr>
            </w:pPr>
          </w:p>
        </w:tc>
      </w:tr>
      <w:tr w:rsidR="00000000" w14:paraId="25863121" w14:textId="77777777">
        <w:trPr>
          <w:jc w:val="center"/>
        </w:trPr>
        <w:tc>
          <w:tcPr>
            <w:tcW w:w="0" w:type="auto"/>
            <w:gridSpan w:val="3"/>
            <w:vAlign w:val="center"/>
            <w:hideMark/>
          </w:tcPr>
          <w:p w14:paraId="013C282D" w14:textId="77777777" w:rsidR="00000000" w:rsidRDefault="00405D16">
            <w:pPr>
              <w:spacing w:after="100"/>
              <w:rPr>
                <w:rFonts w:eastAsia="Times New Roman"/>
                <w:sz w:val="20"/>
                <w:szCs w:val="20"/>
              </w:rPr>
            </w:pPr>
          </w:p>
        </w:tc>
        <w:tc>
          <w:tcPr>
            <w:tcW w:w="0" w:type="auto"/>
            <w:gridSpan w:val="3"/>
            <w:vAlign w:val="center"/>
            <w:hideMark/>
          </w:tcPr>
          <w:p w14:paraId="7BDDF387" w14:textId="77777777" w:rsidR="00000000" w:rsidRDefault="00405D16">
            <w:pPr>
              <w:spacing w:after="100"/>
              <w:rPr>
                <w:rFonts w:eastAsia="Times New Roman"/>
                <w:sz w:val="20"/>
                <w:szCs w:val="20"/>
              </w:rPr>
            </w:pPr>
          </w:p>
        </w:tc>
        <w:tc>
          <w:tcPr>
            <w:tcW w:w="0" w:type="auto"/>
            <w:gridSpan w:val="3"/>
            <w:vAlign w:val="center"/>
            <w:hideMark/>
          </w:tcPr>
          <w:p w14:paraId="0CD47031" w14:textId="77777777" w:rsidR="00000000" w:rsidRDefault="00405D16">
            <w:pPr>
              <w:spacing w:after="100"/>
              <w:rPr>
                <w:rFonts w:eastAsia="Times New Roman"/>
                <w:sz w:val="20"/>
                <w:szCs w:val="20"/>
              </w:rPr>
            </w:pPr>
          </w:p>
        </w:tc>
        <w:tc>
          <w:tcPr>
            <w:tcW w:w="0" w:type="auto"/>
            <w:gridSpan w:val="3"/>
            <w:vAlign w:val="center"/>
            <w:hideMark/>
          </w:tcPr>
          <w:p w14:paraId="4CE0C744" w14:textId="77777777" w:rsidR="00000000" w:rsidRDefault="00405D16">
            <w:pPr>
              <w:spacing w:after="100"/>
              <w:rPr>
                <w:rFonts w:eastAsia="Times New Roman"/>
                <w:sz w:val="20"/>
                <w:szCs w:val="20"/>
              </w:rPr>
            </w:pPr>
          </w:p>
        </w:tc>
        <w:tc>
          <w:tcPr>
            <w:tcW w:w="0" w:type="auto"/>
            <w:gridSpan w:val="3"/>
            <w:vAlign w:val="center"/>
            <w:hideMark/>
          </w:tcPr>
          <w:p w14:paraId="66494FC5" w14:textId="77777777" w:rsidR="00000000" w:rsidRDefault="00405D16">
            <w:pPr>
              <w:spacing w:after="100"/>
              <w:rPr>
                <w:rFonts w:eastAsia="Times New Roman"/>
                <w:sz w:val="20"/>
                <w:szCs w:val="20"/>
              </w:rPr>
            </w:pPr>
          </w:p>
        </w:tc>
      </w:tr>
      <w:tr w:rsidR="00000000" w14:paraId="542313BA" w14:textId="77777777">
        <w:trPr>
          <w:jc w:val="center"/>
        </w:trPr>
        <w:tc>
          <w:tcPr>
            <w:tcW w:w="0" w:type="auto"/>
            <w:gridSpan w:val="3"/>
            <w:vAlign w:val="center"/>
            <w:hideMark/>
          </w:tcPr>
          <w:p w14:paraId="28177C6E" w14:textId="77777777" w:rsidR="00000000" w:rsidRDefault="00405D16">
            <w:pPr>
              <w:spacing w:after="100"/>
              <w:rPr>
                <w:rFonts w:eastAsia="Times New Roman"/>
                <w:sz w:val="20"/>
                <w:szCs w:val="20"/>
              </w:rPr>
            </w:pPr>
          </w:p>
        </w:tc>
        <w:tc>
          <w:tcPr>
            <w:tcW w:w="0" w:type="auto"/>
            <w:gridSpan w:val="3"/>
            <w:vAlign w:val="center"/>
            <w:hideMark/>
          </w:tcPr>
          <w:p w14:paraId="280D5FB4" w14:textId="77777777" w:rsidR="00000000" w:rsidRDefault="00405D16">
            <w:pPr>
              <w:spacing w:after="100"/>
              <w:rPr>
                <w:rFonts w:eastAsia="Times New Roman"/>
                <w:sz w:val="20"/>
                <w:szCs w:val="20"/>
              </w:rPr>
            </w:pPr>
          </w:p>
        </w:tc>
        <w:tc>
          <w:tcPr>
            <w:tcW w:w="0" w:type="auto"/>
            <w:gridSpan w:val="3"/>
            <w:vAlign w:val="center"/>
            <w:hideMark/>
          </w:tcPr>
          <w:p w14:paraId="241D4AC5" w14:textId="77777777" w:rsidR="00000000" w:rsidRDefault="00405D16">
            <w:pPr>
              <w:spacing w:after="100"/>
              <w:rPr>
                <w:rFonts w:eastAsia="Times New Roman"/>
                <w:sz w:val="20"/>
                <w:szCs w:val="20"/>
              </w:rPr>
            </w:pPr>
          </w:p>
        </w:tc>
        <w:tc>
          <w:tcPr>
            <w:tcW w:w="0" w:type="auto"/>
            <w:gridSpan w:val="3"/>
            <w:vAlign w:val="center"/>
            <w:hideMark/>
          </w:tcPr>
          <w:p w14:paraId="12CA1AE5" w14:textId="77777777" w:rsidR="00000000" w:rsidRDefault="00405D16">
            <w:pPr>
              <w:spacing w:after="100"/>
              <w:rPr>
                <w:rFonts w:eastAsia="Times New Roman"/>
                <w:sz w:val="20"/>
                <w:szCs w:val="20"/>
              </w:rPr>
            </w:pPr>
          </w:p>
        </w:tc>
        <w:tc>
          <w:tcPr>
            <w:tcW w:w="0" w:type="auto"/>
            <w:gridSpan w:val="3"/>
            <w:vAlign w:val="center"/>
            <w:hideMark/>
          </w:tcPr>
          <w:p w14:paraId="6E7686ED" w14:textId="77777777" w:rsidR="00000000" w:rsidRDefault="00405D16">
            <w:pPr>
              <w:spacing w:after="100"/>
              <w:rPr>
                <w:rFonts w:eastAsia="Times New Roman"/>
                <w:sz w:val="20"/>
                <w:szCs w:val="20"/>
              </w:rPr>
            </w:pPr>
          </w:p>
        </w:tc>
      </w:tr>
      <w:tr w:rsidR="00000000" w14:paraId="197685A8" w14:textId="77777777">
        <w:trPr>
          <w:jc w:val="center"/>
        </w:trPr>
        <w:tc>
          <w:tcPr>
            <w:tcW w:w="0" w:type="auto"/>
            <w:gridSpan w:val="3"/>
            <w:vAlign w:val="center"/>
            <w:hideMark/>
          </w:tcPr>
          <w:p w14:paraId="60B8BA7C" w14:textId="77777777" w:rsidR="00000000" w:rsidRDefault="00405D16">
            <w:pPr>
              <w:spacing w:after="100"/>
              <w:rPr>
                <w:rFonts w:eastAsia="Times New Roman"/>
                <w:sz w:val="20"/>
                <w:szCs w:val="20"/>
              </w:rPr>
            </w:pPr>
          </w:p>
        </w:tc>
        <w:tc>
          <w:tcPr>
            <w:tcW w:w="0" w:type="auto"/>
            <w:gridSpan w:val="3"/>
            <w:vAlign w:val="center"/>
            <w:hideMark/>
          </w:tcPr>
          <w:p w14:paraId="29D700D0" w14:textId="77777777" w:rsidR="00000000" w:rsidRDefault="00405D16">
            <w:pPr>
              <w:spacing w:after="100"/>
              <w:rPr>
                <w:rFonts w:eastAsia="Times New Roman"/>
                <w:sz w:val="20"/>
                <w:szCs w:val="20"/>
              </w:rPr>
            </w:pPr>
          </w:p>
        </w:tc>
        <w:tc>
          <w:tcPr>
            <w:tcW w:w="0" w:type="auto"/>
            <w:gridSpan w:val="3"/>
            <w:vAlign w:val="center"/>
            <w:hideMark/>
          </w:tcPr>
          <w:p w14:paraId="3846F644" w14:textId="77777777" w:rsidR="00000000" w:rsidRDefault="00405D16">
            <w:pPr>
              <w:spacing w:after="100"/>
              <w:rPr>
                <w:rFonts w:eastAsia="Times New Roman"/>
                <w:sz w:val="20"/>
                <w:szCs w:val="20"/>
              </w:rPr>
            </w:pPr>
          </w:p>
        </w:tc>
        <w:tc>
          <w:tcPr>
            <w:tcW w:w="0" w:type="auto"/>
            <w:gridSpan w:val="3"/>
            <w:vAlign w:val="center"/>
            <w:hideMark/>
          </w:tcPr>
          <w:p w14:paraId="15626C37" w14:textId="77777777" w:rsidR="00000000" w:rsidRDefault="00405D16">
            <w:pPr>
              <w:spacing w:after="100"/>
              <w:rPr>
                <w:rFonts w:eastAsia="Times New Roman"/>
                <w:sz w:val="20"/>
                <w:szCs w:val="20"/>
              </w:rPr>
            </w:pPr>
          </w:p>
        </w:tc>
        <w:tc>
          <w:tcPr>
            <w:tcW w:w="0" w:type="auto"/>
            <w:gridSpan w:val="3"/>
            <w:vAlign w:val="center"/>
            <w:hideMark/>
          </w:tcPr>
          <w:p w14:paraId="7BDE47D4" w14:textId="77777777" w:rsidR="00000000" w:rsidRDefault="00405D16">
            <w:pPr>
              <w:spacing w:after="100"/>
              <w:rPr>
                <w:rFonts w:eastAsia="Times New Roman"/>
                <w:sz w:val="20"/>
                <w:szCs w:val="20"/>
              </w:rPr>
            </w:pPr>
          </w:p>
        </w:tc>
      </w:tr>
      <w:tr w:rsidR="00000000" w14:paraId="57A9ADE5" w14:textId="77777777">
        <w:trPr>
          <w:jc w:val="center"/>
        </w:trPr>
        <w:tc>
          <w:tcPr>
            <w:tcW w:w="0" w:type="auto"/>
            <w:gridSpan w:val="3"/>
            <w:vAlign w:val="center"/>
            <w:hideMark/>
          </w:tcPr>
          <w:p w14:paraId="72F23866" w14:textId="77777777" w:rsidR="00000000" w:rsidRDefault="00405D16">
            <w:pPr>
              <w:spacing w:after="100"/>
              <w:rPr>
                <w:rFonts w:eastAsia="Times New Roman"/>
                <w:sz w:val="20"/>
                <w:szCs w:val="20"/>
              </w:rPr>
            </w:pPr>
          </w:p>
        </w:tc>
        <w:tc>
          <w:tcPr>
            <w:tcW w:w="0" w:type="auto"/>
            <w:gridSpan w:val="3"/>
            <w:vAlign w:val="center"/>
            <w:hideMark/>
          </w:tcPr>
          <w:p w14:paraId="516A8E00" w14:textId="77777777" w:rsidR="00000000" w:rsidRDefault="00405D16">
            <w:pPr>
              <w:spacing w:after="100"/>
              <w:rPr>
                <w:rFonts w:eastAsia="Times New Roman"/>
                <w:sz w:val="20"/>
                <w:szCs w:val="20"/>
              </w:rPr>
            </w:pPr>
          </w:p>
        </w:tc>
        <w:tc>
          <w:tcPr>
            <w:tcW w:w="0" w:type="auto"/>
            <w:gridSpan w:val="3"/>
            <w:vAlign w:val="center"/>
            <w:hideMark/>
          </w:tcPr>
          <w:p w14:paraId="7FD67408" w14:textId="77777777" w:rsidR="00000000" w:rsidRDefault="00405D16">
            <w:pPr>
              <w:spacing w:after="100"/>
              <w:rPr>
                <w:rFonts w:eastAsia="Times New Roman"/>
                <w:sz w:val="20"/>
                <w:szCs w:val="20"/>
              </w:rPr>
            </w:pPr>
          </w:p>
        </w:tc>
        <w:tc>
          <w:tcPr>
            <w:tcW w:w="0" w:type="auto"/>
            <w:gridSpan w:val="3"/>
            <w:vAlign w:val="center"/>
            <w:hideMark/>
          </w:tcPr>
          <w:p w14:paraId="612E5589" w14:textId="77777777" w:rsidR="00000000" w:rsidRDefault="00405D16">
            <w:pPr>
              <w:spacing w:after="100"/>
              <w:rPr>
                <w:rFonts w:eastAsia="Times New Roman"/>
                <w:sz w:val="20"/>
                <w:szCs w:val="20"/>
              </w:rPr>
            </w:pPr>
          </w:p>
        </w:tc>
        <w:tc>
          <w:tcPr>
            <w:tcW w:w="0" w:type="auto"/>
            <w:gridSpan w:val="3"/>
            <w:vAlign w:val="center"/>
            <w:hideMark/>
          </w:tcPr>
          <w:p w14:paraId="499441B6" w14:textId="77777777" w:rsidR="00000000" w:rsidRDefault="00405D16">
            <w:pPr>
              <w:spacing w:after="100"/>
              <w:rPr>
                <w:rFonts w:eastAsia="Times New Roman"/>
                <w:sz w:val="20"/>
                <w:szCs w:val="20"/>
              </w:rPr>
            </w:pPr>
          </w:p>
        </w:tc>
      </w:tr>
      <w:tr w:rsidR="00000000" w14:paraId="68EBAD20" w14:textId="77777777">
        <w:trPr>
          <w:jc w:val="center"/>
        </w:trPr>
        <w:tc>
          <w:tcPr>
            <w:tcW w:w="0" w:type="auto"/>
            <w:gridSpan w:val="3"/>
            <w:vAlign w:val="center"/>
            <w:hideMark/>
          </w:tcPr>
          <w:p w14:paraId="23810EAC" w14:textId="77777777" w:rsidR="00000000" w:rsidRDefault="00405D16">
            <w:pPr>
              <w:spacing w:after="100"/>
              <w:rPr>
                <w:rFonts w:eastAsia="Times New Roman"/>
                <w:sz w:val="20"/>
                <w:szCs w:val="20"/>
              </w:rPr>
            </w:pPr>
          </w:p>
        </w:tc>
        <w:tc>
          <w:tcPr>
            <w:tcW w:w="0" w:type="auto"/>
            <w:gridSpan w:val="3"/>
            <w:vAlign w:val="center"/>
            <w:hideMark/>
          </w:tcPr>
          <w:p w14:paraId="291CA637" w14:textId="77777777" w:rsidR="00000000" w:rsidRDefault="00405D16">
            <w:pPr>
              <w:spacing w:after="100"/>
              <w:rPr>
                <w:rFonts w:eastAsia="Times New Roman"/>
                <w:sz w:val="20"/>
                <w:szCs w:val="20"/>
              </w:rPr>
            </w:pPr>
          </w:p>
        </w:tc>
        <w:tc>
          <w:tcPr>
            <w:tcW w:w="0" w:type="auto"/>
            <w:gridSpan w:val="3"/>
            <w:vAlign w:val="center"/>
            <w:hideMark/>
          </w:tcPr>
          <w:p w14:paraId="4B215BA1" w14:textId="77777777" w:rsidR="00000000" w:rsidRDefault="00405D16">
            <w:pPr>
              <w:spacing w:after="100"/>
              <w:rPr>
                <w:rFonts w:eastAsia="Times New Roman"/>
                <w:sz w:val="20"/>
                <w:szCs w:val="20"/>
              </w:rPr>
            </w:pPr>
          </w:p>
        </w:tc>
        <w:tc>
          <w:tcPr>
            <w:tcW w:w="0" w:type="auto"/>
            <w:gridSpan w:val="3"/>
            <w:vAlign w:val="center"/>
            <w:hideMark/>
          </w:tcPr>
          <w:p w14:paraId="59C50C8C" w14:textId="77777777" w:rsidR="00000000" w:rsidRDefault="00405D16">
            <w:pPr>
              <w:spacing w:after="100"/>
              <w:rPr>
                <w:rFonts w:eastAsia="Times New Roman"/>
                <w:sz w:val="20"/>
                <w:szCs w:val="20"/>
              </w:rPr>
            </w:pPr>
          </w:p>
        </w:tc>
        <w:tc>
          <w:tcPr>
            <w:tcW w:w="0" w:type="auto"/>
            <w:gridSpan w:val="3"/>
            <w:vAlign w:val="center"/>
            <w:hideMark/>
          </w:tcPr>
          <w:p w14:paraId="777F47A0" w14:textId="77777777" w:rsidR="00000000" w:rsidRDefault="00405D16">
            <w:pPr>
              <w:spacing w:after="100"/>
              <w:rPr>
                <w:rFonts w:eastAsia="Times New Roman"/>
                <w:sz w:val="20"/>
                <w:szCs w:val="20"/>
              </w:rPr>
            </w:pPr>
          </w:p>
        </w:tc>
      </w:tr>
      <w:tr w:rsidR="00000000" w14:paraId="281873CE" w14:textId="77777777">
        <w:trPr>
          <w:jc w:val="center"/>
        </w:trPr>
        <w:tc>
          <w:tcPr>
            <w:tcW w:w="0" w:type="auto"/>
            <w:gridSpan w:val="3"/>
            <w:vAlign w:val="center"/>
            <w:hideMark/>
          </w:tcPr>
          <w:p w14:paraId="345D82F6" w14:textId="77777777" w:rsidR="00000000" w:rsidRDefault="00405D16">
            <w:pPr>
              <w:spacing w:after="100"/>
              <w:rPr>
                <w:rFonts w:eastAsia="Times New Roman"/>
                <w:sz w:val="20"/>
                <w:szCs w:val="20"/>
              </w:rPr>
            </w:pPr>
          </w:p>
        </w:tc>
        <w:tc>
          <w:tcPr>
            <w:tcW w:w="0" w:type="auto"/>
            <w:gridSpan w:val="3"/>
            <w:vAlign w:val="center"/>
            <w:hideMark/>
          </w:tcPr>
          <w:p w14:paraId="0275E526" w14:textId="77777777" w:rsidR="00000000" w:rsidRDefault="00405D16">
            <w:pPr>
              <w:spacing w:after="100"/>
              <w:rPr>
                <w:rFonts w:eastAsia="Times New Roman"/>
                <w:sz w:val="20"/>
                <w:szCs w:val="20"/>
              </w:rPr>
            </w:pPr>
          </w:p>
        </w:tc>
        <w:tc>
          <w:tcPr>
            <w:tcW w:w="0" w:type="auto"/>
            <w:gridSpan w:val="3"/>
            <w:vAlign w:val="center"/>
            <w:hideMark/>
          </w:tcPr>
          <w:p w14:paraId="7FE484BE" w14:textId="77777777" w:rsidR="00000000" w:rsidRDefault="00405D16">
            <w:pPr>
              <w:spacing w:after="100"/>
              <w:rPr>
                <w:rFonts w:eastAsia="Times New Roman"/>
                <w:sz w:val="20"/>
                <w:szCs w:val="20"/>
              </w:rPr>
            </w:pPr>
          </w:p>
        </w:tc>
        <w:tc>
          <w:tcPr>
            <w:tcW w:w="0" w:type="auto"/>
            <w:gridSpan w:val="3"/>
            <w:vAlign w:val="center"/>
            <w:hideMark/>
          </w:tcPr>
          <w:p w14:paraId="7CC57817" w14:textId="77777777" w:rsidR="00000000" w:rsidRDefault="00405D16">
            <w:pPr>
              <w:spacing w:after="100"/>
              <w:rPr>
                <w:rFonts w:eastAsia="Times New Roman"/>
                <w:sz w:val="20"/>
                <w:szCs w:val="20"/>
              </w:rPr>
            </w:pPr>
          </w:p>
        </w:tc>
        <w:tc>
          <w:tcPr>
            <w:tcW w:w="0" w:type="auto"/>
            <w:gridSpan w:val="3"/>
            <w:vAlign w:val="center"/>
            <w:hideMark/>
          </w:tcPr>
          <w:p w14:paraId="3E9D0011" w14:textId="77777777" w:rsidR="00000000" w:rsidRDefault="00405D16">
            <w:pPr>
              <w:spacing w:after="100"/>
              <w:rPr>
                <w:rFonts w:eastAsia="Times New Roman"/>
                <w:sz w:val="20"/>
                <w:szCs w:val="20"/>
              </w:rPr>
            </w:pPr>
          </w:p>
        </w:tc>
      </w:tr>
      <w:tr w:rsidR="00000000" w14:paraId="10165B0F" w14:textId="77777777">
        <w:trPr>
          <w:jc w:val="center"/>
        </w:trPr>
        <w:tc>
          <w:tcPr>
            <w:tcW w:w="0" w:type="auto"/>
            <w:gridSpan w:val="3"/>
            <w:vAlign w:val="center"/>
            <w:hideMark/>
          </w:tcPr>
          <w:p w14:paraId="4D1F6154" w14:textId="77777777" w:rsidR="00000000" w:rsidRDefault="00405D16">
            <w:pPr>
              <w:spacing w:after="100"/>
              <w:rPr>
                <w:rFonts w:eastAsia="Times New Roman"/>
                <w:sz w:val="20"/>
                <w:szCs w:val="20"/>
              </w:rPr>
            </w:pPr>
          </w:p>
        </w:tc>
        <w:tc>
          <w:tcPr>
            <w:tcW w:w="0" w:type="auto"/>
            <w:gridSpan w:val="3"/>
            <w:vAlign w:val="center"/>
            <w:hideMark/>
          </w:tcPr>
          <w:p w14:paraId="47E5B5E5" w14:textId="77777777" w:rsidR="00000000" w:rsidRDefault="00405D16">
            <w:pPr>
              <w:spacing w:after="100"/>
              <w:rPr>
                <w:rFonts w:eastAsia="Times New Roman"/>
                <w:sz w:val="20"/>
                <w:szCs w:val="20"/>
              </w:rPr>
            </w:pPr>
          </w:p>
        </w:tc>
        <w:tc>
          <w:tcPr>
            <w:tcW w:w="0" w:type="auto"/>
            <w:gridSpan w:val="3"/>
            <w:vAlign w:val="center"/>
            <w:hideMark/>
          </w:tcPr>
          <w:p w14:paraId="527FFEFD" w14:textId="77777777" w:rsidR="00000000" w:rsidRDefault="00405D16">
            <w:pPr>
              <w:spacing w:after="100"/>
              <w:rPr>
                <w:rFonts w:eastAsia="Times New Roman"/>
                <w:sz w:val="20"/>
                <w:szCs w:val="20"/>
              </w:rPr>
            </w:pPr>
          </w:p>
        </w:tc>
        <w:tc>
          <w:tcPr>
            <w:tcW w:w="0" w:type="auto"/>
            <w:gridSpan w:val="3"/>
            <w:vAlign w:val="center"/>
            <w:hideMark/>
          </w:tcPr>
          <w:p w14:paraId="1365FFDD" w14:textId="77777777" w:rsidR="00000000" w:rsidRDefault="00405D16">
            <w:pPr>
              <w:spacing w:after="100"/>
              <w:rPr>
                <w:rFonts w:eastAsia="Times New Roman"/>
                <w:sz w:val="20"/>
                <w:szCs w:val="20"/>
              </w:rPr>
            </w:pPr>
          </w:p>
        </w:tc>
        <w:tc>
          <w:tcPr>
            <w:tcW w:w="0" w:type="auto"/>
            <w:gridSpan w:val="3"/>
            <w:vAlign w:val="center"/>
            <w:hideMark/>
          </w:tcPr>
          <w:p w14:paraId="4B156D7E" w14:textId="77777777" w:rsidR="00000000" w:rsidRDefault="00405D16">
            <w:pPr>
              <w:spacing w:after="100"/>
              <w:rPr>
                <w:rFonts w:eastAsia="Times New Roman"/>
                <w:sz w:val="20"/>
                <w:szCs w:val="20"/>
              </w:rPr>
            </w:pPr>
          </w:p>
        </w:tc>
      </w:tr>
      <w:tr w:rsidR="00000000" w14:paraId="4D4A68DC" w14:textId="77777777">
        <w:trPr>
          <w:jc w:val="center"/>
        </w:trPr>
        <w:tc>
          <w:tcPr>
            <w:tcW w:w="0" w:type="auto"/>
            <w:gridSpan w:val="3"/>
            <w:vAlign w:val="center"/>
            <w:hideMark/>
          </w:tcPr>
          <w:p w14:paraId="44B01196" w14:textId="77777777" w:rsidR="00000000" w:rsidRDefault="00405D16">
            <w:pPr>
              <w:spacing w:after="100"/>
              <w:rPr>
                <w:rFonts w:eastAsia="Times New Roman"/>
                <w:sz w:val="20"/>
                <w:szCs w:val="20"/>
              </w:rPr>
            </w:pPr>
          </w:p>
        </w:tc>
        <w:tc>
          <w:tcPr>
            <w:tcW w:w="0" w:type="auto"/>
            <w:gridSpan w:val="3"/>
            <w:vAlign w:val="center"/>
            <w:hideMark/>
          </w:tcPr>
          <w:p w14:paraId="319F77BE" w14:textId="77777777" w:rsidR="00000000" w:rsidRDefault="00405D16">
            <w:pPr>
              <w:spacing w:after="100"/>
              <w:rPr>
                <w:rFonts w:eastAsia="Times New Roman"/>
                <w:sz w:val="20"/>
                <w:szCs w:val="20"/>
              </w:rPr>
            </w:pPr>
          </w:p>
        </w:tc>
        <w:tc>
          <w:tcPr>
            <w:tcW w:w="0" w:type="auto"/>
            <w:gridSpan w:val="3"/>
            <w:vAlign w:val="center"/>
            <w:hideMark/>
          </w:tcPr>
          <w:p w14:paraId="4DC17C1B" w14:textId="77777777" w:rsidR="00000000" w:rsidRDefault="00405D16">
            <w:pPr>
              <w:spacing w:after="100"/>
              <w:rPr>
                <w:rFonts w:eastAsia="Times New Roman"/>
                <w:sz w:val="20"/>
                <w:szCs w:val="20"/>
              </w:rPr>
            </w:pPr>
          </w:p>
        </w:tc>
        <w:tc>
          <w:tcPr>
            <w:tcW w:w="0" w:type="auto"/>
            <w:gridSpan w:val="3"/>
            <w:vAlign w:val="center"/>
            <w:hideMark/>
          </w:tcPr>
          <w:p w14:paraId="12C2E79C" w14:textId="77777777" w:rsidR="00000000" w:rsidRDefault="00405D16">
            <w:pPr>
              <w:spacing w:after="100"/>
              <w:rPr>
                <w:rFonts w:eastAsia="Times New Roman"/>
                <w:sz w:val="20"/>
                <w:szCs w:val="20"/>
              </w:rPr>
            </w:pPr>
          </w:p>
        </w:tc>
        <w:tc>
          <w:tcPr>
            <w:tcW w:w="0" w:type="auto"/>
            <w:gridSpan w:val="3"/>
            <w:vAlign w:val="center"/>
            <w:hideMark/>
          </w:tcPr>
          <w:p w14:paraId="5A3C104E" w14:textId="77777777" w:rsidR="00000000" w:rsidRDefault="00405D16">
            <w:pPr>
              <w:spacing w:after="100"/>
              <w:rPr>
                <w:rFonts w:eastAsia="Times New Roman"/>
                <w:sz w:val="20"/>
                <w:szCs w:val="20"/>
              </w:rPr>
            </w:pPr>
          </w:p>
        </w:tc>
      </w:tr>
      <w:tr w:rsidR="00000000" w14:paraId="14C66C16" w14:textId="77777777">
        <w:trPr>
          <w:jc w:val="center"/>
        </w:trPr>
        <w:tc>
          <w:tcPr>
            <w:tcW w:w="0" w:type="auto"/>
            <w:gridSpan w:val="3"/>
            <w:vAlign w:val="center"/>
            <w:hideMark/>
          </w:tcPr>
          <w:p w14:paraId="3AA5A8AC" w14:textId="77777777" w:rsidR="00000000" w:rsidRDefault="00405D16">
            <w:pPr>
              <w:spacing w:after="100"/>
              <w:rPr>
                <w:rFonts w:eastAsia="Times New Roman"/>
                <w:sz w:val="20"/>
                <w:szCs w:val="20"/>
              </w:rPr>
            </w:pPr>
          </w:p>
        </w:tc>
        <w:tc>
          <w:tcPr>
            <w:tcW w:w="0" w:type="auto"/>
            <w:gridSpan w:val="3"/>
            <w:vAlign w:val="center"/>
            <w:hideMark/>
          </w:tcPr>
          <w:p w14:paraId="0044A5C8" w14:textId="77777777" w:rsidR="00000000" w:rsidRDefault="00405D16">
            <w:pPr>
              <w:spacing w:after="100"/>
              <w:rPr>
                <w:rFonts w:eastAsia="Times New Roman"/>
                <w:sz w:val="20"/>
                <w:szCs w:val="20"/>
              </w:rPr>
            </w:pPr>
          </w:p>
        </w:tc>
        <w:tc>
          <w:tcPr>
            <w:tcW w:w="0" w:type="auto"/>
            <w:gridSpan w:val="3"/>
            <w:vAlign w:val="center"/>
            <w:hideMark/>
          </w:tcPr>
          <w:p w14:paraId="64988E38" w14:textId="77777777" w:rsidR="00000000" w:rsidRDefault="00405D16">
            <w:pPr>
              <w:spacing w:after="100"/>
              <w:rPr>
                <w:rFonts w:eastAsia="Times New Roman"/>
                <w:sz w:val="20"/>
                <w:szCs w:val="20"/>
              </w:rPr>
            </w:pPr>
          </w:p>
        </w:tc>
        <w:tc>
          <w:tcPr>
            <w:tcW w:w="0" w:type="auto"/>
            <w:gridSpan w:val="3"/>
            <w:vAlign w:val="center"/>
            <w:hideMark/>
          </w:tcPr>
          <w:p w14:paraId="4B94ECC3" w14:textId="77777777" w:rsidR="00000000" w:rsidRDefault="00405D16">
            <w:pPr>
              <w:spacing w:after="100"/>
              <w:rPr>
                <w:rFonts w:eastAsia="Times New Roman"/>
                <w:sz w:val="20"/>
                <w:szCs w:val="20"/>
              </w:rPr>
            </w:pPr>
          </w:p>
        </w:tc>
        <w:tc>
          <w:tcPr>
            <w:tcW w:w="0" w:type="auto"/>
            <w:gridSpan w:val="3"/>
            <w:vAlign w:val="center"/>
            <w:hideMark/>
          </w:tcPr>
          <w:p w14:paraId="2B4BC4B7" w14:textId="77777777" w:rsidR="00000000" w:rsidRDefault="00405D16">
            <w:pPr>
              <w:spacing w:after="100"/>
              <w:rPr>
                <w:rFonts w:eastAsia="Times New Roman"/>
                <w:sz w:val="20"/>
                <w:szCs w:val="20"/>
              </w:rPr>
            </w:pPr>
          </w:p>
        </w:tc>
      </w:tr>
      <w:tr w:rsidR="00000000" w14:paraId="01CAFCE9" w14:textId="77777777">
        <w:trPr>
          <w:jc w:val="center"/>
        </w:trPr>
        <w:tc>
          <w:tcPr>
            <w:tcW w:w="0" w:type="auto"/>
            <w:gridSpan w:val="3"/>
            <w:vAlign w:val="center"/>
            <w:hideMark/>
          </w:tcPr>
          <w:p w14:paraId="1B2D4609" w14:textId="77777777" w:rsidR="00000000" w:rsidRDefault="00405D16">
            <w:pPr>
              <w:spacing w:after="100"/>
              <w:rPr>
                <w:rFonts w:eastAsia="Times New Roman"/>
                <w:sz w:val="20"/>
                <w:szCs w:val="20"/>
              </w:rPr>
            </w:pPr>
          </w:p>
        </w:tc>
        <w:tc>
          <w:tcPr>
            <w:tcW w:w="0" w:type="auto"/>
            <w:gridSpan w:val="3"/>
            <w:vAlign w:val="center"/>
            <w:hideMark/>
          </w:tcPr>
          <w:p w14:paraId="32E48A08" w14:textId="77777777" w:rsidR="00000000" w:rsidRDefault="00405D16">
            <w:pPr>
              <w:spacing w:after="100"/>
              <w:rPr>
                <w:rFonts w:eastAsia="Times New Roman"/>
                <w:sz w:val="20"/>
                <w:szCs w:val="20"/>
              </w:rPr>
            </w:pPr>
          </w:p>
        </w:tc>
        <w:tc>
          <w:tcPr>
            <w:tcW w:w="0" w:type="auto"/>
            <w:gridSpan w:val="3"/>
            <w:vAlign w:val="center"/>
            <w:hideMark/>
          </w:tcPr>
          <w:p w14:paraId="049028AE" w14:textId="77777777" w:rsidR="00000000" w:rsidRDefault="00405D16">
            <w:pPr>
              <w:spacing w:after="100"/>
              <w:rPr>
                <w:rFonts w:eastAsia="Times New Roman"/>
                <w:sz w:val="20"/>
                <w:szCs w:val="20"/>
              </w:rPr>
            </w:pPr>
          </w:p>
        </w:tc>
        <w:tc>
          <w:tcPr>
            <w:tcW w:w="0" w:type="auto"/>
            <w:gridSpan w:val="3"/>
            <w:vAlign w:val="center"/>
            <w:hideMark/>
          </w:tcPr>
          <w:p w14:paraId="29755189" w14:textId="77777777" w:rsidR="00000000" w:rsidRDefault="00405D16">
            <w:pPr>
              <w:spacing w:after="100"/>
              <w:rPr>
                <w:rFonts w:eastAsia="Times New Roman"/>
                <w:sz w:val="20"/>
                <w:szCs w:val="20"/>
              </w:rPr>
            </w:pPr>
          </w:p>
        </w:tc>
        <w:tc>
          <w:tcPr>
            <w:tcW w:w="0" w:type="auto"/>
            <w:gridSpan w:val="3"/>
            <w:vAlign w:val="center"/>
            <w:hideMark/>
          </w:tcPr>
          <w:p w14:paraId="14C5C2B3" w14:textId="77777777" w:rsidR="00000000" w:rsidRDefault="00405D16">
            <w:pPr>
              <w:spacing w:after="100"/>
              <w:rPr>
                <w:rFonts w:eastAsia="Times New Roman"/>
                <w:sz w:val="20"/>
                <w:szCs w:val="20"/>
              </w:rPr>
            </w:pPr>
          </w:p>
        </w:tc>
      </w:tr>
      <w:tr w:rsidR="00000000" w14:paraId="38B40BC1" w14:textId="77777777">
        <w:trPr>
          <w:jc w:val="center"/>
        </w:trPr>
        <w:tc>
          <w:tcPr>
            <w:tcW w:w="0" w:type="auto"/>
            <w:gridSpan w:val="3"/>
            <w:vAlign w:val="center"/>
            <w:hideMark/>
          </w:tcPr>
          <w:p w14:paraId="63552CBE" w14:textId="77777777" w:rsidR="00000000" w:rsidRDefault="00405D16">
            <w:pPr>
              <w:spacing w:after="100"/>
              <w:rPr>
                <w:rFonts w:eastAsia="Times New Roman"/>
                <w:sz w:val="20"/>
                <w:szCs w:val="20"/>
              </w:rPr>
            </w:pPr>
          </w:p>
        </w:tc>
        <w:tc>
          <w:tcPr>
            <w:tcW w:w="0" w:type="auto"/>
            <w:gridSpan w:val="3"/>
            <w:vAlign w:val="center"/>
            <w:hideMark/>
          </w:tcPr>
          <w:p w14:paraId="55A25469" w14:textId="77777777" w:rsidR="00000000" w:rsidRDefault="00405D16">
            <w:pPr>
              <w:spacing w:after="100"/>
              <w:rPr>
                <w:rFonts w:eastAsia="Times New Roman"/>
                <w:sz w:val="20"/>
                <w:szCs w:val="20"/>
              </w:rPr>
            </w:pPr>
          </w:p>
        </w:tc>
        <w:tc>
          <w:tcPr>
            <w:tcW w:w="0" w:type="auto"/>
            <w:gridSpan w:val="3"/>
            <w:vAlign w:val="center"/>
            <w:hideMark/>
          </w:tcPr>
          <w:p w14:paraId="4F8D1364" w14:textId="77777777" w:rsidR="00000000" w:rsidRDefault="00405D16">
            <w:pPr>
              <w:spacing w:after="100"/>
              <w:rPr>
                <w:rFonts w:eastAsia="Times New Roman"/>
                <w:sz w:val="20"/>
                <w:szCs w:val="20"/>
              </w:rPr>
            </w:pPr>
          </w:p>
        </w:tc>
        <w:tc>
          <w:tcPr>
            <w:tcW w:w="0" w:type="auto"/>
            <w:gridSpan w:val="3"/>
            <w:vAlign w:val="center"/>
            <w:hideMark/>
          </w:tcPr>
          <w:p w14:paraId="722DB599" w14:textId="77777777" w:rsidR="00000000" w:rsidRDefault="00405D16">
            <w:pPr>
              <w:spacing w:after="100"/>
              <w:rPr>
                <w:rFonts w:eastAsia="Times New Roman"/>
                <w:sz w:val="20"/>
                <w:szCs w:val="20"/>
              </w:rPr>
            </w:pPr>
          </w:p>
        </w:tc>
        <w:tc>
          <w:tcPr>
            <w:tcW w:w="0" w:type="auto"/>
            <w:gridSpan w:val="3"/>
            <w:vAlign w:val="center"/>
            <w:hideMark/>
          </w:tcPr>
          <w:p w14:paraId="5E9C995A" w14:textId="77777777" w:rsidR="00000000" w:rsidRDefault="00405D16">
            <w:pPr>
              <w:spacing w:after="100"/>
              <w:rPr>
                <w:rFonts w:eastAsia="Times New Roman"/>
                <w:sz w:val="20"/>
                <w:szCs w:val="20"/>
              </w:rPr>
            </w:pPr>
          </w:p>
        </w:tc>
      </w:tr>
      <w:tr w:rsidR="00000000" w14:paraId="2F186B52" w14:textId="77777777">
        <w:trPr>
          <w:jc w:val="center"/>
        </w:trPr>
        <w:tc>
          <w:tcPr>
            <w:tcW w:w="0" w:type="auto"/>
            <w:gridSpan w:val="3"/>
            <w:vAlign w:val="center"/>
            <w:hideMark/>
          </w:tcPr>
          <w:p w14:paraId="6E33C0D4" w14:textId="77777777" w:rsidR="00000000" w:rsidRDefault="00405D16">
            <w:pPr>
              <w:spacing w:after="100"/>
              <w:rPr>
                <w:rFonts w:eastAsia="Times New Roman"/>
                <w:sz w:val="20"/>
                <w:szCs w:val="20"/>
              </w:rPr>
            </w:pPr>
          </w:p>
        </w:tc>
        <w:tc>
          <w:tcPr>
            <w:tcW w:w="0" w:type="auto"/>
            <w:gridSpan w:val="3"/>
            <w:vAlign w:val="center"/>
            <w:hideMark/>
          </w:tcPr>
          <w:p w14:paraId="52797D6D" w14:textId="77777777" w:rsidR="00000000" w:rsidRDefault="00405D16">
            <w:pPr>
              <w:spacing w:after="100"/>
              <w:rPr>
                <w:rFonts w:eastAsia="Times New Roman"/>
                <w:sz w:val="20"/>
                <w:szCs w:val="20"/>
              </w:rPr>
            </w:pPr>
          </w:p>
        </w:tc>
        <w:tc>
          <w:tcPr>
            <w:tcW w:w="0" w:type="auto"/>
            <w:gridSpan w:val="3"/>
            <w:vAlign w:val="center"/>
            <w:hideMark/>
          </w:tcPr>
          <w:p w14:paraId="19CD948B" w14:textId="77777777" w:rsidR="00000000" w:rsidRDefault="00405D16">
            <w:pPr>
              <w:spacing w:after="100"/>
              <w:rPr>
                <w:rFonts w:eastAsia="Times New Roman"/>
                <w:sz w:val="20"/>
                <w:szCs w:val="20"/>
              </w:rPr>
            </w:pPr>
          </w:p>
        </w:tc>
        <w:tc>
          <w:tcPr>
            <w:tcW w:w="0" w:type="auto"/>
            <w:gridSpan w:val="3"/>
            <w:vAlign w:val="center"/>
            <w:hideMark/>
          </w:tcPr>
          <w:p w14:paraId="7EC85915" w14:textId="77777777" w:rsidR="00000000" w:rsidRDefault="00405D16">
            <w:pPr>
              <w:spacing w:after="100"/>
              <w:rPr>
                <w:rFonts w:eastAsia="Times New Roman"/>
                <w:sz w:val="20"/>
                <w:szCs w:val="20"/>
              </w:rPr>
            </w:pPr>
          </w:p>
        </w:tc>
        <w:tc>
          <w:tcPr>
            <w:tcW w:w="0" w:type="auto"/>
            <w:gridSpan w:val="3"/>
            <w:vAlign w:val="center"/>
            <w:hideMark/>
          </w:tcPr>
          <w:p w14:paraId="670E6A7F" w14:textId="77777777" w:rsidR="00000000" w:rsidRDefault="00405D16">
            <w:pPr>
              <w:spacing w:after="100"/>
              <w:rPr>
                <w:rFonts w:eastAsia="Times New Roman"/>
                <w:sz w:val="20"/>
                <w:szCs w:val="20"/>
              </w:rPr>
            </w:pPr>
          </w:p>
        </w:tc>
      </w:tr>
      <w:tr w:rsidR="00000000" w14:paraId="60B5F317" w14:textId="77777777">
        <w:trPr>
          <w:jc w:val="center"/>
        </w:trPr>
        <w:tc>
          <w:tcPr>
            <w:tcW w:w="0" w:type="auto"/>
            <w:gridSpan w:val="3"/>
            <w:vAlign w:val="center"/>
            <w:hideMark/>
          </w:tcPr>
          <w:p w14:paraId="56D9F2D1" w14:textId="77777777" w:rsidR="00000000" w:rsidRDefault="00405D16">
            <w:pPr>
              <w:spacing w:after="100"/>
              <w:rPr>
                <w:rFonts w:eastAsia="Times New Roman"/>
                <w:sz w:val="20"/>
                <w:szCs w:val="20"/>
              </w:rPr>
            </w:pPr>
          </w:p>
        </w:tc>
        <w:tc>
          <w:tcPr>
            <w:tcW w:w="0" w:type="auto"/>
            <w:gridSpan w:val="3"/>
            <w:vAlign w:val="center"/>
            <w:hideMark/>
          </w:tcPr>
          <w:p w14:paraId="02452774" w14:textId="77777777" w:rsidR="00000000" w:rsidRDefault="00405D16">
            <w:pPr>
              <w:spacing w:after="100"/>
              <w:rPr>
                <w:rFonts w:eastAsia="Times New Roman"/>
                <w:sz w:val="20"/>
                <w:szCs w:val="20"/>
              </w:rPr>
            </w:pPr>
          </w:p>
        </w:tc>
        <w:tc>
          <w:tcPr>
            <w:tcW w:w="0" w:type="auto"/>
            <w:gridSpan w:val="3"/>
            <w:vAlign w:val="center"/>
            <w:hideMark/>
          </w:tcPr>
          <w:p w14:paraId="3207335B" w14:textId="77777777" w:rsidR="00000000" w:rsidRDefault="00405D16">
            <w:pPr>
              <w:spacing w:after="100"/>
              <w:rPr>
                <w:rFonts w:eastAsia="Times New Roman"/>
                <w:sz w:val="20"/>
                <w:szCs w:val="20"/>
              </w:rPr>
            </w:pPr>
          </w:p>
        </w:tc>
        <w:tc>
          <w:tcPr>
            <w:tcW w:w="0" w:type="auto"/>
            <w:gridSpan w:val="3"/>
            <w:vAlign w:val="center"/>
            <w:hideMark/>
          </w:tcPr>
          <w:p w14:paraId="5949F5F6" w14:textId="77777777" w:rsidR="00000000" w:rsidRDefault="00405D16">
            <w:pPr>
              <w:spacing w:after="100"/>
              <w:rPr>
                <w:rFonts w:eastAsia="Times New Roman"/>
                <w:sz w:val="20"/>
                <w:szCs w:val="20"/>
              </w:rPr>
            </w:pPr>
          </w:p>
        </w:tc>
        <w:tc>
          <w:tcPr>
            <w:tcW w:w="0" w:type="auto"/>
            <w:gridSpan w:val="3"/>
            <w:vAlign w:val="center"/>
            <w:hideMark/>
          </w:tcPr>
          <w:p w14:paraId="056DCF4A" w14:textId="77777777" w:rsidR="00000000" w:rsidRDefault="00405D16">
            <w:pPr>
              <w:spacing w:after="100"/>
              <w:rPr>
                <w:rFonts w:eastAsia="Times New Roman"/>
                <w:sz w:val="20"/>
                <w:szCs w:val="20"/>
              </w:rPr>
            </w:pPr>
          </w:p>
        </w:tc>
      </w:tr>
      <w:tr w:rsidR="00000000" w14:paraId="7C6B1AF5" w14:textId="77777777">
        <w:trPr>
          <w:jc w:val="center"/>
        </w:trPr>
        <w:tc>
          <w:tcPr>
            <w:tcW w:w="0" w:type="auto"/>
            <w:gridSpan w:val="3"/>
            <w:vAlign w:val="center"/>
            <w:hideMark/>
          </w:tcPr>
          <w:p w14:paraId="3F3BB5D0" w14:textId="77777777" w:rsidR="00000000" w:rsidRDefault="00405D16">
            <w:pPr>
              <w:spacing w:after="100"/>
              <w:rPr>
                <w:rFonts w:eastAsia="Times New Roman"/>
                <w:sz w:val="20"/>
                <w:szCs w:val="20"/>
              </w:rPr>
            </w:pPr>
          </w:p>
        </w:tc>
        <w:tc>
          <w:tcPr>
            <w:tcW w:w="0" w:type="auto"/>
            <w:gridSpan w:val="3"/>
            <w:vAlign w:val="center"/>
            <w:hideMark/>
          </w:tcPr>
          <w:p w14:paraId="70BABB16" w14:textId="77777777" w:rsidR="00000000" w:rsidRDefault="00405D16">
            <w:pPr>
              <w:spacing w:after="100"/>
              <w:rPr>
                <w:rFonts w:eastAsia="Times New Roman"/>
                <w:sz w:val="20"/>
                <w:szCs w:val="20"/>
              </w:rPr>
            </w:pPr>
          </w:p>
        </w:tc>
        <w:tc>
          <w:tcPr>
            <w:tcW w:w="0" w:type="auto"/>
            <w:gridSpan w:val="3"/>
            <w:vAlign w:val="center"/>
            <w:hideMark/>
          </w:tcPr>
          <w:p w14:paraId="46A8229E" w14:textId="77777777" w:rsidR="00000000" w:rsidRDefault="00405D16">
            <w:pPr>
              <w:spacing w:after="100"/>
              <w:rPr>
                <w:rFonts w:eastAsia="Times New Roman"/>
                <w:sz w:val="20"/>
                <w:szCs w:val="20"/>
              </w:rPr>
            </w:pPr>
          </w:p>
        </w:tc>
        <w:tc>
          <w:tcPr>
            <w:tcW w:w="0" w:type="auto"/>
            <w:gridSpan w:val="3"/>
            <w:vAlign w:val="center"/>
            <w:hideMark/>
          </w:tcPr>
          <w:p w14:paraId="3B44E955" w14:textId="77777777" w:rsidR="00000000" w:rsidRDefault="00405D16">
            <w:pPr>
              <w:spacing w:after="100"/>
              <w:rPr>
                <w:rFonts w:eastAsia="Times New Roman"/>
                <w:sz w:val="20"/>
                <w:szCs w:val="20"/>
              </w:rPr>
            </w:pPr>
          </w:p>
        </w:tc>
        <w:tc>
          <w:tcPr>
            <w:tcW w:w="0" w:type="auto"/>
            <w:gridSpan w:val="3"/>
            <w:vAlign w:val="center"/>
            <w:hideMark/>
          </w:tcPr>
          <w:p w14:paraId="5DB824DD" w14:textId="77777777" w:rsidR="00000000" w:rsidRDefault="00405D16">
            <w:pPr>
              <w:spacing w:after="100"/>
              <w:rPr>
                <w:rFonts w:eastAsia="Times New Roman"/>
                <w:sz w:val="20"/>
                <w:szCs w:val="20"/>
              </w:rPr>
            </w:pPr>
          </w:p>
        </w:tc>
      </w:tr>
      <w:tr w:rsidR="00000000" w14:paraId="4AD0B5E6" w14:textId="77777777">
        <w:trPr>
          <w:jc w:val="center"/>
        </w:trPr>
        <w:tc>
          <w:tcPr>
            <w:tcW w:w="0" w:type="auto"/>
            <w:gridSpan w:val="3"/>
            <w:vAlign w:val="center"/>
            <w:hideMark/>
          </w:tcPr>
          <w:p w14:paraId="33F61FB1" w14:textId="77777777" w:rsidR="00000000" w:rsidRDefault="00405D16">
            <w:pPr>
              <w:spacing w:after="100"/>
              <w:rPr>
                <w:rFonts w:eastAsia="Times New Roman"/>
                <w:sz w:val="20"/>
                <w:szCs w:val="20"/>
              </w:rPr>
            </w:pPr>
          </w:p>
        </w:tc>
        <w:tc>
          <w:tcPr>
            <w:tcW w:w="0" w:type="auto"/>
            <w:gridSpan w:val="3"/>
            <w:vAlign w:val="center"/>
            <w:hideMark/>
          </w:tcPr>
          <w:p w14:paraId="042A985B" w14:textId="77777777" w:rsidR="00000000" w:rsidRDefault="00405D16">
            <w:pPr>
              <w:spacing w:after="100"/>
              <w:rPr>
                <w:rFonts w:eastAsia="Times New Roman"/>
                <w:sz w:val="20"/>
                <w:szCs w:val="20"/>
              </w:rPr>
            </w:pPr>
          </w:p>
        </w:tc>
        <w:tc>
          <w:tcPr>
            <w:tcW w:w="0" w:type="auto"/>
            <w:gridSpan w:val="3"/>
            <w:vAlign w:val="center"/>
            <w:hideMark/>
          </w:tcPr>
          <w:p w14:paraId="7123805F" w14:textId="77777777" w:rsidR="00000000" w:rsidRDefault="00405D16">
            <w:pPr>
              <w:spacing w:after="100"/>
              <w:rPr>
                <w:rFonts w:eastAsia="Times New Roman"/>
                <w:sz w:val="20"/>
                <w:szCs w:val="20"/>
              </w:rPr>
            </w:pPr>
          </w:p>
        </w:tc>
        <w:tc>
          <w:tcPr>
            <w:tcW w:w="0" w:type="auto"/>
            <w:gridSpan w:val="3"/>
            <w:vAlign w:val="center"/>
            <w:hideMark/>
          </w:tcPr>
          <w:p w14:paraId="7A00A7E1" w14:textId="77777777" w:rsidR="00000000" w:rsidRDefault="00405D16">
            <w:pPr>
              <w:spacing w:after="100"/>
              <w:rPr>
                <w:rFonts w:eastAsia="Times New Roman"/>
                <w:sz w:val="20"/>
                <w:szCs w:val="20"/>
              </w:rPr>
            </w:pPr>
          </w:p>
        </w:tc>
        <w:tc>
          <w:tcPr>
            <w:tcW w:w="0" w:type="auto"/>
            <w:gridSpan w:val="3"/>
            <w:vAlign w:val="center"/>
            <w:hideMark/>
          </w:tcPr>
          <w:p w14:paraId="06356E2F" w14:textId="77777777" w:rsidR="00000000" w:rsidRDefault="00405D16">
            <w:pPr>
              <w:spacing w:after="100"/>
              <w:rPr>
                <w:rFonts w:eastAsia="Times New Roman"/>
                <w:sz w:val="20"/>
                <w:szCs w:val="20"/>
              </w:rPr>
            </w:pPr>
          </w:p>
        </w:tc>
      </w:tr>
      <w:tr w:rsidR="00000000" w14:paraId="5D9DC84C" w14:textId="77777777">
        <w:trPr>
          <w:jc w:val="center"/>
        </w:trPr>
        <w:tc>
          <w:tcPr>
            <w:tcW w:w="0" w:type="auto"/>
            <w:gridSpan w:val="3"/>
            <w:vAlign w:val="center"/>
            <w:hideMark/>
          </w:tcPr>
          <w:p w14:paraId="43DF1491" w14:textId="77777777" w:rsidR="00000000" w:rsidRDefault="00405D16">
            <w:pPr>
              <w:spacing w:after="100"/>
              <w:rPr>
                <w:rFonts w:eastAsia="Times New Roman"/>
                <w:sz w:val="20"/>
                <w:szCs w:val="20"/>
              </w:rPr>
            </w:pPr>
          </w:p>
        </w:tc>
        <w:tc>
          <w:tcPr>
            <w:tcW w:w="0" w:type="auto"/>
            <w:gridSpan w:val="3"/>
            <w:vAlign w:val="center"/>
            <w:hideMark/>
          </w:tcPr>
          <w:p w14:paraId="6024DA9C" w14:textId="77777777" w:rsidR="00000000" w:rsidRDefault="00405D16">
            <w:pPr>
              <w:spacing w:after="100"/>
              <w:rPr>
                <w:rFonts w:eastAsia="Times New Roman"/>
                <w:sz w:val="20"/>
                <w:szCs w:val="20"/>
              </w:rPr>
            </w:pPr>
          </w:p>
        </w:tc>
        <w:tc>
          <w:tcPr>
            <w:tcW w:w="0" w:type="auto"/>
            <w:gridSpan w:val="3"/>
            <w:vAlign w:val="center"/>
            <w:hideMark/>
          </w:tcPr>
          <w:p w14:paraId="00E38E02" w14:textId="77777777" w:rsidR="00000000" w:rsidRDefault="00405D16">
            <w:pPr>
              <w:spacing w:after="100"/>
              <w:rPr>
                <w:rFonts w:eastAsia="Times New Roman"/>
                <w:sz w:val="20"/>
                <w:szCs w:val="20"/>
              </w:rPr>
            </w:pPr>
          </w:p>
        </w:tc>
        <w:tc>
          <w:tcPr>
            <w:tcW w:w="0" w:type="auto"/>
            <w:gridSpan w:val="3"/>
            <w:vAlign w:val="center"/>
            <w:hideMark/>
          </w:tcPr>
          <w:p w14:paraId="34CB9574" w14:textId="77777777" w:rsidR="00000000" w:rsidRDefault="00405D16">
            <w:pPr>
              <w:spacing w:after="100"/>
              <w:rPr>
                <w:rFonts w:eastAsia="Times New Roman"/>
                <w:sz w:val="20"/>
                <w:szCs w:val="20"/>
              </w:rPr>
            </w:pPr>
          </w:p>
        </w:tc>
        <w:tc>
          <w:tcPr>
            <w:tcW w:w="0" w:type="auto"/>
            <w:gridSpan w:val="3"/>
            <w:vAlign w:val="center"/>
            <w:hideMark/>
          </w:tcPr>
          <w:p w14:paraId="01315BDC" w14:textId="77777777" w:rsidR="00000000" w:rsidRDefault="00405D16">
            <w:pPr>
              <w:spacing w:after="100"/>
              <w:rPr>
                <w:rFonts w:eastAsia="Times New Roman"/>
                <w:sz w:val="20"/>
                <w:szCs w:val="20"/>
              </w:rPr>
            </w:pPr>
          </w:p>
        </w:tc>
      </w:tr>
      <w:tr w:rsidR="00000000" w14:paraId="3FAB3BBE" w14:textId="77777777">
        <w:trPr>
          <w:jc w:val="center"/>
        </w:trPr>
        <w:tc>
          <w:tcPr>
            <w:tcW w:w="0" w:type="auto"/>
            <w:gridSpan w:val="3"/>
            <w:vAlign w:val="center"/>
            <w:hideMark/>
          </w:tcPr>
          <w:p w14:paraId="0919E4BE" w14:textId="77777777" w:rsidR="00000000" w:rsidRDefault="00405D16">
            <w:pPr>
              <w:spacing w:after="100"/>
              <w:rPr>
                <w:rFonts w:eastAsia="Times New Roman"/>
                <w:sz w:val="20"/>
                <w:szCs w:val="20"/>
              </w:rPr>
            </w:pPr>
          </w:p>
        </w:tc>
        <w:tc>
          <w:tcPr>
            <w:tcW w:w="0" w:type="auto"/>
            <w:gridSpan w:val="3"/>
            <w:vAlign w:val="center"/>
            <w:hideMark/>
          </w:tcPr>
          <w:p w14:paraId="4168FB2E" w14:textId="77777777" w:rsidR="00000000" w:rsidRDefault="00405D16">
            <w:pPr>
              <w:spacing w:after="100"/>
              <w:rPr>
                <w:rFonts w:eastAsia="Times New Roman"/>
                <w:sz w:val="20"/>
                <w:szCs w:val="20"/>
              </w:rPr>
            </w:pPr>
          </w:p>
        </w:tc>
        <w:tc>
          <w:tcPr>
            <w:tcW w:w="0" w:type="auto"/>
            <w:gridSpan w:val="3"/>
            <w:vAlign w:val="center"/>
            <w:hideMark/>
          </w:tcPr>
          <w:p w14:paraId="7378E95A" w14:textId="77777777" w:rsidR="00000000" w:rsidRDefault="00405D16">
            <w:pPr>
              <w:spacing w:after="100"/>
              <w:rPr>
                <w:rFonts w:eastAsia="Times New Roman"/>
                <w:sz w:val="20"/>
                <w:szCs w:val="20"/>
              </w:rPr>
            </w:pPr>
          </w:p>
        </w:tc>
        <w:tc>
          <w:tcPr>
            <w:tcW w:w="0" w:type="auto"/>
            <w:gridSpan w:val="3"/>
            <w:vAlign w:val="center"/>
            <w:hideMark/>
          </w:tcPr>
          <w:p w14:paraId="009D1324" w14:textId="77777777" w:rsidR="00000000" w:rsidRDefault="00405D16">
            <w:pPr>
              <w:spacing w:after="100"/>
              <w:rPr>
                <w:rFonts w:eastAsia="Times New Roman"/>
                <w:sz w:val="20"/>
                <w:szCs w:val="20"/>
              </w:rPr>
            </w:pPr>
          </w:p>
        </w:tc>
        <w:tc>
          <w:tcPr>
            <w:tcW w:w="0" w:type="auto"/>
            <w:gridSpan w:val="3"/>
            <w:vAlign w:val="center"/>
            <w:hideMark/>
          </w:tcPr>
          <w:p w14:paraId="24F3FFDB" w14:textId="77777777" w:rsidR="00000000" w:rsidRDefault="00405D16">
            <w:pPr>
              <w:spacing w:after="100"/>
              <w:rPr>
                <w:rFonts w:eastAsia="Times New Roman"/>
                <w:sz w:val="20"/>
                <w:szCs w:val="20"/>
              </w:rPr>
            </w:pPr>
          </w:p>
        </w:tc>
      </w:tr>
      <w:tr w:rsidR="00000000" w14:paraId="4BB13392" w14:textId="77777777">
        <w:trPr>
          <w:jc w:val="center"/>
        </w:trPr>
        <w:tc>
          <w:tcPr>
            <w:tcW w:w="0" w:type="auto"/>
            <w:gridSpan w:val="3"/>
            <w:vAlign w:val="center"/>
            <w:hideMark/>
          </w:tcPr>
          <w:p w14:paraId="271FBC6F" w14:textId="77777777" w:rsidR="00000000" w:rsidRDefault="00405D16">
            <w:pPr>
              <w:spacing w:after="100"/>
              <w:rPr>
                <w:rFonts w:eastAsia="Times New Roman"/>
                <w:sz w:val="20"/>
                <w:szCs w:val="20"/>
              </w:rPr>
            </w:pPr>
          </w:p>
        </w:tc>
        <w:tc>
          <w:tcPr>
            <w:tcW w:w="0" w:type="auto"/>
            <w:gridSpan w:val="3"/>
            <w:vAlign w:val="center"/>
            <w:hideMark/>
          </w:tcPr>
          <w:p w14:paraId="078CA660" w14:textId="77777777" w:rsidR="00000000" w:rsidRDefault="00405D16">
            <w:pPr>
              <w:spacing w:after="100"/>
              <w:rPr>
                <w:rFonts w:eastAsia="Times New Roman"/>
                <w:sz w:val="20"/>
                <w:szCs w:val="20"/>
              </w:rPr>
            </w:pPr>
          </w:p>
        </w:tc>
        <w:tc>
          <w:tcPr>
            <w:tcW w:w="0" w:type="auto"/>
            <w:gridSpan w:val="3"/>
            <w:vAlign w:val="center"/>
            <w:hideMark/>
          </w:tcPr>
          <w:p w14:paraId="39D75F42" w14:textId="77777777" w:rsidR="00000000" w:rsidRDefault="00405D16">
            <w:pPr>
              <w:spacing w:after="100"/>
              <w:rPr>
                <w:rFonts w:eastAsia="Times New Roman"/>
                <w:sz w:val="20"/>
                <w:szCs w:val="20"/>
              </w:rPr>
            </w:pPr>
          </w:p>
        </w:tc>
        <w:tc>
          <w:tcPr>
            <w:tcW w:w="0" w:type="auto"/>
            <w:gridSpan w:val="3"/>
            <w:vAlign w:val="center"/>
            <w:hideMark/>
          </w:tcPr>
          <w:p w14:paraId="166E2B2A" w14:textId="77777777" w:rsidR="00000000" w:rsidRDefault="00405D16">
            <w:pPr>
              <w:spacing w:after="100"/>
              <w:rPr>
                <w:rFonts w:eastAsia="Times New Roman"/>
                <w:sz w:val="20"/>
                <w:szCs w:val="20"/>
              </w:rPr>
            </w:pPr>
          </w:p>
        </w:tc>
        <w:tc>
          <w:tcPr>
            <w:tcW w:w="0" w:type="auto"/>
            <w:gridSpan w:val="3"/>
            <w:vAlign w:val="center"/>
            <w:hideMark/>
          </w:tcPr>
          <w:p w14:paraId="1B7AA8FA" w14:textId="77777777" w:rsidR="00000000" w:rsidRDefault="00405D16">
            <w:pPr>
              <w:spacing w:after="100"/>
              <w:rPr>
                <w:rFonts w:eastAsia="Times New Roman"/>
                <w:sz w:val="20"/>
                <w:szCs w:val="20"/>
              </w:rPr>
            </w:pPr>
          </w:p>
        </w:tc>
      </w:tr>
      <w:tr w:rsidR="00000000" w14:paraId="5524BE0E" w14:textId="77777777">
        <w:trPr>
          <w:jc w:val="center"/>
        </w:trPr>
        <w:tc>
          <w:tcPr>
            <w:tcW w:w="0" w:type="auto"/>
            <w:gridSpan w:val="3"/>
            <w:vAlign w:val="center"/>
            <w:hideMark/>
          </w:tcPr>
          <w:p w14:paraId="68143D15" w14:textId="77777777" w:rsidR="00000000" w:rsidRDefault="00405D16">
            <w:pPr>
              <w:spacing w:after="100"/>
              <w:rPr>
                <w:rFonts w:eastAsia="Times New Roman"/>
                <w:sz w:val="20"/>
                <w:szCs w:val="20"/>
              </w:rPr>
            </w:pPr>
          </w:p>
        </w:tc>
        <w:tc>
          <w:tcPr>
            <w:tcW w:w="0" w:type="auto"/>
            <w:gridSpan w:val="3"/>
            <w:vAlign w:val="center"/>
            <w:hideMark/>
          </w:tcPr>
          <w:p w14:paraId="6B782EAF" w14:textId="77777777" w:rsidR="00000000" w:rsidRDefault="00405D16">
            <w:pPr>
              <w:spacing w:after="100"/>
              <w:rPr>
                <w:rFonts w:eastAsia="Times New Roman"/>
                <w:sz w:val="20"/>
                <w:szCs w:val="20"/>
              </w:rPr>
            </w:pPr>
          </w:p>
        </w:tc>
        <w:tc>
          <w:tcPr>
            <w:tcW w:w="0" w:type="auto"/>
            <w:gridSpan w:val="3"/>
            <w:vAlign w:val="center"/>
            <w:hideMark/>
          </w:tcPr>
          <w:p w14:paraId="7CA3EA87" w14:textId="77777777" w:rsidR="00000000" w:rsidRDefault="00405D16">
            <w:pPr>
              <w:spacing w:after="100"/>
              <w:rPr>
                <w:rFonts w:eastAsia="Times New Roman"/>
                <w:sz w:val="20"/>
                <w:szCs w:val="20"/>
              </w:rPr>
            </w:pPr>
          </w:p>
        </w:tc>
        <w:tc>
          <w:tcPr>
            <w:tcW w:w="0" w:type="auto"/>
            <w:gridSpan w:val="3"/>
            <w:vAlign w:val="center"/>
            <w:hideMark/>
          </w:tcPr>
          <w:p w14:paraId="37694018" w14:textId="77777777" w:rsidR="00000000" w:rsidRDefault="00405D16">
            <w:pPr>
              <w:spacing w:after="100"/>
              <w:rPr>
                <w:rFonts w:eastAsia="Times New Roman"/>
                <w:sz w:val="20"/>
                <w:szCs w:val="20"/>
              </w:rPr>
            </w:pPr>
          </w:p>
        </w:tc>
        <w:tc>
          <w:tcPr>
            <w:tcW w:w="0" w:type="auto"/>
            <w:gridSpan w:val="3"/>
            <w:vAlign w:val="center"/>
            <w:hideMark/>
          </w:tcPr>
          <w:p w14:paraId="5BCCA6B8" w14:textId="77777777" w:rsidR="00000000" w:rsidRDefault="00405D16">
            <w:pPr>
              <w:spacing w:after="100"/>
              <w:rPr>
                <w:rFonts w:eastAsia="Times New Roman"/>
                <w:sz w:val="20"/>
                <w:szCs w:val="20"/>
              </w:rPr>
            </w:pPr>
          </w:p>
        </w:tc>
      </w:tr>
      <w:tr w:rsidR="00000000" w14:paraId="6E40DAB0" w14:textId="77777777">
        <w:trPr>
          <w:jc w:val="center"/>
        </w:trPr>
        <w:tc>
          <w:tcPr>
            <w:tcW w:w="0" w:type="auto"/>
            <w:gridSpan w:val="3"/>
            <w:vAlign w:val="center"/>
            <w:hideMark/>
          </w:tcPr>
          <w:p w14:paraId="7D9BF76C" w14:textId="77777777" w:rsidR="00000000" w:rsidRDefault="00405D16">
            <w:pPr>
              <w:spacing w:after="100"/>
              <w:rPr>
                <w:rFonts w:eastAsia="Times New Roman"/>
                <w:sz w:val="20"/>
                <w:szCs w:val="20"/>
              </w:rPr>
            </w:pPr>
          </w:p>
        </w:tc>
        <w:tc>
          <w:tcPr>
            <w:tcW w:w="0" w:type="auto"/>
            <w:gridSpan w:val="3"/>
            <w:vAlign w:val="center"/>
            <w:hideMark/>
          </w:tcPr>
          <w:p w14:paraId="636FF05B" w14:textId="77777777" w:rsidR="00000000" w:rsidRDefault="00405D16">
            <w:pPr>
              <w:spacing w:after="100"/>
              <w:rPr>
                <w:rFonts w:eastAsia="Times New Roman"/>
                <w:sz w:val="20"/>
                <w:szCs w:val="20"/>
              </w:rPr>
            </w:pPr>
          </w:p>
        </w:tc>
        <w:tc>
          <w:tcPr>
            <w:tcW w:w="0" w:type="auto"/>
            <w:gridSpan w:val="3"/>
            <w:vAlign w:val="center"/>
            <w:hideMark/>
          </w:tcPr>
          <w:p w14:paraId="5864B24B" w14:textId="77777777" w:rsidR="00000000" w:rsidRDefault="00405D16">
            <w:pPr>
              <w:spacing w:after="100"/>
              <w:rPr>
                <w:rFonts w:eastAsia="Times New Roman"/>
                <w:sz w:val="20"/>
                <w:szCs w:val="20"/>
              </w:rPr>
            </w:pPr>
          </w:p>
        </w:tc>
        <w:tc>
          <w:tcPr>
            <w:tcW w:w="0" w:type="auto"/>
            <w:gridSpan w:val="3"/>
            <w:vAlign w:val="center"/>
            <w:hideMark/>
          </w:tcPr>
          <w:p w14:paraId="2A18BBEB" w14:textId="77777777" w:rsidR="00000000" w:rsidRDefault="00405D16">
            <w:pPr>
              <w:spacing w:after="100"/>
              <w:rPr>
                <w:rFonts w:eastAsia="Times New Roman"/>
                <w:sz w:val="20"/>
                <w:szCs w:val="20"/>
              </w:rPr>
            </w:pPr>
          </w:p>
        </w:tc>
        <w:tc>
          <w:tcPr>
            <w:tcW w:w="0" w:type="auto"/>
            <w:gridSpan w:val="3"/>
            <w:vAlign w:val="center"/>
            <w:hideMark/>
          </w:tcPr>
          <w:p w14:paraId="11EDE397" w14:textId="77777777" w:rsidR="00000000" w:rsidRDefault="00405D16">
            <w:pPr>
              <w:spacing w:after="100"/>
              <w:rPr>
                <w:rFonts w:eastAsia="Times New Roman"/>
                <w:sz w:val="20"/>
                <w:szCs w:val="20"/>
              </w:rPr>
            </w:pPr>
          </w:p>
        </w:tc>
      </w:tr>
      <w:tr w:rsidR="00000000" w14:paraId="0AC3AA95" w14:textId="77777777">
        <w:trPr>
          <w:jc w:val="center"/>
        </w:trPr>
        <w:tc>
          <w:tcPr>
            <w:tcW w:w="0" w:type="auto"/>
            <w:gridSpan w:val="3"/>
            <w:vAlign w:val="center"/>
            <w:hideMark/>
          </w:tcPr>
          <w:p w14:paraId="4912930A" w14:textId="77777777" w:rsidR="00000000" w:rsidRDefault="00405D16">
            <w:pPr>
              <w:spacing w:after="100"/>
              <w:rPr>
                <w:rFonts w:eastAsia="Times New Roman"/>
                <w:sz w:val="20"/>
                <w:szCs w:val="20"/>
              </w:rPr>
            </w:pPr>
          </w:p>
        </w:tc>
        <w:tc>
          <w:tcPr>
            <w:tcW w:w="0" w:type="auto"/>
            <w:gridSpan w:val="3"/>
            <w:vAlign w:val="center"/>
            <w:hideMark/>
          </w:tcPr>
          <w:p w14:paraId="689FBF45" w14:textId="77777777" w:rsidR="00000000" w:rsidRDefault="00405D16">
            <w:pPr>
              <w:spacing w:after="100"/>
              <w:rPr>
                <w:rFonts w:eastAsia="Times New Roman"/>
                <w:sz w:val="20"/>
                <w:szCs w:val="20"/>
              </w:rPr>
            </w:pPr>
          </w:p>
        </w:tc>
        <w:tc>
          <w:tcPr>
            <w:tcW w:w="0" w:type="auto"/>
            <w:gridSpan w:val="3"/>
            <w:vAlign w:val="center"/>
            <w:hideMark/>
          </w:tcPr>
          <w:p w14:paraId="5379B5B2" w14:textId="77777777" w:rsidR="00000000" w:rsidRDefault="00405D16">
            <w:pPr>
              <w:spacing w:after="100"/>
              <w:rPr>
                <w:rFonts w:eastAsia="Times New Roman"/>
                <w:sz w:val="20"/>
                <w:szCs w:val="20"/>
              </w:rPr>
            </w:pPr>
          </w:p>
        </w:tc>
        <w:tc>
          <w:tcPr>
            <w:tcW w:w="0" w:type="auto"/>
            <w:gridSpan w:val="3"/>
            <w:vAlign w:val="center"/>
            <w:hideMark/>
          </w:tcPr>
          <w:p w14:paraId="7F3C62A0" w14:textId="77777777" w:rsidR="00000000" w:rsidRDefault="00405D16">
            <w:pPr>
              <w:spacing w:after="100"/>
              <w:rPr>
                <w:rFonts w:eastAsia="Times New Roman"/>
                <w:sz w:val="20"/>
                <w:szCs w:val="20"/>
              </w:rPr>
            </w:pPr>
          </w:p>
        </w:tc>
        <w:tc>
          <w:tcPr>
            <w:tcW w:w="0" w:type="auto"/>
            <w:gridSpan w:val="3"/>
            <w:vAlign w:val="center"/>
            <w:hideMark/>
          </w:tcPr>
          <w:p w14:paraId="4AA082B8" w14:textId="77777777" w:rsidR="00000000" w:rsidRDefault="00405D16">
            <w:pPr>
              <w:spacing w:after="100"/>
              <w:rPr>
                <w:rFonts w:eastAsia="Times New Roman"/>
                <w:sz w:val="20"/>
                <w:szCs w:val="20"/>
              </w:rPr>
            </w:pPr>
          </w:p>
        </w:tc>
      </w:tr>
      <w:tr w:rsidR="00000000" w14:paraId="3D7E875E" w14:textId="77777777">
        <w:trPr>
          <w:jc w:val="center"/>
        </w:trPr>
        <w:tc>
          <w:tcPr>
            <w:tcW w:w="0" w:type="auto"/>
            <w:gridSpan w:val="3"/>
            <w:vAlign w:val="center"/>
            <w:hideMark/>
          </w:tcPr>
          <w:p w14:paraId="0F73D286" w14:textId="77777777" w:rsidR="00000000" w:rsidRDefault="00405D16">
            <w:pPr>
              <w:spacing w:after="100"/>
              <w:rPr>
                <w:rFonts w:eastAsia="Times New Roman"/>
                <w:sz w:val="20"/>
                <w:szCs w:val="20"/>
              </w:rPr>
            </w:pPr>
          </w:p>
        </w:tc>
        <w:tc>
          <w:tcPr>
            <w:tcW w:w="0" w:type="auto"/>
            <w:gridSpan w:val="3"/>
            <w:vAlign w:val="center"/>
            <w:hideMark/>
          </w:tcPr>
          <w:p w14:paraId="69602197" w14:textId="77777777" w:rsidR="00000000" w:rsidRDefault="00405D16">
            <w:pPr>
              <w:spacing w:after="100"/>
              <w:rPr>
                <w:rFonts w:eastAsia="Times New Roman"/>
                <w:sz w:val="20"/>
                <w:szCs w:val="20"/>
              </w:rPr>
            </w:pPr>
          </w:p>
        </w:tc>
        <w:tc>
          <w:tcPr>
            <w:tcW w:w="0" w:type="auto"/>
            <w:gridSpan w:val="3"/>
            <w:vAlign w:val="center"/>
            <w:hideMark/>
          </w:tcPr>
          <w:p w14:paraId="27F57F90" w14:textId="77777777" w:rsidR="00000000" w:rsidRDefault="00405D16">
            <w:pPr>
              <w:spacing w:after="100"/>
              <w:rPr>
                <w:rFonts w:eastAsia="Times New Roman"/>
                <w:sz w:val="20"/>
                <w:szCs w:val="20"/>
              </w:rPr>
            </w:pPr>
          </w:p>
        </w:tc>
        <w:tc>
          <w:tcPr>
            <w:tcW w:w="0" w:type="auto"/>
            <w:gridSpan w:val="3"/>
            <w:vAlign w:val="center"/>
            <w:hideMark/>
          </w:tcPr>
          <w:p w14:paraId="102B8BC3" w14:textId="77777777" w:rsidR="00000000" w:rsidRDefault="00405D16">
            <w:pPr>
              <w:spacing w:after="100"/>
              <w:rPr>
                <w:rFonts w:eastAsia="Times New Roman"/>
                <w:sz w:val="20"/>
                <w:szCs w:val="20"/>
              </w:rPr>
            </w:pPr>
          </w:p>
        </w:tc>
        <w:tc>
          <w:tcPr>
            <w:tcW w:w="0" w:type="auto"/>
            <w:gridSpan w:val="3"/>
            <w:vAlign w:val="center"/>
            <w:hideMark/>
          </w:tcPr>
          <w:p w14:paraId="719D6026" w14:textId="77777777" w:rsidR="00000000" w:rsidRDefault="00405D16">
            <w:pPr>
              <w:spacing w:after="100"/>
              <w:rPr>
                <w:rFonts w:eastAsia="Times New Roman"/>
                <w:sz w:val="20"/>
                <w:szCs w:val="20"/>
              </w:rPr>
            </w:pPr>
          </w:p>
        </w:tc>
      </w:tr>
      <w:tr w:rsidR="00000000" w14:paraId="79C45727" w14:textId="77777777">
        <w:trPr>
          <w:jc w:val="center"/>
        </w:trPr>
        <w:tc>
          <w:tcPr>
            <w:tcW w:w="0" w:type="auto"/>
            <w:gridSpan w:val="3"/>
            <w:vAlign w:val="center"/>
            <w:hideMark/>
          </w:tcPr>
          <w:p w14:paraId="3A1BFAD7" w14:textId="77777777" w:rsidR="00000000" w:rsidRDefault="00405D16">
            <w:pPr>
              <w:spacing w:after="100"/>
              <w:rPr>
                <w:rFonts w:eastAsia="Times New Roman"/>
                <w:sz w:val="20"/>
                <w:szCs w:val="20"/>
              </w:rPr>
            </w:pPr>
          </w:p>
        </w:tc>
        <w:tc>
          <w:tcPr>
            <w:tcW w:w="0" w:type="auto"/>
            <w:gridSpan w:val="3"/>
            <w:vAlign w:val="center"/>
            <w:hideMark/>
          </w:tcPr>
          <w:p w14:paraId="5E72CDD7" w14:textId="77777777" w:rsidR="00000000" w:rsidRDefault="00405D16">
            <w:pPr>
              <w:spacing w:after="100"/>
              <w:rPr>
                <w:rFonts w:eastAsia="Times New Roman"/>
                <w:sz w:val="20"/>
                <w:szCs w:val="20"/>
              </w:rPr>
            </w:pPr>
          </w:p>
        </w:tc>
        <w:tc>
          <w:tcPr>
            <w:tcW w:w="0" w:type="auto"/>
            <w:gridSpan w:val="3"/>
            <w:vAlign w:val="center"/>
            <w:hideMark/>
          </w:tcPr>
          <w:p w14:paraId="754F92BC" w14:textId="77777777" w:rsidR="00000000" w:rsidRDefault="00405D16">
            <w:pPr>
              <w:spacing w:after="100"/>
              <w:rPr>
                <w:rFonts w:eastAsia="Times New Roman"/>
                <w:sz w:val="20"/>
                <w:szCs w:val="20"/>
              </w:rPr>
            </w:pPr>
          </w:p>
        </w:tc>
        <w:tc>
          <w:tcPr>
            <w:tcW w:w="0" w:type="auto"/>
            <w:gridSpan w:val="3"/>
            <w:vAlign w:val="center"/>
            <w:hideMark/>
          </w:tcPr>
          <w:p w14:paraId="08BD2A24" w14:textId="77777777" w:rsidR="00000000" w:rsidRDefault="00405D16">
            <w:pPr>
              <w:spacing w:after="100"/>
              <w:rPr>
                <w:rFonts w:eastAsia="Times New Roman"/>
                <w:sz w:val="20"/>
                <w:szCs w:val="20"/>
              </w:rPr>
            </w:pPr>
          </w:p>
        </w:tc>
        <w:tc>
          <w:tcPr>
            <w:tcW w:w="0" w:type="auto"/>
            <w:gridSpan w:val="3"/>
            <w:vAlign w:val="center"/>
            <w:hideMark/>
          </w:tcPr>
          <w:p w14:paraId="5C0653A9" w14:textId="77777777" w:rsidR="00000000" w:rsidRDefault="00405D16">
            <w:pPr>
              <w:spacing w:after="100"/>
              <w:rPr>
                <w:rFonts w:eastAsia="Times New Roman"/>
                <w:sz w:val="20"/>
                <w:szCs w:val="20"/>
              </w:rPr>
            </w:pPr>
          </w:p>
        </w:tc>
      </w:tr>
      <w:tr w:rsidR="00000000" w14:paraId="71B26FB3" w14:textId="77777777">
        <w:trPr>
          <w:jc w:val="center"/>
        </w:trPr>
        <w:tc>
          <w:tcPr>
            <w:tcW w:w="0" w:type="auto"/>
            <w:gridSpan w:val="3"/>
            <w:vAlign w:val="center"/>
            <w:hideMark/>
          </w:tcPr>
          <w:p w14:paraId="7C506E6C" w14:textId="77777777" w:rsidR="00000000" w:rsidRDefault="00405D16">
            <w:pPr>
              <w:spacing w:after="100"/>
              <w:rPr>
                <w:rFonts w:eastAsia="Times New Roman"/>
                <w:sz w:val="20"/>
                <w:szCs w:val="20"/>
              </w:rPr>
            </w:pPr>
          </w:p>
        </w:tc>
        <w:tc>
          <w:tcPr>
            <w:tcW w:w="0" w:type="auto"/>
            <w:gridSpan w:val="3"/>
            <w:vAlign w:val="center"/>
            <w:hideMark/>
          </w:tcPr>
          <w:p w14:paraId="34A91DCC" w14:textId="77777777" w:rsidR="00000000" w:rsidRDefault="00405D16">
            <w:pPr>
              <w:spacing w:after="100"/>
              <w:rPr>
                <w:rFonts w:eastAsia="Times New Roman"/>
                <w:sz w:val="20"/>
                <w:szCs w:val="20"/>
              </w:rPr>
            </w:pPr>
          </w:p>
        </w:tc>
        <w:tc>
          <w:tcPr>
            <w:tcW w:w="0" w:type="auto"/>
            <w:gridSpan w:val="3"/>
            <w:vAlign w:val="center"/>
            <w:hideMark/>
          </w:tcPr>
          <w:p w14:paraId="56E8D8A0" w14:textId="77777777" w:rsidR="00000000" w:rsidRDefault="00405D16">
            <w:pPr>
              <w:spacing w:after="100"/>
              <w:rPr>
                <w:rFonts w:eastAsia="Times New Roman"/>
                <w:sz w:val="20"/>
                <w:szCs w:val="20"/>
              </w:rPr>
            </w:pPr>
          </w:p>
        </w:tc>
        <w:tc>
          <w:tcPr>
            <w:tcW w:w="0" w:type="auto"/>
            <w:gridSpan w:val="3"/>
            <w:vAlign w:val="center"/>
            <w:hideMark/>
          </w:tcPr>
          <w:p w14:paraId="3DCB50D6" w14:textId="77777777" w:rsidR="00000000" w:rsidRDefault="00405D16">
            <w:pPr>
              <w:spacing w:after="100"/>
              <w:rPr>
                <w:rFonts w:eastAsia="Times New Roman"/>
                <w:sz w:val="20"/>
                <w:szCs w:val="20"/>
              </w:rPr>
            </w:pPr>
          </w:p>
        </w:tc>
        <w:tc>
          <w:tcPr>
            <w:tcW w:w="0" w:type="auto"/>
            <w:gridSpan w:val="3"/>
            <w:vAlign w:val="center"/>
            <w:hideMark/>
          </w:tcPr>
          <w:p w14:paraId="3BE8EBFF" w14:textId="77777777" w:rsidR="00000000" w:rsidRDefault="00405D16">
            <w:pPr>
              <w:spacing w:after="100"/>
              <w:rPr>
                <w:rFonts w:eastAsia="Times New Roman"/>
                <w:sz w:val="20"/>
                <w:szCs w:val="20"/>
              </w:rPr>
            </w:pPr>
          </w:p>
        </w:tc>
      </w:tr>
      <w:tr w:rsidR="00000000" w14:paraId="5B1422FE" w14:textId="77777777">
        <w:trPr>
          <w:jc w:val="center"/>
        </w:trPr>
        <w:tc>
          <w:tcPr>
            <w:tcW w:w="0" w:type="auto"/>
            <w:gridSpan w:val="3"/>
            <w:vAlign w:val="center"/>
            <w:hideMark/>
          </w:tcPr>
          <w:p w14:paraId="65740C9A" w14:textId="77777777" w:rsidR="00000000" w:rsidRDefault="00405D16">
            <w:pPr>
              <w:spacing w:after="100"/>
              <w:rPr>
                <w:rFonts w:eastAsia="Times New Roman"/>
                <w:sz w:val="20"/>
                <w:szCs w:val="20"/>
              </w:rPr>
            </w:pPr>
          </w:p>
        </w:tc>
        <w:tc>
          <w:tcPr>
            <w:tcW w:w="0" w:type="auto"/>
            <w:gridSpan w:val="3"/>
            <w:vAlign w:val="center"/>
            <w:hideMark/>
          </w:tcPr>
          <w:p w14:paraId="30146369" w14:textId="77777777" w:rsidR="00000000" w:rsidRDefault="00405D16">
            <w:pPr>
              <w:spacing w:after="100"/>
              <w:rPr>
                <w:rFonts w:eastAsia="Times New Roman"/>
                <w:sz w:val="20"/>
                <w:szCs w:val="20"/>
              </w:rPr>
            </w:pPr>
          </w:p>
        </w:tc>
        <w:tc>
          <w:tcPr>
            <w:tcW w:w="0" w:type="auto"/>
            <w:gridSpan w:val="3"/>
            <w:vAlign w:val="center"/>
            <w:hideMark/>
          </w:tcPr>
          <w:p w14:paraId="19368977" w14:textId="77777777" w:rsidR="00000000" w:rsidRDefault="00405D16">
            <w:pPr>
              <w:spacing w:after="100"/>
              <w:rPr>
                <w:rFonts w:eastAsia="Times New Roman"/>
                <w:sz w:val="20"/>
                <w:szCs w:val="20"/>
              </w:rPr>
            </w:pPr>
          </w:p>
        </w:tc>
        <w:tc>
          <w:tcPr>
            <w:tcW w:w="0" w:type="auto"/>
            <w:gridSpan w:val="3"/>
            <w:vAlign w:val="center"/>
            <w:hideMark/>
          </w:tcPr>
          <w:p w14:paraId="5C44574C" w14:textId="77777777" w:rsidR="00000000" w:rsidRDefault="00405D16">
            <w:pPr>
              <w:spacing w:after="100"/>
              <w:rPr>
                <w:rFonts w:eastAsia="Times New Roman"/>
                <w:sz w:val="20"/>
                <w:szCs w:val="20"/>
              </w:rPr>
            </w:pPr>
          </w:p>
        </w:tc>
        <w:tc>
          <w:tcPr>
            <w:tcW w:w="0" w:type="auto"/>
            <w:gridSpan w:val="3"/>
            <w:vAlign w:val="center"/>
            <w:hideMark/>
          </w:tcPr>
          <w:p w14:paraId="44D5D9DF" w14:textId="77777777" w:rsidR="00000000" w:rsidRDefault="00405D16">
            <w:pPr>
              <w:spacing w:after="100"/>
              <w:rPr>
                <w:rFonts w:eastAsia="Times New Roman"/>
                <w:sz w:val="20"/>
                <w:szCs w:val="20"/>
              </w:rPr>
            </w:pPr>
          </w:p>
        </w:tc>
      </w:tr>
      <w:tr w:rsidR="00000000" w14:paraId="33F32140" w14:textId="77777777">
        <w:trPr>
          <w:jc w:val="center"/>
        </w:trPr>
        <w:tc>
          <w:tcPr>
            <w:tcW w:w="0" w:type="auto"/>
            <w:gridSpan w:val="3"/>
            <w:vAlign w:val="center"/>
            <w:hideMark/>
          </w:tcPr>
          <w:p w14:paraId="2E8F4217" w14:textId="77777777" w:rsidR="00000000" w:rsidRDefault="00405D16">
            <w:pPr>
              <w:spacing w:after="100"/>
              <w:rPr>
                <w:rFonts w:eastAsia="Times New Roman"/>
                <w:sz w:val="20"/>
                <w:szCs w:val="20"/>
              </w:rPr>
            </w:pPr>
          </w:p>
        </w:tc>
        <w:tc>
          <w:tcPr>
            <w:tcW w:w="0" w:type="auto"/>
            <w:gridSpan w:val="3"/>
            <w:vAlign w:val="center"/>
            <w:hideMark/>
          </w:tcPr>
          <w:p w14:paraId="48E741B3" w14:textId="77777777" w:rsidR="00000000" w:rsidRDefault="00405D16">
            <w:pPr>
              <w:spacing w:after="100"/>
              <w:rPr>
                <w:rFonts w:eastAsia="Times New Roman"/>
                <w:sz w:val="20"/>
                <w:szCs w:val="20"/>
              </w:rPr>
            </w:pPr>
          </w:p>
        </w:tc>
        <w:tc>
          <w:tcPr>
            <w:tcW w:w="0" w:type="auto"/>
            <w:gridSpan w:val="3"/>
            <w:vAlign w:val="center"/>
            <w:hideMark/>
          </w:tcPr>
          <w:p w14:paraId="6AD04598" w14:textId="77777777" w:rsidR="00000000" w:rsidRDefault="00405D16">
            <w:pPr>
              <w:spacing w:after="100"/>
              <w:rPr>
                <w:rFonts w:eastAsia="Times New Roman"/>
                <w:sz w:val="20"/>
                <w:szCs w:val="20"/>
              </w:rPr>
            </w:pPr>
          </w:p>
        </w:tc>
        <w:tc>
          <w:tcPr>
            <w:tcW w:w="0" w:type="auto"/>
            <w:gridSpan w:val="3"/>
            <w:vAlign w:val="center"/>
            <w:hideMark/>
          </w:tcPr>
          <w:p w14:paraId="530AC2B1" w14:textId="77777777" w:rsidR="00000000" w:rsidRDefault="00405D16">
            <w:pPr>
              <w:spacing w:after="100"/>
              <w:rPr>
                <w:rFonts w:eastAsia="Times New Roman"/>
                <w:sz w:val="20"/>
                <w:szCs w:val="20"/>
              </w:rPr>
            </w:pPr>
          </w:p>
        </w:tc>
        <w:tc>
          <w:tcPr>
            <w:tcW w:w="0" w:type="auto"/>
            <w:gridSpan w:val="3"/>
            <w:vAlign w:val="center"/>
            <w:hideMark/>
          </w:tcPr>
          <w:p w14:paraId="5EDBDE7C" w14:textId="77777777" w:rsidR="00000000" w:rsidRDefault="00405D16">
            <w:pPr>
              <w:spacing w:after="100"/>
              <w:rPr>
                <w:rFonts w:eastAsia="Times New Roman"/>
                <w:sz w:val="20"/>
                <w:szCs w:val="20"/>
              </w:rPr>
            </w:pPr>
          </w:p>
        </w:tc>
      </w:tr>
      <w:tr w:rsidR="00000000" w14:paraId="51D75BF9" w14:textId="77777777">
        <w:trPr>
          <w:jc w:val="center"/>
        </w:trPr>
        <w:tc>
          <w:tcPr>
            <w:tcW w:w="0" w:type="auto"/>
            <w:gridSpan w:val="3"/>
            <w:vAlign w:val="center"/>
            <w:hideMark/>
          </w:tcPr>
          <w:p w14:paraId="114F64CD" w14:textId="77777777" w:rsidR="00000000" w:rsidRDefault="00405D16">
            <w:pPr>
              <w:spacing w:after="100"/>
              <w:rPr>
                <w:rFonts w:eastAsia="Times New Roman"/>
                <w:sz w:val="20"/>
                <w:szCs w:val="20"/>
              </w:rPr>
            </w:pPr>
          </w:p>
        </w:tc>
        <w:tc>
          <w:tcPr>
            <w:tcW w:w="0" w:type="auto"/>
            <w:gridSpan w:val="3"/>
            <w:vAlign w:val="center"/>
            <w:hideMark/>
          </w:tcPr>
          <w:p w14:paraId="2DDACA11" w14:textId="77777777" w:rsidR="00000000" w:rsidRDefault="00405D16">
            <w:pPr>
              <w:spacing w:after="100"/>
              <w:rPr>
                <w:rFonts w:eastAsia="Times New Roman"/>
                <w:sz w:val="20"/>
                <w:szCs w:val="20"/>
              </w:rPr>
            </w:pPr>
          </w:p>
        </w:tc>
        <w:tc>
          <w:tcPr>
            <w:tcW w:w="0" w:type="auto"/>
            <w:gridSpan w:val="3"/>
            <w:vAlign w:val="center"/>
            <w:hideMark/>
          </w:tcPr>
          <w:p w14:paraId="3D86AD7E" w14:textId="77777777" w:rsidR="00000000" w:rsidRDefault="00405D16">
            <w:pPr>
              <w:spacing w:after="100"/>
              <w:rPr>
                <w:rFonts w:eastAsia="Times New Roman"/>
                <w:sz w:val="20"/>
                <w:szCs w:val="20"/>
              </w:rPr>
            </w:pPr>
          </w:p>
        </w:tc>
        <w:tc>
          <w:tcPr>
            <w:tcW w:w="0" w:type="auto"/>
            <w:gridSpan w:val="3"/>
            <w:vAlign w:val="center"/>
            <w:hideMark/>
          </w:tcPr>
          <w:p w14:paraId="72BA80E7" w14:textId="77777777" w:rsidR="00000000" w:rsidRDefault="00405D16">
            <w:pPr>
              <w:spacing w:after="100"/>
              <w:rPr>
                <w:rFonts w:eastAsia="Times New Roman"/>
                <w:sz w:val="20"/>
                <w:szCs w:val="20"/>
              </w:rPr>
            </w:pPr>
          </w:p>
        </w:tc>
        <w:tc>
          <w:tcPr>
            <w:tcW w:w="0" w:type="auto"/>
            <w:gridSpan w:val="3"/>
            <w:vAlign w:val="center"/>
            <w:hideMark/>
          </w:tcPr>
          <w:p w14:paraId="77F01EB7" w14:textId="77777777" w:rsidR="00000000" w:rsidRDefault="00405D16">
            <w:pPr>
              <w:spacing w:after="100"/>
              <w:rPr>
                <w:rFonts w:eastAsia="Times New Roman"/>
                <w:sz w:val="20"/>
                <w:szCs w:val="20"/>
              </w:rPr>
            </w:pPr>
          </w:p>
        </w:tc>
      </w:tr>
      <w:tr w:rsidR="00000000" w14:paraId="6C66A164" w14:textId="77777777">
        <w:trPr>
          <w:jc w:val="center"/>
        </w:trPr>
        <w:tc>
          <w:tcPr>
            <w:tcW w:w="0" w:type="auto"/>
            <w:gridSpan w:val="3"/>
            <w:vAlign w:val="center"/>
            <w:hideMark/>
          </w:tcPr>
          <w:p w14:paraId="4DF04549" w14:textId="77777777" w:rsidR="00000000" w:rsidRDefault="00405D16">
            <w:pPr>
              <w:spacing w:after="100"/>
              <w:rPr>
                <w:rFonts w:eastAsia="Times New Roman"/>
                <w:sz w:val="20"/>
                <w:szCs w:val="20"/>
              </w:rPr>
            </w:pPr>
          </w:p>
        </w:tc>
        <w:tc>
          <w:tcPr>
            <w:tcW w:w="0" w:type="auto"/>
            <w:gridSpan w:val="3"/>
            <w:vAlign w:val="center"/>
            <w:hideMark/>
          </w:tcPr>
          <w:p w14:paraId="159ED598" w14:textId="77777777" w:rsidR="00000000" w:rsidRDefault="00405D16">
            <w:pPr>
              <w:spacing w:after="100"/>
              <w:rPr>
                <w:rFonts w:eastAsia="Times New Roman"/>
                <w:sz w:val="20"/>
                <w:szCs w:val="20"/>
              </w:rPr>
            </w:pPr>
          </w:p>
        </w:tc>
        <w:tc>
          <w:tcPr>
            <w:tcW w:w="0" w:type="auto"/>
            <w:gridSpan w:val="3"/>
            <w:vAlign w:val="center"/>
            <w:hideMark/>
          </w:tcPr>
          <w:p w14:paraId="0974D40E" w14:textId="77777777" w:rsidR="00000000" w:rsidRDefault="00405D16">
            <w:pPr>
              <w:spacing w:after="100"/>
              <w:rPr>
                <w:rFonts w:eastAsia="Times New Roman"/>
                <w:sz w:val="20"/>
                <w:szCs w:val="20"/>
              </w:rPr>
            </w:pPr>
          </w:p>
        </w:tc>
        <w:tc>
          <w:tcPr>
            <w:tcW w:w="0" w:type="auto"/>
            <w:gridSpan w:val="3"/>
            <w:vAlign w:val="center"/>
            <w:hideMark/>
          </w:tcPr>
          <w:p w14:paraId="61F7DA87" w14:textId="77777777" w:rsidR="00000000" w:rsidRDefault="00405D16">
            <w:pPr>
              <w:spacing w:after="100"/>
              <w:rPr>
                <w:rFonts w:eastAsia="Times New Roman"/>
                <w:sz w:val="20"/>
                <w:szCs w:val="20"/>
              </w:rPr>
            </w:pPr>
          </w:p>
        </w:tc>
        <w:tc>
          <w:tcPr>
            <w:tcW w:w="0" w:type="auto"/>
            <w:gridSpan w:val="3"/>
            <w:vAlign w:val="center"/>
            <w:hideMark/>
          </w:tcPr>
          <w:p w14:paraId="7C8744C8" w14:textId="77777777" w:rsidR="00000000" w:rsidRDefault="00405D16">
            <w:pPr>
              <w:spacing w:after="100"/>
              <w:rPr>
                <w:rFonts w:eastAsia="Times New Roman"/>
                <w:sz w:val="20"/>
                <w:szCs w:val="20"/>
              </w:rPr>
            </w:pPr>
          </w:p>
        </w:tc>
      </w:tr>
      <w:tr w:rsidR="00000000" w14:paraId="549F2F47" w14:textId="77777777">
        <w:trPr>
          <w:jc w:val="center"/>
        </w:trPr>
        <w:tc>
          <w:tcPr>
            <w:tcW w:w="0" w:type="auto"/>
            <w:gridSpan w:val="3"/>
            <w:vAlign w:val="center"/>
            <w:hideMark/>
          </w:tcPr>
          <w:p w14:paraId="384A7988" w14:textId="77777777" w:rsidR="00000000" w:rsidRDefault="00405D16">
            <w:pPr>
              <w:spacing w:after="100"/>
              <w:rPr>
                <w:rFonts w:eastAsia="Times New Roman"/>
                <w:sz w:val="20"/>
                <w:szCs w:val="20"/>
              </w:rPr>
            </w:pPr>
          </w:p>
        </w:tc>
        <w:tc>
          <w:tcPr>
            <w:tcW w:w="0" w:type="auto"/>
            <w:gridSpan w:val="3"/>
            <w:vAlign w:val="center"/>
            <w:hideMark/>
          </w:tcPr>
          <w:p w14:paraId="1C252828" w14:textId="77777777" w:rsidR="00000000" w:rsidRDefault="00405D16">
            <w:pPr>
              <w:spacing w:after="100"/>
              <w:rPr>
                <w:rFonts w:eastAsia="Times New Roman"/>
                <w:sz w:val="20"/>
                <w:szCs w:val="20"/>
              </w:rPr>
            </w:pPr>
          </w:p>
        </w:tc>
        <w:tc>
          <w:tcPr>
            <w:tcW w:w="0" w:type="auto"/>
            <w:gridSpan w:val="3"/>
            <w:vAlign w:val="center"/>
            <w:hideMark/>
          </w:tcPr>
          <w:p w14:paraId="58824086" w14:textId="77777777" w:rsidR="00000000" w:rsidRDefault="00405D16">
            <w:pPr>
              <w:spacing w:after="100"/>
              <w:rPr>
                <w:rFonts w:eastAsia="Times New Roman"/>
                <w:sz w:val="20"/>
                <w:szCs w:val="20"/>
              </w:rPr>
            </w:pPr>
          </w:p>
        </w:tc>
        <w:tc>
          <w:tcPr>
            <w:tcW w:w="0" w:type="auto"/>
            <w:gridSpan w:val="3"/>
            <w:vAlign w:val="center"/>
            <w:hideMark/>
          </w:tcPr>
          <w:p w14:paraId="17F24526" w14:textId="77777777" w:rsidR="00000000" w:rsidRDefault="00405D16">
            <w:pPr>
              <w:spacing w:after="100"/>
              <w:rPr>
                <w:rFonts w:eastAsia="Times New Roman"/>
                <w:sz w:val="20"/>
                <w:szCs w:val="20"/>
              </w:rPr>
            </w:pPr>
          </w:p>
        </w:tc>
        <w:tc>
          <w:tcPr>
            <w:tcW w:w="0" w:type="auto"/>
            <w:gridSpan w:val="3"/>
            <w:vAlign w:val="center"/>
            <w:hideMark/>
          </w:tcPr>
          <w:p w14:paraId="44538EEF" w14:textId="77777777" w:rsidR="00000000" w:rsidRDefault="00405D16">
            <w:pPr>
              <w:spacing w:after="100"/>
              <w:rPr>
                <w:rFonts w:eastAsia="Times New Roman"/>
                <w:sz w:val="20"/>
                <w:szCs w:val="20"/>
              </w:rPr>
            </w:pPr>
          </w:p>
        </w:tc>
      </w:tr>
      <w:tr w:rsidR="00000000" w14:paraId="4B010F1B" w14:textId="77777777">
        <w:trPr>
          <w:jc w:val="center"/>
        </w:trPr>
        <w:tc>
          <w:tcPr>
            <w:tcW w:w="0" w:type="auto"/>
            <w:gridSpan w:val="3"/>
            <w:vAlign w:val="center"/>
            <w:hideMark/>
          </w:tcPr>
          <w:p w14:paraId="79E5A96E" w14:textId="77777777" w:rsidR="00000000" w:rsidRDefault="00405D16">
            <w:pPr>
              <w:spacing w:after="100"/>
              <w:rPr>
                <w:rFonts w:eastAsia="Times New Roman"/>
                <w:sz w:val="20"/>
                <w:szCs w:val="20"/>
              </w:rPr>
            </w:pPr>
          </w:p>
        </w:tc>
        <w:tc>
          <w:tcPr>
            <w:tcW w:w="0" w:type="auto"/>
            <w:gridSpan w:val="3"/>
            <w:vAlign w:val="center"/>
            <w:hideMark/>
          </w:tcPr>
          <w:p w14:paraId="7AA1DDB7" w14:textId="77777777" w:rsidR="00000000" w:rsidRDefault="00405D16">
            <w:pPr>
              <w:spacing w:after="100"/>
              <w:rPr>
                <w:rFonts w:eastAsia="Times New Roman"/>
                <w:sz w:val="20"/>
                <w:szCs w:val="20"/>
              </w:rPr>
            </w:pPr>
          </w:p>
        </w:tc>
        <w:tc>
          <w:tcPr>
            <w:tcW w:w="0" w:type="auto"/>
            <w:gridSpan w:val="3"/>
            <w:vAlign w:val="center"/>
            <w:hideMark/>
          </w:tcPr>
          <w:p w14:paraId="2EC39FF4" w14:textId="77777777" w:rsidR="00000000" w:rsidRDefault="00405D16">
            <w:pPr>
              <w:spacing w:after="100"/>
              <w:rPr>
                <w:rFonts w:eastAsia="Times New Roman"/>
                <w:sz w:val="20"/>
                <w:szCs w:val="20"/>
              </w:rPr>
            </w:pPr>
          </w:p>
        </w:tc>
        <w:tc>
          <w:tcPr>
            <w:tcW w:w="0" w:type="auto"/>
            <w:gridSpan w:val="3"/>
            <w:vAlign w:val="center"/>
            <w:hideMark/>
          </w:tcPr>
          <w:p w14:paraId="21DC31D4" w14:textId="77777777" w:rsidR="00000000" w:rsidRDefault="00405D16">
            <w:pPr>
              <w:spacing w:after="100"/>
              <w:rPr>
                <w:rFonts w:eastAsia="Times New Roman"/>
                <w:sz w:val="20"/>
                <w:szCs w:val="20"/>
              </w:rPr>
            </w:pPr>
          </w:p>
        </w:tc>
        <w:tc>
          <w:tcPr>
            <w:tcW w:w="0" w:type="auto"/>
            <w:gridSpan w:val="3"/>
            <w:vAlign w:val="center"/>
            <w:hideMark/>
          </w:tcPr>
          <w:p w14:paraId="177051DB" w14:textId="77777777" w:rsidR="00000000" w:rsidRDefault="00405D16">
            <w:pPr>
              <w:spacing w:after="100"/>
              <w:rPr>
                <w:rFonts w:eastAsia="Times New Roman"/>
                <w:sz w:val="20"/>
                <w:szCs w:val="20"/>
              </w:rPr>
            </w:pPr>
          </w:p>
        </w:tc>
      </w:tr>
      <w:tr w:rsidR="00000000" w14:paraId="7828F33A" w14:textId="77777777">
        <w:trPr>
          <w:jc w:val="center"/>
        </w:trPr>
        <w:tc>
          <w:tcPr>
            <w:tcW w:w="0" w:type="auto"/>
            <w:gridSpan w:val="3"/>
            <w:vAlign w:val="center"/>
            <w:hideMark/>
          </w:tcPr>
          <w:p w14:paraId="02AD62C4" w14:textId="77777777" w:rsidR="00000000" w:rsidRDefault="00405D16">
            <w:pPr>
              <w:spacing w:after="100"/>
              <w:rPr>
                <w:rFonts w:eastAsia="Times New Roman"/>
                <w:sz w:val="20"/>
                <w:szCs w:val="20"/>
              </w:rPr>
            </w:pPr>
          </w:p>
        </w:tc>
        <w:tc>
          <w:tcPr>
            <w:tcW w:w="0" w:type="auto"/>
            <w:gridSpan w:val="3"/>
            <w:vAlign w:val="center"/>
            <w:hideMark/>
          </w:tcPr>
          <w:p w14:paraId="50B2B884" w14:textId="77777777" w:rsidR="00000000" w:rsidRDefault="00405D16">
            <w:pPr>
              <w:spacing w:after="100"/>
              <w:rPr>
                <w:rFonts w:eastAsia="Times New Roman"/>
                <w:sz w:val="20"/>
                <w:szCs w:val="20"/>
              </w:rPr>
            </w:pPr>
          </w:p>
        </w:tc>
        <w:tc>
          <w:tcPr>
            <w:tcW w:w="0" w:type="auto"/>
            <w:gridSpan w:val="3"/>
            <w:vAlign w:val="center"/>
            <w:hideMark/>
          </w:tcPr>
          <w:p w14:paraId="735D8C73" w14:textId="77777777" w:rsidR="00000000" w:rsidRDefault="00405D16">
            <w:pPr>
              <w:spacing w:after="100"/>
              <w:rPr>
                <w:rFonts w:eastAsia="Times New Roman"/>
                <w:sz w:val="20"/>
                <w:szCs w:val="20"/>
              </w:rPr>
            </w:pPr>
          </w:p>
        </w:tc>
        <w:tc>
          <w:tcPr>
            <w:tcW w:w="0" w:type="auto"/>
            <w:gridSpan w:val="3"/>
            <w:vAlign w:val="center"/>
            <w:hideMark/>
          </w:tcPr>
          <w:p w14:paraId="66E20937" w14:textId="77777777" w:rsidR="00000000" w:rsidRDefault="00405D16">
            <w:pPr>
              <w:spacing w:after="100"/>
              <w:rPr>
                <w:rFonts w:eastAsia="Times New Roman"/>
                <w:sz w:val="20"/>
                <w:szCs w:val="20"/>
              </w:rPr>
            </w:pPr>
          </w:p>
        </w:tc>
        <w:tc>
          <w:tcPr>
            <w:tcW w:w="0" w:type="auto"/>
            <w:gridSpan w:val="3"/>
            <w:vAlign w:val="center"/>
            <w:hideMark/>
          </w:tcPr>
          <w:p w14:paraId="0888837C" w14:textId="77777777" w:rsidR="00000000" w:rsidRDefault="00405D16">
            <w:pPr>
              <w:spacing w:after="100"/>
              <w:rPr>
                <w:rFonts w:eastAsia="Times New Roman"/>
                <w:sz w:val="20"/>
                <w:szCs w:val="20"/>
              </w:rPr>
            </w:pPr>
          </w:p>
        </w:tc>
      </w:tr>
      <w:tr w:rsidR="00000000" w14:paraId="7EFDFC52" w14:textId="77777777">
        <w:trPr>
          <w:jc w:val="center"/>
        </w:trPr>
        <w:tc>
          <w:tcPr>
            <w:tcW w:w="0" w:type="auto"/>
            <w:gridSpan w:val="3"/>
            <w:vAlign w:val="center"/>
            <w:hideMark/>
          </w:tcPr>
          <w:p w14:paraId="5607E756" w14:textId="77777777" w:rsidR="00000000" w:rsidRDefault="00405D16">
            <w:pPr>
              <w:spacing w:after="100"/>
              <w:rPr>
                <w:rFonts w:eastAsia="Times New Roman"/>
                <w:sz w:val="20"/>
                <w:szCs w:val="20"/>
              </w:rPr>
            </w:pPr>
          </w:p>
        </w:tc>
        <w:tc>
          <w:tcPr>
            <w:tcW w:w="0" w:type="auto"/>
            <w:gridSpan w:val="3"/>
            <w:vAlign w:val="center"/>
            <w:hideMark/>
          </w:tcPr>
          <w:p w14:paraId="0842C468" w14:textId="77777777" w:rsidR="00000000" w:rsidRDefault="00405D16">
            <w:pPr>
              <w:spacing w:after="100"/>
              <w:rPr>
                <w:rFonts w:eastAsia="Times New Roman"/>
                <w:sz w:val="20"/>
                <w:szCs w:val="20"/>
              </w:rPr>
            </w:pPr>
          </w:p>
        </w:tc>
        <w:tc>
          <w:tcPr>
            <w:tcW w:w="0" w:type="auto"/>
            <w:gridSpan w:val="3"/>
            <w:vAlign w:val="center"/>
            <w:hideMark/>
          </w:tcPr>
          <w:p w14:paraId="04758E6B" w14:textId="77777777" w:rsidR="00000000" w:rsidRDefault="00405D16">
            <w:pPr>
              <w:spacing w:after="100"/>
              <w:rPr>
                <w:rFonts w:eastAsia="Times New Roman"/>
                <w:sz w:val="20"/>
                <w:szCs w:val="20"/>
              </w:rPr>
            </w:pPr>
          </w:p>
        </w:tc>
        <w:tc>
          <w:tcPr>
            <w:tcW w:w="0" w:type="auto"/>
            <w:gridSpan w:val="3"/>
            <w:vAlign w:val="center"/>
            <w:hideMark/>
          </w:tcPr>
          <w:p w14:paraId="2CE56109" w14:textId="77777777" w:rsidR="00000000" w:rsidRDefault="00405D16">
            <w:pPr>
              <w:spacing w:after="100"/>
              <w:rPr>
                <w:rFonts w:eastAsia="Times New Roman"/>
                <w:sz w:val="20"/>
                <w:szCs w:val="20"/>
              </w:rPr>
            </w:pPr>
          </w:p>
        </w:tc>
        <w:tc>
          <w:tcPr>
            <w:tcW w:w="0" w:type="auto"/>
            <w:gridSpan w:val="3"/>
            <w:vAlign w:val="center"/>
            <w:hideMark/>
          </w:tcPr>
          <w:p w14:paraId="76C858A7" w14:textId="77777777" w:rsidR="00000000" w:rsidRDefault="00405D16">
            <w:pPr>
              <w:spacing w:after="100"/>
              <w:rPr>
                <w:rFonts w:eastAsia="Times New Roman"/>
                <w:sz w:val="20"/>
                <w:szCs w:val="20"/>
              </w:rPr>
            </w:pPr>
          </w:p>
        </w:tc>
      </w:tr>
      <w:tr w:rsidR="00000000" w14:paraId="77696B23" w14:textId="77777777">
        <w:trPr>
          <w:jc w:val="center"/>
        </w:trPr>
        <w:tc>
          <w:tcPr>
            <w:tcW w:w="0" w:type="auto"/>
            <w:gridSpan w:val="3"/>
            <w:vAlign w:val="center"/>
            <w:hideMark/>
          </w:tcPr>
          <w:p w14:paraId="70C5C727" w14:textId="77777777" w:rsidR="00000000" w:rsidRDefault="00405D16">
            <w:pPr>
              <w:spacing w:after="100"/>
              <w:rPr>
                <w:rFonts w:eastAsia="Times New Roman"/>
                <w:sz w:val="20"/>
                <w:szCs w:val="20"/>
              </w:rPr>
            </w:pPr>
          </w:p>
        </w:tc>
        <w:tc>
          <w:tcPr>
            <w:tcW w:w="0" w:type="auto"/>
            <w:gridSpan w:val="3"/>
            <w:vAlign w:val="center"/>
            <w:hideMark/>
          </w:tcPr>
          <w:p w14:paraId="6E761CA0" w14:textId="77777777" w:rsidR="00000000" w:rsidRDefault="00405D16">
            <w:pPr>
              <w:spacing w:after="100"/>
              <w:rPr>
                <w:rFonts w:eastAsia="Times New Roman"/>
                <w:sz w:val="20"/>
                <w:szCs w:val="20"/>
              </w:rPr>
            </w:pPr>
          </w:p>
        </w:tc>
        <w:tc>
          <w:tcPr>
            <w:tcW w:w="0" w:type="auto"/>
            <w:gridSpan w:val="3"/>
            <w:vAlign w:val="center"/>
            <w:hideMark/>
          </w:tcPr>
          <w:p w14:paraId="443510E6" w14:textId="77777777" w:rsidR="00000000" w:rsidRDefault="00405D16">
            <w:pPr>
              <w:spacing w:after="100"/>
              <w:rPr>
                <w:rFonts w:eastAsia="Times New Roman"/>
                <w:sz w:val="20"/>
                <w:szCs w:val="20"/>
              </w:rPr>
            </w:pPr>
          </w:p>
        </w:tc>
        <w:tc>
          <w:tcPr>
            <w:tcW w:w="0" w:type="auto"/>
            <w:gridSpan w:val="3"/>
            <w:vAlign w:val="center"/>
            <w:hideMark/>
          </w:tcPr>
          <w:p w14:paraId="42D61B40" w14:textId="77777777" w:rsidR="00000000" w:rsidRDefault="00405D16">
            <w:pPr>
              <w:spacing w:after="100"/>
              <w:rPr>
                <w:rFonts w:eastAsia="Times New Roman"/>
                <w:sz w:val="20"/>
                <w:szCs w:val="20"/>
              </w:rPr>
            </w:pPr>
          </w:p>
        </w:tc>
        <w:tc>
          <w:tcPr>
            <w:tcW w:w="0" w:type="auto"/>
            <w:gridSpan w:val="3"/>
            <w:vAlign w:val="center"/>
            <w:hideMark/>
          </w:tcPr>
          <w:p w14:paraId="2AE03BF8" w14:textId="77777777" w:rsidR="00000000" w:rsidRDefault="00405D16">
            <w:pPr>
              <w:spacing w:after="100"/>
              <w:rPr>
                <w:rFonts w:eastAsia="Times New Roman"/>
                <w:sz w:val="20"/>
                <w:szCs w:val="20"/>
              </w:rPr>
            </w:pPr>
          </w:p>
        </w:tc>
      </w:tr>
      <w:tr w:rsidR="00000000" w14:paraId="39801043" w14:textId="77777777">
        <w:trPr>
          <w:jc w:val="center"/>
        </w:trPr>
        <w:tc>
          <w:tcPr>
            <w:tcW w:w="0" w:type="auto"/>
            <w:gridSpan w:val="3"/>
            <w:vAlign w:val="center"/>
            <w:hideMark/>
          </w:tcPr>
          <w:p w14:paraId="224019F3" w14:textId="77777777" w:rsidR="00000000" w:rsidRDefault="00405D16">
            <w:pPr>
              <w:spacing w:after="100"/>
              <w:rPr>
                <w:rFonts w:eastAsia="Times New Roman"/>
                <w:sz w:val="20"/>
                <w:szCs w:val="20"/>
              </w:rPr>
            </w:pPr>
          </w:p>
        </w:tc>
        <w:tc>
          <w:tcPr>
            <w:tcW w:w="0" w:type="auto"/>
            <w:gridSpan w:val="3"/>
            <w:vAlign w:val="center"/>
            <w:hideMark/>
          </w:tcPr>
          <w:p w14:paraId="1030390D" w14:textId="77777777" w:rsidR="00000000" w:rsidRDefault="00405D16">
            <w:pPr>
              <w:spacing w:after="100"/>
              <w:rPr>
                <w:rFonts w:eastAsia="Times New Roman"/>
                <w:sz w:val="20"/>
                <w:szCs w:val="20"/>
              </w:rPr>
            </w:pPr>
          </w:p>
        </w:tc>
        <w:tc>
          <w:tcPr>
            <w:tcW w:w="0" w:type="auto"/>
            <w:gridSpan w:val="3"/>
            <w:vAlign w:val="center"/>
            <w:hideMark/>
          </w:tcPr>
          <w:p w14:paraId="25095CEC" w14:textId="77777777" w:rsidR="00000000" w:rsidRDefault="00405D16">
            <w:pPr>
              <w:spacing w:after="100"/>
              <w:rPr>
                <w:rFonts w:eastAsia="Times New Roman"/>
                <w:sz w:val="20"/>
                <w:szCs w:val="20"/>
              </w:rPr>
            </w:pPr>
          </w:p>
        </w:tc>
        <w:tc>
          <w:tcPr>
            <w:tcW w:w="0" w:type="auto"/>
            <w:gridSpan w:val="3"/>
            <w:vAlign w:val="center"/>
            <w:hideMark/>
          </w:tcPr>
          <w:p w14:paraId="733EA239" w14:textId="77777777" w:rsidR="00000000" w:rsidRDefault="00405D16">
            <w:pPr>
              <w:spacing w:after="100"/>
              <w:rPr>
                <w:rFonts w:eastAsia="Times New Roman"/>
                <w:sz w:val="20"/>
                <w:szCs w:val="20"/>
              </w:rPr>
            </w:pPr>
          </w:p>
        </w:tc>
        <w:tc>
          <w:tcPr>
            <w:tcW w:w="0" w:type="auto"/>
            <w:gridSpan w:val="3"/>
            <w:vAlign w:val="center"/>
            <w:hideMark/>
          </w:tcPr>
          <w:p w14:paraId="44E25267" w14:textId="77777777" w:rsidR="00000000" w:rsidRDefault="00405D16">
            <w:pPr>
              <w:spacing w:after="100"/>
              <w:rPr>
                <w:rFonts w:eastAsia="Times New Roman"/>
                <w:sz w:val="20"/>
                <w:szCs w:val="20"/>
              </w:rPr>
            </w:pPr>
          </w:p>
        </w:tc>
      </w:tr>
      <w:tr w:rsidR="00000000" w14:paraId="0D65168C" w14:textId="77777777">
        <w:trPr>
          <w:jc w:val="center"/>
        </w:trPr>
        <w:tc>
          <w:tcPr>
            <w:tcW w:w="0" w:type="auto"/>
            <w:gridSpan w:val="3"/>
            <w:vAlign w:val="center"/>
            <w:hideMark/>
          </w:tcPr>
          <w:p w14:paraId="00FCA1D3" w14:textId="77777777" w:rsidR="00000000" w:rsidRDefault="00405D16">
            <w:pPr>
              <w:spacing w:after="100"/>
              <w:rPr>
                <w:rFonts w:eastAsia="Times New Roman"/>
                <w:sz w:val="20"/>
                <w:szCs w:val="20"/>
              </w:rPr>
            </w:pPr>
          </w:p>
        </w:tc>
        <w:tc>
          <w:tcPr>
            <w:tcW w:w="0" w:type="auto"/>
            <w:gridSpan w:val="3"/>
            <w:vAlign w:val="center"/>
            <w:hideMark/>
          </w:tcPr>
          <w:p w14:paraId="76D8DA11" w14:textId="77777777" w:rsidR="00000000" w:rsidRDefault="00405D16">
            <w:pPr>
              <w:spacing w:after="100"/>
              <w:rPr>
                <w:rFonts w:eastAsia="Times New Roman"/>
                <w:sz w:val="20"/>
                <w:szCs w:val="20"/>
              </w:rPr>
            </w:pPr>
          </w:p>
        </w:tc>
        <w:tc>
          <w:tcPr>
            <w:tcW w:w="0" w:type="auto"/>
            <w:gridSpan w:val="3"/>
            <w:vAlign w:val="center"/>
            <w:hideMark/>
          </w:tcPr>
          <w:p w14:paraId="7832A3C7" w14:textId="77777777" w:rsidR="00000000" w:rsidRDefault="00405D16">
            <w:pPr>
              <w:spacing w:after="100"/>
              <w:rPr>
                <w:rFonts w:eastAsia="Times New Roman"/>
                <w:sz w:val="20"/>
                <w:szCs w:val="20"/>
              </w:rPr>
            </w:pPr>
          </w:p>
        </w:tc>
        <w:tc>
          <w:tcPr>
            <w:tcW w:w="0" w:type="auto"/>
            <w:gridSpan w:val="3"/>
            <w:vAlign w:val="center"/>
            <w:hideMark/>
          </w:tcPr>
          <w:p w14:paraId="49C1FA5C" w14:textId="77777777" w:rsidR="00000000" w:rsidRDefault="00405D16">
            <w:pPr>
              <w:spacing w:after="100"/>
              <w:rPr>
                <w:rFonts w:eastAsia="Times New Roman"/>
                <w:sz w:val="20"/>
                <w:szCs w:val="20"/>
              </w:rPr>
            </w:pPr>
          </w:p>
        </w:tc>
        <w:tc>
          <w:tcPr>
            <w:tcW w:w="0" w:type="auto"/>
            <w:gridSpan w:val="3"/>
            <w:vAlign w:val="center"/>
            <w:hideMark/>
          </w:tcPr>
          <w:p w14:paraId="31AE7902" w14:textId="77777777" w:rsidR="00000000" w:rsidRDefault="00405D16">
            <w:pPr>
              <w:spacing w:after="100"/>
              <w:rPr>
                <w:rFonts w:eastAsia="Times New Roman"/>
                <w:sz w:val="20"/>
                <w:szCs w:val="20"/>
              </w:rPr>
            </w:pPr>
          </w:p>
        </w:tc>
      </w:tr>
      <w:tr w:rsidR="00000000" w14:paraId="4F97DF76" w14:textId="77777777">
        <w:trPr>
          <w:jc w:val="center"/>
        </w:trPr>
        <w:tc>
          <w:tcPr>
            <w:tcW w:w="0" w:type="auto"/>
            <w:gridSpan w:val="3"/>
            <w:vAlign w:val="center"/>
            <w:hideMark/>
          </w:tcPr>
          <w:p w14:paraId="7A1EC402" w14:textId="77777777" w:rsidR="00000000" w:rsidRDefault="00405D16">
            <w:pPr>
              <w:spacing w:after="100"/>
              <w:rPr>
                <w:rFonts w:eastAsia="Times New Roman"/>
                <w:sz w:val="20"/>
                <w:szCs w:val="20"/>
              </w:rPr>
            </w:pPr>
          </w:p>
        </w:tc>
        <w:tc>
          <w:tcPr>
            <w:tcW w:w="0" w:type="auto"/>
            <w:gridSpan w:val="3"/>
            <w:vAlign w:val="center"/>
            <w:hideMark/>
          </w:tcPr>
          <w:p w14:paraId="0952880D" w14:textId="77777777" w:rsidR="00000000" w:rsidRDefault="00405D16">
            <w:pPr>
              <w:spacing w:after="100"/>
              <w:rPr>
                <w:rFonts w:eastAsia="Times New Roman"/>
                <w:sz w:val="20"/>
                <w:szCs w:val="20"/>
              </w:rPr>
            </w:pPr>
          </w:p>
        </w:tc>
        <w:tc>
          <w:tcPr>
            <w:tcW w:w="0" w:type="auto"/>
            <w:gridSpan w:val="3"/>
            <w:vAlign w:val="center"/>
            <w:hideMark/>
          </w:tcPr>
          <w:p w14:paraId="3E3A0FFF" w14:textId="77777777" w:rsidR="00000000" w:rsidRDefault="00405D16">
            <w:pPr>
              <w:spacing w:after="100"/>
              <w:rPr>
                <w:rFonts w:eastAsia="Times New Roman"/>
                <w:sz w:val="20"/>
                <w:szCs w:val="20"/>
              </w:rPr>
            </w:pPr>
          </w:p>
        </w:tc>
        <w:tc>
          <w:tcPr>
            <w:tcW w:w="0" w:type="auto"/>
            <w:gridSpan w:val="3"/>
            <w:vAlign w:val="center"/>
            <w:hideMark/>
          </w:tcPr>
          <w:p w14:paraId="54848918" w14:textId="77777777" w:rsidR="00000000" w:rsidRDefault="00405D16">
            <w:pPr>
              <w:spacing w:after="100"/>
              <w:rPr>
                <w:rFonts w:eastAsia="Times New Roman"/>
                <w:sz w:val="20"/>
                <w:szCs w:val="20"/>
              </w:rPr>
            </w:pPr>
          </w:p>
        </w:tc>
        <w:tc>
          <w:tcPr>
            <w:tcW w:w="0" w:type="auto"/>
            <w:gridSpan w:val="3"/>
            <w:vAlign w:val="center"/>
            <w:hideMark/>
          </w:tcPr>
          <w:p w14:paraId="7B8C474A" w14:textId="77777777" w:rsidR="00000000" w:rsidRDefault="00405D16">
            <w:pPr>
              <w:spacing w:after="100"/>
              <w:rPr>
                <w:rFonts w:eastAsia="Times New Roman"/>
                <w:sz w:val="20"/>
                <w:szCs w:val="20"/>
              </w:rPr>
            </w:pPr>
          </w:p>
        </w:tc>
      </w:tr>
    </w:tbl>
    <w:p w14:paraId="10649C32" w14:textId="77777777" w:rsidR="00000000" w:rsidRDefault="00405D16">
      <w:pPr>
        <w:jc w:val="center"/>
        <w:divId w:val="978730332"/>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3662"/>
        <w:gridCol w:w="36"/>
        <w:gridCol w:w="36"/>
        <w:gridCol w:w="36"/>
        <w:gridCol w:w="36"/>
        <w:gridCol w:w="42"/>
        <w:gridCol w:w="2946"/>
        <w:gridCol w:w="36"/>
        <w:gridCol w:w="36"/>
        <w:gridCol w:w="36"/>
        <w:gridCol w:w="36"/>
        <w:gridCol w:w="42"/>
        <w:gridCol w:w="1232"/>
        <w:gridCol w:w="36"/>
      </w:tblGrid>
      <w:tr w:rsidR="00000000" w14:paraId="4F597169" w14:textId="77777777">
        <w:trPr>
          <w:divId w:val="978730332"/>
          <w:jc w:val="center"/>
        </w:trPr>
        <w:tc>
          <w:tcPr>
            <w:tcW w:w="50" w:type="pct"/>
            <w:vAlign w:val="center"/>
            <w:hideMark/>
          </w:tcPr>
          <w:p w14:paraId="7EC8D3F8" w14:textId="77777777" w:rsidR="00000000" w:rsidRDefault="00405D16">
            <w:pPr>
              <w:jc w:val="center"/>
              <w:rPr>
                <w:rFonts w:eastAsia="Times New Roman"/>
              </w:rPr>
            </w:pPr>
          </w:p>
        </w:tc>
        <w:tc>
          <w:tcPr>
            <w:tcW w:w="2218" w:type="pct"/>
            <w:vAlign w:val="center"/>
            <w:hideMark/>
          </w:tcPr>
          <w:p w14:paraId="7978DEEE" w14:textId="77777777" w:rsidR="00000000" w:rsidRDefault="00405D16">
            <w:pPr>
              <w:spacing w:after="100"/>
              <w:rPr>
                <w:rFonts w:eastAsia="Times New Roman"/>
                <w:sz w:val="20"/>
                <w:szCs w:val="20"/>
              </w:rPr>
            </w:pPr>
          </w:p>
        </w:tc>
        <w:tc>
          <w:tcPr>
            <w:tcW w:w="5" w:type="pct"/>
            <w:vAlign w:val="center"/>
            <w:hideMark/>
          </w:tcPr>
          <w:p w14:paraId="2D0D4AD2" w14:textId="77777777" w:rsidR="00000000" w:rsidRDefault="00405D16">
            <w:pPr>
              <w:spacing w:after="100"/>
              <w:rPr>
                <w:rFonts w:eastAsia="Times New Roman"/>
                <w:sz w:val="20"/>
                <w:szCs w:val="20"/>
              </w:rPr>
            </w:pPr>
          </w:p>
        </w:tc>
        <w:tc>
          <w:tcPr>
            <w:tcW w:w="5" w:type="pct"/>
            <w:vAlign w:val="center"/>
            <w:hideMark/>
          </w:tcPr>
          <w:p w14:paraId="71FC2597" w14:textId="77777777" w:rsidR="00000000" w:rsidRDefault="00405D16">
            <w:pPr>
              <w:spacing w:after="100"/>
              <w:rPr>
                <w:rFonts w:eastAsia="Times New Roman"/>
                <w:sz w:val="20"/>
                <w:szCs w:val="20"/>
              </w:rPr>
            </w:pPr>
          </w:p>
        </w:tc>
        <w:tc>
          <w:tcPr>
            <w:tcW w:w="26" w:type="pct"/>
            <w:vAlign w:val="center"/>
            <w:hideMark/>
          </w:tcPr>
          <w:p w14:paraId="713B00BF" w14:textId="77777777" w:rsidR="00000000" w:rsidRDefault="00405D16">
            <w:pPr>
              <w:spacing w:after="100"/>
              <w:rPr>
                <w:rFonts w:eastAsia="Times New Roman"/>
                <w:sz w:val="20"/>
                <w:szCs w:val="20"/>
              </w:rPr>
            </w:pPr>
          </w:p>
        </w:tc>
        <w:tc>
          <w:tcPr>
            <w:tcW w:w="5" w:type="pct"/>
            <w:vAlign w:val="center"/>
            <w:hideMark/>
          </w:tcPr>
          <w:p w14:paraId="7F9898FE" w14:textId="77777777" w:rsidR="00000000" w:rsidRDefault="00405D16">
            <w:pPr>
              <w:spacing w:after="100"/>
              <w:rPr>
                <w:rFonts w:eastAsia="Times New Roman"/>
                <w:sz w:val="20"/>
                <w:szCs w:val="20"/>
              </w:rPr>
            </w:pPr>
          </w:p>
        </w:tc>
        <w:tc>
          <w:tcPr>
            <w:tcW w:w="50" w:type="pct"/>
            <w:vAlign w:val="center"/>
            <w:hideMark/>
          </w:tcPr>
          <w:p w14:paraId="1C3240FC" w14:textId="77777777" w:rsidR="00000000" w:rsidRDefault="00405D16">
            <w:pPr>
              <w:spacing w:after="100"/>
              <w:rPr>
                <w:rFonts w:eastAsia="Times New Roman"/>
                <w:sz w:val="20"/>
                <w:szCs w:val="20"/>
              </w:rPr>
            </w:pPr>
          </w:p>
        </w:tc>
        <w:tc>
          <w:tcPr>
            <w:tcW w:w="1787" w:type="pct"/>
            <w:vAlign w:val="center"/>
            <w:hideMark/>
          </w:tcPr>
          <w:p w14:paraId="4EF3CF00" w14:textId="77777777" w:rsidR="00000000" w:rsidRDefault="00405D16">
            <w:pPr>
              <w:spacing w:after="100"/>
              <w:rPr>
                <w:rFonts w:eastAsia="Times New Roman"/>
                <w:sz w:val="20"/>
                <w:szCs w:val="20"/>
              </w:rPr>
            </w:pPr>
          </w:p>
        </w:tc>
        <w:tc>
          <w:tcPr>
            <w:tcW w:w="5" w:type="pct"/>
            <w:vAlign w:val="center"/>
            <w:hideMark/>
          </w:tcPr>
          <w:p w14:paraId="7A590977" w14:textId="77777777" w:rsidR="00000000" w:rsidRDefault="00405D16">
            <w:pPr>
              <w:spacing w:after="100"/>
              <w:rPr>
                <w:rFonts w:eastAsia="Times New Roman"/>
                <w:sz w:val="20"/>
                <w:szCs w:val="20"/>
              </w:rPr>
            </w:pPr>
          </w:p>
        </w:tc>
        <w:tc>
          <w:tcPr>
            <w:tcW w:w="5" w:type="pct"/>
            <w:vAlign w:val="center"/>
            <w:hideMark/>
          </w:tcPr>
          <w:p w14:paraId="44CD0B99" w14:textId="77777777" w:rsidR="00000000" w:rsidRDefault="00405D16">
            <w:pPr>
              <w:spacing w:after="100"/>
              <w:rPr>
                <w:rFonts w:eastAsia="Times New Roman"/>
                <w:sz w:val="20"/>
                <w:szCs w:val="20"/>
              </w:rPr>
            </w:pPr>
          </w:p>
        </w:tc>
        <w:tc>
          <w:tcPr>
            <w:tcW w:w="26" w:type="pct"/>
            <w:vAlign w:val="center"/>
            <w:hideMark/>
          </w:tcPr>
          <w:p w14:paraId="0942BFAE" w14:textId="77777777" w:rsidR="00000000" w:rsidRDefault="00405D16">
            <w:pPr>
              <w:spacing w:after="100"/>
              <w:rPr>
                <w:rFonts w:eastAsia="Times New Roman"/>
                <w:sz w:val="20"/>
                <w:szCs w:val="20"/>
              </w:rPr>
            </w:pPr>
          </w:p>
        </w:tc>
        <w:tc>
          <w:tcPr>
            <w:tcW w:w="5" w:type="pct"/>
            <w:vAlign w:val="center"/>
            <w:hideMark/>
          </w:tcPr>
          <w:p w14:paraId="60C03A8B" w14:textId="77777777" w:rsidR="00000000" w:rsidRDefault="00405D16">
            <w:pPr>
              <w:spacing w:after="100"/>
              <w:rPr>
                <w:rFonts w:eastAsia="Times New Roman"/>
                <w:sz w:val="20"/>
                <w:szCs w:val="20"/>
              </w:rPr>
            </w:pPr>
          </w:p>
        </w:tc>
        <w:tc>
          <w:tcPr>
            <w:tcW w:w="50" w:type="pct"/>
            <w:vAlign w:val="center"/>
            <w:hideMark/>
          </w:tcPr>
          <w:p w14:paraId="4992D983" w14:textId="77777777" w:rsidR="00000000" w:rsidRDefault="00405D16">
            <w:pPr>
              <w:spacing w:after="100"/>
              <w:rPr>
                <w:rFonts w:eastAsia="Times New Roman"/>
                <w:sz w:val="20"/>
                <w:szCs w:val="20"/>
              </w:rPr>
            </w:pPr>
          </w:p>
        </w:tc>
        <w:tc>
          <w:tcPr>
            <w:tcW w:w="756" w:type="pct"/>
            <w:vAlign w:val="center"/>
            <w:hideMark/>
          </w:tcPr>
          <w:p w14:paraId="21AF4976" w14:textId="77777777" w:rsidR="00000000" w:rsidRDefault="00405D16">
            <w:pPr>
              <w:spacing w:after="100"/>
              <w:rPr>
                <w:rFonts w:eastAsia="Times New Roman"/>
                <w:sz w:val="20"/>
                <w:szCs w:val="20"/>
              </w:rPr>
            </w:pPr>
          </w:p>
        </w:tc>
        <w:tc>
          <w:tcPr>
            <w:tcW w:w="5" w:type="pct"/>
            <w:vAlign w:val="center"/>
            <w:hideMark/>
          </w:tcPr>
          <w:p w14:paraId="5CA209A9" w14:textId="77777777" w:rsidR="00000000" w:rsidRDefault="00405D16">
            <w:pPr>
              <w:spacing w:after="100"/>
              <w:rPr>
                <w:rFonts w:eastAsia="Times New Roman"/>
                <w:sz w:val="20"/>
                <w:szCs w:val="20"/>
              </w:rPr>
            </w:pPr>
          </w:p>
        </w:tc>
      </w:tr>
      <w:tr w:rsidR="00000000" w14:paraId="5622FD2F" w14:textId="77777777">
        <w:trPr>
          <w:divId w:val="978730332"/>
          <w:trHeight w:val="60"/>
          <w:jc w:val="center"/>
        </w:trPr>
        <w:tc>
          <w:tcPr>
            <w:tcW w:w="0" w:type="auto"/>
            <w:gridSpan w:val="15"/>
            <w:tcMar>
              <w:top w:w="0" w:type="dxa"/>
              <w:left w:w="20" w:type="dxa"/>
              <w:bottom w:w="0" w:type="dxa"/>
              <w:right w:w="20" w:type="dxa"/>
            </w:tcMar>
            <w:vAlign w:val="center"/>
            <w:hideMark/>
          </w:tcPr>
          <w:p w14:paraId="35609AE4" w14:textId="77777777" w:rsidR="00000000" w:rsidRDefault="00405D16">
            <w:pPr>
              <w:spacing w:after="100"/>
              <w:rPr>
                <w:rFonts w:eastAsia="Times New Roman"/>
                <w:sz w:val="20"/>
                <w:szCs w:val="20"/>
              </w:rPr>
            </w:pPr>
          </w:p>
        </w:tc>
      </w:tr>
      <w:tr w:rsidR="00000000" w14:paraId="3C8C5C75" w14:textId="77777777">
        <w:trPr>
          <w:divId w:val="978730332"/>
          <w:jc w:val="center"/>
        </w:trPr>
        <w:tc>
          <w:tcPr>
            <w:tcW w:w="0" w:type="auto"/>
            <w:gridSpan w:val="3"/>
            <w:vAlign w:val="center"/>
            <w:hideMark/>
          </w:tcPr>
          <w:p w14:paraId="1757E48B" w14:textId="77777777" w:rsidR="00000000" w:rsidRDefault="00405D16">
            <w:pPr>
              <w:spacing w:after="100"/>
              <w:rPr>
                <w:rFonts w:eastAsia="Times New Roman"/>
                <w:sz w:val="20"/>
                <w:szCs w:val="20"/>
              </w:rPr>
            </w:pPr>
          </w:p>
        </w:tc>
        <w:tc>
          <w:tcPr>
            <w:tcW w:w="0" w:type="auto"/>
            <w:gridSpan w:val="3"/>
            <w:vAlign w:val="center"/>
            <w:hideMark/>
          </w:tcPr>
          <w:p w14:paraId="21E774A0" w14:textId="77777777" w:rsidR="00000000" w:rsidRDefault="00405D16">
            <w:pPr>
              <w:spacing w:after="100"/>
              <w:rPr>
                <w:rFonts w:eastAsia="Times New Roman"/>
                <w:sz w:val="20"/>
                <w:szCs w:val="20"/>
              </w:rPr>
            </w:pPr>
          </w:p>
        </w:tc>
        <w:tc>
          <w:tcPr>
            <w:tcW w:w="0" w:type="auto"/>
            <w:gridSpan w:val="3"/>
            <w:vAlign w:val="center"/>
            <w:hideMark/>
          </w:tcPr>
          <w:p w14:paraId="4771E695" w14:textId="77777777" w:rsidR="00000000" w:rsidRDefault="00405D16">
            <w:pPr>
              <w:spacing w:after="100"/>
              <w:rPr>
                <w:rFonts w:eastAsia="Times New Roman"/>
                <w:sz w:val="20"/>
                <w:szCs w:val="20"/>
              </w:rPr>
            </w:pPr>
          </w:p>
        </w:tc>
        <w:tc>
          <w:tcPr>
            <w:tcW w:w="0" w:type="auto"/>
            <w:gridSpan w:val="3"/>
            <w:vAlign w:val="center"/>
            <w:hideMark/>
          </w:tcPr>
          <w:p w14:paraId="77A7AE67" w14:textId="77777777" w:rsidR="00000000" w:rsidRDefault="00405D16">
            <w:pPr>
              <w:spacing w:after="100"/>
              <w:rPr>
                <w:rFonts w:eastAsia="Times New Roman"/>
                <w:sz w:val="20"/>
                <w:szCs w:val="20"/>
              </w:rPr>
            </w:pPr>
          </w:p>
        </w:tc>
        <w:tc>
          <w:tcPr>
            <w:tcW w:w="0" w:type="auto"/>
            <w:gridSpan w:val="3"/>
            <w:vAlign w:val="center"/>
            <w:hideMark/>
          </w:tcPr>
          <w:p w14:paraId="76DAA22C" w14:textId="77777777" w:rsidR="00000000" w:rsidRDefault="00405D16">
            <w:pPr>
              <w:spacing w:after="100"/>
              <w:rPr>
                <w:rFonts w:eastAsia="Times New Roman"/>
                <w:sz w:val="20"/>
                <w:szCs w:val="20"/>
              </w:rPr>
            </w:pPr>
          </w:p>
        </w:tc>
      </w:tr>
      <w:tr w:rsidR="00000000" w14:paraId="2025C520" w14:textId="77777777">
        <w:trPr>
          <w:divId w:val="978730332"/>
          <w:jc w:val="center"/>
        </w:trPr>
        <w:tc>
          <w:tcPr>
            <w:tcW w:w="0" w:type="auto"/>
            <w:gridSpan w:val="3"/>
            <w:vAlign w:val="center"/>
            <w:hideMark/>
          </w:tcPr>
          <w:p w14:paraId="6FC3D2B0" w14:textId="77777777" w:rsidR="00000000" w:rsidRDefault="00405D16">
            <w:pPr>
              <w:spacing w:after="100"/>
              <w:rPr>
                <w:rFonts w:eastAsia="Times New Roman"/>
                <w:sz w:val="20"/>
                <w:szCs w:val="20"/>
              </w:rPr>
            </w:pPr>
          </w:p>
        </w:tc>
        <w:tc>
          <w:tcPr>
            <w:tcW w:w="0" w:type="auto"/>
            <w:gridSpan w:val="3"/>
            <w:vAlign w:val="center"/>
            <w:hideMark/>
          </w:tcPr>
          <w:p w14:paraId="46769024" w14:textId="77777777" w:rsidR="00000000" w:rsidRDefault="00405D16">
            <w:pPr>
              <w:spacing w:after="100"/>
              <w:rPr>
                <w:rFonts w:eastAsia="Times New Roman"/>
                <w:sz w:val="20"/>
                <w:szCs w:val="20"/>
              </w:rPr>
            </w:pPr>
          </w:p>
        </w:tc>
        <w:tc>
          <w:tcPr>
            <w:tcW w:w="0" w:type="auto"/>
            <w:gridSpan w:val="3"/>
            <w:vAlign w:val="center"/>
            <w:hideMark/>
          </w:tcPr>
          <w:p w14:paraId="4D8485A0" w14:textId="77777777" w:rsidR="00000000" w:rsidRDefault="00405D16">
            <w:pPr>
              <w:spacing w:after="100"/>
              <w:rPr>
                <w:rFonts w:eastAsia="Times New Roman"/>
                <w:sz w:val="20"/>
                <w:szCs w:val="20"/>
              </w:rPr>
            </w:pPr>
          </w:p>
        </w:tc>
        <w:tc>
          <w:tcPr>
            <w:tcW w:w="0" w:type="auto"/>
            <w:gridSpan w:val="3"/>
            <w:vAlign w:val="center"/>
            <w:hideMark/>
          </w:tcPr>
          <w:p w14:paraId="70072F14" w14:textId="77777777" w:rsidR="00000000" w:rsidRDefault="00405D16">
            <w:pPr>
              <w:spacing w:after="100"/>
              <w:rPr>
                <w:rFonts w:eastAsia="Times New Roman"/>
                <w:sz w:val="20"/>
                <w:szCs w:val="20"/>
              </w:rPr>
            </w:pPr>
          </w:p>
        </w:tc>
        <w:tc>
          <w:tcPr>
            <w:tcW w:w="0" w:type="auto"/>
            <w:gridSpan w:val="3"/>
            <w:vAlign w:val="center"/>
            <w:hideMark/>
          </w:tcPr>
          <w:p w14:paraId="5EA5F7F1" w14:textId="77777777" w:rsidR="00000000" w:rsidRDefault="00405D16">
            <w:pPr>
              <w:spacing w:after="100"/>
              <w:rPr>
                <w:rFonts w:eastAsia="Times New Roman"/>
                <w:sz w:val="20"/>
                <w:szCs w:val="20"/>
              </w:rPr>
            </w:pPr>
          </w:p>
        </w:tc>
      </w:tr>
      <w:tr w:rsidR="00000000" w14:paraId="00AA5AA1" w14:textId="77777777">
        <w:trPr>
          <w:divId w:val="978730332"/>
          <w:jc w:val="center"/>
        </w:trPr>
        <w:tc>
          <w:tcPr>
            <w:tcW w:w="0" w:type="auto"/>
            <w:gridSpan w:val="3"/>
            <w:vAlign w:val="center"/>
            <w:hideMark/>
          </w:tcPr>
          <w:p w14:paraId="640817AB" w14:textId="77777777" w:rsidR="00000000" w:rsidRDefault="00405D16">
            <w:pPr>
              <w:spacing w:after="100"/>
              <w:rPr>
                <w:rFonts w:eastAsia="Times New Roman"/>
                <w:sz w:val="20"/>
                <w:szCs w:val="20"/>
              </w:rPr>
            </w:pPr>
          </w:p>
        </w:tc>
        <w:tc>
          <w:tcPr>
            <w:tcW w:w="0" w:type="auto"/>
            <w:gridSpan w:val="3"/>
            <w:vAlign w:val="center"/>
            <w:hideMark/>
          </w:tcPr>
          <w:p w14:paraId="2580DA0F" w14:textId="77777777" w:rsidR="00000000" w:rsidRDefault="00405D16">
            <w:pPr>
              <w:spacing w:after="100"/>
              <w:rPr>
                <w:rFonts w:eastAsia="Times New Roman"/>
                <w:sz w:val="20"/>
                <w:szCs w:val="20"/>
              </w:rPr>
            </w:pPr>
          </w:p>
        </w:tc>
        <w:tc>
          <w:tcPr>
            <w:tcW w:w="0" w:type="auto"/>
            <w:gridSpan w:val="3"/>
            <w:vAlign w:val="center"/>
            <w:hideMark/>
          </w:tcPr>
          <w:p w14:paraId="5B3A2A3E" w14:textId="77777777" w:rsidR="00000000" w:rsidRDefault="00405D16">
            <w:pPr>
              <w:spacing w:after="100"/>
              <w:rPr>
                <w:rFonts w:eastAsia="Times New Roman"/>
                <w:sz w:val="20"/>
                <w:szCs w:val="20"/>
              </w:rPr>
            </w:pPr>
          </w:p>
        </w:tc>
        <w:tc>
          <w:tcPr>
            <w:tcW w:w="0" w:type="auto"/>
            <w:gridSpan w:val="3"/>
            <w:vAlign w:val="center"/>
            <w:hideMark/>
          </w:tcPr>
          <w:p w14:paraId="61738096" w14:textId="77777777" w:rsidR="00000000" w:rsidRDefault="00405D16">
            <w:pPr>
              <w:spacing w:after="100"/>
              <w:rPr>
                <w:rFonts w:eastAsia="Times New Roman"/>
                <w:sz w:val="20"/>
                <w:szCs w:val="20"/>
              </w:rPr>
            </w:pPr>
          </w:p>
        </w:tc>
        <w:tc>
          <w:tcPr>
            <w:tcW w:w="0" w:type="auto"/>
            <w:gridSpan w:val="3"/>
            <w:vAlign w:val="center"/>
            <w:hideMark/>
          </w:tcPr>
          <w:p w14:paraId="2718E232" w14:textId="77777777" w:rsidR="00000000" w:rsidRDefault="00405D16">
            <w:pPr>
              <w:spacing w:after="100"/>
              <w:rPr>
                <w:rFonts w:eastAsia="Times New Roman"/>
                <w:sz w:val="20"/>
                <w:szCs w:val="20"/>
              </w:rPr>
            </w:pPr>
          </w:p>
        </w:tc>
      </w:tr>
      <w:tr w:rsidR="00000000" w14:paraId="4172BAB4" w14:textId="77777777">
        <w:trPr>
          <w:divId w:val="978730332"/>
          <w:jc w:val="center"/>
        </w:trPr>
        <w:tc>
          <w:tcPr>
            <w:tcW w:w="0" w:type="auto"/>
            <w:gridSpan w:val="3"/>
            <w:vAlign w:val="center"/>
            <w:hideMark/>
          </w:tcPr>
          <w:p w14:paraId="22638A63" w14:textId="77777777" w:rsidR="00000000" w:rsidRDefault="00405D16">
            <w:pPr>
              <w:spacing w:after="100"/>
              <w:rPr>
                <w:rFonts w:eastAsia="Times New Roman"/>
                <w:sz w:val="20"/>
                <w:szCs w:val="20"/>
              </w:rPr>
            </w:pPr>
          </w:p>
        </w:tc>
        <w:tc>
          <w:tcPr>
            <w:tcW w:w="0" w:type="auto"/>
            <w:gridSpan w:val="3"/>
            <w:vAlign w:val="center"/>
            <w:hideMark/>
          </w:tcPr>
          <w:p w14:paraId="5FC0BEC6" w14:textId="77777777" w:rsidR="00000000" w:rsidRDefault="00405D16">
            <w:pPr>
              <w:spacing w:after="100"/>
              <w:rPr>
                <w:rFonts w:eastAsia="Times New Roman"/>
                <w:sz w:val="20"/>
                <w:szCs w:val="20"/>
              </w:rPr>
            </w:pPr>
          </w:p>
        </w:tc>
        <w:tc>
          <w:tcPr>
            <w:tcW w:w="0" w:type="auto"/>
            <w:gridSpan w:val="3"/>
            <w:vAlign w:val="center"/>
            <w:hideMark/>
          </w:tcPr>
          <w:p w14:paraId="006389DD" w14:textId="77777777" w:rsidR="00000000" w:rsidRDefault="00405D16">
            <w:pPr>
              <w:spacing w:after="100"/>
              <w:rPr>
                <w:rFonts w:eastAsia="Times New Roman"/>
                <w:sz w:val="20"/>
                <w:szCs w:val="20"/>
              </w:rPr>
            </w:pPr>
          </w:p>
        </w:tc>
        <w:tc>
          <w:tcPr>
            <w:tcW w:w="0" w:type="auto"/>
            <w:gridSpan w:val="3"/>
            <w:vAlign w:val="center"/>
            <w:hideMark/>
          </w:tcPr>
          <w:p w14:paraId="05AC8981" w14:textId="77777777" w:rsidR="00000000" w:rsidRDefault="00405D16">
            <w:pPr>
              <w:spacing w:after="100"/>
              <w:rPr>
                <w:rFonts w:eastAsia="Times New Roman"/>
                <w:sz w:val="20"/>
                <w:szCs w:val="20"/>
              </w:rPr>
            </w:pPr>
          </w:p>
        </w:tc>
        <w:tc>
          <w:tcPr>
            <w:tcW w:w="0" w:type="auto"/>
            <w:gridSpan w:val="3"/>
            <w:vAlign w:val="center"/>
            <w:hideMark/>
          </w:tcPr>
          <w:p w14:paraId="4723BF67" w14:textId="77777777" w:rsidR="00000000" w:rsidRDefault="00405D16">
            <w:pPr>
              <w:spacing w:after="100"/>
              <w:rPr>
                <w:rFonts w:eastAsia="Times New Roman"/>
                <w:sz w:val="20"/>
                <w:szCs w:val="20"/>
              </w:rPr>
            </w:pPr>
          </w:p>
        </w:tc>
      </w:tr>
      <w:tr w:rsidR="00000000" w14:paraId="758331BE" w14:textId="77777777">
        <w:trPr>
          <w:divId w:val="978730332"/>
          <w:jc w:val="center"/>
        </w:trPr>
        <w:tc>
          <w:tcPr>
            <w:tcW w:w="0" w:type="auto"/>
            <w:gridSpan w:val="3"/>
            <w:vAlign w:val="center"/>
            <w:hideMark/>
          </w:tcPr>
          <w:p w14:paraId="69716EBE" w14:textId="77777777" w:rsidR="00000000" w:rsidRDefault="00405D16">
            <w:pPr>
              <w:spacing w:after="100"/>
              <w:rPr>
                <w:rFonts w:eastAsia="Times New Roman"/>
                <w:sz w:val="20"/>
                <w:szCs w:val="20"/>
              </w:rPr>
            </w:pPr>
          </w:p>
        </w:tc>
        <w:tc>
          <w:tcPr>
            <w:tcW w:w="0" w:type="auto"/>
            <w:gridSpan w:val="3"/>
            <w:vAlign w:val="center"/>
            <w:hideMark/>
          </w:tcPr>
          <w:p w14:paraId="3FB269AE" w14:textId="77777777" w:rsidR="00000000" w:rsidRDefault="00405D16">
            <w:pPr>
              <w:spacing w:after="100"/>
              <w:rPr>
                <w:rFonts w:eastAsia="Times New Roman"/>
                <w:sz w:val="20"/>
                <w:szCs w:val="20"/>
              </w:rPr>
            </w:pPr>
          </w:p>
        </w:tc>
        <w:tc>
          <w:tcPr>
            <w:tcW w:w="0" w:type="auto"/>
            <w:gridSpan w:val="3"/>
            <w:vAlign w:val="center"/>
            <w:hideMark/>
          </w:tcPr>
          <w:p w14:paraId="3A8D1F50" w14:textId="77777777" w:rsidR="00000000" w:rsidRDefault="00405D16">
            <w:pPr>
              <w:spacing w:after="100"/>
              <w:rPr>
                <w:rFonts w:eastAsia="Times New Roman"/>
                <w:sz w:val="20"/>
                <w:szCs w:val="20"/>
              </w:rPr>
            </w:pPr>
          </w:p>
        </w:tc>
        <w:tc>
          <w:tcPr>
            <w:tcW w:w="0" w:type="auto"/>
            <w:gridSpan w:val="3"/>
            <w:vAlign w:val="center"/>
            <w:hideMark/>
          </w:tcPr>
          <w:p w14:paraId="52F71781" w14:textId="77777777" w:rsidR="00000000" w:rsidRDefault="00405D16">
            <w:pPr>
              <w:spacing w:after="100"/>
              <w:rPr>
                <w:rFonts w:eastAsia="Times New Roman"/>
                <w:sz w:val="20"/>
                <w:szCs w:val="20"/>
              </w:rPr>
            </w:pPr>
          </w:p>
        </w:tc>
        <w:tc>
          <w:tcPr>
            <w:tcW w:w="0" w:type="auto"/>
            <w:gridSpan w:val="3"/>
            <w:vAlign w:val="center"/>
            <w:hideMark/>
          </w:tcPr>
          <w:p w14:paraId="6C4D88BA" w14:textId="77777777" w:rsidR="00000000" w:rsidRDefault="00405D16">
            <w:pPr>
              <w:spacing w:after="100"/>
              <w:rPr>
                <w:rFonts w:eastAsia="Times New Roman"/>
                <w:sz w:val="20"/>
                <w:szCs w:val="20"/>
              </w:rPr>
            </w:pPr>
          </w:p>
        </w:tc>
      </w:tr>
      <w:tr w:rsidR="00000000" w14:paraId="57065772" w14:textId="77777777">
        <w:trPr>
          <w:divId w:val="978730332"/>
          <w:jc w:val="center"/>
        </w:trPr>
        <w:tc>
          <w:tcPr>
            <w:tcW w:w="0" w:type="auto"/>
            <w:gridSpan w:val="3"/>
            <w:vAlign w:val="center"/>
            <w:hideMark/>
          </w:tcPr>
          <w:p w14:paraId="45182EB3" w14:textId="77777777" w:rsidR="00000000" w:rsidRDefault="00405D16">
            <w:pPr>
              <w:spacing w:after="100"/>
              <w:rPr>
                <w:rFonts w:eastAsia="Times New Roman"/>
                <w:sz w:val="20"/>
                <w:szCs w:val="20"/>
              </w:rPr>
            </w:pPr>
          </w:p>
        </w:tc>
        <w:tc>
          <w:tcPr>
            <w:tcW w:w="0" w:type="auto"/>
            <w:gridSpan w:val="3"/>
            <w:vAlign w:val="center"/>
            <w:hideMark/>
          </w:tcPr>
          <w:p w14:paraId="4BC4596D" w14:textId="77777777" w:rsidR="00000000" w:rsidRDefault="00405D16">
            <w:pPr>
              <w:spacing w:after="100"/>
              <w:rPr>
                <w:rFonts w:eastAsia="Times New Roman"/>
                <w:sz w:val="20"/>
                <w:szCs w:val="20"/>
              </w:rPr>
            </w:pPr>
          </w:p>
        </w:tc>
        <w:tc>
          <w:tcPr>
            <w:tcW w:w="0" w:type="auto"/>
            <w:gridSpan w:val="3"/>
            <w:vAlign w:val="center"/>
            <w:hideMark/>
          </w:tcPr>
          <w:p w14:paraId="46A7809E" w14:textId="77777777" w:rsidR="00000000" w:rsidRDefault="00405D16">
            <w:pPr>
              <w:spacing w:after="100"/>
              <w:rPr>
                <w:rFonts w:eastAsia="Times New Roman"/>
                <w:sz w:val="20"/>
                <w:szCs w:val="20"/>
              </w:rPr>
            </w:pPr>
          </w:p>
        </w:tc>
        <w:tc>
          <w:tcPr>
            <w:tcW w:w="0" w:type="auto"/>
            <w:gridSpan w:val="3"/>
            <w:vAlign w:val="center"/>
            <w:hideMark/>
          </w:tcPr>
          <w:p w14:paraId="22FDF4F5" w14:textId="77777777" w:rsidR="00000000" w:rsidRDefault="00405D16">
            <w:pPr>
              <w:spacing w:after="100"/>
              <w:rPr>
                <w:rFonts w:eastAsia="Times New Roman"/>
                <w:sz w:val="20"/>
                <w:szCs w:val="20"/>
              </w:rPr>
            </w:pPr>
          </w:p>
        </w:tc>
        <w:tc>
          <w:tcPr>
            <w:tcW w:w="0" w:type="auto"/>
            <w:gridSpan w:val="3"/>
            <w:vAlign w:val="center"/>
            <w:hideMark/>
          </w:tcPr>
          <w:p w14:paraId="03AB2064" w14:textId="77777777" w:rsidR="00000000" w:rsidRDefault="00405D16">
            <w:pPr>
              <w:spacing w:after="100"/>
              <w:rPr>
                <w:rFonts w:eastAsia="Times New Roman"/>
                <w:sz w:val="20"/>
                <w:szCs w:val="20"/>
              </w:rPr>
            </w:pPr>
          </w:p>
        </w:tc>
      </w:tr>
      <w:tr w:rsidR="00000000" w14:paraId="7492C31D" w14:textId="77777777">
        <w:trPr>
          <w:divId w:val="978730332"/>
          <w:jc w:val="center"/>
        </w:trPr>
        <w:tc>
          <w:tcPr>
            <w:tcW w:w="0" w:type="auto"/>
            <w:gridSpan w:val="3"/>
            <w:vAlign w:val="center"/>
            <w:hideMark/>
          </w:tcPr>
          <w:p w14:paraId="29559651" w14:textId="77777777" w:rsidR="00000000" w:rsidRDefault="00405D16">
            <w:pPr>
              <w:spacing w:after="100"/>
              <w:rPr>
                <w:rFonts w:eastAsia="Times New Roman"/>
                <w:sz w:val="20"/>
                <w:szCs w:val="20"/>
              </w:rPr>
            </w:pPr>
          </w:p>
        </w:tc>
        <w:tc>
          <w:tcPr>
            <w:tcW w:w="0" w:type="auto"/>
            <w:gridSpan w:val="3"/>
            <w:vAlign w:val="center"/>
            <w:hideMark/>
          </w:tcPr>
          <w:p w14:paraId="53747C76" w14:textId="77777777" w:rsidR="00000000" w:rsidRDefault="00405D16">
            <w:pPr>
              <w:spacing w:after="100"/>
              <w:rPr>
                <w:rFonts w:eastAsia="Times New Roman"/>
                <w:sz w:val="20"/>
                <w:szCs w:val="20"/>
              </w:rPr>
            </w:pPr>
          </w:p>
        </w:tc>
        <w:tc>
          <w:tcPr>
            <w:tcW w:w="0" w:type="auto"/>
            <w:gridSpan w:val="3"/>
            <w:vAlign w:val="center"/>
            <w:hideMark/>
          </w:tcPr>
          <w:p w14:paraId="36D7AF4E" w14:textId="77777777" w:rsidR="00000000" w:rsidRDefault="00405D16">
            <w:pPr>
              <w:spacing w:after="100"/>
              <w:rPr>
                <w:rFonts w:eastAsia="Times New Roman"/>
                <w:sz w:val="20"/>
                <w:szCs w:val="20"/>
              </w:rPr>
            </w:pPr>
          </w:p>
        </w:tc>
        <w:tc>
          <w:tcPr>
            <w:tcW w:w="0" w:type="auto"/>
            <w:gridSpan w:val="3"/>
            <w:vAlign w:val="center"/>
            <w:hideMark/>
          </w:tcPr>
          <w:p w14:paraId="0B6D2785" w14:textId="77777777" w:rsidR="00000000" w:rsidRDefault="00405D16">
            <w:pPr>
              <w:spacing w:after="100"/>
              <w:rPr>
                <w:rFonts w:eastAsia="Times New Roman"/>
                <w:sz w:val="20"/>
                <w:szCs w:val="20"/>
              </w:rPr>
            </w:pPr>
          </w:p>
        </w:tc>
        <w:tc>
          <w:tcPr>
            <w:tcW w:w="0" w:type="auto"/>
            <w:gridSpan w:val="3"/>
            <w:vAlign w:val="center"/>
            <w:hideMark/>
          </w:tcPr>
          <w:p w14:paraId="7591C72B" w14:textId="77777777" w:rsidR="00000000" w:rsidRDefault="00405D16">
            <w:pPr>
              <w:spacing w:after="100"/>
              <w:rPr>
                <w:rFonts w:eastAsia="Times New Roman"/>
                <w:sz w:val="20"/>
                <w:szCs w:val="20"/>
              </w:rPr>
            </w:pPr>
          </w:p>
        </w:tc>
      </w:tr>
      <w:tr w:rsidR="00000000" w14:paraId="3708101A" w14:textId="77777777">
        <w:trPr>
          <w:divId w:val="978730332"/>
          <w:jc w:val="center"/>
        </w:trPr>
        <w:tc>
          <w:tcPr>
            <w:tcW w:w="0" w:type="auto"/>
            <w:gridSpan w:val="3"/>
            <w:vAlign w:val="center"/>
            <w:hideMark/>
          </w:tcPr>
          <w:p w14:paraId="3D543189" w14:textId="77777777" w:rsidR="00000000" w:rsidRDefault="00405D16">
            <w:pPr>
              <w:spacing w:after="100"/>
              <w:rPr>
                <w:rFonts w:eastAsia="Times New Roman"/>
                <w:sz w:val="20"/>
                <w:szCs w:val="20"/>
              </w:rPr>
            </w:pPr>
          </w:p>
        </w:tc>
        <w:tc>
          <w:tcPr>
            <w:tcW w:w="0" w:type="auto"/>
            <w:gridSpan w:val="3"/>
            <w:vAlign w:val="center"/>
            <w:hideMark/>
          </w:tcPr>
          <w:p w14:paraId="61FD344D" w14:textId="77777777" w:rsidR="00000000" w:rsidRDefault="00405D16">
            <w:pPr>
              <w:spacing w:after="100"/>
              <w:rPr>
                <w:rFonts w:eastAsia="Times New Roman"/>
                <w:sz w:val="20"/>
                <w:szCs w:val="20"/>
              </w:rPr>
            </w:pPr>
          </w:p>
        </w:tc>
        <w:tc>
          <w:tcPr>
            <w:tcW w:w="0" w:type="auto"/>
            <w:gridSpan w:val="3"/>
            <w:vAlign w:val="center"/>
            <w:hideMark/>
          </w:tcPr>
          <w:p w14:paraId="49CC5E84" w14:textId="77777777" w:rsidR="00000000" w:rsidRDefault="00405D16">
            <w:pPr>
              <w:spacing w:after="100"/>
              <w:rPr>
                <w:rFonts w:eastAsia="Times New Roman"/>
                <w:sz w:val="20"/>
                <w:szCs w:val="20"/>
              </w:rPr>
            </w:pPr>
          </w:p>
        </w:tc>
        <w:tc>
          <w:tcPr>
            <w:tcW w:w="0" w:type="auto"/>
            <w:gridSpan w:val="3"/>
            <w:vAlign w:val="center"/>
            <w:hideMark/>
          </w:tcPr>
          <w:p w14:paraId="4052C10D" w14:textId="77777777" w:rsidR="00000000" w:rsidRDefault="00405D16">
            <w:pPr>
              <w:spacing w:after="100"/>
              <w:rPr>
                <w:rFonts w:eastAsia="Times New Roman"/>
                <w:sz w:val="20"/>
                <w:szCs w:val="20"/>
              </w:rPr>
            </w:pPr>
          </w:p>
        </w:tc>
        <w:tc>
          <w:tcPr>
            <w:tcW w:w="0" w:type="auto"/>
            <w:gridSpan w:val="3"/>
            <w:vAlign w:val="center"/>
            <w:hideMark/>
          </w:tcPr>
          <w:p w14:paraId="41C4D40F" w14:textId="77777777" w:rsidR="00000000" w:rsidRDefault="00405D16">
            <w:pPr>
              <w:spacing w:after="100"/>
              <w:rPr>
                <w:rFonts w:eastAsia="Times New Roman"/>
                <w:sz w:val="20"/>
                <w:szCs w:val="20"/>
              </w:rPr>
            </w:pPr>
          </w:p>
        </w:tc>
      </w:tr>
      <w:tr w:rsidR="00000000" w14:paraId="3497E94A" w14:textId="77777777">
        <w:trPr>
          <w:divId w:val="978730332"/>
          <w:jc w:val="center"/>
        </w:trPr>
        <w:tc>
          <w:tcPr>
            <w:tcW w:w="0" w:type="auto"/>
            <w:gridSpan w:val="3"/>
            <w:vAlign w:val="center"/>
            <w:hideMark/>
          </w:tcPr>
          <w:p w14:paraId="4B5E8851" w14:textId="77777777" w:rsidR="00000000" w:rsidRDefault="00405D16">
            <w:pPr>
              <w:spacing w:after="100"/>
              <w:rPr>
                <w:rFonts w:eastAsia="Times New Roman"/>
                <w:sz w:val="20"/>
                <w:szCs w:val="20"/>
              </w:rPr>
            </w:pPr>
          </w:p>
        </w:tc>
        <w:tc>
          <w:tcPr>
            <w:tcW w:w="0" w:type="auto"/>
            <w:gridSpan w:val="3"/>
            <w:vAlign w:val="center"/>
            <w:hideMark/>
          </w:tcPr>
          <w:p w14:paraId="04A06139" w14:textId="77777777" w:rsidR="00000000" w:rsidRDefault="00405D16">
            <w:pPr>
              <w:spacing w:after="100"/>
              <w:rPr>
                <w:rFonts w:eastAsia="Times New Roman"/>
                <w:sz w:val="20"/>
                <w:szCs w:val="20"/>
              </w:rPr>
            </w:pPr>
          </w:p>
        </w:tc>
        <w:tc>
          <w:tcPr>
            <w:tcW w:w="0" w:type="auto"/>
            <w:gridSpan w:val="3"/>
            <w:vAlign w:val="center"/>
            <w:hideMark/>
          </w:tcPr>
          <w:p w14:paraId="17BE7A5D" w14:textId="77777777" w:rsidR="00000000" w:rsidRDefault="00405D16">
            <w:pPr>
              <w:spacing w:after="100"/>
              <w:rPr>
                <w:rFonts w:eastAsia="Times New Roman"/>
                <w:sz w:val="20"/>
                <w:szCs w:val="20"/>
              </w:rPr>
            </w:pPr>
          </w:p>
        </w:tc>
        <w:tc>
          <w:tcPr>
            <w:tcW w:w="0" w:type="auto"/>
            <w:gridSpan w:val="3"/>
            <w:vAlign w:val="center"/>
            <w:hideMark/>
          </w:tcPr>
          <w:p w14:paraId="0168ED2C" w14:textId="77777777" w:rsidR="00000000" w:rsidRDefault="00405D16">
            <w:pPr>
              <w:spacing w:after="100"/>
              <w:rPr>
                <w:rFonts w:eastAsia="Times New Roman"/>
                <w:sz w:val="20"/>
                <w:szCs w:val="20"/>
              </w:rPr>
            </w:pPr>
          </w:p>
        </w:tc>
        <w:tc>
          <w:tcPr>
            <w:tcW w:w="0" w:type="auto"/>
            <w:gridSpan w:val="3"/>
            <w:vAlign w:val="center"/>
            <w:hideMark/>
          </w:tcPr>
          <w:p w14:paraId="315F6AFB" w14:textId="77777777" w:rsidR="00000000" w:rsidRDefault="00405D16">
            <w:pPr>
              <w:spacing w:after="100"/>
              <w:rPr>
                <w:rFonts w:eastAsia="Times New Roman"/>
                <w:sz w:val="20"/>
                <w:szCs w:val="20"/>
              </w:rPr>
            </w:pPr>
          </w:p>
        </w:tc>
      </w:tr>
      <w:tr w:rsidR="00000000" w14:paraId="250EDFA3" w14:textId="77777777">
        <w:trPr>
          <w:divId w:val="978730332"/>
          <w:jc w:val="center"/>
        </w:trPr>
        <w:tc>
          <w:tcPr>
            <w:tcW w:w="0" w:type="auto"/>
            <w:gridSpan w:val="3"/>
            <w:vAlign w:val="center"/>
            <w:hideMark/>
          </w:tcPr>
          <w:p w14:paraId="42DD9383" w14:textId="77777777" w:rsidR="00000000" w:rsidRDefault="00405D16">
            <w:pPr>
              <w:spacing w:after="100"/>
              <w:rPr>
                <w:rFonts w:eastAsia="Times New Roman"/>
                <w:sz w:val="20"/>
                <w:szCs w:val="20"/>
              </w:rPr>
            </w:pPr>
          </w:p>
        </w:tc>
        <w:tc>
          <w:tcPr>
            <w:tcW w:w="0" w:type="auto"/>
            <w:gridSpan w:val="3"/>
            <w:vAlign w:val="center"/>
            <w:hideMark/>
          </w:tcPr>
          <w:p w14:paraId="4970DFB2" w14:textId="77777777" w:rsidR="00000000" w:rsidRDefault="00405D16">
            <w:pPr>
              <w:spacing w:after="100"/>
              <w:rPr>
                <w:rFonts w:eastAsia="Times New Roman"/>
                <w:sz w:val="20"/>
                <w:szCs w:val="20"/>
              </w:rPr>
            </w:pPr>
          </w:p>
        </w:tc>
        <w:tc>
          <w:tcPr>
            <w:tcW w:w="0" w:type="auto"/>
            <w:gridSpan w:val="3"/>
            <w:vAlign w:val="center"/>
            <w:hideMark/>
          </w:tcPr>
          <w:p w14:paraId="0A427C65" w14:textId="77777777" w:rsidR="00000000" w:rsidRDefault="00405D16">
            <w:pPr>
              <w:spacing w:after="100"/>
              <w:rPr>
                <w:rFonts w:eastAsia="Times New Roman"/>
                <w:sz w:val="20"/>
                <w:szCs w:val="20"/>
              </w:rPr>
            </w:pPr>
          </w:p>
        </w:tc>
        <w:tc>
          <w:tcPr>
            <w:tcW w:w="0" w:type="auto"/>
            <w:gridSpan w:val="3"/>
            <w:vAlign w:val="center"/>
            <w:hideMark/>
          </w:tcPr>
          <w:p w14:paraId="33AAE22B" w14:textId="77777777" w:rsidR="00000000" w:rsidRDefault="00405D16">
            <w:pPr>
              <w:spacing w:after="100"/>
              <w:rPr>
                <w:rFonts w:eastAsia="Times New Roman"/>
                <w:sz w:val="20"/>
                <w:szCs w:val="20"/>
              </w:rPr>
            </w:pPr>
          </w:p>
        </w:tc>
        <w:tc>
          <w:tcPr>
            <w:tcW w:w="0" w:type="auto"/>
            <w:gridSpan w:val="3"/>
            <w:vAlign w:val="center"/>
            <w:hideMark/>
          </w:tcPr>
          <w:p w14:paraId="3DB35D4B" w14:textId="77777777" w:rsidR="00000000" w:rsidRDefault="00405D16">
            <w:pPr>
              <w:spacing w:after="100"/>
              <w:rPr>
                <w:rFonts w:eastAsia="Times New Roman"/>
                <w:sz w:val="20"/>
                <w:szCs w:val="20"/>
              </w:rPr>
            </w:pPr>
          </w:p>
        </w:tc>
      </w:tr>
      <w:tr w:rsidR="00000000" w14:paraId="4DD71D40" w14:textId="77777777">
        <w:trPr>
          <w:divId w:val="978730332"/>
          <w:jc w:val="center"/>
        </w:trPr>
        <w:tc>
          <w:tcPr>
            <w:tcW w:w="0" w:type="auto"/>
            <w:gridSpan w:val="3"/>
            <w:vAlign w:val="center"/>
            <w:hideMark/>
          </w:tcPr>
          <w:p w14:paraId="46A63E71" w14:textId="77777777" w:rsidR="00000000" w:rsidRDefault="00405D16">
            <w:pPr>
              <w:spacing w:after="100"/>
              <w:rPr>
                <w:rFonts w:eastAsia="Times New Roman"/>
                <w:sz w:val="20"/>
                <w:szCs w:val="20"/>
              </w:rPr>
            </w:pPr>
          </w:p>
        </w:tc>
        <w:tc>
          <w:tcPr>
            <w:tcW w:w="0" w:type="auto"/>
            <w:gridSpan w:val="3"/>
            <w:vAlign w:val="center"/>
            <w:hideMark/>
          </w:tcPr>
          <w:p w14:paraId="72B640CD" w14:textId="77777777" w:rsidR="00000000" w:rsidRDefault="00405D16">
            <w:pPr>
              <w:spacing w:after="100"/>
              <w:rPr>
                <w:rFonts w:eastAsia="Times New Roman"/>
                <w:sz w:val="20"/>
                <w:szCs w:val="20"/>
              </w:rPr>
            </w:pPr>
          </w:p>
        </w:tc>
        <w:tc>
          <w:tcPr>
            <w:tcW w:w="0" w:type="auto"/>
            <w:gridSpan w:val="3"/>
            <w:vAlign w:val="center"/>
            <w:hideMark/>
          </w:tcPr>
          <w:p w14:paraId="54E0EAD0" w14:textId="77777777" w:rsidR="00000000" w:rsidRDefault="00405D16">
            <w:pPr>
              <w:spacing w:after="100"/>
              <w:rPr>
                <w:rFonts w:eastAsia="Times New Roman"/>
                <w:sz w:val="20"/>
                <w:szCs w:val="20"/>
              </w:rPr>
            </w:pPr>
          </w:p>
        </w:tc>
        <w:tc>
          <w:tcPr>
            <w:tcW w:w="0" w:type="auto"/>
            <w:gridSpan w:val="3"/>
            <w:vAlign w:val="center"/>
            <w:hideMark/>
          </w:tcPr>
          <w:p w14:paraId="539D0E98" w14:textId="77777777" w:rsidR="00000000" w:rsidRDefault="00405D16">
            <w:pPr>
              <w:spacing w:after="100"/>
              <w:rPr>
                <w:rFonts w:eastAsia="Times New Roman"/>
                <w:sz w:val="20"/>
                <w:szCs w:val="20"/>
              </w:rPr>
            </w:pPr>
          </w:p>
        </w:tc>
        <w:tc>
          <w:tcPr>
            <w:tcW w:w="0" w:type="auto"/>
            <w:gridSpan w:val="3"/>
            <w:vAlign w:val="center"/>
            <w:hideMark/>
          </w:tcPr>
          <w:p w14:paraId="4B45BFAD" w14:textId="77777777" w:rsidR="00000000" w:rsidRDefault="00405D16">
            <w:pPr>
              <w:spacing w:after="100"/>
              <w:rPr>
                <w:rFonts w:eastAsia="Times New Roman"/>
                <w:sz w:val="20"/>
                <w:szCs w:val="20"/>
              </w:rPr>
            </w:pPr>
          </w:p>
        </w:tc>
      </w:tr>
      <w:tr w:rsidR="00000000" w14:paraId="30B360AB" w14:textId="77777777">
        <w:trPr>
          <w:divId w:val="978730332"/>
          <w:jc w:val="center"/>
        </w:trPr>
        <w:tc>
          <w:tcPr>
            <w:tcW w:w="0" w:type="auto"/>
            <w:gridSpan w:val="3"/>
            <w:vAlign w:val="center"/>
            <w:hideMark/>
          </w:tcPr>
          <w:p w14:paraId="5089EC14" w14:textId="77777777" w:rsidR="00000000" w:rsidRDefault="00405D16">
            <w:pPr>
              <w:spacing w:after="100"/>
              <w:rPr>
                <w:rFonts w:eastAsia="Times New Roman"/>
                <w:sz w:val="20"/>
                <w:szCs w:val="20"/>
              </w:rPr>
            </w:pPr>
          </w:p>
        </w:tc>
        <w:tc>
          <w:tcPr>
            <w:tcW w:w="0" w:type="auto"/>
            <w:gridSpan w:val="3"/>
            <w:vAlign w:val="center"/>
            <w:hideMark/>
          </w:tcPr>
          <w:p w14:paraId="56328E36" w14:textId="77777777" w:rsidR="00000000" w:rsidRDefault="00405D16">
            <w:pPr>
              <w:spacing w:after="100"/>
              <w:rPr>
                <w:rFonts w:eastAsia="Times New Roman"/>
                <w:sz w:val="20"/>
                <w:szCs w:val="20"/>
              </w:rPr>
            </w:pPr>
          </w:p>
        </w:tc>
        <w:tc>
          <w:tcPr>
            <w:tcW w:w="0" w:type="auto"/>
            <w:gridSpan w:val="3"/>
            <w:vAlign w:val="center"/>
            <w:hideMark/>
          </w:tcPr>
          <w:p w14:paraId="6C868A60" w14:textId="77777777" w:rsidR="00000000" w:rsidRDefault="00405D16">
            <w:pPr>
              <w:spacing w:after="100"/>
              <w:rPr>
                <w:rFonts w:eastAsia="Times New Roman"/>
                <w:sz w:val="20"/>
                <w:szCs w:val="20"/>
              </w:rPr>
            </w:pPr>
          </w:p>
        </w:tc>
        <w:tc>
          <w:tcPr>
            <w:tcW w:w="0" w:type="auto"/>
            <w:gridSpan w:val="3"/>
            <w:vAlign w:val="center"/>
            <w:hideMark/>
          </w:tcPr>
          <w:p w14:paraId="00778023" w14:textId="77777777" w:rsidR="00000000" w:rsidRDefault="00405D16">
            <w:pPr>
              <w:spacing w:after="100"/>
              <w:rPr>
                <w:rFonts w:eastAsia="Times New Roman"/>
                <w:sz w:val="20"/>
                <w:szCs w:val="20"/>
              </w:rPr>
            </w:pPr>
          </w:p>
        </w:tc>
        <w:tc>
          <w:tcPr>
            <w:tcW w:w="0" w:type="auto"/>
            <w:gridSpan w:val="3"/>
            <w:vAlign w:val="center"/>
            <w:hideMark/>
          </w:tcPr>
          <w:p w14:paraId="037B6A8D" w14:textId="77777777" w:rsidR="00000000" w:rsidRDefault="00405D16">
            <w:pPr>
              <w:spacing w:after="100"/>
              <w:rPr>
                <w:rFonts w:eastAsia="Times New Roman"/>
                <w:sz w:val="20"/>
                <w:szCs w:val="20"/>
              </w:rPr>
            </w:pPr>
          </w:p>
        </w:tc>
      </w:tr>
      <w:tr w:rsidR="00000000" w14:paraId="7807E7D5" w14:textId="77777777">
        <w:trPr>
          <w:divId w:val="978730332"/>
          <w:jc w:val="center"/>
        </w:trPr>
        <w:tc>
          <w:tcPr>
            <w:tcW w:w="0" w:type="auto"/>
            <w:gridSpan w:val="3"/>
            <w:vAlign w:val="center"/>
            <w:hideMark/>
          </w:tcPr>
          <w:p w14:paraId="6C903CFE" w14:textId="77777777" w:rsidR="00000000" w:rsidRDefault="00405D16">
            <w:pPr>
              <w:spacing w:after="100"/>
              <w:rPr>
                <w:rFonts w:eastAsia="Times New Roman"/>
                <w:sz w:val="20"/>
                <w:szCs w:val="20"/>
              </w:rPr>
            </w:pPr>
          </w:p>
        </w:tc>
        <w:tc>
          <w:tcPr>
            <w:tcW w:w="0" w:type="auto"/>
            <w:gridSpan w:val="3"/>
            <w:vAlign w:val="center"/>
            <w:hideMark/>
          </w:tcPr>
          <w:p w14:paraId="7480D804" w14:textId="77777777" w:rsidR="00000000" w:rsidRDefault="00405D16">
            <w:pPr>
              <w:spacing w:after="100"/>
              <w:rPr>
                <w:rFonts w:eastAsia="Times New Roman"/>
                <w:sz w:val="20"/>
                <w:szCs w:val="20"/>
              </w:rPr>
            </w:pPr>
          </w:p>
        </w:tc>
        <w:tc>
          <w:tcPr>
            <w:tcW w:w="0" w:type="auto"/>
            <w:gridSpan w:val="3"/>
            <w:vAlign w:val="center"/>
            <w:hideMark/>
          </w:tcPr>
          <w:p w14:paraId="0DEBFDBA" w14:textId="77777777" w:rsidR="00000000" w:rsidRDefault="00405D16">
            <w:pPr>
              <w:spacing w:after="100"/>
              <w:rPr>
                <w:rFonts w:eastAsia="Times New Roman"/>
                <w:sz w:val="20"/>
                <w:szCs w:val="20"/>
              </w:rPr>
            </w:pPr>
          </w:p>
        </w:tc>
        <w:tc>
          <w:tcPr>
            <w:tcW w:w="0" w:type="auto"/>
            <w:gridSpan w:val="3"/>
            <w:vAlign w:val="center"/>
            <w:hideMark/>
          </w:tcPr>
          <w:p w14:paraId="31718E2E" w14:textId="77777777" w:rsidR="00000000" w:rsidRDefault="00405D16">
            <w:pPr>
              <w:spacing w:after="100"/>
              <w:rPr>
                <w:rFonts w:eastAsia="Times New Roman"/>
                <w:sz w:val="20"/>
                <w:szCs w:val="20"/>
              </w:rPr>
            </w:pPr>
          </w:p>
        </w:tc>
        <w:tc>
          <w:tcPr>
            <w:tcW w:w="0" w:type="auto"/>
            <w:gridSpan w:val="3"/>
            <w:vAlign w:val="center"/>
            <w:hideMark/>
          </w:tcPr>
          <w:p w14:paraId="6C684ABB" w14:textId="77777777" w:rsidR="00000000" w:rsidRDefault="00405D16">
            <w:pPr>
              <w:spacing w:after="100"/>
              <w:rPr>
                <w:rFonts w:eastAsia="Times New Roman"/>
                <w:sz w:val="20"/>
                <w:szCs w:val="20"/>
              </w:rPr>
            </w:pPr>
          </w:p>
        </w:tc>
      </w:tr>
      <w:tr w:rsidR="00000000" w14:paraId="32183D53" w14:textId="77777777">
        <w:trPr>
          <w:divId w:val="978730332"/>
          <w:jc w:val="center"/>
        </w:trPr>
        <w:tc>
          <w:tcPr>
            <w:tcW w:w="0" w:type="auto"/>
            <w:gridSpan w:val="3"/>
            <w:vAlign w:val="center"/>
            <w:hideMark/>
          </w:tcPr>
          <w:p w14:paraId="6255D8FA" w14:textId="77777777" w:rsidR="00000000" w:rsidRDefault="00405D16">
            <w:pPr>
              <w:spacing w:after="100"/>
              <w:rPr>
                <w:rFonts w:eastAsia="Times New Roman"/>
                <w:sz w:val="20"/>
                <w:szCs w:val="20"/>
              </w:rPr>
            </w:pPr>
          </w:p>
        </w:tc>
        <w:tc>
          <w:tcPr>
            <w:tcW w:w="0" w:type="auto"/>
            <w:gridSpan w:val="3"/>
            <w:vAlign w:val="center"/>
            <w:hideMark/>
          </w:tcPr>
          <w:p w14:paraId="1271DFBE" w14:textId="77777777" w:rsidR="00000000" w:rsidRDefault="00405D16">
            <w:pPr>
              <w:spacing w:after="100"/>
              <w:rPr>
                <w:rFonts w:eastAsia="Times New Roman"/>
                <w:sz w:val="20"/>
                <w:szCs w:val="20"/>
              </w:rPr>
            </w:pPr>
          </w:p>
        </w:tc>
        <w:tc>
          <w:tcPr>
            <w:tcW w:w="0" w:type="auto"/>
            <w:gridSpan w:val="3"/>
            <w:vAlign w:val="center"/>
            <w:hideMark/>
          </w:tcPr>
          <w:p w14:paraId="35A1253C" w14:textId="77777777" w:rsidR="00000000" w:rsidRDefault="00405D16">
            <w:pPr>
              <w:spacing w:after="100"/>
              <w:rPr>
                <w:rFonts w:eastAsia="Times New Roman"/>
                <w:sz w:val="20"/>
                <w:szCs w:val="20"/>
              </w:rPr>
            </w:pPr>
          </w:p>
        </w:tc>
        <w:tc>
          <w:tcPr>
            <w:tcW w:w="0" w:type="auto"/>
            <w:gridSpan w:val="3"/>
            <w:vAlign w:val="center"/>
            <w:hideMark/>
          </w:tcPr>
          <w:p w14:paraId="021E44E5" w14:textId="77777777" w:rsidR="00000000" w:rsidRDefault="00405D16">
            <w:pPr>
              <w:spacing w:after="100"/>
              <w:rPr>
                <w:rFonts w:eastAsia="Times New Roman"/>
                <w:sz w:val="20"/>
                <w:szCs w:val="20"/>
              </w:rPr>
            </w:pPr>
          </w:p>
        </w:tc>
        <w:tc>
          <w:tcPr>
            <w:tcW w:w="0" w:type="auto"/>
            <w:gridSpan w:val="3"/>
            <w:vAlign w:val="center"/>
            <w:hideMark/>
          </w:tcPr>
          <w:p w14:paraId="5E45AD5A" w14:textId="77777777" w:rsidR="00000000" w:rsidRDefault="00405D16">
            <w:pPr>
              <w:spacing w:after="100"/>
              <w:rPr>
                <w:rFonts w:eastAsia="Times New Roman"/>
                <w:sz w:val="20"/>
                <w:szCs w:val="20"/>
              </w:rPr>
            </w:pPr>
          </w:p>
        </w:tc>
      </w:tr>
      <w:tr w:rsidR="00000000" w14:paraId="4CD19F15" w14:textId="77777777">
        <w:trPr>
          <w:divId w:val="978730332"/>
          <w:jc w:val="center"/>
        </w:trPr>
        <w:tc>
          <w:tcPr>
            <w:tcW w:w="0" w:type="auto"/>
            <w:gridSpan w:val="3"/>
            <w:vAlign w:val="center"/>
            <w:hideMark/>
          </w:tcPr>
          <w:p w14:paraId="66F56BA5" w14:textId="77777777" w:rsidR="00000000" w:rsidRDefault="00405D16">
            <w:pPr>
              <w:spacing w:after="100"/>
              <w:rPr>
                <w:rFonts w:eastAsia="Times New Roman"/>
                <w:sz w:val="20"/>
                <w:szCs w:val="20"/>
              </w:rPr>
            </w:pPr>
          </w:p>
        </w:tc>
        <w:tc>
          <w:tcPr>
            <w:tcW w:w="0" w:type="auto"/>
            <w:gridSpan w:val="3"/>
            <w:vAlign w:val="center"/>
            <w:hideMark/>
          </w:tcPr>
          <w:p w14:paraId="702F989E" w14:textId="77777777" w:rsidR="00000000" w:rsidRDefault="00405D16">
            <w:pPr>
              <w:spacing w:after="100"/>
              <w:rPr>
                <w:rFonts w:eastAsia="Times New Roman"/>
                <w:sz w:val="20"/>
                <w:szCs w:val="20"/>
              </w:rPr>
            </w:pPr>
          </w:p>
        </w:tc>
        <w:tc>
          <w:tcPr>
            <w:tcW w:w="0" w:type="auto"/>
            <w:gridSpan w:val="3"/>
            <w:vAlign w:val="center"/>
            <w:hideMark/>
          </w:tcPr>
          <w:p w14:paraId="6CFED304" w14:textId="77777777" w:rsidR="00000000" w:rsidRDefault="00405D16">
            <w:pPr>
              <w:spacing w:after="100"/>
              <w:rPr>
                <w:rFonts w:eastAsia="Times New Roman"/>
                <w:sz w:val="20"/>
                <w:szCs w:val="20"/>
              </w:rPr>
            </w:pPr>
          </w:p>
        </w:tc>
        <w:tc>
          <w:tcPr>
            <w:tcW w:w="0" w:type="auto"/>
            <w:gridSpan w:val="3"/>
            <w:vAlign w:val="center"/>
            <w:hideMark/>
          </w:tcPr>
          <w:p w14:paraId="06F236C5" w14:textId="77777777" w:rsidR="00000000" w:rsidRDefault="00405D16">
            <w:pPr>
              <w:spacing w:after="100"/>
              <w:rPr>
                <w:rFonts w:eastAsia="Times New Roman"/>
                <w:sz w:val="20"/>
                <w:szCs w:val="20"/>
              </w:rPr>
            </w:pPr>
          </w:p>
        </w:tc>
        <w:tc>
          <w:tcPr>
            <w:tcW w:w="0" w:type="auto"/>
            <w:gridSpan w:val="3"/>
            <w:vAlign w:val="center"/>
            <w:hideMark/>
          </w:tcPr>
          <w:p w14:paraId="152BCFDA" w14:textId="77777777" w:rsidR="00000000" w:rsidRDefault="00405D16">
            <w:pPr>
              <w:spacing w:after="100"/>
              <w:rPr>
                <w:rFonts w:eastAsia="Times New Roman"/>
                <w:sz w:val="20"/>
                <w:szCs w:val="20"/>
              </w:rPr>
            </w:pPr>
          </w:p>
        </w:tc>
      </w:tr>
      <w:tr w:rsidR="00000000" w14:paraId="408A1D82" w14:textId="77777777">
        <w:trPr>
          <w:divId w:val="978730332"/>
          <w:jc w:val="center"/>
        </w:trPr>
        <w:tc>
          <w:tcPr>
            <w:tcW w:w="0" w:type="auto"/>
            <w:gridSpan w:val="3"/>
            <w:vAlign w:val="center"/>
            <w:hideMark/>
          </w:tcPr>
          <w:p w14:paraId="20D0CE02" w14:textId="77777777" w:rsidR="00000000" w:rsidRDefault="00405D16">
            <w:pPr>
              <w:spacing w:after="100"/>
              <w:rPr>
                <w:rFonts w:eastAsia="Times New Roman"/>
                <w:sz w:val="20"/>
                <w:szCs w:val="20"/>
              </w:rPr>
            </w:pPr>
          </w:p>
        </w:tc>
        <w:tc>
          <w:tcPr>
            <w:tcW w:w="0" w:type="auto"/>
            <w:gridSpan w:val="3"/>
            <w:vAlign w:val="center"/>
            <w:hideMark/>
          </w:tcPr>
          <w:p w14:paraId="057BF35A" w14:textId="77777777" w:rsidR="00000000" w:rsidRDefault="00405D16">
            <w:pPr>
              <w:spacing w:after="100"/>
              <w:rPr>
                <w:rFonts w:eastAsia="Times New Roman"/>
                <w:sz w:val="20"/>
                <w:szCs w:val="20"/>
              </w:rPr>
            </w:pPr>
          </w:p>
        </w:tc>
        <w:tc>
          <w:tcPr>
            <w:tcW w:w="0" w:type="auto"/>
            <w:gridSpan w:val="3"/>
            <w:vAlign w:val="center"/>
            <w:hideMark/>
          </w:tcPr>
          <w:p w14:paraId="7F338840" w14:textId="77777777" w:rsidR="00000000" w:rsidRDefault="00405D16">
            <w:pPr>
              <w:spacing w:after="100"/>
              <w:rPr>
                <w:rFonts w:eastAsia="Times New Roman"/>
                <w:sz w:val="20"/>
                <w:szCs w:val="20"/>
              </w:rPr>
            </w:pPr>
          </w:p>
        </w:tc>
        <w:tc>
          <w:tcPr>
            <w:tcW w:w="0" w:type="auto"/>
            <w:gridSpan w:val="3"/>
            <w:vAlign w:val="center"/>
            <w:hideMark/>
          </w:tcPr>
          <w:p w14:paraId="76FF072B" w14:textId="77777777" w:rsidR="00000000" w:rsidRDefault="00405D16">
            <w:pPr>
              <w:spacing w:after="100"/>
              <w:rPr>
                <w:rFonts w:eastAsia="Times New Roman"/>
                <w:sz w:val="20"/>
                <w:szCs w:val="20"/>
              </w:rPr>
            </w:pPr>
          </w:p>
        </w:tc>
        <w:tc>
          <w:tcPr>
            <w:tcW w:w="0" w:type="auto"/>
            <w:gridSpan w:val="3"/>
            <w:vAlign w:val="center"/>
            <w:hideMark/>
          </w:tcPr>
          <w:p w14:paraId="30C2E9A5" w14:textId="77777777" w:rsidR="00000000" w:rsidRDefault="00405D16">
            <w:pPr>
              <w:spacing w:after="100"/>
              <w:rPr>
                <w:rFonts w:eastAsia="Times New Roman"/>
                <w:sz w:val="20"/>
                <w:szCs w:val="20"/>
              </w:rPr>
            </w:pPr>
          </w:p>
        </w:tc>
      </w:tr>
      <w:tr w:rsidR="00000000" w14:paraId="25DBDB8E" w14:textId="77777777">
        <w:trPr>
          <w:divId w:val="978730332"/>
          <w:jc w:val="center"/>
        </w:trPr>
        <w:tc>
          <w:tcPr>
            <w:tcW w:w="0" w:type="auto"/>
            <w:gridSpan w:val="3"/>
            <w:vAlign w:val="center"/>
            <w:hideMark/>
          </w:tcPr>
          <w:p w14:paraId="0D9AD168" w14:textId="77777777" w:rsidR="00000000" w:rsidRDefault="00405D16">
            <w:pPr>
              <w:spacing w:after="100"/>
              <w:rPr>
                <w:rFonts w:eastAsia="Times New Roman"/>
                <w:sz w:val="20"/>
                <w:szCs w:val="20"/>
              </w:rPr>
            </w:pPr>
          </w:p>
        </w:tc>
        <w:tc>
          <w:tcPr>
            <w:tcW w:w="0" w:type="auto"/>
            <w:gridSpan w:val="3"/>
            <w:vAlign w:val="center"/>
            <w:hideMark/>
          </w:tcPr>
          <w:p w14:paraId="076039B5" w14:textId="77777777" w:rsidR="00000000" w:rsidRDefault="00405D16">
            <w:pPr>
              <w:spacing w:after="100"/>
              <w:rPr>
                <w:rFonts w:eastAsia="Times New Roman"/>
                <w:sz w:val="20"/>
                <w:szCs w:val="20"/>
              </w:rPr>
            </w:pPr>
          </w:p>
        </w:tc>
        <w:tc>
          <w:tcPr>
            <w:tcW w:w="0" w:type="auto"/>
            <w:gridSpan w:val="3"/>
            <w:vAlign w:val="center"/>
            <w:hideMark/>
          </w:tcPr>
          <w:p w14:paraId="11928DB4" w14:textId="77777777" w:rsidR="00000000" w:rsidRDefault="00405D16">
            <w:pPr>
              <w:spacing w:after="100"/>
              <w:rPr>
                <w:rFonts w:eastAsia="Times New Roman"/>
                <w:sz w:val="20"/>
                <w:szCs w:val="20"/>
              </w:rPr>
            </w:pPr>
          </w:p>
        </w:tc>
        <w:tc>
          <w:tcPr>
            <w:tcW w:w="0" w:type="auto"/>
            <w:gridSpan w:val="3"/>
            <w:vAlign w:val="center"/>
            <w:hideMark/>
          </w:tcPr>
          <w:p w14:paraId="3E52E7AA" w14:textId="77777777" w:rsidR="00000000" w:rsidRDefault="00405D16">
            <w:pPr>
              <w:spacing w:after="100"/>
              <w:rPr>
                <w:rFonts w:eastAsia="Times New Roman"/>
                <w:sz w:val="20"/>
                <w:szCs w:val="20"/>
              </w:rPr>
            </w:pPr>
          </w:p>
        </w:tc>
        <w:tc>
          <w:tcPr>
            <w:tcW w:w="0" w:type="auto"/>
            <w:gridSpan w:val="3"/>
            <w:vAlign w:val="center"/>
            <w:hideMark/>
          </w:tcPr>
          <w:p w14:paraId="0D8E4438" w14:textId="77777777" w:rsidR="00000000" w:rsidRDefault="00405D16">
            <w:pPr>
              <w:spacing w:after="100"/>
              <w:rPr>
                <w:rFonts w:eastAsia="Times New Roman"/>
                <w:sz w:val="20"/>
                <w:szCs w:val="20"/>
              </w:rPr>
            </w:pPr>
          </w:p>
        </w:tc>
      </w:tr>
      <w:tr w:rsidR="00000000" w14:paraId="1896EA6F" w14:textId="77777777">
        <w:trPr>
          <w:divId w:val="978730332"/>
          <w:jc w:val="center"/>
        </w:trPr>
        <w:tc>
          <w:tcPr>
            <w:tcW w:w="0" w:type="auto"/>
            <w:gridSpan w:val="3"/>
            <w:vAlign w:val="center"/>
            <w:hideMark/>
          </w:tcPr>
          <w:p w14:paraId="7E82ADCD" w14:textId="77777777" w:rsidR="00000000" w:rsidRDefault="00405D16">
            <w:pPr>
              <w:spacing w:after="100"/>
              <w:rPr>
                <w:rFonts w:eastAsia="Times New Roman"/>
                <w:sz w:val="20"/>
                <w:szCs w:val="20"/>
              </w:rPr>
            </w:pPr>
          </w:p>
        </w:tc>
        <w:tc>
          <w:tcPr>
            <w:tcW w:w="0" w:type="auto"/>
            <w:gridSpan w:val="3"/>
            <w:vAlign w:val="center"/>
            <w:hideMark/>
          </w:tcPr>
          <w:p w14:paraId="76527BCB" w14:textId="77777777" w:rsidR="00000000" w:rsidRDefault="00405D16">
            <w:pPr>
              <w:spacing w:after="100"/>
              <w:rPr>
                <w:rFonts w:eastAsia="Times New Roman"/>
                <w:sz w:val="20"/>
                <w:szCs w:val="20"/>
              </w:rPr>
            </w:pPr>
          </w:p>
        </w:tc>
        <w:tc>
          <w:tcPr>
            <w:tcW w:w="0" w:type="auto"/>
            <w:gridSpan w:val="3"/>
            <w:vAlign w:val="center"/>
            <w:hideMark/>
          </w:tcPr>
          <w:p w14:paraId="5564115B" w14:textId="77777777" w:rsidR="00000000" w:rsidRDefault="00405D16">
            <w:pPr>
              <w:spacing w:after="100"/>
              <w:rPr>
                <w:rFonts w:eastAsia="Times New Roman"/>
                <w:sz w:val="20"/>
                <w:szCs w:val="20"/>
              </w:rPr>
            </w:pPr>
          </w:p>
        </w:tc>
        <w:tc>
          <w:tcPr>
            <w:tcW w:w="0" w:type="auto"/>
            <w:gridSpan w:val="3"/>
            <w:vAlign w:val="center"/>
            <w:hideMark/>
          </w:tcPr>
          <w:p w14:paraId="7AFABE93" w14:textId="77777777" w:rsidR="00000000" w:rsidRDefault="00405D16">
            <w:pPr>
              <w:spacing w:after="100"/>
              <w:rPr>
                <w:rFonts w:eastAsia="Times New Roman"/>
                <w:sz w:val="20"/>
                <w:szCs w:val="20"/>
              </w:rPr>
            </w:pPr>
          </w:p>
        </w:tc>
        <w:tc>
          <w:tcPr>
            <w:tcW w:w="0" w:type="auto"/>
            <w:gridSpan w:val="3"/>
            <w:vAlign w:val="center"/>
            <w:hideMark/>
          </w:tcPr>
          <w:p w14:paraId="006E0A89" w14:textId="77777777" w:rsidR="00000000" w:rsidRDefault="00405D16">
            <w:pPr>
              <w:spacing w:after="100"/>
              <w:rPr>
                <w:rFonts w:eastAsia="Times New Roman"/>
                <w:sz w:val="20"/>
                <w:szCs w:val="20"/>
              </w:rPr>
            </w:pPr>
          </w:p>
        </w:tc>
      </w:tr>
      <w:tr w:rsidR="00000000" w14:paraId="28B48A07" w14:textId="77777777">
        <w:trPr>
          <w:divId w:val="978730332"/>
          <w:jc w:val="center"/>
        </w:trPr>
        <w:tc>
          <w:tcPr>
            <w:tcW w:w="0" w:type="auto"/>
            <w:gridSpan w:val="3"/>
            <w:vAlign w:val="center"/>
            <w:hideMark/>
          </w:tcPr>
          <w:p w14:paraId="70AC74CC" w14:textId="77777777" w:rsidR="00000000" w:rsidRDefault="00405D16">
            <w:pPr>
              <w:spacing w:after="100"/>
              <w:rPr>
                <w:rFonts w:eastAsia="Times New Roman"/>
                <w:sz w:val="20"/>
                <w:szCs w:val="20"/>
              </w:rPr>
            </w:pPr>
          </w:p>
        </w:tc>
        <w:tc>
          <w:tcPr>
            <w:tcW w:w="0" w:type="auto"/>
            <w:gridSpan w:val="3"/>
            <w:vAlign w:val="center"/>
            <w:hideMark/>
          </w:tcPr>
          <w:p w14:paraId="23099E99" w14:textId="77777777" w:rsidR="00000000" w:rsidRDefault="00405D16">
            <w:pPr>
              <w:spacing w:after="100"/>
              <w:rPr>
                <w:rFonts w:eastAsia="Times New Roman"/>
                <w:sz w:val="20"/>
                <w:szCs w:val="20"/>
              </w:rPr>
            </w:pPr>
          </w:p>
        </w:tc>
        <w:tc>
          <w:tcPr>
            <w:tcW w:w="0" w:type="auto"/>
            <w:gridSpan w:val="3"/>
            <w:vAlign w:val="center"/>
            <w:hideMark/>
          </w:tcPr>
          <w:p w14:paraId="431625C7" w14:textId="77777777" w:rsidR="00000000" w:rsidRDefault="00405D16">
            <w:pPr>
              <w:spacing w:after="100"/>
              <w:rPr>
                <w:rFonts w:eastAsia="Times New Roman"/>
                <w:sz w:val="20"/>
                <w:szCs w:val="20"/>
              </w:rPr>
            </w:pPr>
          </w:p>
        </w:tc>
        <w:tc>
          <w:tcPr>
            <w:tcW w:w="0" w:type="auto"/>
            <w:gridSpan w:val="3"/>
            <w:vAlign w:val="center"/>
            <w:hideMark/>
          </w:tcPr>
          <w:p w14:paraId="43B42719" w14:textId="77777777" w:rsidR="00000000" w:rsidRDefault="00405D16">
            <w:pPr>
              <w:spacing w:after="100"/>
              <w:rPr>
                <w:rFonts w:eastAsia="Times New Roman"/>
                <w:sz w:val="20"/>
                <w:szCs w:val="20"/>
              </w:rPr>
            </w:pPr>
          </w:p>
        </w:tc>
        <w:tc>
          <w:tcPr>
            <w:tcW w:w="0" w:type="auto"/>
            <w:gridSpan w:val="3"/>
            <w:vAlign w:val="center"/>
            <w:hideMark/>
          </w:tcPr>
          <w:p w14:paraId="714CC1D2" w14:textId="77777777" w:rsidR="00000000" w:rsidRDefault="00405D16">
            <w:pPr>
              <w:spacing w:after="100"/>
              <w:rPr>
                <w:rFonts w:eastAsia="Times New Roman"/>
                <w:sz w:val="20"/>
                <w:szCs w:val="20"/>
              </w:rPr>
            </w:pPr>
          </w:p>
        </w:tc>
      </w:tr>
      <w:tr w:rsidR="00000000" w14:paraId="72C7AFBA" w14:textId="77777777">
        <w:trPr>
          <w:divId w:val="978730332"/>
          <w:jc w:val="center"/>
        </w:trPr>
        <w:tc>
          <w:tcPr>
            <w:tcW w:w="0" w:type="auto"/>
            <w:gridSpan w:val="3"/>
            <w:vAlign w:val="center"/>
            <w:hideMark/>
          </w:tcPr>
          <w:p w14:paraId="31200862" w14:textId="77777777" w:rsidR="00000000" w:rsidRDefault="00405D16">
            <w:pPr>
              <w:spacing w:after="100"/>
              <w:rPr>
                <w:rFonts w:eastAsia="Times New Roman"/>
                <w:sz w:val="20"/>
                <w:szCs w:val="20"/>
              </w:rPr>
            </w:pPr>
          </w:p>
        </w:tc>
        <w:tc>
          <w:tcPr>
            <w:tcW w:w="0" w:type="auto"/>
            <w:gridSpan w:val="3"/>
            <w:vAlign w:val="center"/>
            <w:hideMark/>
          </w:tcPr>
          <w:p w14:paraId="34EE6946" w14:textId="77777777" w:rsidR="00000000" w:rsidRDefault="00405D16">
            <w:pPr>
              <w:spacing w:after="100"/>
              <w:rPr>
                <w:rFonts w:eastAsia="Times New Roman"/>
                <w:sz w:val="20"/>
                <w:szCs w:val="20"/>
              </w:rPr>
            </w:pPr>
          </w:p>
        </w:tc>
        <w:tc>
          <w:tcPr>
            <w:tcW w:w="0" w:type="auto"/>
            <w:gridSpan w:val="3"/>
            <w:vAlign w:val="center"/>
            <w:hideMark/>
          </w:tcPr>
          <w:p w14:paraId="39497BD2" w14:textId="77777777" w:rsidR="00000000" w:rsidRDefault="00405D16">
            <w:pPr>
              <w:spacing w:after="100"/>
              <w:rPr>
                <w:rFonts w:eastAsia="Times New Roman"/>
                <w:sz w:val="20"/>
                <w:szCs w:val="20"/>
              </w:rPr>
            </w:pPr>
          </w:p>
        </w:tc>
        <w:tc>
          <w:tcPr>
            <w:tcW w:w="0" w:type="auto"/>
            <w:gridSpan w:val="3"/>
            <w:vAlign w:val="center"/>
            <w:hideMark/>
          </w:tcPr>
          <w:p w14:paraId="531FF583" w14:textId="77777777" w:rsidR="00000000" w:rsidRDefault="00405D16">
            <w:pPr>
              <w:spacing w:after="100"/>
              <w:rPr>
                <w:rFonts w:eastAsia="Times New Roman"/>
                <w:sz w:val="20"/>
                <w:szCs w:val="20"/>
              </w:rPr>
            </w:pPr>
          </w:p>
        </w:tc>
        <w:tc>
          <w:tcPr>
            <w:tcW w:w="0" w:type="auto"/>
            <w:gridSpan w:val="3"/>
            <w:vAlign w:val="center"/>
            <w:hideMark/>
          </w:tcPr>
          <w:p w14:paraId="0C1A94B6" w14:textId="77777777" w:rsidR="00000000" w:rsidRDefault="00405D16">
            <w:pPr>
              <w:spacing w:after="100"/>
              <w:rPr>
                <w:rFonts w:eastAsia="Times New Roman"/>
                <w:sz w:val="20"/>
                <w:szCs w:val="20"/>
              </w:rPr>
            </w:pPr>
          </w:p>
        </w:tc>
      </w:tr>
      <w:tr w:rsidR="00000000" w14:paraId="63465716" w14:textId="77777777">
        <w:trPr>
          <w:divId w:val="978730332"/>
          <w:jc w:val="center"/>
        </w:trPr>
        <w:tc>
          <w:tcPr>
            <w:tcW w:w="0" w:type="auto"/>
            <w:gridSpan w:val="3"/>
            <w:vAlign w:val="center"/>
            <w:hideMark/>
          </w:tcPr>
          <w:p w14:paraId="71AD79D0" w14:textId="77777777" w:rsidR="00000000" w:rsidRDefault="00405D16">
            <w:pPr>
              <w:spacing w:after="100"/>
              <w:rPr>
                <w:rFonts w:eastAsia="Times New Roman"/>
                <w:sz w:val="20"/>
                <w:szCs w:val="20"/>
              </w:rPr>
            </w:pPr>
          </w:p>
        </w:tc>
        <w:tc>
          <w:tcPr>
            <w:tcW w:w="0" w:type="auto"/>
            <w:gridSpan w:val="3"/>
            <w:vAlign w:val="center"/>
            <w:hideMark/>
          </w:tcPr>
          <w:p w14:paraId="27271B86" w14:textId="77777777" w:rsidR="00000000" w:rsidRDefault="00405D16">
            <w:pPr>
              <w:spacing w:after="100"/>
              <w:rPr>
                <w:rFonts w:eastAsia="Times New Roman"/>
                <w:sz w:val="20"/>
                <w:szCs w:val="20"/>
              </w:rPr>
            </w:pPr>
          </w:p>
        </w:tc>
        <w:tc>
          <w:tcPr>
            <w:tcW w:w="0" w:type="auto"/>
            <w:gridSpan w:val="3"/>
            <w:vAlign w:val="center"/>
            <w:hideMark/>
          </w:tcPr>
          <w:p w14:paraId="22579A01" w14:textId="77777777" w:rsidR="00000000" w:rsidRDefault="00405D16">
            <w:pPr>
              <w:spacing w:after="100"/>
              <w:rPr>
                <w:rFonts w:eastAsia="Times New Roman"/>
                <w:sz w:val="20"/>
                <w:szCs w:val="20"/>
              </w:rPr>
            </w:pPr>
          </w:p>
        </w:tc>
        <w:tc>
          <w:tcPr>
            <w:tcW w:w="0" w:type="auto"/>
            <w:gridSpan w:val="3"/>
            <w:vAlign w:val="center"/>
            <w:hideMark/>
          </w:tcPr>
          <w:p w14:paraId="15BBE64B" w14:textId="77777777" w:rsidR="00000000" w:rsidRDefault="00405D16">
            <w:pPr>
              <w:spacing w:after="100"/>
              <w:rPr>
                <w:rFonts w:eastAsia="Times New Roman"/>
                <w:sz w:val="20"/>
                <w:szCs w:val="20"/>
              </w:rPr>
            </w:pPr>
          </w:p>
        </w:tc>
        <w:tc>
          <w:tcPr>
            <w:tcW w:w="0" w:type="auto"/>
            <w:gridSpan w:val="3"/>
            <w:vAlign w:val="center"/>
            <w:hideMark/>
          </w:tcPr>
          <w:p w14:paraId="647E7B20" w14:textId="77777777" w:rsidR="00000000" w:rsidRDefault="00405D16">
            <w:pPr>
              <w:spacing w:after="100"/>
              <w:rPr>
                <w:rFonts w:eastAsia="Times New Roman"/>
                <w:sz w:val="20"/>
                <w:szCs w:val="20"/>
              </w:rPr>
            </w:pPr>
          </w:p>
        </w:tc>
      </w:tr>
      <w:tr w:rsidR="00000000" w14:paraId="0BFB3D47" w14:textId="77777777">
        <w:trPr>
          <w:divId w:val="978730332"/>
          <w:jc w:val="center"/>
        </w:trPr>
        <w:tc>
          <w:tcPr>
            <w:tcW w:w="0" w:type="auto"/>
            <w:gridSpan w:val="3"/>
            <w:vAlign w:val="center"/>
            <w:hideMark/>
          </w:tcPr>
          <w:p w14:paraId="1C87C661" w14:textId="77777777" w:rsidR="00000000" w:rsidRDefault="00405D16">
            <w:pPr>
              <w:spacing w:after="100"/>
              <w:rPr>
                <w:rFonts w:eastAsia="Times New Roman"/>
                <w:sz w:val="20"/>
                <w:szCs w:val="20"/>
              </w:rPr>
            </w:pPr>
          </w:p>
        </w:tc>
        <w:tc>
          <w:tcPr>
            <w:tcW w:w="0" w:type="auto"/>
            <w:gridSpan w:val="3"/>
            <w:vAlign w:val="center"/>
            <w:hideMark/>
          </w:tcPr>
          <w:p w14:paraId="1FD2337C" w14:textId="77777777" w:rsidR="00000000" w:rsidRDefault="00405D16">
            <w:pPr>
              <w:spacing w:after="100"/>
              <w:rPr>
                <w:rFonts w:eastAsia="Times New Roman"/>
                <w:sz w:val="20"/>
                <w:szCs w:val="20"/>
              </w:rPr>
            </w:pPr>
          </w:p>
        </w:tc>
        <w:tc>
          <w:tcPr>
            <w:tcW w:w="0" w:type="auto"/>
            <w:gridSpan w:val="3"/>
            <w:vAlign w:val="center"/>
            <w:hideMark/>
          </w:tcPr>
          <w:p w14:paraId="5E0DD105" w14:textId="77777777" w:rsidR="00000000" w:rsidRDefault="00405D16">
            <w:pPr>
              <w:spacing w:after="100"/>
              <w:rPr>
                <w:rFonts w:eastAsia="Times New Roman"/>
                <w:sz w:val="20"/>
                <w:szCs w:val="20"/>
              </w:rPr>
            </w:pPr>
          </w:p>
        </w:tc>
        <w:tc>
          <w:tcPr>
            <w:tcW w:w="0" w:type="auto"/>
            <w:gridSpan w:val="3"/>
            <w:vAlign w:val="center"/>
            <w:hideMark/>
          </w:tcPr>
          <w:p w14:paraId="531896C4" w14:textId="77777777" w:rsidR="00000000" w:rsidRDefault="00405D16">
            <w:pPr>
              <w:spacing w:after="100"/>
              <w:rPr>
                <w:rFonts w:eastAsia="Times New Roman"/>
                <w:sz w:val="20"/>
                <w:szCs w:val="20"/>
              </w:rPr>
            </w:pPr>
          </w:p>
        </w:tc>
        <w:tc>
          <w:tcPr>
            <w:tcW w:w="0" w:type="auto"/>
            <w:gridSpan w:val="3"/>
            <w:vAlign w:val="center"/>
            <w:hideMark/>
          </w:tcPr>
          <w:p w14:paraId="715CB0E5" w14:textId="77777777" w:rsidR="00000000" w:rsidRDefault="00405D16">
            <w:pPr>
              <w:spacing w:after="100"/>
              <w:rPr>
                <w:rFonts w:eastAsia="Times New Roman"/>
                <w:sz w:val="20"/>
                <w:szCs w:val="20"/>
              </w:rPr>
            </w:pPr>
          </w:p>
        </w:tc>
      </w:tr>
      <w:tr w:rsidR="00000000" w14:paraId="0082329E" w14:textId="77777777">
        <w:trPr>
          <w:divId w:val="978730332"/>
          <w:jc w:val="center"/>
        </w:trPr>
        <w:tc>
          <w:tcPr>
            <w:tcW w:w="0" w:type="auto"/>
            <w:gridSpan w:val="3"/>
            <w:vAlign w:val="center"/>
            <w:hideMark/>
          </w:tcPr>
          <w:p w14:paraId="406A787A" w14:textId="77777777" w:rsidR="00000000" w:rsidRDefault="00405D16">
            <w:pPr>
              <w:spacing w:after="100"/>
              <w:rPr>
                <w:rFonts w:eastAsia="Times New Roman"/>
                <w:sz w:val="20"/>
                <w:szCs w:val="20"/>
              </w:rPr>
            </w:pPr>
          </w:p>
        </w:tc>
        <w:tc>
          <w:tcPr>
            <w:tcW w:w="0" w:type="auto"/>
            <w:gridSpan w:val="3"/>
            <w:vAlign w:val="center"/>
            <w:hideMark/>
          </w:tcPr>
          <w:p w14:paraId="4F9CB630" w14:textId="77777777" w:rsidR="00000000" w:rsidRDefault="00405D16">
            <w:pPr>
              <w:spacing w:after="100"/>
              <w:rPr>
                <w:rFonts w:eastAsia="Times New Roman"/>
                <w:sz w:val="20"/>
                <w:szCs w:val="20"/>
              </w:rPr>
            </w:pPr>
          </w:p>
        </w:tc>
        <w:tc>
          <w:tcPr>
            <w:tcW w:w="0" w:type="auto"/>
            <w:gridSpan w:val="3"/>
            <w:vAlign w:val="center"/>
            <w:hideMark/>
          </w:tcPr>
          <w:p w14:paraId="4A062F6C" w14:textId="77777777" w:rsidR="00000000" w:rsidRDefault="00405D16">
            <w:pPr>
              <w:spacing w:after="100"/>
              <w:rPr>
                <w:rFonts w:eastAsia="Times New Roman"/>
                <w:sz w:val="20"/>
                <w:szCs w:val="20"/>
              </w:rPr>
            </w:pPr>
          </w:p>
        </w:tc>
        <w:tc>
          <w:tcPr>
            <w:tcW w:w="0" w:type="auto"/>
            <w:gridSpan w:val="3"/>
            <w:vAlign w:val="center"/>
            <w:hideMark/>
          </w:tcPr>
          <w:p w14:paraId="6A560FDC" w14:textId="77777777" w:rsidR="00000000" w:rsidRDefault="00405D16">
            <w:pPr>
              <w:spacing w:after="100"/>
              <w:rPr>
                <w:rFonts w:eastAsia="Times New Roman"/>
                <w:sz w:val="20"/>
                <w:szCs w:val="20"/>
              </w:rPr>
            </w:pPr>
          </w:p>
        </w:tc>
        <w:tc>
          <w:tcPr>
            <w:tcW w:w="0" w:type="auto"/>
            <w:gridSpan w:val="3"/>
            <w:vAlign w:val="center"/>
            <w:hideMark/>
          </w:tcPr>
          <w:p w14:paraId="02AB4BA9" w14:textId="77777777" w:rsidR="00000000" w:rsidRDefault="00405D16">
            <w:pPr>
              <w:spacing w:after="100"/>
              <w:rPr>
                <w:rFonts w:eastAsia="Times New Roman"/>
                <w:sz w:val="20"/>
                <w:szCs w:val="20"/>
              </w:rPr>
            </w:pPr>
          </w:p>
        </w:tc>
      </w:tr>
      <w:tr w:rsidR="00000000" w14:paraId="51ED860D" w14:textId="77777777">
        <w:trPr>
          <w:divId w:val="978730332"/>
          <w:jc w:val="center"/>
        </w:trPr>
        <w:tc>
          <w:tcPr>
            <w:tcW w:w="0" w:type="auto"/>
            <w:gridSpan w:val="3"/>
            <w:vAlign w:val="center"/>
            <w:hideMark/>
          </w:tcPr>
          <w:p w14:paraId="1DDC8EED" w14:textId="77777777" w:rsidR="00000000" w:rsidRDefault="00405D16">
            <w:pPr>
              <w:spacing w:after="100"/>
              <w:rPr>
                <w:rFonts w:eastAsia="Times New Roman"/>
                <w:sz w:val="20"/>
                <w:szCs w:val="20"/>
              </w:rPr>
            </w:pPr>
          </w:p>
        </w:tc>
        <w:tc>
          <w:tcPr>
            <w:tcW w:w="0" w:type="auto"/>
            <w:gridSpan w:val="3"/>
            <w:vAlign w:val="center"/>
            <w:hideMark/>
          </w:tcPr>
          <w:p w14:paraId="3163D510" w14:textId="77777777" w:rsidR="00000000" w:rsidRDefault="00405D16">
            <w:pPr>
              <w:spacing w:after="100"/>
              <w:rPr>
                <w:rFonts w:eastAsia="Times New Roman"/>
                <w:sz w:val="20"/>
                <w:szCs w:val="20"/>
              </w:rPr>
            </w:pPr>
          </w:p>
        </w:tc>
        <w:tc>
          <w:tcPr>
            <w:tcW w:w="0" w:type="auto"/>
            <w:gridSpan w:val="3"/>
            <w:vAlign w:val="center"/>
            <w:hideMark/>
          </w:tcPr>
          <w:p w14:paraId="5DF18BA2" w14:textId="77777777" w:rsidR="00000000" w:rsidRDefault="00405D16">
            <w:pPr>
              <w:spacing w:after="100"/>
              <w:rPr>
                <w:rFonts w:eastAsia="Times New Roman"/>
                <w:sz w:val="20"/>
                <w:szCs w:val="20"/>
              </w:rPr>
            </w:pPr>
          </w:p>
        </w:tc>
        <w:tc>
          <w:tcPr>
            <w:tcW w:w="0" w:type="auto"/>
            <w:gridSpan w:val="3"/>
            <w:vAlign w:val="center"/>
            <w:hideMark/>
          </w:tcPr>
          <w:p w14:paraId="1686AC9E" w14:textId="77777777" w:rsidR="00000000" w:rsidRDefault="00405D16">
            <w:pPr>
              <w:spacing w:after="100"/>
              <w:rPr>
                <w:rFonts w:eastAsia="Times New Roman"/>
                <w:sz w:val="20"/>
                <w:szCs w:val="20"/>
              </w:rPr>
            </w:pPr>
          </w:p>
        </w:tc>
        <w:tc>
          <w:tcPr>
            <w:tcW w:w="0" w:type="auto"/>
            <w:gridSpan w:val="3"/>
            <w:vAlign w:val="center"/>
            <w:hideMark/>
          </w:tcPr>
          <w:p w14:paraId="4798F4A0" w14:textId="77777777" w:rsidR="00000000" w:rsidRDefault="00405D16">
            <w:pPr>
              <w:spacing w:after="100"/>
              <w:rPr>
                <w:rFonts w:eastAsia="Times New Roman"/>
                <w:sz w:val="20"/>
                <w:szCs w:val="20"/>
              </w:rPr>
            </w:pPr>
          </w:p>
        </w:tc>
      </w:tr>
      <w:tr w:rsidR="00000000" w14:paraId="280C8C68" w14:textId="77777777">
        <w:trPr>
          <w:divId w:val="978730332"/>
          <w:jc w:val="center"/>
        </w:trPr>
        <w:tc>
          <w:tcPr>
            <w:tcW w:w="0" w:type="auto"/>
            <w:gridSpan w:val="3"/>
            <w:vAlign w:val="center"/>
            <w:hideMark/>
          </w:tcPr>
          <w:p w14:paraId="203C7817" w14:textId="77777777" w:rsidR="00000000" w:rsidRDefault="00405D16">
            <w:pPr>
              <w:spacing w:after="100"/>
              <w:rPr>
                <w:rFonts w:eastAsia="Times New Roman"/>
                <w:sz w:val="20"/>
                <w:szCs w:val="20"/>
              </w:rPr>
            </w:pPr>
          </w:p>
        </w:tc>
        <w:tc>
          <w:tcPr>
            <w:tcW w:w="0" w:type="auto"/>
            <w:gridSpan w:val="3"/>
            <w:vAlign w:val="center"/>
            <w:hideMark/>
          </w:tcPr>
          <w:p w14:paraId="4AD7DC40" w14:textId="77777777" w:rsidR="00000000" w:rsidRDefault="00405D16">
            <w:pPr>
              <w:spacing w:after="100"/>
              <w:rPr>
                <w:rFonts w:eastAsia="Times New Roman"/>
                <w:sz w:val="20"/>
                <w:szCs w:val="20"/>
              </w:rPr>
            </w:pPr>
          </w:p>
        </w:tc>
        <w:tc>
          <w:tcPr>
            <w:tcW w:w="0" w:type="auto"/>
            <w:gridSpan w:val="3"/>
            <w:vAlign w:val="center"/>
            <w:hideMark/>
          </w:tcPr>
          <w:p w14:paraId="5629718B" w14:textId="77777777" w:rsidR="00000000" w:rsidRDefault="00405D16">
            <w:pPr>
              <w:spacing w:after="100"/>
              <w:rPr>
                <w:rFonts w:eastAsia="Times New Roman"/>
                <w:sz w:val="20"/>
                <w:szCs w:val="20"/>
              </w:rPr>
            </w:pPr>
          </w:p>
        </w:tc>
        <w:tc>
          <w:tcPr>
            <w:tcW w:w="0" w:type="auto"/>
            <w:gridSpan w:val="3"/>
            <w:vAlign w:val="center"/>
            <w:hideMark/>
          </w:tcPr>
          <w:p w14:paraId="0EF5C9BA" w14:textId="77777777" w:rsidR="00000000" w:rsidRDefault="00405D16">
            <w:pPr>
              <w:spacing w:after="100"/>
              <w:rPr>
                <w:rFonts w:eastAsia="Times New Roman"/>
                <w:sz w:val="20"/>
                <w:szCs w:val="20"/>
              </w:rPr>
            </w:pPr>
          </w:p>
        </w:tc>
        <w:tc>
          <w:tcPr>
            <w:tcW w:w="0" w:type="auto"/>
            <w:gridSpan w:val="3"/>
            <w:vAlign w:val="center"/>
            <w:hideMark/>
          </w:tcPr>
          <w:p w14:paraId="06488B16" w14:textId="77777777" w:rsidR="00000000" w:rsidRDefault="00405D16">
            <w:pPr>
              <w:spacing w:after="100"/>
              <w:rPr>
                <w:rFonts w:eastAsia="Times New Roman"/>
                <w:sz w:val="20"/>
                <w:szCs w:val="20"/>
              </w:rPr>
            </w:pPr>
          </w:p>
        </w:tc>
      </w:tr>
      <w:tr w:rsidR="00000000" w14:paraId="7D387EB1" w14:textId="77777777">
        <w:trPr>
          <w:divId w:val="978730332"/>
          <w:jc w:val="center"/>
        </w:trPr>
        <w:tc>
          <w:tcPr>
            <w:tcW w:w="0" w:type="auto"/>
            <w:gridSpan w:val="3"/>
            <w:vAlign w:val="center"/>
            <w:hideMark/>
          </w:tcPr>
          <w:p w14:paraId="04733B37" w14:textId="77777777" w:rsidR="00000000" w:rsidRDefault="00405D16">
            <w:pPr>
              <w:spacing w:after="100"/>
              <w:rPr>
                <w:rFonts w:eastAsia="Times New Roman"/>
                <w:sz w:val="20"/>
                <w:szCs w:val="20"/>
              </w:rPr>
            </w:pPr>
          </w:p>
        </w:tc>
        <w:tc>
          <w:tcPr>
            <w:tcW w:w="0" w:type="auto"/>
            <w:gridSpan w:val="3"/>
            <w:vAlign w:val="center"/>
            <w:hideMark/>
          </w:tcPr>
          <w:p w14:paraId="53B360C1" w14:textId="77777777" w:rsidR="00000000" w:rsidRDefault="00405D16">
            <w:pPr>
              <w:spacing w:after="100"/>
              <w:rPr>
                <w:rFonts w:eastAsia="Times New Roman"/>
                <w:sz w:val="20"/>
                <w:szCs w:val="20"/>
              </w:rPr>
            </w:pPr>
          </w:p>
        </w:tc>
        <w:tc>
          <w:tcPr>
            <w:tcW w:w="0" w:type="auto"/>
            <w:gridSpan w:val="3"/>
            <w:vAlign w:val="center"/>
            <w:hideMark/>
          </w:tcPr>
          <w:p w14:paraId="2393B9A9" w14:textId="77777777" w:rsidR="00000000" w:rsidRDefault="00405D16">
            <w:pPr>
              <w:spacing w:after="100"/>
              <w:rPr>
                <w:rFonts w:eastAsia="Times New Roman"/>
                <w:sz w:val="20"/>
                <w:szCs w:val="20"/>
              </w:rPr>
            </w:pPr>
          </w:p>
        </w:tc>
        <w:tc>
          <w:tcPr>
            <w:tcW w:w="0" w:type="auto"/>
            <w:gridSpan w:val="3"/>
            <w:vAlign w:val="center"/>
            <w:hideMark/>
          </w:tcPr>
          <w:p w14:paraId="7546514C" w14:textId="77777777" w:rsidR="00000000" w:rsidRDefault="00405D16">
            <w:pPr>
              <w:spacing w:after="100"/>
              <w:rPr>
                <w:rFonts w:eastAsia="Times New Roman"/>
                <w:sz w:val="20"/>
                <w:szCs w:val="20"/>
              </w:rPr>
            </w:pPr>
          </w:p>
        </w:tc>
        <w:tc>
          <w:tcPr>
            <w:tcW w:w="0" w:type="auto"/>
            <w:gridSpan w:val="3"/>
            <w:vAlign w:val="center"/>
            <w:hideMark/>
          </w:tcPr>
          <w:p w14:paraId="25A9C6B3" w14:textId="77777777" w:rsidR="00000000" w:rsidRDefault="00405D16">
            <w:pPr>
              <w:spacing w:after="100"/>
              <w:rPr>
                <w:rFonts w:eastAsia="Times New Roman"/>
                <w:sz w:val="20"/>
                <w:szCs w:val="20"/>
              </w:rPr>
            </w:pPr>
          </w:p>
        </w:tc>
      </w:tr>
      <w:tr w:rsidR="00000000" w14:paraId="0B984CCB" w14:textId="77777777">
        <w:trPr>
          <w:divId w:val="978730332"/>
          <w:jc w:val="center"/>
        </w:trPr>
        <w:tc>
          <w:tcPr>
            <w:tcW w:w="0" w:type="auto"/>
            <w:gridSpan w:val="3"/>
            <w:vAlign w:val="center"/>
            <w:hideMark/>
          </w:tcPr>
          <w:p w14:paraId="7B6138F2" w14:textId="77777777" w:rsidR="00000000" w:rsidRDefault="00405D16">
            <w:pPr>
              <w:spacing w:after="100"/>
              <w:rPr>
                <w:rFonts w:eastAsia="Times New Roman"/>
                <w:sz w:val="20"/>
                <w:szCs w:val="20"/>
              </w:rPr>
            </w:pPr>
          </w:p>
        </w:tc>
        <w:tc>
          <w:tcPr>
            <w:tcW w:w="0" w:type="auto"/>
            <w:gridSpan w:val="3"/>
            <w:vAlign w:val="center"/>
            <w:hideMark/>
          </w:tcPr>
          <w:p w14:paraId="5BD28470" w14:textId="77777777" w:rsidR="00000000" w:rsidRDefault="00405D16">
            <w:pPr>
              <w:spacing w:after="100"/>
              <w:rPr>
                <w:rFonts w:eastAsia="Times New Roman"/>
                <w:sz w:val="20"/>
                <w:szCs w:val="20"/>
              </w:rPr>
            </w:pPr>
          </w:p>
        </w:tc>
        <w:tc>
          <w:tcPr>
            <w:tcW w:w="0" w:type="auto"/>
            <w:gridSpan w:val="3"/>
            <w:vAlign w:val="center"/>
            <w:hideMark/>
          </w:tcPr>
          <w:p w14:paraId="362FA583" w14:textId="77777777" w:rsidR="00000000" w:rsidRDefault="00405D16">
            <w:pPr>
              <w:spacing w:after="100"/>
              <w:rPr>
                <w:rFonts w:eastAsia="Times New Roman"/>
                <w:sz w:val="20"/>
                <w:szCs w:val="20"/>
              </w:rPr>
            </w:pPr>
          </w:p>
        </w:tc>
        <w:tc>
          <w:tcPr>
            <w:tcW w:w="0" w:type="auto"/>
            <w:gridSpan w:val="3"/>
            <w:vAlign w:val="center"/>
            <w:hideMark/>
          </w:tcPr>
          <w:p w14:paraId="5CED70D9" w14:textId="77777777" w:rsidR="00000000" w:rsidRDefault="00405D16">
            <w:pPr>
              <w:spacing w:after="100"/>
              <w:rPr>
                <w:rFonts w:eastAsia="Times New Roman"/>
                <w:sz w:val="20"/>
                <w:szCs w:val="20"/>
              </w:rPr>
            </w:pPr>
          </w:p>
        </w:tc>
        <w:tc>
          <w:tcPr>
            <w:tcW w:w="0" w:type="auto"/>
            <w:gridSpan w:val="3"/>
            <w:vAlign w:val="center"/>
            <w:hideMark/>
          </w:tcPr>
          <w:p w14:paraId="1C0F2201" w14:textId="77777777" w:rsidR="00000000" w:rsidRDefault="00405D16">
            <w:pPr>
              <w:spacing w:after="100"/>
              <w:rPr>
                <w:rFonts w:eastAsia="Times New Roman"/>
                <w:sz w:val="20"/>
                <w:szCs w:val="20"/>
              </w:rPr>
            </w:pPr>
          </w:p>
        </w:tc>
      </w:tr>
      <w:tr w:rsidR="00000000" w14:paraId="5B185C15" w14:textId="77777777">
        <w:trPr>
          <w:divId w:val="978730332"/>
          <w:jc w:val="center"/>
        </w:trPr>
        <w:tc>
          <w:tcPr>
            <w:tcW w:w="0" w:type="auto"/>
            <w:gridSpan w:val="3"/>
            <w:vAlign w:val="center"/>
            <w:hideMark/>
          </w:tcPr>
          <w:p w14:paraId="6CC6C5B6" w14:textId="77777777" w:rsidR="00000000" w:rsidRDefault="00405D16">
            <w:pPr>
              <w:spacing w:after="100"/>
              <w:rPr>
                <w:rFonts w:eastAsia="Times New Roman"/>
                <w:sz w:val="20"/>
                <w:szCs w:val="20"/>
              </w:rPr>
            </w:pPr>
          </w:p>
        </w:tc>
        <w:tc>
          <w:tcPr>
            <w:tcW w:w="0" w:type="auto"/>
            <w:gridSpan w:val="3"/>
            <w:vAlign w:val="center"/>
            <w:hideMark/>
          </w:tcPr>
          <w:p w14:paraId="209BB947" w14:textId="77777777" w:rsidR="00000000" w:rsidRDefault="00405D16">
            <w:pPr>
              <w:spacing w:after="100"/>
              <w:rPr>
                <w:rFonts w:eastAsia="Times New Roman"/>
                <w:sz w:val="20"/>
                <w:szCs w:val="20"/>
              </w:rPr>
            </w:pPr>
          </w:p>
        </w:tc>
        <w:tc>
          <w:tcPr>
            <w:tcW w:w="0" w:type="auto"/>
            <w:gridSpan w:val="3"/>
            <w:vAlign w:val="center"/>
            <w:hideMark/>
          </w:tcPr>
          <w:p w14:paraId="111F8A79" w14:textId="77777777" w:rsidR="00000000" w:rsidRDefault="00405D16">
            <w:pPr>
              <w:spacing w:after="100"/>
              <w:rPr>
                <w:rFonts w:eastAsia="Times New Roman"/>
                <w:sz w:val="20"/>
                <w:szCs w:val="20"/>
              </w:rPr>
            </w:pPr>
          </w:p>
        </w:tc>
        <w:tc>
          <w:tcPr>
            <w:tcW w:w="0" w:type="auto"/>
            <w:gridSpan w:val="3"/>
            <w:vAlign w:val="center"/>
            <w:hideMark/>
          </w:tcPr>
          <w:p w14:paraId="021007D9" w14:textId="77777777" w:rsidR="00000000" w:rsidRDefault="00405D16">
            <w:pPr>
              <w:spacing w:after="100"/>
              <w:rPr>
                <w:rFonts w:eastAsia="Times New Roman"/>
                <w:sz w:val="20"/>
                <w:szCs w:val="20"/>
              </w:rPr>
            </w:pPr>
          </w:p>
        </w:tc>
        <w:tc>
          <w:tcPr>
            <w:tcW w:w="0" w:type="auto"/>
            <w:gridSpan w:val="3"/>
            <w:vAlign w:val="center"/>
            <w:hideMark/>
          </w:tcPr>
          <w:p w14:paraId="3C09B2AD" w14:textId="77777777" w:rsidR="00000000" w:rsidRDefault="00405D16">
            <w:pPr>
              <w:spacing w:after="100"/>
              <w:rPr>
                <w:rFonts w:eastAsia="Times New Roman"/>
                <w:sz w:val="20"/>
                <w:szCs w:val="20"/>
              </w:rPr>
            </w:pPr>
          </w:p>
        </w:tc>
      </w:tr>
      <w:tr w:rsidR="00000000" w14:paraId="538CDB3C" w14:textId="77777777">
        <w:trPr>
          <w:divId w:val="978730332"/>
          <w:jc w:val="center"/>
        </w:trPr>
        <w:tc>
          <w:tcPr>
            <w:tcW w:w="0" w:type="auto"/>
            <w:gridSpan w:val="3"/>
            <w:vAlign w:val="center"/>
            <w:hideMark/>
          </w:tcPr>
          <w:p w14:paraId="50917C2D" w14:textId="77777777" w:rsidR="00000000" w:rsidRDefault="00405D16">
            <w:pPr>
              <w:spacing w:after="100"/>
              <w:rPr>
                <w:rFonts w:eastAsia="Times New Roman"/>
                <w:sz w:val="20"/>
                <w:szCs w:val="20"/>
              </w:rPr>
            </w:pPr>
          </w:p>
        </w:tc>
        <w:tc>
          <w:tcPr>
            <w:tcW w:w="0" w:type="auto"/>
            <w:gridSpan w:val="3"/>
            <w:vAlign w:val="center"/>
            <w:hideMark/>
          </w:tcPr>
          <w:p w14:paraId="7855AF6C" w14:textId="77777777" w:rsidR="00000000" w:rsidRDefault="00405D16">
            <w:pPr>
              <w:spacing w:after="100"/>
              <w:rPr>
                <w:rFonts w:eastAsia="Times New Roman"/>
                <w:sz w:val="20"/>
                <w:szCs w:val="20"/>
              </w:rPr>
            </w:pPr>
          </w:p>
        </w:tc>
        <w:tc>
          <w:tcPr>
            <w:tcW w:w="0" w:type="auto"/>
            <w:gridSpan w:val="3"/>
            <w:vAlign w:val="center"/>
            <w:hideMark/>
          </w:tcPr>
          <w:p w14:paraId="0A37C3B7" w14:textId="77777777" w:rsidR="00000000" w:rsidRDefault="00405D16">
            <w:pPr>
              <w:spacing w:after="100"/>
              <w:rPr>
                <w:rFonts w:eastAsia="Times New Roman"/>
                <w:sz w:val="20"/>
                <w:szCs w:val="20"/>
              </w:rPr>
            </w:pPr>
          </w:p>
        </w:tc>
        <w:tc>
          <w:tcPr>
            <w:tcW w:w="0" w:type="auto"/>
            <w:gridSpan w:val="3"/>
            <w:vAlign w:val="center"/>
            <w:hideMark/>
          </w:tcPr>
          <w:p w14:paraId="185BF22A" w14:textId="77777777" w:rsidR="00000000" w:rsidRDefault="00405D16">
            <w:pPr>
              <w:spacing w:after="100"/>
              <w:rPr>
                <w:rFonts w:eastAsia="Times New Roman"/>
                <w:sz w:val="20"/>
                <w:szCs w:val="20"/>
              </w:rPr>
            </w:pPr>
          </w:p>
        </w:tc>
        <w:tc>
          <w:tcPr>
            <w:tcW w:w="0" w:type="auto"/>
            <w:gridSpan w:val="3"/>
            <w:vAlign w:val="center"/>
            <w:hideMark/>
          </w:tcPr>
          <w:p w14:paraId="1A65EEF5" w14:textId="77777777" w:rsidR="00000000" w:rsidRDefault="00405D16">
            <w:pPr>
              <w:spacing w:after="100"/>
              <w:rPr>
                <w:rFonts w:eastAsia="Times New Roman"/>
                <w:sz w:val="20"/>
                <w:szCs w:val="20"/>
              </w:rPr>
            </w:pPr>
          </w:p>
        </w:tc>
      </w:tr>
      <w:tr w:rsidR="00000000" w14:paraId="47335972" w14:textId="77777777">
        <w:trPr>
          <w:divId w:val="978730332"/>
          <w:jc w:val="center"/>
        </w:trPr>
        <w:tc>
          <w:tcPr>
            <w:tcW w:w="0" w:type="auto"/>
            <w:gridSpan w:val="3"/>
            <w:vAlign w:val="center"/>
            <w:hideMark/>
          </w:tcPr>
          <w:p w14:paraId="5DC36968" w14:textId="77777777" w:rsidR="00000000" w:rsidRDefault="00405D16">
            <w:pPr>
              <w:spacing w:after="100"/>
              <w:rPr>
                <w:rFonts w:eastAsia="Times New Roman"/>
                <w:sz w:val="20"/>
                <w:szCs w:val="20"/>
              </w:rPr>
            </w:pPr>
          </w:p>
        </w:tc>
        <w:tc>
          <w:tcPr>
            <w:tcW w:w="0" w:type="auto"/>
            <w:gridSpan w:val="3"/>
            <w:vAlign w:val="center"/>
            <w:hideMark/>
          </w:tcPr>
          <w:p w14:paraId="2CAFA81A" w14:textId="77777777" w:rsidR="00000000" w:rsidRDefault="00405D16">
            <w:pPr>
              <w:spacing w:after="100"/>
              <w:rPr>
                <w:rFonts w:eastAsia="Times New Roman"/>
                <w:sz w:val="20"/>
                <w:szCs w:val="20"/>
              </w:rPr>
            </w:pPr>
          </w:p>
        </w:tc>
        <w:tc>
          <w:tcPr>
            <w:tcW w:w="0" w:type="auto"/>
            <w:gridSpan w:val="3"/>
            <w:vAlign w:val="center"/>
            <w:hideMark/>
          </w:tcPr>
          <w:p w14:paraId="69D0C7CE" w14:textId="77777777" w:rsidR="00000000" w:rsidRDefault="00405D16">
            <w:pPr>
              <w:spacing w:after="100"/>
              <w:rPr>
                <w:rFonts w:eastAsia="Times New Roman"/>
                <w:sz w:val="20"/>
                <w:szCs w:val="20"/>
              </w:rPr>
            </w:pPr>
          </w:p>
        </w:tc>
        <w:tc>
          <w:tcPr>
            <w:tcW w:w="0" w:type="auto"/>
            <w:gridSpan w:val="3"/>
            <w:vAlign w:val="center"/>
            <w:hideMark/>
          </w:tcPr>
          <w:p w14:paraId="098E2C4A" w14:textId="77777777" w:rsidR="00000000" w:rsidRDefault="00405D16">
            <w:pPr>
              <w:spacing w:after="100"/>
              <w:rPr>
                <w:rFonts w:eastAsia="Times New Roman"/>
                <w:sz w:val="20"/>
                <w:szCs w:val="20"/>
              </w:rPr>
            </w:pPr>
          </w:p>
        </w:tc>
        <w:tc>
          <w:tcPr>
            <w:tcW w:w="0" w:type="auto"/>
            <w:gridSpan w:val="3"/>
            <w:vAlign w:val="center"/>
            <w:hideMark/>
          </w:tcPr>
          <w:p w14:paraId="2E45CF6D" w14:textId="77777777" w:rsidR="00000000" w:rsidRDefault="00405D16">
            <w:pPr>
              <w:spacing w:after="100"/>
              <w:rPr>
                <w:rFonts w:eastAsia="Times New Roman"/>
                <w:sz w:val="20"/>
                <w:szCs w:val="20"/>
              </w:rPr>
            </w:pPr>
          </w:p>
        </w:tc>
      </w:tr>
      <w:tr w:rsidR="00000000" w14:paraId="124892A7" w14:textId="77777777">
        <w:trPr>
          <w:divId w:val="978730332"/>
          <w:jc w:val="center"/>
        </w:trPr>
        <w:tc>
          <w:tcPr>
            <w:tcW w:w="0" w:type="auto"/>
            <w:gridSpan w:val="3"/>
            <w:vAlign w:val="center"/>
            <w:hideMark/>
          </w:tcPr>
          <w:p w14:paraId="17FB43E2" w14:textId="77777777" w:rsidR="00000000" w:rsidRDefault="00405D16">
            <w:pPr>
              <w:spacing w:after="100"/>
              <w:rPr>
                <w:rFonts w:eastAsia="Times New Roman"/>
                <w:sz w:val="20"/>
                <w:szCs w:val="20"/>
              </w:rPr>
            </w:pPr>
          </w:p>
        </w:tc>
        <w:tc>
          <w:tcPr>
            <w:tcW w:w="0" w:type="auto"/>
            <w:gridSpan w:val="3"/>
            <w:vAlign w:val="center"/>
            <w:hideMark/>
          </w:tcPr>
          <w:p w14:paraId="1D67E3EF" w14:textId="77777777" w:rsidR="00000000" w:rsidRDefault="00405D16">
            <w:pPr>
              <w:spacing w:after="100"/>
              <w:rPr>
                <w:rFonts w:eastAsia="Times New Roman"/>
                <w:sz w:val="20"/>
                <w:szCs w:val="20"/>
              </w:rPr>
            </w:pPr>
          </w:p>
        </w:tc>
        <w:tc>
          <w:tcPr>
            <w:tcW w:w="0" w:type="auto"/>
            <w:gridSpan w:val="3"/>
            <w:vAlign w:val="center"/>
            <w:hideMark/>
          </w:tcPr>
          <w:p w14:paraId="35A00F75" w14:textId="77777777" w:rsidR="00000000" w:rsidRDefault="00405D16">
            <w:pPr>
              <w:spacing w:after="100"/>
              <w:rPr>
                <w:rFonts w:eastAsia="Times New Roman"/>
                <w:sz w:val="20"/>
                <w:szCs w:val="20"/>
              </w:rPr>
            </w:pPr>
          </w:p>
        </w:tc>
        <w:tc>
          <w:tcPr>
            <w:tcW w:w="0" w:type="auto"/>
            <w:gridSpan w:val="3"/>
            <w:vAlign w:val="center"/>
            <w:hideMark/>
          </w:tcPr>
          <w:p w14:paraId="587DC7DB" w14:textId="77777777" w:rsidR="00000000" w:rsidRDefault="00405D16">
            <w:pPr>
              <w:spacing w:after="100"/>
              <w:rPr>
                <w:rFonts w:eastAsia="Times New Roman"/>
                <w:sz w:val="20"/>
                <w:szCs w:val="20"/>
              </w:rPr>
            </w:pPr>
          </w:p>
        </w:tc>
        <w:tc>
          <w:tcPr>
            <w:tcW w:w="0" w:type="auto"/>
            <w:gridSpan w:val="3"/>
            <w:vAlign w:val="center"/>
            <w:hideMark/>
          </w:tcPr>
          <w:p w14:paraId="6C68F9EB" w14:textId="77777777" w:rsidR="00000000" w:rsidRDefault="00405D16">
            <w:pPr>
              <w:spacing w:after="100"/>
              <w:rPr>
                <w:rFonts w:eastAsia="Times New Roman"/>
                <w:sz w:val="20"/>
                <w:szCs w:val="20"/>
              </w:rPr>
            </w:pPr>
          </w:p>
        </w:tc>
      </w:tr>
      <w:tr w:rsidR="00000000" w14:paraId="2A234A1C" w14:textId="77777777">
        <w:trPr>
          <w:divId w:val="978730332"/>
          <w:jc w:val="center"/>
        </w:trPr>
        <w:tc>
          <w:tcPr>
            <w:tcW w:w="0" w:type="auto"/>
            <w:gridSpan w:val="3"/>
            <w:vAlign w:val="center"/>
            <w:hideMark/>
          </w:tcPr>
          <w:p w14:paraId="052EC1E6" w14:textId="77777777" w:rsidR="00000000" w:rsidRDefault="00405D16">
            <w:pPr>
              <w:spacing w:after="100"/>
              <w:rPr>
                <w:rFonts w:eastAsia="Times New Roman"/>
                <w:sz w:val="20"/>
                <w:szCs w:val="20"/>
              </w:rPr>
            </w:pPr>
          </w:p>
        </w:tc>
        <w:tc>
          <w:tcPr>
            <w:tcW w:w="0" w:type="auto"/>
            <w:gridSpan w:val="3"/>
            <w:vAlign w:val="center"/>
            <w:hideMark/>
          </w:tcPr>
          <w:p w14:paraId="6DD154FE" w14:textId="77777777" w:rsidR="00000000" w:rsidRDefault="00405D16">
            <w:pPr>
              <w:spacing w:after="100"/>
              <w:rPr>
                <w:rFonts w:eastAsia="Times New Roman"/>
                <w:sz w:val="20"/>
                <w:szCs w:val="20"/>
              </w:rPr>
            </w:pPr>
          </w:p>
        </w:tc>
        <w:tc>
          <w:tcPr>
            <w:tcW w:w="0" w:type="auto"/>
            <w:gridSpan w:val="3"/>
            <w:vAlign w:val="center"/>
            <w:hideMark/>
          </w:tcPr>
          <w:p w14:paraId="12B67635" w14:textId="77777777" w:rsidR="00000000" w:rsidRDefault="00405D16">
            <w:pPr>
              <w:spacing w:after="100"/>
              <w:rPr>
                <w:rFonts w:eastAsia="Times New Roman"/>
                <w:sz w:val="20"/>
                <w:szCs w:val="20"/>
              </w:rPr>
            </w:pPr>
          </w:p>
        </w:tc>
        <w:tc>
          <w:tcPr>
            <w:tcW w:w="0" w:type="auto"/>
            <w:gridSpan w:val="3"/>
            <w:vAlign w:val="center"/>
            <w:hideMark/>
          </w:tcPr>
          <w:p w14:paraId="7CE19250" w14:textId="77777777" w:rsidR="00000000" w:rsidRDefault="00405D16">
            <w:pPr>
              <w:spacing w:after="100"/>
              <w:rPr>
                <w:rFonts w:eastAsia="Times New Roman"/>
                <w:sz w:val="20"/>
                <w:szCs w:val="20"/>
              </w:rPr>
            </w:pPr>
          </w:p>
        </w:tc>
        <w:tc>
          <w:tcPr>
            <w:tcW w:w="0" w:type="auto"/>
            <w:gridSpan w:val="3"/>
            <w:vAlign w:val="center"/>
            <w:hideMark/>
          </w:tcPr>
          <w:p w14:paraId="74B6F6B4" w14:textId="77777777" w:rsidR="00000000" w:rsidRDefault="00405D16">
            <w:pPr>
              <w:spacing w:after="100"/>
              <w:rPr>
                <w:rFonts w:eastAsia="Times New Roman"/>
                <w:sz w:val="20"/>
                <w:szCs w:val="20"/>
              </w:rPr>
            </w:pPr>
          </w:p>
        </w:tc>
      </w:tr>
      <w:tr w:rsidR="00000000" w14:paraId="60393D31" w14:textId="77777777">
        <w:trPr>
          <w:divId w:val="978730332"/>
          <w:jc w:val="center"/>
        </w:trPr>
        <w:tc>
          <w:tcPr>
            <w:tcW w:w="0" w:type="auto"/>
            <w:gridSpan w:val="3"/>
            <w:vAlign w:val="center"/>
            <w:hideMark/>
          </w:tcPr>
          <w:p w14:paraId="26DECB3F" w14:textId="77777777" w:rsidR="00000000" w:rsidRDefault="00405D16">
            <w:pPr>
              <w:spacing w:after="100"/>
              <w:rPr>
                <w:rFonts w:eastAsia="Times New Roman"/>
                <w:sz w:val="20"/>
                <w:szCs w:val="20"/>
              </w:rPr>
            </w:pPr>
          </w:p>
        </w:tc>
        <w:tc>
          <w:tcPr>
            <w:tcW w:w="0" w:type="auto"/>
            <w:gridSpan w:val="3"/>
            <w:vAlign w:val="center"/>
            <w:hideMark/>
          </w:tcPr>
          <w:p w14:paraId="4C27F6C5" w14:textId="77777777" w:rsidR="00000000" w:rsidRDefault="00405D16">
            <w:pPr>
              <w:spacing w:after="100"/>
              <w:rPr>
                <w:rFonts w:eastAsia="Times New Roman"/>
                <w:sz w:val="20"/>
                <w:szCs w:val="20"/>
              </w:rPr>
            </w:pPr>
          </w:p>
        </w:tc>
        <w:tc>
          <w:tcPr>
            <w:tcW w:w="0" w:type="auto"/>
            <w:gridSpan w:val="3"/>
            <w:vAlign w:val="center"/>
            <w:hideMark/>
          </w:tcPr>
          <w:p w14:paraId="3432B6F6" w14:textId="77777777" w:rsidR="00000000" w:rsidRDefault="00405D16">
            <w:pPr>
              <w:spacing w:after="100"/>
              <w:rPr>
                <w:rFonts w:eastAsia="Times New Roman"/>
                <w:sz w:val="20"/>
                <w:szCs w:val="20"/>
              </w:rPr>
            </w:pPr>
          </w:p>
        </w:tc>
        <w:tc>
          <w:tcPr>
            <w:tcW w:w="0" w:type="auto"/>
            <w:gridSpan w:val="3"/>
            <w:vAlign w:val="center"/>
            <w:hideMark/>
          </w:tcPr>
          <w:p w14:paraId="18A1DB94" w14:textId="77777777" w:rsidR="00000000" w:rsidRDefault="00405D16">
            <w:pPr>
              <w:spacing w:after="100"/>
              <w:rPr>
                <w:rFonts w:eastAsia="Times New Roman"/>
                <w:sz w:val="20"/>
                <w:szCs w:val="20"/>
              </w:rPr>
            </w:pPr>
          </w:p>
        </w:tc>
        <w:tc>
          <w:tcPr>
            <w:tcW w:w="0" w:type="auto"/>
            <w:gridSpan w:val="3"/>
            <w:vAlign w:val="center"/>
            <w:hideMark/>
          </w:tcPr>
          <w:p w14:paraId="147178F0" w14:textId="77777777" w:rsidR="00000000" w:rsidRDefault="00405D16">
            <w:pPr>
              <w:spacing w:after="100"/>
              <w:rPr>
                <w:rFonts w:eastAsia="Times New Roman"/>
                <w:sz w:val="20"/>
                <w:szCs w:val="20"/>
              </w:rPr>
            </w:pPr>
          </w:p>
        </w:tc>
      </w:tr>
      <w:tr w:rsidR="00000000" w14:paraId="19019F64" w14:textId="77777777">
        <w:trPr>
          <w:divId w:val="978730332"/>
          <w:jc w:val="center"/>
        </w:trPr>
        <w:tc>
          <w:tcPr>
            <w:tcW w:w="0" w:type="auto"/>
            <w:gridSpan w:val="3"/>
            <w:vAlign w:val="center"/>
            <w:hideMark/>
          </w:tcPr>
          <w:p w14:paraId="0EED6EE0" w14:textId="77777777" w:rsidR="00000000" w:rsidRDefault="00405D16">
            <w:pPr>
              <w:spacing w:after="100"/>
              <w:rPr>
                <w:rFonts w:eastAsia="Times New Roman"/>
                <w:sz w:val="20"/>
                <w:szCs w:val="20"/>
              </w:rPr>
            </w:pPr>
          </w:p>
        </w:tc>
        <w:tc>
          <w:tcPr>
            <w:tcW w:w="0" w:type="auto"/>
            <w:gridSpan w:val="3"/>
            <w:vAlign w:val="center"/>
            <w:hideMark/>
          </w:tcPr>
          <w:p w14:paraId="45C33455" w14:textId="77777777" w:rsidR="00000000" w:rsidRDefault="00405D16">
            <w:pPr>
              <w:spacing w:after="100"/>
              <w:rPr>
                <w:rFonts w:eastAsia="Times New Roman"/>
                <w:sz w:val="20"/>
                <w:szCs w:val="20"/>
              </w:rPr>
            </w:pPr>
          </w:p>
        </w:tc>
        <w:tc>
          <w:tcPr>
            <w:tcW w:w="0" w:type="auto"/>
            <w:gridSpan w:val="3"/>
            <w:vAlign w:val="center"/>
            <w:hideMark/>
          </w:tcPr>
          <w:p w14:paraId="6CBB7A1E" w14:textId="77777777" w:rsidR="00000000" w:rsidRDefault="00405D16">
            <w:pPr>
              <w:spacing w:after="100"/>
              <w:rPr>
                <w:rFonts w:eastAsia="Times New Roman"/>
                <w:sz w:val="20"/>
                <w:szCs w:val="20"/>
              </w:rPr>
            </w:pPr>
          </w:p>
        </w:tc>
        <w:tc>
          <w:tcPr>
            <w:tcW w:w="0" w:type="auto"/>
            <w:gridSpan w:val="3"/>
            <w:vAlign w:val="center"/>
            <w:hideMark/>
          </w:tcPr>
          <w:p w14:paraId="6F48B78C" w14:textId="77777777" w:rsidR="00000000" w:rsidRDefault="00405D16">
            <w:pPr>
              <w:spacing w:after="100"/>
              <w:rPr>
                <w:rFonts w:eastAsia="Times New Roman"/>
                <w:sz w:val="20"/>
                <w:szCs w:val="20"/>
              </w:rPr>
            </w:pPr>
          </w:p>
        </w:tc>
        <w:tc>
          <w:tcPr>
            <w:tcW w:w="0" w:type="auto"/>
            <w:gridSpan w:val="3"/>
            <w:vAlign w:val="center"/>
            <w:hideMark/>
          </w:tcPr>
          <w:p w14:paraId="53B6705E" w14:textId="77777777" w:rsidR="00000000" w:rsidRDefault="00405D16">
            <w:pPr>
              <w:spacing w:after="100"/>
              <w:rPr>
                <w:rFonts w:eastAsia="Times New Roman"/>
                <w:sz w:val="20"/>
                <w:szCs w:val="20"/>
              </w:rPr>
            </w:pPr>
          </w:p>
        </w:tc>
      </w:tr>
      <w:tr w:rsidR="00000000" w14:paraId="541086EB" w14:textId="77777777">
        <w:trPr>
          <w:divId w:val="978730332"/>
          <w:jc w:val="center"/>
        </w:trPr>
        <w:tc>
          <w:tcPr>
            <w:tcW w:w="0" w:type="auto"/>
            <w:gridSpan w:val="3"/>
            <w:vAlign w:val="center"/>
            <w:hideMark/>
          </w:tcPr>
          <w:p w14:paraId="6E4C7F9D" w14:textId="77777777" w:rsidR="00000000" w:rsidRDefault="00405D16">
            <w:pPr>
              <w:spacing w:after="100"/>
              <w:rPr>
                <w:rFonts w:eastAsia="Times New Roman"/>
                <w:sz w:val="20"/>
                <w:szCs w:val="20"/>
              </w:rPr>
            </w:pPr>
          </w:p>
        </w:tc>
        <w:tc>
          <w:tcPr>
            <w:tcW w:w="0" w:type="auto"/>
            <w:gridSpan w:val="3"/>
            <w:vAlign w:val="center"/>
            <w:hideMark/>
          </w:tcPr>
          <w:p w14:paraId="07C8A466" w14:textId="77777777" w:rsidR="00000000" w:rsidRDefault="00405D16">
            <w:pPr>
              <w:spacing w:after="100"/>
              <w:rPr>
                <w:rFonts w:eastAsia="Times New Roman"/>
                <w:sz w:val="20"/>
                <w:szCs w:val="20"/>
              </w:rPr>
            </w:pPr>
          </w:p>
        </w:tc>
        <w:tc>
          <w:tcPr>
            <w:tcW w:w="0" w:type="auto"/>
            <w:gridSpan w:val="3"/>
            <w:vAlign w:val="center"/>
            <w:hideMark/>
          </w:tcPr>
          <w:p w14:paraId="375781FF" w14:textId="77777777" w:rsidR="00000000" w:rsidRDefault="00405D16">
            <w:pPr>
              <w:spacing w:after="100"/>
              <w:rPr>
                <w:rFonts w:eastAsia="Times New Roman"/>
                <w:sz w:val="20"/>
                <w:szCs w:val="20"/>
              </w:rPr>
            </w:pPr>
          </w:p>
        </w:tc>
        <w:tc>
          <w:tcPr>
            <w:tcW w:w="0" w:type="auto"/>
            <w:gridSpan w:val="3"/>
            <w:vAlign w:val="center"/>
            <w:hideMark/>
          </w:tcPr>
          <w:p w14:paraId="3322DC2B" w14:textId="77777777" w:rsidR="00000000" w:rsidRDefault="00405D16">
            <w:pPr>
              <w:spacing w:after="100"/>
              <w:rPr>
                <w:rFonts w:eastAsia="Times New Roman"/>
                <w:sz w:val="20"/>
                <w:szCs w:val="20"/>
              </w:rPr>
            </w:pPr>
          </w:p>
        </w:tc>
        <w:tc>
          <w:tcPr>
            <w:tcW w:w="0" w:type="auto"/>
            <w:gridSpan w:val="3"/>
            <w:vAlign w:val="center"/>
            <w:hideMark/>
          </w:tcPr>
          <w:p w14:paraId="5B6530DD" w14:textId="77777777" w:rsidR="00000000" w:rsidRDefault="00405D16">
            <w:pPr>
              <w:spacing w:after="100"/>
              <w:rPr>
                <w:rFonts w:eastAsia="Times New Roman"/>
                <w:sz w:val="20"/>
                <w:szCs w:val="20"/>
              </w:rPr>
            </w:pPr>
          </w:p>
        </w:tc>
      </w:tr>
      <w:tr w:rsidR="00000000" w14:paraId="68F7B2DA" w14:textId="77777777">
        <w:trPr>
          <w:divId w:val="978730332"/>
          <w:jc w:val="center"/>
        </w:trPr>
        <w:tc>
          <w:tcPr>
            <w:tcW w:w="0" w:type="auto"/>
            <w:gridSpan w:val="3"/>
            <w:vAlign w:val="center"/>
            <w:hideMark/>
          </w:tcPr>
          <w:p w14:paraId="1914D026" w14:textId="77777777" w:rsidR="00000000" w:rsidRDefault="00405D16">
            <w:pPr>
              <w:spacing w:after="100"/>
              <w:rPr>
                <w:rFonts w:eastAsia="Times New Roman"/>
                <w:sz w:val="20"/>
                <w:szCs w:val="20"/>
              </w:rPr>
            </w:pPr>
          </w:p>
        </w:tc>
        <w:tc>
          <w:tcPr>
            <w:tcW w:w="0" w:type="auto"/>
            <w:gridSpan w:val="3"/>
            <w:vAlign w:val="center"/>
            <w:hideMark/>
          </w:tcPr>
          <w:p w14:paraId="4E81EF10" w14:textId="77777777" w:rsidR="00000000" w:rsidRDefault="00405D16">
            <w:pPr>
              <w:spacing w:after="100"/>
              <w:rPr>
                <w:rFonts w:eastAsia="Times New Roman"/>
                <w:sz w:val="20"/>
                <w:szCs w:val="20"/>
              </w:rPr>
            </w:pPr>
          </w:p>
        </w:tc>
        <w:tc>
          <w:tcPr>
            <w:tcW w:w="0" w:type="auto"/>
            <w:gridSpan w:val="3"/>
            <w:vAlign w:val="center"/>
            <w:hideMark/>
          </w:tcPr>
          <w:p w14:paraId="69BD078F" w14:textId="77777777" w:rsidR="00000000" w:rsidRDefault="00405D16">
            <w:pPr>
              <w:spacing w:after="100"/>
              <w:rPr>
                <w:rFonts w:eastAsia="Times New Roman"/>
                <w:sz w:val="20"/>
                <w:szCs w:val="20"/>
              </w:rPr>
            </w:pPr>
          </w:p>
        </w:tc>
        <w:tc>
          <w:tcPr>
            <w:tcW w:w="0" w:type="auto"/>
            <w:gridSpan w:val="3"/>
            <w:vAlign w:val="center"/>
            <w:hideMark/>
          </w:tcPr>
          <w:p w14:paraId="13D7F57C" w14:textId="77777777" w:rsidR="00000000" w:rsidRDefault="00405D16">
            <w:pPr>
              <w:spacing w:after="100"/>
              <w:rPr>
                <w:rFonts w:eastAsia="Times New Roman"/>
                <w:sz w:val="20"/>
                <w:szCs w:val="20"/>
              </w:rPr>
            </w:pPr>
          </w:p>
        </w:tc>
        <w:tc>
          <w:tcPr>
            <w:tcW w:w="0" w:type="auto"/>
            <w:gridSpan w:val="3"/>
            <w:vAlign w:val="center"/>
            <w:hideMark/>
          </w:tcPr>
          <w:p w14:paraId="5EF1452D" w14:textId="77777777" w:rsidR="00000000" w:rsidRDefault="00405D16">
            <w:pPr>
              <w:spacing w:after="100"/>
              <w:rPr>
                <w:rFonts w:eastAsia="Times New Roman"/>
                <w:sz w:val="20"/>
                <w:szCs w:val="20"/>
              </w:rPr>
            </w:pPr>
          </w:p>
        </w:tc>
      </w:tr>
      <w:tr w:rsidR="00000000" w14:paraId="38F3AB21" w14:textId="77777777">
        <w:trPr>
          <w:divId w:val="978730332"/>
          <w:jc w:val="center"/>
        </w:trPr>
        <w:tc>
          <w:tcPr>
            <w:tcW w:w="0" w:type="auto"/>
            <w:gridSpan w:val="3"/>
            <w:vAlign w:val="center"/>
            <w:hideMark/>
          </w:tcPr>
          <w:p w14:paraId="0195376E" w14:textId="77777777" w:rsidR="00000000" w:rsidRDefault="00405D16">
            <w:pPr>
              <w:spacing w:after="100"/>
              <w:rPr>
                <w:rFonts w:eastAsia="Times New Roman"/>
                <w:sz w:val="20"/>
                <w:szCs w:val="20"/>
              </w:rPr>
            </w:pPr>
          </w:p>
        </w:tc>
        <w:tc>
          <w:tcPr>
            <w:tcW w:w="0" w:type="auto"/>
            <w:gridSpan w:val="3"/>
            <w:vAlign w:val="center"/>
            <w:hideMark/>
          </w:tcPr>
          <w:p w14:paraId="547C2F75" w14:textId="77777777" w:rsidR="00000000" w:rsidRDefault="00405D16">
            <w:pPr>
              <w:spacing w:after="100"/>
              <w:rPr>
                <w:rFonts w:eastAsia="Times New Roman"/>
                <w:sz w:val="20"/>
                <w:szCs w:val="20"/>
              </w:rPr>
            </w:pPr>
          </w:p>
        </w:tc>
        <w:tc>
          <w:tcPr>
            <w:tcW w:w="0" w:type="auto"/>
            <w:gridSpan w:val="3"/>
            <w:vAlign w:val="center"/>
            <w:hideMark/>
          </w:tcPr>
          <w:p w14:paraId="3B3573B2" w14:textId="77777777" w:rsidR="00000000" w:rsidRDefault="00405D16">
            <w:pPr>
              <w:spacing w:after="100"/>
              <w:rPr>
                <w:rFonts w:eastAsia="Times New Roman"/>
                <w:sz w:val="20"/>
                <w:szCs w:val="20"/>
              </w:rPr>
            </w:pPr>
          </w:p>
        </w:tc>
        <w:tc>
          <w:tcPr>
            <w:tcW w:w="0" w:type="auto"/>
            <w:gridSpan w:val="3"/>
            <w:vAlign w:val="center"/>
            <w:hideMark/>
          </w:tcPr>
          <w:p w14:paraId="0CA450F4" w14:textId="77777777" w:rsidR="00000000" w:rsidRDefault="00405D16">
            <w:pPr>
              <w:spacing w:after="100"/>
              <w:rPr>
                <w:rFonts w:eastAsia="Times New Roman"/>
                <w:sz w:val="20"/>
                <w:szCs w:val="20"/>
              </w:rPr>
            </w:pPr>
          </w:p>
        </w:tc>
        <w:tc>
          <w:tcPr>
            <w:tcW w:w="0" w:type="auto"/>
            <w:gridSpan w:val="3"/>
            <w:vAlign w:val="center"/>
            <w:hideMark/>
          </w:tcPr>
          <w:p w14:paraId="16C25997" w14:textId="77777777" w:rsidR="00000000" w:rsidRDefault="00405D16">
            <w:pPr>
              <w:spacing w:after="100"/>
              <w:rPr>
                <w:rFonts w:eastAsia="Times New Roman"/>
                <w:sz w:val="20"/>
                <w:szCs w:val="20"/>
              </w:rPr>
            </w:pPr>
          </w:p>
        </w:tc>
      </w:tr>
      <w:tr w:rsidR="00000000" w14:paraId="779AF574" w14:textId="77777777">
        <w:trPr>
          <w:divId w:val="978730332"/>
          <w:jc w:val="center"/>
        </w:trPr>
        <w:tc>
          <w:tcPr>
            <w:tcW w:w="0" w:type="auto"/>
            <w:gridSpan w:val="3"/>
            <w:vAlign w:val="center"/>
            <w:hideMark/>
          </w:tcPr>
          <w:p w14:paraId="76F8F072" w14:textId="77777777" w:rsidR="00000000" w:rsidRDefault="00405D16">
            <w:pPr>
              <w:spacing w:after="100"/>
              <w:rPr>
                <w:rFonts w:eastAsia="Times New Roman"/>
                <w:sz w:val="20"/>
                <w:szCs w:val="20"/>
              </w:rPr>
            </w:pPr>
          </w:p>
        </w:tc>
        <w:tc>
          <w:tcPr>
            <w:tcW w:w="0" w:type="auto"/>
            <w:gridSpan w:val="3"/>
            <w:vAlign w:val="center"/>
            <w:hideMark/>
          </w:tcPr>
          <w:p w14:paraId="472D2EFD" w14:textId="77777777" w:rsidR="00000000" w:rsidRDefault="00405D16">
            <w:pPr>
              <w:spacing w:after="100"/>
              <w:rPr>
                <w:rFonts w:eastAsia="Times New Roman"/>
                <w:sz w:val="20"/>
                <w:szCs w:val="20"/>
              </w:rPr>
            </w:pPr>
          </w:p>
        </w:tc>
        <w:tc>
          <w:tcPr>
            <w:tcW w:w="0" w:type="auto"/>
            <w:gridSpan w:val="3"/>
            <w:vAlign w:val="center"/>
            <w:hideMark/>
          </w:tcPr>
          <w:p w14:paraId="2B707734" w14:textId="77777777" w:rsidR="00000000" w:rsidRDefault="00405D16">
            <w:pPr>
              <w:spacing w:after="100"/>
              <w:rPr>
                <w:rFonts w:eastAsia="Times New Roman"/>
                <w:sz w:val="20"/>
                <w:szCs w:val="20"/>
              </w:rPr>
            </w:pPr>
          </w:p>
        </w:tc>
        <w:tc>
          <w:tcPr>
            <w:tcW w:w="0" w:type="auto"/>
            <w:gridSpan w:val="3"/>
            <w:vAlign w:val="center"/>
            <w:hideMark/>
          </w:tcPr>
          <w:p w14:paraId="1499D0D2" w14:textId="77777777" w:rsidR="00000000" w:rsidRDefault="00405D16">
            <w:pPr>
              <w:spacing w:after="100"/>
              <w:rPr>
                <w:rFonts w:eastAsia="Times New Roman"/>
                <w:sz w:val="20"/>
                <w:szCs w:val="20"/>
              </w:rPr>
            </w:pPr>
          </w:p>
        </w:tc>
        <w:tc>
          <w:tcPr>
            <w:tcW w:w="0" w:type="auto"/>
            <w:gridSpan w:val="3"/>
            <w:vAlign w:val="center"/>
            <w:hideMark/>
          </w:tcPr>
          <w:p w14:paraId="6BECD457" w14:textId="77777777" w:rsidR="00000000" w:rsidRDefault="00405D16">
            <w:pPr>
              <w:spacing w:after="100"/>
              <w:rPr>
                <w:rFonts w:eastAsia="Times New Roman"/>
                <w:sz w:val="20"/>
                <w:szCs w:val="20"/>
              </w:rPr>
            </w:pPr>
          </w:p>
        </w:tc>
      </w:tr>
      <w:tr w:rsidR="00000000" w14:paraId="4BCFFC71" w14:textId="77777777">
        <w:trPr>
          <w:divId w:val="978730332"/>
          <w:jc w:val="center"/>
        </w:trPr>
        <w:tc>
          <w:tcPr>
            <w:tcW w:w="0" w:type="auto"/>
            <w:gridSpan w:val="3"/>
            <w:vAlign w:val="center"/>
            <w:hideMark/>
          </w:tcPr>
          <w:p w14:paraId="0EC75A0E" w14:textId="77777777" w:rsidR="00000000" w:rsidRDefault="00405D16">
            <w:pPr>
              <w:spacing w:after="100"/>
              <w:rPr>
                <w:rFonts w:eastAsia="Times New Roman"/>
                <w:sz w:val="20"/>
                <w:szCs w:val="20"/>
              </w:rPr>
            </w:pPr>
          </w:p>
        </w:tc>
        <w:tc>
          <w:tcPr>
            <w:tcW w:w="0" w:type="auto"/>
            <w:gridSpan w:val="3"/>
            <w:vAlign w:val="center"/>
            <w:hideMark/>
          </w:tcPr>
          <w:p w14:paraId="10D688C1" w14:textId="77777777" w:rsidR="00000000" w:rsidRDefault="00405D16">
            <w:pPr>
              <w:spacing w:after="100"/>
              <w:rPr>
                <w:rFonts w:eastAsia="Times New Roman"/>
                <w:sz w:val="20"/>
                <w:szCs w:val="20"/>
              </w:rPr>
            </w:pPr>
          </w:p>
        </w:tc>
        <w:tc>
          <w:tcPr>
            <w:tcW w:w="0" w:type="auto"/>
            <w:gridSpan w:val="3"/>
            <w:vAlign w:val="center"/>
            <w:hideMark/>
          </w:tcPr>
          <w:p w14:paraId="11491A66" w14:textId="77777777" w:rsidR="00000000" w:rsidRDefault="00405D16">
            <w:pPr>
              <w:spacing w:after="100"/>
              <w:rPr>
                <w:rFonts w:eastAsia="Times New Roman"/>
                <w:sz w:val="20"/>
                <w:szCs w:val="20"/>
              </w:rPr>
            </w:pPr>
          </w:p>
        </w:tc>
        <w:tc>
          <w:tcPr>
            <w:tcW w:w="0" w:type="auto"/>
            <w:gridSpan w:val="3"/>
            <w:vAlign w:val="center"/>
            <w:hideMark/>
          </w:tcPr>
          <w:p w14:paraId="3C867D11" w14:textId="77777777" w:rsidR="00000000" w:rsidRDefault="00405D16">
            <w:pPr>
              <w:spacing w:after="100"/>
              <w:rPr>
                <w:rFonts w:eastAsia="Times New Roman"/>
                <w:sz w:val="20"/>
                <w:szCs w:val="20"/>
              </w:rPr>
            </w:pPr>
          </w:p>
        </w:tc>
        <w:tc>
          <w:tcPr>
            <w:tcW w:w="0" w:type="auto"/>
            <w:gridSpan w:val="3"/>
            <w:vAlign w:val="center"/>
            <w:hideMark/>
          </w:tcPr>
          <w:p w14:paraId="0E78CFFE" w14:textId="77777777" w:rsidR="00000000" w:rsidRDefault="00405D16">
            <w:pPr>
              <w:spacing w:after="100"/>
              <w:rPr>
                <w:rFonts w:eastAsia="Times New Roman"/>
                <w:sz w:val="20"/>
                <w:szCs w:val="20"/>
              </w:rPr>
            </w:pPr>
          </w:p>
        </w:tc>
      </w:tr>
      <w:tr w:rsidR="00000000" w14:paraId="47872CBC" w14:textId="77777777">
        <w:trPr>
          <w:divId w:val="978730332"/>
          <w:jc w:val="center"/>
        </w:trPr>
        <w:tc>
          <w:tcPr>
            <w:tcW w:w="0" w:type="auto"/>
            <w:gridSpan w:val="3"/>
            <w:vAlign w:val="center"/>
            <w:hideMark/>
          </w:tcPr>
          <w:p w14:paraId="05146B99" w14:textId="77777777" w:rsidR="00000000" w:rsidRDefault="00405D16">
            <w:pPr>
              <w:spacing w:after="100"/>
              <w:rPr>
                <w:rFonts w:eastAsia="Times New Roman"/>
                <w:sz w:val="20"/>
                <w:szCs w:val="20"/>
              </w:rPr>
            </w:pPr>
          </w:p>
        </w:tc>
        <w:tc>
          <w:tcPr>
            <w:tcW w:w="0" w:type="auto"/>
            <w:gridSpan w:val="3"/>
            <w:vAlign w:val="center"/>
            <w:hideMark/>
          </w:tcPr>
          <w:p w14:paraId="7B707950" w14:textId="77777777" w:rsidR="00000000" w:rsidRDefault="00405D16">
            <w:pPr>
              <w:spacing w:after="100"/>
              <w:rPr>
                <w:rFonts w:eastAsia="Times New Roman"/>
                <w:sz w:val="20"/>
                <w:szCs w:val="20"/>
              </w:rPr>
            </w:pPr>
          </w:p>
        </w:tc>
        <w:tc>
          <w:tcPr>
            <w:tcW w:w="0" w:type="auto"/>
            <w:gridSpan w:val="3"/>
            <w:vAlign w:val="center"/>
            <w:hideMark/>
          </w:tcPr>
          <w:p w14:paraId="24EADCC3" w14:textId="77777777" w:rsidR="00000000" w:rsidRDefault="00405D16">
            <w:pPr>
              <w:spacing w:after="100"/>
              <w:rPr>
                <w:rFonts w:eastAsia="Times New Roman"/>
                <w:sz w:val="20"/>
                <w:szCs w:val="20"/>
              </w:rPr>
            </w:pPr>
          </w:p>
        </w:tc>
        <w:tc>
          <w:tcPr>
            <w:tcW w:w="0" w:type="auto"/>
            <w:gridSpan w:val="3"/>
            <w:vAlign w:val="center"/>
            <w:hideMark/>
          </w:tcPr>
          <w:p w14:paraId="6123F17D" w14:textId="77777777" w:rsidR="00000000" w:rsidRDefault="00405D16">
            <w:pPr>
              <w:spacing w:after="100"/>
              <w:rPr>
                <w:rFonts w:eastAsia="Times New Roman"/>
                <w:sz w:val="20"/>
                <w:szCs w:val="20"/>
              </w:rPr>
            </w:pPr>
          </w:p>
        </w:tc>
        <w:tc>
          <w:tcPr>
            <w:tcW w:w="0" w:type="auto"/>
            <w:gridSpan w:val="3"/>
            <w:vAlign w:val="center"/>
            <w:hideMark/>
          </w:tcPr>
          <w:p w14:paraId="3AF441A5" w14:textId="77777777" w:rsidR="00000000" w:rsidRDefault="00405D16">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304F5E8A" w14:textId="77777777">
        <w:trPr>
          <w:jc w:val="center"/>
        </w:trPr>
        <w:tc>
          <w:tcPr>
            <w:tcW w:w="50" w:type="pct"/>
            <w:vAlign w:val="center"/>
            <w:hideMark/>
          </w:tcPr>
          <w:p w14:paraId="27CC0150" w14:textId="77777777" w:rsidR="00000000" w:rsidRDefault="00405D16">
            <w:pPr>
              <w:jc w:val="center"/>
              <w:rPr>
                <w:rFonts w:eastAsia="Times New Roman"/>
              </w:rPr>
            </w:pPr>
          </w:p>
        </w:tc>
        <w:tc>
          <w:tcPr>
            <w:tcW w:w="1606" w:type="pct"/>
            <w:vAlign w:val="center"/>
            <w:hideMark/>
          </w:tcPr>
          <w:p w14:paraId="585B2BCF" w14:textId="77777777" w:rsidR="00000000" w:rsidRDefault="00405D16">
            <w:pPr>
              <w:spacing w:after="100"/>
              <w:rPr>
                <w:rFonts w:eastAsia="Times New Roman"/>
                <w:sz w:val="20"/>
                <w:szCs w:val="20"/>
              </w:rPr>
            </w:pPr>
          </w:p>
        </w:tc>
        <w:tc>
          <w:tcPr>
            <w:tcW w:w="5" w:type="pct"/>
            <w:vAlign w:val="center"/>
            <w:hideMark/>
          </w:tcPr>
          <w:p w14:paraId="3CAC848F" w14:textId="77777777" w:rsidR="00000000" w:rsidRDefault="00405D16">
            <w:pPr>
              <w:spacing w:after="100"/>
              <w:rPr>
                <w:rFonts w:eastAsia="Times New Roman"/>
                <w:sz w:val="20"/>
                <w:szCs w:val="20"/>
              </w:rPr>
            </w:pPr>
          </w:p>
        </w:tc>
        <w:tc>
          <w:tcPr>
            <w:tcW w:w="50" w:type="pct"/>
            <w:vAlign w:val="center"/>
            <w:hideMark/>
          </w:tcPr>
          <w:p w14:paraId="41662C0E" w14:textId="77777777" w:rsidR="00000000" w:rsidRDefault="00405D16">
            <w:pPr>
              <w:spacing w:after="100"/>
              <w:rPr>
                <w:rFonts w:eastAsia="Times New Roman"/>
                <w:sz w:val="20"/>
                <w:szCs w:val="20"/>
              </w:rPr>
            </w:pPr>
          </w:p>
        </w:tc>
        <w:tc>
          <w:tcPr>
            <w:tcW w:w="1614" w:type="pct"/>
            <w:vAlign w:val="center"/>
            <w:hideMark/>
          </w:tcPr>
          <w:p w14:paraId="07B4E138" w14:textId="77777777" w:rsidR="00000000" w:rsidRDefault="00405D16">
            <w:pPr>
              <w:spacing w:after="100"/>
              <w:rPr>
                <w:rFonts w:eastAsia="Times New Roman"/>
                <w:sz w:val="20"/>
                <w:szCs w:val="20"/>
              </w:rPr>
            </w:pPr>
          </w:p>
        </w:tc>
        <w:tc>
          <w:tcPr>
            <w:tcW w:w="5" w:type="pct"/>
            <w:vAlign w:val="center"/>
            <w:hideMark/>
          </w:tcPr>
          <w:p w14:paraId="4130C370" w14:textId="77777777" w:rsidR="00000000" w:rsidRDefault="00405D16">
            <w:pPr>
              <w:spacing w:after="100"/>
              <w:rPr>
                <w:rFonts w:eastAsia="Times New Roman"/>
                <w:sz w:val="20"/>
                <w:szCs w:val="20"/>
              </w:rPr>
            </w:pPr>
          </w:p>
        </w:tc>
        <w:tc>
          <w:tcPr>
            <w:tcW w:w="50" w:type="pct"/>
            <w:vAlign w:val="center"/>
            <w:hideMark/>
          </w:tcPr>
          <w:p w14:paraId="06C66BF8" w14:textId="77777777" w:rsidR="00000000" w:rsidRDefault="00405D16">
            <w:pPr>
              <w:spacing w:after="100"/>
              <w:rPr>
                <w:rFonts w:eastAsia="Times New Roman"/>
                <w:sz w:val="20"/>
                <w:szCs w:val="20"/>
              </w:rPr>
            </w:pPr>
          </w:p>
        </w:tc>
        <w:tc>
          <w:tcPr>
            <w:tcW w:w="1614" w:type="pct"/>
            <w:vAlign w:val="center"/>
            <w:hideMark/>
          </w:tcPr>
          <w:p w14:paraId="0528B920" w14:textId="77777777" w:rsidR="00000000" w:rsidRDefault="00405D16">
            <w:pPr>
              <w:spacing w:after="100"/>
              <w:rPr>
                <w:rFonts w:eastAsia="Times New Roman"/>
                <w:sz w:val="20"/>
                <w:szCs w:val="20"/>
              </w:rPr>
            </w:pPr>
          </w:p>
        </w:tc>
        <w:tc>
          <w:tcPr>
            <w:tcW w:w="5" w:type="pct"/>
            <w:vAlign w:val="center"/>
            <w:hideMark/>
          </w:tcPr>
          <w:p w14:paraId="0652C4AA" w14:textId="77777777" w:rsidR="00000000" w:rsidRDefault="00405D16">
            <w:pPr>
              <w:spacing w:after="100"/>
              <w:rPr>
                <w:rFonts w:eastAsia="Times New Roman"/>
                <w:sz w:val="20"/>
                <w:szCs w:val="20"/>
              </w:rPr>
            </w:pPr>
          </w:p>
        </w:tc>
      </w:tr>
      <w:tr w:rsidR="00000000" w14:paraId="14CE4CEC" w14:textId="77777777">
        <w:trPr>
          <w:trHeight w:val="300"/>
          <w:jc w:val="center"/>
        </w:trPr>
        <w:tc>
          <w:tcPr>
            <w:tcW w:w="0" w:type="auto"/>
            <w:gridSpan w:val="9"/>
            <w:tcMar>
              <w:top w:w="0" w:type="dxa"/>
              <w:left w:w="20" w:type="dxa"/>
              <w:bottom w:w="0" w:type="dxa"/>
              <w:right w:w="20" w:type="dxa"/>
            </w:tcMar>
            <w:vAlign w:val="center"/>
            <w:hideMark/>
          </w:tcPr>
          <w:p w14:paraId="6FEA911F" w14:textId="77777777" w:rsidR="00000000" w:rsidRDefault="00405D16">
            <w:pPr>
              <w:spacing w:after="100"/>
              <w:rPr>
                <w:rFonts w:eastAsia="Times New Roman"/>
                <w:sz w:val="20"/>
                <w:szCs w:val="20"/>
              </w:rPr>
            </w:pPr>
          </w:p>
        </w:tc>
      </w:tr>
      <w:tr w:rsidR="00000000" w14:paraId="6B2191D2" w14:textId="77777777">
        <w:trPr>
          <w:jc w:val="center"/>
        </w:trPr>
        <w:tc>
          <w:tcPr>
            <w:tcW w:w="0" w:type="auto"/>
            <w:gridSpan w:val="3"/>
            <w:tcMar>
              <w:top w:w="0" w:type="dxa"/>
              <w:left w:w="20" w:type="dxa"/>
              <w:bottom w:w="0" w:type="dxa"/>
              <w:right w:w="20" w:type="dxa"/>
            </w:tcMar>
            <w:vAlign w:val="center"/>
            <w:hideMark/>
          </w:tcPr>
          <w:p w14:paraId="4969BA8C" w14:textId="77777777" w:rsidR="00000000" w:rsidRDefault="00405D1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8266B44" w14:textId="77777777" w:rsidR="00000000" w:rsidRDefault="00405D16">
            <w:pPr>
              <w:spacing w:after="100"/>
              <w:jc w:val="center"/>
              <w:rPr>
                <w:rFonts w:eastAsia="Times New Roman"/>
              </w:rPr>
            </w:pPr>
            <w:r>
              <w:rPr>
                <w:rFonts w:eastAsia="Times New Roman"/>
                <w:color w:val="000000"/>
                <w:sz w:val="16"/>
                <w:szCs w:val="16"/>
              </w:rPr>
              <w:t>135</w:t>
            </w:r>
          </w:p>
        </w:tc>
        <w:tc>
          <w:tcPr>
            <w:tcW w:w="0" w:type="auto"/>
            <w:gridSpan w:val="3"/>
            <w:tcMar>
              <w:top w:w="30" w:type="dxa"/>
              <w:left w:w="20" w:type="dxa"/>
              <w:bottom w:w="30" w:type="dxa"/>
              <w:right w:w="20" w:type="dxa"/>
            </w:tcMar>
            <w:vAlign w:val="bottom"/>
            <w:hideMark/>
          </w:tcPr>
          <w:p w14:paraId="74EE0ACF" w14:textId="77777777" w:rsidR="00000000" w:rsidRDefault="00405D16">
            <w:pPr>
              <w:spacing w:after="100"/>
              <w:jc w:val="right"/>
              <w:rPr>
                <w:rFonts w:eastAsia="Times New Roman"/>
              </w:rPr>
            </w:pPr>
            <w:r>
              <w:rPr>
                <w:rFonts w:eastAsia="Times New Roman"/>
                <w:color w:val="000000"/>
                <w:sz w:val="16"/>
                <w:szCs w:val="16"/>
              </w:rPr>
              <w:t>Capital One Financial Corporation (COF)</w:t>
            </w:r>
          </w:p>
        </w:tc>
      </w:tr>
    </w:tbl>
    <w:p w14:paraId="01E4116A" w14:textId="77777777" w:rsidR="00405D16" w:rsidRDefault="00405D16">
      <w:pPr>
        <w:rPr>
          <w:rFonts w:eastAsia="Times New Roman"/>
        </w:rPr>
      </w:pPr>
    </w:p>
    <w:sectPr w:rsidR="00405D16">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05D16"/>
    <w:rsid w:val="00405D16"/>
  </w:rsids>
  <m:mathPr>
    <m:mathFont m:val="Cambria Math"/>
    <m:brkBin m:val="before"/>
    <m:brkBinSub m:val="--"/>
    <m:smallFrac m:val="0"/>
    <m:dispDef/>
    <m:lMargin m:val="0"/>
    <m:rMargin m:val="0"/>
    <m:defJc m:val="centerGroup"/>
    <m:wrapIndent m:val="1440"/>
    <m:intLim m:val="subSup"/>
    <m:naryLim m:val="undOvr"/>
  </m:mathPr>
  <w:attachedSchema w:val="http://www.xbrl.org/2013/inlineXBRL"/>
  <w:attachedSchema w:val="http://www.xbrl.org/2003/iso4217"/>
  <w:attachedSchema w:val="http://fasb.org/us-gaap/2021-01-31"/>
  <w:attachedSchema w:val="http://fasb.org/srt/2021-01-31"/>
  <w:attachedSchema w:val="http://xbrl.sec.gov/currency/2021"/>
  <w:attachedSchema w:val="http://www.xbrl.org/2003/instance"/>
  <w:attachedSchema w:val="http://www.capitalone.com/20210930"/>
  <w:attachedSchema w:val="http://www.w3.org/1999/xlink"/>
  <w:attachedSchema w:val="http://xbrl.org/2006/xbrldi"/>
  <w:attachedSchema w:val="http://xbrl.sec.gov/dei/2021"/>
  <w:attachedSchema w:val="http://www.sec.gov/inlineXBRL/transformation/2015-08-31"/>
  <w:attachedSchema w:val="http://xbrl.sec.gov/stpr/2021"/>
  <w:attachedSchema w:val="http://xbrl.sec.gov/country/2021"/>
  <w:attachedSchema w:val="http://www.xbrl.org/2003/linkbase"/>
  <w:attachedSchema w:val="http://www.xbrl.org/inlineXBRL/transformation/2020-02-12"/>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F3D955"/>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279">
      <w:marLeft w:val="0"/>
      <w:marRight w:val="0"/>
      <w:marTop w:val="0"/>
      <w:marBottom w:val="0"/>
      <w:divBdr>
        <w:top w:val="none" w:sz="0" w:space="0" w:color="auto"/>
        <w:left w:val="none" w:sz="0" w:space="0" w:color="auto"/>
        <w:bottom w:val="none" w:sz="0" w:space="0" w:color="auto"/>
        <w:right w:val="none" w:sz="0" w:space="0" w:color="auto"/>
      </w:divBdr>
    </w:div>
    <w:div w:id="1864571">
      <w:marLeft w:val="0"/>
      <w:marRight w:val="0"/>
      <w:marTop w:val="180"/>
      <w:marBottom w:val="180"/>
      <w:divBdr>
        <w:top w:val="none" w:sz="0" w:space="0" w:color="auto"/>
        <w:left w:val="none" w:sz="0" w:space="0" w:color="auto"/>
        <w:bottom w:val="none" w:sz="0" w:space="0" w:color="auto"/>
        <w:right w:val="none" w:sz="0" w:space="0" w:color="auto"/>
      </w:divBdr>
    </w:div>
    <w:div w:id="1980980">
      <w:marLeft w:val="0"/>
      <w:marRight w:val="0"/>
      <w:marTop w:val="180"/>
      <w:marBottom w:val="180"/>
      <w:divBdr>
        <w:top w:val="none" w:sz="0" w:space="0" w:color="auto"/>
        <w:left w:val="none" w:sz="0" w:space="0" w:color="auto"/>
        <w:bottom w:val="none" w:sz="0" w:space="0" w:color="auto"/>
        <w:right w:val="none" w:sz="0" w:space="0" w:color="auto"/>
      </w:divBdr>
    </w:div>
    <w:div w:id="2323753">
      <w:marLeft w:val="0"/>
      <w:marRight w:val="0"/>
      <w:marTop w:val="100"/>
      <w:marBottom w:val="0"/>
      <w:divBdr>
        <w:top w:val="none" w:sz="0" w:space="0" w:color="auto"/>
        <w:left w:val="none" w:sz="0" w:space="0" w:color="auto"/>
        <w:bottom w:val="none" w:sz="0" w:space="0" w:color="auto"/>
        <w:right w:val="none" w:sz="0" w:space="0" w:color="auto"/>
      </w:divBdr>
      <w:divsChild>
        <w:div w:id="595214254">
          <w:marLeft w:val="0"/>
          <w:marRight w:val="0"/>
          <w:marTop w:val="0"/>
          <w:marBottom w:val="0"/>
          <w:divBdr>
            <w:top w:val="none" w:sz="0" w:space="0" w:color="auto"/>
            <w:left w:val="none" w:sz="0" w:space="0" w:color="auto"/>
            <w:bottom w:val="none" w:sz="0" w:space="0" w:color="auto"/>
            <w:right w:val="none" w:sz="0" w:space="0" w:color="auto"/>
          </w:divBdr>
        </w:div>
        <w:div w:id="256402808">
          <w:marLeft w:val="0"/>
          <w:marRight w:val="0"/>
          <w:marTop w:val="0"/>
          <w:marBottom w:val="0"/>
          <w:divBdr>
            <w:top w:val="none" w:sz="0" w:space="0" w:color="auto"/>
            <w:left w:val="none" w:sz="0" w:space="0" w:color="auto"/>
            <w:bottom w:val="none" w:sz="0" w:space="0" w:color="auto"/>
            <w:right w:val="none" w:sz="0" w:space="0" w:color="auto"/>
          </w:divBdr>
        </w:div>
        <w:div w:id="1102729512">
          <w:marLeft w:val="0"/>
          <w:marRight w:val="0"/>
          <w:marTop w:val="0"/>
          <w:marBottom w:val="0"/>
          <w:divBdr>
            <w:top w:val="none" w:sz="0" w:space="0" w:color="auto"/>
            <w:left w:val="none" w:sz="0" w:space="0" w:color="auto"/>
            <w:bottom w:val="none" w:sz="0" w:space="0" w:color="auto"/>
            <w:right w:val="none" w:sz="0" w:space="0" w:color="auto"/>
          </w:divBdr>
        </w:div>
        <w:div w:id="372465201">
          <w:marLeft w:val="0"/>
          <w:marRight w:val="0"/>
          <w:marTop w:val="0"/>
          <w:marBottom w:val="0"/>
          <w:divBdr>
            <w:top w:val="none" w:sz="0" w:space="0" w:color="auto"/>
            <w:left w:val="none" w:sz="0" w:space="0" w:color="auto"/>
            <w:bottom w:val="none" w:sz="0" w:space="0" w:color="auto"/>
            <w:right w:val="none" w:sz="0" w:space="0" w:color="auto"/>
          </w:divBdr>
        </w:div>
        <w:div w:id="330910202">
          <w:marLeft w:val="0"/>
          <w:marRight w:val="0"/>
          <w:marTop w:val="0"/>
          <w:marBottom w:val="0"/>
          <w:divBdr>
            <w:top w:val="none" w:sz="0" w:space="0" w:color="auto"/>
            <w:left w:val="none" w:sz="0" w:space="0" w:color="auto"/>
            <w:bottom w:val="none" w:sz="0" w:space="0" w:color="auto"/>
            <w:right w:val="none" w:sz="0" w:space="0" w:color="auto"/>
          </w:divBdr>
        </w:div>
      </w:divsChild>
    </w:div>
    <w:div w:id="3169122">
      <w:marLeft w:val="0"/>
      <w:marRight w:val="0"/>
      <w:marTop w:val="0"/>
      <w:marBottom w:val="0"/>
      <w:divBdr>
        <w:top w:val="none" w:sz="0" w:space="0" w:color="auto"/>
        <w:left w:val="none" w:sz="0" w:space="0" w:color="auto"/>
        <w:bottom w:val="none" w:sz="0" w:space="0" w:color="auto"/>
        <w:right w:val="none" w:sz="0" w:space="0" w:color="auto"/>
      </w:divBdr>
    </w:div>
    <w:div w:id="3746657">
      <w:marLeft w:val="0"/>
      <w:marRight w:val="0"/>
      <w:marTop w:val="180"/>
      <w:marBottom w:val="180"/>
      <w:divBdr>
        <w:top w:val="none" w:sz="0" w:space="0" w:color="auto"/>
        <w:left w:val="none" w:sz="0" w:space="0" w:color="auto"/>
        <w:bottom w:val="none" w:sz="0" w:space="0" w:color="auto"/>
        <w:right w:val="none" w:sz="0" w:space="0" w:color="auto"/>
      </w:divBdr>
    </w:div>
    <w:div w:id="9841312">
      <w:marLeft w:val="0"/>
      <w:marRight w:val="0"/>
      <w:marTop w:val="100"/>
      <w:marBottom w:val="0"/>
      <w:divBdr>
        <w:top w:val="none" w:sz="0" w:space="0" w:color="auto"/>
        <w:left w:val="none" w:sz="0" w:space="0" w:color="auto"/>
        <w:bottom w:val="none" w:sz="0" w:space="0" w:color="auto"/>
        <w:right w:val="none" w:sz="0" w:space="0" w:color="auto"/>
      </w:divBdr>
      <w:divsChild>
        <w:div w:id="1847597063">
          <w:marLeft w:val="0"/>
          <w:marRight w:val="0"/>
          <w:marTop w:val="0"/>
          <w:marBottom w:val="0"/>
          <w:divBdr>
            <w:top w:val="none" w:sz="0" w:space="0" w:color="auto"/>
            <w:left w:val="none" w:sz="0" w:space="0" w:color="auto"/>
            <w:bottom w:val="none" w:sz="0" w:space="0" w:color="auto"/>
            <w:right w:val="none" w:sz="0" w:space="0" w:color="auto"/>
          </w:divBdr>
        </w:div>
        <w:div w:id="1240748010">
          <w:marLeft w:val="0"/>
          <w:marRight w:val="0"/>
          <w:marTop w:val="0"/>
          <w:marBottom w:val="0"/>
          <w:divBdr>
            <w:top w:val="none" w:sz="0" w:space="0" w:color="auto"/>
            <w:left w:val="none" w:sz="0" w:space="0" w:color="auto"/>
            <w:bottom w:val="none" w:sz="0" w:space="0" w:color="auto"/>
            <w:right w:val="none" w:sz="0" w:space="0" w:color="auto"/>
          </w:divBdr>
        </w:div>
        <w:div w:id="1415977827">
          <w:marLeft w:val="0"/>
          <w:marRight w:val="0"/>
          <w:marTop w:val="0"/>
          <w:marBottom w:val="0"/>
          <w:divBdr>
            <w:top w:val="none" w:sz="0" w:space="0" w:color="auto"/>
            <w:left w:val="none" w:sz="0" w:space="0" w:color="auto"/>
            <w:bottom w:val="none" w:sz="0" w:space="0" w:color="auto"/>
            <w:right w:val="none" w:sz="0" w:space="0" w:color="auto"/>
          </w:divBdr>
        </w:div>
        <w:div w:id="943268619">
          <w:marLeft w:val="0"/>
          <w:marRight w:val="0"/>
          <w:marTop w:val="0"/>
          <w:marBottom w:val="0"/>
          <w:divBdr>
            <w:top w:val="none" w:sz="0" w:space="0" w:color="auto"/>
            <w:left w:val="none" w:sz="0" w:space="0" w:color="auto"/>
            <w:bottom w:val="none" w:sz="0" w:space="0" w:color="auto"/>
            <w:right w:val="none" w:sz="0" w:space="0" w:color="auto"/>
          </w:divBdr>
        </w:div>
        <w:div w:id="1561012682">
          <w:marLeft w:val="0"/>
          <w:marRight w:val="0"/>
          <w:marTop w:val="0"/>
          <w:marBottom w:val="0"/>
          <w:divBdr>
            <w:top w:val="none" w:sz="0" w:space="0" w:color="auto"/>
            <w:left w:val="none" w:sz="0" w:space="0" w:color="auto"/>
            <w:bottom w:val="none" w:sz="0" w:space="0" w:color="auto"/>
            <w:right w:val="none" w:sz="0" w:space="0" w:color="auto"/>
          </w:divBdr>
        </w:div>
        <w:div w:id="997806667">
          <w:marLeft w:val="0"/>
          <w:marRight w:val="0"/>
          <w:marTop w:val="0"/>
          <w:marBottom w:val="0"/>
          <w:divBdr>
            <w:top w:val="none" w:sz="0" w:space="0" w:color="auto"/>
            <w:left w:val="none" w:sz="0" w:space="0" w:color="auto"/>
            <w:bottom w:val="none" w:sz="0" w:space="0" w:color="auto"/>
            <w:right w:val="none" w:sz="0" w:space="0" w:color="auto"/>
          </w:divBdr>
        </w:div>
        <w:div w:id="368457880">
          <w:marLeft w:val="0"/>
          <w:marRight w:val="0"/>
          <w:marTop w:val="0"/>
          <w:marBottom w:val="0"/>
          <w:divBdr>
            <w:top w:val="none" w:sz="0" w:space="0" w:color="auto"/>
            <w:left w:val="none" w:sz="0" w:space="0" w:color="auto"/>
            <w:bottom w:val="none" w:sz="0" w:space="0" w:color="auto"/>
            <w:right w:val="none" w:sz="0" w:space="0" w:color="auto"/>
          </w:divBdr>
        </w:div>
        <w:div w:id="1076321195">
          <w:marLeft w:val="0"/>
          <w:marRight w:val="0"/>
          <w:marTop w:val="0"/>
          <w:marBottom w:val="0"/>
          <w:divBdr>
            <w:top w:val="none" w:sz="0" w:space="0" w:color="auto"/>
            <w:left w:val="none" w:sz="0" w:space="0" w:color="auto"/>
            <w:bottom w:val="none" w:sz="0" w:space="0" w:color="auto"/>
            <w:right w:val="none" w:sz="0" w:space="0" w:color="auto"/>
          </w:divBdr>
        </w:div>
        <w:div w:id="1530139456">
          <w:marLeft w:val="0"/>
          <w:marRight w:val="0"/>
          <w:marTop w:val="0"/>
          <w:marBottom w:val="0"/>
          <w:divBdr>
            <w:top w:val="none" w:sz="0" w:space="0" w:color="auto"/>
            <w:left w:val="none" w:sz="0" w:space="0" w:color="auto"/>
            <w:bottom w:val="none" w:sz="0" w:space="0" w:color="auto"/>
            <w:right w:val="none" w:sz="0" w:space="0" w:color="auto"/>
          </w:divBdr>
        </w:div>
        <w:div w:id="205487639">
          <w:marLeft w:val="0"/>
          <w:marRight w:val="0"/>
          <w:marTop w:val="0"/>
          <w:marBottom w:val="0"/>
          <w:divBdr>
            <w:top w:val="none" w:sz="0" w:space="0" w:color="auto"/>
            <w:left w:val="none" w:sz="0" w:space="0" w:color="auto"/>
            <w:bottom w:val="none" w:sz="0" w:space="0" w:color="auto"/>
            <w:right w:val="none" w:sz="0" w:space="0" w:color="auto"/>
          </w:divBdr>
        </w:div>
        <w:div w:id="1651902469">
          <w:marLeft w:val="0"/>
          <w:marRight w:val="0"/>
          <w:marTop w:val="0"/>
          <w:marBottom w:val="0"/>
          <w:divBdr>
            <w:top w:val="none" w:sz="0" w:space="0" w:color="auto"/>
            <w:left w:val="none" w:sz="0" w:space="0" w:color="auto"/>
            <w:bottom w:val="none" w:sz="0" w:space="0" w:color="auto"/>
            <w:right w:val="none" w:sz="0" w:space="0" w:color="auto"/>
          </w:divBdr>
        </w:div>
        <w:div w:id="641083176">
          <w:marLeft w:val="0"/>
          <w:marRight w:val="0"/>
          <w:marTop w:val="0"/>
          <w:marBottom w:val="0"/>
          <w:divBdr>
            <w:top w:val="none" w:sz="0" w:space="0" w:color="auto"/>
            <w:left w:val="none" w:sz="0" w:space="0" w:color="auto"/>
            <w:bottom w:val="none" w:sz="0" w:space="0" w:color="auto"/>
            <w:right w:val="none" w:sz="0" w:space="0" w:color="auto"/>
          </w:divBdr>
        </w:div>
        <w:div w:id="1252196765">
          <w:marLeft w:val="0"/>
          <w:marRight w:val="0"/>
          <w:marTop w:val="0"/>
          <w:marBottom w:val="0"/>
          <w:divBdr>
            <w:top w:val="none" w:sz="0" w:space="0" w:color="auto"/>
            <w:left w:val="none" w:sz="0" w:space="0" w:color="auto"/>
            <w:bottom w:val="none" w:sz="0" w:space="0" w:color="auto"/>
            <w:right w:val="none" w:sz="0" w:space="0" w:color="auto"/>
          </w:divBdr>
        </w:div>
        <w:div w:id="1742562047">
          <w:marLeft w:val="0"/>
          <w:marRight w:val="0"/>
          <w:marTop w:val="0"/>
          <w:marBottom w:val="0"/>
          <w:divBdr>
            <w:top w:val="none" w:sz="0" w:space="0" w:color="auto"/>
            <w:left w:val="none" w:sz="0" w:space="0" w:color="auto"/>
            <w:bottom w:val="none" w:sz="0" w:space="0" w:color="auto"/>
            <w:right w:val="none" w:sz="0" w:space="0" w:color="auto"/>
          </w:divBdr>
        </w:div>
        <w:div w:id="116684308">
          <w:marLeft w:val="0"/>
          <w:marRight w:val="0"/>
          <w:marTop w:val="0"/>
          <w:marBottom w:val="0"/>
          <w:divBdr>
            <w:top w:val="none" w:sz="0" w:space="0" w:color="auto"/>
            <w:left w:val="none" w:sz="0" w:space="0" w:color="auto"/>
            <w:bottom w:val="none" w:sz="0" w:space="0" w:color="auto"/>
            <w:right w:val="none" w:sz="0" w:space="0" w:color="auto"/>
          </w:divBdr>
        </w:div>
        <w:div w:id="121073149">
          <w:marLeft w:val="0"/>
          <w:marRight w:val="0"/>
          <w:marTop w:val="0"/>
          <w:marBottom w:val="0"/>
          <w:divBdr>
            <w:top w:val="none" w:sz="0" w:space="0" w:color="auto"/>
            <w:left w:val="none" w:sz="0" w:space="0" w:color="auto"/>
            <w:bottom w:val="none" w:sz="0" w:space="0" w:color="auto"/>
            <w:right w:val="none" w:sz="0" w:space="0" w:color="auto"/>
          </w:divBdr>
        </w:div>
        <w:div w:id="804470364">
          <w:marLeft w:val="0"/>
          <w:marRight w:val="0"/>
          <w:marTop w:val="0"/>
          <w:marBottom w:val="0"/>
          <w:divBdr>
            <w:top w:val="none" w:sz="0" w:space="0" w:color="auto"/>
            <w:left w:val="none" w:sz="0" w:space="0" w:color="auto"/>
            <w:bottom w:val="none" w:sz="0" w:space="0" w:color="auto"/>
            <w:right w:val="none" w:sz="0" w:space="0" w:color="auto"/>
          </w:divBdr>
        </w:div>
        <w:div w:id="1830250443">
          <w:marLeft w:val="0"/>
          <w:marRight w:val="0"/>
          <w:marTop w:val="0"/>
          <w:marBottom w:val="0"/>
          <w:divBdr>
            <w:top w:val="none" w:sz="0" w:space="0" w:color="auto"/>
            <w:left w:val="none" w:sz="0" w:space="0" w:color="auto"/>
            <w:bottom w:val="none" w:sz="0" w:space="0" w:color="auto"/>
            <w:right w:val="none" w:sz="0" w:space="0" w:color="auto"/>
          </w:divBdr>
        </w:div>
        <w:div w:id="5718609">
          <w:marLeft w:val="0"/>
          <w:marRight w:val="0"/>
          <w:marTop w:val="0"/>
          <w:marBottom w:val="0"/>
          <w:divBdr>
            <w:top w:val="none" w:sz="0" w:space="0" w:color="auto"/>
            <w:left w:val="none" w:sz="0" w:space="0" w:color="auto"/>
            <w:bottom w:val="none" w:sz="0" w:space="0" w:color="auto"/>
            <w:right w:val="none" w:sz="0" w:space="0" w:color="auto"/>
          </w:divBdr>
        </w:div>
        <w:div w:id="1042635892">
          <w:marLeft w:val="0"/>
          <w:marRight w:val="0"/>
          <w:marTop w:val="0"/>
          <w:marBottom w:val="0"/>
          <w:divBdr>
            <w:top w:val="none" w:sz="0" w:space="0" w:color="auto"/>
            <w:left w:val="none" w:sz="0" w:space="0" w:color="auto"/>
            <w:bottom w:val="none" w:sz="0" w:space="0" w:color="auto"/>
            <w:right w:val="none" w:sz="0" w:space="0" w:color="auto"/>
          </w:divBdr>
        </w:div>
        <w:div w:id="2145737186">
          <w:marLeft w:val="0"/>
          <w:marRight w:val="0"/>
          <w:marTop w:val="0"/>
          <w:marBottom w:val="0"/>
          <w:divBdr>
            <w:top w:val="none" w:sz="0" w:space="0" w:color="auto"/>
            <w:left w:val="none" w:sz="0" w:space="0" w:color="auto"/>
            <w:bottom w:val="none" w:sz="0" w:space="0" w:color="auto"/>
            <w:right w:val="none" w:sz="0" w:space="0" w:color="auto"/>
          </w:divBdr>
        </w:div>
        <w:div w:id="1323969945">
          <w:marLeft w:val="0"/>
          <w:marRight w:val="0"/>
          <w:marTop w:val="0"/>
          <w:marBottom w:val="0"/>
          <w:divBdr>
            <w:top w:val="none" w:sz="0" w:space="0" w:color="auto"/>
            <w:left w:val="none" w:sz="0" w:space="0" w:color="auto"/>
            <w:bottom w:val="none" w:sz="0" w:space="0" w:color="auto"/>
            <w:right w:val="none" w:sz="0" w:space="0" w:color="auto"/>
          </w:divBdr>
        </w:div>
        <w:div w:id="1692606346">
          <w:marLeft w:val="0"/>
          <w:marRight w:val="0"/>
          <w:marTop w:val="0"/>
          <w:marBottom w:val="0"/>
          <w:divBdr>
            <w:top w:val="none" w:sz="0" w:space="0" w:color="auto"/>
            <w:left w:val="none" w:sz="0" w:space="0" w:color="auto"/>
            <w:bottom w:val="none" w:sz="0" w:space="0" w:color="auto"/>
            <w:right w:val="none" w:sz="0" w:space="0" w:color="auto"/>
          </w:divBdr>
        </w:div>
        <w:div w:id="2112509141">
          <w:marLeft w:val="0"/>
          <w:marRight w:val="0"/>
          <w:marTop w:val="0"/>
          <w:marBottom w:val="0"/>
          <w:divBdr>
            <w:top w:val="none" w:sz="0" w:space="0" w:color="auto"/>
            <w:left w:val="none" w:sz="0" w:space="0" w:color="auto"/>
            <w:bottom w:val="none" w:sz="0" w:space="0" w:color="auto"/>
            <w:right w:val="none" w:sz="0" w:space="0" w:color="auto"/>
          </w:divBdr>
        </w:div>
        <w:div w:id="370959041">
          <w:marLeft w:val="0"/>
          <w:marRight w:val="0"/>
          <w:marTop w:val="0"/>
          <w:marBottom w:val="0"/>
          <w:divBdr>
            <w:top w:val="none" w:sz="0" w:space="0" w:color="auto"/>
            <w:left w:val="none" w:sz="0" w:space="0" w:color="auto"/>
            <w:bottom w:val="none" w:sz="0" w:space="0" w:color="auto"/>
            <w:right w:val="none" w:sz="0" w:space="0" w:color="auto"/>
          </w:divBdr>
        </w:div>
        <w:div w:id="445782469">
          <w:marLeft w:val="0"/>
          <w:marRight w:val="0"/>
          <w:marTop w:val="0"/>
          <w:marBottom w:val="0"/>
          <w:divBdr>
            <w:top w:val="none" w:sz="0" w:space="0" w:color="auto"/>
            <w:left w:val="none" w:sz="0" w:space="0" w:color="auto"/>
            <w:bottom w:val="none" w:sz="0" w:space="0" w:color="auto"/>
            <w:right w:val="none" w:sz="0" w:space="0" w:color="auto"/>
          </w:divBdr>
        </w:div>
        <w:div w:id="820853269">
          <w:marLeft w:val="0"/>
          <w:marRight w:val="0"/>
          <w:marTop w:val="0"/>
          <w:marBottom w:val="0"/>
          <w:divBdr>
            <w:top w:val="none" w:sz="0" w:space="0" w:color="auto"/>
            <w:left w:val="none" w:sz="0" w:space="0" w:color="auto"/>
            <w:bottom w:val="none" w:sz="0" w:space="0" w:color="auto"/>
            <w:right w:val="none" w:sz="0" w:space="0" w:color="auto"/>
          </w:divBdr>
        </w:div>
        <w:div w:id="1452477566">
          <w:marLeft w:val="0"/>
          <w:marRight w:val="0"/>
          <w:marTop w:val="0"/>
          <w:marBottom w:val="0"/>
          <w:divBdr>
            <w:top w:val="none" w:sz="0" w:space="0" w:color="auto"/>
            <w:left w:val="none" w:sz="0" w:space="0" w:color="auto"/>
            <w:bottom w:val="none" w:sz="0" w:space="0" w:color="auto"/>
            <w:right w:val="none" w:sz="0" w:space="0" w:color="auto"/>
          </w:divBdr>
        </w:div>
        <w:div w:id="1531457019">
          <w:marLeft w:val="0"/>
          <w:marRight w:val="0"/>
          <w:marTop w:val="0"/>
          <w:marBottom w:val="0"/>
          <w:divBdr>
            <w:top w:val="none" w:sz="0" w:space="0" w:color="auto"/>
            <w:left w:val="none" w:sz="0" w:space="0" w:color="auto"/>
            <w:bottom w:val="none" w:sz="0" w:space="0" w:color="auto"/>
            <w:right w:val="none" w:sz="0" w:space="0" w:color="auto"/>
          </w:divBdr>
        </w:div>
        <w:div w:id="2026327289">
          <w:marLeft w:val="0"/>
          <w:marRight w:val="0"/>
          <w:marTop w:val="0"/>
          <w:marBottom w:val="0"/>
          <w:divBdr>
            <w:top w:val="none" w:sz="0" w:space="0" w:color="auto"/>
            <w:left w:val="none" w:sz="0" w:space="0" w:color="auto"/>
            <w:bottom w:val="none" w:sz="0" w:space="0" w:color="auto"/>
            <w:right w:val="none" w:sz="0" w:space="0" w:color="auto"/>
          </w:divBdr>
        </w:div>
        <w:div w:id="510099228">
          <w:marLeft w:val="0"/>
          <w:marRight w:val="0"/>
          <w:marTop w:val="0"/>
          <w:marBottom w:val="0"/>
          <w:divBdr>
            <w:top w:val="none" w:sz="0" w:space="0" w:color="auto"/>
            <w:left w:val="none" w:sz="0" w:space="0" w:color="auto"/>
            <w:bottom w:val="none" w:sz="0" w:space="0" w:color="auto"/>
            <w:right w:val="none" w:sz="0" w:space="0" w:color="auto"/>
          </w:divBdr>
        </w:div>
        <w:div w:id="2137327630">
          <w:marLeft w:val="0"/>
          <w:marRight w:val="0"/>
          <w:marTop w:val="0"/>
          <w:marBottom w:val="0"/>
          <w:divBdr>
            <w:top w:val="none" w:sz="0" w:space="0" w:color="auto"/>
            <w:left w:val="none" w:sz="0" w:space="0" w:color="auto"/>
            <w:bottom w:val="none" w:sz="0" w:space="0" w:color="auto"/>
            <w:right w:val="none" w:sz="0" w:space="0" w:color="auto"/>
          </w:divBdr>
        </w:div>
        <w:div w:id="40054538">
          <w:marLeft w:val="0"/>
          <w:marRight w:val="0"/>
          <w:marTop w:val="0"/>
          <w:marBottom w:val="0"/>
          <w:divBdr>
            <w:top w:val="none" w:sz="0" w:space="0" w:color="auto"/>
            <w:left w:val="none" w:sz="0" w:space="0" w:color="auto"/>
            <w:bottom w:val="none" w:sz="0" w:space="0" w:color="auto"/>
            <w:right w:val="none" w:sz="0" w:space="0" w:color="auto"/>
          </w:divBdr>
        </w:div>
        <w:div w:id="407965781">
          <w:marLeft w:val="0"/>
          <w:marRight w:val="0"/>
          <w:marTop w:val="0"/>
          <w:marBottom w:val="0"/>
          <w:divBdr>
            <w:top w:val="none" w:sz="0" w:space="0" w:color="auto"/>
            <w:left w:val="none" w:sz="0" w:space="0" w:color="auto"/>
            <w:bottom w:val="none" w:sz="0" w:space="0" w:color="auto"/>
            <w:right w:val="none" w:sz="0" w:space="0" w:color="auto"/>
          </w:divBdr>
        </w:div>
        <w:div w:id="498621360">
          <w:marLeft w:val="0"/>
          <w:marRight w:val="0"/>
          <w:marTop w:val="0"/>
          <w:marBottom w:val="0"/>
          <w:divBdr>
            <w:top w:val="none" w:sz="0" w:space="0" w:color="auto"/>
            <w:left w:val="none" w:sz="0" w:space="0" w:color="auto"/>
            <w:bottom w:val="none" w:sz="0" w:space="0" w:color="auto"/>
            <w:right w:val="none" w:sz="0" w:space="0" w:color="auto"/>
          </w:divBdr>
        </w:div>
        <w:div w:id="543561101">
          <w:marLeft w:val="0"/>
          <w:marRight w:val="0"/>
          <w:marTop w:val="0"/>
          <w:marBottom w:val="0"/>
          <w:divBdr>
            <w:top w:val="none" w:sz="0" w:space="0" w:color="auto"/>
            <w:left w:val="none" w:sz="0" w:space="0" w:color="auto"/>
            <w:bottom w:val="none" w:sz="0" w:space="0" w:color="auto"/>
            <w:right w:val="none" w:sz="0" w:space="0" w:color="auto"/>
          </w:divBdr>
        </w:div>
        <w:div w:id="1190219710">
          <w:marLeft w:val="0"/>
          <w:marRight w:val="0"/>
          <w:marTop w:val="0"/>
          <w:marBottom w:val="0"/>
          <w:divBdr>
            <w:top w:val="none" w:sz="0" w:space="0" w:color="auto"/>
            <w:left w:val="none" w:sz="0" w:space="0" w:color="auto"/>
            <w:bottom w:val="none" w:sz="0" w:space="0" w:color="auto"/>
            <w:right w:val="none" w:sz="0" w:space="0" w:color="auto"/>
          </w:divBdr>
        </w:div>
        <w:div w:id="968583765">
          <w:marLeft w:val="0"/>
          <w:marRight w:val="0"/>
          <w:marTop w:val="0"/>
          <w:marBottom w:val="0"/>
          <w:divBdr>
            <w:top w:val="none" w:sz="0" w:space="0" w:color="auto"/>
            <w:left w:val="none" w:sz="0" w:space="0" w:color="auto"/>
            <w:bottom w:val="none" w:sz="0" w:space="0" w:color="auto"/>
            <w:right w:val="none" w:sz="0" w:space="0" w:color="auto"/>
          </w:divBdr>
        </w:div>
        <w:div w:id="2037927467">
          <w:marLeft w:val="0"/>
          <w:marRight w:val="0"/>
          <w:marTop w:val="0"/>
          <w:marBottom w:val="0"/>
          <w:divBdr>
            <w:top w:val="none" w:sz="0" w:space="0" w:color="auto"/>
            <w:left w:val="none" w:sz="0" w:space="0" w:color="auto"/>
            <w:bottom w:val="none" w:sz="0" w:space="0" w:color="auto"/>
            <w:right w:val="none" w:sz="0" w:space="0" w:color="auto"/>
          </w:divBdr>
        </w:div>
        <w:div w:id="1532303005">
          <w:marLeft w:val="0"/>
          <w:marRight w:val="0"/>
          <w:marTop w:val="0"/>
          <w:marBottom w:val="0"/>
          <w:divBdr>
            <w:top w:val="none" w:sz="0" w:space="0" w:color="auto"/>
            <w:left w:val="none" w:sz="0" w:space="0" w:color="auto"/>
            <w:bottom w:val="none" w:sz="0" w:space="0" w:color="auto"/>
            <w:right w:val="none" w:sz="0" w:space="0" w:color="auto"/>
          </w:divBdr>
        </w:div>
        <w:div w:id="610891625">
          <w:marLeft w:val="0"/>
          <w:marRight w:val="0"/>
          <w:marTop w:val="0"/>
          <w:marBottom w:val="0"/>
          <w:divBdr>
            <w:top w:val="none" w:sz="0" w:space="0" w:color="auto"/>
            <w:left w:val="none" w:sz="0" w:space="0" w:color="auto"/>
            <w:bottom w:val="none" w:sz="0" w:space="0" w:color="auto"/>
            <w:right w:val="none" w:sz="0" w:space="0" w:color="auto"/>
          </w:divBdr>
        </w:div>
        <w:div w:id="714818938">
          <w:marLeft w:val="0"/>
          <w:marRight w:val="0"/>
          <w:marTop w:val="0"/>
          <w:marBottom w:val="0"/>
          <w:divBdr>
            <w:top w:val="none" w:sz="0" w:space="0" w:color="auto"/>
            <w:left w:val="none" w:sz="0" w:space="0" w:color="auto"/>
            <w:bottom w:val="none" w:sz="0" w:space="0" w:color="auto"/>
            <w:right w:val="none" w:sz="0" w:space="0" w:color="auto"/>
          </w:divBdr>
        </w:div>
      </w:divsChild>
    </w:div>
    <w:div w:id="11809546">
      <w:marLeft w:val="0"/>
      <w:marRight w:val="0"/>
      <w:marTop w:val="180"/>
      <w:marBottom w:val="180"/>
      <w:divBdr>
        <w:top w:val="none" w:sz="0" w:space="0" w:color="auto"/>
        <w:left w:val="none" w:sz="0" w:space="0" w:color="auto"/>
        <w:bottom w:val="none" w:sz="0" w:space="0" w:color="auto"/>
        <w:right w:val="none" w:sz="0" w:space="0" w:color="auto"/>
      </w:divBdr>
    </w:div>
    <w:div w:id="13311520">
      <w:marLeft w:val="0"/>
      <w:marRight w:val="0"/>
      <w:marTop w:val="180"/>
      <w:marBottom w:val="60"/>
      <w:divBdr>
        <w:top w:val="none" w:sz="0" w:space="0" w:color="auto"/>
        <w:left w:val="none" w:sz="0" w:space="0" w:color="auto"/>
        <w:bottom w:val="none" w:sz="0" w:space="0" w:color="auto"/>
        <w:right w:val="none" w:sz="0" w:space="0" w:color="auto"/>
      </w:divBdr>
    </w:div>
    <w:div w:id="14038908">
      <w:marLeft w:val="0"/>
      <w:marRight w:val="0"/>
      <w:marTop w:val="180"/>
      <w:marBottom w:val="60"/>
      <w:divBdr>
        <w:top w:val="none" w:sz="0" w:space="0" w:color="auto"/>
        <w:left w:val="none" w:sz="0" w:space="0" w:color="auto"/>
        <w:bottom w:val="none" w:sz="0" w:space="0" w:color="auto"/>
        <w:right w:val="none" w:sz="0" w:space="0" w:color="auto"/>
      </w:divBdr>
    </w:div>
    <w:div w:id="14969899">
      <w:marLeft w:val="0"/>
      <w:marRight w:val="0"/>
      <w:marTop w:val="180"/>
      <w:marBottom w:val="180"/>
      <w:divBdr>
        <w:top w:val="none" w:sz="0" w:space="0" w:color="auto"/>
        <w:left w:val="none" w:sz="0" w:space="0" w:color="auto"/>
        <w:bottom w:val="none" w:sz="0" w:space="0" w:color="auto"/>
        <w:right w:val="none" w:sz="0" w:space="0" w:color="auto"/>
      </w:divBdr>
    </w:div>
    <w:div w:id="16779516">
      <w:marLeft w:val="0"/>
      <w:marRight w:val="0"/>
      <w:marTop w:val="180"/>
      <w:marBottom w:val="180"/>
      <w:divBdr>
        <w:top w:val="none" w:sz="0" w:space="0" w:color="auto"/>
        <w:left w:val="none" w:sz="0" w:space="0" w:color="auto"/>
        <w:bottom w:val="none" w:sz="0" w:space="0" w:color="auto"/>
        <w:right w:val="none" w:sz="0" w:space="0" w:color="auto"/>
      </w:divBdr>
    </w:div>
    <w:div w:id="17119925">
      <w:marLeft w:val="0"/>
      <w:marRight w:val="0"/>
      <w:marTop w:val="60"/>
      <w:marBottom w:val="60"/>
      <w:divBdr>
        <w:top w:val="none" w:sz="0" w:space="0" w:color="auto"/>
        <w:left w:val="none" w:sz="0" w:space="0" w:color="auto"/>
        <w:bottom w:val="none" w:sz="0" w:space="0" w:color="auto"/>
        <w:right w:val="none" w:sz="0" w:space="0" w:color="auto"/>
      </w:divBdr>
    </w:div>
    <w:div w:id="17701508">
      <w:marLeft w:val="0"/>
      <w:marRight w:val="0"/>
      <w:marTop w:val="60"/>
      <w:marBottom w:val="60"/>
      <w:divBdr>
        <w:top w:val="none" w:sz="0" w:space="0" w:color="auto"/>
        <w:left w:val="none" w:sz="0" w:space="0" w:color="auto"/>
        <w:bottom w:val="none" w:sz="0" w:space="0" w:color="auto"/>
        <w:right w:val="none" w:sz="0" w:space="0" w:color="auto"/>
      </w:divBdr>
    </w:div>
    <w:div w:id="18313136">
      <w:marLeft w:val="0"/>
      <w:marRight w:val="0"/>
      <w:marTop w:val="180"/>
      <w:marBottom w:val="180"/>
      <w:divBdr>
        <w:top w:val="none" w:sz="0" w:space="0" w:color="auto"/>
        <w:left w:val="none" w:sz="0" w:space="0" w:color="auto"/>
        <w:bottom w:val="none" w:sz="0" w:space="0" w:color="auto"/>
        <w:right w:val="none" w:sz="0" w:space="0" w:color="auto"/>
      </w:divBdr>
    </w:div>
    <w:div w:id="21130126">
      <w:marLeft w:val="0"/>
      <w:marRight w:val="0"/>
      <w:marTop w:val="0"/>
      <w:marBottom w:val="0"/>
      <w:divBdr>
        <w:top w:val="none" w:sz="0" w:space="0" w:color="auto"/>
        <w:left w:val="none" w:sz="0" w:space="0" w:color="auto"/>
        <w:bottom w:val="none" w:sz="0" w:space="0" w:color="auto"/>
        <w:right w:val="none" w:sz="0" w:space="0" w:color="auto"/>
      </w:divBdr>
      <w:divsChild>
        <w:div w:id="2130390319">
          <w:marLeft w:val="0"/>
          <w:marRight w:val="0"/>
          <w:marTop w:val="60"/>
          <w:marBottom w:val="60"/>
          <w:divBdr>
            <w:top w:val="none" w:sz="0" w:space="0" w:color="auto"/>
            <w:left w:val="none" w:sz="0" w:space="0" w:color="auto"/>
            <w:bottom w:val="none" w:sz="0" w:space="0" w:color="auto"/>
            <w:right w:val="none" w:sz="0" w:space="0" w:color="auto"/>
          </w:divBdr>
        </w:div>
      </w:divsChild>
    </w:div>
    <w:div w:id="21328216">
      <w:marLeft w:val="0"/>
      <w:marRight w:val="0"/>
      <w:marTop w:val="180"/>
      <w:marBottom w:val="180"/>
      <w:divBdr>
        <w:top w:val="none" w:sz="0" w:space="0" w:color="auto"/>
        <w:left w:val="none" w:sz="0" w:space="0" w:color="auto"/>
        <w:bottom w:val="none" w:sz="0" w:space="0" w:color="auto"/>
        <w:right w:val="none" w:sz="0" w:space="0" w:color="auto"/>
      </w:divBdr>
    </w:div>
    <w:div w:id="22293008">
      <w:marLeft w:val="0"/>
      <w:marRight w:val="0"/>
      <w:marTop w:val="60"/>
      <w:marBottom w:val="60"/>
      <w:divBdr>
        <w:top w:val="none" w:sz="0" w:space="0" w:color="auto"/>
        <w:left w:val="none" w:sz="0" w:space="0" w:color="auto"/>
        <w:bottom w:val="none" w:sz="0" w:space="0" w:color="auto"/>
        <w:right w:val="none" w:sz="0" w:space="0" w:color="auto"/>
      </w:divBdr>
    </w:div>
    <w:div w:id="32274532">
      <w:marLeft w:val="0"/>
      <w:marRight w:val="0"/>
      <w:marTop w:val="160"/>
      <w:marBottom w:val="0"/>
      <w:divBdr>
        <w:top w:val="none" w:sz="0" w:space="0" w:color="auto"/>
        <w:left w:val="none" w:sz="0" w:space="0" w:color="auto"/>
        <w:bottom w:val="none" w:sz="0" w:space="0" w:color="auto"/>
        <w:right w:val="none" w:sz="0" w:space="0" w:color="auto"/>
      </w:divBdr>
    </w:div>
    <w:div w:id="33582494">
      <w:marLeft w:val="0"/>
      <w:marRight w:val="0"/>
      <w:marTop w:val="180"/>
      <w:marBottom w:val="60"/>
      <w:divBdr>
        <w:top w:val="none" w:sz="0" w:space="0" w:color="auto"/>
        <w:left w:val="none" w:sz="0" w:space="0" w:color="auto"/>
        <w:bottom w:val="none" w:sz="0" w:space="0" w:color="auto"/>
        <w:right w:val="none" w:sz="0" w:space="0" w:color="auto"/>
      </w:divBdr>
    </w:div>
    <w:div w:id="34543978">
      <w:marLeft w:val="0"/>
      <w:marRight w:val="0"/>
      <w:marTop w:val="0"/>
      <w:marBottom w:val="0"/>
      <w:divBdr>
        <w:top w:val="none" w:sz="0" w:space="0" w:color="auto"/>
        <w:left w:val="none" w:sz="0" w:space="0" w:color="auto"/>
        <w:bottom w:val="none" w:sz="0" w:space="0" w:color="auto"/>
        <w:right w:val="none" w:sz="0" w:space="0" w:color="auto"/>
      </w:divBdr>
    </w:div>
    <w:div w:id="34623750">
      <w:marLeft w:val="0"/>
      <w:marRight w:val="0"/>
      <w:marTop w:val="60"/>
      <w:marBottom w:val="0"/>
      <w:divBdr>
        <w:top w:val="none" w:sz="0" w:space="0" w:color="auto"/>
        <w:left w:val="none" w:sz="0" w:space="0" w:color="auto"/>
        <w:bottom w:val="none" w:sz="0" w:space="0" w:color="auto"/>
        <w:right w:val="none" w:sz="0" w:space="0" w:color="auto"/>
      </w:divBdr>
      <w:divsChild>
        <w:div w:id="787550103">
          <w:marLeft w:val="0"/>
          <w:marRight w:val="0"/>
          <w:marTop w:val="0"/>
          <w:marBottom w:val="0"/>
          <w:divBdr>
            <w:top w:val="none" w:sz="0" w:space="0" w:color="auto"/>
            <w:left w:val="none" w:sz="0" w:space="0" w:color="auto"/>
            <w:bottom w:val="none" w:sz="0" w:space="0" w:color="auto"/>
            <w:right w:val="none" w:sz="0" w:space="0" w:color="auto"/>
          </w:divBdr>
        </w:div>
        <w:div w:id="764425268">
          <w:marLeft w:val="0"/>
          <w:marRight w:val="0"/>
          <w:marTop w:val="0"/>
          <w:marBottom w:val="0"/>
          <w:divBdr>
            <w:top w:val="none" w:sz="0" w:space="0" w:color="auto"/>
            <w:left w:val="none" w:sz="0" w:space="0" w:color="auto"/>
            <w:bottom w:val="none" w:sz="0" w:space="0" w:color="auto"/>
            <w:right w:val="none" w:sz="0" w:space="0" w:color="auto"/>
          </w:divBdr>
        </w:div>
      </w:divsChild>
    </w:div>
    <w:div w:id="38364637">
      <w:marLeft w:val="0"/>
      <w:marRight w:val="0"/>
      <w:marTop w:val="0"/>
      <w:marBottom w:val="0"/>
      <w:divBdr>
        <w:top w:val="none" w:sz="0" w:space="0" w:color="auto"/>
        <w:left w:val="none" w:sz="0" w:space="0" w:color="auto"/>
        <w:bottom w:val="none" w:sz="0" w:space="0" w:color="auto"/>
        <w:right w:val="none" w:sz="0" w:space="0" w:color="auto"/>
      </w:divBdr>
      <w:divsChild>
        <w:div w:id="1939865707">
          <w:marLeft w:val="0"/>
          <w:marRight w:val="0"/>
          <w:marTop w:val="60"/>
          <w:marBottom w:val="60"/>
          <w:divBdr>
            <w:top w:val="none" w:sz="0" w:space="0" w:color="auto"/>
            <w:left w:val="none" w:sz="0" w:space="0" w:color="auto"/>
            <w:bottom w:val="none" w:sz="0" w:space="0" w:color="auto"/>
            <w:right w:val="none" w:sz="0" w:space="0" w:color="auto"/>
          </w:divBdr>
        </w:div>
      </w:divsChild>
    </w:div>
    <w:div w:id="38434822">
      <w:marLeft w:val="0"/>
      <w:marRight w:val="0"/>
      <w:marTop w:val="180"/>
      <w:marBottom w:val="180"/>
      <w:divBdr>
        <w:top w:val="none" w:sz="0" w:space="0" w:color="auto"/>
        <w:left w:val="none" w:sz="0" w:space="0" w:color="auto"/>
        <w:bottom w:val="none" w:sz="0" w:space="0" w:color="auto"/>
        <w:right w:val="none" w:sz="0" w:space="0" w:color="auto"/>
      </w:divBdr>
    </w:div>
    <w:div w:id="39132690">
      <w:marLeft w:val="0"/>
      <w:marRight w:val="0"/>
      <w:marTop w:val="180"/>
      <w:marBottom w:val="180"/>
      <w:divBdr>
        <w:top w:val="none" w:sz="0" w:space="0" w:color="auto"/>
        <w:left w:val="none" w:sz="0" w:space="0" w:color="auto"/>
        <w:bottom w:val="none" w:sz="0" w:space="0" w:color="auto"/>
        <w:right w:val="none" w:sz="0" w:space="0" w:color="auto"/>
      </w:divBdr>
    </w:div>
    <w:div w:id="40711176">
      <w:marLeft w:val="0"/>
      <w:marRight w:val="0"/>
      <w:marTop w:val="100"/>
      <w:marBottom w:val="0"/>
      <w:divBdr>
        <w:top w:val="none" w:sz="0" w:space="0" w:color="auto"/>
        <w:left w:val="none" w:sz="0" w:space="0" w:color="auto"/>
        <w:bottom w:val="none" w:sz="0" w:space="0" w:color="auto"/>
        <w:right w:val="none" w:sz="0" w:space="0" w:color="auto"/>
      </w:divBdr>
      <w:divsChild>
        <w:div w:id="44721140">
          <w:marLeft w:val="0"/>
          <w:marRight w:val="0"/>
          <w:marTop w:val="0"/>
          <w:marBottom w:val="0"/>
          <w:divBdr>
            <w:top w:val="none" w:sz="0" w:space="0" w:color="auto"/>
            <w:left w:val="none" w:sz="0" w:space="0" w:color="auto"/>
            <w:bottom w:val="none" w:sz="0" w:space="0" w:color="auto"/>
            <w:right w:val="none" w:sz="0" w:space="0" w:color="auto"/>
          </w:divBdr>
        </w:div>
      </w:divsChild>
    </w:div>
    <w:div w:id="40788745">
      <w:marLeft w:val="0"/>
      <w:marRight w:val="0"/>
      <w:marTop w:val="100"/>
      <w:marBottom w:val="0"/>
      <w:divBdr>
        <w:top w:val="none" w:sz="0" w:space="0" w:color="auto"/>
        <w:left w:val="none" w:sz="0" w:space="0" w:color="auto"/>
        <w:bottom w:val="none" w:sz="0" w:space="0" w:color="auto"/>
        <w:right w:val="none" w:sz="0" w:space="0" w:color="auto"/>
      </w:divBdr>
      <w:divsChild>
        <w:div w:id="1573351189">
          <w:marLeft w:val="0"/>
          <w:marRight w:val="0"/>
          <w:marTop w:val="0"/>
          <w:marBottom w:val="0"/>
          <w:divBdr>
            <w:top w:val="none" w:sz="0" w:space="0" w:color="auto"/>
            <w:left w:val="none" w:sz="0" w:space="0" w:color="auto"/>
            <w:bottom w:val="none" w:sz="0" w:space="0" w:color="auto"/>
            <w:right w:val="none" w:sz="0" w:space="0" w:color="auto"/>
          </w:divBdr>
        </w:div>
        <w:div w:id="547423414">
          <w:marLeft w:val="0"/>
          <w:marRight w:val="0"/>
          <w:marTop w:val="0"/>
          <w:marBottom w:val="0"/>
          <w:divBdr>
            <w:top w:val="none" w:sz="0" w:space="0" w:color="auto"/>
            <w:left w:val="none" w:sz="0" w:space="0" w:color="auto"/>
            <w:bottom w:val="none" w:sz="0" w:space="0" w:color="auto"/>
            <w:right w:val="none" w:sz="0" w:space="0" w:color="auto"/>
          </w:divBdr>
        </w:div>
      </w:divsChild>
    </w:div>
    <w:div w:id="42562750">
      <w:marLeft w:val="0"/>
      <w:marRight w:val="0"/>
      <w:marTop w:val="180"/>
      <w:marBottom w:val="180"/>
      <w:divBdr>
        <w:top w:val="none" w:sz="0" w:space="0" w:color="auto"/>
        <w:left w:val="none" w:sz="0" w:space="0" w:color="auto"/>
        <w:bottom w:val="none" w:sz="0" w:space="0" w:color="auto"/>
        <w:right w:val="none" w:sz="0" w:space="0" w:color="auto"/>
      </w:divBdr>
    </w:div>
    <w:div w:id="43454802">
      <w:marLeft w:val="0"/>
      <w:marRight w:val="0"/>
      <w:marTop w:val="180"/>
      <w:marBottom w:val="180"/>
      <w:divBdr>
        <w:top w:val="none" w:sz="0" w:space="0" w:color="auto"/>
        <w:left w:val="none" w:sz="0" w:space="0" w:color="auto"/>
        <w:bottom w:val="none" w:sz="0" w:space="0" w:color="auto"/>
        <w:right w:val="none" w:sz="0" w:space="0" w:color="auto"/>
      </w:divBdr>
    </w:div>
    <w:div w:id="44255570">
      <w:marLeft w:val="0"/>
      <w:marRight w:val="0"/>
      <w:marTop w:val="0"/>
      <w:marBottom w:val="0"/>
      <w:divBdr>
        <w:top w:val="none" w:sz="0" w:space="0" w:color="auto"/>
        <w:left w:val="none" w:sz="0" w:space="0" w:color="auto"/>
        <w:bottom w:val="none" w:sz="0" w:space="0" w:color="auto"/>
        <w:right w:val="none" w:sz="0" w:space="0" w:color="auto"/>
      </w:divBdr>
    </w:div>
    <w:div w:id="44258197">
      <w:marLeft w:val="0"/>
      <w:marRight w:val="0"/>
      <w:marTop w:val="60"/>
      <w:marBottom w:val="60"/>
      <w:divBdr>
        <w:top w:val="none" w:sz="0" w:space="0" w:color="auto"/>
        <w:left w:val="none" w:sz="0" w:space="0" w:color="auto"/>
        <w:bottom w:val="none" w:sz="0" w:space="0" w:color="auto"/>
        <w:right w:val="none" w:sz="0" w:space="0" w:color="auto"/>
      </w:divBdr>
    </w:div>
    <w:div w:id="44650080">
      <w:marLeft w:val="0"/>
      <w:marRight w:val="0"/>
      <w:marTop w:val="0"/>
      <w:marBottom w:val="0"/>
      <w:divBdr>
        <w:top w:val="none" w:sz="0" w:space="0" w:color="auto"/>
        <w:left w:val="none" w:sz="0" w:space="0" w:color="auto"/>
        <w:bottom w:val="none" w:sz="0" w:space="0" w:color="auto"/>
        <w:right w:val="none" w:sz="0" w:space="0" w:color="auto"/>
      </w:divBdr>
    </w:div>
    <w:div w:id="45688532">
      <w:marLeft w:val="0"/>
      <w:marRight w:val="0"/>
      <w:marTop w:val="180"/>
      <w:marBottom w:val="180"/>
      <w:divBdr>
        <w:top w:val="none" w:sz="0" w:space="0" w:color="auto"/>
        <w:left w:val="none" w:sz="0" w:space="0" w:color="auto"/>
        <w:bottom w:val="none" w:sz="0" w:space="0" w:color="auto"/>
        <w:right w:val="none" w:sz="0" w:space="0" w:color="auto"/>
      </w:divBdr>
    </w:div>
    <w:div w:id="50467852">
      <w:marLeft w:val="0"/>
      <w:marRight w:val="0"/>
      <w:marTop w:val="0"/>
      <w:marBottom w:val="0"/>
      <w:divBdr>
        <w:top w:val="none" w:sz="0" w:space="0" w:color="auto"/>
        <w:left w:val="none" w:sz="0" w:space="0" w:color="auto"/>
        <w:bottom w:val="none" w:sz="0" w:space="0" w:color="auto"/>
        <w:right w:val="none" w:sz="0" w:space="0" w:color="auto"/>
      </w:divBdr>
    </w:div>
    <w:div w:id="50618734">
      <w:marLeft w:val="0"/>
      <w:marRight w:val="0"/>
      <w:marTop w:val="180"/>
      <w:marBottom w:val="180"/>
      <w:divBdr>
        <w:top w:val="none" w:sz="0" w:space="0" w:color="auto"/>
        <w:left w:val="none" w:sz="0" w:space="0" w:color="auto"/>
        <w:bottom w:val="none" w:sz="0" w:space="0" w:color="auto"/>
        <w:right w:val="none" w:sz="0" w:space="0" w:color="auto"/>
      </w:divBdr>
    </w:div>
    <w:div w:id="50933472">
      <w:marLeft w:val="0"/>
      <w:marRight w:val="0"/>
      <w:marTop w:val="60"/>
      <w:marBottom w:val="60"/>
      <w:divBdr>
        <w:top w:val="none" w:sz="0" w:space="0" w:color="auto"/>
        <w:left w:val="none" w:sz="0" w:space="0" w:color="auto"/>
        <w:bottom w:val="none" w:sz="0" w:space="0" w:color="auto"/>
        <w:right w:val="none" w:sz="0" w:space="0" w:color="auto"/>
      </w:divBdr>
    </w:div>
    <w:div w:id="51392417">
      <w:marLeft w:val="0"/>
      <w:marRight w:val="0"/>
      <w:marTop w:val="180"/>
      <w:marBottom w:val="180"/>
      <w:divBdr>
        <w:top w:val="none" w:sz="0" w:space="0" w:color="auto"/>
        <w:left w:val="none" w:sz="0" w:space="0" w:color="auto"/>
        <w:bottom w:val="none" w:sz="0" w:space="0" w:color="auto"/>
        <w:right w:val="none" w:sz="0" w:space="0" w:color="auto"/>
      </w:divBdr>
    </w:div>
    <w:div w:id="51973025">
      <w:marLeft w:val="0"/>
      <w:marRight w:val="0"/>
      <w:marTop w:val="180"/>
      <w:marBottom w:val="180"/>
      <w:divBdr>
        <w:top w:val="none" w:sz="0" w:space="0" w:color="auto"/>
        <w:left w:val="none" w:sz="0" w:space="0" w:color="auto"/>
        <w:bottom w:val="none" w:sz="0" w:space="0" w:color="auto"/>
        <w:right w:val="none" w:sz="0" w:space="0" w:color="auto"/>
      </w:divBdr>
    </w:div>
    <w:div w:id="52630972">
      <w:marLeft w:val="0"/>
      <w:marRight w:val="0"/>
      <w:marTop w:val="180"/>
      <w:marBottom w:val="180"/>
      <w:divBdr>
        <w:top w:val="none" w:sz="0" w:space="0" w:color="auto"/>
        <w:left w:val="none" w:sz="0" w:space="0" w:color="auto"/>
        <w:bottom w:val="none" w:sz="0" w:space="0" w:color="auto"/>
        <w:right w:val="none" w:sz="0" w:space="0" w:color="auto"/>
      </w:divBdr>
    </w:div>
    <w:div w:id="52968195">
      <w:marLeft w:val="0"/>
      <w:marRight w:val="0"/>
      <w:marTop w:val="180"/>
      <w:marBottom w:val="180"/>
      <w:divBdr>
        <w:top w:val="none" w:sz="0" w:space="0" w:color="auto"/>
        <w:left w:val="none" w:sz="0" w:space="0" w:color="auto"/>
        <w:bottom w:val="none" w:sz="0" w:space="0" w:color="auto"/>
        <w:right w:val="none" w:sz="0" w:space="0" w:color="auto"/>
      </w:divBdr>
    </w:div>
    <w:div w:id="54932187">
      <w:marLeft w:val="0"/>
      <w:marRight w:val="0"/>
      <w:marTop w:val="180"/>
      <w:marBottom w:val="180"/>
      <w:divBdr>
        <w:top w:val="none" w:sz="0" w:space="0" w:color="auto"/>
        <w:left w:val="none" w:sz="0" w:space="0" w:color="auto"/>
        <w:bottom w:val="none" w:sz="0" w:space="0" w:color="auto"/>
        <w:right w:val="none" w:sz="0" w:space="0" w:color="auto"/>
      </w:divBdr>
    </w:div>
    <w:div w:id="55973701">
      <w:marLeft w:val="0"/>
      <w:marRight w:val="0"/>
      <w:marTop w:val="180"/>
      <w:marBottom w:val="180"/>
      <w:divBdr>
        <w:top w:val="none" w:sz="0" w:space="0" w:color="auto"/>
        <w:left w:val="none" w:sz="0" w:space="0" w:color="auto"/>
        <w:bottom w:val="none" w:sz="0" w:space="0" w:color="auto"/>
        <w:right w:val="none" w:sz="0" w:space="0" w:color="auto"/>
      </w:divBdr>
    </w:div>
    <w:div w:id="56436969">
      <w:marLeft w:val="0"/>
      <w:marRight w:val="0"/>
      <w:marTop w:val="180"/>
      <w:marBottom w:val="180"/>
      <w:divBdr>
        <w:top w:val="none" w:sz="0" w:space="0" w:color="auto"/>
        <w:left w:val="none" w:sz="0" w:space="0" w:color="auto"/>
        <w:bottom w:val="none" w:sz="0" w:space="0" w:color="auto"/>
        <w:right w:val="none" w:sz="0" w:space="0" w:color="auto"/>
      </w:divBdr>
    </w:div>
    <w:div w:id="58139016">
      <w:marLeft w:val="0"/>
      <w:marRight w:val="0"/>
      <w:marTop w:val="0"/>
      <w:marBottom w:val="0"/>
      <w:divBdr>
        <w:top w:val="none" w:sz="0" w:space="0" w:color="auto"/>
        <w:left w:val="none" w:sz="0" w:space="0" w:color="auto"/>
        <w:bottom w:val="none" w:sz="0" w:space="0" w:color="auto"/>
        <w:right w:val="none" w:sz="0" w:space="0" w:color="auto"/>
      </w:divBdr>
    </w:div>
    <w:div w:id="58141592">
      <w:marLeft w:val="0"/>
      <w:marRight w:val="0"/>
      <w:marTop w:val="0"/>
      <w:marBottom w:val="0"/>
      <w:divBdr>
        <w:top w:val="none" w:sz="0" w:space="0" w:color="auto"/>
        <w:left w:val="none" w:sz="0" w:space="0" w:color="auto"/>
        <w:bottom w:val="none" w:sz="0" w:space="0" w:color="auto"/>
        <w:right w:val="none" w:sz="0" w:space="0" w:color="auto"/>
      </w:divBdr>
    </w:div>
    <w:div w:id="58329732">
      <w:marLeft w:val="0"/>
      <w:marRight w:val="0"/>
      <w:marTop w:val="60"/>
      <w:marBottom w:val="60"/>
      <w:divBdr>
        <w:top w:val="none" w:sz="0" w:space="0" w:color="auto"/>
        <w:left w:val="none" w:sz="0" w:space="0" w:color="auto"/>
        <w:bottom w:val="none" w:sz="0" w:space="0" w:color="auto"/>
        <w:right w:val="none" w:sz="0" w:space="0" w:color="auto"/>
      </w:divBdr>
    </w:div>
    <w:div w:id="58525005">
      <w:marLeft w:val="0"/>
      <w:marRight w:val="0"/>
      <w:marTop w:val="60"/>
      <w:marBottom w:val="60"/>
      <w:divBdr>
        <w:top w:val="none" w:sz="0" w:space="0" w:color="auto"/>
        <w:left w:val="none" w:sz="0" w:space="0" w:color="auto"/>
        <w:bottom w:val="none" w:sz="0" w:space="0" w:color="auto"/>
        <w:right w:val="none" w:sz="0" w:space="0" w:color="auto"/>
      </w:divBdr>
    </w:div>
    <w:div w:id="60060880">
      <w:marLeft w:val="0"/>
      <w:marRight w:val="0"/>
      <w:marTop w:val="180"/>
      <w:marBottom w:val="180"/>
      <w:divBdr>
        <w:top w:val="none" w:sz="0" w:space="0" w:color="auto"/>
        <w:left w:val="none" w:sz="0" w:space="0" w:color="auto"/>
        <w:bottom w:val="none" w:sz="0" w:space="0" w:color="auto"/>
        <w:right w:val="none" w:sz="0" w:space="0" w:color="auto"/>
      </w:divBdr>
    </w:div>
    <w:div w:id="62070522">
      <w:marLeft w:val="0"/>
      <w:marRight w:val="0"/>
      <w:marTop w:val="60"/>
      <w:marBottom w:val="60"/>
      <w:divBdr>
        <w:top w:val="none" w:sz="0" w:space="0" w:color="auto"/>
        <w:left w:val="none" w:sz="0" w:space="0" w:color="auto"/>
        <w:bottom w:val="none" w:sz="0" w:space="0" w:color="auto"/>
        <w:right w:val="none" w:sz="0" w:space="0" w:color="auto"/>
      </w:divBdr>
    </w:div>
    <w:div w:id="63528628">
      <w:marLeft w:val="0"/>
      <w:marRight w:val="0"/>
      <w:marTop w:val="60"/>
      <w:marBottom w:val="60"/>
      <w:divBdr>
        <w:top w:val="none" w:sz="0" w:space="0" w:color="auto"/>
        <w:left w:val="none" w:sz="0" w:space="0" w:color="auto"/>
        <w:bottom w:val="none" w:sz="0" w:space="0" w:color="auto"/>
        <w:right w:val="none" w:sz="0" w:space="0" w:color="auto"/>
      </w:divBdr>
    </w:div>
    <w:div w:id="65492363">
      <w:marLeft w:val="0"/>
      <w:marRight w:val="0"/>
      <w:marTop w:val="180"/>
      <w:marBottom w:val="180"/>
      <w:divBdr>
        <w:top w:val="none" w:sz="0" w:space="0" w:color="auto"/>
        <w:left w:val="none" w:sz="0" w:space="0" w:color="auto"/>
        <w:bottom w:val="none" w:sz="0" w:space="0" w:color="auto"/>
        <w:right w:val="none" w:sz="0" w:space="0" w:color="auto"/>
      </w:divBdr>
    </w:div>
    <w:div w:id="66652762">
      <w:marLeft w:val="0"/>
      <w:marRight w:val="0"/>
      <w:marTop w:val="0"/>
      <w:marBottom w:val="0"/>
      <w:divBdr>
        <w:top w:val="none" w:sz="0" w:space="0" w:color="auto"/>
        <w:left w:val="none" w:sz="0" w:space="0" w:color="auto"/>
        <w:bottom w:val="none" w:sz="0" w:space="0" w:color="auto"/>
        <w:right w:val="none" w:sz="0" w:space="0" w:color="auto"/>
      </w:divBdr>
    </w:div>
    <w:div w:id="71702924">
      <w:marLeft w:val="0"/>
      <w:marRight w:val="0"/>
      <w:marTop w:val="180"/>
      <w:marBottom w:val="180"/>
      <w:divBdr>
        <w:top w:val="none" w:sz="0" w:space="0" w:color="auto"/>
        <w:left w:val="none" w:sz="0" w:space="0" w:color="auto"/>
        <w:bottom w:val="none" w:sz="0" w:space="0" w:color="auto"/>
        <w:right w:val="none" w:sz="0" w:space="0" w:color="auto"/>
      </w:divBdr>
    </w:div>
    <w:div w:id="73284261">
      <w:marLeft w:val="0"/>
      <w:marRight w:val="0"/>
      <w:marTop w:val="0"/>
      <w:marBottom w:val="0"/>
      <w:divBdr>
        <w:top w:val="none" w:sz="0" w:space="0" w:color="auto"/>
        <w:left w:val="none" w:sz="0" w:space="0" w:color="auto"/>
        <w:bottom w:val="none" w:sz="0" w:space="0" w:color="auto"/>
        <w:right w:val="none" w:sz="0" w:space="0" w:color="auto"/>
      </w:divBdr>
    </w:div>
    <w:div w:id="73362303">
      <w:marLeft w:val="0"/>
      <w:marRight w:val="0"/>
      <w:marTop w:val="0"/>
      <w:marBottom w:val="0"/>
      <w:divBdr>
        <w:top w:val="none" w:sz="0" w:space="0" w:color="auto"/>
        <w:left w:val="none" w:sz="0" w:space="0" w:color="auto"/>
        <w:bottom w:val="none" w:sz="0" w:space="0" w:color="auto"/>
        <w:right w:val="none" w:sz="0" w:space="0" w:color="auto"/>
      </w:divBdr>
      <w:divsChild>
        <w:div w:id="981084456">
          <w:marLeft w:val="0"/>
          <w:marRight w:val="0"/>
          <w:marTop w:val="0"/>
          <w:marBottom w:val="0"/>
          <w:divBdr>
            <w:top w:val="none" w:sz="0" w:space="0" w:color="auto"/>
            <w:left w:val="none" w:sz="0" w:space="0" w:color="auto"/>
            <w:bottom w:val="none" w:sz="0" w:space="0" w:color="auto"/>
            <w:right w:val="none" w:sz="0" w:space="0" w:color="auto"/>
          </w:divBdr>
          <w:divsChild>
            <w:div w:id="97498522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4937257">
      <w:marLeft w:val="0"/>
      <w:marRight w:val="0"/>
      <w:marTop w:val="180"/>
      <w:marBottom w:val="180"/>
      <w:divBdr>
        <w:top w:val="none" w:sz="0" w:space="0" w:color="auto"/>
        <w:left w:val="none" w:sz="0" w:space="0" w:color="auto"/>
        <w:bottom w:val="none" w:sz="0" w:space="0" w:color="auto"/>
        <w:right w:val="none" w:sz="0" w:space="0" w:color="auto"/>
      </w:divBdr>
    </w:div>
    <w:div w:id="76100728">
      <w:marLeft w:val="0"/>
      <w:marRight w:val="0"/>
      <w:marTop w:val="0"/>
      <w:marBottom w:val="0"/>
      <w:divBdr>
        <w:top w:val="none" w:sz="0" w:space="0" w:color="auto"/>
        <w:left w:val="none" w:sz="0" w:space="0" w:color="auto"/>
        <w:bottom w:val="none" w:sz="0" w:space="0" w:color="auto"/>
        <w:right w:val="none" w:sz="0" w:space="0" w:color="auto"/>
      </w:divBdr>
      <w:divsChild>
        <w:div w:id="1447850646">
          <w:marLeft w:val="0"/>
          <w:marRight w:val="0"/>
          <w:marTop w:val="60"/>
          <w:marBottom w:val="60"/>
          <w:divBdr>
            <w:top w:val="none" w:sz="0" w:space="0" w:color="auto"/>
            <w:left w:val="none" w:sz="0" w:space="0" w:color="auto"/>
            <w:bottom w:val="none" w:sz="0" w:space="0" w:color="auto"/>
            <w:right w:val="none" w:sz="0" w:space="0" w:color="auto"/>
          </w:divBdr>
        </w:div>
      </w:divsChild>
    </w:div>
    <w:div w:id="76172022">
      <w:marLeft w:val="0"/>
      <w:marRight w:val="0"/>
      <w:marTop w:val="60"/>
      <w:marBottom w:val="60"/>
      <w:divBdr>
        <w:top w:val="none" w:sz="0" w:space="0" w:color="auto"/>
        <w:left w:val="none" w:sz="0" w:space="0" w:color="auto"/>
        <w:bottom w:val="none" w:sz="0" w:space="0" w:color="auto"/>
        <w:right w:val="none" w:sz="0" w:space="0" w:color="auto"/>
      </w:divBdr>
    </w:div>
    <w:div w:id="78258203">
      <w:marLeft w:val="0"/>
      <w:marRight w:val="0"/>
      <w:marTop w:val="180"/>
      <w:marBottom w:val="180"/>
      <w:divBdr>
        <w:top w:val="none" w:sz="0" w:space="0" w:color="auto"/>
        <w:left w:val="none" w:sz="0" w:space="0" w:color="auto"/>
        <w:bottom w:val="none" w:sz="0" w:space="0" w:color="auto"/>
        <w:right w:val="none" w:sz="0" w:space="0" w:color="auto"/>
      </w:divBdr>
    </w:div>
    <w:div w:id="79567682">
      <w:marLeft w:val="0"/>
      <w:marRight w:val="0"/>
      <w:marTop w:val="120"/>
      <w:marBottom w:val="180"/>
      <w:divBdr>
        <w:top w:val="none" w:sz="0" w:space="0" w:color="auto"/>
        <w:left w:val="none" w:sz="0" w:space="0" w:color="auto"/>
        <w:bottom w:val="none" w:sz="0" w:space="0" w:color="auto"/>
        <w:right w:val="none" w:sz="0" w:space="0" w:color="auto"/>
      </w:divBdr>
    </w:div>
    <w:div w:id="79957822">
      <w:marLeft w:val="0"/>
      <w:marRight w:val="0"/>
      <w:marTop w:val="0"/>
      <w:marBottom w:val="0"/>
      <w:divBdr>
        <w:top w:val="none" w:sz="0" w:space="0" w:color="auto"/>
        <w:left w:val="none" w:sz="0" w:space="0" w:color="auto"/>
        <w:bottom w:val="none" w:sz="0" w:space="0" w:color="auto"/>
        <w:right w:val="none" w:sz="0" w:space="0" w:color="auto"/>
      </w:divBdr>
      <w:divsChild>
        <w:div w:id="1714571272">
          <w:marLeft w:val="0"/>
          <w:marRight w:val="0"/>
          <w:marTop w:val="0"/>
          <w:marBottom w:val="0"/>
          <w:divBdr>
            <w:top w:val="none" w:sz="0" w:space="0" w:color="auto"/>
            <w:left w:val="none" w:sz="0" w:space="0" w:color="auto"/>
            <w:bottom w:val="none" w:sz="0" w:space="0" w:color="auto"/>
            <w:right w:val="none" w:sz="0" w:space="0" w:color="auto"/>
          </w:divBdr>
          <w:divsChild>
            <w:div w:id="55378077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0106774">
      <w:marLeft w:val="0"/>
      <w:marRight w:val="0"/>
      <w:marTop w:val="180"/>
      <w:marBottom w:val="180"/>
      <w:divBdr>
        <w:top w:val="none" w:sz="0" w:space="0" w:color="auto"/>
        <w:left w:val="none" w:sz="0" w:space="0" w:color="auto"/>
        <w:bottom w:val="none" w:sz="0" w:space="0" w:color="auto"/>
        <w:right w:val="none" w:sz="0" w:space="0" w:color="auto"/>
      </w:divBdr>
    </w:div>
    <w:div w:id="81998799">
      <w:marLeft w:val="0"/>
      <w:marRight w:val="0"/>
      <w:marTop w:val="0"/>
      <w:marBottom w:val="0"/>
      <w:divBdr>
        <w:top w:val="none" w:sz="0" w:space="0" w:color="auto"/>
        <w:left w:val="none" w:sz="0" w:space="0" w:color="auto"/>
        <w:bottom w:val="none" w:sz="0" w:space="0" w:color="auto"/>
        <w:right w:val="none" w:sz="0" w:space="0" w:color="auto"/>
      </w:divBdr>
    </w:div>
    <w:div w:id="82453206">
      <w:marLeft w:val="0"/>
      <w:marRight w:val="0"/>
      <w:marTop w:val="0"/>
      <w:marBottom w:val="60"/>
      <w:divBdr>
        <w:top w:val="none" w:sz="0" w:space="0" w:color="auto"/>
        <w:left w:val="none" w:sz="0" w:space="0" w:color="auto"/>
        <w:bottom w:val="none" w:sz="0" w:space="0" w:color="auto"/>
        <w:right w:val="none" w:sz="0" w:space="0" w:color="auto"/>
      </w:divBdr>
    </w:div>
    <w:div w:id="84039831">
      <w:marLeft w:val="0"/>
      <w:marRight w:val="0"/>
      <w:marTop w:val="0"/>
      <w:marBottom w:val="0"/>
      <w:divBdr>
        <w:top w:val="none" w:sz="0" w:space="0" w:color="auto"/>
        <w:left w:val="none" w:sz="0" w:space="0" w:color="auto"/>
        <w:bottom w:val="none" w:sz="0" w:space="0" w:color="auto"/>
        <w:right w:val="none" w:sz="0" w:space="0" w:color="auto"/>
      </w:divBdr>
      <w:divsChild>
        <w:div w:id="1185632719">
          <w:marLeft w:val="0"/>
          <w:marRight w:val="0"/>
          <w:marTop w:val="0"/>
          <w:marBottom w:val="0"/>
          <w:divBdr>
            <w:top w:val="none" w:sz="0" w:space="0" w:color="auto"/>
            <w:left w:val="none" w:sz="0" w:space="0" w:color="auto"/>
            <w:bottom w:val="none" w:sz="0" w:space="0" w:color="auto"/>
            <w:right w:val="none" w:sz="0" w:space="0" w:color="auto"/>
          </w:divBdr>
          <w:divsChild>
            <w:div w:id="186621188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6119291">
      <w:marLeft w:val="0"/>
      <w:marRight w:val="0"/>
      <w:marTop w:val="100"/>
      <w:marBottom w:val="0"/>
      <w:divBdr>
        <w:top w:val="none" w:sz="0" w:space="0" w:color="auto"/>
        <w:left w:val="none" w:sz="0" w:space="0" w:color="auto"/>
        <w:bottom w:val="none" w:sz="0" w:space="0" w:color="auto"/>
        <w:right w:val="none" w:sz="0" w:space="0" w:color="auto"/>
      </w:divBdr>
    </w:div>
    <w:div w:id="90274255">
      <w:marLeft w:val="0"/>
      <w:marRight w:val="0"/>
      <w:marTop w:val="180"/>
      <w:marBottom w:val="180"/>
      <w:divBdr>
        <w:top w:val="none" w:sz="0" w:space="0" w:color="auto"/>
        <w:left w:val="none" w:sz="0" w:space="0" w:color="auto"/>
        <w:bottom w:val="none" w:sz="0" w:space="0" w:color="auto"/>
        <w:right w:val="none" w:sz="0" w:space="0" w:color="auto"/>
      </w:divBdr>
    </w:div>
    <w:div w:id="90391859">
      <w:marLeft w:val="0"/>
      <w:marRight w:val="0"/>
      <w:marTop w:val="180"/>
      <w:marBottom w:val="180"/>
      <w:divBdr>
        <w:top w:val="none" w:sz="0" w:space="0" w:color="auto"/>
        <w:left w:val="none" w:sz="0" w:space="0" w:color="auto"/>
        <w:bottom w:val="none" w:sz="0" w:space="0" w:color="auto"/>
        <w:right w:val="none" w:sz="0" w:space="0" w:color="auto"/>
      </w:divBdr>
    </w:div>
    <w:div w:id="93668001">
      <w:marLeft w:val="0"/>
      <w:marRight w:val="0"/>
      <w:marTop w:val="180"/>
      <w:marBottom w:val="180"/>
      <w:divBdr>
        <w:top w:val="none" w:sz="0" w:space="0" w:color="auto"/>
        <w:left w:val="none" w:sz="0" w:space="0" w:color="auto"/>
        <w:bottom w:val="none" w:sz="0" w:space="0" w:color="auto"/>
        <w:right w:val="none" w:sz="0" w:space="0" w:color="auto"/>
      </w:divBdr>
    </w:div>
    <w:div w:id="94787459">
      <w:marLeft w:val="0"/>
      <w:marRight w:val="0"/>
      <w:marTop w:val="180"/>
      <w:marBottom w:val="180"/>
      <w:divBdr>
        <w:top w:val="none" w:sz="0" w:space="0" w:color="auto"/>
        <w:left w:val="none" w:sz="0" w:space="0" w:color="auto"/>
        <w:bottom w:val="none" w:sz="0" w:space="0" w:color="auto"/>
        <w:right w:val="none" w:sz="0" w:space="0" w:color="auto"/>
      </w:divBdr>
    </w:div>
    <w:div w:id="95250269">
      <w:marLeft w:val="0"/>
      <w:marRight w:val="0"/>
      <w:marTop w:val="0"/>
      <w:marBottom w:val="0"/>
      <w:divBdr>
        <w:top w:val="none" w:sz="0" w:space="0" w:color="auto"/>
        <w:left w:val="none" w:sz="0" w:space="0" w:color="auto"/>
        <w:bottom w:val="none" w:sz="0" w:space="0" w:color="auto"/>
        <w:right w:val="none" w:sz="0" w:space="0" w:color="auto"/>
      </w:divBdr>
    </w:div>
    <w:div w:id="96758861">
      <w:marLeft w:val="0"/>
      <w:marRight w:val="0"/>
      <w:marTop w:val="180"/>
      <w:marBottom w:val="180"/>
      <w:divBdr>
        <w:top w:val="none" w:sz="0" w:space="0" w:color="auto"/>
        <w:left w:val="none" w:sz="0" w:space="0" w:color="auto"/>
        <w:bottom w:val="none" w:sz="0" w:space="0" w:color="auto"/>
        <w:right w:val="none" w:sz="0" w:space="0" w:color="auto"/>
      </w:divBdr>
    </w:div>
    <w:div w:id="98306439">
      <w:marLeft w:val="0"/>
      <w:marRight w:val="0"/>
      <w:marTop w:val="60"/>
      <w:marBottom w:val="60"/>
      <w:divBdr>
        <w:top w:val="none" w:sz="0" w:space="0" w:color="auto"/>
        <w:left w:val="none" w:sz="0" w:space="0" w:color="auto"/>
        <w:bottom w:val="none" w:sz="0" w:space="0" w:color="auto"/>
        <w:right w:val="none" w:sz="0" w:space="0" w:color="auto"/>
      </w:divBdr>
    </w:div>
    <w:div w:id="99574499">
      <w:marLeft w:val="0"/>
      <w:marRight w:val="0"/>
      <w:marTop w:val="180"/>
      <w:marBottom w:val="180"/>
      <w:divBdr>
        <w:top w:val="none" w:sz="0" w:space="0" w:color="auto"/>
        <w:left w:val="none" w:sz="0" w:space="0" w:color="auto"/>
        <w:bottom w:val="none" w:sz="0" w:space="0" w:color="auto"/>
        <w:right w:val="none" w:sz="0" w:space="0" w:color="auto"/>
      </w:divBdr>
    </w:div>
    <w:div w:id="103697404">
      <w:marLeft w:val="0"/>
      <w:marRight w:val="0"/>
      <w:marTop w:val="100"/>
      <w:marBottom w:val="0"/>
      <w:divBdr>
        <w:top w:val="none" w:sz="0" w:space="0" w:color="auto"/>
        <w:left w:val="none" w:sz="0" w:space="0" w:color="auto"/>
        <w:bottom w:val="none" w:sz="0" w:space="0" w:color="auto"/>
        <w:right w:val="none" w:sz="0" w:space="0" w:color="auto"/>
      </w:divBdr>
    </w:div>
    <w:div w:id="104547083">
      <w:marLeft w:val="0"/>
      <w:marRight w:val="0"/>
      <w:marTop w:val="180"/>
      <w:marBottom w:val="180"/>
      <w:divBdr>
        <w:top w:val="none" w:sz="0" w:space="0" w:color="auto"/>
        <w:left w:val="none" w:sz="0" w:space="0" w:color="auto"/>
        <w:bottom w:val="none" w:sz="0" w:space="0" w:color="auto"/>
        <w:right w:val="none" w:sz="0" w:space="0" w:color="auto"/>
      </w:divBdr>
    </w:div>
    <w:div w:id="104691436">
      <w:marLeft w:val="0"/>
      <w:marRight w:val="0"/>
      <w:marTop w:val="0"/>
      <w:marBottom w:val="0"/>
      <w:divBdr>
        <w:top w:val="none" w:sz="0" w:space="0" w:color="auto"/>
        <w:left w:val="none" w:sz="0" w:space="0" w:color="auto"/>
        <w:bottom w:val="none" w:sz="0" w:space="0" w:color="auto"/>
        <w:right w:val="none" w:sz="0" w:space="0" w:color="auto"/>
      </w:divBdr>
    </w:div>
    <w:div w:id="109739600">
      <w:marLeft w:val="0"/>
      <w:marRight w:val="0"/>
      <w:marTop w:val="180"/>
      <w:marBottom w:val="180"/>
      <w:divBdr>
        <w:top w:val="none" w:sz="0" w:space="0" w:color="auto"/>
        <w:left w:val="none" w:sz="0" w:space="0" w:color="auto"/>
        <w:bottom w:val="none" w:sz="0" w:space="0" w:color="auto"/>
        <w:right w:val="none" w:sz="0" w:space="0" w:color="auto"/>
      </w:divBdr>
    </w:div>
    <w:div w:id="110175340">
      <w:marLeft w:val="0"/>
      <w:marRight w:val="0"/>
      <w:marTop w:val="180"/>
      <w:marBottom w:val="180"/>
      <w:divBdr>
        <w:top w:val="none" w:sz="0" w:space="0" w:color="auto"/>
        <w:left w:val="none" w:sz="0" w:space="0" w:color="auto"/>
        <w:bottom w:val="none" w:sz="0" w:space="0" w:color="auto"/>
        <w:right w:val="none" w:sz="0" w:space="0" w:color="auto"/>
      </w:divBdr>
    </w:div>
    <w:div w:id="110588234">
      <w:marLeft w:val="0"/>
      <w:marRight w:val="0"/>
      <w:marTop w:val="180"/>
      <w:marBottom w:val="180"/>
      <w:divBdr>
        <w:top w:val="none" w:sz="0" w:space="0" w:color="auto"/>
        <w:left w:val="none" w:sz="0" w:space="0" w:color="auto"/>
        <w:bottom w:val="none" w:sz="0" w:space="0" w:color="auto"/>
        <w:right w:val="none" w:sz="0" w:space="0" w:color="auto"/>
      </w:divBdr>
    </w:div>
    <w:div w:id="112329174">
      <w:marLeft w:val="0"/>
      <w:marRight w:val="0"/>
      <w:marTop w:val="60"/>
      <w:marBottom w:val="60"/>
      <w:divBdr>
        <w:top w:val="none" w:sz="0" w:space="0" w:color="auto"/>
        <w:left w:val="none" w:sz="0" w:space="0" w:color="auto"/>
        <w:bottom w:val="none" w:sz="0" w:space="0" w:color="auto"/>
        <w:right w:val="none" w:sz="0" w:space="0" w:color="auto"/>
      </w:divBdr>
    </w:div>
    <w:div w:id="115373215">
      <w:marLeft w:val="0"/>
      <w:marRight w:val="0"/>
      <w:marTop w:val="180"/>
      <w:marBottom w:val="180"/>
      <w:divBdr>
        <w:top w:val="none" w:sz="0" w:space="0" w:color="auto"/>
        <w:left w:val="none" w:sz="0" w:space="0" w:color="auto"/>
        <w:bottom w:val="none" w:sz="0" w:space="0" w:color="auto"/>
        <w:right w:val="none" w:sz="0" w:space="0" w:color="auto"/>
      </w:divBdr>
    </w:div>
    <w:div w:id="116878386">
      <w:marLeft w:val="0"/>
      <w:marRight w:val="0"/>
      <w:marTop w:val="180"/>
      <w:marBottom w:val="180"/>
      <w:divBdr>
        <w:top w:val="none" w:sz="0" w:space="0" w:color="auto"/>
        <w:left w:val="none" w:sz="0" w:space="0" w:color="auto"/>
        <w:bottom w:val="none" w:sz="0" w:space="0" w:color="auto"/>
        <w:right w:val="none" w:sz="0" w:space="0" w:color="auto"/>
      </w:divBdr>
    </w:div>
    <w:div w:id="116917811">
      <w:marLeft w:val="0"/>
      <w:marRight w:val="0"/>
      <w:marTop w:val="180"/>
      <w:marBottom w:val="180"/>
      <w:divBdr>
        <w:top w:val="none" w:sz="0" w:space="0" w:color="auto"/>
        <w:left w:val="none" w:sz="0" w:space="0" w:color="auto"/>
        <w:bottom w:val="none" w:sz="0" w:space="0" w:color="auto"/>
        <w:right w:val="none" w:sz="0" w:space="0" w:color="auto"/>
      </w:divBdr>
    </w:div>
    <w:div w:id="118111123">
      <w:marLeft w:val="0"/>
      <w:marRight w:val="0"/>
      <w:marTop w:val="60"/>
      <w:marBottom w:val="60"/>
      <w:divBdr>
        <w:top w:val="none" w:sz="0" w:space="0" w:color="auto"/>
        <w:left w:val="none" w:sz="0" w:space="0" w:color="auto"/>
        <w:bottom w:val="none" w:sz="0" w:space="0" w:color="auto"/>
        <w:right w:val="none" w:sz="0" w:space="0" w:color="auto"/>
      </w:divBdr>
    </w:div>
    <w:div w:id="119496779">
      <w:marLeft w:val="0"/>
      <w:marRight w:val="0"/>
      <w:marTop w:val="180"/>
      <w:marBottom w:val="180"/>
      <w:divBdr>
        <w:top w:val="none" w:sz="0" w:space="0" w:color="auto"/>
        <w:left w:val="none" w:sz="0" w:space="0" w:color="auto"/>
        <w:bottom w:val="none" w:sz="0" w:space="0" w:color="auto"/>
        <w:right w:val="none" w:sz="0" w:space="0" w:color="auto"/>
      </w:divBdr>
    </w:div>
    <w:div w:id="121198609">
      <w:marLeft w:val="0"/>
      <w:marRight w:val="0"/>
      <w:marTop w:val="0"/>
      <w:marBottom w:val="0"/>
      <w:divBdr>
        <w:top w:val="none" w:sz="0" w:space="0" w:color="auto"/>
        <w:left w:val="none" w:sz="0" w:space="0" w:color="auto"/>
        <w:bottom w:val="none" w:sz="0" w:space="0" w:color="auto"/>
        <w:right w:val="none" w:sz="0" w:space="0" w:color="auto"/>
      </w:divBdr>
    </w:div>
    <w:div w:id="123160526">
      <w:marLeft w:val="0"/>
      <w:marRight w:val="0"/>
      <w:marTop w:val="180"/>
      <w:marBottom w:val="180"/>
      <w:divBdr>
        <w:top w:val="none" w:sz="0" w:space="0" w:color="auto"/>
        <w:left w:val="none" w:sz="0" w:space="0" w:color="auto"/>
        <w:bottom w:val="none" w:sz="0" w:space="0" w:color="auto"/>
        <w:right w:val="none" w:sz="0" w:space="0" w:color="auto"/>
      </w:divBdr>
    </w:div>
    <w:div w:id="123890555">
      <w:marLeft w:val="0"/>
      <w:marRight w:val="0"/>
      <w:marTop w:val="0"/>
      <w:marBottom w:val="0"/>
      <w:divBdr>
        <w:top w:val="none" w:sz="0" w:space="0" w:color="auto"/>
        <w:left w:val="none" w:sz="0" w:space="0" w:color="auto"/>
        <w:bottom w:val="none" w:sz="0" w:space="0" w:color="auto"/>
        <w:right w:val="none" w:sz="0" w:space="0" w:color="auto"/>
      </w:divBdr>
      <w:divsChild>
        <w:div w:id="1115179393">
          <w:marLeft w:val="0"/>
          <w:marRight w:val="0"/>
          <w:marTop w:val="60"/>
          <w:marBottom w:val="60"/>
          <w:divBdr>
            <w:top w:val="none" w:sz="0" w:space="0" w:color="auto"/>
            <w:left w:val="none" w:sz="0" w:space="0" w:color="auto"/>
            <w:bottom w:val="none" w:sz="0" w:space="0" w:color="auto"/>
            <w:right w:val="none" w:sz="0" w:space="0" w:color="auto"/>
          </w:divBdr>
        </w:div>
      </w:divsChild>
    </w:div>
    <w:div w:id="124738331">
      <w:marLeft w:val="0"/>
      <w:marRight w:val="0"/>
      <w:marTop w:val="180"/>
      <w:marBottom w:val="180"/>
      <w:divBdr>
        <w:top w:val="none" w:sz="0" w:space="0" w:color="auto"/>
        <w:left w:val="none" w:sz="0" w:space="0" w:color="auto"/>
        <w:bottom w:val="none" w:sz="0" w:space="0" w:color="auto"/>
        <w:right w:val="none" w:sz="0" w:space="0" w:color="auto"/>
      </w:divBdr>
    </w:div>
    <w:div w:id="129517121">
      <w:marLeft w:val="0"/>
      <w:marRight w:val="0"/>
      <w:marTop w:val="180"/>
      <w:marBottom w:val="180"/>
      <w:divBdr>
        <w:top w:val="none" w:sz="0" w:space="0" w:color="auto"/>
        <w:left w:val="none" w:sz="0" w:space="0" w:color="auto"/>
        <w:bottom w:val="none" w:sz="0" w:space="0" w:color="auto"/>
        <w:right w:val="none" w:sz="0" w:space="0" w:color="auto"/>
      </w:divBdr>
    </w:div>
    <w:div w:id="130372152">
      <w:marLeft w:val="0"/>
      <w:marRight w:val="0"/>
      <w:marTop w:val="0"/>
      <w:marBottom w:val="0"/>
      <w:divBdr>
        <w:top w:val="none" w:sz="0" w:space="0" w:color="auto"/>
        <w:left w:val="none" w:sz="0" w:space="0" w:color="auto"/>
        <w:bottom w:val="none" w:sz="0" w:space="0" w:color="auto"/>
        <w:right w:val="none" w:sz="0" w:space="0" w:color="auto"/>
      </w:divBdr>
    </w:div>
    <w:div w:id="138114172">
      <w:marLeft w:val="0"/>
      <w:marRight w:val="0"/>
      <w:marTop w:val="180"/>
      <w:marBottom w:val="180"/>
      <w:divBdr>
        <w:top w:val="none" w:sz="0" w:space="0" w:color="auto"/>
        <w:left w:val="none" w:sz="0" w:space="0" w:color="auto"/>
        <w:bottom w:val="none" w:sz="0" w:space="0" w:color="auto"/>
        <w:right w:val="none" w:sz="0" w:space="0" w:color="auto"/>
      </w:divBdr>
    </w:div>
    <w:div w:id="138960003">
      <w:marLeft w:val="0"/>
      <w:marRight w:val="0"/>
      <w:marTop w:val="180"/>
      <w:marBottom w:val="180"/>
      <w:divBdr>
        <w:top w:val="none" w:sz="0" w:space="0" w:color="auto"/>
        <w:left w:val="none" w:sz="0" w:space="0" w:color="auto"/>
        <w:bottom w:val="none" w:sz="0" w:space="0" w:color="auto"/>
        <w:right w:val="none" w:sz="0" w:space="0" w:color="auto"/>
      </w:divBdr>
    </w:div>
    <w:div w:id="140319245">
      <w:marLeft w:val="0"/>
      <w:marRight w:val="0"/>
      <w:marTop w:val="240"/>
      <w:marBottom w:val="180"/>
      <w:divBdr>
        <w:top w:val="none" w:sz="0" w:space="0" w:color="auto"/>
        <w:left w:val="none" w:sz="0" w:space="0" w:color="auto"/>
        <w:bottom w:val="none" w:sz="0" w:space="0" w:color="auto"/>
        <w:right w:val="none" w:sz="0" w:space="0" w:color="auto"/>
      </w:divBdr>
    </w:div>
    <w:div w:id="147483722">
      <w:marLeft w:val="0"/>
      <w:marRight w:val="0"/>
      <w:marTop w:val="180"/>
      <w:marBottom w:val="180"/>
      <w:divBdr>
        <w:top w:val="none" w:sz="0" w:space="0" w:color="auto"/>
        <w:left w:val="none" w:sz="0" w:space="0" w:color="auto"/>
        <w:bottom w:val="none" w:sz="0" w:space="0" w:color="auto"/>
        <w:right w:val="none" w:sz="0" w:space="0" w:color="auto"/>
      </w:divBdr>
    </w:div>
    <w:div w:id="152989038">
      <w:marLeft w:val="0"/>
      <w:marRight w:val="0"/>
      <w:marTop w:val="180"/>
      <w:marBottom w:val="180"/>
      <w:divBdr>
        <w:top w:val="none" w:sz="0" w:space="0" w:color="auto"/>
        <w:left w:val="none" w:sz="0" w:space="0" w:color="auto"/>
        <w:bottom w:val="none" w:sz="0" w:space="0" w:color="auto"/>
        <w:right w:val="none" w:sz="0" w:space="0" w:color="auto"/>
      </w:divBdr>
    </w:div>
    <w:div w:id="157233803">
      <w:marLeft w:val="0"/>
      <w:marRight w:val="0"/>
      <w:marTop w:val="0"/>
      <w:marBottom w:val="0"/>
      <w:divBdr>
        <w:top w:val="none" w:sz="0" w:space="0" w:color="auto"/>
        <w:left w:val="none" w:sz="0" w:space="0" w:color="auto"/>
        <w:bottom w:val="none" w:sz="0" w:space="0" w:color="auto"/>
        <w:right w:val="none" w:sz="0" w:space="0" w:color="auto"/>
      </w:divBdr>
    </w:div>
    <w:div w:id="157573169">
      <w:marLeft w:val="0"/>
      <w:marRight w:val="0"/>
      <w:marTop w:val="180"/>
      <w:marBottom w:val="180"/>
      <w:divBdr>
        <w:top w:val="none" w:sz="0" w:space="0" w:color="auto"/>
        <w:left w:val="none" w:sz="0" w:space="0" w:color="auto"/>
        <w:bottom w:val="none" w:sz="0" w:space="0" w:color="auto"/>
        <w:right w:val="none" w:sz="0" w:space="0" w:color="auto"/>
      </w:divBdr>
    </w:div>
    <w:div w:id="157775530">
      <w:marLeft w:val="0"/>
      <w:marRight w:val="0"/>
      <w:marTop w:val="180"/>
      <w:marBottom w:val="180"/>
      <w:divBdr>
        <w:top w:val="none" w:sz="0" w:space="0" w:color="auto"/>
        <w:left w:val="none" w:sz="0" w:space="0" w:color="auto"/>
        <w:bottom w:val="none" w:sz="0" w:space="0" w:color="auto"/>
        <w:right w:val="none" w:sz="0" w:space="0" w:color="auto"/>
      </w:divBdr>
    </w:div>
    <w:div w:id="164170870">
      <w:marLeft w:val="0"/>
      <w:marRight w:val="0"/>
      <w:marTop w:val="180"/>
      <w:marBottom w:val="60"/>
      <w:divBdr>
        <w:top w:val="none" w:sz="0" w:space="0" w:color="auto"/>
        <w:left w:val="none" w:sz="0" w:space="0" w:color="auto"/>
        <w:bottom w:val="none" w:sz="0" w:space="0" w:color="auto"/>
        <w:right w:val="none" w:sz="0" w:space="0" w:color="auto"/>
      </w:divBdr>
    </w:div>
    <w:div w:id="167138822">
      <w:marLeft w:val="0"/>
      <w:marRight w:val="0"/>
      <w:marTop w:val="180"/>
      <w:marBottom w:val="180"/>
      <w:divBdr>
        <w:top w:val="none" w:sz="0" w:space="0" w:color="auto"/>
        <w:left w:val="none" w:sz="0" w:space="0" w:color="auto"/>
        <w:bottom w:val="none" w:sz="0" w:space="0" w:color="auto"/>
        <w:right w:val="none" w:sz="0" w:space="0" w:color="auto"/>
      </w:divBdr>
    </w:div>
    <w:div w:id="167791957">
      <w:marLeft w:val="0"/>
      <w:marRight w:val="0"/>
      <w:marTop w:val="60"/>
      <w:marBottom w:val="60"/>
      <w:divBdr>
        <w:top w:val="none" w:sz="0" w:space="0" w:color="auto"/>
        <w:left w:val="none" w:sz="0" w:space="0" w:color="auto"/>
        <w:bottom w:val="none" w:sz="0" w:space="0" w:color="auto"/>
        <w:right w:val="none" w:sz="0" w:space="0" w:color="auto"/>
      </w:divBdr>
    </w:div>
    <w:div w:id="168519271">
      <w:marLeft w:val="0"/>
      <w:marRight w:val="0"/>
      <w:marTop w:val="60"/>
      <w:marBottom w:val="60"/>
      <w:divBdr>
        <w:top w:val="none" w:sz="0" w:space="0" w:color="auto"/>
        <w:left w:val="none" w:sz="0" w:space="0" w:color="auto"/>
        <w:bottom w:val="none" w:sz="0" w:space="0" w:color="auto"/>
        <w:right w:val="none" w:sz="0" w:space="0" w:color="auto"/>
      </w:divBdr>
    </w:div>
    <w:div w:id="171185172">
      <w:marLeft w:val="0"/>
      <w:marRight w:val="0"/>
      <w:marTop w:val="0"/>
      <w:marBottom w:val="0"/>
      <w:divBdr>
        <w:top w:val="none" w:sz="0" w:space="0" w:color="auto"/>
        <w:left w:val="none" w:sz="0" w:space="0" w:color="auto"/>
        <w:bottom w:val="none" w:sz="0" w:space="0" w:color="auto"/>
        <w:right w:val="none" w:sz="0" w:space="0" w:color="auto"/>
      </w:divBdr>
    </w:div>
    <w:div w:id="172889383">
      <w:marLeft w:val="0"/>
      <w:marRight w:val="0"/>
      <w:marTop w:val="180"/>
      <w:marBottom w:val="180"/>
      <w:divBdr>
        <w:top w:val="none" w:sz="0" w:space="0" w:color="auto"/>
        <w:left w:val="none" w:sz="0" w:space="0" w:color="auto"/>
        <w:bottom w:val="none" w:sz="0" w:space="0" w:color="auto"/>
        <w:right w:val="none" w:sz="0" w:space="0" w:color="auto"/>
      </w:divBdr>
    </w:div>
    <w:div w:id="175583094">
      <w:marLeft w:val="0"/>
      <w:marRight w:val="0"/>
      <w:marTop w:val="100"/>
      <w:marBottom w:val="0"/>
      <w:divBdr>
        <w:top w:val="none" w:sz="0" w:space="0" w:color="auto"/>
        <w:left w:val="none" w:sz="0" w:space="0" w:color="auto"/>
        <w:bottom w:val="none" w:sz="0" w:space="0" w:color="auto"/>
        <w:right w:val="none" w:sz="0" w:space="0" w:color="auto"/>
      </w:divBdr>
    </w:div>
    <w:div w:id="178541707">
      <w:marLeft w:val="0"/>
      <w:marRight w:val="0"/>
      <w:marTop w:val="60"/>
      <w:marBottom w:val="60"/>
      <w:divBdr>
        <w:top w:val="none" w:sz="0" w:space="0" w:color="auto"/>
        <w:left w:val="none" w:sz="0" w:space="0" w:color="auto"/>
        <w:bottom w:val="none" w:sz="0" w:space="0" w:color="auto"/>
        <w:right w:val="none" w:sz="0" w:space="0" w:color="auto"/>
      </w:divBdr>
    </w:div>
    <w:div w:id="179709202">
      <w:marLeft w:val="0"/>
      <w:marRight w:val="0"/>
      <w:marTop w:val="180"/>
      <w:marBottom w:val="180"/>
      <w:divBdr>
        <w:top w:val="none" w:sz="0" w:space="0" w:color="auto"/>
        <w:left w:val="none" w:sz="0" w:space="0" w:color="auto"/>
        <w:bottom w:val="none" w:sz="0" w:space="0" w:color="auto"/>
        <w:right w:val="none" w:sz="0" w:space="0" w:color="auto"/>
      </w:divBdr>
    </w:div>
    <w:div w:id="180626494">
      <w:marLeft w:val="0"/>
      <w:marRight w:val="0"/>
      <w:marTop w:val="180"/>
      <w:marBottom w:val="180"/>
      <w:divBdr>
        <w:top w:val="none" w:sz="0" w:space="0" w:color="auto"/>
        <w:left w:val="none" w:sz="0" w:space="0" w:color="auto"/>
        <w:bottom w:val="none" w:sz="0" w:space="0" w:color="auto"/>
        <w:right w:val="none" w:sz="0" w:space="0" w:color="auto"/>
      </w:divBdr>
    </w:div>
    <w:div w:id="183252694">
      <w:marLeft w:val="0"/>
      <w:marRight w:val="0"/>
      <w:marTop w:val="120"/>
      <w:marBottom w:val="180"/>
      <w:divBdr>
        <w:top w:val="none" w:sz="0" w:space="0" w:color="auto"/>
        <w:left w:val="none" w:sz="0" w:space="0" w:color="auto"/>
        <w:bottom w:val="none" w:sz="0" w:space="0" w:color="auto"/>
        <w:right w:val="none" w:sz="0" w:space="0" w:color="auto"/>
      </w:divBdr>
    </w:div>
    <w:div w:id="184832866">
      <w:marLeft w:val="0"/>
      <w:marRight w:val="0"/>
      <w:marTop w:val="0"/>
      <w:marBottom w:val="0"/>
      <w:divBdr>
        <w:top w:val="none" w:sz="0" w:space="0" w:color="auto"/>
        <w:left w:val="none" w:sz="0" w:space="0" w:color="auto"/>
        <w:bottom w:val="none" w:sz="0" w:space="0" w:color="auto"/>
        <w:right w:val="none" w:sz="0" w:space="0" w:color="auto"/>
      </w:divBdr>
    </w:div>
    <w:div w:id="185097223">
      <w:marLeft w:val="0"/>
      <w:marRight w:val="0"/>
      <w:marTop w:val="100"/>
      <w:marBottom w:val="0"/>
      <w:divBdr>
        <w:top w:val="none" w:sz="0" w:space="0" w:color="auto"/>
        <w:left w:val="none" w:sz="0" w:space="0" w:color="auto"/>
        <w:bottom w:val="none" w:sz="0" w:space="0" w:color="auto"/>
        <w:right w:val="none" w:sz="0" w:space="0" w:color="auto"/>
      </w:divBdr>
      <w:divsChild>
        <w:div w:id="116604481">
          <w:marLeft w:val="0"/>
          <w:marRight w:val="0"/>
          <w:marTop w:val="0"/>
          <w:marBottom w:val="0"/>
          <w:divBdr>
            <w:top w:val="none" w:sz="0" w:space="0" w:color="auto"/>
            <w:left w:val="none" w:sz="0" w:space="0" w:color="auto"/>
            <w:bottom w:val="none" w:sz="0" w:space="0" w:color="auto"/>
            <w:right w:val="none" w:sz="0" w:space="0" w:color="auto"/>
          </w:divBdr>
        </w:div>
      </w:divsChild>
    </w:div>
    <w:div w:id="185992811">
      <w:marLeft w:val="0"/>
      <w:marRight w:val="0"/>
      <w:marTop w:val="180"/>
      <w:marBottom w:val="180"/>
      <w:divBdr>
        <w:top w:val="none" w:sz="0" w:space="0" w:color="auto"/>
        <w:left w:val="none" w:sz="0" w:space="0" w:color="auto"/>
        <w:bottom w:val="none" w:sz="0" w:space="0" w:color="auto"/>
        <w:right w:val="none" w:sz="0" w:space="0" w:color="auto"/>
      </w:divBdr>
    </w:div>
    <w:div w:id="187645170">
      <w:marLeft w:val="0"/>
      <w:marRight w:val="0"/>
      <w:marTop w:val="180"/>
      <w:marBottom w:val="180"/>
      <w:divBdr>
        <w:top w:val="none" w:sz="0" w:space="0" w:color="auto"/>
        <w:left w:val="none" w:sz="0" w:space="0" w:color="auto"/>
        <w:bottom w:val="none" w:sz="0" w:space="0" w:color="auto"/>
        <w:right w:val="none" w:sz="0" w:space="0" w:color="auto"/>
      </w:divBdr>
    </w:div>
    <w:div w:id="187912681">
      <w:marLeft w:val="0"/>
      <w:marRight w:val="0"/>
      <w:marTop w:val="100"/>
      <w:marBottom w:val="0"/>
      <w:divBdr>
        <w:top w:val="none" w:sz="0" w:space="0" w:color="auto"/>
        <w:left w:val="none" w:sz="0" w:space="0" w:color="auto"/>
        <w:bottom w:val="none" w:sz="0" w:space="0" w:color="auto"/>
        <w:right w:val="none" w:sz="0" w:space="0" w:color="auto"/>
      </w:divBdr>
      <w:divsChild>
        <w:div w:id="1791968158">
          <w:marLeft w:val="0"/>
          <w:marRight w:val="0"/>
          <w:marTop w:val="0"/>
          <w:marBottom w:val="0"/>
          <w:divBdr>
            <w:top w:val="none" w:sz="0" w:space="0" w:color="auto"/>
            <w:left w:val="none" w:sz="0" w:space="0" w:color="auto"/>
            <w:bottom w:val="none" w:sz="0" w:space="0" w:color="auto"/>
            <w:right w:val="none" w:sz="0" w:space="0" w:color="auto"/>
          </w:divBdr>
        </w:div>
      </w:divsChild>
    </w:div>
    <w:div w:id="190267151">
      <w:marLeft w:val="0"/>
      <w:marRight w:val="0"/>
      <w:marTop w:val="60"/>
      <w:marBottom w:val="60"/>
      <w:divBdr>
        <w:top w:val="none" w:sz="0" w:space="0" w:color="auto"/>
        <w:left w:val="none" w:sz="0" w:space="0" w:color="auto"/>
        <w:bottom w:val="none" w:sz="0" w:space="0" w:color="auto"/>
        <w:right w:val="none" w:sz="0" w:space="0" w:color="auto"/>
      </w:divBdr>
    </w:div>
    <w:div w:id="192574617">
      <w:marLeft w:val="0"/>
      <w:marRight w:val="0"/>
      <w:marTop w:val="60"/>
      <w:marBottom w:val="60"/>
      <w:divBdr>
        <w:top w:val="none" w:sz="0" w:space="0" w:color="auto"/>
        <w:left w:val="none" w:sz="0" w:space="0" w:color="auto"/>
        <w:bottom w:val="none" w:sz="0" w:space="0" w:color="auto"/>
        <w:right w:val="none" w:sz="0" w:space="0" w:color="auto"/>
      </w:divBdr>
    </w:div>
    <w:div w:id="197744694">
      <w:marLeft w:val="0"/>
      <w:marRight w:val="0"/>
      <w:marTop w:val="0"/>
      <w:marBottom w:val="0"/>
      <w:divBdr>
        <w:top w:val="none" w:sz="0" w:space="0" w:color="auto"/>
        <w:left w:val="none" w:sz="0" w:space="0" w:color="auto"/>
        <w:bottom w:val="none" w:sz="0" w:space="0" w:color="auto"/>
        <w:right w:val="none" w:sz="0" w:space="0" w:color="auto"/>
      </w:divBdr>
    </w:div>
    <w:div w:id="198516158">
      <w:marLeft w:val="0"/>
      <w:marRight w:val="0"/>
      <w:marTop w:val="0"/>
      <w:marBottom w:val="0"/>
      <w:divBdr>
        <w:top w:val="none" w:sz="0" w:space="0" w:color="auto"/>
        <w:left w:val="none" w:sz="0" w:space="0" w:color="auto"/>
        <w:bottom w:val="none" w:sz="0" w:space="0" w:color="auto"/>
        <w:right w:val="none" w:sz="0" w:space="0" w:color="auto"/>
      </w:divBdr>
    </w:div>
    <w:div w:id="199368873">
      <w:marLeft w:val="0"/>
      <w:marRight w:val="0"/>
      <w:marTop w:val="180"/>
      <w:marBottom w:val="180"/>
      <w:divBdr>
        <w:top w:val="none" w:sz="0" w:space="0" w:color="auto"/>
        <w:left w:val="none" w:sz="0" w:space="0" w:color="auto"/>
        <w:bottom w:val="none" w:sz="0" w:space="0" w:color="auto"/>
        <w:right w:val="none" w:sz="0" w:space="0" w:color="auto"/>
      </w:divBdr>
    </w:div>
    <w:div w:id="204367541">
      <w:marLeft w:val="0"/>
      <w:marRight w:val="0"/>
      <w:marTop w:val="180"/>
      <w:marBottom w:val="60"/>
      <w:divBdr>
        <w:top w:val="none" w:sz="0" w:space="0" w:color="auto"/>
        <w:left w:val="none" w:sz="0" w:space="0" w:color="auto"/>
        <w:bottom w:val="none" w:sz="0" w:space="0" w:color="auto"/>
        <w:right w:val="none" w:sz="0" w:space="0" w:color="auto"/>
      </w:divBdr>
    </w:div>
    <w:div w:id="205266139">
      <w:marLeft w:val="0"/>
      <w:marRight w:val="0"/>
      <w:marTop w:val="60"/>
      <w:marBottom w:val="60"/>
      <w:divBdr>
        <w:top w:val="none" w:sz="0" w:space="0" w:color="auto"/>
        <w:left w:val="none" w:sz="0" w:space="0" w:color="auto"/>
        <w:bottom w:val="none" w:sz="0" w:space="0" w:color="auto"/>
        <w:right w:val="none" w:sz="0" w:space="0" w:color="auto"/>
      </w:divBdr>
    </w:div>
    <w:div w:id="207184579">
      <w:marLeft w:val="0"/>
      <w:marRight w:val="0"/>
      <w:marTop w:val="60"/>
      <w:marBottom w:val="60"/>
      <w:divBdr>
        <w:top w:val="none" w:sz="0" w:space="0" w:color="auto"/>
        <w:left w:val="none" w:sz="0" w:space="0" w:color="auto"/>
        <w:bottom w:val="none" w:sz="0" w:space="0" w:color="auto"/>
        <w:right w:val="none" w:sz="0" w:space="0" w:color="auto"/>
      </w:divBdr>
    </w:div>
    <w:div w:id="207302691">
      <w:marLeft w:val="0"/>
      <w:marRight w:val="0"/>
      <w:marTop w:val="0"/>
      <w:marBottom w:val="0"/>
      <w:divBdr>
        <w:top w:val="none" w:sz="0" w:space="0" w:color="auto"/>
        <w:left w:val="none" w:sz="0" w:space="0" w:color="auto"/>
        <w:bottom w:val="none" w:sz="0" w:space="0" w:color="auto"/>
        <w:right w:val="none" w:sz="0" w:space="0" w:color="auto"/>
      </w:divBdr>
      <w:divsChild>
        <w:div w:id="1306665293">
          <w:marLeft w:val="0"/>
          <w:marRight w:val="0"/>
          <w:marTop w:val="60"/>
          <w:marBottom w:val="60"/>
          <w:divBdr>
            <w:top w:val="none" w:sz="0" w:space="0" w:color="auto"/>
            <w:left w:val="none" w:sz="0" w:space="0" w:color="auto"/>
            <w:bottom w:val="none" w:sz="0" w:space="0" w:color="auto"/>
            <w:right w:val="none" w:sz="0" w:space="0" w:color="auto"/>
          </w:divBdr>
        </w:div>
      </w:divsChild>
    </w:div>
    <w:div w:id="208687953">
      <w:marLeft w:val="0"/>
      <w:marRight w:val="0"/>
      <w:marTop w:val="60"/>
      <w:marBottom w:val="60"/>
      <w:divBdr>
        <w:top w:val="none" w:sz="0" w:space="0" w:color="auto"/>
        <w:left w:val="none" w:sz="0" w:space="0" w:color="auto"/>
        <w:bottom w:val="none" w:sz="0" w:space="0" w:color="auto"/>
        <w:right w:val="none" w:sz="0" w:space="0" w:color="auto"/>
      </w:divBdr>
    </w:div>
    <w:div w:id="208883563">
      <w:marLeft w:val="0"/>
      <w:marRight w:val="0"/>
      <w:marTop w:val="60"/>
      <w:marBottom w:val="60"/>
      <w:divBdr>
        <w:top w:val="none" w:sz="0" w:space="0" w:color="auto"/>
        <w:left w:val="none" w:sz="0" w:space="0" w:color="auto"/>
        <w:bottom w:val="none" w:sz="0" w:space="0" w:color="auto"/>
        <w:right w:val="none" w:sz="0" w:space="0" w:color="auto"/>
      </w:divBdr>
    </w:div>
    <w:div w:id="212236650">
      <w:marLeft w:val="0"/>
      <w:marRight w:val="0"/>
      <w:marTop w:val="180"/>
      <w:marBottom w:val="180"/>
      <w:divBdr>
        <w:top w:val="none" w:sz="0" w:space="0" w:color="auto"/>
        <w:left w:val="none" w:sz="0" w:space="0" w:color="auto"/>
        <w:bottom w:val="none" w:sz="0" w:space="0" w:color="auto"/>
        <w:right w:val="none" w:sz="0" w:space="0" w:color="auto"/>
      </w:divBdr>
    </w:div>
    <w:div w:id="214973806">
      <w:marLeft w:val="0"/>
      <w:marRight w:val="0"/>
      <w:marTop w:val="180"/>
      <w:marBottom w:val="180"/>
      <w:divBdr>
        <w:top w:val="none" w:sz="0" w:space="0" w:color="auto"/>
        <w:left w:val="none" w:sz="0" w:space="0" w:color="auto"/>
        <w:bottom w:val="none" w:sz="0" w:space="0" w:color="auto"/>
        <w:right w:val="none" w:sz="0" w:space="0" w:color="auto"/>
      </w:divBdr>
    </w:div>
    <w:div w:id="218329410">
      <w:marLeft w:val="0"/>
      <w:marRight w:val="0"/>
      <w:marTop w:val="0"/>
      <w:marBottom w:val="0"/>
      <w:divBdr>
        <w:top w:val="none" w:sz="0" w:space="0" w:color="auto"/>
        <w:left w:val="none" w:sz="0" w:space="0" w:color="auto"/>
        <w:bottom w:val="none" w:sz="0" w:space="0" w:color="auto"/>
        <w:right w:val="none" w:sz="0" w:space="0" w:color="auto"/>
      </w:divBdr>
      <w:divsChild>
        <w:div w:id="198784438">
          <w:marLeft w:val="0"/>
          <w:marRight w:val="0"/>
          <w:marTop w:val="0"/>
          <w:marBottom w:val="180"/>
          <w:divBdr>
            <w:top w:val="none" w:sz="0" w:space="0" w:color="auto"/>
            <w:left w:val="none" w:sz="0" w:space="0" w:color="auto"/>
            <w:bottom w:val="none" w:sz="0" w:space="0" w:color="auto"/>
            <w:right w:val="none" w:sz="0" w:space="0" w:color="auto"/>
          </w:divBdr>
        </w:div>
      </w:divsChild>
    </w:div>
    <w:div w:id="218786008">
      <w:marLeft w:val="0"/>
      <w:marRight w:val="0"/>
      <w:marTop w:val="60"/>
      <w:marBottom w:val="60"/>
      <w:divBdr>
        <w:top w:val="none" w:sz="0" w:space="0" w:color="auto"/>
        <w:left w:val="none" w:sz="0" w:space="0" w:color="auto"/>
        <w:bottom w:val="none" w:sz="0" w:space="0" w:color="auto"/>
        <w:right w:val="none" w:sz="0" w:space="0" w:color="auto"/>
      </w:divBdr>
    </w:div>
    <w:div w:id="218830035">
      <w:marLeft w:val="0"/>
      <w:marRight w:val="0"/>
      <w:marTop w:val="60"/>
      <w:marBottom w:val="60"/>
      <w:divBdr>
        <w:top w:val="none" w:sz="0" w:space="0" w:color="auto"/>
        <w:left w:val="none" w:sz="0" w:space="0" w:color="auto"/>
        <w:bottom w:val="none" w:sz="0" w:space="0" w:color="auto"/>
        <w:right w:val="none" w:sz="0" w:space="0" w:color="auto"/>
      </w:divBdr>
    </w:div>
    <w:div w:id="222298695">
      <w:marLeft w:val="0"/>
      <w:marRight w:val="0"/>
      <w:marTop w:val="60"/>
      <w:marBottom w:val="60"/>
      <w:divBdr>
        <w:top w:val="none" w:sz="0" w:space="0" w:color="auto"/>
        <w:left w:val="none" w:sz="0" w:space="0" w:color="auto"/>
        <w:bottom w:val="none" w:sz="0" w:space="0" w:color="auto"/>
        <w:right w:val="none" w:sz="0" w:space="0" w:color="auto"/>
      </w:divBdr>
    </w:div>
    <w:div w:id="223033724">
      <w:marLeft w:val="0"/>
      <w:marRight w:val="0"/>
      <w:marTop w:val="180"/>
      <w:marBottom w:val="180"/>
      <w:divBdr>
        <w:top w:val="none" w:sz="0" w:space="0" w:color="auto"/>
        <w:left w:val="none" w:sz="0" w:space="0" w:color="auto"/>
        <w:bottom w:val="none" w:sz="0" w:space="0" w:color="auto"/>
        <w:right w:val="none" w:sz="0" w:space="0" w:color="auto"/>
      </w:divBdr>
    </w:div>
    <w:div w:id="223151450">
      <w:marLeft w:val="0"/>
      <w:marRight w:val="0"/>
      <w:marTop w:val="180"/>
      <w:marBottom w:val="180"/>
      <w:divBdr>
        <w:top w:val="none" w:sz="0" w:space="0" w:color="auto"/>
        <w:left w:val="none" w:sz="0" w:space="0" w:color="auto"/>
        <w:bottom w:val="none" w:sz="0" w:space="0" w:color="auto"/>
        <w:right w:val="none" w:sz="0" w:space="0" w:color="auto"/>
      </w:divBdr>
    </w:div>
    <w:div w:id="224417347">
      <w:marLeft w:val="0"/>
      <w:marRight w:val="0"/>
      <w:marTop w:val="180"/>
      <w:marBottom w:val="180"/>
      <w:divBdr>
        <w:top w:val="none" w:sz="0" w:space="0" w:color="auto"/>
        <w:left w:val="none" w:sz="0" w:space="0" w:color="auto"/>
        <w:bottom w:val="none" w:sz="0" w:space="0" w:color="auto"/>
        <w:right w:val="none" w:sz="0" w:space="0" w:color="auto"/>
      </w:divBdr>
    </w:div>
    <w:div w:id="227423202">
      <w:marLeft w:val="0"/>
      <w:marRight w:val="0"/>
      <w:marTop w:val="0"/>
      <w:marBottom w:val="0"/>
      <w:divBdr>
        <w:top w:val="none" w:sz="0" w:space="0" w:color="auto"/>
        <w:left w:val="none" w:sz="0" w:space="0" w:color="auto"/>
        <w:bottom w:val="none" w:sz="0" w:space="0" w:color="auto"/>
        <w:right w:val="none" w:sz="0" w:space="0" w:color="auto"/>
      </w:divBdr>
      <w:divsChild>
        <w:div w:id="1236746995">
          <w:marLeft w:val="0"/>
          <w:marRight w:val="0"/>
          <w:marTop w:val="60"/>
          <w:marBottom w:val="60"/>
          <w:divBdr>
            <w:top w:val="none" w:sz="0" w:space="0" w:color="auto"/>
            <w:left w:val="none" w:sz="0" w:space="0" w:color="auto"/>
            <w:bottom w:val="none" w:sz="0" w:space="0" w:color="auto"/>
            <w:right w:val="none" w:sz="0" w:space="0" w:color="auto"/>
          </w:divBdr>
        </w:div>
      </w:divsChild>
    </w:div>
    <w:div w:id="227809696">
      <w:marLeft w:val="0"/>
      <w:marRight w:val="0"/>
      <w:marTop w:val="180"/>
      <w:marBottom w:val="0"/>
      <w:divBdr>
        <w:top w:val="none" w:sz="0" w:space="0" w:color="auto"/>
        <w:left w:val="none" w:sz="0" w:space="0" w:color="auto"/>
        <w:bottom w:val="none" w:sz="0" w:space="0" w:color="auto"/>
        <w:right w:val="none" w:sz="0" w:space="0" w:color="auto"/>
      </w:divBdr>
      <w:divsChild>
        <w:div w:id="371224209">
          <w:marLeft w:val="0"/>
          <w:marRight w:val="0"/>
          <w:marTop w:val="0"/>
          <w:marBottom w:val="0"/>
          <w:divBdr>
            <w:top w:val="none" w:sz="0" w:space="0" w:color="auto"/>
            <w:left w:val="none" w:sz="0" w:space="0" w:color="auto"/>
            <w:bottom w:val="none" w:sz="0" w:space="0" w:color="auto"/>
            <w:right w:val="none" w:sz="0" w:space="0" w:color="auto"/>
          </w:divBdr>
        </w:div>
      </w:divsChild>
    </w:div>
    <w:div w:id="227959046">
      <w:marLeft w:val="0"/>
      <w:marRight w:val="0"/>
      <w:marTop w:val="180"/>
      <w:marBottom w:val="60"/>
      <w:divBdr>
        <w:top w:val="none" w:sz="0" w:space="0" w:color="auto"/>
        <w:left w:val="none" w:sz="0" w:space="0" w:color="auto"/>
        <w:bottom w:val="none" w:sz="0" w:space="0" w:color="auto"/>
        <w:right w:val="none" w:sz="0" w:space="0" w:color="auto"/>
      </w:divBdr>
    </w:div>
    <w:div w:id="230430785">
      <w:marLeft w:val="0"/>
      <w:marRight w:val="0"/>
      <w:marTop w:val="60"/>
      <w:marBottom w:val="60"/>
      <w:divBdr>
        <w:top w:val="none" w:sz="0" w:space="0" w:color="auto"/>
        <w:left w:val="none" w:sz="0" w:space="0" w:color="auto"/>
        <w:bottom w:val="none" w:sz="0" w:space="0" w:color="auto"/>
        <w:right w:val="none" w:sz="0" w:space="0" w:color="auto"/>
      </w:divBdr>
    </w:div>
    <w:div w:id="230583320">
      <w:marLeft w:val="0"/>
      <w:marRight w:val="0"/>
      <w:marTop w:val="0"/>
      <w:marBottom w:val="0"/>
      <w:divBdr>
        <w:top w:val="none" w:sz="0" w:space="0" w:color="auto"/>
        <w:left w:val="none" w:sz="0" w:space="0" w:color="auto"/>
        <w:bottom w:val="none" w:sz="0" w:space="0" w:color="auto"/>
        <w:right w:val="none" w:sz="0" w:space="0" w:color="auto"/>
      </w:divBdr>
    </w:div>
    <w:div w:id="231744980">
      <w:marLeft w:val="0"/>
      <w:marRight w:val="0"/>
      <w:marTop w:val="180"/>
      <w:marBottom w:val="180"/>
      <w:divBdr>
        <w:top w:val="none" w:sz="0" w:space="0" w:color="auto"/>
        <w:left w:val="none" w:sz="0" w:space="0" w:color="auto"/>
        <w:bottom w:val="none" w:sz="0" w:space="0" w:color="auto"/>
        <w:right w:val="none" w:sz="0" w:space="0" w:color="auto"/>
      </w:divBdr>
    </w:div>
    <w:div w:id="231821059">
      <w:marLeft w:val="0"/>
      <w:marRight w:val="0"/>
      <w:marTop w:val="60"/>
      <w:marBottom w:val="60"/>
      <w:divBdr>
        <w:top w:val="none" w:sz="0" w:space="0" w:color="auto"/>
        <w:left w:val="none" w:sz="0" w:space="0" w:color="auto"/>
        <w:bottom w:val="none" w:sz="0" w:space="0" w:color="auto"/>
        <w:right w:val="none" w:sz="0" w:space="0" w:color="auto"/>
      </w:divBdr>
    </w:div>
    <w:div w:id="233128868">
      <w:marLeft w:val="0"/>
      <w:marRight w:val="0"/>
      <w:marTop w:val="0"/>
      <w:marBottom w:val="0"/>
      <w:divBdr>
        <w:top w:val="none" w:sz="0" w:space="0" w:color="auto"/>
        <w:left w:val="none" w:sz="0" w:space="0" w:color="auto"/>
        <w:bottom w:val="none" w:sz="0" w:space="0" w:color="auto"/>
        <w:right w:val="none" w:sz="0" w:space="0" w:color="auto"/>
      </w:divBdr>
    </w:div>
    <w:div w:id="234584347">
      <w:marLeft w:val="0"/>
      <w:marRight w:val="0"/>
      <w:marTop w:val="0"/>
      <w:marBottom w:val="0"/>
      <w:divBdr>
        <w:top w:val="none" w:sz="0" w:space="0" w:color="auto"/>
        <w:left w:val="none" w:sz="0" w:space="0" w:color="auto"/>
        <w:bottom w:val="none" w:sz="0" w:space="0" w:color="auto"/>
        <w:right w:val="none" w:sz="0" w:space="0" w:color="auto"/>
      </w:divBdr>
      <w:divsChild>
        <w:div w:id="1886871692">
          <w:marLeft w:val="0"/>
          <w:marRight w:val="0"/>
          <w:marTop w:val="0"/>
          <w:marBottom w:val="0"/>
          <w:divBdr>
            <w:top w:val="none" w:sz="0" w:space="0" w:color="auto"/>
            <w:left w:val="none" w:sz="0" w:space="0" w:color="auto"/>
            <w:bottom w:val="none" w:sz="0" w:space="0" w:color="auto"/>
            <w:right w:val="none" w:sz="0" w:space="0" w:color="auto"/>
          </w:divBdr>
          <w:divsChild>
            <w:div w:id="72183393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35941833">
      <w:marLeft w:val="0"/>
      <w:marRight w:val="0"/>
      <w:marTop w:val="180"/>
      <w:marBottom w:val="180"/>
      <w:divBdr>
        <w:top w:val="none" w:sz="0" w:space="0" w:color="auto"/>
        <w:left w:val="none" w:sz="0" w:space="0" w:color="auto"/>
        <w:bottom w:val="none" w:sz="0" w:space="0" w:color="auto"/>
        <w:right w:val="none" w:sz="0" w:space="0" w:color="auto"/>
      </w:divBdr>
    </w:div>
    <w:div w:id="238180434">
      <w:marLeft w:val="0"/>
      <w:marRight w:val="0"/>
      <w:marTop w:val="60"/>
      <w:marBottom w:val="60"/>
      <w:divBdr>
        <w:top w:val="none" w:sz="0" w:space="0" w:color="auto"/>
        <w:left w:val="none" w:sz="0" w:space="0" w:color="auto"/>
        <w:bottom w:val="none" w:sz="0" w:space="0" w:color="auto"/>
        <w:right w:val="none" w:sz="0" w:space="0" w:color="auto"/>
      </w:divBdr>
    </w:div>
    <w:div w:id="238684440">
      <w:marLeft w:val="0"/>
      <w:marRight w:val="0"/>
      <w:marTop w:val="0"/>
      <w:marBottom w:val="0"/>
      <w:divBdr>
        <w:top w:val="none" w:sz="0" w:space="0" w:color="auto"/>
        <w:left w:val="none" w:sz="0" w:space="0" w:color="auto"/>
        <w:bottom w:val="none" w:sz="0" w:space="0" w:color="auto"/>
        <w:right w:val="none" w:sz="0" w:space="0" w:color="auto"/>
      </w:divBdr>
    </w:div>
    <w:div w:id="239559495">
      <w:marLeft w:val="0"/>
      <w:marRight w:val="0"/>
      <w:marTop w:val="180"/>
      <w:marBottom w:val="180"/>
      <w:divBdr>
        <w:top w:val="none" w:sz="0" w:space="0" w:color="auto"/>
        <w:left w:val="none" w:sz="0" w:space="0" w:color="auto"/>
        <w:bottom w:val="none" w:sz="0" w:space="0" w:color="auto"/>
        <w:right w:val="none" w:sz="0" w:space="0" w:color="auto"/>
      </w:divBdr>
    </w:div>
    <w:div w:id="241988668">
      <w:marLeft w:val="0"/>
      <w:marRight w:val="0"/>
      <w:marTop w:val="180"/>
      <w:marBottom w:val="180"/>
      <w:divBdr>
        <w:top w:val="none" w:sz="0" w:space="0" w:color="auto"/>
        <w:left w:val="none" w:sz="0" w:space="0" w:color="auto"/>
        <w:bottom w:val="none" w:sz="0" w:space="0" w:color="auto"/>
        <w:right w:val="none" w:sz="0" w:space="0" w:color="auto"/>
      </w:divBdr>
    </w:div>
    <w:div w:id="244149261">
      <w:marLeft w:val="0"/>
      <w:marRight w:val="0"/>
      <w:marTop w:val="0"/>
      <w:marBottom w:val="0"/>
      <w:divBdr>
        <w:top w:val="none" w:sz="0" w:space="0" w:color="auto"/>
        <w:left w:val="none" w:sz="0" w:space="0" w:color="auto"/>
        <w:bottom w:val="none" w:sz="0" w:space="0" w:color="auto"/>
        <w:right w:val="none" w:sz="0" w:space="0" w:color="auto"/>
      </w:divBdr>
    </w:div>
    <w:div w:id="244188682">
      <w:marLeft w:val="0"/>
      <w:marRight w:val="0"/>
      <w:marTop w:val="180"/>
      <w:marBottom w:val="180"/>
      <w:divBdr>
        <w:top w:val="none" w:sz="0" w:space="0" w:color="auto"/>
        <w:left w:val="none" w:sz="0" w:space="0" w:color="auto"/>
        <w:bottom w:val="none" w:sz="0" w:space="0" w:color="auto"/>
        <w:right w:val="none" w:sz="0" w:space="0" w:color="auto"/>
      </w:divBdr>
    </w:div>
    <w:div w:id="246112821">
      <w:marLeft w:val="0"/>
      <w:marRight w:val="0"/>
      <w:marTop w:val="180"/>
      <w:marBottom w:val="180"/>
      <w:divBdr>
        <w:top w:val="none" w:sz="0" w:space="0" w:color="auto"/>
        <w:left w:val="none" w:sz="0" w:space="0" w:color="auto"/>
        <w:bottom w:val="none" w:sz="0" w:space="0" w:color="auto"/>
        <w:right w:val="none" w:sz="0" w:space="0" w:color="auto"/>
      </w:divBdr>
    </w:div>
    <w:div w:id="247618789">
      <w:marLeft w:val="0"/>
      <w:marRight w:val="0"/>
      <w:marTop w:val="0"/>
      <w:marBottom w:val="0"/>
      <w:divBdr>
        <w:top w:val="none" w:sz="0" w:space="0" w:color="auto"/>
        <w:left w:val="none" w:sz="0" w:space="0" w:color="auto"/>
        <w:bottom w:val="none" w:sz="0" w:space="0" w:color="auto"/>
        <w:right w:val="none" w:sz="0" w:space="0" w:color="auto"/>
      </w:divBdr>
      <w:divsChild>
        <w:div w:id="588926618">
          <w:marLeft w:val="0"/>
          <w:marRight w:val="0"/>
          <w:marTop w:val="0"/>
          <w:marBottom w:val="0"/>
          <w:divBdr>
            <w:top w:val="none" w:sz="0" w:space="0" w:color="auto"/>
            <w:left w:val="none" w:sz="0" w:space="0" w:color="auto"/>
            <w:bottom w:val="none" w:sz="0" w:space="0" w:color="auto"/>
            <w:right w:val="none" w:sz="0" w:space="0" w:color="auto"/>
          </w:divBdr>
          <w:divsChild>
            <w:div w:id="95803205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49235959">
      <w:marLeft w:val="0"/>
      <w:marRight w:val="0"/>
      <w:marTop w:val="180"/>
      <w:marBottom w:val="180"/>
      <w:divBdr>
        <w:top w:val="none" w:sz="0" w:space="0" w:color="auto"/>
        <w:left w:val="none" w:sz="0" w:space="0" w:color="auto"/>
        <w:bottom w:val="none" w:sz="0" w:space="0" w:color="auto"/>
        <w:right w:val="none" w:sz="0" w:space="0" w:color="auto"/>
      </w:divBdr>
    </w:div>
    <w:div w:id="249392645">
      <w:marLeft w:val="0"/>
      <w:marRight w:val="0"/>
      <w:marTop w:val="180"/>
      <w:marBottom w:val="180"/>
      <w:divBdr>
        <w:top w:val="none" w:sz="0" w:space="0" w:color="auto"/>
        <w:left w:val="none" w:sz="0" w:space="0" w:color="auto"/>
        <w:bottom w:val="none" w:sz="0" w:space="0" w:color="auto"/>
        <w:right w:val="none" w:sz="0" w:space="0" w:color="auto"/>
      </w:divBdr>
    </w:div>
    <w:div w:id="249436631">
      <w:marLeft w:val="0"/>
      <w:marRight w:val="0"/>
      <w:marTop w:val="180"/>
      <w:marBottom w:val="180"/>
      <w:divBdr>
        <w:top w:val="none" w:sz="0" w:space="0" w:color="auto"/>
        <w:left w:val="none" w:sz="0" w:space="0" w:color="auto"/>
        <w:bottom w:val="none" w:sz="0" w:space="0" w:color="auto"/>
        <w:right w:val="none" w:sz="0" w:space="0" w:color="auto"/>
      </w:divBdr>
    </w:div>
    <w:div w:id="251934849">
      <w:marLeft w:val="0"/>
      <w:marRight w:val="0"/>
      <w:marTop w:val="60"/>
      <w:marBottom w:val="60"/>
      <w:divBdr>
        <w:top w:val="none" w:sz="0" w:space="0" w:color="auto"/>
        <w:left w:val="none" w:sz="0" w:space="0" w:color="auto"/>
        <w:bottom w:val="none" w:sz="0" w:space="0" w:color="auto"/>
        <w:right w:val="none" w:sz="0" w:space="0" w:color="auto"/>
      </w:divBdr>
    </w:div>
    <w:div w:id="253977945">
      <w:marLeft w:val="0"/>
      <w:marRight w:val="0"/>
      <w:marTop w:val="60"/>
      <w:marBottom w:val="60"/>
      <w:divBdr>
        <w:top w:val="none" w:sz="0" w:space="0" w:color="auto"/>
        <w:left w:val="none" w:sz="0" w:space="0" w:color="auto"/>
        <w:bottom w:val="none" w:sz="0" w:space="0" w:color="auto"/>
        <w:right w:val="none" w:sz="0" w:space="0" w:color="auto"/>
      </w:divBdr>
    </w:div>
    <w:div w:id="254021060">
      <w:marLeft w:val="0"/>
      <w:marRight w:val="0"/>
      <w:marTop w:val="60"/>
      <w:marBottom w:val="60"/>
      <w:divBdr>
        <w:top w:val="none" w:sz="0" w:space="0" w:color="auto"/>
        <w:left w:val="none" w:sz="0" w:space="0" w:color="auto"/>
        <w:bottom w:val="none" w:sz="0" w:space="0" w:color="auto"/>
        <w:right w:val="none" w:sz="0" w:space="0" w:color="auto"/>
      </w:divBdr>
    </w:div>
    <w:div w:id="255482568">
      <w:marLeft w:val="0"/>
      <w:marRight w:val="0"/>
      <w:marTop w:val="180"/>
      <w:marBottom w:val="180"/>
      <w:divBdr>
        <w:top w:val="none" w:sz="0" w:space="0" w:color="auto"/>
        <w:left w:val="none" w:sz="0" w:space="0" w:color="auto"/>
        <w:bottom w:val="none" w:sz="0" w:space="0" w:color="auto"/>
        <w:right w:val="none" w:sz="0" w:space="0" w:color="auto"/>
      </w:divBdr>
    </w:div>
    <w:div w:id="263729493">
      <w:marLeft w:val="0"/>
      <w:marRight w:val="0"/>
      <w:marTop w:val="0"/>
      <w:marBottom w:val="0"/>
      <w:divBdr>
        <w:top w:val="none" w:sz="0" w:space="0" w:color="auto"/>
        <w:left w:val="none" w:sz="0" w:space="0" w:color="auto"/>
        <w:bottom w:val="none" w:sz="0" w:space="0" w:color="auto"/>
        <w:right w:val="none" w:sz="0" w:space="0" w:color="auto"/>
      </w:divBdr>
    </w:div>
    <w:div w:id="264189801">
      <w:marLeft w:val="0"/>
      <w:marRight w:val="0"/>
      <w:marTop w:val="0"/>
      <w:marBottom w:val="0"/>
      <w:divBdr>
        <w:top w:val="none" w:sz="0" w:space="0" w:color="auto"/>
        <w:left w:val="none" w:sz="0" w:space="0" w:color="auto"/>
        <w:bottom w:val="none" w:sz="0" w:space="0" w:color="auto"/>
        <w:right w:val="none" w:sz="0" w:space="0" w:color="auto"/>
      </w:divBdr>
      <w:divsChild>
        <w:div w:id="911156630">
          <w:marLeft w:val="0"/>
          <w:marRight w:val="0"/>
          <w:marTop w:val="60"/>
          <w:marBottom w:val="60"/>
          <w:divBdr>
            <w:top w:val="none" w:sz="0" w:space="0" w:color="auto"/>
            <w:left w:val="none" w:sz="0" w:space="0" w:color="auto"/>
            <w:bottom w:val="none" w:sz="0" w:space="0" w:color="auto"/>
            <w:right w:val="none" w:sz="0" w:space="0" w:color="auto"/>
          </w:divBdr>
        </w:div>
      </w:divsChild>
    </w:div>
    <w:div w:id="266079509">
      <w:marLeft w:val="0"/>
      <w:marRight w:val="0"/>
      <w:marTop w:val="180"/>
      <w:marBottom w:val="60"/>
      <w:divBdr>
        <w:top w:val="none" w:sz="0" w:space="0" w:color="auto"/>
        <w:left w:val="none" w:sz="0" w:space="0" w:color="auto"/>
        <w:bottom w:val="none" w:sz="0" w:space="0" w:color="auto"/>
        <w:right w:val="none" w:sz="0" w:space="0" w:color="auto"/>
      </w:divBdr>
    </w:div>
    <w:div w:id="267588905">
      <w:marLeft w:val="0"/>
      <w:marRight w:val="0"/>
      <w:marTop w:val="180"/>
      <w:marBottom w:val="0"/>
      <w:divBdr>
        <w:top w:val="none" w:sz="0" w:space="0" w:color="auto"/>
        <w:left w:val="none" w:sz="0" w:space="0" w:color="auto"/>
        <w:bottom w:val="none" w:sz="0" w:space="0" w:color="auto"/>
        <w:right w:val="none" w:sz="0" w:space="0" w:color="auto"/>
      </w:divBdr>
    </w:div>
    <w:div w:id="268660723">
      <w:marLeft w:val="0"/>
      <w:marRight w:val="0"/>
      <w:marTop w:val="180"/>
      <w:marBottom w:val="60"/>
      <w:divBdr>
        <w:top w:val="none" w:sz="0" w:space="0" w:color="auto"/>
        <w:left w:val="none" w:sz="0" w:space="0" w:color="auto"/>
        <w:bottom w:val="none" w:sz="0" w:space="0" w:color="auto"/>
        <w:right w:val="none" w:sz="0" w:space="0" w:color="auto"/>
      </w:divBdr>
    </w:div>
    <w:div w:id="270016899">
      <w:marLeft w:val="0"/>
      <w:marRight w:val="0"/>
      <w:marTop w:val="180"/>
      <w:marBottom w:val="180"/>
      <w:divBdr>
        <w:top w:val="none" w:sz="0" w:space="0" w:color="auto"/>
        <w:left w:val="none" w:sz="0" w:space="0" w:color="auto"/>
        <w:bottom w:val="none" w:sz="0" w:space="0" w:color="auto"/>
        <w:right w:val="none" w:sz="0" w:space="0" w:color="auto"/>
      </w:divBdr>
    </w:div>
    <w:div w:id="271019106">
      <w:marLeft w:val="0"/>
      <w:marRight w:val="0"/>
      <w:marTop w:val="100"/>
      <w:marBottom w:val="180"/>
      <w:divBdr>
        <w:top w:val="none" w:sz="0" w:space="0" w:color="auto"/>
        <w:left w:val="none" w:sz="0" w:space="0" w:color="auto"/>
        <w:bottom w:val="none" w:sz="0" w:space="0" w:color="auto"/>
        <w:right w:val="none" w:sz="0" w:space="0" w:color="auto"/>
      </w:divBdr>
    </w:div>
    <w:div w:id="272983400">
      <w:marLeft w:val="0"/>
      <w:marRight w:val="0"/>
      <w:marTop w:val="180"/>
      <w:marBottom w:val="180"/>
      <w:divBdr>
        <w:top w:val="none" w:sz="0" w:space="0" w:color="auto"/>
        <w:left w:val="none" w:sz="0" w:space="0" w:color="auto"/>
        <w:bottom w:val="none" w:sz="0" w:space="0" w:color="auto"/>
        <w:right w:val="none" w:sz="0" w:space="0" w:color="auto"/>
      </w:divBdr>
    </w:div>
    <w:div w:id="273831563">
      <w:marLeft w:val="0"/>
      <w:marRight w:val="0"/>
      <w:marTop w:val="180"/>
      <w:marBottom w:val="180"/>
      <w:divBdr>
        <w:top w:val="none" w:sz="0" w:space="0" w:color="auto"/>
        <w:left w:val="none" w:sz="0" w:space="0" w:color="auto"/>
        <w:bottom w:val="none" w:sz="0" w:space="0" w:color="auto"/>
        <w:right w:val="none" w:sz="0" w:space="0" w:color="auto"/>
      </w:divBdr>
    </w:div>
    <w:div w:id="275213172">
      <w:marLeft w:val="0"/>
      <w:marRight w:val="0"/>
      <w:marTop w:val="60"/>
      <w:marBottom w:val="60"/>
      <w:divBdr>
        <w:top w:val="none" w:sz="0" w:space="0" w:color="auto"/>
        <w:left w:val="none" w:sz="0" w:space="0" w:color="auto"/>
        <w:bottom w:val="none" w:sz="0" w:space="0" w:color="auto"/>
        <w:right w:val="none" w:sz="0" w:space="0" w:color="auto"/>
      </w:divBdr>
    </w:div>
    <w:div w:id="276064467">
      <w:marLeft w:val="0"/>
      <w:marRight w:val="0"/>
      <w:marTop w:val="0"/>
      <w:marBottom w:val="0"/>
      <w:divBdr>
        <w:top w:val="none" w:sz="0" w:space="0" w:color="auto"/>
        <w:left w:val="none" w:sz="0" w:space="0" w:color="auto"/>
        <w:bottom w:val="none" w:sz="0" w:space="0" w:color="auto"/>
        <w:right w:val="none" w:sz="0" w:space="0" w:color="auto"/>
      </w:divBdr>
      <w:divsChild>
        <w:div w:id="1299215665">
          <w:marLeft w:val="0"/>
          <w:marRight w:val="0"/>
          <w:marTop w:val="0"/>
          <w:marBottom w:val="0"/>
          <w:divBdr>
            <w:top w:val="none" w:sz="0" w:space="0" w:color="auto"/>
            <w:left w:val="none" w:sz="0" w:space="0" w:color="auto"/>
            <w:bottom w:val="none" w:sz="0" w:space="0" w:color="auto"/>
            <w:right w:val="none" w:sz="0" w:space="0" w:color="auto"/>
          </w:divBdr>
          <w:divsChild>
            <w:div w:id="190054985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76371724">
      <w:marLeft w:val="0"/>
      <w:marRight w:val="0"/>
      <w:marTop w:val="180"/>
      <w:marBottom w:val="180"/>
      <w:divBdr>
        <w:top w:val="none" w:sz="0" w:space="0" w:color="auto"/>
        <w:left w:val="none" w:sz="0" w:space="0" w:color="auto"/>
        <w:bottom w:val="none" w:sz="0" w:space="0" w:color="auto"/>
        <w:right w:val="none" w:sz="0" w:space="0" w:color="auto"/>
      </w:divBdr>
    </w:div>
    <w:div w:id="280183857">
      <w:marLeft w:val="0"/>
      <w:marRight w:val="0"/>
      <w:marTop w:val="60"/>
      <w:marBottom w:val="60"/>
      <w:divBdr>
        <w:top w:val="none" w:sz="0" w:space="0" w:color="auto"/>
        <w:left w:val="none" w:sz="0" w:space="0" w:color="auto"/>
        <w:bottom w:val="none" w:sz="0" w:space="0" w:color="auto"/>
        <w:right w:val="none" w:sz="0" w:space="0" w:color="auto"/>
      </w:divBdr>
    </w:div>
    <w:div w:id="283270004">
      <w:marLeft w:val="0"/>
      <w:marRight w:val="0"/>
      <w:marTop w:val="180"/>
      <w:marBottom w:val="180"/>
      <w:divBdr>
        <w:top w:val="none" w:sz="0" w:space="0" w:color="auto"/>
        <w:left w:val="none" w:sz="0" w:space="0" w:color="auto"/>
        <w:bottom w:val="none" w:sz="0" w:space="0" w:color="auto"/>
        <w:right w:val="none" w:sz="0" w:space="0" w:color="auto"/>
      </w:divBdr>
    </w:div>
    <w:div w:id="284889329">
      <w:marLeft w:val="0"/>
      <w:marRight w:val="0"/>
      <w:marTop w:val="180"/>
      <w:marBottom w:val="180"/>
      <w:divBdr>
        <w:top w:val="none" w:sz="0" w:space="0" w:color="auto"/>
        <w:left w:val="none" w:sz="0" w:space="0" w:color="auto"/>
        <w:bottom w:val="none" w:sz="0" w:space="0" w:color="auto"/>
        <w:right w:val="none" w:sz="0" w:space="0" w:color="auto"/>
      </w:divBdr>
    </w:div>
    <w:div w:id="286201933">
      <w:marLeft w:val="0"/>
      <w:marRight w:val="0"/>
      <w:marTop w:val="0"/>
      <w:marBottom w:val="0"/>
      <w:divBdr>
        <w:top w:val="none" w:sz="0" w:space="0" w:color="auto"/>
        <w:left w:val="none" w:sz="0" w:space="0" w:color="auto"/>
        <w:bottom w:val="none" w:sz="0" w:space="0" w:color="auto"/>
        <w:right w:val="none" w:sz="0" w:space="0" w:color="auto"/>
      </w:divBdr>
    </w:div>
    <w:div w:id="287780060">
      <w:marLeft w:val="0"/>
      <w:marRight w:val="0"/>
      <w:marTop w:val="0"/>
      <w:marBottom w:val="0"/>
      <w:divBdr>
        <w:top w:val="none" w:sz="0" w:space="0" w:color="auto"/>
        <w:left w:val="none" w:sz="0" w:space="0" w:color="auto"/>
        <w:bottom w:val="none" w:sz="0" w:space="0" w:color="auto"/>
        <w:right w:val="none" w:sz="0" w:space="0" w:color="auto"/>
      </w:divBdr>
      <w:divsChild>
        <w:div w:id="1547109904">
          <w:marLeft w:val="0"/>
          <w:marRight w:val="0"/>
          <w:marTop w:val="0"/>
          <w:marBottom w:val="0"/>
          <w:divBdr>
            <w:top w:val="none" w:sz="0" w:space="0" w:color="auto"/>
            <w:left w:val="none" w:sz="0" w:space="0" w:color="auto"/>
            <w:bottom w:val="none" w:sz="0" w:space="0" w:color="auto"/>
            <w:right w:val="none" w:sz="0" w:space="0" w:color="auto"/>
          </w:divBdr>
          <w:divsChild>
            <w:div w:id="25644568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92104262">
      <w:marLeft w:val="0"/>
      <w:marRight w:val="0"/>
      <w:marTop w:val="180"/>
      <w:marBottom w:val="180"/>
      <w:divBdr>
        <w:top w:val="none" w:sz="0" w:space="0" w:color="auto"/>
        <w:left w:val="none" w:sz="0" w:space="0" w:color="auto"/>
        <w:bottom w:val="none" w:sz="0" w:space="0" w:color="auto"/>
        <w:right w:val="none" w:sz="0" w:space="0" w:color="auto"/>
      </w:divBdr>
    </w:div>
    <w:div w:id="292247367">
      <w:marLeft w:val="0"/>
      <w:marRight w:val="0"/>
      <w:marTop w:val="180"/>
      <w:marBottom w:val="180"/>
      <w:divBdr>
        <w:top w:val="none" w:sz="0" w:space="0" w:color="auto"/>
        <w:left w:val="none" w:sz="0" w:space="0" w:color="auto"/>
        <w:bottom w:val="none" w:sz="0" w:space="0" w:color="auto"/>
        <w:right w:val="none" w:sz="0" w:space="0" w:color="auto"/>
      </w:divBdr>
    </w:div>
    <w:div w:id="293297214">
      <w:marLeft w:val="0"/>
      <w:marRight w:val="0"/>
      <w:marTop w:val="180"/>
      <w:marBottom w:val="180"/>
      <w:divBdr>
        <w:top w:val="none" w:sz="0" w:space="0" w:color="auto"/>
        <w:left w:val="none" w:sz="0" w:space="0" w:color="auto"/>
        <w:bottom w:val="none" w:sz="0" w:space="0" w:color="auto"/>
        <w:right w:val="none" w:sz="0" w:space="0" w:color="auto"/>
      </w:divBdr>
    </w:div>
    <w:div w:id="294413920">
      <w:marLeft w:val="0"/>
      <w:marRight w:val="0"/>
      <w:marTop w:val="180"/>
      <w:marBottom w:val="180"/>
      <w:divBdr>
        <w:top w:val="none" w:sz="0" w:space="0" w:color="auto"/>
        <w:left w:val="none" w:sz="0" w:space="0" w:color="auto"/>
        <w:bottom w:val="none" w:sz="0" w:space="0" w:color="auto"/>
        <w:right w:val="none" w:sz="0" w:space="0" w:color="auto"/>
      </w:divBdr>
    </w:div>
    <w:div w:id="296642313">
      <w:marLeft w:val="0"/>
      <w:marRight w:val="0"/>
      <w:marTop w:val="180"/>
      <w:marBottom w:val="180"/>
      <w:divBdr>
        <w:top w:val="none" w:sz="0" w:space="0" w:color="auto"/>
        <w:left w:val="none" w:sz="0" w:space="0" w:color="auto"/>
        <w:bottom w:val="none" w:sz="0" w:space="0" w:color="auto"/>
        <w:right w:val="none" w:sz="0" w:space="0" w:color="auto"/>
      </w:divBdr>
    </w:div>
    <w:div w:id="298849062">
      <w:marLeft w:val="0"/>
      <w:marRight w:val="0"/>
      <w:marTop w:val="180"/>
      <w:marBottom w:val="180"/>
      <w:divBdr>
        <w:top w:val="none" w:sz="0" w:space="0" w:color="auto"/>
        <w:left w:val="none" w:sz="0" w:space="0" w:color="auto"/>
        <w:bottom w:val="none" w:sz="0" w:space="0" w:color="auto"/>
        <w:right w:val="none" w:sz="0" w:space="0" w:color="auto"/>
      </w:divBdr>
    </w:div>
    <w:div w:id="300770790">
      <w:marLeft w:val="0"/>
      <w:marRight w:val="0"/>
      <w:marTop w:val="180"/>
      <w:marBottom w:val="180"/>
      <w:divBdr>
        <w:top w:val="none" w:sz="0" w:space="0" w:color="auto"/>
        <w:left w:val="none" w:sz="0" w:space="0" w:color="auto"/>
        <w:bottom w:val="none" w:sz="0" w:space="0" w:color="auto"/>
        <w:right w:val="none" w:sz="0" w:space="0" w:color="auto"/>
      </w:divBdr>
    </w:div>
    <w:div w:id="301859324">
      <w:marLeft w:val="0"/>
      <w:marRight w:val="0"/>
      <w:marTop w:val="180"/>
      <w:marBottom w:val="180"/>
      <w:divBdr>
        <w:top w:val="none" w:sz="0" w:space="0" w:color="auto"/>
        <w:left w:val="none" w:sz="0" w:space="0" w:color="auto"/>
        <w:bottom w:val="none" w:sz="0" w:space="0" w:color="auto"/>
        <w:right w:val="none" w:sz="0" w:space="0" w:color="auto"/>
      </w:divBdr>
    </w:div>
    <w:div w:id="304819471">
      <w:marLeft w:val="0"/>
      <w:marRight w:val="0"/>
      <w:marTop w:val="60"/>
      <w:marBottom w:val="60"/>
      <w:divBdr>
        <w:top w:val="none" w:sz="0" w:space="0" w:color="auto"/>
        <w:left w:val="none" w:sz="0" w:space="0" w:color="auto"/>
        <w:bottom w:val="none" w:sz="0" w:space="0" w:color="auto"/>
        <w:right w:val="none" w:sz="0" w:space="0" w:color="auto"/>
      </w:divBdr>
    </w:div>
    <w:div w:id="305548827">
      <w:marLeft w:val="0"/>
      <w:marRight w:val="0"/>
      <w:marTop w:val="180"/>
      <w:marBottom w:val="180"/>
      <w:divBdr>
        <w:top w:val="none" w:sz="0" w:space="0" w:color="auto"/>
        <w:left w:val="none" w:sz="0" w:space="0" w:color="auto"/>
        <w:bottom w:val="none" w:sz="0" w:space="0" w:color="auto"/>
        <w:right w:val="none" w:sz="0" w:space="0" w:color="auto"/>
      </w:divBdr>
    </w:div>
    <w:div w:id="305859723">
      <w:marLeft w:val="0"/>
      <w:marRight w:val="0"/>
      <w:marTop w:val="180"/>
      <w:marBottom w:val="180"/>
      <w:divBdr>
        <w:top w:val="none" w:sz="0" w:space="0" w:color="auto"/>
        <w:left w:val="none" w:sz="0" w:space="0" w:color="auto"/>
        <w:bottom w:val="none" w:sz="0" w:space="0" w:color="auto"/>
        <w:right w:val="none" w:sz="0" w:space="0" w:color="auto"/>
      </w:divBdr>
    </w:div>
    <w:div w:id="305865185">
      <w:marLeft w:val="0"/>
      <w:marRight w:val="0"/>
      <w:marTop w:val="180"/>
      <w:marBottom w:val="180"/>
      <w:divBdr>
        <w:top w:val="none" w:sz="0" w:space="0" w:color="auto"/>
        <w:left w:val="none" w:sz="0" w:space="0" w:color="auto"/>
        <w:bottom w:val="none" w:sz="0" w:space="0" w:color="auto"/>
        <w:right w:val="none" w:sz="0" w:space="0" w:color="auto"/>
      </w:divBdr>
    </w:div>
    <w:div w:id="306206949">
      <w:marLeft w:val="0"/>
      <w:marRight w:val="0"/>
      <w:marTop w:val="180"/>
      <w:marBottom w:val="180"/>
      <w:divBdr>
        <w:top w:val="none" w:sz="0" w:space="0" w:color="auto"/>
        <w:left w:val="none" w:sz="0" w:space="0" w:color="auto"/>
        <w:bottom w:val="none" w:sz="0" w:space="0" w:color="auto"/>
        <w:right w:val="none" w:sz="0" w:space="0" w:color="auto"/>
      </w:divBdr>
    </w:div>
    <w:div w:id="306866082">
      <w:marLeft w:val="0"/>
      <w:marRight w:val="0"/>
      <w:marTop w:val="60"/>
      <w:marBottom w:val="60"/>
      <w:divBdr>
        <w:top w:val="none" w:sz="0" w:space="0" w:color="auto"/>
        <w:left w:val="none" w:sz="0" w:space="0" w:color="auto"/>
        <w:bottom w:val="none" w:sz="0" w:space="0" w:color="auto"/>
        <w:right w:val="none" w:sz="0" w:space="0" w:color="auto"/>
      </w:divBdr>
    </w:div>
    <w:div w:id="309217632">
      <w:marLeft w:val="0"/>
      <w:marRight w:val="0"/>
      <w:marTop w:val="100"/>
      <w:marBottom w:val="0"/>
      <w:divBdr>
        <w:top w:val="none" w:sz="0" w:space="0" w:color="auto"/>
        <w:left w:val="none" w:sz="0" w:space="0" w:color="auto"/>
        <w:bottom w:val="none" w:sz="0" w:space="0" w:color="auto"/>
        <w:right w:val="none" w:sz="0" w:space="0" w:color="auto"/>
      </w:divBdr>
      <w:divsChild>
        <w:div w:id="751858503">
          <w:marLeft w:val="0"/>
          <w:marRight w:val="0"/>
          <w:marTop w:val="0"/>
          <w:marBottom w:val="0"/>
          <w:divBdr>
            <w:top w:val="none" w:sz="0" w:space="0" w:color="auto"/>
            <w:left w:val="none" w:sz="0" w:space="0" w:color="auto"/>
            <w:bottom w:val="none" w:sz="0" w:space="0" w:color="auto"/>
            <w:right w:val="none" w:sz="0" w:space="0" w:color="auto"/>
          </w:divBdr>
        </w:div>
      </w:divsChild>
    </w:div>
    <w:div w:id="310719118">
      <w:marLeft w:val="0"/>
      <w:marRight w:val="0"/>
      <w:marTop w:val="60"/>
      <w:marBottom w:val="60"/>
      <w:divBdr>
        <w:top w:val="none" w:sz="0" w:space="0" w:color="auto"/>
        <w:left w:val="none" w:sz="0" w:space="0" w:color="auto"/>
        <w:bottom w:val="none" w:sz="0" w:space="0" w:color="auto"/>
        <w:right w:val="none" w:sz="0" w:space="0" w:color="auto"/>
      </w:divBdr>
    </w:div>
    <w:div w:id="311375591">
      <w:marLeft w:val="0"/>
      <w:marRight w:val="0"/>
      <w:marTop w:val="60"/>
      <w:marBottom w:val="60"/>
      <w:divBdr>
        <w:top w:val="none" w:sz="0" w:space="0" w:color="auto"/>
        <w:left w:val="none" w:sz="0" w:space="0" w:color="auto"/>
        <w:bottom w:val="none" w:sz="0" w:space="0" w:color="auto"/>
        <w:right w:val="none" w:sz="0" w:space="0" w:color="auto"/>
      </w:divBdr>
    </w:div>
    <w:div w:id="312410157">
      <w:marLeft w:val="0"/>
      <w:marRight w:val="0"/>
      <w:marTop w:val="0"/>
      <w:marBottom w:val="0"/>
      <w:divBdr>
        <w:top w:val="none" w:sz="0" w:space="0" w:color="auto"/>
        <w:left w:val="none" w:sz="0" w:space="0" w:color="auto"/>
        <w:bottom w:val="none" w:sz="0" w:space="0" w:color="auto"/>
        <w:right w:val="none" w:sz="0" w:space="0" w:color="auto"/>
      </w:divBdr>
      <w:divsChild>
        <w:div w:id="66730635">
          <w:marLeft w:val="0"/>
          <w:marRight w:val="0"/>
          <w:marTop w:val="0"/>
          <w:marBottom w:val="0"/>
          <w:divBdr>
            <w:top w:val="none" w:sz="0" w:space="0" w:color="auto"/>
            <w:left w:val="none" w:sz="0" w:space="0" w:color="auto"/>
            <w:bottom w:val="none" w:sz="0" w:space="0" w:color="auto"/>
            <w:right w:val="none" w:sz="0" w:space="0" w:color="auto"/>
          </w:divBdr>
          <w:divsChild>
            <w:div w:id="94511635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13992141">
      <w:marLeft w:val="0"/>
      <w:marRight w:val="0"/>
      <w:marTop w:val="180"/>
      <w:marBottom w:val="180"/>
      <w:divBdr>
        <w:top w:val="none" w:sz="0" w:space="0" w:color="auto"/>
        <w:left w:val="none" w:sz="0" w:space="0" w:color="auto"/>
        <w:bottom w:val="none" w:sz="0" w:space="0" w:color="auto"/>
        <w:right w:val="none" w:sz="0" w:space="0" w:color="auto"/>
      </w:divBdr>
    </w:div>
    <w:div w:id="315109209">
      <w:marLeft w:val="0"/>
      <w:marRight w:val="0"/>
      <w:marTop w:val="0"/>
      <w:marBottom w:val="0"/>
      <w:divBdr>
        <w:top w:val="none" w:sz="0" w:space="0" w:color="auto"/>
        <w:left w:val="none" w:sz="0" w:space="0" w:color="auto"/>
        <w:bottom w:val="none" w:sz="0" w:space="0" w:color="auto"/>
        <w:right w:val="none" w:sz="0" w:space="0" w:color="auto"/>
      </w:divBdr>
      <w:divsChild>
        <w:div w:id="59333742">
          <w:marLeft w:val="0"/>
          <w:marRight w:val="0"/>
          <w:marTop w:val="0"/>
          <w:marBottom w:val="0"/>
          <w:divBdr>
            <w:top w:val="none" w:sz="0" w:space="0" w:color="auto"/>
            <w:left w:val="none" w:sz="0" w:space="0" w:color="auto"/>
            <w:bottom w:val="none" w:sz="0" w:space="0" w:color="auto"/>
            <w:right w:val="none" w:sz="0" w:space="0" w:color="auto"/>
          </w:divBdr>
          <w:divsChild>
            <w:div w:id="211655575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16030546">
      <w:marLeft w:val="0"/>
      <w:marRight w:val="0"/>
      <w:marTop w:val="180"/>
      <w:marBottom w:val="60"/>
      <w:divBdr>
        <w:top w:val="none" w:sz="0" w:space="0" w:color="auto"/>
        <w:left w:val="none" w:sz="0" w:space="0" w:color="auto"/>
        <w:bottom w:val="none" w:sz="0" w:space="0" w:color="auto"/>
        <w:right w:val="none" w:sz="0" w:space="0" w:color="auto"/>
      </w:divBdr>
    </w:div>
    <w:div w:id="316302198">
      <w:marLeft w:val="0"/>
      <w:marRight w:val="0"/>
      <w:marTop w:val="180"/>
      <w:marBottom w:val="180"/>
      <w:divBdr>
        <w:top w:val="none" w:sz="0" w:space="0" w:color="auto"/>
        <w:left w:val="none" w:sz="0" w:space="0" w:color="auto"/>
        <w:bottom w:val="none" w:sz="0" w:space="0" w:color="auto"/>
        <w:right w:val="none" w:sz="0" w:space="0" w:color="auto"/>
      </w:divBdr>
    </w:div>
    <w:div w:id="316959881">
      <w:marLeft w:val="0"/>
      <w:marRight w:val="0"/>
      <w:marTop w:val="180"/>
      <w:marBottom w:val="180"/>
      <w:divBdr>
        <w:top w:val="none" w:sz="0" w:space="0" w:color="auto"/>
        <w:left w:val="none" w:sz="0" w:space="0" w:color="auto"/>
        <w:bottom w:val="none" w:sz="0" w:space="0" w:color="auto"/>
        <w:right w:val="none" w:sz="0" w:space="0" w:color="auto"/>
      </w:divBdr>
    </w:div>
    <w:div w:id="320617399">
      <w:marLeft w:val="0"/>
      <w:marRight w:val="0"/>
      <w:marTop w:val="120"/>
      <w:marBottom w:val="0"/>
      <w:divBdr>
        <w:top w:val="none" w:sz="0" w:space="0" w:color="auto"/>
        <w:left w:val="none" w:sz="0" w:space="0" w:color="auto"/>
        <w:bottom w:val="none" w:sz="0" w:space="0" w:color="auto"/>
        <w:right w:val="none" w:sz="0" w:space="0" w:color="auto"/>
      </w:divBdr>
    </w:div>
    <w:div w:id="320740040">
      <w:marLeft w:val="0"/>
      <w:marRight w:val="0"/>
      <w:marTop w:val="0"/>
      <w:marBottom w:val="0"/>
      <w:divBdr>
        <w:top w:val="none" w:sz="0" w:space="0" w:color="auto"/>
        <w:left w:val="none" w:sz="0" w:space="0" w:color="auto"/>
        <w:bottom w:val="none" w:sz="0" w:space="0" w:color="auto"/>
        <w:right w:val="none" w:sz="0" w:space="0" w:color="auto"/>
      </w:divBdr>
    </w:div>
    <w:div w:id="321617743">
      <w:marLeft w:val="0"/>
      <w:marRight w:val="0"/>
      <w:marTop w:val="180"/>
      <w:marBottom w:val="60"/>
      <w:divBdr>
        <w:top w:val="none" w:sz="0" w:space="0" w:color="auto"/>
        <w:left w:val="none" w:sz="0" w:space="0" w:color="auto"/>
        <w:bottom w:val="none" w:sz="0" w:space="0" w:color="auto"/>
        <w:right w:val="none" w:sz="0" w:space="0" w:color="auto"/>
      </w:divBdr>
    </w:div>
    <w:div w:id="324826082">
      <w:marLeft w:val="0"/>
      <w:marRight w:val="0"/>
      <w:marTop w:val="0"/>
      <w:marBottom w:val="0"/>
      <w:divBdr>
        <w:top w:val="none" w:sz="0" w:space="0" w:color="auto"/>
        <w:left w:val="none" w:sz="0" w:space="0" w:color="auto"/>
        <w:bottom w:val="none" w:sz="0" w:space="0" w:color="auto"/>
        <w:right w:val="none" w:sz="0" w:space="0" w:color="auto"/>
      </w:divBdr>
      <w:divsChild>
        <w:div w:id="1113865257">
          <w:marLeft w:val="0"/>
          <w:marRight w:val="0"/>
          <w:marTop w:val="0"/>
          <w:marBottom w:val="0"/>
          <w:divBdr>
            <w:top w:val="none" w:sz="0" w:space="0" w:color="auto"/>
            <w:left w:val="none" w:sz="0" w:space="0" w:color="auto"/>
            <w:bottom w:val="none" w:sz="0" w:space="0" w:color="auto"/>
            <w:right w:val="none" w:sz="0" w:space="0" w:color="auto"/>
          </w:divBdr>
          <w:divsChild>
            <w:div w:id="18394252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30959472">
      <w:marLeft w:val="0"/>
      <w:marRight w:val="0"/>
      <w:marTop w:val="60"/>
      <w:marBottom w:val="60"/>
      <w:divBdr>
        <w:top w:val="none" w:sz="0" w:space="0" w:color="auto"/>
        <w:left w:val="none" w:sz="0" w:space="0" w:color="auto"/>
        <w:bottom w:val="none" w:sz="0" w:space="0" w:color="auto"/>
        <w:right w:val="none" w:sz="0" w:space="0" w:color="auto"/>
      </w:divBdr>
    </w:div>
    <w:div w:id="331178031">
      <w:marLeft w:val="0"/>
      <w:marRight w:val="0"/>
      <w:marTop w:val="60"/>
      <w:marBottom w:val="60"/>
      <w:divBdr>
        <w:top w:val="none" w:sz="0" w:space="0" w:color="auto"/>
        <w:left w:val="none" w:sz="0" w:space="0" w:color="auto"/>
        <w:bottom w:val="none" w:sz="0" w:space="0" w:color="auto"/>
        <w:right w:val="none" w:sz="0" w:space="0" w:color="auto"/>
      </w:divBdr>
    </w:div>
    <w:div w:id="334038061">
      <w:marLeft w:val="0"/>
      <w:marRight w:val="0"/>
      <w:marTop w:val="0"/>
      <w:marBottom w:val="15"/>
      <w:divBdr>
        <w:top w:val="none" w:sz="0" w:space="0" w:color="auto"/>
        <w:left w:val="none" w:sz="0" w:space="0" w:color="auto"/>
        <w:bottom w:val="none" w:sz="0" w:space="0" w:color="auto"/>
        <w:right w:val="none" w:sz="0" w:space="0" w:color="auto"/>
      </w:divBdr>
    </w:div>
    <w:div w:id="334769355">
      <w:marLeft w:val="0"/>
      <w:marRight w:val="0"/>
      <w:marTop w:val="0"/>
      <w:marBottom w:val="0"/>
      <w:divBdr>
        <w:top w:val="none" w:sz="0" w:space="0" w:color="auto"/>
        <w:left w:val="none" w:sz="0" w:space="0" w:color="auto"/>
        <w:bottom w:val="none" w:sz="0" w:space="0" w:color="auto"/>
        <w:right w:val="none" w:sz="0" w:space="0" w:color="auto"/>
      </w:divBdr>
      <w:divsChild>
        <w:div w:id="164787472">
          <w:marLeft w:val="0"/>
          <w:marRight w:val="0"/>
          <w:marTop w:val="0"/>
          <w:marBottom w:val="0"/>
          <w:divBdr>
            <w:top w:val="none" w:sz="0" w:space="0" w:color="auto"/>
            <w:left w:val="none" w:sz="0" w:space="0" w:color="auto"/>
            <w:bottom w:val="none" w:sz="0" w:space="0" w:color="auto"/>
            <w:right w:val="none" w:sz="0" w:space="0" w:color="auto"/>
          </w:divBdr>
          <w:divsChild>
            <w:div w:id="87812520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39429874">
      <w:marLeft w:val="0"/>
      <w:marRight w:val="0"/>
      <w:marTop w:val="100"/>
      <w:marBottom w:val="0"/>
      <w:divBdr>
        <w:top w:val="none" w:sz="0" w:space="0" w:color="auto"/>
        <w:left w:val="none" w:sz="0" w:space="0" w:color="auto"/>
        <w:bottom w:val="none" w:sz="0" w:space="0" w:color="auto"/>
        <w:right w:val="none" w:sz="0" w:space="0" w:color="auto"/>
      </w:divBdr>
    </w:div>
    <w:div w:id="339701795">
      <w:marLeft w:val="0"/>
      <w:marRight w:val="0"/>
      <w:marTop w:val="180"/>
      <w:marBottom w:val="180"/>
      <w:divBdr>
        <w:top w:val="none" w:sz="0" w:space="0" w:color="auto"/>
        <w:left w:val="none" w:sz="0" w:space="0" w:color="auto"/>
        <w:bottom w:val="none" w:sz="0" w:space="0" w:color="auto"/>
        <w:right w:val="none" w:sz="0" w:space="0" w:color="auto"/>
      </w:divBdr>
    </w:div>
    <w:div w:id="339821333">
      <w:marLeft w:val="0"/>
      <w:marRight w:val="0"/>
      <w:marTop w:val="180"/>
      <w:marBottom w:val="180"/>
      <w:divBdr>
        <w:top w:val="none" w:sz="0" w:space="0" w:color="auto"/>
        <w:left w:val="none" w:sz="0" w:space="0" w:color="auto"/>
        <w:bottom w:val="none" w:sz="0" w:space="0" w:color="auto"/>
        <w:right w:val="none" w:sz="0" w:space="0" w:color="auto"/>
      </w:divBdr>
    </w:div>
    <w:div w:id="340009384">
      <w:marLeft w:val="0"/>
      <w:marRight w:val="0"/>
      <w:marTop w:val="180"/>
      <w:marBottom w:val="180"/>
      <w:divBdr>
        <w:top w:val="none" w:sz="0" w:space="0" w:color="auto"/>
        <w:left w:val="none" w:sz="0" w:space="0" w:color="auto"/>
        <w:bottom w:val="none" w:sz="0" w:space="0" w:color="auto"/>
        <w:right w:val="none" w:sz="0" w:space="0" w:color="auto"/>
      </w:divBdr>
    </w:div>
    <w:div w:id="342322052">
      <w:marLeft w:val="0"/>
      <w:marRight w:val="0"/>
      <w:marTop w:val="180"/>
      <w:marBottom w:val="180"/>
      <w:divBdr>
        <w:top w:val="none" w:sz="0" w:space="0" w:color="auto"/>
        <w:left w:val="none" w:sz="0" w:space="0" w:color="auto"/>
        <w:bottom w:val="none" w:sz="0" w:space="0" w:color="auto"/>
        <w:right w:val="none" w:sz="0" w:space="0" w:color="auto"/>
      </w:divBdr>
    </w:div>
    <w:div w:id="345406177">
      <w:marLeft w:val="0"/>
      <w:marRight w:val="0"/>
      <w:marTop w:val="60"/>
      <w:marBottom w:val="60"/>
      <w:divBdr>
        <w:top w:val="none" w:sz="0" w:space="0" w:color="auto"/>
        <w:left w:val="none" w:sz="0" w:space="0" w:color="auto"/>
        <w:bottom w:val="none" w:sz="0" w:space="0" w:color="auto"/>
        <w:right w:val="none" w:sz="0" w:space="0" w:color="auto"/>
      </w:divBdr>
    </w:div>
    <w:div w:id="346056748">
      <w:marLeft w:val="0"/>
      <w:marRight w:val="0"/>
      <w:marTop w:val="60"/>
      <w:marBottom w:val="0"/>
      <w:divBdr>
        <w:top w:val="none" w:sz="0" w:space="0" w:color="auto"/>
        <w:left w:val="none" w:sz="0" w:space="0" w:color="auto"/>
        <w:bottom w:val="none" w:sz="0" w:space="0" w:color="auto"/>
        <w:right w:val="none" w:sz="0" w:space="0" w:color="auto"/>
      </w:divBdr>
    </w:div>
    <w:div w:id="346711133">
      <w:marLeft w:val="0"/>
      <w:marRight w:val="0"/>
      <w:marTop w:val="60"/>
      <w:marBottom w:val="60"/>
      <w:divBdr>
        <w:top w:val="none" w:sz="0" w:space="0" w:color="auto"/>
        <w:left w:val="none" w:sz="0" w:space="0" w:color="auto"/>
        <w:bottom w:val="none" w:sz="0" w:space="0" w:color="auto"/>
        <w:right w:val="none" w:sz="0" w:space="0" w:color="auto"/>
      </w:divBdr>
    </w:div>
    <w:div w:id="346714858">
      <w:marLeft w:val="0"/>
      <w:marRight w:val="0"/>
      <w:marTop w:val="0"/>
      <w:marBottom w:val="0"/>
      <w:divBdr>
        <w:top w:val="none" w:sz="0" w:space="0" w:color="auto"/>
        <w:left w:val="none" w:sz="0" w:space="0" w:color="auto"/>
        <w:bottom w:val="none" w:sz="0" w:space="0" w:color="auto"/>
        <w:right w:val="none" w:sz="0" w:space="0" w:color="auto"/>
      </w:divBdr>
    </w:div>
    <w:div w:id="348872493">
      <w:marLeft w:val="0"/>
      <w:marRight w:val="0"/>
      <w:marTop w:val="180"/>
      <w:marBottom w:val="180"/>
      <w:divBdr>
        <w:top w:val="none" w:sz="0" w:space="0" w:color="auto"/>
        <w:left w:val="none" w:sz="0" w:space="0" w:color="auto"/>
        <w:bottom w:val="none" w:sz="0" w:space="0" w:color="auto"/>
        <w:right w:val="none" w:sz="0" w:space="0" w:color="auto"/>
      </w:divBdr>
    </w:div>
    <w:div w:id="349378579">
      <w:marLeft w:val="0"/>
      <w:marRight w:val="0"/>
      <w:marTop w:val="100"/>
      <w:marBottom w:val="0"/>
      <w:divBdr>
        <w:top w:val="none" w:sz="0" w:space="0" w:color="auto"/>
        <w:left w:val="none" w:sz="0" w:space="0" w:color="auto"/>
        <w:bottom w:val="none" w:sz="0" w:space="0" w:color="auto"/>
        <w:right w:val="none" w:sz="0" w:space="0" w:color="auto"/>
      </w:divBdr>
      <w:divsChild>
        <w:div w:id="1020427377">
          <w:marLeft w:val="0"/>
          <w:marRight w:val="0"/>
          <w:marTop w:val="0"/>
          <w:marBottom w:val="0"/>
          <w:divBdr>
            <w:top w:val="none" w:sz="0" w:space="0" w:color="auto"/>
            <w:left w:val="none" w:sz="0" w:space="0" w:color="auto"/>
            <w:bottom w:val="none" w:sz="0" w:space="0" w:color="auto"/>
            <w:right w:val="none" w:sz="0" w:space="0" w:color="auto"/>
          </w:divBdr>
        </w:div>
        <w:div w:id="851146615">
          <w:marLeft w:val="0"/>
          <w:marRight w:val="0"/>
          <w:marTop w:val="0"/>
          <w:marBottom w:val="0"/>
          <w:divBdr>
            <w:top w:val="none" w:sz="0" w:space="0" w:color="auto"/>
            <w:left w:val="none" w:sz="0" w:space="0" w:color="auto"/>
            <w:bottom w:val="none" w:sz="0" w:space="0" w:color="auto"/>
            <w:right w:val="none" w:sz="0" w:space="0" w:color="auto"/>
          </w:divBdr>
        </w:div>
        <w:div w:id="1316568577">
          <w:marLeft w:val="0"/>
          <w:marRight w:val="0"/>
          <w:marTop w:val="0"/>
          <w:marBottom w:val="0"/>
          <w:divBdr>
            <w:top w:val="none" w:sz="0" w:space="0" w:color="auto"/>
            <w:left w:val="none" w:sz="0" w:space="0" w:color="auto"/>
            <w:bottom w:val="none" w:sz="0" w:space="0" w:color="auto"/>
            <w:right w:val="none" w:sz="0" w:space="0" w:color="auto"/>
          </w:divBdr>
        </w:div>
        <w:div w:id="1077215811">
          <w:marLeft w:val="0"/>
          <w:marRight w:val="0"/>
          <w:marTop w:val="0"/>
          <w:marBottom w:val="0"/>
          <w:divBdr>
            <w:top w:val="none" w:sz="0" w:space="0" w:color="auto"/>
            <w:left w:val="none" w:sz="0" w:space="0" w:color="auto"/>
            <w:bottom w:val="none" w:sz="0" w:space="0" w:color="auto"/>
            <w:right w:val="none" w:sz="0" w:space="0" w:color="auto"/>
          </w:divBdr>
        </w:div>
      </w:divsChild>
    </w:div>
    <w:div w:id="351418420">
      <w:marLeft w:val="0"/>
      <w:marRight w:val="0"/>
      <w:marTop w:val="60"/>
      <w:marBottom w:val="60"/>
      <w:divBdr>
        <w:top w:val="none" w:sz="0" w:space="0" w:color="auto"/>
        <w:left w:val="none" w:sz="0" w:space="0" w:color="auto"/>
        <w:bottom w:val="none" w:sz="0" w:space="0" w:color="auto"/>
        <w:right w:val="none" w:sz="0" w:space="0" w:color="auto"/>
      </w:divBdr>
    </w:div>
    <w:div w:id="355816134">
      <w:marLeft w:val="0"/>
      <w:marRight w:val="0"/>
      <w:marTop w:val="180"/>
      <w:marBottom w:val="180"/>
      <w:divBdr>
        <w:top w:val="none" w:sz="0" w:space="0" w:color="auto"/>
        <w:left w:val="none" w:sz="0" w:space="0" w:color="auto"/>
        <w:bottom w:val="none" w:sz="0" w:space="0" w:color="auto"/>
        <w:right w:val="none" w:sz="0" w:space="0" w:color="auto"/>
      </w:divBdr>
    </w:div>
    <w:div w:id="355928225">
      <w:marLeft w:val="0"/>
      <w:marRight w:val="0"/>
      <w:marTop w:val="0"/>
      <w:marBottom w:val="0"/>
      <w:divBdr>
        <w:top w:val="none" w:sz="0" w:space="0" w:color="auto"/>
        <w:left w:val="none" w:sz="0" w:space="0" w:color="auto"/>
        <w:bottom w:val="none" w:sz="0" w:space="0" w:color="auto"/>
        <w:right w:val="none" w:sz="0" w:space="0" w:color="auto"/>
      </w:divBdr>
    </w:div>
    <w:div w:id="360521990">
      <w:marLeft w:val="0"/>
      <w:marRight w:val="0"/>
      <w:marTop w:val="60"/>
      <w:marBottom w:val="120"/>
      <w:divBdr>
        <w:top w:val="none" w:sz="0" w:space="0" w:color="auto"/>
        <w:left w:val="none" w:sz="0" w:space="0" w:color="auto"/>
        <w:bottom w:val="none" w:sz="0" w:space="0" w:color="auto"/>
        <w:right w:val="none" w:sz="0" w:space="0" w:color="auto"/>
      </w:divBdr>
      <w:divsChild>
        <w:div w:id="911620546">
          <w:marLeft w:val="0"/>
          <w:marRight w:val="0"/>
          <w:marTop w:val="0"/>
          <w:marBottom w:val="0"/>
          <w:divBdr>
            <w:top w:val="none" w:sz="0" w:space="0" w:color="auto"/>
            <w:left w:val="none" w:sz="0" w:space="0" w:color="auto"/>
            <w:bottom w:val="none" w:sz="0" w:space="0" w:color="auto"/>
            <w:right w:val="none" w:sz="0" w:space="0" w:color="auto"/>
          </w:divBdr>
        </w:div>
        <w:div w:id="1823690594">
          <w:marLeft w:val="0"/>
          <w:marRight w:val="0"/>
          <w:marTop w:val="0"/>
          <w:marBottom w:val="0"/>
          <w:divBdr>
            <w:top w:val="none" w:sz="0" w:space="0" w:color="auto"/>
            <w:left w:val="none" w:sz="0" w:space="0" w:color="auto"/>
            <w:bottom w:val="none" w:sz="0" w:space="0" w:color="auto"/>
            <w:right w:val="none" w:sz="0" w:space="0" w:color="auto"/>
          </w:divBdr>
        </w:div>
        <w:div w:id="4141557">
          <w:marLeft w:val="0"/>
          <w:marRight w:val="0"/>
          <w:marTop w:val="0"/>
          <w:marBottom w:val="0"/>
          <w:divBdr>
            <w:top w:val="none" w:sz="0" w:space="0" w:color="auto"/>
            <w:left w:val="none" w:sz="0" w:space="0" w:color="auto"/>
            <w:bottom w:val="none" w:sz="0" w:space="0" w:color="auto"/>
            <w:right w:val="none" w:sz="0" w:space="0" w:color="auto"/>
          </w:divBdr>
        </w:div>
      </w:divsChild>
    </w:div>
    <w:div w:id="362823037">
      <w:marLeft w:val="0"/>
      <w:marRight w:val="0"/>
      <w:marTop w:val="0"/>
      <w:marBottom w:val="0"/>
      <w:divBdr>
        <w:top w:val="none" w:sz="0" w:space="0" w:color="auto"/>
        <w:left w:val="none" w:sz="0" w:space="0" w:color="auto"/>
        <w:bottom w:val="none" w:sz="0" w:space="0" w:color="auto"/>
        <w:right w:val="none" w:sz="0" w:space="0" w:color="auto"/>
      </w:divBdr>
      <w:divsChild>
        <w:div w:id="1070619611">
          <w:marLeft w:val="0"/>
          <w:marRight w:val="0"/>
          <w:marTop w:val="0"/>
          <w:marBottom w:val="0"/>
          <w:divBdr>
            <w:top w:val="none" w:sz="0" w:space="0" w:color="auto"/>
            <w:left w:val="none" w:sz="0" w:space="0" w:color="auto"/>
            <w:bottom w:val="none" w:sz="0" w:space="0" w:color="auto"/>
            <w:right w:val="none" w:sz="0" w:space="0" w:color="auto"/>
          </w:divBdr>
          <w:divsChild>
            <w:div w:id="40379365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62830839">
      <w:marLeft w:val="0"/>
      <w:marRight w:val="0"/>
      <w:marTop w:val="0"/>
      <w:marBottom w:val="0"/>
      <w:divBdr>
        <w:top w:val="none" w:sz="0" w:space="0" w:color="auto"/>
        <w:left w:val="none" w:sz="0" w:space="0" w:color="auto"/>
        <w:bottom w:val="none" w:sz="0" w:space="0" w:color="auto"/>
        <w:right w:val="none" w:sz="0" w:space="0" w:color="auto"/>
      </w:divBdr>
    </w:div>
    <w:div w:id="365298512">
      <w:marLeft w:val="0"/>
      <w:marRight w:val="0"/>
      <w:marTop w:val="180"/>
      <w:marBottom w:val="180"/>
      <w:divBdr>
        <w:top w:val="none" w:sz="0" w:space="0" w:color="auto"/>
        <w:left w:val="none" w:sz="0" w:space="0" w:color="auto"/>
        <w:bottom w:val="none" w:sz="0" w:space="0" w:color="auto"/>
        <w:right w:val="none" w:sz="0" w:space="0" w:color="auto"/>
      </w:divBdr>
    </w:div>
    <w:div w:id="365450166">
      <w:marLeft w:val="0"/>
      <w:marRight w:val="0"/>
      <w:marTop w:val="0"/>
      <w:marBottom w:val="0"/>
      <w:divBdr>
        <w:top w:val="none" w:sz="0" w:space="0" w:color="auto"/>
        <w:left w:val="none" w:sz="0" w:space="0" w:color="auto"/>
        <w:bottom w:val="none" w:sz="0" w:space="0" w:color="auto"/>
        <w:right w:val="none" w:sz="0" w:space="0" w:color="auto"/>
      </w:divBdr>
      <w:divsChild>
        <w:div w:id="158235801">
          <w:marLeft w:val="0"/>
          <w:marRight w:val="0"/>
          <w:marTop w:val="0"/>
          <w:marBottom w:val="0"/>
          <w:divBdr>
            <w:top w:val="none" w:sz="0" w:space="0" w:color="auto"/>
            <w:left w:val="none" w:sz="0" w:space="0" w:color="auto"/>
            <w:bottom w:val="none" w:sz="0" w:space="0" w:color="auto"/>
            <w:right w:val="none" w:sz="0" w:space="0" w:color="auto"/>
          </w:divBdr>
          <w:divsChild>
            <w:div w:id="177178162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72316135">
      <w:marLeft w:val="0"/>
      <w:marRight w:val="0"/>
      <w:marTop w:val="0"/>
      <w:marBottom w:val="0"/>
      <w:divBdr>
        <w:top w:val="none" w:sz="0" w:space="0" w:color="auto"/>
        <w:left w:val="none" w:sz="0" w:space="0" w:color="auto"/>
        <w:bottom w:val="none" w:sz="0" w:space="0" w:color="auto"/>
        <w:right w:val="none" w:sz="0" w:space="0" w:color="auto"/>
      </w:divBdr>
      <w:divsChild>
        <w:div w:id="95296141">
          <w:marLeft w:val="0"/>
          <w:marRight w:val="0"/>
          <w:marTop w:val="60"/>
          <w:marBottom w:val="60"/>
          <w:divBdr>
            <w:top w:val="none" w:sz="0" w:space="0" w:color="auto"/>
            <w:left w:val="none" w:sz="0" w:space="0" w:color="auto"/>
            <w:bottom w:val="none" w:sz="0" w:space="0" w:color="auto"/>
            <w:right w:val="none" w:sz="0" w:space="0" w:color="auto"/>
          </w:divBdr>
        </w:div>
      </w:divsChild>
    </w:div>
    <w:div w:id="373887342">
      <w:marLeft w:val="0"/>
      <w:marRight w:val="0"/>
      <w:marTop w:val="180"/>
      <w:marBottom w:val="180"/>
      <w:divBdr>
        <w:top w:val="none" w:sz="0" w:space="0" w:color="auto"/>
        <w:left w:val="none" w:sz="0" w:space="0" w:color="auto"/>
        <w:bottom w:val="none" w:sz="0" w:space="0" w:color="auto"/>
        <w:right w:val="none" w:sz="0" w:space="0" w:color="auto"/>
      </w:divBdr>
    </w:div>
    <w:div w:id="374162077">
      <w:marLeft w:val="0"/>
      <w:marRight w:val="0"/>
      <w:marTop w:val="0"/>
      <w:marBottom w:val="0"/>
      <w:divBdr>
        <w:top w:val="none" w:sz="0" w:space="0" w:color="auto"/>
        <w:left w:val="none" w:sz="0" w:space="0" w:color="auto"/>
        <w:bottom w:val="none" w:sz="0" w:space="0" w:color="auto"/>
        <w:right w:val="none" w:sz="0" w:space="0" w:color="auto"/>
      </w:divBdr>
    </w:div>
    <w:div w:id="376858209">
      <w:marLeft w:val="0"/>
      <w:marRight w:val="0"/>
      <w:marTop w:val="180"/>
      <w:marBottom w:val="180"/>
      <w:divBdr>
        <w:top w:val="none" w:sz="0" w:space="0" w:color="auto"/>
        <w:left w:val="none" w:sz="0" w:space="0" w:color="auto"/>
        <w:bottom w:val="none" w:sz="0" w:space="0" w:color="auto"/>
        <w:right w:val="none" w:sz="0" w:space="0" w:color="auto"/>
      </w:divBdr>
    </w:div>
    <w:div w:id="377053816">
      <w:marLeft w:val="0"/>
      <w:marRight w:val="0"/>
      <w:marTop w:val="180"/>
      <w:marBottom w:val="180"/>
      <w:divBdr>
        <w:top w:val="none" w:sz="0" w:space="0" w:color="auto"/>
        <w:left w:val="none" w:sz="0" w:space="0" w:color="auto"/>
        <w:bottom w:val="none" w:sz="0" w:space="0" w:color="auto"/>
        <w:right w:val="none" w:sz="0" w:space="0" w:color="auto"/>
      </w:divBdr>
    </w:div>
    <w:div w:id="378021281">
      <w:marLeft w:val="0"/>
      <w:marRight w:val="0"/>
      <w:marTop w:val="180"/>
      <w:marBottom w:val="180"/>
      <w:divBdr>
        <w:top w:val="none" w:sz="0" w:space="0" w:color="auto"/>
        <w:left w:val="none" w:sz="0" w:space="0" w:color="auto"/>
        <w:bottom w:val="none" w:sz="0" w:space="0" w:color="auto"/>
        <w:right w:val="none" w:sz="0" w:space="0" w:color="auto"/>
      </w:divBdr>
    </w:div>
    <w:div w:id="380634381">
      <w:marLeft w:val="0"/>
      <w:marRight w:val="0"/>
      <w:marTop w:val="0"/>
      <w:marBottom w:val="180"/>
      <w:divBdr>
        <w:top w:val="none" w:sz="0" w:space="0" w:color="auto"/>
        <w:left w:val="none" w:sz="0" w:space="0" w:color="auto"/>
        <w:bottom w:val="none" w:sz="0" w:space="0" w:color="auto"/>
        <w:right w:val="none" w:sz="0" w:space="0" w:color="auto"/>
      </w:divBdr>
    </w:div>
    <w:div w:id="380638438">
      <w:marLeft w:val="0"/>
      <w:marRight w:val="0"/>
      <w:marTop w:val="180"/>
      <w:marBottom w:val="180"/>
      <w:divBdr>
        <w:top w:val="none" w:sz="0" w:space="0" w:color="auto"/>
        <w:left w:val="none" w:sz="0" w:space="0" w:color="auto"/>
        <w:bottom w:val="none" w:sz="0" w:space="0" w:color="auto"/>
        <w:right w:val="none" w:sz="0" w:space="0" w:color="auto"/>
      </w:divBdr>
    </w:div>
    <w:div w:id="380712710">
      <w:marLeft w:val="0"/>
      <w:marRight w:val="0"/>
      <w:marTop w:val="180"/>
      <w:marBottom w:val="180"/>
      <w:divBdr>
        <w:top w:val="none" w:sz="0" w:space="0" w:color="auto"/>
        <w:left w:val="none" w:sz="0" w:space="0" w:color="auto"/>
        <w:bottom w:val="none" w:sz="0" w:space="0" w:color="auto"/>
        <w:right w:val="none" w:sz="0" w:space="0" w:color="auto"/>
      </w:divBdr>
    </w:div>
    <w:div w:id="382795852">
      <w:marLeft w:val="0"/>
      <w:marRight w:val="0"/>
      <w:marTop w:val="0"/>
      <w:marBottom w:val="0"/>
      <w:divBdr>
        <w:top w:val="none" w:sz="0" w:space="0" w:color="auto"/>
        <w:left w:val="none" w:sz="0" w:space="0" w:color="auto"/>
        <w:bottom w:val="none" w:sz="0" w:space="0" w:color="auto"/>
        <w:right w:val="none" w:sz="0" w:space="0" w:color="auto"/>
      </w:divBdr>
      <w:divsChild>
        <w:div w:id="1238831676">
          <w:marLeft w:val="0"/>
          <w:marRight w:val="0"/>
          <w:marTop w:val="0"/>
          <w:marBottom w:val="0"/>
          <w:divBdr>
            <w:top w:val="none" w:sz="0" w:space="0" w:color="auto"/>
            <w:left w:val="none" w:sz="0" w:space="0" w:color="auto"/>
            <w:bottom w:val="none" w:sz="0" w:space="0" w:color="auto"/>
            <w:right w:val="none" w:sz="0" w:space="0" w:color="auto"/>
          </w:divBdr>
          <w:divsChild>
            <w:div w:id="180738456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83874179">
      <w:marLeft w:val="0"/>
      <w:marRight w:val="0"/>
      <w:marTop w:val="0"/>
      <w:marBottom w:val="0"/>
      <w:divBdr>
        <w:top w:val="none" w:sz="0" w:space="0" w:color="auto"/>
        <w:left w:val="none" w:sz="0" w:space="0" w:color="auto"/>
        <w:bottom w:val="none" w:sz="0" w:space="0" w:color="auto"/>
        <w:right w:val="none" w:sz="0" w:space="0" w:color="auto"/>
      </w:divBdr>
    </w:div>
    <w:div w:id="384186517">
      <w:marLeft w:val="0"/>
      <w:marRight w:val="0"/>
      <w:marTop w:val="100"/>
      <w:marBottom w:val="0"/>
      <w:divBdr>
        <w:top w:val="none" w:sz="0" w:space="0" w:color="auto"/>
        <w:left w:val="none" w:sz="0" w:space="0" w:color="auto"/>
        <w:bottom w:val="none" w:sz="0" w:space="0" w:color="auto"/>
        <w:right w:val="none" w:sz="0" w:space="0" w:color="auto"/>
      </w:divBdr>
      <w:divsChild>
        <w:div w:id="411506776">
          <w:marLeft w:val="0"/>
          <w:marRight w:val="0"/>
          <w:marTop w:val="0"/>
          <w:marBottom w:val="0"/>
          <w:divBdr>
            <w:top w:val="none" w:sz="0" w:space="0" w:color="auto"/>
            <w:left w:val="none" w:sz="0" w:space="0" w:color="auto"/>
            <w:bottom w:val="none" w:sz="0" w:space="0" w:color="auto"/>
            <w:right w:val="none" w:sz="0" w:space="0" w:color="auto"/>
          </w:divBdr>
        </w:div>
        <w:div w:id="1700206169">
          <w:marLeft w:val="0"/>
          <w:marRight w:val="0"/>
          <w:marTop w:val="0"/>
          <w:marBottom w:val="0"/>
          <w:divBdr>
            <w:top w:val="none" w:sz="0" w:space="0" w:color="auto"/>
            <w:left w:val="none" w:sz="0" w:space="0" w:color="auto"/>
            <w:bottom w:val="none" w:sz="0" w:space="0" w:color="auto"/>
            <w:right w:val="none" w:sz="0" w:space="0" w:color="auto"/>
          </w:divBdr>
        </w:div>
        <w:div w:id="1347249919">
          <w:marLeft w:val="0"/>
          <w:marRight w:val="0"/>
          <w:marTop w:val="0"/>
          <w:marBottom w:val="0"/>
          <w:divBdr>
            <w:top w:val="none" w:sz="0" w:space="0" w:color="auto"/>
            <w:left w:val="none" w:sz="0" w:space="0" w:color="auto"/>
            <w:bottom w:val="none" w:sz="0" w:space="0" w:color="auto"/>
            <w:right w:val="none" w:sz="0" w:space="0" w:color="auto"/>
          </w:divBdr>
        </w:div>
      </w:divsChild>
    </w:div>
    <w:div w:id="384643306">
      <w:marLeft w:val="0"/>
      <w:marRight w:val="0"/>
      <w:marTop w:val="60"/>
      <w:marBottom w:val="120"/>
      <w:divBdr>
        <w:top w:val="none" w:sz="0" w:space="0" w:color="auto"/>
        <w:left w:val="none" w:sz="0" w:space="0" w:color="auto"/>
        <w:bottom w:val="none" w:sz="0" w:space="0" w:color="auto"/>
        <w:right w:val="none" w:sz="0" w:space="0" w:color="auto"/>
      </w:divBdr>
    </w:div>
    <w:div w:id="388260463">
      <w:marLeft w:val="0"/>
      <w:marRight w:val="0"/>
      <w:marTop w:val="0"/>
      <w:marBottom w:val="0"/>
      <w:divBdr>
        <w:top w:val="none" w:sz="0" w:space="0" w:color="auto"/>
        <w:left w:val="none" w:sz="0" w:space="0" w:color="auto"/>
        <w:bottom w:val="none" w:sz="0" w:space="0" w:color="auto"/>
        <w:right w:val="none" w:sz="0" w:space="0" w:color="auto"/>
      </w:divBdr>
      <w:divsChild>
        <w:div w:id="1327319836">
          <w:marLeft w:val="0"/>
          <w:marRight w:val="0"/>
          <w:marTop w:val="0"/>
          <w:marBottom w:val="0"/>
          <w:divBdr>
            <w:top w:val="none" w:sz="0" w:space="0" w:color="auto"/>
            <w:left w:val="none" w:sz="0" w:space="0" w:color="auto"/>
            <w:bottom w:val="none" w:sz="0" w:space="0" w:color="auto"/>
            <w:right w:val="none" w:sz="0" w:space="0" w:color="auto"/>
          </w:divBdr>
          <w:divsChild>
            <w:div w:id="513588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88918988">
      <w:marLeft w:val="0"/>
      <w:marRight w:val="0"/>
      <w:marTop w:val="180"/>
      <w:marBottom w:val="180"/>
      <w:divBdr>
        <w:top w:val="none" w:sz="0" w:space="0" w:color="auto"/>
        <w:left w:val="none" w:sz="0" w:space="0" w:color="auto"/>
        <w:bottom w:val="none" w:sz="0" w:space="0" w:color="auto"/>
        <w:right w:val="none" w:sz="0" w:space="0" w:color="auto"/>
      </w:divBdr>
    </w:div>
    <w:div w:id="390883783">
      <w:marLeft w:val="0"/>
      <w:marRight w:val="0"/>
      <w:marTop w:val="0"/>
      <w:marBottom w:val="0"/>
      <w:divBdr>
        <w:top w:val="none" w:sz="0" w:space="0" w:color="auto"/>
        <w:left w:val="none" w:sz="0" w:space="0" w:color="auto"/>
        <w:bottom w:val="none" w:sz="0" w:space="0" w:color="auto"/>
        <w:right w:val="none" w:sz="0" w:space="0" w:color="auto"/>
      </w:divBdr>
      <w:divsChild>
        <w:div w:id="1056664120">
          <w:marLeft w:val="0"/>
          <w:marRight w:val="0"/>
          <w:marTop w:val="60"/>
          <w:marBottom w:val="60"/>
          <w:divBdr>
            <w:top w:val="none" w:sz="0" w:space="0" w:color="auto"/>
            <w:left w:val="none" w:sz="0" w:space="0" w:color="auto"/>
            <w:bottom w:val="none" w:sz="0" w:space="0" w:color="auto"/>
            <w:right w:val="none" w:sz="0" w:space="0" w:color="auto"/>
          </w:divBdr>
        </w:div>
      </w:divsChild>
    </w:div>
    <w:div w:id="395205581">
      <w:marLeft w:val="0"/>
      <w:marRight w:val="0"/>
      <w:marTop w:val="180"/>
      <w:marBottom w:val="180"/>
      <w:divBdr>
        <w:top w:val="none" w:sz="0" w:space="0" w:color="auto"/>
        <w:left w:val="none" w:sz="0" w:space="0" w:color="auto"/>
        <w:bottom w:val="none" w:sz="0" w:space="0" w:color="auto"/>
        <w:right w:val="none" w:sz="0" w:space="0" w:color="auto"/>
      </w:divBdr>
    </w:div>
    <w:div w:id="396590017">
      <w:marLeft w:val="0"/>
      <w:marRight w:val="0"/>
      <w:marTop w:val="0"/>
      <w:marBottom w:val="0"/>
      <w:divBdr>
        <w:top w:val="none" w:sz="0" w:space="0" w:color="auto"/>
        <w:left w:val="none" w:sz="0" w:space="0" w:color="auto"/>
        <w:bottom w:val="none" w:sz="0" w:space="0" w:color="auto"/>
        <w:right w:val="none" w:sz="0" w:space="0" w:color="auto"/>
      </w:divBdr>
    </w:div>
    <w:div w:id="400905628">
      <w:marLeft w:val="0"/>
      <w:marRight w:val="0"/>
      <w:marTop w:val="180"/>
      <w:marBottom w:val="180"/>
      <w:divBdr>
        <w:top w:val="none" w:sz="0" w:space="0" w:color="auto"/>
        <w:left w:val="none" w:sz="0" w:space="0" w:color="auto"/>
        <w:bottom w:val="none" w:sz="0" w:space="0" w:color="auto"/>
        <w:right w:val="none" w:sz="0" w:space="0" w:color="auto"/>
      </w:divBdr>
    </w:div>
    <w:div w:id="402947182">
      <w:marLeft w:val="0"/>
      <w:marRight w:val="0"/>
      <w:marTop w:val="120"/>
      <w:marBottom w:val="180"/>
      <w:divBdr>
        <w:top w:val="none" w:sz="0" w:space="0" w:color="auto"/>
        <w:left w:val="none" w:sz="0" w:space="0" w:color="auto"/>
        <w:bottom w:val="none" w:sz="0" w:space="0" w:color="auto"/>
        <w:right w:val="none" w:sz="0" w:space="0" w:color="auto"/>
      </w:divBdr>
    </w:div>
    <w:div w:id="403182279">
      <w:marLeft w:val="0"/>
      <w:marRight w:val="0"/>
      <w:marTop w:val="60"/>
      <w:marBottom w:val="60"/>
      <w:divBdr>
        <w:top w:val="none" w:sz="0" w:space="0" w:color="auto"/>
        <w:left w:val="none" w:sz="0" w:space="0" w:color="auto"/>
        <w:bottom w:val="none" w:sz="0" w:space="0" w:color="auto"/>
        <w:right w:val="none" w:sz="0" w:space="0" w:color="auto"/>
      </w:divBdr>
    </w:div>
    <w:div w:id="403332294">
      <w:marLeft w:val="0"/>
      <w:marRight w:val="0"/>
      <w:marTop w:val="180"/>
      <w:marBottom w:val="180"/>
      <w:divBdr>
        <w:top w:val="none" w:sz="0" w:space="0" w:color="auto"/>
        <w:left w:val="none" w:sz="0" w:space="0" w:color="auto"/>
        <w:bottom w:val="none" w:sz="0" w:space="0" w:color="auto"/>
        <w:right w:val="none" w:sz="0" w:space="0" w:color="auto"/>
      </w:divBdr>
    </w:div>
    <w:div w:id="403920393">
      <w:marLeft w:val="0"/>
      <w:marRight w:val="0"/>
      <w:marTop w:val="100"/>
      <w:marBottom w:val="180"/>
      <w:divBdr>
        <w:top w:val="none" w:sz="0" w:space="0" w:color="auto"/>
        <w:left w:val="none" w:sz="0" w:space="0" w:color="auto"/>
        <w:bottom w:val="none" w:sz="0" w:space="0" w:color="auto"/>
        <w:right w:val="none" w:sz="0" w:space="0" w:color="auto"/>
      </w:divBdr>
      <w:divsChild>
        <w:div w:id="1621111230">
          <w:marLeft w:val="0"/>
          <w:marRight w:val="0"/>
          <w:marTop w:val="0"/>
          <w:marBottom w:val="0"/>
          <w:divBdr>
            <w:top w:val="none" w:sz="0" w:space="0" w:color="auto"/>
            <w:left w:val="none" w:sz="0" w:space="0" w:color="auto"/>
            <w:bottom w:val="none" w:sz="0" w:space="0" w:color="auto"/>
            <w:right w:val="none" w:sz="0" w:space="0" w:color="auto"/>
          </w:divBdr>
        </w:div>
        <w:div w:id="1736389934">
          <w:marLeft w:val="0"/>
          <w:marRight w:val="0"/>
          <w:marTop w:val="0"/>
          <w:marBottom w:val="0"/>
          <w:divBdr>
            <w:top w:val="none" w:sz="0" w:space="0" w:color="auto"/>
            <w:left w:val="none" w:sz="0" w:space="0" w:color="auto"/>
            <w:bottom w:val="none" w:sz="0" w:space="0" w:color="auto"/>
            <w:right w:val="none" w:sz="0" w:space="0" w:color="auto"/>
          </w:divBdr>
        </w:div>
      </w:divsChild>
    </w:div>
    <w:div w:id="408966910">
      <w:marLeft w:val="0"/>
      <w:marRight w:val="0"/>
      <w:marTop w:val="60"/>
      <w:marBottom w:val="60"/>
      <w:divBdr>
        <w:top w:val="none" w:sz="0" w:space="0" w:color="auto"/>
        <w:left w:val="none" w:sz="0" w:space="0" w:color="auto"/>
        <w:bottom w:val="none" w:sz="0" w:space="0" w:color="auto"/>
        <w:right w:val="none" w:sz="0" w:space="0" w:color="auto"/>
      </w:divBdr>
    </w:div>
    <w:div w:id="410006778">
      <w:marLeft w:val="0"/>
      <w:marRight w:val="0"/>
      <w:marTop w:val="180"/>
      <w:marBottom w:val="180"/>
      <w:divBdr>
        <w:top w:val="none" w:sz="0" w:space="0" w:color="auto"/>
        <w:left w:val="none" w:sz="0" w:space="0" w:color="auto"/>
        <w:bottom w:val="none" w:sz="0" w:space="0" w:color="auto"/>
        <w:right w:val="none" w:sz="0" w:space="0" w:color="auto"/>
      </w:divBdr>
    </w:div>
    <w:div w:id="411858270">
      <w:marLeft w:val="0"/>
      <w:marRight w:val="0"/>
      <w:marTop w:val="120"/>
      <w:marBottom w:val="180"/>
      <w:divBdr>
        <w:top w:val="none" w:sz="0" w:space="0" w:color="auto"/>
        <w:left w:val="none" w:sz="0" w:space="0" w:color="auto"/>
        <w:bottom w:val="none" w:sz="0" w:space="0" w:color="auto"/>
        <w:right w:val="none" w:sz="0" w:space="0" w:color="auto"/>
      </w:divBdr>
    </w:div>
    <w:div w:id="415398574">
      <w:marLeft w:val="0"/>
      <w:marRight w:val="0"/>
      <w:marTop w:val="180"/>
      <w:marBottom w:val="180"/>
      <w:divBdr>
        <w:top w:val="none" w:sz="0" w:space="0" w:color="auto"/>
        <w:left w:val="none" w:sz="0" w:space="0" w:color="auto"/>
        <w:bottom w:val="none" w:sz="0" w:space="0" w:color="auto"/>
        <w:right w:val="none" w:sz="0" w:space="0" w:color="auto"/>
      </w:divBdr>
    </w:div>
    <w:div w:id="417674467">
      <w:marLeft w:val="0"/>
      <w:marRight w:val="0"/>
      <w:marTop w:val="180"/>
      <w:marBottom w:val="180"/>
      <w:divBdr>
        <w:top w:val="none" w:sz="0" w:space="0" w:color="auto"/>
        <w:left w:val="none" w:sz="0" w:space="0" w:color="auto"/>
        <w:bottom w:val="none" w:sz="0" w:space="0" w:color="auto"/>
        <w:right w:val="none" w:sz="0" w:space="0" w:color="auto"/>
      </w:divBdr>
    </w:div>
    <w:div w:id="420101107">
      <w:marLeft w:val="0"/>
      <w:marRight w:val="0"/>
      <w:marTop w:val="0"/>
      <w:marBottom w:val="0"/>
      <w:divBdr>
        <w:top w:val="none" w:sz="0" w:space="0" w:color="auto"/>
        <w:left w:val="none" w:sz="0" w:space="0" w:color="auto"/>
        <w:bottom w:val="none" w:sz="0" w:space="0" w:color="auto"/>
        <w:right w:val="none" w:sz="0" w:space="0" w:color="auto"/>
      </w:divBdr>
      <w:divsChild>
        <w:div w:id="1547446182">
          <w:marLeft w:val="0"/>
          <w:marRight w:val="0"/>
          <w:marTop w:val="0"/>
          <w:marBottom w:val="0"/>
          <w:divBdr>
            <w:top w:val="none" w:sz="0" w:space="0" w:color="auto"/>
            <w:left w:val="none" w:sz="0" w:space="0" w:color="auto"/>
            <w:bottom w:val="none" w:sz="0" w:space="0" w:color="auto"/>
            <w:right w:val="none" w:sz="0" w:space="0" w:color="auto"/>
          </w:divBdr>
          <w:divsChild>
            <w:div w:id="43367593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23040322">
      <w:marLeft w:val="0"/>
      <w:marRight w:val="0"/>
      <w:marTop w:val="180"/>
      <w:marBottom w:val="180"/>
      <w:divBdr>
        <w:top w:val="none" w:sz="0" w:space="0" w:color="auto"/>
        <w:left w:val="none" w:sz="0" w:space="0" w:color="auto"/>
        <w:bottom w:val="none" w:sz="0" w:space="0" w:color="auto"/>
        <w:right w:val="none" w:sz="0" w:space="0" w:color="auto"/>
      </w:divBdr>
    </w:div>
    <w:div w:id="424035795">
      <w:marLeft w:val="0"/>
      <w:marRight w:val="0"/>
      <w:marTop w:val="180"/>
      <w:marBottom w:val="180"/>
      <w:divBdr>
        <w:top w:val="none" w:sz="0" w:space="0" w:color="auto"/>
        <w:left w:val="none" w:sz="0" w:space="0" w:color="auto"/>
        <w:bottom w:val="none" w:sz="0" w:space="0" w:color="auto"/>
        <w:right w:val="none" w:sz="0" w:space="0" w:color="auto"/>
      </w:divBdr>
    </w:div>
    <w:div w:id="425274605">
      <w:marLeft w:val="0"/>
      <w:marRight w:val="0"/>
      <w:marTop w:val="180"/>
      <w:marBottom w:val="180"/>
      <w:divBdr>
        <w:top w:val="none" w:sz="0" w:space="0" w:color="auto"/>
        <w:left w:val="none" w:sz="0" w:space="0" w:color="auto"/>
        <w:bottom w:val="none" w:sz="0" w:space="0" w:color="auto"/>
        <w:right w:val="none" w:sz="0" w:space="0" w:color="auto"/>
      </w:divBdr>
    </w:div>
    <w:div w:id="425879682">
      <w:marLeft w:val="0"/>
      <w:marRight w:val="0"/>
      <w:marTop w:val="180"/>
      <w:marBottom w:val="180"/>
      <w:divBdr>
        <w:top w:val="none" w:sz="0" w:space="0" w:color="auto"/>
        <w:left w:val="none" w:sz="0" w:space="0" w:color="auto"/>
        <w:bottom w:val="none" w:sz="0" w:space="0" w:color="auto"/>
        <w:right w:val="none" w:sz="0" w:space="0" w:color="auto"/>
      </w:divBdr>
    </w:div>
    <w:div w:id="428938850">
      <w:marLeft w:val="0"/>
      <w:marRight w:val="0"/>
      <w:marTop w:val="60"/>
      <w:marBottom w:val="60"/>
      <w:divBdr>
        <w:top w:val="none" w:sz="0" w:space="0" w:color="auto"/>
        <w:left w:val="none" w:sz="0" w:space="0" w:color="auto"/>
        <w:bottom w:val="none" w:sz="0" w:space="0" w:color="auto"/>
        <w:right w:val="none" w:sz="0" w:space="0" w:color="auto"/>
      </w:divBdr>
    </w:div>
    <w:div w:id="431173222">
      <w:marLeft w:val="0"/>
      <w:marRight w:val="0"/>
      <w:marTop w:val="60"/>
      <w:marBottom w:val="60"/>
      <w:divBdr>
        <w:top w:val="none" w:sz="0" w:space="0" w:color="auto"/>
        <w:left w:val="none" w:sz="0" w:space="0" w:color="auto"/>
        <w:bottom w:val="none" w:sz="0" w:space="0" w:color="auto"/>
        <w:right w:val="none" w:sz="0" w:space="0" w:color="auto"/>
      </w:divBdr>
      <w:divsChild>
        <w:div w:id="1893998875">
          <w:marLeft w:val="0"/>
          <w:marRight w:val="0"/>
          <w:marTop w:val="0"/>
          <w:marBottom w:val="0"/>
          <w:divBdr>
            <w:top w:val="none" w:sz="0" w:space="0" w:color="auto"/>
            <w:left w:val="none" w:sz="0" w:space="0" w:color="auto"/>
            <w:bottom w:val="none" w:sz="0" w:space="0" w:color="auto"/>
            <w:right w:val="none" w:sz="0" w:space="0" w:color="auto"/>
          </w:divBdr>
        </w:div>
        <w:div w:id="236139595">
          <w:marLeft w:val="0"/>
          <w:marRight w:val="0"/>
          <w:marTop w:val="0"/>
          <w:marBottom w:val="0"/>
          <w:divBdr>
            <w:top w:val="none" w:sz="0" w:space="0" w:color="auto"/>
            <w:left w:val="none" w:sz="0" w:space="0" w:color="auto"/>
            <w:bottom w:val="none" w:sz="0" w:space="0" w:color="auto"/>
            <w:right w:val="none" w:sz="0" w:space="0" w:color="auto"/>
          </w:divBdr>
        </w:div>
        <w:div w:id="1065563129">
          <w:marLeft w:val="0"/>
          <w:marRight w:val="0"/>
          <w:marTop w:val="0"/>
          <w:marBottom w:val="0"/>
          <w:divBdr>
            <w:top w:val="none" w:sz="0" w:space="0" w:color="auto"/>
            <w:left w:val="none" w:sz="0" w:space="0" w:color="auto"/>
            <w:bottom w:val="none" w:sz="0" w:space="0" w:color="auto"/>
            <w:right w:val="none" w:sz="0" w:space="0" w:color="auto"/>
          </w:divBdr>
        </w:div>
      </w:divsChild>
    </w:div>
    <w:div w:id="431585844">
      <w:marLeft w:val="0"/>
      <w:marRight w:val="0"/>
      <w:marTop w:val="0"/>
      <w:marBottom w:val="0"/>
      <w:divBdr>
        <w:top w:val="none" w:sz="0" w:space="0" w:color="auto"/>
        <w:left w:val="none" w:sz="0" w:space="0" w:color="auto"/>
        <w:bottom w:val="none" w:sz="0" w:space="0" w:color="auto"/>
        <w:right w:val="none" w:sz="0" w:space="0" w:color="auto"/>
      </w:divBdr>
      <w:divsChild>
        <w:div w:id="1249852644">
          <w:marLeft w:val="0"/>
          <w:marRight w:val="0"/>
          <w:marTop w:val="180"/>
          <w:marBottom w:val="180"/>
          <w:divBdr>
            <w:top w:val="none" w:sz="0" w:space="0" w:color="auto"/>
            <w:left w:val="none" w:sz="0" w:space="0" w:color="auto"/>
            <w:bottom w:val="none" w:sz="0" w:space="0" w:color="auto"/>
            <w:right w:val="none" w:sz="0" w:space="0" w:color="auto"/>
          </w:divBdr>
        </w:div>
      </w:divsChild>
    </w:div>
    <w:div w:id="433328975">
      <w:marLeft w:val="0"/>
      <w:marRight w:val="0"/>
      <w:marTop w:val="0"/>
      <w:marBottom w:val="0"/>
      <w:divBdr>
        <w:top w:val="none" w:sz="0" w:space="0" w:color="auto"/>
        <w:left w:val="none" w:sz="0" w:space="0" w:color="auto"/>
        <w:bottom w:val="none" w:sz="0" w:space="0" w:color="auto"/>
        <w:right w:val="none" w:sz="0" w:space="0" w:color="auto"/>
      </w:divBdr>
    </w:div>
    <w:div w:id="436173659">
      <w:marLeft w:val="0"/>
      <w:marRight w:val="0"/>
      <w:marTop w:val="0"/>
      <w:marBottom w:val="0"/>
      <w:divBdr>
        <w:top w:val="none" w:sz="0" w:space="0" w:color="auto"/>
        <w:left w:val="none" w:sz="0" w:space="0" w:color="auto"/>
        <w:bottom w:val="none" w:sz="0" w:space="0" w:color="auto"/>
        <w:right w:val="none" w:sz="0" w:space="0" w:color="auto"/>
      </w:divBdr>
      <w:divsChild>
        <w:div w:id="1672297337">
          <w:marLeft w:val="0"/>
          <w:marRight w:val="0"/>
          <w:marTop w:val="0"/>
          <w:marBottom w:val="0"/>
          <w:divBdr>
            <w:top w:val="none" w:sz="0" w:space="0" w:color="auto"/>
            <w:left w:val="none" w:sz="0" w:space="0" w:color="auto"/>
            <w:bottom w:val="none" w:sz="0" w:space="0" w:color="auto"/>
            <w:right w:val="none" w:sz="0" w:space="0" w:color="auto"/>
          </w:divBdr>
          <w:divsChild>
            <w:div w:id="16608822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36216700">
      <w:marLeft w:val="0"/>
      <w:marRight w:val="0"/>
      <w:marTop w:val="180"/>
      <w:marBottom w:val="180"/>
      <w:divBdr>
        <w:top w:val="none" w:sz="0" w:space="0" w:color="auto"/>
        <w:left w:val="none" w:sz="0" w:space="0" w:color="auto"/>
        <w:bottom w:val="none" w:sz="0" w:space="0" w:color="auto"/>
        <w:right w:val="none" w:sz="0" w:space="0" w:color="auto"/>
      </w:divBdr>
    </w:div>
    <w:div w:id="437873828">
      <w:marLeft w:val="0"/>
      <w:marRight w:val="0"/>
      <w:marTop w:val="180"/>
      <w:marBottom w:val="180"/>
      <w:divBdr>
        <w:top w:val="none" w:sz="0" w:space="0" w:color="auto"/>
        <w:left w:val="none" w:sz="0" w:space="0" w:color="auto"/>
        <w:bottom w:val="none" w:sz="0" w:space="0" w:color="auto"/>
        <w:right w:val="none" w:sz="0" w:space="0" w:color="auto"/>
      </w:divBdr>
    </w:div>
    <w:div w:id="438641861">
      <w:marLeft w:val="0"/>
      <w:marRight w:val="0"/>
      <w:marTop w:val="180"/>
      <w:marBottom w:val="180"/>
      <w:divBdr>
        <w:top w:val="none" w:sz="0" w:space="0" w:color="auto"/>
        <w:left w:val="none" w:sz="0" w:space="0" w:color="auto"/>
        <w:bottom w:val="none" w:sz="0" w:space="0" w:color="auto"/>
        <w:right w:val="none" w:sz="0" w:space="0" w:color="auto"/>
      </w:divBdr>
    </w:div>
    <w:div w:id="440031047">
      <w:marLeft w:val="0"/>
      <w:marRight w:val="0"/>
      <w:marTop w:val="100"/>
      <w:marBottom w:val="0"/>
      <w:divBdr>
        <w:top w:val="none" w:sz="0" w:space="0" w:color="auto"/>
        <w:left w:val="none" w:sz="0" w:space="0" w:color="auto"/>
        <w:bottom w:val="none" w:sz="0" w:space="0" w:color="auto"/>
        <w:right w:val="none" w:sz="0" w:space="0" w:color="auto"/>
      </w:divBdr>
      <w:divsChild>
        <w:div w:id="1133792564">
          <w:marLeft w:val="0"/>
          <w:marRight w:val="0"/>
          <w:marTop w:val="0"/>
          <w:marBottom w:val="0"/>
          <w:divBdr>
            <w:top w:val="none" w:sz="0" w:space="0" w:color="auto"/>
            <w:left w:val="none" w:sz="0" w:space="0" w:color="auto"/>
            <w:bottom w:val="none" w:sz="0" w:space="0" w:color="auto"/>
            <w:right w:val="none" w:sz="0" w:space="0" w:color="auto"/>
          </w:divBdr>
        </w:div>
        <w:div w:id="1956210700">
          <w:marLeft w:val="0"/>
          <w:marRight w:val="0"/>
          <w:marTop w:val="0"/>
          <w:marBottom w:val="0"/>
          <w:divBdr>
            <w:top w:val="none" w:sz="0" w:space="0" w:color="auto"/>
            <w:left w:val="none" w:sz="0" w:space="0" w:color="auto"/>
            <w:bottom w:val="none" w:sz="0" w:space="0" w:color="auto"/>
            <w:right w:val="none" w:sz="0" w:space="0" w:color="auto"/>
          </w:divBdr>
        </w:div>
      </w:divsChild>
    </w:div>
    <w:div w:id="440762327">
      <w:marLeft w:val="0"/>
      <w:marRight w:val="0"/>
      <w:marTop w:val="180"/>
      <w:marBottom w:val="180"/>
      <w:divBdr>
        <w:top w:val="none" w:sz="0" w:space="0" w:color="auto"/>
        <w:left w:val="none" w:sz="0" w:space="0" w:color="auto"/>
        <w:bottom w:val="none" w:sz="0" w:space="0" w:color="auto"/>
        <w:right w:val="none" w:sz="0" w:space="0" w:color="auto"/>
      </w:divBdr>
    </w:div>
    <w:div w:id="442530170">
      <w:marLeft w:val="0"/>
      <w:marRight w:val="0"/>
      <w:marTop w:val="180"/>
      <w:marBottom w:val="180"/>
      <w:divBdr>
        <w:top w:val="none" w:sz="0" w:space="0" w:color="auto"/>
        <w:left w:val="none" w:sz="0" w:space="0" w:color="auto"/>
        <w:bottom w:val="none" w:sz="0" w:space="0" w:color="auto"/>
        <w:right w:val="none" w:sz="0" w:space="0" w:color="auto"/>
      </w:divBdr>
      <w:divsChild>
        <w:div w:id="1154224985">
          <w:marLeft w:val="0"/>
          <w:marRight w:val="0"/>
          <w:marTop w:val="0"/>
          <w:marBottom w:val="0"/>
          <w:divBdr>
            <w:top w:val="none" w:sz="0" w:space="0" w:color="auto"/>
            <w:left w:val="none" w:sz="0" w:space="0" w:color="auto"/>
            <w:bottom w:val="none" w:sz="0" w:space="0" w:color="auto"/>
            <w:right w:val="none" w:sz="0" w:space="0" w:color="auto"/>
          </w:divBdr>
        </w:div>
        <w:div w:id="1098141979">
          <w:marLeft w:val="0"/>
          <w:marRight w:val="0"/>
          <w:marTop w:val="0"/>
          <w:marBottom w:val="0"/>
          <w:divBdr>
            <w:top w:val="none" w:sz="0" w:space="0" w:color="auto"/>
            <w:left w:val="none" w:sz="0" w:space="0" w:color="auto"/>
            <w:bottom w:val="none" w:sz="0" w:space="0" w:color="auto"/>
            <w:right w:val="none" w:sz="0" w:space="0" w:color="auto"/>
          </w:divBdr>
        </w:div>
        <w:div w:id="484274300">
          <w:marLeft w:val="0"/>
          <w:marRight w:val="0"/>
          <w:marTop w:val="0"/>
          <w:marBottom w:val="0"/>
          <w:divBdr>
            <w:top w:val="none" w:sz="0" w:space="0" w:color="auto"/>
            <w:left w:val="none" w:sz="0" w:space="0" w:color="auto"/>
            <w:bottom w:val="none" w:sz="0" w:space="0" w:color="auto"/>
            <w:right w:val="none" w:sz="0" w:space="0" w:color="auto"/>
          </w:divBdr>
        </w:div>
        <w:div w:id="1574898774">
          <w:marLeft w:val="0"/>
          <w:marRight w:val="0"/>
          <w:marTop w:val="0"/>
          <w:marBottom w:val="0"/>
          <w:divBdr>
            <w:top w:val="none" w:sz="0" w:space="0" w:color="auto"/>
            <w:left w:val="none" w:sz="0" w:space="0" w:color="auto"/>
            <w:bottom w:val="none" w:sz="0" w:space="0" w:color="auto"/>
            <w:right w:val="none" w:sz="0" w:space="0" w:color="auto"/>
          </w:divBdr>
        </w:div>
        <w:div w:id="1304887734">
          <w:marLeft w:val="0"/>
          <w:marRight w:val="0"/>
          <w:marTop w:val="0"/>
          <w:marBottom w:val="0"/>
          <w:divBdr>
            <w:top w:val="none" w:sz="0" w:space="0" w:color="auto"/>
            <w:left w:val="none" w:sz="0" w:space="0" w:color="auto"/>
            <w:bottom w:val="none" w:sz="0" w:space="0" w:color="auto"/>
            <w:right w:val="none" w:sz="0" w:space="0" w:color="auto"/>
          </w:divBdr>
        </w:div>
        <w:div w:id="782698290">
          <w:marLeft w:val="0"/>
          <w:marRight w:val="0"/>
          <w:marTop w:val="0"/>
          <w:marBottom w:val="0"/>
          <w:divBdr>
            <w:top w:val="none" w:sz="0" w:space="0" w:color="auto"/>
            <w:left w:val="none" w:sz="0" w:space="0" w:color="auto"/>
            <w:bottom w:val="none" w:sz="0" w:space="0" w:color="auto"/>
            <w:right w:val="none" w:sz="0" w:space="0" w:color="auto"/>
          </w:divBdr>
        </w:div>
      </w:divsChild>
    </w:div>
    <w:div w:id="442920623">
      <w:marLeft w:val="0"/>
      <w:marRight w:val="0"/>
      <w:marTop w:val="180"/>
      <w:marBottom w:val="180"/>
      <w:divBdr>
        <w:top w:val="none" w:sz="0" w:space="0" w:color="auto"/>
        <w:left w:val="none" w:sz="0" w:space="0" w:color="auto"/>
        <w:bottom w:val="none" w:sz="0" w:space="0" w:color="auto"/>
        <w:right w:val="none" w:sz="0" w:space="0" w:color="auto"/>
      </w:divBdr>
    </w:div>
    <w:div w:id="443310839">
      <w:marLeft w:val="0"/>
      <w:marRight w:val="0"/>
      <w:marTop w:val="0"/>
      <w:marBottom w:val="0"/>
      <w:divBdr>
        <w:top w:val="none" w:sz="0" w:space="0" w:color="auto"/>
        <w:left w:val="none" w:sz="0" w:space="0" w:color="auto"/>
        <w:bottom w:val="none" w:sz="0" w:space="0" w:color="auto"/>
        <w:right w:val="none" w:sz="0" w:space="0" w:color="auto"/>
      </w:divBdr>
    </w:div>
    <w:div w:id="445926437">
      <w:marLeft w:val="0"/>
      <w:marRight w:val="0"/>
      <w:marTop w:val="180"/>
      <w:marBottom w:val="180"/>
      <w:divBdr>
        <w:top w:val="none" w:sz="0" w:space="0" w:color="auto"/>
        <w:left w:val="none" w:sz="0" w:space="0" w:color="auto"/>
        <w:bottom w:val="none" w:sz="0" w:space="0" w:color="auto"/>
        <w:right w:val="none" w:sz="0" w:space="0" w:color="auto"/>
      </w:divBdr>
    </w:div>
    <w:div w:id="448206846">
      <w:marLeft w:val="0"/>
      <w:marRight w:val="0"/>
      <w:marTop w:val="0"/>
      <w:marBottom w:val="0"/>
      <w:divBdr>
        <w:top w:val="none" w:sz="0" w:space="0" w:color="auto"/>
        <w:left w:val="none" w:sz="0" w:space="0" w:color="auto"/>
        <w:bottom w:val="none" w:sz="0" w:space="0" w:color="auto"/>
        <w:right w:val="none" w:sz="0" w:space="0" w:color="auto"/>
      </w:divBdr>
    </w:div>
    <w:div w:id="448476915">
      <w:marLeft w:val="0"/>
      <w:marRight w:val="0"/>
      <w:marTop w:val="60"/>
      <w:marBottom w:val="60"/>
      <w:divBdr>
        <w:top w:val="none" w:sz="0" w:space="0" w:color="auto"/>
        <w:left w:val="none" w:sz="0" w:space="0" w:color="auto"/>
        <w:bottom w:val="none" w:sz="0" w:space="0" w:color="auto"/>
        <w:right w:val="none" w:sz="0" w:space="0" w:color="auto"/>
      </w:divBdr>
    </w:div>
    <w:div w:id="448664786">
      <w:marLeft w:val="0"/>
      <w:marRight w:val="0"/>
      <w:marTop w:val="60"/>
      <w:marBottom w:val="60"/>
      <w:divBdr>
        <w:top w:val="none" w:sz="0" w:space="0" w:color="auto"/>
        <w:left w:val="none" w:sz="0" w:space="0" w:color="auto"/>
        <w:bottom w:val="none" w:sz="0" w:space="0" w:color="auto"/>
        <w:right w:val="none" w:sz="0" w:space="0" w:color="auto"/>
      </w:divBdr>
    </w:div>
    <w:div w:id="449323081">
      <w:marLeft w:val="0"/>
      <w:marRight w:val="0"/>
      <w:marTop w:val="60"/>
      <w:marBottom w:val="60"/>
      <w:divBdr>
        <w:top w:val="none" w:sz="0" w:space="0" w:color="auto"/>
        <w:left w:val="none" w:sz="0" w:space="0" w:color="auto"/>
        <w:bottom w:val="none" w:sz="0" w:space="0" w:color="auto"/>
        <w:right w:val="none" w:sz="0" w:space="0" w:color="auto"/>
      </w:divBdr>
    </w:div>
    <w:div w:id="450247174">
      <w:marLeft w:val="0"/>
      <w:marRight w:val="0"/>
      <w:marTop w:val="180"/>
      <w:marBottom w:val="180"/>
      <w:divBdr>
        <w:top w:val="none" w:sz="0" w:space="0" w:color="auto"/>
        <w:left w:val="none" w:sz="0" w:space="0" w:color="auto"/>
        <w:bottom w:val="none" w:sz="0" w:space="0" w:color="auto"/>
        <w:right w:val="none" w:sz="0" w:space="0" w:color="auto"/>
      </w:divBdr>
    </w:div>
    <w:div w:id="450393792">
      <w:marLeft w:val="0"/>
      <w:marRight w:val="0"/>
      <w:marTop w:val="180"/>
      <w:marBottom w:val="180"/>
      <w:divBdr>
        <w:top w:val="none" w:sz="0" w:space="0" w:color="auto"/>
        <w:left w:val="none" w:sz="0" w:space="0" w:color="auto"/>
        <w:bottom w:val="none" w:sz="0" w:space="0" w:color="auto"/>
        <w:right w:val="none" w:sz="0" w:space="0" w:color="auto"/>
      </w:divBdr>
    </w:div>
    <w:div w:id="454832733">
      <w:marLeft w:val="0"/>
      <w:marRight w:val="0"/>
      <w:marTop w:val="0"/>
      <w:marBottom w:val="0"/>
      <w:divBdr>
        <w:top w:val="none" w:sz="0" w:space="0" w:color="auto"/>
        <w:left w:val="none" w:sz="0" w:space="0" w:color="auto"/>
        <w:bottom w:val="none" w:sz="0" w:space="0" w:color="auto"/>
        <w:right w:val="none" w:sz="0" w:space="0" w:color="auto"/>
      </w:divBdr>
      <w:divsChild>
        <w:div w:id="1715084751">
          <w:marLeft w:val="0"/>
          <w:marRight w:val="0"/>
          <w:marTop w:val="60"/>
          <w:marBottom w:val="60"/>
          <w:divBdr>
            <w:top w:val="none" w:sz="0" w:space="0" w:color="auto"/>
            <w:left w:val="none" w:sz="0" w:space="0" w:color="auto"/>
            <w:bottom w:val="none" w:sz="0" w:space="0" w:color="auto"/>
            <w:right w:val="none" w:sz="0" w:space="0" w:color="auto"/>
          </w:divBdr>
        </w:div>
      </w:divsChild>
    </w:div>
    <w:div w:id="456220361">
      <w:marLeft w:val="0"/>
      <w:marRight w:val="0"/>
      <w:marTop w:val="0"/>
      <w:marBottom w:val="0"/>
      <w:divBdr>
        <w:top w:val="none" w:sz="0" w:space="0" w:color="auto"/>
        <w:left w:val="none" w:sz="0" w:space="0" w:color="auto"/>
        <w:bottom w:val="none" w:sz="0" w:space="0" w:color="auto"/>
        <w:right w:val="none" w:sz="0" w:space="0" w:color="auto"/>
      </w:divBdr>
      <w:divsChild>
        <w:div w:id="1842694413">
          <w:marLeft w:val="0"/>
          <w:marRight w:val="0"/>
          <w:marTop w:val="60"/>
          <w:marBottom w:val="60"/>
          <w:divBdr>
            <w:top w:val="none" w:sz="0" w:space="0" w:color="auto"/>
            <w:left w:val="none" w:sz="0" w:space="0" w:color="auto"/>
            <w:bottom w:val="none" w:sz="0" w:space="0" w:color="auto"/>
            <w:right w:val="none" w:sz="0" w:space="0" w:color="auto"/>
          </w:divBdr>
        </w:div>
      </w:divsChild>
    </w:div>
    <w:div w:id="457379621">
      <w:marLeft w:val="0"/>
      <w:marRight w:val="0"/>
      <w:marTop w:val="0"/>
      <w:marBottom w:val="180"/>
      <w:divBdr>
        <w:top w:val="none" w:sz="0" w:space="0" w:color="auto"/>
        <w:left w:val="none" w:sz="0" w:space="0" w:color="auto"/>
        <w:bottom w:val="none" w:sz="0" w:space="0" w:color="auto"/>
        <w:right w:val="none" w:sz="0" w:space="0" w:color="auto"/>
      </w:divBdr>
    </w:div>
    <w:div w:id="462238361">
      <w:marLeft w:val="0"/>
      <w:marRight w:val="0"/>
      <w:marTop w:val="60"/>
      <w:marBottom w:val="60"/>
      <w:divBdr>
        <w:top w:val="none" w:sz="0" w:space="0" w:color="auto"/>
        <w:left w:val="none" w:sz="0" w:space="0" w:color="auto"/>
        <w:bottom w:val="none" w:sz="0" w:space="0" w:color="auto"/>
        <w:right w:val="none" w:sz="0" w:space="0" w:color="auto"/>
      </w:divBdr>
    </w:div>
    <w:div w:id="462579733">
      <w:marLeft w:val="0"/>
      <w:marRight w:val="0"/>
      <w:marTop w:val="180"/>
      <w:marBottom w:val="180"/>
      <w:divBdr>
        <w:top w:val="none" w:sz="0" w:space="0" w:color="auto"/>
        <w:left w:val="none" w:sz="0" w:space="0" w:color="auto"/>
        <w:bottom w:val="none" w:sz="0" w:space="0" w:color="auto"/>
        <w:right w:val="none" w:sz="0" w:space="0" w:color="auto"/>
      </w:divBdr>
    </w:div>
    <w:div w:id="463668041">
      <w:marLeft w:val="0"/>
      <w:marRight w:val="0"/>
      <w:marTop w:val="0"/>
      <w:marBottom w:val="0"/>
      <w:divBdr>
        <w:top w:val="none" w:sz="0" w:space="0" w:color="auto"/>
        <w:left w:val="none" w:sz="0" w:space="0" w:color="auto"/>
        <w:bottom w:val="none" w:sz="0" w:space="0" w:color="auto"/>
        <w:right w:val="none" w:sz="0" w:space="0" w:color="auto"/>
      </w:divBdr>
    </w:div>
    <w:div w:id="468518120">
      <w:marLeft w:val="0"/>
      <w:marRight w:val="0"/>
      <w:marTop w:val="180"/>
      <w:marBottom w:val="180"/>
      <w:divBdr>
        <w:top w:val="none" w:sz="0" w:space="0" w:color="auto"/>
        <w:left w:val="none" w:sz="0" w:space="0" w:color="auto"/>
        <w:bottom w:val="none" w:sz="0" w:space="0" w:color="auto"/>
        <w:right w:val="none" w:sz="0" w:space="0" w:color="auto"/>
      </w:divBdr>
    </w:div>
    <w:div w:id="469060338">
      <w:marLeft w:val="0"/>
      <w:marRight w:val="0"/>
      <w:marTop w:val="180"/>
      <w:marBottom w:val="180"/>
      <w:divBdr>
        <w:top w:val="none" w:sz="0" w:space="0" w:color="auto"/>
        <w:left w:val="none" w:sz="0" w:space="0" w:color="auto"/>
        <w:bottom w:val="none" w:sz="0" w:space="0" w:color="auto"/>
        <w:right w:val="none" w:sz="0" w:space="0" w:color="auto"/>
      </w:divBdr>
    </w:div>
    <w:div w:id="469641368">
      <w:marLeft w:val="0"/>
      <w:marRight w:val="0"/>
      <w:marTop w:val="0"/>
      <w:marBottom w:val="0"/>
      <w:divBdr>
        <w:top w:val="none" w:sz="0" w:space="0" w:color="auto"/>
        <w:left w:val="none" w:sz="0" w:space="0" w:color="auto"/>
        <w:bottom w:val="none" w:sz="0" w:space="0" w:color="auto"/>
        <w:right w:val="none" w:sz="0" w:space="0" w:color="auto"/>
      </w:divBdr>
    </w:div>
    <w:div w:id="471168391">
      <w:marLeft w:val="0"/>
      <w:marRight w:val="0"/>
      <w:marTop w:val="180"/>
      <w:marBottom w:val="180"/>
      <w:divBdr>
        <w:top w:val="none" w:sz="0" w:space="0" w:color="auto"/>
        <w:left w:val="none" w:sz="0" w:space="0" w:color="auto"/>
        <w:bottom w:val="none" w:sz="0" w:space="0" w:color="auto"/>
        <w:right w:val="none" w:sz="0" w:space="0" w:color="auto"/>
      </w:divBdr>
    </w:div>
    <w:div w:id="472988660">
      <w:marLeft w:val="0"/>
      <w:marRight w:val="0"/>
      <w:marTop w:val="180"/>
      <w:marBottom w:val="180"/>
      <w:divBdr>
        <w:top w:val="none" w:sz="0" w:space="0" w:color="auto"/>
        <w:left w:val="none" w:sz="0" w:space="0" w:color="auto"/>
        <w:bottom w:val="none" w:sz="0" w:space="0" w:color="auto"/>
        <w:right w:val="none" w:sz="0" w:space="0" w:color="auto"/>
      </w:divBdr>
    </w:div>
    <w:div w:id="476339298">
      <w:marLeft w:val="0"/>
      <w:marRight w:val="0"/>
      <w:marTop w:val="180"/>
      <w:marBottom w:val="180"/>
      <w:divBdr>
        <w:top w:val="none" w:sz="0" w:space="0" w:color="auto"/>
        <w:left w:val="none" w:sz="0" w:space="0" w:color="auto"/>
        <w:bottom w:val="none" w:sz="0" w:space="0" w:color="auto"/>
        <w:right w:val="none" w:sz="0" w:space="0" w:color="auto"/>
      </w:divBdr>
    </w:div>
    <w:div w:id="476532128">
      <w:marLeft w:val="0"/>
      <w:marRight w:val="0"/>
      <w:marTop w:val="180"/>
      <w:marBottom w:val="180"/>
      <w:divBdr>
        <w:top w:val="none" w:sz="0" w:space="0" w:color="auto"/>
        <w:left w:val="none" w:sz="0" w:space="0" w:color="auto"/>
        <w:bottom w:val="none" w:sz="0" w:space="0" w:color="auto"/>
        <w:right w:val="none" w:sz="0" w:space="0" w:color="auto"/>
      </w:divBdr>
    </w:div>
    <w:div w:id="477114944">
      <w:marLeft w:val="0"/>
      <w:marRight w:val="0"/>
      <w:marTop w:val="180"/>
      <w:marBottom w:val="180"/>
      <w:divBdr>
        <w:top w:val="none" w:sz="0" w:space="0" w:color="auto"/>
        <w:left w:val="none" w:sz="0" w:space="0" w:color="auto"/>
        <w:bottom w:val="none" w:sz="0" w:space="0" w:color="auto"/>
        <w:right w:val="none" w:sz="0" w:space="0" w:color="auto"/>
      </w:divBdr>
    </w:div>
    <w:div w:id="479080793">
      <w:marLeft w:val="0"/>
      <w:marRight w:val="0"/>
      <w:marTop w:val="180"/>
      <w:marBottom w:val="180"/>
      <w:divBdr>
        <w:top w:val="none" w:sz="0" w:space="0" w:color="auto"/>
        <w:left w:val="none" w:sz="0" w:space="0" w:color="auto"/>
        <w:bottom w:val="none" w:sz="0" w:space="0" w:color="auto"/>
        <w:right w:val="none" w:sz="0" w:space="0" w:color="auto"/>
      </w:divBdr>
    </w:div>
    <w:div w:id="482818511">
      <w:marLeft w:val="0"/>
      <w:marRight w:val="0"/>
      <w:marTop w:val="180"/>
      <w:marBottom w:val="180"/>
      <w:divBdr>
        <w:top w:val="none" w:sz="0" w:space="0" w:color="auto"/>
        <w:left w:val="none" w:sz="0" w:space="0" w:color="auto"/>
        <w:bottom w:val="none" w:sz="0" w:space="0" w:color="auto"/>
        <w:right w:val="none" w:sz="0" w:space="0" w:color="auto"/>
      </w:divBdr>
    </w:div>
    <w:div w:id="483396291">
      <w:marLeft w:val="0"/>
      <w:marRight w:val="0"/>
      <w:marTop w:val="0"/>
      <w:marBottom w:val="0"/>
      <w:divBdr>
        <w:top w:val="none" w:sz="0" w:space="0" w:color="auto"/>
        <w:left w:val="none" w:sz="0" w:space="0" w:color="auto"/>
        <w:bottom w:val="none" w:sz="0" w:space="0" w:color="auto"/>
        <w:right w:val="none" w:sz="0" w:space="0" w:color="auto"/>
      </w:divBdr>
    </w:div>
    <w:div w:id="484467734">
      <w:marLeft w:val="0"/>
      <w:marRight w:val="0"/>
      <w:marTop w:val="180"/>
      <w:marBottom w:val="180"/>
      <w:divBdr>
        <w:top w:val="none" w:sz="0" w:space="0" w:color="auto"/>
        <w:left w:val="none" w:sz="0" w:space="0" w:color="auto"/>
        <w:bottom w:val="none" w:sz="0" w:space="0" w:color="auto"/>
        <w:right w:val="none" w:sz="0" w:space="0" w:color="auto"/>
      </w:divBdr>
    </w:div>
    <w:div w:id="485173234">
      <w:marLeft w:val="0"/>
      <w:marRight w:val="0"/>
      <w:marTop w:val="60"/>
      <w:marBottom w:val="60"/>
      <w:divBdr>
        <w:top w:val="none" w:sz="0" w:space="0" w:color="auto"/>
        <w:left w:val="none" w:sz="0" w:space="0" w:color="auto"/>
        <w:bottom w:val="none" w:sz="0" w:space="0" w:color="auto"/>
        <w:right w:val="none" w:sz="0" w:space="0" w:color="auto"/>
      </w:divBdr>
    </w:div>
    <w:div w:id="487866843">
      <w:marLeft w:val="0"/>
      <w:marRight w:val="0"/>
      <w:marTop w:val="180"/>
      <w:marBottom w:val="60"/>
      <w:divBdr>
        <w:top w:val="none" w:sz="0" w:space="0" w:color="auto"/>
        <w:left w:val="none" w:sz="0" w:space="0" w:color="auto"/>
        <w:bottom w:val="none" w:sz="0" w:space="0" w:color="auto"/>
        <w:right w:val="none" w:sz="0" w:space="0" w:color="auto"/>
      </w:divBdr>
    </w:div>
    <w:div w:id="489642714">
      <w:marLeft w:val="0"/>
      <w:marRight w:val="0"/>
      <w:marTop w:val="60"/>
      <w:marBottom w:val="60"/>
      <w:divBdr>
        <w:top w:val="none" w:sz="0" w:space="0" w:color="auto"/>
        <w:left w:val="none" w:sz="0" w:space="0" w:color="auto"/>
        <w:bottom w:val="none" w:sz="0" w:space="0" w:color="auto"/>
        <w:right w:val="none" w:sz="0" w:space="0" w:color="auto"/>
      </w:divBdr>
    </w:div>
    <w:div w:id="490367226">
      <w:marLeft w:val="0"/>
      <w:marRight w:val="0"/>
      <w:marTop w:val="60"/>
      <w:marBottom w:val="60"/>
      <w:divBdr>
        <w:top w:val="none" w:sz="0" w:space="0" w:color="auto"/>
        <w:left w:val="none" w:sz="0" w:space="0" w:color="auto"/>
        <w:bottom w:val="none" w:sz="0" w:space="0" w:color="auto"/>
        <w:right w:val="none" w:sz="0" w:space="0" w:color="auto"/>
      </w:divBdr>
    </w:div>
    <w:div w:id="490409750">
      <w:marLeft w:val="0"/>
      <w:marRight w:val="0"/>
      <w:marTop w:val="0"/>
      <w:marBottom w:val="0"/>
      <w:divBdr>
        <w:top w:val="none" w:sz="0" w:space="0" w:color="auto"/>
        <w:left w:val="none" w:sz="0" w:space="0" w:color="auto"/>
        <w:bottom w:val="none" w:sz="0" w:space="0" w:color="auto"/>
        <w:right w:val="none" w:sz="0" w:space="0" w:color="auto"/>
      </w:divBdr>
    </w:div>
    <w:div w:id="494960345">
      <w:marLeft w:val="0"/>
      <w:marRight w:val="0"/>
      <w:marTop w:val="100"/>
      <w:marBottom w:val="0"/>
      <w:divBdr>
        <w:top w:val="none" w:sz="0" w:space="0" w:color="auto"/>
        <w:left w:val="none" w:sz="0" w:space="0" w:color="auto"/>
        <w:bottom w:val="none" w:sz="0" w:space="0" w:color="auto"/>
        <w:right w:val="none" w:sz="0" w:space="0" w:color="auto"/>
      </w:divBdr>
      <w:divsChild>
        <w:div w:id="79059642">
          <w:marLeft w:val="0"/>
          <w:marRight w:val="0"/>
          <w:marTop w:val="0"/>
          <w:marBottom w:val="0"/>
          <w:divBdr>
            <w:top w:val="none" w:sz="0" w:space="0" w:color="auto"/>
            <w:left w:val="none" w:sz="0" w:space="0" w:color="auto"/>
            <w:bottom w:val="none" w:sz="0" w:space="0" w:color="auto"/>
            <w:right w:val="none" w:sz="0" w:space="0" w:color="auto"/>
          </w:divBdr>
        </w:div>
        <w:div w:id="1021399110">
          <w:marLeft w:val="0"/>
          <w:marRight w:val="0"/>
          <w:marTop w:val="0"/>
          <w:marBottom w:val="0"/>
          <w:divBdr>
            <w:top w:val="none" w:sz="0" w:space="0" w:color="auto"/>
            <w:left w:val="none" w:sz="0" w:space="0" w:color="auto"/>
            <w:bottom w:val="none" w:sz="0" w:space="0" w:color="auto"/>
            <w:right w:val="none" w:sz="0" w:space="0" w:color="auto"/>
          </w:divBdr>
        </w:div>
        <w:div w:id="627012231">
          <w:marLeft w:val="0"/>
          <w:marRight w:val="0"/>
          <w:marTop w:val="0"/>
          <w:marBottom w:val="0"/>
          <w:divBdr>
            <w:top w:val="none" w:sz="0" w:space="0" w:color="auto"/>
            <w:left w:val="none" w:sz="0" w:space="0" w:color="auto"/>
            <w:bottom w:val="none" w:sz="0" w:space="0" w:color="auto"/>
            <w:right w:val="none" w:sz="0" w:space="0" w:color="auto"/>
          </w:divBdr>
        </w:div>
        <w:div w:id="1391926870">
          <w:marLeft w:val="0"/>
          <w:marRight w:val="0"/>
          <w:marTop w:val="0"/>
          <w:marBottom w:val="0"/>
          <w:divBdr>
            <w:top w:val="none" w:sz="0" w:space="0" w:color="auto"/>
            <w:left w:val="none" w:sz="0" w:space="0" w:color="auto"/>
            <w:bottom w:val="none" w:sz="0" w:space="0" w:color="auto"/>
            <w:right w:val="none" w:sz="0" w:space="0" w:color="auto"/>
          </w:divBdr>
        </w:div>
      </w:divsChild>
    </w:div>
    <w:div w:id="503012529">
      <w:marLeft w:val="0"/>
      <w:marRight w:val="0"/>
      <w:marTop w:val="60"/>
      <w:marBottom w:val="180"/>
      <w:divBdr>
        <w:top w:val="none" w:sz="0" w:space="0" w:color="auto"/>
        <w:left w:val="none" w:sz="0" w:space="0" w:color="auto"/>
        <w:bottom w:val="none" w:sz="0" w:space="0" w:color="auto"/>
        <w:right w:val="none" w:sz="0" w:space="0" w:color="auto"/>
      </w:divBdr>
    </w:div>
    <w:div w:id="503083478">
      <w:marLeft w:val="0"/>
      <w:marRight w:val="0"/>
      <w:marTop w:val="180"/>
      <w:marBottom w:val="180"/>
      <w:divBdr>
        <w:top w:val="none" w:sz="0" w:space="0" w:color="auto"/>
        <w:left w:val="none" w:sz="0" w:space="0" w:color="auto"/>
        <w:bottom w:val="none" w:sz="0" w:space="0" w:color="auto"/>
        <w:right w:val="none" w:sz="0" w:space="0" w:color="auto"/>
      </w:divBdr>
    </w:div>
    <w:div w:id="506209644">
      <w:marLeft w:val="0"/>
      <w:marRight w:val="0"/>
      <w:marTop w:val="180"/>
      <w:marBottom w:val="180"/>
      <w:divBdr>
        <w:top w:val="none" w:sz="0" w:space="0" w:color="auto"/>
        <w:left w:val="none" w:sz="0" w:space="0" w:color="auto"/>
        <w:bottom w:val="none" w:sz="0" w:space="0" w:color="auto"/>
        <w:right w:val="none" w:sz="0" w:space="0" w:color="auto"/>
      </w:divBdr>
    </w:div>
    <w:div w:id="509224923">
      <w:marLeft w:val="0"/>
      <w:marRight w:val="0"/>
      <w:marTop w:val="0"/>
      <w:marBottom w:val="0"/>
      <w:divBdr>
        <w:top w:val="none" w:sz="0" w:space="0" w:color="auto"/>
        <w:left w:val="none" w:sz="0" w:space="0" w:color="auto"/>
        <w:bottom w:val="none" w:sz="0" w:space="0" w:color="auto"/>
        <w:right w:val="none" w:sz="0" w:space="0" w:color="auto"/>
      </w:divBdr>
      <w:divsChild>
        <w:div w:id="2005430741">
          <w:marLeft w:val="0"/>
          <w:marRight w:val="0"/>
          <w:marTop w:val="60"/>
          <w:marBottom w:val="60"/>
          <w:divBdr>
            <w:top w:val="none" w:sz="0" w:space="0" w:color="auto"/>
            <w:left w:val="none" w:sz="0" w:space="0" w:color="auto"/>
            <w:bottom w:val="none" w:sz="0" w:space="0" w:color="auto"/>
            <w:right w:val="none" w:sz="0" w:space="0" w:color="auto"/>
          </w:divBdr>
        </w:div>
      </w:divsChild>
    </w:div>
    <w:div w:id="509298003">
      <w:marLeft w:val="0"/>
      <w:marRight w:val="0"/>
      <w:marTop w:val="0"/>
      <w:marBottom w:val="0"/>
      <w:divBdr>
        <w:top w:val="none" w:sz="0" w:space="0" w:color="auto"/>
        <w:left w:val="none" w:sz="0" w:space="0" w:color="auto"/>
        <w:bottom w:val="none" w:sz="0" w:space="0" w:color="auto"/>
        <w:right w:val="none" w:sz="0" w:space="0" w:color="auto"/>
      </w:divBdr>
      <w:divsChild>
        <w:div w:id="463743907">
          <w:marLeft w:val="0"/>
          <w:marRight w:val="0"/>
          <w:marTop w:val="0"/>
          <w:marBottom w:val="0"/>
          <w:divBdr>
            <w:top w:val="none" w:sz="0" w:space="0" w:color="auto"/>
            <w:left w:val="none" w:sz="0" w:space="0" w:color="auto"/>
            <w:bottom w:val="none" w:sz="0" w:space="0" w:color="auto"/>
            <w:right w:val="none" w:sz="0" w:space="0" w:color="auto"/>
          </w:divBdr>
          <w:divsChild>
            <w:div w:id="70267973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13231771">
      <w:marLeft w:val="0"/>
      <w:marRight w:val="0"/>
      <w:marTop w:val="180"/>
      <w:marBottom w:val="180"/>
      <w:divBdr>
        <w:top w:val="none" w:sz="0" w:space="0" w:color="auto"/>
        <w:left w:val="none" w:sz="0" w:space="0" w:color="auto"/>
        <w:bottom w:val="none" w:sz="0" w:space="0" w:color="auto"/>
        <w:right w:val="none" w:sz="0" w:space="0" w:color="auto"/>
      </w:divBdr>
      <w:divsChild>
        <w:div w:id="260067553">
          <w:marLeft w:val="0"/>
          <w:marRight w:val="0"/>
          <w:marTop w:val="0"/>
          <w:marBottom w:val="0"/>
          <w:divBdr>
            <w:top w:val="none" w:sz="0" w:space="0" w:color="auto"/>
            <w:left w:val="none" w:sz="0" w:space="0" w:color="auto"/>
            <w:bottom w:val="none" w:sz="0" w:space="0" w:color="auto"/>
            <w:right w:val="none" w:sz="0" w:space="0" w:color="auto"/>
          </w:divBdr>
        </w:div>
        <w:div w:id="1680933898">
          <w:marLeft w:val="0"/>
          <w:marRight w:val="0"/>
          <w:marTop w:val="0"/>
          <w:marBottom w:val="0"/>
          <w:divBdr>
            <w:top w:val="none" w:sz="0" w:space="0" w:color="auto"/>
            <w:left w:val="none" w:sz="0" w:space="0" w:color="auto"/>
            <w:bottom w:val="none" w:sz="0" w:space="0" w:color="auto"/>
            <w:right w:val="none" w:sz="0" w:space="0" w:color="auto"/>
          </w:divBdr>
        </w:div>
        <w:div w:id="2057657509">
          <w:marLeft w:val="0"/>
          <w:marRight w:val="0"/>
          <w:marTop w:val="0"/>
          <w:marBottom w:val="0"/>
          <w:divBdr>
            <w:top w:val="none" w:sz="0" w:space="0" w:color="auto"/>
            <w:left w:val="none" w:sz="0" w:space="0" w:color="auto"/>
            <w:bottom w:val="none" w:sz="0" w:space="0" w:color="auto"/>
            <w:right w:val="none" w:sz="0" w:space="0" w:color="auto"/>
          </w:divBdr>
        </w:div>
      </w:divsChild>
    </w:div>
    <w:div w:id="514267643">
      <w:marLeft w:val="0"/>
      <w:marRight w:val="0"/>
      <w:marTop w:val="180"/>
      <w:marBottom w:val="180"/>
      <w:divBdr>
        <w:top w:val="none" w:sz="0" w:space="0" w:color="auto"/>
        <w:left w:val="none" w:sz="0" w:space="0" w:color="auto"/>
        <w:bottom w:val="none" w:sz="0" w:space="0" w:color="auto"/>
        <w:right w:val="none" w:sz="0" w:space="0" w:color="auto"/>
      </w:divBdr>
    </w:div>
    <w:div w:id="514341221">
      <w:marLeft w:val="0"/>
      <w:marRight w:val="0"/>
      <w:marTop w:val="0"/>
      <w:marBottom w:val="0"/>
      <w:divBdr>
        <w:top w:val="none" w:sz="0" w:space="0" w:color="auto"/>
        <w:left w:val="none" w:sz="0" w:space="0" w:color="auto"/>
        <w:bottom w:val="none" w:sz="0" w:space="0" w:color="auto"/>
        <w:right w:val="none" w:sz="0" w:space="0" w:color="auto"/>
      </w:divBdr>
      <w:divsChild>
        <w:div w:id="800340957">
          <w:marLeft w:val="0"/>
          <w:marRight w:val="0"/>
          <w:marTop w:val="0"/>
          <w:marBottom w:val="0"/>
          <w:divBdr>
            <w:top w:val="none" w:sz="0" w:space="0" w:color="auto"/>
            <w:left w:val="none" w:sz="0" w:space="0" w:color="auto"/>
            <w:bottom w:val="none" w:sz="0" w:space="0" w:color="auto"/>
            <w:right w:val="none" w:sz="0" w:space="0" w:color="auto"/>
          </w:divBdr>
          <w:divsChild>
            <w:div w:id="63159875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14734532">
      <w:marLeft w:val="0"/>
      <w:marRight w:val="0"/>
      <w:marTop w:val="180"/>
      <w:marBottom w:val="0"/>
      <w:divBdr>
        <w:top w:val="none" w:sz="0" w:space="0" w:color="auto"/>
        <w:left w:val="none" w:sz="0" w:space="0" w:color="auto"/>
        <w:bottom w:val="none" w:sz="0" w:space="0" w:color="auto"/>
        <w:right w:val="none" w:sz="0" w:space="0" w:color="auto"/>
      </w:divBdr>
    </w:div>
    <w:div w:id="517043551">
      <w:marLeft w:val="0"/>
      <w:marRight w:val="0"/>
      <w:marTop w:val="60"/>
      <w:marBottom w:val="60"/>
      <w:divBdr>
        <w:top w:val="none" w:sz="0" w:space="0" w:color="auto"/>
        <w:left w:val="none" w:sz="0" w:space="0" w:color="auto"/>
        <w:bottom w:val="none" w:sz="0" w:space="0" w:color="auto"/>
        <w:right w:val="none" w:sz="0" w:space="0" w:color="auto"/>
      </w:divBdr>
    </w:div>
    <w:div w:id="518784575">
      <w:marLeft w:val="0"/>
      <w:marRight w:val="0"/>
      <w:marTop w:val="180"/>
      <w:marBottom w:val="180"/>
      <w:divBdr>
        <w:top w:val="none" w:sz="0" w:space="0" w:color="auto"/>
        <w:left w:val="none" w:sz="0" w:space="0" w:color="auto"/>
        <w:bottom w:val="none" w:sz="0" w:space="0" w:color="auto"/>
        <w:right w:val="none" w:sz="0" w:space="0" w:color="auto"/>
      </w:divBdr>
    </w:div>
    <w:div w:id="519123493">
      <w:marLeft w:val="0"/>
      <w:marRight w:val="0"/>
      <w:marTop w:val="180"/>
      <w:marBottom w:val="180"/>
      <w:divBdr>
        <w:top w:val="none" w:sz="0" w:space="0" w:color="auto"/>
        <w:left w:val="none" w:sz="0" w:space="0" w:color="auto"/>
        <w:bottom w:val="none" w:sz="0" w:space="0" w:color="auto"/>
        <w:right w:val="none" w:sz="0" w:space="0" w:color="auto"/>
      </w:divBdr>
    </w:div>
    <w:div w:id="519977040">
      <w:marLeft w:val="0"/>
      <w:marRight w:val="0"/>
      <w:marTop w:val="180"/>
      <w:marBottom w:val="180"/>
      <w:divBdr>
        <w:top w:val="none" w:sz="0" w:space="0" w:color="auto"/>
        <w:left w:val="none" w:sz="0" w:space="0" w:color="auto"/>
        <w:bottom w:val="none" w:sz="0" w:space="0" w:color="auto"/>
        <w:right w:val="none" w:sz="0" w:space="0" w:color="auto"/>
      </w:divBdr>
    </w:div>
    <w:div w:id="520245585">
      <w:marLeft w:val="0"/>
      <w:marRight w:val="0"/>
      <w:marTop w:val="100"/>
      <w:marBottom w:val="0"/>
      <w:divBdr>
        <w:top w:val="none" w:sz="0" w:space="0" w:color="auto"/>
        <w:left w:val="none" w:sz="0" w:space="0" w:color="auto"/>
        <w:bottom w:val="none" w:sz="0" w:space="0" w:color="auto"/>
        <w:right w:val="none" w:sz="0" w:space="0" w:color="auto"/>
      </w:divBdr>
      <w:divsChild>
        <w:div w:id="883634858">
          <w:marLeft w:val="0"/>
          <w:marRight w:val="0"/>
          <w:marTop w:val="0"/>
          <w:marBottom w:val="0"/>
          <w:divBdr>
            <w:top w:val="none" w:sz="0" w:space="0" w:color="auto"/>
            <w:left w:val="none" w:sz="0" w:space="0" w:color="auto"/>
            <w:bottom w:val="none" w:sz="0" w:space="0" w:color="auto"/>
            <w:right w:val="none" w:sz="0" w:space="0" w:color="auto"/>
          </w:divBdr>
        </w:div>
        <w:div w:id="791285844">
          <w:marLeft w:val="0"/>
          <w:marRight w:val="0"/>
          <w:marTop w:val="0"/>
          <w:marBottom w:val="0"/>
          <w:divBdr>
            <w:top w:val="none" w:sz="0" w:space="0" w:color="auto"/>
            <w:left w:val="none" w:sz="0" w:space="0" w:color="auto"/>
            <w:bottom w:val="none" w:sz="0" w:space="0" w:color="auto"/>
            <w:right w:val="none" w:sz="0" w:space="0" w:color="auto"/>
          </w:divBdr>
        </w:div>
        <w:div w:id="2053650515">
          <w:marLeft w:val="0"/>
          <w:marRight w:val="0"/>
          <w:marTop w:val="0"/>
          <w:marBottom w:val="0"/>
          <w:divBdr>
            <w:top w:val="none" w:sz="0" w:space="0" w:color="auto"/>
            <w:left w:val="none" w:sz="0" w:space="0" w:color="auto"/>
            <w:bottom w:val="none" w:sz="0" w:space="0" w:color="auto"/>
            <w:right w:val="none" w:sz="0" w:space="0" w:color="auto"/>
          </w:divBdr>
        </w:div>
        <w:div w:id="1877043561">
          <w:marLeft w:val="0"/>
          <w:marRight w:val="0"/>
          <w:marTop w:val="0"/>
          <w:marBottom w:val="0"/>
          <w:divBdr>
            <w:top w:val="none" w:sz="0" w:space="0" w:color="auto"/>
            <w:left w:val="none" w:sz="0" w:space="0" w:color="auto"/>
            <w:bottom w:val="none" w:sz="0" w:space="0" w:color="auto"/>
            <w:right w:val="none" w:sz="0" w:space="0" w:color="auto"/>
          </w:divBdr>
        </w:div>
        <w:div w:id="396779981">
          <w:marLeft w:val="0"/>
          <w:marRight w:val="0"/>
          <w:marTop w:val="0"/>
          <w:marBottom w:val="0"/>
          <w:divBdr>
            <w:top w:val="none" w:sz="0" w:space="0" w:color="auto"/>
            <w:left w:val="none" w:sz="0" w:space="0" w:color="auto"/>
            <w:bottom w:val="none" w:sz="0" w:space="0" w:color="auto"/>
            <w:right w:val="none" w:sz="0" w:space="0" w:color="auto"/>
          </w:divBdr>
        </w:div>
      </w:divsChild>
    </w:div>
    <w:div w:id="520968843">
      <w:marLeft w:val="0"/>
      <w:marRight w:val="0"/>
      <w:marTop w:val="0"/>
      <w:marBottom w:val="0"/>
      <w:divBdr>
        <w:top w:val="none" w:sz="0" w:space="0" w:color="auto"/>
        <w:left w:val="none" w:sz="0" w:space="0" w:color="auto"/>
        <w:bottom w:val="none" w:sz="0" w:space="0" w:color="auto"/>
        <w:right w:val="none" w:sz="0" w:space="0" w:color="auto"/>
      </w:divBdr>
    </w:div>
    <w:div w:id="521549820">
      <w:marLeft w:val="0"/>
      <w:marRight w:val="0"/>
      <w:marTop w:val="180"/>
      <w:marBottom w:val="180"/>
      <w:divBdr>
        <w:top w:val="none" w:sz="0" w:space="0" w:color="auto"/>
        <w:left w:val="none" w:sz="0" w:space="0" w:color="auto"/>
        <w:bottom w:val="none" w:sz="0" w:space="0" w:color="auto"/>
        <w:right w:val="none" w:sz="0" w:space="0" w:color="auto"/>
      </w:divBdr>
    </w:div>
    <w:div w:id="522867282">
      <w:marLeft w:val="0"/>
      <w:marRight w:val="0"/>
      <w:marTop w:val="180"/>
      <w:marBottom w:val="180"/>
      <w:divBdr>
        <w:top w:val="none" w:sz="0" w:space="0" w:color="auto"/>
        <w:left w:val="none" w:sz="0" w:space="0" w:color="auto"/>
        <w:bottom w:val="none" w:sz="0" w:space="0" w:color="auto"/>
        <w:right w:val="none" w:sz="0" w:space="0" w:color="auto"/>
      </w:divBdr>
    </w:div>
    <w:div w:id="523329497">
      <w:marLeft w:val="0"/>
      <w:marRight w:val="0"/>
      <w:marTop w:val="60"/>
      <w:marBottom w:val="60"/>
      <w:divBdr>
        <w:top w:val="none" w:sz="0" w:space="0" w:color="auto"/>
        <w:left w:val="none" w:sz="0" w:space="0" w:color="auto"/>
        <w:bottom w:val="none" w:sz="0" w:space="0" w:color="auto"/>
        <w:right w:val="none" w:sz="0" w:space="0" w:color="auto"/>
      </w:divBdr>
    </w:div>
    <w:div w:id="523519836">
      <w:marLeft w:val="0"/>
      <w:marRight w:val="0"/>
      <w:marTop w:val="180"/>
      <w:marBottom w:val="180"/>
      <w:divBdr>
        <w:top w:val="none" w:sz="0" w:space="0" w:color="auto"/>
        <w:left w:val="none" w:sz="0" w:space="0" w:color="auto"/>
        <w:bottom w:val="none" w:sz="0" w:space="0" w:color="auto"/>
        <w:right w:val="none" w:sz="0" w:space="0" w:color="auto"/>
      </w:divBdr>
    </w:div>
    <w:div w:id="525605321">
      <w:marLeft w:val="0"/>
      <w:marRight w:val="0"/>
      <w:marTop w:val="180"/>
      <w:marBottom w:val="60"/>
      <w:divBdr>
        <w:top w:val="none" w:sz="0" w:space="0" w:color="auto"/>
        <w:left w:val="none" w:sz="0" w:space="0" w:color="auto"/>
        <w:bottom w:val="none" w:sz="0" w:space="0" w:color="auto"/>
        <w:right w:val="none" w:sz="0" w:space="0" w:color="auto"/>
      </w:divBdr>
    </w:div>
    <w:div w:id="526019092">
      <w:marLeft w:val="0"/>
      <w:marRight w:val="0"/>
      <w:marTop w:val="180"/>
      <w:marBottom w:val="180"/>
      <w:divBdr>
        <w:top w:val="none" w:sz="0" w:space="0" w:color="auto"/>
        <w:left w:val="none" w:sz="0" w:space="0" w:color="auto"/>
        <w:bottom w:val="none" w:sz="0" w:space="0" w:color="auto"/>
        <w:right w:val="none" w:sz="0" w:space="0" w:color="auto"/>
      </w:divBdr>
    </w:div>
    <w:div w:id="528834380">
      <w:marLeft w:val="0"/>
      <w:marRight w:val="0"/>
      <w:marTop w:val="180"/>
      <w:marBottom w:val="180"/>
      <w:divBdr>
        <w:top w:val="none" w:sz="0" w:space="0" w:color="auto"/>
        <w:left w:val="none" w:sz="0" w:space="0" w:color="auto"/>
        <w:bottom w:val="none" w:sz="0" w:space="0" w:color="auto"/>
        <w:right w:val="none" w:sz="0" w:space="0" w:color="auto"/>
      </w:divBdr>
    </w:div>
    <w:div w:id="530580430">
      <w:marLeft w:val="0"/>
      <w:marRight w:val="0"/>
      <w:marTop w:val="0"/>
      <w:marBottom w:val="0"/>
      <w:divBdr>
        <w:top w:val="none" w:sz="0" w:space="0" w:color="auto"/>
        <w:left w:val="none" w:sz="0" w:space="0" w:color="auto"/>
        <w:bottom w:val="none" w:sz="0" w:space="0" w:color="auto"/>
        <w:right w:val="none" w:sz="0" w:space="0" w:color="auto"/>
      </w:divBdr>
    </w:div>
    <w:div w:id="532958440">
      <w:marLeft w:val="0"/>
      <w:marRight w:val="0"/>
      <w:marTop w:val="180"/>
      <w:marBottom w:val="180"/>
      <w:divBdr>
        <w:top w:val="none" w:sz="0" w:space="0" w:color="auto"/>
        <w:left w:val="none" w:sz="0" w:space="0" w:color="auto"/>
        <w:bottom w:val="none" w:sz="0" w:space="0" w:color="auto"/>
        <w:right w:val="none" w:sz="0" w:space="0" w:color="auto"/>
      </w:divBdr>
    </w:div>
    <w:div w:id="533271735">
      <w:marLeft w:val="0"/>
      <w:marRight w:val="0"/>
      <w:marTop w:val="180"/>
      <w:marBottom w:val="180"/>
      <w:divBdr>
        <w:top w:val="none" w:sz="0" w:space="0" w:color="auto"/>
        <w:left w:val="none" w:sz="0" w:space="0" w:color="auto"/>
        <w:bottom w:val="none" w:sz="0" w:space="0" w:color="auto"/>
        <w:right w:val="none" w:sz="0" w:space="0" w:color="auto"/>
      </w:divBdr>
    </w:div>
    <w:div w:id="534586341">
      <w:marLeft w:val="0"/>
      <w:marRight w:val="0"/>
      <w:marTop w:val="0"/>
      <w:marBottom w:val="0"/>
      <w:divBdr>
        <w:top w:val="none" w:sz="0" w:space="0" w:color="auto"/>
        <w:left w:val="none" w:sz="0" w:space="0" w:color="auto"/>
        <w:bottom w:val="none" w:sz="0" w:space="0" w:color="auto"/>
        <w:right w:val="none" w:sz="0" w:space="0" w:color="auto"/>
      </w:divBdr>
      <w:divsChild>
        <w:div w:id="911306750">
          <w:marLeft w:val="0"/>
          <w:marRight w:val="0"/>
          <w:marTop w:val="0"/>
          <w:marBottom w:val="0"/>
          <w:divBdr>
            <w:top w:val="none" w:sz="0" w:space="0" w:color="auto"/>
            <w:left w:val="none" w:sz="0" w:space="0" w:color="auto"/>
            <w:bottom w:val="none" w:sz="0" w:space="0" w:color="auto"/>
            <w:right w:val="none" w:sz="0" w:space="0" w:color="auto"/>
          </w:divBdr>
          <w:divsChild>
            <w:div w:id="193786429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37473698">
      <w:marLeft w:val="0"/>
      <w:marRight w:val="0"/>
      <w:marTop w:val="180"/>
      <w:marBottom w:val="180"/>
      <w:divBdr>
        <w:top w:val="none" w:sz="0" w:space="0" w:color="auto"/>
        <w:left w:val="none" w:sz="0" w:space="0" w:color="auto"/>
        <w:bottom w:val="none" w:sz="0" w:space="0" w:color="auto"/>
        <w:right w:val="none" w:sz="0" w:space="0" w:color="auto"/>
      </w:divBdr>
    </w:div>
    <w:div w:id="538125589">
      <w:marLeft w:val="0"/>
      <w:marRight w:val="0"/>
      <w:marTop w:val="180"/>
      <w:marBottom w:val="180"/>
      <w:divBdr>
        <w:top w:val="none" w:sz="0" w:space="0" w:color="auto"/>
        <w:left w:val="none" w:sz="0" w:space="0" w:color="auto"/>
        <w:bottom w:val="none" w:sz="0" w:space="0" w:color="auto"/>
        <w:right w:val="none" w:sz="0" w:space="0" w:color="auto"/>
      </w:divBdr>
      <w:divsChild>
        <w:div w:id="1547911227">
          <w:marLeft w:val="0"/>
          <w:marRight w:val="0"/>
          <w:marTop w:val="0"/>
          <w:marBottom w:val="0"/>
          <w:divBdr>
            <w:top w:val="none" w:sz="0" w:space="0" w:color="auto"/>
            <w:left w:val="none" w:sz="0" w:space="0" w:color="auto"/>
            <w:bottom w:val="none" w:sz="0" w:space="0" w:color="auto"/>
            <w:right w:val="none" w:sz="0" w:space="0" w:color="auto"/>
          </w:divBdr>
        </w:div>
      </w:divsChild>
    </w:div>
    <w:div w:id="539785768">
      <w:marLeft w:val="0"/>
      <w:marRight w:val="0"/>
      <w:marTop w:val="180"/>
      <w:marBottom w:val="180"/>
      <w:divBdr>
        <w:top w:val="none" w:sz="0" w:space="0" w:color="auto"/>
        <w:left w:val="none" w:sz="0" w:space="0" w:color="auto"/>
        <w:bottom w:val="none" w:sz="0" w:space="0" w:color="auto"/>
        <w:right w:val="none" w:sz="0" w:space="0" w:color="auto"/>
      </w:divBdr>
    </w:div>
    <w:div w:id="541097423">
      <w:marLeft w:val="0"/>
      <w:marRight w:val="0"/>
      <w:marTop w:val="180"/>
      <w:marBottom w:val="180"/>
      <w:divBdr>
        <w:top w:val="none" w:sz="0" w:space="0" w:color="auto"/>
        <w:left w:val="none" w:sz="0" w:space="0" w:color="auto"/>
        <w:bottom w:val="none" w:sz="0" w:space="0" w:color="auto"/>
        <w:right w:val="none" w:sz="0" w:space="0" w:color="auto"/>
      </w:divBdr>
    </w:div>
    <w:div w:id="543368616">
      <w:marLeft w:val="0"/>
      <w:marRight w:val="0"/>
      <w:marTop w:val="180"/>
      <w:marBottom w:val="180"/>
      <w:divBdr>
        <w:top w:val="none" w:sz="0" w:space="0" w:color="auto"/>
        <w:left w:val="none" w:sz="0" w:space="0" w:color="auto"/>
        <w:bottom w:val="none" w:sz="0" w:space="0" w:color="auto"/>
        <w:right w:val="none" w:sz="0" w:space="0" w:color="auto"/>
      </w:divBdr>
    </w:div>
    <w:div w:id="543491723">
      <w:marLeft w:val="0"/>
      <w:marRight w:val="0"/>
      <w:marTop w:val="180"/>
      <w:marBottom w:val="60"/>
      <w:divBdr>
        <w:top w:val="none" w:sz="0" w:space="0" w:color="auto"/>
        <w:left w:val="none" w:sz="0" w:space="0" w:color="auto"/>
        <w:bottom w:val="none" w:sz="0" w:space="0" w:color="auto"/>
        <w:right w:val="none" w:sz="0" w:space="0" w:color="auto"/>
      </w:divBdr>
    </w:div>
    <w:div w:id="544759139">
      <w:marLeft w:val="0"/>
      <w:marRight w:val="0"/>
      <w:marTop w:val="60"/>
      <w:marBottom w:val="60"/>
      <w:divBdr>
        <w:top w:val="none" w:sz="0" w:space="0" w:color="auto"/>
        <w:left w:val="none" w:sz="0" w:space="0" w:color="auto"/>
        <w:bottom w:val="none" w:sz="0" w:space="0" w:color="auto"/>
        <w:right w:val="none" w:sz="0" w:space="0" w:color="auto"/>
      </w:divBdr>
    </w:div>
    <w:div w:id="546111550">
      <w:marLeft w:val="0"/>
      <w:marRight w:val="0"/>
      <w:marTop w:val="0"/>
      <w:marBottom w:val="0"/>
      <w:divBdr>
        <w:top w:val="none" w:sz="0" w:space="0" w:color="auto"/>
        <w:left w:val="none" w:sz="0" w:space="0" w:color="auto"/>
        <w:bottom w:val="none" w:sz="0" w:space="0" w:color="auto"/>
        <w:right w:val="none" w:sz="0" w:space="0" w:color="auto"/>
      </w:divBdr>
    </w:div>
    <w:div w:id="546524900">
      <w:marLeft w:val="0"/>
      <w:marRight w:val="0"/>
      <w:marTop w:val="140"/>
      <w:marBottom w:val="180"/>
      <w:divBdr>
        <w:top w:val="none" w:sz="0" w:space="0" w:color="auto"/>
        <w:left w:val="none" w:sz="0" w:space="0" w:color="auto"/>
        <w:bottom w:val="none" w:sz="0" w:space="0" w:color="auto"/>
        <w:right w:val="none" w:sz="0" w:space="0" w:color="auto"/>
      </w:divBdr>
    </w:div>
    <w:div w:id="548999750">
      <w:marLeft w:val="0"/>
      <w:marRight w:val="0"/>
      <w:marTop w:val="60"/>
      <w:marBottom w:val="60"/>
      <w:divBdr>
        <w:top w:val="none" w:sz="0" w:space="0" w:color="auto"/>
        <w:left w:val="none" w:sz="0" w:space="0" w:color="auto"/>
        <w:bottom w:val="none" w:sz="0" w:space="0" w:color="auto"/>
        <w:right w:val="none" w:sz="0" w:space="0" w:color="auto"/>
      </w:divBdr>
      <w:divsChild>
        <w:div w:id="431900664">
          <w:marLeft w:val="0"/>
          <w:marRight w:val="0"/>
          <w:marTop w:val="0"/>
          <w:marBottom w:val="0"/>
          <w:divBdr>
            <w:top w:val="none" w:sz="0" w:space="0" w:color="auto"/>
            <w:left w:val="none" w:sz="0" w:space="0" w:color="auto"/>
            <w:bottom w:val="none" w:sz="0" w:space="0" w:color="auto"/>
            <w:right w:val="none" w:sz="0" w:space="0" w:color="auto"/>
          </w:divBdr>
        </w:div>
      </w:divsChild>
    </w:div>
    <w:div w:id="549538964">
      <w:marLeft w:val="0"/>
      <w:marRight w:val="0"/>
      <w:marTop w:val="60"/>
      <w:marBottom w:val="60"/>
      <w:divBdr>
        <w:top w:val="none" w:sz="0" w:space="0" w:color="auto"/>
        <w:left w:val="none" w:sz="0" w:space="0" w:color="auto"/>
        <w:bottom w:val="none" w:sz="0" w:space="0" w:color="auto"/>
        <w:right w:val="none" w:sz="0" w:space="0" w:color="auto"/>
      </w:divBdr>
    </w:div>
    <w:div w:id="550121332">
      <w:marLeft w:val="0"/>
      <w:marRight w:val="0"/>
      <w:marTop w:val="60"/>
      <w:marBottom w:val="60"/>
      <w:divBdr>
        <w:top w:val="none" w:sz="0" w:space="0" w:color="auto"/>
        <w:left w:val="none" w:sz="0" w:space="0" w:color="auto"/>
        <w:bottom w:val="none" w:sz="0" w:space="0" w:color="auto"/>
        <w:right w:val="none" w:sz="0" w:space="0" w:color="auto"/>
      </w:divBdr>
    </w:div>
    <w:div w:id="552078343">
      <w:marLeft w:val="0"/>
      <w:marRight w:val="0"/>
      <w:marTop w:val="100"/>
      <w:marBottom w:val="0"/>
      <w:divBdr>
        <w:top w:val="none" w:sz="0" w:space="0" w:color="auto"/>
        <w:left w:val="none" w:sz="0" w:space="0" w:color="auto"/>
        <w:bottom w:val="none" w:sz="0" w:space="0" w:color="auto"/>
        <w:right w:val="none" w:sz="0" w:space="0" w:color="auto"/>
      </w:divBdr>
      <w:divsChild>
        <w:div w:id="2022588832">
          <w:marLeft w:val="0"/>
          <w:marRight w:val="0"/>
          <w:marTop w:val="0"/>
          <w:marBottom w:val="0"/>
          <w:divBdr>
            <w:top w:val="none" w:sz="0" w:space="0" w:color="auto"/>
            <w:left w:val="none" w:sz="0" w:space="0" w:color="auto"/>
            <w:bottom w:val="none" w:sz="0" w:space="0" w:color="auto"/>
            <w:right w:val="none" w:sz="0" w:space="0" w:color="auto"/>
          </w:divBdr>
        </w:div>
        <w:div w:id="985815788">
          <w:marLeft w:val="0"/>
          <w:marRight w:val="0"/>
          <w:marTop w:val="0"/>
          <w:marBottom w:val="0"/>
          <w:divBdr>
            <w:top w:val="none" w:sz="0" w:space="0" w:color="auto"/>
            <w:left w:val="none" w:sz="0" w:space="0" w:color="auto"/>
            <w:bottom w:val="none" w:sz="0" w:space="0" w:color="auto"/>
            <w:right w:val="none" w:sz="0" w:space="0" w:color="auto"/>
          </w:divBdr>
        </w:div>
        <w:div w:id="633290981">
          <w:marLeft w:val="0"/>
          <w:marRight w:val="0"/>
          <w:marTop w:val="0"/>
          <w:marBottom w:val="0"/>
          <w:divBdr>
            <w:top w:val="none" w:sz="0" w:space="0" w:color="auto"/>
            <w:left w:val="none" w:sz="0" w:space="0" w:color="auto"/>
            <w:bottom w:val="none" w:sz="0" w:space="0" w:color="auto"/>
            <w:right w:val="none" w:sz="0" w:space="0" w:color="auto"/>
          </w:divBdr>
        </w:div>
        <w:div w:id="1019890965">
          <w:marLeft w:val="0"/>
          <w:marRight w:val="0"/>
          <w:marTop w:val="0"/>
          <w:marBottom w:val="0"/>
          <w:divBdr>
            <w:top w:val="none" w:sz="0" w:space="0" w:color="auto"/>
            <w:left w:val="none" w:sz="0" w:space="0" w:color="auto"/>
            <w:bottom w:val="none" w:sz="0" w:space="0" w:color="auto"/>
            <w:right w:val="none" w:sz="0" w:space="0" w:color="auto"/>
          </w:divBdr>
        </w:div>
        <w:div w:id="856888450">
          <w:marLeft w:val="0"/>
          <w:marRight w:val="0"/>
          <w:marTop w:val="0"/>
          <w:marBottom w:val="0"/>
          <w:divBdr>
            <w:top w:val="none" w:sz="0" w:space="0" w:color="auto"/>
            <w:left w:val="none" w:sz="0" w:space="0" w:color="auto"/>
            <w:bottom w:val="none" w:sz="0" w:space="0" w:color="auto"/>
            <w:right w:val="none" w:sz="0" w:space="0" w:color="auto"/>
          </w:divBdr>
        </w:div>
        <w:div w:id="1431731204">
          <w:marLeft w:val="0"/>
          <w:marRight w:val="0"/>
          <w:marTop w:val="0"/>
          <w:marBottom w:val="0"/>
          <w:divBdr>
            <w:top w:val="none" w:sz="0" w:space="0" w:color="auto"/>
            <w:left w:val="none" w:sz="0" w:space="0" w:color="auto"/>
            <w:bottom w:val="none" w:sz="0" w:space="0" w:color="auto"/>
            <w:right w:val="none" w:sz="0" w:space="0" w:color="auto"/>
          </w:divBdr>
        </w:div>
        <w:div w:id="1213885317">
          <w:marLeft w:val="0"/>
          <w:marRight w:val="0"/>
          <w:marTop w:val="0"/>
          <w:marBottom w:val="0"/>
          <w:divBdr>
            <w:top w:val="none" w:sz="0" w:space="0" w:color="auto"/>
            <w:left w:val="none" w:sz="0" w:space="0" w:color="auto"/>
            <w:bottom w:val="none" w:sz="0" w:space="0" w:color="auto"/>
            <w:right w:val="none" w:sz="0" w:space="0" w:color="auto"/>
          </w:divBdr>
        </w:div>
        <w:div w:id="1988508831">
          <w:marLeft w:val="0"/>
          <w:marRight w:val="0"/>
          <w:marTop w:val="0"/>
          <w:marBottom w:val="0"/>
          <w:divBdr>
            <w:top w:val="none" w:sz="0" w:space="0" w:color="auto"/>
            <w:left w:val="none" w:sz="0" w:space="0" w:color="auto"/>
            <w:bottom w:val="none" w:sz="0" w:space="0" w:color="auto"/>
            <w:right w:val="none" w:sz="0" w:space="0" w:color="auto"/>
          </w:divBdr>
        </w:div>
        <w:div w:id="903829957">
          <w:marLeft w:val="0"/>
          <w:marRight w:val="0"/>
          <w:marTop w:val="0"/>
          <w:marBottom w:val="0"/>
          <w:divBdr>
            <w:top w:val="none" w:sz="0" w:space="0" w:color="auto"/>
            <w:left w:val="none" w:sz="0" w:space="0" w:color="auto"/>
            <w:bottom w:val="none" w:sz="0" w:space="0" w:color="auto"/>
            <w:right w:val="none" w:sz="0" w:space="0" w:color="auto"/>
          </w:divBdr>
        </w:div>
        <w:div w:id="2073188427">
          <w:marLeft w:val="0"/>
          <w:marRight w:val="0"/>
          <w:marTop w:val="0"/>
          <w:marBottom w:val="0"/>
          <w:divBdr>
            <w:top w:val="none" w:sz="0" w:space="0" w:color="auto"/>
            <w:left w:val="none" w:sz="0" w:space="0" w:color="auto"/>
            <w:bottom w:val="none" w:sz="0" w:space="0" w:color="auto"/>
            <w:right w:val="none" w:sz="0" w:space="0" w:color="auto"/>
          </w:divBdr>
        </w:div>
        <w:div w:id="1290667229">
          <w:marLeft w:val="0"/>
          <w:marRight w:val="0"/>
          <w:marTop w:val="0"/>
          <w:marBottom w:val="0"/>
          <w:divBdr>
            <w:top w:val="none" w:sz="0" w:space="0" w:color="auto"/>
            <w:left w:val="none" w:sz="0" w:space="0" w:color="auto"/>
            <w:bottom w:val="none" w:sz="0" w:space="0" w:color="auto"/>
            <w:right w:val="none" w:sz="0" w:space="0" w:color="auto"/>
          </w:divBdr>
        </w:div>
        <w:div w:id="329677503">
          <w:marLeft w:val="0"/>
          <w:marRight w:val="0"/>
          <w:marTop w:val="0"/>
          <w:marBottom w:val="0"/>
          <w:divBdr>
            <w:top w:val="none" w:sz="0" w:space="0" w:color="auto"/>
            <w:left w:val="none" w:sz="0" w:space="0" w:color="auto"/>
            <w:bottom w:val="none" w:sz="0" w:space="0" w:color="auto"/>
            <w:right w:val="none" w:sz="0" w:space="0" w:color="auto"/>
          </w:divBdr>
        </w:div>
        <w:div w:id="794714866">
          <w:marLeft w:val="0"/>
          <w:marRight w:val="0"/>
          <w:marTop w:val="0"/>
          <w:marBottom w:val="0"/>
          <w:divBdr>
            <w:top w:val="none" w:sz="0" w:space="0" w:color="auto"/>
            <w:left w:val="none" w:sz="0" w:space="0" w:color="auto"/>
            <w:bottom w:val="none" w:sz="0" w:space="0" w:color="auto"/>
            <w:right w:val="none" w:sz="0" w:space="0" w:color="auto"/>
          </w:divBdr>
        </w:div>
        <w:div w:id="126356775">
          <w:marLeft w:val="0"/>
          <w:marRight w:val="0"/>
          <w:marTop w:val="0"/>
          <w:marBottom w:val="0"/>
          <w:divBdr>
            <w:top w:val="none" w:sz="0" w:space="0" w:color="auto"/>
            <w:left w:val="none" w:sz="0" w:space="0" w:color="auto"/>
            <w:bottom w:val="none" w:sz="0" w:space="0" w:color="auto"/>
            <w:right w:val="none" w:sz="0" w:space="0" w:color="auto"/>
          </w:divBdr>
        </w:div>
        <w:div w:id="256061921">
          <w:marLeft w:val="0"/>
          <w:marRight w:val="0"/>
          <w:marTop w:val="0"/>
          <w:marBottom w:val="0"/>
          <w:divBdr>
            <w:top w:val="none" w:sz="0" w:space="0" w:color="auto"/>
            <w:left w:val="none" w:sz="0" w:space="0" w:color="auto"/>
            <w:bottom w:val="none" w:sz="0" w:space="0" w:color="auto"/>
            <w:right w:val="none" w:sz="0" w:space="0" w:color="auto"/>
          </w:divBdr>
        </w:div>
        <w:div w:id="626207728">
          <w:marLeft w:val="0"/>
          <w:marRight w:val="0"/>
          <w:marTop w:val="0"/>
          <w:marBottom w:val="0"/>
          <w:divBdr>
            <w:top w:val="none" w:sz="0" w:space="0" w:color="auto"/>
            <w:left w:val="none" w:sz="0" w:space="0" w:color="auto"/>
            <w:bottom w:val="none" w:sz="0" w:space="0" w:color="auto"/>
            <w:right w:val="none" w:sz="0" w:space="0" w:color="auto"/>
          </w:divBdr>
        </w:div>
        <w:div w:id="410932231">
          <w:marLeft w:val="0"/>
          <w:marRight w:val="0"/>
          <w:marTop w:val="0"/>
          <w:marBottom w:val="0"/>
          <w:divBdr>
            <w:top w:val="none" w:sz="0" w:space="0" w:color="auto"/>
            <w:left w:val="none" w:sz="0" w:space="0" w:color="auto"/>
            <w:bottom w:val="none" w:sz="0" w:space="0" w:color="auto"/>
            <w:right w:val="none" w:sz="0" w:space="0" w:color="auto"/>
          </w:divBdr>
        </w:div>
        <w:div w:id="579684084">
          <w:marLeft w:val="0"/>
          <w:marRight w:val="0"/>
          <w:marTop w:val="0"/>
          <w:marBottom w:val="0"/>
          <w:divBdr>
            <w:top w:val="none" w:sz="0" w:space="0" w:color="auto"/>
            <w:left w:val="none" w:sz="0" w:space="0" w:color="auto"/>
            <w:bottom w:val="none" w:sz="0" w:space="0" w:color="auto"/>
            <w:right w:val="none" w:sz="0" w:space="0" w:color="auto"/>
          </w:divBdr>
        </w:div>
        <w:div w:id="576986178">
          <w:marLeft w:val="0"/>
          <w:marRight w:val="0"/>
          <w:marTop w:val="0"/>
          <w:marBottom w:val="0"/>
          <w:divBdr>
            <w:top w:val="none" w:sz="0" w:space="0" w:color="auto"/>
            <w:left w:val="none" w:sz="0" w:space="0" w:color="auto"/>
            <w:bottom w:val="none" w:sz="0" w:space="0" w:color="auto"/>
            <w:right w:val="none" w:sz="0" w:space="0" w:color="auto"/>
          </w:divBdr>
        </w:div>
        <w:div w:id="572009237">
          <w:marLeft w:val="0"/>
          <w:marRight w:val="0"/>
          <w:marTop w:val="0"/>
          <w:marBottom w:val="0"/>
          <w:divBdr>
            <w:top w:val="none" w:sz="0" w:space="0" w:color="auto"/>
            <w:left w:val="none" w:sz="0" w:space="0" w:color="auto"/>
            <w:bottom w:val="none" w:sz="0" w:space="0" w:color="auto"/>
            <w:right w:val="none" w:sz="0" w:space="0" w:color="auto"/>
          </w:divBdr>
        </w:div>
        <w:div w:id="1779175636">
          <w:marLeft w:val="0"/>
          <w:marRight w:val="0"/>
          <w:marTop w:val="0"/>
          <w:marBottom w:val="0"/>
          <w:divBdr>
            <w:top w:val="none" w:sz="0" w:space="0" w:color="auto"/>
            <w:left w:val="none" w:sz="0" w:space="0" w:color="auto"/>
            <w:bottom w:val="none" w:sz="0" w:space="0" w:color="auto"/>
            <w:right w:val="none" w:sz="0" w:space="0" w:color="auto"/>
          </w:divBdr>
        </w:div>
        <w:div w:id="434986488">
          <w:marLeft w:val="0"/>
          <w:marRight w:val="0"/>
          <w:marTop w:val="0"/>
          <w:marBottom w:val="0"/>
          <w:divBdr>
            <w:top w:val="none" w:sz="0" w:space="0" w:color="auto"/>
            <w:left w:val="none" w:sz="0" w:space="0" w:color="auto"/>
            <w:bottom w:val="none" w:sz="0" w:space="0" w:color="auto"/>
            <w:right w:val="none" w:sz="0" w:space="0" w:color="auto"/>
          </w:divBdr>
        </w:div>
        <w:div w:id="107166233">
          <w:marLeft w:val="0"/>
          <w:marRight w:val="0"/>
          <w:marTop w:val="0"/>
          <w:marBottom w:val="0"/>
          <w:divBdr>
            <w:top w:val="none" w:sz="0" w:space="0" w:color="auto"/>
            <w:left w:val="none" w:sz="0" w:space="0" w:color="auto"/>
            <w:bottom w:val="none" w:sz="0" w:space="0" w:color="auto"/>
            <w:right w:val="none" w:sz="0" w:space="0" w:color="auto"/>
          </w:divBdr>
        </w:div>
        <w:div w:id="1875995391">
          <w:marLeft w:val="0"/>
          <w:marRight w:val="0"/>
          <w:marTop w:val="0"/>
          <w:marBottom w:val="0"/>
          <w:divBdr>
            <w:top w:val="none" w:sz="0" w:space="0" w:color="auto"/>
            <w:left w:val="none" w:sz="0" w:space="0" w:color="auto"/>
            <w:bottom w:val="none" w:sz="0" w:space="0" w:color="auto"/>
            <w:right w:val="none" w:sz="0" w:space="0" w:color="auto"/>
          </w:divBdr>
        </w:div>
        <w:div w:id="1847212824">
          <w:marLeft w:val="0"/>
          <w:marRight w:val="0"/>
          <w:marTop w:val="0"/>
          <w:marBottom w:val="0"/>
          <w:divBdr>
            <w:top w:val="none" w:sz="0" w:space="0" w:color="auto"/>
            <w:left w:val="none" w:sz="0" w:space="0" w:color="auto"/>
            <w:bottom w:val="none" w:sz="0" w:space="0" w:color="auto"/>
            <w:right w:val="none" w:sz="0" w:space="0" w:color="auto"/>
          </w:divBdr>
        </w:div>
        <w:div w:id="323706911">
          <w:marLeft w:val="0"/>
          <w:marRight w:val="0"/>
          <w:marTop w:val="0"/>
          <w:marBottom w:val="0"/>
          <w:divBdr>
            <w:top w:val="none" w:sz="0" w:space="0" w:color="auto"/>
            <w:left w:val="none" w:sz="0" w:space="0" w:color="auto"/>
            <w:bottom w:val="none" w:sz="0" w:space="0" w:color="auto"/>
            <w:right w:val="none" w:sz="0" w:space="0" w:color="auto"/>
          </w:divBdr>
        </w:div>
        <w:div w:id="400249922">
          <w:marLeft w:val="0"/>
          <w:marRight w:val="0"/>
          <w:marTop w:val="0"/>
          <w:marBottom w:val="0"/>
          <w:divBdr>
            <w:top w:val="none" w:sz="0" w:space="0" w:color="auto"/>
            <w:left w:val="none" w:sz="0" w:space="0" w:color="auto"/>
            <w:bottom w:val="none" w:sz="0" w:space="0" w:color="auto"/>
            <w:right w:val="none" w:sz="0" w:space="0" w:color="auto"/>
          </w:divBdr>
        </w:div>
        <w:div w:id="2084720359">
          <w:marLeft w:val="0"/>
          <w:marRight w:val="0"/>
          <w:marTop w:val="0"/>
          <w:marBottom w:val="0"/>
          <w:divBdr>
            <w:top w:val="none" w:sz="0" w:space="0" w:color="auto"/>
            <w:left w:val="none" w:sz="0" w:space="0" w:color="auto"/>
            <w:bottom w:val="none" w:sz="0" w:space="0" w:color="auto"/>
            <w:right w:val="none" w:sz="0" w:space="0" w:color="auto"/>
          </w:divBdr>
        </w:div>
        <w:div w:id="546524673">
          <w:marLeft w:val="0"/>
          <w:marRight w:val="0"/>
          <w:marTop w:val="0"/>
          <w:marBottom w:val="0"/>
          <w:divBdr>
            <w:top w:val="none" w:sz="0" w:space="0" w:color="auto"/>
            <w:left w:val="none" w:sz="0" w:space="0" w:color="auto"/>
            <w:bottom w:val="none" w:sz="0" w:space="0" w:color="auto"/>
            <w:right w:val="none" w:sz="0" w:space="0" w:color="auto"/>
          </w:divBdr>
        </w:div>
        <w:div w:id="735324004">
          <w:marLeft w:val="0"/>
          <w:marRight w:val="0"/>
          <w:marTop w:val="0"/>
          <w:marBottom w:val="0"/>
          <w:divBdr>
            <w:top w:val="none" w:sz="0" w:space="0" w:color="auto"/>
            <w:left w:val="none" w:sz="0" w:space="0" w:color="auto"/>
            <w:bottom w:val="none" w:sz="0" w:space="0" w:color="auto"/>
            <w:right w:val="none" w:sz="0" w:space="0" w:color="auto"/>
          </w:divBdr>
        </w:div>
        <w:div w:id="1111780806">
          <w:marLeft w:val="0"/>
          <w:marRight w:val="0"/>
          <w:marTop w:val="0"/>
          <w:marBottom w:val="0"/>
          <w:divBdr>
            <w:top w:val="none" w:sz="0" w:space="0" w:color="auto"/>
            <w:left w:val="none" w:sz="0" w:space="0" w:color="auto"/>
            <w:bottom w:val="none" w:sz="0" w:space="0" w:color="auto"/>
            <w:right w:val="none" w:sz="0" w:space="0" w:color="auto"/>
          </w:divBdr>
        </w:div>
        <w:div w:id="1524132529">
          <w:marLeft w:val="0"/>
          <w:marRight w:val="0"/>
          <w:marTop w:val="0"/>
          <w:marBottom w:val="0"/>
          <w:divBdr>
            <w:top w:val="none" w:sz="0" w:space="0" w:color="auto"/>
            <w:left w:val="none" w:sz="0" w:space="0" w:color="auto"/>
            <w:bottom w:val="none" w:sz="0" w:space="0" w:color="auto"/>
            <w:right w:val="none" w:sz="0" w:space="0" w:color="auto"/>
          </w:divBdr>
        </w:div>
        <w:div w:id="724911785">
          <w:marLeft w:val="0"/>
          <w:marRight w:val="0"/>
          <w:marTop w:val="0"/>
          <w:marBottom w:val="0"/>
          <w:divBdr>
            <w:top w:val="none" w:sz="0" w:space="0" w:color="auto"/>
            <w:left w:val="none" w:sz="0" w:space="0" w:color="auto"/>
            <w:bottom w:val="none" w:sz="0" w:space="0" w:color="auto"/>
            <w:right w:val="none" w:sz="0" w:space="0" w:color="auto"/>
          </w:divBdr>
        </w:div>
        <w:div w:id="1731491500">
          <w:marLeft w:val="0"/>
          <w:marRight w:val="0"/>
          <w:marTop w:val="0"/>
          <w:marBottom w:val="0"/>
          <w:divBdr>
            <w:top w:val="none" w:sz="0" w:space="0" w:color="auto"/>
            <w:left w:val="none" w:sz="0" w:space="0" w:color="auto"/>
            <w:bottom w:val="none" w:sz="0" w:space="0" w:color="auto"/>
            <w:right w:val="none" w:sz="0" w:space="0" w:color="auto"/>
          </w:divBdr>
        </w:div>
        <w:div w:id="1161964420">
          <w:marLeft w:val="0"/>
          <w:marRight w:val="0"/>
          <w:marTop w:val="0"/>
          <w:marBottom w:val="0"/>
          <w:divBdr>
            <w:top w:val="none" w:sz="0" w:space="0" w:color="auto"/>
            <w:left w:val="none" w:sz="0" w:space="0" w:color="auto"/>
            <w:bottom w:val="none" w:sz="0" w:space="0" w:color="auto"/>
            <w:right w:val="none" w:sz="0" w:space="0" w:color="auto"/>
          </w:divBdr>
        </w:div>
        <w:div w:id="141704856">
          <w:marLeft w:val="0"/>
          <w:marRight w:val="0"/>
          <w:marTop w:val="0"/>
          <w:marBottom w:val="0"/>
          <w:divBdr>
            <w:top w:val="none" w:sz="0" w:space="0" w:color="auto"/>
            <w:left w:val="none" w:sz="0" w:space="0" w:color="auto"/>
            <w:bottom w:val="none" w:sz="0" w:space="0" w:color="auto"/>
            <w:right w:val="none" w:sz="0" w:space="0" w:color="auto"/>
          </w:divBdr>
        </w:div>
        <w:div w:id="1656689802">
          <w:marLeft w:val="0"/>
          <w:marRight w:val="0"/>
          <w:marTop w:val="0"/>
          <w:marBottom w:val="0"/>
          <w:divBdr>
            <w:top w:val="none" w:sz="0" w:space="0" w:color="auto"/>
            <w:left w:val="none" w:sz="0" w:space="0" w:color="auto"/>
            <w:bottom w:val="none" w:sz="0" w:space="0" w:color="auto"/>
            <w:right w:val="none" w:sz="0" w:space="0" w:color="auto"/>
          </w:divBdr>
        </w:div>
        <w:div w:id="1828862322">
          <w:marLeft w:val="0"/>
          <w:marRight w:val="0"/>
          <w:marTop w:val="0"/>
          <w:marBottom w:val="0"/>
          <w:divBdr>
            <w:top w:val="none" w:sz="0" w:space="0" w:color="auto"/>
            <w:left w:val="none" w:sz="0" w:space="0" w:color="auto"/>
            <w:bottom w:val="none" w:sz="0" w:space="0" w:color="auto"/>
            <w:right w:val="none" w:sz="0" w:space="0" w:color="auto"/>
          </w:divBdr>
        </w:div>
        <w:div w:id="1516766031">
          <w:marLeft w:val="0"/>
          <w:marRight w:val="0"/>
          <w:marTop w:val="0"/>
          <w:marBottom w:val="0"/>
          <w:divBdr>
            <w:top w:val="none" w:sz="0" w:space="0" w:color="auto"/>
            <w:left w:val="none" w:sz="0" w:space="0" w:color="auto"/>
            <w:bottom w:val="none" w:sz="0" w:space="0" w:color="auto"/>
            <w:right w:val="none" w:sz="0" w:space="0" w:color="auto"/>
          </w:divBdr>
        </w:div>
      </w:divsChild>
    </w:div>
    <w:div w:id="552498954">
      <w:marLeft w:val="0"/>
      <w:marRight w:val="0"/>
      <w:marTop w:val="180"/>
      <w:marBottom w:val="180"/>
      <w:divBdr>
        <w:top w:val="none" w:sz="0" w:space="0" w:color="auto"/>
        <w:left w:val="none" w:sz="0" w:space="0" w:color="auto"/>
        <w:bottom w:val="none" w:sz="0" w:space="0" w:color="auto"/>
        <w:right w:val="none" w:sz="0" w:space="0" w:color="auto"/>
      </w:divBdr>
    </w:div>
    <w:div w:id="553853218">
      <w:marLeft w:val="0"/>
      <w:marRight w:val="0"/>
      <w:marTop w:val="180"/>
      <w:marBottom w:val="0"/>
      <w:divBdr>
        <w:top w:val="none" w:sz="0" w:space="0" w:color="auto"/>
        <w:left w:val="none" w:sz="0" w:space="0" w:color="auto"/>
        <w:bottom w:val="none" w:sz="0" w:space="0" w:color="auto"/>
        <w:right w:val="none" w:sz="0" w:space="0" w:color="auto"/>
      </w:divBdr>
      <w:divsChild>
        <w:div w:id="230431576">
          <w:marLeft w:val="0"/>
          <w:marRight w:val="0"/>
          <w:marTop w:val="0"/>
          <w:marBottom w:val="0"/>
          <w:divBdr>
            <w:top w:val="none" w:sz="0" w:space="0" w:color="auto"/>
            <w:left w:val="none" w:sz="0" w:space="0" w:color="auto"/>
            <w:bottom w:val="none" w:sz="0" w:space="0" w:color="auto"/>
            <w:right w:val="none" w:sz="0" w:space="0" w:color="auto"/>
          </w:divBdr>
        </w:div>
        <w:div w:id="42753025">
          <w:marLeft w:val="0"/>
          <w:marRight w:val="0"/>
          <w:marTop w:val="0"/>
          <w:marBottom w:val="0"/>
          <w:divBdr>
            <w:top w:val="none" w:sz="0" w:space="0" w:color="auto"/>
            <w:left w:val="none" w:sz="0" w:space="0" w:color="auto"/>
            <w:bottom w:val="none" w:sz="0" w:space="0" w:color="auto"/>
            <w:right w:val="none" w:sz="0" w:space="0" w:color="auto"/>
          </w:divBdr>
        </w:div>
        <w:div w:id="890313604">
          <w:marLeft w:val="0"/>
          <w:marRight w:val="0"/>
          <w:marTop w:val="0"/>
          <w:marBottom w:val="0"/>
          <w:divBdr>
            <w:top w:val="none" w:sz="0" w:space="0" w:color="auto"/>
            <w:left w:val="none" w:sz="0" w:space="0" w:color="auto"/>
            <w:bottom w:val="none" w:sz="0" w:space="0" w:color="auto"/>
            <w:right w:val="none" w:sz="0" w:space="0" w:color="auto"/>
          </w:divBdr>
        </w:div>
      </w:divsChild>
    </w:div>
    <w:div w:id="558595299">
      <w:marLeft w:val="0"/>
      <w:marRight w:val="0"/>
      <w:marTop w:val="0"/>
      <w:marBottom w:val="0"/>
      <w:divBdr>
        <w:top w:val="none" w:sz="0" w:space="0" w:color="auto"/>
        <w:left w:val="none" w:sz="0" w:space="0" w:color="auto"/>
        <w:bottom w:val="none" w:sz="0" w:space="0" w:color="auto"/>
        <w:right w:val="none" w:sz="0" w:space="0" w:color="auto"/>
      </w:divBdr>
      <w:divsChild>
        <w:div w:id="2027512806">
          <w:marLeft w:val="0"/>
          <w:marRight w:val="0"/>
          <w:marTop w:val="0"/>
          <w:marBottom w:val="0"/>
          <w:divBdr>
            <w:top w:val="none" w:sz="0" w:space="0" w:color="auto"/>
            <w:left w:val="none" w:sz="0" w:space="0" w:color="auto"/>
            <w:bottom w:val="none" w:sz="0" w:space="0" w:color="auto"/>
            <w:right w:val="none" w:sz="0" w:space="0" w:color="auto"/>
          </w:divBdr>
          <w:divsChild>
            <w:div w:id="2583002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59831082">
      <w:marLeft w:val="0"/>
      <w:marRight w:val="0"/>
      <w:marTop w:val="0"/>
      <w:marBottom w:val="0"/>
      <w:divBdr>
        <w:top w:val="none" w:sz="0" w:space="0" w:color="auto"/>
        <w:left w:val="none" w:sz="0" w:space="0" w:color="auto"/>
        <w:bottom w:val="none" w:sz="0" w:space="0" w:color="auto"/>
        <w:right w:val="none" w:sz="0" w:space="0" w:color="auto"/>
      </w:divBdr>
      <w:divsChild>
        <w:div w:id="985428854">
          <w:marLeft w:val="0"/>
          <w:marRight w:val="0"/>
          <w:marTop w:val="0"/>
          <w:marBottom w:val="0"/>
          <w:divBdr>
            <w:top w:val="none" w:sz="0" w:space="0" w:color="auto"/>
            <w:left w:val="none" w:sz="0" w:space="0" w:color="auto"/>
            <w:bottom w:val="none" w:sz="0" w:space="0" w:color="auto"/>
            <w:right w:val="none" w:sz="0" w:space="0" w:color="auto"/>
          </w:divBdr>
          <w:divsChild>
            <w:div w:id="12454837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61403031">
      <w:marLeft w:val="0"/>
      <w:marRight w:val="0"/>
      <w:marTop w:val="180"/>
      <w:marBottom w:val="180"/>
      <w:divBdr>
        <w:top w:val="none" w:sz="0" w:space="0" w:color="auto"/>
        <w:left w:val="none" w:sz="0" w:space="0" w:color="auto"/>
        <w:bottom w:val="none" w:sz="0" w:space="0" w:color="auto"/>
        <w:right w:val="none" w:sz="0" w:space="0" w:color="auto"/>
      </w:divBdr>
    </w:div>
    <w:div w:id="561866569">
      <w:marLeft w:val="0"/>
      <w:marRight w:val="0"/>
      <w:marTop w:val="60"/>
      <w:marBottom w:val="60"/>
      <w:divBdr>
        <w:top w:val="none" w:sz="0" w:space="0" w:color="auto"/>
        <w:left w:val="none" w:sz="0" w:space="0" w:color="auto"/>
        <w:bottom w:val="none" w:sz="0" w:space="0" w:color="auto"/>
        <w:right w:val="none" w:sz="0" w:space="0" w:color="auto"/>
      </w:divBdr>
    </w:div>
    <w:div w:id="562254713">
      <w:marLeft w:val="0"/>
      <w:marRight w:val="0"/>
      <w:marTop w:val="0"/>
      <w:marBottom w:val="180"/>
      <w:divBdr>
        <w:top w:val="none" w:sz="0" w:space="0" w:color="auto"/>
        <w:left w:val="none" w:sz="0" w:space="0" w:color="auto"/>
        <w:bottom w:val="none" w:sz="0" w:space="0" w:color="auto"/>
        <w:right w:val="none" w:sz="0" w:space="0" w:color="auto"/>
      </w:divBdr>
    </w:div>
    <w:div w:id="562957707">
      <w:marLeft w:val="0"/>
      <w:marRight w:val="0"/>
      <w:marTop w:val="180"/>
      <w:marBottom w:val="180"/>
      <w:divBdr>
        <w:top w:val="none" w:sz="0" w:space="0" w:color="auto"/>
        <w:left w:val="none" w:sz="0" w:space="0" w:color="auto"/>
        <w:bottom w:val="none" w:sz="0" w:space="0" w:color="auto"/>
        <w:right w:val="none" w:sz="0" w:space="0" w:color="auto"/>
      </w:divBdr>
    </w:div>
    <w:div w:id="563297409">
      <w:marLeft w:val="0"/>
      <w:marRight w:val="0"/>
      <w:marTop w:val="180"/>
      <w:marBottom w:val="180"/>
      <w:divBdr>
        <w:top w:val="none" w:sz="0" w:space="0" w:color="auto"/>
        <w:left w:val="none" w:sz="0" w:space="0" w:color="auto"/>
        <w:bottom w:val="none" w:sz="0" w:space="0" w:color="auto"/>
        <w:right w:val="none" w:sz="0" w:space="0" w:color="auto"/>
      </w:divBdr>
    </w:div>
    <w:div w:id="564146158">
      <w:marLeft w:val="0"/>
      <w:marRight w:val="0"/>
      <w:marTop w:val="180"/>
      <w:marBottom w:val="180"/>
      <w:divBdr>
        <w:top w:val="none" w:sz="0" w:space="0" w:color="auto"/>
        <w:left w:val="none" w:sz="0" w:space="0" w:color="auto"/>
        <w:bottom w:val="none" w:sz="0" w:space="0" w:color="auto"/>
        <w:right w:val="none" w:sz="0" w:space="0" w:color="auto"/>
      </w:divBdr>
    </w:div>
    <w:div w:id="566577350">
      <w:marLeft w:val="0"/>
      <w:marRight w:val="0"/>
      <w:marTop w:val="0"/>
      <w:marBottom w:val="0"/>
      <w:divBdr>
        <w:top w:val="none" w:sz="0" w:space="0" w:color="auto"/>
        <w:left w:val="none" w:sz="0" w:space="0" w:color="auto"/>
        <w:bottom w:val="none" w:sz="0" w:space="0" w:color="auto"/>
        <w:right w:val="none" w:sz="0" w:space="0" w:color="auto"/>
      </w:divBdr>
    </w:div>
    <w:div w:id="567500263">
      <w:marLeft w:val="0"/>
      <w:marRight w:val="0"/>
      <w:marTop w:val="60"/>
      <w:marBottom w:val="60"/>
      <w:divBdr>
        <w:top w:val="none" w:sz="0" w:space="0" w:color="auto"/>
        <w:left w:val="none" w:sz="0" w:space="0" w:color="auto"/>
        <w:bottom w:val="none" w:sz="0" w:space="0" w:color="auto"/>
        <w:right w:val="none" w:sz="0" w:space="0" w:color="auto"/>
      </w:divBdr>
    </w:div>
    <w:div w:id="567544925">
      <w:marLeft w:val="0"/>
      <w:marRight w:val="0"/>
      <w:marTop w:val="180"/>
      <w:marBottom w:val="180"/>
      <w:divBdr>
        <w:top w:val="none" w:sz="0" w:space="0" w:color="auto"/>
        <w:left w:val="none" w:sz="0" w:space="0" w:color="auto"/>
        <w:bottom w:val="none" w:sz="0" w:space="0" w:color="auto"/>
        <w:right w:val="none" w:sz="0" w:space="0" w:color="auto"/>
      </w:divBdr>
    </w:div>
    <w:div w:id="569196638">
      <w:marLeft w:val="0"/>
      <w:marRight w:val="0"/>
      <w:marTop w:val="0"/>
      <w:marBottom w:val="0"/>
      <w:divBdr>
        <w:top w:val="none" w:sz="0" w:space="0" w:color="auto"/>
        <w:left w:val="none" w:sz="0" w:space="0" w:color="auto"/>
        <w:bottom w:val="none" w:sz="0" w:space="0" w:color="auto"/>
        <w:right w:val="none" w:sz="0" w:space="0" w:color="auto"/>
      </w:divBdr>
    </w:div>
    <w:div w:id="572549819">
      <w:marLeft w:val="0"/>
      <w:marRight w:val="0"/>
      <w:marTop w:val="0"/>
      <w:marBottom w:val="0"/>
      <w:divBdr>
        <w:top w:val="none" w:sz="0" w:space="0" w:color="auto"/>
        <w:left w:val="none" w:sz="0" w:space="0" w:color="auto"/>
        <w:bottom w:val="none" w:sz="0" w:space="0" w:color="auto"/>
        <w:right w:val="none" w:sz="0" w:space="0" w:color="auto"/>
      </w:divBdr>
      <w:divsChild>
        <w:div w:id="1088888782">
          <w:marLeft w:val="0"/>
          <w:marRight w:val="0"/>
          <w:marTop w:val="60"/>
          <w:marBottom w:val="60"/>
          <w:divBdr>
            <w:top w:val="none" w:sz="0" w:space="0" w:color="auto"/>
            <w:left w:val="none" w:sz="0" w:space="0" w:color="auto"/>
            <w:bottom w:val="none" w:sz="0" w:space="0" w:color="auto"/>
            <w:right w:val="none" w:sz="0" w:space="0" w:color="auto"/>
          </w:divBdr>
        </w:div>
      </w:divsChild>
    </w:div>
    <w:div w:id="573049747">
      <w:marLeft w:val="0"/>
      <w:marRight w:val="0"/>
      <w:marTop w:val="60"/>
      <w:marBottom w:val="60"/>
      <w:divBdr>
        <w:top w:val="none" w:sz="0" w:space="0" w:color="auto"/>
        <w:left w:val="none" w:sz="0" w:space="0" w:color="auto"/>
        <w:bottom w:val="none" w:sz="0" w:space="0" w:color="auto"/>
        <w:right w:val="none" w:sz="0" w:space="0" w:color="auto"/>
      </w:divBdr>
    </w:div>
    <w:div w:id="575633103">
      <w:marLeft w:val="0"/>
      <w:marRight w:val="0"/>
      <w:marTop w:val="180"/>
      <w:marBottom w:val="180"/>
      <w:divBdr>
        <w:top w:val="none" w:sz="0" w:space="0" w:color="auto"/>
        <w:left w:val="none" w:sz="0" w:space="0" w:color="auto"/>
        <w:bottom w:val="none" w:sz="0" w:space="0" w:color="auto"/>
        <w:right w:val="none" w:sz="0" w:space="0" w:color="auto"/>
      </w:divBdr>
    </w:div>
    <w:div w:id="576522868">
      <w:marLeft w:val="0"/>
      <w:marRight w:val="0"/>
      <w:marTop w:val="180"/>
      <w:marBottom w:val="180"/>
      <w:divBdr>
        <w:top w:val="none" w:sz="0" w:space="0" w:color="auto"/>
        <w:left w:val="none" w:sz="0" w:space="0" w:color="auto"/>
        <w:bottom w:val="none" w:sz="0" w:space="0" w:color="auto"/>
        <w:right w:val="none" w:sz="0" w:space="0" w:color="auto"/>
      </w:divBdr>
    </w:div>
    <w:div w:id="577057563">
      <w:marLeft w:val="0"/>
      <w:marRight w:val="0"/>
      <w:marTop w:val="100"/>
      <w:marBottom w:val="0"/>
      <w:divBdr>
        <w:top w:val="none" w:sz="0" w:space="0" w:color="auto"/>
        <w:left w:val="none" w:sz="0" w:space="0" w:color="auto"/>
        <w:bottom w:val="none" w:sz="0" w:space="0" w:color="auto"/>
        <w:right w:val="none" w:sz="0" w:space="0" w:color="auto"/>
      </w:divBdr>
      <w:divsChild>
        <w:div w:id="1945844665">
          <w:marLeft w:val="0"/>
          <w:marRight w:val="0"/>
          <w:marTop w:val="0"/>
          <w:marBottom w:val="0"/>
          <w:divBdr>
            <w:top w:val="none" w:sz="0" w:space="0" w:color="auto"/>
            <w:left w:val="none" w:sz="0" w:space="0" w:color="auto"/>
            <w:bottom w:val="none" w:sz="0" w:space="0" w:color="auto"/>
            <w:right w:val="none" w:sz="0" w:space="0" w:color="auto"/>
          </w:divBdr>
        </w:div>
        <w:div w:id="1297181733">
          <w:marLeft w:val="0"/>
          <w:marRight w:val="0"/>
          <w:marTop w:val="0"/>
          <w:marBottom w:val="0"/>
          <w:divBdr>
            <w:top w:val="none" w:sz="0" w:space="0" w:color="auto"/>
            <w:left w:val="none" w:sz="0" w:space="0" w:color="auto"/>
            <w:bottom w:val="none" w:sz="0" w:space="0" w:color="auto"/>
            <w:right w:val="none" w:sz="0" w:space="0" w:color="auto"/>
          </w:divBdr>
        </w:div>
        <w:div w:id="2009748088">
          <w:marLeft w:val="0"/>
          <w:marRight w:val="0"/>
          <w:marTop w:val="0"/>
          <w:marBottom w:val="0"/>
          <w:divBdr>
            <w:top w:val="none" w:sz="0" w:space="0" w:color="auto"/>
            <w:left w:val="none" w:sz="0" w:space="0" w:color="auto"/>
            <w:bottom w:val="none" w:sz="0" w:space="0" w:color="auto"/>
            <w:right w:val="none" w:sz="0" w:space="0" w:color="auto"/>
          </w:divBdr>
        </w:div>
        <w:div w:id="1949965707">
          <w:marLeft w:val="0"/>
          <w:marRight w:val="0"/>
          <w:marTop w:val="0"/>
          <w:marBottom w:val="0"/>
          <w:divBdr>
            <w:top w:val="none" w:sz="0" w:space="0" w:color="auto"/>
            <w:left w:val="none" w:sz="0" w:space="0" w:color="auto"/>
            <w:bottom w:val="none" w:sz="0" w:space="0" w:color="auto"/>
            <w:right w:val="none" w:sz="0" w:space="0" w:color="auto"/>
          </w:divBdr>
        </w:div>
        <w:div w:id="1800223759">
          <w:marLeft w:val="0"/>
          <w:marRight w:val="0"/>
          <w:marTop w:val="0"/>
          <w:marBottom w:val="0"/>
          <w:divBdr>
            <w:top w:val="none" w:sz="0" w:space="0" w:color="auto"/>
            <w:left w:val="none" w:sz="0" w:space="0" w:color="auto"/>
            <w:bottom w:val="none" w:sz="0" w:space="0" w:color="auto"/>
            <w:right w:val="none" w:sz="0" w:space="0" w:color="auto"/>
          </w:divBdr>
        </w:div>
        <w:div w:id="608512517">
          <w:marLeft w:val="0"/>
          <w:marRight w:val="0"/>
          <w:marTop w:val="0"/>
          <w:marBottom w:val="0"/>
          <w:divBdr>
            <w:top w:val="none" w:sz="0" w:space="0" w:color="auto"/>
            <w:left w:val="none" w:sz="0" w:space="0" w:color="auto"/>
            <w:bottom w:val="none" w:sz="0" w:space="0" w:color="auto"/>
            <w:right w:val="none" w:sz="0" w:space="0" w:color="auto"/>
          </w:divBdr>
        </w:div>
        <w:div w:id="510610288">
          <w:marLeft w:val="0"/>
          <w:marRight w:val="0"/>
          <w:marTop w:val="0"/>
          <w:marBottom w:val="0"/>
          <w:divBdr>
            <w:top w:val="none" w:sz="0" w:space="0" w:color="auto"/>
            <w:left w:val="none" w:sz="0" w:space="0" w:color="auto"/>
            <w:bottom w:val="none" w:sz="0" w:space="0" w:color="auto"/>
            <w:right w:val="none" w:sz="0" w:space="0" w:color="auto"/>
          </w:divBdr>
        </w:div>
        <w:div w:id="541791897">
          <w:marLeft w:val="0"/>
          <w:marRight w:val="0"/>
          <w:marTop w:val="0"/>
          <w:marBottom w:val="0"/>
          <w:divBdr>
            <w:top w:val="none" w:sz="0" w:space="0" w:color="auto"/>
            <w:left w:val="none" w:sz="0" w:space="0" w:color="auto"/>
            <w:bottom w:val="none" w:sz="0" w:space="0" w:color="auto"/>
            <w:right w:val="none" w:sz="0" w:space="0" w:color="auto"/>
          </w:divBdr>
        </w:div>
        <w:div w:id="2080245565">
          <w:marLeft w:val="0"/>
          <w:marRight w:val="0"/>
          <w:marTop w:val="0"/>
          <w:marBottom w:val="0"/>
          <w:divBdr>
            <w:top w:val="none" w:sz="0" w:space="0" w:color="auto"/>
            <w:left w:val="none" w:sz="0" w:space="0" w:color="auto"/>
            <w:bottom w:val="none" w:sz="0" w:space="0" w:color="auto"/>
            <w:right w:val="none" w:sz="0" w:space="0" w:color="auto"/>
          </w:divBdr>
        </w:div>
        <w:div w:id="1215039568">
          <w:marLeft w:val="0"/>
          <w:marRight w:val="0"/>
          <w:marTop w:val="0"/>
          <w:marBottom w:val="0"/>
          <w:divBdr>
            <w:top w:val="none" w:sz="0" w:space="0" w:color="auto"/>
            <w:left w:val="none" w:sz="0" w:space="0" w:color="auto"/>
            <w:bottom w:val="none" w:sz="0" w:space="0" w:color="auto"/>
            <w:right w:val="none" w:sz="0" w:space="0" w:color="auto"/>
          </w:divBdr>
        </w:div>
        <w:div w:id="1909728853">
          <w:marLeft w:val="0"/>
          <w:marRight w:val="0"/>
          <w:marTop w:val="0"/>
          <w:marBottom w:val="0"/>
          <w:divBdr>
            <w:top w:val="none" w:sz="0" w:space="0" w:color="auto"/>
            <w:left w:val="none" w:sz="0" w:space="0" w:color="auto"/>
            <w:bottom w:val="none" w:sz="0" w:space="0" w:color="auto"/>
            <w:right w:val="none" w:sz="0" w:space="0" w:color="auto"/>
          </w:divBdr>
        </w:div>
        <w:div w:id="798035370">
          <w:marLeft w:val="0"/>
          <w:marRight w:val="0"/>
          <w:marTop w:val="0"/>
          <w:marBottom w:val="0"/>
          <w:divBdr>
            <w:top w:val="none" w:sz="0" w:space="0" w:color="auto"/>
            <w:left w:val="none" w:sz="0" w:space="0" w:color="auto"/>
            <w:bottom w:val="none" w:sz="0" w:space="0" w:color="auto"/>
            <w:right w:val="none" w:sz="0" w:space="0" w:color="auto"/>
          </w:divBdr>
        </w:div>
        <w:div w:id="1254245331">
          <w:marLeft w:val="0"/>
          <w:marRight w:val="0"/>
          <w:marTop w:val="0"/>
          <w:marBottom w:val="0"/>
          <w:divBdr>
            <w:top w:val="none" w:sz="0" w:space="0" w:color="auto"/>
            <w:left w:val="none" w:sz="0" w:space="0" w:color="auto"/>
            <w:bottom w:val="none" w:sz="0" w:space="0" w:color="auto"/>
            <w:right w:val="none" w:sz="0" w:space="0" w:color="auto"/>
          </w:divBdr>
        </w:div>
        <w:div w:id="288166782">
          <w:marLeft w:val="0"/>
          <w:marRight w:val="0"/>
          <w:marTop w:val="0"/>
          <w:marBottom w:val="0"/>
          <w:divBdr>
            <w:top w:val="none" w:sz="0" w:space="0" w:color="auto"/>
            <w:left w:val="none" w:sz="0" w:space="0" w:color="auto"/>
            <w:bottom w:val="none" w:sz="0" w:space="0" w:color="auto"/>
            <w:right w:val="none" w:sz="0" w:space="0" w:color="auto"/>
          </w:divBdr>
        </w:div>
        <w:div w:id="1467770912">
          <w:marLeft w:val="0"/>
          <w:marRight w:val="0"/>
          <w:marTop w:val="0"/>
          <w:marBottom w:val="0"/>
          <w:divBdr>
            <w:top w:val="none" w:sz="0" w:space="0" w:color="auto"/>
            <w:left w:val="none" w:sz="0" w:space="0" w:color="auto"/>
            <w:bottom w:val="none" w:sz="0" w:space="0" w:color="auto"/>
            <w:right w:val="none" w:sz="0" w:space="0" w:color="auto"/>
          </w:divBdr>
        </w:div>
        <w:div w:id="767696836">
          <w:marLeft w:val="0"/>
          <w:marRight w:val="0"/>
          <w:marTop w:val="0"/>
          <w:marBottom w:val="0"/>
          <w:divBdr>
            <w:top w:val="none" w:sz="0" w:space="0" w:color="auto"/>
            <w:left w:val="none" w:sz="0" w:space="0" w:color="auto"/>
            <w:bottom w:val="none" w:sz="0" w:space="0" w:color="auto"/>
            <w:right w:val="none" w:sz="0" w:space="0" w:color="auto"/>
          </w:divBdr>
        </w:div>
        <w:div w:id="1083146235">
          <w:marLeft w:val="0"/>
          <w:marRight w:val="0"/>
          <w:marTop w:val="0"/>
          <w:marBottom w:val="0"/>
          <w:divBdr>
            <w:top w:val="none" w:sz="0" w:space="0" w:color="auto"/>
            <w:left w:val="none" w:sz="0" w:space="0" w:color="auto"/>
            <w:bottom w:val="none" w:sz="0" w:space="0" w:color="auto"/>
            <w:right w:val="none" w:sz="0" w:space="0" w:color="auto"/>
          </w:divBdr>
        </w:div>
      </w:divsChild>
    </w:div>
    <w:div w:id="577328295">
      <w:marLeft w:val="0"/>
      <w:marRight w:val="0"/>
      <w:marTop w:val="180"/>
      <w:marBottom w:val="180"/>
      <w:divBdr>
        <w:top w:val="none" w:sz="0" w:space="0" w:color="auto"/>
        <w:left w:val="none" w:sz="0" w:space="0" w:color="auto"/>
        <w:bottom w:val="none" w:sz="0" w:space="0" w:color="auto"/>
        <w:right w:val="none" w:sz="0" w:space="0" w:color="auto"/>
      </w:divBdr>
    </w:div>
    <w:div w:id="577330926">
      <w:marLeft w:val="0"/>
      <w:marRight w:val="0"/>
      <w:marTop w:val="60"/>
      <w:marBottom w:val="60"/>
      <w:divBdr>
        <w:top w:val="none" w:sz="0" w:space="0" w:color="auto"/>
        <w:left w:val="none" w:sz="0" w:space="0" w:color="auto"/>
        <w:bottom w:val="none" w:sz="0" w:space="0" w:color="auto"/>
        <w:right w:val="none" w:sz="0" w:space="0" w:color="auto"/>
      </w:divBdr>
    </w:div>
    <w:div w:id="577909093">
      <w:marLeft w:val="0"/>
      <w:marRight w:val="0"/>
      <w:marTop w:val="0"/>
      <w:marBottom w:val="0"/>
      <w:divBdr>
        <w:top w:val="none" w:sz="0" w:space="0" w:color="auto"/>
        <w:left w:val="none" w:sz="0" w:space="0" w:color="auto"/>
        <w:bottom w:val="none" w:sz="0" w:space="0" w:color="auto"/>
        <w:right w:val="none" w:sz="0" w:space="0" w:color="auto"/>
      </w:divBdr>
      <w:divsChild>
        <w:div w:id="131483660">
          <w:marLeft w:val="0"/>
          <w:marRight w:val="0"/>
          <w:marTop w:val="0"/>
          <w:marBottom w:val="0"/>
          <w:divBdr>
            <w:top w:val="none" w:sz="0" w:space="0" w:color="auto"/>
            <w:left w:val="none" w:sz="0" w:space="0" w:color="auto"/>
            <w:bottom w:val="none" w:sz="0" w:space="0" w:color="auto"/>
            <w:right w:val="none" w:sz="0" w:space="0" w:color="auto"/>
          </w:divBdr>
          <w:divsChild>
            <w:div w:id="160472282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78291055">
      <w:marLeft w:val="0"/>
      <w:marRight w:val="0"/>
      <w:marTop w:val="180"/>
      <w:marBottom w:val="60"/>
      <w:divBdr>
        <w:top w:val="none" w:sz="0" w:space="0" w:color="auto"/>
        <w:left w:val="none" w:sz="0" w:space="0" w:color="auto"/>
        <w:bottom w:val="none" w:sz="0" w:space="0" w:color="auto"/>
        <w:right w:val="none" w:sz="0" w:space="0" w:color="auto"/>
      </w:divBdr>
    </w:div>
    <w:div w:id="578684016">
      <w:marLeft w:val="0"/>
      <w:marRight w:val="0"/>
      <w:marTop w:val="180"/>
      <w:marBottom w:val="180"/>
      <w:divBdr>
        <w:top w:val="none" w:sz="0" w:space="0" w:color="auto"/>
        <w:left w:val="none" w:sz="0" w:space="0" w:color="auto"/>
        <w:bottom w:val="none" w:sz="0" w:space="0" w:color="auto"/>
        <w:right w:val="none" w:sz="0" w:space="0" w:color="auto"/>
      </w:divBdr>
    </w:div>
    <w:div w:id="579608529">
      <w:marLeft w:val="0"/>
      <w:marRight w:val="0"/>
      <w:marTop w:val="180"/>
      <w:marBottom w:val="180"/>
      <w:divBdr>
        <w:top w:val="none" w:sz="0" w:space="0" w:color="auto"/>
        <w:left w:val="none" w:sz="0" w:space="0" w:color="auto"/>
        <w:bottom w:val="none" w:sz="0" w:space="0" w:color="auto"/>
        <w:right w:val="none" w:sz="0" w:space="0" w:color="auto"/>
      </w:divBdr>
    </w:div>
    <w:div w:id="580484757">
      <w:marLeft w:val="0"/>
      <w:marRight w:val="0"/>
      <w:marTop w:val="180"/>
      <w:marBottom w:val="180"/>
      <w:divBdr>
        <w:top w:val="none" w:sz="0" w:space="0" w:color="auto"/>
        <w:left w:val="none" w:sz="0" w:space="0" w:color="auto"/>
        <w:bottom w:val="none" w:sz="0" w:space="0" w:color="auto"/>
        <w:right w:val="none" w:sz="0" w:space="0" w:color="auto"/>
      </w:divBdr>
    </w:div>
    <w:div w:id="581794069">
      <w:marLeft w:val="0"/>
      <w:marRight w:val="0"/>
      <w:marTop w:val="180"/>
      <w:marBottom w:val="180"/>
      <w:divBdr>
        <w:top w:val="none" w:sz="0" w:space="0" w:color="auto"/>
        <w:left w:val="none" w:sz="0" w:space="0" w:color="auto"/>
        <w:bottom w:val="none" w:sz="0" w:space="0" w:color="auto"/>
        <w:right w:val="none" w:sz="0" w:space="0" w:color="auto"/>
      </w:divBdr>
    </w:div>
    <w:div w:id="585455833">
      <w:marLeft w:val="0"/>
      <w:marRight w:val="0"/>
      <w:marTop w:val="180"/>
      <w:marBottom w:val="180"/>
      <w:divBdr>
        <w:top w:val="none" w:sz="0" w:space="0" w:color="auto"/>
        <w:left w:val="none" w:sz="0" w:space="0" w:color="auto"/>
        <w:bottom w:val="none" w:sz="0" w:space="0" w:color="auto"/>
        <w:right w:val="none" w:sz="0" w:space="0" w:color="auto"/>
      </w:divBdr>
    </w:div>
    <w:div w:id="586576837">
      <w:marLeft w:val="0"/>
      <w:marRight w:val="0"/>
      <w:marTop w:val="180"/>
      <w:marBottom w:val="60"/>
      <w:divBdr>
        <w:top w:val="none" w:sz="0" w:space="0" w:color="auto"/>
        <w:left w:val="none" w:sz="0" w:space="0" w:color="auto"/>
        <w:bottom w:val="none" w:sz="0" w:space="0" w:color="auto"/>
        <w:right w:val="none" w:sz="0" w:space="0" w:color="auto"/>
      </w:divBdr>
    </w:div>
    <w:div w:id="587347571">
      <w:marLeft w:val="0"/>
      <w:marRight w:val="0"/>
      <w:marTop w:val="180"/>
      <w:marBottom w:val="180"/>
      <w:divBdr>
        <w:top w:val="none" w:sz="0" w:space="0" w:color="auto"/>
        <w:left w:val="none" w:sz="0" w:space="0" w:color="auto"/>
        <w:bottom w:val="none" w:sz="0" w:space="0" w:color="auto"/>
        <w:right w:val="none" w:sz="0" w:space="0" w:color="auto"/>
      </w:divBdr>
    </w:div>
    <w:div w:id="587738643">
      <w:marLeft w:val="0"/>
      <w:marRight w:val="0"/>
      <w:marTop w:val="240"/>
      <w:marBottom w:val="180"/>
      <w:divBdr>
        <w:top w:val="none" w:sz="0" w:space="0" w:color="auto"/>
        <w:left w:val="none" w:sz="0" w:space="0" w:color="auto"/>
        <w:bottom w:val="none" w:sz="0" w:space="0" w:color="auto"/>
        <w:right w:val="none" w:sz="0" w:space="0" w:color="auto"/>
      </w:divBdr>
    </w:div>
    <w:div w:id="591861340">
      <w:marLeft w:val="0"/>
      <w:marRight w:val="0"/>
      <w:marTop w:val="0"/>
      <w:marBottom w:val="0"/>
      <w:divBdr>
        <w:top w:val="none" w:sz="0" w:space="0" w:color="auto"/>
        <w:left w:val="none" w:sz="0" w:space="0" w:color="auto"/>
        <w:bottom w:val="none" w:sz="0" w:space="0" w:color="auto"/>
        <w:right w:val="none" w:sz="0" w:space="0" w:color="auto"/>
      </w:divBdr>
      <w:divsChild>
        <w:div w:id="32661608">
          <w:marLeft w:val="0"/>
          <w:marRight w:val="0"/>
          <w:marTop w:val="0"/>
          <w:marBottom w:val="0"/>
          <w:divBdr>
            <w:top w:val="none" w:sz="0" w:space="0" w:color="auto"/>
            <w:left w:val="none" w:sz="0" w:space="0" w:color="auto"/>
            <w:bottom w:val="none" w:sz="0" w:space="0" w:color="auto"/>
            <w:right w:val="none" w:sz="0" w:space="0" w:color="auto"/>
          </w:divBdr>
          <w:divsChild>
            <w:div w:id="6211557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92083766">
      <w:marLeft w:val="0"/>
      <w:marRight w:val="0"/>
      <w:marTop w:val="180"/>
      <w:marBottom w:val="180"/>
      <w:divBdr>
        <w:top w:val="none" w:sz="0" w:space="0" w:color="auto"/>
        <w:left w:val="none" w:sz="0" w:space="0" w:color="auto"/>
        <w:bottom w:val="none" w:sz="0" w:space="0" w:color="auto"/>
        <w:right w:val="none" w:sz="0" w:space="0" w:color="auto"/>
      </w:divBdr>
    </w:div>
    <w:div w:id="593124842">
      <w:marLeft w:val="0"/>
      <w:marRight w:val="0"/>
      <w:marTop w:val="180"/>
      <w:marBottom w:val="180"/>
      <w:divBdr>
        <w:top w:val="none" w:sz="0" w:space="0" w:color="auto"/>
        <w:left w:val="none" w:sz="0" w:space="0" w:color="auto"/>
        <w:bottom w:val="none" w:sz="0" w:space="0" w:color="auto"/>
        <w:right w:val="none" w:sz="0" w:space="0" w:color="auto"/>
      </w:divBdr>
    </w:div>
    <w:div w:id="593638033">
      <w:marLeft w:val="0"/>
      <w:marRight w:val="0"/>
      <w:marTop w:val="60"/>
      <w:marBottom w:val="60"/>
      <w:divBdr>
        <w:top w:val="none" w:sz="0" w:space="0" w:color="auto"/>
        <w:left w:val="none" w:sz="0" w:space="0" w:color="auto"/>
        <w:bottom w:val="none" w:sz="0" w:space="0" w:color="auto"/>
        <w:right w:val="none" w:sz="0" w:space="0" w:color="auto"/>
      </w:divBdr>
    </w:div>
    <w:div w:id="595598043">
      <w:marLeft w:val="0"/>
      <w:marRight w:val="0"/>
      <w:marTop w:val="0"/>
      <w:marBottom w:val="0"/>
      <w:divBdr>
        <w:top w:val="none" w:sz="0" w:space="0" w:color="auto"/>
        <w:left w:val="none" w:sz="0" w:space="0" w:color="auto"/>
        <w:bottom w:val="none" w:sz="0" w:space="0" w:color="auto"/>
        <w:right w:val="none" w:sz="0" w:space="0" w:color="auto"/>
      </w:divBdr>
    </w:div>
    <w:div w:id="597325635">
      <w:marLeft w:val="0"/>
      <w:marRight w:val="0"/>
      <w:marTop w:val="180"/>
      <w:marBottom w:val="60"/>
      <w:divBdr>
        <w:top w:val="none" w:sz="0" w:space="0" w:color="auto"/>
        <w:left w:val="none" w:sz="0" w:space="0" w:color="auto"/>
        <w:bottom w:val="none" w:sz="0" w:space="0" w:color="auto"/>
        <w:right w:val="none" w:sz="0" w:space="0" w:color="auto"/>
      </w:divBdr>
    </w:div>
    <w:div w:id="599293904">
      <w:marLeft w:val="0"/>
      <w:marRight w:val="0"/>
      <w:marTop w:val="60"/>
      <w:marBottom w:val="60"/>
      <w:divBdr>
        <w:top w:val="none" w:sz="0" w:space="0" w:color="auto"/>
        <w:left w:val="none" w:sz="0" w:space="0" w:color="auto"/>
        <w:bottom w:val="none" w:sz="0" w:space="0" w:color="auto"/>
        <w:right w:val="none" w:sz="0" w:space="0" w:color="auto"/>
      </w:divBdr>
    </w:div>
    <w:div w:id="601298410">
      <w:marLeft w:val="0"/>
      <w:marRight w:val="0"/>
      <w:marTop w:val="60"/>
      <w:marBottom w:val="60"/>
      <w:divBdr>
        <w:top w:val="none" w:sz="0" w:space="0" w:color="auto"/>
        <w:left w:val="none" w:sz="0" w:space="0" w:color="auto"/>
        <w:bottom w:val="none" w:sz="0" w:space="0" w:color="auto"/>
        <w:right w:val="none" w:sz="0" w:space="0" w:color="auto"/>
      </w:divBdr>
    </w:div>
    <w:div w:id="603731118">
      <w:marLeft w:val="0"/>
      <w:marRight w:val="0"/>
      <w:marTop w:val="0"/>
      <w:marBottom w:val="0"/>
      <w:divBdr>
        <w:top w:val="none" w:sz="0" w:space="0" w:color="auto"/>
        <w:left w:val="none" w:sz="0" w:space="0" w:color="auto"/>
        <w:bottom w:val="none" w:sz="0" w:space="0" w:color="auto"/>
        <w:right w:val="none" w:sz="0" w:space="0" w:color="auto"/>
      </w:divBdr>
      <w:divsChild>
        <w:div w:id="551887512">
          <w:marLeft w:val="0"/>
          <w:marRight w:val="0"/>
          <w:marTop w:val="0"/>
          <w:marBottom w:val="0"/>
          <w:divBdr>
            <w:top w:val="none" w:sz="0" w:space="0" w:color="auto"/>
            <w:left w:val="none" w:sz="0" w:space="0" w:color="auto"/>
            <w:bottom w:val="none" w:sz="0" w:space="0" w:color="auto"/>
            <w:right w:val="none" w:sz="0" w:space="0" w:color="auto"/>
          </w:divBdr>
          <w:divsChild>
            <w:div w:id="73381846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04117860">
      <w:marLeft w:val="0"/>
      <w:marRight w:val="0"/>
      <w:marTop w:val="0"/>
      <w:marBottom w:val="0"/>
      <w:divBdr>
        <w:top w:val="none" w:sz="0" w:space="0" w:color="auto"/>
        <w:left w:val="none" w:sz="0" w:space="0" w:color="auto"/>
        <w:bottom w:val="none" w:sz="0" w:space="0" w:color="auto"/>
        <w:right w:val="none" w:sz="0" w:space="0" w:color="auto"/>
      </w:divBdr>
      <w:divsChild>
        <w:div w:id="1438018001">
          <w:marLeft w:val="0"/>
          <w:marRight w:val="0"/>
          <w:marTop w:val="0"/>
          <w:marBottom w:val="0"/>
          <w:divBdr>
            <w:top w:val="none" w:sz="0" w:space="0" w:color="auto"/>
            <w:left w:val="none" w:sz="0" w:space="0" w:color="auto"/>
            <w:bottom w:val="none" w:sz="0" w:space="0" w:color="auto"/>
            <w:right w:val="none" w:sz="0" w:space="0" w:color="auto"/>
          </w:divBdr>
          <w:divsChild>
            <w:div w:id="151565547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05963500">
      <w:marLeft w:val="0"/>
      <w:marRight w:val="0"/>
      <w:marTop w:val="0"/>
      <w:marBottom w:val="0"/>
      <w:divBdr>
        <w:top w:val="none" w:sz="0" w:space="0" w:color="auto"/>
        <w:left w:val="none" w:sz="0" w:space="0" w:color="auto"/>
        <w:bottom w:val="none" w:sz="0" w:space="0" w:color="auto"/>
        <w:right w:val="none" w:sz="0" w:space="0" w:color="auto"/>
      </w:divBdr>
      <w:divsChild>
        <w:div w:id="552236475">
          <w:marLeft w:val="0"/>
          <w:marRight w:val="0"/>
          <w:marTop w:val="0"/>
          <w:marBottom w:val="0"/>
          <w:divBdr>
            <w:top w:val="none" w:sz="0" w:space="0" w:color="auto"/>
            <w:left w:val="none" w:sz="0" w:space="0" w:color="auto"/>
            <w:bottom w:val="none" w:sz="0" w:space="0" w:color="auto"/>
            <w:right w:val="none" w:sz="0" w:space="0" w:color="auto"/>
          </w:divBdr>
          <w:divsChild>
            <w:div w:id="136108324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07783079">
      <w:marLeft w:val="0"/>
      <w:marRight w:val="0"/>
      <w:marTop w:val="180"/>
      <w:marBottom w:val="180"/>
      <w:divBdr>
        <w:top w:val="none" w:sz="0" w:space="0" w:color="auto"/>
        <w:left w:val="none" w:sz="0" w:space="0" w:color="auto"/>
        <w:bottom w:val="none" w:sz="0" w:space="0" w:color="auto"/>
        <w:right w:val="none" w:sz="0" w:space="0" w:color="auto"/>
      </w:divBdr>
    </w:div>
    <w:div w:id="608196802">
      <w:marLeft w:val="0"/>
      <w:marRight w:val="0"/>
      <w:marTop w:val="60"/>
      <w:marBottom w:val="0"/>
      <w:divBdr>
        <w:top w:val="none" w:sz="0" w:space="0" w:color="auto"/>
        <w:left w:val="none" w:sz="0" w:space="0" w:color="auto"/>
        <w:bottom w:val="none" w:sz="0" w:space="0" w:color="auto"/>
        <w:right w:val="none" w:sz="0" w:space="0" w:color="auto"/>
      </w:divBdr>
    </w:div>
    <w:div w:id="609163629">
      <w:marLeft w:val="0"/>
      <w:marRight w:val="0"/>
      <w:marTop w:val="0"/>
      <w:marBottom w:val="60"/>
      <w:divBdr>
        <w:top w:val="none" w:sz="0" w:space="0" w:color="auto"/>
        <w:left w:val="none" w:sz="0" w:space="0" w:color="auto"/>
        <w:bottom w:val="none" w:sz="0" w:space="0" w:color="auto"/>
        <w:right w:val="none" w:sz="0" w:space="0" w:color="auto"/>
      </w:divBdr>
    </w:div>
    <w:div w:id="611322125">
      <w:marLeft w:val="0"/>
      <w:marRight w:val="0"/>
      <w:marTop w:val="0"/>
      <w:marBottom w:val="0"/>
      <w:divBdr>
        <w:top w:val="none" w:sz="0" w:space="0" w:color="auto"/>
        <w:left w:val="none" w:sz="0" w:space="0" w:color="auto"/>
        <w:bottom w:val="none" w:sz="0" w:space="0" w:color="auto"/>
        <w:right w:val="none" w:sz="0" w:space="0" w:color="auto"/>
      </w:divBdr>
      <w:divsChild>
        <w:div w:id="898056898">
          <w:marLeft w:val="0"/>
          <w:marRight w:val="0"/>
          <w:marTop w:val="0"/>
          <w:marBottom w:val="0"/>
          <w:divBdr>
            <w:top w:val="none" w:sz="0" w:space="0" w:color="auto"/>
            <w:left w:val="none" w:sz="0" w:space="0" w:color="auto"/>
            <w:bottom w:val="none" w:sz="0" w:space="0" w:color="auto"/>
            <w:right w:val="none" w:sz="0" w:space="0" w:color="auto"/>
          </w:divBdr>
          <w:divsChild>
            <w:div w:id="115310913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14290011">
      <w:marLeft w:val="0"/>
      <w:marRight w:val="0"/>
      <w:marTop w:val="240"/>
      <w:marBottom w:val="180"/>
      <w:divBdr>
        <w:top w:val="none" w:sz="0" w:space="0" w:color="auto"/>
        <w:left w:val="none" w:sz="0" w:space="0" w:color="auto"/>
        <w:bottom w:val="none" w:sz="0" w:space="0" w:color="auto"/>
        <w:right w:val="none" w:sz="0" w:space="0" w:color="auto"/>
      </w:divBdr>
    </w:div>
    <w:div w:id="614290539">
      <w:marLeft w:val="0"/>
      <w:marRight w:val="0"/>
      <w:marTop w:val="0"/>
      <w:marBottom w:val="0"/>
      <w:divBdr>
        <w:top w:val="none" w:sz="0" w:space="0" w:color="auto"/>
        <w:left w:val="none" w:sz="0" w:space="0" w:color="auto"/>
        <w:bottom w:val="none" w:sz="0" w:space="0" w:color="auto"/>
        <w:right w:val="none" w:sz="0" w:space="0" w:color="auto"/>
      </w:divBdr>
      <w:divsChild>
        <w:div w:id="1230115899">
          <w:marLeft w:val="0"/>
          <w:marRight w:val="0"/>
          <w:marTop w:val="0"/>
          <w:marBottom w:val="0"/>
          <w:divBdr>
            <w:top w:val="none" w:sz="0" w:space="0" w:color="auto"/>
            <w:left w:val="none" w:sz="0" w:space="0" w:color="auto"/>
            <w:bottom w:val="none" w:sz="0" w:space="0" w:color="auto"/>
            <w:right w:val="none" w:sz="0" w:space="0" w:color="auto"/>
          </w:divBdr>
          <w:divsChild>
            <w:div w:id="188856281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14335869">
      <w:marLeft w:val="0"/>
      <w:marRight w:val="0"/>
      <w:marTop w:val="180"/>
      <w:marBottom w:val="180"/>
      <w:divBdr>
        <w:top w:val="none" w:sz="0" w:space="0" w:color="auto"/>
        <w:left w:val="none" w:sz="0" w:space="0" w:color="auto"/>
        <w:bottom w:val="none" w:sz="0" w:space="0" w:color="auto"/>
        <w:right w:val="none" w:sz="0" w:space="0" w:color="auto"/>
      </w:divBdr>
    </w:div>
    <w:div w:id="614410373">
      <w:marLeft w:val="0"/>
      <w:marRight w:val="0"/>
      <w:marTop w:val="180"/>
      <w:marBottom w:val="180"/>
      <w:divBdr>
        <w:top w:val="none" w:sz="0" w:space="0" w:color="auto"/>
        <w:left w:val="none" w:sz="0" w:space="0" w:color="auto"/>
        <w:bottom w:val="none" w:sz="0" w:space="0" w:color="auto"/>
        <w:right w:val="none" w:sz="0" w:space="0" w:color="auto"/>
      </w:divBdr>
    </w:div>
    <w:div w:id="615645398">
      <w:marLeft w:val="0"/>
      <w:marRight w:val="0"/>
      <w:marTop w:val="0"/>
      <w:marBottom w:val="0"/>
      <w:divBdr>
        <w:top w:val="none" w:sz="0" w:space="0" w:color="auto"/>
        <w:left w:val="none" w:sz="0" w:space="0" w:color="auto"/>
        <w:bottom w:val="none" w:sz="0" w:space="0" w:color="auto"/>
        <w:right w:val="none" w:sz="0" w:space="0" w:color="auto"/>
      </w:divBdr>
      <w:divsChild>
        <w:div w:id="1597328083">
          <w:marLeft w:val="0"/>
          <w:marRight w:val="0"/>
          <w:marTop w:val="0"/>
          <w:marBottom w:val="0"/>
          <w:divBdr>
            <w:top w:val="none" w:sz="0" w:space="0" w:color="auto"/>
            <w:left w:val="none" w:sz="0" w:space="0" w:color="auto"/>
            <w:bottom w:val="none" w:sz="0" w:space="0" w:color="auto"/>
            <w:right w:val="none" w:sz="0" w:space="0" w:color="auto"/>
          </w:divBdr>
          <w:divsChild>
            <w:div w:id="81942569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20264709">
      <w:marLeft w:val="0"/>
      <w:marRight w:val="0"/>
      <w:marTop w:val="180"/>
      <w:marBottom w:val="180"/>
      <w:divBdr>
        <w:top w:val="none" w:sz="0" w:space="0" w:color="auto"/>
        <w:left w:val="none" w:sz="0" w:space="0" w:color="auto"/>
        <w:bottom w:val="none" w:sz="0" w:space="0" w:color="auto"/>
        <w:right w:val="none" w:sz="0" w:space="0" w:color="auto"/>
      </w:divBdr>
    </w:div>
    <w:div w:id="620495767">
      <w:marLeft w:val="0"/>
      <w:marRight w:val="0"/>
      <w:marTop w:val="60"/>
      <w:marBottom w:val="60"/>
      <w:divBdr>
        <w:top w:val="none" w:sz="0" w:space="0" w:color="auto"/>
        <w:left w:val="none" w:sz="0" w:space="0" w:color="auto"/>
        <w:bottom w:val="none" w:sz="0" w:space="0" w:color="auto"/>
        <w:right w:val="none" w:sz="0" w:space="0" w:color="auto"/>
      </w:divBdr>
    </w:div>
    <w:div w:id="622005962">
      <w:marLeft w:val="0"/>
      <w:marRight w:val="0"/>
      <w:marTop w:val="180"/>
      <w:marBottom w:val="180"/>
      <w:divBdr>
        <w:top w:val="none" w:sz="0" w:space="0" w:color="auto"/>
        <w:left w:val="none" w:sz="0" w:space="0" w:color="auto"/>
        <w:bottom w:val="none" w:sz="0" w:space="0" w:color="auto"/>
        <w:right w:val="none" w:sz="0" w:space="0" w:color="auto"/>
      </w:divBdr>
    </w:div>
    <w:div w:id="626854901">
      <w:marLeft w:val="0"/>
      <w:marRight w:val="0"/>
      <w:marTop w:val="180"/>
      <w:marBottom w:val="180"/>
      <w:divBdr>
        <w:top w:val="none" w:sz="0" w:space="0" w:color="auto"/>
        <w:left w:val="none" w:sz="0" w:space="0" w:color="auto"/>
        <w:bottom w:val="none" w:sz="0" w:space="0" w:color="auto"/>
        <w:right w:val="none" w:sz="0" w:space="0" w:color="auto"/>
      </w:divBdr>
    </w:div>
    <w:div w:id="627049377">
      <w:marLeft w:val="0"/>
      <w:marRight w:val="0"/>
      <w:marTop w:val="60"/>
      <w:marBottom w:val="60"/>
      <w:divBdr>
        <w:top w:val="none" w:sz="0" w:space="0" w:color="auto"/>
        <w:left w:val="none" w:sz="0" w:space="0" w:color="auto"/>
        <w:bottom w:val="none" w:sz="0" w:space="0" w:color="auto"/>
        <w:right w:val="none" w:sz="0" w:space="0" w:color="auto"/>
      </w:divBdr>
    </w:div>
    <w:div w:id="627125200">
      <w:marLeft w:val="0"/>
      <w:marRight w:val="0"/>
      <w:marTop w:val="180"/>
      <w:marBottom w:val="180"/>
      <w:divBdr>
        <w:top w:val="none" w:sz="0" w:space="0" w:color="auto"/>
        <w:left w:val="none" w:sz="0" w:space="0" w:color="auto"/>
        <w:bottom w:val="none" w:sz="0" w:space="0" w:color="auto"/>
        <w:right w:val="none" w:sz="0" w:space="0" w:color="auto"/>
      </w:divBdr>
    </w:div>
    <w:div w:id="627706608">
      <w:marLeft w:val="0"/>
      <w:marRight w:val="0"/>
      <w:marTop w:val="0"/>
      <w:marBottom w:val="0"/>
      <w:divBdr>
        <w:top w:val="none" w:sz="0" w:space="0" w:color="auto"/>
        <w:left w:val="none" w:sz="0" w:space="0" w:color="auto"/>
        <w:bottom w:val="none" w:sz="0" w:space="0" w:color="auto"/>
        <w:right w:val="none" w:sz="0" w:space="0" w:color="auto"/>
      </w:divBdr>
      <w:divsChild>
        <w:div w:id="1959220584">
          <w:marLeft w:val="0"/>
          <w:marRight w:val="0"/>
          <w:marTop w:val="0"/>
          <w:marBottom w:val="0"/>
          <w:divBdr>
            <w:top w:val="none" w:sz="0" w:space="0" w:color="auto"/>
            <w:left w:val="none" w:sz="0" w:space="0" w:color="auto"/>
            <w:bottom w:val="none" w:sz="0" w:space="0" w:color="auto"/>
            <w:right w:val="none" w:sz="0" w:space="0" w:color="auto"/>
          </w:divBdr>
          <w:divsChild>
            <w:div w:id="117218212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28515256">
      <w:marLeft w:val="0"/>
      <w:marRight w:val="0"/>
      <w:marTop w:val="180"/>
      <w:marBottom w:val="180"/>
      <w:divBdr>
        <w:top w:val="none" w:sz="0" w:space="0" w:color="auto"/>
        <w:left w:val="none" w:sz="0" w:space="0" w:color="auto"/>
        <w:bottom w:val="none" w:sz="0" w:space="0" w:color="auto"/>
        <w:right w:val="none" w:sz="0" w:space="0" w:color="auto"/>
      </w:divBdr>
    </w:div>
    <w:div w:id="628821373">
      <w:marLeft w:val="0"/>
      <w:marRight w:val="0"/>
      <w:marTop w:val="180"/>
      <w:marBottom w:val="180"/>
      <w:divBdr>
        <w:top w:val="none" w:sz="0" w:space="0" w:color="auto"/>
        <w:left w:val="none" w:sz="0" w:space="0" w:color="auto"/>
        <w:bottom w:val="none" w:sz="0" w:space="0" w:color="auto"/>
        <w:right w:val="none" w:sz="0" w:space="0" w:color="auto"/>
      </w:divBdr>
    </w:div>
    <w:div w:id="629481950">
      <w:marLeft w:val="0"/>
      <w:marRight w:val="0"/>
      <w:marTop w:val="180"/>
      <w:marBottom w:val="180"/>
      <w:divBdr>
        <w:top w:val="none" w:sz="0" w:space="0" w:color="auto"/>
        <w:left w:val="none" w:sz="0" w:space="0" w:color="auto"/>
        <w:bottom w:val="none" w:sz="0" w:space="0" w:color="auto"/>
        <w:right w:val="none" w:sz="0" w:space="0" w:color="auto"/>
      </w:divBdr>
    </w:div>
    <w:div w:id="630135519">
      <w:marLeft w:val="0"/>
      <w:marRight w:val="0"/>
      <w:marTop w:val="180"/>
      <w:marBottom w:val="180"/>
      <w:divBdr>
        <w:top w:val="none" w:sz="0" w:space="0" w:color="auto"/>
        <w:left w:val="none" w:sz="0" w:space="0" w:color="auto"/>
        <w:bottom w:val="none" w:sz="0" w:space="0" w:color="auto"/>
        <w:right w:val="none" w:sz="0" w:space="0" w:color="auto"/>
      </w:divBdr>
    </w:div>
    <w:div w:id="631904466">
      <w:marLeft w:val="0"/>
      <w:marRight w:val="0"/>
      <w:marTop w:val="0"/>
      <w:marBottom w:val="0"/>
      <w:divBdr>
        <w:top w:val="none" w:sz="0" w:space="0" w:color="auto"/>
        <w:left w:val="none" w:sz="0" w:space="0" w:color="auto"/>
        <w:bottom w:val="none" w:sz="0" w:space="0" w:color="auto"/>
        <w:right w:val="none" w:sz="0" w:space="0" w:color="auto"/>
      </w:divBdr>
      <w:divsChild>
        <w:div w:id="1229225597">
          <w:marLeft w:val="0"/>
          <w:marRight w:val="0"/>
          <w:marTop w:val="180"/>
          <w:marBottom w:val="180"/>
          <w:divBdr>
            <w:top w:val="none" w:sz="0" w:space="0" w:color="auto"/>
            <w:left w:val="none" w:sz="0" w:space="0" w:color="auto"/>
            <w:bottom w:val="none" w:sz="0" w:space="0" w:color="auto"/>
            <w:right w:val="none" w:sz="0" w:space="0" w:color="auto"/>
          </w:divBdr>
        </w:div>
      </w:divsChild>
    </w:div>
    <w:div w:id="633681632">
      <w:marLeft w:val="0"/>
      <w:marRight w:val="0"/>
      <w:marTop w:val="180"/>
      <w:marBottom w:val="180"/>
      <w:divBdr>
        <w:top w:val="none" w:sz="0" w:space="0" w:color="auto"/>
        <w:left w:val="none" w:sz="0" w:space="0" w:color="auto"/>
        <w:bottom w:val="none" w:sz="0" w:space="0" w:color="auto"/>
        <w:right w:val="none" w:sz="0" w:space="0" w:color="auto"/>
      </w:divBdr>
    </w:div>
    <w:div w:id="634720067">
      <w:marLeft w:val="0"/>
      <w:marRight w:val="0"/>
      <w:marTop w:val="180"/>
      <w:marBottom w:val="180"/>
      <w:divBdr>
        <w:top w:val="none" w:sz="0" w:space="0" w:color="auto"/>
        <w:left w:val="none" w:sz="0" w:space="0" w:color="auto"/>
        <w:bottom w:val="none" w:sz="0" w:space="0" w:color="auto"/>
        <w:right w:val="none" w:sz="0" w:space="0" w:color="auto"/>
      </w:divBdr>
    </w:div>
    <w:div w:id="635139113">
      <w:marLeft w:val="0"/>
      <w:marRight w:val="0"/>
      <w:marTop w:val="60"/>
      <w:marBottom w:val="60"/>
      <w:divBdr>
        <w:top w:val="none" w:sz="0" w:space="0" w:color="auto"/>
        <w:left w:val="none" w:sz="0" w:space="0" w:color="auto"/>
        <w:bottom w:val="none" w:sz="0" w:space="0" w:color="auto"/>
        <w:right w:val="none" w:sz="0" w:space="0" w:color="auto"/>
      </w:divBdr>
    </w:div>
    <w:div w:id="638219576">
      <w:marLeft w:val="0"/>
      <w:marRight w:val="0"/>
      <w:marTop w:val="180"/>
      <w:marBottom w:val="180"/>
      <w:divBdr>
        <w:top w:val="none" w:sz="0" w:space="0" w:color="auto"/>
        <w:left w:val="none" w:sz="0" w:space="0" w:color="auto"/>
        <w:bottom w:val="none" w:sz="0" w:space="0" w:color="auto"/>
        <w:right w:val="none" w:sz="0" w:space="0" w:color="auto"/>
      </w:divBdr>
    </w:div>
    <w:div w:id="639579996">
      <w:marLeft w:val="0"/>
      <w:marRight w:val="0"/>
      <w:marTop w:val="180"/>
      <w:marBottom w:val="180"/>
      <w:divBdr>
        <w:top w:val="none" w:sz="0" w:space="0" w:color="auto"/>
        <w:left w:val="none" w:sz="0" w:space="0" w:color="auto"/>
        <w:bottom w:val="none" w:sz="0" w:space="0" w:color="auto"/>
        <w:right w:val="none" w:sz="0" w:space="0" w:color="auto"/>
      </w:divBdr>
    </w:div>
    <w:div w:id="640617601">
      <w:marLeft w:val="0"/>
      <w:marRight w:val="0"/>
      <w:marTop w:val="180"/>
      <w:marBottom w:val="180"/>
      <w:divBdr>
        <w:top w:val="none" w:sz="0" w:space="0" w:color="auto"/>
        <w:left w:val="none" w:sz="0" w:space="0" w:color="auto"/>
        <w:bottom w:val="none" w:sz="0" w:space="0" w:color="auto"/>
        <w:right w:val="none" w:sz="0" w:space="0" w:color="auto"/>
      </w:divBdr>
    </w:div>
    <w:div w:id="642856073">
      <w:marLeft w:val="0"/>
      <w:marRight w:val="0"/>
      <w:marTop w:val="180"/>
      <w:marBottom w:val="180"/>
      <w:divBdr>
        <w:top w:val="none" w:sz="0" w:space="0" w:color="auto"/>
        <w:left w:val="none" w:sz="0" w:space="0" w:color="auto"/>
        <w:bottom w:val="none" w:sz="0" w:space="0" w:color="auto"/>
        <w:right w:val="none" w:sz="0" w:space="0" w:color="auto"/>
      </w:divBdr>
    </w:div>
    <w:div w:id="643892343">
      <w:marLeft w:val="0"/>
      <w:marRight w:val="0"/>
      <w:marTop w:val="180"/>
      <w:marBottom w:val="180"/>
      <w:divBdr>
        <w:top w:val="none" w:sz="0" w:space="0" w:color="auto"/>
        <w:left w:val="none" w:sz="0" w:space="0" w:color="auto"/>
        <w:bottom w:val="none" w:sz="0" w:space="0" w:color="auto"/>
        <w:right w:val="none" w:sz="0" w:space="0" w:color="auto"/>
      </w:divBdr>
    </w:div>
    <w:div w:id="647900088">
      <w:marLeft w:val="0"/>
      <w:marRight w:val="0"/>
      <w:marTop w:val="180"/>
      <w:marBottom w:val="60"/>
      <w:divBdr>
        <w:top w:val="none" w:sz="0" w:space="0" w:color="auto"/>
        <w:left w:val="none" w:sz="0" w:space="0" w:color="auto"/>
        <w:bottom w:val="none" w:sz="0" w:space="0" w:color="auto"/>
        <w:right w:val="none" w:sz="0" w:space="0" w:color="auto"/>
      </w:divBdr>
    </w:div>
    <w:div w:id="650905517">
      <w:marLeft w:val="0"/>
      <w:marRight w:val="0"/>
      <w:marTop w:val="180"/>
      <w:marBottom w:val="180"/>
      <w:divBdr>
        <w:top w:val="none" w:sz="0" w:space="0" w:color="auto"/>
        <w:left w:val="none" w:sz="0" w:space="0" w:color="auto"/>
        <w:bottom w:val="none" w:sz="0" w:space="0" w:color="auto"/>
        <w:right w:val="none" w:sz="0" w:space="0" w:color="auto"/>
      </w:divBdr>
    </w:div>
    <w:div w:id="651450460">
      <w:marLeft w:val="0"/>
      <w:marRight w:val="0"/>
      <w:marTop w:val="0"/>
      <w:marBottom w:val="0"/>
      <w:divBdr>
        <w:top w:val="none" w:sz="0" w:space="0" w:color="auto"/>
        <w:left w:val="none" w:sz="0" w:space="0" w:color="auto"/>
        <w:bottom w:val="none" w:sz="0" w:space="0" w:color="auto"/>
        <w:right w:val="none" w:sz="0" w:space="0" w:color="auto"/>
      </w:divBdr>
      <w:divsChild>
        <w:div w:id="17244807">
          <w:marLeft w:val="0"/>
          <w:marRight w:val="0"/>
          <w:marTop w:val="0"/>
          <w:marBottom w:val="0"/>
          <w:divBdr>
            <w:top w:val="none" w:sz="0" w:space="0" w:color="auto"/>
            <w:left w:val="none" w:sz="0" w:space="0" w:color="auto"/>
            <w:bottom w:val="none" w:sz="0" w:space="0" w:color="auto"/>
            <w:right w:val="none" w:sz="0" w:space="0" w:color="auto"/>
          </w:divBdr>
          <w:divsChild>
            <w:div w:id="71986710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52948980">
      <w:marLeft w:val="0"/>
      <w:marRight w:val="0"/>
      <w:marTop w:val="0"/>
      <w:marBottom w:val="15"/>
      <w:divBdr>
        <w:top w:val="none" w:sz="0" w:space="0" w:color="auto"/>
        <w:left w:val="none" w:sz="0" w:space="0" w:color="auto"/>
        <w:bottom w:val="none" w:sz="0" w:space="0" w:color="auto"/>
        <w:right w:val="none" w:sz="0" w:space="0" w:color="auto"/>
      </w:divBdr>
    </w:div>
    <w:div w:id="653491889">
      <w:marLeft w:val="0"/>
      <w:marRight w:val="0"/>
      <w:marTop w:val="180"/>
      <w:marBottom w:val="180"/>
      <w:divBdr>
        <w:top w:val="none" w:sz="0" w:space="0" w:color="auto"/>
        <w:left w:val="none" w:sz="0" w:space="0" w:color="auto"/>
        <w:bottom w:val="none" w:sz="0" w:space="0" w:color="auto"/>
        <w:right w:val="none" w:sz="0" w:space="0" w:color="auto"/>
      </w:divBdr>
    </w:div>
    <w:div w:id="655185135">
      <w:marLeft w:val="0"/>
      <w:marRight w:val="0"/>
      <w:marTop w:val="180"/>
      <w:marBottom w:val="180"/>
      <w:divBdr>
        <w:top w:val="none" w:sz="0" w:space="0" w:color="auto"/>
        <w:left w:val="none" w:sz="0" w:space="0" w:color="auto"/>
        <w:bottom w:val="none" w:sz="0" w:space="0" w:color="auto"/>
        <w:right w:val="none" w:sz="0" w:space="0" w:color="auto"/>
      </w:divBdr>
    </w:div>
    <w:div w:id="656691511">
      <w:marLeft w:val="0"/>
      <w:marRight w:val="0"/>
      <w:marTop w:val="60"/>
      <w:marBottom w:val="60"/>
      <w:divBdr>
        <w:top w:val="none" w:sz="0" w:space="0" w:color="auto"/>
        <w:left w:val="none" w:sz="0" w:space="0" w:color="auto"/>
        <w:bottom w:val="none" w:sz="0" w:space="0" w:color="auto"/>
        <w:right w:val="none" w:sz="0" w:space="0" w:color="auto"/>
      </w:divBdr>
    </w:div>
    <w:div w:id="657656343">
      <w:marLeft w:val="0"/>
      <w:marRight w:val="0"/>
      <w:marTop w:val="0"/>
      <w:marBottom w:val="0"/>
      <w:divBdr>
        <w:top w:val="none" w:sz="0" w:space="0" w:color="auto"/>
        <w:left w:val="none" w:sz="0" w:space="0" w:color="auto"/>
        <w:bottom w:val="none" w:sz="0" w:space="0" w:color="auto"/>
        <w:right w:val="none" w:sz="0" w:space="0" w:color="auto"/>
      </w:divBdr>
    </w:div>
    <w:div w:id="661810013">
      <w:marLeft w:val="0"/>
      <w:marRight w:val="0"/>
      <w:marTop w:val="180"/>
      <w:marBottom w:val="180"/>
      <w:divBdr>
        <w:top w:val="none" w:sz="0" w:space="0" w:color="auto"/>
        <w:left w:val="none" w:sz="0" w:space="0" w:color="auto"/>
        <w:bottom w:val="none" w:sz="0" w:space="0" w:color="auto"/>
        <w:right w:val="none" w:sz="0" w:space="0" w:color="auto"/>
      </w:divBdr>
    </w:div>
    <w:div w:id="661856005">
      <w:marLeft w:val="0"/>
      <w:marRight w:val="0"/>
      <w:marTop w:val="180"/>
      <w:marBottom w:val="180"/>
      <w:divBdr>
        <w:top w:val="none" w:sz="0" w:space="0" w:color="auto"/>
        <w:left w:val="none" w:sz="0" w:space="0" w:color="auto"/>
        <w:bottom w:val="none" w:sz="0" w:space="0" w:color="auto"/>
        <w:right w:val="none" w:sz="0" w:space="0" w:color="auto"/>
      </w:divBdr>
    </w:div>
    <w:div w:id="662511872">
      <w:marLeft w:val="0"/>
      <w:marRight w:val="0"/>
      <w:marTop w:val="180"/>
      <w:marBottom w:val="180"/>
      <w:divBdr>
        <w:top w:val="none" w:sz="0" w:space="0" w:color="auto"/>
        <w:left w:val="none" w:sz="0" w:space="0" w:color="auto"/>
        <w:bottom w:val="none" w:sz="0" w:space="0" w:color="auto"/>
        <w:right w:val="none" w:sz="0" w:space="0" w:color="auto"/>
      </w:divBdr>
    </w:div>
    <w:div w:id="662927306">
      <w:marLeft w:val="0"/>
      <w:marRight w:val="0"/>
      <w:marTop w:val="0"/>
      <w:marBottom w:val="0"/>
      <w:divBdr>
        <w:top w:val="none" w:sz="0" w:space="0" w:color="auto"/>
        <w:left w:val="none" w:sz="0" w:space="0" w:color="auto"/>
        <w:bottom w:val="none" w:sz="0" w:space="0" w:color="auto"/>
        <w:right w:val="none" w:sz="0" w:space="0" w:color="auto"/>
      </w:divBdr>
      <w:divsChild>
        <w:div w:id="1779829792">
          <w:marLeft w:val="0"/>
          <w:marRight w:val="0"/>
          <w:marTop w:val="0"/>
          <w:marBottom w:val="0"/>
          <w:divBdr>
            <w:top w:val="none" w:sz="0" w:space="0" w:color="auto"/>
            <w:left w:val="none" w:sz="0" w:space="0" w:color="auto"/>
            <w:bottom w:val="none" w:sz="0" w:space="0" w:color="auto"/>
            <w:right w:val="none" w:sz="0" w:space="0" w:color="auto"/>
          </w:divBdr>
          <w:divsChild>
            <w:div w:id="15480269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65670485">
      <w:marLeft w:val="0"/>
      <w:marRight w:val="0"/>
      <w:marTop w:val="100"/>
      <w:marBottom w:val="0"/>
      <w:divBdr>
        <w:top w:val="none" w:sz="0" w:space="0" w:color="auto"/>
        <w:left w:val="none" w:sz="0" w:space="0" w:color="auto"/>
        <w:bottom w:val="none" w:sz="0" w:space="0" w:color="auto"/>
        <w:right w:val="none" w:sz="0" w:space="0" w:color="auto"/>
      </w:divBdr>
      <w:divsChild>
        <w:div w:id="986007070">
          <w:marLeft w:val="0"/>
          <w:marRight w:val="0"/>
          <w:marTop w:val="0"/>
          <w:marBottom w:val="0"/>
          <w:divBdr>
            <w:top w:val="none" w:sz="0" w:space="0" w:color="auto"/>
            <w:left w:val="none" w:sz="0" w:space="0" w:color="auto"/>
            <w:bottom w:val="none" w:sz="0" w:space="0" w:color="auto"/>
            <w:right w:val="none" w:sz="0" w:space="0" w:color="auto"/>
          </w:divBdr>
        </w:div>
        <w:div w:id="339967272">
          <w:marLeft w:val="0"/>
          <w:marRight w:val="0"/>
          <w:marTop w:val="0"/>
          <w:marBottom w:val="0"/>
          <w:divBdr>
            <w:top w:val="none" w:sz="0" w:space="0" w:color="auto"/>
            <w:left w:val="none" w:sz="0" w:space="0" w:color="auto"/>
            <w:bottom w:val="none" w:sz="0" w:space="0" w:color="auto"/>
            <w:right w:val="none" w:sz="0" w:space="0" w:color="auto"/>
          </w:divBdr>
        </w:div>
      </w:divsChild>
    </w:div>
    <w:div w:id="665935867">
      <w:marLeft w:val="0"/>
      <w:marRight w:val="0"/>
      <w:marTop w:val="180"/>
      <w:marBottom w:val="180"/>
      <w:divBdr>
        <w:top w:val="none" w:sz="0" w:space="0" w:color="auto"/>
        <w:left w:val="none" w:sz="0" w:space="0" w:color="auto"/>
        <w:bottom w:val="none" w:sz="0" w:space="0" w:color="auto"/>
        <w:right w:val="none" w:sz="0" w:space="0" w:color="auto"/>
      </w:divBdr>
    </w:div>
    <w:div w:id="666598948">
      <w:marLeft w:val="0"/>
      <w:marRight w:val="0"/>
      <w:marTop w:val="180"/>
      <w:marBottom w:val="180"/>
      <w:divBdr>
        <w:top w:val="none" w:sz="0" w:space="0" w:color="auto"/>
        <w:left w:val="none" w:sz="0" w:space="0" w:color="auto"/>
        <w:bottom w:val="none" w:sz="0" w:space="0" w:color="auto"/>
        <w:right w:val="none" w:sz="0" w:space="0" w:color="auto"/>
      </w:divBdr>
    </w:div>
    <w:div w:id="666635797">
      <w:marLeft w:val="0"/>
      <w:marRight w:val="0"/>
      <w:marTop w:val="60"/>
      <w:marBottom w:val="60"/>
      <w:divBdr>
        <w:top w:val="none" w:sz="0" w:space="0" w:color="auto"/>
        <w:left w:val="none" w:sz="0" w:space="0" w:color="auto"/>
        <w:bottom w:val="none" w:sz="0" w:space="0" w:color="auto"/>
        <w:right w:val="none" w:sz="0" w:space="0" w:color="auto"/>
      </w:divBdr>
    </w:div>
    <w:div w:id="668605713">
      <w:marLeft w:val="0"/>
      <w:marRight w:val="0"/>
      <w:marTop w:val="180"/>
      <w:marBottom w:val="180"/>
      <w:divBdr>
        <w:top w:val="none" w:sz="0" w:space="0" w:color="auto"/>
        <w:left w:val="none" w:sz="0" w:space="0" w:color="auto"/>
        <w:bottom w:val="none" w:sz="0" w:space="0" w:color="auto"/>
        <w:right w:val="none" w:sz="0" w:space="0" w:color="auto"/>
      </w:divBdr>
    </w:div>
    <w:div w:id="668749340">
      <w:marLeft w:val="0"/>
      <w:marRight w:val="0"/>
      <w:marTop w:val="180"/>
      <w:marBottom w:val="180"/>
      <w:divBdr>
        <w:top w:val="none" w:sz="0" w:space="0" w:color="auto"/>
        <w:left w:val="none" w:sz="0" w:space="0" w:color="auto"/>
        <w:bottom w:val="none" w:sz="0" w:space="0" w:color="auto"/>
        <w:right w:val="none" w:sz="0" w:space="0" w:color="auto"/>
      </w:divBdr>
    </w:div>
    <w:div w:id="670841668">
      <w:marLeft w:val="0"/>
      <w:marRight w:val="0"/>
      <w:marTop w:val="180"/>
      <w:marBottom w:val="180"/>
      <w:divBdr>
        <w:top w:val="none" w:sz="0" w:space="0" w:color="auto"/>
        <w:left w:val="none" w:sz="0" w:space="0" w:color="auto"/>
        <w:bottom w:val="none" w:sz="0" w:space="0" w:color="auto"/>
        <w:right w:val="none" w:sz="0" w:space="0" w:color="auto"/>
      </w:divBdr>
    </w:div>
    <w:div w:id="671565700">
      <w:marLeft w:val="0"/>
      <w:marRight w:val="0"/>
      <w:marTop w:val="0"/>
      <w:marBottom w:val="15"/>
      <w:divBdr>
        <w:top w:val="none" w:sz="0" w:space="0" w:color="auto"/>
        <w:left w:val="none" w:sz="0" w:space="0" w:color="auto"/>
        <w:bottom w:val="none" w:sz="0" w:space="0" w:color="auto"/>
        <w:right w:val="none" w:sz="0" w:space="0" w:color="auto"/>
      </w:divBdr>
    </w:div>
    <w:div w:id="674651021">
      <w:marLeft w:val="0"/>
      <w:marRight w:val="0"/>
      <w:marTop w:val="60"/>
      <w:marBottom w:val="60"/>
      <w:divBdr>
        <w:top w:val="none" w:sz="0" w:space="0" w:color="auto"/>
        <w:left w:val="none" w:sz="0" w:space="0" w:color="auto"/>
        <w:bottom w:val="none" w:sz="0" w:space="0" w:color="auto"/>
        <w:right w:val="none" w:sz="0" w:space="0" w:color="auto"/>
      </w:divBdr>
    </w:div>
    <w:div w:id="675234072">
      <w:marLeft w:val="0"/>
      <w:marRight w:val="0"/>
      <w:marTop w:val="0"/>
      <w:marBottom w:val="0"/>
      <w:divBdr>
        <w:top w:val="none" w:sz="0" w:space="0" w:color="auto"/>
        <w:left w:val="none" w:sz="0" w:space="0" w:color="auto"/>
        <w:bottom w:val="none" w:sz="0" w:space="0" w:color="auto"/>
        <w:right w:val="none" w:sz="0" w:space="0" w:color="auto"/>
      </w:divBdr>
      <w:divsChild>
        <w:div w:id="1465998574">
          <w:marLeft w:val="0"/>
          <w:marRight w:val="0"/>
          <w:marTop w:val="60"/>
          <w:marBottom w:val="60"/>
          <w:divBdr>
            <w:top w:val="none" w:sz="0" w:space="0" w:color="auto"/>
            <w:left w:val="none" w:sz="0" w:space="0" w:color="auto"/>
            <w:bottom w:val="none" w:sz="0" w:space="0" w:color="auto"/>
            <w:right w:val="none" w:sz="0" w:space="0" w:color="auto"/>
          </w:divBdr>
        </w:div>
      </w:divsChild>
    </w:div>
    <w:div w:id="675305331">
      <w:marLeft w:val="0"/>
      <w:marRight w:val="0"/>
      <w:marTop w:val="180"/>
      <w:marBottom w:val="180"/>
      <w:divBdr>
        <w:top w:val="none" w:sz="0" w:space="0" w:color="auto"/>
        <w:left w:val="none" w:sz="0" w:space="0" w:color="auto"/>
        <w:bottom w:val="none" w:sz="0" w:space="0" w:color="auto"/>
        <w:right w:val="none" w:sz="0" w:space="0" w:color="auto"/>
      </w:divBdr>
    </w:div>
    <w:div w:id="677268335">
      <w:marLeft w:val="0"/>
      <w:marRight w:val="0"/>
      <w:marTop w:val="180"/>
      <w:marBottom w:val="180"/>
      <w:divBdr>
        <w:top w:val="none" w:sz="0" w:space="0" w:color="auto"/>
        <w:left w:val="none" w:sz="0" w:space="0" w:color="auto"/>
        <w:bottom w:val="none" w:sz="0" w:space="0" w:color="auto"/>
        <w:right w:val="none" w:sz="0" w:space="0" w:color="auto"/>
      </w:divBdr>
    </w:div>
    <w:div w:id="680012764">
      <w:marLeft w:val="0"/>
      <w:marRight w:val="0"/>
      <w:marTop w:val="60"/>
      <w:marBottom w:val="60"/>
      <w:divBdr>
        <w:top w:val="none" w:sz="0" w:space="0" w:color="auto"/>
        <w:left w:val="none" w:sz="0" w:space="0" w:color="auto"/>
        <w:bottom w:val="none" w:sz="0" w:space="0" w:color="auto"/>
        <w:right w:val="none" w:sz="0" w:space="0" w:color="auto"/>
      </w:divBdr>
    </w:div>
    <w:div w:id="680593605">
      <w:marLeft w:val="0"/>
      <w:marRight w:val="0"/>
      <w:marTop w:val="100"/>
      <w:marBottom w:val="0"/>
      <w:divBdr>
        <w:top w:val="none" w:sz="0" w:space="0" w:color="auto"/>
        <w:left w:val="none" w:sz="0" w:space="0" w:color="auto"/>
        <w:bottom w:val="none" w:sz="0" w:space="0" w:color="auto"/>
        <w:right w:val="none" w:sz="0" w:space="0" w:color="auto"/>
      </w:divBdr>
      <w:divsChild>
        <w:div w:id="1884319918">
          <w:marLeft w:val="0"/>
          <w:marRight w:val="0"/>
          <w:marTop w:val="0"/>
          <w:marBottom w:val="0"/>
          <w:divBdr>
            <w:top w:val="none" w:sz="0" w:space="0" w:color="auto"/>
            <w:left w:val="none" w:sz="0" w:space="0" w:color="auto"/>
            <w:bottom w:val="none" w:sz="0" w:space="0" w:color="auto"/>
            <w:right w:val="none" w:sz="0" w:space="0" w:color="auto"/>
          </w:divBdr>
        </w:div>
      </w:divsChild>
    </w:div>
    <w:div w:id="681199200">
      <w:marLeft w:val="0"/>
      <w:marRight w:val="0"/>
      <w:marTop w:val="180"/>
      <w:marBottom w:val="180"/>
      <w:divBdr>
        <w:top w:val="none" w:sz="0" w:space="0" w:color="auto"/>
        <w:left w:val="none" w:sz="0" w:space="0" w:color="auto"/>
        <w:bottom w:val="none" w:sz="0" w:space="0" w:color="auto"/>
        <w:right w:val="none" w:sz="0" w:space="0" w:color="auto"/>
      </w:divBdr>
    </w:div>
    <w:div w:id="682242811">
      <w:marLeft w:val="0"/>
      <w:marRight w:val="0"/>
      <w:marTop w:val="0"/>
      <w:marBottom w:val="0"/>
      <w:divBdr>
        <w:top w:val="none" w:sz="0" w:space="0" w:color="auto"/>
        <w:left w:val="none" w:sz="0" w:space="0" w:color="auto"/>
        <w:bottom w:val="none" w:sz="0" w:space="0" w:color="auto"/>
        <w:right w:val="none" w:sz="0" w:space="0" w:color="auto"/>
      </w:divBdr>
      <w:divsChild>
        <w:div w:id="1833177617">
          <w:marLeft w:val="0"/>
          <w:marRight w:val="0"/>
          <w:marTop w:val="60"/>
          <w:marBottom w:val="60"/>
          <w:divBdr>
            <w:top w:val="none" w:sz="0" w:space="0" w:color="auto"/>
            <w:left w:val="none" w:sz="0" w:space="0" w:color="auto"/>
            <w:bottom w:val="none" w:sz="0" w:space="0" w:color="auto"/>
            <w:right w:val="none" w:sz="0" w:space="0" w:color="auto"/>
          </w:divBdr>
        </w:div>
      </w:divsChild>
    </w:div>
    <w:div w:id="683441467">
      <w:marLeft w:val="0"/>
      <w:marRight w:val="0"/>
      <w:marTop w:val="180"/>
      <w:marBottom w:val="180"/>
      <w:divBdr>
        <w:top w:val="none" w:sz="0" w:space="0" w:color="auto"/>
        <w:left w:val="none" w:sz="0" w:space="0" w:color="auto"/>
        <w:bottom w:val="none" w:sz="0" w:space="0" w:color="auto"/>
        <w:right w:val="none" w:sz="0" w:space="0" w:color="auto"/>
      </w:divBdr>
    </w:div>
    <w:div w:id="684092548">
      <w:marLeft w:val="0"/>
      <w:marRight w:val="0"/>
      <w:marTop w:val="60"/>
      <w:marBottom w:val="60"/>
      <w:divBdr>
        <w:top w:val="none" w:sz="0" w:space="0" w:color="auto"/>
        <w:left w:val="none" w:sz="0" w:space="0" w:color="auto"/>
        <w:bottom w:val="none" w:sz="0" w:space="0" w:color="auto"/>
        <w:right w:val="none" w:sz="0" w:space="0" w:color="auto"/>
      </w:divBdr>
    </w:div>
    <w:div w:id="685794632">
      <w:marLeft w:val="0"/>
      <w:marRight w:val="0"/>
      <w:marTop w:val="180"/>
      <w:marBottom w:val="60"/>
      <w:divBdr>
        <w:top w:val="none" w:sz="0" w:space="0" w:color="auto"/>
        <w:left w:val="none" w:sz="0" w:space="0" w:color="auto"/>
        <w:bottom w:val="none" w:sz="0" w:space="0" w:color="auto"/>
        <w:right w:val="none" w:sz="0" w:space="0" w:color="auto"/>
      </w:divBdr>
    </w:div>
    <w:div w:id="688334871">
      <w:marLeft w:val="0"/>
      <w:marRight w:val="0"/>
      <w:marTop w:val="180"/>
      <w:marBottom w:val="180"/>
      <w:divBdr>
        <w:top w:val="none" w:sz="0" w:space="0" w:color="auto"/>
        <w:left w:val="none" w:sz="0" w:space="0" w:color="auto"/>
        <w:bottom w:val="none" w:sz="0" w:space="0" w:color="auto"/>
        <w:right w:val="none" w:sz="0" w:space="0" w:color="auto"/>
      </w:divBdr>
    </w:div>
    <w:div w:id="689530772">
      <w:marLeft w:val="0"/>
      <w:marRight w:val="0"/>
      <w:marTop w:val="0"/>
      <w:marBottom w:val="0"/>
      <w:divBdr>
        <w:top w:val="none" w:sz="0" w:space="0" w:color="auto"/>
        <w:left w:val="none" w:sz="0" w:space="0" w:color="auto"/>
        <w:bottom w:val="none" w:sz="0" w:space="0" w:color="auto"/>
        <w:right w:val="none" w:sz="0" w:space="0" w:color="auto"/>
      </w:divBdr>
    </w:div>
    <w:div w:id="690692389">
      <w:marLeft w:val="0"/>
      <w:marRight w:val="0"/>
      <w:marTop w:val="180"/>
      <w:marBottom w:val="180"/>
      <w:divBdr>
        <w:top w:val="none" w:sz="0" w:space="0" w:color="auto"/>
        <w:left w:val="none" w:sz="0" w:space="0" w:color="auto"/>
        <w:bottom w:val="none" w:sz="0" w:space="0" w:color="auto"/>
        <w:right w:val="none" w:sz="0" w:space="0" w:color="auto"/>
      </w:divBdr>
    </w:div>
    <w:div w:id="691495059">
      <w:marLeft w:val="0"/>
      <w:marRight w:val="0"/>
      <w:marTop w:val="100"/>
      <w:marBottom w:val="0"/>
      <w:divBdr>
        <w:top w:val="none" w:sz="0" w:space="0" w:color="auto"/>
        <w:left w:val="none" w:sz="0" w:space="0" w:color="auto"/>
        <w:bottom w:val="none" w:sz="0" w:space="0" w:color="auto"/>
        <w:right w:val="none" w:sz="0" w:space="0" w:color="auto"/>
      </w:divBdr>
      <w:divsChild>
        <w:div w:id="929892554">
          <w:marLeft w:val="0"/>
          <w:marRight w:val="0"/>
          <w:marTop w:val="0"/>
          <w:marBottom w:val="0"/>
          <w:divBdr>
            <w:top w:val="none" w:sz="0" w:space="0" w:color="auto"/>
            <w:left w:val="none" w:sz="0" w:space="0" w:color="auto"/>
            <w:bottom w:val="none" w:sz="0" w:space="0" w:color="auto"/>
            <w:right w:val="none" w:sz="0" w:space="0" w:color="auto"/>
          </w:divBdr>
        </w:div>
      </w:divsChild>
    </w:div>
    <w:div w:id="694815579">
      <w:marLeft w:val="0"/>
      <w:marRight w:val="0"/>
      <w:marTop w:val="180"/>
      <w:marBottom w:val="180"/>
      <w:divBdr>
        <w:top w:val="none" w:sz="0" w:space="0" w:color="auto"/>
        <w:left w:val="none" w:sz="0" w:space="0" w:color="auto"/>
        <w:bottom w:val="none" w:sz="0" w:space="0" w:color="auto"/>
        <w:right w:val="none" w:sz="0" w:space="0" w:color="auto"/>
      </w:divBdr>
    </w:div>
    <w:div w:id="695157102">
      <w:marLeft w:val="0"/>
      <w:marRight w:val="0"/>
      <w:marTop w:val="0"/>
      <w:marBottom w:val="0"/>
      <w:divBdr>
        <w:top w:val="none" w:sz="0" w:space="0" w:color="auto"/>
        <w:left w:val="none" w:sz="0" w:space="0" w:color="auto"/>
        <w:bottom w:val="none" w:sz="0" w:space="0" w:color="auto"/>
        <w:right w:val="none" w:sz="0" w:space="0" w:color="auto"/>
      </w:divBdr>
      <w:divsChild>
        <w:div w:id="28265328">
          <w:marLeft w:val="0"/>
          <w:marRight w:val="0"/>
          <w:marTop w:val="0"/>
          <w:marBottom w:val="0"/>
          <w:divBdr>
            <w:top w:val="none" w:sz="0" w:space="0" w:color="auto"/>
            <w:left w:val="none" w:sz="0" w:space="0" w:color="auto"/>
            <w:bottom w:val="none" w:sz="0" w:space="0" w:color="auto"/>
            <w:right w:val="none" w:sz="0" w:space="0" w:color="auto"/>
          </w:divBdr>
          <w:divsChild>
            <w:div w:id="8333787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05985081">
      <w:marLeft w:val="0"/>
      <w:marRight w:val="0"/>
      <w:marTop w:val="180"/>
      <w:marBottom w:val="180"/>
      <w:divBdr>
        <w:top w:val="none" w:sz="0" w:space="0" w:color="auto"/>
        <w:left w:val="none" w:sz="0" w:space="0" w:color="auto"/>
        <w:bottom w:val="none" w:sz="0" w:space="0" w:color="auto"/>
        <w:right w:val="none" w:sz="0" w:space="0" w:color="auto"/>
      </w:divBdr>
    </w:div>
    <w:div w:id="706755649">
      <w:marLeft w:val="0"/>
      <w:marRight w:val="0"/>
      <w:marTop w:val="0"/>
      <w:marBottom w:val="0"/>
      <w:divBdr>
        <w:top w:val="none" w:sz="0" w:space="0" w:color="auto"/>
        <w:left w:val="none" w:sz="0" w:space="0" w:color="auto"/>
        <w:bottom w:val="none" w:sz="0" w:space="0" w:color="auto"/>
        <w:right w:val="none" w:sz="0" w:space="0" w:color="auto"/>
      </w:divBdr>
      <w:divsChild>
        <w:div w:id="1496065184">
          <w:marLeft w:val="0"/>
          <w:marRight w:val="0"/>
          <w:marTop w:val="60"/>
          <w:marBottom w:val="60"/>
          <w:divBdr>
            <w:top w:val="none" w:sz="0" w:space="0" w:color="auto"/>
            <w:left w:val="none" w:sz="0" w:space="0" w:color="auto"/>
            <w:bottom w:val="none" w:sz="0" w:space="0" w:color="auto"/>
            <w:right w:val="none" w:sz="0" w:space="0" w:color="auto"/>
          </w:divBdr>
        </w:div>
      </w:divsChild>
    </w:div>
    <w:div w:id="706876163">
      <w:marLeft w:val="0"/>
      <w:marRight w:val="0"/>
      <w:marTop w:val="180"/>
      <w:marBottom w:val="180"/>
      <w:divBdr>
        <w:top w:val="none" w:sz="0" w:space="0" w:color="auto"/>
        <w:left w:val="none" w:sz="0" w:space="0" w:color="auto"/>
        <w:bottom w:val="none" w:sz="0" w:space="0" w:color="auto"/>
        <w:right w:val="none" w:sz="0" w:space="0" w:color="auto"/>
      </w:divBdr>
    </w:div>
    <w:div w:id="707680101">
      <w:marLeft w:val="0"/>
      <w:marRight w:val="0"/>
      <w:marTop w:val="0"/>
      <w:marBottom w:val="0"/>
      <w:divBdr>
        <w:top w:val="none" w:sz="0" w:space="0" w:color="auto"/>
        <w:left w:val="none" w:sz="0" w:space="0" w:color="auto"/>
        <w:bottom w:val="none" w:sz="0" w:space="0" w:color="auto"/>
        <w:right w:val="none" w:sz="0" w:space="0" w:color="auto"/>
      </w:divBdr>
      <w:divsChild>
        <w:div w:id="1037656155">
          <w:marLeft w:val="0"/>
          <w:marRight w:val="0"/>
          <w:marTop w:val="0"/>
          <w:marBottom w:val="0"/>
          <w:divBdr>
            <w:top w:val="none" w:sz="0" w:space="0" w:color="auto"/>
            <w:left w:val="none" w:sz="0" w:space="0" w:color="auto"/>
            <w:bottom w:val="none" w:sz="0" w:space="0" w:color="auto"/>
            <w:right w:val="none" w:sz="0" w:space="0" w:color="auto"/>
          </w:divBdr>
          <w:divsChild>
            <w:div w:id="76036934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07994797">
      <w:marLeft w:val="0"/>
      <w:marRight w:val="0"/>
      <w:marTop w:val="180"/>
      <w:marBottom w:val="180"/>
      <w:divBdr>
        <w:top w:val="none" w:sz="0" w:space="0" w:color="auto"/>
        <w:left w:val="none" w:sz="0" w:space="0" w:color="auto"/>
        <w:bottom w:val="none" w:sz="0" w:space="0" w:color="auto"/>
        <w:right w:val="none" w:sz="0" w:space="0" w:color="auto"/>
      </w:divBdr>
    </w:div>
    <w:div w:id="712732520">
      <w:marLeft w:val="0"/>
      <w:marRight w:val="0"/>
      <w:marTop w:val="60"/>
      <w:marBottom w:val="60"/>
      <w:divBdr>
        <w:top w:val="none" w:sz="0" w:space="0" w:color="auto"/>
        <w:left w:val="none" w:sz="0" w:space="0" w:color="auto"/>
        <w:bottom w:val="none" w:sz="0" w:space="0" w:color="auto"/>
        <w:right w:val="none" w:sz="0" w:space="0" w:color="auto"/>
      </w:divBdr>
    </w:div>
    <w:div w:id="714086520">
      <w:marLeft w:val="0"/>
      <w:marRight w:val="0"/>
      <w:marTop w:val="100"/>
      <w:marBottom w:val="0"/>
      <w:divBdr>
        <w:top w:val="none" w:sz="0" w:space="0" w:color="auto"/>
        <w:left w:val="none" w:sz="0" w:space="0" w:color="auto"/>
        <w:bottom w:val="none" w:sz="0" w:space="0" w:color="auto"/>
        <w:right w:val="none" w:sz="0" w:space="0" w:color="auto"/>
      </w:divBdr>
      <w:divsChild>
        <w:div w:id="431164378">
          <w:marLeft w:val="0"/>
          <w:marRight w:val="0"/>
          <w:marTop w:val="0"/>
          <w:marBottom w:val="0"/>
          <w:divBdr>
            <w:top w:val="none" w:sz="0" w:space="0" w:color="auto"/>
            <w:left w:val="none" w:sz="0" w:space="0" w:color="auto"/>
            <w:bottom w:val="none" w:sz="0" w:space="0" w:color="auto"/>
            <w:right w:val="none" w:sz="0" w:space="0" w:color="auto"/>
          </w:divBdr>
        </w:div>
        <w:div w:id="1168715003">
          <w:marLeft w:val="0"/>
          <w:marRight w:val="0"/>
          <w:marTop w:val="0"/>
          <w:marBottom w:val="0"/>
          <w:divBdr>
            <w:top w:val="none" w:sz="0" w:space="0" w:color="auto"/>
            <w:left w:val="none" w:sz="0" w:space="0" w:color="auto"/>
            <w:bottom w:val="none" w:sz="0" w:space="0" w:color="auto"/>
            <w:right w:val="none" w:sz="0" w:space="0" w:color="auto"/>
          </w:divBdr>
        </w:div>
      </w:divsChild>
    </w:div>
    <w:div w:id="718089453">
      <w:marLeft w:val="0"/>
      <w:marRight w:val="0"/>
      <w:marTop w:val="180"/>
      <w:marBottom w:val="180"/>
      <w:divBdr>
        <w:top w:val="none" w:sz="0" w:space="0" w:color="auto"/>
        <w:left w:val="none" w:sz="0" w:space="0" w:color="auto"/>
        <w:bottom w:val="none" w:sz="0" w:space="0" w:color="auto"/>
        <w:right w:val="none" w:sz="0" w:space="0" w:color="auto"/>
      </w:divBdr>
    </w:div>
    <w:div w:id="720596549">
      <w:marLeft w:val="0"/>
      <w:marRight w:val="0"/>
      <w:marTop w:val="180"/>
      <w:marBottom w:val="180"/>
      <w:divBdr>
        <w:top w:val="none" w:sz="0" w:space="0" w:color="auto"/>
        <w:left w:val="none" w:sz="0" w:space="0" w:color="auto"/>
        <w:bottom w:val="none" w:sz="0" w:space="0" w:color="auto"/>
        <w:right w:val="none" w:sz="0" w:space="0" w:color="auto"/>
      </w:divBdr>
    </w:div>
    <w:div w:id="724959732">
      <w:marLeft w:val="0"/>
      <w:marRight w:val="0"/>
      <w:marTop w:val="180"/>
      <w:marBottom w:val="180"/>
      <w:divBdr>
        <w:top w:val="none" w:sz="0" w:space="0" w:color="auto"/>
        <w:left w:val="none" w:sz="0" w:space="0" w:color="auto"/>
        <w:bottom w:val="none" w:sz="0" w:space="0" w:color="auto"/>
        <w:right w:val="none" w:sz="0" w:space="0" w:color="auto"/>
      </w:divBdr>
    </w:div>
    <w:div w:id="726146238">
      <w:marLeft w:val="0"/>
      <w:marRight w:val="0"/>
      <w:marTop w:val="60"/>
      <w:marBottom w:val="60"/>
      <w:divBdr>
        <w:top w:val="none" w:sz="0" w:space="0" w:color="auto"/>
        <w:left w:val="none" w:sz="0" w:space="0" w:color="auto"/>
        <w:bottom w:val="none" w:sz="0" w:space="0" w:color="auto"/>
        <w:right w:val="none" w:sz="0" w:space="0" w:color="auto"/>
      </w:divBdr>
    </w:div>
    <w:div w:id="726534501">
      <w:marLeft w:val="0"/>
      <w:marRight w:val="0"/>
      <w:marTop w:val="180"/>
      <w:marBottom w:val="180"/>
      <w:divBdr>
        <w:top w:val="none" w:sz="0" w:space="0" w:color="auto"/>
        <w:left w:val="none" w:sz="0" w:space="0" w:color="auto"/>
        <w:bottom w:val="none" w:sz="0" w:space="0" w:color="auto"/>
        <w:right w:val="none" w:sz="0" w:space="0" w:color="auto"/>
      </w:divBdr>
    </w:div>
    <w:div w:id="726606567">
      <w:marLeft w:val="0"/>
      <w:marRight w:val="0"/>
      <w:marTop w:val="180"/>
      <w:marBottom w:val="180"/>
      <w:divBdr>
        <w:top w:val="none" w:sz="0" w:space="0" w:color="auto"/>
        <w:left w:val="none" w:sz="0" w:space="0" w:color="auto"/>
        <w:bottom w:val="none" w:sz="0" w:space="0" w:color="auto"/>
        <w:right w:val="none" w:sz="0" w:space="0" w:color="auto"/>
      </w:divBdr>
    </w:div>
    <w:div w:id="726685467">
      <w:marLeft w:val="0"/>
      <w:marRight w:val="0"/>
      <w:marTop w:val="180"/>
      <w:marBottom w:val="60"/>
      <w:divBdr>
        <w:top w:val="none" w:sz="0" w:space="0" w:color="auto"/>
        <w:left w:val="none" w:sz="0" w:space="0" w:color="auto"/>
        <w:bottom w:val="none" w:sz="0" w:space="0" w:color="auto"/>
        <w:right w:val="none" w:sz="0" w:space="0" w:color="auto"/>
      </w:divBdr>
    </w:div>
    <w:div w:id="727149290">
      <w:marLeft w:val="0"/>
      <w:marRight w:val="0"/>
      <w:marTop w:val="60"/>
      <w:marBottom w:val="0"/>
      <w:divBdr>
        <w:top w:val="none" w:sz="0" w:space="0" w:color="auto"/>
        <w:left w:val="none" w:sz="0" w:space="0" w:color="auto"/>
        <w:bottom w:val="none" w:sz="0" w:space="0" w:color="auto"/>
        <w:right w:val="none" w:sz="0" w:space="0" w:color="auto"/>
      </w:divBdr>
    </w:div>
    <w:div w:id="727647406">
      <w:marLeft w:val="0"/>
      <w:marRight w:val="0"/>
      <w:marTop w:val="180"/>
      <w:marBottom w:val="60"/>
      <w:divBdr>
        <w:top w:val="none" w:sz="0" w:space="0" w:color="auto"/>
        <w:left w:val="none" w:sz="0" w:space="0" w:color="auto"/>
        <w:bottom w:val="none" w:sz="0" w:space="0" w:color="auto"/>
        <w:right w:val="none" w:sz="0" w:space="0" w:color="auto"/>
      </w:divBdr>
      <w:divsChild>
        <w:div w:id="1634407643">
          <w:marLeft w:val="0"/>
          <w:marRight w:val="0"/>
          <w:marTop w:val="0"/>
          <w:marBottom w:val="0"/>
          <w:divBdr>
            <w:top w:val="none" w:sz="0" w:space="0" w:color="auto"/>
            <w:left w:val="none" w:sz="0" w:space="0" w:color="auto"/>
            <w:bottom w:val="none" w:sz="0" w:space="0" w:color="auto"/>
            <w:right w:val="none" w:sz="0" w:space="0" w:color="auto"/>
          </w:divBdr>
        </w:div>
      </w:divsChild>
    </w:div>
    <w:div w:id="728649945">
      <w:marLeft w:val="0"/>
      <w:marRight w:val="0"/>
      <w:marTop w:val="0"/>
      <w:marBottom w:val="0"/>
      <w:divBdr>
        <w:top w:val="none" w:sz="0" w:space="0" w:color="auto"/>
        <w:left w:val="none" w:sz="0" w:space="0" w:color="auto"/>
        <w:bottom w:val="none" w:sz="0" w:space="0" w:color="auto"/>
        <w:right w:val="none" w:sz="0" w:space="0" w:color="auto"/>
      </w:divBdr>
    </w:div>
    <w:div w:id="733427883">
      <w:marLeft w:val="0"/>
      <w:marRight w:val="0"/>
      <w:marTop w:val="180"/>
      <w:marBottom w:val="180"/>
      <w:divBdr>
        <w:top w:val="none" w:sz="0" w:space="0" w:color="auto"/>
        <w:left w:val="none" w:sz="0" w:space="0" w:color="auto"/>
        <w:bottom w:val="none" w:sz="0" w:space="0" w:color="auto"/>
        <w:right w:val="none" w:sz="0" w:space="0" w:color="auto"/>
      </w:divBdr>
    </w:div>
    <w:div w:id="734549070">
      <w:marLeft w:val="0"/>
      <w:marRight w:val="0"/>
      <w:marTop w:val="180"/>
      <w:marBottom w:val="180"/>
      <w:divBdr>
        <w:top w:val="none" w:sz="0" w:space="0" w:color="auto"/>
        <w:left w:val="none" w:sz="0" w:space="0" w:color="auto"/>
        <w:bottom w:val="none" w:sz="0" w:space="0" w:color="auto"/>
        <w:right w:val="none" w:sz="0" w:space="0" w:color="auto"/>
      </w:divBdr>
    </w:div>
    <w:div w:id="736780030">
      <w:marLeft w:val="0"/>
      <w:marRight w:val="0"/>
      <w:marTop w:val="180"/>
      <w:marBottom w:val="180"/>
      <w:divBdr>
        <w:top w:val="none" w:sz="0" w:space="0" w:color="auto"/>
        <w:left w:val="none" w:sz="0" w:space="0" w:color="auto"/>
        <w:bottom w:val="none" w:sz="0" w:space="0" w:color="auto"/>
        <w:right w:val="none" w:sz="0" w:space="0" w:color="auto"/>
      </w:divBdr>
    </w:div>
    <w:div w:id="739982431">
      <w:marLeft w:val="0"/>
      <w:marRight w:val="0"/>
      <w:marTop w:val="180"/>
      <w:marBottom w:val="180"/>
      <w:divBdr>
        <w:top w:val="none" w:sz="0" w:space="0" w:color="auto"/>
        <w:left w:val="none" w:sz="0" w:space="0" w:color="auto"/>
        <w:bottom w:val="none" w:sz="0" w:space="0" w:color="auto"/>
        <w:right w:val="none" w:sz="0" w:space="0" w:color="auto"/>
      </w:divBdr>
    </w:div>
    <w:div w:id="740326885">
      <w:marLeft w:val="0"/>
      <w:marRight w:val="0"/>
      <w:marTop w:val="60"/>
      <w:marBottom w:val="60"/>
      <w:divBdr>
        <w:top w:val="none" w:sz="0" w:space="0" w:color="auto"/>
        <w:left w:val="none" w:sz="0" w:space="0" w:color="auto"/>
        <w:bottom w:val="none" w:sz="0" w:space="0" w:color="auto"/>
        <w:right w:val="none" w:sz="0" w:space="0" w:color="auto"/>
      </w:divBdr>
    </w:div>
    <w:div w:id="742413308">
      <w:marLeft w:val="0"/>
      <w:marRight w:val="0"/>
      <w:marTop w:val="60"/>
      <w:marBottom w:val="60"/>
      <w:divBdr>
        <w:top w:val="none" w:sz="0" w:space="0" w:color="auto"/>
        <w:left w:val="none" w:sz="0" w:space="0" w:color="auto"/>
        <w:bottom w:val="none" w:sz="0" w:space="0" w:color="auto"/>
        <w:right w:val="none" w:sz="0" w:space="0" w:color="auto"/>
      </w:divBdr>
    </w:div>
    <w:div w:id="743454986">
      <w:marLeft w:val="0"/>
      <w:marRight w:val="0"/>
      <w:marTop w:val="60"/>
      <w:marBottom w:val="60"/>
      <w:divBdr>
        <w:top w:val="none" w:sz="0" w:space="0" w:color="auto"/>
        <w:left w:val="none" w:sz="0" w:space="0" w:color="auto"/>
        <w:bottom w:val="none" w:sz="0" w:space="0" w:color="auto"/>
        <w:right w:val="none" w:sz="0" w:space="0" w:color="auto"/>
      </w:divBdr>
    </w:div>
    <w:div w:id="743799941">
      <w:marLeft w:val="0"/>
      <w:marRight w:val="0"/>
      <w:marTop w:val="180"/>
      <w:marBottom w:val="180"/>
      <w:divBdr>
        <w:top w:val="none" w:sz="0" w:space="0" w:color="auto"/>
        <w:left w:val="none" w:sz="0" w:space="0" w:color="auto"/>
        <w:bottom w:val="none" w:sz="0" w:space="0" w:color="auto"/>
        <w:right w:val="none" w:sz="0" w:space="0" w:color="auto"/>
      </w:divBdr>
    </w:div>
    <w:div w:id="743991477">
      <w:marLeft w:val="0"/>
      <w:marRight w:val="0"/>
      <w:marTop w:val="100"/>
      <w:marBottom w:val="0"/>
      <w:divBdr>
        <w:top w:val="none" w:sz="0" w:space="0" w:color="auto"/>
        <w:left w:val="none" w:sz="0" w:space="0" w:color="auto"/>
        <w:bottom w:val="none" w:sz="0" w:space="0" w:color="auto"/>
        <w:right w:val="none" w:sz="0" w:space="0" w:color="auto"/>
      </w:divBdr>
      <w:divsChild>
        <w:div w:id="93674412">
          <w:marLeft w:val="0"/>
          <w:marRight w:val="0"/>
          <w:marTop w:val="0"/>
          <w:marBottom w:val="0"/>
          <w:divBdr>
            <w:top w:val="none" w:sz="0" w:space="0" w:color="auto"/>
            <w:left w:val="none" w:sz="0" w:space="0" w:color="auto"/>
            <w:bottom w:val="none" w:sz="0" w:space="0" w:color="auto"/>
            <w:right w:val="none" w:sz="0" w:space="0" w:color="auto"/>
          </w:divBdr>
        </w:div>
        <w:div w:id="1818112037">
          <w:marLeft w:val="0"/>
          <w:marRight w:val="0"/>
          <w:marTop w:val="0"/>
          <w:marBottom w:val="0"/>
          <w:divBdr>
            <w:top w:val="none" w:sz="0" w:space="0" w:color="auto"/>
            <w:left w:val="none" w:sz="0" w:space="0" w:color="auto"/>
            <w:bottom w:val="none" w:sz="0" w:space="0" w:color="auto"/>
            <w:right w:val="none" w:sz="0" w:space="0" w:color="auto"/>
          </w:divBdr>
        </w:div>
      </w:divsChild>
    </w:div>
    <w:div w:id="745346795">
      <w:marLeft w:val="0"/>
      <w:marRight w:val="0"/>
      <w:marTop w:val="180"/>
      <w:marBottom w:val="180"/>
      <w:divBdr>
        <w:top w:val="none" w:sz="0" w:space="0" w:color="auto"/>
        <w:left w:val="none" w:sz="0" w:space="0" w:color="auto"/>
        <w:bottom w:val="none" w:sz="0" w:space="0" w:color="auto"/>
        <w:right w:val="none" w:sz="0" w:space="0" w:color="auto"/>
      </w:divBdr>
    </w:div>
    <w:div w:id="746273035">
      <w:marLeft w:val="0"/>
      <w:marRight w:val="0"/>
      <w:marTop w:val="60"/>
      <w:marBottom w:val="60"/>
      <w:divBdr>
        <w:top w:val="none" w:sz="0" w:space="0" w:color="auto"/>
        <w:left w:val="none" w:sz="0" w:space="0" w:color="auto"/>
        <w:bottom w:val="none" w:sz="0" w:space="0" w:color="auto"/>
        <w:right w:val="none" w:sz="0" w:space="0" w:color="auto"/>
      </w:divBdr>
    </w:div>
    <w:div w:id="746422075">
      <w:marLeft w:val="0"/>
      <w:marRight w:val="0"/>
      <w:marTop w:val="0"/>
      <w:marBottom w:val="0"/>
      <w:divBdr>
        <w:top w:val="none" w:sz="0" w:space="0" w:color="auto"/>
        <w:left w:val="none" w:sz="0" w:space="0" w:color="auto"/>
        <w:bottom w:val="none" w:sz="0" w:space="0" w:color="auto"/>
        <w:right w:val="none" w:sz="0" w:space="0" w:color="auto"/>
      </w:divBdr>
      <w:divsChild>
        <w:div w:id="1505319306">
          <w:marLeft w:val="0"/>
          <w:marRight w:val="0"/>
          <w:marTop w:val="0"/>
          <w:marBottom w:val="0"/>
          <w:divBdr>
            <w:top w:val="none" w:sz="0" w:space="0" w:color="auto"/>
            <w:left w:val="none" w:sz="0" w:space="0" w:color="auto"/>
            <w:bottom w:val="none" w:sz="0" w:space="0" w:color="auto"/>
            <w:right w:val="none" w:sz="0" w:space="0" w:color="auto"/>
          </w:divBdr>
          <w:divsChild>
            <w:div w:id="76048649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47309000">
      <w:marLeft w:val="0"/>
      <w:marRight w:val="0"/>
      <w:marTop w:val="180"/>
      <w:marBottom w:val="180"/>
      <w:divBdr>
        <w:top w:val="none" w:sz="0" w:space="0" w:color="auto"/>
        <w:left w:val="none" w:sz="0" w:space="0" w:color="auto"/>
        <w:bottom w:val="none" w:sz="0" w:space="0" w:color="auto"/>
        <w:right w:val="none" w:sz="0" w:space="0" w:color="auto"/>
      </w:divBdr>
    </w:div>
    <w:div w:id="748385333">
      <w:marLeft w:val="0"/>
      <w:marRight w:val="0"/>
      <w:marTop w:val="180"/>
      <w:marBottom w:val="180"/>
      <w:divBdr>
        <w:top w:val="none" w:sz="0" w:space="0" w:color="auto"/>
        <w:left w:val="none" w:sz="0" w:space="0" w:color="auto"/>
        <w:bottom w:val="none" w:sz="0" w:space="0" w:color="auto"/>
        <w:right w:val="none" w:sz="0" w:space="0" w:color="auto"/>
      </w:divBdr>
    </w:div>
    <w:div w:id="755440274">
      <w:marLeft w:val="0"/>
      <w:marRight w:val="0"/>
      <w:marTop w:val="60"/>
      <w:marBottom w:val="60"/>
      <w:divBdr>
        <w:top w:val="none" w:sz="0" w:space="0" w:color="auto"/>
        <w:left w:val="none" w:sz="0" w:space="0" w:color="auto"/>
        <w:bottom w:val="none" w:sz="0" w:space="0" w:color="auto"/>
        <w:right w:val="none" w:sz="0" w:space="0" w:color="auto"/>
      </w:divBdr>
    </w:div>
    <w:div w:id="756440289">
      <w:marLeft w:val="0"/>
      <w:marRight w:val="0"/>
      <w:marTop w:val="0"/>
      <w:marBottom w:val="0"/>
      <w:divBdr>
        <w:top w:val="none" w:sz="0" w:space="0" w:color="auto"/>
        <w:left w:val="none" w:sz="0" w:space="0" w:color="auto"/>
        <w:bottom w:val="none" w:sz="0" w:space="0" w:color="auto"/>
        <w:right w:val="none" w:sz="0" w:space="0" w:color="auto"/>
      </w:divBdr>
      <w:divsChild>
        <w:div w:id="1930694004">
          <w:marLeft w:val="0"/>
          <w:marRight w:val="0"/>
          <w:marTop w:val="0"/>
          <w:marBottom w:val="0"/>
          <w:divBdr>
            <w:top w:val="none" w:sz="0" w:space="0" w:color="auto"/>
            <w:left w:val="none" w:sz="0" w:space="0" w:color="auto"/>
            <w:bottom w:val="none" w:sz="0" w:space="0" w:color="auto"/>
            <w:right w:val="none" w:sz="0" w:space="0" w:color="auto"/>
          </w:divBdr>
          <w:divsChild>
            <w:div w:id="156548366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59526919">
      <w:marLeft w:val="0"/>
      <w:marRight w:val="0"/>
      <w:marTop w:val="180"/>
      <w:marBottom w:val="180"/>
      <w:divBdr>
        <w:top w:val="none" w:sz="0" w:space="0" w:color="auto"/>
        <w:left w:val="none" w:sz="0" w:space="0" w:color="auto"/>
        <w:bottom w:val="none" w:sz="0" w:space="0" w:color="auto"/>
        <w:right w:val="none" w:sz="0" w:space="0" w:color="auto"/>
      </w:divBdr>
    </w:div>
    <w:div w:id="766771303">
      <w:marLeft w:val="0"/>
      <w:marRight w:val="0"/>
      <w:marTop w:val="180"/>
      <w:marBottom w:val="180"/>
      <w:divBdr>
        <w:top w:val="none" w:sz="0" w:space="0" w:color="auto"/>
        <w:left w:val="none" w:sz="0" w:space="0" w:color="auto"/>
        <w:bottom w:val="none" w:sz="0" w:space="0" w:color="auto"/>
        <w:right w:val="none" w:sz="0" w:space="0" w:color="auto"/>
      </w:divBdr>
    </w:div>
    <w:div w:id="769813943">
      <w:marLeft w:val="0"/>
      <w:marRight w:val="0"/>
      <w:marTop w:val="60"/>
      <w:marBottom w:val="60"/>
      <w:divBdr>
        <w:top w:val="none" w:sz="0" w:space="0" w:color="auto"/>
        <w:left w:val="none" w:sz="0" w:space="0" w:color="auto"/>
        <w:bottom w:val="none" w:sz="0" w:space="0" w:color="auto"/>
        <w:right w:val="none" w:sz="0" w:space="0" w:color="auto"/>
      </w:divBdr>
    </w:div>
    <w:div w:id="769933027">
      <w:marLeft w:val="0"/>
      <w:marRight w:val="0"/>
      <w:marTop w:val="0"/>
      <w:marBottom w:val="0"/>
      <w:divBdr>
        <w:top w:val="none" w:sz="0" w:space="0" w:color="auto"/>
        <w:left w:val="none" w:sz="0" w:space="0" w:color="auto"/>
        <w:bottom w:val="none" w:sz="0" w:space="0" w:color="auto"/>
        <w:right w:val="none" w:sz="0" w:space="0" w:color="auto"/>
      </w:divBdr>
      <w:divsChild>
        <w:div w:id="1323775444">
          <w:marLeft w:val="0"/>
          <w:marRight w:val="0"/>
          <w:marTop w:val="60"/>
          <w:marBottom w:val="60"/>
          <w:divBdr>
            <w:top w:val="none" w:sz="0" w:space="0" w:color="auto"/>
            <w:left w:val="none" w:sz="0" w:space="0" w:color="auto"/>
            <w:bottom w:val="none" w:sz="0" w:space="0" w:color="auto"/>
            <w:right w:val="none" w:sz="0" w:space="0" w:color="auto"/>
          </w:divBdr>
        </w:div>
      </w:divsChild>
    </w:div>
    <w:div w:id="774209436">
      <w:marLeft w:val="0"/>
      <w:marRight w:val="0"/>
      <w:marTop w:val="180"/>
      <w:marBottom w:val="180"/>
      <w:divBdr>
        <w:top w:val="none" w:sz="0" w:space="0" w:color="auto"/>
        <w:left w:val="none" w:sz="0" w:space="0" w:color="auto"/>
        <w:bottom w:val="none" w:sz="0" w:space="0" w:color="auto"/>
        <w:right w:val="none" w:sz="0" w:space="0" w:color="auto"/>
      </w:divBdr>
    </w:div>
    <w:div w:id="776606051">
      <w:marLeft w:val="0"/>
      <w:marRight w:val="0"/>
      <w:marTop w:val="180"/>
      <w:marBottom w:val="60"/>
      <w:divBdr>
        <w:top w:val="none" w:sz="0" w:space="0" w:color="auto"/>
        <w:left w:val="none" w:sz="0" w:space="0" w:color="auto"/>
        <w:bottom w:val="none" w:sz="0" w:space="0" w:color="auto"/>
        <w:right w:val="none" w:sz="0" w:space="0" w:color="auto"/>
      </w:divBdr>
      <w:divsChild>
        <w:div w:id="1202934636">
          <w:marLeft w:val="0"/>
          <w:marRight w:val="0"/>
          <w:marTop w:val="0"/>
          <w:marBottom w:val="0"/>
          <w:divBdr>
            <w:top w:val="none" w:sz="0" w:space="0" w:color="auto"/>
            <w:left w:val="none" w:sz="0" w:space="0" w:color="auto"/>
            <w:bottom w:val="none" w:sz="0" w:space="0" w:color="auto"/>
            <w:right w:val="none" w:sz="0" w:space="0" w:color="auto"/>
          </w:divBdr>
        </w:div>
        <w:div w:id="2120752778">
          <w:marLeft w:val="0"/>
          <w:marRight w:val="0"/>
          <w:marTop w:val="0"/>
          <w:marBottom w:val="0"/>
          <w:divBdr>
            <w:top w:val="none" w:sz="0" w:space="0" w:color="auto"/>
            <w:left w:val="none" w:sz="0" w:space="0" w:color="auto"/>
            <w:bottom w:val="none" w:sz="0" w:space="0" w:color="auto"/>
            <w:right w:val="none" w:sz="0" w:space="0" w:color="auto"/>
          </w:divBdr>
        </w:div>
        <w:div w:id="442921014">
          <w:marLeft w:val="0"/>
          <w:marRight w:val="0"/>
          <w:marTop w:val="0"/>
          <w:marBottom w:val="0"/>
          <w:divBdr>
            <w:top w:val="none" w:sz="0" w:space="0" w:color="auto"/>
            <w:left w:val="none" w:sz="0" w:space="0" w:color="auto"/>
            <w:bottom w:val="none" w:sz="0" w:space="0" w:color="auto"/>
            <w:right w:val="none" w:sz="0" w:space="0" w:color="auto"/>
          </w:divBdr>
        </w:div>
        <w:div w:id="1950969255">
          <w:marLeft w:val="0"/>
          <w:marRight w:val="0"/>
          <w:marTop w:val="0"/>
          <w:marBottom w:val="0"/>
          <w:divBdr>
            <w:top w:val="none" w:sz="0" w:space="0" w:color="auto"/>
            <w:left w:val="none" w:sz="0" w:space="0" w:color="auto"/>
            <w:bottom w:val="none" w:sz="0" w:space="0" w:color="auto"/>
            <w:right w:val="none" w:sz="0" w:space="0" w:color="auto"/>
          </w:divBdr>
        </w:div>
        <w:div w:id="1198200610">
          <w:marLeft w:val="0"/>
          <w:marRight w:val="0"/>
          <w:marTop w:val="0"/>
          <w:marBottom w:val="0"/>
          <w:divBdr>
            <w:top w:val="none" w:sz="0" w:space="0" w:color="auto"/>
            <w:left w:val="none" w:sz="0" w:space="0" w:color="auto"/>
            <w:bottom w:val="none" w:sz="0" w:space="0" w:color="auto"/>
            <w:right w:val="none" w:sz="0" w:space="0" w:color="auto"/>
          </w:divBdr>
        </w:div>
        <w:div w:id="1966426803">
          <w:marLeft w:val="0"/>
          <w:marRight w:val="0"/>
          <w:marTop w:val="0"/>
          <w:marBottom w:val="0"/>
          <w:divBdr>
            <w:top w:val="none" w:sz="0" w:space="0" w:color="auto"/>
            <w:left w:val="none" w:sz="0" w:space="0" w:color="auto"/>
            <w:bottom w:val="none" w:sz="0" w:space="0" w:color="auto"/>
            <w:right w:val="none" w:sz="0" w:space="0" w:color="auto"/>
          </w:divBdr>
        </w:div>
        <w:div w:id="1597907117">
          <w:marLeft w:val="0"/>
          <w:marRight w:val="0"/>
          <w:marTop w:val="0"/>
          <w:marBottom w:val="0"/>
          <w:divBdr>
            <w:top w:val="none" w:sz="0" w:space="0" w:color="auto"/>
            <w:left w:val="none" w:sz="0" w:space="0" w:color="auto"/>
            <w:bottom w:val="none" w:sz="0" w:space="0" w:color="auto"/>
            <w:right w:val="none" w:sz="0" w:space="0" w:color="auto"/>
          </w:divBdr>
        </w:div>
        <w:div w:id="202863302">
          <w:marLeft w:val="0"/>
          <w:marRight w:val="0"/>
          <w:marTop w:val="0"/>
          <w:marBottom w:val="0"/>
          <w:divBdr>
            <w:top w:val="none" w:sz="0" w:space="0" w:color="auto"/>
            <w:left w:val="none" w:sz="0" w:space="0" w:color="auto"/>
            <w:bottom w:val="none" w:sz="0" w:space="0" w:color="auto"/>
            <w:right w:val="none" w:sz="0" w:space="0" w:color="auto"/>
          </w:divBdr>
        </w:div>
      </w:divsChild>
    </w:div>
    <w:div w:id="779881195">
      <w:marLeft w:val="0"/>
      <w:marRight w:val="0"/>
      <w:marTop w:val="0"/>
      <w:marBottom w:val="0"/>
      <w:divBdr>
        <w:top w:val="none" w:sz="0" w:space="0" w:color="auto"/>
        <w:left w:val="none" w:sz="0" w:space="0" w:color="auto"/>
        <w:bottom w:val="none" w:sz="0" w:space="0" w:color="auto"/>
        <w:right w:val="none" w:sz="0" w:space="0" w:color="auto"/>
      </w:divBdr>
      <w:divsChild>
        <w:div w:id="10231297">
          <w:marLeft w:val="0"/>
          <w:marRight w:val="0"/>
          <w:marTop w:val="0"/>
          <w:marBottom w:val="0"/>
          <w:divBdr>
            <w:top w:val="none" w:sz="0" w:space="0" w:color="auto"/>
            <w:left w:val="none" w:sz="0" w:space="0" w:color="auto"/>
            <w:bottom w:val="none" w:sz="0" w:space="0" w:color="auto"/>
            <w:right w:val="none" w:sz="0" w:space="0" w:color="auto"/>
          </w:divBdr>
          <w:divsChild>
            <w:div w:id="121589584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80340769">
      <w:marLeft w:val="0"/>
      <w:marRight w:val="0"/>
      <w:marTop w:val="180"/>
      <w:marBottom w:val="180"/>
      <w:divBdr>
        <w:top w:val="none" w:sz="0" w:space="0" w:color="auto"/>
        <w:left w:val="none" w:sz="0" w:space="0" w:color="auto"/>
        <w:bottom w:val="none" w:sz="0" w:space="0" w:color="auto"/>
        <w:right w:val="none" w:sz="0" w:space="0" w:color="auto"/>
      </w:divBdr>
    </w:div>
    <w:div w:id="783037309">
      <w:marLeft w:val="0"/>
      <w:marRight w:val="0"/>
      <w:marTop w:val="60"/>
      <w:marBottom w:val="60"/>
      <w:divBdr>
        <w:top w:val="none" w:sz="0" w:space="0" w:color="auto"/>
        <w:left w:val="none" w:sz="0" w:space="0" w:color="auto"/>
        <w:bottom w:val="none" w:sz="0" w:space="0" w:color="auto"/>
        <w:right w:val="none" w:sz="0" w:space="0" w:color="auto"/>
      </w:divBdr>
    </w:div>
    <w:div w:id="783814940">
      <w:marLeft w:val="0"/>
      <w:marRight w:val="0"/>
      <w:marTop w:val="180"/>
      <w:marBottom w:val="180"/>
      <w:divBdr>
        <w:top w:val="none" w:sz="0" w:space="0" w:color="auto"/>
        <w:left w:val="none" w:sz="0" w:space="0" w:color="auto"/>
        <w:bottom w:val="none" w:sz="0" w:space="0" w:color="auto"/>
        <w:right w:val="none" w:sz="0" w:space="0" w:color="auto"/>
      </w:divBdr>
    </w:div>
    <w:div w:id="785319875">
      <w:marLeft w:val="0"/>
      <w:marRight w:val="0"/>
      <w:marTop w:val="180"/>
      <w:marBottom w:val="180"/>
      <w:divBdr>
        <w:top w:val="none" w:sz="0" w:space="0" w:color="auto"/>
        <w:left w:val="none" w:sz="0" w:space="0" w:color="auto"/>
        <w:bottom w:val="none" w:sz="0" w:space="0" w:color="auto"/>
        <w:right w:val="none" w:sz="0" w:space="0" w:color="auto"/>
      </w:divBdr>
    </w:div>
    <w:div w:id="785655085">
      <w:marLeft w:val="0"/>
      <w:marRight w:val="0"/>
      <w:marTop w:val="60"/>
      <w:marBottom w:val="60"/>
      <w:divBdr>
        <w:top w:val="none" w:sz="0" w:space="0" w:color="auto"/>
        <w:left w:val="none" w:sz="0" w:space="0" w:color="auto"/>
        <w:bottom w:val="none" w:sz="0" w:space="0" w:color="auto"/>
        <w:right w:val="none" w:sz="0" w:space="0" w:color="auto"/>
      </w:divBdr>
    </w:div>
    <w:div w:id="787088326">
      <w:marLeft w:val="0"/>
      <w:marRight w:val="0"/>
      <w:marTop w:val="0"/>
      <w:marBottom w:val="0"/>
      <w:divBdr>
        <w:top w:val="none" w:sz="0" w:space="0" w:color="auto"/>
        <w:left w:val="none" w:sz="0" w:space="0" w:color="auto"/>
        <w:bottom w:val="none" w:sz="0" w:space="0" w:color="auto"/>
        <w:right w:val="none" w:sz="0" w:space="0" w:color="auto"/>
      </w:divBdr>
      <w:divsChild>
        <w:div w:id="1128667319">
          <w:marLeft w:val="0"/>
          <w:marRight w:val="0"/>
          <w:marTop w:val="60"/>
          <w:marBottom w:val="60"/>
          <w:divBdr>
            <w:top w:val="none" w:sz="0" w:space="0" w:color="auto"/>
            <w:left w:val="none" w:sz="0" w:space="0" w:color="auto"/>
            <w:bottom w:val="none" w:sz="0" w:space="0" w:color="auto"/>
            <w:right w:val="none" w:sz="0" w:space="0" w:color="auto"/>
          </w:divBdr>
        </w:div>
      </w:divsChild>
    </w:div>
    <w:div w:id="787700546">
      <w:marLeft w:val="0"/>
      <w:marRight w:val="0"/>
      <w:marTop w:val="180"/>
      <w:marBottom w:val="180"/>
      <w:divBdr>
        <w:top w:val="none" w:sz="0" w:space="0" w:color="auto"/>
        <w:left w:val="none" w:sz="0" w:space="0" w:color="auto"/>
        <w:bottom w:val="none" w:sz="0" w:space="0" w:color="auto"/>
        <w:right w:val="none" w:sz="0" w:space="0" w:color="auto"/>
      </w:divBdr>
    </w:div>
    <w:div w:id="789393823">
      <w:marLeft w:val="0"/>
      <w:marRight w:val="0"/>
      <w:marTop w:val="0"/>
      <w:marBottom w:val="0"/>
      <w:divBdr>
        <w:top w:val="none" w:sz="0" w:space="0" w:color="auto"/>
        <w:left w:val="none" w:sz="0" w:space="0" w:color="auto"/>
        <w:bottom w:val="none" w:sz="0" w:space="0" w:color="auto"/>
        <w:right w:val="none" w:sz="0" w:space="0" w:color="auto"/>
      </w:divBdr>
      <w:divsChild>
        <w:div w:id="1170561652">
          <w:marLeft w:val="0"/>
          <w:marRight w:val="0"/>
          <w:marTop w:val="60"/>
          <w:marBottom w:val="60"/>
          <w:divBdr>
            <w:top w:val="none" w:sz="0" w:space="0" w:color="auto"/>
            <w:left w:val="none" w:sz="0" w:space="0" w:color="auto"/>
            <w:bottom w:val="none" w:sz="0" w:space="0" w:color="auto"/>
            <w:right w:val="none" w:sz="0" w:space="0" w:color="auto"/>
          </w:divBdr>
        </w:div>
      </w:divsChild>
    </w:div>
    <w:div w:id="791754706">
      <w:marLeft w:val="0"/>
      <w:marRight w:val="0"/>
      <w:marTop w:val="180"/>
      <w:marBottom w:val="180"/>
      <w:divBdr>
        <w:top w:val="none" w:sz="0" w:space="0" w:color="auto"/>
        <w:left w:val="none" w:sz="0" w:space="0" w:color="auto"/>
        <w:bottom w:val="none" w:sz="0" w:space="0" w:color="auto"/>
        <w:right w:val="none" w:sz="0" w:space="0" w:color="auto"/>
      </w:divBdr>
    </w:div>
    <w:div w:id="792479795">
      <w:marLeft w:val="0"/>
      <w:marRight w:val="0"/>
      <w:marTop w:val="180"/>
      <w:marBottom w:val="180"/>
      <w:divBdr>
        <w:top w:val="none" w:sz="0" w:space="0" w:color="auto"/>
        <w:left w:val="none" w:sz="0" w:space="0" w:color="auto"/>
        <w:bottom w:val="none" w:sz="0" w:space="0" w:color="auto"/>
        <w:right w:val="none" w:sz="0" w:space="0" w:color="auto"/>
      </w:divBdr>
    </w:div>
    <w:div w:id="794450101">
      <w:marLeft w:val="0"/>
      <w:marRight w:val="0"/>
      <w:marTop w:val="60"/>
      <w:marBottom w:val="60"/>
      <w:divBdr>
        <w:top w:val="none" w:sz="0" w:space="0" w:color="auto"/>
        <w:left w:val="none" w:sz="0" w:space="0" w:color="auto"/>
        <w:bottom w:val="none" w:sz="0" w:space="0" w:color="auto"/>
        <w:right w:val="none" w:sz="0" w:space="0" w:color="auto"/>
      </w:divBdr>
    </w:div>
    <w:div w:id="797187325">
      <w:marLeft w:val="0"/>
      <w:marRight w:val="0"/>
      <w:marTop w:val="180"/>
      <w:marBottom w:val="180"/>
      <w:divBdr>
        <w:top w:val="none" w:sz="0" w:space="0" w:color="auto"/>
        <w:left w:val="none" w:sz="0" w:space="0" w:color="auto"/>
        <w:bottom w:val="none" w:sz="0" w:space="0" w:color="auto"/>
        <w:right w:val="none" w:sz="0" w:space="0" w:color="auto"/>
      </w:divBdr>
    </w:div>
    <w:div w:id="801266608">
      <w:marLeft w:val="0"/>
      <w:marRight w:val="0"/>
      <w:marTop w:val="60"/>
      <w:marBottom w:val="60"/>
      <w:divBdr>
        <w:top w:val="none" w:sz="0" w:space="0" w:color="auto"/>
        <w:left w:val="none" w:sz="0" w:space="0" w:color="auto"/>
        <w:bottom w:val="none" w:sz="0" w:space="0" w:color="auto"/>
        <w:right w:val="none" w:sz="0" w:space="0" w:color="auto"/>
      </w:divBdr>
    </w:div>
    <w:div w:id="803160111">
      <w:marLeft w:val="0"/>
      <w:marRight w:val="0"/>
      <w:marTop w:val="180"/>
      <w:marBottom w:val="180"/>
      <w:divBdr>
        <w:top w:val="none" w:sz="0" w:space="0" w:color="auto"/>
        <w:left w:val="none" w:sz="0" w:space="0" w:color="auto"/>
        <w:bottom w:val="none" w:sz="0" w:space="0" w:color="auto"/>
        <w:right w:val="none" w:sz="0" w:space="0" w:color="auto"/>
      </w:divBdr>
    </w:div>
    <w:div w:id="803740546">
      <w:marLeft w:val="0"/>
      <w:marRight w:val="0"/>
      <w:marTop w:val="180"/>
      <w:marBottom w:val="180"/>
      <w:divBdr>
        <w:top w:val="none" w:sz="0" w:space="0" w:color="auto"/>
        <w:left w:val="none" w:sz="0" w:space="0" w:color="auto"/>
        <w:bottom w:val="none" w:sz="0" w:space="0" w:color="auto"/>
        <w:right w:val="none" w:sz="0" w:space="0" w:color="auto"/>
      </w:divBdr>
    </w:div>
    <w:div w:id="804010309">
      <w:marLeft w:val="0"/>
      <w:marRight w:val="0"/>
      <w:marTop w:val="0"/>
      <w:marBottom w:val="0"/>
      <w:divBdr>
        <w:top w:val="none" w:sz="0" w:space="0" w:color="auto"/>
        <w:left w:val="none" w:sz="0" w:space="0" w:color="auto"/>
        <w:bottom w:val="none" w:sz="0" w:space="0" w:color="auto"/>
        <w:right w:val="none" w:sz="0" w:space="0" w:color="auto"/>
      </w:divBdr>
      <w:divsChild>
        <w:div w:id="136921347">
          <w:marLeft w:val="0"/>
          <w:marRight w:val="0"/>
          <w:marTop w:val="0"/>
          <w:marBottom w:val="0"/>
          <w:divBdr>
            <w:top w:val="none" w:sz="0" w:space="0" w:color="auto"/>
            <w:left w:val="none" w:sz="0" w:space="0" w:color="auto"/>
            <w:bottom w:val="none" w:sz="0" w:space="0" w:color="auto"/>
            <w:right w:val="none" w:sz="0" w:space="0" w:color="auto"/>
          </w:divBdr>
          <w:divsChild>
            <w:div w:id="89235128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04590959">
      <w:marLeft w:val="0"/>
      <w:marRight w:val="0"/>
      <w:marTop w:val="240"/>
      <w:marBottom w:val="180"/>
      <w:divBdr>
        <w:top w:val="none" w:sz="0" w:space="0" w:color="auto"/>
        <w:left w:val="none" w:sz="0" w:space="0" w:color="auto"/>
        <w:bottom w:val="none" w:sz="0" w:space="0" w:color="auto"/>
        <w:right w:val="none" w:sz="0" w:space="0" w:color="auto"/>
      </w:divBdr>
    </w:div>
    <w:div w:id="805897203">
      <w:marLeft w:val="0"/>
      <w:marRight w:val="0"/>
      <w:marTop w:val="180"/>
      <w:marBottom w:val="60"/>
      <w:divBdr>
        <w:top w:val="none" w:sz="0" w:space="0" w:color="auto"/>
        <w:left w:val="none" w:sz="0" w:space="0" w:color="auto"/>
        <w:bottom w:val="none" w:sz="0" w:space="0" w:color="auto"/>
        <w:right w:val="none" w:sz="0" w:space="0" w:color="auto"/>
      </w:divBdr>
    </w:div>
    <w:div w:id="811023428">
      <w:marLeft w:val="0"/>
      <w:marRight w:val="0"/>
      <w:marTop w:val="60"/>
      <w:marBottom w:val="60"/>
      <w:divBdr>
        <w:top w:val="none" w:sz="0" w:space="0" w:color="auto"/>
        <w:left w:val="none" w:sz="0" w:space="0" w:color="auto"/>
        <w:bottom w:val="none" w:sz="0" w:space="0" w:color="auto"/>
        <w:right w:val="none" w:sz="0" w:space="0" w:color="auto"/>
      </w:divBdr>
    </w:div>
    <w:div w:id="812869199">
      <w:marLeft w:val="0"/>
      <w:marRight w:val="0"/>
      <w:marTop w:val="180"/>
      <w:marBottom w:val="180"/>
      <w:divBdr>
        <w:top w:val="none" w:sz="0" w:space="0" w:color="auto"/>
        <w:left w:val="none" w:sz="0" w:space="0" w:color="auto"/>
        <w:bottom w:val="none" w:sz="0" w:space="0" w:color="auto"/>
        <w:right w:val="none" w:sz="0" w:space="0" w:color="auto"/>
      </w:divBdr>
    </w:div>
    <w:div w:id="813453700">
      <w:marLeft w:val="0"/>
      <w:marRight w:val="0"/>
      <w:marTop w:val="180"/>
      <w:marBottom w:val="180"/>
      <w:divBdr>
        <w:top w:val="none" w:sz="0" w:space="0" w:color="auto"/>
        <w:left w:val="none" w:sz="0" w:space="0" w:color="auto"/>
        <w:bottom w:val="none" w:sz="0" w:space="0" w:color="auto"/>
        <w:right w:val="none" w:sz="0" w:space="0" w:color="auto"/>
      </w:divBdr>
    </w:div>
    <w:div w:id="815493818">
      <w:marLeft w:val="0"/>
      <w:marRight w:val="0"/>
      <w:marTop w:val="0"/>
      <w:marBottom w:val="0"/>
      <w:divBdr>
        <w:top w:val="none" w:sz="0" w:space="0" w:color="auto"/>
        <w:left w:val="none" w:sz="0" w:space="0" w:color="auto"/>
        <w:bottom w:val="none" w:sz="0" w:space="0" w:color="auto"/>
        <w:right w:val="none" w:sz="0" w:space="0" w:color="auto"/>
      </w:divBdr>
    </w:div>
    <w:div w:id="815953708">
      <w:marLeft w:val="0"/>
      <w:marRight w:val="0"/>
      <w:marTop w:val="180"/>
      <w:marBottom w:val="180"/>
      <w:divBdr>
        <w:top w:val="none" w:sz="0" w:space="0" w:color="auto"/>
        <w:left w:val="none" w:sz="0" w:space="0" w:color="auto"/>
        <w:bottom w:val="none" w:sz="0" w:space="0" w:color="auto"/>
        <w:right w:val="none" w:sz="0" w:space="0" w:color="auto"/>
      </w:divBdr>
    </w:div>
    <w:div w:id="820926187">
      <w:marLeft w:val="0"/>
      <w:marRight w:val="0"/>
      <w:marTop w:val="60"/>
      <w:marBottom w:val="60"/>
      <w:divBdr>
        <w:top w:val="none" w:sz="0" w:space="0" w:color="auto"/>
        <w:left w:val="none" w:sz="0" w:space="0" w:color="auto"/>
        <w:bottom w:val="none" w:sz="0" w:space="0" w:color="auto"/>
        <w:right w:val="none" w:sz="0" w:space="0" w:color="auto"/>
      </w:divBdr>
    </w:div>
    <w:div w:id="821045185">
      <w:marLeft w:val="0"/>
      <w:marRight w:val="0"/>
      <w:marTop w:val="180"/>
      <w:marBottom w:val="180"/>
      <w:divBdr>
        <w:top w:val="none" w:sz="0" w:space="0" w:color="auto"/>
        <w:left w:val="none" w:sz="0" w:space="0" w:color="auto"/>
        <w:bottom w:val="none" w:sz="0" w:space="0" w:color="auto"/>
        <w:right w:val="none" w:sz="0" w:space="0" w:color="auto"/>
      </w:divBdr>
    </w:div>
    <w:div w:id="825315728">
      <w:marLeft w:val="0"/>
      <w:marRight w:val="0"/>
      <w:marTop w:val="180"/>
      <w:marBottom w:val="180"/>
      <w:divBdr>
        <w:top w:val="none" w:sz="0" w:space="0" w:color="auto"/>
        <w:left w:val="none" w:sz="0" w:space="0" w:color="auto"/>
        <w:bottom w:val="none" w:sz="0" w:space="0" w:color="auto"/>
        <w:right w:val="none" w:sz="0" w:space="0" w:color="auto"/>
      </w:divBdr>
    </w:div>
    <w:div w:id="825972012">
      <w:marLeft w:val="0"/>
      <w:marRight w:val="0"/>
      <w:marTop w:val="0"/>
      <w:marBottom w:val="0"/>
      <w:divBdr>
        <w:top w:val="none" w:sz="0" w:space="0" w:color="auto"/>
        <w:left w:val="none" w:sz="0" w:space="0" w:color="auto"/>
        <w:bottom w:val="none" w:sz="0" w:space="0" w:color="auto"/>
        <w:right w:val="none" w:sz="0" w:space="0" w:color="auto"/>
      </w:divBdr>
      <w:divsChild>
        <w:div w:id="409625114">
          <w:marLeft w:val="0"/>
          <w:marRight w:val="0"/>
          <w:marTop w:val="60"/>
          <w:marBottom w:val="60"/>
          <w:divBdr>
            <w:top w:val="none" w:sz="0" w:space="0" w:color="auto"/>
            <w:left w:val="none" w:sz="0" w:space="0" w:color="auto"/>
            <w:bottom w:val="none" w:sz="0" w:space="0" w:color="auto"/>
            <w:right w:val="none" w:sz="0" w:space="0" w:color="auto"/>
          </w:divBdr>
        </w:div>
      </w:divsChild>
    </w:div>
    <w:div w:id="826557622">
      <w:marLeft w:val="0"/>
      <w:marRight w:val="0"/>
      <w:marTop w:val="180"/>
      <w:marBottom w:val="180"/>
      <w:divBdr>
        <w:top w:val="none" w:sz="0" w:space="0" w:color="auto"/>
        <w:left w:val="none" w:sz="0" w:space="0" w:color="auto"/>
        <w:bottom w:val="none" w:sz="0" w:space="0" w:color="auto"/>
        <w:right w:val="none" w:sz="0" w:space="0" w:color="auto"/>
      </w:divBdr>
    </w:div>
    <w:div w:id="827019292">
      <w:marLeft w:val="0"/>
      <w:marRight w:val="0"/>
      <w:marTop w:val="60"/>
      <w:marBottom w:val="60"/>
      <w:divBdr>
        <w:top w:val="none" w:sz="0" w:space="0" w:color="auto"/>
        <w:left w:val="none" w:sz="0" w:space="0" w:color="auto"/>
        <w:bottom w:val="none" w:sz="0" w:space="0" w:color="auto"/>
        <w:right w:val="none" w:sz="0" w:space="0" w:color="auto"/>
      </w:divBdr>
    </w:div>
    <w:div w:id="827137368">
      <w:marLeft w:val="0"/>
      <w:marRight w:val="0"/>
      <w:marTop w:val="180"/>
      <w:marBottom w:val="180"/>
      <w:divBdr>
        <w:top w:val="none" w:sz="0" w:space="0" w:color="auto"/>
        <w:left w:val="none" w:sz="0" w:space="0" w:color="auto"/>
        <w:bottom w:val="none" w:sz="0" w:space="0" w:color="auto"/>
        <w:right w:val="none" w:sz="0" w:space="0" w:color="auto"/>
      </w:divBdr>
    </w:div>
    <w:div w:id="829562435">
      <w:marLeft w:val="0"/>
      <w:marRight w:val="0"/>
      <w:marTop w:val="180"/>
      <w:marBottom w:val="180"/>
      <w:divBdr>
        <w:top w:val="none" w:sz="0" w:space="0" w:color="auto"/>
        <w:left w:val="none" w:sz="0" w:space="0" w:color="auto"/>
        <w:bottom w:val="none" w:sz="0" w:space="0" w:color="auto"/>
        <w:right w:val="none" w:sz="0" w:space="0" w:color="auto"/>
      </w:divBdr>
    </w:div>
    <w:div w:id="829638662">
      <w:marLeft w:val="0"/>
      <w:marRight w:val="0"/>
      <w:marTop w:val="180"/>
      <w:marBottom w:val="180"/>
      <w:divBdr>
        <w:top w:val="none" w:sz="0" w:space="0" w:color="auto"/>
        <w:left w:val="none" w:sz="0" w:space="0" w:color="auto"/>
        <w:bottom w:val="none" w:sz="0" w:space="0" w:color="auto"/>
        <w:right w:val="none" w:sz="0" w:space="0" w:color="auto"/>
      </w:divBdr>
    </w:div>
    <w:div w:id="830021674">
      <w:marLeft w:val="0"/>
      <w:marRight w:val="0"/>
      <w:marTop w:val="180"/>
      <w:marBottom w:val="60"/>
      <w:divBdr>
        <w:top w:val="none" w:sz="0" w:space="0" w:color="auto"/>
        <w:left w:val="none" w:sz="0" w:space="0" w:color="auto"/>
        <w:bottom w:val="none" w:sz="0" w:space="0" w:color="auto"/>
        <w:right w:val="none" w:sz="0" w:space="0" w:color="auto"/>
      </w:divBdr>
    </w:div>
    <w:div w:id="831339042">
      <w:marLeft w:val="0"/>
      <w:marRight w:val="0"/>
      <w:marTop w:val="60"/>
      <w:marBottom w:val="60"/>
      <w:divBdr>
        <w:top w:val="none" w:sz="0" w:space="0" w:color="auto"/>
        <w:left w:val="none" w:sz="0" w:space="0" w:color="auto"/>
        <w:bottom w:val="none" w:sz="0" w:space="0" w:color="auto"/>
        <w:right w:val="none" w:sz="0" w:space="0" w:color="auto"/>
      </w:divBdr>
    </w:div>
    <w:div w:id="831724539">
      <w:marLeft w:val="0"/>
      <w:marRight w:val="0"/>
      <w:marTop w:val="180"/>
      <w:marBottom w:val="180"/>
      <w:divBdr>
        <w:top w:val="none" w:sz="0" w:space="0" w:color="auto"/>
        <w:left w:val="none" w:sz="0" w:space="0" w:color="auto"/>
        <w:bottom w:val="none" w:sz="0" w:space="0" w:color="auto"/>
        <w:right w:val="none" w:sz="0" w:space="0" w:color="auto"/>
      </w:divBdr>
    </w:div>
    <w:div w:id="832140869">
      <w:marLeft w:val="0"/>
      <w:marRight w:val="0"/>
      <w:marTop w:val="0"/>
      <w:marBottom w:val="0"/>
      <w:divBdr>
        <w:top w:val="none" w:sz="0" w:space="0" w:color="auto"/>
        <w:left w:val="none" w:sz="0" w:space="0" w:color="auto"/>
        <w:bottom w:val="none" w:sz="0" w:space="0" w:color="auto"/>
        <w:right w:val="none" w:sz="0" w:space="0" w:color="auto"/>
      </w:divBdr>
      <w:divsChild>
        <w:div w:id="1604070327">
          <w:marLeft w:val="0"/>
          <w:marRight w:val="0"/>
          <w:marTop w:val="0"/>
          <w:marBottom w:val="0"/>
          <w:divBdr>
            <w:top w:val="none" w:sz="0" w:space="0" w:color="auto"/>
            <w:left w:val="none" w:sz="0" w:space="0" w:color="auto"/>
            <w:bottom w:val="none" w:sz="0" w:space="0" w:color="auto"/>
            <w:right w:val="none" w:sz="0" w:space="0" w:color="auto"/>
          </w:divBdr>
          <w:divsChild>
            <w:div w:id="120143596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37615640">
      <w:marLeft w:val="0"/>
      <w:marRight w:val="0"/>
      <w:marTop w:val="180"/>
      <w:marBottom w:val="60"/>
      <w:divBdr>
        <w:top w:val="none" w:sz="0" w:space="0" w:color="auto"/>
        <w:left w:val="none" w:sz="0" w:space="0" w:color="auto"/>
        <w:bottom w:val="none" w:sz="0" w:space="0" w:color="auto"/>
        <w:right w:val="none" w:sz="0" w:space="0" w:color="auto"/>
      </w:divBdr>
    </w:div>
    <w:div w:id="839080874">
      <w:marLeft w:val="0"/>
      <w:marRight w:val="0"/>
      <w:marTop w:val="180"/>
      <w:marBottom w:val="180"/>
      <w:divBdr>
        <w:top w:val="none" w:sz="0" w:space="0" w:color="auto"/>
        <w:left w:val="none" w:sz="0" w:space="0" w:color="auto"/>
        <w:bottom w:val="none" w:sz="0" w:space="0" w:color="auto"/>
        <w:right w:val="none" w:sz="0" w:space="0" w:color="auto"/>
      </w:divBdr>
    </w:div>
    <w:div w:id="839851309">
      <w:marLeft w:val="0"/>
      <w:marRight w:val="0"/>
      <w:marTop w:val="100"/>
      <w:marBottom w:val="0"/>
      <w:divBdr>
        <w:top w:val="none" w:sz="0" w:space="0" w:color="auto"/>
        <w:left w:val="none" w:sz="0" w:space="0" w:color="auto"/>
        <w:bottom w:val="none" w:sz="0" w:space="0" w:color="auto"/>
        <w:right w:val="none" w:sz="0" w:space="0" w:color="auto"/>
      </w:divBdr>
      <w:divsChild>
        <w:div w:id="1905213524">
          <w:marLeft w:val="0"/>
          <w:marRight w:val="0"/>
          <w:marTop w:val="0"/>
          <w:marBottom w:val="0"/>
          <w:divBdr>
            <w:top w:val="none" w:sz="0" w:space="0" w:color="auto"/>
            <w:left w:val="none" w:sz="0" w:space="0" w:color="auto"/>
            <w:bottom w:val="none" w:sz="0" w:space="0" w:color="auto"/>
            <w:right w:val="none" w:sz="0" w:space="0" w:color="auto"/>
          </w:divBdr>
        </w:div>
      </w:divsChild>
    </w:div>
    <w:div w:id="839928407">
      <w:marLeft w:val="0"/>
      <w:marRight w:val="0"/>
      <w:marTop w:val="0"/>
      <w:marBottom w:val="0"/>
      <w:divBdr>
        <w:top w:val="none" w:sz="0" w:space="0" w:color="auto"/>
        <w:left w:val="none" w:sz="0" w:space="0" w:color="auto"/>
        <w:bottom w:val="none" w:sz="0" w:space="0" w:color="auto"/>
        <w:right w:val="none" w:sz="0" w:space="0" w:color="auto"/>
      </w:divBdr>
    </w:div>
    <w:div w:id="839931643">
      <w:marLeft w:val="0"/>
      <w:marRight w:val="0"/>
      <w:marTop w:val="100"/>
      <w:marBottom w:val="180"/>
      <w:divBdr>
        <w:top w:val="none" w:sz="0" w:space="0" w:color="auto"/>
        <w:left w:val="none" w:sz="0" w:space="0" w:color="auto"/>
        <w:bottom w:val="none" w:sz="0" w:space="0" w:color="auto"/>
        <w:right w:val="none" w:sz="0" w:space="0" w:color="auto"/>
      </w:divBdr>
    </w:div>
    <w:div w:id="840973912">
      <w:marLeft w:val="0"/>
      <w:marRight w:val="0"/>
      <w:marTop w:val="0"/>
      <w:marBottom w:val="0"/>
      <w:divBdr>
        <w:top w:val="none" w:sz="0" w:space="0" w:color="auto"/>
        <w:left w:val="none" w:sz="0" w:space="0" w:color="auto"/>
        <w:bottom w:val="none" w:sz="0" w:space="0" w:color="auto"/>
        <w:right w:val="none" w:sz="0" w:space="0" w:color="auto"/>
      </w:divBdr>
      <w:divsChild>
        <w:div w:id="818307080">
          <w:marLeft w:val="0"/>
          <w:marRight w:val="0"/>
          <w:marTop w:val="0"/>
          <w:marBottom w:val="0"/>
          <w:divBdr>
            <w:top w:val="none" w:sz="0" w:space="0" w:color="auto"/>
            <w:left w:val="none" w:sz="0" w:space="0" w:color="auto"/>
            <w:bottom w:val="none" w:sz="0" w:space="0" w:color="auto"/>
            <w:right w:val="none" w:sz="0" w:space="0" w:color="auto"/>
          </w:divBdr>
          <w:divsChild>
            <w:div w:id="83827780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41428559">
      <w:marLeft w:val="0"/>
      <w:marRight w:val="0"/>
      <w:marTop w:val="180"/>
      <w:marBottom w:val="180"/>
      <w:divBdr>
        <w:top w:val="none" w:sz="0" w:space="0" w:color="auto"/>
        <w:left w:val="none" w:sz="0" w:space="0" w:color="auto"/>
        <w:bottom w:val="none" w:sz="0" w:space="0" w:color="auto"/>
        <w:right w:val="none" w:sz="0" w:space="0" w:color="auto"/>
      </w:divBdr>
    </w:div>
    <w:div w:id="843939586">
      <w:marLeft w:val="0"/>
      <w:marRight w:val="0"/>
      <w:marTop w:val="180"/>
      <w:marBottom w:val="180"/>
      <w:divBdr>
        <w:top w:val="none" w:sz="0" w:space="0" w:color="auto"/>
        <w:left w:val="none" w:sz="0" w:space="0" w:color="auto"/>
        <w:bottom w:val="none" w:sz="0" w:space="0" w:color="auto"/>
        <w:right w:val="none" w:sz="0" w:space="0" w:color="auto"/>
      </w:divBdr>
    </w:div>
    <w:div w:id="848300089">
      <w:marLeft w:val="0"/>
      <w:marRight w:val="0"/>
      <w:marTop w:val="60"/>
      <w:marBottom w:val="60"/>
      <w:divBdr>
        <w:top w:val="none" w:sz="0" w:space="0" w:color="auto"/>
        <w:left w:val="none" w:sz="0" w:space="0" w:color="auto"/>
        <w:bottom w:val="none" w:sz="0" w:space="0" w:color="auto"/>
        <w:right w:val="none" w:sz="0" w:space="0" w:color="auto"/>
      </w:divBdr>
    </w:div>
    <w:div w:id="851261501">
      <w:marLeft w:val="0"/>
      <w:marRight w:val="0"/>
      <w:marTop w:val="240"/>
      <w:marBottom w:val="180"/>
      <w:divBdr>
        <w:top w:val="none" w:sz="0" w:space="0" w:color="auto"/>
        <w:left w:val="none" w:sz="0" w:space="0" w:color="auto"/>
        <w:bottom w:val="none" w:sz="0" w:space="0" w:color="auto"/>
        <w:right w:val="none" w:sz="0" w:space="0" w:color="auto"/>
      </w:divBdr>
    </w:div>
    <w:div w:id="853032473">
      <w:marLeft w:val="0"/>
      <w:marRight w:val="0"/>
      <w:marTop w:val="0"/>
      <w:marBottom w:val="0"/>
      <w:divBdr>
        <w:top w:val="none" w:sz="0" w:space="0" w:color="auto"/>
        <w:left w:val="none" w:sz="0" w:space="0" w:color="auto"/>
        <w:bottom w:val="none" w:sz="0" w:space="0" w:color="auto"/>
        <w:right w:val="none" w:sz="0" w:space="0" w:color="auto"/>
      </w:divBdr>
      <w:divsChild>
        <w:div w:id="1696809286">
          <w:marLeft w:val="0"/>
          <w:marRight w:val="0"/>
          <w:marTop w:val="60"/>
          <w:marBottom w:val="60"/>
          <w:divBdr>
            <w:top w:val="none" w:sz="0" w:space="0" w:color="auto"/>
            <w:left w:val="none" w:sz="0" w:space="0" w:color="auto"/>
            <w:bottom w:val="none" w:sz="0" w:space="0" w:color="auto"/>
            <w:right w:val="none" w:sz="0" w:space="0" w:color="auto"/>
          </w:divBdr>
        </w:div>
      </w:divsChild>
    </w:div>
    <w:div w:id="854155344">
      <w:marLeft w:val="0"/>
      <w:marRight w:val="0"/>
      <w:marTop w:val="180"/>
      <w:marBottom w:val="180"/>
      <w:divBdr>
        <w:top w:val="none" w:sz="0" w:space="0" w:color="auto"/>
        <w:left w:val="none" w:sz="0" w:space="0" w:color="auto"/>
        <w:bottom w:val="none" w:sz="0" w:space="0" w:color="auto"/>
        <w:right w:val="none" w:sz="0" w:space="0" w:color="auto"/>
      </w:divBdr>
    </w:div>
    <w:div w:id="856653260">
      <w:marLeft w:val="0"/>
      <w:marRight w:val="0"/>
      <w:marTop w:val="180"/>
      <w:marBottom w:val="60"/>
      <w:divBdr>
        <w:top w:val="none" w:sz="0" w:space="0" w:color="auto"/>
        <w:left w:val="none" w:sz="0" w:space="0" w:color="auto"/>
        <w:bottom w:val="none" w:sz="0" w:space="0" w:color="auto"/>
        <w:right w:val="none" w:sz="0" w:space="0" w:color="auto"/>
      </w:divBdr>
    </w:div>
    <w:div w:id="858130227">
      <w:marLeft w:val="0"/>
      <w:marRight w:val="0"/>
      <w:marTop w:val="100"/>
      <w:marBottom w:val="0"/>
      <w:divBdr>
        <w:top w:val="none" w:sz="0" w:space="0" w:color="auto"/>
        <w:left w:val="none" w:sz="0" w:space="0" w:color="auto"/>
        <w:bottom w:val="none" w:sz="0" w:space="0" w:color="auto"/>
        <w:right w:val="none" w:sz="0" w:space="0" w:color="auto"/>
      </w:divBdr>
      <w:divsChild>
        <w:div w:id="1400976663">
          <w:marLeft w:val="0"/>
          <w:marRight w:val="0"/>
          <w:marTop w:val="0"/>
          <w:marBottom w:val="0"/>
          <w:divBdr>
            <w:top w:val="none" w:sz="0" w:space="0" w:color="auto"/>
            <w:left w:val="none" w:sz="0" w:space="0" w:color="auto"/>
            <w:bottom w:val="none" w:sz="0" w:space="0" w:color="auto"/>
            <w:right w:val="none" w:sz="0" w:space="0" w:color="auto"/>
          </w:divBdr>
        </w:div>
        <w:div w:id="1000280292">
          <w:marLeft w:val="0"/>
          <w:marRight w:val="0"/>
          <w:marTop w:val="0"/>
          <w:marBottom w:val="0"/>
          <w:divBdr>
            <w:top w:val="none" w:sz="0" w:space="0" w:color="auto"/>
            <w:left w:val="none" w:sz="0" w:space="0" w:color="auto"/>
            <w:bottom w:val="none" w:sz="0" w:space="0" w:color="auto"/>
            <w:right w:val="none" w:sz="0" w:space="0" w:color="auto"/>
          </w:divBdr>
        </w:div>
      </w:divsChild>
    </w:div>
    <w:div w:id="859780025">
      <w:marLeft w:val="0"/>
      <w:marRight w:val="0"/>
      <w:marTop w:val="180"/>
      <w:marBottom w:val="180"/>
      <w:divBdr>
        <w:top w:val="none" w:sz="0" w:space="0" w:color="auto"/>
        <w:left w:val="none" w:sz="0" w:space="0" w:color="auto"/>
        <w:bottom w:val="none" w:sz="0" w:space="0" w:color="auto"/>
        <w:right w:val="none" w:sz="0" w:space="0" w:color="auto"/>
      </w:divBdr>
    </w:div>
    <w:div w:id="860167714">
      <w:marLeft w:val="0"/>
      <w:marRight w:val="0"/>
      <w:marTop w:val="180"/>
      <w:marBottom w:val="180"/>
      <w:divBdr>
        <w:top w:val="none" w:sz="0" w:space="0" w:color="auto"/>
        <w:left w:val="none" w:sz="0" w:space="0" w:color="auto"/>
        <w:bottom w:val="none" w:sz="0" w:space="0" w:color="auto"/>
        <w:right w:val="none" w:sz="0" w:space="0" w:color="auto"/>
      </w:divBdr>
    </w:div>
    <w:div w:id="861626905">
      <w:marLeft w:val="0"/>
      <w:marRight w:val="0"/>
      <w:marTop w:val="180"/>
      <w:marBottom w:val="180"/>
      <w:divBdr>
        <w:top w:val="none" w:sz="0" w:space="0" w:color="auto"/>
        <w:left w:val="none" w:sz="0" w:space="0" w:color="auto"/>
        <w:bottom w:val="none" w:sz="0" w:space="0" w:color="auto"/>
        <w:right w:val="none" w:sz="0" w:space="0" w:color="auto"/>
      </w:divBdr>
    </w:div>
    <w:div w:id="862016338">
      <w:marLeft w:val="0"/>
      <w:marRight w:val="0"/>
      <w:marTop w:val="180"/>
      <w:marBottom w:val="180"/>
      <w:divBdr>
        <w:top w:val="none" w:sz="0" w:space="0" w:color="auto"/>
        <w:left w:val="none" w:sz="0" w:space="0" w:color="auto"/>
        <w:bottom w:val="none" w:sz="0" w:space="0" w:color="auto"/>
        <w:right w:val="none" w:sz="0" w:space="0" w:color="auto"/>
      </w:divBdr>
    </w:div>
    <w:div w:id="863908183">
      <w:marLeft w:val="0"/>
      <w:marRight w:val="0"/>
      <w:marTop w:val="180"/>
      <w:marBottom w:val="180"/>
      <w:divBdr>
        <w:top w:val="none" w:sz="0" w:space="0" w:color="auto"/>
        <w:left w:val="none" w:sz="0" w:space="0" w:color="auto"/>
        <w:bottom w:val="none" w:sz="0" w:space="0" w:color="auto"/>
        <w:right w:val="none" w:sz="0" w:space="0" w:color="auto"/>
      </w:divBdr>
    </w:div>
    <w:div w:id="864632612">
      <w:marLeft w:val="0"/>
      <w:marRight w:val="0"/>
      <w:marTop w:val="180"/>
      <w:marBottom w:val="180"/>
      <w:divBdr>
        <w:top w:val="none" w:sz="0" w:space="0" w:color="auto"/>
        <w:left w:val="none" w:sz="0" w:space="0" w:color="auto"/>
        <w:bottom w:val="none" w:sz="0" w:space="0" w:color="auto"/>
        <w:right w:val="none" w:sz="0" w:space="0" w:color="auto"/>
      </w:divBdr>
    </w:div>
    <w:div w:id="864946480">
      <w:marLeft w:val="0"/>
      <w:marRight w:val="0"/>
      <w:marTop w:val="60"/>
      <w:marBottom w:val="60"/>
      <w:divBdr>
        <w:top w:val="none" w:sz="0" w:space="0" w:color="auto"/>
        <w:left w:val="none" w:sz="0" w:space="0" w:color="auto"/>
        <w:bottom w:val="none" w:sz="0" w:space="0" w:color="auto"/>
        <w:right w:val="none" w:sz="0" w:space="0" w:color="auto"/>
      </w:divBdr>
    </w:div>
    <w:div w:id="869760745">
      <w:marLeft w:val="0"/>
      <w:marRight w:val="0"/>
      <w:marTop w:val="0"/>
      <w:marBottom w:val="0"/>
      <w:divBdr>
        <w:top w:val="none" w:sz="0" w:space="0" w:color="auto"/>
        <w:left w:val="none" w:sz="0" w:space="0" w:color="auto"/>
        <w:bottom w:val="none" w:sz="0" w:space="0" w:color="auto"/>
        <w:right w:val="none" w:sz="0" w:space="0" w:color="auto"/>
      </w:divBdr>
      <w:divsChild>
        <w:div w:id="1535649859">
          <w:marLeft w:val="0"/>
          <w:marRight w:val="0"/>
          <w:marTop w:val="60"/>
          <w:marBottom w:val="60"/>
          <w:divBdr>
            <w:top w:val="none" w:sz="0" w:space="0" w:color="auto"/>
            <w:left w:val="none" w:sz="0" w:space="0" w:color="auto"/>
            <w:bottom w:val="none" w:sz="0" w:space="0" w:color="auto"/>
            <w:right w:val="none" w:sz="0" w:space="0" w:color="auto"/>
          </w:divBdr>
        </w:div>
      </w:divsChild>
    </w:div>
    <w:div w:id="870728879">
      <w:marLeft w:val="0"/>
      <w:marRight w:val="0"/>
      <w:marTop w:val="100"/>
      <w:marBottom w:val="0"/>
      <w:divBdr>
        <w:top w:val="none" w:sz="0" w:space="0" w:color="auto"/>
        <w:left w:val="none" w:sz="0" w:space="0" w:color="auto"/>
        <w:bottom w:val="none" w:sz="0" w:space="0" w:color="auto"/>
        <w:right w:val="none" w:sz="0" w:space="0" w:color="auto"/>
      </w:divBdr>
      <w:divsChild>
        <w:div w:id="888035324">
          <w:marLeft w:val="0"/>
          <w:marRight w:val="0"/>
          <w:marTop w:val="0"/>
          <w:marBottom w:val="0"/>
          <w:divBdr>
            <w:top w:val="none" w:sz="0" w:space="0" w:color="auto"/>
            <w:left w:val="none" w:sz="0" w:space="0" w:color="auto"/>
            <w:bottom w:val="none" w:sz="0" w:space="0" w:color="auto"/>
            <w:right w:val="none" w:sz="0" w:space="0" w:color="auto"/>
          </w:divBdr>
        </w:div>
        <w:div w:id="226647964">
          <w:marLeft w:val="0"/>
          <w:marRight w:val="0"/>
          <w:marTop w:val="0"/>
          <w:marBottom w:val="0"/>
          <w:divBdr>
            <w:top w:val="none" w:sz="0" w:space="0" w:color="auto"/>
            <w:left w:val="none" w:sz="0" w:space="0" w:color="auto"/>
            <w:bottom w:val="none" w:sz="0" w:space="0" w:color="auto"/>
            <w:right w:val="none" w:sz="0" w:space="0" w:color="auto"/>
          </w:divBdr>
        </w:div>
        <w:div w:id="287400266">
          <w:marLeft w:val="0"/>
          <w:marRight w:val="0"/>
          <w:marTop w:val="0"/>
          <w:marBottom w:val="0"/>
          <w:divBdr>
            <w:top w:val="none" w:sz="0" w:space="0" w:color="auto"/>
            <w:left w:val="none" w:sz="0" w:space="0" w:color="auto"/>
            <w:bottom w:val="none" w:sz="0" w:space="0" w:color="auto"/>
            <w:right w:val="none" w:sz="0" w:space="0" w:color="auto"/>
          </w:divBdr>
        </w:div>
        <w:div w:id="168645852">
          <w:marLeft w:val="0"/>
          <w:marRight w:val="0"/>
          <w:marTop w:val="0"/>
          <w:marBottom w:val="0"/>
          <w:divBdr>
            <w:top w:val="none" w:sz="0" w:space="0" w:color="auto"/>
            <w:left w:val="none" w:sz="0" w:space="0" w:color="auto"/>
            <w:bottom w:val="none" w:sz="0" w:space="0" w:color="auto"/>
            <w:right w:val="none" w:sz="0" w:space="0" w:color="auto"/>
          </w:divBdr>
        </w:div>
        <w:div w:id="761728713">
          <w:marLeft w:val="0"/>
          <w:marRight w:val="0"/>
          <w:marTop w:val="0"/>
          <w:marBottom w:val="0"/>
          <w:divBdr>
            <w:top w:val="none" w:sz="0" w:space="0" w:color="auto"/>
            <w:left w:val="none" w:sz="0" w:space="0" w:color="auto"/>
            <w:bottom w:val="none" w:sz="0" w:space="0" w:color="auto"/>
            <w:right w:val="none" w:sz="0" w:space="0" w:color="auto"/>
          </w:divBdr>
        </w:div>
        <w:div w:id="859976936">
          <w:marLeft w:val="0"/>
          <w:marRight w:val="0"/>
          <w:marTop w:val="0"/>
          <w:marBottom w:val="0"/>
          <w:divBdr>
            <w:top w:val="none" w:sz="0" w:space="0" w:color="auto"/>
            <w:left w:val="none" w:sz="0" w:space="0" w:color="auto"/>
            <w:bottom w:val="none" w:sz="0" w:space="0" w:color="auto"/>
            <w:right w:val="none" w:sz="0" w:space="0" w:color="auto"/>
          </w:divBdr>
        </w:div>
        <w:div w:id="772626414">
          <w:marLeft w:val="0"/>
          <w:marRight w:val="0"/>
          <w:marTop w:val="0"/>
          <w:marBottom w:val="0"/>
          <w:divBdr>
            <w:top w:val="none" w:sz="0" w:space="0" w:color="auto"/>
            <w:left w:val="none" w:sz="0" w:space="0" w:color="auto"/>
            <w:bottom w:val="none" w:sz="0" w:space="0" w:color="auto"/>
            <w:right w:val="none" w:sz="0" w:space="0" w:color="auto"/>
          </w:divBdr>
        </w:div>
        <w:div w:id="2055737076">
          <w:marLeft w:val="0"/>
          <w:marRight w:val="0"/>
          <w:marTop w:val="0"/>
          <w:marBottom w:val="0"/>
          <w:divBdr>
            <w:top w:val="none" w:sz="0" w:space="0" w:color="auto"/>
            <w:left w:val="none" w:sz="0" w:space="0" w:color="auto"/>
            <w:bottom w:val="none" w:sz="0" w:space="0" w:color="auto"/>
            <w:right w:val="none" w:sz="0" w:space="0" w:color="auto"/>
          </w:divBdr>
        </w:div>
        <w:div w:id="687875106">
          <w:marLeft w:val="0"/>
          <w:marRight w:val="0"/>
          <w:marTop w:val="0"/>
          <w:marBottom w:val="0"/>
          <w:divBdr>
            <w:top w:val="none" w:sz="0" w:space="0" w:color="auto"/>
            <w:left w:val="none" w:sz="0" w:space="0" w:color="auto"/>
            <w:bottom w:val="none" w:sz="0" w:space="0" w:color="auto"/>
            <w:right w:val="none" w:sz="0" w:space="0" w:color="auto"/>
          </w:divBdr>
        </w:div>
        <w:div w:id="1201671822">
          <w:marLeft w:val="0"/>
          <w:marRight w:val="0"/>
          <w:marTop w:val="0"/>
          <w:marBottom w:val="0"/>
          <w:divBdr>
            <w:top w:val="none" w:sz="0" w:space="0" w:color="auto"/>
            <w:left w:val="none" w:sz="0" w:space="0" w:color="auto"/>
            <w:bottom w:val="none" w:sz="0" w:space="0" w:color="auto"/>
            <w:right w:val="none" w:sz="0" w:space="0" w:color="auto"/>
          </w:divBdr>
        </w:div>
        <w:div w:id="1956016206">
          <w:marLeft w:val="0"/>
          <w:marRight w:val="0"/>
          <w:marTop w:val="0"/>
          <w:marBottom w:val="0"/>
          <w:divBdr>
            <w:top w:val="none" w:sz="0" w:space="0" w:color="auto"/>
            <w:left w:val="none" w:sz="0" w:space="0" w:color="auto"/>
            <w:bottom w:val="none" w:sz="0" w:space="0" w:color="auto"/>
            <w:right w:val="none" w:sz="0" w:space="0" w:color="auto"/>
          </w:divBdr>
        </w:div>
        <w:div w:id="248386848">
          <w:marLeft w:val="0"/>
          <w:marRight w:val="0"/>
          <w:marTop w:val="0"/>
          <w:marBottom w:val="0"/>
          <w:divBdr>
            <w:top w:val="none" w:sz="0" w:space="0" w:color="auto"/>
            <w:left w:val="none" w:sz="0" w:space="0" w:color="auto"/>
            <w:bottom w:val="none" w:sz="0" w:space="0" w:color="auto"/>
            <w:right w:val="none" w:sz="0" w:space="0" w:color="auto"/>
          </w:divBdr>
        </w:div>
        <w:div w:id="1925337304">
          <w:marLeft w:val="0"/>
          <w:marRight w:val="0"/>
          <w:marTop w:val="0"/>
          <w:marBottom w:val="0"/>
          <w:divBdr>
            <w:top w:val="none" w:sz="0" w:space="0" w:color="auto"/>
            <w:left w:val="none" w:sz="0" w:space="0" w:color="auto"/>
            <w:bottom w:val="none" w:sz="0" w:space="0" w:color="auto"/>
            <w:right w:val="none" w:sz="0" w:space="0" w:color="auto"/>
          </w:divBdr>
        </w:div>
        <w:div w:id="72242481">
          <w:marLeft w:val="0"/>
          <w:marRight w:val="0"/>
          <w:marTop w:val="0"/>
          <w:marBottom w:val="0"/>
          <w:divBdr>
            <w:top w:val="none" w:sz="0" w:space="0" w:color="auto"/>
            <w:left w:val="none" w:sz="0" w:space="0" w:color="auto"/>
            <w:bottom w:val="none" w:sz="0" w:space="0" w:color="auto"/>
            <w:right w:val="none" w:sz="0" w:space="0" w:color="auto"/>
          </w:divBdr>
        </w:div>
        <w:div w:id="1783573555">
          <w:marLeft w:val="0"/>
          <w:marRight w:val="0"/>
          <w:marTop w:val="0"/>
          <w:marBottom w:val="0"/>
          <w:divBdr>
            <w:top w:val="none" w:sz="0" w:space="0" w:color="auto"/>
            <w:left w:val="none" w:sz="0" w:space="0" w:color="auto"/>
            <w:bottom w:val="none" w:sz="0" w:space="0" w:color="auto"/>
            <w:right w:val="none" w:sz="0" w:space="0" w:color="auto"/>
          </w:divBdr>
        </w:div>
      </w:divsChild>
    </w:div>
    <w:div w:id="872301209">
      <w:marLeft w:val="0"/>
      <w:marRight w:val="0"/>
      <w:marTop w:val="180"/>
      <w:marBottom w:val="180"/>
      <w:divBdr>
        <w:top w:val="none" w:sz="0" w:space="0" w:color="auto"/>
        <w:left w:val="none" w:sz="0" w:space="0" w:color="auto"/>
        <w:bottom w:val="none" w:sz="0" w:space="0" w:color="auto"/>
        <w:right w:val="none" w:sz="0" w:space="0" w:color="auto"/>
      </w:divBdr>
    </w:div>
    <w:div w:id="872574119">
      <w:marLeft w:val="0"/>
      <w:marRight w:val="0"/>
      <w:marTop w:val="180"/>
      <w:marBottom w:val="180"/>
      <w:divBdr>
        <w:top w:val="none" w:sz="0" w:space="0" w:color="auto"/>
        <w:left w:val="none" w:sz="0" w:space="0" w:color="auto"/>
        <w:bottom w:val="none" w:sz="0" w:space="0" w:color="auto"/>
        <w:right w:val="none" w:sz="0" w:space="0" w:color="auto"/>
      </w:divBdr>
    </w:div>
    <w:div w:id="873156413">
      <w:marLeft w:val="0"/>
      <w:marRight w:val="0"/>
      <w:marTop w:val="60"/>
      <w:marBottom w:val="60"/>
      <w:divBdr>
        <w:top w:val="none" w:sz="0" w:space="0" w:color="auto"/>
        <w:left w:val="none" w:sz="0" w:space="0" w:color="auto"/>
        <w:bottom w:val="none" w:sz="0" w:space="0" w:color="auto"/>
        <w:right w:val="none" w:sz="0" w:space="0" w:color="auto"/>
      </w:divBdr>
    </w:div>
    <w:div w:id="873930636">
      <w:marLeft w:val="0"/>
      <w:marRight w:val="0"/>
      <w:marTop w:val="180"/>
      <w:marBottom w:val="0"/>
      <w:divBdr>
        <w:top w:val="none" w:sz="0" w:space="0" w:color="auto"/>
        <w:left w:val="none" w:sz="0" w:space="0" w:color="auto"/>
        <w:bottom w:val="none" w:sz="0" w:space="0" w:color="auto"/>
        <w:right w:val="none" w:sz="0" w:space="0" w:color="auto"/>
      </w:divBdr>
    </w:div>
    <w:div w:id="874460607">
      <w:marLeft w:val="0"/>
      <w:marRight w:val="0"/>
      <w:marTop w:val="0"/>
      <w:marBottom w:val="0"/>
      <w:divBdr>
        <w:top w:val="none" w:sz="0" w:space="0" w:color="auto"/>
        <w:left w:val="none" w:sz="0" w:space="0" w:color="auto"/>
        <w:bottom w:val="none" w:sz="0" w:space="0" w:color="auto"/>
        <w:right w:val="none" w:sz="0" w:space="0" w:color="auto"/>
      </w:divBdr>
      <w:divsChild>
        <w:div w:id="1298298803">
          <w:marLeft w:val="0"/>
          <w:marRight w:val="0"/>
          <w:marTop w:val="0"/>
          <w:marBottom w:val="0"/>
          <w:divBdr>
            <w:top w:val="none" w:sz="0" w:space="0" w:color="auto"/>
            <w:left w:val="none" w:sz="0" w:space="0" w:color="auto"/>
            <w:bottom w:val="none" w:sz="0" w:space="0" w:color="auto"/>
            <w:right w:val="none" w:sz="0" w:space="0" w:color="auto"/>
          </w:divBdr>
          <w:divsChild>
            <w:div w:id="151730994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74777748">
      <w:marLeft w:val="0"/>
      <w:marRight w:val="0"/>
      <w:marTop w:val="180"/>
      <w:marBottom w:val="180"/>
      <w:divBdr>
        <w:top w:val="none" w:sz="0" w:space="0" w:color="auto"/>
        <w:left w:val="none" w:sz="0" w:space="0" w:color="auto"/>
        <w:bottom w:val="none" w:sz="0" w:space="0" w:color="auto"/>
        <w:right w:val="none" w:sz="0" w:space="0" w:color="auto"/>
      </w:divBdr>
    </w:div>
    <w:div w:id="875046439">
      <w:marLeft w:val="0"/>
      <w:marRight w:val="0"/>
      <w:marTop w:val="180"/>
      <w:marBottom w:val="180"/>
      <w:divBdr>
        <w:top w:val="none" w:sz="0" w:space="0" w:color="auto"/>
        <w:left w:val="none" w:sz="0" w:space="0" w:color="auto"/>
        <w:bottom w:val="none" w:sz="0" w:space="0" w:color="auto"/>
        <w:right w:val="none" w:sz="0" w:space="0" w:color="auto"/>
      </w:divBdr>
    </w:div>
    <w:div w:id="875239439">
      <w:marLeft w:val="0"/>
      <w:marRight w:val="0"/>
      <w:marTop w:val="0"/>
      <w:marBottom w:val="0"/>
      <w:divBdr>
        <w:top w:val="none" w:sz="0" w:space="0" w:color="auto"/>
        <w:left w:val="none" w:sz="0" w:space="0" w:color="auto"/>
        <w:bottom w:val="none" w:sz="0" w:space="0" w:color="auto"/>
        <w:right w:val="none" w:sz="0" w:space="0" w:color="auto"/>
      </w:divBdr>
    </w:div>
    <w:div w:id="876350856">
      <w:marLeft w:val="0"/>
      <w:marRight w:val="0"/>
      <w:marTop w:val="180"/>
      <w:marBottom w:val="180"/>
      <w:divBdr>
        <w:top w:val="none" w:sz="0" w:space="0" w:color="auto"/>
        <w:left w:val="none" w:sz="0" w:space="0" w:color="auto"/>
        <w:bottom w:val="none" w:sz="0" w:space="0" w:color="auto"/>
        <w:right w:val="none" w:sz="0" w:space="0" w:color="auto"/>
      </w:divBdr>
    </w:div>
    <w:div w:id="877083586">
      <w:marLeft w:val="0"/>
      <w:marRight w:val="0"/>
      <w:marTop w:val="60"/>
      <w:marBottom w:val="60"/>
      <w:divBdr>
        <w:top w:val="none" w:sz="0" w:space="0" w:color="auto"/>
        <w:left w:val="none" w:sz="0" w:space="0" w:color="auto"/>
        <w:bottom w:val="none" w:sz="0" w:space="0" w:color="auto"/>
        <w:right w:val="none" w:sz="0" w:space="0" w:color="auto"/>
      </w:divBdr>
    </w:div>
    <w:div w:id="878473836">
      <w:marLeft w:val="0"/>
      <w:marRight w:val="0"/>
      <w:marTop w:val="60"/>
      <w:marBottom w:val="60"/>
      <w:divBdr>
        <w:top w:val="none" w:sz="0" w:space="0" w:color="auto"/>
        <w:left w:val="none" w:sz="0" w:space="0" w:color="auto"/>
        <w:bottom w:val="none" w:sz="0" w:space="0" w:color="auto"/>
        <w:right w:val="none" w:sz="0" w:space="0" w:color="auto"/>
      </w:divBdr>
    </w:div>
    <w:div w:id="879705970">
      <w:marLeft w:val="0"/>
      <w:marRight w:val="0"/>
      <w:marTop w:val="180"/>
      <w:marBottom w:val="180"/>
      <w:divBdr>
        <w:top w:val="none" w:sz="0" w:space="0" w:color="auto"/>
        <w:left w:val="none" w:sz="0" w:space="0" w:color="auto"/>
        <w:bottom w:val="none" w:sz="0" w:space="0" w:color="auto"/>
        <w:right w:val="none" w:sz="0" w:space="0" w:color="auto"/>
      </w:divBdr>
    </w:div>
    <w:div w:id="879781391">
      <w:marLeft w:val="0"/>
      <w:marRight w:val="0"/>
      <w:marTop w:val="180"/>
      <w:marBottom w:val="180"/>
      <w:divBdr>
        <w:top w:val="none" w:sz="0" w:space="0" w:color="auto"/>
        <w:left w:val="none" w:sz="0" w:space="0" w:color="auto"/>
        <w:bottom w:val="none" w:sz="0" w:space="0" w:color="auto"/>
        <w:right w:val="none" w:sz="0" w:space="0" w:color="auto"/>
      </w:divBdr>
    </w:div>
    <w:div w:id="881408822">
      <w:marLeft w:val="0"/>
      <w:marRight w:val="0"/>
      <w:marTop w:val="100"/>
      <w:marBottom w:val="0"/>
      <w:divBdr>
        <w:top w:val="none" w:sz="0" w:space="0" w:color="auto"/>
        <w:left w:val="none" w:sz="0" w:space="0" w:color="auto"/>
        <w:bottom w:val="none" w:sz="0" w:space="0" w:color="auto"/>
        <w:right w:val="none" w:sz="0" w:space="0" w:color="auto"/>
      </w:divBdr>
    </w:div>
    <w:div w:id="882061888">
      <w:marLeft w:val="0"/>
      <w:marRight w:val="0"/>
      <w:marTop w:val="60"/>
      <w:marBottom w:val="60"/>
      <w:divBdr>
        <w:top w:val="none" w:sz="0" w:space="0" w:color="auto"/>
        <w:left w:val="none" w:sz="0" w:space="0" w:color="auto"/>
        <w:bottom w:val="none" w:sz="0" w:space="0" w:color="auto"/>
        <w:right w:val="none" w:sz="0" w:space="0" w:color="auto"/>
      </w:divBdr>
    </w:div>
    <w:div w:id="887759436">
      <w:marLeft w:val="0"/>
      <w:marRight w:val="0"/>
      <w:marTop w:val="60"/>
      <w:marBottom w:val="60"/>
      <w:divBdr>
        <w:top w:val="none" w:sz="0" w:space="0" w:color="auto"/>
        <w:left w:val="none" w:sz="0" w:space="0" w:color="auto"/>
        <w:bottom w:val="none" w:sz="0" w:space="0" w:color="auto"/>
        <w:right w:val="none" w:sz="0" w:space="0" w:color="auto"/>
      </w:divBdr>
    </w:div>
    <w:div w:id="889151756">
      <w:marLeft w:val="0"/>
      <w:marRight w:val="0"/>
      <w:marTop w:val="60"/>
      <w:marBottom w:val="60"/>
      <w:divBdr>
        <w:top w:val="none" w:sz="0" w:space="0" w:color="auto"/>
        <w:left w:val="none" w:sz="0" w:space="0" w:color="auto"/>
        <w:bottom w:val="none" w:sz="0" w:space="0" w:color="auto"/>
        <w:right w:val="none" w:sz="0" w:space="0" w:color="auto"/>
      </w:divBdr>
    </w:div>
    <w:div w:id="889418743">
      <w:marLeft w:val="0"/>
      <w:marRight w:val="0"/>
      <w:marTop w:val="0"/>
      <w:marBottom w:val="0"/>
      <w:divBdr>
        <w:top w:val="none" w:sz="0" w:space="0" w:color="auto"/>
        <w:left w:val="none" w:sz="0" w:space="0" w:color="auto"/>
        <w:bottom w:val="none" w:sz="0" w:space="0" w:color="auto"/>
        <w:right w:val="none" w:sz="0" w:space="0" w:color="auto"/>
      </w:divBdr>
    </w:div>
    <w:div w:id="890380938">
      <w:marLeft w:val="0"/>
      <w:marRight w:val="0"/>
      <w:marTop w:val="180"/>
      <w:marBottom w:val="180"/>
      <w:divBdr>
        <w:top w:val="none" w:sz="0" w:space="0" w:color="auto"/>
        <w:left w:val="none" w:sz="0" w:space="0" w:color="auto"/>
        <w:bottom w:val="none" w:sz="0" w:space="0" w:color="auto"/>
        <w:right w:val="none" w:sz="0" w:space="0" w:color="auto"/>
      </w:divBdr>
    </w:div>
    <w:div w:id="890383721">
      <w:marLeft w:val="0"/>
      <w:marRight w:val="0"/>
      <w:marTop w:val="180"/>
      <w:marBottom w:val="180"/>
      <w:divBdr>
        <w:top w:val="none" w:sz="0" w:space="0" w:color="auto"/>
        <w:left w:val="none" w:sz="0" w:space="0" w:color="auto"/>
        <w:bottom w:val="none" w:sz="0" w:space="0" w:color="auto"/>
        <w:right w:val="none" w:sz="0" w:space="0" w:color="auto"/>
      </w:divBdr>
    </w:div>
    <w:div w:id="894315066">
      <w:marLeft w:val="0"/>
      <w:marRight w:val="0"/>
      <w:marTop w:val="180"/>
      <w:marBottom w:val="180"/>
      <w:divBdr>
        <w:top w:val="none" w:sz="0" w:space="0" w:color="auto"/>
        <w:left w:val="none" w:sz="0" w:space="0" w:color="auto"/>
        <w:bottom w:val="none" w:sz="0" w:space="0" w:color="auto"/>
        <w:right w:val="none" w:sz="0" w:space="0" w:color="auto"/>
      </w:divBdr>
    </w:div>
    <w:div w:id="896433814">
      <w:marLeft w:val="0"/>
      <w:marRight w:val="0"/>
      <w:marTop w:val="60"/>
      <w:marBottom w:val="60"/>
      <w:divBdr>
        <w:top w:val="none" w:sz="0" w:space="0" w:color="auto"/>
        <w:left w:val="none" w:sz="0" w:space="0" w:color="auto"/>
        <w:bottom w:val="none" w:sz="0" w:space="0" w:color="auto"/>
        <w:right w:val="none" w:sz="0" w:space="0" w:color="auto"/>
      </w:divBdr>
    </w:div>
    <w:div w:id="899562924">
      <w:marLeft w:val="0"/>
      <w:marRight w:val="0"/>
      <w:marTop w:val="60"/>
      <w:marBottom w:val="60"/>
      <w:divBdr>
        <w:top w:val="none" w:sz="0" w:space="0" w:color="auto"/>
        <w:left w:val="none" w:sz="0" w:space="0" w:color="auto"/>
        <w:bottom w:val="none" w:sz="0" w:space="0" w:color="auto"/>
        <w:right w:val="none" w:sz="0" w:space="0" w:color="auto"/>
      </w:divBdr>
    </w:div>
    <w:div w:id="899634478">
      <w:marLeft w:val="0"/>
      <w:marRight w:val="0"/>
      <w:marTop w:val="180"/>
      <w:marBottom w:val="180"/>
      <w:divBdr>
        <w:top w:val="none" w:sz="0" w:space="0" w:color="auto"/>
        <w:left w:val="none" w:sz="0" w:space="0" w:color="auto"/>
        <w:bottom w:val="none" w:sz="0" w:space="0" w:color="auto"/>
        <w:right w:val="none" w:sz="0" w:space="0" w:color="auto"/>
      </w:divBdr>
    </w:div>
    <w:div w:id="900678211">
      <w:marLeft w:val="0"/>
      <w:marRight w:val="0"/>
      <w:marTop w:val="0"/>
      <w:marBottom w:val="0"/>
      <w:divBdr>
        <w:top w:val="none" w:sz="0" w:space="0" w:color="auto"/>
        <w:left w:val="none" w:sz="0" w:space="0" w:color="auto"/>
        <w:bottom w:val="none" w:sz="0" w:space="0" w:color="auto"/>
        <w:right w:val="none" w:sz="0" w:space="0" w:color="auto"/>
      </w:divBdr>
    </w:div>
    <w:div w:id="903296115">
      <w:marLeft w:val="0"/>
      <w:marRight w:val="0"/>
      <w:marTop w:val="180"/>
      <w:marBottom w:val="180"/>
      <w:divBdr>
        <w:top w:val="none" w:sz="0" w:space="0" w:color="auto"/>
        <w:left w:val="none" w:sz="0" w:space="0" w:color="auto"/>
        <w:bottom w:val="none" w:sz="0" w:space="0" w:color="auto"/>
        <w:right w:val="none" w:sz="0" w:space="0" w:color="auto"/>
      </w:divBdr>
      <w:divsChild>
        <w:div w:id="1953053076">
          <w:marLeft w:val="0"/>
          <w:marRight w:val="0"/>
          <w:marTop w:val="0"/>
          <w:marBottom w:val="0"/>
          <w:divBdr>
            <w:top w:val="none" w:sz="0" w:space="0" w:color="auto"/>
            <w:left w:val="none" w:sz="0" w:space="0" w:color="auto"/>
            <w:bottom w:val="none" w:sz="0" w:space="0" w:color="auto"/>
            <w:right w:val="none" w:sz="0" w:space="0" w:color="auto"/>
          </w:divBdr>
        </w:div>
      </w:divsChild>
    </w:div>
    <w:div w:id="904101295">
      <w:marLeft w:val="0"/>
      <w:marRight w:val="0"/>
      <w:marTop w:val="180"/>
      <w:marBottom w:val="0"/>
      <w:divBdr>
        <w:top w:val="none" w:sz="0" w:space="0" w:color="auto"/>
        <w:left w:val="none" w:sz="0" w:space="0" w:color="auto"/>
        <w:bottom w:val="none" w:sz="0" w:space="0" w:color="auto"/>
        <w:right w:val="none" w:sz="0" w:space="0" w:color="auto"/>
      </w:divBdr>
    </w:div>
    <w:div w:id="904534047">
      <w:marLeft w:val="0"/>
      <w:marRight w:val="0"/>
      <w:marTop w:val="180"/>
      <w:marBottom w:val="180"/>
      <w:divBdr>
        <w:top w:val="none" w:sz="0" w:space="0" w:color="auto"/>
        <w:left w:val="none" w:sz="0" w:space="0" w:color="auto"/>
        <w:bottom w:val="none" w:sz="0" w:space="0" w:color="auto"/>
        <w:right w:val="none" w:sz="0" w:space="0" w:color="auto"/>
      </w:divBdr>
    </w:div>
    <w:div w:id="904559934">
      <w:marLeft w:val="0"/>
      <w:marRight w:val="0"/>
      <w:marTop w:val="180"/>
      <w:marBottom w:val="60"/>
      <w:divBdr>
        <w:top w:val="none" w:sz="0" w:space="0" w:color="auto"/>
        <w:left w:val="none" w:sz="0" w:space="0" w:color="auto"/>
        <w:bottom w:val="none" w:sz="0" w:space="0" w:color="auto"/>
        <w:right w:val="none" w:sz="0" w:space="0" w:color="auto"/>
      </w:divBdr>
    </w:div>
    <w:div w:id="909076844">
      <w:marLeft w:val="0"/>
      <w:marRight w:val="0"/>
      <w:marTop w:val="180"/>
      <w:marBottom w:val="180"/>
      <w:divBdr>
        <w:top w:val="none" w:sz="0" w:space="0" w:color="auto"/>
        <w:left w:val="none" w:sz="0" w:space="0" w:color="auto"/>
        <w:bottom w:val="none" w:sz="0" w:space="0" w:color="auto"/>
        <w:right w:val="none" w:sz="0" w:space="0" w:color="auto"/>
      </w:divBdr>
    </w:div>
    <w:div w:id="909727478">
      <w:marLeft w:val="0"/>
      <w:marRight w:val="0"/>
      <w:marTop w:val="60"/>
      <w:marBottom w:val="60"/>
      <w:divBdr>
        <w:top w:val="none" w:sz="0" w:space="0" w:color="auto"/>
        <w:left w:val="none" w:sz="0" w:space="0" w:color="auto"/>
        <w:bottom w:val="none" w:sz="0" w:space="0" w:color="auto"/>
        <w:right w:val="none" w:sz="0" w:space="0" w:color="auto"/>
      </w:divBdr>
    </w:div>
    <w:div w:id="910965562">
      <w:marLeft w:val="0"/>
      <w:marRight w:val="0"/>
      <w:marTop w:val="0"/>
      <w:marBottom w:val="0"/>
      <w:divBdr>
        <w:top w:val="none" w:sz="0" w:space="0" w:color="auto"/>
        <w:left w:val="none" w:sz="0" w:space="0" w:color="auto"/>
        <w:bottom w:val="none" w:sz="0" w:space="0" w:color="auto"/>
        <w:right w:val="none" w:sz="0" w:space="0" w:color="auto"/>
      </w:divBdr>
      <w:divsChild>
        <w:div w:id="2083483877">
          <w:marLeft w:val="0"/>
          <w:marRight w:val="0"/>
          <w:marTop w:val="0"/>
          <w:marBottom w:val="0"/>
          <w:divBdr>
            <w:top w:val="none" w:sz="0" w:space="0" w:color="auto"/>
            <w:left w:val="none" w:sz="0" w:space="0" w:color="auto"/>
            <w:bottom w:val="none" w:sz="0" w:space="0" w:color="auto"/>
            <w:right w:val="none" w:sz="0" w:space="0" w:color="auto"/>
          </w:divBdr>
          <w:divsChild>
            <w:div w:id="49226251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13903893">
      <w:marLeft w:val="0"/>
      <w:marRight w:val="0"/>
      <w:marTop w:val="0"/>
      <w:marBottom w:val="0"/>
      <w:divBdr>
        <w:top w:val="none" w:sz="0" w:space="0" w:color="auto"/>
        <w:left w:val="none" w:sz="0" w:space="0" w:color="auto"/>
        <w:bottom w:val="none" w:sz="0" w:space="0" w:color="auto"/>
        <w:right w:val="none" w:sz="0" w:space="0" w:color="auto"/>
      </w:divBdr>
      <w:divsChild>
        <w:div w:id="744493185">
          <w:marLeft w:val="0"/>
          <w:marRight w:val="0"/>
          <w:marTop w:val="60"/>
          <w:marBottom w:val="60"/>
          <w:divBdr>
            <w:top w:val="none" w:sz="0" w:space="0" w:color="auto"/>
            <w:left w:val="none" w:sz="0" w:space="0" w:color="auto"/>
            <w:bottom w:val="none" w:sz="0" w:space="0" w:color="auto"/>
            <w:right w:val="none" w:sz="0" w:space="0" w:color="auto"/>
          </w:divBdr>
        </w:div>
      </w:divsChild>
    </w:div>
    <w:div w:id="916087972">
      <w:marLeft w:val="0"/>
      <w:marRight w:val="0"/>
      <w:marTop w:val="0"/>
      <w:marBottom w:val="180"/>
      <w:divBdr>
        <w:top w:val="none" w:sz="0" w:space="0" w:color="auto"/>
        <w:left w:val="none" w:sz="0" w:space="0" w:color="auto"/>
        <w:bottom w:val="none" w:sz="0" w:space="0" w:color="auto"/>
        <w:right w:val="none" w:sz="0" w:space="0" w:color="auto"/>
      </w:divBdr>
    </w:div>
    <w:div w:id="919339226">
      <w:marLeft w:val="0"/>
      <w:marRight w:val="0"/>
      <w:marTop w:val="180"/>
      <w:marBottom w:val="180"/>
      <w:divBdr>
        <w:top w:val="none" w:sz="0" w:space="0" w:color="auto"/>
        <w:left w:val="none" w:sz="0" w:space="0" w:color="auto"/>
        <w:bottom w:val="none" w:sz="0" w:space="0" w:color="auto"/>
        <w:right w:val="none" w:sz="0" w:space="0" w:color="auto"/>
      </w:divBdr>
    </w:div>
    <w:div w:id="920216548">
      <w:marLeft w:val="0"/>
      <w:marRight w:val="0"/>
      <w:marTop w:val="180"/>
      <w:marBottom w:val="180"/>
      <w:divBdr>
        <w:top w:val="none" w:sz="0" w:space="0" w:color="auto"/>
        <w:left w:val="none" w:sz="0" w:space="0" w:color="auto"/>
        <w:bottom w:val="none" w:sz="0" w:space="0" w:color="auto"/>
        <w:right w:val="none" w:sz="0" w:space="0" w:color="auto"/>
      </w:divBdr>
    </w:div>
    <w:div w:id="924073463">
      <w:marLeft w:val="0"/>
      <w:marRight w:val="0"/>
      <w:marTop w:val="180"/>
      <w:marBottom w:val="180"/>
      <w:divBdr>
        <w:top w:val="none" w:sz="0" w:space="0" w:color="auto"/>
        <w:left w:val="none" w:sz="0" w:space="0" w:color="auto"/>
        <w:bottom w:val="none" w:sz="0" w:space="0" w:color="auto"/>
        <w:right w:val="none" w:sz="0" w:space="0" w:color="auto"/>
      </w:divBdr>
    </w:div>
    <w:div w:id="925915748">
      <w:marLeft w:val="0"/>
      <w:marRight w:val="0"/>
      <w:marTop w:val="180"/>
      <w:marBottom w:val="180"/>
      <w:divBdr>
        <w:top w:val="none" w:sz="0" w:space="0" w:color="auto"/>
        <w:left w:val="none" w:sz="0" w:space="0" w:color="auto"/>
        <w:bottom w:val="none" w:sz="0" w:space="0" w:color="auto"/>
        <w:right w:val="none" w:sz="0" w:space="0" w:color="auto"/>
      </w:divBdr>
    </w:div>
    <w:div w:id="930165516">
      <w:marLeft w:val="0"/>
      <w:marRight w:val="0"/>
      <w:marTop w:val="180"/>
      <w:marBottom w:val="180"/>
      <w:divBdr>
        <w:top w:val="none" w:sz="0" w:space="0" w:color="auto"/>
        <w:left w:val="none" w:sz="0" w:space="0" w:color="auto"/>
        <w:bottom w:val="none" w:sz="0" w:space="0" w:color="auto"/>
        <w:right w:val="none" w:sz="0" w:space="0" w:color="auto"/>
      </w:divBdr>
    </w:div>
    <w:div w:id="934098320">
      <w:marLeft w:val="0"/>
      <w:marRight w:val="0"/>
      <w:marTop w:val="180"/>
      <w:marBottom w:val="180"/>
      <w:divBdr>
        <w:top w:val="none" w:sz="0" w:space="0" w:color="auto"/>
        <w:left w:val="none" w:sz="0" w:space="0" w:color="auto"/>
        <w:bottom w:val="none" w:sz="0" w:space="0" w:color="auto"/>
        <w:right w:val="none" w:sz="0" w:space="0" w:color="auto"/>
      </w:divBdr>
    </w:div>
    <w:div w:id="935017363">
      <w:marLeft w:val="0"/>
      <w:marRight w:val="0"/>
      <w:marTop w:val="180"/>
      <w:marBottom w:val="180"/>
      <w:divBdr>
        <w:top w:val="none" w:sz="0" w:space="0" w:color="auto"/>
        <w:left w:val="none" w:sz="0" w:space="0" w:color="auto"/>
        <w:bottom w:val="none" w:sz="0" w:space="0" w:color="auto"/>
        <w:right w:val="none" w:sz="0" w:space="0" w:color="auto"/>
      </w:divBdr>
    </w:div>
    <w:div w:id="935947245">
      <w:marLeft w:val="0"/>
      <w:marRight w:val="0"/>
      <w:marTop w:val="180"/>
      <w:marBottom w:val="180"/>
      <w:divBdr>
        <w:top w:val="none" w:sz="0" w:space="0" w:color="auto"/>
        <w:left w:val="none" w:sz="0" w:space="0" w:color="auto"/>
        <w:bottom w:val="none" w:sz="0" w:space="0" w:color="auto"/>
        <w:right w:val="none" w:sz="0" w:space="0" w:color="auto"/>
      </w:divBdr>
    </w:div>
    <w:div w:id="936329312">
      <w:marLeft w:val="0"/>
      <w:marRight w:val="0"/>
      <w:marTop w:val="100"/>
      <w:marBottom w:val="0"/>
      <w:divBdr>
        <w:top w:val="none" w:sz="0" w:space="0" w:color="auto"/>
        <w:left w:val="none" w:sz="0" w:space="0" w:color="auto"/>
        <w:bottom w:val="none" w:sz="0" w:space="0" w:color="auto"/>
        <w:right w:val="none" w:sz="0" w:space="0" w:color="auto"/>
      </w:divBdr>
    </w:div>
    <w:div w:id="936671089">
      <w:marLeft w:val="0"/>
      <w:marRight w:val="0"/>
      <w:marTop w:val="180"/>
      <w:marBottom w:val="60"/>
      <w:divBdr>
        <w:top w:val="none" w:sz="0" w:space="0" w:color="auto"/>
        <w:left w:val="none" w:sz="0" w:space="0" w:color="auto"/>
        <w:bottom w:val="none" w:sz="0" w:space="0" w:color="auto"/>
        <w:right w:val="none" w:sz="0" w:space="0" w:color="auto"/>
      </w:divBdr>
    </w:div>
    <w:div w:id="937830237">
      <w:marLeft w:val="0"/>
      <w:marRight w:val="0"/>
      <w:marTop w:val="180"/>
      <w:marBottom w:val="60"/>
      <w:divBdr>
        <w:top w:val="none" w:sz="0" w:space="0" w:color="auto"/>
        <w:left w:val="none" w:sz="0" w:space="0" w:color="auto"/>
        <w:bottom w:val="none" w:sz="0" w:space="0" w:color="auto"/>
        <w:right w:val="none" w:sz="0" w:space="0" w:color="auto"/>
      </w:divBdr>
    </w:div>
    <w:div w:id="938172187">
      <w:marLeft w:val="0"/>
      <w:marRight w:val="0"/>
      <w:marTop w:val="0"/>
      <w:marBottom w:val="0"/>
      <w:divBdr>
        <w:top w:val="none" w:sz="0" w:space="0" w:color="auto"/>
        <w:left w:val="none" w:sz="0" w:space="0" w:color="auto"/>
        <w:bottom w:val="none" w:sz="0" w:space="0" w:color="auto"/>
        <w:right w:val="none" w:sz="0" w:space="0" w:color="auto"/>
      </w:divBdr>
      <w:divsChild>
        <w:div w:id="1661419432">
          <w:marLeft w:val="0"/>
          <w:marRight w:val="0"/>
          <w:marTop w:val="60"/>
          <w:marBottom w:val="60"/>
          <w:divBdr>
            <w:top w:val="none" w:sz="0" w:space="0" w:color="auto"/>
            <w:left w:val="none" w:sz="0" w:space="0" w:color="auto"/>
            <w:bottom w:val="none" w:sz="0" w:space="0" w:color="auto"/>
            <w:right w:val="none" w:sz="0" w:space="0" w:color="auto"/>
          </w:divBdr>
        </w:div>
      </w:divsChild>
    </w:div>
    <w:div w:id="938946351">
      <w:marLeft w:val="0"/>
      <w:marRight w:val="0"/>
      <w:marTop w:val="180"/>
      <w:marBottom w:val="180"/>
      <w:divBdr>
        <w:top w:val="none" w:sz="0" w:space="0" w:color="auto"/>
        <w:left w:val="none" w:sz="0" w:space="0" w:color="auto"/>
        <w:bottom w:val="none" w:sz="0" w:space="0" w:color="auto"/>
        <w:right w:val="none" w:sz="0" w:space="0" w:color="auto"/>
      </w:divBdr>
    </w:div>
    <w:div w:id="939803331">
      <w:marLeft w:val="0"/>
      <w:marRight w:val="0"/>
      <w:marTop w:val="60"/>
      <w:marBottom w:val="60"/>
      <w:divBdr>
        <w:top w:val="none" w:sz="0" w:space="0" w:color="auto"/>
        <w:left w:val="none" w:sz="0" w:space="0" w:color="auto"/>
        <w:bottom w:val="none" w:sz="0" w:space="0" w:color="auto"/>
        <w:right w:val="none" w:sz="0" w:space="0" w:color="auto"/>
      </w:divBdr>
    </w:div>
    <w:div w:id="941644464">
      <w:marLeft w:val="0"/>
      <w:marRight w:val="0"/>
      <w:marTop w:val="0"/>
      <w:marBottom w:val="0"/>
      <w:divBdr>
        <w:top w:val="none" w:sz="0" w:space="0" w:color="auto"/>
        <w:left w:val="none" w:sz="0" w:space="0" w:color="auto"/>
        <w:bottom w:val="none" w:sz="0" w:space="0" w:color="auto"/>
        <w:right w:val="none" w:sz="0" w:space="0" w:color="auto"/>
      </w:divBdr>
    </w:div>
    <w:div w:id="942107007">
      <w:marLeft w:val="0"/>
      <w:marRight w:val="0"/>
      <w:marTop w:val="180"/>
      <w:marBottom w:val="60"/>
      <w:divBdr>
        <w:top w:val="none" w:sz="0" w:space="0" w:color="auto"/>
        <w:left w:val="none" w:sz="0" w:space="0" w:color="auto"/>
        <w:bottom w:val="none" w:sz="0" w:space="0" w:color="auto"/>
        <w:right w:val="none" w:sz="0" w:space="0" w:color="auto"/>
      </w:divBdr>
    </w:div>
    <w:div w:id="946811568">
      <w:marLeft w:val="0"/>
      <w:marRight w:val="0"/>
      <w:marTop w:val="60"/>
      <w:marBottom w:val="60"/>
      <w:divBdr>
        <w:top w:val="none" w:sz="0" w:space="0" w:color="auto"/>
        <w:left w:val="none" w:sz="0" w:space="0" w:color="auto"/>
        <w:bottom w:val="none" w:sz="0" w:space="0" w:color="auto"/>
        <w:right w:val="none" w:sz="0" w:space="0" w:color="auto"/>
      </w:divBdr>
    </w:div>
    <w:div w:id="947397533">
      <w:marLeft w:val="0"/>
      <w:marRight w:val="0"/>
      <w:marTop w:val="0"/>
      <w:marBottom w:val="0"/>
      <w:divBdr>
        <w:top w:val="none" w:sz="0" w:space="0" w:color="auto"/>
        <w:left w:val="none" w:sz="0" w:space="0" w:color="auto"/>
        <w:bottom w:val="none" w:sz="0" w:space="0" w:color="auto"/>
        <w:right w:val="none" w:sz="0" w:space="0" w:color="auto"/>
      </w:divBdr>
      <w:divsChild>
        <w:div w:id="1900440562">
          <w:marLeft w:val="0"/>
          <w:marRight w:val="0"/>
          <w:marTop w:val="60"/>
          <w:marBottom w:val="60"/>
          <w:divBdr>
            <w:top w:val="none" w:sz="0" w:space="0" w:color="auto"/>
            <w:left w:val="none" w:sz="0" w:space="0" w:color="auto"/>
            <w:bottom w:val="none" w:sz="0" w:space="0" w:color="auto"/>
            <w:right w:val="none" w:sz="0" w:space="0" w:color="auto"/>
          </w:divBdr>
        </w:div>
      </w:divsChild>
    </w:div>
    <w:div w:id="947398112">
      <w:marLeft w:val="0"/>
      <w:marRight w:val="0"/>
      <w:marTop w:val="180"/>
      <w:marBottom w:val="180"/>
      <w:divBdr>
        <w:top w:val="none" w:sz="0" w:space="0" w:color="auto"/>
        <w:left w:val="none" w:sz="0" w:space="0" w:color="auto"/>
        <w:bottom w:val="none" w:sz="0" w:space="0" w:color="auto"/>
        <w:right w:val="none" w:sz="0" w:space="0" w:color="auto"/>
      </w:divBdr>
    </w:div>
    <w:div w:id="948388142">
      <w:marLeft w:val="0"/>
      <w:marRight w:val="0"/>
      <w:marTop w:val="180"/>
      <w:marBottom w:val="60"/>
      <w:divBdr>
        <w:top w:val="none" w:sz="0" w:space="0" w:color="auto"/>
        <w:left w:val="none" w:sz="0" w:space="0" w:color="auto"/>
        <w:bottom w:val="none" w:sz="0" w:space="0" w:color="auto"/>
        <w:right w:val="none" w:sz="0" w:space="0" w:color="auto"/>
      </w:divBdr>
    </w:div>
    <w:div w:id="948704086">
      <w:marLeft w:val="0"/>
      <w:marRight w:val="0"/>
      <w:marTop w:val="60"/>
      <w:marBottom w:val="60"/>
      <w:divBdr>
        <w:top w:val="none" w:sz="0" w:space="0" w:color="auto"/>
        <w:left w:val="none" w:sz="0" w:space="0" w:color="auto"/>
        <w:bottom w:val="none" w:sz="0" w:space="0" w:color="auto"/>
        <w:right w:val="none" w:sz="0" w:space="0" w:color="auto"/>
      </w:divBdr>
    </w:div>
    <w:div w:id="949244329">
      <w:marLeft w:val="0"/>
      <w:marRight w:val="0"/>
      <w:marTop w:val="180"/>
      <w:marBottom w:val="180"/>
      <w:divBdr>
        <w:top w:val="none" w:sz="0" w:space="0" w:color="auto"/>
        <w:left w:val="none" w:sz="0" w:space="0" w:color="auto"/>
        <w:bottom w:val="none" w:sz="0" w:space="0" w:color="auto"/>
        <w:right w:val="none" w:sz="0" w:space="0" w:color="auto"/>
      </w:divBdr>
    </w:div>
    <w:div w:id="953319205">
      <w:marLeft w:val="0"/>
      <w:marRight w:val="0"/>
      <w:marTop w:val="60"/>
      <w:marBottom w:val="60"/>
      <w:divBdr>
        <w:top w:val="none" w:sz="0" w:space="0" w:color="auto"/>
        <w:left w:val="none" w:sz="0" w:space="0" w:color="auto"/>
        <w:bottom w:val="none" w:sz="0" w:space="0" w:color="auto"/>
        <w:right w:val="none" w:sz="0" w:space="0" w:color="auto"/>
      </w:divBdr>
      <w:divsChild>
        <w:div w:id="761953052">
          <w:marLeft w:val="0"/>
          <w:marRight w:val="0"/>
          <w:marTop w:val="0"/>
          <w:marBottom w:val="0"/>
          <w:divBdr>
            <w:top w:val="none" w:sz="0" w:space="0" w:color="auto"/>
            <w:left w:val="none" w:sz="0" w:space="0" w:color="auto"/>
            <w:bottom w:val="none" w:sz="0" w:space="0" w:color="auto"/>
            <w:right w:val="none" w:sz="0" w:space="0" w:color="auto"/>
          </w:divBdr>
        </w:div>
        <w:div w:id="61755237">
          <w:marLeft w:val="0"/>
          <w:marRight w:val="0"/>
          <w:marTop w:val="0"/>
          <w:marBottom w:val="0"/>
          <w:divBdr>
            <w:top w:val="none" w:sz="0" w:space="0" w:color="auto"/>
            <w:left w:val="none" w:sz="0" w:space="0" w:color="auto"/>
            <w:bottom w:val="none" w:sz="0" w:space="0" w:color="auto"/>
            <w:right w:val="none" w:sz="0" w:space="0" w:color="auto"/>
          </w:divBdr>
        </w:div>
        <w:div w:id="54354349">
          <w:marLeft w:val="0"/>
          <w:marRight w:val="0"/>
          <w:marTop w:val="0"/>
          <w:marBottom w:val="0"/>
          <w:divBdr>
            <w:top w:val="none" w:sz="0" w:space="0" w:color="auto"/>
            <w:left w:val="none" w:sz="0" w:space="0" w:color="auto"/>
            <w:bottom w:val="none" w:sz="0" w:space="0" w:color="auto"/>
            <w:right w:val="none" w:sz="0" w:space="0" w:color="auto"/>
          </w:divBdr>
        </w:div>
      </w:divsChild>
    </w:div>
    <w:div w:id="958800758">
      <w:marLeft w:val="0"/>
      <w:marRight w:val="0"/>
      <w:marTop w:val="0"/>
      <w:marBottom w:val="0"/>
      <w:divBdr>
        <w:top w:val="none" w:sz="0" w:space="0" w:color="auto"/>
        <w:left w:val="none" w:sz="0" w:space="0" w:color="auto"/>
        <w:bottom w:val="none" w:sz="0" w:space="0" w:color="auto"/>
        <w:right w:val="none" w:sz="0" w:space="0" w:color="auto"/>
      </w:divBdr>
    </w:div>
    <w:div w:id="959261031">
      <w:marLeft w:val="0"/>
      <w:marRight w:val="0"/>
      <w:marTop w:val="180"/>
      <w:marBottom w:val="180"/>
      <w:divBdr>
        <w:top w:val="none" w:sz="0" w:space="0" w:color="auto"/>
        <w:left w:val="none" w:sz="0" w:space="0" w:color="auto"/>
        <w:bottom w:val="none" w:sz="0" w:space="0" w:color="auto"/>
        <w:right w:val="none" w:sz="0" w:space="0" w:color="auto"/>
      </w:divBdr>
    </w:div>
    <w:div w:id="959337464">
      <w:marLeft w:val="0"/>
      <w:marRight w:val="0"/>
      <w:marTop w:val="180"/>
      <w:marBottom w:val="180"/>
      <w:divBdr>
        <w:top w:val="none" w:sz="0" w:space="0" w:color="auto"/>
        <w:left w:val="none" w:sz="0" w:space="0" w:color="auto"/>
        <w:bottom w:val="none" w:sz="0" w:space="0" w:color="auto"/>
        <w:right w:val="none" w:sz="0" w:space="0" w:color="auto"/>
      </w:divBdr>
    </w:div>
    <w:div w:id="960302379">
      <w:marLeft w:val="0"/>
      <w:marRight w:val="0"/>
      <w:marTop w:val="180"/>
      <w:marBottom w:val="180"/>
      <w:divBdr>
        <w:top w:val="none" w:sz="0" w:space="0" w:color="auto"/>
        <w:left w:val="none" w:sz="0" w:space="0" w:color="auto"/>
        <w:bottom w:val="none" w:sz="0" w:space="0" w:color="auto"/>
        <w:right w:val="none" w:sz="0" w:space="0" w:color="auto"/>
      </w:divBdr>
    </w:div>
    <w:div w:id="961229392">
      <w:marLeft w:val="0"/>
      <w:marRight w:val="0"/>
      <w:marTop w:val="180"/>
      <w:marBottom w:val="180"/>
      <w:divBdr>
        <w:top w:val="none" w:sz="0" w:space="0" w:color="auto"/>
        <w:left w:val="none" w:sz="0" w:space="0" w:color="auto"/>
        <w:bottom w:val="none" w:sz="0" w:space="0" w:color="auto"/>
        <w:right w:val="none" w:sz="0" w:space="0" w:color="auto"/>
      </w:divBdr>
    </w:div>
    <w:div w:id="962466495">
      <w:marLeft w:val="0"/>
      <w:marRight w:val="0"/>
      <w:marTop w:val="0"/>
      <w:marBottom w:val="0"/>
      <w:divBdr>
        <w:top w:val="none" w:sz="0" w:space="0" w:color="auto"/>
        <w:left w:val="none" w:sz="0" w:space="0" w:color="auto"/>
        <w:bottom w:val="none" w:sz="0" w:space="0" w:color="auto"/>
        <w:right w:val="none" w:sz="0" w:space="0" w:color="auto"/>
      </w:divBdr>
      <w:divsChild>
        <w:div w:id="2038507834">
          <w:marLeft w:val="0"/>
          <w:marRight w:val="0"/>
          <w:marTop w:val="60"/>
          <w:marBottom w:val="60"/>
          <w:divBdr>
            <w:top w:val="none" w:sz="0" w:space="0" w:color="auto"/>
            <w:left w:val="none" w:sz="0" w:space="0" w:color="auto"/>
            <w:bottom w:val="none" w:sz="0" w:space="0" w:color="auto"/>
            <w:right w:val="none" w:sz="0" w:space="0" w:color="auto"/>
          </w:divBdr>
        </w:div>
      </w:divsChild>
    </w:div>
    <w:div w:id="963661731">
      <w:marLeft w:val="0"/>
      <w:marRight w:val="0"/>
      <w:marTop w:val="0"/>
      <w:marBottom w:val="0"/>
      <w:divBdr>
        <w:top w:val="none" w:sz="0" w:space="0" w:color="auto"/>
        <w:left w:val="none" w:sz="0" w:space="0" w:color="auto"/>
        <w:bottom w:val="none" w:sz="0" w:space="0" w:color="auto"/>
        <w:right w:val="none" w:sz="0" w:space="0" w:color="auto"/>
      </w:divBdr>
    </w:div>
    <w:div w:id="964964353">
      <w:marLeft w:val="0"/>
      <w:marRight w:val="0"/>
      <w:marTop w:val="180"/>
      <w:marBottom w:val="180"/>
      <w:divBdr>
        <w:top w:val="none" w:sz="0" w:space="0" w:color="auto"/>
        <w:left w:val="none" w:sz="0" w:space="0" w:color="auto"/>
        <w:bottom w:val="none" w:sz="0" w:space="0" w:color="auto"/>
        <w:right w:val="none" w:sz="0" w:space="0" w:color="auto"/>
      </w:divBdr>
    </w:div>
    <w:div w:id="967517999">
      <w:marLeft w:val="0"/>
      <w:marRight w:val="0"/>
      <w:marTop w:val="180"/>
      <w:marBottom w:val="180"/>
      <w:divBdr>
        <w:top w:val="none" w:sz="0" w:space="0" w:color="auto"/>
        <w:left w:val="none" w:sz="0" w:space="0" w:color="auto"/>
        <w:bottom w:val="none" w:sz="0" w:space="0" w:color="auto"/>
        <w:right w:val="none" w:sz="0" w:space="0" w:color="auto"/>
      </w:divBdr>
    </w:div>
    <w:div w:id="968709906">
      <w:marLeft w:val="0"/>
      <w:marRight w:val="0"/>
      <w:marTop w:val="60"/>
      <w:marBottom w:val="60"/>
      <w:divBdr>
        <w:top w:val="none" w:sz="0" w:space="0" w:color="auto"/>
        <w:left w:val="none" w:sz="0" w:space="0" w:color="auto"/>
        <w:bottom w:val="none" w:sz="0" w:space="0" w:color="auto"/>
        <w:right w:val="none" w:sz="0" w:space="0" w:color="auto"/>
      </w:divBdr>
    </w:div>
    <w:div w:id="969359439">
      <w:marLeft w:val="0"/>
      <w:marRight w:val="0"/>
      <w:marTop w:val="180"/>
      <w:marBottom w:val="180"/>
      <w:divBdr>
        <w:top w:val="none" w:sz="0" w:space="0" w:color="auto"/>
        <w:left w:val="none" w:sz="0" w:space="0" w:color="auto"/>
        <w:bottom w:val="none" w:sz="0" w:space="0" w:color="auto"/>
        <w:right w:val="none" w:sz="0" w:space="0" w:color="auto"/>
      </w:divBdr>
    </w:div>
    <w:div w:id="971249283">
      <w:marLeft w:val="0"/>
      <w:marRight w:val="0"/>
      <w:marTop w:val="180"/>
      <w:marBottom w:val="180"/>
      <w:divBdr>
        <w:top w:val="none" w:sz="0" w:space="0" w:color="auto"/>
        <w:left w:val="none" w:sz="0" w:space="0" w:color="auto"/>
        <w:bottom w:val="none" w:sz="0" w:space="0" w:color="auto"/>
        <w:right w:val="none" w:sz="0" w:space="0" w:color="auto"/>
      </w:divBdr>
    </w:div>
    <w:div w:id="971905142">
      <w:marLeft w:val="0"/>
      <w:marRight w:val="0"/>
      <w:marTop w:val="180"/>
      <w:marBottom w:val="180"/>
      <w:divBdr>
        <w:top w:val="none" w:sz="0" w:space="0" w:color="auto"/>
        <w:left w:val="none" w:sz="0" w:space="0" w:color="auto"/>
        <w:bottom w:val="none" w:sz="0" w:space="0" w:color="auto"/>
        <w:right w:val="none" w:sz="0" w:space="0" w:color="auto"/>
      </w:divBdr>
    </w:div>
    <w:div w:id="975258355">
      <w:marLeft w:val="0"/>
      <w:marRight w:val="0"/>
      <w:marTop w:val="60"/>
      <w:marBottom w:val="60"/>
      <w:divBdr>
        <w:top w:val="none" w:sz="0" w:space="0" w:color="auto"/>
        <w:left w:val="none" w:sz="0" w:space="0" w:color="auto"/>
        <w:bottom w:val="none" w:sz="0" w:space="0" w:color="auto"/>
        <w:right w:val="none" w:sz="0" w:space="0" w:color="auto"/>
      </w:divBdr>
    </w:div>
    <w:div w:id="975645418">
      <w:marLeft w:val="0"/>
      <w:marRight w:val="0"/>
      <w:marTop w:val="180"/>
      <w:marBottom w:val="180"/>
      <w:divBdr>
        <w:top w:val="none" w:sz="0" w:space="0" w:color="auto"/>
        <w:left w:val="none" w:sz="0" w:space="0" w:color="auto"/>
        <w:bottom w:val="none" w:sz="0" w:space="0" w:color="auto"/>
        <w:right w:val="none" w:sz="0" w:space="0" w:color="auto"/>
      </w:divBdr>
    </w:div>
    <w:div w:id="977493563">
      <w:marLeft w:val="0"/>
      <w:marRight w:val="0"/>
      <w:marTop w:val="180"/>
      <w:marBottom w:val="180"/>
      <w:divBdr>
        <w:top w:val="none" w:sz="0" w:space="0" w:color="auto"/>
        <w:left w:val="none" w:sz="0" w:space="0" w:color="auto"/>
        <w:bottom w:val="none" w:sz="0" w:space="0" w:color="auto"/>
        <w:right w:val="none" w:sz="0" w:space="0" w:color="auto"/>
      </w:divBdr>
    </w:div>
    <w:div w:id="978730332">
      <w:marLeft w:val="0"/>
      <w:marRight w:val="0"/>
      <w:marTop w:val="180"/>
      <w:marBottom w:val="180"/>
      <w:divBdr>
        <w:top w:val="none" w:sz="0" w:space="0" w:color="auto"/>
        <w:left w:val="none" w:sz="0" w:space="0" w:color="auto"/>
        <w:bottom w:val="none" w:sz="0" w:space="0" w:color="auto"/>
        <w:right w:val="none" w:sz="0" w:space="0" w:color="auto"/>
      </w:divBdr>
    </w:div>
    <w:div w:id="981545122">
      <w:marLeft w:val="0"/>
      <w:marRight w:val="0"/>
      <w:marTop w:val="180"/>
      <w:marBottom w:val="180"/>
      <w:divBdr>
        <w:top w:val="none" w:sz="0" w:space="0" w:color="auto"/>
        <w:left w:val="none" w:sz="0" w:space="0" w:color="auto"/>
        <w:bottom w:val="none" w:sz="0" w:space="0" w:color="auto"/>
        <w:right w:val="none" w:sz="0" w:space="0" w:color="auto"/>
      </w:divBdr>
    </w:div>
    <w:div w:id="985478550">
      <w:marLeft w:val="0"/>
      <w:marRight w:val="0"/>
      <w:marTop w:val="180"/>
      <w:marBottom w:val="180"/>
      <w:divBdr>
        <w:top w:val="none" w:sz="0" w:space="0" w:color="auto"/>
        <w:left w:val="none" w:sz="0" w:space="0" w:color="auto"/>
        <w:bottom w:val="none" w:sz="0" w:space="0" w:color="auto"/>
        <w:right w:val="none" w:sz="0" w:space="0" w:color="auto"/>
      </w:divBdr>
    </w:div>
    <w:div w:id="987125644">
      <w:marLeft w:val="0"/>
      <w:marRight w:val="0"/>
      <w:marTop w:val="180"/>
      <w:marBottom w:val="180"/>
      <w:divBdr>
        <w:top w:val="none" w:sz="0" w:space="0" w:color="auto"/>
        <w:left w:val="none" w:sz="0" w:space="0" w:color="auto"/>
        <w:bottom w:val="none" w:sz="0" w:space="0" w:color="auto"/>
        <w:right w:val="none" w:sz="0" w:space="0" w:color="auto"/>
      </w:divBdr>
    </w:div>
    <w:div w:id="987247543">
      <w:marLeft w:val="0"/>
      <w:marRight w:val="0"/>
      <w:marTop w:val="180"/>
      <w:marBottom w:val="180"/>
      <w:divBdr>
        <w:top w:val="none" w:sz="0" w:space="0" w:color="auto"/>
        <w:left w:val="none" w:sz="0" w:space="0" w:color="auto"/>
        <w:bottom w:val="none" w:sz="0" w:space="0" w:color="auto"/>
        <w:right w:val="none" w:sz="0" w:space="0" w:color="auto"/>
      </w:divBdr>
    </w:div>
    <w:div w:id="988705189">
      <w:marLeft w:val="0"/>
      <w:marRight w:val="0"/>
      <w:marTop w:val="180"/>
      <w:marBottom w:val="180"/>
      <w:divBdr>
        <w:top w:val="none" w:sz="0" w:space="0" w:color="auto"/>
        <w:left w:val="none" w:sz="0" w:space="0" w:color="auto"/>
        <w:bottom w:val="none" w:sz="0" w:space="0" w:color="auto"/>
        <w:right w:val="none" w:sz="0" w:space="0" w:color="auto"/>
      </w:divBdr>
    </w:div>
    <w:div w:id="990402696">
      <w:marLeft w:val="0"/>
      <w:marRight w:val="0"/>
      <w:marTop w:val="60"/>
      <w:marBottom w:val="60"/>
      <w:divBdr>
        <w:top w:val="none" w:sz="0" w:space="0" w:color="auto"/>
        <w:left w:val="none" w:sz="0" w:space="0" w:color="auto"/>
        <w:bottom w:val="none" w:sz="0" w:space="0" w:color="auto"/>
        <w:right w:val="none" w:sz="0" w:space="0" w:color="auto"/>
      </w:divBdr>
    </w:div>
    <w:div w:id="992028341">
      <w:marLeft w:val="0"/>
      <w:marRight w:val="0"/>
      <w:marTop w:val="60"/>
      <w:marBottom w:val="60"/>
      <w:divBdr>
        <w:top w:val="none" w:sz="0" w:space="0" w:color="auto"/>
        <w:left w:val="none" w:sz="0" w:space="0" w:color="auto"/>
        <w:bottom w:val="none" w:sz="0" w:space="0" w:color="auto"/>
        <w:right w:val="none" w:sz="0" w:space="0" w:color="auto"/>
      </w:divBdr>
    </w:div>
    <w:div w:id="994190634">
      <w:marLeft w:val="0"/>
      <w:marRight w:val="0"/>
      <w:marTop w:val="180"/>
      <w:marBottom w:val="60"/>
      <w:divBdr>
        <w:top w:val="none" w:sz="0" w:space="0" w:color="auto"/>
        <w:left w:val="none" w:sz="0" w:space="0" w:color="auto"/>
        <w:bottom w:val="none" w:sz="0" w:space="0" w:color="auto"/>
        <w:right w:val="none" w:sz="0" w:space="0" w:color="auto"/>
      </w:divBdr>
    </w:div>
    <w:div w:id="995112520">
      <w:marLeft w:val="0"/>
      <w:marRight w:val="0"/>
      <w:marTop w:val="60"/>
      <w:marBottom w:val="60"/>
      <w:divBdr>
        <w:top w:val="none" w:sz="0" w:space="0" w:color="auto"/>
        <w:left w:val="none" w:sz="0" w:space="0" w:color="auto"/>
        <w:bottom w:val="none" w:sz="0" w:space="0" w:color="auto"/>
        <w:right w:val="none" w:sz="0" w:space="0" w:color="auto"/>
      </w:divBdr>
    </w:div>
    <w:div w:id="996113586">
      <w:marLeft w:val="0"/>
      <w:marRight w:val="0"/>
      <w:marTop w:val="0"/>
      <w:marBottom w:val="0"/>
      <w:divBdr>
        <w:top w:val="none" w:sz="0" w:space="0" w:color="auto"/>
        <w:left w:val="none" w:sz="0" w:space="0" w:color="auto"/>
        <w:bottom w:val="none" w:sz="0" w:space="0" w:color="auto"/>
        <w:right w:val="none" w:sz="0" w:space="0" w:color="auto"/>
      </w:divBdr>
    </w:div>
    <w:div w:id="997227757">
      <w:marLeft w:val="0"/>
      <w:marRight w:val="0"/>
      <w:marTop w:val="180"/>
      <w:marBottom w:val="180"/>
      <w:divBdr>
        <w:top w:val="none" w:sz="0" w:space="0" w:color="auto"/>
        <w:left w:val="none" w:sz="0" w:space="0" w:color="auto"/>
        <w:bottom w:val="none" w:sz="0" w:space="0" w:color="auto"/>
        <w:right w:val="none" w:sz="0" w:space="0" w:color="auto"/>
      </w:divBdr>
    </w:div>
    <w:div w:id="998851575">
      <w:marLeft w:val="0"/>
      <w:marRight w:val="0"/>
      <w:marTop w:val="180"/>
      <w:marBottom w:val="180"/>
      <w:divBdr>
        <w:top w:val="none" w:sz="0" w:space="0" w:color="auto"/>
        <w:left w:val="none" w:sz="0" w:space="0" w:color="auto"/>
        <w:bottom w:val="none" w:sz="0" w:space="0" w:color="auto"/>
        <w:right w:val="none" w:sz="0" w:space="0" w:color="auto"/>
      </w:divBdr>
    </w:div>
    <w:div w:id="999163366">
      <w:marLeft w:val="0"/>
      <w:marRight w:val="0"/>
      <w:marTop w:val="180"/>
      <w:marBottom w:val="180"/>
      <w:divBdr>
        <w:top w:val="none" w:sz="0" w:space="0" w:color="auto"/>
        <w:left w:val="none" w:sz="0" w:space="0" w:color="auto"/>
        <w:bottom w:val="none" w:sz="0" w:space="0" w:color="auto"/>
        <w:right w:val="none" w:sz="0" w:space="0" w:color="auto"/>
      </w:divBdr>
    </w:div>
    <w:div w:id="999385790">
      <w:marLeft w:val="0"/>
      <w:marRight w:val="0"/>
      <w:marTop w:val="180"/>
      <w:marBottom w:val="180"/>
      <w:divBdr>
        <w:top w:val="none" w:sz="0" w:space="0" w:color="auto"/>
        <w:left w:val="none" w:sz="0" w:space="0" w:color="auto"/>
        <w:bottom w:val="none" w:sz="0" w:space="0" w:color="auto"/>
        <w:right w:val="none" w:sz="0" w:space="0" w:color="auto"/>
      </w:divBdr>
    </w:div>
    <w:div w:id="999696055">
      <w:marLeft w:val="0"/>
      <w:marRight w:val="0"/>
      <w:marTop w:val="0"/>
      <w:marBottom w:val="0"/>
      <w:divBdr>
        <w:top w:val="none" w:sz="0" w:space="0" w:color="auto"/>
        <w:left w:val="none" w:sz="0" w:space="0" w:color="auto"/>
        <w:bottom w:val="none" w:sz="0" w:space="0" w:color="auto"/>
        <w:right w:val="none" w:sz="0" w:space="0" w:color="auto"/>
      </w:divBdr>
      <w:divsChild>
        <w:div w:id="1366978052">
          <w:marLeft w:val="0"/>
          <w:marRight w:val="0"/>
          <w:marTop w:val="0"/>
          <w:marBottom w:val="0"/>
          <w:divBdr>
            <w:top w:val="none" w:sz="0" w:space="0" w:color="auto"/>
            <w:left w:val="none" w:sz="0" w:space="0" w:color="auto"/>
            <w:bottom w:val="none" w:sz="0" w:space="0" w:color="auto"/>
            <w:right w:val="none" w:sz="0" w:space="0" w:color="auto"/>
          </w:divBdr>
          <w:divsChild>
            <w:div w:id="10912942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99774592">
      <w:marLeft w:val="0"/>
      <w:marRight w:val="0"/>
      <w:marTop w:val="180"/>
      <w:marBottom w:val="180"/>
      <w:divBdr>
        <w:top w:val="none" w:sz="0" w:space="0" w:color="auto"/>
        <w:left w:val="none" w:sz="0" w:space="0" w:color="auto"/>
        <w:bottom w:val="none" w:sz="0" w:space="0" w:color="auto"/>
        <w:right w:val="none" w:sz="0" w:space="0" w:color="auto"/>
      </w:divBdr>
    </w:div>
    <w:div w:id="1000087953">
      <w:marLeft w:val="0"/>
      <w:marRight w:val="0"/>
      <w:marTop w:val="180"/>
      <w:marBottom w:val="180"/>
      <w:divBdr>
        <w:top w:val="none" w:sz="0" w:space="0" w:color="auto"/>
        <w:left w:val="none" w:sz="0" w:space="0" w:color="auto"/>
        <w:bottom w:val="none" w:sz="0" w:space="0" w:color="auto"/>
        <w:right w:val="none" w:sz="0" w:space="0" w:color="auto"/>
      </w:divBdr>
    </w:div>
    <w:div w:id="1000430196">
      <w:marLeft w:val="0"/>
      <w:marRight w:val="0"/>
      <w:marTop w:val="180"/>
      <w:marBottom w:val="180"/>
      <w:divBdr>
        <w:top w:val="none" w:sz="0" w:space="0" w:color="auto"/>
        <w:left w:val="none" w:sz="0" w:space="0" w:color="auto"/>
        <w:bottom w:val="none" w:sz="0" w:space="0" w:color="auto"/>
        <w:right w:val="none" w:sz="0" w:space="0" w:color="auto"/>
      </w:divBdr>
    </w:div>
    <w:div w:id="1000738711">
      <w:marLeft w:val="0"/>
      <w:marRight w:val="0"/>
      <w:marTop w:val="180"/>
      <w:marBottom w:val="180"/>
      <w:divBdr>
        <w:top w:val="none" w:sz="0" w:space="0" w:color="auto"/>
        <w:left w:val="none" w:sz="0" w:space="0" w:color="auto"/>
        <w:bottom w:val="none" w:sz="0" w:space="0" w:color="auto"/>
        <w:right w:val="none" w:sz="0" w:space="0" w:color="auto"/>
      </w:divBdr>
    </w:div>
    <w:div w:id="1003052017">
      <w:marLeft w:val="0"/>
      <w:marRight w:val="0"/>
      <w:marTop w:val="180"/>
      <w:marBottom w:val="180"/>
      <w:divBdr>
        <w:top w:val="none" w:sz="0" w:space="0" w:color="auto"/>
        <w:left w:val="none" w:sz="0" w:space="0" w:color="auto"/>
        <w:bottom w:val="none" w:sz="0" w:space="0" w:color="auto"/>
        <w:right w:val="none" w:sz="0" w:space="0" w:color="auto"/>
      </w:divBdr>
    </w:div>
    <w:div w:id="1003237724">
      <w:marLeft w:val="0"/>
      <w:marRight w:val="0"/>
      <w:marTop w:val="60"/>
      <w:marBottom w:val="0"/>
      <w:divBdr>
        <w:top w:val="none" w:sz="0" w:space="0" w:color="auto"/>
        <w:left w:val="none" w:sz="0" w:space="0" w:color="auto"/>
        <w:bottom w:val="none" w:sz="0" w:space="0" w:color="auto"/>
        <w:right w:val="none" w:sz="0" w:space="0" w:color="auto"/>
      </w:divBdr>
    </w:div>
    <w:div w:id="1005399642">
      <w:marLeft w:val="0"/>
      <w:marRight w:val="0"/>
      <w:marTop w:val="180"/>
      <w:marBottom w:val="180"/>
      <w:divBdr>
        <w:top w:val="none" w:sz="0" w:space="0" w:color="auto"/>
        <w:left w:val="none" w:sz="0" w:space="0" w:color="auto"/>
        <w:bottom w:val="none" w:sz="0" w:space="0" w:color="auto"/>
        <w:right w:val="none" w:sz="0" w:space="0" w:color="auto"/>
      </w:divBdr>
    </w:div>
    <w:div w:id="1005521274">
      <w:marLeft w:val="0"/>
      <w:marRight w:val="0"/>
      <w:marTop w:val="100"/>
      <w:marBottom w:val="0"/>
      <w:divBdr>
        <w:top w:val="none" w:sz="0" w:space="0" w:color="auto"/>
        <w:left w:val="none" w:sz="0" w:space="0" w:color="auto"/>
        <w:bottom w:val="none" w:sz="0" w:space="0" w:color="auto"/>
        <w:right w:val="none" w:sz="0" w:space="0" w:color="auto"/>
      </w:divBdr>
    </w:div>
    <w:div w:id="1005741869">
      <w:marLeft w:val="0"/>
      <w:marRight w:val="0"/>
      <w:marTop w:val="60"/>
      <w:marBottom w:val="60"/>
      <w:divBdr>
        <w:top w:val="none" w:sz="0" w:space="0" w:color="auto"/>
        <w:left w:val="none" w:sz="0" w:space="0" w:color="auto"/>
        <w:bottom w:val="none" w:sz="0" w:space="0" w:color="auto"/>
        <w:right w:val="none" w:sz="0" w:space="0" w:color="auto"/>
      </w:divBdr>
    </w:div>
    <w:div w:id="1006902042">
      <w:marLeft w:val="0"/>
      <w:marRight w:val="0"/>
      <w:marTop w:val="180"/>
      <w:marBottom w:val="180"/>
      <w:divBdr>
        <w:top w:val="none" w:sz="0" w:space="0" w:color="auto"/>
        <w:left w:val="none" w:sz="0" w:space="0" w:color="auto"/>
        <w:bottom w:val="none" w:sz="0" w:space="0" w:color="auto"/>
        <w:right w:val="none" w:sz="0" w:space="0" w:color="auto"/>
      </w:divBdr>
    </w:div>
    <w:div w:id="1007709791">
      <w:marLeft w:val="0"/>
      <w:marRight w:val="0"/>
      <w:marTop w:val="60"/>
      <w:marBottom w:val="60"/>
      <w:divBdr>
        <w:top w:val="none" w:sz="0" w:space="0" w:color="auto"/>
        <w:left w:val="none" w:sz="0" w:space="0" w:color="auto"/>
        <w:bottom w:val="none" w:sz="0" w:space="0" w:color="auto"/>
        <w:right w:val="none" w:sz="0" w:space="0" w:color="auto"/>
      </w:divBdr>
    </w:div>
    <w:div w:id="1008562897">
      <w:marLeft w:val="0"/>
      <w:marRight w:val="0"/>
      <w:marTop w:val="60"/>
      <w:marBottom w:val="60"/>
      <w:divBdr>
        <w:top w:val="none" w:sz="0" w:space="0" w:color="auto"/>
        <w:left w:val="none" w:sz="0" w:space="0" w:color="auto"/>
        <w:bottom w:val="none" w:sz="0" w:space="0" w:color="auto"/>
        <w:right w:val="none" w:sz="0" w:space="0" w:color="auto"/>
      </w:divBdr>
    </w:div>
    <w:div w:id="1009260866">
      <w:marLeft w:val="0"/>
      <w:marRight w:val="0"/>
      <w:marTop w:val="60"/>
      <w:marBottom w:val="60"/>
      <w:divBdr>
        <w:top w:val="none" w:sz="0" w:space="0" w:color="auto"/>
        <w:left w:val="none" w:sz="0" w:space="0" w:color="auto"/>
        <w:bottom w:val="none" w:sz="0" w:space="0" w:color="auto"/>
        <w:right w:val="none" w:sz="0" w:space="0" w:color="auto"/>
      </w:divBdr>
      <w:divsChild>
        <w:div w:id="1127896903">
          <w:marLeft w:val="0"/>
          <w:marRight w:val="0"/>
          <w:marTop w:val="0"/>
          <w:marBottom w:val="0"/>
          <w:divBdr>
            <w:top w:val="none" w:sz="0" w:space="0" w:color="auto"/>
            <w:left w:val="none" w:sz="0" w:space="0" w:color="auto"/>
            <w:bottom w:val="none" w:sz="0" w:space="0" w:color="auto"/>
            <w:right w:val="none" w:sz="0" w:space="0" w:color="auto"/>
          </w:divBdr>
        </w:div>
        <w:div w:id="1323196558">
          <w:marLeft w:val="0"/>
          <w:marRight w:val="0"/>
          <w:marTop w:val="0"/>
          <w:marBottom w:val="0"/>
          <w:divBdr>
            <w:top w:val="none" w:sz="0" w:space="0" w:color="auto"/>
            <w:left w:val="none" w:sz="0" w:space="0" w:color="auto"/>
            <w:bottom w:val="none" w:sz="0" w:space="0" w:color="auto"/>
            <w:right w:val="none" w:sz="0" w:space="0" w:color="auto"/>
          </w:divBdr>
        </w:div>
        <w:div w:id="176502889">
          <w:marLeft w:val="0"/>
          <w:marRight w:val="0"/>
          <w:marTop w:val="0"/>
          <w:marBottom w:val="0"/>
          <w:divBdr>
            <w:top w:val="none" w:sz="0" w:space="0" w:color="auto"/>
            <w:left w:val="none" w:sz="0" w:space="0" w:color="auto"/>
            <w:bottom w:val="none" w:sz="0" w:space="0" w:color="auto"/>
            <w:right w:val="none" w:sz="0" w:space="0" w:color="auto"/>
          </w:divBdr>
        </w:div>
        <w:div w:id="999769605">
          <w:marLeft w:val="0"/>
          <w:marRight w:val="0"/>
          <w:marTop w:val="0"/>
          <w:marBottom w:val="0"/>
          <w:divBdr>
            <w:top w:val="none" w:sz="0" w:space="0" w:color="auto"/>
            <w:left w:val="none" w:sz="0" w:space="0" w:color="auto"/>
            <w:bottom w:val="none" w:sz="0" w:space="0" w:color="auto"/>
            <w:right w:val="none" w:sz="0" w:space="0" w:color="auto"/>
          </w:divBdr>
        </w:div>
      </w:divsChild>
    </w:div>
    <w:div w:id="1011298792">
      <w:marLeft w:val="0"/>
      <w:marRight w:val="0"/>
      <w:marTop w:val="0"/>
      <w:marBottom w:val="0"/>
      <w:divBdr>
        <w:top w:val="none" w:sz="0" w:space="0" w:color="auto"/>
        <w:left w:val="none" w:sz="0" w:space="0" w:color="auto"/>
        <w:bottom w:val="none" w:sz="0" w:space="0" w:color="auto"/>
        <w:right w:val="none" w:sz="0" w:space="0" w:color="auto"/>
      </w:divBdr>
      <w:divsChild>
        <w:div w:id="1598517067">
          <w:marLeft w:val="0"/>
          <w:marRight w:val="0"/>
          <w:marTop w:val="60"/>
          <w:marBottom w:val="60"/>
          <w:divBdr>
            <w:top w:val="none" w:sz="0" w:space="0" w:color="auto"/>
            <w:left w:val="none" w:sz="0" w:space="0" w:color="auto"/>
            <w:bottom w:val="none" w:sz="0" w:space="0" w:color="auto"/>
            <w:right w:val="none" w:sz="0" w:space="0" w:color="auto"/>
          </w:divBdr>
        </w:div>
      </w:divsChild>
    </w:div>
    <w:div w:id="1012147551">
      <w:marLeft w:val="0"/>
      <w:marRight w:val="0"/>
      <w:marTop w:val="0"/>
      <w:marBottom w:val="0"/>
      <w:divBdr>
        <w:top w:val="none" w:sz="0" w:space="0" w:color="auto"/>
        <w:left w:val="none" w:sz="0" w:space="0" w:color="auto"/>
        <w:bottom w:val="none" w:sz="0" w:space="0" w:color="auto"/>
        <w:right w:val="none" w:sz="0" w:space="0" w:color="auto"/>
      </w:divBdr>
      <w:divsChild>
        <w:div w:id="739325740">
          <w:marLeft w:val="0"/>
          <w:marRight w:val="0"/>
          <w:marTop w:val="0"/>
          <w:marBottom w:val="0"/>
          <w:divBdr>
            <w:top w:val="none" w:sz="0" w:space="0" w:color="auto"/>
            <w:left w:val="none" w:sz="0" w:space="0" w:color="auto"/>
            <w:bottom w:val="none" w:sz="0" w:space="0" w:color="auto"/>
            <w:right w:val="none" w:sz="0" w:space="0" w:color="auto"/>
          </w:divBdr>
          <w:divsChild>
            <w:div w:id="16917783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12535314">
      <w:marLeft w:val="0"/>
      <w:marRight w:val="0"/>
      <w:marTop w:val="180"/>
      <w:marBottom w:val="180"/>
      <w:divBdr>
        <w:top w:val="none" w:sz="0" w:space="0" w:color="auto"/>
        <w:left w:val="none" w:sz="0" w:space="0" w:color="auto"/>
        <w:bottom w:val="none" w:sz="0" w:space="0" w:color="auto"/>
        <w:right w:val="none" w:sz="0" w:space="0" w:color="auto"/>
      </w:divBdr>
    </w:div>
    <w:div w:id="1013845881">
      <w:marLeft w:val="0"/>
      <w:marRight w:val="0"/>
      <w:marTop w:val="0"/>
      <w:marBottom w:val="0"/>
      <w:divBdr>
        <w:top w:val="none" w:sz="0" w:space="0" w:color="auto"/>
        <w:left w:val="none" w:sz="0" w:space="0" w:color="auto"/>
        <w:bottom w:val="none" w:sz="0" w:space="0" w:color="auto"/>
        <w:right w:val="none" w:sz="0" w:space="0" w:color="auto"/>
      </w:divBdr>
      <w:divsChild>
        <w:div w:id="1594050323">
          <w:marLeft w:val="0"/>
          <w:marRight w:val="0"/>
          <w:marTop w:val="60"/>
          <w:marBottom w:val="60"/>
          <w:divBdr>
            <w:top w:val="none" w:sz="0" w:space="0" w:color="auto"/>
            <w:left w:val="none" w:sz="0" w:space="0" w:color="auto"/>
            <w:bottom w:val="none" w:sz="0" w:space="0" w:color="auto"/>
            <w:right w:val="none" w:sz="0" w:space="0" w:color="auto"/>
          </w:divBdr>
        </w:div>
      </w:divsChild>
    </w:div>
    <w:div w:id="1014308443">
      <w:marLeft w:val="0"/>
      <w:marRight w:val="0"/>
      <w:marTop w:val="60"/>
      <w:marBottom w:val="60"/>
      <w:divBdr>
        <w:top w:val="none" w:sz="0" w:space="0" w:color="auto"/>
        <w:left w:val="none" w:sz="0" w:space="0" w:color="auto"/>
        <w:bottom w:val="none" w:sz="0" w:space="0" w:color="auto"/>
        <w:right w:val="none" w:sz="0" w:space="0" w:color="auto"/>
      </w:divBdr>
    </w:div>
    <w:div w:id="1016232886">
      <w:marLeft w:val="0"/>
      <w:marRight w:val="0"/>
      <w:marTop w:val="60"/>
      <w:marBottom w:val="60"/>
      <w:divBdr>
        <w:top w:val="none" w:sz="0" w:space="0" w:color="auto"/>
        <w:left w:val="none" w:sz="0" w:space="0" w:color="auto"/>
        <w:bottom w:val="none" w:sz="0" w:space="0" w:color="auto"/>
        <w:right w:val="none" w:sz="0" w:space="0" w:color="auto"/>
      </w:divBdr>
    </w:div>
    <w:div w:id="1017193929">
      <w:marLeft w:val="0"/>
      <w:marRight w:val="0"/>
      <w:marTop w:val="60"/>
      <w:marBottom w:val="60"/>
      <w:divBdr>
        <w:top w:val="none" w:sz="0" w:space="0" w:color="auto"/>
        <w:left w:val="none" w:sz="0" w:space="0" w:color="auto"/>
        <w:bottom w:val="none" w:sz="0" w:space="0" w:color="auto"/>
        <w:right w:val="none" w:sz="0" w:space="0" w:color="auto"/>
      </w:divBdr>
    </w:div>
    <w:div w:id="1018432432">
      <w:marLeft w:val="0"/>
      <w:marRight w:val="0"/>
      <w:marTop w:val="60"/>
      <w:marBottom w:val="60"/>
      <w:divBdr>
        <w:top w:val="none" w:sz="0" w:space="0" w:color="auto"/>
        <w:left w:val="none" w:sz="0" w:space="0" w:color="auto"/>
        <w:bottom w:val="none" w:sz="0" w:space="0" w:color="auto"/>
        <w:right w:val="none" w:sz="0" w:space="0" w:color="auto"/>
      </w:divBdr>
    </w:div>
    <w:div w:id="1020353817">
      <w:marLeft w:val="0"/>
      <w:marRight w:val="0"/>
      <w:marTop w:val="100"/>
      <w:marBottom w:val="0"/>
      <w:divBdr>
        <w:top w:val="none" w:sz="0" w:space="0" w:color="auto"/>
        <w:left w:val="none" w:sz="0" w:space="0" w:color="auto"/>
        <w:bottom w:val="none" w:sz="0" w:space="0" w:color="auto"/>
        <w:right w:val="none" w:sz="0" w:space="0" w:color="auto"/>
      </w:divBdr>
    </w:div>
    <w:div w:id="1021512543">
      <w:marLeft w:val="0"/>
      <w:marRight w:val="0"/>
      <w:marTop w:val="180"/>
      <w:marBottom w:val="180"/>
      <w:divBdr>
        <w:top w:val="none" w:sz="0" w:space="0" w:color="auto"/>
        <w:left w:val="none" w:sz="0" w:space="0" w:color="auto"/>
        <w:bottom w:val="none" w:sz="0" w:space="0" w:color="auto"/>
        <w:right w:val="none" w:sz="0" w:space="0" w:color="auto"/>
      </w:divBdr>
    </w:div>
    <w:div w:id="1022896057">
      <w:marLeft w:val="0"/>
      <w:marRight w:val="0"/>
      <w:marTop w:val="180"/>
      <w:marBottom w:val="180"/>
      <w:divBdr>
        <w:top w:val="none" w:sz="0" w:space="0" w:color="auto"/>
        <w:left w:val="none" w:sz="0" w:space="0" w:color="auto"/>
        <w:bottom w:val="none" w:sz="0" w:space="0" w:color="auto"/>
        <w:right w:val="none" w:sz="0" w:space="0" w:color="auto"/>
      </w:divBdr>
    </w:div>
    <w:div w:id="1025325023">
      <w:marLeft w:val="0"/>
      <w:marRight w:val="0"/>
      <w:marTop w:val="180"/>
      <w:marBottom w:val="180"/>
      <w:divBdr>
        <w:top w:val="none" w:sz="0" w:space="0" w:color="auto"/>
        <w:left w:val="none" w:sz="0" w:space="0" w:color="auto"/>
        <w:bottom w:val="none" w:sz="0" w:space="0" w:color="auto"/>
        <w:right w:val="none" w:sz="0" w:space="0" w:color="auto"/>
      </w:divBdr>
    </w:div>
    <w:div w:id="1025867270">
      <w:marLeft w:val="0"/>
      <w:marRight w:val="0"/>
      <w:marTop w:val="0"/>
      <w:marBottom w:val="0"/>
      <w:divBdr>
        <w:top w:val="none" w:sz="0" w:space="0" w:color="auto"/>
        <w:left w:val="none" w:sz="0" w:space="0" w:color="auto"/>
        <w:bottom w:val="none" w:sz="0" w:space="0" w:color="auto"/>
        <w:right w:val="none" w:sz="0" w:space="0" w:color="auto"/>
      </w:divBdr>
      <w:divsChild>
        <w:div w:id="2064213885">
          <w:marLeft w:val="0"/>
          <w:marRight w:val="0"/>
          <w:marTop w:val="0"/>
          <w:marBottom w:val="0"/>
          <w:divBdr>
            <w:top w:val="none" w:sz="0" w:space="0" w:color="auto"/>
            <w:left w:val="none" w:sz="0" w:space="0" w:color="auto"/>
            <w:bottom w:val="none" w:sz="0" w:space="0" w:color="auto"/>
            <w:right w:val="none" w:sz="0" w:space="0" w:color="auto"/>
          </w:divBdr>
          <w:divsChild>
            <w:div w:id="95101342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27802306">
      <w:marLeft w:val="0"/>
      <w:marRight w:val="0"/>
      <w:marTop w:val="60"/>
      <w:marBottom w:val="60"/>
      <w:divBdr>
        <w:top w:val="none" w:sz="0" w:space="0" w:color="auto"/>
        <w:left w:val="none" w:sz="0" w:space="0" w:color="auto"/>
        <w:bottom w:val="none" w:sz="0" w:space="0" w:color="auto"/>
        <w:right w:val="none" w:sz="0" w:space="0" w:color="auto"/>
      </w:divBdr>
    </w:div>
    <w:div w:id="1028291467">
      <w:marLeft w:val="0"/>
      <w:marRight w:val="0"/>
      <w:marTop w:val="180"/>
      <w:marBottom w:val="60"/>
      <w:divBdr>
        <w:top w:val="none" w:sz="0" w:space="0" w:color="auto"/>
        <w:left w:val="none" w:sz="0" w:space="0" w:color="auto"/>
        <w:bottom w:val="none" w:sz="0" w:space="0" w:color="auto"/>
        <w:right w:val="none" w:sz="0" w:space="0" w:color="auto"/>
      </w:divBdr>
    </w:div>
    <w:div w:id="1031733927">
      <w:marLeft w:val="0"/>
      <w:marRight w:val="0"/>
      <w:marTop w:val="180"/>
      <w:marBottom w:val="180"/>
      <w:divBdr>
        <w:top w:val="none" w:sz="0" w:space="0" w:color="auto"/>
        <w:left w:val="none" w:sz="0" w:space="0" w:color="auto"/>
        <w:bottom w:val="none" w:sz="0" w:space="0" w:color="auto"/>
        <w:right w:val="none" w:sz="0" w:space="0" w:color="auto"/>
      </w:divBdr>
    </w:div>
    <w:div w:id="1033917410">
      <w:marLeft w:val="0"/>
      <w:marRight w:val="0"/>
      <w:marTop w:val="180"/>
      <w:marBottom w:val="180"/>
      <w:divBdr>
        <w:top w:val="none" w:sz="0" w:space="0" w:color="auto"/>
        <w:left w:val="none" w:sz="0" w:space="0" w:color="auto"/>
        <w:bottom w:val="none" w:sz="0" w:space="0" w:color="auto"/>
        <w:right w:val="none" w:sz="0" w:space="0" w:color="auto"/>
      </w:divBdr>
    </w:div>
    <w:div w:id="1036195679">
      <w:marLeft w:val="0"/>
      <w:marRight w:val="0"/>
      <w:marTop w:val="60"/>
      <w:marBottom w:val="60"/>
      <w:divBdr>
        <w:top w:val="none" w:sz="0" w:space="0" w:color="auto"/>
        <w:left w:val="none" w:sz="0" w:space="0" w:color="auto"/>
        <w:bottom w:val="none" w:sz="0" w:space="0" w:color="auto"/>
        <w:right w:val="none" w:sz="0" w:space="0" w:color="auto"/>
      </w:divBdr>
    </w:div>
    <w:div w:id="1038235587">
      <w:marLeft w:val="0"/>
      <w:marRight w:val="0"/>
      <w:marTop w:val="100"/>
      <w:marBottom w:val="0"/>
      <w:divBdr>
        <w:top w:val="none" w:sz="0" w:space="0" w:color="auto"/>
        <w:left w:val="none" w:sz="0" w:space="0" w:color="auto"/>
        <w:bottom w:val="none" w:sz="0" w:space="0" w:color="auto"/>
        <w:right w:val="none" w:sz="0" w:space="0" w:color="auto"/>
      </w:divBdr>
      <w:divsChild>
        <w:div w:id="1557745030">
          <w:marLeft w:val="0"/>
          <w:marRight w:val="0"/>
          <w:marTop w:val="0"/>
          <w:marBottom w:val="0"/>
          <w:divBdr>
            <w:top w:val="none" w:sz="0" w:space="0" w:color="auto"/>
            <w:left w:val="none" w:sz="0" w:space="0" w:color="auto"/>
            <w:bottom w:val="none" w:sz="0" w:space="0" w:color="auto"/>
            <w:right w:val="none" w:sz="0" w:space="0" w:color="auto"/>
          </w:divBdr>
        </w:div>
      </w:divsChild>
    </w:div>
    <w:div w:id="1040939457">
      <w:marLeft w:val="0"/>
      <w:marRight w:val="0"/>
      <w:marTop w:val="180"/>
      <w:marBottom w:val="180"/>
      <w:divBdr>
        <w:top w:val="none" w:sz="0" w:space="0" w:color="auto"/>
        <w:left w:val="none" w:sz="0" w:space="0" w:color="auto"/>
        <w:bottom w:val="none" w:sz="0" w:space="0" w:color="auto"/>
        <w:right w:val="none" w:sz="0" w:space="0" w:color="auto"/>
      </w:divBdr>
    </w:div>
    <w:div w:id="1042092283">
      <w:marLeft w:val="0"/>
      <w:marRight w:val="0"/>
      <w:marTop w:val="100"/>
      <w:marBottom w:val="0"/>
      <w:divBdr>
        <w:top w:val="none" w:sz="0" w:space="0" w:color="auto"/>
        <w:left w:val="none" w:sz="0" w:space="0" w:color="auto"/>
        <w:bottom w:val="none" w:sz="0" w:space="0" w:color="auto"/>
        <w:right w:val="none" w:sz="0" w:space="0" w:color="auto"/>
      </w:divBdr>
      <w:divsChild>
        <w:div w:id="939527433">
          <w:marLeft w:val="0"/>
          <w:marRight w:val="0"/>
          <w:marTop w:val="0"/>
          <w:marBottom w:val="0"/>
          <w:divBdr>
            <w:top w:val="none" w:sz="0" w:space="0" w:color="auto"/>
            <w:left w:val="none" w:sz="0" w:space="0" w:color="auto"/>
            <w:bottom w:val="none" w:sz="0" w:space="0" w:color="auto"/>
            <w:right w:val="none" w:sz="0" w:space="0" w:color="auto"/>
          </w:divBdr>
        </w:div>
      </w:divsChild>
    </w:div>
    <w:div w:id="1042172620">
      <w:marLeft w:val="0"/>
      <w:marRight w:val="0"/>
      <w:marTop w:val="180"/>
      <w:marBottom w:val="60"/>
      <w:divBdr>
        <w:top w:val="none" w:sz="0" w:space="0" w:color="auto"/>
        <w:left w:val="none" w:sz="0" w:space="0" w:color="auto"/>
        <w:bottom w:val="none" w:sz="0" w:space="0" w:color="auto"/>
        <w:right w:val="none" w:sz="0" w:space="0" w:color="auto"/>
      </w:divBdr>
    </w:div>
    <w:div w:id="1043560801">
      <w:marLeft w:val="0"/>
      <w:marRight w:val="0"/>
      <w:marTop w:val="180"/>
      <w:marBottom w:val="180"/>
      <w:divBdr>
        <w:top w:val="none" w:sz="0" w:space="0" w:color="auto"/>
        <w:left w:val="none" w:sz="0" w:space="0" w:color="auto"/>
        <w:bottom w:val="none" w:sz="0" w:space="0" w:color="auto"/>
        <w:right w:val="none" w:sz="0" w:space="0" w:color="auto"/>
      </w:divBdr>
    </w:div>
    <w:div w:id="1045829631">
      <w:marLeft w:val="0"/>
      <w:marRight w:val="0"/>
      <w:marTop w:val="60"/>
      <w:marBottom w:val="60"/>
      <w:divBdr>
        <w:top w:val="none" w:sz="0" w:space="0" w:color="auto"/>
        <w:left w:val="none" w:sz="0" w:space="0" w:color="auto"/>
        <w:bottom w:val="none" w:sz="0" w:space="0" w:color="auto"/>
        <w:right w:val="none" w:sz="0" w:space="0" w:color="auto"/>
      </w:divBdr>
    </w:div>
    <w:div w:id="1051461310">
      <w:marLeft w:val="0"/>
      <w:marRight w:val="0"/>
      <w:marTop w:val="60"/>
      <w:marBottom w:val="60"/>
      <w:divBdr>
        <w:top w:val="none" w:sz="0" w:space="0" w:color="auto"/>
        <w:left w:val="none" w:sz="0" w:space="0" w:color="auto"/>
        <w:bottom w:val="none" w:sz="0" w:space="0" w:color="auto"/>
        <w:right w:val="none" w:sz="0" w:space="0" w:color="auto"/>
      </w:divBdr>
      <w:divsChild>
        <w:div w:id="13238939">
          <w:marLeft w:val="0"/>
          <w:marRight w:val="0"/>
          <w:marTop w:val="0"/>
          <w:marBottom w:val="0"/>
          <w:divBdr>
            <w:top w:val="none" w:sz="0" w:space="0" w:color="auto"/>
            <w:left w:val="none" w:sz="0" w:space="0" w:color="auto"/>
            <w:bottom w:val="none" w:sz="0" w:space="0" w:color="auto"/>
            <w:right w:val="none" w:sz="0" w:space="0" w:color="auto"/>
          </w:divBdr>
        </w:div>
        <w:div w:id="182477776">
          <w:marLeft w:val="0"/>
          <w:marRight w:val="0"/>
          <w:marTop w:val="0"/>
          <w:marBottom w:val="0"/>
          <w:divBdr>
            <w:top w:val="none" w:sz="0" w:space="0" w:color="auto"/>
            <w:left w:val="none" w:sz="0" w:space="0" w:color="auto"/>
            <w:bottom w:val="none" w:sz="0" w:space="0" w:color="auto"/>
            <w:right w:val="none" w:sz="0" w:space="0" w:color="auto"/>
          </w:divBdr>
        </w:div>
      </w:divsChild>
    </w:div>
    <w:div w:id="1051611083">
      <w:marLeft w:val="0"/>
      <w:marRight w:val="0"/>
      <w:marTop w:val="100"/>
      <w:marBottom w:val="100"/>
      <w:divBdr>
        <w:top w:val="none" w:sz="0" w:space="0" w:color="auto"/>
        <w:left w:val="none" w:sz="0" w:space="0" w:color="auto"/>
        <w:bottom w:val="none" w:sz="0" w:space="0" w:color="auto"/>
        <w:right w:val="none" w:sz="0" w:space="0" w:color="auto"/>
      </w:divBdr>
      <w:divsChild>
        <w:div w:id="34090494">
          <w:marLeft w:val="0"/>
          <w:marRight w:val="0"/>
          <w:marTop w:val="0"/>
          <w:marBottom w:val="0"/>
          <w:divBdr>
            <w:top w:val="none" w:sz="0" w:space="0" w:color="auto"/>
            <w:left w:val="none" w:sz="0" w:space="0" w:color="auto"/>
            <w:bottom w:val="none" w:sz="0" w:space="0" w:color="auto"/>
            <w:right w:val="none" w:sz="0" w:space="0" w:color="auto"/>
          </w:divBdr>
        </w:div>
        <w:div w:id="302738384">
          <w:marLeft w:val="0"/>
          <w:marRight w:val="0"/>
          <w:marTop w:val="0"/>
          <w:marBottom w:val="0"/>
          <w:divBdr>
            <w:top w:val="none" w:sz="0" w:space="0" w:color="auto"/>
            <w:left w:val="none" w:sz="0" w:space="0" w:color="auto"/>
            <w:bottom w:val="none" w:sz="0" w:space="0" w:color="auto"/>
            <w:right w:val="none" w:sz="0" w:space="0" w:color="auto"/>
          </w:divBdr>
        </w:div>
      </w:divsChild>
    </w:div>
    <w:div w:id="1057322426">
      <w:marLeft w:val="0"/>
      <w:marRight w:val="0"/>
      <w:marTop w:val="180"/>
      <w:marBottom w:val="180"/>
      <w:divBdr>
        <w:top w:val="none" w:sz="0" w:space="0" w:color="auto"/>
        <w:left w:val="none" w:sz="0" w:space="0" w:color="auto"/>
        <w:bottom w:val="none" w:sz="0" w:space="0" w:color="auto"/>
        <w:right w:val="none" w:sz="0" w:space="0" w:color="auto"/>
      </w:divBdr>
    </w:div>
    <w:div w:id="1061057923">
      <w:marLeft w:val="0"/>
      <w:marRight w:val="0"/>
      <w:marTop w:val="0"/>
      <w:marBottom w:val="0"/>
      <w:divBdr>
        <w:top w:val="none" w:sz="0" w:space="0" w:color="auto"/>
        <w:left w:val="none" w:sz="0" w:space="0" w:color="auto"/>
        <w:bottom w:val="none" w:sz="0" w:space="0" w:color="auto"/>
        <w:right w:val="none" w:sz="0" w:space="0" w:color="auto"/>
      </w:divBdr>
    </w:div>
    <w:div w:id="1062488357">
      <w:marLeft w:val="0"/>
      <w:marRight w:val="0"/>
      <w:marTop w:val="180"/>
      <w:marBottom w:val="60"/>
      <w:divBdr>
        <w:top w:val="none" w:sz="0" w:space="0" w:color="auto"/>
        <w:left w:val="none" w:sz="0" w:space="0" w:color="auto"/>
        <w:bottom w:val="none" w:sz="0" w:space="0" w:color="auto"/>
        <w:right w:val="none" w:sz="0" w:space="0" w:color="auto"/>
      </w:divBdr>
    </w:div>
    <w:div w:id="1064567759">
      <w:marLeft w:val="0"/>
      <w:marRight w:val="0"/>
      <w:marTop w:val="60"/>
      <w:marBottom w:val="60"/>
      <w:divBdr>
        <w:top w:val="none" w:sz="0" w:space="0" w:color="auto"/>
        <w:left w:val="none" w:sz="0" w:space="0" w:color="auto"/>
        <w:bottom w:val="none" w:sz="0" w:space="0" w:color="auto"/>
        <w:right w:val="none" w:sz="0" w:space="0" w:color="auto"/>
      </w:divBdr>
    </w:div>
    <w:div w:id="1065907046">
      <w:marLeft w:val="0"/>
      <w:marRight w:val="0"/>
      <w:marTop w:val="180"/>
      <w:marBottom w:val="180"/>
      <w:divBdr>
        <w:top w:val="none" w:sz="0" w:space="0" w:color="auto"/>
        <w:left w:val="none" w:sz="0" w:space="0" w:color="auto"/>
        <w:bottom w:val="none" w:sz="0" w:space="0" w:color="auto"/>
        <w:right w:val="none" w:sz="0" w:space="0" w:color="auto"/>
      </w:divBdr>
    </w:div>
    <w:div w:id="1065957915">
      <w:marLeft w:val="0"/>
      <w:marRight w:val="0"/>
      <w:marTop w:val="180"/>
      <w:marBottom w:val="60"/>
      <w:divBdr>
        <w:top w:val="none" w:sz="0" w:space="0" w:color="auto"/>
        <w:left w:val="none" w:sz="0" w:space="0" w:color="auto"/>
        <w:bottom w:val="none" w:sz="0" w:space="0" w:color="auto"/>
        <w:right w:val="none" w:sz="0" w:space="0" w:color="auto"/>
      </w:divBdr>
    </w:div>
    <w:div w:id="1069303708">
      <w:marLeft w:val="0"/>
      <w:marRight w:val="0"/>
      <w:marTop w:val="180"/>
      <w:marBottom w:val="180"/>
      <w:divBdr>
        <w:top w:val="none" w:sz="0" w:space="0" w:color="auto"/>
        <w:left w:val="none" w:sz="0" w:space="0" w:color="auto"/>
        <w:bottom w:val="none" w:sz="0" w:space="0" w:color="auto"/>
        <w:right w:val="none" w:sz="0" w:space="0" w:color="auto"/>
      </w:divBdr>
    </w:div>
    <w:div w:id="1070541254">
      <w:marLeft w:val="0"/>
      <w:marRight w:val="0"/>
      <w:marTop w:val="180"/>
      <w:marBottom w:val="180"/>
      <w:divBdr>
        <w:top w:val="none" w:sz="0" w:space="0" w:color="auto"/>
        <w:left w:val="none" w:sz="0" w:space="0" w:color="auto"/>
        <w:bottom w:val="none" w:sz="0" w:space="0" w:color="auto"/>
        <w:right w:val="none" w:sz="0" w:space="0" w:color="auto"/>
      </w:divBdr>
    </w:div>
    <w:div w:id="1071738403">
      <w:marLeft w:val="0"/>
      <w:marRight w:val="0"/>
      <w:marTop w:val="60"/>
      <w:marBottom w:val="60"/>
      <w:divBdr>
        <w:top w:val="none" w:sz="0" w:space="0" w:color="auto"/>
        <w:left w:val="none" w:sz="0" w:space="0" w:color="auto"/>
        <w:bottom w:val="none" w:sz="0" w:space="0" w:color="auto"/>
        <w:right w:val="none" w:sz="0" w:space="0" w:color="auto"/>
      </w:divBdr>
    </w:div>
    <w:div w:id="1072120943">
      <w:marLeft w:val="0"/>
      <w:marRight w:val="0"/>
      <w:marTop w:val="0"/>
      <w:marBottom w:val="0"/>
      <w:divBdr>
        <w:top w:val="none" w:sz="0" w:space="0" w:color="auto"/>
        <w:left w:val="none" w:sz="0" w:space="0" w:color="auto"/>
        <w:bottom w:val="none" w:sz="0" w:space="0" w:color="auto"/>
        <w:right w:val="none" w:sz="0" w:space="0" w:color="auto"/>
      </w:divBdr>
      <w:divsChild>
        <w:div w:id="1062828119">
          <w:marLeft w:val="0"/>
          <w:marRight w:val="0"/>
          <w:marTop w:val="60"/>
          <w:marBottom w:val="60"/>
          <w:divBdr>
            <w:top w:val="none" w:sz="0" w:space="0" w:color="auto"/>
            <w:left w:val="none" w:sz="0" w:space="0" w:color="auto"/>
            <w:bottom w:val="none" w:sz="0" w:space="0" w:color="auto"/>
            <w:right w:val="none" w:sz="0" w:space="0" w:color="auto"/>
          </w:divBdr>
        </w:div>
      </w:divsChild>
    </w:div>
    <w:div w:id="1072431513">
      <w:marLeft w:val="0"/>
      <w:marRight w:val="0"/>
      <w:marTop w:val="180"/>
      <w:marBottom w:val="180"/>
      <w:divBdr>
        <w:top w:val="none" w:sz="0" w:space="0" w:color="auto"/>
        <w:left w:val="none" w:sz="0" w:space="0" w:color="auto"/>
        <w:bottom w:val="none" w:sz="0" w:space="0" w:color="auto"/>
        <w:right w:val="none" w:sz="0" w:space="0" w:color="auto"/>
      </w:divBdr>
    </w:div>
    <w:div w:id="1072964706">
      <w:marLeft w:val="0"/>
      <w:marRight w:val="0"/>
      <w:marTop w:val="180"/>
      <w:marBottom w:val="180"/>
      <w:divBdr>
        <w:top w:val="none" w:sz="0" w:space="0" w:color="auto"/>
        <w:left w:val="none" w:sz="0" w:space="0" w:color="auto"/>
        <w:bottom w:val="none" w:sz="0" w:space="0" w:color="auto"/>
        <w:right w:val="none" w:sz="0" w:space="0" w:color="auto"/>
      </w:divBdr>
    </w:div>
    <w:div w:id="1075978737">
      <w:marLeft w:val="0"/>
      <w:marRight w:val="0"/>
      <w:marTop w:val="60"/>
      <w:marBottom w:val="60"/>
      <w:divBdr>
        <w:top w:val="none" w:sz="0" w:space="0" w:color="auto"/>
        <w:left w:val="none" w:sz="0" w:space="0" w:color="auto"/>
        <w:bottom w:val="none" w:sz="0" w:space="0" w:color="auto"/>
        <w:right w:val="none" w:sz="0" w:space="0" w:color="auto"/>
      </w:divBdr>
    </w:div>
    <w:div w:id="1076166839">
      <w:marLeft w:val="0"/>
      <w:marRight w:val="0"/>
      <w:marTop w:val="60"/>
      <w:marBottom w:val="60"/>
      <w:divBdr>
        <w:top w:val="none" w:sz="0" w:space="0" w:color="auto"/>
        <w:left w:val="none" w:sz="0" w:space="0" w:color="auto"/>
        <w:bottom w:val="none" w:sz="0" w:space="0" w:color="auto"/>
        <w:right w:val="none" w:sz="0" w:space="0" w:color="auto"/>
      </w:divBdr>
    </w:div>
    <w:div w:id="1079059861">
      <w:marLeft w:val="0"/>
      <w:marRight w:val="0"/>
      <w:marTop w:val="180"/>
      <w:marBottom w:val="180"/>
      <w:divBdr>
        <w:top w:val="none" w:sz="0" w:space="0" w:color="auto"/>
        <w:left w:val="none" w:sz="0" w:space="0" w:color="auto"/>
        <w:bottom w:val="none" w:sz="0" w:space="0" w:color="auto"/>
        <w:right w:val="none" w:sz="0" w:space="0" w:color="auto"/>
      </w:divBdr>
    </w:div>
    <w:div w:id="1081293663">
      <w:marLeft w:val="0"/>
      <w:marRight w:val="0"/>
      <w:marTop w:val="180"/>
      <w:marBottom w:val="180"/>
      <w:divBdr>
        <w:top w:val="none" w:sz="0" w:space="0" w:color="auto"/>
        <w:left w:val="none" w:sz="0" w:space="0" w:color="auto"/>
        <w:bottom w:val="none" w:sz="0" w:space="0" w:color="auto"/>
        <w:right w:val="none" w:sz="0" w:space="0" w:color="auto"/>
      </w:divBdr>
    </w:div>
    <w:div w:id="1083838225">
      <w:marLeft w:val="0"/>
      <w:marRight w:val="0"/>
      <w:marTop w:val="180"/>
      <w:marBottom w:val="180"/>
      <w:divBdr>
        <w:top w:val="none" w:sz="0" w:space="0" w:color="auto"/>
        <w:left w:val="none" w:sz="0" w:space="0" w:color="auto"/>
        <w:bottom w:val="none" w:sz="0" w:space="0" w:color="auto"/>
        <w:right w:val="none" w:sz="0" w:space="0" w:color="auto"/>
      </w:divBdr>
    </w:div>
    <w:div w:id="1084690374">
      <w:marLeft w:val="0"/>
      <w:marRight w:val="0"/>
      <w:marTop w:val="180"/>
      <w:marBottom w:val="0"/>
      <w:divBdr>
        <w:top w:val="none" w:sz="0" w:space="0" w:color="auto"/>
        <w:left w:val="none" w:sz="0" w:space="0" w:color="auto"/>
        <w:bottom w:val="none" w:sz="0" w:space="0" w:color="auto"/>
        <w:right w:val="none" w:sz="0" w:space="0" w:color="auto"/>
      </w:divBdr>
    </w:div>
    <w:div w:id="1087772765">
      <w:marLeft w:val="0"/>
      <w:marRight w:val="0"/>
      <w:marTop w:val="180"/>
      <w:marBottom w:val="180"/>
      <w:divBdr>
        <w:top w:val="none" w:sz="0" w:space="0" w:color="auto"/>
        <w:left w:val="none" w:sz="0" w:space="0" w:color="auto"/>
        <w:bottom w:val="none" w:sz="0" w:space="0" w:color="auto"/>
        <w:right w:val="none" w:sz="0" w:space="0" w:color="auto"/>
      </w:divBdr>
    </w:div>
    <w:div w:id="1088112559">
      <w:marLeft w:val="0"/>
      <w:marRight w:val="0"/>
      <w:marTop w:val="100"/>
      <w:marBottom w:val="0"/>
      <w:divBdr>
        <w:top w:val="none" w:sz="0" w:space="0" w:color="auto"/>
        <w:left w:val="none" w:sz="0" w:space="0" w:color="auto"/>
        <w:bottom w:val="none" w:sz="0" w:space="0" w:color="auto"/>
        <w:right w:val="none" w:sz="0" w:space="0" w:color="auto"/>
      </w:divBdr>
    </w:div>
    <w:div w:id="1089082603">
      <w:marLeft w:val="0"/>
      <w:marRight w:val="0"/>
      <w:marTop w:val="0"/>
      <w:marBottom w:val="0"/>
      <w:divBdr>
        <w:top w:val="none" w:sz="0" w:space="0" w:color="auto"/>
        <w:left w:val="none" w:sz="0" w:space="0" w:color="auto"/>
        <w:bottom w:val="none" w:sz="0" w:space="0" w:color="auto"/>
        <w:right w:val="none" w:sz="0" w:space="0" w:color="auto"/>
      </w:divBdr>
    </w:div>
    <w:div w:id="1090273921">
      <w:marLeft w:val="0"/>
      <w:marRight w:val="0"/>
      <w:marTop w:val="180"/>
      <w:marBottom w:val="180"/>
      <w:divBdr>
        <w:top w:val="none" w:sz="0" w:space="0" w:color="auto"/>
        <w:left w:val="none" w:sz="0" w:space="0" w:color="auto"/>
        <w:bottom w:val="none" w:sz="0" w:space="0" w:color="auto"/>
        <w:right w:val="none" w:sz="0" w:space="0" w:color="auto"/>
      </w:divBdr>
    </w:div>
    <w:div w:id="1095369184">
      <w:marLeft w:val="0"/>
      <w:marRight w:val="0"/>
      <w:marTop w:val="180"/>
      <w:marBottom w:val="180"/>
      <w:divBdr>
        <w:top w:val="none" w:sz="0" w:space="0" w:color="auto"/>
        <w:left w:val="none" w:sz="0" w:space="0" w:color="auto"/>
        <w:bottom w:val="none" w:sz="0" w:space="0" w:color="auto"/>
        <w:right w:val="none" w:sz="0" w:space="0" w:color="auto"/>
      </w:divBdr>
    </w:div>
    <w:div w:id="1098870850">
      <w:marLeft w:val="0"/>
      <w:marRight w:val="0"/>
      <w:marTop w:val="60"/>
      <w:marBottom w:val="60"/>
      <w:divBdr>
        <w:top w:val="none" w:sz="0" w:space="0" w:color="auto"/>
        <w:left w:val="none" w:sz="0" w:space="0" w:color="auto"/>
        <w:bottom w:val="none" w:sz="0" w:space="0" w:color="auto"/>
        <w:right w:val="none" w:sz="0" w:space="0" w:color="auto"/>
      </w:divBdr>
    </w:div>
    <w:div w:id="1099720796">
      <w:marLeft w:val="0"/>
      <w:marRight w:val="0"/>
      <w:marTop w:val="180"/>
      <w:marBottom w:val="60"/>
      <w:divBdr>
        <w:top w:val="none" w:sz="0" w:space="0" w:color="auto"/>
        <w:left w:val="none" w:sz="0" w:space="0" w:color="auto"/>
        <w:bottom w:val="none" w:sz="0" w:space="0" w:color="auto"/>
        <w:right w:val="none" w:sz="0" w:space="0" w:color="auto"/>
      </w:divBdr>
    </w:div>
    <w:div w:id="1099914462">
      <w:marLeft w:val="0"/>
      <w:marRight w:val="0"/>
      <w:marTop w:val="60"/>
      <w:marBottom w:val="60"/>
      <w:divBdr>
        <w:top w:val="none" w:sz="0" w:space="0" w:color="auto"/>
        <w:left w:val="none" w:sz="0" w:space="0" w:color="auto"/>
        <w:bottom w:val="none" w:sz="0" w:space="0" w:color="auto"/>
        <w:right w:val="none" w:sz="0" w:space="0" w:color="auto"/>
      </w:divBdr>
    </w:div>
    <w:div w:id="1101947433">
      <w:marLeft w:val="0"/>
      <w:marRight w:val="0"/>
      <w:marTop w:val="180"/>
      <w:marBottom w:val="180"/>
      <w:divBdr>
        <w:top w:val="none" w:sz="0" w:space="0" w:color="auto"/>
        <w:left w:val="none" w:sz="0" w:space="0" w:color="auto"/>
        <w:bottom w:val="none" w:sz="0" w:space="0" w:color="auto"/>
        <w:right w:val="none" w:sz="0" w:space="0" w:color="auto"/>
      </w:divBdr>
    </w:div>
    <w:div w:id="1102725227">
      <w:marLeft w:val="0"/>
      <w:marRight w:val="0"/>
      <w:marTop w:val="180"/>
      <w:marBottom w:val="180"/>
      <w:divBdr>
        <w:top w:val="none" w:sz="0" w:space="0" w:color="auto"/>
        <w:left w:val="none" w:sz="0" w:space="0" w:color="auto"/>
        <w:bottom w:val="none" w:sz="0" w:space="0" w:color="auto"/>
        <w:right w:val="none" w:sz="0" w:space="0" w:color="auto"/>
      </w:divBdr>
    </w:div>
    <w:div w:id="1107888491">
      <w:marLeft w:val="0"/>
      <w:marRight w:val="0"/>
      <w:marTop w:val="0"/>
      <w:marBottom w:val="0"/>
      <w:divBdr>
        <w:top w:val="none" w:sz="0" w:space="0" w:color="auto"/>
        <w:left w:val="none" w:sz="0" w:space="0" w:color="auto"/>
        <w:bottom w:val="none" w:sz="0" w:space="0" w:color="auto"/>
        <w:right w:val="none" w:sz="0" w:space="0" w:color="auto"/>
      </w:divBdr>
      <w:divsChild>
        <w:div w:id="1458833580">
          <w:marLeft w:val="0"/>
          <w:marRight w:val="0"/>
          <w:marTop w:val="0"/>
          <w:marBottom w:val="0"/>
          <w:divBdr>
            <w:top w:val="none" w:sz="0" w:space="0" w:color="auto"/>
            <w:left w:val="none" w:sz="0" w:space="0" w:color="auto"/>
            <w:bottom w:val="none" w:sz="0" w:space="0" w:color="auto"/>
            <w:right w:val="none" w:sz="0" w:space="0" w:color="auto"/>
          </w:divBdr>
          <w:divsChild>
            <w:div w:id="197552193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07963757">
      <w:marLeft w:val="0"/>
      <w:marRight w:val="0"/>
      <w:marTop w:val="180"/>
      <w:marBottom w:val="180"/>
      <w:divBdr>
        <w:top w:val="none" w:sz="0" w:space="0" w:color="auto"/>
        <w:left w:val="none" w:sz="0" w:space="0" w:color="auto"/>
        <w:bottom w:val="none" w:sz="0" w:space="0" w:color="auto"/>
        <w:right w:val="none" w:sz="0" w:space="0" w:color="auto"/>
      </w:divBdr>
    </w:div>
    <w:div w:id="1108160559">
      <w:marLeft w:val="0"/>
      <w:marRight w:val="0"/>
      <w:marTop w:val="0"/>
      <w:marBottom w:val="0"/>
      <w:divBdr>
        <w:top w:val="none" w:sz="0" w:space="0" w:color="auto"/>
        <w:left w:val="none" w:sz="0" w:space="0" w:color="auto"/>
        <w:bottom w:val="none" w:sz="0" w:space="0" w:color="auto"/>
        <w:right w:val="none" w:sz="0" w:space="0" w:color="auto"/>
      </w:divBdr>
      <w:divsChild>
        <w:div w:id="2079940656">
          <w:marLeft w:val="0"/>
          <w:marRight w:val="0"/>
          <w:marTop w:val="0"/>
          <w:marBottom w:val="0"/>
          <w:divBdr>
            <w:top w:val="none" w:sz="0" w:space="0" w:color="auto"/>
            <w:left w:val="none" w:sz="0" w:space="0" w:color="auto"/>
            <w:bottom w:val="none" w:sz="0" w:space="0" w:color="auto"/>
            <w:right w:val="none" w:sz="0" w:space="0" w:color="auto"/>
          </w:divBdr>
          <w:divsChild>
            <w:div w:id="15715581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08697362">
      <w:marLeft w:val="0"/>
      <w:marRight w:val="0"/>
      <w:marTop w:val="0"/>
      <w:marBottom w:val="0"/>
      <w:divBdr>
        <w:top w:val="none" w:sz="0" w:space="0" w:color="auto"/>
        <w:left w:val="none" w:sz="0" w:space="0" w:color="auto"/>
        <w:bottom w:val="none" w:sz="0" w:space="0" w:color="auto"/>
        <w:right w:val="none" w:sz="0" w:space="0" w:color="auto"/>
      </w:divBdr>
    </w:div>
    <w:div w:id="1109591122">
      <w:marLeft w:val="0"/>
      <w:marRight w:val="0"/>
      <w:marTop w:val="60"/>
      <w:marBottom w:val="60"/>
      <w:divBdr>
        <w:top w:val="none" w:sz="0" w:space="0" w:color="auto"/>
        <w:left w:val="none" w:sz="0" w:space="0" w:color="auto"/>
        <w:bottom w:val="none" w:sz="0" w:space="0" w:color="auto"/>
        <w:right w:val="none" w:sz="0" w:space="0" w:color="auto"/>
      </w:divBdr>
    </w:div>
    <w:div w:id="1111120552">
      <w:marLeft w:val="0"/>
      <w:marRight w:val="0"/>
      <w:marTop w:val="180"/>
      <w:marBottom w:val="180"/>
      <w:divBdr>
        <w:top w:val="none" w:sz="0" w:space="0" w:color="auto"/>
        <w:left w:val="none" w:sz="0" w:space="0" w:color="auto"/>
        <w:bottom w:val="none" w:sz="0" w:space="0" w:color="auto"/>
        <w:right w:val="none" w:sz="0" w:space="0" w:color="auto"/>
      </w:divBdr>
    </w:div>
    <w:div w:id="1111707796">
      <w:marLeft w:val="0"/>
      <w:marRight w:val="0"/>
      <w:marTop w:val="180"/>
      <w:marBottom w:val="180"/>
      <w:divBdr>
        <w:top w:val="none" w:sz="0" w:space="0" w:color="auto"/>
        <w:left w:val="none" w:sz="0" w:space="0" w:color="auto"/>
        <w:bottom w:val="none" w:sz="0" w:space="0" w:color="auto"/>
        <w:right w:val="none" w:sz="0" w:space="0" w:color="auto"/>
      </w:divBdr>
    </w:div>
    <w:div w:id="1112164194">
      <w:marLeft w:val="0"/>
      <w:marRight w:val="0"/>
      <w:marTop w:val="180"/>
      <w:marBottom w:val="180"/>
      <w:divBdr>
        <w:top w:val="none" w:sz="0" w:space="0" w:color="auto"/>
        <w:left w:val="none" w:sz="0" w:space="0" w:color="auto"/>
        <w:bottom w:val="none" w:sz="0" w:space="0" w:color="auto"/>
        <w:right w:val="none" w:sz="0" w:space="0" w:color="auto"/>
      </w:divBdr>
    </w:div>
    <w:div w:id="1112746942">
      <w:marLeft w:val="0"/>
      <w:marRight w:val="0"/>
      <w:marTop w:val="180"/>
      <w:marBottom w:val="180"/>
      <w:divBdr>
        <w:top w:val="none" w:sz="0" w:space="0" w:color="auto"/>
        <w:left w:val="none" w:sz="0" w:space="0" w:color="auto"/>
        <w:bottom w:val="none" w:sz="0" w:space="0" w:color="auto"/>
        <w:right w:val="none" w:sz="0" w:space="0" w:color="auto"/>
      </w:divBdr>
    </w:div>
    <w:div w:id="1113594000">
      <w:marLeft w:val="0"/>
      <w:marRight w:val="0"/>
      <w:marTop w:val="0"/>
      <w:marBottom w:val="0"/>
      <w:divBdr>
        <w:top w:val="none" w:sz="0" w:space="0" w:color="auto"/>
        <w:left w:val="none" w:sz="0" w:space="0" w:color="auto"/>
        <w:bottom w:val="none" w:sz="0" w:space="0" w:color="auto"/>
        <w:right w:val="none" w:sz="0" w:space="0" w:color="auto"/>
      </w:divBdr>
    </w:div>
    <w:div w:id="1113934797">
      <w:marLeft w:val="0"/>
      <w:marRight w:val="0"/>
      <w:marTop w:val="180"/>
      <w:marBottom w:val="180"/>
      <w:divBdr>
        <w:top w:val="none" w:sz="0" w:space="0" w:color="auto"/>
        <w:left w:val="none" w:sz="0" w:space="0" w:color="auto"/>
        <w:bottom w:val="none" w:sz="0" w:space="0" w:color="auto"/>
        <w:right w:val="none" w:sz="0" w:space="0" w:color="auto"/>
      </w:divBdr>
    </w:div>
    <w:div w:id="1114404807">
      <w:marLeft w:val="0"/>
      <w:marRight w:val="0"/>
      <w:marTop w:val="180"/>
      <w:marBottom w:val="60"/>
      <w:divBdr>
        <w:top w:val="none" w:sz="0" w:space="0" w:color="auto"/>
        <w:left w:val="none" w:sz="0" w:space="0" w:color="auto"/>
        <w:bottom w:val="none" w:sz="0" w:space="0" w:color="auto"/>
        <w:right w:val="none" w:sz="0" w:space="0" w:color="auto"/>
      </w:divBdr>
    </w:div>
    <w:div w:id="1114593477">
      <w:marLeft w:val="0"/>
      <w:marRight w:val="0"/>
      <w:marTop w:val="180"/>
      <w:marBottom w:val="180"/>
      <w:divBdr>
        <w:top w:val="none" w:sz="0" w:space="0" w:color="auto"/>
        <w:left w:val="none" w:sz="0" w:space="0" w:color="auto"/>
        <w:bottom w:val="none" w:sz="0" w:space="0" w:color="auto"/>
        <w:right w:val="none" w:sz="0" w:space="0" w:color="auto"/>
      </w:divBdr>
    </w:div>
    <w:div w:id="1117145482">
      <w:marLeft w:val="0"/>
      <w:marRight w:val="0"/>
      <w:marTop w:val="60"/>
      <w:marBottom w:val="60"/>
      <w:divBdr>
        <w:top w:val="none" w:sz="0" w:space="0" w:color="auto"/>
        <w:left w:val="none" w:sz="0" w:space="0" w:color="auto"/>
        <w:bottom w:val="none" w:sz="0" w:space="0" w:color="auto"/>
        <w:right w:val="none" w:sz="0" w:space="0" w:color="auto"/>
      </w:divBdr>
    </w:div>
    <w:div w:id="1117872145">
      <w:marLeft w:val="0"/>
      <w:marRight w:val="0"/>
      <w:marTop w:val="180"/>
      <w:marBottom w:val="180"/>
      <w:divBdr>
        <w:top w:val="none" w:sz="0" w:space="0" w:color="auto"/>
        <w:left w:val="none" w:sz="0" w:space="0" w:color="auto"/>
        <w:bottom w:val="none" w:sz="0" w:space="0" w:color="auto"/>
        <w:right w:val="none" w:sz="0" w:space="0" w:color="auto"/>
      </w:divBdr>
    </w:div>
    <w:div w:id="1118841808">
      <w:marLeft w:val="0"/>
      <w:marRight w:val="0"/>
      <w:marTop w:val="60"/>
      <w:marBottom w:val="60"/>
      <w:divBdr>
        <w:top w:val="none" w:sz="0" w:space="0" w:color="auto"/>
        <w:left w:val="none" w:sz="0" w:space="0" w:color="auto"/>
        <w:bottom w:val="none" w:sz="0" w:space="0" w:color="auto"/>
        <w:right w:val="none" w:sz="0" w:space="0" w:color="auto"/>
      </w:divBdr>
    </w:div>
    <w:div w:id="1119178625">
      <w:marLeft w:val="0"/>
      <w:marRight w:val="0"/>
      <w:marTop w:val="180"/>
      <w:marBottom w:val="60"/>
      <w:divBdr>
        <w:top w:val="none" w:sz="0" w:space="0" w:color="auto"/>
        <w:left w:val="none" w:sz="0" w:space="0" w:color="auto"/>
        <w:bottom w:val="none" w:sz="0" w:space="0" w:color="auto"/>
        <w:right w:val="none" w:sz="0" w:space="0" w:color="auto"/>
      </w:divBdr>
    </w:div>
    <w:div w:id="1120613798">
      <w:marLeft w:val="0"/>
      <w:marRight w:val="0"/>
      <w:marTop w:val="0"/>
      <w:marBottom w:val="0"/>
      <w:divBdr>
        <w:top w:val="none" w:sz="0" w:space="0" w:color="auto"/>
        <w:left w:val="none" w:sz="0" w:space="0" w:color="auto"/>
        <w:bottom w:val="none" w:sz="0" w:space="0" w:color="auto"/>
        <w:right w:val="none" w:sz="0" w:space="0" w:color="auto"/>
      </w:divBdr>
      <w:divsChild>
        <w:div w:id="1679501320">
          <w:marLeft w:val="0"/>
          <w:marRight w:val="0"/>
          <w:marTop w:val="60"/>
          <w:marBottom w:val="60"/>
          <w:divBdr>
            <w:top w:val="none" w:sz="0" w:space="0" w:color="auto"/>
            <w:left w:val="none" w:sz="0" w:space="0" w:color="auto"/>
            <w:bottom w:val="none" w:sz="0" w:space="0" w:color="auto"/>
            <w:right w:val="none" w:sz="0" w:space="0" w:color="auto"/>
          </w:divBdr>
        </w:div>
      </w:divsChild>
    </w:div>
    <w:div w:id="1121341307">
      <w:marLeft w:val="0"/>
      <w:marRight w:val="0"/>
      <w:marTop w:val="60"/>
      <w:marBottom w:val="60"/>
      <w:divBdr>
        <w:top w:val="none" w:sz="0" w:space="0" w:color="auto"/>
        <w:left w:val="none" w:sz="0" w:space="0" w:color="auto"/>
        <w:bottom w:val="none" w:sz="0" w:space="0" w:color="auto"/>
        <w:right w:val="none" w:sz="0" w:space="0" w:color="auto"/>
      </w:divBdr>
    </w:div>
    <w:div w:id="1121418613">
      <w:marLeft w:val="0"/>
      <w:marRight w:val="0"/>
      <w:marTop w:val="180"/>
      <w:marBottom w:val="60"/>
      <w:divBdr>
        <w:top w:val="none" w:sz="0" w:space="0" w:color="auto"/>
        <w:left w:val="none" w:sz="0" w:space="0" w:color="auto"/>
        <w:bottom w:val="none" w:sz="0" w:space="0" w:color="auto"/>
        <w:right w:val="none" w:sz="0" w:space="0" w:color="auto"/>
      </w:divBdr>
    </w:div>
    <w:div w:id="1122962398">
      <w:marLeft w:val="0"/>
      <w:marRight w:val="0"/>
      <w:marTop w:val="60"/>
      <w:marBottom w:val="60"/>
      <w:divBdr>
        <w:top w:val="none" w:sz="0" w:space="0" w:color="auto"/>
        <w:left w:val="none" w:sz="0" w:space="0" w:color="auto"/>
        <w:bottom w:val="none" w:sz="0" w:space="0" w:color="auto"/>
        <w:right w:val="none" w:sz="0" w:space="0" w:color="auto"/>
      </w:divBdr>
    </w:div>
    <w:div w:id="1123963722">
      <w:marLeft w:val="0"/>
      <w:marRight w:val="0"/>
      <w:marTop w:val="0"/>
      <w:marBottom w:val="0"/>
      <w:divBdr>
        <w:top w:val="none" w:sz="0" w:space="0" w:color="auto"/>
        <w:left w:val="none" w:sz="0" w:space="0" w:color="auto"/>
        <w:bottom w:val="none" w:sz="0" w:space="0" w:color="auto"/>
        <w:right w:val="none" w:sz="0" w:space="0" w:color="auto"/>
      </w:divBdr>
      <w:divsChild>
        <w:div w:id="222103484">
          <w:marLeft w:val="0"/>
          <w:marRight w:val="0"/>
          <w:marTop w:val="0"/>
          <w:marBottom w:val="0"/>
          <w:divBdr>
            <w:top w:val="none" w:sz="0" w:space="0" w:color="auto"/>
            <w:left w:val="none" w:sz="0" w:space="0" w:color="auto"/>
            <w:bottom w:val="none" w:sz="0" w:space="0" w:color="auto"/>
            <w:right w:val="none" w:sz="0" w:space="0" w:color="auto"/>
          </w:divBdr>
          <w:divsChild>
            <w:div w:id="53106764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26123231">
      <w:marLeft w:val="0"/>
      <w:marRight w:val="0"/>
      <w:marTop w:val="60"/>
      <w:marBottom w:val="60"/>
      <w:divBdr>
        <w:top w:val="none" w:sz="0" w:space="0" w:color="auto"/>
        <w:left w:val="none" w:sz="0" w:space="0" w:color="auto"/>
        <w:bottom w:val="none" w:sz="0" w:space="0" w:color="auto"/>
        <w:right w:val="none" w:sz="0" w:space="0" w:color="auto"/>
      </w:divBdr>
    </w:div>
    <w:div w:id="1129712931">
      <w:marLeft w:val="0"/>
      <w:marRight w:val="0"/>
      <w:marTop w:val="0"/>
      <w:marBottom w:val="0"/>
      <w:divBdr>
        <w:top w:val="none" w:sz="0" w:space="0" w:color="auto"/>
        <w:left w:val="none" w:sz="0" w:space="0" w:color="auto"/>
        <w:bottom w:val="none" w:sz="0" w:space="0" w:color="auto"/>
        <w:right w:val="none" w:sz="0" w:space="0" w:color="auto"/>
      </w:divBdr>
      <w:divsChild>
        <w:div w:id="1891726029">
          <w:marLeft w:val="0"/>
          <w:marRight w:val="0"/>
          <w:marTop w:val="0"/>
          <w:marBottom w:val="0"/>
          <w:divBdr>
            <w:top w:val="none" w:sz="0" w:space="0" w:color="auto"/>
            <w:left w:val="none" w:sz="0" w:space="0" w:color="auto"/>
            <w:bottom w:val="none" w:sz="0" w:space="0" w:color="auto"/>
            <w:right w:val="none" w:sz="0" w:space="0" w:color="auto"/>
          </w:divBdr>
          <w:divsChild>
            <w:div w:id="185102206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29981870">
      <w:marLeft w:val="0"/>
      <w:marRight w:val="0"/>
      <w:marTop w:val="180"/>
      <w:marBottom w:val="180"/>
      <w:divBdr>
        <w:top w:val="none" w:sz="0" w:space="0" w:color="auto"/>
        <w:left w:val="none" w:sz="0" w:space="0" w:color="auto"/>
        <w:bottom w:val="none" w:sz="0" w:space="0" w:color="auto"/>
        <w:right w:val="none" w:sz="0" w:space="0" w:color="auto"/>
      </w:divBdr>
    </w:div>
    <w:div w:id="1132140398">
      <w:marLeft w:val="0"/>
      <w:marRight w:val="0"/>
      <w:marTop w:val="180"/>
      <w:marBottom w:val="180"/>
      <w:divBdr>
        <w:top w:val="none" w:sz="0" w:space="0" w:color="auto"/>
        <w:left w:val="none" w:sz="0" w:space="0" w:color="auto"/>
        <w:bottom w:val="none" w:sz="0" w:space="0" w:color="auto"/>
        <w:right w:val="none" w:sz="0" w:space="0" w:color="auto"/>
      </w:divBdr>
    </w:div>
    <w:div w:id="1133713753">
      <w:marLeft w:val="0"/>
      <w:marRight w:val="0"/>
      <w:marTop w:val="0"/>
      <w:marBottom w:val="0"/>
      <w:divBdr>
        <w:top w:val="none" w:sz="0" w:space="0" w:color="auto"/>
        <w:left w:val="none" w:sz="0" w:space="0" w:color="auto"/>
        <w:bottom w:val="none" w:sz="0" w:space="0" w:color="auto"/>
        <w:right w:val="none" w:sz="0" w:space="0" w:color="auto"/>
      </w:divBdr>
      <w:divsChild>
        <w:div w:id="1060207353">
          <w:marLeft w:val="0"/>
          <w:marRight w:val="0"/>
          <w:marTop w:val="0"/>
          <w:marBottom w:val="0"/>
          <w:divBdr>
            <w:top w:val="none" w:sz="0" w:space="0" w:color="auto"/>
            <w:left w:val="none" w:sz="0" w:space="0" w:color="auto"/>
            <w:bottom w:val="none" w:sz="0" w:space="0" w:color="auto"/>
            <w:right w:val="none" w:sz="0" w:space="0" w:color="auto"/>
          </w:divBdr>
          <w:divsChild>
            <w:div w:id="21162444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35634450">
      <w:marLeft w:val="0"/>
      <w:marRight w:val="0"/>
      <w:marTop w:val="180"/>
      <w:marBottom w:val="180"/>
      <w:divBdr>
        <w:top w:val="none" w:sz="0" w:space="0" w:color="auto"/>
        <w:left w:val="none" w:sz="0" w:space="0" w:color="auto"/>
        <w:bottom w:val="none" w:sz="0" w:space="0" w:color="auto"/>
        <w:right w:val="none" w:sz="0" w:space="0" w:color="auto"/>
      </w:divBdr>
    </w:div>
    <w:div w:id="1135836050">
      <w:marLeft w:val="0"/>
      <w:marRight w:val="0"/>
      <w:marTop w:val="180"/>
      <w:marBottom w:val="180"/>
      <w:divBdr>
        <w:top w:val="none" w:sz="0" w:space="0" w:color="auto"/>
        <w:left w:val="none" w:sz="0" w:space="0" w:color="auto"/>
        <w:bottom w:val="none" w:sz="0" w:space="0" w:color="auto"/>
        <w:right w:val="none" w:sz="0" w:space="0" w:color="auto"/>
      </w:divBdr>
    </w:div>
    <w:div w:id="1138305981">
      <w:marLeft w:val="0"/>
      <w:marRight w:val="0"/>
      <w:marTop w:val="60"/>
      <w:marBottom w:val="60"/>
      <w:divBdr>
        <w:top w:val="none" w:sz="0" w:space="0" w:color="auto"/>
        <w:left w:val="none" w:sz="0" w:space="0" w:color="auto"/>
        <w:bottom w:val="none" w:sz="0" w:space="0" w:color="auto"/>
        <w:right w:val="none" w:sz="0" w:space="0" w:color="auto"/>
      </w:divBdr>
    </w:div>
    <w:div w:id="1138692859">
      <w:marLeft w:val="0"/>
      <w:marRight w:val="0"/>
      <w:marTop w:val="60"/>
      <w:marBottom w:val="60"/>
      <w:divBdr>
        <w:top w:val="none" w:sz="0" w:space="0" w:color="auto"/>
        <w:left w:val="none" w:sz="0" w:space="0" w:color="auto"/>
        <w:bottom w:val="none" w:sz="0" w:space="0" w:color="auto"/>
        <w:right w:val="none" w:sz="0" w:space="0" w:color="auto"/>
      </w:divBdr>
    </w:div>
    <w:div w:id="1141116704">
      <w:marLeft w:val="0"/>
      <w:marRight w:val="0"/>
      <w:marTop w:val="180"/>
      <w:marBottom w:val="180"/>
      <w:divBdr>
        <w:top w:val="none" w:sz="0" w:space="0" w:color="auto"/>
        <w:left w:val="none" w:sz="0" w:space="0" w:color="auto"/>
        <w:bottom w:val="none" w:sz="0" w:space="0" w:color="auto"/>
        <w:right w:val="none" w:sz="0" w:space="0" w:color="auto"/>
      </w:divBdr>
    </w:div>
    <w:div w:id="1141574285">
      <w:marLeft w:val="0"/>
      <w:marRight w:val="0"/>
      <w:marTop w:val="180"/>
      <w:marBottom w:val="180"/>
      <w:divBdr>
        <w:top w:val="none" w:sz="0" w:space="0" w:color="auto"/>
        <w:left w:val="none" w:sz="0" w:space="0" w:color="auto"/>
        <w:bottom w:val="none" w:sz="0" w:space="0" w:color="auto"/>
        <w:right w:val="none" w:sz="0" w:space="0" w:color="auto"/>
      </w:divBdr>
    </w:div>
    <w:div w:id="1143084385">
      <w:marLeft w:val="0"/>
      <w:marRight w:val="0"/>
      <w:marTop w:val="180"/>
      <w:marBottom w:val="60"/>
      <w:divBdr>
        <w:top w:val="none" w:sz="0" w:space="0" w:color="auto"/>
        <w:left w:val="none" w:sz="0" w:space="0" w:color="auto"/>
        <w:bottom w:val="none" w:sz="0" w:space="0" w:color="auto"/>
        <w:right w:val="none" w:sz="0" w:space="0" w:color="auto"/>
      </w:divBdr>
    </w:div>
    <w:div w:id="1143229174">
      <w:marLeft w:val="0"/>
      <w:marRight w:val="0"/>
      <w:marTop w:val="100"/>
      <w:marBottom w:val="0"/>
      <w:divBdr>
        <w:top w:val="none" w:sz="0" w:space="0" w:color="auto"/>
        <w:left w:val="none" w:sz="0" w:space="0" w:color="auto"/>
        <w:bottom w:val="none" w:sz="0" w:space="0" w:color="auto"/>
        <w:right w:val="none" w:sz="0" w:space="0" w:color="auto"/>
      </w:divBdr>
      <w:divsChild>
        <w:div w:id="1898930408">
          <w:marLeft w:val="0"/>
          <w:marRight w:val="0"/>
          <w:marTop w:val="0"/>
          <w:marBottom w:val="0"/>
          <w:divBdr>
            <w:top w:val="none" w:sz="0" w:space="0" w:color="auto"/>
            <w:left w:val="none" w:sz="0" w:space="0" w:color="auto"/>
            <w:bottom w:val="none" w:sz="0" w:space="0" w:color="auto"/>
            <w:right w:val="none" w:sz="0" w:space="0" w:color="auto"/>
          </w:divBdr>
        </w:div>
        <w:div w:id="1268661496">
          <w:marLeft w:val="0"/>
          <w:marRight w:val="0"/>
          <w:marTop w:val="0"/>
          <w:marBottom w:val="0"/>
          <w:divBdr>
            <w:top w:val="none" w:sz="0" w:space="0" w:color="auto"/>
            <w:left w:val="none" w:sz="0" w:space="0" w:color="auto"/>
            <w:bottom w:val="none" w:sz="0" w:space="0" w:color="auto"/>
            <w:right w:val="none" w:sz="0" w:space="0" w:color="auto"/>
          </w:divBdr>
        </w:div>
        <w:div w:id="576986004">
          <w:marLeft w:val="0"/>
          <w:marRight w:val="0"/>
          <w:marTop w:val="0"/>
          <w:marBottom w:val="0"/>
          <w:divBdr>
            <w:top w:val="none" w:sz="0" w:space="0" w:color="auto"/>
            <w:left w:val="none" w:sz="0" w:space="0" w:color="auto"/>
            <w:bottom w:val="none" w:sz="0" w:space="0" w:color="auto"/>
            <w:right w:val="none" w:sz="0" w:space="0" w:color="auto"/>
          </w:divBdr>
        </w:div>
        <w:div w:id="203258183">
          <w:marLeft w:val="0"/>
          <w:marRight w:val="0"/>
          <w:marTop w:val="0"/>
          <w:marBottom w:val="0"/>
          <w:divBdr>
            <w:top w:val="none" w:sz="0" w:space="0" w:color="auto"/>
            <w:left w:val="none" w:sz="0" w:space="0" w:color="auto"/>
            <w:bottom w:val="none" w:sz="0" w:space="0" w:color="auto"/>
            <w:right w:val="none" w:sz="0" w:space="0" w:color="auto"/>
          </w:divBdr>
        </w:div>
        <w:div w:id="1396856574">
          <w:marLeft w:val="0"/>
          <w:marRight w:val="0"/>
          <w:marTop w:val="0"/>
          <w:marBottom w:val="0"/>
          <w:divBdr>
            <w:top w:val="none" w:sz="0" w:space="0" w:color="auto"/>
            <w:left w:val="none" w:sz="0" w:space="0" w:color="auto"/>
            <w:bottom w:val="none" w:sz="0" w:space="0" w:color="auto"/>
            <w:right w:val="none" w:sz="0" w:space="0" w:color="auto"/>
          </w:divBdr>
        </w:div>
        <w:div w:id="1577740232">
          <w:marLeft w:val="0"/>
          <w:marRight w:val="0"/>
          <w:marTop w:val="0"/>
          <w:marBottom w:val="0"/>
          <w:divBdr>
            <w:top w:val="none" w:sz="0" w:space="0" w:color="auto"/>
            <w:left w:val="none" w:sz="0" w:space="0" w:color="auto"/>
            <w:bottom w:val="none" w:sz="0" w:space="0" w:color="auto"/>
            <w:right w:val="none" w:sz="0" w:space="0" w:color="auto"/>
          </w:divBdr>
        </w:div>
        <w:div w:id="61492847">
          <w:marLeft w:val="0"/>
          <w:marRight w:val="0"/>
          <w:marTop w:val="0"/>
          <w:marBottom w:val="0"/>
          <w:divBdr>
            <w:top w:val="none" w:sz="0" w:space="0" w:color="auto"/>
            <w:left w:val="none" w:sz="0" w:space="0" w:color="auto"/>
            <w:bottom w:val="none" w:sz="0" w:space="0" w:color="auto"/>
            <w:right w:val="none" w:sz="0" w:space="0" w:color="auto"/>
          </w:divBdr>
        </w:div>
        <w:div w:id="577323774">
          <w:marLeft w:val="0"/>
          <w:marRight w:val="0"/>
          <w:marTop w:val="0"/>
          <w:marBottom w:val="0"/>
          <w:divBdr>
            <w:top w:val="none" w:sz="0" w:space="0" w:color="auto"/>
            <w:left w:val="none" w:sz="0" w:space="0" w:color="auto"/>
            <w:bottom w:val="none" w:sz="0" w:space="0" w:color="auto"/>
            <w:right w:val="none" w:sz="0" w:space="0" w:color="auto"/>
          </w:divBdr>
        </w:div>
        <w:div w:id="517546855">
          <w:marLeft w:val="0"/>
          <w:marRight w:val="0"/>
          <w:marTop w:val="0"/>
          <w:marBottom w:val="0"/>
          <w:divBdr>
            <w:top w:val="none" w:sz="0" w:space="0" w:color="auto"/>
            <w:left w:val="none" w:sz="0" w:space="0" w:color="auto"/>
            <w:bottom w:val="none" w:sz="0" w:space="0" w:color="auto"/>
            <w:right w:val="none" w:sz="0" w:space="0" w:color="auto"/>
          </w:divBdr>
        </w:div>
        <w:div w:id="1169102979">
          <w:marLeft w:val="0"/>
          <w:marRight w:val="0"/>
          <w:marTop w:val="0"/>
          <w:marBottom w:val="0"/>
          <w:divBdr>
            <w:top w:val="none" w:sz="0" w:space="0" w:color="auto"/>
            <w:left w:val="none" w:sz="0" w:space="0" w:color="auto"/>
            <w:bottom w:val="none" w:sz="0" w:space="0" w:color="auto"/>
            <w:right w:val="none" w:sz="0" w:space="0" w:color="auto"/>
          </w:divBdr>
        </w:div>
        <w:div w:id="1860002411">
          <w:marLeft w:val="0"/>
          <w:marRight w:val="0"/>
          <w:marTop w:val="0"/>
          <w:marBottom w:val="0"/>
          <w:divBdr>
            <w:top w:val="none" w:sz="0" w:space="0" w:color="auto"/>
            <w:left w:val="none" w:sz="0" w:space="0" w:color="auto"/>
            <w:bottom w:val="none" w:sz="0" w:space="0" w:color="auto"/>
            <w:right w:val="none" w:sz="0" w:space="0" w:color="auto"/>
          </w:divBdr>
        </w:div>
        <w:div w:id="1480731221">
          <w:marLeft w:val="0"/>
          <w:marRight w:val="0"/>
          <w:marTop w:val="0"/>
          <w:marBottom w:val="0"/>
          <w:divBdr>
            <w:top w:val="none" w:sz="0" w:space="0" w:color="auto"/>
            <w:left w:val="none" w:sz="0" w:space="0" w:color="auto"/>
            <w:bottom w:val="none" w:sz="0" w:space="0" w:color="auto"/>
            <w:right w:val="none" w:sz="0" w:space="0" w:color="auto"/>
          </w:divBdr>
        </w:div>
        <w:div w:id="366950463">
          <w:marLeft w:val="0"/>
          <w:marRight w:val="0"/>
          <w:marTop w:val="0"/>
          <w:marBottom w:val="0"/>
          <w:divBdr>
            <w:top w:val="none" w:sz="0" w:space="0" w:color="auto"/>
            <w:left w:val="none" w:sz="0" w:space="0" w:color="auto"/>
            <w:bottom w:val="none" w:sz="0" w:space="0" w:color="auto"/>
            <w:right w:val="none" w:sz="0" w:space="0" w:color="auto"/>
          </w:divBdr>
        </w:div>
        <w:div w:id="1772432620">
          <w:marLeft w:val="0"/>
          <w:marRight w:val="0"/>
          <w:marTop w:val="0"/>
          <w:marBottom w:val="0"/>
          <w:divBdr>
            <w:top w:val="none" w:sz="0" w:space="0" w:color="auto"/>
            <w:left w:val="none" w:sz="0" w:space="0" w:color="auto"/>
            <w:bottom w:val="none" w:sz="0" w:space="0" w:color="auto"/>
            <w:right w:val="none" w:sz="0" w:space="0" w:color="auto"/>
          </w:divBdr>
        </w:div>
        <w:div w:id="1568227307">
          <w:marLeft w:val="0"/>
          <w:marRight w:val="0"/>
          <w:marTop w:val="0"/>
          <w:marBottom w:val="0"/>
          <w:divBdr>
            <w:top w:val="none" w:sz="0" w:space="0" w:color="auto"/>
            <w:left w:val="none" w:sz="0" w:space="0" w:color="auto"/>
            <w:bottom w:val="none" w:sz="0" w:space="0" w:color="auto"/>
            <w:right w:val="none" w:sz="0" w:space="0" w:color="auto"/>
          </w:divBdr>
        </w:div>
        <w:div w:id="1055474320">
          <w:marLeft w:val="0"/>
          <w:marRight w:val="0"/>
          <w:marTop w:val="0"/>
          <w:marBottom w:val="0"/>
          <w:divBdr>
            <w:top w:val="none" w:sz="0" w:space="0" w:color="auto"/>
            <w:left w:val="none" w:sz="0" w:space="0" w:color="auto"/>
            <w:bottom w:val="none" w:sz="0" w:space="0" w:color="auto"/>
            <w:right w:val="none" w:sz="0" w:space="0" w:color="auto"/>
          </w:divBdr>
        </w:div>
        <w:div w:id="662860002">
          <w:marLeft w:val="0"/>
          <w:marRight w:val="0"/>
          <w:marTop w:val="0"/>
          <w:marBottom w:val="0"/>
          <w:divBdr>
            <w:top w:val="none" w:sz="0" w:space="0" w:color="auto"/>
            <w:left w:val="none" w:sz="0" w:space="0" w:color="auto"/>
            <w:bottom w:val="none" w:sz="0" w:space="0" w:color="auto"/>
            <w:right w:val="none" w:sz="0" w:space="0" w:color="auto"/>
          </w:divBdr>
        </w:div>
        <w:div w:id="895552254">
          <w:marLeft w:val="0"/>
          <w:marRight w:val="0"/>
          <w:marTop w:val="0"/>
          <w:marBottom w:val="0"/>
          <w:divBdr>
            <w:top w:val="none" w:sz="0" w:space="0" w:color="auto"/>
            <w:left w:val="none" w:sz="0" w:space="0" w:color="auto"/>
            <w:bottom w:val="none" w:sz="0" w:space="0" w:color="auto"/>
            <w:right w:val="none" w:sz="0" w:space="0" w:color="auto"/>
          </w:divBdr>
        </w:div>
        <w:div w:id="847791019">
          <w:marLeft w:val="0"/>
          <w:marRight w:val="0"/>
          <w:marTop w:val="0"/>
          <w:marBottom w:val="0"/>
          <w:divBdr>
            <w:top w:val="none" w:sz="0" w:space="0" w:color="auto"/>
            <w:left w:val="none" w:sz="0" w:space="0" w:color="auto"/>
            <w:bottom w:val="none" w:sz="0" w:space="0" w:color="auto"/>
            <w:right w:val="none" w:sz="0" w:space="0" w:color="auto"/>
          </w:divBdr>
        </w:div>
        <w:div w:id="160396452">
          <w:marLeft w:val="0"/>
          <w:marRight w:val="0"/>
          <w:marTop w:val="0"/>
          <w:marBottom w:val="0"/>
          <w:divBdr>
            <w:top w:val="none" w:sz="0" w:space="0" w:color="auto"/>
            <w:left w:val="none" w:sz="0" w:space="0" w:color="auto"/>
            <w:bottom w:val="none" w:sz="0" w:space="0" w:color="auto"/>
            <w:right w:val="none" w:sz="0" w:space="0" w:color="auto"/>
          </w:divBdr>
        </w:div>
        <w:div w:id="1591545837">
          <w:marLeft w:val="0"/>
          <w:marRight w:val="0"/>
          <w:marTop w:val="0"/>
          <w:marBottom w:val="0"/>
          <w:divBdr>
            <w:top w:val="none" w:sz="0" w:space="0" w:color="auto"/>
            <w:left w:val="none" w:sz="0" w:space="0" w:color="auto"/>
            <w:bottom w:val="none" w:sz="0" w:space="0" w:color="auto"/>
            <w:right w:val="none" w:sz="0" w:space="0" w:color="auto"/>
          </w:divBdr>
        </w:div>
      </w:divsChild>
    </w:div>
    <w:div w:id="1144153196">
      <w:marLeft w:val="0"/>
      <w:marRight w:val="0"/>
      <w:marTop w:val="180"/>
      <w:marBottom w:val="180"/>
      <w:divBdr>
        <w:top w:val="none" w:sz="0" w:space="0" w:color="auto"/>
        <w:left w:val="none" w:sz="0" w:space="0" w:color="auto"/>
        <w:bottom w:val="none" w:sz="0" w:space="0" w:color="auto"/>
        <w:right w:val="none" w:sz="0" w:space="0" w:color="auto"/>
      </w:divBdr>
    </w:div>
    <w:div w:id="1145662645">
      <w:marLeft w:val="0"/>
      <w:marRight w:val="0"/>
      <w:marTop w:val="60"/>
      <w:marBottom w:val="60"/>
      <w:divBdr>
        <w:top w:val="none" w:sz="0" w:space="0" w:color="auto"/>
        <w:left w:val="none" w:sz="0" w:space="0" w:color="auto"/>
        <w:bottom w:val="none" w:sz="0" w:space="0" w:color="auto"/>
        <w:right w:val="none" w:sz="0" w:space="0" w:color="auto"/>
      </w:divBdr>
    </w:div>
    <w:div w:id="1145783420">
      <w:marLeft w:val="0"/>
      <w:marRight w:val="0"/>
      <w:marTop w:val="0"/>
      <w:marBottom w:val="0"/>
      <w:divBdr>
        <w:top w:val="none" w:sz="0" w:space="0" w:color="auto"/>
        <w:left w:val="none" w:sz="0" w:space="0" w:color="auto"/>
        <w:bottom w:val="none" w:sz="0" w:space="0" w:color="auto"/>
        <w:right w:val="none" w:sz="0" w:space="0" w:color="auto"/>
      </w:divBdr>
      <w:divsChild>
        <w:div w:id="568347655">
          <w:marLeft w:val="0"/>
          <w:marRight w:val="0"/>
          <w:marTop w:val="0"/>
          <w:marBottom w:val="0"/>
          <w:divBdr>
            <w:top w:val="none" w:sz="0" w:space="0" w:color="auto"/>
            <w:left w:val="none" w:sz="0" w:space="0" w:color="auto"/>
            <w:bottom w:val="none" w:sz="0" w:space="0" w:color="auto"/>
            <w:right w:val="none" w:sz="0" w:space="0" w:color="auto"/>
          </w:divBdr>
          <w:divsChild>
            <w:div w:id="149941858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46512475">
      <w:marLeft w:val="0"/>
      <w:marRight w:val="0"/>
      <w:marTop w:val="0"/>
      <w:marBottom w:val="0"/>
      <w:divBdr>
        <w:top w:val="none" w:sz="0" w:space="0" w:color="auto"/>
        <w:left w:val="none" w:sz="0" w:space="0" w:color="auto"/>
        <w:bottom w:val="none" w:sz="0" w:space="0" w:color="auto"/>
        <w:right w:val="none" w:sz="0" w:space="0" w:color="auto"/>
      </w:divBdr>
    </w:div>
    <w:div w:id="1146514285">
      <w:marLeft w:val="0"/>
      <w:marRight w:val="0"/>
      <w:marTop w:val="60"/>
      <w:marBottom w:val="0"/>
      <w:divBdr>
        <w:top w:val="none" w:sz="0" w:space="0" w:color="auto"/>
        <w:left w:val="none" w:sz="0" w:space="0" w:color="auto"/>
        <w:bottom w:val="none" w:sz="0" w:space="0" w:color="auto"/>
        <w:right w:val="none" w:sz="0" w:space="0" w:color="auto"/>
      </w:divBdr>
      <w:divsChild>
        <w:div w:id="1078985322">
          <w:marLeft w:val="0"/>
          <w:marRight w:val="0"/>
          <w:marTop w:val="0"/>
          <w:marBottom w:val="0"/>
          <w:divBdr>
            <w:top w:val="none" w:sz="0" w:space="0" w:color="auto"/>
            <w:left w:val="none" w:sz="0" w:space="0" w:color="auto"/>
            <w:bottom w:val="none" w:sz="0" w:space="0" w:color="auto"/>
            <w:right w:val="none" w:sz="0" w:space="0" w:color="auto"/>
          </w:divBdr>
        </w:div>
        <w:div w:id="891498398">
          <w:marLeft w:val="0"/>
          <w:marRight w:val="0"/>
          <w:marTop w:val="0"/>
          <w:marBottom w:val="0"/>
          <w:divBdr>
            <w:top w:val="none" w:sz="0" w:space="0" w:color="auto"/>
            <w:left w:val="none" w:sz="0" w:space="0" w:color="auto"/>
            <w:bottom w:val="none" w:sz="0" w:space="0" w:color="auto"/>
            <w:right w:val="none" w:sz="0" w:space="0" w:color="auto"/>
          </w:divBdr>
        </w:div>
        <w:div w:id="1239368912">
          <w:marLeft w:val="0"/>
          <w:marRight w:val="0"/>
          <w:marTop w:val="0"/>
          <w:marBottom w:val="0"/>
          <w:divBdr>
            <w:top w:val="none" w:sz="0" w:space="0" w:color="auto"/>
            <w:left w:val="none" w:sz="0" w:space="0" w:color="auto"/>
            <w:bottom w:val="none" w:sz="0" w:space="0" w:color="auto"/>
            <w:right w:val="none" w:sz="0" w:space="0" w:color="auto"/>
          </w:divBdr>
        </w:div>
      </w:divsChild>
    </w:div>
    <w:div w:id="1149640284">
      <w:marLeft w:val="0"/>
      <w:marRight w:val="0"/>
      <w:marTop w:val="180"/>
      <w:marBottom w:val="180"/>
      <w:divBdr>
        <w:top w:val="none" w:sz="0" w:space="0" w:color="auto"/>
        <w:left w:val="none" w:sz="0" w:space="0" w:color="auto"/>
        <w:bottom w:val="none" w:sz="0" w:space="0" w:color="auto"/>
        <w:right w:val="none" w:sz="0" w:space="0" w:color="auto"/>
      </w:divBdr>
      <w:divsChild>
        <w:div w:id="2140997146">
          <w:marLeft w:val="0"/>
          <w:marRight w:val="0"/>
          <w:marTop w:val="0"/>
          <w:marBottom w:val="0"/>
          <w:divBdr>
            <w:top w:val="none" w:sz="0" w:space="0" w:color="auto"/>
            <w:left w:val="none" w:sz="0" w:space="0" w:color="auto"/>
            <w:bottom w:val="none" w:sz="0" w:space="0" w:color="auto"/>
            <w:right w:val="none" w:sz="0" w:space="0" w:color="auto"/>
          </w:divBdr>
        </w:div>
      </w:divsChild>
    </w:div>
    <w:div w:id="1150171788">
      <w:marLeft w:val="0"/>
      <w:marRight w:val="0"/>
      <w:marTop w:val="180"/>
      <w:marBottom w:val="180"/>
      <w:divBdr>
        <w:top w:val="none" w:sz="0" w:space="0" w:color="auto"/>
        <w:left w:val="none" w:sz="0" w:space="0" w:color="auto"/>
        <w:bottom w:val="none" w:sz="0" w:space="0" w:color="auto"/>
        <w:right w:val="none" w:sz="0" w:space="0" w:color="auto"/>
      </w:divBdr>
    </w:div>
    <w:div w:id="1151214381">
      <w:marLeft w:val="0"/>
      <w:marRight w:val="0"/>
      <w:marTop w:val="0"/>
      <w:marBottom w:val="0"/>
      <w:divBdr>
        <w:top w:val="none" w:sz="0" w:space="0" w:color="auto"/>
        <w:left w:val="none" w:sz="0" w:space="0" w:color="auto"/>
        <w:bottom w:val="none" w:sz="0" w:space="0" w:color="auto"/>
        <w:right w:val="none" w:sz="0" w:space="0" w:color="auto"/>
      </w:divBdr>
      <w:divsChild>
        <w:div w:id="1676416837">
          <w:marLeft w:val="0"/>
          <w:marRight w:val="0"/>
          <w:marTop w:val="0"/>
          <w:marBottom w:val="0"/>
          <w:divBdr>
            <w:top w:val="none" w:sz="0" w:space="0" w:color="auto"/>
            <w:left w:val="none" w:sz="0" w:space="0" w:color="auto"/>
            <w:bottom w:val="none" w:sz="0" w:space="0" w:color="auto"/>
            <w:right w:val="none" w:sz="0" w:space="0" w:color="auto"/>
          </w:divBdr>
          <w:divsChild>
            <w:div w:id="174857529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51600248">
      <w:marLeft w:val="0"/>
      <w:marRight w:val="0"/>
      <w:marTop w:val="60"/>
      <w:marBottom w:val="60"/>
      <w:divBdr>
        <w:top w:val="none" w:sz="0" w:space="0" w:color="auto"/>
        <w:left w:val="none" w:sz="0" w:space="0" w:color="auto"/>
        <w:bottom w:val="none" w:sz="0" w:space="0" w:color="auto"/>
        <w:right w:val="none" w:sz="0" w:space="0" w:color="auto"/>
      </w:divBdr>
    </w:div>
    <w:div w:id="1155147677">
      <w:marLeft w:val="0"/>
      <w:marRight w:val="0"/>
      <w:marTop w:val="60"/>
      <w:marBottom w:val="60"/>
      <w:divBdr>
        <w:top w:val="none" w:sz="0" w:space="0" w:color="auto"/>
        <w:left w:val="none" w:sz="0" w:space="0" w:color="auto"/>
        <w:bottom w:val="none" w:sz="0" w:space="0" w:color="auto"/>
        <w:right w:val="none" w:sz="0" w:space="0" w:color="auto"/>
      </w:divBdr>
    </w:div>
    <w:div w:id="1155418330">
      <w:marLeft w:val="0"/>
      <w:marRight w:val="0"/>
      <w:marTop w:val="180"/>
      <w:marBottom w:val="180"/>
      <w:divBdr>
        <w:top w:val="none" w:sz="0" w:space="0" w:color="auto"/>
        <w:left w:val="none" w:sz="0" w:space="0" w:color="auto"/>
        <w:bottom w:val="none" w:sz="0" w:space="0" w:color="auto"/>
        <w:right w:val="none" w:sz="0" w:space="0" w:color="auto"/>
      </w:divBdr>
    </w:div>
    <w:div w:id="1155800955">
      <w:marLeft w:val="0"/>
      <w:marRight w:val="0"/>
      <w:marTop w:val="180"/>
      <w:marBottom w:val="60"/>
      <w:divBdr>
        <w:top w:val="none" w:sz="0" w:space="0" w:color="auto"/>
        <w:left w:val="none" w:sz="0" w:space="0" w:color="auto"/>
        <w:bottom w:val="none" w:sz="0" w:space="0" w:color="auto"/>
        <w:right w:val="none" w:sz="0" w:space="0" w:color="auto"/>
      </w:divBdr>
    </w:div>
    <w:div w:id="1156260685">
      <w:marLeft w:val="0"/>
      <w:marRight w:val="0"/>
      <w:marTop w:val="0"/>
      <w:marBottom w:val="0"/>
      <w:divBdr>
        <w:top w:val="none" w:sz="0" w:space="0" w:color="auto"/>
        <w:left w:val="none" w:sz="0" w:space="0" w:color="auto"/>
        <w:bottom w:val="none" w:sz="0" w:space="0" w:color="auto"/>
        <w:right w:val="none" w:sz="0" w:space="0" w:color="auto"/>
      </w:divBdr>
    </w:div>
    <w:div w:id="1158114027">
      <w:marLeft w:val="0"/>
      <w:marRight w:val="0"/>
      <w:marTop w:val="180"/>
      <w:marBottom w:val="180"/>
      <w:divBdr>
        <w:top w:val="none" w:sz="0" w:space="0" w:color="auto"/>
        <w:left w:val="none" w:sz="0" w:space="0" w:color="auto"/>
        <w:bottom w:val="none" w:sz="0" w:space="0" w:color="auto"/>
        <w:right w:val="none" w:sz="0" w:space="0" w:color="auto"/>
      </w:divBdr>
    </w:div>
    <w:div w:id="1165051462">
      <w:marLeft w:val="0"/>
      <w:marRight w:val="0"/>
      <w:marTop w:val="180"/>
      <w:marBottom w:val="180"/>
      <w:divBdr>
        <w:top w:val="none" w:sz="0" w:space="0" w:color="auto"/>
        <w:left w:val="none" w:sz="0" w:space="0" w:color="auto"/>
        <w:bottom w:val="none" w:sz="0" w:space="0" w:color="auto"/>
        <w:right w:val="none" w:sz="0" w:space="0" w:color="auto"/>
      </w:divBdr>
    </w:div>
    <w:div w:id="1166243166">
      <w:marLeft w:val="0"/>
      <w:marRight w:val="0"/>
      <w:marTop w:val="60"/>
      <w:marBottom w:val="60"/>
      <w:divBdr>
        <w:top w:val="none" w:sz="0" w:space="0" w:color="auto"/>
        <w:left w:val="none" w:sz="0" w:space="0" w:color="auto"/>
        <w:bottom w:val="none" w:sz="0" w:space="0" w:color="auto"/>
        <w:right w:val="none" w:sz="0" w:space="0" w:color="auto"/>
      </w:divBdr>
    </w:div>
    <w:div w:id="1167592714">
      <w:marLeft w:val="0"/>
      <w:marRight w:val="0"/>
      <w:marTop w:val="0"/>
      <w:marBottom w:val="15"/>
      <w:divBdr>
        <w:top w:val="none" w:sz="0" w:space="0" w:color="auto"/>
        <w:left w:val="none" w:sz="0" w:space="0" w:color="auto"/>
        <w:bottom w:val="none" w:sz="0" w:space="0" w:color="auto"/>
        <w:right w:val="none" w:sz="0" w:space="0" w:color="auto"/>
      </w:divBdr>
    </w:div>
    <w:div w:id="1168330627">
      <w:marLeft w:val="0"/>
      <w:marRight w:val="0"/>
      <w:marTop w:val="180"/>
      <w:marBottom w:val="180"/>
      <w:divBdr>
        <w:top w:val="none" w:sz="0" w:space="0" w:color="auto"/>
        <w:left w:val="none" w:sz="0" w:space="0" w:color="auto"/>
        <w:bottom w:val="none" w:sz="0" w:space="0" w:color="auto"/>
        <w:right w:val="none" w:sz="0" w:space="0" w:color="auto"/>
      </w:divBdr>
    </w:div>
    <w:div w:id="1168518504">
      <w:marLeft w:val="0"/>
      <w:marRight w:val="0"/>
      <w:marTop w:val="60"/>
      <w:marBottom w:val="60"/>
      <w:divBdr>
        <w:top w:val="none" w:sz="0" w:space="0" w:color="auto"/>
        <w:left w:val="none" w:sz="0" w:space="0" w:color="auto"/>
        <w:bottom w:val="none" w:sz="0" w:space="0" w:color="auto"/>
        <w:right w:val="none" w:sz="0" w:space="0" w:color="auto"/>
      </w:divBdr>
    </w:div>
    <w:div w:id="1169099097">
      <w:marLeft w:val="0"/>
      <w:marRight w:val="0"/>
      <w:marTop w:val="180"/>
      <w:marBottom w:val="180"/>
      <w:divBdr>
        <w:top w:val="none" w:sz="0" w:space="0" w:color="auto"/>
        <w:left w:val="none" w:sz="0" w:space="0" w:color="auto"/>
        <w:bottom w:val="none" w:sz="0" w:space="0" w:color="auto"/>
        <w:right w:val="none" w:sz="0" w:space="0" w:color="auto"/>
      </w:divBdr>
    </w:div>
    <w:div w:id="1169633125">
      <w:marLeft w:val="0"/>
      <w:marRight w:val="0"/>
      <w:marTop w:val="180"/>
      <w:marBottom w:val="180"/>
      <w:divBdr>
        <w:top w:val="none" w:sz="0" w:space="0" w:color="auto"/>
        <w:left w:val="none" w:sz="0" w:space="0" w:color="auto"/>
        <w:bottom w:val="none" w:sz="0" w:space="0" w:color="auto"/>
        <w:right w:val="none" w:sz="0" w:space="0" w:color="auto"/>
      </w:divBdr>
      <w:divsChild>
        <w:div w:id="23141347">
          <w:marLeft w:val="0"/>
          <w:marRight w:val="0"/>
          <w:marTop w:val="0"/>
          <w:marBottom w:val="0"/>
          <w:divBdr>
            <w:top w:val="none" w:sz="0" w:space="0" w:color="auto"/>
            <w:left w:val="none" w:sz="0" w:space="0" w:color="auto"/>
            <w:bottom w:val="none" w:sz="0" w:space="0" w:color="auto"/>
            <w:right w:val="none" w:sz="0" w:space="0" w:color="auto"/>
          </w:divBdr>
        </w:div>
        <w:div w:id="1873104571">
          <w:marLeft w:val="0"/>
          <w:marRight w:val="0"/>
          <w:marTop w:val="0"/>
          <w:marBottom w:val="0"/>
          <w:divBdr>
            <w:top w:val="none" w:sz="0" w:space="0" w:color="auto"/>
            <w:left w:val="none" w:sz="0" w:space="0" w:color="auto"/>
            <w:bottom w:val="none" w:sz="0" w:space="0" w:color="auto"/>
            <w:right w:val="none" w:sz="0" w:space="0" w:color="auto"/>
          </w:divBdr>
        </w:div>
      </w:divsChild>
    </w:div>
    <w:div w:id="1169830261">
      <w:marLeft w:val="0"/>
      <w:marRight w:val="0"/>
      <w:marTop w:val="0"/>
      <w:marBottom w:val="0"/>
      <w:divBdr>
        <w:top w:val="none" w:sz="0" w:space="0" w:color="auto"/>
        <w:left w:val="none" w:sz="0" w:space="0" w:color="auto"/>
        <w:bottom w:val="none" w:sz="0" w:space="0" w:color="auto"/>
        <w:right w:val="none" w:sz="0" w:space="0" w:color="auto"/>
      </w:divBdr>
      <w:divsChild>
        <w:div w:id="1308196591">
          <w:marLeft w:val="0"/>
          <w:marRight w:val="0"/>
          <w:marTop w:val="0"/>
          <w:marBottom w:val="0"/>
          <w:divBdr>
            <w:top w:val="none" w:sz="0" w:space="0" w:color="auto"/>
            <w:left w:val="none" w:sz="0" w:space="0" w:color="auto"/>
            <w:bottom w:val="none" w:sz="0" w:space="0" w:color="auto"/>
            <w:right w:val="none" w:sz="0" w:space="0" w:color="auto"/>
          </w:divBdr>
          <w:divsChild>
            <w:div w:id="7590843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70870740">
      <w:marLeft w:val="0"/>
      <w:marRight w:val="0"/>
      <w:marTop w:val="180"/>
      <w:marBottom w:val="180"/>
      <w:divBdr>
        <w:top w:val="none" w:sz="0" w:space="0" w:color="auto"/>
        <w:left w:val="none" w:sz="0" w:space="0" w:color="auto"/>
        <w:bottom w:val="none" w:sz="0" w:space="0" w:color="auto"/>
        <w:right w:val="none" w:sz="0" w:space="0" w:color="auto"/>
      </w:divBdr>
    </w:div>
    <w:div w:id="1173226800">
      <w:marLeft w:val="0"/>
      <w:marRight w:val="0"/>
      <w:marTop w:val="180"/>
      <w:marBottom w:val="60"/>
      <w:divBdr>
        <w:top w:val="none" w:sz="0" w:space="0" w:color="auto"/>
        <w:left w:val="none" w:sz="0" w:space="0" w:color="auto"/>
        <w:bottom w:val="none" w:sz="0" w:space="0" w:color="auto"/>
        <w:right w:val="none" w:sz="0" w:space="0" w:color="auto"/>
      </w:divBdr>
    </w:div>
    <w:div w:id="1173687631">
      <w:marLeft w:val="0"/>
      <w:marRight w:val="0"/>
      <w:marTop w:val="60"/>
      <w:marBottom w:val="60"/>
      <w:divBdr>
        <w:top w:val="none" w:sz="0" w:space="0" w:color="auto"/>
        <w:left w:val="none" w:sz="0" w:space="0" w:color="auto"/>
        <w:bottom w:val="none" w:sz="0" w:space="0" w:color="auto"/>
        <w:right w:val="none" w:sz="0" w:space="0" w:color="auto"/>
      </w:divBdr>
    </w:div>
    <w:div w:id="1173758321">
      <w:marLeft w:val="0"/>
      <w:marRight w:val="0"/>
      <w:marTop w:val="180"/>
      <w:marBottom w:val="180"/>
      <w:divBdr>
        <w:top w:val="none" w:sz="0" w:space="0" w:color="auto"/>
        <w:left w:val="none" w:sz="0" w:space="0" w:color="auto"/>
        <w:bottom w:val="none" w:sz="0" w:space="0" w:color="auto"/>
        <w:right w:val="none" w:sz="0" w:space="0" w:color="auto"/>
      </w:divBdr>
    </w:div>
    <w:div w:id="1175918460">
      <w:marLeft w:val="0"/>
      <w:marRight w:val="0"/>
      <w:marTop w:val="180"/>
      <w:marBottom w:val="180"/>
      <w:divBdr>
        <w:top w:val="none" w:sz="0" w:space="0" w:color="auto"/>
        <w:left w:val="none" w:sz="0" w:space="0" w:color="auto"/>
        <w:bottom w:val="none" w:sz="0" w:space="0" w:color="auto"/>
        <w:right w:val="none" w:sz="0" w:space="0" w:color="auto"/>
      </w:divBdr>
    </w:div>
    <w:div w:id="1175998976">
      <w:marLeft w:val="0"/>
      <w:marRight w:val="0"/>
      <w:marTop w:val="180"/>
      <w:marBottom w:val="60"/>
      <w:divBdr>
        <w:top w:val="none" w:sz="0" w:space="0" w:color="auto"/>
        <w:left w:val="none" w:sz="0" w:space="0" w:color="auto"/>
        <w:bottom w:val="none" w:sz="0" w:space="0" w:color="auto"/>
        <w:right w:val="none" w:sz="0" w:space="0" w:color="auto"/>
      </w:divBdr>
    </w:div>
    <w:div w:id="1180504082">
      <w:marLeft w:val="0"/>
      <w:marRight w:val="0"/>
      <w:marTop w:val="180"/>
      <w:marBottom w:val="60"/>
      <w:divBdr>
        <w:top w:val="none" w:sz="0" w:space="0" w:color="auto"/>
        <w:left w:val="none" w:sz="0" w:space="0" w:color="auto"/>
        <w:bottom w:val="none" w:sz="0" w:space="0" w:color="auto"/>
        <w:right w:val="none" w:sz="0" w:space="0" w:color="auto"/>
      </w:divBdr>
    </w:div>
    <w:div w:id="1180700232">
      <w:marLeft w:val="0"/>
      <w:marRight w:val="0"/>
      <w:marTop w:val="180"/>
      <w:marBottom w:val="180"/>
      <w:divBdr>
        <w:top w:val="none" w:sz="0" w:space="0" w:color="auto"/>
        <w:left w:val="none" w:sz="0" w:space="0" w:color="auto"/>
        <w:bottom w:val="none" w:sz="0" w:space="0" w:color="auto"/>
        <w:right w:val="none" w:sz="0" w:space="0" w:color="auto"/>
      </w:divBdr>
    </w:div>
    <w:div w:id="1180781267">
      <w:marLeft w:val="0"/>
      <w:marRight w:val="0"/>
      <w:marTop w:val="180"/>
      <w:marBottom w:val="180"/>
      <w:divBdr>
        <w:top w:val="none" w:sz="0" w:space="0" w:color="auto"/>
        <w:left w:val="none" w:sz="0" w:space="0" w:color="auto"/>
        <w:bottom w:val="none" w:sz="0" w:space="0" w:color="auto"/>
        <w:right w:val="none" w:sz="0" w:space="0" w:color="auto"/>
      </w:divBdr>
    </w:div>
    <w:div w:id="1182352317">
      <w:marLeft w:val="0"/>
      <w:marRight w:val="0"/>
      <w:marTop w:val="0"/>
      <w:marBottom w:val="15"/>
      <w:divBdr>
        <w:top w:val="none" w:sz="0" w:space="0" w:color="auto"/>
        <w:left w:val="none" w:sz="0" w:space="0" w:color="auto"/>
        <w:bottom w:val="none" w:sz="0" w:space="0" w:color="auto"/>
        <w:right w:val="none" w:sz="0" w:space="0" w:color="auto"/>
      </w:divBdr>
    </w:div>
    <w:div w:id="1183476955">
      <w:marLeft w:val="0"/>
      <w:marRight w:val="0"/>
      <w:marTop w:val="180"/>
      <w:marBottom w:val="180"/>
      <w:divBdr>
        <w:top w:val="none" w:sz="0" w:space="0" w:color="auto"/>
        <w:left w:val="none" w:sz="0" w:space="0" w:color="auto"/>
        <w:bottom w:val="none" w:sz="0" w:space="0" w:color="auto"/>
        <w:right w:val="none" w:sz="0" w:space="0" w:color="auto"/>
      </w:divBdr>
    </w:div>
    <w:div w:id="1186408123">
      <w:marLeft w:val="0"/>
      <w:marRight w:val="0"/>
      <w:marTop w:val="180"/>
      <w:marBottom w:val="180"/>
      <w:divBdr>
        <w:top w:val="none" w:sz="0" w:space="0" w:color="auto"/>
        <w:left w:val="none" w:sz="0" w:space="0" w:color="auto"/>
        <w:bottom w:val="none" w:sz="0" w:space="0" w:color="auto"/>
        <w:right w:val="none" w:sz="0" w:space="0" w:color="auto"/>
      </w:divBdr>
    </w:div>
    <w:div w:id="1187938165">
      <w:marLeft w:val="0"/>
      <w:marRight w:val="0"/>
      <w:marTop w:val="60"/>
      <w:marBottom w:val="60"/>
      <w:divBdr>
        <w:top w:val="none" w:sz="0" w:space="0" w:color="auto"/>
        <w:left w:val="none" w:sz="0" w:space="0" w:color="auto"/>
        <w:bottom w:val="none" w:sz="0" w:space="0" w:color="auto"/>
        <w:right w:val="none" w:sz="0" w:space="0" w:color="auto"/>
      </w:divBdr>
    </w:div>
    <w:div w:id="1190490394">
      <w:marLeft w:val="0"/>
      <w:marRight w:val="0"/>
      <w:marTop w:val="180"/>
      <w:marBottom w:val="180"/>
      <w:divBdr>
        <w:top w:val="none" w:sz="0" w:space="0" w:color="auto"/>
        <w:left w:val="none" w:sz="0" w:space="0" w:color="auto"/>
        <w:bottom w:val="none" w:sz="0" w:space="0" w:color="auto"/>
        <w:right w:val="none" w:sz="0" w:space="0" w:color="auto"/>
      </w:divBdr>
    </w:div>
    <w:div w:id="1190870670">
      <w:marLeft w:val="0"/>
      <w:marRight w:val="0"/>
      <w:marTop w:val="180"/>
      <w:marBottom w:val="60"/>
      <w:divBdr>
        <w:top w:val="none" w:sz="0" w:space="0" w:color="auto"/>
        <w:left w:val="none" w:sz="0" w:space="0" w:color="auto"/>
        <w:bottom w:val="none" w:sz="0" w:space="0" w:color="auto"/>
        <w:right w:val="none" w:sz="0" w:space="0" w:color="auto"/>
      </w:divBdr>
    </w:div>
    <w:div w:id="1191184823">
      <w:marLeft w:val="0"/>
      <w:marRight w:val="0"/>
      <w:marTop w:val="60"/>
      <w:marBottom w:val="60"/>
      <w:divBdr>
        <w:top w:val="none" w:sz="0" w:space="0" w:color="auto"/>
        <w:left w:val="none" w:sz="0" w:space="0" w:color="auto"/>
        <w:bottom w:val="none" w:sz="0" w:space="0" w:color="auto"/>
        <w:right w:val="none" w:sz="0" w:space="0" w:color="auto"/>
      </w:divBdr>
    </w:div>
    <w:div w:id="1191265208">
      <w:marLeft w:val="0"/>
      <w:marRight w:val="0"/>
      <w:marTop w:val="0"/>
      <w:marBottom w:val="0"/>
      <w:divBdr>
        <w:top w:val="none" w:sz="0" w:space="0" w:color="auto"/>
        <w:left w:val="none" w:sz="0" w:space="0" w:color="auto"/>
        <w:bottom w:val="none" w:sz="0" w:space="0" w:color="auto"/>
        <w:right w:val="none" w:sz="0" w:space="0" w:color="auto"/>
      </w:divBdr>
    </w:div>
    <w:div w:id="1197306392">
      <w:marLeft w:val="0"/>
      <w:marRight w:val="0"/>
      <w:marTop w:val="100"/>
      <w:marBottom w:val="0"/>
      <w:divBdr>
        <w:top w:val="none" w:sz="0" w:space="0" w:color="auto"/>
        <w:left w:val="none" w:sz="0" w:space="0" w:color="auto"/>
        <w:bottom w:val="none" w:sz="0" w:space="0" w:color="auto"/>
        <w:right w:val="none" w:sz="0" w:space="0" w:color="auto"/>
      </w:divBdr>
      <w:divsChild>
        <w:div w:id="1899899234">
          <w:marLeft w:val="0"/>
          <w:marRight w:val="0"/>
          <w:marTop w:val="0"/>
          <w:marBottom w:val="0"/>
          <w:divBdr>
            <w:top w:val="none" w:sz="0" w:space="0" w:color="auto"/>
            <w:left w:val="none" w:sz="0" w:space="0" w:color="auto"/>
            <w:bottom w:val="none" w:sz="0" w:space="0" w:color="auto"/>
            <w:right w:val="none" w:sz="0" w:space="0" w:color="auto"/>
          </w:divBdr>
        </w:div>
        <w:div w:id="576982758">
          <w:marLeft w:val="0"/>
          <w:marRight w:val="0"/>
          <w:marTop w:val="0"/>
          <w:marBottom w:val="0"/>
          <w:divBdr>
            <w:top w:val="none" w:sz="0" w:space="0" w:color="auto"/>
            <w:left w:val="none" w:sz="0" w:space="0" w:color="auto"/>
            <w:bottom w:val="none" w:sz="0" w:space="0" w:color="auto"/>
            <w:right w:val="none" w:sz="0" w:space="0" w:color="auto"/>
          </w:divBdr>
        </w:div>
        <w:div w:id="384522137">
          <w:marLeft w:val="0"/>
          <w:marRight w:val="0"/>
          <w:marTop w:val="0"/>
          <w:marBottom w:val="0"/>
          <w:divBdr>
            <w:top w:val="none" w:sz="0" w:space="0" w:color="auto"/>
            <w:left w:val="none" w:sz="0" w:space="0" w:color="auto"/>
            <w:bottom w:val="none" w:sz="0" w:space="0" w:color="auto"/>
            <w:right w:val="none" w:sz="0" w:space="0" w:color="auto"/>
          </w:divBdr>
        </w:div>
      </w:divsChild>
    </w:div>
    <w:div w:id="1198160113">
      <w:marLeft w:val="0"/>
      <w:marRight w:val="0"/>
      <w:marTop w:val="180"/>
      <w:marBottom w:val="180"/>
      <w:divBdr>
        <w:top w:val="none" w:sz="0" w:space="0" w:color="auto"/>
        <w:left w:val="none" w:sz="0" w:space="0" w:color="auto"/>
        <w:bottom w:val="none" w:sz="0" w:space="0" w:color="auto"/>
        <w:right w:val="none" w:sz="0" w:space="0" w:color="auto"/>
      </w:divBdr>
    </w:div>
    <w:div w:id="1200582148">
      <w:marLeft w:val="0"/>
      <w:marRight w:val="0"/>
      <w:marTop w:val="180"/>
      <w:marBottom w:val="180"/>
      <w:divBdr>
        <w:top w:val="none" w:sz="0" w:space="0" w:color="auto"/>
        <w:left w:val="none" w:sz="0" w:space="0" w:color="auto"/>
        <w:bottom w:val="none" w:sz="0" w:space="0" w:color="auto"/>
        <w:right w:val="none" w:sz="0" w:space="0" w:color="auto"/>
      </w:divBdr>
    </w:div>
    <w:div w:id="1200627237">
      <w:marLeft w:val="0"/>
      <w:marRight w:val="0"/>
      <w:marTop w:val="180"/>
      <w:marBottom w:val="180"/>
      <w:divBdr>
        <w:top w:val="none" w:sz="0" w:space="0" w:color="auto"/>
        <w:left w:val="none" w:sz="0" w:space="0" w:color="auto"/>
        <w:bottom w:val="none" w:sz="0" w:space="0" w:color="auto"/>
        <w:right w:val="none" w:sz="0" w:space="0" w:color="auto"/>
      </w:divBdr>
    </w:div>
    <w:div w:id="1202203938">
      <w:marLeft w:val="0"/>
      <w:marRight w:val="0"/>
      <w:marTop w:val="120"/>
      <w:marBottom w:val="180"/>
      <w:divBdr>
        <w:top w:val="none" w:sz="0" w:space="0" w:color="auto"/>
        <w:left w:val="none" w:sz="0" w:space="0" w:color="auto"/>
        <w:bottom w:val="none" w:sz="0" w:space="0" w:color="auto"/>
        <w:right w:val="none" w:sz="0" w:space="0" w:color="auto"/>
      </w:divBdr>
    </w:div>
    <w:div w:id="1204708389">
      <w:marLeft w:val="0"/>
      <w:marRight w:val="0"/>
      <w:marTop w:val="0"/>
      <w:marBottom w:val="0"/>
      <w:divBdr>
        <w:top w:val="none" w:sz="0" w:space="0" w:color="auto"/>
        <w:left w:val="none" w:sz="0" w:space="0" w:color="auto"/>
        <w:bottom w:val="none" w:sz="0" w:space="0" w:color="auto"/>
        <w:right w:val="none" w:sz="0" w:space="0" w:color="auto"/>
      </w:divBdr>
    </w:div>
    <w:div w:id="1204748590">
      <w:marLeft w:val="0"/>
      <w:marRight w:val="0"/>
      <w:marTop w:val="0"/>
      <w:marBottom w:val="0"/>
      <w:divBdr>
        <w:top w:val="none" w:sz="0" w:space="0" w:color="auto"/>
        <w:left w:val="none" w:sz="0" w:space="0" w:color="auto"/>
        <w:bottom w:val="none" w:sz="0" w:space="0" w:color="auto"/>
        <w:right w:val="none" w:sz="0" w:space="0" w:color="auto"/>
      </w:divBdr>
      <w:divsChild>
        <w:div w:id="469901106">
          <w:marLeft w:val="0"/>
          <w:marRight w:val="0"/>
          <w:marTop w:val="0"/>
          <w:marBottom w:val="0"/>
          <w:divBdr>
            <w:top w:val="none" w:sz="0" w:space="0" w:color="auto"/>
            <w:left w:val="none" w:sz="0" w:space="0" w:color="auto"/>
            <w:bottom w:val="none" w:sz="0" w:space="0" w:color="auto"/>
            <w:right w:val="none" w:sz="0" w:space="0" w:color="auto"/>
          </w:divBdr>
          <w:divsChild>
            <w:div w:id="181575270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06715672">
      <w:marLeft w:val="0"/>
      <w:marRight w:val="0"/>
      <w:marTop w:val="60"/>
      <w:marBottom w:val="60"/>
      <w:divBdr>
        <w:top w:val="none" w:sz="0" w:space="0" w:color="auto"/>
        <w:left w:val="none" w:sz="0" w:space="0" w:color="auto"/>
        <w:bottom w:val="none" w:sz="0" w:space="0" w:color="auto"/>
        <w:right w:val="none" w:sz="0" w:space="0" w:color="auto"/>
      </w:divBdr>
    </w:div>
    <w:div w:id="1207140045">
      <w:marLeft w:val="0"/>
      <w:marRight w:val="0"/>
      <w:marTop w:val="180"/>
      <w:marBottom w:val="180"/>
      <w:divBdr>
        <w:top w:val="none" w:sz="0" w:space="0" w:color="auto"/>
        <w:left w:val="none" w:sz="0" w:space="0" w:color="auto"/>
        <w:bottom w:val="none" w:sz="0" w:space="0" w:color="auto"/>
        <w:right w:val="none" w:sz="0" w:space="0" w:color="auto"/>
      </w:divBdr>
    </w:div>
    <w:div w:id="1207572453">
      <w:marLeft w:val="0"/>
      <w:marRight w:val="0"/>
      <w:marTop w:val="60"/>
      <w:marBottom w:val="60"/>
      <w:divBdr>
        <w:top w:val="none" w:sz="0" w:space="0" w:color="auto"/>
        <w:left w:val="none" w:sz="0" w:space="0" w:color="auto"/>
        <w:bottom w:val="none" w:sz="0" w:space="0" w:color="auto"/>
        <w:right w:val="none" w:sz="0" w:space="0" w:color="auto"/>
      </w:divBdr>
    </w:div>
    <w:div w:id="1208227670">
      <w:marLeft w:val="0"/>
      <w:marRight w:val="0"/>
      <w:marTop w:val="180"/>
      <w:marBottom w:val="180"/>
      <w:divBdr>
        <w:top w:val="none" w:sz="0" w:space="0" w:color="auto"/>
        <w:left w:val="none" w:sz="0" w:space="0" w:color="auto"/>
        <w:bottom w:val="none" w:sz="0" w:space="0" w:color="auto"/>
        <w:right w:val="none" w:sz="0" w:space="0" w:color="auto"/>
      </w:divBdr>
    </w:div>
    <w:div w:id="1208295358">
      <w:marLeft w:val="0"/>
      <w:marRight w:val="0"/>
      <w:marTop w:val="100"/>
      <w:marBottom w:val="60"/>
      <w:divBdr>
        <w:top w:val="none" w:sz="0" w:space="0" w:color="auto"/>
        <w:left w:val="none" w:sz="0" w:space="0" w:color="auto"/>
        <w:bottom w:val="none" w:sz="0" w:space="0" w:color="auto"/>
        <w:right w:val="none" w:sz="0" w:space="0" w:color="auto"/>
      </w:divBdr>
    </w:div>
    <w:div w:id="1209337899">
      <w:marLeft w:val="0"/>
      <w:marRight w:val="0"/>
      <w:marTop w:val="180"/>
      <w:marBottom w:val="60"/>
      <w:divBdr>
        <w:top w:val="none" w:sz="0" w:space="0" w:color="auto"/>
        <w:left w:val="none" w:sz="0" w:space="0" w:color="auto"/>
        <w:bottom w:val="none" w:sz="0" w:space="0" w:color="auto"/>
        <w:right w:val="none" w:sz="0" w:space="0" w:color="auto"/>
      </w:divBdr>
    </w:div>
    <w:div w:id="1211267819">
      <w:marLeft w:val="0"/>
      <w:marRight w:val="0"/>
      <w:marTop w:val="60"/>
      <w:marBottom w:val="60"/>
      <w:divBdr>
        <w:top w:val="none" w:sz="0" w:space="0" w:color="auto"/>
        <w:left w:val="none" w:sz="0" w:space="0" w:color="auto"/>
        <w:bottom w:val="none" w:sz="0" w:space="0" w:color="auto"/>
        <w:right w:val="none" w:sz="0" w:space="0" w:color="auto"/>
      </w:divBdr>
    </w:div>
    <w:div w:id="1212963094">
      <w:marLeft w:val="0"/>
      <w:marRight w:val="0"/>
      <w:marTop w:val="0"/>
      <w:marBottom w:val="0"/>
      <w:divBdr>
        <w:top w:val="none" w:sz="0" w:space="0" w:color="auto"/>
        <w:left w:val="none" w:sz="0" w:space="0" w:color="auto"/>
        <w:bottom w:val="none" w:sz="0" w:space="0" w:color="auto"/>
        <w:right w:val="none" w:sz="0" w:space="0" w:color="auto"/>
      </w:divBdr>
    </w:div>
    <w:div w:id="1214731440">
      <w:marLeft w:val="0"/>
      <w:marRight w:val="0"/>
      <w:marTop w:val="180"/>
      <w:marBottom w:val="180"/>
      <w:divBdr>
        <w:top w:val="none" w:sz="0" w:space="0" w:color="auto"/>
        <w:left w:val="none" w:sz="0" w:space="0" w:color="auto"/>
        <w:bottom w:val="none" w:sz="0" w:space="0" w:color="auto"/>
        <w:right w:val="none" w:sz="0" w:space="0" w:color="auto"/>
      </w:divBdr>
    </w:div>
    <w:div w:id="1215853103">
      <w:marLeft w:val="0"/>
      <w:marRight w:val="0"/>
      <w:marTop w:val="0"/>
      <w:marBottom w:val="0"/>
      <w:divBdr>
        <w:top w:val="none" w:sz="0" w:space="0" w:color="auto"/>
        <w:left w:val="none" w:sz="0" w:space="0" w:color="auto"/>
        <w:bottom w:val="none" w:sz="0" w:space="0" w:color="auto"/>
        <w:right w:val="none" w:sz="0" w:space="0" w:color="auto"/>
      </w:divBdr>
      <w:divsChild>
        <w:div w:id="2104376333">
          <w:marLeft w:val="0"/>
          <w:marRight w:val="0"/>
          <w:marTop w:val="180"/>
          <w:marBottom w:val="180"/>
          <w:divBdr>
            <w:top w:val="none" w:sz="0" w:space="0" w:color="auto"/>
            <w:left w:val="none" w:sz="0" w:space="0" w:color="auto"/>
            <w:bottom w:val="none" w:sz="0" w:space="0" w:color="auto"/>
            <w:right w:val="none" w:sz="0" w:space="0" w:color="auto"/>
          </w:divBdr>
        </w:div>
      </w:divsChild>
    </w:div>
    <w:div w:id="1218006207">
      <w:marLeft w:val="0"/>
      <w:marRight w:val="0"/>
      <w:marTop w:val="180"/>
      <w:marBottom w:val="60"/>
      <w:divBdr>
        <w:top w:val="none" w:sz="0" w:space="0" w:color="auto"/>
        <w:left w:val="none" w:sz="0" w:space="0" w:color="auto"/>
        <w:bottom w:val="none" w:sz="0" w:space="0" w:color="auto"/>
        <w:right w:val="none" w:sz="0" w:space="0" w:color="auto"/>
      </w:divBdr>
      <w:divsChild>
        <w:div w:id="1262687898">
          <w:marLeft w:val="0"/>
          <w:marRight w:val="0"/>
          <w:marTop w:val="0"/>
          <w:marBottom w:val="0"/>
          <w:divBdr>
            <w:top w:val="none" w:sz="0" w:space="0" w:color="auto"/>
            <w:left w:val="none" w:sz="0" w:space="0" w:color="auto"/>
            <w:bottom w:val="none" w:sz="0" w:space="0" w:color="auto"/>
            <w:right w:val="none" w:sz="0" w:space="0" w:color="auto"/>
          </w:divBdr>
        </w:div>
      </w:divsChild>
    </w:div>
    <w:div w:id="1218929367">
      <w:marLeft w:val="0"/>
      <w:marRight w:val="0"/>
      <w:marTop w:val="0"/>
      <w:marBottom w:val="0"/>
      <w:divBdr>
        <w:top w:val="none" w:sz="0" w:space="0" w:color="auto"/>
        <w:left w:val="none" w:sz="0" w:space="0" w:color="auto"/>
        <w:bottom w:val="none" w:sz="0" w:space="0" w:color="auto"/>
        <w:right w:val="none" w:sz="0" w:space="0" w:color="auto"/>
      </w:divBdr>
    </w:div>
    <w:div w:id="1220243070">
      <w:marLeft w:val="0"/>
      <w:marRight w:val="0"/>
      <w:marTop w:val="180"/>
      <w:marBottom w:val="180"/>
      <w:divBdr>
        <w:top w:val="none" w:sz="0" w:space="0" w:color="auto"/>
        <w:left w:val="none" w:sz="0" w:space="0" w:color="auto"/>
        <w:bottom w:val="none" w:sz="0" w:space="0" w:color="auto"/>
        <w:right w:val="none" w:sz="0" w:space="0" w:color="auto"/>
      </w:divBdr>
    </w:div>
    <w:div w:id="1221557415">
      <w:marLeft w:val="0"/>
      <w:marRight w:val="0"/>
      <w:marTop w:val="0"/>
      <w:marBottom w:val="0"/>
      <w:divBdr>
        <w:top w:val="none" w:sz="0" w:space="0" w:color="auto"/>
        <w:left w:val="none" w:sz="0" w:space="0" w:color="auto"/>
        <w:bottom w:val="none" w:sz="0" w:space="0" w:color="auto"/>
        <w:right w:val="none" w:sz="0" w:space="0" w:color="auto"/>
      </w:divBdr>
    </w:div>
    <w:div w:id="1222399008">
      <w:marLeft w:val="0"/>
      <w:marRight w:val="0"/>
      <w:marTop w:val="0"/>
      <w:marBottom w:val="0"/>
      <w:divBdr>
        <w:top w:val="none" w:sz="0" w:space="0" w:color="auto"/>
        <w:left w:val="none" w:sz="0" w:space="0" w:color="auto"/>
        <w:bottom w:val="none" w:sz="0" w:space="0" w:color="auto"/>
        <w:right w:val="none" w:sz="0" w:space="0" w:color="auto"/>
      </w:divBdr>
    </w:div>
    <w:div w:id="1222987665">
      <w:marLeft w:val="0"/>
      <w:marRight w:val="0"/>
      <w:marTop w:val="180"/>
      <w:marBottom w:val="180"/>
      <w:divBdr>
        <w:top w:val="none" w:sz="0" w:space="0" w:color="auto"/>
        <w:left w:val="none" w:sz="0" w:space="0" w:color="auto"/>
        <w:bottom w:val="none" w:sz="0" w:space="0" w:color="auto"/>
        <w:right w:val="none" w:sz="0" w:space="0" w:color="auto"/>
      </w:divBdr>
    </w:div>
    <w:div w:id="1223832393">
      <w:marLeft w:val="0"/>
      <w:marRight w:val="0"/>
      <w:marTop w:val="100"/>
      <w:marBottom w:val="0"/>
      <w:divBdr>
        <w:top w:val="none" w:sz="0" w:space="0" w:color="auto"/>
        <w:left w:val="none" w:sz="0" w:space="0" w:color="auto"/>
        <w:bottom w:val="none" w:sz="0" w:space="0" w:color="auto"/>
        <w:right w:val="none" w:sz="0" w:space="0" w:color="auto"/>
      </w:divBdr>
      <w:divsChild>
        <w:div w:id="1469084218">
          <w:marLeft w:val="0"/>
          <w:marRight w:val="0"/>
          <w:marTop w:val="0"/>
          <w:marBottom w:val="0"/>
          <w:divBdr>
            <w:top w:val="none" w:sz="0" w:space="0" w:color="auto"/>
            <w:left w:val="none" w:sz="0" w:space="0" w:color="auto"/>
            <w:bottom w:val="none" w:sz="0" w:space="0" w:color="auto"/>
            <w:right w:val="none" w:sz="0" w:space="0" w:color="auto"/>
          </w:divBdr>
        </w:div>
      </w:divsChild>
    </w:div>
    <w:div w:id="1224290092">
      <w:marLeft w:val="0"/>
      <w:marRight w:val="0"/>
      <w:marTop w:val="180"/>
      <w:marBottom w:val="180"/>
      <w:divBdr>
        <w:top w:val="none" w:sz="0" w:space="0" w:color="auto"/>
        <w:left w:val="none" w:sz="0" w:space="0" w:color="auto"/>
        <w:bottom w:val="none" w:sz="0" w:space="0" w:color="auto"/>
        <w:right w:val="none" w:sz="0" w:space="0" w:color="auto"/>
      </w:divBdr>
    </w:div>
    <w:div w:id="1225798831">
      <w:marLeft w:val="0"/>
      <w:marRight w:val="0"/>
      <w:marTop w:val="180"/>
      <w:marBottom w:val="180"/>
      <w:divBdr>
        <w:top w:val="none" w:sz="0" w:space="0" w:color="auto"/>
        <w:left w:val="none" w:sz="0" w:space="0" w:color="auto"/>
        <w:bottom w:val="none" w:sz="0" w:space="0" w:color="auto"/>
        <w:right w:val="none" w:sz="0" w:space="0" w:color="auto"/>
      </w:divBdr>
    </w:div>
    <w:div w:id="1228109950">
      <w:marLeft w:val="0"/>
      <w:marRight w:val="0"/>
      <w:marTop w:val="0"/>
      <w:marBottom w:val="0"/>
      <w:divBdr>
        <w:top w:val="none" w:sz="0" w:space="0" w:color="auto"/>
        <w:left w:val="none" w:sz="0" w:space="0" w:color="auto"/>
        <w:bottom w:val="none" w:sz="0" w:space="0" w:color="auto"/>
        <w:right w:val="none" w:sz="0" w:space="0" w:color="auto"/>
      </w:divBdr>
    </w:div>
    <w:div w:id="1229730618">
      <w:marLeft w:val="0"/>
      <w:marRight w:val="0"/>
      <w:marTop w:val="60"/>
      <w:marBottom w:val="60"/>
      <w:divBdr>
        <w:top w:val="none" w:sz="0" w:space="0" w:color="auto"/>
        <w:left w:val="none" w:sz="0" w:space="0" w:color="auto"/>
        <w:bottom w:val="none" w:sz="0" w:space="0" w:color="auto"/>
        <w:right w:val="none" w:sz="0" w:space="0" w:color="auto"/>
      </w:divBdr>
    </w:div>
    <w:div w:id="1230772213">
      <w:marLeft w:val="0"/>
      <w:marRight w:val="0"/>
      <w:marTop w:val="180"/>
      <w:marBottom w:val="180"/>
      <w:divBdr>
        <w:top w:val="none" w:sz="0" w:space="0" w:color="auto"/>
        <w:left w:val="none" w:sz="0" w:space="0" w:color="auto"/>
        <w:bottom w:val="none" w:sz="0" w:space="0" w:color="auto"/>
        <w:right w:val="none" w:sz="0" w:space="0" w:color="auto"/>
      </w:divBdr>
    </w:div>
    <w:div w:id="1232541194">
      <w:marLeft w:val="0"/>
      <w:marRight w:val="0"/>
      <w:marTop w:val="0"/>
      <w:marBottom w:val="0"/>
      <w:divBdr>
        <w:top w:val="none" w:sz="0" w:space="0" w:color="auto"/>
        <w:left w:val="none" w:sz="0" w:space="0" w:color="auto"/>
        <w:bottom w:val="none" w:sz="0" w:space="0" w:color="auto"/>
        <w:right w:val="none" w:sz="0" w:space="0" w:color="auto"/>
      </w:divBdr>
    </w:div>
    <w:div w:id="1232616241">
      <w:marLeft w:val="0"/>
      <w:marRight w:val="0"/>
      <w:marTop w:val="180"/>
      <w:marBottom w:val="180"/>
      <w:divBdr>
        <w:top w:val="none" w:sz="0" w:space="0" w:color="auto"/>
        <w:left w:val="none" w:sz="0" w:space="0" w:color="auto"/>
        <w:bottom w:val="none" w:sz="0" w:space="0" w:color="auto"/>
        <w:right w:val="none" w:sz="0" w:space="0" w:color="auto"/>
      </w:divBdr>
    </w:div>
    <w:div w:id="1237518313">
      <w:marLeft w:val="0"/>
      <w:marRight w:val="0"/>
      <w:marTop w:val="180"/>
      <w:marBottom w:val="180"/>
      <w:divBdr>
        <w:top w:val="none" w:sz="0" w:space="0" w:color="auto"/>
        <w:left w:val="none" w:sz="0" w:space="0" w:color="auto"/>
        <w:bottom w:val="none" w:sz="0" w:space="0" w:color="auto"/>
        <w:right w:val="none" w:sz="0" w:space="0" w:color="auto"/>
      </w:divBdr>
    </w:div>
    <w:div w:id="1248802390">
      <w:marLeft w:val="0"/>
      <w:marRight w:val="0"/>
      <w:marTop w:val="0"/>
      <w:marBottom w:val="0"/>
      <w:divBdr>
        <w:top w:val="none" w:sz="0" w:space="0" w:color="auto"/>
        <w:left w:val="none" w:sz="0" w:space="0" w:color="auto"/>
        <w:bottom w:val="none" w:sz="0" w:space="0" w:color="auto"/>
        <w:right w:val="none" w:sz="0" w:space="0" w:color="auto"/>
      </w:divBdr>
    </w:div>
    <w:div w:id="1248929756">
      <w:marLeft w:val="0"/>
      <w:marRight w:val="0"/>
      <w:marTop w:val="180"/>
      <w:marBottom w:val="180"/>
      <w:divBdr>
        <w:top w:val="none" w:sz="0" w:space="0" w:color="auto"/>
        <w:left w:val="none" w:sz="0" w:space="0" w:color="auto"/>
        <w:bottom w:val="none" w:sz="0" w:space="0" w:color="auto"/>
        <w:right w:val="none" w:sz="0" w:space="0" w:color="auto"/>
      </w:divBdr>
    </w:div>
    <w:div w:id="1249536926">
      <w:marLeft w:val="0"/>
      <w:marRight w:val="0"/>
      <w:marTop w:val="180"/>
      <w:marBottom w:val="180"/>
      <w:divBdr>
        <w:top w:val="none" w:sz="0" w:space="0" w:color="auto"/>
        <w:left w:val="none" w:sz="0" w:space="0" w:color="auto"/>
        <w:bottom w:val="none" w:sz="0" w:space="0" w:color="auto"/>
        <w:right w:val="none" w:sz="0" w:space="0" w:color="auto"/>
      </w:divBdr>
    </w:div>
    <w:div w:id="1251354803">
      <w:marLeft w:val="0"/>
      <w:marRight w:val="0"/>
      <w:marTop w:val="0"/>
      <w:marBottom w:val="15"/>
      <w:divBdr>
        <w:top w:val="none" w:sz="0" w:space="0" w:color="auto"/>
        <w:left w:val="none" w:sz="0" w:space="0" w:color="auto"/>
        <w:bottom w:val="none" w:sz="0" w:space="0" w:color="auto"/>
        <w:right w:val="none" w:sz="0" w:space="0" w:color="auto"/>
      </w:divBdr>
    </w:div>
    <w:div w:id="1252201886">
      <w:marLeft w:val="0"/>
      <w:marRight w:val="0"/>
      <w:marTop w:val="100"/>
      <w:marBottom w:val="0"/>
      <w:divBdr>
        <w:top w:val="none" w:sz="0" w:space="0" w:color="auto"/>
        <w:left w:val="none" w:sz="0" w:space="0" w:color="auto"/>
        <w:bottom w:val="none" w:sz="0" w:space="0" w:color="auto"/>
        <w:right w:val="none" w:sz="0" w:space="0" w:color="auto"/>
      </w:divBdr>
      <w:divsChild>
        <w:div w:id="1376469935">
          <w:marLeft w:val="0"/>
          <w:marRight w:val="0"/>
          <w:marTop w:val="0"/>
          <w:marBottom w:val="0"/>
          <w:divBdr>
            <w:top w:val="none" w:sz="0" w:space="0" w:color="auto"/>
            <w:left w:val="none" w:sz="0" w:space="0" w:color="auto"/>
            <w:bottom w:val="none" w:sz="0" w:space="0" w:color="auto"/>
            <w:right w:val="none" w:sz="0" w:space="0" w:color="auto"/>
          </w:divBdr>
        </w:div>
        <w:div w:id="1007293311">
          <w:marLeft w:val="0"/>
          <w:marRight w:val="0"/>
          <w:marTop w:val="0"/>
          <w:marBottom w:val="0"/>
          <w:divBdr>
            <w:top w:val="none" w:sz="0" w:space="0" w:color="auto"/>
            <w:left w:val="none" w:sz="0" w:space="0" w:color="auto"/>
            <w:bottom w:val="none" w:sz="0" w:space="0" w:color="auto"/>
            <w:right w:val="none" w:sz="0" w:space="0" w:color="auto"/>
          </w:divBdr>
        </w:div>
        <w:div w:id="228394218">
          <w:marLeft w:val="0"/>
          <w:marRight w:val="0"/>
          <w:marTop w:val="0"/>
          <w:marBottom w:val="0"/>
          <w:divBdr>
            <w:top w:val="none" w:sz="0" w:space="0" w:color="auto"/>
            <w:left w:val="none" w:sz="0" w:space="0" w:color="auto"/>
            <w:bottom w:val="none" w:sz="0" w:space="0" w:color="auto"/>
            <w:right w:val="none" w:sz="0" w:space="0" w:color="auto"/>
          </w:divBdr>
        </w:div>
        <w:div w:id="478693291">
          <w:marLeft w:val="0"/>
          <w:marRight w:val="0"/>
          <w:marTop w:val="0"/>
          <w:marBottom w:val="0"/>
          <w:divBdr>
            <w:top w:val="none" w:sz="0" w:space="0" w:color="auto"/>
            <w:left w:val="none" w:sz="0" w:space="0" w:color="auto"/>
            <w:bottom w:val="none" w:sz="0" w:space="0" w:color="auto"/>
            <w:right w:val="none" w:sz="0" w:space="0" w:color="auto"/>
          </w:divBdr>
        </w:div>
      </w:divsChild>
    </w:div>
    <w:div w:id="1252397552">
      <w:marLeft w:val="0"/>
      <w:marRight w:val="0"/>
      <w:marTop w:val="0"/>
      <w:marBottom w:val="0"/>
      <w:divBdr>
        <w:top w:val="none" w:sz="0" w:space="0" w:color="auto"/>
        <w:left w:val="none" w:sz="0" w:space="0" w:color="auto"/>
        <w:bottom w:val="none" w:sz="0" w:space="0" w:color="auto"/>
        <w:right w:val="none" w:sz="0" w:space="0" w:color="auto"/>
      </w:divBdr>
    </w:div>
    <w:div w:id="1256288580">
      <w:marLeft w:val="0"/>
      <w:marRight w:val="0"/>
      <w:marTop w:val="180"/>
      <w:marBottom w:val="180"/>
      <w:divBdr>
        <w:top w:val="none" w:sz="0" w:space="0" w:color="auto"/>
        <w:left w:val="none" w:sz="0" w:space="0" w:color="auto"/>
        <w:bottom w:val="none" w:sz="0" w:space="0" w:color="auto"/>
        <w:right w:val="none" w:sz="0" w:space="0" w:color="auto"/>
      </w:divBdr>
    </w:div>
    <w:div w:id="1256670327">
      <w:marLeft w:val="0"/>
      <w:marRight w:val="0"/>
      <w:marTop w:val="180"/>
      <w:marBottom w:val="60"/>
      <w:divBdr>
        <w:top w:val="none" w:sz="0" w:space="0" w:color="auto"/>
        <w:left w:val="none" w:sz="0" w:space="0" w:color="auto"/>
        <w:bottom w:val="none" w:sz="0" w:space="0" w:color="auto"/>
        <w:right w:val="none" w:sz="0" w:space="0" w:color="auto"/>
      </w:divBdr>
    </w:div>
    <w:div w:id="1259486756">
      <w:marLeft w:val="0"/>
      <w:marRight w:val="0"/>
      <w:marTop w:val="180"/>
      <w:marBottom w:val="180"/>
      <w:divBdr>
        <w:top w:val="none" w:sz="0" w:space="0" w:color="auto"/>
        <w:left w:val="none" w:sz="0" w:space="0" w:color="auto"/>
        <w:bottom w:val="none" w:sz="0" w:space="0" w:color="auto"/>
        <w:right w:val="none" w:sz="0" w:space="0" w:color="auto"/>
      </w:divBdr>
    </w:div>
    <w:div w:id="1259605286">
      <w:marLeft w:val="0"/>
      <w:marRight w:val="0"/>
      <w:marTop w:val="0"/>
      <w:marBottom w:val="0"/>
      <w:divBdr>
        <w:top w:val="none" w:sz="0" w:space="0" w:color="auto"/>
        <w:left w:val="none" w:sz="0" w:space="0" w:color="auto"/>
        <w:bottom w:val="none" w:sz="0" w:space="0" w:color="auto"/>
        <w:right w:val="none" w:sz="0" w:space="0" w:color="auto"/>
      </w:divBdr>
    </w:div>
    <w:div w:id="1262299368">
      <w:marLeft w:val="0"/>
      <w:marRight w:val="0"/>
      <w:marTop w:val="60"/>
      <w:marBottom w:val="60"/>
      <w:divBdr>
        <w:top w:val="none" w:sz="0" w:space="0" w:color="auto"/>
        <w:left w:val="none" w:sz="0" w:space="0" w:color="auto"/>
        <w:bottom w:val="none" w:sz="0" w:space="0" w:color="auto"/>
        <w:right w:val="none" w:sz="0" w:space="0" w:color="auto"/>
      </w:divBdr>
    </w:div>
    <w:div w:id="1264417070">
      <w:marLeft w:val="0"/>
      <w:marRight w:val="0"/>
      <w:marTop w:val="180"/>
      <w:marBottom w:val="180"/>
      <w:divBdr>
        <w:top w:val="none" w:sz="0" w:space="0" w:color="auto"/>
        <w:left w:val="none" w:sz="0" w:space="0" w:color="auto"/>
        <w:bottom w:val="none" w:sz="0" w:space="0" w:color="auto"/>
        <w:right w:val="none" w:sz="0" w:space="0" w:color="auto"/>
      </w:divBdr>
    </w:div>
    <w:div w:id="1271668665">
      <w:marLeft w:val="0"/>
      <w:marRight w:val="0"/>
      <w:marTop w:val="180"/>
      <w:marBottom w:val="180"/>
      <w:divBdr>
        <w:top w:val="none" w:sz="0" w:space="0" w:color="auto"/>
        <w:left w:val="none" w:sz="0" w:space="0" w:color="auto"/>
        <w:bottom w:val="none" w:sz="0" w:space="0" w:color="auto"/>
        <w:right w:val="none" w:sz="0" w:space="0" w:color="auto"/>
      </w:divBdr>
    </w:div>
    <w:div w:id="1272206592">
      <w:marLeft w:val="0"/>
      <w:marRight w:val="0"/>
      <w:marTop w:val="0"/>
      <w:marBottom w:val="0"/>
      <w:divBdr>
        <w:top w:val="none" w:sz="0" w:space="0" w:color="auto"/>
        <w:left w:val="none" w:sz="0" w:space="0" w:color="auto"/>
        <w:bottom w:val="none" w:sz="0" w:space="0" w:color="auto"/>
        <w:right w:val="none" w:sz="0" w:space="0" w:color="auto"/>
      </w:divBdr>
    </w:div>
    <w:div w:id="1272324005">
      <w:marLeft w:val="0"/>
      <w:marRight w:val="0"/>
      <w:marTop w:val="60"/>
      <w:marBottom w:val="0"/>
      <w:divBdr>
        <w:top w:val="none" w:sz="0" w:space="0" w:color="auto"/>
        <w:left w:val="none" w:sz="0" w:space="0" w:color="auto"/>
        <w:bottom w:val="none" w:sz="0" w:space="0" w:color="auto"/>
        <w:right w:val="none" w:sz="0" w:space="0" w:color="auto"/>
      </w:divBdr>
      <w:divsChild>
        <w:div w:id="1985963813">
          <w:marLeft w:val="0"/>
          <w:marRight w:val="0"/>
          <w:marTop w:val="0"/>
          <w:marBottom w:val="0"/>
          <w:divBdr>
            <w:top w:val="none" w:sz="0" w:space="0" w:color="auto"/>
            <w:left w:val="none" w:sz="0" w:space="0" w:color="auto"/>
            <w:bottom w:val="none" w:sz="0" w:space="0" w:color="auto"/>
            <w:right w:val="none" w:sz="0" w:space="0" w:color="auto"/>
          </w:divBdr>
        </w:div>
      </w:divsChild>
    </w:div>
    <w:div w:id="1272470233">
      <w:marLeft w:val="0"/>
      <w:marRight w:val="0"/>
      <w:marTop w:val="180"/>
      <w:marBottom w:val="180"/>
      <w:divBdr>
        <w:top w:val="none" w:sz="0" w:space="0" w:color="auto"/>
        <w:left w:val="none" w:sz="0" w:space="0" w:color="auto"/>
        <w:bottom w:val="none" w:sz="0" w:space="0" w:color="auto"/>
        <w:right w:val="none" w:sz="0" w:space="0" w:color="auto"/>
      </w:divBdr>
    </w:div>
    <w:div w:id="1272591426">
      <w:marLeft w:val="0"/>
      <w:marRight w:val="0"/>
      <w:marTop w:val="60"/>
      <w:marBottom w:val="60"/>
      <w:divBdr>
        <w:top w:val="none" w:sz="0" w:space="0" w:color="auto"/>
        <w:left w:val="none" w:sz="0" w:space="0" w:color="auto"/>
        <w:bottom w:val="none" w:sz="0" w:space="0" w:color="auto"/>
        <w:right w:val="none" w:sz="0" w:space="0" w:color="auto"/>
      </w:divBdr>
    </w:div>
    <w:div w:id="1277327662">
      <w:marLeft w:val="0"/>
      <w:marRight w:val="0"/>
      <w:marTop w:val="180"/>
      <w:marBottom w:val="180"/>
      <w:divBdr>
        <w:top w:val="none" w:sz="0" w:space="0" w:color="auto"/>
        <w:left w:val="none" w:sz="0" w:space="0" w:color="auto"/>
        <w:bottom w:val="none" w:sz="0" w:space="0" w:color="auto"/>
        <w:right w:val="none" w:sz="0" w:space="0" w:color="auto"/>
      </w:divBdr>
    </w:div>
    <w:div w:id="1278830381">
      <w:marLeft w:val="0"/>
      <w:marRight w:val="0"/>
      <w:marTop w:val="100"/>
      <w:marBottom w:val="60"/>
      <w:divBdr>
        <w:top w:val="none" w:sz="0" w:space="0" w:color="auto"/>
        <w:left w:val="none" w:sz="0" w:space="0" w:color="auto"/>
        <w:bottom w:val="none" w:sz="0" w:space="0" w:color="auto"/>
        <w:right w:val="none" w:sz="0" w:space="0" w:color="auto"/>
      </w:divBdr>
    </w:div>
    <w:div w:id="1279752757">
      <w:marLeft w:val="0"/>
      <w:marRight w:val="0"/>
      <w:marTop w:val="180"/>
      <w:marBottom w:val="180"/>
      <w:divBdr>
        <w:top w:val="none" w:sz="0" w:space="0" w:color="auto"/>
        <w:left w:val="none" w:sz="0" w:space="0" w:color="auto"/>
        <w:bottom w:val="none" w:sz="0" w:space="0" w:color="auto"/>
        <w:right w:val="none" w:sz="0" w:space="0" w:color="auto"/>
      </w:divBdr>
    </w:div>
    <w:div w:id="1280448913">
      <w:marLeft w:val="0"/>
      <w:marRight w:val="0"/>
      <w:marTop w:val="180"/>
      <w:marBottom w:val="180"/>
      <w:divBdr>
        <w:top w:val="none" w:sz="0" w:space="0" w:color="auto"/>
        <w:left w:val="none" w:sz="0" w:space="0" w:color="auto"/>
        <w:bottom w:val="none" w:sz="0" w:space="0" w:color="auto"/>
        <w:right w:val="none" w:sz="0" w:space="0" w:color="auto"/>
      </w:divBdr>
    </w:div>
    <w:div w:id="1283612395">
      <w:marLeft w:val="0"/>
      <w:marRight w:val="0"/>
      <w:marTop w:val="180"/>
      <w:marBottom w:val="60"/>
      <w:divBdr>
        <w:top w:val="none" w:sz="0" w:space="0" w:color="auto"/>
        <w:left w:val="none" w:sz="0" w:space="0" w:color="auto"/>
        <w:bottom w:val="none" w:sz="0" w:space="0" w:color="auto"/>
        <w:right w:val="none" w:sz="0" w:space="0" w:color="auto"/>
      </w:divBdr>
    </w:div>
    <w:div w:id="1284847388">
      <w:marLeft w:val="0"/>
      <w:marRight w:val="0"/>
      <w:marTop w:val="180"/>
      <w:marBottom w:val="180"/>
      <w:divBdr>
        <w:top w:val="none" w:sz="0" w:space="0" w:color="auto"/>
        <w:left w:val="none" w:sz="0" w:space="0" w:color="auto"/>
        <w:bottom w:val="none" w:sz="0" w:space="0" w:color="auto"/>
        <w:right w:val="none" w:sz="0" w:space="0" w:color="auto"/>
      </w:divBdr>
    </w:div>
    <w:div w:id="1286085183">
      <w:marLeft w:val="0"/>
      <w:marRight w:val="0"/>
      <w:marTop w:val="180"/>
      <w:marBottom w:val="180"/>
      <w:divBdr>
        <w:top w:val="none" w:sz="0" w:space="0" w:color="auto"/>
        <w:left w:val="none" w:sz="0" w:space="0" w:color="auto"/>
        <w:bottom w:val="none" w:sz="0" w:space="0" w:color="auto"/>
        <w:right w:val="none" w:sz="0" w:space="0" w:color="auto"/>
      </w:divBdr>
    </w:div>
    <w:div w:id="1287153367">
      <w:marLeft w:val="0"/>
      <w:marRight w:val="0"/>
      <w:marTop w:val="60"/>
      <w:marBottom w:val="60"/>
      <w:divBdr>
        <w:top w:val="none" w:sz="0" w:space="0" w:color="auto"/>
        <w:left w:val="none" w:sz="0" w:space="0" w:color="auto"/>
        <w:bottom w:val="none" w:sz="0" w:space="0" w:color="auto"/>
        <w:right w:val="none" w:sz="0" w:space="0" w:color="auto"/>
      </w:divBdr>
    </w:div>
    <w:div w:id="1287807743">
      <w:marLeft w:val="0"/>
      <w:marRight w:val="0"/>
      <w:marTop w:val="180"/>
      <w:marBottom w:val="180"/>
      <w:divBdr>
        <w:top w:val="none" w:sz="0" w:space="0" w:color="auto"/>
        <w:left w:val="none" w:sz="0" w:space="0" w:color="auto"/>
        <w:bottom w:val="none" w:sz="0" w:space="0" w:color="auto"/>
        <w:right w:val="none" w:sz="0" w:space="0" w:color="auto"/>
      </w:divBdr>
    </w:div>
    <w:div w:id="1288468670">
      <w:marLeft w:val="0"/>
      <w:marRight w:val="0"/>
      <w:marTop w:val="180"/>
      <w:marBottom w:val="180"/>
      <w:divBdr>
        <w:top w:val="none" w:sz="0" w:space="0" w:color="auto"/>
        <w:left w:val="none" w:sz="0" w:space="0" w:color="auto"/>
        <w:bottom w:val="none" w:sz="0" w:space="0" w:color="auto"/>
        <w:right w:val="none" w:sz="0" w:space="0" w:color="auto"/>
      </w:divBdr>
    </w:div>
    <w:div w:id="1288972100">
      <w:marLeft w:val="0"/>
      <w:marRight w:val="0"/>
      <w:marTop w:val="60"/>
      <w:marBottom w:val="60"/>
      <w:divBdr>
        <w:top w:val="none" w:sz="0" w:space="0" w:color="auto"/>
        <w:left w:val="none" w:sz="0" w:space="0" w:color="auto"/>
        <w:bottom w:val="none" w:sz="0" w:space="0" w:color="auto"/>
        <w:right w:val="none" w:sz="0" w:space="0" w:color="auto"/>
      </w:divBdr>
    </w:div>
    <w:div w:id="1290282497">
      <w:marLeft w:val="0"/>
      <w:marRight w:val="0"/>
      <w:marTop w:val="60"/>
      <w:marBottom w:val="60"/>
      <w:divBdr>
        <w:top w:val="none" w:sz="0" w:space="0" w:color="auto"/>
        <w:left w:val="none" w:sz="0" w:space="0" w:color="auto"/>
        <w:bottom w:val="none" w:sz="0" w:space="0" w:color="auto"/>
        <w:right w:val="none" w:sz="0" w:space="0" w:color="auto"/>
      </w:divBdr>
    </w:div>
    <w:div w:id="1290353028">
      <w:marLeft w:val="0"/>
      <w:marRight w:val="0"/>
      <w:marTop w:val="180"/>
      <w:marBottom w:val="180"/>
      <w:divBdr>
        <w:top w:val="none" w:sz="0" w:space="0" w:color="auto"/>
        <w:left w:val="none" w:sz="0" w:space="0" w:color="auto"/>
        <w:bottom w:val="none" w:sz="0" w:space="0" w:color="auto"/>
        <w:right w:val="none" w:sz="0" w:space="0" w:color="auto"/>
      </w:divBdr>
    </w:div>
    <w:div w:id="1295984585">
      <w:marLeft w:val="0"/>
      <w:marRight w:val="0"/>
      <w:marTop w:val="0"/>
      <w:marBottom w:val="0"/>
      <w:divBdr>
        <w:top w:val="none" w:sz="0" w:space="0" w:color="auto"/>
        <w:left w:val="none" w:sz="0" w:space="0" w:color="auto"/>
        <w:bottom w:val="none" w:sz="0" w:space="0" w:color="auto"/>
        <w:right w:val="none" w:sz="0" w:space="0" w:color="auto"/>
      </w:divBdr>
      <w:divsChild>
        <w:div w:id="630017602">
          <w:marLeft w:val="0"/>
          <w:marRight w:val="0"/>
          <w:marTop w:val="60"/>
          <w:marBottom w:val="60"/>
          <w:divBdr>
            <w:top w:val="none" w:sz="0" w:space="0" w:color="auto"/>
            <w:left w:val="none" w:sz="0" w:space="0" w:color="auto"/>
            <w:bottom w:val="none" w:sz="0" w:space="0" w:color="auto"/>
            <w:right w:val="none" w:sz="0" w:space="0" w:color="auto"/>
          </w:divBdr>
        </w:div>
      </w:divsChild>
    </w:div>
    <w:div w:id="1297299247">
      <w:marLeft w:val="0"/>
      <w:marRight w:val="0"/>
      <w:marTop w:val="180"/>
      <w:marBottom w:val="180"/>
      <w:divBdr>
        <w:top w:val="none" w:sz="0" w:space="0" w:color="auto"/>
        <w:left w:val="none" w:sz="0" w:space="0" w:color="auto"/>
        <w:bottom w:val="none" w:sz="0" w:space="0" w:color="auto"/>
        <w:right w:val="none" w:sz="0" w:space="0" w:color="auto"/>
      </w:divBdr>
    </w:div>
    <w:div w:id="1298140733">
      <w:marLeft w:val="0"/>
      <w:marRight w:val="0"/>
      <w:marTop w:val="0"/>
      <w:marBottom w:val="0"/>
      <w:divBdr>
        <w:top w:val="none" w:sz="0" w:space="0" w:color="auto"/>
        <w:left w:val="none" w:sz="0" w:space="0" w:color="auto"/>
        <w:bottom w:val="none" w:sz="0" w:space="0" w:color="auto"/>
        <w:right w:val="none" w:sz="0" w:space="0" w:color="auto"/>
      </w:divBdr>
    </w:div>
    <w:div w:id="1301152204">
      <w:marLeft w:val="0"/>
      <w:marRight w:val="0"/>
      <w:marTop w:val="180"/>
      <w:marBottom w:val="180"/>
      <w:divBdr>
        <w:top w:val="none" w:sz="0" w:space="0" w:color="auto"/>
        <w:left w:val="none" w:sz="0" w:space="0" w:color="auto"/>
        <w:bottom w:val="none" w:sz="0" w:space="0" w:color="auto"/>
        <w:right w:val="none" w:sz="0" w:space="0" w:color="auto"/>
      </w:divBdr>
    </w:div>
    <w:div w:id="1303466626">
      <w:marLeft w:val="0"/>
      <w:marRight w:val="0"/>
      <w:marTop w:val="0"/>
      <w:marBottom w:val="0"/>
      <w:divBdr>
        <w:top w:val="none" w:sz="0" w:space="0" w:color="auto"/>
        <w:left w:val="none" w:sz="0" w:space="0" w:color="auto"/>
        <w:bottom w:val="none" w:sz="0" w:space="0" w:color="auto"/>
        <w:right w:val="none" w:sz="0" w:space="0" w:color="auto"/>
      </w:divBdr>
      <w:divsChild>
        <w:div w:id="778568639">
          <w:marLeft w:val="0"/>
          <w:marRight w:val="0"/>
          <w:marTop w:val="180"/>
          <w:marBottom w:val="180"/>
          <w:divBdr>
            <w:top w:val="none" w:sz="0" w:space="0" w:color="auto"/>
            <w:left w:val="none" w:sz="0" w:space="0" w:color="auto"/>
            <w:bottom w:val="none" w:sz="0" w:space="0" w:color="auto"/>
            <w:right w:val="none" w:sz="0" w:space="0" w:color="auto"/>
          </w:divBdr>
        </w:div>
      </w:divsChild>
    </w:div>
    <w:div w:id="1305700993">
      <w:marLeft w:val="0"/>
      <w:marRight w:val="0"/>
      <w:marTop w:val="60"/>
      <w:marBottom w:val="60"/>
      <w:divBdr>
        <w:top w:val="none" w:sz="0" w:space="0" w:color="auto"/>
        <w:left w:val="none" w:sz="0" w:space="0" w:color="auto"/>
        <w:bottom w:val="none" w:sz="0" w:space="0" w:color="auto"/>
        <w:right w:val="none" w:sz="0" w:space="0" w:color="auto"/>
      </w:divBdr>
    </w:div>
    <w:div w:id="1306543293">
      <w:marLeft w:val="0"/>
      <w:marRight w:val="0"/>
      <w:marTop w:val="180"/>
      <w:marBottom w:val="180"/>
      <w:divBdr>
        <w:top w:val="none" w:sz="0" w:space="0" w:color="auto"/>
        <w:left w:val="none" w:sz="0" w:space="0" w:color="auto"/>
        <w:bottom w:val="none" w:sz="0" w:space="0" w:color="auto"/>
        <w:right w:val="none" w:sz="0" w:space="0" w:color="auto"/>
      </w:divBdr>
    </w:div>
    <w:div w:id="1309748294">
      <w:marLeft w:val="0"/>
      <w:marRight w:val="0"/>
      <w:marTop w:val="180"/>
      <w:marBottom w:val="180"/>
      <w:divBdr>
        <w:top w:val="none" w:sz="0" w:space="0" w:color="auto"/>
        <w:left w:val="none" w:sz="0" w:space="0" w:color="auto"/>
        <w:bottom w:val="none" w:sz="0" w:space="0" w:color="auto"/>
        <w:right w:val="none" w:sz="0" w:space="0" w:color="auto"/>
      </w:divBdr>
    </w:div>
    <w:div w:id="1311521444">
      <w:marLeft w:val="0"/>
      <w:marRight w:val="0"/>
      <w:marTop w:val="60"/>
      <w:marBottom w:val="60"/>
      <w:divBdr>
        <w:top w:val="none" w:sz="0" w:space="0" w:color="auto"/>
        <w:left w:val="none" w:sz="0" w:space="0" w:color="auto"/>
        <w:bottom w:val="none" w:sz="0" w:space="0" w:color="auto"/>
        <w:right w:val="none" w:sz="0" w:space="0" w:color="auto"/>
      </w:divBdr>
    </w:div>
    <w:div w:id="1311712280">
      <w:marLeft w:val="0"/>
      <w:marRight w:val="0"/>
      <w:marTop w:val="60"/>
      <w:marBottom w:val="60"/>
      <w:divBdr>
        <w:top w:val="none" w:sz="0" w:space="0" w:color="auto"/>
        <w:left w:val="none" w:sz="0" w:space="0" w:color="auto"/>
        <w:bottom w:val="none" w:sz="0" w:space="0" w:color="auto"/>
        <w:right w:val="none" w:sz="0" w:space="0" w:color="auto"/>
      </w:divBdr>
    </w:div>
    <w:div w:id="1311714178">
      <w:marLeft w:val="0"/>
      <w:marRight w:val="0"/>
      <w:marTop w:val="180"/>
      <w:marBottom w:val="180"/>
      <w:divBdr>
        <w:top w:val="none" w:sz="0" w:space="0" w:color="auto"/>
        <w:left w:val="none" w:sz="0" w:space="0" w:color="auto"/>
        <w:bottom w:val="none" w:sz="0" w:space="0" w:color="auto"/>
        <w:right w:val="none" w:sz="0" w:space="0" w:color="auto"/>
      </w:divBdr>
    </w:div>
    <w:div w:id="1313801472">
      <w:marLeft w:val="0"/>
      <w:marRight w:val="0"/>
      <w:marTop w:val="60"/>
      <w:marBottom w:val="60"/>
      <w:divBdr>
        <w:top w:val="none" w:sz="0" w:space="0" w:color="auto"/>
        <w:left w:val="none" w:sz="0" w:space="0" w:color="auto"/>
        <w:bottom w:val="none" w:sz="0" w:space="0" w:color="auto"/>
        <w:right w:val="none" w:sz="0" w:space="0" w:color="auto"/>
      </w:divBdr>
    </w:div>
    <w:div w:id="1314597870">
      <w:marLeft w:val="0"/>
      <w:marRight w:val="0"/>
      <w:marTop w:val="60"/>
      <w:marBottom w:val="60"/>
      <w:divBdr>
        <w:top w:val="none" w:sz="0" w:space="0" w:color="auto"/>
        <w:left w:val="none" w:sz="0" w:space="0" w:color="auto"/>
        <w:bottom w:val="none" w:sz="0" w:space="0" w:color="auto"/>
        <w:right w:val="none" w:sz="0" w:space="0" w:color="auto"/>
      </w:divBdr>
    </w:div>
    <w:div w:id="1314985058">
      <w:marLeft w:val="0"/>
      <w:marRight w:val="0"/>
      <w:marTop w:val="0"/>
      <w:marBottom w:val="0"/>
      <w:divBdr>
        <w:top w:val="none" w:sz="0" w:space="0" w:color="auto"/>
        <w:left w:val="none" w:sz="0" w:space="0" w:color="auto"/>
        <w:bottom w:val="none" w:sz="0" w:space="0" w:color="auto"/>
        <w:right w:val="none" w:sz="0" w:space="0" w:color="auto"/>
      </w:divBdr>
    </w:div>
    <w:div w:id="1316497280">
      <w:marLeft w:val="0"/>
      <w:marRight w:val="0"/>
      <w:marTop w:val="180"/>
      <w:marBottom w:val="60"/>
      <w:divBdr>
        <w:top w:val="none" w:sz="0" w:space="0" w:color="auto"/>
        <w:left w:val="none" w:sz="0" w:space="0" w:color="auto"/>
        <w:bottom w:val="none" w:sz="0" w:space="0" w:color="auto"/>
        <w:right w:val="none" w:sz="0" w:space="0" w:color="auto"/>
      </w:divBdr>
    </w:div>
    <w:div w:id="1317877379">
      <w:marLeft w:val="0"/>
      <w:marRight w:val="0"/>
      <w:marTop w:val="60"/>
      <w:marBottom w:val="60"/>
      <w:divBdr>
        <w:top w:val="none" w:sz="0" w:space="0" w:color="auto"/>
        <w:left w:val="none" w:sz="0" w:space="0" w:color="auto"/>
        <w:bottom w:val="none" w:sz="0" w:space="0" w:color="auto"/>
        <w:right w:val="none" w:sz="0" w:space="0" w:color="auto"/>
      </w:divBdr>
    </w:div>
    <w:div w:id="1319192332">
      <w:marLeft w:val="0"/>
      <w:marRight w:val="0"/>
      <w:marTop w:val="0"/>
      <w:marBottom w:val="0"/>
      <w:divBdr>
        <w:top w:val="none" w:sz="0" w:space="0" w:color="auto"/>
        <w:left w:val="none" w:sz="0" w:space="0" w:color="auto"/>
        <w:bottom w:val="none" w:sz="0" w:space="0" w:color="auto"/>
        <w:right w:val="none" w:sz="0" w:space="0" w:color="auto"/>
      </w:divBdr>
      <w:divsChild>
        <w:div w:id="2092002761">
          <w:marLeft w:val="0"/>
          <w:marRight w:val="0"/>
          <w:marTop w:val="60"/>
          <w:marBottom w:val="60"/>
          <w:divBdr>
            <w:top w:val="none" w:sz="0" w:space="0" w:color="auto"/>
            <w:left w:val="none" w:sz="0" w:space="0" w:color="auto"/>
            <w:bottom w:val="none" w:sz="0" w:space="0" w:color="auto"/>
            <w:right w:val="none" w:sz="0" w:space="0" w:color="auto"/>
          </w:divBdr>
        </w:div>
      </w:divsChild>
    </w:div>
    <w:div w:id="1319966313">
      <w:marLeft w:val="0"/>
      <w:marRight w:val="0"/>
      <w:marTop w:val="180"/>
      <w:marBottom w:val="180"/>
      <w:divBdr>
        <w:top w:val="none" w:sz="0" w:space="0" w:color="auto"/>
        <w:left w:val="none" w:sz="0" w:space="0" w:color="auto"/>
        <w:bottom w:val="none" w:sz="0" w:space="0" w:color="auto"/>
        <w:right w:val="none" w:sz="0" w:space="0" w:color="auto"/>
      </w:divBdr>
    </w:div>
    <w:div w:id="1321226466">
      <w:marLeft w:val="0"/>
      <w:marRight w:val="0"/>
      <w:marTop w:val="240"/>
      <w:marBottom w:val="180"/>
      <w:divBdr>
        <w:top w:val="none" w:sz="0" w:space="0" w:color="auto"/>
        <w:left w:val="none" w:sz="0" w:space="0" w:color="auto"/>
        <w:bottom w:val="none" w:sz="0" w:space="0" w:color="auto"/>
        <w:right w:val="none" w:sz="0" w:space="0" w:color="auto"/>
      </w:divBdr>
    </w:div>
    <w:div w:id="1321302135">
      <w:marLeft w:val="0"/>
      <w:marRight w:val="0"/>
      <w:marTop w:val="180"/>
      <w:marBottom w:val="180"/>
      <w:divBdr>
        <w:top w:val="none" w:sz="0" w:space="0" w:color="auto"/>
        <w:left w:val="none" w:sz="0" w:space="0" w:color="auto"/>
        <w:bottom w:val="none" w:sz="0" w:space="0" w:color="auto"/>
        <w:right w:val="none" w:sz="0" w:space="0" w:color="auto"/>
      </w:divBdr>
    </w:div>
    <w:div w:id="1323387674">
      <w:marLeft w:val="0"/>
      <w:marRight w:val="0"/>
      <w:marTop w:val="180"/>
      <w:marBottom w:val="180"/>
      <w:divBdr>
        <w:top w:val="none" w:sz="0" w:space="0" w:color="auto"/>
        <w:left w:val="none" w:sz="0" w:space="0" w:color="auto"/>
        <w:bottom w:val="none" w:sz="0" w:space="0" w:color="auto"/>
        <w:right w:val="none" w:sz="0" w:space="0" w:color="auto"/>
      </w:divBdr>
    </w:div>
    <w:div w:id="1323463096">
      <w:marLeft w:val="0"/>
      <w:marRight w:val="0"/>
      <w:marTop w:val="180"/>
      <w:marBottom w:val="180"/>
      <w:divBdr>
        <w:top w:val="none" w:sz="0" w:space="0" w:color="auto"/>
        <w:left w:val="none" w:sz="0" w:space="0" w:color="auto"/>
        <w:bottom w:val="none" w:sz="0" w:space="0" w:color="auto"/>
        <w:right w:val="none" w:sz="0" w:space="0" w:color="auto"/>
      </w:divBdr>
      <w:divsChild>
        <w:div w:id="1526944434">
          <w:marLeft w:val="0"/>
          <w:marRight w:val="0"/>
          <w:marTop w:val="0"/>
          <w:marBottom w:val="0"/>
          <w:divBdr>
            <w:top w:val="none" w:sz="0" w:space="0" w:color="auto"/>
            <w:left w:val="none" w:sz="0" w:space="0" w:color="auto"/>
            <w:bottom w:val="none" w:sz="0" w:space="0" w:color="auto"/>
            <w:right w:val="none" w:sz="0" w:space="0" w:color="auto"/>
          </w:divBdr>
        </w:div>
        <w:div w:id="309214025">
          <w:marLeft w:val="0"/>
          <w:marRight w:val="0"/>
          <w:marTop w:val="0"/>
          <w:marBottom w:val="0"/>
          <w:divBdr>
            <w:top w:val="none" w:sz="0" w:space="0" w:color="auto"/>
            <w:left w:val="none" w:sz="0" w:space="0" w:color="auto"/>
            <w:bottom w:val="none" w:sz="0" w:space="0" w:color="auto"/>
            <w:right w:val="none" w:sz="0" w:space="0" w:color="auto"/>
          </w:divBdr>
        </w:div>
        <w:div w:id="1862430239">
          <w:marLeft w:val="0"/>
          <w:marRight w:val="0"/>
          <w:marTop w:val="0"/>
          <w:marBottom w:val="0"/>
          <w:divBdr>
            <w:top w:val="none" w:sz="0" w:space="0" w:color="auto"/>
            <w:left w:val="none" w:sz="0" w:space="0" w:color="auto"/>
            <w:bottom w:val="none" w:sz="0" w:space="0" w:color="auto"/>
            <w:right w:val="none" w:sz="0" w:space="0" w:color="auto"/>
          </w:divBdr>
        </w:div>
        <w:div w:id="990984549">
          <w:marLeft w:val="0"/>
          <w:marRight w:val="0"/>
          <w:marTop w:val="0"/>
          <w:marBottom w:val="0"/>
          <w:divBdr>
            <w:top w:val="none" w:sz="0" w:space="0" w:color="auto"/>
            <w:left w:val="none" w:sz="0" w:space="0" w:color="auto"/>
            <w:bottom w:val="none" w:sz="0" w:space="0" w:color="auto"/>
            <w:right w:val="none" w:sz="0" w:space="0" w:color="auto"/>
          </w:divBdr>
        </w:div>
        <w:div w:id="1921523578">
          <w:marLeft w:val="0"/>
          <w:marRight w:val="0"/>
          <w:marTop w:val="0"/>
          <w:marBottom w:val="0"/>
          <w:divBdr>
            <w:top w:val="none" w:sz="0" w:space="0" w:color="auto"/>
            <w:left w:val="none" w:sz="0" w:space="0" w:color="auto"/>
            <w:bottom w:val="none" w:sz="0" w:space="0" w:color="auto"/>
            <w:right w:val="none" w:sz="0" w:space="0" w:color="auto"/>
          </w:divBdr>
        </w:div>
        <w:div w:id="564075196">
          <w:marLeft w:val="0"/>
          <w:marRight w:val="0"/>
          <w:marTop w:val="0"/>
          <w:marBottom w:val="0"/>
          <w:divBdr>
            <w:top w:val="none" w:sz="0" w:space="0" w:color="auto"/>
            <w:left w:val="none" w:sz="0" w:space="0" w:color="auto"/>
            <w:bottom w:val="none" w:sz="0" w:space="0" w:color="auto"/>
            <w:right w:val="none" w:sz="0" w:space="0" w:color="auto"/>
          </w:divBdr>
        </w:div>
        <w:div w:id="680352466">
          <w:marLeft w:val="0"/>
          <w:marRight w:val="0"/>
          <w:marTop w:val="0"/>
          <w:marBottom w:val="0"/>
          <w:divBdr>
            <w:top w:val="none" w:sz="0" w:space="0" w:color="auto"/>
            <w:left w:val="none" w:sz="0" w:space="0" w:color="auto"/>
            <w:bottom w:val="none" w:sz="0" w:space="0" w:color="auto"/>
            <w:right w:val="none" w:sz="0" w:space="0" w:color="auto"/>
          </w:divBdr>
        </w:div>
        <w:div w:id="1406759582">
          <w:marLeft w:val="0"/>
          <w:marRight w:val="0"/>
          <w:marTop w:val="0"/>
          <w:marBottom w:val="0"/>
          <w:divBdr>
            <w:top w:val="none" w:sz="0" w:space="0" w:color="auto"/>
            <w:left w:val="none" w:sz="0" w:space="0" w:color="auto"/>
            <w:bottom w:val="none" w:sz="0" w:space="0" w:color="auto"/>
            <w:right w:val="none" w:sz="0" w:space="0" w:color="auto"/>
          </w:divBdr>
        </w:div>
        <w:div w:id="877663603">
          <w:marLeft w:val="0"/>
          <w:marRight w:val="0"/>
          <w:marTop w:val="0"/>
          <w:marBottom w:val="0"/>
          <w:divBdr>
            <w:top w:val="none" w:sz="0" w:space="0" w:color="auto"/>
            <w:left w:val="none" w:sz="0" w:space="0" w:color="auto"/>
            <w:bottom w:val="none" w:sz="0" w:space="0" w:color="auto"/>
            <w:right w:val="none" w:sz="0" w:space="0" w:color="auto"/>
          </w:divBdr>
        </w:div>
        <w:div w:id="1800222875">
          <w:marLeft w:val="0"/>
          <w:marRight w:val="0"/>
          <w:marTop w:val="0"/>
          <w:marBottom w:val="0"/>
          <w:divBdr>
            <w:top w:val="none" w:sz="0" w:space="0" w:color="auto"/>
            <w:left w:val="none" w:sz="0" w:space="0" w:color="auto"/>
            <w:bottom w:val="none" w:sz="0" w:space="0" w:color="auto"/>
            <w:right w:val="none" w:sz="0" w:space="0" w:color="auto"/>
          </w:divBdr>
        </w:div>
        <w:div w:id="850527463">
          <w:marLeft w:val="0"/>
          <w:marRight w:val="0"/>
          <w:marTop w:val="0"/>
          <w:marBottom w:val="0"/>
          <w:divBdr>
            <w:top w:val="none" w:sz="0" w:space="0" w:color="auto"/>
            <w:left w:val="none" w:sz="0" w:space="0" w:color="auto"/>
            <w:bottom w:val="none" w:sz="0" w:space="0" w:color="auto"/>
            <w:right w:val="none" w:sz="0" w:space="0" w:color="auto"/>
          </w:divBdr>
        </w:div>
        <w:div w:id="297536587">
          <w:marLeft w:val="0"/>
          <w:marRight w:val="0"/>
          <w:marTop w:val="0"/>
          <w:marBottom w:val="0"/>
          <w:divBdr>
            <w:top w:val="none" w:sz="0" w:space="0" w:color="auto"/>
            <w:left w:val="none" w:sz="0" w:space="0" w:color="auto"/>
            <w:bottom w:val="none" w:sz="0" w:space="0" w:color="auto"/>
            <w:right w:val="none" w:sz="0" w:space="0" w:color="auto"/>
          </w:divBdr>
        </w:div>
        <w:div w:id="346442564">
          <w:marLeft w:val="0"/>
          <w:marRight w:val="0"/>
          <w:marTop w:val="0"/>
          <w:marBottom w:val="0"/>
          <w:divBdr>
            <w:top w:val="none" w:sz="0" w:space="0" w:color="auto"/>
            <w:left w:val="none" w:sz="0" w:space="0" w:color="auto"/>
            <w:bottom w:val="none" w:sz="0" w:space="0" w:color="auto"/>
            <w:right w:val="none" w:sz="0" w:space="0" w:color="auto"/>
          </w:divBdr>
        </w:div>
        <w:div w:id="78141191">
          <w:marLeft w:val="0"/>
          <w:marRight w:val="0"/>
          <w:marTop w:val="0"/>
          <w:marBottom w:val="0"/>
          <w:divBdr>
            <w:top w:val="none" w:sz="0" w:space="0" w:color="auto"/>
            <w:left w:val="none" w:sz="0" w:space="0" w:color="auto"/>
            <w:bottom w:val="none" w:sz="0" w:space="0" w:color="auto"/>
            <w:right w:val="none" w:sz="0" w:space="0" w:color="auto"/>
          </w:divBdr>
        </w:div>
        <w:div w:id="1232547665">
          <w:marLeft w:val="0"/>
          <w:marRight w:val="0"/>
          <w:marTop w:val="0"/>
          <w:marBottom w:val="0"/>
          <w:divBdr>
            <w:top w:val="none" w:sz="0" w:space="0" w:color="auto"/>
            <w:left w:val="none" w:sz="0" w:space="0" w:color="auto"/>
            <w:bottom w:val="none" w:sz="0" w:space="0" w:color="auto"/>
            <w:right w:val="none" w:sz="0" w:space="0" w:color="auto"/>
          </w:divBdr>
        </w:div>
        <w:div w:id="1512406602">
          <w:marLeft w:val="0"/>
          <w:marRight w:val="0"/>
          <w:marTop w:val="0"/>
          <w:marBottom w:val="0"/>
          <w:divBdr>
            <w:top w:val="none" w:sz="0" w:space="0" w:color="auto"/>
            <w:left w:val="none" w:sz="0" w:space="0" w:color="auto"/>
            <w:bottom w:val="none" w:sz="0" w:space="0" w:color="auto"/>
            <w:right w:val="none" w:sz="0" w:space="0" w:color="auto"/>
          </w:divBdr>
        </w:div>
        <w:div w:id="462312533">
          <w:marLeft w:val="0"/>
          <w:marRight w:val="0"/>
          <w:marTop w:val="0"/>
          <w:marBottom w:val="0"/>
          <w:divBdr>
            <w:top w:val="none" w:sz="0" w:space="0" w:color="auto"/>
            <w:left w:val="none" w:sz="0" w:space="0" w:color="auto"/>
            <w:bottom w:val="none" w:sz="0" w:space="0" w:color="auto"/>
            <w:right w:val="none" w:sz="0" w:space="0" w:color="auto"/>
          </w:divBdr>
        </w:div>
        <w:div w:id="1832410427">
          <w:marLeft w:val="0"/>
          <w:marRight w:val="0"/>
          <w:marTop w:val="0"/>
          <w:marBottom w:val="0"/>
          <w:divBdr>
            <w:top w:val="none" w:sz="0" w:space="0" w:color="auto"/>
            <w:left w:val="none" w:sz="0" w:space="0" w:color="auto"/>
            <w:bottom w:val="none" w:sz="0" w:space="0" w:color="auto"/>
            <w:right w:val="none" w:sz="0" w:space="0" w:color="auto"/>
          </w:divBdr>
        </w:div>
        <w:div w:id="1085224641">
          <w:marLeft w:val="0"/>
          <w:marRight w:val="0"/>
          <w:marTop w:val="0"/>
          <w:marBottom w:val="0"/>
          <w:divBdr>
            <w:top w:val="none" w:sz="0" w:space="0" w:color="auto"/>
            <w:left w:val="none" w:sz="0" w:space="0" w:color="auto"/>
            <w:bottom w:val="none" w:sz="0" w:space="0" w:color="auto"/>
            <w:right w:val="none" w:sz="0" w:space="0" w:color="auto"/>
          </w:divBdr>
        </w:div>
        <w:div w:id="802120379">
          <w:marLeft w:val="0"/>
          <w:marRight w:val="0"/>
          <w:marTop w:val="0"/>
          <w:marBottom w:val="0"/>
          <w:divBdr>
            <w:top w:val="none" w:sz="0" w:space="0" w:color="auto"/>
            <w:left w:val="none" w:sz="0" w:space="0" w:color="auto"/>
            <w:bottom w:val="none" w:sz="0" w:space="0" w:color="auto"/>
            <w:right w:val="none" w:sz="0" w:space="0" w:color="auto"/>
          </w:divBdr>
        </w:div>
        <w:div w:id="1240140527">
          <w:marLeft w:val="0"/>
          <w:marRight w:val="0"/>
          <w:marTop w:val="0"/>
          <w:marBottom w:val="0"/>
          <w:divBdr>
            <w:top w:val="none" w:sz="0" w:space="0" w:color="auto"/>
            <w:left w:val="none" w:sz="0" w:space="0" w:color="auto"/>
            <w:bottom w:val="none" w:sz="0" w:space="0" w:color="auto"/>
            <w:right w:val="none" w:sz="0" w:space="0" w:color="auto"/>
          </w:divBdr>
        </w:div>
      </w:divsChild>
    </w:div>
    <w:div w:id="1324578804">
      <w:marLeft w:val="0"/>
      <w:marRight w:val="0"/>
      <w:marTop w:val="0"/>
      <w:marBottom w:val="0"/>
      <w:divBdr>
        <w:top w:val="none" w:sz="0" w:space="0" w:color="auto"/>
        <w:left w:val="none" w:sz="0" w:space="0" w:color="auto"/>
        <w:bottom w:val="none" w:sz="0" w:space="0" w:color="auto"/>
        <w:right w:val="none" w:sz="0" w:space="0" w:color="auto"/>
      </w:divBdr>
      <w:divsChild>
        <w:div w:id="1277785408">
          <w:marLeft w:val="0"/>
          <w:marRight w:val="0"/>
          <w:marTop w:val="60"/>
          <w:marBottom w:val="60"/>
          <w:divBdr>
            <w:top w:val="none" w:sz="0" w:space="0" w:color="auto"/>
            <w:left w:val="none" w:sz="0" w:space="0" w:color="auto"/>
            <w:bottom w:val="none" w:sz="0" w:space="0" w:color="auto"/>
            <w:right w:val="none" w:sz="0" w:space="0" w:color="auto"/>
          </w:divBdr>
        </w:div>
      </w:divsChild>
    </w:div>
    <w:div w:id="1325165724">
      <w:marLeft w:val="0"/>
      <w:marRight w:val="0"/>
      <w:marTop w:val="180"/>
      <w:marBottom w:val="180"/>
      <w:divBdr>
        <w:top w:val="none" w:sz="0" w:space="0" w:color="auto"/>
        <w:left w:val="none" w:sz="0" w:space="0" w:color="auto"/>
        <w:bottom w:val="none" w:sz="0" w:space="0" w:color="auto"/>
        <w:right w:val="none" w:sz="0" w:space="0" w:color="auto"/>
      </w:divBdr>
    </w:div>
    <w:div w:id="1325746579">
      <w:marLeft w:val="0"/>
      <w:marRight w:val="0"/>
      <w:marTop w:val="0"/>
      <w:marBottom w:val="15"/>
      <w:divBdr>
        <w:top w:val="none" w:sz="0" w:space="0" w:color="auto"/>
        <w:left w:val="none" w:sz="0" w:space="0" w:color="auto"/>
        <w:bottom w:val="none" w:sz="0" w:space="0" w:color="auto"/>
        <w:right w:val="none" w:sz="0" w:space="0" w:color="auto"/>
      </w:divBdr>
    </w:div>
    <w:div w:id="1326975573">
      <w:marLeft w:val="0"/>
      <w:marRight w:val="0"/>
      <w:marTop w:val="180"/>
      <w:marBottom w:val="0"/>
      <w:divBdr>
        <w:top w:val="none" w:sz="0" w:space="0" w:color="auto"/>
        <w:left w:val="none" w:sz="0" w:space="0" w:color="auto"/>
        <w:bottom w:val="none" w:sz="0" w:space="0" w:color="auto"/>
        <w:right w:val="none" w:sz="0" w:space="0" w:color="auto"/>
      </w:divBdr>
    </w:div>
    <w:div w:id="1331374319">
      <w:marLeft w:val="0"/>
      <w:marRight w:val="0"/>
      <w:marTop w:val="0"/>
      <w:marBottom w:val="0"/>
      <w:divBdr>
        <w:top w:val="none" w:sz="0" w:space="0" w:color="auto"/>
        <w:left w:val="none" w:sz="0" w:space="0" w:color="auto"/>
        <w:bottom w:val="none" w:sz="0" w:space="0" w:color="auto"/>
        <w:right w:val="none" w:sz="0" w:space="0" w:color="auto"/>
      </w:divBdr>
      <w:divsChild>
        <w:div w:id="2081950065">
          <w:marLeft w:val="0"/>
          <w:marRight w:val="0"/>
          <w:marTop w:val="60"/>
          <w:marBottom w:val="60"/>
          <w:divBdr>
            <w:top w:val="none" w:sz="0" w:space="0" w:color="auto"/>
            <w:left w:val="none" w:sz="0" w:space="0" w:color="auto"/>
            <w:bottom w:val="none" w:sz="0" w:space="0" w:color="auto"/>
            <w:right w:val="none" w:sz="0" w:space="0" w:color="auto"/>
          </w:divBdr>
        </w:div>
      </w:divsChild>
    </w:div>
    <w:div w:id="1332609413">
      <w:marLeft w:val="0"/>
      <w:marRight w:val="0"/>
      <w:marTop w:val="60"/>
      <w:marBottom w:val="60"/>
      <w:divBdr>
        <w:top w:val="none" w:sz="0" w:space="0" w:color="auto"/>
        <w:left w:val="none" w:sz="0" w:space="0" w:color="auto"/>
        <w:bottom w:val="none" w:sz="0" w:space="0" w:color="auto"/>
        <w:right w:val="none" w:sz="0" w:space="0" w:color="auto"/>
      </w:divBdr>
    </w:div>
    <w:div w:id="1334718390">
      <w:marLeft w:val="0"/>
      <w:marRight w:val="0"/>
      <w:marTop w:val="180"/>
      <w:marBottom w:val="180"/>
      <w:divBdr>
        <w:top w:val="none" w:sz="0" w:space="0" w:color="auto"/>
        <w:left w:val="none" w:sz="0" w:space="0" w:color="auto"/>
        <w:bottom w:val="none" w:sz="0" w:space="0" w:color="auto"/>
        <w:right w:val="none" w:sz="0" w:space="0" w:color="auto"/>
      </w:divBdr>
    </w:div>
    <w:div w:id="1335106090">
      <w:marLeft w:val="0"/>
      <w:marRight w:val="0"/>
      <w:marTop w:val="60"/>
      <w:marBottom w:val="60"/>
      <w:divBdr>
        <w:top w:val="none" w:sz="0" w:space="0" w:color="auto"/>
        <w:left w:val="none" w:sz="0" w:space="0" w:color="auto"/>
        <w:bottom w:val="none" w:sz="0" w:space="0" w:color="auto"/>
        <w:right w:val="none" w:sz="0" w:space="0" w:color="auto"/>
      </w:divBdr>
    </w:div>
    <w:div w:id="1337227620">
      <w:marLeft w:val="0"/>
      <w:marRight w:val="0"/>
      <w:marTop w:val="180"/>
      <w:marBottom w:val="180"/>
      <w:divBdr>
        <w:top w:val="none" w:sz="0" w:space="0" w:color="auto"/>
        <w:left w:val="none" w:sz="0" w:space="0" w:color="auto"/>
        <w:bottom w:val="none" w:sz="0" w:space="0" w:color="auto"/>
        <w:right w:val="none" w:sz="0" w:space="0" w:color="auto"/>
      </w:divBdr>
    </w:div>
    <w:div w:id="1339573951">
      <w:marLeft w:val="0"/>
      <w:marRight w:val="0"/>
      <w:marTop w:val="180"/>
      <w:marBottom w:val="180"/>
      <w:divBdr>
        <w:top w:val="none" w:sz="0" w:space="0" w:color="auto"/>
        <w:left w:val="none" w:sz="0" w:space="0" w:color="auto"/>
        <w:bottom w:val="none" w:sz="0" w:space="0" w:color="auto"/>
        <w:right w:val="none" w:sz="0" w:space="0" w:color="auto"/>
      </w:divBdr>
    </w:div>
    <w:div w:id="1339694124">
      <w:marLeft w:val="0"/>
      <w:marRight w:val="0"/>
      <w:marTop w:val="180"/>
      <w:marBottom w:val="180"/>
      <w:divBdr>
        <w:top w:val="none" w:sz="0" w:space="0" w:color="auto"/>
        <w:left w:val="none" w:sz="0" w:space="0" w:color="auto"/>
        <w:bottom w:val="none" w:sz="0" w:space="0" w:color="auto"/>
        <w:right w:val="none" w:sz="0" w:space="0" w:color="auto"/>
      </w:divBdr>
    </w:div>
    <w:div w:id="1340766743">
      <w:marLeft w:val="0"/>
      <w:marRight w:val="0"/>
      <w:marTop w:val="0"/>
      <w:marBottom w:val="0"/>
      <w:divBdr>
        <w:top w:val="none" w:sz="0" w:space="0" w:color="auto"/>
        <w:left w:val="none" w:sz="0" w:space="0" w:color="auto"/>
        <w:bottom w:val="none" w:sz="0" w:space="0" w:color="auto"/>
        <w:right w:val="none" w:sz="0" w:space="0" w:color="auto"/>
      </w:divBdr>
    </w:div>
    <w:div w:id="1343628245">
      <w:marLeft w:val="0"/>
      <w:marRight w:val="0"/>
      <w:marTop w:val="0"/>
      <w:marBottom w:val="0"/>
      <w:divBdr>
        <w:top w:val="none" w:sz="0" w:space="0" w:color="auto"/>
        <w:left w:val="none" w:sz="0" w:space="0" w:color="auto"/>
        <w:bottom w:val="none" w:sz="0" w:space="0" w:color="auto"/>
        <w:right w:val="none" w:sz="0" w:space="0" w:color="auto"/>
      </w:divBdr>
      <w:divsChild>
        <w:div w:id="1543245944">
          <w:marLeft w:val="0"/>
          <w:marRight w:val="0"/>
          <w:marTop w:val="0"/>
          <w:marBottom w:val="0"/>
          <w:divBdr>
            <w:top w:val="none" w:sz="0" w:space="0" w:color="auto"/>
            <w:left w:val="none" w:sz="0" w:space="0" w:color="auto"/>
            <w:bottom w:val="none" w:sz="0" w:space="0" w:color="auto"/>
            <w:right w:val="none" w:sz="0" w:space="0" w:color="auto"/>
          </w:divBdr>
          <w:divsChild>
            <w:div w:id="144850834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45278676">
      <w:marLeft w:val="0"/>
      <w:marRight w:val="0"/>
      <w:marTop w:val="0"/>
      <w:marBottom w:val="0"/>
      <w:divBdr>
        <w:top w:val="none" w:sz="0" w:space="0" w:color="auto"/>
        <w:left w:val="none" w:sz="0" w:space="0" w:color="auto"/>
        <w:bottom w:val="none" w:sz="0" w:space="0" w:color="auto"/>
        <w:right w:val="none" w:sz="0" w:space="0" w:color="auto"/>
      </w:divBdr>
      <w:divsChild>
        <w:div w:id="1779107559">
          <w:marLeft w:val="0"/>
          <w:marRight w:val="0"/>
          <w:marTop w:val="0"/>
          <w:marBottom w:val="0"/>
          <w:divBdr>
            <w:top w:val="none" w:sz="0" w:space="0" w:color="auto"/>
            <w:left w:val="none" w:sz="0" w:space="0" w:color="auto"/>
            <w:bottom w:val="none" w:sz="0" w:space="0" w:color="auto"/>
            <w:right w:val="none" w:sz="0" w:space="0" w:color="auto"/>
          </w:divBdr>
          <w:divsChild>
            <w:div w:id="205870452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45783533">
      <w:marLeft w:val="0"/>
      <w:marRight w:val="0"/>
      <w:marTop w:val="180"/>
      <w:marBottom w:val="0"/>
      <w:divBdr>
        <w:top w:val="none" w:sz="0" w:space="0" w:color="auto"/>
        <w:left w:val="none" w:sz="0" w:space="0" w:color="auto"/>
        <w:bottom w:val="none" w:sz="0" w:space="0" w:color="auto"/>
        <w:right w:val="none" w:sz="0" w:space="0" w:color="auto"/>
      </w:divBdr>
    </w:div>
    <w:div w:id="1345863260">
      <w:marLeft w:val="0"/>
      <w:marRight w:val="0"/>
      <w:marTop w:val="100"/>
      <w:marBottom w:val="0"/>
      <w:divBdr>
        <w:top w:val="none" w:sz="0" w:space="0" w:color="auto"/>
        <w:left w:val="none" w:sz="0" w:space="0" w:color="auto"/>
        <w:bottom w:val="none" w:sz="0" w:space="0" w:color="auto"/>
        <w:right w:val="none" w:sz="0" w:space="0" w:color="auto"/>
      </w:divBdr>
      <w:divsChild>
        <w:div w:id="418528266">
          <w:marLeft w:val="0"/>
          <w:marRight w:val="0"/>
          <w:marTop w:val="0"/>
          <w:marBottom w:val="0"/>
          <w:divBdr>
            <w:top w:val="none" w:sz="0" w:space="0" w:color="auto"/>
            <w:left w:val="none" w:sz="0" w:space="0" w:color="auto"/>
            <w:bottom w:val="none" w:sz="0" w:space="0" w:color="auto"/>
            <w:right w:val="none" w:sz="0" w:space="0" w:color="auto"/>
          </w:divBdr>
        </w:div>
        <w:div w:id="1521433253">
          <w:marLeft w:val="0"/>
          <w:marRight w:val="0"/>
          <w:marTop w:val="0"/>
          <w:marBottom w:val="0"/>
          <w:divBdr>
            <w:top w:val="none" w:sz="0" w:space="0" w:color="auto"/>
            <w:left w:val="none" w:sz="0" w:space="0" w:color="auto"/>
            <w:bottom w:val="none" w:sz="0" w:space="0" w:color="auto"/>
            <w:right w:val="none" w:sz="0" w:space="0" w:color="auto"/>
          </w:divBdr>
        </w:div>
      </w:divsChild>
    </w:div>
    <w:div w:id="1348287838">
      <w:marLeft w:val="0"/>
      <w:marRight w:val="0"/>
      <w:marTop w:val="0"/>
      <w:marBottom w:val="180"/>
      <w:divBdr>
        <w:top w:val="none" w:sz="0" w:space="0" w:color="auto"/>
        <w:left w:val="none" w:sz="0" w:space="0" w:color="auto"/>
        <w:bottom w:val="none" w:sz="0" w:space="0" w:color="auto"/>
        <w:right w:val="none" w:sz="0" w:space="0" w:color="auto"/>
      </w:divBdr>
    </w:div>
    <w:div w:id="1348679690">
      <w:marLeft w:val="0"/>
      <w:marRight w:val="0"/>
      <w:marTop w:val="0"/>
      <w:marBottom w:val="0"/>
      <w:divBdr>
        <w:top w:val="none" w:sz="0" w:space="0" w:color="auto"/>
        <w:left w:val="none" w:sz="0" w:space="0" w:color="auto"/>
        <w:bottom w:val="none" w:sz="0" w:space="0" w:color="auto"/>
        <w:right w:val="none" w:sz="0" w:space="0" w:color="auto"/>
      </w:divBdr>
    </w:div>
    <w:div w:id="1348871113">
      <w:marLeft w:val="0"/>
      <w:marRight w:val="0"/>
      <w:marTop w:val="180"/>
      <w:marBottom w:val="180"/>
      <w:divBdr>
        <w:top w:val="none" w:sz="0" w:space="0" w:color="auto"/>
        <w:left w:val="none" w:sz="0" w:space="0" w:color="auto"/>
        <w:bottom w:val="none" w:sz="0" w:space="0" w:color="auto"/>
        <w:right w:val="none" w:sz="0" w:space="0" w:color="auto"/>
      </w:divBdr>
    </w:div>
    <w:div w:id="1349410456">
      <w:marLeft w:val="0"/>
      <w:marRight w:val="0"/>
      <w:marTop w:val="0"/>
      <w:marBottom w:val="0"/>
      <w:divBdr>
        <w:top w:val="none" w:sz="0" w:space="0" w:color="auto"/>
        <w:left w:val="none" w:sz="0" w:space="0" w:color="auto"/>
        <w:bottom w:val="none" w:sz="0" w:space="0" w:color="auto"/>
        <w:right w:val="none" w:sz="0" w:space="0" w:color="auto"/>
      </w:divBdr>
    </w:div>
    <w:div w:id="1349602452">
      <w:marLeft w:val="0"/>
      <w:marRight w:val="0"/>
      <w:marTop w:val="180"/>
      <w:marBottom w:val="180"/>
      <w:divBdr>
        <w:top w:val="none" w:sz="0" w:space="0" w:color="auto"/>
        <w:left w:val="none" w:sz="0" w:space="0" w:color="auto"/>
        <w:bottom w:val="none" w:sz="0" w:space="0" w:color="auto"/>
        <w:right w:val="none" w:sz="0" w:space="0" w:color="auto"/>
      </w:divBdr>
      <w:divsChild>
        <w:div w:id="1197083820">
          <w:marLeft w:val="0"/>
          <w:marRight w:val="0"/>
          <w:marTop w:val="0"/>
          <w:marBottom w:val="0"/>
          <w:divBdr>
            <w:top w:val="none" w:sz="0" w:space="0" w:color="auto"/>
            <w:left w:val="none" w:sz="0" w:space="0" w:color="auto"/>
            <w:bottom w:val="none" w:sz="0" w:space="0" w:color="auto"/>
            <w:right w:val="none" w:sz="0" w:space="0" w:color="auto"/>
          </w:divBdr>
        </w:div>
        <w:div w:id="799567471">
          <w:marLeft w:val="0"/>
          <w:marRight w:val="0"/>
          <w:marTop w:val="0"/>
          <w:marBottom w:val="0"/>
          <w:divBdr>
            <w:top w:val="none" w:sz="0" w:space="0" w:color="auto"/>
            <w:left w:val="none" w:sz="0" w:space="0" w:color="auto"/>
            <w:bottom w:val="none" w:sz="0" w:space="0" w:color="auto"/>
            <w:right w:val="none" w:sz="0" w:space="0" w:color="auto"/>
          </w:divBdr>
        </w:div>
      </w:divsChild>
    </w:div>
    <w:div w:id="1349793205">
      <w:marLeft w:val="0"/>
      <w:marRight w:val="0"/>
      <w:marTop w:val="60"/>
      <w:marBottom w:val="60"/>
      <w:divBdr>
        <w:top w:val="none" w:sz="0" w:space="0" w:color="auto"/>
        <w:left w:val="none" w:sz="0" w:space="0" w:color="auto"/>
        <w:bottom w:val="none" w:sz="0" w:space="0" w:color="auto"/>
        <w:right w:val="none" w:sz="0" w:space="0" w:color="auto"/>
      </w:divBdr>
    </w:div>
    <w:div w:id="1350378525">
      <w:marLeft w:val="0"/>
      <w:marRight w:val="0"/>
      <w:marTop w:val="60"/>
      <w:marBottom w:val="60"/>
      <w:divBdr>
        <w:top w:val="none" w:sz="0" w:space="0" w:color="auto"/>
        <w:left w:val="none" w:sz="0" w:space="0" w:color="auto"/>
        <w:bottom w:val="none" w:sz="0" w:space="0" w:color="auto"/>
        <w:right w:val="none" w:sz="0" w:space="0" w:color="auto"/>
      </w:divBdr>
    </w:div>
    <w:div w:id="1350447739">
      <w:marLeft w:val="0"/>
      <w:marRight w:val="0"/>
      <w:marTop w:val="0"/>
      <w:marBottom w:val="0"/>
      <w:divBdr>
        <w:top w:val="none" w:sz="0" w:space="0" w:color="auto"/>
        <w:left w:val="none" w:sz="0" w:space="0" w:color="auto"/>
        <w:bottom w:val="none" w:sz="0" w:space="0" w:color="auto"/>
        <w:right w:val="none" w:sz="0" w:space="0" w:color="auto"/>
      </w:divBdr>
    </w:div>
    <w:div w:id="1350571758">
      <w:marLeft w:val="0"/>
      <w:marRight w:val="0"/>
      <w:marTop w:val="180"/>
      <w:marBottom w:val="180"/>
      <w:divBdr>
        <w:top w:val="none" w:sz="0" w:space="0" w:color="auto"/>
        <w:left w:val="none" w:sz="0" w:space="0" w:color="auto"/>
        <w:bottom w:val="none" w:sz="0" w:space="0" w:color="auto"/>
        <w:right w:val="none" w:sz="0" w:space="0" w:color="auto"/>
      </w:divBdr>
    </w:div>
    <w:div w:id="1351646021">
      <w:marLeft w:val="0"/>
      <w:marRight w:val="0"/>
      <w:marTop w:val="180"/>
      <w:marBottom w:val="180"/>
      <w:divBdr>
        <w:top w:val="none" w:sz="0" w:space="0" w:color="auto"/>
        <w:left w:val="none" w:sz="0" w:space="0" w:color="auto"/>
        <w:bottom w:val="none" w:sz="0" w:space="0" w:color="auto"/>
        <w:right w:val="none" w:sz="0" w:space="0" w:color="auto"/>
      </w:divBdr>
    </w:div>
    <w:div w:id="1352025835">
      <w:marLeft w:val="0"/>
      <w:marRight w:val="0"/>
      <w:marTop w:val="60"/>
      <w:marBottom w:val="60"/>
      <w:divBdr>
        <w:top w:val="none" w:sz="0" w:space="0" w:color="auto"/>
        <w:left w:val="none" w:sz="0" w:space="0" w:color="auto"/>
        <w:bottom w:val="none" w:sz="0" w:space="0" w:color="auto"/>
        <w:right w:val="none" w:sz="0" w:space="0" w:color="auto"/>
      </w:divBdr>
    </w:div>
    <w:div w:id="1352489086">
      <w:marLeft w:val="0"/>
      <w:marRight w:val="0"/>
      <w:marTop w:val="0"/>
      <w:marBottom w:val="0"/>
      <w:divBdr>
        <w:top w:val="none" w:sz="0" w:space="0" w:color="auto"/>
        <w:left w:val="none" w:sz="0" w:space="0" w:color="auto"/>
        <w:bottom w:val="none" w:sz="0" w:space="0" w:color="auto"/>
        <w:right w:val="none" w:sz="0" w:space="0" w:color="auto"/>
      </w:divBdr>
      <w:divsChild>
        <w:div w:id="1370690723">
          <w:marLeft w:val="0"/>
          <w:marRight w:val="0"/>
          <w:marTop w:val="0"/>
          <w:marBottom w:val="0"/>
          <w:divBdr>
            <w:top w:val="none" w:sz="0" w:space="0" w:color="auto"/>
            <w:left w:val="none" w:sz="0" w:space="0" w:color="auto"/>
            <w:bottom w:val="none" w:sz="0" w:space="0" w:color="auto"/>
            <w:right w:val="none" w:sz="0" w:space="0" w:color="auto"/>
          </w:divBdr>
          <w:divsChild>
            <w:div w:id="9267349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53530736">
      <w:marLeft w:val="0"/>
      <w:marRight w:val="0"/>
      <w:marTop w:val="180"/>
      <w:marBottom w:val="180"/>
      <w:divBdr>
        <w:top w:val="none" w:sz="0" w:space="0" w:color="auto"/>
        <w:left w:val="none" w:sz="0" w:space="0" w:color="auto"/>
        <w:bottom w:val="none" w:sz="0" w:space="0" w:color="auto"/>
        <w:right w:val="none" w:sz="0" w:space="0" w:color="auto"/>
      </w:divBdr>
    </w:div>
    <w:div w:id="1357120745">
      <w:marLeft w:val="0"/>
      <w:marRight w:val="0"/>
      <w:marTop w:val="0"/>
      <w:marBottom w:val="0"/>
      <w:divBdr>
        <w:top w:val="none" w:sz="0" w:space="0" w:color="auto"/>
        <w:left w:val="none" w:sz="0" w:space="0" w:color="auto"/>
        <w:bottom w:val="none" w:sz="0" w:space="0" w:color="auto"/>
        <w:right w:val="none" w:sz="0" w:space="0" w:color="auto"/>
      </w:divBdr>
      <w:divsChild>
        <w:div w:id="703335840">
          <w:marLeft w:val="0"/>
          <w:marRight w:val="0"/>
          <w:marTop w:val="60"/>
          <w:marBottom w:val="60"/>
          <w:divBdr>
            <w:top w:val="none" w:sz="0" w:space="0" w:color="auto"/>
            <w:left w:val="none" w:sz="0" w:space="0" w:color="auto"/>
            <w:bottom w:val="none" w:sz="0" w:space="0" w:color="auto"/>
            <w:right w:val="none" w:sz="0" w:space="0" w:color="auto"/>
          </w:divBdr>
        </w:div>
      </w:divsChild>
    </w:div>
    <w:div w:id="1357462171">
      <w:marLeft w:val="0"/>
      <w:marRight w:val="0"/>
      <w:marTop w:val="180"/>
      <w:marBottom w:val="180"/>
      <w:divBdr>
        <w:top w:val="none" w:sz="0" w:space="0" w:color="auto"/>
        <w:left w:val="none" w:sz="0" w:space="0" w:color="auto"/>
        <w:bottom w:val="none" w:sz="0" w:space="0" w:color="auto"/>
        <w:right w:val="none" w:sz="0" w:space="0" w:color="auto"/>
      </w:divBdr>
    </w:div>
    <w:div w:id="1358509883">
      <w:marLeft w:val="0"/>
      <w:marRight w:val="0"/>
      <w:marTop w:val="180"/>
      <w:marBottom w:val="180"/>
      <w:divBdr>
        <w:top w:val="none" w:sz="0" w:space="0" w:color="auto"/>
        <w:left w:val="none" w:sz="0" w:space="0" w:color="auto"/>
        <w:bottom w:val="none" w:sz="0" w:space="0" w:color="auto"/>
        <w:right w:val="none" w:sz="0" w:space="0" w:color="auto"/>
      </w:divBdr>
    </w:div>
    <w:div w:id="1359551081">
      <w:marLeft w:val="0"/>
      <w:marRight w:val="0"/>
      <w:marTop w:val="180"/>
      <w:marBottom w:val="0"/>
      <w:divBdr>
        <w:top w:val="none" w:sz="0" w:space="0" w:color="auto"/>
        <w:left w:val="none" w:sz="0" w:space="0" w:color="auto"/>
        <w:bottom w:val="none" w:sz="0" w:space="0" w:color="auto"/>
        <w:right w:val="none" w:sz="0" w:space="0" w:color="auto"/>
      </w:divBdr>
    </w:div>
    <w:div w:id="1360353879">
      <w:marLeft w:val="0"/>
      <w:marRight w:val="0"/>
      <w:marTop w:val="0"/>
      <w:marBottom w:val="0"/>
      <w:divBdr>
        <w:top w:val="none" w:sz="0" w:space="0" w:color="auto"/>
        <w:left w:val="none" w:sz="0" w:space="0" w:color="auto"/>
        <w:bottom w:val="none" w:sz="0" w:space="0" w:color="auto"/>
        <w:right w:val="none" w:sz="0" w:space="0" w:color="auto"/>
      </w:divBdr>
      <w:divsChild>
        <w:div w:id="1739281152">
          <w:marLeft w:val="0"/>
          <w:marRight w:val="0"/>
          <w:marTop w:val="180"/>
          <w:marBottom w:val="180"/>
          <w:divBdr>
            <w:top w:val="none" w:sz="0" w:space="0" w:color="auto"/>
            <w:left w:val="none" w:sz="0" w:space="0" w:color="auto"/>
            <w:bottom w:val="none" w:sz="0" w:space="0" w:color="auto"/>
            <w:right w:val="none" w:sz="0" w:space="0" w:color="auto"/>
          </w:divBdr>
        </w:div>
      </w:divsChild>
    </w:div>
    <w:div w:id="1363823912">
      <w:marLeft w:val="0"/>
      <w:marRight w:val="0"/>
      <w:marTop w:val="0"/>
      <w:marBottom w:val="0"/>
      <w:divBdr>
        <w:top w:val="none" w:sz="0" w:space="0" w:color="auto"/>
        <w:left w:val="none" w:sz="0" w:space="0" w:color="auto"/>
        <w:bottom w:val="none" w:sz="0" w:space="0" w:color="auto"/>
        <w:right w:val="none" w:sz="0" w:space="0" w:color="auto"/>
      </w:divBdr>
      <w:divsChild>
        <w:div w:id="877666565">
          <w:marLeft w:val="0"/>
          <w:marRight w:val="0"/>
          <w:marTop w:val="60"/>
          <w:marBottom w:val="60"/>
          <w:divBdr>
            <w:top w:val="none" w:sz="0" w:space="0" w:color="auto"/>
            <w:left w:val="none" w:sz="0" w:space="0" w:color="auto"/>
            <w:bottom w:val="none" w:sz="0" w:space="0" w:color="auto"/>
            <w:right w:val="none" w:sz="0" w:space="0" w:color="auto"/>
          </w:divBdr>
        </w:div>
      </w:divsChild>
    </w:div>
    <w:div w:id="1368679518">
      <w:marLeft w:val="0"/>
      <w:marRight w:val="0"/>
      <w:marTop w:val="60"/>
      <w:marBottom w:val="0"/>
      <w:divBdr>
        <w:top w:val="none" w:sz="0" w:space="0" w:color="auto"/>
        <w:left w:val="none" w:sz="0" w:space="0" w:color="auto"/>
        <w:bottom w:val="none" w:sz="0" w:space="0" w:color="auto"/>
        <w:right w:val="none" w:sz="0" w:space="0" w:color="auto"/>
      </w:divBdr>
    </w:div>
    <w:div w:id="1368750275">
      <w:marLeft w:val="0"/>
      <w:marRight w:val="0"/>
      <w:marTop w:val="180"/>
      <w:marBottom w:val="180"/>
      <w:divBdr>
        <w:top w:val="none" w:sz="0" w:space="0" w:color="auto"/>
        <w:left w:val="none" w:sz="0" w:space="0" w:color="auto"/>
        <w:bottom w:val="none" w:sz="0" w:space="0" w:color="auto"/>
        <w:right w:val="none" w:sz="0" w:space="0" w:color="auto"/>
      </w:divBdr>
    </w:div>
    <w:div w:id="1369989903">
      <w:marLeft w:val="0"/>
      <w:marRight w:val="0"/>
      <w:marTop w:val="180"/>
      <w:marBottom w:val="180"/>
      <w:divBdr>
        <w:top w:val="none" w:sz="0" w:space="0" w:color="auto"/>
        <w:left w:val="none" w:sz="0" w:space="0" w:color="auto"/>
        <w:bottom w:val="none" w:sz="0" w:space="0" w:color="auto"/>
        <w:right w:val="none" w:sz="0" w:space="0" w:color="auto"/>
      </w:divBdr>
    </w:div>
    <w:div w:id="1370182282">
      <w:marLeft w:val="0"/>
      <w:marRight w:val="0"/>
      <w:marTop w:val="180"/>
      <w:marBottom w:val="180"/>
      <w:divBdr>
        <w:top w:val="none" w:sz="0" w:space="0" w:color="auto"/>
        <w:left w:val="none" w:sz="0" w:space="0" w:color="auto"/>
        <w:bottom w:val="none" w:sz="0" w:space="0" w:color="auto"/>
        <w:right w:val="none" w:sz="0" w:space="0" w:color="auto"/>
      </w:divBdr>
    </w:div>
    <w:div w:id="1372655368">
      <w:marLeft w:val="0"/>
      <w:marRight w:val="0"/>
      <w:marTop w:val="180"/>
      <w:marBottom w:val="180"/>
      <w:divBdr>
        <w:top w:val="none" w:sz="0" w:space="0" w:color="auto"/>
        <w:left w:val="none" w:sz="0" w:space="0" w:color="auto"/>
        <w:bottom w:val="none" w:sz="0" w:space="0" w:color="auto"/>
        <w:right w:val="none" w:sz="0" w:space="0" w:color="auto"/>
      </w:divBdr>
    </w:div>
    <w:div w:id="1376852362">
      <w:marLeft w:val="0"/>
      <w:marRight w:val="0"/>
      <w:marTop w:val="0"/>
      <w:marBottom w:val="0"/>
      <w:divBdr>
        <w:top w:val="none" w:sz="0" w:space="0" w:color="auto"/>
        <w:left w:val="none" w:sz="0" w:space="0" w:color="auto"/>
        <w:bottom w:val="none" w:sz="0" w:space="0" w:color="auto"/>
        <w:right w:val="none" w:sz="0" w:space="0" w:color="auto"/>
      </w:divBdr>
      <w:divsChild>
        <w:div w:id="2106418065">
          <w:marLeft w:val="0"/>
          <w:marRight w:val="0"/>
          <w:marTop w:val="0"/>
          <w:marBottom w:val="0"/>
          <w:divBdr>
            <w:top w:val="none" w:sz="0" w:space="0" w:color="auto"/>
            <w:left w:val="none" w:sz="0" w:space="0" w:color="auto"/>
            <w:bottom w:val="none" w:sz="0" w:space="0" w:color="auto"/>
            <w:right w:val="none" w:sz="0" w:space="0" w:color="auto"/>
          </w:divBdr>
          <w:divsChild>
            <w:div w:id="52876482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77046205">
      <w:marLeft w:val="0"/>
      <w:marRight w:val="0"/>
      <w:marTop w:val="0"/>
      <w:marBottom w:val="0"/>
      <w:divBdr>
        <w:top w:val="none" w:sz="0" w:space="0" w:color="auto"/>
        <w:left w:val="none" w:sz="0" w:space="0" w:color="auto"/>
        <w:bottom w:val="none" w:sz="0" w:space="0" w:color="auto"/>
        <w:right w:val="none" w:sz="0" w:space="0" w:color="auto"/>
      </w:divBdr>
      <w:divsChild>
        <w:div w:id="505827272">
          <w:marLeft w:val="0"/>
          <w:marRight w:val="0"/>
          <w:marTop w:val="0"/>
          <w:marBottom w:val="0"/>
          <w:divBdr>
            <w:top w:val="none" w:sz="0" w:space="0" w:color="auto"/>
            <w:left w:val="none" w:sz="0" w:space="0" w:color="auto"/>
            <w:bottom w:val="none" w:sz="0" w:space="0" w:color="auto"/>
            <w:right w:val="none" w:sz="0" w:space="0" w:color="auto"/>
          </w:divBdr>
          <w:divsChild>
            <w:div w:id="27852928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79353594">
      <w:marLeft w:val="0"/>
      <w:marRight w:val="0"/>
      <w:marTop w:val="0"/>
      <w:marBottom w:val="0"/>
      <w:divBdr>
        <w:top w:val="none" w:sz="0" w:space="0" w:color="auto"/>
        <w:left w:val="none" w:sz="0" w:space="0" w:color="auto"/>
        <w:bottom w:val="none" w:sz="0" w:space="0" w:color="auto"/>
        <w:right w:val="none" w:sz="0" w:space="0" w:color="auto"/>
      </w:divBdr>
      <w:divsChild>
        <w:div w:id="631714641">
          <w:marLeft w:val="0"/>
          <w:marRight w:val="0"/>
          <w:marTop w:val="60"/>
          <w:marBottom w:val="60"/>
          <w:divBdr>
            <w:top w:val="none" w:sz="0" w:space="0" w:color="auto"/>
            <w:left w:val="none" w:sz="0" w:space="0" w:color="auto"/>
            <w:bottom w:val="none" w:sz="0" w:space="0" w:color="auto"/>
            <w:right w:val="none" w:sz="0" w:space="0" w:color="auto"/>
          </w:divBdr>
        </w:div>
      </w:divsChild>
    </w:div>
    <w:div w:id="1383821130">
      <w:marLeft w:val="0"/>
      <w:marRight w:val="0"/>
      <w:marTop w:val="180"/>
      <w:marBottom w:val="180"/>
      <w:divBdr>
        <w:top w:val="none" w:sz="0" w:space="0" w:color="auto"/>
        <w:left w:val="none" w:sz="0" w:space="0" w:color="auto"/>
        <w:bottom w:val="none" w:sz="0" w:space="0" w:color="auto"/>
        <w:right w:val="none" w:sz="0" w:space="0" w:color="auto"/>
      </w:divBdr>
    </w:div>
    <w:div w:id="1384137856">
      <w:marLeft w:val="0"/>
      <w:marRight w:val="0"/>
      <w:marTop w:val="0"/>
      <w:marBottom w:val="0"/>
      <w:divBdr>
        <w:top w:val="none" w:sz="0" w:space="0" w:color="auto"/>
        <w:left w:val="none" w:sz="0" w:space="0" w:color="auto"/>
        <w:bottom w:val="none" w:sz="0" w:space="0" w:color="auto"/>
        <w:right w:val="none" w:sz="0" w:space="0" w:color="auto"/>
      </w:divBdr>
    </w:div>
    <w:div w:id="1385786657">
      <w:marLeft w:val="0"/>
      <w:marRight w:val="0"/>
      <w:marTop w:val="180"/>
      <w:marBottom w:val="180"/>
      <w:divBdr>
        <w:top w:val="none" w:sz="0" w:space="0" w:color="auto"/>
        <w:left w:val="none" w:sz="0" w:space="0" w:color="auto"/>
        <w:bottom w:val="none" w:sz="0" w:space="0" w:color="auto"/>
        <w:right w:val="none" w:sz="0" w:space="0" w:color="auto"/>
      </w:divBdr>
    </w:div>
    <w:div w:id="1388531081">
      <w:marLeft w:val="0"/>
      <w:marRight w:val="0"/>
      <w:marTop w:val="60"/>
      <w:marBottom w:val="0"/>
      <w:divBdr>
        <w:top w:val="none" w:sz="0" w:space="0" w:color="auto"/>
        <w:left w:val="none" w:sz="0" w:space="0" w:color="auto"/>
        <w:bottom w:val="none" w:sz="0" w:space="0" w:color="auto"/>
        <w:right w:val="none" w:sz="0" w:space="0" w:color="auto"/>
      </w:divBdr>
    </w:div>
    <w:div w:id="1389650661">
      <w:marLeft w:val="0"/>
      <w:marRight w:val="0"/>
      <w:marTop w:val="0"/>
      <w:marBottom w:val="0"/>
      <w:divBdr>
        <w:top w:val="none" w:sz="0" w:space="0" w:color="auto"/>
        <w:left w:val="none" w:sz="0" w:space="0" w:color="auto"/>
        <w:bottom w:val="none" w:sz="0" w:space="0" w:color="auto"/>
        <w:right w:val="none" w:sz="0" w:space="0" w:color="auto"/>
      </w:divBdr>
      <w:divsChild>
        <w:div w:id="2024670601">
          <w:marLeft w:val="0"/>
          <w:marRight w:val="0"/>
          <w:marTop w:val="60"/>
          <w:marBottom w:val="60"/>
          <w:divBdr>
            <w:top w:val="none" w:sz="0" w:space="0" w:color="auto"/>
            <w:left w:val="none" w:sz="0" w:space="0" w:color="auto"/>
            <w:bottom w:val="none" w:sz="0" w:space="0" w:color="auto"/>
            <w:right w:val="none" w:sz="0" w:space="0" w:color="auto"/>
          </w:divBdr>
        </w:div>
      </w:divsChild>
    </w:div>
    <w:div w:id="1391418076">
      <w:marLeft w:val="0"/>
      <w:marRight w:val="0"/>
      <w:marTop w:val="0"/>
      <w:marBottom w:val="0"/>
      <w:divBdr>
        <w:top w:val="none" w:sz="0" w:space="0" w:color="auto"/>
        <w:left w:val="none" w:sz="0" w:space="0" w:color="auto"/>
        <w:bottom w:val="none" w:sz="0" w:space="0" w:color="auto"/>
        <w:right w:val="none" w:sz="0" w:space="0" w:color="auto"/>
      </w:divBdr>
      <w:divsChild>
        <w:div w:id="807093341">
          <w:marLeft w:val="0"/>
          <w:marRight w:val="0"/>
          <w:marTop w:val="60"/>
          <w:marBottom w:val="60"/>
          <w:divBdr>
            <w:top w:val="none" w:sz="0" w:space="0" w:color="auto"/>
            <w:left w:val="none" w:sz="0" w:space="0" w:color="auto"/>
            <w:bottom w:val="none" w:sz="0" w:space="0" w:color="auto"/>
            <w:right w:val="none" w:sz="0" w:space="0" w:color="auto"/>
          </w:divBdr>
        </w:div>
      </w:divsChild>
    </w:div>
    <w:div w:id="1392268705">
      <w:marLeft w:val="0"/>
      <w:marRight w:val="0"/>
      <w:marTop w:val="60"/>
      <w:marBottom w:val="60"/>
      <w:divBdr>
        <w:top w:val="none" w:sz="0" w:space="0" w:color="auto"/>
        <w:left w:val="none" w:sz="0" w:space="0" w:color="auto"/>
        <w:bottom w:val="none" w:sz="0" w:space="0" w:color="auto"/>
        <w:right w:val="none" w:sz="0" w:space="0" w:color="auto"/>
      </w:divBdr>
    </w:div>
    <w:div w:id="1392343686">
      <w:marLeft w:val="0"/>
      <w:marRight w:val="0"/>
      <w:marTop w:val="0"/>
      <w:marBottom w:val="0"/>
      <w:divBdr>
        <w:top w:val="none" w:sz="0" w:space="0" w:color="auto"/>
        <w:left w:val="none" w:sz="0" w:space="0" w:color="auto"/>
        <w:bottom w:val="none" w:sz="0" w:space="0" w:color="auto"/>
        <w:right w:val="none" w:sz="0" w:space="0" w:color="auto"/>
      </w:divBdr>
    </w:div>
    <w:div w:id="1393429467">
      <w:marLeft w:val="0"/>
      <w:marRight w:val="0"/>
      <w:marTop w:val="180"/>
      <w:marBottom w:val="180"/>
      <w:divBdr>
        <w:top w:val="none" w:sz="0" w:space="0" w:color="auto"/>
        <w:left w:val="none" w:sz="0" w:space="0" w:color="auto"/>
        <w:bottom w:val="none" w:sz="0" w:space="0" w:color="auto"/>
        <w:right w:val="none" w:sz="0" w:space="0" w:color="auto"/>
      </w:divBdr>
    </w:div>
    <w:div w:id="1396200894">
      <w:marLeft w:val="0"/>
      <w:marRight w:val="0"/>
      <w:marTop w:val="100"/>
      <w:marBottom w:val="0"/>
      <w:divBdr>
        <w:top w:val="none" w:sz="0" w:space="0" w:color="auto"/>
        <w:left w:val="none" w:sz="0" w:space="0" w:color="auto"/>
        <w:bottom w:val="none" w:sz="0" w:space="0" w:color="auto"/>
        <w:right w:val="none" w:sz="0" w:space="0" w:color="auto"/>
      </w:divBdr>
      <w:divsChild>
        <w:div w:id="1507011318">
          <w:marLeft w:val="0"/>
          <w:marRight w:val="0"/>
          <w:marTop w:val="0"/>
          <w:marBottom w:val="0"/>
          <w:divBdr>
            <w:top w:val="none" w:sz="0" w:space="0" w:color="auto"/>
            <w:left w:val="none" w:sz="0" w:space="0" w:color="auto"/>
            <w:bottom w:val="none" w:sz="0" w:space="0" w:color="auto"/>
            <w:right w:val="none" w:sz="0" w:space="0" w:color="auto"/>
          </w:divBdr>
        </w:div>
      </w:divsChild>
    </w:div>
    <w:div w:id="1396584256">
      <w:marLeft w:val="0"/>
      <w:marRight w:val="0"/>
      <w:marTop w:val="180"/>
      <w:marBottom w:val="180"/>
      <w:divBdr>
        <w:top w:val="none" w:sz="0" w:space="0" w:color="auto"/>
        <w:left w:val="none" w:sz="0" w:space="0" w:color="auto"/>
        <w:bottom w:val="none" w:sz="0" w:space="0" w:color="auto"/>
        <w:right w:val="none" w:sz="0" w:space="0" w:color="auto"/>
      </w:divBdr>
    </w:div>
    <w:div w:id="1398551630">
      <w:marLeft w:val="0"/>
      <w:marRight w:val="0"/>
      <w:marTop w:val="180"/>
      <w:marBottom w:val="180"/>
      <w:divBdr>
        <w:top w:val="none" w:sz="0" w:space="0" w:color="auto"/>
        <w:left w:val="none" w:sz="0" w:space="0" w:color="auto"/>
        <w:bottom w:val="none" w:sz="0" w:space="0" w:color="auto"/>
        <w:right w:val="none" w:sz="0" w:space="0" w:color="auto"/>
      </w:divBdr>
    </w:div>
    <w:div w:id="1400247876">
      <w:marLeft w:val="0"/>
      <w:marRight w:val="0"/>
      <w:marTop w:val="0"/>
      <w:marBottom w:val="0"/>
      <w:divBdr>
        <w:top w:val="none" w:sz="0" w:space="0" w:color="auto"/>
        <w:left w:val="none" w:sz="0" w:space="0" w:color="auto"/>
        <w:bottom w:val="none" w:sz="0" w:space="0" w:color="auto"/>
        <w:right w:val="none" w:sz="0" w:space="0" w:color="auto"/>
      </w:divBdr>
    </w:div>
    <w:div w:id="1400900599">
      <w:marLeft w:val="0"/>
      <w:marRight w:val="0"/>
      <w:marTop w:val="0"/>
      <w:marBottom w:val="0"/>
      <w:divBdr>
        <w:top w:val="none" w:sz="0" w:space="0" w:color="auto"/>
        <w:left w:val="none" w:sz="0" w:space="0" w:color="auto"/>
        <w:bottom w:val="none" w:sz="0" w:space="0" w:color="auto"/>
        <w:right w:val="none" w:sz="0" w:space="0" w:color="auto"/>
      </w:divBdr>
      <w:divsChild>
        <w:div w:id="1762608372">
          <w:marLeft w:val="0"/>
          <w:marRight w:val="0"/>
          <w:marTop w:val="0"/>
          <w:marBottom w:val="0"/>
          <w:divBdr>
            <w:top w:val="none" w:sz="0" w:space="0" w:color="auto"/>
            <w:left w:val="none" w:sz="0" w:space="0" w:color="auto"/>
            <w:bottom w:val="none" w:sz="0" w:space="0" w:color="auto"/>
            <w:right w:val="none" w:sz="0" w:space="0" w:color="auto"/>
          </w:divBdr>
          <w:divsChild>
            <w:div w:id="44161069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02286885">
      <w:marLeft w:val="0"/>
      <w:marRight w:val="0"/>
      <w:marTop w:val="180"/>
      <w:marBottom w:val="180"/>
      <w:divBdr>
        <w:top w:val="none" w:sz="0" w:space="0" w:color="auto"/>
        <w:left w:val="none" w:sz="0" w:space="0" w:color="auto"/>
        <w:bottom w:val="none" w:sz="0" w:space="0" w:color="auto"/>
        <w:right w:val="none" w:sz="0" w:space="0" w:color="auto"/>
      </w:divBdr>
    </w:div>
    <w:div w:id="1402287957">
      <w:marLeft w:val="0"/>
      <w:marRight w:val="0"/>
      <w:marTop w:val="60"/>
      <w:marBottom w:val="60"/>
      <w:divBdr>
        <w:top w:val="none" w:sz="0" w:space="0" w:color="auto"/>
        <w:left w:val="none" w:sz="0" w:space="0" w:color="auto"/>
        <w:bottom w:val="none" w:sz="0" w:space="0" w:color="auto"/>
        <w:right w:val="none" w:sz="0" w:space="0" w:color="auto"/>
      </w:divBdr>
    </w:div>
    <w:div w:id="1403018814">
      <w:marLeft w:val="0"/>
      <w:marRight w:val="0"/>
      <w:marTop w:val="180"/>
      <w:marBottom w:val="180"/>
      <w:divBdr>
        <w:top w:val="none" w:sz="0" w:space="0" w:color="auto"/>
        <w:left w:val="none" w:sz="0" w:space="0" w:color="auto"/>
        <w:bottom w:val="none" w:sz="0" w:space="0" w:color="auto"/>
        <w:right w:val="none" w:sz="0" w:space="0" w:color="auto"/>
      </w:divBdr>
    </w:div>
    <w:div w:id="1403022253">
      <w:marLeft w:val="0"/>
      <w:marRight w:val="0"/>
      <w:marTop w:val="180"/>
      <w:marBottom w:val="180"/>
      <w:divBdr>
        <w:top w:val="none" w:sz="0" w:space="0" w:color="auto"/>
        <w:left w:val="none" w:sz="0" w:space="0" w:color="auto"/>
        <w:bottom w:val="none" w:sz="0" w:space="0" w:color="auto"/>
        <w:right w:val="none" w:sz="0" w:space="0" w:color="auto"/>
      </w:divBdr>
    </w:div>
    <w:div w:id="1405638677">
      <w:marLeft w:val="0"/>
      <w:marRight w:val="0"/>
      <w:marTop w:val="180"/>
      <w:marBottom w:val="60"/>
      <w:divBdr>
        <w:top w:val="none" w:sz="0" w:space="0" w:color="auto"/>
        <w:left w:val="none" w:sz="0" w:space="0" w:color="auto"/>
        <w:bottom w:val="none" w:sz="0" w:space="0" w:color="auto"/>
        <w:right w:val="none" w:sz="0" w:space="0" w:color="auto"/>
      </w:divBdr>
    </w:div>
    <w:div w:id="1405646258">
      <w:marLeft w:val="0"/>
      <w:marRight w:val="0"/>
      <w:marTop w:val="0"/>
      <w:marBottom w:val="0"/>
      <w:divBdr>
        <w:top w:val="none" w:sz="0" w:space="0" w:color="auto"/>
        <w:left w:val="none" w:sz="0" w:space="0" w:color="auto"/>
        <w:bottom w:val="none" w:sz="0" w:space="0" w:color="auto"/>
        <w:right w:val="none" w:sz="0" w:space="0" w:color="auto"/>
      </w:divBdr>
    </w:div>
    <w:div w:id="1405755652">
      <w:marLeft w:val="0"/>
      <w:marRight w:val="0"/>
      <w:marTop w:val="180"/>
      <w:marBottom w:val="180"/>
      <w:divBdr>
        <w:top w:val="none" w:sz="0" w:space="0" w:color="auto"/>
        <w:left w:val="none" w:sz="0" w:space="0" w:color="auto"/>
        <w:bottom w:val="none" w:sz="0" w:space="0" w:color="auto"/>
        <w:right w:val="none" w:sz="0" w:space="0" w:color="auto"/>
      </w:divBdr>
    </w:div>
    <w:div w:id="1408042230">
      <w:marLeft w:val="0"/>
      <w:marRight w:val="0"/>
      <w:marTop w:val="180"/>
      <w:marBottom w:val="180"/>
      <w:divBdr>
        <w:top w:val="none" w:sz="0" w:space="0" w:color="auto"/>
        <w:left w:val="none" w:sz="0" w:space="0" w:color="auto"/>
        <w:bottom w:val="none" w:sz="0" w:space="0" w:color="auto"/>
        <w:right w:val="none" w:sz="0" w:space="0" w:color="auto"/>
      </w:divBdr>
    </w:div>
    <w:div w:id="1409690680">
      <w:marLeft w:val="0"/>
      <w:marRight w:val="0"/>
      <w:marTop w:val="180"/>
      <w:marBottom w:val="180"/>
      <w:divBdr>
        <w:top w:val="none" w:sz="0" w:space="0" w:color="auto"/>
        <w:left w:val="none" w:sz="0" w:space="0" w:color="auto"/>
        <w:bottom w:val="none" w:sz="0" w:space="0" w:color="auto"/>
        <w:right w:val="none" w:sz="0" w:space="0" w:color="auto"/>
      </w:divBdr>
    </w:div>
    <w:div w:id="1411266444">
      <w:marLeft w:val="0"/>
      <w:marRight w:val="0"/>
      <w:marTop w:val="180"/>
      <w:marBottom w:val="60"/>
      <w:divBdr>
        <w:top w:val="none" w:sz="0" w:space="0" w:color="auto"/>
        <w:left w:val="none" w:sz="0" w:space="0" w:color="auto"/>
        <w:bottom w:val="none" w:sz="0" w:space="0" w:color="auto"/>
        <w:right w:val="none" w:sz="0" w:space="0" w:color="auto"/>
      </w:divBdr>
    </w:div>
    <w:div w:id="1412897073">
      <w:marLeft w:val="0"/>
      <w:marRight w:val="0"/>
      <w:marTop w:val="60"/>
      <w:marBottom w:val="60"/>
      <w:divBdr>
        <w:top w:val="none" w:sz="0" w:space="0" w:color="auto"/>
        <w:left w:val="none" w:sz="0" w:space="0" w:color="auto"/>
        <w:bottom w:val="none" w:sz="0" w:space="0" w:color="auto"/>
        <w:right w:val="none" w:sz="0" w:space="0" w:color="auto"/>
      </w:divBdr>
    </w:div>
    <w:div w:id="1414544168">
      <w:marLeft w:val="0"/>
      <w:marRight w:val="0"/>
      <w:marTop w:val="180"/>
      <w:marBottom w:val="180"/>
      <w:divBdr>
        <w:top w:val="none" w:sz="0" w:space="0" w:color="auto"/>
        <w:left w:val="none" w:sz="0" w:space="0" w:color="auto"/>
        <w:bottom w:val="none" w:sz="0" w:space="0" w:color="auto"/>
        <w:right w:val="none" w:sz="0" w:space="0" w:color="auto"/>
      </w:divBdr>
    </w:div>
    <w:div w:id="1415200978">
      <w:marLeft w:val="0"/>
      <w:marRight w:val="0"/>
      <w:marTop w:val="180"/>
      <w:marBottom w:val="180"/>
      <w:divBdr>
        <w:top w:val="none" w:sz="0" w:space="0" w:color="auto"/>
        <w:left w:val="none" w:sz="0" w:space="0" w:color="auto"/>
        <w:bottom w:val="none" w:sz="0" w:space="0" w:color="auto"/>
        <w:right w:val="none" w:sz="0" w:space="0" w:color="auto"/>
      </w:divBdr>
    </w:div>
    <w:div w:id="1417239575">
      <w:marLeft w:val="0"/>
      <w:marRight w:val="0"/>
      <w:marTop w:val="180"/>
      <w:marBottom w:val="180"/>
      <w:divBdr>
        <w:top w:val="none" w:sz="0" w:space="0" w:color="auto"/>
        <w:left w:val="none" w:sz="0" w:space="0" w:color="auto"/>
        <w:bottom w:val="none" w:sz="0" w:space="0" w:color="auto"/>
        <w:right w:val="none" w:sz="0" w:space="0" w:color="auto"/>
      </w:divBdr>
    </w:div>
    <w:div w:id="1417435323">
      <w:marLeft w:val="0"/>
      <w:marRight w:val="0"/>
      <w:marTop w:val="140"/>
      <w:marBottom w:val="180"/>
      <w:divBdr>
        <w:top w:val="none" w:sz="0" w:space="0" w:color="auto"/>
        <w:left w:val="none" w:sz="0" w:space="0" w:color="auto"/>
        <w:bottom w:val="none" w:sz="0" w:space="0" w:color="auto"/>
        <w:right w:val="none" w:sz="0" w:space="0" w:color="auto"/>
      </w:divBdr>
    </w:div>
    <w:div w:id="1424304105">
      <w:marLeft w:val="0"/>
      <w:marRight w:val="0"/>
      <w:marTop w:val="0"/>
      <w:marBottom w:val="0"/>
      <w:divBdr>
        <w:top w:val="none" w:sz="0" w:space="0" w:color="auto"/>
        <w:left w:val="none" w:sz="0" w:space="0" w:color="auto"/>
        <w:bottom w:val="none" w:sz="0" w:space="0" w:color="auto"/>
        <w:right w:val="none" w:sz="0" w:space="0" w:color="auto"/>
      </w:divBdr>
    </w:div>
    <w:div w:id="1425759539">
      <w:marLeft w:val="0"/>
      <w:marRight w:val="0"/>
      <w:marTop w:val="180"/>
      <w:marBottom w:val="180"/>
      <w:divBdr>
        <w:top w:val="none" w:sz="0" w:space="0" w:color="auto"/>
        <w:left w:val="none" w:sz="0" w:space="0" w:color="auto"/>
        <w:bottom w:val="none" w:sz="0" w:space="0" w:color="auto"/>
        <w:right w:val="none" w:sz="0" w:space="0" w:color="auto"/>
      </w:divBdr>
    </w:div>
    <w:div w:id="1427537393">
      <w:marLeft w:val="0"/>
      <w:marRight w:val="0"/>
      <w:marTop w:val="100"/>
      <w:marBottom w:val="0"/>
      <w:divBdr>
        <w:top w:val="none" w:sz="0" w:space="0" w:color="auto"/>
        <w:left w:val="none" w:sz="0" w:space="0" w:color="auto"/>
        <w:bottom w:val="none" w:sz="0" w:space="0" w:color="auto"/>
        <w:right w:val="none" w:sz="0" w:space="0" w:color="auto"/>
      </w:divBdr>
      <w:divsChild>
        <w:div w:id="666328103">
          <w:marLeft w:val="0"/>
          <w:marRight w:val="0"/>
          <w:marTop w:val="0"/>
          <w:marBottom w:val="0"/>
          <w:divBdr>
            <w:top w:val="none" w:sz="0" w:space="0" w:color="auto"/>
            <w:left w:val="none" w:sz="0" w:space="0" w:color="auto"/>
            <w:bottom w:val="none" w:sz="0" w:space="0" w:color="auto"/>
            <w:right w:val="none" w:sz="0" w:space="0" w:color="auto"/>
          </w:divBdr>
        </w:div>
        <w:div w:id="1977374382">
          <w:marLeft w:val="0"/>
          <w:marRight w:val="0"/>
          <w:marTop w:val="0"/>
          <w:marBottom w:val="0"/>
          <w:divBdr>
            <w:top w:val="none" w:sz="0" w:space="0" w:color="auto"/>
            <w:left w:val="none" w:sz="0" w:space="0" w:color="auto"/>
            <w:bottom w:val="none" w:sz="0" w:space="0" w:color="auto"/>
            <w:right w:val="none" w:sz="0" w:space="0" w:color="auto"/>
          </w:divBdr>
        </w:div>
      </w:divsChild>
    </w:div>
    <w:div w:id="1428112469">
      <w:marLeft w:val="0"/>
      <w:marRight w:val="0"/>
      <w:marTop w:val="60"/>
      <w:marBottom w:val="60"/>
      <w:divBdr>
        <w:top w:val="none" w:sz="0" w:space="0" w:color="auto"/>
        <w:left w:val="none" w:sz="0" w:space="0" w:color="auto"/>
        <w:bottom w:val="none" w:sz="0" w:space="0" w:color="auto"/>
        <w:right w:val="none" w:sz="0" w:space="0" w:color="auto"/>
      </w:divBdr>
    </w:div>
    <w:div w:id="1428691322">
      <w:marLeft w:val="0"/>
      <w:marRight w:val="0"/>
      <w:marTop w:val="0"/>
      <w:marBottom w:val="60"/>
      <w:divBdr>
        <w:top w:val="none" w:sz="0" w:space="0" w:color="auto"/>
        <w:left w:val="none" w:sz="0" w:space="0" w:color="auto"/>
        <w:bottom w:val="none" w:sz="0" w:space="0" w:color="auto"/>
        <w:right w:val="none" w:sz="0" w:space="0" w:color="auto"/>
      </w:divBdr>
    </w:div>
    <w:div w:id="1430464364">
      <w:marLeft w:val="0"/>
      <w:marRight w:val="0"/>
      <w:marTop w:val="0"/>
      <w:marBottom w:val="0"/>
      <w:divBdr>
        <w:top w:val="none" w:sz="0" w:space="0" w:color="auto"/>
        <w:left w:val="none" w:sz="0" w:space="0" w:color="auto"/>
        <w:bottom w:val="none" w:sz="0" w:space="0" w:color="auto"/>
        <w:right w:val="none" w:sz="0" w:space="0" w:color="auto"/>
      </w:divBdr>
    </w:div>
    <w:div w:id="1431779710">
      <w:marLeft w:val="0"/>
      <w:marRight w:val="0"/>
      <w:marTop w:val="180"/>
      <w:marBottom w:val="180"/>
      <w:divBdr>
        <w:top w:val="none" w:sz="0" w:space="0" w:color="auto"/>
        <w:left w:val="none" w:sz="0" w:space="0" w:color="auto"/>
        <w:bottom w:val="none" w:sz="0" w:space="0" w:color="auto"/>
        <w:right w:val="none" w:sz="0" w:space="0" w:color="auto"/>
      </w:divBdr>
    </w:div>
    <w:div w:id="1432316172">
      <w:marLeft w:val="0"/>
      <w:marRight w:val="0"/>
      <w:marTop w:val="180"/>
      <w:marBottom w:val="180"/>
      <w:divBdr>
        <w:top w:val="none" w:sz="0" w:space="0" w:color="auto"/>
        <w:left w:val="none" w:sz="0" w:space="0" w:color="auto"/>
        <w:bottom w:val="none" w:sz="0" w:space="0" w:color="auto"/>
        <w:right w:val="none" w:sz="0" w:space="0" w:color="auto"/>
      </w:divBdr>
    </w:div>
    <w:div w:id="1436098552">
      <w:marLeft w:val="0"/>
      <w:marRight w:val="0"/>
      <w:marTop w:val="180"/>
      <w:marBottom w:val="180"/>
      <w:divBdr>
        <w:top w:val="none" w:sz="0" w:space="0" w:color="auto"/>
        <w:left w:val="none" w:sz="0" w:space="0" w:color="auto"/>
        <w:bottom w:val="none" w:sz="0" w:space="0" w:color="auto"/>
        <w:right w:val="none" w:sz="0" w:space="0" w:color="auto"/>
      </w:divBdr>
    </w:div>
    <w:div w:id="1439981385">
      <w:marLeft w:val="0"/>
      <w:marRight w:val="0"/>
      <w:marTop w:val="180"/>
      <w:marBottom w:val="180"/>
      <w:divBdr>
        <w:top w:val="none" w:sz="0" w:space="0" w:color="auto"/>
        <w:left w:val="none" w:sz="0" w:space="0" w:color="auto"/>
        <w:bottom w:val="none" w:sz="0" w:space="0" w:color="auto"/>
        <w:right w:val="none" w:sz="0" w:space="0" w:color="auto"/>
      </w:divBdr>
    </w:div>
    <w:div w:id="1440878468">
      <w:marLeft w:val="0"/>
      <w:marRight w:val="0"/>
      <w:marTop w:val="180"/>
      <w:marBottom w:val="180"/>
      <w:divBdr>
        <w:top w:val="none" w:sz="0" w:space="0" w:color="auto"/>
        <w:left w:val="none" w:sz="0" w:space="0" w:color="auto"/>
        <w:bottom w:val="none" w:sz="0" w:space="0" w:color="auto"/>
        <w:right w:val="none" w:sz="0" w:space="0" w:color="auto"/>
      </w:divBdr>
    </w:div>
    <w:div w:id="1442532302">
      <w:marLeft w:val="0"/>
      <w:marRight w:val="0"/>
      <w:marTop w:val="0"/>
      <w:marBottom w:val="0"/>
      <w:divBdr>
        <w:top w:val="none" w:sz="0" w:space="0" w:color="auto"/>
        <w:left w:val="none" w:sz="0" w:space="0" w:color="auto"/>
        <w:bottom w:val="none" w:sz="0" w:space="0" w:color="auto"/>
        <w:right w:val="none" w:sz="0" w:space="0" w:color="auto"/>
      </w:divBdr>
      <w:divsChild>
        <w:div w:id="2131900012">
          <w:marLeft w:val="0"/>
          <w:marRight w:val="0"/>
          <w:marTop w:val="60"/>
          <w:marBottom w:val="60"/>
          <w:divBdr>
            <w:top w:val="none" w:sz="0" w:space="0" w:color="auto"/>
            <w:left w:val="none" w:sz="0" w:space="0" w:color="auto"/>
            <w:bottom w:val="none" w:sz="0" w:space="0" w:color="auto"/>
            <w:right w:val="none" w:sz="0" w:space="0" w:color="auto"/>
          </w:divBdr>
        </w:div>
      </w:divsChild>
    </w:div>
    <w:div w:id="1445808226">
      <w:marLeft w:val="0"/>
      <w:marRight w:val="0"/>
      <w:marTop w:val="0"/>
      <w:marBottom w:val="0"/>
      <w:divBdr>
        <w:top w:val="none" w:sz="0" w:space="0" w:color="auto"/>
        <w:left w:val="none" w:sz="0" w:space="0" w:color="auto"/>
        <w:bottom w:val="none" w:sz="0" w:space="0" w:color="auto"/>
        <w:right w:val="none" w:sz="0" w:space="0" w:color="auto"/>
      </w:divBdr>
      <w:divsChild>
        <w:div w:id="370763982">
          <w:marLeft w:val="0"/>
          <w:marRight w:val="0"/>
          <w:marTop w:val="60"/>
          <w:marBottom w:val="60"/>
          <w:divBdr>
            <w:top w:val="none" w:sz="0" w:space="0" w:color="auto"/>
            <w:left w:val="none" w:sz="0" w:space="0" w:color="auto"/>
            <w:bottom w:val="none" w:sz="0" w:space="0" w:color="auto"/>
            <w:right w:val="none" w:sz="0" w:space="0" w:color="auto"/>
          </w:divBdr>
        </w:div>
      </w:divsChild>
    </w:div>
    <w:div w:id="1446000401">
      <w:marLeft w:val="0"/>
      <w:marRight w:val="0"/>
      <w:marTop w:val="180"/>
      <w:marBottom w:val="180"/>
      <w:divBdr>
        <w:top w:val="none" w:sz="0" w:space="0" w:color="auto"/>
        <w:left w:val="none" w:sz="0" w:space="0" w:color="auto"/>
        <w:bottom w:val="none" w:sz="0" w:space="0" w:color="auto"/>
        <w:right w:val="none" w:sz="0" w:space="0" w:color="auto"/>
      </w:divBdr>
    </w:div>
    <w:div w:id="1446148525">
      <w:marLeft w:val="0"/>
      <w:marRight w:val="0"/>
      <w:marTop w:val="60"/>
      <w:marBottom w:val="60"/>
      <w:divBdr>
        <w:top w:val="none" w:sz="0" w:space="0" w:color="auto"/>
        <w:left w:val="none" w:sz="0" w:space="0" w:color="auto"/>
        <w:bottom w:val="none" w:sz="0" w:space="0" w:color="auto"/>
        <w:right w:val="none" w:sz="0" w:space="0" w:color="auto"/>
      </w:divBdr>
    </w:div>
    <w:div w:id="1448550618">
      <w:marLeft w:val="0"/>
      <w:marRight w:val="0"/>
      <w:marTop w:val="180"/>
      <w:marBottom w:val="180"/>
      <w:divBdr>
        <w:top w:val="none" w:sz="0" w:space="0" w:color="auto"/>
        <w:left w:val="none" w:sz="0" w:space="0" w:color="auto"/>
        <w:bottom w:val="none" w:sz="0" w:space="0" w:color="auto"/>
        <w:right w:val="none" w:sz="0" w:space="0" w:color="auto"/>
      </w:divBdr>
    </w:div>
    <w:div w:id="1449618233">
      <w:marLeft w:val="0"/>
      <w:marRight w:val="0"/>
      <w:marTop w:val="0"/>
      <w:marBottom w:val="0"/>
      <w:divBdr>
        <w:top w:val="none" w:sz="0" w:space="0" w:color="auto"/>
        <w:left w:val="none" w:sz="0" w:space="0" w:color="auto"/>
        <w:bottom w:val="none" w:sz="0" w:space="0" w:color="auto"/>
        <w:right w:val="none" w:sz="0" w:space="0" w:color="auto"/>
      </w:divBdr>
    </w:div>
    <w:div w:id="1451630700">
      <w:marLeft w:val="0"/>
      <w:marRight w:val="0"/>
      <w:marTop w:val="60"/>
      <w:marBottom w:val="60"/>
      <w:divBdr>
        <w:top w:val="none" w:sz="0" w:space="0" w:color="auto"/>
        <w:left w:val="none" w:sz="0" w:space="0" w:color="auto"/>
        <w:bottom w:val="none" w:sz="0" w:space="0" w:color="auto"/>
        <w:right w:val="none" w:sz="0" w:space="0" w:color="auto"/>
      </w:divBdr>
    </w:div>
    <w:div w:id="1452047113">
      <w:marLeft w:val="0"/>
      <w:marRight w:val="0"/>
      <w:marTop w:val="180"/>
      <w:marBottom w:val="180"/>
      <w:divBdr>
        <w:top w:val="none" w:sz="0" w:space="0" w:color="auto"/>
        <w:left w:val="none" w:sz="0" w:space="0" w:color="auto"/>
        <w:bottom w:val="none" w:sz="0" w:space="0" w:color="auto"/>
        <w:right w:val="none" w:sz="0" w:space="0" w:color="auto"/>
      </w:divBdr>
    </w:div>
    <w:div w:id="1453092339">
      <w:marLeft w:val="0"/>
      <w:marRight w:val="0"/>
      <w:marTop w:val="0"/>
      <w:marBottom w:val="0"/>
      <w:divBdr>
        <w:top w:val="none" w:sz="0" w:space="0" w:color="auto"/>
        <w:left w:val="none" w:sz="0" w:space="0" w:color="auto"/>
        <w:bottom w:val="none" w:sz="0" w:space="0" w:color="auto"/>
        <w:right w:val="none" w:sz="0" w:space="0" w:color="auto"/>
      </w:divBdr>
      <w:divsChild>
        <w:div w:id="385497468">
          <w:marLeft w:val="0"/>
          <w:marRight w:val="0"/>
          <w:marTop w:val="60"/>
          <w:marBottom w:val="60"/>
          <w:divBdr>
            <w:top w:val="none" w:sz="0" w:space="0" w:color="auto"/>
            <w:left w:val="none" w:sz="0" w:space="0" w:color="auto"/>
            <w:bottom w:val="none" w:sz="0" w:space="0" w:color="auto"/>
            <w:right w:val="none" w:sz="0" w:space="0" w:color="auto"/>
          </w:divBdr>
        </w:div>
      </w:divsChild>
    </w:div>
    <w:div w:id="1453792733">
      <w:marLeft w:val="0"/>
      <w:marRight w:val="0"/>
      <w:marTop w:val="180"/>
      <w:marBottom w:val="180"/>
      <w:divBdr>
        <w:top w:val="none" w:sz="0" w:space="0" w:color="auto"/>
        <w:left w:val="none" w:sz="0" w:space="0" w:color="auto"/>
        <w:bottom w:val="none" w:sz="0" w:space="0" w:color="auto"/>
        <w:right w:val="none" w:sz="0" w:space="0" w:color="auto"/>
      </w:divBdr>
    </w:div>
    <w:div w:id="1454858510">
      <w:marLeft w:val="0"/>
      <w:marRight w:val="0"/>
      <w:marTop w:val="0"/>
      <w:marBottom w:val="0"/>
      <w:divBdr>
        <w:top w:val="none" w:sz="0" w:space="0" w:color="auto"/>
        <w:left w:val="none" w:sz="0" w:space="0" w:color="auto"/>
        <w:bottom w:val="none" w:sz="0" w:space="0" w:color="auto"/>
        <w:right w:val="none" w:sz="0" w:space="0" w:color="auto"/>
      </w:divBdr>
    </w:div>
    <w:div w:id="1455714956">
      <w:marLeft w:val="0"/>
      <w:marRight w:val="0"/>
      <w:marTop w:val="60"/>
      <w:marBottom w:val="60"/>
      <w:divBdr>
        <w:top w:val="none" w:sz="0" w:space="0" w:color="auto"/>
        <w:left w:val="none" w:sz="0" w:space="0" w:color="auto"/>
        <w:bottom w:val="none" w:sz="0" w:space="0" w:color="auto"/>
        <w:right w:val="none" w:sz="0" w:space="0" w:color="auto"/>
      </w:divBdr>
    </w:div>
    <w:div w:id="1457485028">
      <w:marLeft w:val="0"/>
      <w:marRight w:val="0"/>
      <w:marTop w:val="0"/>
      <w:marBottom w:val="0"/>
      <w:divBdr>
        <w:top w:val="none" w:sz="0" w:space="0" w:color="auto"/>
        <w:left w:val="none" w:sz="0" w:space="0" w:color="auto"/>
        <w:bottom w:val="none" w:sz="0" w:space="0" w:color="auto"/>
        <w:right w:val="none" w:sz="0" w:space="0" w:color="auto"/>
      </w:divBdr>
      <w:divsChild>
        <w:div w:id="1428844871">
          <w:marLeft w:val="0"/>
          <w:marRight w:val="0"/>
          <w:marTop w:val="0"/>
          <w:marBottom w:val="0"/>
          <w:divBdr>
            <w:top w:val="none" w:sz="0" w:space="0" w:color="auto"/>
            <w:left w:val="none" w:sz="0" w:space="0" w:color="auto"/>
            <w:bottom w:val="none" w:sz="0" w:space="0" w:color="auto"/>
            <w:right w:val="none" w:sz="0" w:space="0" w:color="auto"/>
          </w:divBdr>
          <w:divsChild>
            <w:div w:id="175820898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59302487">
      <w:marLeft w:val="0"/>
      <w:marRight w:val="0"/>
      <w:marTop w:val="180"/>
      <w:marBottom w:val="180"/>
      <w:divBdr>
        <w:top w:val="none" w:sz="0" w:space="0" w:color="auto"/>
        <w:left w:val="none" w:sz="0" w:space="0" w:color="auto"/>
        <w:bottom w:val="none" w:sz="0" w:space="0" w:color="auto"/>
        <w:right w:val="none" w:sz="0" w:space="0" w:color="auto"/>
      </w:divBdr>
    </w:div>
    <w:div w:id="1460107056">
      <w:marLeft w:val="0"/>
      <w:marRight w:val="0"/>
      <w:marTop w:val="180"/>
      <w:marBottom w:val="180"/>
      <w:divBdr>
        <w:top w:val="none" w:sz="0" w:space="0" w:color="auto"/>
        <w:left w:val="none" w:sz="0" w:space="0" w:color="auto"/>
        <w:bottom w:val="none" w:sz="0" w:space="0" w:color="auto"/>
        <w:right w:val="none" w:sz="0" w:space="0" w:color="auto"/>
      </w:divBdr>
    </w:div>
    <w:div w:id="1460799617">
      <w:marLeft w:val="0"/>
      <w:marRight w:val="0"/>
      <w:marTop w:val="0"/>
      <w:marBottom w:val="0"/>
      <w:divBdr>
        <w:top w:val="none" w:sz="0" w:space="0" w:color="auto"/>
        <w:left w:val="none" w:sz="0" w:space="0" w:color="auto"/>
        <w:bottom w:val="none" w:sz="0" w:space="0" w:color="auto"/>
        <w:right w:val="none" w:sz="0" w:space="0" w:color="auto"/>
      </w:divBdr>
      <w:divsChild>
        <w:div w:id="1477450462">
          <w:marLeft w:val="0"/>
          <w:marRight w:val="0"/>
          <w:marTop w:val="60"/>
          <w:marBottom w:val="60"/>
          <w:divBdr>
            <w:top w:val="none" w:sz="0" w:space="0" w:color="auto"/>
            <w:left w:val="none" w:sz="0" w:space="0" w:color="auto"/>
            <w:bottom w:val="none" w:sz="0" w:space="0" w:color="auto"/>
            <w:right w:val="none" w:sz="0" w:space="0" w:color="auto"/>
          </w:divBdr>
        </w:div>
      </w:divsChild>
    </w:div>
    <w:div w:id="1460955865">
      <w:marLeft w:val="0"/>
      <w:marRight w:val="0"/>
      <w:marTop w:val="180"/>
      <w:marBottom w:val="180"/>
      <w:divBdr>
        <w:top w:val="none" w:sz="0" w:space="0" w:color="auto"/>
        <w:left w:val="none" w:sz="0" w:space="0" w:color="auto"/>
        <w:bottom w:val="none" w:sz="0" w:space="0" w:color="auto"/>
        <w:right w:val="none" w:sz="0" w:space="0" w:color="auto"/>
      </w:divBdr>
    </w:div>
    <w:div w:id="1462382953">
      <w:marLeft w:val="0"/>
      <w:marRight w:val="0"/>
      <w:marTop w:val="0"/>
      <w:marBottom w:val="0"/>
      <w:divBdr>
        <w:top w:val="none" w:sz="0" w:space="0" w:color="auto"/>
        <w:left w:val="none" w:sz="0" w:space="0" w:color="auto"/>
        <w:bottom w:val="none" w:sz="0" w:space="0" w:color="auto"/>
        <w:right w:val="none" w:sz="0" w:space="0" w:color="auto"/>
      </w:divBdr>
      <w:divsChild>
        <w:div w:id="1901165949">
          <w:marLeft w:val="0"/>
          <w:marRight w:val="0"/>
          <w:marTop w:val="0"/>
          <w:marBottom w:val="0"/>
          <w:divBdr>
            <w:top w:val="none" w:sz="0" w:space="0" w:color="auto"/>
            <w:left w:val="none" w:sz="0" w:space="0" w:color="auto"/>
            <w:bottom w:val="none" w:sz="0" w:space="0" w:color="auto"/>
            <w:right w:val="none" w:sz="0" w:space="0" w:color="auto"/>
          </w:divBdr>
          <w:divsChild>
            <w:div w:id="162969765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62923571">
      <w:marLeft w:val="0"/>
      <w:marRight w:val="0"/>
      <w:marTop w:val="0"/>
      <w:marBottom w:val="0"/>
      <w:divBdr>
        <w:top w:val="none" w:sz="0" w:space="0" w:color="auto"/>
        <w:left w:val="none" w:sz="0" w:space="0" w:color="auto"/>
        <w:bottom w:val="none" w:sz="0" w:space="0" w:color="auto"/>
        <w:right w:val="none" w:sz="0" w:space="0" w:color="auto"/>
      </w:divBdr>
      <w:divsChild>
        <w:div w:id="576744401">
          <w:marLeft w:val="0"/>
          <w:marRight w:val="0"/>
          <w:marTop w:val="0"/>
          <w:marBottom w:val="0"/>
          <w:divBdr>
            <w:top w:val="none" w:sz="0" w:space="0" w:color="auto"/>
            <w:left w:val="none" w:sz="0" w:space="0" w:color="auto"/>
            <w:bottom w:val="none" w:sz="0" w:space="0" w:color="auto"/>
            <w:right w:val="none" w:sz="0" w:space="0" w:color="auto"/>
          </w:divBdr>
          <w:divsChild>
            <w:div w:id="158506888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63108171">
      <w:marLeft w:val="0"/>
      <w:marRight w:val="0"/>
      <w:marTop w:val="180"/>
      <w:marBottom w:val="180"/>
      <w:divBdr>
        <w:top w:val="none" w:sz="0" w:space="0" w:color="auto"/>
        <w:left w:val="none" w:sz="0" w:space="0" w:color="auto"/>
        <w:bottom w:val="none" w:sz="0" w:space="0" w:color="auto"/>
        <w:right w:val="none" w:sz="0" w:space="0" w:color="auto"/>
      </w:divBdr>
    </w:div>
    <w:div w:id="1464889334">
      <w:marLeft w:val="0"/>
      <w:marRight w:val="0"/>
      <w:marTop w:val="60"/>
      <w:marBottom w:val="60"/>
      <w:divBdr>
        <w:top w:val="none" w:sz="0" w:space="0" w:color="auto"/>
        <w:left w:val="none" w:sz="0" w:space="0" w:color="auto"/>
        <w:bottom w:val="none" w:sz="0" w:space="0" w:color="auto"/>
        <w:right w:val="none" w:sz="0" w:space="0" w:color="auto"/>
      </w:divBdr>
    </w:div>
    <w:div w:id="1465855250">
      <w:marLeft w:val="0"/>
      <w:marRight w:val="0"/>
      <w:marTop w:val="180"/>
      <w:marBottom w:val="180"/>
      <w:divBdr>
        <w:top w:val="none" w:sz="0" w:space="0" w:color="auto"/>
        <w:left w:val="none" w:sz="0" w:space="0" w:color="auto"/>
        <w:bottom w:val="none" w:sz="0" w:space="0" w:color="auto"/>
        <w:right w:val="none" w:sz="0" w:space="0" w:color="auto"/>
      </w:divBdr>
    </w:div>
    <w:div w:id="1465924892">
      <w:marLeft w:val="0"/>
      <w:marRight w:val="0"/>
      <w:marTop w:val="60"/>
      <w:marBottom w:val="60"/>
      <w:divBdr>
        <w:top w:val="none" w:sz="0" w:space="0" w:color="auto"/>
        <w:left w:val="none" w:sz="0" w:space="0" w:color="auto"/>
        <w:bottom w:val="none" w:sz="0" w:space="0" w:color="auto"/>
        <w:right w:val="none" w:sz="0" w:space="0" w:color="auto"/>
      </w:divBdr>
    </w:div>
    <w:div w:id="1467088979">
      <w:marLeft w:val="0"/>
      <w:marRight w:val="0"/>
      <w:marTop w:val="180"/>
      <w:marBottom w:val="180"/>
      <w:divBdr>
        <w:top w:val="none" w:sz="0" w:space="0" w:color="auto"/>
        <w:left w:val="none" w:sz="0" w:space="0" w:color="auto"/>
        <w:bottom w:val="none" w:sz="0" w:space="0" w:color="auto"/>
        <w:right w:val="none" w:sz="0" w:space="0" w:color="auto"/>
      </w:divBdr>
    </w:div>
    <w:div w:id="1467116300">
      <w:marLeft w:val="0"/>
      <w:marRight w:val="0"/>
      <w:marTop w:val="0"/>
      <w:marBottom w:val="0"/>
      <w:divBdr>
        <w:top w:val="none" w:sz="0" w:space="0" w:color="auto"/>
        <w:left w:val="none" w:sz="0" w:space="0" w:color="auto"/>
        <w:bottom w:val="none" w:sz="0" w:space="0" w:color="auto"/>
        <w:right w:val="none" w:sz="0" w:space="0" w:color="auto"/>
      </w:divBdr>
      <w:divsChild>
        <w:div w:id="1286544044">
          <w:marLeft w:val="0"/>
          <w:marRight w:val="0"/>
          <w:marTop w:val="0"/>
          <w:marBottom w:val="0"/>
          <w:divBdr>
            <w:top w:val="none" w:sz="0" w:space="0" w:color="auto"/>
            <w:left w:val="none" w:sz="0" w:space="0" w:color="auto"/>
            <w:bottom w:val="none" w:sz="0" w:space="0" w:color="auto"/>
            <w:right w:val="none" w:sz="0" w:space="0" w:color="auto"/>
          </w:divBdr>
          <w:divsChild>
            <w:div w:id="14897978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69128374">
      <w:marLeft w:val="0"/>
      <w:marRight w:val="0"/>
      <w:marTop w:val="0"/>
      <w:marBottom w:val="0"/>
      <w:divBdr>
        <w:top w:val="none" w:sz="0" w:space="0" w:color="auto"/>
        <w:left w:val="none" w:sz="0" w:space="0" w:color="auto"/>
        <w:bottom w:val="none" w:sz="0" w:space="0" w:color="auto"/>
        <w:right w:val="none" w:sz="0" w:space="0" w:color="auto"/>
      </w:divBdr>
    </w:div>
    <w:div w:id="1470509421">
      <w:marLeft w:val="0"/>
      <w:marRight w:val="0"/>
      <w:marTop w:val="180"/>
      <w:marBottom w:val="60"/>
      <w:divBdr>
        <w:top w:val="none" w:sz="0" w:space="0" w:color="auto"/>
        <w:left w:val="none" w:sz="0" w:space="0" w:color="auto"/>
        <w:bottom w:val="none" w:sz="0" w:space="0" w:color="auto"/>
        <w:right w:val="none" w:sz="0" w:space="0" w:color="auto"/>
      </w:divBdr>
    </w:div>
    <w:div w:id="1471632803">
      <w:marLeft w:val="0"/>
      <w:marRight w:val="0"/>
      <w:marTop w:val="180"/>
      <w:marBottom w:val="180"/>
      <w:divBdr>
        <w:top w:val="none" w:sz="0" w:space="0" w:color="auto"/>
        <w:left w:val="none" w:sz="0" w:space="0" w:color="auto"/>
        <w:bottom w:val="none" w:sz="0" w:space="0" w:color="auto"/>
        <w:right w:val="none" w:sz="0" w:space="0" w:color="auto"/>
      </w:divBdr>
    </w:div>
    <w:div w:id="1471677764">
      <w:marLeft w:val="0"/>
      <w:marRight w:val="0"/>
      <w:marTop w:val="180"/>
      <w:marBottom w:val="180"/>
      <w:divBdr>
        <w:top w:val="none" w:sz="0" w:space="0" w:color="auto"/>
        <w:left w:val="none" w:sz="0" w:space="0" w:color="auto"/>
        <w:bottom w:val="none" w:sz="0" w:space="0" w:color="auto"/>
        <w:right w:val="none" w:sz="0" w:space="0" w:color="auto"/>
      </w:divBdr>
    </w:div>
    <w:div w:id="1472094887">
      <w:marLeft w:val="0"/>
      <w:marRight w:val="0"/>
      <w:marTop w:val="60"/>
      <w:marBottom w:val="60"/>
      <w:divBdr>
        <w:top w:val="none" w:sz="0" w:space="0" w:color="auto"/>
        <w:left w:val="none" w:sz="0" w:space="0" w:color="auto"/>
        <w:bottom w:val="none" w:sz="0" w:space="0" w:color="auto"/>
        <w:right w:val="none" w:sz="0" w:space="0" w:color="auto"/>
      </w:divBdr>
    </w:div>
    <w:div w:id="1472480184">
      <w:marLeft w:val="0"/>
      <w:marRight w:val="0"/>
      <w:marTop w:val="60"/>
      <w:marBottom w:val="60"/>
      <w:divBdr>
        <w:top w:val="none" w:sz="0" w:space="0" w:color="auto"/>
        <w:left w:val="none" w:sz="0" w:space="0" w:color="auto"/>
        <w:bottom w:val="none" w:sz="0" w:space="0" w:color="auto"/>
        <w:right w:val="none" w:sz="0" w:space="0" w:color="auto"/>
      </w:divBdr>
    </w:div>
    <w:div w:id="1476020720">
      <w:marLeft w:val="0"/>
      <w:marRight w:val="0"/>
      <w:marTop w:val="180"/>
      <w:marBottom w:val="180"/>
      <w:divBdr>
        <w:top w:val="none" w:sz="0" w:space="0" w:color="auto"/>
        <w:left w:val="none" w:sz="0" w:space="0" w:color="auto"/>
        <w:bottom w:val="none" w:sz="0" w:space="0" w:color="auto"/>
        <w:right w:val="none" w:sz="0" w:space="0" w:color="auto"/>
      </w:divBdr>
    </w:div>
    <w:div w:id="1476215965">
      <w:marLeft w:val="0"/>
      <w:marRight w:val="0"/>
      <w:marTop w:val="0"/>
      <w:marBottom w:val="0"/>
      <w:divBdr>
        <w:top w:val="none" w:sz="0" w:space="0" w:color="auto"/>
        <w:left w:val="none" w:sz="0" w:space="0" w:color="auto"/>
        <w:bottom w:val="none" w:sz="0" w:space="0" w:color="auto"/>
        <w:right w:val="none" w:sz="0" w:space="0" w:color="auto"/>
      </w:divBdr>
      <w:divsChild>
        <w:div w:id="1237863805">
          <w:marLeft w:val="0"/>
          <w:marRight w:val="0"/>
          <w:marTop w:val="0"/>
          <w:marBottom w:val="0"/>
          <w:divBdr>
            <w:top w:val="none" w:sz="0" w:space="0" w:color="auto"/>
            <w:left w:val="none" w:sz="0" w:space="0" w:color="auto"/>
            <w:bottom w:val="none" w:sz="0" w:space="0" w:color="auto"/>
            <w:right w:val="none" w:sz="0" w:space="0" w:color="auto"/>
          </w:divBdr>
          <w:divsChild>
            <w:div w:id="66421018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76217463">
      <w:marLeft w:val="0"/>
      <w:marRight w:val="0"/>
      <w:marTop w:val="60"/>
      <w:marBottom w:val="60"/>
      <w:divBdr>
        <w:top w:val="none" w:sz="0" w:space="0" w:color="auto"/>
        <w:left w:val="none" w:sz="0" w:space="0" w:color="auto"/>
        <w:bottom w:val="none" w:sz="0" w:space="0" w:color="auto"/>
        <w:right w:val="none" w:sz="0" w:space="0" w:color="auto"/>
      </w:divBdr>
    </w:div>
    <w:div w:id="1476604340">
      <w:marLeft w:val="0"/>
      <w:marRight w:val="0"/>
      <w:marTop w:val="100"/>
      <w:marBottom w:val="0"/>
      <w:divBdr>
        <w:top w:val="none" w:sz="0" w:space="0" w:color="auto"/>
        <w:left w:val="none" w:sz="0" w:space="0" w:color="auto"/>
        <w:bottom w:val="none" w:sz="0" w:space="0" w:color="auto"/>
        <w:right w:val="none" w:sz="0" w:space="0" w:color="auto"/>
      </w:divBdr>
      <w:divsChild>
        <w:div w:id="603928119">
          <w:marLeft w:val="0"/>
          <w:marRight w:val="0"/>
          <w:marTop w:val="0"/>
          <w:marBottom w:val="0"/>
          <w:divBdr>
            <w:top w:val="none" w:sz="0" w:space="0" w:color="auto"/>
            <w:left w:val="none" w:sz="0" w:space="0" w:color="auto"/>
            <w:bottom w:val="none" w:sz="0" w:space="0" w:color="auto"/>
            <w:right w:val="none" w:sz="0" w:space="0" w:color="auto"/>
          </w:divBdr>
        </w:div>
        <w:div w:id="1759133483">
          <w:marLeft w:val="0"/>
          <w:marRight w:val="0"/>
          <w:marTop w:val="0"/>
          <w:marBottom w:val="0"/>
          <w:divBdr>
            <w:top w:val="none" w:sz="0" w:space="0" w:color="auto"/>
            <w:left w:val="none" w:sz="0" w:space="0" w:color="auto"/>
            <w:bottom w:val="none" w:sz="0" w:space="0" w:color="auto"/>
            <w:right w:val="none" w:sz="0" w:space="0" w:color="auto"/>
          </w:divBdr>
        </w:div>
      </w:divsChild>
    </w:div>
    <w:div w:id="1478182519">
      <w:marLeft w:val="0"/>
      <w:marRight w:val="0"/>
      <w:marTop w:val="180"/>
      <w:marBottom w:val="180"/>
      <w:divBdr>
        <w:top w:val="none" w:sz="0" w:space="0" w:color="auto"/>
        <w:left w:val="none" w:sz="0" w:space="0" w:color="auto"/>
        <w:bottom w:val="none" w:sz="0" w:space="0" w:color="auto"/>
        <w:right w:val="none" w:sz="0" w:space="0" w:color="auto"/>
      </w:divBdr>
    </w:div>
    <w:div w:id="1478183507">
      <w:marLeft w:val="0"/>
      <w:marRight w:val="0"/>
      <w:marTop w:val="180"/>
      <w:marBottom w:val="180"/>
      <w:divBdr>
        <w:top w:val="none" w:sz="0" w:space="0" w:color="auto"/>
        <w:left w:val="none" w:sz="0" w:space="0" w:color="auto"/>
        <w:bottom w:val="none" w:sz="0" w:space="0" w:color="auto"/>
        <w:right w:val="none" w:sz="0" w:space="0" w:color="auto"/>
      </w:divBdr>
    </w:div>
    <w:div w:id="1478766021">
      <w:marLeft w:val="0"/>
      <w:marRight w:val="0"/>
      <w:marTop w:val="180"/>
      <w:marBottom w:val="60"/>
      <w:divBdr>
        <w:top w:val="none" w:sz="0" w:space="0" w:color="auto"/>
        <w:left w:val="none" w:sz="0" w:space="0" w:color="auto"/>
        <w:bottom w:val="none" w:sz="0" w:space="0" w:color="auto"/>
        <w:right w:val="none" w:sz="0" w:space="0" w:color="auto"/>
      </w:divBdr>
    </w:div>
    <w:div w:id="1480149912">
      <w:marLeft w:val="0"/>
      <w:marRight w:val="0"/>
      <w:marTop w:val="0"/>
      <w:marBottom w:val="0"/>
      <w:divBdr>
        <w:top w:val="none" w:sz="0" w:space="0" w:color="auto"/>
        <w:left w:val="none" w:sz="0" w:space="0" w:color="auto"/>
        <w:bottom w:val="none" w:sz="0" w:space="0" w:color="auto"/>
        <w:right w:val="none" w:sz="0" w:space="0" w:color="auto"/>
      </w:divBdr>
      <w:divsChild>
        <w:div w:id="178617999">
          <w:marLeft w:val="0"/>
          <w:marRight w:val="0"/>
          <w:marTop w:val="60"/>
          <w:marBottom w:val="60"/>
          <w:divBdr>
            <w:top w:val="none" w:sz="0" w:space="0" w:color="auto"/>
            <w:left w:val="none" w:sz="0" w:space="0" w:color="auto"/>
            <w:bottom w:val="none" w:sz="0" w:space="0" w:color="auto"/>
            <w:right w:val="none" w:sz="0" w:space="0" w:color="auto"/>
          </w:divBdr>
        </w:div>
      </w:divsChild>
    </w:div>
    <w:div w:id="1481070329">
      <w:marLeft w:val="0"/>
      <w:marRight w:val="0"/>
      <w:marTop w:val="60"/>
      <w:marBottom w:val="60"/>
      <w:divBdr>
        <w:top w:val="none" w:sz="0" w:space="0" w:color="auto"/>
        <w:left w:val="none" w:sz="0" w:space="0" w:color="auto"/>
        <w:bottom w:val="none" w:sz="0" w:space="0" w:color="auto"/>
        <w:right w:val="none" w:sz="0" w:space="0" w:color="auto"/>
      </w:divBdr>
    </w:div>
    <w:div w:id="1483544168">
      <w:marLeft w:val="0"/>
      <w:marRight w:val="0"/>
      <w:marTop w:val="180"/>
      <w:marBottom w:val="180"/>
      <w:divBdr>
        <w:top w:val="none" w:sz="0" w:space="0" w:color="auto"/>
        <w:left w:val="none" w:sz="0" w:space="0" w:color="auto"/>
        <w:bottom w:val="none" w:sz="0" w:space="0" w:color="auto"/>
        <w:right w:val="none" w:sz="0" w:space="0" w:color="auto"/>
      </w:divBdr>
    </w:div>
    <w:div w:id="1489328451">
      <w:marLeft w:val="0"/>
      <w:marRight w:val="0"/>
      <w:marTop w:val="180"/>
      <w:marBottom w:val="180"/>
      <w:divBdr>
        <w:top w:val="none" w:sz="0" w:space="0" w:color="auto"/>
        <w:left w:val="none" w:sz="0" w:space="0" w:color="auto"/>
        <w:bottom w:val="none" w:sz="0" w:space="0" w:color="auto"/>
        <w:right w:val="none" w:sz="0" w:space="0" w:color="auto"/>
      </w:divBdr>
    </w:div>
    <w:div w:id="1491478096">
      <w:marLeft w:val="0"/>
      <w:marRight w:val="0"/>
      <w:marTop w:val="0"/>
      <w:marBottom w:val="0"/>
      <w:divBdr>
        <w:top w:val="none" w:sz="0" w:space="0" w:color="auto"/>
        <w:left w:val="none" w:sz="0" w:space="0" w:color="auto"/>
        <w:bottom w:val="none" w:sz="0" w:space="0" w:color="auto"/>
        <w:right w:val="none" w:sz="0" w:space="0" w:color="auto"/>
      </w:divBdr>
      <w:divsChild>
        <w:div w:id="874272266">
          <w:marLeft w:val="0"/>
          <w:marRight w:val="0"/>
          <w:marTop w:val="0"/>
          <w:marBottom w:val="0"/>
          <w:divBdr>
            <w:top w:val="none" w:sz="0" w:space="0" w:color="auto"/>
            <w:left w:val="none" w:sz="0" w:space="0" w:color="auto"/>
            <w:bottom w:val="none" w:sz="0" w:space="0" w:color="auto"/>
            <w:right w:val="none" w:sz="0" w:space="0" w:color="auto"/>
          </w:divBdr>
          <w:divsChild>
            <w:div w:id="14693931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97574558">
      <w:marLeft w:val="0"/>
      <w:marRight w:val="0"/>
      <w:marTop w:val="60"/>
      <w:marBottom w:val="60"/>
      <w:divBdr>
        <w:top w:val="none" w:sz="0" w:space="0" w:color="auto"/>
        <w:left w:val="none" w:sz="0" w:space="0" w:color="auto"/>
        <w:bottom w:val="none" w:sz="0" w:space="0" w:color="auto"/>
        <w:right w:val="none" w:sz="0" w:space="0" w:color="auto"/>
      </w:divBdr>
    </w:div>
    <w:div w:id="1502307765">
      <w:marLeft w:val="0"/>
      <w:marRight w:val="0"/>
      <w:marTop w:val="180"/>
      <w:marBottom w:val="180"/>
      <w:divBdr>
        <w:top w:val="none" w:sz="0" w:space="0" w:color="auto"/>
        <w:left w:val="none" w:sz="0" w:space="0" w:color="auto"/>
        <w:bottom w:val="none" w:sz="0" w:space="0" w:color="auto"/>
        <w:right w:val="none" w:sz="0" w:space="0" w:color="auto"/>
      </w:divBdr>
    </w:div>
    <w:div w:id="1503547109">
      <w:marLeft w:val="0"/>
      <w:marRight w:val="0"/>
      <w:marTop w:val="180"/>
      <w:marBottom w:val="180"/>
      <w:divBdr>
        <w:top w:val="none" w:sz="0" w:space="0" w:color="auto"/>
        <w:left w:val="none" w:sz="0" w:space="0" w:color="auto"/>
        <w:bottom w:val="none" w:sz="0" w:space="0" w:color="auto"/>
        <w:right w:val="none" w:sz="0" w:space="0" w:color="auto"/>
      </w:divBdr>
    </w:div>
    <w:div w:id="1505316810">
      <w:marLeft w:val="0"/>
      <w:marRight w:val="0"/>
      <w:marTop w:val="180"/>
      <w:marBottom w:val="180"/>
      <w:divBdr>
        <w:top w:val="none" w:sz="0" w:space="0" w:color="auto"/>
        <w:left w:val="none" w:sz="0" w:space="0" w:color="auto"/>
        <w:bottom w:val="none" w:sz="0" w:space="0" w:color="auto"/>
        <w:right w:val="none" w:sz="0" w:space="0" w:color="auto"/>
      </w:divBdr>
    </w:div>
    <w:div w:id="1506087322">
      <w:marLeft w:val="0"/>
      <w:marRight w:val="0"/>
      <w:marTop w:val="180"/>
      <w:marBottom w:val="180"/>
      <w:divBdr>
        <w:top w:val="none" w:sz="0" w:space="0" w:color="auto"/>
        <w:left w:val="none" w:sz="0" w:space="0" w:color="auto"/>
        <w:bottom w:val="none" w:sz="0" w:space="0" w:color="auto"/>
        <w:right w:val="none" w:sz="0" w:space="0" w:color="auto"/>
      </w:divBdr>
    </w:div>
    <w:div w:id="1508328939">
      <w:marLeft w:val="0"/>
      <w:marRight w:val="0"/>
      <w:marTop w:val="180"/>
      <w:marBottom w:val="0"/>
      <w:divBdr>
        <w:top w:val="none" w:sz="0" w:space="0" w:color="auto"/>
        <w:left w:val="none" w:sz="0" w:space="0" w:color="auto"/>
        <w:bottom w:val="none" w:sz="0" w:space="0" w:color="auto"/>
        <w:right w:val="none" w:sz="0" w:space="0" w:color="auto"/>
      </w:divBdr>
    </w:div>
    <w:div w:id="1508787833">
      <w:marLeft w:val="0"/>
      <w:marRight w:val="0"/>
      <w:marTop w:val="180"/>
      <w:marBottom w:val="180"/>
      <w:divBdr>
        <w:top w:val="none" w:sz="0" w:space="0" w:color="auto"/>
        <w:left w:val="none" w:sz="0" w:space="0" w:color="auto"/>
        <w:bottom w:val="none" w:sz="0" w:space="0" w:color="auto"/>
        <w:right w:val="none" w:sz="0" w:space="0" w:color="auto"/>
      </w:divBdr>
    </w:div>
    <w:div w:id="1509520115">
      <w:marLeft w:val="0"/>
      <w:marRight w:val="0"/>
      <w:marTop w:val="60"/>
      <w:marBottom w:val="60"/>
      <w:divBdr>
        <w:top w:val="none" w:sz="0" w:space="0" w:color="auto"/>
        <w:left w:val="none" w:sz="0" w:space="0" w:color="auto"/>
        <w:bottom w:val="none" w:sz="0" w:space="0" w:color="auto"/>
        <w:right w:val="none" w:sz="0" w:space="0" w:color="auto"/>
      </w:divBdr>
    </w:div>
    <w:div w:id="1510487232">
      <w:marLeft w:val="0"/>
      <w:marRight w:val="0"/>
      <w:marTop w:val="180"/>
      <w:marBottom w:val="180"/>
      <w:divBdr>
        <w:top w:val="none" w:sz="0" w:space="0" w:color="auto"/>
        <w:left w:val="none" w:sz="0" w:space="0" w:color="auto"/>
        <w:bottom w:val="none" w:sz="0" w:space="0" w:color="auto"/>
        <w:right w:val="none" w:sz="0" w:space="0" w:color="auto"/>
      </w:divBdr>
    </w:div>
    <w:div w:id="1513257517">
      <w:marLeft w:val="0"/>
      <w:marRight w:val="0"/>
      <w:marTop w:val="180"/>
      <w:marBottom w:val="180"/>
      <w:divBdr>
        <w:top w:val="none" w:sz="0" w:space="0" w:color="auto"/>
        <w:left w:val="none" w:sz="0" w:space="0" w:color="auto"/>
        <w:bottom w:val="none" w:sz="0" w:space="0" w:color="auto"/>
        <w:right w:val="none" w:sz="0" w:space="0" w:color="auto"/>
      </w:divBdr>
    </w:div>
    <w:div w:id="1522403137">
      <w:marLeft w:val="0"/>
      <w:marRight w:val="0"/>
      <w:marTop w:val="60"/>
      <w:marBottom w:val="60"/>
      <w:divBdr>
        <w:top w:val="none" w:sz="0" w:space="0" w:color="auto"/>
        <w:left w:val="none" w:sz="0" w:space="0" w:color="auto"/>
        <w:bottom w:val="none" w:sz="0" w:space="0" w:color="auto"/>
        <w:right w:val="none" w:sz="0" w:space="0" w:color="auto"/>
      </w:divBdr>
    </w:div>
    <w:div w:id="1522740775">
      <w:marLeft w:val="0"/>
      <w:marRight w:val="0"/>
      <w:marTop w:val="60"/>
      <w:marBottom w:val="60"/>
      <w:divBdr>
        <w:top w:val="none" w:sz="0" w:space="0" w:color="auto"/>
        <w:left w:val="none" w:sz="0" w:space="0" w:color="auto"/>
        <w:bottom w:val="none" w:sz="0" w:space="0" w:color="auto"/>
        <w:right w:val="none" w:sz="0" w:space="0" w:color="auto"/>
      </w:divBdr>
    </w:div>
    <w:div w:id="1522936090">
      <w:marLeft w:val="0"/>
      <w:marRight w:val="0"/>
      <w:marTop w:val="60"/>
      <w:marBottom w:val="60"/>
      <w:divBdr>
        <w:top w:val="none" w:sz="0" w:space="0" w:color="auto"/>
        <w:left w:val="none" w:sz="0" w:space="0" w:color="auto"/>
        <w:bottom w:val="none" w:sz="0" w:space="0" w:color="auto"/>
        <w:right w:val="none" w:sz="0" w:space="0" w:color="auto"/>
      </w:divBdr>
    </w:div>
    <w:div w:id="1522938781">
      <w:marLeft w:val="0"/>
      <w:marRight w:val="0"/>
      <w:marTop w:val="0"/>
      <w:marBottom w:val="180"/>
      <w:divBdr>
        <w:top w:val="none" w:sz="0" w:space="0" w:color="auto"/>
        <w:left w:val="none" w:sz="0" w:space="0" w:color="auto"/>
        <w:bottom w:val="none" w:sz="0" w:space="0" w:color="auto"/>
        <w:right w:val="none" w:sz="0" w:space="0" w:color="auto"/>
      </w:divBdr>
    </w:div>
    <w:div w:id="1525168776">
      <w:marLeft w:val="0"/>
      <w:marRight w:val="0"/>
      <w:marTop w:val="0"/>
      <w:marBottom w:val="0"/>
      <w:divBdr>
        <w:top w:val="none" w:sz="0" w:space="0" w:color="auto"/>
        <w:left w:val="none" w:sz="0" w:space="0" w:color="auto"/>
        <w:bottom w:val="none" w:sz="0" w:space="0" w:color="auto"/>
        <w:right w:val="none" w:sz="0" w:space="0" w:color="auto"/>
      </w:divBdr>
    </w:div>
    <w:div w:id="1526675844">
      <w:marLeft w:val="0"/>
      <w:marRight w:val="0"/>
      <w:marTop w:val="180"/>
      <w:marBottom w:val="180"/>
      <w:divBdr>
        <w:top w:val="none" w:sz="0" w:space="0" w:color="auto"/>
        <w:left w:val="none" w:sz="0" w:space="0" w:color="auto"/>
        <w:bottom w:val="none" w:sz="0" w:space="0" w:color="auto"/>
        <w:right w:val="none" w:sz="0" w:space="0" w:color="auto"/>
      </w:divBdr>
    </w:div>
    <w:div w:id="1530607805">
      <w:marLeft w:val="0"/>
      <w:marRight w:val="0"/>
      <w:marTop w:val="0"/>
      <w:marBottom w:val="0"/>
      <w:divBdr>
        <w:top w:val="none" w:sz="0" w:space="0" w:color="auto"/>
        <w:left w:val="none" w:sz="0" w:space="0" w:color="auto"/>
        <w:bottom w:val="none" w:sz="0" w:space="0" w:color="auto"/>
        <w:right w:val="none" w:sz="0" w:space="0" w:color="auto"/>
      </w:divBdr>
    </w:div>
    <w:div w:id="1532374300">
      <w:marLeft w:val="0"/>
      <w:marRight w:val="0"/>
      <w:marTop w:val="180"/>
      <w:marBottom w:val="180"/>
      <w:divBdr>
        <w:top w:val="none" w:sz="0" w:space="0" w:color="auto"/>
        <w:left w:val="none" w:sz="0" w:space="0" w:color="auto"/>
        <w:bottom w:val="none" w:sz="0" w:space="0" w:color="auto"/>
        <w:right w:val="none" w:sz="0" w:space="0" w:color="auto"/>
      </w:divBdr>
    </w:div>
    <w:div w:id="1533305450">
      <w:marLeft w:val="0"/>
      <w:marRight w:val="0"/>
      <w:marTop w:val="60"/>
      <w:marBottom w:val="60"/>
      <w:divBdr>
        <w:top w:val="none" w:sz="0" w:space="0" w:color="auto"/>
        <w:left w:val="none" w:sz="0" w:space="0" w:color="auto"/>
        <w:bottom w:val="none" w:sz="0" w:space="0" w:color="auto"/>
        <w:right w:val="none" w:sz="0" w:space="0" w:color="auto"/>
      </w:divBdr>
    </w:div>
    <w:div w:id="1534001370">
      <w:marLeft w:val="0"/>
      <w:marRight w:val="0"/>
      <w:marTop w:val="180"/>
      <w:marBottom w:val="180"/>
      <w:divBdr>
        <w:top w:val="none" w:sz="0" w:space="0" w:color="auto"/>
        <w:left w:val="none" w:sz="0" w:space="0" w:color="auto"/>
        <w:bottom w:val="none" w:sz="0" w:space="0" w:color="auto"/>
        <w:right w:val="none" w:sz="0" w:space="0" w:color="auto"/>
      </w:divBdr>
    </w:div>
    <w:div w:id="1534073286">
      <w:marLeft w:val="0"/>
      <w:marRight w:val="0"/>
      <w:marTop w:val="60"/>
      <w:marBottom w:val="60"/>
      <w:divBdr>
        <w:top w:val="none" w:sz="0" w:space="0" w:color="auto"/>
        <w:left w:val="none" w:sz="0" w:space="0" w:color="auto"/>
        <w:bottom w:val="none" w:sz="0" w:space="0" w:color="auto"/>
        <w:right w:val="none" w:sz="0" w:space="0" w:color="auto"/>
      </w:divBdr>
    </w:div>
    <w:div w:id="1534995594">
      <w:marLeft w:val="0"/>
      <w:marRight w:val="0"/>
      <w:marTop w:val="60"/>
      <w:marBottom w:val="60"/>
      <w:divBdr>
        <w:top w:val="none" w:sz="0" w:space="0" w:color="auto"/>
        <w:left w:val="none" w:sz="0" w:space="0" w:color="auto"/>
        <w:bottom w:val="none" w:sz="0" w:space="0" w:color="auto"/>
        <w:right w:val="none" w:sz="0" w:space="0" w:color="auto"/>
      </w:divBdr>
    </w:div>
    <w:div w:id="1536384444">
      <w:marLeft w:val="0"/>
      <w:marRight w:val="0"/>
      <w:marTop w:val="180"/>
      <w:marBottom w:val="60"/>
      <w:divBdr>
        <w:top w:val="none" w:sz="0" w:space="0" w:color="auto"/>
        <w:left w:val="none" w:sz="0" w:space="0" w:color="auto"/>
        <w:bottom w:val="none" w:sz="0" w:space="0" w:color="auto"/>
        <w:right w:val="none" w:sz="0" w:space="0" w:color="auto"/>
      </w:divBdr>
    </w:div>
    <w:div w:id="1536774300">
      <w:marLeft w:val="0"/>
      <w:marRight w:val="0"/>
      <w:marTop w:val="0"/>
      <w:marBottom w:val="0"/>
      <w:divBdr>
        <w:top w:val="none" w:sz="0" w:space="0" w:color="auto"/>
        <w:left w:val="none" w:sz="0" w:space="0" w:color="auto"/>
        <w:bottom w:val="none" w:sz="0" w:space="0" w:color="auto"/>
        <w:right w:val="none" w:sz="0" w:space="0" w:color="auto"/>
      </w:divBdr>
      <w:divsChild>
        <w:div w:id="1881744342">
          <w:marLeft w:val="0"/>
          <w:marRight w:val="0"/>
          <w:marTop w:val="0"/>
          <w:marBottom w:val="0"/>
          <w:divBdr>
            <w:top w:val="none" w:sz="0" w:space="0" w:color="auto"/>
            <w:left w:val="none" w:sz="0" w:space="0" w:color="auto"/>
            <w:bottom w:val="none" w:sz="0" w:space="0" w:color="auto"/>
            <w:right w:val="none" w:sz="0" w:space="0" w:color="auto"/>
          </w:divBdr>
          <w:divsChild>
            <w:div w:id="85276103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37429802">
      <w:marLeft w:val="0"/>
      <w:marRight w:val="0"/>
      <w:marTop w:val="60"/>
      <w:marBottom w:val="60"/>
      <w:divBdr>
        <w:top w:val="none" w:sz="0" w:space="0" w:color="auto"/>
        <w:left w:val="none" w:sz="0" w:space="0" w:color="auto"/>
        <w:bottom w:val="none" w:sz="0" w:space="0" w:color="auto"/>
        <w:right w:val="none" w:sz="0" w:space="0" w:color="auto"/>
      </w:divBdr>
    </w:div>
    <w:div w:id="1538153001">
      <w:marLeft w:val="0"/>
      <w:marRight w:val="0"/>
      <w:marTop w:val="180"/>
      <w:marBottom w:val="180"/>
      <w:divBdr>
        <w:top w:val="none" w:sz="0" w:space="0" w:color="auto"/>
        <w:left w:val="none" w:sz="0" w:space="0" w:color="auto"/>
        <w:bottom w:val="none" w:sz="0" w:space="0" w:color="auto"/>
        <w:right w:val="none" w:sz="0" w:space="0" w:color="auto"/>
      </w:divBdr>
    </w:div>
    <w:div w:id="1539003587">
      <w:marLeft w:val="0"/>
      <w:marRight w:val="0"/>
      <w:marTop w:val="0"/>
      <w:marBottom w:val="0"/>
      <w:divBdr>
        <w:top w:val="none" w:sz="0" w:space="0" w:color="auto"/>
        <w:left w:val="none" w:sz="0" w:space="0" w:color="auto"/>
        <w:bottom w:val="none" w:sz="0" w:space="0" w:color="auto"/>
        <w:right w:val="none" w:sz="0" w:space="0" w:color="auto"/>
      </w:divBdr>
      <w:divsChild>
        <w:div w:id="2143040408">
          <w:marLeft w:val="0"/>
          <w:marRight w:val="0"/>
          <w:marTop w:val="60"/>
          <w:marBottom w:val="60"/>
          <w:divBdr>
            <w:top w:val="none" w:sz="0" w:space="0" w:color="auto"/>
            <w:left w:val="none" w:sz="0" w:space="0" w:color="auto"/>
            <w:bottom w:val="none" w:sz="0" w:space="0" w:color="auto"/>
            <w:right w:val="none" w:sz="0" w:space="0" w:color="auto"/>
          </w:divBdr>
        </w:div>
      </w:divsChild>
    </w:div>
    <w:div w:id="1540315405">
      <w:marLeft w:val="0"/>
      <w:marRight w:val="0"/>
      <w:marTop w:val="60"/>
      <w:marBottom w:val="240"/>
      <w:divBdr>
        <w:top w:val="none" w:sz="0" w:space="0" w:color="auto"/>
        <w:left w:val="none" w:sz="0" w:space="0" w:color="auto"/>
        <w:bottom w:val="none" w:sz="0" w:space="0" w:color="auto"/>
        <w:right w:val="none" w:sz="0" w:space="0" w:color="auto"/>
      </w:divBdr>
    </w:div>
    <w:div w:id="1541085131">
      <w:marLeft w:val="0"/>
      <w:marRight w:val="0"/>
      <w:marTop w:val="180"/>
      <w:marBottom w:val="180"/>
      <w:divBdr>
        <w:top w:val="none" w:sz="0" w:space="0" w:color="auto"/>
        <w:left w:val="none" w:sz="0" w:space="0" w:color="auto"/>
        <w:bottom w:val="none" w:sz="0" w:space="0" w:color="auto"/>
        <w:right w:val="none" w:sz="0" w:space="0" w:color="auto"/>
      </w:divBdr>
    </w:div>
    <w:div w:id="1541475597">
      <w:marLeft w:val="0"/>
      <w:marRight w:val="0"/>
      <w:marTop w:val="60"/>
      <w:marBottom w:val="60"/>
      <w:divBdr>
        <w:top w:val="none" w:sz="0" w:space="0" w:color="auto"/>
        <w:left w:val="none" w:sz="0" w:space="0" w:color="auto"/>
        <w:bottom w:val="none" w:sz="0" w:space="0" w:color="auto"/>
        <w:right w:val="none" w:sz="0" w:space="0" w:color="auto"/>
      </w:divBdr>
    </w:div>
    <w:div w:id="1546285796">
      <w:marLeft w:val="0"/>
      <w:marRight w:val="0"/>
      <w:marTop w:val="0"/>
      <w:marBottom w:val="0"/>
      <w:divBdr>
        <w:top w:val="none" w:sz="0" w:space="0" w:color="auto"/>
        <w:left w:val="none" w:sz="0" w:space="0" w:color="auto"/>
        <w:bottom w:val="none" w:sz="0" w:space="0" w:color="auto"/>
        <w:right w:val="none" w:sz="0" w:space="0" w:color="auto"/>
      </w:divBdr>
      <w:divsChild>
        <w:div w:id="1216548537">
          <w:marLeft w:val="0"/>
          <w:marRight w:val="0"/>
          <w:marTop w:val="60"/>
          <w:marBottom w:val="60"/>
          <w:divBdr>
            <w:top w:val="none" w:sz="0" w:space="0" w:color="auto"/>
            <w:left w:val="none" w:sz="0" w:space="0" w:color="auto"/>
            <w:bottom w:val="none" w:sz="0" w:space="0" w:color="auto"/>
            <w:right w:val="none" w:sz="0" w:space="0" w:color="auto"/>
          </w:divBdr>
        </w:div>
      </w:divsChild>
    </w:div>
    <w:div w:id="1546407267">
      <w:marLeft w:val="0"/>
      <w:marRight w:val="0"/>
      <w:marTop w:val="240"/>
      <w:marBottom w:val="180"/>
      <w:divBdr>
        <w:top w:val="none" w:sz="0" w:space="0" w:color="auto"/>
        <w:left w:val="none" w:sz="0" w:space="0" w:color="auto"/>
        <w:bottom w:val="none" w:sz="0" w:space="0" w:color="auto"/>
        <w:right w:val="none" w:sz="0" w:space="0" w:color="auto"/>
      </w:divBdr>
    </w:div>
    <w:div w:id="1548371061">
      <w:marLeft w:val="0"/>
      <w:marRight w:val="0"/>
      <w:marTop w:val="180"/>
      <w:marBottom w:val="180"/>
      <w:divBdr>
        <w:top w:val="none" w:sz="0" w:space="0" w:color="auto"/>
        <w:left w:val="none" w:sz="0" w:space="0" w:color="auto"/>
        <w:bottom w:val="none" w:sz="0" w:space="0" w:color="auto"/>
        <w:right w:val="none" w:sz="0" w:space="0" w:color="auto"/>
      </w:divBdr>
    </w:div>
    <w:div w:id="1548881943">
      <w:marLeft w:val="0"/>
      <w:marRight w:val="0"/>
      <w:marTop w:val="60"/>
      <w:marBottom w:val="60"/>
      <w:divBdr>
        <w:top w:val="none" w:sz="0" w:space="0" w:color="auto"/>
        <w:left w:val="none" w:sz="0" w:space="0" w:color="auto"/>
        <w:bottom w:val="none" w:sz="0" w:space="0" w:color="auto"/>
        <w:right w:val="none" w:sz="0" w:space="0" w:color="auto"/>
      </w:divBdr>
    </w:div>
    <w:div w:id="1552493352">
      <w:marLeft w:val="0"/>
      <w:marRight w:val="0"/>
      <w:marTop w:val="180"/>
      <w:marBottom w:val="180"/>
      <w:divBdr>
        <w:top w:val="none" w:sz="0" w:space="0" w:color="auto"/>
        <w:left w:val="none" w:sz="0" w:space="0" w:color="auto"/>
        <w:bottom w:val="none" w:sz="0" w:space="0" w:color="auto"/>
        <w:right w:val="none" w:sz="0" w:space="0" w:color="auto"/>
      </w:divBdr>
    </w:div>
    <w:div w:id="1553688422">
      <w:marLeft w:val="0"/>
      <w:marRight w:val="0"/>
      <w:marTop w:val="60"/>
      <w:marBottom w:val="60"/>
      <w:divBdr>
        <w:top w:val="none" w:sz="0" w:space="0" w:color="auto"/>
        <w:left w:val="none" w:sz="0" w:space="0" w:color="auto"/>
        <w:bottom w:val="none" w:sz="0" w:space="0" w:color="auto"/>
        <w:right w:val="none" w:sz="0" w:space="0" w:color="auto"/>
      </w:divBdr>
    </w:div>
    <w:div w:id="1553888760">
      <w:marLeft w:val="0"/>
      <w:marRight w:val="0"/>
      <w:marTop w:val="180"/>
      <w:marBottom w:val="180"/>
      <w:divBdr>
        <w:top w:val="none" w:sz="0" w:space="0" w:color="auto"/>
        <w:left w:val="none" w:sz="0" w:space="0" w:color="auto"/>
        <w:bottom w:val="none" w:sz="0" w:space="0" w:color="auto"/>
        <w:right w:val="none" w:sz="0" w:space="0" w:color="auto"/>
      </w:divBdr>
    </w:div>
    <w:div w:id="1554072474">
      <w:marLeft w:val="0"/>
      <w:marRight w:val="0"/>
      <w:marTop w:val="180"/>
      <w:marBottom w:val="180"/>
      <w:divBdr>
        <w:top w:val="none" w:sz="0" w:space="0" w:color="auto"/>
        <w:left w:val="none" w:sz="0" w:space="0" w:color="auto"/>
        <w:bottom w:val="none" w:sz="0" w:space="0" w:color="auto"/>
        <w:right w:val="none" w:sz="0" w:space="0" w:color="auto"/>
      </w:divBdr>
    </w:div>
    <w:div w:id="1555042800">
      <w:marLeft w:val="0"/>
      <w:marRight w:val="0"/>
      <w:marTop w:val="120"/>
      <w:marBottom w:val="60"/>
      <w:divBdr>
        <w:top w:val="none" w:sz="0" w:space="0" w:color="auto"/>
        <w:left w:val="none" w:sz="0" w:space="0" w:color="auto"/>
        <w:bottom w:val="none" w:sz="0" w:space="0" w:color="auto"/>
        <w:right w:val="none" w:sz="0" w:space="0" w:color="auto"/>
      </w:divBdr>
    </w:div>
    <w:div w:id="1557202342">
      <w:marLeft w:val="0"/>
      <w:marRight w:val="0"/>
      <w:marTop w:val="0"/>
      <w:marBottom w:val="0"/>
      <w:divBdr>
        <w:top w:val="none" w:sz="0" w:space="0" w:color="auto"/>
        <w:left w:val="none" w:sz="0" w:space="0" w:color="auto"/>
        <w:bottom w:val="none" w:sz="0" w:space="0" w:color="auto"/>
        <w:right w:val="none" w:sz="0" w:space="0" w:color="auto"/>
      </w:divBdr>
      <w:divsChild>
        <w:div w:id="1439177042">
          <w:marLeft w:val="0"/>
          <w:marRight w:val="0"/>
          <w:marTop w:val="0"/>
          <w:marBottom w:val="0"/>
          <w:divBdr>
            <w:top w:val="none" w:sz="0" w:space="0" w:color="auto"/>
            <w:left w:val="none" w:sz="0" w:space="0" w:color="auto"/>
            <w:bottom w:val="none" w:sz="0" w:space="0" w:color="auto"/>
            <w:right w:val="none" w:sz="0" w:space="0" w:color="auto"/>
          </w:divBdr>
          <w:divsChild>
            <w:div w:id="21682215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62399048">
      <w:marLeft w:val="0"/>
      <w:marRight w:val="0"/>
      <w:marTop w:val="180"/>
      <w:marBottom w:val="180"/>
      <w:divBdr>
        <w:top w:val="none" w:sz="0" w:space="0" w:color="auto"/>
        <w:left w:val="none" w:sz="0" w:space="0" w:color="auto"/>
        <w:bottom w:val="none" w:sz="0" w:space="0" w:color="auto"/>
        <w:right w:val="none" w:sz="0" w:space="0" w:color="auto"/>
      </w:divBdr>
    </w:div>
    <w:div w:id="1568414683">
      <w:marLeft w:val="0"/>
      <w:marRight w:val="0"/>
      <w:marTop w:val="180"/>
      <w:marBottom w:val="180"/>
      <w:divBdr>
        <w:top w:val="none" w:sz="0" w:space="0" w:color="auto"/>
        <w:left w:val="none" w:sz="0" w:space="0" w:color="auto"/>
        <w:bottom w:val="none" w:sz="0" w:space="0" w:color="auto"/>
        <w:right w:val="none" w:sz="0" w:space="0" w:color="auto"/>
      </w:divBdr>
    </w:div>
    <w:div w:id="1568958934">
      <w:marLeft w:val="0"/>
      <w:marRight w:val="0"/>
      <w:marTop w:val="180"/>
      <w:marBottom w:val="60"/>
      <w:divBdr>
        <w:top w:val="none" w:sz="0" w:space="0" w:color="auto"/>
        <w:left w:val="none" w:sz="0" w:space="0" w:color="auto"/>
        <w:bottom w:val="none" w:sz="0" w:space="0" w:color="auto"/>
        <w:right w:val="none" w:sz="0" w:space="0" w:color="auto"/>
      </w:divBdr>
    </w:div>
    <w:div w:id="1570454546">
      <w:marLeft w:val="0"/>
      <w:marRight w:val="0"/>
      <w:marTop w:val="180"/>
      <w:marBottom w:val="180"/>
      <w:divBdr>
        <w:top w:val="none" w:sz="0" w:space="0" w:color="auto"/>
        <w:left w:val="none" w:sz="0" w:space="0" w:color="auto"/>
        <w:bottom w:val="none" w:sz="0" w:space="0" w:color="auto"/>
        <w:right w:val="none" w:sz="0" w:space="0" w:color="auto"/>
      </w:divBdr>
    </w:div>
    <w:div w:id="1572347815">
      <w:marLeft w:val="0"/>
      <w:marRight w:val="0"/>
      <w:marTop w:val="180"/>
      <w:marBottom w:val="180"/>
      <w:divBdr>
        <w:top w:val="none" w:sz="0" w:space="0" w:color="auto"/>
        <w:left w:val="none" w:sz="0" w:space="0" w:color="auto"/>
        <w:bottom w:val="none" w:sz="0" w:space="0" w:color="auto"/>
        <w:right w:val="none" w:sz="0" w:space="0" w:color="auto"/>
      </w:divBdr>
    </w:div>
    <w:div w:id="1574587659">
      <w:marLeft w:val="0"/>
      <w:marRight w:val="0"/>
      <w:marTop w:val="60"/>
      <w:marBottom w:val="60"/>
      <w:divBdr>
        <w:top w:val="none" w:sz="0" w:space="0" w:color="auto"/>
        <w:left w:val="none" w:sz="0" w:space="0" w:color="auto"/>
        <w:bottom w:val="none" w:sz="0" w:space="0" w:color="auto"/>
        <w:right w:val="none" w:sz="0" w:space="0" w:color="auto"/>
      </w:divBdr>
    </w:div>
    <w:div w:id="1574657877">
      <w:marLeft w:val="0"/>
      <w:marRight w:val="0"/>
      <w:marTop w:val="180"/>
      <w:marBottom w:val="60"/>
      <w:divBdr>
        <w:top w:val="none" w:sz="0" w:space="0" w:color="auto"/>
        <w:left w:val="none" w:sz="0" w:space="0" w:color="auto"/>
        <w:bottom w:val="none" w:sz="0" w:space="0" w:color="auto"/>
        <w:right w:val="none" w:sz="0" w:space="0" w:color="auto"/>
      </w:divBdr>
    </w:div>
    <w:div w:id="1576624870">
      <w:marLeft w:val="0"/>
      <w:marRight w:val="0"/>
      <w:marTop w:val="100"/>
      <w:marBottom w:val="0"/>
      <w:divBdr>
        <w:top w:val="none" w:sz="0" w:space="0" w:color="auto"/>
        <w:left w:val="none" w:sz="0" w:space="0" w:color="auto"/>
        <w:bottom w:val="none" w:sz="0" w:space="0" w:color="auto"/>
        <w:right w:val="none" w:sz="0" w:space="0" w:color="auto"/>
      </w:divBdr>
      <w:divsChild>
        <w:div w:id="1626813678">
          <w:marLeft w:val="0"/>
          <w:marRight w:val="0"/>
          <w:marTop w:val="0"/>
          <w:marBottom w:val="0"/>
          <w:divBdr>
            <w:top w:val="none" w:sz="0" w:space="0" w:color="auto"/>
            <w:left w:val="none" w:sz="0" w:space="0" w:color="auto"/>
            <w:bottom w:val="none" w:sz="0" w:space="0" w:color="auto"/>
            <w:right w:val="none" w:sz="0" w:space="0" w:color="auto"/>
          </w:divBdr>
        </w:div>
      </w:divsChild>
    </w:div>
    <w:div w:id="1579706923">
      <w:marLeft w:val="0"/>
      <w:marRight w:val="0"/>
      <w:marTop w:val="180"/>
      <w:marBottom w:val="180"/>
      <w:divBdr>
        <w:top w:val="none" w:sz="0" w:space="0" w:color="auto"/>
        <w:left w:val="none" w:sz="0" w:space="0" w:color="auto"/>
        <w:bottom w:val="none" w:sz="0" w:space="0" w:color="auto"/>
        <w:right w:val="none" w:sz="0" w:space="0" w:color="auto"/>
      </w:divBdr>
    </w:div>
    <w:div w:id="1581673245">
      <w:marLeft w:val="0"/>
      <w:marRight w:val="0"/>
      <w:marTop w:val="180"/>
      <w:marBottom w:val="180"/>
      <w:divBdr>
        <w:top w:val="none" w:sz="0" w:space="0" w:color="auto"/>
        <w:left w:val="none" w:sz="0" w:space="0" w:color="auto"/>
        <w:bottom w:val="none" w:sz="0" w:space="0" w:color="auto"/>
        <w:right w:val="none" w:sz="0" w:space="0" w:color="auto"/>
      </w:divBdr>
    </w:div>
    <w:div w:id="1583366633">
      <w:marLeft w:val="0"/>
      <w:marRight w:val="0"/>
      <w:marTop w:val="60"/>
      <w:marBottom w:val="60"/>
      <w:divBdr>
        <w:top w:val="none" w:sz="0" w:space="0" w:color="auto"/>
        <w:left w:val="none" w:sz="0" w:space="0" w:color="auto"/>
        <w:bottom w:val="none" w:sz="0" w:space="0" w:color="auto"/>
        <w:right w:val="none" w:sz="0" w:space="0" w:color="auto"/>
      </w:divBdr>
    </w:div>
    <w:div w:id="1584876276">
      <w:marLeft w:val="0"/>
      <w:marRight w:val="0"/>
      <w:marTop w:val="0"/>
      <w:marBottom w:val="0"/>
      <w:divBdr>
        <w:top w:val="none" w:sz="0" w:space="0" w:color="auto"/>
        <w:left w:val="none" w:sz="0" w:space="0" w:color="auto"/>
        <w:bottom w:val="none" w:sz="0" w:space="0" w:color="auto"/>
        <w:right w:val="none" w:sz="0" w:space="0" w:color="auto"/>
      </w:divBdr>
    </w:div>
    <w:div w:id="1585799450">
      <w:marLeft w:val="0"/>
      <w:marRight w:val="0"/>
      <w:marTop w:val="0"/>
      <w:marBottom w:val="0"/>
      <w:divBdr>
        <w:top w:val="none" w:sz="0" w:space="0" w:color="auto"/>
        <w:left w:val="none" w:sz="0" w:space="0" w:color="auto"/>
        <w:bottom w:val="none" w:sz="0" w:space="0" w:color="auto"/>
        <w:right w:val="none" w:sz="0" w:space="0" w:color="auto"/>
      </w:divBdr>
      <w:divsChild>
        <w:div w:id="238446048">
          <w:marLeft w:val="0"/>
          <w:marRight w:val="0"/>
          <w:marTop w:val="0"/>
          <w:marBottom w:val="0"/>
          <w:divBdr>
            <w:top w:val="none" w:sz="0" w:space="0" w:color="auto"/>
            <w:left w:val="none" w:sz="0" w:space="0" w:color="auto"/>
            <w:bottom w:val="none" w:sz="0" w:space="0" w:color="auto"/>
            <w:right w:val="none" w:sz="0" w:space="0" w:color="auto"/>
          </w:divBdr>
          <w:divsChild>
            <w:div w:id="137923492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87689624">
      <w:marLeft w:val="0"/>
      <w:marRight w:val="0"/>
      <w:marTop w:val="180"/>
      <w:marBottom w:val="180"/>
      <w:divBdr>
        <w:top w:val="none" w:sz="0" w:space="0" w:color="auto"/>
        <w:left w:val="none" w:sz="0" w:space="0" w:color="auto"/>
        <w:bottom w:val="none" w:sz="0" w:space="0" w:color="auto"/>
        <w:right w:val="none" w:sz="0" w:space="0" w:color="auto"/>
      </w:divBdr>
    </w:div>
    <w:div w:id="1590700064">
      <w:marLeft w:val="0"/>
      <w:marRight w:val="0"/>
      <w:marTop w:val="0"/>
      <w:marBottom w:val="0"/>
      <w:divBdr>
        <w:top w:val="none" w:sz="0" w:space="0" w:color="auto"/>
        <w:left w:val="none" w:sz="0" w:space="0" w:color="auto"/>
        <w:bottom w:val="none" w:sz="0" w:space="0" w:color="auto"/>
        <w:right w:val="none" w:sz="0" w:space="0" w:color="auto"/>
      </w:divBdr>
      <w:divsChild>
        <w:div w:id="1414472896">
          <w:marLeft w:val="0"/>
          <w:marRight w:val="0"/>
          <w:marTop w:val="0"/>
          <w:marBottom w:val="0"/>
          <w:divBdr>
            <w:top w:val="none" w:sz="0" w:space="0" w:color="auto"/>
            <w:left w:val="none" w:sz="0" w:space="0" w:color="auto"/>
            <w:bottom w:val="none" w:sz="0" w:space="0" w:color="auto"/>
            <w:right w:val="none" w:sz="0" w:space="0" w:color="auto"/>
          </w:divBdr>
          <w:divsChild>
            <w:div w:id="87216006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91887887">
      <w:marLeft w:val="0"/>
      <w:marRight w:val="0"/>
      <w:marTop w:val="0"/>
      <w:marBottom w:val="0"/>
      <w:divBdr>
        <w:top w:val="none" w:sz="0" w:space="0" w:color="auto"/>
        <w:left w:val="none" w:sz="0" w:space="0" w:color="auto"/>
        <w:bottom w:val="none" w:sz="0" w:space="0" w:color="auto"/>
        <w:right w:val="none" w:sz="0" w:space="0" w:color="auto"/>
      </w:divBdr>
    </w:div>
    <w:div w:id="1592398102">
      <w:marLeft w:val="0"/>
      <w:marRight w:val="0"/>
      <w:marTop w:val="180"/>
      <w:marBottom w:val="180"/>
      <w:divBdr>
        <w:top w:val="none" w:sz="0" w:space="0" w:color="auto"/>
        <w:left w:val="none" w:sz="0" w:space="0" w:color="auto"/>
        <w:bottom w:val="none" w:sz="0" w:space="0" w:color="auto"/>
        <w:right w:val="none" w:sz="0" w:space="0" w:color="auto"/>
      </w:divBdr>
    </w:div>
    <w:div w:id="1594391634">
      <w:marLeft w:val="0"/>
      <w:marRight w:val="0"/>
      <w:marTop w:val="180"/>
      <w:marBottom w:val="180"/>
      <w:divBdr>
        <w:top w:val="none" w:sz="0" w:space="0" w:color="auto"/>
        <w:left w:val="none" w:sz="0" w:space="0" w:color="auto"/>
        <w:bottom w:val="none" w:sz="0" w:space="0" w:color="auto"/>
        <w:right w:val="none" w:sz="0" w:space="0" w:color="auto"/>
      </w:divBdr>
    </w:div>
    <w:div w:id="1594513963">
      <w:marLeft w:val="0"/>
      <w:marRight w:val="0"/>
      <w:marTop w:val="180"/>
      <w:marBottom w:val="180"/>
      <w:divBdr>
        <w:top w:val="none" w:sz="0" w:space="0" w:color="auto"/>
        <w:left w:val="none" w:sz="0" w:space="0" w:color="auto"/>
        <w:bottom w:val="none" w:sz="0" w:space="0" w:color="auto"/>
        <w:right w:val="none" w:sz="0" w:space="0" w:color="auto"/>
      </w:divBdr>
    </w:div>
    <w:div w:id="1597441519">
      <w:marLeft w:val="0"/>
      <w:marRight w:val="0"/>
      <w:marTop w:val="180"/>
      <w:marBottom w:val="180"/>
      <w:divBdr>
        <w:top w:val="none" w:sz="0" w:space="0" w:color="auto"/>
        <w:left w:val="none" w:sz="0" w:space="0" w:color="auto"/>
        <w:bottom w:val="none" w:sz="0" w:space="0" w:color="auto"/>
        <w:right w:val="none" w:sz="0" w:space="0" w:color="auto"/>
      </w:divBdr>
    </w:div>
    <w:div w:id="1599829351">
      <w:marLeft w:val="0"/>
      <w:marRight w:val="0"/>
      <w:marTop w:val="180"/>
      <w:marBottom w:val="180"/>
      <w:divBdr>
        <w:top w:val="none" w:sz="0" w:space="0" w:color="auto"/>
        <w:left w:val="none" w:sz="0" w:space="0" w:color="auto"/>
        <w:bottom w:val="none" w:sz="0" w:space="0" w:color="auto"/>
        <w:right w:val="none" w:sz="0" w:space="0" w:color="auto"/>
      </w:divBdr>
    </w:div>
    <w:div w:id="1600217315">
      <w:marLeft w:val="0"/>
      <w:marRight w:val="0"/>
      <w:marTop w:val="0"/>
      <w:marBottom w:val="0"/>
      <w:divBdr>
        <w:top w:val="none" w:sz="0" w:space="0" w:color="auto"/>
        <w:left w:val="none" w:sz="0" w:space="0" w:color="auto"/>
        <w:bottom w:val="none" w:sz="0" w:space="0" w:color="auto"/>
        <w:right w:val="none" w:sz="0" w:space="0" w:color="auto"/>
      </w:divBdr>
    </w:div>
    <w:div w:id="1600869963">
      <w:marLeft w:val="0"/>
      <w:marRight w:val="0"/>
      <w:marTop w:val="60"/>
      <w:marBottom w:val="60"/>
      <w:divBdr>
        <w:top w:val="none" w:sz="0" w:space="0" w:color="auto"/>
        <w:left w:val="none" w:sz="0" w:space="0" w:color="auto"/>
        <w:bottom w:val="none" w:sz="0" w:space="0" w:color="auto"/>
        <w:right w:val="none" w:sz="0" w:space="0" w:color="auto"/>
      </w:divBdr>
    </w:div>
    <w:div w:id="1601524372">
      <w:marLeft w:val="0"/>
      <w:marRight w:val="0"/>
      <w:marTop w:val="180"/>
      <w:marBottom w:val="180"/>
      <w:divBdr>
        <w:top w:val="none" w:sz="0" w:space="0" w:color="auto"/>
        <w:left w:val="none" w:sz="0" w:space="0" w:color="auto"/>
        <w:bottom w:val="none" w:sz="0" w:space="0" w:color="auto"/>
        <w:right w:val="none" w:sz="0" w:space="0" w:color="auto"/>
      </w:divBdr>
    </w:div>
    <w:div w:id="1602644838">
      <w:marLeft w:val="0"/>
      <w:marRight w:val="0"/>
      <w:marTop w:val="0"/>
      <w:marBottom w:val="0"/>
      <w:divBdr>
        <w:top w:val="none" w:sz="0" w:space="0" w:color="auto"/>
        <w:left w:val="none" w:sz="0" w:space="0" w:color="auto"/>
        <w:bottom w:val="none" w:sz="0" w:space="0" w:color="auto"/>
        <w:right w:val="none" w:sz="0" w:space="0" w:color="auto"/>
      </w:divBdr>
    </w:div>
    <w:div w:id="1603493979">
      <w:marLeft w:val="0"/>
      <w:marRight w:val="0"/>
      <w:marTop w:val="180"/>
      <w:marBottom w:val="180"/>
      <w:divBdr>
        <w:top w:val="none" w:sz="0" w:space="0" w:color="auto"/>
        <w:left w:val="none" w:sz="0" w:space="0" w:color="auto"/>
        <w:bottom w:val="none" w:sz="0" w:space="0" w:color="auto"/>
        <w:right w:val="none" w:sz="0" w:space="0" w:color="auto"/>
      </w:divBdr>
    </w:div>
    <w:div w:id="1603999909">
      <w:marLeft w:val="0"/>
      <w:marRight w:val="0"/>
      <w:marTop w:val="180"/>
      <w:marBottom w:val="180"/>
      <w:divBdr>
        <w:top w:val="none" w:sz="0" w:space="0" w:color="auto"/>
        <w:left w:val="none" w:sz="0" w:space="0" w:color="auto"/>
        <w:bottom w:val="none" w:sz="0" w:space="0" w:color="auto"/>
        <w:right w:val="none" w:sz="0" w:space="0" w:color="auto"/>
      </w:divBdr>
    </w:div>
    <w:div w:id="1604729761">
      <w:marLeft w:val="0"/>
      <w:marRight w:val="0"/>
      <w:marTop w:val="180"/>
      <w:marBottom w:val="180"/>
      <w:divBdr>
        <w:top w:val="none" w:sz="0" w:space="0" w:color="auto"/>
        <w:left w:val="none" w:sz="0" w:space="0" w:color="auto"/>
        <w:bottom w:val="none" w:sz="0" w:space="0" w:color="auto"/>
        <w:right w:val="none" w:sz="0" w:space="0" w:color="auto"/>
      </w:divBdr>
    </w:div>
    <w:div w:id="1604992149">
      <w:marLeft w:val="0"/>
      <w:marRight w:val="0"/>
      <w:marTop w:val="180"/>
      <w:marBottom w:val="180"/>
      <w:divBdr>
        <w:top w:val="none" w:sz="0" w:space="0" w:color="auto"/>
        <w:left w:val="none" w:sz="0" w:space="0" w:color="auto"/>
        <w:bottom w:val="none" w:sz="0" w:space="0" w:color="auto"/>
        <w:right w:val="none" w:sz="0" w:space="0" w:color="auto"/>
      </w:divBdr>
    </w:div>
    <w:div w:id="1605921340">
      <w:marLeft w:val="0"/>
      <w:marRight w:val="0"/>
      <w:marTop w:val="180"/>
      <w:marBottom w:val="180"/>
      <w:divBdr>
        <w:top w:val="none" w:sz="0" w:space="0" w:color="auto"/>
        <w:left w:val="none" w:sz="0" w:space="0" w:color="auto"/>
        <w:bottom w:val="none" w:sz="0" w:space="0" w:color="auto"/>
        <w:right w:val="none" w:sz="0" w:space="0" w:color="auto"/>
      </w:divBdr>
    </w:div>
    <w:div w:id="1606384417">
      <w:marLeft w:val="0"/>
      <w:marRight w:val="0"/>
      <w:marTop w:val="0"/>
      <w:marBottom w:val="0"/>
      <w:divBdr>
        <w:top w:val="none" w:sz="0" w:space="0" w:color="auto"/>
        <w:left w:val="none" w:sz="0" w:space="0" w:color="auto"/>
        <w:bottom w:val="none" w:sz="0" w:space="0" w:color="auto"/>
        <w:right w:val="none" w:sz="0" w:space="0" w:color="auto"/>
      </w:divBdr>
    </w:div>
    <w:div w:id="1607537431">
      <w:marLeft w:val="0"/>
      <w:marRight w:val="0"/>
      <w:marTop w:val="180"/>
      <w:marBottom w:val="180"/>
      <w:divBdr>
        <w:top w:val="none" w:sz="0" w:space="0" w:color="auto"/>
        <w:left w:val="none" w:sz="0" w:space="0" w:color="auto"/>
        <w:bottom w:val="none" w:sz="0" w:space="0" w:color="auto"/>
        <w:right w:val="none" w:sz="0" w:space="0" w:color="auto"/>
      </w:divBdr>
    </w:div>
    <w:div w:id="1607689647">
      <w:marLeft w:val="0"/>
      <w:marRight w:val="0"/>
      <w:marTop w:val="60"/>
      <w:marBottom w:val="60"/>
      <w:divBdr>
        <w:top w:val="none" w:sz="0" w:space="0" w:color="auto"/>
        <w:left w:val="none" w:sz="0" w:space="0" w:color="auto"/>
        <w:bottom w:val="none" w:sz="0" w:space="0" w:color="auto"/>
        <w:right w:val="none" w:sz="0" w:space="0" w:color="auto"/>
      </w:divBdr>
    </w:div>
    <w:div w:id="1607927943">
      <w:marLeft w:val="0"/>
      <w:marRight w:val="0"/>
      <w:marTop w:val="180"/>
      <w:marBottom w:val="60"/>
      <w:divBdr>
        <w:top w:val="none" w:sz="0" w:space="0" w:color="auto"/>
        <w:left w:val="none" w:sz="0" w:space="0" w:color="auto"/>
        <w:bottom w:val="none" w:sz="0" w:space="0" w:color="auto"/>
        <w:right w:val="none" w:sz="0" w:space="0" w:color="auto"/>
      </w:divBdr>
    </w:div>
    <w:div w:id="1609192097">
      <w:marLeft w:val="0"/>
      <w:marRight w:val="0"/>
      <w:marTop w:val="180"/>
      <w:marBottom w:val="180"/>
      <w:divBdr>
        <w:top w:val="none" w:sz="0" w:space="0" w:color="auto"/>
        <w:left w:val="none" w:sz="0" w:space="0" w:color="auto"/>
        <w:bottom w:val="none" w:sz="0" w:space="0" w:color="auto"/>
        <w:right w:val="none" w:sz="0" w:space="0" w:color="auto"/>
      </w:divBdr>
    </w:div>
    <w:div w:id="1609654454">
      <w:marLeft w:val="0"/>
      <w:marRight w:val="0"/>
      <w:marTop w:val="60"/>
      <w:marBottom w:val="60"/>
      <w:divBdr>
        <w:top w:val="none" w:sz="0" w:space="0" w:color="auto"/>
        <w:left w:val="none" w:sz="0" w:space="0" w:color="auto"/>
        <w:bottom w:val="none" w:sz="0" w:space="0" w:color="auto"/>
        <w:right w:val="none" w:sz="0" w:space="0" w:color="auto"/>
      </w:divBdr>
    </w:div>
    <w:div w:id="1612131476">
      <w:marLeft w:val="0"/>
      <w:marRight w:val="0"/>
      <w:marTop w:val="180"/>
      <w:marBottom w:val="180"/>
      <w:divBdr>
        <w:top w:val="none" w:sz="0" w:space="0" w:color="auto"/>
        <w:left w:val="none" w:sz="0" w:space="0" w:color="auto"/>
        <w:bottom w:val="none" w:sz="0" w:space="0" w:color="auto"/>
        <w:right w:val="none" w:sz="0" w:space="0" w:color="auto"/>
      </w:divBdr>
    </w:div>
    <w:div w:id="1612324727">
      <w:marLeft w:val="0"/>
      <w:marRight w:val="0"/>
      <w:marTop w:val="180"/>
      <w:marBottom w:val="180"/>
      <w:divBdr>
        <w:top w:val="none" w:sz="0" w:space="0" w:color="auto"/>
        <w:left w:val="none" w:sz="0" w:space="0" w:color="auto"/>
        <w:bottom w:val="none" w:sz="0" w:space="0" w:color="auto"/>
        <w:right w:val="none" w:sz="0" w:space="0" w:color="auto"/>
      </w:divBdr>
    </w:div>
    <w:div w:id="1612589346">
      <w:marLeft w:val="0"/>
      <w:marRight w:val="0"/>
      <w:marTop w:val="60"/>
      <w:marBottom w:val="60"/>
      <w:divBdr>
        <w:top w:val="none" w:sz="0" w:space="0" w:color="auto"/>
        <w:left w:val="none" w:sz="0" w:space="0" w:color="auto"/>
        <w:bottom w:val="none" w:sz="0" w:space="0" w:color="auto"/>
        <w:right w:val="none" w:sz="0" w:space="0" w:color="auto"/>
      </w:divBdr>
    </w:div>
    <w:div w:id="1612858320">
      <w:marLeft w:val="0"/>
      <w:marRight w:val="0"/>
      <w:marTop w:val="0"/>
      <w:marBottom w:val="0"/>
      <w:divBdr>
        <w:top w:val="none" w:sz="0" w:space="0" w:color="auto"/>
        <w:left w:val="none" w:sz="0" w:space="0" w:color="auto"/>
        <w:bottom w:val="none" w:sz="0" w:space="0" w:color="auto"/>
        <w:right w:val="none" w:sz="0" w:space="0" w:color="auto"/>
      </w:divBdr>
    </w:div>
    <w:div w:id="1617102379">
      <w:marLeft w:val="0"/>
      <w:marRight w:val="0"/>
      <w:marTop w:val="180"/>
      <w:marBottom w:val="180"/>
      <w:divBdr>
        <w:top w:val="none" w:sz="0" w:space="0" w:color="auto"/>
        <w:left w:val="none" w:sz="0" w:space="0" w:color="auto"/>
        <w:bottom w:val="none" w:sz="0" w:space="0" w:color="auto"/>
        <w:right w:val="none" w:sz="0" w:space="0" w:color="auto"/>
      </w:divBdr>
    </w:div>
    <w:div w:id="1618025694">
      <w:marLeft w:val="0"/>
      <w:marRight w:val="0"/>
      <w:marTop w:val="180"/>
      <w:marBottom w:val="180"/>
      <w:divBdr>
        <w:top w:val="none" w:sz="0" w:space="0" w:color="auto"/>
        <w:left w:val="none" w:sz="0" w:space="0" w:color="auto"/>
        <w:bottom w:val="none" w:sz="0" w:space="0" w:color="auto"/>
        <w:right w:val="none" w:sz="0" w:space="0" w:color="auto"/>
      </w:divBdr>
    </w:div>
    <w:div w:id="1620797795">
      <w:marLeft w:val="0"/>
      <w:marRight w:val="0"/>
      <w:marTop w:val="180"/>
      <w:marBottom w:val="180"/>
      <w:divBdr>
        <w:top w:val="none" w:sz="0" w:space="0" w:color="auto"/>
        <w:left w:val="none" w:sz="0" w:space="0" w:color="auto"/>
        <w:bottom w:val="none" w:sz="0" w:space="0" w:color="auto"/>
        <w:right w:val="none" w:sz="0" w:space="0" w:color="auto"/>
      </w:divBdr>
    </w:div>
    <w:div w:id="1621691546">
      <w:marLeft w:val="0"/>
      <w:marRight w:val="0"/>
      <w:marTop w:val="60"/>
      <w:marBottom w:val="60"/>
      <w:divBdr>
        <w:top w:val="none" w:sz="0" w:space="0" w:color="auto"/>
        <w:left w:val="none" w:sz="0" w:space="0" w:color="auto"/>
        <w:bottom w:val="none" w:sz="0" w:space="0" w:color="auto"/>
        <w:right w:val="none" w:sz="0" w:space="0" w:color="auto"/>
      </w:divBdr>
    </w:div>
    <w:div w:id="1624270017">
      <w:marLeft w:val="0"/>
      <w:marRight w:val="0"/>
      <w:marTop w:val="0"/>
      <w:marBottom w:val="0"/>
      <w:divBdr>
        <w:top w:val="none" w:sz="0" w:space="0" w:color="auto"/>
        <w:left w:val="none" w:sz="0" w:space="0" w:color="auto"/>
        <w:bottom w:val="none" w:sz="0" w:space="0" w:color="auto"/>
        <w:right w:val="none" w:sz="0" w:space="0" w:color="auto"/>
      </w:divBdr>
      <w:divsChild>
        <w:div w:id="2094164622">
          <w:marLeft w:val="0"/>
          <w:marRight w:val="0"/>
          <w:marTop w:val="60"/>
          <w:marBottom w:val="60"/>
          <w:divBdr>
            <w:top w:val="none" w:sz="0" w:space="0" w:color="auto"/>
            <w:left w:val="none" w:sz="0" w:space="0" w:color="auto"/>
            <w:bottom w:val="none" w:sz="0" w:space="0" w:color="auto"/>
            <w:right w:val="none" w:sz="0" w:space="0" w:color="auto"/>
          </w:divBdr>
        </w:div>
      </w:divsChild>
    </w:div>
    <w:div w:id="1626808993">
      <w:marLeft w:val="0"/>
      <w:marRight w:val="0"/>
      <w:marTop w:val="60"/>
      <w:marBottom w:val="60"/>
      <w:divBdr>
        <w:top w:val="none" w:sz="0" w:space="0" w:color="auto"/>
        <w:left w:val="none" w:sz="0" w:space="0" w:color="auto"/>
        <w:bottom w:val="none" w:sz="0" w:space="0" w:color="auto"/>
        <w:right w:val="none" w:sz="0" w:space="0" w:color="auto"/>
      </w:divBdr>
    </w:div>
    <w:div w:id="1626888330">
      <w:marLeft w:val="0"/>
      <w:marRight w:val="0"/>
      <w:marTop w:val="0"/>
      <w:marBottom w:val="0"/>
      <w:divBdr>
        <w:top w:val="none" w:sz="0" w:space="0" w:color="auto"/>
        <w:left w:val="none" w:sz="0" w:space="0" w:color="auto"/>
        <w:bottom w:val="none" w:sz="0" w:space="0" w:color="auto"/>
        <w:right w:val="none" w:sz="0" w:space="0" w:color="auto"/>
      </w:divBdr>
    </w:div>
    <w:div w:id="1631129556">
      <w:marLeft w:val="0"/>
      <w:marRight w:val="0"/>
      <w:marTop w:val="0"/>
      <w:marBottom w:val="0"/>
      <w:divBdr>
        <w:top w:val="none" w:sz="0" w:space="0" w:color="auto"/>
        <w:left w:val="none" w:sz="0" w:space="0" w:color="auto"/>
        <w:bottom w:val="none" w:sz="0" w:space="0" w:color="auto"/>
        <w:right w:val="none" w:sz="0" w:space="0" w:color="auto"/>
      </w:divBdr>
      <w:divsChild>
        <w:div w:id="1708677512">
          <w:marLeft w:val="0"/>
          <w:marRight w:val="0"/>
          <w:marTop w:val="60"/>
          <w:marBottom w:val="60"/>
          <w:divBdr>
            <w:top w:val="none" w:sz="0" w:space="0" w:color="auto"/>
            <w:left w:val="none" w:sz="0" w:space="0" w:color="auto"/>
            <w:bottom w:val="none" w:sz="0" w:space="0" w:color="auto"/>
            <w:right w:val="none" w:sz="0" w:space="0" w:color="auto"/>
          </w:divBdr>
        </w:div>
      </w:divsChild>
    </w:div>
    <w:div w:id="1631327616">
      <w:marLeft w:val="0"/>
      <w:marRight w:val="0"/>
      <w:marTop w:val="0"/>
      <w:marBottom w:val="0"/>
      <w:divBdr>
        <w:top w:val="none" w:sz="0" w:space="0" w:color="auto"/>
        <w:left w:val="none" w:sz="0" w:space="0" w:color="auto"/>
        <w:bottom w:val="none" w:sz="0" w:space="0" w:color="auto"/>
        <w:right w:val="none" w:sz="0" w:space="0" w:color="auto"/>
      </w:divBdr>
      <w:divsChild>
        <w:div w:id="1625036274">
          <w:marLeft w:val="0"/>
          <w:marRight w:val="0"/>
          <w:marTop w:val="0"/>
          <w:marBottom w:val="0"/>
          <w:divBdr>
            <w:top w:val="none" w:sz="0" w:space="0" w:color="auto"/>
            <w:left w:val="none" w:sz="0" w:space="0" w:color="auto"/>
            <w:bottom w:val="none" w:sz="0" w:space="0" w:color="auto"/>
            <w:right w:val="none" w:sz="0" w:space="0" w:color="auto"/>
          </w:divBdr>
          <w:divsChild>
            <w:div w:id="178901164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31672582">
      <w:marLeft w:val="0"/>
      <w:marRight w:val="0"/>
      <w:marTop w:val="180"/>
      <w:marBottom w:val="180"/>
      <w:divBdr>
        <w:top w:val="none" w:sz="0" w:space="0" w:color="auto"/>
        <w:left w:val="none" w:sz="0" w:space="0" w:color="auto"/>
        <w:bottom w:val="none" w:sz="0" w:space="0" w:color="auto"/>
        <w:right w:val="none" w:sz="0" w:space="0" w:color="auto"/>
      </w:divBdr>
    </w:div>
    <w:div w:id="1633435519">
      <w:marLeft w:val="0"/>
      <w:marRight w:val="0"/>
      <w:marTop w:val="0"/>
      <w:marBottom w:val="0"/>
      <w:divBdr>
        <w:top w:val="none" w:sz="0" w:space="0" w:color="auto"/>
        <w:left w:val="none" w:sz="0" w:space="0" w:color="auto"/>
        <w:bottom w:val="none" w:sz="0" w:space="0" w:color="auto"/>
        <w:right w:val="none" w:sz="0" w:space="0" w:color="auto"/>
      </w:divBdr>
      <w:divsChild>
        <w:div w:id="23484181">
          <w:marLeft w:val="0"/>
          <w:marRight w:val="0"/>
          <w:marTop w:val="0"/>
          <w:marBottom w:val="0"/>
          <w:divBdr>
            <w:top w:val="none" w:sz="0" w:space="0" w:color="auto"/>
            <w:left w:val="none" w:sz="0" w:space="0" w:color="auto"/>
            <w:bottom w:val="none" w:sz="0" w:space="0" w:color="auto"/>
            <w:right w:val="none" w:sz="0" w:space="0" w:color="auto"/>
          </w:divBdr>
          <w:divsChild>
            <w:div w:id="129533056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33558671">
      <w:marLeft w:val="0"/>
      <w:marRight w:val="0"/>
      <w:marTop w:val="180"/>
      <w:marBottom w:val="0"/>
      <w:divBdr>
        <w:top w:val="none" w:sz="0" w:space="0" w:color="auto"/>
        <w:left w:val="none" w:sz="0" w:space="0" w:color="auto"/>
        <w:bottom w:val="none" w:sz="0" w:space="0" w:color="auto"/>
        <w:right w:val="none" w:sz="0" w:space="0" w:color="auto"/>
      </w:divBdr>
      <w:divsChild>
        <w:div w:id="1605454505">
          <w:marLeft w:val="0"/>
          <w:marRight w:val="0"/>
          <w:marTop w:val="180"/>
          <w:marBottom w:val="180"/>
          <w:divBdr>
            <w:top w:val="none" w:sz="0" w:space="0" w:color="auto"/>
            <w:left w:val="none" w:sz="0" w:space="0" w:color="auto"/>
            <w:bottom w:val="none" w:sz="0" w:space="0" w:color="auto"/>
            <w:right w:val="none" w:sz="0" w:space="0" w:color="auto"/>
          </w:divBdr>
        </w:div>
        <w:div w:id="1183471537">
          <w:marLeft w:val="0"/>
          <w:marRight w:val="0"/>
          <w:marTop w:val="180"/>
          <w:marBottom w:val="180"/>
          <w:divBdr>
            <w:top w:val="none" w:sz="0" w:space="0" w:color="auto"/>
            <w:left w:val="none" w:sz="0" w:space="0" w:color="auto"/>
            <w:bottom w:val="none" w:sz="0" w:space="0" w:color="auto"/>
            <w:right w:val="none" w:sz="0" w:space="0" w:color="auto"/>
          </w:divBdr>
        </w:div>
        <w:div w:id="1028219671">
          <w:marLeft w:val="0"/>
          <w:marRight w:val="0"/>
          <w:marTop w:val="180"/>
          <w:marBottom w:val="180"/>
          <w:divBdr>
            <w:top w:val="none" w:sz="0" w:space="0" w:color="auto"/>
            <w:left w:val="none" w:sz="0" w:space="0" w:color="auto"/>
            <w:bottom w:val="none" w:sz="0" w:space="0" w:color="auto"/>
            <w:right w:val="none" w:sz="0" w:space="0" w:color="auto"/>
          </w:divBdr>
        </w:div>
        <w:div w:id="400180997">
          <w:marLeft w:val="0"/>
          <w:marRight w:val="0"/>
          <w:marTop w:val="180"/>
          <w:marBottom w:val="180"/>
          <w:divBdr>
            <w:top w:val="none" w:sz="0" w:space="0" w:color="auto"/>
            <w:left w:val="none" w:sz="0" w:space="0" w:color="auto"/>
            <w:bottom w:val="none" w:sz="0" w:space="0" w:color="auto"/>
            <w:right w:val="none" w:sz="0" w:space="0" w:color="auto"/>
          </w:divBdr>
        </w:div>
        <w:div w:id="737438435">
          <w:marLeft w:val="0"/>
          <w:marRight w:val="0"/>
          <w:marTop w:val="180"/>
          <w:marBottom w:val="180"/>
          <w:divBdr>
            <w:top w:val="none" w:sz="0" w:space="0" w:color="auto"/>
            <w:left w:val="none" w:sz="0" w:space="0" w:color="auto"/>
            <w:bottom w:val="none" w:sz="0" w:space="0" w:color="auto"/>
            <w:right w:val="none" w:sz="0" w:space="0" w:color="auto"/>
          </w:divBdr>
        </w:div>
      </w:divsChild>
    </w:div>
    <w:div w:id="1634168808">
      <w:marLeft w:val="0"/>
      <w:marRight w:val="0"/>
      <w:marTop w:val="0"/>
      <w:marBottom w:val="0"/>
      <w:divBdr>
        <w:top w:val="none" w:sz="0" w:space="0" w:color="auto"/>
        <w:left w:val="none" w:sz="0" w:space="0" w:color="auto"/>
        <w:bottom w:val="none" w:sz="0" w:space="0" w:color="auto"/>
        <w:right w:val="none" w:sz="0" w:space="0" w:color="auto"/>
      </w:divBdr>
      <w:divsChild>
        <w:div w:id="1695614181">
          <w:marLeft w:val="0"/>
          <w:marRight w:val="0"/>
          <w:marTop w:val="0"/>
          <w:marBottom w:val="0"/>
          <w:divBdr>
            <w:top w:val="none" w:sz="0" w:space="0" w:color="auto"/>
            <w:left w:val="none" w:sz="0" w:space="0" w:color="auto"/>
            <w:bottom w:val="none" w:sz="0" w:space="0" w:color="auto"/>
            <w:right w:val="none" w:sz="0" w:space="0" w:color="auto"/>
          </w:divBdr>
          <w:divsChild>
            <w:div w:id="1292658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37029047">
      <w:marLeft w:val="0"/>
      <w:marRight w:val="0"/>
      <w:marTop w:val="180"/>
      <w:marBottom w:val="180"/>
      <w:divBdr>
        <w:top w:val="none" w:sz="0" w:space="0" w:color="auto"/>
        <w:left w:val="none" w:sz="0" w:space="0" w:color="auto"/>
        <w:bottom w:val="none" w:sz="0" w:space="0" w:color="auto"/>
        <w:right w:val="none" w:sz="0" w:space="0" w:color="auto"/>
      </w:divBdr>
    </w:div>
    <w:div w:id="1638953252">
      <w:marLeft w:val="0"/>
      <w:marRight w:val="0"/>
      <w:marTop w:val="0"/>
      <w:marBottom w:val="0"/>
      <w:divBdr>
        <w:top w:val="none" w:sz="0" w:space="0" w:color="auto"/>
        <w:left w:val="none" w:sz="0" w:space="0" w:color="auto"/>
        <w:bottom w:val="none" w:sz="0" w:space="0" w:color="auto"/>
        <w:right w:val="none" w:sz="0" w:space="0" w:color="auto"/>
      </w:divBdr>
    </w:div>
    <w:div w:id="1640113814">
      <w:marLeft w:val="0"/>
      <w:marRight w:val="0"/>
      <w:marTop w:val="0"/>
      <w:marBottom w:val="0"/>
      <w:divBdr>
        <w:top w:val="none" w:sz="0" w:space="0" w:color="auto"/>
        <w:left w:val="none" w:sz="0" w:space="0" w:color="auto"/>
        <w:bottom w:val="none" w:sz="0" w:space="0" w:color="auto"/>
        <w:right w:val="none" w:sz="0" w:space="0" w:color="auto"/>
      </w:divBdr>
      <w:divsChild>
        <w:div w:id="1783498651">
          <w:marLeft w:val="0"/>
          <w:marRight w:val="0"/>
          <w:marTop w:val="180"/>
          <w:marBottom w:val="180"/>
          <w:divBdr>
            <w:top w:val="none" w:sz="0" w:space="0" w:color="auto"/>
            <w:left w:val="none" w:sz="0" w:space="0" w:color="auto"/>
            <w:bottom w:val="none" w:sz="0" w:space="0" w:color="auto"/>
            <w:right w:val="none" w:sz="0" w:space="0" w:color="auto"/>
          </w:divBdr>
        </w:div>
      </w:divsChild>
    </w:div>
    <w:div w:id="1640500236">
      <w:marLeft w:val="0"/>
      <w:marRight w:val="0"/>
      <w:marTop w:val="180"/>
      <w:marBottom w:val="180"/>
      <w:divBdr>
        <w:top w:val="none" w:sz="0" w:space="0" w:color="auto"/>
        <w:left w:val="none" w:sz="0" w:space="0" w:color="auto"/>
        <w:bottom w:val="none" w:sz="0" w:space="0" w:color="auto"/>
        <w:right w:val="none" w:sz="0" w:space="0" w:color="auto"/>
      </w:divBdr>
    </w:div>
    <w:div w:id="1644657369">
      <w:marLeft w:val="0"/>
      <w:marRight w:val="0"/>
      <w:marTop w:val="180"/>
      <w:marBottom w:val="180"/>
      <w:divBdr>
        <w:top w:val="none" w:sz="0" w:space="0" w:color="auto"/>
        <w:left w:val="none" w:sz="0" w:space="0" w:color="auto"/>
        <w:bottom w:val="none" w:sz="0" w:space="0" w:color="auto"/>
        <w:right w:val="none" w:sz="0" w:space="0" w:color="auto"/>
      </w:divBdr>
    </w:div>
    <w:div w:id="1646161214">
      <w:marLeft w:val="0"/>
      <w:marRight w:val="0"/>
      <w:marTop w:val="180"/>
      <w:marBottom w:val="180"/>
      <w:divBdr>
        <w:top w:val="none" w:sz="0" w:space="0" w:color="auto"/>
        <w:left w:val="none" w:sz="0" w:space="0" w:color="auto"/>
        <w:bottom w:val="none" w:sz="0" w:space="0" w:color="auto"/>
        <w:right w:val="none" w:sz="0" w:space="0" w:color="auto"/>
      </w:divBdr>
    </w:div>
    <w:div w:id="1647398370">
      <w:marLeft w:val="0"/>
      <w:marRight w:val="0"/>
      <w:marTop w:val="60"/>
      <w:marBottom w:val="60"/>
      <w:divBdr>
        <w:top w:val="none" w:sz="0" w:space="0" w:color="auto"/>
        <w:left w:val="none" w:sz="0" w:space="0" w:color="auto"/>
        <w:bottom w:val="none" w:sz="0" w:space="0" w:color="auto"/>
        <w:right w:val="none" w:sz="0" w:space="0" w:color="auto"/>
      </w:divBdr>
    </w:div>
    <w:div w:id="1648627445">
      <w:marLeft w:val="0"/>
      <w:marRight w:val="0"/>
      <w:marTop w:val="60"/>
      <w:marBottom w:val="60"/>
      <w:divBdr>
        <w:top w:val="none" w:sz="0" w:space="0" w:color="auto"/>
        <w:left w:val="none" w:sz="0" w:space="0" w:color="auto"/>
        <w:bottom w:val="none" w:sz="0" w:space="0" w:color="auto"/>
        <w:right w:val="none" w:sz="0" w:space="0" w:color="auto"/>
      </w:divBdr>
    </w:div>
    <w:div w:id="1649506354">
      <w:marLeft w:val="0"/>
      <w:marRight w:val="0"/>
      <w:marTop w:val="180"/>
      <w:marBottom w:val="60"/>
      <w:divBdr>
        <w:top w:val="none" w:sz="0" w:space="0" w:color="auto"/>
        <w:left w:val="none" w:sz="0" w:space="0" w:color="auto"/>
        <w:bottom w:val="none" w:sz="0" w:space="0" w:color="auto"/>
        <w:right w:val="none" w:sz="0" w:space="0" w:color="auto"/>
      </w:divBdr>
    </w:div>
    <w:div w:id="1650211587">
      <w:marLeft w:val="0"/>
      <w:marRight w:val="0"/>
      <w:marTop w:val="180"/>
      <w:marBottom w:val="60"/>
      <w:divBdr>
        <w:top w:val="none" w:sz="0" w:space="0" w:color="auto"/>
        <w:left w:val="none" w:sz="0" w:space="0" w:color="auto"/>
        <w:bottom w:val="none" w:sz="0" w:space="0" w:color="auto"/>
        <w:right w:val="none" w:sz="0" w:space="0" w:color="auto"/>
      </w:divBdr>
    </w:div>
    <w:div w:id="1651325773">
      <w:marLeft w:val="0"/>
      <w:marRight w:val="0"/>
      <w:marTop w:val="60"/>
      <w:marBottom w:val="60"/>
      <w:divBdr>
        <w:top w:val="none" w:sz="0" w:space="0" w:color="auto"/>
        <w:left w:val="none" w:sz="0" w:space="0" w:color="auto"/>
        <w:bottom w:val="none" w:sz="0" w:space="0" w:color="auto"/>
        <w:right w:val="none" w:sz="0" w:space="0" w:color="auto"/>
      </w:divBdr>
    </w:div>
    <w:div w:id="1652128682">
      <w:marLeft w:val="0"/>
      <w:marRight w:val="0"/>
      <w:marTop w:val="60"/>
      <w:marBottom w:val="60"/>
      <w:divBdr>
        <w:top w:val="none" w:sz="0" w:space="0" w:color="auto"/>
        <w:left w:val="none" w:sz="0" w:space="0" w:color="auto"/>
        <w:bottom w:val="none" w:sz="0" w:space="0" w:color="auto"/>
        <w:right w:val="none" w:sz="0" w:space="0" w:color="auto"/>
      </w:divBdr>
    </w:div>
    <w:div w:id="1652562535">
      <w:marLeft w:val="0"/>
      <w:marRight w:val="0"/>
      <w:marTop w:val="0"/>
      <w:marBottom w:val="0"/>
      <w:divBdr>
        <w:top w:val="none" w:sz="0" w:space="0" w:color="auto"/>
        <w:left w:val="none" w:sz="0" w:space="0" w:color="auto"/>
        <w:bottom w:val="none" w:sz="0" w:space="0" w:color="auto"/>
        <w:right w:val="none" w:sz="0" w:space="0" w:color="auto"/>
      </w:divBdr>
      <w:divsChild>
        <w:div w:id="1069379097">
          <w:marLeft w:val="0"/>
          <w:marRight w:val="0"/>
          <w:marTop w:val="60"/>
          <w:marBottom w:val="60"/>
          <w:divBdr>
            <w:top w:val="none" w:sz="0" w:space="0" w:color="auto"/>
            <w:left w:val="none" w:sz="0" w:space="0" w:color="auto"/>
            <w:bottom w:val="none" w:sz="0" w:space="0" w:color="auto"/>
            <w:right w:val="none" w:sz="0" w:space="0" w:color="auto"/>
          </w:divBdr>
        </w:div>
      </w:divsChild>
    </w:div>
    <w:div w:id="1654144935">
      <w:marLeft w:val="0"/>
      <w:marRight w:val="0"/>
      <w:marTop w:val="0"/>
      <w:marBottom w:val="0"/>
      <w:divBdr>
        <w:top w:val="none" w:sz="0" w:space="0" w:color="auto"/>
        <w:left w:val="none" w:sz="0" w:space="0" w:color="auto"/>
        <w:bottom w:val="none" w:sz="0" w:space="0" w:color="auto"/>
        <w:right w:val="none" w:sz="0" w:space="0" w:color="auto"/>
      </w:divBdr>
      <w:divsChild>
        <w:div w:id="1183201810">
          <w:marLeft w:val="0"/>
          <w:marRight w:val="0"/>
          <w:marTop w:val="0"/>
          <w:marBottom w:val="0"/>
          <w:divBdr>
            <w:top w:val="none" w:sz="0" w:space="0" w:color="auto"/>
            <w:left w:val="none" w:sz="0" w:space="0" w:color="auto"/>
            <w:bottom w:val="none" w:sz="0" w:space="0" w:color="auto"/>
            <w:right w:val="none" w:sz="0" w:space="0" w:color="auto"/>
          </w:divBdr>
          <w:divsChild>
            <w:div w:id="101569209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58725610">
      <w:marLeft w:val="0"/>
      <w:marRight w:val="0"/>
      <w:marTop w:val="0"/>
      <w:marBottom w:val="0"/>
      <w:divBdr>
        <w:top w:val="none" w:sz="0" w:space="0" w:color="auto"/>
        <w:left w:val="none" w:sz="0" w:space="0" w:color="auto"/>
        <w:bottom w:val="none" w:sz="0" w:space="0" w:color="auto"/>
        <w:right w:val="none" w:sz="0" w:space="0" w:color="auto"/>
      </w:divBdr>
    </w:div>
    <w:div w:id="1662659795">
      <w:marLeft w:val="0"/>
      <w:marRight w:val="0"/>
      <w:marTop w:val="180"/>
      <w:marBottom w:val="180"/>
      <w:divBdr>
        <w:top w:val="none" w:sz="0" w:space="0" w:color="auto"/>
        <w:left w:val="none" w:sz="0" w:space="0" w:color="auto"/>
        <w:bottom w:val="none" w:sz="0" w:space="0" w:color="auto"/>
        <w:right w:val="none" w:sz="0" w:space="0" w:color="auto"/>
      </w:divBdr>
    </w:div>
    <w:div w:id="1662852308">
      <w:marLeft w:val="0"/>
      <w:marRight w:val="0"/>
      <w:marTop w:val="180"/>
      <w:marBottom w:val="180"/>
      <w:divBdr>
        <w:top w:val="none" w:sz="0" w:space="0" w:color="auto"/>
        <w:left w:val="none" w:sz="0" w:space="0" w:color="auto"/>
        <w:bottom w:val="none" w:sz="0" w:space="0" w:color="auto"/>
        <w:right w:val="none" w:sz="0" w:space="0" w:color="auto"/>
      </w:divBdr>
    </w:div>
    <w:div w:id="1664510929">
      <w:marLeft w:val="0"/>
      <w:marRight w:val="0"/>
      <w:marTop w:val="60"/>
      <w:marBottom w:val="60"/>
      <w:divBdr>
        <w:top w:val="none" w:sz="0" w:space="0" w:color="auto"/>
        <w:left w:val="none" w:sz="0" w:space="0" w:color="auto"/>
        <w:bottom w:val="none" w:sz="0" w:space="0" w:color="auto"/>
        <w:right w:val="none" w:sz="0" w:space="0" w:color="auto"/>
      </w:divBdr>
    </w:div>
    <w:div w:id="1668096097">
      <w:marLeft w:val="0"/>
      <w:marRight w:val="0"/>
      <w:marTop w:val="60"/>
      <w:marBottom w:val="60"/>
      <w:divBdr>
        <w:top w:val="none" w:sz="0" w:space="0" w:color="auto"/>
        <w:left w:val="none" w:sz="0" w:space="0" w:color="auto"/>
        <w:bottom w:val="none" w:sz="0" w:space="0" w:color="auto"/>
        <w:right w:val="none" w:sz="0" w:space="0" w:color="auto"/>
      </w:divBdr>
    </w:div>
    <w:div w:id="1668900545">
      <w:marLeft w:val="0"/>
      <w:marRight w:val="0"/>
      <w:marTop w:val="180"/>
      <w:marBottom w:val="60"/>
      <w:divBdr>
        <w:top w:val="none" w:sz="0" w:space="0" w:color="auto"/>
        <w:left w:val="none" w:sz="0" w:space="0" w:color="auto"/>
        <w:bottom w:val="none" w:sz="0" w:space="0" w:color="auto"/>
        <w:right w:val="none" w:sz="0" w:space="0" w:color="auto"/>
      </w:divBdr>
    </w:div>
    <w:div w:id="1671978553">
      <w:marLeft w:val="0"/>
      <w:marRight w:val="0"/>
      <w:marTop w:val="180"/>
      <w:marBottom w:val="180"/>
      <w:divBdr>
        <w:top w:val="none" w:sz="0" w:space="0" w:color="auto"/>
        <w:left w:val="none" w:sz="0" w:space="0" w:color="auto"/>
        <w:bottom w:val="none" w:sz="0" w:space="0" w:color="auto"/>
        <w:right w:val="none" w:sz="0" w:space="0" w:color="auto"/>
      </w:divBdr>
    </w:div>
    <w:div w:id="1674795352">
      <w:marLeft w:val="0"/>
      <w:marRight w:val="0"/>
      <w:marTop w:val="180"/>
      <w:marBottom w:val="60"/>
      <w:divBdr>
        <w:top w:val="none" w:sz="0" w:space="0" w:color="auto"/>
        <w:left w:val="none" w:sz="0" w:space="0" w:color="auto"/>
        <w:bottom w:val="none" w:sz="0" w:space="0" w:color="auto"/>
        <w:right w:val="none" w:sz="0" w:space="0" w:color="auto"/>
      </w:divBdr>
    </w:div>
    <w:div w:id="1677731153">
      <w:marLeft w:val="0"/>
      <w:marRight w:val="0"/>
      <w:marTop w:val="60"/>
      <w:marBottom w:val="0"/>
      <w:divBdr>
        <w:top w:val="none" w:sz="0" w:space="0" w:color="auto"/>
        <w:left w:val="none" w:sz="0" w:space="0" w:color="auto"/>
        <w:bottom w:val="none" w:sz="0" w:space="0" w:color="auto"/>
        <w:right w:val="none" w:sz="0" w:space="0" w:color="auto"/>
      </w:divBdr>
    </w:div>
    <w:div w:id="1678115720">
      <w:marLeft w:val="0"/>
      <w:marRight w:val="0"/>
      <w:marTop w:val="180"/>
      <w:marBottom w:val="180"/>
      <w:divBdr>
        <w:top w:val="none" w:sz="0" w:space="0" w:color="auto"/>
        <w:left w:val="none" w:sz="0" w:space="0" w:color="auto"/>
        <w:bottom w:val="none" w:sz="0" w:space="0" w:color="auto"/>
        <w:right w:val="none" w:sz="0" w:space="0" w:color="auto"/>
      </w:divBdr>
    </w:div>
    <w:div w:id="1678997931">
      <w:marLeft w:val="0"/>
      <w:marRight w:val="0"/>
      <w:marTop w:val="60"/>
      <w:marBottom w:val="60"/>
      <w:divBdr>
        <w:top w:val="none" w:sz="0" w:space="0" w:color="auto"/>
        <w:left w:val="none" w:sz="0" w:space="0" w:color="auto"/>
        <w:bottom w:val="none" w:sz="0" w:space="0" w:color="auto"/>
        <w:right w:val="none" w:sz="0" w:space="0" w:color="auto"/>
      </w:divBdr>
    </w:div>
    <w:div w:id="1683316459">
      <w:marLeft w:val="0"/>
      <w:marRight w:val="0"/>
      <w:marTop w:val="180"/>
      <w:marBottom w:val="180"/>
      <w:divBdr>
        <w:top w:val="none" w:sz="0" w:space="0" w:color="auto"/>
        <w:left w:val="none" w:sz="0" w:space="0" w:color="auto"/>
        <w:bottom w:val="none" w:sz="0" w:space="0" w:color="auto"/>
        <w:right w:val="none" w:sz="0" w:space="0" w:color="auto"/>
      </w:divBdr>
    </w:div>
    <w:div w:id="1683899348">
      <w:marLeft w:val="0"/>
      <w:marRight w:val="0"/>
      <w:marTop w:val="60"/>
      <w:marBottom w:val="60"/>
      <w:divBdr>
        <w:top w:val="none" w:sz="0" w:space="0" w:color="auto"/>
        <w:left w:val="none" w:sz="0" w:space="0" w:color="auto"/>
        <w:bottom w:val="none" w:sz="0" w:space="0" w:color="auto"/>
        <w:right w:val="none" w:sz="0" w:space="0" w:color="auto"/>
      </w:divBdr>
    </w:div>
    <w:div w:id="1684740637">
      <w:marLeft w:val="0"/>
      <w:marRight w:val="0"/>
      <w:marTop w:val="180"/>
      <w:marBottom w:val="180"/>
      <w:divBdr>
        <w:top w:val="none" w:sz="0" w:space="0" w:color="auto"/>
        <w:left w:val="none" w:sz="0" w:space="0" w:color="auto"/>
        <w:bottom w:val="none" w:sz="0" w:space="0" w:color="auto"/>
        <w:right w:val="none" w:sz="0" w:space="0" w:color="auto"/>
      </w:divBdr>
      <w:divsChild>
        <w:div w:id="1440491447">
          <w:marLeft w:val="0"/>
          <w:marRight w:val="0"/>
          <w:marTop w:val="0"/>
          <w:marBottom w:val="0"/>
          <w:divBdr>
            <w:top w:val="none" w:sz="0" w:space="0" w:color="auto"/>
            <w:left w:val="none" w:sz="0" w:space="0" w:color="auto"/>
            <w:bottom w:val="none" w:sz="0" w:space="0" w:color="auto"/>
            <w:right w:val="none" w:sz="0" w:space="0" w:color="auto"/>
          </w:divBdr>
        </w:div>
      </w:divsChild>
    </w:div>
    <w:div w:id="1685477905">
      <w:marLeft w:val="0"/>
      <w:marRight w:val="0"/>
      <w:marTop w:val="180"/>
      <w:marBottom w:val="180"/>
      <w:divBdr>
        <w:top w:val="none" w:sz="0" w:space="0" w:color="auto"/>
        <w:left w:val="none" w:sz="0" w:space="0" w:color="auto"/>
        <w:bottom w:val="none" w:sz="0" w:space="0" w:color="auto"/>
        <w:right w:val="none" w:sz="0" w:space="0" w:color="auto"/>
      </w:divBdr>
    </w:div>
    <w:div w:id="1685941498">
      <w:marLeft w:val="0"/>
      <w:marRight w:val="0"/>
      <w:marTop w:val="180"/>
      <w:marBottom w:val="180"/>
      <w:divBdr>
        <w:top w:val="none" w:sz="0" w:space="0" w:color="auto"/>
        <w:left w:val="none" w:sz="0" w:space="0" w:color="auto"/>
        <w:bottom w:val="none" w:sz="0" w:space="0" w:color="auto"/>
        <w:right w:val="none" w:sz="0" w:space="0" w:color="auto"/>
      </w:divBdr>
    </w:div>
    <w:div w:id="1686129213">
      <w:marLeft w:val="0"/>
      <w:marRight w:val="0"/>
      <w:marTop w:val="60"/>
      <w:marBottom w:val="60"/>
      <w:divBdr>
        <w:top w:val="none" w:sz="0" w:space="0" w:color="auto"/>
        <w:left w:val="none" w:sz="0" w:space="0" w:color="auto"/>
        <w:bottom w:val="none" w:sz="0" w:space="0" w:color="auto"/>
        <w:right w:val="none" w:sz="0" w:space="0" w:color="auto"/>
      </w:divBdr>
    </w:div>
    <w:div w:id="1686439514">
      <w:marLeft w:val="0"/>
      <w:marRight w:val="0"/>
      <w:marTop w:val="180"/>
      <w:marBottom w:val="180"/>
      <w:divBdr>
        <w:top w:val="none" w:sz="0" w:space="0" w:color="auto"/>
        <w:left w:val="none" w:sz="0" w:space="0" w:color="auto"/>
        <w:bottom w:val="none" w:sz="0" w:space="0" w:color="auto"/>
        <w:right w:val="none" w:sz="0" w:space="0" w:color="auto"/>
      </w:divBdr>
    </w:div>
    <w:div w:id="1688216066">
      <w:marLeft w:val="0"/>
      <w:marRight w:val="0"/>
      <w:marTop w:val="100"/>
      <w:marBottom w:val="0"/>
      <w:divBdr>
        <w:top w:val="none" w:sz="0" w:space="0" w:color="auto"/>
        <w:left w:val="none" w:sz="0" w:space="0" w:color="auto"/>
        <w:bottom w:val="none" w:sz="0" w:space="0" w:color="auto"/>
        <w:right w:val="none" w:sz="0" w:space="0" w:color="auto"/>
      </w:divBdr>
    </w:div>
    <w:div w:id="1695690273">
      <w:marLeft w:val="0"/>
      <w:marRight w:val="0"/>
      <w:marTop w:val="180"/>
      <w:marBottom w:val="180"/>
      <w:divBdr>
        <w:top w:val="none" w:sz="0" w:space="0" w:color="auto"/>
        <w:left w:val="none" w:sz="0" w:space="0" w:color="auto"/>
        <w:bottom w:val="none" w:sz="0" w:space="0" w:color="auto"/>
        <w:right w:val="none" w:sz="0" w:space="0" w:color="auto"/>
      </w:divBdr>
    </w:div>
    <w:div w:id="1699311276">
      <w:marLeft w:val="0"/>
      <w:marRight w:val="0"/>
      <w:marTop w:val="180"/>
      <w:marBottom w:val="180"/>
      <w:divBdr>
        <w:top w:val="none" w:sz="0" w:space="0" w:color="auto"/>
        <w:left w:val="none" w:sz="0" w:space="0" w:color="auto"/>
        <w:bottom w:val="none" w:sz="0" w:space="0" w:color="auto"/>
        <w:right w:val="none" w:sz="0" w:space="0" w:color="auto"/>
      </w:divBdr>
    </w:div>
    <w:div w:id="1699501049">
      <w:marLeft w:val="0"/>
      <w:marRight w:val="0"/>
      <w:marTop w:val="180"/>
      <w:marBottom w:val="180"/>
      <w:divBdr>
        <w:top w:val="none" w:sz="0" w:space="0" w:color="auto"/>
        <w:left w:val="none" w:sz="0" w:space="0" w:color="auto"/>
        <w:bottom w:val="none" w:sz="0" w:space="0" w:color="auto"/>
        <w:right w:val="none" w:sz="0" w:space="0" w:color="auto"/>
      </w:divBdr>
    </w:div>
    <w:div w:id="1700929550">
      <w:marLeft w:val="0"/>
      <w:marRight w:val="0"/>
      <w:marTop w:val="0"/>
      <w:marBottom w:val="0"/>
      <w:divBdr>
        <w:top w:val="none" w:sz="0" w:space="0" w:color="auto"/>
        <w:left w:val="none" w:sz="0" w:space="0" w:color="auto"/>
        <w:bottom w:val="none" w:sz="0" w:space="0" w:color="auto"/>
        <w:right w:val="none" w:sz="0" w:space="0" w:color="auto"/>
      </w:divBdr>
      <w:divsChild>
        <w:div w:id="254830712">
          <w:marLeft w:val="0"/>
          <w:marRight w:val="0"/>
          <w:marTop w:val="0"/>
          <w:marBottom w:val="0"/>
          <w:divBdr>
            <w:top w:val="none" w:sz="0" w:space="0" w:color="auto"/>
            <w:left w:val="none" w:sz="0" w:space="0" w:color="auto"/>
            <w:bottom w:val="none" w:sz="0" w:space="0" w:color="auto"/>
            <w:right w:val="none" w:sz="0" w:space="0" w:color="auto"/>
          </w:divBdr>
          <w:divsChild>
            <w:div w:id="173735938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03090925">
      <w:marLeft w:val="0"/>
      <w:marRight w:val="0"/>
      <w:marTop w:val="180"/>
      <w:marBottom w:val="180"/>
      <w:divBdr>
        <w:top w:val="none" w:sz="0" w:space="0" w:color="auto"/>
        <w:left w:val="none" w:sz="0" w:space="0" w:color="auto"/>
        <w:bottom w:val="none" w:sz="0" w:space="0" w:color="auto"/>
        <w:right w:val="none" w:sz="0" w:space="0" w:color="auto"/>
      </w:divBdr>
    </w:div>
    <w:div w:id="1709210743">
      <w:marLeft w:val="0"/>
      <w:marRight w:val="0"/>
      <w:marTop w:val="140"/>
      <w:marBottom w:val="180"/>
      <w:divBdr>
        <w:top w:val="none" w:sz="0" w:space="0" w:color="auto"/>
        <w:left w:val="none" w:sz="0" w:space="0" w:color="auto"/>
        <w:bottom w:val="none" w:sz="0" w:space="0" w:color="auto"/>
        <w:right w:val="none" w:sz="0" w:space="0" w:color="auto"/>
      </w:divBdr>
    </w:div>
    <w:div w:id="1709648876">
      <w:marLeft w:val="0"/>
      <w:marRight w:val="0"/>
      <w:marTop w:val="0"/>
      <w:marBottom w:val="0"/>
      <w:divBdr>
        <w:top w:val="none" w:sz="0" w:space="0" w:color="auto"/>
        <w:left w:val="none" w:sz="0" w:space="0" w:color="auto"/>
        <w:bottom w:val="none" w:sz="0" w:space="0" w:color="auto"/>
        <w:right w:val="none" w:sz="0" w:space="0" w:color="auto"/>
      </w:divBdr>
      <w:divsChild>
        <w:div w:id="1197162059">
          <w:marLeft w:val="0"/>
          <w:marRight w:val="0"/>
          <w:marTop w:val="60"/>
          <w:marBottom w:val="60"/>
          <w:divBdr>
            <w:top w:val="none" w:sz="0" w:space="0" w:color="auto"/>
            <w:left w:val="none" w:sz="0" w:space="0" w:color="auto"/>
            <w:bottom w:val="none" w:sz="0" w:space="0" w:color="auto"/>
            <w:right w:val="none" w:sz="0" w:space="0" w:color="auto"/>
          </w:divBdr>
        </w:div>
      </w:divsChild>
    </w:div>
    <w:div w:id="1709915606">
      <w:marLeft w:val="0"/>
      <w:marRight w:val="0"/>
      <w:marTop w:val="0"/>
      <w:marBottom w:val="0"/>
      <w:divBdr>
        <w:top w:val="none" w:sz="0" w:space="0" w:color="auto"/>
        <w:left w:val="none" w:sz="0" w:space="0" w:color="auto"/>
        <w:bottom w:val="none" w:sz="0" w:space="0" w:color="auto"/>
        <w:right w:val="none" w:sz="0" w:space="0" w:color="auto"/>
      </w:divBdr>
    </w:div>
    <w:div w:id="1713114875">
      <w:marLeft w:val="0"/>
      <w:marRight w:val="0"/>
      <w:marTop w:val="180"/>
      <w:marBottom w:val="180"/>
      <w:divBdr>
        <w:top w:val="none" w:sz="0" w:space="0" w:color="auto"/>
        <w:left w:val="none" w:sz="0" w:space="0" w:color="auto"/>
        <w:bottom w:val="none" w:sz="0" w:space="0" w:color="auto"/>
        <w:right w:val="none" w:sz="0" w:space="0" w:color="auto"/>
      </w:divBdr>
    </w:div>
    <w:div w:id="1713265172">
      <w:marLeft w:val="0"/>
      <w:marRight w:val="0"/>
      <w:marTop w:val="0"/>
      <w:marBottom w:val="0"/>
      <w:divBdr>
        <w:top w:val="none" w:sz="0" w:space="0" w:color="auto"/>
        <w:left w:val="none" w:sz="0" w:space="0" w:color="auto"/>
        <w:bottom w:val="none" w:sz="0" w:space="0" w:color="auto"/>
        <w:right w:val="none" w:sz="0" w:space="0" w:color="auto"/>
      </w:divBdr>
      <w:divsChild>
        <w:div w:id="709962928">
          <w:marLeft w:val="0"/>
          <w:marRight w:val="0"/>
          <w:marTop w:val="0"/>
          <w:marBottom w:val="0"/>
          <w:divBdr>
            <w:top w:val="none" w:sz="0" w:space="0" w:color="auto"/>
            <w:left w:val="none" w:sz="0" w:space="0" w:color="auto"/>
            <w:bottom w:val="none" w:sz="0" w:space="0" w:color="auto"/>
            <w:right w:val="none" w:sz="0" w:space="0" w:color="auto"/>
          </w:divBdr>
          <w:divsChild>
            <w:div w:id="114747876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14234408">
      <w:marLeft w:val="0"/>
      <w:marRight w:val="0"/>
      <w:marTop w:val="0"/>
      <w:marBottom w:val="0"/>
      <w:divBdr>
        <w:top w:val="none" w:sz="0" w:space="0" w:color="auto"/>
        <w:left w:val="none" w:sz="0" w:space="0" w:color="auto"/>
        <w:bottom w:val="none" w:sz="0" w:space="0" w:color="auto"/>
        <w:right w:val="none" w:sz="0" w:space="0" w:color="auto"/>
      </w:divBdr>
      <w:divsChild>
        <w:div w:id="405884837">
          <w:marLeft w:val="0"/>
          <w:marRight w:val="0"/>
          <w:marTop w:val="0"/>
          <w:marBottom w:val="0"/>
          <w:divBdr>
            <w:top w:val="none" w:sz="0" w:space="0" w:color="auto"/>
            <w:left w:val="none" w:sz="0" w:space="0" w:color="auto"/>
            <w:bottom w:val="none" w:sz="0" w:space="0" w:color="auto"/>
            <w:right w:val="none" w:sz="0" w:space="0" w:color="auto"/>
          </w:divBdr>
        </w:div>
        <w:div w:id="2072800293">
          <w:marLeft w:val="0"/>
          <w:marRight w:val="0"/>
          <w:marTop w:val="0"/>
          <w:marBottom w:val="0"/>
          <w:divBdr>
            <w:top w:val="none" w:sz="0" w:space="0" w:color="auto"/>
            <w:left w:val="none" w:sz="0" w:space="0" w:color="auto"/>
            <w:bottom w:val="none" w:sz="0" w:space="0" w:color="auto"/>
            <w:right w:val="none" w:sz="0" w:space="0" w:color="auto"/>
          </w:divBdr>
        </w:div>
        <w:div w:id="1970089874">
          <w:marLeft w:val="0"/>
          <w:marRight w:val="0"/>
          <w:marTop w:val="0"/>
          <w:marBottom w:val="0"/>
          <w:divBdr>
            <w:top w:val="none" w:sz="0" w:space="0" w:color="auto"/>
            <w:left w:val="none" w:sz="0" w:space="0" w:color="auto"/>
            <w:bottom w:val="none" w:sz="0" w:space="0" w:color="auto"/>
            <w:right w:val="none" w:sz="0" w:space="0" w:color="auto"/>
          </w:divBdr>
        </w:div>
        <w:div w:id="367682366">
          <w:marLeft w:val="0"/>
          <w:marRight w:val="0"/>
          <w:marTop w:val="0"/>
          <w:marBottom w:val="0"/>
          <w:divBdr>
            <w:top w:val="none" w:sz="0" w:space="0" w:color="auto"/>
            <w:left w:val="none" w:sz="0" w:space="0" w:color="auto"/>
            <w:bottom w:val="none" w:sz="0" w:space="0" w:color="auto"/>
            <w:right w:val="none" w:sz="0" w:space="0" w:color="auto"/>
          </w:divBdr>
        </w:div>
        <w:div w:id="1907646257">
          <w:marLeft w:val="0"/>
          <w:marRight w:val="0"/>
          <w:marTop w:val="0"/>
          <w:marBottom w:val="0"/>
          <w:divBdr>
            <w:top w:val="none" w:sz="0" w:space="0" w:color="auto"/>
            <w:left w:val="none" w:sz="0" w:space="0" w:color="auto"/>
            <w:bottom w:val="none" w:sz="0" w:space="0" w:color="auto"/>
            <w:right w:val="none" w:sz="0" w:space="0" w:color="auto"/>
          </w:divBdr>
        </w:div>
        <w:div w:id="1929540880">
          <w:marLeft w:val="0"/>
          <w:marRight w:val="0"/>
          <w:marTop w:val="0"/>
          <w:marBottom w:val="0"/>
          <w:divBdr>
            <w:top w:val="none" w:sz="0" w:space="0" w:color="auto"/>
            <w:left w:val="none" w:sz="0" w:space="0" w:color="auto"/>
            <w:bottom w:val="none" w:sz="0" w:space="0" w:color="auto"/>
            <w:right w:val="none" w:sz="0" w:space="0" w:color="auto"/>
          </w:divBdr>
        </w:div>
      </w:divsChild>
    </w:div>
    <w:div w:id="1720786731">
      <w:marLeft w:val="0"/>
      <w:marRight w:val="0"/>
      <w:marTop w:val="0"/>
      <w:marBottom w:val="0"/>
      <w:divBdr>
        <w:top w:val="none" w:sz="0" w:space="0" w:color="auto"/>
        <w:left w:val="none" w:sz="0" w:space="0" w:color="auto"/>
        <w:bottom w:val="none" w:sz="0" w:space="0" w:color="auto"/>
        <w:right w:val="none" w:sz="0" w:space="0" w:color="auto"/>
      </w:divBdr>
      <w:divsChild>
        <w:div w:id="707027387">
          <w:marLeft w:val="0"/>
          <w:marRight w:val="0"/>
          <w:marTop w:val="0"/>
          <w:marBottom w:val="0"/>
          <w:divBdr>
            <w:top w:val="none" w:sz="0" w:space="0" w:color="auto"/>
            <w:left w:val="none" w:sz="0" w:space="0" w:color="auto"/>
            <w:bottom w:val="none" w:sz="0" w:space="0" w:color="auto"/>
            <w:right w:val="none" w:sz="0" w:space="0" w:color="auto"/>
          </w:divBdr>
          <w:divsChild>
            <w:div w:id="207349824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20979726">
      <w:marLeft w:val="0"/>
      <w:marRight w:val="0"/>
      <w:marTop w:val="0"/>
      <w:marBottom w:val="0"/>
      <w:divBdr>
        <w:top w:val="none" w:sz="0" w:space="0" w:color="auto"/>
        <w:left w:val="none" w:sz="0" w:space="0" w:color="auto"/>
        <w:bottom w:val="none" w:sz="0" w:space="0" w:color="auto"/>
        <w:right w:val="none" w:sz="0" w:space="0" w:color="auto"/>
      </w:divBdr>
      <w:divsChild>
        <w:div w:id="1465928258">
          <w:marLeft w:val="0"/>
          <w:marRight w:val="0"/>
          <w:marTop w:val="0"/>
          <w:marBottom w:val="0"/>
          <w:divBdr>
            <w:top w:val="none" w:sz="0" w:space="0" w:color="auto"/>
            <w:left w:val="none" w:sz="0" w:space="0" w:color="auto"/>
            <w:bottom w:val="none" w:sz="0" w:space="0" w:color="auto"/>
            <w:right w:val="none" w:sz="0" w:space="0" w:color="auto"/>
          </w:divBdr>
          <w:divsChild>
            <w:div w:id="110442019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22024271">
      <w:marLeft w:val="0"/>
      <w:marRight w:val="0"/>
      <w:marTop w:val="60"/>
      <w:marBottom w:val="60"/>
      <w:divBdr>
        <w:top w:val="none" w:sz="0" w:space="0" w:color="auto"/>
        <w:left w:val="none" w:sz="0" w:space="0" w:color="auto"/>
        <w:bottom w:val="none" w:sz="0" w:space="0" w:color="auto"/>
        <w:right w:val="none" w:sz="0" w:space="0" w:color="auto"/>
      </w:divBdr>
    </w:div>
    <w:div w:id="1725907391">
      <w:marLeft w:val="0"/>
      <w:marRight w:val="0"/>
      <w:marTop w:val="0"/>
      <w:marBottom w:val="0"/>
      <w:divBdr>
        <w:top w:val="none" w:sz="0" w:space="0" w:color="auto"/>
        <w:left w:val="none" w:sz="0" w:space="0" w:color="auto"/>
        <w:bottom w:val="none" w:sz="0" w:space="0" w:color="auto"/>
        <w:right w:val="none" w:sz="0" w:space="0" w:color="auto"/>
      </w:divBdr>
    </w:div>
    <w:div w:id="1727100924">
      <w:marLeft w:val="0"/>
      <w:marRight w:val="0"/>
      <w:marTop w:val="180"/>
      <w:marBottom w:val="180"/>
      <w:divBdr>
        <w:top w:val="none" w:sz="0" w:space="0" w:color="auto"/>
        <w:left w:val="none" w:sz="0" w:space="0" w:color="auto"/>
        <w:bottom w:val="none" w:sz="0" w:space="0" w:color="auto"/>
        <w:right w:val="none" w:sz="0" w:space="0" w:color="auto"/>
      </w:divBdr>
    </w:div>
    <w:div w:id="1727334313">
      <w:marLeft w:val="0"/>
      <w:marRight w:val="0"/>
      <w:marTop w:val="0"/>
      <w:marBottom w:val="0"/>
      <w:divBdr>
        <w:top w:val="none" w:sz="0" w:space="0" w:color="auto"/>
        <w:left w:val="none" w:sz="0" w:space="0" w:color="auto"/>
        <w:bottom w:val="none" w:sz="0" w:space="0" w:color="auto"/>
        <w:right w:val="none" w:sz="0" w:space="0" w:color="auto"/>
      </w:divBdr>
      <w:divsChild>
        <w:div w:id="1169565588">
          <w:marLeft w:val="0"/>
          <w:marRight w:val="0"/>
          <w:marTop w:val="0"/>
          <w:marBottom w:val="0"/>
          <w:divBdr>
            <w:top w:val="none" w:sz="0" w:space="0" w:color="auto"/>
            <w:left w:val="none" w:sz="0" w:space="0" w:color="auto"/>
            <w:bottom w:val="none" w:sz="0" w:space="0" w:color="auto"/>
            <w:right w:val="none" w:sz="0" w:space="0" w:color="auto"/>
          </w:divBdr>
          <w:divsChild>
            <w:div w:id="191261992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27339860">
      <w:marLeft w:val="0"/>
      <w:marRight w:val="0"/>
      <w:marTop w:val="180"/>
      <w:marBottom w:val="180"/>
      <w:divBdr>
        <w:top w:val="none" w:sz="0" w:space="0" w:color="auto"/>
        <w:left w:val="none" w:sz="0" w:space="0" w:color="auto"/>
        <w:bottom w:val="none" w:sz="0" w:space="0" w:color="auto"/>
        <w:right w:val="none" w:sz="0" w:space="0" w:color="auto"/>
      </w:divBdr>
    </w:div>
    <w:div w:id="1728840474">
      <w:marLeft w:val="0"/>
      <w:marRight w:val="0"/>
      <w:marTop w:val="180"/>
      <w:marBottom w:val="180"/>
      <w:divBdr>
        <w:top w:val="none" w:sz="0" w:space="0" w:color="auto"/>
        <w:left w:val="none" w:sz="0" w:space="0" w:color="auto"/>
        <w:bottom w:val="none" w:sz="0" w:space="0" w:color="auto"/>
        <w:right w:val="none" w:sz="0" w:space="0" w:color="auto"/>
      </w:divBdr>
    </w:div>
    <w:div w:id="1732802458">
      <w:marLeft w:val="0"/>
      <w:marRight w:val="0"/>
      <w:marTop w:val="60"/>
      <w:marBottom w:val="60"/>
      <w:divBdr>
        <w:top w:val="none" w:sz="0" w:space="0" w:color="auto"/>
        <w:left w:val="none" w:sz="0" w:space="0" w:color="auto"/>
        <w:bottom w:val="none" w:sz="0" w:space="0" w:color="auto"/>
        <w:right w:val="none" w:sz="0" w:space="0" w:color="auto"/>
      </w:divBdr>
    </w:div>
    <w:div w:id="1734621037">
      <w:marLeft w:val="0"/>
      <w:marRight w:val="0"/>
      <w:marTop w:val="60"/>
      <w:marBottom w:val="60"/>
      <w:divBdr>
        <w:top w:val="none" w:sz="0" w:space="0" w:color="auto"/>
        <w:left w:val="none" w:sz="0" w:space="0" w:color="auto"/>
        <w:bottom w:val="none" w:sz="0" w:space="0" w:color="auto"/>
        <w:right w:val="none" w:sz="0" w:space="0" w:color="auto"/>
      </w:divBdr>
      <w:divsChild>
        <w:div w:id="50156620">
          <w:marLeft w:val="0"/>
          <w:marRight w:val="0"/>
          <w:marTop w:val="0"/>
          <w:marBottom w:val="0"/>
          <w:divBdr>
            <w:top w:val="none" w:sz="0" w:space="0" w:color="auto"/>
            <w:left w:val="none" w:sz="0" w:space="0" w:color="auto"/>
            <w:bottom w:val="none" w:sz="0" w:space="0" w:color="auto"/>
            <w:right w:val="none" w:sz="0" w:space="0" w:color="auto"/>
          </w:divBdr>
        </w:div>
      </w:divsChild>
    </w:div>
    <w:div w:id="1735277675">
      <w:marLeft w:val="0"/>
      <w:marRight w:val="0"/>
      <w:marTop w:val="180"/>
      <w:marBottom w:val="60"/>
      <w:divBdr>
        <w:top w:val="none" w:sz="0" w:space="0" w:color="auto"/>
        <w:left w:val="none" w:sz="0" w:space="0" w:color="auto"/>
        <w:bottom w:val="none" w:sz="0" w:space="0" w:color="auto"/>
        <w:right w:val="none" w:sz="0" w:space="0" w:color="auto"/>
      </w:divBdr>
    </w:div>
    <w:div w:id="1736467800">
      <w:marLeft w:val="0"/>
      <w:marRight w:val="0"/>
      <w:marTop w:val="0"/>
      <w:marBottom w:val="0"/>
      <w:divBdr>
        <w:top w:val="none" w:sz="0" w:space="0" w:color="auto"/>
        <w:left w:val="none" w:sz="0" w:space="0" w:color="auto"/>
        <w:bottom w:val="none" w:sz="0" w:space="0" w:color="auto"/>
        <w:right w:val="none" w:sz="0" w:space="0" w:color="auto"/>
      </w:divBdr>
    </w:div>
    <w:div w:id="1736930203">
      <w:marLeft w:val="0"/>
      <w:marRight w:val="0"/>
      <w:marTop w:val="180"/>
      <w:marBottom w:val="180"/>
      <w:divBdr>
        <w:top w:val="none" w:sz="0" w:space="0" w:color="auto"/>
        <w:left w:val="none" w:sz="0" w:space="0" w:color="auto"/>
        <w:bottom w:val="none" w:sz="0" w:space="0" w:color="auto"/>
        <w:right w:val="none" w:sz="0" w:space="0" w:color="auto"/>
      </w:divBdr>
    </w:div>
    <w:div w:id="1737121884">
      <w:marLeft w:val="0"/>
      <w:marRight w:val="0"/>
      <w:marTop w:val="180"/>
      <w:marBottom w:val="180"/>
      <w:divBdr>
        <w:top w:val="none" w:sz="0" w:space="0" w:color="auto"/>
        <w:left w:val="none" w:sz="0" w:space="0" w:color="auto"/>
        <w:bottom w:val="none" w:sz="0" w:space="0" w:color="auto"/>
        <w:right w:val="none" w:sz="0" w:space="0" w:color="auto"/>
      </w:divBdr>
    </w:div>
    <w:div w:id="1739211922">
      <w:marLeft w:val="0"/>
      <w:marRight w:val="0"/>
      <w:marTop w:val="180"/>
      <w:marBottom w:val="180"/>
      <w:divBdr>
        <w:top w:val="none" w:sz="0" w:space="0" w:color="auto"/>
        <w:left w:val="none" w:sz="0" w:space="0" w:color="auto"/>
        <w:bottom w:val="none" w:sz="0" w:space="0" w:color="auto"/>
        <w:right w:val="none" w:sz="0" w:space="0" w:color="auto"/>
      </w:divBdr>
    </w:div>
    <w:div w:id="1739472800">
      <w:marLeft w:val="0"/>
      <w:marRight w:val="0"/>
      <w:marTop w:val="180"/>
      <w:marBottom w:val="180"/>
      <w:divBdr>
        <w:top w:val="none" w:sz="0" w:space="0" w:color="auto"/>
        <w:left w:val="none" w:sz="0" w:space="0" w:color="auto"/>
        <w:bottom w:val="none" w:sz="0" w:space="0" w:color="auto"/>
        <w:right w:val="none" w:sz="0" w:space="0" w:color="auto"/>
      </w:divBdr>
    </w:div>
    <w:div w:id="1739597558">
      <w:marLeft w:val="0"/>
      <w:marRight w:val="0"/>
      <w:marTop w:val="100"/>
      <w:marBottom w:val="0"/>
      <w:divBdr>
        <w:top w:val="none" w:sz="0" w:space="0" w:color="auto"/>
        <w:left w:val="none" w:sz="0" w:space="0" w:color="auto"/>
        <w:bottom w:val="none" w:sz="0" w:space="0" w:color="auto"/>
        <w:right w:val="none" w:sz="0" w:space="0" w:color="auto"/>
      </w:divBdr>
      <w:divsChild>
        <w:div w:id="1725642344">
          <w:marLeft w:val="0"/>
          <w:marRight w:val="0"/>
          <w:marTop w:val="0"/>
          <w:marBottom w:val="0"/>
          <w:divBdr>
            <w:top w:val="none" w:sz="0" w:space="0" w:color="auto"/>
            <w:left w:val="none" w:sz="0" w:space="0" w:color="auto"/>
            <w:bottom w:val="none" w:sz="0" w:space="0" w:color="auto"/>
            <w:right w:val="none" w:sz="0" w:space="0" w:color="auto"/>
          </w:divBdr>
        </w:div>
        <w:div w:id="1580167910">
          <w:marLeft w:val="0"/>
          <w:marRight w:val="0"/>
          <w:marTop w:val="0"/>
          <w:marBottom w:val="0"/>
          <w:divBdr>
            <w:top w:val="none" w:sz="0" w:space="0" w:color="auto"/>
            <w:left w:val="none" w:sz="0" w:space="0" w:color="auto"/>
            <w:bottom w:val="none" w:sz="0" w:space="0" w:color="auto"/>
            <w:right w:val="none" w:sz="0" w:space="0" w:color="auto"/>
          </w:divBdr>
        </w:div>
      </w:divsChild>
    </w:div>
    <w:div w:id="1740443823">
      <w:marLeft w:val="0"/>
      <w:marRight w:val="0"/>
      <w:marTop w:val="180"/>
      <w:marBottom w:val="180"/>
      <w:divBdr>
        <w:top w:val="none" w:sz="0" w:space="0" w:color="auto"/>
        <w:left w:val="none" w:sz="0" w:space="0" w:color="auto"/>
        <w:bottom w:val="none" w:sz="0" w:space="0" w:color="auto"/>
        <w:right w:val="none" w:sz="0" w:space="0" w:color="auto"/>
      </w:divBdr>
    </w:div>
    <w:div w:id="1740597564">
      <w:marLeft w:val="0"/>
      <w:marRight w:val="0"/>
      <w:marTop w:val="0"/>
      <w:marBottom w:val="0"/>
      <w:divBdr>
        <w:top w:val="none" w:sz="0" w:space="0" w:color="auto"/>
        <w:left w:val="none" w:sz="0" w:space="0" w:color="auto"/>
        <w:bottom w:val="none" w:sz="0" w:space="0" w:color="auto"/>
        <w:right w:val="none" w:sz="0" w:space="0" w:color="auto"/>
      </w:divBdr>
    </w:div>
    <w:div w:id="1742680968">
      <w:marLeft w:val="0"/>
      <w:marRight w:val="0"/>
      <w:marTop w:val="180"/>
      <w:marBottom w:val="180"/>
      <w:divBdr>
        <w:top w:val="none" w:sz="0" w:space="0" w:color="auto"/>
        <w:left w:val="none" w:sz="0" w:space="0" w:color="auto"/>
        <w:bottom w:val="none" w:sz="0" w:space="0" w:color="auto"/>
        <w:right w:val="none" w:sz="0" w:space="0" w:color="auto"/>
      </w:divBdr>
    </w:div>
    <w:div w:id="1742941764">
      <w:marLeft w:val="0"/>
      <w:marRight w:val="0"/>
      <w:marTop w:val="180"/>
      <w:marBottom w:val="180"/>
      <w:divBdr>
        <w:top w:val="none" w:sz="0" w:space="0" w:color="auto"/>
        <w:left w:val="none" w:sz="0" w:space="0" w:color="auto"/>
        <w:bottom w:val="none" w:sz="0" w:space="0" w:color="auto"/>
        <w:right w:val="none" w:sz="0" w:space="0" w:color="auto"/>
      </w:divBdr>
    </w:div>
    <w:div w:id="1743402650">
      <w:marLeft w:val="0"/>
      <w:marRight w:val="0"/>
      <w:marTop w:val="120"/>
      <w:marBottom w:val="60"/>
      <w:divBdr>
        <w:top w:val="none" w:sz="0" w:space="0" w:color="auto"/>
        <w:left w:val="none" w:sz="0" w:space="0" w:color="auto"/>
        <w:bottom w:val="none" w:sz="0" w:space="0" w:color="auto"/>
        <w:right w:val="none" w:sz="0" w:space="0" w:color="auto"/>
      </w:divBdr>
    </w:div>
    <w:div w:id="1743913859">
      <w:marLeft w:val="0"/>
      <w:marRight w:val="0"/>
      <w:marTop w:val="180"/>
      <w:marBottom w:val="180"/>
      <w:divBdr>
        <w:top w:val="none" w:sz="0" w:space="0" w:color="auto"/>
        <w:left w:val="none" w:sz="0" w:space="0" w:color="auto"/>
        <w:bottom w:val="none" w:sz="0" w:space="0" w:color="auto"/>
        <w:right w:val="none" w:sz="0" w:space="0" w:color="auto"/>
      </w:divBdr>
    </w:div>
    <w:div w:id="1744251833">
      <w:marLeft w:val="0"/>
      <w:marRight w:val="0"/>
      <w:marTop w:val="0"/>
      <w:marBottom w:val="0"/>
      <w:divBdr>
        <w:top w:val="none" w:sz="0" w:space="0" w:color="auto"/>
        <w:left w:val="none" w:sz="0" w:space="0" w:color="auto"/>
        <w:bottom w:val="none" w:sz="0" w:space="0" w:color="auto"/>
        <w:right w:val="none" w:sz="0" w:space="0" w:color="auto"/>
      </w:divBdr>
      <w:divsChild>
        <w:div w:id="1242763388">
          <w:marLeft w:val="0"/>
          <w:marRight w:val="0"/>
          <w:marTop w:val="60"/>
          <w:marBottom w:val="60"/>
          <w:divBdr>
            <w:top w:val="none" w:sz="0" w:space="0" w:color="auto"/>
            <w:left w:val="none" w:sz="0" w:space="0" w:color="auto"/>
            <w:bottom w:val="none" w:sz="0" w:space="0" w:color="auto"/>
            <w:right w:val="none" w:sz="0" w:space="0" w:color="auto"/>
          </w:divBdr>
        </w:div>
      </w:divsChild>
    </w:div>
    <w:div w:id="1744448856">
      <w:marLeft w:val="0"/>
      <w:marRight w:val="0"/>
      <w:marTop w:val="180"/>
      <w:marBottom w:val="60"/>
      <w:divBdr>
        <w:top w:val="none" w:sz="0" w:space="0" w:color="auto"/>
        <w:left w:val="none" w:sz="0" w:space="0" w:color="auto"/>
        <w:bottom w:val="none" w:sz="0" w:space="0" w:color="auto"/>
        <w:right w:val="none" w:sz="0" w:space="0" w:color="auto"/>
      </w:divBdr>
    </w:div>
    <w:div w:id="1745566552">
      <w:marLeft w:val="0"/>
      <w:marRight w:val="0"/>
      <w:marTop w:val="180"/>
      <w:marBottom w:val="0"/>
      <w:divBdr>
        <w:top w:val="none" w:sz="0" w:space="0" w:color="auto"/>
        <w:left w:val="none" w:sz="0" w:space="0" w:color="auto"/>
        <w:bottom w:val="none" w:sz="0" w:space="0" w:color="auto"/>
        <w:right w:val="none" w:sz="0" w:space="0" w:color="auto"/>
      </w:divBdr>
    </w:div>
    <w:div w:id="1746879811">
      <w:marLeft w:val="0"/>
      <w:marRight w:val="0"/>
      <w:marTop w:val="0"/>
      <w:marBottom w:val="0"/>
      <w:divBdr>
        <w:top w:val="none" w:sz="0" w:space="0" w:color="auto"/>
        <w:left w:val="none" w:sz="0" w:space="0" w:color="auto"/>
        <w:bottom w:val="none" w:sz="0" w:space="0" w:color="auto"/>
        <w:right w:val="none" w:sz="0" w:space="0" w:color="auto"/>
      </w:divBdr>
      <w:divsChild>
        <w:div w:id="1633096511">
          <w:marLeft w:val="0"/>
          <w:marRight w:val="0"/>
          <w:marTop w:val="0"/>
          <w:marBottom w:val="0"/>
          <w:divBdr>
            <w:top w:val="none" w:sz="0" w:space="0" w:color="auto"/>
            <w:left w:val="none" w:sz="0" w:space="0" w:color="auto"/>
            <w:bottom w:val="none" w:sz="0" w:space="0" w:color="auto"/>
            <w:right w:val="none" w:sz="0" w:space="0" w:color="auto"/>
          </w:divBdr>
          <w:divsChild>
            <w:div w:id="2493943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47144597">
      <w:marLeft w:val="0"/>
      <w:marRight w:val="0"/>
      <w:marTop w:val="60"/>
      <w:marBottom w:val="60"/>
      <w:divBdr>
        <w:top w:val="none" w:sz="0" w:space="0" w:color="auto"/>
        <w:left w:val="none" w:sz="0" w:space="0" w:color="auto"/>
        <w:bottom w:val="none" w:sz="0" w:space="0" w:color="auto"/>
        <w:right w:val="none" w:sz="0" w:space="0" w:color="auto"/>
      </w:divBdr>
    </w:div>
    <w:div w:id="1750229406">
      <w:marLeft w:val="0"/>
      <w:marRight w:val="0"/>
      <w:marTop w:val="100"/>
      <w:marBottom w:val="0"/>
      <w:divBdr>
        <w:top w:val="none" w:sz="0" w:space="0" w:color="auto"/>
        <w:left w:val="none" w:sz="0" w:space="0" w:color="auto"/>
        <w:bottom w:val="none" w:sz="0" w:space="0" w:color="auto"/>
        <w:right w:val="none" w:sz="0" w:space="0" w:color="auto"/>
      </w:divBdr>
      <w:divsChild>
        <w:div w:id="968825017">
          <w:marLeft w:val="0"/>
          <w:marRight w:val="0"/>
          <w:marTop w:val="0"/>
          <w:marBottom w:val="0"/>
          <w:divBdr>
            <w:top w:val="none" w:sz="0" w:space="0" w:color="auto"/>
            <w:left w:val="none" w:sz="0" w:space="0" w:color="auto"/>
            <w:bottom w:val="none" w:sz="0" w:space="0" w:color="auto"/>
            <w:right w:val="none" w:sz="0" w:space="0" w:color="auto"/>
          </w:divBdr>
        </w:div>
        <w:div w:id="1885022841">
          <w:marLeft w:val="0"/>
          <w:marRight w:val="0"/>
          <w:marTop w:val="0"/>
          <w:marBottom w:val="0"/>
          <w:divBdr>
            <w:top w:val="none" w:sz="0" w:space="0" w:color="auto"/>
            <w:left w:val="none" w:sz="0" w:space="0" w:color="auto"/>
            <w:bottom w:val="none" w:sz="0" w:space="0" w:color="auto"/>
            <w:right w:val="none" w:sz="0" w:space="0" w:color="auto"/>
          </w:divBdr>
        </w:div>
        <w:div w:id="19817679">
          <w:marLeft w:val="0"/>
          <w:marRight w:val="0"/>
          <w:marTop w:val="0"/>
          <w:marBottom w:val="0"/>
          <w:divBdr>
            <w:top w:val="none" w:sz="0" w:space="0" w:color="auto"/>
            <w:left w:val="none" w:sz="0" w:space="0" w:color="auto"/>
            <w:bottom w:val="none" w:sz="0" w:space="0" w:color="auto"/>
            <w:right w:val="none" w:sz="0" w:space="0" w:color="auto"/>
          </w:divBdr>
        </w:div>
      </w:divsChild>
    </w:div>
    <w:div w:id="1750737079">
      <w:marLeft w:val="0"/>
      <w:marRight w:val="0"/>
      <w:marTop w:val="160"/>
      <w:marBottom w:val="0"/>
      <w:divBdr>
        <w:top w:val="none" w:sz="0" w:space="0" w:color="auto"/>
        <w:left w:val="none" w:sz="0" w:space="0" w:color="auto"/>
        <w:bottom w:val="none" w:sz="0" w:space="0" w:color="auto"/>
        <w:right w:val="none" w:sz="0" w:space="0" w:color="auto"/>
      </w:divBdr>
    </w:div>
    <w:div w:id="1754663376">
      <w:marLeft w:val="0"/>
      <w:marRight w:val="0"/>
      <w:marTop w:val="0"/>
      <w:marBottom w:val="0"/>
      <w:divBdr>
        <w:top w:val="none" w:sz="0" w:space="0" w:color="auto"/>
        <w:left w:val="none" w:sz="0" w:space="0" w:color="auto"/>
        <w:bottom w:val="none" w:sz="0" w:space="0" w:color="auto"/>
        <w:right w:val="none" w:sz="0" w:space="0" w:color="auto"/>
      </w:divBdr>
    </w:div>
    <w:div w:id="1754889245">
      <w:marLeft w:val="0"/>
      <w:marRight w:val="0"/>
      <w:marTop w:val="60"/>
      <w:marBottom w:val="60"/>
      <w:divBdr>
        <w:top w:val="none" w:sz="0" w:space="0" w:color="auto"/>
        <w:left w:val="none" w:sz="0" w:space="0" w:color="auto"/>
        <w:bottom w:val="none" w:sz="0" w:space="0" w:color="auto"/>
        <w:right w:val="none" w:sz="0" w:space="0" w:color="auto"/>
      </w:divBdr>
    </w:div>
    <w:div w:id="1755393930">
      <w:marLeft w:val="0"/>
      <w:marRight w:val="0"/>
      <w:marTop w:val="180"/>
      <w:marBottom w:val="180"/>
      <w:divBdr>
        <w:top w:val="none" w:sz="0" w:space="0" w:color="auto"/>
        <w:left w:val="none" w:sz="0" w:space="0" w:color="auto"/>
        <w:bottom w:val="none" w:sz="0" w:space="0" w:color="auto"/>
        <w:right w:val="none" w:sz="0" w:space="0" w:color="auto"/>
      </w:divBdr>
    </w:div>
    <w:div w:id="1755861579">
      <w:marLeft w:val="0"/>
      <w:marRight w:val="0"/>
      <w:marTop w:val="180"/>
      <w:marBottom w:val="180"/>
      <w:divBdr>
        <w:top w:val="none" w:sz="0" w:space="0" w:color="auto"/>
        <w:left w:val="none" w:sz="0" w:space="0" w:color="auto"/>
        <w:bottom w:val="none" w:sz="0" w:space="0" w:color="auto"/>
        <w:right w:val="none" w:sz="0" w:space="0" w:color="auto"/>
      </w:divBdr>
    </w:div>
    <w:div w:id="1758363567">
      <w:marLeft w:val="0"/>
      <w:marRight w:val="0"/>
      <w:marTop w:val="180"/>
      <w:marBottom w:val="180"/>
      <w:divBdr>
        <w:top w:val="none" w:sz="0" w:space="0" w:color="auto"/>
        <w:left w:val="none" w:sz="0" w:space="0" w:color="auto"/>
        <w:bottom w:val="none" w:sz="0" w:space="0" w:color="auto"/>
        <w:right w:val="none" w:sz="0" w:space="0" w:color="auto"/>
      </w:divBdr>
    </w:div>
    <w:div w:id="1758404024">
      <w:marLeft w:val="0"/>
      <w:marRight w:val="0"/>
      <w:marTop w:val="0"/>
      <w:marBottom w:val="0"/>
      <w:divBdr>
        <w:top w:val="none" w:sz="0" w:space="0" w:color="auto"/>
        <w:left w:val="none" w:sz="0" w:space="0" w:color="auto"/>
        <w:bottom w:val="none" w:sz="0" w:space="0" w:color="auto"/>
        <w:right w:val="none" w:sz="0" w:space="0" w:color="auto"/>
      </w:divBdr>
      <w:divsChild>
        <w:div w:id="974063339">
          <w:marLeft w:val="0"/>
          <w:marRight w:val="0"/>
          <w:marTop w:val="0"/>
          <w:marBottom w:val="0"/>
          <w:divBdr>
            <w:top w:val="none" w:sz="0" w:space="0" w:color="auto"/>
            <w:left w:val="none" w:sz="0" w:space="0" w:color="auto"/>
            <w:bottom w:val="none" w:sz="0" w:space="0" w:color="auto"/>
            <w:right w:val="none" w:sz="0" w:space="0" w:color="auto"/>
          </w:divBdr>
          <w:divsChild>
            <w:div w:id="54325522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59326263">
      <w:marLeft w:val="0"/>
      <w:marRight w:val="0"/>
      <w:marTop w:val="60"/>
      <w:marBottom w:val="60"/>
      <w:divBdr>
        <w:top w:val="none" w:sz="0" w:space="0" w:color="auto"/>
        <w:left w:val="none" w:sz="0" w:space="0" w:color="auto"/>
        <w:bottom w:val="none" w:sz="0" w:space="0" w:color="auto"/>
        <w:right w:val="none" w:sz="0" w:space="0" w:color="auto"/>
      </w:divBdr>
      <w:divsChild>
        <w:div w:id="267199395">
          <w:marLeft w:val="0"/>
          <w:marRight w:val="0"/>
          <w:marTop w:val="0"/>
          <w:marBottom w:val="0"/>
          <w:divBdr>
            <w:top w:val="none" w:sz="0" w:space="0" w:color="auto"/>
            <w:left w:val="none" w:sz="0" w:space="0" w:color="auto"/>
            <w:bottom w:val="none" w:sz="0" w:space="0" w:color="auto"/>
            <w:right w:val="none" w:sz="0" w:space="0" w:color="auto"/>
          </w:divBdr>
        </w:div>
        <w:div w:id="1078482570">
          <w:marLeft w:val="0"/>
          <w:marRight w:val="0"/>
          <w:marTop w:val="0"/>
          <w:marBottom w:val="0"/>
          <w:divBdr>
            <w:top w:val="none" w:sz="0" w:space="0" w:color="auto"/>
            <w:left w:val="none" w:sz="0" w:space="0" w:color="auto"/>
            <w:bottom w:val="none" w:sz="0" w:space="0" w:color="auto"/>
            <w:right w:val="none" w:sz="0" w:space="0" w:color="auto"/>
          </w:divBdr>
        </w:div>
        <w:div w:id="287586664">
          <w:marLeft w:val="0"/>
          <w:marRight w:val="0"/>
          <w:marTop w:val="0"/>
          <w:marBottom w:val="0"/>
          <w:divBdr>
            <w:top w:val="none" w:sz="0" w:space="0" w:color="auto"/>
            <w:left w:val="none" w:sz="0" w:space="0" w:color="auto"/>
            <w:bottom w:val="none" w:sz="0" w:space="0" w:color="auto"/>
            <w:right w:val="none" w:sz="0" w:space="0" w:color="auto"/>
          </w:divBdr>
        </w:div>
        <w:div w:id="1626932769">
          <w:marLeft w:val="0"/>
          <w:marRight w:val="0"/>
          <w:marTop w:val="0"/>
          <w:marBottom w:val="0"/>
          <w:divBdr>
            <w:top w:val="none" w:sz="0" w:space="0" w:color="auto"/>
            <w:left w:val="none" w:sz="0" w:space="0" w:color="auto"/>
            <w:bottom w:val="none" w:sz="0" w:space="0" w:color="auto"/>
            <w:right w:val="none" w:sz="0" w:space="0" w:color="auto"/>
          </w:divBdr>
        </w:div>
        <w:div w:id="500513824">
          <w:marLeft w:val="0"/>
          <w:marRight w:val="0"/>
          <w:marTop w:val="0"/>
          <w:marBottom w:val="0"/>
          <w:divBdr>
            <w:top w:val="none" w:sz="0" w:space="0" w:color="auto"/>
            <w:left w:val="none" w:sz="0" w:space="0" w:color="auto"/>
            <w:bottom w:val="none" w:sz="0" w:space="0" w:color="auto"/>
            <w:right w:val="none" w:sz="0" w:space="0" w:color="auto"/>
          </w:divBdr>
        </w:div>
        <w:div w:id="685407464">
          <w:marLeft w:val="0"/>
          <w:marRight w:val="0"/>
          <w:marTop w:val="0"/>
          <w:marBottom w:val="0"/>
          <w:divBdr>
            <w:top w:val="none" w:sz="0" w:space="0" w:color="auto"/>
            <w:left w:val="none" w:sz="0" w:space="0" w:color="auto"/>
            <w:bottom w:val="none" w:sz="0" w:space="0" w:color="auto"/>
            <w:right w:val="none" w:sz="0" w:space="0" w:color="auto"/>
          </w:divBdr>
        </w:div>
      </w:divsChild>
    </w:div>
    <w:div w:id="1761372551">
      <w:marLeft w:val="0"/>
      <w:marRight w:val="0"/>
      <w:marTop w:val="0"/>
      <w:marBottom w:val="60"/>
      <w:divBdr>
        <w:top w:val="none" w:sz="0" w:space="0" w:color="auto"/>
        <w:left w:val="none" w:sz="0" w:space="0" w:color="auto"/>
        <w:bottom w:val="none" w:sz="0" w:space="0" w:color="auto"/>
        <w:right w:val="none" w:sz="0" w:space="0" w:color="auto"/>
      </w:divBdr>
    </w:div>
    <w:div w:id="1761564827">
      <w:marLeft w:val="0"/>
      <w:marRight w:val="0"/>
      <w:marTop w:val="180"/>
      <w:marBottom w:val="180"/>
      <w:divBdr>
        <w:top w:val="none" w:sz="0" w:space="0" w:color="auto"/>
        <w:left w:val="none" w:sz="0" w:space="0" w:color="auto"/>
        <w:bottom w:val="none" w:sz="0" w:space="0" w:color="auto"/>
        <w:right w:val="none" w:sz="0" w:space="0" w:color="auto"/>
      </w:divBdr>
    </w:div>
    <w:div w:id="1761750188">
      <w:marLeft w:val="0"/>
      <w:marRight w:val="0"/>
      <w:marTop w:val="180"/>
      <w:marBottom w:val="180"/>
      <w:divBdr>
        <w:top w:val="none" w:sz="0" w:space="0" w:color="auto"/>
        <w:left w:val="none" w:sz="0" w:space="0" w:color="auto"/>
        <w:bottom w:val="none" w:sz="0" w:space="0" w:color="auto"/>
        <w:right w:val="none" w:sz="0" w:space="0" w:color="auto"/>
      </w:divBdr>
    </w:div>
    <w:div w:id="1763796607">
      <w:marLeft w:val="0"/>
      <w:marRight w:val="0"/>
      <w:marTop w:val="60"/>
      <w:marBottom w:val="60"/>
      <w:divBdr>
        <w:top w:val="none" w:sz="0" w:space="0" w:color="auto"/>
        <w:left w:val="none" w:sz="0" w:space="0" w:color="auto"/>
        <w:bottom w:val="none" w:sz="0" w:space="0" w:color="auto"/>
        <w:right w:val="none" w:sz="0" w:space="0" w:color="auto"/>
      </w:divBdr>
    </w:div>
    <w:div w:id="1763866962">
      <w:marLeft w:val="0"/>
      <w:marRight w:val="0"/>
      <w:marTop w:val="0"/>
      <w:marBottom w:val="0"/>
      <w:divBdr>
        <w:top w:val="none" w:sz="0" w:space="0" w:color="auto"/>
        <w:left w:val="none" w:sz="0" w:space="0" w:color="auto"/>
        <w:bottom w:val="none" w:sz="0" w:space="0" w:color="auto"/>
        <w:right w:val="none" w:sz="0" w:space="0" w:color="auto"/>
      </w:divBdr>
      <w:divsChild>
        <w:div w:id="2052918873">
          <w:marLeft w:val="0"/>
          <w:marRight w:val="0"/>
          <w:marTop w:val="0"/>
          <w:marBottom w:val="0"/>
          <w:divBdr>
            <w:top w:val="none" w:sz="0" w:space="0" w:color="auto"/>
            <w:left w:val="none" w:sz="0" w:space="0" w:color="auto"/>
            <w:bottom w:val="none" w:sz="0" w:space="0" w:color="auto"/>
            <w:right w:val="none" w:sz="0" w:space="0" w:color="auto"/>
          </w:divBdr>
          <w:divsChild>
            <w:div w:id="34886902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65759667">
      <w:marLeft w:val="0"/>
      <w:marRight w:val="0"/>
      <w:marTop w:val="60"/>
      <w:marBottom w:val="60"/>
      <w:divBdr>
        <w:top w:val="none" w:sz="0" w:space="0" w:color="auto"/>
        <w:left w:val="none" w:sz="0" w:space="0" w:color="auto"/>
        <w:bottom w:val="none" w:sz="0" w:space="0" w:color="auto"/>
        <w:right w:val="none" w:sz="0" w:space="0" w:color="auto"/>
      </w:divBdr>
    </w:div>
    <w:div w:id="1766417792">
      <w:marLeft w:val="0"/>
      <w:marRight w:val="0"/>
      <w:marTop w:val="180"/>
      <w:marBottom w:val="180"/>
      <w:divBdr>
        <w:top w:val="none" w:sz="0" w:space="0" w:color="auto"/>
        <w:left w:val="none" w:sz="0" w:space="0" w:color="auto"/>
        <w:bottom w:val="none" w:sz="0" w:space="0" w:color="auto"/>
        <w:right w:val="none" w:sz="0" w:space="0" w:color="auto"/>
      </w:divBdr>
    </w:div>
    <w:div w:id="1767309409">
      <w:marLeft w:val="0"/>
      <w:marRight w:val="0"/>
      <w:marTop w:val="0"/>
      <w:marBottom w:val="0"/>
      <w:divBdr>
        <w:top w:val="none" w:sz="0" w:space="0" w:color="auto"/>
        <w:left w:val="none" w:sz="0" w:space="0" w:color="auto"/>
        <w:bottom w:val="none" w:sz="0" w:space="0" w:color="auto"/>
        <w:right w:val="none" w:sz="0" w:space="0" w:color="auto"/>
      </w:divBdr>
      <w:divsChild>
        <w:div w:id="2056924399">
          <w:marLeft w:val="0"/>
          <w:marRight w:val="0"/>
          <w:marTop w:val="0"/>
          <w:marBottom w:val="0"/>
          <w:divBdr>
            <w:top w:val="none" w:sz="0" w:space="0" w:color="auto"/>
            <w:left w:val="none" w:sz="0" w:space="0" w:color="auto"/>
            <w:bottom w:val="none" w:sz="0" w:space="0" w:color="auto"/>
            <w:right w:val="none" w:sz="0" w:space="0" w:color="auto"/>
          </w:divBdr>
          <w:divsChild>
            <w:div w:id="149764909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68771743">
      <w:marLeft w:val="0"/>
      <w:marRight w:val="0"/>
      <w:marTop w:val="180"/>
      <w:marBottom w:val="180"/>
      <w:divBdr>
        <w:top w:val="none" w:sz="0" w:space="0" w:color="auto"/>
        <w:left w:val="none" w:sz="0" w:space="0" w:color="auto"/>
        <w:bottom w:val="none" w:sz="0" w:space="0" w:color="auto"/>
        <w:right w:val="none" w:sz="0" w:space="0" w:color="auto"/>
      </w:divBdr>
    </w:div>
    <w:div w:id="1769957952">
      <w:marLeft w:val="0"/>
      <w:marRight w:val="0"/>
      <w:marTop w:val="180"/>
      <w:marBottom w:val="180"/>
      <w:divBdr>
        <w:top w:val="none" w:sz="0" w:space="0" w:color="auto"/>
        <w:left w:val="none" w:sz="0" w:space="0" w:color="auto"/>
        <w:bottom w:val="none" w:sz="0" w:space="0" w:color="auto"/>
        <w:right w:val="none" w:sz="0" w:space="0" w:color="auto"/>
      </w:divBdr>
    </w:div>
    <w:div w:id="1770465709">
      <w:marLeft w:val="0"/>
      <w:marRight w:val="0"/>
      <w:marTop w:val="180"/>
      <w:marBottom w:val="180"/>
      <w:divBdr>
        <w:top w:val="none" w:sz="0" w:space="0" w:color="auto"/>
        <w:left w:val="none" w:sz="0" w:space="0" w:color="auto"/>
        <w:bottom w:val="none" w:sz="0" w:space="0" w:color="auto"/>
        <w:right w:val="none" w:sz="0" w:space="0" w:color="auto"/>
      </w:divBdr>
    </w:div>
    <w:div w:id="1773162865">
      <w:marLeft w:val="0"/>
      <w:marRight w:val="0"/>
      <w:marTop w:val="180"/>
      <w:marBottom w:val="180"/>
      <w:divBdr>
        <w:top w:val="none" w:sz="0" w:space="0" w:color="auto"/>
        <w:left w:val="none" w:sz="0" w:space="0" w:color="auto"/>
        <w:bottom w:val="none" w:sz="0" w:space="0" w:color="auto"/>
        <w:right w:val="none" w:sz="0" w:space="0" w:color="auto"/>
      </w:divBdr>
    </w:div>
    <w:div w:id="1774393787">
      <w:marLeft w:val="0"/>
      <w:marRight w:val="0"/>
      <w:marTop w:val="240"/>
      <w:marBottom w:val="180"/>
      <w:divBdr>
        <w:top w:val="none" w:sz="0" w:space="0" w:color="auto"/>
        <w:left w:val="none" w:sz="0" w:space="0" w:color="auto"/>
        <w:bottom w:val="none" w:sz="0" w:space="0" w:color="auto"/>
        <w:right w:val="none" w:sz="0" w:space="0" w:color="auto"/>
      </w:divBdr>
    </w:div>
    <w:div w:id="1774664534">
      <w:marLeft w:val="0"/>
      <w:marRight w:val="0"/>
      <w:marTop w:val="60"/>
      <w:marBottom w:val="180"/>
      <w:divBdr>
        <w:top w:val="none" w:sz="0" w:space="0" w:color="auto"/>
        <w:left w:val="none" w:sz="0" w:space="0" w:color="auto"/>
        <w:bottom w:val="none" w:sz="0" w:space="0" w:color="auto"/>
        <w:right w:val="none" w:sz="0" w:space="0" w:color="auto"/>
      </w:divBdr>
      <w:divsChild>
        <w:div w:id="1974286051">
          <w:marLeft w:val="0"/>
          <w:marRight w:val="0"/>
          <w:marTop w:val="0"/>
          <w:marBottom w:val="0"/>
          <w:divBdr>
            <w:top w:val="none" w:sz="0" w:space="0" w:color="auto"/>
            <w:left w:val="none" w:sz="0" w:space="0" w:color="auto"/>
            <w:bottom w:val="none" w:sz="0" w:space="0" w:color="auto"/>
            <w:right w:val="none" w:sz="0" w:space="0" w:color="auto"/>
          </w:divBdr>
        </w:div>
        <w:div w:id="895746568">
          <w:marLeft w:val="0"/>
          <w:marRight w:val="0"/>
          <w:marTop w:val="0"/>
          <w:marBottom w:val="0"/>
          <w:divBdr>
            <w:top w:val="none" w:sz="0" w:space="0" w:color="auto"/>
            <w:left w:val="none" w:sz="0" w:space="0" w:color="auto"/>
            <w:bottom w:val="none" w:sz="0" w:space="0" w:color="auto"/>
            <w:right w:val="none" w:sz="0" w:space="0" w:color="auto"/>
          </w:divBdr>
        </w:div>
        <w:div w:id="1997222932">
          <w:marLeft w:val="0"/>
          <w:marRight w:val="0"/>
          <w:marTop w:val="0"/>
          <w:marBottom w:val="0"/>
          <w:divBdr>
            <w:top w:val="none" w:sz="0" w:space="0" w:color="auto"/>
            <w:left w:val="none" w:sz="0" w:space="0" w:color="auto"/>
            <w:bottom w:val="none" w:sz="0" w:space="0" w:color="auto"/>
            <w:right w:val="none" w:sz="0" w:space="0" w:color="auto"/>
          </w:divBdr>
        </w:div>
      </w:divsChild>
    </w:div>
    <w:div w:id="1777210135">
      <w:marLeft w:val="0"/>
      <w:marRight w:val="0"/>
      <w:marTop w:val="180"/>
      <w:marBottom w:val="180"/>
      <w:divBdr>
        <w:top w:val="none" w:sz="0" w:space="0" w:color="auto"/>
        <w:left w:val="none" w:sz="0" w:space="0" w:color="auto"/>
        <w:bottom w:val="none" w:sz="0" w:space="0" w:color="auto"/>
        <w:right w:val="none" w:sz="0" w:space="0" w:color="auto"/>
      </w:divBdr>
    </w:div>
    <w:div w:id="1777361281">
      <w:marLeft w:val="0"/>
      <w:marRight w:val="0"/>
      <w:marTop w:val="180"/>
      <w:marBottom w:val="180"/>
      <w:divBdr>
        <w:top w:val="none" w:sz="0" w:space="0" w:color="auto"/>
        <w:left w:val="none" w:sz="0" w:space="0" w:color="auto"/>
        <w:bottom w:val="none" w:sz="0" w:space="0" w:color="auto"/>
        <w:right w:val="none" w:sz="0" w:space="0" w:color="auto"/>
      </w:divBdr>
    </w:div>
    <w:div w:id="1779713584">
      <w:marLeft w:val="0"/>
      <w:marRight w:val="0"/>
      <w:marTop w:val="180"/>
      <w:marBottom w:val="180"/>
      <w:divBdr>
        <w:top w:val="none" w:sz="0" w:space="0" w:color="auto"/>
        <w:left w:val="none" w:sz="0" w:space="0" w:color="auto"/>
        <w:bottom w:val="none" w:sz="0" w:space="0" w:color="auto"/>
        <w:right w:val="none" w:sz="0" w:space="0" w:color="auto"/>
      </w:divBdr>
    </w:div>
    <w:div w:id="1784612258">
      <w:marLeft w:val="0"/>
      <w:marRight w:val="0"/>
      <w:marTop w:val="60"/>
      <w:marBottom w:val="60"/>
      <w:divBdr>
        <w:top w:val="none" w:sz="0" w:space="0" w:color="auto"/>
        <w:left w:val="none" w:sz="0" w:space="0" w:color="auto"/>
        <w:bottom w:val="none" w:sz="0" w:space="0" w:color="auto"/>
        <w:right w:val="none" w:sz="0" w:space="0" w:color="auto"/>
      </w:divBdr>
    </w:div>
    <w:div w:id="1785230075">
      <w:marLeft w:val="0"/>
      <w:marRight w:val="0"/>
      <w:marTop w:val="180"/>
      <w:marBottom w:val="180"/>
      <w:divBdr>
        <w:top w:val="none" w:sz="0" w:space="0" w:color="auto"/>
        <w:left w:val="none" w:sz="0" w:space="0" w:color="auto"/>
        <w:bottom w:val="none" w:sz="0" w:space="0" w:color="auto"/>
        <w:right w:val="none" w:sz="0" w:space="0" w:color="auto"/>
      </w:divBdr>
    </w:div>
    <w:div w:id="1785688592">
      <w:marLeft w:val="0"/>
      <w:marRight w:val="0"/>
      <w:marTop w:val="180"/>
      <w:marBottom w:val="180"/>
      <w:divBdr>
        <w:top w:val="none" w:sz="0" w:space="0" w:color="auto"/>
        <w:left w:val="none" w:sz="0" w:space="0" w:color="auto"/>
        <w:bottom w:val="none" w:sz="0" w:space="0" w:color="auto"/>
        <w:right w:val="none" w:sz="0" w:space="0" w:color="auto"/>
      </w:divBdr>
    </w:div>
    <w:div w:id="1785925061">
      <w:marLeft w:val="0"/>
      <w:marRight w:val="0"/>
      <w:marTop w:val="0"/>
      <w:marBottom w:val="0"/>
      <w:divBdr>
        <w:top w:val="none" w:sz="0" w:space="0" w:color="auto"/>
        <w:left w:val="none" w:sz="0" w:space="0" w:color="auto"/>
        <w:bottom w:val="none" w:sz="0" w:space="0" w:color="auto"/>
        <w:right w:val="none" w:sz="0" w:space="0" w:color="auto"/>
      </w:divBdr>
      <w:divsChild>
        <w:div w:id="610430523">
          <w:marLeft w:val="0"/>
          <w:marRight w:val="0"/>
          <w:marTop w:val="0"/>
          <w:marBottom w:val="0"/>
          <w:divBdr>
            <w:top w:val="none" w:sz="0" w:space="0" w:color="auto"/>
            <w:left w:val="none" w:sz="0" w:space="0" w:color="auto"/>
            <w:bottom w:val="none" w:sz="0" w:space="0" w:color="auto"/>
            <w:right w:val="none" w:sz="0" w:space="0" w:color="auto"/>
          </w:divBdr>
          <w:divsChild>
            <w:div w:id="204551798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86732973">
      <w:marLeft w:val="0"/>
      <w:marRight w:val="0"/>
      <w:marTop w:val="0"/>
      <w:marBottom w:val="0"/>
      <w:divBdr>
        <w:top w:val="none" w:sz="0" w:space="0" w:color="auto"/>
        <w:left w:val="none" w:sz="0" w:space="0" w:color="auto"/>
        <w:bottom w:val="none" w:sz="0" w:space="0" w:color="auto"/>
        <w:right w:val="none" w:sz="0" w:space="0" w:color="auto"/>
      </w:divBdr>
      <w:divsChild>
        <w:div w:id="1885364033">
          <w:marLeft w:val="0"/>
          <w:marRight w:val="0"/>
          <w:marTop w:val="0"/>
          <w:marBottom w:val="0"/>
          <w:divBdr>
            <w:top w:val="none" w:sz="0" w:space="0" w:color="auto"/>
            <w:left w:val="none" w:sz="0" w:space="0" w:color="auto"/>
            <w:bottom w:val="none" w:sz="0" w:space="0" w:color="auto"/>
            <w:right w:val="none" w:sz="0" w:space="0" w:color="auto"/>
          </w:divBdr>
          <w:divsChild>
            <w:div w:id="140314420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86733192">
      <w:marLeft w:val="0"/>
      <w:marRight w:val="0"/>
      <w:marTop w:val="0"/>
      <w:marBottom w:val="0"/>
      <w:divBdr>
        <w:top w:val="none" w:sz="0" w:space="0" w:color="auto"/>
        <w:left w:val="none" w:sz="0" w:space="0" w:color="auto"/>
        <w:bottom w:val="none" w:sz="0" w:space="0" w:color="auto"/>
        <w:right w:val="none" w:sz="0" w:space="0" w:color="auto"/>
      </w:divBdr>
      <w:divsChild>
        <w:div w:id="461770672">
          <w:marLeft w:val="0"/>
          <w:marRight w:val="0"/>
          <w:marTop w:val="180"/>
          <w:marBottom w:val="180"/>
          <w:divBdr>
            <w:top w:val="none" w:sz="0" w:space="0" w:color="auto"/>
            <w:left w:val="none" w:sz="0" w:space="0" w:color="auto"/>
            <w:bottom w:val="none" w:sz="0" w:space="0" w:color="auto"/>
            <w:right w:val="none" w:sz="0" w:space="0" w:color="auto"/>
          </w:divBdr>
        </w:div>
      </w:divsChild>
    </w:div>
    <w:div w:id="1788426079">
      <w:marLeft w:val="0"/>
      <w:marRight w:val="0"/>
      <w:marTop w:val="180"/>
      <w:marBottom w:val="180"/>
      <w:divBdr>
        <w:top w:val="none" w:sz="0" w:space="0" w:color="auto"/>
        <w:left w:val="none" w:sz="0" w:space="0" w:color="auto"/>
        <w:bottom w:val="none" w:sz="0" w:space="0" w:color="auto"/>
        <w:right w:val="none" w:sz="0" w:space="0" w:color="auto"/>
      </w:divBdr>
    </w:div>
    <w:div w:id="1788894382">
      <w:marLeft w:val="0"/>
      <w:marRight w:val="0"/>
      <w:marTop w:val="180"/>
      <w:marBottom w:val="180"/>
      <w:divBdr>
        <w:top w:val="none" w:sz="0" w:space="0" w:color="auto"/>
        <w:left w:val="none" w:sz="0" w:space="0" w:color="auto"/>
        <w:bottom w:val="none" w:sz="0" w:space="0" w:color="auto"/>
        <w:right w:val="none" w:sz="0" w:space="0" w:color="auto"/>
      </w:divBdr>
    </w:div>
    <w:div w:id="1790080844">
      <w:marLeft w:val="0"/>
      <w:marRight w:val="0"/>
      <w:marTop w:val="180"/>
      <w:marBottom w:val="180"/>
      <w:divBdr>
        <w:top w:val="none" w:sz="0" w:space="0" w:color="auto"/>
        <w:left w:val="none" w:sz="0" w:space="0" w:color="auto"/>
        <w:bottom w:val="none" w:sz="0" w:space="0" w:color="auto"/>
        <w:right w:val="none" w:sz="0" w:space="0" w:color="auto"/>
      </w:divBdr>
    </w:div>
    <w:div w:id="1791165872">
      <w:marLeft w:val="0"/>
      <w:marRight w:val="0"/>
      <w:marTop w:val="0"/>
      <w:marBottom w:val="0"/>
      <w:divBdr>
        <w:top w:val="none" w:sz="0" w:space="0" w:color="auto"/>
        <w:left w:val="none" w:sz="0" w:space="0" w:color="auto"/>
        <w:bottom w:val="none" w:sz="0" w:space="0" w:color="auto"/>
        <w:right w:val="none" w:sz="0" w:space="0" w:color="auto"/>
      </w:divBdr>
    </w:div>
    <w:div w:id="1794210321">
      <w:marLeft w:val="0"/>
      <w:marRight w:val="0"/>
      <w:marTop w:val="180"/>
      <w:marBottom w:val="60"/>
      <w:divBdr>
        <w:top w:val="none" w:sz="0" w:space="0" w:color="auto"/>
        <w:left w:val="none" w:sz="0" w:space="0" w:color="auto"/>
        <w:bottom w:val="none" w:sz="0" w:space="0" w:color="auto"/>
        <w:right w:val="none" w:sz="0" w:space="0" w:color="auto"/>
      </w:divBdr>
    </w:div>
    <w:div w:id="1794210964">
      <w:marLeft w:val="0"/>
      <w:marRight w:val="0"/>
      <w:marTop w:val="180"/>
      <w:marBottom w:val="60"/>
      <w:divBdr>
        <w:top w:val="none" w:sz="0" w:space="0" w:color="auto"/>
        <w:left w:val="none" w:sz="0" w:space="0" w:color="auto"/>
        <w:bottom w:val="none" w:sz="0" w:space="0" w:color="auto"/>
        <w:right w:val="none" w:sz="0" w:space="0" w:color="auto"/>
      </w:divBdr>
    </w:div>
    <w:div w:id="1795438172">
      <w:marLeft w:val="0"/>
      <w:marRight w:val="0"/>
      <w:marTop w:val="180"/>
      <w:marBottom w:val="180"/>
      <w:divBdr>
        <w:top w:val="none" w:sz="0" w:space="0" w:color="auto"/>
        <w:left w:val="none" w:sz="0" w:space="0" w:color="auto"/>
        <w:bottom w:val="none" w:sz="0" w:space="0" w:color="auto"/>
        <w:right w:val="none" w:sz="0" w:space="0" w:color="auto"/>
      </w:divBdr>
    </w:div>
    <w:div w:id="1795445590">
      <w:marLeft w:val="0"/>
      <w:marRight w:val="0"/>
      <w:marTop w:val="0"/>
      <w:marBottom w:val="0"/>
      <w:divBdr>
        <w:top w:val="none" w:sz="0" w:space="0" w:color="auto"/>
        <w:left w:val="none" w:sz="0" w:space="0" w:color="auto"/>
        <w:bottom w:val="none" w:sz="0" w:space="0" w:color="auto"/>
        <w:right w:val="none" w:sz="0" w:space="0" w:color="auto"/>
      </w:divBdr>
    </w:div>
    <w:div w:id="1797408099">
      <w:marLeft w:val="0"/>
      <w:marRight w:val="0"/>
      <w:marTop w:val="0"/>
      <w:marBottom w:val="60"/>
      <w:divBdr>
        <w:top w:val="none" w:sz="0" w:space="0" w:color="auto"/>
        <w:left w:val="none" w:sz="0" w:space="0" w:color="auto"/>
        <w:bottom w:val="none" w:sz="0" w:space="0" w:color="auto"/>
        <w:right w:val="none" w:sz="0" w:space="0" w:color="auto"/>
      </w:divBdr>
    </w:div>
    <w:div w:id="1798405026">
      <w:marLeft w:val="0"/>
      <w:marRight w:val="0"/>
      <w:marTop w:val="100"/>
      <w:marBottom w:val="0"/>
      <w:divBdr>
        <w:top w:val="none" w:sz="0" w:space="0" w:color="auto"/>
        <w:left w:val="none" w:sz="0" w:space="0" w:color="auto"/>
        <w:bottom w:val="none" w:sz="0" w:space="0" w:color="auto"/>
        <w:right w:val="none" w:sz="0" w:space="0" w:color="auto"/>
      </w:divBdr>
      <w:divsChild>
        <w:div w:id="1711875114">
          <w:marLeft w:val="0"/>
          <w:marRight w:val="0"/>
          <w:marTop w:val="0"/>
          <w:marBottom w:val="0"/>
          <w:divBdr>
            <w:top w:val="none" w:sz="0" w:space="0" w:color="auto"/>
            <w:left w:val="none" w:sz="0" w:space="0" w:color="auto"/>
            <w:bottom w:val="none" w:sz="0" w:space="0" w:color="auto"/>
            <w:right w:val="none" w:sz="0" w:space="0" w:color="auto"/>
          </w:divBdr>
        </w:div>
        <w:div w:id="1624312521">
          <w:marLeft w:val="0"/>
          <w:marRight w:val="0"/>
          <w:marTop w:val="0"/>
          <w:marBottom w:val="0"/>
          <w:divBdr>
            <w:top w:val="none" w:sz="0" w:space="0" w:color="auto"/>
            <w:left w:val="none" w:sz="0" w:space="0" w:color="auto"/>
            <w:bottom w:val="none" w:sz="0" w:space="0" w:color="auto"/>
            <w:right w:val="none" w:sz="0" w:space="0" w:color="auto"/>
          </w:divBdr>
        </w:div>
        <w:div w:id="1337077579">
          <w:marLeft w:val="0"/>
          <w:marRight w:val="0"/>
          <w:marTop w:val="0"/>
          <w:marBottom w:val="0"/>
          <w:divBdr>
            <w:top w:val="none" w:sz="0" w:space="0" w:color="auto"/>
            <w:left w:val="none" w:sz="0" w:space="0" w:color="auto"/>
            <w:bottom w:val="none" w:sz="0" w:space="0" w:color="auto"/>
            <w:right w:val="none" w:sz="0" w:space="0" w:color="auto"/>
          </w:divBdr>
        </w:div>
        <w:div w:id="1768230879">
          <w:marLeft w:val="0"/>
          <w:marRight w:val="0"/>
          <w:marTop w:val="0"/>
          <w:marBottom w:val="0"/>
          <w:divBdr>
            <w:top w:val="none" w:sz="0" w:space="0" w:color="auto"/>
            <w:left w:val="none" w:sz="0" w:space="0" w:color="auto"/>
            <w:bottom w:val="none" w:sz="0" w:space="0" w:color="auto"/>
            <w:right w:val="none" w:sz="0" w:space="0" w:color="auto"/>
          </w:divBdr>
        </w:div>
      </w:divsChild>
    </w:div>
    <w:div w:id="1799109745">
      <w:marLeft w:val="0"/>
      <w:marRight w:val="0"/>
      <w:marTop w:val="180"/>
      <w:marBottom w:val="180"/>
      <w:divBdr>
        <w:top w:val="none" w:sz="0" w:space="0" w:color="auto"/>
        <w:left w:val="none" w:sz="0" w:space="0" w:color="auto"/>
        <w:bottom w:val="none" w:sz="0" w:space="0" w:color="auto"/>
        <w:right w:val="none" w:sz="0" w:space="0" w:color="auto"/>
      </w:divBdr>
    </w:div>
    <w:div w:id="1799761691">
      <w:marLeft w:val="0"/>
      <w:marRight w:val="0"/>
      <w:marTop w:val="180"/>
      <w:marBottom w:val="180"/>
      <w:divBdr>
        <w:top w:val="none" w:sz="0" w:space="0" w:color="auto"/>
        <w:left w:val="none" w:sz="0" w:space="0" w:color="auto"/>
        <w:bottom w:val="none" w:sz="0" w:space="0" w:color="auto"/>
        <w:right w:val="none" w:sz="0" w:space="0" w:color="auto"/>
      </w:divBdr>
    </w:div>
    <w:div w:id="1800103720">
      <w:marLeft w:val="0"/>
      <w:marRight w:val="0"/>
      <w:marTop w:val="180"/>
      <w:marBottom w:val="180"/>
      <w:divBdr>
        <w:top w:val="none" w:sz="0" w:space="0" w:color="auto"/>
        <w:left w:val="none" w:sz="0" w:space="0" w:color="auto"/>
        <w:bottom w:val="none" w:sz="0" w:space="0" w:color="auto"/>
        <w:right w:val="none" w:sz="0" w:space="0" w:color="auto"/>
      </w:divBdr>
    </w:div>
    <w:div w:id="1801413002">
      <w:marLeft w:val="0"/>
      <w:marRight w:val="0"/>
      <w:marTop w:val="180"/>
      <w:marBottom w:val="180"/>
      <w:divBdr>
        <w:top w:val="none" w:sz="0" w:space="0" w:color="auto"/>
        <w:left w:val="none" w:sz="0" w:space="0" w:color="auto"/>
        <w:bottom w:val="none" w:sz="0" w:space="0" w:color="auto"/>
        <w:right w:val="none" w:sz="0" w:space="0" w:color="auto"/>
      </w:divBdr>
    </w:div>
    <w:div w:id="1807164682">
      <w:marLeft w:val="0"/>
      <w:marRight w:val="0"/>
      <w:marTop w:val="100"/>
      <w:marBottom w:val="0"/>
      <w:divBdr>
        <w:top w:val="none" w:sz="0" w:space="0" w:color="auto"/>
        <w:left w:val="none" w:sz="0" w:space="0" w:color="auto"/>
        <w:bottom w:val="none" w:sz="0" w:space="0" w:color="auto"/>
        <w:right w:val="none" w:sz="0" w:space="0" w:color="auto"/>
      </w:divBdr>
      <w:divsChild>
        <w:div w:id="610622639">
          <w:marLeft w:val="0"/>
          <w:marRight w:val="0"/>
          <w:marTop w:val="0"/>
          <w:marBottom w:val="0"/>
          <w:divBdr>
            <w:top w:val="none" w:sz="0" w:space="0" w:color="auto"/>
            <w:left w:val="none" w:sz="0" w:space="0" w:color="auto"/>
            <w:bottom w:val="none" w:sz="0" w:space="0" w:color="auto"/>
            <w:right w:val="none" w:sz="0" w:space="0" w:color="auto"/>
          </w:divBdr>
        </w:div>
        <w:div w:id="1167283483">
          <w:marLeft w:val="0"/>
          <w:marRight w:val="0"/>
          <w:marTop w:val="0"/>
          <w:marBottom w:val="0"/>
          <w:divBdr>
            <w:top w:val="none" w:sz="0" w:space="0" w:color="auto"/>
            <w:left w:val="none" w:sz="0" w:space="0" w:color="auto"/>
            <w:bottom w:val="none" w:sz="0" w:space="0" w:color="auto"/>
            <w:right w:val="none" w:sz="0" w:space="0" w:color="auto"/>
          </w:divBdr>
        </w:div>
      </w:divsChild>
    </w:div>
    <w:div w:id="1808400556">
      <w:marLeft w:val="0"/>
      <w:marRight w:val="0"/>
      <w:marTop w:val="0"/>
      <w:marBottom w:val="180"/>
      <w:divBdr>
        <w:top w:val="none" w:sz="0" w:space="0" w:color="auto"/>
        <w:left w:val="none" w:sz="0" w:space="0" w:color="auto"/>
        <w:bottom w:val="none" w:sz="0" w:space="0" w:color="auto"/>
        <w:right w:val="none" w:sz="0" w:space="0" w:color="auto"/>
      </w:divBdr>
    </w:div>
    <w:div w:id="1809861777">
      <w:marLeft w:val="0"/>
      <w:marRight w:val="0"/>
      <w:marTop w:val="180"/>
      <w:marBottom w:val="180"/>
      <w:divBdr>
        <w:top w:val="none" w:sz="0" w:space="0" w:color="auto"/>
        <w:left w:val="none" w:sz="0" w:space="0" w:color="auto"/>
        <w:bottom w:val="none" w:sz="0" w:space="0" w:color="auto"/>
        <w:right w:val="none" w:sz="0" w:space="0" w:color="auto"/>
      </w:divBdr>
    </w:div>
    <w:div w:id="1813713878">
      <w:marLeft w:val="0"/>
      <w:marRight w:val="0"/>
      <w:marTop w:val="60"/>
      <w:marBottom w:val="60"/>
      <w:divBdr>
        <w:top w:val="none" w:sz="0" w:space="0" w:color="auto"/>
        <w:left w:val="none" w:sz="0" w:space="0" w:color="auto"/>
        <w:bottom w:val="none" w:sz="0" w:space="0" w:color="auto"/>
        <w:right w:val="none" w:sz="0" w:space="0" w:color="auto"/>
      </w:divBdr>
    </w:div>
    <w:div w:id="1820078216">
      <w:marLeft w:val="0"/>
      <w:marRight w:val="0"/>
      <w:marTop w:val="180"/>
      <w:marBottom w:val="180"/>
      <w:divBdr>
        <w:top w:val="none" w:sz="0" w:space="0" w:color="auto"/>
        <w:left w:val="none" w:sz="0" w:space="0" w:color="auto"/>
        <w:bottom w:val="none" w:sz="0" w:space="0" w:color="auto"/>
        <w:right w:val="none" w:sz="0" w:space="0" w:color="auto"/>
      </w:divBdr>
    </w:div>
    <w:div w:id="1823546884">
      <w:marLeft w:val="0"/>
      <w:marRight w:val="0"/>
      <w:marTop w:val="180"/>
      <w:marBottom w:val="180"/>
      <w:divBdr>
        <w:top w:val="none" w:sz="0" w:space="0" w:color="auto"/>
        <w:left w:val="none" w:sz="0" w:space="0" w:color="auto"/>
        <w:bottom w:val="none" w:sz="0" w:space="0" w:color="auto"/>
        <w:right w:val="none" w:sz="0" w:space="0" w:color="auto"/>
      </w:divBdr>
    </w:div>
    <w:div w:id="1823615527">
      <w:marLeft w:val="0"/>
      <w:marRight w:val="0"/>
      <w:marTop w:val="100"/>
      <w:marBottom w:val="20"/>
      <w:divBdr>
        <w:top w:val="none" w:sz="0" w:space="0" w:color="auto"/>
        <w:left w:val="none" w:sz="0" w:space="0" w:color="auto"/>
        <w:bottom w:val="none" w:sz="0" w:space="0" w:color="auto"/>
        <w:right w:val="none" w:sz="0" w:space="0" w:color="auto"/>
      </w:divBdr>
    </w:div>
    <w:div w:id="1825852055">
      <w:marLeft w:val="0"/>
      <w:marRight w:val="0"/>
      <w:marTop w:val="180"/>
      <w:marBottom w:val="180"/>
      <w:divBdr>
        <w:top w:val="none" w:sz="0" w:space="0" w:color="auto"/>
        <w:left w:val="none" w:sz="0" w:space="0" w:color="auto"/>
        <w:bottom w:val="none" w:sz="0" w:space="0" w:color="auto"/>
        <w:right w:val="none" w:sz="0" w:space="0" w:color="auto"/>
      </w:divBdr>
    </w:div>
    <w:div w:id="1826123333">
      <w:marLeft w:val="0"/>
      <w:marRight w:val="0"/>
      <w:marTop w:val="0"/>
      <w:marBottom w:val="0"/>
      <w:divBdr>
        <w:top w:val="none" w:sz="0" w:space="0" w:color="auto"/>
        <w:left w:val="none" w:sz="0" w:space="0" w:color="auto"/>
        <w:bottom w:val="none" w:sz="0" w:space="0" w:color="auto"/>
        <w:right w:val="none" w:sz="0" w:space="0" w:color="auto"/>
      </w:divBdr>
      <w:divsChild>
        <w:div w:id="509416299">
          <w:marLeft w:val="0"/>
          <w:marRight w:val="0"/>
          <w:marTop w:val="0"/>
          <w:marBottom w:val="0"/>
          <w:divBdr>
            <w:top w:val="none" w:sz="0" w:space="0" w:color="auto"/>
            <w:left w:val="none" w:sz="0" w:space="0" w:color="auto"/>
            <w:bottom w:val="none" w:sz="0" w:space="0" w:color="auto"/>
            <w:right w:val="none" w:sz="0" w:space="0" w:color="auto"/>
          </w:divBdr>
          <w:divsChild>
            <w:div w:id="133125648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27475544">
      <w:marLeft w:val="0"/>
      <w:marRight w:val="0"/>
      <w:marTop w:val="60"/>
      <w:marBottom w:val="0"/>
      <w:divBdr>
        <w:top w:val="none" w:sz="0" w:space="0" w:color="auto"/>
        <w:left w:val="none" w:sz="0" w:space="0" w:color="auto"/>
        <w:bottom w:val="none" w:sz="0" w:space="0" w:color="auto"/>
        <w:right w:val="none" w:sz="0" w:space="0" w:color="auto"/>
      </w:divBdr>
    </w:div>
    <w:div w:id="1828278529">
      <w:marLeft w:val="0"/>
      <w:marRight w:val="0"/>
      <w:marTop w:val="180"/>
      <w:marBottom w:val="180"/>
      <w:divBdr>
        <w:top w:val="none" w:sz="0" w:space="0" w:color="auto"/>
        <w:left w:val="none" w:sz="0" w:space="0" w:color="auto"/>
        <w:bottom w:val="none" w:sz="0" w:space="0" w:color="auto"/>
        <w:right w:val="none" w:sz="0" w:space="0" w:color="auto"/>
      </w:divBdr>
    </w:div>
    <w:div w:id="1828594848">
      <w:marLeft w:val="0"/>
      <w:marRight w:val="0"/>
      <w:marTop w:val="180"/>
      <w:marBottom w:val="180"/>
      <w:divBdr>
        <w:top w:val="none" w:sz="0" w:space="0" w:color="auto"/>
        <w:left w:val="none" w:sz="0" w:space="0" w:color="auto"/>
        <w:bottom w:val="none" w:sz="0" w:space="0" w:color="auto"/>
        <w:right w:val="none" w:sz="0" w:space="0" w:color="auto"/>
      </w:divBdr>
    </w:div>
    <w:div w:id="1829398982">
      <w:marLeft w:val="0"/>
      <w:marRight w:val="0"/>
      <w:marTop w:val="180"/>
      <w:marBottom w:val="180"/>
      <w:divBdr>
        <w:top w:val="none" w:sz="0" w:space="0" w:color="auto"/>
        <w:left w:val="none" w:sz="0" w:space="0" w:color="auto"/>
        <w:bottom w:val="none" w:sz="0" w:space="0" w:color="auto"/>
        <w:right w:val="none" w:sz="0" w:space="0" w:color="auto"/>
      </w:divBdr>
    </w:div>
    <w:div w:id="1829862967">
      <w:marLeft w:val="0"/>
      <w:marRight w:val="0"/>
      <w:marTop w:val="180"/>
      <w:marBottom w:val="180"/>
      <w:divBdr>
        <w:top w:val="none" w:sz="0" w:space="0" w:color="auto"/>
        <w:left w:val="none" w:sz="0" w:space="0" w:color="auto"/>
        <w:bottom w:val="none" w:sz="0" w:space="0" w:color="auto"/>
        <w:right w:val="none" w:sz="0" w:space="0" w:color="auto"/>
      </w:divBdr>
    </w:div>
    <w:div w:id="1830712303">
      <w:marLeft w:val="0"/>
      <w:marRight w:val="0"/>
      <w:marTop w:val="0"/>
      <w:marBottom w:val="0"/>
      <w:divBdr>
        <w:top w:val="none" w:sz="0" w:space="0" w:color="auto"/>
        <w:left w:val="none" w:sz="0" w:space="0" w:color="auto"/>
        <w:bottom w:val="none" w:sz="0" w:space="0" w:color="auto"/>
        <w:right w:val="none" w:sz="0" w:space="0" w:color="auto"/>
      </w:divBdr>
    </w:div>
    <w:div w:id="1831867456">
      <w:marLeft w:val="0"/>
      <w:marRight w:val="0"/>
      <w:marTop w:val="180"/>
      <w:marBottom w:val="60"/>
      <w:divBdr>
        <w:top w:val="none" w:sz="0" w:space="0" w:color="auto"/>
        <w:left w:val="none" w:sz="0" w:space="0" w:color="auto"/>
        <w:bottom w:val="none" w:sz="0" w:space="0" w:color="auto"/>
        <w:right w:val="none" w:sz="0" w:space="0" w:color="auto"/>
      </w:divBdr>
    </w:div>
    <w:div w:id="1833182767">
      <w:marLeft w:val="0"/>
      <w:marRight w:val="0"/>
      <w:marTop w:val="60"/>
      <w:marBottom w:val="60"/>
      <w:divBdr>
        <w:top w:val="none" w:sz="0" w:space="0" w:color="auto"/>
        <w:left w:val="none" w:sz="0" w:space="0" w:color="auto"/>
        <w:bottom w:val="none" w:sz="0" w:space="0" w:color="auto"/>
        <w:right w:val="none" w:sz="0" w:space="0" w:color="auto"/>
      </w:divBdr>
    </w:div>
    <w:div w:id="1833331155">
      <w:marLeft w:val="0"/>
      <w:marRight w:val="0"/>
      <w:marTop w:val="180"/>
      <w:marBottom w:val="180"/>
      <w:divBdr>
        <w:top w:val="none" w:sz="0" w:space="0" w:color="auto"/>
        <w:left w:val="none" w:sz="0" w:space="0" w:color="auto"/>
        <w:bottom w:val="none" w:sz="0" w:space="0" w:color="auto"/>
        <w:right w:val="none" w:sz="0" w:space="0" w:color="auto"/>
      </w:divBdr>
    </w:div>
    <w:div w:id="1833596011">
      <w:marLeft w:val="0"/>
      <w:marRight w:val="0"/>
      <w:marTop w:val="180"/>
      <w:marBottom w:val="180"/>
      <w:divBdr>
        <w:top w:val="none" w:sz="0" w:space="0" w:color="auto"/>
        <w:left w:val="none" w:sz="0" w:space="0" w:color="auto"/>
        <w:bottom w:val="none" w:sz="0" w:space="0" w:color="auto"/>
        <w:right w:val="none" w:sz="0" w:space="0" w:color="auto"/>
      </w:divBdr>
    </w:div>
    <w:div w:id="1834099678">
      <w:marLeft w:val="0"/>
      <w:marRight w:val="0"/>
      <w:marTop w:val="60"/>
      <w:marBottom w:val="60"/>
      <w:divBdr>
        <w:top w:val="none" w:sz="0" w:space="0" w:color="auto"/>
        <w:left w:val="none" w:sz="0" w:space="0" w:color="auto"/>
        <w:bottom w:val="none" w:sz="0" w:space="0" w:color="auto"/>
        <w:right w:val="none" w:sz="0" w:space="0" w:color="auto"/>
      </w:divBdr>
    </w:div>
    <w:div w:id="1834686864">
      <w:marLeft w:val="0"/>
      <w:marRight w:val="0"/>
      <w:marTop w:val="100"/>
      <w:marBottom w:val="20"/>
      <w:divBdr>
        <w:top w:val="none" w:sz="0" w:space="0" w:color="auto"/>
        <w:left w:val="none" w:sz="0" w:space="0" w:color="auto"/>
        <w:bottom w:val="none" w:sz="0" w:space="0" w:color="auto"/>
        <w:right w:val="none" w:sz="0" w:space="0" w:color="auto"/>
      </w:divBdr>
    </w:div>
    <w:div w:id="1834906999">
      <w:marLeft w:val="0"/>
      <w:marRight w:val="0"/>
      <w:marTop w:val="60"/>
      <w:marBottom w:val="60"/>
      <w:divBdr>
        <w:top w:val="none" w:sz="0" w:space="0" w:color="auto"/>
        <w:left w:val="none" w:sz="0" w:space="0" w:color="auto"/>
        <w:bottom w:val="none" w:sz="0" w:space="0" w:color="auto"/>
        <w:right w:val="none" w:sz="0" w:space="0" w:color="auto"/>
      </w:divBdr>
    </w:div>
    <w:div w:id="1835411211">
      <w:marLeft w:val="0"/>
      <w:marRight w:val="0"/>
      <w:marTop w:val="180"/>
      <w:marBottom w:val="180"/>
      <w:divBdr>
        <w:top w:val="none" w:sz="0" w:space="0" w:color="auto"/>
        <w:left w:val="none" w:sz="0" w:space="0" w:color="auto"/>
        <w:bottom w:val="none" w:sz="0" w:space="0" w:color="auto"/>
        <w:right w:val="none" w:sz="0" w:space="0" w:color="auto"/>
      </w:divBdr>
    </w:div>
    <w:div w:id="1835493425">
      <w:marLeft w:val="0"/>
      <w:marRight w:val="0"/>
      <w:marTop w:val="60"/>
      <w:marBottom w:val="60"/>
      <w:divBdr>
        <w:top w:val="none" w:sz="0" w:space="0" w:color="auto"/>
        <w:left w:val="none" w:sz="0" w:space="0" w:color="auto"/>
        <w:bottom w:val="none" w:sz="0" w:space="0" w:color="auto"/>
        <w:right w:val="none" w:sz="0" w:space="0" w:color="auto"/>
      </w:divBdr>
    </w:div>
    <w:div w:id="1836258241">
      <w:marLeft w:val="0"/>
      <w:marRight w:val="0"/>
      <w:marTop w:val="180"/>
      <w:marBottom w:val="180"/>
      <w:divBdr>
        <w:top w:val="none" w:sz="0" w:space="0" w:color="auto"/>
        <w:left w:val="none" w:sz="0" w:space="0" w:color="auto"/>
        <w:bottom w:val="none" w:sz="0" w:space="0" w:color="auto"/>
        <w:right w:val="none" w:sz="0" w:space="0" w:color="auto"/>
      </w:divBdr>
    </w:div>
    <w:div w:id="1836416634">
      <w:marLeft w:val="0"/>
      <w:marRight w:val="0"/>
      <w:marTop w:val="180"/>
      <w:marBottom w:val="180"/>
      <w:divBdr>
        <w:top w:val="none" w:sz="0" w:space="0" w:color="auto"/>
        <w:left w:val="none" w:sz="0" w:space="0" w:color="auto"/>
        <w:bottom w:val="none" w:sz="0" w:space="0" w:color="auto"/>
        <w:right w:val="none" w:sz="0" w:space="0" w:color="auto"/>
      </w:divBdr>
    </w:div>
    <w:div w:id="1839886263">
      <w:marLeft w:val="0"/>
      <w:marRight w:val="0"/>
      <w:marTop w:val="180"/>
      <w:marBottom w:val="180"/>
      <w:divBdr>
        <w:top w:val="none" w:sz="0" w:space="0" w:color="auto"/>
        <w:left w:val="none" w:sz="0" w:space="0" w:color="auto"/>
        <w:bottom w:val="none" w:sz="0" w:space="0" w:color="auto"/>
        <w:right w:val="none" w:sz="0" w:space="0" w:color="auto"/>
      </w:divBdr>
    </w:div>
    <w:div w:id="1843356476">
      <w:marLeft w:val="0"/>
      <w:marRight w:val="0"/>
      <w:marTop w:val="180"/>
      <w:marBottom w:val="180"/>
      <w:divBdr>
        <w:top w:val="none" w:sz="0" w:space="0" w:color="auto"/>
        <w:left w:val="none" w:sz="0" w:space="0" w:color="auto"/>
        <w:bottom w:val="none" w:sz="0" w:space="0" w:color="auto"/>
        <w:right w:val="none" w:sz="0" w:space="0" w:color="auto"/>
      </w:divBdr>
    </w:div>
    <w:div w:id="1845627527">
      <w:marLeft w:val="0"/>
      <w:marRight w:val="0"/>
      <w:marTop w:val="180"/>
      <w:marBottom w:val="60"/>
      <w:divBdr>
        <w:top w:val="none" w:sz="0" w:space="0" w:color="auto"/>
        <w:left w:val="none" w:sz="0" w:space="0" w:color="auto"/>
        <w:bottom w:val="none" w:sz="0" w:space="0" w:color="auto"/>
        <w:right w:val="none" w:sz="0" w:space="0" w:color="auto"/>
      </w:divBdr>
    </w:div>
    <w:div w:id="1846246567">
      <w:marLeft w:val="0"/>
      <w:marRight w:val="0"/>
      <w:marTop w:val="60"/>
      <w:marBottom w:val="60"/>
      <w:divBdr>
        <w:top w:val="none" w:sz="0" w:space="0" w:color="auto"/>
        <w:left w:val="none" w:sz="0" w:space="0" w:color="auto"/>
        <w:bottom w:val="none" w:sz="0" w:space="0" w:color="auto"/>
        <w:right w:val="none" w:sz="0" w:space="0" w:color="auto"/>
      </w:divBdr>
    </w:div>
    <w:div w:id="1851290219">
      <w:marLeft w:val="0"/>
      <w:marRight w:val="0"/>
      <w:marTop w:val="180"/>
      <w:marBottom w:val="180"/>
      <w:divBdr>
        <w:top w:val="none" w:sz="0" w:space="0" w:color="auto"/>
        <w:left w:val="none" w:sz="0" w:space="0" w:color="auto"/>
        <w:bottom w:val="none" w:sz="0" w:space="0" w:color="auto"/>
        <w:right w:val="none" w:sz="0" w:space="0" w:color="auto"/>
      </w:divBdr>
    </w:div>
    <w:div w:id="1853641711">
      <w:marLeft w:val="0"/>
      <w:marRight w:val="0"/>
      <w:marTop w:val="180"/>
      <w:marBottom w:val="180"/>
      <w:divBdr>
        <w:top w:val="none" w:sz="0" w:space="0" w:color="auto"/>
        <w:left w:val="none" w:sz="0" w:space="0" w:color="auto"/>
        <w:bottom w:val="none" w:sz="0" w:space="0" w:color="auto"/>
        <w:right w:val="none" w:sz="0" w:space="0" w:color="auto"/>
      </w:divBdr>
    </w:div>
    <w:div w:id="1855148173">
      <w:marLeft w:val="0"/>
      <w:marRight w:val="0"/>
      <w:marTop w:val="180"/>
      <w:marBottom w:val="180"/>
      <w:divBdr>
        <w:top w:val="none" w:sz="0" w:space="0" w:color="auto"/>
        <w:left w:val="none" w:sz="0" w:space="0" w:color="auto"/>
        <w:bottom w:val="none" w:sz="0" w:space="0" w:color="auto"/>
        <w:right w:val="none" w:sz="0" w:space="0" w:color="auto"/>
      </w:divBdr>
    </w:div>
    <w:div w:id="1856383630">
      <w:marLeft w:val="0"/>
      <w:marRight w:val="0"/>
      <w:marTop w:val="0"/>
      <w:marBottom w:val="0"/>
      <w:divBdr>
        <w:top w:val="none" w:sz="0" w:space="0" w:color="auto"/>
        <w:left w:val="none" w:sz="0" w:space="0" w:color="auto"/>
        <w:bottom w:val="none" w:sz="0" w:space="0" w:color="auto"/>
        <w:right w:val="none" w:sz="0" w:space="0" w:color="auto"/>
      </w:divBdr>
    </w:div>
    <w:div w:id="1857428196">
      <w:marLeft w:val="0"/>
      <w:marRight w:val="0"/>
      <w:marTop w:val="180"/>
      <w:marBottom w:val="180"/>
      <w:divBdr>
        <w:top w:val="none" w:sz="0" w:space="0" w:color="auto"/>
        <w:left w:val="none" w:sz="0" w:space="0" w:color="auto"/>
        <w:bottom w:val="none" w:sz="0" w:space="0" w:color="auto"/>
        <w:right w:val="none" w:sz="0" w:space="0" w:color="auto"/>
      </w:divBdr>
    </w:div>
    <w:div w:id="1859660515">
      <w:marLeft w:val="0"/>
      <w:marRight w:val="0"/>
      <w:marTop w:val="180"/>
      <w:marBottom w:val="60"/>
      <w:divBdr>
        <w:top w:val="none" w:sz="0" w:space="0" w:color="auto"/>
        <w:left w:val="none" w:sz="0" w:space="0" w:color="auto"/>
        <w:bottom w:val="none" w:sz="0" w:space="0" w:color="auto"/>
        <w:right w:val="none" w:sz="0" w:space="0" w:color="auto"/>
      </w:divBdr>
    </w:div>
    <w:div w:id="1860974105">
      <w:marLeft w:val="0"/>
      <w:marRight w:val="0"/>
      <w:marTop w:val="0"/>
      <w:marBottom w:val="0"/>
      <w:divBdr>
        <w:top w:val="none" w:sz="0" w:space="0" w:color="auto"/>
        <w:left w:val="none" w:sz="0" w:space="0" w:color="auto"/>
        <w:bottom w:val="none" w:sz="0" w:space="0" w:color="auto"/>
        <w:right w:val="none" w:sz="0" w:space="0" w:color="auto"/>
      </w:divBdr>
      <w:divsChild>
        <w:div w:id="165096354">
          <w:marLeft w:val="0"/>
          <w:marRight w:val="0"/>
          <w:marTop w:val="0"/>
          <w:marBottom w:val="0"/>
          <w:divBdr>
            <w:top w:val="none" w:sz="0" w:space="0" w:color="auto"/>
            <w:left w:val="none" w:sz="0" w:space="0" w:color="auto"/>
            <w:bottom w:val="none" w:sz="0" w:space="0" w:color="auto"/>
            <w:right w:val="none" w:sz="0" w:space="0" w:color="auto"/>
          </w:divBdr>
          <w:divsChild>
            <w:div w:id="58458205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62207237">
      <w:marLeft w:val="0"/>
      <w:marRight w:val="0"/>
      <w:marTop w:val="180"/>
      <w:marBottom w:val="0"/>
      <w:divBdr>
        <w:top w:val="none" w:sz="0" w:space="0" w:color="auto"/>
        <w:left w:val="none" w:sz="0" w:space="0" w:color="auto"/>
        <w:bottom w:val="none" w:sz="0" w:space="0" w:color="auto"/>
        <w:right w:val="none" w:sz="0" w:space="0" w:color="auto"/>
      </w:divBdr>
    </w:div>
    <w:div w:id="1864901059">
      <w:marLeft w:val="0"/>
      <w:marRight w:val="0"/>
      <w:marTop w:val="180"/>
      <w:marBottom w:val="180"/>
      <w:divBdr>
        <w:top w:val="none" w:sz="0" w:space="0" w:color="auto"/>
        <w:left w:val="none" w:sz="0" w:space="0" w:color="auto"/>
        <w:bottom w:val="none" w:sz="0" w:space="0" w:color="auto"/>
        <w:right w:val="none" w:sz="0" w:space="0" w:color="auto"/>
      </w:divBdr>
    </w:div>
    <w:div w:id="1865828793">
      <w:marLeft w:val="0"/>
      <w:marRight w:val="0"/>
      <w:marTop w:val="60"/>
      <w:marBottom w:val="60"/>
      <w:divBdr>
        <w:top w:val="none" w:sz="0" w:space="0" w:color="auto"/>
        <w:left w:val="none" w:sz="0" w:space="0" w:color="auto"/>
        <w:bottom w:val="none" w:sz="0" w:space="0" w:color="auto"/>
        <w:right w:val="none" w:sz="0" w:space="0" w:color="auto"/>
      </w:divBdr>
    </w:div>
    <w:div w:id="1868330845">
      <w:marLeft w:val="0"/>
      <w:marRight w:val="0"/>
      <w:marTop w:val="0"/>
      <w:marBottom w:val="0"/>
      <w:divBdr>
        <w:top w:val="none" w:sz="0" w:space="0" w:color="auto"/>
        <w:left w:val="none" w:sz="0" w:space="0" w:color="auto"/>
        <w:bottom w:val="none" w:sz="0" w:space="0" w:color="auto"/>
        <w:right w:val="none" w:sz="0" w:space="0" w:color="auto"/>
      </w:divBdr>
    </w:div>
    <w:div w:id="1869827516">
      <w:marLeft w:val="0"/>
      <w:marRight w:val="0"/>
      <w:marTop w:val="0"/>
      <w:marBottom w:val="0"/>
      <w:divBdr>
        <w:top w:val="none" w:sz="0" w:space="0" w:color="auto"/>
        <w:left w:val="none" w:sz="0" w:space="0" w:color="auto"/>
        <w:bottom w:val="none" w:sz="0" w:space="0" w:color="auto"/>
        <w:right w:val="none" w:sz="0" w:space="0" w:color="auto"/>
      </w:divBdr>
    </w:div>
    <w:div w:id="1870411983">
      <w:marLeft w:val="0"/>
      <w:marRight w:val="0"/>
      <w:marTop w:val="0"/>
      <w:marBottom w:val="0"/>
      <w:divBdr>
        <w:top w:val="none" w:sz="0" w:space="0" w:color="auto"/>
        <w:left w:val="none" w:sz="0" w:space="0" w:color="auto"/>
        <w:bottom w:val="none" w:sz="0" w:space="0" w:color="auto"/>
        <w:right w:val="none" w:sz="0" w:space="0" w:color="auto"/>
      </w:divBdr>
      <w:divsChild>
        <w:div w:id="2100179124">
          <w:marLeft w:val="0"/>
          <w:marRight w:val="0"/>
          <w:marTop w:val="60"/>
          <w:marBottom w:val="60"/>
          <w:divBdr>
            <w:top w:val="none" w:sz="0" w:space="0" w:color="auto"/>
            <w:left w:val="none" w:sz="0" w:space="0" w:color="auto"/>
            <w:bottom w:val="none" w:sz="0" w:space="0" w:color="auto"/>
            <w:right w:val="none" w:sz="0" w:space="0" w:color="auto"/>
          </w:divBdr>
        </w:div>
      </w:divsChild>
    </w:div>
    <w:div w:id="1870412770">
      <w:marLeft w:val="0"/>
      <w:marRight w:val="0"/>
      <w:marTop w:val="0"/>
      <w:marBottom w:val="0"/>
      <w:divBdr>
        <w:top w:val="none" w:sz="0" w:space="0" w:color="auto"/>
        <w:left w:val="none" w:sz="0" w:space="0" w:color="auto"/>
        <w:bottom w:val="none" w:sz="0" w:space="0" w:color="auto"/>
        <w:right w:val="none" w:sz="0" w:space="0" w:color="auto"/>
      </w:divBdr>
      <w:divsChild>
        <w:div w:id="662860150">
          <w:marLeft w:val="0"/>
          <w:marRight w:val="0"/>
          <w:marTop w:val="60"/>
          <w:marBottom w:val="60"/>
          <w:divBdr>
            <w:top w:val="none" w:sz="0" w:space="0" w:color="auto"/>
            <w:left w:val="none" w:sz="0" w:space="0" w:color="auto"/>
            <w:bottom w:val="none" w:sz="0" w:space="0" w:color="auto"/>
            <w:right w:val="none" w:sz="0" w:space="0" w:color="auto"/>
          </w:divBdr>
        </w:div>
      </w:divsChild>
    </w:div>
    <w:div w:id="1871146042">
      <w:marLeft w:val="0"/>
      <w:marRight w:val="0"/>
      <w:marTop w:val="60"/>
      <w:marBottom w:val="60"/>
      <w:divBdr>
        <w:top w:val="none" w:sz="0" w:space="0" w:color="auto"/>
        <w:left w:val="none" w:sz="0" w:space="0" w:color="auto"/>
        <w:bottom w:val="none" w:sz="0" w:space="0" w:color="auto"/>
        <w:right w:val="none" w:sz="0" w:space="0" w:color="auto"/>
      </w:divBdr>
    </w:div>
    <w:div w:id="1873882452">
      <w:marLeft w:val="0"/>
      <w:marRight w:val="0"/>
      <w:marTop w:val="180"/>
      <w:marBottom w:val="180"/>
      <w:divBdr>
        <w:top w:val="none" w:sz="0" w:space="0" w:color="auto"/>
        <w:left w:val="none" w:sz="0" w:space="0" w:color="auto"/>
        <w:bottom w:val="none" w:sz="0" w:space="0" w:color="auto"/>
        <w:right w:val="none" w:sz="0" w:space="0" w:color="auto"/>
      </w:divBdr>
    </w:div>
    <w:div w:id="1874611731">
      <w:marLeft w:val="0"/>
      <w:marRight w:val="0"/>
      <w:marTop w:val="180"/>
      <w:marBottom w:val="180"/>
      <w:divBdr>
        <w:top w:val="none" w:sz="0" w:space="0" w:color="auto"/>
        <w:left w:val="none" w:sz="0" w:space="0" w:color="auto"/>
        <w:bottom w:val="none" w:sz="0" w:space="0" w:color="auto"/>
        <w:right w:val="none" w:sz="0" w:space="0" w:color="auto"/>
      </w:divBdr>
    </w:div>
    <w:div w:id="1877934135">
      <w:marLeft w:val="0"/>
      <w:marRight w:val="0"/>
      <w:marTop w:val="180"/>
      <w:marBottom w:val="180"/>
      <w:divBdr>
        <w:top w:val="none" w:sz="0" w:space="0" w:color="auto"/>
        <w:left w:val="none" w:sz="0" w:space="0" w:color="auto"/>
        <w:bottom w:val="none" w:sz="0" w:space="0" w:color="auto"/>
        <w:right w:val="none" w:sz="0" w:space="0" w:color="auto"/>
      </w:divBdr>
    </w:div>
    <w:div w:id="1879970420">
      <w:marLeft w:val="0"/>
      <w:marRight w:val="0"/>
      <w:marTop w:val="180"/>
      <w:marBottom w:val="180"/>
      <w:divBdr>
        <w:top w:val="none" w:sz="0" w:space="0" w:color="auto"/>
        <w:left w:val="none" w:sz="0" w:space="0" w:color="auto"/>
        <w:bottom w:val="none" w:sz="0" w:space="0" w:color="auto"/>
        <w:right w:val="none" w:sz="0" w:space="0" w:color="auto"/>
      </w:divBdr>
    </w:div>
    <w:div w:id="1880970381">
      <w:marLeft w:val="0"/>
      <w:marRight w:val="0"/>
      <w:marTop w:val="180"/>
      <w:marBottom w:val="60"/>
      <w:divBdr>
        <w:top w:val="none" w:sz="0" w:space="0" w:color="auto"/>
        <w:left w:val="none" w:sz="0" w:space="0" w:color="auto"/>
        <w:bottom w:val="none" w:sz="0" w:space="0" w:color="auto"/>
        <w:right w:val="none" w:sz="0" w:space="0" w:color="auto"/>
      </w:divBdr>
    </w:div>
    <w:div w:id="1885213483">
      <w:marLeft w:val="0"/>
      <w:marRight w:val="0"/>
      <w:marTop w:val="180"/>
      <w:marBottom w:val="180"/>
      <w:divBdr>
        <w:top w:val="none" w:sz="0" w:space="0" w:color="auto"/>
        <w:left w:val="none" w:sz="0" w:space="0" w:color="auto"/>
        <w:bottom w:val="none" w:sz="0" w:space="0" w:color="auto"/>
        <w:right w:val="none" w:sz="0" w:space="0" w:color="auto"/>
      </w:divBdr>
    </w:div>
    <w:div w:id="1886869947">
      <w:marLeft w:val="0"/>
      <w:marRight w:val="0"/>
      <w:marTop w:val="180"/>
      <w:marBottom w:val="180"/>
      <w:divBdr>
        <w:top w:val="none" w:sz="0" w:space="0" w:color="auto"/>
        <w:left w:val="none" w:sz="0" w:space="0" w:color="auto"/>
        <w:bottom w:val="none" w:sz="0" w:space="0" w:color="auto"/>
        <w:right w:val="none" w:sz="0" w:space="0" w:color="auto"/>
      </w:divBdr>
    </w:div>
    <w:div w:id="1887138434">
      <w:marLeft w:val="0"/>
      <w:marRight w:val="0"/>
      <w:marTop w:val="0"/>
      <w:marBottom w:val="0"/>
      <w:divBdr>
        <w:top w:val="none" w:sz="0" w:space="0" w:color="auto"/>
        <w:left w:val="none" w:sz="0" w:space="0" w:color="auto"/>
        <w:bottom w:val="none" w:sz="0" w:space="0" w:color="auto"/>
        <w:right w:val="none" w:sz="0" w:space="0" w:color="auto"/>
      </w:divBdr>
      <w:divsChild>
        <w:div w:id="1651906084">
          <w:marLeft w:val="0"/>
          <w:marRight w:val="0"/>
          <w:marTop w:val="60"/>
          <w:marBottom w:val="60"/>
          <w:divBdr>
            <w:top w:val="none" w:sz="0" w:space="0" w:color="auto"/>
            <w:left w:val="none" w:sz="0" w:space="0" w:color="auto"/>
            <w:bottom w:val="none" w:sz="0" w:space="0" w:color="auto"/>
            <w:right w:val="none" w:sz="0" w:space="0" w:color="auto"/>
          </w:divBdr>
        </w:div>
      </w:divsChild>
    </w:div>
    <w:div w:id="1888026646">
      <w:marLeft w:val="0"/>
      <w:marRight w:val="0"/>
      <w:marTop w:val="180"/>
      <w:marBottom w:val="0"/>
      <w:divBdr>
        <w:top w:val="none" w:sz="0" w:space="0" w:color="auto"/>
        <w:left w:val="none" w:sz="0" w:space="0" w:color="auto"/>
        <w:bottom w:val="none" w:sz="0" w:space="0" w:color="auto"/>
        <w:right w:val="none" w:sz="0" w:space="0" w:color="auto"/>
      </w:divBdr>
      <w:divsChild>
        <w:div w:id="1138107855">
          <w:marLeft w:val="0"/>
          <w:marRight w:val="0"/>
          <w:marTop w:val="0"/>
          <w:marBottom w:val="0"/>
          <w:divBdr>
            <w:top w:val="none" w:sz="0" w:space="0" w:color="auto"/>
            <w:left w:val="none" w:sz="0" w:space="0" w:color="auto"/>
            <w:bottom w:val="none" w:sz="0" w:space="0" w:color="auto"/>
            <w:right w:val="none" w:sz="0" w:space="0" w:color="auto"/>
          </w:divBdr>
        </w:div>
        <w:div w:id="358891625">
          <w:marLeft w:val="0"/>
          <w:marRight w:val="0"/>
          <w:marTop w:val="0"/>
          <w:marBottom w:val="0"/>
          <w:divBdr>
            <w:top w:val="none" w:sz="0" w:space="0" w:color="auto"/>
            <w:left w:val="none" w:sz="0" w:space="0" w:color="auto"/>
            <w:bottom w:val="none" w:sz="0" w:space="0" w:color="auto"/>
            <w:right w:val="none" w:sz="0" w:space="0" w:color="auto"/>
          </w:divBdr>
        </w:div>
        <w:div w:id="435172455">
          <w:marLeft w:val="0"/>
          <w:marRight w:val="0"/>
          <w:marTop w:val="0"/>
          <w:marBottom w:val="0"/>
          <w:divBdr>
            <w:top w:val="none" w:sz="0" w:space="0" w:color="auto"/>
            <w:left w:val="none" w:sz="0" w:space="0" w:color="auto"/>
            <w:bottom w:val="none" w:sz="0" w:space="0" w:color="auto"/>
            <w:right w:val="none" w:sz="0" w:space="0" w:color="auto"/>
          </w:divBdr>
        </w:div>
        <w:div w:id="1529562855">
          <w:marLeft w:val="0"/>
          <w:marRight w:val="0"/>
          <w:marTop w:val="0"/>
          <w:marBottom w:val="0"/>
          <w:divBdr>
            <w:top w:val="none" w:sz="0" w:space="0" w:color="auto"/>
            <w:left w:val="none" w:sz="0" w:space="0" w:color="auto"/>
            <w:bottom w:val="none" w:sz="0" w:space="0" w:color="auto"/>
            <w:right w:val="none" w:sz="0" w:space="0" w:color="auto"/>
          </w:divBdr>
        </w:div>
        <w:div w:id="451556284">
          <w:marLeft w:val="0"/>
          <w:marRight w:val="0"/>
          <w:marTop w:val="0"/>
          <w:marBottom w:val="0"/>
          <w:divBdr>
            <w:top w:val="none" w:sz="0" w:space="0" w:color="auto"/>
            <w:left w:val="none" w:sz="0" w:space="0" w:color="auto"/>
            <w:bottom w:val="none" w:sz="0" w:space="0" w:color="auto"/>
            <w:right w:val="none" w:sz="0" w:space="0" w:color="auto"/>
          </w:divBdr>
        </w:div>
      </w:divsChild>
    </w:div>
    <w:div w:id="1888837215">
      <w:marLeft w:val="0"/>
      <w:marRight w:val="0"/>
      <w:marTop w:val="60"/>
      <w:marBottom w:val="60"/>
      <w:divBdr>
        <w:top w:val="none" w:sz="0" w:space="0" w:color="auto"/>
        <w:left w:val="none" w:sz="0" w:space="0" w:color="auto"/>
        <w:bottom w:val="none" w:sz="0" w:space="0" w:color="auto"/>
        <w:right w:val="none" w:sz="0" w:space="0" w:color="auto"/>
      </w:divBdr>
    </w:div>
    <w:div w:id="1889489342">
      <w:marLeft w:val="0"/>
      <w:marRight w:val="0"/>
      <w:marTop w:val="180"/>
      <w:marBottom w:val="180"/>
      <w:divBdr>
        <w:top w:val="none" w:sz="0" w:space="0" w:color="auto"/>
        <w:left w:val="none" w:sz="0" w:space="0" w:color="auto"/>
        <w:bottom w:val="none" w:sz="0" w:space="0" w:color="auto"/>
        <w:right w:val="none" w:sz="0" w:space="0" w:color="auto"/>
      </w:divBdr>
    </w:div>
    <w:div w:id="1890192140">
      <w:marLeft w:val="0"/>
      <w:marRight w:val="0"/>
      <w:marTop w:val="0"/>
      <w:marBottom w:val="0"/>
      <w:divBdr>
        <w:top w:val="none" w:sz="0" w:space="0" w:color="auto"/>
        <w:left w:val="none" w:sz="0" w:space="0" w:color="auto"/>
        <w:bottom w:val="none" w:sz="0" w:space="0" w:color="auto"/>
        <w:right w:val="none" w:sz="0" w:space="0" w:color="auto"/>
      </w:divBdr>
      <w:divsChild>
        <w:div w:id="983269274">
          <w:marLeft w:val="0"/>
          <w:marRight w:val="0"/>
          <w:marTop w:val="60"/>
          <w:marBottom w:val="60"/>
          <w:divBdr>
            <w:top w:val="none" w:sz="0" w:space="0" w:color="auto"/>
            <w:left w:val="none" w:sz="0" w:space="0" w:color="auto"/>
            <w:bottom w:val="none" w:sz="0" w:space="0" w:color="auto"/>
            <w:right w:val="none" w:sz="0" w:space="0" w:color="auto"/>
          </w:divBdr>
        </w:div>
      </w:divsChild>
    </w:div>
    <w:div w:id="1894804341">
      <w:marLeft w:val="0"/>
      <w:marRight w:val="0"/>
      <w:marTop w:val="180"/>
      <w:marBottom w:val="180"/>
      <w:divBdr>
        <w:top w:val="none" w:sz="0" w:space="0" w:color="auto"/>
        <w:left w:val="none" w:sz="0" w:space="0" w:color="auto"/>
        <w:bottom w:val="none" w:sz="0" w:space="0" w:color="auto"/>
        <w:right w:val="none" w:sz="0" w:space="0" w:color="auto"/>
      </w:divBdr>
    </w:div>
    <w:div w:id="1895963858">
      <w:marLeft w:val="0"/>
      <w:marRight w:val="0"/>
      <w:marTop w:val="180"/>
      <w:marBottom w:val="180"/>
      <w:divBdr>
        <w:top w:val="none" w:sz="0" w:space="0" w:color="auto"/>
        <w:left w:val="none" w:sz="0" w:space="0" w:color="auto"/>
        <w:bottom w:val="none" w:sz="0" w:space="0" w:color="auto"/>
        <w:right w:val="none" w:sz="0" w:space="0" w:color="auto"/>
      </w:divBdr>
    </w:div>
    <w:div w:id="1897620803">
      <w:marLeft w:val="0"/>
      <w:marRight w:val="0"/>
      <w:marTop w:val="0"/>
      <w:marBottom w:val="0"/>
      <w:divBdr>
        <w:top w:val="none" w:sz="0" w:space="0" w:color="auto"/>
        <w:left w:val="none" w:sz="0" w:space="0" w:color="auto"/>
        <w:bottom w:val="none" w:sz="0" w:space="0" w:color="auto"/>
        <w:right w:val="none" w:sz="0" w:space="0" w:color="auto"/>
      </w:divBdr>
    </w:div>
    <w:div w:id="1897887497">
      <w:marLeft w:val="0"/>
      <w:marRight w:val="0"/>
      <w:marTop w:val="180"/>
      <w:marBottom w:val="180"/>
      <w:divBdr>
        <w:top w:val="none" w:sz="0" w:space="0" w:color="auto"/>
        <w:left w:val="none" w:sz="0" w:space="0" w:color="auto"/>
        <w:bottom w:val="none" w:sz="0" w:space="0" w:color="auto"/>
        <w:right w:val="none" w:sz="0" w:space="0" w:color="auto"/>
      </w:divBdr>
    </w:div>
    <w:div w:id="1897934366">
      <w:marLeft w:val="0"/>
      <w:marRight w:val="0"/>
      <w:marTop w:val="180"/>
      <w:marBottom w:val="60"/>
      <w:divBdr>
        <w:top w:val="none" w:sz="0" w:space="0" w:color="auto"/>
        <w:left w:val="none" w:sz="0" w:space="0" w:color="auto"/>
        <w:bottom w:val="none" w:sz="0" w:space="0" w:color="auto"/>
        <w:right w:val="none" w:sz="0" w:space="0" w:color="auto"/>
      </w:divBdr>
    </w:div>
    <w:div w:id="1898394723">
      <w:marLeft w:val="0"/>
      <w:marRight w:val="0"/>
      <w:marTop w:val="60"/>
      <w:marBottom w:val="60"/>
      <w:divBdr>
        <w:top w:val="none" w:sz="0" w:space="0" w:color="auto"/>
        <w:left w:val="none" w:sz="0" w:space="0" w:color="auto"/>
        <w:bottom w:val="none" w:sz="0" w:space="0" w:color="auto"/>
        <w:right w:val="none" w:sz="0" w:space="0" w:color="auto"/>
      </w:divBdr>
    </w:div>
    <w:div w:id="1901672326">
      <w:marLeft w:val="0"/>
      <w:marRight w:val="0"/>
      <w:marTop w:val="180"/>
      <w:marBottom w:val="180"/>
      <w:divBdr>
        <w:top w:val="none" w:sz="0" w:space="0" w:color="auto"/>
        <w:left w:val="none" w:sz="0" w:space="0" w:color="auto"/>
        <w:bottom w:val="none" w:sz="0" w:space="0" w:color="auto"/>
        <w:right w:val="none" w:sz="0" w:space="0" w:color="auto"/>
      </w:divBdr>
    </w:div>
    <w:div w:id="1902515738">
      <w:marLeft w:val="0"/>
      <w:marRight w:val="0"/>
      <w:marTop w:val="180"/>
      <w:marBottom w:val="180"/>
      <w:divBdr>
        <w:top w:val="none" w:sz="0" w:space="0" w:color="auto"/>
        <w:left w:val="none" w:sz="0" w:space="0" w:color="auto"/>
        <w:bottom w:val="none" w:sz="0" w:space="0" w:color="auto"/>
        <w:right w:val="none" w:sz="0" w:space="0" w:color="auto"/>
      </w:divBdr>
    </w:div>
    <w:div w:id="1902789455">
      <w:marLeft w:val="0"/>
      <w:marRight w:val="0"/>
      <w:marTop w:val="180"/>
      <w:marBottom w:val="180"/>
      <w:divBdr>
        <w:top w:val="none" w:sz="0" w:space="0" w:color="auto"/>
        <w:left w:val="none" w:sz="0" w:space="0" w:color="auto"/>
        <w:bottom w:val="none" w:sz="0" w:space="0" w:color="auto"/>
        <w:right w:val="none" w:sz="0" w:space="0" w:color="auto"/>
      </w:divBdr>
    </w:div>
    <w:div w:id="1905406277">
      <w:marLeft w:val="0"/>
      <w:marRight w:val="0"/>
      <w:marTop w:val="0"/>
      <w:marBottom w:val="0"/>
      <w:divBdr>
        <w:top w:val="none" w:sz="0" w:space="0" w:color="auto"/>
        <w:left w:val="none" w:sz="0" w:space="0" w:color="auto"/>
        <w:bottom w:val="none" w:sz="0" w:space="0" w:color="auto"/>
        <w:right w:val="none" w:sz="0" w:space="0" w:color="auto"/>
      </w:divBdr>
    </w:div>
    <w:div w:id="1905413488">
      <w:marLeft w:val="0"/>
      <w:marRight w:val="0"/>
      <w:marTop w:val="0"/>
      <w:marBottom w:val="0"/>
      <w:divBdr>
        <w:top w:val="none" w:sz="0" w:space="0" w:color="auto"/>
        <w:left w:val="none" w:sz="0" w:space="0" w:color="auto"/>
        <w:bottom w:val="none" w:sz="0" w:space="0" w:color="auto"/>
        <w:right w:val="none" w:sz="0" w:space="0" w:color="auto"/>
      </w:divBdr>
      <w:divsChild>
        <w:div w:id="768817849">
          <w:marLeft w:val="0"/>
          <w:marRight w:val="0"/>
          <w:marTop w:val="60"/>
          <w:marBottom w:val="60"/>
          <w:divBdr>
            <w:top w:val="none" w:sz="0" w:space="0" w:color="auto"/>
            <w:left w:val="none" w:sz="0" w:space="0" w:color="auto"/>
            <w:bottom w:val="none" w:sz="0" w:space="0" w:color="auto"/>
            <w:right w:val="none" w:sz="0" w:space="0" w:color="auto"/>
          </w:divBdr>
        </w:div>
      </w:divsChild>
    </w:div>
    <w:div w:id="1910722394">
      <w:marLeft w:val="0"/>
      <w:marRight w:val="0"/>
      <w:marTop w:val="60"/>
      <w:marBottom w:val="60"/>
      <w:divBdr>
        <w:top w:val="none" w:sz="0" w:space="0" w:color="auto"/>
        <w:left w:val="none" w:sz="0" w:space="0" w:color="auto"/>
        <w:bottom w:val="none" w:sz="0" w:space="0" w:color="auto"/>
        <w:right w:val="none" w:sz="0" w:space="0" w:color="auto"/>
      </w:divBdr>
    </w:div>
    <w:div w:id="1913343698">
      <w:marLeft w:val="0"/>
      <w:marRight w:val="0"/>
      <w:marTop w:val="60"/>
      <w:marBottom w:val="60"/>
      <w:divBdr>
        <w:top w:val="none" w:sz="0" w:space="0" w:color="auto"/>
        <w:left w:val="none" w:sz="0" w:space="0" w:color="auto"/>
        <w:bottom w:val="none" w:sz="0" w:space="0" w:color="auto"/>
        <w:right w:val="none" w:sz="0" w:space="0" w:color="auto"/>
      </w:divBdr>
    </w:div>
    <w:div w:id="1914269832">
      <w:marLeft w:val="0"/>
      <w:marRight w:val="0"/>
      <w:marTop w:val="60"/>
      <w:marBottom w:val="60"/>
      <w:divBdr>
        <w:top w:val="none" w:sz="0" w:space="0" w:color="auto"/>
        <w:left w:val="none" w:sz="0" w:space="0" w:color="auto"/>
        <w:bottom w:val="none" w:sz="0" w:space="0" w:color="auto"/>
        <w:right w:val="none" w:sz="0" w:space="0" w:color="auto"/>
      </w:divBdr>
    </w:div>
    <w:div w:id="1915428470">
      <w:marLeft w:val="0"/>
      <w:marRight w:val="0"/>
      <w:marTop w:val="0"/>
      <w:marBottom w:val="0"/>
      <w:divBdr>
        <w:top w:val="none" w:sz="0" w:space="0" w:color="auto"/>
        <w:left w:val="none" w:sz="0" w:space="0" w:color="auto"/>
        <w:bottom w:val="none" w:sz="0" w:space="0" w:color="auto"/>
        <w:right w:val="none" w:sz="0" w:space="0" w:color="auto"/>
      </w:divBdr>
      <w:divsChild>
        <w:div w:id="343286646">
          <w:marLeft w:val="0"/>
          <w:marRight w:val="0"/>
          <w:marTop w:val="60"/>
          <w:marBottom w:val="60"/>
          <w:divBdr>
            <w:top w:val="none" w:sz="0" w:space="0" w:color="auto"/>
            <w:left w:val="none" w:sz="0" w:space="0" w:color="auto"/>
            <w:bottom w:val="none" w:sz="0" w:space="0" w:color="auto"/>
            <w:right w:val="none" w:sz="0" w:space="0" w:color="auto"/>
          </w:divBdr>
        </w:div>
      </w:divsChild>
    </w:div>
    <w:div w:id="1918435541">
      <w:marLeft w:val="0"/>
      <w:marRight w:val="0"/>
      <w:marTop w:val="0"/>
      <w:marBottom w:val="0"/>
      <w:divBdr>
        <w:top w:val="none" w:sz="0" w:space="0" w:color="auto"/>
        <w:left w:val="none" w:sz="0" w:space="0" w:color="auto"/>
        <w:bottom w:val="none" w:sz="0" w:space="0" w:color="auto"/>
        <w:right w:val="none" w:sz="0" w:space="0" w:color="auto"/>
      </w:divBdr>
      <w:divsChild>
        <w:div w:id="487988769">
          <w:marLeft w:val="0"/>
          <w:marRight w:val="0"/>
          <w:marTop w:val="60"/>
          <w:marBottom w:val="60"/>
          <w:divBdr>
            <w:top w:val="none" w:sz="0" w:space="0" w:color="auto"/>
            <w:left w:val="none" w:sz="0" w:space="0" w:color="auto"/>
            <w:bottom w:val="none" w:sz="0" w:space="0" w:color="auto"/>
            <w:right w:val="none" w:sz="0" w:space="0" w:color="auto"/>
          </w:divBdr>
        </w:div>
      </w:divsChild>
    </w:div>
    <w:div w:id="1918901771">
      <w:marLeft w:val="0"/>
      <w:marRight w:val="0"/>
      <w:marTop w:val="0"/>
      <w:marBottom w:val="0"/>
      <w:divBdr>
        <w:top w:val="none" w:sz="0" w:space="0" w:color="auto"/>
        <w:left w:val="none" w:sz="0" w:space="0" w:color="auto"/>
        <w:bottom w:val="none" w:sz="0" w:space="0" w:color="auto"/>
        <w:right w:val="none" w:sz="0" w:space="0" w:color="auto"/>
      </w:divBdr>
      <w:divsChild>
        <w:div w:id="840126292">
          <w:marLeft w:val="0"/>
          <w:marRight w:val="0"/>
          <w:marTop w:val="60"/>
          <w:marBottom w:val="60"/>
          <w:divBdr>
            <w:top w:val="none" w:sz="0" w:space="0" w:color="auto"/>
            <w:left w:val="none" w:sz="0" w:space="0" w:color="auto"/>
            <w:bottom w:val="none" w:sz="0" w:space="0" w:color="auto"/>
            <w:right w:val="none" w:sz="0" w:space="0" w:color="auto"/>
          </w:divBdr>
        </w:div>
      </w:divsChild>
    </w:div>
    <w:div w:id="1920868249">
      <w:marLeft w:val="0"/>
      <w:marRight w:val="0"/>
      <w:marTop w:val="0"/>
      <w:marBottom w:val="0"/>
      <w:divBdr>
        <w:top w:val="none" w:sz="0" w:space="0" w:color="auto"/>
        <w:left w:val="none" w:sz="0" w:space="0" w:color="auto"/>
        <w:bottom w:val="none" w:sz="0" w:space="0" w:color="auto"/>
        <w:right w:val="none" w:sz="0" w:space="0" w:color="auto"/>
      </w:divBdr>
    </w:div>
    <w:div w:id="1923682778">
      <w:marLeft w:val="0"/>
      <w:marRight w:val="0"/>
      <w:marTop w:val="180"/>
      <w:marBottom w:val="180"/>
      <w:divBdr>
        <w:top w:val="none" w:sz="0" w:space="0" w:color="auto"/>
        <w:left w:val="none" w:sz="0" w:space="0" w:color="auto"/>
        <w:bottom w:val="none" w:sz="0" w:space="0" w:color="auto"/>
        <w:right w:val="none" w:sz="0" w:space="0" w:color="auto"/>
      </w:divBdr>
    </w:div>
    <w:div w:id="1925263548">
      <w:marLeft w:val="0"/>
      <w:marRight w:val="0"/>
      <w:marTop w:val="180"/>
      <w:marBottom w:val="180"/>
      <w:divBdr>
        <w:top w:val="none" w:sz="0" w:space="0" w:color="auto"/>
        <w:left w:val="none" w:sz="0" w:space="0" w:color="auto"/>
        <w:bottom w:val="none" w:sz="0" w:space="0" w:color="auto"/>
        <w:right w:val="none" w:sz="0" w:space="0" w:color="auto"/>
      </w:divBdr>
    </w:div>
    <w:div w:id="1928726531">
      <w:marLeft w:val="0"/>
      <w:marRight w:val="0"/>
      <w:marTop w:val="0"/>
      <w:marBottom w:val="0"/>
      <w:divBdr>
        <w:top w:val="none" w:sz="0" w:space="0" w:color="auto"/>
        <w:left w:val="none" w:sz="0" w:space="0" w:color="auto"/>
        <w:bottom w:val="none" w:sz="0" w:space="0" w:color="auto"/>
        <w:right w:val="none" w:sz="0" w:space="0" w:color="auto"/>
      </w:divBdr>
    </w:div>
    <w:div w:id="1933586622">
      <w:marLeft w:val="0"/>
      <w:marRight w:val="0"/>
      <w:marTop w:val="0"/>
      <w:marBottom w:val="0"/>
      <w:divBdr>
        <w:top w:val="none" w:sz="0" w:space="0" w:color="auto"/>
        <w:left w:val="none" w:sz="0" w:space="0" w:color="auto"/>
        <w:bottom w:val="none" w:sz="0" w:space="0" w:color="auto"/>
        <w:right w:val="none" w:sz="0" w:space="0" w:color="auto"/>
      </w:divBdr>
      <w:divsChild>
        <w:div w:id="939490819">
          <w:marLeft w:val="0"/>
          <w:marRight w:val="0"/>
          <w:marTop w:val="0"/>
          <w:marBottom w:val="0"/>
          <w:divBdr>
            <w:top w:val="none" w:sz="0" w:space="0" w:color="auto"/>
            <w:left w:val="none" w:sz="0" w:space="0" w:color="auto"/>
            <w:bottom w:val="none" w:sz="0" w:space="0" w:color="auto"/>
            <w:right w:val="none" w:sz="0" w:space="0" w:color="auto"/>
          </w:divBdr>
          <w:divsChild>
            <w:div w:id="155801368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34389901">
      <w:marLeft w:val="0"/>
      <w:marRight w:val="0"/>
      <w:marTop w:val="180"/>
      <w:marBottom w:val="180"/>
      <w:divBdr>
        <w:top w:val="none" w:sz="0" w:space="0" w:color="auto"/>
        <w:left w:val="none" w:sz="0" w:space="0" w:color="auto"/>
        <w:bottom w:val="none" w:sz="0" w:space="0" w:color="auto"/>
        <w:right w:val="none" w:sz="0" w:space="0" w:color="auto"/>
      </w:divBdr>
    </w:div>
    <w:div w:id="1934581515">
      <w:marLeft w:val="0"/>
      <w:marRight w:val="0"/>
      <w:marTop w:val="0"/>
      <w:marBottom w:val="0"/>
      <w:divBdr>
        <w:top w:val="none" w:sz="0" w:space="0" w:color="auto"/>
        <w:left w:val="none" w:sz="0" w:space="0" w:color="auto"/>
        <w:bottom w:val="none" w:sz="0" w:space="0" w:color="auto"/>
        <w:right w:val="none" w:sz="0" w:space="0" w:color="auto"/>
      </w:divBdr>
      <w:divsChild>
        <w:div w:id="1167748477">
          <w:marLeft w:val="0"/>
          <w:marRight w:val="0"/>
          <w:marTop w:val="60"/>
          <w:marBottom w:val="60"/>
          <w:divBdr>
            <w:top w:val="none" w:sz="0" w:space="0" w:color="auto"/>
            <w:left w:val="none" w:sz="0" w:space="0" w:color="auto"/>
            <w:bottom w:val="none" w:sz="0" w:space="0" w:color="auto"/>
            <w:right w:val="none" w:sz="0" w:space="0" w:color="auto"/>
          </w:divBdr>
        </w:div>
      </w:divsChild>
    </w:div>
    <w:div w:id="1935165112">
      <w:marLeft w:val="0"/>
      <w:marRight w:val="0"/>
      <w:marTop w:val="180"/>
      <w:marBottom w:val="180"/>
      <w:divBdr>
        <w:top w:val="none" w:sz="0" w:space="0" w:color="auto"/>
        <w:left w:val="none" w:sz="0" w:space="0" w:color="auto"/>
        <w:bottom w:val="none" w:sz="0" w:space="0" w:color="auto"/>
        <w:right w:val="none" w:sz="0" w:space="0" w:color="auto"/>
      </w:divBdr>
    </w:div>
    <w:div w:id="1942257185">
      <w:marLeft w:val="0"/>
      <w:marRight w:val="0"/>
      <w:marTop w:val="180"/>
      <w:marBottom w:val="180"/>
      <w:divBdr>
        <w:top w:val="none" w:sz="0" w:space="0" w:color="auto"/>
        <w:left w:val="none" w:sz="0" w:space="0" w:color="auto"/>
        <w:bottom w:val="none" w:sz="0" w:space="0" w:color="auto"/>
        <w:right w:val="none" w:sz="0" w:space="0" w:color="auto"/>
      </w:divBdr>
      <w:divsChild>
        <w:div w:id="1520042822">
          <w:marLeft w:val="0"/>
          <w:marRight w:val="0"/>
          <w:marTop w:val="0"/>
          <w:marBottom w:val="0"/>
          <w:divBdr>
            <w:top w:val="none" w:sz="0" w:space="0" w:color="auto"/>
            <w:left w:val="none" w:sz="0" w:space="0" w:color="auto"/>
            <w:bottom w:val="none" w:sz="0" w:space="0" w:color="auto"/>
            <w:right w:val="none" w:sz="0" w:space="0" w:color="auto"/>
          </w:divBdr>
        </w:div>
        <w:div w:id="782921198">
          <w:marLeft w:val="0"/>
          <w:marRight w:val="0"/>
          <w:marTop w:val="0"/>
          <w:marBottom w:val="0"/>
          <w:divBdr>
            <w:top w:val="none" w:sz="0" w:space="0" w:color="auto"/>
            <w:left w:val="none" w:sz="0" w:space="0" w:color="auto"/>
            <w:bottom w:val="none" w:sz="0" w:space="0" w:color="auto"/>
            <w:right w:val="none" w:sz="0" w:space="0" w:color="auto"/>
          </w:divBdr>
        </w:div>
        <w:div w:id="2078359166">
          <w:marLeft w:val="0"/>
          <w:marRight w:val="0"/>
          <w:marTop w:val="0"/>
          <w:marBottom w:val="0"/>
          <w:divBdr>
            <w:top w:val="none" w:sz="0" w:space="0" w:color="auto"/>
            <w:left w:val="none" w:sz="0" w:space="0" w:color="auto"/>
            <w:bottom w:val="none" w:sz="0" w:space="0" w:color="auto"/>
            <w:right w:val="none" w:sz="0" w:space="0" w:color="auto"/>
          </w:divBdr>
        </w:div>
      </w:divsChild>
    </w:div>
    <w:div w:id="1942645398">
      <w:marLeft w:val="0"/>
      <w:marRight w:val="0"/>
      <w:marTop w:val="180"/>
      <w:marBottom w:val="0"/>
      <w:divBdr>
        <w:top w:val="none" w:sz="0" w:space="0" w:color="auto"/>
        <w:left w:val="none" w:sz="0" w:space="0" w:color="auto"/>
        <w:bottom w:val="none" w:sz="0" w:space="0" w:color="auto"/>
        <w:right w:val="none" w:sz="0" w:space="0" w:color="auto"/>
      </w:divBdr>
      <w:divsChild>
        <w:div w:id="1877159550">
          <w:marLeft w:val="0"/>
          <w:marRight w:val="0"/>
          <w:marTop w:val="0"/>
          <w:marBottom w:val="0"/>
          <w:divBdr>
            <w:top w:val="none" w:sz="0" w:space="0" w:color="auto"/>
            <w:left w:val="none" w:sz="0" w:space="0" w:color="auto"/>
            <w:bottom w:val="none" w:sz="0" w:space="0" w:color="auto"/>
            <w:right w:val="none" w:sz="0" w:space="0" w:color="auto"/>
          </w:divBdr>
        </w:div>
        <w:div w:id="1015576623">
          <w:marLeft w:val="0"/>
          <w:marRight w:val="0"/>
          <w:marTop w:val="0"/>
          <w:marBottom w:val="0"/>
          <w:divBdr>
            <w:top w:val="none" w:sz="0" w:space="0" w:color="auto"/>
            <w:left w:val="none" w:sz="0" w:space="0" w:color="auto"/>
            <w:bottom w:val="none" w:sz="0" w:space="0" w:color="auto"/>
            <w:right w:val="none" w:sz="0" w:space="0" w:color="auto"/>
          </w:divBdr>
        </w:div>
        <w:div w:id="1600330637">
          <w:marLeft w:val="0"/>
          <w:marRight w:val="0"/>
          <w:marTop w:val="0"/>
          <w:marBottom w:val="0"/>
          <w:divBdr>
            <w:top w:val="none" w:sz="0" w:space="0" w:color="auto"/>
            <w:left w:val="none" w:sz="0" w:space="0" w:color="auto"/>
            <w:bottom w:val="none" w:sz="0" w:space="0" w:color="auto"/>
            <w:right w:val="none" w:sz="0" w:space="0" w:color="auto"/>
          </w:divBdr>
        </w:div>
      </w:divsChild>
    </w:div>
    <w:div w:id="1942713685">
      <w:marLeft w:val="0"/>
      <w:marRight w:val="0"/>
      <w:marTop w:val="180"/>
      <w:marBottom w:val="180"/>
      <w:divBdr>
        <w:top w:val="none" w:sz="0" w:space="0" w:color="auto"/>
        <w:left w:val="none" w:sz="0" w:space="0" w:color="auto"/>
        <w:bottom w:val="none" w:sz="0" w:space="0" w:color="auto"/>
        <w:right w:val="none" w:sz="0" w:space="0" w:color="auto"/>
      </w:divBdr>
    </w:div>
    <w:div w:id="1943688112">
      <w:marLeft w:val="0"/>
      <w:marRight w:val="0"/>
      <w:marTop w:val="0"/>
      <w:marBottom w:val="0"/>
      <w:divBdr>
        <w:top w:val="none" w:sz="0" w:space="0" w:color="auto"/>
        <w:left w:val="none" w:sz="0" w:space="0" w:color="auto"/>
        <w:bottom w:val="none" w:sz="0" w:space="0" w:color="auto"/>
        <w:right w:val="none" w:sz="0" w:space="0" w:color="auto"/>
      </w:divBdr>
      <w:divsChild>
        <w:div w:id="1290554406">
          <w:marLeft w:val="0"/>
          <w:marRight w:val="0"/>
          <w:marTop w:val="0"/>
          <w:marBottom w:val="0"/>
          <w:divBdr>
            <w:top w:val="none" w:sz="0" w:space="0" w:color="auto"/>
            <w:left w:val="none" w:sz="0" w:space="0" w:color="auto"/>
            <w:bottom w:val="none" w:sz="0" w:space="0" w:color="auto"/>
            <w:right w:val="none" w:sz="0" w:space="0" w:color="auto"/>
          </w:divBdr>
          <w:divsChild>
            <w:div w:id="105253670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46228017">
      <w:marLeft w:val="0"/>
      <w:marRight w:val="0"/>
      <w:marTop w:val="180"/>
      <w:marBottom w:val="180"/>
      <w:divBdr>
        <w:top w:val="none" w:sz="0" w:space="0" w:color="auto"/>
        <w:left w:val="none" w:sz="0" w:space="0" w:color="auto"/>
        <w:bottom w:val="none" w:sz="0" w:space="0" w:color="auto"/>
        <w:right w:val="none" w:sz="0" w:space="0" w:color="auto"/>
      </w:divBdr>
    </w:div>
    <w:div w:id="1949116147">
      <w:marLeft w:val="0"/>
      <w:marRight w:val="0"/>
      <w:marTop w:val="180"/>
      <w:marBottom w:val="180"/>
      <w:divBdr>
        <w:top w:val="none" w:sz="0" w:space="0" w:color="auto"/>
        <w:left w:val="none" w:sz="0" w:space="0" w:color="auto"/>
        <w:bottom w:val="none" w:sz="0" w:space="0" w:color="auto"/>
        <w:right w:val="none" w:sz="0" w:space="0" w:color="auto"/>
      </w:divBdr>
    </w:div>
    <w:div w:id="1949460314">
      <w:marLeft w:val="0"/>
      <w:marRight w:val="0"/>
      <w:marTop w:val="240"/>
      <w:marBottom w:val="180"/>
      <w:divBdr>
        <w:top w:val="none" w:sz="0" w:space="0" w:color="auto"/>
        <w:left w:val="none" w:sz="0" w:space="0" w:color="auto"/>
        <w:bottom w:val="none" w:sz="0" w:space="0" w:color="auto"/>
        <w:right w:val="none" w:sz="0" w:space="0" w:color="auto"/>
      </w:divBdr>
    </w:div>
    <w:div w:id="1949701735">
      <w:marLeft w:val="0"/>
      <w:marRight w:val="0"/>
      <w:marTop w:val="180"/>
      <w:marBottom w:val="180"/>
      <w:divBdr>
        <w:top w:val="none" w:sz="0" w:space="0" w:color="auto"/>
        <w:left w:val="none" w:sz="0" w:space="0" w:color="auto"/>
        <w:bottom w:val="none" w:sz="0" w:space="0" w:color="auto"/>
        <w:right w:val="none" w:sz="0" w:space="0" w:color="auto"/>
      </w:divBdr>
    </w:div>
    <w:div w:id="1951350210">
      <w:marLeft w:val="0"/>
      <w:marRight w:val="0"/>
      <w:marTop w:val="180"/>
      <w:marBottom w:val="60"/>
      <w:divBdr>
        <w:top w:val="none" w:sz="0" w:space="0" w:color="auto"/>
        <w:left w:val="none" w:sz="0" w:space="0" w:color="auto"/>
        <w:bottom w:val="none" w:sz="0" w:space="0" w:color="auto"/>
        <w:right w:val="none" w:sz="0" w:space="0" w:color="auto"/>
      </w:divBdr>
    </w:div>
    <w:div w:id="1954049579">
      <w:marLeft w:val="0"/>
      <w:marRight w:val="0"/>
      <w:marTop w:val="180"/>
      <w:marBottom w:val="180"/>
      <w:divBdr>
        <w:top w:val="none" w:sz="0" w:space="0" w:color="auto"/>
        <w:left w:val="none" w:sz="0" w:space="0" w:color="auto"/>
        <w:bottom w:val="none" w:sz="0" w:space="0" w:color="auto"/>
        <w:right w:val="none" w:sz="0" w:space="0" w:color="auto"/>
      </w:divBdr>
    </w:div>
    <w:div w:id="1956322448">
      <w:marLeft w:val="0"/>
      <w:marRight w:val="0"/>
      <w:marTop w:val="0"/>
      <w:marBottom w:val="0"/>
      <w:divBdr>
        <w:top w:val="none" w:sz="0" w:space="0" w:color="auto"/>
        <w:left w:val="none" w:sz="0" w:space="0" w:color="auto"/>
        <w:bottom w:val="none" w:sz="0" w:space="0" w:color="auto"/>
        <w:right w:val="none" w:sz="0" w:space="0" w:color="auto"/>
      </w:divBdr>
      <w:divsChild>
        <w:div w:id="967587093">
          <w:marLeft w:val="0"/>
          <w:marRight w:val="0"/>
          <w:marTop w:val="0"/>
          <w:marBottom w:val="0"/>
          <w:divBdr>
            <w:top w:val="none" w:sz="0" w:space="0" w:color="auto"/>
            <w:left w:val="none" w:sz="0" w:space="0" w:color="auto"/>
            <w:bottom w:val="none" w:sz="0" w:space="0" w:color="auto"/>
            <w:right w:val="none" w:sz="0" w:space="0" w:color="auto"/>
          </w:divBdr>
          <w:divsChild>
            <w:div w:id="62373427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57567189">
      <w:marLeft w:val="0"/>
      <w:marRight w:val="0"/>
      <w:marTop w:val="180"/>
      <w:marBottom w:val="180"/>
      <w:divBdr>
        <w:top w:val="none" w:sz="0" w:space="0" w:color="auto"/>
        <w:left w:val="none" w:sz="0" w:space="0" w:color="auto"/>
        <w:bottom w:val="none" w:sz="0" w:space="0" w:color="auto"/>
        <w:right w:val="none" w:sz="0" w:space="0" w:color="auto"/>
      </w:divBdr>
    </w:div>
    <w:div w:id="1958028621">
      <w:marLeft w:val="0"/>
      <w:marRight w:val="0"/>
      <w:marTop w:val="180"/>
      <w:marBottom w:val="180"/>
      <w:divBdr>
        <w:top w:val="none" w:sz="0" w:space="0" w:color="auto"/>
        <w:left w:val="none" w:sz="0" w:space="0" w:color="auto"/>
        <w:bottom w:val="none" w:sz="0" w:space="0" w:color="auto"/>
        <w:right w:val="none" w:sz="0" w:space="0" w:color="auto"/>
      </w:divBdr>
    </w:div>
    <w:div w:id="1959601621">
      <w:marLeft w:val="0"/>
      <w:marRight w:val="0"/>
      <w:marTop w:val="60"/>
      <w:marBottom w:val="60"/>
      <w:divBdr>
        <w:top w:val="none" w:sz="0" w:space="0" w:color="auto"/>
        <w:left w:val="none" w:sz="0" w:space="0" w:color="auto"/>
        <w:bottom w:val="none" w:sz="0" w:space="0" w:color="auto"/>
        <w:right w:val="none" w:sz="0" w:space="0" w:color="auto"/>
      </w:divBdr>
    </w:div>
    <w:div w:id="1959946892">
      <w:marLeft w:val="0"/>
      <w:marRight w:val="0"/>
      <w:marTop w:val="60"/>
      <w:marBottom w:val="60"/>
      <w:divBdr>
        <w:top w:val="none" w:sz="0" w:space="0" w:color="auto"/>
        <w:left w:val="none" w:sz="0" w:space="0" w:color="auto"/>
        <w:bottom w:val="none" w:sz="0" w:space="0" w:color="auto"/>
        <w:right w:val="none" w:sz="0" w:space="0" w:color="auto"/>
      </w:divBdr>
    </w:div>
    <w:div w:id="1961034252">
      <w:marLeft w:val="0"/>
      <w:marRight w:val="0"/>
      <w:marTop w:val="180"/>
      <w:marBottom w:val="180"/>
      <w:divBdr>
        <w:top w:val="none" w:sz="0" w:space="0" w:color="auto"/>
        <w:left w:val="none" w:sz="0" w:space="0" w:color="auto"/>
        <w:bottom w:val="none" w:sz="0" w:space="0" w:color="auto"/>
        <w:right w:val="none" w:sz="0" w:space="0" w:color="auto"/>
      </w:divBdr>
    </w:div>
    <w:div w:id="1961720123">
      <w:marLeft w:val="0"/>
      <w:marRight w:val="0"/>
      <w:marTop w:val="60"/>
      <w:marBottom w:val="60"/>
      <w:divBdr>
        <w:top w:val="none" w:sz="0" w:space="0" w:color="auto"/>
        <w:left w:val="none" w:sz="0" w:space="0" w:color="auto"/>
        <w:bottom w:val="none" w:sz="0" w:space="0" w:color="auto"/>
        <w:right w:val="none" w:sz="0" w:space="0" w:color="auto"/>
      </w:divBdr>
    </w:div>
    <w:div w:id="1961913044">
      <w:marLeft w:val="0"/>
      <w:marRight w:val="0"/>
      <w:marTop w:val="0"/>
      <w:marBottom w:val="0"/>
      <w:divBdr>
        <w:top w:val="none" w:sz="0" w:space="0" w:color="auto"/>
        <w:left w:val="none" w:sz="0" w:space="0" w:color="auto"/>
        <w:bottom w:val="none" w:sz="0" w:space="0" w:color="auto"/>
        <w:right w:val="none" w:sz="0" w:space="0" w:color="auto"/>
      </w:divBdr>
    </w:div>
    <w:div w:id="1965380409">
      <w:marLeft w:val="0"/>
      <w:marRight w:val="0"/>
      <w:marTop w:val="180"/>
      <w:marBottom w:val="180"/>
      <w:divBdr>
        <w:top w:val="none" w:sz="0" w:space="0" w:color="auto"/>
        <w:left w:val="none" w:sz="0" w:space="0" w:color="auto"/>
        <w:bottom w:val="none" w:sz="0" w:space="0" w:color="auto"/>
        <w:right w:val="none" w:sz="0" w:space="0" w:color="auto"/>
      </w:divBdr>
    </w:div>
    <w:div w:id="1967007967">
      <w:marLeft w:val="0"/>
      <w:marRight w:val="0"/>
      <w:marTop w:val="0"/>
      <w:marBottom w:val="0"/>
      <w:divBdr>
        <w:top w:val="none" w:sz="0" w:space="0" w:color="auto"/>
        <w:left w:val="none" w:sz="0" w:space="0" w:color="auto"/>
        <w:bottom w:val="none" w:sz="0" w:space="0" w:color="auto"/>
        <w:right w:val="none" w:sz="0" w:space="0" w:color="auto"/>
      </w:divBdr>
      <w:divsChild>
        <w:div w:id="1392774942">
          <w:marLeft w:val="0"/>
          <w:marRight w:val="0"/>
          <w:marTop w:val="0"/>
          <w:marBottom w:val="0"/>
          <w:divBdr>
            <w:top w:val="none" w:sz="0" w:space="0" w:color="auto"/>
            <w:left w:val="none" w:sz="0" w:space="0" w:color="auto"/>
            <w:bottom w:val="none" w:sz="0" w:space="0" w:color="auto"/>
            <w:right w:val="none" w:sz="0" w:space="0" w:color="auto"/>
          </w:divBdr>
          <w:divsChild>
            <w:div w:id="81174869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70088349">
      <w:marLeft w:val="0"/>
      <w:marRight w:val="0"/>
      <w:marTop w:val="180"/>
      <w:marBottom w:val="180"/>
      <w:divBdr>
        <w:top w:val="none" w:sz="0" w:space="0" w:color="auto"/>
        <w:left w:val="none" w:sz="0" w:space="0" w:color="auto"/>
        <w:bottom w:val="none" w:sz="0" w:space="0" w:color="auto"/>
        <w:right w:val="none" w:sz="0" w:space="0" w:color="auto"/>
      </w:divBdr>
    </w:div>
    <w:div w:id="1973825294">
      <w:marLeft w:val="0"/>
      <w:marRight w:val="0"/>
      <w:marTop w:val="60"/>
      <w:marBottom w:val="60"/>
      <w:divBdr>
        <w:top w:val="none" w:sz="0" w:space="0" w:color="auto"/>
        <w:left w:val="none" w:sz="0" w:space="0" w:color="auto"/>
        <w:bottom w:val="none" w:sz="0" w:space="0" w:color="auto"/>
        <w:right w:val="none" w:sz="0" w:space="0" w:color="auto"/>
      </w:divBdr>
    </w:div>
    <w:div w:id="1976133477">
      <w:marLeft w:val="0"/>
      <w:marRight w:val="0"/>
      <w:marTop w:val="60"/>
      <w:marBottom w:val="60"/>
      <w:divBdr>
        <w:top w:val="none" w:sz="0" w:space="0" w:color="auto"/>
        <w:left w:val="none" w:sz="0" w:space="0" w:color="auto"/>
        <w:bottom w:val="none" w:sz="0" w:space="0" w:color="auto"/>
        <w:right w:val="none" w:sz="0" w:space="0" w:color="auto"/>
      </w:divBdr>
    </w:div>
    <w:div w:id="1979333110">
      <w:marLeft w:val="0"/>
      <w:marRight w:val="0"/>
      <w:marTop w:val="0"/>
      <w:marBottom w:val="0"/>
      <w:divBdr>
        <w:top w:val="none" w:sz="0" w:space="0" w:color="auto"/>
        <w:left w:val="none" w:sz="0" w:space="0" w:color="auto"/>
        <w:bottom w:val="none" w:sz="0" w:space="0" w:color="auto"/>
        <w:right w:val="none" w:sz="0" w:space="0" w:color="auto"/>
      </w:divBdr>
    </w:div>
    <w:div w:id="1980569622">
      <w:marLeft w:val="0"/>
      <w:marRight w:val="0"/>
      <w:marTop w:val="80"/>
      <w:marBottom w:val="0"/>
      <w:divBdr>
        <w:top w:val="none" w:sz="0" w:space="0" w:color="auto"/>
        <w:left w:val="none" w:sz="0" w:space="0" w:color="auto"/>
        <w:bottom w:val="none" w:sz="0" w:space="0" w:color="auto"/>
        <w:right w:val="none" w:sz="0" w:space="0" w:color="auto"/>
      </w:divBdr>
    </w:div>
    <w:div w:id="1980767560">
      <w:marLeft w:val="0"/>
      <w:marRight w:val="0"/>
      <w:marTop w:val="180"/>
      <w:marBottom w:val="180"/>
      <w:divBdr>
        <w:top w:val="none" w:sz="0" w:space="0" w:color="auto"/>
        <w:left w:val="none" w:sz="0" w:space="0" w:color="auto"/>
        <w:bottom w:val="none" w:sz="0" w:space="0" w:color="auto"/>
        <w:right w:val="none" w:sz="0" w:space="0" w:color="auto"/>
      </w:divBdr>
    </w:div>
    <w:div w:id="1982225638">
      <w:marLeft w:val="0"/>
      <w:marRight w:val="0"/>
      <w:marTop w:val="60"/>
      <w:marBottom w:val="60"/>
      <w:divBdr>
        <w:top w:val="none" w:sz="0" w:space="0" w:color="auto"/>
        <w:left w:val="none" w:sz="0" w:space="0" w:color="auto"/>
        <w:bottom w:val="none" w:sz="0" w:space="0" w:color="auto"/>
        <w:right w:val="none" w:sz="0" w:space="0" w:color="auto"/>
      </w:divBdr>
    </w:div>
    <w:div w:id="1985239383">
      <w:marLeft w:val="0"/>
      <w:marRight w:val="0"/>
      <w:marTop w:val="0"/>
      <w:marBottom w:val="0"/>
      <w:divBdr>
        <w:top w:val="none" w:sz="0" w:space="0" w:color="auto"/>
        <w:left w:val="none" w:sz="0" w:space="0" w:color="auto"/>
        <w:bottom w:val="none" w:sz="0" w:space="0" w:color="auto"/>
        <w:right w:val="none" w:sz="0" w:space="0" w:color="auto"/>
      </w:divBdr>
      <w:divsChild>
        <w:div w:id="1063022136">
          <w:marLeft w:val="0"/>
          <w:marRight w:val="0"/>
          <w:marTop w:val="0"/>
          <w:marBottom w:val="180"/>
          <w:divBdr>
            <w:top w:val="none" w:sz="0" w:space="0" w:color="auto"/>
            <w:left w:val="none" w:sz="0" w:space="0" w:color="auto"/>
            <w:bottom w:val="none" w:sz="0" w:space="0" w:color="auto"/>
            <w:right w:val="none" w:sz="0" w:space="0" w:color="auto"/>
          </w:divBdr>
        </w:div>
      </w:divsChild>
    </w:div>
    <w:div w:id="1986278715">
      <w:marLeft w:val="0"/>
      <w:marRight w:val="0"/>
      <w:marTop w:val="180"/>
      <w:marBottom w:val="180"/>
      <w:divBdr>
        <w:top w:val="none" w:sz="0" w:space="0" w:color="auto"/>
        <w:left w:val="none" w:sz="0" w:space="0" w:color="auto"/>
        <w:bottom w:val="none" w:sz="0" w:space="0" w:color="auto"/>
        <w:right w:val="none" w:sz="0" w:space="0" w:color="auto"/>
      </w:divBdr>
    </w:div>
    <w:div w:id="1986546828">
      <w:marLeft w:val="0"/>
      <w:marRight w:val="0"/>
      <w:marTop w:val="0"/>
      <w:marBottom w:val="0"/>
      <w:divBdr>
        <w:top w:val="none" w:sz="0" w:space="0" w:color="auto"/>
        <w:left w:val="none" w:sz="0" w:space="0" w:color="auto"/>
        <w:bottom w:val="none" w:sz="0" w:space="0" w:color="auto"/>
        <w:right w:val="none" w:sz="0" w:space="0" w:color="auto"/>
      </w:divBdr>
    </w:div>
    <w:div w:id="1990672418">
      <w:marLeft w:val="0"/>
      <w:marRight w:val="0"/>
      <w:marTop w:val="180"/>
      <w:marBottom w:val="180"/>
      <w:divBdr>
        <w:top w:val="none" w:sz="0" w:space="0" w:color="auto"/>
        <w:left w:val="none" w:sz="0" w:space="0" w:color="auto"/>
        <w:bottom w:val="none" w:sz="0" w:space="0" w:color="auto"/>
        <w:right w:val="none" w:sz="0" w:space="0" w:color="auto"/>
      </w:divBdr>
    </w:div>
    <w:div w:id="1992904202">
      <w:marLeft w:val="0"/>
      <w:marRight w:val="0"/>
      <w:marTop w:val="180"/>
      <w:marBottom w:val="180"/>
      <w:divBdr>
        <w:top w:val="none" w:sz="0" w:space="0" w:color="auto"/>
        <w:left w:val="none" w:sz="0" w:space="0" w:color="auto"/>
        <w:bottom w:val="none" w:sz="0" w:space="0" w:color="auto"/>
        <w:right w:val="none" w:sz="0" w:space="0" w:color="auto"/>
      </w:divBdr>
    </w:div>
    <w:div w:id="1992982078">
      <w:marLeft w:val="0"/>
      <w:marRight w:val="0"/>
      <w:marTop w:val="60"/>
      <w:marBottom w:val="60"/>
      <w:divBdr>
        <w:top w:val="none" w:sz="0" w:space="0" w:color="auto"/>
        <w:left w:val="none" w:sz="0" w:space="0" w:color="auto"/>
        <w:bottom w:val="none" w:sz="0" w:space="0" w:color="auto"/>
        <w:right w:val="none" w:sz="0" w:space="0" w:color="auto"/>
      </w:divBdr>
    </w:div>
    <w:div w:id="1993636328">
      <w:marLeft w:val="0"/>
      <w:marRight w:val="0"/>
      <w:marTop w:val="100"/>
      <w:marBottom w:val="0"/>
      <w:divBdr>
        <w:top w:val="none" w:sz="0" w:space="0" w:color="auto"/>
        <w:left w:val="none" w:sz="0" w:space="0" w:color="auto"/>
        <w:bottom w:val="none" w:sz="0" w:space="0" w:color="auto"/>
        <w:right w:val="none" w:sz="0" w:space="0" w:color="auto"/>
      </w:divBdr>
      <w:divsChild>
        <w:div w:id="26181396">
          <w:marLeft w:val="0"/>
          <w:marRight w:val="0"/>
          <w:marTop w:val="0"/>
          <w:marBottom w:val="0"/>
          <w:divBdr>
            <w:top w:val="none" w:sz="0" w:space="0" w:color="auto"/>
            <w:left w:val="none" w:sz="0" w:space="0" w:color="auto"/>
            <w:bottom w:val="none" w:sz="0" w:space="0" w:color="auto"/>
            <w:right w:val="none" w:sz="0" w:space="0" w:color="auto"/>
          </w:divBdr>
        </w:div>
      </w:divsChild>
    </w:div>
    <w:div w:id="1996521350">
      <w:marLeft w:val="0"/>
      <w:marRight w:val="0"/>
      <w:marTop w:val="180"/>
      <w:marBottom w:val="180"/>
      <w:divBdr>
        <w:top w:val="none" w:sz="0" w:space="0" w:color="auto"/>
        <w:left w:val="none" w:sz="0" w:space="0" w:color="auto"/>
        <w:bottom w:val="none" w:sz="0" w:space="0" w:color="auto"/>
        <w:right w:val="none" w:sz="0" w:space="0" w:color="auto"/>
      </w:divBdr>
    </w:div>
    <w:div w:id="1996906947">
      <w:marLeft w:val="0"/>
      <w:marRight w:val="0"/>
      <w:marTop w:val="0"/>
      <w:marBottom w:val="0"/>
      <w:divBdr>
        <w:top w:val="none" w:sz="0" w:space="0" w:color="auto"/>
        <w:left w:val="none" w:sz="0" w:space="0" w:color="auto"/>
        <w:bottom w:val="none" w:sz="0" w:space="0" w:color="auto"/>
        <w:right w:val="none" w:sz="0" w:space="0" w:color="auto"/>
      </w:divBdr>
      <w:divsChild>
        <w:div w:id="1562713557">
          <w:marLeft w:val="0"/>
          <w:marRight w:val="0"/>
          <w:marTop w:val="0"/>
          <w:marBottom w:val="0"/>
          <w:divBdr>
            <w:top w:val="none" w:sz="0" w:space="0" w:color="auto"/>
            <w:left w:val="none" w:sz="0" w:space="0" w:color="auto"/>
            <w:bottom w:val="none" w:sz="0" w:space="0" w:color="auto"/>
            <w:right w:val="none" w:sz="0" w:space="0" w:color="auto"/>
          </w:divBdr>
          <w:divsChild>
            <w:div w:id="109799165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97343992">
      <w:marLeft w:val="0"/>
      <w:marRight w:val="0"/>
      <w:marTop w:val="0"/>
      <w:marBottom w:val="0"/>
      <w:divBdr>
        <w:top w:val="none" w:sz="0" w:space="0" w:color="auto"/>
        <w:left w:val="none" w:sz="0" w:space="0" w:color="auto"/>
        <w:bottom w:val="none" w:sz="0" w:space="0" w:color="auto"/>
        <w:right w:val="none" w:sz="0" w:space="0" w:color="auto"/>
      </w:divBdr>
      <w:divsChild>
        <w:div w:id="32653690">
          <w:marLeft w:val="0"/>
          <w:marRight w:val="0"/>
          <w:marTop w:val="0"/>
          <w:marBottom w:val="0"/>
          <w:divBdr>
            <w:top w:val="none" w:sz="0" w:space="0" w:color="auto"/>
            <w:left w:val="none" w:sz="0" w:space="0" w:color="auto"/>
            <w:bottom w:val="none" w:sz="0" w:space="0" w:color="auto"/>
            <w:right w:val="none" w:sz="0" w:space="0" w:color="auto"/>
          </w:divBdr>
          <w:divsChild>
            <w:div w:id="192159582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99267903">
      <w:marLeft w:val="0"/>
      <w:marRight w:val="0"/>
      <w:marTop w:val="180"/>
      <w:marBottom w:val="180"/>
      <w:divBdr>
        <w:top w:val="none" w:sz="0" w:space="0" w:color="auto"/>
        <w:left w:val="none" w:sz="0" w:space="0" w:color="auto"/>
        <w:bottom w:val="none" w:sz="0" w:space="0" w:color="auto"/>
        <w:right w:val="none" w:sz="0" w:space="0" w:color="auto"/>
      </w:divBdr>
    </w:div>
    <w:div w:id="1999840788">
      <w:marLeft w:val="0"/>
      <w:marRight w:val="0"/>
      <w:marTop w:val="180"/>
      <w:marBottom w:val="180"/>
      <w:divBdr>
        <w:top w:val="none" w:sz="0" w:space="0" w:color="auto"/>
        <w:left w:val="none" w:sz="0" w:space="0" w:color="auto"/>
        <w:bottom w:val="none" w:sz="0" w:space="0" w:color="auto"/>
        <w:right w:val="none" w:sz="0" w:space="0" w:color="auto"/>
      </w:divBdr>
    </w:div>
    <w:div w:id="2000687750">
      <w:marLeft w:val="0"/>
      <w:marRight w:val="0"/>
      <w:marTop w:val="180"/>
      <w:marBottom w:val="180"/>
      <w:divBdr>
        <w:top w:val="none" w:sz="0" w:space="0" w:color="auto"/>
        <w:left w:val="none" w:sz="0" w:space="0" w:color="auto"/>
        <w:bottom w:val="none" w:sz="0" w:space="0" w:color="auto"/>
        <w:right w:val="none" w:sz="0" w:space="0" w:color="auto"/>
      </w:divBdr>
    </w:div>
    <w:div w:id="2002463899">
      <w:marLeft w:val="0"/>
      <w:marRight w:val="0"/>
      <w:marTop w:val="180"/>
      <w:marBottom w:val="180"/>
      <w:divBdr>
        <w:top w:val="none" w:sz="0" w:space="0" w:color="auto"/>
        <w:left w:val="none" w:sz="0" w:space="0" w:color="auto"/>
        <w:bottom w:val="none" w:sz="0" w:space="0" w:color="auto"/>
        <w:right w:val="none" w:sz="0" w:space="0" w:color="auto"/>
      </w:divBdr>
    </w:div>
    <w:div w:id="2003771939">
      <w:marLeft w:val="0"/>
      <w:marRight w:val="0"/>
      <w:marTop w:val="160"/>
      <w:marBottom w:val="0"/>
      <w:divBdr>
        <w:top w:val="none" w:sz="0" w:space="0" w:color="auto"/>
        <w:left w:val="none" w:sz="0" w:space="0" w:color="auto"/>
        <w:bottom w:val="none" w:sz="0" w:space="0" w:color="auto"/>
        <w:right w:val="none" w:sz="0" w:space="0" w:color="auto"/>
      </w:divBdr>
      <w:divsChild>
        <w:div w:id="424227298">
          <w:marLeft w:val="0"/>
          <w:marRight w:val="0"/>
          <w:marTop w:val="0"/>
          <w:marBottom w:val="0"/>
          <w:divBdr>
            <w:top w:val="none" w:sz="0" w:space="0" w:color="auto"/>
            <w:left w:val="none" w:sz="0" w:space="0" w:color="auto"/>
            <w:bottom w:val="none" w:sz="0" w:space="0" w:color="auto"/>
            <w:right w:val="none" w:sz="0" w:space="0" w:color="auto"/>
          </w:divBdr>
        </w:div>
      </w:divsChild>
    </w:div>
    <w:div w:id="2004044696">
      <w:marLeft w:val="0"/>
      <w:marRight w:val="0"/>
      <w:marTop w:val="180"/>
      <w:marBottom w:val="180"/>
      <w:divBdr>
        <w:top w:val="none" w:sz="0" w:space="0" w:color="auto"/>
        <w:left w:val="none" w:sz="0" w:space="0" w:color="auto"/>
        <w:bottom w:val="none" w:sz="0" w:space="0" w:color="auto"/>
        <w:right w:val="none" w:sz="0" w:space="0" w:color="auto"/>
      </w:divBdr>
    </w:div>
    <w:div w:id="2005426834">
      <w:marLeft w:val="0"/>
      <w:marRight w:val="0"/>
      <w:marTop w:val="180"/>
      <w:marBottom w:val="180"/>
      <w:divBdr>
        <w:top w:val="none" w:sz="0" w:space="0" w:color="auto"/>
        <w:left w:val="none" w:sz="0" w:space="0" w:color="auto"/>
        <w:bottom w:val="none" w:sz="0" w:space="0" w:color="auto"/>
        <w:right w:val="none" w:sz="0" w:space="0" w:color="auto"/>
      </w:divBdr>
    </w:div>
    <w:div w:id="2008748277">
      <w:marLeft w:val="0"/>
      <w:marRight w:val="0"/>
      <w:marTop w:val="240"/>
      <w:marBottom w:val="180"/>
      <w:divBdr>
        <w:top w:val="none" w:sz="0" w:space="0" w:color="auto"/>
        <w:left w:val="none" w:sz="0" w:space="0" w:color="auto"/>
        <w:bottom w:val="none" w:sz="0" w:space="0" w:color="auto"/>
        <w:right w:val="none" w:sz="0" w:space="0" w:color="auto"/>
      </w:divBdr>
    </w:div>
    <w:div w:id="2015035768">
      <w:marLeft w:val="0"/>
      <w:marRight w:val="0"/>
      <w:marTop w:val="180"/>
      <w:marBottom w:val="180"/>
      <w:divBdr>
        <w:top w:val="none" w:sz="0" w:space="0" w:color="auto"/>
        <w:left w:val="none" w:sz="0" w:space="0" w:color="auto"/>
        <w:bottom w:val="none" w:sz="0" w:space="0" w:color="auto"/>
        <w:right w:val="none" w:sz="0" w:space="0" w:color="auto"/>
      </w:divBdr>
    </w:div>
    <w:div w:id="2016179486">
      <w:marLeft w:val="0"/>
      <w:marRight w:val="0"/>
      <w:marTop w:val="180"/>
      <w:marBottom w:val="180"/>
      <w:divBdr>
        <w:top w:val="none" w:sz="0" w:space="0" w:color="auto"/>
        <w:left w:val="none" w:sz="0" w:space="0" w:color="auto"/>
        <w:bottom w:val="none" w:sz="0" w:space="0" w:color="auto"/>
        <w:right w:val="none" w:sz="0" w:space="0" w:color="auto"/>
      </w:divBdr>
    </w:div>
    <w:div w:id="2016302635">
      <w:marLeft w:val="0"/>
      <w:marRight w:val="0"/>
      <w:marTop w:val="0"/>
      <w:marBottom w:val="0"/>
      <w:divBdr>
        <w:top w:val="none" w:sz="0" w:space="0" w:color="auto"/>
        <w:left w:val="none" w:sz="0" w:space="0" w:color="auto"/>
        <w:bottom w:val="none" w:sz="0" w:space="0" w:color="auto"/>
        <w:right w:val="none" w:sz="0" w:space="0" w:color="auto"/>
      </w:divBdr>
      <w:divsChild>
        <w:div w:id="1416853512">
          <w:marLeft w:val="0"/>
          <w:marRight w:val="0"/>
          <w:marTop w:val="0"/>
          <w:marBottom w:val="0"/>
          <w:divBdr>
            <w:top w:val="none" w:sz="0" w:space="0" w:color="auto"/>
            <w:left w:val="none" w:sz="0" w:space="0" w:color="auto"/>
            <w:bottom w:val="none" w:sz="0" w:space="0" w:color="auto"/>
            <w:right w:val="none" w:sz="0" w:space="0" w:color="auto"/>
          </w:divBdr>
          <w:divsChild>
            <w:div w:id="43070847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17152982">
      <w:marLeft w:val="0"/>
      <w:marRight w:val="0"/>
      <w:marTop w:val="0"/>
      <w:marBottom w:val="0"/>
      <w:divBdr>
        <w:top w:val="none" w:sz="0" w:space="0" w:color="auto"/>
        <w:left w:val="none" w:sz="0" w:space="0" w:color="auto"/>
        <w:bottom w:val="none" w:sz="0" w:space="0" w:color="auto"/>
        <w:right w:val="none" w:sz="0" w:space="0" w:color="auto"/>
      </w:divBdr>
    </w:div>
    <w:div w:id="2018799884">
      <w:marLeft w:val="0"/>
      <w:marRight w:val="0"/>
      <w:marTop w:val="180"/>
      <w:marBottom w:val="180"/>
      <w:divBdr>
        <w:top w:val="none" w:sz="0" w:space="0" w:color="auto"/>
        <w:left w:val="none" w:sz="0" w:space="0" w:color="auto"/>
        <w:bottom w:val="none" w:sz="0" w:space="0" w:color="auto"/>
        <w:right w:val="none" w:sz="0" w:space="0" w:color="auto"/>
      </w:divBdr>
    </w:div>
    <w:div w:id="2019841758">
      <w:marLeft w:val="0"/>
      <w:marRight w:val="0"/>
      <w:marTop w:val="180"/>
      <w:marBottom w:val="180"/>
      <w:divBdr>
        <w:top w:val="none" w:sz="0" w:space="0" w:color="auto"/>
        <w:left w:val="none" w:sz="0" w:space="0" w:color="auto"/>
        <w:bottom w:val="none" w:sz="0" w:space="0" w:color="auto"/>
        <w:right w:val="none" w:sz="0" w:space="0" w:color="auto"/>
      </w:divBdr>
    </w:div>
    <w:div w:id="2020347945">
      <w:marLeft w:val="0"/>
      <w:marRight w:val="0"/>
      <w:marTop w:val="60"/>
      <w:marBottom w:val="60"/>
      <w:divBdr>
        <w:top w:val="none" w:sz="0" w:space="0" w:color="auto"/>
        <w:left w:val="none" w:sz="0" w:space="0" w:color="auto"/>
        <w:bottom w:val="none" w:sz="0" w:space="0" w:color="auto"/>
        <w:right w:val="none" w:sz="0" w:space="0" w:color="auto"/>
      </w:divBdr>
    </w:div>
    <w:div w:id="2022199667">
      <w:marLeft w:val="0"/>
      <w:marRight w:val="0"/>
      <w:marTop w:val="0"/>
      <w:marBottom w:val="0"/>
      <w:divBdr>
        <w:top w:val="none" w:sz="0" w:space="0" w:color="auto"/>
        <w:left w:val="none" w:sz="0" w:space="0" w:color="auto"/>
        <w:bottom w:val="none" w:sz="0" w:space="0" w:color="auto"/>
        <w:right w:val="none" w:sz="0" w:space="0" w:color="auto"/>
      </w:divBdr>
      <w:divsChild>
        <w:div w:id="47152180">
          <w:marLeft w:val="0"/>
          <w:marRight w:val="0"/>
          <w:marTop w:val="0"/>
          <w:marBottom w:val="0"/>
          <w:divBdr>
            <w:top w:val="none" w:sz="0" w:space="0" w:color="auto"/>
            <w:left w:val="none" w:sz="0" w:space="0" w:color="auto"/>
            <w:bottom w:val="none" w:sz="0" w:space="0" w:color="auto"/>
            <w:right w:val="none" w:sz="0" w:space="0" w:color="auto"/>
          </w:divBdr>
          <w:divsChild>
            <w:div w:id="196707582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22319370">
      <w:marLeft w:val="0"/>
      <w:marRight w:val="0"/>
      <w:marTop w:val="180"/>
      <w:marBottom w:val="180"/>
      <w:divBdr>
        <w:top w:val="none" w:sz="0" w:space="0" w:color="auto"/>
        <w:left w:val="none" w:sz="0" w:space="0" w:color="auto"/>
        <w:bottom w:val="none" w:sz="0" w:space="0" w:color="auto"/>
        <w:right w:val="none" w:sz="0" w:space="0" w:color="auto"/>
      </w:divBdr>
    </w:div>
    <w:div w:id="2022389782">
      <w:marLeft w:val="0"/>
      <w:marRight w:val="0"/>
      <w:marTop w:val="180"/>
      <w:marBottom w:val="180"/>
      <w:divBdr>
        <w:top w:val="none" w:sz="0" w:space="0" w:color="auto"/>
        <w:left w:val="none" w:sz="0" w:space="0" w:color="auto"/>
        <w:bottom w:val="none" w:sz="0" w:space="0" w:color="auto"/>
        <w:right w:val="none" w:sz="0" w:space="0" w:color="auto"/>
      </w:divBdr>
    </w:div>
    <w:div w:id="2022463168">
      <w:marLeft w:val="0"/>
      <w:marRight w:val="0"/>
      <w:marTop w:val="0"/>
      <w:marBottom w:val="0"/>
      <w:divBdr>
        <w:top w:val="none" w:sz="0" w:space="0" w:color="auto"/>
        <w:left w:val="none" w:sz="0" w:space="0" w:color="auto"/>
        <w:bottom w:val="none" w:sz="0" w:space="0" w:color="auto"/>
        <w:right w:val="none" w:sz="0" w:space="0" w:color="auto"/>
      </w:divBdr>
    </w:div>
    <w:div w:id="2024093030">
      <w:marLeft w:val="0"/>
      <w:marRight w:val="0"/>
      <w:marTop w:val="60"/>
      <w:marBottom w:val="60"/>
      <w:divBdr>
        <w:top w:val="none" w:sz="0" w:space="0" w:color="auto"/>
        <w:left w:val="none" w:sz="0" w:space="0" w:color="auto"/>
        <w:bottom w:val="none" w:sz="0" w:space="0" w:color="auto"/>
        <w:right w:val="none" w:sz="0" w:space="0" w:color="auto"/>
      </w:divBdr>
    </w:div>
    <w:div w:id="2024166649">
      <w:marLeft w:val="0"/>
      <w:marRight w:val="0"/>
      <w:marTop w:val="180"/>
      <w:marBottom w:val="60"/>
      <w:divBdr>
        <w:top w:val="none" w:sz="0" w:space="0" w:color="auto"/>
        <w:left w:val="none" w:sz="0" w:space="0" w:color="auto"/>
        <w:bottom w:val="none" w:sz="0" w:space="0" w:color="auto"/>
        <w:right w:val="none" w:sz="0" w:space="0" w:color="auto"/>
      </w:divBdr>
    </w:div>
    <w:div w:id="2025547242">
      <w:marLeft w:val="0"/>
      <w:marRight w:val="0"/>
      <w:marTop w:val="180"/>
      <w:marBottom w:val="180"/>
      <w:divBdr>
        <w:top w:val="none" w:sz="0" w:space="0" w:color="auto"/>
        <w:left w:val="none" w:sz="0" w:space="0" w:color="auto"/>
        <w:bottom w:val="none" w:sz="0" w:space="0" w:color="auto"/>
        <w:right w:val="none" w:sz="0" w:space="0" w:color="auto"/>
      </w:divBdr>
    </w:div>
    <w:div w:id="2025666705">
      <w:marLeft w:val="0"/>
      <w:marRight w:val="0"/>
      <w:marTop w:val="0"/>
      <w:marBottom w:val="0"/>
      <w:divBdr>
        <w:top w:val="none" w:sz="0" w:space="0" w:color="auto"/>
        <w:left w:val="none" w:sz="0" w:space="0" w:color="auto"/>
        <w:bottom w:val="none" w:sz="0" w:space="0" w:color="auto"/>
        <w:right w:val="none" w:sz="0" w:space="0" w:color="auto"/>
      </w:divBdr>
    </w:div>
    <w:div w:id="2027245841">
      <w:marLeft w:val="0"/>
      <w:marRight w:val="0"/>
      <w:marTop w:val="60"/>
      <w:marBottom w:val="60"/>
      <w:divBdr>
        <w:top w:val="none" w:sz="0" w:space="0" w:color="auto"/>
        <w:left w:val="none" w:sz="0" w:space="0" w:color="auto"/>
        <w:bottom w:val="none" w:sz="0" w:space="0" w:color="auto"/>
        <w:right w:val="none" w:sz="0" w:space="0" w:color="auto"/>
      </w:divBdr>
    </w:div>
    <w:div w:id="2027558842">
      <w:marLeft w:val="0"/>
      <w:marRight w:val="0"/>
      <w:marTop w:val="100"/>
      <w:marBottom w:val="100"/>
      <w:divBdr>
        <w:top w:val="none" w:sz="0" w:space="0" w:color="auto"/>
        <w:left w:val="none" w:sz="0" w:space="0" w:color="auto"/>
        <w:bottom w:val="none" w:sz="0" w:space="0" w:color="auto"/>
        <w:right w:val="none" w:sz="0" w:space="0" w:color="auto"/>
      </w:divBdr>
    </w:div>
    <w:div w:id="2029328949">
      <w:marLeft w:val="0"/>
      <w:marRight w:val="0"/>
      <w:marTop w:val="180"/>
      <w:marBottom w:val="60"/>
      <w:divBdr>
        <w:top w:val="none" w:sz="0" w:space="0" w:color="auto"/>
        <w:left w:val="none" w:sz="0" w:space="0" w:color="auto"/>
        <w:bottom w:val="none" w:sz="0" w:space="0" w:color="auto"/>
        <w:right w:val="none" w:sz="0" w:space="0" w:color="auto"/>
      </w:divBdr>
    </w:div>
    <w:div w:id="2031295839">
      <w:marLeft w:val="0"/>
      <w:marRight w:val="0"/>
      <w:marTop w:val="180"/>
      <w:marBottom w:val="180"/>
      <w:divBdr>
        <w:top w:val="none" w:sz="0" w:space="0" w:color="auto"/>
        <w:left w:val="none" w:sz="0" w:space="0" w:color="auto"/>
        <w:bottom w:val="none" w:sz="0" w:space="0" w:color="auto"/>
        <w:right w:val="none" w:sz="0" w:space="0" w:color="auto"/>
      </w:divBdr>
    </w:div>
    <w:div w:id="2031373608">
      <w:marLeft w:val="0"/>
      <w:marRight w:val="0"/>
      <w:marTop w:val="180"/>
      <w:marBottom w:val="180"/>
      <w:divBdr>
        <w:top w:val="none" w:sz="0" w:space="0" w:color="auto"/>
        <w:left w:val="none" w:sz="0" w:space="0" w:color="auto"/>
        <w:bottom w:val="none" w:sz="0" w:space="0" w:color="auto"/>
        <w:right w:val="none" w:sz="0" w:space="0" w:color="auto"/>
      </w:divBdr>
    </w:div>
    <w:div w:id="2032105428">
      <w:marLeft w:val="0"/>
      <w:marRight w:val="0"/>
      <w:marTop w:val="180"/>
      <w:marBottom w:val="180"/>
      <w:divBdr>
        <w:top w:val="none" w:sz="0" w:space="0" w:color="auto"/>
        <w:left w:val="none" w:sz="0" w:space="0" w:color="auto"/>
        <w:bottom w:val="none" w:sz="0" w:space="0" w:color="auto"/>
        <w:right w:val="none" w:sz="0" w:space="0" w:color="auto"/>
      </w:divBdr>
    </w:div>
    <w:div w:id="2032873777">
      <w:marLeft w:val="0"/>
      <w:marRight w:val="0"/>
      <w:marTop w:val="180"/>
      <w:marBottom w:val="180"/>
      <w:divBdr>
        <w:top w:val="none" w:sz="0" w:space="0" w:color="auto"/>
        <w:left w:val="none" w:sz="0" w:space="0" w:color="auto"/>
        <w:bottom w:val="none" w:sz="0" w:space="0" w:color="auto"/>
        <w:right w:val="none" w:sz="0" w:space="0" w:color="auto"/>
      </w:divBdr>
    </w:div>
    <w:div w:id="2037803943">
      <w:marLeft w:val="0"/>
      <w:marRight w:val="0"/>
      <w:marTop w:val="0"/>
      <w:marBottom w:val="0"/>
      <w:divBdr>
        <w:top w:val="none" w:sz="0" w:space="0" w:color="auto"/>
        <w:left w:val="none" w:sz="0" w:space="0" w:color="auto"/>
        <w:bottom w:val="none" w:sz="0" w:space="0" w:color="auto"/>
        <w:right w:val="none" w:sz="0" w:space="0" w:color="auto"/>
      </w:divBdr>
    </w:div>
    <w:div w:id="2037807605">
      <w:marLeft w:val="0"/>
      <w:marRight w:val="0"/>
      <w:marTop w:val="0"/>
      <w:marBottom w:val="0"/>
      <w:divBdr>
        <w:top w:val="none" w:sz="0" w:space="0" w:color="auto"/>
        <w:left w:val="none" w:sz="0" w:space="0" w:color="auto"/>
        <w:bottom w:val="none" w:sz="0" w:space="0" w:color="auto"/>
        <w:right w:val="none" w:sz="0" w:space="0" w:color="auto"/>
      </w:divBdr>
      <w:divsChild>
        <w:div w:id="147745953">
          <w:marLeft w:val="0"/>
          <w:marRight w:val="0"/>
          <w:marTop w:val="60"/>
          <w:marBottom w:val="60"/>
          <w:divBdr>
            <w:top w:val="none" w:sz="0" w:space="0" w:color="auto"/>
            <w:left w:val="none" w:sz="0" w:space="0" w:color="auto"/>
            <w:bottom w:val="none" w:sz="0" w:space="0" w:color="auto"/>
            <w:right w:val="none" w:sz="0" w:space="0" w:color="auto"/>
          </w:divBdr>
        </w:div>
      </w:divsChild>
    </w:div>
    <w:div w:id="2038240701">
      <w:marLeft w:val="0"/>
      <w:marRight w:val="0"/>
      <w:marTop w:val="180"/>
      <w:marBottom w:val="0"/>
      <w:divBdr>
        <w:top w:val="none" w:sz="0" w:space="0" w:color="auto"/>
        <w:left w:val="none" w:sz="0" w:space="0" w:color="auto"/>
        <w:bottom w:val="none" w:sz="0" w:space="0" w:color="auto"/>
        <w:right w:val="none" w:sz="0" w:space="0" w:color="auto"/>
      </w:divBdr>
    </w:div>
    <w:div w:id="2039160060">
      <w:marLeft w:val="0"/>
      <w:marRight w:val="0"/>
      <w:marTop w:val="60"/>
      <w:marBottom w:val="60"/>
      <w:divBdr>
        <w:top w:val="none" w:sz="0" w:space="0" w:color="auto"/>
        <w:left w:val="none" w:sz="0" w:space="0" w:color="auto"/>
        <w:bottom w:val="none" w:sz="0" w:space="0" w:color="auto"/>
        <w:right w:val="none" w:sz="0" w:space="0" w:color="auto"/>
      </w:divBdr>
    </w:div>
    <w:div w:id="2039696011">
      <w:marLeft w:val="0"/>
      <w:marRight w:val="0"/>
      <w:marTop w:val="0"/>
      <w:marBottom w:val="180"/>
      <w:divBdr>
        <w:top w:val="none" w:sz="0" w:space="0" w:color="auto"/>
        <w:left w:val="none" w:sz="0" w:space="0" w:color="auto"/>
        <w:bottom w:val="none" w:sz="0" w:space="0" w:color="auto"/>
        <w:right w:val="none" w:sz="0" w:space="0" w:color="auto"/>
      </w:divBdr>
    </w:div>
    <w:div w:id="2040936243">
      <w:marLeft w:val="0"/>
      <w:marRight w:val="0"/>
      <w:marTop w:val="180"/>
      <w:marBottom w:val="180"/>
      <w:divBdr>
        <w:top w:val="none" w:sz="0" w:space="0" w:color="auto"/>
        <w:left w:val="none" w:sz="0" w:space="0" w:color="auto"/>
        <w:bottom w:val="none" w:sz="0" w:space="0" w:color="auto"/>
        <w:right w:val="none" w:sz="0" w:space="0" w:color="auto"/>
      </w:divBdr>
    </w:div>
    <w:div w:id="2041857050">
      <w:marLeft w:val="0"/>
      <w:marRight w:val="0"/>
      <w:marTop w:val="0"/>
      <w:marBottom w:val="100"/>
      <w:divBdr>
        <w:top w:val="none" w:sz="0" w:space="0" w:color="auto"/>
        <w:left w:val="none" w:sz="0" w:space="0" w:color="auto"/>
        <w:bottom w:val="none" w:sz="0" w:space="0" w:color="auto"/>
        <w:right w:val="none" w:sz="0" w:space="0" w:color="auto"/>
      </w:divBdr>
      <w:divsChild>
        <w:div w:id="1119422324">
          <w:marLeft w:val="0"/>
          <w:marRight w:val="0"/>
          <w:marTop w:val="0"/>
          <w:marBottom w:val="0"/>
          <w:divBdr>
            <w:top w:val="none" w:sz="0" w:space="0" w:color="auto"/>
            <w:left w:val="none" w:sz="0" w:space="0" w:color="auto"/>
            <w:bottom w:val="none" w:sz="0" w:space="0" w:color="auto"/>
            <w:right w:val="none" w:sz="0" w:space="0" w:color="auto"/>
          </w:divBdr>
        </w:div>
        <w:div w:id="1761949976">
          <w:marLeft w:val="0"/>
          <w:marRight w:val="0"/>
          <w:marTop w:val="0"/>
          <w:marBottom w:val="0"/>
          <w:divBdr>
            <w:top w:val="none" w:sz="0" w:space="0" w:color="auto"/>
            <w:left w:val="none" w:sz="0" w:space="0" w:color="auto"/>
            <w:bottom w:val="none" w:sz="0" w:space="0" w:color="auto"/>
            <w:right w:val="none" w:sz="0" w:space="0" w:color="auto"/>
          </w:divBdr>
        </w:div>
        <w:div w:id="1504078760">
          <w:marLeft w:val="0"/>
          <w:marRight w:val="0"/>
          <w:marTop w:val="0"/>
          <w:marBottom w:val="0"/>
          <w:divBdr>
            <w:top w:val="none" w:sz="0" w:space="0" w:color="auto"/>
            <w:left w:val="none" w:sz="0" w:space="0" w:color="auto"/>
            <w:bottom w:val="none" w:sz="0" w:space="0" w:color="auto"/>
            <w:right w:val="none" w:sz="0" w:space="0" w:color="auto"/>
          </w:divBdr>
        </w:div>
      </w:divsChild>
    </w:div>
    <w:div w:id="2044362260">
      <w:marLeft w:val="0"/>
      <w:marRight w:val="0"/>
      <w:marTop w:val="0"/>
      <w:marBottom w:val="0"/>
      <w:divBdr>
        <w:top w:val="none" w:sz="0" w:space="0" w:color="auto"/>
        <w:left w:val="none" w:sz="0" w:space="0" w:color="auto"/>
        <w:bottom w:val="none" w:sz="0" w:space="0" w:color="auto"/>
        <w:right w:val="none" w:sz="0" w:space="0" w:color="auto"/>
      </w:divBdr>
      <w:divsChild>
        <w:div w:id="1629509271">
          <w:marLeft w:val="0"/>
          <w:marRight w:val="0"/>
          <w:marTop w:val="60"/>
          <w:marBottom w:val="60"/>
          <w:divBdr>
            <w:top w:val="none" w:sz="0" w:space="0" w:color="auto"/>
            <w:left w:val="none" w:sz="0" w:space="0" w:color="auto"/>
            <w:bottom w:val="none" w:sz="0" w:space="0" w:color="auto"/>
            <w:right w:val="none" w:sz="0" w:space="0" w:color="auto"/>
          </w:divBdr>
        </w:div>
      </w:divsChild>
    </w:div>
    <w:div w:id="2044818156">
      <w:marLeft w:val="0"/>
      <w:marRight w:val="0"/>
      <w:marTop w:val="180"/>
      <w:marBottom w:val="180"/>
      <w:divBdr>
        <w:top w:val="none" w:sz="0" w:space="0" w:color="auto"/>
        <w:left w:val="none" w:sz="0" w:space="0" w:color="auto"/>
        <w:bottom w:val="none" w:sz="0" w:space="0" w:color="auto"/>
        <w:right w:val="none" w:sz="0" w:space="0" w:color="auto"/>
      </w:divBdr>
    </w:div>
    <w:div w:id="2046561863">
      <w:marLeft w:val="0"/>
      <w:marRight w:val="0"/>
      <w:marTop w:val="0"/>
      <w:marBottom w:val="0"/>
      <w:divBdr>
        <w:top w:val="none" w:sz="0" w:space="0" w:color="auto"/>
        <w:left w:val="none" w:sz="0" w:space="0" w:color="auto"/>
        <w:bottom w:val="none" w:sz="0" w:space="0" w:color="auto"/>
        <w:right w:val="none" w:sz="0" w:space="0" w:color="auto"/>
      </w:divBdr>
      <w:divsChild>
        <w:div w:id="2026666246">
          <w:marLeft w:val="0"/>
          <w:marRight w:val="0"/>
          <w:marTop w:val="60"/>
          <w:marBottom w:val="60"/>
          <w:divBdr>
            <w:top w:val="none" w:sz="0" w:space="0" w:color="auto"/>
            <w:left w:val="none" w:sz="0" w:space="0" w:color="auto"/>
            <w:bottom w:val="none" w:sz="0" w:space="0" w:color="auto"/>
            <w:right w:val="none" w:sz="0" w:space="0" w:color="auto"/>
          </w:divBdr>
        </w:div>
      </w:divsChild>
    </w:div>
    <w:div w:id="2048486728">
      <w:marLeft w:val="0"/>
      <w:marRight w:val="0"/>
      <w:marTop w:val="0"/>
      <w:marBottom w:val="15"/>
      <w:divBdr>
        <w:top w:val="none" w:sz="0" w:space="0" w:color="auto"/>
        <w:left w:val="none" w:sz="0" w:space="0" w:color="auto"/>
        <w:bottom w:val="none" w:sz="0" w:space="0" w:color="auto"/>
        <w:right w:val="none" w:sz="0" w:space="0" w:color="auto"/>
      </w:divBdr>
    </w:div>
    <w:div w:id="2048989968">
      <w:marLeft w:val="0"/>
      <w:marRight w:val="0"/>
      <w:marTop w:val="0"/>
      <w:marBottom w:val="0"/>
      <w:divBdr>
        <w:top w:val="none" w:sz="0" w:space="0" w:color="auto"/>
        <w:left w:val="none" w:sz="0" w:space="0" w:color="auto"/>
        <w:bottom w:val="none" w:sz="0" w:space="0" w:color="auto"/>
        <w:right w:val="none" w:sz="0" w:space="0" w:color="auto"/>
      </w:divBdr>
      <w:divsChild>
        <w:div w:id="609552364">
          <w:marLeft w:val="0"/>
          <w:marRight w:val="0"/>
          <w:marTop w:val="60"/>
          <w:marBottom w:val="60"/>
          <w:divBdr>
            <w:top w:val="none" w:sz="0" w:space="0" w:color="auto"/>
            <w:left w:val="none" w:sz="0" w:space="0" w:color="auto"/>
            <w:bottom w:val="none" w:sz="0" w:space="0" w:color="auto"/>
            <w:right w:val="none" w:sz="0" w:space="0" w:color="auto"/>
          </w:divBdr>
        </w:div>
      </w:divsChild>
    </w:div>
    <w:div w:id="2049061197">
      <w:marLeft w:val="0"/>
      <w:marRight w:val="0"/>
      <w:marTop w:val="60"/>
      <w:marBottom w:val="60"/>
      <w:divBdr>
        <w:top w:val="none" w:sz="0" w:space="0" w:color="auto"/>
        <w:left w:val="none" w:sz="0" w:space="0" w:color="auto"/>
        <w:bottom w:val="none" w:sz="0" w:space="0" w:color="auto"/>
        <w:right w:val="none" w:sz="0" w:space="0" w:color="auto"/>
      </w:divBdr>
    </w:div>
    <w:div w:id="2050452662">
      <w:marLeft w:val="0"/>
      <w:marRight w:val="0"/>
      <w:marTop w:val="60"/>
      <w:marBottom w:val="60"/>
      <w:divBdr>
        <w:top w:val="none" w:sz="0" w:space="0" w:color="auto"/>
        <w:left w:val="none" w:sz="0" w:space="0" w:color="auto"/>
        <w:bottom w:val="none" w:sz="0" w:space="0" w:color="auto"/>
        <w:right w:val="none" w:sz="0" w:space="0" w:color="auto"/>
      </w:divBdr>
    </w:div>
    <w:div w:id="2050497097">
      <w:marLeft w:val="0"/>
      <w:marRight w:val="0"/>
      <w:marTop w:val="180"/>
      <w:marBottom w:val="180"/>
      <w:divBdr>
        <w:top w:val="none" w:sz="0" w:space="0" w:color="auto"/>
        <w:left w:val="none" w:sz="0" w:space="0" w:color="auto"/>
        <w:bottom w:val="none" w:sz="0" w:space="0" w:color="auto"/>
        <w:right w:val="none" w:sz="0" w:space="0" w:color="auto"/>
      </w:divBdr>
    </w:div>
    <w:div w:id="2052337403">
      <w:marLeft w:val="0"/>
      <w:marRight w:val="0"/>
      <w:marTop w:val="180"/>
      <w:marBottom w:val="180"/>
      <w:divBdr>
        <w:top w:val="none" w:sz="0" w:space="0" w:color="auto"/>
        <w:left w:val="none" w:sz="0" w:space="0" w:color="auto"/>
        <w:bottom w:val="none" w:sz="0" w:space="0" w:color="auto"/>
        <w:right w:val="none" w:sz="0" w:space="0" w:color="auto"/>
      </w:divBdr>
    </w:div>
    <w:div w:id="2053730964">
      <w:marLeft w:val="0"/>
      <w:marRight w:val="0"/>
      <w:marTop w:val="180"/>
      <w:marBottom w:val="180"/>
      <w:divBdr>
        <w:top w:val="none" w:sz="0" w:space="0" w:color="auto"/>
        <w:left w:val="none" w:sz="0" w:space="0" w:color="auto"/>
        <w:bottom w:val="none" w:sz="0" w:space="0" w:color="auto"/>
        <w:right w:val="none" w:sz="0" w:space="0" w:color="auto"/>
      </w:divBdr>
    </w:div>
    <w:div w:id="2054648146">
      <w:marLeft w:val="0"/>
      <w:marRight w:val="0"/>
      <w:marTop w:val="180"/>
      <w:marBottom w:val="180"/>
      <w:divBdr>
        <w:top w:val="none" w:sz="0" w:space="0" w:color="auto"/>
        <w:left w:val="none" w:sz="0" w:space="0" w:color="auto"/>
        <w:bottom w:val="none" w:sz="0" w:space="0" w:color="auto"/>
        <w:right w:val="none" w:sz="0" w:space="0" w:color="auto"/>
      </w:divBdr>
    </w:div>
    <w:div w:id="2055736117">
      <w:marLeft w:val="0"/>
      <w:marRight w:val="0"/>
      <w:marTop w:val="180"/>
      <w:marBottom w:val="180"/>
      <w:divBdr>
        <w:top w:val="none" w:sz="0" w:space="0" w:color="auto"/>
        <w:left w:val="none" w:sz="0" w:space="0" w:color="auto"/>
        <w:bottom w:val="none" w:sz="0" w:space="0" w:color="auto"/>
        <w:right w:val="none" w:sz="0" w:space="0" w:color="auto"/>
      </w:divBdr>
    </w:div>
    <w:div w:id="2057386564">
      <w:marLeft w:val="0"/>
      <w:marRight w:val="0"/>
      <w:marTop w:val="60"/>
      <w:marBottom w:val="60"/>
      <w:divBdr>
        <w:top w:val="none" w:sz="0" w:space="0" w:color="auto"/>
        <w:left w:val="none" w:sz="0" w:space="0" w:color="auto"/>
        <w:bottom w:val="none" w:sz="0" w:space="0" w:color="auto"/>
        <w:right w:val="none" w:sz="0" w:space="0" w:color="auto"/>
      </w:divBdr>
    </w:div>
    <w:div w:id="2061510022">
      <w:marLeft w:val="0"/>
      <w:marRight w:val="0"/>
      <w:marTop w:val="180"/>
      <w:marBottom w:val="180"/>
      <w:divBdr>
        <w:top w:val="none" w:sz="0" w:space="0" w:color="auto"/>
        <w:left w:val="none" w:sz="0" w:space="0" w:color="auto"/>
        <w:bottom w:val="none" w:sz="0" w:space="0" w:color="auto"/>
        <w:right w:val="none" w:sz="0" w:space="0" w:color="auto"/>
      </w:divBdr>
    </w:div>
    <w:div w:id="2062246748">
      <w:marLeft w:val="0"/>
      <w:marRight w:val="0"/>
      <w:marTop w:val="180"/>
      <w:marBottom w:val="180"/>
      <w:divBdr>
        <w:top w:val="none" w:sz="0" w:space="0" w:color="auto"/>
        <w:left w:val="none" w:sz="0" w:space="0" w:color="auto"/>
        <w:bottom w:val="none" w:sz="0" w:space="0" w:color="auto"/>
        <w:right w:val="none" w:sz="0" w:space="0" w:color="auto"/>
      </w:divBdr>
    </w:div>
    <w:div w:id="2063745821">
      <w:marLeft w:val="0"/>
      <w:marRight w:val="0"/>
      <w:marTop w:val="180"/>
      <w:marBottom w:val="180"/>
      <w:divBdr>
        <w:top w:val="none" w:sz="0" w:space="0" w:color="auto"/>
        <w:left w:val="none" w:sz="0" w:space="0" w:color="auto"/>
        <w:bottom w:val="none" w:sz="0" w:space="0" w:color="auto"/>
        <w:right w:val="none" w:sz="0" w:space="0" w:color="auto"/>
      </w:divBdr>
    </w:div>
    <w:div w:id="2064405586">
      <w:marLeft w:val="0"/>
      <w:marRight w:val="0"/>
      <w:marTop w:val="0"/>
      <w:marBottom w:val="0"/>
      <w:divBdr>
        <w:top w:val="none" w:sz="0" w:space="0" w:color="auto"/>
        <w:left w:val="none" w:sz="0" w:space="0" w:color="auto"/>
        <w:bottom w:val="none" w:sz="0" w:space="0" w:color="auto"/>
        <w:right w:val="none" w:sz="0" w:space="0" w:color="auto"/>
      </w:divBdr>
    </w:div>
    <w:div w:id="2064983726">
      <w:marLeft w:val="0"/>
      <w:marRight w:val="0"/>
      <w:marTop w:val="180"/>
      <w:marBottom w:val="180"/>
      <w:divBdr>
        <w:top w:val="none" w:sz="0" w:space="0" w:color="auto"/>
        <w:left w:val="none" w:sz="0" w:space="0" w:color="auto"/>
        <w:bottom w:val="none" w:sz="0" w:space="0" w:color="auto"/>
        <w:right w:val="none" w:sz="0" w:space="0" w:color="auto"/>
      </w:divBdr>
    </w:div>
    <w:div w:id="2066832710">
      <w:marLeft w:val="0"/>
      <w:marRight w:val="0"/>
      <w:marTop w:val="60"/>
      <w:marBottom w:val="60"/>
      <w:divBdr>
        <w:top w:val="none" w:sz="0" w:space="0" w:color="auto"/>
        <w:left w:val="none" w:sz="0" w:space="0" w:color="auto"/>
        <w:bottom w:val="none" w:sz="0" w:space="0" w:color="auto"/>
        <w:right w:val="none" w:sz="0" w:space="0" w:color="auto"/>
      </w:divBdr>
    </w:div>
    <w:div w:id="2066835772">
      <w:marLeft w:val="0"/>
      <w:marRight w:val="0"/>
      <w:marTop w:val="0"/>
      <w:marBottom w:val="0"/>
      <w:divBdr>
        <w:top w:val="none" w:sz="0" w:space="0" w:color="auto"/>
        <w:left w:val="none" w:sz="0" w:space="0" w:color="auto"/>
        <w:bottom w:val="none" w:sz="0" w:space="0" w:color="auto"/>
        <w:right w:val="none" w:sz="0" w:space="0" w:color="auto"/>
      </w:divBdr>
      <w:divsChild>
        <w:div w:id="1443719215">
          <w:marLeft w:val="0"/>
          <w:marRight w:val="0"/>
          <w:marTop w:val="0"/>
          <w:marBottom w:val="0"/>
          <w:divBdr>
            <w:top w:val="none" w:sz="0" w:space="0" w:color="auto"/>
            <w:left w:val="none" w:sz="0" w:space="0" w:color="auto"/>
            <w:bottom w:val="none" w:sz="0" w:space="0" w:color="auto"/>
            <w:right w:val="none" w:sz="0" w:space="0" w:color="auto"/>
          </w:divBdr>
          <w:divsChild>
            <w:div w:id="146539361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67752684">
      <w:marLeft w:val="0"/>
      <w:marRight w:val="0"/>
      <w:marTop w:val="180"/>
      <w:marBottom w:val="180"/>
      <w:divBdr>
        <w:top w:val="none" w:sz="0" w:space="0" w:color="auto"/>
        <w:left w:val="none" w:sz="0" w:space="0" w:color="auto"/>
        <w:bottom w:val="none" w:sz="0" w:space="0" w:color="auto"/>
        <w:right w:val="none" w:sz="0" w:space="0" w:color="auto"/>
      </w:divBdr>
    </w:div>
    <w:div w:id="2068258434">
      <w:marLeft w:val="0"/>
      <w:marRight w:val="0"/>
      <w:marTop w:val="180"/>
      <w:marBottom w:val="180"/>
      <w:divBdr>
        <w:top w:val="none" w:sz="0" w:space="0" w:color="auto"/>
        <w:left w:val="none" w:sz="0" w:space="0" w:color="auto"/>
        <w:bottom w:val="none" w:sz="0" w:space="0" w:color="auto"/>
        <w:right w:val="none" w:sz="0" w:space="0" w:color="auto"/>
      </w:divBdr>
    </w:div>
    <w:div w:id="2069331831">
      <w:marLeft w:val="0"/>
      <w:marRight w:val="0"/>
      <w:marTop w:val="180"/>
      <w:marBottom w:val="180"/>
      <w:divBdr>
        <w:top w:val="none" w:sz="0" w:space="0" w:color="auto"/>
        <w:left w:val="none" w:sz="0" w:space="0" w:color="auto"/>
        <w:bottom w:val="none" w:sz="0" w:space="0" w:color="auto"/>
        <w:right w:val="none" w:sz="0" w:space="0" w:color="auto"/>
      </w:divBdr>
    </w:div>
    <w:div w:id="2070181225">
      <w:marLeft w:val="0"/>
      <w:marRight w:val="0"/>
      <w:marTop w:val="0"/>
      <w:marBottom w:val="0"/>
      <w:divBdr>
        <w:top w:val="none" w:sz="0" w:space="0" w:color="auto"/>
        <w:left w:val="none" w:sz="0" w:space="0" w:color="auto"/>
        <w:bottom w:val="none" w:sz="0" w:space="0" w:color="auto"/>
        <w:right w:val="none" w:sz="0" w:space="0" w:color="auto"/>
      </w:divBdr>
    </w:div>
    <w:div w:id="2070641036">
      <w:marLeft w:val="0"/>
      <w:marRight w:val="0"/>
      <w:marTop w:val="0"/>
      <w:marBottom w:val="0"/>
      <w:divBdr>
        <w:top w:val="none" w:sz="0" w:space="0" w:color="auto"/>
        <w:left w:val="none" w:sz="0" w:space="0" w:color="auto"/>
        <w:bottom w:val="none" w:sz="0" w:space="0" w:color="auto"/>
        <w:right w:val="none" w:sz="0" w:space="0" w:color="auto"/>
      </w:divBdr>
    </w:div>
    <w:div w:id="2071226858">
      <w:marLeft w:val="0"/>
      <w:marRight w:val="0"/>
      <w:marTop w:val="180"/>
      <w:marBottom w:val="180"/>
      <w:divBdr>
        <w:top w:val="none" w:sz="0" w:space="0" w:color="auto"/>
        <w:left w:val="none" w:sz="0" w:space="0" w:color="auto"/>
        <w:bottom w:val="none" w:sz="0" w:space="0" w:color="auto"/>
        <w:right w:val="none" w:sz="0" w:space="0" w:color="auto"/>
      </w:divBdr>
    </w:div>
    <w:div w:id="2072578114">
      <w:marLeft w:val="0"/>
      <w:marRight w:val="0"/>
      <w:marTop w:val="180"/>
      <w:marBottom w:val="180"/>
      <w:divBdr>
        <w:top w:val="none" w:sz="0" w:space="0" w:color="auto"/>
        <w:left w:val="none" w:sz="0" w:space="0" w:color="auto"/>
        <w:bottom w:val="none" w:sz="0" w:space="0" w:color="auto"/>
        <w:right w:val="none" w:sz="0" w:space="0" w:color="auto"/>
      </w:divBdr>
    </w:div>
    <w:div w:id="2074890844">
      <w:marLeft w:val="0"/>
      <w:marRight w:val="0"/>
      <w:marTop w:val="180"/>
      <w:marBottom w:val="180"/>
      <w:divBdr>
        <w:top w:val="none" w:sz="0" w:space="0" w:color="auto"/>
        <w:left w:val="none" w:sz="0" w:space="0" w:color="auto"/>
        <w:bottom w:val="none" w:sz="0" w:space="0" w:color="auto"/>
        <w:right w:val="none" w:sz="0" w:space="0" w:color="auto"/>
      </w:divBdr>
    </w:div>
    <w:div w:id="2078355660">
      <w:marLeft w:val="0"/>
      <w:marRight w:val="0"/>
      <w:marTop w:val="180"/>
      <w:marBottom w:val="180"/>
      <w:divBdr>
        <w:top w:val="none" w:sz="0" w:space="0" w:color="auto"/>
        <w:left w:val="none" w:sz="0" w:space="0" w:color="auto"/>
        <w:bottom w:val="none" w:sz="0" w:space="0" w:color="auto"/>
        <w:right w:val="none" w:sz="0" w:space="0" w:color="auto"/>
      </w:divBdr>
    </w:div>
    <w:div w:id="2082673796">
      <w:marLeft w:val="0"/>
      <w:marRight w:val="0"/>
      <w:marTop w:val="0"/>
      <w:marBottom w:val="0"/>
      <w:divBdr>
        <w:top w:val="none" w:sz="0" w:space="0" w:color="auto"/>
        <w:left w:val="none" w:sz="0" w:space="0" w:color="auto"/>
        <w:bottom w:val="none" w:sz="0" w:space="0" w:color="auto"/>
        <w:right w:val="none" w:sz="0" w:space="0" w:color="auto"/>
      </w:divBdr>
    </w:div>
    <w:div w:id="2083869395">
      <w:marLeft w:val="0"/>
      <w:marRight w:val="0"/>
      <w:marTop w:val="180"/>
      <w:marBottom w:val="180"/>
      <w:divBdr>
        <w:top w:val="none" w:sz="0" w:space="0" w:color="auto"/>
        <w:left w:val="none" w:sz="0" w:space="0" w:color="auto"/>
        <w:bottom w:val="none" w:sz="0" w:space="0" w:color="auto"/>
        <w:right w:val="none" w:sz="0" w:space="0" w:color="auto"/>
      </w:divBdr>
    </w:div>
    <w:div w:id="2086954113">
      <w:marLeft w:val="0"/>
      <w:marRight w:val="0"/>
      <w:marTop w:val="60"/>
      <w:marBottom w:val="60"/>
      <w:divBdr>
        <w:top w:val="none" w:sz="0" w:space="0" w:color="auto"/>
        <w:left w:val="none" w:sz="0" w:space="0" w:color="auto"/>
        <w:bottom w:val="none" w:sz="0" w:space="0" w:color="auto"/>
        <w:right w:val="none" w:sz="0" w:space="0" w:color="auto"/>
      </w:divBdr>
    </w:div>
    <w:div w:id="2087336308">
      <w:marLeft w:val="0"/>
      <w:marRight w:val="0"/>
      <w:marTop w:val="180"/>
      <w:marBottom w:val="180"/>
      <w:divBdr>
        <w:top w:val="none" w:sz="0" w:space="0" w:color="auto"/>
        <w:left w:val="none" w:sz="0" w:space="0" w:color="auto"/>
        <w:bottom w:val="none" w:sz="0" w:space="0" w:color="auto"/>
        <w:right w:val="none" w:sz="0" w:space="0" w:color="auto"/>
      </w:divBdr>
    </w:div>
    <w:div w:id="2088919035">
      <w:marLeft w:val="0"/>
      <w:marRight w:val="0"/>
      <w:marTop w:val="180"/>
      <w:marBottom w:val="180"/>
      <w:divBdr>
        <w:top w:val="none" w:sz="0" w:space="0" w:color="auto"/>
        <w:left w:val="none" w:sz="0" w:space="0" w:color="auto"/>
        <w:bottom w:val="none" w:sz="0" w:space="0" w:color="auto"/>
        <w:right w:val="none" w:sz="0" w:space="0" w:color="auto"/>
      </w:divBdr>
    </w:div>
    <w:div w:id="2089376281">
      <w:marLeft w:val="0"/>
      <w:marRight w:val="0"/>
      <w:marTop w:val="60"/>
      <w:marBottom w:val="60"/>
      <w:divBdr>
        <w:top w:val="none" w:sz="0" w:space="0" w:color="auto"/>
        <w:left w:val="none" w:sz="0" w:space="0" w:color="auto"/>
        <w:bottom w:val="none" w:sz="0" w:space="0" w:color="auto"/>
        <w:right w:val="none" w:sz="0" w:space="0" w:color="auto"/>
      </w:divBdr>
    </w:div>
    <w:div w:id="2092198287">
      <w:marLeft w:val="0"/>
      <w:marRight w:val="0"/>
      <w:marTop w:val="180"/>
      <w:marBottom w:val="60"/>
      <w:divBdr>
        <w:top w:val="none" w:sz="0" w:space="0" w:color="auto"/>
        <w:left w:val="none" w:sz="0" w:space="0" w:color="auto"/>
        <w:bottom w:val="none" w:sz="0" w:space="0" w:color="auto"/>
        <w:right w:val="none" w:sz="0" w:space="0" w:color="auto"/>
      </w:divBdr>
    </w:div>
    <w:div w:id="2092845530">
      <w:marLeft w:val="0"/>
      <w:marRight w:val="0"/>
      <w:marTop w:val="0"/>
      <w:marBottom w:val="0"/>
      <w:divBdr>
        <w:top w:val="none" w:sz="0" w:space="0" w:color="auto"/>
        <w:left w:val="none" w:sz="0" w:space="0" w:color="auto"/>
        <w:bottom w:val="none" w:sz="0" w:space="0" w:color="auto"/>
        <w:right w:val="none" w:sz="0" w:space="0" w:color="auto"/>
      </w:divBdr>
      <w:divsChild>
        <w:div w:id="1560751017">
          <w:marLeft w:val="0"/>
          <w:marRight w:val="0"/>
          <w:marTop w:val="0"/>
          <w:marBottom w:val="0"/>
          <w:divBdr>
            <w:top w:val="none" w:sz="0" w:space="0" w:color="auto"/>
            <w:left w:val="none" w:sz="0" w:space="0" w:color="auto"/>
            <w:bottom w:val="none" w:sz="0" w:space="0" w:color="auto"/>
            <w:right w:val="none" w:sz="0" w:space="0" w:color="auto"/>
          </w:divBdr>
          <w:divsChild>
            <w:div w:id="116694548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93618144">
      <w:marLeft w:val="0"/>
      <w:marRight w:val="0"/>
      <w:marTop w:val="180"/>
      <w:marBottom w:val="180"/>
      <w:divBdr>
        <w:top w:val="none" w:sz="0" w:space="0" w:color="auto"/>
        <w:left w:val="none" w:sz="0" w:space="0" w:color="auto"/>
        <w:bottom w:val="none" w:sz="0" w:space="0" w:color="auto"/>
        <w:right w:val="none" w:sz="0" w:space="0" w:color="auto"/>
      </w:divBdr>
    </w:div>
    <w:div w:id="2094276027">
      <w:marLeft w:val="0"/>
      <w:marRight w:val="0"/>
      <w:marTop w:val="180"/>
      <w:marBottom w:val="180"/>
      <w:divBdr>
        <w:top w:val="none" w:sz="0" w:space="0" w:color="auto"/>
        <w:left w:val="none" w:sz="0" w:space="0" w:color="auto"/>
        <w:bottom w:val="none" w:sz="0" w:space="0" w:color="auto"/>
        <w:right w:val="none" w:sz="0" w:space="0" w:color="auto"/>
      </w:divBdr>
      <w:divsChild>
        <w:div w:id="1898276069">
          <w:marLeft w:val="0"/>
          <w:marRight w:val="0"/>
          <w:marTop w:val="0"/>
          <w:marBottom w:val="0"/>
          <w:divBdr>
            <w:top w:val="none" w:sz="0" w:space="0" w:color="auto"/>
            <w:left w:val="none" w:sz="0" w:space="0" w:color="auto"/>
            <w:bottom w:val="none" w:sz="0" w:space="0" w:color="auto"/>
            <w:right w:val="none" w:sz="0" w:space="0" w:color="auto"/>
          </w:divBdr>
        </w:div>
        <w:div w:id="1009916478">
          <w:marLeft w:val="0"/>
          <w:marRight w:val="0"/>
          <w:marTop w:val="0"/>
          <w:marBottom w:val="0"/>
          <w:divBdr>
            <w:top w:val="none" w:sz="0" w:space="0" w:color="auto"/>
            <w:left w:val="none" w:sz="0" w:space="0" w:color="auto"/>
            <w:bottom w:val="none" w:sz="0" w:space="0" w:color="auto"/>
            <w:right w:val="none" w:sz="0" w:space="0" w:color="auto"/>
          </w:divBdr>
        </w:div>
      </w:divsChild>
    </w:div>
    <w:div w:id="2094811293">
      <w:marLeft w:val="0"/>
      <w:marRight w:val="0"/>
      <w:marTop w:val="0"/>
      <w:marBottom w:val="0"/>
      <w:divBdr>
        <w:top w:val="none" w:sz="0" w:space="0" w:color="auto"/>
        <w:left w:val="none" w:sz="0" w:space="0" w:color="auto"/>
        <w:bottom w:val="none" w:sz="0" w:space="0" w:color="auto"/>
        <w:right w:val="none" w:sz="0" w:space="0" w:color="auto"/>
      </w:divBdr>
      <w:divsChild>
        <w:div w:id="405343613">
          <w:marLeft w:val="0"/>
          <w:marRight w:val="0"/>
          <w:marTop w:val="0"/>
          <w:marBottom w:val="0"/>
          <w:divBdr>
            <w:top w:val="none" w:sz="0" w:space="0" w:color="auto"/>
            <w:left w:val="none" w:sz="0" w:space="0" w:color="auto"/>
            <w:bottom w:val="none" w:sz="0" w:space="0" w:color="auto"/>
            <w:right w:val="none" w:sz="0" w:space="0" w:color="auto"/>
          </w:divBdr>
          <w:divsChild>
            <w:div w:id="100050510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95394242">
      <w:marLeft w:val="0"/>
      <w:marRight w:val="0"/>
      <w:marTop w:val="180"/>
      <w:marBottom w:val="180"/>
      <w:divBdr>
        <w:top w:val="none" w:sz="0" w:space="0" w:color="auto"/>
        <w:left w:val="none" w:sz="0" w:space="0" w:color="auto"/>
        <w:bottom w:val="none" w:sz="0" w:space="0" w:color="auto"/>
        <w:right w:val="none" w:sz="0" w:space="0" w:color="auto"/>
      </w:divBdr>
    </w:div>
    <w:div w:id="2096438489">
      <w:marLeft w:val="0"/>
      <w:marRight w:val="0"/>
      <w:marTop w:val="180"/>
      <w:marBottom w:val="60"/>
      <w:divBdr>
        <w:top w:val="none" w:sz="0" w:space="0" w:color="auto"/>
        <w:left w:val="none" w:sz="0" w:space="0" w:color="auto"/>
        <w:bottom w:val="none" w:sz="0" w:space="0" w:color="auto"/>
        <w:right w:val="none" w:sz="0" w:space="0" w:color="auto"/>
      </w:divBdr>
    </w:div>
    <w:div w:id="2096516365">
      <w:marLeft w:val="0"/>
      <w:marRight w:val="0"/>
      <w:marTop w:val="0"/>
      <w:marBottom w:val="0"/>
      <w:divBdr>
        <w:top w:val="none" w:sz="0" w:space="0" w:color="auto"/>
        <w:left w:val="none" w:sz="0" w:space="0" w:color="auto"/>
        <w:bottom w:val="none" w:sz="0" w:space="0" w:color="auto"/>
        <w:right w:val="none" w:sz="0" w:space="0" w:color="auto"/>
      </w:divBdr>
      <w:divsChild>
        <w:div w:id="1042948642">
          <w:marLeft w:val="0"/>
          <w:marRight w:val="0"/>
          <w:marTop w:val="0"/>
          <w:marBottom w:val="0"/>
          <w:divBdr>
            <w:top w:val="none" w:sz="0" w:space="0" w:color="auto"/>
            <w:left w:val="none" w:sz="0" w:space="0" w:color="auto"/>
            <w:bottom w:val="none" w:sz="0" w:space="0" w:color="auto"/>
            <w:right w:val="none" w:sz="0" w:space="0" w:color="auto"/>
          </w:divBdr>
        </w:div>
      </w:divsChild>
    </w:div>
    <w:div w:id="2096583373">
      <w:marLeft w:val="0"/>
      <w:marRight w:val="0"/>
      <w:marTop w:val="180"/>
      <w:marBottom w:val="180"/>
      <w:divBdr>
        <w:top w:val="none" w:sz="0" w:space="0" w:color="auto"/>
        <w:left w:val="none" w:sz="0" w:space="0" w:color="auto"/>
        <w:bottom w:val="none" w:sz="0" w:space="0" w:color="auto"/>
        <w:right w:val="none" w:sz="0" w:space="0" w:color="auto"/>
      </w:divBdr>
    </w:div>
    <w:div w:id="2097551360">
      <w:marLeft w:val="0"/>
      <w:marRight w:val="0"/>
      <w:marTop w:val="100"/>
      <w:marBottom w:val="0"/>
      <w:divBdr>
        <w:top w:val="none" w:sz="0" w:space="0" w:color="auto"/>
        <w:left w:val="none" w:sz="0" w:space="0" w:color="auto"/>
        <w:bottom w:val="none" w:sz="0" w:space="0" w:color="auto"/>
        <w:right w:val="none" w:sz="0" w:space="0" w:color="auto"/>
      </w:divBdr>
      <w:divsChild>
        <w:div w:id="975917838">
          <w:marLeft w:val="0"/>
          <w:marRight w:val="0"/>
          <w:marTop w:val="0"/>
          <w:marBottom w:val="0"/>
          <w:divBdr>
            <w:top w:val="none" w:sz="0" w:space="0" w:color="auto"/>
            <w:left w:val="none" w:sz="0" w:space="0" w:color="auto"/>
            <w:bottom w:val="none" w:sz="0" w:space="0" w:color="auto"/>
            <w:right w:val="none" w:sz="0" w:space="0" w:color="auto"/>
          </w:divBdr>
        </w:div>
      </w:divsChild>
    </w:div>
    <w:div w:id="2098405469">
      <w:marLeft w:val="0"/>
      <w:marRight w:val="0"/>
      <w:marTop w:val="180"/>
      <w:marBottom w:val="180"/>
      <w:divBdr>
        <w:top w:val="none" w:sz="0" w:space="0" w:color="auto"/>
        <w:left w:val="none" w:sz="0" w:space="0" w:color="auto"/>
        <w:bottom w:val="none" w:sz="0" w:space="0" w:color="auto"/>
        <w:right w:val="none" w:sz="0" w:space="0" w:color="auto"/>
      </w:divBdr>
    </w:div>
    <w:div w:id="2098743998">
      <w:marLeft w:val="0"/>
      <w:marRight w:val="0"/>
      <w:marTop w:val="180"/>
      <w:marBottom w:val="60"/>
      <w:divBdr>
        <w:top w:val="none" w:sz="0" w:space="0" w:color="auto"/>
        <w:left w:val="none" w:sz="0" w:space="0" w:color="auto"/>
        <w:bottom w:val="none" w:sz="0" w:space="0" w:color="auto"/>
        <w:right w:val="none" w:sz="0" w:space="0" w:color="auto"/>
      </w:divBdr>
    </w:div>
    <w:div w:id="2098821239">
      <w:marLeft w:val="0"/>
      <w:marRight w:val="0"/>
      <w:marTop w:val="180"/>
      <w:marBottom w:val="180"/>
      <w:divBdr>
        <w:top w:val="none" w:sz="0" w:space="0" w:color="auto"/>
        <w:left w:val="none" w:sz="0" w:space="0" w:color="auto"/>
        <w:bottom w:val="none" w:sz="0" w:space="0" w:color="auto"/>
        <w:right w:val="none" w:sz="0" w:space="0" w:color="auto"/>
      </w:divBdr>
    </w:div>
    <w:div w:id="2099936807">
      <w:marLeft w:val="0"/>
      <w:marRight w:val="0"/>
      <w:marTop w:val="0"/>
      <w:marBottom w:val="0"/>
      <w:divBdr>
        <w:top w:val="none" w:sz="0" w:space="0" w:color="auto"/>
        <w:left w:val="none" w:sz="0" w:space="0" w:color="auto"/>
        <w:bottom w:val="none" w:sz="0" w:space="0" w:color="auto"/>
        <w:right w:val="none" w:sz="0" w:space="0" w:color="auto"/>
      </w:divBdr>
    </w:div>
    <w:div w:id="2102942669">
      <w:marLeft w:val="0"/>
      <w:marRight w:val="0"/>
      <w:marTop w:val="60"/>
      <w:marBottom w:val="60"/>
      <w:divBdr>
        <w:top w:val="none" w:sz="0" w:space="0" w:color="auto"/>
        <w:left w:val="none" w:sz="0" w:space="0" w:color="auto"/>
        <w:bottom w:val="none" w:sz="0" w:space="0" w:color="auto"/>
        <w:right w:val="none" w:sz="0" w:space="0" w:color="auto"/>
      </w:divBdr>
    </w:div>
    <w:div w:id="2103065680">
      <w:marLeft w:val="0"/>
      <w:marRight w:val="0"/>
      <w:marTop w:val="180"/>
      <w:marBottom w:val="180"/>
      <w:divBdr>
        <w:top w:val="none" w:sz="0" w:space="0" w:color="auto"/>
        <w:left w:val="none" w:sz="0" w:space="0" w:color="auto"/>
        <w:bottom w:val="none" w:sz="0" w:space="0" w:color="auto"/>
        <w:right w:val="none" w:sz="0" w:space="0" w:color="auto"/>
      </w:divBdr>
    </w:div>
    <w:div w:id="2103602330">
      <w:marLeft w:val="0"/>
      <w:marRight w:val="0"/>
      <w:marTop w:val="180"/>
      <w:marBottom w:val="0"/>
      <w:divBdr>
        <w:top w:val="none" w:sz="0" w:space="0" w:color="auto"/>
        <w:left w:val="none" w:sz="0" w:space="0" w:color="auto"/>
        <w:bottom w:val="none" w:sz="0" w:space="0" w:color="auto"/>
        <w:right w:val="none" w:sz="0" w:space="0" w:color="auto"/>
      </w:divBdr>
      <w:divsChild>
        <w:div w:id="124472744">
          <w:marLeft w:val="0"/>
          <w:marRight w:val="0"/>
          <w:marTop w:val="0"/>
          <w:marBottom w:val="0"/>
          <w:divBdr>
            <w:top w:val="none" w:sz="0" w:space="0" w:color="auto"/>
            <w:left w:val="none" w:sz="0" w:space="0" w:color="auto"/>
            <w:bottom w:val="none" w:sz="0" w:space="0" w:color="auto"/>
            <w:right w:val="none" w:sz="0" w:space="0" w:color="auto"/>
          </w:divBdr>
        </w:div>
        <w:div w:id="1163275676">
          <w:marLeft w:val="0"/>
          <w:marRight w:val="0"/>
          <w:marTop w:val="0"/>
          <w:marBottom w:val="0"/>
          <w:divBdr>
            <w:top w:val="none" w:sz="0" w:space="0" w:color="auto"/>
            <w:left w:val="none" w:sz="0" w:space="0" w:color="auto"/>
            <w:bottom w:val="none" w:sz="0" w:space="0" w:color="auto"/>
            <w:right w:val="none" w:sz="0" w:space="0" w:color="auto"/>
          </w:divBdr>
        </w:div>
        <w:div w:id="1270159671">
          <w:marLeft w:val="0"/>
          <w:marRight w:val="0"/>
          <w:marTop w:val="0"/>
          <w:marBottom w:val="0"/>
          <w:divBdr>
            <w:top w:val="none" w:sz="0" w:space="0" w:color="auto"/>
            <w:left w:val="none" w:sz="0" w:space="0" w:color="auto"/>
            <w:bottom w:val="none" w:sz="0" w:space="0" w:color="auto"/>
            <w:right w:val="none" w:sz="0" w:space="0" w:color="auto"/>
          </w:divBdr>
        </w:div>
        <w:div w:id="1634827969">
          <w:marLeft w:val="0"/>
          <w:marRight w:val="0"/>
          <w:marTop w:val="0"/>
          <w:marBottom w:val="0"/>
          <w:divBdr>
            <w:top w:val="none" w:sz="0" w:space="0" w:color="auto"/>
            <w:left w:val="none" w:sz="0" w:space="0" w:color="auto"/>
            <w:bottom w:val="none" w:sz="0" w:space="0" w:color="auto"/>
            <w:right w:val="none" w:sz="0" w:space="0" w:color="auto"/>
          </w:divBdr>
        </w:div>
        <w:div w:id="1691563447">
          <w:marLeft w:val="0"/>
          <w:marRight w:val="0"/>
          <w:marTop w:val="0"/>
          <w:marBottom w:val="0"/>
          <w:divBdr>
            <w:top w:val="none" w:sz="0" w:space="0" w:color="auto"/>
            <w:left w:val="none" w:sz="0" w:space="0" w:color="auto"/>
            <w:bottom w:val="none" w:sz="0" w:space="0" w:color="auto"/>
            <w:right w:val="none" w:sz="0" w:space="0" w:color="auto"/>
          </w:divBdr>
        </w:div>
        <w:div w:id="1110050763">
          <w:marLeft w:val="0"/>
          <w:marRight w:val="0"/>
          <w:marTop w:val="0"/>
          <w:marBottom w:val="0"/>
          <w:divBdr>
            <w:top w:val="none" w:sz="0" w:space="0" w:color="auto"/>
            <w:left w:val="none" w:sz="0" w:space="0" w:color="auto"/>
            <w:bottom w:val="none" w:sz="0" w:space="0" w:color="auto"/>
            <w:right w:val="none" w:sz="0" w:space="0" w:color="auto"/>
          </w:divBdr>
        </w:div>
        <w:div w:id="2017269397">
          <w:marLeft w:val="0"/>
          <w:marRight w:val="0"/>
          <w:marTop w:val="0"/>
          <w:marBottom w:val="0"/>
          <w:divBdr>
            <w:top w:val="none" w:sz="0" w:space="0" w:color="auto"/>
            <w:left w:val="none" w:sz="0" w:space="0" w:color="auto"/>
            <w:bottom w:val="none" w:sz="0" w:space="0" w:color="auto"/>
            <w:right w:val="none" w:sz="0" w:space="0" w:color="auto"/>
          </w:divBdr>
        </w:div>
        <w:div w:id="1718505218">
          <w:marLeft w:val="0"/>
          <w:marRight w:val="0"/>
          <w:marTop w:val="0"/>
          <w:marBottom w:val="0"/>
          <w:divBdr>
            <w:top w:val="none" w:sz="0" w:space="0" w:color="auto"/>
            <w:left w:val="none" w:sz="0" w:space="0" w:color="auto"/>
            <w:bottom w:val="none" w:sz="0" w:space="0" w:color="auto"/>
            <w:right w:val="none" w:sz="0" w:space="0" w:color="auto"/>
          </w:divBdr>
        </w:div>
      </w:divsChild>
    </w:div>
    <w:div w:id="2104109669">
      <w:marLeft w:val="0"/>
      <w:marRight w:val="0"/>
      <w:marTop w:val="0"/>
      <w:marBottom w:val="0"/>
      <w:divBdr>
        <w:top w:val="none" w:sz="0" w:space="0" w:color="auto"/>
        <w:left w:val="none" w:sz="0" w:space="0" w:color="auto"/>
        <w:bottom w:val="none" w:sz="0" w:space="0" w:color="auto"/>
        <w:right w:val="none" w:sz="0" w:space="0" w:color="auto"/>
      </w:divBdr>
      <w:divsChild>
        <w:div w:id="290865360">
          <w:marLeft w:val="0"/>
          <w:marRight w:val="0"/>
          <w:marTop w:val="0"/>
          <w:marBottom w:val="0"/>
          <w:divBdr>
            <w:top w:val="none" w:sz="0" w:space="0" w:color="auto"/>
            <w:left w:val="none" w:sz="0" w:space="0" w:color="auto"/>
            <w:bottom w:val="none" w:sz="0" w:space="0" w:color="auto"/>
            <w:right w:val="none" w:sz="0" w:space="0" w:color="auto"/>
          </w:divBdr>
          <w:divsChild>
            <w:div w:id="92965623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06998097">
      <w:marLeft w:val="0"/>
      <w:marRight w:val="0"/>
      <w:marTop w:val="0"/>
      <w:marBottom w:val="180"/>
      <w:divBdr>
        <w:top w:val="none" w:sz="0" w:space="0" w:color="auto"/>
        <w:left w:val="none" w:sz="0" w:space="0" w:color="auto"/>
        <w:bottom w:val="none" w:sz="0" w:space="0" w:color="auto"/>
        <w:right w:val="none" w:sz="0" w:space="0" w:color="auto"/>
      </w:divBdr>
      <w:divsChild>
        <w:div w:id="857933054">
          <w:marLeft w:val="0"/>
          <w:marRight w:val="0"/>
          <w:marTop w:val="0"/>
          <w:marBottom w:val="0"/>
          <w:divBdr>
            <w:top w:val="none" w:sz="0" w:space="0" w:color="auto"/>
            <w:left w:val="none" w:sz="0" w:space="0" w:color="auto"/>
            <w:bottom w:val="none" w:sz="0" w:space="0" w:color="auto"/>
            <w:right w:val="none" w:sz="0" w:space="0" w:color="auto"/>
          </w:divBdr>
        </w:div>
      </w:divsChild>
    </w:div>
    <w:div w:id="2107915771">
      <w:marLeft w:val="0"/>
      <w:marRight w:val="0"/>
      <w:marTop w:val="180"/>
      <w:marBottom w:val="180"/>
      <w:divBdr>
        <w:top w:val="none" w:sz="0" w:space="0" w:color="auto"/>
        <w:left w:val="none" w:sz="0" w:space="0" w:color="auto"/>
        <w:bottom w:val="none" w:sz="0" w:space="0" w:color="auto"/>
        <w:right w:val="none" w:sz="0" w:space="0" w:color="auto"/>
      </w:divBdr>
    </w:div>
    <w:div w:id="2109347480">
      <w:marLeft w:val="0"/>
      <w:marRight w:val="0"/>
      <w:marTop w:val="60"/>
      <w:marBottom w:val="60"/>
      <w:divBdr>
        <w:top w:val="none" w:sz="0" w:space="0" w:color="auto"/>
        <w:left w:val="none" w:sz="0" w:space="0" w:color="auto"/>
        <w:bottom w:val="none" w:sz="0" w:space="0" w:color="auto"/>
        <w:right w:val="none" w:sz="0" w:space="0" w:color="auto"/>
      </w:divBdr>
    </w:div>
    <w:div w:id="2110656066">
      <w:marLeft w:val="0"/>
      <w:marRight w:val="0"/>
      <w:marTop w:val="0"/>
      <w:marBottom w:val="0"/>
      <w:divBdr>
        <w:top w:val="none" w:sz="0" w:space="0" w:color="auto"/>
        <w:left w:val="none" w:sz="0" w:space="0" w:color="auto"/>
        <w:bottom w:val="none" w:sz="0" w:space="0" w:color="auto"/>
        <w:right w:val="none" w:sz="0" w:space="0" w:color="auto"/>
      </w:divBdr>
      <w:divsChild>
        <w:div w:id="1965038901">
          <w:marLeft w:val="0"/>
          <w:marRight w:val="0"/>
          <w:marTop w:val="0"/>
          <w:marBottom w:val="0"/>
          <w:divBdr>
            <w:top w:val="none" w:sz="0" w:space="0" w:color="auto"/>
            <w:left w:val="none" w:sz="0" w:space="0" w:color="auto"/>
            <w:bottom w:val="none" w:sz="0" w:space="0" w:color="auto"/>
            <w:right w:val="none" w:sz="0" w:space="0" w:color="auto"/>
          </w:divBdr>
          <w:divsChild>
            <w:div w:id="136821351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10662522">
      <w:marLeft w:val="0"/>
      <w:marRight w:val="0"/>
      <w:marTop w:val="180"/>
      <w:marBottom w:val="180"/>
      <w:divBdr>
        <w:top w:val="none" w:sz="0" w:space="0" w:color="auto"/>
        <w:left w:val="none" w:sz="0" w:space="0" w:color="auto"/>
        <w:bottom w:val="none" w:sz="0" w:space="0" w:color="auto"/>
        <w:right w:val="none" w:sz="0" w:space="0" w:color="auto"/>
      </w:divBdr>
    </w:div>
    <w:div w:id="2112359752">
      <w:marLeft w:val="0"/>
      <w:marRight w:val="0"/>
      <w:marTop w:val="0"/>
      <w:marBottom w:val="0"/>
      <w:divBdr>
        <w:top w:val="none" w:sz="0" w:space="0" w:color="auto"/>
        <w:left w:val="none" w:sz="0" w:space="0" w:color="auto"/>
        <w:bottom w:val="none" w:sz="0" w:space="0" w:color="auto"/>
        <w:right w:val="none" w:sz="0" w:space="0" w:color="auto"/>
      </w:divBdr>
      <w:divsChild>
        <w:div w:id="877009748">
          <w:marLeft w:val="0"/>
          <w:marRight w:val="0"/>
          <w:marTop w:val="0"/>
          <w:marBottom w:val="0"/>
          <w:divBdr>
            <w:top w:val="none" w:sz="0" w:space="0" w:color="auto"/>
            <w:left w:val="none" w:sz="0" w:space="0" w:color="auto"/>
            <w:bottom w:val="none" w:sz="0" w:space="0" w:color="auto"/>
            <w:right w:val="none" w:sz="0" w:space="0" w:color="auto"/>
          </w:divBdr>
          <w:divsChild>
            <w:div w:id="70302008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13042906">
      <w:marLeft w:val="0"/>
      <w:marRight w:val="0"/>
      <w:marTop w:val="180"/>
      <w:marBottom w:val="180"/>
      <w:divBdr>
        <w:top w:val="none" w:sz="0" w:space="0" w:color="auto"/>
        <w:left w:val="none" w:sz="0" w:space="0" w:color="auto"/>
        <w:bottom w:val="none" w:sz="0" w:space="0" w:color="auto"/>
        <w:right w:val="none" w:sz="0" w:space="0" w:color="auto"/>
      </w:divBdr>
    </w:div>
    <w:div w:id="2114398519">
      <w:marLeft w:val="0"/>
      <w:marRight w:val="0"/>
      <w:marTop w:val="0"/>
      <w:marBottom w:val="0"/>
      <w:divBdr>
        <w:top w:val="none" w:sz="0" w:space="0" w:color="auto"/>
        <w:left w:val="none" w:sz="0" w:space="0" w:color="auto"/>
        <w:bottom w:val="none" w:sz="0" w:space="0" w:color="auto"/>
        <w:right w:val="none" w:sz="0" w:space="0" w:color="auto"/>
      </w:divBdr>
      <w:divsChild>
        <w:div w:id="960381770">
          <w:marLeft w:val="0"/>
          <w:marRight w:val="0"/>
          <w:marTop w:val="0"/>
          <w:marBottom w:val="0"/>
          <w:divBdr>
            <w:top w:val="none" w:sz="0" w:space="0" w:color="auto"/>
            <w:left w:val="none" w:sz="0" w:space="0" w:color="auto"/>
            <w:bottom w:val="none" w:sz="0" w:space="0" w:color="auto"/>
            <w:right w:val="none" w:sz="0" w:space="0" w:color="auto"/>
          </w:divBdr>
          <w:divsChild>
            <w:div w:id="4013817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14549508">
      <w:marLeft w:val="0"/>
      <w:marRight w:val="0"/>
      <w:marTop w:val="180"/>
      <w:marBottom w:val="180"/>
      <w:divBdr>
        <w:top w:val="none" w:sz="0" w:space="0" w:color="auto"/>
        <w:left w:val="none" w:sz="0" w:space="0" w:color="auto"/>
        <w:bottom w:val="none" w:sz="0" w:space="0" w:color="auto"/>
        <w:right w:val="none" w:sz="0" w:space="0" w:color="auto"/>
      </w:divBdr>
    </w:div>
    <w:div w:id="2115980012">
      <w:marLeft w:val="0"/>
      <w:marRight w:val="0"/>
      <w:marTop w:val="0"/>
      <w:marBottom w:val="0"/>
      <w:divBdr>
        <w:top w:val="none" w:sz="0" w:space="0" w:color="auto"/>
        <w:left w:val="none" w:sz="0" w:space="0" w:color="auto"/>
        <w:bottom w:val="none" w:sz="0" w:space="0" w:color="auto"/>
        <w:right w:val="none" w:sz="0" w:space="0" w:color="auto"/>
      </w:divBdr>
      <w:divsChild>
        <w:div w:id="1528986382">
          <w:marLeft w:val="0"/>
          <w:marRight w:val="0"/>
          <w:marTop w:val="60"/>
          <w:marBottom w:val="60"/>
          <w:divBdr>
            <w:top w:val="none" w:sz="0" w:space="0" w:color="auto"/>
            <w:left w:val="none" w:sz="0" w:space="0" w:color="auto"/>
            <w:bottom w:val="none" w:sz="0" w:space="0" w:color="auto"/>
            <w:right w:val="none" w:sz="0" w:space="0" w:color="auto"/>
          </w:divBdr>
        </w:div>
      </w:divsChild>
    </w:div>
    <w:div w:id="2120297738">
      <w:marLeft w:val="0"/>
      <w:marRight w:val="0"/>
      <w:marTop w:val="60"/>
      <w:marBottom w:val="60"/>
      <w:divBdr>
        <w:top w:val="none" w:sz="0" w:space="0" w:color="auto"/>
        <w:left w:val="none" w:sz="0" w:space="0" w:color="auto"/>
        <w:bottom w:val="none" w:sz="0" w:space="0" w:color="auto"/>
        <w:right w:val="none" w:sz="0" w:space="0" w:color="auto"/>
      </w:divBdr>
    </w:div>
    <w:div w:id="2121144192">
      <w:marLeft w:val="0"/>
      <w:marRight w:val="0"/>
      <w:marTop w:val="180"/>
      <w:marBottom w:val="180"/>
      <w:divBdr>
        <w:top w:val="none" w:sz="0" w:space="0" w:color="auto"/>
        <w:left w:val="none" w:sz="0" w:space="0" w:color="auto"/>
        <w:bottom w:val="none" w:sz="0" w:space="0" w:color="auto"/>
        <w:right w:val="none" w:sz="0" w:space="0" w:color="auto"/>
      </w:divBdr>
    </w:div>
    <w:div w:id="2122526608">
      <w:marLeft w:val="0"/>
      <w:marRight w:val="0"/>
      <w:marTop w:val="180"/>
      <w:marBottom w:val="60"/>
      <w:divBdr>
        <w:top w:val="none" w:sz="0" w:space="0" w:color="auto"/>
        <w:left w:val="none" w:sz="0" w:space="0" w:color="auto"/>
        <w:bottom w:val="none" w:sz="0" w:space="0" w:color="auto"/>
        <w:right w:val="none" w:sz="0" w:space="0" w:color="auto"/>
      </w:divBdr>
    </w:div>
    <w:div w:id="2122608770">
      <w:marLeft w:val="0"/>
      <w:marRight w:val="0"/>
      <w:marTop w:val="0"/>
      <w:marBottom w:val="0"/>
      <w:divBdr>
        <w:top w:val="none" w:sz="0" w:space="0" w:color="auto"/>
        <w:left w:val="none" w:sz="0" w:space="0" w:color="auto"/>
        <w:bottom w:val="none" w:sz="0" w:space="0" w:color="auto"/>
        <w:right w:val="none" w:sz="0" w:space="0" w:color="auto"/>
      </w:divBdr>
      <w:divsChild>
        <w:div w:id="286083774">
          <w:marLeft w:val="0"/>
          <w:marRight w:val="0"/>
          <w:marTop w:val="0"/>
          <w:marBottom w:val="0"/>
          <w:divBdr>
            <w:top w:val="none" w:sz="0" w:space="0" w:color="auto"/>
            <w:left w:val="none" w:sz="0" w:space="0" w:color="auto"/>
            <w:bottom w:val="none" w:sz="0" w:space="0" w:color="auto"/>
            <w:right w:val="none" w:sz="0" w:space="0" w:color="auto"/>
          </w:divBdr>
          <w:divsChild>
            <w:div w:id="149772591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25611881">
      <w:marLeft w:val="0"/>
      <w:marRight w:val="0"/>
      <w:marTop w:val="180"/>
      <w:marBottom w:val="180"/>
      <w:divBdr>
        <w:top w:val="none" w:sz="0" w:space="0" w:color="auto"/>
        <w:left w:val="none" w:sz="0" w:space="0" w:color="auto"/>
        <w:bottom w:val="none" w:sz="0" w:space="0" w:color="auto"/>
        <w:right w:val="none" w:sz="0" w:space="0" w:color="auto"/>
      </w:divBdr>
    </w:div>
    <w:div w:id="2126345530">
      <w:marLeft w:val="0"/>
      <w:marRight w:val="0"/>
      <w:marTop w:val="180"/>
      <w:marBottom w:val="180"/>
      <w:divBdr>
        <w:top w:val="none" w:sz="0" w:space="0" w:color="auto"/>
        <w:left w:val="none" w:sz="0" w:space="0" w:color="auto"/>
        <w:bottom w:val="none" w:sz="0" w:space="0" w:color="auto"/>
        <w:right w:val="none" w:sz="0" w:space="0" w:color="auto"/>
      </w:divBdr>
    </w:div>
    <w:div w:id="2128575748">
      <w:marLeft w:val="0"/>
      <w:marRight w:val="0"/>
      <w:marTop w:val="100"/>
      <w:marBottom w:val="100"/>
      <w:divBdr>
        <w:top w:val="none" w:sz="0" w:space="0" w:color="auto"/>
        <w:left w:val="none" w:sz="0" w:space="0" w:color="auto"/>
        <w:bottom w:val="none" w:sz="0" w:space="0" w:color="auto"/>
        <w:right w:val="none" w:sz="0" w:space="0" w:color="auto"/>
      </w:divBdr>
      <w:divsChild>
        <w:div w:id="775488748">
          <w:marLeft w:val="0"/>
          <w:marRight w:val="0"/>
          <w:marTop w:val="0"/>
          <w:marBottom w:val="0"/>
          <w:divBdr>
            <w:top w:val="none" w:sz="0" w:space="0" w:color="auto"/>
            <w:left w:val="none" w:sz="0" w:space="0" w:color="auto"/>
            <w:bottom w:val="none" w:sz="0" w:space="0" w:color="auto"/>
            <w:right w:val="none" w:sz="0" w:space="0" w:color="auto"/>
          </w:divBdr>
        </w:div>
        <w:div w:id="1820346168">
          <w:marLeft w:val="0"/>
          <w:marRight w:val="0"/>
          <w:marTop w:val="0"/>
          <w:marBottom w:val="0"/>
          <w:divBdr>
            <w:top w:val="none" w:sz="0" w:space="0" w:color="auto"/>
            <w:left w:val="none" w:sz="0" w:space="0" w:color="auto"/>
            <w:bottom w:val="none" w:sz="0" w:space="0" w:color="auto"/>
            <w:right w:val="none" w:sz="0" w:space="0" w:color="auto"/>
          </w:divBdr>
        </w:div>
        <w:div w:id="1509372004">
          <w:marLeft w:val="0"/>
          <w:marRight w:val="0"/>
          <w:marTop w:val="0"/>
          <w:marBottom w:val="0"/>
          <w:divBdr>
            <w:top w:val="none" w:sz="0" w:space="0" w:color="auto"/>
            <w:left w:val="none" w:sz="0" w:space="0" w:color="auto"/>
            <w:bottom w:val="none" w:sz="0" w:space="0" w:color="auto"/>
            <w:right w:val="none" w:sz="0" w:space="0" w:color="auto"/>
          </w:divBdr>
        </w:div>
      </w:divsChild>
    </w:div>
    <w:div w:id="2129737056">
      <w:marLeft w:val="0"/>
      <w:marRight w:val="0"/>
      <w:marTop w:val="180"/>
      <w:marBottom w:val="180"/>
      <w:divBdr>
        <w:top w:val="none" w:sz="0" w:space="0" w:color="auto"/>
        <w:left w:val="none" w:sz="0" w:space="0" w:color="auto"/>
        <w:bottom w:val="none" w:sz="0" w:space="0" w:color="auto"/>
        <w:right w:val="none" w:sz="0" w:space="0" w:color="auto"/>
      </w:divBdr>
    </w:div>
    <w:div w:id="2130390082">
      <w:marLeft w:val="0"/>
      <w:marRight w:val="0"/>
      <w:marTop w:val="180"/>
      <w:marBottom w:val="180"/>
      <w:divBdr>
        <w:top w:val="none" w:sz="0" w:space="0" w:color="auto"/>
        <w:left w:val="none" w:sz="0" w:space="0" w:color="auto"/>
        <w:bottom w:val="none" w:sz="0" w:space="0" w:color="auto"/>
        <w:right w:val="none" w:sz="0" w:space="0" w:color="auto"/>
      </w:divBdr>
    </w:div>
    <w:div w:id="2136169140">
      <w:marLeft w:val="0"/>
      <w:marRight w:val="0"/>
      <w:marTop w:val="0"/>
      <w:marBottom w:val="0"/>
      <w:divBdr>
        <w:top w:val="none" w:sz="0" w:space="0" w:color="auto"/>
        <w:left w:val="none" w:sz="0" w:space="0" w:color="auto"/>
        <w:bottom w:val="none" w:sz="0" w:space="0" w:color="auto"/>
        <w:right w:val="none" w:sz="0" w:space="0" w:color="auto"/>
      </w:divBdr>
      <w:divsChild>
        <w:div w:id="1896432184">
          <w:marLeft w:val="0"/>
          <w:marRight w:val="0"/>
          <w:marTop w:val="0"/>
          <w:marBottom w:val="0"/>
          <w:divBdr>
            <w:top w:val="none" w:sz="0" w:space="0" w:color="auto"/>
            <w:left w:val="none" w:sz="0" w:space="0" w:color="auto"/>
            <w:bottom w:val="none" w:sz="0" w:space="0" w:color="auto"/>
            <w:right w:val="none" w:sz="0" w:space="0" w:color="auto"/>
          </w:divBdr>
          <w:divsChild>
            <w:div w:id="18953689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37289891">
      <w:marLeft w:val="0"/>
      <w:marRight w:val="0"/>
      <w:marTop w:val="0"/>
      <w:marBottom w:val="15"/>
      <w:divBdr>
        <w:top w:val="none" w:sz="0" w:space="0" w:color="auto"/>
        <w:left w:val="none" w:sz="0" w:space="0" w:color="auto"/>
        <w:bottom w:val="none" w:sz="0" w:space="0" w:color="auto"/>
        <w:right w:val="none" w:sz="0" w:space="0" w:color="auto"/>
      </w:divBdr>
    </w:div>
    <w:div w:id="2138713838">
      <w:marLeft w:val="0"/>
      <w:marRight w:val="0"/>
      <w:marTop w:val="60"/>
      <w:marBottom w:val="60"/>
      <w:divBdr>
        <w:top w:val="none" w:sz="0" w:space="0" w:color="auto"/>
        <w:left w:val="none" w:sz="0" w:space="0" w:color="auto"/>
        <w:bottom w:val="none" w:sz="0" w:space="0" w:color="auto"/>
        <w:right w:val="none" w:sz="0" w:space="0" w:color="auto"/>
      </w:divBdr>
    </w:div>
    <w:div w:id="2138714284">
      <w:marLeft w:val="0"/>
      <w:marRight w:val="0"/>
      <w:marTop w:val="180"/>
      <w:marBottom w:val="180"/>
      <w:divBdr>
        <w:top w:val="none" w:sz="0" w:space="0" w:color="auto"/>
        <w:left w:val="none" w:sz="0" w:space="0" w:color="auto"/>
        <w:bottom w:val="none" w:sz="0" w:space="0" w:color="auto"/>
        <w:right w:val="none" w:sz="0" w:space="0" w:color="auto"/>
      </w:divBdr>
    </w:div>
    <w:div w:id="2141072072">
      <w:marLeft w:val="0"/>
      <w:marRight w:val="0"/>
      <w:marTop w:val="180"/>
      <w:marBottom w:val="180"/>
      <w:divBdr>
        <w:top w:val="none" w:sz="0" w:space="0" w:color="auto"/>
        <w:left w:val="none" w:sz="0" w:space="0" w:color="auto"/>
        <w:bottom w:val="none" w:sz="0" w:space="0" w:color="auto"/>
        <w:right w:val="none" w:sz="0" w:space="0" w:color="auto"/>
      </w:divBdr>
    </w:div>
    <w:div w:id="2141220986">
      <w:marLeft w:val="0"/>
      <w:marRight w:val="0"/>
      <w:marTop w:val="180"/>
      <w:marBottom w:val="60"/>
      <w:divBdr>
        <w:top w:val="none" w:sz="0" w:space="0" w:color="auto"/>
        <w:left w:val="none" w:sz="0" w:space="0" w:color="auto"/>
        <w:bottom w:val="none" w:sz="0" w:space="0" w:color="auto"/>
        <w:right w:val="none" w:sz="0" w:space="0" w:color="auto"/>
      </w:divBdr>
    </w:div>
    <w:div w:id="2145150288">
      <w:marLeft w:val="0"/>
      <w:marRight w:val="0"/>
      <w:marTop w:val="0"/>
      <w:marBottom w:val="15"/>
      <w:divBdr>
        <w:top w:val="none" w:sz="0" w:space="0" w:color="auto"/>
        <w:left w:val="none" w:sz="0" w:space="0" w:color="auto"/>
        <w:bottom w:val="none" w:sz="0" w:space="0" w:color="auto"/>
        <w:right w:val="none" w:sz="0" w:space="0" w:color="auto"/>
      </w:divBdr>
    </w:div>
    <w:div w:id="2147238002">
      <w:marLeft w:val="0"/>
      <w:marRight w:val="0"/>
      <w:marTop w:val="180"/>
      <w:marBottom w:val="18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927628/000092762821000285/exhibit31amendedandrestate.htm" TargetMode="External"/><Relationship Id="rId13" Type="http://schemas.openxmlformats.org/officeDocument/2006/relationships/hyperlink" Target="https://www.sec.gov/Archives/edgar/data/927628/000095010321008647/dp152438_ex0301.htm" TargetMode="External"/><Relationship Id="rId18" Type="http://schemas.openxmlformats.org/officeDocument/2006/relationships/hyperlink" Target="cof-09302021x10qxex311.htm" TargetMode="External"/><Relationship Id="rId3" Type="http://schemas.openxmlformats.org/officeDocument/2006/relationships/webSettings" Target="webSettings.xml"/><Relationship Id="rId21" Type="http://schemas.openxmlformats.org/officeDocument/2006/relationships/hyperlink" Target="cof-09302021x10qxex322.htm" TargetMode="External"/><Relationship Id="rId7" Type="http://schemas.openxmlformats.org/officeDocument/2006/relationships/hyperlink" Target="https://www.sec.gov/Archives/edgar/data/927628/000092762821000285/exhibit31amendedandrestate.htm" TargetMode="External"/><Relationship Id="rId12" Type="http://schemas.openxmlformats.org/officeDocument/2006/relationships/hyperlink" Target="https://www.sec.gov/Archives/edgar/data/927628/000095010321006687/dp150414_ex0301.htm" TargetMode="External"/><Relationship Id="rId17" Type="http://schemas.openxmlformats.org/officeDocument/2006/relationships/hyperlink" Target="https://www.sec.gov/Archives/edgar/data/927628/000119312512362016/d395908dex41.htm" TargetMode="External"/><Relationship Id="rId2" Type="http://schemas.openxmlformats.org/officeDocument/2006/relationships/settings" Target="settings.xml"/><Relationship Id="rId16" Type="http://schemas.openxmlformats.org/officeDocument/2006/relationships/hyperlink" Target="https://www.sec.gov/Archives/edgar/data/927628/000119312509247098/dex41.htm" TargetMode="External"/><Relationship Id="rId20" Type="http://schemas.openxmlformats.org/officeDocument/2006/relationships/hyperlink" Target="cof-09302021x10qxex321.htm" TargetMode="External"/><Relationship Id="rId1" Type="http://schemas.openxmlformats.org/officeDocument/2006/relationships/styles" Target="styles.xml"/><Relationship Id="rId6" Type="http://schemas.openxmlformats.org/officeDocument/2006/relationships/hyperlink" Target="https://www.sec.gov/Archives/edgar/data/927628/000092762821000285/exhibit31amendedandrestate.htm" TargetMode="External"/><Relationship Id="rId11" Type="http://schemas.openxmlformats.org/officeDocument/2006/relationships/hyperlink" Target="https://www.sec.gov/Archives/edgar/data/927628/000119312520248074/d72664dex31.htm" TargetMode="External"/><Relationship Id="rId5" Type="http://schemas.openxmlformats.org/officeDocument/2006/relationships/hyperlink" Target="https://www.sec.gov/Archives/edgar/data/927628/000092762821000285/exhibit31amendedandrestate.htm" TargetMode="External"/><Relationship Id="rId15" Type="http://schemas.openxmlformats.org/officeDocument/2006/relationships/hyperlink" Target="https://www.sec.gov/Archives/edgar/data/927628/000119312504035097/dex41.htm" TargetMode="External"/><Relationship Id="rId23" Type="http://schemas.openxmlformats.org/officeDocument/2006/relationships/theme" Target="theme/theme1.xml"/><Relationship Id="rId10" Type="http://schemas.openxmlformats.org/officeDocument/2006/relationships/hyperlink" Target="https://www.sec.gov/Archives/edgar/data/927628/000092762821000285/exhibit31amendedandrestate.htm" TargetMode="External"/><Relationship Id="rId19" Type="http://schemas.openxmlformats.org/officeDocument/2006/relationships/hyperlink" Target="cof-09302021x10qxex312.htm" TargetMode="External"/><Relationship Id="rId4" Type="http://schemas.openxmlformats.org/officeDocument/2006/relationships/hyperlink" Target="https://www.sec.gov/Archives/edgar/data/927628/000092762820000189/exhibit32restatedcerti.htm" TargetMode="External"/><Relationship Id="rId9" Type="http://schemas.openxmlformats.org/officeDocument/2006/relationships/hyperlink" Target="https://www.sec.gov/Archives/edgar/data/927628/000092762821000285/exhibit31amendedandrestate.htm" TargetMode="External"/><Relationship Id="rId14" Type="http://schemas.openxmlformats.org/officeDocument/2006/relationships/hyperlink" Target="https://www.sec.gov/Archives/edgar/data/0000927628/000119312521229186/d205654dex31.ht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82886</Words>
  <Characters>472452</Characters>
  <Application>Microsoft Office Word</Application>
  <DocSecurity>0</DocSecurity>
  <Lines>3937</Lines>
  <Paragraphs>1108</Paragraphs>
  <ScaleCrop>false</ScaleCrop>
  <Company/>
  <LinksUpToDate>false</LinksUpToDate>
  <CharactersWithSpaces>554230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cof-20210930</dc:title>
  <dc:subject/>
  <dc:creator>Chongjian.Yue</dc:creator>
  <cp:keywords/>
  <dc:description/>
  <cp:lastModifiedBy>Yue Chongjian</cp:lastModifiedBy>
  <cp:revision>1</cp:revision>
  <dcterms:created xsi:type="dcterms:W3CDTF">2024-01-04T15:35:00Z</dcterms:created>
  <dcterms:modified xsi:type="dcterms:W3CDTF">2024-01-04T15:35:00Z</dcterms:modified>
</cp:coreProperties>
</file>